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67E950" w14:textId="77777777" w:rsidR="00F547C5" w:rsidRPr="00A259BD" w:rsidRDefault="00F547C5" w:rsidP="009236E3">
      <w:pPr>
        <w:autoSpaceDE w:val="0"/>
        <w:autoSpaceDN w:val="0"/>
        <w:adjustRightInd w:val="0"/>
        <w:spacing w:after="0" w:line="240" w:lineRule="auto"/>
        <w:jc w:val="both"/>
        <w:rPr>
          <w:rFonts w:ascii="Times New Roman" w:hAnsi="Times New Roman"/>
          <w:b/>
          <w:bCs/>
          <w:color w:val="000000" w:themeColor="text1"/>
          <w:sz w:val="16"/>
          <w:szCs w:val="16"/>
        </w:rPr>
      </w:pPr>
      <w:r w:rsidRPr="00A259BD">
        <w:rPr>
          <w:rFonts w:ascii="Times New Roman" w:hAnsi="Times New Roman"/>
          <w:b/>
          <w:bCs/>
          <w:color w:val="000000" w:themeColor="text1"/>
          <w:sz w:val="16"/>
          <w:szCs w:val="16"/>
        </w:rPr>
        <w:t>1929</w:t>
      </w:r>
    </w:p>
    <w:p w14:paraId="366E6307" w14:textId="77777777" w:rsidR="005B753C" w:rsidRPr="00A259BD" w:rsidRDefault="005B753C"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43D9C98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5150C8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38F1B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1929 г. в АУ РККА составили “Номенклатурный перечень авиабомб, необходимый для вооружения ВВС”. Таким образом, впервые заказ отечественной промышленности на разработку и массовое производство бомб для боевой авиации был систематизирован. Как видим, единого стандарта еще нет, но стройность современной системы авиабомб уже начинает просматриваться:</w:t>
      </w:r>
    </w:p>
    <w:p w14:paraId="042A18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Фугасные - 50-, 100-, 250-, 500- и 1000-кг;</w:t>
      </w:r>
    </w:p>
    <w:p w14:paraId="5E0588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Осколочные - 2-, 5-, 10- и 25-кг;</w:t>
      </w:r>
    </w:p>
    <w:p w14:paraId="15629E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Зажигательные - 1-, 10- и 50-кг;</w:t>
      </w:r>
    </w:p>
    <w:p w14:paraId="03685D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Бронебойные - 220-, 500- и 1000-кг (7453).</w:t>
      </w:r>
    </w:p>
    <w:p w14:paraId="55E693D2" w14:textId="46F7F70B"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CD4BEC" w14:textId="7AE6DEC9" w:rsidR="00046B82" w:rsidRPr="00A259BD" w:rsidRDefault="00046B82" w:rsidP="009236E3">
      <w:pPr>
        <w:autoSpaceDE w:val="0"/>
        <w:autoSpaceDN w:val="0"/>
        <w:adjustRightInd w:val="0"/>
        <w:spacing w:after="0" w:line="240" w:lineRule="auto"/>
        <w:jc w:val="both"/>
        <w:rPr>
          <w:rFonts w:ascii="Times New Roman" w:hAnsi="Times New Roman"/>
          <w:i/>
          <w:iCs/>
          <w:color w:val="000000" w:themeColor="text1"/>
          <w:sz w:val="16"/>
          <w:szCs w:val="16"/>
        </w:rPr>
      </w:pPr>
      <w:r w:rsidRPr="00A259BD">
        <w:rPr>
          <w:rFonts w:ascii="Times New Roman" w:hAnsi="Times New Roman"/>
          <w:i/>
          <w:iCs/>
          <w:color w:val="000000" w:themeColor="text1"/>
          <w:sz w:val="16"/>
          <w:szCs w:val="16"/>
        </w:rPr>
        <w:t>Армия:</w:t>
      </w:r>
    </w:p>
    <w:p w14:paraId="3EC80BF8" w14:textId="77777777" w:rsidR="00046B82" w:rsidRPr="00A259BD" w:rsidRDefault="00046B82"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09C1CE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1929 в советском авиапарке 82% самолетов были разведчиками (356,60).</w:t>
      </w:r>
    </w:p>
    <w:p w14:paraId="6B20F3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AA548A" w14:textId="77777777" w:rsidR="00046B82" w:rsidRPr="00A259BD" w:rsidRDefault="00046B82"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07A0BAC" w14:textId="77777777" w:rsidR="00046B82" w:rsidRPr="00A259BD" w:rsidRDefault="00046B8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51EA1A5" w14:textId="77777777" w:rsidR="00046B82" w:rsidRPr="00A259BD" w:rsidRDefault="00046B82" w:rsidP="009236E3">
      <w:pPr>
        <w:widowControl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w:t>
      </w:r>
      <w:smartTag w:uri="urn:schemas-microsoft-com:office:smarttags" w:element="metricconverter">
        <w:smartTagPr>
          <w:attr w:name="ProductID" w:val="1929 г"/>
        </w:smartTagPr>
        <w:r w:rsidRPr="00A259BD">
          <w:rPr>
            <w:rFonts w:ascii="Times New Roman" w:hAnsi="Times New Roman"/>
            <w:color w:val="000000" w:themeColor="text1"/>
            <w:sz w:val="16"/>
            <w:szCs w:val="16"/>
          </w:rPr>
          <w:t>1929 г</w:t>
        </w:r>
      </w:smartTag>
      <w:r w:rsidRPr="00A259BD">
        <w:rPr>
          <w:rFonts w:ascii="Times New Roman" w:hAnsi="Times New Roman"/>
          <w:color w:val="000000" w:themeColor="text1"/>
          <w:sz w:val="16"/>
          <w:szCs w:val="16"/>
        </w:rPr>
        <w:t>. самой распространенной маркой автомобиля в СССР был «Форд», а в целом американские машины составляли треть отечественного автопарка (15218).</w:t>
      </w:r>
    </w:p>
    <w:p w14:paraId="132C20D1" w14:textId="77777777" w:rsidR="00046B82" w:rsidRPr="00A259BD" w:rsidRDefault="00046B82" w:rsidP="009236E3">
      <w:pPr>
        <w:widowControl w:val="0"/>
        <w:spacing w:after="0" w:line="240" w:lineRule="auto"/>
        <w:jc w:val="both"/>
        <w:rPr>
          <w:rFonts w:ascii="Times New Roman" w:hAnsi="Times New Roman"/>
          <w:color w:val="000000" w:themeColor="text1"/>
          <w:sz w:val="16"/>
          <w:szCs w:val="16"/>
        </w:rPr>
      </w:pPr>
    </w:p>
    <w:p w14:paraId="51EB7637" w14:textId="77777777" w:rsidR="00046B82" w:rsidRPr="00A259BD" w:rsidRDefault="00046B82"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123015C" w14:textId="77777777" w:rsidR="00046B82" w:rsidRPr="00A259BD" w:rsidRDefault="00046B8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43AF174" w14:textId="77777777" w:rsidR="00046B82" w:rsidRPr="00A259BD" w:rsidRDefault="00046B82" w:rsidP="009236E3">
      <w:pPr>
        <w:shd w:val="clear" w:color="auto" w:fill="FFFFFF"/>
        <w:spacing w:after="0" w:line="240" w:lineRule="auto"/>
        <w:jc w:val="both"/>
        <w:rPr>
          <w:rFonts w:ascii="Times New Roman" w:eastAsia="Times New Roman" w:hAnsi="Times New Roman"/>
          <w:i/>
          <w:iCs/>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К 1929 году </w:t>
      </w:r>
      <w:r w:rsidRPr="00A259BD">
        <w:rPr>
          <w:rFonts w:ascii="Times New Roman" w:eastAsia="Times New Roman" w:hAnsi="Times New Roman"/>
          <w:color w:val="000000" w:themeColor="text1"/>
          <w:sz w:val="16"/>
          <w:szCs w:val="16"/>
          <w:lang w:val="en-US" w:eastAsia="ru-RU"/>
        </w:rPr>
        <w:t>The</w:t>
      </w:r>
      <w:r w:rsidRPr="00A259BD">
        <w:rPr>
          <w:rFonts w:ascii="Times New Roman" w:eastAsia="Times New Roman" w:hAnsi="Times New Roman"/>
          <w:color w:val="000000" w:themeColor="text1"/>
          <w:sz w:val="16"/>
          <w:szCs w:val="16"/>
          <w:lang w:eastAsia="ru-RU"/>
        </w:rPr>
        <w:t xml:space="preserve"> </w:t>
      </w:r>
      <w:r w:rsidRPr="00A259BD">
        <w:rPr>
          <w:rFonts w:ascii="Times New Roman" w:eastAsia="Times New Roman" w:hAnsi="Times New Roman"/>
          <w:color w:val="000000" w:themeColor="text1"/>
          <w:sz w:val="16"/>
          <w:szCs w:val="16"/>
          <w:lang w:val="en-US" w:eastAsia="ru-RU"/>
        </w:rPr>
        <w:t>Helium</w:t>
      </w:r>
      <w:r w:rsidRPr="00A259BD">
        <w:rPr>
          <w:rFonts w:ascii="Times New Roman" w:eastAsia="Times New Roman" w:hAnsi="Times New Roman"/>
          <w:color w:val="000000" w:themeColor="text1"/>
          <w:sz w:val="16"/>
          <w:szCs w:val="16"/>
          <w:lang w:eastAsia="ru-RU"/>
        </w:rPr>
        <w:t xml:space="preserve"> </w:t>
      </w:r>
      <w:r w:rsidRPr="00A259BD">
        <w:rPr>
          <w:rFonts w:ascii="Times New Roman" w:eastAsia="Times New Roman" w:hAnsi="Times New Roman"/>
          <w:color w:val="000000" w:themeColor="text1"/>
          <w:sz w:val="16"/>
          <w:szCs w:val="16"/>
          <w:lang w:val="en-US" w:eastAsia="ru-RU"/>
        </w:rPr>
        <w:t>Co</w:t>
      </w:r>
      <w:r w:rsidRPr="00A259BD">
        <w:rPr>
          <w:rFonts w:ascii="Times New Roman" w:eastAsia="Times New Roman" w:hAnsi="Times New Roman"/>
          <w:color w:val="000000" w:themeColor="text1"/>
          <w:sz w:val="16"/>
          <w:szCs w:val="16"/>
          <w:lang w:eastAsia="ru-RU"/>
        </w:rPr>
        <w:t xml:space="preserve">. (Луисвилль, штат Кентукки), являющаяся частью крупной корпорации The </w:t>
      </w:r>
      <w:proofErr w:type="spellStart"/>
      <w:r w:rsidRPr="00A259BD">
        <w:rPr>
          <w:rFonts w:ascii="Times New Roman" w:eastAsia="Times New Roman" w:hAnsi="Times New Roman"/>
          <w:color w:val="000000" w:themeColor="text1"/>
          <w:sz w:val="16"/>
          <w:szCs w:val="16"/>
          <w:lang w:eastAsia="ru-RU"/>
        </w:rPr>
        <w:t>Girdler</w:t>
      </w:r>
      <w:proofErr w:type="spellEnd"/>
      <w:r w:rsidRPr="00A259BD">
        <w:rPr>
          <w:rFonts w:ascii="Times New Roman" w:eastAsia="Times New Roman" w:hAnsi="Times New Roman"/>
          <w:color w:val="000000" w:themeColor="text1"/>
          <w:sz w:val="16"/>
          <w:szCs w:val="16"/>
          <w:lang w:eastAsia="ru-RU"/>
        </w:rPr>
        <w:t xml:space="preserve"> Corporation </w:t>
      </w:r>
      <w:proofErr w:type="spellStart"/>
      <w:r w:rsidRPr="00A259BD">
        <w:rPr>
          <w:rFonts w:ascii="Times New Roman" w:eastAsia="Times New Roman" w:hAnsi="Times New Roman"/>
          <w:color w:val="000000" w:themeColor="text1"/>
          <w:sz w:val="16"/>
          <w:szCs w:val="16"/>
          <w:lang w:eastAsia="ru-RU"/>
        </w:rPr>
        <w:t>Incorporated</w:t>
      </w:r>
      <w:proofErr w:type="spellEnd"/>
      <w:r w:rsidRPr="00A259BD">
        <w:rPr>
          <w:rFonts w:ascii="Times New Roman" w:eastAsia="Times New Roman" w:hAnsi="Times New Roman"/>
          <w:color w:val="000000" w:themeColor="text1"/>
          <w:sz w:val="16"/>
          <w:szCs w:val="16"/>
          <w:lang w:eastAsia="ru-RU"/>
        </w:rPr>
        <w:t>, вложив в дело более 200 тыс. долларов, освоила разведку, добычу и выделение гелия в промышленном масштабе – примерно 226,5 тыс. куб. м. В Декстере (штат Канзас) был построен гелиевый завод, который благодаря меньшей себестоимости получаемого гелия смог пробить государственную монополию на гелий. При цене 1,59 –1,77 доллара за 1 куб. м 95</w:t>
      </w:r>
      <w:r w:rsidRPr="00A259BD">
        <w:rPr>
          <w:rFonts w:ascii="Times New Roman" w:eastAsia="Times New Roman" w:hAnsi="Times New Roman"/>
          <w:color w:val="000000" w:themeColor="text1"/>
          <w:sz w:val="16"/>
          <w:szCs w:val="16"/>
          <w:lang w:eastAsia="ru-RU"/>
        </w:rPr>
        <w:noBreakHyphen/>
        <w:t xml:space="preserve">процентного гелия The </w:t>
      </w:r>
      <w:proofErr w:type="spellStart"/>
      <w:r w:rsidRPr="00A259BD">
        <w:rPr>
          <w:rFonts w:ascii="Times New Roman" w:eastAsia="Times New Roman" w:hAnsi="Times New Roman"/>
          <w:color w:val="000000" w:themeColor="text1"/>
          <w:sz w:val="16"/>
          <w:szCs w:val="16"/>
          <w:lang w:eastAsia="ru-RU"/>
        </w:rPr>
        <w:t>Helium</w:t>
      </w:r>
      <w:proofErr w:type="spellEnd"/>
      <w:r w:rsidRPr="00A259BD">
        <w:rPr>
          <w:rFonts w:ascii="Times New Roman" w:eastAsia="Times New Roman" w:hAnsi="Times New Roman"/>
          <w:color w:val="000000" w:themeColor="text1"/>
          <w:sz w:val="16"/>
          <w:szCs w:val="16"/>
          <w:lang w:eastAsia="ru-RU"/>
        </w:rPr>
        <w:t xml:space="preserve"> Co. могла предложить 1 куб. м 98</w:t>
      </w:r>
      <w:r w:rsidRPr="00A259BD">
        <w:rPr>
          <w:rFonts w:ascii="Times New Roman" w:eastAsia="Times New Roman" w:hAnsi="Times New Roman"/>
          <w:color w:val="000000" w:themeColor="text1"/>
          <w:sz w:val="16"/>
          <w:szCs w:val="16"/>
          <w:lang w:eastAsia="ru-RU"/>
        </w:rPr>
        <w:noBreakHyphen/>
        <w:t>процентного гелия за 1,23 доллара (21452).</w:t>
      </w:r>
    </w:p>
    <w:p w14:paraId="544DCEE6" w14:textId="77777777" w:rsidR="00046B82" w:rsidRPr="00A259BD" w:rsidRDefault="00046B82" w:rsidP="009236E3">
      <w:pPr>
        <w:pStyle w:val="article-renderblock"/>
        <w:shd w:val="clear" w:color="auto" w:fill="FFFFFF"/>
        <w:spacing w:before="0" w:beforeAutospacing="0" w:after="0" w:afterAutospacing="0"/>
        <w:jc w:val="both"/>
        <w:rPr>
          <w:color w:val="000000" w:themeColor="text1"/>
          <w:sz w:val="16"/>
          <w:szCs w:val="16"/>
        </w:rPr>
      </w:pPr>
    </w:p>
    <w:p w14:paraId="43EA2C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1929 Р.Л.Б. стал ГИ авиации ЧФ в ранге комбрига (генерала) (2555,10).</w:t>
      </w:r>
    </w:p>
    <w:p w14:paraId="09BB96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C2311A9" w14:textId="77777777" w:rsidR="00E55403" w:rsidRPr="00A259BD" w:rsidRDefault="00E55403"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8694062" w14:textId="77777777" w:rsidR="00E55403" w:rsidRPr="00A259BD" w:rsidRDefault="00E5540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2D2AAF8" w14:textId="77777777" w:rsidR="00E55403" w:rsidRPr="00A259BD" w:rsidRDefault="00E5540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началу 1929 г. новая система артиллерийского вооружения прошла предварительные обсуждения с участием представителей заинтересованных управлений и Комиссии Вооружения. На заседаниях, которые состоялись 20, 21 и 28 февраля 1929 г. под председательством начальника Штаба РККА Б. М. Шапошникова, присутствовали В. Д. </w:t>
      </w:r>
      <w:proofErr w:type="spellStart"/>
      <w:r w:rsidRPr="00A259BD">
        <w:rPr>
          <w:rFonts w:ascii="Times New Roman" w:hAnsi="Times New Roman"/>
          <w:color w:val="000000" w:themeColor="text1"/>
          <w:sz w:val="16"/>
          <w:szCs w:val="16"/>
        </w:rPr>
        <w:t>Грендаль</w:t>
      </w:r>
      <w:proofErr w:type="spellEnd"/>
      <w:r w:rsidRPr="00A259BD">
        <w:rPr>
          <w:rFonts w:ascii="Times New Roman" w:hAnsi="Times New Roman"/>
          <w:color w:val="000000" w:themeColor="text1"/>
          <w:sz w:val="16"/>
          <w:szCs w:val="16"/>
        </w:rPr>
        <w:t xml:space="preserve">, М. Л. </w:t>
      </w:r>
      <w:proofErr w:type="spellStart"/>
      <w:r w:rsidRPr="00A259BD">
        <w:rPr>
          <w:rFonts w:ascii="Times New Roman" w:hAnsi="Times New Roman"/>
          <w:color w:val="000000" w:themeColor="text1"/>
          <w:sz w:val="16"/>
          <w:szCs w:val="16"/>
        </w:rPr>
        <w:t>Фавицкий</w:t>
      </w:r>
      <w:proofErr w:type="spellEnd"/>
      <w:r w:rsidRPr="00A259BD">
        <w:rPr>
          <w:rFonts w:ascii="Times New Roman" w:hAnsi="Times New Roman"/>
          <w:color w:val="000000" w:themeColor="text1"/>
          <w:sz w:val="16"/>
          <w:szCs w:val="16"/>
        </w:rPr>
        <w:t xml:space="preserve">, В. Е. </w:t>
      </w:r>
      <w:proofErr w:type="spellStart"/>
      <w:r w:rsidRPr="00A259BD">
        <w:rPr>
          <w:rFonts w:ascii="Times New Roman" w:hAnsi="Times New Roman"/>
          <w:color w:val="000000" w:themeColor="text1"/>
          <w:sz w:val="16"/>
          <w:szCs w:val="16"/>
        </w:rPr>
        <w:t>Гарф</w:t>
      </w:r>
      <w:proofErr w:type="spellEnd"/>
      <w:r w:rsidRPr="00A259BD">
        <w:rPr>
          <w:rFonts w:ascii="Times New Roman" w:hAnsi="Times New Roman"/>
          <w:color w:val="000000" w:themeColor="text1"/>
          <w:sz w:val="16"/>
          <w:szCs w:val="16"/>
        </w:rPr>
        <w:t xml:space="preserve">, Н. А. Ефимов, В. К. </w:t>
      </w:r>
      <w:proofErr w:type="spellStart"/>
      <w:r w:rsidRPr="00A259BD">
        <w:rPr>
          <w:rFonts w:ascii="Times New Roman" w:hAnsi="Times New Roman"/>
          <w:color w:val="000000" w:themeColor="text1"/>
          <w:sz w:val="16"/>
          <w:szCs w:val="16"/>
        </w:rPr>
        <w:t>Триандафиллов</w:t>
      </w:r>
      <w:proofErr w:type="spellEnd"/>
      <w:r w:rsidRPr="00A259BD">
        <w:rPr>
          <w:rFonts w:ascii="Times New Roman" w:hAnsi="Times New Roman"/>
          <w:color w:val="000000" w:themeColor="text1"/>
          <w:sz w:val="16"/>
          <w:szCs w:val="16"/>
        </w:rPr>
        <w:t xml:space="preserve">, Г. Г. </w:t>
      </w:r>
      <w:proofErr w:type="spellStart"/>
      <w:r w:rsidRPr="00A259BD">
        <w:rPr>
          <w:rFonts w:ascii="Times New Roman" w:hAnsi="Times New Roman"/>
          <w:color w:val="000000" w:themeColor="text1"/>
          <w:sz w:val="16"/>
          <w:szCs w:val="16"/>
        </w:rPr>
        <w:t>Бокис</w:t>
      </w:r>
      <w:proofErr w:type="spellEnd"/>
      <w:r w:rsidRPr="00A259BD">
        <w:rPr>
          <w:rFonts w:ascii="Times New Roman" w:hAnsi="Times New Roman"/>
          <w:color w:val="000000" w:themeColor="text1"/>
          <w:sz w:val="16"/>
          <w:szCs w:val="16"/>
        </w:rPr>
        <w:t xml:space="preserve">, Г. И. Кулик, К. И. Янсон, Н. М. Роговский и др.149 Новая система артиллерийского вооружения была представлена Председателю РВС в совместном докладе начальника Штаба РККА Б. М. Шапошникова и начальника II Управления Штаба РККА Н. А. Ефимова 9 марта 1929 г. Как указывалось в сообщении, предваряющем положения разработанной системы, она учитывала имеющиеся достижения технической мысли в области вооружения, а ее производственно-техническая база основывалась на текущих и прогнозируемых возможностях советской промышленности. Принятие данной системы, по мнению руководства Штаба РККА, предполагало взаимодействие тактики и техники, в котором «задачи последней не слепо следовать заданиям тактики, базирующейся, главным образом, на современных (с некоторым упреждением вперед) достижениях техники, а давать тактике новые и более совершенные технические решения в связи с общей установкой эволюции тактики. С другой стороны, тактика, в связи с вновь появляющимся оружием или изменением технической базы страны, может и должна будет предъявить новые требования к научно-технической и конструкторской мысли, введя этим самым изменения или дополнения в уже существующую систему вооружения».150 Таким образом, утверждение предлагаемой системы должно было послужить стимулирующим фактором для развития научно-исследовательской и опытно-конструкторской деятельности на предприятиях военной промышленности в рамках задач, поставленных военным ведомством. Основой предлагаемой концепции системы артиллерийского вооружения являлась подготовка к новой мировой войне, в которой СССР придется вести боевые действия в условиях круговой блокады на протяжении времени, не меньшем, чем предыдущая мировая война. Поэтому образцы, принятые на вооружение РККА, должны были сочетать в себе простую, удобную для использования в боевых условиях конструкцию с максимальной боевой эффективностью, дешевизну с простотой изготовления (с использованием внутреннего сырья и возможностью </w:t>
      </w:r>
      <w:proofErr w:type="spellStart"/>
      <w:r w:rsidRPr="00A259BD">
        <w:rPr>
          <w:rFonts w:ascii="Times New Roman" w:hAnsi="Times New Roman"/>
          <w:color w:val="000000" w:themeColor="text1"/>
          <w:sz w:val="16"/>
          <w:szCs w:val="16"/>
        </w:rPr>
        <w:t>суррогатирования</w:t>
      </w:r>
      <w:proofErr w:type="spellEnd"/>
      <w:r w:rsidRPr="00A259BD">
        <w:rPr>
          <w:rFonts w:ascii="Times New Roman" w:hAnsi="Times New Roman"/>
          <w:color w:val="000000" w:themeColor="text1"/>
          <w:sz w:val="16"/>
          <w:szCs w:val="16"/>
        </w:rPr>
        <w:t>). Также в данной концепции, при сохранении приоритетности маневренности, учитывалась возможность перехода боевых действий в позиционную форму (особенно учитывая развитие полевой фортификации). Это, в свою очередь, предполагало принятие на вооружение орудий, способных к эффективной борьбе с фортификационными сооружениями, возведенными с применением новых материалов (быстротвердеющий бетон), а также усиления наступательного огня с навесной траекторией в целях предотвращения возникновения позиционных форм в армейских подразделениях всех уровней.151 Цели для всех видов артиллерии были разделены на цели, требующие отлогой траектории полета и требующие навесной траектории (укрытия пехоты, артиллерии и т. д.). Для разрушения каждой группы целей могло применяться механическое, химическое или механическо-химическое воздействие. Разработчиками новой системы артиллерийского вооружения основным видом наступательного огня признавался навесной огонь, в связи с чем предлагалось внести изменения в соотношения орудий настильного (пушек) и навесного огня (гаубиц и мортир (минометов)), с увеличением числа последних - 1: 2-3. Кроме этого, предлагалась новая классификация артиллерийских орудий (на основе мощности фугасного действия снаряда, зависящей от калибра): артиллерия малой мощности — до 100 мм, артиллерия средней мощности — до 150 мм, артиллерия большой мощности — до 300 мм, сверхмощная — свыше 300 мм. Каждая из этих групп должна была включать в себя пушку, гаубицу и мортиру (миномет). Новая система вооружения предполагала наличие батальонной (калибр - 76 мм), полковой (калибр - 122 мм), дивизионной (калибр - 152 мм), корпусной мортиры (миномета) (калибр - 203 мм) и сверхмощную мортиру АРГК (калибр – 305 мм).152 (20074).</w:t>
      </w:r>
    </w:p>
    <w:p w14:paraId="06F5C004" w14:textId="77777777" w:rsidR="00E55403" w:rsidRPr="00A259BD" w:rsidRDefault="00E55403" w:rsidP="009236E3">
      <w:pPr>
        <w:spacing w:after="0" w:line="240" w:lineRule="auto"/>
        <w:jc w:val="both"/>
        <w:rPr>
          <w:rFonts w:ascii="Times New Roman" w:hAnsi="Times New Roman"/>
          <w:color w:val="000000" w:themeColor="text1"/>
          <w:sz w:val="16"/>
          <w:szCs w:val="16"/>
        </w:rPr>
      </w:pPr>
    </w:p>
    <w:p w14:paraId="1CD41DB7" w14:textId="77777777" w:rsidR="00E55403" w:rsidRPr="00A259BD" w:rsidRDefault="00E55403" w:rsidP="009236E3">
      <w:pPr>
        <w:shd w:val="clear" w:color="auto" w:fill="FFFFFF"/>
        <w:spacing w:after="0" w:line="240" w:lineRule="auto"/>
        <w:jc w:val="both"/>
        <w:textAlignment w:val="baseline"/>
        <w:rPr>
          <w:rFonts w:ascii="Times New Roman" w:hAnsi="Times New Roman"/>
          <w:color w:val="000000" w:themeColor="text1"/>
          <w:sz w:val="16"/>
          <w:szCs w:val="16"/>
          <w:bdr w:val="none" w:sz="0" w:space="0" w:color="auto" w:frame="1"/>
        </w:rPr>
      </w:pPr>
      <w:r w:rsidRPr="00A259BD">
        <w:rPr>
          <w:rFonts w:ascii="Times New Roman" w:hAnsi="Times New Roman"/>
          <w:color w:val="000000" w:themeColor="text1"/>
          <w:sz w:val="16"/>
          <w:szCs w:val="16"/>
          <w:bdr w:val="none" w:sz="0" w:space="0" w:color="auto" w:frame="1"/>
        </w:rPr>
        <w:t>К началу 1929 г. первые серийные </w:t>
      </w:r>
      <w:hyperlink r:id="rId6"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и сопровождения поступили в войска и даже прошли Большие Бобруйские маневры, в ходе которых как-то сумели себя показать обнаружив множественные мелкие поломки материальной части (трансмиссия, ходовая часть и т.д.). Но по оценкам отечественных разведчиков и военных теоретиков, изложенным в книге «Будущая война», получалось, что для противодействия враждебному миру даже полная реализация трехлетней программы </w:t>
      </w:r>
      <w:hyperlink r:id="rId7"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остроения была недостаточной, и не только в количественном отношении (21513).</w:t>
      </w:r>
    </w:p>
    <w:p w14:paraId="1084BB2B" w14:textId="77777777" w:rsidR="00E55403" w:rsidRPr="00A259BD" w:rsidRDefault="00E55403" w:rsidP="009236E3">
      <w:pPr>
        <w:shd w:val="clear" w:color="auto" w:fill="FFFFFF"/>
        <w:spacing w:after="0" w:line="240" w:lineRule="auto"/>
        <w:jc w:val="both"/>
        <w:textAlignment w:val="baseline"/>
        <w:rPr>
          <w:rFonts w:ascii="Times New Roman" w:hAnsi="Times New Roman"/>
          <w:color w:val="000000" w:themeColor="text1"/>
          <w:sz w:val="16"/>
          <w:szCs w:val="16"/>
        </w:rPr>
      </w:pPr>
    </w:p>
    <w:p w14:paraId="7C9158C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F08690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3BE45A" w14:textId="77777777" w:rsidR="00046B82" w:rsidRPr="00A259BD" w:rsidRDefault="00046B82"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январю 1929 г. на ленинградском заводе Большевик успели изготовить наполовину мотор «Большевик I» мощностью 600—700 л.с. (степень сжатия 6,5, вес 490 кг), после чего финансирование прекратили. Второй двигатель, «Большевик II» в 450-500 л.с., проектировался в апреле — июне 1928 г., но до стадии опытного образца он не дошел. По другим документам, создавали три варианта: АМБ-500, АМБ-600 и АМБ-700, мощностью соответственно 500 л.с., 600 л.с. и 700 л.с. Изго</w:t>
      </w:r>
      <w:r w:rsidRPr="00A259BD">
        <w:rPr>
          <w:rFonts w:ascii="Times New Roman" w:hAnsi="Times New Roman"/>
          <w:color w:val="000000" w:themeColor="text1"/>
          <w:sz w:val="16"/>
          <w:szCs w:val="16"/>
        </w:rPr>
        <w:softHyphen/>
        <w:t>товлялся только последний тип. Интересно, что якобы предусматривалось как водяное, так и воздушное охлаждение цилиндров (11852).</w:t>
      </w:r>
    </w:p>
    <w:p w14:paraId="03B43062" w14:textId="77777777" w:rsidR="00046B82" w:rsidRPr="00A259BD" w:rsidRDefault="00046B82"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B2AA3B" w14:textId="77777777" w:rsidR="00F547C5" w:rsidRPr="00A259BD" w:rsidRDefault="00F547C5" w:rsidP="009236E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январю 1929 ЦВХП (Шиханы) имел в составе 4 лаборатории, два вивария, ангары для спецмашин, дегазационную камеру, водопровод, гараж, 5 бараков для жилья. Имел 4 территории (Шиханы 1-4). Немецкие специалисты жили в Томке. До 1933 нач. - </w:t>
      </w:r>
      <w:proofErr w:type="spellStart"/>
      <w:r w:rsidRPr="00A259BD">
        <w:rPr>
          <w:rFonts w:ascii="Times New Roman" w:hAnsi="Times New Roman"/>
          <w:color w:val="000000" w:themeColor="text1"/>
          <w:sz w:val="16"/>
          <w:szCs w:val="16"/>
        </w:rPr>
        <w:t>Н.С.Губанов</w:t>
      </w:r>
      <w:proofErr w:type="spellEnd"/>
      <w:r w:rsidRPr="00A259BD">
        <w:rPr>
          <w:rFonts w:ascii="Times New Roman" w:hAnsi="Times New Roman"/>
          <w:color w:val="000000" w:themeColor="text1"/>
          <w:sz w:val="16"/>
          <w:szCs w:val="16"/>
        </w:rPr>
        <w:t>. При подготовке отчетов советскую часть именовали АО по борьбе с вредителями и применению искусственных удобрений (М), а немецкое АО по использованию сырья (В) - Томки (6121).</w:t>
      </w:r>
    </w:p>
    <w:p w14:paraId="51396E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1930х - ЦВХП - войсковой (6121)</w:t>
      </w:r>
    </w:p>
    <w:p w14:paraId="23449EE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A909C46" w14:textId="77777777" w:rsidR="00F547C5" w:rsidRPr="00A259BD" w:rsidRDefault="00F547C5" w:rsidP="009236E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январю 1929 ЦВХП (Шиханы) имел в составе 4 лаборатории, два вивария, ангары для спецмашин, дегазационную камеру, водопровод, гараж, 5 бараков для жилья. Имел 4 территории (Шиханы 1-4). Немецкие специалисты жили в Томке. До 1933 нач. - </w:t>
      </w:r>
      <w:proofErr w:type="spellStart"/>
      <w:r w:rsidRPr="00A259BD">
        <w:rPr>
          <w:rFonts w:ascii="Times New Roman" w:hAnsi="Times New Roman"/>
          <w:color w:val="000000" w:themeColor="text1"/>
          <w:sz w:val="16"/>
          <w:szCs w:val="16"/>
        </w:rPr>
        <w:t>Н.С.Губанов</w:t>
      </w:r>
      <w:proofErr w:type="spellEnd"/>
      <w:r w:rsidRPr="00A259BD">
        <w:rPr>
          <w:rFonts w:ascii="Times New Roman" w:hAnsi="Times New Roman"/>
          <w:color w:val="000000" w:themeColor="text1"/>
          <w:sz w:val="16"/>
          <w:szCs w:val="16"/>
        </w:rPr>
        <w:t>. При подготовке отчетов советскую часть именовали АО по борьбе с вредителями и применению искусственных удобрений (М), а немецкое АО по использованию сырья (В) (6121).</w:t>
      </w:r>
    </w:p>
    <w:p w14:paraId="38C7DE2E" w14:textId="77777777" w:rsidR="00F547C5" w:rsidRPr="00A259BD" w:rsidRDefault="00F547C5" w:rsidP="009236E3">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A35FC1" w14:textId="77777777" w:rsidR="004E04DB" w:rsidRPr="00A259BD" w:rsidRDefault="004E04DB"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49D4F2C" w14:textId="77777777" w:rsidR="004E04DB" w:rsidRPr="00A259BD" w:rsidRDefault="004E04D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1F31F94" w14:textId="77777777" w:rsidR="004E04DB" w:rsidRPr="00A259BD" w:rsidRDefault="004E04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январю 1929 года, по словам Микояна, было сделано все возможное для насыщения хлебопроизводящих районов промтоварами «при полном оголении, правда на короткий срок, основных промышленных центров». Пытаясь стимулировать сдачу зерна, правительство вновь принялось выкачивать избыточную денежную массу </w:t>
      </w:r>
      <w:r w:rsidRPr="00A259BD">
        <w:rPr>
          <w:rFonts w:ascii="Times New Roman" w:hAnsi="Times New Roman"/>
          <w:color w:val="000000" w:themeColor="text1"/>
          <w:sz w:val="16"/>
          <w:szCs w:val="16"/>
        </w:rPr>
        <w:lastRenderedPageBreak/>
        <w:t>из деревни, взимая недоимки, распространяя займы, повышая размеры самообложения. Но как и в прошлом году чуда не произошло, экономические меры не давали быстрого результата, а ждать сталинское руководство не хотело. В ход пошли массовые репрессии против частных заготовителей, скупщиков, торговцев. В результате арестов и конфискаций доля частной патентованной торговли в товарообороте страны сократилась до 14 % (18416).</w:t>
      </w:r>
    </w:p>
    <w:p w14:paraId="270F4D61" w14:textId="77777777" w:rsidR="004E04DB" w:rsidRPr="00A259BD" w:rsidRDefault="004E04DB" w:rsidP="009236E3">
      <w:pPr>
        <w:spacing w:after="0" w:line="240" w:lineRule="auto"/>
        <w:jc w:val="both"/>
        <w:rPr>
          <w:rFonts w:ascii="Times New Roman" w:hAnsi="Times New Roman"/>
          <w:color w:val="000000" w:themeColor="text1"/>
          <w:sz w:val="16"/>
          <w:szCs w:val="16"/>
        </w:rPr>
      </w:pPr>
    </w:p>
    <w:p w14:paraId="487265E9" w14:textId="77777777" w:rsidR="004E04DB" w:rsidRPr="00A259BD" w:rsidRDefault="004E04DB"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7BC70FC" w14:textId="77777777" w:rsidR="004E04DB" w:rsidRPr="00A259BD" w:rsidRDefault="004E04D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476F7A" w14:textId="77777777" w:rsidR="004E04DB" w:rsidRPr="00A259BD" w:rsidRDefault="004E04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января 1929 г. в Кузьминках и на Томке были испытаны: цистерна для заражения местности, носимый прибор для заражения «Минимакс» и «Наг», прибор для выливания ОВ с воздуха, образцы дистанционных химических бомб, установка для наливки иприта, химические фугасы, рвущиеся в воздухе, приборы для дегазации, защитные костюмы-противогазы, приборы для электролитического определения иприта, средства лечения и профилактики ипритных поражений». Берзин рекомендовал продолжать опыты, обусловив при этом в договоре с немцами «возможность отказа от дальнейших опытов тогда, когда мы сочтем это необходимым» (18265).</w:t>
      </w:r>
    </w:p>
    <w:p w14:paraId="268C85CC" w14:textId="77777777" w:rsidR="004E04DB" w:rsidRPr="00A259BD" w:rsidRDefault="004E04DB" w:rsidP="009236E3">
      <w:pPr>
        <w:spacing w:after="0" w:line="240" w:lineRule="auto"/>
        <w:jc w:val="both"/>
        <w:rPr>
          <w:rFonts w:ascii="Times New Roman" w:hAnsi="Times New Roman"/>
          <w:color w:val="000000" w:themeColor="text1"/>
          <w:sz w:val="16"/>
          <w:szCs w:val="16"/>
        </w:rPr>
      </w:pPr>
    </w:p>
    <w:p w14:paraId="77F59ADA" w14:textId="77777777" w:rsidR="00154248"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442A2CB" w14:textId="77777777" w:rsidR="00154248" w:rsidRPr="00A259BD" w:rsidRDefault="0015424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B6C1A7E" w14:textId="77777777" w:rsidR="00154248" w:rsidRPr="00A259BD" w:rsidRDefault="00154248"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 января 1929 г. по 1 октября 1933 г. В области оборонной промышленности в период планировалось увеличение производства самолетов в 2,7 раза, танков — в 15 раз, боеприпасов — в 2,7 раза, ручного огнестрельного оружия — в 2,5–3 раза, автомобильного транспорта — в 4–5 раз. Утвержденный в июле 1929 г. мобилизационный план «С-30» требовал, не снижая темпов подачи предметов вооружения и боевой техники для выполнения текущих заказов, создания дополнительных производственных мощностей по всем отраслям промышленности, обеспечивающих военно-промышленные производства сырьем и материалами. Однако проверка, проведенная военным ведомством, показала, что план «С-30», рассчитанный на введение в действие в период до 1 июля 1930 г., уже в конце 1929 г. оказался «устарелым, минимальным, не удовлетворяющим нужд обороны» и, более того, «безусловно, нереальным»</w:t>
      </w:r>
      <w:r w:rsidR="00E735F0" w:rsidRPr="00A259BD">
        <w:rPr>
          <w:rFonts w:ascii="Times New Roman" w:hAnsi="Times New Roman"/>
          <w:color w:val="000000" w:themeColor="text1"/>
          <w:sz w:val="16"/>
          <w:szCs w:val="16"/>
        </w:rPr>
        <w:t xml:space="preserve"> (17234)</w:t>
      </w:r>
      <w:r w:rsidRPr="00A259BD">
        <w:rPr>
          <w:rFonts w:ascii="Times New Roman" w:hAnsi="Times New Roman"/>
          <w:color w:val="000000" w:themeColor="text1"/>
          <w:sz w:val="16"/>
          <w:szCs w:val="16"/>
        </w:rPr>
        <w:t>.</w:t>
      </w:r>
    </w:p>
    <w:p w14:paraId="6D4117F5" w14:textId="77777777" w:rsidR="00154248" w:rsidRPr="00A259BD" w:rsidRDefault="00154248" w:rsidP="009236E3">
      <w:pPr>
        <w:autoSpaceDE w:val="0"/>
        <w:autoSpaceDN w:val="0"/>
        <w:adjustRightInd w:val="0"/>
        <w:spacing w:after="0" w:line="240" w:lineRule="auto"/>
        <w:jc w:val="both"/>
        <w:rPr>
          <w:rFonts w:ascii="Times New Roman" w:hAnsi="Times New Roman"/>
          <w:color w:val="000000" w:themeColor="text1"/>
          <w:sz w:val="16"/>
          <w:szCs w:val="16"/>
        </w:rPr>
      </w:pPr>
    </w:p>
    <w:p w14:paraId="306AE4F3" w14:textId="77777777" w:rsidR="00581228" w:rsidRPr="00A259BD" w:rsidRDefault="005812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1 января 1929 года работы по Т-17 шли, но очень медленно, например, закончить клепку корпуса предполагалась только в марте. По факту же машину собрали уже летом 1929 года. При этом на испытаниях очень быстро выявилась масса проблем, прежде всего связанных с концепцией одноместной боевой машины. С подвижностью у Т-17 также наблюдалась беда. Самое главное, что уже летом 1929 года Т-17 в принципе не пролезала в новые тактико-технические требования. Подвижность танкетки предполагалась в 2 раза выше, причем явно смотрели на колесно-гусеничные танкетки </w:t>
      </w:r>
      <w:proofErr w:type="spellStart"/>
      <w:r w:rsidRPr="00A259BD">
        <w:rPr>
          <w:rFonts w:ascii="Times New Roman" w:hAnsi="Times New Roman"/>
          <w:color w:val="000000" w:themeColor="text1"/>
          <w:sz w:val="16"/>
          <w:szCs w:val="16"/>
        </w:rPr>
        <w:t>Carden-Loyd</w:t>
      </w:r>
      <w:proofErr w:type="spellEnd"/>
      <w:r w:rsidRPr="00A259BD">
        <w:rPr>
          <w:rFonts w:ascii="Times New Roman" w:hAnsi="Times New Roman"/>
          <w:color w:val="000000" w:themeColor="text1"/>
          <w:sz w:val="16"/>
          <w:szCs w:val="16"/>
        </w:rPr>
        <w:t>. Это, впрочем, не помешало еще некоторое время тему Т-17 двигать дальше (22298).</w:t>
      </w:r>
    </w:p>
    <w:p w14:paraId="0FDE0CBB" w14:textId="77777777" w:rsidR="00581228" w:rsidRPr="00A259BD" w:rsidRDefault="00581228" w:rsidP="009236E3">
      <w:pPr>
        <w:spacing w:after="0" w:line="240" w:lineRule="auto"/>
        <w:jc w:val="both"/>
        <w:rPr>
          <w:rFonts w:ascii="Times New Roman" w:hAnsi="Times New Roman"/>
          <w:color w:val="000000" w:themeColor="text1"/>
          <w:sz w:val="16"/>
          <w:szCs w:val="16"/>
        </w:rPr>
      </w:pPr>
    </w:p>
    <w:p w14:paraId="7540F7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января 1929 г. П.В. Можарова назначили руководителем </w:t>
      </w:r>
      <w:proofErr w:type="spellStart"/>
      <w:r w:rsidRPr="00A259BD">
        <w:rPr>
          <w:rFonts w:ascii="Times New Roman" w:hAnsi="Times New Roman"/>
          <w:color w:val="000000" w:themeColor="text1"/>
          <w:sz w:val="16"/>
          <w:szCs w:val="16"/>
        </w:rPr>
        <w:t>мо</w:t>
      </w:r>
      <w:r w:rsidRPr="00A259BD">
        <w:rPr>
          <w:rFonts w:ascii="Times New Roman" w:hAnsi="Times New Roman"/>
          <w:color w:val="000000" w:themeColor="text1"/>
          <w:sz w:val="16"/>
          <w:szCs w:val="16"/>
        </w:rPr>
        <w:softHyphen/>
        <w:t>тосекции</w:t>
      </w:r>
      <w:proofErr w:type="spellEnd"/>
      <w:r w:rsidRPr="00A259BD">
        <w:rPr>
          <w:rFonts w:ascii="Times New Roman" w:hAnsi="Times New Roman"/>
          <w:color w:val="000000" w:themeColor="text1"/>
          <w:sz w:val="16"/>
          <w:szCs w:val="16"/>
        </w:rPr>
        <w:t xml:space="preserve">, в штате которой тогда числилось 9 инженеров (В.И. Владимиров, А.А. </w:t>
      </w:r>
      <w:proofErr w:type="spellStart"/>
      <w:r w:rsidRPr="00A259BD">
        <w:rPr>
          <w:rFonts w:ascii="Times New Roman" w:hAnsi="Times New Roman"/>
          <w:color w:val="000000" w:themeColor="text1"/>
          <w:sz w:val="16"/>
          <w:szCs w:val="16"/>
        </w:rPr>
        <w:t>Гросман</w:t>
      </w:r>
      <w:proofErr w:type="spellEnd"/>
      <w:r w:rsidRPr="00A259BD">
        <w:rPr>
          <w:rFonts w:ascii="Times New Roman" w:hAnsi="Times New Roman"/>
          <w:color w:val="000000" w:themeColor="text1"/>
          <w:sz w:val="16"/>
          <w:szCs w:val="16"/>
        </w:rPr>
        <w:t xml:space="preserve">, А.М. Лутц, С.Н. Семашко и др.) и 20 рабочих (Д.И. </w:t>
      </w:r>
      <w:proofErr w:type="spellStart"/>
      <w:r w:rsidRPr="00A259BD">
        <w:rPr>
          <w:rFonts w:ascii="Times New Roman" w:hAnsi="Times New Roman"/>
          <w:color w:val="000000" w:themeColor="text1"/>
          <w:sz w:val="16"/>
          <w:szCs w:val="16"/>
        </w:rPr>
        <w:t>Зебзиев</w:t>
      </w:r>
      <w:proofErr w:type="spellEnd"/>
      <w:r w:rsidRPr="00A259BD">
        <w:rPr>
          <w:rFonts w:ascii="Times New Roman" w:hAnsi="Times New Roman"/>
          <w:color w:val="000000" w:themeColor="text1"/>
          <w:sz w:val="16"/>
          <w:szCs w:val="16"/>
        </w:rPr>
        <w:t>, И.Е. Шадрин, П. Щукин и др.) [3.61]. Уже 11 января отправили ответ на критику ИЖ-1. в котором предлагали завершить изготовление мотоцикла ИЖ-1 в спроек</w:t>
      </w:r>
      <w:r w:rsidRPr="00A259BD">
        <w:rPr>
          <w:rFonts w:ascii="Times New Roman" w:hAnsi="Times New Roman"/>
          <w:color w:val="000000" w:themeColor="text1"/>
          <w:sz w:val="16"/>
          <w:szCs w:val="16"/>
        </w:rPr>
        <w:softHyphen/>
        <w:t>тированном виде, провести его испытания и лишь после этого продолжить доработку конструкции [3.62].</w:t>
      </w:r>
    </w:p>
    <w:p w14:paraId="5853BBD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первом квартале 1929 г. в </w:t>
      </w:r>
      <w:proofErr w:type="spellStart"/>
      <w:r w:rsidRPr="00A259BD">
        <w:rPr>
          <w:rFonts w:ascii="Times New Roman" w:hAnsi="Times New Roman"/>
          <w:color w:val="000000" w:themeColor="text1"/>
          <w:sz w:val="16"/>
          <w:szCs w:val="16"/>
        </w:rPr>
        <w:t>мотосекции</w:t>
      </w:r>
      <w:proofErr w:type="spellEnd"/>
      <w:r w:rsidRPr="00A259BD">
        <w:rPr>
          <w:rFonts w:ascii="Times New Roman" w:hAnsi="Times New Roman"/>
          <w:color w:val="000000" w:themeColor="text1"/>
          <w:sz w:val="16"/>
          <w:szCs w:val="16"/>
        </w:rPr>
        <w:t xml:space="preserve"> одновременно с изго</w:t>
      </w:r>
      <w:r w:rsidRPr="00A259BD">
        <w:rPr>
          <w:rFonts w:ascii="Times New Roman" w:hAnsi="Times New Roman"/>
          <w:color w:val="000000" w:themeColor="text1"/>
          <w:sz w:val="16"/>
          <w:szCs w:val="16"/>
        </w:rPr>
        <w:softHyphen/>
        <w:t>товлением трёх тяжёлых моделей проектировали лёгкий мото</w:t>
      </w:r>
      <w:r w:rsidRPr="00A259BD">
        <w:rPr>
          <w:rFonts w:ascii="Times New Roman" w:hAnsi="Times New Roman"/>
          <w:color w:val="000000" w:themeColor="text1"/>
          <w:sz w:val="16"/>
          <w:szCs w:val="16"/>
        </w:rPr>
        <w:softHyphen/>
        <w:t>цикл, обозначенный ИЖ-4. Предполагалось, что это будет ком</w:t>
      </w:r>
      <w:r w:rsidRPr="00A259BD">
        <w:rPr>
          <w:rFonts w:ascii="Times New Roman" w:hAnsi="Times New Roman"/>
          <w:color w:val="000000" w:themeColor="text1"/>
          <w:sz w:val="16"/>
          <w:szCs w:val="16"/>
        </w:rPr>
        <w:softHyphen/>
        <w:t>бинация агрегатов иностранных фирм и узлов собственного изго</w:t>
      </w:r>
      <w:r w:rsidRPr="00A259BD">
        <w:rPr>
          <w:rFonts w:ascii="Times New Roman" w:hAnsi="Times New Roman"/>
          <w:color w:val="000000" w:themeColor="text1"/>
          <w:sz w:val="16"/>
          <w:szCs w:val="16"/>
        </w:rPr>
        <w:softHyphen/>
        <w:t>товления. На примере машины ИЖ-4 задумали показать вариант конструкции отечественного лёгкого мотоцикла. Прообразом разработки стал популярный в Германии “народный” мотоцикл фирмы “</w:t>
      </w:r>
      <w:proofErr w:type="spellStart"/>
      <w:r w:rsidRPr="00A259BD">
        <w:rPr>
          <w:rFonts w:ascii="Times New Roman" w:hAnsi="Times New Roman"/>
          <w:color w:val="000000" w:themeColor="text1"/>
          <w:sz w:val="16"/>
          <w:szCs w:val="16"/>
        </w:rPr>
        <w:t>Зшск</w:t>
      </w:r>
      <w:proofErr w:type="spellEnd"/>
      <w:r w:rsidRPr="00A259BD">
        <w:rPr>
          <w:rFonts w:ascii="Times New Roman" w:hAnsi="Times New Roman"/>
          <w:color w:val="000000" w:themeColor="text1"/>
          <w:sz w:val="16"/>
          <w:szCs w:val="16"/>
        </w:rPr>
        <w:t>” с рабочим объёмом двигателя 200 см</w:t>
      </w:r>
      <w:r w:rsidRPr="00A259BD">
        <w:rPr>
          <w:rFonts w:ascii="Times New Roman" w:hAnsi="Times New Roman"/>
          <w:color w:val="000000" w:themeColor="text1"/>
          <w:sz w:val="16"/>
          <w:szCs w:val="16"/>
          <w:vertAlign w:val="superscript"/>
        </w:rPr>
        <w:t>3</w:t>
      </w:r>
      <w:r w:rsidRPr="00A259BD">
        <w:rPr>
          <w:rFonts w:ascii="Times New Roman" w:hAnsi="Times New Roman"/>
          <w:color w:val="000000" w:themeColor="text1"/>
          <w:sz w:val="16"/>
          <w:szCs w:val="16"/>
        </w:rPr>
        <w:t>. Эту модель, как и спроектированные тяжёлые мотоциклы, П.В. Мо-жаров решил сделать со штампованной сварной рамой, встроен</w:t>
      </w:r>
      <w:r w:rsidRPr="00A259BD">
        <w:rPr>
          <w:rFonts w:ascii="Times New Roman" w:hAnsi="Times New Roman"/>
          <w:color w:val="000000" w:themeColor="text1"/>
          <w:sz w:val="16"/>
          <w:szCs w:val="16"/>
        </w:rPr>
        <w:softHyphen/>
        <w:t>ными в неё глушителями, подобной установленной на ИЖ-3 параллелограммной передней вилкой, и силовым агрегатом, при</w:t>
      </w:r>
      <w:r w:rsidRPr="00A259BD">
        <w:rPr>
          <w:rFonts w:ascii="Times New Roman" w:hAnsi="Times New Roman"/>
          <w:color w:val="000000" w:themeColor="text1"/>
          <w:sz w:val="16"/>
          <w:szCs w:val="16"/>
        </w:rPr>
        <w:softHyphen/>
        <w:t>мененным на мотоцикле фирмы “Stock”.</w:t>
      </w:r>
    </w:p>
    <w:p w14:paraId="1F591D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w:t>
      </w:r>
      <w:proofErr w:type="spellStart"/>
      <w:r w:rsidRPr="00A259BD">
        <w:rPr>
          <w:rFonts w:ascii="Times New Roman" w:hAnsi="Times New Roman"/>
          <w:color w:val="000000" w:themeColor="text1"/>
          <w:sz w:val="16"/>
          <w:szCs w:val="16"/>
        </w:rPr>
        <w:t>АВТОДОРе</w:t>
      </w:r>
      <w:proofErr w:type="spellEnd"/>
      <w:r w:rsidRPr="00A259BD">
        <w:rPr>
          <w:rFonts w:ascii="Times New Roman" w:hAnsi="Times New Roman"/>
          <w:color w:val="000000" w:themeColor="text1"/>
          <w:sz w:val="16"/>
          <w:szCs w:val="16"/>
        </w:rPr>
        <w:t xml:space="preserve"> внимательно следили за проектированием и изготовлением мотоциклов на </w:t>
      </w:r>
      <w:proofErr w:type="spellStart"/>
      <w:r w:rsidRPr="00A259BD">
        <w:rPr>
          <w:rFonts w:ascii="Times New Roman" w:hAnsi="Times New Roman"/>
          <w:color w:val="000000" w:themeColor="text1"/>
          <w:sz w:val="16"/>
          <w:szCs w:val="16"/>
        </w:rPr>
        <w:t>ИОЗе</w:t>
      </w:r>
      <w:proofErr w:type="spellEnd"/>
      <w:r w:rsidRPr="00A259BD">
        <w:rPr>
          <w:rFonts w:ascii="Times New Roman" w:hAnsi="Times New Roman"/>
          <w:color w:val="000000" w:themeColor="text1"/>
          <w:sz w:val="16"/>
          <w:szCs w:val="16"/>
        </w:rPr>
        <w:t xml:space="preserve">. Среди людей, считавших себя специалистами по мотоциклам, были и такие, кто излишне критически относился к техническим решениям, принимаемым в </w:t>
      </w:r>
      <w:proofErr w:type="spellStart"/>
      <w:r w:rsidRPr="00A259BD">
        <w:rPr>
          <w:rFonts w:ascii="Times New Roman" w:hAnsi="Times New Roman"/>
          <w:color w:val="000000" w:themeColor="text1"/>
          <w:sz w:val="16"/>
          <w:szCs w:val="16"/>
        </w:rPr>
        <w:t>мотосекции</w:t>
      </w:r>
      <w:proofErr w:type="spellEnd"/>
      <w:r w:rsidRPr="00A259BD">
        <w:rPr>
          <w:rFonts w:ascii="Times New Roman" w:hAnsi="Times New Roman"/>
          <w:color w:val="000000" w:themeColor="text1"/>
          <w:sz w:val="16"/>
          <w:szCs w:val="16"/>
        </w:rPr>
        <w:t xml:space="preserve"> Ижевска. Влиять на конструкторов </w:t>
      </w:r>
      <w:proofErr w:type="spellStart"/>
      <w:r w:rsidRPr="00A259BD">
        <w:rPr>
          <w:rFonts w:ascii="Times New Roman" w:hAnsi="Times New Roman"/>
          <w:color w:val="000000" w:themeColor="text1"/>
          <w:sz w:val="16"/>
          <w:szCs w:val="16"/>
        </w:rPr>
        <w:t>ИОЗа</w:t>
      </w:r>
      <w:proofErr w:type="spellEnd"/>
      <w:r w:rsidRPr="00A259BD">
        <w:rPr>
          <w:rFonts w:ascii="Times New Roman" w:hAnsi="Times New Roman"/>
          <w:color w:val="000000" w:themeColor="text1"/>
          <w:sz w:val="16"/>
          <w:szCs w:val="16"/>
        </w:rPr>
        <w:t xml:space="preserve"> представ</w:t>
      </w:r>
      <w:r w:rsidRPr="00A259BD">
        <w:rPr>
          <w:rFonts w:ascii="Times New Roman" w:hAnsi="Times New Roman"/>
          <w:color w:val="000000" w:themeColor="text1"/>
          <w:sz w:val="16"/>
          <w:szCs w:val="16"/>
        </w:rPr>
        <w:softHyphen/>
        <w:t>лялось удобнее от имени общественного органа. Его создали и назвали “Комитет содействия советскому производству мотоцик</w:t>
      </w:r>
      <w:r w:rsidRPr="00A259BD">
        <w:rPr>
          <w:rFonts w:ascii="Times New Roman" w:hAnsi="Times New Roman"/>
          <w:color w:val="000000" w:themeColor="text1"/>
          <w:sz w:val="16"/>
          <w:szCs w:val="16"/>
        </w:rPr>
        <w:softHyphen/>
        <w:t>лов” [3.63]. Этот орган опубликовал разработанные в нём основ</w:t>
      </w:r>
      <w:r w:rsidRPr="00A259BD">
        <w:rPr>
          <w:rFonts w:ascii="Times New Roman" w:hAnsi="Times New Roman"/>
          <w:color w:val="000000" w:themeColor="text1"/>
          <w:sz w:val="16"/>
          <w:szCs w:val="16"/>
        </w:rPr>
        <w:softHyphen/>
        <w:t>ные требования к создаваемым отечественным тяжёлым мотоци</w:t>
      </w:r>
      <w:r w:rsidRPr="00A259BD">
        <w:rPr>
          <w:rFonts w:ascii="Times New Roman" w:hAnsi="Times New Roman"/>
          <w:color w:val="000000" w:themeColor="text1"/>
          <w:sz w:val="16"/>
          <w:szCs w:val="16"/>
        </w:rPr>
        <w:softHyphen/>
        <w:t>клам [3.64]. Из семи основных показателей мотоциклов, заявлен</w:t>
      </w:r>
      <w:r w:rsidRPr="00A259BD">
        <w:rPr>
          <w:rFonts w:ascii="Times New Roman" w:hAnsi="Times New Roman"/>
          <w:color w:val="000000" w:themeColor="text1"/>
          <w:sz w:val="16"/>
          <w:szCs w:val="16"/>
        </w:rPr>
        <w:softHyphen/>
        <w:t>ных “Комитетом”, четыре оказались неудачными:</w:t>
      </w:r>
    </w:p>
    <w:p w14:paraId="38BADEF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КП должна быть в отдельном от двигателя картере;</w:t>
      </w:r>
    </w:p>
    <w:p w14:paraId="7409AD7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передача на заднее колесо - только цепная (не предполага</w:t>
      </w:r>
      <w:r w:rsidRPr="00A259BD">
        <w:rPr>
          <w:rFonts w:ascii="Times New Roman" w:hAnsi="Times New Roman"/>
          <w:color w:val="000000" w:themeColor="text1"/>
          <w:sz w:val="16"/>
          <w:szCs w:val="16"/>
        </w:rPr>
        <w:softHyphen/>
        <w:t>лась даже её защита от пыли и грязи);</w:t>
      </w:r>
    </w:p>
    <w:p w14:paraId="3251478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рама - только трубчатая, но не штампованная;</w:t>
      </w:r>
    </w:p>
    <w:p w14:paraId="733141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тормоза требовали монтировать на раме, а не на цапфе колеса.</w:t>
      </w:r>
    </w:p>
    <w:p w14:paraId="43BB43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Эти несовременные рекомендации не оказали на зарождав</w:t>
      </w:r>
      <w:r w:rsidRPr="00A259BD">
        <w:rPr>
          <w:rFonts w:ascii="Times New Roman" w:hAnsi="Times New Roman"/>
          <w:color w:val="000000" w:themeColor="text1"/>
          <w:sz w:val="16"/>
          <w:szCs w:val="16"/>
        </w:rPr>
        <w:softHyphen/>
        <w:t xml:space="preserve">шееся отечественное </w:t>
      </w:r>
      <w:proofErr w:type="spellStart"/>
      <w:r w:rsidRPr="00A259BD">
        <w:rPr>
          <w:rFonts w:ascii="Times New Roman" w:hAnsi="Times New Roman"/>
          <w:color w:val="000000" w:themeColor="text1"/>
          <w:sz w:val="16"/>
          <w:szCs w:val="16"/>
        </w:rPr>
        <w:t>мотоциклостроение</w:t>
      </w:r>
      <w:proofErr w:type="spellEnd"/>
      <w:r w:rsidRPr="00A259BD">
        <w:rPr>
          <w:rFonts w:ascii="Times New Roman" w:hAnsi="Times New Roman"/>
          <w:color w:val="000000" w:themeColor="text1"/>
          <w:sz w:val="16"/>
          <w:szCs w:val="16"/>
        </w:rPr>
        <w:t xml:space="preserve"> позитивного влияния.</w:t>
      </w:r>
    </w:p>
    <w:p w14:paraId="02153D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Вскоре выяснилось, что для завершения начатой работы не хватало комплектующих изделий от иномарок. К тому же руково</w:t>
      </w:r>
      <w:r w:rsidRPr="00A259BD">
        <w:rPr>
          <w:rFonts w:ascii="Times New Roman" w:hAnsi="Times New Roman"/>
          <w:color w:val="000000" w:themeColor="text1"/>
          <w:sz w:val="16"/>
          <w:szCs w:val="16"/>
        </w:rPr>
        <w:softHyphen/>
        <w:t xml:space="preserve">дитель </w:t>
      </w:r>
      <w:proofErr w:type="spellStart"/>
      <w:r w:rsidRPr="00A259BD">
        <w:rPr>
          <w:rFonts w:ascii="Times New Roman" w:hAnsi="Times New Roman"/>
          <w:color w:val="000000" w:themeColor="text1"/>
          <w:sz w:val="16"/>
          <w:szCs w:val="16"/>
        </w:rPr>
        <w:t>мотосекции</w:t>
      </w:r>
      <w:proofErr w:type="spellEnd"/>
      <w:r w:rsidRPr="00A259BD">
        <w:rPr>
          <w:rFonts w:ascii="Times New Roman" w:hAnsi="Times New Roman"/>
          <w:color w:val="000000" w:themeColor="text1"/>
          <w:sz w:val="16"/>
          <w:szCs w:val="16"/>
        </w:rPr>
        <w:t xml:space="preserve"> планировал изготовление экспериментальных мотоциклов среднего класса, что требовало поездок на зарубеж</w:t>
      </w:r>
      <w:r w:rsidRPr="00A259BD">
        <w:rPr>
          <w:rFonts w:ascii="Times New Roman" w:hAnsi="Times New Roman"/>
          <w:color w:val="000000" w:themeColor="text1"/>
          <w:sz w:val="16"/>
          <w:szCs w:val="16"/>
        </w:rPr>
        <w:softHyphen/>
        <w:t>ные мотозаводы (11429).</w:t>
      </w:r>
    </w:p>
    <w:p w14:paraId="03F67F5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7F6A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января 1929 г. на базе НРЛ (ГС Опытный Завод № 326 ИМ. Фрунзе НКАП, НКЭП, Нижегородская радиотехническая лаборатория (</w:t>
      </w:r>
      <w:r w:rsidRPr="00A259BD">
        <w:rPr>
          <w:rFonts w:ascii="Times New Roman" w:hAnsi="Times New Roman"/>
          <w:color w:val="000000" w:themeColor="text1"/>
          <w:sz w:val="16"/>
          <w:szCs w:val="16"/>
          <w:lang w:val="en-US"/>
        </w:rPr>
        <w:t>HPJI</w:t>
      </w:r>
      <w:r w:rsidRPr="00A259BD">
        <w:rPr>
          <w:rFonts w:ascii="Times New Roman" w:hAnsi="Times New Roman"/>
          <w:color w:val="000000" w:themeColor="text1"/>
          <w:sz w:val="16"/>
          <w:szCs w:val="16"/>
        </w:rPr>
        <w:t>) им. В.И. Ленина, Центральная военно-индустриальная радиолаборатория (ЦВИРЛ) ВСНХ, НКТП, Центральная военная радио-техническая лаборатория НКТП, ГС Институт № 11 (ГС НИИ-11) НКОП, НКАП, п/я 429, Горьковский завод им. Фрунзе МРП, В-8201, ФГУП «Нижегородский завод имени М.В. Фрунзе» (</w:t>
      </w:r>
      <w:proofErr w:type="spellStart"/>
      <w:r w:rsidRPr="00A259BD">
        <w:rPr>
          <w:rFonts w:ascii="Times New Roman" w:hAnsi="Times New Roman"/>
          <w:color w:val="000000" w:themeColor="text1"/>
          <w:sz w:val="16"/>
          <w:szCs w:val="16"/>
        </w:rPr>
        <w:t>НЗиФ</w:t>
      </w:r>
      <w:proofErr w:type="spellEnd"/>
      <w:r w:rsidRPr="00A259BD">
        <w:rPr>
          <w:rFonts w:ascii="Times New Roman" w:hAnsi="Times New Roman"/>
          <w:color w:val="000000" w:themeColor="text1"/>
          <w:sz w:val="16"/>
          <w:szCs w:val="16"/>
        </w:rPr>
        <w:t>) /603600 (603950)  г. Горький,  г. Нижний Новгород ГСП-299 пр. Гагарина, 174 тел. 66-66-00/) создана ЦВИРЛ в ведении ЭТЗСТ ВСНХ. В начале 1930-х  г. НРЛ (ЦВИРЛ) вошла в состав ЦРЛ.</w:t>
      </w:r>
      <w:r w:rsidRPr="00A259BD">
        <w:rPr>
          <w:rFonts w:ascii="Times New Roman" w:hAnsi="Times New Roman"/>
          <w:color w:val="000000" w:themeColor="text1"/>
          <w:sz w:val="16"/>
          <w:szCs w:val="16"/>
          <w:vertAlign w:val="superscript"/>
        </w:rPr>
        <w:t>104</w:t>
      </w:r>
      <w:r w:rsidRPr="00A259BD">
        <w:rPr>
          <w:rFonts w:ascii="Times New Roman" w:hAnsi="Times New Roman"/>
          <w:color w:val="000000" w:themeColor="text1"/>
          <w:sz w:val="16"/>
          <w:szCs w:val="16"/>
        </w:rPr>
        <w:t xml:space="preserve"> Положение о лаборатории утверждено приказом НКТП от 1.05.1936 г. В 12.1936 г. ЦВИРЛ (называлась также Центральная военная радио-техническая лаборатория) передана в ведение НКОП и по пр. № </w:t>
      </w:r>
      <w:proofErr w:type="spellStart"/>
      <w:r w:rsidRPr="00A259BD">
        <w:rPr>
          <w:rFonts w:ascii="Times New Roman" w:hAnsi="Times New Roman"/>
          <w:color w:val="000000" w:themeColor="text1"/>
          <w:sz w:val="16"/>
          <w:szCs w:val="16"/>
        </w:rPr>
        <w:t>Обсс</w:t>
      </w:r>
      <w:proofErr w:type="spellEnd"/>
      <w:r w:rsidRPr="00A259BD">
        <w:rPr>
          <w:rFonts w:ascii="Times New Roman" w:hAnsi="Times New Roman"/>
          <w:color w:val="000000" w:themeColor="text1"/>
          <w:sz w:val="16"/>
          <w:szCs w:val="16"/>
        </w:rPr>
        <w:t xml:space="preserve"> от 30.12.1936 г. переименована в НИИ-11 НКОП, приказом № 262 от 31.07.1937 г. утверждено Положение о ГС НИИ-11 5ГУ, в 12.1938 г. - в ведении 5ГУ. По приказу № 174с от 11.07.1939 г. на базе НИИ-11 НКАП образован ГС опытный завод № 326 им. Фрунзе в системе 7ГУ НКАП. В 1940 г., видимо, передан в НКЭП. Имел наименование «п/я 429».</w:t>
      </w:r>
    </w:p>
    <w:p w14:paraId="0D17F9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Созданы первые отечественные приводные радиомаяки, мощные аэродромные радиостанции. В 1937 г. НИИ- 11 перешел на разработку радиоизмерительной аппаратуры. Приказом № 0063 от 27.03.1937 г. институту выдано задание в 1937 г. изготовить опытные образцы радио-измерительной аппаратуры: измеритель собственной волны и емкости катушек, </w:t>
      </w:r>
      <w:proofErr w:type="spellStart"/>
      <w:r w:rsidRPr="00A259BD">
        <w:rPr>
          <w:rFonts w:ascii="Times New Roman" w:hAnsi="Times New Roman"/>
          <w:color w:val="000000" w:themeColor="text1"/>
          <w:sz w:val="16"/>
          <w:szCs w:val="16"/>
        </w:rPr>
        <w:t>клирфактормессер</w:t>
      </w:r>
      <w:proofErr w:type="spellEnd"/>
      <w:r w:rsidRPr="00A259BD">
        <w:rPr>
          <w:rFonts w:ascii="Times New Roman" w:hAnsi="Times New Roman"/>
          <w:color w:val="000000" w:themeColor="text1"/>
          <w:sz w:val="16"/>
          <w:szCs w:val="16"/>
        </w:rPr>
        <w:t xml:space="preserve">, испытатель модуляции, измеритель емкости, ламповый вольтметр, катодный осциллограф, анализатор вольтажа, термостолбики, </w:t>
      </w:r>
      <w:proofErr w:type="spellStart"/>
      <w:r w:rsidRPr="00A259BD">
        <w:rPr>
          <w:rFonts w:ascii="Times New Roman" w:hAnsi="Times New Roman"/>
          <w:color w:val="000000" w:themeColor="text1"/>
          <w:sz w:val="16"/>
          <w:szCs w:val="16"/>
        </w:rPr>
        <w:t>модуломер</w:t>
      </w:r>
      <w:proofErr w:type="spellEnd"/>
      <w:r w:rsidRPr="00A259BD">
        <w:rPr>
          <w:rFonts w:ascii="Times New Roman" w:hAnsi="Times New Roman"/>
          <w:color w:val="000000" w:themeColor="text1"/>
          <w:sz w:val="16"/>
          <w:szCs w:val="16"/>
        </w:rPr>
        <w:t xml:space="preserve"> фона, компараторы, измерители селективности, приборы для измерения малых емкостей.</w:t>
      </w:r>
    </w:p>
    <w:p w14:paraId="6BD90A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 исполнение решения правительства № 152сс приказом № 319сс от 10.08.1938 г. было предписано организовать к 1.11.1938 г. на базе НИИ-11 специальный институт с летной базой для отработки НИР по авиационной радиотехнике.</w:t>
      </w:r>
    </w:p>
    <w:p w14:paraId="007F70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годы войны производились радиостанции, были выпущены первые приводные радиомаяки.</w:t>
      </w:r>
    </w:p>
    <w:p w14:paraId="33F9F5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1946 г. на заводе создано ЦКБ-326.</w:t>
      </w:r>
    </w:p>
    <w:p w14:paraId="174D9B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1950 г. завод полностью перешел на производство контрольно-измерительных средств </w:t>
      </w:r>
      <w:proofErr w:type="spellStart"/>
      <w:r w:rsidRPr="00A259BD">
        <w:rPr>
          <w:rFonts w:ascii="Times New Roman" w:hAnsi="Times New Roman"/>
          <w:color w:val="000000" w:themeColor="text1"/>
          <w:sz w:val="16"/>
          <w:szCs w:val="16"/>
        </w:rPr>
        <w:t>радиометрологии</w:t>
      </w:r>
      <w:proofErr w:type="spellEnd"/>
      <w:r w:rsidRPr="00A259BD">
        <w:rPr>
          <w:rFonts w:ascii="Times New Roman" w:hAnsi="Times New Roman"/>
          <w:color w:val="000000" w:themeColor="text1"/>
          <w:sz w:val="16"/>
          <w:szCs w:val="16"/>
        </w:rPr>
        <w:t>. Освоен выпуск генераторов высокой частоты и СВЧ, измерителей модуляции и мощности. В 1994-95 г. открыто новое направление- разработка и производство средств учета электроэнергии.</w:t>
      </w:r>
    </w:p>
    <w:p w14:paraId="174156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1980-е  г. было образовано СКБ завода.</w:t>
      </w:r>
    </w:p>
    <w:p w14:paraId="409ED9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1972 г. Горьковский завод им. Фрунзе - в ведении 6ГУ МРП, «п/я В-8201». С 1991 г.- Нижегородский завод им. М.В. Фрунзе. По Указу Президента РФ № 1009 от 4.08.2004 г. вошел в число стратегических оборонных предприятий.</w:t>
      </w:r>
    </w:p>
    <w:p w14:paraId="28FE6F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Работы (2004 г.): подготовка производства: генераторов 14-21 Н213, частотомера 43-82, измерителя мощности МЗ-107.</w:t>
      </w:r>
    </w:p>
    <w:p w14:paraId="440A28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(2005 г.): радиоизмерительная техника; приборы учета электроэнергии; оборудование для железной дороги, телекоммуникаций. Здесь планируется построить к 2008 г. завод компании </w:t>
      </w:r>
      <w:r w:rsidRPr="00A259BD">
        <w:rPr>
          <w:rFonts w:ascii="Times New Roman" w:hAnsi="Times New Roman"/>
          <w:color w:val="000000" w:themeColor="text1"/>
          <w:sz w:val="16"/>
          <w:szCs w:val="16"/>
          <w:lang w:val="en-US"/>
        </w:rPr>
        <w:t>KWE</w:t>
      </w:r>
      <w:r w:rsidRPr="00A259BD">
        <w:rPr>
          <w:rFonts w:ascii="Times New Roman" w:hAnsi="Times New Roman"/>
          <w:color w:val="000000" w:themeColor="text1"/>
          <w:sz w:val="16"/>
          <w:szCs w:val="16"/>
        </w:rPr>
        <w:t xml:space="preserve"> (Малайзия) по производству микроэлектронных компонентов (крупнейший в России).</w:t>
      </w:r>
    </w:p>
    <w:p w14:paraId="54B02F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 (1919-22 г.)- А.Ф. Шорин. Управляющий (1923-28 г.)- М.А. Бонч-Бруевич. Начальник (-2.04.1937 г.)- В.Н. </w:t>
      </w:r>
      <w:proofErr w:type="spellStart"/>
      <w:r w:rsidRPr="00A259BD">
        <w:rPr>
          <w:rFonts w:ascii="Times New Roman" w:hAnsi="Times New Roman"/>
          <w:color w:val="000000" w:themeColor="text1"/>
          <w:sz w:val="16"/>
          <w:szCs w:val="16"/>
        </w:rPr>
        <w:t>Синчугов</w:t>
      </w:r>
      <w:proofErr w:type="spellEnd"/>
      <w:r w:rsidRPr="00A259BD">
        <w:rPr>
          <w:rFonts w:ascii="Times New Roman" w:hAnsi="Times New Roman"/>
          <w:color w:val="000000" w:themeColor="text1"/>
          <w:sz w:val="16"/>
          <w:szCs w:val="16"/>
        </w:rPr>
        <w:t xml:space="preserve">, (2.04-8.05.1937 г.)- Д.Е. </w:t>
      </w:r>
      <w:proofErr w:type="spellStart"/>
      <w:r w:rsidRPr="00A259BD">
        <w:rPr>
          <w:rFonts w:ascii="Times New Roman" w:hAnsi="Times New Roman"/>
          <w:color w:val="000000" w:themeColor="text1"/>
          <w:sz w:val="16"/>
          <w:szCs w:val="16"/>
        </w:rPr>
        <w:t>Цариченко</w:t>
      </w:r>
      <w:proofErr w:type="spellEnd"/>
      <w:r w:rsidRPr="00A259BD">
        <w:rPr>
          <w:rFonts w:ascii="Times New Roman" w:hAnsi="Times New Roman"/>
          <w:color w:val="000000" w:themeColor="text1"/>
          <w:sz w:val="16"/>
          <w:szCs w:val="16"/>
        </w:rPr>
        <w:t>, (8.05.1937 г.-)- В.В. Лебедев. Директор (8.03.1938 г.-)- М.Е. Салманов. Гендиректор (2004 г.)- Н.А. Воронов.</w:t>
      </w:r>
      <w:r w:rsidRPr="00A259BD">
        <w:rPr>
          <w:rFonts w:ascii="Times New Roman" w:hAnsi="Times New Roman"/>
          <w:color w:val="000000" w:themeColor="text1"/>
          <w:sz w:val="16"/>
          <w:szCs w:val="16"/>
          <w:vertAlign w:val="superscript"/>
        </w:rPr>
        <w:t>102</w:t>
      </w:r>
    </w:p>
    <w:p w14:paraId="0609F0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Технический руководитель (1923-28 г.)- М.А. Бонч-Бруевич. Гл. инженер (8.03.1938 г.-)-К.С. </w:t>
      </w:r>
      <w:proofErr w:type="spellStart"/>
      <w:r w:rsidRPr="00A259BD">
        <w:rPr>
          <w:rFonts w:ascii="Times New Roman" w:hAnsi="Times New Roman"/>
          <w:color w:val="000000" w:themeColor="text1"/>
          <w:sz w:val="16"/>
          <w:szCs w:val="16"/>
        </w:rPr>
        <w:t>Горенбур</w:t>
      </w:r>
      <w:proofErr w:type="spellEnd"/>
      <w:r w:rsidRPr="00A259BD">
        <w:rPr>
          <w:rFonts w:ascii="Times New Roman" w:hAnsi="Times New Roman"/>
          <w:color w:val="000000" w:themeColor="text1"/>
          <w:sz w:val="16"/>
          <w:szCs w:val="16"/>
        </w:rPr>
        <w:t xml:space="preserve"> г.</w:t>
      </w:r>
    </w:p>
    <w:p w14:paraId="466A6B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Начальники лабораторий: УКВ (1935-39 г.)- Ю.К. Коровин.</w:t>
      </w:r>
    </w:p>
    <w:p w14:paraId="7B9BF1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Создано:</w:t>
      </w: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приемоусилительная</w:t>
      </w:r>
      <w:proofErr w:type="spellEnd"/>
      <w:r w:rsidRPr="00A259BD">
        <w:rPr>
          <w:rFonts w:ascii="Times New Roman" w:hAnsi="Times New Roman"/>
          <w:color w:val="000000" w:themeColor="text1"/>
          <w:sz w:val="16"/>
          <w:szCs w:val="16"/>
        </w:rPr>
        <w:t xml:space="preserve"> лампа ПР-1 (1919); радиостанции: РАФ (РАЛ) «Волга», РСБ-3; танковая 12-РТ; пехотная 12-РП; установка радиообнаружения самолетов «Енот» (1936); РПК, радиоотметчик (1938).</w:t>
      </w:r>
    </w:p>
    <w:p w14:paraId="289378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Производство:</w:t>
      </w:r>
      <w:r w:rsidRPr="00A259BD">
        <w:rPr>
          <w:rFonts w:ascii="Times New Roman" w:hAnsi="Times New Roman"/>
          <w:color w:val="000000" w:themeColor="text1"/>
          <w:sz w:val="16"/>
          <w:szCs w:val="16"/>
        </w:rPr>
        <w:t xml:space="preserve"> электронные лампы: </w:t>
      </w:r>
      <w:proofErr w:type="spellStart"/>
      <w:r w:rsidRPr="00A259BD">
        <w:rPr>
          <w:rFonts w:ascii="Times New Roman" w:hAnsi="Times New Roman"/>
          <w:color w:val="000000" w:themeColor="text1"/>
          <w:sz w:val="16"/>
          <w:szCs w:val="16"/>
        </w:rPr>
        <w:t>приемоусилительная</w:t>
      </w:r>
      <w:proofErr w:type="spellEnd"/>
      <w:r w:rsidRPr="00A259BD">
        <w:rPr>
          <w:rFonts w:ascii="Times New Roman" w:hAnsi="Times New Roman"/>
          <w:color w:val="000000" w:themeColor="text1"/>
          <w:sz w:val="16"/>
          <w:szCs w:val="16"/>
        </w:rPr>
        <w:t xml:space="preserve"> ПР-1 (1919-23)- около 5000, усилительная УА-4, детекторная ДА-3;</w:t>
      </w:r>
      <w:r w:rsidRPr="00A259BD">
        <w:rPr>
          <w:rFonts w:ascii="Times New Roman" w:hAnsi="Times New Roman"/>
          <w:color w:val="000000" w:themeColor="text1"/>
          <w:sz w:val="16"/>
          <w:szCs w:val="16"/>
          <w:vertAlign w:val="superscript"/>
        </w:rPr>
        <w:t>101</w:t>
      </w:r>
      <w:r w:rsidRPr="00A259BD">
        <w:rPr>
          <w:rFonts w:ascii="Times New Roman" w:hAnsi="Times New Roman"/>
          <w:color w:val="000000" w:themeColor="text1"/>
          <w:sz w:val="16"/>
          <w:szCs w:val="16"/>
        </w:rPr>
        <w:t xml:space="preserve"> радиостанции: РСБ-3 (ВОВ), 12-РТ, 12-РП (ВОВ), измерители: коэффициента </w:t>
      </w:r>
      <w:r w:rsidRPr="00A259BD">
        <w:rPr>
          <w:rFonts w:ascii="Times New Roman" w:hAnsi="Times New Roman"/>
          <w:color w:val="000000" w:themeColor="text1"/>
          <w:sz w:val="16"/>
          <w:szCs w:val="16"/>
          <w:lang w:val="en-US"/>
        </w:rPr>
        <w:t>AM</w:t>
      </w:r>
      <w:r w:rsidRPr="00A259BD">
        <w:rPr>
          <w:rFonts w:ascii="Times New Roman" w:hAnsi="Times New Roman"/>
          <w:color w:val="000000" w:themeColor="text1"/>
          <w:sz w:val="16"/>
          <w:szCs w:val="16"/>
        </w:rPr>
        <w:t xml:space="preserve"> С2-23, модуляции вычислительный СКЗ-45, девиации частоты СКЗ-40, большой мощности МЗ-5А, мощности СВЧ диапазона МЗ-104, МЗ-106 (2002-); портативные осциллографы </w:t>
      </w:r>
      <w:r w:rsidRPr="00A259BD">
        <w:rPr>
          <w:rFonts w:ascii="Times New Roman" w:hAnsi="Times New Roman"/>
          <w:color w:val="000000" w:themeColor="text1"/>
          <w:sz w:val="16"/>
          <w:szCs w:val="16"/>
          <w:lang w:val="en-US"/>
        </w:rPr>
        <w:t>Cl</w:t>
      </w:r>
      <w:r w:rsidRPr="00A259BD">
        <w:rPr>
          <w:rFonts w:ascii="Times New Roman" w:hAnsi="Times New Roman"/>
          <w:color w:val="000000" w:themeColor="text1"/>
          <w:sz w:val="16"/>
          <w:szCs w:val="16"/>
        </w:rPr>
        <w:t xml:space="preserve">-154, </w:t>
      </w:r>
      <w:r w:rsidRPr="00A259BD">
        <w:rPr>
          <w:rFonts w:ascii="Times New Roman" w:hAnsi="Times New Roman"/>
          <w:color w:val="000000" w:themeColor="text1"/>
          <w:sz w:val="16"/>
          <w:szCs w:val="16"/>
          <w:lang w:val="en-US"/>
        </w:rPr>
        <w:t>Cl</w:t>
      </w:r>
      <w:r w:rsidRPr="00A259BD">
        <w:rPr>
          <w:rFonts w:ascii="Times New Roman" w:hAnsi="Times New Roman"/>
          <w:color w:val="000000" w:themeColor="text1"/>
          <w:sz w:val="16"/>
          <w:szCs w:val="16"/>
        </w:rPr>
        <w:t>-155 (2002-); Е12-1; генераторы Г4- 37А, Г4-18А, Г4-107, Г4-151, Г4-158; источники питания: Б5-75, Б2-6, Б5-80 (2002-); УС-9ДМС;</w:t>
      </w:r>
      <w:r w:rsidRPr="00A259BD">
        <w:rPr>
          <w:rFonts w:ascii="Times New Roman" w:hAnsi="Times New Roman"/>
          <w:color w:val="000000" w:themeColor="text1"/>
          <w:sz w:val="16"/>
          <w:szCs w:val="16"/>
          <w:vertAlign w:val="superscript"/>
        </w:rPr>
        <w:t xml:space="preserve">103 </w:t>
      </w:r>
      <w:r w:rsidRPr="00A259BD">
        <w:rPr>
          <w:rFonts w:ascii="Times New Roman" w:hAnsi="Times New Roman"/>
          <w:color w:val="000000" w:themeColor="text1"/>
          <w:sz w:val="16"/>
          <w:szCs w:val="16"/>
        </w:rPr>
        <w:t>радиоприемники: «Микрон» РП-201, РП-203, РП-204; усилители: «Микрон-001, 100УП-002С»; телевизоры: «Микрон» 23ТБ-401, 23ТБ-404, 27ТЦ-5167.</w:t>
      </w:r>
    </w:p>
    <w:p w14:paraId="3C7919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Горьковский завод радиоизмерительной аппаратуры (РИАП) МРТП, МРП, М-5664</w:t>
      </w:r>
    </w:p>
    <w:p w14:paraId="0CD6EC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1954 г. строящийся завод вошел во вновь созданное МРТП (возможно, это завод № 326). В 1972 г. Горьковский завод РИАП - в ведении 6ГУ МРП, имел наименование «п/я М-5664».</w:t>
      </w:r>
    </w:p>
    <w:p w14:paraId="2C3EAA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1972 г. строился лабораторно-производственный корпус, произведена реконструкция цехов № 9, 12, автоматно-револьверного цеха в корпусе № 4.</w:t>
      </w:r>
    </w:p>
    <w:p w14:paraId="7B2E4D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Директор (1972 г.)- Морозов.</w:t>
      </w:r>
      <w:r w:rsidRPr="00A259BD">
        <w:rPr>
          <w:rFonts w:ascii="Times New Roman" w:hAnsi="Times New Roman"/>
          <w:color w:val="000000" w:themeColor="text1"/>
          <w:sz w:val="16"/>
          <w:szCs w:val="16"/>
          <w:vertAlign w:val="superscript"/>
        </w:rPr>
        <w:t>135</w:t>
      </w:r>
    </w:p>
    <w:p w14:paraId="3A6610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ЦКБ-326 Минсвязи, МПСС, НИИ-326</w:t>
      </w:r>
    </w:p>
    <w:p w14:paraId="7899C2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ЦКБ-326 создано при заводе в 1946 г.</w:t>
      </w:r>
    </w:p>
    <w:p w14:paraId="3DD29D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Радиосистемы. Участвовало в разработке </w:t>
      </w:r>
      <w:proofErr w:type="spellStart"/>
      <w:r w:rsidRPr="00A259BD">
        <w:rPr>
          <w:rFonts w:ascii="Times New Roman" w:hAnsi="Times New Roman"/>
          <w:color w:val="000000" w:themeColor="text1"/>
          <w:sz w:val="16"/>
          <w:szCs w:val="16"/>
        </w:rPr>
        <w:t>радиодатчиков</w:t>
      </w:r>
      <w:proofErr w:type="spellEnd"/>
      <w:r w:rsidRPr="00A259BD">
        <w:rPr>
          <w:rFonts w:ascii="Times New Roman" w:hAnsi="Times New Roman"/>
          <w:color w:val="000000" w:themeColor="text1"/>
          <w:sz w:val="16"/>
          <w:szCs w:val="16"/>
        </w:rPr>
        <w:t xml:space="preserve"> для первых атомных бомб.</w:t>
      </w:r>
    </w:p>
    <w:p w14:paraId="53EB0A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конструктор (конец 1940-х)- </w:t>
      </w:r>
      <w:proofErr w:type="spellStart"/>
      <w:r w:rsidRPr="00A259BD">
        <w:rPr>
          <w:rFonts w:ascii="Times New Roman" w:hAnsi="Times New Roman"/>
          <w:color w:val="000000" w:themeColor="text1"/>
          <w:sz w:val="16"/>
          <w:szCs w:val="16"/>
        </w:rPr>
        <w:t>Скибарко</w:t>
      </w:r>
      <w:proofErr w:type="spellEnd"/>
      <w:r w:rsidRPr="00A259BD">
        <w:rPr>
          <w:rFonts w:ascii="Times New Roman" w:hAnsi="Times New Roman"/>
          <w:color w:val="000000" w:themeColor="text1"/>
          <w:sz w:val="16"/>
          <w:szCs w:val="16"/>
        </w:rPr>
        <w:t>.</w:t>
      </w:r>
    </w:p>
    <w:p w14:paraId="7AFB6F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Горьковское КБ измерительных приборов МРП, А-3772, ФГУП «КБ измерительных приборов «Квазар» /г. Горький,  г. Нижний Новгород/</w:t>
      </w:r>
    </w:p>
    <w:p w14:paraId="1AEBD0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Горьковское КБ измерительных приборов при заводе им. Фрунзе в 1972 г. - в ведении 6ГУ МРП, имело наименование «п/я А-3772». Размещалось в помещениях завода.</w:t>
      </w:r>
    </w:p>
    <w:p w14:paraId="63B03B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7AD499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Руководитель (1972 г.)- А. Рюриков (11982).</w:t>
      </w:r>
    </w:p>
    <w:p w14:paraId="49078703" w14:textId="77777777" w:rsidR="00CE0BB3" w:rsidRPr="00A259BD" w:rsidRDefault="00CE0BB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0D34D70" w14:textId="77777777" w:rsidR="00CF4FB4" w:rsidRPr="00A259BD" w:rsidRDefault="002315CB"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 января </w:t>
      </w:r>
      <w:r w:rsidR="00CF4FB4" w:rsidRPr="00A259BD">
        <w:rPr>
          <w:rFonts w:ascii="Times New Roman" w:hAnsi="Times New Roman"/>
          <w:color w:val="000000" w:themeColor="text1"/>
          <w:sz w:val="16"/>
          <w:szCs w:val="16"/>
        </w:rPr>
        <w:t>1929-31.12.1930 Пермская судостроительная организация "</w:t>
      </w:r>
      <w:proofErr w:type="spellStart"/>
      <w:r w:rsidR="00CF4FB4" w:rsidRPr="00A259BD">
        <w:rPr>
          <w:rFonts w:ascii="Times New Roman" w:hAnsi="Times New Roman"/>
          <w:color w:val="000000" w:themeColor="text1"/>
          <w:sz w:val="16"/>
          <w:szCs w:val="16"/>
        </w:rPr>
        <w:t>Пермсудострой</w:t>
      </w:r>
      <w:proofErr w:type="spellEnd"/>
      <w:r w:rsidR="00CF4FB4" w:rsidRPr="00A259BD">
        <w:rPr>
          <w:rFonts w:ascii="Times New Roman" w:hAnsi="Times New Roman"/>
          <w:color w:val="000000" w:themeColor="text1"/>
          <w:sz w:val="16"/>
          <w:szCs w:val="16"/>
        </w:rPr>
        <w:t>" Наркомата тяжелой промышленности СССР (предприятие "</w:t>
      </w:r>
      <w:proofErr w:type="spellStart"/>
      <w:r w:rsidR="00CF4FB4" w:rsidRPr="00A259BD">
        <w:rPr>
          <w:rFonts w:ascii="Times New Roman" w:hAnsi="Times New Roman"/>
          <w:color w:val="000000" w:themeColor="text1"/>
          <w:sz w:val="16"/>
          <w:szCs w:val="16"/>
        </w:rPr>
        <w:t>Теплобетон</w:t>
      </w:r>
      <w:proofErr w:type="spellEnd"/>
      <w:r w:rsidR="00CF4FB4" w:rsidRPr="00A259BD">
        <w:rPr>
          <w:rFonts w:ascii="Times New Roman" w:hAnsi="Times New Roman"/>
          <w:color w:val="000000" w:themeColor="text1"/>
          <w:sz w:val="16"/>
          <w:szCs w:val="16"/>
        </w:rPr>
        <w:t>")</w:t>
      </w:r>
    </w:p>
    <w:p w14:paraId="054EA93E" w14:textId="77777777" w:rsidR="00CF4FB4" w:rsidRPr="00A259BD" w:rsidRDefault="00CF4FB4"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01.01.1930-29.07.1939 Пермская судостроительная верфь Народного Комиссариата тяжелой промышленности СССР</w:t>
      </w:r>
    </w:p>
    <w:p w14:paraId="35BF640D" w14:textId="77777777" w:rsidR="00CF4FB4" w:rsidRPr="00A259BD" w:rsidRDefault="00CF4FB4"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29.07.1939-31.08.1940 Завод № 344 Народного Комиссариата судостроительной промышленности СССР</w:t>
      </w:r>
    </w:p>
    <w:p w14:paraId="0A6E06DD" w14:textId="77777777" w:rsidR="00CF4FB4" w:rsidRPr="00A259BD" w:rsidRDefault="00CF4FB4"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01.08.1940-31.12.1941 Завод № 344 Народного Комиссариата речного флота</w:t>
      </w:r>
    </w:p>
    <w:p w14:paraId="3A0A1258" w14:textId="77777777" w:rsidR="00CF4FB4" w:rsidRPr="00A259BD" w:rsidRDefault="00CF4FB4"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01.01.1941-30.09.1947 Завод № 344 Народного Комиссариата судостроительной промышленности СССР</w:t>
      </w:r>
    </w:p>
    <w:p w14:paraId="2F6E8D71" w14:textId="77777777" w:rsidR="00CF4FB4" w:rsidRPr="00A259BD" w:rsidRDefault="00CF4FB4"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01.09.1947-31.03.1953 Завод № 344 Министерства транспортного машиностроения СССР</w:t>
      </w:r>
    </w:p>
    <w:p w14:paraId="3F34E8DD" w14:textId="77777777" w:rsidR="00CF4FB4" w:rsidRPr="00A259BD" w:rsidRDefault="00CF4FB4"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31.03.1953-19.04.1954 Завод № 344 Министерства транспортного и тяжелого машиностроения СССР</w:t>
      </w:r>
    </w:p>
    <w:p w14:paraId="6BD644B1" w14:textId="77777777" w:rsidR="00CF4FB4" w:rsidRPr="00A259BD" w:rsidRDefault="00CF4FB4"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19.04.1954-31.12.1957 Завод № 344 Министерства судостроительной промышленности СССР</w:t>
      </w:r>
    </w:p>
    <w:p w14:paraId="16163569" w14:textId="77777777" w:rsidR="00CF4FB4" w:rsidRPr="00A259BD" w:rsidRDefault="00CF4FB4"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02.03.1965-31.01.1966 Завод № 344 Министерства судостроительной промышленности СССР</w:t>
      </w:r>
    </w:p>
    <w:p w14:paraId="6D0BC167" w14:textId="77777777" w:rsidR="00CF4FB4" w:rsidRPr="00A259BD" w:rsidRDefault="00CF4FB4"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color w:val="000000" w:themeColor="text1"/>
          <w:sz w:val="16"/>
          <w:szCs w:val="16"/>
        </w:rPr>
        <w:t>31.01.1966 Пермский судостроительный завод "Кама" Министерства судостроительной промышленности СССР (17232).</w:t>
      </w:r>
    </w:p>
    <w:p w14:paraId="77077876" w14:textId="77777777" w:rsidR="00CF4FB4" w:rsidRPr="00A259BD" w:rsidRDefault="00CF4FB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4A5445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033CD3F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2202F3A" w14:textId="77777777" w:rsidR="009B70A5" w:rsidRPr="00A259BD" w:rsidRDefault="009B70A5"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На 1 января 1929</w:t>
      </w:r>
    </w:p>
    <w:p w14:paraId="17C0A51B" w14:textId="77777777" w:rsidR="009B70A5" w:rsidRPr="00A259BD" w:rsidRDefault="009B70A5"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Таблица 1.1. Количество самолетов в строю на 1 января каждого года</w:t>
      </w:r>
    </w:p>
    <w:p w14:paraId="548AB8E6" w14:textId="77777777" w:rsidR="009B70A5" w:rsidRPr="00A259BD" w:rsidRDefault="009B70A5"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Тип самолета Годы</w:t>
      </w:r>
    </w:p>
    <w:p w14:paraId="68E44351" w14:textId="77777777" w:rsidR="009B70A5" w:rsidRPr="00A259BD" w:rsidRDefault="009B70A5"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1929 г. 1931 г. 1933 г. 1935 г. 1937 г.</w:t>
      </w:r>
    </w:p>
    <w:p w14:paraId="17F76C9F" w14:textId="77777777" w:rsidR="009B70A5" w:rsidRPr="00A259BD" w:rsidRDefault="009B70A5"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Тяжелые и средние бомбардировщики, крейсеры 48 183 647 1002 2443</w:t>
      </w:r>
    </w:p>
    <w:p w14:paraId="0A0EBC59" w14:textId="77777777" w:rsidR="009B70A5" w:rsidRPr="00A259BD" w:rsidRDefault="009B70A5"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Легкие бомбардировщики, штурмовики, торпедоносцы 860 911 886 1876 1779</w:t>
      </w:r>
    </w:p>
    <w:p w14:paraId="725C58BA" w14:textId="77777777" w:rsidR="009B70A5" w:rsidRPr="00A259BD" w:rsidRDefault="009B70A5"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Истребители 232 408 780 1640 2255</w:t>
      </w:r>
    </w:p>
    <w:p w14:paraId="5BC4D2D3" w14:textId="77777777" w:rsidR="009B70A5" w:rsidRPr="00A259BD" w:rsidRDefault="009B70A5"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Разведчики и другие 145 142 862 1375 1662</w:t>
      </w:r>
    </w:p>
    <w:p w14:paraId="28D8E137" w14:textId="77777777" w:rsidR="009B70A5" w:rsidRPr="00A259BD" w:rsidRDefault="009B70A5"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Итого 1285 1644 3165 5893 8139 (20301).</w:t>
      </w:r>
    </w:p>
    <w:p w14:paraId="2344B86C" w14:textId="77777777" w:rsidR="009B70A5" w:rsidRPr="00A259BD" w:rsidRDefault="009B70A5" w:rsidP="009236E3">
      <w:pPr>
        <w:shd w:val="clear" w:color="auto" w:fill="FFFFFF"/>
        <w:spacing w:after="0" w:line="240" w:lineRule="auto"/>
        <w:jc w:val="both"/>
        <w:rPr>
          <w:rFonts w:ascii="Times New Roman" w:hAnsi="Times New Roman"/>
          <w:color w:val="000000" w:themeColor="text1"/>
          <w:sz w:val="16"/>
          <w:szCs w:val="16"/>
        </w:rPr>
      </w:pPr>
    </w:p>
    <w:p w14:paraId="4F9B9F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января 1929 в вооружении КА было:</w:t>
      </w:r>
    </w:p>
    <w:p w14:paraId="2051B1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90 танков (в т.ч. 45 Рикардо, 12 </w:t>
      </w:r>
      <w:proofErr w:type="spellStart"/>
      <w:r w:rsidRPr="00A259BD">
        <w:rPr>
          <w:rFonts w:ascii="Times New Roman" w:hAnsi="Times New Roman"/>
          <w:color w:val="000000" w:themeColor="text1"/>
          <w:sz w:val="16"/>
          <w:szCs w:val="16"/>
        </w:rPr>
        <w:t>тейлоров</w:t>
      </w:r>
      <w:proofErr w:type="spellEnd"/>
      <w:r w:rsidRPr="00A259BD">
        <w:rPr>
          <w:rFonts w:ascii="Times New Roman" w:hAnsi="Times New Roman"/>
          <w:color w:val="000000" w:themeColor="text1"/>
          <w:sz w:val="16"/>
          <w:szCs w:val="16"/>
        </w:rPr>
        <w:t>, 28 Рено),</w:t>
      </w:r>
    </w:p>
    <w:p w14:paraId="79101A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3500 грузовиков и автомобилей (в основном Фиат и Уайт),</w:t>
      </w:r>
    </w:p>
    <w:p w14:paraId="79CA2F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180 гусеничных тракторов (089,165).</w:t>
      </w:r>
    </w:p>
    <w:p w14:paraId="5C9CAA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3B4F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1 января 1929 года в Красной Армии насчитывалось шесть ди</w:t>
      </w:r>
      <w:r w:rsidRPr="00A259BD">
        <w:rPr>
          <w:rFonts w:ascii="Times New Roman" w:hAnsi="Times New Roman"/>
          <w:color w:val="000000" w:themeColor="text1"/>
          <w:sz w:val="16"/>
          <w:szCs w:val="16"/>
        </w:rPr>
        <w:softHyphen/>
        <w:t>визионов - №№ 1, 3, 8. 11, 12 и 13. В связи с переходом РККА на штаты мирного времени была прове</w:t>
      </w:r>
      <w:r w:rsidRPr="00A259BD">
        <w:rPr>
          <w:rFonts w:ascii="Times New Roman" w:hAnsi="Times New Roman"/>
          <w:color w:val="000000" w:themeColor="text1"/>
          <w:sz w:val="16"/>
          <w:szCs w:val="16"/>
        </w:rPr>
        <w:softHyphen/>
        <w:t>дена реорганизация броневых частей: автобронеотряды рас</w:t>
      </w:r>
      <w:r w:rsidRPr="00A259BD">
        <w:rPr>
          <w:rFonts w:ascii="Times New Roman" w:hAnsi="Times New Roman"/>
          <w:color w:val="000000" w:themeColor="text1"/>
          <w:sz w:val="16"/>
          <w:szCs w:val="16"/>
        </w:rPr>
        <w:softHyphen/>
        <w:t xml:space="preserve">формировали, а на их базе создали отдельные </w:t>
      </w:r>
      <w:proofErr w:type="spellStart"/>
      <w:r w:rsidRPr="00A259BD">
        <w:rPr>
          <w:rFonts w:ascii="Times New Roman" w:hAnsi="Times New Roman"/>
          <w:color w:val="000000" w:themeColor="text1"/>
          <w:sz w:val="16"/>
          <w:szCs w:val="16"/>
        </w:rPr>
        <w:t>автоброневые</w:t>
      </w:r>
      <w:proofErr w:type="spellEnd"/>
      <w:r w:rsidRPr="00A259BD">
        <w:rPr>
          <w:rFonts w:ascii="Times New Roman" w:hAnsi="Times New Roman"/>
          <w:color w:val="000000" w:themeColor="text1"/>
          <w:sz w:val="16"/>
          <w:szCs w:val="16"/>
        </w:rPr>
        <w:t xml:space="preserve"> дивизионы по 12 бронеавтомобилей в каждом (11284).</w:t>
      </w:r>
    </w:p>
    <w:p w14:paraId="5B75532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038071"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46357B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2294A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 по 7 января 1929 Fokker C-1 </w:t>
      </w:r>
      <w:proofErr w:type="spellStart"/>
      <w:r w:rsidRPr="00A259BD">
        <w:rPr>
          <w:rFonts w:ascii="Times New Roman" w:hAnsi="Times New Roman"/>
          <w:color w:val="000000" w:themeColor="text1"/>
          <w:sz w:val="16"/>
          <w:szCs w:val="16"/>
        </w:rPr>
        <w:t>Question</w:t>
      </w:r>
      <w:proofErr w:type="spellEnd"/>
      <w:r w:rsidRPr="00A259BD">
        <w:rPr>
          <w:rFonts w:ascii="Times New Roman" w:hAnsi="Times New Roman"/>
          <w:color w:val="000000" w:themeColor="text1"/>
          <w:sz w:val="16"/>
          <w:szCs w:val="16"/>
        </w:rPr>
        <w:t xml:space="preserve"> Mark летел в течение 150:40 с дозаправками (2273).</w:t>
      </w:r>
    </w:p>
    <w:p w14:paraId="352B02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3F219D" w14:textId="77777777" w:rsidR="00581228" w:rsidRPr="00A259BD" w:rsidRDefault="005812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января 1929 Карл </w:t>
      </w:r>
      <w:proofErr w:type="spellStart"/>
      <w:r w:rsidRPr="00A259BD">
        <w:rPr>
          <w:rFonts w:ascii="Times New Roman" w:hAnsi="Times New Roman"/>
          <w:color w:val="000000" w:themeColor="text1"/>
          <w:sz w:val="16"/>
          <w:szCs w:val="16"/>
        </w:rPr>
        <w:t>Спаатц</w:t>
      </w:r>
      <w:proofErr w:type="spellEnd"/>
      <w:r w:rsidRPr="00A259BD">
        <w:rPr>
          <w:rFonts w:ascii="Times New Roman" w:hAnsi="Times New Roman"/>
          <w:color w:val="000000" w:themeColor="text1"/>
          <w:sz w:val="16"/>
          <w:szCs w:val="16"/>
        </w:rPr>
        <w:t xml:space="preserve"> и четыре других летчика армейского авиакорпуса США установили рекорд продолжительности полета в 151 час на модифицированном атлантическом Fokker C-2A </w:t>
      </w:r>
      <w:proofErr w:type="spellStart"/>
      <w:r w:rsidRPr="00A259BD">
        <w:rPr>
          <w:rFonts w:ascii="Times New Roman" w:hAnsi="Times New Roman"/>
          <w:color w:val="000000" w:themeColor="text1"/>
          <w:sz w:val="16"/>
          <w:szCs w:val="16"/>
        </w:rPr>
        <w:t>Question</w:t>
      </w:r>
      <w:proofErr w:type="spellEnd"/>
      <w:r w:rsidRPr="00A259BD">
        <w:rPr>
          <w:rFonts w:ascii="Times New Roman" w:hAnsi="Times New Roman"/>
          <w:color w:val="000000" w:themeColor="text1"/>
          <w:sz w:val="16"/>
          <w:szCs w:val="16"/>
        </w:rPr>
        <w:t xml:space="preserve"> Mark (20806).</w:t>
      </w:r>
    </w:p>
    <w:p w14:paraId="11F97B66" w14:textId="77777777" w:rsidR="00581228" w:rsidRPr="00A259BD" w:rsidRDefault="00581228" w:rsidP="009236E3">
      <w:pPr>
        <w:spacing w:after="0" w:line="240" w:lineRule="auto"/>
        <w:jc w:val="both"/>
        <w:rPr>
          <w:rFonts w:ascii="Times New Roman" w:hAnsi="Times New Roman"/>
          <w:color w:val="000000" w:themeColor="text1"/>
          <w:sz w:val="16"/>
          <w:szCs w:val="16"/>
        </w:rPr>
      </w:pPr>
    </w:p>
    <w:p w14:paraId="2D5A9713" w14:textId="77777777" w:rsidR="00581228" w:rsidRPr="00A259BD" w:rsidRDefault="005812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января 1929 Правительство Польши создает LOT </w:t>
      </w:r>
      <w:proofErr w:type="spellStart"/>
      <w:r w:rsidRPr="00A259BD">
        <w:rPr>
          <w:rFonts w:ascii="Times New Roman" w:hAnsi="Times New Roman"/>
          <w:color w:val="000000" w:themeColor="text1"/>
          <w:sz w:val="16"/>
          <w:szCs w:val="16"/>
        </w:rPr>
        <w:t>Polish</w:t>
      </w:r>
      <w:proofErr w:type="spellEnd"/>
      <w:r w:rsidRPr="00A259BD">
        <w:rPr>
          <w:rFonts w:ascii="Times New Roman" w:hAnsi="Times New Roman"/>
          <w:color w:val="000000" w:themeColor="text1"/>
          <w:sz w:val="16"/>
          <w:szCs w:val="16"/>
        </w:rPr>
        <w:t xml:space="preserve"> Airlines как государственную самоуправляемую корпорацию (20806).</w:t>
      </w:r>
    </w:p>
    <w:p w14:paraId="07628B92" w14:textId="77777777" w:rsidR="00581228" w:rsidRPr="00A259BD" w:rsidRDefault="00581228" w:rsidP="009236E3">
      <w:pPr>
        <w:spacing w:after="0" w:line="240" w:lineRule="auto"/>
        <w:jc w:val="both"/>
        <w:rPr>
          <w:rFonts w:ascii="Times New Roman" w:hAnsi="Times New Roman"/>
          <w:color w:val="000000" w:themeColor="text1"/>
          <w:sz w:val="16"/>
          <w:szCs w:val="16"/>
        </w:rPr>
      </w:pPr>
    </w:p>
    <w:p w14:paraId="4E01D04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69FFFC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324097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января 1929 года главный инспектор Гражданского Воздушного Флота </w:t>
      </w:r>
      <w:proofErr w:type="spellStart"/>
      <w:r w:rsidRPr="00A259BD">
        <w:rPr>
          <w:rFonts w:ascii="Times New Roman" w:hAnsi="Times New Roman"/>
          <w:color w:val="000000" w:themeColor="text1"/>
          <w:sz w:val="16"/>
          <w:szCs w:val="16"/>
        </w:rPr>
        <w:t>В.А.Зарзар</w:t>
      </w:r>
      <w:proofErr w:type="spellEnd"/>
      <w:r w:rsidRPr="00A259BD">
        <w:rPr>
          <w:rFonts w:ascii="Times New Roman" w:hAnsi="Times New Roman"/>
          <w:color w:val="000000" w:themeColor="text1"/>
          <w:sz w:val="16"/>
          <w:szCs w:val="16"/>
        </w:rPr>
        <w:t xml:space="preserve"> пишет Генеральному секретарю Союза Осоавиахим </w:t>
      </w:r>
      <w:proofErr w:type="spellStart"/>
      <w:r w:rsidRPr="00A259BD">
        <w:rPr>
          <w:rFonts w:ascii="Times New Roman" w:hAnsi="Times New Roman"/>
          <w:color w:val="000000" w:themeColor="text1"/>
          <w:sz w:val="16"/>
          <w:szCs w:val="16"/>
        </w:rPr>
        <w:t>Л.П.Малиновскому</w:t>
      </w:r>
      <w:proofErr w:type="spellEnd"/>
      <w:r w:rsidRPr="00A259BD">
        <w:rPr>
          <w:rFonts w:ascii="Times New Roman" w:hAnsi="Times New Roman"/>
          <w:color w:val="000000" w:themeColor="text1"/>
          <w:sz w:val="16"/>
          <w:szCs w:val="16"/>
        </w:rPr>
        <w:t>:</w:t>
      </w:r>
    </w:p>
    <w:p w14:paraId="088B554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“Несколько времени тому назад наша авиационная секция получила предложение инженеров Камова и </w:t>
      </w:r>
      <w:proofErr w:type="spellStart"/>
      <w:r w:rsidRPr="00A259BD">
        <w:rPr>
          <w:rFonts w:ascii="Times New Roman" w:hAnsi="Times New Roman"/>
          <w:color w:val="000000" w:themeColor="text1"/>
          <w:sz w:val="16"/>
          <w:szCs w:val="16"/>
        </w:rPr>
        <w:t>Скржинского</w:t>
      </w:r>
      <w:proofErr w:type="spellEnd"/>
      <w:r w:rsidRPr="00A259BD">
        <w:rPr>
          <w:rFonts w:ascii="Times New Roman" w:hAnsi="Times New Roman"/>
          <w:color w:val="000000" w:themeColor="text1"/>
          <w:sz w:val="16"/>
          <w:szCs w:val="16"/>
        </w:rPr>
        <w:t xml:space="preserve"> взяться за конструиро</w:t>
      </w:r>
      <w:r w:rsidRPr="00A259BD">
        <w:rPr>
          <w:rFonts w:ascii="Times New Roman" w:hAnsi="Times New Roman"/>
          <w:color w:val="000000" w:themeColor="text1"/>
          <w:sz w:val="16"/>
          <w:szCs w:val="16"/>
        </w:rPr>
        <w:softHyphen/>
        <w:t>вание и постройку первого в СССР автожира (на основании опытов де-</w:t>
      </w:r>
      <w:proofErr w:type="spellStart"/>
      <w:r w:rsidRPr="00A259BD">
        <w:rPr>
          <w:rFonts w:ascii="Times New Roman" w:hAnsi="Times New Roman"/>
          <w:color w:val="000000" w:themeColor="text1"/>
          <w:sz w:val="16"/>
          <w:szCs w:val="16"/>
        </w:rPr>
        <w:t>Сиерва</w:t>
      </w:r>
      <w:proofErr w:type="spellEnd"/>
      <w:r w:rsidRPr="00A259BD">
        <w:rPr>
          <w:rFonts w:ascii="Times New Roman" w:hAnsi="Times New Roman"/>
          <w:color w:val="000000" w:themeColor="text1"/>
          <w:sz w:val="16"/>
          <w:szCs w:val="16"/>
        </w:rPr>
        <w:t>). Имея дело с серьезным предложением, я получил от т. Алксниса, как Зампреда секции, резолюцию, которая находится у т. Розанова, об отпуске 500 р. на проектирование аппарата.</w:t>
      </w:r>
    </w:p>
    <w:p w14:paraId="64541A4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Пересылаю Вам письмо этих инженеров, из которого Вы увидите, что работа в подавляющей степени уже выполнена, хотя было отпущено все</w:t>
      </w:r>
      <w:r w:rsidRPr="00A259BD">
        <w:rPr>
          <w:rFonts w:ascii="Times New Roman" w:hAnsi="Times New Roman"/>
          <w:color w:val="000000" w:themeColor="text1"/>
          <w:sz w:val="16"/>
          <w:szCs w:val="16"/>
        </w:rPr>
        <w:softHyphen/>
        <w:t>го 150 р...</w:t>
      </w:r>
    </w:p>
    <w:p w14:paraId="097FFAB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Группа товарищей тратит много сил и времени на новое для нас и в высшей степени интересное дело...</w:t>
      </w:r>
    </w:p>
    <w:p w14:paraId="0DC1324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Прошу Вас принять в ближайшие дни т. Камова, ознакомиться с этим вопросом и сделать все от Вас зависящее” (10224,19).</w:t>
      </w:r>
    </w:p>
    <w:p w14:paraId="47B3207E" w14:textId="77777777" w:rsidR="007548ED" w:rsidRPr="00A259BD" w:rsidRDefault="007548E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F252EC" w14:textId="77777777" w:rsidR="007548ED"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463F6B6" w14:textId="77777777" w:rsidR="007548ED" w:rsidRPr="00A259BD" w:rsidRDefault="007548E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FC68D3" w14:textId="77777777" w:rsidR="007548ED" w:rsidRPr="00A259BD" w:rsidRDefault="007548ED" w:rsidP="009236E3">
      <w:pPr>
        <w:pStyle w:val="rtejustify"/>
        <w:spacing w:before="0" w:after="0"/>
        <w:rPr>
          <w:color w:val="000000" w:themeColor="text1"/>
          <w:sz w:val="16"/>
          <w:szCs w:val="16"/>
        </w:rPr>
      </w:pPr>
      <w:r w:rsidRPr="00A259BD">
        <w:rPr>
          <w:rStyle w:val="af0"/>
          <w:i w:val="0"/>
          <w:color w:val="000000" w:themeColor="text1"/>
          <w:sz w:val="16"/>
          <w:szCs w:val="16"/>
        </w:rPr>
        <w:t xml:space="preserve">2 января </w:t>
      </w:r>
      <w:r w:rsidRPr="00A259BD">
        <w:rPr>
          <w:color w:val="000000" w:themeColor="text1"/>
          <w:sz w:val="16"/>
          <w:szCs w:val="16"/>
        </w:rPr>
        <w:t>1929 г</w:t>
      </w:r>
      <w:r w:rsidRPr="00A259BD">
        <w:rPr>
          <w:rStyle w:val="af0"/>
          <w:i w:val="0"/>
          <w:color w:val="000000" w:themeColor="text1"/>
          <w:sz w:val="16"/>
          <w:szCs w:val="16"/>
        </w:rPr>
        <w:t>. Протокол Реввоенсовета № 1.</w:t>
      </w:r>
      <w:r w:rsidRPr="00A259BD">
        <w:rPr>
          <w:color w:val="000000" w:themeColor="text1"/>
          <w:sz w:val="16"/>
          <w:szCs w:val="16"/>
        </w:rPr>
        <w:t xml:space="preserve"> 8. Об оплате </w:t>
      </w:r>
      <w:proofErr w:type="spellStart"/>
      <w:r w:rsidRPr="00A259BD">
        <w:rPr>
          <w:color w:val="000000" w:themeColor="text1"/>
          <w:sz w:val="16"/>
          <w:szCs w:val="16"/>
        </w:rPr>
        <w:t>Шукалову</w:t>
      </w:r>
      <w:proofErr w:type="spellEnd"/>
      <w:r w:rsidRPr="00A259BD">
        <w:rPr>
          <w:color w:val="000000" w:themeColor="text1"/>
          <w:sz w:val="16"/>
          <w:szCs w:val="16"/>
        </w:rPr>
        <w:t xml:space="preserve"> патентного вознаграждения (</w:t>
      </w:r>
      <w:proofErr w:type="spellStart"/>
      <w:r w:rsidRPr="00A259BD">
        <w:rPr>
          <w:color w:val="000000" w:themeColor="text1"/>
          <w:sz w:val="16"/>
          <w:szCs w:val="16"/>
        </w:rPr>
        <w:t>утв</w:t>
      </w:r>
      <w:proofErr w:type="spellEnd"/>
      <w:r w:rsidRPr="00A259BD">
        <w:rPr>
          <w:color w:val="000000" w:themeColor="text1"/>
          <w:sz w:val="16"/>
          <w:szCs w:val="16"/>
        </w:rPr>
        <w:t>[</w:t>
      </w:r>
      <w:proofErr w:type="spellStart"/>
      <w:r w:rsidRPr="00A259BD">
        <w:rPr>
          <w:color w:val="000000" w:themeColor="text1"/>
          <w:sz w:val="16"/>
          <w:szCs w:val="16"/>
        </w:rPr>
        <w:t>ерждено</w:t>
      </w:r>
      <w:proofErr w:type="spellEnd"/>
      <w:r w:rsidRPr="00A259BD">
        <w:rPr>
          <w:color w:val="000000" w:themeColor="text1"/>
          <w:sz w:val="16"/>
          <w:szCs w:val="16"/>
        </w:rPr>
        <w:t>] 31 декабря 1928 г.). 9. О премировании инженера Прокофьева (</w:t>
      </w:r>
      <w:proofErr w:type="spellStart"/>
      <w:r w:rsidRPr="00A259BD">
        <w:rPr>
          <w:color w:val="000000" w:themeColor="text1"/>
          <w:sz w:val="16"/>
          <w:szCs w:val="16"/>
        </w:rPr>
        <w:t>утв</w:t>
      </w:r>
      <w:proofErr w:type="spellEnd"/>
      <w:r w:rsidRPr="00A259BD">
        <w:rPr>
          <w:color w:val="000000" w:themeColor="text1"/>
          <w:sz w:val="16"/>
          <w:szCs w:val="16"/>
        </w:rPr>
        <w:t>[</w:t>
      </w:r>
      <w:proofErr w:type="spellStart"/>
      <w:r w:rsidRPr="00A259BD">
        <w:rPr>
          <w:color w:val="000000" w:themeColor="text1"/>
          <w:sz w:val="16"/>
          <w:szCs w:val="16"/>
        </w:rPr>
        <w:t>ерждено</w:t>
      </w:r>
      <w:proofErr w:type="spellEnd"/>
      <w:r w:rsidRPr="00A259BD">
        <w:rPr>
          <w:color w:val="000000" w:themeColor="text1"/>
          <w:sz w:val="16"/>
          <w:szCs w:val="16"/>
        </w:rPr>
        <w:t xml:space="preserve">] 31 декабря 1928 г). 16. О передаче крейсера «Измаил» </w:t>
      </w:r>
      <w:proofErr w:type="spellStart"/>
      <w:r w:rsidRPr="00A259BD">
        <w:rPr>
          <w:color w:val="000000" w:themeColor="text1"/>
          <w:sz w:val="16"/>
          <w:szCs w:val="16"/>
        </w:rPr>
        <w:t>Рудметаллторгу</w:t>
      </w:r>
      <w:proofErr w:type="spellEnd"/>
      <w:r w:rsidRPr="00A259BD">
        <w:rPr>
          <w:color w:val="000000" w:themeColor="text1"/>
          <w:sz w:val="16"/>
          <w:szCs w:val="16"/>
        </w:rPr>
        <w:t xml:space="preserve"> для разборки на лом. (РГВА. Ф. 4. Оп. 18. Д. 15. Л. 6</w:t>
      </w:r>
      <w:r w:rsidRPr="00A259BD">
        <w:rPr>
          <w:color w:val="000000" w:themeColor="text1"/>
          <w:sz w:val="16"/>
          <w:szCs w:val="16"/>
        </w:rPr>
        <w:noBreakHyphen/>
        <w:t>8) (12342).</w:t>
      </w:r>
    </w:p>
    <w:p w14:paraId="434E5625" w14:textId="77777777" w:rsidR="007548ED" w:rsidRPr="00A259BD" w:rsidRDefault="007548ED" w:rsidP="009236E3">
      <w:pPr>
        <w:pStyle w:val="rtejustify"/>
        <w:spacing w:before="0" w:after="0"/>
        <w:rPr>
          <w:color w:val="000000" w:themeColor="text1"/>
          <w:sz w:val="16"/>
          <w:szCs w:val="16"/>
        </w:rPr>
      </w:pPr>
    </w:p>
    <w:p w14:paraId="2F4BAE1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0561C03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1778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января 1929 года Валерия Павловича Чкалова посадили на один год в брянскую тюрьму. Перелетая из Гомеля в Брянск, он на бреющем полете всем звеном врезался в провода телеграфной линии; К счастью, жертв не было, но брянское командование решило отдать его под суд. В камере № 12 он много читал, начал вести записи в тетрадке. Многие сочувствовали отважному летчику, из Ленинграда приезжали друзья. Даже надзиратели тюрьмы переживали за летчика, и с их молчаливого согласия Ольга </w:t>
      </w:r>
      <w:proofErr w:type="spellStart"/>
      <w:r w:rsidRPr="00A259BD">
        <w:rPr>
          <w:rFonts w:ascii="Times New Roman" w:hAnsi="Times New Roman"/>
          <w:color w:val="000000" w:themeColor="text1"/>
          <w:sz w:val="16"/>
          <w:szCs w:val="16"/>
        </w:rPr>
        <w:t>Эразмовна</w:t>
      </w:r>
      <w:proofErr w:type="spellEnd"/>
      <w:r w:rsidRPr="00A259BD">
        <w:rPr>
          <w:rFonts w:ascii="Times New Roman" w:hAnsi="Times New Roman"/>
          <w:color w:val="000000" w:themeColor="text1"/>
          <w:sz w:val="16"/>
          <w:szCs w:val="16"/>
        </w:rPr>
        <w:t xml:space="preserve"> вынесла написанную Валерием просьбу в ЦИК СССР о помиловании. Михаил Иванович Калинин дал указание немедленно освободить Чкалова из тюрьмы, где он пробыл 19 дней (11266).</w:t>
      </w:r>
    </w:p>
    <w:p w14:paraId="297CC9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33FB99E"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EC0A13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F4908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января 1929 арестован Лев Троцкий (4962).</w:t>
      </w:r>
    </w:p>
    <w:p w14:paraId="77590F3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AA779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января 1929 в России объявлено о введении 7-часового рабочего дня (4962).</w:t>
      </w:r>
    </w:p>
    <w:p w14:paraId="5CBAD35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E9349B" w14:textId="77777777" w:rsidR="00FC1DE3" w:rsidRPr="00A259BD" w:rsidRDefault="00FC1DE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января 1929 года в СССР объявлено о введении 7-часового рабочего дня.</w:t>
      </w:r>
    </w:p>
    <w:p w14:paraId="1E9404BD" w14:textId="77777777" w:rsidR="00FC1DE3" w:rsidRPr="00A259BD" w:rsidRDefault="00FC1DE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После Октябрьской революции 11 ноября (29 октября по старому стилю) 1917 г. вышел декрет Совета народных комиссаров "О восьмичасовом рабочем дне". В нем говорилось, что рабочее время, определяемое правилами внутреннего распорядка предприятий, не должно превышать 8 рабочих часов в сутки и 48 часов в неделю, включая сюда и время, употребляемое на чистку машин и на приведение в порядок рабочего помещения</w:t>
      </w:r>
    </w:p>
    <w:p w14:paraId="2F8685C0" w14:textId="77777777" w:rsidR="00FC1DE3" w:rsidRPr="00A259BD" w:rsidRDefault="00FC1DE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Государство строго контролировало соблюдение этой нормы продолжительности рабочего дня. В 1928-1933 гг. был осуществлен переход к 7-часовому рабочему дню. В начале 1930-х гг. была введен пятидневный рабочий цикл (рабочая пятидневка при шестом выходном дне).</w:t>
      </w:r>
    </w:p>
    <w:p w14:paraId="56C5EE57" w14:textId="77777777" w:rsidR="00FC1DE3" w:rsidRPr="00A259BD" w:rsidRDefault="00FC1DE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1940 г., в связи с начавшейся Второй мировой войной 1939-1945 гг. и напряженной международной обстановкой, был издан указ президиума Верховного Совета СССР "О переходе на восьмичасовой рабочий день, на семидневную рабочую неделю" (шесть рабочих и один выходной). Работали 48 часов в неделю (21168).</w:t>
      </w:r>
    </w:p>
    <w:p w14:paraId="02556669" w14:textId="77777777" w:rsidR="00FC1DE3" w:rsidRPr="00A259BD" w:rsidRDefault="00FC1DE3" w:rsidP="009236E3">
      <w:pPr>
        <w:pStyle w:val="style3"/>
        <w:spacing w:before="0" w:beforeAutospacing="0" w:after="0" w:afterAutospacing="0"/>
        <w:jc w:val="both"/>
        <w:rPr>
          <w:color w:val="000000" w:themeColor="text1"/>
          <w:sz w:val="16"/>
          <w:szCs w:val="16"/>
        </w:rPr>
      </w:pPr>
    </w:p>
    <w:p w14:paraId="064B8C20" w14:textId="77777777" w:rsidR="00CE0BB3" w:rsidRPr="00A259BD" w:rsidRDefault="00CE0B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 января</w:t>
      </w:r>
      <w:r w:rsidRPr="00A259BD">
        <w:rPr>
          <w:rFonts w:ascii="Times New Roman" w:hAnsi="Times New Roman"/>
          <w:color w:val="000000" w:themeColor="text1"/>
          <w:sz w:val="16"/>
          <w:szCs w:val="16"/>
        </w:rPr>
        <w:t xml:space="preserve"> в 1929 году начались регулярные передачи из Москвы уроков гимнастики по радио. Первым ведущим уроков был Владимир Набоков, затем Вадим Синявский и Ольга Высоцкая. С 1935 года свыше сорока лет их вел Николай Гордеев (14997).</w:t>
      </w:r>
    </w:p>
    <w:p w14:paraId="1B4B6C56" w14:textId="77777777" w:rsidR="00CE0BB3" w:rsidRPr="00A259BD" w:rsidRDefault="00CE0BB3" w:rsidP="009236E3">
      <w:pPr>
        <w:spacing w:after="0" w:line="240" w:lineRule="auto"/>
        <w:jc w:val="both"/>
        <w:rPr>
          <w:rFonts w:ascii="Times New Roman" w:hAnsi="Times New Roman"/>
          <w:color w:val="000000" w:themeColor="text1"/>
          <w:sz w:val="16"/>
          <w:szCs w:val="16"/>
        </w:rPr>
      </w:pPr>
    </w:p>
    <w:p w14:paraId="3787E85F" w14:textId="77777777" w:rsidR="004E04DB" w:rsidRPr="00A259BD" w:rsidRDefault="004E04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января 1929. Газета "Вечерняя Москва" сообщала: "В трамваях вывешен ряд антиалкогольных плакатов: "Девушка не дружи с пьяным", "Друг водки - враг социалистического строительства" "Ни одной пролетарской копейки на водку!" Решено организовать детские митинги в дни получек у ворот предприятий" (18726).</w:t>
      </w:r>
    </w:p>
    <w:p w14:paraId="73EA6923" w14:textId="77777777" w:rsidR="004E04DB" w:rsidRPr="00A259BD" w:rsidRDefault="004E04DB" w:rsidP="009236E3">
      <w:pPr>
        <w:spacing w:after="0" w:line="240" w:lineRule="auto"/>
        <w:jc w:val="both"/>
        <w:rPr>
          <w:rFonts w:ascii="Times New Roman" w:hAnsi="Times New Roman"/>
          <w:color w:val="000000" w:themeColor="text1"/>
          <w:sz w:val="16"/>
          <w:szCs w:val="16"/>
        </w:rPr>
      </w:pPr>
    </w:p>
    <w:p w14:paraId="6591BE40" w14:textId="77777777" w:rsidR="00FC1DE3" w:rsidRPr="00A259BD" w:rsidRDefault="00FC1DE3"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33C858D" w14:textId="77777777" w:rsidR="00FC1DE3" w:rsidRPr="00A259BD" w:rsidRDefault="00FC1DE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DA7DB6" w14:textId="77777777" w:rsidR="00FC1DE3" w:rsidRPr="00A259BD" w:rsidRDefault="00FC1DE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января 1929 - </w:t>
      </w:r>
      <w:proofErr w:type="spellStart"/>
      <w:r w:rsidRPr="00A259BD">
        <w:rPr>
          <w:rFonts w:ascii="Times New Roman" w:hAnsi="Times New Roman"/>
          <w:color w:val="000000" w:themeColor="text1"/>
          <w:sz w:val="16"/>
          <w:szCs w:val="16"/>
        </w:rPr>
        <w:t>Evelyn</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Bobbi</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Trout</w:t>
      </w:r>
      <w:proofErr w:type="spellEnd"/>
      <w:r w:rsidRPr="00A259BD">
        <w:rPr>
          <w:rFonts w:ascii="Times New Roman" w:hAnsi="Times New Roman"/>
          <w:color w:val="000000" w:themeColor="text1"/>
          <w:sz w:val="16"/>
          <w:szCs w:val="16"/>
        </w:rPr>
        <w:t xml:space="preserve"> пролетела 12 часов и 11 минут на прототипе R. O. </w:t>
      </w:r>
      <w:proofErr w:type="spellStart"/>
      <w:r w:rsidRPr="00A259BD">
        <w:rPr>
          <w:rFonts w:ascii="Times New Roman" w:hAnsi="Times New Roman"/>
          <w:color w:val="000000" w:themeColor="text1"/>
          <w:sz w:val="16"/>
          <w:szCs w:val="16"/>
        </w:rPr>
        <w:t>Bone</w:t>
      </w:r>
      <w:proofErr w:type="spellEnd"/>
      <w:r w:rsidRPr="00A259BD">
        <w:rPr>
          <w:rFonts w:ascii="Times New Roman" w:hAnsi="Times New Roman"/>
          <w:color w:val="000000" w:themeColor="text1"/>
          <w:sz w:val="16"/>
          <w:szCs w:val="16"/>
        </w:rPr>
        <w:t xml:space="preserve"> Co. Golden Eagle Monoplane.1 в аэропорту Метрополитен в Лос-Анджелесе, установив новый рекорд длительности полета для женщин без заправки (22692).</w:t>
      </w:r>
    </w:p>
    <w:p w14:paraId="4C156909" w14:textId="77777777" w:rsidR="00FC1DE3" w:rsidRPr="00A259BD" w:rsidRDefault="00FC1DE3" w:rsidP="009236E3">
      <w:pPr>
        <w:pStyle w:val="style3"/>
        <w:spacing w:before="0" w:beforeAutospacing="0" w:after="0" w:afterAutospacing="0"/>
        <w:jc w:val="both"/>
        <w:rPr>
          <w:color w:val="000000" w:themeColor="text1"/>
          <w:sz w:val="16"/>
          <w:szCs w:val="16"/>
        </w:rPr>
      </w:pPr>
    </w:p>
    <w:p w14:paraId="02D061C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F42A3F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9840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января 1929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было получено письмо в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и ЦАГИ (копия в НТК УВВС) от Гл. Инспектора ГВФ </w:t>
      </w:r>
      <w:proofErr w:type="spellStart"/>
      <w:r w:rsidRPr="00A259BD">
        <w:rPr>
          <w:rFonts w:ascii="Times New Roman" w:hAnsi="Times New Roman"/>
          <w:color w:val="000000" w:themeColor="text1"/>
          <w:sz w:val="16"/>
          <w:szCs w:val="16"/>
        </w:rPr>
        <w:t>В.А.Зарзара</w:t>
      </w:r>
      <w:proofErr w:type="spellEnd"/>
      <w:r w:rsidRPr="00A259BD">
        <w:rPr>
          <w:rFonts w:ascii="Times New Roman" w:hAnsi="Times New Roman"/>
          <w:color w:val="000000" w:themeColor="text1"/>
          <w:sz w:val="16"/>
          <w:szCs w:val="16"/>
        </w:rPr>
        <w:t xml:space="preserve"> о том, что </w:t>
      </w:r>
      <w:proofErr w:type="spellStart"/>
      <w:r w:rsidRPr="00A259BD">
        <w:rPr>
          <w:rFonts w:ascii="Times New Roman" w:hAnsi="Times New Roman"/>
          <w:color w:val="000000" w:themeColor="text1"/>
          <w:sz w:val="16"/>
          <w:szCs w:val="16"/>
        </w:rPr>
        <w:t>Дерулюфту</w:t>
      </w:r>
      <w:proofErr w:type="spellEnd"/>
      <w:r w:rsidRPr="00A259BD">
        <w:rPr>
          <w:rFonts w:ascii="Times New Roman" w:hAnsi="Times New Roman"/>
          <w:color w:val="000000" w:themeColor="text1"/>
          <w:sz w:val="16"/>
          <w:szCs w:val="16"/>
        </w:rPr>
        <w:t xml:space="preserve"> требуется комбинированное (зимне-летнее) шасси. Объявили конкурс в 12 тыс. марок за 1-й экз. (2341,5).</w:t>
      </w:r>
    </w:p>
    <w:p w14:paraId="0DE79C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5C21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января 1929 в 55-й эскадрильи тяжелых самолетов было 6 ЮГ-1, три Фарман Голиаф 62 (ФГ-62) и 4 Р-1 (3200,19).</w:t>
      </w:r>
    </w:p>
    <w:p w14:paraId="2E8020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69A9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января 1929 г. был окончательно исключен их плана двигатель Большевик-1 (11852).</w:t>
      </w:r>
    </w:p>
    <w:p w14:paraId="64A314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5671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января 1929 </w:t>
      </w:r>
      <w:proofErr w:type="spellStart"/>
      <w:r w:rsidRPr="00A259BD">
        <w:rPr>
          <w:rFonts w:ascii="Times New Roman" w:hAnsi="Times New Roman"/>
          <w:color w:val="000000" w:themeColor="text1"/>
          <w:sz w:val="16"/>
          <w:szCs w:val="16"/>
        </w:rPr>
        <w:t>Л.В.Курчевского</w:t>
      </w:r>
      <w:proofErr w:type="spellEnd"/>
      <w:r w:rsidRPr="00A259BD">
        <w:rPr>
          <w:rFonts w:ascii="Times New Roman" w:hAnsi="Times New Roman"/>
          <w:color w:val="000000" w:themeColor="text1"/>
          <w:sz w:val="16"/>
          <w:szCs w:val="16"/>
        </w:rPr>
        <w:t xml:space="preserve"> досрочно освободили (3996, 85).</w:t>
      </w:r>
    </w:p>
    <w:p w14:paraId="1241B7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E2F3A63" w14:textId="77777777" w:rsidR="007548ED"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4DFD50F" w14:textId="77777777" w:rsidR="007548ED" w:rsidRPr="00A259BD" w:rsidRDefault="007548E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FD8C4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3 января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 xml:space="preserve">Политбюро ЦК ВКП (б) одобрило решение большинства комиссии </w:t>
      </w:r>
      <w:proofErr w:type="spellStart"/>
      <w:r w:rsidRPr="00A259BD">
        <w:rPr>
          <w:rFonts w:ascii="Times New Roman" w:hAnsi="Times New Roman"/>
          <w:color w:val="000000" w:themeColor="text1"/>
          <w:sz w:val="16"/>
          <w:szCs w:val="16"/>
        </w:rPr>
        <w:t>СНКч</w:t>
      </w:r>
      <w:proofErr w:type="spellEnd"/>
      <w:r w:rsidRPr="00A259BD">
        <w:rPr>
          <w:rFonts w:ascii="Times New Roman" w:hAnsi="Times New Roman"/>
          <w:color w:val="000000" w:themeColor="text1"/>
          <w:sz w:val="16"/>
          <w:szCs w:val="16"/>
        </w:rPr>
        <w:t xml:space="preserve"> о повышении производительности труда в 1928/29 г. на 17% (12265).</w:t>
      </w:r>
    </w:p>
    <w:p w14:paraId="1EFB1B9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225E589B"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января 1929 г. </w:t>
      </w:r>
      <w:proofErr w:type="spellStart"/>
      <w:r w:rsidRPr="00A259BD">
        <w:rPr>
          <w:rFonts w:ascii="Times New Roman" w:hAnsi="Times New Roman"/>
          <w:color w:val="000000" w:themeColor="text1"/>
          <w:sz w:val="16"/>
          <w:szCs w:val="16"/>
        </w:rPr>
        <w:t>Курчевский</w:t>
      </w:r>
      <w:proofErr w:type="spellEnd"/>
      <w:r w:rsidRPr="00A259BD">
        <w:rPr>
          <w:rFonts w:ascii="Times New Roman" w:hAnsi="Times New Roman"/>
          <w:color w:val="000000" w:themeColor="text1"/>
          <w:sz w:val="16"/>
          <w:szCs w:val="16"/>
        </w:rPr>
        <w:t xml:space="preserve"> был досрочно освобожден. За время отсутствия </w:t>
      </w:r>
      <w:proofErr w:type="spellStart"/>
      <w:r w:rsidRPr="00A259BD">
        <w:rPr>
          <w:rFonts w:ascii="Times New Roman" w:hAnsi="Times New Roman"/>
          <w:color w:val="000000" w:themeColor="text1"/>
          <w:sz w:val="16"/>
          <w:szCs w:val="16"/>
        </w:rPr>
        <w:t>Курчевского</w:t>
      </w:r>
      <w:proofErr w:type="spellEnd"/>
      <w:r w:rsidRPr="00A259BD">
        <w:rPr>
          <w:rFonts w:ascii="Times New Roman" w:hAnsi="Times New Roman"/>
          <w:color w:val="000000" w:themeColor="text1"/>
          <w:sz w:val="16"/>
          <w:szCs w:val="16"/>
        </w:rPr>
        <w:t xml:space="preserve"> многое изменилось. Безоткатными орудиями, независимо друг от друга, стали заниматься многие ученые и организации, например, Газодинамическая лаборатория под руководством Б. С. Петропавловского, коллектив «особой комиссии» под руководством профессора </w:t>
      </w:r>
      <w:proofErr w:type="spellStart"/>
      <w:r w:rsidRPr="00A259BD">
        <w:rPr>
          <w:rFonts w:ascii="Times New Roman" w:hAnsi="Times New Roman"/>
          <w:color w:val="000000" w:themeColor="text1"/>
          <w:sz w:val="16"/>
          <w:szCs w:val="16"/>
        </w:rPr>
        <w:t>Беркалова</w:t>
      </w:r>
      <w:proofErr w:type="spellEnd"/>
      <w:r w:rsidRPr="00A259BD">
        <w:rPr>
          <w:rFonts w:ascii="Times New Roman" w:hAnsi="Times New Roman"/>
          <w:color w:val="000000" w:themeColor="text1"/>
          <w:sz w:val="16"/>
          <w:szCs w:val="16"/>
        </w:rPr>
        <w:t xml:space="preserve"> и другие.</w:t>
      </w:r>
    </w:p>
    <w:p w14:paraId="187A099A"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1924 по 1929 г. было испытано несколько десятков типов безоткатных орудий калибра 37–107 мм (большинство же орудий имело калибр 76,2 мм). Так, в 1925 г. на </w:t>
      </w:r>
      <w:proofErr w:type="spellStart"/>
      <w:r w:rsidRPr="00A259BD">
        <w:rPr>
          <w:rFonts w:ascii="Times New Roman" w:hAnsi="Times New Roman"/>
          <w:color w:val="000000" w:themeColor="text1"/>
          <w:sz w:val="16"/>
          <w:szCs w:val="16"/>
        </w:rPr>
        <w:t>НИАПе</w:t>
      </w:r>
      <w:proofErr w:type="spellEnd"/>
      <w:r w:rsidRPr="00A259BD">
        <w:rPr>
          <w:rFonts w:ascii="Times New Roman" w:hAnsi="Times New Roman"/>
          <w:color w:val="000000" w:themeColor="text1"/>
          <w:sz w:val="16"/>
          <w:szCs w:val="16"/>
        </w:rPr>
        <w:t xml:space="preserve"> было испытано 7 различных систем ДРП, в 1926 г. — 5 систем, в 1927 г. — 11 систем, в 1928 г. — 13 систем и в 1929 г. — 13 систем.</w:t>
      </w:r>
    </w:p>
    <w:p w14:paraId="1CCF23E0"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Была проделана огромная научная и конструкторская работа и испытаны почти все типы безоткатных орудий, известные на сегодняшний день. В их числе:</w:t>
      </w:r>
    </w:p>
    <w:p w14:paraId="51A0146D"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Казнозарядные</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дульнозарядные</w:t>
      </w:r>
      <w:proofErr w:type="spellEnd"/>
      <w:r w:rsidRPr="00A259BD">
        <w:rPr>
          <w:rFonts w:ascii="Times New Roman" w:hAnsi="Times New Roman"/>
          <w:color w:val="000000" w:themeColor="text1"/>
          <w:sz w:val="16"/>
          <w:szCs w:val="16"/>
        </w:rPr>
        <w:t xml:space="preserve"> системы;</w:t>
      </w:r>
    </w:p>
    <w:p w14:paraId="053C8174"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Стволы гладкие, нарезные для обычных </w:t>
      </w:r>
      <w:proofErr w:type="spellStart"/>
      <w:r w:rsidRPr="00A259BD">
        <w:rPr>
          <w:rFonts w:ascii="Times New Roman" w:hAnsi="Times New Roman"/>
          <w:color w:val="000000" w:themeColor="text1"/>
          <w:sz w:val="16"/>
          <w:szCs w:val="16"/>
        </w:rPr>
        <w:t>поясковых</w:t>
      </w:r>
      <w:proofErr w:type="spellEnd"/>
      <w:r w:rsidRPr="00A259BD">
        <w:rPr>
          <w:rFonts w:ascii="Times New Roman" w:hAnsi="Times New Roman"/>
          <w:color w:val="000000" w:themeColor="text1"/>
          <w:sz w:val="16"/>
          <w:szCs w:val="16"/>
        </w:rPr>
        <w:t xml:space="preserve"> снарядов, нарезные с углубленной нарезкой для снарядов с готовыми выступами;</w:t>
      </w:r>
    </w:p>
    <w:p w14:paraId="7D3EE92C"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Орудия, у которых заряды помещались в гильзах из сгорающей ткани, в картонных гильзах, в перфорированных металлических гильзах. Часть гильз имела металлические, деревянные и картонные поддоны.</w:t>
      </w:r>
    </w:p>
    <w:p w14:paraId="7184395D"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с 1927 г. испытывались 47-мм авиационные пушки с инертной массой, в качестве которой была использована тяжелая металлическая гильза, вылетающая через сопло.</w:t>
      </w:r>
    </w:p>
    <w:p w14:paraId="789992B4" w14:textId="77777777" w:rsidR="00CD77B7" w:rsidRPr="00A259BD" w:rsidRDefault="00CD77B7"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Подавляющее большинство безоткатных систем дошло только до стадии испытаний опытных образцов и лишь некоторые — до стадии войсковых испытаний (12705).</w:t>
      </w:r>
    </w:p>
    <w:p w14:paraId="369DEF37" w14:textId="77777777" w:rsidR="00CD77B7" w:rsidRPr="00A259BD" w:rsidRDefault="00CD77B7" w:rsidP="009236E3">
      <w:pPr>
        <w:shd w:val="clear" w:color="auto" w:fill="FFFFFF"/>
        <w:spacing w:after="0" w:line="240" w:lineRule="auto"/>
        <w:jc w:val="both"/>
        <w:rPr>
          <w:rFonts w:ascii="Times New Roman" w:hAnsi="Times New Roman"/>
          <w:color w:val="000000" w:themeColor="text1"/>
          <w:sz w:val="16"/>
          <w:szCs w:val="16"/>
        </w:rPr>
      </w:pPr>
    </w:p>
    <w:p w14:paraId="63EED32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5C26F4D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D8B40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3 января 1929 г. в 55-й эскадрилье, которой тогда командовал лётчик Житов, числились шесть ЮГ-1, три ФГ-62 и четыре Р-1. Буквально накануне самолёт № 309 наскочил лыжей на лежавшее под снегом бревно (и это на лётном поле!) и угодил в ремонт. К этому моменту боевые возможности ФГ-62 оценивались уже весьма низко. Рассматривавший вопрос о материальной части ВВС Наркомат рабоче-крестьянской инспекции в своём докладе вынужденно констатировал: "Состоящие у нас на вооружении тяжёлые... бомбардировщики ФАРМАН-62... по своим лётно- техническим данным несколько уступают современным иностранным тяжёлым бомбардировщикам" (11894).</w:t>
      </w:r>
    </w:p>
    <w:p w14:paraId="422EE1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92A98B" w14:textId="77777777" w:rsidR="006533A7"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647EFAFB" w14:textId="77777777" w:rsidR="006533A7" w:rsidRPr="00A259BD" w:rsidRDefault="006533A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66F65F1" w14:textId="77777777" w:rsidR="00F04F77" w:rsidRPr="00A259BD" w:rsidRDefault="00F04F77"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января </w:t>
      </w:r>
      <w:bookmarkStart w:id="0" w:name="YANDEX_43"/>
      <w:bookmarkEnd w:id="0"/>
      <w:r w:rsidRPr="00A259BD">
        <w:rPr>
          <w:rStyle w:val="highlight"/>
          <w:rFonts w:ascii="Times New Roman" w:hAnsi="Times New Roman"/>
          <w:color w:val="000000" w:themeColor="text1"/>
          <w:sz w:val="16"/>
          <w:szCs w:val="16"/>
        </w:rPr>
        <w:t> 1929 </w:t>
      </w:r>
      <w:r w:rsidRPr="00A259BD">
        <w:rPr>
          <w:rFonts w:ascii="Times New Roman" w:hAnsi="Times New Roman"/>
          <w:color w:val="000000" w:themeColor="text1"/>
          <w:sz w:val="16"/>
          <w:szCs w:val="16"/>
        </w:rPr>
        <w:t xml:space="preserve"> г. президиум ВЦСПС второй раз (26 июля 1928 г. впервые) издавал постановления о привлечении трудящихся масс к составлению пятилетнего плана развития народного хозяйства. В публикуемом постановлении президиум ВЦСПС учел опыт работы завкома Московского электрозавода, который летом </w:t>
      </w:r>
      <w:bookmarkStart w:id="1" w:name="YANDEX_44"/>
      <w:bookmarkEnd w:id="1"/>
      <w:r w:rsidRPr="00A259BD">
        <w:rPr>
          <w:rStyle w:val="highlight"/>
          <w:rFonts w:ascii="Times New Roman" w:hAnsi="Times New Roman"/>
          <w:color w:val="000000" w:themeColor="text1"/>
          <w:sz w:val="16"/>
          <w:szCs w:val="16"/>
        </w:rPr>
        <w:t> 1929 </w:t>
      </w:r>
      <w:r w:rsidRPr="00A259BD">
        <w:rPr>
          <w:rFonts w:ascii="Times New Roman" w:hAnsi="Times New Roman"/>
          <w:color w:val="000000" w:themeColor="text1"/>
          <w:sz w:val="16"/>
          <w:szCs w:val="16"/>
        </w:rPr>
        <w:t xml:space="preserve"> г. во время обсуждения первого пятилетнего плана для популяризации плана и делового обсуждения его рабочими разработал пятилетний план </w:t>
      </w:r>
      <w:bookmarkStart w:id="2" w:name="YANDEX_45"/>
      <w:bookmarkEnd w:id="2"/>
      <w:r w:rsidRPr="00A259BD">
        <w:rPr>
          <w:rStyle w:val="highlight"/>
          <w:rFonts w:ascii="Times New Roman" w:hAnsi="Times New Roman"/>
          <w:color w:val="000000" w:themeColor="text1"/>
          <w:sz w:val="16"/>
          <w:szCs w:val="16"/>
        </w:rPr>
        <w:t> завода </w:t>
      </w:r>
      <w:r w:rsidRPr="00A259BD">
        <w:rPr>
          <w:rFonts w:ascii="Times New Roman" w:hAnsi="Times New Roman"/>
          <w:color w:val="000000" w:themeColor="text1"/>
          <w:sz w:val="16"/>
          <w:szCs w:val="16"/>
        </w:rPr>
        <w:t xml:space="preserve">, отдельных его цехов и каждого станка. В постановлении предусматривались все основные формы работы профсоюзов по привлечению рабочих к составлению и усовершенствованию производственных планов предприятий. Ленинградский машиностроительный завод им. К. Маркса, выполняя постановление ВЦСПС, разработал первый встречный план и стал инициатором широкого движения по встречному планированию. Встречное планирование охватило почти все предприятия и приобрело массовый характер. Оно не только включало в управление производством новые массы рабочих, но и развязывало инициативу предприятий в изыскании дополнительных резервов производства. Коллектив </w:t>
      </w:r>
      <w:bookmarkStart w:id="3" w:name="YANDEX_46"/>
      <w:bookmarkEnd w:id="3"/>
      <w:r w:rsidRPr="00A259BD">
        <w:rPr>
          <w:rStyle w:val="highlight"/>
          <w:rFonts w:ascii="Times New Roman" w:hAnsi="Times New Roman"/>
          <w:color w:val="000000" w:themeColor="text1"/>
          <w:sz w:val="16"/>
          <w:szCs w:val="16"/>
        </w:rPr>
        <w:t> завода </w:t>
      </w:r>
      <w:r w:rsidRPr="00A259BD">
        <w:rPr>
          <w:rFonts w:ascii="Times New Roman" w:hAnsi="Times New Roman"/>
          <w:color w:val="000000" w:themeColor="text1"/>
          <w:sz w:val="16"/>
          <w:szCs w:val="16"/>
        </w:rPr>
        <w:t xml:space="preserve"> им. К. Маркса дал 26 проектов и 400 рационализаторских предложений, дававших около 1 млн. руб. экономии. Только по семи металлическим </w:t>
      </w:r>
      <w:bookmarkStart w:id="4" w:name="YANDEX_47"/>
      <w:bookmarkEnd w:id="4"/>
      <w:r w:rsidRPr="00A259BD">
        <w:rPr>
          <w:rStyle w:val="highlight"/>
          <w:rFonts w:ascii="Times New Roman" w:hAnsi="Times New Roman"/>
          <w:color w:val="000000" w:themeColor="text1"/>
          <w:sz w:val="16"/>
          <w:szCs w:val="16"/>
        </w:rPr>
        <w:t> заводам </w:t>
      </w:r>
      <w:r w:rsidRPr="00A259BD">
        <w:rPr>
          <w:rFonts w:ascii="Times New Roman" w:hAnsi="Times New Roman"/>
          <w:color w:val="000000" w:themeColor="text1"/>
          <w:sz w:val="16"/>
          <w:szCs w:val="16"/>
        </w:rPr>
        <w:t xml:space="preserve"> Ленинграда рабочие рационализаторские предложения дали свыше 17 млн. 184 тыс. руб. экономии («Правда», 30 июля 1930 г.; «Металлист», 1930, № 27, стр. 25—26; ЦГАОР СССР, ф. 5451, оп. 14,. д. 250, л. 40)</w:t>
      </w:r>
      <w:r w:rsidR="006533A7" w:rsidRPr="00A259BD">
        <w:rPr>
          <w:rFonts w:ascii="Times New Roman" w:hAnsi="Times New Roman"/>
          <w:color w:val="000000" w:themeColor="text1"/>
          <w:sz w:val="16"/>
          <w:szCs w:val="16"/>
        </w:rPr>
        <w:t xml:space="preserve"> (17226)</w:t>
      </w:r>
      <w:r w:rsidRPr="00A259BD">
        <w:rPr>
          <w:rFonts w:ascii="Times New Roman" w:hAnsi="Times New Roman"/>
          <w:color w:val="000000" w:themeColor="text1"/>
          <w:sz w:val="16"/>
          <w:szCs w:val="16"/>
        </w:rPr>
        <w:t>.</w:t>
      </w:r>
    </w:p>
    <w:p w14:paraId="2AA6CAEF" w14:textId="77777777" w:rsidR="00F04F77" w:rsidRPr="00A259BD" w:rsidRDefault="00F04F77" w:rsidP="009236E3">
      <w:pPr>
        <w:autoSpaceDE w:val="0"/>
        <w:autoSpaceDN w:val="0"/>
        <w:adjustRightInd w:val="0"/>
        <w:spacing w:after="0" w:line="240" w:lineRule="auto"/>
        <w:jc w:val="both"/>
        <w:rPr>
          <w:rFonts w:ascii="Times New Roman" w:hAnsi="Times New Roman"/>
          <w:color w:val="000000" w:themeColor="text1"/>
          <w:sz w:val="16"/>
          <w:szCs w:val="16"/>
        </w:rPr>
      </w:pPr>
    </w:p>
    <w:p w14:paraId="5BC3FA6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86946F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D5130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января 1929 года в НИИ ВВС закончились испытание самолета РV БМВ6, которые проходили с 6 октября 1928</w:t>
      </w:r>
    </w:p>
    <w:p w14:paraId="0E47D97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 Писаренко</w:t>
      </w:r>
    </w:p>
    <w:p w14:paraId="756DC57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Календарь испытаний:</w:t>
      </w:r>
    </w:p>
    <w:p w14:paraId="0F3CC13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октября 1928 года самолет прибыл для испытаний</w:t>
      </w:r>
    </w:p>
    <w:p w14:paraId="28CD3F5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октября 1928 года пробный полет</w:t>
      </w:r>
    </w:p>
    <w:p w14:paraId="65029BD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ноября 1928 года - пять пробных полетов - работа мотора – неудовлетворительная</w:t>
      </w:r>
    </w:p>
    <w:p w14:paraId="3021F87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ноября 1928 года - пробный полет - работа мотора – удовлетворительная</w:t>
      </w:r>
    </w:p>
    <w:p w14:paraId="2245301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ноября 1928 года - полет на определение скороподъемности, потолка, горизонтальных скоростей на разных высотах</w:t>
      </w:r>
    </w:p>
    <w:p w14:paraId="5352B3C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ноября 1928 года полет на управляемость на определение горизонтальных скоростей на высоте 100 м по мерному километру</w:t>
      </w:r>
    </w:p>
    <w:p w14:paraId="26C8AA5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ноября 1928 года полет на </w:t>
      </w:r>
      <w:proofErr w:type="spellStart"/>
      <w:r w:rsidRPr="00A259BD">
        <w:rPr>
          <w:rFonts w:ascii="Times New Roman" w:hAnsi="Times New Roman"/>
          <w:color w:val="000000" w:themeColor="text1"/>
          <w:sz w:val="16"/>
          <w:szCs w:val="16"/>
        </w:rPr>
        <w:t>фотобазис</w:t>
      </w:r>
      <w:proofErr w:type="spellEnd"/>
      <w:r w:rsidRPr="00A259BD">
        <w:rPr>
          <w:rFonts w:ascii="Times New Roman" w:hAnsi="Times New Roman"/>
          <w:color w:val="000000" w:themeColor="text1"/>
          <w:sz w:val="16"/>
          <w:szCs w:val="16"/>
        </w:rPr>
        <w:t xml:space="preserve"> у земли</w:t>
      </w:r>
    </w:p>
    <w:p w14:paraId="7B3AE66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ноября 1928 года полет</w:t>
      </w:r>
    </w:p>
    <w:p w14:paraId="1DA4E1D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декабря 1928 года сделано два пробных полета</w:t>
      </w:r>
    </w:p>
    <w:p w14:paraId="5979D83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декабря 1928 года полет</w:t>
      </w:r>
    </w:p>
    <w:p w14:paraId="3267A1C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декабря 1928 года полет</w:t>
      </w:r>
    </w:p>
    <w:p w14:paraId="4CB5F7D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29 декабря 1928 года полет на </w:t>
      </w:r>
      <w:proofErr w:type="spellStart"/>
      <w:r w:rsidRPr="00A259BD">
        <w:rPr>
          <w:rFonts w:ascii="Times New Roman" w:hAnsi="Times New Roman"/>
          <w:color w:val="000000" w:themeColor="text1"/>
          <w:sz w:val="16"/>
          <w:szCs w:val="16"/>
        </w:rPr>
        <w:t>фотобазис</w:t>
      </w:r>
      <w:proofErr w:type="spellEnd"/>
    </w:p>
    <w:p w14:paraId="7BF1641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января 1929 года определение горизонтальных скоростей (6916).</w:t>
      </w:r>
    </w:p>
    <w:p w14:paraId="769AC68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BE73E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771E09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6C252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января 1929 король Александр 1 отменил действующую конституцию Королевства С, Х и С и установил диктатуру (3907,156).</w:t>
      </w:r>
    </w:p>
    <w:p w14:paraId="37EF81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35BB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января 1929 был подписан межамериканский договор, аналогичный пакту </w:t>
      </w:r>
      <w:proofErr w:type="spellStart"/>
      <w:r w:rsidRPr="00A259BD">
        <w:rPr>
          <w:rFonts w:ascii="Times New Roman" w:hAnsi="Times New Roman"/>
          <w:color w:val="000000" w:themeColor="text1"/>
          <w:sz w:val="16"/>
          <w:szCs w:val="16"/>
        </w:rPr>
        <w:t>Бриана</w:t>
      </w:r>
      <w:proofErr w:type="spellEnd"/>
      <w:r w:rsidRPr="00A259BD">
        <w:rPr>
          <w:rFonts w:ascii="Times New Roman" w:hAnsi="Times New Roman"/>
          <w:color w:val="000000" w:themeColor="text1"/>
          <w:sz w:val="16"/>
          <w:szCs w:val="16"/>
        </w:rPr>
        <w:t>-Келлога (3907,156).</w:t>
      </w:r>
    </w:p>
    <w:p w14:paraId="7A61C6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FA0C99"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AC1F6C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E2484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января 1929 был совершен военный переворот в Югославии (2443,405).</w:t>
      </w:r>
    </w:p>
    <w:p w14:paraId="5A0E91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C0353A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января 1929 в Югославии распущен парламент и диктатором объявлен П. </w:t>
      </w:r>
      <w:proofErr w:type="spellStart"/>
      <w:r w:rsidRPr="00A259BD">
        <w:rPr>
          <w:rFonts w:ascii="Times New Roman" w:hAnsi="Times New Roman"/>
          <w:color w:val="000000" w:themeColor="text1"/>
          <w:sz w:val="16"/>
          <w:szCs w:val="16"/>
        </w:rPr>
        <w:t>Живкович</w:t>
      </w:r>
      <w:proofErr w:type="spellEnd"/>
      <w:r w:rsidRPr="00A259BD">
        <w:rPr>
          <w:rFonts w:ascii="Times New Roman" w:hAnsi="Times New Roman"/>
          <w:color w:val="000000" w:themeColor="text1"/>
          <w:sz w:val="16"/>
          <w:szCs w:val="16"/>
        </w:rPr>
        <w:t xml:space="preserve"> (4962).</w:t>
      </w:r>
    </w:p>
    <w:p w14:paraId="26ADF99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4D563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января 1929 Г. Гиммлер назначен рейхсфюрером СС (4962).</w:t>
      </w:r>
    </w:p>
    <w:p w14:paraId="60F0A06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470436" w14:textId="77777777" w:rsidR="00CE0BB3" w:rsidRPr="00A259BD" w:rsidRDefault="00CE0B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6 января</w:t>
      </w:r>
      <w:r w:rsidRPr="00A259BD">
        <w:rPr>
          <w:rFonts w:ascii="Times New Roman" w:hAnsi="Times New Roman"/>
          <w:color w:val="000000" w:themeColor="text1"/>
          <w:sz w:val="16"/>
          <w:szCs w:val="16"/>
        </w:rPr>
        <w:t xml:space="preserve"> в 1929 году американцам впервые было предложено молоко не в стеклянных бутылках, а в бумажных пакетах (15001).</w:t>
      </w:r>
    </w:p>
    <w:p w14:paraId="61794F33" w14:textId="77777777" w:rsidR="00CE0BB3" w:rsidRPr="00A259BD" w:rsidRDefault="00CE0BB3" w:rsidP="009236E3">
      <w:pPr>
        <w:spacing w:after="0" w:line="240" w:lineRule="auto"/>
        <w:jc w:val="both"/>
        <w:rPr>
          <w:rFonts w:ascii="Times New Roman" w:hAnsi="Times New Roman"/>
          <w:color w:val="000000" w:themeColor="text1"/>
          <w:sz w:val="16"/>
          <w:szCs w:val="16"/>
        </w:rPr>
      </w:pPr>
    </w:p>
    <w:p w14:paraId="05E05197"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9A6BD3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7F76974" w14:textId="77777777" w:rsidR="00E24E3D" w:rsidRPr="00A259BD" w:rsidRDefault="00E24E3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января 1929 - (с 1 января) под командованием майора Карла </w:t>
      </w:r>
      <w:proofErr w:type="spellStart"/>
      <w:r w:rsidRPr="00A259BD">
        <w:rPr>
          <w:rFonts w:ascii="Times New Roman" w:hAnsi="Times New Roman"/>
          <w:color w:val="000000" w:themeColor="text1"/>
          <w:sz w:val="16"/>
          <w:szCs w:val="16"/>
        </w:rPr>
        <w:t>Спаатца</w:t>
      </w:r>
      <w:proofErr w:type="spellEnd"/>
      <w:r w:rsidRPr="00A259BD">
        <w:rPr>
          <w:rFonts w:ascii="Times New Roman" w:hAnsi="Times New Roman"/>
          <w:color w:val="000000" w:themeColor="text1"/>
          <w:sz w:val="16"/>
          <w:szCs w:val="16"/>
        </w:rPr>
        <w:t xml:space="preserve"> Atlantic-Fokker C-2a «Вопросительный знак» устанавливает рекорд продолжительности полета с дозаправкой (США) - 150 часов 45 минут (22677).</w:t>
      </w:r>
    </w:p>
    <w:p w14:paraId="299550DF" w14:textId="77777777" w:rsidR="00E24E3D" w:rsidRPr="00A259BD" w:rsidRDefault="00E24E3D" w:rsidP="009236E3">
      <w:pPr>
        <w:spacing w:after="0" w:line="240" w:lineRule="auto"/>
        <w:jc w:val="both"/>
        <w:rPr>
          <w:rFonts w:ascii="Times New Roman" w:hAnsi="Times New Roman"/>
          <w:color w:val="000000" w:themeColor="text1"/>
          <w:sz w:val="16"/>
          <w:szCs w:val="16"/>
        </w:rPr>
      </w:pPr>
    </w:p>
    <w:p w14:paraId="5CB592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января 1929 фирма </w:t>
      </w:r>
      <w:proofErr w:type="spellStart"/>
      <w:r w:rsidRPr="00A259BD">
        <w:rPr>
          <w:rFonts w:ascii="Times New Roman" w:hAnsi="Times New Roman"/>
          <w:color w:val="000000" w:themeColor="text1"/>
          <w:sz w:val="16"/>
          <w:szCs w:val="16"/>
        </w:rPr>
        <w:t>Sheffield</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Farms</w:t>
      </w:r>
      <w:proofErr w:type="spellEnd"/>
      <w:r w:rsidRPr="00A259BD">
        <w:rPr>
          <w:rFonts w:ascii="Times New Roman" w:hAnsi="Times New Roman"/>
          <w:color w:val="000000" w:themeColor="text1"/>
          <w:sz w:val="16"/>
          <w:szCs w:val="16"/>
        </w:rPr>
        <w:t xml:space="preserve"> из Нью Йорка начала разливать молоко в картонные пакеты (2100).</w:t>
      </w:r>
    </w:p>
    <w:p w14:paraId="3CC859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D232F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января 1929 появился один из первых комиксов - Тарзан (3263,20).</w:t>
      </w:r>
    </w:p>
    <w:p w14:paraId="79D312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84FCD8" w14:textId="77777777" w:rsidR="004E04DB" w:rsidRPr="00A259BD" w:rsidRDefault="004E04DB"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5E4B120" w14:textId="77777777" w:rsidR="004E04DB" w:rsidRPr="00A259BD" w:rsidRDefault="004E04D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16BFD7B" w14:textId="77777777" w:rsidR="004E04DB" w:rsidRPr="00A259BD" w:rsidRDefault="004E04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января 1929 работники НАМИ обрадовали военных лётчиков, сообщив о том, что тягач выполнен на 95% и будет готов к 20 января. Для нужд авиации была разработана модель тягача для работы по снежному аэродрому. Этот тягач предназначался для буксировки самолётов из ангара на старт и обратно в ангар. Заводка самолётов в ангар производилась силами особой команды, что было очень неудобно. Заказчиком на тягач выступили ВВС. При необходимости тягач мог использоваться как санитарный со специальным прицепом или для буксировки иных грузов. Изготовлению тягача предшествовал ряд предварительных опытов с построенной для этой цели моделью. Пользуясь результатами предварительных опытов и данными испытаний опытных движителей НАМИ-1 и НАМИ-КАС, Отдел приступил к выпуску рабочих чертежей и изготовлению опытного образца тягача в мастерских НАМИ. В марте месяце было произведено несколько испытаний на поле и в дороге, после чего машину сдали в НИИ ВВС. Однако на снабжение ВВС тягач так и не поступил. 16 мая 1929 г. один из его разработчиков – А. С. Кузин доложил соратникам ход работ. В этой связи в протоколе № 76 коллегии НАМИ было зафиксировано решение о необходимости просить ВВС указать, что должен эксплуатироваться тягач «по снежной целине, по снежному твёрдому грунту, или осеннему бездорожью или же летней дороге», так как предварительные опыты показали, что «при работе в тяжёлых зимних условиях тягач может быть неудовлетворительным» (18640).</w:t>
      </w:r>
    </w:p>
    <w:p w14:paraId="66E81DE4" w14:textId="77777777" w:rsidR="004E04DB" w:rsidRPr="00A259BD" w:rsidRDefault="004E04DB" w:rsidP="009236E3">
      <w:pPr>
        <w:spacing w:after="0" w:line="240" w:lineRule="auto"/>
        <w:jc w:val="both"/>
        <w:rPr>
          <w:rFonts w:ascii="Times New Roman" w:hAnsi="Times New Roman"/>
          <w:color w:val="000000" w:themeColor="text1"/>
          <w:sz w:val="16"/>
          <w:szCs w:val="16"/>
        </w:rPr>
      </w:pPr>
    </w:p>
    <w:p w14:paraId="71CF953B" w14:textId="77777777" w:rsidR="007548ED"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39CFDBB" w14:textId="77777777" w:rsidR="007548ED" w:rsidRPr="00A259BD" w:rsidRDefault="007548E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BECE2A"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января 1929 г. Постановление Президиума ВСНХ СССР о работе МПУ по обеспечению </w:t>
      </w:r>
      <w:proofErr w:type="spellStart"/>
      <w:r w:rsidRPr="00A259BD">
        <w:rPr>
          <w:rFonts w:ascii="Times New Roman" w:hAnsi="Times New Roman"/>
          <w:color w:val="000000" w:themeColor="text1"/>
          <w:sz w:val="16"/>
          <w:szCs w:val="16"/>
        </w:rPr>
        <w:t>мобготовности</w:t>
      </w:r>
      <w:proofErr w:type="spellEnd"/>
      <w:r w:rsidRPr="00A259BD">
        <w:rPr>
          <w:rFonts w:ascii="Times New Roman" w:hAnsi="Times New Roman"/>
          <w:color w:val="000000" w:themeColor="text1"/>
          <w:sz w:val="16"/>
          <w:szCs w:val="16"/>
        </w:rPr>
        <w:t xml:space="preserve"> промышленности (РГАЭ. Ф. 3429. Оп. 16. Д. 2. Л. 37?35) (12417).</w:t>
      </w:r>
    </w:p>
    <w:p w14:paraId="4AF81C4A" w14:textId="77777777" w:rsidR="007548ED" w:rsidRPr="00A259BD" w:rsidRDefault="007548ED" w:rsidP="009236E3">
      <w:pPr>
        <w:spacing w:after="0" w:line="240" w:lineRule="auto"/>
        <w:jc w:val="both"/>
        <w:rPr>
          <w:rFonts w:ascii="Times New Roman" w:hAnsi="Times New Roman"/>
          <w:color w:val="000000" w:themeColor="text1"/>
          <w:sz w:val="16"/>
          <w:szCs w:val="16"/>
        </w:rPr>
      </w:pPr>
    </w:p>
    <w:p w14:paraId="2B62269D" w14:textId="77777777" w:rsidR="007548ED"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F7025CE" w14:textId="77777777" w:rsidR="007548ED" w:rsidRPr="00A259BD" w:rsidRDefault="007548E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C6748B2" w14:textId="77777777" w:rsidR="007548ED" w:rsidRPr="00A259BD" w:rsidRDefault="007548ED"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9 января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xml:space="preserve">. Постановление РЗ СТО СССР об усилении связи НКВМ с </w:t>
      </w:r>
      <w:proofErr w:type="spellStart"/>
      <w:r w:rsidRPr="00A259BD">
        <w:rPr>
          <w:rFonts w:ascii="Times New Roman" w:hAnsi="Times New Roman"/>
          <w:color w:val="000000" w:themeColor="text1"/>
          <w:sz w:val="16"/>
          <w:szCs w:val="16"/>
          <w:u w:color="002060"/>
        </w:rPr>
        <w:t>Остехбюро</w:t>
      </w:r>
      <w:proofErr w:type="spellEnd"/>
      <w:r w:rsidRPr="00A259BD">
        <w:rPr>
          <w:rFonts w:ascii="Times New Roman" w:hAnsi="Times New Roman"/>
          <w:color w:val="000000" w:themeColor="text1"/>
          <w:sz w:val="16"/>
          <w:szCs w:val="16"/>
          <w:u w:color="002060"/>
        </w:rPr>
        <w:t xml:space="preserve"> (ГАРФ. Ф. Р?8418. Оп. 28) (12415).</w:t>
      </w:r>
    </w:p>
    <w:p w14:paraId="615CAE0D" w14:textId="77777777" w:rsidR="007548ED" w:rsidRPr="00A259BD" w:rsidRDefault="007548ED" w:rsidP="009236E3">
      <w:pPr>
        <w:spacing w:after="0" w:line="240" w:lineRule="auto"/>
        <w:jc w:val="both"/>
        <w:rPr>
          <w:rFonts w:ascii="Times New Roman" w:hAnsi="Times New Roman"/>
          <w:color w:val="000000" w:themeColor="text1"/>
          <w:sz w:val="16"/>
          <w:szCs w:val="16"/>
          <w:u w:color="002060"/>
        </w:rPr>
      </w:pPr>
    </w:p>
    <w:p w14:paraId="3B8E1D5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60751D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1DA8AE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января 1929 г. утвердили последний вариант чертежей М-12. Все предусмотренные в них изменения внесли в два опытных экземпляра, но это не смогло существенно повысить надежность.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распорядилось закрыть работу по М-12. Выпущенные моторы решили ис</w:t>
      </w:r>
      <w:r w:rsidRPr="00A259BD">
        <w:rPr>
          <w:rFonts w:ascii="Times New Roman" w:hAnsi="Times New Roman"/>
          <w:color w:val="000000" w:themeColor="text1"/>
          <w:sz w:val="16"/>
          <w:szCs w:val="16"/>
        </w:rPr>
        <w:softHyphen/>
        <w:t>пользовать на аэросанях, ограничив мощность 80 л.с. В НАМИ вели проектирование другого двигателя, унифицированного с М-12. Это был НАМИ-65, впоследствии обозначенный М-23.</w:t>
      </w:r>
    </w:p>
    <w:p w14:paraId="680FA0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98AD1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E3441C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CCA9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января 1929 года артиллерийское управление заклю</w:t>
      </w:r>
      <w:r w:rsidRPr="00A259BD">
        <w:rPr>
          <w:rFonts w:ascii="Times New Roman" w:hAnsi="Times New Roman"/>
          <w:color w:val="000000" w:themeColor="text1"/>
          <w:sz w:val="16"/>
          <w:szCs w:val="16"/>
        </w:rPr>
        <w:softHyphen/>
        <w:t>чило с Ижорским заводом договор № 549/86 на изготовле</w:t>
      </w:r>
      <w:r w:rsidRPr="00A259BD">
        <w:rPr>
          <w:rFonts w:ascii="Times New Roman" w:hAnsi="Times New Roman"/>
          <w:color w:val="000000" w:themeColor="text1"/>
          <w:sz w:val="16"/>
          <w:szCs w:val="16"/>
        </w:rPr>
        <w:softHyphen/>
        <w:t>ние еще 74 БА-27. Однако выпуск второй партии затянулся. И АМО, и Ижорский завод не имели необходимого обору</w:t>
      </w:r>
      <w:r w:rsidRPr="00A259BD">
        <w:rPr>
          <w:rFonts w:ascii="Times New Roman" w:hAnsi="Times New Roman"/>
          <w:color w:val="000000" w:themeColor="text1"/>
          <w:sz w:val="16"/>
          <w:szCs w:val="16"/>
        </w:rPr>
        <w:softHyphen/>
        <w:t>дования, инструментов и материалов, остро не хватало ква</w:t>
      </w:r>
      <w:r w:rsidRPr="00A259BD">
        <w:rPr>
          <w:rFonts w:ascii="Times New Roman" w:hAnsi="Times New Roman"/>
          <w:color w:val="000000" w:themeColor="text1"/>
          <w:sz w:val="16"/>
          <w:szCs w:val="16"/>
        </w:rPr>
        <w:softHyphen/>
        <w:t>лифицированных рабочих. Динамику производства броне</w:t>
      </w:r>
      <w:r w:rsidRPr="00A259BD">
        <w:rPr>
          <w:rFonts w:ascii="Times New Roman" w:hAnsi="Times New Roman"/>
          <w:color w:val="000000" w:themeColor="text1"/>
          <w:sz w:val="16"/>
          <w:szCs w:val="16"/>
        </w:rPr>
        <w:softHyphen/>
        <w:t>виков в этот период можно проследить по докладу военпре</w:t>
      </w:r>
      <w:r w:rsidRPr="00A259BD">
        <w:rPr>
          <w:rFonts w:ascii="Times New Roman" w:hAnsi="Times New Roman"/>
          <w:color w:val="000000" w:themeColor="text1"/>
          <w:sz w:val="16"/>
          <w:szCs w:val="16"/>
        </w:rPr>
        <w:softHyphen/>
        <w:t>да, датированному 8 декабря 1929 года: “За октябрь изготовлено первые 20 машин, за ноябрь — 12, по 8 декаб</w:t>
      </w:r>
      <w:r w:rsidRPr="00A259BD">
        <w:rPr>
          <w:rFonts w:ascii="Times New Roman" w:hAnsi="Times New Roman"/>
          <w:color w:val="000000" w:themeColor="text1"/>
          <w:sz w:val="16"/>
          <w:szCs w:val="16"/>
        </w:rPr>
        <w:softHyphen/>
        <w:t>ря - 11, всего 43. Готовы на 90 % - 11, на 80% - 8, на 70% -8, на 50% — 11, свободных шасси - 3, итого 73 машины” (11284).</w:t>
      </w:r>
    </w:p>
    <w:p w14:paraId="178948F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C12E2F" w14:textId="77777777" w:rsidR="004E04DB" w:rsidRPr="00A259BD" w:rsidRDefault="004E04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января 1929 года Управление снабжения </w:t>
      </w:r>
      <w:proofErr w:type="spellStart"/>
      <w:r w:rsidRPr="00A259BD">
        <w:rPr>
          <w:rFonts w:ascii="Times New Roman" w:hAnsi="Times New Roman"/>
          <w:color w:val="000000" w:themeColor="text1"/>
          <w:sz w:val="16"/>
          <w:szCs w:val="16"/>
        </w:rPr>
        <w:t>Коммисариата</w:t>
      </w:r>
      <w:proofErr w:type="spellEnd"/>
      <w:r w:rsidRPr="00A259BD">
        <w:rPr>
          <w:rFonts w:ascii="Times New Roman" w:hAnsi="Times New Roman"/>
          <w:color w:val="000000" w:themeColor="text1"/>
          <w:sz w:val="16"/>
          <w:szCs w:val="16"/>
        </w:rPr>
        <w:t xml:space="preserve"> по военным и морским делам решает начать производство треног Кондакова и направляет этот протокол директору Киевского Краснознаменного завода(Арсенал) в этот же день НИЗП поручается вновь испытать треногу с приспособлениями для балласта.(в сравнении с треногой Колесникова используя прицелы Сверчкова и ПЕЙКРИ).</w:t>
      </w:r>
    </w:p>
    <w:p w14:paraId="76157D9D" w14:textId="77777777" w:rsidR="004E04DB" w:rsidRPr="00A259BD" w:rsidRDefault="004E04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февраля 1929 года Горохов предоставляет рапорт об проведении испытаний.</w:t>
      </w:r>
    </w:p>
    <w:p w14:paraId="3180E73F" w14:textId="77777777" w:rsidR="004E04DB" w:rsidRPr="00A259BD" w:rsidRDefault="004E04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 треноги Колесникова 32 кг, Кондакова 13.49 кг.</w:t>
      </w:r>
    </w:p>
    <w:p w14:paraId="3934356D" w14:textId="77777777" w:rsidR="004E04DB" w:rsidRPr="00A259BD" w:rsidRDefault="004E04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треноги Кондакова 1460 мм, с поднятым вертлюгом 1740 мм .</w:t>
      </w:r>
    </w:p>
    <w:p w14:paraId="22F272C3" w14:textId="77777777" w:rsidR="004E04DB" w:rsidRPr="00A259BD" w:rsidRDefault="004E04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(Судя по фото ,приложенному к испытаниям вертлюг треноги Кондакова в первоначальном варианте имел длинную выдвижную трубу.)</w:t>
      </w:r>
    </w:p>
    <w:p w14:paraId="4A29665A" w14:textId="77777777" w:rsidR="004E04DB" w:rsidRPr="00A259BD" w:rsidRDefault="004E04DB"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Выводы:Тренога</w:t>
      </w:r>
      <w:proofErr w:type="spellEnd"/>
      <w:r w:rsidRPr="00A259BD">
        <w:rPr>
          <w:rFonts w:ascii="Times New Roman" w:hAnsi="Times New Roman"/>
          <w:color w:val="000000" w:themeColor="text1"/>
          <w:sz w:val="16"/>
          <w:szCs w:val="16"/>
        </w:rPr>
        <w:t xml:space="preserve"> Колесникова </w:t>
      </w:r>
      <w:proofErr w:type="spellStart"/>
      <w:r w:rsidRPr="00A259BD">
        <w:rPr>
          <w:rFonts w:ascii="Times New Roman" w:hAnsi="Times New Roman"/>
          <w:color w:val="000000" w:themeColor="text1"/>
          <w:sz w:val="16"/>
          <w:szCs w:val="16"/>
        </w:rPr>
        <w:t>устойчевее</w:t>
      </w:r>
      <w:proofErr w:type="spellEnd"/>
      <w:r w:rsidRPr="00A259BD">
        <w:rPr>
          <w:rFonts w:ascii="Times New Roman" w:hAnsi="Times New Roman"/>
          <w:color w:val="000000" w:themeColor="text1"/>
          <w:sz w:val="16"/>
          <w:szCs w:val="16"/>
        </w:rPr>
        <w:t xml:space="preserve"> но тренога Кондакова выигрывает в весе и имеет регулировку по росту </w:t>
      </w:r>
      <w:proofErr w:type="spellStart"/>
      <w:r w:rsidRPr="00A259BD">
        <w:rPr>
          <w:rFonts w:ascii="Times New Roman" w:hAnsi="Times New Roman"/>
          <w:color w:val="000000" w:themeColor="text1"/>
          <w:sz w:val="16"/>
          <w:szCs w:val="16"/>
        </w:rPr>
        <w:t>стрелка,может</w:t>
      </w:r>
      <w:proofErr w:type="spellEnd"/>
      <w:r w:rsidRPr="00A259BD">
        <w:rPr>
          <w:rFonts w:ascii="Times New Roman" w:hAnsi="Times New Roman"/>
          <w:color w:val="000000" w:themeColor="text1"/>
          <w:sz w:val="16"/>
          <w:szCs w:val="16"/>
        </w:rPr>
        <w:t xml:space="preserve"> перевозится на тачанках и повозках.</w:t>
      </w:r>
    </w:p>
    <w:p w14:paraId="3148576C" w14:textId="77777777" w:rsidR="004E04DB" w:rsidRPr="00A259BD" w:rsidRDefault="004E04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Но по результатам стрельб не может заменить треногу </w:t>
      </w:r>
      <w:proofErr w:type="spellStart"/>
      <w:r w:rsidRPr="00A259BD">
        <w:rPr>
          <w:rFonts w:ascii="Times New Roman" w:hAnsi="Times New Roman"/>
          <w:color w:val="000000" w:themeColor="text1"/>
          <w:sz w:val="16"/>
          <w:szCs w:val="16"/>
        </w:rPr>
        <w:t>Колесникова,стрельба</w:t>
      </w:r>
      <w:proofErr w:type="spellEnd"/>
      <w:r w:rsidRPr="00A259BD">
        <w:rPr>
          <w:rFonts w:ascii="Times New Roman" w:hAnsi="Times New Roman"/>
          <w:color w:val="000000" w:themeColor="text1"/>
          <w:sz w:val="16"/>
          <w:szCs w:val="16"/>
        </w:rPr>
        <w:t xml:space="preserve"> очередями возможна не </w:t>
      </w:r>
      <w:proofErr w:type="spellStart"/>
      <w:r w:rsidRPr="00A259BD">
        <w:rPr>
          <w:rFonts w:ascii="Times New Roman" w:hAnsi="Times New Roman"/>
          <w:color w:val="000000" w:themeColor="text1"/>
          <w:sz w:val="16"/>
          <w:szCs w:val="16"/>
        </w:rPr>
        <w:t>длинее</w:t>
      </w:r>
      <w:proofErr w:type="spellEnd"/>
      <w:r w:rsidRPr="00A259BD">
        <w:rPr>
          <w:rFonts w:ascii="Times New Roman" w:hAnsi="Times New Roman"/>
          <w:color w:val="000000" w:themeColor="text1"/>
          <w:sz w:val="16"/>
          <w:szCs w:val="16"/>
        </w:rPr>
        <w:t xml:space="preserve"> 15 - 20 патронов.</w:t>
      </w:r>
    </w:p>
    <w:p w14:paraId="3F4EA413" w14:textId="77777777" w:rsidR="004E04DB" w:rsidRPr="00A259BD" w:rsidRDefault="004E04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Тем не менее установка Кондакова ,несмотря на свои минусы использовалась до конца </w:t>
      </w:r>
      <w:proofErr w:type="spellStart"/>
      <w:r w:rsidRPr="00A259BD">
        <w:rPr>
          <w:rFonts w:ascii="Times New Roman" w:hAnsi="Times New Roman"/>
          <w:color w:val="000000" w:themeColor="text1"/>
          <w:sz w:val="16"/>
          <w:szCs w:val="16"/>
        </w:rPr>
        <w:t>ВОВ.Для</w:t>
      </w:r>
      <w:proofErr w:type="spellEnd"/>
      <w:r w:rsidRPr="00A259BD">
        <w:rPr>
          <w:rFonts w:ascii="Times New Roman" w:hAnsi="Times New Roman"/>
          <w:color w:val="000000" w:themeColor="text1"/>
          <w:sz w:val="16"/>
          <w:szCs w:val="16"/>
        </w:rPr>
        <w:t xml:space="preserve"> повышения устойчивости на нее навешивался станок Соколова.</w:t>
      </w:r>
    </w:p>
    <w:p w14:paraId="46F93E93" w14:textId="77777777" w:rsidR="004E04DB" w:rsidRPr="00A259BD" w:rsidRDefault="004E04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Были и другие </w:t>
      </w:r>
      <w:proofErr w:type="spellStart"/>
      <w:r w:rsidRPr="00A259BD">
        <w:rPr>
          <w:rFonts w:ascii="Times New Roman" w:hAnsi="Times New Roman"/>
          <w:color w:val="000000" w:themeColor="text1"/>
          <w:sz w:val="16"/>
          <w:szCs w:val="16"/>
        </w:rPr>
        <w:t>предложения:станок</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Ионова,двуколка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ЗПШ,установка</w:t>
      </w:r>
      <w:proofErr w:type="spellEnd"/>
      <w:r w:rsidRPr="00A259BD">
        <w:rPr>
          <w:rFonts w:ascii="Times New Roman" w:hAnsi="Times New Roman"/>
          <w:color w:val="000000" w:themeColor="text1"/>
          <w:sz w:val="16"/>
          <w:szCs w:val="16"/>
        </w:rPr>
        <w:t xml:space="preserve"> начальника стрелковой охраны западных железных дорог И.И Иванова и другие. Но у всех была проблема с устойчивостью (19739).</w:t>
      </w:r>
    </w:p>
    <w:p w14:paraId="62E266CA" w14:textId="77777777" w:rsidR="004E04DB" w:rsidRPr="00A259BD" w:rsidRDefault="004E04DB" w:rsidP="009236E3">
      <w:pPr>
        <w:spacing w:after="0" w:line="240" w:lineRule="auto"/>
        <w:jc w:val="both"/>
        <w:rPr>
          <w:rFonts w:ascii="Times New Roman" w:hAnsi="Times New Roman"/>
          <w:color w:val="000000" w:themeColor="text1"/>
          <w:sz w:val="16"/>
          <w:szCs w:val="16"/>
        </w:rPr>
      </w:pPr>
    </w:p>
    <w:p w14:paraId="228E47F9" w14:textId="77777777" w:rsidR="004E04DB" w:rsidRPr="00A259BD" w:rsidRDefault="004E04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января 1929 г. на заводе Светлана состоялось совещание административ</w:t>
      </w:r>
      <w:r w:rsidRPr="00A259BD">
        <w:rPr>
          <w:rFonts w:ascii="Times New Roman" w:hAnsi="Times New Roman"/>
          <w:color w:val="000000" w:themeColor="text1"/>
          <w:sz w:val="16"/>
          <w:szCs w:val="16"/>
        </w:rPr>
        <w:softHyphen/>
        <w:t>но-хозяйственного актива под председательством директора А.М. Иванова с участием старшего военного приемщика А.И. Кувшинова. На совещании были выработана согласованная программа мер по налаживанию процесса сдачи из</w:t>
      </w:r>
      <w:r w:rsidRPr="00A259BD">
        <w:rPr>
          <w:rFonts w:ascii="Times New Roman" w:hAnsi="Times New Roman"/>
          <w:color w:val="000000" w:themeColor="text1"/>
          <w:sz w:val="16"/>
          <w:szCs w:val="16"/>
        </w:rPr>
        <w:softHyphen/>
        <w:t>готовленных изделий, предусматривающая как организационное совершенст</w:t>
      </w:r>
      <w:r w:rsidRPr="00A259BD">
        <w:rPr>
          <w:rFonts w:ascii="Times New Roman" w:hAnsi="Times New Roman"/>
          <w:color w:val="000000" w:themeColor="text1"/>
          <w:sz w:val="16"/>
          <w:szCs w:val="16"/>
        </w:rPr>
        <w:softHyphen/>
        <w:t>вование механизма приема-сдачи, так и улучшение технического оборудования, использующегося при этом.</w:t>
      </w:r>
    </w:p>
    <w:p w14:paraId="476BE736" w14:textId="77777777" w:rsidR="004E04DB" w:rsidRPr="00A259BD" w:rsidRDefault="004E04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Дальнейшему упорядочению этих процессов было посвящено следую</w:t>
      </w:r>
      <w:r w:rsidRPr="00A259BD">
        <w:rPr>
          <w:rFonts w:ascii="Times New Roman" w:hAnsi="Times New Roman"/>
          <w:color w:val="000000" w:themeColor="text1"/>
          <w:sz w:val="16"/>
          <w:szCs w:val="16"/>
        </w:rPr>
        <w:softHyphen/>
        <w:t>щее совещание, которое состоялось 10 апреля 1929 г. На совещании директо</w:t>
      </w:r>
      <w:r w:rsidRPr="00A259BD">
        <w:rPr>
          <w:rFonts w:ascii="Times New Roman" w:hAnsi="Times New Roman"/>
          <w:color w:val="000000" w:themeColor="text1"/>
          <w:sz w:val="16"/>
          <w:szCs w:val="16"/>
        </w:rPr>
        <w:softHyphen/>
        <w:t>ром завода А.М. Ивановым и старшим представителем приемки ВТУ на «Светлане» А.И. Кувшиновым был проанализирован ход выполнения на пред</w:t>
      </w:r>
      <w:r w:rsidRPr="00A259BD">
        <w:rPr>
          <w:rFonts w:ascii="Times New Roman" w:hAnsi="Times New Roman"/>
          <w:color w:val="000000" w:themeColor="text1"/>
          <w:sz w:val="16"/>
          <w:szCs w:val="16"/>
        </w:rPr>
        <w:softHyphen/>
        <w:t xml:space="preserve">приятии письма заместителя наркома по военным и морским делам И. С. </w:t>
      </w:r>
      <w:proofErr w:type="spellStart"/>
      <w:r w:rsidRPr="00A259BD">
        <w:rPr>
          <w:rFonts w:ascii="Times New Roman" w:hAnsi="Times New Roman"/>
          <w:color w:val="000000" w:themeColor="text1"/>
          <w:sz w:val="16"/>
          <w:szCs w:val="16"/>
        </w:rPr>
        <w:t>Уншлихта</w:t>
      </w:r>
      <w:proofErr w:type="spellEnd"/>
      <w:r w:rsidRPr="00A259BD">
        <w:rPr>
          <w:rFonts w:ascii="Times New Roman" w:hAnsi="Times New Roman"/>
          <w:color w:val="000000" w:themeColor="text1"/>
          <w:sz w:val="16"/>
          <w:szCs w:val="16"/>
        </w:rPr>
        <w:t xml:space="preserve"> от 25 сентября 1928 г. По результатам обсуждения всего комплекса вопросов взаимодействия между заводоуправлением и представителями заказ</w:t>
      </w:r>
      <w:r w:rsidRPr="00A259BD">
        <w:rPr>
          <w:rFonts w:ascii="Times New Roman" w:hAnsi="Times New Roman"/>
          <w:color w:val="000000" w:themeColor="text1"/>
          <w:sz w:val="16"/>
          <w:szCs w:val="16"/>
        </w:rPr>
        <w:softHyphen/>
        <w:t>чика были выработаны некоторые основополагающие принципы, которые легли в основу дальнейшей работы завода:</w:t>
      </w:r>
    </w:p>
    <w:p w14:paraId="1191CE99" w14:textId="77777777" w:rsidR="004E04DB" w:rsidRPr="00A259BD" w:rsidRDefault="004E04DB" w:rsidP="009236E3">
      <w:pPr>
        <w:tabs>
          <w:tab w:val="left" w:pos="903"/>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определена четкая персональная ответственность должностных лиц за</w:t>
      </w:r>
      <w:r w:rsidRPr="00A259BD">
        <w:rPr>
          <w:rFonts w:ascii="Times New Roman" w:hAnsi="Times New Roman"/>
          <w:color w:val="000000" w:themeColor="text1"/>
          <w:sz w:val="16"/>
          <w:szCs w:val="16"/>
        </w:rPr>
        <w:softHyphen/>
        <w:t>вода за качество представляемой продукции по военным заказам;</w:t>
      </w:r>
    </w:p>
    <w:p w14:paraId="21AF7E1A" w14:textId="77777777" w:rsidR="004E04DB" w:rsidRPr="00A259BD" w:rsidRDefault="004E04DB" w:rsidP="009236E3">
      <w:pPr>
        <w:tabs>
          <w:tab w:val="left" w:pos="903"/>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установлено, что к заказам литеры «А» для завода «Светлана» (и соот</w:t>
      </w:r>
      <w:r w:rsidRPr="00A259BD">
        <w:rPr>
          <w:rFonts w:ascii="Times New Roman" w:hAnsi="Times New Roman"/>
          <w:color w:val="000000" w:themeColor="text1"/>
          <w:sz w:val="16"/>
          <w:szCs w:val="16"/>
        </w:rPr>
        <w:softHyphen/>
        <w:t>ветственно подлежащих первоочередному исполнению!) относятся заказы для ВТУ РККА, НИИС РККА, ЦВИРЛ, заводов им. Коминтерна и им. Козицкого (в объеме выполняемых ими заказов для ВТУ);</w:t>
      </w:r>
    </w:p>
    <w:p w14:paraId="64857FF6" w14:textId="77777777" w:rsidR="004E04DB" w:rsidRPr="00A259BD" w:rsidRDefault="004E04DB" w:rsidP="009236E3">
      <w:pPr>
        <w:tabs>
          <w:tab w:val="left" w:pos="942"/>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определено, что всю ответственность за качество сданной продукции берет на себя завод, а военный приемщик на основании актов испытаний, про</w:t>
      </w:r>
      <w:r w:rsidRPr="00A259BD">
        <w:rPr>
          <w:rFonts w:ascii="Times New Roman" w:hAnsi="Times New Roman"/>
          <w:color w:val="000000" w:themeColor="text1"/>
          <w:sz w:val="16"/>
          <w:szCs w:val="16"/>
        </w:rPr>
        <w:softHyphen/>
        <w:t>водимых сдаточным отделом предприятия, выдает заводу акт о приемке изде</w:t>
      </w:r>
      <w:r w:rsidRPr="00A259BD">
        <w:rPr>
          <w:rFonts w:ascii="Times New Roman" w:hAnsi="Times New Roman"/>
          <w:color w:val="000000" w:themeColor="text1"/>
          <w:sz w:val="16"/>
          <w:szCs w:val="16"/>
        </w:rPr>
        <w:softHyphen/>
        <w:t>лий (19098).</w:t>
      </w:r>
    </w:p>
    <w:p w14:paraId="708AFC5F" w14:textId="77777777" w:rsidR="004E04DB" w:rsidRPr="00A259BD" w:rsidRDefault="004E04DB" w:rsidP="009236E3">
      <w:pPr>
        <w:tabs>
          <w:tab w:val="left" w:pos="942"/>
        </w:tabs>
        <w:spacing w:after="0" w:line="240" w:lineRule="auto"/>
        <w:jc w:val="both"/>
        <w:rPr>
          <w:rFonts w:ascii="Times New Roman" w:hAnsi="Times New Roman"/>
          <w:color w:val="000000" w:themeColor="text1"/>
          <w:sz w:val="16"/>
          <w:szCs w:val="16"/>
        </w:rPr>
      </w:pPr>
    </w:p>
    <w:p w14:paraId="1F00B9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января 1929 г. вышел приказ Правления ЭТЗСТ № 118, который определил в качестве начальной даты существования ЦВИРЛ 1 февраля 1929 г. </w:t>
      </w:r>
      <w:proofErr w:type="spellStart"/>
      <w:r w:rsidRPr="00A259BD">
        <w:rPr>
          <w:rFonts w:ascii="Times New Roman" w:hAnsi="Times New Roman"/>
          <w:color w:val="000000" w:themeColor="text1"/>
          <w:sz w:val="16"/>
          <w:szCs w:val="16"/>
        </w:rPr>
        <w:t>Лаборато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рии</w:t>
      </w:r>
      <w:proofErr w:type="spellEnd"/>
      <w:r w:rsidRPr="00A259BD">
        <w:rPr>
          <w:rFonts w:ascii="Times New Roman" w:hAnsi="Times New Roman"/>
          <w:color w:val="000000" w:themeColor="text1"/>
          <w:sz w:val="16"/>
          <w:szCs w:val="16"/>
        </w:rPr>
        <w:t xml:space="preserve"> передавались большая часть оборудование, а также значительная часть за </w:t>
      </w:r>
      <w:proofErr w:type="spellStart"/>
      <w:r w:rsidRPr="00A259BD">
        <w:rPr>
          <w:rFonts w:ascii="Times New Roman" w:hAnsi="Times New Roman"/>
          <w:color w:val="000000" w:themeColor="text1"/>
          <w:sz w:val="16"/>
          <w:szCs w:val="16"/>
        </w:rPr>
        <w:t>казов</w:t>
      </w:r>
      <w:proofErr w:type="spellEnd"/>
      <w:r w:rsidRPr="00A259BD">
        <w:rPr>
          <w:rFonts w:ascii="Times New Roman" w:hAnsi="Times New Roman"/>
          <w:color w:val="000000" w:themeColor="text1"/>
          <w:sz w:val="16"/>
          <w:szCs w:val="16"/>
        </w:rPr>
        <w:t xml:space="preserve"> бывшего Военного отдела (ЦГА СПб., ф. 478, оп. 1, д. 4, л. 5.). В мае 1929 г. около половины сотрудников Военного отдела вместе с А.Т. Угловым убыли в Нижний Новгород, где им были предоставлены </w:t>
      </w:r>
      <w:proofErr w:type="spellStart"/>
      <w:r w:rsidRPr="00A259BD">
        <w:rPr>
          <w:rFonts w:ascii="Times New Roman" w:hAnsi="Times New Roman"/>
          <w:color w:val="000000" w:themeColor="text1"/>
          <w:sz w:val="16"/>
          <w:szCs w:val="16"/>
        </w:rPr>
        <w:t>осво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бодившиеся</w:t>
      </w:r>
      <w:proofErr w:type="spellEnd"/>
      <w:r w:rsidRPr="00A259BD">
        <w:rPr>
          <w:rFonts w:ascii="Times New Roman" w:hAnsi="Times New Roman"/>
          <w:color w:val="000000" w:themeColor="text1"/>
          <w:sz w:val="16"/>
          <w:szCs w:val="16"/>
        </w:rPr>
        <w:t xml:space="preserve"> квартиры сотрудников НРЛ (Архив </w:t>
      </w:r>
      <w:proofErr w:type="spellStart"/>
      <w:r w:rsidRPr="00A259BD">
        <w:rPr>
          <w:rFonts w:ascii="Times New Roman" w:hAnsi="Times New Roman"/>
          <w:color w:val="000000" w:themeColor="text1"/>
          <w:sz w:val="16"/>
          <w:szCs w:val="16"/>
        </w:rPr>
        <w:t>ВИМАИВиВС</w:t>
      </w:r>
      <w:proofErr w:type="spellEnd"/>
      <w:r w:rsidRPr="00A259BD">
        <w:rPr>
          <w:rFonts w:ascii="Times New Roman" w:hAnsi="Times New Roman"/>
          <w:color w:val="000000" w:themeColor="text1"/>
          <w:sz w:val="16"/>
          <w:szCs w:val="16"/>
        </w:rPr>
        <w:t xml:space="preserve">, ф. 60р, оп. 1, д. 47, л. 10.). Так завершился «ленинградский» период деятельности группы </w:t>
      </w:r>
      <w:proofErr w:type="spellStart"/>
      <w:r w:rsidRPr="00A259BD">
        <w:rPr>
          <w:rFonts w:ascii="Times New Roman" w:hAnsi="Times New Roman"/>
          <w:color w:val="000000" w:themeColor="text1"/>
          <w:sz w:val="16"/>
          <w:szCs w:val="16"/>
        </w:rPr>
        <w:t>отечест</w:t>
      </w:r>
      <w:proofErr w:type="spellEnd"/>
      <w:r w:rsidRPr="00A259BD">
        <w:rPr>
          <w:rFonts w:ascii="Times New Roman" w:hAnsi="Times New Roman"/>
          <w:color w:val="000000" w:themeColor="text1"/>
          <w:sz w:val="16"/>
          <w:szCs w:val="16"/>
        </w:rPr>
        <w:t xml:space="preserve"> венных специалистов в области военной радиотехники, возглавляемых вы дающимся организатором и радиоспециалистом Александром Тихоновичем Угловым. Период непродолжительный, но чрезвычайно насыщенный и </w:t>
      </w:r>
      <w:proofErr w:type="spellStart"/>
      <w:r w:rsidRPr="00A259BD">
        <w:rPr>
          <w:rFonts w:ascii="Times New Roman" w:hAnsi="Times New Roman"/>
          <w:color w:val="000000" w:themeColor="text1"/>
          <w:sz w:val="16"/>
          <w:szCs w:val="16"/>
        </w:rPr>
        <w:t>плодо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творный</w:t>
      </w:r>
      <w:proofErr w:type="spellEnd"/>
      <w:r w:rsidRPr="00A259BD">
        <w:rPr>
          <w:rFonts w:ascii="Times New Roman" w:hAnsi="Times New Roman"/>
          <w:color w:val="000000" w:themeColor="text1"/>
          <w:sz w:val="16"/>
          <w:szCs w:val="16"/>
        </w:rPr>
        <w:t xml:space="preserve">. За пять с половиной лет работы в Ленинграде под руководством </w:t>
      </w:r>
      <w:proofErr w:type="spellStart"/>
      <w:r w:rsidRPr="00A259BD">
        <w:rPr>
          <w:rFonts w:ascii="Times New Roman" w:hAnsi="Times New Roman"/>
          <w:color w:val="000000" w:themeColor="text1"/>
          <w:sz w:val="16"/>
          <w:szCs w:val="16"/>
        </w:rPr>
        <w:t>Уг</w:t>
      </w:r>
      <w:proofErr w:type="spellEnd"/>
      <w:r w:rsidRPr="00A259BD">
        <w:rPr>
          <w:rFonts w:ascii="Times New Roman" w:hAnsi="Times New Roman"/>
          <w:color w:val="000000" w:themeColor="text1"/>
          <w:sz w:val="16"/>
          <w:szCs w:val="16"/>
        </w:rPr>
        <w:t xml:space="preserve"> лова были разработаны все типы радиостанций, составивших так называемую первую систему </w:t>
      </w:r>
      <w:proofErr w:type="spellStart"/>
      <w:r w:rsidRPr="00A259BD">
        <w:rPr>
          <w:rFonts w:ascii="Times New Roman" w:hAnsi="Times New Roman"/>
          <w:color w:val="000000" w:themeColor="text1"/>
          <w:sz w:val="16"/>
          <w:szCs w:val="16"/>
        </w:rPr>
        <w:t>радиовооружения</w:t>
      </w:r>
      <w:proofErr w:type="spellEnd"/>
      <w:r w:rsidRPr="00A259BD">
        <w:rPr>
          <w:rFonts w:ascii="Times New Roman" w:hAnsi="Times New Roman"/>
          <w:color w:val="000000" w:themeColor="text1"/>
          <w:sz w:val="16"/>
          <w:szCs w:val="16"/>
        </w:rPr>
        <w:t xml:space="preserve"> войск связи РККА. Радиостанции первой системы вооружения имели много недостатков: громоздкость, большая численность обслуживающей команды, </w:t>
      </w:r>
      <w:proofErr w:type="spellStart"/>
      <w:r w:rsidRPr="00A259BD">
        <w:rPr>
          <w:rFonts w:ascii="Times New Roman" w:hAnsi="Times New Roman"/>
          <w:color w:val="000000" w:themeColor="text1"/>
          <w:sz w:val="16"/>
          <w:szCs w:val="16"/>
        </w:rPr>
        <w:t>нестабиль</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ность</w:t>
      </w:r>
      <w:proofErr w:type="spellEnd"/>
      <w:r w:rsidRPr="00A259BD">
        <w:rPr>
          <w:rFonts w:ascii="Times New Roman" w:hAnsi="Times New Roman"/>
          <w:color w:val="000000" w:themeColor="text1"/>
          <w:sz w:val="16"/>
          <w:szCs w:val="16"/>
        </w:rPr>
        <w:t xml:space="preserve"> работы передатчиков, низкая избирательность приемников, что </w:t>
      </w:r>
      <w:proofErr w:type="spellStart"/>
      <w:r w:rsidRPr="00A259BD">
        <w:rPr>
          <w:rFonts w:ascii="Times New Roman" w:hAnsi="Times New Roman"/>
          <w:color w:val="000000" w:themeColor="text1"/>
          <w:sz w:val="16"/>
          <w:szCs w:val="16"/>
        </w:rPr>
        <w:t>затруд</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няло</w:t>
      </w:r>
      <w:proofErr w:type="spellEnd"/>
      <w:r w:rsidRPr="00A259BD">
        <w:rPr>
          <w:rFonts w:ascii="Times New Roman" w:hAnsi="Times New Roman"/>
          <w:color w:val="000000" w:themeColor="text1"/>
          <w:sz w:val="16"/>
          <w:szCs w:val="16"/>
        </w:rPr>
        <w:t xml:space="preserve"> ведение связи. Малая частотная емкость диапазонов используемых волн ограничивала возможности распределения волн между войсковыми </w:t>
      </w:r>
      <w:proofErr w:type="spellStart"/>
      <w:r w:rsidRPr="00A259BD">
        <w:rPr>
          <w:rFonts w:ascii="Times New Roman" w:hAnsi="Times New Roman"/>
          <w:color w:val="000000" w:themeColor="text1"/>
          <w:sz w:val="16"/>
          <w:szCs w:val="16"/>
        </w:rPr>
        <w:t>соедине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ниями</w:t>
      </w:r>
      <w:proofErr w:type="spellEnd"/>
      <w:r w:rsidRPr="00A259BD">
        <w:rPr>
          <w:rFonts w:ascii="Times New Roman" w:hAnsi="Times New Roman"/>
          <w:color w:val="000000" w:themeColor="text1"/>
          <w:sz w:val="16"/>
          <w:szCs w:val="16"/>
        </w:rPr>
        <w:t xml:space="preserve"> и частями. Однако, несмотря на все свое несовершенство, эти радио станции были значительным шагом вперед по сравнению со станциями, </w:t>
      </w:r>
      <w:proofErr w:type="spellStart"/>
      <w:r w:rsidRPr="00A259BD">
        <w:rPr>
          <w:rFonts w:ascii="Times New Roman" w:hAnsi="Times New Roman"/>
          <w:color w:val="000000" w:themeColor="text1"/>
          <w:sz w:val="16"/>
          <w:szCs w:val="16"/>
        </w:rPr>
        <w:t>состо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явшими</w:t>
      </w:r>
      <w:proofErr w:type="spellEnd"/>
      <w:r w:rsidRPr="00A259BD">
        <w:rPr>
          <w:rFonts w:ascii="Times New Roman" w:hAnsi="Times New Roman"/>
          <w:color w:val="000000" w:themeColor="text1"/>
          <w:sz w:val="16"/>
          <w:szCs w:val="16"/>
        </w:rPr>
        <w:t xml:space="preserve"> на вооружении войск связи до них. Об этом свидетельствовали, в том числе, положительные отзывы из войск. Первая система </w:t>
      </w:r>
      <w:proofErr w:type="spellStart"/>
      <w:r w:rsidRPr="00A259BD">
        <w:rPr>
          <w:rFonts w:ascii="Times New Roman" w:hAnsi="Times New Roman"/>
          <w:color w:val="000000" w:themeColor="text1"/>
          <w:sz w:val="16"/>
          <w:szCs w:val="16"/>
        </w:rPr>
        <w:t>радиовооружения</w:t>
      </w:r>
      <w:proofErr w:type="spellEnd"/>
      <w:r w:rsidRPr="00A259BD">
        <w:rPr>
          <w:rFonts w:ascii="Times New Roman" w:hAnsi="Times New Roman"/>
          <w:color w:val="000000" w:themeColor="text1"/>
          <w:sz w:val="16"/>
          <w:szCs w:val="16"/>
        </w:rPr>
        <w:t xml:space="preserve"> имела большое значение в деле освоения производства военных радиостанций. Она позволила накопить определенный опыт и создать в короткий срок </w:t>
      </w:r>
      <w:proofErr w:type="spellStart"/>
      <w:r w:rsidRPr="00A259BD">
        <w:rPr>
          <w:rFonts w:ascii="Times New Roman" w:hAnsi="Times New Roman"/>
          <w:color w:val="000000" w:themeColor="text1"/>
          <w:sz w:val="16"/>
          <w:szCs w:val="16"/>
        </w:rPr>
        <w:t>вто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рую</w:t>
      </w:r>
      <w:proofErr w:type="spellEnd"/>
      <w:r w:rsidRPr="00A259BD">
        <w:rPr>
          <w:rFonts w:ascii="Times New Roman" w:hAnsi="Times New Roman"/>
          <w:color w:val="000000" w:themeColor="text1"/>
          <w:sz w:val="16"/>
          <w:szCs w:val="16"/>
        </w:rPr>
        <w:t xml:space="preserve"> систему </w:t>
      </w:r>
      <w:proofErr w:type="spellStart"/>
      <w:r w:rsidRPr="00A259BD">
        <w:rPr>
          <w:rFonts w:ascii="Times New Roman" w:hAnsi="Times New Roman"/>
          <w:color w:val="000000" w:themeColor="text1"/>
          <w:sz w:val="16"/>
          <w:szCs w:val="16"/>
        </w:rPr>
        <w:t>радиовооружения</w:t>
      </w:r>
      <w:proofErr w:type="spellEnd"/>
      <w:r w:rsidRPr="00A259BD">
        <w:rPr>
          <w:rFonts w:ascii="Times New Roman" w:hAnsi="Times New Roman"/>
          <w:color w:val="000000" w:themeColor="text1"/>
          <w:sz w:val="16"/>
          <w:szCs w:val="16"/>
        </w:rPr>
        <w:t xml:space="preserve">, более полно отвечающую требованиям управ </w:t>
      </w:r>
      <w:proofErr w:type="spellStart"/>
      <w:r w:rsidRPr="00A259BD">
        <w:rPr>
          <w:rFonts w:ascii="Times New Roman" w:hAnsi="Times New Roman"/>
          <w:color w:val="000000" w:themeColor="text1"/>
          <w:sz w:val="16"/>
          <w:szCs w:val="16"/>
        </w:rPr>
        <w:t>ления</w:t>
      </w:r>
      <w:proofErr w:type="spellEnd"/>
      <w:r w:rsidRPr="00A259BD">
        <w:rPr>
          <w:rFonts w:ascii="Times New Roman" w:hAnsi="Times New Roman"/>
          <w:color w:val="000000" w:themeColor="text1"/>
          <w:sz w:val="16"/>
          <w:szCs w:val="16"/>
        </w:rPr>
        <w:t xml:space="preserve"> войсками (История военной связи / Под ред. А.И. Белова. Т. 2. М.: Воениздат, 1984. С. 218.). Роль А.Т. Углова в развитии отечественной военной радиотехники чрез </w:t>
      </w:r>
      <w:proofErr w:type="spellStart"/>
      <w:r w:rsidRPr="00A259BD">
        <w:rPr>
          <w:rFonts w:ascii="Times New Roman" w:hAnsi="Times New Roman"/>
          <w:color w:val="000000" w:themeColor="text1"/>
          <w:sz w:val="16"/>
          <w:szCs w:val="16"/>
        </w:rPr>
        <w:t>вычайно</w:t>
      </w:r>
      <w:proofErr w:type="spellEnd"/>
      <w:r w:rsidRPr="00A259BD">
        <w:rPr>
          <w:rFonts w:ascii="Times New Roman" w:hAnsi="Times New Roman"/>
          <w:color w:val="000000" w:themeColor="text1"/>
          <w:sz w:val="16"/>
          <w:szCs w:val="16"/>
        </w:rPr>
        <w:t xml:space="preserve"> велика – его можно без преувеличения назвать создателем всей </w:t>
      </w:r>
      <w:proofErr w:type="spellStart"/>
      <w:r w:rsidRPr="00A259BD">
        <w:rPr>
          <w:rFonts w:ascii="Times New Roman" w:hAnsi="Times New Roman"/>
          <w:color w:val="000000" w:themeColor="text1"/>
          <w:sz w:val="16"/>
          <w:szCs w:val="16"/>
        </w:rPr>
        <w:t>аппа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ратуры</w:t>
      </w:r>
      <w:proofErr w:type="spellEnd"/>
      <w:r w:rsidRPr="00A259BD">
        <w:rPr>
          <w:rFonts w:ascii="Times New Roman" w:hAnsi="Times New Roman"/>
          <w:color w:val="000000" w:themeColor="text1"/>
          <w:sz w:val="16"/>
          <w:szCs w:val="16"/>
        </w:rPr>
        <w:t xml:space="preserve"> лампового периода военной радиосвязи в СССР, аппаратуры </w:t>
      </w:r>
      <w:proofErr w:type="spellStart"/>
      <w:r w:rsidRPr="00A259BD">
        <w:rPr>
          <w:rFonts w:ascii="Times New Roman" w:hAnsi="Times New Roman"/>
          <w:color w:val="000000" w:themeColor="text1"/>
          <w:sz w:val="16"/>
          <w:szCs w:val="16"/>
        </w:rPr>
        <w:t>сопоста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вимой</w:t>
      </w:r>
      <w:proofErr w:type="spellEnd"/>
      <w:r w:rsidRPr="00A259BD">
        <w:rPr>
          <w:rFonts w:ascii="Times New Roman" w:hAnsi="Times New Roman"/>
          <w:color w:val="000000" w:themeColor="text1"/>
          <w:sz w:val="16"/>
          <w:szCs w:val="16"/>
        </w:rPr>
        <w:t xml:space="preserve"> тогдашнему мировому уровню. Яркую характеристику Углову дает в своих воспоминаниях его ближайший соратник А.В. Дикарев. Он называет Александра Тихоновича исключительным организатора, обладавшим редким даром руководства в целом и технического - в частности. Как ученый Углов обладал широким кругозором в области физики и редкими способностями </w:t>
      </w:r>
      <w:proofErr w:type="spellStart"/>
      <w:r w:rsidRPr="00A259BD">
        <w:rPr>
          <w:rFonts w:ascii="Times New Roman" w:hAnsi="Times New Roman"/>
          <w:color w:val="000000" w:themeColor="text1"/>
          <w:sz w:val="16"/>
          <w:szCs w:val="16"/>
        </w:rPr>
        <w:t>ис</w:t>
      </w:r>
      <w:proofErr w:type="spellEnd"/>
      <w:r w:rsidRPr="00A259BD">
        <w:rPr>
          <w:rFonts w:ascii="Times New Roman" w:hAnsi="Times New Roman"/>
          <w:color w:val="000000" w:themeColor="text1"/>
          <w:sz w:val="16"/>
          <w:szCs w:val="16"/>
        </w:rPr>
        <w:t xml:space="preserve"> следователя-экспериментатора. А как руководитель он пользовался </w:t>
      </w:r>
      <w:proofErr w:type="spellStart"/>
      <w:r w:rsidRPr="00A259BD">
        <w:rPr>
          <w:rFonts w:ascii="Times New Roman" w:hAnsi="Times New Roman"/>
          <w:color w:val="000000" w:themeColor="text1"/>
          <w:sz w:val="16"/>
          <w:szCs w:val="16"/>
        </w:rPr>
        <w:t>непрере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каемым</w:t>
      </w:r>
      <w:proofErr w:type="spellEnd"/>
      <w:r w:rsidRPr="00A259BD">
        <w:rPr>
          <w:rFonts w:ascii="Times New Roman" w:hAnsi="Times New Roman"/>
          <w:color w:val="000000" w:themeColor="text1"/>
          <w:sz w:val="16"/>
          <w:szCs w:val="16"/>
        </w:rPr>
        <w:t xml:space="preserve"> авторитетом и глубоким уважением подчиненных за неизменно </w:t>
      </w:r>
      <w:proofErr w:type="spellStart"/>
      <w:r w:rsidRPr="00A259BD">
        <w:rPr>
          <w:rFonts w:ascii="Times New Roman" w:hAnsi="Times New Roman"/>
          <w:color w:val="000000" w:themeColor="text1"/>
          <w:sz w:val="16"/>
          <w:szCs w:val="16"/>
        </w:rPr>
        <w:t>оди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наково</w:t>
      </w:r>
      <w:proofErr w:type="spellEnd"/>
      <w:r w:rsidRPr="00A259BD">
        <w:rPr>
          <w:rFonts w:ascii="Times New Roman" w:hAnsi="Times New Roman"/>
          <w:color w:val="000000" w:themeColor="text1"/>
          <w:sz w:val="16"/>
          <w:szCs w:val="16"/>
        </w:rPr>
        <w:t xml:space="preserve"> благожелательное отношение к сотрудникам вплоть до последнего разнорабочего. Вместе с тем отличительной чертой характера Углова была </w:t>
      </w:r>
      <w:proofErr w:type="spellStart"/>
      <w:r w:rsidRPr="00A259BD">
        <w:rPr>
          <w:rFonts w:ascii="Times New Roman" w:hAnsi="Times New Roman"/>
          <w:color w:val="000000" w:themeColor="text1"/>
          <w:sz w:val="16"/>
          <w:szCs w:val="16"/>
        </w:rPr>
        <w:t>ис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ключительная</w:t>
      </w:r>
      <w:proofErr w:type="spellEnd"/>
      <w:r w:rsidRPr="00A259BD">
        <w:rPr>
          <w:rFonts w:ascii="Times New Roman" w:hAnsi="Times New Roman"/>
          <w:color w:val="000000" w:themeColor="text1"/>
          <w:sz w:val="16"/>
          <w:szCs w:val="16"/>
        </w:rPr>
        <w:t xml:space="preserve"> правдивость, абсолютная прямолинейность и вытекающая от сюда откровенность. «… он всегда серьезно и строго ставил на вид своим под чиненным, даже своим ближайшим друзьям, их ошибки и недочеты в работе и требовал их исправления» (Архив </w:t>
      </w:r>
      <w:proofErr w:type="spellStart"/>
      <w:r w:rsidRPr="00A259BD">
        <w:rPr>
          <w:rFonts w:ascii="Times New Roman" w:hAnsi="Times New Roman"/>
          <w:color w:val="000000" w:themeColor="text1"/>
          <w:sz w:val="16"/>
          <w:szCs w:val="16"/>
        </w:rPr>
        <w:t>ВИМАИВиВС</w:t>
      </w:r>
      <w:proofErr w:type="spellEnd"/>
      <w:r w:rsidRPr="00A259BD">
        <w:rPr>
          <w:rFonts w:ascii="Times New Roman" w:hAnsi="Times New Roman"/>
          <w:color w:val="000000" w:themeColor="text1"/>
          <w:sz w:val="16"/>
          <w:szCs w:val="16"/>
        </w:rPr>
        <w:t xml:space="preserve">, ф. 60р, оп. 1, д. 34, л. 30.). Правдивость и прямолинейность сослужили </w:t>
      </w:r>
      <w:proofErr w:type="spellStart"/>
      <w:r w:rsidRPr="00A259BD">
        <w:rPr>
          <w:rFonts w:ascii="Times New Roman" w:hAnsi="Times New Roman"/>
          <w:color w:val="000000" w:themeColor="text1"/>
          <w:sz w:val="16"/>
          <w:szCs w:val="16"/>
        </w:rPr>
        <w:t>Угло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ву</w:t>
      </w:r>
      <w:proofErr w:type="spellEnd"/>
      <w:r w:rsidRPr="00A259BD">
        <w:rPr>
          <w:rFonts w:ascii="Times New Roman" w:hAnsi="Times New Roman"/>
          <w:color w:val="000000" w:themeColor="text1"/>
          <w:sz w:val="16"/>
          <w:szCs w:val="16"/>
        </w:rPr>
        <w:t xml:space="preserve"> плохую службу в его отношениях с руководящими работниками. Вот что по этому поводу пишет Дикарев: «При несогласии с правильностью решения своего начальника Углов неизменно и иногда резко возражал во имя </w:t>
      </w:r>
      <w:proofErr w:type="spellStart"/>
      <w:r w:rsidRPr="00A259BD">
        <w:rPr>
          <w:rFonts w:ascii="Times New Roman" w:hAnsi="Times New Roman"/>
          <w:color w:val="000000" w:themeColor="text1"/>
          <w:sz w:val="16"/>
          <w:szCs w:val="16"/>
        </w:rPr>
        <w:t>справед</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ливости</w:t>
      </w:r>
      <w:proofErr w:type="spellEnd"/>
      <w:r w:rsidRPr="00A259BD">
        <w:rPr>
          <w:rFonts w:ascii="Times New Roman" w:hAnsi="Times New Roman"/>
          <w:color w:val="000000" w:themeColor="text1"/>
          <w:sz w:val="16"/>
          <w:szCs w:val="16"/>
        </w:rPr>
        <w:t xml:space="preserve">, невзирая на неудовольствие начальника. Подписывая технические условия на поручаемые военным ведомством разработки новой аппаратуры, Углов никогда не соглашался на требования, которые он считал </w:t>
      </w:r>
      <w:proofErr w:type="spellStart"/>
      <w:r w:rsidRPr="00A259BD">
        <w:rPr>
          <w:rFonts w:ascii="Times New Roman" w:hAnsi="Times New Roman"/>
          <w:color w:val="000000" w:themeColor="text1"/>
          <w:sz w:val="16"/>
          <w:szCs w:val="16"/>
        </w:rPr>
        <w:t>невыполни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мыми</w:t>
      </w:r>
      <w:proofErr w:type="spellEnd"/>
      <w:r w:rsidRPr="00A259BD">
        <w:rPr>
          <w:rFonts w:ascii="Times New Roman" w:hAnsi="Times New Roman"/>
          <w:color w:val="000000" w:themeColor="text1"/>
          <w:sz w:val="16"/>
          <w:szCs w:val="16"/>
        </w:rPr>
        <w:t xml:space="preserve"> при данном уровне техники или сроков, четко оговаривал в этом случае свое особое мнение» (Архив </w:t>
      </w:r>
      <w:proofErr w:type="spellStart"/>
      <w:r w:rsidRPr="00A259BD">
        <w:rPr>
          <w:rFonts w:ascii="Times New Roman" w:hAnsi="Times New Roman"/>
          <w:color w:val="000000" w:themeColor="text1"/>
          <w:sz w:val="16"/>
          <w:szCs w:val="16"/>
        </w:rPr>
        <w:t>ВИМАИВиВС</w:t>
      </w:r>
      <w:proofErr w:type="spellEnd"/>
      <w:r w:rsidRPr="00A259BD">
        <w:rPr>
          <w:rFonts w:ascii="Times New Roman" w:hAnsi="Times New Roman"/>
          <w:color w:val="000000" w:themeColor="text1"/>
          <w:sz w:val="16"/>
          <w:szCs w:val="16"/>
        </w:rPr>
        <w:t xml:space="preserve">, ф. 60р, оп. 1, д. 47, л. 13.). Еще одной характерной чертой Углова как руководителя было умение подбирать людей на каждый конкретный участок работы. Сам Углов </w:t>
      </w:r>
      <w:proofErr w:type="spellStart"/>
      <w:r w:rsidRPr="00A259BD">
        <w:rPr>
          <w:rFonts w:ascii="Times New Roman" w:hAnsi="Times New Roman"/>
          <w:color w:val="000000" w:themeColor="text1"/>
          <w:sz w:val="16"/>
          <w:szCs w:val="16"/>
        </w:rPr>
        <w:t>осущест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влял</w:t>
      </w:r>
      <w:proofErr w:type="spellEnd"/>
      <w:r w:rsidRPr="00A259BD">
        <w:rPr>
          <w:rFonts w:ascii="Times New Roman" w:hAnsi="Times New Roman"/>
          <w:color w:val="000000" w:themeColor="text1"/>
          <w:sz w:val="16"/>
          <w:szCs w:val="16"/>
        </w:rPr>
        <w:t xml:space="preserve"> общее руководство разработкой всех радиостанций. Разработка </w:t>
      </w:r>
      <w:proofErr w:type="spellStart"/>
      <w:r w:rsidRPr="00A259BD">
        <w:rPr>
          <w:rFonts w:ascii="Times New Roman" w:hAnsi="Times New Roman"/>
          <w:color w:val="000000" w:themeColor="text1"/>
          <w:sz w:val="16"/>
          <w:szCs w:val="16"/>
        </w:rPr>
        <w:t>приемни</w:t>
      </w:r>
      <w:proofErr w:type="spellEnd"/>
      <w:r w:rsidRPr="00A259BD">
        <w:rPr>
          <w:rFonts w:ascii="Times New Roman" w:hAnsi="Times New Roman"/>
          <w:color w:val="000000" w:themeColor="text1"/>
          <w:sz w:val="16"/>
          <w:szCs w:val="16"/>
        </w:rPr>
        <w:t xml:space="preserve"> ков проводилась под руководством А.В. Дикарева, при этом самое активное участие в этих работах принимал радиотехник Л.В. Виткевич. Большинство передатчиков было разработано под руководством З.В. Виткевича, который также отвечал за общую компоновку станций. Лаборант-конструктор </w:t>
      </w:r>
      <w:proofErr w:type="spellStart"/>
      <w:r w:rsidRPr="00A259BD">
        <w:rPr>
          <w:rFonts w:ascii="Times New Roman" w:hAnsi="Times New Roman"/>
          <w:color w:val="000000" w:themeColor="text1"/>
          <w:sz w:val="16"/>
          <w:szCs w:val="16"/>
        </w:rPr>
        <w:t>К.П.Иванов</w:t>
      </w:r>
      <w:proofErr w:type="spellEnd"/>
      <w:r w:rsidRPr="00A259BD">
        <w:rPr>
          <w:rFonts w:ascii="Times New Roman" w:hAnsi="Times New Roman"/>
          <w:color w:val="000000" w:themeColor="text1"/>
          <w:sz w:val="16"/>
          <w:szCs w:val="16"/>
        </w:rPr>
        <w:t xml:space="preserve">, обладая большими конструкторскими способностями, занимался раз работкой питания. Вместе с З.В. Виткевичем он принимали участие в боль </w:t>
      </w:r>
      <w:proofErr w:type="spellStart"/>
      <w:r w:rsidRPr="00A259BD">
        <w:rPr>
          <w:rFonts w:ascii="Times New Roman" w:hAnsi="Times New Roman"/>
          <w:color w:val="000000" w:themeColor="text1"/>
          <w:sz w:val="16"/>
          <w:szCs w:val="16"/>
        </w:rPr>
        <w:t>шинстве</w:t>
      </w:r>
      <w:proofErr w:type="spellEnd"/>
      <w:r w:rsidRPr="00A259BD">
        <w:rPr>
          <w:rFonts w:ascii="Times New Roman" w:hAnsi="Times New Roman"/>
          <w:color w:val="000000" w:themeColor="text1"/>
          <w:sz w:val="16"/>
          <w:szCs w:val="16"/>
        </w:rPr>
        <w:t xml:space="preserve"> приемных испытаний разработанных в отделе радиостанций в качестве представителя лаборатории. И.Б. </w:t>
      </w:r>
      <w:proofErr w:type="spellStart"/>
      <w:r w:rsidRPr="00A259BD">
        <w:rPr>
          <w:rFonts w:ascii="Times New Roman" w:hAnsi="Times New Roman"/>
          <w:color w:val="000000" w:themeColor="text1"/>
          <w:sz w:val="16"/>
          <w:szCs w:val="16"/>
        </w:rPr>
        <w:t>Довгвилло</w:t>
      </w:r>
      <w:proofErr w:type="spellEnd"/>
      <w:r w:rsidRPr="00A259BD">
        <w:rPr>
          <w:rFonts w:ascii="Times New Roman" w:hAnsi="Times New Roman"/>
          <w:color w:val="000000" w:themeColor="text1"/>
          <w:sz w:val="16"/>
          <w:szCs w:val="16"/>
        </w:rPr>
        <w:t xml:space="preserve"> из командного состава </w:t>
      </w:r>
      <w:proofErr w:type="spellStart"/>
      <w:r w:rsidRPr="00A259BD">
        <w:rPr>
          <w:rFonts w:ascii="Times New Roman" w:hAnsi="Times New Roman"/>
          <w:color w:val="000000" w:themeColor="text1"/>
          <w:sz w:val="16"/>
          <w:szCs w:val="16"/>
        </w:rPr>
        <w:t>ра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диочастей</w:t>
      </w:r>
      <w:proofErr w:type="spellEnd"/>
      <w:r w:rsidRPr="00A259BD">
        <w:rPr>
          <w:rFonts w:ascii="Times New Roman" w:hAnsi="Times New Roman"/>
          <w:color w:val="000000" w:themeColor="text1"/>
          <w:sz w:val="16"/>
          <w:szCs w:val="16"/>
        </w:rPr>
        <w:t xml:space="preserve"> перешел в лабораторию Углова в 1925 г. и занимался здесь </w:t>
      </w:r>
      <w:proofErr w:type="spellStart"/>
      <w:r w:rsidRPr="00A259BD">
        <w:rPr>
          <w:rFonts w:ascii="Times New Roman" w:hAnsi="Times New Roman"/>
          <w:color w:val="000000" w:themeColor="text1"/>
          <w:sz w:val="16"/>
          <w:szCs w:val="16"/>
        </w:rPr>
        <w:t>разра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боткой</w:t>
      </w:r>
      <w:proofErr w:type="spellEnd"/>
      <w:r w:rsidRPr="00A259BD">
        <w:rPr>
          <w:rFonts w:ascii="Times New Roman" w:hAnsi="Times New Roman"/>
          <w:color w:val="000000" w:themeColor="text1"/>
          <w:sz w:val="16"/>
          <w:szCs w:val="16"/>
        </w:rPr>
        <w:t xml:space="preserve"> пеленгаторных станций. Лаборант-конструктор А.Г. Шмидт был </w:t>
      </w:r>
      <w:proofErr w:type="spellStart"/>
      <w:r w:rsidRPr="00A259BD">
        <w:rPr>
          <w:rFonts w:ascii="Times New Roman" w:hAnsi="Times New Roman"/>
          <w:color w:val="000000" w:themeColor="text1"/>
          <w:sz w:val="16"/>
          <w:szCs w:val="16"/>
        </w:rPr>
        <w:t>бле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стяще</w:t>
      </w:r>
      <w:proofErr w:type="spellEnd"/>
      <w:r w:rsidRPr="00A259BD">
        <w:rPr>
          <w:rFonts w:ascii="Times New Roman" w:hAnsi="Times New Roman"/>
          <w:color w:val="000000" w:themeColor="text1"/>
          <w:sz w:val="16"/>
          <w:szCs w:val="16"/>
        </w:rPr>
        <w:t xml:space="preserve"> подготовленным инженером, его специализацией были радиостанции для высших звеньев управления, прежде всего вагонные станции типа 1ВФ (Архив </w:t>
      </w:r>
      <w:proofErr w:type="spellStart"/>
      <w:r w:rsidRPr="00A259BD">
        <w:rPr>
          <w:rFonts w:ascii="Times New Roman" w:hAnsi="Times New Roman"/>
          <w:color w:val="000000" w:themeColor="text1"/>
          <w:sz w:val="16"/>
          <w:szCs w:val="16"/>
        </w:rPr>
        <w:t>ВИМАИВиВС</w:t>
      </w:r>
      <w:proofErr w:type="spellEnd"/>
      <w:r w:rsidRPr="00A259BD">
        <w:rPr>
          <w:rFonts w:ascii="Times New Roman" w:hAnsi="Times New Roman"/>
          <w:color w:val="000000" w:themeColor="text1"/>
          <w:sz w:val="16"/>
          <w:szCs w:val="16"/>
        </w:rPr>
        <w:t xml:space="preserve">, ф. 60р, оп. 1, д. 93, л. 7.). Большинство из этих специалистов последовали за своим руководите </w:t>
      </w:r>
      <w:proofErr w:type="spellStart"/>
      <w:r w:rsidRPr="00A259BD">
        <w:rPr>
          <w:rFonts w:ascii="Times New Roman" w:hAnsi="Times New Roman"/>
          <w:color w:val="000000" w:themeColor="text1"/>
          <w:sz w:val="16"/>
          <w:szCs w:val="16"/>
        </w:rPr>
        <w:t>лем</w:t>
      </w:r>
      <w:proofErr w:type="spellEnd"/>
      <w:r w:rsidRPr="00A259BD">
        <w:rPr>
          <w:rFonts w:ascii="Times New Roman" w:hAnsi="Times New Roman"/>
          <w:color w:val="000000" w:themeColor="text1"/>
          <w:sz w:val="16"/>
          <w:szCs w:val="16"/>
        </w:rPr>
        <w:t xml:space="preserve"> в Нижний Новгород, и судьба многих из них сложилась трагически в </w:t>
      </w:r>
      <w:proofErr w:type="spellStart"/>
      <w:r w:rsidRPr="00A259BD">
        <w:rPr>
          <w:rFonts w:ascii="Times New Roman" w:hAnsi="Times New Roman"/>
          <w:color w:val="000000" w:themeColor="text1"/>
          <w:sz w:val="16"/>
          <w:szCs w:val="16"/>
        </w:rPr>
        <w:t>свя</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зи</w:t>
      </w:r>
      <w:proofErr w:type="spellEnd"/>
      <w:r w:rsidRPr="00A259BD">
        <w:rPr>
          <w:rFonts w:ascii="Times New Roman" w:hAnsi="Times New Roman"/>
          <w:color w:val="000000" w:themeColor="text1"/>
          <w:sz w:val="16"/>
          <w:szCs w:val="16"/>
        </w:rPr>
        <w:t xml:space="preserve"> с репрессиями 1930-х годов. А.В. Дикарев провел в заключении с 1937 по 1940 гг., З.В. Виткевич в 1937 г. был арестован, А.Г. Шмидт умер в </w:t>
      </w:r>
      <w:proofErr w:type="spellStart"/>
      <w:r w:rsidRPr="00A259BD">
        <w:rPr>
          <w:rFonts w:ascii="Times New Roman" w:hAnsi="Times New Roman"/>
          <w:color w:val="000000" w:themeColor="text1"/>
          <w:sz w:val="16"/>
          <w:szCs w:val="16"/>
        </w:rPr>
        <w:t>заключе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нии</w:t>
      </w:r>
      <w:proofErr w:type="spellEnd"/>
      <w:r w:rsidRPr="00A259BD">
        <w:rPr>
          <w:rFonts w:ascii="Times New Roman" w:hAnsi="Times New Roman"/>
          <w:color w:val="000000" w:themeColor="text1"/>
          <w:sz w:val="16"/>
          <w:szCs w:val="16"/>
        </w:rPr>
        <w:t xml:space="preserve"> в 1942 г., И.Б. </w:t>
      </w:r>
      <w:proofErr w:type="spellStart"/>
      <w:r w:rsidRPr="00A259BD">
        <w:rPr>
          <w:rFonts w:ascii="Times New Roman" w:hAnsi="Times New Roman"/>
          <w:color w:val="000000" w:themeColor="text1"/>
          <w:sz w:val="16"/>
          <w:szCs w:val="16"/>
        </w:rPr>
        <w:t>Довгвилло</w:t>
      </w:r>
      <w:proofErr w:type="spellEnd"/>
      <w:r w:rsidRPr="00A259BD">
        <w:rPr>
          <w:rFonts w:ascii="Times New Roman" w:hAnsi="Times New Roman"/>
          <w:color w:val="000000" w:themeColor="text1"/>
          <w:sz w:val="16"/>
          <w:szCs w:val="16"/>
        </w:rPr>
        <w:t xml:space="preserve"> умер, находясь под следствием, в 1938 г. Сам Углов недолго пробыл начальником ЦВИРЛ. В конце 1930 г. он был </w:t>
      </w:r>
      <w:proofErr w:type="spellStart"/>
      <w:r w:rsidRPr="00A259BD">
        <w:rPr>
          <w:rFonts w:ascii="Times New Roman" w:hAnsi="Times New Roman"/>
          <w:color w:val="000000" w:themeColor="text1"/>
          <w:sz w:val="16"/>
          <w:szCs w:val="16"/>
        </w:rPr>
        <w:t>аресто</w:t>
      </w:r>
      <w:proofErr w:type="spellEnd"/>
      <w:r w:rsidRPr="00A259BD">
        <w:rPr>
          <w:rFonts w:ascii="Times New Roman" w:hAnsi="Times New Roman"/>
          <w:color w:val="000000" w:themeColor="text1"/>
          <w:sz w:val="16"/>
          <w:szCs w:val="16"/>
        </w:rPr>
        <w:t xml:space="preserve"> ван, однако через 9 месяцев освобожден. Непродолжительное время он </w:t>
      </w:r>
      <w:proofErr w:type="spellStart"/>
      <w:r w:rsidRPr="00A259BD">
        <w:rPr>
          <w:rFonts w:ascii="Times New Roman" w:hAnsi="Times New Roman"/>
          <w:color w:val="000000" w:themeColor="text1"/>
          <w:sz w:val="16"/>
          <w:szCs w:val="16"/>
        </w:rPr>
        <w:t>рабо</w:t>
      </w:r>
      <w:proofErr w:type="spellEnd"/>
      <w:r w:rsidRPr="00A259BD">
        <w:rPr>
          <w:rFonts w:ascii="Times New Roman" w:hAnsi="Times New Roman"/>
          <w:color w:val="000000" w:themeColor="text1"/>
          <w:sz w:val="16"/>
          <w:szCs w:val="16"/>
        </w:rPr>
        <w:t xml:space="preserve"> тал в измерительном отделе лаборатории, затем два года начальником отдела на Нижегородском радиозаводе им. Ленина, а с 1933 г. преподавал в </w:t>
      </w:r>
      <w:proofErr w:type="spellStart"/>
      <w:r w:rsidRPr="00A259BD">
        <w:rPr>
          <w:rFonts w:ascii="Times New Roman" w:hAnsi="Times New Roman"/>
          <w:color w:val="000000" w:themeColor="text1"/>
          <w:sz w:val="16"/>
          <w:szCs w:val="16"/>
        </w:rPr>
        <w:t>горьков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ских</w:t>
      </w:r>
      <w:proofErr w:type="spellEnd"/>
      <w:r w:rsidRPr="00A259BD">
        <w:rPr>
          <w:rFonts w:ascii="Times New Roman" w:hAnsi="Times New Roman"/>
          <w:color w:val="000000" w:themeColor="text1"/>
          <w:sz w:val="16"/>
          <w:szCs w:val="16"/>
        </w:rPr>
        <w:t xml:space="preserve"> вузах. В 1937 г. Углов был арестован и в 1938 г. умер в заключении (Архив </w:t>
      </w:r>
      <w:proofErr w:type="spellStart"/>
      <w:r w:rsidRPr="00A259BD">
        <w:rPr>
          <w:rFonts w:ascii="Times New Roman" w:hAnsi="Times New Roman"/>
          <w:color w:val="000000" w:themeColor="text1"/>
          <w:sz w:val="16"/>
          <w:szCs w:val="16"/>
        </w:rPr>
        <w:t>ВИМАИВиВС</w:t>
      </w:r>
      <w:proofErr w:type="spellEnd"/>
      <w:r w:rsidRPr="00A259BD">
        <w:rPr>
          <w:rFonts w:ascii="Times New Roman" w:hAnsi="Times New Roman"/>
          <w:color w:val="000000" w:themeColor="text1"/>
          <w:sz w:val="16"/>
          <w:szCs w:val="16"/>
        </w:rPr>
        <w:t>, ф. 60р, оп. 1, д. 47, л. 12) (11870).</w:t>
      </w:r>
    </w:p>
    <w:p w14:paraId="79EA9F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0082D7" w14:textId="77777777" w:rsidR="00CE0BB3" w:rsidRPr="00A259BD" w:rsidRDefault="00CE0BB3" w:rsidP="009236E3">
      <w:pPr>
        <w:pStyle w:val="ae"/>
        <w:spacing w:before="0" w:after="0"/>
        <w:jc w:val="both"/>
        <w:rPr>
          <w:color w:val="000000" w:themeColor="text1"/>
          <w:sz w:val="16"/>
          <w:szCs w:val="16"/>
        </w:rPr>
      </w:pPr>
      <w:r w:rsidRPr="00A259BD">
        <w:rPr>
          <w:color w:val="000000" w:themeColor="text1"/>
          <w:sz w:val="16"/>
          <w:szCs w:val="16"/>
        </w:rPr>
        <w:t>10 января 1929 г. в приказе Треста заводов слабого тока № 118 было записано:</w:t>
      </w:r>
    </w:p>
    <w:p w14:paraId="63A83B29" w14:textId="77777777" w:rsidR="00CE0BB3" w:rsidRPr="00A259BD" w:rsidRDefault="00CE0BB3" w:rsidP="009236E3">
      <w:pPr>
        <w:pStyle w:val="ae"/>
        <w:spacing w:before="0" w:after="0"/>
        <w:jc w:val="both"/>
        <w:rPr>
          <w:color w:val="000000" w:themeColor="text1"/>
          <w:sz w:val="16"/>
          <w:szCs w:val="16"/>
        </w:rPr>
      </w:pPr>
      <w:r w:rsidRPr="00A259BD">
        <w:rPr>
          <w:color w:val="000000" w:themeColor="text1"/>
          <w:sz w:val="16"/>
          <w:szCs w:val="16"/>
        </w:rPr>
        <w:t>«Военная лаборатория на з-де им. Коминтерна с 1 февраля выделяется и реорганизуется в ЦВИРЛ с переводом в Нижний Новгород», на базу НРЛ, где остались опытные кадры и значительный научно-технический задел в области радиоприборостроения» (15736).</w:t>
      </w:r>
    </w:p>
    <w:p w14:paraId="47F2718E" w14:textId="77777777" w:rsidR="00CE0BB3" w:rsidRPr="00A259BD" w:rsidRDefault="00CE0BB3" w:rsidP="009236E3">
      <w:pPr>
        <w:pStyle w:val="ae"/>
        <w:spacing w:before="0" w:after="0"/>
        <w:jc w:val="both"/>
        <w:rPr>
          <w:color w:val="000000" w:themeColor="text1"/>
          <w:sz w:val="16"/>
          <w:szCs w:val="16"/>
        </w:rPr>
      </w:pPr>
    </w:p>
    <w:p w14:paraId="3AFB3060"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17B99E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22F0F8D" w14:textId="77777777" w:rsidR="00E24E3D" w:rsidRPr="00A259BD" w:rsidRDefault="00E24E3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января 1929 года — первый полёт патрульной летающей лодки </w:t>
      </w:r>
      <w:proofErr w:type="spellStart"/>
      <w:r w:rsidRPr="00A259BD">
        <w:rPr>
          <w:rFonts w:ascii="Times New Roman" w:hAnsi="Times New Roman"/>
          <w:color w:val="000000" w:themeColor="text1"/>
          <w:sz w:val="16"/>
          <w:szCs w:val="16"/>
        </w:rPr>
        <w:t>Consolidated</w:t>
      </w:r>
      <w:proofErr w:type="spellEnd"/>
      <w:r w:rsidRPr="00A259BD">
        <w:rPr>
          <w:rFonts w:ascii="Times New Roman" w:hAnsi="Times New Roman"/>
          <w:color w:val="000000" w:themeColor="text1"/>
          <w:sz w:val="16"/>
          <w:szCs w:val="16"/>
        </w:rPr>
        <w:t xml:space="preserve"> P2Y </w:t>
      </w:r>
      <w:proofErr w:type="spellStart"/>
      <w:r w:rsidRPr="00A259BD">
        <w:rPr>
          <w:rFonts w:ascii="Times New Roman" w:hAnsi="Times New Roman"/>
          <w:color w:val="000000" w:themeColor="text1"/>
          <w:sz w:val="16"/>
          <w:szCs w:val="16"/>
        </w:rPr>
        <w:t>Ranger</w:t>
      </w:r>
      <w:proofErr w:type="spellEnd"/>
      <w:r w:rsidRPr="00A259BD">
        <w:rPr>
          <w:rFonts w:ascii="Times New Roman" w:hAnsi="Times New Roman"/>
          <w:color w:val="000000" w:themeColor="text1"/>
          <w:sz w:val="16"/>
          <w:szCs w:val="16"/>
        </w:rPr>
        <w:t>. /США/</w:t>
      </w:r>
    </w:p>
    <w:p w14:paraId="02745C88" w14:textId="77777777" w:rsidR="00E24E3D" w:rsidRPr="00A259BD" w:rsidRDefault="00E24E3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году по заданию ВМФ США </w:t>
      </w:r>
      <w:proofErr w:type="spellStart"/>
      <w:r w:rsidRPr="00A259BD">
        <w:rPr>
          <w:rFonts w:ascii="Times New Roman" w:hAnsi="Times New Roman"/>
          <w:color w:val="000000" w:themeColor="text1"/>
          <w:sz w:val="16"/>
          <w:szCs w:val="16"/>
        </w:rPr>
        <w:t>Consolidated</w:t>
      </w:r>
      <w:proofErr w:type="spellEnd"/>
      <w:r w:rsidRPr="00A259BD">
        <w:rPr>
          <w:rFonts w:ascii="Times New Roman" w:hAnsi="Times New Roman"/>
          <w:color w:val="000000" w:themeColor="text1"/>
          <w:sz w:val="16"/>
          <w:szCs w:val="16"/>
        </w:rPr>
        <w:t> разработала летающую лодку Model 9. Но тендер на её серийное производство выиграла компания </w:t>
      </w:r>
      <w:proofErr w:type="spellStart"/>
      <w:r w:rsidRPr="00A259BD">
        <w:rPr>
          <w:rFonts w:ascii="Times New Roman" w:hAnsi="Times New Roman"/>
          <w:color w:val="000000" w:themeColor="text1"/>
          <w:sz w:val="16"/>
          <w:szCs w:val="16"/>
        </w:rPr>
        <w:t>Glenn</w:t>
      </w:r>
      <w:proofErr w:type="spellEnd"/>
      <w:r w:rsidRPr="00A259BD">
        <w:rPr>
          <w:rFonts w:ascii="Times New Roman" w:hAnsi="Times New Roman"/>
          <w:color w:val="000000" w:themeColor="text1"/>
          <w:sz w:val="16"/>
          <w:szCs w:val="16"/>
        </w:rPr>
        <w:t xml:space="preserve"> L. Martin Company. В ответ </w:t>
      </w:r>
      <w:proofErr w:type="spellStart"/>
      <w:r w:rsidRPr="00A259BD">
        <w:rPr>
          <w:rFonts w:ascii="Times New Roman" w:hAnsi="Times New Roman"/>
          <w:color w:val="000000" w:themeColor="text1"/>
          <w:sz w:val="16"/>
          <w:szCs w:val="16"/>
        </w:rPr>
        <w:t>Consolidated</w:t>
      </w:r>
      <w:proofErr w:type="spellEnd"/>
      <w:r w:rsidRPr="00A259BD">
        <w:rPr>
          <w:rFonts w:ascii="Times New Roman" w:hAnsi="Times New Roman"/>
          <w:color w:val="000000" w:themeColor="text1"/>
          <w:sz w:val="16"/>
          <w:szCs w:val="16"/>
        </w:rPr>
        <w:t xml:space="preserve"> решила создать на базе Model 9 более совершенную лодку с закрытой кабиной — Model 22, прототип будущей P2Y </w:t>
      </w:r>
      <w:proofErr w:type="spellStart"/>
      <w:r w:rsidRPr="00A259BD">
        <w:rPr>
          <w:rFonts w:ascii="Times New Roman" w:hAnsi="Times New Roman"/>
          <w:color w:val="000000" w:themeColor="text1"/>
          <w:sz w:val="16"/>
          <w:szCs w:val="16"/>
        </w:rPr>
        <w:t>Ranger</w:t>
      </w:r>
      <w:proofErr w:type="spellEnd"/>
      <w:r w:rsidRPr="00A259BD">
        <w:rPr>
          <w:rFonts w:ascii="Times New Roman" w:hAnsi="Times New Roman"/>
          <w:color w:val="000000" w:themeColor="text1"/>
          <w:sz w:val="16"/>
          <w:szCs w:val="16"/>
        </w:rPr>
        <w:t>.</w:t>
      </w:r>
    </w:p>
    <w:p w14:paraId="450E8BBF" w14:textId="77777777" w:rsidR="00E24E3D" w:rsidRPr="00A259BD" w:rsidRDefault="00E24E3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P2Y представляла собой </w:t>
      </w:r>
      <w:proofErr w:type="spellStart"/>
      <w:r w:rsidRPr="00A259BD">
        <w:rPr>
          <w:rFonts w:ascii="Times New Roman" w:hAnsi="Times New Roman"/>
          <w:color w:val="000000" w:themeColor="text1"/>
          <w:sz w:val="16"/>
          <w:szCs w:val="16"/>
        </w:rPr>
        <w:t>полутороплан</w:t>
      </w:r>
      <w:proofErr w:type="spellEnd"/>
      <w:r w:rsidRPr="00A259BD">
        <w:rPr>
          <w:rFonts w:ascii="Times New Roman" w:hAnsi="Times New Roman"/>
          <w:color w:val="000000" w:themeColor="text1"/>
          <w:sz w:val="16"/>
          <w:szCs w:val="16"/>
        </w:rPr>
        <w:t xml:space="preserve"> с </w:t>
      </w:r>
      <w:proofErr w:type="spellStart"/>
      <w:r w:rsidRPr="00A259BD">
        <w:rPr>
          <w:rFonts w:ascii="Times New Roman" w:hAnsi="Times New Roman"/>
          <w:color w:val="000000" w:themeColor="text1"/>
          <w:sz w:val="16"/>
          <w:szCs w:val="16"/>
        </w:rPr>
        <w:t>двухкилевым</w:t>
      </w:r>
      <w:proofErr w:type="spellEnd"/>
      <w:r w:rsidRPr="00A259BD">
        <w:rPr>
          <w:rFonts w:ascii="Times New Roman" w:hAnsi="Times New Roman"/>
          <w:color w:val="000000" w:themeColor="text1"/>
          <w:sz w:val="16"/>
          <w:szCs w:val="16"/>
        </w:rPr>
        <w:t xml:space="preserve"> хвостовым оперением. Корпус — цельнометаллический, верхнее крыло — деревянное с полотняной обшивкой. Оснащалась 2 × двигателями </w:t>
      </w:r>
      <w:proofErr w:type="spellStart"/>
      <w:r w:rsidRPr="00A259BD">
        <w:rPr>
          <w:rFonts w:ascii="Times New Roman" w:hAnsi="Times New Roman"/>
          <w:color w:val="000000" w:themeColor="text1"/>
          <w:sz w:val="16"/>
          <w:szCs w:val="16"/>
        </w:rPr>
        <w:t>Wright</w:t>
      </w:r>
      <w:proofErr w:type="spellEnd"/>
      <w:r w:rsidRPr="00A259BD">
        <w:rPr>
          <w:rFonts w:ascii="Times New Roman" w:hAnsi="Times New Roman"/>
          <w:color w:val="000000" w:themeColor="text1"/>
          <w:sz w:val="16"/>
          <w:szCs w:val="16"/>
        </w:rPr>
        <w:t xml:space="preserve"> R-1820-E1 </w:t>
      </w:r>
      <w:proofErr w:type="spellStart"/>
      <w:r w:rsidRPr="00A259BD">
        <w:rPr>
          <w:rFonts w:ascii="Times New Roman" w:hAnsi="Times New Roman"/>
          <w:color w:val="000000" w:themeColor="text1"/>
          <w:sz w:val="16"/>
          <w:szCs w:val="16"/>
        </w:rPr>
        <w:t>Cyclone</w:t>
      </w:r>
      <w:proofErr w:type="spellEnd"/>
      <w:r w:rsidRPr="00A259BD">
        <w:rPr>
          <w:rFonts w:ascii="Times New Roman" w:hAnsi="Times New Roman"/>
          <w:color w:val="000000" w:themeColor="text1"/>
          <w:sz w:val="16"/>
          <w:szCs w:val="16"/>
        </w:rPr>
        <w:t xml:space="preserve"> (на поздних вариантах стояли более мощные R-1820-88, встроенные в переднюю кромку крыла). Крейсерская скорость — 189 км/ч, дальность полёта — 1899 км. Вооружение — 3 × 7,62-мм пулемёта M1919 </w:t>
      </w:r>
      <w:proofErr w:type="spellStart"/>
      <w:r w:rsidRPr="00A259BD">
        <w:rPr>
          <w:rFonts w:ascii="Times New Roman" w:hAnsi="Times New Roman"/>
          <w:color w:val="000000" w:themeColor="text1"/>
          <w:sz w:val="16"/>
          <w:szCs w:val="16"/>
        </w:rPr>
        <w:t>Browning</w:t>
      </w:r>
      <w:proofErr w:type="spellEnd"/>
      <w:r w:rsidRPr="00A259BD">
        <w:rPr>
          <w:rFonts w:ascii="Times New Roman" w:hAnsi="Times New Roman"/>
          <w:color w:val="000000" w:themeColor="text1"/>
          <w:sz w:val="16"/>
          <w:szCs w:val="16"/>
        </w:rPr>
        <w:t xml:space="preserve"> и 910 кг бомбовой нагрузки.</w:t>
      </w:r>
    </w:p>
    <w:p w14:paraId="5A13FD06" w14:textId="77777777" w:rsidR="00E24E3D" w:rsidRPr="00A259BD" w:rsidRDefault="00E24E3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Выпустили 78 летающих лодок P2Y </w:t>
      </w:r>
      <w:proofErr w:type="spellStart"/>
      <w:r w:rsidRPr="00A259BD">
        <w:rPr>
          <w:rFonts w:ascii="Times New Roman" w:hAnsi="Times New Roman"/>
          <w:color w:val="000000" w:themeColor="text1"/>
          <w:sz w:val="16"/>
          <w:szCs w:val="16"/>
        </w:rPr>
        <w:t>Ranger</w:t>
      </w:r>
      <w:proofErr w:type="spellEnd"/>
      <w:r w:rsidRPr="00A259BD">
        <w:rPr>
          <w:rFonts w:ascii="Times New Roman" w:hAnsi="Times New Roman"/>
          <w:color w:val="000000" w:themeColor="text1"/>
          <w:sz w:val="16"/>
          <w:szCs w:val="16"/>
        </w:rPr>
        <w:t>. Они стояли на вооружении ВМФ США (до 1941 года) и Аргентины (до 1949 года). По 1 лодке заказали для тестов Колумбия и Япония (22300).</w:t>
      </w:r>
    </w:p>
    <w:p w14:paraId="4BDEA978" w14:textId="77777777" w:rsidR="00E24E3D" w:rsidRPr="00A259BD" w:rsidRDefault="00E24E3D" w:rsidP="009236E3">
      <w:pPr>
        <w:pStyle w:val="style3"/>
        <w:spacing w:before="0" w:beforeAutospacing="0" w:after="0" w:afterAutospacing="0"/>
        <w:jc w:val="both"/>
        <w:rPr>
          <w:color w:val="000000" w:themeColor="text1"/>
          <w:sz w:val="16"/>
          <w:szCs w:val="16"/>
        </w:rPr>
      </w:pPr>
    </w:p>
    <w:p w14:paraId="00D810BF" w14:textId="77777777" w:rsidR="00E24E3D" w:rsidRPr="00A259BD" w:rsidRDefault="00E24E3D"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10-26 января 1929 американские летчики на самолетах Локхид-Вега и Форд совершили первые полеты в Антарктике (237,156).</w:t>
      </w:r>
    </w:p>
    <w:p w14:paraId="7C072FBF" w14:textId="77777777" w:rsidR="00E24E3D" w:rsidRPr="00A259BD" w:rsidRDefault="00E24E3D" w:rsidP="009236E3">
      <w:pPr>
        <w:autoSpaceDE w:val="0"/>
        <w:autoSpaceDN w:val="0"/>
        <w:adjustRightInd w:val="0"/>
        <w:spacing w:after="0" w:line="240" w:lineRule="auto"/>
        <w:jc w:val="both"/>
        <w:rPr>
          <w:rFonts w:ascii="Times New Roman" w:hAnsi="Times New Roman"/>
          <w:color w:val="000000" w:themeColor="text1"/>
          <w:sz w:val="16"/>
          <w:szCs w:val="16"/>
        </w:rPr>
      </w:pPr>
    </w:p>
    <w:p w14:paraId="3F88F04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376C79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ED284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января 1929 состоялось заседание НТК (журнал N 3сс) по вопросу рассмотрения плана опытного строительства лит. Е, принятого Правлением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21 декабря 1928. Не были согласны со сроками (2365).</w:t>
      </w:r>
    </w:p>
    <w:p w14:paraId="6D3C99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CF95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января 1929 ижевская </w:t>
      </w:r>
      <w:proofErr w:type="spellStart"/>
      <w:r w:rsidRPr="00A259BD">
        <w:rPr>
          <w:rFonts w:ascii="Times New Roman" w:hAnsi="Times New Roman"/>
          <w:color w:val="000000" w:themeColor="text1"/>
          <w:sz w:val="16"/>
          <w:szCs w:val="16"/>
        </w:rPr>
        <w:t>мотосекция</w:t>
      </w:r>
      <w:proofErr w:type="spellEnd"/>
      <w:r w:rsidRPr="00A259BD">
        <w:rPr>
          <w:rFonts w:ascii="Times New Roman" w:hAnsi="Times New Roman"/>
          <w:color w:val="000000" w:themeColor="text1"/>
          <w:sz w:val="16"/>
          <w:szCs w:val="16"/>
        </w:rPr>
        <w:t xml:space="preserve"> отправили ответ на критику ИЖ-1. в котором предлагали завершить изготовление мотоцикла ИЖ-1 в спроек</w:t>
      </w:r>
      <w:r w:rsidRPr="00A259BD">
        <w:rPr>
          <w:rFonts w:ascii="Times New Roman" w:hAnsi="Times New Roman"/>
          <w:color w:val="000000" w:themeColor="text1"/>
          <w:sz w:val="16"/>
          <w:szCs w:val="16"/>
        </w:rPr>
        <w:softHyphen/>
        <w:t>тированном виде, провести его испытания и лишь после этого продолжить доработку конструкции [3.62].</w:t>
      </w:r>
    </w:p>
    <w:p w14:paraId="5EBA33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первом квартале 1929 г. в </w:t>
      </w:r>
      <w:proofErr w:type="spellStart"/>
      <w:r w:rsidRPr="00A259BD">
        <w:rPr>
          <w:rFonts w:ascii="Times New Roman" w:hAnsi="Times New Roman"/>
          <w:color w:val="000000" w:themeColor="text1"/>
          <w:sz w:val="16"/>
          <w:szCs w:val="16"/>
        </w:rPr>
        <w:t>мотосекции</w:t>
      </w:r>
      <w:proofErr w:type="spellEnd"/>
      <w:r w:rsidRPr="00A259BD">
        <w:rPr>
          <w:rFonts w:ascii="Times New Roman" w:hAnsi="Times New Roman"/>
          <w:color w:val="000000" w:themeColor="text1"/>
          <w:sz w:val="16"/>
          <w:szCs w:val="16"/>
        </w:rPr>
        <w:t xml:space="preserve"> одновременно с изго</w:t>
      </w:r>
      <w:r w:rsidRPr="00A259BD">
        <w:rPr>
          <w:rFonts w:ascii="Times New Roman" w:hAnsi="Times New Roman"/>
          <w:color w:val="000000" w:themeColor="text1"/>
          <w:sz w:val="16"/>
          <w:szCs w:val="16"/>
        </w:rPr>
        <w:softHyphen/>
        <w:t>товлением трёх тяжёлых моделей проектировали лёгкий мото</w:t>
      </w:r>
      <w:r w:rsidRPr="00A259BD">
        <w:rPr>
          <w:rFonts w:ascii="Times New Roman" w:hAnsi="Times New Roman"/>
          <w:color w:val="000000" w:themeColor="text1"/>
          <w:sz w:val="16"/>
          <w:szCs w:val="16"/>
        </w:rPr>
        <w:softHyphen/>
        <w:t>цикл, обозначенный ИЖ-4. Предполагалось, что это будет ком</w:t>
      </w:r>
      <w:r w:rsidRPr="00A259BD">
        <w:rPr>
          <w:rFonts w:ascii="Times New Roman" w:hAnsi="Times New Roman"/>
          <w:color w:val="000000" w:themeColor="text1"/>
          <w:sz w:val="16"/>
          <w:szCs w:val="16"/>
        </w:rPr>
        <w:softHyphen/>
        <w:t>бинация агрегатов иностранных фирм и узлов собственного изго</w:t>
      </w:r>
      <w:r w:rsidRPr="00A259BD">
        <w:rPr>
          <w:rFonts w:ascii="Times New Roman" w:hAnsi="Times New Roman"/>
          <w:color w:val="000000" w:themeColor="text1"/>
          <w:sz w:val="16"/>
          <w:szCs w:val="16"/>
        </w:rPr>
        <w:softHyphen/>
        <w:t>товления. На примере машины ИЖ-4 задумали показать вариант конструкции отечественного лёгкого мотоцикла. Прообразом разработки стал популярный в Германии “народный” мотоцикл фирмы “</w:t>
      </w:r>
      <w:proofErr w:type="spellStart"/>
      <w:r w:rsidRPr="00A259BD">
        <w:rPr>
          <w:rFonts w:ascii="Times New Roman" w:hAnsi="Times New Roman"/>
          <w:color w:val="000000" w:themeColor="text1"/>
          <w:sz w:val="16"/>
          <w:szCs w:val="16"/>
        </w:rPr>
        <w:t>Зшск</w:t>
      </w:r>
      <w:proofErr w:type="spellEnd"/>
      <w:r w:rsidRPr="00A259BD">
        <w:rPr>
          <w:rFonts w:ascii="Times New Roman" w:hAnsi="Times New Roman"/>
          <w:color w:val="000000" w:themeColor="text1"/>
          <w:sz w:val="16"/>
          <w:szCs w:val="16"/>
        </w:rPr>
        <w:t>” с рабочим объёмом двигателя 200 см</w:t>
      </w:r>
      <w:r w:rsidRPr="00A259BD">
        <w:rPr>
          <w:rFonts w:ascii="Times New Roman" w:hAnsi="Times New Roman"/>
          <w:color w:val="000000" w:themeColor="text1"/>
          <w:sz w:val="16"/>
          <w:szCs w:val="16"/>
          <w:vertAlign w:val="superscript"/>
        </w:rPr>
        <w:t>3</w:t>
      </w:r>
      <w:r w:rsidRPr="00A259BD">
        <w:rPr>
          <w:rFonts w:ascii="Times New Roman" w:hAnsi="Times New Roman"/>
          <w:color w:val="000000" w:themeColor="text1"/>
          <w:sz w:val="16"/>
          <w:szCs w:val="16"/>
        </w:rPr>
        <w:t>. Эту модель, как и спроектированные тяжёлые мотоциклы, П.В. Мо-жаров решил сделать со штампованной сварной рамой, встроен</w:t>
      </w:r>
      <w:r w:rsidRPr="00A259BD">
        <w:rPr>
          <w:rFonts w:ascii="Times New Roman" w:hAnsi="Times New Roman"/>
          <w:color w:val="000000" w:themeColor="text1"/>
          <w:sz w:val="16"/>
          <w:szCs w:val="16"/>
        </w:rPr>
        <w:softHyphen/>
        <w:t>ными в неё глушителями, подобной установленной на ИЖ-3 параллелограммной передней вилкой, и силовым агрегатом, при</w:t>
      </w:r>
      <w:r w:rsidRPr="00A259BD">
        <w:rPr>
          <w:rFonts w:ascii="Times New Roman" w:hAnsi="Times New Roman"/>
          <w:color w:val="000000" w:themeColor="text1"/>
          <w:sz w:val="16"/>
          <w:szCs w:val="16"/>
        </w:rPr>
        <w:softHyphen/>
        <w:t>мененным на мотоцикле фирмы “Stock”.</w:t>
      </w:r>
    </w:p>
    <w:p w14:paraId="285963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w:t>
      </w:r>
      <w:proofErr w:type="spellStart"/>
      <w:r w:rsidRPr="00A259BD">
        <w:rPr>
          <w:rFonts w:ascii="Times New Roman" w:hAnsi="Times New Roman"/>
          <w:color w:val="000000" w:themeColor="text1"/>
          <w:sz w:val="16"/>
          <w:szCs w:val="16"/>
        </w:rPr>
        <w:t>АВТОДОРе</w:t>
      </w:r>
      <w:proofErr w:type="spellEnd"/>
      <w:r w:rsidRPr="00A259BD">
        <w:rPr>
          <w:rFonts w:ascii="Times New Roman" w:hAnsi="Times New Roman"/>
          <w:color w:val="000000" w:themeColor="text1"/>
          <w:sz w:val="16"/>
          <w:szCs w:val="16"/>
        </w:rPr>
        <w:t xml:space="preserve"> внимательно следили за проектированием и изготовлением мотоциклов на </w:t>
      </w:r>
      <w:proofErr w:type="spellStart"/>
      <w:r w:rsidRPr="00A259BD">
        <w:rPr>
          <w:rFonts w:ascii="Times New Roman" w:hAnsi="Times New Roman"/>
          <w:color w:val="000000" w:themeColor="text1"/>
          <w:sz w:val="16"/>
          <w:szCs w:val="16"/>
        </w:rPr>
        <w:t>ИОЗе</w:t>
      </w:r>
      <w:proofErr w:type="spellEnd"/>
      <w:r w:rsidRPr="00A259BD">
        <w:rPr>
          <w:rFonts w:ascii="Times New Roman" w:hAnsi="Times New Roman"/>
          <w:color w:val="000000" w:themeColor="text1"/>
          <w:sz w:val="16"/>
          <w:szCs w:val="16"/>
        </w:rPr>
        <w:t xml:space="preserve">. Среди людей, считавших себя специалистами по мотоциклам, были и такие, кто излишне критически относился к техническим решениям, принимаемым в </w:t>
      </w:r>
      <w:proofErr w:type="spellStart"/>
      <w:r w:rsidRPr="00A259BD">
        <w:rPr>
          <w:rFonts w:ascii="Times New Roman" w:hAnsi="Times New Roman"/>
          <w:color w:val="000000" w:themeColor="text1"/>
          <w:sz w:val="16"/>
          <w:szCs w:val="16"/>
        </w:rPr>
        <w:t>мотосекции</w:t>
      </w:r>
      <w:proofErr w:type="spellEnd"/>
      <w:r w:rsidRPr="00A259BD">
        <w:rPr>
          <w:rFonts w:ascii="Times New Roman" w:hAnsi="Times New Roman"/>
          <w:color w:val="000000" w:themeColor="text1"/>
          <w:sz w:val="16"/>
          <w:szCs w:val="16"/>
        </w:rPr>
        <w:t xml:space="preserve"> Ижевска. Влиять на конструкторов </w:t>
      </w:r>
      <w:proofErr w:type="spellStart"/>
      <w:r w:rsidRPr="00A259BD">
        <w:rPr>
          <w:rFonts w:ascii="Times New Roman" w:hAnsi="Times New Roman"/>
          <w:color w:val="000000" w:themeColor="text1"/>
          <w:sz w:val="16"/>
          <w:szCs w:val="16"/>
        </w:rPr>
        <w:t>ИОЗа</w:t>
      </w:r>
      <w:proofErr w:type="spellEnd"/>
      <w:r w:rsidRPr="00A259BD">
        <w:rPr>
          <w:rFonts w:ascii="Times New Roman" w:hAnsi="Times New Roman"/>
          <w:color w:val="000000" w:themeColor="text1"/>
          <w:sz w:val="16"/>
          <w:szCs w:val="16"/>
        </w:rPr>
        <w:t xml:space="preserve"> представ</w:t>
      </w:r>
      <w:r w:rsidRPr="00A259BD">
        <w:rPr>
          <w:rFonts w:ascii="Times New Roman" w:hAnsi="Times New Roman"/>
          <w:color w:val="000000" w:themeColor="text1"/>
          <w:sz w:val="16"/>
          <w:szCs w:val="16"/>
        </w:rPr>
        <w:softHyphen/>
        <w:t>лялось удобнее от имени общественного органа. Его создали и назвали “Комитет содействия советскому производству мотоцик</w:t>
      </w:r>
      <w:r w:rsidRPr="00A259BD">
        <w:rPr>
          <w:rFonts w:ascii="Times New Roman" w:hAnsi="Times New Roman"/>
          <w:color w:val="000000" w:themeColor="text1"/>
          <w:sz w:val="16"/>
          <w:szCs w:val="16"/>
        </w:rPr>
        <w:softHyphen/>
        <w:t>лов” [3.63]. Этот орган опубликовал разработанные в нём основ</w:t>
      </w:r>
      <w:r w:rsidRPr="00A259BD">
        <w:rPr>
          <w:rFonts w:ascii="Times New Roman" w:hAnsi="Times New Roman"/>
          <w:color w:val="000000" w:themeColor="text1"/>
          <w:sz w:val="16"/>
          <w:szCs w:val="16"/>
        </w:rPr>
        <w:softHyphen/>
        <w:t>ные требования к создаваемым отечественным тяжёлым мотоци</w:t>
      </w:r>
      <w:r w:rsidRPr="00A259BD">
        <w:rPr>
          <w:rFonts w:ascii="Times New Roman" w:hAnsi="Times New Roman"/>
          <w:color w:val="000000" w:themeColor="text1"/>
          <w:sz w:val="16"/>
          <w:szCs w:val="16"/>
        </w:rPr>
        <w:softHyphen/>
        <w:t>клам [3.64]. Из семи основных показателей мотоциклов, заявлен</w:t>
      </w:r>
      <w:r w:rsidRPr="00A259BD">
        <w:rPr>
          <w:rFonts w:ascii="Times New Roman" w:hAnsi="Times New Roman"/>
          <w:color w:val="000000" w:themeColor="text1"/>
          <w:sz w:val="16"/>
          <w:szCs w:val="16"/>
        </w:rPr>
        <w:softHyphen/>
        <w:t>ных “Комитетом”, четыре оказались неудачными:</w:t>
      </w:r>
    </w:p>
    <w:p w14:paraId="08460C9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КП должна быть в отдельном от двигателя картере;</w:t>
      </w:r>
    </w:p>
    <w:p w14:paraId="025E48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передача на заднее колесо - только цепная (не предполага</w:t>
      </w:r>
      <w:r w:rsidRPr="00A259BD">
        <w:rPr>
          <w:rFonts w:ascii="Times New Roman" w:hAnsi="Times New Roman"/>
          <w:color w:val="000000" w:themeColor="text1"/>
          <w:sz w:val="16"/>
          <w:szCs w:val="16"/>
        </w:rPr>
        <w:softHyphen/>
        <w:t>лась даже её защита от пыли и грязи);</w:t>
      </w:r>
    </w:p>
    <w:p w14:paraId="761657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рама - только трубчатая, но не штампованная;</w:t>
      </w:r>
    </w:p>
    <w:p w14:paraId="522CAC5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тормоза требовали монтировать на раме, а не на цапфе колеса.</w:t>
      </w:r>
    </w:p>
    <w:p w14:paraId="16DC18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Эти несовременные рекомендации не оказали на зарождав</w:t>
      </w:r>
      <w:r w:rsidRPr="00A259BD">
        <w:rPr>
          <w:rFonts w:ascii="Times New Roman" w:hAnsi="Times New Roman"/>
          <w:color w:val="000000" w:themeColor="text1"/>
          <w:sz w:val="16"/>
          <w:szCs w:val="16"/>
        </w:rPr>
        <w:softHyphen/>
        <w:t xml:space="preserve">шееся отечественное </w:t>
      </w:r>
      <w:proofErr w:type="spellStart"/>
      <w:r w:rsidRPr="00A259BD">
        <w:rPr>
          <w:rFonts w:ascii="Times New Roman" w:hAnsi="Times New Roman"/>
          <w:color w:val="000000" w:themeColor="text1"/>
          <w:sz w:val="16"/>
          <w:szCs w:val="16"/>
        </w:rPr>
        <w:t>мотоциклостроение</w:t>
      </w:r>
      <w:proofErr w:type="spellEnd"/>
      <w:r w:rsidRPr="00A259BD">
        <w:rPr>
          <w:rFonts w:ascii="Times New Roman" w:hAnsi="Times New Roman"/>
          <w:color w:val="000000" w:themeColor="text1"/>
          <w:sz w:val="16"/>
          <w:szCs w:val="16"/>
        </w:rPr>
        <w:t xml:space="preserve"> позитивного влияния.</w:t>
      </w:r>
    </w:p>
    <w:p w14:paraId="14A7246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Вскоре выяснилось, что для завершения начатой работы не хватало комплектующих изделий от иномарок. К тому же руково</w:t>
      </w:r>
      <w:r w:rsidRPr="00A259BD">
        <w:rPr>
          <w:rFonts w:ascii="Times New Roman" w:hAnsi="Times New Roman"/>
          <w:color w:val="000000" w:themeColor="text1"/>
          <w:sz w:val="16"/>
          <w:szCs w:val="16"/>
        </w:rPr>
        <w:softHyphen/>
        <w:t xml:space="preserve">дитель </w:t>
      </w:r>
      <w:proofErr w:type="spellStart"/>
      <w:r w:rsidRPr="00A259BD">
        <w:rPr>
          <w:rFonts w:ascii="Times New Roman" w:hAnsi="Times New Roman"/>
          <w:color w:val="000000" w:themeColor="text1"/>
          <w:sz w:val="16"/>
          <w:szCs w:val="16"/>
        </w:rPr>
        <w:t>мотосекции</w:t>
      </w:r>
      <w:proofErr w:type="spellEnd"/>
      <w:r w:rsidRPr="00A259BD">
        <w:rPr>
          <w:rFonts w:ascii="Times New Roman" w:hAnsi="Times New Roman"/>
          <w:color w:val="000000" w:themeColor="text1"/>
          <w:sz w:val="16"/>
          <w:szCs w:val="16"/>
        </w:rPr>
        <w:t xml:space="preserve"> планировал изготовление экспериментальных мотоциклов среднего класса, что требовало поездок на зарубеж</w:t>
      </w:r>
      <w:r w:rsidRPr="00A259BD">
        <w:rPr>
          <w:rFonts w:ascii="Times New Roman" w:hAnsi="Times New Roman"/>
          <w:color w:val="000000" w:themeColor="text1"/>
          <w:sz w:val="16"/>
          <w:szCs w:val="16"/>
        </w:rPr>
        <w:softHyphen/>
        <w:t>ные мотозаводы (11429).</w:t>
      </w:r>
    </w:p>
    <w:p w14:paraId="6B2D5A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01C90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lastRenderedPageBreak/>
        <w:t>Жизнь и внутренняя политика:</w:t>
      </w:r>
    </w:p>
    <w:p w14:paraId="4D893DD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168B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января 1929 в СССР рабочий день был сокращен до 7 час. (2100).</w:t>
      </w:r>
    </w:p>
    <w:p w14:paraId="6CFDBC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23CEE8" w14:textId="77777777" w:rsidR="0086685E" w:rsidRPr="00A259BD" w:rsidRDefault="0086685E"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января 1929 года Президиум ЦИК СССР отклонил предложение о награждении сотрудников ОГПУ: </w:t>
      </w:r>
      <w:proofErr w:type="spellStart"/>
      <w:r w:rsidRPr="00A259BD">
        <w:rPr>
          <w:rFonts w:ascii="Times New Roman" w:hAnsi="Times New Roman"/>
          <w:color w:val="000000" w:themeColor="text1"/>
          <w:sz w:val="16"/>
          <w:szCs w:val="16"/>
        </w:rPr>
        <w:t>Е.Т.Евдокимова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В.А.Балицкого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А.А.Слуцкого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А.Б.Иксарова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Г.Е.Прокофьева</w:t>
      </w:r>
      <w:proofErr w:type="spellEnd"/>
      <w:r w:rsidRPr="00A259BD">
        <w:rPr>
          <w:rFonts w:ascii="Times New Roman" w:hAnsi="Times New Roman"/>
          <w:color w:val="000000" w:themeColor="text1"/>
          <w:sz w:val="16"/>
          <w:szCs w:val="16"/>
        </w:rPr>
        <w:t xml:space="preserve"> и др. за расследование «Шахтинского дела». В связи с «успешным» окончанием дела Андреев, Орджоникидзе и Микоян обратились в Политбюро с предложением наградить Евдокимова и Зотова орденом Красного Знамени. Затем список был расширен до 15 человек (17229).</w:t>
      </w:r>
    </w:p>
    <w:p w14:paraId="41C57D1D" w14:textId="77777777" w:rsidR="0086685E" w:rsidRPr="00A259BD" w:rsidRDefault="0086685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05D8B6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FBA3F1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1350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января 1929 </w:t>
      </w:r>
      <w:proofErr w:type="spellStart"/>
      <w:r w:rsidRPr="00A259BD">
        <w:rPr>
          <w:rFonts w:ascii="Times New Roman" w:hAnsi="Times New Roman"/>
          <w:color w:val="000000" w:themeColor="text1"/>
          <w:sz w:val="16"/>
          <w:szCs w:val="16"/>
        </w:rPr>
        <w:t>П.С.Дубенский</w:t>
      </w:r>
      <w:proofErr w:type="spellEnd"/>
      <w:r w:rsidRPr="00A259BD">
        <w:rPr>
          <w:rFonts w:ascii="Times New Roman" w:hAnsi="Times New Roman"/>
          <w:color w:val="000000" w:themeColor="text1"/>
          <w:sz w:val="16"/>
          <w:szCs w:val="16"/>
        </w:rPr>
        <w:t xml:space="preserve"> в качестве пред. НТК УВВС докладывал, что НТК был воссоздан при эвакуации ВФ из Петрограда в 1918 и что проектирование и постройка самолетов ведется в:</w:t>
      </w:r>
    </w:p>
    <w:p w14:paraId="5B0589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ООСС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w:t>
      </w:r>
    </w:p>
    <w:p w14:paraId="7E7096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ООМС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w:t>
      </w:r>
    </w:p>
    <w:p w14:paraId="4049A1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Опытном отделе ЦАГИ (1026,21).</w:t>
      </w:r>
    </w:p>
    <w:p w14:paraId="63D153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w:t>
      </w:r>
    </w:p>
    <w:p w14:paraId="70888B8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доклада пред. НТК УВВС т. Дубенского от 12/1-1929 г.</w:t>
      </w:r>
    </w:p>
    <w:p w14:paraId="415DB2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"Предмет опытного строительства"</w:t>
      </w:r>
    </w:p>
    <w:p w14:paraId="429F61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10..."Результат опытного строительства ЦАГИ, который из всех выпущенных им самолетов не имел ни одной /кроме КОМПТА - 1922-23 гг./ неудачной конструкции /они почти все вводятся на снабжение, приложение 10/.</w:t>
      </w:r>
    </w:p>
    <w:p w14:paraId="776ECE2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13 Аппарат НТК.</w:t>
      </w:r>
    </w:p>
    <w:p w14:paraId="70E72C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эвакуации воздушного флота в 1918 году из Петрогра</w:t>
      </w:r>
      <w:r w:rsidRPr="00A259BD">
        <w:rPr>
          <w:rFonts w:ascii="Times New Roman" w:hAnsi="Times New Roman"/>
          <w:color w:val="000000" w:themeColor="text1"/>
          <w:sz w:val="16"/>
          <w:szCs w:val="16"/>
        </w:rPr>
        <w:softHyphen/>
        <w:t>да, основной состав Комитета остался в Петрограде. Новый Ко</w:t>
      </w:r>
      <w:r w:rsidRPr="00A259BD">
        <w:rPr>
          <w:rFonts w:ascii="Times New Roman" w:hAnsi="Times New Roman"/>
          <w:color w:val="000000" w:themeColor="text1"/>
          <w:sz w:val="16"/>
          <w:szCs w:val="16"/>
        </w:rPr>
        <w:softHyphen/>
        <w:t xml:space="preserve">митет был сформирован и основан из сотрудников </w:t>
      </w:r>
      <w:proofErr w:type="spellStart"/>
      <w:r w:rsidRPr="00A259BD">
        <w:rPr>
          <w:rFonts w:ascii="Times New Roman" w:hAnsi="Times New Roman"/>
          <w:color w:val="000000" w:themeColor="text1"/>
          <w:sz w:val="16"/>
          <w:szCs w:val="16"/>
        </w:rPr>
        <w:t>Н.Е.Жуковского</w:t>
      </w:r>
      <w:proofErr w:type="spellEnd"/>
      <w:r w:rsidRPr="00A259BD">
        <w:rPr>
          <w:rFonts w:ascii="Times New Roman" w:hAnsi="Times New Roman"/>
          <w:color w:val="000000" w:themeColor="text1"/>
          <w:sz w:val="16"/>
          <w:szCs w:val="16"/>
        </w:rPr>
        <w:t xml:space="preserve"> вместе с самим </w:t>
      </w:r>
      <w:proofErr w:type="spellStart"/>
      <w:r w:rsidRPr="00A259BD">
        <w:rPr>
          <w:rFonts w:ascii="Times New Roman" w:hAnsi="Times New Roman"/>
          <w:color w:val="000000" w:themeColor="text1"/>
          <w:sz w:val="16"/>
          <w:szCs w:val="16"/>
        </w:rPr>
        <w:t>Н.Е.Жуковским</w:t>
      </w:r>
      <w:proofErr w:type="spellEnd"/>
      <w:r w:rsidRPr="00A259BD">
        <w:rPr>
          <w:rFonts w:ascii="Times New Roman" w:hAnsi="Times New Roman"/>
          <w:color w:val="000000" w:themeColor="text1"/>
          <w:sz w:val="16"/>
          <w:szCs w:val="16"/>
        </w:rPr>
        <w:t xml:space="preserve"> во главе.</w:t>
      </w:r>
    </w:p>
    <w:p w14:paraId="6FA0E4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14. Первые годы НТК, в основном, был занят изысканием топли</w:t>
      </w:r>
      <w:r w:rsidRPr="00A259BD">
        <w:rPr>
          <w:rFonts w:ascii="Times New Roman" w:hAnsi="Times New Roman"/>
          <w:color w:val="000000" w:themeColor="text1"/>
          <w:sz w:val="16"/>
          <w:szCs w:val="16"/>
        </w:rPr>
        <w:softHyphen/>
        <w:t xml:space="preserve">ва, вследствие кризиса с горючим, и изысканием </w:t>
      </w:r>
      <w:proofErr w:type="spellStart"/>
      <w:r w:rsidRPr="00A259BD">
        <w:rPr>
          <w:rFonts w:ascii="Times New Roman" w:hAnsi="Times New Roman"/>
          <w:color w:val="000000" w:themeColor="text1"/>
          <w:sz w:val="16"/>
          <w:szCs w:val="16"/>
        </w:rPr>
        <w:t>техформ</w:t>
      </w:r>
      <w:proofErr w:type="spellEnd"/>
      <w:r w:rsidRPr="00A259BD">
        <w:rPr>
          <w:rFonts w:ascii="Times New Roman" w:hAnsi="Times New Roman"/>
          <w:color w:val="000000" w:themeColor="text1"/>
          <w:sz w:val="16"/>
          <w:szCs w:val="16"/>
        </w:rPr>
        <w:t xml:space="preserve"> своей организации, которые позволили бы в дальнейшем развернуть ра</w:t>
      </w:r>
      <w:r w:rsidRPr="00A259BD">
        <w:rPr>
          <w:rFonts w:ascii="Times New Roman" w:hAnsi="Times New Roman"/>
          <w:color w:val="000000" w:themeColor="text1"/>
          <w:sz w:val="16"/>
          <w:szCs w:val="16"/>
        </w:rPr>
        <w:softHyphen/>
        <w:t>боту уже в целях руководства растущей творческой работой кон</w:t>
      </w:r>
      <w:r w:rsidRPr="00A259BD">
        <w:rPr>
          <w:rFonts w:ascii="Times New Roman" w:hAnsi="Times New Roman"/>
          <w:color w:val="000000" w:themeColor="text1"/>
          <w:sz w:val="16"/>
          <w:szCs w:val="16"/>
        </w:rPr>
        <w:softHyphen/>
        <w:t xml:space="preserve">структоров и изучением вопросов </w:t>
      </w:r>
      <w:proofErr w:type="spellStart"/>
      <w:r w:rsidRPr="00A259BD">
        <w:rPr>
          <w:rFonts w:ascii="Times New Roman" w:hAnsi="Times New Roman"/>
          <w:color w:val="000000" w:themeColor="text1"/>
          <w:sz w:val="16"/>
          <w:szCs w:val="16"/>
        </w:rPr>
        <w:t>эксплоатации</w:t>
      </w:r>
      <w:proofErr w:type="spellEnd"/>
      <w:r w:rsidRPr="00A259BD">
        <w:rPr>
          <w:rFonts w:ascii="Times New Roman" w:hAnsi="Times New Roman"/>
          <w:color w:val="000000" w:themeColor="text1"/>
          <w:sz w:val="16"/>
          <w:szCs w:val="16"/>
        </w:rPr>
        <w:t>.</w:t>
      </w:r>
    </w:p>
    <w:p w14:paraId="0A6B3A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 являясь </w:t>
      </w:r>
      <w:proofErr w:type="spellStart"/>
      <w:r w:rsidRPr="00A259BD">
        <w:rPr>
          <w:rFonts w:ascii="Times New Roman" w:hAnsi="Times New Roman"/>
          <w:color w:val="000000" w:themeColor="text1"/>
          <w:sz w:val="16"/>
          <w:szCs w:val="16"/>
        </w:rPr>
        <w:t>оффициально</w:t>
      </w:r>
      <w:proofErr w:type="spellEnd"/>
      <w:r w:rsidRPr="00A259BD">
        <w:rPr>
          <w:rFonts w:ascii="Times New Roman" w:hAnsi="Times New Roman"/>
          <w:color w:val="000000" w:themeColor="text1"/>
          <w:sz w:val="16"/>
          <w:szCs w:val="16"/>
        </w:rPr>
        <w:t xml:space="preserve"> центральным органом всей научной и научно-технической мысли воздушного флота в СССР, НТК факти</w:t>
      </w:r>
      <w:r w:rsidRPr="00A259BD">
        <w:rPr>
          <w:rFonts w:ascii="Times New Roman" w:hAnsi="Times New Roman"/>
          <w:color w:val="000000" w:themeColor="text1"/>
          <w:sz w:val="16"/>
          <w:szCs w:val="16"/>
        </w:rPr>
        <w:softHyphen/>
        <w:t>чески является органом, в котором творились все основные во</w:t>
      </w:r>
      <w:r w:rsidRPr="00A259BD">
        <w:rPr>
          <w:rFonts w:ascii="Times New Roman" w:hAnsi="Times New Roman"/>
          <w:color w:val="000000" w:themeColor="text1"/>
          <w:sz w:val="16"/>
          <w:szCs w:val="16"/>
        </w:rPr>
        <w:softHyphen/>
        <w:t>просы этих областей.</w:t>
      </w:r>
    </w:p>
    <w:p w14:paraId="4E9CE5B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Работа НТК опирается на созданные Советской Властью новые научные институты ЦАГИ, НАМИ и ГЭЭИ,</w:t>
      </w:r>
    </w:p>
    <w:p w14:paraId="7424B36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17. ЦАГИ, выпустившего начиная с 1922 г. до 1925 г. по одной машине за год, из которых все оказались в полетах удач</w:t>
      </w:r>
      <w:r w:rsidRPr="00A259BD">
        <w:rPr>
          <w:rFonts w:ascii="Times New Roman" w:hAnsi="Times New Roman"/>
          <w:color w:val="000000" w:themeColor="text1"/>
          <w:sz w:val="16"/>
          <w:szCs w:val="16"/>
        </w:rPr>
        <w:softHyphen/>
        <w:t>ными.</w:t>
      </w:r>
    </w:p>
    <w:p w14:paraId="3F0288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22. "В ЦАГИ имеется достаточное количество материалов для того, чтобы приступить к проектированию геликоптера, оперативное значение которого в достаточной мере очевидное.</w:t>
      </w:r>
    </w:p>
    <w:p w14:paraId="5F411E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Однако при разработке проекта мы встречаемся с затруднением в виде отсутствия большего количества коэффициентов, </w:t>
      </w:r>
      <w:proofErr w:type="spellStart"/>
      <w:r w:rsidRPr="00A259BD">
        <w:rPr>
          <w:rFonts w:ascii="Times New Roman" w:hAnsi="Times New Roman"/>
          <w:color w:val="000000" w:themeColor="text1"/>
          <w:sz w:val="16"/>
          <w:szCs w:val="16"/>
        </w:rPr>
        <w:t>необходи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мых</w:t>
      </w:r>
      <w:proofErr w:type="spellEnd"/>
      <w:r w:rsidRPr="00A259BD">
        <w:rPr>
          <w:rFonts w:ascii="Times New Roman" w:hAnsi="Times New Roman"/>
          <w:color w:val="000000" w:themeColor="text1"/>
          <w:sz w:val="16"/>
          <w:szCs w:val="16"/>
        </w:rPr>
        <w:t xml:space="preserve"> для производства расчета этого проекта. Эти коэффициенты могут быть установлены исключительно в порядке научно-иссле</w:t>
      </w:r>
      <w:r w:rsidRPr="00A259BD">
        <w:rPr>
          <w:rFonts w:ascii="Times New Roman" w:hAnsi="Times New Roman"/>
          <w:color w:val="000000" w:themeColor="text1"/>
          <w:sz w:val="16"/>
          <w:szCs w:val="16"/>
        </w:rPr>
        <w:softHyphen/>
        <w:t>довательских работ.</w:t>
      </w:r>
    </w:p>
    <w:p w14:paraId="60323DD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23. В настоящее время проектирование и постройка опытных са</w:t>
      </w:r>
      <w:r w:rsidRPr="00A259BD">
        <w:rPr>
          <w:rFonts w:ascii="Times New Roman" w:hAnsi="Times New Roman"/>
          <w:color w:val="000000" w:themeColor="text1"/>
          <w:sz w:val="16"/>
          <w:szCs w:val="16"/>
        </w:rPr>
        <w:softHyphen/>
        <w:t>молетов ведется в 3-х организациях:</w:t>
      </w:r>
    </w:p>
    <w:p w14:paraId="027B2A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 Отдел опытного сухопутного самолетостроения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w:t>
      </w:r>
    </w:p>
    <w:p w14:paraId="4A1E83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Отдел опытного морского самолетостроения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w:t>
      </w:r>
    </w:p>
    <w:p w14:paraId="0FB252B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Опытный отдел ЦАГИ.</w:t>
      </w:r>
    </w:p>
    <w:p w14:paraId="471C3D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 три организации еще не имели возможности повторить тип самолета. Каждая опытная постройка является одновременно созданием нового типа.......</w:t>
      </w:r>
    </w:p>
    <w:p w14:paraId="2161DE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24. Необходимо срочно закончить гидроканал ЦАГИ и поставить работы по изучению мореходности. Эта работа, от успеха кото</w:t>
      </w:r>
      <w:r w:rsidRPr="00A259BD">
        <w:rPr>
          <w:rFonts w:ascii="Times New Roman" w:hAnsi="Times New Roman"/>
          <w:color w:val="000000" w:themeColor="text1"/>
          <w:sz w:val="16"/>
          <w:szCs w:val="16"/>
        </w:rPr>
        <w:softHyphen/>
        <w:t xml:space="preserve">рой зависит успех </w:t>
      </w:r>
      <w:proofErr w:type="spellStart"/>
      <w:r w:rsidRPr="00A259BD">
        <w:rPr>
          <w:rFonts w:ascii="Times New Roman" w:hAnsi="Times New Roman"/>
          <w:color w:val="000000" w:themeColor="text1"/>
          <w:sz w:val="16"/>
          <w:szCs w:val="16"/>
        </w:rPr>
        <w:t>гидросамолетостроения</w:t>
      </w:r>
      <w:proofErr w:type="spellEnd"/>
      <w:r w:rsidRPr="00A259BD">
        <w:rPr>
          <w:rFonts w:ascii="Times New Roman" w:hAnsi="Times New Roman"/>
          <w:color w:val="000000" w:themeColor="text1"/>
          <w:sz w:val="16"/>
          <w:szCs w:val="16"/>
        </w:rPr>
        <w:t>, - крайне сложна и дорога. В этом году НТК был вынужден ее значительно сократить вследствие отсутствия средств....</w:t>
      </w:r>
    </w:p>
    <w:p w14:paraId="429341E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Большие затруднения возникают при производстве продувок. Большая труба ЦАГИ перегружена, дорога для продувок. </w:t>
      </w:r>
      <w:proofErr w:type="spellStart"/>
      <w:r w:rsidRPr="00A259BD">
        <w:rPr>
          <w:rFonts w:ascii="Times New Roman" w:hAnsi="Times New Roman"/>
          <w:color w:val="000000" w:themeColor="text1"/>
          <w:sz w:val="16"/>
          <w:szCs w:val="16"/>
        </w:rPr>
        <w:t>Необходи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мо</w:t>
      </w:r>
      <w:proofErr w:type="spellEnd"/>
      <w:r w:rsidRPr="00A259BD">
        <w:rPr>
          <w:rFonts w:ascii="Times New Roman" w:hAnsi="Times New Roman"/>
          <w:color w:val="000000" w:themeColor="text1"/>
          <w:sz w:val="16"/>
          <w:szCs w:val="16"/>
        </w:rPr>
        <w:t xml:space="preserve"> ускорить постройку средней и малой труб ЦАГИ.</w:t>
      </w:r>
    </w:p>
    <w:p w14:paraId="2652F6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34-35. Гидросамолеты, при всех прочих данных сухопутного самоле</w:t>
      </w:r>
      <w:r w:rsidRPr="00A259BD">
        <w:rPr>
          <w:rFonts w:ascii="Times New Roman" w:hAnsi="Times New Roman"/>
          <w:color w:val="000000" w:themeColor="text1"/>
          <w:sz w:val="16"/>
          <w:szCs w:val="16"/>
        </w:rPr>
        <w:softHyphen/>
        <w:t>та, в летном отношении всегда будут хуже сухопутного, если они имеют тот же мотор, т.к. аэродинамические качества гидро</w:t>
      </w:r>
      <w:r w:rsidRPr="00A259BD">
        <w:rPr>
          <w:rFonts w:ascii="Times New Roman" w:hAnsi="Times New Roman"/>
          <w:color w:val="000000" w:themeColor="text1"/>
          <w:sz w:val="16"/>
          <w:szCs w:val="16"/>
        </w:rPr>
        <w:softHyphen/>
        <w:t>самолета снижаются во-первых вследствие необходимости поме</w:t>
      </w:r>
      <w:r w:rsidRPr="00A259BD">
        <w:rPr>
          <w:rFonts w:ascii="Times New Roman" w:hAnsi="Times New Roman"/>
          <w:color w:val="000000" w:themeColor="text1"/>
          <w:sz w:val="16"/>
          <w:szCs w:val="16"/>
        </w:rPr>
        <w:softHyphen/>
        <w:t xml:space="preserve">щать винт достаточно высоко, чтобы он не заливался водой, вследствие чего центр тяжести устанавливается </w:t>
      </w:r>
      <w:proofErr w:type="spellStart"/>
      <w:r w:rsidRPr="00A259BD">
        <w:rPr>
          <w:rFonts w:ascii="Times New Roman" w:hAnsi="Times New Roman"/>
          <w:color w:val="000000" w:themeColor="text1"/>
          <w:sz w:val="16"/>
          <w:szCs w:val="16"/>
        </w:rPr>
        <w:t>выше.чен</w:t>
      </w:r>
      <w:proofErr w:type="spellEnd"/>
      <w:r w:rsidRPr="00A259BD">
        <w:rPr>
          <w:rFonts w:ascii="Times New Roman" w:hAnsi="Times New Roman"/>
          <w:color w:val="000000" w:themeColor="text1"/>
          <w:sz w:val="16"/>
          <w:szCs w:val="16"/>
        </w:rPr>
        <w:t xml:space="preserve"> это </w:t>
      </w:r>
      <w:proofErr w:type="spellStart"/>
      <w:r w:rsidRPr="00A259BD">
        <w:rPr>
          <w:rFonts w:ascii="Times New Roman" w:hAnsi="Times New Roman"/>
          <w:color w:val="000000" w:themeColor="text1"/>
          <w:sz w:val="16"/>
          <w:szCs w:val="16"/>
        </w:rPr>
        <w:t>тре-буется</w:t>
      </w:r>
      <w:proofErr w:type="spellEnd"/>
      <w:r w:rsidRPr="00A259BD">
        <w:rPr>
          <w:rFonts w:ascii="Times New Roman" w:hAnsi="Times New Roman"/>
          <w:color w:val="000000" w:themeColor="text1"/>
          <w:sz w:val="16"/>
          <w:szCs w:val="16"/>
        </w:rPr>
        <w:t xml:space="preserve"> аэродинамикой и во-вторых, вследствие увеличения ло</w:t>
      </w:r>
      <w:r w:rsidRPr="00A259BD">
        <w:rPr>
          <w:rFonts w:ascii="Times New Roman" w:hAnsi="Times New Roman"/>
          <w:color w:val="000000" w:themeColor="text1"/>
          <w:sz w:val="16"/>
          <w:szCs w:val="16"/>
        </w:rPr>
        <w:softHyphen/>
        <w:t>бового сопротивления за счет поплавков ищи лодки. Выбор удов</w:t>
      </w:r>
      <w:r w:rsidRPr="00A259BD">
        <w:rPr>
          <w:rFonts w:ascii="Times New Roman" w:hAnsi="Times New Roman"/>
          <w:color w:val="000000" w:themeColor="text1"/>
          <w:sz w:val="16"/>
          <w:szCs w:val="16"/>
        </w:rPr>
        <w:softHyphen/>
        <w:t>летворительной формы лодки, т. обр., чтобы она, с одной стороны была мореходка, а с другой.- была хорошо обтекаема, - является задачей очень сложной......</w:t>
      </w:r>
      <w:r w:rsidRPr="00A259BD">
        <w:rPr>
          <w:rFonts w:ascii="Times New Roman" w:hAnsi="Times New Roman"/>
          <w:color w:val="000000" w:themeColor="text1"/>
          <w:sz w:val="16"/>
          <w:szCs w:val="16"/>
          <w:vertAlign w:val="superscript"/>
        </w:rPr>
        <w:t>!</w:t>
      </w:r>
    </w:p>
    <w:p w14:paraId="57C5B64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ближайшем году потребовать напряженной работы:</w:t>
      </w:r>
    </w:p>
    <w:p w14:paraId="56EF92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 над созданием типа самолета</w:t>
      </w:r>
    </w:p>
    <w:p w14:paraId="3FE61C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ЦАГИ - над разрешением вопросов мореходности, для чего необходимо окончить в кратчайший срок </w:t>
      </w:r>
      <w:proofErr w:type="spellStart"/>
      <w:r w:rsidRPr="00A259BD">
        <w:rPr>
          <w:rFonts w:ascii="Times New Roman" w:hAnsi="Times New Roman"/>
          <w:color w:val="000000" w:themeColor="text1"/>
          <w:sz w:val="16"/>
          <w:szCs w:val="16"/>
        </w:rPr>
        <w:t>оборудова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ние</w:t>
      </w:r>
      <w:proofErr w:type="spellEnd"/>
      <w:r w:rsidRPr="00A259BD">
        <w:rPr>
          <w:rFonts w:ascii="Times New Roman" w:hAnsi="Times New Roman"/>
          <w:color w:val="000000" w:themeColor="text1"/>
          <w:sz w:val="16"/>
          <w:szCs w:val="16"/>
        </w:rPr>
        <w:t xml:space="preserve"> канала и</w:t>
      </w:r>
    </w:p>
    <w:p w14:paraId="79E4C2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НТК - над организацией практических летных работ гидроавиации в целях испытания материальной части морской авиации и разработки основных вопросов при</w:t>
      </w:r>
      <w:r w:rsidRPr="00A259BD">
        <w:rPr>
          <w:rFonts w:ascii="Times New Roman" w:hAnsi="Times New Roman"/>
          <w:color w:val="000000" w:themeColor="text1"/>
          <w:sz w:val="16"/>
          <w:szCs w:val="16"/>
        </w:rPr>
        <w:softHyphen/>
        <w:t xml:space="preserve">менения и </w:t>
      </w:r>
      <w:proofErr w:type="spellStart"/>
      <w:r w:rsidRPr="00A259BD">
        <w:rPr>
          <w:rFonts w:ascii="Times New Roman" w:hAnsi="Times New Roman"/>
          <w:color w:val="000000" w:themeColor="text1"/>
          <w:sz w:val="16"/>
          <w:szCs w:val="16"/>
        </w:rPr>
        <w:t>эксплоатации</w:t>
      </w:r>
      <w:proofErr w:type="spellEnd"/>
      <w:r w:rsidRPr="00A259BD">
        <w:rPr>
          <w:rFonts w:ascii="Times New Roman" w:hAnsi="Times New Roman"/>
          <w:color w:val="000000" w:themeColor="text1"/>
          <w:sz w:val="16"/>
          <w:szCs w:val="16"/>
        </w:rPr>
        <w:t xml:space="preserve"> гидроавиации.</w:t>
      </w:r>
    </w:p>
    <w:p w14:paraId="57F903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36. Заключение по тезисам ЦАГИ.</w:t>
      </w:r>
    </w:p>
    <w:p w14:paraId="06F8A1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Деятельность ЦАГИ в достаточной мере освещена в самом до</w:t>
      </w:r>
      <w:r w:rsidRPr="00A259BD">
        <w:rPr>
          <w:rFonts w:ascii="Times New Roman" w:hAnsi="Times New Roman"/>
          <w:color w:val="000000" w:themeColor="text1"/>
          <w:sz w:val="16"/>
          <w:szCs w:val="16"/>
        </w:rPr>
        <w:softHyphen/>
        <w:t>кладе ЦАГИ и еще раньше этого доклада - печати в виду совершен</w:t>
      </w:r>
      <w:r w:rsidRPr="00A259BD">
        <w:rPr>
          <w:rFonts w:ascii="Times New Roman" w:hAnsi="Times New Roman"/>
          <w:color w:val="000000" w:themeColor="text1"/>
          <w:sz w:val="16"/>
          <w:szCs w:val="16"/>
        </w:rPr>
        <w:softHyphen/>
        <w:t xml:space="preserve">но определенных достижений ЦАГИ в опытном </w:t>
      </w:r>
      <w:proofErr w:type="spellStart"/>
      <w:r w:rsidRPr="00A259BD">
        <w:rPr>
          <w:rFonts w:ascii="Times New Roman" w:hAnsi="Times New Roman"/>
          <w:color w:val="000000" w:themeColor="text1"/>
          <w:sz w:val="16"/>
          <w:szCs w:val="16"/>
        </w:rPr>
        <w:t>строительствес</w:t>
      </w:r>
      <w:proofErr w:type="spellEnd"/>
    </w:p>
    <w:p w14:paraId="0B489C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качестве строительства и оборудования Ин-т доведен до состояния, отвечающего потребностям УВВС, однако доведение </w:t>
      </w:r>
      <w:proofErr w:type="spellStart"/>
      <w:r w:rsidRPr="00A259BD">
        <w:rPr>
          <w:rFonts w:ascii="Times New Roman" w:hAnsi="Times New Roman"/>
          <w:color w:val="000000" w:themeColor="text1"/>
          <w:sz w:val="16"/>
          <w:szCs w:val="16"/>
        </w:rPr>
        <w:t>йн</w:t>
      </w:r>
      <w:proofErr w:type="spellEnd"/>
      <w:r w:rsidRPr="00A259BD">
        <w:rPr>
          <w:rFonts w:ascii="Times New Roman" w:hAnsi="Times New Roman"/>
          <w:color w:val="000000" w:themeColor="text1"/>
          <w:sz w:val="16"/>
          <w:szCs w:val="16"/>
        </w:rPr>
        <w:t>-та до состояния, позволяющего использовать все, что имеет</w:t>
      </w:r>
      <w:r w:rsidRPr="00A259BD">
        <w:rPr>
          <w:rFonts w:ascii="Times New Roman" w:hAnsi="Times New Roman"/>
          <w:color w:val="000000" w:themeColor="text1"/>
          <w:sz w:val="16"/>
          <w:szCs w:val="16"/>
        </w:rPr>
        <w:softHyphen/>
        <w:t>ся в ЦАГИ, потребует значительных средств, как на окончатель</w:t>
      </w:r>
      <w:r w:rsidRPr="00A259BD">
        <w:rPr>
          <w:rFonts w:ascii="Times New Roman" w:hAnsi="Times New Roman"/>
          <w:color w:val="000000" w:themeColor="text1"/>
          <w:sz w:val="16"/>
          <w:szCs w:val="16"/>
        </w:rPr>
        <w:softHyphen/>
        <w:t>ную достройку и оборудование, так и на постройку некоторых дополнительных зданий, Что касается предложений ЦАГИ, то с некоторыми изменениями они приемлемы и введены в предложения по данному докладу.</w:t>
      </w:r>
    </w:p>
    <w:p w14:paraId="7B9602D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Поскольку ЦАГИ имел под </w:t>
      </w:r>
      <w:proofErr w:type="spellStart"/>
      <w:r w:rsidRPr="00A259BD">
        <w:rPr>
          <w:rFonts w:ascii="Times New Roman" w:hAnsi="Times New Roman"/>
          <w:color w:val="000000" w:themeColor="text1"/>
          <w:sz w:val="16"/>
          <w:szCs w:val="16"/>
        </w:rPr>
        <w:t>рукажи</w:t>
      </w:r>
      <w:proofErr w:type="spellEnd"/>
      <w:r w:rsidRPr="00A259BD">
        <w:rPr>
          <w:rFonts w:ascii="Times New Roman" w:hAnsi="Times New Roman"/>
          <w:color w:val="000000" w:themeColor="text1"/>
          <w:sz w:val="16"/>
          <w:szCs w:val="16"/>
        </w:rPr>
        <w:t xml:space="preserve"> богато развитые лаборатории и хорошо оборудованные мастерские, мы имеем значительные успе</w:t>
      </w:r>
      <w:r w:rsidRPr="00A259BD">
        <w:rPr>
          <w:rFonts w:ascii="Times New Roman" w:hAnsi="Times New Roman"/>
          <w:color w:val="000000" w:themeColor="text1"/>
          <w:sz w:val="16"/>
          <w:szCs w:val="16"/>
        </w:rPr>
        <w:softHyphen/>
        <w:t>хи в области опытного строительства, в ЦАГИ.</w:t>
      </w:r>
    </w:p>
    <w:p w14:paraId="44F703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ЦГАСА, ф. 4, оп. 2, д. 398, </w:t>
      </w:r>
      <w:proofErr w:type="spellStart"/>
      <w:r w:rsidRPr="00A259BD">
        <w:rPr>
          <w:rFonts w:ascii="Times New Roman" w:hAnsi="Times New Roman"/>
          <w:color w:val="000000" w:themeColor="text1"/>
          <w:sz w:val="16"/>
          <w:szCs w:val="16"/>
        </w:rPr>
        <w:t>лл</w:t>
      </w:r>
      <w:proofErr w:type="spellEnd"/>
      <w:r w:rsidRPr="00A259BD">
        <w:rPr>
          <w:rFonts w:ascii="Times New Roman" w:hAnsi="Times New Roman"/>
          <w:color w:val="000000" w:themeColor="text1"/>
          <w:sz w:val="16"/>
          <w:szCs w:val="16"/>
        </w:rPr>
        <w:t>. 8-41 (1026,22).</w:t>
      </w:r>
    </w:p>
    <w:p w14:paraId="533D4F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1E22C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 xml:space="preserve">12 января 1929 г. </w:t>
      </w:r>
      <w:r w:rsidRPr="00A259BD">
        <w:rPr>
          <w:rFonts w:ascii="Times New Roman" w:hAnsi="Times New Roman"/>
          <w:color w:val="000000" w:themeColor="text1"/>
          <w:sz w:val="16"/>
          <w:szCs w:val="16"/>
        </w:rPr>
        <w:t>Из доклада Президиума ВСНХ СССР в РЗ СТО СССР о мобилизационной готовности промышленности на 1 октября 1928 г.</w:t>
      </w:r>
    </w:p>
    <w:p w14:paraId="09282B7F" w14:textId="77777777" w:rsidR="00CE0BB3" w:rsidRPr="00A259BD" w:rsidRDefault="00CE0BB3" w:rsidP="009236E3">
      <w:pPr>
        <w:pStyle w:val="rtejustify"/>
        <w:spacing w:before="0" w:after="0"/>
        <w:rPr>
          <w:color w:val="000000" w:themeColor="text1"/>
          <w:sz w:val="16"/>
          <w:szCs w:val="16"/>
        </w:rPr>
      </w:pPr>
      <w:r w:rsidRPr="00A259BD">
        <w:rPr>
          <w:rStyle w:val="a7"/>
          <w:b w:val="0"/>
          <w:bCs w:val="0"/>
          <w:color w:val="000000" w:themeColor="text1"/>
          <w:sz w:val="16"/>
          <w:szCs w:val="16"/>
        </w:rPr>
        <w:t>…6. Авиастроение</w:t>
      </w:r>
    </w:p>
    <w:p w14:paraId="65195178"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Трехлетняя заявка НКВМ составляет 4267 ед. самолетов и 4938 моторов. Мощность на 1 октября 1928 г. по самолетам составляет 2150 шт. — 50,4% трехлетней заявки, а по моторам — 1700 шт., или 30,6% трехлетки. План литеры «С» доводит мощность по самолетам на 1 октября 1929 г. до 2916 шт. (3,1 тыс. учетных единиц), или 68,3% трехлетней заявки, а по моторам — 2845 шт., или 57,5% трехлетки. Мощности как по самолетам, так по моторам не являются окончательными и подлежат дальнейшему уточнению.</w:t>
      </w:r>
    </w:p>
    <w:p w14:paraId="17575A7D"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В первую очередь надлежит отметить разрыв между моторо- и самолетостроением. Количественный дефицит по моторам усугубляется еще тем обстоятельством, что в связи с не установленным процессом производства на заводе № 26 (Рыбинск) особенно велик дефицит в современных боевых моторах «БМВ-6»...¹²*</w:t>
      </w:r>
    </w:p>
    <w:p w14:paraId="0D37247C"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Развертывание мощностей по моторостроению предполагается осуществить без строительства новых моторостроительных заводов — за счет доведения существующих заводов до их предельной мощности, рационализацией их производства, с освобождением от вспомогательных работ (изготовление карбюраторов, краников, помп и т. д.) и кооперирования моторостроительных заводов путем передачи на другие заводы некоторых деталей моторов. За границей во время войны производство мотора «Либерти» было построено на принципе кооперирования отдельных заводов, что дало большой производственный эффект. Но у нас положение усложняется новизной и не налаженностью отечественного моторостроения, когда и сами моторостроительные заводы еще плохо с ним справляются. Положение усугубляется также отсутствием в нашей промышленности навыков точного производства, между тем как авиамоторостроение является одним из наиболее точных производств. Перечисленные трудности вызовут особое сопротивление при внедрении принципа кооперирования, и без того туго воспринимаемого промышленностью. Нужно, однако, отметить, что ряд ответственных поковок (коленчатые валы, шатуны) и сейчас получаются моторостроительными заводами со стороны. По плану 1928/29 г. начиняется строительство вспомогательного завода для разгрузки основных моторостроительных заводов.</w:t>
      </w:r>
    </w:p>
    <w:p w14:paraId="177F6FEF"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В самолетостроении отстает производство металлических самолетов. Намеченное по контрольным цифрам 1928/29 г. развитие завода № 22 (Фили) даст на 1 октября 1929 г. 600</w:t>
      </w:r>
      <w:r w:rsidRPr="00A259BD">
        <w:rPr>
          <w:color w:val="000000" w:themeColor="text1"/>
          <w:sz w:val="16"/>
          <w:szCs w:val="16"/>
        </w:rPr>
        <w:noBreakHyphen/>
        <w:t>700 учетных единиц, что не покрывает потребности в них по литере «С». Развертывание мощностей по металлическим самолетам связано с нашими производственными возможностями по кольчуг (</w:t>
      </w:r>
      <w:proofErr w:type="spellStart"/>
      <w:r w:rsidRPr="00A259BD">
        <w:rPr>
          <w:color w:val="000000" w:themeColor="text1"/>
          <w:sz w:val="16"/>
          <w:szCs w:val="16"/>
        </w:rPr>
        <w:t>дюр</w:t>
      </w:r>
      <w:proofErr w:type="spellEnd"/>
      <w:r w:rsidRPr="00A259BD">
        <w:rPr>
          <w:color w:val="000000" w:themeColor="text1"/>
          <w:sz w:val="16"/>
          <w:szCs w:val="16"/>
        </w:rPr>
        <w:t xml:space="preserve">)алюминию, которое в настоящее время далеко не удовлетворяет потребности НКВМ. Начинаемый постройкой в 1928/29 г. новый завод кольчугалюминия должен будет покрыть эту потребность; однако до вступления в эксплуатацию </w:t>
      </w:r>
      <w:proofErr w:type="spellStart"/>
      <w:r w:rsidRPr="00A259BD">
        <w:rPr>
          <w:color w:val="000000" w:themeColor="text1"/>
          <w:sz w:val="16"/>
          <w:szCs w:val="16"/>
        </w:rPr>
        <w:t>Днепростроя</w:t>
      </w:r>
      <w:proofErr w:type="spellEnd"/>
      <w:r w:rsidRPr="00A259BD">
        <w:rPr>
          <w:color w:val="000000" w:themeColor="text1"/>
          <w:sz w:val="16"/>
          <w:szCs w:val="16"/>
        </w:rPr>
        <w:t xml:space="preserve"> сырье алюминий будет импортным продуктом.</w:t>
      </w:r>
    </w:p>
    <w:p w14:paraId="0EF5D0DC" w14:textId="77777777" w:rsidR="007548ED" w:rsidRPr="00A259BD" w:rsidRDefault="007548ED" w:rsidP="009236E3">
      <w:pPr>
        <w:pStyle w:val="ae"/>
        <w:spacing w:before="0" w:after="0"/>
        <w:jc w:val="both"/>
        <w:rPr>
          <w:color w:val="000000" w:themeColor="text1"/>
          <w:sz w:val="16"/>
          <w:szCs w:val="16"/>
        </w:rPr>
      </w:pPr>
      <w:r w:rsidRPr="00A259BD">
        <w:rPr>
          <w:color w:val="000000" w:themeColor="text1"/>
          <w:sz w:val="16"/>
          <w:szCs w:val="16"/>
        </w:rPr>
        <w:t>В части деревянных самолетов основным дефектом плана литеры «С» является большая доля в нем устарелого типа Р</w:t>
      </w:r>
      <w:r w:rsidRPr="00A259BD">
        <w:rPr>
          <w:color w:val="000000" w:themeColor="text1"/>
          <w:sz w:val="16"/>
          <w:szCs w:val="16"/>
        </w:rPr>
        <w:noBreakHyphen/>
        <w:t xml:space="preserve">1, который не удается заменить более </w:t>
      </w:r>
      <w:r w:rsidRPr="00A259BD">
        <w:rPr>
          <w:color w:val="000000" w:themeColor="text1"/>
          <w:sz w:val="16"/>
          <w:szCs w:val="16"/>
        </w:rPr>
        <w:lastRenderedPageBreak/>
        <w:t>современным Р</w:t>
      </w:r>
      <w:r w:rsidRPr="00A259BD">
        <w:rPr>
          <w:color w:val="000000" w:themeColor="text1"/>
          <w:sz w:val="16"/>
          <w:szCs w:val="16"/>
        </w:rPr>
        <w:noBreakHyphen/>
        <w:t>5 из-за недостатка современных моторов. Прочие типы самолетов, хотя и являются современными, не обеспечены в должном количестве современными моторами.</w:t>
      </w:r>
    </w:p>
    <w:p w14:paraId="075A41C5"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Дальнейшее развертывание мощностей по самолетостроению предполагается осуществить специализацией самолетостроительных заводов, которые намечено разгрузить от приборов вооружения и других подсобных работ, сосредоточиваемых на специально строящемся с 1928/29 г. заводе вооружения. Намеченная рационализация производства самолетостроения обещает дать сразу же большой производственный эффект. Начата проработка вопроса о кооперировании самолетостроительных заводов с деревообрабатывающими предприятиями. Помимо того, прорабатывается вопрос о выносе на гражданские заводы производства деревянных пропеллеров, которые в мировую войну производились на одной из ленинградских мебельных фабрик. Планом 1929/30 г. намечается начало постройки нового самолетостроительного завода, который будет готов через 3 года и обеспечит переход к обеспечению заявки НКВМ по пятилетней программе.</w:t>
      </w:r>
    </w:p>
    <w:p w14:paraId="2C99DEBC"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Узким местом для </w:t>
      </w:r>
      <w:proofErr w:type="spellStart"/>
      <w:r w:rsidRPr="00A259BD">
        <w:rPr>
          <w:color w:val="000000" w:themeColor="text1"/>
          <w:sz w:val="16"/>
          <w:szCs w:val="16"/>
        </w:rPr>
        <w:t>самолето</w:t>
      </w:r>
      <w:proofErr w:type="spellEnd"/>
      <w:r w:rsidRPr="00A259BD">
        <w:rPr>
          <w:color w:val="000000" w:themeColor="text1"/>
          <w:sz w:val="16"/>
          <w:szCs w:val="16"/>
        </w:rPr>
        <w:t>-, и в особенности, моторостроения является специальная сталь; новый завод «Электростали» (мощностью 10 тыс. т) заканчивается только к 1 октября 1931 г., но даже при полной своей мощности он не покроет всей потребности авиапромышленности к тому времени. В данный момент авиапромышленность снабжается поковками только с заводов ГВПУ; на 1 октября 1929 г. обеспеченность моторостроения поковками будет выражена цифрой максимально 1,5</w:t>
      </w:r>
      <w:r w:rsidRPr="00A259BD">
        <w:rPr>
          <w:color w:val="000000" w:themeColor="text1"/>
          <w:sz w:val="16"/>
          <w:szCs w:val="16"/>
        </w:rPr>
        <w:noBreakHyphen/>
        <w:t>1,8 тыс. комплектов, что далеко недостаточно для достигаемой к этому сроку мощности по моторам (2845 шт.) Прорабатывается вопрос о привлечении гражданских заводов (Урал) для обеспечения этой потребности.</w:t>
      </w:r>
    </w:p>
    <w:p w14:paraId="2602A6AB"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Другим узким местом авиастроения является производство приборов зажигания, которые импортируются целиком, за исключением </w:t>
      </w:r>
      <w:proofErr w:type="spellStart"/>
      <w:r w:rsidRPr="00A259BD">
        <w:rPr>
          <w:color w:val="000000" w:themeColor="text1"/>
          <w:sz w:val="16"/>
          <w:szCs w:val="16"/>
        </w:rPr>
        <w:t>авивасвечей</w:t>
      </w:r>
      <w:proofErr w:type="spellEnd"/>
      <w:r w:rsidRPr="00A259BD">
        <w:rPr>
          <w:color w:val="000000" w:themeColor="text1"/>
          <w:sz w:val="16"/>
          <w:szCs w:val="16"/>
        </w:rPr>
        <w:t xml:space="preserve">, по которым уже удалось наладить производство в СССР. Для ликвидации этого «узкого» места в 1928/29 г. будет спроектирован в электропромышленности специальный завод по приборам зажигания, с окончанием работ на 1 октября 1931 г.; параллельно с этим уже сейчас на заводе № 12 ведутся работы по изготовлению опытных образцов. Остро стоит вопрос о приборе </w:t>
      </w:r>
      <w:proofErr w:type="spellStart"/>
      <w:r w:rsidRPr="00A259BD">
        <w:rPr>
          <w:color w:val="000000" w:themeColor="text1"/>
          <w:sz w:val="16"/>
          <w:szCs w:val="16"/>
        </w:rPr>
        <w:t>Делько</w:t>
      </w:r>
      <w:proofErr w:type="spellEnd"/>
      <w:r w:rsidRPr="00A259BD">
        <w:rPr>
          <w:color w:val="000000" w:themeColor="text1"/>
          <w:sz w:val="16"/>
          <w:szCs w:val="16"/>
        </w:rPr>
        <w:t xml:space="preserve"> для мотора М</w:t>
      </w:r>
      <w:r w:rsidRPr="00A259BD">
        <w:rPr>
          <w:color w:val="000000" w:themeColor="text1"/>
          <w:sz w:val="16"/>
          <w:szCs w:val="16"/>
        </w:rPr>
        <w:noBreakHyphen/>
        <w:t>5, производство которого у нас не наладилось до сих пор, несмотря на то что работы ведутся уже свыше 4 лет. Приборы эти импортируются на все 100% из Америки. К концу трехлетия предполагается снятие с вооружения М</w:t>
      </w:r>
      <w:r w:rsidRPr="00A259BD">
        <w:rPr>
          <w:color w:val="000000" w:themeColor="text1"/>
          <w:sz w:val="16"/>
          <w:szCs w:val="16"/>
        </w:rPr>
        <w:noBreakHyphen/>
        <w:t xml:space="preserve">5 и тем самым будет устранена потребность в </w:t>
      </w:r>
      <w:proofErr w:type="spellStart"/>
      <w:r w:rsidRPr="00A259BD">
        <w:rPr>
          <w:color w:val="000000" w:themeColor="text1"/>
          <w:sz w:val="16"/>
          <w:szCs w:val="16"/>
        </w:rPr>
        <w:t>Делько</w:t>
      </w:r>
      <w:proofErr w:type="spellEnd"/>
      <w:r w:rsidRPr="00A259BD">
        <w:rPr>
          <w:color w:val="000000" w:themeColor="text1"/>
          <w:sz w:val="16"/>
          <w:szCs w:val="16"/>
        </w:rPr>
        <w:t xml:space="preserve">. До этого времени необходимо накопление </w:t>
      </w:r>
      <w:proofErr w:type="spellStart"/>
      <w:r w:rsidRPr="00A259BD">
        <w:rPr>
          <w:color w:val="000000" w:themeColor="text1"/>
          <w:sz w:val="16"/>
          <w:szCs w:val="16"/>
        </w:rPr>
        <w:t>мобзапаса</w:t>
      </w:r>
      <w:proofErr w:type="spellEnd"/>
      <w:r w:rsidRPr="00A259BD">
        <w:rPr>
          <w:color w:val="000000" w:themeColor="text1"/>
          <w:sz w:val="16"/>
          <w:szCs w:val="16"/>
        </w:rPr>
        <w:t xml:space="preserve"> этих приборов.</w:t>
      </w:r>
    </w:p>
    <w:p w14:paraId="4EC0B5D4"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Трудностью в авиационном производстве является малочисленность и недостаточная квалификация рабочей силы и технического персонала, в особенности среднего. Проблеме обеспечения </w:t>
      </w:r>
      <w:proofErr w:type="spellStart"/>
      <w:r w:rsidRPr="00A259BD">
        <w:rPr>
          <w:color w:val="000000" w:themeColor="text1"/>
          <w:sz w:val="16"/>
          <w:szCs w:val="16"/>
        </w:rPr>
        <w:t>авиапроизводства</w:t>
      </w:r>
      <w:proofErr w:type="spellEnd"/>
      <w:r w:rsidRPr="00A259BD">
        <w:rPr>
          <w:color w:val="000000" w:themeColor="text1"/>
          <w:sz w:val="16"/>
          <w:szCs w:val="16"/>
        </w:rPr>
        <w:t xml:space="preserve"> квалифицированными рабочими (в особенности лекальщиками) и техническим персоналом на протяжении трехлетия стоит очень остро и требует ряда мероприятий по своему разрешению. В 1928/29 г, намечается приписать к авиационным заводам квалифицированных рабочих с других заводов для облегчения мобилизационного развертывания.</w:t>
      </w:r>
    </w:p>
    <w:p w14:paraId="520C5956"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Существующее положение конструкторской работы по </w:t>
      </w:r>
      <w:proofErr w:type="spellStart"/>
      <w:r w:rsidRPr="00A259BD">
        <w:rPr>
          <w:color w:val="000000" w:themeColor="text1"/>
          <w:sz w:val="16"/>
          <w:szCs w:val="16"/>
        </w:rPr>
        <w:t>самолето</w:t>
      </w:r>
      <w:proofErr w:type="spellEnd"/>
      <w:r w:rsidRPr="00A259BD">
        <w:rPr>
          <w:color w:val="000000" w:themeColor="text1"/>
          <w:sz w:val="16"/>
          <w:szCs w:val="16"/>
        </w:rPr>
        <w:t>- и моторостроению в настоящее время ни в коем случае нельзя считать удовлетворительным, так как за период времени от начала конструкторской работы до установки массового производства мотор стареет и остро становится проблема замены его новым, более современным типом. Это обстоятельство усугубляется незначительным количеством конструкторских сил, что настойчиво выдвигает проблему концентрации конструкторской работы и опытного строительства в одном центре, тесно связав его с производством и научно-исследовательской работой…. (12418).</w:t>
      </w:r>
    </w:p>
    <w:p w14:paraId="3ECC117B" w14:textId="77777777" w:rsidR="007548ED" w:rsidRPr="00A259BD" w:rsidRDefault="007548ED" w:rsidP="009236E3">
      <w:pPr>
        <w:spacing w:after="0" w:line="240" w:lineRule="auto"/>
        <w:jc w:val="both"/>
        <w:rPr>
          <w:rFonts w:ascii="Times New Roman" w:hAnsi="Times New Roman"/>
          <w:color w:val="000000" w:themeColor="text1"/>
          <w:sz w:val="16"/>
          <w:szCs w:val="16"/>
          <w:u w:color="002060"/>
        </w:rPr>
      </w:pPr>
    </w:p>
    <w:p w14:paraId="35C782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января 1929 был подписан</w:t>
      </w:r>
    </w:p>
    <w:p w14:paraId="41DFF1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СПИСОК АДРЕСОВ ВОЕННЫЗ З А В О Д О В (</w:t>
      </w:r>
      <w:proofErr w:type="spellStart"/>
      <w:r w:rsidRPr="00A259BD">
        <w:rPr>
          <w:rFonts w:ascii="Times New Roman" w:hAnsi="Times New Roman"/>
          <w:color w:val="000000" w:themeColor="text1"/>
          <w:sz w:val="16"/>
          <w:szCs w:val="16"/>
        </w:rPr>
        <w:t>вх</w:t>
      </w:r>
      <w:proofErr w:type="spellEnd"/>
      <w:r w:rsidRPr="00A259BD">
        <w:rPr>
          <w:rFonts w:ascii="Times New Roman" w:hAnsi="Times New Roman"/>
          <w:color w:val="000000" w:themeColor="text1"/>
          <w:sz w:val="16"/>
          <w:szCs w:val="16"/>
        </w:rPr>
        <w:t>. № В-4744 ВПУ ВСНХ СССР)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126"/>
        <w:gridCol w:w="2268"/>
        <w:gridCol w:w="2268"/>
        <w:gridCol w:w="1339"/>
        <w:gridCol w:w="1339"/>
        <w:gridCol w:w="1339"/>
      </w:tblGrid>
      <w:tr w:rsidR="00A259BD" w:rsidRPr="00A259BD" w14:paraId="67483D20" w14:textId="77777777">
        <w:tc>
          <w:tcPr>
            <w:tcW w:w="534" w:type="dxa"/>
            <w:tcBorders>
              <w:top w:val="single" w:sz="12" w:space="0" w:color="auto"/>
            </w:tcBorders>
          </w:tcPr>
          <w:p w14:paraId="47367C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п/п</w:t>
            </w:r>
          </w:p>
        </w:tc>
        <w:tc>
          <w:tcPr>
            <w:tcW w:w="2126" w:type="dxa"/>
            <w:tcBorders>
              <w:top w:val="single" w:sz="12" w:space="0" w:color="auto"/>
            </w:tcBorders>
          </w:tcPr>
          <w:p w14:paraId="104EC9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НАИМЕНОВАНИЕ ЗАВОДА</w:t>
            </w:r>
          </w:p>
        </w:tc>
        <w:tc>
          <w:tcPr>
            <w:tcW w:w="2268" w:type="dxa"/>
            <w:tcBorders>
              <w:top w:val="single" w:sz="12" w:space="0" w:color="auto"/>
            </w:tcBorders>
          </w:tcPr>
          <w:p w14:paraId="39A407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ВОЕННОЙ ПРОДУКЦИИ.</w:t>
            </w:r>
          </w:p>
        </w:tc>
        <w:tc>
          <w:tcPr>
            <w:tcW w:w="2268" w:type="dxa"/>
            <w:tcBorders>
              <w:top w:val="single" w:sz="12" w:space="0" w:color="auto"/>
            </w:tcBorders>
          </w:tcPr>
          <w:p w14:paraId="64B4DB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МИРНОЙ ПРОДУКЦИИ.</w:t>
            </w:r>
          </w:p>
        </w:tc>
        <w:tc>
          <w:tcPr>
            <w:tcW w:w="2678" w:type="dxa"/>
            <w:gridSpan w:val="2"/>
            <w:tcBorders>
              <w:top w:val="single" w:sz="12" w:space="0" w:color="auto"/>
            </w:tcBorders>
          </w:tcPr>
          <w:p w14:paraId="0944BC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Почтовые адреса для корреспонденции</w:t>
            </w:r>
          </w:p>
        </w:tc>
        <w:tc>
          <w:tcPr>
            <w:tcW w:w="1339" w:type="dxa"/>
            <w:tcBorders>
              <w:top w:val="single" w:sz="12" w:space="0" w:color="auto"/>
            </w:tcBorders>
          </w:tcPr>
          <w:p w14:paraId="2D09AD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Телеграфный' адрес</w:t>
            </w:r>
          </w:p>
        </w:tc>
      </w:tr>
      <w:tr w:rsidR="00A259BD" w:rsidRPr="00A259BD" w14:paraId="6DD868E3" w14:textId="77777777">
        <w:tc>
          <w:tcPr>
            <w:tcW w:w="534" w:type="dxa"/>
          </w:tcPr>
          <w:p w14:paraId="595DDC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0DD24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EDB72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3D681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573844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Простой</w:t>
            </w:r>
          </w:p>
        </w:tc>
        <w:tc>
          <w:tcPr>
            <w:tcW w:w="1339" w:type="dxa"/>
          </w:tcPr>
          <w:p w14:paraId="24B9E5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Секретный</w:t>
            </w:r>
          </w:p>
        </w:tc>
        <w:tc>
          <w:tcPr>
            <w:tcW w:w="1339" w:type="dxa"/>
          </w:tcPr>
          <w:p w14:paraId="0AB8C7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EDDE5F7" w14:textId="77777777">
        <w:tc>
          <w:tcPr>
            <w:tcW w:w="534" w:type="dxa"/>
          </w:tcPr>
          <w:p w14:paraId="223CB3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2126" w:type="dxa"/>
          </w:tcPr>
          <w:p w14:paraId="0DB05A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Кислотный завод № 1 ВСНХ СССР</w:t>
            </w:r>
          </w:p>
        </w:tc>
        <w:tc>
          <w:tcPr>
            <w:tcW w:w="2268" w:type="dxa"/>
          </w:tcPr>
          <w:p w14:paraId="417B31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перешел в ведение </w:t>
            </w:r>
            <w:proofErr w:type="spellStart"/>
            <w:r w:rsidRPr="00A259BD">
              <w:rPr>
                <w:rFonts w:ascii="Times New Roman" w:hAnsi="Times New Roman"/>
                <w:color w:val="000000" w:themeColor="text1"/>
                <w:sz w:val="16"/>
                <w:szCs w:val="16"/>
              </w:rPr>
              <w:t>Главхима</w:t>
            </w:r>
            <w:proofErr w:type="spellEnd"/>
          </w:p>
        </w:tc>
        <w:tc>
          <w:tcPr>
            <w:tcW w:w="2268" w:type="dxa"/>
          </w:tcPr>
          <w:p w14:paraId="2E19D1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F89F2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Москва, </w:t>
            </w:r>
            <w:proofErr w:type="spellStart"/>
            <w:r w:rsidRPr="00A259BD">
              <w:rPr>
                <w:rFonts w:ascii="Times New Roman" w:hAnsi="Times New Roman"/>
                <w:color w:val="000000" w:themeColor="text1"/>
                <w:sz w:val="16"/>
                <w:szCs w:val="16"/>
              </w:rPr>
              <w:t>Поч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тамт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Абон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702</w:t>
            </w:r>
          </w:p>
        </w:tc>
        <w:tc>
          <w:tcPr>
            <w:tcW w:w="1339" w:type="dxa"/>
          </w:tcPr>
          <w:p w14:paraId="5A3792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10D86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Москва химический один</w:t>
            </w:r>
          </w:p>
        </w:tc>
      </w:tr>
      <w:tr w:rsidR="00A259BD" w:rsidRPr="00A259BD" w14:paraId="7D7340A8" w14:textId="77777777">
        <w:tc>
          <w:tcPr>
            <w:tcW w:w="534" w:type="dxa"/>
          </w:tcPr>
          <w:p w14:paraId="41CC04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2126" w:type="dxa"/>
          </w:tcPr>
          <w:p w14:paraId="4ADF39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Химический з-д № 2</w:t>
            </w:r>
          </w:p>
        </w:tc>
        <w:tc>
          <w:tcPr>
            <w:tcW w:w="2268" w:type="dxa"/>
          </w:tcPr>
          <w:p w14:paraId="70B397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перешел в ведение </w:t>
            </w:r>
            <w:proofErr w:type="spellStart"/>
            <w:r w:rsidRPr="00A259BD">
              <w:rPr>
                <w:rFonts w:ascii="Times New Roman" w:hAnsi="Times New Roman"/>
                <w:color w:val="000000" w:themeColor="text1"/>
                <w:sz w:val="16"/>
                <w:szCs w:val="16"/>
              </w:rPr>
              <w:t>Главхима</w:t>
            </w:r>
            <w:proofErr w:type="spellEnd"/>
          </w:p>
        </w:tc>
        <w:tc>
          <w:tcPr>
            <w:tcW w:w="2268" w:type="dxa"/>
          </w:tcPr>
          <w:p w14:paraId="34D489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58BABC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Троцк</w:t>
            </w:r>
            <w:proofErr w:type="spellEnd"/>
            <w:r w:rsidRPr="00A259BD">
              <w:rPr>
                <w:rFonts w:ascii="Times New Roman" w:hAnsi="Times New Roman"/>
                <w:color w:val="000000" w:themeColor="text1"/>
                <w:sz w:val="16"/>
                <w:szCs w:val="16"/>
              </w:rPr>
              <w:t xml:space="preserve"> Са </w:t>
            </w:r>
            <w:proofErr w:type="spellStart"/>
            <w:r w:rsidRPr="00A259BD">
              <w:rPr>
                <w:rFonts w:ascii="Times New Roman" w:hAnsi="Times New Roman"/>
                <w:color w:val="000000" w:themeColor="text1"/>
                <w:sz w:val="16"/>
                <w:szCs w:val="16"/>
              </w:rPr>
              <w:t>марской</w:t>
            </w:r>
            <w:proofErr w:type="spellEnd"/>
            <w:r w:rsidRPr="00A259BD">
              <w:rPr>
                <w:rFonts w:ascii="Times New Roman" w:hAnsi="Times New Roman"/>
                <w:color w:val="000000" w:themeColor="text1"/>
                <w:sz w:val="16"/>
                <w:szCs w:val="16"/>
              </w:rPr>
              <w:t xml:space="preserve"> губ. </w:t>
            </w:r>
            <w:proofErr w:type="spellStart"/>
            <w:r w:rsidRPr="00A259BD">
              <w:rPr>
                <w:rFonts w:ascii="Times New Roman" w:hAnsi="Times New Roman"/>
                <w:color w:val="000000" w:themeColor="text1"/>
                <w:sz w:val="16"/>
                <w:szCs w:val="16"/>
              </w:rPr>
              <w:t>почт.ящ</w:t>
            </w:r>
            <w:proofErr w:type="spellEnd"/>
            <w:r w:rsidRPr="00A259BD">
              <w:rPr>
                <w:rFonts w:ascii="Times New Roman" w:hAnsi="Times New Roman"/>
                <w:color w:val="000000" w:themeColor="text1"/>
                <w:sz w:val="16"/>
                <w:szCs w:val="16"/>
              </w:rPr>
              <w:t>. № 2</w:t>
            </w:r>
          </w:p>
        </w:tc>
        <w:tc>
          <w:tcPr>
            <w:tcW w:w="1339" w:type="dxa"/>
          </w:tcPr>
          <w:p w14:paraId="0EE34D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41192A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Троцк</w:t>
            </w:r>
            <w:proofErr w:type="spellEnd"/>
            <w:r w:rsidRPr="00A259BD">
              <w:rPr>
                <w:rFonts w:ascii="Times New Roman" w:hAnsi="Times New Roman"/>
                <w:color w:val="000000" w:themeColor="text1"/>
                <w:sz w:val="16"/>
                <w:szCs w:val="16"/>
              </w:rPr>
              <w:t>, Самарской два</w:t>
            </w:r>
          </w:p>
        </w:tc>
      </w:tr>
      <w:tr w:rsidR="00A259BD" w:rsidRPr="00A259BD" w14:paraId="3D854538" w14:textId="77777777">
        <w:tc>
          <w:tcPr>
            <w:tcW w:w="534" w:type="dxa"/>
          </w:tcPr>
          <w:p w14:paraId="49845E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61AC2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ПАТРУБТРЕСТ.</w:t>
            </w:r>
          </w:p>
        </w:tc>
        <w:tc>
          <w:tcPr>
            <w:tcW w:w="2268" w:type="dxa"/>
          </w:tcPr>
          <w:p w14:paraId="7BAAEE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79D5E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1B4700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0DE811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1AFB80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5C50855" w14:textId="77777777">
        <w:tc>
          <w:tcPr>
            <w:tcW w:w="534" w:type="dxa"/>
          </w:tcPr>
          <w:p w14:paraId="3CBD48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2126" w:type="dxa"/>
          </w:tcPr>
          <w:p w14:paraId="448B1B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Тульский патронный</w:t>
            </w:r>
          </w:p>
        </w:tc>
        <w:tc>
          <w:tcPr>
            <w:tcW w:w="2268" w:type="dxa"/>
          </w:tcPr>
          <w:p w14:paraId="27B05D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винтовок, </w:t>
            </w:r>
            <w:proofErr w:type="spellStart"/>
            <w:r w:rsidRPr="00A259BD">
              <w:rPr>
                <w:rFonts w:ascii="Times New Roman" w:hAnsi="Times New Roman"/>
                <w:color w:val="000000" w:themeColor="text1"/>
                <w:sz w:val="16"/>
                <w:szCs w:val="16"/>
              </w:rPr>
              <w:t>ревпатронов</w:t>
            </w:r>
            <w:proofErr w:type="spellEnd"/>
            <w:r w:rsidRPr="00A259BD">
              <w:rPr>
                <w:rFonts w:ascii="Times New Roman" w:hAnsi="Times New Roman"/>
                <w:color w:val="000000" w:themeColor="text1"/>
                <w:sz w:val="16"/>
                <w:szCs w:val="16"/>
              </w:rPr>
              <w:t>, пушечных гильз, патронной латуни, мельхиора.</w:t>
            </w:r>
          </w:p>
        </w:tc>
        <w:tc>
          <w:tcPr>
            <w:tcW w:w="2268" w:type="dxa"/>
          </w:tcPr>
          <w:p w14:paraId="340CAC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Малокалиберные патроны, примуса самовары, латунь торговая, радиаторные трубки и охотничьи гильзы.</w:t>
            </w:r>
          </w:p>
        </w:tc>
        <w:tc>
          <w:tcPr>
            <w:tcW w:w="1339" w:type="dxa"/>
          </w:tcPr>
          <w:p w14:paraId="655077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Тула, почтамт, абон.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№37</w:t>
            </w:r>
          </w:p>
        </w:tc>
        <w:tc>
          <w:tcPr>
            <w:tcW w:w="1339" w:type="dxa"/>
          </w:tcPr>
          <w:p w14:paraId="5AF6BC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39" w:type="dxa"/>
          </w:tcPr>
          <w:p w14:paraId="469BE5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1656B0AB" w14:textId="77777777">
        <w:tc>
          <w:tcPr>
            <w:tcW w:w="534" w:type="dxa"/>
          </w:tcPr>
          <w:p w14:paraId="52DDA3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2126" w:type="dxa"/>
          </w:tcPr>
          <w:p w14:paraId="1BD96A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3 им. Володарского</w:t>
            </w:r>
          </w:p>
        </w:tc>
        <w:tc>
          <w:tcPr>
            <w:tcW w:w="2268" w:type="dxa"/>
          </w:tcPr>
          <w:p w14:paraId="7EE665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w:t>
            </w:r>
            <w:proofErr w:type="spellStart"/>
            <w:r w:rsidRPr="00A259BD">
              <w:rPr>
                <w:rFonts w:ascii="Times New Roman" w:hAnsi="Times New Roman"/>
                <w:color w:val="000000" w:themeColor="text1"/>
                <w:sz w:val="16"/>
                <w:szCs w:val="16"/>
              </w:rPr>
              <w:t>винтпатронов</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ревпатронов</w:t>
            </w:r>
            <w:proofErr w:type="spellEnd"/>
            <w:r w:rsidRPr="00A259BD">
              <w:rPr>
                <w:rFonts w:ascii="Times New Roman" w:hAnsi="Times New Roman"/>
                <w:color w:val="000000" w:themeColor="text1"/>
                <w:sz w:val="16"/>
                <w:szCs w:val="16"/>
              </w:rPr>
              <w:t>.</w:t>
            </w:r>
          </w:p>
        </w:tc>
        <w:tc>
          <w:tcPr>
            <w:tcW w:w="2268" w:type="dxa"/>
          </w:tcPr>
          <w:p w14:paraId="67D298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w:t>
            </w:r>
          </w:p>
        </w:tc>
        <w:tc>
          <w:tcPr>
            <w:tcW w:w="1339" w:type="dxa"/>
          </w:tcPr>
          <w:p w14:paraId="1542B4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Ульяновск, </w:t>
            </w:r>
            <w:proofErr w:type="spellStart"/>
            <w:r w:rsidRPr="00A259BD">
              <w:rPr>
                <w:rFonts w:ascii="Times New Roman" w:hAnsi="Times New Roman"/>
                <w:color w:val="000000" w:themeColor="text1"/>
                <w:sz w:val="16"/>
                <w:szCs w:val="16"/>
              </w:rPr>
              <w:t>почтов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19</w:t>
            </w:r>
          </w:p>
        </w:tc>
        <w:tc>
          <w:tcPr>
            <w:tcW w:w="1339" w:type="dxa"/>
          </w:tcPr>
          <w:p w14:paraId="3B11FB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39" w:type="dxa"/>
          </w:tcPr>
          <w:p w14:paraId="3BE334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53886650" w14:textId="77777777">
        <w:tc>
          <w:tcPr>
            <w:tcW w:w="534" w:type="dxa"/>
          </w:tcPr>
          <w:p w14:paraId="16C45A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2126" w:type="dxa"/>
          </w:tcPr>
          <w:p w14:paraId="05D76E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17</w:t>
            </w:r>
          </w:p>
        </w:tc>
        <w:tc>
          <w:tcPr>
            <w:tcW w:w="2268" w:type="dxa"/>
          </w:tcPr>
          <w:p w14:paraId="34B3FB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w:t>
            </w:r>
            <w:proofErr w:type="spellStart"/>
            <w:r w:rsidRPr="00A259BD">
              <w:rPr>
                <w:rFonts w:ascii="Times New Roman" w:hAnsi="Times New Roman"/>
                <w:color w:val="000000" w:themeColor="text1"/>
                <w:sz w:val="16"/>
                <w:szCs w:val="16"/>
              </w:rPr>
              <w:t>винтпатронов</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ревпатронов</w:t>
            </w:r>
            <w:proofErr w:type="spellEnd"/>
            <w:r w:rsidRPr="00A259BD">
              <w:rPr>
                <w:rFonts w:ascii="Times New Roman" w:hAnsi="Times New Roman"/>
                <w:color w:val="000000" w:themeColor="text1"/>
                <w:sz w:val="16"/>
                <w:szCs w:val="16"/>
              </w:rPr>
              <w:t>.</w:t>
            </w:r>
          </w:p>
        </w:tc>
        <w:tc>
          <w:tcPr>
            <w:tcW w:w="2268" w:type="dxa"/>
          </w:tcPr>
          <w:p w14:paraId="77BD94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Малокалиберные патроны.</w:t>
            </w:r>
          </w:p>
        </w:tc>
        <w:tc>
          <w:tcPr>
            <w:tcW w:w="1339" w:type="dxa"/>
          </w:tcPr>
          <w:p w14:paraId="3EE52B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.Подольск, </w:t>
            </w:r>
            <w:proofErr w:type="spellStart"/>
            <w:r w:rsidRPr="00A259BD">
              <w:rPr>
                <w:rFonts w:ascii="Times New Roman" w:hAnsi="Times New Roman"/>
                <w:color w:val="000000" w:themeColor="text1"/>
                <w:sz w:val="16"/>
                <w:szCs w:val="16"/>
              </w:rPr>
              <w:t>Моск</w:t>
            </w:r>
            <w:proofErr w:type="spellEnd"/>
            <w:r w:rsidRPr="00A259BD">
              <w:rPr>
                <w:rFonts w:ascii="Times New Roman" w:hAnsi="Times New Roman"/>
                <w:color w:val="000000" w:themeColor="text1"/>
                <w:sz w:val="16"/>
                <w:szCs w:val="16"/>
              </w:rPr>
              <w:t xml:space="preserve">. губ.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17</w:t>
            </w:r>
          </w:p>
        </w:tc>
        <w:tc>
          <w:tcPr>
            <w:tcW w:w="1339" w:type="dxa"/>
          </w:tcPr>
          <w:p w14:paraId="78B964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39" w:type="dxa"/>
          </w:tcPr>
          <w:p w14:paraId="7B6101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5C4FC4BD" w14:textId="77777777">
        <w:tc>
          <w:tcPr>
            <w:tcW w:w="534" w:type="dxa"/>
          </w:tcPr>
          <w:p w14:paraId="32C9E9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2126" w:type="dxa"/>
          </w:tcPr>
          <w:p w14:paraId="070BBB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60</w:t>
            </w:r>
          </w:p>
        </w:tc>
        <w:tc>
          <w:tcPr>
            <w:tcW w:w="2268" w:type="dxa"/>
          </w:tcPr>
          <w:p w14:paraId="6831A2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w:t>
            </w:r>
            <w:proofErr w:type="spellStart"/>
            <w:r w:rsidRPr="00A259BD">
              <w:rPr>
                <w:rFonts w:ascii="Times New Roman" w:hAnsi="Times New Roman"/>
                <w:color w:val="000000" w:themeColor="text1"/>
                <w:sz w:val="16"/>
                <w:szCs w:val="16"/>
              </w:rPr>
              <w:t>винтпатронов</w:t>
            </w:r>
            <w:proofErr w:type="spellEnd"/>
            <w:r w:rsidRPr="00A259BD">
              <w:rPr>
                <w:rFonts w:ascii="Times New Roman" w:hAnsi="Times New Roman"/>
                <w:color w:val="000000" w:themeColor="text1"/>
                <w:sz w:val="16"/>
                <w:szCs w:val="16"/>
              </w:rPr>
              <w:t>.</w:t>
            </w:r>
          </w:p>
        </w:tc>
        <w:tc>
          <w:tcPr>
            <w:tcW w:w="2268" w:type="dxa"/>
          </w:tcPr>
          <w:p w14:paraId="533AF8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Станки для </w:t>
            </w:r>
            <w:proofErr w:type="spellStart"/>
            <w:r w:rsidRPr="00A259BD">
              <w:rPr>
                <w:rFonts w:ascii="Times New Roman" w:hAnsi="Times New Roman"/>
                <w:color w:val="000000" w:themeColor="text1"/>
                <w:sz w:val="16"/>
                <w:szCs w:val="16"/>
              </w:rPr>
              <w:t>патронно</w:t>
            </w:r>
            <w:proofErr w:type="spellEnd"/>
            <w:r w:rsidRPr="00A259BD">
              <w:rPr>
                <w:rFonts w:ascii="Times New Roman" w:hAnsi="Times New Roman"/>
                <w:color w:val="000000" w:themeColor="text1"/>
                <w:sz w:val="16"/>
                <w:szCs w:val="16"/>
              </w:rPr>
              <w:t xml:space="preserve"> го производства</w:t>
            </w:r>
          </w:p>
        </w:tc>
        <w:tc>
          <w:tcPr>
            <w:tcW w:w="1339" w:type="dxa"/>
          </w:tcPr>
          <w:p w14:paraId="18539A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Луганск </w:t>
            </w:r>
            <w:proofErr w:type="spellStart"/>
            <w:r w:rsidRPr="00A259BD">
              <w:rPr>
                <w:rFonts w:ascii="Times New Roman" w:hAnsi="Times New Roman"/>
                <w:color w:val="000000" w:themeColor="text1"/>
                <w:sz w:val="16"/>
                <w:szCs w:val="16"/>
              </w:rPr>
              <w:t>почт.ящ</w:t>
            </w:r>
            <w:proofErr w:type="spellEnd"/>
            <w:r w:rsidRPr="00A259BD">
              <w:rPr>
                <w:rFonts w:ascii="Times New Roman" w:hAnsi="Times New Roman"/>
                <w:color w:val="000000" w:themeColor="text1"/>
                <w:sz w:val="16"/>
                <w:szCs w:val="16"/>
              </w:rPr>
              <w:t>. № 137</w:t>
            </w:r>
          </w:p>
        </w:tc>
        <w:tc>
          <w:tcPr>
            <w:tcW w:w="1339" w:type="dxa"/>
          </w:tcPr>
          <w:p w14:paraId="5A5831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39" w:type="dxa"/>
          </w:tcPr>
          <w:p w14:paraId="04661C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5D2533E2" w14:textId="77777777">
        <w:tc>
          <w:tcPr>
            <w:tcW w:w="534" w:type="dxa"/>
          </w:tcPr>
          <w:p w14:paraId="7B3B7D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c>
          <w:tcPr>
            <w:tcW w:w="2126" w:type="dxa"/>
          </w:tcPr>
          <w:p w14:paraId="344D2D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Московский дроболитейный завод</w:t>
            </w:r>
          </w:p>
        </w:tc>
        <w:tc>
          <w:tcPr>
            <w:tcW w:w="2268" w:type="dxa"/>
          </w:tcPr>
          <w:p w14:paraId="0FEA4F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w:t>
            </w:r>
            <w:proofErr w:type="spellStart"/>
            <w:r w:rsidRPr="00A259BD">
              <w:rPr>
                <w:rFonts w:ascii="Times New Roman" w:hAnsi="Times New Roman"/>
                <w:color w:val="000000" w:themeColor="text1"/>
                <w:sz w:val="16"/>
                <w:szCs w:val="16"/>
              </w:rPr>
              <w:t>осветителбн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ых</w:t>
            </w:r>
            <w:proofErr w:type="spellEnd"/>
            <w:r w:rsidRPr="00A259BD">
              <w:rPr>
                <w:rFonts w:ascii="Times New Roman" w:hAnsi="Times New Roman"/>
                <w:color w:val="000000" w:themeColor="text1"/>
                <w:sz w:val="16"/>
                <w:szCs w:val="16"/>
              </w:rPr>
              <w:t xml:space="preserve"> патронов.</w:t>
            </w:r>
          </w:p>
        </w:tc>
        <w:tc>
          <w:tcPr>
            <w:tcW w:w="2268" w:type="dxa"/>
          </w:tcPr>
          <w:p w14:paraId="2AE96C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Охотничьи патроны, дробь, картечь, пыжи, кожевен. изделия.</w:t>
            </w:r>
          </w:p>
        </w:tc>
        <w:tc>
          <w:tcPr>
            <w:tcW w:w="1339" w:type="dxa"/>
          </w:tcPr>
          <w:p w14:paraId="57F4D6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Москва. Почта пересылается через </w:t>
            </w:r>
            <w:proofErr w:type="spellStart"/>
            <w:r w:rsidRPr="00A259BD">
              <w:rPr>
                <w:rFonts w:ascii="Times New Roman" w:hAnsi="Times New Roman"/>
                <w:color w:val="000000" w:themeColor="text1"/>
                <w:sz w:val="16"/>
                <w:szCs w:val="16"/>
              </w:rPr>
              <w:t>курьра</w:t>
            </w:r>
            <w:proofErr w:type="spellEnd"/>
          </w:p>
        </w:tc>
        <w:tc>
          <w:tcPr>
            <w:tcW w:w="1339" w:type="dxa"/>
          </w:tcPr>
          <w:p w14:paraId="66C853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39" w:type="dxa"/>
          </w:tcPr>
          <w:p w14:paraId="2E3C5F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2D565C55" w14:textId="77777777">
        <w:tc>
          <w:tcPr>
            <w:tcW w:w="534" w:type="dxa"/>
          </w:tcPr>
          <w:p w14:paraId="77443E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tc>
        <w:tc>
          <w:tcPr>
            <w:tcW w:w="2126" w:type="dxa"/>
          </w:tcPr>
          <w:p w14:paraId="1029B5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4 им. Всероссийского старосты т. Калинина</w:t>
            </w:r>
          </w:p>
        </w:tc>
        <w:tc>
          <w:tcPr>
            <w:tcW w:w="2268" w:type="dxa"/>
          </w:tcPr>
          <w:p w14:paraId="2B2411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взрывателей УГТ2, трубок 22" и “Д”, </w:t>
            </w:r>
            <w:proofErr w:type="spellStart"/>
            <w:r w:rsidRPr="00A259BD">
              <w:rPr>
                <w:rFonts w:ascii="Times New Roman" w:hAnsi="Times New Roman"/>
                <w:color w:val="000000" w:themeColor="text1"/>
                <w:sz w:val="16"/>
                <w:szCs w:val="16"/>
              </w:rPr>
              <w:t>капсюльн</w:t>
            </w:r>
            <w:proofErr w:type="spellEnd"/>
            <w:r w:rsidRPr="00A259BD">
              <w:rPr>
                <w:rFonts w:ascii="Times New Roman" w:hAnsi="Times New Roman"/>
                <w:color w:val="000000" w:themeColor="text1"/>
                <w:sz w:val="16"/>
                <w:szCs w:val="16"/>
              </w:rPr>
              <w:t xml:space="preserve">. втулка, </w:t>
            </w:r>
            <w:proofErr w:type="spellStart"/>
            <w:r w:rsidRPr="00A259BD">
              <w:rPr>
                <w:rFonts w:ascii="Times New Roman" w:hAnsi="Times New Roman"/>
                <w:color w:val="000000" w:themeColor="text1"/>
                <w:sz w:val="16"/>
                <w:szCs w:val="16"/>
              </w:rPr>
              <w:t>руж</w:t>
            </w:r>
            <w:proofErr w:type="spellEnd"/>
            <w:r w:rsidRPr="00A259BD">
              <w:rPr>
                <w:rFonts w:ascii="Times New Roman" w:hAnsi="Times New Roman"/>
                <w:color w:val="000000" w:themeColor="text1"/>
                <w:sz w:val="16"/>
                <w:szCs w:val="16"/>
              </w:rPr>
              <w:t>. гранат. Дьяконова</w:t>
            </w:r>
          </w:p>
        </w:tc>
        <w:tc>
          <w:tcPr>
            <w:tcW w:w="2268" w:type="dxa"/>
          </w:tcPr>
          <w:p w14:paraId="21B91D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Автоавиатракторные</w:t>
            </w:r>
            <w:proofErr w:type="spellEnd"/>
            <w:r w:rsidRPr="00A259BD">
              <w:rPr>
                <w:rFonts w:ascii="Times New Roman" w:hAnsi="Times New Roman"/>
                <w:color w:val="000000" w:themeColor="text1"/>
                <w:sz w:val="16"/>
                <w:szCs w:val="16"/>
              </w:rPr>
              <w:t xml:space="preserve"> свечи, мясорубки, детали </w:t>
            </w:r>
            <w:proofErr w:type="spellStart"/>
            <w:r w:rsidRPr="00A259BD">
              <w:rPr>
                <w:rFonts w:ascii="Times New Roman" w:hAnsi="Times New Roman"/>
                <w:color w:val="000000" w:themeColor="text1"/>
                <w:sz w:val="16"/>
                <w:szCs w:val="16"/>
              </w:rPr>
              <w:t>текстильн</w:t>
            </w:r>
            <w:proofErr w:type="spellEnd"/>
            <w:r w:rsidRPr="00A259BD">
              <w:rPr>
                <w:rFonts w:ascii="Times New Roman" w:hAnsi="Times New Roman"/>
                <w:color w:val="000000" w:themeColor="text1"/>
                <w:sz w:val="16"/>
                <w:szCs w:val="16"/>
              </w:rPr>
              <w:t>. машин станкостроение.</w:t>
            </w:r>
          </w:p>
        </w:tc>
        <w:tc>
          <w:tcPr>
            <w:tcW w:w="1339" w:type="dxa"/>
          </w:tcPr>
          <w:p w14:paraId="55BCF9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Ленинград,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18</w:t>
            </w:r>
          </w:p>
        </w:tc>
        <w:tc>
          <w:tcPr>
            <w:tcW w:w="1339" w:type="dxa"/>
          </w:tcPr>
          <w:p w14:paraId="4DC4B0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39" w:type="dxa"/>
          </w:tcPr>
          <w:p w14:paraId="0DAC7D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5456D991" w14:textId="77777777">
        <w:tc>
          <w:tcPr>
            <w:tcW w:w="534" w:type="dxa"/>
          </w:tcPr>
          <w:p w14:paraId="6520E6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tc>
        <w:tc>
          <w:tcPr>
            <w:tcW w:w="2126" w:type="dxa"/>
          </w:tcPr>
          <w:p w14:paraId="3A338F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42 им. Масленникова</w:t>
            </w:r>
          </w:p>
        </w:tc>
        <w:tc>
          <w:tcPr>
            <w:tcW w:w="2268" w:type="dxa"/>
          </w:tcPr>
          <w:p w14:paraId="67112C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22" </w:t>
            </w:r>
            <w:proofErr w:type="spellStart"/>
            <w:r w:rsidRPr="00A259BD">
              <w:rPr>
                <w:rFonts w:ascii="Times New Roman" w:hAnsi="Times New Roman"/>
                <w:color w:val="000000" w:themeColor="text1"/>
                <w:sz w:val="16"/>
                <w:szCs w:val="16"/>
              </w:rPr>
              <w:t>и"Д</w:t>
            </w:r>
            <w:proofErr w:type="spellEnd"/>
            <w:r w:rsidRPr="00A259BD">
              <w:rPr>
                <w:rFonts w:ascii="Times New Roman" w:hAnsi="Times New Roman"/>
                <w:color w:val="000000" w:themeColor="text1"/>
                <w:sz w:val="16"/>
                <w:szCs w:val="16"/>
              </w:rPr>
              <w:t xml:space="preserve">" труб., капсюльная втулка, запалы Ковешникова, трубка КАНЭ, трубки ВБ, ударные и </w:t>
            </w:r>
            <w:proofErr w:type="spellStart"/>
            <w:r w:rsidRPr="00A259BD">
              <w:rPr>
                <w:rFonts w:ascii="Times New Roman" w:hAnsi="Times New Roman"/>
                <w:color w:val="000000" w:themeColor="text1"/>
                <w:sz w:val="16"/>
                <w:szCs w:val="16"/>
              </w:rPr>
              <w:t>гальванич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Исправл</w:t>
            </w:r>
            <w:proofErr w:type="spellEnd"/>
            <w:r w:rsidRPr="00A259BD">
              <w:rPr>
                <w:rFonts w:ascii="Times New Roman" w:hAnsi="Times New Roman"/>
                <w:color w:val="000000" w:themeColor="text1"/>
                <w:sz w:val="16"/>
                <w:szCs w:val="16"/>
              </w:rPr>
              <w:t>. Французские взрыватели 24/31</w:t>
            </w:r>
          </w:p>
        </w:tc>
        <w:tc>
          <w:tcPr>
            <w:tcW w:w="2268" w:type="dxa"/>
          </w:tcPr>
          <w:p w14:paraId="18EB9C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Электроарматура, </w:t>
            </w:r>
            <w:proofErr w:type="spellStart"/>
            <w:r w:rsidRPr="00A259BD">
              <w:rPr>
                <w:rFonts w:ascii="Times New Roman" w:hAnsi="Times New Roman"/>
                <w:color w:val="000000" w:themeColor="text1"/>
                <w:sz w:val="16"/>
                <w:szCs w:val="16"/>
              </w:rPr>
              <w:t>пароарматура</w:t>
            </w:r>
            <w:proofErr w:type="spellEnd"/>
            <w:r w:rsidRPr="00A259BD">
              <w:rPr>
                <w:rFonts w:ascii="Times New Roman" w:hAnsi="Times New Roman"/>
                <w:color w:val="000000" w:themeColor="text1"/>
                <w:sz w:val="16"/>
                <w:szCs w:val="16"/>
              </w:rPr>
              <w:t>.</w:t>
            </w:r>
          </w:p>
        </w:tc>
        <w:tc>
          <w:tcPr>
            <w:tcW w:w="1339" w:type="dxa"/>
          </w:tcPr>
          <w:p w14:paraId="21E18D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Самара, '</w:t>
            </w:r>
            <w:proofErr w:type="spellStart"/>
            <w:r w:rsidRPr="00A259BD">
              <w:rPr>
                <w:rFonts w:ascii="Times New Roman" w:hAnsi="Times New Roman"/>
                <w:color w:val="000000" w:themeColor="text1"/>
                <w:sz w:val="16"/>
                <w:szCs w:val="16"/>
              </w:rPr>
              <w:t>почт.ящ</w:t>
            </w:r>
            <w:proofErr w:type="spellEnd"/>
            <w:r w:rsidRPr="00A259BD">
              <w:rPr>
                <w:rFonts w:ascii="Times New Roman" w:hAnsi="Times New Roman"/>
                <w:color w:val="000000" w:themeColor="text1"/>
                <w:sz w:val="16"/>
                <w:szCs w:val="16"/>
              </w:rPr>
              <w:t>. № 59</w:t>
            </w:r>
          </w:p>
        </w:tc>
        <w:tc>
          <w:tcPr>
            <w:tcW w:w="1339" w:type="dxa"/>
          </w:tcPr>
          <w:p w14:paraId="64FBCE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B3611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9C5A691" w14:textId="77777777">
        <w:tc>
          <w:tcPr>
            <w:tcW w:w="534" w:type="dxa"/>
          </w:tcPr>
          <w:p w14:paraId="22E56A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tc>
        <w:tc>
          <w:tcPr>
            <w:tcW w:w="2126" w:type="dxa"/>
          </w:tcPr>
          <w:p w14:paraId="5635FC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Пензенский велосипедный завод. Завод № 50</w:t>
            </w:r>
          </w:p>
        </w:tc>
        <w:tc>
          <w:tcPr>
            <w:tcW w:w="2268" w:type="dxa"/>
          </w:tcPr>
          <w:p w14:paraId="7030A3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 взрыв. УГТ2, 45</w:t>
            </w:r>
          </w:p>
        </w:tc>
        <w:tc>
          <w:tcPr>
            <w:tcW w:w="2268" w:type="dxa"/>
          </w:tcPr>
          <w:p w14:paraId="150FCE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Велосипеди</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производ</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Устанавлив</w:t>
            </w:r>
            <w:proofErr w:type="spellEnd"/>
            <w:r w:rsidRPr="00A259BD">
              <w:rPr>
                <w:rFonts w:ascii="Times New Roman" w:hAnsi="Times New Roman"/>
                <w:color w:val="000000" w:themeColor="text1"/>
                <w:sz w:val="16"/>
                <w:szCs w:val="16"/>
              </w:rPr>
              <w:t>.</w:t>
            </w:r>
          </w:p>
        </w:tc>
        <w:tc>
          <w:tcPr>
            <w:tcW w:w="1339" w:type="dxa"/>
          </w:tcPr>
          <w:p w14:paraId="1A5F56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Пенза, </w:t>
            </w:r>
            <w:proofErr w:type="spellStart"/>
            <w:r w:rsidRPr="00A259BD">
              <w:rPr>
                <w:rFonts w:ascii="Times New Roman" w:hAnsi="Times New Roman"/>
                <w:color w:val="000000" w:themeColor="text1"/>
                <w:sz w:val="16"/>
                <w:szCs w:val="16"/>
              </w:rPr>
              <w:t>почтов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25</w:t>
            </w:r>
          </w:p>
        </w:tc>
        <w:tc>
          <w:tcPr>
            <w:tcW w:w="1339" w:type="dxa"/>
          </w:tcPr>
          <w:p w14:paraId="5690FC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39" w:type="dxa"/>
          </w:tcPr>
          <w:p w14:paraId="1338EC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21D8FF1D" w14:textId="77777777">
        <w:tc>
          <w:tcPr>
            <w:tcW w:w="534" w:type="dxa"/>
          </w:tcPr>
          <w:p w14:paraId="7E93C0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546EE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ОРУЖЕЙНО-ПУЛЕМЕТНЫЙ</w:t>
            </w:r>
          </w:p>
        </w:tc>
        <w:tc>
          <w:tcPr>
            <w:tcW w:w="2268" w:type="dxa"/>
          </w:tcPr>
          <w:p w14:paraId="0D3C3C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AEAAB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77C08B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30C70C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5F2ECF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02E9205" w14:textId="77777777">
        <w:tc>
          <w:tcPr>
            <w:tcW w:w="534" w:type="dxa"/>
          </w:tcPr>
          <w:p w14:paraId="1CBFC5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2126" w:type="dxa"/>
          </w:tcPr>
          <w:p w14:paraId="041970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1-й </w:t>
            </w:r>
            <w:proofErr w:type="spellStart"/>
            <w:r w:rsidRPr="00A259BD">
              <w:rPr>
                <w:rFonts w:ascii="Times New Roman" w:hAnsi="Times New Roman"/>
                <w:color w:val="000000" w:themeColor="text1"/>
                <w:sz w:val="16"/>
                <w:szCs w:val="16"/>
              </w:rPr>
              <w:t>оружейн</w:t>
            </w:r>
            <w:proofErr w:type="spellEnd"/>
            <w:r w:rsidRPr="00A259BD">
              <w:rPr>
                <w:rFonts w:ascii="Times New Roman" w:hAnsi="Times New Roman"/>
                <w:color w:val="000000" w:themeColor="text1"/>
                <w:sz w:val="16"/>
                <w:szCs w:val="16"/>
              </w:rPr>
              <w:t>. Завод в г. Туле</w:t>
            </w:r>
          </w:p>
        </w:tc>
        <w:tc>
          <w:tcPr>
            <w:tcW w:w="2268" w:type="dxa"/>
          </w:tcPr>
          <w:p w14:paraId="5EF1BF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винтовок, пулеметов и револьверов “Наган”</w:t>
            </w:r>
          </w:p>
        </w:tc>
        <w:tc>
          <w:tcPr>
            <w:tcW w:w="2268" w:type="dxa"/>
          </w:tcPr>
          <w:p w14:paraId="7B56DC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Охотничье и малокалиберное оружие, инструмент, </w:t>
            </w:r>
            <w:proofErr w:type="spellStart"/>
            <w:r w:rsidRPr="00A259BD">
              <w:rPr>
                <w:rFonts w:ascii="Times New Roman" w:hAnsi="Times New Roman"/>
                <w:color w:val="000000" w:themeColor="text1"/>
                <w:sz w:val="16"/>
                <w:szCs w:val="16"/>
              </w:rPr>
              <w:t>текстильн</w:t>
            </w:r>
            <w:proofErr w:type="spellEnd"/>
            <w:r w:rsidRPr="00A259BD">
              <w:rPr>
                <w:rFonts w:ascii="Times New Roman" w:hAnsi="Times New Roman"/>
                <w:color w:val="000000" w:themeColor="text1"/>
                <w:sz w:val="16"/>
                <w:szCs w:val="16"/>
              </w:rPr>
              <w:t>. машиностроение, станкостроение</w:t>
            </w:r>
          </w:p>
        </w:tc>
        <w:tc>
          <w:tcPr>
            <w:tcW w:w="1339" w:type="dxa"/>
          </w:tcPr>
          <w:p w14:paraId="4E5DD4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Тула, почтамт, </w:t>
            </w:r>
            <w:proofErr w:type="spellStart"/>
            <w:r w:rsidRPr="00A259BD">
              <w:rPr>
                <w:rFonts w:ascii="Times New Roman" w:hAnsi="Times New Roman"/>
                <w:color w:val="000000" w:themeColor="text1"/>
                <w:sz w:val="16"/>
                <w:szCs w:val="16"/>
              </w:rPr>
              <w:t>поч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86 и 87</w:t>
            </w:r>
          </w:p>
        </w:tc>
        <w:tc>
          <w:tcPr>
            <w:tcW w:w="1339" w:type="dxa"/>
          </w:tcPr>
          <w:p w14:paraId="009D28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Тула, 1-е орудийные заводы в Туле</w:t>
            </w:r>
          </w:p>
        </w:tc>
        <w:tc>
          <w:tcPr>
            <w:tcW w:w="1339" w:type="dxa"/>
          </w:tcPr>
          <w:p w14:paraId="281D1E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Тула ТОЗ</w:t>
            </w:r>
          </w:p>
        </w:tc>
      </w:tr>
      <w:tr w:rsidR="00A259BD" w:rsidRPr="00A259BD" w14:paraId="64F502AA" w14:textId="77777777">
        <w:tc>
          <w:tcPr>
            <w:tcW w:w="534" w:type="dxa"/>
          </w:tcPr>
          <w:p w14:paraId="15A467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2126" w:type="dxa"/>
          </w:tcPr>
          <w:p w14:paraId="5F160E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Ижевские Оружейный и </w:t>
            </w:r>
            <w:proofErr w:type="spellStart"/>
            <w:r w:rsidRPr="00A259BD">
              <w:rPr>
                <w:rFonts w:ascii="Times New Roman" w:hAnsi="Times New Roman"/>
                <w:color w:val="000000" w:themeColor="text1"/>
                <w:sz w:val="16"/>
                <w:szCs w:val="16"/>
              </w:rPr>
              <w:t>Сталититейный</w:t>
            </w:r>
            <w:proofErr w:type="spellEnd"/>
            <w:r w:rsidRPr="00A259BD">
              <w:rPr>
                <w:rFonts w:ascii="Times New Roman" w:hAnsi="Times New Roman"/>
                <w:color w:val="000000" w:themeColor="text1"/>
                <w:sz w:val="16"/>
                <w:szCs w:val="16"/>
              </w:rPr>
              <w:t xml:space="preserve"> заводы</w:t>
            </w:r>
          </w:p>
        </w:tc>
        <w:tc>
          <w:tcPr>
            <w:tcW w:w="2268" w:type="dxa"/>
          </w:tcPr>
          <w:p w14:paraId="6C291F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w:t>
            </w:r>
            <w:proofErr w:type="spellStart"/>
            <w:r w:rsidRPr="00A259BD">
              <w:rPr>
                <w:rFonts w:ascii="Times New Roman" w:hAnsi="Times New Roman"/>
                <w:color w:val="000000" w:themeColor="text1"/>
                <w:sz w:val="16"/>
                <w:szCs w:val="16"/>
              </w:rPr>
              <w:t>винтово</w:t>
            </w:r>
            <w:proofErr w:type="spellEnd"/>
          </w:p>
        </w:tc>
        <w:tc>
          <w:tcPr>
            <w:tcW w:w="2268" w:type="dxa"/>
          </w:tcPr>
          <w:p w14:paraId="00A7E1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Сталь, инструмент /включая напильники/, </w:t>
            </w:r>
            <w:proofErr w:type="spellStart"/>
            <w:r w:rsidRPr="00A259BD">
              <w:rPr>
                <w:rFonts w:ascii="Times New Roman" w:hAnsi="Times New Roman"/>
                <w:color w:val="000000" w:themeColor="text1"/>
                <w:sz w:val="16"/>
                <w:szCs w:val="16"/>
              </w:rPr>
              <w:t>охотружья</w:t>
            </w:r>
            <w:proofErr w:type="spellEnd"/>
            <w:r w:rsidRPr="00A259BD">
              <w:rPr>
                <w:rFonts w:ascii="Times New Roman" w:hAnsi="Times New Roman"/>
                <w:color w:val="000000" w:themeColor="text1"/>
                <w:sz w:val="16"/>
                <w:szCs w:val="16"/>
              </w:rPr>
              <w:t>, станкостроение.</w:t>
            </w:r>
          </w:p>
        </w:tc>
        <w:tc>
          <w:tcPr>
            <w:tcW w:w="1339" w:type="dxa"/>
          </w:tcPr>
          <w:p w14:paraId="437C45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Ижевск, </w:t>
            </w:r>
            <w:proofErr w:type="spellStart"/>
            <w:r w:rsidRPr="00A259BD">
              <w:rPr>
                <w:rFonts w:ascii="Times New Roman" w:hAnsi="Times New Roman"/>
                <w:color w:val="000000" w:themeColor="text1"/>
                <w:sz w:val="16"/>
                <w:szCs w:val="16"/>
              </w:rPr>
              <w:t>Вотск</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автоном</w:t>
            </w:r>
            <w:proofErr w:type="spellEnd"/>
            <w:r w:rsidRPr="00A259BD">
              <w:rPr>
                <w:rFonts w:ascii="Times New Roman" w:hAnsi="Times New Roman"/>
                <w:color w:val="000000" w:themeColor="text1"/>
                <w:sz w:val="16"/>
                <w:szCs w:val="16"/>
              </w:rPr>
              <w:t xml:space="preserve">. Обл.,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11</w:t>
            </w:r>
          </w:p>
        </w:tc>
        <w:tc>
          <w:tcPr>
            <w:tcW w:w="1339" w:type="dxa"/>
          </w:tcPr>
          <w:p w14:paraId="117124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Ижевск </w:t>
            </w:r>
            <w:proofErr w:type="spellStart"/>
            <w:r w:rsidRPr="00A259BD">
              <w:rPr>
                <w:rFonts w:ascii="Times New Roman" w:hAnsi="Times New Roman"/>
                <w:color w:val="000000" w:themeColor="text1"/>
                <w:sz w:val="16"/>
                <w:szCs w:val="16"/>
              </w:rPr>
              <w:t>Вотск</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автоном</w:t>
            </w:r>
            <w:proofErr w:type="spellEnd"/>
            <w:r w:rsidRPr="00A259BD">
              <w:rPr>
                <w:rFonts w:ascii="Times New Roman" w:hAnsi="Times New Roman"/>
                <w:color w:val="000000" w:themeColor="text1"/>
                <w:sz w:val="16"/>
                <w:szCs w:val="16"/>
              </w:rPr>
              <w:t xml:space="preserve">. Обл. Ижевский оружейный и </w:t>
            </w:r>
            <w:proofErr w:type="spellStart"/>
            <w:r w:rsidRPr="00A259BD">
              <w:rPr>
                <w:rFonts w:ascii="Times New Roman" w:hAnsi="Times New Roman"/>
                <w:color w:val="000000" w:themeColor="text1"/>
                <w:sz w:val="16"/>
                <w:szCs w:val="16"/>
              </w:rPr>
              <w:t>сталититейный</w:t>
            </w:r>
            <w:proofErr w:type="spellEnd"/>
            <w:r w:rsidRPr="00A259BD">
              <w:rPr>
                <w:rFonts w:ascii="Times New Roman" w:hAnsi="Times New Roman"/>
                <w:color w:val="000000" w:themeColor="text1"/>
                <w:sz w:val="16"/>
                <w:szCs w:val="16"/>
              </w:rPr>
              <w:t xml:space="preserve"> заводы</w:t>
            </w:r>
          </w:p>
        </w:tc>
        <w:tc>
          <w:tcPr>
            <w:tcW w:w="1339" w:type="dxa"/>
          </w:tcPr>
          <w:p w14:paraId="3CA019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Ижевск, Стальной</w:t>
            </w:r>
          </w:p>
        </w:tc>
      </w:tr>
      <w:tr w:rsidR="00A259BD" w:rsidRPr="00A259BD" w14:paraId="10180780" w14:textId="77777777">
        <w:tc>
          <w:tcPr>
            <w:tcW w:w="534" w:type="dxa"/>
          </w:tcPr>
          <w:p w14:paraId="267414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2126" w:type="dxa"/>
          </w:tcPr>
          <w:p w14:paraId="4E514B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Сестрорецкий з-д им. Воскова</w:t>
            </w:r>
          </w:p>
        </w:tc>
        <w:tc>
          <w:tcPr>
            <w:tcW w:w="2268" w:type="dxa"/>
          </w:tcPr>
          <w:p w14:paraId="1FD24E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Принадлежность к винтовке</w:t>
            </w:r>
          </w:p>
        </w:tc>
        <w:tc>
          <w:tcPr>
            <w:tcW w:w="2268" w:type="dxa"/>
          </w:tcPr>
          <w:p w14:paraId="62166B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Эталонный контрольный и рабочий мерительный инструмент /лекала, калибры </w:t>
            </w:r>
            <w:r w:rsidRPr="00A259BD">
              <w:rPr>
                <w:rFonts w:ascii="Times New Roman" w:hAnsi="Times New Roman"/>
                <w:color w:val="000000" w:themeColor="text1"/>
                <w:sz w:val="16"/>
                <w:szCs w:val="16"/>
              </w:rPr>
              <w:lastRenderedPageBreak/>
              <w:t>и проч./. Общий мерительный инструмент /штангенциркуля, микрометры и проч.</w:t>
            </w:r>
          </w:p>
        </w:tc>
        <w:tc>
          <w:tcPr>
            <w:tcW w:w="1339" w:type="dxa"/>
          </w:tcPr>
          <w:p w14:paraId="111D92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г. Сестрорецк, “Ключ”</w:t>
            </w:r>
          </w:p>
        </w:tc>
        <w:tc>
          <w:tcPr>
            <w:tcW w:w="1339" w:type="dxa"/>
          </w:tcPr>
          <w:p w14:paraId="368641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Сестрорецк, пл. Свободы, з-д им. Воскова</w:t>
            </w:r>
          </w:p>
        </w:tc>
        <w:tc>
          <w:tcPr>
            <w:tcW w:w="1339" w:type="dxa"/>
          </w:tcPr>
          <w:p w14:paraId="578E7B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Сестрорецк, “Ключ”</w:t>
            </w:r>
          </w:p>
        </w:tc>
      </w:tr>
      <w:tr w:rsidR="00A259BD" w:rsidRPr="00A259BD" w14:paraId="349D0975" w14:textId="77777777">
        <w:tc>
          <w:tcPr>
            <w:tcW w:w="534" w:type="dxa"/>
          </w:tcPr>
          <w:p w14:paraId="04E47C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2126" w:type="dxa"/>
          </w:tcPr>
          <w:p w14:paraId="4C774A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Инструментальный з-д № 2</w:t>
            </w:r>
          </w:p>
        </w:tc>
        <w:tc>
          <w:tcPr>
            <w:tcW w:w="2268" w:type="dxa"/>
          </w:tcPr>
          <w:p w14:paraId="1771D3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Проиэводство</w:t>
            </w:r>
            <w:proofErr w:type="spellEnd"/>
            <w:r w:rsidRPr="00A259BD">
              <w:rPr>
                <w:rFonts w:ascii="Times New Roman" w:hAnsi="Times New Roman"/>
                <w:color w:val="000000" w:themeColor="text1"/>
                <w:sz w:val="16"/>
                <w:szCs w:val="16"/>
              </w:rPr>
              <w:t xml:space="preserve"> пулеметов ручных, авиационных и танковых.</w:t>
            </w:r>
          </w:p>
        </w:tc>
        <w:tc>
          <w:tcPr>
            <w:tcW w:w="2268" w:type="dxa"/>
          </w:tcPr>
          <w:p w14:paraId="04BFA5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w:t>
            </w:r>
          </w:p>
        </w:tc>
        <w:tc>
          <w:tcPr>
            <w:tcW w:w="1339" w:type="dxa"/>
          </w:tcPr>
          <w:p w14:paraId="4732F5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Ковров, Владимир. г.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xml:space="preserve"> № 9</w:t>
            </w:r>
          </w:p>
        </w:tc>
        <w:tc>
          <w:tcPr>
            <w:tcW w:w="1339" w:type="dxa"/>
          </w:tcPr>
          <w:p w14:paraId="0912F8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 Ковров </w:t>
            </w:r>
            <w:proofErr w:type="spellStart"/>
            <w:r w:rsidRPr="00A259BD">
              <w:rPr>
                <w:rFonts w:ascii="Times New Roman" w:hAnsi="Times New Roman"/>
                <w:color w:val="000000" w:themeColor="text1"/>
                <w:sz w:val="16"/>
                <w:szCs w:val="16"/>
              </w:rPr>
              <w:t>Моск</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Ниж</w:t>
            </w:r>
            <w:proofErr w:type="spellEnd"/>
            <w:r w:rsidRPr="00A259BD">
              <w:rPr>
                <w:rFonts w:ascii="Times New Roman" w:hAnsi="Times New Roman"/>
                <w:color w:val="000000" w:themeColor="text1"/>
                <w:sz w:val="16"/>
                <w:szCs w:val="16"/>
              </w:rPr>
              <w:t xml:space="preserve">. ж. д. </w:t>
            </w:r>
            <w:proofErr w:type="spellStart"/>
            <w:r w:rsidRPr="00A259BD">
              <w:rPr>
                <w:rFonts w:ascii="Times New Roman" w:hAnsi="Times New Roman"/>
                <w:color w:val="000000" w:themeColor="text1"/>
                <w:sz w:val="16"/>
                <w:szCs w:val="16"/>
              </w:rPr>
              <w:t>Инстру</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ментал</w:t>
            </w:r>
            <w:proofErr w:type="spellEnd"/>
            <w:r w:rsidRPr="00A259BD">
              <w:rPr>
                <w:rFonts w:ascii="Times New Roman" w:hAnsi="Times New Roman"/>
                <w:color w:val="000000" w:themeColor="text1"/>
                <w:sz w:val="16"/>
                <w:szCs w:val="16"/>
              </w:rPr>
              <w:t>. з-д</w:t>
            </w:r>
          </w:p>
        </w:tc>
        <w:tc>
          <w:tcPr>
            <w:tcW w:w="1339" w:type="dxa"/>
          </w:tcPr>
          <w:p w14:paraId="37D9AB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Ковров ИНЗ</w:t>
            </w:r>
          </w:p>
        </w:tc>
      </w:tr>
      <w:tr w:rsidR="00A259BD" w:rsidRPr="00A259BD" w14:paraId="5A63D798" w14:textId="77777777">
        <w:tc>
          <w:tcPr>
            <w:tcW w:w="534" w:type="dxa"/>
          </w:tcPr>
          <w:p w14:paraId="0780AB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c>
          <w:tcPr>
            <w:tcW w:w="2126" w:type="dxa"/>
          </w:tcPr>
          <w:p w14:paraId="6E2D86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“Красногвардеец”</w:t>
            </w:r>
          </w:p>
        </w:tc>
        <w:tc>
          <w:tcPr>
            <w:tcW w:w="2268" w:type="dxa"/>
          </w:tcPr>
          <w:p w14:paraId="63862D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w:t>
            </w:r>
          </w:p>
        </w:tc>
        <w:tc>
          <w:tcPr>
            <w:tcW w:w="2268" w:type="dxa"/>
          </w:tcPr>
          <w:p w14:paraId="2D909A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хирургического инструмента, </w:t>
            </w:r>
            <w:proofErr w:type="spellStart"/>
            <w:r w:rsidRPr="00A259BD">
              <w:rPr>
                <w:rFonts w:ascii="Times New Roman" w:hAnsi="Times New Roman"/>
                <w:color w:val="000000" w:themeColor="text1"/>
                <w:sz w:val="16"/>
                <w:szCs w:val="16"/>
              </w:rPr>
              <w:t>перевязочно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Принадл</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пимуса</w:t>
            </w:r>
            <w:proofErr w:type="spellEnd"/>
          </w:p>
        </w:tc>
        <w:tc>
          <w:tcPr>
            <w:tcW w:w="1339" w:type="dxa"/>
          </w:tcPr>
          <w:p w14:paraId="1F804E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Ленинград, 22-е Почт. отд.,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1</w:t>
            </w:r>
          </w:p>
        </w:tc>
        <w:tc>
          <w:tcPr>
            <w:tcW w:w="1339" w:type="dxa"/>
          </w:tcPr>
          <w:p w14:paraId="184B23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Ленинград Аптекарский остров з-д “</w:t>
            </w:r>
            <w:proofErr w:type="spellStart"/>
            <w:r w:rsidRPr="00A259BD">
              <w:rPr>
                <w:rFonts w:ascii="Times New Roman" w:hAnsi="Times New Roman"/>
                <w:color w:val="000000" w:themeColor="text1"/>
                <w:sz w:val="16"/>
                <w:szCs w:val="16"/>
              </w:rPr>
              <w:t>Красногвадеец</w:t>
            </w:r>
            <w:proofErr w:type="spellEnd"/>
            <w:r w:rsidRPr="00A259BD">
              <w:rPr>
                <w:rFonts w:ascii="Times New Roman" w:hAnsi="Times New Roman"/>
                <w:color w:val="000000" w:themeColor="text1"/>
                <w:sz w:val="16"/>
                <w:szCs w:val="16"/>
              </w:rPr>
              <w:t>”</w:t>
            </w:r>
          </w:p>
        </w:tc>
        <w:tc>
          <w:tcPr>
            <w:tcW w:w="1339" w:type="dxa"/>
          </w:tcPr>
          <w:p w14:paraId="15A447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Ленинград “Молотобоец”</w:t>
            </w:r>
          </w:p>
        </w:tc>
      </w:tr>
      <w:tr w:rsidR="00A259BD" w:rsidRPr="00A259BD" w14:paraId="6AD9BD92" w14:textId="77777777">
        <w:tc>
          <w:tcPr>
            <w:tcW w:w="534" w:type="dxa"/>
          </w:tcPr>
          <w:p w14:paraId="4352C4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94FEE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ВОЕННО-ХИМИЧЕСКИЙ ТРЕСТ</w:t>
            </w:r>
          </w:p>
        </w:tc>
        <w:tc>
          <w:tcPr>
            <w:tcW w:w="2268" w:type="dxa"/>
          </w:tcPr>
          <w:p w14:paraId="6A73D9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95BA7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4C2A9F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1A3121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69D6A7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CFAA4CC" w14:textId="77777777">
        <w:tc>
          <w:tcPr>
            <w:tcW w:w="534" w:type="dxa"/>
          </w:tcPr>
          <w:p w14:paraId="3E4A8D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2126" w:type="dxa"/>
          </w:tcPr>
          <w:p w14:paraId="4D1099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им. Ленина № 40</w:t>
            </w:r>
          </w:p>
        </w:tc>
        <w:tc>
          <w:tcPr>
            <w:tcW w:w="2268" w:type="dxa"/>
          </w:tcPr>
          <w:p w14:paraId="10DA2B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бездымного пороха.</w:t>
            </w:r>
          </w:p>
        </w:tc>
        <w:tc>
          <w:tcPr>
            <w:tcW w:w="2268" w:type="dxa"/>
          </w:tcPr>
          <w:p w14:paraId="1CC3F6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Ставится производства искусственного шелка</w:t>
            </w:r>
          </w:p>
        </w:tc>
        <w:tc>
          <w:tcPr>
            <w:tcW w:w="1339" w:type="dxa"/>
          </w:tcPr>
          <w:p w14:paraId="24CD3D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Казань,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101.</w:t>
            </w:r>
          </w:p>
        </w:tc>
        <w:tc>
          <w:tcPr>
            <w:tcW w:w="1339" w:type="dxa"/>
          </w:tcPr>
          <w:p w14:paraId="70CF23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39" w:type="dxa"/>
          </w:tcPr>
          <w:p w14:paraId="55A2AE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Казань, </w:t>
            </w:r>
            <w:proofErr w:type="spellStart"/>
            <w:r w:rsidRPr="00A259BD">
              <w:rPr>
                <w:rFonts w:ascii="Times New Roman" w:hAnsi="Times New Roman"/>
                <w:color w:val="000000" w:themeColor="text1"/>
                <w:sz w:val="16"/>
                <w:szCs w:val="16"/>
              </w:rPr>
              <w:t>Казлензавод</w:t>
            </w:r>
            <w:proofErr w:type="spellEnd"/>
          </w:p>
        </w:tc>
      </w:tr>
      <w:tr w:rsidR="00A259BD" w:rsidRPr="00A259BD" w14:paraId="20D3A8BA" w14:textId="77777777">
        <w:tc>
          <w:tcPr>
            <w:tcW w:w="534" w:type="dxa"/>
          </w:tcPr>
          <w:p w14:paraId="1690FB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2126" w:type="dxa"/>
          </w:tcPr>
          <w:p w14:paraId="531406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им. Я. СВЕРДЛОВА № 80</w:t>
            </w:r>
          </w:p>
        </w:tc>
        <w:tc>
          <w:tcPr>
            <w:tcW w:w="2268" w:type="dxa"/>
          </w:tcPr>
          <w:p w14:paraId="424355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тротила и снаряжение снарядов</w:t>
            </w:r>
          </w:p>
        </w:tc>
        <w:tc>
          <w:tcPr>
            <w:tcW w:w="2268" w:type="dxa"/>
          </w:tcPr>
          <w:p w14:paraId="2C4337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медного купороса и ставится производство </w:t>
            </w:r>
            <w:proofErr w:type="spellStart"/>
            <w:r w:rsidRPr="00A259BD">
              <w:rPr>
                <w:rFonts w:ascii="Times New Roman" w:hAnsi="Times New Roman"/>
                <w:color w:val="000000" w:themeColor="text1"/>
                <w:sz w:val="16"/>
                <w:szCs w:val="16"/>
              </w:rPr>
              <w:t>амманолов</w:t>
            </w:r>
            <w:proofErr w:type="spellEnd"/>
            <w:r w:rsidRPr="00A259BD">
              <w:rPr>
                <w:rFonts w:ascii="Times New Roman" w:hAnsi="Times New Roman"/>
                <w:color w:val="000000" w:themeColor="text1"/>
                <w:sz w:val="16"/>
                <w:szCs w:val="16"/>
              </w:rPr>
              <w:t xml:space="preserve"> и полупродуктов красочной </w:t>
            </w:r>
            <w:proofErr w:type="spellStart"/>
            <w:r w:rsidRPr="00A259BD">
              <w:rPr>
                <w:rFonts w:ascii="Times New Roman" w:hAnsi="Times New Roman"/>
                <w:color w:val="000000" w:themeColor="text1"/>
                <w:sz w:val="16"/>
                <w:szCs w:val="16"/>
              </w:rPr>
              <w:t>пром-сти</w:t>
            </w:r>
            <w:proofErr w:type="spellEnd"/>
          </w:p>
        </w:tc>
        <w:tc>
          <w:tcPr>
            <w:tcW w:w="1339" w:type="dxa"/>
          </w:tcPr>
          <w:p w14:paraId="29C015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Растяпино</w:t>
            </w:r>
            <w:proofErr w:type="spellEnd"/>
            <w:r w:rsidRPr="00A259BD">
              <w:rPr>
                <w:rFonts w:ascii="Times New Roman" w:hAnsi="Times New Roman"/>
                <w:color w:val="000000" w:themeColor="text1"/>
                <w:sz w:val="16"/>
                <w:szCs w:val="16"/>
              </w:rPr>
              <w:t xml:space="preserve">,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5</w:t>
            </w:r>
          </w:p>
        </w:tc>
        <w:tc>
          <w:tcPr>
            <w:tcW w:w="1339" w:type="dxa"/>
          </w:tcPr>
          <w:p w14:paraId="48F477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39" w:type="dxa"/>
          </w:tcPr>
          <w:p w14:paraId="6591AE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Растяпино</w:t>
            </w:r>
            <w:proofErr w:type="spellEnd"/>
            <w:r w:rsidRPr="00A259BD">
              <w:rPr>
                <w:rFonts w:ascii="Times New Roman" w:hAnsi="Times New Roman"/>
                <w:color w:val="000000" w:themeColor="text1"/>
                <w:sz w:val="16"/>
                <w:szCs w:val="16"/>
              </w:rPr>
              <w:t>, Пыра</w:t>
            </w:r>
          </w:p>
        </w:tc>
      </w:tr>
      <w:tr w:rsidR="00A259BD" w:rsidRPr="00A259BD" w14:paraId="7ADD60AD" w14:textId="77777777">
        <w:tc>
          <w:tcPr>
            <w:tcW w:w="534" w:type="dxa"/>
          </w:tcPr>
          <w:p w14:paraId="72FC99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2126" w:type="dxa"/>
          </w:tcPr>
          <w:p w14:paraId="5FA40F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Сергиевский завод № 11</w:t>
            </w:r>
          </w:p>
        </w:tc>
        <w:tc>
          <w:tcPr>
            <w:tcW w:w="2268" w:type="dxa"/>
          </w:tcPr>
          <w:p w14:paraId="33E91D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Снаряжение ручных </w:t>
            </w:r>
            <w:proofErr w:type="spellStart"/>
            <w:r w:rsidRPr="00A259BD">
              <w:rPr>
                <w:rFonts w:ascii="Times New Roman" w:hAnsi="Times New Roman"/>
                <w:color w:val="000000" w:themeColor="text1"/>
                <w:sz w:val="16"/>
                <w:szCs w:val="16"/>
              </w:rPr>
              <w:t>гра</w:t>
            </w:r>
            <w:proofErr w:type="spellEnd"/>
            <w:r w:rsidRPr="00A259BD">
              <w:rPr>
                <w:rFonts w:ascii="Times New Roman" w:hAnsi="Times New Roman"/>
                <w:color w:val="000000" w:themeColor="text1"/>
                <w:sz w:val="16"/>
                <w:szCs w:val="16"/>
              </w:rPr>
              <w:t xml:space="preserve"> нат.</w:t>
            </w:r>
          </w:p>
        </w:tc>
        <w:tc>
          <w:tcPr>
            <w:tcW w:w="2268" w:type="dxa"/>
          </w:tcPr>
          <w:p w14:paraId="11132F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w:t>
            </w:r>
            <w:proofErr w:type="spellStart"/>
            <w:r w:rsidRPr="00A259BD">
              <w:rPr>
                <w:rFonts w:ascii="Times New Roman" w:hAnsi="Times New Roman"/>
                <w:color w:val="000000" w:themeColor="text1"/>
                <w:sz w:val="16"/>
                <w:szCs w:val="16"/>
              </w:rPr>
              <w:t>ж.д.петард</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капсюлирование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малокалиберн.патрончиков</w:t>
            </w:r>
            <w:proofErr w:type="spellEnd"/>
            <w:r w:rsidRPr="00A259BD">
              <w:rPr>
                <w:rFonts w:ascii="Times New Roman" w:hAnsi="Times New Roman"/>
                <w:color w:val="000000" w:themeColor="text1"/>
                <w:sz w:val="16"/>
                <w:szCs w:val="16"/>
              </w:rPr>
              <w:t>.</w:t>
            </w:r>
          </w:p>
        </w:tc>
        <w:tc>
          <w:tcPr>
            <w:tcW w:w="1339" w:type="dxa"/>
          </w:tcPr>
          <w:p w14:paraId="2808D4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Сергиево, </w:t>
            </w:r>
            <w:proofErr w:type="spellStart"/>
            <w:r w:rsidRPr="00A259BD">
              <w:rPr>
                <w:rFonts w:ascii="Times New Roman" w:hAnsi="Times New Roman"/>
                <w:color w:val="000000" w:themeColor="text1"/>
                <w:sz w:val="16"/>
                <w:szCs w:val="16"/>
              </w:rPr>
              <w:t>Моск</w:t>
            </w:r>
            <w:proofErr w:type="spellEnd"/>
            <w:r w:rsidRPr="00A259BD">
              <w:rPr>
                <w:rFonts w:ascii="Times New Roman" w:hAnsi="Times New Roman"/>
                <w:color w:val="000000" w:themeColor="text1"/>
                <w:sz w:val="16"/>
                <w:szCs w:val="16"/>
              </w:rPr>
              <w:t xml:space="preserve">. губ.,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3</w:t>
            </w:r>
          </w:p>
        </w:tc>
        <w:tc>
          <w:tcPr>
            <w:tcW w:w="1339" w:type="dxa"/>
          </w:tcPr>
          <w:p w14:paraId="75BE2D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39" w:type="dxa"/>
          </w:tcPr>
          <w:p w14:paraId="1BF401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Сергиево, Третий</w:t>
            </w:r>
          </w:p>
        </w:tc>
      </w:tr>
      <w:tr w:rsidR="00A259BD" w:rsidRPr="00A259BD" w14:paraId="6C43A484" w14:textId="77777777">
        <w:tc>
          <w:tcPr>
            <w:tcW w:w="534" w:type="dxa"/>
          </w:tcPr>
          <w:p w14:paraId="19D2C4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2126" w:type="dxa"/>
          </w:tcPr>
          <w:p w14:paraId="45C6AC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Шостенский</w:t>
            </w:r>
            <w:proofErr w:type="spellEnd"/>
            <w:r w:rsidRPr="00A259BD">
              <w:rPr>
                <w:rFonts w:ascii="Times New Roman" w:hAnsi="Times New Roman"/>
                <w:color w:val="000000" w:themeColor="text1"/>
                <w:sz w:val="16"/>
                <w:szCs w:val="16"/>
              </w:rPr>
              <w:t xml:space="preserve"> завод № 9</w:t>
            </w:r>
          </w:p>
        </w:tc>
        <w:tc>
          <w:tcPr>
            <w:tcW w:w="2268" w:type="dxa"/>
          </w:tcPr>
          <w:p w14:paraId="71CB93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Капсюльное производство и может делать бездымный и дымный порох.</w:t>
            </w:r>
          </w:p>
        </w:tc>
        <w:tc>
          <w:tcPr>
            <w:tcW w:w="2268" w:type="dxa"/>
          </w:tcPr>
          <w:p w14:paraId="29EC5D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Капсйлирование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малокалиберн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патрончиков</w:t>
            </w:r>
            <w:proofErr w:type="spellEnd"/>
            <w:r w:rsidRPr="00A259BD">
              <w:rPr>
                <w:rFonts w:ascii="Times New Roman" w:hAnsi="Times New Roman"/>
                <w:color w:val="000000" w:themeColor="text1"/>
                <w:sz w:val="16"/>
                <w:szCs w:val="16"/>
              </w:rPr>
              <w:t xml:space="preserve">, Медный купорос, </w:t>
            </w:r>
            <w:proofErr w:type="spellStart"/>
            <w:r w:rsidRPr="00A259BD">
              <w:rPr>
                <w:rFonts w:ascii="Times New Roman" w:hAnsi="Times New Roman"/>
                <w:color w:val="000000" w:themeColor="text1"/>
                <w:sz w:val="16"/>
                <w:szCs w:val="16"/>
              </w:rPr>
              <w:t>капмюля</w:t>
            </w:r>
            <w:proofErr w:type="spellEnd"/>
            <w:r w:rsidRPr="00A259BD">
              <w:rPr>
                <w:rFonts w:ascii="Times New Roman" w:hAnsi="Times New Roman"/>
                <w:color w:val="000000" w:themeColor="text1"/>
                <w:sz w:val="16"/>
                <w:szCs w:val="16"/>
              </w:rPr>
              <w:t xml:space="preserve"> детонаторы /электродетонаторы/, картонное производство и получение серного цвета и наличной серы. Устанавливается производство Фото-кино пленки.</w:t>
            </w:r>
          </w:p>
        </w:tc>
        <w:tc>
          <w:tcPr>
            <w:tcW w:w="1339" w:type="dxa"/>
          </w:tcPr>
          <w:p w14:paraId="6BCD31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г.Шостка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Шостенск</w:t>
            </w:r>
            <w:proofErr w:type="spellEnd"/>
            <w:r w:rsidRPr="00A259BD">
              <w:rPr>
                <w:rFonts w:ascii="Times New Roman" w:hAnsi="Times New Roman"/>
                <w:color w:val="000000" w:themeColor="text1"/>
                <w:sz w:val="16"/>
                <w:szCs w:val="16"/>
              </w:rPr>
              <w:t>. Губ., Отд. связи</w:t>
            </w:r>
          </w:p>
        </w:tc>
        <w:tc>
          <w:tcPr>
            <w:tcW w:w="1339" w:type="dxa"/>
          </w:tcPr>
          <w:p w14:paraId="3A0227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39" w:type="dxa"/>
          </w:tcPr>
          <w:p w14:paraId="7FB8B6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Шостка, Краснознаменец</w:t>
            </w:r>
          </w:p>
        </w:tc>
      </w:tr>
      <w:tr w:rsidR="00A259BD" w:rsidRPr="00A259BD" w14:paraId="18CC37CA" w14:textId="77777777">
        <w:tc>
          <w:tcPr>
            <w:tcW w:w="534" w:type="dxa"/>
          </w:tcPr>
          <w:p w14:paraId="7A0B4E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c>
          <w:tcPr>
            <w:tcW w:w="2126" w:type="dxa"/>
          </w:tcPr>
          <w:p w14:paraId="1ECA54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им. Косякова</w:t>
            </w:r>
          </w:p>
        </w:tc>
        <w:tc>
          <w:tcPr>
            <w:tcW w:w="2268" w:type="dxa"/>
          </w:tcPr>
          <w:p w14:paraId="530834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w:t>
            </w:r>
            <w:proofErr w:type="spellStart"/>
            <w:r w:rsidRPr="00A259BD">
              <w:rPr>
                <w:rFonts w:ascii="Times New Roman" w:hAnsi="Times New Roman"/>
                <w:color w:val="000000" w:themeColor="text1"/>
                <w:sz w:val="16"/>
                <w:szCs w:val="16"/>
              </w:rPr>
              <w:t>бездьмного</w:t>
            </w:r>
            <w:proofErr w:type="spellEnd"/>
            <w:r w:rsidRPr="00A259BD">
              <w:rPr>
                <w:rFonts w:ascii="Times New Roman" w:hAnsi="Times New Roman"/>
                <w:color w:val="000000" w:themeColor="text1"/>
                <w:sz w:val="16"/>
                <w:szCs w:val="16"/>
              </w:rPr>
              <w:t xml:space="preserve"> пороха.</w:t>
            </w:r>
          </w:p>
        </w:tc>
        <w:tc>
          <w:tcPr>
            <w:tcW w:w="2268" w:type="dxa"/>
          </w:tcPr>
          <w:p w14:paraId="7CCCEC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Серный эфир.</w:t>
            </w:r>
          </w:p>
        </w:tc>
        <w:tc>
          <w:tcPr>
            <w:tcW w:w="1339" w:type="dxa"/>
          </w:tcPr>
          <w:p w14:paraId="5CA691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 Рошаль </w:t>
            </w:r>
            <w:proofErr w:type="spellStart"/>
            <w:r w:rsidRPr="00A259BD">
              <w:rPr>
                <w:rFonts w:ascii="Times New Roman" w:hAnsi="Times New Roman"/>
                <w:color w:val="000000" w:themeColor="text1"/>
                <w:sz w:val="16"/>
                <w:szCs w:val="16"/>
              </w:rPr>
              <w:t>Моск</w:t>
            </w:r>
            <w:proofErr w:type="spellEnd"/>
            <w:r w:rsidRPr="00A259BD">
              <w:rPr>
                <w:rFonts w:ascii="Times New Roman" w:hAnsi="Times New Roman"/>
                <w:color w:val="000000" w:themeColor="text1"/>
                <w:sz w:val="16"/>
                <w:szCs w:val="16"/>
              </w:rPr>
              <w:t xml:space="preserve">. губ.,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3</w:t>
            </w:r>
          </w:p>
        </w:tc>
        <w:tc>
          <w:tcPr>
            <w:tcW w:w="1339" w:type="dxa"/>
          </w:tcPr>
          <w:p w14:paraId="7D2AB6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39" w:type="dxa"/>
          </w:tcPr>
          <w:p w14:paraId="6AB765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Рошаль, Три</w:t>
            </w:r>
          </w:p>
        </w:tc>
      </w:tr>
      <w:tr w:rsidR="00A259BD" w:rsidRPr="00A259BD" w14:paraId="203072A4" w14:textId="77777777">
        <w:tc>
          <w:tcPr>
            <w:tcW w:w="534" w:type="dxa"/>
          </w:tcPr>
          <w:p w14:paraId="6D850C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tc>
        <w:tc>
          <w:tcPr>
            <w:tcW w:w="2126" w:type="dxa"/>
          </w:tcPr>
          <w:p w14:paraId="242C86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Богородский завод № 12</w:t>
            </w:r>
          </w:p>
        </w:tc>
        <w:tc>
          <w:tcPr>
            <w:tcW w:w="2268" w:type="dxa"/>
          </w:tcPr>
          <w:p w14:paraId="5B3D0B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Снаряжение снарядов, </w:t>
            </w:r>
            <w:proofErr w:type="spellStart"/>
            <w:r w:rsidRPr="00A259BD">
              <w:rPr>
                <w:rFonts w:ascii="Times New Roman" w:hAnsi="Times New Roman"/>
                <w:color w:val="000000" w:themeColor="text1"/>
                <w:sz w:val="16"/>
                <w:szCs w:val="16"/>
              </w:rPr>
              <w:t>аэробомб</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провивогазов</w:t>
            </w:r>
            <w:proofErr w:type="spellEnd"/>
            <w:r w:rsidRPr="00A259BD">
              <w:rPr>
                <w:rFonts w:ascii="Times New Roman" w:hAnsi="Times New Roman"/>
                <w:color w:val="000000" w:themeColor="text1"/>
                <w:sz w:val="16"/>
                <w:szCs w:val="16"/>
              </w:rPr>
              <w:t>.</w:t>
            </w:r>
          </w:p>
          <w:p w14:paraId="4FE9F0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w:t>
            </w:r>
            <w:proofErr w:type="spellStart"/>
            <w:r w:rsidRPr="00A259BD">
              <w:rPr>
                <w:rFonts w:ascii="Times New Roman" w:hAnsi="Times New Roman"/>
                <w:color w:val="000000" w:themeColor="text1"/>
                <w:sz w:val="16"/>
                <w:szCs w:val="16"/>
              </w:rPr>
              <w:t>активирф</w:t>
            </w:r>
            <w:proofErr w:type="spellEnd"/>
            <w:r w:rsidRPr="00A259BD">
              <w:rPr>
                <w:rFonts w:ascii="Times New Roman" w:hAnsi="Times New Roman"/>
                <w:color w:val="000000" w:themeColor="text1"/>
                <w:sz w:val="16"/>
                <w:szCs w:val="16"/>
              </w:rPr>
              <w:t xml:space="preserve"> ванного угля.</w:t>
            </w:r>
          </w:p>
        </w:tc>
        <w:tc>
          <w:tcPr>
            <w:tcW w:w="2268" w:type="dxa"/>
          </w:tcPr>
          <w:p w14:paraId="5CB30F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w:t>
            </w:r>
          </w:p>
        </w:tc>
        <w:tc>
          <w:tcPr>
            <w:tcW w:w="1339" w:type="dxa"/>
          </w:tcPr>
          <w:p w14:paraId="5C6202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Богородск, </w:t>
            </w:r>
            <w:proofErr w:type="spellStart"/>
            <w:r w:rsidRPr="00A259BD">
              <w:rPr>
                <w:rFonts w:ascii="Times New Roman" w:hAnsi="Times New Roman"/>
                <w:color w:val="000000" w:themeColor="text1"/>
                <w:sz w:val="16"/>
                <w:szCs w:val="16"/>
              </w:rPr>
              <w:t>Моск</w:t>
            </w:r>
            <w:proofErr w:type="spellEnd"/>
            <w:r w:rsidRPr="00A259BD">
              <w:rPr>
                <w:rFonts w:ascii="Times New Roman" w:hAnsi="Times New Roman"/>
                <w:color w:val="000000" w:themeColor="text1"/>
                <w:sz w:val="16"/>
                <w:szCs w:val="16"/>
              </w:rPr>
              <w:t xml:space="preserve">. губ.,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1</w:t>
            </w:r>
          </w:p>
        </w:tc>
        <w:tc>
          <w:tcPr>
            <w:tcW w:w="1339" w:type="dxa"/>
          </w:tcPr>
          <w:p w14:paraId="370CE1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39" w:type="dxa"/>
          </w:tcPr>
          <w:p w14:paraId="044683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Богородск, Двенадцать</w:t>
            </w:r>
          </w:p>
        </w:tc>
      </w:tr>
      <w:tr w:rsidR="00A259BD" w:rsidRPr="00A259BD" w14:paraId="706DC2BC" w14:textId="77777777">
        <w:tc>
          <w:tcPr>
            <w:tcW w:w="534" w:type="dxa"/>
          </w:tcPr>
          <w:p w14:paraId="7DAAB1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tc>
        <w:tc>
          <w:tcPr>
            <w:tcW w:w="2126" w:type="dxa"/>
          </w:tcPr>
          <w:p w14:paraId="186B56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Ленинградский Ульяновский завод</w:t>
            </w:r>
          </w:p>
        </w:tc>
        <w:tc>
          <w:tcPr>
            <w:tcW w:w="2268" w:type="dxa"/>
          </w:tcPr>
          <w:p w14:paraId="68EFCC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дымного” пороха для трубок.</w:t>
            </w:r>
          </w:p>
        </w:tc>
        <w:tc>
          <w:tcPr>
            <w:tcW w:w="2268" w:type="dxa"/>
          </w:tcPr>
          <w:p w14:paraId="5278B2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Бикфордов шнур. Охотничий порох.</w:t>
            </w:r>
          </w:p>
        </w:tc>
        <w:tc>
          <w:tcPr>
            <w:tcW w:w="1339" w:type="dxa"/>
          </w:tcPr>
          <w:p w14:paraId="7B57CA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Ленинградский </w:t>
            </w:r>
            <w:proofErr w:type="spellStart"/>
            <w:r w:rsidRPr="00A259BD">
              <w:rPr>
                <w:rFonts w:ascii="Times New Roman" w:hAnsi="Times New Roman"/>
                <w:color w:val="000000" w:themeColor="text1"/>
                <w:sz w:val="16"/>
                <w:szCs w:val="16"/>
              </w:rPr>
              <w:t>Удьяновский</w:t>
            </w:r>
            <w:proofErr w:type="spellEnd"/>
            <w:r w:rsidRPr="00A259BD">
              <w:rPr>
                <w:rFonts w:ascii="Times New Roman" w:hAnsi="Times New Roman"/>
                <w:color w:val="000000" w:themeColor="text1"/>
                <w:sz w:val="16"/>
                <w:szCs w:val="16"/>
              </w:rPr>
              <w:t xml:space="preserve"> завод, ст. Саблино, Окт. ж/д</w:t>
            </w:r>
          </w:p>
        </w:tc>
        <w:tc>
          <w:tcPr>
            <w:tcW w:w="1339" w:type="dxa"/>
          </w:tcPr>
          <w:p w14:paraId="72044B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39" w:type="dxa"/>
          </w:tcPr>
          <w:p w14:paraId="29D1CB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Ульяновка-коробочка</w:t>
            </w:r>
          </w:p>
        </w:tc>
      </w:tr>
      <w:tr w:rsidR="00A259BD" w:rsidRPr="00A259BD" w14:paraId="624AFCFC" w14:textId="77777777">
        <w:tc>
          <w:tcPr>
            <w:tcW w:w="534" w:type="dxa"/>
          </w:tcPr>
          <w:p w14:paraId="3DD4AA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tc>
        <w:tc>
          <w:tcPr>
            <w:tcW w:w="2126" w:type="dxa"/>
          </w:tcPr>
          <w:p w14:paraId="22A267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“КРАСНЫЙ-БОЕВИК".</w:t>
            </w:r>
          </w:p>
        </w:tc>
        <w:tc>
          <w:tcPr>
            <w:tcW w:w="2268" w:type="dxa"/>
          </w:tcPr>
          <w:p w14:paraId="4B5E47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Подготовляется к производству бездымного пороха.</w:t>
            </w:r>
          </w:p>
        </w:tc>
        <w:tc>
          <w:tcPr>
            <w:tcW w:w="2268" w:type="dxa"/>
          </w:tcPr>
          <w:p w14:paraId="7ADA8B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Будет ставиться производство </w:t>
            </w:r>
            <w:proofErr w:type="spellStart"/>
            <w:r w:rsidRPr="00A259BD">
              <w:rPr>
                <w:rFonts w:ascii="Times New Roman" w:hAnsi="Times New Roman"/>
                <w:color w:val="000000" w:themeColor="text1"/>
                <w:sz w:val="16"/>
                <w:szCs w:val="16"/>
              </w:rPr>
              <w:t>целлулойда</w:t>
            </w:r>
            <w:proofErr w:type="spellEnd"/>
          </w:p>
        </w:tc>
        <w:tc>
          <w:tcPr>
            <w:tcW w:w="1339" w:type="dxa"/>
          </w:tcPr>
          <w:p w14:paraId="2D14A2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Тамбов, Красный Боевик</w:t>
            </w:r>
          </w:p>
        </w:tc>
        <w:tc>
          <w:tcPr>
            <w:tcW w:w="1339" w:type="dxa"/>
          </w:tcPr>
          <w:p w14:paraId="0BBA28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39" w:type="dxa"/>
          </w:tcPr>
          <w:p w14:paraId="7FA119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Тамбов, Боевик</w:t>
            </w:r>
          </w:p>
        </w:tc>
      </w:tr>
      <w:tr w:rsidR="00A259BD" w:rsidRPr="00A259BD" w14:paraId="56AAC0CE" w14:textId="77777777">
        <w:tc>
          <w:tcPr>
            <w:tcW w:w="534" w:type="dxa"/>
          </w:tcPr>
          <w:p w14:paraId="71D833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w:t>
            </w:r>
          </w:p>
        </w:tc>
        <w:tc>
          <w:tcPr>
            <w:tcW w:w="2126" w:type="dxa"/>
          </w:tcPr>
          <w:p w14:paraId="0E453A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“КРАСНОЗНАМЕНЕЦ”</w:t>
            </w:r>
          </w:p>
        </w:tc>
        <w:tc>
          <w:tcPr>
            <w:tcW w:w="2268" w:type="dxa"/>
          </w:tcPr>
          <w:p w14:paraId="10ED37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револьверных и трубочных капсюлей, зажигательные снаряды.</w:t>
            </w:r>
          </w:p>
        </w:tc>
        <w:tc>
          <w:tcPr>
            <w:tcW w:w="2268" w:type="dxa"/>
          </w:tcPr>
          <w:p w14:paraId="77779E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Капсюлирован</w:t>
            </w:r>
            <w:proofErr w:type="spellEnd"/>
            <w:r w:rsidRPr="00A259BD">
              <w:rPr>
                <w:rFonts w:ascii="Times New Roman" w:hAnsi="Times New Roman"/>
                <w:color w:val="000000" w:themeColor="text1"/>
                <w:sz w:val="16"/>
                <w:szCs w:val="16"/>
              </w:rPr>
              <w:t xml:space="preserve"> . детонатор. для горных работ и охотничьи капсюля.</w:t>
            </w:r>
          </w:p>
        </w:tc>
        <w:tc>
          <w:tcPr>
            <w:tcW w:w="1339" w:type="dxa"/>
          </w:tcPr>
          <w:p w14:paraId="430906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Ленинград, 30-е почт. отделение,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1</w:t>
            </w:r>
          </w:p>
        </w:tc>
        <w:tc>
          <w:tcPr>
            <w:tcW w:w="1339" w:type="dxa"/>
          </w:tcPr>
          <w:p w14:paraId="4C490A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39" w:type="dxa"/>
          </w:tcPr>
          <w:p w14:paraId="2930F8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Лениград</w:t>
            </w:r>
            <w:proofErr w:type="spellEnd"/>
            <w:r w:rsidRPr="00A259BD">
              <w:rPr>
                <w:rFonts w:ascii="Times New Roman" w:hAnsi="Times New Roman"/>
                <w:color w:val="000000" w:themeColor="text1"/>
                <w:sz w:val="16"/>
                <w:szCs w:val="16"/>
              </w:rPr>
              <w:t>, Пять</w:t>
            </w:r>
          </w:p>
        </w:tc>
      </w:tr>
      <w:tr w:rsidR="00A259BD" w:rsidRPr="00A259BD" w14:paraId="000BCFE6" w14:textId="77777777">
        <w:tc>
          <w:tcPr>
            <w:tcW w:w="534" w:type="dxa"/>
          </w:tcPr>
          <w:p w14:paraId="6FB383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2126" w:type="dxa"/>
          </w:tcPr>
          <w:p w14:paraId="54DB62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ШЛИССЕЛЬБУРГСКИЙ , завод им. Морозова.</w:t>
            </w:r>
          </w:p>
        </w:tc>
        <w:tc>
          <w:tcPr>
            <w:tcW w:w="2268" w:type="dxa"/>
          </w:tcPr>
          <w:p w14:paraId="7F717B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Револьверный порох, минный порох, </w:t>
            </w:r>
            <w:proofErr w:type="spellStart"/>
            <w:r w:rsidRPr="00A259BD">
              <w:rPr>
                <w:rFonts w:ascii="Times New Roman" w:hAnsi="Times New Roman"/>
                <w:color w:val="000000" w:themeColor="text1"/>
                <w:sz w:val="16"/>
                <w:szCs w:val="16"/>
              </w:rPr>
              <w:t>селитро</w:t>
            </w:r>
            <w:proofErr w:type="spellEnd"/>
            <w:r w:rsidRPr="00A259BD">
              <w:rPr>
                <w:rFonts w:ascii="Times New Roman" w:hAnsi="Times New Roman"/>
                <w:color w:val="000000" w:themeColor="text1"/>
                <w:sz w:val="16"/>
                <w:szCs w:val="16"/>
              </w:rPr>
              <w:t>-угольный довески</w:t>
            </w:r>
          </w:p>
        </w:tc>
        <w:tc>
          <w:tcPr>
            <w:tcW w:w="2268" w:type="dxa"/>
          </w:tcPr>
          <w:p w14:paraId="3F92ED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02ACE1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Шлиссельбург з-д им. Морозова, ст. Дунай </w:t>
            </w:r>
            <w:proofErr w:type="spellStart"/>
            <w:r w:rsidRPr="00A259BD">
              <w:rPr>
                <w:rFonts w:ascii="Times New Roman" w:hAnsi="Times New Roman"/>
                <w:color w:val="000000" w:themeColor="text1"/>
                <w:sz w:val="16"/>
                <w:szCs w:val="16"/>
              </w:rPr>
              <w:t>Ириновск</w:t>
            </w:r>
            <w:proofErr w:type="spellEnd"/>
            <w:r w:rsidRPr="00A259BD">
              <w:rPr>
                <w:rFonts w:ascii="Times New Roman" w:hAnsi="Times New Roman"/>
                <w:color w:val="000000" w:themeColor="text1"/>
                <w:sz w:val="16"/>
                <w:szCs w:val="16"/>
              </w:rPr>
              <w:t>. Линии Окт. ж/д</w:t>
            </w:r>
          </w:p>
        </w:tc>
        <w:tc>
          <w:tcPr>
            <w:tcW w:w="1339" w:type="dxa"/>
          </w:tcPr>
          <w:p w14:paraId="3D5580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39" w:type="dxa"/>
          </w:tcPr>
          <w:p w14:paraId="14258F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Шлиссельбургский завод</w:t>
            </w:r>
          </w:p>
        </w:tc>
      </w:tr>
      <w:tr w:rsidR="00A259BD" w:rsidRPr="00A259BD" w14:paraId="37B018BB" w14:textId="77777777">
        <w:tc>
          <w:tcPr>
            <w:tcW w:w="534" w:type="dxa"/>
          </w:tcPr>
          <w:p w14:paraId="603365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w:t>
            </w:r>
          </w:p>
        </w:tc>
        <w:tc>
          <w:tcPr>
            <w:tcW w:w="2126" w:type="dxa"/>
          </w:tcPr>
          <w:p w14:paraId="2EBC3E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САМАРСКИЙ завод № 15</w:t>
            </w:r>
          </w:p>
        </w:tc>
        <w:tc>
          <w:tcPr>
            <w:tcW w:w="2268" w:type="dxa"/>
          </w:tcPr>
          <w:p w14:paraId="06AEA2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4993D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35D87F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г.Троцк</w:t>
            </w:r>
            <w:proofErr w:type="spellEnd"/>
            <w:r w:rsidRPr="00A259BD">
              <w:rPr>
                <w:rFonts w:ascii="Times New Roman" w:hAnsi="Times New Roman"/>
                <w:color w:val="000000" w:themeColor="text1"/>
                <w:sz w:val="16"/>
                <w:szCs w:val="16"/>
              </w:rPr>
              <w:t xml:space="preserve">. Самарской г.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15</w:t>
            </w:r>
          </w:p>
        </w:tc>
        <w:tc>
          <w:tcPr>
            <w:tcW w:w="1339" w:type="dxa"/>
          </w:tcPr>
          <w:p w14:paraId="4D9BBB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39" w:type="dxa"/>
          </w:tcPr>
          <w:p w14:paraId="6A7222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Троцк</w:t>
            </w:r>
            <w:proofErr w:type="spellEnd"/>
            <w:r w:rsidRPr="00A259BD">
              <w:rPr>
                <w:rFonts w:ascii="Times New Roman" w:hAnsi="Times New Roman"/>
                <w:color w:val="000000" w:themeColor="text1"/>
                <w:sz w:val="16"/>
                <w:szCs w:val="16"/>
              </w:rPr>
              <w:t>, Самара, пятнадцать</w:t>
            </w:r>
          </w:p>
        </w:tc>
      </w:tr>
      <w:tr w:rsidR="00A259BD" w:rsidRPr="00A259BD" w14:paraId="0F60B4BA" w14:textId="77777777">
        <w:tc>
          <w:tcPr>
            <w:tcW w:w="534" w:type="dxa"/>
          </w:tcPr>
          <w:p w14:paraId="79B18A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B15CF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ОРУДИЙНО-АРСЕНАЛЬНЫЙ</w:t>
            </w:r>
          </w:p>
        </w:tc>
        <w:tc>
          <w:tcPr>
            <w:tcW w:w="2268" w:type="dxa"/>
          </w:tcPr>
          <w:p w14:paraId="7ECFDA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710AE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5F1B4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44A027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4F050A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20E02AD" w14:textId="77777777">
        <w:tc>
          <w:tcPr>
            <w:tcW w:w="534" w:type="dxa"/>
          </w:tcPr>
          <w:p w14:paraId="0C0209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2126" w:type="dxa"/>
          </w:tcPr>
          <w:p w14:paraId="452139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“Большевик”</w:t>
            </w:r>
          </w:p>
        </w:tc>
        <w:tc>
          <w:tcPr>
            <w:tcW w:w="2268" w:type="dxa"/>
          </w:tcPr>
          <w:p w14:paraId="26BAA7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Орудийное производство /новое, ремонт и запчасти/, оптика, танки, тракторы, авиамоторы.</w:t>
            </w:r>
          </w:p>
        </w:tc>
        <w:tc>
          <w:tcPr>
            <w:tcW w:w="2268" w:type="dxa"/>
          </w:tcPr>
          <w:p w14:paraId="61A79F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Металлургия, литье, поковки, прокат, и обжига. Заготовки, оптика и точная механика</w:t>
            </w:r>
          </w:p>
        </w:tc>
        <w:tc>
          <w:tcPr>
            <w:tcW w:w="1339" w:type="dxa"/>
          </w:tcPr>
          <w:p w14:paraId="769EBC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г.Ленинград</w:t>
            </w:r>
            <w:proofErr w:type="spellEnd"/>
            <w:r w:rsidRPr="00A259BD">
              <w:rPr>
                <w:rFonts w:ascii="Times New Roman" w:hAnsi="Times New Roman"/>
                <w:color w:val="000000" w:themeColor="text1"/>
                <w:sz w:val="16"/>
                <w:szCs w:val="16"/>
              </w:rPr>
              <w:t xml:space="preserve">, почт. 12 отд.,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2</w:t>
            </w:r>
          </w:p>
        </w:tc>
        <w:tc>
          <w:tcPr>
            <w:tcW w:w="1339" w:type="dxa"/>
          </w:tcPr>
          <w:p w14:paraId="42A134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З-д “Большевик”, г. Ленинград</w:t>
            </w:r>
          </w:p>
        </w:tc>
        <w:tc>
          <w:tcPr>
            <w:tcW w:w="1339" w:type="dxa"/>
          </w:tcPr>
          <w:p w14:paraId="3D6E0D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Ленинград, Сталь</w:t>
            </w:r>
          </w:p>
        </w:tc>
      </w:tr>
      <w:tr w:rsidR="00A259BD" w:rsidRPr="00A259BD" w14:paraId="37A3B374" w14:textId="77777777">
        <w:tc>
          <w:tcPr>
            <w:tcW w:w="534" w:type="dxa"/>
          </w:tcPr>
          <w:p w14:paraId="2E8986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2126" w:type="dxa"/>
          </w:tcPr>
          <w:p w14:paraId="6CEF68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w:t>
            </w:r>
            <w:proofErr w:type="spellStart"/>
            <w:r w:rsidRPr="00A259BD">
              <w:rPr>
                <w:rFonts w:ascii="Times New Roman" w:hAnsi="Times New Roman"/>
                <w:color w:val="000000" w:themeColor="text1"/>
                <w:sz w:val="16"/>
                <w:szCs w:val="16"/>
              </w:rPr>
              <w:t>Мостяжарт</w:t>
            </w:r>
            <w:proofErr w:type="spellEnd"/>
            <w:r w:rsidRPr="00A259BD">
              <w:rPr>
                <w:rFonts w:ascii="Times New Roman" w:hAnsi="Times New Roman"/>
                <w:color w:val="000000" w:themeColor="text1"/>
                <w:sz w:val="16"/>
                <w:szCs w:val="16"/>
              </w:rPr>
              <w:t>”</w:t>
            </w:r>
          </w:p>
        </w:tc>
        <w:tc>
          <w:tcPr>
            <w:tcW w:w="2268" w:type="dxa"/>
          </w:tcPr>
          <w:p w14:paraId="377722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w:t>
            </w:r>
            <w:proofErr w:type="spellStart"/>
            <w:r w:rsidRPr="00A259BD">
              <w:rPr>
                <w:rFonts w:ascii="Times New Roman" w:hAnsi="Times New Roman"/>
                <w:color w:val="000000" w:themeColor="text1"/>
                <w:sz w:val="16"/>
                <w:szCs w:val="16"/>
              </w:rPr>
              <w:t>аэробомб</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противогаэов</w:t>
            </w:r>
            <w:proofErr w:type="spellEnd"/>
            <w:r w:rsidRPr="00A259BD">
              <w:rPr>
                <w:rFonts w:ascii="Times New Roman" w:hAnsi="Times New Roman"/>
                <w:color w:val="000000" w:themeColor="text1"/>
                <w:sz w:val="16"/>
                <w:szCs w:val="16"/>
              </w:rPr>
              <w:t>, корпусов ручных гранат.</w:t>
            </w:r>
          </w:p>
        </w:tc>
        <w:tc>
          <w:tcPr>
            <w:tcW w:w="2268" w:type="dxa"/>
          </w:tcPr>
          <w:p w14:paraId="70856E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Разные изделия из жести, котельные работы, кипятильники "Колосс" и продукты </w:t>
            </w:r>
            <w:proofErr w:type="spellStart"/>
            <w:r w:rsidRPr="00A259BD">
              <w:rPr>
                <w:rFonts w:ascii="Times New Roman" w:hAnsi="Times New Roman"/>
                <w:color w:val="000000" w:themeColor="text1"/>
                <w:sz w:val="16"/>
                <w:szCs w:val="16"/>
              </w:rPr>
              <w:t>химич</w:t>
            </w:r>
            <w:proofErr w:type="spellEnd"/>
            <w:r w:rsidRPr="00A259BD">
              <w:rPr>
                <w:rFonts w:ascii="Times New Roman" w:hAnsi="Times New Roman"/>
                <w:color w:val="000000" w:themeColor="text1"/>
                <w:sz w:val="16"/>
                <w:szCs w:val="16"/>
              </w:rPr>
              <w:t>. ваксы и гуталина</w:t>
            </w:r>
          </w:p>
        </w:tc>
        <w:tc>
          <w:tcPr>
            <w:tcW w:w="1339" w:type="dxa"/>
          </w:tcPr>
          <w:p w14:paraId="49DE4F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Москва, 58,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1</w:t>
            </w:r>
          </w:p>
        </w:tc>
        <w:tc>
          <w:tcPr>
            <w:tcW w:w="1339" w:type="dxa"/>
          </w:tcPr>
          <w:p w14:paraId="709F19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З-д “</w:t>
            </w:r>
            <w:proofErr w:type="spellStart"/>
            <w:r w:rsidRPr="00A259BD">
              <w:rPr>
                <w:rFonts w:ascii="Times New Roman" w:hAnsi="Times New Roman"/>
                <w:color w:val="000000" w:themeColor="text1"/>
                <w:sz w:val="16"/>
                <w:szCs w:val="16"/>
              </w:rPr>
              <w:t>Мостяжарт</w:t>
            </w:r>
            <w:proofErr w:type="spellEnd"/>
            <w:r w:rsidRPr="00A259BD">
              <w:rPr>
                <w:rFonts w:ascii="Times New Roman" w:hAnsi="Times New Roman"/>
                <w:color w:val="000000" w:themeColor="text1"/>
                <w:sz w:val="16"/>
                <w:szCs w:val="16"/>
              </w:rPr>
              <w:t xml:space="preserve">”, Москва, Семеновская </w:t>
            </w:r>
            <w:proofErr w:type="spellStart"/>
            <w:r w:rsidRPr="00A259BD">
              <w:rPr>
                <w:rFonts w:ascii="Times New Roman" w:hAnsi="Times New Roman"/>
                <w:color w:val="000000" w:themeColor="text1"/>
                <w:sz w:val="16"/>
                <w:szCs w:val="16"/>
              </w:rPr>
              <w:t>заст</w:t>
            </w:r>
            <w:proofErr w:type="spellEnd"/>
            <w:r w:rsidRPr="00A259BD">
              <w:rPr>
                <w:rFonts w:ascii="Times New Roman" w:hAnsi="Times New Roman"/>
                <w:color w:val="000000" w:themeColor="text1"/>
                <w:sz w:val="16"/>
                <w:szCs w:val="16"/>
              </w:rPr>
              <w:t>., Вельяминовская ул., д. 32</w:t>
            </w:r>
          </w:p>
        </w:tc>
        <w:tc>
          <w:tcPr>
            <w:tcW w:w="1339" w:type="dxa"/>
          </w:tcPr>
          <w:p w14:paraId="229134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Москва, </w:t>
            </w:r>
            <w:proofErr w:type="spellStart"/>
            <w:r w:rsidRPr="00A259BD">
              <w:rPr>
                <w:rFonts w:ascii="Times New Roman" w:hAnsi="Times New Roman"/>
                <w:color w:val="000000" w:themeColor="text1"/>
                <w:sz w:val="16"/>
                <w:szCs w:val="16"/>
              </w:rPr>
              <w:t>Мостяжарт</w:t>
            </w:r>
            <w:proofErr w:type="spellEnd"/>
          </w:p>
        </w:tc>
      </w:tr>
      <w:tr w:rsidR="00A259BD" w:rsidRPr="00A259BD" w14:paraId="519B07B6" w14:textId="77777777">
        <w:tc>
          <w:tcPr>
            <w:tcW w:w="534" w:type="dxa"/>
          </w:tcPr>
          <w:p w14:paraId="1E2843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2126" w:type="dxa"/>
          </w:tcPr>
          <w:p w14:paraId="09A708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Точной механики № 19</w:t>
            </w:r>
          </w:p>
        </w:tc>
        <w:tc>
          <w:tcPr>
            <w:tcW w:w="2268" w:type="dxa"/>
          </w:tcPr>
          <w:p w14:paraId="67FCB0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Оптическое </w:t>
            </w:r>
            <w:proofErr w:type="spellStart"/>
            <w:r w:rsidRPr="00A259BD">
              <w:rPr>
                <w:rFonts w:ascii="Times New Roman" w:hAnsi="Times New Roman"/>
                <w:color w:val="000000" w:themeColor="text1"/>
                <w:sz w:val="16"/>
                <w:szCs w:val="16"/>
              </w:rPr>
              <w:t>произведство</w:t>
            </w:r>
            <w:proofErr w:type="spellEnd"/>
            <w:r w:rsidRPr="00A259BD">
              <w:rPr>
                <w:rFonts w:ascii="Times New Roman" w:hAnsi="Times New Roman"/>
                <w:color w:val="000000" w:themeColor="text1"/>
                <w:sz w:val="16"/>
                <w:szCs w:val="16"/>
              </w:rPr>
              <w:t>: стереотрубы, бинокли, панорамы и ремонт оптики</w:t>
            </w:r>
          </w:p>
        </w:tc>
        <w:tc>
          <w:tcPr>
            <w:tcW w:w="2268" w:type="dxa"/>
          </w:tcPr>
          <w:p w14:paraId="641093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Линзы и оправы очковые, </w:t>
            </w:r>
            <w:proofErr w:type="spellStart"/>
            <w:r w:rsidRPr="00A259BD">
              <w:rPr>
                <w:rFonts w:ascii="Times New Roman" w:hAnsi="Times New Roman"/>
                <w:color w:val="000000" w:themeColor="text1"/>
                <w:sz w:val="16"/>
                <w:szCs w:val="16"/>
              </w:rPr>
              <w:t>об"ективы</w:t>
            </w:r>
            <w:proofErr w:type="spellEnd"/>
            <w:r w:rsidRPr="00A259BD">
              <w:rPr>
                <w:rFonts w:ascii="Times New Roman" w:hAnsi="Times New Roman"/>
                <w:color w:val="000000" w:themeColor="text1"/>
                <w:sz w:val="16"/>
                <w:szCs w:val="16"/>
              </w:rPr>
              <w:t xml:space="preserve"> и лупы разные.</w:t>
            </w:r>
          </w:p>
        </w:tc>
        <w:tc>
          <w:tcPr>
            <w:tcW w:w="1339" w:type="dxa"/>
          </w:tcPr>
          <w:p w14:paraId="6AE880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Павшино, </w:t>
            </w:r>
            <w:proofErr w:type="spellStart"/>
            <w:r w:rsidRPr="00A259BD">
              <w:rPr>
                <w:rFonts w:ascii="Times New Roman" w:hAnsi="Times New Roman"/>
                <w:color w:val="000000" w:themeColor="text1"/>
                <w:sz w:val="16"/>
                <w:szCs w:val="16"/>
              </w:rPr>
              <w:t>поч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2</w:t>
            </w:r>
          </w:p>
        </w:tc>
        <w:tc>
          <w:tcPr>
            <w:tcW w:w="1339" w:type="dxa"/>
          </w:tcPr>
          <w:p w14:paraId="749F14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Павшино, 3-д Точной механики № 19, Москва, Павшино</w:t>
            </w:r>
          </w:p>
        </w:tc>
        <w:tc>
          <w:tcPr>
            <w:tcW w:w="1339" w:type="dxa"/>
          </w:tcPr>
          <w:p w14:paraId="15D2C3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Павшино, Зоркий</w:t>
            </w:r>
          </w:p>
        </w:tc>
      </w:tr>
      <w:tr w:rsidR="00A259BD" w:rsidRPr="00A259BD" w14:paraId="751E0F1D" w14:textId="77777777">
        <w:tc>
          <w:tcPr>
            <w:tcW w:w="534" w:type="dxa"/>
          </w:tcPr>
          <w:p w14:paraId="4383A7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2126" w:type="dxa"/>
          </w:tcPr>
          <w:p w14:paraId="2CBB30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Механический завод № 13</w:t>
            </w:r>
          </w:p>
        </w:tc>
        <w:tc>
          <w:tcPr>
            <w:tcW w:w="2268" w:type="dxa"/>
          </w:tcPr>
          <w:p w14:paraId="244A37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Арсенальное производство, </w:t>
            </w:r>
            <w:proofErr w:type="spellStart"/>
            <w:r w:rsidRPr="00A259BD">
              <w:rPr>
                <w:rFonts w:ascii="Times New Roman" w:hAnsi="Times New Roman"/>
                <w:color w:val="000000" w:themeColor="text1"/>
                <w:sz w:val="16"/>
                <w:szCs w:val="16"/>
              </w:rPr>
              <w:t>аммуниция</w:t>
            </w:r>
            <w:proofErr w:type="spellEnd"/>
            <w:r w:rsidRPr="00A259BD">
              <w:rPr>
                <w:rFonts w:ascii="Times New Roman" w:hAnsi="Times New Roman"/>
                <w:color w:val="000000" w:themeColor="text1"/>
                <w:sz w:val="16"/>
                <w:szCs w:val="16"/>
              </w:rPr>
              <w:t xml:space="preserve">, снарядные прицепки, </w:t>
            </w:r>
            <w:proofErr w:type="spellStart"/>
            <w:r w:rsidRPr="00A259BD">
              <w:rPr>
                <w:rFonts w:ascii="Times New Roman" w:hAnsi="Times New Roman"/>
                <w:color w:val="000000" w:themeColor="text1"/>
                <w:sz w:val="16"/>
                <w:szCs w:val="16"/>
              </w:rPr>
              <w:t>перествол</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ение</w:t>
            </w:r>
            <w:proofErr w:type="spellEnd"/>
            <w:r w:rsidRPr="00A259BD">
              <w:rPr>
                <w:rFonts w:ascii="Times New Roman" w:hAnsi="Times New Roman"/>
                <w:color w:val="000000" w:themeColor="text1"/>
                <w:sz w:val="16"/>
                <w:szCs w:val="16"/>
              </w:rPr>
              <w:t xml:space="preserve">, </w:t>
            </w:r>
            <w:r w:rsidRPr="00A259BD">
              <w:rPr>
                <w:rFonts w:ascii="Times New Roman" w:hAnsi="Times New Roman"/>
                <w:color w:val="000000" w:themeColor="text1"/>
                <w:sz w:val="16"/>
                <w:szCs w:val="16"/>
              </w:rPr>
              <w:lastRenderedPageBreak/>
              <w:t xml:space="preserve">повозки конной тяги, </w:t>
            </w:r>
            <w:proofErr w:type="spellStart"/>
            <w:r w:rsidRPr="00A259BD">
              <w:rPr>
                <w:rFonts w:ascii="Times New Roman" w:hAnsi="Times New Roman"/>
                <w:color w:val="000000" w:themeColor="text1"/>
                <w:sz w:val="16"/>
                <w:szCs w:val="16"/>
              </w:rPr>
              <w:t>механич</w:t>
            </w:r>
            <w:proofErr w:type="spellEnd"/>
            <w:r w:rsidRPr="00A259BD">
              <w:rPr>
                <w:rFonts w:ascii="Times New Roman" w:hAnsi="Times New Roman"/>
                <w:color w:val="000000" w:themeColor="text1"/>
                <w:sz w:val="16"/>
                <w:szCs w:val="16"/>
              </w:rPr>
              <w:t>. тяги, тачанок.</w:t>
            </w:r>
          </w:p>
        </w:tc>
        <w:tc>
          <w:tcPr>
            <w:tcW w:w="2268" w:type="dxa"/>
          </w:tcPr>
          <w:p w14:paraId="4E3B40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Текстильное </w:t>
            </w:r>
            <w:proofErr w:type="spellStart"/>
            <w:r w:rsidRPr="00A259BD">
              <w:rPr>
                <w:rFonts w:ascii="Times New Roman" w:hAnsi="Times New Roman"/>
                <w:color w:val="000000" w:themeColor="text1"/>
                <w:sz w:val="16"/>
                <w:szCs w:val="16"/>
              </w:rPr>
              <w:t>машино</w:t>
            </w:r>
            <w:proofErr w:type="spellEnd"/>
            <w:r w:rsidRPr="00A259BD">
              <w:rPr>
                <w:rFonts w:ascii="Times New Roman" w:hAnsi="Times New Roman"/>
                <w:color w:val="000000" w:themeColor="text1"/>
                <w:sz w:val="16"/>
                <w:szCs w:val="16"/>
              </w:rPr>
              <w:t xml:space="preserve"> строение.</w:t>
            </w:r>
          </w:p>
        </w:tc>
        <w:tc>
          <w:tcPr>
            <w:tcW w:w="1339" w:type="dxa"/>
          </w:tcPr>
          <w:p w14:paraId="5233E9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Брянск, почт. тел. контора,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6</w:t>
            </w:r>
          </w:p>
        </w:tc>
        <w:tc>
          <w:tcPr>
            <w:tcW w:w="1339" w:type="dxa"/>
          </w:tcPr>
          <w:p w14:paraId="2C8CDD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Брянск, “Механический завод “ 13”</w:t>
            </w:r>
          </w:p>
        </w:tc>
        <w:tc>
          <w:tcPr>
            <w:tcW w:w="1339" w:type="dxa"/>
          </w:tcPr>
          <w:p w14:paraId="330F82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Брянск, Шесть</w:t>
            </w:r>
          </w:p>
        </w:tc>
      </w:tr>
      <w:tr w:rsidR="00A259BD" w:rsidRPr="00A259BD" w14:paraId="059807BC" w14:textId="77777777">
        <w:tc>
          <w:tcPr>
            <w:tcW w:w="534" w:type="dxa"/>
          </w:tcPr>
          <w:p w14:paraId="1D36D0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c>
          <w:tcPr>
            <w:tcW w:w="2126" w:type="dxa"/>
          </w:tcPr>
          <w:p w14:paraId="5AD6BB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8 им. Калинина</w:t>
            </w:r>
          </w:p>
        </w:tc>
        <w:tc>
          <w:tcPr>
            <w:tcW w:w="2268" w:type="dxa"/>
          </w:tcPr>
          <w:p w14:paraId="7AF5A1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Орудийной производство /новое, ремонт . и </w:t>
            </w:r>
            <w:proofErr w:type="spellStart"/>
            <w:r w:rsidRPr="00A259BD">
              <w:rPr>
                <w:rFonts w:ascii="Times New Roman" w:hAnsi="Times New Roman"/>
                <w:color w:val="000000" w:themeColor="text1"/>
                <w:sz w:val="16"/>
                <w:szCs w:val="16"/>
              </w:rPr>
              <w:t>зап</w:t>
            </w:r>
            <w:proofErr w:type="spellEnd"/>
            <w:r w:rsidRPr="00A259BD">
              <w:rPr>
                <w:rFonts w:ascii="Times New Roman" w:hAnsi="Times New Roman"/>
                <w:color w:val="000000" w:themeColor="text1"/>
                <w:sz w:val="16"/>
                <w:szCs w:val="16"/>
              </w:rPr>
              <w:t>-части/ и точная механика.</w:t>
            </w:r>
          </w:p>
        </w:tc>
        <w:tc>
          <w:tcPr>
            <w:tcW w:w="2268" w:type="dxa"/>
          </w:tcPr>
          <w:p w14:paraId="3C2FB9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Пресс Гагарина</w:t>
            </w:r>
          </w:p>
        </w:tc>
        <w:tc>
          <w:tcPr>
            <w:tcW w:w="1339" w:type="dxa"/>
          </w:tcPr>
          <w:p w14:paraId="0DF9A3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Мытищи </w:t>
            </w:r>
            <w:proofErr w:type="spellStart"/>
            <w:r w:rsidRPr="00A259BD">
              <w:rPr>
                <w:rFonts w:ascii="Times New Roman" w:hAnsi="Times New Roman"/>
                <w:color w:val="000000" w:themeColor="text1"/>
                <w:sz w:val="16"/>
                <w:szCs w:val="16"/>
              </w:rPr>
              <w:t>Моск</w:t>
            </w:r>
            <w:proofErr w:type="spellEnd"/>
            <w:r w:rsidRPr="00A259BD">
              <w:rPr>
                <w:rFonts w:ascii="Times New Roman" w:hAnsi="Times New Roman"/>
                <w:color w:val="000000" w:themeColor="text1"/>
                <w:sz w:val="16"/>
                <w:szCs w:val="16"/>
              </w:rPr>
              <w:t xml:space="preserve">. г., абон.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1</w:t>
            </w:r>
          </w:p>
        </w:tc>
        <w:tc>
          <w:tcPr>
            <w:tcW w:w="1339" w:type="dxa"/>
          </w:tcPr>
          <w:p w14:paraId="3CF324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3-д № 8 им. Калинина, Москва, Мытищи</w:t>
            </w:r>
          </w:p>
        </w:tc>
        <w:tc>
          <w:tcPr>
            <w:tcW w:w="1339" w:type="dxa"/>
          </w:tcPr>
          <w:p w14:paraId="56CCB0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Мытищи, Московский ЗИК</w:t>
            </w:r>
          </w:p>
        </w:tc>
      </w:tr>
      <w:tr w:rsidR="00A259BD" w:rsidRPr="00A259BD" w14:paraId="4E436387" w14:textId="77777777">
        <w:tc>
          <w:tcPr>
            <w:tcW w:w="534" w:type="dxa"/>
          </w:tcPr>
          <w:p w14:paraId="346D60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tc>
        <w:tc>
          <w:tcPr>
            <w:tcW w:w="2126" w:type="dxa"/>
          </w:tcPr>
          <w:p w14:paraId="630DD1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Мотовилихинский Машиностроительный завод</w:t>
            </w:r>
          </w:p>
        </w:tc>
        <w:tc>
          <w:tcPr>
            <w:tcW w:w="2268" w:type="dxa"/>
          </w:tcPr>
          <w:p w14:paraId="243CD3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Орудийное </w:t>
            </w:r>
            <w:proofErr w:type="spellStart"/>
            <w:r w:rsidRPr="00A259BD">
              <w:rPr>
                <w:rFonts w:ascii="Times New Roman" w:hAnsi="Times New Roman"/>
                <w:color w:val="000000" w:themeColor="text1"/>
                <w:sz w:val="16"/>
                <w:szCs w:val="16"/>
              </w:rPr>
              <w:t>производствв</w:t>
            </w:r>
            <w:proofErr w:type="spellEnd"/>
            <w:r w:rsidRPr="00A259BD">
              <w:rPr>
                <w:rFonts w:ascii="Times New Roman" w:hAnsi="Times New Roman"/>
                <w:color w:val="000000" w:themeColor="text1"/>
                <w:sz w:val="16"/>
                <w:szCs w:val="16"/>
              </w:rPr>
              <w:t xml:space="preserve"> /новое, ремонт и запчасти/, снаряды, поковки, </w:t>
            </w:r>
            <w:proofErr w:type="spellStart"/>
            <w:r w:rsidRPr="00A259BD">
              <w:rPr>
                <w:rFonts w:ascii="Times New Roman" w:hAnsi="Times New Roman"/>
                <w:color w:val="000000" w:themeColor="text1"/>
                <w:sz w:val="16"/>
                <w:szCs w:val="16"/>
              </w:rPr>
              <w:t>авиапоковки</w:t>
            </w:r>
            <w:proofErr w:type="spellEnd"/>
            <w:r w:rsidRPr="00A259BD">
              <w:rPr>
                <w:rFonts w:ascii="Times New Roman" w:hAnsi="Times New Roman"/>
                <w:color w:val="000000" w:themeColor="text1"/>
                <w:sz w:val="16"/>
                <w:szCs w:val="16"/>
              </w:rPr>
              <w:t xml:space="preserve">: валы, втулки и </w:t>
            </w:r>
            <w:proofErr w:type="spellStart"/>
            <w:r w:rsidRPr="00A259BD">
              <w:rPr>
                <w:rFonts w:ascii="Times New Roman" w:hAnsi="Times New Roman"/>
                <w:color w:val="000000" w:themeColor="text1"/>
                <w:sz w:val="16"/>
                <w:szCs w:val="16"/>
              </w:rPr>
              <w:t>цилинды</w:t>
            </w:r>
            <w:proofErr w:type="spellEnd"/>
            <w:r w:rsidRPr="00A259BD">
              <w:rPr>
                <w:rFonts w:ascii="Times New Roman" w:hAnsi="Times New Roman"/>
                <w:color w:val="000000" w:themeColor="text1"/>
                <w:sz w:val="16"/>
                <w:szCs w:val="16"/>
              </w:rPr>
              <w:t xml:space="preserve">, танки, </w:t>
            </w:r>
            <w:proofErr w:type="spellStart"/>
            <w:r w:rsidRPr="00A259BD">
              <w:rPr>
                <w:rFonts w:ascii="Times New Roman" w:hAnsi="Times New Roman"/>
                <w:color w:val="000000" w:themeColor="text1"/>
                <w:sz w:val="16"/>
                <w:szCs w:val="16"/>
              </w:rPr>
              <w:t>перестволение</w:t>
            </w:r>
            <w:proofErr w:type="spellEnd"/>
          </w:p>
          <w:p w14:paraId="4C9884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226AD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Поковки, литье, двигатели </w:t>
            </w:r>
            <w:proofErr w:type="spellStart"/>
            <w:r w:rsidRPr="00A259BD">
              <w:rPr>
                <w:rFonts w:ascii="Times New Roman" w:hAnsi="Times New Roman"/>
                <w:color w:val="000000" w:themeColor="text1"/>
                <w:sz w:val="16"/>
                <w:szCs w:val="16"/>
              </w:rPr>
              <w:t>Болиндра</w:t>
            </w:r>
            <w:proofErr w:type="spellEnd"/>
            <w:r w:rsidRPr="00A259BD">
              <w:rPr>
                <w:rFonts w:ascii="Times New Roman" w:hAnsi="Times New Roman"/>
                <w:color w:val="000000" w:themeColor="text1"/>
                <w:sz w:val="16"/>
                <w:szCs w:val="16"/>
              </w:rPr>
              <w:t xml:space="preserve">, инструмент, драги, прокат и обжатая </w:t>
            </w:r>
            <w:proofErr w:type="spellStart"/>
            <w:r w:rsidRPr="00A259BD">
              <w:rPr>
                <w:rFonts w:ascii="Times New Roman" w:hAnsi="Times New Roman"/>
                <w:color w:val="000000" w:themeColor="text1"/>
                <w:sz w:val="16"/>
                <w:szCs w:val="16"/>
              </w:rPr>
              <w:t>эаготовка</w:t>
            </w:r>
            <w:proofErr w:type="spellEnd"/>
            <w:r w:rsidRPr="00A259BD">
              <w:rPr>
                <w:rFonts w:ascii="Times New Roman" w:hAnsi="Times New Roman"/>
                <w:color w:val="000000" w:themeColor="text1"/>
                <w:sz w:val="16"/>
                <w:szCs w:val="16"/>
              </w:rPr>
              <w:t>.</w:t>
            </w:r>
          </w:p>
        </w:tc>
        <w:tc>
          <w:tcPr>
            <w:tcW w:w="1339" w:type="dxa"/>
          </w:tcPr>
          <w:p w14:paraId="70EC19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Мотовилиха, Пермского округа, Мотовилихинский </w:t>
            </w:r>
            <w:proofErr w:type="spellStart"/>
            <w:r w:rsidRPr="00A259BD">
              <w:rPr>
                <w:rFonts w:ascii="Times New Roman" w:hAnsi="Times New Roman"/>
                <w:color w:val="000000" w:themeColor="text1"/>
                <w:sz w:val="16"/>
                <w:szCs w:val="16"/>
              </w:rPr>
              <w:t>машиностр</w:t>
            </w:r>
            <w:proofErr w:type="spellEnd"/>
            <w:r w:rsidRPr="00A259BD">
              <w:rPr>
                <w:rFonts w:ascii="Times New Roman" w:hAnsi="Times New Roman"/>
                <w:color w:val="000000" w:themeColor="text1"/>
                <w:sz w:val="16"/>
                <w:szCs w:val="16"/>
              </w:rPr>
              <w:t>. З-д</w:t>
            </w:r>
          </w:p>
        </w:tc>
        <w:tc>
          <w:tcPr>
            <w:tcW w:w="1339" w:type="dxa"/>
          </w:tcPr>
          <w:p w14:paraId="2C9EBF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Мотовилихинский </w:t>
            </w:r>
            <w:proofErr w:type="spellStart"/>
            <w:r w:rsidRPr="00A259BD">
              <w:rPr>
                <w:rFonts w:ascii="Times New Roman" w:hAnsi="Times New Roman"/>
                <w:color w:val="000000" w:themeColor="text1"/>
                <w:sz w:val="16"/>
                <w:szCs w:val="16"/>
              </w:rPr>
              <w:t>машиностр</w:t>
            </w:r>
            <w:proofErr w:type="spellEnd"/>
            <w:r w:rsidRPr="00A259BD">
              <w:rPr>
                <w:rFonts w:ascii="Times New Roman" w:hAnsi="Times New Roman"/>
                <w:color w:val="000000" w:themeColor="text1"/>
                <w:sz w:val="16"/>
                <w:szCs w:val="16"/>
              </w:rPr>
              <w:t>. З-д, Пермь, Мотовилиха</w:t>
            </w:r>
          </w:p>
        </w:tc>
        <w:tc>
          <w:tcPr>
            <w:tcW w:w="1339" w:type="dxa"/>
          </w:tcPr>
          <w:p w14:paraId="612B1E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Мотовилиха, Завод</w:t>
            </w:r>
          </w:p>
        </w:tc>
      </w:tr>
      <w:tr w:rsidR="00A259BD" w:rsidRPr="00A259BD" w14:paraId="4EB861B5" w14:textId="77777777">
        <w:tc>
          <w:tcPr>
            <w:tcW w:w="534" w:type="dxa"/>
          </w:tcPr>
          <w:p w14:paraId="0A4E05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tc>
        <w:tc>
          <w:tcPr>
            <w:tcW w:w="2126" w:type="dxa"/>
          </w:tcPr>
          <w:p w14:paraId="6E3EF9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Киевский Краснознаменный завод</w:t>
            </w:r>
          </w:p>
        </w:tc>
        <w:tc>
          <w:tcPr>
            <w:tcW w:w="2268" w:type="dxa"/>
          </w:tcPr>
          <w:p w14:paraId="00F1D0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Арсенальное производство, передки, лафеты, колеса боевые, ремонт запчасти и принадлежности </w:t>
            </w:r>
            <w:proofErr w:type="spellStart"/>
            <w:r w:rsidRPr="00A259BD">
              <w:rPr>
                <w:rFonts w:ascii="Times New Roman" w:hAnsi="Times New Roman"/>
                <w:color w:val="000000" w:themeColor="text1"/>
                <w:sz w:val="16"/>
                <w:szCs w:val="16"/>
              </w:rPr>
              <w:t>аптиллерии</w:t>
            </w:r>
            <w:proofErr w:type="spellEnd"/>
            <w:r w:rsidRPr="00A259BD">
              <w:rPr>
                <w:rFonts w:ascii="Times New Roman" w:hAnsi="Times New Roman"/>
                <w:color w:val="000000" w:themeColor="text1"/>
                <w:sz w:val="16"/>
                <w:szCs w:val="16"/>
              </w:rPr>
              <w:t xml:space="preserve">, пулемет. Тачанки, </w:t>
            </w:r>
            <w:proofErr w:type="spellStart"/>
            <w:r w:rsidRPr="00A259BD">
              <w:rPr>
                <w:rFonts w:ascii="Times New Roman" w:hAnsi="Times New Roman"/>
                <w:color w:val="000000" w:themeColor="text1"/>
                <w:sz w:val="16"/>
                <w:szCs w:val="16"/>
              </w:rPr>
              <w:t>аэробомбы</w:t>
            </w:r>
            <w:proofErr w:type="spellEnd"/>
            <w:r w:rsidRPr="00A259BD">
              <w:rPr>
                <w:rFonts w:ascii="Times New Roman" w:hAnsi="Times New Roman"/>
                <w:color w:val="000000" w:themeColor="text1"/>
                <w:sz w:val="16"/>
                <w:szCs w:val="16"/>
              </w:rPr>
              <w:t>, двуколки патронные, Поводки парные, колеса обозные</w:t>
            </w:r>
          </w:p>
        </w:tc>
        <w:tc>
          <w:tcPr>
            <w:tcW w:w="2268" w:type="dxa"/>
          </w:tcPr>
          <w:p w14:paraId="57D056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Текстильное </w:t>
            </w:r>
            <w:proofErr w:type="spellStart"/>
            <w:r w:rsidRPr="00A259BD">
              <w:rPr>
                <w:rFonts w:ascii="Times New Roman" w:hAnsi="Times New Roman"/>
                <w:color w:val="000000" w:themeColor="text1"/>
                <w:sz w:val="16"/>
                <w:szCs w:val="16"/>
              </w:rPr>
              <w:t>машиност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ение</w:t>
            </w:r>
            <w:proofErr w:type="spellEnd"/>
            <w:r w:rsidRPr="00A259BD">
              <w:rPr>
                <w:rFonts w:ascii="Times New Roman" w:hAnsi="Times New Roman"/>
                <w:color w:val="000000" w:themeColor="text1"/>
                <w:sz w:val="16"/>
                <w:szCs w:val="16"/>
              </w:rPr>
              <w:t>, станки и вилки мельничные , веялки</w:t>
            </w:r>
          </w:p>
        </w:tc>
        <w:tc>
          <w:tcPr>
            <w:tcW w:w="1339" w:type="dxa"/>
          </w:tcPr>
          <w:p w14:paraId="6E91D3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.Киев, 2 </w:t>
            </w:r>
            <w:proofErr w:type="spellStart"/>
            <w:r w:rsidRPr="00A259BD">
              <w:rPr>
                <w:rFonts w:ascii="Times New Roman" w:hAnsi="Times New Roman"/>
                <w:color w:val="000000" w:themeColor="text1"/>
                <w:sz w:val="16"/>
                <w:szCs w:val="16"/>
              </w:rPr>
              <w:t>Горд.почт</w:t>
            </w:r>
            <w:proofErr w:type="spellEnd"/>
            <w:r w:rsidRPr="00A259BD">
              <w:rPr>
                <w:rFonts w:ascii="Times New Roman" w:hAnsi="Times New Roman"/>
                <w:color w:val="000000" w:themeColor="text1"/>
                <w:sz w:val="16"/>
                <w:szCs w:val="16"/>
              </w:rPr>
              <w:t>. телеграф</w:t>
            </w:r>
          </w:p>
        </w:tc>
        <w:tc>
          <w:tcPr>
            <w:tcW w:w="1339" w:type="dxa"/>
          </w:tcPr>
          <w:p w14:paraId="6B77F4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Киевский К </w:t>
            </w:r>
            <w:proofErr w:type="spellStart"/>
            <w:r w:rsidRPr="00A259BD">
              <w:rPr>
                <w:rFonts w:ascii="Times New Roman" w:hAnsi="Times New Roman"/>
                <w:color w:val="000000" w:themeColor="text1"/>
                <w:sz w:val="16"/>
                <w:szCs w:val="16"/>
              </w:rPr>
              <w:t>снознаменный</w:t>
            </w:r>
            <w:proofErr w:type="spellEnd"/>
            <w:r w:rsidRPr="00A259BD">
              <w:rPr>
                <w:rFonts w:ascii="Times New Roman" w:hAnsi="Times New Roman"/>
                <w:color w:val="000000" w:themeColor="text1"/>
                <w:sz w:val="16"/>
                <w:szCs w:val="16"/>
              </w:rPr>
              <w:t xml:space="preserve"> з-д, г. Киев</w:t>
            </w:r>
          </w:p>
        </w:tc>
        <w:tc>
          <w:tcPr>
            <w:tcW w:w="1339" w:type="dxa"/>
          </w:tcPr>
          <w:p w14:paraId="73E261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Киев, Вперед</w:t>
            </w:r>
          </w:p>
        </w:tc>
      </w:tr>
      <w:tr w:rsidR="00A259BD" w:rsidRPr="00A259BD" w14:paraId="0C055EA6" w14:textId="77777777">
        <w:tc>
          <w:tcPr>
            <w:tcW w:w="534" w:type="dxa"/>
          </w:tcPr>
          <w:p w14:paraId="128937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tc>
        <w:tc>
          <w:tcPr>
            <w:tcW w:w="2126" w:type="dxa"/>
          </w:tcPr>
          <w:p w14:paraId="352E34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Механический завод № 7</w:t>
            </w:r>
          </w:p>
        </w:tc>
        <w:tc>
          <w:tcPr>
            <w:tcW w:w="2268" w:type="dxa"/>
          </w:tcPr>
          <w:p w14:paraId="48AD40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Арсенальное производство: ремонт и запчасти артиллерии, колеса, седла, снарядные прицепки, прицепные повозки, зарядные </w:t>
            </w:r>
            <w:proofErr w:type="spellStart"/>
            <w:r w:rsidRPr="00A259BD">
              <w:rPr>
                <w:rFonts w:ascii="Times New Roman" w:hAnsi="Times New Roman"/>
                <w:color w:val="000000" w:themeColor="text1"/>
                <w:sz w:val="16"/>
                <w:szCs w:val="16"/>
              </w:rPr>
              <w:t>яшики</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аэро</w:t>
            </w:r>
            <w:proofErr w:type="spellEnd"/>
            <w:r w:rsidRPr="00A259BD">
              <w:rPr>
                <w:rFonts w:ascii="Times New Roman" w:hAnsi="Times New Roman"/>
                <w:color w:val="000000" w:themeColor="text1"/>
                <w:sz w:val="16"/>
                <w:szCs w:val="16"/>
              </w:rPr>
              <w:t xml:space="preserve"> бомбы, </w:t>
            </w:r>
            <w:proofErr w:type="spellStart"/>
            <w:r w:rsidRPr="00A259BD">
              <w:rPr>
                <w:rFonts w:ascii="Times New Roman" w:hAnsi="Times New Roman"/>
                <w:color w:val="000000" w:themeColor="text1"/>
                <w:sz w:val="16"/>
                <w:szCs w:val="16"/>
              </w:rPr>
              <w:t>авиахимбомбы</w:t>
            </w:r>
            <w:proofErr w:type="spellEnd"/>
            <w:r w:rsidRPr="00A259BD">
              <w:rPr>
                <w:rFonts w:ascii="Times New Roman" w:hAnsi="Times New Roman"/>
                <w:color w:val="000000" w:themeColor="text1"/>
                <w:sz w:val="16"/>
                <w:szCs w:val="16"/>
              </w:rPr>
              <w:t xml:space="preserve"> хлебопекарни</w:t>
            </w:r>
          </w:p>
        </w:tc>
        <w:tc>
          <w:tcPr>
            <w:tcW w:w="2268" w:type="dxa"/>
          </w:tcPr>
          <w:p w14:paraId="398F0F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Банкоброши, </w:t>
            </w:r>
            <w:proofErr w:type="spellStart"/>
            <w:r w:rsidRPr="00A259BD">
              <w:rPr>
                <w:rFonts w:ascii="Times New Roman" w:hAnsi="Times New Roman"/>
                <w:color w:val="000000" w:themeColor="text1"/>
                <w:sz w:val="16"/>
                <w:szCs w:val="16"/>
              </w:rPr>
              <w:t>ленточныв</w:t>
            </w:r>
            <w:proofErr w:type="spellEnd"/>
            <w:r w:rsidRPr="00A259BD">
              <w:rPr>
                <w:rFonts w:ascii="Times New Roman" w:hAnsi="Times New Roman"/>
                <w:color w:val="000000" w:themeColor="text1"/>
                <w:sz w:val="16"/>
                <w:szCs w:val="16"/>
              </w:rPr>
              <w:t xml:space="preserve"> машины, </w:t>
            </w:r>
            <w:proofErr w:type="spellStart"/>
            <w:r w:rsidRPr="00A259BD">
              <w:rPr>
                <w:rFonts w:ascii="Times New Roman" w:hAnsi="Times New Roman"/>
                <w:color w:val="000000" w:themeColor="text1"/>
                <w:sz w:val="16"/>
                <w:szCs w:val="16"/>
              </w:rPr>
              <w:t>ткацк</w:t>
            </w:r>
            <w:proofErr w:type="spellEnd"/>
            <w:r w:rsidRPr="00A259BD">
              <w:rPr>
                <w:rFonts w:ascii="Times New Roman" w:hAnsi="Times New Roman"/>
                <w:color w:val="000000" w:themeColor="text1"/>
                <w:sz w:val="16"/>
                <w:szCs w:val="16"/>
              </w:rPr>
              <w:t>. Автоматы и запчасти к текст. машинам</w:t>
            </w:r>
          </w:p>
        </w:tc>
        <w:tc>
          <w:tcPr>
            <w:tcW w:w="1339" w:type="dxa"/>
          </w:tcPr>
          <w:p w14:paraId="405E7E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Ленинград, 9 почт. отд.,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1</w:t>
            </w:r>
          </w:p>
        </w:tc>
        <w:tc>
          <w:tcPr>
            <w:tcW w:w="1339" w:type="dxa"/>
          </w:tcPr>
          <w:p w14:paraId="042F4E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Механический з-д № 7, г. Ленинград</w:t>
            </w:r>
          </w:p>
        </w:tc>
        <w:tc>
          <w:tcPr>
            <w:tcW w:w="1339" w:type="dxa"/>
          </w:tcPr>
          <w:p w14:paraId="25D8DF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Ленинград з-д № 7.</w:t>
            </w:r>
          </w:p>
        </w:tc>
      </w:tr>
      <w:tr w:rsidR="00A259BD" w:rsidRPr="00A259BD" w14:paraId="22E2DDA2" w14:textId="77777777">
        <w:tc>
          <w:tcPr>
            <w:tcW w:w="534" w:type="dxa"/>
          </w:tcPr>
          <w:p w14:paraId="450CB6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w:t>
            </w:r>
          </w:p>
        </w:tc>
        <w:tc>
          <w:tcPr>
            <w:tcW w:w="2126" w:type="dxa"/>
          </w:tcPr>
          <w:p w14:paraId="13CD04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“ЛЕНЗОС”</w:t>
            </w:r>
          </w:p>
        </w:tc>
        <w:tc>
          <w:tcPr>
            <w:tcW w:w="2268" w:type="dxa"/>
          </w:tcPr>
          <w:p w14:paraId="3B3287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C7C94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7255CC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Ленинград 12,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1</w:t>
            </w:r>
          </w:p>
        </w:tc>
        <w:tc>
          <w:tcPr>
            <w:tcW w:w="1339" w:type="dxa"/>
          </w:tcPr>
          <w:p w14:paraId="60885E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З-д </w:t>
            </w:r>
            <w:proofErr w:type="spellStart"/>
            <w:r w:rsidRPr="00A259BD">
              <w:rPr>
                <w:rFonts w:ascii="Times New Roman" w:hAnsi="Times New Roman"/>
                <w:color w:val="000000" w:themeColor="text1"/>
                <w:sz w:val="16"/>
                <w:szCs w:val="16"/>
              </w:rPr>
              <w:t>Лензос</w:t>
            </w:r>
            <w:proofErr w:type="spellEnd"/>
            <w:r w:rsidRPr="00A259BD">
              <w:rPr>
                <w:rFonts w:ascii="Times New Roman" w:hAnsi="Times New Roman"/>
                <w:color w:val="000000" w:themeColor="text1"/>
                <w:sz w:val="16"/>
                <w:szCs w:val="16"/>
              </w:rPr>
              <w:t>, г. Ленинград</w:t>
            </w:r>
          </w:p>
        </w:tc>
        <w:tc>
          <w:tcPr>
            <w:tcW w:w="1339" w:type="dxa"/>
          </w:tcPr>
          <w:p w14:paraId="6AADA6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Ленинград, </w:t>
            </w:r>
            <w:proofErr w:type="spellStart"/>
            <w:r w:rsidRPr="00A259BD">
              <w:rPr>
                <w:rFonts w:ascii="Times New Roman" w:hAnsi="Times New Roman"/>
                <w:color w:val="000000" w:themeColor="text1"/>
                <w:sz w:val="16"/>
                <w:szCs w:val="16"/>
              </w:rPr>
              <w:t>Лензос</w:t>
            </w:r>
            <w:proofErr w:type="spellEnd"/>
          </w:p>
        </w:tc>
      </w:tr>
      <w:tr w:rsidR="00A259BD" w:rsidRPr="00A259BD" w14:paraId="7B0605DB" w14:textId="77777777">
        <w:tc>
          <w:tcPr>
            <w:tcW w:w="534" w:type="dxa"/>
          </w:tcPr>
          <w:p w14:paraId="745D47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2126" w:type="dxa"/>
          </w:tcPr>
          <w:p w14:paraId="397C78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“Баррикады”</w:t>
            </w:r>
          </w:p>
        </w:tc>
        <w:tc>
          <w:tcPr>
            <w:tcW w:w="2268" w:type="dxa"/>
          </w:tcPr>
          <w:p w14:paraId="77301C5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w:t>
            </w:r>
          </w:p>
        </w:tc>
        <w:tc>
          <w:tcPr>
            <w:tcW w:w="2268" w:type="dxa"/>
          </w:tcPr>
          <w:p w14:paraId="0BBCD6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w:t>
            </w:r>
            <w:proofErr w:type="spellStart"/>
            <w:r w:rsidRPr="00A259BD">
              <w:rPr>
                <w:rFonts w:ascii="Times New Roman" w:hAnsi="Times New Roman"/>
                <w:color w:val="000000" w:themeColor="text1"/>
                <w:sz w:val="16"/>
                <w:szCs w:val="16"/>
              </w:rPr>
              <w:t>оборудс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вания</w:t>
            </w:r>
            <w:proofErr w:type="spellEnd"/>
            <w:r w:rsidRPr="00A259BD">
              <w:rPr>
                <w:rFonts w:ascii="Times New Roman" w:hAnsi="Times New Roman"/>
                <w:color w:val="000000" w:themeColor="text1"/>
                <w:sz w:val="16"/>
                <w:szCs w:val="16"/>
              </w:rPr>
              <w:t xml:space="preserve"> для нефтяной, </w:t>
            </w:r>
            <w:proofErr w:type="spellStart"/>
            <w:r w:rsidRPr="00A259BD">
              <w:rPr>
                <w:rFonts w:ascii="Times New Roman" w:hAnsi="Times New Roman"/>
                <w:color w:val="000000" w:themeColor="text1"/>
                <w:sz w:val="16"/>
                <w:szCs w:val="16"/>
              </w:rPr>
              <w:t>писче</w:t>
            </w:r>
            <w:proofErr w:type="spellEnd"/>
            <w:r w:rsidRPr="00A259BD">
              <w:rPr>
                <w:rFonts w:ascii="Times New Roman" w:hAnsi="Times New Roman"/>
                <w:color w:val="000000" w:themeColor="text1"/>
                <w:sz w:val="16"/>
                <w:szCs w:val="16"/>
              </w:rPr>
              <w:t xml:space="preserve"> -бумажной и силикатной промышленности, поковки, литье.</w:t>
            </w:r>
          </w:p>
        </w:tc>
        <w:tc>
          <w:tcPr>
            <w:tcW w:w="1339" w:type="dxa"/>
          </w:tcPr>
          <w:p w14:paraId="667922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Сталин</w:t>
            </w:r>
            <w:r w:rsidRPr="00A259BD">
              <w:rPr>
                <w:rFonts w:ascii="Times New Roman" w:hAnsi="Times New Roman"/>
                <w:color w:val="000000" w:themeColor="text1"/>
                <w:sz w:val="16"/>
                <w:szCs w:val="16"/>
              </w:rPr>
              <w:softHyphen/>
              <w:t xml:space="preserve">град,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113</w:t>
            </w:r>
          </w:p>
        </w:tc>
        <w:tc>
          <w:tcPr>
            <w:tcW w:w="1339" w:type="dxa"/>
          </w:tcPr>
          <w:p w14:paraId="503BCA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3-д "Баррикады", Сталинград</w:t>
            </w:r>
          </w:p>
        </w:tc>
        <w:tc>
          <w:tcPr>
            <w:tcW w:w="1339" w:type="dxa"/>
          </w:tcPr>
          <w:p w14:paraId="20E136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Сталинград,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113</w:t>
            </w:r>
          </w:p>
        </w:tc>
      </w:tr>
      <w:tr w:rsidR="00A259BD" w:rsidRPr="00A259BD" w14:paraId="62223702" w14:textId="77777777">
        <w:tc>
          <w:tcPr>
            <w:tcW w:w="534" w:type="dxa"/>
          </w:tcPr>
          <w:p w14:paraId="311B8C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w:t>
            </w:r>
          </w:p>
        </w:tc>
        <w:tc>
          <w:tcPr>
            <w:tcW w:w="2126" w:type="dxa"/>
          </w:tcPr>
          <w:p w14:paraId="08F88A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Изюмский завод оптического стекла им. Т. Дзержинского</w:t>
            </w:r>
          </w:p>
        </w:tc>
        <w:tc>
          <w:tcPr>
            <w:tcW w:w="2268" w:type="dxa"/>
          </w:tcPr>
          <w:p w14:paraId="41E066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Оптическое стекло</w:t>
            </w:r>
          </w:p>
        </w:tc>
        <w:tc>
          <w:tcPr>
            <w:tcW w:w="2268" w:type="dxa"/>
          </w:tcPr>
          <w:p w14:paraId="58D3B0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Очковое стекло и </w:t>
            </w:r>
            <w:proofErr w:type="spellStart"/>
            <w:r w:rsidRPr="00A259BD">
              <w:rPr>
                <w:rFonts w:ascii="Times New Roman" w:hAnsi="Times New Roman"/>
                <w:color w:val="000000" w:themeColor="text1"/>
                <w:sz w:val="16"/>
                <w:szCs w:val="16"/>
              </w:rPr>
              <w:t>огнеуполрные</w:t>
            </w:r>
            <w:proofErr w:type="spellEnd"/>
            <w:r w:rsidRPr="00A259BD">
              <w:rPr>
                <w:rFonts w:ascii="Times New Roman" w:hAnsi="Times New Roman"/>
                <w:color w:val="000000" w:themeColor="text1"/>
                <w:sz w:val="16"/>
                <w:szCs w:val="16"/>
              </w:rPr>
              <w:t xml:space="preserve"> изделия</w:t>
            </w:r>
          </w:p>
        </w:tc>
        <w:tc>
          <w:tcPr>
            <w:tcW w:w="1339" w:type="dxa"/>
          </w:tcPr>
          <w:p w14:paraId="4C174D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Изюм,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24</w:t>
            </w:r>
          </w:p>
        </w:tc>
        <w:tc>
          <w:tcPr>
            <w:tcW w:w="1339" w:type="dxa"/>
          </w:tcPr>
          <w:p w14:paraId="34FF5E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Изюм. Зав. </w:t>
            </w:r>
            <w:proofErr w:type="spellStart"/>
            <w:r w:rsidRPr="00A259BD">
              <w:rPr>
                <w:rFonts w:ascii="Times New Roman" w:hAnsi="Times New Roman"/>
                <w:color w:val="000000" w:themeColor="text1"/>
                <w:sz w:val="16"/>
                <w:szCs w:val="16"/>
              </w:rPr>
              <w:t>Оптич</w:t>
            </w:r>
            <w:proofErr w:type="spellEnd"/>
            <w:r w:rsidRPr="00A259BD">
              <w:rPr>
                <w:rFonts w:ascii="Times New Roman" w:hAnsi="Times New Roman"/>
                <w:color w:val="000000" w:themeColor="text1"/>
                <w:sz w:val="16"/>
                <w:szCs w:val="16"/>
              </w:rPr>
              <w:t xml:space="preserve">. Стекла им. Т. </w:t>
            </w:r>
            <w:proofErr w:type="spellStart"/>
            <w:r w:rsidRPr="00A259BD">
              <w:rPr>
                <w:rFonts w:ascii="Times New Roman" w:hAnsi="Times New Roman"/>
                <w:color w:val="000000" w:themeColor="text1"/>
                <w:sz w:val="16"/>
                <w:szCs w:val="16"/>
              </w:rPr>
              <w:t>Дзержинскогог</w:t>
            </w:r>
            <w:proofErr w:type="spellEnd"/>
            <w:r w:rsidRPr="00A259BD">
              <w:rPr>
                <w:rFonts w:ascii="Times New Roman" w:hAnsi="Times New Roman"/>
                <w:color w:val="000000" w:themeColor="text1"/>
                <w:sz w:val="16"/>
                <w:szCs w:val="16"/>
              </w:rPr>
              <w:t>, Изюм</w:t>
            </w:r>
          </w:p>
        </w:tc>
        <w:tc>
          <w:tcPr>
            <w:tcW w:w="1339" w:type="dxa"/>
          </w:tcPr>
          <w:p w14:paraId="43CE73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Изюм, Гудок</w:t>
            </w:r>
          </w:p>
        </w:tc>
      </w:tr>
      <w:tr w:rsidR="00A259BD" w:rsidRPr="00A259BD" w14:paraId="1D821A3C" w14:textId="77777777">
        <w:tc>
          <w:tcPr>
            <w:tcW w:w="534" w:type="dxa"/>
          </w:tcPr>
          <w:p w14:paraId="55A539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w:t>
            </w:r>
          </w:p>
        </w:tc>
        <w:tc>
          <w:tcPr>
            <w:tcW w:w="2126" w:type="dxa"/>
          </w:tcPr>
          <w:p w14:paraId="3E8940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Склад № 4</w:t>
            </w:r>
          </w:p>
        </w:tc>
        <w:tc>
          <w:tcPr>
            <w:tcW w:w="2268" w:type="dxa"/>
          </w:tcPr>
          <w:p w14:paraId="328A6C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3713A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9ED5F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Склад № 4 </w:t>
            </w:r>
            <w:proofErr w:type="spellStart"/>
            <w:r w:rsidRPr="00A259BD">
              <w:rPr>
                <w:rFonts w:ascii="Times New Roman" w:hAnsi="Times New Roman"/>
                <w:color w:val="000000" w:themeColor="text1"/>
                <w:sz w:val="16"/>
                <w:szCs w:val="16"/>
              </w:rPr>
              <w:t>Голутвино</w:t>
            </w:r>
            <w:proofErr w:type="spellEnd"/>
            <w:r w:rsidRPr="00A259BD">
              <w:rPr>
                <w:rFonts w:ascii="Times New Roman" w:hAnsi="Times New Roman"/>
                <w:color w:val="000000" w:themeColor="text1"/>
                <w:sz w:val="16"/>
                <w:szCs w:val="16"/>
              </w:rPr>
              <w:t>, М. Казанской ж/д</w:t>
            </w:r>
          </w:p>
        </w:tc>
        <w:tc>
          <w:tcPr>
            <w:tcW w:w="1339" w:type="dxa"/>
          </w:tcPr>
          <w:p w14:paraId="127851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39" w:type="dxa"/>
          </w:tcPr>
          <w:p w14:paraId="2CED0F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310A6CC5" w14:textId="77777777">
        <w:tc>
          <w:tcPr>
            <w:tcW w:w="534" w:type="dxa"/>
          </w:tcPr>
          <w:p w14:paraId="23352F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w:t>
            </w:r>
          </w:p>
        </w:tc>
        <w:tc>
          <w:tcPr>
            <w:tcW w:w="2126" w:type="dxa"/>
          </w:tcPr>
          <w:p w14:paraId="4A65D1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Склад № 6</w:t>
            </w:r>
          </w:p>
        </w:tc>
        <w:tc>
          <w:tcPr>
            <w:tcW w:w="2268" w:type="dxa"/>
          </w:tcPr>
          <w:p w14:paraId="3F1A85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7760C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06CEB7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Склад № 6 Арзамас</w:t>
            </w:r>
          </w:p>
        </w:tc>
        <w:tc>
          <w:tcPr>
            <w:tcW w:w="1339" w:type="dxa"/>
          </w:tcPr>
          <w:p w14:paraId="435918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39" w:type="dxa"/>
          </w:tcPr>
          <w:p w14:paraId="4C1732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0ECF6FD7" w14:textId="77777777">
        <w:tc>
          <w:tcPr>
            <w:tcW w:w="534" w:type="dxa"/>
          </w:tcPr>
          <w:p w14:paraId="77FB88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7BFB6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АВИАТРЕСТ</w:t>
            </w:r>
          </w:p>
        </w:tc>
        <w:tc>
          <w:tcPr>
            <w:tcW w:w="2268" w:type="dxa"/>
          </w:tcPr>
          <w:p w14:paraId="60C52E9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79A02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3A5BA4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68BCF6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344D26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C628203" w14:textId="77777777">
        <w:tc>
          <w:tcPr>
            <w:tcW w:w="534" w:type="dxa"/>
          </w:tcPr>
          <w:p w14:paraId="470248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2126" w:type="dxa"/>
          </w:tcPr>
          <w:p w14:paraId="3DB459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Завод № 1 им. </w:t>
            </w:r>
            <w:proofErr w:type="spellStart"/>
            <w:r w:rsidRPr="00A259BD">
              <w:rPr>
                <w:rFonts w:ascii="Times New Roman" w:hAnsi="Times New Roman"/>
                <w:color w:val="000000" w:themeColor="text1"/>
                <w:sz w:val="16"/>
                <w:szCs w:val="16"/>
              </w:rPr>
              <w:t>Авиахима</w:t>
            </w:r>
            <w:proofErr w:type="spellEnd"/>
          </w:p>
        </w:tc>
        <w:tc>
          <w:tcPr>
            <w:tcW w:w="2268" w:type="dxa"/>
          </w:tcPr>
          <w:p w14:paraId="4AEBC5C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Самодеты</w:t>
            </w:r>
            <w:proofErr w:type="spellEnd"/>
            <w:r w:rsidRPr="00A259BD">
              <w:rPr>
                <w:rFonts w:ascii="Times New Roman" w:hAnsi="Times New Roman"/>
                <w:color w:val="000000" w:themeColor="text1"/>
                <w:sz w:val="16"/>
                <w:szCs w:val="16"/>
              </w:rPr>
              <w:t xml:space="preserve"> дер. И </w:t>
            </w:r>
            <w:proofErr w:type="spellStart"/>
            <w:r w:rsidRPr="00A259BD">
              <w:rPr>
                <w:rFonts w:ascii="Times New Roman" w:hAnsi="Times New Roman"/>
                <w:color w:val="000000" w:themeColor="text1"/>
                <w:sz w:val="16"/>
                <w:szCs w:val="16"/>
              </w:rPr>
              <w:t>сварочн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констр</w:t>
            </w:r>
            <w:proofErr w:type="spellEnd"/>
            <w:r w:rsidRPr="00A259BD">
              <w:rPr>
                <w:rFonts w:ascii="Times New Roman" w:hAnsi="Times New Roman"/>
                <w:color w:val="000000" w:themeColor="text1"/>
                <w:sz w:val="16"/>
                <w:szCs w:val="16"/>
              </w:rPr>
              <w:t>, прокат дюраля, производство турелей и др. Пулеметов для вооружения самолетов</w:t>
            </w:r>
          </w:p>
        </w:tc>
        <w:tc>
          <w:tcPr>
            <w:tcW w:w="2268" w:type="dxa"/>
          </w:tcPr>
          <w:p w14:paraId="520F18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w:t>
            </w:r>
          </w:p>
        </w:tc>
        <w:tc>
          <w:tcPr>
            <w:tcW w:w="1339" w:type="dxa"/>
          </w:tcPr>
          <w:p w14:paraId="282B72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Москва, з-д № 1 им. </w:t>
            </w:r>
            <w:proofErr w:type="spellStart"/>
            <w:r w:rsidRPr="00A259BD">
              <w:rPr>
                <w:rFonts w:ascii="Times New Roman" w:hAnsi="Times New Roman"/>
                <w:color w:val="000000" w:themeColor="text1"/>
                <w:sz w:val="16"/>
                <w:szCs w:val="16"/>
              </w:rPr>
              <w:t>Авиахима</w:t>
            </w:r>
            <w:proofErr w:type="spellEnd"/>
            <w:r w:rsidRPr="00A259BD">
              <w:rPr>
                <w:rFonts w:ascii="Times New Roman" w:hAnsi="Times New Roman"/>
                <w:color w:val="000000" w:themeColor="text1"/>
                <w:sz w:val="16"/>
                <w:szCs w:val="16"/>
              </w:rPr>
              <w:t xml:space="preserve">,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3</w:t>
            </w:r>
          </w:p>
        </w:tc>
        <w:tc>
          <w:tcPr>
            <w:tcW w:w="1339" w:type="dxa"/>
          </w:tcPr>
          <w:p w14:paraId="25CB62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Москва, завод № 1 им. </w:t>
            </w:r>
            <w:proofErr w:type="spellStart"/>
            <w:r w:rsidRPr="00A259BD">
              <w:rPr>
                <w:rFonts w:ascii="Times New Roman" w:hAnsi="Times New Roman"/>
                <w:color w:val="000000" w:themeColor="text1"/>
                <w:sz w:val="16"/>
                <w:szCs w:val="16"/>
              </w:rPr>
              <w:t>Авиахима</w:t>
            </w:r>
            <w:proofErr w:type="spellEnd"/>
          </w:p>
        </w:tc>
        <w:tc>
          <w:tcPr>
            <w:tcW w:w="1339" w:type="dxa"/>
          </w:tcPr>
          <w:p w14:paraId="067CCA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Москва, Завод первый</w:t>
            </w:r>
          </w:p>
        </w:tc>
      </w:tr>
      <w:tr w:rsidR="00A259BD" w:rsidRPr="00A259BD" w14:paraId="381438B0" w14:textId="77777777">
        <w:tc>
          <w:tcPr>
            <w:tcW w:w="534" w:type="dxa"/>
          </w:tcPr>
          <w:p w14:paraId="6A22B8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2126" w:type="dxa"/>
          </w:tcPr>
          <w:p w14:paraId="510295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24 им. Фрунзе</w:t>
            </w:r>
          </w:p>
        </w:tc>
        <w:tc>
          <w:tcPr>
            <w:tcW w:w="2268" w:type="dxa"/>
          </w:tcPr>
          <w:p w14:paraId="6B1F3F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моторов М5 и М2, ремонт моторов М5 и Либерти</w:t>
            </w:r>
          </w:p>
        </w:tc>
        <w:tc>
          <w:tcPr>
            <w:tcW w:w="2268" w:type="dxa"/>
          </w:tcPr>
          <w:p w14:paraId="28DA5D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w:t>
            </w:r>
          </w:p>
        </w:tc>
        <w:tc>
          <w:tcPr>
            <w:tcW w:w="1339" w:type="dxa"/>
          </w:tcPr>
          <w:p w14:paraId="5C441A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Москва 58,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2</w:t>
            </w:r>
          </w:p>
        </w:tc>
        <w:tc>
          <w:tcPr>
            <w:tcW w:w="1339" w:type="dxa"/>
          </w:tcPr>
          <w:p w14:paraId="3BA957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Москва, Завод № 24 им. Фрунзе</w:t>
            </w:r>
          </w:p>
        </w:tc>
        <w:tc>
          <w:tcPr>
            <w:tcW w:w="1339" w:type="dxa"/>
          </w:tcPr>
          <w:p w14:paraId="6A7C27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Москва, Завод № 24</w:t>
            </w:r>
          </w:p>
        </w:tc>
      </w:tr>
      <w:tr w:rsidR="00A259BD" w:rsidRPr="00A259BD" w14:paraId="5CB446D7" w14:textId="77777777">
        <w:tc>
          <w:tcPr>
            <w:tcW w:w="534" w:type="dxa"/>
          </w:tcPr>
          <w:p w14:paraId="7ACF9B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2126" w:type="dxa"/>
          </w:tcPr>
          <w:p w14:paraId="098840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22</w:t>
            </w:r>
          </w:p>
        </w:tc>
        <w:tc>
          <w:tcPr>
            <w:tcW w:w="2268" w:type="dxa"/>
          </w:tcPr>
          <w:p w14:paraId="4B1BDF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Металлическое самолетостроение</w:t>
            </w:r>
          </w:p>
        </w:tc>
        <w:tc>
          <w:tcPr>
            <w:tcW w:w="2268" w:type="dxa"/>
          </w:tcPr>
          <w:p w14:paraId="075166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w:t>
            </w:r>
          </w:p>
          <w:p w14:paraId="58C9E6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549022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 Фили МББ ж/д, 22</w:t>
            </w:r>
          </w:p>
          <w:p w14:paraId="388EB7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Почт. отд.,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2</w:t>
            </w:r>
          </w:p>
        </w:tc>
        <w:tc>
          <w:tcPr>
            <w:tcW w:w="1339" w:type="dxa"/>
          </w:tcPr>
          <w:p w14:paraId="561687B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 Фили МББ ж/д, з-д 22</w:t>
            </w:r>
          </w:p>
        </w:tc>
        <w:tc>
          <w:tcPr>
            <w:tcW w:w="1339" w:type="dxa"/>
          </w:tcPr>
          <w:p w14:paraId="3960C1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Ст.Фили</w:t>
            </w:r>
            <w:proofErr w:type="spellEnd"/>
            <w:r w:rsidRPr="00A259BD">
              <w:rPr>
                <w:rFonts w:ascii="Times New Roman" w:hAnsi="Times New Roman"/>
                <w:color w:val="000000" w:themeColor="text1"/>
                <w:sz w:val="16"/>
                <w:szCs w:val="16"/>
              </w:rPr>
              <w:t xml:space="preserve"> Белорусской, два</w:t>
            </w:r>
          </w:p>
          <w:p w14:paraId="4FD9418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CABAD6D" w14:textId="77777777">
        <w:tc>
          <w:tcPr>
            <w:tcW w:w="534" w:type="dxa"/>
          </w:tcPr>
          <w:p w14:paraId="0B0E7B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2126" w:type="dxa"/>
          </w:tcPr>
          <w:p w14:paraId="45AB5F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23</w:t>
            </w:r>
          </w:p>
        </w:tc>
        <w:tc>
          <w:tcPr>
            <w:tcW w:w="2268" w:type="dxa"/>
          </w:tcPr>
          <w:p w14:paraId="5A8D18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главном образом учебных самолетов и отчасти боевых самолетов и </w:t>
            </w:r>
            <w:proofErr w:type="spellStart"/>
            <w:r w:rsidRPr="00A259BD">
              <w:rPr>
                <w:rFonts w:ascii="Times New Roman" w:hAnsi="Times New Roman"/>
                <w:color w:val="000000" w:themeColor="text1"/>
                <w:sz w:val="16"/>
                <w:szCs w:val="16"/>
              </w:rPr>
              <w:t>др.констр</w:t>
            </w:r>
            <w:proofErr w:type="spellEnd"/>
            <w:r w:rsidRPr="00A259BD">
              <w:rPr>
                <w:rFonts w:ascii="Times New Roman" w:hAnsi="Times New Roman"/>
                <w:color w:val="000000" w:themeColor="text1"/>
                <w:sz w:val="16"/>
                <w:szCs w:val="16"/>
              </w:rPr>
              <w:t>.</w:t>
            </w:r>
          </w:p>
        </w:tc>
        <w:tc>
          <w:tcPr>
            <w:tcW w:w="2268" w:type="dxa"/>
          </w:tcPr>
          <w:p w14:paraId="71E2EFC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w:t>
            </w:r>
          </w:p>
        </w:tc>
        <w:tc>
          <w:tcPr>
            <w:tcW w:w="1339" w:type="dxa"/>
          </w:tcPr>
          <w:p w14:paraId="2A152D3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Ленинград 10, почт. отд.,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1</w:t>
            </w:r>
          </w:p>
        </w:tc>
        <w:tc>
          <w:tcPr>
            <w:tcW w:w="1339" w:type="dxa"/>
          </w:tcPr>
          <w:p w14:paraId="09753A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Ленинград, </w:t>
            </w:r>
            <w:proofErr w:type="spellStart"/>
            <w:r w:rsidRPr="00A259BD">
              <w:rPr>
                <w:rFonts w:ascii="Times New Roman" w:hAnsi="Times New Roman"/>
                <w:color w:val="000000" w:themeColor="text1"/>
                <w:sz w:val="16"/>
                <w:szCs w:val="16"/>
              </w:rPr>
              <w:t>заво</w:t>
            </w:r>
            <w:proofErr w:type="spellEnd"/>
            <w:r w:rsidRPr="00A259BD">
              <w:rPr>
                <w:rFonts w:ascii="Times New Roman" w:hAnsi="Times New Roman"/>
                <w:color w:val="000000" w:themeColor="text1"/>
                <w:sz w:val="16"/>
                <w:szCs w:val="16"/>
              </w:rPr>
              <w:t xml:space="preserve"> № 23, Новая деревня, Строгановская </w:t>
            </w:r>
            <w:proofErr w:type="spellStart"/>
            <w:r w:rsidRPr="00A259BD">
              <w:rPr>
                <w:rFonts w:ascii="Times New Roman" w:hAnsi="Times New Roman"/>
                <w:color w:val="000000" w:themeColor="text1"/>
                <w:sz w:val="16"/>
                <w:szCs w:val="16"/>
              </w:rPr>
              <w:t>наб</w:t>
            </w:r>
            <w:proofErr w:type="spellEnd"/>
            <w:r w:rsidRPr="00A259BD">
              <w:rPr>
                <w:rFonts w:ascii="Times New Roman" w:hAnsi="Times New Roman"/>
                <w:color w:val="000000" w:themeColor="text1"/>
                <w:sz w:val="16"/>
                <w:szCs w:val="16"/>
              </w:rPr>
              <w:t>, № 1</w:t>
            </w:r>
          </w:p>
        </w:tc>
        <w:tc>
          <w:tcPr>
            <w:tcW w:w="1339" w:type="dxa"/>
          </w:tcPr>
          <w:p w14:paraId="71531D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Ленинград, Гайка.</w:t>
            </w:r>
          </w:p>
        </w:tc>
      </w:tr>
      <w:tr w:rsidR="00A259BD" w:rsidRPr="00A259BD" w14:paraId="19FE6357" w14:textId="77777777">
        <w:tc>
          <w:tcPr>
            <w:tcW w:w="534" w:type="dxa"/>
          </w:tcPr>
          <w:p w14:paraId="0128E1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c>
          <w:tcPr>
            <w:tcW w:w="2126" w:type="dxa"/>
          </w:tcPr>
          <w:p w14:paraId="186485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25</w:t>
            </w:r>
          </w:p>
        </w:tc>
        <w:tc>
          <w:tcPr>
            <w:tcW w:w="2268" w:type="dxa"/>
          </w:tcPr>
          <w:p w14:paraId="635C997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Опытное самолетостроение -сухопутное.</w:t>
            </w:r>
          </w:p>
        </w:tc>
        <w:tc>
          <w:tcPr>
            <w:tcW w:w="2268" w:type="dxa"/>
          </w:tcPr>
          <w:p w14:paraId="7277A84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w:t>
            </w:r>
          </w:p>
        </w:tc>
        <w:tc>
          <w:tcPr>
            <w:tcW w:w="1339" w:type="dxa"/>
          </w:tcPr>
          <w:p w14:paraId="737EB51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Москва 40,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2</w:t>
            </w:r>
          </w:p>
        </w:tc>
        <w:tc>
          <w:tcPr>
            <w:tcW w:w="1339" w:type="dxa"/>
          </w:tcPr>
          <w:p w14:paraId="5EF6B17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Москва, Завод № 25, Ленинградское ш., Авиационный проезд, д. 5</w:t>
            </w:r>
          </w:p>
        </w:tc>
        <w:tc>
          <w:tcPr>
            <w:tcW w:w="1339" w:type="dxa"/>
          </w:tcPr>
          <w:p w14:paraId="3901ED6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Москва, Завод двадцать пять</w:t>
            </w:r>
          </w:p>
        </w:tc>
      </w:tr>
      <w:tr w:rsidR="00A259BD" w:rsidRPr="00A259BD" w14:paraId="3D4B1448" w14:textId="77777777">
        <w:tc>
          <w:tcPr>
            <w:tcW w:w="534" w:type="dxa"/>
          </w:tcPr>
          <w:p w14:paraId="4F35B3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tc>
        <w:tc>
          <w:tcPr>
            <w:tcW w:w="2126" w:type="dxa"/>
          </w:tcPr>
          <w:p w14:paraId="5A449B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26 им. Павлова</w:t>
            </w:r>
          </w:p>
        </w:tc>
        <w:tc>
          <w:tcPr>
            <w:tcW w:w="2268" w:type="dxa"/>
          </w:tcPr>
          <w:p w14:paraId="15109E9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М-17</w:t>
            </w:r>
          </w:p>
        </w:tc>
        <w:tc>
          <w:tcPr>
            <w:tcW w:w="2268" w:type="dxa"/>
          </w:tcPr>
          <w:p w14:paraId="39A0879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w:t>
            </w:r>
          </w:p>
        </w:tc>
        <w:tc>
          <w:tcPr>
            <w:tcW w:w="1339" w:type="dxa"/>
          </w:tcPr>
          <w:p w14:paraId="5E7F181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Рыбинск,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20</w:t>
            </w:r>
          </w:p>
        </w:tc>
        <w:tc>
          <w:tcPr>
            <w:tcW w:w="1339" w:type="dxa"/>
          </w:tcPr>
          <w:p w14:paraId="4CCC92A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Рыбинск, з-д № 26 им. </w:t>
            </w:r>
            <w:proofErr w:type="spellStart"/>
            <w:r w:rsidRPr="00A259BD">
              <w:rPr>
                <w:rFonts w:ascii="Times New Roman" w:hAnsi="Times New Roman"/>
                <w:color w:val="000000" w:themeColor="text1"/>
                <w:sz w:val="16"/>
                <w:szCs w:val="16"/>
              </w:rPr>
              <w:t>В.И.Павлова</w:t>
            </w:r>
            <w:proofErr w:type="spellEnd"/>
          </w:p>
        </w:tc>
        <w:tc>
          <w:tcPr>
            <w:tcW w:w="1339" w:type="dxa"/>
          </w:tcPr>
          <w:p w14:paraId="5F222D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Рыбинск, завод “двадцать”</w:t>
            </w:r>
          </w:p>
        </w:tc>
      </w:tr>
      <w:tr w:rsidR="00A259BD" w:rsidRPr="00A259BD" w14:paraId="507BFB7B" w14:textId="77777777">
        <w:tc>
          <w:tcPr>
            <w:tcW w:w="534" w:type="dxa"/>
          </w:tcPr>
          <w:p w14:paraId="0455F2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tc>
        <w:tc>
          <w:tcPr>
            <w:tcW w:w="2126" w:type="dxa"/>
          </w:tcPr>
          <w:p w14:paraId="703321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28</w:t>
            </w:r>
          </w:p>
        </w:tc>
        <w:tc>
          <w:tcPr>
            <w:tcW w:w="2268" w:type="dxa"/>
          </w:tcPr>
          <w:p w14:paraId="74AB646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Винто</w:t>
            </w:r>
            <w:proofErr w:type="spellEnd"/>
            <w:r w:rsidRPr="00A259BD">
              <w:rPr>
                <w:rFonts w:ascii="Times New Roman" w:hAnsi="Times New Roman"/>
                <w:color w:val="000000" w:themeColor="text1"/>
                <w:sz w:val="16"/>
                <w:szCs w:val="16"/>
              </w:rPr>
              <w:t>-лыжное производство</w:t>
            </w:r>
          </w:p>
        </w:tc>
        <w:tc>
          <w:tcPr>
            <w:tcW w:w="2268" w:type="dxa"/>
          </w:tcPr>
          <w:p w14:paraId="6E38F6D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w:t>
            </w:r>
          </w:p>
        </w:tc>
        <w:tc>
          <w:tcPr>
            <w:tcW w:w="1339" w:type="dxa"/>
          </w:tcPr>
          <w:p w14:paraId="1A61EA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Москва 22, </w:t>
            </w:r>
            <w:proofErr w:type="spellStart"/>
            <w:r w:rsidRPr="00A259BD">
              <w:rPr>
                <w:rFonts w:ascii="Times New Roman" w:hAnsi="Times New Roman"/>
                <w:color w:val="000000" w:themeColor="text1"/>
                <w:sz w:val="16"/>
                <w:szCs w:val="16"/>
              </w:rPr>
              <w:t>поч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2263</w:t>
            </w:r>
          </w:p>
        </w:tc>
        <w:tc>
          <w:tcPr>
            <w:tcW w:w="1339" w:type="dxa"/>
          </w:tcPr>
          <w:p w14:paraId="39654F6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Москва, з-д № 28, Грузин. Ул., Столярный пер., д. 5</w:t>
            </w:r>
          </w:p>
        </w:tc>
        <w:tc>
          <w:tcPr>
            <w:tcW w:w="1339" w:type="dxa"/>
          </w:tcPr>
          <w:p w14:paraId="7EA30E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Москва, завод № 28</w:t>
            </w:r>
          </w:p>
        </w:tc>
      </w:tr>
      <w:tr w:rsidR="00A259BD" w:rsidRPr="00A259BD" w14:paraId="037F2F41" w14:textId="77777777">
        <w:tc>
          <w:tcPr>
            <w:tcW w:w="534" w:type="dxa"/>
          </w:tcPr>
          <w:p w14:paraId="3F6B87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tc>
        <w:tc>
          <w:tcPr>
            <w:tcW w:w="2126" w:type="dxa"/>
          </w:tcPr>
          <w:p w14:paraId="1B30C6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29</w:t>
            </w:r>
          </w:p>
        </w:tc>
        <w:tc>
          <w:tcPr>
            <w:tcW w:w="2268" w:type="dxa"/>
          </w:tcPr>
          <w:p w14:paraId="393030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моторов М-6, М-11, отчасти </w:t>
            </w:r>
            <w:proofErr w:type="spellStart"/>
            <w:r w:rsidRPr="00A259BD">
              <w:rPr>
                <w:rFonts w:ascii="Times New Roman" w:hAnsi="Times New Roman"/>
                <w:color w:val="000000" w:themeColor="text1"/>
                <w:sz w:val="16"/>
                <w:szCs w:val="16"/>
              </w:rPr>
              <w:t>опытн</w:t>
            </w:r>
            <w:proofErr w:type="spellEnd"/>
            <w:r w:rsidRPr="00A259BD">
              <w:rPr>
                <w:rFonts w:ascii="Times New Roman" w:hAnsi="Times New Roman"/>
                <w:color w:val="000000" w:themeColor="text1"/>
                <w:sz w:val="16"/>
                <w:szCs w:val="16"/>
              </w:rPr>
              <w:t>. образцов и  подготовка к мотору М19-Ю6</w:t>
            </w:r>
          </w:p>
        </w:tc>
        <w:tc>
          <w:tcPr>
            <w:tcW w:w="2268" w:type="dxa"/>
          </w:tcPr>
          <w:p w14:paraId="08B30B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w:t>
            </w:r>
          </w:p>
        </w:tc>
        <w:tc>
          <w:tcPr>
            <w:tcW w:w="1339" w:type="dxa"/>
          </w:tcPr>
          <w:p w14:paraId="57D8789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Запорожье,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3</w:t>
            </w:r>
          </w:p>
        </w:tc>
        <w:tc>
          <w:tcPr>
            <w:tcW w:w="1339" w:type="dxa"/>
          </w:tcPr>
          <w:p w14:paraId="2696E6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Запорожье, з-д № 29, пл. Тараса Шевченко</w:t>
            </w:r>
          </w:p>
        </w:tc>
        <w:tc>
          <w:tcPr>
            <w:tcW w:w="1339" w:type="dxa"/>
          </w:tcPr>
          <w:p w14:paraId="061234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Запорожье. “Суппорт”</w:t>
            </w:r>
          </w:p>
        </w:tc>
      </w:tr>
      <w:tr w:rsidR="00A259BD" w:rsidRPr="00A259BD" w14:paraId="761F4895" w14:textId="77777777">
        <w:tc>
          <w:tcPr>
            <w:tcW w:w="534" w:type="dxa"/>
          </w:tcPr>
          <w:p w14:paraId="414481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w:t>
            </w:r>
          </w:p>
        </w:tc>
        <w:tc>
          <w:tcPr>
            <w:tcW w:w="2126" w:type="dxa"/>
          </w:tcPr>
          <w:p w14:paraId="7C1EFC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31</w:t>
            </w:r>
          </w:p>
        </w:tc>
        <w:tc>
          <w:tcPr>
            <w:tcW w:w="2268" w:type="dxa"/>
          </w:tcPr>
          <w:p w14:paraId="4BDA86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Самолетостроение </w:t>
            </w:r>
            <w:proofErr w:type="spellStart"/>
            <w:r w:rsidRPr="00A259BD">
              <w:rPr>
                <w:rFonts w:ascii="Times New Roman" w:hAnsi="Times New Roman"/>
                <w:color w:val="000000" w:themeColor="text1"/>
                <w:sz w:val="16"/>
                <w:szCs w:val="16"/>
              </w:rPr>
              <w:t>сухщпутных</w:t>
            </w:r>
            <w:proofErr w:type="spellEnd"/>
            <w:r w:rsidRPr="00A259BD">
              <w:rPr>
                <w:rFonts w:ascii="Times New Roman" w:hAnsi="Times New Roman"/>
                <w:color w:val="000000" w:themeColor="text1"/>
                <w:sz w:val="16"/>
                <w:szCs w:val="16"/>
              </w:rPr>
              <w:t xml:space="preserve"> и морских деревянных </w:t>
            </w:r>
            <w:proofErr w:type="spellStart"/>
            <w:r w:rsidRPr="00A259BD">
              <w:rPr>
                <w:rFonts w:ascii="Times New Roman" w:hAnsi="Times New Roman"/>
                <w:color w:val="000000" w:themeColor="text1"/>
                <w:sz w:val="16"/>
                <w:szCs w:val="16"/>
              </w:rPr>
              <w:t>констр</w:t>
            </w:r>
            <w:proofErr w:type="spellEnd"/>
            <w:r w:rsidRPr="00A259BD">
              <w:rPr>
                <w:rFonts w:ascii="Times New Roman" w:hAnsi="Times New Roman"/>
                <w:color w:val="000000" w:themeColor="text1"/>
                <w:sz w:val="16"/>
                <w:szCs w:val="16"/>
              </w:rPr>
              <w:t>.</w:t>
            </w:r>
          </w:p>
        </w:tc>
        <w:tc>
          <w:tcPr>
            <w:tcW w:w="2268" w:type="dxa"/>
          </w:tcPr>
          <w:p w14:paraId="1956E06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w:t>
            </w:r>
          </w:p>
        </w:tc>
        <w:tc>
          <w:tcPr>
            <w:tcW w:w="1339" w:type="dxa"/>
          </w:tcPr>
          <w:p w14:paraId="34EC4E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Тагангор</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поч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19</w:t>
            </w:r>
          </w:p>
        </w:tc>
        <w:tc>
          <w:tcPr>
            <w:tcW w:w="1339" w:type="dxa"/>
          </w:tcPr>
          <w:p w14:paraId="68859DB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Таганрог, з-д № 31, </w:t>
            </w:r>
            <w:proofErr w:type="spellStart"/>
            <w:r w:rsidRPr="00A259BD">
              <w:rPr>
                <w:rFonts w:ascii="Times New Roman" w:hAnsi="Times New Roman"/>
                <w:color w:val="000000" w:themeColor="text1"/>
                <w:sz w:val="16"/>
                <w:szCs w:val="16"/>
              </w:rPr>
              <w:t>Каринтин</w:t>
            </w:r>
            <w:proofErr w:type="spellEnd"/>
          </w:p>
        </w:tc>
        <w:tc>
          <w:tcPr>
            <w:tcW w:w="1339" w:type="dxa"/>
          </w:tcPr>
          <w:p w14:paraId="690168D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Таганрог, Техника</w:t>
            </w:r>
          </w:p>
        </w:tc>
      </w:tr>
      <w:tr w:rsidR="00A259BD" w:rsidRPr="00A259BD" w14:paraId="46F64D82" w14:textId="77777777">
        <w:tc>
          <w:tcPr>
            <w:tcW w:w="534" w:type="dxa"/>
          </w:tcPr>
          <w:p w14:paraId="293065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10.</w:t>
            </w:r>
          </w:p>
        </w:tc>
        <w:tc>
          <w:tcPr>
            <w:tcW w:w="2126" w:type="dxa"/>
          </w:tcPr>
          <w:p w14:paraId="40B1E2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36</w:t>
            </w:r>
          </w:p>
        </w:tc>
        <w:tc>
          <w:tcPr>
            <w:tcW w:w="2268" w:type="dxa"/>
          </w:tcPr>
          <w:p w14:paraId="033D83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аэрола</w:t>
            </w:r>
            <w:r w:rsidRPr="00A259BD">
              <w:rPr>
                <w:rFonts w:ascii="Times New Roman" w:hAnsi="Times New Roman"/>
                <w:color w:val="000000" w:themeColor="text1"/>
                <w:sz w:val="16"/>
                <w:szCs w:val="16"/>
              </w:rPr>
              <w:softHyphen/>
              <w:t>ков.</w:t>
            </w:r>
          </w:p>
        </w:tc>
        <w:tc>
          <w:tcPr>
            <w:tcW w:w="2268" w:type="dxa"/>
          </w:tcPr>
          <w:p w14:paraId="69F257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w:t>
            </w:r>
          </w:p>
        </w:tc>
        <w:tc>
          <w:tcPr>
            <w:tcW w:w="1339" w:type="dxa"/>
          </w:tcPr>
          <w:p w14:paraId="11080B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Москва 59,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1</w:t>
            </w:r>
          </w:p>
        </w:tc>
        <w:tc>
          <w:tcPr>
            <w:tcW w:w="1339" w:type="dxa"/>
          </w:tcPr>
          <w:p w14:paraId="7CBF8A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Москва з-д № 36. </w:t>
            </w:r>
            <w:proofErr w:type="spellStart"/>
            <w:r w:rsidRPr="00A259BD">
              <w:rPr>
                <w:rFonts w:ascii="Times New Roman" w:hAnsi="Times New Roman"/>
                <w:color w:val="000000" w:themeColor="text1"/>
                <w:sz w:val="16"/>
                <w:szCs w:val="16"/>
              </w:rPr>
              <w:t>Догомилов</w:t>
            </w:r>
            <w:proofErr w:type="spellEnd"/>
            <w:r w:rsidRPr="00A259BD">
              <w:rPr>
                <w:rFonts w:ascii="Times New Roman" w:hAnsi="Times New Roman"/>
                <w:color w:val="000000" w:themeColor="text1"/>
                <w:sz w:val="16"/>
                <w:szCs w:val="16"/>
              </w:rPr>
              <w:t>. Застава,</w:t>
            </w:r>
          </w:p>
          <w:p w14:paraId="5B434B8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Можайское шоссе, № 114</w:t>
            </w:r>
          </w:p>
        </w:tc>
        <w:tc>
          <w:tcPr>
            <w:tcW w:w="1339" w:type="dxa"/>
          </w:tcPr>
          <w:p w14:paraId="3FB612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Москва, </w:t>
            </w:r>
            <w:proofErr w:type="spellStart"/>
            <w:r w:rsidRPr="00A259BD">
              <w:rPr>
                <w:rFonts w:ascii="Times New Roman" w:hAnsi="Times New Roman"/>
                <w:color w:val="000000" w:themeColor="text1"/>
                <w:sz w:val="16"/>
                <w:szCs w:val="16"/>
              </w:rPr>
              <w:t>Целлонит</w:t>
            </w:r>
            <w:proofErr w:type="spellEnd"/>
          </w:p>
        </w:tc>
      </w:tr>
      <w:tr w:rsidR="00A259BD" w:rsidRPr="00A259BD" w14:paraId="68B6FC20" w14:textId="77777777">
        <w:tc>
          <w:tcPr>
            <w:tcW w:w="534" w:type="dxa"/>
          </w:tcPr>
          <w:p w14:paraId="720860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w:t>
            </w:r>
          </w:p>
        </w:tc>
        <w:tc>
          <w:tcPr>
            <w:tcW w:w="2126" w:type="dxa"/>
          </w:tcPr>
          <w:p w14:paraId="467C13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12 “Радио”</w:t>
            </w:r>
          </w:p>
        </w:tc>
        <w:tc>
          <w:tcPr>
            <w:tcW w:w="2268" w:type="dxa"/>
          </w:tcPr>
          <w:p w14:paraId="20FBA1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w:t>
            </w:r>
            <w:proofErr w:type="spellStart"/>
            <w:r w:rsidRPr="00A259BD">
              <w:rPr>
                <w:rFonts w:ascii="Times New Roman" w:hAnsi="Times New Roman"/>
                <w:color w:val="000000" w:themeColor="text1"/>
                <w:sz w:val="16"/>
                <w:szCs w:val="16"/>
              </w:rPr>
              <w:t>авиасвечей</w:t>
            </w:r>
            <w:proofErr w:type="spellEnd"/>
          </w:p>
        </w:tc>
        <w:tc>
          <w:tcPr>
            <w:tcW w:w="2268" w:type="dxa"/>
          </w:tcPr>
          <w:p w14:paraId="707BBC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Радиоаппаратура</w:t>
            </w:r>
          </w:p>
        </w:tc>
        <w:tc>
          <w:tcPr>
            <w:tcW w:w="1339" w:type="dxa"/>
          </w:tcPr>
          <w:p w14:paraId="5605B6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Москва 61, почт. отд., з-д № 12 Радио</w:t>
            </w:r>
          </w:p>
        </w:tc>
        <w:tc>
          <w:tcPr>
            <w:tcW w:w="1339" w:type="dxa"/>
          </w:tcPr>
          <w:p w14:paraId="343133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Москва, з-д № 12 Радио, Черкизово, </w:t>
            </w:r>
            <w:proofErr w:type="spellStart"/>
            <w:r w:rsidRPr="00A259BD">
              <w:rPr>
                <w:rFonts w:ascii="Times New Roman" w:hAnsi="Times New Roman"/>
                <w:color w:val="000000" w:themeColor="text1"/>
                <w:sz w:val="16"/>
                <w:szCs w:val="16"/>
              </w:rPr>
              <w:t>Кам</w:t>
            </w:r>
            <w:proofErr w:type="spellEnd"/>
            <w:r w:rsidRPr="00A259BD">
              <w:rPr>
                <w:rFonts w:ascii="Times New Roman" w:hAnsi="Times New Roman"/>
                <w:color w:val="000000" w:themeColor="text1"/>
                <w:sz w:val="16"/>
                <w:szCs w:val="16"/>
              </w:rPr>
              <w:t>. Колл. Вал, 5</w:t>
            </w:r>
          </w:p>
        </w:tc>
        <w:tc>
          <w:tcPr>
            <w:tcW w:w="1339" w:type="dxa"/>
          </w:tcPr>
          <w:p w14:paraId="5E972D7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Москва, Радио 12</w:t>
            </w:r>
          </w:p>
        </w:tc>
      </w:tr>
      <w:tr w:rsidR="00A259BD" w:rsidRPr="00A259BD" w14:paraId="3B2F0AB6" w14:textId="77777777">
        <w:tc>
          <w:tcPr>
            <w:tcW w:w="534" w:type="dxa"/>
          </w:tcPr>
          <w:p w14:paraId="4EF33A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w:t>
            </w:r>
          </w:p>
        </w:tc>
        <w:tc>
          <w:tcPr>
            <w:tcW w:w="2126" w:type="dxa"/>
          </w:tcPr>
          <w:p w14:paraId="641F03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41</w:t>
            </w:r>
          </w:p>
        </w:tc>
        <w:tc>
          <w:tcPr>
            <w:tcW w:w="2268" w:type="dxa"/>
          </w:tcPr>
          <w:p w14:paraId="14E91E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Лесопильный.</w:t>
            </w:r>
          </w:p>
        </w:tc>
        <w:tc>
          <w:tcPr>
            <w:tcW w:w="2268" w:type="dxa"/>
          </w:tcPr>
          <w:p w14:paraId="4E51B3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w:t>
            </w:r>
          </w:p>
        </w:tc>
        <w:tc>
          <w:tcPr>
            <w:tcW w:w="1339" w:type="dxa"/>
          </w:tcPr>
          <w:p w14:paraId="2F6E0C3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Москва 22, почт. отд.,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2263</w:t>
            </w:r>
          </w:p>
        </w:tc>
        <w:tc>
          <w:tcPr>
            <w:tcW w:w="1339" w:type="dxa"/>
          </w:tcPr>
          <w:p w14:paraId="2BD849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Москва, Марьина роща, Полковая ул., д. 10</w:t>
            </w:r>
          </w:p>
        </w:tc>
        <w:tc>
          <w:tcPr>
            <w:tcW w:w="1339" w:type="dxa"/>
          </w:tcPr>
          <w:p w14:paraId="238EDF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Москва, з-д № 28</w:t>
            </w:r>
          </w:p>
        </w:tc>
      </w:tr>
      <w:tr w:rsidR="00A259BD" w:rsidRPr="00A259BD" w14:paraId="4414697F" w14:textId="77777777">
        <w:tc>
          <w:tcPr>
            <w:tcW w:w="534" w:type="dxa"/>
          </w:tcPr>
          <w:p w14:paraId="16BAB1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w:t>
            </w:r>
          </w:p>
        </w:tc>
        <w:tc>
          <w:tcPr>
            <w:tcW w:w="2126" w:type="dxa"/>
          </w:tcPr>
          <w:p w14:paraId="133462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Опытный отдел № 2</w:t>
            </w:r>
          </w:p>
        </w:tc>
        <w:tc>
          <w:tcPr>
            <w:tcW w:w="2268" w:type="dxa"/>
          </w:tcPr>
          <w:p w14:paraId="5BAA4D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Опытное моторостроение</w:t>
            </w:r>
          </w:p>
        </w:tc>
        <w:tc>
          <w:tcPr>
            <w:tcW w:w="2268" w:type="dxa"/>
          </w:tcPr>
          <w:p w14:paraId="2F6830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w:t>
            </w:r>
          </w:p>
        </w:tc>
        <w:tc>
          <w:tcPr>
            <w:tcW w:w="1339" w:type="dxa"/>
          </w:tcPr>
          <w:p w14:paraId="4B1C4E2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Москва 58,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2</w:t>
            </w:r>
          </w:p>
        </w:tc>
        <w:tc>
          <w:tcPr>
            <w:tcW w:w="1339" w:type="dxa"/>
          </w:tcPr>
          <w:p w14:paraId="17EFAE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Москва, Завод № 24 им. Фрунзе, Семеновская застава, </w:t>
            </w:r>
            <w:proofErr w:type="spellStart"/>
            <w:r w:rsidRPr="00A259BD">
              <w:rPr>
                <w:rFonts w:ascii="Times New Roman" w:hAnsi="Times New Roman"/>
                <w:color w:val="000000" w:themeColor="text1"/>
                <w:sz w:val="16"/>
                <w:szCs w:val="16"/>
              </w:rPr>
              <w:t>Мейеровский</w:t>
            </w:r>
            <w:proofErr w:type="spellEnd"/>
            <w:r w:rsidRPr="00A259BD">
              <w:rPr>
                <w:rFonts w:ascii="Times New Roman" w:hAnsi="Times New Roman"/>
                <w:color w:val="000000" w:themeColor="text1"/>
                <w:sz w:val="16"/>
                <w:szCs w:val="16"/>
              </w:rPr>
              <w:t xml:space="preserve"> проезд, д. 14</w:t>
            </w:r>
          </w:p>
        </w:tc>
        <w:tc>
          <w:tcPr>
            <w:tcW w:w="1339" w:type="dxa"/>
          </w:tcPr>
          <w:p w14:paraId="610627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Москва, завод № 24</w:t>
            </w:r>
          </w:p>
        </w:tc>
      </w:tr>
      <w:tr w:rsidR="00A259BD" w:rsidRPr="00A259BD" w14:paraId="0126054F" w14:textId="77777777">
        <w:tc>
          <w:tcPr>
            <w:tcW w:w="534" w:type="dxa"/>
          </w:tcPr>
          <w:p w14:paraId="5E2016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w:t>
            </w:r>
          </w:p>
        </w:tc>
        <w:tc>
          <w:tcPr>
            <w:tcW w:w="2126" w:type="dxa"/>
          </w:tcPr>
          <w:p w14:paraId="0FFFFC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Рпытный</w:t>
            </w:r>
            <w:proofErr w:type="spellEnd"/>
            <w:r w:rsidRPr="00A259BD">
              <w:rPr>
                <w:rFonts w:ascii="Times New Roman" w:hAnsi="Times New Roman"/>
                <w:color w:val="000000" w:themeColor="text1"/>
                <w:sz w:val="16"/>
                <w:szCs w:val="16"/>
              </w:rPr>
              <w:t xml:space="preserve"> отдел № 3</w:t>
            </w:r>
          </w:p>
        </w:tc>
        <w:tc>
          <w:tcPr>
            <w:tcW w:w="2268" w:type="dxa"/>
          </w:tcPr>
          <w:p w14:paraId="6A7C90F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Опытное морское самолетостроение</w:t>
            </w:r>
          </w:p>
        </w:tc>
        <w:tc>
          <w:tcPr>
            <w:tcW w:w="2268" w:type="dxa"/>
          </w:tcPr>
          <w:p w14:paraId="47D247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w:t>
            </w:r>
          </w:p>
        </w:tc>
        <w:tc>
          <w:tcPr>
            <w:tcW w:w="1339" w:type="dxa"/>
          </w:tcPr>
          <w:p w14:paraId="69135E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Фили, МББ, почт. </w:t>
            </w:r>
            <w:proofErr w:type="spellStart"/>
            <w:r w:rsidRPr="00A259BD">
              <w:rPr>
                <w:rFonts w:ascii="Times New Roman" w:hAnsi="Times New Roman"/>
                <w:color w:val="000000" w:themeColor="text1"/>
                <w:sz w:val="16"/>
                <w:szCs w:val="16"/>
              </w:rPr>
              <w:t>ящ</w:t>
            </w:r>
            <w:proofErr w:type="spellEnd"/>
            <w:r w:rsidRPr="00A259BD">
              <w:rPr>
                <w:rFonts w:ascii="Times New Roman" w:hAnsi="Times New Roman"/>
                <w:color w:val="000000" w:themeColor="text1"/>
                <w:sz w:val="16"/>
                <w:szCs w:val="16"/>
              </w:rPr>
              <w:t>. № 2</w:t>
            </w:r>
          </w:p>
        </w:tc>
        <w:tc>
          <w:tcPr>
            <w:tcW w:w="1339" w:type="dxa"/>
          </w:tcPr>
          <w:p w14:paraId="2725107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 Фили МББ ж/д, </w:t>
            </w:r>
            <w:proofErr w:type="spellStart"/>
            <w:r w:rsidRPr="00A259BD">
              <w:rPr>
                <w:rFonts w:ascii="Times New Roman" w:hAnsi="Times New Roman"/>
                <w:color w:val="000000" w:themeColor="text1"/>
                <w:sz w:val="16"/>
                <w:szCs w:val="16"/>
              </w:rPr>
              <w:t>Опытн</w:t>
            </w:r>
            <w:proofErr w:type="spellEnd"/>
            <w:r w:rsidRPr="00A259BD">
              <w:rPr>
                <w:rFonts w:ascii="Times New Roman" w:hAnsi="Times New Roman"/>
                <w:color w:val="000000" w:themeColor="text1"/>
                <w:sz w:val="16"/>
                <w:szCs w:val="16"/>
              </w:rPr>
              <w:t>. отдел № 3</w:t>
            </w:r>
          </w:p>
        </w:tc>
        <w:tc>
          <w:tcPr>
            <w:tcW w:w="1339" w:type="dxa"/>
          </w:tcPr>
          <w:p w14:paraId="53F5360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Фили Белорусской, два</w:t>
            </w:r>
          </w:p>
        </w:tc>
      </w:tr>
      <w:tr w:rsidR="00A259BD" w:rsidRPr="00A259BD" w14:paraId="0996FF66" w14:textId="77777777">
        <w:tc>
          <w:tcPr>
            <w:tcW w:w="534" w:type="dxa"/>
            <w:tcBorders>
              <w:bottom w:val="single" w:sz="12" w:space="0" w:color="auto"/>
            </w:tcBorders>
          </w:tcPr>
          <w:p w14:paraId="2AA650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w:t>
            </w:r>
          </w:p>
        </w:tc>
        <w:tc>
          <w:tcPr>
            <w:tcW w:w="2126" w:type="dxa"/>
            <w:tcBorders>
              <w:bottom w:val="single" w:sz="12" w:space="0" w:color="auto"/>
            </w:tcBorders>
          </w:tcPr>
          <w:p w14:paraId="496F51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Склад № 2</w:t>
            </w:r>
          </w:p>
        </w:tc>
        <w:tc>
          <w:tcPr>
            <w:tcW w:w="2268" w:type="dxa"/>
            <w:tcBorders>
              <w:bottom w:val="single" w:sz="12" w:space="0" w:color="auto"/>
            </w:tcBorders>
          </w:tcPr>
          <w:p w14:paraId="4E8D15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bottom w:val="single" w:sz="12" w:space="0" w:color="auto"/>
            </w:tcBorders>
          </w:tcPr>
          <w:p w14:paraId="15703B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Borders>
              <w:bottom w:val="single" w:sz="12" w:space="0" w:color="auto"/>
            </w:tcBorders>
          </w:tcPr>
          <w:p w14:paraId="0D9448B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Borders>
              <w:bottom w:val="single" w:sz="12" w:space="0" w:color="auto"/>
            </w:tcBorders>
          </w:tcPr>
          <w:p w14:paraId="0CB5720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Склад № 2, Москва, 2-я Рыбинская ул., склад № 2 МСПО</w:t>
            </w:r>
          </w:p>
        </w:tc>
        <w:tc>
          <w:tcPr>
            <w:tcW w:w="1339" w:type="dxa"/>
            <w:tcBorders>
              <w:bottom w:val="single" w:sz="12" w:space="0" w:color="auto"/>
            </w:tcBorders>
          </w:tcPr>
          <w:p w14:paraId="27E4A4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Москва, Склад № 2</w:t>
            </w:r>
          </w:p>
        </w:tc>
      </w:tr>
    </w:tbl>
    <w:p w14:paraId="00D098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(8826).</w:t>
      </w:r>
    </w:p>
    <w:p w14:paraId="5D76C2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0654EF" w14:textId="77777777" w:rsidR="007548ED"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DF531A8" w14:textId="77777777" w:rsidR="007548ED" w:rsidRPr="00A259BD" w:rsidRDefault="007548E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27EFC4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января 1929 г. — Из доклада Президиума ВСНХ СССР в РЗ СТО СССР о мобилизационной готовности промышленности на 1 октября 1928 г.</w:t>
      </w:r>
    </w:p>
    <w:p w14:paraId="1CA03E2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Совершенно секретно.</w:t>
      </w:r>
    </w:p>
    <w:p w14:paraId="4A7C3CC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III. Характеристика удовлетворения заявки НКВМ по главнейшим номенклатурам¹*</w:t>
      </w:r>
    </w:p>
    <w:p w14:paraId="1B34480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Ручное оружие и </w:t>
      </w:r>
      <w:proofErr w:type="spellStart"/>
      <w:r w:rsidRPr="00A259BD">
        <w:rPr>
          <w:rFonts w:ascii="Times New Roman" w:hAnsi="Times New Roman"/>
          <w:color w:val="000000" w:themeColor="text1"/>
          <w:sz w:val="16"/>
          <w:szCs w:val="16"/>
        </w:rPr>
        <w:t>винтпатроны</w:t>
      </w:r>
      <w:proofErr w:type="spellEnd"/>
    </w:p>
    <w:p w14:paraId="3FBC150D"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1. Трехлетняя заявка НКВД — 1275 тыс. винтовок, в том числе автоматических — 50 тыс. шт. Образец последних еще не установлен, чертежей и технических условий нет. 35 тыс. шт. пулеметов Дегтярева; 26,7 тыс. шт. пулеметов Максима; 7,2 тыс. шт. легких пулеметов, образец которых еще не установлен; чертежей и технических условий нет.</w:t>
      </w:r>
    </w:p>
    <w:p w14:paraId="2D806BC4"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Мощность на 1 октября 1928 г. по 3</w:t>
      </w:r>
      <w:r w:rsidRPr="00A259BD">
        <w:rPr>
          <w:color w:val="000000" w:themeColor="text1"/>
          <w:sz w:val="16"/>
          <w:szCs w:val="16"/>
        </w:rPr>
        <w:noBreakHyphen/>
        <w:t>линейным винтовкам — 870 тыс. шт., что составляет 68,4% трехлетней заявки; по ручным пулеметам — 20 тыс. шт., что составляет 57,2% трехлетней заявки и по станковым — 10,8 тыс. шт., что составляет 40,4% трехлетней заявки. По плану литеры «С» мощность по винтовкам доводится на 1 апреля 1930 г. до 1 млн. шт., или 78,7% трехлетней заявки; по ручным пулеметом на 1 января 1930 г. — до 27 тыс. шт., или 77,7% трехлетней заявки и по станковым — 27</w:t>
      </w:r>
      <w:r w:rsidRPr="00A259BD">
        <w:rPr>
          <w:color w:val="000000" w:themeColor="text1"/>
          <w:sz w:val="16"/>
          <w:szCs w:val="16"/>
        </w:rPr>
        <w:noBreakHyphen/>
        <w:t>28 тыс. учетных единиц (21,7 тыс. абсолютных единиц), или 81,3%, трехлетней заявки. Перспективы развертывания производства по автоматической винтовке и легким пулеметам не могут быть указаны в связи с отсутствием образцов.</w:t>
      </w:r>
    </w:p>
    <w:p w14:paraId="32B30217"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Слабыми местами производства ручного оружия в данный момент являются:</w:t>
      </w:r>
    </w:p>
    <w:p w14:paraId="1863F590"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а) недостаточность производства стали соответствующего качества; это производство сосредоточено в данный момент только на одном Ижевском заводе; планом литеры «С» предусматривается постройка на этом заводе 3</w:t>
      </w:r>
      <w:r w:rsidRPr="00A259BD">
        <w:rPr>
          <w:color w:val="000000" w:themeColor="text1"/>
          <w:sz w:val="16"/>
          <w:szCs w:val="16"/>
        </w:rPr>
        <w:noBreakHyphen/>
        <w:t>го мартена, что смягчит остроту положения;</w:t>
      </w:r>
    </w:p>
    <w:p w14:paraId="4DD05A8C"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б) не достигнута взаимозаменяемость частей по пулемету Д[</w:t>
      </w:r>
      <w:proofErr w:type="spellStart"/>
      <w:r w:rsidRPr="00A259BD">
        <w:rPr>
          <w:color w:val="000000" w:themeColor="text1"/>
          <w:sz w:val="16"/>
          <w:szCs w:val="16"/>
        </w:rPr>
        <w:t>егтярева</w:t>
      </w:r>
      <w:proofErr w:type="spellEnd"/>
      <w:r w:rsidRPr="00A259BD">
        <w:rPr>
          <w:color w:val="000000" w:themeColor="text1"/>
          <w:sz w:val="16"/>
          <w:szCs w:val="16"/>
        </w:rPr>
        <w:t>]; предполагается, что на протяжении 1928/29 г. эта взаимозаменяемость будет достигнута; это представит значительные трудности и потребует большого внимания к себе;</w:t>
      </w:r>
    </w:p>
    <w:p w14:paraId="4D2E8067"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в) все ружейно-пулеметные заводы зависят в своем производстве от своевременной поставки черновых стволов с единственного производящего их завода — Ижевского; устранение возможных перебоев в этом направлении возможно лишь при условии создания достаточного резерва таковых; в данный момент резерва еще нет; как для увеличения мощности по черновым стволам, так и для обеспечения бесперебойности в их подаче, намечено использование Вотской оружейной фабрики для производства черновых стволов;</w:t>
      </w:r>
    </w:p>
    <w:p w14:paraId="0C00DD91"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г) до последнего времени главной трудностью в обеспечении своевременного и достаточного развертывания оружейного производства было отсутствие запаса ложевых болванок; этот запас должен был быть очень велик, так как естественная сушка дерева отнимала 12</w:t>
      </w:r>
      <w:r w:rsidRPr="00A259BD">
        <w:rPr>
          <w:color w:val="000000" w:themeColor="text1"/>
          <w:sz w:val="16"/>
          <w:szCs w:val="16"/>
        </w:rPr>
        <w:noBreakHyphen/>
        <w:t>15 месяцев; в настоящий момент с применением искусственной сушки этот вопрос утратил свою остроту;</w:t>
      </w:r>
    </w:p>
    <w:p w14:paraId="1840B79B"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д) все оружейные заводы находятся в затруднительном положении в отношении своего мобилизационного развертывания в связи с недостатком квалифицированной рабсилы в районах их расположения; в особенности остро этот вопрос стоит для Ржевского и Ковровского заводов; в Туле и на </w:t>
      </w:r>
      <w:proofErr w:type="spellStart"/>
      <w:r w:rsidRPr="00A259BD">
        <w:rPr>
          <w:color w:val="000000" w:themeColor="text1"/>
          <w:sz w:val="16"/>
          <w:szCs w:val="16"/>
        </w:rPr>
        <w:t>Ижеве</w:t>
      </w:r>
      <w:proofErr w:type="spellEnd"/>
      <w:r w:rsidRPr="00A259BD">
        <w:rPr>
          <w:color w:val="000000" w:themeColor="text1"/>
          <w:sz w:val="16"/>
          <w:szCs w:val="16"/>
        </w:rPr>
        <w:t xml:space="preserve"> остроту этого вопроса предполагается смягчить путем широкого использования при мобилизации кустарей.</w:t>
      </w:r>
    </w:p>
    <w:p w14:paraId="05D06411"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Дальнейшее наращивание мощностей по ручному оружию требует рационализации производства такового и привлечения заводов гражданской промышленности путем их кооперирования с военными заводами. Последние оставляют за собой изготовление ответственных и специальных деталей, передавая прочие гражданским заводам. В то же время за военными заводами остается техническое руководство и контроль за гражданскими предприятиями, изготовляющими для них отдельные детали.</w:t>
      </w:r>
    </w:p>
    <w:p w14:paraId="269BA0D7"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Принцип кооперирования производства ручного оружия, при котором сложные номенклатуры разбивались на ряд простейших деталей и становились по плечу неподготовленному специально для этого производству, гражданскому предприятию, блестяще оправдал себя в мировую войну. Германия, благодаря применению этого принципа (система проф. </w:t>
      </w:r>
      <w:proofErr w:type="spellStart"/>
      <w:r w:rsidRPr="00A259BD">
        <w:rPr>
          <w:color w:val="000000" w:themeColor="text1"/>
          <w:sz w:val="16"/>
          <w:szCs w:val="16"/>
        </w:rPr>
        <w:t>Ромберга</w:t>
      </w:r>
      <w:proofErr w:type="spellEnd"/>
      <w:r w:rsidRPr="00A259BD">
        <w:rPr>
          <w:color w:val="000000" w:themeColor="text1"/>
          <w:sz w:val="16"/>
          <w:szCs w:val="16"/>
        </w:rPr>
        <w:t>), смогла довести свою производственную мощность с 25 тыс. винтовок в месяц до 250 тыс. шт. и станковых пулеметов с 2,3 тыс. шт. до 14,4 тыс. шт. САСШ только благодаря стандартизации частей своей винтовки и широкому применению принципа кооперирования довели свою мощность до 300 тыс. винтовок в месяц. Франция к концу войны также вступила на этот путь, давший возможность ей привлечь заводы гражданской промышленности, на которых до этого тщетно пытались установить производство ручного оружия. В настоящее время французское командование, учтя опыт мировой войны, предусматривает в своих расчетах широкое применение принципа кооперирования.</w:t>
      </w:r>
    </w:p>
    <w:p w14:paraId="3B762894"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У нас кооперирование производства ручного оружия наталкивается на ряд естественных трудностей из-за неподготовленности гражданской промышленности к массовому точному производству. Однако это не исключает возможности проведения кооперирования производства ручного оружия. Огромный производственный эффект и дешевизна его достижения должны заставить нас решительно осуществить этот принцип в развертывании мощностей по ручному оружию. Принцип кооперирования туго воспринимается нашей военной и гражданской промышленностью, встречая сильное сопротивление со стороны консервативно настроенных специалистов и производственников, которые зачастую капитулируют перед этими трудностями.</w:t>
      </w:r>
    </w:p>
    <w:p w14:paraId="3EFF92C1"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В 1928/29 г. намечено начало работ по кооперированию </w:t>
      </w:r>
      <w:proofErr w:type="spellStart"/>
      <w:r w:rsidRPr="00A259BD">
        <w:rPr>
          <w:color w:val="000000" w:themeColor="text1"/>
          <w:sz w:val="16"/>
          <w:szCs w:val="16"/>
        </w:rPr>
        <w:t>ТОЗа</w:t>
      </w:r>
      <w:proofErr w:type="spellEnd"/>
      <w:r w:rsidRPr="00A259BD">
        <w:rPr>
          <w:color w:val="000000" w:themeColor="text1"/>
          <w:sz w:val="16"/>
          <w:szCs w:val="16"/>
        </w:rPr>
        <w:t xml:space="preserve"> с Подольским заводом </w:t>
      </w:r>
      <w:proofErr w:type="spellStart"/>
      <w:r w:rsidRPr="00A259BD">
        <w:rPr>
          <w:color w:val="000000" w:themeColor="text1"/>
          <w:sz w:val="16"/>
          <w:szCs w:val="16"/>
        </w:rPr>
        <w:t>Госшвеймашины</w:t>
      </w:r>
      <w:proofErr w:type="spellEnd"/>
      <w:r w:rsidRPr="00A259BD">
        <w:rPr>
          <w:color w:val="000000" w:themeColor="text1"/>
          <w:sz w:val="16"/>
          <w:szCs w:val="16"/>
        </w:rPr>
        <w:t xml:space="preserve">, на что предусмотрено 300 тыс. руб., на очереди — кооперирование Ижевского завода с Воткинским и Ковровского с соответствующими предприятиями Нижегородского района. С целью большей загрузки заводов </w:t>
      </w:r>
      <w:proofErr w:type="spellStart"/>
      <w:r w:rsidRPr="00A259BD">
        <w:rPr>
          <w:color w:val="000000" w:themeColor="text1"/>
          <w:sz w:val="16"/>
          <w:szCs w:val="16"/>
        </w:rPr>
        <w:t>РУЖа</w:t>
      </w:r>
      <w:proofErr w:type="spellEnd"/>
      <w:r w:rsidRPr="00A259BD">
        <w:rPr>
          <w:color w:val="000000" w:themeColor="text1"/>
          <w:sz w:val="16"/>
          <w:szCs w:val="16"/>
        </w:rPr>
        <w:t xml:space="preserve"> в мирное время и подготовки на них соответствующего кадра рабочих в настоящее время прорабатывается вопрос об установке на этих заводах производства мелкокалиберных и духовых ружей. Выпуск этих ружей тесно связывается с темпом развития стрелкового спорта в Союзе и увеличит спрос в мирное время на некоторые другие номенклатуры военных производств (порох, капсюли и т. д.).</w:t>
      </w:r>
    </w:p>
    <w:p w14:paraId="6DADB98C"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2. Трехлетняя заявка по </w:t>
      </w:r>
      <w:proofErr w:type="spellStart"/>
      <w:r w:rsidRPr="00A259BD">
        <w:rPr>
          <w:color w:val="000000" w:themeColor="text1"/>
          <w:sz w:val="16"/>
          <w:szCs w:val="16"/>
        </w:rPr>
        <w:t>винтпатропам</w:t>
      </w:r>
      <w:proofErr w:type="spellEnd"/>
      <w:r w:rsidRPr="00A259BD">
        <w:rPr>
          <w:color w:val="000000" w:themeColor="text1"/>
          <w:sz w:val="16"/>
          <w:szCs w:val="16"/>
        </w:rPr>
        <w:t xml:space="preserve"> равняется 5 млрд. винтовочных и пулеметных патронов и, помимо этого, до 1 млрд. патронов револьверных, к автоматическим пистолетам и прочих разных; из них совершенно не установлен тип патронов к автоматическим пистолетам (810 млн. шт.).</w:t>
      </w:r>
    </w:p>
    <w:p w14:paraId="3CB41BFB"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Мощность по </w:t>
      </w:r>
      <w:proofErr w:type="spellStart"/>
      <w:r w:rsidRPr="00A259BD">
        <w:rPr>
          <w:color w:val="000000" w:themeColor="text1"/>
          <w:sz w:val="16"/>
          <w:szCs w:val="16"/>
        </w:rPr>
        <w:t>винтпатропам</w:t>
      </w:r>
      <w:proofErr w:type="spellEnd"/>
      <w:r w:rsidRPr="00A259BD">
        <w:rPr>
          <w:color w:val="000000" w:themeColor="text1"/>
          <w:sz w:val="16"/>
          <w:szCs w:val="16"/>
        </w:rPr>
        <w:t xml:space="preserve"> на 1 октября 1928 г. — 1990 млн., т. е. около 40% трехлетней заявки. План работ по литере «С» доводит мощность на 1 мая 1930 г. по патронам до 4075 тыс., т. е. 82% трехлетней заявки (на 1 октября 1929 г. мощность по патронам составит 2530 млн., т. е. 50% трехлетней заявки, и к 1 января 1930 г. — </w:t>
      </w:r>
      <w:r w:rsidRPr="00A259BD">
        <w:rPr>
          <w:color w:val="000000" w:themeColor="text1"/>
          <w:sz w:val="16"/>
          <w:szCs w:val="16"/>
        </w:rPr>
        <w:lastRenderedPageBreak/>
        <w:t>3625 млн., т. е. 73% трехлетки). Из указанной цифры на 1 января 1930 г. мощность в 1,1 млрд. патронов на Подольском заводе № 17 будет существовать в виде подготовленных площадей, вспомогательных сооружений и запасов оборудования на складах предприятия; это оборудование может быть монтировано в течение 4 месяцев по объявлении мобилизации; на этом же заводе в мирное время существует уже установленная мощность на 400 млн. патронов. Дальнейшее увеличение мощностей по патронам идет за счет расширения Тульского патронного завода с 375 млн. до 1200 млн. Работы начинаются в 1928/29 г. и будут закончены к 1 октября 1931 г. Наметившееся одно время «узкое» место по прокату патронной латуни в данное время удалось ликвидировать путем обследования латунного проката в гражданской промышленности и уточнения существующих мощностей.</w:t>
      </w:r>
    </w:p>
    <w:p w14:paraId="64A24A37"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В настоящее время уже разрешен вопрос о </w:t>
      </w:r>
      <w:proofErr w:type="spellStart"/>
      <w:r w:rsidRPr="00A259BD">
        <w:rPr>
          <w:color w:val="000000" w:themeColor="text1"/>
          <w:sz w:val="16"/>
          <w:szCs w:val="16"/>
        </w:rPr>
        <w:t>суррогатировании</w:t>
      </w:r>
      <w:proofErr w:type="spellEnd"/>
      <w:r w:rsidRPr="00A259BD">
        <w:rPr>
          <w:color w:val="000000" w:themeColor="text1"/>
          <w:sz w:val="16"/>
          <w:szCs w:val="16"/>
        </w:rPr>
        <w:t xml:space="preserve"> </w:t>
      </w:r>
      <w:proofErr w:type="spellStart"/>
      <w:r w:rsidRPr="00A259BD">
        <w:rPr>
          <w:color w:val="000000" w:themeColor="text1"/>
          <w:sz w:val="16"/>
          <w:szCs w:val="16"/>
        </w:rPr>
        <w:t>пульного</w:t>
      </w:r>
      <w:proofErr w:type="spellEnd"/>
      <w:r w:rsidRPr="00A259BD">
        <w:rPr>
          <w:color w:val="000000" w:themeColor="text1"/>
          <w:sz w:val="16"/>
          <w:szCs w:val="16"/>
        </w:rPr>
        <w:t xml:space="preserve"> мельхиора плакированным железом. По плану литеры «С» отпущен 1 млн. руб. на постройку плакировочного цеха на ТПЗ. Кроме того, ведутся работы по замене латунных винтовочных гильз железными, которые до сих пор еще положительных результатов не дали и которые в случае успеха позволят устранить «узкое» место по обеспечению военных производств медью и цинком.</w:t>
      </w:r>
    </w:p>
    <w:p w14:paraId="41061E9C" w14:textId="77777777" w:rsidR="00CE0BB3" w:rsidRPr="00A259BD" w:rsidRDefault="00CE0BB3" w:rsidP="009236E3">
      <w:pPr>
        <w:pStyle w:val="rtejustify"/>
        <w:spacing w:before="0" w:after="0"/>
        <w:rPr>
          <w:color w:val="000000" w:themeColor="text1"/>
          <w:sz w:val="16"/>
          <w:szCs w:val="16"/>
        </w:rPr>
      </w:pPr>
      <w:r w:rsidRPr="00A259BD">
        <w:rPr>
          <w:rStyle w:val="a7"/>
          <w:b w:val="0"/>
          <w:bCs w:val="0"/>
          <w:color w:val="000000" w:themeColor="text1"/>
          <w:sz w:val="16"/>
          <w:szCs w:val="16"/>
        </w:rPr>
        <w:t>2. Материальная часть артиллерии</w:t>
      </w:r>
    </w:p>
    <w:p w14:paraId="22D11F77"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Мощности по материальной части артиллерии являются одними из наименее точных из всех мощностей по военным производствам. Метод их исчисления на заводах и в самом тресте вызывает большие сомнения в правильности такового; в настоящее время происходит проверка и уточнение. Об окончательных результатах пока судить невозможно, но уже имеющиеся данные заставляют предполагать, что проверка даст значительное увеличение мощностей.</w:t>
      </w:r>
    </w:p>
    <w:p w14:paraId="4BB0D512"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1. </w:t>
      </w:r>
      <w:r w:rsidRPr="00A259BD">
        <w:rPr>
          <w:rStyle w:val="af0"/>
          <w:i w:val="0"/>
          <w:color w:val="000000" w:themeColor="text1"/>
          <w:sz w:val="16"/>
          <w:szCs w:val="16"/>
        </w:rPr>
        <w:t>Малокалиберная артиллерия.</w:t>
      </w:r>
      <w:r w:rsidRPr="00A259BD">
        <w:rPr>
          <w:color w:val="000000" w:themeColor="text1"/>
          <w:sz w:val="16"/>
          <w:szCs w:val="16"/>
        </w:rPr>
        <w:t xml:space="preserve"> Трехлетняя заявка по малокалиберной артиллерии равняется 1533 шт., в том числе 900 шт. батальонных орудий. В связи с тем, что потребность в батальонных орудиях может оказаться значительно выше, если судить по опыту иностранных государств, промышленность при развертывании своей мощности ориентируется за пределы этой мощности. Мощность на 1 октября 1928 г. — 180 танковых пушек </w:t>
      </w:r>
      <w:proofErr w:type="spellStart"/>
      <w:r w:rsidRPr="00A259BD">
        <w:rPr>
          <w:color w:val="000000" w:themeColor="text1"/>
          <w:sz w:val="16"/>
          <w:szCs w:val="16"/>
        </w:rPr>
        <w:t>Гочкиса</w:t>
      </w:r>
      <w:proofErr w:type="spellEnd"/>
      <w:r w:rsidRPr="00A259BD">
        <w:rPr>
          <w:color w:val="000000" w:themeColor="text1"/>
          <w:sz w:val="16"/>
          <w:szCs w:val="16"/>
        </w:rPr>
        <w:t xml:space="preserve">, что составляет 11,8% трехлетней заявки. По плану литеры «С» мощность по пушкам </w:t>
      </w:r>
      <w:proofErr w:type="spellStart"/>
      <w:r w:rsidRPr="00A259BD">
        <w:rPr>
          <w:color w:val="000000" w:themeColor="text1"/>
          <w:sz w:val="16"/>
          <w:szCs w:val="16"/>
        </w:rPr>
        <w:t>Гочкиса</w:t>
      </w:r>
      <w:proofErr w:type="spellEnd"/>
      <w:r w:rsidRPr="00A259BD">
        <w:rPr>
          <w:color w:val="000000" w:themeColor="text1"/>
          <w:sz w:val="16"/>
          <w:szCs w:val="16"/>
        </w:rPr>
        <w:t xml:space="preserve"> доводится и 1 января 1930 г. до 240, или 15,2% заявки. Эта мощность покрывает только потребность в вооружении танков, но совершенно не обеспечивает нужды в батальонной и малокалиберной зенитной артиллерии, образцы которых до сего времени не утверждены и частью не разработаны. Исходя из недопустимости дальнейшей затяжки вопроса, планом литеры «С» намечено приспособление завода № 8 (Мытищи) к массовому производству малокалиберной артиллерии путем постройки специального цеха. Строительство по необходимости будет вестись по эскизному проекту в связи с отсутствием окончательно утвержденных образцов. Начало постройки — в текущем строительном сезоне, окончание строительства — к 1 октября 1930 г.</w:t>
      </w:r>
    </w:p>
    <w:p w14:paraId="59EB0042"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2. </w:t>
      </w:r>
      <w:r w:rsidRPr="00A259BD">
        <w:rPr>
          <w:rStyle w:val="af0"/>
          <w:i w:val="0"/>
          <w:color w:val="000000" w:themeColor="text1"/>
          <w:sz w:val="16"/>
          <w:szCs w:val="16"/>
        </w:rPr>
        <w:t>76</w:t>
      </w:r>
      <w:r w:rsidRPr="00A259BD">
        <w:rPr>
          <w:rStyle w:val="af0"/>
          <w:i w:val="0"/>
          <w:color w:val="000000" w:themeColor="text1"/>
          <w:sz w:val="16"/>
          <w:szCs w:val="16"/>
        </w:rPr>
        <w:noBreakHyphen/>
        <w:t>мм полковая пушка.</w:t>
      </w:r>
      <w:r w:rsidRPr="00A259BD">
        <w:rPr>
          <w:color w:val="000000" w:themeColor="text1"/>
          <w:sz w:val="16"/>
          <w:szCs w:val="16"/>
        </w:rPr>
        <w:t xml:space="preserve"> Трехлетняя заявка равна 705 шт. Мощность на 1 октября 1928 г. — 430 систем, что составляет 61% трехлетнего задания и полностью соответствует заданию литеры «С». Завод «Красный Путиловец», на котором в настоящее время сконцентрировано производство полковых пушек, имеет заказы мирного времени в количестве 350 систем; таким образом, его мирная производительность почти равняется развернутой мощности (430). В настоящее время </w:t>
      </w:r>
      <w:proofErr w:type="spellStart"/>
      <w:r w:rsidRPr="00A259BD">
        <w:rPr>
          <w:color w:val="000000" w:themeColor="text1"/>
          <w:sz w:val="16"/>
          <w:szCs w:val="16"/>
        </w:rPr>
        <w:t>Главмашстрою</w:t>
      </w:r>
      <w:proofErr w:type="spellEnd"/>
      <w:r w:rsidRPr="00A259BD">
        <w:rPr>
          <w:color w:val="000000" w:themeColor="text1"/>
          <w:sz w:val="16"/>
          <w:szCs w:val="16"/>
        </w:rPr>
        <w:t xml:space="preserve"> дано задание установить максимальные возможности Путиловского завода по материальной части артиллерии. Дальнейшее наращивание мощностей по полковой артиллерии пойдет за счет восстановления завода «Баррикады», заканчиваемого строительством к 1 января 1931 г. с мощностью 230 систем.</w:t>
      </w:r>
    </w:p>
    <w:p w14:paraId="2775D352"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3. </w:t>
      </w:r>
      <w:r w:rsidRPr="00A259BD">
        <w:rPr>
          <w:rStyle w:val="af0"/>
          <w:i w:val="0"/>
          <w:color w:val="000000" w:themeColor="text1"/>
          <w:sz w:val="16"/>
          <w:szCs w:val="16"/>
        </w:rPr>
        <w:t>76</w:t>
      </w:r>
      <w:r w:rsidRPr="00A259BD">
        <w:rPr>
          <w:rStyle w:val="af0"/>
          <w:i w:val="0"/>
          <w:color w:val="000000" w:themeColor="text1"/>
          <w:sz w:val="16"/>
          <w:szCs w:val="16"/>
        </w:rPr>
        <w:noBreakHyphen/>
        <w:t>мм полевая пушка.</w:t>
      </w:r>
      <w:r w:rsidRPr="00A259BD">
        <w:rPr>
          <w:color w:val="000000" w:themeColor="text1"/>
          <w:sz w:val="16"/>
          <w:szCs w:val="16"/>
        </w:rPr>
        <w:t xml:space="preserve"> Трехлетняя заявка равна 975 системам, задание литеры «С» — 890 систем. Мощность на 1 октября 1928 г. — 150 систем, что составляет 16% трехлетнего задания. Планом литеры «С» мощность по 76</w:t>
      </w:r>
      <w:r w:rsidRPr="00A259BD">
        <w:rPr>
          <w:color w:val="000000" w:themeColor="text1"/>
          <w:sz w:val="16"/>
          <w:szCs w:val="16"/>
        </w:rPr>
        <w:noBreakHyphen/>
        <w:t>мм полевым пушкам доводится до 440 систем на 1 октября 1929 г. и до 890 систем на 1 апреля 1930 г., что достигается кооперированием гражданских заводов с арсеналами и первоочередным восстановлением производства 76</w:t>
      </w:r>
      <w:r w:rsidRPr="00A259BD">
        <w:rPr>
          <w:color w:val="000000" w:themeColor="text1"/>
          <w:sz w:val="16"/>
          <w:szCs w:val="16"/>
        </w:rPr>
        <w:noBreakHyphen/>
        <w:t>мм орудий на заводе «Баррикады».</w:t>
      </w:r>
    </w:p>
    <w:p w14:paraId="6E38C77B"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Программа в 440 шт. выполняется следующим образом; а) «Красное Сормово» изготовляет тела, б) «Красный Путиловец» и завод им. К. Маркса — затворы, в) лафеты и люльки — на Брянском и Киевском арсеналах, там же и сборка. Причем поковки и прокат (щитовая сталь) арсеналы получают от орудийных заводов (ММЗ и «Большевик»).</w:t>
      </w:r>
    </w:p>
    <w:p w14:paraId="13499998"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«Узким» местом этой программы являются арсеналы, прифронтовое положение которых, с одной стороны, и необходимость концентрации на них ремонта — с другой, требуют их разгрузки от </w:t>
      </w:r>
      <w:proofErr w:type="spellStart"/>
      <w:r w:rsidRPr="00A259BD">
        <w:rPr>
          <w:color w:val="000000" w:themeColor="text1"/>
          <w:sz w:val="16"/>
          <w:szCs w:val="16"/>
        </w:rPr>
        <w:t>мобзаданий</w:t>
      </w:r>
      <w:proofErr w:type="spellEnd"/>
      <w:r w:rsidRPr="00A259BD">
        <w:rPr>
          <w:color w:val="000000" w:themeColor="text1"/>
          <w:sz w:val="16"/>
          <w:szCs w:val="16"/>
        </w:rPr>
        <w:t xml:space="preserve"> по материальной части артиллерии. В дальнейшем наращивание мощностей идет за счет расширения «Красного Сормово», на котором развертывается производство целых систем 76</w:t>
      </w:r>
      <w:r w:rsidRPr="00A259BD">
        <w:rPr>
          <w:color w:val="000000" w:themeColor="text1"/>
          <w:sz w:val="16"/>
          <w:szCs w:val="16"/>
        </w:rPr>
        <w:noBreakHyphen/>
        <w:t>мм пушек и который кооперируется с заводом К. Маркса в отношении замков, а также за счет восстановления завода «Баррикады», на котором ставится производство 76</w:t>
      </w:r>
      <w:r w:rsidRPr="00A259BD">
        <w:rPr>
          <w:color w:val="000000" w:themeColor="text1"/>
          <w:sz w:val="16"/>
          <w:szCs w:val="16"/>
        </w:rPr>
        <w:noBreakHyphen/>
        <w:t>мм систем в количестве 720 систем, в том числе 450 на 1 апреля 1930 г. Вместе с тем разгрузятся и арсеналы, которые будут использованы для ремонта.</w:t>
      </w:r>
    </w:p>
    <w:p w14:paraId="099622E1"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4. </w:t>
      </w:r>
      <w:r w:rsidRPr="00A259BD">
        <w:rPr>
          <w:rStyle w:val="af0"/>
          <w:i w:val="0"/>
          <w:color w:val="000000" w:themeColor="text1"/>
          <w:sz w:val="16"/>
          <w:szCs w:val="16"/>
        </w:rPr>
        <w:t>76</w:t>
      </w:r>
      <w:r w:rsidRPr="00A259BD">
        <w:rPr>
          <w:rStyle w:val="af0"/>
          <w:i w:val="0"/>
          <w:color w:val="000000" w:themeColor="text1"/>
          <w:sz w:val="16"/>
          <w:szCs w:val="16"/>
        </w:rPr>
        <w:noBreakHyphen/>
        <w:t>мм горная пушка и 76</w:t>
      </w:r>
      <w:r w:rsidRPr="00A259BD">
        <w:rPr>
          <w:rStyle w:val="af0"/>
          <w:i w:val="0"/>
          <w:color w:val="000000" w:themeColor="text1"/>
          <w:sz w:val="16"/>
          <w:szCs w:val="16"/>
        </w:rPr>
        <w:noBreakHyphen/>
        <w:t>мм зенитная.</w:t>
      </w:r>
      <w:r w:rsidRPr="00A259BD">
        <w:rPr>
          <w:color w:val="000000" w:themeColor="text1"/>
          <w:sz w:val="16"/>
          <w:szCs w:val="16"/>
        </w:rPr>
        <w:t xml:space="preserve"> Трехлетняя заявка составляет 120 шт. по горной и 300 шт. по зенитной. Мощность на 1 октября 1928 г. — 40 систем по горной, 33% трехлетней заявки, и по 76</w:t>
      </w:r>
      <w:r w:rsidRPr="00A259BD">
        <w:rPr>
          <w:color w:val="000000" w:themeColor="text1"/>
          <w:sz w:val="16"/>
          <w:szCs w:val="16"/>
        </w:rPr>
        <w:noBreakHyphen/>
        <w:t>мм зенитным — 250 систем, или 82% трехлетней заявки. Указанные цифры, по имеющимся данным, подлежащим проверке, приуменьшены почти вдвое. Мощность по обеим системам совпадает с заданием литеры «С». Достижение уровня мощности по трехлетней заявке намечается за счет расширения завода № 8, на котором концентрируется производство указанных систем. «Узкое» место — поковки и прокат, которые подаются ММЗ.</w:t>
      </w:r>
    </w:p>
    <w:p w14:paraId="5FC4D03A"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5. </w:t>
      </w:r>
      <w:r w:rsidRPr="00A259BD">
        <w:rPr>
          <w:rStyle w:val="af0"/>
          <w:i w:val="0"/>
          <w:color w:val="000000" w:themeColor="text1"/>
          <w:sz w:val="16"/>
          <w:szCs w:val="16"/>
        </w:rPr>
        <w:t>122 и 152</w:t>
      </w:r>
      <w:r w:rsidRPr="00A259BD">
        <w:rPr>
          <w:rStyle w:val="af0"/>
          <w:i w:val="0"/>
          <w:color w:val="000000" w:themeColor="text1"/>
          <w:sz w:val="16"/>
          <w:szCs w:val="16"/>
        </w:rPr>
        <w:noBreakHyphen/>
        <w:t>мм гаубицы.</w:t>
      </w:r>
      <w:r w:rsidRPr="00A259BD">
        <w:rPr>
          <w:color w:val="000000" w:themeColor="text1"/>
          <w:sz w:val="16"/>
          <w:szCs w:val="16"/>
        </w:rPr>
        <w:t xml:space="preserve"> Трехлетняя заявка равна по 122</w:t>
      </w:r>
      <w:r w:rsidRPr="00A259BD">
        <w:rPr>
          <w:color w:val="000000" w:themeColor="text1"/>
          <w:sz w:val="16"/>
          <w:szCs w:val="16"/>
        </w:rPr>
        <w:noBreakHyphen/>
        <w:t>мм гаубицам 760 шт. и по 152</w:t>
      </w:r>
      <w:r w:rsidRPr="00A259BD">
        <w:rPr>
          <w:color w:val="000000" w:themeColor="text1"/>
          <w:sz w:val="16"/>
          <w:szCs w:val="16"/>
        </w:rPr>
        <w:noBreakHyphen/>
        <w:t>мм — 267 шт. Мощность на 1 октября 1928 г. показывается ОАТ 400 систем, или 52,6% трехлетней заявки. Планом литеры «С» намечено доведение мощности до 520 систем. Дальнейшее развитие мощности по 122</w:t>
      </w:r>
      <w:r w:rsidRPr="00A259BD">
        <w:rPr>
          <w:color w:val="000000" w:themeColor="text1"/>
          <w:sz w:val="16"/>
          <w:szCs w:val="16"/>
        </w:rPr>
        <w:noBreakHyphen/>
        <w:t>мм гаубицам намечается за счет расширения и специализации завода ММЗ, с которого снимается производство 107</w:t>
      </w:r>
      <w:r w:rsidRPr="00A259BD">
        <w:rPr>
          <w:color w:val="000000" w:themeColor="text1"/>
          <w:sz w:val="16"/>
          <w:szCs w:val="16"/>
        </w:rPr>
        <w:noBreakHyphen/>
        <w:t>мм пушек и на котором концентрируется изготовления 122</w:t>
      </w:r>
      <w:r w:rsidRPr="00A259BD">
        <w:rPr>
          <w:color w:val="000000" w:themeColor="text1"/>
          <w:sz w:val="16"/>
          <w:szCs w:val="16"/>
        </w:rPr>
        <w:noBreakHyphen/>
        <w:t>мм гаубиц. ММЗ также специализируется на производстве 152</w:t>
      </w:r>
      <w:r w:rsidRPr="00A259BD">
        <w:rPr>
          <w:color w:val="000000" w:themeColor="text1"/>
          <w:sz w:val="16"/>
          <w:szCs w:val="16"/>
        </w:rPr>
        <w:noBreakHyphen/>
        <w:t>мм гаубиц, мощность по которым на 1 октября 1928 г. — 30 систем, или 11,2% трехлетней заявки, а по плану литеры «С» на 1 апреля 1930 г. — 120 систем, или 45% трехлетней заявки.</w:t>
      </w:r>
    </w:p>
    <w:p w14:paraId="1C752DA5"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6. </w:t>
      </w:r>
      <w:r w:rsidRPr="00A259BD">
        <w:rPr>
          <w:rStyle w:val="af0"/>
          <w:i w:val="0"/>
          <w:color w:val="000000" w:themeColor="text1"/>
          <w:sz w:val="16"/>
          <w:szCs w:val="16"/>
        </w:rPr>
        <w:t>107</w:t>
      </w:r>
      <w:r w:rsidRPr="00A259BD">
        <w:rPr>
          <w:rStyle w:val="af0"/>
          <w:i w:val="0"/>
          <w:color w:val="000000" w:themeColor="text1"/>
          <w:sz w:val="16"/>
          <w:szCs w:val="16"/>
        </w:rPr>
        <w:noBreakHyphen/>
        <w:t>мм пушка.</w:t>
      </w:r>
      <w:r w:rsidRPr="00A259BD">
        <w:rPr>
          <w:color w:val="000000" w:themeColor="text1"/>
          <w:sz w:val="16"/>
          <w:szCs w:val="16"/>
        </w:rPr>
        <w:t xml:space="preserve"> Трехлетняя заявка равна 200 шт. Мощность на 1 октября 1928 г. — 72 системы, или 36% заявки. Планом литеры «С» не предусматривается увеличение мощностей по 107</w:t>
      </w:r>
      <w:r w:rsidRPr="00A259BD">
        <w:rPr>
          <w:color w:val="000000" w:themeColor="text1"/>
          <w:sz w:val="16"/>
          <w:szCs w:val="16"/>
        </w:rPr>
        <w:noBreakHyphen/>
        <w:t>мм системам. В дальнейшем развертывание мощностей предполагается на заводе «Баррикады», на котором концентрируется производство 107</w:t>
      </w:r>
      <w:r w:rsidRPr="00A259BD">
        <w:rPr>
          <w:color w:val="000000" w:themeColor="text1"/>
          <w:sz w:val="16"/>
          <w:szCs w:val="16"/>
        </w:rPr>
        <w:noBreakHyphen/>
        <w:t>мм систем, снимаемых с заводов «Большевик» и ММЗ.</w:t>
      </w:r>
    </w:p>
    <w:p w14:paraId="5664CDFC"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7. </w:t>
      </w:r>
      <w:r w:rsidRPr="00A259BD">
        <w:rPr>
          <w:rStyle w:val="af0"/>
          <w:i w:val="0"/>
          <w:color w:val="000000" w:themeColor="text1"/>
          <w:sz w:val="16"/>
          <w:szCs w:val="16"/>
        </w:rPr>
        <w:t>Морские и береговые орудия средних калибров (75</w:t>
      </w:r>
      <w:r w:rsidRPr="00A259BD">
        <w:rPr>
          <w:rStyle w:val="af0"/>
          <w:i w:val="0"/>
          <w:color w:val="000000" w:themeColor="text1"/>
          <w:sz w:val="16"/>
          <w:szCs w:val="16"/>
        </w:rPr>
        <w:noBreakHyphen/>
        <w:t>152 мм).</w:t>
      </w:r>
      <w:r w:rsidRPr="00A259BD">
        <w:rPr>
          <w:color w:val="000000" w:themeColor="text1"/>
          <w:sz w:val="16"/>
          <w:szCs w:val="16"/>
        </w:rPr>
        <w:t xml:space="preserve"> Трехлетняя заявка равна 121 системе и 149 тел. Мощность на 1 октября 1928 г. — 20 систем и 18 тел, что составляет 16,5% по системам и 12% по телам от трехлетки. Планом литеры «С» намечено доведение этой мощности на 1 апреля 1930 г. до 60 систем и 126 тел, что соответствует 50% по системам и 84% по телам трехлетки. Больным местом производства является большое количество типов (8 типов), что препятствует установлению массового производства. Положение усугубляется наличием лишь одного завода, приспособленного к производству этих типов. Однако наличие </w:t>
      </w:r>
      <w:proofErr w:type="spellStart"/>
      <w:r w:rsidRPr="00A259BD">
        <w:rPr>
          <w:color w:val="000000" w:themeColor="text1"/>
          <w:sz w:val="16"/>
          <w:szCs w:val="16"/>
        </w:rPr>
        <w:t>мобзапаса</w:t>
      </w:r>
      <w:proofErr w:type="spellEnd"/>
      <w:r w:rsidRPr="00A259BD">
        <w:rPr>
          <w:color w:val="000000" w:themeColor="text1"/>
          <w:sz w:val="16"/>
          <w:szCs w:val="16"/>
        </w:rPr>
        <w:t xml:space="preserve"> (кат[</w:t>
      </w:r>
      <w:proofErr w:type="spellStart"/>
      <w:r w:rsidRPr="00A259BD">
        <w:rPr>
          <w:color w:val="000000" w:themeColor="text1"/>
          <w:sz w:val="16"/>
          <w:szCs w:val="16"/>
        </w:rPr>
        <w:t>егории</w:t>
      </w:r>
      <w:proofErr w:type="spellEnd"/>
      <w:r w:rsidRPr="00A259BD">
        <w:rPr>
          <w:color w:val="000000" w:themeColor="text1"/>
          <w:sz w:val="16"/>
          <w:szCs w:val="16"/>
        </w:rPr>
        <w:t>] «Б») полуфабрикатов для этих типов артиллерии в известной мере облегчает трудности развертывания.</w:t>
      </w:r>
    </w:p>
    <w:p w14:paraId="743F1B7A"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8. </w:t>
      </w:r>
      <w:r w:rsidRPr="00A259BD">
        <w:rPr>
          <w:rStyle w:val="af0"/>
          <w:i w:val="0"/>
          <w:color w:val="000000" w:themeColor="text1"/>
          <w:sz w:val="16"/>
          <w:szCs w:val="16"/>
        </w:rPr>
        <w:t>Орудия крупных калибров (203 мм, 280 и 305 мм).</w:t>
      </w:r>
      <w:r w:rsidRPr="00A259BD">
        <w:rPr>
          <w:color w:val="000000" w:themeColor="text1"/>
          <w:sz w:val="16"/>
          <w:szCs w:val="16"/>
        </w:rPr>
        <w:t xml:space="preserve"> Трехлетняя заявка составляет 26 систем и 32 тела. Мощность на 1 октября 1928 г. — 0 систем и 8 тел. Планом литеры «С» мощность доводится до 10 систем и 5 тел на 1 апреля 1930 г., что составляет 38,1% по системам и 25% по телам от трехлетки. Больным местом является отсутствие мирных заказов. Особенностью этого производства являются большие сроки развертывания, до 3 лет, связанные с ничтожным размером заказа и вытекающим отсюда индивидуальным характером производства.</w:t>
      </w:r>
    </w:p>
    <w:p w14:paraId="340E1CD8"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Одним из путей увеличения мощностей по материальной части артиллерии является специализация заводов по производству элементов отдельных или родственных типов орудий. К настоящему моменту еще не внесена ясность в план специализации заводов, изготовляющих материальную часть артиллерии. Причины этому: 1) по целому ряду типов нет утвержденных образцов, например, по батальонной, мелкокалиберной зенитной артиллерии АРГК и т. д.; 2) проблема модернизации материальной части артиллерии, не разрешенная до сих пор, сковывает свободу действий при капитальном строительстве, заставляя вести таковое сугубо ориентировочно (яркий пример — батальонная артиллерия): 3) большое количество типов, особенно по военно-морской заявке (морская и береговая артиллерия средних калибров), затрудняет специализацию заводов и остро выдвигает проблему стандартизации родственных типов артиллерии. В частности, ВСНХ СССР стоит перед необходимостью заново пересмотреть план строительства завода «Баррикады», программа которого возрастает с 35 до 50 млн. руб. по пятилетнему плану. Быстрейшее разрешение всех вопросов, связанных с заявкой по матчасти артиллерии, является насущно необходимым.</w:t>
      </w:r>
    </w:p>
    <w:p w14:paraId="1C755852"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На протяжении трехлетия потребуется энергичное привлечение заводов крупного машиностроения к производству материальной части артиллерии путем ассимиляции на них отдельных элементов. В 1928/29 г. этот принцип проведен по Сормовскому заводу в следующем виде: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77"/>
        <w:gridCol w:w="4211"/>
        <w:gridCol w:w="3537"/>
        <w:gridCol w:w="2597"/>
      </w:tblGrid>
      <w:tr w:rsidR="00A259BD" w:rsidRPr="00A259BD" w14:paraId="687C052F"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5CCA111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Отпущено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D736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Цех и характеристика работ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0C8B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Продукция мирного времени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0612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Продукция военного времени</w:t>
            </w:r>
          </w:p>
        </w:tc>
      </w:tr>
      <w:tr w:rsidR="00A259BD" w:rsidRPr="00A259BD" w14:paraId="357D780E"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8DFCB1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1 380 000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01F1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Постройка ковочно-прессового цеха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532B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Паровозы, вагоны, бурильный инструмент, отковки валов и т. 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8226E"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Материальная часть артиллерии и снаряды</w:t>
            </w:r>
          </w:p>
        </w:tc>
      </w:tr>
      <w:tr w:rsidR="00A259BD" w:rsidRPr="00A259BD" w14:paraId="50F5CF79"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9737D5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100 000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D2F2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Реконструкция сталелитейной мастерской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7BBBE"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Мирная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A658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Отливки для материальной части артиллерии (орудийная станина)</w:t>
            </w:r>
          </w:p>
        </w:tc>
      </w:tr>
      <w:tr w:rsidR="00A259BD" w:rsidRPr="00A259BD" w14:paraId="7265E92B"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125303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100 000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7B754"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Механическая мастерская</w:t>
            </w:r>
          </w:p>
          <w:p w14:paraId="4500C2F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Приспособление дизельной мастерской (работы отнесены на мобилизационный и </w:t>
            </w:r>
            <w:proofErr w:type="spellStart"/>
            <w:r w:rsidRPr="00A259BD">
              <w:rPr>
                <w:rFonts w:ascii="Times New Roman" w:hAnsi="Times New Roman"/>
                <w:color w:val="000000" w:themeColor="text1"/>
                <w:sz w:val="16"/>
                <w:szCs w:val="16"/>
              </w:rPr>
              <w:t>предмобили</w:t>
            </w:r>
            <w:r w:rsidRPr="00A259BD">
              <w:rPr>
                <w:rFonts w:ascii="Times New Roman" w:hAnsi="Times New Roman"/>
                <w:color w:val="000000" w:themeColor="text1"/>
                <w:sz w:val="16"/>
                <w:szCs w:val="16"/>
              </w:rPr>
              <w:softHyphen/>
              <w:t>зационный</w:t>
            </w:r>
            <w:proofErr w:type="spellEnd"/>
            <w:r w:rsidRPr="00A259BD">
              <w:rPr>
                <w:rFonts w:ascii="Times New Roman" w:hAnsi="Times New Roman"/>
                <w:color w:val="000000" w:themeColor="text1"/>
                <w:sz w:val="16"/>
                <w:szCs w:val="16"/>
              </w:rPr>
              <w:t xml:space="preserve"> период).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484F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Ремонт механического оборудования и частично производство бурильного инструмента. Дизели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CCF7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Обработка люлек и станины.</w:t>
            </w:r>
          </w:p>
          <w:p w14:paraId="549EFD3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Тела орудий (механическая работа).</w:t>
            </w:r>
          </w:p>
        </w:tc>
      </w:tr>
      <w:tr w:rsidR="00A259BD" w:rsidRPr="00A259BD" w14:paraId="5438B491"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AAF18E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184 000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BEAC7"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Термическая обработка.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AB45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Термическая обработка мирной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5B54B"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Закалка орудий.</w:t>
            </w:r>
          </w:p>
        </w:tc>
      </w:tr>
    </w:tbl>
    <w:p w14:paraId="1E7412F8"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Принцип кооперирования вновь привлекаемых гражданских заводов с военными должен быть проведен решительно на протяжении трехлетия. Одновременно должна быть разрешена арсенальная проблема: а) должна быть проведена разгрузка арсеналов от производства отдельных элементов материальной части (передки, зарядные ящики, специальные повозки), производство которых должно быть передано гражданским предприятиям, что отчасти начато уже в плане литеры «С»; б) должно быть приступлено к созданию арсенальной базы в тылу. На протяжении трехлетия предполагается приспособление одного из крупных гражданских заводов в безопасной зоне в качестве основной арсенальной базы и использования быв. </w:t>
      </w:r>
      <w:proofErr w:type="spellStart"/>
      <w:r w:rsidRPr="00A259BD">
        <w:rPr>
          <w:color w:val="000000" w:themeColor="text1"/>
          <w:sz w:val="16"/>
          <w:szCs w:val="16"/>
        </w:rPr>
        <w:t>Бачмановского</w:t>
      </w:r>
      <w:proofErr w:type="spellEnd"/>
      <w:r w:rsidRPr="00A259BD">
        <w:rPr>
          <w:color w:val="000000" w:themeColor="text1"/>
          <w:sz w:val="16"/>
          <w:szCs w:val="16"/>
        </w:rPr>
        <w:t xml:space="preserve"> завода как ремонтной базы.</w:t>
      </w:r>
    </w:p>
    <w:p w14:paraId="660863F9"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lastRenderedPageBreak/>
        <w:t xml:space="preserve">Вопрос о сроках развертывания орудийного производства больше, чем в каком-либо другом производстве, упирается в проблему накопления </w:t>
      </w:r>
      <w:proofErr w:type="spellStart"/>
      <w:r w:rsidRPr="00A259BD">
        <w:rPr>
          <w:color w:val="000000" w:themeColor="text1"/>
          <w:sz w:val="16"/>
          <w:szCs w:val="16"/>
        </w:rPr>
        <w:t>мобзапаса</w:t>
      </w:r>
      <w:proofErr w:type="spellEnd"/>
      <w:r w:rsidRPr="00A259BD">
        <w:rPr>
          <w:color w:val="000000" w:themeColor="text1"/>
          <w:sz w:val="16"/>
          <w:szCs w:val="16"/>
        </w:rPr>
        <w:t xml:space="preserve"> полуфабрикатов. Имеющихся запасов категории «Б» недостаточно, и они отчасти устарели. Разрешение этого вопроса обещает сокращение сроков развертывания в отдельных случаях с года и более — до 6</w:t>
      </w:r>
      <w:r w:rsidRPr="00A259BD">
        <w:rPr>
          <w:color w:val="000000" w:themeColor="text1"/>
          <w:sz w:val="16"/>
          <w:szCs w:val="16"/>
        </w:rPr>
        <w:noBreakHyphen/>
        <w:t>9 месяцев.</w:t>
      </w:r>
    </w:p>
    <w:p w14:paraId="6AF023EB" w14:textId="77777777" w:rsidR="00CE0BB3" w:rsidRPr="00A259BD" w:rsidRDefault="00CE0BB3" w:rsidP="009236E3">
      <w:pPr>
        <w:pStyle w:val="rtejustify"/>
        <w:spacing w:before="0" w:after="0"/>
        <w:rPr>
          <w:color w:val="000000" w:themeColor="text1"/>
          <w:sz w:val="16"/>
          <w:szCs w:val="16"/>
        </w:rPr>
      </w:pPr>
      <w:r w:rsidRPr="00A259BD">
        <w:rPr>
          <w:rStyle w:val="a7"/>
          <w:b w:val="0"/>
          <w:bCs w:val="0"/>
          <w:color w:val="000000" w:themeColor="text1"/>
          <w:sz w:val="16"/>
          <w:szCs w:val="16"/>
        </w:rPr>
        <w:t>3. Выстрел</w:t>
      </w:r>
    </w:p>
    <w:p w14:paraId="199ECDC2"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Заявка НКВМ по отдельным элементам выстрела, а также развитие мощностей по таковым показаны в нижеследующей таблице: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87"/>
        <w:gridCol w:w="798"/>
        <w:gridCol w:w="1543"/>
        <w:gridCol w:w="1543"/>
        <w:gridCol w:w="1053"/>
        <w:gridCol w:w="1215"/>
        <w:gridCol w:w="1215"/>
        <w:gridCol w:w="768"/>
      </w:tblGrid>
      <w:tr w:rsidR="00A259BD" w:rsidRPr="00A259BD" w14:paraId="05280F97" w14:textId="77777777" w:rsidTr="00824FAB">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C4847CA"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Элементы выстрела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BF7190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Трехлетняя</w:t>
            </w:r>
          </w:p>
          <w:p w14:paraId="5188ED8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заявка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0E0E5F"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Мощность на 1 октября 1927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4A054F"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Мощность на 1 октября 1928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5BAADC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Задание литеры «С»</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5A8509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Процент удовлетворения от трехлетней заявки по состоянию</w:t>
            </w:r>
          </w:p>
        </w:tc>
      </w:tr>
      <w:tr w:rsidR="00A259BD" w:rsidRPr="00A259BD" w14:paraId="13D1F7D8" w14:textId="77777777" w:rsidTr="00824FAB">
        <w:tc>
          <w:tcPr>
            <w:tcW w:w="0" w:type="auto"/>
            <w:vMerge/>
            <w:tcBorders>
              <w:top w:val="outset" w:sz="6" w:space="0" w:color="auto"/>
              <w:left w:val="outset" w:sz="6" w:space="0" w:color="auto"/>
              <w:bottom w:val="outset" w:sz="6" w:space="0" w:color="auto"/>
              <w:right w:val="outset" w:sz="6" w:space="0" w:color="auto"/>
            </w:tcBorders>
            <w:vAlign w:val="center"/>
            <w:hideMark/>
          </w:tcPr>
          <w:p w14:paraId="6CEAD4D1" w14:textId="77777777" w:rsidR="007548ED" w:rsidRPr="00A259BD" w:rsidRDefault="007548ED" w:rsidP="009236E3">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7F34247" w14:textId="77777777" w:rsidR="007548ED" w:rsidRPr="00A259BD" w:rsidRDefault="007548ED" w:rsidP="009236E3">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A424415" w14:textId="77777777" w:rsidR="007548ED" w:rsidRPr="00A259BD" w:rsidRDefault="007548ED" w:rsidP="009236E3">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B3AAC7F" w14:textId="77777777" w:rsidR="007548ED" w:rsidRPr="00A259BD" w:rsidRDefault="007548ED" w:rsidP="009236E3">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4F8804C" w14:textId="77777777" w:rsidR="007548ED" w:rsidRPr="00A259BD" w:rsidRDefault="007548ED" w:rsidP="009236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5E9657"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октября 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A39F4"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октября 1928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E483E" w14:textId="77777777" w:rsidR="007548ED" w:rsidRPr="00A259BD" w:rsidRDefault="007548ED"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мобза</w:t>
            </w:r>
            <w:r w:rsidRPr="00A259BD">
              <w:rPr>
                <w:rFonts w:ascii="Times New Roman" w:hAnsi="Times New Roman"/>
                <w:color w:val="000000" w:themeColor="text1"/>
                <w:sz w:val="16"/>
                <w:szCs w:val="16"/>
              </w:rPr>
              <w:softHyphen/>
              <w:t>дание</w:t>
            </w:r>
            <w:proofErr w:type="spellEnd"/>
          </w:p>
          <w:p w14:paraId="38363D14"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литеры «С»</w:t>
            </w:r>
          </w:p>
        </w:tc>
      </w:tr>
      <w:tr w:rsidR="00A259BD" w:rsidRPr="00A259BD" w14:paraId="0AB4D6AD"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91DC93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Корпуса, тыс. шт.²*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6BC780E"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45 262²*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6725A"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4787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DA23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10 461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3EDD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23 519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757B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D2427"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0E52E"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51,8</w:t>
            </w:r>
          </w:p>
        </w:tc>
      </w:tr>
      <w:tr w:rsidR="00A259BD" w:rsidRPr="00A259BD" w14:paraId="6DE8B2FD"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569C70D4"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Взрыв[</w:t>
            </w:r>
            <w:proofErr w:type="spellStart"/>
            <w:r w:rsidRPr="00A259BD">
              <w:rPr>
                <w:rFonts w:ascii="Times New Roman" w:hAnsi="Times New Roman"/>
                <w:color w:val="000000" w:themeColor="text1"/>
                <w:sz w:val="16"/>
                <w:szCs w:val="16"/>
              </w:rPr>
              <w:t>ательные</w:t>
            </w:r>
            <w:proofErr w:type="spellEnd"/>
            <w:r w:rsidRPr="00A259BD">
              <w:rPr>
                <w:rFonts w:ascii="Times New Roman" w:hAnsi="Times New Roman"/>
                <w:color w:val="000000" w:themeColor="text1"/>
                <w:sz w:val="16"/>
                <w:szCs w:val="16"/>
              </w:rPr>
              <w:t>] и </w:t>
            </w:r>
            <w:proofErr w:type="spellStart"/>
            <w:r w:rsidRPr="00A259BD">
              <w:rPr>
                <w:rFonts w:ascii="Times New Roman" w:hAnsi="Times New Roman"/>
                <w:color w:val="000000" w:themeColor="text1"/>
                <w:sz w:val="16"/>
                <w:szCs w:val="16"/>
              </w:rPr>
              <w:t>дистанц</w:t>
            </w:r>
            <w:proofErr w:type="spellEnd"/>
            <w:r w:rsidRPr="00A259BD">
              <w:rPr>
                <w:rFonts w:ascii="Times New Roman" w:hAnsi="Times New Roman"/>
                <w:color w:val="000000" w:themeColor="text1"/>
                <w:sz w:val="16"/>
                <w:szCs w:val="16"/>
              </w:rPr>
              <w:t>[ионные] трубки,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167E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47 696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B0E0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64D4F"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0819A"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26 012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8C9B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02B8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1D79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54,5</w:t>
            </w:r>
          </w:p>
        </w:tc>
      </w:tr>
      <w:tr w:rsidR="00A259BD" w:rsidRPr="00A259BD" w14:paraId="3AA9D98D"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13278CC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Пушечные гильзы,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03AF4"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15 738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2973A"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07E3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5C37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97A44"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42CE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AE46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54,5</w:t>
            </w:r>
          </w:p>
        </w:tc>
      </w:tr>
      <w:tr w:rsidR="00A259BD" w:rsidRPr="00A259BD" w14:paraId="2209049C"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10BD9A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Капсюльные втулки,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9B6EE"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47 182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BAB7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CE5DF"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12 052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B4AFE"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8C7D7"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76D94"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3A4E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57,7</w:t>
            </w:r>
          </w:p>
        </w:tc>
      </w:tr>
      <w:tr w:rsidR="00A259BD" w:rsidRPr="00A259BD" w14:paraId="597A1CD6"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F02A957"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Бездымный порох,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7523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8BE4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85E2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1703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26 000³*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9AFB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7B86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94F7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w:t>
            </w:r>
          </w:p>
        </w:tc>
      </w:tr>
      <w:tr w:rsidR="00A259BD" w:rsidRPr="00A259BD" w14:paraId="5A3E71A6"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3CB115B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Взрывчатые вещества,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AA40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96 266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3BA9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A447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07A3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50 520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C8D3B"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2EBC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BCE84"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52,5</w:t>
            </w:r>
          </w:p>
        </w:tc>
      </w:tr>
      <w:tr w:rsidR="00A259BD" w:rsidRPr="00A259BD" w14:paraId="0A50DBD1"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89AC30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Снаряжательный снаряд,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88F3A"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B79F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1CC2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2819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31E67"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2425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8C7AB"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55,7</w:t>
            </w:r>
          </w:p>
        </w:tc>
      </w:tr>
    </w:tbl>
    <w:p w14:paraId="5B0D9B98"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По некоторым из имеющихся в заявке </w:t>
      </w:r>
      <w:proofErr w:type="spellStart"/>
      <w:r w:rsidRPr="00A259BD">
        <w:rPr>
          <w:color w:val="000000" w:themeColor="text1"/>
          <w:sz w:val="16"/>
          <w:szCs w:val="16"/>
        </w:rPr>
        <w:t>НКВМора</w:t>
      </w:r>
      <w:proofErr w:type="spellEnd"/>
      <w:r w:rsidRPr="00A259BD">
        <w:rPr>
          <w:color w:val="000000" w:themeColor="text1"/>
          <w:sz w:val="16"/>
          <w:szCs w:val="16"/>
        </w:rPr>
        <w:t xml:space="preserve"> типов и калибров отсутствуют исходные технические данные, не представленные до сих пор НКВМ. Однако по плану капитальных работ па 1928/29 г. предусмотрена возможность развертывания производства по некоторым типам, как только будут получены технические условия от </w:t>
      </w:r>
      <w:proofErr w:type="spellStart"/>
      <w:r w:rsidRPr="00A259BD">
        <w:rPr>
          <w:color w:val="000000" w:themeColor="text1"/>
          <w:sz w:val="16"/>
          <w:szCs w:val="16"/>
        </w:rPr>
        <w:t>НКВМора</w:t>
      </w:r>
      <w:proofErr w:type="spellEnd"/>
      <w:r w:rsidRPr="00A259BD">
        <w:rPr>
          <w:color w:val="000000" w:themeColor="text1"/>
          <w:sz w:val="16"/>
          <w:szCs w:val="16"/>
        </w:rPr>
        <w:t xml:space="preserve"> (например, выстрелы для малокалиберной артиллерии, 152 мм, химические и др.). Крупным недостатком в заявке НКВМ является пестрота в однотипных элементах выстрела, имеющих одно и то же назначение и отличающихся лишь незначительными конструктивными особенностями. Это особенно резко проявляется в отношении взрывателей, дистанционных трубок и воспламенителей. По плану литеры «С» намечены мероприятия по частичной их унификации, что облегчит их массовое производство.</w:t>
      </w:r>
    </w:p>
    <w:p w14:paraId="3416F8AD"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По контрольным цифрам 1928/29 г. намечен ряд мероприятий по </w:t>
      </w:r>
      <w:proofErr w:type="spellStart"/>
      <w:r w:rsidRPr="00A259BD">
        <w:rPr>
          <w:color w:val="000000" w:themeColor="text1"/>
          <w:sz w:val="16"/>
          <w:szCs w:val="16"/>
        </w:rPr>
        <w:t>суррогатированию</w:t>
      </w:r>
      <w:proofErr w:type="spellEnd"/>
      <w:r w:rsidRPr="00A259BD">
        <w:rPr>
          <w:color w:val="000000" w:themeColor="text1"/>
          <w:sz w:val="16"/>
          <w:szCs w:val="16"/>
        </w:rPr>
        <w:t xml:space="preserve"> цветных металлов в отдельных элементах выстрела. Разрешен вопрос о замене пушечной латуни железом. «Больным» местом до сих пор являются неточности и ошибки в чертежах и технических условиях, представляемых </w:t>
      </w:r>
      <w:proofErr w:type="spellStart"/>
      <w:r w:rsidRPr="00A259BD">
        <w:rPr>
          <w:color w:val="000000" w:themeColor="text1"/>
          <w:sz w:val="16"/>
          <w:szCs w:val="16"/>
        </w:rPr>
        <w:t>НКВМором</w:t>
      </w:r>
      <w:proofErr w:type="spellEnd"/>
      <w:r w:rsidRPr="00A259BD">
        <w:rPr>
          <w:color w:val="000000" w:themeColor="text1"/>
          <w:sz w:val="16"/>
          <w:szCs w:val="16"/>
        </w:rPr>
        <w:t xml:space="preserve">, а также отсутствие по некоторым номенклатурам чертежей приемочно-поверочного инструмента. Так, например, </w:t>
      </w:r>
      <w:proofErr w:type="spellStart"/>
      <w:r w:rsidRPr="00A259BD">
        <w:rPr>
          <w:color w:val="000000" w:themeColor="text1"/>
          <w:sz w:val="16"/>
          <w:szCs w:val="16"/>
        </w:rPr>
        <w:t>поверочно</w:t>
      </w:r>
      <w:proofErr w:type="spellEnd"/>
      <w:r w:rsidRPr="00A259BD">
        <w:rPr>
          <w:color w:val="000000" w:themeColor="text1"/>
          <w:sz w:val="16"/>
          <w:szCs w:val="16"/>
        </w:rPr>
        <w:t xml:space="preserve">-приемочный инструмент на снаряды Военно-химическим управлением представлен лишь по двум номенклатурам, а </w:t>
      </w:r>
      <w:proofErr w:type="spellStart"/>
      <w:r w:rsidRPr="00A259BD">
        <w:rPr>
          <w:color w:val="000000" w:themeColor="text1"/>
          <w:sz w:val="16"/>
          <w:szCs w:val="16"/>
        </w:rPr>
        <w:t>морведом</w:t>
      </w:r>
      <w:proofErr w:type="spellEnd"/>
      <w:r w:rsidRPr="00A259BD">
        <w:rPr>
          <w:color w:val="000000" w:themeColor="text1"/>
          <w:sz w:val="16"/>
          <w:szCs w:val="16"/>
        </w:rPr>
        <w:t xml:space="preserve"> совершенно не представлен. Это обстоятельство мешает подготовке промышленности, а с другой стороны, срывает развертывание лекального производства и накопление </w:t>
      </w:r>
      <w:proofErr w:type="spellStart"/>
      <w:r w:rsidRPr="00A259BD">
        <w:rPr>
          <w:color w:val="000000" w:themeColor="text1"/>
          <w:sz w:val="16"/>
          <w:szCs w:val="16"/>
        </w:rPr>
        <w:t>мобзапаса</w:t>
      </w:r>
      <w:proofErr w:type="spellEnd"/>
      <w:r w:rsidRPr="00A259BD">
        <w:rPr>
          <w:color w:val="000000" w:themeColor="text1"/>
          <w:sz w:val="16"/>
          <w:szCs w:val="16"/>
        </w:rPr>
        <w:t xml:space="preserve"> лекал, что является необходимым условием для обеспечения массового производства элементов выстрела в военное время. Неразрешенность до сих пор вопроса о модернизации выстрела затрудняет начатую работу по созданию запаса лекал, связанную со значительными затратами (несколько миллионов рублей), которые могут оказаться бесполезными при введении на вооружение новых образцов. По ряду элементов выстрела отсутствуют образцы и технические условия (снаряды для батальонной артиллерии, некоторые виды химических и морских снарядов и т. д.). В отдельных случаях заявка содержит элементы, не принятые на вооружение РККА (взрыватели УГТ2). Ряд отдельных номенклатур заявки характеризуется чрезвычайной дробностью заявленной потребности и большим ее разнообразием, что особенно относится к заявке морского ведомства. При разработке заданий литеры «С» ряд таких требований был исключен просто потому, что для удовлетворения их пришлось бы нецелесообразно загрузить большое количество заводов небольшими заданиями. Удовлетворение потребности НКВМ по этим последним номенклатурам надлежало бы достигнуть отчасти заготовлением некоторых из них в </w:t>
      </w:r>
      <w:proofErr w:type="spellStart"/>
      <w:r w:rsidRPr="00A259BD">
        <w:rPr>
          <w:color w:val="000000" w:themeColor="text1"/>
          <w:sz w:val="16"/>
          <w:szCs w:val="16"/>
        </w:rPr>
        <w:t>мобзапас</w:t>
      </w:r>
      <w:proofErr w:type="spellEnd"/>
      <w:r w:rsidRPr="00A259BD">
        <w:rPr>
          <w:color w:val="000000" w:themeColor="text1"/>
          <w:sz w:val="16"/>
          <w:szCs w:val="16"/>
        </w:rPr>
        <w:t xml:space="preserve"> в мирное время, а для производства остальной части, видимо, необходимо будет мобилизовать один завод, подготовив его загрузку большим количеством номенклатур. Вопрос об этих номенклатурах в данное время прорабатывается с НКВМ.</w:t>
      </w:r>
    </w:p>
    <w:p w14:paraId="704ED23F"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Переходя к характеристике обеспечения заявки </w:t>
      </w:r>
      <w:proofErr w:type="spellStart"/>
      <w:r w:rsidRPr="00A259BD">
        <w:rPr>
          <w:color w:val="000000" w:themeColor="text1"/>
          <w:sz w:val="16"/>
          <w:szCs w:val="16"/>
        </w:rPr>
        <w:t>НКВМора</w:t>
      </w:r>
      <w:proofErr w:type="spellEnd"/>
      <w:r w:rsidRPr="00A259BD">
        <w:rPr>
          <w:color w:val="000000" w:themeColor="text1"/>
          <w:sz w:val="16"/>
          <w:szCs w:val="16"/>
        </w:rPr>
        <w:t>, необходимо прежде всего остановиться на организации выстрела, которая является весьма ответственной задачей в связи о необходимостью: а) обеспечить равномерное удовлетворение потребности по всем отдельным и многочисленным элементам выстрела, из которых в вышеприведенной табличке даны лишь основные; б) должным образом районировать производство выстрела с целью избежания больших перевозок в военное время. Эта задача представляется особенно трудной как потому, что в производстве выстрела принимает участие очень большое число разнообразнейших производств (несколько десятков), так и потому, что отдельные элементы выстрела различны для различных и весьма многочисленных типов и калибров снарядов.</w:t>
      </w:r>
    </w:p>
    <w:p w14:paraId="1AE4AD14"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Необходимость правильной организации выстрела влечет требование строгой специализации всех заводов, вырабатывающих отдельные элементы выстрела. В связи с происходящими большими работами по восстановлению и расширению производственных мощностей эта задача усложняется необходимостью в каждый данный год проводить капитальные работы, строго увязывая их с изложенных выше точек зрения. Полное разрешение всех перечисленных задач в данный момент не достигнуто ни в одном из указанных выше отношений и будет достигнуто лишь к концу трехлетия с одновременным обеспечением трехлетней заявки </w:t>
      </w:r>
      <w:proofErr w:type="spellStart"/>
      <w:r w:rsidRPr="00A259BD">
        <w:rPr>
          <w:color w:val="000000" w:themeColor="text1"/>
          <w:sz w:val="16"/>
          <w:szCs w:val="16"/>
        </w:rPr>
        <w:t>НКВМора</w:t>
      </w:r>
      <w:proofErr w:type="spellEnd"/>
      <w:r w:rsidRPr="00A259BD">
        <w:rPr>
          <w:color w:val="000000" w:themeColor="text1"/>
          <w:sz w:val="16"/>
          <w:szCs w:val="16"/>
        </w:rPr>
        <w:t>. К данному моменту удалось, однако, достигнуть увязки планов капитального строительства как в том отношении, что мощности по отдельным элементам согласованы между собой и дают целое число выстрелов, так и в том отношении, что выстрелы получаются нужных типов и калибров. Из таблицы на с. 54⁴* видно, что имеющиеся на 1 октября 1928 г. отдельные разрывы в общем ликвидируются вместе с достижением мощности, заданной по литере «С». К тому же времени достигается и соответствие в отношении отдельных типов и калибров.</w:t>
      </w:r>
    </w:p>
    <w:p w14:paraId="51D0AB36"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Районирование выстрела в целом по 4 районам (Северо-Западному, Центральному, Уральскому и Южному), предложенное </w:t>
      </w:r>
      <w:proofErr w:type="spellStart"/>
      <w:r w:rsidRPr="00A259BD">
        <w:rPr>
          <w:color w:val="000000" w:themeColor="text1"/>
          <w:sz w:val="16"/>
          <w:szCs w:val="16"/>
        </w:rPr>
        <w:t>НКВМором</w:t>
      </w:r>
      <w:proofErr w:type="spellEnd"/>
      <w:r w:rsidRPr="00A259BD">
        <w:rPr>
          <w:color w:val="000000" w:themeColor="text1"/>
          <w:sz w:val="16"/>
          <w:szCs w:val="16"/>
        </w:rPr>
        <w:t xml:space="preserve"> в 1927 г. до сих пор не удалось выдержать. Причиной этому являлся «восстановительный» характер предшествующего периода развития военных производств, заставлявший восстанавливать работавшие в мировую войну предприятия ко всем элементам выстрела в том виде, как они в свое время были построены. Особенно остро стал вопрос о снаряжательных заводах, которые расположены только в центре. На Урале и на Юге таковых вовсе нет. Таким образом, всю продукцию Урала и Юга для снаряжения надо было бы направлять в центр.</w:t>
      </w:r>
    </w:p>
    <w:p w14:paraId="4D451361"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Что же касается взрывчатых веществ, то производство их расположено, главным образом, в Центре и на Юге. Такое неудачное расположение должно вызвать во время войны лишние перевозки, со всеми вытекающими отсюда неудобствами. По плану литеры «С» намечается постройка нового снаряжательного завода в Донбассе, что позволит значительно выдавить неудачное районирование выстрела, доставшееся нам от мировой войны.</w:t>
      </w:r>
    </w:p>
    <w:p w14:paraId="6E054521"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Показанная в упомянутой выше таблице динамика мощностей в части данных на 1 октября 1927 г. не является достоверной потому, что к тому времени фактически существовали только мощности на военных заводах, на которых из элементов выстрела производился бездымный порох, пушечные гильзы, отчасти взрыватели и дистанционные трубки. Все прочие элементы размещены на заводах гражданской промышленности, на которых к тому времени вовсе не было начато восстановление военных производств. Лишь в 1927/28 г. началось фактическое восстановление производственных мощностей, которое развивалось довольно энергичным темпом, но вместе с тем и крайне неравномерно по отдельным элементам выстрела.</w:t>
      </w:r>
    </w:p>
    <w:p w14:paraId="5B39FB79"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Подтянуто снаряжение снарядов, бывшее «узким» местом. Наиболее «узким» местом по выстрелу все же остался порох, мощность по которому достигнет уровня, требуемого по литере «С», только к 1 октября 1930 г. Показанные в таблице приросты мощностей по годам являются результатом не только капитальных работ, но и работ по уточнению производственных мощностей, проведенных на протяжении 1928 г. Эта работа позволила значительно повысить мощности, показываемые на 1 октября 1928 г., и она же определила возможность довольно значительного скачка, который делается планом литеры «С». По плану литеры «С» к выполнению заданий по выстрелу привлечено всего 163 завода, не считая заводов, вырабатывающих сырье, в том числе заводов металлургических и прокатных. Распределение этих заводов по отдельным элементам выстрела показано в прилагаемой таблице⁵*: по корпусам снарядов —38 заводов; по взрывателям 21 завод; по дистанционным трубкам — 4 завода; по пушечным гильзам — 2 завода; по воспламенителям — 6 заводов; всего по металлообработке элементов «выстрела» — 71 завод, из коих 12 заводов работают по нескольким производствам; всего — 59 заводов.</w:t>
      </w:r>
    </w:p>
    <w:p w14:paraId="5A712DCB"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Химические заводы: пороховых (и </w:t>
      </w:r>
      <w:proofErr w:type="spellStart"/>
      <w:r w:rsidRPr="00A259BD">
        <w:rPr>
          <w:color w:val="000000" w:themeColor="text1"/>
          <w:sz w:val="16"/>
          <w:szCs w:val="16"/>
        </w:rPr>
        <w:t>селитро</w:t>
      </w:r>
      <w:proofErr w:type="spellEnd"/>
      <w:r w:rsidRPr="00A259BD">
        <w:rPr>
          <w:color w:val="000000" w:themeColor="text1"/>
          <w:sz w:val="16"/>
          <w:szCs w:val="16"/>
        </w:rPr>
        <w:t>-угольных добавок) — 7; снаряжательных — 5; капсюльных — 5; зав[</w:t>
      </w:r>
      <w:proofErr w:type="spellStart"/>
      <w:r w:rsidRPr="00A259BD">
        <w:rPr>
          <w:color w:val="000000" w:themeColor="text1"/>
          <w:sz w:val="16"/>
          <w:szCs w:val="16"/>
        </w:rPr>
        <w:t>одов</w:t>
      </w:r>
      <w:proofErr w:type="spellEnd"/>
      <w:r w:rsidRPr="00A259BD">
        <w:rPr>
          <w:color w:val="000000" w:themeColor="text1"/>
          <w:sz w:val="16"/>
          <w:szCs w:val="16"/>
        </w:rPr>
        <w:t xml:space="preserve">] взрывчатых веществ —7; сернокислотных — 24; </w:t>
      </w:r>
      <w:proofErr w:type="spellStart"/>
      <w:r w:rsidRPr="00A259BD">
        <w:rPr>
          <w:color w:val="000000" w:themeColor="text1"/>
          <w:sz w:val="16"/>
          <w:szCs w:val="16"/>
        </w:rPr>
        <w:t>азотнокислотных</w:t>
      </w:r>
      <w:proofErr w:type="spellEnd"/>
      <w:r w:rsidRPr="00A259BD">
        <w:rPr>
          <w:color w:val="000000" w:themeColor="text1"/>
          <w:sz w:val="16"/>
          <w:szCs w:val="16"/>
        </w:rPr>
        <w:t xml:space="preserve"> — 25; коксобензольных и </w:t>
      </w:r>
      <w:proofErr w:type="spellStart"/>
      <w:r w:rsidRPr="00A259BD">
        <w:rPr>
          <w:color w:val="000000" w:themeColor="text1"/>
          <w:sz w:val="16"/>
          <w:szCs w:val="16"/>
        </w:rPr>
        <w:t>нефтетолуоловых</w:t>
      </w:r>
      <w:proofErr w:type="spellEnd"/>
      <w:r w:rsidRPr="00A259BD">
        <w:rPr>
          <w:color w:val="000000" w:themeColor="text1"/>
          <w:sz w:val="16"/>
          <w:szCs w:val="16"/>
        </w:rPr>
        <w:t> — 23; анилинокрасочных — 1; итого — 97. Всего по «выстрелу» привлечено сейчас 156 заводов⁶*.</w:t>
      </w:r>
    </w:p>
    <w:p w14:paraId="42F6A09C"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Одна из важнейших работ по организации выстрела заключается в необходимости увязки отдельных элементов выстрела по срокам их мобилизационного развертывания. Материалы, которыми в данный момент располагает ВСНХ, не позволяют еще приступить к этой увязке, потому что ранее рассчитанные (по </w:t>
      </w:r>
      <w:proofErr w:type="spellStart"/>
      <w:r w:rsidRPr="00A259BD">
        <w:rPr>
          <w:color w:val="000000" w:themeColor="text1"/>
          <w:sz w:val="16"/>
          <w:szCs w:val="16"/>
        </w:rPr>
        <w:t>мобплану</w:t>
      </w:r>
      <w:proofErr w:type="spellEnd"/>
      <w:r w:rsidRPr="00A259BD">
        <w:rPr>
          <w:color w:val="000000" w:themeColor="text1"/>
          <w:sz w:val="16"/>
          <w:szCs w:val="16"/>
        </w:rPr>
        <w:t xml:space="preserve"> литеры «А») сроки мобилизационного развертывания исчислены на основании столь предположительных и зачастую неверных данных, что ни в какой степени не могут быть использованы для такой работы.</w:t>
      </w:r>
    </w:p>
    <w:p w14:paraId="0A7C4EAD"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В связи с выдачей задания по литере «С» ВСНХ СССР намечает к марту месяцу получить с заводов вновь разработанные данные о сроках их мобилизационного развертывания, после чего в III квартале текущего года возможно будет провести некоторые организационные и практические мероприятия по увязке элементов выстрела в указанном отношении. Можно заранее предвидеть, что в связи с этой работой выявится добавочная значительная потребность в </w:t>
      </w:r>
      <w:proofErr w:type="spellStart"/>
      <w:r w:rsidRPr="00A259BD">
        <w:rPr>
          <w:color w:val="000000" w:themeColor="text1"/>
          <w:sz w:val="16"/>
          <w:szCs w:val="16"/>
        </w:rPr>
        <w:t>мобзапасах</w:t>
      </w:r>
      <w:proofErr w:type="spellEnd"/>
      <w:r w:rsidRPr="00A259BD">
        <w:rPr>
          <w:color w:val="000000" w:themeColor="text1"/>
          <w:sz w:val="16"/>
          <w:szCs w:val="16"/>
        </w:rPr>
        <w:t xml:space="preserve"> для тех производств, которые по необходимости будут отставать в своем развертывании. Точную цифру этой потребности ВСНХ СССР, как указано, в данный момент предъявить не может.</w:t>
      </w:r>
    </w:p>
    <w:p w14:paraId="5DE2F9B2"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lastRenderedPageBreak/>
        <w:t>Одной из серьезнейших проблем является сохранение в промышленности производственных навыков по военным номенклатурам, приобретенных ею во время минувшей войны, или получение таковых уже в мирное время. По элементам некоторых типов выстрела промышленность не имеет еще установившегося производства ввиду его новизны; с другой стороны, промышленностью утеряны производственные навыки по некоторым типам, которые в мировую войну у нас изготовлялись, например — корпуса снарядов морского и бронебойного типа, взрыватели к морским и тяжелым снарядам и др.</w:t>
      </w:r>
    </w:p>
    <w:p w14:paraId="6791FA01"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Положение усугубляется незначительностью заказов мирного времени. Так, например, в 1928/29 г. всего 1,5% от намеченной на 1 октября 1929 г. мощности и притом — на ограниченное количество номенклатур. Все же заказы мирного времени могут сыграть большую роль в подготовке промышленности, для чего их нужно целесообразно распределить между заводами соответственно их </w:t>
      </w:r>
      <w:proofErr w:type="spellStart"/>
      <w:r w:rsidRPr="00A259BD">
        <w:rPr>
          <w:color w:val="000000" w:themeColor="text1"/>
          <w:sz w:val="16"/>
          <w:szCs w:val="16"/>
        </w:rPr>
        <w:t>мобзаданию</w:t>
      </w:r>
      <w:proofErr w:type="spellEnd"/>
      <w:r w:rsidRPr="00A259BD">
        <w:rPr>
          <w:color w:val="000000" w:themeColor="text1"/>
          <w:sz w:val="16"/>
          <w:szCs w:val="16"/>
        </w:rPr>
        <w:t xml:space="preserve">. Огромную роль в техническо-производственной готовности к развертыванию заводов, получивших </w:t>
      </w:r>
      <w:proofErr w:type="spellStart"/>
      <w:r w:rsidRPr="00A259BD">
        <w:rPr>
          <w:color w:val="000000" w:themeColor="text1"/>
          <w:sz w:val="16"/>
          <w:szCs w:val="16"/>
        </w:rPr>
        <w:t>мобзадание</w:t>
      </w:r>
      <w:proofErr w:type="spellEnd"/>
      <w:r w:rsidRPr="00A259BD">
        <w:rPr>
          <w:color w:val="000000" w:themeColor="text1"/>
          <w:sz w:val="16"/>
          <w:szCs w:val="16"/>
        </w:rPr>
        <w:t xml:space="preserve"> по элементам выстрела, будут иметь военно-производственные ячейки, создаваемые на этих заводах и наращивающие уже в мирное время нужные производственные навыки и подготовляющие кадры технического персонала и рабочие силы...⁷*</w:t>
      </w:r>
    </w:p>
    <w:p w14:paraId="6630D81F" w14:textId="77777777" w:rsidR="00CE0BB3" w:rsidRPr="00A259BD" w:rsidRDefault="00CE0BB3" w:rsidP="009236E3">
      <w:pPr>
        <w:pStyle w:val="rtejustify"/>
        <w:spacing w:before="0" w:after="0"/>
        <w:rPr>
          <w:rStyle w:val="af0"/>
          <w:i w:val="0"/>
          <w:color w:val="000000" w:themeColor="text1"/>
          <w:sz w:val="16"/>
          <w:szCs w:val="16"/>
        </w:rPr>
      </w:pPr>
      <w:r w:rsidRPr="00A259BD">
        <w:rPr>
          <w:rStyle w:val="a7"/>
          <w:b w:val="0"/>
          <w:bCs w:val="0"/>
          <w:color w:val="000000" w:themeColor="text1"/>
          <w:sz w:val="16"/>
          <w:szCs w:val="16"/>
        </w:rPr>
        <w:t>4. ОВ и противогазы</w:t>
      </w:r>
    </w:p>
    <w:p w14:paraId="7ADFFC58" w14:textId="77777777" w:rsidR="007548ED" w:rsidRPr="00A259BD" w:rsidRDefault="007548ED" w:rsidP="009236E3">
      <w:pPr>
        <w:pStyle w:val="rtejustify"/>
        <w:spacing w:before="0" w:after="0"/>
        <w:rPr>
          <w:color w:val="000000" w:themeColor="text1"/>
          <w:sz w:val="16"/>
          <w:szCs w:val="16"/>
        </w:rPr>
      </w:pPr>
      <w:r w:rsidRPr="00A259BD">
        <w:rPr>
          <w:rStyle w:val="af0"/>
          <w:i w:val="0"/>
          <w:color w:val="000000" w:themeColor="text1"/>
          <w:sz w:val="16"/>
          <w:szCs w:val="16"/>
        </w:rPr>
        <w:t>Производство ОВ,</w:t>
      </w:r>
      <w:r w:rsidRPr="00A259BD">
        <w:rPr>
          <w:color w:val="000000" w:themeColor="text1"/>
          <w:sz w:val="16"/>
          <w:szCs w:val="16"/>
        </w:rPr>
        <w:t xml:space="preserve"> несмотря на колоссальное развитие за время империалистической войны в западноевропейских странах и САСШ, в дореволюционной России за этот же период получило весьма слабое развитие, причем ассортимент этих ОВ как количественно, так и качественно уже и тогда не отвечал боевым требованиям. Из существовавших у нас тогда производств тактический интерес в настоящем представляют лишь производства; </w:t>
      </w:r>
      <w:proofErr w:type="spellStart"/>
      <w:r w:rsidRPr="00A259BD">
        <w:rPr>
          <w:color w:val="000000" w:themeColor="text1"/>
          <w:sz w:val="16"/>
          <w:szCs w:val="16"/>
        </w:rPr>
        <w:t>лотара</w:t>
      </w:r>
      <w:proofErr w:type="spellEnd"/>
      <w:r w:rsidRPr="00A259BD">
        <w:rPr>
          <w:color w:val="000000" w:themeColor="text1"/>
          <w:sz w:val="16"/>
          <w:szCs w:val="16"/>
        </w:rPr>
        <w:t xml:space="preserve">, </w:t>
      </w:r>
      <w:proofErr w:type="spellStart"/>
      <w:r w:rsidRPr="00A259BD">
        <w:rPr>
          <w:color w:val="000000" w:themeColor="text1"/>
          <w:sz w:val="16"/>
          <w:szCs w:val="16"/>
        </w:rPr>
        <w:t>пантуса</w:t>
      </w:r>
      <w:proofErr w:type="spellEnd"/>
      <w:r w:rsidRPr="00A259BD">
        <w:rPr>
          <w:color w:val="000000" w:themeColor="text1"/>
          <w:sz w:val="16"/>
          <w:szCs w:val="16"/>
        </w:rPr>
        <w:t xml:space="preserve"> и </w:t>
      </w:r>
      <w:proofErr w:type="spellStart"/>
      <w:r w:rsidRPr="00A259BD">
        <w:rPr>
          <w:color w:val="000000" w:themeColor="text1"/>
          <w:sz w:val="16"/>
          <w:szCs w:val="16"/>
        </w:rPr>
        <w:t>урбана</w:t>
      </w:r>
      <w:proofErr w:type="spellEnd"/>
      <w:r w:rsidRPr="00A259BD">
        <w:rPr>
          <w:color w:val="000000" w:themeColor="text1"/>
          <w:sz w:val="16"/>
          <w:szCs w:val="16"/>
        </w:rPr>
        <w:t xml:space="preserve">, но эти установки были разрушены в демобилизационный период. Позднее, и лишь недавно, советской промышленности их пришлось заново восстанавливать, причем производство </w:t>
      </w:r>
      <w:proofErr w:type="spellStart"/>
      <w:r w:rsidRPr="00A259BD">
        <w:rPr>
          <w:color w:val="000000" w:themeColor="text1"/>
          <w:sz w:val="16"/>
          <w:szCs w:val="16"/>
        </w:rPr>
        <w:t>урбана</w:t>
      </w:r>
      <w:proofErr w:type="spellEnd"/>
      <w:r w:rsidRPr="00A259BD">
        <w:rPr>
          <w:color w:val="000000" w:themeColor="text1"/>
          <w:sz w:val="16"/>
          <w:szCs w:val="16"/>
        </w:rPr>
        <w:t xml:space="preserve"> по совершенно иному и лучшему методу, а производство </w:t>
      </w:r>
      <w:proofErr w:type="spellStart"/>
      <w:r w:rsidRPr="00A259BD">
        <w:rPr>
          <w:color w:val="000000" w:themeColor="text1"/>
          <w:sz w:val="16"/>
          <w:szCs w:val="16"/>
        </w:rPr>
        <w:t>пантуса</w:t>
      </w:r>
      <w:proofErr w:type="spellEnd"/>
      <w:r w:rsidRPr="00A259BD">
        <w:rPr>
          <w:color w:val="000000" w:themeColor="text1"/>
          <w:sz w:val="16"/>
          <w:szCs w:val="16"/>
        </w:rPr>
        <w:t xml:space="preserve"> по существовавшему методу у нас во время империалистической войны (</w:t>
      </w:r>
      <w:proofErr w:type="spellStart"/>
      <w:r w:rsidRPr="00A259BD">
        <w:rPr>
          <w:color w:val="000000" w:themeColor="text1"/>
          <w:sz w:val="16"/>
          <w:szCs w:val="16"/>
        </w:rPr>
        <w:t>Штейнгауза</w:t>
      </w:r>
      <w:proofErr w:type="spellEnd"/>
      <w:r w:rsidRPr="00A259BD">
        <w:rPr>
          <w:color w:val="000000" w:themeColor="text1"/>
          <w:sz w:val="16"/>
          <w:szCs w:val="16"/>
        </w:rPr>
        <w:t>), который нашу промышленность удовлетворить не может.</w:t>
      </w:r>
    </w:p>
    <w:p w14:paraId="7DE0A910"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Более или менее настойчивые искания в этой новой области начинаются у нас примерно с 1924 г., которые, однако, до 1926 г. ограничиваются попытками создания кое-каких лабораторий для научно-исследовательских работ и собиранием кадра научных сил, работавших в этой отрасли во время империалистической войны. Лишь в 1926/27 производственном году по линии военной промышленности (на заводах быв. «</w:t>
      </w:r>
      <w:proofErr w:type="spellStart"/>
      <w:r w:rsidRPr="00A259BD">
        <w:rPr>
          <w:color w:val="000000" w:themeColor="text1"/>
          <w:sz w:val="16"/>
          <w:szCs w:val="16"/>
        </w:rPr>
        <w:t>Эксольхим</w:t>
      </w:r>
      <w:proofErr w:type="spellEnd"/>
      <w:r w:rsidRPr="00A259BD">
        <w:rPr>
          <w:color w:val="000000" w:themeColor="text1"/>
          <w:sz w:val="16"/>
          <w:szCs w:val="16"/>
        </w:rPr>
        <w:t>») были организованы некоторые опытные производства основных ОВ, применявшихся во время империалистической войны как на нашем фронте, так и на Западе, имеющих и в современной войне известное тактическое значение.</w:t>
      </w:r>
    </w:p>
    <w:p w14:paraId="2EC2B6A3"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Номенклатура этих ОВ и легла в основу заявки НКВМ как 1927 г., так и новой заявки 1928 г. Таким образом, никакого более или менее значительного опыта научно-исследовательского порядка и производственного советская промышленность не получила; разрозненная научно-исследовательская работа, находящаяся и до сих пор в зачаточном состоянии как по линии ВСНХ (лишь недавно создан отдел ОВ при Химическом институте им. Карпова⁸*), так и по линии НКВМ (лишь в текущем году построен Институт химической обороны⁹*, который на днях стал функционировать) не может в достаточной мере обеспечить развитие этого весьма нового и для других передовых стран дела. Отсталое состояние нашей химической промышленности, являющейся основной базой для развития производства ОВ, не могла благоприятствовать и не благоприятствует в настоящем организации необходимых производств ОВ в качественном и количественном отношениях, потребных для нужд обороны, и, наконец, заявка НКВМ предусматривает все известные до сих пор ОВ, что облегчает организацию защиты нашим вероятным противникам. Трехлетняя заявка НКВМ предусматривает 41 140 т ОВ. Мощность заводов на 1 октября 1928 г. составляет 9375 т, т. е. 19,7% этой заявки. План литеры «С» доводит мощность установок по ОВ до 18,2 тыс. т, т. е. до 38,7% обеспеченности заявки.</w:t>
      </w:r>
    </w:p>
    <w:p w14:paraId="7EE54D5F"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В реализации плана литеры «С» взята твердая установка на развитие производства ОВ по линии гражданской промышленности с организацией этих производств на родственных по своему технологическому процессу предприятиях, а также на возможность использования ОВ или отдельных стадий их производства с целью получения продуктов или полупродуктов для нужд гражданской промышленности. Указанная установка должна дать большую экономию затрат по строительству, больший эффект по развертыванию мощностей и сокращение срока этого развертывания, возможность лучшего планирования и производства ОВ с увязкой их со всей химической промышленностью и экономию технических сил...¹⁰*</w:t>
      </w:r>
    </w:p>
    <w:p w14:paraId="3DD644A0"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Реализация плана литеры «С», а также развитие мощностей по ОВ на протяжении трехлетки потребуют колоссального напряжения химической промышленности при данной стадии ее развития. Проектирование новых установок может быть успешным лишь при весьма достаточном знакомстве с технологическим процессом этих новых производств, на что, в свою очередь, потребуется солидная работа научно-исследовательского порядка. Отсутствие достаточно подготовленного кадра химиков-проектировщиков и конструкторов химической аппаратуры, химиков-технологов и химиков-синтетиков потребует подготовки нового кадра техперсонала. Отсутствие этого кадра в настоящем ставит под угрозу своевременное выполнение всего намеченного плана работ, а в частности выполнение плана литеры «С».</w:t>
      </w:r>
    </w:p>
    <w:p w14:paraId="60138591"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Развитие мощностей по ОВ требует параллельного расширения сырьевой базы (сера, мышьяк, хлор) и развития целых отраслей химической промышленности (анилин, дифениламин и др.), а также и установку новых производств (безводный хлористый алюминий, окись алюминия и др.). Развитие хлорного производства по потребности удовлетворения заявки НКВМ требует настойчивой научно-исследовательской! работы и капитальных затрат по организации новых производств </w:t>
      </w:r>
      <w:proofErr w:type="spellStart"/>
      <w:r w:rsidRPr="00A259BD">
        <w:rPr>
          <w:color w:val="000000" w:themeColor="text1"/>
          <w:sz w:val="16"/>
          <w:szCs w:val="16"/>
        </w:rPr>
        <w:t>хлорпродуктов</w:t>
      </w:r>
      <w:proofErr w:type="spellEnd"/>
      <w:r w:rsidRPr="00A259BD">
        <w:rPr>
          <w:color w:val="000000" w:themeColor="text1"/>
          <w:sz w:val="16"/>
          <w:szCs w:val="16"/>
        </w:rPr>
        <w:t>, допускающих внедрение этих хлоропроизводных в обиход нашего отсталого хозяйства. Указанные проблемы стоят перед ВСНХ и нельзя их в настоящем в достаточной мере считать разрешенными.</w:t>
      </w:r>
    </w:p>
    <w:p w14:paraId="67F7E48A" w14:textId="77777777" w:rsidR="007548ED" w:rsidRPr="00A259BD" w:rsidRDefault="007548ED" w:rsidP="009236E3">
      <w:pPr>
        <w:pStyle w:val="rtejustify"/>
        <w:spacing w:before="0" w:after="0"/>
        <w:rPr>
          <w:color w:val="000000" w:themeColor="text1"/>
          <w:sz w:val="16"/>
          <w:szCs w:val="16"/>
        </w:rPr>
      </w:pPr>
      <w:r w:rsidRPr="00A259BD">
        <w:rPr>
          <w:rStyle w:val="af0"/>
          <w:i w:val="0"/>
          <w:color w:val="000000" w:themeColor="text1"/>
          <w:sz w:val="16"/>
          <w:szCs w:val="16"/>
        </w:rPr>
        <w:t>Противогазы.</w:t>
      </w:r>
      <w:r w:rsidRPr="00A259BD">
        <w:rPr>
          <w:color w:val="000000" w:themeColor="text1"/>
          <w:sz w:val="16"/>
          <w:szCs w:val="16"/>
        </w:rPr>
        <w:t xml:space="preserve"> Трехлетняя заявка составляет 10 млн. шт. противогазов и 5 млн. запасных респираторов к ним. Мощность на 1 октября 1928 г. — 1,5 млн. шт., что составляет 15% трехлетнего задания. План литеры «С» доводит мощность до 10 млн. полных комплектов противогазов плюс 5 млн. запасных к ним респираторных коробок, что полностью покрывает потребность по трехлетней заявке </w:t>
      </w:r>
      <w:proofErr w:type="spellStart"/>
      <w:r w:rsidRPr="00A259BD">
        <w:rPr>
          <w:color w:val="000000" w:themeColor="text1"/>
          <w:sz w:val="16"/>
          <w:szCs w:val="16"/>
        </w:rPr>
        <w:t>НКВМора</w:t>
      </w:r>
      <w:proofErr w:type="spellEnd"/>
      <w:r w:rsidRPr="00A259BD">
        <w:rPr>
          <w:color w:val="000000" w:themeColor="text1"/>
          <w:sz w:val="16"/>
          <w:szCs w:val="16"/>
        </w:rPr>
        <w:t xml:space="preserve">. Большой прирост мощности по плану литеры «С» объясняется не капитальным строительством, а изменением принципов организации производства противогазов; вместо ранее намечавшегося специального строительства завода по их производству разработан план кооперирования ряда заводов, что и дало эффект прироста мощности. Отдельные элементы противогазов будут производиться на предприятиях соответствующих отраслей гражданской промышленности (резиновые части — на заводах </w:t>
      </w:r>
      <w:proofErr w:type="spellStart"/>
      <w:r w:rsidRPr="00A259BD">
        <w:rPr>
          <w:color w:val="000000" w:themeColor="text1"/>
          <w:sz w:val="16"/>
          <w:szCs w:val="16"/>
        </w:rPr>
        <w:t>Резинотреста</w:t>
      </w:r>
      <w:proofErr w:type="spellEnd"/>
      <w:r w:rsidRPr="00A259BD">
        <w:rPr>
          <w:color w:val="000000" w:themeColor="text1"/>
          <w:sz w:val="16"/>
          <w:szCs w:val="16"/>
        </w:rPr>
        <w:t xml:space="preserve">, металлические части — на жестяных предприятиях, активированный уголь и </w:t>
      </w:r>
      <w:proofErr w:type="spellStart"/>
      <w:r w:rsidRPr="00A259BD">
        <w:rPr>
          <w:color w:val="000000" w:themeColor="text1"/>
          <w:sz w:val="16"/>
          <w:szCs w:val="16"/>
        </w:rPr>
        <w:t>химпоглотитель</w:t>
      </w:r>
      <w:proofErr w:type="spellEnd"/>
      <w:r w:rsidRPr="00A259BD">
        <w:rPr>
          <w:color w:val="000000" w:themeColor="text1"/>
          <w:sz w:val="16"/>
          <w:szCs w:val="16"/>
        </w:rPr>
        <w:t xml:space="preserve"> — на предприятиях </w:t>
      </w:r>
      <w:proofErr w:type="spellStart"/>
      <w:r w:rsidRPr="00A259BD">
        <w:rPr>
          <w:color w:val="000000" w:themeColor="text1"/>
          <w:sz w:val="16"/>
          <w:szCs w:val="16"/>
        </w:rPr>
        <w:t>Главхима</w:t>
      </w:r>
      <w:proofErr w:type="spellEnd"/>
      <w:r w:rsidRPr="00A259BD">
        <w:rPr>
          <w:color w:val="000000" w:themeColor="text1"/>
          <w:sz w:val="16"/>
          <w:szCs w:val="16"/>
        </w:rPr>
        <w:t xml:space="preserve">). Сборка намечается на заводе № 12 (Богородск) — 5 тыс. т комплектов и по </w:t>
      </w:r>
      <w:proofErr w:type="spellStart"/>
      <w:r w:rsidRPr="00A259BD">
        <w:rPr>
          <w:color w:val="000000" w:themeColor="text1"/>
          <w:sz w:val="16"/>
          <w:szCs w:val="16"/>
        </w:rPr>
        <w:t>Резинотресту</w:t>
      </w:r>
      <w:proofErr w:type="spellEnd"/>
      <w:r w:rsidRPr="00A259BD">
        <w:rPr>
          <w:color w:val="000000" w:themeColor="text1"/>
          <w:sz w:val="16"/>
          <w:szCs w:val="16"/>
        </w:rPr>
        <w:t> — тоже 5 тыс. т комплектов.</w:t>
      </w:r>
    </w:p>
    <w:p w14:paraId="2C076C4F"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До развития производства активированного угля в размерах потребности по плану гражданской промышленности после тщательного обследования ВСНХ и НВД признано возможным без ущерба населению использовать Московский газовый завод МКХ для производства активированного угля (600 т), и в настоящем приняты меры по приведению этого завода в </w:t>
      </w:r>
      <w:proofErr w:type="spellStart"/>
      <w:r w:rsidRPr="00A259BD">
        <w:rPr>
          <w:color w:val="000000" w:themeColor="text1"/>
          <w:sz w:val="16"/>
          <w:szCs w:val="16"/>
        </w:rPr>
        <w:t>мобготовность</w:t>
      </w:r>
      <w:proofErr w:type="spellEnd"/>
      <w:r w:rsidRPr="00A259BD">
        <w:rPr>
          <w:color w:val="000000" w:themeColor="text1"/>
          <w:sz w:val="16"/>
          <w:szCs w:val="16"/>
        </w:rPr>
        <w:t>.</w:t>
      </w:r>
    </w:p>
    <w:p w14:paraId="33D2D4F0"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В 1928/29 г. предполагается проработать план дальнейшей рационализации производства противогазов с расчленением последнего на 3 основных элемента, каждый из которых будет собираться в отдельности. К месту производства активированного угля будут подаваться жестяные коробки, </w:t>
      </w:r>
      <w:proofErr w:type="spellStart"/>
      <w:r w:rsidRPr="00A259BD">
        <w:rPr>
          <w:color w:val="000000" w:themeColor="text1"/>
          <w:sz w:val="16"/>
          <w:szCs w:val="16"/>
        </w:rPr>
        <w:t>химпоглотитель</w:t>
      </w:r>
      <w:proofErr w:type="spellEnd"/>
      <w:r w:rsidRPr="00A259BD">
        <w:rPr>
          <w:color w:val="000000" w:themeColor="text1"/>
          <w:sz w:val="16"/>
          <w:szCs w:val="16"/>
        </w:rPr>
        <w:t xml:space="preserve"> и фильтр, производство которых концентрируется на отдельных специализирующихся заводах. Здесь будет производиться снаряжение (сборка) респираторной коробки противогаза. Сборка второй части противогаза — резиновой маски — будет производиться на заводах </w:t>
      </w:r>
      <w:proofErr w:type="spellStart"/>
      <w:r w:rsidRPr="00A259BD">
        <w:rPr>
          <w:color w:val="000000" w:themeColor="text1"/>
          <w:sz w:val="16"/>
          <w:szCs w:val="16"/>
        </w:rPr>
        <w:t>Резинотреста</w:t>
      </w:r>
      <w:proofErr w:type="spellEnd"/>
      <w:r w:rsidRPr="00A259BD">
        <w:rPr>
          <w:color w:val="000000" w:themeColor="text1"/>
          <w:sz w:val="16"/>
          <w:szCs w:val="16"/>
        </w:rPr>
        <w:t xml:space="preserve">, куда будут подаваться металлические части для маски (патрубки, заправленные обоймы </w:t>
      </w:r>
      <w:r w:rsidRPr="00A259BD">
        <w:rPr>
          <w:rStyle w:val="af0"/>
          <w:i w:val="0"/>
          <w:color w:val="000000" w:themeColor="text1"/>
          <w:sz w:val="16"/>
          <w:szCs w:val="16"/>
        </w:rPr>
        <w:t>со</w:t>
      </w:r>
      <w:r w:rsidRPr="00A259BD">
        <w:rPr>
          <w:color w:val="000000" w:themeColor="text1"/>
          <w:sz w:val="16"/>
          <w:szCs w:val="16"/>
        </w:rPr>
        <w:t xml:space="preserve"> стеклами для очков и рамка для защитного клапана). Третий элемент — сумка. Таким образом, в адрес НКВМ пойдет уже не целый комплект противогаза, а 3 его основных элемента: респираторная коробка, резиновая маска и сумка. Незначительные усовершенствования конструкции позволят легко соединять все 3 части на месте — в войсковых частях. Освобождение сборочных площадей на снаряжательных заводах и экономия в рабочей силе — эта рационализация облегчает хранение </w:t>
      </w:r>
      <w:proofErr w:type="spellStart"/>
      <w:r w:rsidRPr="00A259BD">
        <w:rPr>
          <w:color w:val="000000" w:themeColor="text1"/>
          <w:sz w:val="16"/>
          <w:szCs w:val="16"/>
        </w:rPr>
        <w:t>мобзапаса</w:t>
      </w:r>
      <w:proofErr w:type="spellEnd"/>
      <w:r w:rsidRPr="00A259BD">
        <w:rPr>
          <w:color w:val="000000" w:themeColor="text1"/>
          <w:sz w:val="16"/>
          <w:szCs w:val="16"/>
        </w:rPr>
        <w:t xml:space="preserve"> противогазов в мирное время, не говоря уже о сокращении перевозок с развертыванием производства в военное время.</w:t>
      </w:r>
    </w:p>
    <w:p w14:paraId="3A3FC48B"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Узким местом производства противогаза является алюминиевый патрубок как по сырью, так и по производству (литье алюминия под давлением). Ликвидация этого «узкого» места намечена и прорабатывается по линии </w:t>
      </w:r>
      <w:proofErr w:type="spellStart"/>
      <w:r w:rsidRPr="00A259BD">
        <w:rPr>
          <w:color w:val="000000" w:themeColor="text1"/>
          <w:sz w:val="16"/>
          <w:szCs w:val="16"/>
        </w:rPr>
        <w:t>суррогатирования</w:t>
      </w:r>
      <w:proofErr w:type="spellEnd"/>
      <w:r w:rsidRPr="00A259BD">
        <w:rPr>
          <w:color w:val="000000" w:themeColor="text1"/>
          <w:sz w:val="16"/>
          <w:szCs w:val="16"/>
        </w:rPr>
        <w:t xml:space="preserve"> алюминия и упрощения конструкции патрубка. Другим «узким» местом являются резиновые части противогаза, обеспечение мощности, по производству которых требует соответствующих запасов каучука¹¹*.</w:t>
      </w:r>
    </w:p>
    <w:p w14:paraId="3B63DBAB" w14:textId="77777777" w:rsidR="00CE0BB3" w:rsidRPr="00A259BD" w:rsidRDefault="00CE0BB3" w:rsidP="009236E3">
      <w:pPr>
        <w:pStyle w:val="rtejustify"/>
        <w:spacing w:before="0" w:after="0"/>
        <w:rPr>
          <w:color w:val="000000" w:themeColor="text1"/>
          <w:sz w:val="16"/>
          <w:szCs w:val="16"/>
        </w:rPr>
      </w:pPr>
      <w:r w:rsidRPr="00A259BD">
        <w:rPr>
          <w:rStyle w:val="a7"/>
          <w:b w:val="0"/>
          <w:bCs w:val="0"/>
          <w:color w:val="000000" w:themeColor="text1"/>
          <w:sz w:val="16"/>
          <w:szCs w:val="16"/>
        </w:rPr>
        <w:t>6. Авиастроение</w:t>
      </w:r>
    </w:p>
    <w:p w14:paraId="00EEFA6E"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Трехлетняя заявка НКВМ составляет 4267 ед. самолетов и 4938 моторов. Мощность на 1 октября 1928 г. по самолетам составляет 2150 шт. — 50,4% трехлетней заявки, а по моторам — 1700 шт., или 30,6% трехлетки. План литеры «С» доводит мощность по самолетам на 1 октября 1929 г. до 2916 шт. (3,1 тыс. учетных единиц), или 68,3% трехлетней заявки, а по моторам — 2845 шт., или 57,5% трехлетки. Мощности как по самолетам, так по моторам не являются окончательными и подлежат дальнейшему уточнению.</w:t>
      </w:r>
    </w:p>
    <w:p w14:paraId="6B09F020"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В первую очередь надлежит отметить разрыв между моторо- и самолетостроением. Количественный дефицит по моторам усугубляется еще тем обстоятельством, что в связи с не установленным процессом производства на заводе № 26 (Рыбинск) особенно велик дефицит в современных боевых моторах «БМВ-6»...¹²*</w:t>
      </w:r>
    </w:p>
    <w:p w14:paraId="774DF53B"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Развертывание мощностей по моторостроению предполагается осуществить без строительства новых моторостроительных заводов — за счет доведения существующих заводов до их предельной мощности, рационализацией их производства, с освобождением от вспомогательных работ (изготовление карбюраторов, краников, помп и т. д.) и кооперирования моторостроительных заводов путем передачи на другие заводы некоторых деталей моторов. За границей во время войны производство мотора «Либерти» было построено на принципе кооперирования отдельных заводов, что дало большой производственный эффект. Но у нас положение усложняется новизной и не налаженностью отечественного моторостроения, когда и сами моторостроительные заводы еще плохо с ним справляются. Положение усугубляется также отсутствием в нашей промышленности навыков точного производства, между тем как авиамоторостроение является одним из наиболее точных производств. Перечисленные трудности вызовут особое сопротивление при внедрении принципа кооперирования, и без того туго воспринимаемого промышленностью. Нужно, однако, отметить, что ряд ответственных поковок (коленчатые валы, шатуны) и сейчас получаются моторостроительными заводами со стороны. По плану 1928/29 г. начиняется строительство вспомогательного завода для разгрузки основных моторостроительных заводов.</w:t>
      </w:r>
    </w:p>
    <w:p w14:paraId="04C5DCB0"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В самолетостроении отстает производство металлических самолетов. Намеченное по контрольным цифрам 1928/29 г. развитие завода № 22 (Фили) даст на 1 октября 1929 г. 600</w:t>
      </w:r>
      <w:r w:rsidRPr="00A259BD">
        <w:rPr>
          <w:color w:val="000000" w:themeColor="text1"/>
          <w:sz w:val="16"/>
          <w:szCs w:val="16"/>
        </w:rPr>
        <w:noBreakHyphen/>
        <w:t>700 учетных единиц, что не покрывает потребности в них по литере «С». Развертывание мощностей по металлическим самолетам связано с нашими производственными возможностями по кольчуг (</w:t>
      </w:r>
      <w:proofErr w:type="spellStart"/>
      <w:r w:rsidRPr="00A259BD">
        <w:rPr>
          <w:color w:val="000000" w:themeColor="text1"/>
          <w:sz w:val="16"/>
          <w:szCs w:val="16"/>
        </w:rPr>
        <w:t>дюр</w:t>
      </w:r>
      <w:proofErr w:type="spellEnd"/>
      <w:r w:rsidRPr="00A259BD">
        <w:rPr>
          <w:color w:val="000000" w:themeColor="text1"/>
          <w:sz w:val="16"/>
          <w:szCs w:val="16"/>
        </w:rPr>
        <w:t xml:space="preserve">)алюминию, которое в настоящее время далеко не удовлетворяет потребности НКВМ. Начинаемый постройкой </w:t>
      </w:r>
      <w:r w:rsidRPr="00A259BD">
        <w:rPr>
          <w:color w:val="000000" w:themeColor="text1"/>
          <w:sz w:val="16"/>
          <w:szCs w:val="16"/>
        </w:rPr>
        <w:lastRenderedPageBreak/>
        <w:t xml:space="preserve">в 1928/29 г. новый завод кольчугалюминия должен будет покрыть эту потребность; однако до вступления в эксплуатацию </w:t>
      </w:r>
      <w:proofErr w:type="spellStart"/>
      <w:r w:rsidRPr="00A259BD">
        <w:rPr>
          <w:color w:val="000000" w:themeColor="text1"/>
          <w:sz w:val="16"/>
          <w:szCs w:val="16"/>
        </w:rPr>
        <w:t>Днепростроя</w:t>
      </w:r>
      <w:proofErr w:type="spellEnd"/>
      <w:r w:rsidRPr="00A259BD">
        <w:rPr>
          <w:color w:val="000000" w:themeColor="text1"/>
          <w:sz w:val="16"/>
          <w:szCs w:val="16"/>
        </w:rPr>
        <w:t xml:space="preserve"> сырье алюминий будет импортным продуктом.</w:t>
      </w:r>
    </w:p>
    <w:p w14:paraId="35AFEFFB" w14:textId="77777777" w:rsidR="007548ED" w:rsidRPr="00A259BD" w:rsidRDefault="007548ED" w:rsidP="009236E3">
      <w:pPr>
        <w:pStyle w:val="ae"/>
        <w:spacing w:before="0" w:after="0"/>
        <w:jc w:val="both"/>
        <w:rPr>
          <w:color w:val="000000" w:themeColor="text1"/>
          <w:sz w:val="16"/>
          <w:szCs w:val="16"/>
        </w:rPr>
      </w:pPr>
      <w:r w:rsidRPr="00A259BD">
        <w:rPr>
          <w:color w:val="000000" w:themeColor="text1"/>
          <w:sz w:val="16"/>
          <w:szCs w:val="16"/>
        </w:rPr>
        <w:t>В части деревянных самолетов основным дефектом плана литеры «С» является большая доля в нем устарелого типа Р</w:t>
      </w:r>
      <w:r w:rsidRPr="00A259BD">
        <w:rPr>
          <w:color w:val="000000" w:themeColor="text1"/>
          <w:sz w:val="16"/>
          <w:szCs w:val="16"/>
        </w:rPr>
        <w:noBreakHyphen/>
        <w:t>1, который не удается заменить более современным Р</w:t>
      </w:r>
      <w:r w:rsidRPr="00A259BD">
        <w:rPr>
          <w:color w:val="000000" w:themeColor="text1"/>
          <w:sz w:val="16"/>
          <w:szCs w:val="16"/>
        </w:rPr>
        <w:noBreakHyphen/>
        <w:t>5 из-за недостатка современных моторов. Прочие типы самолетов, хотя и являются современными, не обеспечены в должном количестве современными моторами.</w:t>
      </w:r>
    </w:p>
    <w:p w14:paraId="399631D2"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Дальнейшее развертывание мощностей по самолетостроению предполагается осуществить специализацией самолетостроительных заводов, которые намечено разгрузить от приборов вооружения и других подсобных работ, сосредоточиваемых на специально строящемся с 1928/29 г. заводе вооружения. Намеченная рационализация производства самолетостроения обещает дать сразу же большой производственный эффект. Начата проработка вопроса о кооперировании самолетостроительных заводов с деревообрабатывающими предприятиями. Помимо того, прорабатывается вопрос о выносе на гражданские заводы производства деревянных пропеллеров, которые в мировую войну производились на одной из ленинградских мебельных фабрик. Планом 1929/30 г. намечается начало постройки нового самолетостроительного завода, который будет готов через 3 года и обеспечит переход к обеспечению заявки НКВМ по пятилетней программе.</w:t>
      </w:r>
    </w:p>
    <w:p w14:paraId="5202239F"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Узким местом для </w:t>
      </w:r>
      <w:proofErr w:type="spellStart"/>
      <w:r w:rsidRPr="00A259BD">
        <w:rPr>
          <w:color w:val="000000" w:themeColor="text1"/>
          <w:sz w:val="16"/>
          <w:szCs w:val="16"/>
        </w:rPr>
        <w:t>самолето</w:t>
      </w:r>
      <w:proofErr w:type="spellEnd"/>
      <w:r w:rsidRPr="00A259BD">
        <w:rPr>
          <w:color w:val="000000" w:themeColor="text1"/>
          <w:sz w:val="16"/>
          <w:szCs w:val="16"/>
        </w:rPr>
        <w:t>-, и в особенности, моторостроения является специальная сталь; новый завод «Электростали» (мощностью 10 тыс. т) заканчивается только к 1 октября 1931 г., но даже при полной своей мощности он не покроет всей потребности авиапромышленности к тому времени. В данный момент авиапромышленность снабжается поковками только с заводов ГВПУ; на 1 октября 1929 г. обеспеченность моторостроения поковками будет выражена цифрой максимально 1,5</w:t>
      </w:r>
      <w:r w:rsidRPr="00A259BD">
        <w:rPr>
          <w:color w:val="000000" w:themeColor="text1"/>
          <w:sz w:val="16"/>
          <w:szCs w:val="16"/>
        </w:rPr>
        <w:noBreakHyphen/>
        <w:t>1,8 тыс. комплектов, что далеко недостаточно для достигаемой к этому сроку мощности по моторам (2845 шт.) Прорабатывается вопрос о привлечении гражданских заводов (Урал) для обеспечения этой потребности.</w:t>
      </w:r>
    </w:p>
    <w:p w14:paraId="371D7EE7"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Другим узким местом авиастроения является производство приборов зажигания, которые импортируются целиком, за исключением </w:t>
      </w:r>
      <w:proofErr w:type="spellStart"/>
      <w:r w:rsidRPr="00A259BD">
        <w:rPr>
          <w:color w:val="000000" w:themeColor="text1"/>
          <w:sz w:val="16"/>
          <w:szCs w:val="16"/>
        </w:rPr>
        <w:t>авивасвечей</w:t>
      </w:r>
      <w:proofErr w:type="spellEnd"/>
      <w:r w:rsidRPr="00A259BD">
        <w:rPr>
          <w:color w:val="000000" w:themeColor="text1"/>
          <w:sz w:val="16"/>
          <w:szCs w:val="16"/>
        </w:rPr>
        <w:t xml:space="preserve">, по которым уже удалось наладить производство в СССР. Для ликвидации этого «узкого» места в 1928/29 г. будет спроектирован в электропромышленности специальный завод по приборам зажигания, с окончанием работ на 1 октября 1931 г.; параллельно с этим уже сейчас на заводе № 12 ведутся работы по изготовлению опытных образцов. Остро стоит вопрос о приборе </w:t>
      </w:r>
      <w:proofErr w:type="spellStart"/>
      <w:r w:rsidRPr="00A259BD">
        <w:rPr>
          <w:color w:val="000000" w:themeColor="text1"/>
          <w:sz w:val="16"/>
          <w:szCs w:val="16"/>
        </w:rPr>
        <w:t>Делько</w:t>
      </w:r>
      <w:proofErr w:type="spellEnd"/>
      <w:r w:rsidRPr="00A259BD">
        <w:rPr>
          <w:color w:val="000000" w:themeColor="text1"/>
          <w:sz w:val="16"/>
          <w:szCs w:val="16"/>
        </w:rPr>
        <w:t xml:space="preserve"> для мотора М</w:t>
      </w:r>
      <w:r w:rsidRPr="00A259BD">
        <w:rPr>
          <w:color w:val="000000" w:themeColor="text1"/>
          <w:sz w:val="16"/>
          <w:szCs w:val="16"/>
        </w:rPr>
        <w:noBreakHyphen/>
        <w:t>5, производство которого у нас не наладилось до сих пор, несмотря на то что работы ведутся уже свыше 4 лет. Приборы эти импортируются на все 100% из Америки. К концу трехлетия предполагается снятие с вооружения М</w:t>
      </w:r>
      <w:r w:rsidRPr="00A259BD">
        <w:rPr>
          <w:color w:val="000000" w:themeColor="text1"/>
          <w:sz w:val="16"/>
          <w:szCs w:val="16"/>
        </w:rPr>
        <w:noBreakHyphen/>
        <w:t xml:space="preserve">5 и тем самым будет устранена потребность в </w:t>
      </w:r>
      <w:proofErr w:type="spellStart"/>
      <w:r w:rsidRPr="00A259BD">
        <w:rPr>
          <w:color w:val="000000" w:themeColor="text1"/>
          <w:sz w:val="16"/>
          <w:szCs w:val="16"/>
        </w:rPr>
        <w:t>Делько</w:t>
      </w:r>
      <w:proofErr w:type="spellEnd"/>
      <w:r w:rsidRPr="00A259BD">
        <w:rPr>
          <w:color w:val="000000" w:themeColor="text1"/>
          <w:sz w:val="16"/>
          <w:szCs w:val="16"/>
        </w:rPr>
        <w:t xml:space="preserve">. До этого времени необходимо накопление </w:t>
      </w:r>
      <w:proofErr w:type="spellStart"/>
      <w:r w:rsidRPr="00A259BD">
        <w:rPr>
          <w:color w:val="000000" w:themeColor="text1"/>
          <w:sz w:val="16"/>
          <w:szCs w:val="16"/>
        </w:rPr>
        <w:t>мобзапаса</w:t>
      </w:r>
      <w:proofErr w:type="spellEnd"/>
      <w:r w:rsidRPr="00A259BD">
        <w:rPr>
          <w:color w:val="000000" w:themeColor="text1"/>
          <w:sz w:val="16"/>
          <w:szCs w:val="16"/>
        </w:rPr>
        <w:t xml:space="preserve"> этих приборов.</w:t>
      </w:r>
    </w:p>
    <w:p w14:paraId="019A2C3A"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Трудностью в авиационном производстве является малочисленность и недостаточная квалификация рабочей силы и технического персонала, в особенности среднего. Проблеме обеспечения </w:t>
      </w:r>
      <w:proofErr w:type="spellStart"/>
      <w:r w:rsidRPr="00A259BD">
        <w:rPr>
          <w:color w:val="000000" w:themeColor="text1"/>
          <w:sz w:val="16"/>
          <w:szCs w:val="16"/>
        </w:rPr>
        <w:t>авиапроизводства</w:t>
      </w:r>
      <w:proofErr w:type="spellEnd"/>
      <w:r w:rsidRPr="00A259BD">
        <w:rPr>
          <w:color w:val="000000" w:themeColor="text1"/>
          <w:sz w:val="16"/>
          <w:szCs w:val="16"/>
        </w:rPr>
        <w:t xml:space="preserve"> квалифицированными рабочими (в особенности лекальщиками) и техническим персоналом на протяжении трехлетия стоит очень остро и требует ряда мероприятий по своему разрешению. В 1928/29 г, намечается приписать к авиационным заводам квалифицированных рабочих с других заводов для облегчения мобилизационного развертывания.</w:t>
      </w:r>
    </w:p>
    <w:p w14:paraId="129F6B6A"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Существующее положение конструкторской работы по </w:t>
      </w:r>
      <w:proofErr w:type="spellStart"/>
      <w:r w:rsidRPr="00A259BD">
        <w:rPr>
          <w:color w:val="000000" w:themeColor="text1"/>
          <w:sz w:val="16"/>
          <w:szCs w:val="16"/>
        </w:rPr>
        <w:t>самолето</w:t>
      </w:r>
      <w:proofErr w:type="spellEnd"/>
      <w:r w:rsidRPr="00A259BD">
        <w:rPr>
          <w:color w:val="000000" w:themeColor="text1"/>
          <w:sz w:val="16"/>
          <w:szCs w:val="16"/>
        </w:rPr>
        <w:t>- и моторостроению в настоящее время ни в коем случае нельзя считать удовлетворительным, так как за период времени от начала конструкторской работы до установки массового производства мотор стареет и остро становится проблема замены его новым, более современным типом. Это обстоятельство усугубляется незначительным количеством конструкторских сил, что настойчиво выдвигает проблему концентрации конструкторской работы и опытного строительства в одном центре, тесно связав его с производством и научно-исследовательской работой.</w:t>
      </w:r>
    </w:p>
    <w:p w14:paraId="08E879C9" w14:textId="77777777" w:rsidR="00CE0BB3" w:rsidRPr="00A259BD" w:rsidRDefault="00CE0BB3" w:rsidP="009236E3">
      <w:pPr>
        <w:pStyle w:val="rtejustify"/>
        <w:spacing w:before="0" w:after="0"/>
        <w:rPr>
          <w:color w:val="000000" w:themeColor="text1"/>
          <w:sz w:val="16"/>
          <w:szCs w:val="16"/>
        </w:rPr>
      </w:pPr>
      <w:r w:rsidRPr="00A259BD">
        <w:rPr>
          <w:rStyle w:val="a7"/>
          <w:b w:val="0"/>
          <w:bCs w:val="0"/>
          <w:color w:val="000000" w:themeColor="text1"/>
          <w:sz w:val="16"/>
          <w:szCs w:val="16"/>
        </w:rPr>
        <w:t>7. Автостроение</w:t>
      </w:r>
    </w:p>
    <w:p w14:paraId="5994BC71"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1. </w:t>
      </w:r>
      <w:r w:rsidRPr="00A259BD">
        <w:rPr>
          <w:rStyle w:val="af0"/>
          <w:i w:val="0"/>
          <w:color w:val="000000" w:themeColor="text1"/>
          <w:sz w:val="16"/>
          <w:szCs w:val="16"/>
        </w:rPr>
        <w:t>Автомобили.</w:t>
      </w:r>
      <w:r w:rsidRPr="00A259BD">
        <w:rPr>
          <w:color w:val="000000" w:themeColor="text1"/>
          <w:sz w:val="16"/>
          <w:szCs w:val="16"/>
        </w:rPr>
        <w:t xml:space="preserve"> Потребность по трехлетней заявке НКВМ равна: по легковым машинам — 2700 шт., по автошасси и полуторатонным грузовикам — 14 980 шт. и по 3</w:t>
      </w:r>
      <w:r w:rsidRPr="00A259BD">
        <w:rPr>
          <w:color w:val="000000" w:themeColor="text1"/>
          <w:sz w:val="16"/>
          <w:szCs w:val="16"/>
        </w:rPr>
        <w:noBreakHyphen/>
        <w:t>3,5</w:t>
      </w:r>
      <w:r w:rsidRPr="00A259BD">
        <w:rPr>
          <w:color w:val="000000" w:themeColor="text1"/>
          <w:sz w:val="16"/>
          <w:szCs w:val="16"/>
        </w:rPr>
        <w:noBreakHyphen/>
        <w:t>тонным грузовикам — 4397 шт. Мощность на 1 октября 1928 г. по легковым машинам — 320 шт., или 11,8% от трехлетней заявки, по автошасси и полуторатонным грузовикам — 1100 [шт.], или 7,4% и по 3</w:t>
      </w:r>
      <w:r w:rsidRPr="00A259BD">
        <w:rPr>
          <w:color w:val="000000" w:themeColor="text1"/>
          <w:sz w:val="16"/>
          <w:szCs w:val="16"/>
        </w:rPr>
        <w:noBreakHyphen/>
        <w:t>3,5</w:t>
      </w:r>
      <w:r w:rsidRPr="00A259BD">
        <w:rPr>
          <w:color w:val="000000" w:themeColor="text1"/>
          <w:sz w:val="16"/>
          <w:szCs w:val="16"/>
        </w:rPr>
        <w:noBreakHyphen/>
        <w:t>тонным грузовикам — 300, или 6,8% трехлетки.</w:t>
      </w:r>
    </w:p>
    <w:p w14:paraId="3A0E27E3"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По плану, запроектированному в контрольных цифрах 1928/29 г., намечается минимальное доведение мощности по легковым автомобилям до 400 шт. 1 октября 1929 г., что составит 14,8% трехлетки, по полуторатонным грузовикам — 2,4 тыс. шт., или 16,3% и по трехтонным грузовикам — 450 шт., или 10,2% трехлетки. Эти цифры ориентировочны, еще недостаточно проработаны на местах и предполагается, что мощности производства по каждой категории будут несколько повышены.</w:t>
      </w:r>
    </w:p>
    <w:p w14:paraId="4C1CEFC1"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Дальнейшее развитие по основному заводу полуторатонных грузовиков (завод «АМО») намечено до мощности в 4 тыс. машин, с достижением этой мощности к 1 октября 1932 г. Развитие мощностей по автопроизводству других типов стоит в тесной зависимости от той линии развертывания, которая будет намечена в перспективном пятилетнем плане (переговоры Комиссии т. </w:t>
      </w:r>
      <w:hyperlink r:id="rId8" w:history="1">
        <w:r w:rsidRPr="00A259BD">
          <w:rPr>
            <w:color w:val="000000" w:themeColor="text1"/>
            <w:sz w:val="16"/>
            <w:szCs w:val="16"/>
          </w:rPr>
          <w:t>Рогова</w:t>
        </w:r>
      </w:hyperlink>
      <w:r w:rsidRPr="00A259BD">
        <w:rPr>
          <w:color w:val="000000" w:themeColor="text1"/>
          <w:sz w:val="16"/>
          <w:szCs w:val="16"/>
        </w:rPr>
        <w:t xml:space="preserve"> в Америке), о чем ВСНХ СССР представляет одновременно с ним доклад.</w:t>
      </w:r>
    </w:p>
    <w:p w14:paraId="0D26931C"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Выпуск автомашин до сего времени находится в импортной зависимости от приборов зажигания, за исключением свечей, производство которых уже налажено внутри СССР. В отношении магнето и прочего электрооборудования по плану </w:t>
      </w:r>
      <w:proofErr w:type="spellStart"/>
      <w:r w:rsidRPr="00A259BD">
        <w:rPr>
          <w:color w:val="000000" w:themeColor="text1"/>
          <w:sz w:val="16"/>
          <w:szCs w:val="16"/>
        </w:rPr>
        <w:t>Главэлектро</w:t>
      </w:r>
      <w:proofErr w:type="spellEnd"/>
      <w:r w:rsidRPr="00A259BD">
        <w:rPr>
          <w:color w:val="000000" w:themeColor="text1"/>
          <w:sz w:val="16"/>
          <w:szCs w:val="16"/>
        </w:rPr>
        <w:t xml:space="preserve"> в 1928/29 г. намечается начало постановки этого производства у нас соответствующим проектированием завода массового производства и исследовательских работ по установлению технологического производства. Предполагается привлечение иностранной помощи. Кроме того, намечено установление в 1928/29 г. оборудования для прокатки стального обода, что даст возможность освободиться от импорта готового изделия, оставаясь пока при импорте профильной стали, по которой ведутся опыты и постановка производства которой намечается в 1929/30 г. В проблему установки производства высокосортной стали упирается и производство шарикоподшипников, которые у нас хотя и изготовляются на концессионном предприятии (СКФ), но не в полном ассортименте и базируются на импорте соответствующего качества стали. В этом направлении предпринимаются шаги по получении шарикоподшипниковой стали внутри СССР на заводах «Электростали» и Урала (Златоуст).</w:t>
      </w:r>
    </w:p>
    <w:p w14:paraId="1BE66467"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Контрольными цифрами на 1928/29 г. предусмотрено расширение производства манометров до пределов полного удовлетворения заявки, что освободит нас от необходимости ввоза из-за границы недостающего количества манометров.</w:t>
      </w:r>
    </w:p>
    <w:p w14:paraId="70A684FA"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«Узким» местом автопроизводства по дальнейшему развитию явится недостаточная обеспеченность квалифицированной рабочей силой и техническим персоналом, что потребует на протяжении трехлетия специальных мероприятий как внутри Союза, так и привлечения иностранной технической помощи.</w:t>
      </w:r>
    </w:p>
    <w:p w14:paraId="3F48688D"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Особое внимание уделяется ремонту автомашин на военное время, причем ВСНХ организует на своих предприятиях капитальный ремонт для всех машин внутреннего производства и капитальный ремонт серийных иностранных марок, с соответствующим обеспечением последних производством запасных деталей и импорта ответственных частей.</w:t>
      </w:r>
    </w:p>
    <w:p w14:paraId="57DFBB45"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2. </w:t>
      </w:r>
      <w:r w:rsidRPr="00A259BD">
        <w:rPr>
          <w:rStyle w:val="af0"/>
          <w:i w:val="0"/>
          <w:color w:val="000000" w:themeColor="text1"/>
          <w:sz w:val="16"/>
          <w:szCs w:val="16"/>
        </w:rPr>
        <w:t>Танки.</w:t>
      </w:r>
      <w:r w:rsidRPr="00A259BD">
        <w:rPr>
          <w:color w:val="000000" w:themeColor="text1"/>
          <w:sz w:val="16"/>
          <w:szCs w:val="16"/>
        </w:rPr>
        <w:t xml:space="preserve"> Потребность НКВМ по трехлетке в танках выражается: по танкам сопровождения — 500 шт., по маневренным танкам — 55 шт. и танка «Лилипут» — 500 шт. Мощность на 1 октября 1928 г. — 115 шт. танков сопровождения, 23% трехлетки и 0 — по маневренным и «Лилипут». Контрольными цифрами 1928/29 г. по литере «С» намечен план работ, доводящий мощность по танкам сопровождения на 1 апреля 1930 г. до 175 шт., или 35% задания. Что касается маневренного танка, то опытный образец его находится в разработке, и к концу 1928/29 г. намечается выпуск такового для испытания. В зависимости от результата испытании опытного экземпляра определится календарная программа развертывания его производства (ориентировочно 18 шт. в 1929/30 г., что составляет 33% трехлетки). Значительно сложнее стоит вопрос с танком «Лилипут» — до сего времени конструкция этого типа недостаточно выявлена, не разрешен вопрос об основных свойствах и тактико-технических требованиях, предъявляемых к этому танку со стороны НКВМ для промышленности. Это обстоятельство затрудняет какое-либо производственное разрешение задачи и соответствующую достаточную подготовку промышленности. Затруднения, встречаемые по автопроизводству в части приборов зажигания, электрооборудования и подшипников, являются также и затруднениями в этом производстве.</w:t>
      </w:r>
    </w:p>
    <w:p w14:paraId="3D201BEF"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Трудностью танкового производства является новизна этого дела и его недостаточная налаженность до сих пор, учитывая при этом постоянные улучшения танка, вносимые </w:t>
      </w:r>
      <w:proofErr w:type="spellStart"/>
      <w:r w:rsidRPr="00A259BD">
        <w:rPr>
          <w:color w:val="000000" w:themeColor="text1"/>
          <w:sz w:val="16"/>
          <w:szCs w:val="16"/>
        </w:rPr>
        <w:t>НКВМором</w:t>
      </w:r>
      <w:proofErr w:type="spellEnd"/>
      <w:r w:rsidRPr="00A259BD">
        <w:rPr>
          <w:color w:val="000000" w:themeColor="text1"/>
          <w:sz w:val="16"/>
          <w:szCs w:val="16"/>
        </w:rPr>
        <w:t xml:space="preserve"> в процессе производства (танк сопровождения на заводе «Большевик»). Дальнейшее развитие мощностей по танкам на протяжении трехлетия будет направляться, наряду с усилением производства на заводах военной промышленности, и по линии ассимиляции их на заводах гражданской промышленности. При этом развертывание производства танков сопровождения «Лилипут» и легких гусеничных тракторов, предусмотренного на Сталинградском заводе сельскохозяйственных тракторов, а маневренных танков — на заводе им. Коминтерна (Харьков), ассимилируя их с тракторным производством этого завода и рядом других заводов </w:t>
      </w:r>
      <w:proofErr w:type="spellStart"/>
      <w:r w:rsidRPr="00A259BD">
        <w:rPr>
          <w:color w:val="000000" w:themeColor="text1"/>
          <w:sz w:val="16"/>
          <w:szCs w:val="16"/>
        </w:rPr>
        <w:t>ЮМТа</w:t>
      </w:r>
      <w:proofErr w:type="spellEnd"/>
      <w:r w:rsidRPr="00A259BD">
        <w:rPr>
          <w:color w:val="000000" w:themeColor="text1"/>
          <w:sz w:val="16"/>
          <w:szCs w:val="16"/>
        </w:rPr>
        <w:t xml:space="preserve">. Причем намечаемая на 1 октября 1931 г. мощность в 110 шт. покроет пятилетнюю заявку </w:t>
      </w:r>
      <w:proofErr w:type="spellStart"/>
      <w:r w:rsidRPr="00A259BD">
        <w:rPr>
          <w:color w:val="000000" w:themeColor="text1"/>
          <w:sz w:val="16"/>
          <w:szCs w:val="16"/>
        </w:rPr>
        <w:t>НКВМора</w:t>
      </w:r>
      <w:proofErr w:type="spellEnd"/>
      <w:r w:rsidRPr="00A259BD">
        <w:rPr>
          <w:color w:val="000000" w:themeColor="text1"/>
          <w:sz w:val="16"/>
          <w:szCs w:val="16"/>
        </w:rPr>
        <w:t>.</w:t>
      </w:r>
    </w:p>
    <w:p w14:paraId="13DC7FCF"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Что касается тракторостроения, то потребность </w:t>
      </w:r>
      <w:proofErr w:type="spellStart"/>
      <w:r w:rsidRPr="00A259BD">
        <w:rPr>
          <w:color w:val="000000" w:themeColor="text1"/>
          <w:sz w:val="16"/>
          <w:szCs w:val="16"/>
        </w:rPr>
        <w:t>НКВМора</w:t>
      </w:r>
      <w:proofErr w:type="spellEnd"/>
      <w:r w:rsidRPr="00A259BD">
        <w:rPr>
          <w:color w:val="000000" w:themeColor="text1"/>
          <w:sz w:val="16"/>
          <w:szCs w:val="16"/>
        </w:rPr>
        <w:t xml:space="preserve"> в основном обеспечивается взятым темпом мирного развития, за исключением легкого трактора, производство которого намечается путем ассимиляции на Сталинградском заводе, но по которому не выявлены для промышленности основные требования.</w:t>
      </w:r>
    </w:p>
    <w:p w14:paraId="0D1FF5D4" w14:textId="77777777" w:rsidR="00CE0BB3" w:rsidRPr="00A259BD" w:rsidRDefault="00CE0BB3" w:rsidP="009236E3">
      <w:pPr>
        <w:pStyle w:val="rtejustify"/>
        <w:spacing w:before="0" w:after="0"/>
        <w:rPr>
          <w:color w:val="000000" w:themeColor="text1"/>
          <w:sz w:val="16"/>
          <w:szCs w:val="16"/>
        </w:rPr>
      </w:pPr>
      <w:r w:rsidRPr="00A259BD">
        <w:rPr>
          <w:rStyle w:val="a7"/>
          <w:b w:val="0"/>
          <w:bCs w:val="0"/>
          <w:color w:val="000000" w:themeColor="text1"/>
          <w:sz w:val="16"/>
          <w:szCs w:val="16"/>
        </w:rPr>
        <w:t>8. Военная электротехника</w:t>
      </w:r>
    </w:p>
    <w:p w14:paraId="1E268063"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1. </w:t>
      </w:r>
      <w:r w:rsidRPr="00A259BD">
        <w:rPr>
          <w:rStyle w:val="af0"/>
          <w:i w:val="0"/>
          <w:color w:val="000000" w:themeColor="text1"/>
          <w:sz w:val="16"/>
          <w:szCs w:val="16"/>
        </w:rPr>
        <w:t>Телефонные аппараты.</w:t>
      </w:r>
      <w:r w:rsidRPr="00A259BD">
        <w:rPr>
          <w:color w:val="000000" w:themeColor="text1"/>
          <w:sz w:val="16"/>
          <w:szCs w:val="16"/>
        </w:rPr>
        <w:t xml:space="preserve"> Мощность на 1 октября 1928 г. в ценностном выражении равняется 14,3 млн. руб., что составляет 84% от трехлетней заявки. Намеченный объем капитальных работ по контрольным цифрам 1928/29 г. доводит эту мощность на 1 октября 1929 г. до 100% трехлетки (17.081 млн. руб.). В 1927/28 г. установлено производство телефонных фильц и микрофонного порошка, что освободило нас от импорта. Проведена стандартизация полевых телефонных аппаратов, которые сведены к трем типам, что облегчило в значительной степени производство таковых. Производство телефонных аппаратов почти полностью ассимилировано на заводах </w:t>
      </w:r>
      <w:proofErr w:type="spellStart"/>
      <w:r w:rsidRPr="00A259BD">
        <w:rPr>
          <w:color w:val="000000" w:themeColor="text1"/>
          <w:sz w:val="16"/>
          <w:szCs w:val="16"/>
        </w:rPr>
        <w:t>Главэлектро</w:t>
      </w:r>
      <w:proofErr w:type="spellEnd"/>
      <w:r w:rsidRPr="00A259BD">
        <w:rPr>
          <w:color w:val="000000" w:themeColor="text1"/>
          <w:sz w:val="16"/>
          <w:szCs w:val="16"/>
        </w:rPr>
        <w:t>, что же касается унификации типов аппаратов военных и гражданских, то здесь успеха до сих пор не достигнуто. Дальнейшее развитие производства телефонных аппаратов пойдет за счет их ассимиляции на гражданских предприятиях. В ближайшем будущем трудно ожидать успеха в деле унификации телефонных аппаратов ввиду разных условий, предъявляемых мирными и боевыми требованиями их использования. Узкое место производства — магнитные материалы (магнитная сталь и железо), установка производства которых ведется уже года 1,5</w:t>
      </w:r>
      <w:r w:rsidRPr="00A259BD">
        <w:rPr>
          <w:color w:val="000000" w:themeColor="text1"/>
          <w:sz w:val="16"/>
          <w:szCs w:val="16"/>
        </w:rPr>
        <w:noBreakHyphen/>
        <w:t xml:space="preserve">2, но еще до сих пор не дала должных результатов; благоприятное разрешение этого вопроса освободит нас от импортной зависимости. В пятилетием плане намечено полное сосредоточение всего производства полевых телефонов на Нижегородском телефонном заводе, с 100% выполнения </w:t>
      </w:r>
      <w:proofErr w:type="spellStart"/>
      <w:r w:rsidRPr="00A259BD">
        <w:rPr>
          <w:color w:val="000000" w:themeColor="text1"/>
          <w:sz w:val="16"/>
          <w:szCs w:val="16"/>
        </w:rPr>
        <w:t>мобзадания</w:t>
      </w:r>
      <w:proofErr w:type="spellEnd"/>
      <w:r w:rsidRPr="00A259BD">
        <w:rPr>
          <w:color w:val="000000" w:themeColor="text1"/>
          <w:sz w:val="16"/>
          <w:szCs w:val="16"/>
        </w:rPr>
        <w:t>.</w:t>
      </w:r>
    </w:p>
    <w:p w14:paraId="46181C8C"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2. </w:t>
      </w:r>
      <w:r w:rsidRPr="00A259BD">
        <w:rPr>
          <w:rStyle w:val="af0"/>
          <w:i w:val="0"/>
          <w:color w:val="000000" w:themeColor="text1"/>
          <w:sz w:val="16"/>
          <w:szCs w:val="16"/>
        </w:rPr>
        <w:t>Телеграфные аппараты.</w:t>
      </w:r>
      <w:r w:rsidRPr="00A259BD">
        <w:rPr>
          <w:color w:val="000000" w:themeColor="text1"/>
          <w:sz w:val="16"/>
          <w:szCs w:val="16"/>
        </w:rPr>
        <w:t xml:space="preserve"> Мощность на 1 октября 1928 г. по быстродействующим телеграфным аппаратам — 122 шт., или 35,9% трехлетней заявки, а по аппаратам Морзе — 0. План капитальных работ по контрольным цифрам 1928/29 г. предусматривает доведение мощности по быстродействующим аппаратам на 1 октября </w:t>
      </w:r>
      <w:r w:rsidRPr="00A259BD">
        <w:rPr>
          <w:color w:val="000000" w:themeColor="text1"/>
          <w:sz w:val="16"/>
          <w:szCs w:val="16"/>
        </w:rPr>
        <w:lastRenderedPageBreak/>
        <w:t xml:space="preserve">1929 г. до 336, что покрывает трехлетнюю заявку, а по Морзе на 1 января 1930 г. — 750, что составляет 26,5% трехлетки. К настоящему моменту достигнута стандартизация буквопечатающих аппаратов введением аппарата Шорина, являющегося отечественным изобретением. Массовое производство этого аппарата устанавливается, и при некоторых усовершенствованиях (опыты производятся) он полностью заменит типы Юза и Бодо. Импортные аппараты Криде намечены к замене аппаратами </w:t>
      </w:r>
      <w:proofErr w:type="spellStart"/>
      <w:r w:rsidRPr="00A259BD">
        <w:rPr>
          <w:color w:val="000000" w:themeColor="text1"/>
          <w:sz w:val="16"/>
          <w:szCs w:val="16"/>
        </w:rPr>
        <w:t>Уитстона</w:t>
      </w:r>
      <w:proofErr w:type="spellEnd"/>
      <w:r w:rsidRPr="00A259BD">
        <w:rPr>
          <w:color w:val="000000" w:themeColor="text1"/>
          <w:sz w:val="16"/>
          <w:szCs w:val="16"/>
        </w:rPr>
        <w:t>, изготовляемыми внутри страны.</w:t>
      </w:r>
    </w:p>
    <w:p w14:paraId="260C04BF"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Отстает производство аппаратов Морзе, которое до 1926 г. было у нас вполне налажено. Заявка </w:t>
      </w:r>
      <w:proofErr w:type="spellStart"/>
      <w:r w:rsidRPr="00A259BD">
        <w:rPr>
          <w:color w:val="000000" w:themeColor="text1"/>
          <w:sz w:val="16"/>
          <w:szCs w:val="16"/>
        </w:rPr>
        <w:t>НКВМора</w:t>
      </w:r>
      <w:proofErr w:type="spellEnd"/>
      <w:r w:rsidRPr="00A259BD">
        <w:rPr>
          <w:color w:val="000000" w:themeColor="text1"/>
          <w:sz w:val="16"/>
          <w:szCs w:val="16"/>
        </w:rPr>
        <w:t xml:space="preserve">, легшая в основу варианта «А», требований на аппараты Морзе в себе не содержала (НКВМ рассчитывал на имеющиеся запасы). В связи с этим промышленность не получила </w:t>
      </w:r>
      <w:proofErr w:type="spellStart"/>
      <w:r w:rsidRPr="00A259BD">
        <w:rPr>
          <w:color w:val="000000" w:themeColor="text1"/>
          <w:sz w:val="16"/>
          <w:szCs w:val="16"/>
        </w:rPr>
        <w:t>мобзадания</w:t>
      </w:r>
      <w:proofErr w:type="spellEnd"/>
      <w:r w:rsidRPr="00A259BD">
        <w:rPr>
          <w:color w:val="000000" w:themeColor="text1"/>
          <w:sz w:val="16"/>
          <w:szCs w:val="16"/>
        </w:rPr>
        <w:t xml:space="preserve"> по Морзе и наличная мощность была переведена на производство железнодорожной сигнализации; налаженное производство расстроилось и имевшиеся производственные навыки частично утеряны. Когда впоследствии НКВМ предъявил большие требования в аппаратах Морзе, перед промышленностью остро встала проблема восстановления этого производства. Трудностями в этой работе являются: а) недостаточное наличие квалифицированной рабочей силы, которую нужно при большом напряжении подготовить для обеспечения производства не только с количественной стороны, но и с качественной; б) обеспечение оборудованием, так как старое частью износилось, а частью, после использования для производства железнодорожной сигнализации, стало негодным для производства аппаратов Морзе, требуя или замены, или капитального ремонта; в) обеспечение лекалами. Срок восстановления производства довольно большой: на 1 января 1930 г. мы имеем лишь 26,5% трехлетней заявки. Опыт Морзе является красноречивой иллюстрацией того, во что обходится утеря производственных навыков по сложным военным номенклатурам.</w:t>
      </w:r>
    </w:p>
    <w:p w14:paraId="361EDDB7"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С целью переноса всей телеграфии из Ленинграда внутрь страны по пятилетнему плану проектируется перенос этого производства на завод «</w:t>
      </w:r>
      <w:proofErr w:type="spellStart"/>
      <w:r w:rsidRPr="00A259BD">
        <w:rPr>
          <w:color w:val="000000" w:themeColor="text1"/>
          <w:sz w:val="16"/>
          <w:szCs w:val="16"/>
        </w:rPr>
        <w:t>Мосэлектрик</w:t>
      </w:r>
      <w:proofErr w:type="spellEnd"/>
      <w:r w:rsidRPr="00A259BD">
        <w:rPr>
          <w:color w:val="000000" w:themeColor="text1"/>
          <w:sz w:val="16"/>
          <w:szCs w:val="16"/>
        </w:rPr>
        <w:t>» в Москву, начало переноса — 1929/30 г.</w:t>
      </w:r>
    </w:p>
    <w:p w14:paraId="592C9683"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3. </w:t>
      </w:r>
      <w:r w:rsidRPr="00A259BD">
        <w:rPr>
          <w:rStyle w:val="af0"/>
          <w:i w:val="0"/>
          <w:color w:val="000000" w:themeColor="text1"/>
          <w:sz w:val="16"/>
          <w:szCs w:val="16"/>
        </w:rPr>
        <w:t>Полевые телефонно-телеграфные проводники.</w:t>
      </w:r>
      <w:r w:rsidRPr="00A259BD">
        <w:rPr>
          <w:color w:val="000000" w:themeColor="text1"/>
          <w:sz w:val="16"/>
          <w:szCs w:val="16"/>
        </w:rPr>
        <w:t xml:space="preserve"> Мощность на 1 октября 1928 г. — 229517 км, или 58,2% от трехлетней заявки по телефонному кабелю, и 11 887 км — по телеграфному, что составляет 39,2% трехлетки. Запроектированным объемом капитальных работ по контрольным цифрам 1928/29 г. намечено доведение мощности по телефонному кабелю на 1 октября 1929 г. до 323 тыс. км, или 82% трехлетия, и 30 тыс. км — по телеграфному, или 100% трехлетия. Узкое место — стальная проволока. Исходным продуктом для стальной проволоки является высокосортная катанка, которая импортируется (ввозится из Швеции, которая является поставщиком высокосортной катанке почти для всех европейских стран). В 1928/29 г. намечается постановка производства отечественной высокосортной катанки на Урале. Кроме катанки «больным» местом сталепроволочного производства является импорт специального оборудования, причем перспектив на замену такового отечественным производством в ближайшее время не намечается. Ликвидация узкого места по стальной проволоке, помимо развития мощностей по высокосортной катанки, намечается частичной заменой тонкой проволоки диаметром 0,25 мм более толстой, диаметром 0,41</w:t>
      </w:r>
      <w:r w:rsidRPr="00A259BD">
        <w:rPr>
          <w:color w:val="000000" w:themeColor="text1"/>
          <w:sz w:val="16"/>
          <w:szCs w:val="16"/>
        </w:rPr>
        <w:noBreakHyphen/>
        <w:t xml:space="preserve">0,45 мм, с меньшим количеством жил, что значительно упростит производство кабеля. Опытные партии таких проводников уже изготовлены на заводах </w:t>
      </w:r>
      <w:proofErr w:type="spellStart"/>
      <w:r w:rsidRPr="00A259BD">
        <w:rPr>
          <w:color w:val="000000" w:themeColor="text1"/>
          <w:sz w:val="16"/>
          <w:szCs w:val="16"/>
        </w:rPr>
        <w:t>Главцветмета</w:t>
      </w:r>
      <w:proofErr w:type="spellEnd"/>
      <w:r w:rsidRPr="00A259BD">
        <w:rPr>
          <w:color w:val="000000" w:themeColor="text1"/>
          <w:sz w:val="16"/>
          <w:szCs w:val="16"/>
        </w:rPr>
        <w:t xml:space="preserve"> и </w:t>
      </w:r>
      <w:proofErr w:type="spellStart"/>
      <w:r w:rsidRPr="00A259BD">
        <w:rPr>
          <w:color w:val="000000" w:themeColor="text1"/>
          <w:sz w:val="16"/>
          <w:szCs w:val="16"/>
        </w:rPr>
        <w:t>Главэлектро</w:t>
      </w:r>
      <w:proofErr w:type="spellEnd"/>
      <w:r w:rsidRPr="00A259BD">
        <w:rPr>
          <w:color w:val="000000" w:themeColor="text1"/>
          <w:sz w:val="16"/>
          <w:szCs w:val="16"/>
        </w:rPr>
        <w:t xml:space="preserve"> и в настоящее время находятся на испытании на полигоне ВТУ.</w:t>
      </w:r>
    </w:p>
    <w:p w14:paraId="1E97020C"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4. </w:t>
      </w:r>
      <w:r w:rsidRPr="00A259BD">
        <w:rPr>
          <w:rStyle w:val="af0"/>
          <w:i w:val="0"/>
          <w:color w:val="000000" w:themeColor="text1"/>
          <w:sz w:val="16"/>
          <w:szCs w:val="16"/>
        </w:rPr>
        <w:t>Радиостанции.</w:t>
      </w:r>
      <w:r w:rsidRPr="00A259BD">
        <w:rPr>
          <w:color w:val="000000" w:themeColor="text1"/>
          <w:sz w:val="16"/>
          <w:szCs w:val="16"/>
        </w:rPr>
        <w:t xml:space="preserve"> Мощность на 1 октября 1928 г. в ценностном выражении равняется 13 160 тыс. руб., или 36,5% трехлетней заявки, по специальным электромашинам для раций — 0 и по катодным лампам 4,5 млн. руб. — 100% трехлетней заявки. Контрольными цифрами 1928/29 г. намечено доведение мощности по радиостанциям на 1 октября 1929 г. до 49,6% трехлетки (17 932 тыс. руб. в ценностном выражении), а по специальным электромашинам для раций на 1 января 1930 г. до 100% (301 490 руб. в ценностном выражении). Крупнейшим достижением является установка по плану капитальных работ 1928/29 г. на заводе «Электрик» (предполагается дублирование и окончательный перенос производства на завод «Динамо») производства специальных электрических машин для раций, которые до сих пор были импортными. Намеченный объем работ полностью освобождает нас от импортной зависимости. Другим достижением является уже установленное производство </w:t>
      </w:r>
      <w:proofErr w:type="spellStart"/>
      <w:r w:rsidRPr="00A259BD">
        <w:rPr>
          <w:color w:val="000000" w:themeColor="text1"/>
          <w:sz w:val="16"/>
          <w:szCs w:val="16"/>
        </w:rPr>
        <w:t>двухсильных</w:t>
      </w:r>
      <w:proofErr w:type="spellEnd"/>
      <w:r w:rsidRPr="00A259BD">
        <w:rPr>
          <w:color w:val="000000" w:themeColor="text1"/>
          <w:sz w:val="16"/>
          <w:szCs w:val="16"/>
        </w:rPr>
        <w:t xml:space="preserve"> маломощных бензиновых двигателей; в ближайшие два года намечаемая установка массового производства 6</w:t>
      </w:r>
      <w:r w:rsidRPr="00A259BD">
        <w:rPr>
          <w:color w:val="000000" w:themeColor="text1"/>
          <w:sz w:val="16"/>
          <w:szCs w:val="16"/>
        </w:rPr>
        <w:noBreakHyphen/>
        <w:t>сильных двигателей, освобождающее нас целиком от иностранной зависимости.</w:t>
      </w:r>
    </w:p>
    <w:p w14:paraId="223653C3"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Больным местом является большое количество типов радиостанций, что препятствует установлению массового производства. Проблема стандартизации радиостанций, начиная, в первую очередь, со станций мелких войсковых соединений, должна быть решительно поставлена перед </w:t>
      </w:r>
      <w:proofErr w:type="spellStart"/>
      <w:r w:rsidRPr="00A259BD">
        <w:rPr>
          <w:color w:val="000000" w:themeColor="text1"/>
          <w:sz w:val="16"/>
          <w:szCs w:val="16"/>
        </w:rPr>
        <w:t>НКВМором</w:t>
      </w:r>
      <w:proofErr w:type="spellEnd"/>
      <w:r w:rsidRPr="00A259BD">
        <w:rPr>
          <w:color w:val="000000" w:themeColor="text1"/>
          <w:sz w:val="16"/>
          <w:szCs w:val="16"/>
        </w:rPr>
        <w:t xml:space="preserve"> и получить свое разрешение в ближайшее время. Узким местом производства радиостанций является импорт щелочных аккумуляторов, прорабатывается вопрос о замене их кислотными отечественного производства, а также ряд мелких полуфабрикатов (тонкие пружины измерительных приборов и т. д.), по которым у нас имеется импортная зависимость, а установление производства внутри Союза является нерентабельным (небольшие количества).</w:t>
      </w:r>
    </w:p>
    <w:p w14:paraId="19382BAC"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По производству катодных ламп удалось установить (на ламповых отделах электрозаводов) производства вольфрама, что освобождает нас от импорта. Ведутся работы по установке производства редких металлов (молибден, тантал). Узким местом производства катодных ламп является слабое качество стекла. Работы по его улучшению ведутся в настоящее время в заводском масштабе.</w:t>
      </w:r>
    </w:p>
    <w:p w14:paraId="1AF01212"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Дальнейшее развитие по радиостанциям до пределов трехлетней заявки пойдет за счет начинаемой в 1928/29 г. постройки в Нижнем Новгороде мощного радиозавода, на котором сконцентрируется производство всех военно-сухопутных раций. Военно-морские рации останутся на заводе им. Козицкого или «Коминтерна», которые в связи с этим перепланируются.</w:t>
      </w:r>
    </w:p>
    <w:p w14:paraId="06F1F2F1"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5. </w:t>
      </w:r>
      <w:r w:rsidRPr="00A259BD">
        <w:rPr>
          <w:rStyle w:val="af0"/>
          <w:i w:val="0"/>
          <w:color w:val="000000" w:themeColor="text1"/>
          <w:sz w:val="16"/>
          <w:szCs w:val="16"/>
        </w:rPr>
        <w:t>Аккумуляторы.</w:t>
      </w:r>
      <w:r w:rsidRPr="00A259BD">
        <w:rPr>
          <w:color w:val="000000" w:themeColor="text1"/>
          <w:sz w:val="16"/>
          <w:szCs w:val="16"/>
        </w:rPr>
        <w:t xml:space="preserve"> Мощность на 1 октября 1928 г. в ценностном выражении — 9,5 млн. руб., 73,7% трехлетки. Запроектированный объем капитальных работ по контрольным цифрам 1928/29 г. доводит эту мощность на 1 октября 1929 г. почти до 100% заявки — 12,5 тыс. руб.</w:t>
      </w:r>
    </w:p>
    <w:p w14:paraId="0B01B616"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Отсталым является производство щелочных аккумуляторов; элементы импортируются, сборка внутри Союза (Ленинград). До сих пор не удалось установить производства щелочных аккумуляторов. Постановлением СТО от 3 декабря 1928 г. предложено установить это производство внутри Союза, в связи с этим </w:t>
      </w:r>
      <w:proofErr w:type="spellStart"/>
      <w:r w:rsidRPr="00A259BD">
        <w:rPr>
          <w:color w:val="000000" w:themeColor="text1"/>
          <w:sz w:val="16"/>
          <w:szCs w:val="16"/>
        </w:rPr>
        <w:t>Главэлектро</w:t>
      </w:r>
      <w:proofErr w:type="spellEnd"/>
      <w:r w:rsidRPr="00A259BD">
        <w:rPr>
          <w:color w:val="000000" w:themeColor="text1"/>
          <w:sz w:val="16"/>
          <w:szCs w:val="16"/>
        </w:rPr>
        <w:t xml:space="preserve"> должен разработать проект развертывания этого нового производства¹³*.</w:t>
      </w:r>
    </w:p>
    <w:p w14:paraId="5BB315C0"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Одновременно с этим прорабатывается вопрос о замене щелочных аккумуляторов кислотными, производство которых у нас налажено. «Узким» местом производства кислотных аккумуляторов является рафинированный чистый свинец (импорт). В 1928/29 г. намечена по </w:t>
      </w:r>
      <w:proofErr w:type="spellStart"/>
      <w:r w:rsidRPr="00A259BD">
        <w:rPr>
          <w:color w:val="000000" w:themeColor="text1"/>
          <w:sz w:val="16"/>
          <w:szCs w:val="16"/>
        </w:rPr>
        <w:t>Главцветмету</w:t>
      </w:r>
      <w:proofErr w:type="spellEnd"/>
      <w:r w:rsidRPr="00A259BD">
        <w:rPr>
          <w:color w:val="000000" w:themeColor="text1"/>
          <w:sz w:val="16"/>
          <w:szCs w:val="16"/>
        </w:rPr>
        <w:t xml:space="preserve"> установка производства такового по способу инженера </w:t>
      </w:r>
      <w:proofErr w:type="spellStart"/>
      <w:r w:rsidRPr="00A259BD">
        <w:rPr>
          <w:color w:val="000000" w:themeColor="text1"/>
          <w:sz w:val="16"/>
          <w:szCs w:val="16"/>
        </w:rPr>
        <w:t>Шамурадова</w:t>
      </w:r>
      <w:proofErr w:type="spellEnd"/>
      <w:r w:rsidRPr="00A259BD">
        <w:rPr>
          <w:color w:val="000000" w:themeColor="text1"/>
          <w:sz w:val="16"/>
          <w:szCs w:val="16"/>
        </w:rPr>
        <w:t>. Точно также намечено от освобождения от импортной зависимости по сурику и глету путем установки производства их на заводах треста «Лакокраска».</w:t>
      </w:r>
    </w:p>
    <w:p w14:paraId="00564397"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Развертывание мощностей по аккумуляторам намечается по линии специализации отдельных заводов. Саратовский завод специализируется на производстве батарей для подводного плавания, вступая в действие в 1929 г.; другой завод по аккумуляторам подводного плавания — им. лейтенанта Шмидта (меньшая часть заявки) в Ленинграде. Кроме того, на заводе им. лейтенанта Шмидта будет сосредоточена сборка щелочных аккумуляторов и производство кислотных. Последние будут производиться также на заводе «Ленинская Искра». Производство элементов концентрируется на новом заводе «</w:t>
      </w:r>
      <w:proofErr w:type="spellStart"/>
      <w:r w:rsidRPr="00A259BD">
        <w:rPr>
          <w:color w:val="000000" w:themeColor="text1"/>
          <w:sz w:val="16"/>
          <w:szCs w:val="16"/>
        </w:rPr>
        <w:t>Мосэлектрик</w:t>
      </w:r>
      <w:proofErr w:type="spellEnd"/>
      <w:r w:rsidRPr="00A259BD">
        <w:rPr>
          <w:color w:val="000000" w:themeColor="text1"/>
          <w:sz w:val="16"/>
          <w:szCs w:val="16"/>
        </w:rPr>
        <w:t>».</w:t>
      </w:r>
    </w:p>
    <w:p w14:paraId="086BAD5C"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6. </w:t>
      </w:r>
      <w:r w:rsidRPr="00A259BD">
        <w:rPr>
          <w:rStyle w:val="af0"/>
          <w:i w:val="0"/>
          <w:color w:val="000000" w:themeColor="text1"/>
          <w:sz w:val="16"/>
          <w:szCs w:val="16"/>
        </w:rPr>
        <w:t>Прожекторы.</w:t>
      </w:r>
      <w:r w:rsidRPr="00A259BD">
        <w:rPr>
          <w:color w:val="000000" w:themeColor="text1"/>
          <w:sz w:val="16"/>
          <w:szCs w:val="16"/>
        </w:rPr>
        <w:t xml:space="preserve"> Мощность на 1 октября 1928 г. колеблется по различным типам прожекторов от 24 до 100% трехлетки. По тем типам, по которым нет утвержденных образцов и исходных технических данных, мощность не выявилась. Планом капитальных работ по контрольным цифрам 1928/29 г. намечено доведение мощностей: по посадочным аэродромным прожекторам — до 100% (70 комплектов); по О</w:t>
      </w:r>
      <w:r w:rsidRPr="00A259BD">
        <w:rPr>
          <w:color w:val="000000" w:themeColor="text1"/>
          <w:sz w:val="16"/>
          <w:szCs w:val="16"/>
        </w:rPr>
        <w:noBreakHyphen/>
        <w:t>15</w:t>
      </w:r>
      <w:r w:rsidRPr="00A259BD">
        <w:rPr>
          <w:color w:val="000000" w:themeColor="text1"/>
          <w:sz w:val="16"/>
          <w:szCs w:val="16"/>
        </w:rPr>
        <w:noBreakHyphen/>
        <w:t>2 — 63% (95 шт.); 30</w:t>
      </w:r>
      <w:r w:rsidRPr="00A259BD">
        <w:rPr>
          <w:color w:val="000000" w:themeColor="text1"/>
          <w:sz w:val="16"/>
          <w:szCs w:val="16"/>
        </w:rPr>
        <w:noBreakHyphen/>
        <w:t>45 — 85% (200 шт.) и 11</w:t>
      </w:r>
      <w:r w:rsidRPr="00A259BD">
        <w:rPr>
          <w:color w:val="000000" w:themeColor="text1"/>
          <w:sz w:val="16"/>
          <w:szCs w:val="16"/>
        </w:rPr>
        <w:noBreakHyphen/>
        <w:t>31</w:t>
      </w:r>
      <w:r w:rsidRPr="00A259BD">
        <w:rPr>
          <w:color w:val="000000" w:themeColor="text1"/>
          <w:sz w:val="16"/>
          <w:szCs w:val="16"/>
        </w:rPr>
        <w:noBreakHyphen/>
        <w:t xml:space="preserve">1 остается на прежнем уровне — 100% трехлетки (100 шт.). Что же касается прожекторов морских 60, 75 и 90 см, по которым не дано </w:t>
      </w:r>
      <w:proofErr w:type="spellStart"/>
      <w:r w:rsidRPr="00A259BD">
        <w:rPr>
          <w:color w:val="000000" w:themeColor="text1"/>
          <w:sz w:val="16"/>
          <w:szCs w:val="16"/>
        </w:rPr>
        <w:t>мобзадания</w:t>
      </w:r>
      <w:proofErr w:type="spellEnd"/>
      <w:r w:rsidRPr="00A259BD">
        <w:rPr>
          <w:color w:val="000000" w:themeColor="text1"/>
          <w:sz w:val="16"/>
          <w:szCs w:val="16"/>
        </w:rPr>
        <w:t xml:space="preserve">, то к 1 апреля НКВМ должен дать утвержденные образцы и технические условия, и в этом случае электропромышленность, согласно объему работ, запроектированному на 1928/29 г., сможет развернуть их производство без нарушения принятой по </w:t>
      </w:r>
      <w:proofErr w:type="spellStart"/>
      <w:r w:rsidRPr="00A259BD">
        <w:rPr>
          <w:color w:val="000000" w:themeColor="text1"/>
          <w:sz w:val="16"/>
          <w:szCs w:val="16"/>
        </w:rPr>
        <w:t>мобплану</w:t>
      </w:r>
      <w:proofErr w:type="spellEnd"/>
      <w:r w:rsidRPr="00A259BD">
        <w:rPr>
          <w:color w:val="000000" w:themeColor="text1"/>
          <w:sz w:val="16"/>
          <w:szCs w:val="16"/>
        </w:rPr>
        <w:t xml:space="preserve"> программы.</w:t>
      </w:r>
    </w:p>
    <w:p w14:paraId="25E64A10"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Дальнейшее развертывание мощностей по прожекторам до потребности трехлетней заявки НКВМ идет за счет развития до полной мощности прожекторного отдела «Электрозавода» (ГЭТ, Москва).</w:t>
      </w:r>
    </w:p>
    <w:p w14:paraId="0EB40D0A"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Так как некоторые составные части (двигатели, зеркальные отражатели, автомобильные шасси, вольтамперметры и т. д.) получаются с других заводов СССР («АМО», «Электроприбор» и предполагается с быв. Константиновского) или импортируется, то расширение электрозавода потребует и соответствующего развития предприятий, изготовляющих для него отдельные элементы и установки новых производств для освобождения от импорта. На протяжении трехлетия, кроме того, ставится вопрос внедрения продукции прожекторного производства в обиход некоторых отраслей народного хозяйства — прожекторы малых диаметров.</w:t>
      </w:r>
    </w:p>
    <w:p w14:paraId="2C64FCEE"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Намечается использование НКПС (35</w:t>
      </w:r>
      <w:r w:rsidRPr="00A259BD">
        <w:rPr>
          <w:color w:val="000000" w:themeColor="text1"/>
          <w:sz w:val="16"/>
          <w:szCs w:val="16"/>
        </w:rPr>
        <w:noBreakHyphen/>
        <w:t>45 см) прожекторов (установка на паровозах) и для освещения станции, каковые попытки уже делаются. Имеются предположения об использовании прожекторов на площадях вместо электрических ламп и т. д. Удачное разрешение этой проблемы позволит нам развитие прожекторного производства увязать с планами мирного развития и тем самым обеспечить наиболее экономные пути его развития.</w:t>
      </w:r>
    </w:p>
    <w:p w14:paraId="394812D0"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7. </w:t>
      </w:r>
      <w:r w:rsidRPr="00A259BD">
        <w:rPr>
          <w:rStyle w:val="af0"/>
          <w:i w:val="0"/>
          <w:color w:val="000000" w:themeColor="text1"/>
          <w:sz w:val="16"/>
          <w:szCs w:val="16"/>
        </w:rPr>
        <w:t>Отражатели.</w:t>
      </w:r>
      <w:r w:rsidRPr="00A259BD">
        <w:rPr>
          <w:color w:val="000000" w:themeColor="text1"/>
          <w:sz w:val="16"/>
          <w:szCs w:val="16"/>
        </w:rPr>
        <w:t xml:space="preserve"> Мощность по зеркальным полированным и металлическим отражателям на 1 октября 1928 г. — 0. Планом капитальных работ на 1928/29 г. намечено строительство на быв. Константиновском заводе цеха зеркальных отражателей, что частично освободит нас от импортной зависимости. Установка этого нового производства наталкивается на целый ряд технических трудностей из-за секретности этого производства за границей, поэтому развертывание мощности по зеркальным отражателям до уровня, обеспечивающего полное освобождение от импорта, может быть поставлено только после окончания строящегося цеха на Константиновском заводе и после технического освоения этого трудного и в условиях СССР совершенно нового производства. Производства металлических отражателей до сих пор в Союзе нет. </w:t>
      </w:r>
      <w:proofErr w:type="spellStart"/>
      <w:r w:rsidRPr="00A259BD">
        <w:rPr>
          <w:color w:val="000000" w:themeColor="text1"/>
          <w:sz w:val="16"/>
          <w:szCs w:val="16"/>
        </w:rPr>
        <w:t>Главэлектро</w:t>
      </w:r>
      <w:proofErr w:type="spellEnd"/>
      <w:r w:rsidRPr="00A259BD">
        <w:rPr>
          <w:color w:val="000000" w:themeColor="text1"/>
          <w:sz w:val="16"/>
          <w:szCs w:val="16"/>
        </w:rPr>
        <w:t xml:space="preserve"> дано задание на 1 октября 1931 г. установить их производство на мощность, требуемую </w:t>
      </w:r>
      <w:proofErr w:type="spellStart"/>
      <w:r w:rsidRPr="00A259BD">
        <w:rPr>
          <w:color w:val="000000" w:themeColor="text1"/>
          <w:sz w:val="16"/>
          <w:szCs w:val="16"/>
        </w:rPr>
        <w:t>НКВМором</w:t>
      </w:r>
      <w:proofErr w:type="spellEnd"/>
      <w:r w:rsidRPr="00A259BD">
        <w:rPr>
          <w:color w:val="000000" w:themeColor="text1"/>
          <w:sz w:val="16"/>
          <w:szCs w:val="16"/>
        </w:rPr>
        <w:t>.</w:t>
      </w:r>
    </w:p>
    <w:p w14:paraId="1D067751"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Производство зеркальных отражателей, диаметром до 90 см включительно, устанавливается в этом году на Константиновском заводе и на 1 октября 1929 г. ожидается мощность в 240 шт., или 39% трехлетки. Что касается 30</w:t>
      </w:r>
      <w:r w:rsidRPr="00A259BD">
        <w:rPr>
          <w:color w:val="000000" w:themeColor="text1"/>
          <w:sz w:val="16"/>
          <w:szCs w:val="16"/>
        </w:rPr>
        <w:noBreakHyphen/>
        <w:t xml:space="preserve">45 см, то </w:t>
      </w:r>
      <w:proofErr w:type="spellStart"/>
      <w:r w:rsidRPr="00A259BD">
        <w:rPr>
          <w:color w:val="000000" w:themeColor="text1"/>
          <w:sz w:val="16"/>
          <w:szCs w:val="16"/>
        </w:rPr>
        <w:t>мобзадание</w:t>
      </w:r>
      <w:proofErr w:type="spellEnd"/>
      <w:r w:rsidRPr="00A259BD">
        <w:rPr>
          <w:color w:val="000000" w:themeColor="text1"/>
          <w:sz w:val="16"/>
          <w:szCs w:val="16"/>
        </w:rPr>
        <w:t xml:space="preserve"> на них промышленности пока не дано, так как выясняется возможность замены их не полированными, и тогда потребность можно обеспечить на заводе «</w:t>
      </w:r>
      <w:proofErr w:type="spellStart"/>
      <w:r w:rsidRPr="00A259BD">
        <w:rPr>
          <w:color w:val="000000" w:themeColor="text1"/>
          <w:sz w:val="16"/>
          <w:szCs w:val="16"/>
        </w:rPr>
        <w:t>Лензос</w:t>
      </w:r>
      <w:proofErr w:type="spellEnd"/>
      <w:r w:rsidRPr="00A259BD">
        <w:rPr>
          <w:color w:val="000000" w:themeColor="text1"/>
          <w:sz w:val="16"/>
          <w:szCs w:val="16"/>
        </w:rPr>
        <w:t>». Дальнейшее развитие производства стеклянных отражателей до 150 см находится в тесной зависимости от результатов опытной установки их производства на Константиновском заводе и получения шлифовальных станков или импортных или с завода «Феникс» в Ленинграде, где разрабатывается конструкция станка для обработки зеркальных отражателей до 200 см в диаметре¹⁴*.</w:t>
      </w:r>
    </w:p>
    <w:p w14:paraId="1C1C0DA2" w14:textId="77777777" w:rsidR="00CE0BB3" w:rsidRPr="00A259BD" w:rsidRDefault="00CE0BB3" w:rsidP="009236E3">
      <w:pPr>
        <w:pStyle w:val="rtejustify"/>
        <w:spacing w:before="0" w:after="0"/>
        <w:rPr>
          <w:color w:val="000000" w:themeColor="text1"/>
          <w:sz w:val="16"/>
          <w:szCs w:val="16"/>
        </w:rPr>
      </w:pPr>
      <w:r w:rsidRPr="00A259BD">
        <w:rPr>
          <w:rStyle w:val="a7"/>
          <w:b w:val="0"/>
          <w:bCs w:val="0"/>
          <w:color w:val="000000" w:themeColor="text1"/>
          <w:sz w:val="16"/>
          <w:szCs w:val="16"/>
        </w:rPr>
        <w:t>V. Обеспечение промышленности рабочей и инженерно-технической силой</w:t>
      </w:r>
    </w:p>
    <w:p w14:paraId="7B43C3F5"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lastRenderedPageBreak/>
        <w:t>Работа по обеспечению промышленности рабочей и инженерно-технической силой в полном объеме начата в начале 1928 г., и в настоящее время найдены определенные организационные формы, в которых она и будет протекать в ближайшие годы. Основными причинами, позволившими привести эту работу в определенную систему только к настоящему времени, были следующие:</w:t>
      </w:r>
    </w:p>
    <w:p w14:paraId="71C19279"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1. В 1927/28 г. впервые ВСНХ СССР перешел в своей мобилизационной работе к охвату всей промышленности СССР вместо «узкой» части ее (непосредственно мобилизуемой, обслуживающей нужды вооруженных сил). Только это позволило выявить все ресурсы рабочей силы, общую потребность в ней и поставить в очередь вопросы перераспределения ее внутри промышленности.</w:t>
      </w:r>
    </w:p>
    <w:p w14:paraId="2A1D318E"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2. Закончена подготовительная работа по обеспечению рабочей силой промышленности (бронирование, проработка вопроса об использовании внутренних ресурсов и т. п.).</w:t>
      </w:r>
    </w:p>
    <w:p w14:paraId="3D02E955"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По проработке указанных выше вопросов (контрольные цифры первого года войны, предварительная наметка </w:t>
      </w:r>
      <w:proofErr w:type="spellStart"/>
      <w:r w:rsidRPr="00A259BD">
        <w:rPr>
          <w:color w:val="000000" w:themeColor="text1"/>
          <w:sz w:val="16"/>
          <w:szCs w:val="16"/>
        </w:rPr>
        <w:t>промфинплана</w:t>
      </w:r>
      <w:proofErr w:type="spellEnd"/>
      <w:r w:rsidRPr="00A259BD">
        <w:rPr>
          <w:color w:val="000000" w:themeColor="text1"/>
          <w:sz w:val="16"/>
          <w:szCs w:val="16"/>
        </w:rPr>
        <w:t xml:space="preserve"> на первый период войны и т. д.) получен материал, легший в основу работы по обеспечению промышленности рабочей и инженерно-технической силой.</w:t>
      </w:r>
    </w:p>
    <w:p w14:paraId="33BE2611" w14:textId="77777777" w:rsidR="00CE0BB3" w:rsidRPr="00A259BD" w:rsidRDefault="00CE0BB3" w:rsidP="009236E3">
      <w:pPr>
        <w:pStyle w:val="rtejustify"/>
        <w:spacing w:before="0" w:after="0"/>
        <w:rPr>
          <w:color w:val="000000" w:themeColor="text1"/>
          <w:sz w:val="16"/>
          <w:szCs w:val="16"/>
        </w:rPr>
      </w:pPr>
      <w:proofErr w:type="spellStart"/>
      <w:r w:rsidRPr="00A259BD">
        <w:rPr>
          <w:rStyle w:val="a7"/>
          <w:b w:val="0"/>
          <w:bCs w:val="0"/>
          <w:color w:val="000000" w:themeColor="text1"/>
          <w:sz w:val="16"/>
          <w:szCs w:val="16"/>
        </w:rPr>
        <w:t>А.Обеспечение</w:t>
      </w:r>
      <w:proofErr w:type="spellEnd"/>
      <w:r w:rsidRPr="00A259BD">
        <w:rPr>
          <w:rStyle w:val="a7"/>
          <w:b w:val="0"/>
          <w:bCs w:val="0"/>
          <w:color w:val="000000" w:themeColor="text1"/>
          <w:sz w:val="16"/>
          <w:szCs w:val="16"/>
        </w:rPr>
        <w:t xml:space="preserve"> рабочей силой</w:t>
      </w:r>
    </w:p>
    <w:p w14:paraId="20C718E5"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Нижеприведенные ориентировочные данные о числе рабочих в промышленности, рассчитанные при условии сохранения производительности труда, достигнутой в мирное время, достаточно ярко показывают напряжение с рабочей силой в п[</w:t>
      </w:r>
      <w:proofErr w:type="spellStart"/>
      <w:r w:rsidRPr="00A259BD">
        <w:rPr>
          <w:color w:val="000000" w:themeColor="text1"/>
          <w:sz w:val="16"/>
          <w:szCs w:val="16"/>
        </w:rPr>
        <w:t>ервый</w:t>
      </w:r>
      <w:proofErr w:type="spellEnd"/>
      <w:r w:rsidRPr="00A259BD">
        <w:rPr>
          <w:color w:val="000000" w:themeColor="text1"/>
          <w:sz w:val="16"/>
          <w:szCs w:val="16"/>
        </w:rPr>
        <w:t>] п[</w:t>
      </w:r>
      <w:proofErr w:type="spellStart"/>
      <w:r w:rsidRPr="00A259BD">
        <w:rPr>
          <w:color w:val="000000" w:themeColor="text1"/>
          <w:sz w:val="16"/>
          <w:szCs w:val="16"/>
        </w:rPr>
        <w:t>ериод</w:t>
      </w:r>
      <w:proofErr w:type="spellEnd"/>
      <w:r w:rsidRPr="00A259BD">
        <w:rPr>
          <w:color w:val="000000" w:themeColor="text1"/>
          <w:sz w:val="16"/>
          <w:szCs w:val="16"/>
        </w:rPr>
        <w:t>] войны:</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18"/>
        <w:gridCol w:w="1546"/>
        <w:gridCol w:w="2150"/>
        <w:gridCol w:w="1092"/>
        <w:gridCol w:w="629"/>
        <w:gridCol w:w="1218"/>
        <w:gridCol w:w="1156"/>
        <w:gridCol w:w="1913"/>
      </w:tblGrid>
      <w:tr w:rsidR="00A259BD" w:rsidRPr="00A259BD" w14:paraId="19C081AD"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112BDF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Отрасль</w:t>
            </w:r>
          </w:p>
          <w:p w14:paraId="170D9B9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6F64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Общее количество рабочих на 1 октября 1928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2D664"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Общее количество рабочих, уходящих по мобилизации (12 возрастов)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7709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Естествен</w:t>
            </w:r>
            <w:r w:rsidRPr="00A259BD">
              <w:rPr>
                <w:rFonts w:ascii="Times New Roman" w:hAnsi="Times New Roman"/>
                <w:color w:val="000000" w:themeColor="text1"/>
                <w:sz w:val="16"/>
                <w:szCs w:val="16"/>
              </w:rPr>
              <w:softHyphen/>
              <w:t>ная убыль (7,5%)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6B26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Остается</w:t>
            </w:r>
          </w:p>
          <w:p w14:paraId="0736082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2D27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Число рабочих в первый период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148C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Недостаток (-1), избыток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26F9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Проценты недостатка или избытка к потребному числу рабочих</w:t>
            </w:r>
          </w:p>
        </w:tc>
      </w:tr>
      <w:tr w:rsidR="00A259BD" w:rsidRPr="00A259BD" w14:paraId="55620286"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93B80B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Металлическая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5050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633 213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DD72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132 974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29F5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47 490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7E01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452 749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BB1A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759 855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A7C4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307 106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F77C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tc>
      </w:tr>
      <w:tr w:rsidR="00A259BD" w:rsidRPr="00A259BD" w14:paraId="729A4594"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C07BF9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Химическая (группа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E202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68 133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474A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AECA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583EE"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52 464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3235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95 386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EBCF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42 922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3D76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w:t>
            </w:r>
          </w:p>
        </w:tc>
      </w:tr>
      <w:tr w:rsidR="00A259BD" w:rsidRPr="00A259BD" w14:paraId="1D2BEFE0"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6C3874"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E6D0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121 324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9191A"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17 349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4F4C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04E1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94 855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FA3B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9611B"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193 145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EFB4F"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-67</w:t>
            </w:r>
          </w:p>
        </w:tc>
      </w:tr>
      <w:tr w:rsidR="00A259BD" w:rsidRPr="00A259BD" w14:paraId="71C0D0FA"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99E269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Электротехническая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C1E6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42 545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6B58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DBACE"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4505F"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31 476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C16B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31 014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F576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8A86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+ 1,4</w:t>
            </w:r>
          </w:p>
        </w:tc>
      </w:tr>
      <w:tr w:rsidR="00A259BD" w:rsidRPr="00A259BD" w14:paraId="26E3C09D"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1E002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Угольная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7CED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232 219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6508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BA5F4"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A5ED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188 463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5A98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255 600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5CC9A"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67 137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7160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-26,2</w:t>
            </w:r>
          </w:p>
        </w:tc>
      </w:tr>
      <w:tr w:rsidR="00A259BD" w:rsidRPr="00A259BD" w14:paraId="0DD9DC49"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A610CDF"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Нефтяная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78594"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65 317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C4BF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A39D7"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9A60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48 967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41C5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0D4E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3A55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w:t>
            </w:r>
          </w:p>
        </w:tc>
      </w:tr>
      <w:tr w:rsidR="00A259BD" w:rsidRPr="00A259BD" w14:paraId="247DEDDE"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E4976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Текстильная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18E8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4D257"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66 975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62787"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52 875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72A4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58 150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EB80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502 090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66EF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+83 060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B905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+16,5</w:t>
            </w:r>
          </w:p>
        </w:tc>
      </w:tr>
    </w:tbl>
    <w:p w14:paraId="0E1B2C54"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В отношении обеспечения рабочей силой все внимание должно быть уделено металлической и военной промышленности, поскольку в химической большинство рабочих малоквалифицированны и могут быть легко укомплектованы безработными и крестьянами.</w:t>
      </w:r>
    </w:p>
    <w:p w14:paraId="43803B5A" w14:textId="77777777" w:rsidR="00CE0BB3" w:rsidRPr="00A259BD" w:rsidRDefault="00CE0BB3" w:rsidP="009236E3">
      <w:pPr>
        <w:pStyle w:val="rtejustify"/>
        <w:spacing w:before="0" w:after="0"/>
        <w:rPr>
          <w:color w:val="000000" w:themeColor="text1"/>
          <w:sz w:val="16"/>
          <w:szCs w:val="16"/>
        </w:rPr>
      </w:pPr>
      <w:r w:rsidRPr="00A259BD">
        <w:rPr>
          <w:rStyle w:val="a7"/>
          <w:b w:val="0"/>
          <w:bCs w:val="0"/>
          <w:color w:val="000000" w:themeColor="text1"/>
          <w:sz w:val="16"/>
          <w:szCs w:val="16"/>
        </w:rPr>
        <w:t>Б. Работа по обеспечению промышленности рабочей силой</w:t>
      </w:r>
    </w:p>
    <w:p w14:paraId="2971C550"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Работа по обеспечению рабочей силой за последние 1,5 года свелась к следующему: 1. Сохранение рабочей силы за предприятиями (забронированным). 2. Разработка трудового режима на предприятиях на первый период войны. 3. Подготовки рабочей силы в мирное время. 4. Проработка вопросов: а) об использовании внутренних ресурсов предприятий, б) о подготовке рабочей силы в военное время, в) об использовании женского труда в военное время. 5. Разработка системы укомплектования совместно с </w:t>
      </w:r>
      <w:proofErr w:type="spellStart"/>
      <w:r w:rsidRPr="00A259BD">
        <w:rPr>
          <w:color w:val="000000" w:themeColor="text1"/>
          <w:sz w:val="16"/>
          <w:szCs w:val="16"/>
        </w:rPr>
        <w:t>НКТрудом</w:t>
      </w:r>
      <w:proofErr w:type="spellEnd"/>
      <w:r w:rsidRPr="00A259BD">
        <w:rPr>
          <w:color w:val="000000" w:themeColor="text1"/>
          <w:sz w:val="16"/>
          <w:szCs w:val="16"/>
        </w:rPr>
        <w:t xml:space="preserve"> СССР.</w:t>
      </w:r>
    </w:p>
    <w:p w14:paraId="0CAB4AD5"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Окончательные результаты этой работы и соответствующие цифры смогут быть доложены лишь к весне 1929 г. по разработке мобилизационного плана литеры «С».</w:t>
      </w:r>
    </w:p>
    <w:p w14:paraId="22628CC5"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1. Работа по </w:t>
      </w:r>
      <w:proofErr w:type="spellStart"/>
      <w:r w:rsidRPr="00A259BD">
        <w:rPr>
          <w:color w:val="000000" w:themeColor="text1"/>
          <w:sz w:val="16"/>
          <w:szCs w:val="16"/>
        </w:rPr>
        <w:t>забронированию</w:t>
      </w:r>
      <w:proofErr w:type="spellEnd"/>
      <w:r w:rsidRPr="00A259BD">
        <w:rPr>
          <w:color w:val="000000" w:themeColor="text1"/>
          <w:sz w:val="16"/>
          <w:szCs w:val="16"/>
        </w:rPr>
        <w:t xml:space="preserve"> в основных чертах закончена, и результаты ее приведены в следующей таблице: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41"/>
        <w:gridCol w:w="1195"/>
        <w:gridCol w:w="1378"/>
        <w:gridCol w:w="2241"/>
        <w:gridCol w:w="2757"/>
        <w:gridCol w:w="1910"/>
      </w:tblGrid>
      <w:tr w:rsidR="00A259BD" w:rsidRPr="00A259BD" w14:paraId="2297753D"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39BF2EAB"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Отрасль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E2C6F"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Общее количество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BA81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Общее количество военно</w:t>
            </w:r>
            <w:r w:rsidRPr="00A259BD">
              <w:rPr>
                <w:rFonts w:ascii="Times New Roman" w:hAnsi="Times New Roman"/>
                <w:color w:val="000000" w:themeColor="text1"/>
                <w:sz w:val="16"/>
                <w:szCs w:val="16"/>
              </w:rPr>
              <w:softHyphen/>
              <w:t>обязанных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D623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Процент военно</w:t>
            </w:r>
            <w:r w:rsidRPr="00A259BD">
              <w:rPr>
                <w:rFonts w:ascii="Times New Roman" w:hAnsi="Times New Roman"/>
                <w:color w:val="000000" w:themeColor="text1"/>
                <w:sz w:val="16"/>
                <w:szCs w:val="16"/>
              </w:rPr>
              <w:softHyphen/>
              <w:t>обязанных к общему количеству рабочих, 18 возрастов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E81D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Процент заброни</w:t>
            </w:r>
            <w:r w:rsidRPr="00A259BD">
              <w:rPr>
                <w:rFonts w:ascii="Times New Roman" w:hAnsi="Times New Roman"/>
                <w:color w:val="000000" w:themeColor="text1"/>
                <w:sz w:val="16"/>
                <w:szCs w:val="16"/>
              </w:rPr>
              <w:softHyphen/>
              <w:t>рованных военно</w:t>
            </w:r>
            <w:r w:rsidRPr="00A259BD">
              <w:rPr>
                <w:rFonts w:ascii="Times New Roman" w:hAnsi="Times New Roman"/>
                <w:color w:val="000000" w:themeColor="text1"/>
                <w:sz w:val="16"/>
                <w:szCs w:val="16"/>
              </w:rPr>
              <w:softHyphen/>
              <w:t>обязанных к общему числу военно</w:t>
            </w:r>
            <w:r w:rsidRPr="00A259BD">
              <w:rPr>
                <w:rFonts w:ascii="Times New Roman" w:hAnsi="Times New Roman"/>
                <w:color w:val="000000" w:themeColor="text1"/>
                <w:sz w:val="16"/>
                <w:szCs w:val="16"/>
              </w:rPr>
              <w:softHyphen/>
              <w:t>обязанных, 18 возрастов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72FF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Процент уходящих в армию после призыва, 18 возрастов</w:t>
            </w:r>
          </w:p>
        </w:tc>
      </w:tr>
      <w:tr w:rsidR="00A259BD" w:rsidRPr="00A259BD" w14:paraId="2678801A"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779779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Металлическая союзная¹⁵*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D617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488 611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150B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209 219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1B2A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073E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B7C3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20,4</w:t>
            </w:r>
          </w:p>
        </w:tc>
      </w:tr>
      <w:tr w:rsidR="00A259BD" w:rsidRPr="00A259BD" w14:paraId="22AFD26F"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7D73B8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Металлическая РСФСР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3EBA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95 864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473A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45 095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5D5E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B47FF"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5D60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23,1</w:t>
            </w:r>
          </w:p>
        </w:tc>
      </w:tr>
      <w:tr w:rsidR="00A259BD" w:rsidRPr="00A259BD" w14:paraId="74DB9ECC"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E28BFA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Металлическая УССР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CF62F"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48 738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D295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8A8C7"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FCBF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064E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24,4</w:t>
            </w:r>
          </w:p>
        </w:tc>
      </w:tr>
      <w:tr w:rsidR="00A259BD" w:rsidRPr="00A259BD" w14:paraId="5AE7FE45"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867F0BF"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по металлической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B93F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633 213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78C7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276 806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4C477"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1E027"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0E04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w:t>
            </w:r>
          </w:p>
        </w:tc>
      </w:tr>
      <w:tr w:rsidR="00A259BD" w:rsidRPr="00A259BD" w14:paraId="60E6BDEC"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1112830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Химическая союзная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A1F0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41 951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4335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18EF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703E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CC0A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15,1</w:t>
            </w:r>
          </w:p>
        </w:tc>
      </w:tr>
      <w:tr w:rsidR="00A259BD" w:rsidRPr="00A259BD" w14:paraId="314DCE9B"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F10F3F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Химическая РСФСР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CB79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B88FA"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29AF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0B04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781D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19,9</w:t>
            </w:r>
          </w:p>
        </w:tc>
      </w:tr>
      <w:tr w:rsidR="00A259BD" w:rsidRPr="00A259BD" w14:paraId="17C3C4B9"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10FBE98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Химическая УССР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B868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14 681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4239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5FCB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D06C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98AEF"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w:t>
            </w:r>
          </w:p>
        </w:tc>
      </w:tr>
      <w:tr w:rsidR="00A259BD" w:rsidRPr="00A259BD" w14:paraId="33AAD394"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C5EB52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по химической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7E7F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68 133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9D56E"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21 679¹⁶*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D9E5F"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1924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6947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15,5</w:t>
            </w:r>
          </w:p>
        </w:tc>
      </w:tr>
      <w:tr w:rsidR="00A259BD" w:rsidRPr="00A259BD" w14:paraId="424C30D7"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3B83A4A4"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Электротехническая¹⁷*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FF32E"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42 845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1101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411A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6542A"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7ABF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19,1</w:t>
            </w:r>
          </w:p>
        </w:tc>
      </w:tr>
      <w:tr w:rsidR="00A259BD" w:rsidRPr="00A259BD" w14:paraId="08F60035"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FFA7E5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Угольная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DF8CB"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232 219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E634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92 759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38B5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5355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C0EF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11,3</w:t>
            </w:r>
          </w:p>
        </w:tc>
      </w:tr>
      <w:tr w:rsidR="00A259BD" w:rsidRPr="00A259BD" w14:paraId="1F7A4025"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60729DC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Нефтяная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B17A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65 370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67ADE"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4686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5CB0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B7BD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w:t>
            </w:r>
          </w:p>
        </w:tc>
      </w:tr>
      <w:tr w:rsidR="00A259BD" w:rsidRPr="00A259BD" w14:paraId="054D6851"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FFB93E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Текстильная союзная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5AAD4"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524 937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783C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82 101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706F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308E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8367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9,3</w:t>
            </w:r>
          </w:p>
        </w:tc>
      </w:tr>
      <w:tr w:rsidR="00A259BD" w:rsidRPr="00A259BD" w14:paraId="3433CFA6"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5A7A80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Текстильная РСФСР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685D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101 111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851E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17 507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B06D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29D4E"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9977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10,8</w:t>
            </w:r>
          </w:p>
        </w:tc>
      </w:tr>
      <w:tr w:rsidR="00A259BD" w:rsidRPr="00A259BD" w14:paraId="31CBBFF7"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2B1E7F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по текстильной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D1F0A"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631 048¹⁸*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C8577"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99 608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92754"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6C08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483A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9,5</w:t>
            </w:r>
          </w:p>
        </w:tc>
      </w:tr>
      <w:tr w:rsidR="00A259BD" w:rsidRPr="00A259BD" w14:paraId="54B849B6"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0902AD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Военная¹⁹*</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85837"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121 324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D1537"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48 765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3B3A7"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FCAE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7294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14,3</w:t>
            </w:r>
          </w:p>
        </w:tc>
      </w:tr>
    </w:tbl>
    <w:p w14:paraId="3CF0A3C2"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Основным принципом, легшим в основание бронирования, был следующий: широко бронируются металлическая, химическая основная и военная промышленность, в которых забронировано 50% всех военнообязанных. А в остальных бронируются только рабочие, имеющие особо важное значение для деятельности предприятий. Рассчитывать на расширение бронирования не приходится, так как в этом вопросе ВСНХ сталкивается с потребностью армии в укомплектовании ее рабочими кадрами. Ближайший год пройдет в уточнении этой работы, в улучшении учета военнообязанных и забронированных.</w:t>
      </w:r>
    </w:p>
    <w:p w14:paraId="76C71EBE"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2. А. Недостаток рабочих потребует увеличения рабочего дня и рабочего года трудящегося. Рабочий год проектируется в 311 дней с тем, чтобы рабочий имел еженедельный 42</w:t>
      </w:r>
      <w:r w:rsidRPr="00A259BD">
        <w:rPr>
          <w:color w:val="000000" w:themeColor="text1"/>
          <w:sz w:val="16"/>
          <w:szCs w:val="16"/>
        </w:rPr>
        <w:noBreakHyphen/>
        <w:t>часовой отдых. Из праздников сохраняются только 1 мая и 7 ноября.</w:t>
      </w:r>
    </w:p>
    <w:p w14:paraId="4FF353FC"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Б. Рабочий день, как правило, не должен быть увеличен, так как возникает опасность увеличения брака и понижения производительности труда, но в начале периода мобилизации и развертывания производства и пока не будут подготовлены новые кадры рабочих должны будут быть введены сверхурочные работы (до 2 часов в день), а в первый период войны в отдельных случаях до 4 часов.</w:t>
      </w:r>
    </w:p>
    <w:p w14:paraId="44E9D937"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В. Совместно с НКТ СССР проведен закон об ограничении права трудящихся самостоятельно оставлять работу на предприятиях в военное время, что облегчает работу по обеспечению предприятий рабочей силой.</w:t>
      </w:r>
    </w:p>
    <w:p w14:paraId="5A3EF7AF"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3. Обучение в мирное время. В мирное время обучаются рабочие только очень высоких и редких квалификаций:</w:t>
      </w:r>
    </w:p>
    <w:p w14:paraId="3CB0D336"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а) дополнительно к 5 тыс. чел., обучающихся в военной промышленности в порядке подготовки рабсилы к мирной программе, в 1929 г. намечено обучить еще несколько сот лекальщиков и инструментальщиков. Обучением этим будут охвачены взрослые рабочие низких и средних квалификаций;</w:t>
      </w:r>
    </w:p>
    <w:p w14:paraId="66A381E7"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б) </w:t>
      </w:r>
      <w:proofErr w:type="spellStart"/>
      <w:r w:rsidRPr="00A259BD">
        <w:rPr>
          <w:color w:val="000000" w:themeColor="text1"/>
          <w:sz w:val="16"/>
          <w:szCs w:val="16"/>
        </w:rPr>
        <w:t>Главмашстроем</w:t>
      </w:r>
      <w:proofErr w:type="spellEnd"/>
      <w:r w:rsidRPr="00A259BD">
        <w:rPr>
          <w:color w:val="000000" w:themeColor="text1"/>
          <w:sz w:val="16"/>
          <w:szCs w:val="16"/>
        </w:rPr>
        <w:t xml:space="preserve"> и </w:t>
      </w:r>
      <w:proofErr w:type="spellStart"/>
      <w:r w:rsidRPr="00A259BD">
        <w:rPr>
          <w:color w:val="000000" w:themeColor="text1"/>
          <w:sz w:val="16"/>
          <w:szCs w:val="16"/>
        </w:rPr>
        <w:t>Главчерметом</w:t>
      </w:r>
      <w:proofErr w:type="spellEnd"/>
      <w:r w:rsidRPr="00A259BD">
        <w:rPr>
          <w:color w:val="000000" w:themeColor="text1"/>
          <w:sz w:val="16"/>
          <w:szCs w:val="16"/>
        </w:rPr>
        <w:t xml:space="preserve"> в настоящее время заключен договор с </w:t>
      </w:r>
      <w:proofErr w:type="spellStart"/>
      <w:r w:rsidRPr="00A259BD">
        <w:rPr>
          <w:color w:val="000000" w:themeColor="text1"/>
          <w:sz w:val="16"/>
          <w:szCs w:val="16"/>
        </w:rPr>
        <w:t>ЦИТом</w:t>
      </w:r>
      <w:proofErr w:type="spellEnd"/>
      <w:r w:rsidRPr="00A259BD">
        <w:rPr>
          <w:color w:val="000000" w:themeColor="text1"/>
          <w:sz w:val="16"/>
          <w:szCs w:val="16"/>
        </w:rPr>
        <w:t xml:space="preserve"> об обучении 600 установщиков снарядного производства. В настоящее время заканчивается составление программ и учебных планов, и с февраля 1929 г. обучение начнется. Срок обучения 5</w:t>
      </w:r>
      <w:r w:rsidRPr="00A259BD">
        <w:rPr>
          <w:color w:val="000000" w:themeColor="text1"/>
          <w:sz w:val="16"/>
          <w:szCs w:val="16"/>
        </w:rPr>
        <w:noBreakHyphen/>
        <w:t>6 месяцев. Комплектуются слушатели из рабочих 6</w:t>
      </w:r>
      <w:r w:rsidRPr="00A259BD">
        <w:rPr>
          <w:color w:val="000000" w:themeColor="text1"/>
          <w:sz w:val="16"/>
          <w:szCs w:val="16"/>
        </w:rPr>
        <w:noBreakHyphen/>
        <w:t>7 разряда (новой тарифной сетки). Цель обучения получить установщиков-инструкторов снарядного и взрыв[</w:t>
      </w:r>
      <w:proofErr w:type="spellStart"/>
      <w:r w:rsidRPr="00A259BD">
        <w:rPr>
          <w:color w:val="000000" w:themeColor="text1"/>
          <w:sz w:val="16"/>
          <w:szCs w:val="16"/>
        </w:rPr>
        <w:t>ательного</w:t>
      </w:r>
      <w:proofErr w:type="spellEnd"/>
      <w:r w:rsidRPr="00A259BD">
        <w:rPr>
          <w:color w:val="000000" w:themeColor="text1"/>
          <w:sz w:val="16"/>
          <w:szCs w:val="16"/>
        </w:rPr>
        <w:t>] производства, способных наладить оборудование и обучить вновь пришедших рабочих.</w:t>
      </w:r>
    </w:p>
    <w:p w14:paraId="29BB591B"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4. Основной мерой, которая должна обеспечить потребность промышленности в квалифицированной рабсиле на военное время. Президиум ВСНХ СССР считает использование собственных ресурсов промышленности путем правильного ее перераспределения внутри предприятий и между предприятиями. Это перераспределение подготовляется всеми заинтересованными предприятиями путем разработки тщательных планов таковых еще в мирное время и, по мнению Президиума ВСНХ СССР, должно дать значительные источники квалифицированной рабсилы. Благоприятные результаты этого мероприятия являются тем более возможными, что уже в мирное время, в силу штатных возможностей, на предприятиях имеется значительное число квалифицированных рабочих, числящихся в низших разрядах и могущих быть переведенными при мобилизации на более ответственную работу.</w:t>
      </w:r>
    </w:p>
    <w:p w14:paraId="135620A7"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А. Большое количество полуквалифицированных рабочих, особенно в снарядном деле, будет получено путем обучения в военное время в течение короткого срока (2</w:t>
      </w:r>
      <w:r w:rsidRPr="00A259BD">
        <w:rPr>
          <w:color w:val="000000" w:themeColor="text1"/>
          <w:sz w:val="16"/>
          <w:szCs w:val="16"/>
        </w:rPr>
        <w:noBreakHyphen/>
        <w:t>3 месяца). Для большего успеха этого дела в мирное время предприятиями будут выделены школы ФЗУ или цеха и мастерские, выделены инструктора для организации обучения с объявлением мобилизации. В больших промышленных центрах это дело централизовано, с тем, чтобы вести обучение в каком-либо из предприятий в 2</w:t>
      </w:r>
      <w:r w:rsidRPr="00A259BD">
        <w:rPr>
          <w:color w:val="000000" w:themeColor="text1"/>
          <w:sz w:val="16"/>
          <w:szCs w:val="16"/>
        </w:rPr>
        <w:noBreakHyphen/>
        <w:t>3 смены и после обучения распределить по заводам района (например, в Москве, Ленинграде). Поскольку развертывание предприятий тянется несколько месяцев, можно полагать, что с помощью указанных мер потребность в нем будет удовлетворена полностью и своевременно.</w:t>
      </w:r>
    </w:p>
    <w:p w14:paraId="6A2F50DA"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Б. Использование женского труда. Опыт мировой войны показал возможность и целесообразность использования женского труда в промышленности даже в тех отраслях, в которых в мирное время последний не использовался.</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60"/>
        <w:gridCol w:w="1235"/>
        <w:gridCol w:w="896"/>
        <w:gridCol w:w="1235"/>
        <w:gridCol w:w="896"/>
      </w:tblGrid>
      <w:tr w:rsidR="00A259BD" w:rsidRPr="00A259BD" w14:paraId="77797825" w14:textId="77777777" w:rsidTr="00824FAB">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43D9F27"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Отрасль промышленности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0F5A7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января 1914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0F0D2E"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января 1927 г.</w:t>
            </w:r>
          </w:p>
        </w:tc>
      </w:tr>
      <w:tr w:rsidR="00A259BD" w:rsidRPr="00A259BD" w14:paraId="6EEF6D3B" w14:textId="77777777" w:rsidTr="00824FAB">
        <w:tc>
          <w:tcPr>
            <w:tcW w:w="0" w:type="auto"/>
            <w:vMerge/>
            <w:tcBorders>
              <w:top w:val="outset" w:sz="6" w:space="0" w:color="auto"/>
              <w:left w:val="outset" w:sz="6" w:space="0" w:color="auto"/>
              <w:bottom w:val="outset" w:sz="6" w:space="0" w:color="auto"/>
              <w:right w:val="outset" w:sz="6" w:space="0" w:color="auto"/>
            </w:tcBorders>
            <w:vAlign w:val="center"/>
            <w:hideMark/>
          </w:tcPr>
          <w:p w14:paraId="0A032CDD" w14:textId="77777777" w:rsidR="007548ED" w:rsidRPr="00A259BD" w:rsidRDefault="007548ED" w:rsidP="009236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DCD2DB"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Общее</w:t>
            </w:r>
          </w:p>
          <w:p w14:paraId="5091FAB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количество</w:t>
            </w:r>
          </w:p>
          <w:p w14:paraId="0B4C328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BE63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Процент</w:t>
            </w:r>
          </w:p>
          <w:p w14:paraId="65FAF4F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женщин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56C2B"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Общее</w:t>
            </w:r>
          </w:p>
          <w:p w14:paraId="6A639ACA"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количество</w:t>
            </w:r>
          </w:p>
          <w:p w14:paraId="0A362A2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CBE5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Процент</w:t>
            </w:r>
          </w:p>
          <w:p w14:paraId="2D1DE53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женщин</w:t>
            </w:r>
          </w:p>
        </w:tc>
      </w:tr>
      <w:tr w:rsidR="00A259BD" w:rsidRPr="00A259BD" w14:paraId="4626E006"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23E731B"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Обработка хлопка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2CA9E"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496 632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3FA5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6FD5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458 758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205D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w:t>
            </w:r>
          </w:p>
        </w:tc>
      </w:tr>
      <w:tr w:rsidR="00A259BD" w:rsidRPr="00A259BD" w14:paraId="1D948BDB"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5C6D14A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Обработка шерсти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D452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94 515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2826A"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224E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87 714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D95B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w:t>
            </w:r>
          </w:p>
        </w:tc>
      </w:tr>
      <w:tr w:rsidR="00A259BD" w:rsidRPr="00A259BD" w14:paraId="408C3AD9"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66C6214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Обработка шелка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6AC8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4AE4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F86DB"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26 731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552F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w:t>
            </w:r>
          </w:p>
        </w:tc>
      </w:tr>
      <w:tr w:rsidR="00A259BD" w:rsidRPr="00A259BD" w14:paraId="09F2E564"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5EBA795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Бумажное и полиграфическое 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EB92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94 343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1FB3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0267B"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80 514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115E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w:t>
            </w:r>
          </w:p>
        </w:tc>
      </w:tr>
      <w:tr w:rsidR="00A259BD" w:rsidRPr="00A259BD" w14:paraId="53BCF903"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656DAF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Обработка дерева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ADA9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115 965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0E12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A1FD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87 780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31A1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w:t>
            </w:r>
          </w:p>
        </w:tc>
      </w:tr>
      <w:tr w:rsidR="00A259BD" w:rsidRPr="00A259BD" w14:paraId="34ABDE45"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13A9D05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Обработка металлов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9804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327 872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BF1C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61C4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546 117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6CAB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w:t>
            </w:r>
          </w:p>
        </w:tc>
      </w:tr>
      <w:tr w:rsidR="00A259BD" w:rsidRPr="00A259BD" w14:paraId="06B5CA5F"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07AC66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Обработка минеральных веществ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AF06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187 947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5911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BC18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101 638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C04EE"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w:t>
            </w:r>
          </w:p>
        </w:tc>
      </w:tr>
      <w:tr w:rsidR="00A259BD" w:rsidRPr="00A259BD" w14:paraId="50AD78D3"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72162E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Обработка </w:t>
            </w:r>
            <w:proofErr w:type="spellStart"/>
            <w:r w:rsidRPr="00A259BD">
              <w:rPr>
                <w:rFonts w:ascii="Times New Roman" w:hAnsi="Times New Roman"/>
                <w:color w:val="000000" w:themeColor="text1"/>
                <w:sz w:val="16"/>
                <w:szCs w:val="16"/>
              </w:rPr>
              <w:t>животн</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ых</w:t>
            </w:r>
            <w:proofErr w:type="spellEnd"/>
            <w:r w:rsidRPr="00A259BD">
              <w:rPr>
                <w:rFonts w:ascii="Times New Roman" w:hAnsi="Times New Roman"/>
                <w:color w:val="000000" w:themeColor="text1"/>
                <w:sz w:val="16"/>
                <w:szCs w:val="16"/>
              </w:rPr>
              <w:t>] продуктов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CCB5B"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45 079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230CE"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74B5E"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70 168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32ACB"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tc>
      </w:tr>
      <w:tr w:rsidR="00A259BD" w:rsidRPr="00A259BD" w14:paraId="4CE54777"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A0110A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Пищевкусовая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8433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328 999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6599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79E7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338 591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7264F"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w:t>
            </w:r>
          </w:p>
        </w:tc>
      </w:tr>
      <w:tr w:rsidR="00A259BD" w:rsidRPr="00A259BD" w14:paraId="7A2AD231"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12F384D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Химическая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CC397"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81312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83F4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FCB27"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92 679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15A87"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tc>
      </w:tr>
      <w:tr w:rsidR="00A259BD" w:rsidRPr="00A259BD" w14:paraId="66E04301"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57CEAA3E"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Добыча и переработка нефти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603E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37 459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FDC8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B0DD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41 327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DD34F"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w:t>
            </w:r>
          </w:p>
        </w:tc>
      </w:tr>
      <w:tr w:rsidR="00A259BD" w:rsidRPr="00A259BD" w14:paraId="35580A67"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4777E3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Прочие²⁰*</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2D42F"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2E9B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DC94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EBB6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r>
      <w:tr w:rsidR="00A259BD" w:rsidRPr="00A259BD" w14:paraId="23D4C82A"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D93DCC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по промышленности подведомственной фабричной инспекции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A4D9B"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1 996 194²¹*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028CB"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9ECC2"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2 099 862²²*</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C8F5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tc>
      </w:tr>
    </w:tbl>
    <w:p w14:paraId="350FC3F5"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В наших условиях особенно важно использовать женский труд, потому что использование женского труда позволит занять на предприятиях жен рабочих, ушедших по мобилизации, что облегчит положение с жилищами, в настоящее время очень острое. В целях использования женщин в военное время ВСНХ СССР вместе с </w:t>
      </w:r>
      <w:proofErr w:type="spellStart"/>
      <w:r w:rsidRPr="00A259BD">
        <w:rPr>
          <w:color w:val="000000" w:themeColor="text1"/>
          <w:sz w:val="16"/>
          <w:szCs w:val="16"/>
        </w:rPr>
        <w:t>НКТрудом</w:t>
      </w:r>
      <w:proofErr w:type="spellEnd"/>
      <w:r w:rsidRPr="00A259BD">
        <w:rPr>
          <w:color w:val="000000" w:themeColor="text1"/>
          <w:sz w:val="16"/>
          <w:szCs w:val="16"/>
        </w:rPr>
        <w:t xml:space="preserve"> СССР заканчивается проработкой вопрос о сужении списка вредных работ для женщин (особенно в химической промышленности) и о разрешении ночных работ для женщин. Предприятия при проработке потребности в рабсиле выделяют те профессии и квалификации, к которым могут быть допущены женщины и оговаривают это в своих мобилизационных заявках органам труда.</w:t>
      </w:r>
    </w:p>
    <w:p w14:paraId="38DD5988"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5. В результате всей работы ВСНХ СССР совместно с </w:t>
      </w:r>
      <w:proofErr w:type="spellStart"/>
      <w:r w:rsidRPr="00A259BD">
        <w:rPr>
          <w:color w:val="000000" w:themeColor="text1"/>
          <w:sz w:val="16"/>
          <w:szCs w:val="16"/>
        </w:rPr>
        <w:t>Наркомтрудом</w:t>
      </w:r>
      <w:proofErr w:type="spellEnd"/>
      <w:r w:rsidRPr="00A259BD">
        <w:rPr>
          <w:color w:val="000000" w:themeColor="text1"/>
          <w:sz w:val="16"/>
          <w:szCs w:val="16"/>
        </w:rPr>
        <w:t xml:space="preserve"> СССР смог разработать основные принципы плана укомплектования, который в основных чертах сводится к следующему:</w:t>
      </w:r>
    </w:p>
    <w:p w14:paraId="1EC093D8"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предприятия и органы промышленности, выяснив свою потребность па первый период войны, подают свои заявки местным органам труда, которые и удовлетворяют ее из местных ресурсов;</w:t>
      </w:r>
    </w:p>
    <w:p w14:paraId="5CF48C59"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 в случае, если местных ресурсов недостаточно для удовлетворения потребности, доукомплектование производится </w:t>
      </w:r>
      <w:proofErr w:type="spellStart"/>
      <w:r w:rsidRPr="00A259BD">
        <w:rPr>
          <w:color w:val="000000" w:themeColor="text1"/>
          <w:sz w:val="16"/>
          <w:szCs w:val="16"/>
        </w:rPr>
        <w:t>Наркомтрудом</w:t>
      </w:r>
      <w:proofErr w:type="spellEnd"/>
      <w:r w:rsidRPr="00A259BD">
        <w:rPr>
          <w:color w:val="000000" w:themeColor="text1"/>
          <w:sz w:val="16"/>
          <w:szCs w:val="16"/>
        </w:rPr>
        <w:t xml:space="preserve"> СССР путем переброски рабсилы из района в район;</w:t>
      </w:r>
    </w:p>
    <w:p w14:paraId="2CB92C18"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 и </w:t>
      </w:r>
      <w:proofErr w:type="spellStart"/>
      <w:r w:rsidRPr="00A259BD">
        <w:rPr>
          <w:color w:val="000000" w:themeColor="text1"/>
          <w:sz w:val="16"/>
          <w:szCs w:val="16"/>
        </w:rPr>
        <w:t>Наркомтруд</w:t>
      </w:r>
      <w:proofErr w:type="spellEnd"/>
      <w:r w:rsidRPr="00A259BD">
        <w:rPr>
          <w:color w:val="000000" w:themeColor="text1"/>
          <w:sz w:val="16"/>
          <w:szCs w:val="16"/>
        </w:rPr>
        <w:t xml:space="preserve"> СССР, и ВСНХ СССР получают материалы из главных управлений ВСНХ с[</w:t>
      </w:r>
      <w:proofErr w:type="spellStart"/>
      <w:r w:rsidRPr="00A259BD">
        <w:rPr>
          <w:color w:val="000000" w:themeColor="text1"/>
          <w:sz w:val="16"/>
          <w:szCs w:val="16"/>
        </w:rPr>
        <w:t>оюзных</w:t>
      </w:r>
      <w:proofErr w:type="spellEnd"/>
      <w:r w:rsidRPr="00A259BD">
        <w:rPr>
          <w:color w:val="000000" w:themeColor="text1"/>
          <w:sz w:val="16"/>
          <w:szCs w:val="16"/>
        </w:rPr>
        <w:t>] р[</w:t>
      </w:r>
      <w:proofErr w:type="spellStart"/>
      <w:r w:rsidRPr="00A259BD">
        <w:rPr>
          <w:color w:val="000000" w:themeColor="text1"/>
          <w:sz w:val="16"/>
          <w:szCs w:val="16"/>
        </w:rPr>
        <w:t>еспублик</w:t>
      </w:r>
      <w:proofErr w:type="spellEnd"/>
      <w:r w:rsidRPr="00A259BD">
        <w:rPr>
          <w:color w:val="000000" w:themeColor="text1"/>
          <w:sz w:val="16"/>
          <w:szCs w:val="16"/>
        </w:rPr>
        <w:t xml:space="preserve">] и </w:t>
      </w:r>
      <w:proofErr w:type="spellStart"/>
      <w:r w:rsidRPr="00A259BD">
        <w:rPr>
          <w:color w:val="000000" w:themeColor="text1"/>
          <w:sz w:val="16"/>
          <w:szCs w:val="16"/>
        </w:rPr>
        <w:t>наркомтруда</w:t>
      </w:r>
      <w:proofErr w:type="spellEnd"/>
      <w:r w:rsidRPr="00A259BD">
        <w:rPr>
          <w:color w:val="000000" w:themeColor="text1"/>
          <w:sz w:val="16"/>
          <w:szCs w:val="16"/>
        </w:rPr>
        <w:t xml:space="preserve"> с[</w:t>
      </w:r>
      <w:proofErr w:type="spellStart"/>
      <w:r w:rsidRPr="00A259BD">
        <w:rPr>
          <w:color w:val="000000" w:themeColor="text1"/>
          <w:sz w:val="16"/>
          <w:szCs w:val="16"/>
        </w:rPr>
        <w:t>оюзных</w:t>
      </w:r>
      <w:proofErr w:type="spellEnd"/>
      <w:r w:rsidRPr="00A259BD">
        <w:rPr>
          <w:color w:val="000000" w:themeColor="text1"/>
          <w:sz w:val="16"/>
          <w:szCs w:val="16"/>
        </w:rPr>
        <w:t>] р[</w:t>
      </w:r>
      <w:proofErr w:type="spellStart"/>
      <w:r w:rsidRPr="00A259BD">
        <w:rPr>
          <w:color w:val="000000" w:themeColor="text1"/>
          <w:sz w:val="16"/>
          <w:szCs w:val="16"/>
        </w:rPr>
        <w:t>еспублик</w:t>
      </w:r>
      <w:proofErr w:type="spellEnd"/>
      <w:r w:rsidRPr="00A259BD">
        <w:rPr>
          <w:color w:val="000000" w:themeColor="text1"/>
          <w:sz w:val="16"/>
          <w:szCs w:val="16"/>
        </w:rPr>
        <w:t>] и составляют сводный план укомплектования.</w:t>
      </w:r>
    </w:p>
    <w:p w14:paraId="56DD4E90"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К работе по составлению плана укомплектования привлечены ВСНХ с[</w:t>
      </w:r>
      <w:proofErr w:type="spellStart"/>
      <w:r w:rsidRPr="00A259BD">
        <w:rPr>
          <w:color w:val="000000" w:themeColor="text1"/>
          <w:sz w:val="16"/>
          <w:szCs w:val="16"/>
        </w:rPr>
        <w:t>оюзных</w:t>
      </w:r>
      <w:proofErr w:type="spellEnd"/>
      <w:r w:rsidRPr="00A259BD">
        <w:rPr>
          <w:color w:val="000000" w:themeColor="text1"/>
          <w:sz w:val="16"/>
          <w:szCs w:val="16"/>
        </w:rPr>
        <w:t>] р[</w:t>
      </w:r>
      <w:proofErr w:type="spellStart"/>
      <w:r w:rsidRPr="00A259BD">
        <w:rPr>
          <w:color w:val="000000" w:themeColor="text1"/>
          <w:sz w:val="16"/>
          <w:szCs w:val="16"/>
        </w:rPr>
        <w:t>еспублик</w:t>
      </w:r>
      <w:proofErr w:type="spellEnd"/>
      <w:r w:rsidRPr="00A259BD">
        <w:rPr>
          <w:color w:val="000000" w:themeColor="text1"/>
          <w:sz w:val="16"/>
          <w:szCs w:val="16"/>
        </w:rPr>
        <w:t>] и их местные органы, которым предоставлено право контролировать заявки предприятий союзного значения и право перераспределять рабочую силу между предприятиями на территории, им подчиненной. План укомплектования является составной частью мобилизационного плана литеры «С».</w:t>
      </w:r>
    </w:p>
    <w:p w14:paraId="031BCCD9" w14:textId="77777777" w:rsidR="00CE0BB3" w:rsidRPr="00A259BD" w:rsidRDefault="00CE0BB3" w:rsidP="009236E3">
      <w:pPr>
        <w:pStyle w:val="rtejustify"/>
        <w:spacing w:before="0" w:after="0"/>
        <w:rPr>
          <w:color w:val="000000" w:themeColor="text1"/>
          <w:sz w:val="16"/>
          <w:szCs w:val="16"/>
        </w:rPr>
      </w:pPr>
      <w:r w:rsidRPr="00A259BD">
        <w:rPr>
          <w:rStyle w:val="a7"/>
          <w:b w:val="0"/>
          <w:bCs w:val="0"/>
          <w:color w:val="000000" w:themeColor="text1"/>
          <w:sz w:val="16"/>
          <w:szCs w:val="16"/>
        </w:rPr>
        <w:t>В. Обеспечение промышленности инженерно-технической силой</w:t>
      </w:r>
    </w:p>
    <w:p w14:paraId="5C8E4ED6"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Обеспечение промышленности инженерно-технической силой в отличие от обеспечения рабочей силой проводится ВСНХ СССР в мирное время, так как подготовка инженерно-технической силы требует продолжительного срока и в военное время произведена быть не может. К тому же острота положения с инженерно-технической силой усугубляется еще тем, что и в мирное время имеется большой некомплект инженеров и техников. Общий недостаток в инженерно-технической силе на первый период войны исчисляется грубо ориентировочно в 2 тыс. инженеров, техников и мастеров. Из этого количества до 50% приходится на военную промышленность.</w:t>
      </w:r>
    </w:p>
    <w:p w14:paraId="5A7355D0"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Работа по обеспечению промышленности инженерно-технической силой состоит из следующих частей: а) работы по обеспечению руководящим (заведующим цехами, мастерскими и т. д.) и конструкторским персоналом; б) работа по обеспечению рядовым инженерным составом; в) работа по обеспечению техниками и мастерами.</w:t>
      </w:r>
    </w:p>
    <w:p w14:paraId="15AFF6E3"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1. Укомплектование руководящего и конструкторского персонала военных заводов и военных производств мобилизуемых гражданских производится согласно постановлению Постоянного мобилизационного совещания при Президиуме ВСНХ СССР, главным образом, из лиц, окончивших Военно-техническую академию им. Дзержинского. Общая потребность в лицах, окончивших ВТА им. Дзержинского, с учетом замены руководителей предприятий-практиков без высшего образования достигает в 230</w:t>
      </w:r>
      <w:r w:rsidRPr="00A259BD">
        <w:rPr>
          <w:color w:val="000000" w:themeColor="text1"/>
          <w:sz w:val="16"/>
          <w:szCs w:val="16"/>
        </w:rPr>
        <w:noBreakHyphen/>
        <w:t>250 чел. (из которых в гражданскую мобилизуемую промышленность 55</w:t>
      </w:r>
      <w:r w:rsidRPr="00A259BD">
        <w:rPr>
          <w:color w:val="000000" w:themeColor="text1"/>
          <w:sz w:val="16"/>
          <w:szCs w:val="16"/>
        </w:rPr>
        <w:noBreakHyphen/>
        <w:t>60 чел., а остальные — в военную). До сих пор, однако, поступало в промышленность ежегодно незначительное количество.</w:t>
      </w:r>
    </w:p>
    <w:p w14:paraId="1A9F32A4"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2. Такое ничтожное поступление в промышленность военных инженеров технологов и химиков грозит затянуть укомплектование промышленности на бесконечно долгий срок. По соглашению между НКВМ и ВСНХ СССР число командируемых увеличивается: в 1929 г. будет командировано 11 чел. (только из артиллерийского факультета), а с 1930</w:t>
      </w:r>
      <w:r w:rsidRPr="00A259BD">
        <w:rPr>
          <w:color w:val="000000" w:themeColor="text1"/>
          <w:sz w:val="16"/>
          <w:szCs w:val="16"/>
        </w:rPr>
        <w:noBreakHyphen/>
        <w:t>1933 гг. по 22 чел. в год (из артиллерийского и химического факультетов по 11 чел.). Таким образом, к 1933 г. промышленность получит: 11+88 чел. = 99 чел., т. е. степень удовлетворения потребности достигнет 40%, не учитывая неизбежного дальнейшего роста потребности.</w:t>
      </w:r>
    </w:p>
    <w:p w14:paraId="68667EB0"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ВСНХ СССР по согласованию с </w:t>
      </w:r>
      <w:proofErr w:type="spellStart"/>
      <w:r w:rsidRPr="00A259BD">
        <w:rPr>
          <w:color w:val="000000" w:themeColor="text1"/>
          <w:sz w:val="16"/>
          <w:szCs w:val="16"/>
        </w:rPr>
        <w:t>НКВМором</w:t>
      </w:r>
      <w:proofErr w:type="spellEnd"/>
      <w:r w:rsidRPr="00A259BD">
        <w:rPr>
          <w:color w:val="000000" w:themeColor="text1"/>
          <w:sz w:val="16"/>
          <w:szCs w:val="16"/>
        </w:rPr>
        <w:t xml:space="preserve"> организовал при Военно-технической академии им. Дзержинского военно-промышленное отделение, содержащееся на средства промышленности и комплектуемое из работников промышленности. В настоящее время отделение уже работает, функционирует 1</w:t>
      </w:r>
      <w:r w:rsidRPr="00A259BD">
        <w:rPr>
          <w:color w:val="000000" w:themeColor="text1"/>
          <w:sz w:val="16"/>
          <w:szCs w:val="16"/>
        </w:rPr>
        <w:noBreakHyphen/>
        <w:t>й курс и подготовительное отделение в составе 38 чел. Срок обучения установлен в 4 года и первый выпуск промышленность получит в 1931/32 г., человек 15</w:t>
      </w:r>
      <w:r w:rsidRPr="00A259BD">
        <w:rPr>
          <w:color w:val="000000" w:themeColor="text1"/>
          <w:sz w:val="16"/>
          <w:szCs w:val="16"/>
        </w:rPr>
        <w:noBreakHyphen/>
        <w:t>20. Регулярные выпуски начнутся только в 1932/33 учебном году (по 35 чел. в год).</w:t>
      </w:r>
    </w:p>
    <w:p w14:paraId="3F172039"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3. Организация военно-промышленного отделения кардинально разрешает вопрос с укомплектованием только с 1933 г. За промежуток времени </w:t>
      </w:r>
      <w:r w:rsidRPr="00A259BD">
        <w:rPr>
          <w:rStyle w:val="af0"/>
          <w:i w:val="0"/>
          <w:color w:val="000000" w:themeColor="text1"/>
          <w:sz w:val="16"/>
          <w:szCs w:val="16"/>
        </w:rPr>
        <w:t>с</w:t>
      </w:r>
      <w:r w:rsidRPr="00A259BD">
        <w:rPr>
          <w:color w:val="000000" w:themeColor="text1"/>
          <w:sz w:val="16"/>
          <w:szCs w:val="16"/>
        </w:rPr>
        <w:t xml:space="preserve"> 1929</w:t>
      </w:r>
      <w:r w:rsidRPr="00A259BD">
        <w:rPr>
          <w:color w:val="000000" w:themeColor="text1"/>
          <w:sz w:val="16"/>
          <w:szCs w:val="16"/>
        </w:rPr>
        <w:noBreakHyphen/>
        <w:t>1933 гг. необходимо увеличить число командируемых из основного отделения ВТА из артиллерийского факультета до 20 чел. в год, а из химического — до 15 чел. Такое поступление является минимальным. В недостающей части потребность будет удовлетворена практиками и гражданскими инженерами.</w:t>
      </w:r>
    </w:p>
    <w:p w14:paraId="753BEEF7"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Для укомплектования промышленности рядовой инженерно-технической силой проведены и производятся следующие меры дополнительно к бронированию инженеров и техников: 1) введен институт инженеров военных производственников; 2) введена высшая допризывная подготовка в вузах с военно-промышленным уклоном.</w:t>
      </w:r>
    </w:p>
    <w:p w14:paraId="174B65C8"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1. В настоящее время заканчивается учет инженеров, числящихся в запасе и в долгосрочном отпуске РККА (знакомых с военными производствами), работавших в период империалистической и Гражданской войн на заводах, изготовлявших снаряды, взрыватели, орудия и т. п.. Учтенные инженеры будут зачисляться в категорию «военных производственников» и по окончании учета будут приписаны к заводам (без их ведома). С тем, что они по объявлению мобилизации военкоматами будут направлены на заводы. Для поднятия их квалификации их будут призывать на повторительные²³* сборы, одновременно с призывом их сверстников на повторные сборы, но последний сбор военный производственник будет отбывать не в строю, а на каком-либо из заводов, где поставлено военное производство. Полные сведения о количестве учтенных еще не поступили, но, даже по отрывочным сведениям, уже можно судить о значении проведенного учета. Так, только Московским тер[</w:t>
      </w:r>
      <w:proofErr w:type="spellStart"/>
      <w:r w:rsidRPr="00A259BD">
        <w:rPr>
          <w:color w:val="000000" w:themeColor="text1"/>
          <w:sz w:val="16"/>
          <w:szCs w:val="16"/>
        </w:rPr>
        <w:t>риториальным</w:t>
      </w:r>
      <w:proofErr w:type="spellEnd"/>
      <w:r w:rsidRPr="00A259BD">
        <w:rPr>
          <w:color w:val="000000" w:themeColor="text1"/>
          <w:sz w:val="16"/>
          <w:szCs w:val="16"/>
        </w:rPr>
        <w:t xml:space="preserve">] округом учтено до 500 военных производственников, из которых до 30% падает на аппараты государственные (даже в аппарате </w:t>
      </w:r>
      <w:proofErr w:type="spellStart"/>
      <w:r w:rsidRPr="00A259BD">
        <w:rPr>
          <w:color w:val="000000" w:themeColor="text1"/>
          <w:sz w:val="16"/>
          <w:szCs w:val="16"/>
        </w:rPr>
        <w:t>НКЗема</w:t>
      </w:r>
      <w:proofErr w:type="spellEnd"/>
      <w:r w:rsidRPr="00A259BD">
        <w:rPr>
          <w:color w:val="000000" w:themeColor="text1"/>
          <w:sz w:val="16"/>
          <w:szCs w:val="16"/>
        </w:rPr>
        <w:t xml:space="preserve"> есть военные производственники) и хозяйственные, которые могут быть изъяты без большого ущерба и направлены на заводы.</w:t>
      </w:r>
    </w:p>
    <w:p w14:paraId="428C5A6F"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2. В целях укомплектования промышленности инженерами в законодательном порядке проведена система отбывания обязательной военной службы на заводах (в порядке 155 ст. закона об обязательной военной службе²⁴*). Лица, окончившие четыре вуза (МВТУ, Ленинградский горный институт, Ленинградский политехнический институт и химический факультет Казанского университета) отбывают военную службу не в строю, а на заводах в течение двух лет, после чего зачисляются в долгосрочный отпуск по категории «военных производственников» в резерв заводов. Эта мера может и должна быть основной в деле укомплектования, так как она дает возможность получить инженеров, хорошо знакомых с военными производствами (поскольку они пробыли на заводах по 2 года).</w:t>
      </w:r>
    </w:p>
    <w:p w14:paraId="1D7637AE"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Но при практическом проведении в жизнь этой системы ВСНХ СССР столкнулся с двумя обстоятельствами, которые значительно понижают эффект от проведения военно-производственной службы: а) лишь небольшое количество отпускников специализируются на производствах, которые будут играть особо большую роль в военное время; б) большое количество больных и негодных к строю (металлисты, химики) освобождаются от службы вовсе, вместо того чтобы быть направленными на заводы.</w:t>
      </w:r>
    </w:p>
    <w:p w14:paraId="5B42E281"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В результате заявка ВСНХ СССР удовлетворяется в небольшой мере: в 1926 г. требовалось по заявке 65 чел, получено 32 — 49,2%; в 1927 г. требовалось по заявке 221 чел., получено 53 — 24%; по плану 1928 г. ВСНХ затребовало 220 чел. Сведения об удовлетворении полностью не получены (пока есть сведения о том, что направлено 45 чел. ЛВО и 40 чел. МВО).</w:t>
      </w:r>
    </w:p>
    <w:p w14:paraId="2FF855F7"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В последнее время ВСНХ СССР в целях увеличения количества военных производственников, поступающих на заводы, согласовал с НКВМ следующий порядок: 1. Все негодные к строевой службе [студенты] главнейших химических и механических вузов СССР (Ленинградский технологический, Харьковский технологический, Московская горная академия и др.) будут впредь посылаться для отбывания обязательной военной службы на заводы. 2. В настоящее время ВСНХ СССР входит в РВС СССР с ходатайством сократить требования по здоровью для направляемых на военную службу на заводы.</w:t>
      </w:r>
    </w:p>
    <w:p w14:paraId="6506BC2B"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Эти меры дают основания ВСНХ СССР думать, что в последующие годы его заявка будет удовлетворяться полностью и в ближайшие 3</w:t>
      </w:r>
      <w:r w:rsidRPr="00A259BD">
        <w:rPr>
          <w:color w:val="000000" w:themeColor="text1"/>
          <w:sz w:val="16"/>
          <w:szCs w:val="16"/>
        </w:rPr>
        <w:noBreakHyphen/>
        <w:t>4 года можно будет достигнуть соответствия между потребностью в инженерно-технических работниках и ресурсами таковых.</w:t>
      </w:r>
    </w:p>
    <w:p w14:paraId="4E6DBCD9"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lastRenderedPageBreak/>
        <w:t>В отношении укомплектования промышленности техниками проведены те же меры, что и в отношении укомплектования инженерами. Введена военно-производственная служба лиц, окончивших 24 техникума (15 в РСФСР и 9 в УССР), с тем, что техники первый год своей службы работают в цехах в качестве рабочих, чтобы познакомиться как следует с производством. Поступление техников на заводы начнется только с призыва 1929 г. и по исчислениям ВСНХ СССР может дать ежегодно до 200 техников на заводы.</w:t>
      </w:r>
    </w:p>
    <w:p w14:paraId="62F2BB01"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Проводя все эти меры, ВСНХ СССР рассчитывает получить более или менее благоприятное положение с инженерно-технической силой во время войны только к 1932/33 г., когда будут накоплены достаточные резервы лиц, отбывших обязательную военную службу на заводах, когда будут в достаточной мере укомплектованы руководящим персоналом военные заводы и военные производства гражданской промышленности. До конца пятилетия положение с инженерно-технической силой во время войны будет очень напряженным (оно достаточно напряженно и в мирное время) и придется очень широко использовать практиков путем выдвижения мастеров и техников из наиболее квалифицированных рабочих и техников-самоучек.</w:t>
      </w:r>
    </w:p>
    <w:p w14:paraId="14FCFDF7" w14:textId="77777777" w:rsidR="0086685E" w:rsidRPr="00A259BD" w:rsidRDefault="0086685E" w:rsidP="009236E3">
      <w:pPr>
        <w:pStyle w:val="rtejustify"/>
        <w:spacing w:before="0" w:after="0"/>
        <w:rPr>
          <w:color w:val="000000" w:themeColor="text1"/>
          <w:sz w:val="16"/>
          <w:szCs w:val="16"/>
        </w:rPr>
      </w:pPr>
      <w:r w:rsidRPr="00A259BD">
        <w:rPr>
          <w:rStyle w:val="a7"/>
          <w:b w:val="0"/>
          <w:bCs w:val="0"/>
          <w:color w:val="000000" w:themeColor="text1"/>
          <w:sz w:val="16"/>
          <w:szCs w:val="16"/>
        </w:rPr>
        <w:t>VI. Транспорт</w:t>
      </w:r>
    </w:p>
    <w:p w14:paraId="48A7B616"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Подготовка промышленности в области транспорта идет по линии преодоления тех трудностей, которые будут иметь место при определении транспортных средств, могущих быть предоставленными для перевозки грузов народного хозяйства в военное время и, особенно, в </w:t>
      </w:r>
      <w:proofErr w:type="spellStart"/>
      <w:r w:rsidRPr="00A259BD">
        <w:rPr>
          <w:color w:val="000000" w:themeColor="text1"/>
          <w:sz w:val="16"/>
          <w:szCs w:val="16"/>
        </w:rPr>
        <w:t>мобпериод</w:t>
      </w:r>
      <w:proofErr w:type="spellEnd"/>
      <w:r w:rsidRPr="00A259BD">
        <w:rPr>
          <w:color w:val="000000" w:themeColor="text1"/>
          <w:sz w:val="16"/>
          <w:szCs w:val="16"/>
        </w:rPr>
        <w:t>, а также для вывоза (эвакуации) из угрожаемых зон промышленных объектов.</w:t>
      </w:r>
    </w:p>
    <w:p w14:paraId="65013D29"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По первой части проделана следующая работа: в пределах предоставленных ВСНХ лимитов проработана заявка на </w:t>
      </w:r>
      <w:proofErr w:type="spellStart"/>
      <w:r w:rsidRPr="00A259BD">
        <w:rPr>
          <w:color w:val="000000" w:themeColor="text1"/>
          <w:sz w:val="16"/>
          <w:szCs w:val="16"/>
        </w:rPr>
        <w:t>центроплановые</w:t>
      </w:r>
      <w:proofErr w:type="spellEnd"/>
      <w:r w:rsidRPr="00A259BD">
        <w:rPr>
          <w:color w:val="000000" w:themeColor="text1"/>
          <w:sz w:val="16"/>
          <w:szCs w:val="16"/>
        </w:rPr>
        <w:t xml:space="preserve"> перевозки грузов промышленности в </w:t>
      </w:r>
      <w:proofErr w:type="spellStart"/>
      <w:r w:rsidRPr="00A259BD">
        <w:rPr>
          <w:color w:val="000000" w:themeColor="text1"/>
          <w:sz w:val="16"/>
          <w:szCs w:val="16"/>
        </w:rPr>
        <w:t>мобпериод</w:t>
      </w:r>
      <w:proofErr w:type="spellEnd"/>
      <w:r w:rsidRPr="00A259BD">
        <w:rPr>
          <w:color w:val="000000" w:themeColor="text1"/>
          <w:sz w:val="16"/>
          <w:szCs w:val="16"/>
        </w:rPr>
        <w:t xml:space="preserve"> и даны указания местным органам о порядке составления заявок на р[</w:t>
      </w:r>
      <w:proofErr w:type="spellStart"/>
      <w:r w:rsidRPr="00A259BD">
        <w:rPr>
          <w:color w:val="000000" w:themeColor="text1"/>
          <w:sz w:val="16"/>
          <w:szCs w:val="16"/>
        </w:rPr>
        <w:t>абоче</w:t>
      </w:r>
      <w:proofErr w:type="spellEnd"/>
      <w:r w:rsidRPr="00A259BD">
        <w:rPr>
          <w:color w:val="000000" w:themeColor="text1"/>
          <w:sz w:val="16"/>
          <w:szCs w:val="16"/>
        </w:rPr>
        <w:t xml:space="preserve">]-плановые перевозки. </w:t>
      </w:r>
      <w:proofErr w:type="spellStart"/>
      <w:r w:rsidRPr="00A259BD">
        <w:rPr>
          <w:color w:val="000000" w:themeColor="text1"/>
          <w:sz w:val="16"/>
          <w:szCs w:val="16"/>
        </w:rPr>
        <w:t>Центроплановыми</w:t>
      </w:r>
      <w:proofErr w:type="spellEnd"/>
      <w:r w:rsidRPr="00A259BD">
        <w:rPr>
          <w:color w:val="000000" w:themeColor="text1"/>
          <w:sz w:val="16"/>
          <w:szCs w:val="16"/>
        </w:rPr>
        <w:t xml:space="preserve"> перевозками предусмотрены перевозки грузов, следующих в порядке выполнения ПЗ (предварительных заказов), т. е. грузов, потребность в которых обуславливается мобилизационно-производственными заданиями промышленности, а также основных и важнейших планируемых грузов (</w:t>
      </w:r>
      <w:proofErr w:type="spellStart"/>
      <w:r w:rsidRPr="00A259BD">
        <w:rPr>
          <w:color w:val="000000" w:themeColor="text1"/>
          <w:sz w:val="16"/>
          <w:szCs w:val="16"/>
        </w:rPr>
        <w:t>минтопливо</w:t>
      </w:r>
      <w:proofErr w:type="spellEnd"/>
      <w:r w:rsidRPr="00A259BD">
        <w:rPr>
          <w:color w:val="000000" w:themeColor="text1"/>
          <w:sz w:val="16"/>
          <w:szCs w:val="16"/>
        </w:rPr>
        <w:t>, руда, черный металл, кож- и текстильное сырье и лесоматериалы) в адрес предприятий как работающих на оборону, так и тех, необходимость функционирования которых в обстановке войны вызывается экономическими интересами Союза. Размеры перевозок по ц[</w:t>
      </w:r>
      <w:proofErr w:type="spellStart"/>
      <w:r w:rsidRPr="00A259BD">
        <w:rPr>
          <w:color w:val="000000" w:themeColor="text1"/>
          <w:sz w:val="16"/>
          <w:szCs w:val="16"/>
        </w:rPr>
        <w:t>ентро</w:t>
      </w:r>
      <w:proofErr w:type="spellEnd"/>
      <w:r w:rsidRPr="00A259BD">
        <w:rPr>
          <w:color w:val="000000" w:themeColor="text1"/>
          <w:sz w:val="16"/>
          <w:szCs w:val="16"/>
        </w:rPr>
        <w:t>]плановым заявкам по основным родам грузов показаны в приведенной ниже таблице:</w:t>
      </w:r>
    </w:p>
    <w:p w14:paraId="7B943F8F" w14:textId="77777777" w:rsidR="007548ED" w:rsidRPr="00A259BD" w:rsidRDefault="007548ED" w:rsidP="009236E3">
      <w:pPr>
        <w:pStyle w:val="ae"/>
        <w:spacing w:before="0" w:after="0"/>
        <w:jc w:val="both"/>
        <w:rPr>
          <w:color w:val="000000" w:themeColor="text1"/>
          <w:sz w:val="16"/>
          <w:szCs w:val="16"/>
        </w:rPr>
      </w:pPr>
      <w:r w:rsidRPr="00A259BD">
        <w:rPr>
          <w:rStyle w:val="a7"/>
          <w:b w:val="0"/>
          <w:color w:val="000000" w:themeColor="text1"/>
          <w:sz w:val="16"/>
          <w:szCs w:val="16"/>
        </w:rPr>
        <w:t>Количество единиц подвижного состава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57"/>
        <w:gridCol w:w="3265"/>
      </w:tblGrid>
      <w:tr w:rsidR="00A259BD" w:rsidRPr="00A259BD" w14:paraId="27DC82C1"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1573FD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Каменный 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914B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132 874</w:t>
            </w:r>
          </w:p>
        </w:tc>
      </w:tr>
      <w:tr w:rsidR="00A259BD" w:rsidRPr="00A259BD" w14:paraId="153ED8E8"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5190F606"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Нефтепродукты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B267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30 932</w:t>
            </w:r>
          </w:p>
        </w:tc>
      </w:tr>
      <w:tr w:rsidR="00A259BD" w:rsidRPr="00A259BD" w14:paraId="0DD450B2"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713E89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DC39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52 215</w:t>
            </w:r>
          </w:p>
        </w:tc>
      </w:tr>
      <w:tr w:rsidR="00A259BD" w:rsidRPr="00A259BD" w14:paraId="40664C97"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52866E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Черный 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156A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15 667</w:t>
            </w:r>
          </w:p>
        </w:tc>
      </w:tr>
      <w:tr w:rsidR="00A259BD" w:rsidRPr="00A259BD" w14:paraId="097C10D8"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F95035D"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Лесоматериал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EDDB5"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9807</w:t>
            </w:r>
          </w:p>
        </w:tc>
      </w:tr>
      <w:tr w:rsidR="00A259BD" w:rsidRPr="00A259BD" w14:paraId="126B5E5F"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79EE8C3"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Кожсырье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47DD0"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1039</w:t>
            </w:r>
          </w:p>
        </w:tc>
      </w:tr>
      <w:tr w:rsidR="00A259BD" w:rsidRPr="00A259BD" w14:paraId="31A0D039"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3C1012C4"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Текстильное сырье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CC224"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4058</w:t>
            </w:r>
          </w:p>
        </w:tc>
      </w:tr>
      <w:tr w:rsidR="00A259BD" w:rsidRPr="00A259BD" w14:paraId="4E2EDF40"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160D8D4"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AE061"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18 626</w:t>
            </w:r>
          </w:p>
        </w:tc>
      </w:tr>
      <w:tr w:rsidR="00A259BD" w:rsidRPr="00A259BD" w14:paraId="3BB29449"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73782E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68E6C"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265 213</w:t>
            </w:r>
          </w:p>
        </w:tc>
      </w:tr>
    </w:tbl>
    <w:p w14:paraId="4CEF8032"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Указанное количество вагонов, составляющее для </w:t>
      </w:r>
      <w:proofErr w:type="spellStart"/>
      <w:r w:rsidRPr="00A259BD">
        <w:rPr>
          <w:color w:val="000000" w:themeColor="text1"/>
          <w:sz w:val="16"/>
          <w:szCs w:val="16"/>
        </w:rPr>
        <w:t>минтоплива</w:t>
      </w:r>
      <w:proofErr w:type="spellEnd"/>
      <w:r w:rsidRPr="00A259BD">
        <w:rPr>
          <w:color w:val="000000" w:themeColor="text1"/>
          <w:sz w:val="16"/>
          <w:szCs w:val="16"/>
        </w:rPr>
        <w:t xml:space="preserve"> около 50% потребности мирного времени, для руды около 75%, для остальных грузов, в особенности для «прочих», составляет всего 5—10%.</w:t>
      </w:r>
    </w:p>
    <w:p w14:paraId="1B15E98A"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Учитывая при этом, что в </w:t>
      </w:r>
      <w:proofErr w:type="spellStart"/>
      <w:r w:rsidRPr="00A259BD">
        <w:rPr>
          <w:color w:val="000000" w:themeColor="text1"/>
          <w:sz w:val="16"/>
          <w:szCs w:val="16"/>
        </w:rPr>
        <w:t>мобпериод</w:t>
      </w:r>
      <w:proofErr w:type="spellEnd"/>
      <w:r w:rsidRPr="00A259BD">
        <w:rPr>
          <w:color w:val="000000" w:themeColor="text1"/>
          <w:sz w:val="16"/>
          <w:szCs w:val="16"/>
        </w:rPr>
        <w:t xml:space="preserve"> не охвачена вовсе перевозка грузов, хотя и идущих на удовлетворение важнейших потребностей страны, но не имеющих непосредственного отношения к обслуживанию вооруженных сил, перед ВСНХ ставится вопрос о необходимости накопления сырьевых и производственных запасов в предприятиях до размеров, позволяющих не зависеть от перевозок </w:t>
      </w:r>
      <w:proofErr w:type="spellStart"/>
      <w:r w:rsidRPr="00A259BD">
        <w:rPr>
          <w:color w:val="000000" w:themeColor="text1"/>
          <w:sz w:val="16"/>
          <w:szCs w:val="16"/>
        </w:rPr>
        <w:t>мобпериода</w:t>
      </w:r>
      <w:proofErr w:type="spellEnd"/>
      <w:r w:rsidRPr="00A259BD">
        <w:rPr>
          <w:color w:val="000000" w:themeColor="text1"/>
          <w:sz w:val="16"/>
          <w:szCs w:val="16"/>
        </w:rPr>
        <w:t>.</w:t>
      </w:r>
    </w:p>
    <w:p w14:paraId="32AD11C6"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Директивные указания об этом на места даны, но проведение их в жизнь в желательном объеме задерживается отсутствием соответствующих ассигнований, так как имеющиеся обеспечивают лишь 10% потребности.</w:t>
      </w:r>
    </w:p>
    <w:p w14:paraId="348FAD13"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Междуведомственные сроки, установленные для проработки планов перевозок мобилизационного периода, значительно (примерно на 8 месяцев) опережают сроки, принятые для составления </w:t>
      </w:r>
      <w:proofErr w:type="spellStart"/>
      <w:r w:rsidRPr="00A259BD">
        <w:rPr>
          <w:color w:val="000000" w:themeColor="text1"/>
          <w:sz w:val="16"/>
          <w:szCs w:val="16"/>
        </w:rPr>
        <w:t>мобплана</w:t>
      </w:r>
      <w:proofErr w:type="spellEnd"/>
      <w:r w:rsidRPr="00A259BD">
        <w:rPr>
          <w:color w:val="000000" w:themeColor="text1"/>
          <w:sz w:val="16"/>
          <w:szCs w:val="16"/>
        </w:rPr>
        <w:t xml:space="preserve"> промышленности, почему в текущем году заявки на перевозки </w:t>
      </w:r>
      <w:proofErr w:type="spellStart"/>
      <w:r w:rsidRPr="00A259BD">
        <w:rPr>
          <w:color w:val="000000" w:themeColor="text1"/>
          <w:sz w:val="16"/>
          <w:szCs w:val="16"/>
        </w:rPr>
        <w:t>мобпериода</w:t>
      </w:r>
      <w:proofErr w:type="spellEnd"/>
      <w:r w:rsidRPr="00A259BD">
        <w:rPr>
          <w:color w:val="000000" w:themeColor="text1"/>
          <w:sz w:val="16"/>
          <w:szCs w:val="16"/>
        </w:rPr>
        <w:t xml:space="preserve"> пришлось строить на базе проделанных работ по </w:t>
      </w:r>
      <w:proofErr w:type="spellStart"/>
      <w:r w:rsidRPr="00A259BD">
        <w:rPr>
          <w:color w:val="000000" w:themeColor="text1"/>
          <w:sz w:val="16"/>
          <w:szCs w:val="16"/>
        </w:rPr>
        <w:t>мобплану</w:t>
      </w:r>
      <w:proofErr w:type="spellEnd"/>
      <w:r w:rsidRPr="00A259BD">
        <w:rPr>
          <w:color w:val="000000" w:themeColor="text1"/>
          <w:sz w:val="16"/>
          <w:szCs w:val="16"/>
        </w:rPr>
        <w:t xml:space="preserve"> 1927 г. без учета потребности, выявляющейся в процессе составления очередного </w:t>
      </w:r>
      <w:proofErr w:type="spellStart"/>
      <w:r w:rsidRPr="00A259BD">
        <w:rPr>
          <w:color w:val="000000" w:themeColor="text1"/>
          <w:sz w:val="16"/>
          <w:szCs w:val="16"/>
        </w:rPr>
        <w:t>мобплана</w:t>
      </w:r>
      <w:proofErr w:type="spellEnd"/>
      <w:r w:rsidRPr="00A259BD">
        <w:rPr>
          <w:color w:val="000000" w:themeColor="text1"/>
          <w:sz w:val="16"/>
          <w:szCs w:val="16"/>
        </w:rPr>
        <w:t xml:space="preserve">. В силу этого есть основание предполагать, что предоставляемая в </w:t>
      </w:r>
      <w:proofErr w:type="spellStart"/>
      <w:r w:rsidRPr="00A259BD">
        <w:rPr>
          <w:color w:val="000000" w:themeColor="text1"/>
          <w:sz w:val="16"/>
          <w:szCs w:val="16"/>
        </w:rPr>
        <w:t>мобпериод</w:t>
      </w:r>
      <w:proofErr w:type="spellEnd"/>
      <w:r w:rsidRPr="00A259BD">
        <w:rPr>
          <w:color w:val="000000" w:themeColor="text1"/>
          <w:sz w:val="16"/>
          <w:szCs w:val="16"/>
        </w:rPr>
        <w:t xml:space="preserve"> провозная норма для промышленности будет недостаточна и по выявлении потребности по очередному плану ее придется соответственно увеличивать или предусмотреть накопление в предприятиях сырьевых и производственных запасов, позволяющих в меньшей степени зависеть от перевозок в </w:t>
      </w:r>
      <w:proofErr w:type="spellStart"/>
      <w:r w:rsidRPr="00A259BD">
        <w:rPr>
          <w:color w:val="000000" w:themeColor="text1"/>
          <w:sz w:val="16"/>
          <w:szCs w:val="16"/>
        </w:rPr>
        <w:t>мобпериод</w:t>
      </w:r>
      <w:proofErr w:type="spellEnd"/>
      <w:r w:rsidRPr="00A259BD">
        <w:rPr>
          <w:color w:val="000000" w:themeColor="text1"/>
          <w:sz w:val="16"/>
          <w:szCs w:val="16"/>
        </w:rPr>
        <w:t>.</w:t>
      </w:r>
    </w:p>
    <w:p w14:paraId="06EF8B12"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К выявлению потребности в транспортных средствах для перевозок грузов промышленности в следующий за </w:t>
      </w:r>
      <w:proofErr w:type="spellStart"/>
      <w:r w:rsidRPr="00A259BD">
        <w:rPr>
          <w:color w:val="000000" w:themeColor="text1"/>
          <w:sz w:val="16"/>
          <w:szCs w:val="16"/>
        </w:rPr>
        <w:t>мобпериодом</w:t>
      </w:r>
      <w:proofErr w:type="spellEnd"/>
      <w:r w:rsidRPr="00A259BD">
        <w:rPr>
          <w:color w:val="000000" w:themeColor="text1"/>
          <w:sz w:val="16"/>
          <w:szCs w:val="16"/>
        </w:rPr>
        <w:t xml:space="preserve"> первый период войны приступлено в конце прошлого года. В процессе этой работы выявлена ориентировочная потребность в перевозках основных грузов (</w:t>
      </w:r>
      <w:proofErr w:type="spellStart"/>
      <w:r w:rsidRPr="00A259BD">
        <w:rPr>
          <w:color w:val="000000" w:themeColor="text1"/>
          <w:sz w:val="16"/>
          <w:szCs w:val="16"/>
        </w:rPr>
        <w:t>минтопливо</w:t>
      </w:r>
      <w:proofErr w:type="spellEnd"/>
      <w:r w:rsidRPr="00A259BD">
        <w:rPr>
          <w:color w:val="000000" w:themeColor="text1"/>
          <w:sz w:val="16"/>
          <w:szCs w:val="16"/>
        </w:rPr>
        <w:t>, руда, чугун, сталь, железо не в деле²⁵*, прокат, лесоматериалы и дрова) в пределах, установленных Госпланом транспортных лимитов...²⁶*</w:t>
      </w:r>
    </w:p>
    <w:p w14:paraId="2EB6EADC"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В части составления плана вывоза предприятий из угрожаемых зон на 1929 г. в настоящее время заканчивается первый этап этой работы — выявление объектов вывоза, эвакуационных баз и потребного подвижного состава по эвакуации 1</w:t>
      </w:r>
      <w:r w:rsidRPr="00A259BD">
        <w:rPr>
          <w:color w:val="000000" w:themeColor="text1"/>
          <w:sz w:val="16"/>
          <w:szCs w:val="16"/>
        </w:rPr>
        <w:noBreakHyphen/>
        <w:t>й и разгрузки 2</w:t>
      </w:r>
      <w:r w:rsidRPr="00A259BD">
        <w:rPr>
          <w:color w:val="000000" w:themeColor="text1"/>
          <w:sz w:val="16"/>
          <w:szCs w:val="16"/>
        </w:rPr>
        <w:noBreakHyphen/>
        <w:t>й зон западной приграничной полосы и по эвакуации г. Одесса. Проработка плановых соображений по вывозу из угрожаемых зон Кавказа, Дальнего Востока и г. Киева, отнесена ко второму этапу, и окончание ее предполагается в январе — феврале месяце.</w:t>
      </w:r>
    </w:p>
    <w:p w14:paraId="3A5CD20A"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Существовавшая до настоящего времени целевая установка по вывозу, не предрешая вопроса об использовании вывозимого оборудования в базовых пунктах, предусматривала вывоз всего ценного с целью лишения противника возможности использовать оставляемые предприятия для целей войны. С выходом в свет нового «Положения о вывозе», утвержденного РЗ СТО 20 июля 1928 г.²⁷*, целевая установка подверглась коренному изменению, и вопросы максимального рационального использования получили первостепенное значение. Кроме того, существующее деление западной приграничной полосы на зоны эвакуации также подверглось коренному изменению как в отношении принципа самого деления, так и отнесения местностей к 1</w:t>
      </w:r>
      <w:r w:rsidRPr="00A259BD">
        <w:rPr>
          <w:color w:val="000000" w:themeColor="text1"/>
          <w:sz w:val="16"/>
          <w:szCs w:val="16"/>
        </w:rPr>
        <w:noBreakHyphen/>
        <w:t>й и 2</w:t>
      </w:r>
      <w:r w:rsidRPr="00A259BD">
        <w:rPr>
          <w:color w:val="000000" w:themeColor="text1"/>
          <w:sz w:val="16"/>
          <w:szCs w:val="16"/>
        </w:rPr>
        <w:noBreakHyphen/>
        <w:t xml:space="preserve">й угрожаемым зонам. Вследствие этого перед ВСНХ встал вопрос уже не о корректировании </w:t>
      </w:r>
      <w:proofErr w:type="spellStart"/>
      <w:r w:rsidRPr="00A259BD">
        <w:rPr>
          <w:color w:val="000000" w:themeColor="text1"/>
          <w:sz w:val="16"/>
          <w:szCs w:val="16"/>
        </w:rPr>
        <w:t>эвакоплана</w:t>
      </w:r>
      <w:proofErr w:type="spellEnd"/>
      <w:r w:rsidRPr="00A259BD">
        <w:rPr>
          <w:color w:val="000000" w:themeColor="text1"/>
          <w:sz w:val="16"/>
          <w:szCs w:val="16"/>
        </w:rPr>
        <w:t xml:space="preserve"> 1928 г., а о полной его новой проработке в соответствии с преподанной целевой установкой.</w:t>
      </w:r>
    </w:p>
    <w:p w14:paraId="15F2947D"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Крайне ограниченный промежуток времени, предоставленный для проработки </w:t>
      </w:r>
      <w:proofErr w:type="spellStart"/>
      <w:r w:rsidRPr="00A259BD">
        <w:rPr>
          <w:color w:val="000000" w:themeColor="text1"/>
          <w:sz w:val="16"/>
          <w:szCs w:val="16"/>
        </w:rPr>
        <w:t>эвакоплана</w:t>
      </w:r>
      <w:proofErr w:type="spellEnd"/>
      <w:r w:rsidRPr="00A259BD">
        <w:rPr>
          <w:color w:val="000000" w:themeColor="text1"/>
          <w:sz w:val="16"/>
          <w:szCs w:val="16"/>
        </w:rPr>
        <w:t xml:space="preserve"> 1929 г. (3 месяца) не позволил </w:t>
      </w:r>
      <w:r w:rsidRPr="00A259BD">
        <w:rPr>
          <w:rStyle w:val="af0"/>
          <w:i w:val="0"/>
          <w:color w:val="000000" w:themeColor="text1"/>
          <w:sz w:val="16"/>
          <w:szCs w:val="16"/>
        </w:rPr>
        <w:t>со</w:t>
      </w:r>
      <w:r w:rsidRPr="00A259BD">
        <w:rPr>
          <w:color w:val="000000" w:themeColor="text1"/>
          <w:sz w:val="16"/>
          <w:szCs w:val="16"/>
        </w:rPr>
        <w:t xml:space="preserve"> всей глубиной и всесторонне проработать новый план, главным образом, в отношении выбора базовых пунктов и рационального использования в них вывозимого оборудования. Но все же в основном намеченные к вывозу промпредприятия предполагается использовать в пунктах назначения частично для организации самостоятельного производства, преимущественно же для усиления родственных производств в тылу. При определении объектов, намечаемых к вывозу, были приняты во внимание: а) ценность предприятия как производственной единицы, могущей быть использованной в тылу для целей обороны и б) соображения о возможности использования противником менее важных предприятий для целей войны в случае оставления их на месте. Помимо указанных соображений, учитывалась также и абсолютная ценность того или иного предприятия и в зависимости от технической изношенности, фирмы и конструкции станков намечался вывоз таковых полностью даже с тех предприятий, использование которых в тылу не предполагается. В зависимости от целевой установки и степени важности в оборонном или общеэкономическом отношениях того или иного производства определялся и самый объем вывоза каждого предприятия в отдельности.</w:t>
      </w:r>
    </w:p>
    <w:p w14:paraId="1637447F"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Настоящая стадия проработки </w:t>
      </w:r>
      <w:proofErr w:type="spellStart"/>
      <w:r w:rsidRPr="00A259BD">
        <w:rPr>
          <w:color w:val="000000" w:themeColor="text1"/>
          <w:sz w:val="16"/>
          <w:szCs w:val="16"/>
        </w:rPr>
        <w:t>эвакоплана</w:t>
      </w:r>
      <w:proofErr w:type="spellEnd"/>
      <w:r w:rsidRPr="00A259BD">
        <w:rPr>
          <w:color w:val="000000" w:themeColor="text1"/>
          <w:sz w:val="16"/>
          <w:szCs w:val="16"/>
        </w:rPr>
        <w:t xml:space="preserve"> 1929 г. еще не позволяет сделать конкретных выводов, но уже сейчас намечается ряд характерных особенностей, резко отличающих план 1929 г. от плана 1928 г.: а) более глубокий отбор предприятий, с оставлением в плане действительно необходимых, выпадение которых из общеэкономического оборота Союза неблагоприятно отразится на обороне и жизни страны. Результат — значительное сокращение объектов вывоза за счет качественного и количественного увеличения вывозимого имущества; б) отказ от вывоза предприятий, имеющих узко местное значение и вырабатывающих продукцию, идущую на удовлетворение жизненных потребностей местного населения; в) отказ от массового вывоза рабочей силы с оставлением в плане лишь рабочих определенных квалификаций и профессий, недостаток которых в военное время в промышленности уже выявился по плану укомплектования...²⁸*</w:t>
      </w:r>
    </w:p>
    <w:p w14:paraId="614B81BE"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Обращаясь к характеристике отдельных производств, необходимо отметить следующее:</w:t>
      </w:r>
    </w:p>
    <w:p w14:paraId="28BD4C69"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A. </w:t>
      </w:r>
      <w:r w:rsidRPr="00A259BD">
        <w:rPr>
          <w:rStyle w:val="af0"/>
          <w:i w:val="0"/>
          <w:color w:val="000000" w:themeColor="text1"/>
          <w:sz w:val="16"/>
          <w:szCs w:val="16"/>
        </w:rPr>
        <w:t>Металлопромышленность.</w:t>
      </w:r>
      <w:r w:rsidRPr="00A259BD">
        <w:rPr>
          <w:color w:val="000000" w:themeColor="text1"/>
          <w:sz w:val="16"/>
          <w:szCs w:val="16"/>
        </w:rPr>
        <w:t xml:space="preserve"> Наиболее полно предусмотрен вывоз республиканских и местных промпредприятий, расположенных в г. Одесса и Николаев (завод «Плуг и Молот»), из которых предполагается вывезти силовые установки, оборудование наиболее важных цехов, серии ценных станков, запасы производственных материалов и сырья, чтобы использовать их в тылу УССР на однородных производствах путем усиления последних. Такое использование, принимая во внимание переход с объявлением мобилизации значительной части предприятий на специальные военные производства (в порядке выполнения </w:t>
      </w:r>
      <w:proofErr w:type="spellStart"/>
      <w:r w:rsidRPr="00A259BD">
        <w:rPr>
          <w:color w:val="000000" w:themeColor="text1"/>
          <w:sz w:val="16"/>
          <w:szCs w:val="16"/>
        </w:rPr>
        <w:t>мобзадания</w:t>
      </w:r>
      <w:proofErr w:type="spellEnd"/>
      <w:r w:rsidRPr="00A259BD">
        <w:rPr>
          <w:color w:val="000000" w:themeColor="text1"/>
          <w:sz w:val="16"/>
          <w:szCs w:val="16"/>
        </w:rPr>
        <w:t>), не может вызывать сомнений. По РСФСР предполагается к вывозу Псковский завод сельскохозяйственных машин путем снятия жизненных частей оборудования.</w:t>
      </w:r>
    </w:p>
    <w:p w14:paraId="012931B0"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Б. </w:t>
      </w:r>
      <w:r w:rsidRPr="00A259BD">
        <w:rPr>
          <w:rStyle w:val="af0"/>
          <w:i w:val="0"/>
          <w:color w:val="000000" w:themeColor="text1"/>
          <w:sz w:val="16"/>
          <w:szCs w:val="16"/>
        </w:rPr>
        <w:t>По химической промышленности —</w:t>
      </w:r>
      <w:r w:rsidRPr="00A259BD">
        <w:rPr>
          <w:color w:val="000000" w:themeColor="text1"/>
          <w:sz w:val="16"/>
          <w:szCs w:val="16"/>
        </w:rPr>
        <w:t xml:space="preserve"> к полному вывозу намечаются кислотные установки Винницкого и Одесского суперфосфатных заводов с использованием их на вновь строящемся Константиновском заводе, завод сгущенных газов «Газоген» в Одессе с использованием на заводе «Перун» в Днепропетровске.</w:t>
      </w:r>
    </w:p>
    <w:p w14:paraId="2463E2BD"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B. </w:t>
      </w:r>
      <w:r w:rsidRPr="00A259BD">
        <w:rPr>
          <w:rStyle w:val="af0"/>
          <w:i w:val="0"/>
          <w:color w:val="000000" w:themeColor="text1"/>
          <w:sz w:val="16"/>
          <w:szCs w:val="16"/>
        </w:rPr>
        <w:t xml:space="preserve">По </w:t>
      </w:r>
      <w:proofErr w:type="spellStart"/>
      <w:r w:rsidRPr="00A259BD">
        <w:rPr>
          <w:rStyle w:val="af0"/>
          <w:i w:val="0"/>
          <w:color w:val="000000" w:themeColor="text1"/>
          <w:sz w:val="16"/>
          <w:szCs w:val="16"/>
        </w:rPr>
        <w:t>кожпромышленности</w:t>
      </w:r>
      <w:proofErr w:type="spellEnd"/>
      <w:r w:rsidRPr="00A259BD">
        <w:rPr>
          <w:rStyle w:val="af0"/>
          <w:i w:val="0"/>
          <w:color w:val="000000" w:themeColor="text1"/>
          <w:sz w:val="16"/>
          <w:szCs w:val="16"/>
        </w:rPr>
        <w:t> —</w:t>
      </w:r>
      <w:r w:rsidRPr="00A259BD">
        <w:rPr>
          <w:color w:val="000000" w:themeColor="text1"/>
          <w:sz w:val="16"/>
          <w:szCs w:val="16"/>
        </w:rPr>
        <w:t xml:space="preserve"> намечается к вывозу Одесская и Бердичевская группы заводов, составляющие около 75% всего производства УССР тяжелых кож. Вследствие этого перед ВСНХ УССР поставлен вопрос об использовании этих заводов в пределах УССР и выявлении для них </w:t>
      </w:r>
      <w:proofErr w:type="spellStart"/>
      <w:r w:rsidRPr="00A259BD">
        <w:rPr>
          <w:color w:val="000000" w:themeColor="text1"/>
          <w:sz w:val="16"/>
          <w:szCs w:val="16"/>
        </w:rPr>
        <w:t>эвакобаз</w:t>
      </w:r>
      <w:proofErr w:type="spellEnd"/>
      <w:r w:rsidRPr="00A259BD">
        <w:rPr>
          <w:color w:val="000000" w:themeColor="text1"/>
          <w:sz w:val="16"/>
          <w:szCs w:val="16"/>
        </w:rPr>
        <w:t xml:space="preserve">, удовлетворяющих условиям для налаживания производства. По РСФСР вывозится Псковский кожзавод для организации производства в </w:t>
      </w:r>
      <w:proofErr w:type="spellStart"/>
      <w:r w:rsidRPr="00A259BD">
        <w:rPr>
          <w:color w:val="000000" w:themeColor="text1"/>
          <w:sz w:val="16"/>
          <w:szCs w:val="16"/>
        </w:rPr>
        <w:t>эвакобазе</w:t>
      </w:r>
      <w:proofErr w:type="spellEnd"/>
      <w:r w:rsidRPr="00A259BD">
        <w:rPr>
          <w:color w:val="000000" w:themeColor="text1"/>
          <w:sz w:val="16"/>
          <w:szCs w:val="16"/>
        </w:rPr>
        <w:t xml:space="preserve"> (Ярославль) мостовья и полувала для красноармейской обуви.</w:t>
      </w:r>
    </w:p>
    <w:p w14:paraId="26FE302C"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Г. </w:t>
      </w:r>
      <w:r w:rsidRPr="00A259BD">
        <w:rPr>
          <w:rStyle w:val="af0"/>
          <w:i w:val="0"/>
          <w:color w:val="000000" w:themeColor="text1"/>
          <w:sz w:val="16"/>
          <w:szCs w:val="16"/>
        </w:rPr>
        <w:t>По бумажной промышленности</w:t>
      </w:r>
      <w:r w:rsidRPr="00A259BD">
        <w:rPr>
          <w:color w:val="000000" w:themeColor="text1"/>
          <w:sz w:val="16"/>
          <w:szCs w:val="16"/>
        </w:rPr>
        <w:t> — намечается к вывозу установка Малинской бум[</w:t>
      </w:r>
      <w:proofErr w:type="spellStart"/>
      <w:r w:rsidRPr="00A259BD">
        <w:rPr>
          <w:color w:val="000000" w:themeColor="text1"/>
          <w:sz w:val="16"/>
          <w:szCs w:val="16"/>
        </w:rPr>
        <w:t>ажной</w:t>
      </w:r>
      <w:proofErr w:type="spellEnd"/>
      <w:r w:rsidRPr="00A259BD">
        <w:rPr>
          <w:color w:val="000000" w:themeColor="text1"/>
          <w:sz w:val="16"/>
          <w:szCs w:val="16"/>
        </w:rPr>
        <w:t xml:space="preserve">] фабрики, вырабатывающей гильзовую бобину, для налаживания указанного производства на </w:t>
      </w:r>
      <w:proofErr w:type="spellStart"/>
      <w:r w:rsidRPr="00A259BD">
        <w:rPr>
          <w:color w:val="000000" w:themeColor="text1"/>
          <w:sz w:val="16"/>
          <w:szCs w:val="16"/>
        </w:rPr>
        <w:t>Горбатской</w:t>
      </w:r>
      <w:proofErr w:type="spellEnd"/>
      <w:r w:rsidRPr="00A259BD">
        <w:rPr>
          <w:color w:val="000000" w:themeColor="text1"/>
          <w:sz w:val="16"/>
          <w:szCs w:val="16"/>
        </w:rPr>
        <w:t xml:space="preserve"> фабрике во Владимирской губ.</w:t>
      </w:r>
    </w:p>
    <w:p w14:paraId="008AE037"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Д. </w:t>
      </w:r>
      <w:r w:rsidRPr="00A259BD">
        <w:rPr>
          <w:rStyle w:val="af0"/>
          <w:i w:val="0"/>
          <w:color w:val="000000" w:themeColor="text1"/>
          <w:sz w:val="16"/>
          <w:szCs w:val="16"/>
        </w:rPr>
        <w:t>По пищевой промышленности —</w:t>
      </w:r>
      <w:r w:rsidRPr="00A259BD">
        <w:rPr>
          <w:color w:val="000000" w:themeColor="text1"/>
          <w:sz w:val="16"/>
          <w:szCs w:val="16"/>
        </w:rPr>
        <w:t xml:space="preserve"> ценное импортное оборудование консервных фабрик для использования по своему прямому назначению.</w:t>
      </w:r>
    </w:p>
    <w:p w14:paraId="6AC8601A"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lastRenderedPageBreak/>
        <w:t>Е. </w:t>
      </w:r>
      <w:r w:rsidRPr="00A259BD">
        <w:rPr>
          <w:rStyle w:val="af0"/>
          <w:i w:val="0"/>
          <w:color w:val="000000" w:themeColor="text1"/>
          <w:sz w:val="16"/>
          <w:szCs w:val="16"/>
        </w:rPr>
        <w:t>По остальным отраслям промышленности</w:t>
      </w:r>
      <w:r w:rsidRPr="00A259BD">
        <w:rPr>
          <w:color w:val="000000" w:themeColor="text1"/>
          <w:sz w:val="16"/>
          <w:szCs w:val="16"/>
        </w:rPr>
        <w:t xml:space="preserve"> намечаются к вывозу отдельные установки, оборудование, части машин, представляющие значительную ценность, частью для использования, частью для хранения в базовых пунктах.</w:t>
      </w:r>
    </w:p>
    <w:p w14:paraId="241BBDE5"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rPr>
        <w:t xml:space="preserve">Учитывая, что проработка плана вывоза груза под углом зрения использования в базовых пунктах проводится впервые, следует признать, что, хотя </w:t>
      </w:r>
      <w:proofErr w:type="spellStart"/>
      <w:r w:rsidRPr="00A259BD">
        <w:rPr>
          <w:color w:val="000000" w:themeColor="text1"/>
          <w:sz w:val="16"/>
          <w:szCs w:val="16"/>
        </w:rPr>
        <w:t>эвакоплан</w:t>
      </w:r>
      <w:proofErr w:type="spellEnd"/>
      <w:r w:rsidRPr="00A259BD">
        <w:rPr>
          <w:color w:val="000000" w:themeColor="text1"/>
          <w:sz w:val="16"/>
          <w:szCs w:val="16"/>
        </w:rPr>
        <w:t xml:space="preserve"> 1929 г. и не будет обладать достаточной полнотой, в большинстве случаев объем и характер вывоза по предприятиям намечен правильно, с учетом работы промышленности в военное время. В дальнейшей проработке вопросы, связанные с использованием вывозимого имущества будут уточнены. В частности, в ближайшее время предполагается произвести через ВСНХ с[</w:t>
      </w:r>
      <w:proofErr w:type="spellStart"/>
      <w:r w:rsidRPr="00A259BD">
        <w:rPr>
          <w:color w:val="000000" w:themeColor="text1"/>
          <w:sz w:val="16"/>
          <w:szCs w:val="16"/>
        </w:rPr>
        <w:t>оюзных</w:t>
      </w:r>
      <w:proofErr w:type="spellEnd"/>
      <w:r w:rsidRPr="00A259BD">
        <w:rPr>
          <w:color w:val="000000" w:themeColor="text1"/>
          <w:sz w:val="16"/>
          <w:szCs w:val="16"/>
        </w:rPr>
        <w:t>] р[</w:t>
      </w:r>
      <w:proofErr w:type="spellStart"/>
      <w:r w:rsidRPr="00A259BD">
        <w:rPr>
          <w:color w:val="000000" w:themeColor="text1"/>
          <w:sz w:val="16"/>
          <w:szCs w:val="16"/>
        </w:rPr>
        <w:t>еспублик</w:t>
      </w:r>
      <w:proofErr w:type="spellEnd"/>
      <w:r w:rsidRPr="00A259BD">
        <w:rPr>
          <w:color w:val="000000" w:themeColor="text1"/>
          <w:sz w:val="16"/>
          <w:szCs w:val="16"/>
        </w:rPr>
        <w:t>] детальное обследование базовых пунктов с целью выявления возможности максимального использования в них оборудования вывозимых предприятий. Проработка плана систематической разгрузки г. Ленинграда постановлением РЗ СТО возложена на Комиссию особо уполномоченного СТО т. Комарова. Сведений о начале работ указанной комиссии пока еще не имеется²⁹*.</w:t>
      </w:r>
    </w:p>
    <w:p w14:paraId="5750CBF0" w14:textId="77777777" w:rsidR="007548ED" w:rsidRPr="00A259BD" w:rsidRDefault="007548ED"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Председатель ВСНХ СССР </w:t>
      </w:r>
      <w:hyperlink r:id="rId9" w:history="1">
        <w:r w:rsidRPr="00A259BD">
          <w:rPr>
            <w:rStyle w:val="af0"/>
            <w:i w:val="0"/>
            <w:color w:val="000000" w:themeColor="text1"/>
            <w:sz w:val="16"/>
            <w:szCs w:val="16"/>
          </w:rPr>
          <w:t>Куйбышев</w:t>
        </w:r>
      </w:hyperlink>
    </w:p>
    <w:p w14:paraId="51AC968B" w14:textId="77777777" w:rsidR="007548ED" w:rsidRPr="00A259BD" w:rsidRDefault="007548ED"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Член Президиума ВСНХ СССР и начальник </w:t>
      </w:r>
      <w:proofErr w:type="spellStart"/>
      <w:r w:rsidRPr="00A259BD">
        <w:rPr>
          <w:rStyle w:val="af0"/>
          <w:i w:val="0"/>
          <w:color w:val="000000" w:themeColor="text1"/>
          <w:sz w:val="16"/>
          <w:szCs w:val="16"/>
        </w:rPr>
        <w:t>Мобпланупра</w:t>
      </w:r>
      <w:proofErr w:type="spellEnd"/>
      <w:r w:rsidRPr="00A259BD">
        <w:rPr>
          <w:rStyle w:val="af0"/>
          <w:i w:val="0"/>
          <w:color w:val="000000" w:themeColor="text1"/>
          <w:sz w:val="16"/>
          <w:szCs w:val="16"/>
        </w:rPr>
        <w:t xml:space="preserve"> Постников</w:t>
      </w:r>
    </w:p>
    <w:p w14:paraId="651842F6" w14:textId="77777777" w:rsidR="007548ED" w:rsidRPr="00A259BD" w:rsidRDefault="007548ED"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r w:rsidRPr="00A259BD">
        <w:rPr>
          <w:color w:val="000000" w:themeColor="text1"/>
          <w:sz w:val="16"/>
          <w:szCs w:val="16"/>
        </w:rPr>
        <w:t>:</w:t>
      </w:r>
    </w:p>
    <w:p w14:paraId="6ECDC9DB"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Опущены разделы I. Общие положения, II. Обеспечение потребностей вооруженных сил (см. там же, л. 10</w:t>
      </w:r>
      <w:r w:rsidRPr="00A259BD">
        <w:rPr>
          <w:color w:val="000000" w:themeColor="text1"/>
          <w:sz w:val="16"/>
          <w:szCs w:val="16"/>
        </w:rPr>
        <w:noBreakHyphen/>
        <w:t>46).</w:t>
      </w:r>
    </w:p>
    <w:p w14:paraId="67C5C560"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Без батальонной и малокалиберной артиллерии. Мощности по корпусам снарядов, взрывателям и капсюльным втулкам на 1 октября 1928 г. показаны без пересчета на увеличение числа рабочих дней в году и рабочих часов в сутки (</w:t>
      </w:r>
      <w:r w:rsidRPr="00A259BD">
        <w:rPr>
          <w:rStyle w:val="af0"/>
          <w:i w:val="0"/>
          <w:color w:val="000000" w:themeColor="text1"/>
          <w:sz w:val="16"/>
          <w:szCs w:val="16"/>
        </w:rPr>
        <w:t>Прим. док</w:t>
      </w:r>
      <w:r w:rsidRPr="00A259BD">
        <w:rPr>
          <w:color w:val="000000" w:themeColor="text1"/>
          <w:sz w:val="16"/>
          <w:szCs w:val="16"/>
        </w:rPr>
        <w:t>.).</w:t>
      </w:r>
    </w:p>
    <w:p w14:paraId="2931E698"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3</w:t>
      </w:r>
      <w:r w:rsidRPr="00A259BD">
        <w:rPr>
          <w:color w:val="000000" w:themeColor="text1"/>
          <w:sz w:val="16"/>
          <w:szCs w:val="16"/>
        </w:rPr>
        <w:t xml:space="preserve">* Полная потребность по литере «С» — 39 тыс. т (включая </w:t>
      </w:r>
      <w:proofErr w:type="spellStart"/>
      <w:r w:rsidRPr="00A259BD">
        <w:rPr>
          <w:color w:val="000000" w:themeColor="text1"/>
          <w:sz w:val="16"/>
          <w:szCs w:val="16"/>
        </w:rPr>
        <w:t>селитро</w:t>
      </w:r>
      <w:proofErr w:type="spellEnd"/>
      <w:r w:rsidRPr="00A259BD">
        <w:rPr>
          <w:color w:val="000000" w:themeColor="text1"/>
          <w:sz w:val="16"/>
          <w:szCs w:val="16"/>
        </w:rPr>
        <w:t>-угольные добавки); эта мощность достигается лишь к 1 октября 1930 г. (</w:t>
      </w:r>
      <w:r w:rsidRPr="00A259BD">
        <w:rPr>
          <w:rStyle w:val="af0"/>
          <w:i w:val="0"/>
          <w:color w:val="000000" w:themeColor="text1"/>
          <w:sz w:val="16"/>
          <w:szCs w:val="16"/>
        </w:rPr>
        <w:t>Прим. док</w:t>
      </w:r>
      <w:r w:rsidRPr="00A259BD">
        <w:rPr>
          <w:color w:val="000000" w:themeColor="text1"/>
          <w:sz w:val="16"/>
          <w:szCs w:val="16"/>
        </w:rPr>
        <w:t>.).</w:t>
      </w:r>
    </w:p>
    <w:p w14:paraId="7A680C36"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4</w:t>
      </w:r>
      <w:r w:rsidRPr="00A259BD">
        <w:rPr>
          <w:color w:val="000000" w:themeColor="text1"/>
          <w:sz w:val="16"/>
          <w:szCs w:val="16"/>
        </w:rPr>
        <w:t>* Не публикуется.</w:t>
      </w:r>
    </w:p>
    <w:p w14:paraId="04A98043"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5</w:t>
      </w:r>
      <w:r w:rsidRPr="00A259BD">
        <w:rPr>
          <w:color w:val="000000" w:themeColor="text1"/>
          <w:sz w:val="16"/>
          <w:szCs w:val="16"/>
        </w:rPr>
        <w:t>* Так в тексте.</w:t>
      </w:r>
    </w:p>
    <w:p w14:paraId="75AA3B91"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6</w:t>
      </w:r>
      <w:r w:rsidRPr="00A259BD">
        <w:rPr>
          <w:color w:val="000000" w:themeColor="text1"/>
          <w:sz w:val="16"/>
          <w:szCs w:val="16"/>
        </w:rPr>
        <w:t>* Здесь не учтены заводы, вырабатывающие сырье, металлургические и прокатные. (</w:t>
      </w:r>
      <w:r w:rsidRPr="00A259BD">
        <w:rPr>
          <w:rStyle w:val="af0"/>
          <w:i w:val="0"/>
          <w:color w:val="000000" w:themeColor="text1"/>
          <w:sz w:val="16"/>
          <w:szCs w:val="16"/>
        </w:rPr>
        <w:t>Прим. док</w:t>
      </w:r>
      <w:r w:rsidRPr="00A259BD">
        <w:rPr>
          <w:color w:val="000000" w:themeColor="text1"/>
          <w:sz w:val="16"/>
          <w:szCs w:val="16"/>
        </w:rPr>
        <w:t>.).</w:t>
      </w:r>
    </w:p>
    <w:p w14:paraId="1EBC107B"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7</w:t>
      </w:r>
      <w:r w:rsidRPr="00A259BD">
        <w:rPr>
          <w:color w:val="000000" w:themeColor="text1"/>
          <w:sz w:val="16"/>
          <w:szCs w:val="16"/>
        </w:rPr>
        <w:t>* Опущен обзор элементов выстрела.</w:t>
      </w:r>
    </w:p>
    <w:p w14:paraId="2FD0FA41"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8</w:t>
      </w:r>
      <w:r w:rsidRPr="00A259BD">
        <w:rPr>
          <w:color w:val="000000" w:themeColor="text1"/>
          <w:sz w:val="16"/>
          <w:szCs w:val="16"/>
        </w:rPr>
        <w:t xml:space="preserve">* 4 октября 1918 г. по инициативе Л. Я. Карпова при Отделе химической промышленности ВСНХ была создана Центральная химическая лаборатория, которая в 1921 г. преобразована в </w:t>
      </w:r>
      <w:r w:rsidRPr="00A259BD">
        <w:rPr>
          <w:rStyle w:val="af0"/>
          <w:i w:val="0"/>
          <w:color w:val="000000" w:themeColor="text1"/>
          <w:sz w:val="16"/>
          <w:szCs w:val="16"/>
        </w:rPr>
        <w:t>Научно-исследовательский химический институт им. Л. Я. Карпова</w:t>
      </w:r>
      <w:r w:rsidRPr="00A259BD">
        <w:rPr>
          <w:color w:val="000000" w:themeColor="text1"/>
          <w:sz w:val="16"/>
          <w:szCs w:val="16"/>
        </w:rPr>
        <w:t>, переименованный в 1931 г. в Научно-исследовательский физико-химический институт им. Л. Я. Карпова. В первые годы главной задачей института являлось удовлетворение насущных потребностей страны в химической продукции при острой нехватке ресурсов и квалифицированных кадров, в том числе сотрудниками института решались вопросы, связанные с оборонным производством: организации производства дефицитных материалов (например, авиационных смазочных масел), ускоренной подготовки угля и торфа для электростанций, научной экспертизы проектов химических предприятий, химии пластических масс и искусственных волокон. В 1930</w:t>
      </w:r>
      <w:r w:rsidRPr="00A259BD">
        <w:rPr>
          <w:color w:val="000000" w:themeColor="text1"/>
          <w:sz w:val="16"/>
          <w:szCs w:val="16"/>
        </w:rPr>
        <w:noBreakHyphen/>
        <w:t>е годы в институте сложились крупные научные школы по ряду крупнейших направлений физической химии.</w:t>
      </w:r>
    </w:p>
    <w:p w14:paraId="7F1D5298"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9</w:t>
      </w:r>
      <w:r w:rsidRPr="00A259BD">
        <w:rPr>
          <w:color w:val="000000" w:themeColor="text1"/>
          <w:sz w:val="16"/>
          <w:szCs w:val="16"/>
        </w:rPr>
        <w:t xml:space="preserve">* Положение об </w:t>
      </w:r>
      <w:r w:rsidRPr="00A259BD">
        <w:rPr>
          <w:rStyle w:val="af0"/>
          <w:i w:val="0"/>
          <w:color w:val="000000" w:themeColor="text1"/>
          <w:sz w:val="16"/>
          <w:szCs w:val="16"/>
        </w:rPr>
        <w:t>Институте химической обороны</w:t>
      </w:r>
      <w:r w:rsidRPr="00A259BD">
        <w:rPr>
          <w:color w:val="000000" w:themeColor="text1"/>
          <w:sz w:val="16"/>
          <w:szCs w:val="16"/>
        </w:rPr>
        <w:t xml:space="preserve"> было принято в 1928 г. Подчинялся он начальнику Военно-химического управления при начальнике снабжений РККА. Институт должен был объединить научно-исследовательскую работу лабораторного и испытательного характера по военно-химическому делу. Одним из главных направлений его деятельности явилось конструирование индивидуальных средств химической защиты для людей всех возрастов (взрослых, подростков, детей, младенцев); лошадей, являвшихся в то время главной тягловой силой в армии; собак (противогаз для последних был принят на вооружение в 1932</w:t>
      </w:r>
      <w:r w:rsidRPr="00A259BD">
        <w:rPr>
          <w:color w:val="000000" w:themeColor="text1"/>
          <w:sz w:val="16"/>
          <w:szCs w:val="16"/>
        </w:rPr>
        <w:noBreakHyphen/>
        <w:t>1933 гг.). Производством противогазов занимались такие предприятия как «Красный треугольник», «Красный резинщик», «</w:t>
      </w:r>
      <w:proofErr w:type="spellStart"/>
      <w:r w:rsidRPr="00A259BD">
        <w:rPr>
          <w:color w:val="000000" w:themeColor="text1"/>
          <w:sz w:val="16"/>
          <w:szCs w:val="16"/>
        </w:rPr>
        <w:t>Москаучук</w:t>
      </w:r>
      <w:proofErr w:type="spellEnd"/>
      <w:r w:rsidRPr="00A259BD">
        <w:rPr>
          <w:color w:val="000000" w:themeColor="text1"/>
          <w:sz w:val="16"/>
          <w:szCs w:val="16"/>
        </w:rPr>
        <w:t>».</w:t>
      </w:r>
    </w:p>
    <w:p w14:paraId="22F6A042"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10</w:t>
      </w:r>
      <w:r w:rsidRPr="00A259BD">
        <w:rPr>
          <w:color w:val="000000" w:themeColor="text1"/>
          <w:sz w:val="16"/>
          <w:szCs w:val="16"/>
        </w:rPr>
        <w:t>* Опущен обзор нового строительства по ОВ.</w:t>
      </w:r>
    </w:p>
    <w:p w14:paraId="6A6ED45F"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11</w:t>
      </w:r>
      <w:r w:rsidRPr="00A259BD">
        <w:rPr>
          <w:color w:val="000000" w:themeColor="text1"/>
          <w:sz w:val="16"/>
          <w:szCs w:val="16"/>
        </w:rPr>
        <w:t>* Опущен подраздел 5 “Основная химия”.</w:t>
      </w:r>
    </w:p>
    <w:p w14:paraId="38D63CE5"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12</w:t>
      </w:r>
      <w:r w:rsidRPr="00A259BD">
        <w:rPr>
          <w:color w:val="000000" w:themeColor="text1"/>
          <w:sz w:val="16"/>
          <w:szCs w:val="16"/>
        </w:rPr>
        <w:t xml:space="preserve">* Опущена таблица «Производство самолетов и моторов по прорабатываемому </w:t>
      </w:r>
      <w:proofErr w:type="spellStart"/>
      <w:r w:rsidRPr="00A259BD">
        <w:rPr>
          <w:color w:val="000000" w:themeColor="text1"/>
          <w:sz w:val="16"/>
          <w:szCs w:val="16"/>
        </w:rPr>
        <w:t>мобзаданию</w:t>
      </w:r>
      <w:proofErr w:type="spellEnd"/>
      <w:r w:rsidRPr="00A259BD">
        <w:rPr>
          <w:color w:val="000000" w:themeColor="text1"/>
          <w:sz w:val="16"/>
          <w:szCs w:val="16"/>
        </w:rPr>
        <w:t xml:space="preserve"> по плану литеры “С”».</w:t>
      </w:r>
    </w:p>
    <w:p w14:paraId="0DEAE4C0"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13</w:t>
      </w:r>
      <w:r w:rsidRPr="00A259BD">
        <w:rPr>
          <w:color w:val="000000" w:themeColor="text1"/>
          <w:sz w:val="16"/>
          <w:szCs w:val="16"/>
        </w:rPr>
        <w:t>* </w:t>
      </w:r>
      <w:r w:rsidRPr="00A259BD">
        <w:rPr>
          <w:rStyle w:val="af0"/>
          <w:i w:val="0"/>
          <w:color w:val="000000" w:themeColor="text1"/>
          <w:sz w:val="16"/>
          <w:szCs w:val="16"/>
        </w:rPr>
        <w:t>3 декабря 1928 г.</w:t>
      </w:r>
      <w:r w:rsidRPr="00A259BD">
        <w:rPr>
          <w:color w:val="000000" w:themeColor="text1"/>
          <w:sz w:val="16"/>
          <w:szCs w:val="16"/>
        </w:rPr>
        <w:t xml:space="preserve"> РЗ СТО СССР признало условия договора со шведской фирмой «</w:t>
      </w:r>
      <w:proofErr w:type="spellStart"/>
      <w:r w:rsidRPr="00A259BD">
        <w:rPr>
          <w:color w:val="000000" w:themeColor="text1"/>
          <w:sz w:val="16"/>
          <w:szCs w:val="16"/>
        </w:rPr>
        <w:t>Юнгнер</w:t>
      </w:r>
      <w:proofErr w:type="spellEnd"/>
      <w:r w:rsidRPr="00A259BD">
        <w:rPr>
          <w:color w:val="000000" w:themeColor="text1"/>
          <w:sz w:val="16"/>
          <w:szCs w:val="16"/>
        </w:rPr>
        <w:t>» на поставку щелочных аккумуляторов неприемлемыми и обязал ВСНХ СССР принять все меры к организации производства аккумуляторов своими силами.</w:t>
      </w:r>
    </w:p>
    <w:p w14:paraId="07565F23"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14</w:t>
      </w:r>
      <w:r w:rsidRPr="00A259BD">
        <w:rPr>
          <w:color w:val="000000" w:themeColor="text1"/>
          <w:sz w:val="16"/>
          <w:szCs w:val="16"/>
        </w:rPr>
        <w:t>* Опущен раздел IV. “Работа промышленности в первый период войны”.</w:t>
      </w:r>
    </w:p>
    <w:p w14:paraId="178C7CD6"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15</w:t>
      </w:r>
      <w:r w:rsidRPr="00A259BD">
        <w:rPr>
          <w:color w:val="000000" w:themeColor="text1"/>
          <w:sz w:val="16"/>
          <w:szCs w:val="16"/>
        </w:rPr>
        <w:t>* Железорудная и марганцевая показаны в металлической (</w:t>
      </w:r>
      <w:r w:rsidRPr="00A259BD">
        <w:rPr>
          <w:rStyle w:val="af0"/>
          <w:i w:val="0"/>
          <w:color w:val="000000" w:themeColor="text1"/>
          <w:sz w:val="16"/>
          <w:szCs w:val="16"/>
        </w:rPr>
        <w:t>Прим. док</w:t>
      </w:r>
      <w:r w:rsidRPr="00A259BD">
        <w:rPr>
          <w:color w:val="000000" w:themeColor="text1"/>
          <w:sz w:val="16"/>
          <w:szCs w:val="16"/>
        </w:rPr>
        <w:t>.).</w:t>
      </w:r>
    </w:p>
    <w:p w14:paraId="039DDD49"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16</w:t>
      </w:r>
      <w:r w:rsidRPr="00A259BD">
        <w:rPr>
          <w:color w:val="000000" w:themeColor="text1"/>
          <w:sz w:val="16"/>
          <w:szCs w:val="16"/>
        </w:rPr>
        <w:t>* Так в тексте. По подсчетам составителей — 21 779.</w:t>
      </w:r>
    </w:p>
    <w:p w14:paraId="5A3EEE31"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17</w:t>
      </w:r>
      <w:r w:rsidRPr="00A259BD">
        <w:rPr>
          <w:color w:val="000000" w:themeColor="text1"/>
          <w:sz w:val="16"/>
          <w:szCs w:val="16"/>
        </w:rPr>
        <w:t>* Кроме того, по тресту «Электросвязь» все квалифицированные рабочие не специальных родов войск забронированы (</w:t>
      </w:r>
      <w:r w:rsidRPr="00A259BD">
        <w:rPr>
          <w:rStyle w:val="af0"/>
          <w:i w:val="0"/>
          <w:color w:val="000000" w:themeColor="text1"/>
          <w:sz w:val="16"/>
          <w:szCs w:val="16"/>
        </w:rPr>
        <w:t>Прим. док</w:t>
      </w:r>
      <w:r w:rsidRPr="00A259BD">
        <w:rPr>
          <w:color w:val="000000" w:themeColor="text1"/>
          <w:sz w:val="16"/>
          <w:szCs w:val="16"/>
        </w:rPr>
        <w:t>.).</w:t>
      </w:r>
    </w:p>
    <w:p w14:paraId="3B44C23D"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18</w:t>
      </w:r>
      <w:r w:rsidRPr="00A259BD">
        <w:rPr>
          <w:color w:val="000000" w:themeColor="text1"/>
          <w:sz w:val="16"/>
          <w:szCs w:val="16"/>
        </w:rPr>
        <w:t>* Так в тексте. По подсчетам составителей — 626 048.</w:t>
      </w:r>
    </w:p>
    <w:p w14:paraId="57DC8257"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19</w:t>
      </w:r>
      <w:r w:rsidRPr="00A259BD">
        <w:rPr>
          <w:color w:val="000000" w:themeColor="text1"/>
          <w:sz w:val="16"/>
          <w:szCs w:val="16"/>
        </w:rPr>
        <w:t>* Данные по старому бронированию. По новому бронированию все рабочие от 3 разряда новой тарифной сетки забронированы по всем учетным специальностям (</w:t>
      </w:r>
      <w:r w:rsidRPr="00A259BD">
        <w:rPr>
          <w:rStyle w:val="af0"/>
          <w:i w:val="0"/>
          <w:color w:val="000000" w:themeColor="text1"/>
          <w:sz w:val="16"/>
          <w:szCs w:val="16"/>
        </w:rPr>
        <w:t>Прим. док</w:t>
      </w:r>
      <w:r w:rsidRPr="00A259BD">
        <w:rPr>
          <w:color w:val="000000" w:themeColor="text1"/>
          <w:sz w:val="16"/>
          <w:szCs w:val="16"/>
        </w:rPr>
        <w:t>.).</w:t>
      </w:r>
    </w:p>
    <w:p w14:paraId="418117D3"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20</w:t>
      </w:r>
      <w:r w:rsidRPr="00A259BD">
        <w:rPr>
          <w:color w:val="000000" w:themeColor="text1"/>
          <w:sz w:val="16"/>
          <w:szCs w:val="16"/>
        </w:rPr>
        <w:t>* Строка не заполнена.</w:t>
      </w:r>
    </w:p>
    <w:p w14:paraId="107BD9CA"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21</w:t>
      </w:r>
      <w:r w:rsidRPr="00A259BD">
        <w:rPr>
          <w:color w:val="000000" w:themeColor="text1"/>
          <w:sz w:val="16"/>
          <w:szCs w:val="16"/>
        </w:rPr>
        <w:t>* Так в тексте. По подсчетам составителей — 1 841 666.</w:t>
      </w:r>
    </w:p>
    <w:p w14:paraId="7A5ECF94"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22</w:t>
      </w:r>
      <w:r w:rsidRPr="00A259BD">
        <w:rPr>
          <w:color w:val="000000" w:themeColor="text1"/>
          <w:sz w:val="16"/>
          <w:szCs w:val="16"/>
        </w:rPr>
        <w:t>* Так в тексте. По подсчетам составителей — 1 932 017.</w:t>
      </w:r>
    </w:p>
    <w:p w14:paraId="224E5F9F"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23</w:t>
      </w:r>
      <w:r w:rsidRPr="00A259BD">
        <w:rPr>
          <w:color w:val="000000" w:themeColor="text1"/>
          <w:sz w:val="16"/>
          <w:szCs w:val="16"/>
        </w:rPr>
        <w:t>* Так в тексте.</w:t>
      </w:r>
    </w:p>
    <w:p w14:paraId="33B71E2B"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24</w:t>
      </w:r>
      <w:r w:rsidRPr="00A259BD">
        <w:rPr>
          <w:color w:val="000000" w:themeColor="text1"/>
          <w:sz w:val="16"/>
          <w:szCs w:val="16"/>
        </w:rPr>
        <w:t xml:space="preserve">* В </w:t>
      </w:r>
      <w:r w:rsidRPr="00A259BD">
        <w:rPr>
          <w:rStyle w:val="af0"/>
          <w:i w:val="0"/>
          <w:color w:val="000000" w:themeColor="text1"/>
          <w:sz w:val="16"/>
          <w:szCs w:val="16"/>
        </w:rPr>
        <w:t>статье № 155 Закона об обязательной военной службе,</w:t>
      </w:r>
      <w:r w:rsidRPr="00A259BD">
        <w:rPr>
          <w:color w:val="000000" w:themeColor="text1"/>
          <w:sz w:val="16"/>
          <w:szCs w:val="16"/>
        </w:rPr>
        <w:t xml:space="preserve"> принятого 8 августа 1928 г., говорилось, что лица, окончившие высшие учебные заведения, могут быть привлечены к прохождению действительной военной службы в особом порядке, т. е. непрерывная военная служба в рядах РККА может быть заменена военной службой при предприятиях гражданского ведомства (военно-производственная служба) продолжительностью в два года, после чего они проходят испытания на звание среднего начальствующего состава запаса РККА, при этом получают содержание от этих предприятий в размерах, установленных по соглашению с </w:t>
      </w:r>
      <w:proofErr w:type="spellStart"/>
      <w:r w:rsidRPr="00A259BD">
        <w:rPr>
          <w:color w:val="000000" w:themeColor="text1"/>
          <w:sz w:val="16"/>
          <w:szCs w:val="16"/>
        </w:rPr>
        <w:t>НКТруда</w:t>
      </w:r>
      <w:proofErr w:type="spellEnd"/>
      <w:r w:rsidRPr="00A259BD">
        <w:rPr>
          <w:color w:val="000000" w:themeColor="text1"/>
          <w:sz w:val="16"/>
          <w:szCs w:val="16"/>
        </w:rPr>
        <w:t xml:space="preserve"> и НКВМ. (СЗ СССР. 1928. № 51. Ст. 449)</w:t>
      </w:r>
    </w:p>
    <w:p w14:paraId="130D356F"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25</w:t>
      </w:r>
      <w:r w:rsidRPr="00A259BD">
        <w:rPr>
          <w:color w:val="000000" w:themeColor="text1"/>
          <w:sz w:val="16"/>
          <w:szCs w:val="16"/>
        </w:rPr>
        <w:t>* Так в тексте.</w:t>
      </w:r>
    </w:p>
    <w:p w14:paraId="7CC7A6AE"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26</w:t>
      </w:r>
      <w:r w:rsidRPr="00A259BD">
        <w:rPr>
          <w:color w:val="000000" w:themeColor="text1"/>
          <w:sz w:val="16"/>
          <w:szCs w:val="16"/>
        </w:rPr>
        <w:t>* Опущена таблица и пояснения к ней.</w:t>
      </w:r>
    </w:p>
    <w:p w14:paraId="12526CBB"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27</w:t>
      </w:r>
      <w:r w:rsidRPr="00A259BD">
        <w:rPr>
          <w:color w:val="000000" w:themeColor="text1"/>
          <w:sz w:val="16"/>
          <w:szCs w:val="16"/>
        </w:rPr>
        <w:t xml:space="preserve">* 20 июля 1928 г. было утверждено </w:t>
      </w:r>
      <w:r w:rsidRPr="00A259BD">
        <w:rPr>
          <w:rStyle w:val="af0"/>
          <w:i w:val="0"/>
          <w:color w:val="000000" w:themeColor="text1"/>
          <w:sz w:val="16"/>
          <w:szCs w:val="16"/>
        </w:rPr>
        <w:t>Положение о вывозе из районов, оказавшихся под угрозой захвата неприятелем, ценного имущества, учреждений, предприятий и людских контингентов.</w:t>
      </w:r>
      <w:r w:rsidRPr="00A259BD">
        <w:rPr>
          <w:color w:val="000000" w:themeColor="text1"/>
          <w:sz w:val="16"/>
          <w:szCs w:val="16"/>
        </w:rPr>
        <w:t xml:space="preserve"> Им определялись общие положения об использовании материальных и людских ресурсов на случай войны, способы, которые бы не позволили неприятелю захватить это имущество и людские ресурсы, эвакуация или уничтожение на месте и др. Положение устанавливало перечень объектов, вывозимых вглубь страны, определяло органы, руководящие составлением эвакуационного плана и вывозом имущества, порядок составления плана вывоза и его финансирование, порядок использования имущества союзных и автономных республик, эвакуированного на территории других автономных республик.</w:t>
      </w:r>
    </w:p>
    <w:p w14:paraId="7F21FDCC"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28</w:t>
      </w:r>
      <w:r w:rsidRPr="00A259BD">
        <w:rPr>
          <w:color w:val="000000" w:themeColor="text1"/>
          <w:sz w:val="16"/>
          <w:szCs w:val="16"/>
        </w:rPr>
        <w:t>* Опущена таблица распределения вывозимых предприятий по родам производства и пояснение к ней.</w:t>
      </w:r>
    </w:p>
    <w:p w14:paraId="56128055" w14:textId="77777777" w:rsidR="007548ED" w:rsidRPr="00A259BD" w:rsidRDefault="007548ED" w:rsidP="009236E3">
      <w:pPr>
        <w:pStyle w:val="rtejustify"/>
        <w:spacing w:before="0" w:after="0"/>
        <w:rPr>
          <w:color w:val="000000" w:themeColor="text1"/>
          <w:sz w:val="16"/>
          <w:szCs w:val="16"/>
        </w:rPr>
      </w:pPr>
      <w:r w:rsidRPr="00A259BD">
        <w:rPr>
          <w:color w:val="000000" w:themeColor="text1"/>
          <w:sz w:val="16"/>
          <w:szCs w:val="16"/>
          <w:vertAlign w:val="superscript"/>
        </w:rPr>
        <w:t>29</w:t>
      </w:r>
      <w:r w:rsidRPr="00A259BD">
        <w:rPr>
          <w:color w:val="000000" w:themeColor="text1"/>
          <w:sz w:val="16"/>
          <w:szCs w:val="16"/>
        </w:rPr>
        <w:t>* Опущены разделы VII</w:t>
      </w:r>
      <w:r w:rsidRPr="00A259BD">
        <w:rPr>
          <w:color w:val="000000" w:themeColor="text1"/>
          <w:sz w:val="16"/>
          <w:szCs w:val="16"/>
        </w:rPr>
        <w:noBreakHyphen/>
        <w:t>IX (-«Организационно-методологические вопросы подготовки промышленности к обороне», «Состояние основных плановых работ в настоящее время» и «Заключение»).</w:t>
      </w:r>
    </w:p>
    <w:p w14:paraId="1ED21539" w14:textId="77777777" w:rsidR="007548ED" w:rsidRPr="00A259BD" w:rsidRDefault="007548ED" w:rsidP="009236E3">
      <w:pPr>
        <w:pStyle w:val="ae"/>
        <w:spacing w:before="0" w:after="0"/>
        <w:jc w:val="both"/>
        <w:rPr>
          <w:color w:val="000000" w:themeColor="text1"/>
          <w:sz w:val="16"/>
          <w:szCs w:val="16"/>
        </w:rPr>
      </w:pPr>
      <w:r w:rsidRPr="00A259BD">
        <w:rPr>
          <w:color w:val="000000" w:themeColor="text1"/>
          <w:sz w:val="16"/>
          <w:szCs w:val="16"/>
        </w:rPr>
        <w:t>ГА РФ. Ф. Р-8418. Оп. 3. Д. 9. Л. 47—63, 72—73, 78—80, 86—100, 117—130, 132—137. Подлинник.</w:t>
      </w:r>
    </w:p>
    <w:p w14:paraId="7C84E519"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ГА РФ. Ф. Р-8418. Оп. 3. Д. 9. Л. 47—63, 72—73, 78—80, 86—100, 117—130, 132—137. Подлинник. </w:t>
      </w:r>
    </w:p>
    <w:p w14:paraId="1155F588" w14:textId="77777777" w:rsidR="007548ED" w:rsidRPr="00A259BD" w:rsidRDefault="007548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233-262 (12418).</w:t>
      </w:r>
    </w:p>
    <w:p w14:paraId="29B92937" w14:textId="77777777" w:rsidR="007548ED" w:rsidRPr="00A259BD" w:rsidRDefault="007548ED" w:rsidP="009236E3">
      <w:pPr>
        <w:spacing w:after="0" w:line="240" w:lineRule="auto"/>
        <w:jc w:val="both"/>
        <w:rPr>
          <w:rFonts w:ascii="Times New Roman" w:hAnsi="Times New Roman"/>
          <w:color w:val="000000" w:themeColor="text1"/>
          <w:sz w:val="16"/>
          <w:szCs w:val="16"/>
        </w:rPr>
      </w:pPr>
    </w:p>
    <w:p w14:paraId="3F6EEF68" w14:textId="77777777" w:rsidR="00CE0BB3" w:rsidRPr="00A259BD" w:rsidRDefault="00CE0B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января 1929 г. было письмо руководства </w:t>
      </w:r>
      <w:proofErr w:type="spellStart"/>
      <w:r w:rsidRPr="00A259BD">
        <w:rPr>
          <w:rFonts w:ascii="Times New Roman" w:hAnsi="Times New Roman"/>
          <w:color w:val="000000" w:themeColor="text1"/>
          <w:sz w:val="16"/>
          <w:szCs w:val="16"/>
        </w:rPr>
        <w:t>Арткома</w:t>
      </w:r>
      <w:proofErr w:type="spellEnd"/>
      <w:r w:rsidRPr="00A259BD">
        <w:rPr>
          <w:rFonts w:ascii="Times New Roman" w:hAnsi="Times New Roman"/>
          <w:color w:val="000000" w:themeColor="text1"/>
          <w:sz w:val="16"/>
          <w:szCs w:val="16"/>
        </w:rPr>
        <w:t xml:space="preserve">, адресованного начальнику АКБ </w:t>
      </w:r>
      <w:proofErr w:type="spellStart"/>
      <w:r w:rsidRPr="00A259BD">
        <w:rPr>
          <w:rFonts w:ascii="Times New Roman" w:hAnsi="Times New Roman"/>
          <w:color w:val="000000" w:themeColor="text1"/>
          <w:sz w:val="16"/>
          <w:szCs w:val="16"/>
        </w:rPr>
        <w:t>Арткома</w:t>
      </w:r>
      <w:proofErr w:type="spellEnd"/>
      <w:r w:rsidRPr="00A259BD">
        <w:rPr>
          <w:rFonts w:ascii="Times New Roman" w:hAnsi="Times New Roman"/>
          <w:color w:val="000000" w:themeColor="text1"/>
          <w:sz w:val="16"/>
          <w:szCs w:val="16"/>
        </w:rPr>
        <w:t>:</w:t>
      </w:r>
    </w:p>
    <w:p w14:paraId="1DE34D1D" w14:textId="77777777" w:rsidR="00CE0BB3" w:rsidRPr="00A259BD" w:rsidRDefault="00CE0B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«РВС 19.12.1928 г. признал необходимым ускорить изготовление опытного образца 203-мм гаубицы по проекту АКБ </w:t>
      </w:r>
      <w:proofErr w:type="spellStart"/>
      <w:r w:rsidRPr="00A259BD">
        <w:rPr>
          <w:rFonts w:ascii="Times New Roman" w:hAnsi="Times New Roman"/>
          <w:color w:val="000000" w:themeColor="text1"/>
          <w:sz w:val="16"/>
          <w:szCs w:val="16"/>
        </w:rPr>
        <w:t>Арткома</w:t>
      </w:r>
      <w:proofErr w:type="spellEnd"/>
      <w:r w:rsidRPr="00A259BD">
        <w:rPr>
          <w:rFonts w:ascii="Times New Roman" w:hAnsi="Times New Roman"/>
          <w:color w:val="000000" w:themeColor="text1"/>
          <w:sz w:val="16"/>
          <w:szCs w:val="16"/>
        </w:rPr>
        <w:t xml:space="preserve"> и постановил закончить изготовление рабочих чертежей в 4 месяца» (15132).</w:t>
      </w:r>
    </w:p>
    <w:p w14:paraId="34120D54" w14:textId="77777777" w:rsidR="00CE0BB3" w:rsidRPr="00A259BD" w:rsidRDefault="00CE0BB3" w:rsidP="009236E3">
      <w:pPr>
        <w:spacing w:after="0" w:line="240" w:lineRule="auto"/>
        <w:jc w:val="both"/>
        <w:rPr>
          <w:rFonts w:ascii="Times New Roman" w:hAnsi="Times New Roman"/>
          <w:color w:val="000000" w:themeColor="text1"/>
          <w:sz w:val="16"/>
          <w:szCs w:val="16"/>
        </w:rPr>
      </w:pPr>
    </w:p>
    <w:p w14:paraId="33962768" w14:textId="77777777" w:rsidR="004D16E2"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2729D18" w14:textId="77777777" w:rsidR="004D16E2" w:rsidRPr="00A259BD" w:rsidRDefault="004D16E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201732B" w14:textId="77777777" w:rsidR="004D16E2" w:rsidRPr="00A259BD" w:rsidRDefault="004D16E2"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12 января</w:t>
      </w:r>
      <w:r w:rsidRPr="00A259BD">
        <w:rPr>
          <w:rFonts w:ascii="Times New Roman" w:hAnsi="Times New Roman"/>
          <w:color w:val="000000" w:themeColor="text1"/>
          <w:sz w:val="16"/>
          <w:szCs w:val="16"/>
        </w:rPr>
        <w:t xml:space="preserve"> в 1929 году на ОС Академии Наук СССР впервые в состав Академии в составе 39 новых академиков были избраны 5 коммунистов: </w:t>
      </w:r>
      <w:proofErr w:type="spellStart"/>
      <w:r w:rsidRPr="00A259BD">
        <w:rPr>
          <w:rFonts w:ascii="Times New Roman" w:hAnsi="Times New Roman"/>
          <w:color w:val="000000" w:themeColor="text1"/>
          <w:sz w:val="16"/>
          <w:szCs w:val="16"/>
        </w:rPr>
        <w:t>Д.Б.Рязанов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М.Н.Покровский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Н.И.Бухарин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Г.М.Кржижановский</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И.М.Губкин</w:t>
      </w:r>
      <w:proofErr w:type="spellEnd"/>
      <w:r w:rsidRPr="00A259BD">
        <w:rPr>
          <w:rFonts w:ascii="Times New Roman" w:hAnsi="Times New Roman"/>
          <w:color w:val="000000" w:themeColor="text1"/>
          <w:sz w:val="16"/>
          <w:szCs w:val="16"/>
        </w:rPr>
        <w:t xml:space="preserve">. Трое других коммунистов – </w:t>
      </w:r>
      <w:proofErr w:type="spellStart"/>
      <w:r w:rsidRPr="00A259BD">
        <w:rPr>
          <w:rFonts w:ascii="Times New Roman" w:hAnsi="Times New Roman"/>
          <w:color w:val="000000" w:themeColor="text1"/>
          <w:sz w:val="16"/>
          <w:szCs w:val="16"/>
        </w:rPr>
        <w:t>А.М.Деборин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Н.М.Лукин</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В.М.Фриче</w:t>
      </w:r>
      <w:proofErr w:type="spellEnd"/>
      <w:r w:rsidRPr="00A259BD">
        <w:rPr>
          <w:rFonts w:ascii="Times New Roman" w:hAnsi="Times New Roman"/>
          <w:color w:val="000000" w:themeColor="text1"/>
          <w:sz w:val="16"/>
          <w:szCs w:val="16"/>
        </w:rPr>
        <w:t xml:space="preserve"> не набрали положенных 2/3 голосов. В этот же день Президиум Академии Наук принял постановление о перебаллотировке с участием уже выбранных академиков. Выборам 12 января предшествовала полугодовая правительственная кампания выбора нужных кандидатов-коммунистов и отсев на предварительных собраниях нежелательных ученых. 17 января Экстраординарное ОС 28 голосами «за» при 9 «против» из 41 голосовавших (всего в Академии было на тот момент 78 академиков) приняло обращение в СНК о разрешении перебаллотировки трех непрошедших коммунистов. Против этого резко выступил </w:t>
      </w:r>
      <w:proofErr w:type="spellStart"/>
      <w:r w:rsidRPr="00A259BD">
        <w:rPr>
          <w:rFonts w:ascii="Times New Roman" w:hAnsi="Times New Roman"/>
          <w:color w:val="000000" w:themeColor="text1"/>
          <w:sz w:val="16"/>
          <w:szCs w:val="16"/>
        </w:rPr>
        <w:t>И.П.Павлов</w:t>
      </w:r>
      <w:proofErr w:type="spellEnd"/>
      <w:r w:rsidRPr="00A259BD">
        <w:rPr>
          <w:rFonts w:ascii="Times New Roman" w:hAnsi="Times New Roman"/>
          <w:color w:val="000000" w:themeColor="text1"/>
          <w:sz w:val="16"/>
          <w:szCs w:val="16"/>
        </w:rPr>
        <w:t xml:space="preserve">, который после этого больше никогда не присутствовал на Общих собраниях Академии Наук СССР. 5 февраля состоялось заседание СНК под председательством </w:t>
      </w:r>
      <w:proofErr w:type="spellStart"/>
      <w:r w:rsidRPr="00A259BD">
        <w:rPr>
          <w:rFonts w:ascii="Times New Roman" w:hAnsi="Times New Roman"/>
          <w:color w:val="000000" w:themeColor="text1"/>
          <w:sz w:val="16"/>
          <w:szCs w:val="16"/>
        </w:rPr>
        <w:t>А.И.Рыкова</w:t>
      </w:r>
      <w:proofErr w:type="spellEnd"/>
      <w:r w:rsidRPr="00A259BD">
        <w:rPr>
          <w:rFonts w:ascii="Times New Roman" w:hAnsi="Times New Roman"/>
          <w:color w:val="000000" w:themeColor="text1"/>
          <w:sz w:val="16"/>
          <w:szCs w:val="16"/>
        </w:rPr>
        <w:t xml:space="preserve"> по разбору сложившейся ситуации в присутствии Ольденбурга, Марра, Платонова, Ферсмана, Тарле, Крылова и Комарова. Председатель ВСНХ </w:t>
      </w:r>
      <w:proofErr w:type="spellStart"/>
      <w:r w:rsidRPr="00A259BD">
        <w:rPr>
          <w:rFonts w:ascii="Times New Roman" w:hAnsi="Times New Roman"/>
          <w:color w:val="000000" w:themeColor="text1"/>
          <w:sz w:val="16"/>
          <w:szCs w:val="16"/>
        </w:rPr>
        <w:t>В.М.Куйбышев</w:t>
      </w:r>
      <w:proofErr w:type="spellEnd"/>
      <w:r w:rsidRPr="00A259BD">
        <w:rPr>
          <w:rFonts w:ascii="Times New Roman" w:hAnsi="Times New Roman"/>
          <w:color w:val="000000" w:themeColor="text1"/>
          <w:sz w:val="16"/>
          <w:szCs w:val="16"/>
        </w:rPr>
        <w:t xml:space="preserve"> требовал закрытия Академии. Речь Марра переломила ситуацию в пользу Академии и большинство СНК проголосовало за перебаллотировку. Эти три коммуниста избраны 13 февраля при 2-3 голосах «против» и ряда незаполненных бюллетеней, которые считались «за» (при явке 54 из 78 академиков) (15007).</w:t>
      </w:r>
    </w:p>
    <w:p w14:paraId="2CABFD1B" w14:textId="6AA5B24A" w:rsidR="004D16E2" w:rsidRPr="00A259BD" w:rsidRDefault="004D16E2" w:rsidP="009236E3">
      <w:pPr>
        <w:spacing w:after="0" w:line="240" w:lineRule="auto"/>
        <w:jc w:val="both"/>
        <w:rPr>
          <w:rFonts w:ascii="Times New Roman" w:hAnsi="Times New Roman"/>
          <w:color w:val="000000" w:themeColor="text1"/>
          <w:sz w:val="16"/>
          <w:szCs w:val="16"/>
        </w:rPr>
      </w:pPr>
    </w:p>
    <w:p w14:paraId="71B5B8B1" w14:textId="48B718D3" w:rsidR="00E24E3D" w:rsidRPr="00A259BD" w:rsidRDefault="00E24E3D" w:rsidP="009236E3">
      <w:pPr>
        <w:spacing w:after="0" w:line="240" w:lineRule="auto"/>
        <w:jc w:val="both"/>
        <w:rPr>
          <w:rFonts w:ascii="Times New Roman" w:hAnsi="Times New Roman"/>
          <w:i/>
          <w:iCs/>
          <w:color w:val="000000" w:themeColor="text1"/>
          <w:sz w:val="16"/>
          <w:szCs w:val="16"/>
        </w:rPr>
      </w:pPr>
      <w:r w:rsidRPr="00A259BD">
        <w:rPr>
          <w:rFonts w:ascii="Times New Roman" w:hAnsi="Times New Roman"/>
          <w:i/>
          <w:iCs/>
          <w:color w:val="000000" w:themeColor="text1"/>
          <w:sz w:val="16"/>
          <w:szCs w:val="16"/>
        </w:rPr>
        <w:t>За рубежом:</w:t>
      </w:r>
    </w:p>
    <w:p w14:paraId="0BB2118C" w14:textId="77777777" w:rsidR="00E24E3D" w:rsidRPr="00A259BD" w:rsidRDefault="00E24E3D" w:rsidP="009236E3">
      <w:pPr>
        <w:spacing w:after="0" w:line="240" w:lineRule="auto"/>
        <w:jc w:val="both"/>
        <w:rPr>
          <w:rFonts w:ascii="Times New Roman" w:hAnsi="Times New Roman"/>
          <w:i/>
          <w:iCs/>
          <w:color w:val="000000" w:themeColor="text1"/>
          <w:sz w:val="16"/>
          <w:szCs w:val="16"/>
        </w:rPr>
      </w:pPr>
    </w:p>
    <w:p w14:paraId="7C5CA937" w14:textId="77777777" w:rsidR="00E24E3D" w:rsidRPr="00A259BD" w:rsidRDefault="00E24E3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12 января 1929 года — первый полёт лёгкого самолёта Alexander </w:t>
      </w:r>
      <w:proofErr w:type="spellStart"/>
      <w:r w:rsidRPr="00A259BD">
        <w:rPr>
          <w:rFonts w:ascii="Times New Roman" w:hAnsi="Times New Roman"/>
          <w:color w:val="000000" w:themeColor="text1"/>
          <w:sz w:val="16"/>
          <w:szCs w:val="16"/>
        </w:rPr>
        <w:t>Bullet</w:t>
      </w:r>
      <w:proofErr w:type="spellEnd"/>
      <w:r w:rsidRPr="00A259BD">
        <w:rPr>
          <w:rFonts w:ascii="Times New Roman" w:hAnsi="Times New Roman"/>
          <w:color w:val="000000" w:themeColor="text1"/>
          <w:sz w:val="16"/>
          <w:szCs w:val="16"/>
        </w:rPr>
        <w:t>. /США/</w:t>
      </w:r>
    </w:p>
    <w:p w14:paraId="09D4AAE7" w14:textId="77777777" w:rsidR="00E24E3D" w:rsidRPr="00A259BD" w:rsidRDefault="00E24E3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Золотой век авиации ознаменовался также ростом интереса к лёгким самолётам. Авиастроительные компании стремились захватить как можно большую долю этого рынка. В 1928 году Alexander Aircraft после успешного биплана </w:t>
      </w:r>
      <w:proofErr w:type="spellStart"/>
      <w:r w:rsidRPr="00A259BD">
        <w:rPr>
          <w:rFonts w:ascii="Times New Roman" w:hAnsi="Times New Roman"/>
          <w:color w:val="000000" w:themeColor="text1"/>
          <w:sz w:val="16"/>
          <w:szCs w:val="16"/>
        </w:rPr>
        <w:t>Eaglerock</w:t>
      </w:r>
      <w:proofErr w:type="spellEnd"/>
      <w:r w:rsidRPr="00A259BD">
        <w:rPr>
          <w:rFonts w:ascii="Times New Roman" w:hAnsi="Times New Roman"/>
          <w:color w:val="000000" w:themeColor="text1"/>
          <w:sz w:val="16"/>
          <w:szCs w:val="16"/>
        </w:rPr>
        <w:t xml:space="preserve"> начала работу над проектом </w:t>
      </w:r>
      <w:proofErr w:type="spellStart"/>
      <w:r w:rsidRPr="00A259BD">
        <w:rPr>
          <w:rFonts w:ascii="Times New Roman" w:hAnsi="Times New Roman"/>
          <w:color w:val="000000" w:themeColor="text1"/>
          <w:sz w:val="16"/>
          <w:szCs w:val="16"/>
        </w:rPr>
        <w:t>Bullet</w:t>
      </w:r>
      <w:proofErr w:type="spellEnd"/>
      <w:r w:rsidRPr="00A259BD">
        <w:rPr>
          <w:rFonts w:ascii="Times New Roman" w:hAnsi="Times New Roman"/>
          <w:color w:val="000000" w:themeColor="text1"/>
          <w:sz w:val="16"/>
          <w:szCs w:val="16"/>
        </w:rPr>
        <w:t xml:space="preserve">, которым руководил молодой конструктор Альберт </w:t>
      </w:r>
      <w:proofErr w:type="spellStart"/>
      <w:r w:rsidRPr="00A259BD">
        <w:rPr>
          <w:rFonts w:ascii="Times New Roman" w:hAnsi="Times New Roman"/>
          <w:color w:val="000000" w:themeColor="text1"/>
          <w:sz w:val="16"/>
          <w:szCs w:val="16"/>
        </w:rPr>
        <w:t>Муни</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Albert</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Mooney</w:t>
      </w:r>
      <w:proofErr w:type="spellEnd"/>
      <w:r w:rsidRPr="00A259BD">
        <w:rPr>
          <w:rFonts w:ascii="Times New Roman" w:hAnsi="Times New Roman"/>
          <w:color w:val="000000" w:themeColor="text1"/>
          <w:sz w:val="16"/>
          <w:szCs w:val="16"/>
        </w:rPr>
        <w:t>).</w:t>
      </w:r>
    </w:p>
    <w:p w14:paraId="3EAD2693" w14:textId="77777777" w:rsidR="00E24E3D" w:rsidRPr="00A259BD" w:rsidRDefault="00E24E3D"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Bullet</w:t>
      </w:r>
      <w:proofErr w:type="spellEnd"/>
      <w:r w:rsidRPr="00A259BD">
        <w:rPr>
          <w:rFonts w:ascii="Times New Roman" w:hAnsi="Times New Roman"/>
          <w:color w:val="000000" w:themeColor="text1"/>
          <w:sz w:val="16"/>
          <w:szCs w:val="16"/>
        </w:rPr>
        <w:t xml:space="preserve"> представлял собой 4-хместный низкоплан с убираемым шасси. Версия C-7 </w:t>
      </w:r>
      <w:proofErr w:type="spellStart"/>
      <w:r w:rsidRPr="00A259BD">
        <w:rPr>
          <w:rFonts w:ascii="Times New Roman" w:hAnsi="Times New Roman"/>
          <w:color w:val="000000" w:themeColor="text1"/>
          <w:sz w:val="16"/>
          <w:szCs w:val="16"/>
        </w:rPr>
        <w:t>Bullet</w:t>
      </w:r>
      <w:proofErr w:type="spellEnd"/>
      <w:r w:rsidRPr="00A259BD">
        <w:rPr>
          <w:rFonts w:ascii="Times New Roman" w:hAnsi="Times New Roman"/>
          <w:color w:val="000000" w:themeColor="text1"/>
          <w:sz w:val="16"/>
          <w:szCs w:val="16"/>
        </w:rPr>
        <w:t xml:space="preserve"> оснащалась двигателем </w:t>
      </w:r>
      <w:proofErr w:type="spellStart"/>
      <w:r w:rsidRPr="00A259BD">
        <w:rPr>
          <w:rFonts w:ascii="Times New Roman" w:hAnsi="Times New Roman"/>
          <w:color w:val="000000" w:themeColor="text1"/>
          <w:sz w:val="16"/>
          <w:szCs w:val="16"/>
        </w:rPr>
        <w:t>Wright</w:t>
      </w:r>
      <w:proofErr w:type="spellEnd"/>
      <w:r w:rsidRPr="00A259BD">
        <w:rPr>
          <w:rFonts w:ascii="Times New Roman" w:hAnsi="Times New Roman"/>
          <w:color w:val="000000" w:themeColor="text1"/>
          <w:sz w:val="16"/>
          <w:szCs w:val="16"/>
        </w:rPr>
        <w:t xml:space="preserve"> J-6 </w:t>
      </w:r>
      <w:proofErr w:type="spellStart"/>
      <w:r w:rsidRPr="00A259BD">
        <w:rPr>
          <w:rFonts w:ascii="Times New Roman" w:hAnsi="Times New Roman"/>
          <w:color w:val="000000" w:themeColor="text1"/>
          <w:sz w:val="16"/>
          <w:szCs w:val="16"/>
        </w:rPr>
        <w:t>Whirlwind</w:t>
      </w:r>
      <w:proofErr w:type="spellEnd"/>
      <w:r w:rsidRPr="00A259BD">
        <w:rPr>
          <w:rFonts w:ascii="Times New Roman" w:hAnsi="Times New Roman"/>
          <w:color w:val="000000" w:themeColor="text1"/>
          <w:sz w:val="16"/>
          <w:szCs w:val="16"/>
        </w:rPr>
        <w:t xml:space="preserve"> (165 л.с.) Крейсерская скорость — 196 км/ч, дальность полёта — 900 км.</w:t>
      </w:r>
    </w:p>
    <w:p w14:paraId="13ADBA42" w14:textId="77777777" w:rsidR="00E24E3D" w:rsidRPr="00A259BD" w:rsidRDefault="00E24E3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Несмотря на 2 аварии во время испытаний, самолёт показал хорошие лётные характеристики. Компания Alexander Aircraft получила много предзаказов на </w:t>
      </w:r>
      <w:proofErr w:type="spellStart"/>
      <w:r w:rsidRPr="00A259BD">
        <w:rPr>
          <w:rFonts w:ascii="Times New Roman" w:hAnsi="Times New Roman"/>
          <w:color w:val="000000" w:themeColor="text1"/>
          <w:sz w:val="16"/>
          <w:szCs w:val="16"/>
        </w:rPr>
        <w:t>Bullet</w:t>
      </w:r>
      <w:proofErr w:type="spellEnd"/>
      <w:r w:rsidRPr="00A259BD">
        <w:rPr>
          <w:rFonts w:ascii="Times New Roman" w:hAnsi="Times New Roman"/>
          <w:color w:val="000000" w:themeColor="text1"/>
          <w:sz w:val="16"/>
          <w:szCs w:val="16"/>
        </w:rPr>
        <w:t xml:space="preserve">. Но Великая депрессия внесла свои коррективы — </w:t>
      </w:r>
      <w:proofErr w:type="spellStart"/>
      <w:r w:rsidRPr="00A259BD">
        <w:rPr>
          <w:rFonts w:ascii="Times New Roman" w:hAnsi="Times New Roman"/>
          <w:color w:val="000000" w:themeColor="text1"/>
          <w:sz w:val="16"/>
          <w:szCs w:val="16"/>
        </w:rPr>
        <w:t>бóльшая</w:t>
      </w:r>
      <w:proofErr w:type="spellEnd"/>
      <w:r w:rsidRPr="00A259BD">
        <w:rPr>
          <w:rFonts w:ascii="Times New Roman" w:hAnsi="Times New Roman"/>
          <w:color w:val="000000" w:themeColor="text1"/>
          <w:sz w:val="16"/>
          <w:szCs w:val="16"/>
        </w:rPr>
        <w:t xml:space="preserve"> часть заказов была отменена. Построили всего 11 самолётов Alexander </w:t>
      </w:r>
      <w:proofErr w:type="spellStart"/>
      <w:r w:rsidRPr="00A259BD">
        <w:rPr>
          <w:rFonts w:ascii="Times New Roman" w:hAnsi="Times New Roman"/>
          <w:color w:val="000000" w:themeColor="text1"/>
          <w:sz w:val="16"/>
          <w:szCs w:val="16"/>
        </w:rPr>
        <w:t>Bullet</w:t>
      </w:r>
      <w:proofErr w:type="spellEnd"/>
      <w:r w:rsidRPr="00A259BD">
        <w:rPr>
          <w:rFonts w:ascii="Times New Roman" w:hAnsi="Times New Roman"/>
          <w:color w:val="000000" w:themeColor="text1"/>
          <w:sz w:val="16"/>
          <w:szCs w:val="16"/>
        </w:rPr>
        <w:t xml:space="preserve"> разных модификаций (основное отличие — используемый двигатель) (22300).</w:t>
      </w:r>
    </w:p>
    <w:p w14:paraId="0ACF3C30" w14:textId="77777777" w:rsidR="00E24E3D" w:rsidRPr="00A259BD" w:rsidRDefault="00E24E3D" w:rsidP="009236E3">
      <w:pPr>
        <w:pStyle w:val="style3"/>
        <w:spacing w:before="0" w:beforeAutospacing="0" w:after="0" w:afterAutospacing="0"/>
        <w:jc w:val="both"/>
        <w:rPr>
          <w:color w:val="000000" w:themeColor="text1"/>
          <w:sz w:val="16"/>
          <w:szCs w:val="16"/>
        </w:rPr>
      </w:pPr>
    </w:p>
    <w:p w14:paraId="5D19CF6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23646A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7427E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января 1929 года находившийся в Германии в длительной командировке комкор И. П. Уборевич докладывал наркому обороны Ворошилову:</w:t>
      </w:r>
    </w:p>
    <w:p w14:paraId="0CED16E0"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 меня имеется целый ряд фактов — заявлений отдельных офицеров, что немецкие офицеры имели длительный доступ в Америке для изучения постановки химического дела в </w:t>
      </w:r>
      <w:proofErr w:type="spellStart"/>
      <w:r w:rsidRPr="00A259BD">
        <w:rPr>
          <w:rFonts w:ascii="Times New Roman" w:hAnsi="Times New Roman"/>
          <w:color w:val="000000" w:themeColor="text1"/>
          <w:sz w:val="16"/>
          <w:szCs w:val="16"/>
        </w:rPr>
        <w:t>Эдживском</w:t>
      </w:r>
      <w:proofErr w:type="spellEnd"/>
      <w:r w:rsidRPr="00A259BD">
        <w:rPr>
          <w:rFonts w:ascii="Times New Roman" w:hAnsi="Times New Roman"/>
          <w:color w:val="000000" w:themeColor="text1"/>
          <w:sz w:val="16"/>
          <w:szCs w:val="16"/>
        </w:rPr>
        <w:t xml:space="preserve"> арсенале (1927 г.), для изучения самых последних образцов танков осенью 1928 г. [37] и для изучения всех военных учреждений во время командировки осенью 1927 г. в Америку генерала </w:t>
      </w:r>
      <w:proofErr w:type="spellStart"/>
      <w:r w:rsidRPr="00A259BD">
        <w:rPr>
          <w:rFonts w:ascii="Times New Roman" w:hAnsi="Times New Roman"/>
          <w:color w:val="000000" w:themeColor="text1"/>
          <w:sz w:val="16"/>
          <w:szCs w:val="16"/>
        </w:rPr>
        <w:t>Хайе</w:t>
      </w:r>
      <w:proofErr w:type="spellEnd"/>
      <w:r w:rsidRPr="00A259BD">
        <w:rPr>
          <w:rFonts w:ascii="Times New Roman" w:hAnsi="Times New Roman"/>
          <w:color w:val="000000" w:themeColor="text1"/>
          <w:sz w:val="16"/>
          <w:szCs w:val="16"/>
        </w:rPr>
        <w:t>.</w:t>
      </w:r>
    </w:p>
    <w:p w14:paraId="7E9337E8"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Таким образом, нужно фиксировать, что достижения американской военной техники в широких размерах доступны рейхсверу.</w:t>
      </w:r>
    </w:p>
    <w:p w14:paraId="70D4C9BF"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Следующим источником нужно считать Англию, куда немецкие офицеры имеют доступ и к танковым манёврам, и к авиационным. Неплохое отношение по вопросам технического изучения военного дела у немцев и с Чехословакией” (11208).</w:t>
      </w:r>
    </w:p>
    <w:p w14:paraId="2E4C98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701C54" w14:textId="77777777" w:rsidR="004D16E2"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6FBA4AC" w14:textId="77777777" w:rsidR="004D16E2" w:rsidRPr="00A259BD" w:rsidRDefault="004D16E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EE93261" w14:textId="77777777" w:rsidR="004D16E2" w:rsidRPr="00A259BD" w:rsidRDefault="004D16E2"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13 января</w:t>
      </w:r>
      <w:r w:rsidRPr="00A259BD">
        <w:rPr>
          <w:rFonts w:ascii="Times New Roman" w:hAnsi="Times New Roman"/>
          <w:color w:val="000000" w:themeColor="text1"/>
          <w:sz w:val="16"/>
          <w:szCs w:val="16"/>
        </w:rPr>
        <w:t xml:space="preserve"> в 1929 году в печати опубликовано сообщение о том, что ЦК ВКП(б) «признал целесообразным организовать выступления у микрофона Центрального радиовещания руководящих работников партии и правительства». Институту Ленина (ныне Институт марксизма-ленинизма при ЦК КПСС) было рекомендовано использовать радио для популяризации ленинизма. Московскому радио предложено регулярно давать информацию по вопросам партийной жизни и обзоры центральных газет («Правда», 1929, 13 января) (15008).</w:t>
      </w:r>
    </w:p>
    <w:p w14:paraId="733E692F" w14:textId="77777777" w:rsidR="004D16E2" w:rsidRPr="00A259BD" w:rsidRDefault="004D16E2" w:rsidP="009236E3">
      <w:pPr>
        <w:spacing w:after="0" w:line="240" w:lineRule="auto"/>
        <w:jc w:val="both"/>
        <w:rPr>
          <w:rFonts w:ascii="Times New Roman" w:hAnsi="Times New Roman"/>
          <w:color w:val="000000" w:themeColor="text1"/>
          <w:sz w:val="16"/>
          <w:szCs w:val="16"/>
        </w:rPr>
      </w:pPr>
    </w:p>
    <w:p w14:paraId="3C5627E3"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044F40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0526BBE" w14:textId="77777777" w:rsidR="00B31C35" w:rsidRPr="00A259BD" w:rsidRDefault="00B31C35"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14 января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РЗ СТО СССР о мероприятиях по развитию авиапромышленности (РГАЭ. Ф. 2097. Оп. 1. Д. 986. Л. 30?24) (12415).</w:t>
      </w:r>
    </w:p>
    <w:p w14:paraId="74FBF82A" w14:textId="77777777" w:rsidR="00B31C35" w:rsidRPr="00A259BD" w:rsidRDefault="00B31C35" w:rsidP="009236E3">
      <w:pPr>
        <w:spacing w:after="0" w:line="240" w:lineRule="auto"/>
        <w:jc w:val="both"/>
        <w:rPr>
          <w:rFonts w:ascii="Times New Roman" w:hAnsi="Times New Roman"/>
          <w:color w:val="000000" w:themeColor="text1"/>
          <w:sz w:val="16"/>
          <w:szCs w:val="16"/>
          <w:u w:color="002060"/>
        </w:rPr>
      </w:pPr>
    </w:p>
    <w:p w14:paraId="016C60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января 1929 Дир. завода 25 Горшков и Пом. </w:t>
      </w:r>
      <w:proofErr w:type="spellStart"/>
      <w:r w:rsidRPr="00A259BD">
        <w:rPr>
          <w:rFonts w:ascii="Times New Roman" w:hAnsi="Times New Roman"/>
          <w:color w:val="000000" w:themeColor="text1"/>
          <w:sz w:val="16"/>
          <w:szCs w:val="16"/>
        </w:rPr>
        <w:t>дир</w:t>
      </w:r>
      <w:proofErr w:type="spellEnd"/>
      <w:r w:rsidRPr="00A259BD">
        <w:rPr>
          <w:rFonts w:ascii="Times New Roman" w:hAnsi="Times New Roman"/>
          <w:color w:val="000000" w:themeColor="text1"/>
          <w:sz w:val="16"/>
          <w:szCs w:val="16"/>
        </w:rPr>
        <w:t xml:space="preserve">.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Н.Н.П. писали письмо N 346ск в Отдел самолетостроения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НТК УВВС и Инспекции ГВФ:</w:t>
      </w:r>
    </w:p>
    <w:p w14:paraId="35C06A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сем препровождаются материалы по предварительной наметке почтового самолета Р-5 М-17." Предполагался перенос баков и использование высвобожденного места под кабину (2341,13).</w:t>
      </w:r>
    </w:p>
    <w:p w14:paraId="31D487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Б Ъ Я С Н И Т Е Л Ь Н А Я З А П И С К А К ПРЕДВАРИТЕЛЬНОЙ НАМЕТКЕ ПОЧТОВОГО САМОЛЕТА Р 5- М 17.</w:t>
      </w:r>
    </w:p>
    <w:p w14:paraId="41709B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Прилагаемые при сем чертежи, краткое описание, сводка аэродинамических данных самолета и </w:t>
      </w:r>
      <w:proofErr w:type="spellStart"/>
      <w:r w:rsidRPr="00A259BD">
        <w:rPr>
          <w:rFonts w:ascii="Times New Roman" w:hAnsi="Times New Roman"/>
          <w:color w:val="000000" w:themeColor="text1"/>
          <w:sz w:val="16"/>
          <w:szCs w:val="16"/>
        </w:rPr>
        <w:t>произведеввые</w:t>
      </w:r>
      <w:proofErr w:type="spellEnd"/>
      <w:r w:rsidRPr="00A259BD">
        <w:rPr>
          <w:rFonts w:ascii="Times New Roman" w:hAnsi="Times New Roman"/>
          <w:color w:val="000000" w:themeColor="text1"/>
          <w:sz w:val="16"/>
          <w:szCs w:val="16"/>
        </w:rPr>
        <w:t xml:space="preserve"> расчеты центровки, выявляют следующее:</w:t>
      </w:r>
    </w:p>
    <w:p w14:paraId="18091F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Самолет является переделкой разведчика-бомбар</w:t>
      </w:r>
      <w:r w:rsidRPr="00A259BD">
        <w:rPr>
          <w:rFonts w:ascii="Times New Roman" w:hAnsi="Times New Roman"/>
          <w:color w:val="000000" w:themeColor="text1"/>
          <w:sz w:val="16"/>
          <w:szCs w:val="16"/>
        </w:rPr>
        <w:softHyphen/>
        <w:t>дировщика Р5 -М17: находящиеся в его фюзеляже позади мотора, баки для горючего переносятся в верхние “крылья и центроплан, а вместо них помещается почта, весом в 400 кг, или два пасса</w:t>
      </w:r>
      <w:r w:rsidRPr="00A259BD">
        <w:rPr>
          <w:rFonts w:ascii="Times New Roman" w:hAnsi="Times New Roman"/>
          <w:color w:val="000000" w:themeColor="text1"/>
          <w:sz w:val="16"/>
          <w:szCs w:val="16"/>
        </w:rPr>
        <w:softHyphen/>
        <w:t>жира и почта, всего не менее 220 кг.</w:t>
      </w:r>
    </w:p>
    <w:p w14:paraId="311550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Самолет удовлетворяет всем техническим требованиям, указанным в служебной записке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 169/471 с/скорость до 200 км/ч, нагрузка по техническим условиям гражданской авиа</w:t>
      </w:r>
      <w:r w:rsidRPr="00A259BD">
        <w:rPr>
          <w:rFonts w:ascii="Times New Roman" w:hAnsi="Times New Roman"/>
          <w:color w:val="000000" w:themeColor="text1"/>
          <w:sz w:val="16"/>
          <w:szCs w:val="16"/>
        </w:rPr>
        <w:softHyphen/>
        <w:t>ции, кабина для почты 1300х 800 х 1000 мм.</w:t>
      </w:r>
    </w:p>
    <w:p w14:paraId="19AB75C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касается требований гражданской авиации и добав</w:t>
      </w:r>
      <w:r w:rsidRPr="00A259BD">
        <w:rPr>
          <w:rFonts w:ascii="Times New Roman" w:hAnsi="Times New Roman"/>
          <w:color w:val="000000" w:themeColor="text1"/>
          <w:sz w:val="16"/>
          <w:szCs w:val="16"/>
        </w:rPr>
        <w:softHyphen/>
        <w:t>лений к ним НТК УВВС, то таковые в общем выполняются все, за...(2341,13).</w:t>
      </w:r>
    </w:p>
    <w:p w14:paraId="61D33D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DF8D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января 1929 2 секция НТК УВВС (служебная записка НТК N 152) утвердила турели для пулеметов ТУР-5 и ТУР-6 (2371).</w:t>
      </w:r>
    </w:p>
    <w:p w14:paraId="3E41FF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F63D8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5A28A4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79FAE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14-17 января 1929 Аманулла в Афганистане был свергнут и эмиром стал </w:t>
      </w:r>
      <w:proofErr w:type="spellStart"/>
      <w:r w:rsidRPr="00A259BD">
        <w:rPr>
          <w:rFonts w:ascii="Times New Roman" w:hAnsi="Times New Roman"/>
          <w:color w:val="000000" w:themeColor="text1"/>
          <w:sz w:val="16"/>
          <w:szCs w:val="16"/>
        </w:rPr>
        <w:t>Бачаи</w:t>
      </w:r>
      <w:proofErr w:type="spellEnd"/>
      <w:r w:rsidRPr="00A259BD">
        <w:rPr>
          <w:rFonts w:ascii="Times New Roman" w:hAnsi="Times New Roman"/>
          <w:color w:val="000000" w:themeColor="text1"/>
          <w:sz w:val="16"/>
          <w:szCs w:val="16"/>
        </w:rPr>
        <w:t>-хан (2443,405).</w:t>
      </w:r>
    </w:p>
    <w:p w14:paraId="440081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73EAE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4087C7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9C7A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января 1929 Р-5 отправили на завод для замены двигателя (третьего по счету) (10667,128).</w:t>
      </w:r>
    </w:p>
    <w:p w14:paraId="2217A8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0ADF8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января 1929 г. первый Р-5 опять вернули заводу для доработок. После их окончания новый заводской летчик Б.Л. Бухгольц совершил на Р-5 несколько полетов. В рапорте он написал: "Самолет приятен в пилотировании и благодаря своей устойчивости не утомителен для пилота". Маневренность Бухгольц оценил как "весьма удовлетворительную". Для улучшения путевой устойчивости решили нарастить вертикальное оперение и одновременно увеличить площадь рулей. Роговую компенсацию руля направления уменьшили по площади на 40%, а киль, наоборот, увеличили на 20%. При этом передняя кромка киля стала прямой, а не вогнутой. Ввели роговую компенсацию руля высоты, что уменьшило размеры стабилизатора. Вооружения на машине </w:t>
      </w:r>
      <w:proofErr w:type="spellStart"/>
      <w:r w:rsidRPr="00A259BD">
        <w:rPr>
          <w:rFonts w:ascii="Times New Roman" w:hAnsi="Times New Roman"/>
          <w:color w:val="000000" w:themeColor="text1"/>
          <w:sz w:val="16"/>
          <w:szCs w:val="16"/>
        </w:rPr>
        <w:t>по-прежне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му</w:t>
      </w:r>
      <w:proofErr w:type="spellEnd"/>
      <w:r w:rsidRPr="00A259BD">
        <w:rPr>
          <w:rFonts w:ascii="Times New Roman" w:hAnsi="Times New Roman"/>
          <w:color w:val="000000" w:themeColor="text1"/>
          <w:sz w:val="16"/>
          <w:szCs w:val="16"/>
        </w:rPr>
        <w:t xml:space="preserve"> не было, за исключением турели Тур-6бис под два пулемета "Льюис" обр. 1924 г. Доработки сделали самолет примерно на 30 кг тяжелее (11936).</w:t>
      </w:r>
    </w:p>
    <w:p w14:paraId="2D24B9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E299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января 1929 Р-5 вернули с госиспытаний заводу № 25 для доработки. Испытатели проводили его официальным письмом, в котором, в частности, говорилось: "...НИИ считает, что самолет недоработан заводом и вопрос о заказе серии преждевременный". После недолгого ремонта новый заводской летчик Б.Л. Бухгольц совершил на Р-5 несколько полетов, знакомясь с машиной, а затем по заданию конструкторов взлетал и садился при различной центровке. В своем рапорте он написал: "Самолет приятен в пилотировании и благодаря своей устойчивости не утомителен для пилота". Маневренность Бухгольц оценил как "весьма удовлетворительную".</w:t>
      </w:r>
    </w:p>
    <w:p w14:paraId="34296D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улучшения путевой устойчивости решили нарастить вертикальное оперение и одновременно увеличить площадь рулей и диапазон углов отклонения руля высоты, а также диапазон углов установки стабилизатора, который можно было немного поворачивать в полете.</w:t>
      </w:r>
    </w:p>
    <w:p w14:paraId="3448B3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ходе доработки роговой компенсатор руля направления уменьшили но площади на 40%, а киль, наоборот, увеличили на 20%. При этом передняя кромка киля стала прямой вместо вогнутой. Ввели роговые компенсаторы на рулях высоты, что уменьшило размеры стабилизатора. Значительно увеличили углы отклонения рулей высоты. Вооружения на машине по-прежнему не было, за исключением турели Тур-6бис под два пулемета "Льюис" обр. 1924 г. Фотоустановку смонтировали, но почему-то забыли вставить линзы в объектив аппарата. Доработки сделали самолет немного (примерно на 30 кг) тяжелее (12034).</w:t>
      </w:r>
    </w:p>
    <w:p w14:paraId="642D89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004A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января 1929 состоялось техническое совещание руководителей групп отдела АГОС ЦАГИ, которое в т.ч. назначило водителем аэросаней для февральского пробега В.М.П. (1077,54). Также обсуждали проектирование АНТ-6 (ТБ-3) и В.М.П. поручили крылья (1077,119). По АНТ-7 В.М.П. сообщил, что чертежи АНТ-7 все готовы (1077,151). По АНТ-10 В.М.П. сказал, что готовы чертежи крыла (1077,160).</w:t>
      </w:r>
    </w:p>
    <w:p w14:paraId="202636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1350B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10D530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73805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января 1929 года СТО вынес постановление о строительстве Кузнецкого комбината, мощность которого была уже определена в 820 тыс. тонн чугуна в год. Надо сказать, это было не последнее “уточнение” - в 1930 году базовая мощность комбината была поднята до 1,2 млн. тонн чугуна. В апреле 1929 года в Москве состоялась XVI партийная конференция, которая утвердила первый пятилетний план. Согласно этому плану, в стране предполагалось увеличить производство чугуна почти в 3 раза – до 10 млн. тонн, а всего было одобрено строительство порядка 20 крупных предприятий черной металлургии (Магнитка, КМК, Криворожсталь, Днепровский комбинат и ряд других). Громады планов превратились в скором времени в настоящее мифотворчество: в 1930 году председатель Госплана Г.М. Кржижановский одобрил увеличение производства до 15-17 млн. тонн чугуна. В принципе, из затеи с Урало-Кузбассом в том виде, в каком он был разработан советскими планировщиками ничего хорошего выйти не могло. Ведущий проектный институт страны – Гипромез начал с конца 1926 года (тогда был создан сибирский филиал института) разработку проекта будущего КМК. Однако максимум что он сумел сделать – это определить площадку, а также свести уточненные данные о запасах угля (по оценке профессоров Усова, Бокия и Рубина угольные запасы Кузбасса составляли 400-450 миллиардов тонн) в ТЭО. Опыта в строительстве и детальном </w:t>
      </w:r>
      <w:r w:rsidRPr="00A259BD">
        <w:rPr>
          <w:rFonts w:ascii="Times New Roman" w:hAnsi="Times New Roman"/>
          <w:color w:val="000000" w:themeColor="text1"/>
          <w:sz w:val="16"/>
          <w:szCs w:val="16"/>
        </w:rPr>
        <w:lastRenderedPageBreak/>
        <w:t>проектировании таких предприятий у советских специалистов практически не было, поэтому было принято единственное возможное решение: привлечь к сотрудничеству зарубежные компании (11539).</w:t>
      </w:r>
    </w:p>
    <w:p w14:paraId="3B2E0E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EDC2AB" w14:textId="77777777" w:rsidR="00B31C3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6C521959" w14:textId="77777777" w:rsidR="00B31C35" w:rsidRPr="00A259BD" w:rsidRDefault="00B31C3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A355A8"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 xml:space="preserve">15 января </w:t>
      </w:r>
      <w:r w:rsidRPr="00A259BD">
        <w:rPr>
          <w:color w:val="000000" w:themeColor="text1"/>
          <w:sz w:val="16"/>
          <w:szCs w:val="16"/>
        </w:rPr>
        <w:t>1929 г</w:t>
      </w:r>
      <w:r w:rsidRPr="00A259BD">
        <w:rPr>
          <w:rStyle w:val="af0"/>
          <w:i w:val="0"/>
          <w:color w:val="000000" w:themeColor="text1"/>
          <w:sz w:val="16"/>
          <w:szCs w:val="16"/>
        </w:rPr>
        <w:t>.</w:t>
      </w:r>
      <w:r w:rsidRPr="00A259BD">
        <w:rPr>
          <w:color w:val="000000" w:themeColor="text1"/>
          <w:sz w:val="16"/>
          <w:szCs w:val="16"/>
        </w:rPr>
        <w:t xml:space="preserve"> Постановление № 3 РВС СССР по докладу начальника Управления военно-учебных заведений о высших военно-учебных заведениях. (РГВА. Ф. 4. Оп. 18. Д. 15. Л. 11</w:t>
      </w:r>
      <w:r w:rsidRPr="00A259BD">
        <w:rPr>
          <w:color w:val="000000" w:themeColor="text1"/>
          <w:sz w:val="16"/>
          <w:szCs w:val="16"/>
        </w:rPr>
        <w:noBreakHyphen/>
        <w:t>12, 17) (12342).</w:t>
      </w:r>
    </w:p>
    <w:p w14:paraId="2919DE48" w14:textId="77777777" w:rsidR="00B31C35" w:rsidRPr="00A259BD" w:rsidRDefault="00B31C35" w:rsidP="009236E3">
      <w:pPr>
        <w:pStyle w:val="rtejustify"/>
        <w:spacing w:before="0" w:after="0"/>
        <w:rPr>
          <w:color w:val="000000" w:themeColor="text1"/>
          <w:sz w:val="16"/>
          <w:szCs w:val="16"/>
        </w:rPr>
      </w:pPr>
    </w:p>
    <w:p w14:paraId="6071383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72874BF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79E100" w14:textId="77777777" w:rsidR="00C57780" w:rsidRPr="00A259BD" w:rsidRDefault="00C5778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января 1929 г. Секция Моссовета, ведавшая коммунальным хозяйством поручила тресту МГЖД «разработать вопрос о городском транспорте с собственным железнодорожным полотном (метрополитен)»{252}.Проектировочные работы, таким образом, могли быть временно продолжены (18299).</w:t>
      </w:r>
    </w:p>
    <w:p w14:paraId="1DB9A587" w14:textId="77777777" w:rsidR="00C57780" w:rsidRPr="00A259BD" w:rsidRDefault="00C57780" w:rsidP="009236E3">
      <w:pPr>
        <w:spacing w:after="0" w:line="240" w:lineRule="auto"/>
        <w:jc w:val="both"/>
        <w:rPr>
          <w:rFonts w:ascii="Times New Roman" w:hAnsi="Times New Roman"/>
          <w:color w:val="000000" w:themeColor="text1"/>
          <w:sz w:val="16"/>
          <w:szCs w:val="16"/>
        </w:rPr>
      </w:pPr>
    </w:p>
    <w:p w14:paraId="760FEE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января 1929 года во исполнение решения Политбюро в Ленинграде были установлены двойные цены на хлеб. Ржаной стал стоить 9—12 копеек для ленинградцев и 26 копеек для приезжих, ситный хлеб, соответственно, 18—22 и 35—40 копеек По кооперативной книжке выдавалось не более 1,2 килограмма на едока. Без книжки по повышенной цене продавалось в одни руки 2 килограмма ситного и 0,5 ржаного хлеба. Фактически Ленинградский совет уже ввел хлебные карточки в ноябре 1928 года. Постановление скорее регламентировало, чем вводило карточное снабжение. Постановление Московского совета о введении карточек на хлеб появилось в феврале 1929 года (РГАЭ. Ф. 5240. Оп. 18. Д. 74. Л. НО) (11578).</w:t>
      </w:r>
    </w:p>
    <w:p w14:paraId="5C3AC9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478D9E" w14:textId="77777777" w:rsidR="00B31C3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210B96C" w14:textId="77777777" w:rsidR="00B31C35" w:rsidRPr="00A259BD" w:rsidRDefault="00B31C3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6A6219A" w14:textId="77777777" w:rsidR="00B31C35" w:rsidRPr="00A259BD" w:rsidRDefault="00B31C3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января 1929 г. предводитель мятежников Хабибулла объявил себя эмиром. Ему достался весь парк афганской авиации. Теперь самолеты стали бомбить и обстреливать сторонников свергнутого Амануллы. В борьбе победил третий претендент, Надир-шах, захвативший Кабул в октябре 1929 г. Ему уже достались остатки - всего несколько способных подняться в воздух машин. Возможно, что последние Р-1 прожили в Афганистане еще год-два (11923).</w:t>
      </w:r>
    </w:p>
    <w:p w14:paraId="4E63E1B8" w14:textId="77777777" w:rsidR="00B31C35" w:rsidRPr="00A259BD" w:rsidRDefault="00B31C35" w:rsidP="009236E3">
      <w:pPr>
        <w:autoSpaceDE w:val="0"/>
        <w:autoSpaceDN w:val="0"/>
        <w:adjustRightInd w:val="0"/>
        <w:spacing w:after="0" w:line="240" w:lineRule="auto"/>
        <w:jc w:val="both"/>
        <w:rPr>
          <w:rFonts w:ascii="Times New Roman" w:hAnsi="Times New Roman"/>
          <w:color w:val="000000" w:themeColor="text1"/>
          <w:sz w:val="16"/>
          <w:szCs w:val="16"/>
        </w:rPr>
      </w:pPr>
    </w:p>
    <w:p w14:paraId="1BFAB40D" w14:textId="77777777" w:rsidR="00172C92" w:rsidRPr="00A259BD" w:rsidRDefault="00172C92"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BDA077F" w14:textId="77777777" w:rsidR="00172C92" w:rsidRPr="00A259BD" w:rsidRDefault="00172C9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26F0FE"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 xml:space="preserve">16 января </w:t>
      </w:r>
      <w:r w:rsidRPr="00A259BD">
        <w:rPr>
          <w:color w:val="000000" w:themeColor="text1"/>
          <w:sz w:val="16"/>
          <w:szCs w:val="16"/>
        </w:rPr>
        <w:t>1929 г</w:t>
      </w:r>
      <w:r w:rsidRPr="00A259BD">
        <w:rPr>
          <w:rStyle w:val="af0"/>
          <w:i w:val="0"/>
          <w:color w:val="000000" w:themeColor="text1"/>
          <w:sz w:val="16"/>
          <w:szCs w:val="16"/>
        </w:rPr>
        <w:t>. Протокол Реввоенсовета № 5.</w:t>
      </w:r>
      <w:r w:rsidRPr="00A259BD">
        <w:rPr>
          <w:color w:val="000000" w:themeColor="text1"/>
          <w:sz w:val="16"/>
          <w:szCs w:val="16"/>
        </w:rPr>
        <w:t xml:space="preserve"> 1. О работе </w:t>
      </w:r>
      <w:proofErr w:type="spellStart"/>
      <w:r w:rsidRPr="00A259BD">
        <w:rPr>
          <w:color w:val="000000" w:themeColor="text1"/>
          <w:sz w:val="16"/>
          <w:szCs w:val="16"/>
        </w:rPr>
        <w:t>Авиатреста</w:t>
      </w:r>
      <w:proofErr w:type="spellEnd"/>
      <w:r w:rsidRPr="00A259BD">
        <w:rPr>
          <w:color w:val="000000" w:themeColor="text1"/>
          <w:sz w:val="16"/>
          <w:szCs w:val="16"/>
        </w:rPr>
        <w:t xml:space="preserve"> за 1927/28 г. (Меженинов, Королев, Малахов, Десятников, </w:t>
      </w:r>
      <w:proofErr w:type="spellStart"/>
      <w:r w:rsidRPr="00A259BD">
        <w:rPr>
          <w:color w:val="000000" w:themeColor="text1"/>
          <w:sz w:val="16"/>
          <w:szCs w:val="16"/>
        </w:rPr>
        <w:t>Будневич</w:t>
      </w:r>
      <w:proofErr w:type="spellEnd"/>
      <w:r w:rsidRPr="00A259BD">
        <w:rPr>
          <w:color w:val="000000" w:themeColor="text1"/>
          <w:sz w:val="16"/>
          <w:szCs w:val="16"/>
        </w:rPr>
        <w:t xml:space="preserve">, Михайлов, </w:t>
      </w:r>
      <w:proofErr w:type="spellStart"/>
      <w:r w:rsidRPr="00A259BD">
        <w:rPr>
          <w:color w:val="000000" w:themeColor="text1"/>
          <w:sz w:val="16"/>
          <w:szCs w:val="16"/>
        </w:rPr>
        <w:t>Уншлихт</w:t>
      </w:r>
      <w:proofErr w:type="spellEnd"/>
      <w:r w:rsidRPr="00A259BD">
        <w:rPr>
          <w:color w:val="000000" w:themeColor="text1"/>
          <w:sz w:val="16"/>
          <w:szCs w:val="16"/>
        </w:rPr>
        <w:t xml:space="preserve">, Шапошников, Ольский, Постников, Каменев, Ворошилов, Бубнов, </w:t>
      </w:r>
      <w:proofErr w:type="spellStart"/>
      <w:r w:rsidRPr="00A259BD">
        <w:rPr>
          <w:color w:val="000000" w:themeColor="text1"/>
          <w:sz w:val="16"/>
          <w:szCs w:val="16"/>
        </w:rPr>
        <w:t>Толоконцев</w:t>
      </w:r>
      <w:proofErr w:type="spellEnd"/>
      <w:r w:rsidRPr="00A259BD">
        <w:rPr>
          <w:color w:val="000000" w:themeColor="text1"/>
          <w:sz w:val="16"/>
          <w:szCs w:val="16"/>
        </w:rPr>
        <w:t>). (РГВА. Ф. 4. Оп. 18. Д. 15. Л. 26, 29</w:t>
      </w:r>
      <w:r w:rsidRPr="00A259BD">
        <w:rPr>
          <w:color w:val="000000" w:themeColor="text1"/>
          <w:sz w:val="16"/>
          <w:szCs w:val="16"/>
        </w:rPr>
        <w:noBreakHyphen/>
        <w:t>30) (12342).</w:t>
      </w:r>
    </w:p>
    <w:p w14:paraId="46F81026" w14:textId="77777777" w:rsidR="00B31C35" w:rsidRPr="00A259BD" w:rsidRDefault="00B31C35" w:rsidP="009236E3">
      <w:pPr>
        <w:pStyle w:val="rtejustify"/>
        <w:spacing w:before="0" w:after="0"/>
        <w:rPr>
          <w:color w:val="000000" w:themeColor="text1"/>
          <w:sz w:val="16"/>
          <w:szCs w:val="16"/>
        </w:rPr>
      </w:pPr>
    </w:p>
    <w:p w14:paraId="2769FA9C" w14:textId="77777777" w:rsidR="00172C92" w:rsidRPr="00A259BD" w:rsidRDefault="00172C92"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7C002D9" w14:textId="77777777" w:rsidR="00172C92" w:rsidRPr="00A259BD" w:rsidRDefault="00172C9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5904D69"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16 января 1929 г. Протокол Реввоенсовета № 5.</w:t>
      </w:r>
      <w:r w:rsidRPr="00A259BD">
        <w:rPr>
          <w:color w:val="000000" w:themeColor="text1"/>
          <w:sz w:val="16"/>
          <w:szCs w:val="16"/>
        </w:rPr>
        <w:t xml:space="preserve"> 4. Об автоматических пистолетах. (Шапошников). 6. О выполнении заказов на танки МС</w:t>
      </w:r>
      <w:r w:rsidRPr="00A259BD">
        <w:rPr>
          <w:color w:val="000000" w:themeColor="text1"/>
          <w:sz w:val="16"/>
          <w:szCs w:val="16"/>
        </w:rPr>
        <w:noBreakHyphen/>
        <w:t>1 и ручные пулеметы Дегтярева. (</w:t>
      </w:r>
      <w:proofErr w:type="spellStart"/>
      <w:r w:rsidRPr="00A259BD">
        <w:rPr>
          <w:color w:val="000000" w:themeColor="text1"/>
          <w:sz w:val="16"/>
          <w:szCs w:val="16"/>
        </w:rPr>
        <w:t>Толоконцев</w:t>
      </w:r>
      <w:proofErr w:type="spellEnd"/>
      <w:r w:rsidRPr="00A259BD">
        <w:rPr>
          <w:color w:val="000000" w:themeColor="text1"/>
          <w:sz w:val="16"/>
          <w:szCs w:val="16"/>
        </w:rPr>
        <w:t>, Постников, Бруно, Кулик). 11. О невыполненных заданиях РВС СССР. (РГВА. Ф. 4. Оп.</w:t>
      </w:r>
      <w:r w:rsidRPr="00A259BD">
        <w:rPr>
          <w:color w:val="000000" w:themeColor="text1"/>
          <w:sz w:val="16"/>
          <w:szCs w:val="16"/>
          <w:lang w:val="en-US"/>
        </w:rPr>
        <w:t> </w:t>
      </w:r>
      <w:r w:rsidRPr="00A259BD">
        <w:rPr>
          <w:color w:val="000000" w:themeColor="text1"/>
          <w:sz w:val="16"/>
          <w:szCs w:val="16"/>
        </w:rPr>
        <w:t>18. Д.</w:t>
      </w:r>
      <w:r w:rsidRPr="00A259BD">
        <w:rPr>
          <w:color w:val="000000" w:themeColor="text1"/>
          <w:sz w:val="16"/>
          <w:szCs w:val="16"/>
          <w:lang w:val="en-US"/>
        </w:rPr>
        <w:t> </w:t>
      </w:r>
      <w:r w:rsidRPr="00A259BD">
        <w:rPr>
          <w:color w:val="000000" w:themeColor="text1"/>
          <w:sz w:val="16"/>
          <w:szCs w:val="16"/>
        </w:rPr>
        <w:t>15. Л.</w:t>
      </w:r>
      <w:r w:rsidRPr="00A259BD">
        <w:rPr>
          <w:color w:val="000000" w:themeColor="text1"/>
          <w:sz w:val="16"/>
          <w:szCs w:val="16"/>
          <w:lang w:val="en-US"/>
        </w:rPr>
        <w:t> </w:t>
      </w:r>
      <w:r w:rsidRPr="00A259BD">
        <w:rPr>
          <w:color w:val="000000" w:themeColor="text1"/>
          <w:sz w:val="16"/>
          <w:szCs w:val="16"/>
        </w:rPr>
        <w:t>26, 27, 28) (12342).</w:t>
      </w:r>
    </w:p>
    <w:p w14:paraId="7BF6732F" w14:textId="77777777" w:rsidR="00B31C35" w:rsidRPr="00A259BD" w:rsidRDefault="00B31C35" w:rsidP="009236E3">
      <w:pPr>
        <w:pStyle w:val="rtejustify"/>
        <w:spacing w:before="0" w:after="0"/>
        <w:rPr>
          <w:color w:val="000000" w:themeColor="text1"/>
          <w:sz w:val="16"/>
          <w:szCs w:val="16"/>
        </w:rPr>
      </w:pPr>
    </w:p>
    <w:p w14:paraId="64A6CFF5" w14:textId="77777777" w:rsidR="00172C92" w:rsidRPr="00A259BD" w:rsidRDefault="00172C92"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 xml:space="preserve">16 января 1929 г. было письмо </w:t>
      </w:r>
      <w:hyperlink r:id="rId10" w:history="1">
        <w:r w:rsidRPr="00A259BD">
          <w:rPr>
            <w:rStyle w:val="a5"/>
            <w:rFonts w:eastAsiaTheme="majorEastAsia"/>
            <w:color w:val="000000" w:themeColor="text1"/>
            <w:sz w:val="16"/>
            <w:szCs w:val="16"/>
          </w:rPr>
          <w:t>начальника Военно-химического управления РККА Я. М. Фишмана (1887-1961)</w:t>
        </w:r>
      </w:hyperlink>
      <w:r w:rsidRPr="00A259BD">
        <w:rPr>
          <w:color w:val="000000" w:themeColor="text1"/>
          <w:sz w:val="16"/>
          <w:szCs w:val="16"/>
        </w:rPr>
        <w:t>, направленного из Германии наркому по военным и морским делам и председателю Реввоенсовета СССР К. Е. Ворошилову</w:t>
      </w:r>
    </w:p>
    <w:p w14:paraId="6E84D42D" w14:textId="77777777" w:rsidR="00172C92" w:rsidRPr="00A259BD" w:rsidRDefault="00172C92"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Совершенно секретно</w:t>
      </w:r>
    </w:p>
    <w:p w14:paraId="78CCAAF2" w14:textId="77777777" w:rsidR="00172C92" w:rsidRPr="00A259BD" w:rsidRDefault="00172C92"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 В ответ на мое требование передать нам новые ОВ я получил следующий ответ, который привожу буквально: «Мнения наших друзей (это мы), что мы в послевоенное время нашли новое вещество, неверно. Ни нашей промышленности, работающей только по мирным заданиям, ни (по нашим сведениям) какому-либо другому государству в мире не удалось до сих пор произвести пригодное для наших целей вещество. Все сведения об этом, появившиеся в прессе (пацифистской), принадлежат к «царству сказок».</w:t>
      </w:r>
    </w:p>
    <w:p w14:paraId="5EC6F5A1" w14:textId="77777777" w:rsidR="00172C92" w:rsidRPr="00A259BD" w:rsidRDefault="00172C92"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 xml:space="preserve">Этот ответ, конечно, нас удовлетворить не может. Во-первых, поиски новых ОВ производятся не «мирной» промышленностью, а химическими институтами и лабораториями, контроль которых невозможен. Во-вторых, их утверждения, что другие государства в этой области ничего не делают, неверно, так как у меня имеются материалы от IV управления (имеется в виду IV управление штаба РККА; бывший </w:t>
      </w:r>
      <w:proofErr w:type="spellStart"/>
      <w:r w:rsidRPr="00A259BD">
        <w:rPr>
          <w:color w:val="000000" w:themeColor="text1"/>
          <w:sz w:val="16"/>
          <w:szCs w:val="16"/>
        </w:rPr>
        <w:t>Разведупр</w:t>
      </w:r>
      <w:proofErr w:type="spellEnd"/>
      <w:r w:rsidRPr="00A259BD">
        <w:rPr>
          <w:color w:val="000000" w:themeColor="text1"/>
          <w:sz w:val="16"/>
          <w:szCs w:val="16"/>
        </w:rPr>
        <w:t>, занимавшийся в те годы научно-технической разведкой за рубежом. — М. С.) о громадной работе, проделанной по новым ОВ во Франции (лаборатория проф. Буше).</w:t>
      </w:r>
    </w:p>
    <w:p w14:paraId="11CA1B1A" w14:textId="77777777" w:rsidR="00172C92" w:rsidRPr="00A259BD" w:rsidRDefault="00172C92"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Там синтезировано несколько сотен новых ОВ. Мы сейчас проверяем их и не можем еще сказать, есть ли среди них хоть одно, могущее по своей боевой пригодности быть поставленным выше уже известных, но факт колоссальной ведущейся в этом направлении работы во Франции получил несомненное подтверждение. И это как раз во Франции, ратифицировавшей Женевский протокол. Сомневаюсь, что немцы ничего не знали об этой работе. Во всяком случае, мною даны инструкции командированным товарищам требовать от них показа всех работ, сделанных в этом направлении. Если они утверждают, что не добились еще успеха, пусть расскажут о своих неудачах, пусть покажут, какие новые ОВ (хотя бы малопригодные) они до сих пор синтезировали...</w:t>
      </w:r>
    </w:p>
    <w:p w14:paraId="117E605B" w14:textId="77777777" w:rsidR="00172C92" w:rsidRPr="00A259BD" w:rsidRDefault="00172C92"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Начальник Военно-химического управления Я. Фишман (ЦГАСА. Ф. 33987 Оп. 3. Д. 295. Л. 1-2. Подлинник) (20246).</w:t>
      </w:r>
    </w:p>
    <w:p w14:paraId="38434778" w14:textId="77777777" w:rsidR="00172C92" w:rsidRPr="00A259BD" w:rsidRDefault="00172C92" w:rsidP="009236E3">
      <w:pPr>
        <w:pStyle w:val="ae"/>
        <w:spacing w:before="0" w:after="0"/>
        <w:jc w:val="both"/>
        <w:rPr>
          <w:color w:val="000000" w:themeColor="text1"/>
          <w:sz w:val="16"/>
          <w:szCs w:val="16"/>
        </w:rPr>
      </w:pPr>
      <w:r w:rsidRPr="00A259BD">
        <w:rPr>
          <w:color w:val="000000" w:themeColor="text1"/>
          <w:sz w:val="16"/>
          <w:szCs w:val="16"/>
        </w:rPr>
        <w:t>В конце 1940 г. на высшем уровне британского руководства было принято решение использовать боевые ОВ в такой ситуации в качестве последнего средства «если все другие обычные способы обороны окажутся не состоятельными». Британцами планировалось с помощью авиации применить иприт по плацдармам, захваченным германскими войсками (29246).</w:t>
      </w:r>
    </w:p>
    <w:p w14:paraId="08199A38" w14:textId="77777777" w:rsidR="00172C92" w:rsidRPr="00A259BD" w:rsidRDefault="00172C92" w:rsidP="009236E3">
      <w:pPr>
        <w:pStyle w:val="ae"/>
        <w:spacing w:before="0" w:after="0"/>
        <w:jc w:val="both"/>
        <w:rPr>
          <w:color w:val="000000" w:themeColor="text1"/>
          <w:sz w:val="16"/>
          <w:szCs w:val="16"/>
        </w:rPr>
      </w:pPr>
    </w:p>
    <w:p w14:paraId="38ADBB33" w14:textId="0C39FFF3" w:rsidR="00B31C3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w:t>
      </w:r>
      <w:r w:rsidR="00172C92" w:rsidRPr="00A259BD">
        <w:rPr>
          <w:rFonts w:ascii="Times New Roman" w:hAnsi="Times New Roman"/>
          <w:i/>
          <w:iCs/>
          <w:color w:val="000000" w:themeColor="text1"/>
          <w:sz w:val="16"/>
          <w:szCs w:val="16"/>
        </w:rPr>
        <w:t xml:space="preserve"> </w:t>
      </w:r>
      <w:r w:rsidRPr="00A259BD">
        <w:rPr>
          <w:rFonts w:ascii="Times New Roman" w:hAnsi="Times New Roman"/>
          <w:i/>
          <w:iCs/>
          <w:color w:val="000000" w:themeColor="text1"/>
          <w:sz w:val="16"/>
          <w:szCs w:val="16"/>
        </w:rPr>
        <w:t>рубежом:</w:t>
      </w:r>
    </w:p>
    <w:p w14:paraId="7BF3675E" w14:textId="77777777" w:rsidR="00B31C35" w:rsidRPr="00A259BD" w:rsidRDefault="00B31C3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63EA051" w14:textId="77777777" w:rsidR="00B90D42" w:rsidRPr="00A259BD" w:rsidRDefault="00B90D42" w:rsidP="009236E3">
      <w:pPr>
        <w:spacing w:after="0" w:line="240" w:lineRule="auto"/>
        <w:jc w:val="both"/>
        <w:rPr>
          <w:rFonts w:ascii="Times New Roman" w:hAnsi="Times New Roman"/>
          <w:color w:val="000000" w:themeColor="text1"/>
          <w:sz w:val="16"/>
          <w:szCs w:val="16"/>
          <w:lang w:val="en-US"/>
        </w:rPr>
      </w:pPr>
      <w:r w:rsidRPr="00A259BD">
        <w:rPr>
          <w:rFonts w:ascii="Times New Roman" w:hAnsi="Times New Roman"/>
          <w:color w:val="000000" w:themeColor="text1"/>
          <w:sz w:val="16"/>
          <w:szCs w:val="16"/>
        </w:rPr>
        <w:t xml:space="preserve">16 января 1929 - После 10-месячного, 18000-мильного (29000-километрового) одиночного перелета с аэродрома </w:t>
      </w:r>
      <w:proofErr w:type="spellStart"/>
      <w:r w:rsidRPr="00A259BD">
        <w:rPr>
          <w:rFonts w:ascii="Times New Roman" w:hAnsi="Times New Roman"/>
          <w:color w:val="000000" w:themeColor="text1"/>
          <w:sz w:val="16"/>
          <w:szCs w:val="16"/>
        </w:rPr>
        <w:t>Кройдон</w:t>
      </w:r>
      <w:proofErr w:type="spellEnd"/>
      <w:r w:rsidRPr="00A259BD">
        <w:rPr>
          <w:rFonts w:ascii="Times New Roman" w:hAnsi="Times New Roman"/>
          <w:color w:val="000000" w:themeColor="text1"/>
          <w:sz w:val="16"/>
          <w:szCs w:val="16"/>
        </w:rPr>
        <w:t xml:space="preserve">, Лондон, Англия, в Кейптаун, Южная Африка, Мэри Бейли, вернулась на аэродром </w:t>
      </w:r>
      <w:proofErr w:type="spellStart"/>
      <w:r w:rsidRPr="00A259BD">
        <w:rPr>
          <w:rFonts w:ascii="Times New Roman" w:hAnsi="Times New Roman"/>
          <w:color w:val="000000" w:themeColor="text1"/>
          <w:sz w:val="16"/>
          <w:szCs w:val="16"/>
        </w:rPr>
        <w:t>Стэг</w:t>
      </w:r>
      <w:proofErr w:type="spellEnd"/>
      <w:r w:rsidRPr="00A259BD">
        <w:rPr>
          <w:rFonts w:ascii="Times New Roman" w:hAnsi="Times New Roman"/>
          <w:color w:val="000000" w:themeColor="text1"/>
          <w:sz w:val="16"/>
          <w:szCs w:val="16"/>
        </w:rPr>
        <w:t xml:space="preserve">-Лейн в </w:t>
      </w:r>
      <w:proofErr w:type="spellStart"/>
      <w:r w:rsidRPr="00A259BD">
        <w:rPr>
          <w:rFonts w:ascii="Times New Roman" w:hAnsi="Times New Roman"/>
          <w:color w:val="000000" w:themeColor="text1"/>
          <w:sz w:val="16"/>
          <w:szCs w:val="16"/>
        </w:rPr>
        <w:t>Эджуэре</w:t>
      </w:r>
      <w:proofErr w:type="spellEnd"/>
      <w:r w:rsidRPr="00A259BD">
        <w:rPr>
          <w:rFonts w:ascii="Times New Roman" w:hAnsi="Times New Roman"/>
          <w:color w:val="000000" w:themeColor="text1"/>
          <w:sz w:val="16"/>
          <w:szCs w:val="16"/>
        </w:rPr>
        <w:t>, Лондон. Самолет</w:t>
      </w:r>
      <w:r w:rsidRPr="00A259BD">
        <w:rPr>
          <w:rFonts w:ascii="Times New Roman" w:hAnsi="Times New Roman"/>
          <w:color w:val="000000" w:themeColor="text1"/>
          <w:sz w:val="16"/>
          <w:szCs w:val="16"/>
          <w:lang w:val="en-US"/>
        </w:rPr>
        <w:t xml:space="preserve"> de Havilland DH.60x Cirrus II Moth, G-EBTG (22656).</w:t>
      </w:r>
    </w:p>
    <w:p w14:paraId="5B994965" w14:textId="77777777" w:rsidR="00B90D42" w:rsidRPr="00A259BD" w:rsidRDefault="00B90D42" w:rsidP="009236E3">
      <w:pPr>
        <w:pStyle w:val="ae"/>
        <w:spacing w:before="0" w:after="0"/>
        <w:jc w:val="both"/>
        <w:rPr>
          <w:color w:val="000000" w:themeColor="text1"/>
          <w:sz w:val="16"/>
          <w:szCs w:val="16"/>
          <w:lang w:val="en-US"/>
        </w:rPr>
      </w:pPr>
    </w:p>
    <w:p w14:paraId="43D18B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r w:rsidRPr="00A259BD">
        <w:rPr>
          <w:rFonts w:ascii="Times New Roman" w:hAnsi="Times New Roman"/>
          <w:color w:val="000000" w:themeColor="text1"/>
          <w:sz w:val="16"/>
          <w:szCs w:val="16"/>
          <w:lang w:val="en-US"/>
        </w:rPr>
        <w:t>January 16, 1929 Experience in night flying became a requirement for all heavier-than-air Naval Aviators and Naval Aviation Pilots of the Navy and Marine Corps. The Chief of Naval Operations ordered that prior to 1 July 1930, each qualified aviator pilot an aircraft on 10 hours of night flying involving at least 20 landings, and that student aviators meet the same requirement during the first year of their first duty assignment (1090).</w:t>
      </w:r>
    </w:p>
    <w:p w14:paraId="58D4BA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p>
    <w:p w14:paraId="74067D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16 января 1929 от военных пилотов США стали требовать опыт ночных полетов (1090).</w:t>
      </w:r>
    </w:p>
    <w:p w14:paraId="381AF0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CCDFD0" w14:textId="77777777" w:rsidR="00F26760" w:rsidRPr="00A259BD" w:rsidRDefault="00F26760"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BB32061" w14:textId="77777777" w:rsidR="00F26760" w:rsidRPr="00A259BD" w:rsidRDefault="00F2676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697435" w14:textId="77777777" w:rsidR="00F26760" w:rsidRPr="00A259BD" w:rsidRDefault="00F2676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января 1929 г. Советский воен</w:t>
      </w:r>
      <w:r w:rsidRPr="00A259BD">
        <w:rPr>
          <w:rFonts w:ascii="Times New Roman" w:hAnsi="Times New Roman"/>
          <w:color w:val="000000" w:themeColor="text1"/>
          <w:sz w:val="16"/>
          <w:szCs w:val="16"/>
        </w:rPr>
        <w:softHyphen/>
        <w:t xml:space="preserve">ный атташе при Полпредстве СССР в Италии Силин в своем послании подробно описал демонстрацию возможностей автожира С-8 Мк.111 в </w:t>
      </w:r>
      <w:proofErr w:type="spellStart"/>
      <w:r w:rsidRPr="00A259BD">
        <w:rPr>
          <w:rFonts w:ascii="Times New Roman" w:hAnsi="Times New Roman"/>
          <w:color w:val="000000" w:themeColor="text1"/>
          <w:sz w:val="16"/>
          <w:szCs w:val="16"/>
        </w:rPr>
        <w:t>присутствовии</w:t>
      </w:r>
      <w:proofErr w:type="spellEnd"/>
      <w:r w:rsidRPr="00A259BD">
        <w:rPr>
          <w:rFonts w:ascii="Times New Roman" w:hAnsi="Times New Roman"/>
          <w:color w:val="000000" w:themeColor="text1"/>
          <w:sz w:val="16"/>
          <w:szCs w:val="16"/>
        </w:rPr>
        <w:t xml:space="preserve"> высших авиационных чиновни</w:t>
      </w:r>
      <w:r w:rsidRPr="00A259BD">
        <w:rPr>
          <w:rFonts w:ascii="Times New Roman" w:hAnsi="Times New Roman"/>
          <w:color w:val="000000" w:themeColor="text1"/>
          <w:sz w:val="16"/>
          <w:szCs w:val="16"/>
        </w:rPr>
        <w:softHyphen/>
        <w:t xml:space="preserve">ков авиации Италии во главе с генералом </w:t>
      </w: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xml:space="preserve">: «16 января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xml:space="preserve">. я был на аэродроме </w:t>
      </w:r>
      <w:proofErr w:type="spellStart"/>
      <w:r w:rsidRPr="00A259BD">
        <w:rPr>
          <w:rFonts w:ascii="Times New Roman" w:hAnsi="Times New Roman"/>
          <w:color w:val="000000" w:themeColor="text1"/>
          <w:sz w:val="16"/>
          <w:szCs w:val="16"/>
        </w:rPr>
        <w:t>Монтечелио</w:t>
      </w:r>
      <w:proofErr w:type="spellEnd"/>
      <w:r w:rsidRPr="00A259BD">
        <w:rPr>
          <w:rFonts w:ascii="Times New Roman" w:hAnsi="Times New Roman"/>
          <w:color w:val="000000" w:themeColor="text1"/>
          <w:sz w:val="16"/>
          <w:szCs w:val="16"/>
        </w:rPr>
        <w:t xml:space="preserve"> и имел возможность видеть «автожир» инженера </w:t>
      </w:r>
      <w:proofErr w:type="spellStart"/>
      <w:r w:rsidRPr="00A259BD">
        <w:rPr>
          <w:rFonts w:ascii="Times New Roman" w:hAnsi="Times New Roman"/>
          <w:color w:val="000000" w:themeColor="text1"/>
          <w:sz w:val="16"/>
          <w:szCs w:val="16"/>
        </w:rPr>
        <w:t>Сиервы</w:t>
      </w:r>
      <w:proofErr w:type="spellEnd"/>
      <w:r w:rsidRPr="00A259BD">
        <w:rPr>
          <w:rFonts w:ascii="Times New Roman" w:hAnsi="Times New Roman"/>
          <w:color w:val="000000" w:themeColor="text1"/>
          <w:sz w:val="16"/>
          <w:szCs w:val="16"/>
        </w:rPr>
        <w:t>». Далее Силин критически оценивает все эти полеты, о ко</w:t>
      </w:r>
      <w:r w:rsidRPr="00A259BD">
        <w:rPr>
          <w:rFonts w:ascii="Times New Roman" w:hAnsi="Times New Roman"/>
          <w:color w:val="000000" w:themeColor="text1"/>
          <w:sz w:val="16"/>
          <w:szCs w:val="16"/>
        </w:rPr>
        <w:softHyphen/>
        <w:t>торых итальянская пресса, наоборот, писала весьма вос</w:t>
      </w:r>
      <w:r w:rsidRPr="00A259BD">
        <w:rPr>
          <w:rFonts w:ascii="Times New Roman" w:hAnsi="Times New Roman"/>
          <w:color w:val="000000" w:themeColor="text1"/>
          <w:sz w:val="16"/>
          <w:szCs w:val="16"/>
        </w:rPr>
        <w:softHyphen/>
        <w:t xml:space="preserve">торженно. Он сообщает, что де ла </w:t>
      </w:r>
      <w:proofErr w:type="spellStart"/>
      <w:r w:rsidRPr="00A259BD">
        <w:rPr>
          <w:rFonts w:ascii="Times New Roman" w:hAnsi="Times New Roman"/>
          <w:color w:val="000000" w:themeColor="text1"/>
          <w:sz w:val="16"/>
          <w:szCs w:val="16"/>
        </w:rPr>
        <w:t>Сиерва</w:t>
      </w:r>
      <w:proofErr w:type="spellEnd"/>
      <w:r w:rsidRPr="00A259BD">
        <w:rPr>
          <w:rFonts w:ascii="Times New Roman" w:hAnsi="Times New Roman"/>
          <w:color w:val="000000" w:themeColor="text1"/>
          <w:sz w:val="16"/>
          <w:szCs w:val="16"/>
        </w:rPr>
        <w:t xml:space="preserve"> выполнил все</w:t>
      </w:r>
      <w:r w:rsidRPr="00A259BD">
        <w:rPr>
          <w:rFonts w:ascii="Times New Roman" w:hAnsi="Times New Roman"/>
          <w:color w:val="000000" w:themeColor="text1"/>
          <w:sz w:val="16"/>
          <w:szCs w:val="16"/>
        </w:rPr>
        <w:softHyphen/>
        <w:t>го три полета, при этом старт осуществлял на значитель</w:t>
      </w:r>
      <w:r w:rsidRPr="00A259BD">
        <w:rPr>
          <w:rFonts w:ascii="Times New Roman" w:hAnsi="Times New Roman"/>
          <w:color w:val="000000" w:themeColor="text1"/>
          <w:sz w:val="16"/>
          <w:szCs w:val="16"/>
        </w:rPr>
        <w:softHyphen/>
        <w:t>ном удалении, наиболее эффектные подъемы и снижения осуществлял в направлении зрителей. То есть, наблюда</w:t>
      </w:r>
      <w:r w:rsidRPr="00A259BD">
        <w:rPr>
          <w:rFonts w:ascii="Times New Roman" w:hAnsi="Times New Roman"/>
          <w:color w:val="000000" w:themeColor="text1"/>
          <w:sz w:val="16"/>
          <w:szCs w:val="16"/>
        </w:rPr>
        <w:softHyphen/>
        <w:t>тель видел вертикальную составляющую полета и не мог оценить длину разбега или пробега при посадке. По мне</w:t>
      </w:r>
      <w:r w:rsidRPr="00A259BD">
        <w:rPr>
          <w:rFonts w:ascii="Times New Roman" w:hAnsi="Times New Roman"/>
          <w:color w:val="000000" w:themeColor="text1"/>
          <w:sz w:val="16"/>
          <w:szCs w:val="16"/>
        </w:rPr>
        <w:softHyphen/>
        <w:t>нию Силина, автожир не показал действительно вертикаль</w:t>
      </w:r>
      <w:r w:rsidRPr="00A259BD">
        <w:rPr>
          <w:rFonts w:ascii="Times New Roman" w:hAnsi="Times New Roman"/>
          <w:color w:val="000000" w:themeColor="text1"/>
          <w:sz w:val="16"/>
          <w:szCs w:val="16"/>
        </w:rPr>
        <w:softHyphen/>
        <w:t>ных подъема и спуска. Особого отличия от самолетов со</w:t>
      </w:r>
      <w:r w:rsidRPr="00A259BD">
        <w:rPr>
          <w:rFonts w:ascii="Times New Roman" w:hAnsi="Times New Roman"/>
          <w:color w:val="000000" w:themeColor="text1"/>
          <w:sz w:val="16"/>
          <w:szCs w:val="16"/>
        </w:rPr>
        <w:softHyphen/>
        <w:t>ветский атташе не заметил, в отношении остального до</w:t>
      </w:r>
      <w:r w:rsidRPr="00A259BD">
        <w:rPr>
          <w:rFonts w:ascii="Times New Roman" w:hAnsi="Times New Roman"/>
          <w:color w:val="000000" w:themeColor="text1"/>
          <w:sz w:val="16"/>
          <w:szCs w:val="16"/>
        </w:rPr>
        <w:softHyphen/>
        <w:t>бавлял:</w:t>
      </w:r>
    </w:p>
    <w:p w14:paraId="279BE727" w14:textId="77777777" w:rsidR="00F26760" w:rsidRPr="00A259BD" w:rsidRDefault="00F2676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личных наблюдений могу добавить следующее:</w:t>
      </w:r>
    </w:p>
    <w:p w14:paraId="22FF8B1A" w14:textId="77777777" w:rsidR="00F26760" w:rsidRPr="00A259BD" w:rsidRDefault="00F2676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Длина аппарата на глаз 10 метров.</w:t>
      </w:r>
    </w:p>
    <w:p w14:paraId="4088264F" w14:textId="77777777" w:rsidR="00F26760" w:rsidRPr="00A259BD" w:rsidRDefault="00F2676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Размах крыльев 7 метров.</w:t>
      </w:r>
    </w:p>
    <w:p w14:paraId="42327193" w14:textId="77777777" w:rsidR="00F26760" w:rsidRPr="00A259BD" w:rsidRDefault="00F2676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Центральная ось лопастей впереди места первого лет</w:t>
      </w:r>
      <w:r w:rsidRPr="00A259BD">
        <w:rPr>
          <w:rFonts w:ascii="Times New Roman" w:hAnsi="Times New Roman"/>
          <w:color w:val="000000" w:themeColor="text1"/>
          <w:sz w:val="16"/>
          <w:szCs w:val="16"/>
        </w:rPr>
        <w:softHyphen/>
        <w:t>чика.</w:t>
      </w:r>
    </w:p>
    <w:p w14:paraId="243BFC2E" w14:textId="77777777" w:rsidR="00F26760" w:rsidRPr="00A259BD" w:rsidRDefault="00F2676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Аппарат двухместный, но летал </w:t>
      </w:r>
      <w:proofErr w:type="spellStart"/>
      <w:r w:rsidRPr="00A259BD">
        <w:rPr>
          <w:rFonts w:ascii="Times New Roman" w:hAnsi="Times New Roman"/>
          <w:color w:val="000000" w:themeColor="text1"/>
          <w:sz w:val="16"/>
          <w:szCs w:val="16"/>
        </w:rPr>
        <w:t>Сиерва</w:t>
      </w:r>
      <w:proofErr w:type="spellEnd"/>
      <w:r w:rsidRPr="00A259BD">
        <w:rPr>
          <w:rFonts w:ascii="Times New Roman" w:hAnsi="Times New Roman"/>
          <w:color w:val="000000" w:themeColor="text1"/>
          <w:sz w:val="16"/>
          <w:szCs w:val="16"/>
        </w:rPr>
        <w:t xml:space="preserve"> один, без пассажиров.</w:t>
      </w:r>
    </w:p>
    <w:p w14:paraId="2C463A24" w14:textId="77777777" w:rsidR="00F26760" w:rsidRPr="00A259BD" w:rsidRDefault="00F2676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Лопасти автожира по длине доходят точно до руля на</w:t>
      </w:r>
      <w:r w:rsidRPr="00A259BD">
        <w:rPr>
          <w:rFonts w:ascii="Times New Roman" w:hAnsi="Times New Roman"/>
          <w:color w:val="000000" w:themeColor="text1"/>
          <w:sz w:val="16"/>
          <w:szCs w:val="16"/>
        </w:rPr>
        <w:softHyphen/>
        <w:t>правления, т.е. размер их составляет около 7 метров.</w:t>
      </w:r>
    </w:p>
    <w:p w14:paraId="1D315138" w14:textId="77777777" w:rsidR="00F26760" w:rsidRPr="00A259BD" w:rsidRDefault="00F2676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...Посмотреть аппарат близко, видеть кабину летчика, механизмы управления лопастями и т.п. не было представ</w:t>
      </w:r>
      <w:r w:rsidRPr="00A259BD">
        <w:rPr>
          <w:rFonts w:ascii="Times New Roman" w:hAnsi="Times New Roman"/>
          <w:color w:val="000000" w:themeColor="text1"/>
          <w:sz w:val="16"/>
          <w:szCs w:val="16"/>
        </w:rPr>
        <w:softHyphen/>
        <w:t>лено возможности» (20361).</w:t>
      </w:r>
    </w:p>
    <w:p w14:paraId="08059888" w14:textId="77777777" w:rsidR="00F26760" w:rsidRPr="00A259BD" w:rsidRDefault="00F26760" w:rsidP="009236E3">
      <w:pPr>
        <w:spacing w:after="0" w:line="240" w:lineRule="auto"/>
        <w:jc w:val="both"/>
        <w:rPr>
          <w:rFonts w:ascii="Times New Roman" w:hAnsi="Times New Roman"/>
          <w:color w:val="000000" w:themeColor="text1"/>
          <w:sz w:val="16"/>
          <w:szCs w:val="16"/>
        </w:rPr>
      </w:pPr>
    </w:p>
    <w:p w14:paraId="7C90F4FD" w14:textId="77777777" w:rsidR="00B31C3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01398AD" w14:textId="77777777" w:rsidR="00B31C35" w:rsidRPr="00A259BD" w:rsidRDefault="00B31C3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D50DF8" w14:textId="77777777" w:rsidR="00EA13E1" w:rsidRPr="00A259BD" w:rsidRDefault="00EA13E1"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color w:val="000000" w:themeColor="text1"/>
          <w:sz w:val="16"/>
          <w:szCs w:val="16"/>
        </w:rPr>
        <w:t xml:space="preserve">17 января 1929 года в соответствии с решением объединенного заседания СНК СССР и СТО началось строительство Магнитогорского металлургического завода. В декабре 1928 года состоялась сессия технического совета Гипромеза, которая рассмотрела несколько проектов металлургического завода у горы Магнитной. Был принят проект, составленный </w:t>
      </w:r>
      <w:proofErr w:type="spellStart"/>
      <w:r w:rsidRPr="00A259BD">
        <w:rPr>
          <w:rFonts w:ascii="Times New Roman" w:hAnsi="Times New Roman"/>
          <w:color w:val="000000" w:themeColor="text1"/>
          <w:sz w:val="16"/>
          <w:szCs w:val="16"/>
        </w:rPr>
        <w:t>Уралгипромезом</w:t>
      </w:r>
      <w:proofErr w:type="spellEnd"/>
      <w:r w:rsidRPr="00A259BD">
        <w:rPr>
          <w:rFonts w:ascii="Times New Roman" w:hAnsi="Times New Roman"/>
          <w:color w:val="000000" w:themeColor="text1"/>
          <w:sz w:val="16"/>
          <w:szCs w:val="16"/>
        </w:rPr>
        <w:t>. Его одобрил ВСНХ</w:t>
      </w:r>
    </w:p>
    <w:p w14:paraId="0A85DD3B" w14:textId="77777777" w:rsidR="00EA13E1" w:rsidRPr="00A259BD" w:rsidRDefault="00EA13E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84D6E8" w14:textId="77777777" w:rsidR="00B31C35" w:rsidRPr="00A259BD" w:rsidRDefault="00B31C35"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Не ранее 17 января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РЗ СТО СССР о судостроительной программе (ГА РФ. Ф. Р?8418. Оп. 2. Д. 52. Л. 132?134) (12415).</w:t>
      </w:r>
    </w:p>
    <w:p w14:paraId="1F355E25" w14:textId="77777777" w:rsidR="00B31C35" w:rsidRPr="00A259BD" w:rsidRDefault="00B31C35" w:rsidP="009236E3">
      <w:pPr>
        <w:spacing w:after="0" w:line="240" w:lineRule="auto"/>
        <w:jc w:val="both"/>
        <w:rPr>
          <w:rFonts w:ascii="Times New Roman" w:hAnsi="Times New Roman"/>
          <w:color w:val="000000" w:themeColor="text1"/>
          <w:sz w:val="16"/>
          <w:szCs w:val="16"/>
          <w:u w:color="002060"/>
        </w:rPr>
      </w:pPr>
    </w:p>
    <w:p w14:paraId="5D697F71"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34AEF4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CC9B5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января 1929 года Политбюро, опасаясь оказаться к весне без запасов, приняло решение о сокращении плана снабжения хлебом по всем районам на вторую половину текущего хозяйственного года. После этого Экономический Совет РСФСР распространил “ленинградский опыт” на всю потребляющую часть и часть производящей полосы Российской Федерации. И, наконец, 14 февраля 1929 года карточная система на хлеб стала всесоюзной. Политбюро утвердило проект постановления, внесенный </w:t>
      </w:r>
      <w:proofErr w:type="spellStart"/>
      <w:r w:rsidRPr="00A259BD">
        <w:rPr>
          <w:rFonts w:ascii="Times New Roman" w:hAnsi="Times New Roman"/>
          <w:color w:val="000000" w:themeColor="text1"/>
          <w:sz w:val="16"/>
          <w:szCs w:val="16"/>
        </w:rPr>
        <w:t>Наркомторгом</w:t>
      </w:r>
      <w:proofErr w:type="spellEnd"/>
      <w:r w:rsidRPr="00A259BD">
        <w:rPr>
          <w:rFonts w:ascii="Times New Roman" w:hAnsi="Times New Roman"/>
          <w:color w:val="000000" w:themeColor="text1"/>
          <w:sz w:val="16"/>
          <w:szCs w:val="16"/>
        </w:rPr>
        <w:t>, в соответствии с которым по всей потребляющей полосе Российской Федерации, Закавказья, Белоруссии и Украины хлеб населению должен был отпускаться по специальным заборным книжкам. Книжки получало только трудовое население городов. Постановлением был установлен предельный размер хлебного пайка. В Москве и Ленинграде для рабочих и служащих фабрично-заводских предприятий он составлял 900 граммов печеного хлеба в день; для членов семей рабочих, а также для служащих и членов их семей, безработных и прочего трудового населения — 500 граммов. В остальных промышленных центрах и фабрично-заводских поселках — соответственно 600 и 300 граммов. Карточки должны были быть введены не позже 1 марта 1929 года. Постановление повторило более ранее решение Политбюро о сохранении свободной продажи хлеба без карточек приезжему населению, но только из того, что оставалось после обеспечения основных потребителей и по двойной цене.</w:t>
      </w:r>
    </w:p>
    <w:p w14:paraId="414BB3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1928/29 году в регионах в дополнение к хлебным карточкам стали стихийно распространяться нормирование и карточки на другие продукты: масло, мясо, сахар, крупу и прочее. Открытая продажа непродовольственных товаров в магазинах также постепенно сворачивалась из-за огромных очередей и эксцессов. Вместо этого вводилось их распределение на предприятиях и организациях по талонам и ордерам. Как и в случае с хлебом, нормирование и карточки на другие продукты и непродовольственные товары вначале “оформлялись” снизу решениями торгующих организаций и санкциями местной власти. Официальное признание карточной системы Центром растянулось во времени. Только в начале 1931 года, когда массовый голод стал реальной перспективой и карточки уже фактически существовали по всей стране, Наркомат снабжения по заданию Политбюро разработал единые принципы карточного снабжения основными продуктами и непродовольственными товарами для всей страны. Продовольственный кризис и введение в 1931 году всесоюзной карточной системы представляли закономерный результат отмирания частного предпринимательства в городе и насильственного обобществления крестьянских хозяйств. Процесс форсированной индустриализации и огосударствления экономики был на полном ходу, но население балансировало на пороге массового голода (11528).</w:t>
      </w:r>
    </w:p>
    <w:p w14:paraId="104410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2D7B72" w14:textId="77777777" w:rsidR="00C57780" w:rsidRPr="00A259BD" w:rsidRDefault="00C5778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января 1929 года Политбюро, опасаясь оказаться к весне без запасов, приняло решение о сокращении плана снабжения хлебом по всем районам на вторую половину текущего хозяйственного года. После этого Экономический Совет РСФСР распространил «ленинградский опыт» на всю потребляющую часть и часть производящей полосы Российской Федерации.</w:t>
      </w:r>
    </w:p>
    <w:p w14:paraId="51E589DF" w14:textId="77777777" w:rsidR="00C57780" w:rsidRPr="00A259BD" w:rsidRDefault="00C5778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 наконец, 14 февраля 1929 года карточная система на хлеб стала всесоюзной. Политбюро утвердило проект постановления, внесенный </w:t>
      </w:r>
      <w:proofErr w:type="spellStart"/>
      <w:r w:rsidRPr="00A259BD">
        <w:rPr>
          <w:rFonts w:ascii="Times New Roman" w:hAnsi="Times New Roman"/>
          <w:color w:val="000000" w:themeColor="text1"/>
          <w:sz w:val="16"/>
          <w:szCs w:val="16"/>
        </w:rPr>
        <w:t>Наркомторгом</w:t>
      </w:r>
      <w:proofErr w:type="spellEnd"/>
      <w:r w:rsidRPr="00A259BD">
        <w:rPr>
          <w:rFonts w:ascii="Times New Roman" w:hAnsi="Times New Roman"/>
          <w:color w:val="000000" w:themeColor="text1"/>
          <w:sz w:val="16"/>
          <w:szCs w:val="16"/>
        </w:rPr>
        <w:t>, в соответствии с которым по всей потребляющей полосе Российской Федерации, Закавказья, Белоруссии и Украины хлеб населению должен был отпускаться по специальным заборным книжкам. Книжки получало только трудовое население городов. Постановлением был установлен предельный размер хлебного пайка. В Москве и Ленинграде для рабочих и служащих фабрично-заводских предприятий он составлял 900 граммов печеного хлеба в день; для членов семей рабочих, а также для служащих и членов их семей, безработных и прочего трудового населения — 500 граммов. В остальных промышленных центрах и фабрично-заводских поселках — соответственно 600 и 300 граммов. Карточки должны были быть введены не позже 1 марта 1929 года. Постановление повторило более ранее решение Политбюро о сохранении свободной продажи хлеба без карточек приезжему населению, но только из того, что оставалось после обеспечения основных потребителей и по двойной цене.</w:t>
      </w:r>
    </w:p>
    <w:p w14:paraId="6DE71876" w14:textId="77777777" w:rsidR="00C57780" w:rsidRPr="00A259BD" w:rsidRDefault="00C5778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1928/29 году в регионах в дополнение к хлебным карточкам стали стихийно распространяться нормирование и карточки на другие продукты: масло, мясо, сахар, крупу и прочее. Открытая продажа непродовольственных товаров в магазинах также постепенно сворачивалась из-за огромных очередей и эксцессов. Вместо этого вводилось их распределение на предприятиях и организациях по талонам и ордерам. Как и в случае с хлебом, нормирование и карточки на другие продукты и непродовольственные товары вначале «оформлялись» снизу решениями торгующих организаций и санкциями местной власти. Официальное признание карточной системы Центром растянулось во времени. Только в начале 1931 года, когда массовый голод стал реальной перспективой и карточки уже фактически существовали по всей стране, Наркомат снабжения по заданию Политбюро разработал единые принципы карточного снабжения основными продуктами и непродовольственными товарами для всей страны. Продовольственный кризис и введение в 1931 году всесоюзной карточной системы представляли закономерный результат отмирания частного предпринимательства в городе и насильственного обобществления крестьянских хозяйств. Процесс форсированной индустриализации и огосударствления экономики был на полном ходу, но население балансировало на пороге массового голода (18416).</w:t>
      </w:r>
    </w:p>
    <w:p w14:paraId="55A248A6" w14:textId="77777777" w:rsidR="00C57780" w:rsidRPr="00A259BD" w:rsidRDefault="00C57780" w:rsidP="009236E3">
      <w:pPr>
        <w:spacing w:after="0" w:line="240" w:lineRule="auto"/>
        <w:jc w:val="both"/>
        <w:rPr>
          <w:rFonts w:ascii="Times New Roman" w:hAnsi="Times New Roman"/>
          <w:color w:val="000000" w:themeColor="text1"/>
          <w:sz w:val="16"/>
          <w:szCs w:val="16"/>
        </w:rPr>
      </w:pPr>
    </w:p>
    <w:p w14:paraId="4DC9E3CB" w14:textId="77777777" w:rsidR="004D16E2"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5534B444" w14:textId="77777777" w:rsidR="004D16E2" w:rsidRPr="00A259BD" w:rsidRDefault="004D16E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1F48684" w14:textId="77777777" w:rsidR="004D16E2" w:rsidRPr="00A259BD" w:rsidRDefault="004D16E2"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18 января</w:t>
      </w:r>
      <w:r w:rsidRPr="00A259BD">
        <w:rPr>
          <w:rFonts w:ascii="Times New Roman" w:hAnsi="Times New Roman"/>
          <w:color w:val="000000" w:themeColor="text1"/>
          <w:sz w:val="16"/>
          <w:szCs w:val="16"/>
        </w:rPr>
        <w:t xml:space="preserve"> в 1929 году ЦК партии принял постановление об изгнании Троцкого - уже сосланного в Алма-Ату - из Советского Союза. Троцкий выехал в Турцию, затем во Францию. После победы Гитлера в Германии он переселился в Норвегию, затем в Мексику (15013).</w:t>
      </w:r>
    </w:p>
    <w:p w14:paraId="7CD972C8" w14:textId="77777777" w:rsidR="004D16E2" w:rsidRPr="00A259BD" w:rsidRDefault="004D16E2" w:rsidP="009236E3">
      <w:pPr>
        <w:spacing w:after="0" w:line="240" w:lineRule="auto"/>
        <w:jc w:val="both"/>
        <w:rPr>
          <w:rFonts w:ascii="Times New Roman" w:hAnsi="Times New Roman"/>
          <w:color w:val="000000" w:themeColor="text1"/>
          <w:sz w:val="16"/>
          <w:szCs w:val="16"/>
        </w:rPr>
      </w:pPr>
    </w:p>
    <w:p w14:paraId="3D155406" w14:textId="77777777" w:rsidR="00B20FD8" w:rsidRPr="00A259BD" w:rsidRDefault="00B20FD8" w:rsidP="009236E3">
      <w:pPr>
        <w:spacing w:after="0" w:line="240" w:lineRule="auto"/>
        <w:jc w:val="both"/>
        <w:rPr>
          <w:rFonts w:ascii="Times New Roman" w:hAnsi="Times New Roman"/>
          <w:bCs/>
          <w:color w:val="000000" w:themeColor="text1"/>
          <w:sz w:val="16"/>
          <w:szCs w:val="16"/>
        </w:rPr>
      </w:pPr>
      <w:r w:rsidRPr="00A259BD">
        <w:rPr>
          <w:rFonts w:ascii="Times New Roman" w:hAnsi="Times New Roman"/>
          <w:bCs/>
          <w:color w:val="000000" w:themeColor="text1"/>
          <w:sz w:val="16"/>
          <w:szCs w:val="16"/>
        </w:rPr>
        <w:t xml:space="preserve">Протокол ГПУ от </w:t>
      </w:r>
      <w:r w:rsidRPr="00A259BD">
        <w:rPr>
          <w:rFonts w:ascii="Times New Roman" w:hAnsi="Times New Roman"/>
          <w:color w:val="000000" w:themeColor="text1"/>
          <w:sz w:val="16"/>
          <w:szCs w:val="16"/>
        </w:rPr>
        <w:t>18 января 1929 года</w:t>
      </w:r>
      <w:r w:rsidRPr="00A259BD">
        <w:rPr>
          <w:rFonts w:ascii="Times New Roman" w:hAnsi="Times New Roman"/>
          <w:bCs/>
          <w:color w:val="000000" w:themeColor="text1"/>
          <w:sz w:val="16"/>
          <w:szCs w:val="16"/>
        </w:rPr>
        <w:t xml:space="preserve"> о деле гражданина Троцкого Л.Д., обвиняемого по ст. 58—10 Уголовного Кодекса РСФСР, за контрреволюционную деятельность, выразившуюся в организации нелегальной контрреволюционной партии, деятельность которой за последнее время направлена к провоцированию антисоветских выступлений и к подготовке вооруженной борьбы против советской власти. Постановили: Гражданина Троцкого Льва Давидовича выслать из пределов СССР (17327).</w:t>
      </w:r>
    </w:p>
    <w:p w14:paraId="76453D46" w14:textId="77777777" w:rsidR="00B20FD8" w:rsidRPr="00A259BD" w:rsidRDefault="00B20FD8" w:rsidP="009236E3">
      <w:pPr>
        <w:spacing w:after="0" w:line="240" w:lineRule="auto"/>
        <w:jc w:val="both"/>
        <w:rPr>
          <w:rFonts w:ascii="Times New Roman" w:hAnsi="Times New Roman"/>
          <w:bCs/>
          <w:color w:val="000000" w:themeColor="text1"/>
          <w:sz w:val="16"/>
          <w:szCs w:val="16"/>
        </w:rPr>
      </w:pPr>
    </w:p>
    <w:p w14:paraId="594C9120" w14:textId="77777777" w:rsidR="004D16E2" w:rsidRPr="00A259BD" w:rsidRDefault="004D16E2"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18 января</w:t>
      </w:r>
      <w:r w:rsidRPr="00A259BD">
        <w:rPr>
          <w:rFonts w:ascii="Times New Roman" w:hAnsi="Times New Roman"/>
          <w:color w:val="000000" w:themeColor="text1"/>
          <w:sz w:val="16"/>
          <w:szCs w:val="16"/>
        </w:rPr>
        <w:t xml:space="preserve"> в 1929 году начались радиотрансляции из приемной Председателя ЦИК СССР </w:t>
      </w:r>
      <w:proofErr w:type="spellStart"/>
      <w:r w:rsidRPr="00A259BD">
        <w:rPr>
          <w:rFonts w:ascii="Times New Roman" w:hAnsi="Times New Roman"/>
          <w:color w:val="000000" w:themeColor="text1"/>
          <w:sz w:val="16"/>
          <w:szCs w:val="16"/>
        </w:rPr>
        <w:t>М.И.Калинина</w:t>
      </w:r>
      <w:proofErr w:type="spellEnd"/>
      <w:r w:rsidRPr="00A259BD">
        <w:rPr>
          <w:rFonts w:ascii="Times New Roman" w:hAnsi="Times New Roman"/>
          <w:color w:val="000000" w:themeColor="text1"/>
          <w:sz w:val="16"/>
          <w:szCs w:val="16"/>
        </w:rPr>
        <w:t>, где всесоюзный староста два раза в неделю принимал трудящихся. Члены ЦИКа и ВЦИКа рассматривали заявления, разъясняли советские законы, отвечали на вопросы посетителей (15013).</w:t>
      </w:r>
    </w:p>
    <w:p w14:paraId="69686BA3" w14:textId="77777777" w:rsidR="004D16E2" w:rsidRPr="00A259BD" w:rsidRDefault="004D16E2" w:rsidP="009236E3">
      <w:pPr>
        <w:spacing w:after="0" w:line="240" w:lineRule="auto"/>
        <w:jc w:val="both"/>
        <w:rPr>
          <w:rFonts w:ascii="Times New Roman" w:hAnsi="Times New Roman"/>
          <w:color w:val="000000" w:themeColor="text1"/>
          <w:sz w:val="16"/>
          <w:szCs w:val="16"/>
        </w:rPr>
      </w:pPr>
    </w:p>
    <w:p w14:paraId="65F6457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3D3229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5E214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 января 1929 года для полковой пушки решением </w:t>
      </w:r>
      <w:proofErr w:type="spellStart"/>
      <w:r w:rsidRPr="00A259BD">
        <w:rPr>
          <w:rFonts w:ascii="Times New Roman" w:hAnsi="Times New Roman"/>
          <w:color w:val="000000" w:themeColor="text1"/>
          <w:sz w:val="16"/>
          <w:szCs w:val="16"/>
        </w:rPr>
        <w:t>Арткома</w:t>
      </w:r>
      <w:proofErr w:type="spellEnd"/>
      <w:r w:rsidRPr="00A259BD">
        <w:rPr>
          <w:rFonts w:ascii="Times New Roman" w:hAnsi="Times New Roman"/>
          <w:color w:val="000000" w:themeColor="text1"/>
          <w:sz w:val="16"/>
          <w:szCs w:val="16"/>
        </w:rPr>
        <w:t xml:space="preserve"> был принят унитарный патрон 76-мм полевой пушки обр. 1902 г. со штатным для нее уменьшенным зарядом (для полковой пушки он был нормальным), Диаметр фланца гильзы полковой пушки был уменьшен, поэтому заряжание полковой пушки патронами от дивизионной невозможно, так как фланец гильзы не входит в выточку в захватных гнездах.</w:t>
      </w:r>
    </w:p>
    <w:p w14:paraId="0D282E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Тем не менее для 76-мм полковых пушек обр. 1927 г. могли применяться выстрелы раздельного заряжания со штатными зарядами, собранными в укороченные гильзы (гильзы под холостые выстрелы) длиной 250-260 мм (3861).</w:t>
      </w:r>
    </w:p>
    <w:p w14:paraId="599981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12F9C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0004A05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87A5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19 и 24 января 1929. Из протокола заседания Политбюро N58, особая папка, 1929 г.</w:t>
      </w:r>
    </w:p>
    <w:p w14:paraId="0ADEA0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Заявление тов. Менжинского </w:t>
      </w:r>
    </w:p>
    <w:p w14:paraId="19C0F2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Материалы ОГПУ могут использоваться членами коллегии НКИД в беседах с дипломатическими представителями иностранных держав лишь в исключительных случаях в общей постановке вопросов без ссылки на конкретные факты; в случае необходимости в расшифровывании конкретных фактов требуется обязательное согласование с ОГПУ. Считать возможным сообщение полпредам ориентировочных сведений, касающихся стран ихнего (так в тексте) пребывания, почерпнутых из материалов ОГПУ, с привлечением одного из ответственных работников ОГПУ для постоянного согласования (11652).</w:t>
      </w:r>
    </w:p>
    <w:p w14:paraId="1A26A6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C3DB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19 и 24 января 1929. Из протокола заседания Политбюро N59, особая папка, 1929 г.</w:t>
      </w:r>
    </w:p>
    <w:p w14:paraId="0FB890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союзе красных фронтовиков </w:t>
      </w:r>
    </w:p>
    <w:p w14:paraId="368EDF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Поручить т. Ворошилову передать тт. Тельману и Леову, что мы считаем нецелесообразным преподнесение союзом красных фронтовиков (Германии) аэроплана Красной армии и просим не предпринимать шагов в этом направлении (11652).</w:t>
      </w:r>
    </w:p>
    <w:p w14:paraId="222696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5689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Между 19 и 24 января 1929. Из протокола заседания Политбюро N59, особая папка, 1929 г.</w:t>
      </w:r>
    </w:p>
    <w:p w14:paraId="3BEA75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стачках во Франции </w:t>
      </w:r>
    </w:p>
    <w:p w14:paraId="2C974B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Ввиду недостатка валюты отклонить предложение т. Лозовского о посылке денег стачечникам во Франции (11652).</w:t>
      </w:r>
    </w:p>
    <w:p w14:paraId="433776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1C1CF1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332C03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D0582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20 января 1929 г. в Ленинградском машиностроительном тресте был разработан проект модернизации 8-дм осадной гаубицы обр. 1913 г. По проекту модернизации гаубицы Шнейдера старый ствол длиной в 13 </w:t>
      </w:r>
      <w:proofErr w:type="spellStart"/>
      <w:r w:rsidRPr="00A259BD">
        <w:rPr>
          <w:rFonts w:ascii="Times New Roman" w:hAnsi="Times New Roman"/>
          <w:color w:val="000000" w:themeColor="text1"/>
          <w:sz w:val="16"/>
          <w:szCs w:val="16"/>
        </w:rPr>
        <w:t>клб</w:t>
      </w:r>
      <w:proofErr w:type="spellEnd"/>
      <w:r w:rsidRPr="00A259BD">
        <w:rPr>
          <w:rFonts w:ascii="Times New Roman" w:hAnsi="Times New Roman"/>
          <w:color w:val="000000" w:themeColor="text1"/>
          <w:sz w:val="16"/>
          <w:szCs w:val="16"/>
        </w:rPr>
        <w:t xml:space="preserve"> заменялся новым в 20 </w:t>
      </w:r>
      <w:proofErr w:type="spellStart"/>
      <w:r w:rsidRPr="00A259BD">
        <w:rPr>
          <w:rFonts w:ascii="Times New Roman" w:hAnsi="Times New Roman"/>
          <w:color w:val="000000" w:themeColor="text1"/>
          <w:sz w:val="16"/>
          <w:szCs w:val="16"/>
        </w:rPr>
        <w:t>клб</w:t>
      </w:r>
      <w:proofErr w:type="spellEnd"/>
      <w:r w:rsidRPr="00A259BD">
        <w:rPr>
          <w:rFonts w:ascii="Times New Roman" w:hAnsi="Times New Roman"/>
          <w:color w:val="000000" w:themeColor="text1"/>
          <w:sz w:val="16"/>
          <w:szCs w:val="16"/>
        </w:rPr>
        <w:t>. Начальная скорость увеличивалась с 335 м/с до 420 м/с. Благодаря этому расчетная дальность новым дальнобойным снарядом была 14 км, а старым снарядом 11,3 км. При этом давление в канале возрастало ненамного, с 1550 кг/см2 до 1679 кг/см2, чтобы не увеличивать прочность лафета. Деревянные колеса были заменены металлическими дисковыми от 152-мм пушки обр. 1910/30 г. Чтобы облегчить производство и испытания новой гаубицы был начат поиск опытного образца 203-мм гаубицы Шнейдера, который после испытаний на ГАП был отправлен 28 мая 1913 года на Путиловский завод. Однако найти гаубицу не удалось, несмотря на то, что 26 апреля 1929 года мобилизационно-плановое управление обратилось за помощью в ОГПУ (3861).</w:t>
      </w:r>
    </w:p>
    <w:p w14:paraId="276F5E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7EB79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765580C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3B492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января 1929 опубликована статья В. Ленина “Как организовать соревнование?”, с которой началось соцсоревнование в СССР (4962).</w:t>
      </w:r>
    </w:p>
    <w:p w14:paraId="02727A2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C4A585" w14:textId="77777777" w:rsidR="004D16E2" w:rsidRPr="00A259BD" w:rsidRDefault="004D16E2"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20 января</w:t>
      </w:r>
      <w:r w:rsidRPr="00A259BD">
        <w:rPr>
          <w:rFonts w:ascii="Times New Roman" w:hAnsi="Times New Roman"/>
          <w:color w:val="000000" w:themeColor="text1"/>
          <w:sz w:val="16"/>
          <w:szCs w:val="16"/>
        </w:rPr>
        <w:t xml:space="preserve"> в 1929 году опубликована статья </w:t>
      </w:r>
      <w:proofErr w:type="spellStart"/>
      <w:r w:rsidRPr="00A259BD">
        <w:rPr>
          <w:rFonts w:ascii="Times New Roman" w:hAnsi="Times New Roman"/>
          <w:color w:val="000000" w:themeColor="text1"/>
          <w:sz w:val="16"/>
          <w:szCs w:val="16"/>
        </w:rPr>
        <w:t>В.И.Ленина</w:t>
      </w:r>
      <w:proofErr w:type="spellEnd"/>
      <w:r w:rsidRPr="00A259BD">
        <w:rPr>
          <w:rFonts w:ascii="Times New Roman" w:hAnsi="Times New Roman"/>
          <w:color w:val="000000" w:themeColor="text1"/>
          <w:sz w:val="16"/>
          <w:szCs w:val="16"/>
        </w:rPr>
        <w:t xml:space="preserve"> "Как организовать соревнование?", с которой началось соцсоревнование в СССР, а также борьба с тунеядством. "Тысячи форм и способов практического учёта и контроля за богатыми, жуликами и тунеядцами должны быть выработаны и испытаны на практике самими коммунами, мелкими ячейками в деревне и в городе. [...] В одном месте посадят в тюрьму десяток богачей, дюжину жуликов, полдюжины рабочих, отлынивающих от работы (так же хулигански, как отлынивают от работы многие наборщики в Питере, особенно в партийных типографиях). В другом - поставят их чистить сортиры. В третьем - снабдят их, по отбытии карцера, жёлтыми билетами, чтобы весь народ, до их исправления, надзирал за ними, как за вредными людьми. В четвёртом - расстреляют на месте одного из десяти, виновных в тунеядстве. [...] Никакой пощады этим врагам народа, врагам социализма, врагам трудящихся. Война не на жизнь, а на смерть богатым и их прихлебателям, буржуазным интеллигентам, жуликам, тунеядцам и хулиганам" (15015).</w:t>
      </w:r>
    </w:p>
    <w:p w14:paraId="1F0ED57C" w14:textId="77777777" w:rsidR="004D16E2" w:rsidRPr="00A259BD" w:rsidRDefault="004D16E2" w:rsidP="009236E3">
      <w:pPr>
        <w:spacing w:after="0" w:line="240" w:lineRule="auto"/>
        <w:jc w:val="both"/>
        <w:rPr>
          <w:rFonts w:ascii="Times New Roman" w:hAnsi="Times New Roman"/>
          <w:color w:val="000000" w:themeColor="text1"/>
          <w:sz w:val="16"/>
          <w:szCs w:val="16"/>
        </w:rPr>
      </w:pPr>
    </w:p>
    <w:p w14:paraId="1720AB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января 1929 Волынский предъявил Троцкому постановление ОСО, в котором говорилось: "Слушали: Дело гражданина Троцкого, Льва Давыдовича, по ст. 58/10 Уголовного Кодекса по обвинению в контрреволюционной деятельности, выразившейся в организации нелегальной антисоветской партии, деятельность которой за последнее время направлена к провоцированию антисоветских выступлений и к подготовке вооружённой борьбы против советской власти. Постановили: Гражданина Троцкого, Льва Давыдовича, выслать из пределов СССР". Таким образом, высылка Троцкого явилась актом внесудебной расправы по вымышленным обвинениям, на которые обвиняемому не давалось права ответить. После того, как Волынский предложил Троцкому расписаться в ознакомлении с этим документом, Троцкий написал: "Преступное по существу и беззаконное по форме постановление ГПУ мне объявлено" (9492).</w:t>
      </w:r>
    </w:p>
    <w:p w14:paraId="5B5948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358277"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EDAC01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07CFF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января 1929 в США выпущен первый в мире полностью озвученный фильм “В старой Аризоне” (4962).</w:t>
      </w:r>
    </w:p>
    <w:p w14:paraId="4BC193D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507A09" w14:textId="77777777" w:rsidR="003D3BC7"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1666A58E" w14:textId="77777777" w:rsidR="003D3BC7" w:rsidRPr="00A259BD"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AE9FCD8" w14:textId="77777777" w:rsidR="003D3BC7" w:rsidRPr="00A259BD" w:rsidRDefault="003D3BC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января 1929 объявлен "год большого перелома". Полный отказ от НЭП (12629).</w:t>
      </w:r>
    </w:p>
    <w:p w14:paraId="7D95D683" w14:textId="77777777" w:rsidR="003D3BC7" w:rsidRPr="00A259BD"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535D17"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127452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A949E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(21 - 3481) января 1929 Л.Д.Т. был выслан из СССР в Турцию (1348,119) и он выехал из Алма-Аты в Константинополь (3908,328).</w:t>
      </w:r>
    </w:p>
    <w:p w14:paraId="4283B5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C4A13D" w14:textId="77777777" w:rsidR="004D16E2" w:rsidRPr="00A259BD" w:rsidRDefault="004D16E2"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22 января</w:t>
      </w:r>
      <w:r w:rsidRPr="00A259BD">
        <w:rPr>
          <w:rFonts w:ascii="Times New Roman" w:hAnsi="Times New Roman"/>
          <w:color w:val="000000" w:themeColor="text1"/>
          <w:sz w:val="16"/>
          <w:szCs w:val="16"/>
        </w:rPr>
        <w:t xml:space="preserve"> в 1929 году Лев Троцкий (Бернштейн), находившийся в ссылке в Алма-Ате, арестован и под конвоем отправлен в г. Фрунзе, затем в Москву, потом в Одессу, откуда и был выслан в Турцию (15017).</w:t>
      </w:r>
    </w:p>
    <w:p w14:paraId="7F6A76E0" w14:textId="77777777" w:rsidR="004D16E2" w:rsidRPr="00A259BD" w:rsidRDefault="004D16E2" w:rsidP="009236E3">
      <w:pPr>
        <w:spacing w:after="0" w:line="240" w:lineRule="auto"/>
        <w:jc w:val="both"/>
        <w:rPr>
          <w:rFonts w:ascii="Times New Roman" w:hAnsi="Times New Roman"/>
          <w:color w:val="000000" w:themeColor="text1"/>
          <w:sz w:val="16"/>
          <w:szCs w:val="16"/>
        </w:rPr>
      </w:pPr>
    </w:p>
    <w:p w14:paraId="325F67C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11D5FF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F7475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23 января по 6 февраля 1929 проходили испытания самолета Р.1. М-5 № 3483.</w:t>
      </w:r>
    </w:p>
    <w:p w14:paraId="5F77DE4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испытания самолета Р.1. М-5 № 3483</w:t>
      </w:r>
    </w:p>
    <w:p w14:paraId="1497C45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Начало испытания 23 января 1929 года</w:t>
      </w:r>
    </w:p>
    <w:p w14:paraId="1D549A1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 испытания 6 февраля 1929 года</w:t>
      </w:r>
    </w:p>
    <w:p w14:paraId="51A9608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Р.1. № 3483 с мотором М-5 400 НР № 483</w:t>
      </w:r>
    </w:p>
    <w:p w14:paraId="69E980B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Общие данные и основные размеры самолета обычные для самолетов Р.1.-М.5.</w:t>
      </w:r>
    </w:p>
    <w:p w14:paraId="3DFB227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6665844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Произведенное испытание самолета Р.1.М.5. за № 3483 выявило, что самолет по своим летным качествам (управляемости, скорости и устойчивости) существенно ничем не отличается от обычного самолета Р.1.М.5.</w:t>
      </w:r>
    </w:p>
    <w:p w14:paraId="5F912E6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Внесенные изменения в самолете:</w:t>
      </w:r>
    </w:p>
    <w:p w14:paraId="5FACFFC0"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Вынос крыла – 390 мм – улучшает центровку самолета;</w:t>
      </w:r>
    </w:p>
    <w:p w14:paraId="0ADC51A7"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Смещение “</w:t>
      </w:r>
      <w:proofErr w:type="spellStart"/>
      <w:r w:rsidRPr="00A259BD">
        <w:rPr>
          <w:rFonts w:ascii="Times New Roman" w:hAnsi="Times New Roman"/>
          <w:color w:val="000000" w:themeColor="text1"/>
          <w:sz w:val="16"/>
          <w:szCs w:val="16"/>
        </w:rPr>
        <w:t>бомбр</w:t>
      </w:r>
      <w:proofErr w:type="spellEnd"/>
      <w:r w:rsidRPr="00A259BD">
        <w:rPr>
          <w:rFonts w:ascii="Times New Roman" w:hAnsi="Times New Roman"/>
          <w:color w:val="000000" w:themeColor="text1"/>
          <w:sz w:val="16"/>
          <w:szCs w:val="16"/>
        </w:rPr>
        <w:t xml:space="preserve"> 2” - ДЕР 6 на 45 мм и ДЕР-7 на 223 мм вперед;</w:t>
      </w:r>
    </w:p>
    <w:p w14:paraId="41353288"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Сидение летчика опущенное на 90 мм, предусмотрев возможность пользования педалями второго управления</w:t>
      </w:r>
    </w:p>
    <w:p w14:paraId="30E0747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2DE0794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Целесообразно ввести в постройку самолетов ближайшей серии …………….(6977).</w:t>
      </w:r>
    </w:p>
    <w:p w14:paraId="179A862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1906F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23 января по 6 февраля 1929 в НИИ ВВС проходили испытания самолета Р.1. М-5 № 3483.</w:t>
      </w:r>
    </w:p>
    <w:p w14:paraId="412E180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испытания самолета Р.1. М-5 № 3483</w:t>
      </w:r>
    </w:p>
    <w:p w14:paraId="205D025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Начало испытания 23 января 1929 года</w:t>
      </w:r>
    </w:p>
    <w:p w14:paraId="2B2F7AC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 испытания 6 февраля 1929 года</w:t>
      </w:r>
    </w:p>
    <w:p w14:paraId="57850BF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Р.1. № 3483 с мотором М-5 400 НР № 483</w:t>
      </w:r>
    </w:p>
    <w:p w14:paraId="2628D20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Общие данные и основные размеры самолета обычные для самолетов Р.1.-М.5.</w:t>
      </w:r>
    </w:p>
    <w:p w14:paraId="070D50F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24E732E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Произведенное испытание самолета Р.1.М.5. за № 3483 выявило, что самолет по своим летным качествам (управляемости, скорости и устойчивости) существенно ничем не отличается от обычного самолета Р.1.М.5.</w:t>
      </w:r>
    </w:p>
    <w:p w14:paraId="54996DD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Внесенные изменения в самолете:</w:t>
      </w:r>
    </w:p>
    <w:p w14:paraId="1D1880DE"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Вынос крыла – 390 мм – улучшает центровку самолета;</w:t>
      </w:r>
    </w:p>
    <w:p w14:paraId="5014865C"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Смещение “</w:t>
      </w:r>
      <w:proofErr w:type="spellStart"/>
      <w:r w:rsidRPr="00A259BD">
        <w:rPr>
          <w:rFonts w:ascii="Times New Roman" w:hAnsi="Times New Roman"/>
          <w:color w:val="000000" w:themeColor="text1"/>
          <w:sz w:val="16"/>
          <w:szCs w:val="16"/>
        </w:rPr>
        <w:t>бомбр</w:t>
      </w:r>
      <w:proofErr w:type="spellEnd"/>
      <w:r w:rsidRPr="00A259BD">
        <w:rPr>
          <w:rFonts w:ascii="Times New Roman" w:hAnsi="Times New Roman"/>
          <w:color w:val="000000" w:themeColor="text1"/>
          <w:sz w:val="16"/>
          <w:szCs w:val="16"/>
        </w:rPr>
        <w:t xml:space="preserve"> 2” - ДЕР 6 на 45 мм и ДЕР-7 на 223 мм вперед;</w:t>
      </w:r>
    </w:p>
    <w:p w14:paraId="3E735CBA"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Сидение летчика опущенное на 90 мм, предусмотрев возможность пользования педалями второго управления</w:t>
      </w:r>
    </w:p>
    <w:p w14:paraId="6AB9153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59701AC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Целесообразно ввести в постройку самолетов ближайшей серии …………….(6983).</w:t>
      </w:r>
    </w:p>
    <w:p w14:paraId="3CBF18E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2C52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23 января по 6 февраля 1929 в НИИ ВВС проходили гос. испытания самолета Р1 М-5 № 3483</w:t>
      </w:r>
    </w:p>
    <w:p w14:paraId="617360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испытания самолета Р1 М-5 № 3483</w:t>
      </w:r>
    </w:p>
    <w:p w14:paraId="22523F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Задание НТК УВВС</w:t>
      </w:r>
    </w:p>
    <w:p w14:paraId="4857DE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Общие данные и основные размеры самолета обычные для самолетов Р1 М5.</w:t>
      </w:r>
    </w:p>
    <w:p w14:paraId="6DF1BE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6E2AFF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Понижение летных качеств (скороподъемности и потолка) самолетов Р1-М5 при испытаниях в зимних условиях, происходит, вероятно, вследствие того, что при пересчете на стандартную атмосферу не поддается учету:</w:t>
      </w:r>
    </w:p>
    <w:p w14:paraId="028A6A56"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Влияние давления температуры и влажности воздуха на мощность мотора.</w:t>
      </w:r>
    </w:p>
    <w:p w14:paraId="131E1486"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Добавочное сопротивление лыж.</w:t>
      </w:r>
    </w:p>
    <w:p w14:paraId="040623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сравнительных испытаниях на скороподъемность самолетов №№ 3454 и 3483 в одинаковых условиях получены одинаковые результаты. Это указывает, что уменьшение выноса крыльев на 20 мм не меняет данных скороподъемности и горизонтальных скоростей самолета Р1-М5 (6996).</w:t>
      </w:r>
    </w:p>
    <w:p w14:paraId="7A96BA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7C64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января 1929 Госплан СССР утвердил пятилетний план развития ГВФ и хотели начав с 18 тыс. км довести воздушные линии до 42 тыс. (438,592).</w:t>
      </w:r>
    </w:p>
    <w:p w14:paraId="561A64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6BF4C7" w14:textId="77777777" w:rsidR="005C7604" w:rsidRPr="006B74EB" w:rsidRDefault="005C7604" w:rsidP="005C7604">
      <w:pPr>
        <w:spacing w:after="0" w:line="240" w:lineRule="auto"/>
        <w:jc w:val="both"/>
        <w:rPr>
          <w:rFonts w:ascii="Times New Roman" w:hAnsi="Times New Roman"/>
          <w:color w:val="0070C0"/>
          <w:sz w:val="16"/>
          <w:szCs w:val="16"/>
        </w:rPr>
      </w:pPr>
      <w:r w:rsidRPr="005C7604">
        <w:rPr>
          <w:rFonts w:ascii="Times New Roman" w:hAnsi="Times New Roman"/>
          <w:color w:val="0070C0"/>
          <w:sz w:val="16"/>
          <w:szCs w:val="16"/>
        </w:rPr>
        <w:t>23</w:t>
      </w:r>
      <w:r>
        <w:rPr>
          <w:rFonts w:ascii="Times New Roman" w:hAnsi="Times New Roman"/>
          <w:color w:val="0070C0"/>
          <w:sz w:val="16"/>
          <w:szCs w:val="16"/>
        </w:rPr>
        <w:t xml:space="preserve"> янва</w:t>
      </w:r>
      <w:r w:rsidRPr="006B74EB">
        <w:rPr>
          <w:rFonts w:ascii="Times New Roman" w:hAnsi="Times New Roman"/>
          <w:color w:val="0070C0"/>
          <w:sz w:val="16"/>
          <w:szCs w:val="16"/>
        </w:rPr>
        <w:t>ря</w:t>
      </w:r>
      <w:r>
        <w:rPr>
          <w:rFonts w:ascii="Times New Roman" w:hAnsi="Times New Roman"/>
          <w:color w:val="0070C0"/>
          <w:sz w:val="16"/>
          <w:szCs w:val="16"/>
        </w:rPr>
        <w:t xml:space="preserve"> 1929 г. </w:t>
      </w:r>
      <w:r w:rsidRPr="006B74EB">
        <w:rPr>
          <w:rFonts w:ascii="Times New Roman" w:hAnsi="Times New Roman"/>
          <w:color w:val="0070C0"/>
          <w:sz w:val="16"/>
          <w:szCs w:val="16"/>
        </w:rPr>
        <w:t>Госплан СССР утвердил пятил</w:t>
      </w:r>
      <w:r>
        <w:rPr>
          <w:rFonts w:ascii="Times New Roman" w:hAnsi="Times New Roman"/>
          <w:color w:val="0070C0"/>
          <w:sz w:val="16"/>
          <w:szCs w:val="16"/>
        </w:rPr>
        <w:t>е</w:t>
      </w:r>
      <w:r w:rsidRPr="006B74EB">
        <w:rPr>
          <w:rFonts w:ascii="Times New Roman" w:hAnsi="Times New Roman"/>
          <w:color w:val="0070C0"/>
          <w:sz w:val="16"/>
          <w:szCs w:val="16"/>
        </w:rPr>
        <w:t>тн</w:t>
      </w:r>
      <w:r>
        <w:rPr>
          <w:rFonts w:ascii="Times New Roman" w:hAnsi="Times New Roman"/>
          <w:color w:val="0070C0"/>
          <w:sz w:val="16"/>
          <w:szCs w:val="16"/>
        </w:rPr>
        <w:t>и</w:t>
      </w:r>
      <w:r w:rsidRPr="006B74EB">
        <w:rPr>
          <w:rFonts w:ascii="Times New Roman" w:hAnsi="Times New Roman"/>
          <w:color w:val="0070C0"/>
          <w:sz w:val="16"/>
          <w:szCs w:val="16"/>
        </w:rPr>
        <w:t>й план Граждан</w:t>
      </w:r>
      <w:r>
        <w:rPr>
          <w:rFonts w:ascii="Times New Roman" w:hAnsi="Times New Roman"/>
          <w:color w:val="0070C0"/>
          <w:sz w:val="16"/>
          <w:szCs w:val="16"/>
        </w:rPr>
        <w:t>с</w:t>
      </w:r>
      <w:r w:rsidRPr="006B74EB">
        <w:rPr>
          <w:rFonts w:ascii="Times New Roman" w:hAnsi="Times New Roman"/>
          <w:color w:val="0070C0"/>
          <w:sz w:val="16"/>
          <w:szCs w:val="16"/>
        </w:rPr>
        <w:t>кого</w:t>
      </w:r>
      <w:r>
        <w:rPr>
          <w:rFonts w:ascii="Times New Roman" w:hAnsi="Times New Roman"/>
          <w:color w:val="0070C0"/>
          <w:sz w:val="16"/>
          <w:szCs w:val="16"/>
        </w:rPr>
        <w:t xml:space="preserve"> воздушного</w:t>
      </w:r>
      <w:r w:rsidRPr="006B74EB">
        <w:rPr>
          <w:rFonts w:ascii="Times New Roman" w:hAnsi="Times New Roman"/>
          <w:color w:val="0070C0"/>
          <w:sz w:val="16"/>
          <w:szCs w:val="16"/>
        </w:rPr>
        <w:t xml:space="preserve"> флота.</w:t>
      </w:r>
      <w:r>
        <w:rPr>
          <w:rFonts w:ascii="Times New Roman" w:hAnsi="Times New Roman"/>
          <w:color w:val="0070C0"/>
          <w:sz w:val="16"/>
          <w:szCs w:val="16"/>
        </w:rPr>
        <w:t xml:space="preserve"> </w:t>
      </w:r>
      <w:r w:rsidRPr="006B74EB">
        <w:rPr>
          <w:rFonts w:ascii="Times New Roman" w:hAnsi="Times New Roman"/>
          <w:color w:val="0070C0"/>
          <w:sz w:val="16"/>
          <w:szCs w:val="16"/>
        </w:rPr>
        <w:t>П</w:t>
      </w:r>
      <w:r>
        <w:rPr>
          <w:rFonts w:ascii="Times New Roman" w:hAnsi="Times New Roman"/>
          <w:color w:val="0070C0"/>
          <w:sz w:val="16"/>
          <w:szCs w:val="16"/>
        </w:rPr>
        <w:t>о</w:t>
      </w:r>
      <w:r w:rsidRPr="006B74EB">
        <w:rPr>
          <w:rFonts w:ascii="Times New Roman" w:hAnsi="Times New Roman"/>
          <w:color w:val="0070C0"/>
          <w:sz w:val="16"/>
          <w:szCs w:val="16"/>
        </w:rPr>
        <w:t xml:space="preserve"> </w:t>
      </w:r>
      <w:r>
        <w:rPr>
          <w:rFonts w:ascii="Times New Roman" w:hAnsi="Times New Roman"/>
          <w:color w:val="0070C0"/>
          <w:sz w:val="16"/>
          <w:szCs w:val="16"/>
        </w:rPr>
        <w:t>э</w:t>
      </w:r>
      <w:r w:rsidRPr="006B74EB">
        <w:rPr>
          <w:rFonts w:ascii="Times New Roman" w:hAnsi="Times New Roman"/>
          <w:color w:val="0070C0"/>
          <w:sz w:val="16"/>
          <w:szCs w:val="16"/>
        </w:rPr>
        <w:t xml:space="preserve">тому плану предусматривалось расширение сети </w:t>
      </w:r>
      <w:r>
        <w:rPr>
          <w:rFonts w:ascii="Times New Roman" w:hAnsi="Times New Roman"/>
          <w:color w:val="0070C0"/>
          <w:sz w:val="16"/>
          <w:szCs w:val="16"/>
        </w:rPr>
        <w:t xml:space="preserve">воздушных </w:t>
      </w:r>
      <w:r w:rsidRPr="006B74EB">
        <w:rPr>
          <w:rFonts w:ascii="Times New Roman" w:hAnsi="Times New Roman"/>
          <w:color w:val="0070C0"/>
          <w:sz w:val="16"/>
          <w:szCs w:val="16"/>
        </w:rPr>
        <w:t xml:space="preserve">линий </w:t>
      </w:r>
      <w:r>
        <w:rPr>
          <w:rFonts w:ascii="Times New Roman" w:hAnsi="Times New Roman"/>
          <w:color w:val="0070C0"/>
          <w:sz w:val="16"/>
          <w:szCs w:val="16"/>
        </w:rPr>
        <w:t>с</w:t>
      </w:r>
      <w:r w:rsidRPr="006B74EB">
        <w:rPr>
          <w:rFonts w:ascii="Times New Roman" w:hAnsi="Times New Roman"/>
          <w:color w:val="0070C0"/>
          <w:sz w:val="16"/>
          <w:szCs w:val="16"/>
        </w:rPr>
        <w:t xml:space="preserve"> 18 тысяч км в первом году до 42 тысяч км в пя</w:t>
      </w:r>
      <w:r>
        <w:rPr>
          <w:rFonts w:ascii="Times New Roman" w:hAnsi="Times New Roman"/>
          <w:color w:val="0070C0"/>
          <w:sz w:val="16"/>
          <w:szCs w:val="16"/>
        </w:rPr>
        <w:t>том году</w:t>
      </w:r>
      <w:r w:rsidRPr="006B74EB">
        <w:rPr>
          <w:rFonts w:ascii="Times New Roman" w:hAnsi="Times New Roman"/>
          <w:color w:val="0070C0"/>
          <w:sz w:val="16"/>
          <w:szCs w:val="16"/>
        </w:rPr>
        <w:t xml:space="preserve"> пятилетки.</w:t>
      </w:r>
      <w:r>
        <w:rPr>
          <w:rFonts w:ascii="Times New Roman" w:hAnsi="Times New Roman"/>
          <w:color w:val="0070C0"/>
          <w:sz w:val="16"/>
          <w:szCs w:val="16"/>
        </w:rPr>
        <w:t xml:space="preserve"> </w:t>
      </w:r>
      <w:r w:rsidRPr="006B74EB">
        <w:rPr>
          <w:rFonts w:ascii="Times New Roman" w:hAnsi="Times New Roman"/>
          <w:color w:val="0070C0"/>
          <w:sz w:val="16"/>
          <w:szCs w:val="16"/>
        </w:rPr>
        <w:t>Кроме того,</w:t>
      </w:r>
      <w:r>
        <w:rPr>
          <w:rFonts w:ascii="Times New Roman" w:hAnsi="Times New Roman"/>
          <w:color w:val="0070C0"/>
          <w:sz w:val="16"/>
          <w:szCs w:val="16"/>
        </w:rPr>
        <w:t xml:space="preserve"> </w:t>
      </w:r>
      <w:r w:rsidRPr="006B74EB">
        <w:rPr>
          <w:rFonts w:ascii="Times New Roman" w:hAnsi="Times New Roman"/>
          <w:color w:val="0070C0"/>
          <w:sz w:val="16"/>
          <w:szCs w:val="16"/>
        </w:rPr>
        <w:t>был запланирован больной об</w:t>
      </w:r>
      <w:r>
        <w:rPr>
          <w:rFonts w:ascii="Times New Roman" w:hAnsi="Times New Roman"/>
          <w:color w:val="0070C0"/>
          <w:sz w:val="16"/>
          <w:szCs w:val="16"/>
        </w:rPr>
        <w:t>ъ</w:t>
      </w:r>
      <w:r w:rsidRPr="006B74EB">
        <w:rPr>
          <w:rFonts w:ascii="Times New Roman" w:hAnsi="Times New Roman"/>
          <w:color w:val="0070C0"/>
          <w:sz w:val="16"/>
          <w:szCs w:val="16"/>
        </w:rPr>
        <w:t xml:space="preserve">ем работ </w:t>
      </w:r>
      <w:r>
        <w:rPr>
          <w:rFonts w:ascii="Times New Roman" w:hAnsi="Times New Roman"/>
          <w:color w:val="0070C0"/>
          <w:sz w:val="16"/>
          <w:szCs w:val="16"/>
        </w:rPr>
        <w:t>по аэро</w:t>
      </w:r>
      <w:r w:rsidRPr="006B74EB">
        <w:rPr>
          <w:rFonts w:ascii="Times New Roman" w:hAnsi="Times New Roman"/>
          <w:color w:val="0070C0"/>
          <w:sz w:val="16"/>
          <w:szCs w:val="16"/>
        </w:rPr>
        <w:t>фото</w:t>
      </w:r>
      <w:r>
        <w:rPr>
          <w:rFonts w:ascii="Times New Roman" w:hAnsi="Times New Roman"/>
          <w:color w:val="0070C0"/>
          <w:sz w:val="16"/>
          <w:szCs w:val="16"/>
        </w:rPr>
        <w:t>съ</w:t>
      </w:r>
      <w:r w:rsidRPr="006B74EB">
        <w:rPr>
          <w:rFonts w:ascii="Times New Roman" w:hAnsi="Times New Roman"/>
          <w:color w:val="0070C0"/>
          <w:sz w:val="16"/>
          <w:szCs w:val="16"/>
        </w:rPr>
        <w:t xml:space="preserve">емке и специальным видам применения авиации. План по </w:t>
      </w:r>
      <w:r>
        <w:rPr>
          <w:rFonts w:ascii="Times New Roman" w:hAnsi="Times New Roman"/>
          <w:color w:val="0070C0"/>
          <w:sz w:val="16"/>
          <w:szCs w:val="16"/>
        </w:rPr>
        <w:t>п</w:t>
      </w:r>
      <w:r w:rsidRPr="006B74EB">
        <w:rPr>
          <w:rFonts w:ascii="Times New Roman" w:hAnsi="Times New Roman"/>
          <w:color w:val="0070C0"/>
          <w:sz w:val="16"/>
          <w:szCs w:val="16"/>
        </w:rPr>
        <w:t>о</w:t>
      </w:r>
      <w:r>
        <w:rPr>
          <w:rFonts w:ascii="Times New Roman" w:hAnsi="Times New Roman"/>
          <w:color w:val="0070C0"/>
          <w:sz w:val="16"/>
          <w:szCs w:val="16"/>
        </w:rPr>
        <w:t>каз</w:t>
      </w:r>
      <w:r w:rsidRPr="006B74EB">
        <w:rPr>
          <w:rFonts w:ascii="Times New Roman" w:hAnsi="Times New Roman"/>
          <w:color w:val="0070C0"/>
          <w:sz w:val="16"/>
          <w:szCs w:val="16"/>
        </w:rPr>
        <w:t>ателям был перевыполнен.</w:t>
      </w:r>
    </w:p>
    <w:p w14:paraId="359A4EEF" w14:textId="77777777" w:rsidR="005C7604" w:rsidRPr="006B74EB" w:rsidRDefault="005C7604" w:rsidP="005C7604">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/В</w:t>
      </w:r>
      <w:r>
        <w:rPr>
          <w:rFonts w:ascii="Times New Roman" w:hAnsi="Times New Roman"/>
          <w:color w:val="0070C0"/>
          <w:sz w:val="16"/>
          <w:szCs w:val="16"/>
        </w:rPr>
        <w:t>ВФ</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1929 </w:t>
      </w:r>
      <w:r>
        <w:rPr>
          <w:rFonts w:ascii="Times New Roman" w:hAnsi="Times New Roman"/>
          <w:color w:val="0070C0"/>
          <w:sz w:val="16"/>
          <w:szCs w:val="16"/>
        </w:rPr>
        <w:t>№</w:t>
      </w:r>
      <w:r w:rsidRPr="006B74EB">
        <w:rPr>
          <w:rFonts w:ascii="Times New Roman" w:hAnsi="Times New Roman"/>
          <w:color w:val="0070C0"/>
          <w:sz w:val="16"/>
          <w:szCs w:val="16"/>
        </w:rPr>
        <w:t xml:space="preserve"> 2;</w:t>
      </w:r>
      <w:r>
        <w:rPr>
          <w:rFonts w:ascii="Times New Roman" w:hAnsi="Times New Roman"/>
          <w:color w:val="0070C0"/>
          <w:sz w:val="16"/>
          <w:szCs w:val="16"/>
        </w:rPr>
        <w:t xml:space="preserve"> </w:t>
      </w:r>
      <w:r w:rsidRPr="006B74EB">
        <w:rPr>
          <w:rFonts w:ascii="Times New Roman" w:hAnsi="Times New Roman"/>
          <w:color w:val="0070C0"/>
          <w:sz w:val="16"/>
          <w:szCs w:val="16"/>
        </w:rPr>
        <w:t>"15 лет граждан</w:t>
      </w:r>
      <w:r>
        <w:rPr>
          <w:rFonts w:ascii="Times New Roman" w:hAnsi="Times New Roman"/>
          <w:color w:val="0070C0"/>
          <w:sz w:val="16"/>
          <w:szCs w:val="16"/>
        </w:rPr>
        <w:t>с</w:t>
      </w:r>
      <w:r w:rsidRPr="006B74EB">
        <w:rPr>
          <w:rFonts w:ascii="Times New Roman" w:hAnsi="Times New Roman"/>
          <w:color w:val="0070C0"/>
          <w:sz w:val="16"/>
          <w:szCs w:val="16"/>
        </w:rPr>
        <w:t>кого возду</w:t>
      </w:r>
      <w:r>
        <w:rPr>
          <w:rFonts w:ascii="Times New Roman" w:hAnsi="Times New Roman"/>
          <w:color w:val="0070C0"/>
          <w:sz w:val="16"/>
          <w:szCs w:val="16"/>
        </w:rPr>
        <w:t>ш</w:t>
      </w:r>
      <w:r w:rsidRPr="006B74EB">
        <w:rPr>
          <w:rFonts w:ascii="Times New Roman" w:hAnsi="Times New Roman"/>
          <w:color w:val="0070C0"/>
          <w:sz w:val="16"/>
          <w:szCs w:val="16"/>
        </w:rPr>
        <w:t>ного флота СССР”</w:t>
      </w:r>
      <w:r>
        <w:rPr>
          <w:rFonts w:ascii="Times New Roman" w:hAnsi="Times New Roman"/>
          <w:color w:val="0070C0"/>
          <w:sz w:val="16"/>
          <w:szCs w:val="16"/>
        </w:rPr>
        <w:t>,</w:t>
      </w:r>
      <w:r w:rsidRPr="006B74EB">
        <w:rPr>
          <w:rFonts w:ascii="Times New Roman" w:hAnsi="Times New Roman"/>
          <w:color w:val="0070C0"/>
          <w:sz w:val="16"/>
          <w:szCs w:val="16"/>
        </w:rPr>
        <w:t xml:space="preserve"> 1938/</w:t>
      </w:r>
      <w:r>
        <w:rPr>
          <w:rFonts w:ascii="Times New Roman" w:hAnsi="Times New Roman"/>
          <w:color w:val="0070C0"/>
          <w:sz w:val="16"/>
          <w:szCs w:val="16"/>
        </w:rPr>
        <w:t xml:space="preserve"> (23370).</w:t>
      </w:r>
    </w:p>
    <w:p w14:paraId="7BD2FC17" w14:textId="77777777" w:rsidR="005C7604" w:rsidRDefault="005C7604" w:rsidP="005C7604">
      <w:pPr>
        <w:spacing w:after="0" w:line="240" w:lineRule="auto"/>
        <w:jc w:val="both"/>
        <w:rPr>
          <w:rFonts w:ascii="Times New Roman" w:hAnsi="Times New Roman"/>
          <w:color w:val="0070C0"/>
          <w:sz w:val="16"/>
          <w:szCs w:val="16"/>
        </w:rPr>
      </w:pPr>
    </w:p>
    <w:p w14:paraId="4D9862B5" w14:textId="77777777" w:rsidR="00B31C3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A0F99BC" w14:textId="77777777" w:rsidR="00B31C35" w:rsidRPr="00A259BD" w:rsidRDefault="00B31C3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389B548"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 xml:space="preserve">23 января </w:t>
      </w:r>
      <w:r w:rsidRPr="00A259BD">
        <w:rPr>
          <w:color w:val="000000" w:themeColor="text1"/>
          <w:sz w:val="16"/>
          <w:szCs w:val="16"/>
        </w:rPr>
        <w:t>1929 г</w:t>
      </w:r>
      <w:r w:rsidRPr="00A259BD">
        <w:rPr>
          <w:rStyle w:val="af0"/>
          <w:i w:val="0"/>
          <w:color w:val="000000" w:themeColor="text1"/>
          <w:sz w:val="16"/>
          <w:szCs w:val="16"/>
        </w:rPr>
        <w:t xml:space="preserve">. Протокол Реввоенсовета № 6. </w:t>
      </w:r>
      <w:r w:rsidRPr="00A259BD">
        <w:rPr>
          <w:color w:val="000000" w:themeColor="text1"/>
          <w:sz w:val="16"/>
          <w:szCs w:val="16"/>
        </w:rPr>
        <w:t>2</w:t>
      </w:r>
      <w:r w:rsidRPr="00A259BD">
        <w:rPr>
          <w:rStyle w:val="af0"/>
          <w:i w:val="0"/>
          <w:color w:val="000000" w:themeColor="text1"/>
          <w:sz w:val="16"/>
          <w:szCs w:val="16"/>
        </w:rPr>
        <w:t>.</w:t>
      </w:r>
      <w:r w:rsidRPr="00A259BD">
        <w:rPr>
          <w:color w:val="000000" w:themeColor="text1"/>
          <w:sz w:val="16"/>
          <w:szCs w:val="16"/>
        </w:rPr>
        <w:t xml:space="preserve"> План модернизации артиллерийского вооружения РККА. (Ворошилов, Каменев, Тухачевский, Егоров, Уборевич, </w:t>
      </w:r>
      <w:proofErr w:type="spellStart"/>
      <w:r w:rsidRPr="00A259BD">
        <w:rPr>
          <w:color w:val="000000" w:themeColor="text1"/>
          <w:sz w:val="16"/>
          <w:szCs w:val="16"/>
        </w:rPr>
        <w:t>Гарф</w:t>
      </w:r>
      <w:proofErr w:type="spellEnd"/>
      <w:r w:rsidRPr="00A259BD">
        <w:rPr>
          <w:color w:val="000000" w:themeColor="text1"/>
          <w:sz w:val="16"/>
          <w:szCs w:val="16"/>
        </w:rPr>
        <w:t>, Кулик). (РГВА. Ф. 4. Оп. 18. Д. 15. Л. 32</w:t>
      </w:r>
      <w:r w:rsidRPr="00A259BD">
        <w:rPr>
          <w:color w:val="000000" w:themeColor="text1"/>
          <w:sz w:val="16"/>
          <w:szCs w:val="16"/>
        </w:rPr>
        <w:noBreakHyphen/>
        <w:t>37) (12342).</w:t>
      </w:r>
    </w:p>
    <w:p w14:paraId="04FC9242" w14:textId="77777777" w:rsidR="00B31C35" w:rsidRPr="00A259BD" w:rsidRDefault="00B31C35" w:rsidP="009236E3">
      <w:pPr>
        <w:pStyle w:val="rtejustify"/>
        <w:spacing w:before="0" w:after="0"/>
        <w:rPr>
          <w:color w:val="000000" w:themeColor="text1"/>
          <w:sz w:val="16"/>
          <w:szCs w:val="16"/>
        </w:rPr>
      </w:pPr>
    </w:p>
    <w:p w14:paraId="68838E45"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19F5D1E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8310F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января 1929 в СССР арестовано более ста троцкистов по обвинению в заговоре (4962).</w:t>
      </w:r>
    </w:p>
    <w:p w14:paraId="6D2DCEF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696BF1"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45EB56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062C4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23 по 27 1929 февраля американские авианосцы Лексингтон и Саратога первый раз приняли участие в маневрах (2273).</w:t>
      </w:r>
    </w:p>
    <w:p w14:paraId="3828B5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CC7B257" w14:textId="77777777" w:rsidR="00B31C3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41167FA" w14:textId="77777777" w:rsidR="00B31C35" w:rsidRPr="00A259BD" w:rsidRDefault="00B31C3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CEE0C1" w14:textId="77777777" w:rsidR="00B31C35" w:rsidRPr="00A259BD" w:rsidRDefault="00B31C35"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24 января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Политбюро ЦК ВКП (б) создало комиссию для выработки тезисов по пятилетнему плану развития народного хозяйства к XVI партийной конференции (12265).</w:t>
      </w:r>
    </w:p>
    <w:p w14:paraId="3D90F40D" w14:textId="77777777" w:rsidR="00B31C35" w:rsidRPr="00A259BD" w:rsidRDefault="00B31C3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7CEF6971" w14:textId="77777777" w:rsidR="004D16E2" w:rsidRPr="00A259BD" w:rsidRDefault="004D16E2" w:rsidP="009236E3">
      <w:pPr>
        <w:spacing w:after="0" w:line="240" w:lineRule="auto"/>
        <w:jc w:val="both"/>
        <w:rPr>
          <w:rStyle w:val="af0"/>
          <w:rFonts w:ascii="Times New Roman" w:hAnsi="Times New Roman"/>
          <w:i w:val="0"/>
          <w:color w:val="000000" w:themeColor="text1"/>
          <w:sz w:val="16"/>
          <w:szCs w:val="16"/>
        </w:rPr>
      </w:pPr>
      <w:r w:rsidRPr="00A259BD">
        <w:rPr>
          <w:rFonts w:ascii="Times New Roman" w:hAnsi="Times New Roman"/>
          <w:bCs/>
          <w:color w:val="000000" w:themeColor="text1"/>
          <w:sz w:val="16"/>
          <w:szCs w:val="16"/>
        </w:rPr>
        <w:t>24 января 1929 г. — Из доклада Реввоенсовета СССР в РЗ СТО СССР «О технических условиях и кондиции продукции промышленности, сдаваемой Наркомвоенмору»</w:t>
      </w:r>
    </w:p>
    <w:p w14:paraId="07AD0246" w14:textId="77777777" w:rsidR="00B31C35" w:rsidRPr="00A259BD" w:rsidRDefault="00B31C35"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133CF267"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Качество продукции, изготовляемой предприятиями промышленности по заказам военного ведомства, не всегда соответствует тем техническим требованиям, которые установлены НКВМ. Технические условия, не являясь по существу особенно жесткими, на практике, однако, бывают трудновыполнимыми за отсутствием соответствующих материалов (сырья). Это обстоятельство обычно ведет к тому, что технические условия приходится пересматривать в сторону их снижения уже в процессе выполнения заказов и в результате только часть заказов принимается по твердым договорным техническим условиям; значительная же часть продукции принимается с пониженными или измененными техническими требованиями. Как общее правило, пересмотр технических условий должен бы производиться в конце производственного года, перед заключением новых договоров с промышленностью и по ее предложениям, которые должны учитывать сырьевые возможности предстоящего года. Однако состояние сырьевого рынка таково, что требования на пересмотр технических условий поступают от промышленности в течение всего года, что в свою очередь чрезвычайно затрудняет работу технических комитетов НКВМ. Нельзя не отметить при этом, что предприятия промышленности зачастую добиваются понижения технических условий только для того, чтобы использовать наличие не вполне кондиционных материалов. Довольствующие управления НКВМ в некоторых случаях вынуждены все же настаивать на поставке изделий по твердым техническим условиям, имея в виду специфичность таких изделий, которые составляют предметы боевого вооружения РККА. Эти предметы по своей прочности должны отвечать всем требованиям боевого их применения; затем, в силу того что такие предметы заготовляются в большей своей части для образования неприкосновенных запасов, они должны выдерживать долговременное хранение; наконец, чрезвычайно значительная стоимость этого рода имущества совершенно исключает возможность понижения определенных твердых технических требований.</w:t>
      </w:r>
    </w:p>
    <w:p w14:paraId="242C0B06"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Переходя к вопросу о технических условиях, необходимо подразделить их на две группы. 1) общие и 2) специальные; первые охватывают главным образом материалы, а вторые касаются самих изделий. На этих вопросах необходимо остановиться несколько подробнее, так как здесь имеется целый ряд спорных моментов, выдвигаемых предприятиями промышленности.</w:t>
      </w:r>
    </w:p>
    <w:p w14:paraId="48AFA219" w14:textId="77777777" w:rsidR="004D16E2" w:rsidRPr="00A259BD" w:rsidRDefault="004D16E2" w:rsidP="009236E3">
      <w:pPr>
        <w:pStyle w:val="rtejustify"/>
        <w:spacing w:before="0" w:after="0"/>
        <w:rPr>
          <w:rStyle w:val="af0"/>
          <w:i w:val="0"/>
          <w:color w:val="000000" w:themeColor="text1"/>
          <w:sz w:val="16"/>
          <w:szCs w:val="16"/>
        </w:rPr>
      </w:pPr>
      <w:r w:rsidRPr="00A259BD">
        <w:rPr>
          <w:rStyle w:val="a7"/>
          <w:b w:val="0"/>
          <w:bCs w:val="0"/>
          <w:color w:val="000000" w:themeColor="text1"/>
          <w:sz w:val="16"/>
          <w:szCs w:val="16"/>
        </w:rPr>
        <w:t>Общие технические условия</w:t>
      </w:r>
    </w:p>
    <w:p w14:paraId="14EA6669"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По Орудийно-арсенальному тресту.</w:t>
      </w:r>
      <w:r w:rsidRPr="00A259BD">
        <w:rPr>
          <w:color w:val="000000" w:themeColor="text1"/>
          <w:sz w:val="16"/>
          <w:szCs w:val="16"/>
        </w:rPr>
        <w:t xml:space="preserve"> 1. Технические условия на прием металлов пересмотрены в конце 1927 г.; трест протестует, например, против установленных норм для испытания стали на удар; в силу специфичности изделий, для которых требуется сталь, понижение норм не может быть допущено.</w:t>
      </w:r>
    </w:p>
    <w:p w14:paraId="7F678F00"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 xml:space="preserve">2. Требования, предъявляемые к орудийному металлу, мало чем отличаются от довоенного, но в связи с увеличением дальнобойности орудий производится изыскание новых сортов стали (с примесями хрома, никеля, молибдена, вольфрама и др.); предел упругости специальной стали необходимо определять более точными методами при помощи специальных приборов — </w:t>
      </w:r>
      <w:proofErr w:type="spellStart"/>
      <w:r w:rsidRPr="00A259BD">
        <w:rPr>
          <w:color w:val="000000" w:themeColor="text1"/>
          <w:sz w:val="16"/>
          <w:szCs w:val="16"/>
        </w:rPr>
        <w:t>экстензометров</w:t>
      </w:r>
      <w:proofErr w:type="spellEnd"/>
      <w:r w:rsidRPr="00A259BD">
        <w:rPr>
          <w:color w:val="000000" w:themeColor="text1"/>
          <w:sz w:val="16"/>
          <w:szCs w:val="16"/>
        </w:rPr>
        <w:t xml:space="preserve">. Трест неохотно идет на уточненные методы испытаний и на соблюдение выработанных специальной комиссией требований механических качеств специальной стали и добивается их (механических качеств) понижения. Переход на изготовление орудий из </w:t>
      </w:r>
      <w:proofErr w:type="spellStart"/>
      <w:r w:rsidRPr="00A259BD">
        <w:rPr>
          <w:color w:val="000000" w:themeColor="text1"/>
          <w:sz w:val="16"/>
          <w:szCs w:val="16"/>
        </w:rPr>
        <w:t>малохромистой</w:t>
      </w:r>
      <w:proofErr w:type="spellEnd"/>
      <w:r w:rsidRPr="00A259BD">
        <w:rPr>
          <w:color w:val="000000" w:themeColor="text1"/>
          <w:sz w:val="16"/>
          <w:szCs w:val="16"/>
        </w:rPr>
        <w:t xml:space="preserve"> стали, естественно, сопровождается некоторым повышением брака орудий, главным образом по трещинам; это явление приняло настолько большие размеры, что на Мотовилихинском заводе до настоящего времени брак орудийных поковок достигает значительных размеров (200 шт. за год, т. е. 9%).</w:t>
      </w:r>
    </w:p>
    <w:p w14:paraId="42E5F06E" w14:textId="77777777" w:rsidR="00B31C35" w:rsidRPr="00A259BD" w:rsidRDefault="00B31C35" w:rsidP="009236E3">
      <w:pPr>
        <w:pStyle w:val="rtejustify"/>
        <w:spacing w:before="0" w:after="0"/>
        <w:rPr>
          <w:color w:val="000000" w:themeColor="text1"/>
          <w:sz w:val="16"/>
          <w:szCs w:val="16"/>
        </w:rPr>
      </w:pPr>
      <w:proofErr w:type="spellStart"/>
      <w:r w:rsidRPr="00A259BD">
        <w:rPr>
          <w:rStyle w:val="af0"/>
          <w:i w:val="0"/>
          <w:color w:val="000000" w:themeColor="text1"/>
          <w:sz w:val="16"/>
          <w:szCs w:val="16"/>
        </w:rPr>
        <w:t>Кожпромышленностъ</w:t>
      </w:r>
      <w:proofErr w:type="spellEnd"/>
      <w:r w:rsidRPr="00A259BD">
        <w:rPr>
          <w:rStyle w:val="af0"/>
          <w:i w:val="0"/>
          <w:color w:val="000000" w:themeColor="text1"/>
          <w:sz w:val="16"/>
          <w:szCs w:val="16"/>
        </w:rPr>
        <w:t>.</w:t>
      </w:r>
      <w:r w:rsidRPr="00A259BD">
        <w:rPr>
          <w:color w:val="000000" w:themeColor="text1"/>
          <w:sz w:val="16"/>
          <w:szCs w:val="16"/>
        </w:rPr>
        <w:t xml:space="preserve"> Кожевенное сырье для выполнения военных заказов поступает в значительной своей части крайне низкого качества; обследованием </w:t>
      </w:r>
      <w:proofErr w:type="spellStart"/>
      <w:r w:rsidRPr="00A259BD">
        <w:rPr>
          <w:color w:val="000000" w:themeColor="text1"/>
          <w:sz w:val="16"/>
          <w:szCs w:val="16"/>
        </w:rPr>
        <w:t>Ленкожтреста</w:t>
      </w:r>
      <w:proofErr w:type="spellEnd"/>
      <w:r w:rsidRPr="00A259BD">
        <w:rPr>
          <w:color w:val="000000" w:themeColor="text1"/>
          <w:sz w:val="16"/>
          <w:szCs w:val="16"/>
        </w:rPr>
        <w:t xml:space="preserve"> (в октябре 1928 г.) установлено, что </w:t>
      </w:r>
      <w:proofErr w:type="spellStart"/>
      <w:r w:rsidRPr="00A259BD">
        <w:rPr>
          <w:color w:val="000000" w:themeColor="text1"/>
          <w:sz w:val="16"/>
          <w:szCs w:val="16"/>
        </w:rPr>
        <w:t>Кожимпорт</w:t>
      </w:r>
      <w:proofErr w:type="spellEnd"/>
      <w:r w:rsidRPr="00A259BD">
        <w:rPr>
          <w:color w:val="000000" w:themeColor="text1"/>
          <w:sz w:val="16"/>
          <w:szCs w:val="16"/>
        </w:rPr>
        <w:t xml:space="preserve"> в 1928 г. не обеспечил трест в достаточном количестве сырьем для выделки подошвы и шорно-седельного полувала. Во избежание срыва заказов военное ведомство в этом году вынуждено было временно согласиться на получение продукции пониженного качества. Основные технические условия на кожевенные товары выработаны еще в 1923 г.; в 1925 г. в эти условия были внесены поправки (в сторону снижения) как мера временная, однако пониженные технические условия сохранились до сих пор. Качество сырья для шорно-седельного полувала требовало снижения технических условий на изделия; в период урегулирования этого вопроса ВПУ ВСНХ СССР, не дожидаясь результатов проработки новых технических условий, ввело их в действие с 15 декабря 1927 г. В результате при приемке седел обнаружилось несоответствие деталей седла кондициям, и военное ведомство было поставлено перед дилеммой: или отказаться от приема таких седел (срывая план снабжения), или принимать седла по пониженным кондициям со скидкой в 35</w:t>
      </w:r>
      <w:r w:rsidRPr="00A259BD">
        <w:rPr>
          <w:color w:val="000000" w:themeColor="text1"/>
          <w:sz w:val="16"/>
          <w:szCs w:val="16"/>
        </w:rPr>
        <w:noBreakHyphen/>
        <w:t xml:space="preserve">50%. При кустарном способе шорно-седельного производства довольствующим управлениям приходится снабжать промышленность даже рабочими чертежами, т. е. выполнять такую работу, которая по существу относится к обязанности промышленности. Кроме того, отзывы по вновь вводимым чертежам некоторыми трестами совсем не даются, после введения их в действие начинают поступать различного рода нарекания на технические условия. До настоящего времени поставка седел промышленностью не улучшилась, и, наоборот, со стороны отдельных трестов продолжают поступать требования о снижении техусловий. Существующие приемы и методы изготовления самой кожи, несомненно, требуют улучшений. При выделке, например, подошвенной кожи имеет место увлечение процессами ускоренного дубления; результатом такого увлечения является утяжеление кожи и излишние расходы на импортирование специальных дубителей. Вместе с тем надо подчеркнуть, что при этих условиях и качество кожи понижается; доказательством могут служить почти не прекращающиеся жалобы военных округов на быструю изнашиваемость подошвы в обуви. Все это производится </w:t>
      </w:r>
      <w:proofErr w:type="spellStart"/>
      <w:r w:rsidRPr="00A259BD">
        <w:rPr>
          <w:color w:val="000000" w:themeColor="text1"/>
          <w:sz w:val="16"/>
          <w:szCs w:val="16"/>
        </w:rPr>
        <w:t>кожпромышленностью</w:t>
      </w:r>
      <w:proofErr w:type="spellEnd"/>
      <w:r w:rsidRPr="00A259BD">
        <w:rPr>
          <w:color w:val="000000" w:themeColor="text1"/>
          <w:sz w:val="16"/>
          <w:szCs w:val="16"/>
        </w:rPr>
        <w:t xml:space="preserve"> вопреки существующим условиям, утвержденным ГВПУ ВСНХ СССР, обязывающим заказы НКВМ на подошвенную кожу выполнять методами длительного дубления.</w:t>
      </w:r>
    </w:p>
    <w:p w14:paraId="0A458880"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Текстильная промышленность.</w:t>
      </w:r>
      <w:r w:rsidRPr="00A259BD">
        <w:rPr>
          <w:color w:val="000000" w:themeColor="text1"/>
          <w:sz w:val="16"/>
          <w:szCs w:val="16"/>
        </w:rPr>
        <w:t xml:space="preserve"> В производстве грубых и полугрубых сукон главным недочетом надо считать отсутствие соответствующего качества шерсти, что не дает возможности составить однородную смеску </w:t>
      </w:r>
      <w:proofErr w:type="spellStart"/>
      <w:r w:rsidRPr="00A259BD">
        <w:rPr>
          <w:color w:val="000000" w:themeColor="text1"/>
          <w:sz w:val="16"/>
          <w:szCs w:val="16"/>
        </w:rPr>
        <w:t>шерстей</w:t>
      </w:r>
      <w:proofErr w:type="spellEnd"/>
      <w:r w:rsidRPr="00A259BD">
        <w:rPr>
          <w:color w:val="000000" w:themeColor="text1"/>
          <w:sz w:val="16"/>
          <w:szCs w:val="16"/>
        </w:rPr>
        <w:t xml:space="preserve"> для приготовления воинских сукон. В настоящее время осуществляется переход на </w:t>
      </w:r>
      <w:proofErr w:type="spellStart"/>
      <w:r w:rsidRPr="00A259BD">
        <w:rPr>
          <w:color w:val="000000" w:themeColor="text1"/>
          <w:sz w:val="16"/>
          <w:szCs w:val="16"/>
        </w:rPr>
        <w:t>однотысячное</w:t>
      </w:r>
      <w:proofErr w:type="spellEnd"/>
      <w:r w:rsidRPr="00A259BD">
        <w:rPr>
          <w:color w:val="000000" w:themeColor="text1"/>
          <w:sz w:val="16"/>
          <w:szCs w:val="16"/>
        </w:rPr>
        <w:t xml:space="preserve"> зубное </w:t>
      </w:r>
      <w:proofErr w:type="spellStart"/>
      <w:r w:rsidRPr="00A259BD">
        <w:rPr>
          <w:color w:val="000000" w:themeColor="text1"/>
          <w:sz w:val="16"/>
          <w:szCs w:val="16"/>
        </w:rPr>
        <w:t>серошинельное</w:t>
      </w:r>
      <w:proofErr w:type="spellEnd"/>
      <w:r w:rsidRPr="00A259BD">
        <w:rPr>
          <w:color w:val="000000" w:themeColor="text1"/>
          <w:sz w:val="16"/>
          <w:szCs w:val="16"/>
        </w:rPr>
        <w:t xml:space="preserve"> сукно </w:t>
      </w:r>
      <w:proofErr w:type="spellStart"/>
      <w:r w:rsidRPr="00A259BD">
        <w:rPr>
          <w:color w:val="000000" w:themeColor="text1"/>
          <w:sz w:val="16"/>
          <w:szCs w:val="16"/>
        </w:rPr>
        <w:t>киперного</w:t>
      </w:r>
      <w:proofErr w:type="spellEnd"/>
      <w:r w:rsidRPr="00A259BD">
        <w:rPr>
          <w:color w:val="000000" w:themeColor="text1"/>
          <w:sz w:val="16"/>
          <w:szCs w:val="16"/>
        </w:rPr>
        <w:t xml:space="preserve"> переплетения, взамен 900</w:t>
      </w:r>
      <w:r w:rsidRPr="00A259BD">
        <w:rPr>
          <w:color w:val="000000" w:themeColor="text1"/>
          <w:sz w:val="16"/>
          <w:szCs w:val="16"/>
        </w:rPr>
        <w:noBreakHyphen/>
        <w:t xml:space="preserve">зубного существующего. Здесь нельзя не отметить, что в настоящее время в производстве мериносовых сукон промышленность достигла довоенного качества. Вместе с тем в отношении всех сукон сейчас перед промышленностью стоит задача по осуществлению декатировки сукон. К сожалению, этот вопрос пока упирается в производственные возможности и требует поэтому более детальной проработки и изучения. Не вполне удовлетворительное качество грубых сукон, изготовляемых по заказам НКВМ, было отмечено и комиссией НК РКИ, обследовавшей в мае-июне с. г. фабрики Треста грубых сукон (протокол коллегии НК РКИ от 9 августа 1928 г. № 30). По тканям хлопчатобумажным промышленность до сих пор не может устранить непрочность </w:t>
      </w:r>
      <w:r w:rsidRPr="00A259BD">
        <w:rPr>
          <w:color w:val="000000" w:themeColor="text1"/>
          <w:sz w:val="16"/>
          <w:szCs w:val="16"/>
        </w:rPr>
        <w:lastRenderedPageBreak/>
        <w:t xml:space="preserve">окраски гимнастерки и репса; недостаток этот может быть объяснен отчасти недостаточной стойкостью применяемых для окраски сернистых красителей </w:t>
      </w:r>
      <w:proofErr w:type="spellStart"/>
      <w:r w:rsidRPr="00A259BD">
        <w:rPr>
          <w:color w:val="000000" w:themeColor="text1"/>
          <w:sz w:val="16"/>
          <w:szCs w:val="16"/>
        </w:rPr>
        <w:t>Анилтреста</w:t>
      </w:r>
      <w:proofErr w:type="spellEnd"/>
      <w:r w:rsidRPr="00A259BD">
        <w:rPr>
          <w:color w:val="000000" w:themeColor="text1"/>
          <w:sz w:val="16"/>
          <w:szCs w:val="16"/>
        </w:rPr>
        <w:t>, а с другой стороны — применяемыми на некоторых фабриках (Владимирского и 1</w:t>
      </w:r>
      <w:r w:rsidRPr="00A259BD">
        <w:rPr>
          <w:color w:val="000000" w:themeColor="text1"/>
          <w:sz w:val="16"/>
          <w:szCs w:val="16"/>
        </w:rPr>
        <w:noBreakHyphen/>
        <w:t xml:space="preserve">го Государственного хлопчатобумажных трестов) методами крашения на плюсовках, дающих значительно худшие результаты по сравнению с крашением на </w:t>
      </w:r>
      <w:proofErr w:type="spellStart"/>
      <w:r w:rsidRPr="00A259BD">
        <w:rPr>
          <w:color w:val="000000" w:themeColor="text1"/>
          <w:sz w:val="16"/>
          <w:szCs w:val="16"/>
        </w:rPr>
        <w:t>джигерах</w:t>
      </w:r>
      <w:proofErr w:type="spellEnd"/>
      <w:r w:rsidRPr="00A259BD">
        <w:rPr>
          <w:color w:val="000000" w:themeColor="text1"/>
          <w:sz w:val="16"/>
          <w:szCs w:val="16"/>
        </w:rPr>
        <w:t>. Бывают случаи, когда фабрики употребляют для выработки тканей совершенно неудовлетворительного качества суровье — засоренное и с ткацкими пороками (2</w:t>
      </w:r>
      <w:r w:rsidRPr="00A259BD">
        <w:rPr>
          <w:color w:val="000000" w:themeColor="text1"/>
          <w:sz w:val="16"/>
          <w:szCs w:val="16"/>
        </w:rPr>
        <w:noBreakHyphen/>
        <w:t>й Государственный трест), в результате чего происходит задержка в сроках сдачи заказа, не говоря уже о понижении качества изделий. По льняным тканям неудовлетворительным до настоящего времени является пропитка водонепроницаемых изделий.</w:t>
      </w:r>
    </w:p>
    <w:p w14:paraId="2892567E"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Разная промышленность.</w:t>
      </w:r>
      <w:r w:rsidRPr="00A259BD">
        <w:rPr>
          <w:color w:val="000000" w:themeColor="text1"/>
          <w:sz w:val="16"/>
          <w:szCs w:val="16"/>
        </w:rPr>
        <w:t xml:space="preserve"> Войлок, изготовляемый по военным заказам, совершенно не соответствует техническим условиям, а именно: он слишком жесток, так как изготовляется из мелкой шерсти и сильно спрессован. В войлоке, поставляемом для потников (</w:t>
      </w:r>
      <w:proofErr w:type="spellStart"/>
      <w:r w:rsidRPr="00A259BD">
        <w:rPr>
          <w:color w:val="000000" w:themeColor="text1"/>
          <w:sz w:val="16"/>
          <w:szCs w:val="16"/>
        </w:rPr>
        <w:t>Волнижтрестом</w:t>
      </w:r>
      <w:proofErr w:type="spellEnd"/>
      <w:r w:rsidRPr="00A259BD">
        <w:rPr>
          <w:color w:val="000000" w:themeColor="text1"/>
          <w:sz w:val="16"/>
          <w:szCs w:val="16"/>
        </w:rPr>
        <w:t>), находится мелкая проволока (очевидно, от плохой кардоленты); подобный технический дефект на практике поведет к ранению строевых лошадей. Несмотря на ряд мер, предпринятых довольствующими управлениями НКВМ, проволока в войлоке встречается до настоящего времени.</w:t>
      </w:r>
    </w:p>
    <w:p w14:paraId="110CD7E6"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Канаты, изготовляемые для Артиллерийского управления, не соответствуют техническим условиям, главным образом, не выдерживают испытания на разрыв. Промышленность настаивает на приеме каната по стандартным условиям, в силу которых прочность каната, определяемая как сумма разрывных усилий отдельных каболок, ниже требований АУ на 30</w:t>
      </w:r>
      <w:r w:rsidRPr="00A259BD">
        <w:rPr>
          <w:color w:val="000000" w:themeColor="text1"/>
          <w:sz w:val="16"/>
          <w:szCs w:val="16"/>
        </w:rPr>
        <w:noBreakHyphen/>
        <w:t>40%. Имея в виду, что прочность каната при хранении понижается и с течением времени станет недостаточной, от приемки каната, предлагаемого промышленностью, АУ вынуждено отказываться. Для изготовления артиллерийских канатов необходимо иметь доброкачественный материал.</w:t>
      </w:r>
    </w:p>
    <w:p w14:paraId="34C347E8" w14:textId="77777777" w:rsidR="00B31C35" w:rsidRPr="00A259BD" w:rsidRDefault="00B31C3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Качество изделий, изготовляемых промышленностью по заказам </w:t>
      </w:r>
      <w:proofErr w:type="spellStart"/>
      <w:r w:rsidRPr="00A259BD">
        <w:rPr>
          <w:rFonts w:ascii="Times New Roman" w:hAnsi="Times New Roman"/>
          <w:color w:val="000000" w:themeColor="text1"/>
          <w:sz w:val="16"/>
          <w:szCs w:val="16"/>
        </w:rPr>
        <w:t>НКВМора</w:t>
      </w:r>
      <w:proofErr w:type="spellEnd"/>
    </w:p>
    <w:p w14:paraId="42AA4F58"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Артиллерийские колеса.</w:t>
      </w:r>
      <w:r w:rsidRPr="00A259BD">
        <w:rPr>
          <w:color w:val="000000" w:themeColor="text1"/>
          <w:sz w:val="16"/>
          <w:szCs w:val="16"/>
        </w:rPr>
        <w:t xml:space="preserve"> Орудийно-арсенальный трест добивается значительного снижения кондиционных условий, предъявляемых к крепости дуба. Если принять предложение треста, то для изготовления боевых колес придется допустить материал, заготовленный в 1915 г., качество которого весьма сомнительно. Прочность дуба для колес в настоящее время имеет чрезвычайное значение в связи с переходом на механическую тягу орудий. В довоенное время для спиц и вальков требовался моложавый дуб с коэффициентом крепости на излом 977 кг/см²; в настоящее время порубка моложавого дуба запрещена, почему военное ведомство вынуждено довольствоваться немоложавым дубом с коэффициентом крепости 900 кг/см². Орудийно-арсенальный трест предлагает оставить тот же коэффициент прочности, но требует допуска 25% брусков, коэффициент прочности которых будет не менее 810 кг/см²; подобное предложение треста о понижении прочности дуба является вообще неприемлемым, и потому тресту необходимо заготовлять дуб наивысшего качества из имеющегося на внутреннем рынке.</w:t>
      </w:r>
    </w:p>
    <w:p w14:paraId="1AB2C86D"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Орудийные системы.</w:t>
      </w:r>
      <w:r w:rsidRPr="00A259BD">
        <w:rPr>
          <w:color w:val="000000" w:themeColor="text1"/>
          <w:sz w:val="16"/>
          <w:szCs w:val="16"/>
        </w:rPr>
        <w:t xml:space="preserve"> В 1927/28 г. на заводе «Большевик» наблюдался большой брак (45%) кожухов вследствие неудовлетворительности механических качеств металла; это объясняется недоброкачественностью полученного из-за границы никеля. Вследствие получения низких результатов завод перешел на хромованадиевую сталь, получив удовлетворительные результаты. На Мотовилихинском заводе, как указано выше, орудийные трубы изготовлялись из </w:t>
      </w:r>
      <w:proofErr w:type="spellStart"/>
      <w:r w:rsidRPr="00A259BD">
        <w:rPr>
          <w:color w:val="000000" w:themeColor="text1"/>
          <w:sz w:val="16"/>
          <w:szCs w:val="16"/>
        </w:rPr>
        <w:t>малохромистой</w:t>
      </w:r>
      <w:proofErr w:type="spellEnd"/>
      <w:r w:rsidRPr="00A259BD">
        <w:rPr>
          <w:color w:val="000000" w:themeColor="text1"/>
          <w:sz w:val="16"/>
          <w:szCs w:val="16"/>
        </w:rPr>
        <w:t xml:space="preserve"> стали, механические качества которой несколько выше ранее употребляющейся углеродистой; этим требованиям удовлетворило 75% труб; остальные 25% труб были допущены на службу, так как по качеству они вполне удовлетворяли требованиям на углеродистую сталь. На заводе «Красный Путиловец» брак по механическим качествам </w:t>
      </w:r>
      <w:proofErr w:type="spellStart"/>
      <w:r w:rsidRPr="00A259BD">
        <w:rPr>
          <w:color w:val="000000" w:themeColor="text1"/>
          <w:sz w:val="16"/>
          <w:szCs w:val="16"/>
        </w:rPr>
        <w:t>малохромистых</w:t>
      </w:r>
      <w:proofErr w:type="spellEnd"/>
      <w:r w:rsidRPr="00A259BD">
        <w:rPr>
          <w:color w:val="000000" w:themeColor="text1"/>
          <w:sz w:val="16"/>
          <w:szCs w:val="16"/>
        </w:rPr>
        <w:t xml:space="preserve"> труб и кожухов составлял около 20%. В числе прочих заказов «Красному Путиловцу» предложено изготовить 400 полковых пушек из специальной стали с повышенными механическими качествами (предел упругости не ниже 50 кг/мм², взамен 40 кг/мм²). «Красный Путиловец» не справляется с указанной задачей, а именно; из 111 труб получено удовлетворительных 39, а кожухов на 116 — удовлетворительных 8.</w:t>
      </w:r>
    </w:p>
    <w:p w14:paraId="57BFAED3"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Качество поделочной и щитовой стали удовлетворительно, например, при испытании стрельбой на Мотовилихинском заводе 1592 детали щитов выдержали испытание 86%, пробито и дали трещины 14%; глубина пулевых впечатлений довольно значительная — 6</w:t>
      </w:r>
      <w:r w:rsidRPr="00A259BD">
        <w:rPr>
          <w:color w:val="000000" w:themeColor="text1"/>
          <w:sz w:val="16"/>
          <w:szCs w:val="16"/>
        </w:rPr>
        <w:noBreakHyphen/>
        <w:t>10 мм; качество бронзы (предъявляемой к приему) в отношении механических свойств удовлетворительно, в отношении же раковин и пористости металла не вполне удовлетворительно. Качество орудийных систем достаточно хорошо, но все же требуются улучшения...²*</w:t>
      </w:r>
    </w:p>
    <w:p w14:paraId="6FA2BB74"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В изготовлении нормализованных прицелов наблюдается улучшение в отношении уменьшения мертвых ходов. Испытание орудийных систем стрельбой на прочность дало положительные результаты, так как раздутия орудий, разрыва стволов или салазок и других повреждений не было, исключение составляет разрыв одной 76</w:t>
      </w:r>
      <w:r w:rsidRPr="00A259BD">
        <w:rPr>
          <w:color w:val="000000" w:themeColor="text1"/>
          <w:sz w:val="16"/>
          <w:szCs w:val="16"/>
        </w:rPr>
        <w:noBreakHyphen/>
        <w:t>мм зенитной пушки образца 1915 г.; причины разрыва пока не установлены.</w:t>
      </w:r>
    </w:p>
    <w:p w14:paraId="50FE3312"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 xml:space="preserve">Испытание орудий стрельбой на меткость дало вполне удовлетворительные результаты. Необходимо отметить значительно улучшение качества зенитных пушек. Наиболее серьезным недостатком в системах являются: а) нахождение в них металлических стружек, что объясняется сборкой орудийных систем в помещениях, где производятся слесарные и станочные работы; этот недостаток выводит из строя новые, совершенно исправные орудия; б) кожа для воротников </w:t>
      </w:r>
      <w:proofErr w:type="spellStart"/>
      <w:r w:rsidRPr="00A259BD">
        <w:rPr>
          <w:color w:val="000000" w:themeColor="text1"/>
          <w:sz w:val="16"/>
          <w:szCs w:val="16"/>
        </w:rPr>
        <w:t>шнейдеровских</w:t>
      </w:r>
      <w:proofErr w:type="spellEnd"/>
      <w:r w:rsidRPr="00A259BD">
        <w:rPr>
          <w:color w:val="000000" w:themeColor="text1"/>
          <w:sz w:val="16"/>
          <w:szCs w:val="16"/>
        </w:rPr>
        <w:t xml:space="preserve"> систем ставится растительного, а не хромового дубления, почему лафеты часто нуждаются в разборке.</w:t>
      </w:r>
    </w:p>
    <w:p w14:paraId="42FA22F7"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Исключительно недоброкачественными являются передки для 48</w:t>
      </w:r>
      <w:r w:rsidRPr="00A259BD">
        <w:rPr>
          <w:color w:val="000000" w:themeColor="text1"/>
          <w:sz w:val="16"/>
          <w:szCs w:val="16"/>
        </w:rPr>
        <w:noBreakHyphen/>
        <w:t xml:space="preserve">линейных гаубиц изготовления завода № 13; в этом случае завод позволил явную небрежность в сборке и поставил сталь не соответствующих марок. Заводы № 13 и Киевский арсенал допускали заварку деталей без согласования вопроса с </w:t>
      </w:r>
      <w:proofErr w:type="spellStart"/>
      <w:r w:rsidRPr="00A259BD">
        <w:rPr>
          <w:color w:val="000000" w:themeColor="text1"/>
          <w:sz w:val="16"/>
          <w:szCs w:val="16"/>
        </w:rPr>
        <w:t>артприемщиком</w:t>
      </w:r>
      <w:proofErr w:type="spellEnd"/>
      <w:r w:rsidRPr="00A259BD">
        <w:rPr>
          <w:color w:val="000000" w:themeColor="text1"/>
          <w:sz w:val="16"/>
          <w:szCs w:val="16"/>
        </w:rPr>
        <w:t>.</w:t>
      </w:r>
    </w:p>
    <w:p w14:paraId="111C2703"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Снаряды.</w:t>
      </w:r>
      <w:r w:rsidRPr="00A259BD">
        <w:rPr>
          <w:color w:val="000000" w:themeColor="text1"/>
          <w:sz w:val="16"/>
          <w:szCs w:val="16"/>
        </w:rPr>
        <w:t xml:space="preserve"> Снаряжение производится тротилом отличного качества, почему в текущем году дано распоряжение производить испытание снарядов стрельбой только один раз в квартал, что значительно сокращает расход огнеприпасов на испытания (по техническим условиям следовало бы испытывать каждую партию 5</w:t>
      </w:r>
      <w:r w:rsidRPr="00A259BD">
        <w:rPr>
          <w:color w:val="000000" w:themeColor="text1"/>
          <w:sz w:val="16"/>
          <w:szCs w:val="16"/>
        </w:rPr>
        <w:noBreakHyphen/>
        <w:t>10 тыс. снарядов 10</w:t>
      </w:r>
      <w:r w:rsidRPr="00A259BD">
        <w:rPr>
          <w:color w:val="000000" w:themeColor="text1"/>
          <w:sz w:val="16"/>
          <w:szCs w:val="16"/>
        </w:rPr>
        <w:noBreakHyphen/>
        <w:t>ю выстрелами). Необходимо отметить, что заводы, вновь привлеченные к изготовлению снарядных корпусов, из-за организационных неувязок не могли сразу справиться с требованиями технических условий, почему произошло значительное запоздание в изготовлении корпусов.</w:t>
      </w:r>
    </w:p>
    <w:p w14:paraId="00116A4C"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Оптические приборы.</w:t>
      </w:r>
      <w:r w:rsidRPr="00A259BD">
        <w:rPr>
          <w:color w:val="000000" w:themeColor="text1"/>
          <w:sz w:val="16"/>
          <w:szCs w:val="16"/>
        </w:rPr>
        <w:t xml:space="preserve"> Технические условия на прием оптических приборов устарели; в настоящее время проработаны при участии Государственного оптического института новые технические условия, в которых изменены допуски и методы испытаний. Проект технических условий находится в стадии согласования с Орудийно-арсенальным трестом; разногласие касается количества допускаемых пузырьков в оптических стеклах. Качество оптических приборов достаточно хорошее, но все же обнаруживаются дефекты, а именно: темные точки и царапины в оптическом стекле (около 50% приборов), ошибки в показаниях угломерных шкал (в 58% панорам Герца), негерметичности приборов до 15%, мертвый ход (в монокулярах буссолей). Качество штрихов улучшено. Ремонтируемые иностранные приборы в большинстве случаев имеют пониженные оптико-механические качества вследствие общей изношенности, неудачной конструкции и </w:t>
      </w:r>
      <w:proofErr w:type="spellStart"/>
      <w:r w:rsidRPr="00A259BD">
        <w:rPr>
          <w:color w:val="000000" w:themeColor="text1"/>
          <w:sz w:val="16"/>
          <w:szCs w:val="16"/>
        </w:rPr>
        <w:t>малостойкости</w:t>
      </w:r>
      <w:proofErr w:type="spellEnd"/>
      <w:r w:rsidRPr="00A259BD">
        <w:rPr>
          <w:color w:val="000000" w:themeColor="text1"/>
          <w:sz w:val="16"/>
          <w:szCs w:val="16"/>
        </w:rPr>
        <w:t xml:space="preserve"> стекла. В конце года в футлярах биноклей ставилась сандальная кожа (неудовлетворительного качества), которая запрещена. Во второй половине года на заводе ТОМП сборка биноклей начала производится способом, близким к конвейерному, что удешевило продукцию и увеличило производительность биноклей (до 900 биноклей в месяц); но вместе с тем резко понизилось качество биноклей и возврат их заводу для исправления, доходя до 40%. Под нажимом </w:t>
      </w:r>
      <w:proofErr w:type="spellStart"/>
      <w:r w:rsidRPr="00A259BD">
        <w:rPr>
          <w:color w:val="000000" w:themeColor="text1"/>
          <w:sz w:val="16"/>
          <w:szCs w:val="16"/>
        </w:rPr>
        <w:t>артприемки</w:t>
      </w:r>
      <w:proofErr w:type="spellEnd"/>
      <w:r w:rsidRPr="00A259BD">
        <w:rPr>
          <w:color w:val="000000" w:themeColor="text1"/>
          <w:sz w:val="16"/>
          <w:szCs w:val="16"/>
        </w:rPr>
        <w:t xml:space="preserve"> был усилен заводский контроль, почему предъявление недоброкачественных изделий вновь снизилось. За последнее время артиллерийскими складами выявлен новый вид брака панорам, который не мог обнаружиться ни заводом, ни </w:t>
      </w:r>
      <w:proofErr w:type="spellStart"/>
      <w:r w:rsidRPr="00A259BD">
        <w:rPr>
          <w:color w:val="000000" w:themeColor="text1"/>
          <w:sz w:val="16"/>
          <w:szCs w:val="16"/>
        </w:rPr>
        <w:t>артириемкой</w:t>
      </w:r>
      <w:proofErr w:type="spellEnd"/>
      <w:r w:rsidRPr="00A259BD">
        <w:rPr>
          <w:color w:val="000000" w:themeColor="text1"/>
          <w:sz w:val="16"/>
          <w:szCs w:val="16"/>
        </w:rPr>
        <w:t>, а именно: стекание смазки на оптические стекла, вследствие чего панорамы перед употреблением требуют заводской чистки. Причины указанного явления еще не выяснены, приборы возвращаются промышленности для исправления...³*</w:t>
      </w:r>
    </w:p>
    <w:p w14:paraId="37278EAC"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Тракторы.</w:t>
      </w:r>
      <w:r w:rsidRPr="00A259BD">
        <w:rPr>
          <w:color w:val="000000" w:themeColor="text1"/>
          <w:sz w:val="16"/>
          <w:szCs w:val="16"/>
        </w:rPr>
        <w:t xml:space="preserve"> Качество тракторов систематически улучшается. Так, двигатель трактора «Коммунар» был по требованию АУ усилен с 50 до 75 сил; усиление двигателей было достигнуто без особых затруднений введением ряда небольших изменений деталей. Мощность в 75 сил считается гарантийной; реальная же мощность — не ниже 80 сил при расходе бензина (среднего качества) не выше 330 г/1 л. с. В числе прочих улучшений трактора следует отметить изменение конструкции рамы </w:t>
      </w:r>
      <w:r w:rsidRPr="00A259BD">
        <w:rPr>
          <w:rStyle w:val="af0"/>
          <w:i w:val="0"/>
          <w:color w:val="000000" w:themeColor="text1"/>
          <w:sz w:val="16"/>
          <w:szCs w:val="16"/>
        </w:rPr>
        <w:t>с</w:t>
      </w:r>
      <w:r w:rsidRPr="00A259BD">
        <w:rPr>
          <w:color w:val="000000" w:themeColor="text1"/>
          <w:sz w:val="16"/>
          <w:szCs w:val="16"/>
        </w:rPr>
        <w:t xml:space="preserve"> целью уменьшить ее засорение грязью и снегом; усилена прочность натяжного приспособления. Улучшение шлифовки деталей двигателя отразилось и на работе последнего. Так, средняя мощность и расход горючего составляли (для 50</w:t>
      </w:r>
      <w:r w:rsidRPr="00A259BD">
        <w:rPr>
          <w:color w:val="000000" w:themeColor="text1"/>
          <w:sz w:val="16"/>
          <w:szCs w:val="16"/>
        </w:rPr>
        <w:noBreakHyphen/>
        <w:t>сильного трактора):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7"/>
        <w:gridCol w:w="1335"/>
        <w:gridCol w:w="1335"/>
        <w:gridCol w:w="1335"/>
      </w:tblGrid>
      <w:tr w:rsidR="00A259BD" w:rsidRPr="00A259BD" w14:paraId="2D1F8748"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39924A5" w14:textId="77777777" w:rsidR="00B31C35" w:rsidRPr="00A259BD" w:rsidRDefault="00B31C3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F8BFC" w14:textId="77777777" w:rsidR="00B31C35" w:rsidRPr="00A259BD" w:rsidRDefault="00B31C3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A054F" w14:textId="77777777" w:rsidR="00B31C35" w:rsidRPr="00A259BD" w:rsidRDefault="00B31C3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A7B79" w14:textId="77777777" w:rsidR="00B31C35" w:rsidRPr="00A259BD" w:rsidRDefault="00B31C3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 г.</w:t>
            </w:r>
          </w:p>
        </w:tc>
      </w:tr>
      <w:tr w:rsidR="00A259BD" w:rsidRPr="00A259BD" w14:paraId="3A6B0236"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D95A315" w14:textId="77777777" w:rsidR="00B31C35" w:rsidRPr="00A259BD" w:rsidRDefault="00B31C3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Мощность в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E32DF" w14:textId="77777777" w:rsidR="00B31C35" w:rsidRPr="00A259BD" w:rsidRDefault="00B31C3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27179" w14:textId="77777777" w:rsidR="00B31C35" w:rsidRPr="00A259BD" w:rsidRDefault="00B31C3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80E57" w14:textId="77777777" w:rsidR="00B31C35" w:rsidRPr="00A259BD" w:rsidRDefault="00B31C3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52,1</w:t>
            </w:r>
          </w:p>
        </w:tc>
      </w:tr>
      <w:tr w:rsidR="00A259BD" w:rsidRPr="00A259BD" w14:paraId="15CD2F9A"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3640ACF5" w14:textId="77777777" w:rsidR="00B31C35" w:rsidRPr="00A259BD" w:rsidRDefault="00B31C3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Расход горючего (керосина), в г/1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7F696" w14:textId="77777777" w:rsidR="00B31C35" w:rsidRPr="00A259BD" w:rsidRDefault="00B31C3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BD28C" w14:textId="77777777" w:rsidR="00B31C35" w:rsidRPr="00A259BD" w:rsidRDefault="00B31C3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940F0" w14:textId="77777777" w:rsidR="00B31C35" w:rsidRPr="00A259BD" w:rsidRDefault="00B31C3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485,3</w:t>
            </w:r>
          </w:p>
        </w:tc>
      </w:tr>
    </w:tbl>
    <w:p w14:paraId="7BA7D685"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Наибольшим злом в тракторном производстве является недоброкачественность пружин (рессор, клапанов, конуса и фракционных муфт), получаемых от завода «Ситроен» в Москве. Последний, пользуясь своим почти монопольным положением, не выполняет технические условия на поставляемые пружины, высылая заводам некондиционный материал. Тракторы «Большевик», будучи кондиционными, требуют улучшения конструкции. Шасси специального назначения завода «АМО» достаточно удовлетворительного качества, причем наблюдается стремление завода улучшить свое производство, изжить недостатки, обнаруживаемые в процессе приемки, а именно: сравнительно быстрый износ направляющих клапанов, ненормальный износ зеркала блок-цилиндров, быстрый износ поршневых пальцев. Обращает внимание недоброкачественность деталей, поступающих с внутреннего рынка. Как пример можно привести радиатор, который в процессе приема ведет себя удовлетворительно, но, простояв некоторое время на складе готовых изделий, начинает протекать; причина кроется в недостаточно тщательной отмывке кислотой после пайки. Материал (кожа) для сальников также неудовлетворительного качества, что вызывает пропуск смазки. Броня для машин «АМО» (изготовляется на Ижорском заводе) удовлетворительного качества; брак брони при испытании стрельбой достигает 12%.</w:t>
      </w:r>
    </w:p>
    <w:p w14:paraId="70DDB9A1"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Винтовки.</w:t>
      </w:r>
      <w:r w:rsidRPr="00A259BD">
        <w:rPr>
          <w:color w:val="000000" w:themeColor="text1"/>
          <w:sz w:val="16"/>
          <w:szCs w:val="16"/>
        </w:rPr>
        <w:t xml:space="preserve"> Металл для изготовления винтовочных деталей достаточно высокого качества. Так, при испытании 320 057 стволов пороховой пробой за прочность обнаружено: раздувшихся — 132, разорвавшихся — 22. Наиболее существенным браком следует признать появление трещин в ствольных коробках при испытании стрельбой: в 1927/28 г. обнаружено на </w:t>
      </w:r>
      <w:proofErr w:type="spellStart"/>
      <w:r w:rsidRPr="00A259BD">
        <w:rPr>
          <w:color w:val="000000" w:themeColor="text1"/>
          <w:sz w:val="16"/>
          <w:szCs w:val="16"/>
        </w:rPr>
        <w:t>ТОЗе</w:t>
      </w:r>
      <w:proofErr w:type="spellEnd"/>
      <w:r w:rsidRPr="00A259BD">
        <w:rPr>
          <w:color w:val="000000" w:themeColor="text1"/>
          <w:sz w:val="16"/>
          <w:szCs w:val="16"/>
        </w:rPr>
        <w:t xml:space="preserve"> 24 шт. (0,02%) коробок с трещинами. Вероятная причина брака — наличие пузырей и шлаковых включений в металле, неудовлетворительная термическая обработка. Для выявления на заводе возможно большего количества недоброкачественных винтовок каждая винтовка испытывается пятью усиленными выстрелами вместо двух, установленных техническими условиями. В связи с заявлениями войсковых частей на </w:t>
      </w:r>
      <w:proofErr w:type="spellStart"/>
      <w:r w:rsidRPr="00A259BD">
        <w:rPr>
          <w:color w:val="000000" w:themeColor="text1"/>
          <w:sz w:val="16"/>
          <w:szCs w:val="16"/>
        </w:rPr>
        <w:t>высокобойность</w:t>
      </w:r>
      <w:proofErr w:type="spellEnd"/>
      <w:r w:rsidRPr="00A259BD">
        <w:rPr>
          <w:color w:val="000000" w:themeColor="text1"/>
          <w:sz w:val="16"/>
          <w:szCs w:val="16"/>
        </w:rPr>
        <w:t xml:space="preserve"> винтовок изменены правила поверки боя винтовок, что увеличило возврат винтовок на правку с 7 до 17%; возврат приемщиками винтовок на исправление по наружным недостаткам доходит до 26% (в 1926/27 г. доходил до 33%). Взаимозаменяемость деталей винтовок каждого завода вполне удовлетворительная, но нет полной взаимозаменяемости деталей обоих заводов; к достижению указанного приняты меры. Отделка винтовок, вообще говоря, улучшилась, но на Тульских заводах наблюдается понижение качества полировки стволов.</w:t>
      </w:r>
    </w:p>
    <w:p w14:paraId="05274583"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lastRenderedPageBreak/>
        <w:t>Револьверы.</w:t>
      </w:r>
      <w:r w:rsidRPr="00A259BD">
        <w:rPr>
          <w:color w:val="000000" w:themeColor="text1"/>
          <w:sz w:val="16"/>
          <w:szCs w:val="16"/>
        </w:rPr>
        <w:t xml:space="preserve"> Вполне кондиционны, наиболее существенным недостатком является поломка пружины дверцы при испытании стрельбой. Возврат револьверов на исправление после испытания стрельбой составляет: за плохую меткость — 1,9%, за неудовлетворительное действие механизмов — 10% (в 1926/27 г. — 8,8%); возврат револьверов по наружному осмотру доходит до 38% (главным образом обнаруживаются неправильности в рамке и в барабане).</w:t>
      </w:r>
    </w:p>
    <w:p w14:paraId="4EA254FB"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Пулеметы Максима и Максима—Токарева.</w:t>
      </w:r>
      <w:r w:rsidRPr="00A259BD">
        <w:rPr>
          <w:color w:val="000000" w:themeColor="text1"/>
          <w:sz w:val="16"/>
          <w:szCs w:val="16"/>
        </w:rPr>
        <w:t xml:space="preserve"> Качество стали не всегда однородно; наблюдались плавки (пущенные в работу) с большим процентом шлаковых включений (по этому вопросу производится расследование Оружейно-пулеметного треста); калка пулеметных деталей (в особенности частей замка) не вполне удовлетворительная, но ни завод, ни </w:t>
      </w:r>
      <w:proofErr w:type="spellStart"/>
      <w:r w:rsidRPr="00A259BD">
        <w:rPr>
          <w:color w:val="000000" w:themeColor="text1"/>
          <w:sz w:val="16"/>
          <w:szCs w:val="16"/>
        </w:rPr>
        <w:t>артприемка</w:t>
      </w:r>
      <w:proofErr w:type="spellEnd"/>
      <w:r w:rsidRPr="00A259BD">
        <w:rPr>
          <w:color w:val="000000" w:themeColor="text1"/>
          <w:sz w:val="16"/>
          <w:szCs w:val="16"/>
        </w:rPr>
        <w:t xml:space="preserve"> не могут выявить указанные недостатки. Между тем от войсковых частей поступают заявления, что после 1,8 тыс. выстрелов наблюдается поломка деталей. Этот вопрос в настоящее время тщательно изучается и является предметом специального доклада. </w:t>
      </w:r>
      <w:proofErr w:type="spellStart"/>
      <w:r w:rsidRPr="00A259BD">
        <w:rPr>
          <w:color w:val="000000" w:themeColor="text1"/>
          <w:sz w:val="16"/>
          <w:szCs w:val="16"/>
        </w:rPr>
        <w:t>Лекальность</w:t>
      </w:r>
      <w:proofErr w:type="spellEnd"/>
      <w:r w:rsidRPr="00A259BD">
        <w:rPr>
          <w:color w:val="000000" w:themeColor="text1"/>
          <w:sz w:val="16"/>
          <w:szCs w:val="16"/>
        </w:rPr>
        <w:t>, чистота отделки и установление взаимозаменяемости деталей достаточно удовлетворительны; средний годовой возврат со стрельбы доходит для пулеметов Максима 0,9%, а для пулеметов Максима—Токарева — 18% (последнее объясняется неудовлетворительной конструкцией пулемета); возврат со стрельбы пулеметов ПВ</w:t>
      </w:r>
      <w:r w:rsidRPr="00A259BD">
        <w:rPr>
          <w:color w:val="000000" w:themeColor="text1"/>
          <w:sz w:val="16"/>
          <w:szCs w:val="16"/>
        </w:rPr>
        <w:noBreakHyphen/>
        <w:t>1 достигает 11%. Средний годовой процент возврата по окончательному осмотру составляет для пулеметов Максима — 19%, для ручных пулеметов — 19%, для пулеметов ПВ</w:t>
      </w:r>
      <w:r w:rsidRPr="00A259BD">
        <w:rPr>
          <w:color w:val="000000" w:themeColor="text1"/>
          <w:sz w:val="16"/>
          <w:szCs w:val="16"/>
        </w:rPr>
        <w:noBreakHyphen/>
        <w:t>1 — 7%⁴*.</w:t>
      </w:r>
    </w:p>
    <w:p w14:paraId="44A30955"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Пулеметы Дегтярева.</w:t>
      </w:r>
      <w:r w:rsidRPr="00A259BD">
        <w:rPr>
          <w:color w:val="000000" w:themeColor="text1"/>
          <w:sz w:val="16"/>
          <w:szCs w:val="16"/>
        </w:rPr>
        <w:t xml:space="preserve"> Качество деталей по чистоте отделки удовлетворительно. Размеры деталей (особенно резьбы) страдают неточностью изготовления; взаимозаменяемость отсутствует; стволы имеют глубокие царапины и следы ржавчины; патронники сильно </w:t>
      </w:r>
      <w:proofErr w:type="spellStart"/>
      <w:r w:rsidRPr="00A259BD">
        <w:rPr>
          <w:color w:val="000000" w:themeColor="text1"/>
          <w:sz w:val="16"/>
          <w:szCs w:val="16"/>
        </w:rPr>
        <w:t>расшлифованы</w:t>
      </w:r>
      <w:proofErr w:type="spellEnd"/>
      <w:r w:rsidRPr="00A259BD">
        <w:rPr>
          <w:color w:val="000000" w:themeColor="text1"/>
          <w:sz w:val="16"/>
          <w:szCs w:val="16"/>
        </w:rPr>
        <w:t xml:space="preserve"> и имеют бочковидную форму; пружины магазина вследствие небрежности завивки получают слишком большую силу, и затвор бывает не в состоянии продвинуть патрон в патронник. Указанные недочеты почти изжиты. Сверх того, за последнее время в некоторых частях пулеметов наблюдается появление ржавчины, как результат действия пороховых газов; меры к устранению указанного явления приняты.</w:t>
      </w:r>
    </w:p>
    <w:p w14:paraId="3DA9EE27"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Винтовочные патроны.</w:t>
      </w:r>
      <w:r w:rsidRPr="00A259BD">
        <w:rPr>
          <w:color w:val="000000" w:themeColor="text1"/>
          <w:sz w:val="16"/>
          <w:szCs w:val="16"/>
        </w:rPr>
        <w:t xml:space="preserve"> Качество патронов во всех отношениях значительно выше требований инструкции. Трещины по корпусу гильзы, срывы пуль, осечки, затяжные выстрелы получаются как редкое исключение; средняя годовая меткость патронов на 200 шагов, определяемая радиусом круга, включающего лучшую половину пуль, составляет около 7 см (вместо допускаемых 10 см). Отдельные партии патронов имеют меткость 4,2 см. Капсюли для снаряжения патронов применялись нового изготовления, а также «боевые из холостых» — так называются капсюли, отобранные с 1922</w:t>
      </w:r>
      <w:r w:rsidRPr="00A259BD">
        <w:rPr>
          <w:color w:val="000000" w:themeColor="text1"/>
          <w:sz w:val="16"/>
          <w:szCs w:val="16"/>
        </w:rPr>
        <w:noBreakHyphen/>
        <w:t>1928 гг. по наружным недостаткам для снаряжения холостых патронов, но допущенные специальной комиссией для снаряжения боевых патронов. Каждая партия таких капсюлей перед снаряжением подвергается испытанию стрельбой 2 тыс. выстрелами; капсюли «боевые из холостых» в общем достаточно хороши, но ввиду давности изготовления некоторых партий, хранения их в неподходящих условиях, возможного перепутывания партий вызывает некоторую тревогу за свое качество и использование их находится под особо тщательным контролем.</w:t>
      </w:r>
    </w:p>
    <w:p w14:paraId="3B2213B4"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Ручные гранаты.</w:t>
      </w:r>
      <w:r w:rsidRPr="00A259BD">
        <w:rPr>
          <w:color w:val="000000" w:themeColor="text1"/>
          <w:sz w:val="16"/>
          <w:szCs w:val="16"/>
        </w:rPr>
        <w:t xml:space="preserve"> Имели целый ряд недостатков в корпусах, а именно: сильную боевую пружину, что могло повлечь к выбрасыванию иголки ударника; неудовлетворительное закрепление оттяжки; трубчатые ударники при испытании часто ломаются. Оба последних недостатка являются чрезвычайно существенными, так как срыв оттяжки или поломка ударника в снаряженных гранатах может повести к взрыву гранаты в руках красноармейца.</w:t>
      </w:r>
    </w:p>
    <w:p w14:paraId="255AA973"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Пороха винтовочные.</w:t>
      </w:r>
      <w:r w:rsidRPr="00A259BD">
        <w:rPr>
          <w:color w:val="000000" w:themeColor="text1"/>
          <w:sz w:val="16"/>
          <w:szCs w:val="16"/>
        </w:rPr>
        <w:t xml:space="preserve"> Качество пороха достаточно удовлетворительное, но необходимо, чтобы был сбавлен вес заряда. Обращает внимание большое разнообразие начальных скоростей для пороха ВЛ завода им. Косякова, что вызвало даже </w:t>
      </w:r>
      <w:proofErr w:type="spellStart"/>
      <w:r w:rsidRPr="00A259BD">
        <w:rPr>
          <w:color w:val="000000" w:themeColor="text1"/>
          <w:sz w:val="16"/>
          <w:szCs w:val="16"/>
        </w:rPr>
        <w:t>забракование</w:t>
      </w:r>
      <w:proofErr w:type="spellEnd"/>
      <w:r w:rsidRPr="00A259BD">
        <w:rPr>
          <w:color w:val="000000" w:themeColor="text1"/>
          <w:sz w:val="16"/>
          <w:szCs w:val="16"/>
        </w:rPr>
        <w:t xml:space="preserve"> одной партии пороха; это обстоятельство сильно затрудняет подбор зарядов на патронных заводах.</w:t>
      </w:r>
    </w:p>
    <w:p w14:paraId="22235814"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Пороха револьверные.</w:t>
      </w:r>
      <w:r w:rsidRPr="00A259BD">
        <w:rPr>
          <w:color w:val="000000" w:themeColor="text1"/>
          <w:sz w:val="16"/>
          <w:szCs w:val="16"/>
        </w:rPr>
        <w:t xml:space="preserve"> Изготовляемые с добавлением старых порохов, без добавки свежего дифениламина (стабилизатора) могут оказаться недостаточно стойкими на службе.</w:t>
      </w:r>
    </w:p>
    <w:p w14:paraId="40F6ACB1"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Пороха пушечные.</w:t>
      </w:r>
      <w:r w:rsidRPr="00A259BD">
        <w:rPr>
          <w:color w:val="000000" w:themeColor="text1"/>
          <w:sz w:val="16"/>
          <w:szCs w:val="16"/>
        </w:rPr>
        <w:t xml:space="preserve"> В текущем году изготовлены две новые марки пороха: Б</w:t>
      </w:r>
      <w:r w:rsidRPr="00A259BD">
        <w:rPr>
          <w:color w:val="000000" w:themeColor="text1"/>
          <w:sz w:val="16"/>
          <w:szCs w:val="16"/>
        </w:rPr>
        <w:noBreakHyphen/>
        <w:t>12 для 12</w:t>
      </w:r>
      <w:r w:rsidRPr="00A259BD">
        <w:rPr>
          <w:color w:val="000000" w:themeColor="text1"/>
          <w:sz w:val="16"/>
          <w:szCs w:val="16"/>
        </w:rPr>
        <w:noBreakHyphen/>
        <w:t>дюймовых береговых орудий и 4/1, который должен войти в качестве составной части заряда 3</w:t>
      </w:r>
      <w:r w:rsidRPr="00A259BD">
        <w:rPr>
          <w:color w:val="000000" w:themeColor="text1"/>
          <w:sz w:val="16"/>
          <w:szCs w:val="16"/>
        </w:rPr>
        <w:noBreakHyphen/>
        <w:t>дюймовой полевой пушки; оба пороха признаны удовлетворительными.</w:t>
      </w:r>
    </w:p>
    <w:p w14:paraId="524BC955"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Изделия военно-технические.</w:t>
      </w:r>
      <w:r w:rsidRPr="00A259BD">
        <w:rPr>
          <w:color w:val="000000" w:themeColor="text1"/>
          <w:sz w:val="16"/>
          <w:szCs w:val="16"/>
        </w:rPr>
        <w:t xml:space="preserve"> По военно-техническому имуществу как следствие снижения кондиционных условий явилось понижение качества сдаваемой промышленностью продукции. Были случаи, когда вся партия изделий, предъявленных к сдаче, браковалась как не отвечающая кондиционным условиям...⁵*</w:t>
      </w:r>
    </w:p>
    <w:p w14:paraId="4077A336"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Изделия военно-хозяйственные.</w:t>
      </w:r>
      <w:r w:rsidRPr="00A259BD">
        <w:rPr>
          <w:color w:val="000000" w:themeColor="text1"/>
          <w:sz w:val="16"/>
          <w:szCs w:val="16"/>
        </w:rPr>
        <w:t xml:space="preserve"> Продукция промышленности, изготовляемая для военно-хозяйственных целей, требует дальнейших улучшений. В частности, здесь необходимо: при пошивке армейской обуви следует ускорить переход на пошивку льняными нитками вместо бумажных и оборудовать предприятия достаточным числом сушилок с тем, чтобы обувь после затяжного отделения подвергалась подсушке, а окончательно высушивалась бы по изготовлении и обязательно на колодках и правилах, как это и требуется кондициями. Сапоги хромовые как по качеству кожи, так и по пошивке не всегда удовлетворительны. Много нареканий вызывает хромовая обувь, изготовляемая Сарапульским трестом (о снятии военных заказов с Сарапульского треста вопрос уже поставлен на разрешение соответствующих инстанций). В кожаной обуви наблюдается, как массовое явление, </w:t>
      </w:r>
      <w:proofErr w:type="spellStart"/>
      <w:r w:rsidRPr="00A259BD">
        <w:rPr>
          <w:color w:val="000000" w:themeColor="text1"/>
          <w:sz w:val="16"/>
          <w:szCs w:val="16"/>
        </w:rPr>
        <w:t>распарывание</w:t>
      </w:r>
      <w:proofErr w:type="spellEnd"/>
      <w:r w:rsidRPr="00A259BD">
        <w:rPr>
          <w:color w:val="000000" w:themeColor="text1"/>
          <w:sz w:val="16"/>
          <w:szCs w:val="16"/>
        </w:rPr>
        <w:t xml:space="preserve"> заднего шва голенищ, что надо объяснить исключительно низким качеством ниток. Как одна из мер к устранению такого дефекта — внесено изменение в конструкцию обуви в виде наложения заднего ремня. Пониженное качество ниток наблюдается не только в обуви, но также в полушубках и шорно-седельных изделиях. Заслуживает быть отмеченным такой факт. Кожаная обувь, выданная в носку в Объединенную школу ВЦИК, оказалась настолько плохого качества, что по истечении 1</w:t>
      </w:r>
      <w:r w:rsidRPr="00A259BD">
        <w:rPr>
          <w:color w:val="000000" w:themeColor="text1"/>
          <w:sz w:val="16"/>
          <w:szCs w:val="16"/>
        </w:rPr>
        <w:noBreakHyphen/>
        <w:t>2 месяцев распарывалась строчка задника, и задник сминался. По договоренности с промышленностью последняя взяла на себя ремонт этой обуви.</w:t>
      </w:r>
    </w:p>
    <w:p w14:paraId="48BD2695"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 xml:space="preserve">Изделия обозной промышленности по своему качеству все еще не соответствуют полностью установленным кондициям, например: повышенная влажность древесины, большая сучковатость, наличие трещин, </w:t>
      </w:r>
      <w:proofErr w:type="spellStart"/>
      <w:r w:rsidRPr="00A259BD">
        <w:rPr>
          <w:color w:val="000000" w:themeColor="text1"/>
          <w:sz w:val="16"/>
          <w:szCs w:val="16"/>
        </w:rPr>
        <w:t>сетовины</w:t>
      </w:r>
      <w:proofErr w:type="spellEnd"/>
      <w:r w:rsidRPr="00A259BD">
        <w:rPr>
          <w:color w:val="000000" w:themeColor="text1"/>
          <w:sz w:val="16"/>
          <w:szCs w:val="16"/>
        </w:rPr>
        <w:t>, оболони и другие пороки; частое несоблюдение размеров по чертежам, несоответствие профилей металлических материалов, идущих на изготовление отдельных деталей к обозу; небрежная обработка деталей и сборка готовых объектов; плохая окраска, недостаточно тщательное хранение готового обоза, вследствие чего происходит намокание деревянных и окисление металлических частей. Завод «Вулкан» треста «</w:t>
      </w:r>
      <w:proofErr w:type="spellStart"/>
      <w:r w:rsidRPr="00A259BD">
        <w:rPr>
          <w:color w:val="000000" w:themeColor="text1"/>
          <w:sz w:val="16"/>
          <w:szCs w:val="16"/>
        </w:rPr>
        <w:t>Тремасс</w:t>
      </w:r>
      <w:proofErr w:type="spellEnd"/>
      <w:r w:rsidRPr="00A259BD">
        <w:rPr>
          <w:color w:val="000000" w:themeColor="text1"/>
          <w:sz w:val="16"/>
          <w:szCs w:val="16"/>
        </w:rPr>
        <w:t xml:space="preserve">» значительную партию </w:t>
      </w:r>
      <w:proofErr w:type="spellStart"/>
      <w:r w:rsidRPr="00A259BD">
        <w:rPr>
          <w:color w:val="000000" w:themeColor="text1"/>
          <w:sz w:val="16"/>
          <w:szCs w:val="16"/>
        </w:rPr>
        <w:t>пищеварных</w:t>
      </w:r>
      <w:proofErr w:type="spellEnd"/>
      <w:r w:rsidRPr="00A259BD">
        <w:rPr>
          <w:color w:val="000000" w:themeColor="text1"/>
          <w:sz w:val="16"/>
          <w:szCs w:val="16"/>
        </w:rPr>
        <w:t xml:space="preserve"> котлов к походным кухням вылудил оловом, содержащим в своем химическом составе, помимо свинца (в допускаемом количестве), следы мышьяка и 0,425% сурьмы, не допускаемых кондициями. Повышенная влажность древесины в обозе, несоответствие профилей металлических частей приводят на практике, при эксплуатации и хранении обоза, к тому, что повозки расшатываются как от усыхания дерева, так и от ослабления металлических оковок. Колеса к повозкам, изготовляемые Тверским заводом треста «</w:t>
      </w:r>
      <w:proofErr w:type="spellStart"/>
      <w:r w:rsidRPr="00A259BD">
        <w:rPr>
          <w:color w:val="000000" w:themeColor="text1"/>
          <w:sz w:val="16"/>
          <w:szCs w:val="16"/>
        </w:rPr>
        <w:t>Гомза</w:t>
      </w:r>
      <w:proofErr w:type="spellEnd"/>
      <w:r w:rsidRPr="00A259BD">
        <w:rPr>
          <w:color w:val="000000" w:themeColor="text1"/>
          <w:sz w:val="16"/>
          <w:szCs w:val="16"/>
        </w:rPr>
        <w:t>», предъявляются к сдаче с наличием трещин в спицах, суковатостью, гнилью, со слабой и неравномерной ошиновкой и другими дефектами; все это вызывает массовую браковку колес.</w:t>
      </w:r>
    </w:p>
    <w:p w14:paraId="1B7E0569"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Партия ковочных инструментов, изготовленная трестом «</w:t>
      </w:r>
      <w:proofErr w:type="spellStart"/>
      <w:r w:rsidRPr="00A259BD">
        <w:rPr>
          <w:color w:val="000000" w:themeColor="text1"/>
          <w:sz w:val="16"/>
          <w:szCs w:val="16"/>
        </w:rPr>
        <w:t>Павмурмет</w:t>
      </w:r>
      <w:proofErr w:type="spellEnd"/>
      <w:r w:rsidRPr="00A259BD">
        <w:rPr>
          <w:color w:val="000000" w:themeColor="text1"/>
          <w:sz w:val="16"/>
          <w:szCs w:val="16"/>
        </w:rPr>
        <w:t>» в количестве 10 тыс. комплектов и предназначенная в неприкосновенный] запас, совершенно не соответствовала кондициям как по излишнему содержанию углерода, так и по чрезмерно высокой закалке, благодаря чему инструменты имеют скрытые закалочные трещины и при испытании в войсковых частях быстро ломаются и крошатся.</w:t>
      </w:r>
    </w:p>
    <w:p w14:paraId="4CA25A78"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В области швейной промышленности наблюдаются такие случаи: при пошивке головных уборов — пестрота в подборе материала по цветам различных оттенков и масляные пятна на готовых изделиях (</w:t>
      </w:r>
      <w:proofErr w:type="spellStart"/>
      <w:r w:rsidRPr="00A259BD">
        <w:rPr>
          <w:color w:val="000000" w:themeColor="text1"/>
          <w:sz w:val="16"/>
          <w:szCs w:val="16"/>
        </w:rPr>
        <w:t>Москвошвей</w:t>
      </w:r>
      <w:proofErr w:type="spellEnd"/>
      <w:r w:rsidRPr="00A259BD">
        <w:rPr>
          <w:color w:val="000000" w:themeColor="text1"/>
          <w:sz w:val="16"/>
          <w:szCs w:val="16"/>
        </w:rPr>
        <w:t xml:space="preserve">, фабрика № 1); </w:t>
      </w:r>
      <w:proofErr w:type="spellStart"/>
      <w:r w:rsidRPr="00A259BD">
        <w:rPr>
          <w:color w:val="000000" w:themeColor="text1"/>
          <w:sz w:val="16"/>
          <w:szCs w:val="16"/>
        </w:rPr>
        <w:t>забракование</w:t>
      </w:r>
      <w:proofErr w:type="spellEnd"/>
      <w:r w:rsidRPr="00A259BD">
        <w:rPr>
          <w:color w:val="000000" w:themeColor="text1"/>
          <w:sz w:val="16"/>
          <w:szCs w:val="16"/>
        </w:rPr>
        <w:t xml:space="preserve"> 3 тыс. комплектов нательного белья вследствие крайней небрежности в пошивке (Москва, коллектив № 16). Аналогичные явления наблюдаются и на швейных фабриках Ленинграда. Небрежная пошивка вещей имеет место на предприятиях в Казани и в Тифлисе.</w:t>
      </w:r>
    </w:p>
    <w:p w14:paraId="0B7598D2"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Прием готовых изделий с указанными дефектами приходится допускать только в силу необходимости, но не иначе, как со скидкой в 10</w:t>
      </w:r>
      <w:r w:rsidRPr="00A259BD">
        <w:rPr>
          <w:color w:val="000000" w:themeColor="text1"/>
          <w:sz w:val="16"/>
          <w:szCs w:val="16"/>
        </w:rPr>
        <w:noBreakHyphen/>
        <w:t>15% от договорной цены.</w:t>
      </w:r>
    </w:p>
    <w:p w14:paraId="397460FE"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Качество продовольствия.</w:t>
      </w:r>
      <w:r w:rsidRPr="00A259BD">
        <w:rPr>
          <w:color w:val="000000" w:themeColor="text1"/>
          <w:sz w:val="16"/>
          <w:szCs w:val="16"/>
        </w:rPr>
        <w:t xml:space="preserve"> Несмотря на введение общесоюзных стандартов, промышленность не всегда их придерживается. Примером может служить масло подсолнечное, которое на заводах Саратовского </w:t>
      </w:r>
      <w:proofErr w:type="spellStart"/>
      <w:r w:rsidRPr="00A259BD">
        <w:rPr>
          <w:color w:val="000000" w:themeColor="text1"/>
          <w:sz w:val="16"/>
          <w:szCs w:val="16"/>
        </w:rPr>
        <w:t>маслотреста</w:t>
      </w:r>
      <w:proofErr w:type="spellEnd"/>
      <w:r w:rsidRPr="00A259BD">
        <w:rPr>
          <w:color w:val="000000" w:themeColor="text1"/>
          <w:sz w:val="16"/>
          <w:szCs w:val="16"/>
        </w:rPr>
        <w:t xml:space="preserve"> получается мутное, с отстоем до 15% вместо установленных стандартом 2%; такое масло, естественно, бракуется. Мыло, изготовляемое на Ленинградском и Казанском заводах, браковалось из-за излишка свободной едкой щелочи и избытка </w:t>
      </w:r>
      <w:proofErr w:type="spellStart"/>
      <w:r w:rsidRPr="00A259BD">
        <w:rPr>
          <w:color w:val="000000" w:themeColor="text1"/>
          <w:sz w:val="16"/>
          <w:szCs w:val="16"/>
        </w:rPr>
        <w:t>неомыленных</w:t>
      </w:r>
      <w:proofErr w:type="spellEnd"/>
      <w:r w:rsidRPr="00A259BD">
        <w:rPr>
          <w:color w:val="000000" w:themeColor="text1"/>
          <w:sz w:val="16"/>
          <w:szCs w:val="16"/>
        </w:rPr>
        <w:t xml:space="preserve"> и </w:t>
      </w:r>
      <w:proofErr w:type="spellStart"/>
      <w:r w:rsidRPr="00A259BD">
        <w:rPr>
          <w:color w:val="000000" w:themeColor="text1"/>
          <w:sz w:val="16"/>
          <w:szCs w:val="16"/>
        </w:rPr>
        <w:t>неомыляемых</w:t>
      </w:r>
      <w:proofErr w:type="spellEnd"/>
      <w:r w:rsidRPr="00A259BD">
        <w:rPr>
          <w:color w:val="000000" w:themeColor="text1"/>
          <w:sz w:val="16"/>
          <w:szCs w:val="16"/>
        </w:rPr>
        <w:t xml:space="preserve"> веществ. При заготовке мясных консервов приходится считаться с отсутствием на союзном рынке вполне доброкачественной и кондиционной жести; главным и весьма существенным недостатком в этом случае является наличие в полуде жести 0,07% свинца, между тем как ученый медицинский совет считает допустимым в жести только следы свинца (постановление от 25 ноября 1927 г.). Такое требование вызывается необходимостью хранить консервы в неприкосновенном запасе. Считаясь с необходимостью, медицинский совет вынужден был согласиться на допущение содержания свинца в полуде консервных жестянок до 0,07%, подчеркнув вместе </w:t>
      </w:r>
      <w:r w:rsidRPr="00A259BD">
        <w:rPr>
          <w:rStyle w:val="af0"/>
          <w:i w:val="0"/>
          <w:color w:val="000000" w:themeColor="text1"/>
          <w:sz w:val="16"/>
          <w:szCs w:val="16"/>
        </w:rPr>
        <w:t>с</w:t>
      </w:r>
      <w:r w:rsidRPr="00A259BD">
        <w:rPr>
          <w:color w:val="000000" w:themeColor="text1"/>
          <w:sz w:val="16"/>
          <w:szCs w:val="16"/>
        </w:rPr>
        <w:t xml:space="preserve"> тем, что такой допуск надо считать временным и что срок хранения мясных консервов в этой укупорке должен быть сокращен, вследствие чего военное ведомство вынуждено было снизить срок хранения консервов с 5 до 4 лет.</w:t>
      </w:r>
    </w:p>
    <w:p w14:paraId="40B9CCA9" w14:textId="77777777" w:rsidR="00B31C35" w:rsidRPr="00A259BD" w:rsidRDefault="00B31C35" w:rsidP="009236E3">
      <w:pPr>
        <w:pStyle w:val="rtejustify"/>
        <w:spacing w:before="0" w:after="0"/>
        <w:rPr>
          <w:color w:val="000000" w:themeColor="text1"/>
          <w:sz w:val="16"/>
          <w:szCs w:val="16"/>
        </w:rPr>
      </w:pPr>
      <w:r w:rsidRPr="00A259BD">
        <w:rPr>
          <w:rStyle w:val="af0"/>
          <w:i w:val="0"/>
          <w:color w:val="000000" w:themeColor="text1"/>
          <w:sz w:val="16"/>
          <w:szCs w:val="16"/>
        </w:rPr>
        <w:t>Изделия военно-химические.</w:t>
      </w:r>
      <w:r w:rsidRPr="00A259BD">
        <w:rPr>
          <w:color w:val="000000" w:themeColor="text1"/>
          <w:sz w:val="16"/>
          <w:szCs w:val="16"/>
        </w:rPr>
        <w:t xml:space="preserve"> В области заказов на военно-химическую продукцию надо отметить несколько отдельных моментов:</w:t>
      </w:r>
    </w:p>
    <w:p w14:paraId="32ED47D0"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1. Эволюция технических условий происходит, но не в смысле их упрощения, а, наоборот, в смысле усложнения и детализации; причины к этому кроются в том, что образцы и конструкции военно-химических изделий должны совершенствоваться, идя в ногу с новыми принципиально методами химического нападения и обороны.</w:t>
      </w:r>
    </w:p>
    <w:p w14:paraId="53E8B6ED"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2. Вследствие известного прогресса в военно-химическом деле промышленность не может достаточно быстро ориентироваться в предъявляемых к ней требованиях и потому имеет склонность требовать от НКВМ не только технических условий (которые она, конечно, должна иметь), но и хочет получить детальные инструкции по производству изделий и даже готовые методы работы, чего военное ведомство дать не всегда может.</w:t>
      </w:r>
    </w:p>
    <w:p w14:paraId="21BE7D10"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3. Стремясь, однако, обеспечить качество изделий НКВМ зачастую брал на себя заготовку и приемку полуфабрикатов и сырья для промышленности.</w:t>
      </w:r>
    </w:p>
    <w:p w14:paraId="23D095EC"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Останавливаясь на качестве сдаваемой промышленностью продукции для военно-химических целей по заказам НКВМ, надо сказать, что в этом вопросе не все идет гладко; достаточно указать, что: а) кондиционной жести для противогазов не имеется; б) материалы для сварных и цельнотянутых труб содержат ряд дефектов; в) для выделки специальных тканей применяется хлопок низших марок; г) войлок в изделиях неудовлетворителен; д) значительные группы предметов военно-химических изделий производятся вручную (клейка резиновых изделий, сборка и набивка противогазовой коробки); е) некондиционные химикалии, входящие в состав противогазовой резины, понижают время службы противогазовых масок и выдыхательных клапанов.</w:t>
      </w:r>
    </w:p>
    <w:p w14:paraId="141440AD"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lastRenderedPageBreak/>
        <w:t xml:space="preserve">Вообще работа </w:t>
      </w:r>
      <w:proofErr w:type="spellStart"/>
      <w:r w:rsidRPr="00A259BD">
        <w:rPr>
          <w:color w:val="000000" w:themeColor="text1"/>
          <w:sz w:val="16"/>
          <w:szCs w:val="16"/>
        </w:rPr>
        <w:t>Вохимтреста</w:t>
      </w:r>
      <w:proofErr w:type="spellEnd"/>
      <w:r w:rsidRPr="00A259BD">
        <w:rPr>
          <w:color w:val="000000" w:themeColor="text1"/>
          <w:sz w:val="16"/>
          <w:szCs w:val="16"/>
        </w:rPr>
        <w:t xml:space="preserve"> по противогазовому производству имеет целый ряд неувязок, и в результате получаются изделия очень невысокого качества; все это в конце концов влечет за собой пересмотр целых партий готовой продукции. Нельзя не упомянуть также и о том, что производство изделий по заказам </w:t>
      </w:r>
      <w:proofErr w:type="spellStart"/>
      <w:r w:rsidRPr="00A259BD">
        <w:rPr>
          <w:color w:val="000000" w:themeColor="text1"/>
          <w:sz w:val="16"/>
          <w:szCs w:val="16"/>
        </w:rPr>
        <w:t>Вохиму</w:t>
      </w:r>
      <w:proofErr w:type="spellEnd"/>
      <w:r w:rsidRPr="00A259BD">
        <w:rPr>
          <w:color w:val="000000" w:themeColor="text1"/>
          <w:sz w:val="16"/>
          <w:szCs w:val="16"/>
        </w:rPr>
        <w:t xml:space="preserve"> раздроблено по различным трестам военной и гражданской промышленности.</w:t>
      </w:r>
    </w:p>
    <w:p w14:paraId="6801DA54"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В вопросах изготовления промышленностью предметов материального и боевого снабжения РККА, несомненно, имеется ряд достижений (о которых уже сказано выше), но наряду с тем имеется немало и недостатков. Изучая и анализируя причины не всегда кондиционной и даже не везде удовлетворительной продукции промышленности по заказам военного ведомства, можно подметить несколько общих условий, имеющихся в наличии в большинстве промышленных предприятий. Прежде всего, это — недостатки иногда технического оборудования и, пожалуй, главным образом неудовлетворительная постановка технического контроля. Разумеется, что вопрос о техническом контроле наталкивается иногда на такого рода препятствия, как отсутствие достаточно квалифицированного технического состава. В самом деле, практика показывает, что там, где технический контроль не налажен или плохо организован, там всегда бывает больше брака, и наоборот. Достаточно напомнить о том, что на заводе ТОМП возврат для исправления биноклей достигал до 40%; при усилении технического контроля эта цифра значительно снизилась. Сюда же относятся и организационные недостатки в производстве, как, например, сборка зенитных орудий в неприспособленных помещениях, и в результате в зенитных орудиях находятся металлические стружки; этот дефект выводит из строя совершенно исправные орудия. Второй причиной надо считать полное отсутствие на союзном рынке надлежащего качества сырья и полуфабрикатов; сюда относится шерсть, жесть, красители и др. Наконец последнее, что нужно отметить, это — не всегда обоснованная критика предприятиями промышленности технических условий, установленных военным ведомством для своих изделий. Органы промышленности не учитывают иногда того обстоятельства, что предметы материального и боевого снабжения РККА в большей своей части заготовляются для хранения в неприкосновенном запасе и потому должны быть качественно и технически наиболее совершенными.</w:t>
      </w:r>
    </w:p>
    <w:p w14:paraId="2A21AC2C"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В целях устранения всех имеющихся недочетов в производстве продукции по заказам НКВМ РВС Союза ССР просит Совет труда и обороны утвердить представляемый при сем проект постановления⁶*.</w:t>
      </w:r>
    </w:p>
    <w:p w14:paraId="68D6DDC9" w14:textId="77777777" w:rsidR="00B31C35" w:rsidRPr="00A259BD" w:rsidRDefault="00B31C35" w:rsidP="009236E3">
      <w:pPr>
        <w:pStyle w:val="rteright"/>
        <w:spacing w:before="0" w:after="0"/>
        <w:jc w:val="both"/>
        <w:rPr>
          <w:color w:val="000000" w:themeColor="text1"/>
          <w:sz w:val="16"/>
          <w:szCs w:val="16"/>
        </w:rPr>
      </w:pPr>
      <w:r w:rsidRPr="00A259BD">
        <w:rPr>
          <w:rStyle w:val="af0"/>
          <w:i w:val="0"/>
          <w:color w:val="000000" w:themeColor="text1"/>
          <w:sz w:val="16"/>
          <w:szCs w:val="16"/>
        </w:rPr>
        <w:t xml:space="preserve">Зам. народного комиссара по военным и морским делам и председателя РВС СССР </w:t>
      </w:r>
      <w:hyperlink r:id="rId11" w:history="1">
        <w:proofErr w:type="spellStart"/>
        <w:r w:rsidRPr="00A259BD">
          <w:rPr>
            <w:rStyle w:val="af0"/>
            <w:i w:val="0"/>
            <w:color w:val="000000" w:themeColor="text1"/>
            <w:sz w:val="16"/>
            <w:szCs w:val="16"/>
          </w:rPr>
          <w:t>Уншлихт</w:t>
        </w:r>
        <w:proofErr w:type="spellEnd"/>
      </w:hyperlink>
    </w:p>
    <w:p w14:paraId="16076501"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 xml:space="preserve">Помета: «Считаю, что проект надо поддержать, поскольку он имеет в виду лишь изделия мирного времени. Для военного </w:t>
      </w:r>
      <w:proofErr w:type="spellStart"/>
      <w:r w:rsidRPr="00A259BD">
        <w:rPr>
          <w:color w:val="000000" w:themeColor="text1"/>
          <w:sz w:val="16"/>
          <w:szCs w:val="16"/>
        </w:rPr>
        <w:t>вр</w:t>
      </w:r>
      <w:proofErr w:type="spellEnd"/>
      <w:r w:rsidRPr="00A259BD">
        <w:rPr>
          <w:color w:val="000000" w:themeColor="text1"/>
          <w:sz w:val="16"/>
          <w:szCs w:val="16"/>
        </w:rPr>
        <w:t>[</w:t>
      </w:r>
      <w:proofErr w:type="spellStart"/>
      <w:r w:rsidRPr="00A259BD">
        <w:rPr>
          <w:color w:val="000000" w:themeColor="text1"/>
          <w:sz w:val="16"/>
          <w:szCs w:val="16"/>
        </w:rPr>
        <w:t>емени</w:t>
      </w:r>
      <w:proofErr w:type="spellEnd"/>
      <w:r w:rsidRPr="00A259BD">
        <w:rPr>
          <w:color w:val="000000" w:themeColor="text1"/>
          <w:sz w:val="16"/>
          <w:szCs w:val="16"/>
        </w:rPr>
        <w:t xml:space="preserve">] условия надо снизить. </w:t>
      </w:r>
      <w:proofErr w:type="spellStart"/>
      <w:r w:rsidRPr="00A259BD">
        <w:rPr>
          <w:color w:val="000000" w:themeColor="text1"/>
          <w:sz w:val="16"/>
          <w:szCs w:val="16"/>
        </w:rPr>
        <w:t>Шипек</w:t>
      </w:r>
      <w:proofErr w:type="spellEnd"/>
      <w:r w:rsidRPr="00A259BD">
        <w:rPr>
          <w:color w:val="000000" w:themeColor="text1"/>
          <w:sz w:val="16"/>
          <w:szCs w:val="16"/>
        </w:rPr>
        <w:t>. 25 января 1929 г.».</w:t>
      </w:r>
    </w:p>
    <w:p w14:paraId="34BA89F1" w14:textId="77777777" w:rsidR="00B31C35" w:rsidRPr="00A259BD" w:rsidRDefault="00B31C35"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r w:rsidRPr="00A259BD">
        <w:rPr>
          <w:color w:val="000000" w:themeColor="text1"/>
          <w:sz w:val="16"/>
          <w:szCs w:val="16"/>
        </w:rPr>
        <w:t>:</w:t>
      </w:r>
    </w:p>
    <w:p w14:paraId="734AAD54"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Датируется по сопроводительной записке.</w:t>
      </w:r>
    </w:p>
    <w:p w14:paraId="12E853FF"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Опущено перечисление деталей орудийных систем, требующих улучшения.</w:t>
      </w:r>
    </w:p>
    <w:p w14:paraId="75EB2770"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vertAlign w:val="superscript"/>
        </w:rPr>
        <w:t>3</w:t>
      </w:r>
      <w:r w:rsidRPr="00A259BD">
        <w:rPr>
          <w:color w:val="000000" w:themeColor="text1"/>
          <w:sz w:val="16"/>
          <w:szCs w:val="16"/>
        </w:rPr>
        <w:t>* Опущены подразделы “Конская амуниция” и “Смазочные материалы”.</w:t>
      </w:r>
    </w:p>
    <w:p w14:paraId="5954F0AB"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vertAlign w:val="superscript"/>
        </w:rPr>
        <w:t>4</w:t>
      </w:r>
      <w:r w:rsidRPr="00A259BD">
        <w:rPr>
          <w:color w:val="000000" w:themeColor="text1"/>
          <w:sz w:val="16"/>
          <w:szCs w:val="16"/>
        </w:rPr>
        <w:t>* </w:t>
      </w:r>
      <w:r w:rsidRPr="00A259BD">
        <w:rPr>
          <w:rStyle w:val="af0"/>
          <w:i w:val="0"/>
          <w:color w:val="000000" w:themeColor="text1"/>
          <w:sz w:val="16"/>
          <w:szCs w:val="16"/>
        </w:rPr>
        <w:t>Пулемет ПВ-1</w:t>
      </w:r>
      <w:r w:rsidRPr="00A259BD">
        <w:rPr>
          <w:color w:val="000000" w:themeColor="text1"/>
          <w:sz w:val="16"/>
          <w:szCs w:val="16"/>
        </w:rPr>
        <w:t> — переделанный под авиационный конструктором А. В. </w:t>
      </w:r>
      <w:proofErr w:type="spellStart"/>
      <w:r w:rsidRPr="00A259BD">
        <w:rPr>
          <w:color w:val="000000" w:themeColor="text1"/>
          <w:sz w:val="16"/>
          <w:szCs w:val="16"/>
        </w:rPr>
        <w:t>Надашкевичем</w:t>
      </w:r>
      <w:proofErr w:type="spellEnd"/>
      <w:r w:rsidRPr="00A259BD">
        <w:rPr>
          <w:color w:val="000000" w:themeColor="text1"/>
          <w:sz w:val="16"/>
          <w:szCs w:val="16"/>
        </w:rPr>
        <w:t xml:space="preserve"> 7,62</w:t>
      </w:r>
      <w:r w:rsidRPr="00A259BD">
        <w:rPr>
          <w:color w:val="000000" w:themeColor="text1"/>
          <w:sz w:val="16"/>
          <w:szCs w:val="16"/>
        </w:rPr>
        <w:noBreakHyphen/>
        <w:t>мм станковый пулемет Максима. (О пулеметах Максима и Максима-Токарева см.: Советское военно-промышленное производство. 1918</w:t>
      </w:r>
      <w:r w:rsidRPr="00A259BD">
        <w:rPr>
          <w:color w:val="000000" w:themeColor="text1"/>
          <w:sz w:val="16"/>
          <w:szCs w:val="16"/>
        </w:rPr>
        <w:noBreakHyphen/>
        <w:t>1926. М., 2005. С. 684, 696.) В 1928 г. был принят на вооружение ВВС РККА. Этими пулеметами вооружались первые советские истребители И</w:t>
      </w:r>
      <w:r w:rsidRPr="00A259BD">
        <w:rPr>
          <w:color w:val="000000" w:themeColor="text1"/>
          <w:sz w:val="16"/>
          <w:szCs w:val="16"/>
        </w:rPr>
        <w:noBreakHyphen/>
        <w:t>3, И</w:t>
      </w:r>
      <w:r w:rsidRPr="00A259BD">
        <w:rPr>
          <w:color w:val="000000" w:themeColor="text1"/>
          <w:sz w:val="16"/>
          <w:szCs w:val="16"/>
        </w:rPr>
        <w:noBreakHyphen/>
        <w:t>4 и бомбардировщик ТБ</w:t>
      </w:r>
      <w:r w:rsidRPr="00A259BD">
        <w:rPr>
          <w:color w:val="000000" w:themeColor="text1"/>
          <w:sz w:val="16"/>
          <w:szCs w:val="16"/>
        </w:rPr>
        <w:noBreakHyphen/>
        <w:t>1. Выпуск пулеметов продолжался до 1940 г.</w:t>
      </w:r>
    </w:p>
    <w:p w14:paraId="2AA1A910"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vertAlign w:val="superscript"/>
        </w:rPr>
        <w:t>5</w:t>
      </w:r>
      <w:r w:rsidRPr="00A259BD">
        <w:rPr>
          <w:color w:val="000000" w:themeColor="text1"/>
          <w:sz w:val="16"/>
          <w:szCs w:val="16"/>
        </w:rPr>
        <w:t>* Опущены примеры брака на заводах.</w:t>
      </w:r>
    </w:p>
    <w:p w14:paraId="16DF9598"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vertAlign w:val="superscript"/>
        </w:rPr>
        <w:t>6</w:t>
      </w:r>
      <w:r w:rsidRPr="00A259BD">
        <w:rPr>
          <w:color w:val="000000" w:themeColor="text1"/>
          <w:sz w:val="16"/>
          <w:szCs w:val="16"/>
        </w:rPr>
        <w:t>* Не публикуется (см. там же, л. 53</w:t>
      </w:r>
      <w:r w:rsidRPr="00A259BD">
        <w:rPr>
          <w:color w:val="000000" w:themeColor="text1"/>
          <w:sz w:val="16"/>
          <w:szCs w:val="16"/>
        </w:rPr>
        <w:noBreakHyphen/>
        <w:t>51 об.).</w:t>
      </w:r>
    </w:p>
    <w:p w14:paraId="1A7AA656" w14:textId="77777777" w:rsidR="00B31C35" w:rsidRPr="00A259BD" w:rsidRDefault="00B31C35" w:rsidP="009236E3">
      <w:pPr>
        <w:pStyle w:val="rtejustify"/>
        <w:spacing w:before="0" w:after="0"/>
        <w:rPr>
          <w:color w:val="000000" w:themeColor="text1"/>
          <w:sz w:val="16"/>
          <w:szCs w:val="16"/>
        </w:rPr>
      </w:pPr>
      <w:r w:rsidRPr="00A259BD">
        <w:rPr>
          <w:color w:val="000000" w:themeColor="text1"/>
          <w:sz w:val="16"/>
          <w:szCs w:val="16"/>
        </w:rPr>
        <w:t>РГАЭ. Ф. 4372. Оп. 91. Д. 381. Л. 76—67, 65—54. Заверенная копия.</w:t>
      </w:r>
    </w:p>
    <w:p w14:paraId="6E4BFAF8" w14:textId="77777777" w:rsidR="00B31C35" w:rsidRPr="00A259BD" w:rsidRDefault="00B31C3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4372. Оп. 91. Д. 381. Л. 76—67, 65—54. Заверенная копия. </w:t>
      </w:r>
    </w:p>
    <w:p w14:paraId="73E7F21A" w14:textId="77777777" w:rsidR="00B31C35" w:rsidRPr="00A259BD" w:rsidRDefault="00B31C3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262-272 (12419).</w:t>
      </w:r>
    </w:p>
    <w:p w14:paraId="243FD2F2" w14:textId="77777777" w:rsidR="00B31C35" w:rsidRPr="00A259BD" w:rsidRDefault="00B31C35" w:rsidP="009236E3">
      <w:pPr>
        <w:spacing w:after="0" w:line="240" w:lineRule="auto"/>
        <w:jc w:val="both"/>
        <w:rPr>
          <w:rFonts w:ascii="Times New Roman" w:hAnsi="Times New Roman"/>
          <w:color w:val="000000" w:themeColor="text1"/>
          <w:sz w:val="16"/>
          <w:szCs w:val="16"/>
        </w:rPr>
      </w:pPr>
    </w:p>
    <w:p w14:paraId="3F8C5F5D"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0733374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2DC2CA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января 1929 Н. Бухарин в речи “Политическое завещание Ленина” выступил с критикой экономической политики Сталина (4962).</w:t>
      </w:r>
    </w:p>
    <w:p w14:paraId="63A9F3A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EA542E" w14:textId="77777777" w:rsidR="001B4607" w:rsidRPr="00A259BD" w:rsidRDefault="001B4607"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DAC555C" w14:textId="77777777" w:rsidR="001B4607" w:rsidRPr="00A259BD" w:rsidRDefault="001B460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C0CAAF" w14:textId="77777777" w:rsidR="001B4607" w:rsidRPr="00A259BD" w:rsidRDefault="001B460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января 1929 - Первый полет </w:t>
      </w:r>
      <w:proofErr w:type="spellStart"/>
      <w:r w:rsidRPr="00A259BD">
        <w:rPr>
          <w:rFonts w:ascii="Times New Roman" w:hAnsi="Times New Roman"/>
          <w:color w:val="000000" w:themeColor="text1"/>
          <w:sz w:val="16"/>
          <w:szCs w:val="16"/>
        </w:rPr>
        <w:t>Blériot</w:t>
      </w:r>
      <w:proofErr w:type="spellEnd"/>
      <w:r w:rsidRPr="00A259BD">
        <w:rPr>
          <w:rFonts w:ascii="Times New Roman" w:hAnsi="Times New Roman"/>
          <w:color w:val="000000" w:themeColor="text1"/>
          <w:sz w:val="16"/>
          <w:szCs w:val="16"/>
        </w:rPr>
        <w:t xml:space="preserve"> 111. Разработанный Андре </w:t>
      </w:r>
      <w:proofErr w:type="spellStart"/>
      <w:r w:rsidRPr="00A259BD">
        <w:rPr>
          <w:rFonts w:ascii="Times New Roman" w:hAnsi="Times New Roman"/>
          <w:color w:val="000000" w:themeColor="text1"/>
          <w:sz w:val="16"/>
          <w:szCs w:val="16"/>
        </w:rPr>
        <w:t>Эрбемоном</w:t>
      </w:r>
      <w:proofErr w:type="spellEnd"/>
      <w:r w:rsidRPr="00A259BD">
        <w:rPr>
          <w:rFonts w:ascii="Times New Roman" w:hAnsi="Times New Roman"/>
          <w:color w:val="000000" w:themeColor="text1"/>
          <w:sz w:val="16"/>
          <w:szCs w:val="16"/>
        </w:rPr>
        <w:t xml:space="preserve"> в качестве скоростного комфортабельного административного самолета, </w:t>
      </w:r>
      <w:proofErr w:type="spellStart"/>
      <w:r w:rsidRPr="00A259BD">
        <w:rPr>
          <w:rFonts w:ascii="Times New Roman" w:hAnsi="Times New Roman"/>
          <w:color w:val="000000" w:themeColor="text1"/>
          <w:sz w:val="16"/>
          <w:szCs w:val="16"/>
        </w:rPr>
        <w:t>Bleriot</w:t>
      </w:r>
      <w:proofErr w:type="spellEnd"/>
      <w:r w:rsidRPr="00A259BD">
        <w:rPr>
          <w:rFonts w:ascii="Times New Roman" w:hAnsi="Times New Roman"/>
          <w:color w:val="000000" w:themeColor="text1"/>
          <w:sz w:val="16"/>
          <w:szCs w:val="16"/>
        </w:rPr>
        <w:t xml:space="preserve"> 111 по концепции опередил свое время. Первый вариант, получивший обозначение </w:t>
      </w:r>
      <w:proofErr w:type="spellStart"/>
      <w:r w:rsidRPr="00A259BD">
        <w:rPr>
          <w:rFonts w:ascii="Times New Roman" w:hAnsi="Times New Roman"/>
          <w:color w:val="000000" w:themeColor="text1"/>
          <w:sz w:val="16"/>
          <w:szCs w:val="16"/>
        </w:rPr>
        <w:t>Bleriot</w:t>
      </w:r>
      <w:proofErr w:type="spellEnd"/>
      <w:r w:rsidRPr="00A259BD">
        <w:rPr>
          <w:rFonts w:ascii="Times New Roman" w:hAnsi="Times New Roman"/>
          <w:color w:val="000000" w:themeColor="text1"/>
          <w:sz w:val="16"/>
          <w:szCs w:val="16"/>
        </w:rPr>
        <w:t xml:space="preserve"> 111/1, поднялся в воздух 24 января 1929 года. Это был низкоплан с крылом большого размаха, подкрепленного подкосами, с закрытой пассажирской кабиной, перед которой размещалась кабина пилота. В качестве силовой установки использовался двигатель </w:t>
      </w:r>
      <w:proofErr w:type="spellStart"/>
      <w:r w:rsidRPr="00A259BD">
        <w:rPr>
          <w:rFonts w:ascii="Times New Roman" w:hAnsi="Times New Roman"/>
          <w:color w:val="000000" w:themeColor="text1"/>
          <w:sz w:val="16"/>
          <w:szCs w:val="16"/>
        </w:rPr>
        <w:t>Hispano-Suiza</w:t>
      </w:r>
      <w:proofErr w:type="spellEnd"/>
      <w:r w:rsidRPr="00A259BD">
        <w:rPr>
          <w:rFonts w:ascii="Times New Roman" w:hAnsi="Times New Roman"/>
          <w:color w:val="000000" w:themeColor="text1"/>
          <w:sz w:val="16"/>
          <w:szCs w:val="16"/>
        </w:rPr>
        <w:t xml:space="preserve"> 6Mbr мощностью 280 л.с. (209 кВт). Серийно не строился (22645).</w:t>
      </w:r>
    </w:p>
    <w:p w14:paraId="562C62C1" w14:textId="77777777" w:rsidR="001B4607" w:rsidRPr="00A259BD" w:rsidRDefault="001B4607" w:rsidP="009236E3">
      <w:pPr>
        <w:spacing w:after="0" w:line="240" w:lineRule="auto"/>
        <w:jc w:val="both"/>
        <w:rPr>
          <w:rFonts w:ascii="Times New Roman" w:hAnsi="Times New Roman"/>
          <w:color w:val="000000" w:themeColor="text1"/>
          <w:sz w:val="16"/>
          <w:szCs w:val="16"/>
        </w:rPr>
      </w:pPr>
    </w:p>
    <w:p w14:paraId="08C601F4" w14:textId="77777777" w:rsidR="001B4607" w:rsidRPr="00A259BD" w:rsidRDefault="001B4607"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F459D99" w14:textId="77777777" w:rsidR="001B4607" w:rsidRPr="00A259BD" w:rsidRDefault="001B460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092533F" w14:textId="77777777" w:rsidR="001B4607" w:rsidRPr="00A259BD" w:rsidRDefault="001B460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25 января 1929 года Константин Константинович </w:t>
      </w:r>
      <w:proofErr w:type="spellStart"/>
      <w:r w:rsidRPr="00A259BD">
        <w:rPr>
          <w:rFonts w:ascii="Times New Roman" w:hAnsi="Times New Roman"/>
          <w:color w:val="000000" w:themeColor="text1"/>
          <w:sz w:val="16"/>
          <w:szCs w:val="16"/>
        </w:rPr>
        <w:t>Арцеулов</w:t>
      </w:r>
      <w:proofErr w:type="spellEnd"/>
      <w:r w:rsidRPr="00A259BD">
        <w:rPr>
          <w:rFonts w:ascii="Times New Roman" w:hAnsi="Times New Roman"/>
          <w:color w:val="000000" w:themeColor="text1"/>
          <w:sz w:val="16"/>
          <w:szCs w:val="16"/>
        </w:rPr>
        <w:t xml:space="preserve"> с бортмехаником Г.О. Крючковым выполнял полеты в интересах проводки судов в Азовском море. В кампании принимали участие ледоколы «Степан Осипович Макаров», «Торос», «</w:t>
      </w:r>
      <w:proofErr w:type="spellStart"/>
      <w:r w:rsidRPr="00A259BD">
        <w:rPr>
          <w:rFonts w:ascii="Times New Roman" w:hAnsi="Times New Roman"/>
          <w:color w:val="000000" w:themeColor="text1"/>
          <w:sz w:val="16"/>
          <w:szCs w:val="16"/>
        </w:rPr>
        <w:t>Соломбала</w:t>
      </w:r>
      <w:proofErr w:type="spellEnd"/>
      <w:r w:rsidRPr="00A259BD">
        <w:rPr>
          <w:rFonts w:ascii="Times New Roman" w:hAnsi="Times New Roman"/>
          <w:color w:val="000000" w:themeColor="text1"/>
          <w:sz w:val="16"/>
          <w:szCs w:val="16"/>
        </w:rPr>
        <w:t>» и № 5. Базироваться пришлось на узкой прибрежной полосе. Взлет производился со льда. Всего в течение месяца работы было выполнено семь полетов, с налетом 14 часов (21125).</w:t>
      </w:r>
    </w:p>
    <w:p w14:paraId="18908882" w14:textId="77777777" w:rsidR="001B4607" w:rsidRPr="00A259BD" w:rsidRDefault="001B4607" w:rsidP="009236E3">
      <w:pPr>
        <w:spacing w:after="0" w:line="240" w:lineRule="auto"/>
        <w:jc w:val="both"/>
        <w:rPr>
          <w:rFonts w:ascii="Times New Roman" w:hAnsi="Times New Roman"/>
          <w:color w:val="000000" w:themeColor="text1"/>
          <w:sz w:val="16"/>
          <w:szCs w:val="16"/>
        </w:rPr>
      </w:pPr>
    </w:p>
    <w:p w14:paraId="763745FA" w14:textId="77777777" w:rsidR="001B4607" w:rsidRPr="00A259BD" w:rsidRDefault="001B4607"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18482DA" w14:textId="77777777" w:rsidR="001B4607" w:rsidRPr="00A259BD" w:rsidRDefault="001B460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12017A8" w14:textId="77777777" w:rsidR="001B4607" w:rsidRPr="00A259BD" w:rsidRDefault="001B460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января 1929 г. Техническим Совещанием КБ АК был рассмотрен новый проект тяжелого миномета, в основу которого был положен газодинамический принцип действия. Ствол миномета состоял из передней части, изготовляемой из трубы, и задней, с каморой отдельного сгорания. Для удобства заряжания был уменьшен угол возвышения – с 30° до 15°.За основу поворотного механизма был взят механизм, разработанный А.А. Соколовым для 76-мм полевой пушки обр. 1902 г. Затвор предлагался клиновой, вертикальный, с ударным приспособлением от 76-мм полевой пушки. Колеса для миномета предусматривались деревянные и металлические. Общий вес системы в походном положении с передком составлял около 2 000 — 2 100 кг (почти столько же, сколько весила 76-мм полевая пушка обр. 1902 г.). 14 февраля 1929 г. проект 2-го варианта 250-мм тяжелого миномета КБ АК был направлен в </w:t>
      </w:r>
      <w:proofErr w:type="spellStart"/>
      <w:r w:rsidRPr="00A259BD">
        <w:rPr>
          <w:rFonts w:ascii="Times New Roman" w:hAnsi="Times New Roman"/>
          <w:color w:val="000000" w:themeColor="text1"/>
          <w:sz w:val="16"/>
          <w:szCs w:val="16"/>
        </w:rPr>
        <w:t>Артком</w:t>
      </w:r>
      <w:proofErr w:type="spellEnd"/>
      <w:r w:rsidRPr="00A259BD">
        <w:rPr>
          <w:rFonts w:ascii="Times New Roman" w:hAnsi="Times New Roman"/>
          <w:color w:val="000000" w:themeColor="text1"/>
          <w:sz w:val="16"/>
          <w:szCs w:val="16"/>
        </w:rPr>
        <w:t>. На этом проектные работы по тяжелому миномету в КБ АК были завершены.139 (20074)</w:t>
      </w:r>
    </w:p>
    <w:p w14:paraId="07385FDA" w14:textId="77777777" w:rsidR="001B4607" w:rsidRPr="00A259BD" w:rsidRDefault="001B4607" w:rsidP="009236E3">
      <w:pPr>
        <w:spacing w:after="0" w:line="240" w:lineRule="auto"/>
        <w:jc w:val="both"/>
        <w:rPr>
          <w:rFonts w:ascii="Times New Roman" w:hAnsi="Times New Roman"/>
          <w:color w:val="000000" w:themeColor="text1"/>
          <w:sz w:val="16"/>
          <w:szCs w:val="16"/>
        </w:rPr>
      </w:pPr>
    </w:p>
    <w:p w14:paraId="09F570F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7FA792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06E8C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26 января по 4 марта 1929 в НИИ ВВС проходили испытания самолета И-2 бис М.5. № 3560 постройки завода № 1</w:t>
      </w:r>
    </w:p>
    <w:p w14:paraId="571D97D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испытания самолета И-2 бис М.5. № 3560 постройки завода № 1</w:t>
      </w:r>
    </w:p>
    <w:p w14:paraId="2557537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Начало испытания 26 января 1929 года</w:t>
      </w:r>
    </w:p>
    <w:p w14:paraId="222920A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 испытания 4 марта 1929 года</w:t>
      </w:r>
    </w:p>
    <w:p w14:paraId="1ED71B5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И-2 бис заводской № 3560 постройки завода № 1.</w:t>
      </w:r>
    </w:p>
    <w:p w14:paraId="3D3F81B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 М-5 400 НР № 712 постройки завода № 24</w:t>
      </w:r>
    </w:p>
    <w:p w14:paraId="485FFF0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построен по образцу самолета И-2 бис № 1990, построенного заводом № 23 с мелкими изменениями.</w:t>
      </w:r>
    </w:p>
    <w:p w14:paraId="25C8910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1A719F2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Летные качества самолета не отвечают современным требованиям к истребителям, а потому самолет И-2 бис М.5. может быть признан только как тренировочный самолет (6978, 6984).</w:t>
      </w:r>
    </w:p>
    <w:p w14:paraId="13F45A1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F2CD59" w14:textId="77777777" w:rsidR="00EE73C1" w:rsidRPr="00441F34" w:rsidRDefault="00EE73C1" w:rsidP="00EE73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26 января 1929 г. в Москве в НОА ВВС начались испытания самолета И-2бис М-5 зав. № 3560 постройки завода № 1, построенного по типу машины № 1990 выпуска завода № 23 с незначительными изменениями (23560).</w:t>
      </w:r>
    </w:p>
    <w:p w14:paraId="43BCDDD9" w14:textId="77777777" w:rsidR="00EE73C1" w:rsidRPr="00441F34" w:rsidRDefault="00EE73C1" w:rsidP="00EE73C1">
      <w:pPr>
        <w:spacing w:after="0" w:line="240" w:lineRule="auto"/>
        <w:jc w:val="both"/>
        <w:rPr>
          <w:rFonts w:ascii="Times New Roman" w:hAnsi="Times New Roman"/>
          <w:color w:val="0070C0"/>
          <w:sz w:val="16"/>
          <w:szCs w:val="16"/>
        </w:rPr>
      </w:pPr>
    </w:p>
    <w:p w14:paraId="202FF40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26 по 31 января в НИИ ВВС проходили испытания самолета Р1-М5 № 3483</w:t>
      </w:r>
    </w:p>
    <w:p w14:paraId="6AB2613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января 1929 года – полет на устойчивость</w:t>
      </w:r>
    </w:p>
    <w:p w14:paraId="5847D07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января 1929 года – полет на управляемость</w:t>
      </w:r>
    </w:p>
    <w:p w14:paraId="5616725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января 1929 года – определение горизонтальных скоростей на высоте 100 м по мерному километру</w:t>
      </w:r>
    </w:p>
    <w:p w14:paraId="362DB4D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января 1929 года – полет на управляемость</w:t>
      </w:r>
    </w:p>
    <w:p w14:paraId="127FAD9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января 1929 года – определение скороподъемности, потолка, горизонтальных скоростей на разных высотах. Планирование.</w:t>
      </w:r>
    </w:p>
    <w:p w14:paraId="4734567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января 1929 года – испытание на фигурные полеты.</w:t>
      </w:r>
    </w:p>
    <w:p w14:paraId="3DE726A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января 1929 года – полет на штопор.</w:t>
      </w:r>
    </w:p>
    <w:p w14:paraId="67C25FF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31 января 1929 года – испытание на фигурные полеты (6989, 6982).</w:t>
      </w:r>
    </w:p>
    <w:p w14:paraId="26E90A6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420D87" w14:textId="77777777" w:rsidR="004D16E2" w:rsidRPr="00A259BD" w:rsidRDefault="004D16E2"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января 1929 г. Заместитель председателя РСВ </w:t>
      </w:r>
      <w:proofErr w:type="spellStart"/>
      <w:r w:rsidRPr="00A259BD">
        <w:rPr>
          <w:rFonts w:ascii="Times New Roman" w:hAnsi="Times New Roman"/>
          <w:color w:val="000000" w:themeColor="text1"/>
          <w:sz w:val="16"/>
          <w:szCs w:val="16"/>
        </w:rPr>
        <w:t>И.С.Уншлихт</w:t>
      </w:r>
      <w:proofErr w:type="spellEnd"/>
      <w:r w:rsidRPr="00A259BD">
        <w:rPr>
          <w:rFonts w:ascii="Times New Roman" w:hAnsi="Times New Roman"/>
          <w:color w:val="000000" w:themeColor="text1"/>
          <w:sz w:val="16"/>
          <w:szCs w:val="16"/>
        </w:rPr>
        <w:t xml:space="preserve"> в письме на имя начальника ВМС РККА </w:t>
      </w:r>
      <w:proofErr w:type="spellStart"/>
      <w:r w:rsidRPr="00A259BD">
        <w:rPr>
          <w:rFonts w:ascii="Times New Roman" w:hAnsi="Times New Roman"/>
          <w:color w:val="000000" w:themeColor="text1"/>
          <w:sz w:val="16"/>
          <w:szCs w:val="16"/>
        </w:rPr>
        <w:t>Муклевича</w:t>
      </w:r>
      <w:proofErr w:type="spellEnd"/>
      <w:r w:rsidRPr="00A259BD">
        <w:rPr>
          <w:rFonts w:ascii="Times New Roman" w:hAnsi="Times New Roman"/>
          <w:color w:val="000000" w:themeColor="text1"/>
          <w:sz w:val="16"/>
          <w:szCs w:val="16"/>
        </w:rPr>
        <w:t xml:space="preserve"> и других пишет: «При обследовании работ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Тихомирова выявилось, что в данное время его работы, имеющие исключительно важное значение для Красной Армии, находятся на такой стадии, что в ближайшее время можно будет провести широкие полигонные, а затем широкие войсковые испытания». </w:t>
      </w:r>
      <w:proofErr w:type="spellStart"/>
      <w:r w:rsidRPr="00A259BD">
        <w:rPr>
          <w:rFonts w:ascii="Times New Roman" w:hAnsi="Times New Roman"/>
          <w:color w:val="000000" w:themeColor="text1"/>
          <w:sz w:val="16"/>
          <w:szCs w:val="16"/>
        </w:rPr>
        <w:t>И.С.Уншлихт</w:t>
      </w:r>
      <w:proofErr w:type="spellEnd"/>
      <w:r w:rsidRPr="00A259BD">
        <w:rPr>
          <w:rFonts w:ascii="Times New Roman" w:hAnsi="Times New Roman"/>
          <w:color w:val="000000" w:themeColor="text1"/>
          <w:sz w:val="16"/>
          <w:szCs w:val="16"/>
        </w:rPr>
        <w:t xml:space="preserve"> так же предложил «установить самый тесный контакт с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Тихомировым... использовав всемерно его достижения... провести широкие полигонные испытания... прикомандировать для постоянной работы в лабораторию Тихомирова Венцель и оканчивающего... Военно-техническую академию т. Петропавловского».</w:t>
      </w:r>
    </w:p>
    <w:p w14:paraId="620DDFA3" w14:textId="77777777" w:rsidR="004D16E2" w:rsidRPr="00A259BD" w:rsidRDefault="004D16E2"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 руководством </w:t>
      </w:r>
      <w:proofErr w:type="spellStart"/>
      <w:r w:rsidRPr="00A259BD">
        <w:rPr>
          <w:rFonts w:ascii="Times New Roman" w:hAnsi="Times New Roman"/>
          <w:color w:val="000000" w:themeColor="text1"/>
          <w:sz w:val="16"/>
          <w:szCs w:val="16"/>
        </w:rPr>
        <w:t>Н.И.Тихомирова</w:t>
      </w:r>
      <w:proofErr w:type="spellEnd"/>
      <w:r w:rsidRPr="00A259BD">
        <w:rPr>
          <w:rFonts w:ascii="Times New Roman" w:hAnsi="Times New Roman"/>
          <w:color w:val="000000" w:themeColor="text1"/>
          <w:sz w:val="16"/>
          <w:szCs w:val="16"/>
        </w:rPr>
        <w:t xml:space="preserve"> и им лично были выполнены работы, роль которых в развитии ракетной техники трудно переоценить. Это расчеты и чертежи 3-дюймого реактивного снаряда, аппаратура для прессования </w:t>
      </w:r>
      <w:r w:rsidRPr="00A259BD">
        <w:rPr>
          <w:rStyle w:val="highlight"/>
          <w:rFonts w:ascii="Times New Roman" w:hAnsi="Times New Roman"/>
          <w:color w:val="000000" w:themeColor="text1"/>
          <w:sz w:val="16"/>
          <w:szCs w:val="16"/>
        </w:rPr>
        <w:t> пороховых </w:t>
      </w:r>
      <w:r w:rsidRPr="00A259BD">
        <w:rPr>
          <w:rFonts w:ascii="Times New Roman" w:hAnsi="Times New Roman"/>
          <w:color w:val="000000" w:themeColor="text1"/>
          <w:sz w:val="16"/>
          <w:szCs w:val="16"/>
        </w:rPr>
        <w:t xml:space="preserve"> шашек, изготовление и испытание более 200 опытных сопел в процессе поисков оптимальных размеров, многочисленные опыты над порохами на нелетучем растворителе и многое другое. Ученый является автором целого ряда важных теоретических работ, среди которых: «Полет реактивного снаряда», «Определение </w:t>
      </w:r>
      <w:proofErr w:type="spellStart"/>
      <w:r w:rsidRPr="00A259BD">
        <w:rPr>
          <w:rFonts w:ascii="Times New Roman" w:hAnsi="Times New Roman"/>
          <w:color w:val="000000" w:themeColor="text1"/>
          <w:sz w:val="16"/>
          <w:szCs w:val="16"/>
        </w:rPr>
        <w:t>наивыгоднейшего</w:t>
      </w:r>
      <w:proofErr w:type="spellEnd"/>
      <w:r w:rsidRPr="00A259BD">
        <w:rPr>
          <w:rFonts w:ascii="Times New Roman" w:hAnsi="Times New Roman"/>
          <w:color w:val="000000" w:themeColor="text1"/>
          <w:sz w:val="16"/>
          <w:szCs w:val="16"/>
        </w:rPr>
        <w:t xml:space="preserve"> времени горения пороха в реактивном снаряде», «Внешняя баллистика реактивных снарядов». Кроме того, он был автором следующих заявок и патентов по реактивной техники: «Ротационный охладитель газов», «Водоструйный охладитель газов», «Самопишущий прибор для ротации давления и реактивной силы газовой струи»; «Способ получения прессованного бездымного пороха на твердых растворителях» (15252).</w:t>
      </w:r>
    </w:p>
    <w:p w14:paraId="49496A1F" w14:textId="77777777" w:rsidR="004D16E2" w:rsidRPr="00A259BD" w:rsidRDefault="004D16E2" w:rsidP="009236E3">
      <w:pPr>
        <w:shd w:val="clear" w:color="auto" w:fill="FFFFFF"/>
        <w:spacing w:after="0" w:line="240" w:lineRule="auto"/>
        <w:jc w:val="both"/>
        <w:rPr>
          <w:rFonts w:ascii="Times New Roman" w:hAnsi="Times New Roman"/>
          <w:color w:val="000000" w:themeColor="text1"/>
          <w:sz w:val="16"/>
          <w:szCs w:val="16"/>
        </w:rPr>
      </w:pPr>
    </w:p>
    <w:p w14:paraId="2079156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037111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96B4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января 1929 года зам. председателя Сектора обороны Госплана Мехоношин и ученый секретарь Лозовский писали письмо № 103/сс в секретариат РЗ СТО</w:t>
      </w:r>
    </w:p>
    <w:p w14:paraId="1F9D78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повестке дня заседания РЗ СТО на 4 февраля 1929 года ориентировочно намечен пунктом 1-м вопрос "О состоянии работ по развитию отстающих отраслей промышленности".</w:t>
      </w:r>
    </w:p>
    <w:p w14:paraId="7713A7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Основными моментами для решения столь важного вопроса должны явиться:</w:t>
      </w:r>
    </w:p>
    <w:p w14:paraId="481DE5B8"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Учет потребностей в продукции этих отраслей на военное время.</w:t>
      </w:r>
    </w:p>
    <w:p w14:paraId="3E02ADB8"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Перспективы их мирного развития на ближайшее пятилетие.</w:t>
      </w:r>
    </w:p>
    <w:p w14:paraId="07CF38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Таким образом рассмотрение этого вопроса не может происходить вне связи его с разработкой хозяйственного плана на первый период войны и пятилетнего плана подготовки страны к обороне. Между тем разработка этих планов на данной стадии не дает достаточных материалов для практических решений по этому вопросу и РЗ СТО вынуждено будет поэтому ограничиться лишь констатацией создавшегося общеизвестного положения, отложив практические решения по этому вопросу до завершения работ по к/ц </w:t>
      </w:r>
      <w:proofErr w:type="spellStart"/>
      <w:r w:rsidRPr="00A259BD">
        <w:rPr>
          <w:rFonts w:ascii="Times New Roman" w:hAnsi="Times New Roman"/>
          <w:color w:val="000000" w:themeColor="text1"/>
          <w:sz w:val="16"/>
          <w:szCs w:val="16"/>
        </w:rPr>
        <w:t>п.п.в</w:t>
      </w:r>
      <w:proofErr w:type="spellEnd"/>
      <w:r w:rsidRPr="00A259BD">
        <w:rPr>
          <w:rFonts w:ascii="Times New Roman" w:hAnsi="Times New Roman"/>
          <w:color w:val="000000" w:themeColor="text1"/>
          <w:sz w:val="16"/>
          <w:szCs w:val="16"/>
        </w:rPr>
        <w:t>. и пятилетке.</w:t>
      </w:r>
    </w:p>
    <w:p w14:paraId="33BA12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изложенному Сектор обороны просит этот вопрос с повестки снять, перенеся его рассмотрение на апрель (3545, 60).</w:t>
      </w:r>
    </w:p>
    <w:p w14:paraId="047313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BC7C89"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30261F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D763F64" w14:textId="77777777" w:rsidR="004D16E2" w:rsidRPr="00A259BD" w:rsidRDefault="004D16E2"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27 января</w:t>
      </w:r>
      <w:r w:rsidRPr="00A259BD">
        <w:rPr>
          <w:rFonts w:ascii="Times New Roman" w:hAnsi="Times New Roman"/>
          <w:color w:val="000000" w:themeColor="text1"/>
          <w:sz w:val="16"/>
          <w:szCs w:val="16"/>
        </w:rPr>
        <w:t xml:space="preserve"> в 1929 году состоялся первый полет прототипа </w:t>
      </w:r>
      <w:hyperlink r:id="rId12" w:tgtFrame="_blank" w:history="1">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Saunders-Roe</w:t>
        </w:r>
        <w:proofErr w:type="spellEnd"/>
        <w:r w:rsidRPr="00A259BD">
          <w:rPr>
            <w:rFonts w:ascii="Times New Roman" w:hAnsi="Times New Roman"/>
            <w:color w:val="000000" w:themeColor="text1"/>
            <w:sz w:val="16"/>
            <w:szCs w:val="16"/>
          </w:rPr>
          <w:t xml:space="preserve">» «A.10» </w:t>
        </w:r>
      </w:hyperlink>
      <w:r w:rsidRPr="00A259BD">
        <w:rPr>
          <w:rFonts w:ascii="Times New Roman" w:hAnsi="Times New Roman"/>
          <w:color w:val="000000" w:themeColor="text1"/>
          <w:sz w:val="16"/>
          <w:szCs w:val="16"/>
        </w:rPr>
        <w:t>(получившего заводской бортовой номер «L2»). «А.10» строился долго, с внесением постоянных модификаций по ходу работ. После прохождения недолгих заводских испытаний, самолет был передан в исследовательский центр A&amp;AEE, где ему присвоили регистрационный номер K1949. В ходе испытаний самолет показал себя весьма капризным в управлении, а самое главное - его летные характеристики не дотягивали до уровня лидеров проводившегося конкурса – «</w:t>
      </w:r>
      <w:proofErr w:type="spellStart"/>
      <w:r w:rsidRPr="00A259BD">
        <w:rPr>
          <w:rFonts w:ascii="Times New Roman" w:hAnsi="Times New Roman"/>
          <w:color w:val="000000" w:themeColor="text1"/>
          <w:sz w:val="16"/>
          <w:szCs w:val="16"/>
        </w:rPr>
        <w:t>Fairey</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Firefly</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Westland</w:t>
      </w:r>
      <w:proofErr w:type="spellEnd"/>
      <w:r w:rsidRPr="00A259BD">
        <w:rPr>
          <w:rFonts w:ascii="Times New Roman" w:hAnsi="Times New Roman"/>
          <w:color w:val="000000" w:themeColor="text1"/>
          <w:sz w:val="16"/>
          <w:szCs w:val="16"/>
        </w:rPr>
        <w:t xml:space="preserve"> Wizard» и «</w:t>
      </w:r>
      <w:proofErr w:type="spellStart"/>
      <w:r w:rsidRPr="00A259BD">
        <w:rPr>
          <w:rFonts w:ascii="Times New Roman" w:hAnsi="Times New Roman"/>
          <w:color w:val="000000" w:themeColor="text1"/>
          <w:sz w:val="16"/>
          <w:szCs w:val="16"/>
        </w:rPr>
        <w:t>Hawker</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Hornet</w:t>
      </w:r>
      <w:proofErr w:type="spellEnd"/>
      <w:r w:rsidRPr="00A259BD">
        <w:rPr>
          <w:rFonts w:ascii="Times New Roman" w:hAnsi="Times New Roman"/>
          <w:color w:val="000000" w:themeColor="text1"/>
          <w:sz w:val="16"/>
          <w:szCs w:val="16"/>
        </w:rPr>
        <w:t>». По завершению испытаний «</w:t>
      </w:r>
      <w:proofErr w:type="spellStart"/>
      <w:r w:rsidRPr="00A259BD">
        <w:rPr>
          <w:rFonts w:ascii="Times New Roman" w:hAnsi="Times New Roman"/>
          <w:color w:val="000000" w:themeColor="text1"/>
          <w:sz w:val="16"/>
          <w:szCs w:val="16"/>
        </w:rPr>
        <w:t>Saunders-Roe</w:t>
      </w:r>
      <w:proofErr w:type="spellEnd"/>
      <w:r w:rsidRPr="00A259BD">
        <w:rPr>
          <w:rFonts w:ascii="Times New Roman" w:hAnsi="Times New Roman"/>
          <w:color w:val="000000" w:themeColor="text1"/>
          <w:sz w:val="16"/>
          <w:szCs w:val="16"/>
        </w:rPr>
        <w:t>» «A.10» был возвращен фирме, где использовался до 1933 года в роли экспериментального (15022).</w:t>
      </w:r>
    </w:p>
    <w:p w14:paraId="5C6AAB4E" w14:textId="77777777" w:rsidR="004D16E2" w:rsidRPr="00A259BD" w:rsidRDefault="004D16E2" w:rsidP="009236E3">
      <w:pPr>
        <w:spacing w:after="0" w:line="240" w:lineRule="auto"/>
        <w:jc w:val="both"/>
        <w:rPr>
          <w:rFonts w:ascii="Times New Roman" w:hAnsi="Times New Roman"/>
          <w:color w:val="000000" w:themeColor="text1"/>
          <w:sz w:val="16"/>
          <w:szCs w:val="16"/>
        </w:rPr>
      </w:pPr>
    </w:p>
    <w:p w14:paraId="097A977A" w14:textId="77777777" w:rsidR="001B4607" w:rsidRPr="00A259BD" w:rsidRDefault="001B460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января 1929 г. первый полет </w:t>
      </w:r>
      <w:proofErr w:type="spellStart"/>
      <w:r w:rsidRPr="00A259BD">
        <w:rPr>
          <w:rFonts w:ascii="Times New Roman" w:hAnsi="Times New Roman"/>
          <w:color w:val="000000" w:themeColor="text1"/>
          <w:sz w:val="16"/>
          <w:szCs w:val="16"/>
        </w:rPr>
        <w:t>Saunders</w:t>
      </w:r>
      <w:proofErr w:type="spellEnd"/>
      <w:r w:rsidRPr="00A259BD">
        <w:rPr>
          <w:rFonts w:ascii="Times New Roman" w:hAnsi="Times New Roman"/>
          <w:color w:val="000000" w:themeColor="text1"/>
          <w:sz w:val="16"/>
          <w:szCs w:val="16"/>
        </w:rPr>
        <w:t xml:space="preserve"> A.10 (20806).</w:t>
      </w:r>
    </w:p>
    <w:p w14:paraId="3F11C93C" w14:textId="77777777" w:rsidR="001B4607" w:rsidRPr="00A259BD" w:rsidRDefault="001B4607" w:rsidP="009236E3">
      <w:pPr>
        <w:spacing w:after="0" w:line="240" w:lineRule="auto"/>
        <w:jc w:val="both"/>
        <w:rPr>
          <w:rFonts w:ascii="Times New Roman" w:hAnsi="Times New Roman"/>
          <w:color w:val="000000" w:themeColor="text1"/>
          <w:sz w:val="16"/>
          <w:szCs w:val="16"/>
        </w:rPr>
      </w:pPr>
    </w:p>
    <w:p w14:paraId="6C0E1212" w14:textId="77777777" w:rsidR="001B4607" w:rsidRPr="00A259BD" w:rsidRDefault="001B460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января 1929 авианосец ВМС США USS </w:t>
      </w:r>
      <w:proofErr w:type="spellStart"/>
      <w:r w:rsidRPr="00A259BD">
        <w:rPr>
          <w:rFonts w:ascii="Times New Roman" w:hAnsi="Times New Roman"/>
          <w:color w:val="000000" w:themeColor="text1"/>
          <w:sz w:val="16"/>
          <w:szCs w:val="16"/>
        </w:rPr>
        <w:t>Saratoga</w:t>
      </w:r>
      <w:proofErr w:type="spellEnd"/>
      <w:r w:rsidRPr="00A259BD">
        <w:rPr>
          <w:rFonts w:ascii="Times New Roman" w:hAnsi="Times New Roman"/>
          <w:color w:val="000000" w:themeColor="text1"/>
          <w:sz w:val="16"/>
          <w:szCs w:val="16"/>
        </w:rPr>
        <w:t xml:space="preserve"> (CV-3) совершает успешный имитационный налет на Панамский канал в ходе учений (20806).</w:t>
      </w:r>
    </w:p>
    <w:p w14:paraId="72D81D32" w14:textId="77777777" w:rsidR="001B4607" w:rsidRPr="00A259BD" w:rsidRDefault="001B4607" w:rsidP="009236E3">
      <w:pPr>
        <w:spacing w:after="0" w:line="240" w:lineRule="auto"/>
        <w:jc w:val="both"/>
        <w:rPr>
          <w:rFonts w:ascii="Times New Roman" w:hAnsi="Times New Roman"/>
          <w:color w:val="000000" w:themeColor="text1"/>
          <w:sz w:val="16"/>
          <w:szCs w:val="16"/>
        </w:rPr>
      </w:pPr>
    </w:p>
    <w:p w14:paraId="033AB039" w14:textId="77777777" w:rsidR="004D16E2" w:rsidRPr="00A259BD" w:rsidRDefault="004D16E2"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27 января</w:t>
      </w:r>
      <w:r w:rsidRPr="00A259BD">
        <w:rPr>
          <w:rFonts w:ascii="Times New Roman" w:hAnsi="Times New Roman"/>
          <w:color w:val="000000" w:themeColor="text1"/>
          <w:sz w:val="16"/>
          <w:szCs w:val="16"/>
        </w:rPr>
        <w:t xml:space="preserve"> в 1929 году состоялся первый конкурс красоты с участием русских красавиц. Проводиться эти конкурсы стали с 1927 года, но устроители быстро смекнули: отсутствие русских - это существенный эстетический минус. Что делать? Послать приглашение в советскую Москву? Но кто в России будет выбирать кандидатку? Если, как и во всех странах, ведущая газета, тогда это окажутся партийные "Известия" или "Правда"? Но, скорее всего, Политбюро отправит на конкурс в Париж девушку, отвечающую идеологическим, а не эстетическим идеалам, а это уже отступление от правил. И все же конкурс "Мисс Европа" увидел русских красавиц. Журнал "Иллюстрированная Россия", издававшийся в эмиграции, провел конкурс "Мисс Россия" среди живущих в Париже красавиц. К нему допускались девушки в возрасте от 16 до 25 лет, незамужние и, заметьте, "достойного поведения". В жюри были Бенуа, Билибин, Коровин, Немирович-Данченко и, как положено, один писатель, большой женолюб и </w:t>
      </w:r>
      <w:proofErr w:type="spellStart"/>
      <w:r w:rsidRPr="00A259BD">
        <w:rPr>
          <w:rFonts w:ascii="Times New Roman" w:hAnsi="Times New Roman"/>
          <w:color w:val="000000" w:themeColor="text1"/>
          <w:sz w:val="16"/>
          <w:szCs w:val="16"/>
        </w:rPr>
        <w:t>девовед</w:t>
      </w:r>
      <w:proofErr w:type="spellEnd"/>
      <w:r w:rsidRPr="00A259BD">
        <w:rPr>
          <w:rFonts w:ascii="Times New Roman" w:hAnsi="Times New Roman"/>
          <w:color w:val="000000" w:themeColor="text1"/>
          <w:sz w:val="16"/>
          <w:szCs w:val="16"/>
        </w:rPr>
        <w:t xml:space="preserve"> - Александр Иванович Куприн. Вначале девушки являлись на конкурсную комиссию, проходили собеседование. Их фамилии сохранялись в тайне. А на сами "смотрины" претендентки вызывались по почте. Одно из условий тех конкурсов: девушки должны были быть одеты в будничное платье. Потом начинался собственно конкурс. Вначале жюри просило девушек продефилировать вместе. Затем каждую вызывали отдельно. С ней непринужденно беседовали, без всяких заранее придуманных шаблонов. Потом жюри тщательно обсуждало достоинства каждой претендентки и выставляло по три оценки: за красоту лица, за красоту фигуры и общее впечатление. На первом для русских девушек конкурсе "Мисс Европа" высший средний балл получили три девушки, но окончательный выбор пал на 18-летнюю Валентину Остерман из </w:t>
      </w:r>
      <w:proofErr w:type="spellStart"/>
      <w:r w:rsidRPr="00A259BD">
        <w:rPr>
          <w:rFonts w:ascii="Times New Roman" w:hAnsi="Times New Roman"/>
          <w:color w:val="000000" w:themeColor="text1"/>
          <w:sz w:val="16"/>
          <w:szCs w:val="16"/>
        </w:rPr>
        <w:t>Ростова</w:t>
      </w:r>
      <w:proofErr w:type="spellEnd"/>
      <w:r w:rsidRPr="00A259BD">
        <w:rPr>
          <w:rFonts w:ascii="Times New Roman" w:hAnsi="Times New Roman"/>
          <w:color w:val="000000" w:themeColor="text1"/>
          <w:sz w:val="16"/>
          <w:szCs w:val="16"/>
        </w:rPr>
        <w:t>. Но, увы, первая русская красавица была дисквалифицирована, так как скрыла от жюри, что, являясь русской по происхождению, она - немка по паспорту. Звание присудили Ирине Левитской, 16-летней красавице, занявшей второе место. Пикантная подробность: на конкурс претендентка вызывалась совместно с мамашей и, что особенно трогательно, с женихом. Но, главное, только не падайте в обморок, к претендентке на корону предъявлялось такое удивительное требование, цитируем: "Излишне прибавлять, что все должно протекать в обстановке безупречной нравственности, а моральные качества кандидаток должны играть первостепенную роль". Девизом тех предвоенных конкурсов красоты были слова Куприна: "Красивых женщин много, но прелестных своей "милостью" очень мало" (15022).</w:t>
      </w:r>
    </w:p>
    <w:p w14:paraId="7D8728DC" w14:textId="77777777" w:rsidR="004D16E2" w:rsidRPr="00A259BD" w:rsidRDefault="004D16E2" w:rsidP="009236E3">
      <w:pPr>
        <w:spacing w:after="0" w:line="240" w:lineRule="auto"/>
        <w:jc w:val="both"/>
        <w:rPr>
          <w:rFonts w:ascii="Times New Roman" w:hAnsi="Times New Roman"/>
          <w:color w:val="000000" w:themeColor="text1"/>
          <w:sz w:val="16"/>
          <w:szCs w:val="16"/>
        </w:rPr>
      </w:pPr>
    </w:p>
    <w:p w14:paraId="45377BE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января 1929 в Вене начался учредительный конгресс Организации украинских националистов (4962).</w:t>
      </w:r>
    </w:p>
    <w:p w14:paraId="7C9A3B8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EB146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C7B2D4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85DA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января 1929 состоялось техническое совещание руководителей групп отдела АГОС ЦАГИ, которое в т.ч. назначило водителем аэросаней для февральского пробега В.М.П. на маршруте Вятка-Пермь (1077,54).</w:t>
      </w:r>
    </w:p>
    <w:p w14:paraId="0618B6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10BEF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67C2BC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4A7735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января 1929 в Вене начался 1-й конгресс украинских националистов, на котором была создана ОУН (4962).</w:t>
      </w:r>
    </w:p>
    <w:p w14:paraId="07009D7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A65F76" w14:textId="77777777" w:rsidR="002F4D1B"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2A8FB4C" w14:textId="77777777" w:rsidR="002F4D1B" w:rsidRPr="00A259BD" w:rsidRDefault="002F4D1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BD6CC0" w14:textId="77777777" w:rsidR="002F4D1B" w:rsidRPr="00A259BD" w:rsidRDefault="002F4D1B" w:rsidP="009236E3">
      <w:pPr>
        <w:pStyle w:val="rtejustify"/>
        <w:spacing w:before="0" w:after="0"/>
        <w:rPr>
          <w:color w:val="000000" w:themeColor="text1"/>
          <w:sz w:val="16"/>
          <w:szCs w:val="16"/>
        </w:rPr>
      </w:pPr>
      <w:r w:rsidRPr="00A259BD">
        <w:rPr>
          <w:rStyle w:val="af0"/>
          <w:i w:val="0"/>
          <w:color w:val="000000" w:themeColor="text1"/>
          <w:sz w:val="16"/>
          <w:szCs w:val="16"/>
        </w:rPr>
        <w:t>29 января 1929.</w:t>
      </w:r>
      <w:r w:rsidRPr="00A259BD">
        <w:rPr>
          <w:color w:val="000000" w:themeColor="text1"/>
          <w:sz w:val="16"/>
          <w:szCs w:val="16"/>
        </w:rPr>
        <w:t xml:space="preserve"> Постановление № 7 РВС СССР по докладу </w:t>
      </w:r>
      <w:proofErr w:type="spellStart"/>
      <w:r w:rsidRPr="00A259BD">
        <w:rPr>
          <w:color w:val="000000" w:themeColor="text1"/>
          <w:sz w:val="16"/>
          <w:szCs w:val="16"/>
        </w:rPr>
        <w:t>Авиатреста</w:t>
      </w:r>
      <w:proofErr w:type="spellEnd"/>
      <w:r w:rsidRPr="00A259BD">
        <w:rPr>
          <w:color w:val="000000" w:themeColor="text1"/>
          <w:sz w:val="16"/>
          <w:szCs w:val="16"/>
        </w:rPr>
        <w:t xml:space="preserve"> о работе за 1927/28 г. (РГВА. Ф. 4. Оп. 18. Д. 15. Л. 38</w:t>
      </w:r>
      <w:r w:rsidRPr="00A259BD">
        <w:rPr>
          <w:color w:val="000000" w:themeColor="text1"/>
          <w:sz w:val="16"/>
          <w:szCs w:val="16"/>
        </w:rPr>
        <w:noBreakHyphen/>
        <w:t>42) (12342).</w:t>
      </w:r>
    </w:p>
    <w:p w14:paraId="5901C8EE" w14:textId="77777777" w:rsidR="002F4D1B" w:rsidRPr="00A259BD" w:rsidRDefault="002F4D1B" w:rsidP="009236E3">
      <w:pPr>
        <w:pStyle w:val="rtejustify"/>
        <w:spacing w:before="0" w:after="0"/>
        <w:rPr>
          <w:color w:val="000000" w:themeColor="text1"/>
          <w:sz w:val="16"/>
          <w:szCs w:val="16"/>
        </w:rPr>
      </w:pPr>
    </w:p>
    <w:p w14:paraId="348641BB"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января 1929 г. — Постановление № 7 Реввоенсовета СССР по докладу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о работе за 1927/28 г.</w:t>
      </w:r>
    </w:p>
    <w:p w14:paraId="1D9472A9"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Постановление № 7 Реввоенсовета СССР по докладу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о работе за 1927/28 г.¹*</w:t>
      </w:r>
    </w:p>
    <w:p w14:paraId="62FF7B0F"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29 января 1929 г.</w:t>
      </w:r>
    </w:p>
    <w:p w14:paraId="7E20DB17"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4D821018" w14:textId="77777777" w:rsidR="002F4D1B" w:rsidRPr="00A259BD" w:rsidRDefault="002F4D1B" w:rsidP="009236E3">
      <w:pPr>
        <w:pStyle w:val="ae"/>
        <w:spacing w:before="0" w:after="0"/>
        <w:jc w:val="both"/>
        <w:rPr>
          <w:color w:val="000000" w:themeColor="text1"/>
          <w:sz w:val="16"/>
          <w:szCs w:val="16"/>
        </w:rPr>
      </w:pPr>
      <w:r w:rsidRPr="00A259BD">
        <w:rPr>
          <w:color w:val="000000" w:themeColor="text1"/>
          <w:sz w:val="16"/>
          <w:szCs w:val="16"/>
        </w:rPr>
        <w:t>I.</w:t>
      </w:r>
    </w:p>
    <w:p w14:paraId="11B0439C"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 xml:space="preserve">1. Революционный военный совет считает работу </w:t>
      </w:r>
      <w:proofErr w:type="spellStart"/>
      <w:r w:rsidRPr="00A259BD">
        <w:rPr>
          <w:color w:val="000000" w:themeColor="text1"/>
          <w:sz w:val="16"/>
          <w:szCs w:val="16"/>
        </w:rPr>
        <w:t>Авиатреста</w:t>
      </w:r>
      <w:proofErr w:type="spellEnd"/>
      <w:r w:rsidRPr="00A259BD">
        <w:rPr>
          <w:color w:val="000000" w:themeColor="text1"/>
          <w:sz w:val="16"/>
          <w:szCs w:val="16"/>
        </w:rPr>
        <w:t xml:space="preserve"> за истекший 1927/28 г. по сравнению с предыдущими годами удовлетворительной, что нашло свое выражение в следующем: а) производственная база авиапромышленности по группе самолетостроительных заводов, в части внедренных в производство разведчиков и учебных самолетов деревянной конструкции, приближается к заданным и утвержденным правительством планам на 1926 г.; б) имеются реальные достижения в области установки производства металлических разведчиков типа Р</w:t>
      </w:r>
      <w:r w:rsidRPr="00A259BD">
        <w:rPr>
          <w:color w:val="000000" w:themeColor="text1"/>
          <w:sz w:val="16"/>
          <w:szCs w:val="16"/>
        </w:rPr>
        <w:noBreakHyphen/>
        <w:t>3 конструкции ЦАГИ в серийном производстве; приняты достаточные мероприятия также к обеспечению производства металлических самолетов типа И</w:t>
      </w:r>
      <w:r w:rsidRPr="00A259BD">
        <w:rPr>
          <w:color w:val="000000" w:themeColor="text1"/>
          <w:sz w:val="16"/>
          <w:szCs w:val="16"/>
        </w:rPr>
        <w:noBreakHyphen/>
        <w:t>4, ТБ</w:t>
      </w:r>
      <w:r w:rsidRPr="00A259BD">
        <w:rPr>
          <w:color w:val="000000" w:themeColor="text1"/>
          <w:sz w:val="16"/>
          <w:szCs w:val="16"/>
        </w:rPr>
        <w:noBreakHyphen/>
        <w:t>1; в) поставлено производство моторов типа М</w:t>
      </w:r>
      <w:r w:rsidRPr="00A259BD">
        <w:rPr>
          <w:color w:val="000000" w:themeColor="text1"/>
          <w:sz w:val="16"/>
          <w:szCs w:val="16"/>
        </w:rPr>
        <w:noBreakHyphen/>
        <w:t>5 и М</w:t>
      </w:r>
      <w:r w:rsidRPr="00A259BD">
        <w:rPr>
          <w:color w:val="000000" w:themeColor="text1"/>
          <w:sz w:val="16"/>
          <w:szCs w:val="16"/>
        </w:rPr>
        <w:noBreakHyphen/>
        <w:t>6, представляющих образцы 1916</w:t>
      </w:r>
      <w:r w:rsidRPr="00A259BD">
        <w:rPr>
          <w:color w:val="000000" w:themeColor="text1"/>
          <w:sz w:val="16"/>
          <w:szCs w:val="16"/>
        </w:rPr>
        <w:noBreakHyphen/>
        <w:t xml:space="preserve">1918 гг., находящиеся на производстве уже около 5 лет; г) имеются некоторые достижения по опытному самолетостроению, выразившиеся в постройке учебного самолета </w:t>
      </w:r>
      <w:r w:rsidRPr="00A259BD">
        <w:rPr>
          <w:color w:val="000000" w:themeColor="text1"/>
          <w:sz w:val="16"/>
          <w:szCs w:val="16"/>
        </w:rPr>
        <w:lastRenderedPageBreak/>
        <w:t>У</w:t>
      </w:r>
      <w:r w:rsidRPr="00A259BD">
        <w:rPr>
          <w:color w:val="000000" w:themeColor="text1"/>
          <w:sz w:val="16"/>
          <w:szCs w:val="16"/>
        </w:rPr>
        <w:noBreakHyphen/>
        <w:t>2, переходного П</w:t>
      </w:r>
      <w:r w:rsidRPr="00A259BD">
        <w:rPr>
          <w:color w:val="000000" w:themeColor="text1"/>
          <w:sz w:val="16"/>
          <w:szCs w:val="16"/>
        </w:rPr>
        <w:noBreakHyphen/>
        <w:t>2, истребителя И</w:t>
      </w:r>
      <w:r w:rsidRPr="00A259BD">
        <w:rPr>
          <w:color w:val="000000" w:themeColor="text1"/>
          <w:sz w:val="16"/>
          <w:szCs w:val="16"/>
        </w:rPr>
        <w:noBreakHyphen/>
        <w:t>3 и разведчика Р</w:t>
      </w:r>
      <w:r w:rsidRPr="00A259BD">
        <w:rPr>
          <w:color w:val="000000" w:themeColor="text1"/>
          <w:sz w:val="16"/>
          <w:szCs w:val="16"/>
        </w:rPr>
        <w:noBreakHyphen/>
        <w:t>5; д) в области конструкторских работ по моторам необходимо отметить приступ к серийной постройке учебных моторов М</w:t>
      </w:r>
      <w:r w:rsidRPr="00A259BD">
        <w:rPr>
          <w:color w:val="000000" w:themeColor="text1"/>
          <w:sz w:val="16"/>
          <w:szCs w:val="16"/>
        </w:rPr>
        <w:noBreakHyphen/>
        <w:t xml:space="preserve">11; е) по приборам для вооружения установлено производство бомбодержателей и пулеметного привода 9; ж) поставлено производство </w:t>
      </w:r>
      <w:proofErr w:type="spellStart"/>
      <w:r w:rsidRPr="00A259BD">
        <w:rPr>
          <w:color w:val="000000" w:themeColor="text1"/>
          <w:sz w:val="16"/>
          <w:szCs w:val="16"/>
        </w:rPr>
        <w:t>авиасвечей</w:t>
      </w:r>
      <w:proofErr w:type="spellEnd"/>
      <w:r w:rsidRPr="00A259BD">
        <w:rPr>
          <w:color w:val="000000" w:themeColor="text1"/>
          <w:sz w:val="16"/>
          <w:szCs w:val="16"/>
        </w:rPr>
        <w:t xml:space="preserve"> для моторов, находящихся в производстве, со степенью сжатия не выше 6; з) имеются также некоторые достижения </w:t>
      </w:r>
      <w:proofErr w:type="spellStart"/>
      <w:r w:rsidRPr="00A259BD">
        <w:rPr>
          <w:color w:val="000000" w:themeColor="text1"/>
          <w:sz w:val="16"/>
          <w:szCs w:val="16"/>
        </w:rPr>
        <w:t>Авиатреста</w:t>
      </w:r>
      <w:proofErr w:type="spellEnd"/>
      <w:r w:rsidRPr="00A259BD">
        <w:rPr>
          <w:color w:val="000000" w:themeColor="text1"/>
          <w:sz w:val="16"/>
          <w:szCs w:val="16"/>
        </w:rPr>
        <w:t xml:space="preserve"> по замене импортных материалов.</w:t>
      </w:r>
    </w:p>
    <w:p w14:paraId="321E77D0"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2. Но наряду с отмеченными достижениями Реввоенсовет должен фиксировать:</w:t>
      </w:r>
    </w:p>
    <w:p w14:paraId="55E72C9F"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По группе самолетостроительных заводов</w:t>
      </w:r>
    </w:p>
    <w:p w14:paraId="20A7A33C"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по-прежнему на вооружение Красного воздушного флота поступают недостаточно современные самолеты-разведчики конструкции 1918</w:t>
      </w:r>
      <w:r w:rsidRPr="00A259BD">
        <w:rPr>
          <w:rFonts w:ascii="Times New Roman" w:hAnsi="Times New Roman"/>
          <w:color w:val="000000" w:themeColor="text1"/>
          <w:sz w:val="16"/>
          <w:szCs w:val="16"/>
        </w:rPr>
        <w:noBreakHyphen/>
        <w:t>1920 гг.; б) чрезвычайно медленно конструируются, подготовляются к производству и внедряются в производство новые типы самолетов, отвечающие современным требованиям; особо медленно развертывается производство по истребителям, бомбардировщикам и самолетам гидроавиации.</w:t>
      </w:r>
    </w:p>
    <w:p w14:paraId="5A2DF59C"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 группе моторостроительных заводов</w:t>
      </w:r>
    </w:p>
    <w:p w14:paraId="30344015"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не выполнена заданная правительством программа; б) разрыв между производством моторов как по качеству, так и по количеству и производством самолетов; в) медленный темп внедрения в производство авиамоторов по договорам о технической помощи, а равно медленное конструирование мощных моторов как по линии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так и, особенно, по линии НАМИ²*.</w:t>
      </w:r>
    </w:p>
    <w:p w14:paraId="5F8B3A5F"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 материалам</w:t>
      </w:r>
    </w:p>
    <w:p w14:paraId="7B4B390E"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создание и установка в авиапромышленности современных конструкций как моторов, так и самолетов требует высококачественных материалов. Необходимо констатировать отсутствие соответствующей материальной базы, полностью обеспечивающей заданную программу по типам. Особо недостаточно производство по легким металлам, высококачественным металлам, по поковкам, приборам зажигания и пр. Также отсутствует достаточная научно-исследовательская работа по созданию новых типов легких металлов («электрона» и др.).</w:t>
      </w:r>
    </w:p>
    <w:p w14:paraId="0FD8D988"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По выполнению производственной программы</w:t>
      </w:r>
    </w:p>
    <w:p w14:paraId="0D1DEB3C"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 xml:space="preserve">За истекший год договорные обязательства по самолетам выполнены только на 80% и по моторам на 90%, т. е. еще продолжает существовать недодел, особенно падающий на новые типы. Неравномерность выполнения и сдачи </w:t>
      </w:r>
      <w:proofErr w:type="spellStart"/>
      <w:r w:rsidRPr="00A259BD">
        <w:rPr>
          <w:color w:val="000000" w:themeColor="text1"/>
          <w:sz w:val="16"/>
          <w:szCs w:val="16"/>
        </w:rPr>
        <w:t>Авиатрестом</w:t>
      </w:r>
      <w:proofErr w:type="spellEnd"/>
      <w:r w:rsidRPr="00A259BD">
        <w:rPr>
          <w:color w:val="000000" w:themeColor="text1"/>
          <w:sz w:val="16"/>
          <w:szCs w:val="16"/>
        </w:rPr>
        <w:t xml:space="preserve"> продукции в течение договорных сроков по-прежнему не изжита, и трест не принял достаточно решительных мер к изжитию этого вредно отражающего на Воздушных силах явления. Себестоимость продукции, несмотря на снижение за последние годы, все еще высока. Особенно это касается опытного и нового строительства.</w:t>
      </w:r>
    </w:p>
    <w:p w14:paraId="4FD61272"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3. Реввоенсовет по-прежнему исходит из того, что Красная авиация должна быть полностью обеспечена продукцией отечественного производства. Это не исключает частичный импорт отдельных приборов и деталей и, безусловно, предполагает всемерное и широкое использование заграничного опыта путем заключения договоров на техническую помощь и привлечения для конструкторской и производственной работы иностранных специалистов и техников. Последний вид сотрудничества РВС считает наиболее ценным и полагает, что его надо расширить, хотя бы для этого и пришлось значительно сократить закупки иностранных моторов и самолетов. Умелое техническое сотрудничество может уже в ближайшее время освободить нас от больших валютных расходов в этой области. Выписка иностранных образцов моторов должна рассматриваться как один из видов помощи.</w:t>
      </w:r>
    </w:p>
    <w:p w14:paraId="628E7B59" w14:textId="77777777" w:rsidR="002F4D1B" w:rsidRPr="00A259BD" w:rsidRDefault="002F4D1B" w:rsidP="009236E3">
      <w:pPr>
        <w:pStyle w:val="ae"/>
        <w:spacing w:before="0" w:after="0"/>
        <w:jc w:val="both"/>
        <w:rPr>
          <w:color w:val="000000" w:themeColor="text1"/>
          <w:sz w:val="16"/>
          <w:szCs w:val="16"/>
        </w:rPr>
      </w:pPr>
      <w:r w:rsidRPr="00A259BD">
        <w:rPr>
          <w:color w:val="000000" w:themeColor="text1"/>
          <w:sz w:val="16"/>
          <w:szCs w:val="16"/>
        </w:rPr>
        <w:t>II.</w:t>
      </w:r>
    </w:p>
    <w:p w14:paraId="0F1F00AB" w14:textId="77777777" w:rsidR="002F4D1B" w:rsidRPr="00A259BD" w:rsidRDefault="002F4D1B" w:rsidP="009236E3">
      <w:pPr>
        <w:pStyle w:val="ae"/>
        <w:spacing w:before="0" w:after="0"/>
        <w:jc w:val="both"/>
        <w:rPr>
          <w:color w:val="000000" w:themeColor="text1"/>
          <w:sz w:val="16"/>
          <w:szCs w:val="16"/>
        </w:rPr>
      </w:pPr>
      <w:r w:rsidRPr="00A259BD">
        <w:rPr>
          <w:rStyle w:val="a7"/>
          <w:b w:val="0"/>
          <w:color w:val="000000" w:themeColor="text1"/>
          <w:sz w:val="16"/>
          <w:szCs w:val="16"/>
        </w:rPr>
        <w:t>Исходя из вышесказанного Революционный военный совет постановляет:</w:t>
      </w:r>
    </w:p>
    <w:p w14:paraId="336952D9"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По линии </w:t>
      </w:r>
      <w:proofErr w:type="spellStart"/>
      <w:r w:rsidRPr="00A259BD">
        <w:rPr>
          <w:rFonts w:ascii="Times New Roman" w:hAnsi="Times New Roman"/>
          <w:color w:val="000000" w:themeColor="text1"/>
          <w:sz w:val="16"/>
          <w:szCs w:val="16"/>
        </w:rPr>
        <w:t>Авиатреста</w:t>
      </w:r>
      <w:proofErr w:type="spellEnd"/>
    </w:p>
    <w:p w14:paraId="6A9C278B"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главнейшей задачей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считать всемерное качественное улучшение продукции. Необходимо в кратчайший срок добиться положения, чтобы выпускаемая продукция и по моторостроению и по самолетостроению ни в коем случае не отставала от достижений иностранной авиатехники. Для этого прежде всего надо преодолеть недопустимо медленный темп в опытном строительстве, замедление и задержки в испытаниях изготовленных образцов и, в особенности, усилить темп внедрения на массовое производство новых испытанных моторов, самолетов, приспособлений для вооружения;</w:t>
      </w:r>
    </w:p>
    <w:p w14:paraId="03A6021A"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тресту в особо срочном порядке проработать вопрос о развертывании производства сварных конструкций самолетов, исходя из необходимости иметь их на снабжении в ближайшие два года;</w:t>
      </w:r>
    </w:p>
    <w:p w14:paraId="12AB4390"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считая положение с обеспечением гидроавиации ВВС материальной частью чрезвычайно тяжелым и эту область работы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отставшей более всех других, предложить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с особенным вниманием отнестись к разработке, постройке и испытанию опытных конструкций гидросамолетов и к скорейшему внедрению их в производство; в случае затруднений в техническом разрешении этой задачи обратиться к иностранной помощи, в частности, и по этому вопросу;</w:t>
      </w:r>
    </w:p>
    <w:p w14:paraId="4F4BB3EB"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так как замедленный темп развертывания производства моторов М</w:t>
      </w:r>
      <w:r w:rsidRPr="00A259BD">
        <w:rPr>
          <w:rFonts w:ascii="Times New Roman" w:hAnsi="Times New Roman"/>
          <w:color w:val="000000" w:themeColor="text1"/>
          <w:sz w:val="16"/>
          <w:szCs w:val="16"/>
        </w:rPr>
        <w:noBreakHyphen/>
        <w:t>17 на заводе № 26 ставит под угрозу план снабжения и обеспечения моторами самолетов новых конструкций, тресту разработать и провести все мероприятия, направленные к ускорению этого развертывания;</w:t>
      </w:r>
    </w:p>
    <w:p w14:paraId="26421896"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особые усилия следует направить по линии снижения заводской и отпускной стоимости продукции заводов;</w:t>
      </w:r>
    </w:p>
    <w:p w14:paraId="50B600A4"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трест должен разработать и ввести специализацию заводов, добиться освобождения от универсализма с целью повышения производственной мощности заводов и удешевления продукции;</w:t>
      </w:r>
    </w:p>
    <w:p w14:paraId="71437EB9"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ж) обратить внимание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что обеспечение ВВС запасными частями является одной из важнейших задач. Производственные программы и пропускные способности заводов треста должны предусматривать полное удовлетворение этой существеннейшей потребности ВВС.</w:t>
      </w:r>
    </w:p>
    <w:p w14:paraId="456175AB"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 линии ВСНХ СССР</w:t>
      </w:r>
    </w:p>
    <w:p w14:paraId="46EC01B4"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а) обратить внимание Президиума ВСНХ на недостатки в области конструирования по линии ЦАГИ. Просить Президиум ВСНХ принять решительные и срочные меры по созданию соответствующих организационных условий для разрешения как конструкторских, так равно и производственных задач по моторостроению. Довести до сведения Президиума ВСНХ СССР, что без разрешения этих обеих задач совершенно немыслимо техническое развитие и перевооружение Красного воздушного флота современными авиационными средствами;</w:t>
      </w:r>
    </w:p>
    <w:p w14:paraId="670A3566"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б) обратить внимание Президиума ВСНХ СССР на крайнюю необходимость ускорить постановку производства моторов с воздушным охлаждением по договору об иностранной технической помощи;</w:t>
      </w:r>
    </w:p>
    <w:p w14:paraId="0DAF702F"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в) просить ВСНХ СССР в срочном порядке принять все необходимые меры к созданию надлежащих бытовых и жилищных условий, гарантирующих ускорение развертывания завода № 26;</w:t>
      </w:r>
    </w:p>
    <w:p w14:paraId="1E6F84A8"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г) просить Президиум ВСНХ разработать программу мероприятий и обеспечить практическое осуществление этих мероприятий в плане капитального строительства на 1929/30 г. в целях большего обеспечения нужд авиапромышленности материальной базой и, в частности, легкими металлами;</w:t>
      </w:r>
    </w:p>
    <w:p w14:paraId="3740E2BF"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д) просить Президиум ВСНХ СССР расширить мероприятия по привлечению иностранной технической помощи по всей авиапромышленности и, в особенности, по моторам;</w:t>
      </w:r>
    </w:p>
    <w:p w14:paraId="4F477853"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е) констатируя, что «узким» местом в снабжении Воздушного флота являются приборы для вооружения и бомбометания, а также прочие приборы для самолетов и моторов, просить Президиум ВСНХ СССР обеспечить в плане капитального строительства необходимые условия и организационные мероприятия для более быстрого разрешения нужд ВВС вне опасной зоны;</w:t>
      </w:r>
    </w:p>
    <w:p w14:paraId="03DFF82D"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ж) учитывая крайнюю необходимость и срочность уточнения производственных, а следовательно, и мобилизационных мощностей авиапромышленности, исходя из заявленной потребности Наркомвоенмора, просить Президиум ВСНХ ускорить эту работу, уточнить развертывание под потребность на год ведения войны и по пятилетнему плану, закончив работу к весне 1929 г.;</w:t>
      </w:r>
    </w:p>
    <w:p w14:paraId="424078AA"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 xml:space="preserve">з) констатируя недостаточную увязку конструкторских работ </w:t>
      </w:r>
      <w:proofErr w:type="spellStart"/>
      <w:r w:rsidRPr="00A259BD">
        <w:rPr>
          <w:color w:val="000000" w:themeColor="text1"/>
          <w:sz w:val="16"/>
          <w:szCs w:val="16"/>
        </w:rPr>
        <w:t>Авиатреста</w:t>
      </w:r>
      <w:proofErr w:type="spellEnd"/>
      <w:r w:rsidRPr="00A259BD">
        <w:rPr>
          <w:color w:val="000000" w:themeColor="text1"/>
          <w:sz w:val="16"/>
          <w:szCs w:val="16"/>
        </w:rPr>
        <w:t>, ЦАГИ, НАМИ и НТК УВВС, просить Президиум ВСНХ СССР организационно обеспечить эту увязку, немедленно провести ее в жизнь и о практических мероприятиях поставить в известность РВС СССР.</w:t>
      </w:r>
    </w:p>
    <w:p w14:paraId="3E61F2F1" w14:textId="77777777" w:rsidR="00607D97" w:rsidRPr="00A259BD" w:rsidRDefault="00607D97" w:rsidP="009236E3">
      <w:pPr>
        <w:pStyle w:val="rtejustify"/>
        <w:spacing w:before="0" w:after="0"/>
        <w:rPr>
          <w:color w:val="000000" w:themeColor="text1"/>
          <w:sz w:val="16"/>
          <w:szCs w:val="16"/>
        </w:rPr>
      </w:pPr>
      <w:r w:rsidRPr="00A259BD">
        <w:rPr>
          <w:rStyle w:val="a7"/>
          <w:b w:val="0"/>
          <w:bCs w:val="0"/>
          <w:color w:val="000000" w:themeColor="text1"/>
          <w:sz w:val="16"/>
          <w:szCs w:val="16"/>
        </w:rPr>
        <w:t>В. По линии УВВС</w:t>
      </w:r>
    </w:p>
    <w:p w14:paraId="4EB1D194"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 xml:space="preserve">а) в кратчайший срок точно регламентировать взаимоотношения с </w:t>
      </w:r>
      <w:proofErr w:type="spellStart"/>
      <w:r w:rsidRPr="00A259BD">
        <w:rPr>
          <w:color w:val="000000" w:themeColor="text1"/>
          <w:sz w:val="16"/>
          <w:szCs w:val="16"/>
        </w:rPr>
        <w:t>Авиатрестом</w:t>
      </w:r>
      <w:proofErr w:type="spellEnd"/>
      <w:r w:rsidRPr="00A259BD">
        <w:rPr>
          <w:color w:val="000000" w:themeColor="text1"/>
          <w:sz w:val="16"/>
          <w:szCs w:val="16"/>
        </w:rPr>
        <w:t>;</w:t>
      </w:r>
    </w:p>
    <w:p w14:paraId="16C2064A"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б) разработать мероприятия; обеспечивающие полную увязку конструкторских работ в промышленности и быстрейшее их прохождение;</w:t>
      </w:r>
    </w:p>
    <w:p w14:paraId="2C781176"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в) докладывать Реввоенсовету о порядке и сроках выполнения программы по заводу № 26;</w:t>
      </w:r>
    </w:p>
    <w:p w14:paraId="1542A7C6"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г) учитывая, что полных данных для окончательного суждения о моторе М</w:t>
      </w:r>
      <w:r w:rsidRPr="00A259BD">
        <w:rPr>
          <w:color w:val="000000" w:themeColor="text1"/>
          <w:sz w:val="16"/>
          <w:szCs w:val="16"/>
        </w:rPr>
        <w:noBreakHyphen/>
        <w:t>11 еще нет, ускорить испытания и результаты доложить РВС СССР.</w:t>
      </w:r>
    </w:p>
    <w:p w14:paraId="392B0A7B" w14:textId="77777777" w:rsidR="002F4D1B" w:rsidRPr="00A259BD" w:rsidRDefault="002F4D1B"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Председатель </w:t>
      </w:r>
      <w:hyperlink r:id="rId13" w:history="1">
        <w:r w:rsidRPr="00A259BD">
          <w:rPr>
            <w:rStyle w:val="af0"/>
            <w:i w:val="0"/>
            <w:color w:val="000000" w:themeColor="text1"/>
            <w:sz w:val="16"/>
            <w:szCs w:val="16"/>
          </w:rPr>
          <w:t>Ворошилов</w:t>
        </w:r>
      </w:hyperlink>
    </w:p>
    <w:p w14:paraId="433DE953" w14:textId="77777777" w:rsidR="002F4D1B" w:rsidRPr="00A259BD" w:rsidRDefault="002F4D1B"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Секретарь </w:t>
      </w:r>
      <w:proofErr w:type="spellStart"/>
      <w:r w:rsidRPr="00A259BD">
        <w:rPr>
          <w:rStyle w:val="af0"/>
          <w:i w:val="0"/>
          <w:color w:val="000000" w:themeColor="text1"/>
          <w:sz w:val="16"/>
          <w:szCs w:val="16"/>
        </w:rPr>
        <w:t>Литуновский</w:t>
      </w:r>
      <w:proofErr w:type="spellEnd"/>
    </w:p>
    <w:p w14:paraId="392CEA6C" w14:textId="77777777" w:rsidR="002F4D1B" w:rsidRPr="00A259BD" w:rsidRDefault="002F4D1B"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p>
    <w:p w14:paraId="0B29FFD6" w14:textId="77777777" w:rsidR="002F4D1B" w:rsidRPr="00A259BD" w:rsidRDefault="002F4D1B" w:rsidP="009236E3">
      <w:pPr>
        <w:pStyle w:val="ae"/>
        <w:spacing w:before="0" w:after="0"/>
        <w:jc w:val="both"/>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Заголовок документа.</w:t>
      </w:r>
    </w:p>
    <w:p w14:paraId="65487CF9"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xml:space="preserve">* К 1929 г. в стране было 3 </w:t>
      </w:r>
      <w:r w:rsidRPr="00A259BD">
        <w:rPr>
          <w:rStyle w:val="af0"/>
          <w:i w:val="0"/>
          <w:color w:val="000000" w:themeColor="text1"/>
          <w:sz w:val="16"/>
          <w:szCs w:val="16"/>
        </w:rPr>
        <w:t>моторостроительных</w:t>
      </w:r>
      <w:r w:rsidRPr="00A259BD">
        <w:rPr>
          <w:color w:val="000000" w:themeColor="text1"/>
          <w:sz w:val="16"/>
          <w:szCs w:val="16"/>
        </w:rPr>
        <w:t xml:space="preserve"> завода — № 24 в Москве, № 26 в Рыбинске и № 29 в Запорожье. Все эти предприятия были заложены еще до революции. Производство отечественных маломощных моторов М</w:t>
      </w:r>
      <w:r w:rsidRPr="00A259BD">
        <w:rPr>
          <w:color w:val="000000" w:themeColor="text1"/>
          <w:sz w:val="16"/>
          <w:szCs w:val="16"/>
        </w:rPr>
        <w:noBreakHyphen/>
        <w:t>11 находилось в Запорожье. С 1930 г. началось серийное производство моторов М</w:t>
      </w:r>
      <w:r w:rsidRPr="00A259BD">
        <w:rPr>
          <w:color w:val="000000" w:themeColor="text1"/>
          <w:sz w:val="16"/>
          <w:szCs w:val="16"/>
        </w:rPr>
        <w:noBreakHyphen/>
        <w:t>17, уже к 1931 г. эти двигатели составляли около 40% всего годового производства авиамоторов. Авиамоторы М</w:t>
      </w:r>
      <w:r w:rsidRPr="00A259BD">
        <w:rPr>
          <w:color w:val="000000" w:themeColor="text1"/>
          <w:sz w:val="16"/>
          <w:szCs w:val="16"/>
        </w:rPr>
        <w:noBreakHyphen/>
        <w:t>17, мощностью 500 л. с., представляли собой двигатели BMW</w:t>
      </w:r>
      <w:r w:rsidRPr="00A259BD">
        <w:rPr>
          <w:color w:val="000000" w:themeColor="text1"/>
          <w:sz w:val="16"/>
          <w:szCs w:val="16"/>
        </w:rPr>
        <w:noBreakHyphen/>
        <w:t>VI, лицензия на производство которых была куплена еще в 1927 г. Мотор М</w:t>
      </w:r>
      <w:r w:rsidRPr="00A259BD">
        <w:rPr>
          <w:color w:val="000000" w:themeColor="text1"/>
          <w:sz w:val="16"/>
          <w:szCs w:val="16"/>
        </w:rPr>
        <w:noBreakHyphen/>
        <w:t>17 устанавливался на тяжелых бомбардировщиках ТБ</w:t>
      </w:r>
      <w:r w:rsidRPr="00A259BD">
        <w:rPr>
          <w:color w:val="000000" w:themeColor="text1"/>
          <w:sz w:val="16"/>
          <w:szCs w:val="16"/>
        </w:rPr>
        <w:noBreakHyphen/>
        <w:t>1, на массовых самолетах Р</w:t>
      </w:r>
      <w:r w:rsidRPr="00A259BD">
        <w:rPr>
          <w:color w:val="000000" w:themeColor="text1"/>
          <w:sz w:val="16"/>
          <w:szCs w:val="16"/>
        </w:rPr>
        <w:noBreakHyphen/>
        <w:t>5, а также на танках серии БТ. Несколько позднее на базе М</w:t>
      </w:r>
      <w:r w:rsidRPr="00A259BD">
        <w:rPr>
          <w:color w:val="000000" w:themeColor="text1"/>
          <w:sz w:val="16"/>
          <w:szCs w:val="16"/>
        </w:rPr>
        <w:noBreakHyphen/>
        <w:t>17 был разработан отечественный двигатель М</w:t>
      </w:r>
      <w:r w:rsidRPr="00A259BD">
        <w:rPr>
          <w:color w:val="000000" w:themeColor="text1"/>
          <w:sz w:val="16"/>
          <w:szCs w:val="16"/>
        </w:rPr>
        <w:noBreakHyphen/>
        <w:t>34.</w:t>
      </w:r>
    </w:p>
    <w:p w14:paraId="28EF3A32" w14:textId="77777777" w:rsidR="002F4D1B" w:rsidRPr="00A259BD" w:rsidRDefault="002F4D1B" w:rsidP="009236E3">
      <w:pPr>
        <w:pStyle w:val="ae"/>
        <w:spacing w:before="0" w:after="0"/>
        <w:jc w:val="both"/>
        <w:rPr>
          <w:color w:val="000000" w:themeColor="text1"/>
          <w:sz w:val="16"/>
          <w:szCs w:val="16"/>
        </w:rPr>
      </w:pPr>
      <w:r w:rsidRPr="00A259BD">
        <w:rPr>
          <w:color w:val="000000" w:themeColor="text1"/>
          <w:sz w:val="16"/>
          <w:szCs w:val="16"/>
        </w:rPr>
        <w:t>РГВА. Ф. 4. Оп. 18. Д. 15. Л. 38—42. Подлинник.</w:t>
      </w:r>
    </w:p>
    <w:p w14:paraId="7C984C8E"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РГВА. Ф. 4. Оп. 18. Д. 15. Л. 38—42. Подлинник. </w:t>
      </w:r>
    </w:p>
    <w:p w14:paraId="79BDCCDB"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Источник: Становление оборонно-промышленного комплекса СССР (1927-1932). М. 2008, стр. 272-275 (12420).</w:t>
      </w:r>
    </w:p>
    <w:p w14:paraId="0168F5B5" w14:textId="77777777" w:rsidR="002F4D1B" w:rsidRPr="00A259BD" w:rsidRDefault="002F4D1B" w:rsidP="009236E3">
      <w:pPr>
        <w:spacing w:after="0" w:line="240" w:lineRule="auto"/>
        <w:jc w:val="both"/>
        <w:rPr>
          <w:rFonts w:ascii="Times New Roman" w:hAnsi="Times New Roman"/>
          <w:color w:val="000000" w:themeColor="text1"/>
          <w:sz w:val="16"/>
          <w:szCs w:val="16"/>
        </w:rPr>
      </w:pPr>
    </w:p>
    <w:p w14:paraId="32A6D5E1"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4567EA4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E92E34B" w14:textId="77777777" w:rsidR="008312AE" w:rsidRPr="00A259BD" w:rsidRDefault="005B2001"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bCs/>
          <w:color w:val="000000" w:themeColor="text1"/>
          <w:sz w:val="16"/>
          <w:szCs w:val="16"/>
          <w:lang w:eastAsia="ru-RU"/>
        </w:rPr>
        <w:t>29 января 1929</w:t>
      </w:r>
      <w:r w:rsidRPr="00A259BD">
        <w:rPr>
          <w:rFonts w:ascii="Times New Roman" w:eastAsia="Times New Roman" w:hAnsi="Times New Roman"/>
          <w:color w:val="000000" w:themeColor="text1"/>
          <w:sz w:val="16"/>
          <w:szCs w:val="16"/>
          <w:lang w:eastAsia="ru-RU"/>
        </w:rPr>
        <w:t>. Совет Народных Комиссаров РСФСР принял постановление "О мерах ограничения торговли спиртными напитками" (вместо отмененного постановления СНК РСФСР от 4 марта 1927 г. "О мерах ограничения продажи спиртных напитков"), запрещающее открытие новых торговых точек по продаже водки и водочных изделий в промышленных городах и рабочих поселках, торговлю спиртными напитками в праздничные и предпраздничные дни, дни отдыха и накануне, продажу напитков в рабочих клубах, буфетах всех общественных учреждений, местах народных гуляний, а также несовершеннолетним и пьяным. Запрещалась также реклама алкоголя в общественных местах, вокзалах, на улицах, в печати и т.п. СНК РСФСР предложил городским и поселковым Советам депутатов трудящихся закрыть все торговые точки по продаже водки, водочных изделий, пива и вина, расположенные в непосредственной близости к военным казармам и биржам труда, а также ограничить время торговли указанными напитками и запретить продажу их во время очередных призывов в Красную Армию. Городским и поселковым Советам депутатов трудящихся указанное постановление предоставляло право закрытия всякого места продажи алкогольных напитков, если это необходимо по культурно-общественным соображениям или ходатайству соответствующих рабочих организаций</w:t>
      </w:r>
      <w:r w:rsidR="008312AE" w:rsidRPr="00A259BD">
        <w:rPr>
          <w:rFonts w:ascii="Times New Roman" w:eastAsia="Times New Roman" w:hAnsi="Times New Roman"/>
          <w:color w:val="000000" w:themeColor="text1"/>
          <w:sz w:val="16"/>
          <w:szCs w:val="16"/>
          <w:lang w:eastAsia="ru-RU"/>
        </w:rPr>
        <w:t>.</w:t>
      </w:r>
    </w:p>
    <w:p w14:paraId="24269967" w14:textId="77777777" w:rsidR="005B2001" w:rsidRPr="00A259BD" w:rsidRDefault="008312AE"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hAnsi="Times New Roman"/>
          <w:color w:val="000000" w:themeColor="text1"/>
          <w:sz w:val="16"/>
          <w:szCs w:val="16"/>
        </w:rPr>
        <w:t xml:space="preserve">Постановление предлагало Госплану РСФСР при составлении пятилетнего плана предусмотреть сокращение производства и продажи водки и водочных изделий, усиление культурно-просветительных мероприятий по борьбе с алкоголизмом, а также создание сети </w:t>
      </w:r>
      <w:proofErr w:type="spellStart"/>
      <w:r w:rsidRPr="00A259BD">
        <w:rPr>
          <w:rFonts w:ascii="Times New Roman" w:hAnsi="Times New Roman"/>
          <w:color w:val="000000" w:themeColor="text1"/>
          <w:sz w:val="16"/>
          <w:szCs w:val="16"/>
        </w:rPr>
        <w:t>противоалкогольных</w:t>
      </w:r>
      <w:proofErr w:type="spellEnd"/>
      <w:r w:rsidRPr="00A259BD">
        <w:rPr>
          <w:rFonts w:ascii="Times New Roman" w:hAnsi="Times New Roman"/>
          <w:color w:val="000000" w:themeColor="text1"/>
          <w:sz w:val="16"/>
          <w:szCs w:val="16"/>
        </w:rPr>
        <w:t xml:space="preserve"> диспансеров и иных лечебно-предупредительных учреждений. Организация их работы возложена на административные отделы соответствующих райисполкомов. Милиции вменяется в обязанность оказание помощи органам здравоохранения в проведении ими мероприятий по борьбе с пьянством, а также задержание и доставление в эти учреждения нетрезвых граждан. СНК РСФСР признал необходимым увеличить производство и продажу по пониженным ценам безалкогольных напитков, а также спортивного инвентаря и музыкальных инструментов (простейших), расширить сеть чайных-закусочных и рабочих кафе с культурными развлечениями, принять меры по улучшению работы библиотек, читален, театров </w:t>
      </w:r>
      <w:r w:rsidR="005B2001" w:rsidRPr="00A259BD">
        <w:rPr>
          <w:rFonts w:ascii="Times New Roman" w:eastAsia="Times New Roman" w:hAnsi="Times New Roman"/>
          <w:color w:val="000000" w:themeColor="text1"/>
          <w:sz w:val="16"/>
          <w:szCs w:val="16"/>
          <w:lang w:eastAsia="ru-RU"/>
        </w:rPr>
        <w:t xml:space="preserve"> (17291).</w:t>
      </w:r>
    </w:p>
    <w:p w14:paraId="77D7C022" w14:textId="77777777" w:rsidR="005B2001" w:rsidRPr="00A259BD" w:rsidRDefault="005B2001" w:rsidP="009236E3">
      <w:pPr>
        <w:autoSpaceDE w:val="0"/>
        <w:autoSpaceDN w:val="0"/>
        <w:adjustRightInd w:val="0"/>
        <w:spacing w:after="0" w:line="240" w:lineRule="auto"/>
        <w:jc w:val="both"/>
        <w:rPr>
          <w:rFonts w:ascii="Times New Roman" w:hAnsi="Times New Roman"/>
          <w:color w:val="000000" w:themeColor="text1"/>
          <w:sz w:val="16"/>
          <w:szCs w:val="16"/>
        </w:rPr>
      </w:pPr>
    </w:p>
    <w:p w14:paraId="2AF2CF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января 1929 г. при СНК СССР был создан Комитет по делам кинематографии и фотографии — Кинокомитет СССР. Возглавил его Ян Рудзутак (11019).</w:t>
      </w:r>
    </w:p>
    <w:p w14:paraId="401480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D983160"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2AB1E4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9B41FC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января 1929 американская компания “Дженерал Моторз” приобрела немецкую фирму “Опель” (4962).</w:t>
      </w:r>
    </w:p>
    <w:p w14:paraId="0E347E7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E4BCB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января 1929 в </w:t>
      </w:r>
      <w:proofErr w:type="spellStart"/>
      <w:r w:rsidRPr="00A259BD">
        <w:rPr>
          <w:rFonts w:ascii="Times New Roman" w:hAnsi="Times New Roman"/>
          <w:color w:val="000000" w:themeColor="text1"/>
          <w:sz w:val="16"/>
          <w:szCs w:val="16"/>
        </w:rPr>
        <w:t>Нешвилле</w:t>
      </w:r>
      <w:proofErr w:type="spellEnd"/>
      <w:r w:rsidRPr="00A259BD">
        <w:rPr>
          <w:rFonts w:ascii="Times New Roman" w:hAnsi="Times New Roman"/>
          <w:color w:val="000000" w:themeColor="text1"/>
          <w:sz w:val="16"/>
          <w:szCs w:val="16"/>
        </w:rPr>
        <w:t xml:space="preserve"> (Теннеси, США) организована первая в мире школа тренировки собак-поводырей (4962).</w:t>
      </w:r>
    </w:p>
    <w:p w14:paraId="7828099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04317B" w14:textId="77777777" w:rsidR="002F4D1B"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2EB16DF" w14:textId="77777777" w:rsidR="002F4D1B" w:rsidRPr="00A259BD" w:rsidRDefault="002F4D1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D94506" w14:textId="77777777" w:rsidR="002F4D1B" w:rsidRPr="00A259BD" w:rsidRDefault="002F4D1B"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30 января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ЦИК и СНК СССР об утверждении положения о Народном комиссариате по военным и морским делам в новой редакции (СЗ. 1929. № 13. Ст. 104) (12415).</w:t>
      </w:r>
    </w:p>
    <w:p w14:paraId="5D39D31E" w14:textId="77777777" w:rsidR="002F4D1B" w:rsidRPr="00A259BD" w:rsidRDefault="002F4D1B"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Постановление ЦИК и СНК СССР «Положение о Народном комиссариате по военным и морским делам» (СЗ. 1929. № 13. Ст. 105) (12415).</w:t>
      </w:r>
    </w:p>
    <w:p w14:paraId="0E64FADF" w14:textId="77777777" w:rsidR="002F4D1B" w:rsidRPr="00A259BD" w:rsidRDefault="002F4D1B" w:rsidP="009236E3">
      <w:pPr>
        <w:spacing w:after="0" w:line="240" w:lineRule="auto"/>
        <w:jc w:val="both"/>
        <w:rPr>
          <w:rFonts w:ascii="Times New Roman" w:hAnsi="Times New Roman"/>
          <w:color w:val="000000" w:themeColor="text1"/>
          <w:sz w:val="16"/>
          <w:szCs w:val="16"/>
          <w:u w:color="002060"/>
        </w:rPr>
      </w:pPr>
    </w:p>
    <w:p w14:paraId="52F8EFBD"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января 1929 г. — Справка мобилизационного отдела Наркомата труда СССР в Госплан СССР о подготовке квалифицированных рабочих для военной промышленности</w:t>
      </w:r>
    </w:p>
    <w:p w14:paraId="3311FE60"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Справка мобилизационного отдела Наркомата труда СССР в Госплан СССР о подготовке квалифицированных рабочих для военной промышленности</w:t>
      </w:r>
    </w:p>
    <w:p w14:paraId="5458851C"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января 1929 г.</w:t>
      </w:r>
    </w:p>
    <w:p w14:paraId="62F77403"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4A2A860F"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 xml:space="preserve">1. Военная промышленность имеет свои специфические особенности производства, и требует поэтому кадров специально обученных квалифицированных рабочих. В той или иной мере ныне работающие предприятия </w:t>
      </w:r>
      <w:proofErr w:type="spellStart"/>
      <w:r w:rsidRPr="00A259BD">
        <w:rPr>
          <w:color w:val="000000" w:themeColor="text1"/>
          <w:sz w:val="16"/>
          <w:szCs w:val="16"/>
        </w:rPr>
        <w:t>военпрома</w:t>
      </w:r>
      <w:proofErr w:type="spellEnd"/>
      <w:r w:rsidRPr="00A259BD">
        <w:rPr>
          <w:color w:val="000000" w:themeColor="text1"/>
          <w:sz w:val="16"/>
          <w:szCs w:val="16"/>
        </w:rPr>
        <w:t xml:space="preserve"> потребной им квалифицированной рабочей силой удовлетворены. Свободных же (не занятых в промышленности) квалифицированных специалистов военной промышленности не имеется. В случае необходимости развернуть военную промышленность во время войны будет некомплект нужных специалистов. Кроме военной промышленности, в случае войны для выработки предметов вооружения и снаряжения будет мобилизован целый ряд предприятий, вырабатывающих исключительно предметы назначения мирного времени, и, следовательно, квалифицированные рабочие этих заводов окажутся в большинстве малоприспособленными для чисто военного производства.</w:t>
      </w:r>
    </w:p>
    <w:p w14:paraId="5C65C7A9"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2. Ознакомить в мирное время всех квалифицированных рабочих предприятий, предназначенных для работы на оборону в случае войны, с особенностями чисто военного производства — задача трудновыполнимая; но подготовить кадр квалифицированных рабочих-специалистов, военных производственников, которые в случае мобилизационного развертывания могли бы быть основной группой предприятия, можно. Основным мероприятием в этом направлении я считаю¹* образование кадра квалифицированных рабочих-</w:t>
      </w:r>
      <w:proofErr w:type="spellStart"/>
      <w:r w:rsidRPr="00A259BD">
        <w:rPr>
          <w:color w:val="000000" w:themeColor="text1"/>
          <w:sz w:val="16"/>
          <w:szCs w:val="16"/>
        </w:rPr>
        <w:t>промышленнообязанных</w:t>
      </w:r>
      <w:proofErr w:type="spellEnd"/>
      <w:r w:rsidRPr="00A259BD">
        <w:rPr>
          <w:color w:val="000000" w:themeColor="text1"/>
          <w:sz w:val="16"/>
          <w:szCs w:val="16"/>
        </w:rPr>
        <w:t>.</w:t>
      </w:r>
    </w:p>
    <w:p w14:paraId="47A992E8"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 xml:space="preserve">3. Образование кадра </w:t>
      </w:r>
      <w:proofErr w:type="spellStart"/>
      <w:r w:rsidRPr="00A259BD">
        <w:rPr>
          <w:color w:val="000000" w:themeColor="text1"/>
          <w:sz w:val="16"/>
          <w:szCs w:val="16"/>
        </w:rPr>
        <w:t>промышленнообязанных</w:t>
      </w:r>
      <w:proofErr w:type="spellEnd"/>
      <w:r w:rsidRPr="00A259BD">
        <w:rPr>
          <w:color w:val="000000" w:themeColor="text1"/>
          <w:sz w:val="16"/>
          <w:szCs w:val="16"/>
        </w:rPr>
        <w:t xml:space="preserve"> я полагаю произвести следующим образом: ежегодно при очередном призыве некоторое количество призывников из числа квалифицированных рабочих поступает для отбывания действительной военной службы не в воинские части, а на заводы военной промышленности, где они обучаются соответствующей отрасли военного производства. Срок службы </w:t>
      </w:r>
      <w:proofErr w:type="spellStart"/>
      <w:r w:rsidRPr="00A259BD">
        <w:rPr>
          <w:color w:val="000000" w:themeColor="text1"/>
          <w:sz w:val="16"/>
          <w:szCs w:val="16"/>
        </w:rPr>
        <w:t>промышленнообязанных</w:t>
      </w:r>
      <w:proofErr w:type="spellEnd"/>
      <w:r w:rsidRPr="00A259BD">
        <w:rPr>
          <w:color w:val="000000" w:themeColor="text1"/>
          <w:sz w:val="16"/>
          <w:szCs w:val="16"/>
        </w:rPr>
        <w:t xml:space="preserve"> устанавливается в один год, учитывая, что люди, поступающие в число </w:t>
      </w:r>
      <w:proofErr w:type="spellStart"/>
      <w:r w:rsidRPr="00A259BD">
        <w:rPr>
          <w:color w:val="000000" w:themeColor="text1"/>
          <w:sz w:val="16"/>
          <w:szCs w:val="16"/>
        </w:rPr>
        <w:t>промышленнообязанных</w:t>
      </w:r>
      <w:proofErr w:type="spellEnd"/>
      <w:r w:rsidRPr="00A259BD">
        <w:rPr>
          <w:color w:val="000000" w:themeColor="text1"/>
          <w:sz w:val="16"/>
          <w:szCs w:val="16"/>
        </w:rPr>
        <w:t xml:space="preserve">, являются уже квалифицированными рабочими и им нужно лишь приобрести навык и изучить специфические особенности военного производства. По окончании срока службы </w:t>
      </w:r>
      <w:proofErr w:type="spellStart"/>
      <w:r w:rsidRPr="00A259BD">
        <w:rPr>
          <w:color w:val="000000" w:themeColor="text1"/>
          <w:sz w:val="16"/>
          <w:szCs w:val="16"/>
        </w:rPr>
        <w:t>промышленнообязанные</w:t>
      </w:r>
      <w:proofErr w:type="spellEnd"/>
      <w:r w:rsidRPr="00A259BD">
        <w:rPr>
          <w:color w:val="000000" w:themeColor="text1"/>
          <w:sz w:val="16"/>
          <w:szCs w:val="16"/>
        </w:rPr>
        <w:t xml:space="preserve"> увольняются в долгосрочный отпуск, в каковом числятся до 45</w:t>
      </w:r>
      <w:r w:rsidRPr="00A259BD">
        <w:rPr>
          <w:color w:val="000000" w:themeColor="text1"/>
          <w:sz w:val="16"/>
          <w:szCs w:val="16"/>
        </w:rPr>
        <w:noBreakHyphen/>
        <w:t xml:space="preserve">летнего возраста. В целях сохранения </w:t>
      </w:r>
      <w:proofErr w:type="spellStart"/>
      <w:r w:rsidRPr="00A259BD">
        <w:rPr>
          <w:color w:val="000000" w:themeColor="text1"/>
          <w:sz w:val="16"/>
          <w:szCs w:val="16"/>
        </w:rPr>
        <w:t>промышленнообязанных</w:t>
      </w:r>
      <w:proofErr w:type="spellEnd"/>
      <w:r w:rsidRPr="00A259BD">
        <w:rPr>
          <w:color w:val="000000" w:themeColor="text1"/>
          <w:sz w:val="16"/>
          <w:szCs w:val="16"/>
        </w:rPr>
        <w:t xml:space="preserve"> от деквалификации устанавливается периодический их призыв на учебные сборы. Во время нахождения па действительной службе </w:t>
      </w:r>
      <w:proofErr w:type="spellStart"/>
      <w:r w:rsidRPr="00A259BD">
        <w:rPr>
          <w:color w:val="000000" w:themeColor="text1"/>
          <w:sz w:val="16"/>
          <w:szCs w:val="16"/>
        </w:rPr>
        <w:t>промышленнообязанные</w:t>
      </w:r>
      <w:proofErr w:type="spellEnd"/>
      <w:r w:rsidRPr="00A259BD">
        <w:rPr>
          <w:color w:val="000000" w:themeColor="text1"/>
          <w:sz w:val="16"/>
          <w:szCs w:val="16"/>
        </w:rPr>
        <w:t xml:space="preserve"> удовлетворяются содержанием из расчета стоимости содержания красноармейца. В случае объявления мобилизации </w:t>
      </w:r>
      <w:proofErr w:type="spellStart"/>
      <w:r w:rsidRPr="00A259BD">
        <w:rPr>
          <w:color w:val="000000" w:themeColor="text1"/>
          <w:sz w:val="16"/>
          <w:szCs w:val="16"/>
        </w:rPr>
        <w:t>промышленнообязанные</w:t>
      </w:r>
      <w:proofErr w:type="spellEnd"/>
      <w:r w:rsidRPr="00A259BD">
        <w:rPr>
          <w:color w:val="000000" w:themeColor="text1"/>
          <w:sz w:val="16"/>
          <w:szCs w:val="16"/>
        </w:rPr>
        <w:t xml:space="preserve"> обязаны явиться на сборные пункты для получения назначения на один из мобилизуемых заводов.</w:t>
      </w:r>
    </w:p>
    <w:p w14:paraId="4F75B96E"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 xml:space="preserve">Контингент, подлежащий зачислению в число </w:t>
      </w:r>
      <w:proofErr w:type="spellStart"/>
      <w:r w:rsidRPr="00A259BD">
        <w:rPr>
          <w:color w:val="000000" w:themeColor="text1"/>
          <w:sz w:val="16"/>
          <w:szCs w:val="16"/>
        </w:rPr>
        <w:t>промышленнообязанных</w:t>
      </w:r>
      <w:proofErr w:type="spellEnd"/>
      <w:r w:rsidRPr="00A259BD">
        <w:rPr>
          <w:color w:val="000000" w:themeColor="text1"/>
          <w:sz w:val="16"/>
          <w:szCs w:val="16"/>
        </w:rPr>
        <w:t xml:space="preserve">, определяется ежегодно перед началом призыва в армию по соглашению с ВСНХ, Народным комиссариатом труда и </w:t>
      </w:r>
      <w:proofErr w:type="spellStart"/>
      <w:r w:rsidRPr="00A259BD">
        <w:rPr>
          <w:color w:val="000000" w:themeColor="text1"/>
          <w:sz w:val="16"/>
          <w:szCs w:val="16"/>
        </w:rPr>
        <w:t>военведом</w:t>
      </w:r>
      <w:proofErr w:type="spellEnd"/>
      <w:r w:rsidRPr="00A259BD">
        <w:rPr>
          <w:color w:val="000000" w:themeColor="text1"/>
          <w:sz w:val="16"/>
          <w:szCs w:val="16"/>
        </w:rPr>
        <w:t xml:space="preserve">. Учет </w:t>
      </w:r>
      <w:proofErr w:type="spellStart"/>
      <w:r w:rsidRPr="00A259BD">
        <w:rPr>
          <w:color w:val="000000" w:themeColor="text1"/>
          <w:sz w:val="16"/>
          <w:szCs w:val="16"/>
        </w:rPr>
        <w:t>промышленнообязанных</w:t>
      </w:r>
      <w:proofErr w:type="spellEnd"/>
      <w:r w:rsidRPr="00A259BD">
        <w:rPr>
          <w:color w:val="000000" w:themeColor="text1"/>
          <w:sz w:val="16"/>
          <w:szCs w:val="16"/>
        </w:rPr>
        <w:t xml:space="preserve"> ведут хозорганы, которые обязаны в определенные сроки и [по] установленным формам сообщать данные заинтересованным ведомствам. </w:t>
      </w:r>
      <w:proofErr w:type="spellStart"/>
      <w:r w:rsidRPr="00A259BD">
        <w:rPr>
          <w:color w:val="000000" w:themeColor="text1"/>
          <w:sz w:val="16"/>
          <w:szCs w:val="16"/>
        </w:rPr>
        <w:t>Промышленнообязанные</w:t>
      </w:r>
      <w:proofErr w:type="spellEnd"/>
      <w:r w:rsidRPr="00A259BD">
        <w:rPr>
          <w:color w:val="000000" w:themeColor="text1"/>
          <w:sz w:val="16"/>
          <w:szCs w:val="16"/>
        </w:rPr>
        <w:t xml:space="preserve"> и их семьи пользуются всеми правами и льготами, и преимуществами военнослужащих и их семей.</w:t>
      </w:r>
    </w:p>
    <w:p w14:paraId="7257810E" w14:textId="77777777" w:rsidR="002F4D1B" w:rsidRPr="00A259BD" w:rsidRDefault="002F4D1B" w:rsidP="009236E3">
      <w:pPr>
        <w:pStyle w:val="rtejustify"/>
        <w:spacing w:before="0" w:after="0"/>
        <w:rPr>
          <w:color w:val="000000" w:themeColor="text1"/>
          <w:sz w:val="16"/>
          <w:szCs w:val="16"/>
        </w:rPr>
      </w:pPr>
      <w:r w:rsidRPr="00A259BD">
        <w:rPr>
          <w:rStyle w:val="af0"/>
          <w:i w:val="0"/>
          <w:color w:val="000000" w:themeColor="text1"/>
          <w:sz w:val="16"/>
          <w:szCs w:val="16"/>
        </w:rPr>
        <w:t>Примечание</w:t>
      </w:r>
      <w:r w:rsidRPr="00A259BD">
        <w:rPr>
          <w:color w:val="000000" w:themeColor="text1"/>
          <w:sz w:val="16"/>
          <w:szCs w:val="16"/>
        </w:rPr>
        <w:t>:</w:t>
      </w:r>
    </w:p>
    <w:p w14:paraId="21FEFCF6"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xml:space="preserve">* Справка подготовлена зав. мобилизационным отделом Наркомата труда СССР </w:t>
      </w:r>
      <w:proofErr w:type="spellStart"/>
      <w:r w:rsidRPr="00A259BD">
        <w:rPr>
          <w:color w:val="000000" w:themeColor="text1"/>
          <w:sz w:val="16"/>
          <w:szCs w:val="16"/>
        </w:rPr>
        <w:t>Худоминским</w:t>
      </w:r>
      <w:proofErr w:type="spellEnd"/>
      <w:r w:rsidRPr="00A259BD">
        <w:rPr>
          <w:color w:val="000000" w:themeColor="text1"/>
          <w:sz w:val="16"/>
          <w:szCs w:val="16"/>
        </w:rPr>
        <w:t>.</w:t>
      </w:r>
    </w:p>
    <w:p w14:paraId="4E3B1B0B" w14:textId="77777777" w:rsidR="002F4D1B" w:rsidRPr="00A259BD" w:rsidRDefault="002F4D1B" w:rsidP="009236E3">
      <w:pPr>
        <w:pStyle w:val="rtejustify"/>
        <w:spacing w:before="0" w:after="0"/>
        <w:rPr>
          <w:color w:val="000000" w:themeColor="text1"/>
          <w:sz w:val="16"/>
          <w:szCs w:val="16"/>
        </w:rPr>
      </w:pPr>
      <w:r w:rsidRPr="00A259BD">
        <w:rPr>
          <w:color w:val="000000" w:themeColor="text1"/>
          <w:sz w:val="16"/>
          <w:szCs w:val="16"/>
        </w:rPr>
        <w:t>РГАЭ. Ф. 4372. Оп. 91. Д. 401. Л. 1. Копия.</w:t>
      </w:r>
    </w:p>
    <w:p w14:paraId="4C895F3E"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4372. Оп. 91. Д. 401. Л. 1. Копия. </w:t>
      </w:r>
    </w:p>
    <w:p w14:paraId="4D17BD17"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275-276 (12421).</w:t>
      </w:r>
    </w:p>
    <w:p w14:paraId="22BE06F4" w14:textId="77777777" w:rsidR="002F4D1B" w:rsidRPr="00A259BD" w:rsidRDefault="002F4D1B" w:rsidP="009236E3">
      <w:pPr>
        <w:spacing w:after="0" w:line="240" w:lineRule="auto"/>
        <w:jc w:val="both"/>
        <w:rPr>
          <w:rFonts w:ascii="Times New Roman" w:hAnsi="Times New Roman"/>
          <w:color w:val="000000" w:themeColor="text1"/>
          <w:sz w:val="16"/>
          <w:szCs w:val="16"/>
        </w:rPr>
      </w:pPr>
    </w:p>
    <w:p w14:paraId="079D5D02" w14:textId="77777777" w:rsidR="001B4607" w:rsidRPr="00A259BD" w:rsidRDefault="001B4607"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B05CB27" w14:textId="77777777" w:rsidR="001B4607" w:rsidRPr="00A259BD" w:rsidRDefault="001B460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68518E2" w14:textId="77777777" w:rsidR="001B4607" w:rsidRPr="00A259BD" w:rsidRDefault="001B460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января 1929 основана Inter-Island Airways, будущая компания </w:t>
      </w:r>
      <w:proofErr w:type="spellStart"/>
      <w:r w:rsidRPr="00A259BD">
        <w:rPr>
          <w:rFonts w:ascii="Times New Roman" w:hAnsi="Times New Roman"/>
          <w:color w:val="000000" w:themeColor="text1"/>
          <w:sz w:val="16"/>
          <w:szCs w:val="16"/>
        </w:rPr>
        <w:t>Hawaiian</w:t>
      </w:r>
      <w:proofErr w:type="spellEnd"/>
      <w:r w:rsidRPr="00A259BD">
        <w:rPr>
          <w:rFonts w:ascii="Times New Roman" w:hAnsi="Times New Roman"/>
          <w:color w:val="000000" w:themeColor="text1"/>
          <w:sz w:val="16"/>
          <w:szCs w:val="16"/>
        </w:rPr>
        <w:t xml:space="preserve"> Airlines (20806).</w:t>
      </w:r>
    </w:p>
    <w:p w14:paraId="7B187974" w14:textId="77777777" w:rsidR="001B4607" w:rsidRPr="00A259BD" w:rsidRDefault="001B4607" w:rsidP="009236E3">
      <w:pPr>
        <w:spacing w:after="0" w:line="240" w:lineRule="auto"/>
        <w:jc w:val="both"/>
        <w:rPr>
          <w:rFonts w:ascii="Times New Roman" w:hAnsi="Times New Roman"/>
          <w:color w:val="000000" w:themeColor="text1"/>
          <w:sz w:val="16"/>
          <w:szCs w:val="16"/>
        </w:rPr>
      </w:pPr>
    </w:p>
    <w:p w14:paraId="6F1D922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C7E033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94E55C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января 1929 в НИИ ВВС закончились испытания самолета Р1-М5 № 3483, которые проходили с 26 января 1929:</w:t>
      </w:r>
    </w:p>
    <w:p w14:paraId="7D3DBCB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января 1929 года – полет на устойчивость</w:t>
      </w:r>
    </w:p>
    <w:p w14:paraId="447D70E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января 1929 года – полет на управляемость</w:t>
      </w:r>
    </w:p>
    <w:p w14:paraId="1B611F3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января 1929 года – определение горизонтальных скоростей на высоте 100 м по мерному километру</w:t>
      </w:r>
    </w:p>
    <w:p w14:paraId="77F75DE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января 1929 года – полет на управляемость</w:t>
      </w:r>
    </w:p>
    <w:p w14:paraId="67D9D6A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января 1929 года – определение скороподъемности, потолка, горизонтальных скоростей на разных высотах. Планирование.</w:t>
      </w:r>
    </w:p>
    <w:p w14:paraId="2B0CDB5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января 1929 года – испытание на фигурные полеты.</w:t>
      </w:r>
    </w:p>
    <w:p w14:paraId="2747C9E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января 1929 года – полет на штопор.</w:t>
      </w:r>
    </w:p>
    <w:p w14:paraId="0818DA2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января 1929 года – испытание на фигурные полеты (6982, 6986).</w:t>
      </w:r>
    </w:p>
    <w:p w14:paraId="3C7648C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D324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января 1929 на </w:t>
      </w:r>
      <w:proofErr w:type="spellStart"/>
      <w:r w:rsidRPr="00A259BD">
        <w:rPr>
          <w:rFonts w:ascii="Times New Roman" w:hAnsi="Times New Roman"/>
          <w:color w:val="000000" w:themeColor="text1"/>
          <w:sz w:val="16"/>
          <w:szCs w:val="16"/>
        </w:rPr>
        <w:t>Техсекции</w:t>
      </w:r>
      <w:proofErr w:type="spellEnd"/>
      <w:r w:rsidRPr="00A259BD">
        <w:rPr>
          <w:rFonts w:ascii="Times New Roman" w:hAnsi="Times New Roman"/>
          <w:color w:val="000000" w:themeColor="text1"/>
          <w:sz w:val="16"/>
          <w:szCs w:val="16"/>
        </w:rPr>
        <w:t xml:space="preserve"> НК УВВС (журнал 5с) рассмотрели вопрос о проекте почтового самолета Р-5 М-17 - переделки разведчика. баки переместили в верхние крылья и появилось место для 400 кг почты или 2-х пассажиров (2341,43).</w:t>
      </w:r>
    </w:p>
    <w:p w14:paraId="5F2A63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33A0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января 1929 состоялось заседаний 1 секции НТК (журнал N 2cc) "О трехлетнем плане сухопутного опытного самолетостроения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и ЦАГИ" и соответствующее постановление по данному вопросу (351).</w:t>
      </w:r>
    </w:p>
    <w:p w14:paraId="6F9BC9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9308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января 1929 г. на заседании НТК рассматривался гражданский вариант Р-5, который предложили на конкурс почтовых самолетов Весь запас топлива размещался в верхнем крыле. На месте фюзеляжных бензобаков размещались два кресла для пассажиров и багажник на 220 кг почты. Верх пассажирской кабины остеклялся. При посадке людей одна из секций сдвигалась и поворачивалась. Экипаж состоял из двух человек - пилота и бортмеханика, размещавшихся так же, как в боевой машине. Преимуществом предлагаемого проекта являлась унификация с серийным военным самолетом, обеспечивавшая низкую стоимость. Но расчетные характеристики не удовлетворяли заказчика. По условиям конкурса максимальная скорость должна была быть выше, а посадочная - ниже. От реализации проекта отказались (12034).</w:t>
      </w:r>
    </w:p>
    <w:p w14:paraId="11A77C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56E503"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D9C99A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BBF75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января 1929 г. переименован Научный химико-фармацевтический институт Приказом ВСНХ СССР переименован в Научно-исследовательский химико-фармацевтический институт (НИХФИ). Постановлением Президиума ВЦИК от 13 августа 1936 г. институту присвоено имя С. Орджоникидзе. В 1937 г. институт переименован во Всесоюзный научно-исследовательский химико-фармацевтический институт (ВНИХФИ) им. С. Орджоникидзе, в июле 1945 г. - в Институт фармакологии, токсикологии и химиотерапии. Постановлением Совета Министров СССР от 13 июня 1946 г. институт вновь переименован во Всесоюзный научно-исследовательский химико-фармацевтический институт (ВНИХФИ) им. С. Орджоникидзе. В 1981 г, награжден орденом Трудового Красного Знамени (12102).</w:t>
      </w:r>
    </w:p>
    <w:p w14:paraId="5B032E49" w14:textId="77777777" w:rsidR="00327B14" w:rsidRPr="00A259BD" w:rsidRDefault="00327B1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138C46"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1CF9268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D4805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января 1929 Л.Д.Т. был выслан из СССР (3481).</w:t>
      </w:r>
    </w:p>
    <w:p w14:paraId="6F106D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44AE17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января 1929 Троцкий выслан за пределы СССР.</w:t>
      </w:r>
    </w:p>
    <w:p w14:paraId="27B8E87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BA6987" w14:textId="77777777" w:rsidR="00327B14" w:rsidRPr="00A259BD" w:rsidRDefault="00327B14"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31 января</w:t>
      </w:r>
      <w:r w:rsidRPr="00A259BD">
        <w:rPr>
          <w:rFonts w:ascii="Times New Roman" w:hAnsi="Times New Roman"/>
          <w:color w:val="000000" w:themeColor="text1"/>
          <w:sz w:val="16"/>
          <w:szCs w:val="16"/>
        </w:rPr>
        <w:t xml:space="preserve"> в 1929 году организатор Октябрьского переворота и Красной армии, первый нарком иностранных дел, потом первый </w:t>
      </w:r>
      <w:proofErr w:type="spellStart"/>
      <w:r w:rsidRPr="00A259BD">
        <w:rPr>
          <w:rFonts w:ascii="Times New Roman" w:hAnsi="Times New Roman"/>
          <w:color w:val="000000" w:themeColor="text1"/>
          <w:sz w:val="16"/>
          <w:szCs w:val="16"/>
        </w:rPr>
        <w:t>наркомвоен</w:t>
      </w:r>
      <w:proofErr w:type="spellEnd"/>
      <w:r w:rsidRPr="00A259BD">
        <w:rPr>
          <w:rFonts w:ascii="Times New Roman" w:hAnsi="Times New Roman"/>
          <w:color w:val="000000" w:themeColor="text1"/>
          <w:sz w:val="16"/>
          <w:szCs w:val="16"/>
        </w:rPr>
        <w:t>, как он тогда назывался, Лев Давидович Бронштейн, он же Троцкий, покинул Советский Союз, изгнанный решением ЦК партии. В восемнадцатом году ходила прибаутка: "Чай Высоцкого, сахар Бродского, Россия Троцкого". Владелец чайных фабрик Высоцкий и сахарозаводчик Бродский были привычными именами (15026).</w:t>
      </w:r>
    </w:p>
    <w:p w14:paraId="396F5382" w14:textId="77777777" w:rsidR="00327B14" w:rsidRPr="00A259BD" w:rsidRDefault="00327B14" w:rsidP="009236E3">
      <w:pPr>
        <w:spacing w:after="0" w:line="240" w:lineRule="auto"/>
        <w:jc w:val="both"/>
        <w:rPr>
          <w:rFonts w:ascii="Times New Roman" w:hAnsi="Times New Roman"/>
          <w:color w:val="000000" w:themeColor="text1"/>
          <w:sz w:val="16"/>
          <w:szCs w:val="16"/>
        </w:rPr>
      </w:pPr>
    </w:p>
    <w:p w14:paraId="7EE3789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7972FC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E117C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 1929 было начато проектирование Ми-3 (АНТ-21) (4,8).</w:t>
      </w:r>
    </w:p>
    <w:p w14:paraId="7FD886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B39C8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 1929 г. начали строить второй экземпляр Р-5. На возобновившихся заводских испытаниях самолет показал хорошие летные данные. Заводской летчик-ис</w:t>
      </w:r>
      <w:r w:rsidRPr="00A259BD">
        <w:rPr>
          <w:rFonts w:ascii="Times New Roman" w:hAnsi="Times New Roman"/>
          <w:color w:val="000000" w:themeColor="text1"/>
          <w:sz w:val="16"/>
          <w:szCs w:val="16"/>
        </w:rPr>
        <w:softHyphen/>
        <w:t xml:space="preserve">пытатель </w:t>
      </w:r>
      <w:proofErr w:type="spellStart"/>
      <w:r w:rsidRPr="00A259BD">
        <w:rPr>
          <w:rFonts w:ascii="Times New Roman" w:hAnsi="Times New Roman"/>
          <w:color w:val="000000" w:themeColor="text1"/>
          <w:sz w:val="16"/>
          <w:szCs w:val="16"/>
        </w:rPr>
        <w:t>Б.Л.Бухгольц</w:t>
      </w:r>
      <w:proofErr w:type="spellEnd"/>
      <w:r w:rsidRPr="00A259BD">
        <w:rPr>
          <w:rFonts w:ascii="Times New Roman" w:hAnsi="Times New Roman"/>
          <w:color w:val="000000" w:themeColor="text1"/>
          <w:sz w:val="16"/>
          <w:szCs w:val="16"/>
        </w:rPr>
        <w:t xml:space="preserve"> так характеризовал Р-5: “Само</w:t>
      </w:r>
      <w:r w:rsidRPr="00A259BD">
        <w:rPr>
          <w:rFonts w:ascii="Times New Roman" w:hAnsi="Times New Roman"/>
          <w:color w:val="000000" w:themeColor="text1"/>
          <w:sz w:val="16"/>
          <w:szCs w:val="16"/>
        </w:rPr>
        <w:softHyphen/>
        <w:t>лет устойчив во всех отношениях. Самолет приятен в пилотировании и, благодаря своей устойчивости, не утомителен для пилота. Маневренность самолета для данной величины следует признать весьма удовлетво</w:t>
      </w:r>
      <w:r w:rsidRPr="00A259BD">
        <w:rPr>
          <w:rFonts w:ascii="Times New Roman" w:hAnsi="Times New Roman"/>
          <w:color w:val="000000" w:themeColor="text1"/>
          <w:sz w:val="16"/>
          <w:szCs w:val="16"/>
        </w:rPr>
        <w:softHyphen/>
        <w:t>рительной, а по своим тактическим данным не уступает лучшим самолетам-разведчикам, состоящим на воору</w:t>
      </w:r>
      <w:r w:rsidRPr="00A259BD">
        <w:rPr>
          <w:rFonts w:ascii="Times New Roman" w:hAnsi="Times New Roman"/>
          <w:color w:val="000000" w:themeColor="text1"/>
          <w:sz w:val="16"/>
          <w:szCs w:val="16"/>
        </w:rPr>
        <w:softHyphen/>
        <w:t>жении в воздушных силах западных стран. Ремонт са</w:t>
      </w:r>
      <w:r w:rsidRPr="00A259BD">
        <w:rPr>
          <w:rFonts w:ascii="Times New Roman" w:hAnsi="Times New Roman"/>
          <w:color w:val="000000" w:themeColor="text1"/>
          <w:sz w:val="16"/>
          <w:szCs w:val="16"/>
        </w:rPr>
        <w:softHyphen/>
        <w:t>молета, благодаря его конструкции, очень прост и эксплуатация весьма несложная” (10667).</w:t>
      </w:r>
    </w:p>
    <w:p w14:paraId="758990E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8808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января 1929 г. завод № 39 начал переделку новеньких Р-ЗМ5 и Р-ЗЛД, полученных 30-й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и 20-м </w:t>
      </w:r>
      <w:proofErr w:type="spellStart"/>
      <w:r w:rsidRPr="00A259BD">
        <w:rPr>
          <w:rFonts w:ascii="Times New Roman" w:hAnsi="Times New Roman"/>
          <w:color w:val="000000" w:themeColor="text1"/>
          <w:sz w:val="16"/>
          <w:szCs w:val="16"/>
        </w:rPr>
        <w:t>ао</w:t>
      </w:r>
      <w:proofErr w:type="spellEnd"/>
      <w:r w:rsidRPr="00A259BD">
        <w:rPr>
          <w:rFonts w:ascii="Times New Roman" w:hAnsi="Times New Roman"/>
          <w:color w:val="000000" w:themeColor="text1"/>
          <w:sz w:val="16"/>
          <w:szCs w:val="16"/>
        </w:rPr>
        <w:t xml:space="preserve">. Усиливались распорками 1-й и 2-й шпангоуты; ставились новые, более прочные, ушки подвески карбюраторов; проводилась переделка масло- и </w:t>
      </w:r>
      <w:proofErr w:type="spellStart"/>
      <w:r w:rsidRPr="00A259BD">
        <w:rPr>
          <w:rFonts w:ascii="Times New Roman" w:hAnsi="Times New Roman"/>
          <w:color w:val="000000" w:themeColor="text1"/>
          <w:sz w:val="16"/>
          <w:szCs w:val="16"/>
        </w:rPr>
        <w:t>бензосистем</w:t>
      </w:r>
      <w:proofErr w:type="spellEnd"/>
      <w:r w:rsidRPr="00A259BD">
        <w:rPr>
          <w:rFonts w:ascii="Times New Roman" w:hAnsi="Times New Roman"/>
          <w:color w:val="000000" w:themeColor="text1"/>
          <w:sz w:val="16"/>
          <w:szCs w:val="16"/>
        </w:rPr>
        <w:t>. Решено было усилить все Р-ЗЛД, имевшиеся в ВВС. К декабрю небольшой завод захлебнулся поступающими из частей самолетами. Председатель Технико-эксплуатационной инспекции УВВС Смолин докладывал: "</w:t>
      </w:r>
      <w:proofErr w:type="spellStart"/>
      <w:r w:rsidRPr="00A259BD">
        <w:rPr>
          <w:rFonts w:ascii="Times New Roman" w:hAnsi="Times New Roman"/>
          <w:color w:val="000000" w:themeColor="text1"/>
          <w:sz w:val="16"/>
          <w:szCs w:val="16"/>
        </w:rPr>
        <w:t>Ремфонд</w:t>
      </w:r>
      <w:proofErr w:type="spellEnd"/>
      <w:r w:rsidRPr="00A259BD">
        <w:rPr>
          <w:rFonts w:ascii="Times New Roman" w:hAnsi="Times New Roman"/>
          <w:color w:val="000000" w:themeColor="text1"/>
          <w:sz w:val="16"/>
          <w:szCs w:val="16"/>
        </w:rPr>
        <w:t xml:space="preserve"> завода № 39... забит самолетами" и настаивал на четкой формулировке принципа отбора машин для модернизации. В конечном итоге решили переделывать только самолеты с явными признаками деформаций. На Р-ЗМ5 вообще меняли лишь магистрали и краны. От планов замены радиаторов </w:t>
      </w:r>
      <w:proofErr w:type="spellStart"/>
      <w:r w:rsidRPr="00A259BD">
        <w:rPr>
          <w:rFonts w:ascii="Times New Roman" w:hAnsi="Times New Roman"/>
          <w:color w:val="000000" w:themeColor="text1"/>
          <w:sz w:val="16"/>
          <w:szCs w:val="16"/>
        </w:rPr>
        <w:t>Ламблена</w:t>
      </w:r>
      <w:proofErr w:type="spellEnd"/>
      <w:r w:rsidRPr="00A259BD">
        <w:rPr>
          <w:rFonts w:ascii="Times New Roman" w:hAnsi="Times New Roman"/>
          <w:color w:val="000000" w:themeColor="text1"/>
          <w:sz w:val="16"/>
          <w:szCs w:val="16"/>
        </w:rPr>
        <w:t xml:space="preserve"> на лобовые сотовые (ЦАГИ сконструировал два варианта таких радиаторов для М-5) вообще отказались. Такую доработку выполнили на одной машине, эксплуатировавшейся потом в гражданской авиации. У нее два радиатора крепились примерно в том же месте, где и старые </w:t>
      </w:r>
      <w:proofErr w:type="spellStart"/>
      <w:r w:rsidRPr="00A259BD">
        <w:rPr>
          <w:rFonts w:ascii="Times New Roman" w:hAnsi="Times New Roman"/>
          <w:color w:val="000000" w:themeColor="text1"/>
          <w:sz w:val="16"/>
          <w:szCs w:val="16"/>
        </w:rPr>
        <w:t>Ламблена</w:t>
      </w:r>
      <w:proofErr w:type="spellEnd"/>
      <w:r w:rsidRPr="00A259BD">
        <w:rPr>
          <w:rFonts w:ascii="Times New Roman" w:hAnsi="Times New Roman"/>
          <w:color w:val="000000" w:themeColor="text1"/>
          <w:sz w:val="16"/>
          <w:szCs w:val="16"/>
        </w:rPr>
        <w:t xml:space="preserve">. Мероприятия по усилению планера проводились и в других округах. Например, 44-й </w:t>
      </w:r>
      <w:proofErr w:type="spellStart"/>
      <w:r w:rsidRPr="00A259BD">
        <w:rPr>
          <w:rFonts w:ascii="Times New Roman" w:hAnsi="Times New Roman"/>
          <w:color w:val="000000" w:themeColor="text1"/>
          <w:sz w:val="16"/>
          <w:szCs w:val="16"/>
        </w:rPr>
        <w:t>ао</w:t>
      </w:r>
      <w:proofErr w:type="spellEnd"/>
      <w:r w:rsidRPr="00A259BD">
        <w:rPr>
          <w:rFonts w:ascii="Times New Roman" w:hAnsi="Times New Roman"/>
          <w:color w:val="000000" w:themeColor="text1"/>
          <w:sz w:val="16"/>
          <w:szCs w:val="16"/>
        </w:rPr>
        <w:t xml:space="preserve"> из-за многочисленных поломок практически потерял боеспособность, но мастерские авиасклада № 7 самостоятельно, по оригинальной схеме, доработали девять Р-ЗЛД, обеспечив их дальнейшую безотказную службу. Конечно, как у всякой новой машины, у Р-ЗЛД хватало недостатков (11985).</w:t>
      </w:r>
    </w:p>
    <w:p w14:paraId="32C518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5B02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январе 1929 был испытан двухместный спортивный самолет "Три друга", с мотором 34 </w:t>
      </w:r>
      <w:proofErr w:type="spellStart"/>
      <w:r w:rsidRPr="00A259BD">
        <w:rPr>
          <w:rFonts w:ascii="Times New Roman" w:hAnsi="Times New Roman"/>
          <w:color w:val="000000" w:themeColor="text1"/>
          <w:sz w:val="16"/>
          <w:szCs w:val="16"/>
        </w:rPr>
        <w:t>нр</w:t>
      </w:r>
      <w:proofErr w:type="spellEnd"/>
      <w:r w:rsidRPr="00A259BD">
        <w:rPr>
          <w:rFonts w:ascii="Times New Roman" w:hAnsi="Times New Roman"/>
          <w:color w:val="000000" w:themeColor="text1"/>
          <w:sz w:val="16"/>
          <w:szCs w:val="16"/>
        </w:rPr>
        <w:t xml:space="preserve">, построенный Осоавиахим под руководством </w:t>
      </w:r>
      <w:proofErr w:type="spellStart"/>
      <w:r w:rsidRPr="00A259BD">
        <w:rPr>
          <w:rFonts w:ascii="Times New Roman" w:hAnsi="Times New Roman"/>
          <w:color w:val="000000" w:themeColor="text1"/>
          <w:sz w:val="16"/>
          <w:szCs w:val="16"/>
        </w:rPr>
        <w:t>Л.И.Сутугина</w:t>
      </w:r>
      <w:proofErr w:type="spellEnd"/>
      <w:r w:rsidRPr="00A259BD">
        <w:rPr>
          <w:rFonts w:ascii="Times New Roman" w:hAnsi="Times New Roman"/>
          <w:color w:val="000000" w:themeColor="text1"/>
          <w:sz w:val="16"/>
          <w:szCs w:val="16"/>
        </w:rPr>
        <w:t xml:space="preserve"> (271,114).</w:t>
      </w:r>
    </w:p>
    <w:p w14:paraId="1480F1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B6A2E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 1929 были подготовлены Сведения о выполнении заданий Отдела применения НИИ за декабрь 1928 года (6953)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3618"/>
        <w:gridCol w:w="2410"/>
      </w:tblGrid>
      <w:tr w:rsidR="00A259BD" w:rsidRPr="00A259BD" w14:paraId="3A87E22D" w14:textId="77777777">
        <w:tc>
          <w:tcPr>
            <w:tcW w:w="2214" w:type="dxa"/>
          </w:tcPr>
          <w:p w14:paraId="4694D9D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Наименование задания</w:t>
            </w:r>
          </w:p>
        </w:tc>
        <w:tc>
          <w:tcPr>
            <w:tcW w:w="2214" w:type="dxa"/>
          </w:tcPr>
          <w:p w14:paraId="5775664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Когда дано задание</w:t>
            </w:r>
          </w:p>
        </w:tc>
        <w:tc>
          <w:tcPr>
            <w:tcW w:w="3618" w:type="dxa"/>
          </w:tcPr>
          <w:p w14:paraId="4DE221A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Срок выполнения</w:t>
            </w:r>
          </w:p>
        </w:tc>
        <w:tc>
          <w:tcPr>
            <w:tcW w:w="2410" w:type="dxa"/>
          </w:tcPr>
          <w:p w14:paraId="7731549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каком состоянии находится задание </w:t>
            </w:r>
          </w:p>
        </w:tc>
      </w:tr>
      <w:tr w:rsidR="00A259BD" w:rsidRPr="00A259BD" w14:paraId="21BEC71E" w14:textId="77777777">
        <w:tc>
          <w:tcPr>
            <w:tcW w:w="2214" w:type="dxa"/>
          </w:tcPr>
          <w:p w14:paraId="09FCBBC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ТБ1</w:t>
            </w:r>
          </w:p>
        </w:tc>
        <w:tc>
          <w:tcPr>
            <w:tcW w:w="2214" w:type="dxa"/>
          </w:tcPr>
          <w:p w14:paraId="3FBC9C8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618" w:type="dxa"/>
          </w:tcPr>
          <w:p w14:paraId="41CED69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передан в ЦАГИ для устранения недостатков</w:t>
            </w:r>
          </w:p>
        </w:tc>
        <w:tc>
          <w:tcPr>
            <w:tcW w:w="2410" w:type="dxa"/>
          </w:tcPr>
          <w:p w14:paraId="370A507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244130B" w14:textId="77777777">
        <w:tc>
          <w:tcPr>
            <w:tcW w:w="2214" w:type="dxa"/>
          </w:tcPr>
          <w:p w14:paraId="2EE99F7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И IV Ю-VI</w:t>
            </w:r>
          </w:p>
        </w:tc>
        <w:tc>
          <w:tcPr>
            <w:tcW w:w="2214" w:type="dxa"/>
          </w:tcPr>
          <w:p w14:paraId="539782B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618" w:type="dxa"/>
          </w:tcPr>
          <w:p w14:paraId="767E117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передан в ЦАГИ для устранения перегрева мотора</w:t>
            </w:r>
          </w:p>
        </w:tc>
        <w:tc>
          <w:tcPr>
            <w:tcW w:w="2410" w:type="dxa"/>
          </w:tcPr>
          <w:p w14:paraId="5D723AB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8675704" w14:textId="77777777">
        <w:tc>
          <w:tcPr>
            <w:tcW w:w="2214" w:type="dxa"/>
          </w:tcPr>
          <w:p w14:paraId="089B512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Р-III БМВ</w:t>
            </w:r>
          </w:p>
        </w:tc>
        <w:tc>
          <w:tcPr>
            <w:tcW w:w="2214" w:type="dxa"/>
          </w:tcPr>
          <w:p w14:paraId="498636C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618" w:type="dxa"/>
          </w:tcPr>
          <w:p w14:paraId="3CF0D57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Задерживается отсутствием подобранной смеси для мотора</w:t>
            </w:r>
          </w:p>
        </w:tc>
        <w:tc>
          <w:tcPr>
            <w:tcW w:w="2410" w:type="dxa"/>
          </w:tcPr>
          <w:p w14:paraId="7E3AFF7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0823F04" w14:textId="77777777">
        <w:tc>
          <w:tcPr>
            <w:tcW w:w="2214" w:type="dxa"/>
          </w:tcPr>
          <w:p w14:paraId="6F8205B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И-3</w:t>
            </w:r>
          </w:p>
        </w:tc>
        <w:tc>
          <w:tcPr>
            <w:tcW w:w="2214" w:type="dxa"/>
          </w:tcPr>
          <w:p w14:paraId="6A2373A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618" w:type="dxa"/>
          </w:tcPr>
          <w:p w14:paraId="6D18FD3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передан на завод для устранения недостатков</w:t>
            </w:r>
          </w:p>
        </w:tc>
        <w:tc>
          <w:tcPr>
            <w:tcW w:w="2410" w:type="dxa"/>
          </w:tcPr>
          <w:p w14:paraId="72B763F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05DF44F" w14:textId="77777777">
        <w:tc>
          <w:tcPr>
            <w:tcW w:w="2214" w:type="dxa"/>
          </w:tcPr>
          <w:p w14:paraId="1FB838E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Р-V</w:t>
            </w:r>
          </w:p>
        </w:tc>
        <w:tc>
          <w:tcPr>
            <w:tcW w:w="2214" w:type="dxa"/>
          </w:tcPr>
          <w:p w14:paraId="796C7F9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618" w:type="dxa"/>
          </w:tcPr>
          <w:p w14:paraId="5268931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процессе выполнения</w:t>
            </w:r>
          </w:p>
        </w:tc>
        <w:tc>
          <w:tcPr>
            <w:tcW w:w="2410" w:type="dxa"/>
          </w:tcPr>
          <w:p w14:paraId="10E0EFD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4F722F1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(6953, 1-5).</w:t>
      </w:r>
    </w:p>
    <w:p w14:paraId="6A84C47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71FDE6" w14:textId="77777777" w:rsidR="00FD5D1A" w:rsidRPr="00A259BD" w:rsidRDefault="00FD5D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январе 1929 года в 55-й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имелось 6 самолетов ЮГ-1, а у в57-й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 5, которые базировались тогда па аэродроме Кречевицы. Пилоты имели налет от 5 до 18 часов в месяц. Увеличение его сдерживалось частыми случаями отказа </w:t>
      </w:r>
      <w:proofErr w:type="spellStart"/>
      <w:r w:rsidRPr="00A259BD">
        <w:rPr>
          <w:rFonts w:ascii="Times New Roman" w:hAnsi="Times New Roman"/>
          <w:color w:val="000000" w:themeColor="text1"/>
          <w:sz w:val="16"/>
          <w:szCs w:val="16"/>
        </w:rPr>
        <w:t>мо</w:t>
      </w:r>
      <w:proofErr w:type="spellEnd"/>
      <w:r w:rsidRPr="00A259BD">
        <w:rPr>
          <w:rFonts w:ascii="Times New Roman" w:hAnsi="Times New Roman"/>
          <w:color w:val="000000" w:themeColor="text1"/>
          <w:sz w:val="16"/>
          <w:szCs w:val="16"/>
        </w:rPr>
        <w:t xml:space="preserve"> торов, а зимой еще и поломками немецких лыж. С октября 1928 года по октябрь 1929 года двигатели L.5 15 раз отказывали в полете. Прогорали и трескались поршни. 4 сентября 1929 года самолет летчика Шанина из-за отказа левого мотора на взлете развернуло на 90°. Бомбардировщик грохнулся на землю и встал на нос. Ударом сломало правое колесо, сорвало покрышку, сломало винты и смяло обтекатель дополнительного радиатора центрального мотора.</w:t>
      </w:r>
    </w:p>
    <w:p w14:paraId="6A260CE9" w14:textId="77777777" w:rsidR="00FD5D1A" w:rsidRPr="00A259BD" w:rsidRDefault="00FD5D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Однако в то время невысокая надежность двигателей считалась нормой, и L.5 не выделялся в этом отношении в худшую сторону. К тому же наземный состав все лучше осваивал их эксплуатацию, предупреждая возможные отказы.</w:t>
      </w:r>
    </w:p>
    <w:p w14:paraId="50CA34DE" w14:textId="77777777" w:rsidR="00FD5D1A" w:rsidRPr="00A259BD" w:rsidRDefault="00FD5D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Самолеты заправлялись смесью из 40% толуола и 60% краснодарского бензина.</w:t>
      </w:r>
    </w:p>
    <w:p w14:paraId="785AFA8B" w14:textId="77777777" w:rsidR="00FD5D1A" w:rsidRPr="00A259BD" w:rsidRDefault="00FD5D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Приказом начальника ВВС ЛВО от 31 октября 1929 года качество смеси требовалось тщательно контролировать. Строжайше запрещалось доливать в радиаторы некипяченую воду. Надо сказать, что и на чистом бензине, и на </w:t>
      </w:r>
      <w:proofErr w:type="spellStart"/>
      <w:r w:rsidRPr="00A259BD">
        <w:rPr>
          <w:rFonts w:ascii="Times New Roman" w:hAnsi="Times New Roman"/>
          <w:color w:val="000000" w:themeColor="text1"/>
          <w:sz w:val="16"/>
          <w:szCs w:val="16"/>
        </w:rPr>
        <w:t>толуольной</w:t>
      </w:r>
      <w:proofErr w:type="spellEnd"/>
      <w:r w:rsidRPr="00A259BD">
        <w:rPr>
          <w:rFonts w:ascii="Times New Roman" w:hAnsi="Times New Roman"/>
          <w:color w:val="000000" w:themeColor="text1"/>
          <w:sz w:val="16"/>
          <w:szCs w:val="16"/>
        </w:rPr>
        <w:t xml:space="preserve"> смеси уже при температуре –8°С немецкие моторы заводились плохо и вообще боялись переохлаждения.</w:t>
      </w:r>
    </w:p>
    <w:p w14:paraId="554A94CA" w14:textId="77777777" w:rsidR="00FD5D1A" w:rsidRPr="00A259BD" w:rsidRDefault="00FD5D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Первоначально предполагалось, что отечественные заводы смогут выпускать широкую номенклатуру запчастей к ЮГ-1. Предписывалось освоить производство колес, радиаторов, шасси, капотов, моторам, консолей крыла, элеронов, оперения, </w:t>
      </w:r>
      <w:proofErr w:type="spellStart"/>
      <w:r w:rsidRPr="00A259BD">
        <w:rPr>
          <w:rFonts w:ascii="Times New Roman" w:hAnsi="Times New Roman"/>
          <w:color w:val="000000" w:themeColor="text1"/>
          <w:sz w:val="16"/>
          <w:szCs w:val="16"/>
        </w:rPr>
        <w:t>бензо</w:t>
      </w:r>
      <w:proofErr w:type="spellEnd"/>
      <w:r w:rsidRPr="00A259BD">
        <w:rPr>
          <w:rFonts w:ascii="Times New Roman" w:hAnsi="Times New Roman"/>
          <w:color w:val="000000" w:themeColor="text1"/>
          <w:sz w:val="16"/>
          <w:szCs w:val="16"/>
        </w:rPr>
        <w:t xml:space="preserve">- и маслобаков, поплавков. Но на практике оказалось, что предприятия либо не имеют надлежащего оборудования и специалистов, либо перегружены другими заказами. Отсутствовало необходимое сырье и полуфабрикаты. Дюралевый гофрированный лист и стальные трубы везли из Германии. В июне 1929 года производство </w:t>
      </w:r>
      <w:proofErr w:type="spellStart"/>
      <w:r w:rsidRPr="00A259BD">
        <w:rPr>
          <w:rFonts w:ascii="Times New Roman" w:hAnsi="Times New Roman"/>
          <w:color w:val="000000" w:themeColor="text1"/>
          <w:sz w:val="16"/>
          <w:szCs w:val="16"/>
        </w:rPr>
        <w:t>гофролиста</w:t>
      </w:r>
      <w:proofErr w:type="spellEnd"/>
      <w:r w:rsidRPr="00A259BD">
        <w:rPr>
          <w:rFonts w:ascii="Times New Roman" w:hAnsi="Times New Roman"/>
          <w:color w:val="000000" w:themeColor="text1"/>
          <w:sz w:val="16"/>
          <w:szCs w:val="16"/>
        </w:rPr>
        <w:t xml:space="preserve"> освоили в мастерских склада № 17 ВВС Балтфлота, но делали его в полукустарных условиях и немного — только на заплатки. Лишь подняв общий уровень отечественной промышленности, удалось не только в полной мере наладить ремонт ЮГ-1, но и фактически строить их (о чем речь пойдет ниже).</w:t>
      </w:r>
    </w:p>
    <w:p w14:paraId="293AF19C" w14:textId="77777777" w:rsidR="00FD5D1A" w:rsidRPr="00A259BD" w:rsidRDefault="00FD5D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учетом опыта эксплуатации в СССР немецкие самолеты дорабатывались. Бомбардировщики сухопутных эскадрилий ЛВО в феврале 1929 года получили храповики на втулки винтов для запуска моторов автостартером. В 62-й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оснастили свои машины пневматическими стартерами «Бристоль». На Черном море успели укомплектовать самолеты отечественными радиостанциями 18-С (примерно с теми же данными, что и у AD-6F, но более надежными).</w:t>
      </w:r>
    </w:p>
    <w:p w14:paraId="5553BA8C" w14:textId="77777777" w:rsidR="00FD5D1A" w:rsidRPr="00A259BD" w:rsidRDefault="00FD5D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Известно два случая переделки вооружения «юнкерса». В августе 1928 года на самолете №945 (личном начальника ВВС) сменили немецкие турели на наши ТОЗ, установили бомбодержатели Дер-6бис. На №946 в июле 1929 года в НИИ ВВС поставили Тур-4.</w:t>
      </w:r>
    </w:p>
    <w:p w14:paraId="082874A4" w14:textId="77777777" w:rsidR="00FD5D1A" w:rsidRPr="00A259BD" w:rsidRDefault="00FD5D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Несмотря на ряд недостатков, общая надежность ЮГ-1 была выше, чем у многих отечественных машин и значительно выше, чем у французских «Голиафов». В 1930 года 55-ю и 57-ю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признали лучшими по безаварийности полетов в Ленинградском округе (15479).</w:t>
      </w:r>
    </w:p>
    <w:p w14:paraId="130F5AA6" w14:textId="77777777" w:rsidR="00FD5D1A" w:rsidRPr="00A259BD" w:rsidRDefault="00FD5D1A" w:rsidP="009236E3">
      <w:pPr>
        <w:spacing w:after="0" w:line="240" w:lineRule="auto"/>
        <w:jc w:val="both"/>
        <w:rPr>
          <w:rFonts w:ascii="Times New Roman" w:hAnsi="Times New Roman"/>
          <w:color w:val="000000" w:themeColor="text1"/>
          <w:sz w:val="16"/>
          <w:szCs w:val="16"/>
        </w:rPr>
      </w:pPr>
    </w:p>
    <w:p w14:paraId="08184AAD" w14:textId="77777777" w:rsidR="001670D6" w:rsidRPr="00A259BD" w:rsidRDefault="001670D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 1929 утверждены переделки мотора М-12, касающиеся 30 деталей, и изготовлено два двигателя, которые опять дали неудовлетворитель</w:t>
      </w:r>
      <w:r w:rsidRPr="00A259BD">
        <w:rPr>
          <w:rFonts w:ascii="Times New Roman" w:hAnsi="Times New Roman"/>
          <w:color w:val="000000" w:themeColor="text1"/>
          <w:sz w:val="16"/>
          <w:szCs w:val="16"/>
        </w:rPr>
        <w:softHyphen/>
        <w:t xml:space="preserve">ные результаты. После этого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постановило прекратить все работы по М-12. Из оставшихся заготовок рекомендовалось изготовить 15 двигателей для аэросаней с пониженной до 80 л.с. мощностью, сделав при этом неразъемными части коленчатого вала (22518).</w:t>
      </w:r>
    </w:p>
    <w:p w14:paraId="26F584DF" w14:textId="77777777" w:rsidR="001670D6" w:rsidRPr="00A259BD" w:rsidRDefault="001670D6" w:rsidP="009236E3">
      <w:pPr>
        <w:spacing w:after="0" w:line="240" w:lineRule="auto"/>
        <w:jc w:val="both"/>
        <w:rPr>
          <w:rFonts w:ascii="Times New Roman" w:hAnsi="Times New Roman"/>
          <w:color w:val="000000" w:themeColor="text1"/>
          <w:sz w:val="16"/>
          <w:szCs w:val="16"/>
        </w:rPr>
      </w:pPr>
    </w:p>
    <w:p w14:paraId="4F154614" w14:textId="77777777" w:rsidR="00FD5D1A" w:rsidRPr="00A259BD" w:rsidRDefault="00FD5D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 1929 года УВВС констатировало: «Лыжи ЮГ-1 построены со всеми недостатками, отмеченными в акте комиссии, испытывавшей образцы лыж в 1928 году».</w:t>
      </w:r>
    </w:p>
    <w:p w14:paraId="7E2E5ACF" w14:textId="77777777" w:rsidR="00FD5D1A" w:rsidRPr="00A259BD" w:rsidRDefault="00FD5D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Немецкие лыжи неоднократно пытались заменить отечественными. Первыми были лыжи инженера Лобанова. Эти лыжи смешанной конструкции имели большую площадь, чем немецкие. Их особенностью являлись аэродинамические стабилизаторы и свинцовые грузы, обеспечивавшие горизонтальное положение лыж в полете. При испытаниях лыж Лобанова в октябре 1927 года потерпел аварию самолет №980 — лыжи при посадке встали почти вертикально. При доработке конструкции стабилизаторы и грузы убрали, заменив традиционной системой расчалок и резиновых шнуров. В таком виде лыжи 18 октября 1928 года были утверждены НТК и запущены затем в производство на московском заводе № 28. В сентябре 1928 года на этом предприятии инженер </w:t>
      </w:r>
      <w:proofErr w:type="spellStart"/>
      <w:r w:rsidRPr="00A259BD">
        <w:rPr>
          <w:rFonts w:ascii="Times New Roman" w:hAnsi="Times New Roman"/>
          <w:color w:val="000000" w:themeColor="text1"/>
          <w:sz w:val="16"/>
          <w:szCs w:val="16"/>
        </w:rPr>
        <w:t>Малынин</w:t>
      </w:r>
      <w:proofErr w:type="spellEnd"/>
      <w:r w:rsidRPr="00A259BD">
        <w:rPr>
          <w:rFonts w:ascii="Times New Roman" w:hAnsi="Times New Roman"/>
          <w:color w:val="000000" w:themeColor="text1"/>
          <w:sz w:val="16"/>
          <w:szCs w:val="16"/>
        </w:rPr>
        <w:t xml:space="preserve"> предложил усовершенствованный их вариант с носком, поднятым па 100 мм и иной конструкцией амортизатора (15479).</w:t>
      </w:r>
    </w:p>
    <w:p w14:paraId="535EA678" w14:textId="77777777" w:rsidR="00FD5D1A" w:rsidRPr="00A259BD" w:rsidRDefault="00FD5D1A" w:rsidP="009236E3">
      <w:pPr>
        <w:spacing w:after="0" w:line="240" w:lineRule="auto"/>
        <w:jc w:val="both"/>
        <w:rPr>
          <w:rFonts w:ascii="Times New Roman" w:hAnsi="Times New Roman"/>
          <w:color w:val="000000" w:themeColor="text1"/>
          <w:sz w:val="16"/>
          <w:szCs w:val="16"/>
        </w:rPr>
      </w:pPr>
    </w:p>
    <w:p w14:paraId="712519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 1929 г. УВВС констатировало: "Лыжи ЮГ-1 построены со всеми недостатками, отмеченными в акте комиссии, испытывавшей образцы лыж в 1928 г." Зимой 1928-1929 гг., когда снега было мало, даже пришлось временно прекратить полеты из-за поломок полоза (3224,15).</w:t>
      </w:r>
    </w:p>
    <w:p w14:paraId="374BFC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91BE4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 1929 года с принятием программы создания воздушного флота РККА и пятилетнего плана его опытного строительства особое внимание стало уделяться бомбардировочной и истребительной авиации. Усиленно трудился по этой программе коллектив завода № 23. Так, в 1931-м выпуск здесь основной продукции по заказам оборонного ведомства составил: самолетов У-1 — 200 штук, У-2 — 360, И-1 бис — 1; групповых и одиночных ремонтных комплектов для У-2 соответственно — 60 и 200 штук. Кроме того, предприятие производило учебные и пассажирские самолеты для гражданских организаций страны. Доходы, полученные им, дали возможность в том же году произвести реконструкцию цехов под выпуск новой продукции на общую сумму 2 млн. 201,3 тыс. рублей и капитальный ремонт на 69,8 тыс. рублей (Там же. Ф. 1629. Оп. 8. Д. 222. Л. 2.), что позволило в последующем увеличить выпуск самолетов и запасных частей к ним. Например, в 1932 году было произведено 575 У-2, 97 групповых и 100 одиночных ремонтных комплектов к ним. Всего за этот год продукции военного назначения было выпущено на сумму 6 млн. 861 тыс. 247 рублей, а по заказам гражданских организаций — 290 самолетов (Там же. Л. 9.) (11176).</w:t>
      </w:r>
    </w:p>
    <w:p w14:paraId="3E20A9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172A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 1929 года начальником IV Управления Штаба РККА (военная разведка</w:t>
      </w:r>
      <w:r w:rsidRPr="00A259BD">
        <w:rPr>
          <w:rFonts w:ascii="Times New Roman" w:hAnsi="Times New Roman"/>
          <w:iCs/>
          <w:color w:val="000000" w:themeColor="text1"/>
          <w:sz w:val="16"/>
          <w:szCs w:val="16"/>
        </w:rPr>
        <w:t xml:space="preserve"> )</w:t>
      </w: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Я.Берзиным</w:t>
      </w:r>
      <w:proofErr w:type="spellEnd"/>
      <w:r w:rsidRPr="00A259BD">
        <w:rPr>
          <w:rFonts w:ascii="Times New Roman" w:hAnsi="Times New Roman"/>
          <w:color w:val="000000" w:themeColor="text1"/>
          <w:sz w:val="16"/>
          <w:szCs w:val="16"/>
        </w:rPr>
        <w:t xml:space="preserve"> секретной справке расходы, связанные с капитальным строительством на липецком объекте, составили в 1925 году 120 тыс. руб., в 1926-230 тыс. руб., в 1927-1928 гг. — 750 тыс. руб. (Дьяков Ю. Л., Бушуева Т. С. Фашистский меч ковался в СССР... С. 169-170) (11208).</w:t>
      </w:r>
    </w:p>
    <w:p w14:paraId="41B401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98ED2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2CF733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841B0F" w14:textId="77777777" w:rsidR="00BB2D6C" w:rsidRPr="00A259BD" w:rsidRDefault="00BB2D6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 1929 г. в справке СО по докладу ВСНХ о состоянии мобилизационной готовности отмечались как положительные моменты, связанные с переходом экономики на плановые осно</w:t>
      </w:r>
      <w:r w:rsidRPr="00A259BD">
        <w:rPr>
          <w:rFonts w:ascii="Times New Roman" w:hAnsi="Times New Roman"/>
          <w:color w:val="000000" w:themeColor="text1"/>
          <w:sz w:val="16"/>
          <w:szCs w:val="16"/>
        </w:rPr>
        <w:softHyphen/>
        <w:t>вы, так и отрицательные, обусловленные ограниченностью име</w:t>
      </w:r>
      <w:r w:rsidRPr="00A259BD">
        <w:rPr>
          <w:rFonts w:ascii="Times New Roman" w:hAnsi="Times New Roman"/>
          <w:color w:val="000000" w:themeColor="text1"/>
          <w:sz w:val="16"/>
          <w:szCs w:val="16"/>
        </w:rPr>
        <w:softHyphen/>
        <w:t>ющихся предпосылок. Отсутствие и дефицит материалов, нали</w:t>
      </w:r>
      <w:r w:rsidRPr="00A259BD">
        <w:rPr>
          <w:rFonts w:ascii="Times New Roman" w:hAnsi="Times New Roman"/>
          <w:color w:val="000000" w:themeColor="text1"/>
          <w:sz w:val="16"/>
          <w:szCs w:val="16"/>
        </w:rPr>
        <w:softHyphen/>
        <w:t xml:space="preserve">чие узких мест, говорилось в справке, делает планируемое </w:t>
      </w:r>
      <w:proofErr w:type="spellStart"/>
      <w:r w:rsidRPr="00A259BD">
        <w:rPr>
          <w:rFonts w:ascii="Times New Roman" w:hAnsi="Times New Roman"/>
          <w:color w:val="000000" w:themeColor="text1"/>
          <w:sz w:val="16"/>
          <w:szCs w:val="16"/>
        </w:rPr>
        <w:t>моб</w:t>
      </w:r>
      <w:r w:rsidRPr="00A259BD">
        <w:rPr>
          <w:rFonts w:ascii="Times New Roman" w:hAnsi="Times New Roman"/>
          <w:color w:val="000000" w:themeColor="text1"/>
          <w:sz w:val="16"/>
          <w:szCs w:val="16"/>
        </w:rPr>
        <w:softHyphen/>
        <w:t>развитие</w:t>
      </w:r>
      <w:proofErr w:type="spellEnd"/>
      <w:r w:rsidRPr="00A259BD">
        <w:rPr>
          <w:rFonts w:ascii="Times New Roman" w:hAnsi="Times New Roman"/>
          <w:color w:val="000000" w:themeColor="text1"/>
          <w:sz w:val="16"/>
          <w:szCs w:val="16"/>
        </w:rPr>
        <w:t xml:space="preserve"> нереальным. Основные недостатки заявки НКВМ на военное время: а) жесткость технических условий, которые не диктуются необходимостью; б) недоучет производственных воз</w:t>
      </w:r>
      <w:r w:rsidRPr="00A259BD">
        <w:rPr>
          <w:rFonts w:ascii="Times New Roman" w:hAnsi="Times New Roman"/>
          <w:color w:val="000000" w:themeColor="text1"/>
          <w:sz w:val="16"/>
          <w:szCs w:val="16"/>
        </w:rPr>
        <w:softHyphen/>
        <w:t>можностей промышленности; в) необеспеченность плановых цифр материальными ресурсами. Наращивание производствен</w:t>
      </w:r>
      <w:r w:rsidRPr="00A259BD">
        <w:rPr>
          <w:rFonts w:ascii="Times New Roman" w:hAnsi="Times New Roman"/>
          <w:color w:val="000000" w:themeColor="text1"/>
          <w:sz w:val="16"/>
          <w:szCs w:val="16"/>
        </w:rPr>
        <w:softHyphen/>
        <w:t xml:space="preserve">ных мощностей, начиная с 1927 г., не может удовлетворить и 10% трехлетней заявки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Резкое расширение капиталовложе</w:t>
      </w:r>
      <w:r w:rsidRPr="00A259BD">
        <w:rPr>
          <w:rFonts w:ascii="Times New Roman" w:hAnsi="Times New Roman"/>
          <w:color w:val="000000" w:themeColor="text1"/>
          <w:sz w:val="16"/>
          <w:szCs w:val="16"/>
        </w:rPr>
        <w:softHyphen/>
        <w:t>ний в 1927-1929 гг. и новое строительство идет с большими тру</w:t>
      </w:r>
      <w:r w:rsidRPr="00A259BD">
        <w:rPr>
          <w:rFonts w:ascii="Times New Roman" w:hAnsi="Times New Roman"/>
          <w:color w:val="000000" w:themeColor="text1"/>
          <w:sz w:val="16"/>
          <w:szCs w:val="16"/>
        </w:rPr>
        <w:softHyphen/>
        <w:t>дностями и эффекта пока не дает. Как в трехлетнем плане, так и в перспективах на всю пятилетку отмечалась крайняя пестрота заданий, нарушение пропорций. Говорилось, что хотя в плане С-30 есть попытки усилить ассимиляцию с гражданской промыш</w:t>
      </w:r>
      <w:r w:rsidRPr="00A259BD">
        <w:rPr>
          <w:rFonts w:ascii="Times New Roman" w:hAnsi="Times New Roman"/>
          <w:color w:val="000000" w:themeColor="text1"/>
          <w:sz w:val="16"/>
          <w:szCs w:val="16"/>
        </w:rPr>
        <w:softHyphen/>
        <w:t>ленностью, однако она была не закончена, плохо проработан во</w:t>
      </w:r>
      <w:r w:rsidRPr="00A259BD">
        <w:rPr>
          <w:rFonts w:ascii="Times New Roman" w:hAnsi="Times New Roman"/>
          <w:color w:val="000000" w:themeColor="text1"/>
          <w:sz w:val="16"/>
          <w:szCs w:val="16"/>
        </w:rPr>
        <w:softHyphen/>
        <w:t>прос о “кустовании” предприятий, отмечалась сильная зависи</w:t>
      </w:r>
      <w:r w:rsidRPr="00A259BD">
        <w:rPr>
          <w:rFonts w:ascii="Times New Roman" w:hAnsi="Times New Roman"/>
          <w:color w:val="000000" w:themeColor="text1"/>
          <w:sz w:val="16"/>
          <w:szCs w:val="16"/>
        </w:rPr>
        <w:softHyphen/>
        <w:t>мость от импорта. Хотя были предприняты шаги для создания во</w:t>
      </w:r>
      <w:r w:rsidRPr="00A259BD">
        <w:rPr>
          <w:rFonts w:ascii="Times New Roman" w:hAnsi="Times New Roman"/>
          <w:color w:val="000000" w:themeColor="text1"/>
          <w:sz w:val="16"/>
          <w:szCs w:val="16"/>
        </w:rPr>
        <w:softHyphen/>
        <w:t>енных ячеек на гражданских предприятиях, но их создание тор</w:t>
      </w:r>
      <w:r w:rsidRPr="00A259BD">
        <w:rPr>
          <w:rFonts w:ascii="Times New Roman" w:hAnsi="Times New Roman"/>
          <w:color w:val="000000" w:themeColor="text1"/>
          <w:sz w:val="16"/>
          <w:szCs w:val="16"/>
        </w:rPr>
        <w:softHyphen/>
        <w:t xml:space="preserve">мозится отсутствием достаточных заказов НКВМ. Трехлетняя заявка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может быть выполнена, говорилось в справке, но сомнение вызывает автостроение, есть проблемы с порохами и аммиаком. Еще одна трудность заключалась в том, что не бы</w:t>
      </w:r>
      <w:r w:rsidRPr="00A259BD">
        <w:rPr>
          <w:rFonts w:ascii="Times New Roman" w:hAnsi="Times New Roman"/>
          <w:color w:val="000000" w:themeColor="text1"/>
          <w:sz w:val="16"/>
          <w:szCs w:val="16"/>
        </w:rPr>
        <w:softHyphen/>
        <w:t>ло данных о военных возможностях гражданской промышленно</w:t>
      </w:r>
      <w:r w:rsidRPr="00A259BD">
        <w:rPr>
          <w:rFonts w:ascii="Times New Roman" w:hAnsi="Times New Roman"/>
          <w:color w:val="000000" w:themeColor="text1"/>
          <w:sz w:val="16"/>
          <w:szCs w:val="16"/>
        </w:rPr>
        <w:softHyphen/>
        <w:t>сти, чертежей и технических условий, отсутствовали научно-ис</w:t>
      </w:r>
      <w:r w:rsidRPr="00A259BD">
        <w:rPr>
          <w:rFonts w:ascii="Times New Roman" w:hAnsi="Times New Roman"/>
          <w:color w:val="000000" w:themeColor="text1"/>
          <w:sz w:val="16"/>
          <w:szCs w:val="16"/>
        </w:rPr>
        <w:softHyphen/>
        <w:t>следовательские работы.</w:t>
      </w:r>
    </w:p>
    <w:p w14:paraId="160F07FC" w14:textId="77777777" w:rsidR="00BB2D6C" w:rsidRPr="00A259BD" w:rsidRDefault="00BB2D6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Если в докладе ВСНХ еще прослеживались оптимистические нотки в отношении </w:t>
      </w:r>
      <w:proofErr w:type="spellStart"/>
      <w:r w:rsidRPr="00A259BD">
        <w:rPr>
          <w:rFonts w:ascii="Times New Roman" w:hAnsi="Times New Roman"/>
          <w:color w:val="000000" w:themeColor="text1"/>
          <w:sz w:val="16"/>
          <w:szCs w:val="16"/>
        </w:rPr>
        <w:t>мобготовности</w:t>
      </w:r>
      <w:proofErr w:type="spellEnd"/>
      <w:r w:rsidRPr="00A259BD">
        <w:rPr>
          <w:rFonts w:ascii="Times New Roman" w:hAnsi="Times New Roman"/>
          <w:color w:val="000000" w:themeColor="text1"/>
          <w:sz w:val="16"/>
          <w:szCs w:val="16"/>
        </w:rPr>
        <w:t>, то в РВС он был подвергнут уничтожающей критике. С созданием МПУ, говорилось в поста</w:t>
      </w:r>
      <w:r w:rsidRPr="00A259BD">
        <w:rPr>
          <w:rFonts w:ascii="Times New Roman" w:hAnsi="Times New Roman"/>
          <w:color w:val="000000" w:themeColor="text1"/>
          <w:sz w:val="16"/>
          <w:szCs w:val="16"/>
        </w:rPr>
        <w:softHyphen/>
        <w:t xml:space="preserve">новлении РВС, мобилизационная работа несколько улучшилась, однако представляемые </w:t>
      </w:r>
      <w:proofErr w:type="spellStart"/>
      <w:r w:rsidRPr="00A259BD">
        <w:rPr>
          <w:rFonts w:ascii="Times New Roman" w:hAnsi="Times New Roman"/>
          <w:color w:val="000000" w:themeColor="text1"/>
          <w:sz w:val="16"/>
          <w:szCs w:val="16"/>
        </w:rPr>
        <w:t>мобпланы</w:t>
      </w:r>
      <w:proofErr w:type="spellEnd"/>
      <w:r w:rsidRPr="00A259BD">
        <w:rPr>
          <w:rFonts w:ascii="Times New Roman" w:hAnsi="Times New Roman"/>
          <w:color w:val="000000" w:themeColor="text1"/>
          <w:sz w:val="16"/>
          <w:szCs w:val="16"/>
        </w:rPr>
        <w:t xml:space="preserve"> устарели, предполагая слиш</w:t>
      </w:r>
      <w:r w:rsidRPr="00A259BD">
        <w:rPr>
          <w:rFonts w:ascii="Times New Roman" w:hAnsi="Times New Roman"/>
          <w:color w:val="000000" w:themeColor="text1"/>
          <w:sz w:val="16"/>
          <w:szCs w:val="16"/>
        </w:rPr>
        <w:softHyphen/>
        <w:t>ком длительные сроки развертывания и представляли собой по сути бесплановое развитие в случае войны. По традиции все это сохранилось в плане С-30. Его реализация идет с большим запо</w:t>
      </w:r>
      <w:r w:rsidRPr="00A259BD">
        <w:rPr>
          <w:rFonts w:ascii="Times New Roman" w:hAnsi="Times New Roman"/>
          <w:color w:val="000000" w:themeColor="text1"/>
          <w:sz w:val="16"/>
          <w:szCs w:val="16"/>
        </w:rPr>
        <w:softHyphen/>
        <w:t>зданием, что в современной обстановке недопустимо. В отличие от “радужного” доклада ВСНХ, РВС констатировал крайне не</w:t>
      </w:r>
      <w:r w:rsidRPr="00A259BD">
        <w:rPr>
          <w:rFonts w:ascii="Times New Roman" w:hAnsi="Times New Roman"/>
          <w:color w:val="000000" w:themeColor="text1"/>
          <w:sz w:val="16"/>
          <w:szCs w:val="16"/>
        </w:rPr>
        <w:softHyphen/>
        <w:t xml:space="preserve">благоприятное положение с </w:t>
      </w:r>
      <w:proofErr w:type="spellStart"/>
      <w:r w:rsidRPr="00A259BD">
        <w:rPr>
          <w:rFonts w:ascii="Times New Roman" w:hAnsi="Times New Roman"/>
          <w:color w:val="000000" w:themeColor="text1"/>
          <w:sz w:val="16"/>
          <w:szCs w:val="16"/>
        </w:rPr>
        <w:t>мобразвертыванием</w:t>
      </w:r>
      <w:proofErr w:type="spellEnd"/>
      <w:r w:rsidRPr="00A259BD">
        <w:rPr>
          <w:rFonts w:ascii="Times New Roman" w:hAnsi="Times New Roman"/>
          <w:color w:val="000000" w:themeColor="text1"/>
          <w:sz w:val="16"/>
          <w:szCs w:val="16"/>
        </w:rPr>
        <w:t>, указывая на не</w:t>
      </w:r>
      <w:r w:rsidRPr="00A259BD">
        <w:rPr>
          <w:rFonts w:ascii="Times New Roman" w:hAnsi="Times New Roman"/>
          <w:color w:val="000000" w:themeColor="text1"/>
          <w:sz w:val="16"/>
          <w:szCs w:val="16"/>
        </w:rPr>
        <w:softHyphen/>
        <w:t xml:space="preserve">обходимость </w:t>
      </w:r>
      <w:r w:rsidRPr="00A259BD">
        <w:rPr>
          <w:rFonts w:ascii="Times New Roman" w:hAnsi="Times New Roman"/>
          <w:iCs/>
          <w:color w:val="000000" w:themeColor="text1"/>
          <w:sz w:val="16"/>
          <w:szCs w:val="16"/>
        </w:rPr>
        <w:t>усилить темпы.</w:t>
      </w:r>
      <w:r w:rsidRPr="00A259BD">
        <w:rPr>
          <w:rFonts w:ascii="Times New Roman" w:hAnsi="Times New Roman"/>
          <w:color w:val="000000" w:themeColor="text1"/>
          <w:sz w:val="16"/>
          <w:szCs w:val="16"/>
        </w:rPr>
        <w:t xml:space="preserve"> Свою же задачу </w:t>
      </w:r>
      <w:proofErr w:type="spellStart"/>
      <w:r w:rsidRPr="00A259BD">
        <w:rPr>
          <w:rFonts w:ascii="Times New Roman" w:hAnsi="Times New Roman"/>
          <w:color w:val="000000" w:themeColor="text1"/>
          <w:sz w:val="16"/>
          <w:szCs w:val="16"/>
        </w:rPr>
        <w:t>военвед</w:t>
      </w:r>
      <w:proofErr w:type="spellEnd"/>
      <w:r w:rsidRPr="00A259BD">
        <w:rPr>
          <w:rFonts w:ascii="Times New Roman" w:hAnsi="Times New Roman"/>
          <w:color w:val="000000" w:themeColor="text1"/>
          <w:sz w:val="16"/>
          <w:szCs w:val="16"/>
        </w:rPr>
        <w:t xml:space="preserve"> видел в своевременном представлении заявок, предусматривающих ре</w:t>
      </w:r>
      <w:r w:rsidRPr="00A259BD">
        <w:rPr>
          <w:rFonts w:ascii="Times New Roman" w:hAnsi="Times New Roman"/>
          <w:color w:val="000000" w:themeColor="text1"/>
          <w:sz w:val="16"/>
          <w:szCs w:val="16"/>
        </w:rPr>
        <w:softHyphen/>
        <w:t xml:space="preserve">сурсы </w:t>
      </w:r>
      <w:r w:rsidRPr="00A259BD">
        <w:rPr>
          <w:rFonts w:ascii="Times New Roman" w:hAnsi="Times New Roman"/>
          <w:iCs/>
          <w:color w:val="000000" w:themeColor="text1"/>
          <w:sz w:val="16"/>
          <w:szCs w:val="16"/>
        </w:rPr>
        <w:t>для сверхпланового развития.</w:t>
      </w:r>
      <w:r w:rsidRPr="00A259BD">
        <w:rPr>
          <w:rFonts w:ascii="Times New Roman" w:hAnsi="Times New Roman"/>
          <w:color w:val="000000" w:themeColor="text1"/>
          <w:sz w:val="16"/>
          <w:szCs w:val="16"/>
        </w:rPr>
        <w:t xml:space="preserve"> Постановление РВС говорило о необходимости уменьшить сроки разработки новых образцов и их внедрения в серию, удешевить военную продукцию, усилить импорт, одновременно создавая предпосылки для освобождения от иностранной зависимости. В качестве ударной и боевой задачи наркомату РКИ предлагалось провести масштабную проверку </w:t>
      </w:r>
      <w:proofErr w:type="spellStart"/>
      <w:r w:rsidRPr="00A259BD">
        <w:rPr>
          <w:rFonts w:ascii="Times New Roman" w:hAnsi="Times New Roman"/>
          <w:color w:val="000000" w:themeColor="text1"/>
          <w:sz w:val="16"/>
          <w:szCs w:val="16"/>
        </w:rPr>
        <w:t>мобготовности</w:t>
      </w:r>
      <w:proofErr w:type="spellEnd"/>
      <w:r w:rsidRPr="00A259BD">
        <w:rPr>
          <w:rFonts w:ascii="Times New Roman" w:hAnsi="Times New Roman"/>
          <w:color w:val="000000" w:themeColor="text1"/>
          <w:sz w:val="16"/>
          <w:szCs w:val="16"/>
        </w:rPr>
        <w:t xml:space="preserve"> промышленности. Чтобы усилить внимание к опытно-конструкторским работам, </w:t>
      </w:r>
      <w:proofErr w:type="spellStart"/>
      <w:r w:rsidRPr="00A259BD">
        <w:rPr>
          <w:rFonts w:ascii="Times New Roman" w:hAnsi="Times New Roman"/>
          <w:color w:val="000000" w:themeColor="text1"/>
          <w:sz w:val="16"/>
          <w:szCs w:val="16"/>
        </w:rPr>
        <w:t>суррогатированию</w:t>
      </w:r>
      <w:proofErr w:type="spellEnd"/>
      <w:r w:rsidRPr="00A259BD">
        <w:rPr>
          <w:rFonts w:ascii="Times New Roman" w:hAnsi="Times New Roman"/>
          <w:color w:val="000000" w:themeColor="text1"/>
          <w:sz w:val="16"/>
          <w:szCs w:val="16"/>
        </w:rPr>
        <w:t>, основные подразделения в этой области РВС считало необходимым пере</w:t>
      </w:r>
      <w:r w:rsidRPr="00A259BD">
        <w:rPr>
          <w:rFonts w:ascii="Times New Roman" w:hAnsi="Times New Roman"/>
          <w:color w:val="000000" w:themeColor="text1"/>
          <w:sz w:val="16"/>
          <w:szCs w:val="16"/>
        </w:rPr>
        <w:softHyphen/>
        <w:t>дать в промышленность, возложив общее наблюдение над ними на МПУ и призывая одновременно более четко очертить обязан</w:t>
      </w:r>
      <w:r w:rsidRPr="00A259BD">
        <w:rPr>
          <w:rFonts w:ascii="Times New Roman" w:hAnsi="Times New Roman"/>
          <w:color w:val="000000" w:themeColor="text1"/>
          <w:sz w:val="16"/>
          <w:szCs w:val="16"/>
        </w:rPr>
        <w:softHyphen/>
        <w:t>ности техкомов НКВМ и научных учреждений ВСНХ. Постанов</w:t>
      </w:r>
      <w:r w:rsidRPr="00A259BD">
        <w:rPr>
          <w:rFonts w:ascii="Times New Roman" w:hAnsi="Times New Roman"/>
          <w:color w:val="000000" w:themeColor="text1"/>
          <w:sz w:val="16"/>
          <w:szCs w:val="16"/>
        </w:rPr>
        <w:softHyphen/>
        <w:t>ление предлагало в полтора месяца разработать и представить РВС положение о военной приемке в мирное и военное время. В заключение ставилась задача пересмотреть заявки НКВМ по новым вариантам 10 и 12 и внести в правительственную комиссию проект положения о мобилизации народного хозяйства (17200).</w:t>
      </w:r>
    </w:p>
    <w:p w14:paraId="59B21A00" w14:textId="77777777" w:rsidR="00BB2D6C" w:rsidRPr="00A259BD" w:rsidRDefault="00BB2D6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9C4878" w14:textId="77777777" w:rsidR="00BB2D6C" w:rsidRPr="00A259BD" w:rsidRDefault="00BB2D6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январе 1929 г. в справке СО по докладу ВСНХ о состоянии мобилизационной готовности отмечались как положительные моменты, связанные с переходом экономики на плановые основы, так и отрицательные, обусловленные ограниченностью имеющихся предпосылок. Отсутствие и дефицит материалов, наличие узких мест, говорилось в справке, делает планируемое </w:t>
      </w:r>
      <w:proofErr w:type="spellStart"/>
      <w:r w:rsidRPr="00A259BD">
        <w:rPr>
          <w:rFonts w:ascii="Times New Roman" w:hAnsi="Times New Roman"/>
          <w:color w:val="000000" w:themeColor="text1"/>
          <w:sz w:val="16"/>
          <w:szCs w:val="16"/>
        </w:rPr>
        <w:t>мобразвитие</w:t>
      </w:r>
      <w:proofErr w:type="spellEnd"/>
      <w:r w:rsidRPr="00A259BD">
        <w:rPr>
          <w:rFonts w:ascii="Times New Roman" w:hAnsi="Times New Roman"/>
          <w:color w:val="000000" w:themeColor="text1"/>
          <w:sz w:val="16"/>
          <w:szCs w:val="16"/>
        </w:rPr>
        <w:t xml:space="preserve"> нереальным. Основные недостатки заявки НКВМ на военное время: а) жесткость технических условий, которые не диктуются необходимостью; б) недоучет производственных возможностей промышленности; в) необеспеченность плановых цифр материальными ресурсами. Наращивание производственных мощностей, начиная с 1927 г., не может удовлетворить и 10% трехлетней заявки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Резкое расширение капиталовложений в 1927-1929 гг. и новое строительство идет с большими трудностями и эффекта пока не дает. Как в трехлетнем плане, так и в перспективах на всю пятилетку отмечалась крайняя пестрота заданий, нарушение пропорций. Говорилось, что хотя в плане С-30 есть попытки усилить ассимиляцию с гражданской промышленностью, однако она была не закончена, плохо проработан вопрос о “кустовании” предприятий, отмечалась сильная зависимость от импорта. Хотя были предприняты шаги для создания военных ячеек на гражданских предприятиях, но их создание тормозится отсутствием достаточных заказов НКВМ. Трехлетняя заявка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может быть выполнена, говорилось в справке, но сомнение вызывает автостроение, есть проблемы с порохами и аммиаком. Еще одна трудность заключалась в том, что не было данных о военных возможностях гражданской промышленности, чертежей и технических условий, отсутствовали научно-исследовательские работы (18393).</w:t>
      </w:r>
    </w:p>
    <w:p w14:paraId="2694EE99" w14:textId="77777777" w:rsidR="00BB2D6C" w:rsidRPr="00A259BD" w:rsidRDefault="00BB2D6C" w:rsidP="009236E3">
      <w:pPr>
        <w:spacing w:after="0" w:line="240" w:lineRule="auto"/>
        <w:jc w:val="both"/>
        <w:rPr>
          <w:rFonts w:ascii="Times New Roman" w:hAnsi="Times New Roman"/>
          <w:color w:val="000000" w:themeColor="text1"/>
          <w:sz w:val="16"/>
          <w:szCs w:val="16"/>
        </w:rPr>
      </w:pPr>
    </w:p>
    <w:p w14:paraId="3A92369A" w14:textId="77777777" w:rsidR="00BB2D6C" w:rsidRPr="00A259BD" w:rsidRDefault="00BB2D6C" w:rsidP="009236E3">
      <w:pPr>
        <w:pStyle w:val="rtejustify"/>
        <w:shd w:val="clear" w:color="auto" w:fill="FFFFFF"/>
        <w:spacing w:before="0" w:after="0"/>
        <w:rPr>
          <w:color w:val="000000" w:themeColor="text1"/>
          <w:sz w:val="16"/>
          <w:szCs w:val="16"/>
        </w:rPr>
      </w:pPr>
      <w:r w:rsidRPr="00A259BD">
        <w:rPr>
          <w:color w:val="000000" w:themeColor="text1"/>
          <w:sz w:val="16"/>
          <w:szCs w:val="16"/>
        </w:rPr>
        <w:t xml:space="preserve">В январе 1929 года Л. В. </w:t>
      </w:r>
      <w:proofErr w:type="spellStart"/>
      <w:r w:rsidRPr="00A259BD">
        <w:rPr>
          <w:color w:val="000000" w:themeColor="text1"/>
          <w:sz w:val="16"/>
          <w:szCs w:val="16"/>
        </w:rPr>
        <w:t>Курчевский</w:t>
      </w:r>
      <w:proofErr w:type="spellEnd"/>
      <w:r w:rsidRPr="00A259BD">
        <w:rPr>
          <w:color w:val="000000" w:themeColor="text1"/>
          <w:sz w:val="16"/>
          <w:szCs w:val="16"/>
        </w:rPr>
        <w:t xml:space="preserve"> был досрочно освобожден Вернувшись в Москву, Л. В. </w:t>
      </w:r>
      <w:proofErr w:type="spellStart"/>
      <w:r w:rsidRPr="00A259BD">
        <w:rPr>
          <w:color w:val="000000" w:themeColor="text1"/>
          <w:sz w:val="16"/>
          <w:szCs w:val="16"/>
        </w:rPr>
        <w:t>Курчевский</w:t>
      </w:r>
      <w:proofErr w:type="spellEnd"/>
      <w:r w:rsidRPr="00A259BD">
        <w:rPr>
          <w:color w:val="000000" w:themeColor="text1"/>
          <w:sz w:val="16"/>
          <w:szCs w:val="16"/>
        </w:rPr>
        <w:t xml:space="preserve"> с большим энтузиазмом взялся за прерванную работу (19172).</w:t>
      </w:r>
    </w:p>
    <w:p w14:paraId="164595AE" w14:textId="77777777" w:rsidR="00BB2D6C" w:rsidRPr="00A259BD" w:rsidRDefault="00BB2D6C" w:rsidP="009236E3">
      <w:pPr>
        <w:pStyle w:val="rtejustify"/>
        <w:shd w:val="clear" w:color="auto" w:fill="FFFFFF"/>
        <w:spacing w:before="0" w:after="0"/>
        <w:rPr>
          <w:color w:val="000000" w:themeColor="text1"/>
          <w:sz w:val="16"/>
          <w:szCs w:val="16"/>
        </w:rPr>
      </w:pPr>
    </w:p>
    <w:p w14:paraId="068BDEA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 1929 была подготовлена:</w:t>
      </w:r>
    </w:p>
    <w:p w14:paraId="3EE84C4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СВОДНАЯ ТАБЛИЦА ОСНОВНЫХ ДАННЫХ МАШИН ПРЕДЛАГАЕМОЙ СИСТЕМЫ ТАНКО-ТРАКТОРО-АВТОБРОНЕВООРУЖЕНИЯ РАБОЧЕ-КРЕСТЬЯНСКОЙ КРАСНОЙ АРМИИ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62"/>
        <w:gridCol w:w="10"/>
        <w:gridCol w:w="883"/>
        <w:gridCol w:w="662"/>
        <w:gridCol w:w="10"/>
        <w:gridCol w:w="787"/>
        <w:gridCol w:w="1037"/>
        <w:gridCol w:w="9"/>
        <w:gridCol w:w="586"/>
        <w:gridCol w:w="1421"/>
        <w:gridCol w:w="9"/>
        <w:gridCol w:w="644"/>
        <w:gridCol w:w="586"/>
        <w:gridCol w:w="778"/>
        <w:gridCol w:w="710"/>
        <w:gridCol w:w="10"/>
        <w:gridCol w:w="643"/>
        <w:gridCol w:w="1190"/>
        <w:gridCol w:w="10"/>
      </w:tblGrid>
      <w:tr w:rsidR="00A259BD" w:rsidRPr="00A259BD" w14:paraId="23916854" w14:textId="77777777">
        <w:trPr>
          <w:trHeight w:val="173"/>
        </w:trPr>
        <w:tc>
          <w:tcPr>
            <w:tcW w:w="1872" w:type="dxa"/>
            <w:gridSpan w:val="2"/>
            <w:tcBorders>
              <w:top w:val="single" w:sz="12" w:space="0" w:color="auto"/>
            </w:tcBorders>
          </w:tcPr>
          <w:p w14:paraId="70C259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Назначение и наименование</w:t>
            </w:r>
          </w:p>
          <w:p w14:paraId="6AE859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12" w:space="0" w:color="auto"/>
            </w:tcBorders>
          </w:tcPr>
          <w:p w14:paraId="6EBE79C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Ход и с какой машин.</w:t>
            </w:r>
          </w:p>
          <w:p w14:paraId="1C53F33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12" w:space="0" w:color="auto"/>
            </w:tcBorders>
          </w:tcPr>
          <w:p w14:paraId="5BA61F9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 тонн</w:t>
            </w:r>
          </w:p>
          <w:p w14:paraId="0F165D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Borders>
              <w:top w:val="single" w:sz="12" w:space="0" w:color="auto"/>
            </w:tcBorders>
          </w:tcPr>
          <w:p w14:paraId="67FEEE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Броня в м/м</w:t>
            </w:r>
          </w:p>
          <w:p w14:paraId="39FEBA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Borders>
              <w:top w:val="single" w:sz="12" w:space="0" w:color="auto"/>
            </w:tcBorders>
          </w:tcPr>
          <w:p w14:paraId="7C482A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Максимальная скорость.</w:t>
            </w:r>
          </w:p>
          <w:p w14:paraId="779B606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12" w:space="0" w:color="auto"/>
            </w:tcBorders>
          </w:tcPr>
          <w:p w14:paraId="1ECD688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Число коман</w:t>
            </w:r>
            <w:r w:rsidRPr="00A259BD">
              <w:rPr>
                <w:rFonts w:ascii="Times New Roman" w:hAnsi="Times New Roman"/>
                <w:color w:val="000000" w:themeColor="text1"/>
                <w:sz w:val="16"/>
                <w:szCs w:val="16"/>
              </w:rPr>
              <w:softHyphen/>
              <w:t>ды.</w:t>
            </w:r>
          </w:p>
          <w:p w14:paraId="4930675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Borders>
              <w:top w:val="single" w:sz="12" w:space="0" w:color="auto"/>
            </w:tcBorders>
          </w:tcPr>
          <w:p w14:paraId="60F9AC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Вооружение:</w:t>
            </w:r>
          </w:p>
          <w:p w14:paraId="65663A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7" w:type="dxa"/>
            <w:gridSpan w:val="3"/>
            <w:tcBorders>
              <w:top w:val="single" w:sz="12" w:space="0" w:color="auto"/>
            </w:tcBorders>
          </w:tcPr>
          <w:p w14:paraId="1DD612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Проходимость препятствий:</w:t>
            </w:r>
          </w:p>
          <w:p w14:paraId="389943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12" w:space="0" w:color="auto"/>
            </w:tcBorders>
          </w:tcPr>
          <w:p w14:paraId="6AB0655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Радиус действия.</w:t>
            </w:r>
          </w:p>
          <w:p w14:paraId="0C2C57C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12" w:space="0" w:color="auto"/>
            </w:tcBorders>
          </w:tcPr>
          <w:p w14:paraId="1C2F53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Очереди, </w:t>
            </w:r>
            <w:proofErr w:type="spellStart"/>
            <w:r w:rsidRPr="00A259BD">
              <w:rPr>
                <w:rFonts w:ascii="Times New Roman" w:hAnsi="Times New Roman"/>
                <w:color w:val="000000" w:themeColor="text1"/>
                <w:sz w:val="16"/>
                <w:szCs w:val="16"/>
              </w:rPr>
              <w:t>констру-иров</w:t>
            </w:r>
            <w:proofErr w:type="spellEnd"/>
            <w:r w:rsidRPr="00A259BD">
              <w:rPr>
                <w:rFonts w:ascii="Times New Roman" w:hAnsi="Times New Roman"/>
                <w:color w:val="000000" w:themeColor="text1"/>
                <w:sz w:val="16"/>
                <w:szCs w:val="16"/>
              </w:rPr>
              <w:t>.</w:t>
            </w:r>
          </w:p>
          <w:p w14:paraId="5EB038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Borders>
              <w:top w:val="single" w:sz="12" w:space="0" w:color="auto"/>
            </w:tcBorders>
          </w:tcPr>
          <w:p w14:paraId="29856D9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w:t>
            </w:r>
          </w:p>
          <w:p w14:paraId="7EC9ECE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5BD2BAB" w14:textId="77777777">
        <w:trPr>
          <w:trHeight w:val="365"/>
        </w:trPr>
        <w:tc>
          <w:tcPr>
            <w:tcW w:w="1872" w:type="dxa"/>
            <w:gridSpan w:val="2"/>
          </w:tcPr>
          <w:p w14:paraId="1C5C2A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6CE65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70737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AF787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450CC4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DFD2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46A85C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E1E4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4C013B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65AB7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1476C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0751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6FDC23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3EC0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615F73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Горизон</w:t>
            </w:r>
            <w:r w:rsidRPr="00A259BD">
              <w:rPr>
                <w:rFonts w:ascii="Times New Roman" w:hAnsi="Times New Roman"/>
                <w:color w:val="000000" w:themeColor="text1"/>
                <w:sz w:val="16"/>
                <w:szCs w:val="16"/>
              </w:rPr>
              <w:softHyphen/>
              <w:t>тальная</w:t>
            </w:r>
          </w:p>
          <w:p w14:paraId="25D1CC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7CA403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Вер-тика-</w:t>
            </w:r>
          </w:p>
          <w:p w14:paraId="3B16A7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6F21CB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Глубина брода.</w:t>
            </w:r>
          </w:p>
          <w:p w14:paraId="7E75A6F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029489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6576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2A7045F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3A18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3FD885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9456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D098549" w14:textId="77777777">
        <w:trPr>
          <w:trHeight w:val="202"/>
        </w:trPr>
        <w:tc>
          <w:tcPr>
            <w:tcW w:w="11846" w:type="dxa"/>
            <w:gridSpan w:val="19"/>
          </w:tcPr>
          <w:p w14:paraId="4540F9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Танкетки:</w:t>
            </w:r>
          </w:p>
          <w:p w14:paraId="68C15C9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5CCBCB7" w14:textId="77777777">
        <w:trPr>
          <w:trHeight w:val="1066"/>
        </w:trPr>
        <w:tc>
          <w:tcPr>
            <w:tcW w:w="1872" w:type="dxa"/>
            <w:gridSpan w:val="2"/>
          </w:tcPr>
          <w:p w14:paraId="514B34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Танкетка (колесно-гусеничная). Разведка. Внезапные наблюдения.</w:t>
            </w:r>
          </w:p>
          <w:p w14:paraId="4D285E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0C885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Желательно с легким трактором.</w:t>
            </w:r>
          </w:p>
          <w:p w14:paraId="47B598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1CA17D6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более 3.3 тонн - жела</w:t>
            </w:r>
            <w:r w:rsidRPr="00A259BD">
              <w:rPr>
                <w:rFonts w:ascii="Times New Roman" w:hAnsi="Times New Roman"/>
                <w:color w:val="000000" w:themeColor="text1"/>
                <w:sz w:val="16"/>
                <w:szCs w:val="16"/>
              </w:rPr>
              <w:softHyphen/>
              <w:t>тельно 2,5 тонны</w:t>
            </w:r>
          </w:p>
          <w:p w14:paraId="7A5566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3956E7F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Гарантия от бронебой</w:t>
            </w:r>
            <w:r w:rsidRPr="00A259BD">
              <w:rPr>
                <w:rFonts w:ascii="Times New Roman" w:hAnsi="Times New Roman"/>
                <w:color w:val="000000" w:themeColor="text1"/>
                <w:sz w:val="16"/>
                <w:szCs w:val="16"/>
              </w:rPr>
              <w:softHyphen/>
              <w:t>ных пуль-диет. 300 м (10-12 мм).</w:t>
            </w:r>
          </w:p>
          <w:p w14:paraId="560E19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75E94F8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колесах не менее 60 и на гусеницах не менее 45.</w:t>
            </w:r>
          </w:p>
          <w:p w14:paraId="129DE3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E3B50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2ч.</w:t>
            </w:r>
          </w:p>
          <w:p w14:paraId="5493E4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48BD7D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Один пулемет с обстрелом 360" или 2 не одновременно действующих с общим обстрелом 360" (танкетки предназначенные для противотанковой подвижной обороны вооружаются одной 37 мм пушкой).</w:t>
            </w:r>
          </w:p>
          <w:p w14:paraId="288034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597A58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1,25</w:t>
            </w:r>
          </w:p>
          <w:p w14:paraId="458F39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22A223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0,5</w:t>
            </w:r>
          </w:p>
          <w:p w14:paraId="413EEC4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25FA35A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0.75 жела</w:t>
            </w:r>
            <w:r w:rsidRPr="00A259BD">
              <w:rPr>
                <w:rFonts w:ascii="Times New Roman" w:hAnsi="Times New Roman"/>
                <w:color w:val="000000" w:themeColor="text1"/>
                <w:sz w:val="16"/>
                <w:szCs w:val="16"/>
              </w:rPr>
              <w:softHyphen/>
              <w:t>тельна плаву</w:t>
            </w:r>
            <w:r w:rsidRPr="00A259BD">
              <w:rPr>
                <w:rFonts w:ascii="Times New Roman" w:hAnsi="Times New Roman"/>
                <w:color w:val="000000" w:themeColor="text1"/>
                <w:sz w:val="16"/>
                <w:szCs w:val="16"/>
              </w:rPr>
              <w:softHyphen/>
              <w:t>честь.</w:t>
            </w:r>
          </w:p>
          <w:p w14:paraId="0AE84E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0D1016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колесах 450 и на гусеницах 300.</w:t>
            </w:r>
          </w:p>
          <w:p w14:paraId="3D3ACC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13B7478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w:t>
            </w:r>
          </w:p>
          <w:p w14:paraId="794062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3614B11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Опыты должны вестись с гусеничными и колесными. Переход с колесного хода на гусеничный и обратно 30 сек. Высота танкетки не более 1.5 метра.</w:t>
            </w:r>
          </w:p>
          <w:p w14:paraId="52DAFA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A5740B4" w14:textId="77777777">
        <w:trPr>
          <w:trHeight w:val="298"/>
        </w:trPr>
        <w:tc>
          <w:tcPr>
            <w:tcW w:w="1872" w:type="dxa"/>
            <w:gridSpan w:val="2"/>
          </w:tcPr>
          <w:p w14:paraId="0A7078F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Малый танк - ударное средство механизированных соединений Средство усиления общевойсковых соединений - прорыв в условиях маневренного боя. Работы по 2-м вариантам:</w:t>
            </w:r>
          </w:p>
          <w:p w14:paraId="17DE91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0742A3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Стандарт с средним трактором.</w:t>
            </w:r>
          </w:p>
          <w:p w14:paraId="138442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53FE66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BF4C8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02E83E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Гарантия с 1 000 м от снарядов (УО-700) при углах 25).</w:t>
            </w:r>
          </w:p>
          <w:p w14:paraId="22A12C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1C26925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колесах не менее 45, на гусеницах не менее 30</w:t>
            </w:r>
          </w:p>
          <w:p w14:paraId="0EC8950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00A18B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620E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72CF3F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Одна 37 мм пушка и 2 пулемета (один не одновременно действующий с пушкой).</w:t>
            </w:r>
          </w:p>
          <w:p w14:paraId="13C64F5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39DF1A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F601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7EB72E6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7B5F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1C1A4B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D7E44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705C68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25D7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5AD1D71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360D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17A3BC6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7EB0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B30947A" w14:textId="77777777">
        <w:trPr>
          <w:trHeight w:val="499"/>
        </w:trPr>
        <w:tc>
          <w:tcPr>
            <w:tcW w:w="1872" w:type="dxa"/>
            <w:gridSpan w:val="2"/>
          </w:tcPr>
          <w:p w14:paraId="405A1EE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вариант — (колесно-гусеничный).</w:t>
            </w:r>
          </w:p>
          <w:p w14:paraId="5C60FB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FADBC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1793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7E7DFC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более 8 тонн</w:t>
            </w:r>
          </w:p>
          <w:p w14:paraId="4249DC0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268AF14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5615F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709680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D6FB0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A6A1A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Зч</w:t>
            </w:r>
            <w:proofErr w:type="spellEnd"/>
            <w:r w:rsidRPr="00A259BD">
              <w:rPr>
                <w:rFonts w:ascii="Times New Roman" w:hAnsi="Times New Roman"/>
                <w:color w:val="000000" w:themeColor="text1"/>
                <w:sz w:val="16"/>
                <w:szCs w:val="16"/>
              </w:rPr>
              <w:t>.</w:t>
            </w:r>
          </w:p>
          <w:p w14:paraId="63905F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34A073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79F9C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046F98C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p w14:paraId="4844526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0019D9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0,6-0,8</w:t>
            </w:r>
          </w:p>
          <w:p w14:paraId="7ABC403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22F8E5E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желательна плаву</w:t>
            </w:r>
            <w:r w:rsidRPr="00A259BD">
              <w:rPr>
                <w:rFonts w:ascii="Times New Roman" w:hAnsi="Times New Roman"/>
                <w:color w:val="000000" w:themeColor="text1"/>
                <w:sz w:val="16"/>
                <w:szCs w:val="16"/>
              </w:rPr>
              <w:softHyphen/>
              <w:t>честь</w:t>
            </w:r>
          </w:p>
          <w:p w14:paraId="4197FD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7EE3D3C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300. на гусеницах 200.</w:t>
            </w:r>
          </w:p>
          <w:p w14:paraId="0540B52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1E71E7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w:t>
            </w:r>
          </w:p>
          <w:p w14:paraId="12DBD56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16979E6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A392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20D47AC" w14:textId="77777777">
        <w:trPr>
          <w:trHeight w:val="154"/>
        </w:trPr>
        <w:tc>
          <w:tcPr>
            <w:tcW w:w="1872" w:type="dxa"/>
            <w:gridSpan w:val="2"/>
          </w:tcPr>
          <w:p w14:paraId="61BCD3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0AC4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C2B89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3EBF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2B553A4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AA114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3A64EB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683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10EF988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BC2C5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17FD0A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7A3A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291A88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F9B78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7C0375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B576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6B9F82B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66778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33054AB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1131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47AFF94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FA41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4FC0F3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494DE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6F3DCAA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93D2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E32802E" w14:textId="77777777">
        <w:trPr>
          <w:trHeight w:val="163"/>
        </w:trPr>
        <w:tc>
          <w:tcPr>
            <w:tcW w:w="1872" w:type="dxa"/>
            <w:gridSpan w:val="2"/>
          </w:tcPr>
          <w:p w14:paraId="42834D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вариант -(гусеничный).</w:t>
            </w:r>
          </w:p>
          <w:p w14:paraId="4249B3E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087B5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Тоже.</w:t>
            </w:r>
          </w:p>
          <w:p w14:paraId="11406C2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6F8103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более 7-7,5</w:t>
            </w:r>
          </w:p>
          <w:p w14:paraId="437808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6EF676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Тоже.</w:t>
            </w:r>
          </w:p>
          <w:p w14:paraId="0029A77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590A238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25-30</w:t>
            </w:r>
          </w:p>
          <w:p w14:paraId="750194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58A57C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Тоже.</w:t>
            </w:r>
          </w:p>
          <w:p w14:paraId="5FB8E19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52B2EB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Тоже.</w:t>
            </w:r>
          </w:p>
          <w:p w14:paraId="3506DC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6349DA9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Тоже.</w:t>
            </w:r>
          </w:p>
          <w:p w14:paraId="235464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77977D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Тоже.</w:t>
            </w:r>
          </w:p>
          <w:p w14:paraId="09B5F6C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24C83B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Тоже.</w:t>
            </w:r>
          </w:p>
          <w:p w14:paraId="30AFEF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6894487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p w14:paraId="1BACD04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4FBE0AF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B80F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5848FC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0B93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49A8E5C" w14:textId="77777777">
        <w:trPr>
          <w:trHeight w:val="806"/>
        </w:trPr>
        <w:tc>
          <w:tcPr>
            <w:tcW w:w="1872" w:type="dxa"/>
            <w:gridSpan w:val="2"/>
          </w:tcPr>
          <w:p w14:paraId="226C5A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Средний танк - средство прорыва укрепленной полосы в условиях маневренной и позиционной войны.</w:t>
            </w:r>
          </w:p>
          <w:p w14:paraId="31E9FE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8E6DF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11BF8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5FED72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w:t>
            </w:r>
          </w:p>
          <w:p w14:paraId="334274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178017A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Тоже, но с диет. 750м (около 25-30мм).</w:t>
            </w:r>
          </w:p>
          <w:p w14:paraId="2817539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21EF2C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25-30</w:t>
            </w:r>
          </w:p>
          <w:p w14:paraId="6F7E0C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51AC519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 ч.</w:t>
            </w:r>
          </w:p>
          <w:p w14:paraId="5AC26A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6F8A80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Одна 45 мм пушка и 3 пулемета, одновременно действующих.</w:t>
            </w:r>
          </w:p>
          <w:p w14:paraId="2F7BC3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3A12E0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w:t>
            </w:r>
          </w:p>
          <w:p w14:paraId="013560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77B62C8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p w14:paraId="22D817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570AA6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w:t>
            </w:r>
          </w:p>
          <w:p w14:paraId="4E901F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0A08E9E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p w14:paraId="1300F8C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2754282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w:t>
            </w:r>
          </w:p>
          <w:p w14:paraId="62946B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72E475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715A1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BAC78A5" w14:textId="77777777">
        <w:trPr>
          <w:gridAfter w:val="1"/>
          <w:wAfter w:w="9" w:type="dxa"/>
          <w:trHeight w:val="1085"/>
        </w:trPr>
        <w:tc>
          <w:tcPr>
            <w:tcW w:w="1862" w:type="dxa"/>
          </w:tcPr>
          <w:p w14:paraId="28541D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Большой танк - средство прорыва мощной укрепленной полосы.</w:t>
            </w:r>
          </w:p>
          <w:p w14:paraId="3DE9E1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Pr>
          <w:p w14:paraId="508708B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65957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Pr>
          <w:p w14:paraId="3F23D9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60-80</w:t>
            </w:r>
          </w:p>
          <w:p w14:paraId="5D53A44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Pr>
          <w:p w14:paraId="6CD3158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Тоже, со всех дистанций (около 50 мм).</w:t>
            </w:r>
          </w:p>
          <w:p w14:paraId="78EEE4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Pr>
          <w:p w14:paraId="7FCFE5D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25-30</w:t>
            </w:r>
          </w:p>
          <w:p w14:paraId="65B1D31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Pr>
          <w:p w14:paraId="71FC96D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337C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0C37CA7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Две 76 мм пол. пушки и 6 пулеметов, из которых 2 действующих не одновременно с гаубицей..</w:t>
            </w:r>
          </w:p>
          <w:p w14:paraId="536006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25D9412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p w14:paraId="1AA65A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7AF083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w:t>
            </w:r>
          </w:p>
          <w:p w14:paraId="77EF90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3C966AF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938F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44EE69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p w14:paraId="094F414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40873F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w:t>
            </w:r>
          </w:p>
          <w:p w14:paraId="1F9AA4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0AB12D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39EFA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637929E" w14:textId="77777777">
        <w:trPr>
          <w:gridAfter w:val="1"/>
          <w:wAfter w:w="9" w:type="dxa"/>
          <w:trHeight w:val="202"/>
        </w:trPr>
        <w:tc>
          <w:tcPr>
            <w:tcW w:w="11837" w:type="dxa"/>
            <w:gridSpan w:val="18"/>
          </w:tcPr>
          <w:p w14:paraId="129D1F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Вспомогательные с </w:t>
            </w:r>
            <w:proofErr w:type="spellStart"/>
            <w:r w:rsidRPr="00A259BD">
              <w:rPr>
                <w:rFonts w:ascii="Times New Roman" w:hAnsi="Times New Roman"/>
                <w:color w:val="000000" w:themeColor="text1"/>
                <w:sz w:val="16"/>
                <w:szCs w:val="16"/>
              </w:rPr>
              <w:t>редства</w:t>
            </w:r>
            <w:proofErr w:type="spellEnd"/>
            <w:r w:rsidRPr="00A259BD">
              <w:rPr>
                <w:rFonts w:ascii="Times New Roman" w:hAnsi="Times New Roman"/>
                <w:color w:val="000000" w:themeColor="text1"/>
                <w:sz w:val="16"/>
                <w:szCs w:val="16"/>
              </w:rPr>
              <w:t xml:space="preserve"> и самоходные установки механизированных соединений:</w:t>
            </w:r>
          </w:p>
          <w:p w14:paraId="30D3BE4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393777E" w14:textId="77777777">
        <w:trPr>
          <w:gridAfter w:val="1"/>
          <w:wAfter w:w="9" w:type="dxa"/>
          <w:trHeight w:val="922"/>
        </w:trPr>
        <w:tc>
          <w:tcPr>
            <w:tcW w:w="1862" w:type="dxa"/>
          </w:tcPr>
          <w:p w14:paraId="5D0095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Самоходная пушка. Подготовка и поддержание танковой атаки. Борьба против танков (артиллерия танков сопровождение мех. соединен.).</w:t>
            </w:r>
          </w:p>
          <w:p w14:paraId="7A7A3B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Pr>
          <w:p w14:paraId="3E3E065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Шасси малого гусеничного танка.</w:t>
            </w:r>
          </w:p>
          <w:p w14:paraId="6C8535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Pr>
          <w:p w14:paraId="4D6C0F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около 7.</w:t>
            </w:r>
          </w:p>
          <w:p w14:paraId="4592A21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Pr>
          <w:p w14:paraId="2561D00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около 12-16</w:t>
            </w:r>
          </w:p>
          <w:p w14:paraId="347798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Pr>
          <w:p w14:paraId="6B282A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25-30</w:t>
            </w:r>
          </w:p>
          <w:p w14:paraId="7EEA46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Pr>
          <w:p w14:paraId="7C95CD1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EA66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505D4B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76 мм полковая и дивизионная пушка.</w:t>
            </w:r>
          </w:p>
          <w:p w14:paraId="2617A8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80" w:type="dxa"/>
            <w:gridSpan w:val="7"/>
          </w:tcPr>
          <w:p w14:paraId="749A83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и малый танк.</w:t>
            </w:r>
          </w:p>
          <w:p w14:paraId="66A0CF5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423E76B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5C78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45CA9E7" w14:textId="77777777">
        <w:trPr>
          <w:gridAfter w:val="1"/>
          <w:wAfter w:w="9" w:type="dxa"/>
          <w:trHeight w:val="202"/>
        </w:trPr>
        <w:tc>
          <w:tcPr>
            <w:tcW w:w="11837" w:type="dxa"/>
            <w:gridSpan w:val="18"/>
          </w:tcPr>
          <w:p w14:paraId="4B5BCB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тракторы:</w:t>
            </w:r>
          </w:p>
          <w:p w14:paraId="1B9EC0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B7C061D" w14:textId="77777777">
        <w:trPr>
          <w:gridAfter w:val="1"/>
          <w:wAfter w:w="9" w:type="dxa"/>
          <w:trHeight w:val="931"/>
        </w:trPr>
        <w:tc>
          <w:tcPr>
            <w:tcW w:w="1862" w:type="dxa"/>
          </w:tcPr>
          <w:p w14:paraId="61EEE0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Легкий -транспортирование дивизионной артиллерии. Перевозка личного состава </w:t>
            </w:r>
            <w:proofErr w:type="spellStart"/>
            <w:r w:rsidRPr="00A259BD">
              <w:rPr>
                <w:rFonts w:ascii="Times New Roman" w:hAnsi="Times New Roman"/>
                <w:color w:val="000000" w:themeColor="text1"/>
                <w:sz w:val="16"/>
                <w:szCs w:val="16"/>
              </w:rPr>
              <w:t>моториз</w:t>
            </w:r>
            <w:proofErr w:type="spellEnd"/>
            <w:r w:rsidRPr="00A259BD">
              <w:rPr>
                <w:rFonts w:ascii="Times New Roman" w:hAnsi="Times New Roman"/>
                <w:color w:val="000000" w:themeColor="text1"/>
                <w:sz w:val="16"/>
                <w:szCs w:val="16"/>
              </w:rPr>
              <w:t>. артиллерии и частей.</w:t>
            </w:r>
          </w:p>
          <w:p w14:paraId="241EEA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Pr>
          <w:p w14:paraId="51068C0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Желателен в отдельных частях стандарт с танкеткой.</w:t>
            </w:r>
          </w:p>
          <w:p w14:paraId="0337D4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Pr>
          <w:p w14:paraId="0FF021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3-3,5</w:t>
            </w:r>
          </w:p>
          <w:p w14:paraId="0A3F153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Pr>
          <w:p w14:paraId="311D95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FB5F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Pr>
          <w:p w14:paraId="0478775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25-30</w:t>
            </w:r>
          </w:p>
          <w:p w14:paraId="1C8808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Pr>
          <w:p w14:paraId="29A799F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CAEB9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0CBC6BD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8250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29677F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A342D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C4754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7111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77CA9F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4A2E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3FD4E6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926DC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3D89880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w:t>
            </w:r>
          </w:p>
          <w:p w14:paraId="6033C1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3C90EA8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8265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3467F28" w14:textId="77777777">
        <w:trPr>
          <w:gridAfter w:val="1"/>
          <w:wAfter w:w="9" w:type="dxa"/>
          <w:trHeight w:val="1248"/>
        </w:trPr>
        <w:tc>
          <w:tcPr>
            <w:tcW w:w="1862" w:type="dxa"/>
          </w:tcPr>
          <w:p w14:paraId="300345A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Средний -транспортирование корпусной артиллерии и АРГК (последней при раздельной возке). Транспортное средство механизированных частей.</w:t>
            </w:r>
          </w:p>
          <w:p w14:paraId="0892E2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Pr>
          <w:p w14:paraId="06106D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С малым танком.</w:t>
            </w:r>
          </w:p>
          <w:p w14:paraId="3F3D45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Pr>
          <w:p w14:paraId="2C9046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7-7,5</w:t>
            </w:r>
          </w:p>
          <w:p w14:paraId="35E7604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Pr>
          <w:p w14:paraId="08657A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188FB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Pr>
          <w:p w14:paraId="214EEA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25-30</w:t>
            </w:r>
          </w:p>
          <w:p w14:paraId="6B993D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Pr>
          <w:p w14:paraId="70E5D3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DD3A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312BC89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BBC8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7A1959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8610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67240A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C5599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6A0A77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8ECA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36E8D28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E114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01E415C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w:t>
            </w:r>
          </w:p>
          <w:p w14:paraId="262566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03DC7D4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BEEA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433F858" w14:textId="77777777">
        <w:trPr>
          <w:gridAfter w:val="1"/>
          <w:wAfter w:w="9" w:type="dxa"/>
          <w:trHeight w:val="470"/>
        </w:trPr>
        <w:tc>
          <w:tcPr>
            <w:tcW w:w="1862" w:type="dxa"/>
          </w:tcPr>
          <w:p w14:paraId="4288CFD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Тяжелый -транспортирование особо тяжелых грузов.</w:t>
            </w:r>
          </w:p>
          <w:p w14:paraId="159A285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Pr>
          <w:p w14:paraId="5609D1F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C9CE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Pr>
          <w:p w14:paraId="4614F3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w:t>
            </w:r>
          </w:p>
          <w:p w14:paraId="2CC6C5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Pr>
          <w:p w14:paraId="6095F1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4DE5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Pr>
          <w:p w14:paraId="0E5CEA0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w:t>
            </w:r>
          </w:p>
          <w:p w14:paraId="1D8BC95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Pr>
          <w:p w14:paraId="16B7050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4917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3D1AD6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98FE6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0D65A4D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72A9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3CDD46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EA572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2C1DC7B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835D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03A5A1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42F3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179455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w:t>
            </w:r>
          </w:p>
          <w:p w14:paraId="30AFC54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6230DAA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416E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A710317" w14:textId="77777777">
        <w:trPr>
          <w:gridAfter w:val="1"/>
          <w:wAfter w:w="9" w:type="dxa"/>
          <w:trHeight w:val="202"/>
        </w:trPr>
        <w:tc>
          <w:tcPr>
            <w:tcW w:w="11837" w:type="dxa"/>
            <w:gridSpan w:val="18"/>
          </w:tcPr>
          <w:p w14:paraId="08CB2C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Сельскохозяйственные тракторы.</w:t>
            </w:r>
          </w:p>
          <w:p w14:paraId="758640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C0BB423" w14:textId="77777777">
        <w:trPr>
          <w:gridAfter w:val="1"/>
          <w:wAfter w:w="9" w:type="dxa"/>
          <w:trHeight w:val="470"/>
        </w:trPr>
        <w:tc>
          <w:tcPr>
            <w:tcW w:w="1862" w:type="dxa"/>
          </w:tcPr>
          <w:p w14:paraId="1C9064B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ФОРДЗОН. Заменяет легкий трактор.</w:t>
            </w:r>
          </w:p>
          <w:p w14:paraId="6A73C4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Pr>
          <w:p w14:paraId="763C9E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AA7FA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Pr>
          <w:p w14:paraId="3DEF3BE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w:t>
            </w:r>
          </w:p>
          <w:p w14:paraId="1DD9BC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Pr>
          <w:p w14:paraId="451E5B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9E40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Pr>
          <w:p w14:paraId="2A2F4A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p w14:paraId="73566D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Pr>
          <w:p w14:paraId="55B7647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9619F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547033A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79D28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2F8F39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8A7D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6FFBBD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AC78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1E864ED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8B1F7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7143DD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9AD79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764E5F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w:t>
            </w:r>
          </w:p>
          <w:p w14:paraId="37AEC3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4683017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Разработать гусеничные придатки.</w:t>
            </w:r>
          </w:p>
          <w:p w14:paraId="2ADB59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A259BD" w14:paraId="148B450C" w14:textId="77777777">
        <w:trPr>
          <w:gridAfter w:val="1"/>
          <w:wAfter w:w="9" w:type="dxa"/>
          <w:trHeight w:val="499"/>
        </w:trPr>
        <w:tc>
          <w:tcPr>
            <w:tcW w:w="1862" w:type="dxa"/>
            <w:tcBorders>
              <w:bottom w:val="single" w:sz="12" w:space="0" w:color="auto"/>
            </w:tcBorders>
          </w:tcPr>
          <w:p w14:paraId="280A73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ИНТЕРНАЦИОНАЛ 15/30. Заменяет легкий трактор.</w:t>
            </w:r>
          </w:p>
          <w:p w14:paraId="33F795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bottom w:val="single" w:sz="12" w:space="0" w:color="auto"/>
            </w:tcBorders>
          </w:tcPr>
          <w:p w14:paraId="3C224DD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10117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Borders>
              <w:bottom w:val="single" w:sz="12" w:space="0" w:color="auto"/>
            </w:tcBorders>
          </w:tcPr>
          <w:p w14:paraId="0279A6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p w14:paraId="0FEB66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bottom w:val="single" w:sz="12" w:space="0" w:color="auto"/>
            </w:tcBorders>
          </w:tcPr>
          <w:p w14:paraId="54DA3F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B4388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bottom w:val="single" w:sz="12" w:space="0" w:color="auto"/>
            </w:tcBorders>
          </w:tcPr>
          <w:p w14:paraId="43E8F8E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7,3</w:t>
            </w:r>
          </w:p>
          <w:p w14:paraId="5BA133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Borders>
              <w:bottom w:val="single" w:sz="12" w:space="0" w:color="auto"/>
            </w:tcBorders>
          </w:tcPr>
          <w:p w14:paraId="525395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9DF22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bottom w:val="single" w:sz="12" w:space="0" w:color="auto"/>
            </w:tcBorders>
          </w:tcPr>
          <w:p w14:paraId="255ED2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AB272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Borders>
              <w:bottom w:val="single" w:sz="12" w:space="0" w:color="auto"/>
            </w:tcBorders>
          </w:tcPr>
          <w:p w14:paraId="5E093B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2C9EE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bottom w:val="single" w:sz="12" w:space="0" w:color="auto"/>
            </w:tcBorders>
          </w:tcPr>
          <w:p w14:paraId="01D7AF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7D167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bottom w:val="single" w:sz="12" w:space="0" w:color="auto"/>
            </w:tcBorders>
          </w:tcPr>
          <w:p w14:paraId="3BD386E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EC560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bottom w:val="single" w:sz="12" w:space="0" w:color="auto"/>
            </w:tcBorders>
          </w:tcPr>
          <w:p w14:paraId="51ADA7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11322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Borders>
              <w:bottom w:val="single" w:sz="12" w:space="0" w:color="auto"/>
            </w:tcBorders>
          </w:tcPr>
          <w:p w14:paraId="44BECFD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w:t>
            </w:r>
          </w:p>
          <w:p w14:paraId="6737A5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bottom w:val="single" w:sz="12" w:space="0" w:color="auto"/>
            </w:tcBorders>
          </w:tcPr>
          <w:p w14:paraId="5CD7BCA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Разработать гусеничные придатки (11210).</w:t>
            </w:r>
          </w:p>
          <w:p w14:paraId="5B6D8B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DE48C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EB9B0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 1929 была подготовлена:</w:t>
      </w:r>
    </w:p>
    <w:p w14:paraId="00A7DB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СРАВНИТЕЛЬНАЯ ТАБЛИЦА ОСНОВНЫХ ДАННЫХ БРОНЕВЫХ МАШИН ИНОСТРАННЫХ АРМИЙ И РККА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99"/>
        <w:gridCol w:w="605"/>
        <w:gridCol w:w="2621"/>
        <w:gridCol w:w="691"/>
        <w:gridCol w:w="499"/>
        <w:gridCol w:w="499"/>
        <w:gridCol w:w="394"/>
        <w:gridCol w:w="432"/>
        <w:gridCol w:w="499"/>
        <w:gridCol w:w="2102"/>
        <w:gridCol w:w="499"/>
        <w:gridCol w:w="509"/>
        <w:gridCol w:w="634"/>
        <w:gridCol w:w="1392"/>
      </w:tblGrid>
      <w:tr w:rsidR="00A259BD" w:rsidRPr="00A259BD" w14:paraId="6ACBEDB7" w14:textId="77777777">
        <w:trPr>
          <w:trHeight w:val="326"/>
        </w:trPr>
        <w:tc>
          <w:tcPr>
            <w:tcW w:w="1104" w:type="dxa"/>
            <w:gridSpan w:val="2"/>
            <w:tcBorders>
              <w:top w:val="single" w:sz="12" w:space="0" w:color="auto"/>
            </w:tcBorders>
          </w:tcPr>
          <w:p w14:paraId="4296C3D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Государство:</w:t>
            </w:r>
          </w:p>
          <w:p w14:paraId="2CE304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Borders>
              <w:top w:val="single" w:sz="12" w:space="0" w:color="auto"/>
            </w:tcBorders>
          </w:tcPr>
          <w:p w14:paraId="1C35D3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Наименование машин</w:t>
            </w:r>
          </w:p>
          <w:p w14:paraId="57F0903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12" w:space="0" w:color="auto"/>
            </w:tcBorders>
          </w:tcPr>
          <w:p w14:paraId="42DA87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 в кг</w:t>
            </w:r>
          </w:p>
          <w:p w14:paraId="549763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12" w:space="0" w:color="auto"/>
            </w:tcBorders>
          </w:tcPr>
          <w:p w14:paraId="4EE2B4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Мощность мотора</w:t>
            </w:r>
          </w:p>
          <w:p w14:paraId="6A364D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gridSpan w:val="3"/>
            <w:tcBorders>
              <w:top w:val="single" w:sz="12" w:space="0" w:color="auto"/>
            </w:tcBorders>
          </w:tcPr>
          <w:p w14:paraId="40589E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Толщина брони в м/м.</w:t>
            </w:r>
          </w:p>
          <w:p w14:paraId="22B9ABD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12" w:space="0" w:color="auto"/>
            </w:tcBorders>
          </w:tcPr>
          <w:p w14:paraId="48035D5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w:t>
            </w:r>
          </w:p>
          <w:p w14:paraId="44205F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Borders>
              <w:top w:val="single" w:sz="12" w:space="0" w:color="auto"/>
            </w:tcBorders>
          </w:tcPr>
          <w:p w14:paraId="28EDE88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Вооружение:</w:t>
            </w:r>
          </w:p>
          <w:p w14:paraId="49FF3D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gridSpan w:val="2"/>
            <w:tcBorders>
              <w:top w:val="single" w:sz="12" w:space="0" w:color="auto"/>
            </w:tcBorders>
          </w:tcPr>
          <w:p w14:paraId="5FDC58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в км/ч</w:t>
            </w:r>
          </w:p>
          <w:p w14:paraId="233EC0F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12" w:space="0" w:color="auto"/>
            </w:tcBorders>
          </w:tcPr>
          <w:p w14:paraId="397D9B1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Дальность действия в км</w:t>
            </w:r>
          </w:p>
          <w:p w14:paraId="22B3DFF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12" w:space="0" w:color="auto"/>
            </w:tcBorders>
          </w:tcPr>
          <w:p w14:paraId="69A468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w:t>
            </w:r>
          </w:p>
          <w:p w14:paraId="633B08C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EE060A7" w14:textId="77777777">
        <w:trPr>
          <w:trHeight w:val="797"/>
        </w:trPr>
        <w:tc>
          <w:tcPr>
            <w:tcW w:w="1104" w:type="dxa"/>
            <w:gridSpan w:val="2"/>
          </w:tcPr>
          <w:p w14:paraId="2C6B6D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4B46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52DBBD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0CD7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EBFE9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6CDF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2D5D6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A1B0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60F8A5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Лобовой</w:t>
            </w:r>
          </w:p>
          <w:p w14:paraId="1D3A06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560870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Бортовой</w:t>
            </w:r>
          </w:p>
          <w:p w14:paraId="1CDD52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719FB3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Верхней</w:t>
            </w:r>
          </w:p>
          <w:p w14:paraId="16C185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92106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Число ли </w:t>
            </w:r>
            <w:proofErr w:type="spellStart"/>
            <w:r w:rsidRPr="00A259BD">
              <w:rPr>
                <w:rFonts w:ascii="Times New Roman" w:hAnsi="Times New Roman"/>
                <w:color w:val="000000" w:themeColor="text1"/>
                <w:sz w:val="16"/>
                <w:szCs w:val="16"/>
              </w:rPr>
              <w:t>командь</w:t>
            </w:r>
            <w:proofErr w:type="spellEnd"/>
          </w:p>
          <w:p w14:paraId="230201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1F0E2D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FC825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B2070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Средняя</w:t>
            </w:r>
          </w:p>
          <w:p w14:paraId="06891A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54D009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Максима</w:t>
            </w:r>
            <w:r w:rsidRPr="00A259BD">
              <w:rPr>
                <w:rFonts w:ascii="Times New Roman" w:hAnsi="Times New Roman"/>
                <w:color w:val="000000" w:themeColor="text1"/>
                <w:sz w:val="16"/>
                <w:szCs w:val="16"/>
              </w:rPr>
              <w:softHyphen/>
              <w:t>льная</w:t>
            </w:r>
          </w:p>
          <w:p w14:paraId="4C0D34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31ACD75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CD92D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3F8766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7F83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FFFA895" w14:textId="77777777">
        <w:trPr>
          <w:trHeight w:val="163"/>
        </w:trPr>
        <w:tc>
          <w:tcPr>
            <w:tcW w:w="1104" w:type="dxa"/>
            <w:gridSpan w:val="2"/>
          </w:tcPr>
          <w:p w14:paraId="60E8D1E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Франция</w:t>
            </w:r>
          </w:p>
          <w:p w14:paraId="5EC8EEE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5D81A39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УАЙТ</w:t>
            </w:r>
          </w:p>
          <w:p w14:paraId="516D3D2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6D0F47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w:t>
            </w:r>
          </w:p>
          <w:p w14:paraId="793E47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54F98C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p w14:paraId="39A4CC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23EA7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p w14:paraId="389F3C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4FDA9FC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30CC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18137C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9D3A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0E8C2E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p w14:paraId="6C89C06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7BA626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w:t>
            </w:r>
            <w:proofErr w:type="spellStart"/>
            <w:r w:rsidRPr="00A259BD">
              <w:rPr>
                <w:rFonts w:ascii="Times New Roman" w:hAnsi="Times New Roman"/>
                <w:color w:val="000000" w:themeColor="text1"/>
                <w:sz w:val="16"/>
                <w:szCs w:val="16"/>
              </w:rPr>
              <w:t>пуш</w:t>
            </w:r>
            <w:proofErr w:type="spellEnd"/>
            <w:r w:rsidRPr="00A259BD">
              <w:rPr>
                <w:rFonts w:ascii="Times New Roman" w:hAnsi="Times New Roman"/>
                <w:color w:val="000000" w:themeColor="text1"/>
                <w:sz w:val="16"/>
                <w:szCs w:val="16"/>
              </w:rPr>
              <w:t>. и 1 пул.</w:t>
            </w:r>
          </w:p>
          <w:p w14:paraId="301B02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734EE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p w14:paraId="64B69DA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4CCBBC5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p w14:paraId="3F05C5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5B88D6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w:t>
            </w:r>
          </w:p>
          <w:p w14:paraId="2B90F5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732FA02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210D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F0E8043" w14:textId="77777777">
        <w:trPr>
          <w:trHeight w:val="154"/>
        </w:trPr>
        <w:tc>
          <w:tcPr>
            <w:tcW w:w="1104" w:type="dxa"/>
            <w:gridSpan w:val="2"/>
          </w:tcPr>
          <w:p w14:paraId="6DF340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8054A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6DFF2B0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ПЕЖО</w:t>
            </w:r>
          </w:p>
          <w:p w14:paraId="7122B6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5BB8DD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22BB7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57FDA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p w14:paraId="44F9678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F0662E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w:t>
            </w:r>
          </w:p>
          <w:p w14:paraId="230D8AE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599720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B491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4B3ABC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5537C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B4879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p w14:paraId="76631D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5380C0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w:t>
            </w:r>
            <w:proofErr w:type="spellStart"/>
            <w:r w:rsidRPr="00A259BD">
              <w:rPr>
                <w:rFonts w:ascii="Times New Roman" w:hAnsi="Times New Roman"/>
                <w:color w:val="000000" w:themeColor="text1"/>
                <w:sz w:val="16"/>
                <w:szCs w:val="16"/>
              </w:rPr>
              <w:t>пуш</w:t>
            </w:r>
            <w:proofErr w:type="spellEnd"/>
            <w:r w:rsidRPr="00A259BD">
              <w:rPr>
                <w:rFonts w:ascii="Times New Roman" w:hAnsi="Times New Roman"/>
                <w:color w:val="000000" w:themeColor="text1"/>
                <w:sz w:val="16"/>
                <w:szCs w:val="16"/>
              </w:rPr>
              <w:t>. и 1 пул.</w:t>
            </w:r>
          </w:p>
          <w:p w14:paraId="0D781E9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43A9D0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w:t>
            </w:r>
          </w:p>
          <w:p w14:paraId="67A6563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7346DC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w:t>
            </w:r>
          </w:p>
          <w:p w14:paraId="008A62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57EA1A2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p w14:paraId="4AF975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5F17CB5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DFE9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54A70AA" w14:textId="77777777">
        <w:trPr>
          <w:trHeight w:val="163"/>
        </w:trPr>
        <w:tc>
          <w:tcPr>
            <w:tcW w:w="1104" w:type="dxa"/>
            <w:gridSpan w:val="2"/>
          </w:tcPr>
          <w:p w14:paraId="4A5B683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Англия</w:t>
            </w:r>
          </w:p>
          <w:p w14:paraId="2FBA43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17B881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ПИРЛЕСС</w:t>
            </w:r>
          </w:p>
          <w:p w14:paraId="1C3D0B7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CED08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6.850</w:t>
            </w:r>
          </w:p>
          <w:p w14:paraId="5C5F988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A6BB9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32/40</w:t>
            </w:r>
          </w:p>
          <w:p w14:paraId="71A811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7A20E7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p w14:paraId="7F10B0E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3E5EB1E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p w14:paraId="51DBE9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7C87598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8376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15D459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p w14:paraId="12440DA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57CB5D1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пулемета</w:t>
            </w:r>
          </w:p>
          <w:p w14:paraId="2FBEE40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493F45A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p w14:paraId="1B60C2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6A2030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p w14:paraId="6FF3D8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78C3D9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144</w:t>
            </w:r>
          </w:p>
          <w:p w14:paraId="0C8254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7F01FAC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FE21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7FD3D1D" w14:textId="77777777">
        <w:trPr>
          <w:trHeight w:val="154"/>
        </w:trPr>
        <w:tc>
          <w:tcPr>
            <w:tcW w:w="1104" w:type="dxa"/>
            <w:gridSpan w:val="2"/>
          </w:tcPr>
          <w:p w14:paraId="43D11C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524A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18034D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РОЛЛЬС - РОИС</w:t>
            </w:r>
          </w:p>
          <w:p w14:paraId="51C7DE1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7BA0A01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4.100</w:t>
            </w:r>
          </w:p>
          <w:p w14:paraId="5C2AED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5ECAC6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48/50</w:t>
            </w:r>
          </w:p>
          <w:p w14:paraId="13A00D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E2230F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p w14:paraId="00BE8F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298420E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EFE7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2A8104C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A231D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35F119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p w14:paraId="4132E4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5867E0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пулемет</w:t>
            </w:r>
          </w:p>
          <w:p w14:paraId="242E6F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47465B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p w14:paraId="206EBF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53C0D6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w:t>
            </w:r>
          </w:p>
          <w:p w14:paraId="27E9C5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4E41F9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p w14:paraId="541ED23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3D737A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259C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BC03FFC" w14:textId="77777777">
        <w:trPr>
          <w:trHeight w:val="154"/>
        </w:trPr>
        <w:tc>
          <w:tcPr>
            <w:tcW w:w="1104" w:type="dxa"/>
            <w:gridSpan w:val="2"/>
          </w:tcPr>
          <w:p w14:paraId="591E56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BF4EB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7DF8EF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КРОССЛЕЙ</w:t>
            </w:r>
          </w:p>
          <w:p w14:paraId="5218E81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08D36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4.850</w:t>
            </w:r>
          </w:p>
          <w:p w14:paraId="6475FB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D3C95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40/50</w:t>
            </w:r>
          </w:p>
          <w:p w14:paraId="383068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41951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p w14:paraId="4A587C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3FAB6FF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F434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699A41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D207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D814E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p w14:paraId="44B37C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34B8D23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пулемета</w:t>
            </w:r>
          </w:p>
          <w:p w14:paraId="31663EE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A89295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w:t>
            </w:r>
          </w:p>
          <w:p w14:paraId="3B03081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7E5ABB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w:t>
            </w:r>
          </w:p>
          <w:p w14:paraId="79C74B0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6D96FD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190</w:t>
            </w:r>
          </w:p>
          <w:p w14:paraId="5486FD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59B30D7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17590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9B1CDCC" w14:textId="77777777">
        <w:trPr>
          <w:trHeight w:val="154"/>
        </w:trPr>
        <w:tc>
          <w:tcPr>
            <w:tcW w:w="1104" w:type="dxa"/>
            <w:gridSpan w:val="2"/>
          </w:tcPr>
          <w:p w14:paraId="09636E7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Италия</w:t>
            </w:r>
          </w:p>
          <w:p w14:paraId="4692268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6FDD95B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БИАНКИ</w:t>
            </w:r>
          </w:p>
          <w:p w14:paraId="22C635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8EEE36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3.090</w:t>
            </w:r>
          </w:p>
          <w:p w14:paraId="6F96EDE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C3106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E222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14638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p w14:paraId="6DE894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0E89E4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0964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1252F1E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1316C8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C287F5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w:t>
            </w:r>
          </w:p>
          <w:p w14:paraId="68AA6E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6D5BE1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пулемета</w:t>
            </w:r>
          </w:p>
          <w:p w14:paraId="78ECC6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E87AF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265D33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609EF1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w:t>
            </w:r>
          </w:p>
          <w:p w14:paraId="4CAB6C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678033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35FB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7E0277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A4A0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DBBCEE7" w14:textId="77777777">
        <w:trPr>
          <w:trHeight w:val="163"/>
        </w:trPr>
        <w:tc>
          <w:tcPr>
            <w:tcW w:w="1104" w:type="dxa"/>
            <w:gridSpan w:val="2"/>
          </w:tcPr>
          <w:p w14:paraId="2530D8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E086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0983FB5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ФИАТ 50!</w:t>
            </w:r>
          </w:p>
          <w:p w14:paraId="274EF9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BCD21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9DAC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70179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w:t>
            </w:r>
          </w:p>
          <w:p w14:paraId="3EA170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26549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p w14:paraId="12CDD2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7CFF677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30B23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0031E98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D8E27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C75DEA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p w14:paraId="10EC986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5FA06A2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пулемета</w:t>
            </w:r>
          </w:p>
          <w:p w14:paraId="281480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59A57E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w:t>
            </w:r>
          </w:p>
          <w:p w14:paraId="7D2A081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50851A6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w:t>
            </w:r>
          </w:p>
          <w:p w14:paraId="1D5360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22A607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350</w:t>
            </w:r>
          </w:p>
          <w:p w14:paraId="567EF4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5F7EF2C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34EED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E4B9277" w14:textId="77777777">
        <w:trPr>
          <w:trHeight w:val="154"/>
        </w:trPr>
        <w:tc>
          <w:tcPr>
            <w:tcW w:w="1104" w:type="dxa"/>
            <w:gridSpan w:val="2"/>
          </w:tcPr>
          <w:p w14:paraId="48FD46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77AA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04CEA3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ФИАТ 604.</w:t>
            </w:r>
          </w:p>
          <w:p w14:paraId="065D5BB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69408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w:t>
            </w:r>
          </w:p>
          <w:p w14:paraId="3814C1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F42B0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w:t>
            </w:r>
          </w:p>
          <w:p w14:paraId="0C77862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062CC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p w14:paraId="493B03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7811DE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9C70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6C82A0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56ED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3E93B1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p w14:paraId="458D16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50B1C0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пулемета</w:t>
            </w:r>
          </w:p>
          <w:p w14:paraId="4E3951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7F51B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w:t>
            </w:r>
          </w:p>
          <w:p w14:paraId="612F24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68A39C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p w14:paraId="67C5ED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2F23137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p w14:paraId="6FAE81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14AF458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0ABEE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0A26621" w14:textId="77777777">
        <w:trPr>
          <w:trHeight w:val="154"/>
        </w:trPr>
        <w:tc>
          <w:tcPr>
            <w:tcW w:w="1104" w:type="dxa"/>
            <w:gridSpan w:val="2"/>
          </w:tcPr>
          <w:p w14:paraId="643ECF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AD12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02AB1D1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АНСАЛЬДО</w:t>
            </w:r>
          </w:p>
          <w:p w14:paraId="79874F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5708574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3.400</w:t>
            </w:r>
          </w:p>
          <w:p w14:paraId="7609D90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2D8846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p w14:paraId="775CB57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AA98F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12</w:t>
            </w:r>
          </w:p>
          <w:p w14:paraId="15EAB8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68ABCCE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E0058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2A41809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EFB5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01B0D8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p w14:paraId="08E33B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10772B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пулемета</w:t>
            </w:r>
          </w:p>
          <w:p w14:paraId="46C0710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FBD1A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A5A5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11BDAC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p w14:paraId="347F25C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0CD810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F2E32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1C01FCF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52F58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906449D" w14:textId="77777777">
        <w:trPr>
          <w:trHeight w:val="163"/>
        </w:trPr>
        <w:tc>
          <w:tcPr>
            <w:tcW w:w="1104" w:type="dxa"/>
            <w:gridSpan w:val="2"/>
          </w:tcPr>
          <w:p w14:paraId="2134E6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САСШ</w:t>
            </w:r>
          </w:p>
          <w:p w14:paraId="0572964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17FCA2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Легкий </w:t>
            </w:r>
            <w:proofErr w:type="spellStart"/>
            <w:r w:rsidRPr="00A259BD">
              <w:rPr>
                <w:rFonts w:ascii="Times New Roman" w:hAnsi="Times New Roman"/>
                <w:color w:val="000000" w:themeColor="text1"/>
                <w:sz w:val="16"/>
                <w:szCs w:val="16"/>
              </w:rPr>
              <w:t>бр</w:t>
            </w:r>
            <w:proofErr w:type="spellEnd"/>
            <w:r w:rsidRPr="00A259BD">
              <w:rPr>
                <w:rFonts w:ascii="Times New Roman" w:hAnsi="Times New Roman"/>
                <w:color w:val="000000" w:themeColor="text1"/>
                <w:sz w:val="16"/>
                <w:szCs w:val="16"/>
              </w:rPr>
              <w:t>. Т-1.</w:t>
            </w:r>
          </w:p>
          <w:p w14:paraId="51E188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543668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1.125</w:t>
            </w:r>
          </w:p>
          <w:p w14:paraId="464988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DF76A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p w14:paraId="67BD59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gridSpan w:val="3"/>
          </w:tcPr>
          <w:p w14:paraId="661352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 брони</w:t>
            </w:r>
          </w:p>
          <w:p w14:paraId="0E420D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71C62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p w14:paraId="36F35E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318378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пулемета</w:t>
            </w:r>
          </w:p>
          <w:p w14:paraId="1BC2D56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C8241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2A51C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0E8F91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64</w:t>
            </w:r>
          </w:p>
          <w:p w14:paraId="34C5897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193876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240</w:t>
            </w:r>
          </w:p>
          <w:p w14:paraId="263249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7240417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1C5C1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F8DAA44" w14:textId="77777777">
        <w:trPr>
          <w:trHeight w:val="307"/>
        </w:trPr>
        <w:tc>
          <w:tcPr>
            <w:tcW w:w="1104" w:type="dxa"/>
            <w:gridSpan w:val="2"/>
          </w:tcPr>
          <w:p w14:paraId="7082F5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103D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690A00A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Тяжел, </w:t>
            </w:r>
            <w:proofErr w:type="spellStart"/>
            <w:r w:rsidRPr="00A259BD">
              <w:rPr>
                <w:rFonts w:ascii="Times New Roman" w:hAnsi="Times New Roman"/>
                <w:color w:val="000000" w:themeColor="text1"/>
                <w:sz w:val="16"/>
                <w:szCs w:val="16"/>
              </w:rPr>
              <w:t>бр</w:t>
            </w:r>
            <w:proofErr w:type="spellEnd"/>
            <w:r w:rsidRPr="00A259BD">
              <w:rPr>
                <w:rFonts w:ascii="Times New Roman" w:hAnsi="Times New Roman"/>
                <w:color w:val="000000" w:themeColor="text1"/>
                <w:sz w:val="16"/>
                <w:szCs w:val="16"/>
              </w:rPr>
              <w:t>. Т - 2.</w:t>
            </w:r>
          </w:p>
          <w:p w14:paraId="3FC73E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59C743B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2.475</w:t>
            </w:r>
          </w:p>
          <w:p w14:paraId="4C7E00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8ECB8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w:t>
            </w:r>
          </w:p>
          <w:p w14:paraId="4C8117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F66CB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ок</w:t>
            </w:r>
            <w:proofErr w:type="spellEnd"/>
            <w:r w:rsidRPr="00A259BD">
              <w:rPr>
                <w:rFonts w:ascii="Times New Roman" w:hAnsi="Times New Roman"/>
                <w:color w:val="000000" w:themeColor="text1"/>
                <w:sz w:val="16"/>
                <w:szCs w:val="16"/>
              </w:rPr>
              <w:t>. 4</w:t>
            </w:r>
          </w:p>
          <w:p w14:paraId="758947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2E995F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4CFF52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79FC13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56782C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B5FF4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p w14:paraId="0B278D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076BA2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нулем. 37 мм. </w:t>
            </w:r>
            <w:proofErr w:type="spellStart"/>
            <w:r w:rsidRPr="00A259BD">
              <w:rPr>
                <w:rFonts w:ascii="Times New Roman" w:hAnsi="Times New Roman"/>
                <w:color w:val="000000" w:themeColor="text1"/>
                <w:sz w:val="16"/>
                <w:szCs w:val="16"/>
              </w:rPr>
              <w:t>пуш</w:t>
            </w:r>
            <w:proofErr w:type="spellEnd"/>
            <w:r w:rsidRPr="00A259BD">
              <w:rPr>
                <w:rFonts w:ascii="Times New Roman" w:hAnsi="Times New Roman"/>
                <w:color w:val="000000" w:themeColor="text1"/>
                <w:sz w:val="16"/>
                <w:szCs w:val="16"/>
              </w:rPr>
              <w:t>. и пистолет-пулемет</w:t>
            </w:r>
          </w:p>
          <w:p w14:paraId="475109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AF6D48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A448D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72EB7EE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72</w:t>
            </w:r>
          </w:p>
          <w:p w14:paraId="4F71508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492AD30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240</w:t>
            </w:r>
          </w:p>
          <w:p w14:paraId="0AEFD1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2D31AB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9566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E4614BE" w14:textId="77777777">
        <w:trPr>
          <w:trHeight w:val="154"/>
        </w:trPr>
        <w:tc>
          <w:tcPr>
            <w:tcW w:w="1104" w:type="dxa"/>
            <w:gridSpan w:val="2"/>
          </w:tcPr>
          <w:p w14:paraId="68C9AC6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Чехословакия</w:t>
            </w:r>
          </w:p>
          <w:p w14:paraId="1BE799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1EFE51E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ШКОД Р. А. I</w:t>
            </w:r>
          </w:p>
          <w:p w14:paraId="1D996B5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1B74F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6.500</w:t>
            </w:r>
          </w:p>
          <w:p w14:paraId="108046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429EF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84</w:t>
            </w:r>
          </w:p>
          <w:p w14:paraId="77D811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72F98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w:t>
            </w:r>
          </w:p>
          <w:p w14:paraId="37FD14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0311B8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59F153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1A0E5D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2B792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2D4A55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w:t>
            </w:r>
          </w:p>
          <w:p w14:paraId="32D6D2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7655085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пулемета</w:t>
            </w:r>
          </w:p>
          <w:p w14:paraId="372E75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C6B40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85EEA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72201B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p w14:paraId="54D7AA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70A42E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91684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1659AA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0134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9731DF5" w14:textId="77777777">
        <w:trPr>
          <w:trHeight w:val="154"/>
        </w:trPr>
        <w:tc>
          <w:tcPr>
            <w:tcW w:w="1104" w:type="dxa"/>
            <w:gridSpan w:val="2"/>
          </w:tcPr>
          <w:p w14:paraId="319685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82EC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17B1F5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ШКОД Р. А. II.</w:t>
            </w:r>
          </w:p>
          <w:p w14:paraId="2114366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F7870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6.500</w:t>
            </w:r>
          </w:p>
          <w:p w14:paraId="6A73545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5788FE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84</w:t>
            </w:r>
          </w:p>
          <w:p w14:paraId="5D36B2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664B0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w:t>
            </w:r>
          </w:p>
          <w:p w14:paraId="2FDD03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4CCF97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029E5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2680E5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9F3B8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5F901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p w14:paraId="4CAD1C8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282CB3E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пулемета</w:t>
            </w:r>
          </w:p>
          <w:p w14:paraId="55FE494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74D46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0A95F7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363B94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p w14:paraId="26C12B9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5BB32B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951A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0A36263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6540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2450A65" w14:textId="77777777">
        <w:trPr>
          <w:trHeight w:val="163"/>
        </w:trPr>
        <w:tc>
          <w:tcPr>
            <w:tcW w:w="1104" w:type="dxa"/>
            <w:gridSpan w:val="2"/>
          </w:tcPr>
          <w:p w14:paraId="505130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AC1E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472B9EF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ШКОД Р. А. III.</w:t>
            </w:r>
          </w:p>
          <w:p w14:paraId="6F7EA2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835A57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ок.5000</w:t>
            </w:r>
          </w:p>
          <w:p w14:paraId="6D19B5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E5A7E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84</w:t>
            </w:r>
          </w:p>
          <w:p w14:paraId="40C5A5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97166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66597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078243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2B59051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112556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6071F6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EF867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p w14:paraId="6AAB38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45A3006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пулемета</w:t>
            </w:r>
          </w:p>
          <w:p w14:paraId="195460D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512F82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53C611C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70A41E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p w14:paraId="632F814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30805B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370FB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266299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AF470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899BCB7" w14:textId="77777777">
        <w:trPr>
          <w:trHeight w:val="154"/>
        </w:trPr>
        <w:tc>
          <w:tcPr>
            <w:tcW w:w="1104" w:type="dxa"/>
            <w:gridSpan w:val="2"/>
          </w:tcPr>
          <w:p w14:paraId="5DACB4A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w:t>
            </w:r>
          </w:p>
          <w:p w14:paraId="459A93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5609332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ЭРГАРД 17</w:t>
            </w:r>
          </w:p>
          <w:p w14:paraId="39FBD3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0CFB41F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8.500</w:t>
            </w:r>
          </w:p>
          <w:p w14:paraId="1E1F61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4DAF6E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w:t>
            </w:r>
          </w:p>
          <w:p w14:paraId="4F3EEB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BD160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w:t>
            </w:r>
          </w:p>
          <w:p w14:paraId="6A62E8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6F8E926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4B927B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4D9D10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1D9F143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AD82E3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w:t>
            </w:r>
          </w:p>
          <w:p w14:paraId="5271ED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77BD2BE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пулеметов</w:t>
            </w:r>
          </w:p>
          <w:p w14:paraId="2F498F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41EEB3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21326FD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26F9D3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p w14:paraId="594669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7D5A7AD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132790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6FEBDF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E1342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E29CDE7" w14:textId="77777777">
        <w:trPr>
          <w:trHeight w:val="163"/>
        </w:trPr>
        <w:tc>
          <w:tcPr>
            <w:tcW w:w="1104" w:type="dxa"/>
            <w:gridSpan w:val="2"/>
          </w:tcPr>
          <w:p w14:paraId="4CE993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CA43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658D2D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ОСТИН</w:t>
            </w:r>
          </w:p>
          <w:p w14:paraId="741BDA3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B9060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5.300</w:t>
            </w:r>
          </w:p>
          <w:p w14:paraId="1CC68E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85BF4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w:t>
            </w:r>
          </w:p>
          <w:p w14:paraId="4ABB51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F377B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p w14:paraId="5E8070C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0073B8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728336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2EC23E6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E1DE7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02194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p w14:paraId="134A5E0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2706B5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пулемета</w:t>
            </w:r>
          </w:p>
          <w:p w14:paraId="477359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F2F06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p w14:paraId="3A25C3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55CC4F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w:t>
            </w:r>
          </w:p>
          <w:p w14:paraId="1A09C96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047F7A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p w14:paraId="299458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3B1D07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AFE6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C3A9838" w14:textId="77777777">
        <w:trPr>
          <w:trHeight w:val="154"/>
        </w:trPr>
        <w:tc>
          <w:tcPr>
            <w:tcW w:w="499" w:type="dxa"/>
          </w:tcPr>
          <w:p w14:paraId="54CD133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Союз ССР</w:t>
            </w:r>
          </w:p>
          <w:p w14:paraId="5A6758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49C3F4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воору</w:t>
            </w:r>
            <w:r w:rsidRPr="00A259BD">
              <w:rPr>
                <w:rFonts w:ascii="Times New Roman" w:hAnsi="Times New Roman"/>
                <w:color w:val="000000" w:themeColor="text1"/>
                <w:sz w:val="16"/>
                <w:szCs w:val="16"/>
              </w:rPr>
              <w:softHyphen/>
              <w:t>жении</w:t>
            </w:r>
          </w:p>
          <w:p w14:paraId="7D92068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661239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ОСТИН 16</w:t>
            </w:r>
          </w:p>
          <w:p w14:paraId="642260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5EDB5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5.200</w:t>
            </w:r>
          </w:p>
          <w:p w14:paraId="5B4B441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180765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w:t>
            </w:r>
          </w:p>
          <w:p w14:paraId="684963E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289EB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p w14:paraId="60273C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5C3DB45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p w14:paraId="463B52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6CEA38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p w14:paraId="70761E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E6F6B5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p w14:paraId="1376238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363EB98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пулемета</w:t>
            </w:r>
          </w:p>
          <w:p w14:paraId="1F61548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3F588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2D828A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03FC3E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w:t>
            </w:r>
          </w:p>
          <w:p w14:paraId="7EFCB0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3F0A7B4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p w14:paraId="1027451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4D92E42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470F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B89958F" w14:textId="77777777">
        <w:trPr>
          <w:trHeight w:val="163"/>
        </w:trPr>
        <w:tc>
          <w:tcPr>
            <w:tcW w:w="499" w:type="dxa"/>
          </w:tcPr>
          <w:p w14:paraId="0EEE5A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1CAA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0BB5A6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2CC98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0DFBCB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ФИАТ</w:t>
            </w:r>
          </w:p>
          <w:p w14:paraId="0FA83AC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3E30A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5.300</w:t>
            </w:r>
          </w:p>
          <w:p w14:paraId="780F26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84135F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w:t>
            </w:r>
          </w:p>
          <w:p w14:paraId="78C09BB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02200D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p w14:paraId="0385FC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464260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p w14:paraId="7B89AE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6BED177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p w14:paraId="01AB40E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1E48D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p w14:paraId="5822615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39FD87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пулемета</w:t>
            </w:r>
          </w:p>
          <w:p w14:paraId="4E5434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F6E6B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1A1A95D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08F37A5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w:t>
            </w:r>
          </w:p>
          <w:p w14:paraId="7FA9A4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2A1268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p w14:paraId="1F46DB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7C67C2A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A3BC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DE785F9" w14:textId="77777777">
        <w:trPr>
          <w:trHeight w:val="154"/>
        </w:trPr>
        <w:tc>
          <w:tcPr>
            <w:tcW w:w="499" w:type="dxa"/>
          </w:tcPr>
          <w:p w14:paraId="583B53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70263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31B5E6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A556E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2A75CB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БА27</w:t>
            </w:r>
          </w:p>
          <w:p w14:paraId="041D2D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E5E98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4.400</w:t>
            </w:r>
          </w:p>
          <w:p w14:paraId="3E13A1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22698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w:t>
            </w:r>
          </w:p>
          <w:p w14:paraId="6DB7C4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E0B62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p w14:paraId="55D5CDA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063E95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p w14:paraId="29FCD4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636125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w:t>
            </w:r>
          </w:p>
          <w:p w14:paraId="20F648E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357B9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p w14:paraId="7783DA0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184F920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 </w:t>
            </w:r>
            <w:proofErr w:type="spellStart"/>
            <w:r w:rsidRPr="00A259BD">
              <w:rPr>
                <w:rFonts w:ascii="Times New Roman" w:hAnsi="Times New Roman"/>
                <w:color w:val="000000" w:themeColor="text1"/>
                <w:sz w:val="16"/>
                <w:szCs w:val="16"/>
              </w:rPr>
              <w:t>пуш</w:t>
            </w:r>
            <w:proofErr w:type="spellEnd"/>
            <w:r w:rsidRPr="00A259BD">
              <w:rPr>
                <w:rFonts w:ascii="Times New Roman" w:hAnsi="Times New Roman"/>
                <w:color w:val="000000" w:themeColor="text1"/>
                <w:sz w:val="16"/>
                <w:szCs w:val="16"/>
              </w:rPr>
              <w:t>, и I пул</w:t>
            </w:r>
          </w:p>
          <w:p w14:paraId="3FA241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4EB025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569F5DB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3ADBD8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w:t>
            </w:r>
          </w:p>
          <w:p w14:paraId="1F0D933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66D5BA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w:t>
            </w:r>
          </w:p>
          <w:p w14:paraId="3067C8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1888A8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B117B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97ADA5F" w14:textId="77777777">
        <w:trPr>
          <w:trHeight w:val="307"/>
        </w:trPr>
        <w:tc>
          <w:tcPr>
            <w:tcW w:w="499" w:type="dxa"/>
          </w:tcPr>
          <w:p w14:paraId="560B67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E94C6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7C8318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предла</w:t>
            </w:r>
            <w:r w:rsidRPr="00A259BD">
              <w:rPr>
                <w:rFonts w:ascii="Times New Roman" w:hAnsi="Times New Roman"/>
                <w:color w:val="000000" w:themeColor="text1"/>
                <w:sz w:val="16"/>
                <w:szCs w:val="16"/>
              </w:rPr>
              <w:softHyphen/>
              <w:t>гаемой системе</w:t>
            </w:r>
          </w:p>
          <w:p w14:paraId="4C43EE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6533213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Легк</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бронеавтом</w:t>
            </w:r>
            <w:proofErr w:type="spellEnd"/>
            <w:r w:rsidRPr="00A259BD">
              <w:rPr>
                <w:rFonts w:ascii="Times New Roman" w:hAnsi="Times New Roman"/>
                <w:color w:val="000000" w:themeColor="text1"/>
                <w:sz w:val="16"/>
                <w:szCs w:val="16"/>
              </w:rPr>
              <w:t>. (НАМИ и ФОРД)</w:t>
            </w:r>
          </w:p>
          <w:p w14:paraId="758E30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AEBFDF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около 1.500</w:t>
            </w:r>
          </w:p>
          <w:p w14:paraId="7A7B65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AE8CED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20/40</w:t>
            </w:r>
          </w:p>
          <w:p w14:paraId="005533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gridSpan w:val="3"/>
          </w:tcPr>
          <w:p w14:paraId="5FB403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бронируется</w:t>
            </w:r>
          </w:p>
          <w:p w14:paraId="18009B6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A562D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p w14:paraId="072A254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76E575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пул. и 1 37 мм пушка (</w:t>
            </w:r>
            <w:proofErr w:type="spellStart"/>
            <w:r w:rsidRPr="00A259BD">
              <w:rPr>
                <w:rFonts w:ascii="Times New Roman" w:hAnsi="Times New Roman"/>
                <w:color w:val="000000" w:themeColor="text1"/>
                <w:sz w:val="16"/>
                <w:szCs w:val="16"/>
              </w:rPr>
              <w:t>крупнокалиб</w:t>
            </w:r>
            <w:proofErr w:type="spellEnd"/>
            <w:r w:rsidRPr="00A259BD">
              <w:rPr>
                <w:rFonts w:ascii="Times New Roman" w:hAnsi="Times New Roman"/>
                <w:color w:val="000000" w:themeColor="text1"/>
                <w:sz w:val="16"/>
                <w:szCs w:val="16"/>
              </w:rPr>
              <w:t>. пулемет).</w:t>
            </w:r>
          </w:p>
          <w:p w14:paraId="5BEAE4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D5E8A9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0EF842F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652DAB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80/100</w:t>
            </w:r>
          </w:p>
          <w:p w14:paraId="2413DA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289F8D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w:t>
            </w:r>
          </w:p>
          <w:p w14:paraId="0BF1A9D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510CAF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Пушки ставятся на машины, предназна</w:t>
            </w:r>
            <w:r w:rsidRPr="00A259BD">
              <w:rPr>
                <w:rFonts w:ascii="Times New Roman" w:hAnsi="Times New Roman"/>
                <w:color w:val="000000" w:themeColor="text1"/>
                <w:sz w:val="16"/>
                <w:szCs w:val="16"/>
              </w:rPr>
              <w:softHyphen/>
              <w:t xml:space="preserve">ченные в качестве подвижных средств </w:t>
            </w:r>
            <w:r w:rsidRPr="00A259BD">
              <w:rPr>
                <w:rFonts w:ascii="Times New Roman" w:hAnsi="Times New Roman"/>
                <w:color w:val="000000" w:themeColor="text1"/>
                <w:sz w:val="16"/>
                <w:szCs w:val="16"/>
              </w:rPr>
              <w:lastRenderedPageBreak/>
              <w:t>противотанковой обороны.</w:t>
            </w:r>
          </w:p>
          <w:p w14:paraId="6EA98C5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2519B02" w14:textId="77777777">
        <w:trPr>
          <w:trHeight w:val="451"/>
        </w:trPr>
        <w:tc>
          <w:tcPr>
            <w:tcW w:w="499" w:type="dxa"/>
          </w:tcPr>
          <w:p w14:paraId="791861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6DCA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09FD50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FEC4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29B459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Средний </w:t>
            </w:r>
            <w:proofErr w:type="spellStart"/>
            <w:r w:rsidRPr="00A259BD">
              <w:rPr>
                <w:rFonts w:ascii="Times New Roman" w:hAnsi="Times New Roman"/>
                <w:color w:val="000000" w:themeColor="text1"/>
                <w:sz w:val="16"/>
                <w:szCs w:val="16"/>
              </w:rPr>
              <w:t>бронеавт</w:t>
            </w:r>
            <w:proofErr w:type="spellEnd"/>
            <w:r w:rsidRPr="00A259BD">
              <w:rPr>
                <w:rFonts w:ascii="Times New Roman" w:hAnsi="Times New Roman"/>
                <w:color w:val="000000" w:themeColor="text1"/>
                <w:sz w:val="16"/>
                <w:szCs w:val="16"/>
              </w:rPr>
              <w:t>. (ФОРД "АА" с двухос</w:t>
            </w:r>
            <w:r w:rsidRPr="00A259BD">
              <w:rPr>
                <w:rFonts w:ascii="Times New Roman" w:hAnsi="Times New Roman"/>
                <w:color w:val="000000" w:themeColor="text1"/>
                <w:sz w:val="16"/>
                <w:szCs w:val="16"/>
              </w:rPr>
              <w:softHyphen/>
              <w:t xml:space="preserve">ным </w:t>
            </w:r>
            <w:proofErr w:type="spellStart"/>
            <w:r w:rsidRPr="00A259BD">
              <w:rPr>
                <w:rFonts w:ascii="Times New Roman" w:hAnsi="Times New Roman"/>
                <w:color w:val="000000" w:themeColor="text1"/>
                <w:sz w:val="16"/>
                <w:szCs w:val="16"/>
              </w:rPr>
              <w:t>задн</w:t>
            </w:r>
            <w:proofErr w:type="spellEnd"/>
            <w:r w:rsidRPr="00A259BD">
              <w:rPr>
                <w:rFonts w:ascii="Times New Roman" w:hAnsi="Times New Roman"/>
                <w:color w:val="000000" w:themeColor="text1"/>
                <w:sz w:val="16"/>
                <w:szCs w:val="16"/>
              </w:rPr>
              <w:t>. мостом "ДЖЕМБО", или другой конструкции)</w:t>
            </w:r>
          </w:p>
          <w:p w14:paraId="06E30C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F5387D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около 3.800</w:t>
            </w:r>
          </w:p>
          <w:p w14:paraId="528E8F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422BD55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p w14:paraId="26A53C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C214E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ок</w:t>
            </w:r>
            <w:proofErr w:type="spellEnd"/>
            <w:r w:rsidRPr="00A259BD">
              <w:rPr>
                <w:rFonts w:ascii="Times New Roman" w:hAnsi="Times New Roman"/>
                <w:color w:val="000000" w:themeColor="text1"/>
                <w:sz w:val="16"/>
                <w:szCs w:val="16"/>
              </w:rPr>
              <w:t>. 6-7</w:t>
            </w:r>
          </w:p>
          <w:p w14:paraId="14BE7B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6A9CD2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4098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522FF3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9217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43A48AB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p w14:paraId="1A697F8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5C4DD5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пулемета</w:t>
            </w:r>
          </w:p>
          <w:p w14:paraId="30FBD4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4825EF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56982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7F18BA9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p w14:paraId="72BBB8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269F31F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p w14:paraId="444DDB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79FCE5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003DD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2E53DFF" w14:textId="77777777">
        <w:trPr>
          <w:trHeight w:val="326"/>
        </w:trPr>
        <w:tc>
          <w:tcPr>
            <w:tcW w:w="499" w:type="dxa"/>
            <w:tcBorders>
              <w:bottom w:val="single" w:sz="12" w:space="0" w:color="auto"/>
            </w:tcBorders>
          </w:tcPr>
          <w:p w14:paraId="0FB441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14FA6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bottom w:val="single" w:sz="12" w:space="0" w:color="auto"/>
            </w:tcBorders>
          </w:tcPr>
          <w:p w14:paraId="37B697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2D21B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Borders>
              <w:bottom w:val="single" w:sz="12" w:space="0" w:color="auto"/>
            </w:tcBorders>
          </w:tcPr>
          <w:p w14:paraId="018220E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Тяж. </w:t>
            </w:r>
            <w:proofErr w:type="spellStart"/>
            <w:r w:rsidRPr="00A259BD">
              <w:rPr>
                <w:rFonts w:ascii="Times New Roman" w:hAnsi="Times New Roman"/>
                <w:color w:val="000000" w:themeColor="text1"/>
                <w:sz w:val="16"/>
                <w:szCs w:val="16"/>
              </w:rPr>
              <w:t>бронеавтомоб</w:t>
            </w:r>
            <w:proofErr w:type="spellEnd"/>
            <w:r w:rsidRPr="00A259BD">
              <w:rPr>
                <w:rFonts w:ascii="Times New Roman" w:hAnsi="Times New Roman"/>
                <w:color w:val="000000" w:themeColor="text1"/>
                <w:sz w:val="16"/>
                <w:szCs w:val="16"/>
              </w:rPr>
              <w:t>. (АВТОКАР с подведенной 3-ей осью).</w:t>
            </w:r>
          </w:p>
          <w:p w14:paraId="7835210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bottom w:val="single" w:sz="12" w:space="0" w:color="auto"/>
            </w:tcBorders>
          </w:tcPr>
          <w:p w14:paraId="2941AF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около 6.000</w:t>
            </w:r>
          </w:p>
          <w:p w14:paraId="57E7C4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bottom w:val="single" w:sz="12" w:space="0" w:color="auto"/>
            </w:tcBorders>
          </w:tcPr>
          <w:p w14:paraId="715DC7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56/66</w:t>
            </w:r>
          </w:p>
          <w:p w14:paraId="35BFC7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bottom w:val="single" w:sz="12" w:space="0" w:color="auto"/>
            </w:tcBorders>
          </w:tcPr>
          <w:p w14:paraId="194213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7-8</w:t>
            </w:r>
          </w:p>
          <w:p w14:paraId="16EB7C0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Borders>
              <w:bottom w:val="single" w:sz="12" w:space="0" w:color="auto"/>
            </w:tcBorders>
          </w:tcPr>
          <w:p w14:paraId="63026A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B39C5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bottom w:val="single" w:sz="12" w:space="0" w:color="auto"/>
            </w:tcBorders>
          </w:tcPr>
          <w:p w14:paraId="7B8206E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4ECC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bottom w:val="single" w:sz="12" w:space="0" w:color="auto"/>
            </w:tcBorders>
          </w:tcPr>
          <w:p w14:paraId="57F58D0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p w14:paraId="0230C5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Borders>
              <w:bottom w:val="single" w:sz="12" w:space="0" w:color="auto"/>
            </w:tcBorders>
          </w:tcPr>
          <w:p w14:paraId="2421050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37 мм пушка и 2 </w:t>
            </w:r>
            <w:proofErr w:type="spellStart"/>
            <w:r w:rsidRPr="00A259BD">
              <w:rPr>
                <w:rFonts w:ascii="Times New Roman" w:hAnsi="Times New Roman"/>
                <w:color w:val="000000" w:themeColor="text1"/>
                <w:sz w:val="16"/>
                <w:szCs w:val="16"/>
              </w:rPr>
              <w:t>пулем</w:t>
            </w:r>
            <w:proofErr w:type="spellEnd"/>
            <w:r w:rsidRPr="00A259BD">
              <w:rPr>
                <w:rFonts w:ascii="Times New Roman" w:hAnsi="Times New Roman"/>
                <w:color w:val="000000" w:themeColor="text1"/>
                <w:sz w:val="16"/>
                <w:szCs w:val="16"/>
              </w:rPr>
              <w:t xml:space="preserve">. (1 нулем, </w:t>
            </w:r>
            <w:proofErr w:type="spellStart"/>
            <w:r w:rsidRPr="00A259BD">
              <w:rPr>
                <w:rFonts w:ascii="Times New Roman" w:hAnsi="Times New Roman"/>
                <w:color w:val="000000" w:themeColor="text1"/>
                <w:sz w:val="16"/>
                <w:szCs w:val="16"/>
              </w:rPr>
              <w:t>неодновр</w:t>
            </w:r>
            <w:proofErr w:type="spellEnd"/>
            <w:r w:rsidRPr="00A259BD">
              <w:rPr>
                <w:rFonts w:ascii="Times New Roman" w:hAnsi="Times New Roman"/>
                <w:color w:val="000000" w:themeColor="text1"/>
                <w:sz w:val="16"/>
                <w:szCs w:val="16"/>
              </w:rPr>
              <w:t>. с пушкой действ.)</w:t>
            </w:r>
          </w:p>
          <w:p w14:paraId="21CB39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bottom w:val="single" w:sz="12" w:space="0" w:color="auto"/>
            </w:tcBorders>
          </w:tcPr>
          <w:p w14:paraId="0C7C51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5D528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bottom w:val="single" w:sz="12" w:space="0" w:color="auto"/>
            </w:tcBorders>
          </w:tcPr>
          <w:p w14:paraId="4F346E5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p w14:paraId="297AFE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bottom w:val="single" w:sz="12" w:space="0" w:color="auto"/>
            </w:tcBorders>
          </w:tcPr>
          <w:p w14:paraId="6E7382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200/250</w:t>
            </w:r>
          </w:p>
          <w:p w14:paraId="60731A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bottom w:val="single" w:sz="12" w:space="0" w:color="auto"/>
            </w:tcBorders>
          </w:tcPr>
          <w:p w14:paraId="3AC542E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A4A1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F880F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РГВА. Ф. 4. Оп. 2. Д. 504. Л. 23 (11210).</w:t>
      </w:r>
    </w:p>
    <w:p w14:paraId="21D676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972E6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 1929 была подготовлена СРАВНИТЕЛЬНАЯ ТАБЛИЦА ОСНОВНЫХ ДАННЫХ АРТИЛЛЕРИЙСКИХ ТРАКТОРОВ ИНОСТРАННЫХ АРМИЙ И РАБОЧЕ-КРЕСТЬЯНСКОЙ КРАСНОЙ АРМИИ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53"/>
        <w:gridCol w:w="9"/>
        <w:gridCol w:w="2324"/>
        <w:gridCol w:w="1181"/>
        <w:gridCol w:w="9"/>
        <w:gridCol w:w="1594"/>
        <w:gridCol w:w="1277"/>
        <w:gridCol w:w="1978"/>
        <w:gridCol w:w="1613"/>
      </w:tblGrid>
      <w:tr w:rsidR="00A259BD" w:rsidRPr="00A259BD" w14:paraId="2A75D5B0" w14:textId="77777777">
        <w:trPr>
          <w:trHeight w:val="163"/>
        </w:trPr>
        <w:tc>
          <w:tcPr>
            <w:tcW w:w="1853" w:type="dxa"/>
            <w:tcBorders>
              <w:top w:val="single" w:sz="12" w:space="0" w:color="auto"/>
            </w:tcBorders>
          </w:tcPr>
          <w:p w14:paraId="31DCAA5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7ED16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Borders>
              <w:top w:val="single" w:sz="12" w:space="0" w:color="auto"/>
            </w:tcBorders>
          </w:tcPr>
          <w:p w14:paraId="1134061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DA06C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12" w:space="0" w:color="auto"/>
            </w:tcBorders>
          </w:tcPr>
          <w:p w14:paraId="2E43E9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Походный вес</w:t>
            </w:r>
          </w:p>
          <w:p w14:paraId="7E4E68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Borders>
              <w:top w:val="single" w:sz="12" w:space="0" w:color="auto"/>
            </w:tcBorders>
          </w:tcPr>
          <w:p w14:paraId="210C365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8C9B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12" w:space="0" w:color="auto"/>
            </w:tcBorders>
          </w:tcPr>
          <w:p w14:paraId="692D51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97A96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12" w:space="0" w:color="auto"/>
            </w:tcBorders>
          </w:tcPr>
          <w:p w14:paraId="774B23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A440F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12" w:space="0" w:color="auto"/>
            </w:tcBorders>
          </w:tcPr>
          <w:p w14:paraId="705E437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4E007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6F55850" w14:textId="77777777">
        <w:trPr>
          <w:trHeight w:val="317"/>
        </w:trPr>
        <w:tc>
          <w:tcPr>
            <w:tcW w:w="1853" w:type="dxa"/>
          </w:tcPr>
          <w:p w14:paraId="05939A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Государство</w:t>
            </w:r>
          </w:p>
          <w:p w14:paraId="0AA595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0D76FE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Наименование трактора:</w:t>
            </w:r>
          </w:p>
          <w:p w14:paraId="28FFB9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757BBC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трактора без дополнительного</w:t>
            </w:r>
          </w:p>
          <w:p w14:paraId="26EE633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2261D5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Максимальный прицепной груз</w:t>
            </w:r>
          </w:p>
          <w:p w14:paraId="1E5508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3F32D7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Мощность мотора</w:t>
            </w:r>
          </w:p>
          <w:p w14:paraId="1C7CB04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76825A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Ход</w:t>
            </w:r>
          </w:p>
          <w:p w14:paraId="01CB0C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65BBB52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Максимальная скорость (км)</w:t>
            </w:r>
          </w:p>
          <w:p w14:paraId="6D21062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D3D6708" w14:textId="77777777">
        <w:trPr>
          <w:trHeight w:val="134"/>
        </w:trPr>
        <w:tc>
          <w:tcPr>
            <w:tcW w:w="1853" w:type="dxa"/>
          </w:tcPr>
          <w:p w14:paraId="2D49C89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A1D0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14C6CC6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9D6D1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76E964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груза</w:t>
            </w:r>
          </w:p>
          <w:p w14:paraId="0888A9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7DC8DC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B6E0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0BBEAB0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B487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24C6116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9570A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4910B7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4E20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457C046" w14:textId="77777777">
        <w:trPr>
          <w:trHeight w:val="173"/>
        </w:trPr>
        <w:tc>
          <w:tcPr>
            <w:tcW w:w="1853" w:type="dxa"/>
          </w:tcPr>
          <w:p w14:paraId="47A67B6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ФРАНЦИЯ</w:t>
            </w:r>
          </w:p>
          <w:p w14:paraId="58D985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2BEBD9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ЛАТИЛЬ ТАК</w:t>
            </w:r>
          </w:p>
          <w:p w14:paraId="120324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D9323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5.800</w:t>
            </w:r>
          </w:p>
          <w:p w14:paraId="30CDE3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6593B17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6E0C0A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5EF437A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w:t>
            </w:r>
          </w:p>
          <w:p w14:paraId="5A0758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6D0BE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Колесный</w:t>
            </w:r>
          </w:p>
          <w:p w14:paraId="71282F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2DB331E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17,8</w:t>
            </w:r>
          </w:p>
          <w:p w14:paraId="4E8DE3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931DBC3" w14:textId="77777777">
        <w:trPr>
          <w:trHeight w:val="173"/>
        </w:trPr>
        <w:tc>
          <w:tcPr>
            <w:tcW w:w="1853" w:type="dxa"/>
          </w:tcPr>
          <w:p w14:paraId="257809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вооружении:</w:t>
            </w:r>
          </w:p>
          <w:p w14:paraId="090ADB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009ED3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РЕНО ЕД</w:t>
            </w:r>
          </w:p>
          <w:p w14:paraId="682052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3AFF96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7.000</w:t>
            </w:r>
          </w:p>
          <w:p w14:paraId="7A399A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0EF28D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0A2A06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094D977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w:t>
            </w:r>
          </w:p>
          <w:p w14:paraId="00B7D0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26C2A6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Колесный</w:t>
            </w:r>
          </w:p>
          <w:p w14:paraId="148141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3DCBB3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15,7</w:t>
            </w:r>
          </w:p>
          <w:p w14:paraId="4A9ECD2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93AA819" w14:textId="77777777">
        <w:trPr>
          <w:trHeight w:val="163"/>
        </w:trPr>
        <w:tc>
          <w:tcPr>
            <w:tcW w:w="1853" w:type="dxa"/>
          </w:tcPr>
          <w:p w14:paraId="18C8AC5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878F8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1C99B0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ПАНХАРД</w:t>
            </w:r>
          </w:p>
          <w:p w14:paraId="4F26D0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F24C6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w:t>
            </w:r>
          </w:p>
          <w:p w14:paraId="60D287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07B0C8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23FC0DC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17A8BA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p w14:paraId="3EFA02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183124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Колесный</w:t>
            </w:r>
          </w:p>
          <w:p w14:paraId="3041D68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68D0BD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23,5</w:t>
            </w:r>
          </w:p>
          <w:p w14:paraId="2AFF24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94D8FE7" w14:textId="77777777">
        <w:trPr>
          <w:trHeight w:val="154"/>
        </w:trPr>
        <w:tc>
          <w:tcPr>
            <w:tcW w:w="1853" w:type="dxa"/>
          </w:tcPr>
          <w:p w14:paraId="7A4F84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A1A0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6E8A317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“ЖЕФФЕРИ”</w:t>
            </w:r>
          </w:p>
          <w:p w14:paraId="469883A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63FEE3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2.700</w:t>
            </w:r>
          </w:p>
          <w:p w14:paraId="445D07F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40075C6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7571CFA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2A386F3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w:t>
            </w:r>
          </w:p>
          <w:p w14:paraId="520F95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3AEE01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Колесный</w:t>
            </w:r>
          </w:p>
          <w:p w14:paraId="57CF0F3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3D8795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w:t>
            </w:r>
          </w:p>
          <w:p w14:paraId="1586393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46F52C6" w14:textId="77777777">
        <w:trPr>
          <w:trHeight w:val="163"/>
        </w:trPr>
        <w:tc>
          <w:tcPr>
            <w:tcW w:w="1853" w:type="dxa"/>
          </w:tcPr>
          <w:p w14:paraId="0F966F1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311E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0C7196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ЛАТИЛЬ ТР</w:t>
            </w:r>
          </w:p>
          <w:p w14:paraId="7CB50D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48C6507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5.400</w:t>
            </w:r>
          </w:p>
          <w:p w14:paraId="7B0A6B4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59C17E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6F0C64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4981F8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w:t>
            </w:r>
          </w:p>
          <w:p w14:paraId="1A36D07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43E9676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Колесный</w:t>
            </w:r>
          </w:p>
          <w:p w14:paraId="6C3107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3002499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p w14:paraId="62CD98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440C14F" w14:textId="77777777">
        <w:trPr>
          <w:trHeight w:val="182"/>
        </w:trPr>
        <w:tc>
          <w:tcPr>
            <w:tcW w:w="1853" w:type="dxa"/>
          </w:tcPr>
          <w:p w14:paraId="3DC737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AE73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25A06EC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ШНЕЙДЕР</w:t>
            </w:r>
          </w:p>
          <w:p w14:paraId="16C5D1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3DF5CC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w:t>
            </w:r>
          </w:p>
          <w:p w14:paraId="19BB528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425930C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72B002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5561C6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w:t>
            </w:r>
          </w:p>
          <w:p w14:paraId="338D0E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457FED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Гусеничный</w:t>
            </w:r>
          </w:p>
          <w:p w14:paraId="57C84B8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3A0755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8,3</w:t>
            </w:r>
          </w:p>
          <w:p w14:paraId="466A3A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283B1E3" w14:textId="77777777">
        <w:trPr>
          <w:trHeight w:val="173"/>
        </w:trPr>
        <w:tc>
          <w:tcPr>
            <w:tcW w:w="1853" w:type="dxa"/>
          </w:tcPr>
          <w:p w14:paraId="7344D8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Опытные СЕН-ШАМОН:</w:t>
            </w:r>
          </w:p>
          <w:p w14:paraId="332BE64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362D40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Легк</w:t>
            </w:r>
            <w:proofErr w:type="spellEnd"/>
            <w:r w:rsidRPr="00A259BD">
              <w:rPr>
                <w:rFonts w:ascii="Times New Roman" w:hAnsi="Times New Roman"/>
                <w:color w:val="000000" w:themeColor="text1"/>
                <w:sz w:val="16"/>
                <w:szCs w:val="16"/>
              </w:rPr>
              <w:t>. трактор обр. 1923 г.</w:t>
            </w:r>
          </w:p>
          <w:p w14:paraId="010D764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7C7E819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4.800</w:t>
            </w:r>
          </w:p>
          <w:p w14:paraId="1C3E5F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1FF076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1 .800</w:t>
            </w:r>
          </w:p>
          <w:p w14:paraId="670993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7577DB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p w14:paraId="122677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8C1E8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Колесно-гусеничный</w:t>
            </w:r>
          </w:p>
          <w:p w14:paraId="720408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1FD259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(на кол.)</w:t>
            </w:r>
          </w:p>
          <w:p w14:paraId="63B499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594F96B" w14:textId="77777777">
        <w:trPr>
          <w:trHeight w:val="173"/>
        </w:trPr>
        <w:tc>
          <w:tcPr>
            <w:tcW w:w="1853" w:type="dxa"/>
          </w:tcPr>
          <w:p w14:paraId="314C0F6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F8D1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5D7B43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Тяжелый корпусной 1924г.</w:t>
            </w:r>
          </w:p>
          <w:p w14:paraId="5CE478B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43F716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7.000</w:t>
            </w:r>
          </w:p>
          <w:p w14:paraId="79181B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2CD169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8.000-1 0.000</w:t>
            </w:r>
          </w:p>
          <w:p w14:paraId="78C5857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4C9EC3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w:t>
            </w:r>
          </w:p>
          <w:p w14:paraId="01C112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6FB11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Колесно-гусеничный</w:t>
            </w:r>
          </w:p>
          <w:p w14:paraId="48E4ACF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07CC9C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(на кол.)</w:t>
            </w:r>
          </w:p>
          <w:p w14:paraId="4F8D94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F0DE656" w14:textId="77777777">
        <w:trPr>
          <w:trHeight w:val="163"/>
        </w:trPr>
        <w:tc>
          <w:tcPr>
            <w:tcW w:w="1853" w:type="dxa"/>
          </w:tcPr>
          <w:p w14:paraId="3F313F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5E3C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3D462E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Тяжелый армейский 1924г.</w:t>
            </w:r>
          </w:p>
          <w:p w14:paraId="4862F0A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6B7681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11000</w:t>
            </w:r>
          </w:p>
          <w:p w14:paraId="152165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3D48072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15.000</w:t>
            </w:r>
          </w:p>
          <w:p w14:paraId="0F465B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19248D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w:t>
            </w:r>
          </w:p>
          <w:p w14:paraId="2A493A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5668B9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Колесно-гусеничный</w:t>
            </w:r>
          </w:p>
          <w:p w14:paraId="0AA1492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68812FD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(на кол.)</w:t>
            </w:r>
          </w:p>
          <w:p w14:paraId="3F154BE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8221347" w14:textId="77777777">
        <w:trPr>
          <w:trHeight w:val="173"/>
        </w:trPr>
        <w:tc>
          <w:tcPr>
            <w:tcW w:w="1853" w:type="dxa"/>
          </w:tcPr>
          <w:p w14:paraId="434A50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Сельско-хозяйственные:</w:t>
            </w:r>
          </w:p>
          <w:p w14:paraId="14ECED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606A4E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РЕНО РО (гусеничный)</w:t>
            </w:r>
          </w:p>
          <w:p w14:paraId="6944C8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0EC894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4.000</w:t>
            </w:r>
          </w:p>
          <w:p w14:paraId="3FEA23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1457F77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0DBE660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5C5DF3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w:t>
            </w:r>
          </w:p>
          <w:p w14:paraId="1B4B2D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2E15F7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Гусеничный</w:t>
            </w:r>
          </w:p>
          <w:p w14:paraId="1BD2635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71394E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E734B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E8FAC11" w14:textId="77777777">
        <w:trPr>
          <w:trHeight w:val="163"/>
        </w:trPr>
        <w:tc>
          <w:tcPr>
            <w:tcW w:w="1853" w:type="dxa"/>
          </w:tcPr>
          <w:p w14:paraId="7E4A73D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4AF2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1B3D21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АРА</w:t>
            </w:r>
          </w:p>
          <w:p w14:paraId="134C3B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6E9ED6C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2.450</w:t>
            </w:r>
          </w:p>
          <w:p w14:paraId="5EA175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7319B2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BF28EB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35A8B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w:t>
            </w:r>
          </w:p>
          <w:p w14:paraId="23A0D9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CBF53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Гусеничный</w:t>
            </w:r>
          </w:p>
          <w:p w14:paraId="030072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434369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0C37AA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360291E" w14:textId="77777777">
        <w:trPr>
          <w:trHeight w:val="154"/>
        </w:trPr>
        <w:tc>
          <w:tcPr>
            <w:tcW w:w="1853" w:type="dxa"/>
          </w:tcPr>
          <w:p w14:paraId="78C8F2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17682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2D039D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СИТРОЕН-КИГРЕСС “К2Т”</w:t>
            </w:r>
          </w:p>
          <w:p w14:paraId="7EC4B2D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5B0DB6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2.100</w:t>
            </w:r>
          </w:p>
          <w:p w14:paraId="381B4E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0A950BD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12F4323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3D372C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w:t>
            </w:r>
          </w:p>
          <w:p w14:paraId="08A62C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9FFBA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129D0A1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2D9967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p w14:paraId="712494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04B46B7" w14:textId="77777777">
        <w:trPr>
          <w:trHeight w:val="173"/>
        </w:trPr>
        <w:tc>
          <w:tcPr>
            <w:tcW w:w="1853" w:type="dxa"/>
          </w:tcPr>
          <w:p w14:paraId="3B162A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76ED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599252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СИТРОЕН-КИГРЕСС Р. 10</w:t>
            </w:r>
          </w:p>
          <w:p w14:paraId="5D8025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81FC0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1.850</w:t>
            </w:r>
          </w:p>
          <w:p w14:paraId="15160C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09EC78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E258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3961DB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7A246A2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20966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1DB9EA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00712E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p w14:paraId="1105A3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951D4B2" w14:textId="77777777">
        <w:trPr>
          <w:trHeight w:val="173"/>
        </w:trPr>
        <w:tc>
          <w:tcPr>
            <w:tcW w:w="1853" w:type="dxa"/>
          </w:tcPr>
          <w:p w14:paraId="02E4A84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С.А.С.Ш.</w:t>
            </w:r>
          </w:p>
          <w:p w14:paraId="191924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748F47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C29FA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4073F55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9776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3CB0988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D91A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CDCC8C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0F32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7B0548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C514E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67C0382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367C7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F627333" w14:textId="77777777">
        <w:trPr>
          <w:trHeight w:val="173"/>
        </w:trPr>
        <w:tc>
          <w:tcPr>
            <w:tcW w:w="1853" w:type="dxa"/>
          </w:tcPr>
          <w:p w14:paraId="635986F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вооружении:</w:t>
            </w:r>
          </w:p>
          <w:p w14:paraId="7C9C2E9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0EB5184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ХОЛТ - 5 тонн</w:t>
            </w:r>
          </w:p>
          <w:p w14:paraId="5471FE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34467E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4150</w:t>
            </w:r>
          </w:p>
          <w:p w14:paraId="0F6C75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4EE8B7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50E748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53CF0C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p w14:paraId="492D83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721F8F4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Гусеничный</w:t>
            </w:r>
          </w:p>
          <w:p w14:paraId="3FC978A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2F2780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w:t>
            </w:r>
          </w:p>
          <w:p w14:paraId="19871C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38193EE" w14:textId="77777777">
        <w:trPr>
          <w:trHeight w:val="173"/>
        </w:trPr>
        <w:tc>
          <w:tcPr>
            <w:tcW w:w="1853" w:type="dxa"/>
          </w:tcPr>
          <w:p w14:paraId="2EEA71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110C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701F0B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ХОЛТ-</w:t>
            </w:r>
            <w:proofErr w:type="spellStart"/>
            <w:r w:rsidRPr="00A259BD">
              <w:rPr>
                <w:rFonts w:ascii="Times New Roman" w:hAnsi="Times New Roman"/>
                <w:color w:val="000000" w:themeColor="text1"/>
                <w:sz w:val="16"/>
                <w:szCs w:val="16"/>
              </w:rPr>
              <w:t>Ютонн</w:t>
            </w:r>
            <w:proofErr w:type="spellEnd"/>
          </w:p>
          <w:p w14:paraId="72008E0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A55069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9.000</w:t>
            </w:r>
          </w:p>
          <w:p w14:paraId="4AEAD8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2E8633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7524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420C18D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p w14:paraId="6522122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7201D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Гусеничный</w:t>
            </w:r>
          </w:p>
          <w:p w14:paraId="5628847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6B6F40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p w14:paraId="26158AF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BF67F2D" w14:textId="77777777">
        <w:trPr>
          <w:trHeight w:val="163"/>
        </w:trPr>
        <w:tc>
          <w:tcPr>
            <w:tcW w:w="1853" w:type="dxa"/>
          </w:tcPr>
          <w:p w14:paraId="3D14D5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5500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4EEE9A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ХОЛТ- 15 тонн</w:t>
            </w:r>
          </w:p>
          <w:p w14:paraId="32BA71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35A141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1 1 .340</w:t>
            </w:r>
          </w:p>
          <w:p w14:paraId="066ACF5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4AA0A6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1206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1EA14C4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w:t>
            </w:r>
          </w:p>
          <w:p w14:paraId="2CF81B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455269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Гусеничный</w:t>
            </w:r>
          </w:p>
          <w:p w14:paraId="05ABAF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2683B1D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p w14:paraId="254AA7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6FE7671" w14:textId="77777777">
        <w:trPr>
          <w:trHeight w:val="173"/>
        </w:trPr>
        <w:tc>
          <w:tcPr>
            <w:tcW w:w="1853" w:type="dxa"/>
          </w:tcPr>
          <w:p w14:paraId="7A79ADB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0989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6DE881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ХОЛТ- 20 тонн</w:t>
            </w:r>
          </w:p>
          <w:p w14:paraId="0BB8BEC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497BD6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12.150</w:t>
            </w:r>
          </w:p>
          <w:p w14:paraId="2EDCD56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68F4B6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0F0FE8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7053990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522355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308858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Гусеничный</w:t>
            </w:r>
          </w:p>
          <w:p w14:paraId="79B6F6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7B23C5B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w:t>
            </w:r>
          </w:p>
          <w:p w14:paraId="2665B5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A38D46F" w14:textId="77777777">
        <w:trPr>
          <w:trHeight w:val="163"/>
        </w:trPr>
        <w:tc>
          <w:tcPr>
            <w:tcW w:w="1853" w:type="dxa"/>
          </w:tcPr>
          <w:p w14:paraId="0B1285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Опытные:</w:t>
            </w:r>
          </w:p>
          <w:p w14:paraId="609464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37D904C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Дивизион. Трактор 1920 г.</w:t>
            </w:r>
          </w:p>
          <w:p w14:paraId="1B98936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475C3CE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3.300</w:t>
            </w:r>
          </w:p>
          <w:p w14:paraId="389912E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63770F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6999497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38A4DA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w:t>
            </w:r>
          </w:p>
          <w:p w14:paraId="2753297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3C6BC09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Гусеничный</w:t>
            </w:r>
          </w:p>
          <w:p w14:paraId="0CC8E1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117F307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w:t>
            </w:r>
          </w:p>
          <w:p w14:paraId="5772CD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DF7386D" w14:textId="77777777">
        <w:trPr>
          <w:trHeight w:val="173"/>
        </w:trPr>
        <w:tc>
          <w:tcPr>
            <w:tcW w:w="1853" w:type="dxa"/>
          </w:tcPr>
          <w:p w14:paraId="213A8B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02C98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2BFA3B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Корпусной трактор 1921 г.</w:t>
            </w:r>
          </w:p>
          <w:p w14:paraId="39C78AD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372608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6.800</w:t>
            </w:r>
          </w:p>
          <w:p w14:paraId="491AA7D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1EA6438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6B78F95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1B01748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w:t>
            </w:r>
          </w:p>
          <w:p w14:paraId="21DFA8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1C52C0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Гусеничный</w:t>
            </w:r>
          </w:p>
          <w:p w14:paraId="2DBD66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562181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w:t>
            </w:r>
          </w:p>
          <w:p w14:paraId="5E715C8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1B8C6C1" w14:textId="77777777">
        <w:trPr>
          <w:trHeight w:val="163"/>
        </w:trPr>
        <w:tc>
          <w:tcPr>
            <w:tcW w:w="1853" w:type="dxa"/>
          </w:tcPr>
          <w:p w14:paraId="503C8C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F39C0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45B65B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Армейский трактор 1921-22 г.</w:t>
            </w:r>
          </w:p>
          <w:p w14:paraId="7FF1EF6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7F7983B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w:t>
            </w:r>
          </w:p>
          <w:p w14:paraId="73BE69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6AD02D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4F64C5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808AD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180</w:t>
            </w:r>
          </w:p>
          <w:p w14:paraId="2FEEE9E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7B91049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Гусеничный</w:t>
            </w:r>
          </w:p>
          <w:p w14:paraId="0569C0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44F824E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w:t>
            </w:r>
          </w:p>
          <w:p w14:paraId="7EACAE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A1CD206" w14:textId="77777777">
        <w:trPr>
          <w:trHeight w:val="163"/>
        </w:trPr>
        <w:tc>
          <w:tcPr>
            <w:tcW w:w="1853" w:type="dxa"/>
          </w:tcPr>
          <w:p w14:paraId="68ADAD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Коммерческого типа:</w:t>
            </w:r>
          </w:p>
          <w:p w14:paraId="69DAB4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065CC14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КАТЕРПИЛЛЕР - 60 тонн</w:t>
            </w:r>
          </w:p>
          <w:p w14:paraId="2F702D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7D7FAD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10.500</w:t>
            </w:r>
          </w:p>
          <w:p w14:paraId="2637385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2F784D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w:t>
            </w:r>
          </w:p>
          <w:p w14:paraId="353571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5E4A07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FE30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2A856B5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5B749B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236D8B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w:t>
            </w:r>
          </w:p>
          <w:p w14:paraId="3C8234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B74A032" w14:textId="77777777">
        <w:trPr>
          <w:trHeight w:val="154"/>
        </w:trPr>
        <w:tc>
          <w:tcPr>
            <w:tcW w:w="1853" w:type="dxa"/>
          </w:tcPr>
          <w:p w14:paraId="6EB213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A443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78ADA3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КАТЕРПИЛЛЕР- 30 тонн</w:t>
            </w:r>
          </w:p>
          <w:p w14:paraId="3878FF5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4E7C18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4.500</w:t>
            </w:r>
          </w:p>
          <w:p w14:paraId="19F868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69DF3D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44F96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C5F0A0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15114E6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53FA33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409AF89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143F513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w:t>
            </w:r>
          </w:p>
          <w:p w14:paraId="5C1B395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5E6697B" w14:textId="77777777">
        <w:trPr>
          <w:trHeight w:val="173"/>
        </w:trPr>
        <w:tc>
          <w:tcPr>
            <w:tcW w:w="1853" w:type="dxa"/>
          </w:tcPr>
          <w:p w14:paraId="643257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61678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05CD0F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КАТЕРПИЛЛЕР- 2 тонн</w:t>
            </w:r>
          </w:p>
          <w:p w14:paraId="26DAF4A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38E7C53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w:t>
            </w:r>
          </w:p>
          <w:p w14:paraId="2E85AB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59008E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_</w:t>
            </w:r>
          </w:p>
          <w:p w14:paraId="05578C7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0AB4FD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5C78DD3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23CB4E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4993A9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40D618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8,4</w:t>
            </w:r>
          </w:p>
          <w:p w14:paraId="70700E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47ACBA3" w14:textId="77777777">
        <w:trPr>
          <w:trHeight w:val="192"/>
        </w:trPr>
        <w:tc>
          <w:tcPr>
            <w:tcW w:w="1853" w:type="dxa"/>
          </w:tcPr>
          <w:p w14:paraId="43694D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C1B73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579EC85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КЛЕТРАК</w:t>
            </w:r>
          </w:p>
          <w:p w14:paraId="0177B7A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68CC33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3.150</w:t>
            </w:r>
          </w:p>
          <w:p w14:paraId="7CE7DA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65B563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7AA680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0AEF60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32214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3D804D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7E337F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18BD15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p w14:paraId="28E3568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3CFCC6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1"/>
        </w:trPr>
        <w:tc>
          <w:tcPr>
            <w:tcW w:w="1862" w:type="dxa"/>
            <w:gridSpan w:val="2"/>
            <w:tcBorders>
              <w:top w:val="single" w:sz="12" w:space="0" w:color="auto"/>
              <w:left w:val="single" w:sz="12" w:space="0" w:color="auto"/>
              <w:bottom w:val="single" w:sz="6" w:space="0" w:color="auto"/>
              <w:right w:val="single" w:sz="6" w:space="0" w:color="auto"/>
            </w:tcBorders>
          </w:tcPr>
          <w:p w14:paraId="65E3033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3.ИТАЛИЯ</w:t>
            </w:r>
          </w:p>
          <w:p w14:paraId="50FEDDA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23" w:type="dxa"/>
            <w:tcBorders>
              <w:top w:val="single" w:sz="12" w:space="0" w:color="auto"/>
              <w:left w:val="single" w:sz="6" w:space="0" w:color="auto"/>
              <w:bottom w:val="single" w:sz="6" w:space="0" w:color="auto"/>
              <w:right w:val="single" w:sz="6" w:space="0" w:color="auto"/>
            </w:tcBorders>
          </w:tcPr>
          <w:p w14:paraId="5C8AEC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ПАВЕЗИ - легкий ПАВЕЗИ - тяжелый ДАЙМЛЕР обр. 1917г. ШКОДА-ДАЙМЛЕР</w:t>
            </w:r>
          </w:p>
          <w:p w14:paraId="588D622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single" w:sz="12" w:space="0" w:color="auto"/>
              <w:left w:val="single" w:sz="6" w:space="0" w:color="auto"/>
              <w:bottom w:val="single" w:sz="6" w:space="0" w:color="auto"/>
              <w:right w:val="single" w:sz="6" w:space="0" w:color="auto"/>
            </w:tcBorders>
          </w:tcPr>
          <w:p w14:paraId="42FBEA1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2.000 3.800 9.700 8.400</w:t>
            </w:r>
          </w:p>
          <w:p w14:paraId="5550E98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12" w:space="0" w:color="auto"/>
              <w:left w:val="single" w:sz="6" w:space="0" w:color="auto"/>
              <w:bottom w:val="single" w:sz="6" w:space="0" w:color="auto"/>
              <w:right w:val="single" w:sz="6" w:space="0" w:color="auto"/>
            </w:tcBorders>
          </w:tcPr>
          <w:p w14:paraId="1C1B79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3.500 до 18.000 7.500</w:t>
            </w:r>
          </w:p>
          <w:p w14:paraId="651A53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12" w:space="0" w:color="auto"/>
              <w:left w:val="single" w:sz="6" w:space="0" w:color="auto"/>
              <w:bottom w:val="single" w:sz="6" w:space="0" w:color="auto"/>
              <w:right w:val="single" w:sz="6" w:space="0" w:color="auto"/>
            </w:tcBorders>
          </w:tcPr>
          <w:p w14:paraId="3E0146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25 40 80 150</w:t>
            </w:r>
          </w:p>
          <w:p w14:paraId="520A3F7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12" w:space="0" w:color="auto"/>
              <w:left w:val="single" w:sz="6" w:space="0" w:color="auto"/>
              <w:bottom w:val="single" w:sz="6" w:space="0" w:color="auto"/>
              <w:right w:val="single" w:sz="6" w:space="0" w:color="auto"/>
            </w:tcBorders>
          </w:tcPr>
          <w:p w14:paraId="6E30DA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Колесный </w:t>
            </w:r>
            <w:proofErr w:type="spellStart"/>
            <w:r w:rsidRPr="00A259BD">
              <w:rPr>
                <w:rFonts w:ascii="Times New Roman" w:hAnsi="Times New Roman"/>
                <w:color w:val="000000" w:themeColor="text1"/>
                <w:sz w:val="16"/>
                <w:szCs w:val="16"/>
              </w:rPr>
              <w:t>Колесный</w:t>
            </w:r>
            <w:proofErr w:type="spellEnd"/>
          </w:p>
          <w:p w14:paraId="63354B5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12" w:space="0" w:color="auto"/>
              <w:left w:val="single" w:sz="6" w:space="0" w:color="auto"/>
              <w:bottom w:val="single" w:sz="6" w:space="0" w:color="auto"/>
              <w:right w:val="single" w:sz="12" w:space="0" w:color="auto"/>
            </w:tcBorders>
          </w:tcPr>
          <w:p w14:paraId="0E974B4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25 25 14,5 14</w:t>
            </w:r>
          </w:p>
          <w:p w14:paraId="5D2EB4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2F2BBC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82"/>
        </w:trPr>
        <w:tc>
          <w:tcPr>
            <w:tcW w:w="1862" w:type="dxa"/>
            <w:gridSpan w:val="2"/>
            <w:tcBorders>
              <w:top w:val="single" w:sz="6" w:space="0" w:color="auto"/>
              <w:left w:val="single" w:sz="12" w:space="0" w:color="auto"/>
              <w:bottom w:val="single" w:sz="6" w:space="0" w:color="auto"/>
              <w:right w:val="single" w:sz="6" w:space="0" w:color="auto"/>
            </w:tcBorders>
          </w:tcPr>
          <w:p w14:paraId="35E131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СССР На вооружении Опытные:</w:t>
            </w:r>
          </w:p>
          <w:p w14:paraId="1B3420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23" w:type="dxa"/>
            <w:tcBorders>
              <w:top w:val="single" w:sz="6" w:space="0" w:color="auto"/>
              <w:left w:val="single" w:sz="6" w:space="0" w:color="auto"/>
              <w:bottom w:val="single" w:sz="6" w:space="0" w:color="auto"/>
              <w:right w:val="single" w:sz="6" w:space="0" w:color="auto"/>
            </w:tcBorders>
          </w:tcPr>
          <w:p w14:paraId="39BCF5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БОЛЬШЕВИК КОММУНАР </w:t>
            </w:r>
            <w:proofErr w:type="spellStart"/>
            <w:r w:rsidRPr="00A259BD">
              <w:rPr>
                <w:rFonts w:ascii="Times New Roman" w:hAnsi="Times New Roman"/>
                <w:color w:val="000000" w:themeColor="text1"/>
                <w:sz w:val="16"/>
                <w:szCs w:val="16"/>
              </w:rPr>
              <w:t>КОММУНАР</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модернизир</w:t>
            </w:r>
            <w:proofErr w:type="spellEnd"/>
            <w:r w:rsidRPr="00A259BD">
              <w:rPr>
                <w:rFonts w:ascii="Times New Roman" w:hAnsi="Times New Roman"/>
                <w:color w:val="000000" w:themeColor="text1"/>
                <w:sz w:val="16"/>
                <w:szCs w:val="16"/>
              </w:rPr>
              <w:t>.) БОЛЬШЕВИК (</w:t>
            </w:r>
            <w:proofErr w:type="spellStart"/>
            <w:r w:rsidRPr="00A259BD">
              <w:rPr>
                <w:rFonts w:ascii="Times New Roman" w:hAnsi="Times New Roman"/>
                <w:color w:val="000000" w:themeColor="text1"/>
                <w:sz w:val="16"/>
                <w:szCs w:val="16"/>
              </w:rPr>
              <w:t>модернизир</w:t>
            </w:r>
            <w:proofErr w:type="spellEnd"/>
            <w:r w:rsidRPr="00A259BD">
              <w:rPr>
                <w:rFonts w:ascii="Times New Roman" w:hAnsi="Times New Roman"/>
                <w:color w:val="000000" w:themeColor="text1"/>
                <w:sz w:val="16"/>
                <w:szCs w:val="16"/>
              </w:rPr>
              <w:t>.)</w:t>
            </w:r>
          </w:p>
          <w:p w14:paraId="211949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single" w:sz="6" w:space="0" w:color="auto"/>
              <w:left w:val="single" w:sz="6" w:space="0" w:color="auto"/>
              <w:bottom w:val="single" w:sz="6" w:space="0" w:color="auto"/>
              <w:right w:val="single" w:sz="6" w:space="0" w:color="auto"/>
            </w:tcBorders>
          </w:tcPr>
          <w:p w14:paraId="623033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4.150 9.000 около 9.000 около 5.000</w:t>
            </w:r>
          </w:p>
          <w:p w14:paraId="6E3892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0B62E0F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около 6.000 около 9.000^' около 9.000'* около 5.000''</w:t>
            </w:r>
          </w:p>
          <w:p w14:paraId="6B5D181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D729C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40 75 92 50</w:t>
            </w:r>
          </w:p>
          <w:p w14:paraId="60E5DD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D6899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Гусеничный </w:t>
            </w:r>
            <w:proofErr w:type="spellStart"/>
            <w:r w:rsidRPr="00A259BD">
              <w:rPr>
                <w:rFonts w:ascii="Times New Roman" w:hAnsi="Times New Roman"/>
                <w:color w:val="000000" w:themeColor="text1"/>
                <w:sz w:val="16"/>
                <w:szCs w:val="16"/>
              </w:rPr>
              <w:t>Гусеничный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Гусеничный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Гусеничный</w:t>
            </w:r>
            <w:proofErr w:type="spellEnd"/>
          </w:p>
          <w:p w14:paraId="60E4600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6" w:space="0" w:color="auto"/>
              <w:right w:val="single" w:sz="12" w:space="0" w:color="auto"/>
            </w:tcBorders>
          </w:tcPr>
          <w:p w14:paraId="34458A6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7-9 15 11,5</w:t>
            </w:r>
          </w:p>
          <w:p w14:paraId="6ADB1C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4098FE7"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1"/>
        </w:trPr>
        <w:tc>
          <w:tcPr>
            <w:tcW w:w="1862" w:type="dxa"/>
            <w:gridSpan w:val="2"/>
            <w:tcBorders>
              <w:top w:val="single" w:sz="6" w:space="0" w:color="auto"/>
              <w:left w:val="single" w:sz="12" w:space="0" w:color="auto"/>
              <w:bottom w:val="single" w:sz="12" w:space="0" w:color="auto"/>
              <w:right w:val="single" w:sz="6" w:space="0" w:color="auto"/>
            </w:tcBorders>
          </w:tcPr>
          <w:p w14:paraId="651B3E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Предл. системы:</w:t>
            </w:r>
          </w:p>
          <w:p w14:paraId="61275F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23" w:type="dxa"/>
            <w:tcBorders>
              <w:top w:val="single" w:sz="6" w:space="0" w:color="auto"/>
              <w:left w:val="single" w:sz="6" w:space="0" w:color="auto"/>
              <w:bottom w:val="single" w:sz="12" w:space="0" w:color="auto"/>
              <w:right w:val="single" w:sz="6" w:space="0" w:color="auto"/>
            </w:tcBorders>
          </w:tcPr>
          <w:p w14:paraId="3E9892B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Лекг</w:t>
            </w:r>
            <w:proofErr w:type="spellEnd"/>
            <w:r w:rsidRPr="00A259BD">
              <w:rPr>
                <w:rFonts w:ascii="Times New Roman" w:hAnsi="Times New Roman"/>
                <w:color w:val="000000" w:themeColor="text1"/>
                <w:sz w:val="16"/>
                <w:szCs w:val="16"/>
              </w:rPr>
              <w:t>. трактор (</w:t>
            </w:r>
            <w:proofErr w:type="spellStart"/>
            <w:r w:rsidRPr="00A259BD">
              <w:rPr>
                <w:rFonts w:ascii="Times New Roman" w:hAnsi="Times New Roman"/>
                <w:color w:val="000000" w:themeColor="text1"/>
                <w:sz w:val="16"/>
                <w:szCs w:val="16"/>
              </w:rPr>
              <w:t>полуброневой</w:t>
            </w:r>
            <w:proofErr w:type="spellEnd"/>
            <w:r w:rsidRPr="00A259BD">
              <w:rPr>
                <w:rFonts w:ascii="Times New Roman" w:hAnsi="Times New Roman"/>
                <w:color w:val="000000" w:themeColor="text1"/>
                <w:sz w:val="16"/>
                <w:szCs w:val="16"/>
              </w:rPr>
              <w:t>) ' Легкий трактор Средний трактор Тяжелый трактор</w:t>
            </w:r>
          </w:p>
          <w:p w14:paraId="7E4255F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single" w:sz="6" w:space="0" w:color="auto"/>
              <w:left w:val="single" w:sz="6" w:space="0" w:color="auto"/>
              <w:bottom w:val="single" w:sz="12" w:space="0" w:color="auto"/>
              <w:right w:val="single" w:sz="6" w:space="0" w:color="auto"/>
            </w:tcBorders>
          </w:tcPr>
          <w:p w14:paraId="51E8E7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3.500 3000-3500 7000-7500 11.000</w:t>
            </w:r>
          </w:p>
          <w:p w14:paraId="6F1391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12" w:space="0" w:color="auto"/>
              <w:right w:val="single" w:sz="6" w:space="0" w:color="auto"/>
            </w:tcBorders>
          </w:tcPr>
          <w:p w14:paraId="5CC5A1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4х </w:t>
            </w:r>
            <w:proofErr w:type="spellStart"/>
            <w:r w:rsidRPr="00A259BD">
              <w:rPr>
                <w:rFonts w:ascii="Times New Roman" w:hAnsi="Times New Roman"/>
                <w:color w:val="000000" w:themeColor="text1"/>
                <w:sz w:val="16"/>
                <w:szCs w:val="16"/>
              </w:rPr>
              <w:t>местн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ок</w:t>
            </w:r>
            <w:proofErr w:type="spellEnd"/>
            <w:r w:rsidRPr="00A259BD">
              <w:rPr>
                <w:rFonts w:ascii="Times New Roman" w:hAnsi="Times New Roman"/>
                <w:color w:val="000000" w:themeColor="text1"/>
                <w:sz w:val="16"/>
                <w:szCs w:val="16"/>
              </w:rPr>
              <w:t>. 3.500 ' до 3.500 до 7.500-8.000 до 11.000-12.000</w:t>
            </w:r>
          </w:p>
          <w:p w14:paraId="24BE78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12" w:space="0" w:color="auto"/>
              <w:right w:val="single" w:sz="6" w:space="0" w:color="auto"/>
            </w:tcBorders>
          </w:tcPr>
          <w:p w14:paraId="3A128E5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35-38</w:t>
            </w:r>
          </w:p>
          <w:p w14:paraId="74EC1E2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12" w:space="0" w:color="auto"/>
              <w:right w:val="single" w:sz="6" w:space="0" w:color="auto"/>
            </w:tcBorders>
          </w:tcPr>
          <w:p w14:paraId="214CFF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типу Холта </w:t>
            </w:r>
            <w:proofErr w:type="spellStart"/>
            <w:r w:rsidRPr="00A259BD">
              <w:rPr>
                <w:rFonts w:ascii="Times New Roman" w:hAnsi="Times New Roman"/>
                <w:color w:val="000000" w:themeColor="text1"/>
                <w:sz w:val="16"/>
                <w:szCs w:val="16"/>
              </w:rPr>
              <w:t>гусен</w:t>
            </w:r>
            <w:proofErr w:type="spellEnd"/>
            <w:r w:rsidRPr="00A259BD">
              <w:rPr>
                <w:rFonts w:ascii="Times New Roman" w:hAnsi="Times New Roman"/>
                <w:color w:val="000000" w:themeColor="text1"/>
                <w:sz w:val="16"/>
                <w:szCs w:val="16"/>
              </w:rPr>
              <w:t xml:space="preserve">. МС-1 Гусеничный </w:t>
            </w:r>
            <w:proofErr w:type="spellStart"/>
            <w:r w:rsidRPr="00A259BD">
              <w:rPr>
                <w:rFonts w:ascii="Times New Roman" w:hAnsi="Times New Roman"/>
                <w:color w:val="000000" w:themeColor="text1"/>
                <w:sz w:val="16"/>
                <w:szCs w:val="16"/>
              </w:rPr>
              <w:t>Гусеничный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Гусеничный</w:t>
            </w:r>
            <w:proofErr w:type="spellEnd"/>
          </w:p>
          <w:p w14:paraId="21FF3D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12" w:space="0" w:color="auto"/>
              <w:right w:val="single" w:sz="12" w:space="0" w:color="auto"/>
            </w:tcBorders>
          </w:tcPr>
          <w:p w14:paraId="57D648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25-30 20-25 15</w:t>
            </w:r>
          </w:p>
          <w:p w14:paraId="52A877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DE257E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w:t>
      </w:r>
    </w:p>
    <w:p w14:paraId="0F5206B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 прицепной груз может быть увеличен в 1,5 раза</w:t>
      </w:r>
    </w:p>
    <w:p w14:paraId="58D95C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 данные ориентировочные</w:t>
      </w:r>
    </w:p>
    <w:p w14:paraId="25C7EE4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по сравнению с показанным</w:t>
      </w:r>
    </w:p>
    <w:p w14:paraId="020D84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РГВА. Ф. 4. Оп. 2. Д. 504. Л. 24 (11210).</w:t>
      </w:r>
    </w:p>
    <w:p w14:paraId="5B9166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09EE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 1929 г. начальник IV управления РККА Берзин составил специальную справку для Ворошилова, в которой говорилось:</w:t>
      </w:r>
    </w:p>
    <w:p w14:paraId="3C06AB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На 1 января с. г. по предприятию в Томке арендатора</w:t>
      </w:r>
      <w:r w:rsidRPr="00A259BD">
        <w:rPr>
          <w:rFonts w:ascii="Times New Roman" w:hAnsi="Times New Roman"/>
          <w:color w:val="000000" w:themeColor="text1"/>
          <w:sz w:val="16"/>
          <w:szCs w:val="16"/>
        </w:rPr>
        <w:softHyphen/>
        <w:t>ми сделано: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48"/>
        <w:gridCol w:w="4140"/>
      </w:tblGrid>
      <w:tr w:rsidR="00A259BD" w:rsidRPr="00A259BD" w14:paraId="674634FF" w14:textId="77777777">
        <w:tc>
          <w:tcPr>
            <w:tcW w:w="4248" w:type="dxa"/>
            <w:tcBorders>
              <w:top w:val="single" w:sz="12" w:space="0" w:color="auto"/>
            </w:tcBorders>
            <w:shd w:val="clear" w:color="auto" w:fill="FFFFFF"/>
          </w:tcPr>
          <w:p w14:paraId="66F5DB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Построено бараков для жилья</w:t>
            </w:r>
          </w:p>
        </w:tc>
        <w:tc>
          <w:tcPr>
            <w:tcW w:w="4140" w:type="dxa"/>
            <w:tcBorders>
              <w:top w:val="single" w:sz="12" w:space="0" w:color="auto"/>
            </w:tcBorders>
            <w:shd w:val="clear" w:color="auto" w:fill="FFFFFF"/>
          </w:tcPr>
          <w:p w14:paraId="00FC39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r>
      <w:tr w:rsidR="00A259BD" w:rsidRPr="00A259BD" w14:paraId="15EBEDE9" w14:textId="77777777">
        <w:tc>
          <w:tcPr>
            <w:tcW w:w="4248" w:type="dxa"/>
            <w:shd w:val="clear" w:color="auto" w:fill="FFFFFF"/>
          </w:tcPr>
          <w:p w14:paraId="0B6C11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2.Лабораторий</w:t>
            </w:r>
          </w:p>
        </w:tc>
        <w:tc>
          <w:tcPr>
            <w:tcW w:w="4140" w:type="dxa"/>
            <w:shd w:val="clear" w:color="auto" w:fill="FFFFFF"/>
          </w:tcPr>
          <w:p w14:paraId="4BF876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r>
      <w:tr w:rsidR="00A259BD" w:rsidRPr="00A259BD" w14:paraId="77E04FA2" w14:textId="77777777">
        <w:tc>
          <w:tcPr>
            <w:tcW w:w="4248" w:type="dxa"/>
            <w:shd w:val="clear" w:color="auto" w:fill="FFFFFF"/>
          </w:tcPr>
          <w:p w14:paraId="1712BA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Гараж</w:t>
            </w:r>
          </w:p>
        </w:tc>
        <w:tc>
          <w:tcPr>
            <w:tcW w:w="4140" w:type="dxa"/>
            <w:shd w:val="clear" w:color="auto" w:fill="FFFFFF"/>
          </w:tcPr>
          <w:p w14:paraId="449A8B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3A9E74E1" w14:textId="77777777">
        <w:tc>
          <w:tcPr>
            <w:tcW w:w="4248" w:type="dxa"/>
            <w:shd w:val="clear" w:color="auto" w:fill="FFFFFF"/>
          </w:tcPr>
          <w:p w14:paraId="735C01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Виварий</w:t>
            </w:r>
          </w:p>
        </w:tc>
        <w:tc>
          <w:tcPr>
            <w:tcW w:w="4140" w:type="dxa"/>
            <w:shd w:val="clear" w:color="auto" w:fill="FFFFFF"/>
          </w:tcPr>
          <w:p w14:paraId="2BB42F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0A880643" w14:textId="77777777">
        <w:tc>
          <w:tcPr>
            <w:tcW w:w="4248" w:type="dxa"/>
            <w:shd w:val="clear" w:color="auto" w:fill="FFFFFF"/>
          </w:tcPr>
          <w:p w14:paraId="6BF6AB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Дегазационная камера</w:t>
            </w:r>
          </w:p>
        </w:tc>
        <w:tc>
          <w:tcPr>
            <w:tcW w:w="4140" w:type="dxa"/>
            <w:shd w:val="clear" w:color="auto" w:fill="FFFFFF"/>
          </w:tcPr>
          <w:p w14:paraId="712DF1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72BDC22E" w14:textId="77777777">
        <w:tc>
          <w:tcPr>
            <w:tcW w:w="4248" w:type="dxa"/>
            <w:shd w:val="clear" w:color="auto" w:fill="FFFFFF"/>
          </w:tcPr>
          <w:p w14:paraId="1F64DD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Колодец с проведением водопроводной системы</w:t>
            </w:r>
          </w:p>
        </w:tc>
        <w:tc>
          <w:tcPr>
            <w:tcW w:w="4140" w:type="dxa"/>
            <w:shd w:val="clear" w:color="auto" w:fill="FFFFFF"/>
          </w:tcPr>
          <w:p w14:paraId="7B89DB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74D0577A" w14:textId="77777777">
        <w:tc>
          <w:tcPr>
            <w:tcW w:w="4248" w:type="dxa"/>
            <w:tcBorders>
              <w:bottom w:val="single" w:sz="12" w:space="0" w:color="auto"/>
            </w:tcBorders>
            <w:shd w:val="clear" w:color="auto" w:fill="FFFFFF"/>
          </w:tcPr>
          <w:p w14:paraId="74CF57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Оборудование в связи с электрификацией поселка.</w:t>
            </w:r>
          </w:p>
        </w:tc>
        <w:tc>
          <w:tcPr>
            <w:tcW w:w="4140" w:type="dxa"/>
            <w:tcBorders>
              <w:bottom w:val="single" w:sz="12" w:space="0" w:color="auto"/>
            </w:tcBorders>
            <w:shd w:val="clear" w:color="auto" w:fill="FFFFFF"/>
          </w:tcPr>
          <w:p w14:paraId="515995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77B8DB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арендаторами уже вложено на строительство 180 000 марок, а с оборудованием ими затрачено около 320 000 марок.</w:t>
      </w:r>
    </w:p>
    <w:p w14:paraId="09CF8B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Предложено в очередном году вложить в это предприятие 120 000 марок.</w:t>
      </w:r>
    </w:p>
    <w:p w14:paraId="7A17706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 По линии испытательной исследовательской работы:</w:t>
      </w:r>
    </w:p>
    <w:p w14:paraId="703F2B9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Испытана цистерна для заражения местности;</w:t>
      </w:r>
    </w:p>
    <w:p w14:paraId="4277AD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Носимый прибор для заражения “</w:t>
      </w:r>
      <w:proofErr w:type="spellStart"/>
      <w:r w:rsidRPr="00A259BD">
        <w:rPr>
          <w:rFonts w:ascii="Times New Roman" w:hAnsi="Times New Roman"/>
          <w:color w:val="000000" w:themeColor="text1"/>
          <w:sz w:val="16"/>
          <w:szCs w:val="16"/>
        </w:rPr>
        <w:t>Миномако</w:t>
      </w:r>
      <w:proofErr w:type="spellEnd"/>
      <w:r w:rsidRPr="00A259BD">
        <w:rPr>
          <w:rFonts w:ascii="Times New Roman" w:hAnsi="Times New Roman"/>
          <w:color w:val="000000" w:themeColor="text1"/>
          <w:sz w:val="16"/>
          <w:szCs w:val="16"/>
        </w:rPr>
        <w:t>” и “Наг”;</w:t>
      </w:r>
    </w:p>
    <w:p w14:paraId="04534D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Прибор для выливания ОВ с воздуха;</w:t>
      </w:r>
    </w:p>
    <w:p w14:paraId="0AD660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Образцы дистанционных химических бомб;</w:t>
      </w:r>
    </w:p>
    <w:p w14:paraId="5D5211F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Установка для наливки иприта;</w:t>
      </w:r>
    </w:p>
    <w:p w14:paraId="3088C3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Химические фугасы, рвущиеся в воздухе;</w:t>
      </w:r>
    </w:p>
    <w:p w14:paraId="09CEF4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Приборы для дегазации;</w:t>
      </w:r>
    </w:p>
    <w:p w14:paraId="63958F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Защитные костюмы — противогазы;</w:t>
      </w:r>
    </w:p>
    <w:p w14:paraId="7BA045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Приборы для электрического определения иприта;</w:t>
      </w:r>
    </w:p>
    <w:p w14:paraId="4EA62D6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Средства лечения и профилактики ипритных поражений (10670,175).</w:t>
      </w:r>
    </w:p>
    <w:p w14:paraId="582949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00EE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 1929 г. школа уже получила некоторое оборудование и готовилась принять первых слушателей:</w:t>
      </w:r>
    </w:p>
    <w:p w14:paraId="15C990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настоящее время на курсах имеется:</w:t>
      </w:r>
    </w:p>
    <w:p w14:paraId="70AE7C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1 опытный танк в разобранном виде.</w:t>
      </w:r>
    </w:p>
    <w:p w14:paraId="70E271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легковых машин — 6 штук.</w:t>
      </w:r>
    </w:p>
    <w:p w14:paraId="3A2F06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грузовых машин — 3 штуки.</w:t>
      </w:r>
    </w:p>
    <w:p w14:paraId="392BBA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тракторов разных систем — 3 штуки.</w:t>
      </w:r>
    </w:p>
    <w:p w14:paraId="5D8B84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мотоциклов — 2 штуки.</w:t>
      </w:r>
    </w:p>
    <w:p w14:paraId="4C6C5D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начала весны ожидается прибытие следующих предме</w:t>
      </w:r>
      <w:r w:rsidRPr="00A259BD">
        <w:rPr>
          <w:rFonts w:ascii="Times New Roman" w:hAnsi="Times New Roman"/>
          <w:color w:val="000000" w:themeColor="text1"/>
          <w:sz w:val="16"/>
          <w:szCs w:val="16"/>
        </w:rPr>
        <w:softHyphen/>
        <w:t>тов:</w:t>
      </w:r>
    </w:p>
    <w:p w14:paraId="745DDD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легких танков — 5 штук, из них 3 с броней.</w:t>
      </w:r>
    </w:p>
    <w:p w14:paraId="500701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средних танков — 2 штуки.</w:t>
      </w:r>
    </w:p>
    <w:p w14:paraId="37E1517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Легковых машин (Хорьх и </w:t>
      </w:r>
      <w:proofErr w:type="spellStart"/>
      <w:r w:rsidRPr="00A259BD">
        <w:rPr>
          <w:rFonts w:ascii="Times New Roman" w:hAnsi="Times New Roman"/>
          <w:color w:val="000000" w:themeColor="text1"/>
          <w:sz w:val="16"/>
          <w:szCs w:val="16"/>
        </w:rPr>
        <w:t>Ситроэн</w:t>
      </w:r>
      <w:proofErr w:type="spellEnd"/>
      <w:r w:rsidRPr="00A259BD">
        <w:rPr>
          <w:rFonts w:ascii="Times New Roman" w:hAnsi="Times New Roman"/>
          <w:color w:val="000000" w:themeColor="text1"/>
          <w:sz w:val="16"/>
          <w:szCs w:val="16"/>
        </w:rPr>
        <w:t>) — 2 штуки.</w:t>
      </w:r>
    </w:p>
    <w:p w14:paraId="59FE10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Грузовых машин — 2 штуки.</w:t>
      </w:r>
    </w:p>
    <w:p w14:paraId="02DD1D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Тракторов - 3 штуки.</w:t>
      </w:r>
    </w:p>
    <w:p w14:paraId="77B844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15 марта предполагается произвести 4 месячный курс обучения ПОСТОЯННОГО СОСТАВА (наших товарищей бу</w:t>
      </w:r>
      <w:r w:rsidRPr="00A259BD">
        <w:rPr>
          <w:rFonts w:ascii="Times New Roman" w:hAnsi="Times New Roman"/>
          <w:color w:val="000000" w:themeColor="text1"/>
          <w:sz w:val="16"/>
          <w:szCs w:val="16"/>
        </w:rPr>
        <w:softHyphen/>
        <w:t>дет допущено 5- 7 человек).</w:t>
      </w:r>
    </w:p>
    <w:p w14:paraId="7333F5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15 июня по 15 ноября намечается первый курс ПЕРЕМЕННОГО СОСТАВА (10 арендаторов и 10 наших то</w:t>
      </w:r>
      <w:r w:rsidRPr="00A259BD">
        <w:rPr>
          <w:rFonts w:ascii="Times New Roman" w:hAnsi="Times New Roman"/>
          <w:color w:val="000000" w:themeColor="text1"/>
          <w:sz w:val="16"/>
          <w:szCs w:val="16"/>
        </w:rPr>
        <w:softHyphen/>
        <w:t>варищей).</w:t>
      </w:r>
    </w:p>
    <w:p w14:paraId="2B4E5F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Точных данных об истраченных арендаторами средствах у нас нет; по ориентировочному подсчету арендаторы израс</w:t>
      </w:r>
      <w:r w:rsidRPr="00A259BD">
        <w:rPr>
          <w:rFonts w:ascii="Times New Roman" w:hAnsi="Times New Roman"/>
          <w:color w:val="000000" w:themeColor="text1"/>
          <w:sz w:val="16"/>
          <w:szCs w:val="16"/>
        </w:rPr>
        <w:softHyphen/>
        <w:t>ходовали значительную сумму 1 '/</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 xml:space="preserve"> — 2 миллионов марок.</w:t>
      </w:r>
    </w:p>
    <w:p w14:paraId="78C2E89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 </w:t>
      </w:r>
      <w:proofErr w:type="spellStart"/>
      <w:r w:rsidRPr="00A259BD">
        <w:rPr>
          <w:rFonts w:ascii="Times New Roman" w:hAnsi="Times New Roman"/>
          <w:color w:val="000000" w:themeColor="text1"/>
          <w:sz w:val="16"/>
          <w:szCs w:val="16"/>
        </w:rPr>
        <w:t>IVуправления</w:t>
      </w:r>
      <w:proofErr w:type="spellEnd"/>
      <w:r w:rsidRPr="00A259BD">
        <w:rPr>
          <w:rFonts w:ascii="Times New Roman" w:hAnsi="Times New Roman"/>
          <w:color w:val="000000" w:themeColor="text1"/>
          <w:sz w:val="16"/>
          <w:szCs w:val="16"/>
        </w:rPr>
        <w:t xml:space="preserve"> Штаба РККА</w:t>
      </w:r>
    </w:p>
    <w:p w14:paraId="68615B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Берзин”.</w:t>
      </w:r>
    </w:p>
    <w:p w14:paraId="7A068A2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Вплоть до своего закрытия в 1933 г. казанская школа успела сделать три выпуска немецких слушателей: в 1929-30 гг. - 10, в 1931-32 гг. - 11 и в 1933 г. - 9 человек. С нашей стороны в школе прошли обучение значительно больше — 65 человек </w:t>
      </w:r>
      <w:proofErr w:type="spellStart"/>
      <w:r w:rsidRPr="00A259BD">
        <w:rPr>
          <w:rFonts w:ascii="Times New Roman" w:hAnsi="Times New Roman"/>
          <w:color w:val="000000" w:themeColor="text1"/>
          <w:sz w:val="16"/>
          <w:szCs w:val="16"/>
        </w:rPr>
        <w:t>комначсостава</w:t>
      </w:r>
      <w:proofErr w:type="spellEnd"/>
      <w:r w:rsidRPr="00A259BD">
        <w:rPr>
          <w:rFonts w:ascii="Times New Roman" w:hAnsi="Times New Roman"/>
          <w:color w:val="000000" w:themeColor="text1"/>
          <w:sz w:val="16"/>
          <w:szCs w:val="16"/>
        </w:rPr>
        <w:t xml:space="preserve"> танковых и мотомеха</w:t>
      </w:r>
      <w:r w:rsidRPr="00A259BD">
        <w:rPr>
          <w:rFonts w:ascii="Times New Roman" w:hAnsi="Times New Roman"/>
          <w:color w:val="000000" w:themeColor="text1"/>
          <w:sz w:val="16"/>
          <w:szCs w:val="16"/>
        </w:rPr>
        <w:softHyphen/>
        <w:t>низированных частей РККА. Помимо обучения наших курсантов, в школе шло так</w:t>
      </w:r>
      <w:r w:rsidRPr="00A259BD">
        <w:rPr>
          <w:rFonts w:ascii="Times New Roman" w:hAnsi="Times New Roman"/>
          <w:color w:val="000000" w:themeColor="text1"/>
          <w:sz w:val="16"/>
          <w:szCs w:val="16"/>
        </w:rPr>
        <w:softHyphen/>
        <w:t>же изучение привезенных немцами малых и больших “тракторов”. Так назывались в целях маскировки опытные образцы танков, построенные в Германии в обход Версаль</w:t>
      </w:r>
      <w:r w:rsidRPr="00A259BD">
        <w:rPr>
          <w:rFonts w:ascii="Times New Roman" w:hAnsi="Times New Roman"/>
          <w:color w:val="000000" w:themeColor="text1"/>
          <w:sz w:val="16"/>
          <w:szCs w:val="16"/>
        </w:rPr>
        <w:softHyphen/>
        <w:t>ских ограничений (10733,123).</w:t>
      </w:r>
    </w:p>
    <w:p w14:paraId="67EF14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0452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январе 1929 г. Можаров спроектировал лёгкий мотоцикл, обозначенный "Иж-4". А уже в феврале началось его изготовление. Бензобак, состоявший из двух симметричных половин, подвесили на верхней балке рамы. Двигатель рабочим объёмом 200 </w:t>
      </w:r>
      <w:proofErr w:type="spellStart"/>
      <w:r w:rsidRPr="00A259BD">
        <w:rPr>
          <w:rFonts w:ascii="Times New Roman" w:hAnsi="Times New Roman"/>
          <w:color w:val="000000" w:themeColor="text1"/>
          <w:sz w:val="16"/>
          <w:szCs w:val="16"/>
        </w:rPr>
        <w:t>смз</w:t>
      </w:r>
      <w:proofErr w:type="spellEnd"/>
      <w:r w:rsidRPr="00A259BD">
        <w:rPr>
          <w:rFonts w:ascii="Times New Roman" w:hAnsi="Times New Roman"/>
          <w:color w:val="000000" w:themeColor="text1"/>
          <w:sz w:val="16"/>
          <w:szCs w:val="16"/>
        </w:rPr>
        <w:t xml:space="preserve">, коробку передач и вал привода заднего колеса вместе с главной передачей взяли от немецкого мотоцикла </w:t>
      </w:r>
      <w:proofErr w:type="spellStart"/>
      <w:r w:rsidRPr="00A259BD">
        <w:rPr>
          <w:rFonts w:ascii="Times New Roman" w:hAnsi="Times New Roman"/>
          <w:color w:val="000000" w:themeColor="text1"/>
          <w:sz w:val="16"/>
          <w:szCs w:val="16"/>
        </w:rPr>
        <w:t>Stoсk</w:t>
      </w:r>
      <w:proofErr w:type="spellEnd"/>
      <w:r w:rsidRPr="00A259BD">
        <w:rPr>
          <w:rFonts w:ascii="Times New Roman" w:hAnsi="Times New Roman"/>
          <w:color w:val="000000" w:themeColor="text1"/>
          <w:sz w:val="16"/>
          <w:szCs w:val="16"/>
        </w:rPr>
        <w:t xml:space="preserve">. В это время выявилась нехватка импортных комплектующих, необходимых для завершения "Иж-1" - "Иж-4" и постройки ещё двух образцов. Пришлось в 1929 году ехать в Берлинское торгпредство СССР. Петру Владимировичу удалось приобрести всё необходимое, а заодно и ознакомиться с новинками </w:t>
      </w:r>
      <w:proofErr w:type="spellStart"/>
      <w:r w:rsidRPr="00A259BD">
        <w:rPr>
          <w:rFonts w:ascii="Times New Roman" w:hAnsi="Times New Roman"/>
          <w:color w:val="000000" w:themeColor="text1"/>
          <w:sz w:val="16"/>
          <w:szCs w:val="16"/>
        </w:rPr>
        <w:t>мотоциклостроения</w:t>
      </w:r>
      <w:proofErr w:type="spellEnd"/>
      <w:r w:rsidRPr="00A259BD">
        <w:rPr>
          <w:rFonts w:ascii="Times New Roman" w:hAnsi="Times New Roman"/>
          <w:color w:val="000000" w:themeColor="text1"/>
          <w:sz w:val="16"/>
          <w:szCs w:val="16"/>
        </w:rPr>
        <w:t xml:space="preserve"> Германии. Вернувшись в начале июня, Можаров продолжил руководить изготовлением четырёх машин и энергично взялся за создание мотоцикла "Иж-5". Поскольку сроки поджимали - близилась дата старта очередного мотопробега - основой машины стал мотоцикл </w:t>
      </w:r>
      <w:proofErr w:type="spellStart"/>
      <w:r w:rsidRPr="00A259BD">
        <w:rPr>
          <w:rFonts w:ascii="Times New Roman" w:hAnsi="Times New Roman"/>
          <w:color w:val="000000" w:themeColor="text1"/>
          <w:sz w:val="16"/>
          <w:szCs w:val="16"/>
        </w:rPr>
        <w:t>Nеаndеr</w:t>
      </w:r>
      <w:proofErr w:type="spellEnd"/>
      <w:r w:rsidRPr="00A259BD">
        <w:rPr>
          <w:rFonts w:ascii="Times New Roman" w:hAnsi="Times New Roman"/>
          <w:color w:val="000000" w:themeColor="text1"/>
          <w:sz w:val="16"/>
          <w:szCs w:val="16"/>
        </w:rPr>
        <w:t xml:space="preserve">, с 500-кубовым верхнеклапанным двигателем конструкции Рихарда </w:t>
      </w:r>
      <w:proofErr w:type="spellStart"/>
      <w:r w:rsidRPr="00A259BD">
        <w:rPr>
          <w:rFonts w:ascii="Times New Roman" w:hAnsi="Times New Roman"/>
          <w:color w:val="000000" w:themeColor="text1"/>
          <w:sz w:val="16"/>
          <w:szCs w:val="16"/>
        </w:rPr>
        <w:t>Кюхена</w:t>
      </w:r>
      <w:proofErr w:type="spellEnd"/>
      <w:r w:rsidRPr="00A259BD">
        <w:rPr>
          <w:rFonts w:ascii="Times New Roman" w:hAnsi="Times New Roman"/>
          <w:color w:val="000000" w:themeColor="text1"/>
          <w:sz w:val="16"/>
          <w:szCs w:val="16"/>
        </w:rPr>
        <w:t xml:space="preserve">. Можаров лишь слегка усилил ходовую часть, добавил боковую подставку и плоские подножки, а главное - разработал полностью новую рычажную переднюю вилку. Проектирование задуманного в то же время мотоцикла "Иж-6" шло медленно из-за авральной занятости сотрудников </w:t>
      </w:r>
      <w:proofErr w:type="spellStart"/>
      <w:r w:rsidRPr="00A259BD">
        <w:rPr>
          <w:rFonts w:ascii="Times New Roman" w:hAnsi="Times New Roman"/>
          <w:color w:val="000000" w:themeColor="text1"/>
          <w:sz w:val="16"/>
          <w:szCs w:val="16"/>
        </w:rPr>
        <w:t>мотосекции</w:t>
      </w:r>
      <w:proofErr w:type="spellEnd"/>
      <w:r w:rsidRPr="00A259BD">
        <w:rPr>
          <w:rFonts w:ascii="Times New Roman" w:hAnsi="Times New Roman"/>
          <w:color w:val="000000" w:themeColor="text1"/>
          <w:sz w:val="16"/>
          <w:szCs w:val="16"/>
        </w:rPr>
        <w:t xml:space="preserve"> (11397).</w:t>
      </w:r>
    </w:p>
    <w:p w14:paraId="72DADB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1F6338" w14:textId="77777777" w:rsidR="00FD5D1A" w:rsidRPr="00A259BD" w:rsidRDefault="00FD5D1A" w:rsidP="009236E3">
      <w:pPr>
        <w:pStyle w:val="ae"/>
        <w:spacing w:before="0" w:after="0"/>
        <w:jc w:val="both"/>
        <w:rPr>
          <w:color w:val="000000" w:themeColor="text1"/>
          <w:sz w:val="16"/>
          <w:szCs w:val="16"/>
        </w:rPr>
      </w:pPr>
      <w:r w:rsidRPr="00A259BD">
        <w:rPr>
          <w:color w:val="000000" w:themeColor="text1"/>
          <w:sz w:val="16"/>
          <w:szCs w:val="16"/>
        </w:rPr>
        <w:t xml:space="preserve">В январе 1929 года на совещании во 2-м отделе Управления делами НКВМ в повестку дня среди прочих был включен вопрос о «машинизации» шифрования (терминология того времени), подготовленный морскими шифровальщиками. Вопрос о создании не просто машины предварительного шифрования, а машины линейного шифрования. Итоги совещания занесли в протокол, в конце которого потенциальным разработчикам предложили взглянуть в будущее: «…Считать желательным и наиболее приемлемым для кораблей флота введение такой шифровальной машины, которая одновременно является </w:t>
      </w:r>
      <w:proofErr w:type="spellStart"/>
      <w:r w:rsidRPr="00A259BD">
        <w:rPr>
          <w:color w:val="000000" w:themeColor="text1"/>
          <w:sz w:val="16"/>
          <w:szCs w:val="16"/>
        </w:rPr>
        <w:t>самошифрующим</w:t>
      </w:r>
      <w:proofErr w:type="spellEnd"/>
      <w:r w:rsidRPr="00A259BD">
        <w:rPr>
          <w:color w:val="000000" w:themeColor="text1"/>
          <w:sz w:val="16"/>
          <w:szCs w:val="16"/>
        </w:rPr>
        <w:t xml:space="preserve"> и передающим радиоаппаратом…» (15736).</w:t>
      </w:r>
    </w:p>
    <w:p w14:paraId="3C2E37BB" w14:textId="77777777" w:rsidR="00FD5D1A" w:rsidRPr="00A259BD" w:rsidRDefault="00FD5D1A" w:rsidP="009236E3">
      <w:pPr>
        <w:pStyle w:val="ae"/>
        <w:spacing w:before="0" w:after="0"/>
        <w:jc w:val="both"/>
        <w:rPr>
          <w:color w:val="000000" w:themeColor="text1"/>
          <w:sz w:val="16"/>
          <w:szCs w:val="16"/>
        </w:rPr>
      </w:pPr>
    </w:p>
    <w:p w14:paraId="541CD959" w14:textId="77777777" w:rsidR="00BB2D6C" w:rsidRPr="00A259BD" w:rsidRDefault="00BB2D6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 1929 г. заводу им. Коминтерна посту</w:t>
      </w:r>
      <w:r w:rsidRPr="00A259BD">
        <w:rPr>
          <w:rFonts w:ascii="Times New Roman" w:hAnsi="Times New Roman"/>
          <w:color w:val="000000" w:themeColor="text1"/>
          <w:sz w:val="16"/>
          <w:szCs w:val="16"/>
        </w:rPr>
        <w:softHyphen/>
        <w:t>пили заказы в общем количестве 297 изделий на шесть типов радиостанций, которые были определены для завода в качестве серийных, и, таким образом, заводу опреде</w:t>
      </w:r>
      <w:r w:rsidRPr="00A259BD">
        <w:rPr>
          <w:rFonts w:ascii="Times New Roman" w:hAnsi="Times New Roman"/>
          <w:color w:val="000000" w:themeColor="text1"/>
          <w:sz w:val="16"/>
          <w:szCs w:val="16"/>
        </w:rPr>
        <w:softHyphen/>
        <w:t>лена программа в количестве 727 радиостанций серийного и образцово- серийного производства, а также пятьдесят станций новых образцов (19098).</w:t>
      </w:r>
    </w:p>
    <w:p w14:paraId="71CB120E" w14:textId="77777777" w:rsidR="00BB2D6C" w:rsidRPr="00A259BD" w:rsidRDefault="00BB2D6C" w:rsidP="009236E3">
      <w:pPr>
        <w:spacing w:after="0" w:line="240" w:lineRule="auto"/>
        <w:jc w:val="both"/>
        <w:rPr>
          <w:rFonts w:ascii="Times New Roman" w:hAnsi="Times New Roman"/>
          <w:color w:val="000000" w:themeColor="text1"/>
          <w:sz w:val="16"/>
          <w:szCs w:val="16"/>
        </w:rPr>
      </w:pPr>
    </w:p>
    <w:p w14:paraId="1680A46A" w14:textId="77777777" w:rsidR="00BB2D6C" w:rsidRPr="00A259BD" w:rsidRDefault="00BB2D6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 1929 г. в докладе Президиума ВСНХ в Распорядительное заседание СТО СССР Заводу им. Козицкого при этом отводилась роль по преимуществу производственной базы для серийного выпуска военно-морских радиостанций. В связи с этим в годы первой пятилетки на предприятии происходит общая реконструкция, но самое главное – строится отдельный корпус для сборки и испытания радиоаппаратуры (18297).</w:t>
      </w:r>
    </w:p>
    <w:p w14:paraId="60303DC3" w14:textId="77777777" w:rsidR="00BB2D6C" w:rsidRPr="00A259BD" w:rsidRDefault="00BB2D6C" w:rsidP="009236E3">
      <w:pPr>
        <w:spacing w:after="0" w:line="240" w:lineRule="auto"/>
        <w:jc w:val="both"/>
        <w:rPr>
          <w:rFonts w:ascii="Times New Roman" w:hAnsi="Times New Roman"/>
          <w:color w:val="000000" w:themeColor="text1"/>
          <w:sz w:val="16"/>
          <w:szCs w:val="16"/>
        </w:rPr>
      </w:pPr>
    </w:p>
    <w:p w14:paraId="59577091" w14:textId="77777777" w:rsidR="00A47331" w:rsidRPr="00A259BD" w:rsidRDefault="00A47331"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январе 1929 г. принимается решение о начале постройки глиссера ячейкой «Автодора» №89 при ВХГИ (Высшем художественно-технологическом институте).</w:t>
      </w:r>
    </w:p>
    <w:p w14:paraId="0A864AF6" w14:textId="77777777" w:rsidR="00A47331" w:rsidRPr="00A259BD" w:rsidRDefault="00A47331"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Учитывая, что коллектив ВХТИ имел требуемые производственные возможности и квалифицированный техперсонал было признано необходимым выделить 500 руб. для оплаты рабочей силы, задействованной в постройке глиссера. Столь существенное снижение стоимости работ по глиссеру объяснялось тем, что в данную сумму </w:t>
      </w:r>
      <w:r w:rsidRPr="00A259BD">
        <w:rPr>
          <w:rFonts w:ascii="Times New Roman" w:eastAsia="Times New Roman" w:hAnsi="Times New Roman"/>
          <w:color w:val="000000" w:themeColor="text1"/>
          <w:sz w:val="16"/>
          <w:szCs w:val="16"/>
          <w:lang w:eastAsia="ru-RU"/>
        </w:rPr>
        <w:lastRenderedPageBreak/>
        <w:t>не входила оплата труда проектировщиков, а строители трудились практически на чистом энтузиазме. В августе 1929 г. в «Автодоре» был заслушан доклад о глиссере коллектива №89, в результате рассмотрения которого приняли решение назначить комиссию «по выяснению вопроса о глиссере». Комиссии поручалось «выяснить возможность серьезного испытания глиссера в навигацию 29 г. и составить смету на необходимые для этого доделки и оборудование глиссера».</w:t>
      </w:r>
    </w:p>
    <w:p w14:paraId="5CF68280" w14:textId="77777777" w:rsidR="00A47331" w:rsidRPr="00A259BD" w:rsidRDefault="00A47331"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следующем месяце обсуждался вопрос об испытании глиссера ДМ-1, в связи с чем в «Автодоре» приняли решение «выделить на ремонт200руб., командировочные 200 руб., на непредвиденное 200руб. Просить УВВС РККА отпустить авиационное горючее и смазочное, потребное для испытаний. В комиссию выделить тт. Бойкова, Емельянова, Елагина, Карпова, Мещерина, Неверова» (21504).</w:t>
      </w:r>
    </w:p>
    <w:p w14:paraId="77F95F1C" w14:textId="77777777" w:rsidR="00A47331" w:rsidRPr="00A259BD" w:rsidRDefault="00A47331" w:rsidP="009236E3">
      <w:pPr>
        <w:spacing w:after="0" w:line="240" w:lineRule="auto"/>
        <w:jc w:val="both"/>
        <w:rPr>
          <w:rFonts w:ascii="Times New Roman" w:hAnsi="Times New Roman"/>
          <w:color w:val="000000" w:themeColor="text1"/>
          <w:sz w:val="16"/>
          <w:szCs w:val="16"/>
        </w:rPr>
      </w:pPr>
    </w:p>
    <w:p w14:paraId="7FE0A2F6"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Январь 1929 г.</w:t>
      </w:r>
    </w:p>
    <w:p w14:paraId="67D8BD13"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Совершенно секретно</w:t>
      </w:r>
    </w:p>
    <w:p w14:paraId="00DA7452"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Справка о Томке</w:t>
      </w:r>
    </w:p>
    <w:p w14:paraId="57AD2F46"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I. На 1 января с. г. по предприятию в Томке арендаторами (т. е. немецкими специалистами. — М. С.) сделано:</w:t>
      </w:r>
    </w:p>
    <w:p w14:paraId="29FB8732"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1. Построено бараков для жилья 5;</w:t>
      </w:r>
    </w:p>
    <w:p w14:paraId="317E4449"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2. Лабораторий 4;</w:t>
      </w:r>
    </w:p>
    <w:p w14:paraId="540E640F"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3. Гараж 1;</w:t>
      </w:r>
    </w:p>
    <w:p w14:paraId="47216E7D"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4. Виварий 2;</w:t>
      </w:r>
    </w:p>
    <w:p w14:paraId="68987F7C"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5. Дегазационная камера 1;</w:t>
      </w:r>
    </w:p>
    <w:p w14:paraId="3D5F9C3A"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6. Колодец с проведением водопроводной системы 1;</w:t>
      </w:r>
    </w:p>
    <w:p w14:paraId="17F9314B"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7. Оборудование в связи с электрификацией поселка.</w:t>
      </w:r>
    </w:p>
    <w:p w14:paraId="4DE4C404"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Всего арендаторами уже вложено на строительство 180 000 марок, а с оборудованием ими затрачено около 320 000 марок. Предложено в очередном году вложить в это предприятие еще 120 000 марок.</w:t>
      </w:r>
    </w:p>
    <w:p w14:paraId="5C40A904"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II. По линии испытательной исследовательской работы проделано:</w:t>
      </w:r>
    </w:p>
    <w:p w14:paraId="37A0D6F2"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1. Испытана цистерна для заражения местности;</w:t>
      </w:r>
    </w:p>
    <w:p w14:paraId="3062C93F"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2. Носимый прибор для заражения «</w:t>
      </w:r>
      <w:proofErr w:type="spellStart"/>
      <w:r w:rsidRPr="00A259BD">
        <w:rPr>
          <w:color w:val="000000" w:themeColor="text1"/>
          <w:sz w:val="16"/>
          <w:szCs w:val="16"/>
        </w:rPr>
        <w:t>Минимако</w:t>
      </w:r>
      <w:proofErr w:type="spellEnd"/>
      <w:r w:rsidRPr="00A259BD">
        <w:rPr>
          <w:color w:val="000000" w:themeColor="text1"/>
          <w:sz w:val="16"/>
          <w:szCs w:val="16"/>
        </w:rPr>
        <w:t>» и «Наг»;</w:t>
      </w:r>
    </w:p>
    <w:p w14:paraId="58CF4CBA"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3. Прибор для выливания ОВ с воздуха;</w:t>
      </w:r>
    </w:p>
    <w:p w14:paraId="23BF696B"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4. Образцы дистанционных химических бомб;</w:t>
      </w:r>
    </w:p>
    <w:p w14:paraId="013BEC4A"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5. Установка для наливки иприта;</w:t>
      </w:r>
    </w:p>
    <w:p w14:paraId="72E4921F"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6. Химические фугасы, рвущиеся в воздухе;</w:t>
      </w:r>
    </w:p>
    <w:p w14:paraId="45C694CA"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7. Приборы для дегазации;</w:t>
      </w:r>
    </w:p>
    <w:p w14:paraId="6E46F38E"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8. Защитные костюмы — противогазы;</w:t>
      </w:r>
    </w:p>
    <w:p w14:paraId="32FA7730"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9. Приборы для электролитического определения иприта;</w:t>
      </w:r>
    </w:p>
    <w:p w14:paraId="4DBB35CB"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10. Средства лечения и профилактики ипритных поражений.</w:t>
      </w:r>
    </w:p>
    <w:p w14:paraId="220B7FEB" w14:textId="77777777" w:rsidR="00F460A5" w:rsidRPr="00A259BD" w:rsidRDefault="00F460A5" w:rsidP="009236E3">
      <w:pPr>
        <w:pStyle w:val="style3"/>
        <w:spacing w:before="0" w:beforeAutospacing="0" w:after="0" w:afterAutospacing="0"/>
        <w:jc w:val="both"/>
        <w:rPr>
          <w:color w:val="000000" w:themeColor="text1"/>
          <w:sz w:val="16"/>
          <w:szCs w:val="16"/>
        </w:rPr>
      </w:pPr>
      <w:r w:rsidRPr="00A259BD">
        <w:rPr>
          <w:color w:val="000000" w:themeColor="text1"/>
          <w:sz w:val="16"/>
          <w:szCs w:val="16"/>
        </w:rPr>
        <w:t>Начальник IV Управления Штаба РККА Берзин ЦГАСА. Ф 33987 Оп. 3. Д. 295. Л 79. Подлинник (20246).</w:t>
      </w:r>
    </w:p>
    <w:p w14:paraId="2E3725AD" w14:textId="77777777" w:rsidR="00F460A5" w:rsidRPr="00A259BD" w:rsidRDefault="00F460A5" w:rsidP="009236E3">
      <w:pPr>
        <w:pStyle w:val="ae"/>
        <w:spacing w:before="0" w:after="0"/>
        <w:jc w:val="both"/>
        <w:rPr>
          <w:color w:val="000000" w:themeColor="text1"/>
          <w:sz w:val="16"/>
          <w:szCs w:val="16"/>
        </w:rPr>
      </w:pPr>
    </w:p>
    <w:p w14:paraId="52BA2BD8" w14:textId="1996157C" w:rsidR="00EE73C1" w:rsidRDefault="00EE73C1" w:rsidP="009236E3">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2E13C89A" w14:textId="77777777" w:rsidR="00EE73C1" w:rsidRDefault="00EE73C1"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48038C45" w14:textId="77777777" w:rsidR="00EE73C1" w:rsidRPr="00441F34" w:rsidRDefault="00EE73C1" w:rsidP="00EE73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ян</w:t>
      </w:r>
      <w:r w:rsidRPr="00441F34">
        <w:rPr>
          <w:rFonts w:ascii="Times New Roman" w:hAnsi="Times New Roman"/>
          <w:color w:val="0070C0"/>
          <w:sz w:val="16"/>
          <w:szCs w:val="16"/>
        </w:rPr>
        <w:softHyphen/>
        <w:t>варе 1929 г. тяжелобомбардировочная авиация насчитывала всего 14 самолётов. Из этого числа 55-я эс</w:t>
      </w:r>
      <w:r w:rsidRPr="00441F34">
        <w:rPr>
          <w:rFonts w:ascii="Times New Roman" w:hAnsi="Times New Roman"/>
          <w:color w:val="0070C0"/>
          <w:sz w:val="16"/>
          <w:szCs w:val="16"/>
        </w:rPr>
        <w:softHyphen/>
        <w:t>кадрилья имела шесть ЮГ-1 и три ФГ-62, а 57-я - пять ЮГ-1. «Голиафы» были сильно изношены и использо</w:t>
      </w:r>
      <w:r w:rsidRPr="00441F34">
        <w:rPr>
          <w:rFonts w:ascii="Times New Roman" w:hAnsi="Times New Roman"/>
          <w:color w:val="0070C0"/>
          <w:sz w:val="16"/>
          <w:szCs w:val="16"/>
        </w:rPr>
        <w:softHyphen/>
        <w:t>вались уже только как учебные само</w:t>
      </w:r>
      <w:r w:rsidRPr="00441F34">
        <w:rPr>
          <w:rFonts w:ascii="Times New Roman" w:hAnsi="Times New Roman"/>
          <w:color w:val="0070C0"/>
          <w:sz w:val="16"/>
          <w:szCs w:val="16"/>
        </w:rPr>
        <w:softHyphen/>
        <w:t>лёты. Основную ношу боевой подго</w:t>
      </w:r>
      <w:r w:rsidRPr="00441F34">
        <w:rPr>
          <w:rFonts w:ascii="Times New Roman" w:hAnsi="Times New Roman"/>
          <w:color w:val="0070C0"/>
          <w:sz w:val="16"/>
          <w:szCs w:val="16"/>
        </w:rPr>
        <w:softHyphen/>
        <w:t>товки несли «юнкерсы».</w:t>
      </w:r>
    </w:p>
    <w:p w14:paraId="4B29021E" w14:textId="77777777" w:rsidR="00EE73C1" w:rsidRPr="00441F34" w:rsidRDefault="00EE73C1" w:rsidP="00EE73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Пилоты на них имели налёт от 5 до 18 часов в месяц. Увеличение его сдерживалось в основном частыми отказами моторов. С октября 1928 г. по октябрь 1929 г. двигатели L5 15 раз отказывали в полёте. 4 сентября 1929 г. самолёт лётчика Шанина из- за отказа левого мотора на взлёте развернуло, и бомбардировщик рухнул на землю. Бедой было и низ</w:t>
      </w:r>
      <w:r w:rsidRPr="00441F34">
        <w:rPr>
          <w:rFonts w:ascii="Times New Roman" w:hAnsi="Times New Roman"/>
          <w:color w:val="0070C0"/>
          <w:sz w:val="16"/>
          <w:szCs w:val="16"/>
        </w:rPr>
        <w:softHyphen/>
        <w:t>кое качество отечественного бен</w:t>
      </w:r>
      <w:r w:rsidRPr="00441F34">
        <w:rPr>
          <w:rFonts w:ascii="Times New Roman" w:hAnsi="Times New Roman"/>
          <w:color w:val="0070C0"/>
          <w:sz w:val="16"/>
          <w:szCs w:val="16"/>
        </w:rPr>
        <w:softHyphen/>
        <w:t>зина. Проблему пытались решать серией приказов о тщательнейшем контроле качества топлива.</w:t>
      </w:r>
    </w:p>
    <w:p w14:paraId="7F430493" w14:textId="77777777" w:rsidR="00EE73C1" w:rsidRPr="00441F34" w:rsidRDefault="00EE73C1" w:rsidP="00EE73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в то время невысокая на</w:t>
      </w:r>
      <w:r w:rsidRPr="00441F34">
        <w:rPr>
          <w:rFonts w:ascii="Times New Roman" w:hAnsi="Times New Roman"/>
          <w:color w:val="0070C0"/>
          <w:sz w:val="16"/>
          <w:szCs w:val="16"/>
        </w:rPr>
        <w:softHyphen/>
        <w:t>дежность двигателей считалась нормой, и L5 не выделялся в этом отношении в худшую сторону. К то</w:t>
      </w:r>
      <w:r w:rsidRPr="00441F34">
        <w:rPr>
          <w:rFonts w:ascii="Times New Roman" w:hAnsi="Times New Roman"/>
          <w:color w:val="0070C0"/>
          <w:sz w:val="16"/>
          <w:szCs w:val="16"/>
        </w:rPr>
        <w:softHyphen/>
        <w:t>му же наземный состав всё лучше осваивал их эксплуатацию, предупреждая возможные отказы. Более того, в СССР зарубежные конструк</w:t>
      </w:r>
      <w:r w:rsidRPr="00441F34">
        <w:rPr>
          <w:rFonts w:ascii="Times New Roman" w:hAnsi="Times New Roman"/>
          <w:color w:val="0070C0"/>
          <w:sz w:val="16"/>
          <w:szCs w:val="16"/>
        </w:rPr>
        <w:softHyphen/>
        <w:t>ции постоянно совершенствовали. В феврале 1929 г. и «</w:t>
      </w:r>
      <w:proofErr w:type="spellStart"/>
      <w:r w:rsidRPr="00441F34">
        <w:rPr>
          <w:rFonts w:ascii="Times New Roman" w:hAnsi="Times New Roman"/>
          <w:color w:val="0070C0"/>
          <w:sz w:val="16"/>
          <w:szCs w:val="16"/>
        </w:rPr>
        <w:t>фарманы</w:t>
      </w:r>
      <w:proofErr w:type="spellEnd"/>
      <w:r w:rsidRPr="00441F34">
        <w:rPr>
          <w:rFonts w:ascii="Times New Roman" w:hAnsi="Times New Roman"/>
          <w:color w:val="0070C0"/>
          <w:sz w:val="16"/>
          <w:szCs w:val="16"/>
        </w:rPr>
        <w:t xml:space="preserve">», и ЮГ-1 получили храповики на втулках винтов для запуска моторов с помощью </w:t>
      </w:r>
      <w:proofErr w:type="spellStart"/>
      <w:r w:rsidRPr="00441F34">
        <w:rPr>
          <w:rFonts w:ascii="Times New Roman" w:hAnsi="Times New Roman"/>
          <w:color w:val="0070C0"/>
          <w:sz w:val="16"/>
          <w:szCs w:val="16"/>
        </w:rPr>
        <w:t>автостартёра</w:t>
      </w:r>
      <w:proofErr w:type="spellEnd"/>
      <w:r w:rsidRPr="00441F34">
        <w:rPr>
          <w:rFonts w:ascii="Times New Roman" w:hAnsi="Times New Roman"/>
          <w:color w:val="0070C0"/>
          <w:sz w:val="16"/>
          <w:szCs w:val="16"/>
        </w:rPr>
        <w:t>. На «Голи</w:t>
      </w:r>
      <w:r w:rsidRPr="00441F34">
        <w:rPr>
          <w:rFonts w:ascii="Times New Roman" w:hAnsi="Times New Roman"/>
          <w:color w:val="0070C0"/>
          <w:sz w:val="16"/>
          <w:szCs w:val="16"/>
        </w:rPr>
        <w:softHyphen/>
        <w:t>афах» усилили баки и поставили советские пропеллеры. На немец</w:t>
      </w:r>
      <w:r w:rsidRPr="00441F34">
        <w:rPr>
          <w:rFonts w:ascii="Times New Roman" w:hAnsi="Times New Roman"/>
          <w:color w:val="0070C0"/>
          <w:sz w:val="16"/>
          <w:szCs w:val="16"/>
        </w:rPr>
        <w:softHyphen/>
        <w:t>ких самолётах с ноября 1928 г. ста</w:t>
      </w:r>
      <w:r w:rsidRPr="00441F34">
        <w:rPr>
          <w:rFonts w:ascii="Times New Roman" w:hAnsi="Times New Roman"/>
          <w:color w:val="0070C0"/>
          <w:sz w:val="16"/>
          <w:szCs w:val="16"/>
        </w:rPr>
        <w:softHyphen/>
        <w:t>ли ставить более прочные лыжи конструкции Лобанова (23469).</w:t>
      </w:r>
    </w:p>
    <w:p w14:paraId="491366C6" w14:textId="77777777" w:rsidR="00EE73C1" w:rsidRPr="00441F34" w:rsidRDefault="00EE73C1" w:rsidP="00EE73C1">
      <w:pPr>
        <w:spacing w:after="0" w:line="240" w:lineRule="auto"/>
        <w:jc w:val="both"/>
        <w:rPr>
          <w:rFonts w:ascii="Times New Roman" w:hAnsi="Times New Roman"/>
          <w:color w:val="0070C0"/>
          <w:sz w:val="16"/>
          <w:szCs w:val="16"/>
        </w:rPr>
      </w:pPr>
    </w:p>
    <w:p w14:paraId="35BE5814" w14:textId="4B30E6D1"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6245C2D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951A3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январю 1929 года было сделано все возможное для насыщения хлебопроизводящих районов промтоварами “при полном оголении, правда, на короткий срок, основных промышленных центров”. Вялый ход хлебозаготовок и ухудшение хлебного снабжения промышленных центров требовали решительных действий. Как и в прошлом году, Политбюро не готовилось к трудностям заранее, а стало принимать меры в конце осени 1928 года после резкого спада хлебозаготовок. В то время, когда в Москве только начинало вводиться нормирование продажи хлеба, во многих других городах к зиме 1928/29 года хлебные карточки уже существовали. Поскольку карточная система распространялась “стихийно” снизу, распоряжениями местных властей, то она носила разношерстный характер — нормы и группы снабжения отличались. В “битве за хлеб” Политбюро вновь начало с экономических мероприятий. Пытаясь стимулировать сдачу зерна, правительство вновь принялось выкачивать избыточную денежную массу из деревни, взимая недоимки, распространяя займы, повышая размеры самообложения. Но, как и в прошлом году чуда не произошло, экономические меры не давали быстрого результата, а ждать сталинское руководство не хотело. В ход пошли массовые репрессии против частных заготовителей, скупщиков, торговцев. В результате арестов и конфискаций доля частной патентованной торговли в товарообороте страны сократилась до 14% (11578).</w:t>
      </w:r>
    </w:p>
    <w:p w14:paraId="3BE912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784E2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января 1929 года, когда заготовительная кампания приближалась к концу, начались “массовые мероприятия общественного воздействия” и репрессии против крестьян, державших хлеб. Они вновь испытали на себе методы </w:t>
      </w:r>
      <w:proofErr w:type="spellStart"/>
      <w:r w:rsidRPr="00A259BD">
        <w:rPr>
          <w:rFonts w:ascii="Times New Roman" w:hAnsi="Times New Roman"/>
          <w:color w:val="000000" w:themeColor="text1"/>
          <w:sz w:val="16"/>
          <w:szCs w:val="16"/>
        </w:rPr>
        <w:t>хлебовыколачивания</w:t>
      </w:r>
      <w:proofErr w:type="spellEnd"/>
      <w:r w:rsidRPr="00A259BD">
        <w:rPr>
          <w:rFonts w:ascii="Times New Roman" w:hAnsi="Times New Roman"/>
          <w:color w:val="000000" w:themeColor="text1"/>
          <w:sz w:val="16"/>
          <w:szCs w:val="16"/>
        </w:rPr>
        <w:t>, однако репрессии давали только кратковременный положительный эффект. Крестьяне сдавали хлеб, но источники самообеспечения крестьянства и местный товарооборот при этом сокращались. Рассчитывать на государственное снабжение крестьянам особо не приходилось. Государство не выполняло своих обязательств даже по снабжению тех, кому давало гарантии. Введение карточек сокращало для крестьян и возможность покупать хлеб в городе (11578).</w:t>
      </w:r>
    </w:p>
    <w:p w14:paraId="3FF60A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02B6DA" w14:textId="77777777" w:rsidR="005F7728" w:rsidRPr="00A259BD" w:rsidRDefault="005F77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января 1929 года, когда заготовительная кампания приближалась к концу, начались «массовые мероприятия общественного воздействия» и репрессии против крестьян, державших хлеб. Они вновь испытали на себе методы </w:t>
      </w:r>
      <w:proofErr w:type="spellStart"/>
      <w:r w:rsidRPr="00A259BD">
        <w:rPr>
          <w:rFonts w:ascii="Times New Roman" w:hAnsi="Times New Roman"/>
          <w:color w:val="000000" w:themeColor="text1"/>
          <w:sz w:val="16"/>
          <w:szCs w:val="16"/>
        </w:rPr>
        <w:t>хлебовыколачивания</w:t>
      </w:r>
      <w:proofErr w:type="spellEnd"/>
      <w:r w:rsidRPr="00A259BD">
        <w:rPr>
          <w:rFonts w:ascii="Times New Roman" w:hAnsi="Times New Roman"/>
          <w:color w:val="000000" w:themeColor="text1"/>
          <w:sz w:val="16"/>
          <w:szCs w:val="16"/>
        </w:rPr>
        <w:t>, однако репрессии давали только кратковременный положительный эффект. Крестьяне сдавали хлеб, но источники самообеспечения крестьянства и местный товарооборот при этом сокращались. Рассчитывать на государственное снабжение крестьянам особо не приходилось. Государство не выполняло своих обязательств даже по снабжению тех, кому давало гарантии. Введение карточек сокращало для крестьян и возможность покупать хлеб в городе (18416).</w:t>
      </w:r>
    </w:p>
    <w:p w14:paraId="4C2DA668" w14:textId="77777777" w:rsidR="005F7728" w:rsidRPr="00A259BD" w:rsidRDefault="005F7728" w:rsidP="009236E3">
      <w:pPr>
        <w:spacing w:after="0" w:line="240" w:lineRule="auto"/>
        <w:jc w:val="both"/>
        <w:rPr>
          <w:rFonts w:ascii="Times New Roman" w:hAnsi="Times New Roman"/>
          <w:color w:val="000000" w:themeColor="text1"/>
          <w:sz w:val="16"/>
          <w:szCs w:val="16"/>
        </w:rPr>
      </w:pPr>
    </w:p>
    <w:p w14:paraId="0E55BC20" w14:textId="77777777" w:rsidR="005F7728" w:rsidRPr="00A259BD" w:rsidRDefault="005F77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Январь 1929. В Красно-Пресненском районе, на углу Косого и Оружейного переулков открыли вытрезвитель, рассчитанный на 35 мест. В вытрезвитель решили направлять через милицию лиц, отравленных алкоголем и другими наркотиками. За оказание помощи вытрезвитель брал от 2 до 5 рублей с человека (18726).</w:t>
      </w:r>
    </w:p>
    <w:p w14:paraId="0A1ED106" w14:textId="77777777" w:rsidR="005F7728" w:rsidRPr="00A259BD" w:rsidRDefault="005F7728" w:rsidP="009236E3">
      <w:pPr>
        <w:spacing w:after="0" w:line="240" w:lineRule="auto"/>
        <w:jc w:val="both"/>
        <w:rPr>
          <w:rFonts w:ascii="Times New Roman" w:hAnsi="Times New Roman"/>
          <w:color w:val="000000" w:themeColor="text1"/>
          <w:sz w:val="16"/>
          <w:szCs w:val="16"/>
        </w:rPr>
      </w:pPr>
    </w:p>
    <w:p w14:paraId="5B458BE6"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614E3A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FAB5FD3" w14:textId="77777777" w:rsidR="00F460A5" w:rsidRPr="00A259BD" w:rsidRDefault="00F460A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Январь 1929 </w:t>
      </w:r>
      <w:proofErr w:type="spellStart"/>
      <w:r w:rsidRPr="00A259BD">
        <w:rPr>
          <w:rFonts w:ascii="Times New Roman" w:hAnsi="Times New Roman"/>
          <w:color w:val="000000" w:themeColor="text1"/>
          <w:sz w:val="16"/>
          <w:szCs w:val="16"/>
        </w:rPr>
        <w:t>Cierva</w:t>
      </w:r>
      <w:proofErr w:type="spellEnd"/>
      <w:r w:rsidRPr="00A259BD">
        <w:rPr>
          <w:rFonts w:ascii="Times New Roman" w:hAnsi="Times New Roman"/>
          <w:color w:val="000000" w:themeColor="text1"/>
          <w:sz w:val="16"/>
          <w:szCs w:val="16"/>
        </w:rPr>
        <w:t xml:space="preserve"> C.8W автожир делает первый полет автожира в Соединенных Штатах, в </w:t>
      </w:r>
      <w:proofErr w:type="spellStart"/>
      <w:r w:rsidRPr="00A259BD">
        <w:rPr>
          <w:rFonts w:ascii="Times New Roman" w:hAnsi="Times New Roman"/>
          <w:color w:val="000000" w:themeColor="text1"/>
          <w:sz w:val="16"/>
          <w:szCs w:val="16"/>
        </w:rPr>
        <w:t>Willow</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Grove</w:t>
      </w:r>
      <w:proofErr w:type="spellEnd"/>
      <w:r w:rsidRPr="00A259BD">
        <w:rPr>
          <w:rFonts w:ascii="Times New Roman" w:hAnsi="Times New Roman"/>
          <w:color w:val="000000" w:themeColor="text1"/>
          <w:sz w:val="16"/>
          <w:szCs w:val="16"/>
        </w:rPr>
        <w:t>, Пенсильвания (20806).</w:t>
      </w:r>
    </w:p>
    <w:p w14:paraId="4C8817D0" w14:textId="77777777" w:rsidR="00F460A5" w:rsidRPr="00A259BD" w:rsidRDefault="00F460A5" w:rsidP="009236E3">
      <w:pPr>
        <w:spacing w:after="0" w:line="240" w:lineRule="auto"/>
        <w:jc w:val="both"/>
        <w:rPr>
          <w:rFonts w:ascii="Times New Roman" w:hAnsi="Times New Roman"/>
          <w:color w:val="000000" w:themeColor="text1"/>
          <w:sz w:val="16"/>
          <w:szCs w:val="16"/>
        </w:rPr>
      </w:pPr>
    </w:p>
    <w:p w14:paraId="5070AA4A" w14:textId="77777777" w:rsidR="001670D6" w:rsidRPr="00A259BD" w:rsidRDefault="001670D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w:t>
      </w:r>
      <w:r w:rsidRPr="00A259BD">
        <w:rPr>
          <w:rFonts w:ascii="Times New Roman" w:hAnsi="Times New Roman"/>
          <w:color w:val="000000" w:themeColor="text1"/>
          <w:sz w:val="16"/>
          <w:szCs w:val="16"/>
        </w:rPr>
        <w:softHyphen/>
        <w:t>ре 1929 г. при демонстрации возможностей автожира С-8 Мк.111 присутствовали высшие авиационные чиновни</w:t>
      </w:r>
      <w:r w:rsidRPr="00A259BD">
        <w:rPr>
          <w:rFonts w:ascii="Times New Roman" w:hAnsi="Times New Roman"/>
          <w:color w:val="000000" w:themeColor="text1"/>
          <w:sz w:val="16"/>
          <w:szCs w:val="16"/>
        </w:rPr>
        <w:softHyphen/>
        <w:t xml:space="preserve">ки авиации Италии во главе с генералом </w:t>
      </w: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xml:space="preserve"> и ряд во</w:t>
      </w:r>
      <w:r w:rsidRPr="00A259BD">
        <w:rPr>
          <w:rFonts w:ascii="Times New Roman" w:hAnsi="Times New Roman"/>
          <w:color w:val="000000" w:themeColor="text1"/>
          <w:sz w:val="16"/>
          <w:szCs w:val="16"/>
        </w:rPr>
        <w:softHyphen/>
        <w:t>енных представителей других государств. Советский воен</w:t>
      </w:r>
      <w:r w:rsidRPr="00A259BD">
        <w:rPr>
          <w:rFonts w:ascii="Times New Roman" w:hAnsi="Times New Roman"/>
          <w:color w:val="000000" w:themeColor="text1"/>
          <w:sz w:val="16"/>
          <w:szCs w:val="16"/>
        </w:rPr>
        <w:softHyphen/>
        <w:t xml:space="preserve">ный атташе при Полпредстве СССР в Италии Силин в своем послании от 17 января 1929 г. подробно описал это событие: «16 января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xml:space="preserve">. я был на аэродроме </w:t>
      </w:r>
      <w:proofErr w:type="spellStart"/>
      <w:r w:rsidRPr="00A259BD">
        <w:rPr>
          <w:rFonts w:ascii="Times New Roman" w:hAnsi="Times New Roman"/>
          <w:color w:val="000000" w:themeColor="text1"/>
          <w:sz w:val="16"/>
          <w:szCs w:val="16"/>
        </w:rPr>
        <w:t>Монтечелио</w:t>
      </w:r>
      <w:proofErr w:type="spellEnd"/>
      <w:r w:rsidRPr="00A259BD">
        <w:rPr>
          <w:rFonts w:ascii="Times New Roman" w:hAnsi="Times New Roman"/>
          <w:color w:val="000000" w:themeColor="text1"/>
          <w:sz w:val="16"/>
          <w:szCs w:val="16"/>
        </w:rPr>
        <w:t xml:space="preserve"> и имел возможность видеть «автожир» инженера </w:t>
      </w:r>
      <w:proofErr w:type="spellStart"/>
      <w:r w:rsidRPr="00A259BD">
        <w:rPr>
          <w:rFonts w:ascii="Times New Roman" w:hAnsi="Times New Roman"/>
          <w:color w:val="000000" w:themeColor="text1"/>
          <w:sz w:val="16"/>
          <w:szCs w:val="16"/>
        </w:rPr>
        <w:t>Сиервы</w:t>
      </w:r>
      <w:proofErr w:type="spellEnd"/>
      <w:r w:rsidRPr="00A259BD">
        <w:rPr>
          <w:rFonts w:ascii="Times New Roman" w:hAnsi="Times New Roman"/>
          <w:color w:val="000000" w:themeColor="text1"/>
          <w:sz w:val="16"/>
          <w:szCs w:val="16"/>
        </w:rPr>
        <w:t>». Далее Силин критически оценивает все эти полеты, о ко</w:t>
      </w:r>
      <w:r w:rsidRPr="00A259BD">
        <w:rPr>
          <w:rFonts w:ascii="Times New Roman" w:hAnsi="Times New Roman"/>
          <w:color w:val="000000" w:themeColor="text1"/>
          <w:sz w:val="16"/>
          <w:szCs w:val="16"/>
        </w:rPr>
        <w:softHyphen/>
        <w:t>торых итальянская пресса, наоборот, писала весьма вос</w:t>
      </w:r>
      <w:r w:rsidRPr="00A259BD">
        <w:rPr>
          <w:rFonts w:ascii="Times New Roman" w:hAnsi="Times New Roman"/>
          <w:color w:val="000000" w:themeColor="text1"/>
          <w:sz w:val="16"/>
          <w:szCs w:val="16"/>
        </w:rPr>
        <w:softHyphen/>
        <w:t xml:space="preserve">торженно. Он сообщает, что де ла </w:t>
      </w:r>
      <w:proofErr w:type="spellStart"/>
      <w:r w:rsidRPr="00A259BD">
        <w:rPr>
          <w:rFonts w:ascii="Times New Roman" w:hAnsi="Times New Roman"/>
          <w:color w:val="000000" w:themeColor="text1"/>
          <w:sz w:val="16"/>
          <w:szCs w:val="16"/>
        </w:rPr>
        <w:t>Сиерва</w:t>
      </w:r>
      <w:proofErr w:type="spellEnd"/>
      <w:r w:rsidRPr="00A259BD">
        <w:rPr>
          <w:rFonts w:ascii="Times New Roman" w:hAnsi="Times New Roman"/>
          <w:color w:val="000000" w:themeColor="text1"/>
          <w:sz w:val="16"/>
          <w:szCs w:val="16"/>
        </w:rPr>
        <w:t xml:space="preserve"> выполнил все</w:t>
      </w:r>
      <w:r w:rsidRPr="00A259BD">
        <w:rPr>
          <w:rFonts w:ascii="Times New Roman" w:hAnsi="Times New Roman"/>
          <w:color w:val="000000" w:themeColor="text1"/>
          <w:sz w:val="16"/>
          <w:szCs w:val="16"/>
        </w:rPr>
        <w:softHyphen/>
        <w:t>го три полета, при этом старт осуществлял на значитель</w:t>
      </w:r>
      <w:r w:rsidRPr="00A259BD">
        <w:rPr>
          <w:rFonts w:ascii="Times New Roman" w:hAnsi="Times New Roman"/>
          <w:color w:val="000000" w:themeColor="text1"/>
          <w:sz w:val="16"/>
          <w:szCs w:val="16"/>
        </w:rPr>
        <w:softHyphen/>
        <w:t>ном удалении, наиболее эффектные подъемы и снижения осуществлял в направлении зрителей. То есть, наблюда</w:t>
      </w:r>
      <w:r w:rsidRPr="00A259BD">
        <w:rPr>
          <w:rFonts w:ascii="Times New Roman" w:hAnsi="Times New Roman"/>
          <w:color w:val="000000" w:themeColor="text1"/>
          <w:sz w:val="16"/>
          <w:szCs w:val="16"/>
        </w:rPr>
        <w:softHyphen/>
        <w:t>тель видел вертикальную составляющую полета и не мог оценить длину разбега или пробега при посадке. По мне</w:t>
      </w:r>
      <w:r w:rsidRPr="00A259BD">
        <w:rPr>
          <w:rFonts w:ascii="Times New Roman" w:hAnsi="Times New Roman"/>
          <w:color w:val="000000" w:themeColor="text1"/>
          <w:sz w:val="16"/>
          <w:szCs w:val="16"/>
        </w:rPr>
        <w:softHyphen/>
        <w:t>нию Силина, автожир не показал действительно вертикаль</w:t>
      </w:r>
      <w:r w:rsidRPr="00A259BD">
        <w:rPr>
          <w:rFonts w:ascii="Times New Roman" w:hAnsi="Times New Roman"/>
          <w:color w:val="000000" w:themeColor="text1"/>
          <w:sz w:val="16"/>
          <w:szCs w:val="16"/>
        </w:rPr>
        <w:softHyphen/>
        <w:t>ных подъема и спуска. Особого отличия от самолетов со</w:t>
      </w:r>
      <w:r w:rsidRPr="00A259BD">
        <w:rPr>
          <w:rFonts w:ascii="Times New Roman" w:hAnsi="Times New Roman"/>
          <w:color w:val="000000" w:themeColor="text1"/>
          <w:sz w:val="16"/>
          <w:szCs w:val="16"/>
        </w:rPr>
        <w:softHyphen/>
        <w:t>ветский атташе не заметил, в отношении остального до</w:t>
      </w:r>
      <w:r w:rsidRPr="00A259BD">
        <w:rPr>
          <w:rFonts w:ascii="Times New Roman" w:hAnsi="Times New Roman"/>
          <w:color w:val="000000" w:themeColor="text1"/>
          <w:sz w:val="16"/>
          <w:szCs w:val="16"/>
        </w:rPr>
        <w:softHyphen/>
        <w:t>бавлял:</w:t>
      </w:r>
    </w:p>
    <w:p w14:paraId="0D41C682" w14:textId="77777777" w:rsidR="001670D6" w:rsidRPr="00A259BD" w:rsidRDefault="001670D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личных наблюдений могу добавить следующее:</w:t>
      </w:r>
    </w:p>
    <w:p w14:paraId="2F6912BD" w14:textId="77777777" w:rsidR="001670D6" w:rsidRPr="00A259BD" w:rsidRDefault="001670D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Длина аппарата на глаз 10 метров.</w:t>
      </w:r>
    </w:p>
    <w:p w14:paraId="6D00A843" w14:textId="77777777" w:rsidR="001670D6" w:rsidRPr="00A259BD" w:rsidRDefault="001670D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Размах крыльев 7 метров.</w:t>
      </w:r>
    </w:p>
    <w:p w14:paraId="4D43F6BE" w14:textId="77777777" w:rsidR="001670D6" w:rsidRPr="00A259BD" w:rsidRDefault="001670D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Центральная ось лопастей впереди места первого лет</w:t>
      </w:r>
      <w:r w:rsidRPr="00A259BD">
        <w:rPr>
          <w:rFonts w:ascii="Times New Roman" w:hAnsi="Times New Roman"/>
          <w:color w:val="000000" w:themeColor="text1"/>
          <w:sz w:val="16"/>
          <w:szCs w:val="16"/>
        </w:rPr>
        <w:softHyphen/>
        <w:t>чика.</w:t>
      </w:r>
    </w:p>
    <w:p w14:paraId="435DC026" w14:textId="77777777" w:rsidR="001670D6" w:rsidRPr="00A259BD" w:rsidRDefault="001670D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Аппарат двухместный, но летал </w:t>
      </w:r>
      <w:proofErr w:type="spellStart"/>
      <w:r w:rsidRPr="00A259BD">
        <w:rPr>
          <w:rFonts w:ascii="Times New Roman" w:hAnsi="Times New Roman"/>
          <w:color w:val="000000" w:themeColor="text1"/>
          <w:sz w:val="16"/>
          <w:szCs w:val="16"/>
        </w:rPr>
        <w:t>Сиерва</w:t>
      </w:r>
      <w:proofErr w:type="spellEnd"/>
      <w:r w:rsidRPr="00A259BD">
        <w:rPr>
          <w:rFonts w:ascii="Times New Roman" w:hAnsi="Times New Roman"/>
          <w:color w:val="000000" w:themeColor="text1"/>
          <w:sz w:val="16"/>
          <w:szCs w:val="16"/>
        </w:rPr>
        <w:t xml:space="preserve"> один, без пассажиров.</w:t>
      </w:r>
    </w:p>
    <w:p w14:paraId="7EA14592" w14:textId="77777777" w:rsidR="001670D6" w:rsidRPr="00A259BD" w:rsidRDefault="001670D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Лопасти автожира по длине доходят точно до руля на</w:t>
      </w:r>
      <w:r w:rsidRPr="00A259BD">
        <w:rPr>
          <w:rFonts w:ascii="Times New Roman" w:hAnsi="Times New Roman"/>
          <w:color w:val="000000" w:themeColor="text1"/>
          <w:sz w:val="16"/>
          <w:szCs w:val="16"/>
        </w:rPr>
        <w:softHyphen/>
        <w:t>правления, т.е. размер их составляет около 7 метров.</w:t>
      </w:r>
    </w:p>
    <w:p w14:paraId="0BF6F518" w14:textId="77777777" w:rsidR="001670D6" w:rsidRPr="00A259BD" w:rsidRDefault="001670D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...Посмотреть аппарат близко, видеть кабину летчика, механизмы управления лопастями и т.п. не было представ</w:t>
      </w:r>
      <w:r w:rsidRPr="00A259BD">
        <w:rPr>
          <w:rFonts w:ascii="Times New Roman" w:hAnsi="Times New Roman"/>
          <w:color w:val="000000" w:themeColor="text1"/>
          <w:sz w:val="16"/>
          <w:szCs w:val="16"/>
        </w:rPr>
        <w:softHyphen/>
        <w:t>лено возможности» (20361).</w:t>
      </w:r>
    </w:p>
    <w:p w14:paraId="1C25415C" w14:textId="77777777" w:rsidR="001670D6" w:rsidRPr="00A259BD" w:rsidRDefault="001670D6" w:rsidP="009236E3">
      <w:pPr>
        <w:spacing w:after="0" w:line="240" w:lineRule="auto"/>
        <w:jc w:val="both"/>
        <w:rPr>
          <w:rFonts w:ascii="Times New Roman" w:hAnsi="Times New Roman"/>
          <w:color w:val="000000" w:themeColor="text1"/>
          <w:sz w:val="16"/>
          <w:szCs w:val="16"/>
        </w:rPr>
      </w:pPr>
    </w:p>
    <w:p w14:paraId="3A6E43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январе 1929 г. таджикско-пуштунская оппозиция захватила Кабул. Аманулла бежал в Кандагар. Власть перешла к лидеру восставших </w:t>
      </w:r>
      <w:proofErr w:type="spellStart"/>
      <w:r w:rsidRPr="00A259BD">
        <w:rPr>
          <w:rFonts w:ascii="Times New Roman" w:hAnsi="Times New Roman"/>
          <w:color w:val="000000" w:themeColor="text1"/>
          <w:sz w:val="16"/>
          <w:szCs w:val="16"/>
        </w:rPr>
        <w:t>Бачаи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Сакао</w:t>
      </w:r>
      <w:proofErr w:type="spellEnd"/>
      <w:r w:rsidRPr="00A259BD">
        <w:rPr>
          <w:rFonts w:ascii="Times New Roman" w:hAnsi="Times New Roman"/>
          <w:color w:val="000000" w:themeColor="text1"/>
          <w:sz w:val="16"/>
          <w:szCs w:val="16"/>
        </w:rPr>
        <w:t>, который и провозгласил себя новым эмиром. При его активном содействии на территории Афганистана прошли реорганизация и объединение находившихся там разрозненных басмаческих отрядов, бежавших в первой половине 20-х гг. из Средней Азии. Предполагалось, что это новое басмаческое формирование может возглавить бывший бухарский эмир (3871).</w:t>
      </w:r>
    </w:p>
    <w:p w14:paraId="33120B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3FB9A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5C349F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FA39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январе-марте 1929 г. состоялась макетная комиссия по самолету Л.2 и началась постройка опытного самолета. Разработка чертежей самолета Л. 2, который переименовали в ТБ-2, велась относительно медленными темпами - сказывались загрузка ОСС другими темами, а также перебазирование в феврале 1928 г. коллектива ОСС с серийного завода № 1 на опытный завод № 25. Потребовалось время и на перепроектирование самолета под двигатели БМВ VI. На темпы работ по ТБ-2 повлияло снижение интереса к нему со стороны заказчика - 15 августа 1928 г. начались испытания опытного самолета ТБ-1 (АНТ-4) с вооружением, полностью соответствовавшего требованиям УВВС (3407).</w:t>
      </w:r>
    </w:p>
    <w:p w14:paraId="0D7B59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3109E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456BDF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EC3542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январе-феврале 1929 военные специалисты </w:t>
      </w:r>
      <w:proofErr w:type="spellStart"/>
      <w:r w:rsidRPr="00A259BD">
        <w:rPr>
          <w:rFonts w:ascii="Times New Roman" w:hAnsi="Times New Roman"/>
          <w:color w:val="000000" w:themeColor="text1"/>
          <w:sz w:val="16"/>
          <w:szCs w:val="16"/>
        </w:rPr>
        <w:t>Рохинсон</w:t>
      </w:r>
      <w:proofErr w:type="spellEnd"/>
      <w:r w:rsidRPr="00A259BD">
        <w:rPr>
          <w:rFonts w:ascii="Times New Roman" w:hAnsi="Times New Roman"/>
          <w:color w:val="000000" w:themeColor="text1"/>
          <w:sz w:val="16"/>
          <w:szCs w:val="16"/>
        </w:rPr>
        <w:t xml:space="preserve">, Блинов и Карцев посетили </w:t>
      </w:r>
      <w:proofErr w:type="spellStart"/>
      <w:r w:rsidRPr="00A259BD">
        <w:rPr>
          <w:rFonts w:ascii="Times New Roman" w:hAnsi="Times New Roman"/>
          <w:color w:val="000000" w:themeColor="text1"/>
          <w:sz w:val="16"/>
          <w:szCs w:val="16"/>
        </w:rPr>
        <w:t>химобъекты</w:t>
      </w:r>
      <w:proofErr w:type="spellEnd"/>
      <w:r w:rsidRPr="00A259BD">
        <w:rPr>
          <w:rFonts w:ascii="Times New Roman" w:hAnsi="Times New Roman"/>
          <w:color w:val="000000" w:themeColor="text1"/>
          <w:sz w:val="16"/>
          <w:szCs w:val="16"/>
        </w:rPr>
        <w:t xml:space="preserve"> Германии, но с трудом получили лишь отдельные данные о применении ОВ в ходе войны. По современным смогли добиться: “только чертежей 160 мм газомета </w:t>
      </w:r>
      <w:proofErr w:type="spellStart"/>
      <w:r w:rsidRPr="00A259BD">
        <w:rPr>
          <w:rFonts w:ascii="Times New Roman" w:hAnsi="Times New Roman"/>
          <w:color w:val="000000" w:themeColor="text1"/>
          <w:sz w:val="16"/>
          <w:szCs w:val="16"/>
        </w:rPr>
        <w:t>непоследней</w:t>
      </w:r>
      <w:proofErr w:type="spellEnd"/>
      <w:r w:rsidRPr="00A259BD">
        <w:rPr>
          <w:rFonts w:ascii="Times New Roman" w:hAnsi="Times New Roman"/>
          <w:color w:val="000000" w:themeColor="text1"/>
          <w:sz w:val="16"/>
          <w:szCs w:val="16"/>
        </w:rPr>
        <w:t xml:space="preserve"> конструкции, ВАП для больших самолетов, пригодных как для диспергирования ОВ, так и для образования дымовых завес.” (6121).</w:t>
      </w:r>
    </w:p>
    <w:p w14:paraId="7680FDD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9703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январе-феврале 1929г. группа военных химиков (</w:t>
      </w:r>
      <w:proofErr w:type="spellStart"/>
      <w:r w:rsidRPr="00A259BD">
        <w:rPr>
          <w:rFonts w:ascii="Times New Roman" w:hAnsi="Times New Roman"/>
          <w:color w:val="000000" w:themeColor="text1"/>
          <w:sz w:val="16"/>
          <w:szCs w:val="16"/>
        </w:rPr>
        <w:t>Рохинсон</w:t>
      </w:r>
      <w:proofErr w:type="spellEnd"/>
      <w:r w:rsidRPr="00A259BD">
        <w:rPr>
          <w:rFonts w:ascii="Times New Roman" w:hAnsi="Times New Roman"/>
          <w:color w:val="000000" w:themeColor="text1"/>
          <w:sz w:val="16"/>
          <w:szCs w:val="16"/>
        </w:rPr>
        <w:t xml:space="preserve">, Карцев, Блинов) была направлена в командировку в Германию. Она осмотрела противогазовую лабораторию в Шпандау (с предоставлением ее подробного описания), полигон в </w:t>
      </w:r>
      <w:proofErr w:type="spellStart"/>
      <w:r w:rsidRPr="00A259BD">
        <w:rPr>
          <w:rFonts w:ascii="Times New Roman" w:hAnsi="Times New Roman"/>
          <w:color w:val="000000" w:themeColor="text1"/>
          <w:sz w:val="16"/>
          <w:szCs w:val="16"/>
        </w:rPr>
        <w:t>Куммерсдорфе</w:t>
      </w:r>
      <w:proofErr w:type="spellEnd"/>
      <w:r w:rsidRPr="00A259BD">
        <w:rPr>
          <w:rFonts w:ascii="Times New Roman" w:hAnsi="Times New Roman"/>
          <w:color w:val="000000" w:themeColor="text1"/>
          <w:sz w:val="16"/>
          <w:szCs w:val="16"/>
        </w:rPr>
        <w:t xml:space="preserve"> (вкл. опыты. по дегазации обмундирования и местности); фабрики по производству противогазов «Ауэр», «</w:t>
      </w:r>
      <w:proofErr w:type="spellStart"/>
      <w:r w:rsidRPr="00A259BD">
        <w:rPr>
          <w:rFonts w:ascii="Times New Roman" w:hAnsi="Times New Roman"/>
          <w:color w:val="000000" w:themeColor="text1"/>
          <w:sz w:val="16"/>
          <w:szCs w:val="16"/>
        </w:rPr>
        <w:t>Дегеа</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Дрегер</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Ханзеатише</w:t>
      </w:r>
      <w:proofErr w:type="spellEnd"/>
      <w:r w:rsidRPr="00A259BD">
        <w:rPr>
          <w:rFonts w:ascii="Times New Roman" w:hAnsi="Times New Roman"/>
          <w:color w:val="000000" w:themeColor="text1"/>
          <w:sz w:val="16"/>
          <w:szCs w:val="16"/>
        </w:rPr>
        <w:t xml:space="preserve"> АГ»/Киль, лабораторию проф. Ф. </w:t>
      </w:r>
      <w:proofErr w:type="spellStart"/>
      <w:r w:rsidRPr="00A259BD">
        <w:rPr>
          <w:rFonts w:ascii="Times New Roman" w:hAnsi="Times New Roman"/>
          <w:color w:val="000000" w:themeColor="text1"/>
          <w:sz w:val="16"/>
          <w:szCs w:val="16"/>
        </w:rPr>
        <w:t>Флюри</w:t>
      </w:r>
      <w:proofErr w:type="spellEnd"/>
      <w:r w:rsidRPr="00A259BD">
        <w:rPr>
          <w:rFonts w:ascii="Times New Roman" w:hAnsi="Times New Roman"/>
          <w:color w:val="000000" w:themeColor="text1"/>
          <w:sz w:val="16"/>
          <w:szCs w:val="16"/>
        </w:rPr>
        <w:t xml:space="preserve"> в Вюрцбурге, проф. Ф. Вирта в </w:t>
      </w:r>
      <w:proofErr w:type="spellStart"/>
      <w:r w:rsidRPr="00A259BD">
        <w:rPr>
          <w:rFonts w:ascii="Times New Roman" w:hAnsi="Times New Roman"/>
          <w:color w:val="000000" w:themeColor="text1"/>
          <w:sz w:val="16"/>
          <w:szCs w:val="16"/>
        </w:rPr>
        <w:t>Шарлотгенбурге</w:t>
      </w:r>
      <w:proofErr w:type="spellEnd"/>
      <w:r w:rsidRPr="00A259BD">
        <w:rPr>
          <w:rFonts w:ascii="Times New Roman" w:hAnsi="Times New Roman"/>
          <w:color w:val="000000" w:themeColor="text1"/>
          <w:sz w:val="16"/>
          <w:szCs w:val="16"/>
        </w:rPr>
        <w:t xml:space="preserve"> и проф. </w:t>
      </w:r>
      <w:proofErr w:type="spellStart"/>
      <w:r w:rsidRPr="00A259BD">
        <w:rPr>
          <w:rFonts w:ascii="Times New Roman" w:hAnsi="Times New Roman"/>
          <w:color w:val="000000" w:themeColor="text1"/>
          <w:sz w:val="16"/>
          <w:szCs w:val="16"/>
        </w:rPr>
        <w:t>Обермиллера</w:t>
      </w:r>
      <w:proofErr w:type="spellEnd"/>
      <w:r w:rsidRPr="00A259BD">
        <w:rPr>
          <w:rFonts w:ascii="Times New Roman" w:hAnsi="Times New Roman"/>
          <w:color w:val="000000" w:themeColor="text1"/>
          <w:sz w:val="16"/>
          <w:szCs w:val="16"/>
        </w:rPr>
        <w:t xml:space="preserve"> (с предоставлением подробного их описания). Советские химики вели также переговоры с фирмами «</w:t>
      </w:r>
      <w:proofErr w:type="spellStart"/>
      <w:r w:rsidRPr="00A259BD">
        <w:rPr>
          <w:rFonts w:ascii="Times New Roman" w:hAnsi="Times New Roman"/>
          <w:color w:val="000000" w:themeColor="text1"/>
          <w:sz w:val="16"/>
          <w:szCs w:val="16"/>
        </w:rPr>
        <w:t>Ольдшмидт</w:t>
      </w:r>
      <w:proofErr w:type="spellEnd"/>
      <w:r w:rsidRPr="00A259BD">
        <w:rPr>
          <w:rFonts w:ascii="Times New Roman" w:hAnsi="Times New Roman"/>
          <w:color w:val="000000" w:themeColor="text1"/>
          <w:sz w:val="16"/>
          <w:szCs w:val="16"/>
        </w:rPr>
        <w:t xml:space="preserve">», «Рем и Хаас» о постройке завода по производству </w:t>
      </w:r>
      <w:proofErr w:type="spellStart"/>
      <w:r w:rsidRPr="00A259BD">
        <w:rPr>
          <w:rFonts w:ascii="Times New Roman" w:hAnsi="Times New Roman"/>
          <w:color w:val="000000" w:themeColor="text1"/>
          <w:sz w:val="16"/>
          <w:szCs w:val="16"/>
        </w:rPr>
        <w:t>тиодигликоля</w:t>
      </w:r>
      <w:proofErr w:type="spellEnd"/>
      <w:r w:rsidRPr="00A259BD">
        <w:rPr>
          <w:rFonts w:ascii="Times New Roman" w:hAnsi="Times New Roman"/>
          <w:color w:val="000000" w:themeColor="text1"/>
          <w:sz w:val="16"/>
          <w:szCs w:val="16"/>
        </w:rPr>
        <w:t xml:space="preserve"> (сырье для иприта). Им удалось получить материалы периода войны 1914 — 1918гг. по производству различных ОВ, а у «ИГ </w:t>
      </w:r>
      <w:proofErr w:type="spellStart"/>
      <w:r w:rsidRPr="00A259BD">
        <w:rPr>
          <w:rFonts w:ascii="Times New Roman" w:hAnsi="Times New Roman"/>
          <w:color w:val="000000" w:themeColor="text1"/>
          <w:sz w:val="16"/>
          <w:szCs w:val="16"/>
        </w:rPr>
        <w:t>Фарбен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Индустри</w:t>
      </w:r>
      <w:proofErr w:type="spellEnd"/>
      <w:r w:rsidRPr="00A259BD">
        <w:rPr>
          <w:rFonts w:ascii="Times New Roman" w:hAnsi="Times New Roman"/>
          <w:color w:val="000000" w:themeColor="text1"/>
          <w:sz w:val="16"/>
          <w:szCs w:val="16"/>
        </w:rPr>
        <w:t xml:space="preserve">» еще и чертежи газомета, газоубежища, фильтров, рецепты и образцы приборов для создания дымовой завесы с самолета и т. д. Они встречались с начальником генштаба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Бломбергом, и согласовали проект договора о совместной работе на 1929 г. (РГВА, ф. 33987, оп. 3, д. 295, л. 13-15) (11784).</w:t>
      </w:r>
    </w:p>
    <w:p w14:paraId="356D98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90464A" w14:textId="77777777" w:rsidR="005F7728" w:rsidRPr="00A259BD" w:rsidRDefault="005F77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январе-феврале 1929 г. группа военных химиков (</w:t>
      </w:r>
      <w:proofErr w:type="spellStart"/>
      <w:r w:rsidRPr="00A259BD">
        <w:rPr>
          <w:rFonts w:ascii="Times New Roman" w:hAnsi="Times New Roman"/>
          <w:color w:val="000000" w:themeColor="text1"/>
          <w:sz w:val="16"/>
          <w:szCs w:val="16"/>
        </w:rPr>
        <w:t>Рохинсон</w:t>
      </w:r>
      <w:proofErr w:type="spellEnd"/>
      <w:r w:rsidRPr="00A259BD">
        <w:rPr>
          <w:rFonts w:ascii="Times New Roman" w:hAnsi="Times New Roman"/>
          <w:color w:val="000000" w:themeColor="text1"/>
          <w:sz w:val="16"/>
          <w:szCs w:val="16"/>
        </w:rPr>
        <w:t xml:space="preserve">, Карцев, Блинов) была направлена в командировку в Германию. Она осмотрела противогазовую лабораторию в Шпандау (с предоставлением ее подробного описания), полигон в </w:t>
      </w:r>
      <w:proofErr w:type="spellStart"/>
      <w:r w:rsidRPr="00A259BD">
        <w:rPr>
          <w:rFonts w:ascii="Times New Roman" w:hAnsi="Times New Roman"/>
          <w:color w:val="000000" w:themeColor="text1"/>
          <w:sz w:val="16"/>
          <w:szCs w:val="16"/>
        </w:rPr>
        <w:t>Куммерсдорфе</w:t>
      </w:r>
      <w:proofErr w:type="spellEnd"/>
      <w:r w:rsidRPr="00A259BD">
        <w:rPr>
          <w:rFonts w:ascii="Times New Roman" w:hAnsi="Times New Roman"/>
          <w:color w:val="000000" w:themeColor="text1"/>
          <w:sz w:val="16"/>
          <w:szCs w:val="16"/>
        </w:rPr>
        <w:t xml:space="preserve"> (вкл. опыты. по дегазации обмундирования и местности); фабрики по производству противогазов «Ауэр», «</w:t>
      </w:r>
      <w:proofErr w:type="spellStart"/>
      <w:r w:rsidRPr="00A259BD">
        <w:rPr>
          <w:rFonts w:ascii="Times New Roman" w:hAnsi="Times New Roman"/>
          <w:color w:val="000000" w:themeColor="text1"/>
          <w:sz w:val="16"/>
          <w:szCs w:val="16"/>
        </w:rPr>
        <w:t>Дегеа</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Дрегер</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Ханзеатише</w:t>
      </w:r>
      <w:proofErr w:type="spellEnd"/>
      <w:r w:rsidRPr="00A259BD">
        <w:rPr>
          <w:rFonts w:ascii="Times New Roman" w:hAnsi="Times New Roman"/>
          <w:color w:val="000000" w:themeColor="text1"/>
          <w:sz w:val="16"/>
          <w:szCs w:val="16"/>
        </w:rPr>
        <w:t xml:space="preserve"> АГ»/Киль, лабораторию проф. Ф. </w:t>
      </w:r>
      <w:proofErr w:type="spellStart"/>
      <w:r w:rsidRPr="00A259BD">
        <w:rPr>
          <w:rFonts w:ascii="Times New Roman" w:hAnsi="Times New Roman"/>
          <w:color w:val="000000" w:themeColor="text1"/>
          <w:sz w:val="16"/>
          <w:szCs w:val="16"/>
        </w:rPr>
        <w:t>Флюри</w:t>
      </w:r>
      <w:proofErr w:type="spellEnd"/>
      <w:r w:rsidRPr="00A259BD">
        <w:rPr>
          <w:rFonts w:ascii="Times New Roman" w:hAnsi="Times New Roman"/>
          <w:color w:val="000000" w:themeColor="text1"/>
          <w:sz w:val="16"/>
          <w:szCs w:val="16"/>
        </w:rPr>
        <w:t xml:space="preserve"> в Вюрцбурге, проф. Ф. Вирта в </w:t>
      </w:r>
      <w:proofErr w:type="spellStart"/>
      <w:r w:rsidRPr="00A259BD">
        <w:rPr>
          <w:rFonts w:ascii="Times New Roman" w:hAnsi="Times New Roman"/>
          <w:color w:val="000000" w:themeColor="text1"/>
          <w:sz w:val="16"/>
          <w:szCs w:val="16"/>
        </w:rPr>
        <w:t>Шарлотгенбурге</w:t>
      </w:r>
      <w:proofErr w:type="spellEnd"/>
      <w:r w:rsidRPr="00A259BD">
        <w:rPr>
          <w:rFonts w:ascii="Times New Roman" w:hAnsi="Times New Roman"/>
          <w:color w:val="000000" w:themeColor="text1"/>
          <w:sz w:val="16"/>
          <w:szCs w:val="16"/>
        </w:rPr>
        <w:t xml:space="preserve"> и проф. </w:t>
      </w:r>
      <w:proofErr w:type="spellStart"/>
      <w:r w:rsidRPr="00A259BD">
        <w:rPr>
          <w:rFonts w:ascii="Times New Roman" w:hAnsi="Times New Roman"/>
          <w:color w:val="000000" w:themeColor="text1"/>
          <w:sz w:val="16"/>
          <w:szCs w:val="16"/>
        </w:rPr>
        <w:t>Обермиллера</w:t>
      </w:r>
      <w:proofErr w:type="spellEnd"/>
      <w:r w:rsidRPr="00A259BD">
        <w:rPr>
          <w:rFonts w:ascii="Times New Roman" w:hAnsi="Times New Roman"/>
          <w:color w:val="000000" w:themeColor="text1"/>
          <w:sz w:val="16"/>
          <w:szCs w:val="16"/>
        </w:rPr>
        <w:t xml:space="preserve"> (с предоставлением подробного их описания). Советские химики вели также переговоры с фирмами «</w:t>
      </w:r>
      <w:proofErr w:type="spellStart"/>
      <w:r w:rsidRPr="00A259BD">
        <w:rPr>
          <w:rFonts w:ascii="Times New Roman" w:hAnsi="Times New Roman"/>
          <w:color w:val="000000" w:themeColor="text1"/>
          <w:sz w:val="16"/>
          <w:szCs w:val="16"/>
        </w:rPr>
        <w:t>Ольдшмидт</w:t>
      </w:r>
      <w:proofErr w:type="spellEnd"/>
      <w:r w:rsidRPr="00A259BD">
        <w:rPr>
          <w:rFonts w:ascii="Times New Roman" w:hAnsi="Times New Roman"/>
          <w:color w:val="000000" w:themeColor="text1"/>
          <w:sz w:val="16"/>
          <w:szCs w:val="16"/>
        </w:rPr>
        <w:t xml:space="preserve">», «Рем и Хаас» о постройке завода по производству </w:t>
      </w:r>
      <w:proofErr w:type="spellStart"/>
      <w:r w:rsidRPr="00A259BD">
        <w:rPr>
          <w:rFonts w:ascii="Times New Roman" w:hAnsi="Times New Roman"/>
          <w:color w:val="000000" w:themeColor="text1"/>
          <w:sz w:val="16"/>
          <w:szCs w:val="16"/>
        </w:rPr>
        <w:t>тиодигликоля</w:t>
      </w:r>
      <w:proofErr w:type="spellEnd"/>
      <w:r w:rsidRPr="00A259BD">
        <w:rPr>
          <w:rFonts w:ascii="Times New Roman" w:hAnsi="Times New Roman"/>
          <w:color w:val="000000" w:themeColor="text1"/>
          <w:sz w:val="16"/>
          <w:szCs w:val="16"/>
        </w:rPr>
        <w:t xml:space="preserve"> (сырье для иприта). Им удалось получить материалы периода войны 1914–1918 гг. по производству различных ОВ, а у «ИГ </w:t>
      </w:r>
      <w:proofErr w:type="spellStart"/>
      <w:r w:rsidRPr="00A259BD">
        <w:rPr>
          <w:rFonts w:ascii="Times New Roman" w:hAnsi="Times New Roman"/>
          <w:color w:val="000000" w:themeColor="text1"/>
          <w:sz w:val="16"/>
          <w:szCs w:val="16"/>
        </w:rPr>
        <w:t>Фарбен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Индустри</w:t>
      </w:r>
      <w:proofErr w:type="spellEnd"/>
      <w:r w:rsidRPr="00A259BD">
        <w:rPr>
          <w:rFonts w:ascii="Times New Roman" w:hAnsi="Times New Roman"/>
          <w:color w:val="000000" w:themeColor="text1"/>
          <w:sz w:val="16"/>
          <w:szCs w:val="16"/>
        </w:rPr>
        <w:t xml:space="preserve">» еще и чертежи газомета, газоубежища, фильтров, рецепты и образцы приборов для создания дымовой завесы с самолета и т. д. Они встречались с начальником генштаба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Бломбергом, и согласовали проект договора о совместной работе на 1929 г. (18265)</w:t>
      </w:r>
    </w:p>
    <w:p w14:paraId="61E55355" w14:textId="77777777" w:rsidR="005F7728" w:rsidRPr="00A259BD" w:rsidRDefault="005F7728" w:rsidP="009236E3">
      <w:pPr>
        <w:spacing w:after="0" w:line="240" w:lineRule="auto"/>
        <w:jc w:val="both"/>
        <w:rPr>
          <w:rFonts w:ascii="Times New Roman" w:hAnsi="Times New Roman"/>
          <w:color w:val="000000" w:themeColor="text1"/>
          <w:sz w:val="16"/>
          <w:szCs w:val="16"/>
        </w:rPr>
      </w:pPr>
    </w:p>
    <w:p w14:paraId="35BAC48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912A1B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AD3FE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1929 г. вопрос о возможности дальнего перелета на АНТ-4, который неоднократно обсуждался в ЦАГИ, был наконец окончательно решен. Инициатором здесь выступило руководство Осоавиахима. В апреле 1929 г. Совет труда и обороны принял постановление об организации перелета советского самолета в США. Цели преследовались в основном чисто пропагандистские.</w:t>
      </w:r>
    </w:p>
    <w:p w14:paraId="71D332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перелета приказано было подготовить один из первых серийных ТБ-1, получивший имя "Страна Советов". Но, учитывая несовершенство техники того времени, предусмотрели и запасную машину, в качестве которой выступил "дублер". Именно ему суждено было добраться до Америки.</w:t>
      </w:r>
    </w:p>
    <w:p w14:paraId="4E4AC8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поспешно изъятом из НИИ ВВС самолете провели контрольный перелет Москва - Орел - Брянск - Москва, чтобы установить истинный расход горючего.</w:t>
      </w:r>
    </w:p>
    <w:p w14:paraId="25FA80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Поскольку значительная часть маршрута перелета пролегала над морем, решили использовать поплавковое шасси. В ЦАГИ спроектировали крепления для установки на ТБ-1 поплавков от немецкого бомбардировщика ЮГ-1.</w:t>
      </w:r>
    </w:p>
    <w:p w14:paraId="16331D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Предназначенная для перелета машина № 603 (то есть третья серийная), кроме узлов под поплавки, отличалась усиленными лонжеронами центроплана, дверями в фюзеляже и дополнительными бензиновыми и масляными баками. Вооружение на ней не устанавливалось, проемы турелей в хвостовой части зашили. Самолет получил все положенное электро- и радиооборудование (на бомбардировщиках предусмотренное, но реально отсутствовавшее) и значительное количество дополнительных приборов иностранного производства.</w:t>
      </w:r>
    </w:p>
    <w:p w14:paraId="41ECD1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Срок готовности машины установили 15 мая, затем сдвинули на 26 июня. Задержки вызывались опозданием с подготовкой чертежей дополнительных баков и поплавкового шасси. 22 июня ТБ-1 вывезли на аэродром. Он стал первым серийным самолетом этого типа. Пробный полет совершили 14 июля. Моторы перегревались. Дело в том, что полетный вес у рекордной машины был существенно больше, чем у опытного образца. В ЦАГИ срочно спроектировали и изготовили радиаторы увеличенной площади. Через пять дней их уже смонтировали на "Стране Советов".</w:t>
      </w:r>
    </w:p>
    <w:p w14:paraId="3525A5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Экипаж состоял из командира С.А. </w:t>
      </w:r>
      <w:proofErr w:type="spellStart"/>
      <w:r w:rsidRPr="00A259BD">
        <w:rPr>
          <w:rFonts w:ascii="Times New Roman" w:hAnsi="Times New Roman"/>
          <w:color w:val="000000" w:themeColor="text1"/>
          <w:sz w:val="16"/>
          <w:szCs w:val="16"/>
        </w:rPr>
        <w:t>Ше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стакова</w:t>
      </w:r>
      <w:proofErr w:type="spellEnd"/>
      <w:r w:rsidRPr="00A259BD">
        <w:rPr>
          <w:rFonts w:ascii="Times New Roman" w:hAnsi="Times New Roman"/>
          <w:color w:val="000000" w:themeColor="text1"/>
          <w:sz w:val="16"/>
          <w:szCs w:val="16"/>
        </w:rPr>
        <w:t xml:space="preserve"> (тогда личного пилота начальника УВВС), второго пилота Ф.Е. Болотова, штурмана Б.В. Стерлигова и бортмеханика Д.В. </w:t>
      </w:r>
      <w:proofErr w:type="spellStart"/>
      <w:r w:rsidRPr="00A259BD">
        <w:rPr>
          <w:rFonts w:ascii="Times New Roman" w:hAnsi="Times New Roman"/>
          <w:color w:val="000000" w:themeColor="text1"/>
          <w:sz w:val="16"/>
          <w:szCs w:val="16"/>
        </w:rPr>
        <w:t>Фуфаева</w:t>
      </w:r>
      <w:proofErr w:type="spellEnd"/>
      <w:r w:rsidRPr="00A259BD">
        <w:rPr>
          <w:rFonts w:ascii="Times New Roman" w:hAnsi="Times New Roman"/>
          <w:color w:val="000000" w:themeColor="text1"/>
          <w:sz w:val="16"/>
          <w:szCs w:val="16"/>
        </w:rPr>
        <w:t>. От ЦАГИ подготовкой перелета занимался В.М. Петляков. Самолет должен был пролететь почти всю страну, на Дальнем Востоке сменить колеса на поплавки и продолжить путь вдоль побережья Тихого океана. Океан собирались пересечь в самом узком месте - через Берингов пролив. Далее маршрут лежал вдоль восточного побережья Северной Америки, после чего планировалось пересечь США от океана до океана.</w:t>
      </w:r>
    </w:p>
    <w:p w14:paraId="003D95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Рассматривались и два альтернативных варианта: через Европу и Северную Атлантику и через Западную Африку и Южную Америку, но их сочли более сложными. Предлагался даже проект кругосветного перелета, при котором Берингов пролив пересекался в обратную сторону (с Аляски). Основным аргументом за выбранный маршрут было прохождение большей его части над территорией СССР, что облегчало подготовку.</w:t>
      </w:r>
    </w:p>
    <w:p w14:paraId="559DEC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расчетные точки перелета завезли горючее и запасные части. Надо сказать, что из-за высокой по тем временам степени сжатия двигатели BMW VI работали не на чистом бензине, а на бензин- бензольной смеси, являвшейся в то время редкостью; бензол импортировали из Германии (12001).</w:t>
      </w:r>
    </w:p>
    <w:p w14:paraId="268D8F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B8A4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1929 были закончены заводские и начались гос. испытания Р-5 (80,187).</w:t>
      </w:r>
    </w:p>
    <w:p w14:paraId="098CAA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65B5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1929 г., когда стало ясно, что машина получилась, обсуждалась возможность серийной постройки Р-5 (10667).</w:t>
      </w:r>
    </w:p>
    <w:p w14:paraId="7CF89E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E81B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начала 1929 г. Н.Н.П. в инициативном порядке работал над проектом двухмест</w:t>
      </w:r>
      <w:r w:rsidRPr="00A259BD">
        <w:rPr>
          <w:rFonts w:ascii="Times New Roman" w:hAnsi="Times New Roman"/>
          <w:color w:val="000000" w:themeColor="text1"/>
          <w:sz w:val="16"/>
          <w:szCs w:val="16"/>
        </w:rPr>
        <w:softHyphen/>
        <w:t>ного самолета на базе И-6, а также над созданием нового одноместного истребителя - развитием И-6. На судьбу этих проектов, как и многих других, повлияло от</w:t>
      </w:r>
      <w:r w:rsidRPr="00A259BD">
        <w:rPr>
          <w:rFonts w:ascii="Times New Roman" w:hAnsi="Times New Roman"/>
          <w:color w:val="000000" w:themeColor="text1"/>
          <w:sz w:val="16"/>
          <w:szCs w:val="16"/>
        </w:rPr>
        <w:softHyphen/>
        <w:t>странение Поликарпова от руководства КБ (10667).</w:t>
      </w:r>
    </w:p>
    <w:p w14:paraId="2B6D73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E3BE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1929 г. по опыту эксплуатации И-2бис был составлен отчет, в котором И-2бис расценивался как самолет с достаточно тяжелым и инертным управлением. Пикировал устойчиво, на выходе имел значительную просадку. Мал был козырек кабины пилота, а вырез под нее расценивался как слишком большой. Последнее надо понимать так, что, пойдя навстречу пожеланиям летчиков, увлеклись и хватанули лишнего (4652).</w:t>
      </w:r>
    </w:p>
    <w:p w14:paraId="5C0FE2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7FBC49"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1929 г. по результатам опыта эксп</w:t>
      </w:r>
      <w:r w:rsidRPr="00A259BD">
        <w:rPr>
          <w:rFonts w:ascii="Times New Roman" w:hAnsi="Times New Roman"/>
          <w:color w:val="000000" w:themeColor="text1"/>
          <w:sz w:val="16"/>
          <w:szCs w:val="16"/>
        </w:rPr>
        <w:softHyphen/>
        <w:t>луатации в Брянске подготовили отчет, в котором И-2бис расцени</w:t>
      </w:r>
      <w:r w:rsidRPr="00A259BD">
        <w:rPr>
          <w:rFonts w:ascii="Times New Roman" w:hAnsi="Times New Roman"/>
          <w:color w:val="000000" w:themeColor="text1"/>
          <w:sz w:val="16"/>
          <w:szCs w:val="16"/>
        </w:rPr>
        <w:softHyphen/>
        <w:t>вался как самолет с достаточно тяжелым и инертным управлением. Указывалось, что пикировал он ус</w:t>
      </w:r>
      <w:r w:rsidRPr="00A259BD">
        <w:rPr>
          <w:rFonts w:ascii="Times New Roman" w:hAnsi="Times New Roman"/>
          <w:color w:val="000000" w:themeColor="text1"/>
          <w:sz w:val="16"/>
          <w:szCs w:val="16"/>
        </w:rPr>
        <w:softHyphen/>
        <w:t>тойчиво, на выходе из пикирования имел значительную просадку. Мал был козырек пилота, а вырез каби</w:t>
      </w:r>
      <w:r w:rsidRPr="00A259BD">
        <w:rPr>
          <w:rFonts w:ascii="Times New Roman" w:hAnsi="Times New Roman"/>
          <w:color w:val="000000" w:themeColor="text1"/>
          <w:sz w:val="16"/>
          <w:szCs w:val="16"/>
        </w:rPr>
        <w:softHyphen/>
        <w:t>ны летчика расценивался как слиш</w:t>
      </w:r>
      <w:r w:rsidRPr="00A259BD">
        <w:rPr>
          <w:rFonts w:ascii="Times New Roman" w:hAnsi="Times New Roman"/>
          <w:color w:val="000000" w:themeColor="text1"/>
          <w:sz w:val="16"/>
          <w:szCs w:val="16"/>
        </w:rPr>
        <w:softHyphen/>
        <w:t>ком большой. Последнее можно понимать так, что, пойдя навстречу пожеланиям летчиков, которые по</w:t>
      </w:r>
      <w:r w:rsidRPr="00A259BD">
        <w:rPr>
          <w:rFonts w:ascii="Times New Roman" w:hAnsi="Times New Roman"/>
          <w:color w:val="000000" w:themeColor="text1"/>
          <w:sz w:val="16"/>
          <w:szCs w:val="16"/>
        </w:rPr>
        <w:softHyphen/>
        <w:t>началу жаловались на малый вы</w:t>
      </w:r>
      <w:r w:rsidRPr="00A259BD">
        <w:rPr>
          <w:rFonts w:ascii="Times New Roman" w:hAnsi="Times New Roman"/>
          <w:color w:val="000000" w:themeColor="text1"/>
          <w:sz w:val="16"/>
          <w:szCs w:val="16"/>
        </w:rPr>
        <w:softHyphen/>
        <w:t>рез и тесноту кабины, конструкто</w:t>
      </w:r>
      <w:r w:rsidRPr="00A259BD">
        <w:rPr>
          <w:rFonts w:ascii="Times New Roman" w:hAnsi="Times New Roman"/>
          <w:color w:val="000000" w:themeColor="text1"/>
          <w:sz w:val="16"/>
          <w:szCs w:val="16"/>
        </w:rPr>
        <w:softHyphen/>
        <w:t>ры попросту перестарались в про</w:t>
      </w:r>
      <w:r w:rsidRPr="00A259BD">
        <w:rPr>
          <w:rFonts w:ascii="Times New Roman" w:hAnsi="Times New Roman"/>
          <w:color w:val="000000" w:themeColor="text1"/>
          <w:sz w:val="16"/>
          <w:szCs w:val="16"/>
        </w:rPr>
        <w:softHyphen/>
        <w:t>цессе совершенствования самолета (12277).</w:t>
      </w:r>
    </w:p>
    <w:p w14:paraId="0767219A" w14:textId="77777777" w:rsidR="002F4D1B" w:rsidRPr="00A259BD" w:rsidRDefault="002F4D1B" w:rsidP="009236E3">
      <w:pPr>
        <w:spacing w:after="0" w:line="240" w:lineRule="auto"/>
        <w:jc w:val="both"/>
        <w:rPr>
          <w:rFonts w:ascii="Times New Roman" w:hAnsi="Times New Roman"/>
          <w:color w:val="000000" w:themeColor="text1"/>
          <w:sz w:val="16"/>
          <w:szCs w:val="16"/>
        </w:rPr>
      </w:pPr>
    </w:p>
    <w:p w14:paraId="1A80C5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В начале 1929 начальник ВВС ЧФ </w:t>
      </w:r>
      <w:proofErr w:type="spellStart"/>
      <w:r w:rsidRPr="00A259BD">
        <w:rPr>
          <w:rFonts w:ascii="Times New Roman" w:hAnsi="Times New Roman"/>
          <w:color w:val="000000" w:themeColor="text1"/>
          <w:sz w:val="16"/>
          <w:szCs w:val="16"/>
        </w:rPr>
        <w:t>В.К.Лавров</w:t>
      </w:r>
      <w:proofErr w:type="spellEnd"/>
      <w:r w:rsidRPr="00A259BD">
        <w:rPr>
          <w:rFonts w:ascii="Times New Roman" w:hAnsi="Times New Roman"/>
          <w:color w:val="000000" w:themeColor="text1"/>
          <w:sz w:val="16"/>
          <w:szCs w:val="16"/>
        </w:rPr>
        <w:t xml:space="preserve"> предложил сделать поплавковый вариант И-4 для самообороны крупных кораблей с использованием катапультного старта. НТК ВВС - одобрил постройку для рек и озер и в 1931 КБ А.Н.Т. спроектировало и построило поплавки, но необходимость - отпала (346,23).</w:t>
      </w:r>
    </w:p>
    <w:p w14:paraId="592D12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BA69F4" w14:textId="77777777" w:rsidR="00EE73C1" w:rsidRPr="00441F34" w:rsidRDefault="00EE73C1" w:rsidP="00EE73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на</w:t>
      </w:r>
      <w:r w:rsidRPr="00441F34">
        <w:rPr>
          <w:rFonts w:ascii="Times New Roman" w:hAnsi="Times New Roman"/>
          <w:color w:val="0070C0"/>
          <w:sz w:val="16"/>
          <w:szCs w:val="16"/>
        </w:rPr>
        <w:softHyphen/>
        <w:t>чале 1929 г. начальник ВВС Черноморского флота Лавров предложил разработать АНТ-5 на поплавках. Самолет предназначался для самообороны крупных кораблей и дол</w:t>
      </w:r>
      <w:r w:rsidRPr="00441F34">
        <w:rPr>
          <w:rFonts w:ascii="Times New Roman" w:hAnsi="Times New Roman"/>
          <w:color w:val="0070C0"/>
          <w:sz w:val="16"/>
          <w:szCs w:val="16"/>
        </w:rPr>
        <w:softHyphen/>
        <w:t>жен был иметь катапультный старт. НТК УВВС одобрил постройку такого самолета, но - для базирования на реках и озерах, предполагая его недостаточно хорошую мореходность. В 1931 г. КБ спроектирова</w:t>
      </w:r>
      <w:r w:rsidRPr="00441F34">
        <w:rPr>
          <w:rFonts w:ascii="Times New Roman" w:hAnsi="Times New Roman"/>
          <w:color w:val="0070C0"/>
          <w:sz w:val="16"/>
          <w:szCs w:val="16"/>
        </w:rPr>
        <w:softHyphen/>
        <w:t>ло и построило поплавки, но на самолет их так и не поставили — необходимость в такой модификации отпала (23474).</w:t>
      </w:r>
    </w:p>
    <w:p w14:paraId="697F95C5" w14:textId="77777777" w:rsidR="00EE73C1" w:rsidRPr="00441F34" w:rsidRDefault="00EE73C1" w:rsidP="00EE73C1">
      <w:pPr>
        <w:spacing w:after="0" w:line="240" w:lineRule="auto"/>
        <w:jc w:val="both"/>
        <w:rPr>
          <w:rFonts w:ascii="Times New Roman" w:hAnsi="Times New Roman"/>
          <w:color w:val="0070C0"/>
          <w:sz w:val="16"/>
          <w:szCs w:val="16"/>
        </w:rPr>
      </w:pPr>
    </w:p>
    <w:p w14:paraId="313389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1929 ЦАГИ получил требования к морскому разведчику, который потом стал АНТ-8 (346,40).</w:t>
      </w:r>
    </w:p>
    <w:p w14:paraId="213AC5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другим данным, строительство АНТ-8 началось еще в ноябре 1928</w:t>
      </w:r>
    </w:p>
    <w:p w14:paraId="66AA6C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начале 1929 А.Н.Т. приступил к проектированию </w:t>
      </w:r>
      <w:proofErr w:type="spellStart"/>
      <w:r w:rsidRPr="00A259BD">
        <w:rPr>
          <w:rFonts w:ascii="Times New Roman" w:hAnsi="Times New Roman"/>
          <w:color w:val="000000" w:themeColor="text1"/>
          <w:sz w:val="16"/>
          <w:szCs w:val="16"/>
        </w:rPr>
        <w:t>двухлодочного</w:t>
      </w:r>
      <w:proofErr w:type="spellEnd"/>
      <w:r w:rsidRPr="00A259BD">
        <w:rPr>
          <w:rFonts w:ascii="Times New Roman" w:hAnsi="Times New Roman"/>
          <w:color w:val="000000" w:themeColor="text1"/>
          <w:sz w:val="16"/>
          <w:szCs w:val="16"/>
        </w:rPr>
        <w:t xml:space="preserve"> АНТ-11 и после утверждения эскизного проекта он стал АНТ-22 (МК-1) (1049,13).</w:t>
      </w:r>
    </w:p>
    <w:p w14:paraId="33038E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E19218" w14:textId="77777777" w:rsidR="00EE73C1" w:rsidRPr="00441F34" w:rsidRDefault="00EE73C1" w:rsidP="00EE73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начале 1929 г. в ответ на идею морского разведчика-торпедо</w:t>
      </w:r>
      <w:r w:rsidRPr="00441F34">
        <w:rPr>
          <w:rFonts w:ascii="Times New Roman" w:hAnsi="Times New Roman"/>
          <w:color w:val="0070C0"/>
          <w:sz w:val="16"/>
          <w:szCs w:val="16"/>
        </w:rPr>
        <w:softHyphen/>
        <w:t>носца MPT—1 от августа 1927 г., ЦАГИ получил требования к ма</w:t>
      </w:r>
      <w:r w:rsidRPr="00441F34">
        <w:rPr>
          <w:rFonts w:ascii="Times New Roman" w:hAnsi="Times New Roman"/>
          <w:color w:val="0070C0"/>
          <w:sz w:val="16"/>
          <w:szCs w:val="16"/>
        </w:rPr>
        <w:softHyphen/>
        <w:t>шине. Масса нормальной нагрузки должна была составлять 900 кг, максимальной — 1500 кг. Так как самолет предполагался экспериментальный, требований к его летным данным не предъявлялось. В КБ распределение работ по машине, полу</w:t>
      </w:r>
      <w:r w:rsidRPr="00441F34">
        <w:rPr>
          <w:rFonts w:ascii="Times New Roman" w:hAnsi="Times New Roman"/>
          <w:color w:val="0070C0"/>
          <w:sz w:val="16"/>
          <w:szCs w:val="16"/>
        </w:rPr>
        <w:softHyphen/>
        <w:t>чившей заводское обозначение АНТ—8,</w:t>
      </w:r>
    </w:p>
    <w:p w14:paraId="25AE7CA2" w14:textId="77777777" w:rsidR="00EE73C1" w:rsidRPr="00441F34" w:rsidRDefault="00EE73C1" w:rsidP="00EE73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было следующим: В.М. Петляков — кры</w:t>
      </w:r>
      <w:r w:rsidRPr="00441F34">
        <w:rPr>
          <w:rFonts w:ascii="Times New Roman" w:hAnsi="Times New Roman"/>
          <w:color w:val="0070C0"/>
          <w:sz w:val="16"/>
          <w:szCs w:val="16"/>
        </w:rPr>
        <w:softHyphen/>
        <w:t xml:space="preserve">ло, И.И. </w:t>
      </w:r>
      <w:proofErr w:type="spellStart"/>
      <w:r w:rsidRPr="00441F34">
        <w:rPr>
          <w:rFonts w:ascii="Times New Roman" w:hAnsi="Times New Roman"/>
          <w:color w:val="0070C0"/>
          <w:sz w:val="16"/>
          <w:szCs w:val="16"/>
        </w:rPr>
        <w:t>Погосский</w:t>
      </w:r>
      <w:proofErr w:type="spellEnd"/>
      <w:r w:rsidRPr="00441F34">
        <w:rPr>
          <w:rFonts w:ascii="Times New Roman" w:hAnsi="Times New Roman"/>
          <w:color w:val="0070C0"/>
          <w:sz w:val="16"/>
          <w:szCs w:val="16"/>
        </w:rPr>
        <w:t xml:space="preserve"> (он же — ведущий инженер по машине) — лодка, Н.С. Не</w:t>
      </w:r>
      <w:r w:rsidRPr="00441F34">
        <w:rPr>
          <w:rFonts w:ascii="Times New Roman" w:hAnsi="Times New Roman"/>
          <w:color w:val="0070C0"/>
          <w:sz w:val="16"/>
          <w:szCs w:val="16"/>
        </w:rPr>
        <w:softHyphen/>
        <w:t xml:space="preserve">красов — оперение, Е.И. </w:t>
      </w:r>
      <w:proofErr w:type="spellStart"/>
      <w:r w:rsidRPr="00441F34">
        <w:rPr>
          <w:rFonts w:ascii="Times New Roman" w:hAnsi="Times New Roman"/>
          <w:color w:val="0070C0"/>
          <w:sz w:val="16"/>
          <w:szCs w:val="16"/>
        </w:rPr>
        <w:t>Погосский</w:t>
      </w:r>
      <w:proofErr w:type="spellEnd"/>
      <w:r w:rsidRPr="00441F34">
        <w:rPr>
          <w:rFonts w:ascii="Times New Roman" w:hAnsi="Times New Roman"/>
          <w:color w:val="0070C0"/>
          <w:sz w:val="16"/>
          <w:szCs w:val="16"/>
        </w:rPr>
        <w:t xml:space="preserve"> — моторное оборудование (23474).</w:t>
      </w:r>
    </w:p>
    <w:p w14:paraId="31F02B7E" w14:textId="77777777" w:rsidR="00EE73C1" w:rsidRPr="00441F34" w:rsidRDefault="00EE73C1" w:rsidP="00EE73C1">
      <w:pPr>
        <w:spacing w:after="0" w:line="240" w:lineRule="auto"/>
        <w:jc w:val="both"/>
        <w:rPr>
          <w:rFonts w:ascii="Times New Roman" w:hAnsi="Times New Roman"/>
          <w:color w:val="0070C0"/>
          <w:sz w:val="16"/>
          <w:szCs w:val="16"/>
        </w:rPr>
      </w:pPr>
    </w:p>
    <w:p w14:paraId="2A7AB9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начале 1929 группу Р </w:t>
      </w:r>
      <w:proofErr w:type="spellStart"/>
      <w:r w:rsidRPr="00A259BD">
        <w:rPr>
          <w:rFonts w:ascii="Times New Roman" w:hAnsi="Times New Roman"/>
          <w:color w:val="000000" w:themeColor="text1"/>
          <w:sz w:val="16"/>
          <w:szCs w:val="16"/>
        </w:rPr>
        <w:t>П.Ришара</w:t>
      </w:r>
      <w:proofErr w:type="spellEnd"/>
      <w:r w:rsidRPr="00A259BD">
        <w:rPr>
          <w:rFonts w:ascii="Times New Roman" w:hAnsi="Times New Roman"/>
          <w:color w:val="000000" w:themeColor="text1"/>
          <w:sz w:val="16"/>
          <w:szCs w:val="16"/>
        </w:rPr>
        <w:t xml:space="preserve"> преобразовали в ОПО-4, поручили проектирование ТОМ (МТБ-1) и перевели на завод 22. Там уже сидело ОПО-3 </w:t>
      </w:r>
      <w:proofErr w:type="spellStart"/>
      <w:r w:rsidRPr="00A259BD">
        <w:rPr>
          <w:rFonts w:ascii="Times New Roman" w:hAnsi="Times New Roman"/>
          <w:color w:val="000000" w:themeColor="text1"/>
          <w:sz w:val="16"/>
          <w:szCs w:val="16"/>
        </w:rPr>
        <w:t>Р.Л.Бартини</w:t>
      </w:r>
      <w:proofErr w:type="spellEnd"/>
      <w:r w:rsidRPr="00A259BD">
        <w:rPr>
          <w:rFonts w:ascii="Times New Roman" w:hAnsi="Times New Roman"/>
          <w:color w:val="000000" w:themeColor="text1"/>
          <w:sz w:val="16"/>
          <w:szCs w:val="16"/>
        </w:rPr>
        <w:t xml:space="preserve"> и их вскоре объединили в ОКБ МОС (морское опытное самолетостроение) (80,416).</w:t>
      </w:r>
    </w:p>
    <w:p w14:paraId="412819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Ш - осталось на заводе 28 - ОПО-4 - МОС ВАО (Морское опытное самолетостроение). Получил несколько десятков конструкторов и остатки ОПО-3 Д.П.Г. (92,379).</w:t>
      </w:r>
    </w:p>
    <w:p w14:paraId="3A78AE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Опытный цех был в Филях (79,199).</w:t>
      </w:r>
    </w:p>
    <w:p w14:paraId="42DAF1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 ясно, как там оказались </w:t>
      </w:r>
      <w:proofErr w:type="spellStart"/>
      <w:r w:rsidRPr="00A259BD">
        <w:rPr>
          <w:rFonts w:ascii="Times New Roman" w:hAnsi="Times New Roman"/>
          <w:color w:val="000000" w:themeColor="text1"/>
          <w:sz w:val="16"/>
          <w:szCs w:val="16"/>
        </w:rPr>
        <w:t>Н.И.Камов</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И.К.Скржинский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П.В.Четвериков</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В.Б.Шавров</w:t>
      </w:r>
      <w:proofErr w:type="spellEnd"/>
      <w:r w:rsidRPr="00A259BD">
        <w:rPr>
          <w:rFonts w:ascii="Times New Roman" w:hAnsi="Times New Roman"/>
          <w:color w:val="000000" w:themeColor="text1"/>
          <w:sz w:val="16"/>
          <w:szCs w:val="16"/>
        </w:rPr>
        <w:t>.</w:t>
      </w:r>
    </w:p>
    <w:p w14:paraId="646F48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другим данным все это объединение произошло только весной 1929.</w:t>
      </w:r>
    </w:p>
    <w:p w14:paraId="1C3321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12F1469" w14:textId="77777777" w:rsidR="00CF47BE" w:rsidRPr="00A259BD" w:rsidRDefault="00CF47B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1929 года два самолета К-4С присоединились к РОКК-1 и взяли на себя часть его работы. Одновременно с этим у санитарной авиации появилась возможность уменьшить роль других имеющихся самолетов, не несущих специальное оснащение (21370).</w:t>
      </w:r>
    </w:p>
    <w:p w14:paraId="462ED4D0" w14:textId="77777777" w:rsidR="00CF47BE" w:rsidRPr="00A259BD" w:rsidRDefault="00CF47BE" w:rsidP="009236E3">
      <w:pPr>
        <w:spacing w:after="0" w:line="240" w:lineRule="auto"/>
        <w:jc w:val="both"/>
        <w:rPr>
          <w:rFonts w:ascii="Times New Roman" w:hAnsi="Times New Roman"/>
          <w:color w:val="000000" w:themeColor="text1"/>
          <w:sz w:val="16"/>
          <w:szCs w:val="16"/>
        </w:rPr>
      </w:pPr>
    </w:p>
    <w:p w14:paraId="0DA71325" w14:textId="77777777" w:rsidR="00CF47BE" w:rsidRPr="00A259BD" w:rsidRDefault="00CF47B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1929 г. проект вертолета КАСКР был представлен на рассмот</w:t>
      </w:r>
      <w:r w:rsidRPr="00A259BD">
        <w:rPr>
          <w:rFonts w:ascii="Times New Roman" w:hAnsi="Times New Roman"/>
          <w:color w:val="000000" w:themeColor="text1"/>
          <w:sz w:val="16"/>
          <w:szCs w:val="16"/>
        </w:rPr>
        <w:softHyphen/>
        <w:t xml:space="preserve">рение специальной комиссии под председательством Б.Н. Юрьева Комиссия проект одобрила, после чего главный инспектор ГВФ В.А. </w:t>
      </w:r>
      <w:proofErr w:type="spellStart"/>
      <w:r w:rsidRPr="00A259BD">
        <w:rPr>
          <w:rFonts w:ascii="Times New Roman" w:hAnsi="Times New Roman"/>
          <w:color w:val="000000" w:themeColor="text1"/>
          <w:sz w:val="16"/>
          <w:szCs w:val="16"/>
        </w:rPr>
        <w:t>Зарзар</w:t>
      </w:r>
      <w:proofErr w:type="spellEnd"/>
      <w:r w:rsidRPr="00A259BD">
        <w:rPr>
          <w:rFonts w:ascii="Times New Roman" w:hAnsi="Times New Roman"/>
          <w:color w:val="000000" w:themeColor="text1"/>
          <w:sz w:val="16"/>
          <w:szCs w:val="16"/>
        </w:rPr>
        <w:t xml:space="preserve"> доложил о нем Начальнику ВВС П.И. Баранову. Баранов распоря</w:t>
      </w:r>
      <w:r w:rsidRPr="00A259BD">
        <w:rPr>
          <w:rFonts w:ascii="Times New Roman" w:hAnsi="Times New Roman"/>
          <w:color w:val="000000" w:themeColor="text1"/>
          <w:sz w:val="16"/>
          <w:szCs w:val="16"/>
        </w:rPr>
        <w:softHyphen/>
        <w:t>дился образовать для рассмотрения вопроса при инспек</w:t>
      </w:r>
      <w:r w:rsidRPr="00A259BD">
        <w:rPr>
          <w:rFonts w:ascii="Times New Roman" w:hAnsi="Times New Roman"/>
          <w:color w:val="000000" w:themeColor="text1"/>
          <w:sz w:val="16"/>
          <w:szCs w:val="16"/>
        </w:rPr>
        <w:softHyphen/>
        <w:t xml:space="preserve">ции ГВФ Межведомственный совет, который состоялся 27 февраля 1929 г. под председательством В.А. </w:t>
      </w:r>
      <w:proofErr w:type="spellStart"/>
      <w:r w:rsidRPr="00A259BD">
        <w:rPr>
          <w:rFonts w:ascii="Times New Roman" w:hAnsi="Times New Roman"/>
          <w:color w:val="000000" w:themeColor="text1"/>
          <w:sz w:val="16"/>
          <w:szCs w:val="16"/>
        </w:rPr>
        <w:t>Зарзара</w:t>
      </w:r>
      <w:proofErr w:type="spellEnd"/>
      <w:r w:rsidRPr="00A259BD">
        <w:rPr>
          <w:rFonts w:ascii="Times New Roman" w:hAnsi="Times New Roman"/>
          <w:color w:val="000000" w:themeColor="text1"/>
          <w:sz w:val="16"/>
          <w:szCs w:val="16"/>
        </w:rPr>
        <w:t>. Окончательное заключение в отношении КАСКР гласило: «Учитывая целесообразность и назревшую необходимость постройки опытного вертолета по проекту инженеров Ка</w:t>
      </w:r>
      <w:r w:rsidRPr="00A259BD">
        <w:rPr>
          <w:rFonts w:ascii="Times New Roman" w:hAnsi="Times New Roman"/>
          <w:color w:val="000000" w:themeColor="text1"/>
          <w:sz w:val="16"/>
          <w:szCs w:val="16"/>
        </w:rPr>
        <w:softHyphen/>
        <w:t xml:space="preserve">мова и </w:t>
      </w:r>
      <w:proofErr w:type="spellStart"/>
      <w:r w:rsidRPr="00A259BD">
        <w:rPr>
          <w:rFonts w:ascii="Times New Roman" w:hAnsi="Times New Roman"/>
          <w:color w:val="000000" w:themeColor="text1"/>
          <w:sz w:val="16"/>
          <w:szCs w:val="16"/>
        </w:rPr>
        <w:t>Скржинского</w:t>
      </w:r>
      <w:proofErr w:type="spellEnd"/>
      <w:r w:rsidRPr="00A259BD">
        <w:rPr>
          <w:rFonts w:ascii="Times New Roman" w:hAnsi="Times New Roman"/>
          <w:color w:val="000000" w:themeColor="text1"/>
          <w:sz w:val="16"/>
          <w:szCs w:val="16"/>
        </w:rPr>
        <w:t>, считать необходимым скорейшее осуществление постройки» (20361).</w:t>
      </w:r>
    </w:p>
    <w:p w14:paraId="5D963547" w14:textId="77777777" w:rsidR="00CF47BE" w:rsidRPr="00A259BD" w:rsidRDefault="00CF47BE" w:rsidP="009236E3">
      <w:pPr>
        <w:shd w:val="clear" w:color="auto" w:fill="FFFFFF"/>
        <w:spacing w:after="0" w:line="240" w:lineRule="auto"/>
        <w:jc w:val="both"/>
        <w:rPr>
          <w:rFonts w:ascii="Times New Roman" w:hAnsi="Times New Roman"/>
          <w:color w:val="000000" w:themeColor="text1"/>
          <w:sz w:val="16"/>
          <w:szCs w:val="16"/>
        </w:rPr>
      </w:pPr>
    </w:p>
    <w:p w14:paraId="709367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1929 года в ЭАО ЦАГИ была начата постройка перво</w:t>
      </w:r>
      <w:r w:rsidRPr="00A259BD">
        <w:rPr>
          <w:rFonts w:ascii="Times New Roman" w:hAnsi="Times New Roman"/>
          <w:color w:val="000000" w:themeColor="text1"/>
          <w:sz w:val="16"/>
          <w:szCs w:val="16"/>
        </w:rPr>
        <w:softHyphen/>
        <w:t xml:space="preserve">го советского геликоптера ЦАГИ 1-ЭА по предложенной </w:t>
      </w:r>
      <w:proofErr w:type="spellStart"/>
      <w:r w:rsidRPr="00A259BD">
        <w:rPr>
          <w:rFonts w:ascii="Times New Roman" w:hAnsi="Times New Roman"/>
          <w:color w:val="000000" w:themeColor="text1"/>
          <w:sz w:val="16"/>
          <w:szCs w:val="16"/>
        </w:rPr>
        <w:t>Б.Н.Юрьевым</w:t>
      </w:r>
      <w:proofErr w:type="spellEnd"/>
      <w:r w:rsidRPr="00A259BD">
        <w:rPr>
          <w:rFonts w:ascii="Times New Roman" w:hAnsi="Times New Roman"/>
          <w:color w:val="000000" w:themeColor="text1"/>
          <w:sz w:val="16"/>
          <w:szCs w:val="16"/>
        </w:rPr>
        <w:t xml:space="preserve"> одновинтовой схеме (10224,23).</w:t>
      </w:r>
    </w:p>
    <w:p w14:paraId="61FDBD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618D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начале 1929 испытывали второй истребитель И-39 (И-ЛД) - модификация Фоккер D-XI D-XII под двигатель </w:t>
      </w:r>
      <w:proofErr w:type="spellStart"/>
      <w:r w:rsidRPr="00A259BD">
        <w:rPr>
          <w:rFonts w:ascii="Times New Roman" w:hAnsi="Times New Roman"/>
          <w:color w:val="000000" w:themeColor="text1"/>
          <w:sz w:val="16"/>
          <w:szCs w:val="16"/>
        </w:rPr>
        <w:t>Лоррен</w:t>
      </w:r>
      <w:proofErr w:type="spellEnd"/>
      <w:r w:rsidRPr="00A259BD">
        <w:rPr>
          <w:rFonts w:ascii="Times New Roman" w:hAnsi="Times New Roman"/>
          <w:color w:val="000000" w:themeColor="text1"/>
          <w:sz w:val="16"/>
          <w:szCs w:val="16"/>
        </w:rPr>
        <w:t xml:space="preserve">-Дитрих в 450 </w:t>
      </w:r>
      <w:proofErr w:type="spellStart"/>
      <w:r w:rsidRPr="00A259BD">
        <w:rPr>
          <w:rFonts w:ascii="Times New Roman" w:hAnsi="Times New Roman"/>
          <w:color w:val="000000" w:themeColor="text1"/>
          <w:sz w:val="16"/>
          <w:szCs w:val="16"/>
        </w:rPr>
        <w:t>нр</w:t>
      </w:r>
      <w:proofErr w:type="spellEnd"/>
      <w:r w:rsidRPr="00A259BD">
        <w:rPr>
          <w:rFonts w:ascii="Times New Roman" w:hAnsi="Times New Roman"/>
          <w:color w:val="000000" w:themeColor="text1"/>
          <w:sz w:val="16"/>
          <w:szCs w:val="16"/>
        </w:rPr>
        <w:t xml:space="preserve">. Первый испытывал </w:t>
      </w:r>
      <w:proofErr w:type="spellStart"/>
      <w:r w:rsidRPr="00A259BD">
        <w:rPr>
          <w:rFonts w:ascii="Times New Roman" w:hAnsi="Times New Roman"/>
          <w:color w:val="000000" w:themeColor="text1"/>
          <w:sz w:val="16"/>
          <w:szCs w:val="16"/>
        </w:rPr>
        <w:t>И.Г.Савин</w:t>
      </w:r>
      <w:proofErr w:type="spellEnd"/>
      <w:r w:rsidRPr="00A259BD">
        <w:rPr>
          <w:rFonts w:ascii="Times New Roman" w:hAnsi="Times New Roman"/>
          <w:color w:val="000000" w:themeColor="text1"/>
          <w:sz w:val="16"/>
          <w:szCs w:val="16"/>
        </w:rPr>
        <w:t xml:space="preserve"> до июля 1928. Результаты были удовлетворительными, но в серии не был, так как оценка машины затянулась (92,298).</w:t>
      </w:r>
    </w:p>
    <w:p w14:paraId="5F6F0B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2058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начале 1929 Алкснис обратился к председателю Добролета </w:t>
      </w:r>
      <w:proofErr w:type="spellStart"/>
      <w:r w:rsidRPr="00A259BD">
        <w:rPr>
          <w:rFonts w:ascii="Times New Roman" w:hAnsi="Times New Roman"/>
          <w:color w:val="000000" w:themeColor="text1"/>
          <w:sz w:val="16"/>
          <w:szCs w:val="16"/>
        </w:rPr>
        <w:t>В.Н.Ксандрову</w:t>
      </w:r>
      <w:proofErr w:type="spellEnd"/>
      <w:r w:rsidRPr="00A259BD">
        <w:rPr>
          <w:rFonts w:ascii="Times New Roman" w:hAnsi="Times New Roman"/>
          <w:color w:val="000000" w:themeColor="text1"/>
          <w:sz w:val="16"/>
          <w:szCs w:val="16"/>
        </w:rPr>
        <w:t xml:space="preserve"> с предложением самостоятельно построить завод в Воронеже и собирать там пассажирские самолеты (10542,20).</w:t>
      </w:r>
    </w:p>
    <w:p w14:paraId="6DF784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74DBEE" w14:textId="77777777" w:rsidR="00EE73C1" w:rsidRPr="00441F34" w:rsidRDefault="00EE73C1" w:rsidP="00EE73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начале 1929 года заместитель начальника ВВС РККА Я. И. Алкснис обратился к председателю правления российского акционерного общества добровольного воздушного флота «</w:t>
      </w:r>
      <w:proofErr w:type="spellStart"/>
      <w:r w:rsidRPr="00441F34">
        <w:rPr>
          <w:rFonts w:ascii="Times New Roman" w:hAnsi="Times New Roman"/>
          <w:color w:val="0070C0"/>
          <w:sz w:val="16"/>
          <w:szCs w:val="16"/>
        </w:rPr>
        <w:t>Добролёт</w:t>
      </w:r>
      <w:proofErr w:type="spellEnd"/>
      <w:r w:rsidRPr="00441F34">
        <w:rPr>
          <w:rFonts w:ascii="Times New Roman" w:hAnsi="Times New Roman"/>
          <w:color w:val="0070C0"/>
          <w:sz w:val="16"/>
          <w:szCs w:val="16"/>
        </w:rPr>
        <w:t xml:space="preserve">» В. Н. </w:t>
      </w:r>
      <w:proofErr w:type="spellStart"/>
      <w:r w:rsidRPr="00441F34">
        <w:rPr>
          <w:rFonts w:ascii="Times New Roman" w:hAnsi="Times New Roman"/>
          <w:color w:val="0070C0"/>
          <w:sz w:val="16"/>
          <w:szCs w:val="16"/>
        </w:rPr>
        <w:t>Ксандрову</w:t>
      </w:r>
      <w:proofErr w:type="spellEnd"/>
      <w:r w:rsidRPr="00441F34">
        <w:rPr>
          <w:rFonts w:ascii="Times New Roman" w:hAnsi="Times New Roman"/>
          <w:color w:val="0070C0"/>
          <w:sz w:val="16"/>
          <w:szCs w:val="16"/>
        </w:rPr>
        <w:t xml:space="preserve"> с предложением самостоятельно построить завод в Воронеже и собирать там пассажирские самолеты. Но выполнение такого заказа «</w:t>
      </w:r>
      <w:proofErr w:type="spellStart"/>
      <w:r w:rsidRPr="00441F34">
        <w:rPr>
          <w:rFonts w:ascii="Times New Roman" w:hAnsi="Times New Roman"/>
          <w:color w:val="0070C0"/>
          <w:sz w:val="16"/>
          <w:szCs w:val="16"/>
        </w:rPr>
        <w:t>Добролёту</w:t>
      </w:r>
      <w:proofErr w:type="spellEnd"/>
      <w:r w:rsidRPr="00441F34">
        <w:rPr>
          <w:rFonts w:ascii="Times New Roman" w:hAnsi="Times New Roman"/>
          <w:color w:val="0070C0"/>
          <w:sz w:val="16"/>
          <w:szCs w:val="16"/>
        </w:rPr>
        <w:t>» был явно не по плечу: свободных средств да и необходимого опыта акционерное общество не имело…. И все же строительство самолетов в Воронеже началось, правда, по другим планам и программам (24153).</w:t>
      </w:r>
    </w:p>
    <w:p w14:paraId="7925EA63" w14:textId="77777777" w:rsidR="00EE73C1" w:rsidRPr="00441F34" w:rsidRDefault="00EE73C1" w:rsidP="00EE73C1">
      <w:pPr>
        <w:spacing w:after="0" w:line="240" w:lineRule="auto"/>
        <w:jc w:val="both"/>
        <w:rPr>
          <w:rFonts w:ascii="Times New Roman" w:hAnsi="Times New Roman"/>
          <w:color w:val="0070C0"/>
          <w:sz w:val="16"/>
          <w:szCs w:val="16"/>
        </w:rPr>
      </w:pPr>
    </w:p>
    <w:p w14:paraId="4BB1418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начале 1929 г. двигатель М-18, который разрабатывали с октября 1928 г. на основе </w:t>
      </w:r>
      <w:r w:rsidRPr="00A259BD">
        <w:rPr>
          <w:rFonts w:ascii="Times New Roman" w:hAnsi="Times New Roman"/>
          <w:color w:val="000000" w:themeColor="text1"/>
          <w:sz w:val="16"/>
          <w:szCs w:val="16"/>
          <w:lang w:val="en-US"/>
        </w:rPr>
        <w:t>V</w:t>
      </w:r>
      <w:r w:rsidRPr="00A259BD">
        <w:rPr>
          <w:rFonts w:ascii="Times New Roman" w:hAnsi="Times New Roman"/>
          <w:color w:val="000000" w:themeColor="text1"/>
          <w:sz w:val="16"/>
          <w:szCs w:val="16"/>
        </w:rPr>
        <w:t>12, решили оснастить односкоростным ПЦН. Этот вариант в некоторых документах именовали М-19К («компрессор»), но вскоре буква «К» отпала — все опытные М-19 изготовлялись с нагнетателями.</w:t>
      </w:r>
    </w:p>
    <w:p w14:paraId="6A2C45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Характеристики:</w:t>
      </w:r>
    </w:p>
    <w:p w14:paraId="3F83FD3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12-цилиндровый, рядный У-образный, четырехтактный, водяного охлаждения, с односкоростным ПЦН;</w:t>
      </w:r>
    </w:p>
    <w:p w14:paraId="459669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мощность в зависимости от модификации;</w:t>
      </w:r>
    </w:p>
    <w:p w14:paraId="365155A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степень сжатия 6,4;</w:t>
      </w:r>
    </w:p>
    <w:p w14:paraId="6950D7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диаметр цилиндра/ход поршня 135/160 мм;</w:t>
      </w:r>
    </w:p>
    <w:p w14:paraId="5D620A5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объем 27,47 л;</w:t>
      </w:r>
    </w:p>
    <w:p w14:paraId="1534388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степень сжатия 6,4;</w:t>
      </w:r>
    </w:p>
    <w:p w14:paraId="0F6943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безредукторный</w:t>
      </w:r>
      <w:proofErr w:type="spellEnd"/>
      <w:r w:rsidRPr="00A259BD">
        <w:rPr>
          <w:rFonts w:ascii="Times New Roman" w:hAnsi="Times New Roman"/>
          <w:color w:val="000000" w:themeColor="text1"/>
          <w:sz w:val="16"/>
          <w:szCs w:val="16"/>
        </w:rPr>
        <w:t>, с ПЦН;</w:t>
      </w:r>
    </w:p>
    <w:p w14:paraId="543C14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вес 475 кг (без втулки винта, синхронизатора и бензонасоса). Известны следующие модификации:</w:t>
      </w:r>
    </w:p>
    <w:p w14:paraId="1FDAAB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М-19 (М-19К), основной вариант мощностью 500/600 л.с. (фактиче</w:t>
      </w:r>
      <w:r w:rsidRPr="00A259BD">
        <w:rPr>
          <w:rFonts w:ascii="Times New Roman" w:hAnsi="Times New Roman"/>
          <w:color w:val="000000" w:themeColor="text1"/>
          <w:sz w:val="16"/>
          <w:szCs w:val="16"/>
        </w:rPr>
        <w:softHyphen/>
        <w:t>ски 525/604 л.с.); построены и испытаны три экземпляра. Второй и третий экземпляры выполнялись с укороченной (уменьшенного диа</w:t>
      </w:r>
      <w:r w:rsidRPr="00A259BD">
        <w:rPr>
          <w:rFonts w:ascii="Times New Roman" w:hAnsi="Times New Roman"/>
          <w:color w:val="000000" w:themeColor="text1"/>
          <w:sz w:val="16"/>
          <w:szCs w:val="16"/>
        </w:rPr>
        <w:softHyphen/>
        <w:t>метра) крыльчаткой ПЦН.</w:t>
      </w:r>
    </w:p>
    <w:p w14:paraId="22EFCA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М-19а, усовершенствованный вариант мощностью 600/650 л.с. с но</w:t>
      </w:r>
      <w:r w:rsidRPr="00A259BD">
        <w:rPr>
          <w:rFonts w:ascii="Times New Roman" w:hAnsi="Times New Roman"/>
          <w:color w:val="000000" w:themeColor="text1"/>
          <w:sz w:val="16"/>
          <w:szCs w:val="16"/>
        </w:rPr>
        <w:softHyphen/>
        <w:t>вым блоком головок и измененным механизмом привода ПЦН. Про</w:t>
      </w:r>
      <w:r w:rsidRPr="00A259BD">
        <w:rPr>
          <w:rFonts w:ascii="Times New Roman" w:hAnsi="Times New Roman"/>
          <w:color w:val="000000" w:themeColor="text1"/>
          <w:sz w:val="16"/>
          <w:szCs w:val="16"/>
        </w:rPr>
        <w:softHyphen/>
        <w:t>ектировался в ИАМ в 1931 г., опытный образец не изготавливался.</w:t>
      </w:r>
    </w:p>
    <w:p w14:paraId="643ED9E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М-19с, проект варианта со стальными рубашками блоков и новым клапанным механизмом, должен был стать основой для двигателя М-30.</w:t>
      </w:r>
    </w:p>
    <w:p w14:paraId="5A3BA1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Планировались варианты с редуктором, двухскоростным и </w:t>
      </w:r>
      <w:proofErr w:type="spellStart"/>
      <w:r w:rsidRPr="00A259BD">
        <w:rPr>
          <w:rFonts w:ascii="Times New Roman" w:hAnsi="Times New Roman"/>
          <w:color w:val="000000" w:themeColor="text1"/>
          <w:sz w:val="16"/>
          <w:szCs w:val="16"/>
        </w:rPr>
        <w:t>трехскорост-ным</w:t>
      </w:r>
      <w:proofErr w:type="spellEnd"/>
      <w:r w:rsidRPr="00A259BD">
        <w:rPr>
          <w:rFonts w:ascii="Times New Roman" w:hAnsi="Times New Roman"/>
          <w:color w:val="000000" w:themeColor="text1"/>
          <w:sz w:val="16"/>
          <w:szCs w:val="16"/>
        </w:rPr>
        <w:t xml:space="preserve"> ПЦН.</w:t>
      </w:r>
    </w:p>
    <w:p w14:paraId="3CB0B3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Устанавливался на одном из опытных образцов самолета Р-5. Предла</w:t>
      </w:r>
      <w:r w:rsidRPr="00A259BD">
        <w:rPr>
          <w:rFonts w:ascii="Times New Roman" w:hAnsi="Times New Roman"/>
          <w:color w:val="000000" w:themeColor="text1"/>
          <w:sz w:val="16"/>
          <w:szCs w:val="16"/>
        </w:rPr>
        <w:softHyphen/>
        <w:t>галось также использовать его на истребителе ДИ-4 (11852).</w:t>
      </w:r>
    </w:p>
    <w:p w14:paraId="61F541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EF2593"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1929, согласно Эрнсту Хейнкелю («В моей стремительной жизни», перевод Евгения Кобылянского), «В один из понедель</w:t>
      </w:r>
      <w:r w:rsidRPr="00A259BD">
        <w:rPr>
          <w:rFonts w:ascii="Times New Roman" w:hAnsi="Times New Roman"/>
          <w:color w:val="000000" w:themeColor="text1"/>
          <w:sz w:val="16"/>
          <w:szCs w:val="16"/>
        </w:rPr>
        <w:softHyphen/>
        <w:t xml:space="preserve">ников начала 1930 года (судя по известной нам хронологии событий, это был 1929 г.) Мария </w:t>
      </w:r>
      <w:proofErr w:type="spellStart"/>
      <w:r w:rsidRPr="00A259BD">
        <w:rPr>
          <w:rFonts w:ascii="Times New Roman" w:hAnsi="Times New Roman"/>
          <w:color w:val="000000" w:themeColor="text1"/>
          <w:sz w:val="16"/>
          <w:szCs w:val="16"/>
        </w:rPr>
        <w:t>Хуперц</w:t>
      </w:r>
      <w:proofErr w:type="spellEnd"/>
      <w:r w:rsidRPr="00A259BD">
        <w:rPr>
          <w:rFonts w:ascii="Times New Roman" w:hAnsi="Times New Roman"/>
          <w:color w:val="000000" w:themeColor="text1"/>
          <w:sz w:val="16"/>
          <w:szCs w:val="16"/>
        </w:rPr>
        <w:t xml:space="preserve"> сообщила мне, что два господи</w:t>
      </w:r>
      <w:r w:rsidRPr="00A259BD">
        <w:rPr>
          <w:rFonts w:ascii="Times New Roman" w:hAnsi="Times New Roman"/>
          <w:color w:val="000000" w:themeColor="text1"/>
          <w:sz w:val="16"/>
          <w:szCs w:val="16"/>
        </w:rPr>
        <w:softHyphen/>
        <w:t>на, выглядевшие, по ее мнению, подозритель</w:t>
      </w:r>
      <w:r w:rsidRPr="00A259BD">
        <w:rPr>
          <w:rFonts w:ascii="Times New Roman" w:hAnsi="Times New Roman"/>
          <w:color w:val="000000" w:themeColor="text1"/>
          <w:sz w:val="16"/>
          <w:szCs w:val="16"/>
        </w:rPr>
        <w:softHyphen/>
        <w:t>но, просят их принять.</w:t>
      </w:r>
    </w:p>
    <w:p w14:paraId="29813146"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Хотя </w:t>
      </w:r>
      <w:proofErr w:type="spellStart"/>
      <w:r w:rsidRPr="00A259BD">
        <w:rPr>
          <w:rFonts w:ascii="Times New Roman" w:hAnsi="Times New Roman"/>
          <w:color w:val="000000" w:themeColor="text1"/>
          <w:sz w:val="16"/>
          <w:szCs w:val="16"/>
        </w:rPr>
        <w:t>Хуперц</w:t>
      </w:r>
      <w:proofErr w:type="spellEnd"/>
      <w:r w:rsidRPr="00A259BD">
        <w:rPr>
          <w:rFonts w:ascii="Times New Roman" w:hAnsi="Times New Roman"/>
          <w:color w:val="000000" w:themeColor="text1"/>
          <w:sz w:val="16"/>
          <w:szCs w:val="16"/>
        </w:rPr>
        <w:t xml:space="preserve"> выполняла функции секрета</w:t>
      </w:r>
      <w:r w:rsidRPr="00A259BD">
        <w:rPr>
          <w:rFonts w:ascii="Times New Roman" w:hAnsi="Times New Roman"/>
          <w:color w:val="000000" w:themeColor="text1"/>
          <w:sz w:val="16"/>
          <w:szCs w:val="16"/>
        </w:rPr>
        <w:softHyphen/>
        <w:t>ря, она считала, что в ее компетенцию вхо</w:t>
      </w:r>
      <w:r w:rsidRPr="00A259BD">
        <w:rPr>
          <w:rFonts w:ascii="Times New Roman" w:hAnsi="Times New Roman"/>
          <w:color w:val="000000" w:themeColor="text1"/>
          <w:sz w:val="16"/>
          <w:szCs w:val="16"/>
        </w:rPr>
        <w:softHyphen/>
        <w:t>дит и моя безопасность. Я дал согласие. Оба посетителя вошли. Действительно, по внеш</w:t>
      </w:r>
      <w:r w:rsidRPr="00A259BD">
        <w:rPr>
          <w:rFonts w:ascii="Times New Roman" w:hAnsi="Times New Roman"/>
          <w:color w:val="000000" w:themeColor="text1"/>
          <w:sz w:val="16"/>
          <w:szCs w:val="16"/>
        </w:rPr>
        <w:softHyphen/>
        <w:t>нему виду они не внушали доверия. Войдя в мой кабинет, никто из них не удосужился представиться. Старший по возрасту посе</w:t>
      </w:r>
      <w:r w:rsidRPr="00A259BD">
        <w:rPr>
          <w:rFonts w:ascii="Times New Roman" w:hAnsi="Times New Roman"/>
          <w:color w:val="000000" w:themeColor="text1"/>
          <w:sz w:val="16"/>
          <w:szCs w:val="16"/>
        </w:rPr>
        <w:softHyphen/>
        <w:t>титель говорил только по-русски. Помоло</w:t>
      </w:r>
      <w:r w:rsidRPr="00A259BD">
        <w:rPr>
          <w:rFonts w:ascii="Times New Roman" w:hAnsi="Times New Roman"/>
          <w:color w:val="000000" w:themeColor="text1"/>
          <w:sz w:val="16"/>
          <w:szCs w:val="16"/>
        </w:rPr>
        <w:softHyphen/>
        <w:t>же свободно изъяснялся на немецком языке.</w:t>
      </w:r>
    </w:p>
    <w:p w14:paraId="5C4C1F19" w14:textId="77777777" w:rsidR="002F4D1B" w:rsidRPr="00A259BD" w:rsidRDefault="002F4D1B" w:rsidP="009236E3">
      <w:pPr>
        <w:tabs>
          <w:tab w:val="left" w:pos="43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rPr>
        <w:tab/>
        <w:t>Мы — из торгового представительст</w:t>
      </w:r>
      <w:r w:rsidRPr="00A259BD">
        <w:rPr>
          <w:rFonts w:ascii="Times New Roman" w:hAnsi="Times New Roman"/>
          <w:color w:val="000000" w:themeColor="text1"/>
          <w:sz w:val="16"/>
          <w:szCs w:val="16"/>
        </w:rPr>
        <w:softHyphen/>
        <w:t>ва СССР в Берлине, — сказал мне старший представитель через переводчика.</w:t>
      </w:r>
    </w:p>
    <w:p w14:paraId="6F51E5A9" w14:textId="77777777" w:rsidR="002F4D1B" w:rsidRPr="00A259BD" w:rsidRDefault="002F4D1B" w:rsidP="009236E3">
      <w:pPr>
        <w:tabs>
          <w:tab w:val="left" w:pos="362"/>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rPr>
        <w:tab/>
        <w:t>Я приехал с предложением построить ле</w:t>
      </w:r>
      <w:r w:rsidRPr="00A259BD">
        <w:rPr>
          <w:rFonts w:ascii="Times New Roman" w:hAnsi="Times New Roman"/>
          <w:color w:val="000000" w:themeColor="text1"/>
          <w:sz w:val="16"/>
          <w:szCs w:val="16"/>
        </w:rPr>
        <w:softHyphen/>
        <w:t>тающую лодку и катапульту к ней. Скажите только, да или нет, больше мне ничего не на</w:t>
      </w:r>
      <w:r w:rsidRPr="00A259BD">
        <w:rPr>
          <w:rFonts w:ascii="Times New Roman" w:hAnsi="Times New Roman"/>
          <w:color w:val="000000" w:themeColor="text1"/>
          <w:sz w:val="16"/>
          <w:szCs w:val="16"/>
        </w:rPr>
        <w:softHyphen/>
        <w:t>до. Условия мы вам вышлем. Вы должны сде</w:t>
      </w:r>
      <w:r w:rsidRPr="00A259BD">
        <w:rPr>
          <w:rFonts w:ascii="Times New Roman" w:hAnsi="Times New Roman"/>
          <w:color w:val="000000" w:themeColor="text1"/>
          <w:sz w:val="16"/>
          <w:szCs w:val="16"/>
        </w:rPr>
        <w:softHyphen/>
        <w:t>лать проект, если он нам понравится, мы сде</w:t>
      </w:r>
      <w:r w:rsidRPr="00A259BD">
        <w:rPr>
          <w:rFonts w:ascii="Times New Roman" w:hAnsi="Times New Roman"/>
          <w:color w:val="000000" w:themeColor="text1"/>
          <w:sz w:val="16"/>
          <w:szCs w:val="16"/>
        </w:rPr>
        <w:softHyphen/>
        <w:t>лаем заказ.</w:t>
      </w:r>
    </w:p>
    <w:p w14:paraId="33E46D98"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Я </w:t>
      </w:r>
      <w:proofErr w:type="spellStart"/>
      <w:r w:rsidRPr="00A259BD">
        <w:rPr>
          <w:rFonts w:ascii="Times New Roman" w:hAnsi="Times New Roman"/>
          <w:color w:val="000000" w:themeColor="text1"/>
          <w:sz w:val="16"/>
          <w:szCs w:val="16"/>
        </w:rPr>
        <w:t>еше</w:t>
      </w:r>
      <w:proofErr w:type="spellEnd"/>
      <w:r w:rsidRPr="00A259BD">
        <w:rPr>
          <w:rFonts w:ascii="Times New Roman" w:hAnsi="Times New Roman"/>
          <w:color w:val="000000" w:themeColor="text1"/>
          <w:sz w:val="16"/>
          <w:szCs w:val="16"/>
        </w:rPr>
        <w:t xml:space="preserve"> ни от одного человека не слышал, чтобы русские нарушали договор или оказа</w:t>
      </w:r>
      <w:r w:rsidRPr="00A259BD">
        <w:rPr>
          <w:rFonts w:ascii="Times New Roman" w:hAnsi="Times New Roman"/>
          <w:color w:val="000000" w:themeColor="text1"/>
          <w:sz w:val="16"/>
          <w:szCs w:val="16"/>
        </w:rPr>
        <w:softHyphen/>
        <w:t>лись неплатежеспособными. К тому же после событий с гидросамолетом Хе-6 мне нечего было раздумывать. Преодолевая неприязнь, я произнес: «Да».</w:t>
      </w:r>
    </w:p>
    <w:p w14:paraId="5D4D3AF5"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Через два дня я получил из Берлина пакет, в котором лежали технические условия. Для одного из советских военных кораблей, на</w:t>
      </w:r>
      <w:r w:rsidRPr="00A259BD">
        <w:rPr>
          <w:rFonts w:ascii="Times New Roman" w:hAnsi="Times New Roman"/>
          <w:color w:val="000000" w:themeColor="text1"/>
          <w:sz w:val="16"/>
          <w:szCs w:val="16"/>
        </w:rPr>
        <w:softHyphen/>
        <w:t>ходящегося в Черном море, требовалось из</w:t>
      </w:r>
      <w:r w:rsidRPr="00A259BD">
        <w:rPr>
          <w:rFonts w:ascii="Times New Roman" w:hAnsi="Times New Roman"/>
          <w:color w:val="000000" w:themeColor="text1"/>
          <w:sz w:val="16"/>
          <w:szCs w:val="16"/>
        </w:rPr>
        <w:softHyphen/>
        <w:t>готовить катапульту. Название корабля и его водоизмещение не указывались. В усло</w:t>
      </w:r>
      <w:r w:rsidRPr="00A259BD">
        <w:rPr>
          <w:rFonts w:ascii="Times New Roman" w:hAnsi="Times New Roman"/>
          <w:color w:val="000000" w:themeColor="text1"/>
          <w:sz w:val="16"/>
          <w:szCs w:val="16"/>
        </w:rPr>
        <w:softHyphen/>
        <w:t>вии оговаривалось, что катапульта не должна быть длиннее 21,5 метра. Требования к ката</w:t>
      </w:r>
      <w:r w:rsidRPr="00A259BD">
        <w:rPr>
          <w:rFonts w:ascii="Times New Roman" w:hAnsi="Times New Roman"/>
          <w:color w:val="000000" w:themeColor="text1"/>
          <w:sz w:val="16"/>
          <w:szCs w:val="16"/>
        </w:rPr>
        <w:softHyphen/>
        <w:t>пультируемой летающей лодке не были жест</w:t>
      </w:r>
      <w:r w:rsidRPr="00A259BD">
        <w:rPr>
          <w:rFonts w:ascii="Times New Roman" w:hAnsi="Times New Roman"/>
          <w:color w:val="000000" w:themeColor="text1"/>
          <w:sz w:val="16"/>
          <w:szCs w:val="16"/>
        </w:rPr>
        <w:softHyphen/>
        <w:t>кими. В технических условиях, составленных русскими, не выдвигалось каких-либо требо</w:t>
      </w:r>
      <w:r w:rsidRPr="00A259BD">
        <w:rPr>
          <w:rFonts w:ascii="Times New Roman" w:hAnsi="Times New Roman"/>
          <w:color w:val="000000" w:themeColor="text1"/>
          <w:sz w:val="16"/>
          <w:szCs w:val="16"/>
        </w:rPr>
        <w:softHyphen/>
        <w:t>ваний, влекущих проведения дополнитель</w:t>
      </w:r>
      <w:r w:rsidRPr="00A259BD">
        <w:rPr>
          <w:rFonts w:ascii="Times New Roman" w:hAnsi="Times New Roman"/>
          <w:color w:val="000000" w:themeColor="text1"/>
          <w:sz w:val="16"/>
          <w:szCs w:val="16"/>
        </w:rPr>
        <w:softHyphen/>
        <w:t>ных опытно-конструкторских работ.</w:t>
      </w:r>
    </w:p>
    <w:p w14:paraId="76DBA191"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Мы создали проект катапульты и летаю</w:t>
      </w:r>
      <w:r w:rsidRPr="00A259BD">
        <w:rPr>
          <w:rFonts w:ascii="Times New Roman" w:hAnsi="Times New Roman"/>
          <w:color w:val="000000" w:themeColor="text1"/>
          <w:sz w:val="16"/>
          <w:szCs w:val="16"/>
        </w:rPr>
        <w:softHyphen/>
        <w:t>щей лодки Хе-55, которая в общем была по</w:t>
      </w:r>
      <w:r w:rsidRPr="00A259BD">
        <w:rPr>
          <w:rFonts w:ascii="Times New Roman" w:hAnsi="Times New Roman"/>
          <w:color w:val="000000" w:themeColor="text1"/>
          <w:sz w:val="16"/>
          <w:szCs w:val="16"/>
        </w:rPr>
        <w:softHyphen/>
        <w:t xml:space="preserve">хожа на построенную для ВМС Германии Хе-15. Сделан он был в течение нескольких недель и отправлен в советское торгпредство : Берлине. Через неделю ко мне приехали оба моих посетителя. На этот раз они представились. Пожилой посетитель оказался </w:t>
      </w:r>
      <w:proofErr w:type="spellStart"/>
      <w:r w:rsidRPr="00A259BD">
        <w:rPr>
          <w:rFonts w:ascii="Times New Roman" w:hAnsi="Times New Roman"/>
          <w:color w:val="000000" w:themeColor="text1"/>
          <w:sz w:val="16"/>
          <w:szCs w:val="16"/>
        </w:rPr>
        <w:t>заместиелем</w:t>
      </w:r>
      <w:proofErr w:type="spellEnd"/>
      <w:r w:rsidRPr="00A259BD">
        <w:rPr>
          <w:rFonts w:ascii="Times New Roman" w:hAnsi="Times New Roman"/>
          <w:color w:val="000000" w:themeColor="text1"/>
          <w:sz w:val="16"/>
          <w:szCs w:val="16"/>
        </w:rPr>
        <w:t xml:space="preserve"> командующего Красным Воздушным Флотом Алкснис. Молодой был </w:t>
      </w:r>
      <w:proofErr w:type="spellStart"/>
      <w:r w:rsidRPr="00A259BD">
        <w:rPr>
          <w:rFonts w:ascii="Times New Roman" w:hAnsi="Times New Roman"/>
          <w:color w:val="000000" w:themeColor="text1"/>
          <w:sz w:val="16"/>
          <w:szCs w:val="16"/>
        </w:rPr>
        <w:t>переводчи</w:t>
      </w:r>
      <w:proofErr w:type="spellEnd"/>
      <w:r w:rsidRPr="00A259BD">
        <w:rPr>
          <w:rFonts w:ascii="Times New Roman" w:hAnsi="Times New Roman"/>
          <w:color w:val="000000" w:themeColor="text1"/>
          <w:sz w:val="16"/>
          <w:szCs w:val="16"/>
        </w:rPr>
        <w:t xml:space="preserve">- :м по фамилии </w:t>
      </w:r>
      <w:proofErr w:type="spellStart"/>
      <w:r w:rsidRPr="00A259BD">
        <w:rPr>
          <w:rFonts w:ascii="Times New Roman" w:hAnsi="Times New Roman"/>
          <w:color w:val="000000" w:themeColor="text1"/>
          <w:sz w:val="16"/>
          <w:szCs w:val="16"/>
        </w:rPr>
        <w:t>Сонов</w:t>
      </w:r>
      <w:proofErr w:type="spellEnd"/>
      <w:r w:rsidRPr="00A259BD">
        <w:rPr>
          <w:rFonts w:ascii="Times New Roman" w:hAnsi="Times New Roman"/>
          <w:color w:val="000000" w:themeColor="text1"/>
          <w:sz w:val="16"/>
          <w:szCs w:val="16"/>
        </w:rPr>
        <w:t>. Мне был передан за- »аз на катапульту и гидросамолет к ней.</w:t>
      </w:r>
    </w:p>
    <w:p w14:paraId="62D22C56"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Если ваша катапульта и гидросамолет :</w:t>
      </w:r>
      <w:proofErr w:type="spellStart"/>
      <w:r w:rsidRPr="00A259BD">
        <w:rPr>
          <w:rFonts w:ascii="Times New Roman" w:hAnsi="Times New Roman"/>
          <w:color w:val="000000" w:themeColor="text1"/>
          <w:sz w:val="16"/>
          <w:szCs w:val="16"/>
        </w:rPr>
        <w:t>жаж</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тся</w:t>
      </w:r>
      <w:proofErr w:type="spellEnd"/>
      <w:r w:rsidRPr="00A259BD">
        <w:rPr>
          <w:rFonts w:ascii="Times New Roman" w:hAnsi="Times New Roman"/>
          <w:color w:val="000000" w:themeColor="text1"/>
          <w:sz w:val="16"/>
          <w:szCs w:val="16"/>
        </w:rPr>
        <w:t xml:space="preserve"> хорошими, заказ увеличим, — </w:t>
      </w:r>
      <w:proofErr w:type="spellStart"/>
      <w:r w:rsidRPr="00A259BD">
        <w:rPr>
          <w:rFonts w:ascii="Times New Roman" w:hAnsi="Times New Roman"/>
          <w:color w:val="000000" w:themeColor="text1"/>
          <w:sz w:val="16"/>
          <w:szCs w:val="16"/>
        </w:rPr>
        <w:t>ска</w:t>
      </w:r>
      <w:proofErr w:type="spellEnd"/>
      <w:r w:rsidRPr="00A259BD">
        <w:rPr>
          <w:rFonts w:ascii="Times New Roman" w:hAnsi="Times New Roman"/>
          <w:color w:val="000000" w:themeColor="text1"/>
          <w:sz w:val="16"/>
          <w:szCs w:val="16"/>
        </w:rPr>
        <w:t xml:space="preserve">- ал Алкснис на </w:t>
      </w:r>
      <w:proofErr w:type="spellStart"/>
      <w:r w:rsidRPr="00A259BD">
        <w:rPr>
          <w:rFonts w:ascii="Times New Roman" w:hAnsi="Times New Roman"/>
          <w:color w:val="000000" w:themeColor="text1"/>
          <w:sz w:val="16"/>
          <w:szCs w:val="16"/>
        </w:rPr>
        <w:t>прошание</w:t>
      </w:r>
      <w:proofErr w:type="spellEnd"/>
      <w:r w:rsidRPr="00A259BD">
        <w:rPr>
          <w:rFonts w:ascii="Times New Roman" w:hAnsi="Times New Roman"/>
          <w:color w:val="000000" w:themeColor="text1"/>
          <w:sz w:val="16"/>
          <w:szCs w:val="16"/>
        </w:rPr>
        <w:t>.</w:t>
      </w:r>
    </w:p>
    <w:p w14:paraId="33FBD867" w14:textId="77777777" w:rsidR="002F4D1B" w:rsidRPr="00A259BD" w:rsidRDefault="002F4D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Когда я стал знакомиться с условиями за</w:t>
      </w:r>
      <w:r w:rsidRPr="00A259BD">
        <w:rPr>
          <w:rFonts w:ascii="Times New Roman" w:hAnsi="Times New Roman"/>
          <w:color w:val="000000" w:themeColor="text1"/>
          <w:sz w:val="16"/>
          <w:szCs w:val="16"/>
        </w:rPr>
        <w:softHyphen/>
        <w:t>каза. от множества оговорок в тексте у меня зарябило в глазах. В условиях указывалась ~очная дата выполнения заказа и неустойка :а его невыполнение. Кроме того, за откло</w:t>
      </w:r>
      <w:r w:rsidRPr="00A259BD">
        <w:rPr>
          <w:rFonts w:ascii="Times New Roman" w:hAnsi="Times New Roman"/>
          <w:color w:val="000000" w:themeColor="text1"/>
          <w:sz w:val="16"/>
          <w:szCs w:val="16"/>
        </w:rPr>
        <w:softHyphen/>
        <w:t>нение от проектных данных также предусма</w:t>
      </w:r>
      <w:r w:rsidRPr="00A259BD">
        <w:rPr>
          <w:rFonts w:ascii="Times New Roman" w:hAnsi="Times New Roman"/>
          <w:color w:val="000000" w:themeColor="text1"/>
          <w:sz w:val="16"/>
          <w:szCs w:val="16"/>
        </w:rPr>
        <w:softHyphen/>
        <w:t>тривалась выплата неустойки. Многочислен</w:t>
      </w:r>
      <w:r w:rsidRPr="00A259BD">
        <w:rPr>
          <w:rFonts w:ascii="Times New Roman" w:hAnsi="Times New Roman"/>
          <w:color w:val="000000" w:themeColor="text1"/>
          <w:sz w:val="16"/>
          <w:szCs w:val="16"/>
        </w:rPr>
        <w:softHyphen/>
        <w:t>ные оговорки в условиях заказа говорили о том, что он им важен» (12301).</w:t>
      </w:r>
    </w:p>
    <w:p w14:paraId="5FA9B63E" w14:textId="77777777" w:rsidR="002F4D1B" w:rsidRPr="00A259BD" w:rsidRDefault="002F4D1B" w:rsidP="009236E3">
      <w:pPr>
        <w:spacing w:after="0" w:line="240" w:lineRule="auto"/>
        <w:jc w:val="both"/>
        <w:rPr>
          <w:rFonts w:ascii="Times New Roman" w:hAnsi="Times New Roman"/>
          <w:color w:val="000000" w:themeColor="text1"/>
          <w:sz w:val="16"/>
          <w:szCs w:val="16"/>
        </w:rPr>
      </w:pPr>
    </w:p>
    <w:p w14:paraId="0CC145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начале 1929 образовали спецкомиссию по аэрофотосъемке под председательством </w:t>
      </w:r>
      <w:proofErr w:type="spellStart"/>
      <w:r w:rsidRPr="00A259BD">
        <w:rPr>
          <w:rFonts w:ascii="Times New Roman" w:hAnsi="Times New Roman"/>
          <w:color w:val="000000" w:themeColor="text1"/>
          <w:sz w:val="16"/>
          <w:szCs w:val="16"/>
        </w:rPr>
        <w:t>А.Е.Ферсмана</w:t>
      </w:r>
      <w:proofErr w:type="spellEnd"/>
      <w:r w:rsidRPr="00A259BD">
        <w:rPr>
          <w:rFonts w:ascii="Times New Roman" w:hAnsi="Times New Roman"/>
          <w:color w:val="000000" w:themeColor="text1"/>
          <w:sz w:val="16"/>
          <w:szCs w:val="16"/>
        </w:rPr>
        <w:t xml:space="preserve">. На комиссии по докладу </w:t>
      </w:r>
      <w:proofErr w:type="spellStart"/>
      <w:r w:rsidRPr="00A259BD">
        <w:rPr>
          <w:rFonts w:ascii="Times New Roman" w:hAnsi="Times New Roman"/>
          <w:color w:val="000000" w:themeColor="text1"/>
          <w:sz w:val="16"/>
          <w:szCs w:val="16"/>
        </w:rPr>
        <w:t>В.Б.Шаврова</w:t>
      </w:r>
      <w:proofErr w:type="spellEnd"/>
      <w:r w:rsidRPr="00A259BD">
        <w:rPr>
          <w:rFonts w:ascii="Times New Roman" w:hAnsi="Times New Roman"/>
          <w:color w:val="000000" w:themeColor="text1"/>
          <w:sz w:val="16"/>
          <w:szCs w:val="16"/>
        </w:rPr>
        <w:t xml:space="preserve"> приняли требования к самолетам и с этой подачи решили, что лучше - амфибия (92,444).</w:t>
      </w:r>
    </w:p>
    <w:p w14:paraId="6D9A35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0D841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1929 г. аэронавигацион</w:t>
      </w:r>
      <w:r w:rsidRPr="00A259BD">
        <w:rPr>
          <w:rFonts w:ascii="Times New Roman" w:hAnsi="Times New Roman"/>
          <w:color w:val="000000" w:themeColor="text1"/>
          <w:sz w:val="16"/>
          <w:szCs w:val="16"/>
        </w:rPr>
        <w:softHyphen/>
        <w:t>ный отдел (АНО) НИИ ВВС просчитал раз</w:t>
      </w:r>
      <w:r w:rsidRPr="00A259BD">
        <w:rPr>
          <w:rFonts w:ascii="Times New Roman" w:hAnsi="Times New Roman"/>
          <w:color w:val="000000" w:themeColor="text1"/>
          <w:sz w:val="16"/>
          <w:szCs w:val="16"/>
        </w:rPr>
        <w:softHyphen/>
        <w:t>личные варианты полета из Москвы в Нью-Йорк на АНТ-4. Западный маршрут должен был пройти через Европу, западную оконеч</w:t>
      </w:r>
      <w:r w:rsidRPr="00A259BD">
        <w:rPr>
          <w:rFonts w:ascii="Times New Roman" w:hAnsi="Times New Roman"/>
          <w:color w:val="000000" w:themeColor="text1"/>
          <w:sz w:val="16"/>
          <w:szCs w:val="16"/>
        </w:rPr>
        <w:softHyphen/>
        <w:t>ность Африки, пересечь Атлантический оке</w:t>
      </w:r>
      <w:r w:rsidRPr="00A259BD">
        <w:rPr>
          <w:rFonts w:ascii="Times New Roman" w:hAnsi="Times New Roman"/>
          <w:color w:val="000000" w:themeColor="text1"/>
          <w:sz w:val="16"/>
          <w:szCs w:val="16"/>
        </w:rPr>
        <w:softHyphen/>
        <w:t>ан, достичь Южной Америки, далее развер</w:t>
      </w:r>
      <w:r w:rsidRPr="00A259BD">
        <w:rPr>
          <w:rFonts w:ascii="Times New Roman" w:hAnsi="Times New Roman"/>
          <w:color w:val="000000" w:themeColor="text1"/>
          <w:sz w:val="16"/>
          <w:szCs w:val="16"/>
        </w:rPr>
        <w:softHyphen/>
        <w:t>нуться на север и проходить до Нью-Йорка. Этот вариант, помимо прочего, требовал разрешения многих вопросов дипломати</w:t>
      </w:r>
      <w:r w:rsidRPr="00A259BD">
        <w:rPr>
          <w:rFonts w:ascii="Times New Roman" w:hAnsi="Times New Roman"/>
          <w:color w:val="000000" w:themeColor="text1"/>
          <w:sz w:val="16"/>
          <w:szCs w:val="16"/>
        </w:rPr>
        <w:softHyphen/>
        <w:t>ческого порядка, так как подразумевал пересечение границ сразу нескольких госу</w:t>
      </w:r>
      <w:r w:rsidRPr="00A259BD">
        <w:rPr>
          <w:rFonts w:ascii="Times New Roman" w:hAnsi="Times New Roman"/>
          <w:color w:val="000000" w:themeColor="text1"/>
          <w:sz w:val="16"/>
          <w:szCs w:val="16"/>
        </w:rPr>
        <w:softHyphen/>
        <w:t>дарств. В условиях продолжавшейся изо</w:t>
      </w:r>
      <w:r w:rsidRPr="00A259BD">
        <w:rPr>
          <w:rFonts w:ascii="Times New Roman" w:hAnsi="Times New Roman"/>
          <w:color w:val="000000" w:themeColor="text1"/>
          <w:sz w:val="16"/>
          <w:szCs w:val="16"/>
        </w:rPr>
        <w:softHyphen/>
        <w:t>ляции СССР проведение необходимых переговоров представлялось маловероят</w:t>
      </w:r>
      <w:r w:rsidRPr="00A259BD">
        <w:rPr>
          <w:rFonts w:ascii="Times New Roman" w:hAnsi="Times New Roman"/>
          <w:color w:val="000000" w:themeColor="text1"/>
          <w:sz w:val="16"/>
          <w:szCs w:val="16"/>
        </w:rPr>
        <w:softHyphen/>
        <w:t>ным. Более благоприятным казался вари</w:t>
      </w:r>
      <w:r w:rsidRPr="00A259BD">
        <w:rPr>
          <w:rFonts w:ascii="Times New Roman" w:hAnsi="Times New Roman"/>
          <w:color w:val="000000" w:themeColor="text1"/>
          <w:sz w:val="16"/>
          <w:szCs w:val="16"/>
        </w:rPr>
        <w:softHyphen/>
        <w:t>ант полета вдоль Дальневосточной магист</w:t>
      </w:r>
      <w:r w:rsidRPr="00A259BD">
        <w:rPr>
          <w:rFonts w:ascii="Times New Roman" w:hAnsi="Times New Roman"/>
          <w:color w:val="000000" w:themeColor="text1"/>
          <w:sz w:val="16"/>
          <w:szCs w:val="16"/>
        </w:rPr>
        <w:softHyphen/>
        <w:t xml:space="preserve">рали, далее на Камчатку, через </w:t>
      </w:r>
      <w:proofErr w:type="spellStart"/>
      <w:r w:rsidRPr="00A259BD">
        <w:rPr>
          <w:rFonts w:ascii="Times New Roman" w:hAnsi="Times New Roman"/>
          <w:color w:val="000000" w:themeColor="text1"/>
          <w:sz w:val="16"/>
          <w:szCs w:val="16"/>
        </w:rPr>
        <w:t>северо</w:t>
      </w:r>
      <w:r w:rsidRPr="00A259BD">
        <w:rPr>
          <w:rFonts w:ascii="Times New Roman" w:hAnsi="Times New Roman"/>
          <w:color w:val="000000" w:themeColor="text1"/>
          <w:sz w:val="16"/>
          <w:szCs w:val="16"/>
        </w:rPr>
        <w:softHyphen/>
        <w:t>восточную</w:t>
      </w:r>
      <w:proofErr w:type="spellEnd"/>
      <w:r w:rsidRPr="00A259BD">
        <w:rPr>
          <w:rFonts w:ascii="Times New Roman" w:hAnsi="Times New Roman"/>
          <w:color w:val="000000" w:themeColor="text1"/>
          <w:sz w:val="16"/>
          <w:szCs w:val="16"/>
        </w:rPr>
        <w:t xml:space="preserve"> часть Тихого океана и затем Северо-американский континент до Нью-Йорка. Именно на этом маршруте, длина которого составляла 20600 км, организато</w:t>
      </w:r>
      <w:r w:rsidRPr="00A259BD">
        <w:rPr>
          <w:rFonts w:ascii="Times New Roman" w:hAnsi="Times New Roman"/>
          <w:color w:val="000000" w:themeColor="text1"/>
          <w:sz w:val="16"/>
          <w:szCs w:val="16"/>
        </w:rPr>
        <w:softHyphen/>
        <w:t>ры акции остановили выбор. Дополнитель</w:t>
      </w:r>
      <w:r w:rsidRPr="00A259BD">
        <w:rPr>
          <w:rFonts w:ascii="Times New Roman" w:hAnsi="Times New Roman"/>
          <w:color w:val="000000" w:themeColor="text1"/>
          <w:sz w:val="16"/>
          <w:szCs w:val="16"/>
        </w:rPr>
        <w:softHyphen/>
        <w:t>ным обстоятельством в его пользу стало то, что по нему уже летали советские, амери</w:t>
      </w:r>
      <w:r w:rsidRPr="00A259BD">
        <w:rPr>
          <w:rFonts w:ascii="Times New Roman" w:hAnsi="Times New Roman"/>
          <w:color w:val="000000" w:themeColor="text1"/>
          <w:sz w:val="16"/>
          <w:szCs w:val="16"/>
        </w:rPr>
        <w:softHyphen/>
        <w:t xml:space="preserve">канские, французские и польские пилоты. Командиром экипажа назначили С.А. Шестакова, который в 1927 г. на биплане АНТ-3 успешно слетал из Москвы в Токио. Своим бортмехаником Шестаков без колебаний назвал спутника по перелету 1927 г. Д.В. </w:t>
      </w:r>
      <w:proofErr w:type="spellStart"/>
      <w:r w:rsidRPr="00A259BD">
        <w:rPr>
          <w:rFonts w:ascii="Times New Roman" w:hAnsi="Times New Roman"/>
          <w:color w:val="000000" w:themeColor="text1"/>
          <w:sz w:val="16"/>
          <w:szCs w:val="16"/>
        </w:rPr>
        <w:t>Фуфаева</w:t>
      </w:r>
      <w:proofErr w:type="spellEnd"/>
      <w:r w:rsidRPr="00A259BD">
        <w:rPr>
          <w:rFonts w:ascii="Times New Roman" w:hAnsi="Times New Roman"/>
          <w:color w:val="000000" w:themeColor="text1"/>
          <w:sz w:val="16"/>
          <w:szCs w:val="16"/>
        </w:rPr>
        <w:t>. Вторым пилотом назначили Ф.Е. Бо</w:t>
      </w:r>
      <w:r w:rsidRPr="00A259BD">
        <w:rPr>
          <w:rFonts w:ascii="Times New Roman" w:hAnsi="Times New Roman"/>
          <w:color w:val="000000" w:themeColor="text1"/>
          <w:sz w:val="16"/>
          <w:szCs w:val="16"/>
        </w:rPr>
        <w:softHyphen/>
        <w:t>лотова — бывалого и хладнокровного мор</w:t>
      </w:r>
      <w:r w:rsidRPr="00A259BD">
        <w:rPr>
          <w:rFonts w:ascii="Times New Roman" w:hAnsi="Times New Roman"/>
          <w:color w:val="000000" w:themeColor="text1"/>
          <w:sz w:val="16"/>
          <w:szCs w:val="16"/>
        </w:rPr>
        <w:softHyphen/>
        <w:t>ского авиатора, являвшегося полной проти</w:t>
      </w:r>
      <w:r w:rsidRPr="00A259BD">
        <w:rPr>
          <w:rFonts w:ascii="Times New Roman" w:hAnsi="Times New Roman"/>
          <w:color w:val="000000" w:themeColor="text1"/>
          <w:sz w:val="16"/>
          <w:szCs w:val="16"/>
        </w:rPr>
        <w:softHyphen/>
        <w:t>воположностью горячему и авантюрному Шестакову. Штурманом определили одно</w:t>
      </w:r>
      <w:r w:rsidRPr="00A259BD">
        <w:rPr>
          <w:rFonts w:ascii="Times New Roman" w:hAnsi="Times New Roman"/>
          <w:color w:val="000000" w:themeColor="text1"/>
          <w:sz w:val="16"/>
          <w:szCs w:val="16"/>
        </w:rPr>
        <w:softHyphen/>
        <w:t>го из опытнейших навигаторов НИИ ВВС Б.В. Стерлигова (11286).</w:t>
      </w:r>
    </w:p>
    <w:p w14:paraId="3190F8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96CB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начале 1929 г. </w:t>
      </w:r>
      <w:proofErr w:type="spellStart"/>
      <w:r w:rsidRPr="00A259BD">
        <w:rPr>
          <w:rFonts w:ascii="Times New Roman" w:hAnsi="Times New Roman"/>
          <w:color w:val="000000" w:themeColor="text1"/>
          <w:sz w:val="16"/>
          <w:szCs w:val="16"/>
        </w:rPr>
        <w:t>Курчевский</w:t>
      </w:r>
      <w:proofErr w:type="spellEnd"/>
      <w:r w:rsidRPr="00A259BD">
        <w:rPr>
          <w:rFonts w:ascii="Times New Roman" w:hAnsi="Times New Roman"/>
          <w:color w:val="000000" w:themeColor="text1"/>
          <w:sz w:val="16"/>
          <w:szCs w:val="16"/>
        </w:rPr>
        <w:t xml:space="preserve"> досрочно освободился из мест заключения и прибыл в Москву. 18 февраля он появился на Ленинградском артиллерийском полигоне, где осмотрел и безжалостно раскритиковал две ДРП конструкции профессора </w:t>
      </w:r>
      <w:proofErr w:type="spellStart"/>
      <w:r w:rsidRPr="00A259BD">
        <w:rPr>
          <w:rFonts w:ascii="Times New Roman" w:hAnsi="Times New Roman"/>
          <w:color w:val="000000" w:themeColor="text1"/>
          <w:sz w:val="16"/>
          <w:szCs w:val="16"/>
        </w:rPr>
        <w:t>Беркалова</w:t>
      </w:r>
      <w:proofErr w:type="spellEnd"/>
      <w:r w:rsidRPr="00A259BD">
        <w:rPr>
          <w:rFonts w:ascii="Times New Roman" w:hAnsi="Times New Roman"/>
          <w:color w:val="000000" w:themeColor="text1"/>
          <w:sz w:val="16"/>
          <w:szCs w:val="16"/>
        </w:rPr>
        <w:t xml:space="preserve">. Убедив руководство Артиллерийского управления РККА в том, что только он сумеет создать более эффективные системы, </w:t>
      </w:r>
      <w:proofErr w:type="spellStart"/>
      <w:r w:rsidRPr="00A259BD">
        <w:rPr>
          <w:rFonts w:ascii="Times New Roman" w:hAnsi="Times New Roman"/>
          <w:color w:val="000000" w:themeColor="text1"/>
          <w:sz w:val="16"/>
          <w:szCs w:val="16"/>
        </w:rPr>
        <w:t>Курчевский</w:t>
      </w:r>
      <w:proofErr w:type="spellEnd"/>
      <w:r w:rsidRPr="00A259BD">
        <w:rPr>
          <w:rFonts w:ascii="Times New Roman" w:hAnsi="Times New Roman"/>
          <w:color w:val="000000" w:themeColor="text1"/>
          <w:sz w:val="16"/>
          <w:szCs w:val="16"/>
        </w:rPr>
        <w:t xml:space="preserve"> получил особое секретное задание на разработку ДРП своей конструкции. Уже с марта 1929 г. ему начали выплачивать ежемесячное жалованье - 400 рублей. Чуть позже были предоставлены необходимые средства и производственная база на артиллерийском заводе № 8 в подмосковных Подлипках. Там были изготовлены опытные образцы орудий, и проведены первые убедительные демонстрации. Наиболее впечатляла зрителей </w:t>
      </w:r>
      <w:proofErr w:type="spellStart"/>
      <w:r w:rsidRPr="00A259BD">
        <w:rPr>
          <w:rFonts w:ascii="Times New Roman" w:hAnsi="Times New Roman"/>
          <w:color w:val="000000" w:themeColor="text1"/>
          <w:sz w:val="16"/>
          <w:szCs w:val="16"/>
        </w:rPr>
        <w:t>динамореактивная</w:t>
      </w:r>
      <w:proofErr w:type="spellEnd"/>
      <w:r w:rsidRPr="00A259BD">
        <w:rPr>
          <w:rFonts w:ascii="Times New Roman" w:hAnsi="Times New Roman"/>
          <w:color w:val="000000" w:themeColor="text1"/>
          <w:sz w:val="16"/>
          <w:szCs w:val="16"/>
        </w:rPr>
        <w:t xml:space="preserve"> пушка, закреплённая на качелях. Пушка стреляла, а качели оставались неподвижными. Пользуясь благосклонным отношением руководства, в июле конструктор потребовал обеспечить ему штат сотрудников из десяти человек и выделить 87000 рублей до конца года (12005).</w:t>
      </w:r>
    </w:p>
    <w:p w14:paraId="31129A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64AD2F0" w14:textId="77777777" w:rsidR="00BC3EB8" w:rsidRPr="00A259BD" w:rsidRDefault="00BC3EB8"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начале 1929 года в редакцию «Комсомольской правды» пришла группа курсантов Воздухоплавательной школы московского Осоавиахима. Разговор журналисты описали так:</w:t>
      </w:r>
    </w:p>
    <w:p w14:paraId="1F8B13B0" w14:textId="77777777" w:rsidR="00BC3EB8" w:rsidRPr="00A259BD" w:rsidRDefault="00BC3EB8"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bdr w:val="none" w:sz="0" w:space="0" w:color="auto" w:frame="1"/>
          <w:shd w:val="clear" w:color="auto" w:fill="FFFFFF"/>
          <w:lang w:eastAsia="ru-RU"/>
        </w:rPr>
        <w:t>Есть:</w:t>
      </w:r>
    </w:p>
    <w:p w14:paraId="357EF9E4" w14:textId="77777777" w:rsidR="00BC3EB8" w:rsidRPr="00A259BD" w:rsidRDefault="00BC3EB8"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bdr w:val="none" w:sz="0" w:space="0" w:color="auto" w:frame="1"/>
          <w:shd w:val="clear" w:color="auto" w:fill="FFFFFF"/>
          <w:lang w:eastAsia="ru-RU"/>
        </w:rPr>
        <w:t>мотор «BMW» 180 сил, материал для оболочки, измерительные приборы, аппаратура управления, законченный проект и полсотни молодых энтузиастов.</w:t>
      </w:r>
    </w:p>
    <w:p w14:paraId="63456715" w14:textId="77777777" w:rsidR="00BC3EB8" w:rsidRPr="00A259BD" w:rsidRDefault="00BC3EB8"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bdr w:val="none" w:sz="0" w:space="0" w:color="auto" w:frame="1"/>
          <w:shd w:val="clear" w:color="auto" w:fill="FFFFFF"/>
          <w:lang w:eastAsia="ru-RU"/>
        </w:rPr>
        <w:t>Нет:</w:t>
      </w:r>
    </w:p>
    <w:p w14:paraId="789086DD" w14:textId="77777777" w:rsidR="00BC3EB8" w:rsidRPr="00A259BD" w:rsidRDefault="00BC3EB8"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bdr w:val="none" w:sz="0" w:space="0" w:color="auto" w:frame="1"/>
          <w:shd w:val="clear" w:color="auto" w:fill="FFFFFF"/>
          <w:lang w:eastAsia="ru-RU"/>
        </w:rPr>
        <w:t>4 тысяч рублей.</w:t>
      </w:r>
    </w:p>
    <w:p w14:paraId="5B92BE40" w14:textId="77777777" w:rsidR="00BC3EB8" w:rsidRPr="00A259BD" w:rsidRDefault="00BC3EB8"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bdr w:val="none" w:sz="0" w:space="0" w:color="auto" w:frame="1"/>
          <w:shd w:val="clear" w:color="auto" w:fill="FFFFFF"/>
          <w:lang w:eastAsia="ru-RU"/>
        </w:rPr>
        <w:t>А если будут?</w:t>
      </w:r>
    </w:p>
    <w:p w14:paraId="279981BB" w14:textId="77777777" w:rsidR="00BC3EB8" w:rsidRPr="00A259BD" w:rsidRDefault="00BC3EB8"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bdr w:val="none" w:sz="0" w:space="0" w:color="auto" w:frame="1"/>
          <w:shd w:val="clear" w:color="auto" w:fill="FFFFFF"/>
          <w:lang w:eastAsia="ru-RU"/>
        </w:rPr>
        <w:t>Тогда в июне над Москвой будет парить новый дирижабль</w:t>
      </w:r>
      <w:r w:rsidRPr="00A259BD">
        <w:rPr>
          <w:rFonts w:ascii="Times New Roman" w:eastAsia="Times New Roman" w:hAnsi="Times New Roman"/>
          <w:color w:val="000000" w:themeColor="text1"/>
          <w:sz w:val="16"/>
          <w:szCs w:val="16"/>
          <w:lang w:eastAsia="ru-RU"/>
        </w:rPr>
        <w:t>.</w:t>
      </w:r>
    </w:p>
    <w:p w14:paraId="4712ACAA" w14:textId="77777777" w:rsidR="00BC3EB8" w:rsidRPr="00A259BD" w:rsidRDefault="00BC3EB8"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Идея понравилась, и газета тут же объявила сбор средств: </w:t>
      </w:r>
      <w:r w:rsidRPr="00A259BD">
        <w:rPr>
          <w:rFonts w:ascii="Times New Roman" w:eastAsia="Times New Roman" w:hAnsi="Times New Roman"/>
          <w:color w:val="000000" w:themeColor="text1"/>
          <w:sz w:val="16"/>
          <w:szCs w:val="16"/>
          <w:bdr w:val="none" w:sz="0" w:space="0" w:color="auto" w:frame="1"/>
          <w:shd w:val="clear" w:color="auto" w:fill="FFFFFF"/>
          <w:lang w:eastAsia="ru-RU"/>
        </w:rPr>
        <w:t>«Раскроем кошельки, вытащим оттуда самую мелкую монету!»</w:t>
      </w:r>
      <w:r w:rsidRPr="00A259BD">
        <w:rPr>
          <w:rFonts w:ascii="Times New Roman" w:eastAsia="Times New Roman" w:hAnsi="Times New Roman"/>
          <w:color w:val="000000" w:themeColor="text1"/>
          <w:sz w:val="16"/>
          <w:szCs w:val="16"/>
          <w:lang w:eastAsia="ru-RU"/>
        </w:rPr>
        <w:t> Комсомольцев Большого театра призвали провести благотворительный концерт, московских пионеров – однодневный кружечный сбор, всех остальных – помочь кто чем сможет. Самых активных соблазняли обещанием взять в первые пробные полёты.</w:t>
      </w:r>
    </w:p>
    <w:p w14:paraId="3276C568" w14:textId="77777777" w:rsidR="00BC3EB8" w:rsidRPr="00A259BD" w:rsidRDefault="00BC3EB8"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Денежные ручейки потекли со всей страны – по одному, два, пять, десять рублей. Их присылали пионеры и комсомольцы, красноармейцы и студенты. Комсомольские ячейки собирали десятками и сотнями рублей. В редакцию приходили не только деньги, но и облигации, а группа советских молодых людей, временно находившаяся в Нью-Йорке, пожертвовала три доллара. Участники автопробега по пустыне Кара-Кум рапортовали в газету: встретив «</w:t>
      </w:r>
      <w:proofErr w:type="spellStart"/>
      <w:r w:rsidRPr="00A259BD">
        <w:rPr>
          <w:rFonts w:ascii="Times New Roman" w:eastAsia="Times New Roman" w:hAnsi="Times New Roman"/>
          <w:color w:val="000000" w:themeColor="text1"/>
          <w:sz w:val="16"/>
          <w:szCs w:val="16"/>
          <w:lang w:eastAsia="ru-RU"/>
        </w:rPr>
        <w:t>кумли</w:t>
      </w:r>
      <w:proofErr w:type="spellEnd"/>
      <w:r w:rsidRPr="00A259BD">
        <w:rPr>
          <w:rFonts w:ascii="Times New Roman" w:eastAsia="Times New Roman" w:hAnsi="Times New Roman"/>
          <w:color w:val="000000" w:themeColor="text1"/>
          <w:sz w:val="16"/>
          <w:szCs w:val="16"/>
          <w:lang w:eastAsia="ru-RU"/>
        </w:rPr>
        <w:t>» – «песочных людей», они и им предложили сделать взносы на постройку дирижабля. Трудно сказать, понимали ли пустынные жители, ради чего они расстались с трудовыми копейками.</w:t>
      </w:r>
    </w:p>
    <w:p w14:paraId="118003D8" w14:textId="77777777" w:rsidR="00BC3EB8" w:rsidRPr="00A259BD" w:rsidRDefault="00BC3EB8"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Корабль, названный «Комсомольской правдой», начали строить в мае 1929 года по проекту «Московского химика-резинщика», в который его создатель, известный инженер-воздухоплаватель Николай Фомин, внёс необходимые изменения. От самого «МХР» пригодились только металлические петли, но и они были подспорьем. Оболочку сделали на заводе «Каучук» из ткани, оставшейся от дореволюционных аэростатов наблюдения. С материалами помогал </w:t>
      </w:r>
      <w:proofErr w:type="spellStart"/>
      <w:r w:rsidRPr="00A259BD">
        <w:rPr>
          <w:rFonts w:ascii="Times New Roman" w:eastAsia="Times New Roman" w:hAnsi="Times New Roman"/>
          <w:color w:val="000000" w:themeColor="text1"/>
          <w:sz w:val="16"/>
          <w:szCs w:val="16"/>
          <w:lang w:eastAsia="ru-RU"/>
        </w:rPr>
        <w:t>Резинотрест</w:t>
      </w:r>
      <w:proofErr w:type="spellEnd"/>
      <w:r w:rsidRPr="00A259BD">
        <w:rPr>
          <w:rFonts w:ascii="Times New Roman" w:eastAsia="Times New Roman" w:hAnsi="Times New Roman"/>
          <w:color w:val="000000" w:themeColor="text1"/>
          <w:sz w:val="16"/>
          <w:szCs w:val="16"/>
          <w:lang w:eastAsia="ru-RU"/>
        </w:rPr>
        <w:t xml:space="preserve">, а инженеры ЦАГИ – с расчётами и проектированием гондолы и металлических частей оперения. Курсанты </w:t>
      </w:r>
      <w:proofErr w:type="spellStart"/>
      <w:r w:rsidRPr="00A259BD">
        <w:rPr>
          <w:rFonts w:ascii="Times New Roman" w:eastAsia="Times New Roman" w:hAnsi="Times New Roman"/>
          <w:color w:val="000000" w:themeColor="text1"/>
          <w:sz w:val="16"/>
          <w:szCs w:val="16"/>
          <w:lang w:eastAsia="ru-RU"/>
        </w:rPr>
        <w:t>Воздухшколы</w:t>
      </w:r>
      <w:proofErr w:type="spellEnd"/>
      <w:r w:rsidRPr="00A259BD">
        <w:rPr>
          <w:rFonts w:ascii="Times New Roman" w:eastAsia="Times New Roman" w:hAnsi="Times New Roman"/>
          <w:color w:val="000000" w:themeColor="text1"/>
          <w:sz w:val="16"/>
          <w:szCs w:val="16"/>
          <w:lang w:eastAsia="ru-RU"/>
        </w:rPr>
        <w:t xml:space="preserve"> и студенты-аэромеханики МВТУ при минимуме оборудования и механизмов своими руками изготавливали детали комсомольского дирижабля.</w:t>
      </w:r>
    </w:p>
    <w:p w14:paraId="77203FDF" w14:textId="77777777" w:rsidR="00BC3EB8" w:rsidRPr="00A259BD" w:rsidRDefault="00BC3EB8"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Деньги поступали не так быстро, как хотелось, – отчасти и потому, что параллельно в стране шли сборы на «общественные» самолёты, трактора и аэросани, на комсомольскую подводную лодку, а ещё сверху спускались разнарядки на привлечение денег в сберкассы и покупку облигаций очередного госзайма индустриализации. Регулярные добровольно-принудительные изъятия весьма ощутимо сказывались на доходах советских людей, и не все горели желанием поддерживать рублём ещё и постройку дирижабля, полезность которого, в отличие от трактора и самолёта, осознать было нелегко.</w:t>
      </w:r>
    </w:p>
    <w:p w14:paraId="2B3F3604" w14:textId="77777777" w:rsidR="00BC3EB8" w:rsidRPr="00A259BD" w:rsidRDefault="00BC3EB8"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Закончить постройку не удалось ни в июне, ни до конца года. За прошедшее время смета выросла с первоначальных 4 тыс. до 11 тыс. рублей, но и собрали 12 тыс. – втрое больше, чем намечалось. Денег хватало, и завершить работы собирались к лету 1930 года (20466).</w:t>
      </w:r>
    </w:p>
    <w:p w14:paraId="3307EF6D" w14:textId="77777777" w:rsidR="00BC3EB8" w:rsidRPr="00A259BD" w:rsidRDefault="00BC3EB8" w:rsidP="009236E3">
      <w:pPr>
        <w:spacing w:after="0" w:line="240" w:lineRule="auto"/>
        <w:jc w:val="both"/>
        <w:rPr>
          <w:rFonts w:ascii="Times New Roman" w:hAnsi="Times New Roman"/>
          <w:color w:val="000000" w:themeColor="text1"/>
          <w:sz w:val="16"/>
          <w:szCs w:val="16"/>
          <w:shd w:val="clear" w:color="auto" w:fill="FFFFFF"/>
        </w:rPr>
      </w:pPr>
    </w:p>
    <w:p w14:paraId="08F31C1C"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1929 года на ленинградском заводе «Красный выборжец» были проведены опыты по освоению выпуска алюминия. 27 марта удалось получить первые восемь килограммов металла. В ленинградской печати отмечалось тогда, что «первый слиток алюминия, представляющий музейную ценность, должен быть сохранен как памятник одного из крупнейших достижений советской техники». Образцы алюминия, полученного на «Красном Выборжце», и изделия из него были преподнесены от трудящихся Ленинграда V Всесоюзному съезду Советов. Успешное проведение этих опытов позволило приступить к сооружению Волховского и Днепровского алюминиевых заводов.</w:t>
      </w:r>
    </w:p>
    <w:p w14:paraId="718A14A4"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Совет Труда и Обороны в 1929 году постановил построить на базе </w:t>
      </w:r>
      <w:proofErr w:type="spellStart"/>
      <w:r w:rsidRPr="00A259BD">
        <w:rPr>
          <w:rFonts w:ascii="Times New Roman" w:hAnsi="Times New Roman"/>
          <w:color w:val="000000" w:themeColor="text1"/>
          <w:sz w:val="16"/>
          <w:szCs w:val="16"/>
        </w:rPr>
        <w:t>Днепростроя</w:t>
      </w:r>
      <w:proofErr w:type="spellEnd"/>
      <w:r w:rsidRPr="00A259BD">
        <w:rPr>
          <w:rFonts w:ascii="Times New Roman" w:hAnsi="Times New Roman"/>
          <w:color w:val="000000" w:themeColor="text1"/>
          <w:sz w:val="16"/>
          <w:szCs w:val="16"/>
        </w:rPr>
        <w:t xml:space="preserve"> и Волховстроя алюминиевые заводы с производительностью соответственно 15 000 тонн и на 5 000 тонн алюминия в год. Одновременно со строительством началась подготовка кадров для будущих заводов. Советская власть послала учиться техников и инженеров во Францию, на родину алюминиевой промышленности. Одновременно интенсивная подготовка кадров шла и на «Красном Выборжце».</w:t>
      </w:r>
    </w:p>
    <w:p w14:paraId="5946D9CD"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мая 1932 года Волховский алюминиевый комбинат выдал первую партию алюминия. Так начиналась история «крылатого металла» Страны Советов. Советское государство, сумело менее чем за пятнадцать лет преодолеть более чем полувековое отставание России в производстве алюминия. Собственное производство алюминия дало мощной толчок промышленности, авиации, приборостроению, но самое главное позволило избавиться от зависимости от импорта и вынужденной необходимости кормить иностранный капитал.</w:t>
      </w:r>
    </w:p>
    <w:p w14:paraId="0E1E81FD"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Далее:</w:t>
      </w:r>
    </w:p>
    <w:p w14:paraId="436D8BB2"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В 1933 году заработал Днепровский алюминиевый завод в Запорожье.</w:t>
      </w:r>
    </w:p>
    <w:p w14:paraId="5C94FBC3"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В 1934 году начата добыча бокситов на </w:t>
      </w:r>
      <w:proofErr w:type="spellStart"/>
      <w:r w:rsidRPr="00A259BD">
        <w:rPr>
          <w:rFonts w:ascii="Times New Roman" w:hAnsi="Times New Roman"/>
          <w:color w:val="000000" w:themeColor="text1"/>
          <w:sz w:val="16"/>
          <w:szCs w:val="16"/>
        </w:rPr>
        <w:t>Северо</w:t>
      </w:r>
      <w:proofErr w:type="spellEnd"/>
      <w:r w:rsidRPr="00A259BD">
        <w:rPr>
          <w:rFonts w:ascii="Times New Roman" w:hAnsi="Times New Roman"/>
          <w:color w:val="000000" w:themeColor="text1"/>
          <w:sz w:val="16"/>
          <w:szCs w:val="16"/>
        </w:rPr>
        <w:t>–Уральском бокситовом руднике.</w:t>
      </w:r>
    </w:p>
    <w:p w14:paraId="5A8B4859"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В 1936 году был запущен </w:t>
      </w:r>
      <w:proofErr w:type="spellStart"/>
      <w:r w:rsidRPr="00A259BD">
        <w:rPr>
          <w:rFonts w:ascii="Times New Roman" w:hAnsi="Times New Roman"/>
          <w:color w:val="000000" w:themeColor="text1"/>
          <w:sz w:val="16"/>
          <w:szCs w:val="16"/>
        </w:rPr>
        <w:t>Южно</w:t>
      </w:r>
      <w:proofErr w:type="spellEnd"/>
      <w:r w:rsidRPr="00A259BD">
        <w:rPr>
          <w:rFonts w:ascii="Times New Roman" w:hAnsi="Times New Roman"/>
          <w:color w:val="000000" w:themeColor="text1"/>
          <w:sz w:val="16"/>
          <w:szCs w:val="16"/>
        </w:rPr>
        <w:t>–Уральский бокситовый рудник, давший начало строительству алюминиевого комбината на Урале.</w:t>
      </w:r>
    </w:p>
    <w:p w14:paraId="2C635660"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В 1938 году был введен в эксплуатацию Тихвинский глиноземный завод.</w:t>
      </w:r>
    </w:p>
    <w:p w14:paraId="79F564C2"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В 1939 году начала работу первая очередь Уральского алюминиевого комбината в Каменске–Уральском.</w:t>
      </w:r>
    </w:p>
    <w:p w14:paraId="5627560B"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Годовое производство алюминия в СССР в 1940 году составило 60 000 тонн (31168).</w:t>
      </w:r>
    </w:p>
    <w:p w14:paraId="3E1CCFAB" w14:textId="77777777" w:rsidR="00BC3EB8" w:rsidRPr="00A259BD" w:rsidRDefault="00BC3EB8" w:rsidP="009236E3">
      <w:pPr>
        <w:pStyle w:val="ae"/>
        <w:spacing w:before="0" w:after="0"/>
        <w:jc w:val="both"/>
        <w:rPr>
          <w:color w:val="000000" w:themeColor="text1"/>
          <w:sz w:val="16"/>
          <w:szCs w:val="16"/>
        </w:rPr>
      </w:pPr>
    </w:p>
    <w:p w14:paraId="31CC6A5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A17E20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46BAEC" w14:textId="77777777" w:rsidR="00D8460C" w:rsidRPr="00A259BD" w:rsidRDefault="00D8460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начало 1929 г. восстановление мощностей военно-промышленных производств в лучшем случае, было завершено наполовину. И на фоне явного прогресса военной техники и оборонной индустрии ведущих европейских государств, США и Японии за 10 лет прошедших после окончания Первой мировой войны, картина советской `оборонки` выглядит удручающе. Например, по сравнению с Францией, мощность военных заводов СССР по производству боевых самолетов была в 7 раз ниже, танков - в 20 раз, артиллерии - в 3 раза, пулеметов - в 2 раза и т.д. Мир строил авианосцы, в то время как СССР был не в состоянии отремонтировать и ввести в строй все линкоры дореволюционной постройки. В условиях НЭПа произошло сокращение не только армии, но и сети военно-учебных заведений, готовящих военных профессионалов. Высшие военно-учебные заведения заменялись школами и курсами усовершенствования подготовки военных кадров первой, второй и третьей ступеней (18399).</w:t>
      </w:r>
    </w:p>
    <w:p w14:paraId="217DD929" w14:textId="77777777" w:rsidR="00D8460C" w:rsidRPr="00A259BD" w:rsidRDefault="00D8460C" w:rsidP="009236E3">
      <w:pPr>
        <w:spacing w:after="0" w:line="240" w:lineRule="auto"/>
        <w:jc w:val="both"/>
        <w:rPr>
          <w:rFonts w:ascii="Times New Roman" w:hAnsi="Times New Roman"/>
          <w:color w:val="000000" w:themeColor="text1"/>
          <w:sz w:val="16"/>
          <w:szCs w:val="16"/>
        </w:rPr>
      </w:pPr>
    </w:p>
    <w:p w14:paraId="7400C3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1929 года был утвержден технический проект 122-мм пушки, эскизный проект, разработанный КБ АК, был утвержден в 1928 году (3861).</w:t>
      </w:r>
    </w:p>
    <w:p w14:paraId="5C4C61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9472D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начале 1929 г. </w:t>
      </w:r>
      <w:proofErr w:type="spellStart"/>
      <w:r w:rsidRPr="00A259BD">
        <w:rPr>
          <w:rFonts w:ascii="Times New Roman" w:hAnsi="Times New Roman"/>
          <w:color w:val="000000" w:themeColor="text1"/>
          <w:sz w:val="16"/>
          <w:szCs w:val="16"/>
        </w:rPr>
        <w:t>Курчевский</w:t>
      </w:r>
      <w:proofErr w:type="spellEnd"/>
      <w:r w:rsidRPr="00A259BD">
        <w:rPr>
          <w:rFonts w:ascii="Times New Roman" w:hAnsi="Times New Roman"/>
          <w:color w:val="000000" w:themeColor="text1"/>
          <w:sz w:val="16"/>
          <w:szCs w:val="16"/>
        </w:rPr>
        <w:t xml:space="preserve">, который Постановлением комиссии ОГПУ от 3 января 1929 г. был досрочно освобожден, прибывает в Москву и немедленно начинает проектировать целую систему безоткатных орудий. Одновременно </w:t>
      </w:r>
      <w:proofErr w:type="spellStart"/>
      <w:r w:rsidRPr="00A259BD">
        <w:rPr>
          <w:rFonts w:ascii="Times New Roman" w:hAnsi="Times New Roman"/>
          <w:color w:val="000000" w:themeColor="text1"/>
          <w:sz w:val="16"/>
          <w:szCs w:val="16"/>
        </w:rPr>
        <w:t>Курчевский</w:t>
      </w:r>
      <w:proofErr w:type="spellEnd"/>
      <w:r w:rsidRPr="00A259BD">
        <w:rPr>
          <w:rFonts w:ascii="Times New Roman" w:hAnsi="Times New Roman"/>
          <w:color w:val="000000" w:themeColor="text1"/>
          <w:sz w:val="16"/>
          <w:szCs w:val="16"/>
        </w:rPr>
        <w:t xml:space="preserve"> обращается в различные инстанции с рекламой своих ДРП и дискредитирует чужие разработки.</w:t>
      </w:r>
    </w:p>
    <w:p w14:paraId="3AB1E1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Суть идеи </w:t>
      </w:r>
      <w:proofErr w:type="spellStart"/>
      <w:r w:rsidRPr="00A259BD">
        <w:rPr>
          <w:rFonts w:ascii="Times New Roman" w:hAnsi="Times New Roman"/>
          <w:color w:val="000000" w:themeColor="text1"/>
          <w:sz w:val="16"/>
          <w:szCs w:val="16"/>
        </w:rPr>
        <w:t>Курчевского</w:t>
      </w:r>
      <w:proofErr w:type="spellEnd"/>
      <w:r w:rsidRPr="00A259BD">
        <w:rPr>
          <w:rFonts w:ascii="Times New Roman" w:hAnsi="Times New Roman"/>
          <w:color w:val="000000" w:themeColor="text1"/>
          <w:sz w:val="16"/>
          <w:szCs w:val="16"/>
        </w:rPr>
        <w:t xml:space="preserve"> проста — для создания безоткатной пушки (ДРП) следует обрезать по затвор обычное нарезное орудие и в ствол вставить сопло Лаваля. (Документацию на сопло и его расчеты </w:t>
      </w:r>
      <w:proofErr w:type="spellStart"/>
      <w:r w:rsidRPr="00A259BD">
        <w:rPr>
          <w:rFonts w:ascii="Times New Roman" w:hAnsi="Times New Roman"/>
          <w:color w:val="000000" w:themeColor="text1"/>
          <w:sz w:val="16"/>
          <w:szCs w:val="16"/>
        </w:rPr>
        <w:t>Курчевский</w:t>
      </w:r>
      <w:proofErr w:type="spellEnd"/>
      <w:r w:rsidRPr="00A259BD">
        <w:rPr>
          <w:rFonts w:ascii="Times New Roman" w:hAnsi="Times New Roman"/>
          <w:color w:val="000000" w:themeColor="text1"/>
          <w:sz w:val="16"/>
          <w:szCs w:val="16"/>
        </w:rPr>
        <w:t xml:space="preserve"> нашел в материалах Рябушинского.)</w:t>
      </w:r>
    </w:p>
    <w:p w14:paraId="551E4C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Благодаря соплу Лаваля </w:t>
      </w:r>
      <w:proofErr w:type="spellStart"/>
      <w:r w:rsidRPr="00A259BD">
        <w:rPr>
          <w:rFonts w:ascii="Times New Roman" w:hAnsi="Times New Roman"/>
          <w:color w:val="000000" w:themeColor="text1"/>
          <w:sz w:val="16"/>
          <w:szCs w:val="16"/>
        </w:rPr>
        <w:t>Курчевскому</w:t>
      </w:r>
      <w:proofErr w:type="spellEnd"/>
      <w:r w:rsidRPr="00A259BD">
        <w:rPr>
          <w:rFonts w:ascii="Times New Roman" w:hAnsi="Times New Roman"/>
          <w:color w:val="000000" w:themeColor="text1"/>
          <w:sz w:val="16"/>
          <w:szCs w:val="16"/>
        </w:rPr>
        <w:t xml:space="preserve"> удалось в своих орудиях иметь максимальное давление в канале от 1600 до 3200 кг/см2. Замечу, что давление 3200 кг/см2 в те годы считалось предельным для обычных артиллерийских орудий. Таким образом, орудия </w:t>
      </w:r>
      <w:proofErr w:type="spellStart"/>
      <w:r w:rsidRPr="00A259BD">
        <w:rPr>
          <w:rFonts w:ascii="Times New Roman" w:hAnsi="Times New Roman"/>
          <w:color w:val="000000" w:themeColor="text1"/>
          <w:sz w:val="16"/>
          <w:szCs w:val="16"/>
        </w:rPr>
        <w:t>Курчевского</w:t>
      </w:r>
      <w:proofErr w:type="spellEnd"/>
      <w:r w:rsidRPr="00A259BD">
        <w:rPr>
          <w:rFonts w:ascii="Times New Roman" w:hAnsi="Times New Roman"/>
          <w:color w:val="000000" w:themeColor="text1"/>
          <w:sz w:val="16"/>
          <w:szCs w:val="16"/>
        </w:rPr>
        <w:t xml:space="preserve"> имели тяжелый «нагруженный» ствол с нарезкой обычного орудия. Автор просмотрел техническую документацию на десятки орудий </w:t>
      </w:r>
      <w:proofErr w:type="spellStart"/>
      <w:r w:rsidRPr="00A259BD">
        <w:rPr>
          <w:rFonts w:ascii="Times New Roman" w:hAnsi="Times New Roman"/>
          <w:color w:val="000000" w:themeColor="text1"/>
          <w:sz w:val="16"/>
          <w:szCs w:val="16"/>
        </w:rPr>
        <w:t>Курчевского</w:t>
      </w:r>
      <w:proofErr w:type="spellEnd"/>
      <w:r w:rsidRPr="00A259BD">
        <w:rPr>
          <w:rFonts w:ascii="Times New Roman" w:hAnsi="Times New Roman"/>
          <w:color w:val="000000" w:themeColor="text1"/>
          <w:sz w:val="16"/>
          <w:szCs w:val="16"/>
        </w:rPr>
        <w:t>, но иных схем не нашел.</w:t>
      </w:r>
    </w:p>
    <w:p w14:paraId="066A97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Заряжание в пушках </w:t>
      </w:r>
      <w:proofErr w:type="spellStart"/>
      <w:r w:rsidRPr="00A259BD">
        <w:rPr>
          <w:rFonts w:ascii="Times New Roman" w:hAnsi="Times New Roman"/>
          <w:color w:val="000000" w:themeColor="text1"/>
          <w:sz w:val="16"/>
          <w:szCs w:val="16"/>
        </w:rPr>
        <w:t>Курчевского</w:t>
      </w:r>
      <w:proofErr w:type="spellEnd"/>
      <w:r w:rsidRPr="00A259BD">
        <w:rPr>
          <w:rFonts w:ascii="Times New Roman" w:hAnsi="Times New Roman"/>
          <w:color w:val="000000" w:themeColor="text1"/>
          <w:sz w:val="16"/>
          <w:szCs w:val="16"/>
        </w:rPr>
        <w:t xml:space="preserve"> было двух типов — обычное </w:t>
      </w:r>
      <w:proofErr w:type="spellStart"/>
      <w:r w:rsidRPr="00A259BD">
        <w:rPr>
          <w:rFonts w:ascii="Times New Roman" w:hAnsi="Times New Roman"/>
          <w:color w:val="000000" w:themeColor="text1"/>
          <w:sz w:val="16"/>
          <w:szCs w:val="16"/>
        </w:rPr>
        <w:t>казнозарядное</w:t>
      </w:r>
      <w:proofErr w:type="spellEnd"/>
      <w:r w:rsidRPr="00A259BD">
        <w:rPr>
          <w:rFonts w:ascii="Times New Roman" w:hAnsi="Times New Roman"/>
          <w:color w:val="000000" w:themeColor="text1"/>
          <w:sz w:val="16"/>
          <w:szCs w:val="16"/>
        </w:rPr>
        <w:t xml:space="preserve"> и автоматическое </w:t>
      </w:r>
      <w:proofErr w:type="spellStart"/>
      <w:r w:rsidRPr="00A259BD">
        <w:rPr>
          <w:rFonts w:ascii="Times New Roman" w:hAnsi="Times New Roman"/>
          <w:color w:val="000000" w:themeColor="text1"/>
          <w:sz w:val="16"/>
          <w:szCs w:val="16"/>
        </w:rPr>
        <w:t>дульнозарядное</w:t>
      </w:r>
      <w:proofErr w:type="spellEnd"/>
      <w:r w:rsidRPr="00A259BD">
        <w:rPr>
          <w:rFonts w:ascii="Times New Roman" w:hAnsi="Times New Roman"/>
          <w:color w:val="000000" w:themeColor="text1"/>
          <w:sz w:val="16"/>
          <w:szCs w:val="16"/>
        </w:rPr>
        <w:t>.</w:t>
      </w:r>
    </w:p>
    <w:p w14:paraId="42536A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первом случае снаряд помещался в латунную гильзу, штатную от состоявших на вооружении орудий. В ней только вырезали на дне отверстие для выхода пороховых газов. Затвор соединялся с соплом и вручную сдвигался при заряжании.</w:t>
      </w:r>
    </w:p>
    <w:p w14:paraId="15368A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37–152-мм автоматические орудия </w:t>
      </w:r>
      <w:proofErr w:type="spellStart"/>
      <w:r w:rsidRPr="00A259BD">
        <w:rPr>
          <w:rFonts w:ascii="Times New Roman" w:hAnsi="Times New Roman"/>
          <w:color w:val="000000" w:themeColor="text1"/>
          <w:sz w:val="16"/>
          <w:szCs w:val="16"/>
        </w:rPr>
        <w:t>Курчевского</w:t>
      </w:r>
      <w:proofErr w:type="spellEnd"/>
      <w:r w:rsidRPr="00A259BD">
        <w:rPr>
          <w:rFonts w:ascii="Times New Roman" w:hAnsi="Times New Roman"/>
          <w:color w:val="000000" w:themeColor="text1"/>
          <w:sz w:val="16"/>
          <w:szCs w:val="16"/>
        </w:rPr>
        <w:t xml:space="preserve"> заряжались унитарными патронами с гильзами из </w:t>
      </w:r>
      <w:proofErr w:type="spellStart"/>
      <w:r w:rsidRPr="00A259BD">
        <w:rPr>
          <w:rFonts w:ascii="Times New Roman" w:hAnsi="Times New Roman"/>
          <w:color w:val="000000" w:themeColor="text1"/>
          <w:sz w:val="16"/>
          <w:szCs w:val="16"/>
        </w:rPr>
        <w:t>нитроткани</w:t>
      </w:r>
      <w:proofErr w:type="spellEnd"/>
      <w:r w:rsidRPr="00A259BD">
        <w:rPr>
          <w:rFonts w:ascii="Times New Roman" w:hAnsi="Times New Roman"/>
          <w:color w:val="000000" w:themeColor="text1"/>
          <w:sz w:val="16"/>
          <w:szCs w:val="16"/>
        </w:rPr>
        <w:t>. Патроны перемещались к дулу по цилиндрическому магазину, расположенному над стволом, а далее попадали в специальный лоток перед дульным срезом, оттуда специальным устройством досылались в канал ствола. Все операции производились пневматическим приводом. Сжатый воздух подавался из специального баллона. Понятно, такая автоматика не могла обеспечить высокий темп стрельбы. Так, для 76-мм авиационных пушек расчетный темп стрельбы — 40 выстрелов в минуту, а фактический — 20–30 выстрелов в минуту. Для сравнения скорострельность 76-мм пушки ЗИС-3 без исправления наводки доходила до 20 выстрелов в минуту.</w:t>
      </w:r>
    </w:p>
    <w:p w14:paraId="6874EC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Гильза из </w:t>
      </w:r>
      <w:proofErr w:type="spellStart"/>
      <w:r w:rsidRPr="00A259BD">
        <w:rPr>
          <w:rFonts w:ascii="Times New Roman" w:hAnsi="Times New Roman"/>
          <w:color w:val="000000" w:themeColor="text1"/>
          <w:sz w:val="16"/>
          <w:szCs w:val="16"/>
        </w:rPr>
        <w:t>нитроткани</w:t>
      </w:r>
      <w:proofErr w:type="spellEnd"/>
      <w:r w:rsidRPr="00A259BD">
        <w:rPr>
          <w:rFonts w:ascii="Times New Roman" w:hAnsi="Times New Roman"/>
          <w:color w:val="000000" w:themeColor="text1"/>
          <w:sz w:val="16"/>
          <w:szCs w:val="16"/>
        </w:rPr>
        <w:t xml:space="preserve"> по проекту должна была полностью сгорать, но делать этого она не хотела, да еще и рвалась в магазине при подаче. В результате — систематические отказы при подаче и разрывы ствола. Кстати, проблема создания сгорающих гильз до сих пор полностью не решена.</w:t>
      </w:r>
    </w:p>
    <w:p w14:paraId="68A17F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Пушки </w:t>
      </w:r>
      <w:proofErr w:type="spellStart"/>
      <w:r w:rsidRPr="00A259BD">
        <w:rPr>
          <w:rFonts w:ascii="Times New Roman" w:hAnsi="Times New Roman"/>
          <w:color w:val="000000" w:themeColor="text1"/>
          <w:sz w:val="16"/>
          <w:szCs w:val="16"/>
        </w:rPr>
        <w:t>Курчевского</w:t>
      </w:r>
      <w:proofErr w:type="spellEnd"/>
      <w:r w:rsidRPr="00A259BD">
        <w:rPr>
          <w:rFonts w:ascii="Times New Roman" w:hAnsi="Times New Roman"/>
          <w:color w:val="000000" w:themeColor="text1"/>
          <w:sz w:val="16"/>
          <w:szCs w:val="16"/>
        </w:rPr>
        <w:t xml:space="preserve"> показывали на полигонных испытаниях прекрасные результаты. Они стреляли снарядами от штатных пушек, но были на порядок легче их. Само по себе испытание ДРП было эффектным зрелищем. </w:t>
      </w:r>
      <w:proofErr w:type="spellStart"/>
      <w:r w:rsidRPr="00A259BD">
        <w:rPr>
          <w:rFonts w:ascii="Times New Roman" w:hAnsi="Times New Roman"/>
          <w:color w:val="000000" w:themeColor="text1"/>
          <w:sz w:val="16"/>
          <w:szCs w:val="16"/>
        </w:rPr>
        <w:t>Курчевский</w:t>
      </w:r>
      <w:proofErr w:type="spellEnd"/>
      <w:r w:rsidRPr="00A259BD">
        <w:rPr>
          <w:rFonts w:ascii="Times New Roman" w:hAnsi="Times New Roman"/>
          <w:color w:val="000000" w:themeColor="text1"/>
          <w:sz w:val="16"/>
          <w:szCs w:val="16"/>
        </w:rPr>
        <w:t xml:space="preserve"> любил ставить стакан с водой на ствол или лафет орудия. Оглушительно гремел выстрел, из сопла орудия на десятки метров вылетало пламя, но вода в стакане даже не расплескивалась — конструктору удалось свести силу отката к нулю.</w:t>
      </w:r>
    </w:p>
    <w:p w14:paraId="169EA6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Курчевский</w:t>
      </w:r>
      <w:proofErr w:type="spellEnd"/>
      <w:r w:rsidRPr="00A259BD">
        <w:rPr>
          <w:rFonts w:ascii="Times New Roman" w:hAnsi="Times New Roman"/>
          <w:color w:val="000000" w:themeColor="text1"/>
          <w:sz w:val="16"/>
          <w:szCs w:val="16"/>
        </w:rPr>
        <w:t xml:space="preserve"> повсюду рекламировал, даже буквально пробивал свои орудия. Скептически настроенные старые военспецы немедленно получали от него политические ярлыки, вплоть до «вредителей».</w:t>
      </w:r>
    </w:p>
    <w:p w14:paraId="5F61FA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Курчевскому</w:t>
      </w:r>
      <w:proofErr w:type="spellEnd"/>
      <w:r w:rsidRPr="00A259BD">
        <w:rPr>
          <w:rFonts w:ascii="Times New Roman" w:hAnsi="Times New Roman"/>
          <w:color w:val="000000" w:themeColor="text1"/>
          <w:sz w:val="16"/>
          <w:szCs w:val="16"/>
        </w:rPr>
        <w:t xml:space="preserve"> сравнительно быстро удалось сделать своими сторонниками наркома тяжелой промышленности Орджоникидзе, его заместителя </w:t>
      </w:r>
      <w:proofErr w:type="spellStart"/>
      <w:r w:rsidRPr="00A259BD">
        <w:rPr>
          <w:rFonts w:ascii="Times New Roman" w:hAnsi="Times New Roman"/>
          <w:color w:val="000000" w:themeColor="text1"/>
          <w:sz w:val="16"/>
          <w:szCs w:val="16"/>
        </w:rPr>
        <w:t>Павлуновского</w:t>
      </w:r>
      <w:proofErr w:type="spellEnd"/>
      <w:r w:rsidRPr="00A259BD">
        <w:rPr>
          <w:rFonts w:ascii="Times New Roman" w:hAnsi="Times New Roman"/>
          <w:color w:val="000000" w:themeColor="text1"/>
          <w:sz w:val="16"/>
          <w:szCs w:val="16"/>
        </w:rPr>
        <w:t>, начальника артиллерийского управления снабжения РККА Кулика и др. Но «идеологом» внедрения безоткатных орудий, несомненно, стал М. Н. Тухачевский (12091).</w:t>
      </w:r>
    </w:p>
    <w:p w14:paraId="4CE27E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81DC7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начала 1929 г. начала функционировать школа Кама и первое вре</w:t>
      </w:r>
      <w:r w:rsidRPr="00A259BD">
        <w:rPr>
          <w:rFonts w:ascii="Times New Roman" w:hAnsi="Times New Roman"/>
          <w:color w:val="000000" w:themeColor="text1"/>
          <w:sz w:val="16"/>
          <w:szCs w:val="16"/>
        </w:rPr>
        <w:softHyphen/>
        <w:t>мя имела следующие штатные должности (немецкие спе</w:t>
      </w:r>
      <w:r w:rsidRPr="00A259BD">
        <w:rPr>
          <w:rFonts w:ascii="Times New Roman" w:hAnsi="Times New Roman"/>
          <w:color w:val="000000" w:themeColor="text1"/>
          <w:sz w:val="16"/>
          <w:szCs w:val="16"/>
        </w:rPr>
        <w:softHyphen/>
        <w:t xml:space="preserve">циалисты): “1 заведующий, 1 </w:t>
      </w:r>
      <w:proofErr w:type="spellStart"/>
      <w:r w:rsidRPr="00A259BD">
        <w:rPr>
          <w:rFonts w:ascii="Times New Roman" w:hAnsi="Times New Roman"/>
          <w:color w:val="000000" w:themeColor="text1"/>
          <w:sz w:val="16"/>
          <w:szCs w:val="16"/>
        </w:rPr>
        <w:t>pаместитель</w:t>
      </w:r>
      <w:proofErr w:type="spellEnd"/>
      <w:r w:rsidRPr="00A259BD">
        <w:rPr>
          <w:rFonts w:ascii="Times New Roman" w:hAnsi="Times New Roman"/>
          <w:color w:val="000000" w:themeColor="text1"/>
          <w:sz w:val="16"/>
          <w:szCs w:val="16"/>
        </w:rPr>
        <w:t xml:space="preserve">, 1 инженер, 1 </w:t>
      </w:r>
      <w:proofErr w:type="spellStart"/>
      <w:r w:rsidRPr="00A259BD">
        <w:rPr>
          <w:rFonts w:ascii="Times New Roman" w:hAnsi="Times New Roman"/>
          <w:color w:val="000000" w:themeColor="text1"/>
          <w:sz w:val="16"/>
          <w:szCs w:val="16"/>
        </w:rPr>
        <w:t>pа</w:t>
      </w:r>
      <w:r w:rsidRPr="00A259BD">
        <w:rPr>
          <w:rFonts w:ascii="Times New Roman" w:hAnsi="Times New Roman"/>
          <w:color w:val="000000" w:themeColor="text1"/>
          <w:sz w:val="16"/>
          <w:szCs w:val="16"/>
        </w:rPr>
        <w:softHyphen/>
        <w:t>ведующий</w:t>
      </w:r>
      <w:proofErr w:type="spellEnd"/>
      <w:r w:rsidRPr="00A259BD">
        <w:rPr>
          <w:rFonts w:ascii="Times New Roman" w:hAnsi="Times New Roman"/>
          <w:color w:val="000000" w:themeColor="text1"/>
          <w:sz w:val="16"/>
          <w:szCs w:val="16"/>
        </w:rPr>
        <w:t xml:space="preserve"> производством, 1 врач, 1 мастер, 1 заведующий складом, 3 учителя (</w:t>
      </w:r>
      <w:proofErr w:type="spellStart"/>
      <w:r w:rsidRPr="00A259BD">
        <w:rPr>
          <w:rFonts w:ascii="Times New Roman" w:hAnsi="Times New Roman"/>
          <w:color w:val="000000" w:themeColor="text1"/>
          <w:sz w:val="16"/>
          <w:szCs w:val="16"/>
        </w:rPr>
        <w:t>артдело</w:t>
      </w:r>
      <w:proofErr w:type="spellEnd"/>
      <w:r w:rsidRPr="00A259BD">
        <w:rPr>
          <w:rFonts w:ascii="Times New Roman" w:hAnsi="Times New Roman"/>
          <w:color w:val="000000" w:themeColor="text1"/>
          <w:sz w:val="16"/>
          <w:szCs w:val="16"/>
        </w:rPr>
        <w:t>, пулеметное дело, радиодело); 5 учителей (инструкторов) для обучения езде. 16 учеников (перемен.[</w:t>
      </w:r>
      <w:proofErr w:type="spellStart"/>
      <w:r w:rsidRPr="00A259BD">
        <w:rPr>
          <w:rFonts w:ascii="Times New Roman" w:hAnsi="Times New Roman"/>
          <w:color w:val="000000" w:themeColor="text1"/>
          <w:sz w:val="16"/>
          <w:szCs w:val="16"/>
        </w:rPr>
        <w:t>ных</w:t>
      </w:r>
      <w:proofErr w:type="spellEnd"/>
      <w:r w:rsidRPr="00A259BD">
        <w:rPr>
          <w:rFonts w:ascii="Times New Roman" w:hAnsi="Times New Roman"/>
          <w:color w:val="000000" w:themeColor="text1"/>
          <w:sz w:val="16"/>
          <w:szCs w:val="16"/>
        </w:rPr>
        <w:t>] до этого числа)”.</w:t>
      </w:r>
    </w:p>
    <w:p w14:paraId="1989E8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нашей стороны в школе имелся только вспомога</w:t>
      </w:r>
      <w:r w:rsidRPr="00A259BD">
        <w:rPr>
          <w:rFonts w:ascii="Times New Roman" w:hAnsi="Times New Roman"/>
          <w:color w:val="000000" w:themeColor="text1"/>
          <w:sz w:val="16"/>
          <w:szCs w:val="16"/>
        </w:rPr>
        <w:softHyphen/>
        <w:t>тельный персонал:</w:t>
      </w:r>
    </w:p>
    <w:p w14:paraId="5AB196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при руководстве: 1 помощник.</w:t>
      </w:r>
    </w:p>
    <w:p w14:paraId="69E7035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технический персонал: 1 столяр (мастер), 2 столяра (подмастерья), 1 слесарь (мастер), 4 слесаря (подмастерья), 1 маляр (мастер), 6 шофёров, 1 механик, 1 жестянщик, 2 маля</w:t>
      </w:r>
      <w:r w:rsidRPr="00A259BD">
        <w:rPr>
          <w:rFonts w:ascii="Times New Roman" w:hAnsi="Times New Roman"/>
          <w:color w:val="000000" w:themeColor="text1"/>
          <w:sz w:val="16"/>
          <w:szCs w:val="16"/>
        </w:rPr>
        <w:softHyphen/>
        <w:t>ра (подмастерья), 1 паяльщик, 1 электромонтёр, 1 седельник.</w:t>
      </w:r>
    </w:p>
    <w:p w14:paraId="5E78EB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хозяйственный персонал: 1 курьер, 1 экономка, 1 кухар</w:t>
      </w:r>
      <w:r w:rsidRPr="00A259BD">
        <w:rPr>
          <w:rFonts w:ascii="Times New Roman" w:hAnsi="Times New Roman"/>
          <w:color w:val="000000" w:themeColor="text1"/>
          <w:sz w:val="16"/>
          <w:szCs w:val="16"/>
        </w:rPr>
        <w:softHyphen/>
        <w:t>ка, 3 служащих, 1 сторож (дворник).</w:t>
      </w:r>
    </w:p>
    <w:p w14:paraId="5FE9394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персонал охраны: 7 человек”</w:t>
      </w:r>
    </w:p>
    <w:p w14:paraId="114830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Таким образом, содержание и обучение своих танкис</w:t>
      </w:r>
      <w:r w:rsidRPr="00A259BD">
        <w:rPr>
          <w:rFonts w:ascii="Times New Roman" w:hAnsi="Times New Roman"/>
          <w:color w:val="000000" w:themeColor="text1"/>
          <w:sz w:val="16"/>
          <w:szCs w:val="16"/>
        </w:rPr>
        <w:softHyphen/>
        <w:t>тов немецкая сторона оплачивала самостоятельно, а содер</w:t>
      </w:r>
      <w:r w:rsidRPr="00A259BD">
        <w:rPr>
          <w:rFonts w:ascii="Times New Roman" w:hAnsi="Times New Roman"/>
          <w:color w:val="000000" w:themeColor="text1"/>
          <w:sz w:val="16"/>
          <w:szCs w:val="16"/>
        </w:rPr>
        <w:softHyphen/>
        <w:t>жание и расквартирование обучавшихся в школе советских курсантов, израсходованные ими в ходе учебы горючее и боеприпасы, а также “расходы за большие повреждения по вине РККА” оплачивались СССР (10733,122).</w:t>
      </w:r>
    </w:p>
    <w:p w14:paraId="19876BB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04BB52" w14:textId="77777777" w:rsidR="00CF47BE" w:rsidRPr="00A259BD" w:rsidRDefault="00CF47BE" w:rsidP="009236E3">
      <w:pPr>
        <w:pStyle w:val="article-renderblock"/>
        <w:shd w:val="clear" w:color="auto" w:fill="FFFFFF"/>
        <w:spacing w:before="0" w:beforeAutospacing="0" w:after="0" w:afterAutospacing="0"/>
        <w:jc w:val="both"/>
        <w:rPr>
          <w:color w:val="000000" w:themeColor="text1"/>
          <w:sz w:val="16"/>
          <w:szCs w:val="16"/>
        </w:rPr>
      </w:pPr>
      <w:r w:rsidRPr="00A259BD">
        <w:rPr>
          <w:color w:val="000000" w:themeColor="text1"/>
          <w:sz w:val="16"/>
          <w:szCs w:val="16"/>
        </w:rPr>
        <w:t>В начале 1929 года. У "Большевика" имелось достаточное число работ и без Т-19. Первое время под данным индексом скрывался совсем другой танк, а тот Т-19, который всем известен, впервые упомянули в 12 февраля 1929 года. На совещании ОАТ (Орудийно-Арсенальный Трест) рассмотрели перспективы развития Т-18. На нем упомянули Т-18Бис, разработку которого брал на себя ГКБ ОАТ (теперь так именовался Технический отдел ГУВП). В мае 1929 года его переименовали в Т-20. А Т-19 уже выглядел совсем другим танком. Боевая масса возрастала до 7 тонн, кроме того, танк должен был получить улучшенную башню с кормовой нишей под радиостанцию, плюс новую 37-мм пушку разработки завода "Большевик". Данное орудие получило обозначение Б-3. В качестве силовой установки предусматривался мотор мощностью 75 лошадиных сил, работы по которому на "Большевике" начали с конца 1928 года (20842).</w:t>
      </w:r>
    </w:p>
    <w:p w14:paraId="6792D7CF" w14:textId="77777777" w:rsidR="00CF47BE" w:rsidRPr="00A259BD" w:rsidRDefault="00CF47BE" w:rsidP="009236E3">
      <w:pPr>
        <w:pStyle w:val="article-renderblock"/>
        <w:shd w:val="clear" w:color="auto" w:fill="FFFFFF"/>
        <w:spacing w:before="0" w:beforeAutospacing="0" w:after="0" w:afterAutospacing="0"/>
        <w:jc w:val="both"/>
        <w:rPr>
          <w:color w:val="000000" w:themeColor="text1"/>
          <w:sz w:val="16"/>
          <w:szCs w:val="16"/>
        </w:rPr>
      </w:pPr>
    </w:p>
    <w:p w14:paraId="7B3C5F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1929 года, когда на ХПЗ только начала осуществляться сборка неко</w:t>
      </w:r>
      <w:r w:rsidRPr="00A259BD">
        <w:rPr>
          <w:rFonts w:ascii="Times New Roman" w:hAnsi="Times New Roman"/>
          <w:color w:val="000000" w:themeColor="text1"/>
          <w:sz w:val="16"/>
          <w:szCs w:val="16"/>
        </w:rPr>
        <w:softHyphen/>
        <w:t>торых узлов Т-12, спецгруппа и ее руководитель смогли правильно оценить танк Т-12 и сделать вывод, что он имеет ряд недостатков и что только доводкой органические недостатки не устранить. Поэтому необходимо провести его коренную модернизацию, максимально использовать базу и все полезное с танка Т-12. Новая машина получила индекс Т-24. За эту работу взялся не</w:t>
      </w:r>
      <w:r w:rsidRPr="00A259BD">
        <w:rPr>
          <w:rFonts w:ascii="Times New Roman" w:hAnsi="Times New Roman"/>
          <w:color w:val="000000" w:themeColor="text1"/>
          <w:sz w:val="16"/>
          <w:szCs w:val="16"/>
        </w:rPr>
        <w:softHyphen/>
        <w:t xml:space="preserve">многочисленный коллектив, который возглавил </w:t>
      </w:r>
      <w:proofErr w:type="spellStart"/>
      <w:r w:rsidRPr="00A259BD">
        <w:rPr>
          <w:rFonts w:ascii="Times New Roman" w:hAnsi="Times New Roman"/>
          <w:color w:val="000000" w:themeColor="text1"/>
          <w:sz w:val="16"/>
          <w:szCs w:val="16"/>
        </w:rPr>
        <w:t>И.Н.Алексенко</w:t>
      </w:r>
      <w:proofErr w:type="spellEnd"/>
      <w:r w:rsidRPr="00A259BD">
        <w:rPr>
          <w:rFonts w:ascii="Times New Roman" w:hAnsi="Times New Roman"/>
          <w:color w:val="000000" w:themeColor="text1"/>
          <w:sz w:val="16"/>
          <w:szCs w:val="16"/>
        </w:rPr>
        <w:t>.</w:t>
      </w:r>
    </w:p>
    <w:p w14:paraId="5618C8C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 танка был уменьшен до 18,5 тонн, а мощность двигателя М-6 уве</w:t>
      </w:r>
      <w:r w:rsidRPr="00A259BD">
        <w:rPr>
          <w:rFonts w:ascii="Times New Roman" w:hAnsi="Times New Roman"/>
          <w:color w:val="000000" w:themeColor="text1"/>
          <w:sz w:val="16"/>
          <w:szCs w:val="16"/>
        </w:rPr>
        <w:softHyphen/>
        <w:t xml:space="preserve">личена до 250 л.с. за счет его </w:t>
      </w:r>
      <w:proofErr w:type="spellStart"/>
      <w:r w:rsidRPr="00A259BD">
        <w:rPr>
          <w:rFonts w:ascii="Times New Roman" w:hAnsi="Times New Roman"/>
          <w:color w:val="000000" w:themeColor="text1"/>
          <w:sz w:val="16"/>
          <w:szCs w:val="16"/>
        </w:rPr>
        <w:t>раздросслирования</w:t>
      </w:r>
      <w:proofErr w:type="spellEnd"/>
      <w:r w:rsidRPr="00A259BD">
        <w:rPr>
          <w:rFonts w:ascii="Times New Roman" w:hAnsi="Times New Roman"/>
          <w:color w:val="000000" w:themeColor="text1"/>
          <w:sz w:val="16"/>
          <w:szCs w:val="16"/>
        </w:rPr>
        <w:t>. Был добавлен еще один (четвертый) пулемет.</w:t>
      </w:r>
    </w:p>
    <w:p w14:paraId="0FDA4E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Конструктивными особенностями танка Т-24 явилось — трехслойное расположение вооружения и наличие трансмиссии.</w:t>
      </w:r>
    </w:p>
    <w:p w14:paraId="44F072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принятием решения на коренную модернизацию танка, спецгруппа должна была работать с двойной нагрузкой: обслуживать работы по Т-12 и проектировать Т-24.</w:t>
      </w:r>
    </w:p>
    <w:p w14:paraId="5761D0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Напряженный творческий труд всего коллектива дал свои результаты. Танк Т-24 был спроектирован всего за несколько месяцев, а весьма форси</w:t>
      </w:r>
      <w:r w:rsidRPr="00A259BD">
        <w:rPr>
          <w:rFonts w:ascii="Times New Roman" w:hAnsi="Times New Roman"/>
          <w:color w:val="000000" w:themeColor="text1"/>
          <w:sz w:val="16"/>
          <w:szCs w:val="16"/>
        </w:rPr>
        <w:softHyphen/>
        <w:t>рованно изготовленный опытный образец показал, что по тем временам получилась неплохая машина. Поэтому было принято решение изготовить в тракторном отделе опытную серию средних танков Т-24 в количе</w:t>
      </w:r>
      <w:r w:rsidRPr="00A259BD">
        <w:rPr>
          <w:rFonts w:ascii="Times New Roman" w:hAnsi="Times New Roman"/>
          <w:color w:val="000000" w:themeColor="text1"/>
          <w:sz w:val="16"/>
          <w:szCs w:val="16"/>
        </w:rPr>
        <w:softHyphen/>
        <w:t>стве 20 штук. Эта работа была успешно выполнена к середине 1931 года (11504).</w:t>
      </w:r>
    </w:p>
    <w:p w14:paraId="5E768A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BEDB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1929 г. был изготовлен опытный образец 37 мм танковой пушки Б-3, который предназначался для установки в танк Т-18. Так как завод № 8 получил задание на изготовление 350 таких пушек, то летом 1931 г. было принято решение при проектировании танка БТ разместить в его башне спаренную установку этой пушки и пулемета. В процессе производства танков БТ в 1931 г. окончательно выяснилось, что Главное Артиллерийское Управление (ГАУ) РККА не справилось с изготовлением опытного образца спаренной установки и, вследствие этого, отказалось от постановки ее на серийное производство. В результате в 1 квартале 1932 г. пришлось менять чертежи башни, а первые 60 башен, изготовленных Ижорским заводом, приспосабливать паллиативными мерами под раздельную установку 37-мм пушки Б-3 и 7,62-мм пулемета ДТ, к тому же в этих башнях оказалось технически невозможно вырезать отверстие под автономную шаровую опору пулемета ДТ. В таком виде башни вместе с танками и поступили в войска.</w:t>
      </w:r>
    </w:p>
    <w:p w14:paraId="28FF99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Еще 240 башен под раздельную установку 37-мм пушки и 7,62-мм пулемета ДТ были выпущены Ижорским и Мариупольским заводами. Начиная с 301-й машины, планировалась установка в башню танка БТ 45-мм пушки 20К, спаренной с пулеметом ДТ. Конструкторские проработки показали, что 45-мм пушку установить в серийную башню БТ не представлялось возможным. Для установки этих пушек была спроектирована единая для танков БТ и Т-26 башня большего размера, которая позднее устанавливалась на танке БТ-5 (11715).</w:t>
      </w:r>
    </w:p>
    <w:p w14:paraId="70BA43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18E26C1" w14:textId="77777777" w:rsidR="00EE73C1" w:rsidRPr="00441F34" w:rsidRDefault="00EE73C1" w:rsidP="00EE73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начале 1929 г. все оставшиеся на заводе «Красный Путиловец» готовые движители </w:t>
      </w:r>
      <w:proofErr w:type="spellStart"/>
      <w:r w:rsidRPr="00441F34">
        <w:rPr>
          <w:rFonts w:ascii="Times New Roman" w:hAnsi="Times New Roman"/>
          <w:color w:val="0070C0"/>
          <w:sz w:val="16"/>
          <w:szCs w:val="16"/>
        </w:rPr>
        <w:t>Кегресса</w:t>
      </w:r>
      <w:proofErr w:type="spellEnd"/>
      <w:r w:rsidRPr="00441F34">
        <w:rPr>
          <w:rFonts w:ascii="Times New Roman" w:hAnsi="Times New Roman"/>
          <w:color w:val="0070C0"/>
          <w:sz w:val="16"/>
          <w:szCs w:val="16"/>
        </w:rPr>
        <w:t xml:space="preserve"> и детали к ним решили списать. Практически сразу же началась разработка советских по</w:t>
      </w:r>
      <w:r w:rsidRPr="00441F34">
        <w:rPr>
          <w:rFonts w:ascii="Times New Roman" w:hAnsi="Times New Roman"/>
          <w:color w:val="0070C0"/>
          <w:sz w:val="16"/>
          <w:szCs w:val="16"/>
        </w:rPr>
        <w:softHyphen/>
        <w:t xml:space="preserve">лугусеничных автомобилей. Первым из них стал тягач «АМО </w:t>
      </w:r>
      <w:proofErr w:type="spellStart"/>
      <w:r w:rsidRPr="00441F34">
        <w:rPr>
          <w:rFonts w:ascii="Times New Roman" w:hAnsi="Times New Roman"/>
          <w:color w:val="0070C0"/>
          <w:sz w:val="16"/>
          <w:szCs w:val="16"/>
        </w:rPr>
        <w:t>Сомуа</w:t>
      </w:r>
      <w:proofErr w:type="spellEnd"/>
      <w:r w:rsidRPr="00441F34">
        <w:rPr>
          <w:rFonts w:ascii="Times New Roman" w:hAnsi="Times New Roman"/>
          <w:color w:val="0070C0"/>
          <w:sz w:val="16"/>
          <w:szCs w:val="16"/>
        </w:rPr>
        <w:t>», построенный на базе грузовика АМО-2 с применением французско</w:t>
      </w:r>
      <w:r w:rsidRPr="00441F34">
        <w:rPr>
          <w:rFonts w:ascii="Times New Roman" w:hAnsi="Times New Roman"/>
          <w:color w:val="0070C0"/>
          <w:sz w:val="16"/>
          <w:szCs w:val="16"/>
        </w:rPr>
        <w:softHyphen/>
        <w:t>го движителя. В сентябре 1931 г. эта машина успешно прошла государственные испытания. В последующие годы появились первые совет</w:t>
      </w:r>
      <w:r w:rsidRPr="00441F34">
        <w:rPr>
          <w:rFonts w:ascii="Times New Roman" w:hAnsi="Times New Roman"/>
          <w:color w:val="0070C0"/>
          <w:sz w:val="16"/>
          <w:szCs w:val="16"/>
        </w:rPr>
        <w:softHyphen/>
        <w:t>ские автомобили с гусеничным «ходом» отече</w:t>
      </w:r>
      <w:r w:rsidRPr="00441F34">
        <w:rPr>
          <w:rFonts w:ascii="Times New Roman" w:hAnsi="Times New Roman"/>
          <w:color w:val="0070C0"/>
          <w:sz w:val="16"/>
          <w:szCs w:val="16"/>
        </w:rPr>
        <w:softHyphen/>
        <w:t>ственной конструкции (23481).</w:t>
      </w:r>
    </w:p>
    <w:p w14:paraId="05718485" w14:textId="77777777" w:rsidR="00EE73C1" w:rsidRPr="00441F34" w:rsidRDefault="00EE73C1" w:rsidP="00EE73C1">
      <w:pPr>
        <w:spacing w:after="0" w:line="240" w:lineRule="auto"/>
        <w:jc w:val="both"/>
        <w:rPr>
          <w:rFonts w:ascii="Times New Roman" w:hAnsi="Times New Roman"/>
          <w:color w:val="0070C0"/>
          <w:sz w:val="16"/>
          <w:szCs w:val="16"/>
        </w:rPr>
      </w:pPr>
    </w:p>
    <w:p w14:paraId="34B3BD2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начале 1929 г. на Президиуме </w:t>
      </w:r>
      <w:proofErr w:type="spellStart"/>
      <w:r w:rsidRPr="00A259BD">
        <w:rPr>
          <w:rFonts w:ascii="Times New Roman" w:hAnsi="Times New Roman"/>
          <w:color w:val="000000" w:themeColor="text1"/>
          <w:sz w:val="16"/>
          <w:szCs w:val="16"/>
        </w:rPr>
        <w:t>АВТОДОРа</w:t>
      </w:r>
      <w:proofErr w:type="spellEnd"/>
      <w:r w:rsidRPr="00A259BD">
        <w:rPr>
          <w:rFonts w:ascii="Times New Roman" w:hAnsi="Times New Roman"/>
          <w:color w:val="000000" w:themeColor="text1"/>
          <w:sz w:val="16"/>
          <w:szCs w:val="16"/>
        </w:rPr>
        <w:t xml:space="preserve"> обсуждали организацию Второго Всесоюзного ис</w:t>
      </w:r>
      <w:r w:rsidRPr="00A259BD">
        <w:rPr>
          <w:rFonts w:ascii="Times New Roman" w:hAnsi="Times New Roman"/>
          <w:color w:val="000000" w:themeColor="text1"/>
          <w:sz w:val="16"/>
          <w:szCs w:val="16"/>
        </w:rPr>
        <w:softHyphen/>
        <w:t>пытательного пробега мотоциклов. Предложили сложный маршрут со стартом и финишем в Москве [3.67]. Высказали по</w:t>
      </w:r>
      <w:r w:rsidRPr="00A259BD">
        <w:rPr>
          <w:rFonts w:ascii="Times New Roman" w:hAnsi="Times New Roman"/>
          <w:color w:val="000000" w:themeColor="text1"/>
          <w:sz w:val="16"/>
          <w:szCs w:val="16"/>
        </w:rPr>
        <w:softHyphen/>
        <w:t>желание участия экспериментальных ижевских ещё не сделан</w:t>
      </w:r>
      <w:r w:rsidRPr="00A259BD">
        <w:rPr>
          <w:rFonts w:ascii="Times New Roman" w:hAnsi="Times New Roman"/>
          <w:color w:val="000000" w:themeColor="text1"/>
          <w:sz w:val="16"/>
          <w:szCs w:val="16"/>
        </w:rPr>
        <w:softHyphen/>
        <w:t>ных мотоциклов [3.68]. В обществе уже складывалась уверенность в том, что в Ижев</w:t>
      </w:r>
      <w:r w:rsidRPr="00A259BD">
        <w:rPr>
          <w:rFonts w:ascii="Times New Roman" w:hAnsi="Times New Roman"/>
          <w:color w:val="000000" w:themeColor="text1"/>
          <w:sz w:val="16"/>
          <w:szCs w:val="16"/>
        </w:rPr>
        <w:softHyphen/>
        <w:t xml:space="preserve">ске на </w:t>
      </w:r>
      <w:proofErr w:type="spellStart"/>
      <w:r w:rsidRPr="00A259BD">
        <w:rPr>
          <w:rFonts w:ascii="Times New Roman" w:hAnsi="Times New Roman"/>
          <w:color w:val="000000" w:themeColor="text1"/>
          <w:sz w:val="16"/>
          <w:szCs w:val="16"/>
        </w:rPr>
        <w:t>ИОЗе</w:t>
      </w:r>
      <w:proofErr w:type="spellEnd"/>
      <w:r w:rsidRPr="00A259BD">
        <w:rPr>
          <w:rFonts w:ascii="Times New Roman" w:hAnsi="Times New Roman"/>
          <w:color w:val="000000" w:themeColor="text1"/>
          <w:sz w:val="16"/>
          <w:szCs w:val="16"/>
        </w:rPr>
        <w:t xml:space="preserve"> сделают экспериментальные образцы, и они обяза</w:t>
      </w:r>
      <w:r w:rsidRPr="00A259BD">
        <w:rPr>
          <w:rFonts w:ascii="Times New Roman" w:hAnsi="Times New Roman"/>
          <w:color w:val="000000" w:themeColor="text1"/>
          <w:sz w:val="16"/>
          <w:szCs w:val="16"/>
        </w:rPr>
        <w:softHyphen/>
        <w:t xml:space="preserve">тельно будут участвовать во Втором Всесоюзном испытательном мотопробеге. В ожидании этого важного мероприятия, в </w:t>
      </w:r>
      <w:proofErr w:type="spellStart"/>
      <w:r w:rsidRPr="00A259BD">
        <w:rPr>
          <w:rFonts w:ascii="Times New Roman" w:hAnsi="Times New Roman"/>
          <w:color w:val="000000" w:themeColor="text1"/>
          <w:sz w:val="16"/>
          <w:szCs w:val="16"/>
        </w:rPr>
        <w:t>АВТО</w:t>
      </w:r>
      <w:r w:rsidRPr="00A259BD">
        <w:rPr>
          <w:rFonts w:ascii="Times New Roman" w:hAnsi="Times New Roman"/>
          <w:color w:val="000000" w:themeColor="text1"/>
          <w:sz w:val="16"/>
          <w:szCs w:val="16"/>
        </w:rPr>
        <w:softHyphen/>
        <w:t>ДОРе</w:t>
      </w:r>
      <w:proofErr w:type="spellEnd"/>
      <w:r w:rsidRPr="00A259BD">
        <w:rPr>
          <w:rFonts w:ascii="Times New Roman" w:hAnsi="Times New Roman"/>
          <w:color w:val="000000" w:themeColor="text1"/>
          <w:sz w:val="16"/>
          <w:szCs w:val="16"/>
        </w:rPr>
        <w:t xml:space="preserve"> издали брошюру с изложением условий участия в пробеге, а также основных технических данных задействованных экспери</w:t>
      </w:r>
      <w:r w:rsidRPr="00A259BD">
        <w:rPr>
          <w:rFonts w:ascii="Times New Roman" w:hAnsi="Times New Roman"/>
          <w:color w:val="000000" w:themeColor="text1"/>
          <w:sz w:val="16"/>
          <w:szCs w:val="16"/>
        </w:rPr>
        <w:softHyphen/>
        <w:t>ментальных мотоциклов [3.69]. Кроме Ижевска мотоциклы стро</w:t>
      </w:r>
      <w:r w:rsidRPr="00A259BD">
        <w:rPr>
          <w:rFonts w:ascii="Times New Roman" w:hAnsi="Times New Roman"/>
          <w:color w:val="000000" w:themeColor="text1"/>
          <w:sz w:val="16"/>
          <w:szCs w:val="16"/>
        </w:rPr>
        <w:softHyphen/>
        <w:t xml:space="preserve">или в Москве - Э.Г. </w:t>
      </w:r>
      <w:proofErr w:type="spellStart"/>
      <w:r w:rsidRPr="00A259BD">
        <w:rPr>
          <w:rFonts w:ascii="Times New Roman" w:hAnsi="Times New Roman"/>
          <w:color w:val="000000" w:themeColor="text1"/>
          <w:sz w:val="16"/>
          <w:szCs w:val="16"/>
        </w:rPr>
        <w:t>Мауэр</w:t>
      </w:r>
      <w:proofErr w:type="spellEnd"/>
      <w:r w:rsidRPr="00A259BD">
        <w:rPr>
          <w:rFonts w:ascii="Times New Roman" w:hAnsi="Times New Roman"/>
          <w:color w:val="000000" w:themeColor="text1"/>
          <w:sz w:val="16"/>
          <w:szCs w:val="16"/>
        </w:rPr>
        <w:t>, в Туле - Н. Токарев, и других городах. Во Всесоюзном испытательном мотопробеге планировали срав</w:t>
      </w:r>
      <w:r w:rsidRPr="00A259BD">
        <w:rPr>
          <w:rFonts w:ascii="Times New Roman" w:hAnsi="Times New Roman"/>
          <w:color w:val="000000" w:themeColor="text1"/>
          <w:sz w:val="16"/>
          <w:szCs w:val="16"/>
        </w:rPr>
        <w:softHyphen/>
        <w:t>нить ижевские экспериментальные мотоциклы с иномарками и мотоциклами, сделанными самодеятельными конструкторами (11429).</w:t>
      </w:r>
    </w:p>
    <w:p w14:paraId="6E6D65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CE620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К началу 1929 г. в автоклубах было достаточно мотоциклов, что побуждало мотолюбителей участвовать в дальних мотопро</w:t>
      </w:r>
      <w:r w:rsidRPr="00A259BD">
        <w:rPr>
          <w:rFonts w:ascii="Times New Roman" w:hAnsi="Times New Roman"/>
          <w:color w:val="000000" w:themeColor="text1"/>
          <w:sz w:val="16"/>
          <w:szCs w:val="16"/>
        </w:rPr>
        <w:softHyphen/>
        <w:t xml:space="preserve">бегах. Идя навстречу их пожеланиям, АВТОДОР организовывал и другие мотопробеги, не входившие в категорию Всесоюзных. Так, 13 июня от столичного Дворца Труда стартовал пробег по маршруту Москва-Киев-Одесса-Севастополь-Харьков-Москва. Его организовала </w:t>
      </w:r>
      <w:proofErr w:type="spellStart"/>
      <w:r w:rsidRPr="00A259BD">
        <w:rPr>
          <w:rFonts w:ascii="Times New Roman" w:hAnsi="Times New Roman"/>
          <w:color w:val="000000" w:themeColor="text1"/>
          <w:sz w:val="16"/>
          <w:szCs w:val="16"/>
        </w:rPr>
        <w:t>мотосекция</w:t>
      </w:r>
      <w:proofErr w:type="spellEnd"/>
      <w:r w:rsidRPr="00A259BD">
        <w:rPr>
          <w:rFonts w:ascii="Times New Roman" w:hAnsi="Times New Roman"/>
          <w:color w:val="000000" w:themeColor="text1"/>
          <w:sz w:val="16"/>
          <w:szCs w:val="16"/>
        </w:rPr>
        <w:t xml:space="preserve"> клуба </w:t>
      </w:r>
      <w:proofErr w:type="spellStart"/>
      <w:r w:rsidRPr="00A259BD">
        <w:rPr>
          <w:rFonts w:ascii="Times New Roman" w:hAnsi="Times New Roman"/>
          <w:color w:val="000000" w:themeColor="text1"/>
          <w:sz w:val="16"/>
          <w:szCs w:val="16"/>
        </w:rPr>
        <w:t>совторгслужащих</w:t>
      </w:r>
      <w:proofErr w:type="spellEnd"/>
      <w:r w:rsidRPr="00A259BD">
        <w:rPr>
          <w:rFonts w:ascii="Times New Roman" w:hAnsi="Times New Roman"/>
          <w:color w:val="000000" w:themeColor="text1"/>
          <w:sz w:val="16"/>
          <w:szCs w:val="16"/>
        </w:rPr>
        <w:t xml:space="preserve"> [3.70] (11429).</w:t>
      </w:r>
    </w:p>
    <w:p w14:paraId="0993B7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E922B0"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1929 года на ленинградском заводе «Красный выборжец» были проведены опыты по освоению выпуска алюминия. 27 марта удалось получить первые восемь килограммов металла. В ленинградской печати отмечалось тогда, что «первый слиток алюминия, представляющий музейную ценность, должен быть сохранен как памятник одного из крупнейших достижений советской техники». Образцы алюминия, полученного на «Красном Выборжце», и изделия из него были преподнесены от трудящихся Ленинграда V Всесоюзному съезду Советов. Успешное проведение этих опытов позволило приступить к сооружению Волховского и Днепровского алюминиевых заводов (12245).</w:t>
      </w:r>
    </w:p>
    <w:p w14:paraId="44E45BA8" w14:textId="77777777" w:rsidR="00824FAB" w:rsidRPr="00A259BD" w:rsidRDefault="00824FAB" w:rsidP="009236E3">
      <w:pPr>
        <w:spacing w:after="0" w:line="240" w:lineRule="auto"/>
        <w:jc w:val="both"/>
        <w:rPr>
          <w:rFonts w:ascii="Times New Roman" w:hAnsi="Times New Roman"/>
          <w:color w:val="000000" w:themeColor="text1"/>
          <w:sz w:val="16"/>
          <w:szCs w:val="16"/>
        </w:rPr>
      </w:pPr>
    </w:p>
    <w:p w14:paraId="079D0BD6" w14:textId="77777777" w:rsidR="007F29CC" w:rsidRPr="00A259BD" w:rsidRDefault="007F29CC"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А в начале 1929 года, была организована контора «</w:t>
      </w:r>
      <w:proofErr w:type="spellStart"/>
      <w:r w:rsidRPr="00A259BD">
        <w:rPr>
          <w:rFonts w:ascii="Times New Roman" w:eastAsia="Times New Roman" w:hAnsi="Times New Roman"/>
          <w:color w:val="000000" w:themeColor="text1"/>
          <w:sz w:val="16"/>
          <w:szCs w:val="16"/>
          <w:lang w:eastAsia="ru-RU"/>
        </w:rPr>
        <w:t>Краммашстрой</w:t>
      </w:r>
      <w:proofErr w:type="spellEnd"/>
      <w:r w:rsidRPr="00A259BD">
        <w:rPr>
          <w:rFonts w:ascii="Times New Roman" w:eastAsia="Times New Roman" w:hAnsi="Times New Roman"/>
          <w:color w:val="000000" w:themeColor="text1"/>
          <w:sz w:val="16"/>
          <w:szCs w:val="16"/>
          <w:lang w:eastAsia="ru-RU"/>
        </w:rPr>
        <w:t xml:space="preserve">» для строительства нового завода. </w:t>
      </w:r>
    </w:p>
    <w:p w14:paraId="2EDBC605" w14:textId="77777777" w:rsidR="007F29CC" w:rsidRPr="00A259BD" w:rsidRDefault="007F29CC"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апреле 1929 года, в Краматорск приехал нарком Рабоче-Крестьянской инспекции Серго Орджоникидзе для выбора места будущего завода. </w:t>
      </w:r>
    </w:p>
    <w:p w14:paraId="404866E9" w14:textId="77777777" w:rsidR="007F29CC" w:rsidRPr="00A259BD" w:rsidRDefault="007F29CC"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eastAsia="Times New Roman" w:hAnsi="Times New Roman"/>
          <w:color w:val="000000" w:themeColor="text1"/>
          <w:sz w:val="16"/>
          <w:szCs w:val="16"/>
          <w:lang w:eastAsia="ru-RU"/>
        </w:rPr>
        <w:t xml:space="preserve">8 октября 1929 года, состоялась торжественная закладка </w:t>
      </w:r>
      <w:r w:rsidRPr="00A259BD">
        <w:rPr>
          <w:rFonts w:ascii="Times New Roman" w:hAnsi="Times New Roman"/>
          <w:color w:val="000000" w:themeColor="text1"/>
          <w:sz w:val="16"/>
          <w:szCs w:val="16"/>
        </w:rPr>
        <w:t>и началось строительство Новокраматорского машиностроительного завода (НКМЗ). А семьдесят пять лет назад.</w:t>
      </w:r>
    </w:p>
    <w:p w14:paraId="34A0E238" w14:textId="77777777" w:rsidR="007F29CC" w:rsidRPr="00A259BD" w:rsidRDefault="007F29CC"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10 февраля 1931 года - запущен цех металлоконструкций. </w:t>
      </w:r>
    </w:p>
    <w:p w14:paraId="1B135590" w14:textId="77777777" w:rsidR="007F29CC" w:rsidRPr="00A259BD" w:rsidRDefault="007F29CC"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июле 1932 года - вступили в строй инструментальный и ремонтно-механический цехи. </w:t>
      </w:r>
    </w:p>
    <w:p w14:paraId="4FC63946" w14:textId="77777777" w:rsidR="007F29CC" w:rsidRPr="00A259BD" w:rsidRDefault="007F29CC"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Затем были построены крупнейшие в Европе чугунолитейный и модельный цехи. Сдана в эксплуатации кислородная станция. В декабре 1932 года - сдан в эксплуатацию механический цех «Б», введена в работу центральная распределительная подстанция. </w:t>
      </w:r>
    </w:p>
    <w:p w14:paraId="0290029B" w14:textId="77777777" w:rsidR="007F29CC" w:rsidRPr="00A259BD" w:rsidRDefault="007F29CC"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1933 году построены сталелитейный (мартеновский), </w:t>
      </w:r>
      <w:proofErr w:type="spellStart"/>
      <w:r w:rsidRPr="00A259BD">
        <w:rPr>
          <w:rFonts w:ascii="Times New Roman" w:eastAsia="Times New Roman" w:hAnsi="Times New Roman"/>
          <w:color w:val="000000" w:themeColor="text1"/>
          <w:sz w:val="16"/>
          <w:szCs w:val="16"/>
          <w:lang w:eastAsia="ru-RU"/>
        </w:rPr>
        <w:t>фасоннолитейный</w:t>
      </w:r>
      <w:proofErr w:type="spellEnd"/>
      <w:r w:rsidRPr="00A259BD">
        <w:rPr>
          <w:rFonts w:ascii="Times New Roman" w:eastAsia="Times New Roman" w:hAnsi="Times New Roman"/>
          <w:color w:val="000000" w:themeColor="text1"/>
          <w:sz w:val="16"/>
          <w:szCs w:val="16"/>
          <w:lang w:eastAsia="ru-RU"/>
        </w:rPr>
        <w:t xml:space="preserve"> и транспортный цехи, газогенераторная станция, запущен в эксплуатацию кузнечный цех №1, вступил в строй механосборочный цех «А». </w:t>
      </w:r>
    </w:p>
    <w:p w14:paraId="69C0B56B" w14:textId="77777777" w:rsidR="007F29CC" w:rsidRPr="00A259BD" w:rsidRDefault="007F29CC"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17 сентября 1934 года, нарком тяжелой промышленности Серго Орджоникидзе подписал приказ по Народному комиссариату тяжёлой промышленности о зачислении Новокраматорского машиностроительного завода в список действующих предприятий. </w:t>
      </w:r>
    </w:p>
    <w:p w14:paraId="20FCC429" w14:textId="77777777" w:rsidR="007F29CC" w:rsidRPr="00A259BD" w:rsidRDefault="007F29CC"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28 сентября 1934 года, состоялся официальный пуск завода. </w:t>
      </w:r>
    </w:p>
    <w:p w14:paraId="1BFE0DCC" w14:textId="77777777" w:rsidR="007F29CC" w:rsidRPr="00A259BD" w:rsidRDefault="007F29CC" w:rsidP="009236E3">
      <w:pPr>
        <w:spacing w:after="0" w:line="240" w:lineRule="auto"/>
        <w:jc w:val="both"/>
        <w:rPr>
          <w:rFonts w:ascii="Times New Roman" w:hAnsi="Times New Roman"/>
          <w:iCs/>
          <w:color w:val="000000" w:themeColor="text1"/>
          <w:sz w:val="16"/>
          <w:szCs w:val="16"/>
        </w:rPr>
      </w:pPr>
      <w:r w:rsidRPr="00A259BD">
        <w:rPr>
          <w:rFonts w:ascii="Times New Roman" w:eastAsia="Times New Roman" w:hAnsi="Times New Roman"/>
          <w:color w:val="000000" w:themeColor="text1"/>
          <w:sz w:val="16"/>
          <w:szCs w:val="16"/>
          <w:lang w:eastAsia="ru-RU"/>
        </w:rPr>
        <w:t>Завод изначально был сориентирован на изготовление уникальных машин и оборудования, впервые производимых в стране, а зачастую и в мире. На НКМЗ были изготовлены первый в Европе мощный слябинг и гигантский, по тем временам, непрерывный тонколистовой широкополосный прокатный стан для завода «Запорожсталь». Портальные краны оригинальной конструкции для канала Москва-Волга и сталеразливочные краны для металлургических предприятий, подъемные машины для шахт Донбасса, оборудование для Московского метрополитена, ажурные пролеты Крымского моста в Москве</w:t>
      </w:r>
      <w:r w:rsidRPr="00A259BD">
        <w:rPr>
          <w:rFonts w:ascii="Times New Roman" w:hAnsi="Times New Roman"/>
          <w:color w:val="000000" w:themeColor="text1"/>
          <w:sz w:val="16"/>
          <w:szCs w:val="16"/>
        </w:rPr>
        <w:t xml:space="preserve"> (17228).</w:t>
      </w:r>
    </w:p>
    <w:p w14:paraId="7C6407B9" w14:textId="77777777" w:rsidR="007F29CC" w:rsidRPr="00A259BD" w:rsidRDefault="007F29C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894263" w14:textId="77777777" w:rsidR="00D8460C" w:rsidRPr="00A259BD" w:rsidRDefault="00D8460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началу 1929 г. советская электропромышленность, в частности ее сильноточная область, все сильней испытывали необходимость привлечения технического опыта американских фирм. Это было следствием возросшей потребности внутреннего рынка в сверхмощных электромашинах и аппаратах. Мировыми лидерами в выпуске данного вида продукции были крупнейшие </w:t>
      </w:r>
      <w:proofErr w:type="spellStart"/>
      <w:r w:rsidRPr="00A259BD">
        <w:rPr>
          <w:rFonts w:ascii="Times New Roman" w:hAnsi="Times New Roman"/>
          <w:color w:val="000000" w:themeColor="text1"/>
          <w:sz w:val="16"/>
          <w:szCs w:val="16"/>
        </w:rPr>
        <w:t>электроконцерны</w:t>
      </w:r>
      <w:proofErr w:type="spellEnd"/>
      <w:r w:rsidRPr="00A259BD">
        <w:rPr>
          <w:rFonts w:ascii="Times New Roman" w:hAnsi="Times New Roman"/>
          <w:color w:val="000000" w:themeColor="text1"/>
          <w:sz w:val="16"/>
          <w:szCs w:val="16"/>
        </w:rPr>
        <w:t xml:space="preserve"> США. В этой связи в марте 1929 г. ГЭТ заключил договор о техническом содействии в электромашиностроительной отрасли с американской компанией «ДЭК» сроком на 10 лет. Стоимость соглашения составляла 5 млн долл. [там же, л. 2]4. После заключения договора с американским </w:t>
      </w:r>
      <w:proofErr w:type="spellStart"/>
      <w:r w:rsidRPr="00A259BD">
        <w:rPr>
          <w:rFonts w:ascii="Times New Roman" w:hAnsi="Times New Roman"/>
          <w:color w:val="000000" w:themeColor="text1"/>
          <w:sz w:val="16"/>
          <w:szCs w:val="16"/>
        </w:rPr>
        <w:t>электроконцерном</w:t>
      </w:r>
      <w:proofErr w:type="spellEnd"/>
      <w:r w:rsidRPr="00A259BD">
        <w:rPr>
          <w:rFonts w:ascii="Times New Roman" w:hAnsi="Times New Roman"/>
          <w:color w:val="000000" w:themeColor="text1"/>
          <w:sz w:val="16"/>
          <w:szCs w:val="16"/>
        </w:rPr>
        <w:t xml:space="preserve"> в советской сильноточной отрасли возникла ситуация, когда соглашения о техническом сотрудничестве с «АЕГ» и «ДЭК» по некоторым областям производства дублировали друг друга. Этот момент повлиял бы положительно на развитие электропромышленности сильных токов, предоставив возможность ГЭТ заимствовать самое лучшее по одному и тому же типу изделий как у одной, так и у другой компании, если бы между фирмами не было соглашения об обмене патентами и техническими достижениями. Кроме того, технический уровень «ДЭК» по некоторым видам продукции был выше, чем у «АЕГ», которая сама часто использовала разработки своего заокеанского партнера (18647).</w:t>
      </w:r>
    </w:p>
    <w:p w14:paraId="40C4A54F" w14:textId="77777777" w:rsidR="00D8460C" w:rsidRPr="00A259BD" w:rsidRDefault="00D8460C" w:rsidP="009236E3">
      <w:pPr>
        <w:spacing w:after="0" w:line="240" w:lineRule="auto"/>
        <w:jc w:val="both"/>
        <w:rPr>
          <w:rFonts w:ascii="Times New Roman" w:hAnsi="Times New Roman"/>
          <w:color w:val="000000" w:themeColor="text1"/>
          <w:sz w:val="16"/>
          <w:szCs w:val="16"/>
        </w:rPr>
      </w:pPr>
    </w:p>
    <w:p w14:paraId="53069D44" w14:textId="77777777" w:rsidR="00D8460C" w:rsidRPr="00A259BD" w:rsidRDefault="00D8460C"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3FCC242D" w14:textId="77777777" w:rsidR="00D8460C" w:rsidRPr="00A259BD" w:rsidRDefault="00D8460C"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594B076" w14:textId="77777777" w:rsidR="00D8460C" w:rsidRPr="00A259BD" w:rsidRDefault="00D8460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1929 г. система подготовки авиационных кадров располагала десятью военными учебными заведениями, в которых использовались для обучения 455 самолетов (19566).</w:t>
      </w:r>
    </w:p>
    <w:p w14:paraId="044257BE" w14:textId="77777777" w:rsidR="00D8460C" w:rsidRPr="00A259BD" w:rsidRDefault="00D8460C" w:rsidP="009236E3">
      <w:pPr>
        <w:spacing w:after="0" w:line="240" w:lineRule="auto"/>
        <w:jc w:val="both"/>
        <w:rPr>
          <w:rFonts w:ascii="Times New Roman" w:hAnsi="Times New Roman"/>
          <w:color w:val="000000" w:themeColor="text1"/>
          <w:sz w:val="16"/>
          <w:szCs w:val="16"/>
        </w:rPr>
      </w:pPr>
    </w:p>
    <w:p w14:paraId="17FF820C" w14:textId="77777777" w:rsidR="00BC3EB8" w:rsidRPr="00A259BD" w:rsidRDefault="00BC3EB8"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начале 1929 г. полномочия Штаба РККА были существенно расширены, что превращало его в директивный орган по вопросам мобилизации и организации армии, распоряжение которого Главному управлению следовало принимать к исполнению (22725).</w:t>
      </w:r>
    </w:p>
    <w:p w14:paraId="402CD050" w14:textId="77777777" w:rsidR="00BC3EB8" w:rsidRPr="00A259BD" w:rsidRDefault="00BC3EB8" w:rsidP="009236E3">
      <w:pPr>
        <w:spacing w:after="0" w:line="240" w:lineRule="auto"/>
        <w:jc w:val="both"/>
        <w:rPr>
          <w:rFonts w:ascii="Times New Roman" w:hAnsi="Times New Roman"/>
          <w:color w:val="000000" w:themeColor="text1"/>
          <w:sz w:val="16"/>
          <w:szCs w:val="16"/>
          <w:shd w:val="clear" w:color="auto" w:fill="FFFFFF"/>
        </w:rPr>
      </w:pPr>
    </w:p>
    <w:p w14:paraId="002CC255" w14:textId="77777777" w:rsidR="00F547C5" w:rsidRPr="00A259BD" w:rsidRDefault="00EA483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5027F4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27CC25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началу 1929-го власти страны вынуждены были ввести карточную систему во всех городах СССР. Вначале был нормирован хлеб, а потом и другие дефицитные продукты - сахар, мясо, масло, чай и прочее. В 1932-1933 годах карточки ввели даже на картофель. Каждая область имела свою форму и порядок выдачи карточек. Сначала их выдавала потребкооперация, с 1931 года - исполкомы советов. В Казани в конце 1920-х также выстраивались огромные очереди в продовольственные магазины. Продуктов не хватало. К тому же вследствие коллективизации и бегства крестьян в города население города резко возросло. Увеличивалось оно и из-за развернувшегося в городе огромного строительства: на стройки Казани - </w:t>
      </w:r>
      <w:proofErr w:type="spellStart"/>
      <w:r w:rsidRPr="00A259BD">
        <w:rPr>
          <w:rFonts w:ascii="Times New Roman" w:hAnsi="Times New Roman"/>
          <w:color w:val="000000" w:themeColor="text1"/>
          <w:sz w:val="16"/>
          <w:szCs w:val="16"/>
        </w:rPr>
        <w:t>Авиастрой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Машинострой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Грэсстрой</w:t>
      </w:r>
      <w:proofErr w:type="spellEnd"/>
      <w:r w:rsidRPr="00A259BD">
        <w:rPr>
          <w:rFonts w:ascii="Times New Roman" w:hAnsi="Times New Roman"/>
          <w:color w:val="000000" w:themeColor="text1"/>
          <w:sz w:val="16"/>
          <w:szCs w:val="16"/>
        </w:rPr>
        <w:t xml:space="preserve"> и другие - прибывали и прибывали строители. 15 февраля 1929 года вышло постановление наркомата торговли ТССР, по которому в Казани и в рабочих районах республики вводилась карточная система - "заборные книжки" на хлеб. Но хлеб выдавался не бесплатно: так, в 1932 году ржаной по карточкам стоил 9 копеек за килограмм, а пшеничный - 20 копеек(4). Заборные карточки выдавались на семью. Хлебом обеспечивались рабочие, служащие, учащиеся, безработные, кустари, инвалиды, пенсионеры. "Нетрудовые элементы" - торговцы, служители религиозных культов, лишенные избирательных прав, - снабжению не подлежали (11566).</w:t>
      </w:r>
    </w:p>
    <w:p w14:paraId="5DD791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F588E8" w14:textId="77777777" w:rsidR="00410640" w:rsidRPr="00A259BD" w:rsidRDefault="00410640" w:rsidP="009236E3">
      <w:pPr>
        <w:spacing w:after="0" w:line="240" w:lineRule="auto"/>
        <w:jc w:val="both"/>
        <w:rPr>
          <w:rFonts w:ascii="Times New Roman" w:hAnsi="Times New Roman"/>
          <w:color w:val="000000" w:themeColor="text1"/>
          <w:sz w:val="16"/>
          <w:szCs w:val="16"/>
        </w:rPr>
      </w:pPr>
      <w:r w:rsidRPr="00A259BD">
        <w:rPr>
          <w:rStyle w:val="92"/>
          <w:rFonts w:ascii="Times New Roman" w:hAnsi="Times New Roman"/>
          <w:color w:val="000000" w:themeColor="text1"/>
          <w:sz w:val="16"/>
          <w:szCs w:val="16"/>
        </w:rPr>
        <w:t>В начале 1929 г. началась кампания по развертыванию массо</w:t>
      </w:r>
      <w:r w:rsidRPr="00A259BD">
        <w:rPr>
          <w:rStyle w:val="92"/>
          <w:rFonts w:ascii="Times New Roman" w:hAnsi="Times New Roman"/>
          <w:color w:val="000000" w:themeColor="text1"/>
          <w:sz w:val="16"/>
          <w:szCs w:val="16"/>
        </w:rPr>
        <w:softHyphen/>
        <w:t>вого социалистического соревнования на фабриках, заводах, транспорте, в строительстве, призванная ускорить темпы ин</w:t>
      </w:r>
      <w:r w:rsidRPr="00A259BD">
        <w:rPr>
          <w:rStyle w:val="92"/>
          <w:rFonts w:ascii="Times New Roman" w:hAnsi="Times New Roman"/>
          <w:color w:val="000000" w:themeColor="text1"/>
          <w:sz w:val="16"/>
          <w:szCs w:val="16"/>
        </w:rPr>
        <w:softHyphen/>
        <w:t>дустриализации, поддержать их “снизу”. Кампания охватила все отрасли, в том числе военные заводы, и приобрела разно</w:t>
      </w:r>
      <w:r w:rsidRPr="00A259BD">
        <w:rPr>
          <w:rStyle w:val="92"/>
          <w:rFonts w:ascii="Times New Roman" w:hAnsi="Times New Roman"/>
          <w:color w:val="000000" w:themeColor="text1"/>
          <w:sz w:val="16"/>
          <w:szCs w:val="16"/>
        </w:rPr>
        <w:softHyphen/>
        <w:t>образные формы: движение ударных бригад, принятие встреч</w:t>
      </w:r>
      <w:r w:rsidRPr="00A259BD">
        <w:rPr>
          <w:rStyle w:val="92"/>
          <w:rFonts w:ascii="Times New Roman" w:hAnsi="Times New Roman"/>
          <w:color w:val="000000" w:themeColor="text1"/>
          <w:sz w:val="16"/>
          <w:szCs w:val="16"/>
        </w:rPr>
        <w:softHyphen/>
        <w:t>ных повышенных планов, направленных на досрочное выпол</w:t>
      </w:r>
      <w:r w:rsidRPr="00A259BD">
        <w:rPr>
          <w:rStyle w:val="92"/>
          <w:rFonts w:ascii="Times New Roman" w:hAnsi="Times New Roman"/>
          <w:color w:val="000000" w:themeColor="text1"/>
          <w:sz w:val="16"/>
          <w:szCs w:val="16"/>
        </w:rPr>
        <w:softHyphen/>
        <w:t>нение заданий, переход на сменность и непрерывку, движе</w:t>
      </w:r>
      <w:r w:rsidRPr="00A259BD">
        <w:rPr>
          <w:rStyle w:val="92"/>
          <w:rFonts w:ascii="Times New Roman" w:hAnsi="Times New Roman"/>
          <w:color w:val="000000" w:themeColor="text1"/>
          <w:sz w:val="16"/>
          <w:szCs w:val="16"/>
        </w:rPr>
        <w:softHyphen/>
        <w:t>ние ДИП (догнать и перегнать капиталистические страны) и другие (17200).</w:t>
      </w:r>
    </w:p>
    <w:p w14:paraId="339208F8" w14:textId="77777777" w:rsidR="00410640" w:rsidRPr="00A259BD" w:rsidRDefault="00410640" w:rsidP="009236E3">
      <w:pPr>
        <w:spacing w:after="0" w:line="240" w:lineRule="auto"/>
        <w:jc w:val="both"/>
        <w:rPr>
          <w:rFonts w:ascii="Times New Roman" w:hAnsi="Times New Roman"/>
          <w:color w:val="000000" w:themeColor="text1"/>
          <w:sz w:val="16"/>
          <w:szCs w:val="16"/>
        </w:rPr>
      </w:pPr>
    </w:p>
    <w:p w14:paraId="046EE006" w14:textId="77777777" w:rsidR="00D8460C" w:rsidRPr="00A259BD" w:rsidRDefault="00D8460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1929 г. началась кампания по развертыванию массового социалистического соревнования на фабриках, заводах, транспорте, в строительстве, призванная ускорить темпы индустриализации, поддержать их “снизу”. Кампания охватила все отрасли, в том числе военные заводы, и приобрела разнообразные формы: движение ударных бригад, принятие встречных повышенных планов, направленных на досрочное выполнение заданий, переход на сменность и непрерывку, движение ДИП (догнать и перегнать капиталистические страны) и другие (18393).</w:t>
      </w:r>
    </w:p>
    <w:p w14:paraId="2C94F60F" w14:textId="77777777" w:rsidR="00D8460C" w:rsidRPr="00A259BD" w:rsidRDefault="00D8460C" w:rsidP="009236E3">
      <w:pPr>
        <w:spacing w:after="0" w:line="240" w:lineRule="auto"/>
        <w:jc w:val="both"/>
        <w:rPr>
          <w:rFonts w:ascii="Times New Roman" w:hAnsi="Times New Roman"/>
          <w:color w:val="000000" w:themeColor="text1"/>
          <w:sz w:val="16"/>
          <w:szCs w:val="16"/>
        </w:rPr>
      </w:pPr>
    </w:p>
    <w:p w14:paraId="2B5E0246"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начало 1929 г. пришлась кампания по развертыванию массового социалистического соревнования на фабриках, заводах, на транспорте, в строительстве. Была опубликована и предназначена к массовому изучению работа Ленина «Как нам организовать соревнование». В течение нескольких месяцев вся пресса во главе с «Правдой», партийные, профсоюзные, комсомольские органы усиленно пропагандировали различные трудовые почины. Широкое распространение получили такие формы соревнования как движение ударников, движение за принятие встречных планов, «непрерывка», движение «догнать и перегнать» (ДИП) капиталистические страны по объемам производства и производительности труда и пр. Социалистическое соревнование провозглашалось одним из главных условий выполнения заданий пятилетки, формирования нового отношения к труду и нового человека социалистического общества. Участие в социалистическом соревновании считалось важнейшим инструментом классовой борьбы, а ударники противопоставлялись остальным рабочим, нередко относимым к отсталым элементам, препятствующим строительству социализма, и дезорганизаторам производства.</w:t>
      </w:r>
    </w:p>
    <w:p w14:paraId="508A1491"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Для стимулирования соревнования предусматривалось выделение особого фонда премирования за лучшие достижения, однако поначалу больше применялись различные формы морального и общественного поощрения (грамоты, свидетельства, удостоверения, доски почета, пропаганда достижений ударников через прессу и т.п.). На ударника награды должны были сыпаться со всех сторон. Материальное вознаграждение в виде премий выдавалось только за превышение плана, премирование же за выполнение производственных заданий допускалось лишь в тех случаях, когда это было связано с исключительным напряжением в работе. Фонды содействия социалистическому соревнованию должны были складываться из отчислений предприятий в размере 40% от экономии, полученной в результате развития соревнования. Сам фонд использовался не только на выдачу премий, но и на пропаганду соревнования и связанные с этим расходы. Премии сочетались с предоставлением культурно-бытовых благ, преимущественным предоставлением путевок в санатории и дома отдыха, дополнительных отпусков, права поступать в вузы и техникумы. Некоторые руководители не создавали фондов или использовали их не по назначению. Сами премии порою бывали ничтожными. Так, на одном заводе было выдано по две пачки папирос каждому ударнику (21332).</w:t>
      </w:r>
    </w:p>
    <w:p w14:paraId="5C43D00C" w14:textId="43ECDCA8" w:rsidR="00BC3EB8" w:rsidRPr="00A259BD" w:rsidRDefault="00BC3EB8" w:rsidP="009236E3">
      <w:pPr>
        <w:spacing w:after="0" w:line="240" w:lineRule="auto"/>
        <w:jc w:val="both"/>
        <w:rPr>
          <w:rFonts w:ascii="Times New Roman" w:hAnsi="Times New Roman"/>
          <w:color w:val="000000" w:themeColor="text1"/>
          <w:sz w:val="16"/>
          <w:szCs w:val="16"/>
        </w:rPr>
      </w:pPr>
    </w:p>
    <w:p w14:paraId="70D9F916" w14:textId="2808B807" w:rsidR="00BC3EB8" w:rsidRPr="00A259BD" w:rsidRDefault="00BC3EB8" w:rsidP="009236E3">
      <w:pPr>
        <w:spacing w:after="0" w:line="240" w:lineRule="auto"/>
        <w:jc w:val="both"/>
        <w:rPr>
          <w:rFonts w:ascii="Times New Roman" w:hAnsi="Times New Roman"/>
          <w:i/>
          <w:iCs/>
          <w:color w:val="000000" w:themeColor="text1"/>
          <w:sz w:val="16"/>
          <w:szCs w:val="16"/>
        </w:rPr>
      </w:pPr>
      <w:r w:rsidRPr="00A259BD">
        <w:rPr>
          <w:rFonts w:ascii="Times New Roman" w:hAnsi="Times New Roman"/>
          <w:i/>
          <w:iCs/>
          <w:color w:val="000000" w:themeColor="text1"/>
          <w:sz w:val="16"/>
          <w:szCs w:val="16"/>
        </w:rPr>
        <w:t>За рубежом:</w:t>
      </w:r>
    </w:p>
    <w:p w14:paraId="297835F7" w14:textId="77777777" w:rsidR="00BC3EB8" w:rsidRPr="00A259BD" w:rsidRDefault="00BC3EB8" w:rsidP="009236E3">
      <w:pPr>
        <w:spacing w:after="0" w:line="240" w:lineRule="auto"/>
        <w:jc w:val="both"/>
        <w:rPr>
          <w:rFonts w:ascii="Times New Roman" w:hAnsi="Times New Roman"/>
          <w:i/>
          <w:iCs/>
          <w:color w:val="000000" w:themeColor="text1"/>
          <w:sz w:val="16"/>
          <w:szCs w:val="16"/>
        </w:rPr>
      </w:pPr>
    </w:p>
    <w:p w14:paraId="38CFA559"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Начало 1929 г. первый полет Томас-Морс XP-13 </w:t>
      </w:r>
      <w:proofErr w:type="spellStart"/>
      <w:r w:rsidRPr="00A259BD">
        <w:rPr>
          <w:rFonts w:ascii="Times New Roman" w:hAnsi="Times New Roman"/>
          <w:color w:val="000000" w:themeColor="text1"/>
          <w:sz w:val="16"/>
          <w:szCs w:val="16"/>
        </w:rPr>
        <w:t>Viper</w:t>
      </w:r>
      <w:proofErr w:type="spellEnd"/>
      <w:r w:rsidRPr="00A259BD">
        <w:rPr>
          <w:rFonts w:ascii="Times New Roman" w:hAnsi="Times New Roman"/>
          <w:color w:val="000000" w:themeColor="text1"/>
          <w:sz w:val="16"/>
          <w:szCs w:val="16"/>
        </w:rPr>
        <w:t xml:space="preserve"> (20806).</w:t>
      </w:r>
    </w:p>
    <w:p w14:paraId="110706B9" w14:textId="77777777" w:rsidR="00BC3EB8" w:rsidRPr="00A259BD" w:rsidRDefault="00BC3EB8" w:rsidP="009236E3">
      <w:pPr>
        <w:spacing w:after="0" w:line="240" w:lineRule="auto"/>
        <w:jc w:val="both"/>
        <w:rPr>
          <w:rFonts w:ascii="Times New Roman" w:hAnsi="Times New Roman"/>
          <w:color w:val="000000" w:themeColor="text1"/>
          <w:sz w:val="16"/>
          <w:szCs w:val="16"/>
        </w:rPr>
      </w:pPr>
    </w:p>
    <w:p w14:paraId="37B21B49"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начале 1929 г. один из опытных образцов автожиров де ла </w:t>
      </w:r>
      <w:proofErr w:type="spellStart"/>
      <w:r w:rsidRPr="00A259BD">
        <w:rPr>
          <w:rFonts w:ascii="Times New Roman" w:hAnsi="Times New Roman"/>
          <w:color w:val="000000" w:themeColor="text1"/>
          <w:sz w:val="16"/>
          <w:szCs w:val="16"/>
        </w:rPr>
        <w:t>Сиервы</w:t>
      </w:r>
      <w:proofErr w:type="spellEnd"/>
      <w:r w:rsidRPr="00A259BD">
        <w:rPr>
          <w:rFonts w:ascii="Times New Roman" w:hAnsi="Times New Roman"/>
          <w:color w:val="000000" w:themeColor="text1"/>
          <w:sz w:val="16"/>
          <w:szCs w:val="16"/>
        </w:rPr>
        <w:t>, по</w:t>
      </w:r>
      <w:r w:rsidRPr="00A259BD">
        <w:rPr>
          <w:rFonts w:ascii="Times New Roman" w:hAnsi="Times New Roman"/>
          <w:color w:val="000000" w:themeColor="text1"/>
          <w:sz w:val="16"/>
          <w:szCs w:val="16"/>
        </w:rPr>
        <w:softHyphen/>
        <w:t>лучивший обозначение С-8 Мк.111, был при</w:t>
      </w:r>
      <w:r w:rsidRPr="00A259BD">
        <w:rPr>
          <w:rFonts w:ascii="Times New Roman" w:hAnsi="Times New Roman"/>
          <w:color w:val="000000" w:themeColor="text1"/>
          <w:sz w:val="16"/>
          <w:szCs w:val="16"/>
        </w:rPr>
        <w:softHyphen/>
        <w:t>обретен для авиации Италии. Для его передачи и прове</w:t>
      </w:r>
      <w:r w:rsidRPr="00A259BD">
        <w:rPr>
          <w:rFonts w:ascii="Times New Roman" w:hAnsi="Times New Roman"/>
          <w:color w:val="000000" w:themeColor="text1"/>
          <w:sz w:val="16"/>
          <w:szCs w:val="16"/>
        </w:rPr>
        <w:softHyphen/>
        <w:t>дения сдаточных полетов конструктор лично выехал в Рим. При демонстрации возможностей автожира в янва</w:t>
      </w:r>
      <w:r w:rsidRPr="00A259BD">
        <w:rPr>
          <w:rFonts w:ascii="Times New Roman" w:hAnsi="Times New Roman"/>
          <w:color w:val="000000" w:themeColor="text1"/>
          <w:sz w:val="16"/>
          <w:szCs w:val="16"/>
        </w:rPr>
        <w:softHyphen/>
        <w:t>ре 1929 г. присутствовали высшие авиационные чиновни</w:t>
      </w:r>
      <w:r w:rsidRPr="00A259BD">
        <w:rPr>
          <w:rFonts w:ascii="Times New Roman" w:hAnsi="Times New Roman"/>
          <w:color w:val="000000" w:themeColor="text1"/>
          <w:sz w:val="16"/>
          <w:szCs w:val="16"/>
        </w:rPr>
        <w:softHyphen/>
        <w:t xml:space="preserve">ки авиации Италии во главе с генералом </w:t>
      </w: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xml:space="preserve"> и ряд во</w:t>
      </w:r>
      <w:r w:rsidRPr="00A259BD">
        <w:rPr>
          <w:rFonts w:ascii="Times New Roman" w:hAnsi="Times New Roman"/>
          <w:color w:val="000000" w:themeColor="text1"/>
          <w:sz w:val="16"/>
          <w:szCs w:val="16"/>
        </w:rPr>
        <w:softHyphen/>
        <w:t>енных представителей других государств. Советский воен</w:t>
      </w:r>
      <w:r w:rsidRPr="00A259BD">
        <w:rPr>
          <w:rFonts w:ascii="Times New Roman" w:hAnsi="Times New Roman"/>
          <w:color w:val="000000" w:themeColor="text1"/>
          <w:sz w:val="16"/>
          <w:szCs w:val="16"/>
        </w:rPr>
        <w:softHyphen/>
        <w:t xml:space="preserve">ный атташе при Полпредстве СССР в Италии Силин в своем послании от 17 января 1929 г. подробно описал это событие: «16 января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xml:space="preserve">. я был на аэродроме </w:t>
      </w:r>
      <w:proofErr w:type="spellStart"/>
      <w:r w:rsidRPr="00A259BD">
        <w:rPr>
          <w:rFonts w:ascii="Times New Roman" w:hAnsi="Times New Roman"/>
          <w:color w:val="000000" w:themeColor="text1"/>
          <w:sz w:val="16"/>
          <w:szCs w:val="16"/>
        </w:rPr>
        <w:t>Монтечелио</w:t>
      </w:r>
      <w:proofErr w:type="spellEnd"/>
      <w:r w:rsidRPr="00A259BD">
        <w:rPr>
          <w:rFonts w:ascii="Times New Roman" w:hAnsi="Times New Roman"/>
          <w:color w:val="000000" w:themeColor="text1"/>
          <w:sz w:val="16"/>
          <w:szCs w:val="16"/>
        </w:rPr>
        <w:t xml:space="preserve"> и имел возможность видеть «автожир» инженера </w:t>
      </w:r>
      <w:proofErr w:type="spellStart"/>
      <w:r w:rsidRPr="00A259BD">
        <w:rPr>
          <w:rFonts w:ascii="Times New Roman" w:hAnsi="Times New Roman"/>
          <w:color w:val="000000" w:themeColor="text1"/>
          <w:sz w:val="16"/>
          <w:szCs w:val="16"/>
        </w:rPr>
        <w:t>Сиервы</w:t>
      </w:r>
      <w:proofErr w:type="spellEnd"/>
      <w:r w:rsidRPr="00A259BD">
        <w:rPr>
          <w:rFonts w:ascii="Times New Roman" w:hAnsi="Times New Roman"/>
          <w:color w:val="000000" w:themeColor="text1"/>
          <w:sz w:val="16"/>
          <w:szCs w:val="16"/>
        </w:rPr>
        <w:t>». Далее Силин критически оценивает все эти полеты, о ко</w:t>
      </w:r>
      <w:r w:rsidRPr="00A259BD">
        <w:rPr>
          <w:rFonts w:ascii="Times New Roman" w:hAnsi="Times New Roman"/>
          <w:color w:val="000000" w:themeColor="text1"/>
          <w:sz w:val="16"/>
          <w:szCs w:val="16"/>
        </w:rPr>
        <w:softHyphen/>
        <w:t>торых итальянская пресса, наоборот, писала весьма вос</w:t>
      </w:r>
      <w:r w:rsidRPr="00A259BD">
        <w:rPr>
          <w:rFonts w:ascii="Times New Roman" w:hAnsi="Times New Roman"/>
          <w:color w:val="000000" w:themeColor="text1"/>
          <w:sz w:val="16"/>
          <w:szCs w:val="16"/>
        </w:rPr>
        <w:softHyphen/>
        <w:t xml:space="preserve">торженно. Он сообщает, что де ла </w:t>
      </w:r>
      <w:proofErr w:type="spellStart"/>
      <w:r w:rsidRPr="00A259BD">
        <w:rPr>
          <w:rFonts w:ascii="Times New Roman" w:hAnsi="Times New Roman"/>
          <w:color w:val="000000" w:themeColor="text1"/>
          <w:sz w:val="16"/>
          <w:szCs w:val="16"/>
        </w:rPr>
        <w:t>Сиерва</w:t>
      </w:r>
      <w:proofErr w:type="spellEnd"/>
      <w:r w:rsidRPr="00A259BD">
        <w:rPr>
          <w:rFonts w:ascii="Times New Roman" w:hAnsi="Times New Roman"/>
          <w:color w:val="000000" w:themeColor="text1"/>
          <w:sz w:val="16"/>
          <w:szCs w:val="16"/>
        </w:rPr>
        <w:t xml:space="preserve"> выполнил все</w:t>
      </w:r>
      <w:r w:rsidRPr="00A259BD">
        <w:rPr>
          <w:rFonts w:ascii="Times New Roman" w:hAnsi="Times New Roman"/>
          <w:color w:val="000000" w:themeColor="text1"/>
          <w:sz w:val="16"/>
          <w:szCs w:val="16"/>
        </w:rPr>
        <w:softHyphen/>
        <w:t>го три полета, при этом старт осуществлял на значитель</w:t>
      </w:r>
      <w:r w:rsidRPr="00A259BD">
        <w:rPr>
          <w:rFonts w:ascii="Times New Roman" w:hAnsi="Times New Roman"/>
          <w:color w:val="000000" w:themeColor="text1"/>
          <w:sz w:val="16"/>
          <w:szCs w:val="16"/>
        </w:rPr>
        <w:softHyphen/>
        <w:t>ном удалении, наиболее эффектные подъемы и снижения осуществлял в направлении зрителей. То есть, наблюда</w:t>
      </w:r>
      <w:r w:rsidRPr="00A259BD">
        <w:rPr>
          <w:rFonts w:ascii="Times New Roman" w:hAnsi="Times New Roman"/>
          <w:color w:val="000000" w:themeColor="text1"/>
          <w:sz w:val="16"/>
          <w:szCs w:val="16"/>
        </w:rPr>
        <w:softHyphen/>
        <w:t>тель видел вертикальную составляющую полета и не мог оценить длину разбега или пробега при посадке. По мне</w:t>
      </w:r>
      <w:r w:rsidRPr="00A259BD">
        <w:rPr>
          <w:rFonts w:ascii="Times New Roman" w:hAnsi="Times New Roman"/>
          <w:color w:val="000000" w:themeColor="text1"/>
          <w:sz w:val="16"/>
          <w:szCs w:val="16"/>
        </w:rPr>
        <w:softHyphen/>
        <w:t>нию Силина, автожир не показал действительно вертикаль</w:t>
      </w:r>
      <w:r w:rsidRPr="00A259BD">
        <w:rPr>
          <w:rFonts w:ascii="Times New Roman" w:hAnsi="Times New Roman"/>
          <w:color w:val="000000" w:themeColor="text1"/>
          <w:sz w:val="16"/>
          <w:szCs w:val="16"/>
        </w:rPr>
        <w:softHyphen/>
        <w:t>ных подъема и спуска. Особого отличия от самолетов со</w:t>
      </w:r>
      <w:r w:rsidRPr="00A259BD">
        <w:rPr>
          <w:rFonts w:ascii="Times New Roman" w:hAnsi="Times New Roman"/>
          <w:color w:val="000000" w:themeColor="text1"/>
          <w:sz w:val="16"/>
          <w:szCs w:val="16"/>
        </w:rPr>
        <w:softHyphen/>
        <w:t>ветский атташе не заметил, в отношении остального до</w:t>
      </w:r>
      <w:r w:rsidRPr="00A259BD">
        <w:rPr>
          <w:rFonts w:ascii="Times New Roman" w:hAnsi="Times New Roman"/>
          <w:color w:val="000000" w:themeColor="text1"/>
          <w:sz w:val="16"/>
          <w:szCs w:val="16"/>
        </w:rPr>
        <w:softHyphen/>
        <w:t>бавлял:</w:t>
      </w:r>
    </w:p>
    <w:p w14:paraId="46CD8594"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личных наблюдений могу добавить следующее:</w:t>
      </w:r>
    </w:p>
    <w:p w14:paraId="558A523C"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Длина аппарата на глаз 10 метров.</w:t>
      </w:r>
    </w:p>
    <w:p w14:paraId="3681AEF9"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Размах крыльев 7 метров.</w:t>
      </w:r>
    </w:p>
    <w:p w14:paraId="282264DE"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Центральная ось лопастей впереди места первого лет</w:t>
      </w:r>
      <w:r w:rsidRPr="00A259BD">
        <w:rPr>
          <w:rFonts w:ascii="Times New Roman" w:hAnsi="Times New Roman"/>
          <w:color w:val="000000" w:themeColor="text1"/>
          <w:sz w:val="16"/>
          <w:szCs w:val="16"/>
        </w:rPr>
        <w:softHyphen/>
        <w:t>чика.</w:t>
      </w:r>
    </w:p>
    <w:p w14:paraId="4A846D64"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Аппарат двухместный, но летал </w:t>
      </w:r>
      <w:proofErr w:type="spellStart"/>
      <w:r w:rsidRPr="00A259BD">
        <w:rPr>
          <w:rFonts w:ascii="Times New Roman" w:hAnsi="Times New Roman"/>
          <w:color w:val="000000" w:themeColor="text1"/>
          <w:sz w:val="16"/>
          <w:szCs w:val="16"/>
        </w:rPr>
        <w:t>Сиерва</w:t>
      </w:r>
      <w:proofErr w:type="spellEnd"/>
      <w:r w:rsidRPr="00A259BD">
        <w:rPr>
          <w:rFonts w:ascii="Times New Roman" w:hAnsi="Times New Roman"/>
          <w:color w:val="000000" w:themeColor="text1"/>
          <w:sz w:val="16"/>
          <w:szCs w:val="16"/>
        </w:rPr>
        <w:t xml:space="preserve"> один, без пассажиров.</w:t>
      </w:r>
    </w:p>
    <w:p w14:paraId="55657FE0"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Лопасти автожира по длине доходят точно до руля на</w:t>
      </w:r>
      <w:r w:rsidRPr="00A259BD">
        <w:rPr>
          <w:rFonts w:ascii="Times New Roman" w:hAnsi="Times New Roman"/>
          <w:color w:val="000000" w:themeColor="text1"/>
          <w:sz w:val="16"/>
          <w:szCs w:val="16"/>
        </w:rPr>
        <w:softHyphen/>
        <w:t>правления, т.е. размер их составляет около 7 метров.</w:t>
      </w:r>
    </w:p>
    <w:p w14:paraId="31E79974" w14:textId="77777777" w:rsidR="00BC3EB8" w:rsidRPr="00A259BD" w:rsidRDefault="00BC3E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...Посмотреть аппарат близко, видеть кабину летчика, механизмы управления лопастями и т.п. не было представ</w:t>
      </w:r>
      <w:r w:rsidRPr="00A259BD">
        <w:rPr>
          <w:rFonts w:ascii="Times New Roman" w:hAnsi="Times New Roman"/>
          <w:color w:val="000000" w:themeColor="text1"/>
          <w:sz w:val="16"/>
          <w:szCs w:val="16"/>
        </w:rPr>
        <w:softHyphen/>
        <w:t>лено возможности» (20361).</w:t>
      </w:r>
    </w:p>
    <w:p w14:paraId="1CF6D242" w14:textId="77777777" w:rsidR="00BC3EB8" w:rsidRPr="00A259BD" w:rsidRDefault="00BC3EB8" w:rsidP="009236E3">
      <w:pPr>
        <w:spacing w:after="0" w:line="240" w:lineRule="auto"/>
        <w:jc w:val="both"/>
        <w:rPr>
          <w:rFonts w:ascii="Times New Roman" w:hAnsi="Times New Roman"/>
          <w:color w:val="000000" w:themeColor="text1"/>
          <w:sz w:val="16"/>
          <w:szCs w:val="16"/>
        </w:rPr>
      </w:pPr>
    </w:p>
    <w:p w14:paraId="69B079E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241BF0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F4A52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Зимой 1929 </w:t>
      </w:r>
      <w:proofErr w:type="spellStart"/>
      <w:r w:rsidRPr="00A259BD">
        <w:rPr>
          <w:rFonts w:ascii="Times New Roman" w:hAnsi="Times New Roman"/>
          <w:color w:val="000000" w:themeColor="text1"/>
          <w:sz w:val="16"/>
          <w:szCs w:val="16"/>
        </w:rPr>
        <w:t>Б.Н.Кудрин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Ю.И.Пионтковский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Н.Благин</w:t>
      </w:r>
      <w:proofErr w:type="spellEnd"/>
      <w:r w:rsidRPr="00A259BD">
        <w:rPr>
          <w:rFonts w:ascii="Times New Roman" w:hAnsi="Times New Roman"/>
          <w:color w:val="000000" w:themeColor="text1"/>
          <w:sz w:val="16"/>
          <w:szCs w:val="16"/>
        </w:rPr>
        <w:t xml:space="preserve"> испытали БИЧ-7 Б.И.Ч., но пришлось изменять и сделали БИЧ-7А, который прошел гос. испытания в 1933 (393,83).</w:t>
      </w:r>
    </w:p>
    <w:p w14:paraId="013E57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FA1EA0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19BE23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431F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февралю 1929 г. закончили проекты М-26 и М-29. До стадии опытных образцов дошел только М-26, по М-29 работы прекратили раньше. Еще до завершения полных заводских испытаний один 2М-15 устано</w:t>
      </w:r>
      <w:r w:rsidRPr="00A259BD">
        <w:rPr>
          <w:rFonts w:ascii="Times New Roman" w:hAnsi="Times New Roman"/>
          <w:color w:val="000000" w:themeColor="text1"/>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A259BD">
        <w:rPr>
          <w:rFonts w:ascii="Times New Roman" w:hAnsi="Times New Roman"/>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A259BD">
        <w:rPr>
          <w:rFonts w:ascii="Times New Roman" w:hAnsi="Times New Roman"/>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A259BD">
        <w:rPr>
          <w:rFonts w:ascii="Times New Roman" w:hAnsi="Times New Roman"/>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A259BD">
        <w:rPr>
          <w:rFonts w:ascii="Times New Roman" w:hAnsi="Times New Roman"/>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A259BD">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3E163D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М-26 разработан под руководством А.А. Бессонова на заводе № 24 для заме</w:t>
      </w:r>
      <w:r w:rsidRPr="00A259BD">
        <w:rPr>
          <w:rFonts w:ascii="Times New Roman" w:hAnsi="Times New Roman"/>
          <w:color w:val="000000" w:themeColor="text1"/>
          <w:sz w:val="16"/>
          <w:szCs w:val="16"/>
        </w:rPr>
        <w:softHyphen/>
        <w:t>ны импортных моторов Райт 36 с использованием деталей и узлов мотора М-15. Проектировался с сентября 1928 г. по февраль 1929 г. Первоначаль</w:t>
      </w:r>
      <w:r w:rsidRPr="00A259BD">
        <w:rPr>
          <w:rFonts w:ascii="Times New Roman" w:hAnsi="Times New Roman"/>
          <w:color w:val="000000" w:themeColor="text1"/>
          <w:sz w:val="16"/>
          <w:szCs w:val="16"/>
        </w:rPr>
        <w:softHyphen/>
        <w:t>но именовался «переходный по М15», позже появилось название КИМ (Коммунистический интернационал молодежи). Опытные образцы испы</w:t>
      </w:r>
      <w:r w:rsidRPr="00A259BD">
        <w:rPr>
          <w:rFonts w:ascii="Times New Roman" w:hAnsi="Times New Roman"/>
          <w:color w:val="000000" w:themeColor="text1"/>
          <w:sz w:val="16"/>
          <w:szCs w:val="16"/>
        </w:rPr>
        <w:softHyphen/>
        <w:t>тывались в 1930 г. М-26 дважды представлялся на госиспытания (в июне 1930 г. и в феврале 1931 г.), во втором случае прошел их успешно. Се</w:t>
      </w:r>
      <w:r w:rsidRPr="00A259BD">
        <w:rPr>
          <w:rFonts w:ascii="Times New Roman" w:hAnsi="Times New Roman"/>
          <w:color w:val="000000" w:themeColor="text1"/>
          <w:sz w:val="16"/>
          <w:szCs w:val="16"/>
        </w:rPr>
        <w:softHyphen/>
        <w:t>рийное производство велось на заводе № 24 (Москва) в 1931-1933 гг. Вы</w:t>
      </w:r>
      <w:r w:rsidRPr="00A259BD">
        <w:rPr>
          <w:rFonts w:ascii="Times New Roman" w:hAnsi="Times New Roman"/>
          <w:color w:val="000000" w:themeColor="text1"/>
          <w:sz w:val="16"/>
          <w:szCs w:val="16"/>
        </w:rPr>
        <w:softHyphen/>
        <w:t>пущено 445 экз. Мотор эксплуатировался только в гражданской авиации. Снят с производства и с эксплуатации в связи с низкой надежностью.</w:t>
      </w:r>
    </w:p>
    <w:p w14:paraId="762EEE2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Характеристики:</w:t>
      </w:r>
    </w:p>
    <w:p w14:paraId="017367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7-цилиндровый, звездообразный, четырехтактный, воздушного охлаж</w:t>
      </w:r>
      <w:r w:rsidRPr="00A259BD">
        <w:rPr>
          <w:rFonts w:ascii="Times New Roman" w:hAnsi="Times New Roman"/>
          <w:color w:val="000000" w:themeColor="text1"/>
          <w:sz w:val="16"/>
          <w:szCs w:val="16"/>
        </w:rPr>
        <w:softHyphen/>
        <w:t>дения;</w:t>
      </w:r>
    </w:p>
    <w:p w14:paraId="435559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мощность 270/300 л.с. (по проекту 300/350 л.с.);</w:t>
      </w:r>
    </w:p>
    <w:p w14:paraId="3C44899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диаметр цилиндра/ход поршня 150/170 мм;</w:t>
      </w:r>
    </w:p>
    <w:p w14:paraId="2C5ECE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объем 21,0 л;</w:t>
      </w:r>
    </w:p>
    <w:p w14:paraId="4C29C4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степень сжатия 5,4;</w:t>
      </w:r>
    </w:p>
    <w:p w14:paraId="7963CC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безредукторный</w:t>
      </w:r>
      <w:proofErr w:type="spellEnd"/>
      <w:r w:rsidRPr="00A259BD">
        <w:rPr>
          <w:rFonts w:ascii="Times New Roman" w:hAnsi="Times New Roman"/>
          <w:color w:val="000000" w:themeColor="text1"/>
          <w:sz w:val="16"/>
          <w:szCs w:val="16"/>
        </w:rPr>
        <w:t>;</w:t>
      </w:r>
    </w:p>
    <w:p w14:paraId="04ADC81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вес по проекту 300 кг, фактический — 375 кг (без втулки винта);</w:t>
      </w:r>
    </w:p>
    <w:p w14:paraId="19E26D4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имел ПЦН.</w:t>
      </w:r>
    </w:p>
    <w:p w14:paraId="1E8722D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Устанавливался на серийных самолетах АНТ-9, «Сталь-2», автожире А-4 (малая серия). Предлагалось использование в проекте самолета МФС. Существовал мотор 1946 г. под тем же обозначением (11852).</w:t>
      </w:r>
    </w:p>
    <w:p w14:paraId="4150A1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 14-цилиндрового двигателя М-29 на базе сдвоенного М-26 с форсиро</w:t>
      </w:r>
      <w:r w:rsidRPr="00A259BD">
        <w:rPr>
          <w:rFonts w:ascii="Times New Roman" w:hAnsi="Times New Roman"/>
          <w:color w:val="000000" w:themeColor="text1"/>
          <w:sz w:val="16"/>
          <w:szCs w:val="16"/>
        </w:rPr>
        <w:softHyphen/>
        <w:t>ванием по наддуву. Разрабатывался на заводе № 24 в сентябре 1928 г. феврале 1929 г. В 1930 г. задание по нему передано НАМ, но фактически работа по нему там не велась. Опытный образец не строился.</w:t>
      </w:r>
    </w:p>
    <w:p w14:paraId="4D4E58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Характеристики:</w:t>
      </w:r>
    </w:p>
    <w:p w14:paraId="519C4D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14-цилшдровый, двухрядный звездообразный, четырехтактный, воз</w:t>
      </w:r>
      <w:r w:rsidRPr="00A259BD">
        <w:rPr>
          <w:rFonts w:ascii="Times New Roman" w:hAnsi="Times New Roman"/>
          <w:color w:val="000000" w:themeColor="text1"/>
          <w:sz w:val="16"/>
          <w:szCs w:val="16"/>
        </w:rPr>
        <w:softHyphen/>
        <w:t>душного охлаждения;</w:t>
      </w:r>
    </w:p>
    <w:p w14:paraId="7462181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мощность 750/1000 л.с.;</w:t>
      </w:r>
    </w:p>
    <w:p w14:paraId="72437A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диаметр цилиндра/ход поршня 150/170 мм;</w:t>
      </w:r>
    </w:p>
    <w:p w14:paraId="21C8375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безредукторный</w:t>
      </w:r>
      <w:proofErr w:type="spellEnd"/>
      <w:r w:rsidRPr="00A259BD">
        <w:rPr>
          <w:rFonts w:ascii="Times New Roman" w:hAnsi="Times New Roman"/>
          <w:color w:val="000000" w:themeColor="text1"/>
          <w:sz w:val="16"/>
          <w:szCs w:val="16"/>
        </w:rPr>
        <w:t xml:space="preserve"> (в 1930 г. предполагалось создать вариант с редук</w:t>
      </w:r>
      <w:r w:rsidRPr="00A259BD">
        <w:rPr>
          <w:rFonts w:ascii="Times New Roman" w:hAnsi="Times New Roman"/>
          <w:color w:val="000000" w:themeColor="text1"/>
          <w:sz w:val="16"/>
          <w:szCs w:val="16"/>
        </w:rPr>
        <w:softHyphen/>
        <w:t>тором);</w:t>
      </w:r>
    </w:p>
    <w:p w14:paraId="18FF01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вес по проекту 500 кг;</w:t>
      </w:r>
    </w:p>
    <w:p w14:paraId="09DA4B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имел ПЦН (11852).</w:t>
      </w:r>
    </w:p>
    <w:p w14:paraId="16807D5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562CD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7039FC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1492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февраля 1929 г. рассматривался эскизный проект И-6 Н.Н.П. в двух вариантах: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14"/>
        <w:gridCol w:w="806"/>
        <w:gridCol w:w="845"/>
      </w:tblGrid>
      <w:tr w:rsidR="00A259BD" w:rsidRPr="00A259BD" w14:paraId="4F422DFA" w14:textId="77777777">
        <w:trPr>
          <w:trHeight w:val="259"/>
        </w:trPr>
        <w:tc>
          <w:tcPr>
            <w:tcW w:w="1814" w:type="dxa"/>
            <w:tcBorders>
              <w:top w:val="single" w:sz="12" w:space="0" w:color="auto"/>
            </w:tcBorders>
          </w:tcPr>
          <w:p w14:paraId="2D5519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12" w:space="0" w:color="auto"/>
            </w:tcBorders>
          </w:tcPr>
          <w:p w14:paraId="34B13B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вариант</w:t>
            </w:r>
          </w:p>
        </w:tc>
        <w:tc>
          <w:tcPr>
            <w:tcW w:w="845" w:type="dxa"/>
            <w:tcBorders>
              <w:top w:val="single" w:sz="12" w:space="0" w:color="auto"/>
            </w:tcBorders>
          </w:tcPr>
          <w:p w14:paraId="0E5433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вариант</w:t>
            </w:r>
          </w:p>
        </w:tc>
      </w:tr>
      <w:tr w:rsidR="00A259BD" w:rsidRPr="00A259BD" w14:paraId="609A28FD" w14:textId="77777777">
        <w:trPr>
          <w:trHeight w:val="202"/>
        </w:trPr>
        <w:tc>
          <w:tcPr>
            <w:tcW w:w="1814" w:type="dxa"/>
          </w:tcPr>
          <w:p w14:paraId="38EAB1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Размах крыла, м</w:t>
            </w:r>
          </w:p>
        </w:tc>
        <w:tc>
          <w:tcPr>
            <w:tcW w:w="806" w:type="dxa"/>
          </w:tcPr>
          <w:p w14:paraId="1EA67C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9,75</w:t>
            </w:r>
          </w:p>
        </w:tc>
        <w:tc>
          <w:tcPr>
            <w:tcW w:w="845" w:type="dxa"/>
          </w:tcPr>
          <w:p w14:paraId="74078C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w:t>
            </w:r>
          </w:p>
        </w:tc>
      </w:tr>
      <w:tr w:rsidR="00A259BD" w:rsidRPr="00A259BD" w14:paraId="53697F45" w14:textId="77777777">
        <w:trPr>
          <w:trHeight w:val="202"/>
        </w:trPr>
        <w:tc>
          <w:tcPr>
            <w:tcW w:w="1814" w:type="dxa"/>
          </w:tcPr>
          <w:p w14:paraId="15234F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Длина самолета, м</w:t>
            </w:r>
          </w:p>
        </w:tc>
        <w:tc>
          <w:tcPr>
            <w:tcW w:w="806" w:type="dxa"/>
          </w:tcPr>
          <w:p w14:paraId="069C50B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6,50</w:t>
            </w:r>
          </w:p>
        </w:tc>
        <w:tc>
          <w:tcPr>
            <w:tcW w:w="845" w:type="dxa"/>
          </w:tcPr>
          <w:p w14:paraId="35D1F9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w:t>
            </w:r>
          </w:p>
        </w:tc>
      </w:tr>
      <w:tr w:rsidR="00A259BD" w:rsidRPr="00A259BD" w14:paraId="00E75CC7" w14:textId="77777777">
        <w:trPr>
          <w:trHeight w:val="202"/>
        </w:trPr>
        <w:tc>
          <w:tcPr>
            <w:tcW w:w="1814" w:type="dxa"/>
          </w:tcPr>
          <w:p w14:paraId="11446A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крыльев, кв. М</w:t>
            </w:r>
          </w:p>
        </w:tc>
        <w:tc>
          <w:tcPr>
            <w:tcW w:w="806" w:type="dxa"/>
          </w:tcPr>
          <w:p w14:paraId="08BD95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20,5</w:t>
            </w:r>
          </w:p>
        </w:tc>
        <w:tc>
          <w:tcPr>
            <w:tcW w:w="845" w:type="dxa"/>
          </w:tcPr>
          <w:p w14:paraId="6C2274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18,85</w:t>
            </w:r>
          </w:p>
        </w:tc>
      </w:tr>
      <w:tr w:rsidR="00A259BD" w:rsidRPr="00A259BD" w14:paraId="1AC4CC6D" w14:textId="77777777">
        <w:trPr>
          <w:trHeight w:val="250"/>
        </w:trPr>
        <w:tc>
          <w:tcPr>
            <w:tcW w:w="1814" w:type="dxa"/>
            <w:tcBorders>
              <w:bottom w:val="single" w:sz="12" w:space="0" w:color="auto"/>
            </w:tcBorders>
          </w:tcPr>
          <w:p w14:paraId="46DEE7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 пустого, кг</w:t>
            </w:r>
          </w:p>
        </w:tc>
        <w:tc>
          <w:tcPr>
            <w:tcW w:w="806" w:type="dxa"/>
            <w:tcBorders>
              <w:bottom w:val="single" w:sz="12" w:space="0" w:color="auto"/>
            </w:tcBorders>
          </w:tcPr>
          <w:p w14:paraId="705B76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w:t>
            </w:r>
          </w:p>
        </w:tc>
        <w:tc>
          <w:tcPr>
            <w:tcW w:w="845" w:type="dxa"/>
            <w:tcBorders>
              <w:bottom w:val="single" w:sz="12" w:space="0" w:color="auto"/>
            </w:tcBorders>
          </w:tcPr>
          <w:p w14:paraId="7FD7F45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885</w:t>
            </w:r>
          </w:p>
        </w:tc>
      </w:tr>
    </w:tbl>
    <w:p w14:paraId="0AE334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решению ВВС строились оба ва</w:t>
      </w:r>
      <w:r w:rsidRPr="00A259BD">
        <w:rPr>
          <w:rFonts w:ascii="Times New Roman" w:hAnsi="Times New Roman"/>
          <w:color w:val="000000" w:themeColor="text1"/>
          <w:sz w:val="16"/>
          <w:szCs w:val="16"/>
        </w:rPr>
        <w:softHyphen/>
        <w:t>рианта. В 1929 г. появление истребителя И-5 конструкции ЦАГИ затягивалось, а И-6 Поликарпова оценивался как более реальный проект. Поэтому этот самолет проектируется под более эффективный двигатель “Юпитер” VII мощностью 600 л.с. Кроме этого, в ряде документов, как вероятный для установки на первый экземпляр И-6 предлагался немецкий двигатель “</w:t>
      </w:r>
      <w:proofErr w:type="spellStart"/>
      <w:r w:rsidRPr="00A259BD">
        <w:rPr>
          <w:rFonts w:ascii="Times New Roman" w:hAnsi="Times New Roman"/>
          <w:color w:val="000000" w:themeColor="text1"/>
          <w:sz w:val="16"/>
          <w:szCs w:val="16"/>
        </w:rPr>
        <w:t>Хорнет</w:t>
      </w:r>
      <w:proofErr w:type="spellEnd"/>
      <w:r w:rsidRPr="00A259BD">
        <w:rPr>
          <w:rFonts w:ascii="Times New Roman" w:hAnsi="Times New Roman"/>
          <w:color w:val="000000" w:themeColor="text1"/>
          <w:sz w:val="16"/>
          <w:szCs w:val="16"/>
        </w:rPr>
        <w:t xml:space="preserve">” 500 л.с. (строив </w:t>
      </w:r>
      <w:proofErr w:type="spellStart"/>
      <w:r w:rsidRPr="00A259BD">
        <w:rPr>
          <w:rFonts w:ascii="Times New Roman" w:hAnsi="Times New Roman"/>
          <w:color w:val="000000" w:themeColor="text1"/>
          <w:sz w:val="16"/>
          <w:szCs w:val="16"/>
        </w:rPr>
        <w:t>шийся</w:t>
      </w:r>
      <w:proofErr w:type="spellEnd"/>
      <w:r w:rsidRPr="00A259BD">
        <w:rPr>
          <w:rFonts w:ascii="Times New Roman" w:hAnsi="Times New Roman"/>
          <w:color w:val="000000" w:themeColor="text1"/>
          <w:sz w:val="16"/>
          <w:szCs w:val="16"/>
        </w:rPr>
        <w:t xml:space="preserve"> фирмой ВМV по лицензии фир</w:t>
      </w:r>
      <w:r w:rsidRPr="00A259BD">
        <w:rPr>
          <w:rFonts w:ascii="Times New Roman" w:hAnsi="Times New Roman"/>
          <w:color w:val="000000" w:themeColor="text1"/>
          <w:sz w:val="16"/>
          <w:szCs w:val="16"/>
        </w:rPr>
        <w:softHyphen/>
        <w:t xml:space="preserve">мы Пратт Уитни). В </w:t>
      </w:r>
      <w:r w:rsidRPr="00A259BD">
        <w:rPr>
          <w:rFonts w:ascii="Times New Roman" w:hAnsi="Times New Roman"/>
          <w:color w:val="000000" w:themeColor="text1"/>
          <w:sz w:val="16"/>
          <w:szCs w:val="16"/>
        </w:rPr>
        <w:lastRenderedPageBreak/>
        <w:t>дальнейшем ни один из этих моторов в СССР развития не получил. С 1929 г. на заводе №29 в Запорожье началось производство ли</w:t>
      </w:r>
      <w:r w:rsidRPr="00A259BD">
        <w:rPr>
          <w:rFonts w:ascii="Times New Roman" w:hAnsi="Times New Roman"/>
          <w:color w:val="000000" w:themeColor="text1"/>
          <w:sz w:val="16"/>
          <w:szCs w:val="16"/>
        </w:rPr>
        <w:softHyphen/>
        <w:t>цензионного “Юпитер” VI мощностью 480 л.с. под обозначением М-22. Именно этот двигатель и ставился на многие со</w:t>
      </w:r>
      <w:r w:rsidRPr="00A259BD">
        <w:rPr>
          <w:rFonts w:ascii="Times New Roman" w:hAnsi="Times New Roman"/>
          <w:color w:val="000000" w:themeColor="text1"/>
          <w:sz w:val="16"/>
          <w:szCs w:val="16"/>
        </w:rPr>
        <w:softHyphen/>
        <w:t>ветские самолеты (10729).</w:t>
      </w:r>
    </w:p>
    <w:p w14:paraId="4973802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08609C"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февраля 1929 г. рассматривался эскизный проект И-6 в двух вариантах, стандартном и уменьшенном:</w:t>
      </w:r>
    </w:p>
    <w:tbl>
      <w:tblPr>
        <w:tblW w:w="0" w:type="auto"/>
        <w:tblLayout w:type="fixed"/>
        <w:tblCellMar>
          <w:left w:w="10" w:type="dxa"/>
          <w:right w:w="10" w:type="dxa"/>
        </w:tblCellMar>
        <w:tblLook w:val="0000" w:firstRow="0" w:lastRow="0" w:firstColumn="0" w:lastColumn="0" w:noHBand="0" w:noVBand="0"/>
      </w:tblPr>
      <w:tblGrid>
        <w:gridCol w:w="1901"/>
        <w:gridCol w:w="868"/>
        <w:gridCol w:w="878"/>
      </w:tblGrid>
      <w:tr w:rsidR="00A259BD" w:rsidRPr="00A259BD" w14:paraId="1E2F37D9" w14:textId="77777777" w:rsidTr="00824FAB">
        <w:trPr>
          <w:trHeight w:val="248"/>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2F6F37F6" w14:textId="77777777" w:rsidR="00824FAB" w:rsidRPr="00A259BD" w:rsidRDefault="00824FAB" w:rsidP="009236E3">
            <w:pPr>
              <w:spacing w:after="0" w:line="240" w:lineRule="auto"/>
              <w:jc w:val="both"/>
              <w:rPr>
                <w:rFonts w:ascii="Times New Roman" w:hAnsi="Times New Roman"/>
                <w:color w:val="000000" w:themeColor="text1"/>
                <w:sz w:val="16"/>
                <w:szCs w:val="16"/>
              </w:rPr>
            </w:pPr>
          </w:p>
        </w:tc>
        <w:tc>
          <w:tcPr>
            <w:tcW w:w="868" w:type="dxa"/>
            <w:tcBorders>
              <w:top w:val="single" w:sz="6" w:space="0" w:color="auto"/>
              <w:left w:val="single" w:sz="6" w:space="0" w:color="auto"/>
              <w:bottom w:val="single" w:sz="6" w:space="0" w:color="auto"/>
              <w:right w:val="single" w:sz="6" w:space="0" w:color="auto"/>
            </w:tcBorders>
            <w:shd w:val="clear" w:color="auto" w:fill="FFFFFF"/>
          </w:tcPr>
          <w:p w14:paraId="58C2926F" w14:textId="77777777" w:rsidR="00824FAB" w:rsidRPr="00A259BD"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A259BD">
              <w:rPr>
                <w:rFonts w:ascii="Times New Roman" w:hAnsi="Times New Roman" w:cs="Times New Roman"/>
                <w:b w:val="0"/>
                <w:color w:val="000000" w:themeColor="text1"/>
                <w:sz w:val="16"/>
                <w:szCs w:val="16"/>
              </w:rPr>
              <w:t>1-й вар.</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3B78A3C3" w14:textId="77777777" w:rsidR="00824FAB" w:rsidRPr="00A259BD"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A259BD">
              <w:rPr>
                <w:rFonts w:ascii="Times New Roman" w:hAnsi="Times New Roman" w:cs="Times New Roman"/>
                <w:b w:val="0"/>
                <w:color w:val="000000" w:themeColor="text1"/>
                <w:sz w:val="16"/>
                <w:szCs w:val="16"/>
              </w:rPr>
              <w:t>2-й вар.</w:t>
            </w:r>
          </w:p>
        </w:tc>
      </w:tr>
      <w:tr w:rsidR="00A259BD" w:rsidRPr="00A259BD" w14:paraId="7ECC3DEE" w14:textId="77777777" w:rsidTr="00824FAB">
        <w:trPr>
          <w:trHeight w:val="241"/>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147E48AA" w14:textId="77777777" w:rsidR="00824FAB" w:rsidRPr="00A259BD"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A259BD">
              <w:rPr>
                <w:rFonts w:ascii="Times New Roman" w:hAnsi="Times New Roman" w:cs="Times New Roman"/>
                <w:b w:val="0"/>
                <w:color w:val="000000" w:themeColor="text1"/>
                <w:sz w:val="16"/>
                <w:szCs w:val="16"/>
              </w:rPr>
              <w:t>Размах крыла (м)</w:t>
            </w:r>
          </w:p>
        </w:tc>
        <w:tc>
          <w:tcPr>
            <w:tcW w:w="868" w:type="dxa"/>
            <w:tcBorders>
              <w:top w:val="single" w:sz="6" w:space="0" w:color="auto"/>
              <w:left w:val="single" w:sz="6" w:space="0" w:color="auto"/>
              <w:bottom w:val="single" w:sz="6" w:space="0" w:color="auto"/>
              <w:right w:val="single" w:sz="6" w:space="0" w:color="auto"/>
            </w:tcBorders>
            <w:shd w:val="clear" w:color="auto" w:fill="FFFFFF"/>
          </w:tcPr>
          <w:p w14:paraId="4BB66A83" w14:textId="77777777" w:rsidR="00824FAB" w:rsidRPr="00A259BD"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A259BD">
              <w:rPr>
                <w:rFonts w:ascii="Times New Roman" w:hAnsi="Times New Roman" w:cs="Times New Roman"/>
                <w:b w:val="0"/>
                <w:color w:val="000000" w:themeColor="text1"/>
                <w:sz w:val="16"/>
                <w:szCs w:val="16"/>
              </w:rPr>
              <w:t>9,75</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30210BBE" w14:textId="77777777" w:rsidR="00824FAB" w:rsidRPr="00A259BD"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A259BD">
              <w:rPr>
                <w:rFonts w:ascii="Times New Roman" w:hAnsi="Times New Roman" w:cs="Times New Roman"/>
                <w:b w:val="0"/>
                <w:color w:val="000000" w:themeColor="text1"/>
                <w:sz w:val="16"/>
                <w:szCs w:val="16"/>
              </w:rPr>
              <w:t>9,0</w:t>
            </w:r>
          </w:p>
        </w:tc>
      </w:tr>
      <w:tr w:rsidR="00A259BD" w:rsidRPr="00A259BD" w14:paraId="591626D7" w14:textId="77777777" w:rsidTr="00824FAB">
        <w:trPr>
          <w:trHeight w:val="248"/>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7C70BF5B" w14:textId="77777777" w:rsidR="00824FAB" w:rsidRPr="00A259BD"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A259BD">
              <w:rPr>
                <w:rFonts w:ascii="Times New Roman" w:hAnsi="Times New Roman" w:cs="Times New Roman"/>
                <w:b w:val="0"/>
                <w:color w:val="000000" w:themeColor="text1"/>
                <w:sz w:val="16"/>
                <w:szCs w:val="16"/>
              </w:rPr>
              <w:t>Длина самолета (м)</w:t>
            </w:r>
          </w:p>
        </w:tc>
        <w:tc>
          <w:tcPr>
            <w:tcW w:w="868" w:type="dxa"/>
            <w:tcBorders>
              <w:top w:val="single" w:sz="6" w:space="0" w:color="auto"/>
              <w:left w:val="single" w:sz="6" w:space="0" w:color="auto"/>
              <w:bottom w:val="single" w:sz="6" w:space="0" w:color="auto"/>
              <w:right w:val="single" w:sz="6" w:space="0" w:color="auto"/>
            </w:tcBorders>
            <w:shd w:val="clear" w:color="auto" w:fill="FFFFFF"/>
          </w:tcPr>
          <w:p w14:paraId="0C69F57B" w14:textId="77777777" w:rsidR="00824FAB" w:rsidRPr="00A259BD"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A259BD">
              <w:rPr>
                <w:rFonts w:ascii="Times New Roman" w:hAnsi="Times New Roman" w:cs="Times New Roman"/>
                <w:b w:val="0"/>
                <w:color w:val="000000" w:themeColor="text1"/>
                <w:sz w:val="16"/>
                <w:szCs w:val="16"/>
              </w:rPr>
              <w:t>6,50</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57FB270E" w14:textId="77777777" w:rsidR="00824FAB" w:rsidRPr="00A259BD"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A259BD">
              <w:rPr>
                <w:rFonts w:ascii="Times New Roman" w:hAnsi="Times New Roman" w:cs="Times New Roman"/>
                <w:b w:val="0"/>
                <w:color w:val="000000" w:themeColor="text1"/>
                <w:sz w:val="16"/>
                <w:szCs w:val="16"/>
              </w:rPr>
              <w:t>6,0</w:t>
            </w:r>
          </w:p>
        </w:tc>
      </w:tr>
      <w:tr w:rsidR="00A259BD" w:rsidRPr="00A259BD" w14:paraId="42513519" w14:textId="77777777" w:rsidTr="00824FAB">
        <w:trPr>
          <w:trHeight w:val="245"/>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41DCEF61" w14:textId="77777777" w:rsidR="00824FAB" w:rsidRPr="00A259BD"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A259BD">
              <w:rPr>
                <w:rFonts w:ascii="Times New Roman" w:hAnsi="Times New Roman" w:cs="Times New Roman"/>
                <w:b w:val="0"/>
                <w:color w:val="000000" w:themeColor="text1"/>
                <w:sz w:val="16"/>
                <w:szCs w:val="16"/>
              </w:rPr>
              <w:t>Площадь крыльев (м</w:t>
            </w:r>
            <w:r w:rsidRPr="00A259BD">
              <w:rPr>
                <w:rFonts w:ascii="Times New Roman" w:hAnsi="Times New Roman" w:cs="Times New Roman"/>
                <w:b w:val="0"/>
                <w:color w:val="000000" w:themeColor="text1"/>
                <w:sz w:val="16"/>
                <w:szCs w:val="16"/>
                <w:vertAlign w:val="superscript"/>
              </w:rPr>
              <w:t>2</w:t>
            </w:r>
            <w:r w:rsidRPr="00A259BD">
              <w:rPr>
                <w:rFonts w:ascii="Times New Roman" w:hAnsi="Times New Roman" w:cs="Times New Roman"/>
                <w:b w:val="0"/>
                <w:color w:val="000000" w:themeColor="text1"/>
                <w:sz w:val="16"/>
                <w:szCs w:val="16"/>
              </w:rPr>
              <w:t>)</w:t>
            </w:r>
          </w:p>
        </w:tc>
        <w:tc>
          <w:tcPr>
            <w:tcW w:w="868" w:type="dxa"/>
            <w:tcBorders>
              <w:top w:val="single" w:sz="6" w:space="0" w:color="auto"/>
              <w:left w:val="single" w:sz="6" w:space="0" w:color="auto"/>
              <w:bottom w:val="single" w:sz="6" w:space="0" w:color="auto"/>
              <w:right w:val="single" w:sz="6" w:space="0" w:color="auto"/>
            </w:tcBorders>
            <w:shd w:val="clear" w:color="auto" w:fill="FFFFFF"/>
          </w:tcPr>
          <w:p w14:paraId="53D83DF2" w14:textId="77777777" w:rsidR="00824FAB" w:rsidRPr="00A259BD"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A259BD">
              <w:rPr>
                <w:rFonts w:ascii="Times New Roman" w:hAnsi="Times New Roman" w:cs="Times New Roman"/>
                <w:b w:val="0"/>
                <w:color w:val="000000" w:themeColor="text1"/>
                <w:sz w:val="16"/>
                <w:szCs w:val="16"/>
              </w:rPr>
              <w:t>20,5</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9CD415C" w14:textId="77777777" w:rsidR="00824FAB" w:rsidRPr="00A259BD"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A259BD">
              <w:rPr>
                <w:rFonts w:ascii="Times New Roman" w:hAnsi="Times New Roman" w:cs="Times New Roman"/>
                <w:b w:val="0"/>
                <w:color w:val="000000" w:themeColor="text1"/>
                <w:sz w:val="16"/>
                <w:szCs w:val="16"/>
              </w:rPr>
              <w:t>18,85</w:t>
            </w:r>
          </w:p>
        </w:tc>
      </w:tr>
      <w:tr w:rsidR="00A259BD" w:rsidRPr="00A259BD" w14:paraId="0BC7607F" w14:textId="77777777" w:rsidTr="00824FAB">
        <w:trPr>
          <w:trHeight w:val="252"/>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406ECF48" w14:textId="77777777" w:rsidR="00824FAB" w:rsidRPr="00A259BD"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A259BD">
              <w:rPr>
                <w:rFonts w:ascii="Times New Roman" w:hAnsi="Times New Roman" w:cs="Times New Roman"/>
                <w:b w:val="0"/>
                <w:color w:val="000000" w:themeColor="text1"/>
                <w:sz w:val="16"/>
                <w:szCs w:val="16"/>
              </w:rPr>
              <w:t>Вес пустого (кг)</w:t>
            </w:r>
          </w:p>
        </w:tc>
        <w:tc>
          <w:tcPr>
            <w:tcW w:w="868" w:type="dxa"/>
            <w:tcBorders>
              <w:top w:val="single" w:sz="6" w:space="0" w:color="auto"/>
              <w:left w:val="single" w:sz="6" w:space="0" w:color="auto"/>
              <w:bottom w:val="single" w:sz="6" w:space="0" w:color="auto"/>
              <w:right w:val="single" w:sz="6" w:space="0" w:color="auto"/>
            </w:tcBorders>
            <w:shd w:val="clear" w:color="auto" w:fill="FFFFFF"/>
          </w:tcPr>
          <w:p w14:paraId="7612D6C4" w14:textId="77777777" w:rsidR="00824FAB" w:rsidRPr="00A259BD"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A259BD">
              <w:rPr>
                <w:rFonts w:ascii="Times New Roman" w:hAnsi="Times New Roman" w:cs="Times New Roman"/>
                <w:b w:val="0"/>
                <w:color w:val="000000" w:themeColor="text1"/>
                <w:sz w:val="16"/>
                <w:szCs w:val="16"/>
              </w:rPr>
              <w:t>900</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4BC626B2" w14:textId="77777777" w:rsidR="00824FAB" w:rsidRPr="00A259BD" w:rsidRDefault="00824FAB"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A259BD">
              <w:rPr>
                <w:rFonts w:ascii="Times New Roman" w:hAnsi="Times New Roman" w:cs="Times New Roman"/>
                <w:b w:val="0"/>
                <w:color w:val="000000" w:themeColor="text1"/>
                <w:sz w:val="16"/>
                <w:szCs w:val="16"/>
              </w:rPr>
              <w:t>885</w:t>
            </w:r>
          </w:p>
        </w:tc>
      </w:tr>
    </w:tbl>
    <w:p w14:paraId="7ACD95D7"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Согласно заключению ВВС, строить ре</w:t>
      </w:r>
      <w:r w:rsidRPr="00A259BD">
        <w:rPr>
          <w:rFonts w:ascii="Times New Roman" w:hAnsi="Times New Roman"/>
          <w:color w:val="000000" w:themeColor="text1"/>
          <w:sz w:val="16"/>
          <w:szCs w:val="16"/>
        </w:rPr>
        <w:softHyphen/>
        <w:t>шили оба варианта. Причем появление ис</w:t>
      </w:r>
      <w:r w:rsidRPr="00A259BD">
        <w:rPr>
          <w:rFonts w:ascii="Times New Roman" w:hAnsi="Times New Roman"/>
          <w:color w:val="000000" w:themeColor="text1"/>
          <w:sz w:val="16"/>
          <w:szCs w:val="16"/>
        </w:rPr>
        <w:softHyphen/>
        <w:t>требителя И-5 конструкции ЦАГИ в этот пе</w:t>
      </w:r>
      <w:r w:rsidRPr="00A259BD">
        <w:rPr>
          <w:rFonts w:ascii="Times New Roman" w:hAnsi="Times New Roman"/>
          <w:color w:val="000000" w:themeColor="text1"/>
          <w:sz w:val="16"/>
          <w:szCs w:val="16"/>
        </w:rPr>
        <w:softHyphen/>
        <w:t>риод уже стояло под вопросом, поэтому И-6 Поликарпова как вполне реальный само</w:t>
      </w:r>
      <w:r w:rsidRPr="00A259BD">
        <w:rPr>
          <w:rFonts w:ascii="Times New Roman" w:hAnsi="Times New Roman"/>
          <w:color w:val="000000" w:themeColor="text1"/>
          <w:sz w:val="16"/>
          <w:szCs w:val="16"/>
        </w:rPr>
        <w:softHyphen/>
        <w:t>лет проектируется под более эффективный двигатель «Юпитер» VII мощностью 600 л.с. Кроме этого, в ряде документов, как веро</w:t>
      </w:r>
      <w:r w:rsidRPr="00A259BD">
        <w:rPr>
          <w:rFonts w:ascii="Times New Roman" w:hAnsi="Times New Roman"/>
          <w:color w:val="000000" w:themeColor="text1"/>
          <w:sz w:val="16"/>
          <w:szCs w:val="16"/>
        </w:rPr>
        <w:softHyphen/>
        <w:t>ятный для установки на первый экземпляр И-6 предлагался немецкий двигатель «Хор- нет» 500 л. с. (строившийся фирмой ВМ\У по лицензии фирмы Пратт Уитни). В дальней</w:t>
      </w:r>
      <w:r w:rsidRPr="00A259BD">
        <w:rPr>
          <w:rFonts w:ascii="Times New Roman" w:hAnsi="Times New Roman"/>
          <w:color w:val="000000" w:themeColor="text1"/>
          <w:sz w:val="16"/>
          <w:szCs w:val="16"/>
        </w:rPr>
        <w:softHyphen/>
        <w:t>шем, как известно, ни один из этих моторов развития в СССР не получил, а на практике использовался двигатель М-22, являющийся лицензионной копией французского «Юпи</w:t>
      </w:r>
      <w:r w:rsidRPr="00A259BD">
        <w:rPr>
          <w:rFonts w:ascii="Times New Roman" w:hAnsi="Times New Roman"/>
          <w:color w:val="000000" w:themeColor="text1"/>
          <w:sz w:val="16"/>
          <w:szCs w:val="16"/>
        </w:rPr>
        <w:softHyphen/>
        <w:t>тер» VI мощностью 480 л.с. (12295).</w:t>
      </w:r>
    </w:p>
    <w:p w14:paraId="3BFA51AA" w14:textId="77777777" w:rsidR="00824FAB" w:rsidRPr="00A259BD" w:rsidRDefault="00824FAB" w:rsidP="009236E3">
      <w:pPr>
        <w:spacing w:after="0" w:line="240" w:lineRule="auto"/>
        <w:jc w:val="both"/>
        <w:rPr>
          <w:rFonts w:ascii="Times New Roman" w:hAnsi="Times New Roman"/>
          <w:color w:val="000000" w:themeColor="text1"/>
          <w:sz w:val="16"/>
          <w:szCs w:val="16"/>
        </w:rPr>
      </w:pPr>
    </w:p>
    <w:p w14:paraId="76CAA3D0" w14:textId="77777777" w:rsidR="00EE73C1" w:rsidRPr="00441F34" w:rsidRDefault="00EE73C1" w:rsidP="00EE73C1">
      <w:pPr>
        <w:spacing w:after="0" w:line="240" w:lineRule="auto"/>
        <w:jc w:val="both"/>
        <w:rPr>
          <w:rFonts w:ascii="Times New Roman" w:hAnsi="Times New Roman"/>
          <w:color w:val="0070C0"/>
          <w:sz w:val="16"/>
          <w:szCs w:val="16"/>
        </w:rPr>
      </w:pPr>
      <w:bookmarkStart w:id="5" w:name="_Hlk78366018"/>
      <w:r w:rsidRPr="00441F34">
        <w:rPr>
          <w:rFonts w:ascii="Times New Roman" w:hAnsi="Times New Roman"/>
          <w:color w:val="0070C0"/>
          <w:sz w:val="16"/>
          <w:szCs w:val="16"/>
        </w:rPr>
        <w:t>1 февраля 1929 года рассматривался эскизный проект И-6 в двух вариантах. В 1929 году И-6 оценивается как наиболее реальный истребитель, поэтому самолет проектируется под более эффективный двигатель "</w:t>
      </w:r>
      <w:proofErr w:type="spellStart"/>
      <w:r w:rsidRPr="00441F34">
        <w:rPr>
          <w:rFonts w:ascii="Times New Roman" w:hAnsi="Times New Roman"/>
          <w:color w:val="0070C0"/>
          <w:sz w:val="16"/>
          <w:szCs w:val="16"/>
        </w:rPr>
        <w:t>Jupiter</w:t>
      </w:r>
      <w:proofErr w:type="spellEnd"/>
      <w:r w:rsidRPr="00441F34">
        <w:rPr>
          <w:rFonts w:ascii="Times New Roman" w:hAnsi="Times New Roman"/>
          <w:color w:val="0070C0"/>
          <w:sz w:val="16"/>
          <w:szCs w:val="16"/>
        </w:rPr>
        <w:t>" VII мощностью 600 л.с. Кроме этого, в ряде документов, как вероятный для установки на первый экземпляр И-6, указывается немецкий двигатель "</w:t>
      </w:r>
      <w:proofErr w:type="spellStart"/>
      <w:r w:rsidRPr="00441F34">
        <w:rPr>
          <w:rFonts w:ascii="Times New Roman" w:hAnsi="Times New Roman"/>
          <w:color w:val="0070C0"/>
          <w:sz w:val="16"/>
          <w:szCs w:val="16"/>
        </w:rPr>
        <w:t>Hornet</w:t>
      </w:r>
      <w:proofErr w:type="spellEnd"/>
      <w:r w:rsidRPr="00441F34">
        <w:rPr>
          <w:rFonts w:ascii="Times New Roman" w:hAnsi="Times New Roman"/>
          <w:color w:val="0070C0"/>
          <w:sz w:val="16"/>
          <w:szCs w:val="16"/>
        </w:rPr>
        <w:t>" 500 л.с. (строившийся фирмой BMW по лицензии фирмы "Pratt &amp; Whitney"). В дальнейшем, как известно, ни один из этих моторов в СССР развития не получил. С 1929 года на заводе No. 29 в Запорожье началось производство лицензионного двигателя "</w:t>
      </w:r>
      <w:proofErr w:type="spellStart"/>
      <w:r w:rsidRPr="00441F34">
        <w:rPr>
          <w:rFonts w:ascii="Times New Roman" w:hAnsi="Times New Roman"/>
          <w:color w:val="0070C0"/>
          <w:sz w:val="16"/>
          <w:szCs w:val="16"/>
        </w:rPr>
        <w:t>Jupiter</w:t>
      </w:r>
      <w:proofErr w:type="spellEnd"/>
      <w:r w:rsidRPr="00441F34">
        <w:rPr>
          <w:rFonts w:ascii="Times New Roman" w:hAnsi="Times New Roman"/>
          <w:color w:val="0070C0"/>
          <w:sz w:val="16"/>
          <w:szCs w:val="16"/>
        </w:rPr>
        <w:t>" VI мощностью 480 л.с. под обозначением М-22. Именно этот двигатель получил достаточное распространение и ставился на многие советские самолеты (24301).</w:t>
      </w:r>
    </w:p>
    <w:p w14:paraId="56FB51FB" w14:textId="77777777" w:rsidR="00EE73C1" w:rsidRPr="00441F34" w:rsidRDefault="00EE73C1" w:rsidP="00EE73C1">
      <w:pPr>
        <w:spacing w:after="0" w:line="240" w:lineRule="auto"/>
        <w:jc w:val="both"/>
        <w:rPr>
          <w:rFonts w:ascii="Times New Roman" w:hAnsi="Times New Roman"/>
          <w:color w:val="0070C0"/>
          <w:sz w:val="16"/>
          <w:szCs w:val="16"/>
        </w:rPr>
      </w:pPr>
    </w:p>
    <w:p w14:paraId="259A6E16" w14:textId="77777777" w:rsidR="00887AD6" w:rsidRPr="00A259BD" w:rsidRDefault="00887AD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февраля 1929 г. с целью проведение научно-исследовательских работ в области аэросъемки в Ленинграде было организовано отделение ГИГК (ЛО ГИГК) под руководством академика Ферсмана. 15 февраля 1929 г. Совет Труда и Обороны принял специальное постановление, предлагавшее руководящим органам страны обратить особое внимание на использование аэросъемки при составлении пятилетнего плана развития народного хозяйства и в связи с этим довести объем аэросъемочных работ в 1932-1933 гг. до 250 кв. км. По инициативе академика Ферсмана 14-16 июня 1929 г. в Ленинграде было проведено 1-е Всесоюзное совещание по аэросъемке, на котором были подведены итоги пятилетнего существования аэросъемки и принят первый пятилетний план научно-исследовательских работ в этой области (21390).</w:t>
      </w:r>
    </w:p>
    <w:bookmarkEnd w:id="5"/>
    <w:p w14:paraId="307E06DA" w14:textId="77777777" w:rsidR="00887AD6" w:rsidRPr="00A259BD" w:rsidRDefault="00887AD6" w:rsidP="009236E3">
      <w:pPr>
        <w:spacing w:after="0" w:line="240" w:lineRule="auto"/>
        <w:jc w:val="both"/>
        <w:rPr>
          <w:rFonts w:ascii="Times New Roman" w:hAnsi="Times New Roman"/>
          <w:color w:val="000000" w:themeColor="text1"/>
          <w:sz w:val="16"/>
          <w:szCs w:val="16"/>
        </w:rPr>
      </w:pPr>
    </w:p>
    <w:p w14:paraId="6DD9B042" w14:textId="77777777" w:rsidR="00887AD6" w:rsidRPr="00A259BD" w:rsidRDefault="00887AD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февраля 1929 - Состоялся старт всесоюзного аэросанного пробега, организованного Автодор по маршруту Москва-Ярославль-Кострома-Кинешма-Юрьевец Подольский-Богородск-Котельнич-Вятка-Глазово-Дебесса-Пермь-Ижевск-Елабуга-Казань-Чебоксары-Нижний Новгород-Владимир-Москва — 3625 км и пробег закончился 29 марта 1929 (22637).</w:t>
      </w:r>
    </w:p>
    <w:p w14:paraId="534BD6BA" w14:textId="77777777" w:rsidR="00887AD6" w:rsidRPr="00A259BD" w:rsidRDefault="00887AD6" w:rsidP="009236E3">
      <w:pPr>
        <w:spacing w:after="0" w:line="240" w:lineRule="auto"/>
        <w:jc w:val="both"/>
        <w:rPr>
          <w:rFonts w:ascii="Times New Roman" w:hAnsi="Times New Roman"/>
          <w:color w:val="000000" w:themeColor="text1"/>
          <w:sz w:val="16"/>
          <w:szCs w:val="16"/>
        </w:rPr>
      </w:pPr>
    </w:p>
    <w:p w14:paraId="0D1BCA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февраля 1929 состоялся старт всесоюзного аэросанного пробега, организованного Автодор по маршруту Москва-Ярославль-Кострома-Кинешма-Юрьевец Полольский-Богородск-Котельнич-Вятка-Глазово-Дебесса-Пермь-Ижевск-Елабуга-Казань-Чебоксары-Нижний Новгород-Владимир-Москва - 3625 км и пробег закончился 29 марта 1929 (1077,9).</w:t>
      </w:r>
    </w:p>
    <w:p w14:paraId="7E39AD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CF5E96" w14:textId="77777777" w:rsidR="00887AD6" w:rsidRPr="00A259BD" w:rsidRDefault="00887AD6" w:rsidP="009236E3">
      <w:pPr>
        <w:autoSpaceDE w:val="0"/>
        <w:autoSpaceDN w:val="0"/>
        <w:adjustRightInd w:val="0"/>
        <w:spacing w:after="0" w:line="240" w:lineRule="auto"/>
        <w:jc w:val="both"/>
        <w:rPr>
          <w:rFonts w:ascii="Times New Roman" w:hAnsi="Times New Roman"/>
          <w:iCs/>
          <w:color w:val="000000" w:themeColor="text1"/>
          <w:sz w:val="16"/>
          <w:szCs w:val="16"/>
        </w:rPr>
      </w:pPr>
      <w:bookmarkStart w:id="6" w:name="_Hlk91320647"/>
      <w:r w:rsidRPr="00A259BD">
        <w:rPr>
          <w:rFonts w:ascii="Times New Roman" w:hAnsi="Times New Roman"/>
          <w:i/>
          <w:iCs/>
          <w:color w:val="000000" w:themeColor="text1"/>
          <w:sz w:val="16"/>
          <w:szCs w:val="16"/>
        </w:rPr>
        <w:t>Другие оборонные отрасли:</w:t>
      </w:r>
    </w:p>
    <w:p w14:paraId="176CA14C" w14:textId="77777777" w:rsidR="00887AD6" w:rsidRPr="00A259BD" w:rsidRDefault="00887AD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CBF6149" w14:textId="77777777" w:rsidR="00887AD6" w:rsidRPr="00A259BD" w:rsidRDefault="00887AD6"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1 февраля 1929 г. Распорядительное заседание СТО утвердило пятилетний план военно-морского строительства. По свидетельству начальника Морских Сил РККА </w:t>
      </w:r>
      <w:proofErr w:type="spellStart"/>
      <w:r w:rsidRPr="00A259BD">
        <w:rPr>
          <w:rFonts w:ascii="Times New Roman" w:eastAsia="Times New Roman" w:hAnsi="Times New Roman"/>
          <w:color w:val="000000" w:themeColor="text1"/>
          <w:sz w:val="16"/>
          <w:szCs w:val="16"/>
          <w:lang w:eastAsia="ru-RU"/>
        </w:rPr>
        <w:t>Муклевича</w:t>
      </w:r>
      <w:proofErr w:type="spellEnd"/>
      <w:r w:rsidRPr="00A259BD">
        <w:rPr>
          <w:rFonts w:ascii="Times New Roman" w:eastAsia="Times New Roman" w:hAnsi="Times New Roman"/>
          <w:color w:val="000000" w:themeColor="text1"/>
          <w:sz w:val="16"/>
          <w:szCs w:val="16"/>
          <w:lang w:eastAsia="ru-RU"/>
        </w:rPr>
        <w:t xml:space="preserve">, "новое постановление лишь подтверждало, что следует продолжать строительство тех типов кораблей... которые были разработаны и заложены" в 1927-1928 гг. Однако "при обсуждении программы военного строительства в Политбюро" в июле 1929 г. "вопрос о флоте еще раз всплыл", к несчастью для себя. Было решено "снять с морского строительства 84 млн руб., сократив на эту сумму уже принятую и осуществляемую программу". Поскольку весь военно-морской бюджет составлял в 1928-1929 гг. лишь 95 млн руб. (общий бюджет НКВМ равнялся 850 млн руб.), "получить такую большую сумму" можно было "только путем полного отказа от закладки новых судов и ремонта и модернизации линкоров". Решение Политбюро сигнализировало Госплану, Наркомфину и другим ведомствам, что потребности УВМС РККА отодвигаются на задний план, и в </w:t>
      </w:r>
      <w:proofErr w:type="spellStart"/>
      <w:r w:rsidRPr="00A259BD">
        <w:rPr>
          <w:rFonts w:ascii="Times New Roman" w:eastAsia="Times New Roman" w:hAnsi="Times New Roman"/>
          <w:color w:val="000000" w:themeColor="text1"/>
          <w:sz w:val="16"/>
          <w:szCs w:val="16"/>
          <w:lang w:eastAsia="ru-RU"/>
        </w:rPr>
        <w:t>ceнтябре</w:t>
      </w:r>
      <w:proofErr w:type="spellEnd"/>
      <w:r w:rsidRPr="00A259BD">
        <w:rPr>
          <w:rFonts w:ascii="Times New Roman" w:eastAsia="Times New Roman" w:hAnsi="Times New Roman"/>
          <w:color w:val="000000" w:themeColor="text1"/>
          <w:sz w:val="16"/>
          <w:szCs w:val="16"/>
          <w:lang w:eastAsia="ru-RU"/>
        </w:rPr>
        <w:t xml:space="preserve"> 1929 г. бюджетным совещанием при Госплане СССР было постановлено провести сокращение равными долями (по 21 млн в год начиная с 1929/30 хозяйственного года). Руководство Рабоче-</w:t>
      </w:r>
      <w:proofErr w:type="spellStart"/>
      <w:r w:rsidRPr="00A259BD">
        <w:rPr>
          <w:rFonts w:ascii="Times New Roman" w:eastAsia="Times New Roman" w:hAnsi="Times New Roman"/>
          <w:color w:val="000000" w:themeColor="text1"/>
          <w:sz w:val="16"/>
          <w:szCs w:val="16"/>
          <w:lang w:eastAsia="ru-RU"/>
        </w:rPr>
        <w:t>Крестъянского</w:t>
      </w:r>
      <w:proofErr w:type="spellEnd"/>
      <w:r w:rsidRPr="00A259BD">
        <w:rPr>
          <w:rFonts w:ascii="Times New Roman" w:eastAsia="Times New Roman" w:hAnsi="Times New Roman"/>
          <w:color w:val="000000" w:themeColor="text1"/>
          <w:sz w:val="16"/>
          <w:szCs w:val="16"/>
          <w:lang w:eastAsia="ru-RU"/>
        </w:rPr>
        <w:t xml:space="preserve"> Красного Флота справедливо отмечало, что решение Политбюро, усугубленное дальнейшими ведомственными акциями, означает отказ от планомерного развития или поддержания сил флота на уровне тех скромных оборонных задач, которые были поставлены ему на черноморском и балтийском театрах, ведет к обесценению сделанных капитальных вложений, потере квалифицированных кадров военного судостроения и делает невозможным его развертывание в случае войны: "Корабли строятся годами, и навыки накапливаются не вдруг". "До сих пор, - напоминал </w:t>
      </w:r>
      <w:proofErr w:type="spellStart"/>
      <w:r w:rsidRPr="00A259BD">
        <w:rPr>
          <w:rFonts w:ascii="Times New Roman" w:eastAsia="Times New Roman" w:hAnsi="Times New Roman"/>
          <w:color w:val="000000" w:themeColor="text1"/>
          <w:sz w:val="16"/>
          <w:szCs w:val="16"/>
          <w:lang w:eastAsia="ru-RU"/>
        </w:rPr>
        <w:t>Муклевич</w:t>
      </w:r>
      <w:proofErr w:type="spellEnd"/>
      <w:r w:rsidRPr="00A259BD">
        <w:rPr>
          <w:rFonts w:ascii="Times New Roman" w:eastAsia="Times New Roman" w:hAnsi="Times New Roman"/>
          <w:color w:val="000000" w:themeColor="text1"/>
          <w:sz w:val="16"/>
          <w:szCs w:val="16"/>
          <w:lang w:eastAsia="ru-RU"/>
        </w:rPr>
        <w:t xml:space="preserve"> Генеральному секретарю ЦК ВКП(б) в конце 1929 г., - мы стремились сохранить мощь нашего флота на уровне: для Балтики [ - ] объединенных флотов лимитрофов (Польша, Латвия, Эстония, Финляндия, Швеция), для Черного моря - прибрежных черноморских держав. Теперь мы это преимущество теряем". По данным УМВС РККА, в 1928-1929 гг. общий тоннаж советского Военно-Морского Флота превосходил тот же показатель всех сопредельных с СССР государств (кроме Швеции и Германии) в 2,2 раза. Поскольку как балтийские, так и черноморские государства активно восстанавливали свои военные суда и строили и закупали новые, даже в случае реализации решения СТО к 1934 г. по своему тоннажу РККФ должен был составить не более 2/3 их совокупных сил. Июльское решение Политбюро обещало сделать это соотношение равным 2/5 (25,7 и 65,6 млн т водоизмещения соответственно), а реализация этой волевой меры в соответствии с наметками Госплана означала к тому же, что "в 1933 и 1934 гг. будут вступать в строй корабли с явно пониженной оперативной ценностью". "Мы фактически перешли в ранг провинциальной морской державы и дали себя обогнать лимитрофам", - горько подытоживал </w:t>
      </w:r>
      <w:proofErr w:type="spellStart"/>
      <w:r w:rsidRPr="00A259BD">
        <w:rPr>
          <w:rFonts w:ascii="Times New Roman" w:eastAsia="Times New Roman" w:hAnsi="Times New Roman"/>
          <w:color w:val="000000" w:themeColor="text1"/>
          <w:sz w:val="16"/>
          <w:szCs w:val="16"/>
          <w:lang w:eastAsia="ru-RU"/>
        </w:rPr>
        <w:t>Муклевич</w:t>
      </w:r>
      <w:proofErr w:type="spellEnd"/>
      <w:r w:rsidRPr="00A259BD">
        <w:rPr>
          <w:rFonts w:ascii="Times New Roman" w:eastAsia="Times New Roman" w:hAnsi="Times New Roman"/>
          <w:color w:val="000000" w:themeColor="text1"/>
          <w:sz w:val="16"/>
          <w:szCs w:val="16"/>
          <w:lang w:eastAsia="ru-RU"/>
        </w:rPr>
        <w:t xml:space="preserve"> свои комментарии по поводу решений Политбюро (Докладная записка Начальника Морских Сил РККА </w:t>
      </w:r>
      <w:proofErr w:type="spellStart"/>
      <w:r w:rsidRPr="00A259BD">
        <w:rPr>
          <w:rFonts w:ascii="Times New Roman" w:eastAsia="Times New Roman" w:hAnsi="Times New Roman"/>
          <w:color w:val="000000" w:themeColor="text1"/>
          <w:sz w:val="16"/>
          <w:szCs w:val="16"/>
          <w:lang w:eastAsia="ru-RU"/>
        </w:rPr>
        <w:t>Муклевича</w:t>
      </w:r>
      <w:proofErr w:type="spellEnd"/>
      <w:r w:rsidRPr="00A259BD">
        <w:rPr>
          <w:rFonts w:ascii="Times New Roman" w:eastAsia="Times New Roman" w:hAnsi="Times New Roman"/>
          <w:color w:val="000000" w:themeColor="text1"/>
          <w:sz w:val="16"/>
          <w:szCs w:val="16"/>
          <w:lang w:eastAsia="ru-RU"/>
        </w:rPr>
        <w:t xml:space="preserve"> Генеральному секретарю ЦК ВКП(б) Сталину "О необходимости пересмотра постановления Политбюро о морском флоте", 11.12.1929 // РГА ВМФ. Ф. Р-1483-Оп.1. Д. 206. Л. 105-106 об. Основные цифровые данные взяты из приложений к этой записке: Приложение 2. Рост тоннажа (после 1927 г.) Военно-Морских Флотов СССР и сопредельных с СССР государств //Там же. Л. 109; Приложение 3. Сравни тошная величина бюджетов НКВМ СССР //Там же. Л. 110. См. также: Проект записки Наркома по Военным и Морским Делам Ворошилова в Политбюро ЦК ВКП(б) (представлен Начальником ВМС РККА </w:t>
      </w:r>
      <w:proofErr w:type="spellStart"/>
      <w:r w:rsidRPr="00A259BD">
        <w:rPr>
          <w:rFonts w:ascii="Times New Roman" w:eastAsia="Times New Roman" w:hAnsi="Times New Roman"/>
          <w:color w:val="000000" w:themeColor="text1"/>
          <w:sz w:val="16"/>
          <w:szCs w:val="16"/>
          <w:lang w:eastAsia="ru-RU"/>
        </w:rPr>
        <w:t>Муклевичем</w:t>
      </w:r>
      <w:proofErr w:type="spellEnd"/>
      <w:r w:rsidRPr="00A259BD">
        <w:rPr>
          <w:rFonts w:ascii="Times New Roman" w:eastAsia="Times New Roman" w:hAnsi="Times New Roman"/>
          <w:color w:val="000000" w:themeColor="text1"/>
          <w:sz w:val="16"/>
          <w:szCs w:val="16"/>
          <w:lang w:eastAsia="ru-RU"/>
        </w:rPr>
        <w:t xml:space="preserve"> 11.12.1929) //Там же. Л. 102-103.) (22725).</w:t>
      </w:r>
    </w:p>
    <w:p w14:paraId="7503F500" w14:textId="77777777" w:rsidR="00887AD6" w:rsidRPr="00A259BD" w:rsidRDefault="00887AD6"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p>
    <w:bookmarkEnd w:id="6"/>
    <w:p w14:paraId="05D2275B"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6A3C81D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4DB5E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февраля 1929 1600 троцкистов сосланы в Сибирь (4962).</w:t>
      </w:r>
    </w:p>
    <w:p w14:paraId="76490E0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AB0C16" w14:textId="77777777" w:rsidR="00B61DAE" w:rsidRPr="00A259BD" w:rsidRDefault="00B61DAE"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 февраля</w:t>
      </w:r>
      <w:r w:rsidRPr="00A259BD">
        <w:rPr>
          <w:rFonts w:ascii="Times New Roman" w:hAnsi="Times New Roman"/>
          <w:color w:val="000000" w:themeColor="text1"/>
          <w:sz w:val="16"/>
          <w:szCs w:val="16"/>
        </w:rPr>
        <w:t xml:space="preserve"> в 1929 году после того, как Троцкий был выслан из СССР, началась борьба с его сторонниками. 1600 человек были высланы в Сибирь, а Каменев и Зиновьев оказались под домашним арестом (15027).</w:t>
      </w:r>
    </w:p>
    <w:p w14:paraId="1BFB8C06" w14:textId="77777777" w:rsidR="00B61DAE" w:rsidRPr="00A259BD" w:rsidRDefault="00B61DAE" w:rsidP="009236E3">
      <w:pPr>
        <w:spacing w:after="0" w:line="240" w:lineRule="auto"/>
        <w:jc w:val="both"/>
        <w:rPr>
          <w:rFonts w:ascii="Times New Roman" w:hAnsi="Times New Roman"/>
          <w:color w:val="000000" w:themeColor="text1"/>
          <w:sz w:val="16"/>
          <w:szCs w:val="16"/>
        </w:rPr>
      </w:pPr>
    </w:p>
    <w:p w14:paraId="1C37888A" w14:textId="77777777" w:rsidR="00B61DAE"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97DDF1E" w14:textId="77777777" w:rsidR="00B61DAE" w:rsidRPr="00A259BD" w:rsidRDefault="00B61DA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E5323B" w14:textId="77777777" w:rsidR="00B61DAE" w:rsidRPr="00A259BD" w:rsidRDefault="00B61DAE"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 февраля</w:t>
      </w:r>
      <w:r w:rsidRPr="00A259BD">
        <w:rPr>
          <w:rFonts w:ascii="Times New Roman" w:hAnsi="Times New Roman"/>
          <w:color w:val="000000" w:themeColor="text1"/>
          <w:sz w:val="16"/>
          <w:szCs w:val="16"/>
        </w:rPr>
        <w:t xml:space="preserve"> в 1929 году состоялся первый полет польского легкого разведчика </w:t>
      </w:r>
      <w:hyperlink r:id="rId14" w:tgtFrame="_blank" w:history="1">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Lublin</w:t>
        </w:r>
        <w:proofErr w:type="spellEnd"/>
        <w:r w:rsidRPr="00A259BD">
          <w:rPr>
            <w:rFonts w:ascii="Times New Roman" w:hAnsi="Times New Roman"/>
            <w:color w:val="000000" w:themeColor="text1"/>
            <w:sz w:val="16"/>
            <w:szCs w:val="16"/>
          </w:rPr>
          <w:t xml:space="preserve">» «R-X». </w:t>
        </w:r>
      </w:hyperlink>
    </w:p>
    <w:p w14:paraId="4FC4BAFA" w14:textId="77777777" w:rsidR="00B61DAE" w:rsidRPr="00A259BD" w:rsidRDefault="00B61DAE" w:rsidP="009236E3">
      <w:pPr>
        <w:spacing w:after="0" w:line="240" w:lineRule="auto"/>
        <w:jc w:val="both"/>
        <w:rPr>
          <w:rFonts w:ascii="Times New Roman" w:hAnsi="Times New Roman"/>
          <w:color w:val="000000" w:themeColor="text1"/>
          <w:sz w:val="16"/>
          <w:szCs w:val="16"/>
        </w:rPr>
      </w:pPr>
    </w:p>
    <w:p w14:paraId="7C365A96" w14:textId="77777777" w:rsidR="00887AD6" w:rsidRPr="00A259BD" w:rsidRDefault="00887AD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февраля 1929 г. первый полет Люблин RX (20806).</w:t>
      </w:r>
    </w:p>
    <w:p w14:paraId="4C3E292C" w14:textId="77777777" w:rsidR="00887AD6" w:rsidRPr="00A259BD" w:rsidRDefault="00887AD6" w:rsidP="009236E3">
      <w:pPr>
        <w:spacing w:after="0" w:line="240" w:lineRule="auto"/>
        <w:jc w:val="both"/>
        <w:rPr>
          <w:rFonts w:ascii="Times New Roman" w:hAnsi="Times New Roman"/>
          <w:color w:val="000000" w:themeColor="text1"/>
          <w:sz w:val="16"/>
          <w:szCs w:val="16"/>
        </w:rPr>
      </w:pPr>
    </w:p>
    <w:p w14:paraId="4945F5D7" w14:textId="77777777" w:rsidR="00B61DAE" w:rsidRPr="00A259BD" w:rsidRDefault="00B61DAE"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 февраля</w:t>
      </w:r>
      <w:r w:rsidRPr="00A259BD">
        <w:rPr>
          <w:rFonts w:ascii="Times New Roman" w:hAnsi="Times New Roman"/>
          <w:color w:val="000000" w:themeColor="text1"/>
          <w:sz w:val="16"/>
          <w:szCs w:val="16"/>
        </w:rPr>
        <w:t xml:space="preserve"> в 1929 году в Лос-Анджелесе, в знаменитом Китайском кинотеатре </w:t>
      </w:r>
      <w:proofErr w:type="spellStart"/>
      <w:r w:rsidRPr="00A259BD">
        <w:rPr>
          <w:rFonts w:ascii="Times New Roman" w:hAnsi="Times New Roman"/>
          <w:color w:val="000000" w:themeColor="text1"/>
          <w:sz w:val="16"/>
          <w:szCs w:val="16"/>
        </w:rPr>
        <w:t>Граумана</w:t>
      </w:r>
      <w:proofErr w:type="spellEnd"/>
      <w:r w:rsidRPr="00A259BD">
        <w:rPr>
          <w:rFonts w:ascii="Times New Roman" w:hAnsi="Times New Roman"/>
          <w:color w:val="000000" w:themeColor="text1"/>
          <w:sz w:val="16"/>
          <w:szCs w:val="16"/>
        </w:rPr>
        <w:t>, построенном в виде пагоды, состоялась мировая премьера первого киномюзикла — «Бродвейская мелодия». Ее снял в крупнейшей голливудской студии Metro-</w:t>
      </w:r>
      <w:proofErr w:type="spellStart"/>
      <w:r w:rsidRPr="00A259BD">
        <w:rPr>
          <w:rFonts w:ascii="Times New Roman" w:hAnsi="Times New Roman"/>
          <w:color w:val="000000" w:themeColor="text1"/>
          <w:sz w:val="16"/>
          <w:szCs w:val="16"/>
        </w:rPr>
        <w:t>Goldwyn</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Mayer</w:t>
      </w:r>
      <w:proofErr w:type="spellEnd"/>
      <w:r w:rsidRPr="00A259BD">
        <w:rPr>
          <w:rFonts w:ascii="Times New Roman" w:hAnsi="Times New Roman"/>
          <w:color w:val="000000" w:themeColor="text1"/>
          <w:sz w:val="16"/>
          <w:szCs w:val="16"/>
        </w:rPr>
        <w:t xml:space="preserve"> режиссер Гарри Бомон, а продюсировал Гарри </w:t>
      </w:r>
      <w:proofErr w:type="spellStart"/>
      <w:r w:rsidRPr="00A259BD">
        <w:rPr>
          <w:rFonts w:ascii="Times New Roman" w:hAnsi="Times New Roman"/>
          <w:color w:val="000000" w:themeColor="text1"/>
          <w:sz w:val="16"/>
          <w:szCs w:val="16"/>
        </w:rPr>
        <w:t>Рапф</w:t>
      </w:r>
      <w:proofErr w:type="spellEnd"/>
      <w:r w:rsidRPr="00A259BD">
        <w:rPr>
          <w:rFonts w:ascii="Times New Roman" w:hAnsi="Times New Roman"/>
          <w:color w:val="000000" w:themeColor="text1"/>
          <w:sz w:val="16"/>
          <w:szCs w:val="16"/>
        </w:rPr>
        <w:t xml:space="preserve">. Сентиментальная и притом до предела банальная история двух сестер, увлеченных театром и мечтающих прославиться на Бродвее, развертывалась на фоне зажигательных танцев, мелодичных музыкальных номеров, чем и привела публику в восторг. Особый успех имели исполнители главных ролей: старшую, рассудительную, сестру сыграла уже сошедшая было с экрана звезда немого кино Бесси Лав, младшую, легкомысленную, — 17-летняя красотка Анита Пейдж, а хозяина балетной труппы — «король» Бродвея Чарлз Кинг. Цветная и одна из первых полностью звуковых картин — «Бродвейская мелодия» принесла компании небывалые доходы и впоследствии породила ряд ремейков. В 1930-м она получила «Оскара» как лучшая картина минувшего года. При всем при этом критики </w:t>
      </w:r>
      <w:r w:rsidRPr="00A259BD">
        <w:rPr>
          <w:rFonts w:ascii="Times New Roman" w:hAnsi="Times New Roman"/>
          <w:color w:val="000000" w:themeColor="text1"/>
          <w:sz w:val="16"/>
          <w:szCs w:val="16"/>
        </w:rPr>
        <w:lastRenderedPageBreak/>
        <w:t>характеризовали фильм как худшее детище Голливуда за всю его историю, а награждение его объясняли лишь хаосом переходного периода между немым и звуковым кино (15027).</w:t>
      </w:r>
    </w:p>
    <w:p w14:paraId="1BF51DF6" w14:textId="77777777" w:rsidR="00B61DAE" w:rsidRPr="00A259BD" w:rsidRDefault="00B61DAE" w:rsidP="009236E3">
      <w:pPr>
        <w:spacing w:after="0" w:line="240" w:lineRule="auto"/>
        <w:jc w:val="both"/>
        <w:rPr>
          <w:rFonts w:ascii="Times New Roman" w:hAnsi="Times New Roman"/>
          <w:color w:val="000000" w:themeColor="text1"/>
          <w:sz w:val="16"/>
          <w:szCs w:val="16"/>
        </w:rPr>
      </w:pPr>
    </w:p>
    <w:p w14:paraId="258B2C94" w14:textId="77777777" w:rsidR="00824FAB"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739E4CF" w14:textId="77777777" w:rsidR="00824FAB" w:rsidRPr="00A259BD" w:rsidRDefault="00824FA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30BB822" w14:textId="77777777" w:rsidR="00824FAB" w:rsidRPr="00A259BD" w:rsidRDefault="00824FAB" w:rsidP="009236E3">
      <w:pPr>
        <w:pStyle w:val="rtejustify"/>
        <w:spacing w:before="0" w:after="0"/>
        <w:rPr>
          <w:color w:val="000000" w:themeColor="text1"/>
          <w:sz w:val="16"/>
          <w:szCs w:val="16"/>
        </w:rPr>
      </w:pPr>
      <w:r w:rsidRPr="00A259BD">
        <w:rPr>
          <w:rStyle w:val="af0"/>
          <w:i w:val="0"/>
          <w:color w:val="000000" w:themeColor="text1"/>
          <w:sz w:val="16"/>
          <w:szCs w:val="16"/>
        </w:rPr>
        <w:t xml:space="preserve">2 февраля </w:t>
      </w:r>
      <w:r w:rsidRPr="00A259BD">
        <w:rPr>
          <w:color w:val="000000" w:themeColor="text1"/>
          <w:sz w:val="16"/>
          <w:szCs w:val="16"/>
        </w:rPr>
        <w:t>1929 г</w:t>
      </w:r>
      <w:r w:rsidRPr="00A259BD">
        <w:rPr>
          <w:rStyle w:val="af0"/>
          <w:i w:val="0"/>
          <w:color w:val="000000" w:themeColor="text1"/>
          <w:sz w:val="16"/>
          <w:szCs w:val="16"/>
        </w:rPr>
        <w:t xml:space="preserve">. Протокол Реввоенсовета № 9. </w:t>
      </w:r>
      <w:r w:rsidRPr="00A259BD">
        <w:rPr>
          <w:color w:val="000000" w:themeColor="text1"/>
          <w:sz w:val="16"/>
          <w:szCs w:val="16"/>
        </w:rPr>
        <w:t>2. О перевозке станковых пулеметов в стрелковых частях. 3. О замене в войсках пулеметов Льюиса и Шоша. 8. О результатах испытаний пулемета Дегтярева. 11. О состоянии работ по изготовлению танка «Лилипут». 15. О заказе фирме «</w:t>
      </w:r>
      <w:proofErr w:type="spellStart"/>
      <w:r w:rsidRPr="00A259BD">
        <w:rPr>
          <w:color w:val="000000" w:themeColor="text1"/>
          <w:sz w:val="16"/>
          <w:szCs w:val="16"/>
        </w:rPr>
        <w:t>Сперри</w:t>
      </w:r>
      <w:proofErr w:type="spellEnd"/>
      <w:r w:rsidRPr="00A259BD">
        <w:rPr>
          <w:color w:val="000000" w:themeColor="text1"/>
          <w:sz w:val="16"/>
          <w:szCs w:val="16"/>
        </w:rPr>
        <w:t>». 17. О военных портах. (РГВА. Ф. 4. Оп. 18. Д. 15. Л. 50, 51, 53</w:t>
      </w:r>
      <w:r w:rsidRPr="00A259BD">
        <w:rPr>
          <w:color w:val="000000" w:themeColor="text1"/>
          <w:sz w:val="16"/>
          <w:szCs w:val="16"/>
        </w:rPr>
        <w:noBreakHyphen/>
        <w:t>54, 55, 55) (12342).</w:t>
      </w:r>
    </w:p>
    <w:p w14:paraId="63A3CF82" w14:textId="77777777" w:rsidR="00824FAB" w:rsidRPr="00A259BD" w:rsidRDefault="00824FAB" w:rsidP="009236E3">
      <w:pPr>
        <w:pStyle w:val="rtejustify"/>
        <w:spacing w:before="0" w:after="0"/>
        <w:rPr>
          <w:color w:val="000000" w:themeColor="text1"/>
          <w:sz w:val="16"/>
          <w:szCs w:val="16"/>
        </w:rPr>
      </w:pPr>
    </w:p>
    <w:p w14:paraId="1E5CA24B"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февраля 1929 г. — Постановление № 8 Реввоенсовета СССР по докладу ВСНХ СССР о мобилизационной готовности промышленности</w:t>
      </w:r>
    </w:p>
    <w:p w14:paraId="62CAD895"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 № 8 Реввоенсовета СССР по докладу ВСНХ СССР о мобилизационной готовности промышленности</w:t>
      </w:r>
    </w:p>
    <w:p w14:paraId="1AE3B4F5"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февраля 1929 г.</w:t>
      </w:r>
    </w:p>
    <w:p w14:paraId="2CA1D2E7"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Совершенно секретно.</w:t>
      </w:r>
    </w:p>
    <w:p w14:paraId="5724AEB9"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w:t>
      </w:r>
    </w:p>
    <w:p w14:paraId="354FE200"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Реввоенсовет отмечает целый ряд крупных достижений промышленности в деле восстановления военных производств и по выполнению программы военных заказов. Реввоенсовет считает необходимым констатировать, что с момента организации Мобилизационно-планового управления в составе ВСНХ СССР значительно улучшилась плановая работа по мобилизационной подготовке промышленности. Это выразилось: а) в заметном сдвиге работ, при активном участии ВМИ НК РКИ по выявлению производственных мощностей промышленности; б) в усилении мобилизационного руководства и в) в организованном охвате вопросов мобилизационного характера как проработанных, так и прорабатываемых в ВСНХ СССР.</w:t>
      </w:r>
    </w:p>
    <w:p w14:paraId="549DD7F7"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w:t>
      </w:r>
    </w:p>
    <w:p w14:paraId="467300E3"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 наряду с этим Реввоенсовет считает необходимым отметить следующие крупные недочеты в мобилизационной подготовке промышленности:</w:t>
      </w:r>
    </w:p>
    <w:p w14:paraId="44F5DC5B"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Действующий в настоящее время устарелый </w:t>
      </w:r>
      <w:proofErr w:type="spellStart"/>
      <w:r w:rsidRPr="00A259BD">
        <w:rPr>
          <w:rFonts w:ascii="Times New Roman" w:hAnsi="Times New Roman"/>
          <w:color w:val="000000" w:themeColor="text1"/>
          <w:sz w:val="16"/>
          <w:szCs w:val="16"/>
        </w:rPr>
        <w:t>мобплан</w:t>
      </w:r>
      <w:proofErr w:type="spellEnd"/>
      <w:r w:rsidRPr="00A259BD">
        <w:rPr>
          <w:rFonts w:ascii="Times New Roman" w:hAnsi="Times New Roman"/>
          <w:color w:val="000000" w:themeColor="text1"/>
          <w:sz w:val="16"/>
          <w:szCs w:val="16"/>
        </w:rPr>
        <w:t xml:space="preserve"> литеры «А» значительно преуменьшает мобилизационные мощности промышленности, рассчитан на очень длительные сроки развертывания, не во всех частях обеспечен материально и документально недоработан во всех звеньях, в том числе в первичных ячейках промышленности. Вследствие этого если война возникнет в данный момент, промышленность должна будет мобилизоваться в значительной мере без плана.</w:t>
      </w:r>
    </w:p>
    <w:p w14:paraId="27136B5F"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Несмотря на ряд уже принятых ВСНХ СССР мер, обеспечение существующих и вновь создаваемых мощностей необходимыми мобилизационными запасами инструмента, полуфабрикатов и заготовок, материалами и изделиями импортного происхождения, а также кадрами квалифицированной рабочей силы продолжает оставаться крайне низким, создавая угрозу чрезвычайной затяжки сроков мобилизационного развертывания военных производств, а в отдельных случаях — срыва мобилизационной программы.</w:t>
      </w:r>
    </w:p>
    <w:p w14:paraId="2F0AECF6"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Чрезвычайно растянутые сроки развертывания промышленности принуждают РВС СССР строить все расчеты исключительно на мобилизационных запасах РККА; состояние же этих запасов в данный момент таково, что они полностью не обеспечивают даже развертывания армии и тем более ни в какой мере не заполняют разрыва между обеспечением ведения войны наличными </w:t>
      </w:r>
      <w:proofErr w:type="spellStart"/>
      <w:r w:rsidRPr="00A259BD">
        <w:rPr>
          <w:rFonts w:ascii="Times New Roman" w:hAnsi="Times New Roman"/>
          <w:color w:val="000000" w:themeColor="text1"/>
          <w:sz w:val="16"/>
          <w:szCs w:val="16"/>
        </w:rPr>
        <w:t>мобзапасами</w:t>
      </w:r>
      <w:proofErr w:type="spellEnd"/>
      <w:r w:rsidRPr="00A259BD">
        <w:rPr>
          <w:rFonts w:ascii="Times New Roman" w:hAnsi="Times New Roman"/>
          <w:color w:val="000000" w:themeColor="text1"/>
          <w:sz w:val="16"/>
          <w:szCs w:val="16"/>
        </w:rPr>
        <w:t xml:space="preserve"> и началом подачи на фронт продукции мобилизованной промышленности.</w:t>
      </w:r>
    </w:p>
    <w:p w14:paraId="51315DDA"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Реализация промышленностью </w:t>
      </w:r>
      <w:proofErr w:type="spellStart"/>
      <w:r w:rsidRPr="00A259BD">
        <w:rPr>
          <w:rFonts w:ascii="Times New Roman" w:hAnsi="Times New Roman"/>
          <w:color w:val="000000" w:themeColor="text1"/>
          <w:sz w:val="16"/>
          <w:szCs w:val="16"/>
        </w:rPr>
        <w:t>мобплана</w:t>
      </w:r>
      <w:proofErr w:type="spellEnd"/>
      <w:r w:rsidRPr="00A259BD">
        <w:rPr>
          <w:rFonts w:ascii="Times New Roman" w:hAnsi="Times New Roman"/>
          <w:color w:val="000000" w:themeColor="text1"/>
          <w:sz w:val="16"/>
          <w:szCs w:val="16"/>
        </w:rPr>
        <w:t xml:space="preserve"> литеры «С» на протяжении 5 кварталов (постановление РЗ СТО от 24 декабря 1928 г.) приводит к запозданию готовности вновь создаваемых мощностей, растягивая эту важнейшую работу до 1 апреля 1930 г.¹* Особенно это недопустимо по отношению к наиболее «узким» местам — пороху и аммиаку, готовность по которым отодвигается па 1 октября 1930 г.</w:t>
      </w:r>
    </w:p>
    <w:p w14:paraId="6DEA4EC8"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Совершенно недостаточное внедрение в гражданскую промышленность еще в мирное время военных заказов.</w:t>
      </w:r>
    </w:p>
    <w:p w14:paraId="50DD3FA6"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III.</w:t>
      </w:r>
    </w:p>
    <w:p w14:paraId="52DF99D9"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РВС СССР принимает к сведению заявление Президиума ВСНХ СССР, что к 1 октября 1931 г. будут созданы и обеспечены достаточными сырьевыми ресурсами производственные мощности по военным производствам для удовлетворения по основным номенклатурам заявки Наркомвоенмора в согласии с постановлением РЗ СТО от 31 июля 1928 г., что эти мощности будут созданы путем широкого использования гражданской промышленности, максимально возможного применения методов ассимиляции и кооперирования, что начатая проверка производственных мощностей будет доведена до конца и что специальное новое строительство будет сведено к минимуму.</w:t>
      </w:r>
    </w:p>
    <w:p w14:paraId="671DEBCD"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Однако, исходя из того, что положение с </w:t>
      </w:r>
      <w:proofErr w:type="spellStart"/>
      <w:r w:rsidRPr="00A259BD">
        <w:rPr>
          <w:rFonts w:ascii="Times New Roman" w:hAnsi="Times New Roman"/>
          <w:color w:val="000000" w:themeColor="text1"/>
          <w:sz w:val="16"/>
          <w:szCs w:val="16"/>
        </w:rPr>
        <w:t>мобготовностью</w:t>
      </w:r>
      <w:proofErr w:type="spellEnd"/>
      <w:r w:rsidRPr="00A259BD">
        <w:rPr>
          <w:rFonts w:ascii="Times New Roman" w:hAnsi="Times New Roman"/>
          <w:color w:val="000000" w:themeColor="text1"/>
          <w:sz w:val="16"/>
          <w:szCs w:val="16"/>
        </w:rPr>
        <w:t xml:space="preserve"> промышленности в данный момент продолжает оставаться крайне неблагоприятной, РВС СССР предлагает следующие мероприятия.</w:t>
      </w:r>
    </w:p>
    <w:p w14:paraId="01EC0CBD"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линии ВСНХ СССР</w:t>
      </w:r>
    </w:p>
    <w:p w14:paraId="57B16C66"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Усилить темп мобилизационной работы вообще, и особенно усилить работы по дальнейшим выявлениям производственных мощностей и сокращению сроков </w:t>
      </w:r>
      <w:proofErr w:type="spellStart"/>
      <w:r w:rsidRPr="00A259BD">
        <w:rPr>
          <w:rFonts w:ascii="Times New Roman" w:hAnsi="Times New Roman"/>
          <w:color w:val="000000" w:themeColor="text1"/>
          <w:sz w:val="16"/>
          <w:szCs w:val="16"/>
        </w:rPr>
        <w:t>мобготовности</w:t>
      </w:r>
      <w:proofErr w:type="spellEnd"/>
      <w:r w:rsidRPr="00A259BD">
        <w:rPr>
          <w:rFonts w:ascii="Times New Roman" w:hAnsi="Times New Roman"/>
          <w:color w:val="000000" w:themeColor="text1"/>
          <w:sz w:val="16"/>
          <w:szCs w:val="16"/>
        </w:rPr>
        <w:t xml:space="preserve"> промышленности. Эти последние две работы (выявление производственных мощностей и сокращение сроков </w:t>
      </w:r>
      <w:proofErr w:type="spellStart"/>
      <w:r w:rsidRPr="00A259BD">
        <w:rPr>
          <w:rFonts w:ascii="Times New Roman" w:hAnsi="Times New Roman"/>
          <w:color w:val="000000" w:themeColor="text1"/>
          <w:sz w:val="16"/>
          <w:szCs w:val="16"/>
        </w:rPr>
        <w:t>мобготовности</w:t>
      </w:r>
      <w:proofErr w:type="spellEnd"/>
      <w:r w:rsidRPr="00A259BD">
        <w:rPr>
          <w:rFonts w:ascii="Times New Roman" w:hAnsi="Times New Roman"/>
          <w:color w:val="000000" w:themeColor="text1"/>
          <w:sz w:val="16"/>
          <w:szCs w:val="16"/>
        </w:rPr>
        <w:t>) должны быть обязательно закончены к 1 апреля 1929 г., причем уже к этому времени должно быть достигнуто максимальное сокращение сроков развертывания.</w:t>
      </w:r>
    </w:p>
    <w:p w14:paraId="4C9878AC"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Своевременно представить правительству свои заявки, связанные с мобилизационной подготовкой промышленности, дабы эти заявки нашли отражение при составлении контрольных цифр на 1929/30 г.</w:t>
      </w:r>
    </w:p>
    <w:p w14:paraId="105A3362"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Стремиться к созданию сверх действующего </w:t>
      </w:r>
      <w:proofErr w:type="spellStart"/>
      <w:r w:rsidRPr="00A259BD">
        <w:rPr>
          <w:rFonts w:ascii="Times New Roman" w:hAnsi="Times New Roman"/>
          <w:color w:val="000000" w:themeColor="text1"/>
          <w:sz w:val="16"/>
          <w:szCs w:val="16"/>
        </w:rPr>
        <w:t>мобплана</w:t>
      </w:r>
      <w:proofErr w:type="spellEnd"/>
      <w:r w:rsidRPr="00A259BD">
        <w:rPr>
          <w:rFonts w:ascii="Times New Roman" w:hAnsi="Times New Roman"/>
          <w:color w:val="000000" w:themeColor="text1"/>
          <w:sz w:val="16"/>
          <w:szCs w:val="16"/>
        </w:rPr>
        <w:t xml:space="preserve"> промышленности еще резерва мощностей на случай постановки в военное время производства новых предметов военной техники, осуществление которых потребует война. Ввиду особой важности этого вопроса поставить его в ближайшее время совместно со Штабом РККА перед РЗ СТО.</w:t>
      </w:r>
    </w:p>
    <w:p w14:paraId="6F71E25B"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Ввиду необходимости сократить сроки готовности по пороху и аммиаку просить РЗ СТО пересмотреть решение правительства об этих сроках в сторону их перенесения с 1 октября 1930 г. на 1 апреля 1930 г.</w:t>
      </w:r>
    </w:p>
    <w:p w14:paraId="7F05C041"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Довести до сведения РЗ СТО, что реализация </w:t>
      </w:r>
      <w:proofErr w:type="spellStart"/>
      <w:r w:rsidRPr="00A259BD">
        <w:rPr>
          <w:rFonts w:ascii="Times New Roman" w:hAnsi="Times New Roman"/>
          <w:color w:val="000000" w:themeColor="text1"/>
          <w:sz w:val="16"/>
          <w:szCs w:val="16"/>
        </w:rPr>
        <w:t>мобплана</w:t>
      </w:r>
      <w:proofErr w:type="spellEnd"/>
      <w:r w:rsidRPr="00A259BD">
        <w:rPr>
          <w:rFonts w:ascii="Times New Roman" w:hAnsi="Times New Roman"/>
          <w:color w:val="000000" w:themeColor="text1"/>
          <w:sz w:val="16"/>
          <w:szCs w:val="16"/>
        </w:rPr>
        <w:t xml:space="preserve"> литеры «С» может быть сорвана из-за неполучения промышленностью импортного оборудования и материалов и настаивать, чтобы это оборудование было ввезено в СССР до весны 1929 г.</w:t>
      </w:r>
    </w:p>
    <w:p w14:paraId="1AAD7FEB"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Представить в РЗ СТО не позднее 15 февраля 1929 г. соображения о том, какие средства могут быть дополнительно выделены промышленностью для увеличения внутренних запасов. К тому же времени совместно с </w:t>
      </w:r>
      <w:proofErr w:type="spellStart"/>
      <w:r w:rsidRPr="00A259BD">
        <w:rPr>
          <w:rFonts w:ascii="Times New Roman" w:hAnsi="Times New Roman"/>
          <w:color w:val="000000" w:themeColor="text1"/>
          <w:sz w:val="16"/>
          <w:szCs w:val="16"/>
        </w:rPr>
        <w:t>НКТоргом</w:t>
      </w:r>
      <w:proofErr w:type="spellEnd"/>
      <w:r w:rsidRPr="00A259BD">
        <w:rPr>
          <w:rFonts w:ascii="Times New Roman" w:hAnsi="Times New Roman"/>
          <w:color w:val="000000" w:themeColor="text1"/>
          <w:sz w:val="16"/>
          <w:szCs w:val="16"/>
        </w:rPr>
        <w:t xml:space="preserve"> СССР представить в РЗ СТО доклад о том, что фактически из импортного оборудования и материалов будет ввезено к 1 апреля 1929 г.</w:t>
      </w:r>
    </w:p>
    <w:p w14:paraId="0D11090E"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Исходя из того, что освобождение союзной промышленности от импортной зависимости является одним из решающих фактов в деле обеспечения войны и обороны страны, поставить перед собой задачу разработать конкретный план развития собственных производств, в полной мере гарантирующих работу промышленности в условиях военной блокады, увязав срок развития этих производств с пятилетним планом развития промышленности в целом. Ввиду важности этого вопроса поставить его для принципиального направления на одном из ближайших заседаний РЗ СТО.</w:t>
      </w:r>
    </w:p>
    <w:p w14:paraId="619517C7"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Считать неотложной задачей переход военной промышленности в срочном порядке на высшую техническую базу, сокращение сроков промышленного строительства и его удешевления.</w:t>
      </w:r>
    </w:p>
    <w:p w14:paraId="2FBE2840"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В целях повышения </w:t>
      </w:r>
      <w:proofErr w:type="spellStart"/>
      <w:r w:rsidRPr="00A259BD">
        <w:rPr>
          <w:rFonts w:ascii="Times New Roman" w:hAnsi="Times New Roman"/>
          <w:color w:val="000000" w:themeColor="text1"/>
          <w:sz w:val="16"/>
          <w:szCs w:val="16"/>
        </w:rPr>
        <w:t>мобготовности</w:t>
      </w:r>
      <w:proofErr w:type="spellEnd"/>
      <w:r w:rsidRPr="00A259BD">
        <w:rPr>
          <w:rFonts w:ascii="Times New Roman" w:hAnsi="Times New Roman"/>
          <w:color w:val="000000" w:themeColor="text1"/>
          <w:sz w:val="16"/>
          <w:szCs w:val="16"/>
        </w:rPr>
        <w:t xml:space="preserve"> гражданской промышленности передать функции по распределению военных заказов мирного времени между военной и гражданской промышленностью из ГВПУ в МПУ ВСНХ СССР.</w:t>
      </w:r>
    </w:p>
    <w:p w14:paraId="2D1AFBDD"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линии НК РКИ СССР</w:t>
      </w:r>
    </w:p>
    <w:p w14:paraId="7F3D143D"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Включить в план своих работ на 1928/29 г. в качестве ударной и боевой задачи поверку состояния </w:t>
      </w:r>
      <w:proofErr w:type="spellStart"/>
      <w:r w:rsidRPr="00A259BD">
        <w:rPr>
          <w:rFonts w:ascii="Times New Roman" w:hAnsi="Times New Roman"/>
          <w:color w:val="000000" w:themeColor="text1"/>
          <w:sz w:val="16"/>
          <w:szCs w:val="16"/>
        </w:rPr>
        <w:t>мобработы</w:t>
      </w:r>
      <w:proofErr w:type="spellEnd"/>
      <w:r w:rsidRPr="00A259BD">
        <w:rPr>
          <w:rFonts w:ascii="Times New Roman" w:hAnsi="Times New Roman"/>
          <w:color w:val="000000" w:themeColor="text1"/>
          <w:sz w:val="16"/>
          <w:szCs w:val="16"/>
        </w:rPr>
        <w:t xml:space="preserve"> на предприятиях и заводах.</w:t>
      </w:r>
    </w:p>
    <w:p w14:paraId="653E68E3"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линии </w:t>
      </w:r>
      <w:proofErr w:type="spellStart"/>
      <w:r w:rsidRPr="00A259BD">
        <w:rPr>
          <w:rFonts w:ascii="Times New Roman" w:hAnsi="Times New Roman"/>
          <w:color w:val="000000" w:themeColor="text1"/>
          <w:sz w:val="16"/>
          <w:szCs w:val="16"/>
        </w:rPr>
        <w:t>НКВМора</w:t>
      </w:r>
      <w:proofErr w:type="spellEnd"/>
    </w:p>
    <w:p w14:paraId="264AA8B4" w14:textId="77777777" w:rsidR="00824FAB" w:rsidRPr="00A259BD" w:rsidRDefault="00824FAB" w:rsidP="009236E3">
      <w:pPr>
        <w:pStyle w:val="rtejustify"/>
        <w:spacing w:before="0" w:after="0"/>
        <w:rPr>
          <w:color w:val="000000" w:themeColor="text1"/>
          <w:sz w:val="16"/>
          <w:szCs w:val="16"/>
        </w:rPr>
      </w:pPr>
      <w:r w:rsidRPr="00A259BD">
        <w:rPr>
          <w:color w:val="000000" w:themeColor="text1"/>
          <w:sz w:val="16"/>
          <w:szCs w:val="16"/>
        </w:rPr>
        <w:t xml:space="preserve">18. Принимая во внимание крайне неблагополучное положение конструкторской работы, медлительность в проведении опытных работ, отсутствие налаженного контроля за их прохождением и учитывая назревшую необходимость коренной реорганизации всего конструкторского и опытного дела, поставить перед РЗ СТО вопрос о скорейшей организации конструкторских бюро в промышленности (в том числе и в первую очередь на заводах), об ускорении темпа осуществления промышленностью опытных образцов и об усилении работ по </w:t>
      </w:r>
      <w:proofErr w:type="spellStart"/>
      <w:r w:rsidRPr="00A259BD">
        <w:rPr>
          <w:color w:val="000000" w:themeColor="text1"/>
          <w:sz w:val="16"/>
          <w:szCs w:val="16"/>
        </w:rPr>
        <w:t>суррогатированию</w:t>
      </w:r>
      <w:proofErr w:type="spellEnd"/>
      <w:r w:rsidRPr="00A259BD">
        <w:rPr>
          <w:color w:val="000000" w:themeColor="text1"/>
          <w:sz w:val="16"/>
          <w:szCs w:val="16"/>
        </w:rPr>
        <w:t>. Поручить Штабу РККА и ВНИК при РВС СССР совместно с МПУ ВСНХ СССР разработать в двухнедельный срок проект положения о передаче промышленности конструкторской работы, предусмотрев в нем ответственность за эту работу соответствующих производственных органов и научных учреждений ВСНХ, а общее наблюдение — за МПУ ВСНХ. В этом же проекте четко разграничить обязанности техкомов управлений НКВМ и научных учреждений ВСНХ, обеспечив обмен достижениями и полную взаимную увязку в их работе. В этом же проекте предусмотреть объединение руководства по привлечению иностранной технической помощи для постановки новых военных производств, а также организацию опытных работ и контроль над ними, обеспечивающий быстрейшее их выполнение. Одновременно председателю ВНИК т. </w:t>
      </w:r>
      <w:hyperlink r:id="rId15" w:history="1">
        <w:r w:rsidRPr="00A259BD">
          <w:rPr>
            <w:color w:val="000000" w:themeColor="text1"/>
            <w:sz w:val="16"/>
            <w:szCs w:val="16"/>
          </w:rPr>
          <w:t>Янсону</w:t>
        </w:r>
      </w:hyperlink>
      <w:r w:rsidRPr="00A259BD">
        <w:rPr>
          <w:color w:val="000000" w:themeColor="text1"/>
          <w:sz w:val="16"/>
          <w:szCs w:val="16"/>
        </w:rPr>
        <w:t xml:space="preserve"> вести начатую им работу по реорганизации техкомов и по передаче конструкторской работы промышленности с таким расчетом, чтобы закончить ее в феврале 1929 г.</w:t>
      </w:r>
    </w:p>
    <w:p w14:paraId="1936CBDF" w14:textId="77777777" w:rsidR="00824FAB" w:rsidRPr="00A259BD" w:rsidRDefault="00824FAB" w:rsidP="009236E3">
      <w:pPr>
        <w:pStyle w:val="rtejustify"/>
        <w:spacing w:before="0" w:after="0"/>
        <w:rPr>
          <w:color w:val="000000" w:themeColor="text1"/>
          <w:sz w:val="16"/>
          <w:szCs w:val="16"/>
        </w:rPr>
      </w:pPr>
      <w:r w:rsidRPr="00A259BD">
        <w:rPr>
          <w:color w:val="000000" w:themeColor="text1"/>
          <w:sz w:val="16"/>
          <w:szCs w:val="16"/>
        </w:rPr>
        <w:t>19. УС РККА и МПУ ВСНХ в полуторамесячный срок разработать и представить на утверждение РВС СССР проект положения на военное время о военной приемке; им же в тот же срок разработать предложение о рационализации военной приемки в мирное время. В основу проекта положить полную ответственность промышленности за качество сдаваемой продукции как в мирное, так и военное время.</w:t>
      </w:r>
    </w:p>
    <w:p w14:paraId="6637F29D" w14:textId="77777777" w:rsidR="00824FAB" w:rsidRPr="00A259BD" w:rsidRDefault="00824FAB" w:rsidP="009236E3">
      <w:pPr>
        <w:pStyle w:val="rtejustify"/>
        <w:spacing w:before="0" w:after="0"/>
        <w:rPr>
          <w:color w:val="000000" w:themeColor="text1"/>
          <w:sz w:val="16"/>
          <w:szCs w:val="16"/>
        </w:rPr>
      </w:pPr>
      <w:r w:rsidRPr="00A259BD">
        <w:rPr>
          <w:color w:val="000000" w:themeColor="text1"/>
          <w:sz w:val="16"/>
          <w:szCs w:val="16"/>
        </w:rPr>
        <w:t>20. Штабу РККА совместно с УС РККА и с привлечением МПУ ВСНХ:</w:t>
      </w:r>
    </w:p>
    <w:p w14:paraId="0B63719E" w14:textId="77777777" w:rsidR="00824FAB" w:rsidRPr="00A259BD" w:rsidRDefault="00824FAB" w:rsidP="009236E3">
      <w:pPr>
        <w:pStyle w:val="rtejustify"/>
        <w:spacing w:before="0" w:after="0"/>
        <w:rPr>
          <w:color w:val="000000" w:themeColor="text1"/>
          <w:sz w:val="16"/>
          <w:szCs w:val="16"/>
        </w:rPr>
      </w:pPr>
      <w:r w:rsidRPr="00A259BD">
        <w:rPr>
          <w:color w:val="000000" w:themeColor="text1"/>
          <w:sz w:val="16"/>
          <w:szCs w:val="16"/>
        </w:rPr>
        <w:lastRenderedPageBreak/>
        <w:t>а) пересмотреть заявки НКВМ по вариантам № 10 и 12 и представить предложения о внесении в них необходимых поправок с точки зрения соотношений между отдельными номенклатурами, исключения излишних или заявленных в мелочных количествах номенклатур, об оставлении в заявке или исключении из нее изделий не установленных образцов, о замене отдельных номенклатур, обеспечение мощности по которым связано с большими затратами и временем, более упрощенными и т. д.;</w:t>
      </w:r>
    </w:p>
    <w:p w14:paraId="010A6231" w14:textId="77777777" w:rsidR="00824FAB" w:rsidRPr="00A259BD" w:rsidRDefault="00824FAB" w:rsidP="009236E3">
      <w:pPr>
        <w:pStyle w:val="rtejustify"/>
        <w:spacing w:before="0" w:after="0"/>
        <w:rPr>
          <w:color w:val="000000" w:themeColor="text1"/>
          <w:sz w:val="16"/>
          <w:szCs w:val="16"/>
        </w:rPr>
      </w:pPr>
      <w:r w:rsidRPr="00A259BD">
        <w:rPr>
          <w:color w:val="000000" w:themeColor="text1"/>
          <w:sz w:val="16"/>
          <w:szCs w:val="16"/>
        </w:rPr>
        <w:t>б) проверить обеспеченность заявок техническими условиями и чертежами по каждой номенклатуре и установить календарные сроки сообщения промышленности недостающих чертежей и технических условий;</w:t>
      </w:r>
    </w:p>
    <w:p w14:paraId="0665903A" w14:textId="77777777" w:rsidR="00824FAB" w:rsidRPr="00A259BD" w:rsidRDefault="00824FAB" w:rsidP="009236E3">
      <w:pPr>
        <w:pStyle w:val="rtejustify"/>
        <w:spacing w:before="0" w:after="0"/>
        <w:rPr>
          <w:color w:val="000000" w:themeColor="text1"/>
          <w:sz w:val="16"/>
          <w:szCs w:val="16"/>
        </w:rPr>
      </w:pPr>
      <w:r w:rsidRPr="00A259BD">
        <w:rPr>
          <w:color w:val="000000" w:themeColor="text1"/>
          <w:sz w:val="16"/>
          <w:szCs w:val="16"/>
        </w:rPr>
        <w:t>в) согласовать имеющиеся в технических условиях требования на основные материалы с общеустановленными стандартами;</w:t>
      </w:r>
    </w:p>
    <w:p w14:paraId="015AAAD0" w14:textId="77777777" w:rsidR="00824FAB" w:rsidRPr="00A259BD" w:rsidRDefault="00824FAB" w:rsidP="009236E3">
      <w:pPr>
        <w:pStyle w:val="rtejustify"/>
        <w:spacing w:before="0" w:after="0"/>
        <w:rPr>
          <w:color w:val="000000" w:themeColor="text1"/>
          <w:sz w:val="16"/>
          <w:szCs w:val="16"/>
        </w:rPr>
      </w:pPr>
      <w:r w:rsidRPr="00A259BD">
        <w:rPr>
          <w:color w:val="000000" w:themeColor="text1"/>
          <w:sz w:val="16"/>
          <w:szCs w:val="16"/>
        </w:rPr>
        <w:t>г) разработать порядок включения в заявку новых образцов, обеспечивающий возможность своевременного включения в промышленные планы соответствующих затрат на создание необходимой производственной мощности.</w:t>
      </w:r>
    </w:p>
    <w:p w14:paraId="0E578CD8" w14:textId="77777777" w:rsidR="00824FAB" w:rsidRPr="00A259BD" w:rsidRDefault="00824FAB" w:rsidP="009236E3">
      <w:pPr>
        <w:pStyle w:val="rtejustify"/>
        <w:spacing w:before="0" w:after="0"/>
        <w:rPr>
          <w:color w:val="000000" w:themeColor="text1"/>
          <w:sz w:val="16"/>
          <w:szCs w:val="16"/>
        </w:rPr>
      </w:pPr>
      <w:r w:rsidRPr="00A259BD">
        <w:rPr>
          <w:color w:val="000000" w:themeColor="text1"/>
          <w:sz w:val="16"/>
          <w:szCs w:val="16"/>
        </w:rPr>
        <w:t xml:space="preserve">21. Штабу РККА, исходя из оперативных планов, представить в двухнедельный срок в РВС СССР доклад о минимальных сроках развертывания промышленности в целях ликвидации существующего разрыва между обеспеченностью РККА своими </w:t>
      </w:r>
      <w:proofErr w:type="spellStart"/>
      <w:r w:rsidRPr="00A259BD">
        <w:rPr>
          <w:color w:val="000000" w:themeColor="text1"/>
          <w:sz w:val="16"/>
          <w:szCs w:val="16"/>
        </w:rPr>
        <w:t>мобзапасами</w:t>
      </w:r>
      <w:proofErr w:type="spellEnd"/>
      <w:r w:rsidRPr="00A259BD">
        <w:rPr>
          <w:color w:val="000000" w:themeColor="text1"/>
          <w:sz w:val="16"/>
          <w:szCs w:val="16"/>
        </w:rPr>
        <w:t xml:space="preserve"> и началом подачи на фронт продукции, мобилизованной промышленностью.</w:t>
      </w:r>
    </w:p>
    <w:p w14:paraId="4FC2F32B" w14:textId="77777777" w:rsidR="00824FAB" w:rsidRPr="00A259BD" w:rsidRDefault="00824FAB" w:rsidP="009236E3">
      <w:pPr>
        <w:pStyle w:val="rtejustify"/>
        <w:spacing w:before="0" w:after="0"/>
        <w:rPr>
          <w:color w:val="000000" w:themeColor="text1"/>
          <w:sz w:val="16"/>
          <w:szCs w:val="16"/>
        </w:rPr>
      </w:pPr>
      <w:r w:rsidRPr="00A259BD">
        <w:rPr>
          <w:color w:val="000000" w:themeColor="text1"/>
          <w:sz w:val="16"/>
          <w:szCs w:val="16"/>
        </w:rPr>
        <w:t xml:space="preserve">22. УС РККА, УВВС и УВМС в течение февраля 1929 г. выполнить постановление РЗ СТО о разработке на военное время облегченных технических условий и о </w:t>
      </w:r>
      <w:proofErr w:type="spellStart"/>
      <w:r w:rsidRPr="00A259BD">
        <w:rPr>
          <w:color w:val="000000" w:themeColor="text1"/>
          <w:sz w:val="16"/>
          <w:szCs w:val="16"/>
        </w:rPr>
        <w:t>суррогатировании</w:t>
      </w:r>
      <w:proofErr w:type="spellEnd"/>
      <w:r w:rsidRPr="00A259BD">
        <w:rPr>
          <w:color w:val="000000" w:themeColor="text1"/>
          <w:sz w:val="16"/>
          <w:szCs w:val="16"/>
        </w:rPr>
        <w:t xml:space="preserve"> материалов, идущих на военную продукцию.</w:t>
      </w:r>
    </w:p>
    <w:p w14:paraId="04F78B15" w14:textId="77777777" w:rsidR="00824FAB" w:rsidRPr="00A259BD" w:rsidRDefault="00824FAB" w:rsidP="009236E3">
      <w:pPr>
        <w:pStyle w:val="rtejustify"/>
        <w:spacing w:before="0" w:after="0"/>
        <w:rPr>
          <w:color w:val="000000" w:themeColor="text1"/>
          <w:sz w:val="16"/>
          <w:szCs w:val="16"/>
        </w:rPr>
      </w:pPr>
      <w:r w:rsidRPr="00A259BD">
        <w:rPr>
          <w:color w:val="000000" w:themeColor="text1"/>
          <w:sz w:val="16"/>
          <w:szCs w:val="16"/>
        </w:rPr>
        <w:t>23. Отмечая существующие разногласия в вопросах методологии мобилизационной работы в промышленности, предложить Штабу РККА и МПУ ВСНХ СССР внести свои окончательные и по возможности согласованные предложения в правительственную комиссию т. </w:t>
      </w:r>
      <w:hyperlink r:id="rId16" w:history="1">
        <w:r w:rsidRPr="00A259BD">
          <w:rPr>
            <w:color w:val="000000" w:themeColor="text1"/>
            <w:sz w:val="16"/>
            <w:szCs w:val="16"/>
          </w:rPr>
          <w:t>Ворошилова</w:t>
        </w:r>
      </w:hyperlink>
      <w:r w:rsidRPr="00A259BD">
        <w:rPr>
          <w:color w:val="000000" w:themeColor="text1"/>
          <w:sz w:val="16"/>
          <w:szCs w:val="16"/>
        </w:rPr>
        <w:t>, редактирующую «Положение о мобилизации народного хозяйства».</w:t>
      </w:r>
    </w:p>
    <w:p w14:paraId="279F6751" w14:textId="77777777" w:rsidR="00824FAB" w:rsidRPr="00A259BD" w:rsidRDefault="00824FAB" w:rsidP="009236E3">
      <w:pPr>
        <w:pStyle w:val="rtejustify"/>
        <w:spacing w:before="0" w:after="0"/>
        <w:rPr>
          <w:color w:val="000000" w:themeColor="text1"/>
          <w:sz w:val="16"/>
          <w:szCs w:val="16"/>
        </w:rPr>
      </w:pPr>
      <w:r w:rsidRPr="00A259BD">
        <w:rPr>
          <w:color w:val="000000" w:themeColor="text1"/>
          <w:sz w:val="16"/>
          <w:szCs w:val="16"/>
        </w:rPr>
        <w:t xml:space="preserve">24. Констатируя отсутствие нормальных взаимоотношений по </w:t>
      </w:r>
      <w:proofErr w:type="spellStart"/>
      <w:r w:rsidRPr="00A259BD">
        <w:rPr>
          <w:color w:val="000000" w:themeColor="text1"/>
          <w:sz w:val="16"/>
          <w:szCs w:val="16"/>
        </w:rPr>
        <w:t>мобработе</w:t>
      </w:r>
      <w:proofErr w:type="spellEnd"/>
      <w:r w:rsidRPr="00A259BD">
        <w:rPr>
          <w:color w:val="000000" w:themeColor="text1"/>
          <w:sz w:val="16"/>
          <w:szCs w:val="16"/>
        </w:rPr>
        <w:t xml:space="preserve"> между Штабом РККА и МПУ ВСНХ СССР, разработать и в месячный срок представить на утверждение РВС СССР систему, строго регламентирующую порядок взаимоотношений по мобилизационной подготовке промышленности между НКВМ и ВСНХ СССР. В частности, предусмотреть: а) порядок, сроки и формы разработки заявок и их предъявление промышленности; б) порядок, сроки и формы отчетности промышленности перед НКВМ как в ходе разработки заявок, так и по составленному мобилизационному плану. Работу согласовать с постановлением той же правительственной комиссии т. Ворошилова.</w:t>
      </w:r>
    </w:p>
    <w:p w14:paraId="294B5B3B" w14:textId="77777777" w:rsidR="00824FAB" w:rsidRPr="00A259BD" w:rsidRDefault="00824FAB" w:rsidP="009236E3">
      <w:pPr>
        <w:pStyle w:val="rtejustify"/>
        <w:spacing w:before="0" w:after="0"/>
        <w:rPr>
          <w:color w:val="000000" w:themeColor="text1"/>
          <w:sz w:val="16"/>
          <w:szCs w:val="16"/>
        </w:rPr>
      </w:pPr>
      <w:r w:rsidRPr="00A259BD">
        <w:rPr>
          <w:color w:val="000000" w:themeColor="text1"/>
          <w:sz w:val="16"/>
          <w:szCs w:val="16"/>
        </w:rPr>
        <w:t>25. Учитывая слабую укомплектованность личным составом мобилизационного аппарата промышленности, в особенности на местах, поручить ГУ РККА совместно с МПУ ВСНХ в двухнедельный срок представить председателю РВСС предложения о направлении в промышленность для этой цели квалифицированных военных работников.</w:t>
      </w:r>
    </w:p>
    <w:p w14:paraId="4AF7A0E1" w14:textId="77777777" w:rsidR="00824FAB" w:rsidRPr="00A259BD" w:rsidRDefault="00824FAB" w:rsidP="009236E3">
      <w:pPr>
        <w:pStyle w:val="ae"/>
        <w:spacing w:before="0" w:after="0"/>
        <w:jc w:val="both"/>
        <w:rPr>
          <w:color w:val="000000" w:themeColor="text1"/>
          <w:sz w:val="16"/>
          <w:szCs w:val="16"/>
        </w:rPr>
      </w:pPr>
      <w:r w:rsidRPr="00A259BD">
        <w:rPr>
          <w:rStyle w:val="af0"/>
          <w:i w:val="0"/>
          <w:color w:val="000000" w:themeColor="text1"/>
          <w:sz w:val="16"/>
          <w:szCs w:val="16"/>
        </w:rPr>
        <w:t>Председатель РВС СССР Ворошилов</w:t>
      </w:r>
    </w:p>
    <w:p w14:paraId="18E3A54B" w14:textId="77777777" w:rsidR="00824FAB" w:rsidRPr="00A259BD" w:rsidRDefault="00824FAB" w:rsidP="009236E3">
      <w:pPr>
        <w:pStyle w:val="ae"/>
        <w:spacing w:before="0" w:after="0"/>
        <w:jc w:val="both"/>
        <w:rPr>
          <w:color w:val="000000" w:themeColor="text1"/>
          <w:sz w:val="16"/>
          <w:szCs w:val="16"/>
        </w:rPr>
      </w:pPr>
      <w:r w:rsidRPr="00A259BD">
        <w:rPr>
          <w:rStyle w:val="af0"/>
          <w:i w:val="0"/>
          <w:color w:val="000000" w:themeColor="text1"/>
          <w:sz w:val="16"/>
          <w:szCs w:val="16"/>
        </w:rPr>
        <w:t>Секретарь РВС СССР В. </w:t>
      </w:r>
      <w:proofErr w:type="spellStart"/>
      <w:r w:rsidRPr="00A259BD">
        <w:rPr>
          <w:rStyle w:val="af0"/>
          <w:i w:val="0"/>
          <w:color w:val="000000" w:themeColor="text1"/>
          <w:sz w:val="16"/>
          <w:szCs w:val="16"/>
        </w:rPr>
        <w:t>Литуновский</w:t>
      </w:r>
      <w:proofErr w:type="spellEnd"/>
    </w:p>
    <w:p w14:paraId="7048E1A5" w14:textId="77777777" w:rsidR="00824FAB" w:rsidRPr="00A259BD" w:rsidRDefault="00824FAB"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Примечание</w:t>
      </w:r>
      <w:r w:rsidRPr="00A259BD">
        <w:rPr>
          <w:color w:val="000000" w:themeColor="text1"/>
          <w:sz w:val="16"/>
          <w:szCs w:val="16"/>
        </w:rPr>
        <w:t>:</w:t>
      </w:r>
    </w:p>
    <w:p w14:paraId="37056802" w14:textId="77777777" w:rsidR="00824FAB" w:rsidRPr="00A259BD" w:rsidRDefault="00824FAB"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w:t>
      </w:r>
      <w:r w:rsidRPr="00A259BD">
        <w:rPr>
          <w:rStyle w:val="af0"/>
          <w:i w:val="0"/>
          <w:color w:val="000000" w:themeColor="text1"/>
          <w:sz w:val="16"/>
          <w:szCs w:val="16"/>
        </w:rPr>
        <w:t>РЗ СТО СССР своим постановлением от 24 декабря 1928 г. «О мероприятиях по обороне на 1928/29 г.»</w:t>
      </w:r>
      <w:r w:rsidRPr="00A259BD">
        <w:rPr>
          <w:color w:val="000000" w:themeColor="text1"/>
          <w:sz w:val="16"/>
          <w:szCs w:val="16"/>
        </w:rPr>
        <w:t xml:space="preserve"> обязало ВСНХ СССР в связи с окончательным утверждением бюджетных ассигнований выполнить запроектированный объем капитальных работ за 5 кварталов до 1 января 1930 г., допустив продление сроков до 1 апреля в отношении сложных работ. Объем капитальных затрат по плану литеры «С» был определен в следующих размерах. По военной промышленности: капитальное строительство по военным производствам — 161 млн. 628 тыс. руб.; капитальное строительство по мирным производствам — 5 млн. руб.; консервация, техническое содействие — 10 млн. руб.; жилищное строительство — 12 млн. 450 тыс. руб.; культурно-бытовые нужды — 1 млн. 440 тыс. руб.</w:t>
      </w:r>
    </w:p>
    <w:p w14:paraId="6573F24F" w14:textId="77777777" w:rsidR="00824FAB" w:rsidRPr="00A259BD" w:rsidRDefault="00824FAB" w:rsidP="009236E3">
      <w:pPr>
        <w:pStyle w:val="ae"/>
        <w:spacing w:before="0" w:after="0"/>
        <w:jc w:val="both"/>
        <w:rPr>
          <w:color w:val="000000" w:themeColor="text1"/>
          <w:sz w:val="16"/>
          <w:szCs w:val="16"/>
        </w:rPr>
      </w:pPr>
      <w:r w:rsidRPr="00A259BD">
        <w:rPr>
          <w:color w:val="000000" w:themeColor="text1"/>
          <w:sz w:val="16"/>
          <w:szCs w:val="16"/>
        </w:rPr>
        <w:t>РГВА. Ф. 4. Оп. 18. Д. 15. Л. 43—48. Подлинник.</w:t>
      </w:r>
    </w:p>
    <w:p w14:paraId="2C23BBE2"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РГВА. Ф. 4. Оп. 18. Д. 15. Л. 43—48. Подлинник. </w:t>
      </w:r>
    </w:p>
    <w:p w14:paraId="71EB9840"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276-280  (12422)</w:t>
      </w:r>
    </w:p>
    <w:p w14:paraId="763CD691" w14:textId="77777777" w:rsidR="00824FAB" w:rsidRPr="00A259BD" w:rsidRDefault="00824FAB" w:rsidP="009236E3">
      <w:pPr>
        <w:spacing w:after="0" w:line="240" w:lineRule="auto"/>
        <w:jc w:val="both"/>
        <w:rPr>
          <w:rFonts w:ascii="Times New Roman" w:hAnsi="Times New Roman"/>
          <w:color w:val="000000" w:themeColor="text1"/>
          <w:sz w:val="16"/>
          <w:szCs w:val="16"/>
        </w:rPr>
      </w:pPr>
    </w:p>
    <w:p w14:paraId="17007AAE" w14:textId="77777777" w:rsidR="00306424"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86F1E63" w14:textId="77777777" w:rsidR="00306424" w:rsidRPr="00A259BD" w:rsidRDefault="0030642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9ED5FC8" w14:textId="77777777" w:rsidR="00306424" w:rsidRPr="00A259BD" w:rsidRDefault="00306424"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bCs/>
          <w:iCs/>
          <w:color w:val="000000" w:themeColor="text1"/>
          <w:sz w:val="16"/>
          <w:szCs w:val="16"/>
        </w:rPr>
        <w:t>2 февраля 1929 г.</w:t>
      </w:r>
      <w:r w:rsidRPr="00A259BD">
        <w:rPr>
          <w:rFonts w:ascii="Times New Roman" w:hAnsi="Times New Roman"/>
          <w:color w:val="000000" w:themeColor="text1"/>
          <w:sz w:val="16"/>
          <w:szCs w:val="16"/>
        </w:rPr>
        <w:t xml:space="preserve"> Постановление РВС СССР о выборе места размещения нового военно-химического полигона («</w:t>
      </w:r>
      <w:r w:rsidRPr="00A259BD">
        <w:rPr>
          <w:rFonts w:ascii="Times New Roman" w:hAnsi="Times New Roman"/>
          <w:iCs/>
          <w:color w:val="000000" w:themeColor="text1"/>
          <w:sz w:val="16"/>
          <w:szCs w:val="16"/>
        </w:rPr>
        <w:t xml:space="preserve">Принять к сведению, что участок для химического полигона найден и отведен в районе </w:t>
      </w:r>
      <w:proofErr w:type="spellStart"/>
      <w:r w:rsidRPr="00A259BD">
        <w:rPr>
          <w:rFonts w:ascii="Times New Roman" w:hAnsi="Times New Roman"/>
          <w:iCs/>
          <w:color w:val="000000" w:themeColor="text1"/>
          <w:sz w:val="16"/>
          <w:szCs w:val="16"/>
        </w:rPr>
        <w:t>г.Вольска</w:t>
      </w:r>
      <w:proofErr w:type="spellEnd"/>
      <w:r w:rsidRPr="00A259BD">
        <w:rPr>
          <w:rFonts w:ascii="Times New Roman" w:hAnsi="Times New Roman"/>
          <w:color w:val="000000" w:themeColor="text1"/>
          <w:sz w:val="16"/>
          <w:szCs w:val="16"/>
        </w:rPr>
        <w:t xml:space="preserve">»). Имеется в виду территория в районе имения Шиханы (Саратовская область) размером 130 км2. На этом участке предусматривалось проводить некоторые виды испытаний средств химической борьбы: </w:t>
      </w:r>
      <w:r w:rsidRPr="00A259BD">
        <w:rPr>
          <w:rFonts w:ascii="Times New Roman" w:hAnsi="Times New Roman"/>
          <w:iCs/>
          <w:color w:val="000000" w:themeColor="text1"/>
          <w:sz w:val="16"/>
          <w:szCs w:val="16"/>
        </w:rPr>
        <w:t xml:space="preserve">«1) проведение широких войсковых испытаний </w:t>
      </w:r>
      <w:proofErr w:type="spellStart"/>
      <w:r w:rsidRPr="00A259BD">
        <w:rPr>
          <w:rFonts w:ascii="Times New Roman" w:hAnsi="Times New Roman"/>
          <w:iCs/>
          <w:color w:val="000000" w:themeColor="text1"/>
          <w:sz w:val="16"/>
          <w:szCs w:val="16"/>
        </w:rPr>
        <w:t>аэрохимическими</w:t>
      </w:r>
      <w:proofErr w:type="spellEnd"/>
      <w:r w:rsidRPr="00A259BD">
        <w:rPr>
          <w:rFonts w:ascii="Times New Roman" w:hAnsi="Times New Roman"/>
          <w:iCs/>
          <w:color w:val="000000" w:themeColor="text1"/>
          <w:sz w:val="16"/>
          <w:szCs w:val="16"/>
        </w:rPr>
        <w:t xml:space="preserve"> бомбами, 2) заражение площади с высот до 500 м с одновременным вылетом до 6 самолетов, 3) большие </w:t>
      </w:r>
      <w:proofErr w:type="spellStart"/>
      <w:r w:rsidRPr="00A259BD">
        <w:rPr>
          <w:rFonts w:ascii="Times New Roman" w:hAnsi="Times New Roman"/>
          <w:iCs/>
          <w:color w:val="000000" w:themeColor="text1"/>
          <w:sz w:val="16"/>
          <w:szCs w:val="16"/>
        </w:rPr>
        <w:t>аэрохимические</w:t>
      </w:r>
      <w:proofErr w:type="spellEnd"/>
      <w:r w:rsidRPr="00A259BD">
        <w:rPr>
          <w:rFonts w:ascii="Times New Roman" w:hAnsi="Times New Roman"/>
          <w:iCs/>
          <w:color w:val="000000" w:themeColor="text1"/>
          <w:sz w:val="16"/>
          <w:szCs w:val="16"/>
        </w:rPr>
        <w:t xml:space="preserve"> стрельбы с единовременным выпуском до 800 шт. 3-дюймовых снарядов на дистанцию 14 км, 4) </w:t>
      </w:r>
      <w:proofErr w:type="spellStart"/>
      <w:r w:rsidRPr="00A259BD">
        <w:rPr>
          <w:rFonts w:ascii="Times New Roman" w:hAnsi="Times New Roman"/>
          <w:iCs/>
          <w:color w:val="000000" w:themeColor="text1"/>
          <w:sz w:val="16"/>
          <w:szCs w:val="16"/>
        </w:rPr>
        <w:t>газометные</w:t>
      </w:r>
      <w:proofErr w:type="spellEnd"/>
      <w:r w:rsidRPr="00A259BD">
        <w:rPr>
          <w:rFonts w:ascii="Times New Roman" w:hAnsi="Times New Roman"/>
          <w:iCs/>
          <w:color w:val="000000" w:themeColor="text1"/>
          <w:sz w:val="16"/>
          <w:szCs w:val="16"/>
        </w:rPr>
        <w:t xml:space="preserve"> стрельбы с одновременным выпуском до 200 мин (2 залпа из 100 газометов), 5) заражение местности наземными приборами и фугасами, 6) изучение ядовито-дымного, газового и дымного облаков с одновременным выпуском 100 шт. баллонов Е-30 или 500 шт. ядовитых свечей»</w:t>
      </w:r>
      <w:r w:rsidRPr="00A259BD">
        <w:rPr>
          <w:rFonts w:ascii="Times New Roman" w:hAnsi="Times New Roman"/>
          <w:color w:val="000000" w:themeColor="text1"/>
          <w:sz w:val="16"/>
          <w:szCs w:val="16"/>
        </w:rPr>
        <w:t>.  (17133).</w:t>
      </w:r>
    </w:p>
    <w:p w14:paraId="12804EC1" w14:textId="77777777" w:rsidR="00306424" w:rsidRPr="00A259BD" w:rsidRDefault="00306424" w:rsidP="009236E3">
      <w:pPr>
        <w:shd w:val="clear" w:color="auto" w:fill="FFFFFF"/>
        <w:spacing w:after="0" w:line="240" w:lineRule="auto"/>
        <w:jc w:val="both"/>
        <w:rPr>
          <w:rFonts w:ascii="Times New Roman" w:hAnsi="Times New Roman"/>
          <w:color w:val="000000" w:themeColor="text1"/>
          <w:sz w:val="16"/>
          <w:szCs w:val="16"/>
        </w:rPr>
      </w:pPr>
    </w:p>
    <w:p w14:paraId="5F5A067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1BB6366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852EC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2 и 8 февраля 1929. Из протокола заседания Политбюро N 63, особая папка, 1929 г.</w:t>
      </w:r>
    </w:p>
    <w:p w14:paraId="60547D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сокращении расходной части бюджета </w:t>
      </w:r>
    </w:p>
    <w:p w14:paraId="2452DA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Признать необходимым:</w:t>
      </w:r>
    </w:p>
    <w:p w14:paraId="198203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повысить цены на хлебное вино для деревни до 1 р. 40 к. и для города до 1 р. 70 к. и </w:t>
      </w:r>
    </w:p>
    <w:p w14:paraId="2BD696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повысить акциз на пиво на 3 коп. </w:t>
      </w:r>
    </w:p>
    <w:p w14:paraId="6261E7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Допустить колебания в отношении крепости хлебного вина в пределах 5% (11652).</w:t>
      </w:r>
    </w:p>
    <w:p w14:paraId="60FA98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8C89E61"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370952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116CF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февраля 1929 года на озере </w:t>
      </w:r>
      <w:proofErr w:type="spellStart"/>
      <w:r w:rsidRPr="00A259BD">
        <w:rPr>
          <w:rFonts w:ascii="Times New Roman" w:hAnsi="Times New Roman"/>
          <w:color w:val="000000" w:themeColor="text1"/>
          <w:sz w:val="16"/>
          <w:szCs w:val="16"/>
        </w:rPr>
        <w:t>Эйбзее</w:t>
      </w:r>
      <w:proofErr w:type="spellEnd"/>
      <w:r w:rsidRPr="00A259BD">
        <w:rPr>
          <w:rFonts w:ascii="Times New Roman" w:hAnsi="Times New Roman"/>
          <w:color w:val="000000" w:themeColor="text1"/>
          <w:sz w:val="16"/>
          <w:szCs w:val="16"/>
        </w:rPr>
        <w:t xml:space="preserve"> был осуществлен первый публичный пробег ракетных саней Валье, причем водителем саней выступала жена Макса Валье. Был использован заряд из 6 ракет, зажигаемых попарно. Они безотказно сгорели с двухсекундными перерывами, сообщив саням скорость около 40 км/ч; длина пробега при этом составила немногим более 100 м. После этого стартовал сам Валье с зарядом, состоявшим из 12 ракет. Первые две батареи ракет выгорели безотказно и сообщили саням скорость в 100 км/час по истечении 3 секунд от момента старта. При третьем зажигании одна из ракет взорвалась, воспламенив и обе ракеты четвертого зажигания. В итоге сила тяги последних ракет не могла быть использована, и сани, прокатившись еще 165 м, остановились. По утверждению Валье, ускорение, примерно в два раза превышавшее ускорение свободного падения, “воспринималось очень приятно и производило впечатление быстрого подъема на крутую гору” (11688).</w:t>
      </w:r>
    </w:p>
    <w:p w14:paraId="43258B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25FAC7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B68814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335AE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февраля 1929 г. СТО утвердил вариант программы военного судостроения, который включал в себя корабли программы 1926 г. с учетом ее корректи</w:t>
      </w:r>
      <w:r w:rsidRPr="00A259BD">
        <w:rPr>
          <w:rFonts w:ascii="Times New Roman" w:hAnsi="Times New Roman"/>
          <w:color w:val="000000" w:themeColor="text1"/>
          <w:sz w:val="16"/>
          <w:szCs w:val="16"/>
        </w:rPr>
        <w:softHyphen/>
        <w:t>ровки в 1927 г. Дополнительно к прежним заданиям предполага</w:t>
      </w:r>
      <w:r w:rsidRPr="00A259BD">
        <w:rPr>
          <w:rFonts w:ascii="Times New Roman" w:hAnsi="Times New Roman"/>
          <w:color w:val="000000" w:themeColor="text1"/>
          <w:sz w:val="16"/>
          <w:szCs w:val="16"/>
        </w:rPr>
        <w:softHyphen/>
        <w:t>лось построить три эсминца, три больших и одну малую подвод</w:t>
      </w:r>
      <w:r w:rsidRPr="00A259BD">
        <w:rPr>
          <w:rFonts w:ascii="Times New Roman" w:hAnsi="Times New Roman"/>
          <w:color w:val="000000" w:themeColor="text1"/>
          <w:sz w:val="16"/>
          <w:szCs w:val="16"/>
        </w:rPr>
        <w:softHyphen/>
        <w:t>ную лодку, три радиоуправляемых торпедных катера и некоторые другие корабли</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 При этом пришлось ограничиться капитальным ремонтом трех линкоров, из них только двух с улучшением такти</w:t>
      </w:r>
      <w:r w:rsidRPr="00A259BD">
        <w:rPr>
          <w:rFonts w:ascii="Times New Roman" w:hAnsi="Times New Roman"/>
          <w:color w:val="000000" w:themeColor="text1"/>
          <w:sz w:val="16"/>
          <w:szCs w:val="16"/>
        </w:rPr>
        <w:softHyphen/>
        <w:t>ко-технических элементов ("малая" модернизация), и достройкой одного крейсера.</w:t>
      </w:r>
    </w:p>
    <w:p w14:paraId="6D6EC0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Срок выполнения программы был назначен на 1932/33 опера</w:t>
      </w:r>
      <w:r w:rsidRPr="00A259BD">
        <w:rPr>
          <w:rFonts w:ascii="Times New Roman" w:hAnsi="Times New Roman"/>
          <w:color w:val="000000" w:themeColor="text1"/>
          <w:sz w:val="16"/>
          <w:szCs w:val="16"/>
        </w:rPr>
        <w:softHyphen/>
        <w:t>ционный год, а стоимость ее оценивалась в 321 млн руб., из которых 174,3 млн руб. ассигновались на первые три года (3898).</w:t>
      </w:r>
    </w:p>
    <w:p w14:paraId="4CD19C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6551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февраля 1929 г. Совет Труда и Обороны утвердил новую кораблестроительную программу, которая была рассчитана до 1933 г. Она была более обширной по сравнению с первой кораблестроительной программой. Кроме подводных лодок, сторожевых кораблей и торпедных катеров в ней предусматривались строительство речных канонерских лодок (мониторов), малых охотников, лидеров эскадренных миноносцев, капитальный ремонт и модернизация трех линкоров типа “Севастополь”, достройка третьего легкого крейсера типа “Светлана”. Количество намеченных к постройке кораблей увеличивалось. В связи с тем, что правительство сочло возможным увеличить ассигнования на строительство флота на период 1931-1933 гг., кораблестроительная программа 1929 г. в дальнейшем дважды подвергалась корректировке, увеличивая как количество кораблей, так и строительство кораблей новых классов. В частности, предусматривалось создание тральщиков (10672).</w:t>
      </w:r>
    </w:p>
    <w:p w14:paraId="6A0577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ED760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февраля 1929 Совет Труда и Обороны утвердил программу военного судостроения на первую пятилетку (1928–1933), по которой намечалось построить 18 больших и 4 малых подводных лодки, 3 эсминца, 18 сторожевых кораблей, 5 охотников за ПЛ, 2 речные канонерские лодки, значительное число торпедных катеров — всего </w:t>
      </w:r>
      <w:r w:rsidRPr="00A259BD">
        <w:rPr>
          <w:rFonts w:ascii="Times New Roman" w:hAnsi="Times New Roman"/>
          <w:color w:val="000000" w:themeColor="text1"/>
          <w:sz w:val="16"/>
          <w:szCs w:val="16"/>
        </w:rPr>
        <w:lastRenderedPageBreak/>
        <w:t>98 боевых кораблей и 37 вспомогательных судов. В 1927–32 вступили в строй 7 сторожевых кораблей, 6 подводных лодок типа «Декабрист» и «Ленинец», 59 торпедных катеров, а также было начато строительство 59 подводных лодок, 3 лидеров, 12 сторожевых кораблей, минного заградителя, 2 речных мониторов, катеров (11712).</w:t>
      </w:r>
    </w:p>
    <w:p w14:paraId="579428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F0169F" w14:textId="77777777" w:rsidR="00824FAB" w:rsidRPr="00A259BD" w:rsidRDefault="00824FAB"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4 февраля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СТО СССР об утверждении плана развития Морских сил РККА (РГАЭ. Ф. 3429. Оп. 16. Д. 90. Л. 50) (12415).</w:t>
      </w:r>
    </w:p>
    <w:p w14:paraId="3AA0D363" w14:textId="77777777" w:rsidR="00824FAB" w:rsidRPr="00A259BD" w:rsidRDefault="00824FAB"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Постановление РЗ СТО СССР о развитии судостроительной программы НКВМ на 1928?1933 гг. (ГА РФ. Ф. Р?8418. Оп. 28) (12415).</w:t>
      </w:r>
    </w:p>
    <w:p w14:paraId="46DA5FF2" w14:textId="77777777" w:rsidR="00824FAB" w:rsidRPr="00A259BD" w:rsidRDefault="00824FAB"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Постановление РЗ СТО СССР о судостроительной программе НКВМ (РГАВМФ. Ф. Р?1483. Оп. 1. Д. 30. Л. 241?243) (12415).</w:t>
      </w:r>
    </w:p>
    <w:p w14:paraId="429F9EBB" w14:textId="77777777" w:rsidR="00824FAB" w:rsidRPr="00A259BD" w:rsidRDefault="00824FAB" w:rsidP="009236E3">
      <w:pPr>
        <w:spacing w:after="0" w:line="240" w:lineRule="auto"/>
        <w:jc w:val="both"/>
        <w:rPr>
          <w:rFonts w:ascii="Times New Roman" w:hAnsi="Times New Roman"/>
          <w:color w:val="000000" w:themeColor="text1"/>
          <w:sz w:val="16"/>
          <w:szCs w:val="16"/>
          <w:u w:color="002060"/>
        </w:rPr>
      </w:pPr>
    </w:p>
    <w:p w14:paraId="00994148" w14:textId="77777777" w:rsidR="00384477" w:rsidRPr="00A259BD" w:rsidRDefault="00384477" w:rsidP="009236E3">
      <w:pPr>
        <w:pStyle w:val="rtejustify"/>
        <w:spacing w:before="0" w:after="0"/>
        <w:rPr>
          <w:color w:val="000000" w:themeColor="text1"/>
          <w:sz w:val="16"/>
          <w:szCs w:val="16"/>
        </w:rPr>
      </w:pPr>
      <w:r w:rsidRPr="00A259BD">
        <w:rPr>
          <w:rStyle w:val="af0"/>
          <w:rFonts w:eastAsia="Gungsuh"/>
          <w:i w:val="0"/>
          <w:color w:val="000000" w:themeColor="text1"/>
          <w:sz w:val="16"/>
          <w:szCs w:val="16"/>
        </w:rPr>
        <w:t>4 февраля 1929 г.</w:t>
      </w:r>
      <w:r w:rsidRPr="00A259BD">
        <w:rPr>
          <w:color w:val="000000" w:themeColor="text1"/>
          <w:sz w:val="16"/>
          <w:szCs w:val="16"/>
        </w:rPr>
        <w:t xml:space="preserve"> было принято </w:t>
      </w:r>
      <w:r w:rsidRPr="00A259BD">
        <w:rPr>
          <w:rStyle w:val="af0"/>
          <w:rFonts w:eastAsia="Gungsuh"/>
          <w:i w:val="0"/>
          <w:color w:val="000000" w:themeColor="text1"/>
          <w:sz w:val="16"/>
          <w:szCs w:val="16"/>
        </w:rPr>
        <w:t>постановление РЗ СТО СССР «О судостроительной программе НКВМ»</w:t>
      </w:r>
      <w:r w:rsidRPr="00A259BD">
        <w:rPr>
          <w:color w:val="000000" w:themeColor="text1"/>
          <w:sz w:val="16"/>
          <w:szCs w:val="16"/>
        </w:rPr>
        <w:t xml:space="preserve"> в развитие постановления РЗ СТО СССР от 17 декабря 1928 г. Эта программа военного судостроения на 1928</w:t>
      </w:r>
      <w:r w:rsidRPr="00A259BD">
        <w:rPr>
          <w:color w:val="000000" w:themeColor="text1"/>
          <w:sz w:val="16"/>
          <w:szCs w:val="16"/>
        </w:rPr>
        <w:noBreakHyphen/>
        <w:t xml:space="preserve">1933 гг. предусматривала постройку 84 подводных лодок, 3 эскадренных эсминцев, 18 сторожевых судов, 5 искателей подлодок, 60 торпедных катеров, 3 торпедных катеров волнового управления, 2 речных </w:t>
      </w:r>
      <w:proofErr w:type="spellStart"/>
      <w:r w:rsidRPr="00A259BD">
        <w:rPr>
          <w:color w:val="000000" w:themeColor="text1"/>
          <w:sz w:val="16"/>
          <w:szCs w:val="16"/>
        </w:rPr>
        <w:t>канонерных</w:t>
      </w:r>
      <w:proofErr w:type="spellEnd"/>
      <w:r w:rsidRPr="00A259BD">
        <w:rPr>
          <w:color w:val="000000" w:themeColor="text1"/>
          <w:sz w:val="16"/>
          <w:szCs w:val="16"/>
        </w:rPr>
        <w:t xml:space="preserve"> лодок; достройку, восстановление и капитальный ремонт 3 эсминцев, достройку легкого крейсера «Красный Кавказ»; капитальный ремонт легких крейсеров «Парижская Коммуна», «Марат», «Октябрьская революция» и др. (12521)</w:t>
      </w:r>
      <w:r w:rsidR="00C104F7" w:rsidRPr="00A259BD">
        <w:rPr>
          <w:color w:val="000000" w:themeColor="text1"/>
          <w:sz w:val="16"/>
          <w:szCs w:val="16"/>
        </w:rPr>
        <w:t>.</w:t>
      </w:r>
    </w:p>
    <w:p w14:paraId="126A165D" w14:textId="77777777" w:rsidR="00384477" w:rsidRPr="00A259BD" w:rsidRDefault="00384477" w:rsidP="009236E3">
      <w:pPr>
        <w:spacing w:after="0" w:line="240" w:lineRule="auto"/>
        <w:jc w:val="both"/>
        <w:rPr>
          <w:rFonts w:ascii="Times New Roman" w:hAnsi="Times New Roman"/>
          <w:color w:val="000000" w:themeColor="text1"/>
          <w:sz w:val="16"/>
          <w:szCs w:val="16"/>
        </w:rPr>
      </w:pPr>
    </w:p>
    <w:p w14:paraId="50CF4D3F" w14:textId="77777777" w:rsidR="00014ACA" w:rsidRPr="00A259BD" w:rsidRDefault="00014ACA" w:rsidP="009236E3">
      <w:pPr>
        <w:spacing w:after="0" w:line="240" w:lineRule="auto"/>
        <w:jc w:val="both"/>
        <w:rPr>
          <w:rFonts w:ascii="Times New Roman" w:hAnsi="Times New Roman"/>
          <w:color w:val="000000" w:themeColor="text1"/>
          <w:sz w:val="16"/>
          <w:szCs w:val="16"/>
        </w:rPr>
      </w:pPr>
      <w:bookmarkStart w:id="7" w:name="_Hlk83623632"/>
      <w:r w:rsidRPr="00A259BD">
        <w:rPr>
          <w:rFonts w:ascii="Times New Roman" w:eastAsia="Times New Roman" w:hAnsi="Times New Roman"/>
          <w:color w:val="000000" w:themeColor="text1"/>
          <w:sz w:val="16"/>
          <w:szCs w:val="16"/>
          <w:lang w:eastAsia="ru-RU"/>
        </w:rPr>
        <w:t>4 февраля 1929 г. состоялось заседание РЗ СТО</w:t>
      </w:r>
    </w:p>
    <w:p w14:paraId="3BD33EA2" w14:textId="77777777" w:rsidR="00014ACA" w:rsidRPr="00A259BD" w:rsidRDefault="00014ACA"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Протокол № 29 от 4 февраля 1929 г.:</w:t>
      </w:r>
    </w:p>
    <w:p w14:paraId="3216910A" w14:textId="77777777" w:rsidR="00014ACA" w:rsidRPr="00A259BD" w:rsidRDefault="00014ACA"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…Об усилении связи НКВМ с Особым техническим бюро (постановление P3 СТО от 9.1.1929 г. к протоколу P3 СТО № 29 от 4.2.1929 г. по п. 8) (21567).</w:t>
      </w:r>
    </w:p>
    <w:bookmarkEnd w:id="7"/>
    <w:p w14:paraId="26C6EB5A" w14:textId="77777777" w:rsidR="00014ACA" w:rsidRPr="00A259BD" w:rsidRDefault="00014ACA" w:rsidP="009236E3">
      <w:pPr>
        <w:spacing w:after="0" w:line="240" w:lineRule="auto"/>
        <w:jc w:val="both"/>
        <w:rPr>
          <w:rFonts w:ascii="Times New Roman" w:hAnsi="Times New Roman"/>
          <w:color w:val="000000" w:themeColor="text1"/>
          <w:sz w:val="16"/>
          <w:szCs w:val="16"/>
        </w:rPr>
      </w:pPr>
    </w:p>
    <w:p w14:paraId="0AE8B1E6" w14:textId="77777777" w:rsidR="00306424"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BFD87CE" w14:textId="77777777" w:rsidR="00306424" w:rsidRPr="00A259BD" w:rsidRDefault="0030642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84FB15A" w14:textId="77777777" w:rsidR="00306424" w:rsidRPr="00A259BD" w:rsidRDefault="00306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4 февраля</w:t>
      </w:r>
      <w:r w:rsidRPr="00A259BD">
        <w:rPr>
          <w:rFonts w:ascii="Times New Roman" w:hAnsi="Times New Roman"/>
          <w:color w:val="000000" w:themeColor="text1"/>
          <w:sz w:val="16"/>
          <w:szCs w:val="16"/>
        </w:rPr>
        <w:t xml:space="preserve"> в 1929 году была основана американская авиационная фирма «Berliner-</w:t>
      </w:r>
      <w:proofErr w:type="spellStart"/>
      <w:r w:rsidRPr="00A259BD">
        <w:rPr>
          <w:rFonts w:ascii="Times New Roman" w:hAnsi="Times New Roman"/>
          <w:color w:val="000000" w:themeColor="text1"/>
          <w:sz w:val="16"/>
          <w:szCs w:val="16"/>
        </w:rPr>
        <w:t>Joyce</w:t>
      </w:r>
      <w:proofErr w:type="spellEnd"/>
      <w:r w:rsidRPr="00A259BD">
        <w:rPr>
          <w:rFonts w:ascii="Times New Roman" w:hAnsi="Times New Roman"/>
          <w:color w:val="000000" w:themeColor="text1"/>
          <w:sz w:val="16"/>
          <w:szCs w:val="16"/>
        </w:rPr>
        <w:t xml:space="preserve"> Aircraft Corporation», путем приобретения активов бывшей «Berliner Aircraft Company Inc.» (15030).</w:t>
      </w:r>
    </w:p>
    <w:p w14:paraId="5453C524" w14:textId="77777777" w:rsidR="00306424" w:rsidRPr="00A259BD" w:rsidRDefault="00306424" w:rsidP="009236E3">
      <w:pPr>
        <w:spacing w:after="0" w:line="240" w:lineRule="auto"/>
        <w:jc w:val="both"/>
        <w:rPr>
          <w:rFonts w:ascii="Times New Roman" w:hAnsi="Times New Roman"/>
          <w:color w:val="000000" w:themeColor="text1"/>
          <w:sz w:val="16"/>
          <w:szCs w:val="16"/>
        </w:rPr>
      </w:pPr>
    </w:p>
    <w:p w14:paraId="6CF07A8F" w14:textId="77777777" w:rsidR="00014ACA" w:rsidRPr="00A259BD" w:rsidRDefault="00014AC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февраля 1929 с Оскаром </w:t>
      </w:r>
      <w:proofErr w:type="spellStart"/>
      <w:r w:rsidRPr="00A259BD">
        <w:rPr>
          <w:rFonts w:ascii="Times New Roman" w:hAnsi="Times New Roman"/>
          <w:color w:val="000000" w:themeColor="text1"/>
          <w:sz w:val="16"/>
          <w:szCs w:val="16"/>
        </w:rPr>
        <w:t>Грабб</w:t>
      </w:r>
      <w:proofErr w:type="spellEnd"/>
      <w:r w:rsidRPr="00A259BD">
        <w:rPr>
          <w:rFonts w:ascii="Times New Roman" w:hAnsi="Times New Roman"/>
          <w:color w:val="000000" w:themeColor="text1"/>
          <w:sz w:val="16"/>
          <w:szCs w:val="16"/>
        </w:rPr>
        <w:t xml:space="preserve"> на борту в качестве бортинженера, Фрэнк Ястребы устанавливает рекорд трансконтинентальной воздушной скорости для полета через континентальные Соединенные Штаты в то время перелета на Lockheed Воздушный экспресс (регистрация NR7955) от завода Lockheed в </w:t>
      </w:r>
      <w:proofErr w:type="spellStart"/>
      <w:r w:rsidRPr="00A259BD">
        <w:rPr>
          <w:rFonts w:ascii="Times New Roman" w:hAnsi="Times New Roman"/>
          <w:color w:val="000000" w:themeColor="text1"/>
          <w:sz w:val="16"/>
          <w:szCs w:val="16"/>
        </w:rPr>
        <w:t>Бербанк</w:t>
      </w:r>
      <w:proofErr w:type="spellEnd"/>
      <w:r w:rsidRPr="00A259BD">
        <w:rPr>
          <w:rFonts w:ascii="Times New Roman" w:hAnsi="Times New Roman"/>
          <w:color w:val="000000" w:themeColor="text1"/>
          <w:sz w:val="16"/>
          <w:szCs w:val="16"/>
        </w:rPr>
        <w:t xml:space="preserve">, штат Калифорния, на </w:t>
      </w:r>
      <w:proofErr w:type="spellStart"/>
      <w:r w:rsidRPr="00A259BD">
        <w:rPr>
          <w:rFonts w:ascii="Times New Roman" w:hAnsi="Times New Roman"/>
          <w:color w:val="000000" w:themeColor="text1"/>
          <w:sz w:val="16"/>
          <w:szCs w:val="16"/>
        </w:rPr>
        <w:t>авиасалонев</w:t>
      </w:r>
      <w:proofErr w:type="spellEnd"/>
      <w:r w:rsidRPr="00A259BD">
        <w:rPr>
          <w:rFonts w:ascii="Times New Roman" w:hAnsi="Times New Roman"/>
          <w:color w:val="000000" w:themeColor="text1"/>
          <w:sz w:val="16"/>
          <w:szCs w:val="16"/>
        </w:rPr>
        <w:t xml:space="preserve"> Нью - Йорке, совершив перелет за 18 часов 21 минуту.</w:t>
      </w:r>
    </w:p>
    <w:p w14:paraId="609ABB0E" w14:textId="77777777" w:rsidR="00014ACA" w:rsidRPr="00A259BD" w:rsidRDefault="00014ACA" w:rsidP="009236E3">
      <w:pPr>
        <w:spacing w:after="0" w:line="240" w:lineRule="auto"/>
        <w:jc w:val="both"/>
        <w:rPr>
          <w:rFonts w:ascii="Times New Roman" w:hAnsi="Times New Roman"/>
          <w:color w:val="000000" w:themeColor="text1"/>
          <w:sz w:val="16"/>
          <w:szCs w:val="16"/>
        </w:rPr>
      </w:pPr>
    </w:p>
    <w:p w14:paraId="2CBEC66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DCE2C7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8CC3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февраля 1929 вышло первое постановления РВС по подготовке Пятилетнего плану опытного строительства ВВС на 1928/1929 - 1932/1933 (1025,2).</w:t>
      </w:r>
    </w:p>
    <w:p w14:paraId="082C19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D8C2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февра</w:t>
      </w:r>
      <w:r w:rsidRPr="00A259BD">
        <w:rPr>
          <w:rFonts w:ascii="Times New Roman" w:hAnsi="Times New Roman"/>
          <w:color w:val="000000" w:themeColor="text1"/>
          <w:sz w:val="16"/>
          <w:szCs w:val="16"/>
        </w:rPr>
        <w:softHyphen/>
        <w:t>ля 1929 г. А. Н. Туполев представил в ЦВМС Первый вариант эскизного проекта нового глиссирующего ка</w:t>
      </w:r>
      <w:r w:rsidRPr="00A259BD">
        <w:rPr>
          <w:rFonts w:ascii="Times New Roman" w:hAnsi="Times New Roman"/>
          <w:color w:val="000000" w:themeColor="text1"/>
          <w:sz w:val="16"/>
          <w:szCs w:val="16"/>
        </w:rPr>
        <w:softHyphen/>
        <w:t>тера АНТ-5 (ГАНТ-5) (3898).</w:t>
      </w:r>
    </w:p>
    <w:p w14:paraId="7CB1D4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64706B" w14:textId="77777777" w:rsidR="00B55635" w:rsidRPr="00A259BD" w:rsidRDefault="00B556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1397BDC" w14:textId="77777777" w:rsidR="00B55635" w:rsidRPr="00A259BD" w:rsidRDefault="00B5563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558CAFD" w14:textId="77777777" w:rsidR="00B55635" w:rsidRPr="00A259BD" w:rsidRDefault="00B5563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февраля 1929 - Первый полет истребителя </w:t>
      </w:r>
      <w:proofErr w:type="spellStart"/>
      <w:r w:rsidRPr="00A259BD">
        <w:rPr>
          <w:rFonts w:ascii="Times New Roman" w:hAnsi="Times New Roman"/>
          <w:color w:val="000000" w:themeColor="text1"/>
          <w:sz w:val="16"/>
          <w:szCs w:val="16"/>
        </w:rPr>
        <w:t>Fairey</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Firefly</w:t>
      </w:r>
      <w:proofErr w:type="spellEnd"/>
      <w:r w:rsidRPr="00A259BD">
        <w:rPr>
          <w:rFonts w:ascii="Times New Roman" w:hAnsi="Times New Roman"/>
          <w:color w:val="000000" w:themeColor="text1"/>
          <w:sz w:val="16"/>
          <w:szCs w:val="16"/>
        </w:rPr>
        <w:t xml:space="preserve"> IIM. Это был одноместный одномоторный биплан цельнометаллической конструкции в отличие от </w:t>
      </w:r>
      <w:proofErr w:type="spellStart"/>
      <w:r w:rsidRPr="00A259BD">
        <w:rPr>
          <w:rFonts w:ascii="Times New Roman" w:hAnsi="Times New Roman"/>
          <w:color w:val="000000" w:themeColor="text1"/>
          <w:sz w:val="16"/>
          <w:szCs w:val="16"/>
        </w:rPr>
        <w:t>Fairey</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Firefly</w:t>
      </w:r>
      <w:proofErr w:type="spellEnd"/>
      <w:r w:rsidRPr="00A259BD">
        <w:rPr>
          <w:rFonts w:ascii="Times New Roman" w:hAnsi="Times New Roman"/>
          <w:color w:val="000000" w:themeColor="text1"/>
          <w:sz w:val="16"/>
          <w:szCs w:val="16"/>
        </w:rPr>
        <w:t xml:space="preserve"> II. Построенный </w:t>
      </w:r>
      <w:proofErr w:type="spellStart"/>
      <w:r w:rsidRPr="00A259BD">
        <w:rPr>
          <w:rFonts w:ascii="Times New Roman" w:hAnsi="Times New Roman"/>
          <w:color w:val="000000" w:themeColor="text1"/>
          <w:sz w:val="16"/>
          <w:szCs w:val="16"/>
        </w:rPr>
        <w:t>Fairey</w:t>
      </w:r>
      <w:proofErr w:type="spellEnd"/>
      <w:r w:rsidRPr="00A259BD">
        <w:rPr>
          <w:rFonts w:ascii="Times New Roman" w:hAnsi="Times New Roman"/>
          <w:color w:val="000000" w:themeColor="text1"/>
          <w:sz w:val="16"/>
          <w:szCs w:val="16"/>
        </w:rPr>
        <w:t xml:space="preserve"> Aviation Company Limited, он служил в основном в бельгийских ВВС в течение 1930-х годов до начала Второй мировой войны (22633).</w:t>
      </w:r>
    </w:p>
    <w:p w14:paraId="1A7027A0" w14:textId="77777777" w:rsidR="00B55635" w:rsidRPr="00A259BD" w:rsidRDefault="00B55635" w:rsidP="009236E3">
      <w:pPr>
        <w:spacing w:after="0" w:line="240" w:lineRule="auto"/>
        <w:jc w:val="both"/>
        <w:rPr>
          <w:rFonts w:ascii="Times New Roman" w:hAnsi="Times New Roman"/>
          <w:color w:val="000000" w:themeColor="text1"/>
          <w:sz w:val="16"/>
          <w:szCs w:val="16"/>
        </w:rPr>
      </w:pPr>
    </w:p>
    <w:p w14:paraId="4D2FF29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379F79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91C8E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февраля 1929 в НИИ ВВС закончились гос. испытания самолета Р1 М-5 № 3483, которые проходили с 23 января 1929.</w:t>
      </w:r>
    </w:p>
    <w:p w14:paraId="1798C5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испытания самолета Р1 М-5 № 3483</w:t>
      </w:r>
    </w:p>
    <w:p w14:paraId="5AEA1B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Задание НТК УВВС</w:t>
      </w:r>
    </w:p>
    <w:p w14:paraId="623B38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Общие данные и основные размеры самолета обычные для самолетов Р1 М5.</w:t>
      </w:r>
    </w:p>
    <w:p w14:paraId="14FD5E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570C9C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Понижение летных качеств (скороподъемности и потолка) самолетов Р1-М5 при испытаниях в зимних условиях, происходит, вероятно, вследствие того, что при пересчете на стандартную атмосферу не поддается учету:</w:t>
      </w:r>
    </w:p>
    <w:p w14:paraId="19E5DDF9"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Влияние давления температуры и влажности воздуха на мощность мотора.</w:t>
      </w:r>
    </w:p>
    <w:p w14:paraId="22814EBC"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Добавочное сопротивление лыж.</w:t>
      </w:r>
    </w:p>
    <w:p w14:paraId="55B63B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сравнительных испытаниях на скороподъемность самолетов №№ 3454 и 3483 в одинаковых условиях получены одинаковые результаты. Это указывает, что уменьшение выноса крыльев на 20 мм не меняет данных скороподъемности и горизонтальных скоростей самолета Р1-М5 (6996).</w:t>
      </w:r>
    </w:p>
    <w:p w14:paraId="4B1154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2F2F92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февраля 1929 закончились испытания самолета Р.1. М-5 № 3483, которые проходили с 23 января 1929.</w:t>
      </w:r>
    </w:p>
    <w:p w14:paraId="6E4C77A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испытания самолета Р.1. М-5 № 3483</w:t>
      </w:r>
    </w:p>
    <w:p w14:paraId="0697F81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Начало испытания 23 января 1929 года</w:t>
      </w:r>
    </w:p>
    <w:p w14:paraId="0F159F3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 испытания 6 февраля 1929 года</w:t>
      </w:r>
    </w:p>
    <w:p w14:paraId="4B8ABDE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Р.1. № 3483 с мотором М-5 400 НР № 483</w:t>
      </w:r>
    </w:p>
    <w:p w14:paraId="24A513F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Общие данные и основные размеры самолета обычные для самолетов Р.1.-М.5.</w:t>
      </w:r>
    </w:p>
    <w:p w14:paraId="6BFC205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4272284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Произведенное испытание самолета Р.1.М.5. за № 3483 выявило, что самолет по своим летным качествам (управляемости, скорости и устойчивости) существенно ничем не отличается от обычного самолета Р.1.М.5.</w:t>
      </w:r>
    </w:p>
    <w:p w14:paraId="308061A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Внесенные изменения в самолете:</w:t>
      </w:r>
    </w:p>
    <w:p w14:paraId="482ECAB6"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Вынос крыла – 390 мм – улучшает центровку самолета;</w:t>
      </w:r>
    </w:p>
    <w:p w14:paraId="462384CE"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Смещение “</w:t>
      </w:r>
      <w:proofErr w:type="spellStart"/>
      <w:r w:rsidRPr="00A259BD">
        <w:rPr>
          <w:rFonts w:ascii="Times New Roman" w:hAnsi="Times New Roman"/>
          <w:color w:val="000000" w:themeColor="text1"/>
          <w:sz w:val="16"/>
          <w:szCs w:val="16"/>
        </w:rPr>
        <w:t>бомбр</w:t>
      </w:r>
      <w:proofErr w:type="spellEnd"/>
      <w:r w:rsidRPr="00A259BD">
        <w:rPr>
          <w:rFonts w:ascii="Times New Roman" w:hAnsi="Times New Roman"/>
          <w:color w:val="000000" w:themeColor="text1"/>
          <w:sz w:val="16"/>
          <w:szCs w:val="16"/>
        </w:rPr>
        <w:t xml:space="preserve"> 2” - ДЕР 6 на 45 мм и ДЕР-7 на 223 мм вперед;</w:t>
      </w:r>
    </w:p>
    <w:p w14:paraId="5BAAA0C3"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Сидение летчика опущенное на 90 мм, предусмотрев возможность пользования педалями второго управления</w:t>
      </w:r>
    </w:p>
    <w:p w14:paraId="3BE62F1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08A9151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Целесообразно ввести в постройку самолетов ближайшей серии …………….(6977, 6983).</w:t>
      </w:r>
    </w:p>
    <w:p w14:paraId="599AF2B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5F1F44" w14:textId="77777777" w:rsidR="00824FAB" w:rsidRPr="00A259BD" w:rsidRDefault="00824FAB" w:rsidP="009236E3">
      <w:pPr>
        <w:pStyle w:val="rtejustify"/>
        <w:spacing w:before="0" w:after="0"/>
        <w:rPr>
          <w:color w:val="000000" w:themeColor="text1"/>
          <w:sz w:val="16"/>
          <w:szCs w:val="16"/>
        </w:rPr>
      </w:pPr>
      <w:r w:rsidRPr="00A259BD">
        <w:rPr>
          <w:rStyle w:val="af0"/>
          <w:i w:val="0"/>
          <w:color w:val="000000" w:themeColor="text1"/>
          <w:sz w:val="16"/>
          <w:szCs w:val="16"/>
        </w:rPr>
        <w:t>6 февраля 1929 г. Протокол Реввоенсовета № 10.</w:t>
      </w:r>
      <w:r w:rsidRPr="00A259BD">
        <w:rPr>
          <w:color w:val="000000" w:themeColor="text1"/>
          <w:sz w:val="16"/>
          <w:szCs w:val="16"/>
        </w:rPr>
        <w:t xml:space="preserve"> …7. Об опытном строительстве авиационного вооружения (Меженинов)... (12342).</w:t>
      </w:r>
    </w:p>
    <w:p w14:paraId="643F4F0A" w14:textId="77777777" w:rsidR="00824FAB" w:rsidRPr="00A259BD" w:rsidRDefault="00824FAB" w:rsidP="009236E3">
      <w:pPr>
        <w:pStyle w:val="rtejustify"/>
        <w:spacing w:before="0" w:after="0"/>
        <w:rPr>
          <w:color w:val="000000" w:themeColor="text1"/>
          <w:sz w:val="16"/>
          <w:szCs w:val="16"/>
        </w:rPr>
      </w:pPr>
    </w:p>
    <w:p w14:paraId="6BC81C94" w14:textId="77777777" w:rsidR="00824FAB"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6FD53D2" w14:textId="77777777" w:rsidR="00824FAB" w:rsidRPr="00A259BD" w:rsidRDefault="00824FA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F859B71" w14:textId="77777777" w:rsidR="00824FAB" w:rsidRPr="00A259BD" w:rsidRDefault="00824FAB"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6 февраля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ЦИК и СНК СССР об усилении уголовной ответственности за хищение оружия и огнестрельных припасов (СЗ. 1929. № 10. Ст. 91) (12415).</w:t>
      </w:r>
    </w:p>
    <w:p w14:paraId="73A93D80" w14:textId="77777777" w:rsidR="00824FAB" w:rsidRPr="00A259BD" w:rsidRDefault="00824FAB" w:rsidP="009236E3">
      <w:pPr>
        <w:spacing w:after="0" w:line="240" w:lineRule="auto"/>
        <w:jc w:val="both"/>
        <w:rPr>
          <w:rFonts w:ascii="Times New Roman" w:hAnsi="Times New Roman"/>
          <w:color w:val="000000" w:themeColor="text1"/>
          <w:sz w:val="16"/>
          <w:szCs w:val="16"/>
          <w:u w:color="002060"/>
        </w:rPr>
      </w:pPr>
    </w:p>
    <w:p w14:paraId="3EA956A7" w14:textId="77777777" w:rsidR="00824FAB" w:rsidRPr="00A259BD" w:rsidRDefault="00824FAB" w:rsidP="009236E3">
      <w:pPr>
        <w:pStyle w:val="rtejustify"/>
        <w:spacing w:before="0" w:after="0"/>
        <w:rPr>
          <w:color w:val="000000" w:themeColor="text1"/>
          <w:sz w:val="16"/>
          <w:szCs w:val="16"/>
        </w:rPr>
      </w:pPr>
      <w:r w:rsidRPr="00A259BD">
        <w:rPr>
          <w:rStyle w:val="af0"/>
          <w:i w:val="0"/>
          <w:color w:val="000000" w:themeColor="text1"/>
          <w:sz w:val="16"/>
          <w:szCs w:val="16"/>
        </w:rPr>
        <w:t>6 февраля 1929 г. Протокол Реввоенсовета № 10.</w:t>
      </w:r>
      <w:r w:rsidRPr="00A259BD">
        <w:rPr>
          <w:color w:val="000000" w:themeColor="text1"/>
          <w:sz w:val="16"/>
          <w:szCs w:val="16"/>
        </w:rPr>
        <w:t xml:space="preserve"> 4. О батальонной артиллерии. (</w:t>
      </w:r>
      <w:proofErr w:type="spellStart"/>
      <w:r w:rsidRPr="00A259BD">
        <w:rPr>
          <w:color w:val="000000" w:themeColor="text1"/>
          <w:sz w:val="16"/>
          <w:szCs w:val="16"/>
        </w:rPr>
        <w:t>Триандафилов</w:t>
      </w:r>
      <w:proofErr w:type="spellEnd"/>
      <w:r w:rsidRPr="00A259BD">
        <w:rPr>
          <w:color w:val="000000" w:themeColor="text1"/>
          <w:sz w:val="16"/>
          <w:szCs w:val="16"/>
        </w:rPr>
        <w:t>, Кулик, в прениях Ворошилов). 5. О ручном пулемете системы Дегтярева. (</w:t>
      </w:r>
      <w:proofErr w:type="spellStart"/>
      <w:r w:rsidRPr="00A259BD">
        <w:rPr>
          <w:color w:val="000000" w:themeColor="text1"/>
          <w:sz w:val="16"/>
          <w:szCs w:val="16"/>
        </w:rPr>
        <w:t>Триандафилов</w:t>
      </w:r>
      <w:proofErr w:type="spellEnd"/>
      <w:r w:rsidRPr="00A259BD">
        <w:rPr>
          <w:color w:val="000000" w:themeColor="text1"/>
          <w:sz w:val="16"/>
          <w:szCs w:val="16"/>
        </w:rPr>
        <w:t>, в прениях — Ворошилов, Кулик). 7. Об опытном строительстве авиационного вооружения (Меженинов). 8. О создании постоянной комиссии НКВМ по вопросам иностранной технической помощи (Ворошилов) — ставится 1 раз. 10. О невыполненных решениях РВС СССР. 11. О порядке представления в РВС СССР новых образцов на вооружение РККА. 12. О принятии на вооружение РККА пеленгаторной станции типа «52</w:t>
      </w:r>
      <w:r w:rsidRPr="00A259BD">
        <w:rPr>
          <w:color w:val="000000" w:themeColor="text1"/>
          <w:sz w:val="16"/>
          <w:szCs w:val="16"/>
        </w:rPr>
        <w:noBreakHyphen/>
        <w:t xml:space="preserve">ДП». 13. О телефонном аппарате системы </w:t>
      </w:r>
      <w:proofErr w:type="spellStart"/>
      <w:r w:rsidRPr="00A259BD">
        <w:rPr>
          <w:color w:val="000000" w:themeColor="text1"/>
          <w:sz w:val="16"/>
          <w:szCs w:val="16"/>
        </w:rPr>
        <w:t>Дымнича</w:t>
      </w:r>
      <w:proofErr w:type="spellEnd"/>
      <w:r w:rsidRPr="00A259BD">
        <w:rPr>
          <w:color w:val="000000" w:themeColor="text1"/>
          <w:sz w:val="16"/>
          <w:szCs w:val="16"/>
        </w:rPr>
        <w:t>. 14. О новом самосветящемся составе для нужд РККА. 15. О применении раций военного типа для гражданского населения. (РГВА. Ф. 4. Оп. 18. Д. 15. Л. 59</w:t>
      </w:r>
      <w:r w:rsidRPr="00A259BD">
        <w:rPr>
          <w:color w:val="000000" w:themeColor="text1"/>
          <w:sz w:val="16"/>
          <w:szCs w:val="16"/>
        </w:rPr>
        <w:noBreakHyphen/>
        <w:t>60, 60</w:t>
      </w:r>
      <w:r w:rsidRPr="00A259BD">
        <w:rPr>
          <w:color w:val="000000" w:themeColor="text1"/>
          <w:sz w:val="16"/>
          <w:szCs w:val="16"/>
        </w:rPr>
        <w:noBreakHyphen/>
        <w:t>61, 62</w:t>
      </w:r>
      <w:r w:rsidRPr="00A259BD">
        <w:rPr>
          <w:color w:val="000000" w:themeColor="text1"/>
          <w:sz w:val="16"/>
          <w:szCs w:val="16"/>
        </w:rPr>
        <w:noBreakHyphen/>
        <w:t>66, 67</w:t>
      </w:r>
      <w:r w:rsidRPr="00A259BD">
        <w:rPr>
          <w:color w:val="000000" w:themeColor="text1"/>
          <w:sz w:val="16"/>
          <w:szCs w:val="16"/>
        </w:rPr>
        <w:noBreakHyphen/>
        <w:t>68) (12342).</w:t>
      </w:r>
    </w:p>
    <w:p w14:paraId="016E27F4" w14:textId="77777777" w:rsidR="00824FAB" w:rsidRPr="00A259BD" w:rsidRDefault="00824FAB" w:rsidP="009236E3">
      <w:pPr>
        <w:pStyle w:val="rtejustify"/>
        <w:spacing w:before="0" w:after="0"/>
        <w:rPr>
          <w:color w:val="000000" w:themeColor="text1"/>
          <w:sz w:val="16"/>
          <w:szCs w:val="16"/>
        </w:rPr>
      </w:pPr>
    </w:p>
    <w:p w14:paraId="79FF629A"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576992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1DEE9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февраля 1929 Германия присоединилась к пакту Келлога-</w:t>
      </w:r>
      <w:proofErr w:type="spellStart"/>
      <w:r w:rsidRPr="00A259BD">
        <w:rPr>
          <w:rFonts w:ascii="Times New Roman" w:hAnsi="Times New Roman"/>
          <w:color w:val="000000" w:themeColor="text1"/>
          <w:sz w:val="16"/>
          <w:szCs w:val="16"/>
        </w:rPr>
        <w:t>Бриана</w:t>
      </w:r>
      <w:proofErr w:type="spellEnd"/>
      <w:r w:rsidRPr="00A259BD">
        <w:rPr>
          <w:rFonts w:ascii="Times New Roman" w:hAnsi="Times New Roman"/>
          <w:color w:val="000000" w:themeColor="text1"/>
          <w:sz w:val="16"/>
          <w:szCs w:val="16"/>
        </w:rPr>
        <w:t xml:space="preserve"> (2100).</w:t>
      </w:r>
    </w:p>
    <w:p w14:paraId="1FA911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08B69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D52C5D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7C4E92"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7 февраля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Политбюро ЦК ВКП (б) одобрило проекты решений СНК по плану капитального строительства на 1928/29 г. и о строительстве Магнитогорского, Кузнецкого и Керченского заводов черной металлургии, предложив ВСНХ » Госплану рассмотреть вопрос о переоборудовании и реконструкции предприятий тяжелой промышленности (12265).</w:t>
      </w:r>
    </w:p>
    <w:p w14:paraId="6ADF4134"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11D566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февраля 1929 г. Техническим комитетом ВТУ следующим образом выразил свое видение направлений развития войсковой фототелеграфии: - </w:t>
      </w:r>
      <w:proofErr w:type="spellStart"/>
      <w:r w:rsidRPr="00A259BD">
        <w:rPr>
          <w:rFonts w:ascii="Times New Roman" w:hAnsi="Times New Roman"/>
          <w:color w:val="000000" w:themeColor="text1"/>
          <w:sz w:val="16"/>
          <w:szCs w:val="16"/>
        </w:rPr>
        <w:t>бильд</w:t>
      </w:r>
      <w:proofErr w:type="spellEnd"/>
      <w:r w:rsidRPr="00A259BD">
        <w:rPr>
          <w:rFonts w:ascii="Times New Roman" w:hAnsi="Times New Roman"/>
          <w:color w:val="000000" w:themeColor="text1"/>
          <w:sz w:val="16"/>
          <w:szCs w:val="16"/>
        </w:rPr>
        <w:t xml:space="preserve">-аппараты могут найти применение не только для обслуживания штабов высших звеньев управления, но и, главным образом, для работы в звене «полк-батальон»; - разрабатываемые аппараты для применения в радиосвязи могут </w:t>
      </w:r>
      <w:proofErr w:type="spellStart"/>
      <w:r w:rsidRPr="00A259BD">
        <w:rPr>
          <w:rFonts w:ascii="Times New Roman" w:hAnsi="Times New Roman"/>
          <w:color w:val="000000" w:themeColor="text1"/>
          <w:sz w:val="16"/>
          <w:szCs w:val="16"/>
        </w:rPr>
        <w:t>исполь</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зоваться</w:t>
      </w:r>
      <w:proofErr w:type="spellEnd"/>
      <w:r w:rsidRPr="00A259BD">
        <w:rPr>
          <w:rFonts w:ascii="Times New Roman" w:hAnsi="Times New Roman"/>
          <w:color w:val="000000" w:themeColor="text1"/>
          <w:sz w:val="16"/>
          <w:szCs w:val="16"/>
        </w:rPr>
        <w:t xml:space="preserve"> для передачи изображения на расстояние до 600 км; - аппараты для передачи изображения по проводам должны быть </w:t>
      </w:r>
      <w:proofErr w:type="spellStart"/>
      <w:r w:rsidRPr="00A259BD">
        <w:rPr>
          <w:rFonts w:ascii="Times New Roman" w:hAnsi="Times New Roman"/>
          <w:color w:val="000000" w:themeColor="text1"/>
          <w:sz w:val="16"/>
          <w:szCs w:val="16"/>
        </w:rPr>
        <w:t>приспо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соблены</w:t>
      </w:r>
      <w:proofErr w:type="spellEnd"/>
      <w:r w:rsidRPr="00A259BD">
        <w:rPr>
          <w:rFonts w:ascii="Times New Roman" w:hAnsi="Times New Roman"/>
          <w:color w:val="000000" w:themeColor="text1"/>
          <w:sz w:val="16"/>
          <w:szCs w:val="16"/>
        </w:rPr>
        <w:t xml:space="preserve"> для эксплуатации по полевым кабельным линиям на расстоянии до 200 км; при этом эти аппараты должны быть изготовлены в двух вариантах – для тыловых районов и для передовой фронтовой полосы, которым, несомненно, </w:t>
      </w:r>
      <w:proofErr w:type="spellStart"/>
      <w:r w:rsidRPr="00A259BD">
        <w:rPr>
          <w:rFonts w:ascii="Times New Roman" w:hAnsi="Times New Roman"/>
          <w:color w:val="000000" w:themeColor="text1"/>
          <w:sz w:val="16"/>
          <w:szCs w:val="16"/>
        </w:rPr>
        <w:t>отда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валось</w:t>
      </w:r>
      <w:proofErr w:type="spellEnd"/>
      <w:r w:rsidRPr="00A259BD">
        <w:rPr>
          <w:rFonts w:ascii="Times New Roman" w:hAnsi="Times New Roman"/>
          <w:color w:val="000000" w:themeColor="text1"/>
          <w:sz w:val="16"/>
          <w:szCs w:val="16"/>
        </w:rPr>
        <w:t xml:space="preserve"> предпочтение (ЦГА СПб., ф. 478, оп. 1, д. 10, л. 15.). Дальнейший ход работ в области фототелеграфии показал, что многие первоначальные планы оказались преждевременными. Слишком велик был раз рыв между реальными возможностями отечественной промышленности и этими дерзкими намерениями. На практике успехи оказались более скромными. В 1929 г. по заказу </w:t>
      </w:r>
      <w:proofErr w:type="spellStart"/>
      <w:r w:rsidRPr="00A259BD">
        <w:rPr>
          <w:rFonts w:ascii="Times New Roman" w:hAnsi="Times New Roman"/>
          <w:color w:val="000000" w:themeColor="text1"/>
          <w:sz w:val="16"/>
          <w:szCs w:val="16"/>
        </w:rPr>
        <w:t>НКПиТ</w:t>
      </w:r>
      <w:proofErr w:type="spellEnd"/>
      <w:r w:rsidRPr="00A259BD">
        <w:rPr>
          <w:rFonts w:ascii="Times New Roman" w:hAnsi="Times New Roman"/>
          <w:color w:val="000000" w:themeColor="text1"/>
          <w:sz w:val="16"/>
          <w:szCs w:val="16"/>
        </w:rPr>
        <w:t xml:space="preserve"> ЦЛПС провела работу по вводу в эксплуатацию первой в стране постоянно действующей фототелеграфной связи между Москвой и Ленинградом по телефонному каналу на аппаратах барабанного типа БТ-5 фирмы «Телефункен» (Архив </w:t>
      </w:r>
      <w:proofErr w:type="spellStart"/>
      <w:r w:rsidRPr="00A259BD">
        <w:rPr>
          <w:rFonts w:ascii="Times New Roman" w:hAnsi="Times New Roman"/>
          <w:color w:val="000000" w:themeColor="text1"/>
          <w:sz w:val="16"/>
          <w:szCs w:val="16"/>
        </w:rPr>
        <w:t>ВИМАИВиВС</w:t>
      </w:r>
      <w:proofErr w:type="spellEnd"/>
      <w:r w:rsidRPr="00A259BD">
        <w:rPr>
          <w:rFonts w:ascii="Times New Roman" w:hAnsi="Times New Roman"/>
          <w:color w:val="000000" w:themeColor="text1"/>
          <w:sz w:val="16"/>
          <w:szCs w:val="16"/>
        </w:rPr>
        <w:t xml:space="preserve">, ф. 60, оп. 1, д. 74, л. 15.). В 1930 г. была сделана попытка организации фототелеграфной связи меж ду Москвой и Свердловском по радио на длинных волнах (ДВ), но из-за больших атмосферных помех эта попытка не увенчалась успехом. Первые промышленные образцы фототелеграфных аппаратов были полу </w:t>
      </w:r>
      <w:proofErr w:type="spellStart"/>
      <w:r w:rsidRPr="00A259BD">
        <w:rPr>
          <w:rFonts w:ascii="Times New Roman" w:hAnsi="Times New Roman"/>
          <w:color w:val="000000" w:themeColor="text1"/>
          <w:sz w:val="16"/>
          <w:szCs w:val="16"/>
        </w:rPr>
        <w:t>чены</w:t>
      </w:r>
      <w:proofErr w:type="spellEnd"/>
      <w:r w:rsidRPr="00A259BD">
        <w:rPr>
          <w:rFonts w:ascii="Times New Roman" w:hAnsi="Times New Roman"/>
          <w:color w:val="000000" w:themeColor="text1"/>
          <w:sz w:val="16"/>
          <w:szCs w:val="16"/>
        </w:rPr>
        <w:t xml:space="preserve"> только в конце первой – начале второй пятилетки. Вначале, в 1932 г., в Центральном научно-исследовательском институте связи (ЦНИИС) НКС был разработан аппарат БТОР-1, а в 1934 г. ЦЛПС выпустила аппарат ФТ-43. Оба эти образца лишь незначительно отличались от аппаратов фирмы «Телефункен». Самостоятельной отечественной разработкой в области фототелеграфной связи явился двухбарабанный дуплексный аппарат 3ФТ-АН, сконструированный в 1934 г. в ЦНИИС НКС3. Его серийное производство началось в 1936 г. Новый импульс работам по совершенствованию фототелеграфной </w:t>
      </w:r>
      <w:proofErr w:type="spellStart"/>
      <w:r w:rsidRPr="00A259BD">
        <w:rPr>
          <w:rFonts w:ascii="Times New Roman" w:hAnsi="Times New Roman"/>
          <w:color w:val="000000" w:themeColor="text1"/>
          <w:sz w:val="16"/>
          <w:szCs w:val="16"/>
        </w:rPr>
        <w:t>аппара</w:t>
      </w:r>
      <w:proofErr w:type="spellEnd"/>
      <w:r w:rsidRPr="00A259BD">
        <w:rPr>
          <w:rFonts w:ascii="Times New Roman" w:hAnsi="Times New Roman"/>
          <w:color w:val="000000" w:themeColor="text1"/>
          <w:sz w:val="16"/>
          <w:szCs w:val="16"/>
        </w:rPr>
        <w:t xml:space="preserve"> туры дало постановление СНК СССР от 20 сентября 1934 г. (ЦГАИПД СПб., ф. 24, оп. 13, д. 834, л. 8.) В соответствии с этим постановление в 1936 г. в ЦЛПС под руководством инженера Я.М. </w:t>
      </w:r>
      <w:proofErr w:type="spellStart"/>
      <w:r w:rsidRPr="00A259BD">
        <w:rPr>
          <w:rFonts w:ascii="Times New Roman" w:hAnsi="Times New Roman"/>
          <w:color w:val="000000" w:themeColor="text1"/>
          <w:sz w:val="16"/>
          <w:szCs w:val="16"/>
        </w:rPr>
        <w:t>Штейнцайга</w:t>
      </w:r>
      <w:proofErr w:type="spellEnd"/>
      <w:r w:rsidRPr="00A259BD">
        <w:rPr>
          <w:rFonts w:ascii="Times New Roman" w:hAnsi="Times New Roman"/>
          <w:color w:val="000000" w:themeColor="text1"/>
          <w:sz w:val="16"/>
          <w:szCs w:val="16"/>
        </w:rPr>
        <w:t xml:space="preserve"> был разработан, а на заводе им. Кулакова выпущена опытная партия из двадцати комплектов аппарата ФТ-5, который в ходе даль </w:t>
      </w:r>
      <w:proofErr w:type="spellStart"/>
      <w:r w:rsidRPr="00A259BD">
        <w:rPr>
          <w:rFonts w:ascii="Times New Roman" w:hAnsi="Times New Roman"/>
          <w:color w:val="000000" w:themeColor="text1"/>
          <w:sz w:val="16"/>
          <w:szCs w:val="16"/>
        </w:rPr>
        <w:t>нейших</w:t>
      </w:r>
      <w:proofErr w:type="spellEnd"/>
      <w:r w:rsidRPr="00A259BD">
        <w:rPr>
          <w:rFonts w:ascii="Times New Roman" w:hAnsi="Times New Roman"/>
          <w:color w:val="000000" w:themeColor="text1"/>
          <w:sz w:val="16"/>
          <w:szCs w:val="16"/>
        </w:rPr>
        <w:t xml:space="preserve"> доработок получил наименование ФТ-37 (ЦГАИПД СПб., ф. 24, оп. 13, д. 802, л. 26.). Фототелеграф, при использовании которого применялись аппараты 3ФТ АН и ФТ-5, оказался весьма эффективным средством связи. По скорости переда </w:t>
      </w:r>
      <w:proofErr w:type="spellStart"/>
      <w:r w:rsidRPr="00A259BD">
        <w:rPr>
          <w:rFonts w:ascii="Times New Roman" w:hAnsi="Times New Roman"/>
          <w:color w:val="000000" w:themeColor="text1"/>
          <w:sz w:val="16"/>
          <w:szCs w:val="16"/>
        </w:rPr>
        <w:t>чи</w:t>
      </w:r>
      <w:proofErr w:type="spellEnd"/>
      <w:r w:rsidRPr="00A259BD">
        <w:rPr>
          <w:rFonts w:ascii="Times New Roman" w:hAnsi="Times New Roman"/>
          <w:color w:val="000000" w:themeColor="text1"/>
          <w:sz w:val="16"/>
          <w:szCs w:val="16"/>
        </w:rPr>
        <w:t xml:space="preserve"> телеграмм он успешно соревновался с самыми быстродействующими теле </w:t>
      </w:r>
      <w:proofErr w:type="spellStart"/>
      <w:r w:rsidRPr="00A259BD">
        <w:rPr>
          <w:rFonts w:ascii="Times New Roman" w:hAnsi="Times New Roman"/>
          <w:color w:val="000000" w:themeColor="text1"/>
          <w:sz w:val="16"/>
          <w:szCs w:val="16"/>
        </w:rPr>
        <w:t>графными</w:t>
      </w:r>
      <w:proofErr w:type="spellEnd"/>
      <w:r w:rsidRPr="00A259BD">
        <w:rPr>
          <w:rFonts w:ascii="Times New Roman" w:hAnsi="Times New Roman"/>
          <w:color w:val="000000" w:themeColor="text1"/>
          <w:sz w:val="16"/>
          <w:szCs w:val="16"/>
        </w:rPr>
        <w:t xml:space="preserve"> аппаратами (Архив </w:t>
      </w:r>
      <w:proofErr w:type="spellStart"/>
      <w:r w:rsidRPr="00A259BD">
        <w:rPr>
          <w:rFonts w:ascii="Times New Roman" w:hAnsi="Times New Roman"/>
          <w:color w:val="000000" w:themeColor="text1"/>
          <w:sz w:val="16"/>
          <w:szCs w:val="16"/>
        </w:rPr>
        <w:t>ВИМАИВиВС</w:t>
      </w:r>
      <w:proofErr w:type="spellEnd"/>
      <w:r w:rsidRPr="00A259BD">
        <w:rPr>
          <w:rFonts w:ascii="Times New Roman" w:hAnsi="Times New Roman"/>
          <w:color w:val="000000" w:themeColor="text1"/>
          <w:sz w:val="16"/>
          <w:szCs w:val="16"/>
        </w:rPr>
        <w:t>, ф. 60р, оп. 1, д. 27, л. 259.) (11870).</w:t>
      </w:r>
    </w:p>
    <w:p w14:paraId="42B6B6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744AA6" w14:textId="77777777" w:rsidR="00D8460C" w:rsidRPr="00A259BD" w:rsidRDefault="00D8460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февраля 1929 г. на своем заседании Технический комитет ВТУ следующим образом выразил свое видение направлений развития войсковой фото-телеграфии:</w:t>
      </w:r>
    </w:p>
    <w:p w14:paraId="6660A848" w14:textId="77777777" w:rsidR="00D8460C" w:rsidRPr="00A259BD" w:rsidRDefault="00D8460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бильд</w:t>
      </w:r>
      <w:proofErr w:type="spellEnd"/>
      <w:r w:rsidRPr="00A259BD">
        <w:rPr>
          <w:rFonts w:ascii="Times New Roman" w:hAnsi="Times New Roman"/>
          <w:color w:val="000000" w:themeColor="text1"/>
          <w:sz w:val="16"/>
          <w:szCs w:val="16"/>
        </w:rPr>
        <w:t>-аппараты могут найти применение не только для обслуживания штабов высших звеньев управления, но и, главным образом, для работы в звене «полк-батальон»;</w:t>
      </w:r>
    </w:p>
    <w:p w14:paraId="2524B43D" w14:textId="77777777" w:rsidR="00D8460C" w:rsidRPr="00A259BD" w:rsidRDefault="00D8460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разрабатываемые аппараты для применения в радиосвязи могут использоваться для передачи изображения на расстояние до 600 км;</w:t>
      </w:r>
    </w:p>
    <w:p w14:paraId="0C235916" w14:textId="77777777" w:rsidR="00D8460C" w:rsidRPr="00A259BD" w:rsidRDefault="00D8460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аппараты для передачи изображения по проводам должны быть приспособлены для эксплуатации по полевым кабельным линиям на расстоянии до 200 км; при этом эти аппараты должны быть изготовлены в двух вариантах – для тыловых районов и для передовой фронтовой полосы, которым, несомненно, отдавалось предпочтение.</w:t>
      </w:r>
    </w:p>
    <w:p w14:paraId="431D5B10" w14:textId="77777777" w:rsidR="00D8460C" w:rsidRPr="00A259BD" w:rsidRDefault="00D8460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по заказу </w:t>
      </w:r>
      <w:proofErr w:type="spellStart"/>
      <w:r w:rsidRPr="00A259BD">
        <w:rPr>
          <w:rFonts w:ascii="Times New Roman" w:hAnsi="Times New Roman"/>
          <w:color w:val="000000" w:themeColor="text1"/>
          <w:sz w:val="16"/>
          <w:szCs w:val="16"/>
        </w:rPr>
        <w:t>НКПиТ</w:t>
      </w:r>
      <w:proofErr w:type="spellEnd"/>
      <w:r w:rsidRPr="00A259BD">
        <w:rPr>
          <w:rFonts w:ascii="Times New Roman" w:hAnsi="Times New Roman"/>
          <w:color w:val="000000" w:themeColor="text1"/>
          <w:sz w:val="16"/>
          <w:szCs w:val="16"/>
        </w:rPr>
        <w:t xml:space="preserve"> ЦЛПС провела работу по вводу в эксплуатацию первой в стране постоянно действующей фототелеграфной связи между Москвой и Ленинградом по телефонному каналу на аппаратах барабанного типа БТ-5 фирмы «Телефункен». А первые отечественные промышленные образцы были получены только в конце первой – начале второй пятилетки (18297).</w:t>
      </w:r>
    </w:p>
    <w:p w14:paraId="583B45E2" w14:textId="77777777" w:rsidR="00D8460C" w:rsidRPr="00A259BD" w:rsidRDefault="00D8460C" w:rsidP="009236E3">
      <w:pPr>
        <w:spacing w:after="0" w:line="240" w:lineRule="auto"/>
        <w:jc w:val="both"/>
        <w:rPr>
          <w:rFonts w:ascii="Times New Roman" w:hAnsi="Times New Roman"/>
          <w:color w:val="000000" w:themeColor="text1"/>
          <w:sz w:val="16"/>
          <w:szCs w:val="16"/>
        </w:rPr>
      </w:pPr>
    </w:p>
    <w:p w14:paraId="74F4DD78" w14:textId="77777777" w:rsidR="00D8460C" w:rsidRPr="00A259BD" w:rsidRDefault="00D8460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февраля 1929 г. Технический комитет ВТУ на своем заседании следующим образом выразил свое видение направлений развития войсковой фототелеграфии:</w:t>
      </w:r>
    </w:p>
    <w:p w14:paraId="70E133C9" w14:textId="77777777" w:rsidR="00D8460C" w:rsidRPr="00A259BD" w:rsidRDefault="00D8460C" w:rsidP="009236E3">
      <w:pPr>
        <w:tabs>
          <w:tab w:val="left" w:pos="956"/>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бильд</w:t>
      </w:r>
      <w:proofErr w:type="spellEnd"/>
      <w:r w:rsidRPr="00A259BD">
        <w:rPr>
          <w:rFonts w:ascii="Times New Roman" w:hAnsi="Times New Roman"/>
          <w:color w:val="000000" w:themeColor="text1"/>
          <w:sz w:val="16"/>
          <w:szCs w:val="16"/>
        </w:rPr>
        <w:t>-аппараты могут найти применение не только для обслуживания штабов высших звеньев управления, но и, главным образом, для работы в звене «полк-батальон»;</w:t>
      </w:r>
    </w:p>
    <w:p w14:paraId="0A8C9524" w14:textId="77777777" w:rsidR="00D8460C" w:rsidRPr="00A259BD" w:rsidRDefault="00D8460C" w:rsidP="009236E3">
      <w:pPr>
        <w:tabs>
          <w:tab w:val="left" w:pos="913"/>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разрабатываемые аппараты для применения в радиосвязи могут исполь</w:t>
      </w:r>
      <w:r w:rsidRPr="00A259BD">
        <w:rPr>
          <w:rFonts w:ascii="Times New Roman" w:hAnsi="Times New Roman"/>
          <w:color w:val="000000" w:themeColor="text1"/>
          <w:sz w:val="16"/>
          <w:szCs w:val="16"/>
        </w:rPr>
        <w:softHyphen/>
        <w:t>зоваться для передачи изображения на расстояние до 600 км;</w:t>
      </w:r>
    </w:p>
    <w:p w14:paraId="4E4247F1" w14:textId="77777777" w:rsidR="00D8460C" w:rsidRPr="00A259BD" w:rsidRDefault="00D8460C" w:rsidP="009236E3">
      <w:pPr>
        <w:tabs>
          <w:tab w:val="left" w:pos="918"/>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аппараты для передачи изображения по проводам должны быть приспо</w:t>
      </w:r>
      <w:r w:rsidRPr="00A259BD">
        <w:rPr>
          <w:rFonts w:ascii="Times New Roman" w:hAnsi="Times New Roman"/>
          <w:color w:val="000000" w:themeColor="text1"/>
          <w:sz w:val="16"/>
          <w:szCs w:val="16"/>
        </w:rPr>
        <w:softHyphen/>
        <w:t>соблены для эксплуатации по полевым кабельным линиям на расстоянии до 200 км; при этом эти аппараты должны быть изготовлены в двух вариантах - для ты</w:t>
      </w:r>
      <w:r w:rsidRPr="00A259BD">
        <w:rPr>
          <w:rFonts w:ascii="Times New Roman" w:hAnsi="Times New Roman"/>
          <w:color w:val="000000" w:themeColor="text1"/>
          <w:sz w:val="16"/>
          <w:szCs w:val="16"/>
        </w:rPr>
        <w:softHyphen/>
        <w:t>ловых районов и для передовой фронтовой полосы, которым, несомненно, отда</w:t>
      </w:r>
      <w:r w:rsidRPr="00A259BD">
        <w:rPr>
          <w:rFonts w:ascii="Times New Roman" w:hAnsi="Times New Roman"/>
          <w:color w:val="000000" w:themeColor="text1"/>
          <w:sz w:val="16"/>
          <w:szCs w:val="16"/>
        </w:rPr>
        <w:softHyphen/>
        <w:t>валось предпочтение.</w:t>
      </w:r>
    </w:p>
    <w:p w14:paraId="5FCEB56D" w14:textId="77777777" w:rsidR="00D8460C" w:rsidRPr="00A259BD" w:rsidRDefault="00D8460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Дальнейший ход работ в области фототелеграфии показал, что многие первоначальные планы оказались преждевременными. Слишком велик был разрыв между реальными возможностями отечественной промышленности и этими дерзкими намерениями. На практике успехи оказались более скромными (19098).</w:t>
      </w:r>
    </w:p>
    <w:p w14:paraId="1812FE60" w14:textId="77777777" w:rsidR="00D8460C" w:rsidRPr="00A259BD" w:rsidRDefault="00D8460C" w:rsidP="009236E3">
      <w:pPr>
        <w:tabs>
          <w:tab w:val="left" w:pos="918"/>
        </w:tabs>
        <w:spacing w:after="0" w:line="240" w:lineRule="auto"/>
        <w:jc w:val="both"/>
        <w:rPr>
          <w:rFonts w:ascii="Times New Roman" w:hAnsi="Times New Roman"/>
          <w:color w:val="000000" w:themeColor="text1"/>
          <w:sz w:val="16"/>
          <w:szCs w:val="16"/>
        </w:rPr>
      </w:pPr>
    </w:p>
    <w:p w14:paraId="2BB5724E" w14:textId="77777777" w:rsidR="00F04F77"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6AEEF479" w14:textId="77777777" w:rsidR="00F04F77" w:rsidRPr="00A259BD" w:rsidRDefault="00F04F7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C25B380" w14:textId="77777777" w:rsidR="00DA64AB" w:rsidRPr="00A259BD" w:rsidRDefault="00DA64AB"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color w:val="000000" w:themeColor="text1"/>
          <w:sz w:val="16"/>
          <w:szCs w:val="16"/>
        </w:rPr>
        <w:t xml:space="preserve">7 </w:t>
      </w:r>
      <w:bookmarkStart w:id="8" w:name="YANDEX_30"/>
      <w:bookmarkEnd w:id="8"/>
      <w:r w:rsidRPr="00A259BD">
        <w:rPr>
          <w:rStyle w:val="highlight"/>
          <w:rFonts w:ascii="Times New Roman" w:hAnsi="Times New Roman"/>
          <w:color w:val="000000" w:themeColor="text1"/>
          <w:sz w:val="16"/>
          <w:szCs w:val="16"/>
        </w:rPr>
        <w:t> марта </w:t>
      </w:r>
      <w:bookmarkStart w:id="9" w:name="YANDEX_31"/>
      <w:bookmarkEnd w:id="9"/>
      <w:r w:rsidRPr="00A259BD">
        <w:rPr>
          <w:rStyle w:val="highlight"/>
          <w:rFonts w:ascii="Times New Roman" w:hAnsi="Times New Roman"/>
          <w:color w:val="000000" w:themeColor="text1"/>
          <w:sz w:val="16"/>
          <w:szCs w:val="16"/>
        </w:rPr>
        <w:t> 1929 </w:t>
      </w:r>
      <w:r w:rsidRPr="00A259BD">
        <w:rPr>
          <w:rFonts w:ascii="Times New Roman" w:hAnsi="Times New Roman"/>
          <w:color w:val="000000" w:themeColor="text1"/>
          <w:sz w:val="16"/>
          <w:szCs w:val="16"/>
        </w:rPr>
        <w:t xml:space="preserve"> г. опубликованное Обращение ЦК ВЛКСМ, призывало комсомольцев и рабочую молодежь организовать производственное социалистическое соревнование на основе добровольчества, инициативы и творческого почина рабочей молодежи вокруг наиболее трудных вопросов хозяйственного строительства. В Обращении указывалось, что основное внимание должно быть сосредоточено на выполнении заданий партии и правительства по снижению себестоимости, укреплению трудовой дисциплины, рационализации производственного процесса и улучшению качества продукции. 2 </w:t>
      </w:r>
      <w:bookmarkStart w:id="10" w:name="YANDEX_32"/>
      <w:bookmarkEnd w:id="10"/>
      <w:r w:rsidRPr="00A259BD">
        <w:rPr>
          <w:rStyle w:val="highlight"/>
          <w:rFonts w:ascii="Times New Roman" w:hAnsi="Times New Roman"/>
          <w:color w:val="000000" w:themeColor="text1"/>
          <w:sz w:val="16"/>
          <w:szCs w:val="16"/>
        </w:rPr>
        <w:t> марта </w:t>
      </w:r>
      <w:bookmarkStart w:id="11" w:name="YANDEX_33"/>
      <w:bookmarkEnd w:id="11"/>
      <w:r w:rsidRPr="00A259BD">
        <w:rPr>
          <w:rStyle w:val="highlight"/>
          <w:rFonts w:ascii="Times New Roman" w:hAnsi="Times New Roman"/>
          <w:color w:val="000000" w:themeColor="text1"/>
          <w:sz w:val="16"/>
          <w:szCs w:val="16"/>
        </w:rPr>
        <w:t> 1929 </w:t>
      </w:r>
      <w:r w:rsidRPr="00A259BD">
        <w:rPr>
          <w:rFonts w:ascii="Times New Roman" w:hAnsi="Times New Roman"/>
          <w:color w:val="000000" w:themeColor="text1"/>
          <w:sz w:val="16"/>
          <w:szCs w:val="16"/>
        </w:rPr>
        <w:t xml:space="preserve"> г. в «Комсомольской правде» было опубликовано также постановление объединенного заседания президиумов ВСНХ СССР, ВСНХ РСФСР, НКПС, бюро ЦК ВЛКСМ с участием ВЦСПС об активном содействии начатому комсомолом всесоюзному социалистическому соревнованию («Комсомольская правда», 2 и 7 </w:t>
      </w:r>
      <w:bookmarkStart w:id="12" w:name="YANDEX_34"/>
      <w:bookmarkEnd w:id="12"/>
      <w:r w:rsidRPr="00A259BD">
        <w:rPr>
          <w:rStyle w:val="highlight"/>
          <w:rFonts w:ascii="Times New Roman" w:hAnsi="Times New Roman"/>
          <w:color w:val="000000" w:themeColor="text1"/>
          <w:sz w:val="16"/>
          <w:szCs w:val="16"/>
        </w:rPr>
        <w:t> марта </w:t>
      </w:r>
      <w:bookmarkStart w:id="13" w:name="YANDEX_35"/>
      <w:bookmarkEnd w:id="13"/>
      <w:r w:rsidRPr="00A259BD">
        <w:rPr>
          <w:rStyle w:val="highlight"/>
          <w:rFonts w:ascii="Times New Roman" w:hAnsi="Times New Roman"/>
          <w:color w:val="000000" w:themeColor="text1"/>
          <w:sz w:val="16"/>
          <w:szCs w:val="16"/>
        </w:rPr>
        <w:t> 1929 </w:t>
      </w:r>
      <w:r w:rsidRPr="00A259BD">
        <w:rPr>
          <w:rFonts w:ascii="Times New Roman" w:hAnsi="Times New Roman"/>
          <w:color w:val="000000" w:themeColor="text1"/>
          <w:sz w:val="16"/>
          <w:szCs w:val="16"/>
        </w:rPr>
        <w:t xml:space="preserve"> г.) (17226).</w:t>
      </w:r>
    </w:p>
    <w:p w14:paraId="7D6424EA" w14:textId="77777777" w:rsidR="00DA64AB" w:rsidRPr="00A259BD" w:rsidRDefault="00DA64A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E9291C" w14:textId="77777777" w:rsidR="002E6114" w:rsidRPr="00A259BD" w:rsidRDefault="002E6114"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февраля </w:t>
      </w:r>
      <w:r w:rsidRPr="00A259BD">
        <w:rPr>
          <w:rStyle w:val="highlight"/>
          <w:rFonts w:ascii="Times New Roman" w:hAnsi="Times New Roman"/>
          <w:color w:val="000000" w:themeColor="text1"/>
          <w:sz w:val="16"/>
          <w:szCs w:val="16"/>
        </w:rPr>
        <w:t> 1929 </w:t>
      </w:r>
      <w:r w:rsidRPr="00A259BD">
        <w:rPr>
          <w:rFonts w:ascii="Times New Roman" w:hAnsi="Times New Roman"/>
          <w:color w:val="000000" w:themeColor="text1"/>
          <w:sz w:val="16"/>
          <w:szCs w:val="16"/>
        </w:rPr>
        <w:t xml:space="preserve"> г. город </w:t>
      </w:r>
      <w:proofErr w:type="spellStart"/>
      <w:r w:rsidRPr="00A259BD">
        <w:rPr>
          <w:rFonts w:ascii="Times New Roman" w:hAnsi="Times New Roman"/>
          <w:color w:val="000000" w:themeColor="text1"/>
          <w:sz w:val="16"/>
          <w:szCs w:val="16"/>
        </w:rPr>
        <w:t>Троцк</w:t>
      </w:r>
      <w:proofErr w:type="spellEnd"/>
      <w:r w:rsidRPr="00A259BD">
        <w:rPr>
          <w:rFonts w:ascii="Times New Roman" w:hAnsi="Times New Roman"/>
          <w:color w:val="000000" w:themeColor="text1"/>
          <w:sz w:val="16"/>
          <w:szCs w:val="16"/>
        </w:rPr>
        <w:t xml:space="preserve"> был переименован в Чапаевск. Хотя местные краеведы утверждают, что Чапаев бывал в этом городе всего несколько раз да и то проездом. Предприятие по производству тротила заложили и освятили его строительство 27 мая 1910 года. В течение последующих полутора лет на заводской площадке были построены 39 каменных производственных зданий, дизельная электростанция и прочие объекты. Здесь же возвели цеха и обвалованные высокими земляными насыпями «мастерские», в которых изготовленным на заводе расплавленным тротилом наполнялись металлические корпуса снарядов, мин, гранат и других боеприпасов. По инвентарной описи стоимость первой очереди завода составила 1,15 млн. рублей в ценах того времени. Открыл новое предприятие 15 сентября 1911 года шеф российской артиллерии великий князь Сергей Михайлович Романов. 22 сентября 1911 г. на </w:t>
      </w:r>
      <w:proofErr w:type="spellStart"/>
      <w:r w:rsidRPr="00A259BD">
        <w:rPr>
          <w:rFonts w:ascii="Times New Roman" w:hAnsi="Times New Roman"/>
          <w:color w:val="000000" w:themeColor="text1"/>
          <w:sz w:val="16"/>
          <w:szCs w:val="16"/>
        </w:rPr>
        <w:t>Самаро</w:t>
      </w:r>
      <w:proofErr w:type="spellEnd"/>
      <w:r w:rsidRPr="00A259BD">
        <w:rPr>
          <w:rFonts w:ascii="Times New Roman" w:hAnsi="Times New Roman"/>
          <w:color w:val="000000" w:themeColor="text1"/>
          <w:sz w:val="16"/>
          <w:szCs w:val="16"/>
        </w:rPr>
        <w:t xml:space="preserve">-Златоустовской железной дороге был открыт разъезд, с которого были отправлены первые вагоны со снарядами на склады Главного артиллерийского управления. </w:t>
      </w:r>
      <w:proofErr w:type="spellStart"/>
      <w:r w:rsidRPr="00A259BD">
        <w:rPr>
          <w:rFonts w:ascii="Times New Roman" w:hAnsi="Times New Roman"/>
          <w:color w:val="000000" w:themeColor="text1"/>
          <w:sz w:val="16"/>
          <w:szCs w:val="16"/>
        </w:rPr>
        <w:t>Тротилово</w:t>
      </w:r>
      <w:proofErr w:type="spellEnd"/>
      <w:r w:rsidRPr="00A259BD">
        <w:rPr>
          <w:rFonts w:ascii="Times New Roman" w:hAnsi="Times New Roman"/>
          <w:color w:val="000000" w:themeColor="text1"/>
          <w:sz w:val="16"/>
          <w:szCs w:val="16"/>
        </w:rPr>
        <w:t xml:space="preserve">-снаряжательная мастерская завода до конца года изготовила 32 тонны тротила и снарядила им 6,5 тысячи 3-дюймовых (76-мм) снарядов. С началом Первой мировой войны Сергиевский завод более чем в 100 раз увеличил производство тротила и в 52 раза тетрила, здесь в 1916 году было снаряжено свыше 1,1 млн. 76-мм снарядов, почти 800 тыс. 122-мм и свыше 500 тыс. 152-мм снарядов. По численности рабочих он занял второе место в Самарской губернии после Трубочного завода. В 1919 году поселок Иващенково был переименован в </w:t>
      </w:r>
      <w:proofErr w:type="spellStart"/>
      <w:r w:rsidRPr="00A259BD">
        <w:rPr>
          <w:rFonts w:ascii="Times New Roman" w:hAnsi="Times New Roman"/>
          <w:color w:val="000000" w:themeColor="text1"/>
          <w:sz w:val="16"/>
          <w:szCs w:val="16"/>
        </w:rPr>
        <w:t>Троцк</w:t>
      </w:r>
      <w:proofErr w:type="spellEnd"/>
      <w:r w:rsidRPr="00A259BD">
        <w:rPr>
          <w:rFonts w:ascii="Times New Roman" w:hAnsi="Times New Roman"/>
          <w:color w:val="000000" w:themeColor="text1"/>
          <w:sz w:val="16"/>
          <w:szCs w:val="16"/>
        </w:rPr>
        <w:t xml:space="preserve"> - в честь наркома военных дел Российской советской республики Льва Троцкого. 23 августа 1927 г. рабочему посёлку был присвоен статус города. Каждая пятая авиабомба, каждый третий артиллерийский снаряд и весь морской боезапас для всех флотов страны за годы войны были выпущены в Чапаевске, снаряжены чапаевским тротилом с завода № 15. На этом предприятии начали изготовление продукции 63 номенклатур против 26 в мирное время, при этом 20 наименований являлись новыми, мощностей для которых ранее не создавалось (17233).</w:t>
      </w:r>
    </w:p>
    <w:p w14:paraId="5CDAD3A3" w14:textId="77777777" w:rsidR="002E6114" w:rsidRPr="00A259BD" w:rsidRDefault="002E611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52A70FD" w14:textId="257B058C" w:rsidR="00EE73C1" w:rsidRDefault="00EE73C1" w:rsidP="009236E3">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Другие оборонные отрасли:</w:t>
      </w:r>
    </w:p>
    <w:p w14:paraId="39B0B15C" w14:textId="77777777" w:rsidR="00EE73C1" w:rsidRDefault="00EE73C1"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4A90F595" w14:textId="77777777" w:rsidR="00EE73C1" w:rsidRPr="00441F34" w:rsidRDefault="00EE73C1" w:rsidP="00EE73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начале февраля 1929 г. А.Ф. </w:t>
      </w:r>
      <w:proofErr w:type="spellStart"/>
      <w:r w:rsidRPr="00441F34">
        <w:rPr>
          <w:rFonts w:ascii="Times New Roman" w:hAnsi="Times New Roman"/>
          <w:color w:val="0070C0"/>
          <w:sz w:val="16"/>
          <w:szCs w:val="16"/>
        </w:rPr>
        <w:t>Толоконцев</w:t>
      </w:r>
      <w:proofErr w:type="spellEnd"/>
      <w:r w:rsidRPr="00441F34">
        <w:rPr>
          <w:rFonts w:ascii="Times New Roman" w:hAnsi="Times New Roman"/>
          <w:color w:val="0070C0"/>
          <w:sz w:val="16"/>
          <w:szCs w:val="16"/>
        </w:rPr>
        <w:t xml:space="preserve"> еще оставался главой ГВПУ и в своем обращении к Сталину он ставил под сомнение как факт вредительства, так и существование самой контрреволюционной организации. А.Ф. </w:t>
      </w:r>
      <w:proofErr w:type="spellStart"/>
      <w:r w:rsidRPr="00441F34">
        <w:rPr>
          <w:rFonts w:ascii="Times New Roman" w:hAnsi="Times New Roman"/>
          <w:color w:val="0070C0"/>
          <w:sz w:val="16"/>
          <w:szCs w:val="16"/>
        </w:rPr>
        <w:t>Толоконцев</w:t>
      </w:r>
      <w:proofErr w:type="spellEnd"/>
      <w:r w:rsidRPr="00441F34">
        <w:rPr>
          <w:rFonts w:ascii="Times New Roman" w:hAnsi="Times New Roman"/>
          <w:color w:val="0070C0"/>
          <w:sz w:val="16"/>
          <w:szCs w:val="16"/>
        </w:rPr>
        <w:t xml:space="preserve"> прямо указывал на то, что бывший царский генерал и арестованные вместе с ним специалисты в системе ГВПУ не имели реальной власти, а все важнейшие решения Александр Федорович принимал сам как глава военно-промышленного управления[44] (23536).</w:t>
      </w:r>
    </w:p>
    <w:p w14:paraId="362A22D5" w14:textId="77777777" w:rsidR="00EE73C1" w:rsidRPr="00441F34" w:rsidRDefault="00EE73C1" w:rsidP="00EE73C1">
      <w:pPr>
        <w:spacing w:after="0" w:line="240" w:lineRule="auto"/>
        <w:jc w:val="both"/>
        <w:rPr>
          <w:rFonts w:ascii="Times New Roman" w:hAnsi="Times New Roman"/>
          <w:color w:val="0070C0"/>
          <w:sz w:val="16"/>
          <w:szCs w:val="16"/>
        </w:rPr>
      </w:pPr>
    </w:p>
    <w:p w14:paraId="51F60475" w14:textId="083D7B52"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615DA1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F5C79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февраля 1929 создатель автожира "КАСКР" </w:t>
      </w:r>
      <w:proofErr w:type="spellStart"/>
      <w:r w:rsidRPr="00A259BD">
        <w:rPr>
          <w:rFonts w:ascii="Times New Roman" w:hAnsi="Times New Roman"/>
          <w:color w:val="000000" w:themeColor="text1"/>
          <w:sz w:val="16"/>
          <w:szCs w:val="16"/>
        </w:rPr>
        <w:t>Н.И.Камов</w:t>
      </w:r>
      <w:proofErr w:type="spellEnd"/>
      <w:r w:rsidRPr="00A259BD">
        <w:rPr>
          <w:rFonts w:ascii="Times New Roman" w:hAnsi="Times New Roman"/>
          <w:color w:val="000000" w:themeColor="text1"/>
          <w:sz w:val="16"/>
          <w:szCs w:val="16"/>
        </w:rPr>
        <w:t xml:space="preserve"> впервые ввел слово "вертолет" (274).</w:t>
      </w:r>
    </w:p>
    <w:p w14:paraId="49A17E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7ED588" w14:textId="77777777" w:rsidR="009024DB" w:rsidRPr="00A259BD" w:rsidRDefault="009024DB" w:rsidP="009236E3">
      <w:pPr>
        <w:spacing w:after="0" w:line="240" w:lineRule="auto"/>
        <w:jc w:val="both"/>
        <w:rPr>
          <w:rStyle w:val="ucoz-forum-post"/>
          <w:rFonts w:ascii="Times New Roman" w:hAnsi="Times New Roman"/>
          <w:color w:val="000000" w:themeColor="text1"/>
          <w:sz w:val="16"/>
          <w:szCs w:val="16"/>
        </w:rPr>
      </w:pPr>
      <w:r w:rsidRPr="00A259BD">
        <w:rPr>
          <w:rFonts w:ascii="Times New Roman" w:hAnsi="Times New Roman"/>
          <w:bCs/>
          <w:color w:val="000000" w:themeColor="text1"/>
          <w:sz w:val="16"/>
          <w:szCs w:val="16"/>
        </w:rPr>
        <w:t>8 февраля</w:t>
      </w:r>
      <w:r w:rsidRPr="00A259BD">
        <w:rPr>
          <w:rStyle w:val="ucoz-forum-post"/>
          <w:rFonts w:ascii="Times New Roman" w:hAnsi="Times New Roman"/>
          <w:color w:val="000000" w:themeColor="text1"/>
          <w:sz w:val="16"/>
          <w:szCs w:val="16"/>
        </w:rPr>
        <w:t xml:space="preserve"> в 1929 году в русском языке появилось новое слово – «вертолёт». Так авиаконструктор Николай Ильич Камов назвал свое изобретение – первый советский вертолёт Каскр-1 «Красный инженер». Название аппарата образовалось от фамилий авторов – Камов-</w:t>
      </w:r>
      <w:proofErr w:type="spellStart"/>
      <w:r w:rsidRPr="00A259BD">
        <w:rPr>
          <w:rStyle w:val="ucoz-forum-post"/>
          <w:rFonts w:ascii="Times New Roman" w:hAnsi="Times New Roman"/>
          <w:color w:val="000000" w:themeColor="text1"/>
          <w:sz w:val="16"/>
          <w:szCs w:val="16"/>
        </w:rPr>
        <w:t>Скржинский</w:t>
      </w:r>
      <w:proofErr w:type="spellEnd"/>
      <w:r w:rsidRPr="00A259BD">
        <w:rPr>
          <w:rStyle w:val="ucoz-forum-post"/>
          <w:rFonts w:ascii="Times New Roman" w:hAnsi="Times New Roman"/>
          <w:color w:val="000000" w:themeColor="text1"/>
          <w:sz w:val="16"/>
          <w:szCs w:val="16"/>
        </w:rPr>
        <w:t xml:space="preserve"> (15034).</w:t>
      </w:r>
    </w:p>
    <w:p w14:paraId="43D2A4DD" w14:textId="77777777" w:rsidR="009024DB" w:rsidRPr="00A259BD" w:rsidRDefault="009024DB" w:rsidP="009236E3">
      <w:pPr>
        <w:spacing w:after="0" w:line="240" w:lineRule="auto"/>
        <w:jc w:val="both"/>
        <w:rPr>
          <w:rStyle w:val="ucoz-forum-post"/>
          <w:rFonts w:ascii="Times New Roman" w:hAnsi="Times New Roman"/>
          <w:color w:val="000000" w:themeColor="text1"/>
          <w:sz w:val="16"/>
          <w:szCs w:val="16"/>
        </w:rPr>
      </w:pPr>
      <w:r w:rsidRPr="00A259BD">
        <w:rPr>
          <w:rStyle w:val="ucoz-forum-post"/>
          <w:rFonts w:ascii="Times New Roman" w:hAnsi="Times New Roman"/>
          <w:color w:val="000000" w:themeColor="text1"/>
          <w:sz w:val="16"/>
          <w:szCs w:val="16"/>
        </w:rPr>
        <w:lastRenderedPageBreak/>
        <w:t xml:space="preserve">Вертолёт в современном понимании этого слова до войны носил название «геликоптер». Это слово было заимствовано из французского языка (фр. </w:t>
      </w:r>
      <w:proofErr w:type="spellStart"/>
      <w:r w:rsidRPr="00A259BD">
        <w:rPr>
          <w:rStyle w:val="ucoz-forum-post"/>
          <w:rFonts w:ascii="Times New Roman" w:hAnsi="Times New Roman"/>
          <w:color w:val="000000" w:themeColor="text1"/>
          <w:sz w:val="16"/>
          <w:szCs w:val="16"/>
        </w:rPr>
        <w:t>hélicoptère</w:t>
      </w:r>
      <w:proofErr w:type="spellEnd"/>
      <w:r w:rsidRPr="00A259BD">
        <w:rPr>
          <w:rStyle w:val="ucoz-forum-post"/>
          <w:rFonts w:ascii="Times New Roman" w:hAnsi="Times New Roman"/>
          <w:color w:val="000000" w:themeColor="text1"/>
          <w:sz w:val="16"/>
          <w:szCs w:val="16"/>
        </w:rPr>
        <w:t xml:space="preserve">) уже в конце 19 века. Однако, изобретение Камова не было вертолётом в современном смысле этого слова. Летательный аппарат </w:t>
      </w:r>
      <w:proofErr w:type="spellStart"/>
      <w:r w:rsidRPr="00A259BD">
        <w:rPr>
          <w:rStyle w:val="ucoz-forum-post"/>
          <w:rFonts w:ascii="Times New Roman" w:hAnsi="Times New Roman"/>
          <w:color w:val="000000" w:themeColor="text1"/>
          <w:sz w:val="16"/>
          <w:szCs w:val="16"/>
        </w:rPr>
        <w:t>Каскр</w:t>
      </w:r>
      <w:proofErr w:type="spellEnd"/>
      <w:r w:rsidRPr="00A259BD">
        <w:rPr>
          <w:rStyle w:val="ucoz-forum-post"/>
          <w:rFonts w:ascii="Times New Roman" w:hAnsi="Times New Roman"/>
          <w:color w:val="000000" w:themeColor="text1"/>
          <w:sz w:val="16"/>
          <w:szCs w:val="16"/>
        </w:rPr>
        <w:t xml:space="preserve"> принадлежал по своим техническим характеристикам к тому типу аппаратов, которые назывались «автожирами» (15034).</w:t>
      </w:r>
    </w:p>
    <w:p w14:paraId="030B7FB1" w14:textId="77777777" w:rsidR="009024DB" w:rsidRPr="00A259BD" w:rsidRDefault="009024DB" w:rsidP="009236E3">
      <w:pPr>
        <w:spacing w:after="0" w:line="240" w:lineRule="auto"/>
        <w:jc w:val="both"/>
        <w:rPr>
          <w:rStyle w:val="ucoz-forum-post"/>
          <w:rFonts w:ascii="Times New Roman" w:hAnsi="Times New Roman"/>
          <w:color w:val="000000" w:themeColor="text1"/>
          <w:sz w:val="16"/>
          <w:szCs w:val="16"/>
        </w:rPr>
      </w:pPr>
      <w:r w:rsidRPr="00A259BD">
        <w:rPr>
          <w:rStyle w:val="ucoz-forum-post"/>
          <w:rFonts w:ascii="Times New Roman" w:hAnsi="Times New Roman"/>
          <w:color w:val="000000" w:themeColor="text1"/>
          <w:sz w:val="16"/>
          <w:szCs w:val="16"/>
        </w:rPr>
        <w:t>Как и вертолёт (которому не нужен разбег перед взлётом, поскольку он способен вертикально подняться и полететь с любой площадки), автожир обладал несущим винтом для создания подъёмной силы, однако винт автожира вращался под действием аэродинамических сил в режиме авторотации. В то же время автожир обычно обладал ещё и тянущим/толкающим винтом (пропеллером), как и у обычного самолета времен поршневой авиации. Этот маршевый винт сообщал автожиру горизонтальную скорость (15034).</w:t>
      </w:r>
    </w:p>
    <w:p w14:paraId="6B2E4EC3" w14:textId="77777777" w:rsidR="009024DB" w:rsidRPr="00A259BD" w:rsidRDefault="009024DB" w:rsidP="009236E3">
      <w:pPr>
        <w:spacing w:after="0" w:line="240" w:lineRule="auto"/>
        <w:jc w:val="both"/>
        <w:rPr>
          <w:rStyle w:val="ucoz-forum-post"/>
          <w:rFonts w:ascii="Times New Roman" w:hAnsi="Times New Roman"/>
          <w:color w:val="000000" w:themeColor="text1"/>
          <w:sz w:val="16"/>
          <w:szCs w:val="16"/>
        </w:rPr>
      </w:pPr>
      <w:r w:rsidRPr="00A259BD">
        <w:rPr>
          <w:rStyle w:val="ucoz-forum-post"/>
          <w:rFonts w:ascii="Times New Roman" w:hAnsi="Times New Roman"/>
          <w:color w:val="000000" w:themeColor="text1"/>
          <w:sz w:val="16"/>
          <w:szCs w:val="16"/>
        </w:rPr>
        <w:t>По всей видимости, слово «вертолёт» было создано по подобию французского «</w:t>
      </w:r>
      <w:proofErr w:type="spellStart"/>
      <w:r w:rsidRPr="00A259BD">
        <w:rPr>
          <w:rStyle w:val="ucoz-forum-post"/>
          <w:rFonts w:ascii="Times New Roman" w:hAnsi="Times New Roman"/>
          <w:color w:val="000000" w:themeColor="text1"/>
          <w:sz w:val="16"/>
          <w:szCs w:val="16"/>
        </w:rPr>
        <w:t>gyroplane</w:t>
      </w:r>
      <w:proofErr w:type="spellEnd"/>
      <w:r w:rsidRPr="00A259BD">
        <w:rPr>
          <w:rStyle w:val="ucoz-forum-post"/>
          <w:rFonts w:ascii="Times New Roman" w:hAnsi="Times New Roman"/>
          <w:color w:val="000000" w:themeColor="text1"/>
          <w:sz w:val="16"/>
          <w:szCs w:val="16"/>
        </w:rPr>
        <w:t>» (имеющего то же значение и существующего с 1907 года), так же, как по аналогии с «</w:t>
      </w:r>
      <w:proofErr w:type="spellStart"/>
      <w:r w:rsidRPr="00A259BD">
        <w:rPr>
          <w:rStyle w:val="ucoz-forum-post"/>
          <w:rFonts w:ascii="Times New Roman" w:hAnsi="Times New Roman"/>
          <w:color w:val="000000" w:themeColor="text1"/>
          <w:sz w:val="16"/>
          <w:szCs w:val="16"/>
        </w:rPr>
        <w:t>aéroplane</w:t>
      </w:r>
      <w:proofErr w:type="spellEnd"/>
      <w:r w:rsidRPr="00A259BD">
        <w:rPr>
          <w:rStyle w:val="ucoz-forum-post"/>
          <w:rFonts w:ascii="Times New Roman" w:hAnsi="Times New Roman"/>
          <w:color w:val="000000" w:themeColor="text1"/>
          <w:sz w:val="16"/>
          <w:szCs w:val="16"/>
        </w:rPr>
        <w:t>» (тогда ещё бытовавшему во французском языке) был придуман «самолёт». То есть, первый элемент «верт» (от слова «вертеть») соответствует французскому «</w:t>
      </w:r>
      <w:proofErr w:type="spellStart"/>
      <w:r w:rsidRPr="00A259BD">
        <w:rPr>
          <w:rStyle w:val="ucoz-forum-post"/>
          <w:rFonts w:ascii="Times New Roman" w:hAnsi="Times New Roman"/>
          <w:color w:val="000000" w:themeColor="text1"/>
          <w:sz w:val="16"/>
          <w:szCs w:val="16"/>
        </w:rPr>
        <w:t>gyro</w:t>
      </w:r>
      <w:proofErr w:type="spellEnd"/>
      <w:r w:rsidRPr="00A259BD">
        <w:rPr>
          <w:rStyle w:val="ucoz-forum-post"/>
          <w:rFonts w:ascii="Times New Roman" w:hAnsi="Times New Roman"/>
          <w:color w:val="000000" w:themeColor="text1"/>
          <w:sz w:val="16"/>
          <w:szCs w:val="16"/>
        </w:rPr>
        <w:t>-», восходящему ко греческому «</w:t>
      </w:r>
      <w:proofErr w:type="spellStart"/>
      <w:r w:rsidRPr="00A259BD">
        <w:rPr>
          <w:rStyle w:val="ucoz-forum-post"/>
          <w:rFonts w:ascii="Times New Roman" w:hAnsi="Times New Roman"/>
          <w:color w:val="000000" w:themeColor="text1"/>
          <w:sz w:val="16"/>
          <w:szCs w:val="16"/>
        </w:rPr>
        <w:t>γῦρος</w:t>
      </w:r>
      <w:proofErr w:type="spellEnd"/>
      <w:r w:rsidRPr="00A259BD">
        <w:rPr>
          <w:rStyle w:val="ucoz-forum-post"/>
          <w:rFonts w:ascii="Times New Roman" w:hAnsi="Times New Roman"/>
          <w:color w:val="000000" w:themeColor="text1"/>
          <w:sz w:val="16"/>
          <w:szCs w:val="16"/>
        </w:rPr>
        <w:t>» (15034).</w:t>
      </w:r>
    </w:p>
    <w:p w14:paraId="6A908826" w14:textId="77777777" w:rsidR="009024DB" w:rsidRPr="00A259BD" w:rsidRDefault="009024DB" w:rsidP="009236E3">
      <w:pPr>
        <w:spacing w:after="0" w:line="240" w:lineRule="auto"/>
        <w:jc w:val="both"/>
        <w:rPr>
          <w:rStyle w:val="ucoz-forum-post"/>
          <w:rFonts w:ascii="Times New Roman" w:hAnsi="Times New Roman"/>
          <w:color w:val="000000" w:themeColor="text1"/>
          <w:sz w:val="16"/>
          <w:szCs w:val="16"/>
        </w:rPr>
      </w:pPr>
      <w:r w:rsidRPr="00A259BD">
        <w:rPr>
          <w:rStyle w:val="ucoz-forum-post"/>
          <w:rFonts w:ascii="Times New Roman" w:hAnsi="Times New Roman"/>
          <w:color w:val="000000" w:themeColor="text1"/>
          <w:sz w:val="16"/>
          <w:szCs w:val="16"/>
        </w:rPr>
        <w:t>Существует и другой вариант происхождения слова «вертолёт» – от названия компании-производителя вертолётов «</w:t>
      </w:r>
      <w:proofErr w:type="spellStart"/>
      <w:r w:rsidRPr="00A259BD">
        <w:rPr>
          <w:rStyle w:val="ucoz-forum-post"/>
          <w:rFonts w:ascii="Times New Roman" w:hAnsi="Times New Roman"/>
          <w:color w:val="000000" w:themeColor="text1"/>
          <w:sz w:val="16"/>
          <w:szCs w:val="16"/>
        </w:rPr>
        <w:t>Vertol</w:t>
      </w:r>
      <w:proofErr w:type="spellEnd"/>
      <w:r w:rsidRPr="00A259BD">
        <w:rPr>
          <w:rStyle w:val="ucoz-forum-post"/>
          <w:rFonts w:ascii="Times New Roman" w:hAnsi="Times New Roman"/>
          <w:color w:val="000000" w:themeColor="text1"/>
          <w:sz w:val="16"/>
          <w:szCs w:val="16"/>
        </w:rPr>
        <w:t>» (название, в свою очередь, произошло от сокращения термина «</w:t>
      </w:r>
      <w:proofErr w:type="spellStart"/>
      <w:r w:rsidRPr="00A259BD">
        <w:rPr>
          <w:rStyle w:val="ucoz-forum-post"/>
          <w:rFonts w:ascii="Times New Roman" w:hAnsi="Times New Roman"/>
          <w:color w:val="000000" w:themeColor="text1"/>
          <w:sz w:val="16"/>
          <w:szCs w:val="16"/>
        </w:rPr>
        <w:t>Vertical</w:t>
      </w:r>
      <w:proofErr w:type="spellEnd"/>
      <w:r w:rsidRPr="00A259BD">
        <w:rPr>
          <w:rStyle w:val="ucoz-forum-post"/>
          <w:rFonts w:ascii="Times New Roman" w:hAnsi="Times New Roman"/>
          <w:color w:val="000000" w:themeColor="text1"/>
          <w:sz w:val="16"/>
          <w:szCs w:val="16"/>
        </w:rPr>
        <w:t xml:space="preserve"> Take-</w:t>
      </w:r>
      <w:proofErr w:type="spellStart"/>
      <w:r w:rsidRPr="00A259BD">
        <w:rPr>
          <w:rStyle w:val="ucoz-forum-post"/>
          <w:rFonts w:ascii="Times New Roman" w:hAnsi="Times New Roman"/>
          <w:color w:val="000000" w:themeColor="text1"/>
          <w:sz w:val="16"/>
          <w:szCs w:val="16"/>
        </w:rPr>
        <w:t>off</w:t>
      </w:r>
      <w:proofErr w:type="spellEnd"/>
      <w:r w:rsidRPr="00A259BD">
        <w:rPr>
          <w:rStyle w:val="ucoz-forum-post"/>
          <w:rFonts w:ascii="Times New Roman" w:hAnsi="Times New Roman"/>
          <w:color w:val="000000" w:themeColor="text1"/>
          <w:sz w:val="16"/>
          <w:szCs w:val="16"/>
        </w:rPr>
        <w:t xml:space="preserve"> </w:t>
      </w:r>
      <w:proofErr w:type="spellStart"/>
      <w:r w:rsidRPr="00A259BD">
        <w:rPr>
          <w:rStyle w:val="ucoz-forum-post"/>
          <w:rFonts w:ascii="Times New Roman" w:hAnsi="Times New Roman"/>
          <w:color w:val="000000" w:themeColor="text1"/>
          <w:sz w:val="16"/>
          <w:szCs w:val="16"/>
        </w:rPr>
        <w:t>and</w:t>
      </w:r>
      <w:proofErr w:type="spellEnd"/>
      <w:r w:rsidRPr="00A259BD">
        <w:rPr>
          <w:rStyle w:val="ucoz-forum-post"/>
          <w:rFonts w:ascii="Times New Roman" w:hAnsi="Times New Roman"/>
          <w:color w:val="000000" w:themeColor="text1"/>
          <w:sz w:val="16"/>
          <w:szCs w:val="16"/>
        </w:rPr>
        <w:t xml:space="preserve"> </w:t>
      </w:r>
      <w:proofErr w:type="spellStart"/>
      <w:r w:rsidRPr="00A259BD">
        <w:rPr>
          <w:rStyle w:val="ucoz-forum-post"/>
          <w:rFonts w:ascii="Times New Roman" w:hAnsi="Times New Roman"/>
          <w:color w:val="000000" w:themeColor="text1"/>
          <w:sz w:val="16"/>
          <w:szCs w:val="16"/>
        </w:rPr>
        <w:t>Landing</w:t>
      </w:r>
      <w:proofErr w:type="spellEnd"/>
      <w:r w:rsidRPr="00A259BD">
        <w:rPr>
          <w:rStyle w:val="ucoz-forum-post"/>
          <w:rFonts w:ascii="Times New Roman" w:hAnsi="Times New Roman"/>
          <w:color w:val="000000" w:themeColor="text1"/>
          <w:sz w:val="16"/>
          <w:szCs w:val="16"/>
        </w:rPr>
        <w:t xml:space="preserve"> </w:t>
      </w:r>
      <w:proofErr w:type="spellStart"/>
      <w:r w:rsidRPr="00A259BD">
        <w:rPr>
          <w:rStyle w:val="ucoz-forum-post"/>
          <w:rFonts w:ascii="Times New Roman" w:hAnsi="Times New Roman"/>
          <w:color w:val="000000" w:themeColor="text1"/>
          <w:sz w:val="16"/>
          <w:szCs w:val="16"/>
        </w:rPr>
        <w:t>aircraft</w:t>
      </w:r>
      <w:proofErr w:type="spellEnd"/>
      <w:r w:rsidRPr="00A259BD">
        <w:rPr>
          <w:rStyle w:val="ucoz-forum-post"/>
          <w:rFonts w:ascii="Times New Roman" w:hAnsi="Times New Roman"/>
          <w:color w:val="000000" w:themeColor="text1"/>
          <w:sz w:val="16"/>
          <w:szCs w:val="16"/>
        </w:rPr>
        <w:t>» – «воздушное судно вертикального взлёта и посадки») (15034).</w:t>
      </w:r>
    </w:p>
    <w:p w14:paraId="45C40D92" w14:textId="77777777" w:rsidR="009024DB" w:rsidRPr="00A259BD" w:rsidRDefault="009024DB" w:rsidP="009236E3">
      <w:pPr>
        <w:spacing w:after="0" w:line="240" w:lineRule="auto"/>
        <w:jc w:val="both"/>
        <w:rPr>
          <w:rStyle w:val="ucoz-forum-post"/>
          <w:rFonts w:ascii="Times New Roman" w:hAnsi="Times New Roman"/>
          <w:color w:val="000000" w:themeColor="text1"/>
          <w:sz w:val="16"/>
          <w:szCs w:val="16"/>
        </w:rPr>
      </w:pPr>
      <w:r w:rsidRPr="00A259BD">
        <w:rPr>
          <w:rStyle w:val="ucoz-forum-post"/>
          <w:rFonts w:ascii="Times New Roman" w:hAnsi="Times New Roman"/>
          <w:color w:val="000000" w:themeColor="text1"/>
          <w:sz w:val="16"/>
          <w:szCs w:val="16"/>
        </w:rPr>
        <w:t xml:space="preserve">В 1959 году советская делегация, в состав которой входил и разработчик первых советских серийных вертолетов </w:t>
      </w:r>
      <w:proofErr w:type="spellStart"/>
      <w:r w:rsidRPr="00A259BD">
        <w:rPr>
          <w:rStyle w:val="ucoz-forum-post"/>
          <w:rFonts w:ascii="Times New Roman" w:hAnsi="Times New Roman"/>
          <w:color w:val="000000" w:themeColor="text1"/>
          <w:sz w:val="16"/>
          <w:szCs w:val="16"/>
        </w:rPr>
        <w:t>М.Миль</w:t>
      </w:r>
      <w:proofErr w:type="spellEnd"/>
      <w:r w:rsidRPr="00A259BD">
        <w:rPr>
          <w:rStyle w:val="ucoz-forum-post"/>
          <w:rFonts w:ascii="Times New Roman" w:hAnsi="Times New Roman"/>
          <w:color w:val="000000" w:themeColor="text1"/>
          <w:sz w:val="16"/>
          <w:szCs w:val="16"/>
        </w:rPr>
        <w:t xml:space="preserve">, приобрела в США образцы американских вертолётов Sikorsky S-58 и </w:t>
      </w:r>
      <w:proofErr w:type="spellStart"/>
      <w:r w:rsidRPr="00A259BD">
        <w:rPr>
          <w:rStyle w:val="ucoz-forum-post"/>
          <w:rFonts w:ascii="Times New Roman" w:hAnsi="Times New Roman"/>
          <w:color w:val="000000" w:themeColor="text1"/>
          <w:sz w:val="16"/>
          <w:szCs w:val="16"/>
        </w:rPr>
        <w:t>Vertol</w:t>
      </w:r>
      <w:proofErr w:type="spellEnd"/>
      <w:r w:rsidRPr="00A259BD">
        <w:rPr>
          <w:rStyle w:val="ucoz-forum-post"/>
          <w:rFonts w:ascii="Times New Roman" w:hAnsi="Times New Roman"/>
          <w:color w:val="000000" w:themeColor="text1"/>
          <w:sz w:val="16"/>
          <w:szCs w:val="16"/>
        </w:rPr>
        <w:t xml:space="preserve"> V-44. Именно с этого времени, слово «вертолёт» в русском языке окончательно вытеснило термин «геликоптер» для обозначения этих аппаратов (15034).</w:t>
      </w:r>
    </w:p>
    <w:p w14:paraId="0D4965DF" w14:textId="77777777" w:rsidR="009024DB" w:rsidRPr="00A259BD" w:rsidRDefault="009024DB" w:rsidP="009236E3">
      <w:pPr>
        <w:spacing w:after="0" w:line="240" w:lineRule="auto"/>
        <w:jc w:val="both"/>
        <w:rPr>
          <w:rStyle w:val="ucoz-forum-post"/>
          <w:rFonts w:ascii="Times New Roman" w:hAnsi="Times New Roman"/>
          <w:color w:val="000000" w:themeColor="text1"/>
          <w:sz w:val="16"/>
          <w:szCs w:val="16"/>
        </w:rPr>
      </w:pPr>
    </w:p>
    <w:p w14:paraId="53D5C8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февраля 1929 Техническая комиссия ЦС Осоавиахима под председательством </w:t>
      </w:r>
      <w:proofErr w:type="spellStart"/>
      <w:r w:rsidRPr="00A259BD">
        <w:rPr>
          <w:rFonts w:ascii="Times New Roman" w:hAnsi="Times New Roman"/>
          <w:color w:val="000000" w:themeColor="text1"/>
          <w:sz w:val="16"/>
          <w:szCs w:val="16"/>
        </w:rPr>
        <w:t>Б.Н.Юрьева</w:t>
      </w:r>
      <w:proofErr w:type="spellEnd"/>
      <w:r w:rsidRPr="00A259BD">
        <w:rPr>
          <w:rFonts w:ascii="Times New Roman" w:hAnsi="Times New Roman"/>
          <w:color w:val="000000" w:themeColor="text1"/>
          <w:sz w:val="16"/>
          <w:szCs w:val="16"/>
        </w:rPr>
        <w:t xml:space="preserve"> рассмотрела проект автожира </w:t>
      </w:r>
      <w:proofErr w:type="spellStart"/>
      <w:r w:rsidRPr="00A259BD">
        <w:rPr>
          <w:rFonts w:ascii="Times New Roman" w:hAnsi="Times New Roman"/>
          <w:color w:val="000000" w:themeColor="text1"/>
          <w:sz w:val="16"/>
          <w:szCs w:val="16"/>
        </w:rPr>
        <w:t>Н.И.Камова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И.К.Скржинского</w:t>
      </w:r>
      <w:proofErr w:type="spellEnd"/>
      <w:r w:rsidRPr="00A259BD">
        <w:rPr>
          <w:rFonts w:ascii="Times New Roman" w:hAnsi="Times New Roman"/>
          <w:color w:val="000000" w:themeColor="text1"/>
          <w:sz w:val="16"/>
          <w:szCs w:val="16"/>
        </w:rPr>
        <w:t xml:space="preserve"> и по приказу </w:t>
      </w:r>
      <w:proofErr w:type="spellStart"/>
      <w:r w:rsidRPr="00A259BD">
        <w:rPr>
          <w:rFonts w:ascii="Times New Roman" w:hAnsi="Times New Roman"/>
          <w:color w:val="000000" w:themeColor="text1"/>
          <w:sz w:val="16"/>
          <w:szCs w:val="16"/>
        </w:rPr>
        <w:t>П.И.Баранова</w:t>
      </w:r>
      <w:proofErr w:type="spellEnd"/>
      <w:r w:rsidRPr="00A259BD">
        <w:rPr>
          <w:rFonts w:ascii="Times New Roman" w:hAnsi="Times New Roman"/>
          <w:color w:val="000000" w:themeColor="text1"/>
          <w:sz w:val="16"/>
          <w:szCs w:val="16"/>
        </w:rPr>
        <w:t xml:space="preserve"> им дали У-1 и деньги для постройки (93,119).</w:t>
      </w:r>
    </w:p>
    <w:p w14:paraId="4B7D4B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другим данным сначала проект приняла Комиссия Осоавиахима (на разработку которого было затрачено всего 500 руб.), а затем, новая комиссия под председательством </w:t>
      </w:r>
      <w:proofErr w:type="spellStart"/>
      <w:r w:rsidRPr="00A259BD">
        <w:rPr>
          <w:rFonts w:ascii="Times New Roman" w:hAnsi="Times New Roman"/>
          <w:color w:val="000000" w:themeColor="text1"/>
          <w:sz w:val="16"/>
          <w:szCs w:val="16"/>
        </w:rPr>
        <w:t>В.А.Зарзара</w:t>
      </w:r>
      <w:proofErr w:type="spellEnd"/>
      <w:r w:rsidRPr="00A259BD">
        <w:rPr>
          <w:rFonts w:ascii="Times New Roman" w:hAnsi="Times New Roman"/>
          <w:color w:val="000000" w:themeColor="text1"/>
          <w:sz w:val="16"/>
          <w:szCs w:val="16"/>
        </w:rPr>
        <w:t xml:space="preserve"> дала У-1 с М-2 и место группе КАСКР на Авиаработнике. Назвали - Красный инженер</w:t>
      </w:r>
    </w:p>
    <w:p w14:paraId="20D8B1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Еще в 1928 </w:t>
      </w:r>
      <w:proofErr w:type="spellStart"/>
      <w:r w:rsidRPr="00A259BD">
        <w:rPr>
          <w:rFonts w:ascii="Times New Roman" w:hAnsi="Times New Roman"/>
          <w:color w:val="000000" w:themeColor="text1"/>
          <w:sz w:val="16"/>
          <w:szCs w:val="16"/>
        </w:rPr>
        <w:t>Н.И.Камову</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И.К.Скржинскому</w:t>
      </w:r>
      <w:proofErr w:type="spellEnd"/>
      <w:r w:rsidRPr="00A259BD">
        <w:rPr>
          <w:rFonts w:ascii="Times New Roman" w:hAnsi="Times New Roman"/>
          <w:color w:val="000000" w:themeColor="text1"/>
          <w:sz w:val="16"/>
          <w:szCs w:val="16"/>
        </w:rPr>
        <w:t xml:space="preserve"> помог </w:t>
      </w:r>
      <w:proofErr w:type="spellStart"/>
      <w:r w:rsidRPr="00A259BD">
        <w:rPr>
          <w:rFonts w:ascii="Times New Roman" w:hAnsi="Times New Roman"/>
          <w:color w:val="000000" w:themeColor="text1"/>
          <w:sz w:val="16"/>
          <w:szCs w:val="16"/>
        </w:rPr>
        <w:t>Я.И.Луканиди</w:t>
      </w:r>
      <w:proofErr w:type="spellEnd"/>
      <w:r w:rsidRPr="00A259BD">
        <w:rPr>
          <w:rFonts w:ascii="Times New Roman" w:hAnsi="Times New Roman"/>
          <w:color w:val="000000" w:themeColor="text1"/>
          <w:sz w:val="16"/>
          <w:szCs w:val="16"/>
        </w:rPr>
        <w:t xml:space="preserve"> - председатель ячейки Осоавиахим на заводе 10-летия Октября. </w:t>
      </w:r>
      <w:proofErr w:type="spellStart"/>
      <w:r w:rsidRPr="00A259BD">
        <w:rPr>
          <w:rFonts w:ascii="Times New Roman" w:hAnsi="Times New Roman"/>
          <w:color w:val="000000" w:themeColor="text1"/>
          <w:sz w:val="16"/>
          <w:szCs w:val="16"/>
        </w:rPr>
        <w:t>Н.И.Камов</w:t>
      </w:r>
      <w:proofErr w:type="spellEnd"/>
      <w:r w:rsidRPr="00A259BD">
        <w:rPr>
          <w:rFonts w:ascii="Times New Roman" w:hAnsi="Times New Roman"/>
          <w:color w:val="000000" w:themeColor="text1"/>
          <w:sz w:val="16"/>
          <w:szCs w:val="16"/>
        </w:rPr>
        <w:t xml:space="preserve"> заинтересовал </w:t>
      </w:r>
      <w:proofErr w:type="spellStart"/>
      <w:r w:rsidRPr="00A259BD">
        <w:rPr>
          <w:rFonts w:ascii="Times New Roman" w:hAnsi="Times New Roman"/>
          <w:color w:val="000000" w:themeColor="text1"/>
          <w:sz w:val="16"/>
          <w:szCs w:val="16"/>
        </w:rPr>
        <w:t>П.И.Баранова</w:t>
      </w:r>
      <w:proofErr w:type="spellEnd"/>
      <w:r w:rsidRPr="00A259BD">
        <w:rPr>
          <w:rFonts w:ascii="Times New Roman" w:hAnsi="Times New Roman"/>
          <w:color w:val="000000" w:themeColor="text1"/>
          <w:sz w:val="16"/>
          <w:szCs w:val="16"/>
        </w:rPr>
        <w:t xml:space="preserve"> и Гл. инспектора ГВФ </w:t>
      </w:r>
      <w:proofErr w:type="spellStart"/>
      <w:r w:rsidRPr="00A259BD">
        <w:rPr>
          <w:rFonts w:ascii="Times New Roman" w:hAnsi="Times New Roman"/>
          <w:color w:val="000000" w:themeColor="text1"/>
          <w:sz w:val="16"/>
          <w:szCs w:val="16"/>
        </w:rPr>
        <w:t>В.А.Зарзаза</w:t>
      </w:r>
      <w:proofErr w:type="spellEnd"/>
      <w:r w:rsidRPr="00A259BD">
        <w:rPr>
          <w:rFonts w:ascii="Times New Roman" w:hAnsi="Times New Roman"/>
          <w:color w:val="000000" w:themeColor="text1"/>
          <w:sz w:val="16"/>
          <w:szCs w:val="16"/>
        </w:rPr>
        <w:t xml:space="preserve"> (79,147).</w:t>
      </w:r>
    </w:p>
    <w:p w14:paraId="340E1E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B098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февраля 1929 го</w:t>
      </w:r>
      <w:r w:rsidRPr="00A259BD">
        <w:rPr>
          <w:rFonts w:ascii="Times New Roman" w:hAnsi="Times New Roman"/>
          <w:color w:val="000000" w:themeColor="text1"/>
          <w:sz w:val="16"/>
          <w:szCs w:val="16"/>
        </w:rPr>
        <w:softHyphen/>
        <w:t xml:space="preserve">да был подписан протокол Технической Комиссии ЦС </w:t>
      </w:r>
      <w:proofErr w:type="spellStart"/>
      <w:r w:rsidRPr="00A259BD">
        <w:rPr>
          <w:rFonts w:ascii="Times New Roman" w:hAnsi="Times New Roman"/>
          <w:color w:val="000000" w:themeColor="text1"/>
          <w:sz w:val="16"/>
          <w:szCs w:val="16"/>
        </w:rPr>
        <w:t>ОСОВИАХИМа</w:t>
      </w:r>
      <w:proofErr w:type="spellEnd"/>
      <w:r w:rsidRPr="00A259BD">
        <w:rPr>
          <w:rFonts w:ascii="Times New Roman" w:hAnsi="Times New Roman"/>
          <w:color w:val="000000" w:themeColor="text1"/>
          <w:sz w:val="16"/>
          <w:szCs w:val="16"/>
        </w:rPr>
        <w:t xml:space="preserve"> под председательством </w:t>
      </w:r>
      <w:proofErr w:type="spellStart"/>
      <w:r w:rsidRPr="00A259BD">
        <w:rPr>
          <w:rFonts w:ascii="Times New Roman" w:hAnsi="Times New Roman"/>
          <w:color w:val="000000" w:themeColor="text1"/>
          <w:sz w:val="16"/>
          <w:szCs w:val="16"/>
        </w:rPr>
        <w:t>Б.Н.Юрьева</w:t>
      </w:r>
      <w:proofErr w:type="spellEnd"/>
      <w:r w:rsidRPr="00A259BD">
        <w:rPr>
          <w:rFonts w:ascii="Times New Roman" w:hAnsi="Times New Roman"/>
          <w:color w:val="000000" w:themeColor="text1"/>
          <w:sz w:val="16"/>
          <w:szCs w:val="16"/>
        </w:rPr>
        <w:t xml:space="preserve">, который является наиболее ранним из сохранившихся документов, в котором впервые использовано предложенное </w:t>
      </w:r>
      <w:proofErr w:type="spellStart"/>
      <w:r w:rsidRPr="00A259BD">
        <w:rPr>
          <w:rFonts w:ascii="Times New Roman" w:hAnsi="Times New Roman"/>
          <w:color w:val="000000" w:themeColor="text1"/>
          <w:sz w:val="16"/>
          <w:szCs w:val="16"/>
        </w:rPr>
        <w:t>Н.И.Камовым</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Н.К.Скржинским</w:t>
      </w:r>
      <w:proofErr w:type="spellEnd"/>
      <w:r w:rsidRPr="00A259BD">
        <w:rPr>
          <w:rFonts w:ascii="Times New Roman" w:hAnsi="Times New Roman"/>
          <w:color w:val="000000" w:themeColor="text1"/>
          <w:sz w:val="16"/>
          <w:szCs w:val="16"/>
        </w:rPr>
        <w:t xml:space="preserve"> слово “вертолет”.</w:t>
      </w:r>
    </w:p>
    <w:p w14:paraId="3DE2CC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Комиссия постановила:</w:t>
      </w:r>
    </w:p>
    <w:p w14:paraId="40C5CD3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Считать, что представления об аэродинамических явлениях, име</w:t>
      </w:r>
      <w:r w:rsidRPr="00A259BD">
        <w:rPr>
          <w:rFonts w:ascii="Times New Roman" w:hAnsi="Times New Roman"/>
          <w:color w:val="000000" w:themeColor="text1"/>
          <w:sz w:val="16"/>
          <w:szCs w:val="16"/>
        </w:rPr>
        <w:softHyphen/>
        <w:t>ющих место в автожирах, конструкторами учтены в достаточной степе</w:t>
      </w:r>
      <w:r w:rsidRPr="00A259BD">
        <w:rPr>
          <w:rFonts w:ascii="Times New Roman" w:hAnsi="Times New Roman"/>
          <w:color w:val="000000" w:themeColor="text1"/>
          <w:sz w:val="16"/>
          <w:szCs w:val="16"/>
        </w:rPr>
        <w:softHyphen/>
        <w:t>ни и соответствуют современной точке зрения на этот вопрос.</w:t>
      </w:r>
    </w:p>
    <w:p w14:paraId="7F5FA0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Признать методы расчета достаточно проработанными и учитыва</w:t>
      </w:r>
      <w:r w:rsidRPr="00A259BD">
        <w:rPr>
          <w:rFonts w:ascii="Times New Roman" w:hAnsi="Times New Roman"/>
          <w:color w:val="000000" w:themeColor="text1"/>
          <w:sz w:val="16"/>
          <w:szCs w:val="16"/>
        </w:rPr>
        <w:softHyphen/>
        <w:t>ющими возникающие в деталях автожира усилия и соответствующие им перегрузочные коэффициенты, но вследствие новизны дела комиссия все-таки считает необходимым произвести ряд статических испытаний наиболее ответственных деталей ВЕРТОЛЕТА в процессе самой пост</w:t>
      </w:r>
      <w:r w:rsidRPr="00A259BD">
        <w:rPr>
          <w:rFonts w:ascii="Times New Roman" w:hAnsi="Times New Roman"/>
          <w:color w:val="000000" w:themeColor="text1"/>
          <w:sz w:val="16"/>
          <w:szCs w:val="16"/>
        </w:rPr>
        <w:softHyphen/>
        <w:t>ройки.</w:t>
      </w:r>
    </w:p>
    <w:p w14:paraId="12A624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Признать, что конструкторами проделана большая работа по разра</w:t>
      </w:r>
      <w:r w:rsidRPr="00A259BD">
        <w:rPr>
          <w:rFonts w:ascii="Times New Roman" w:hAnsi="Times New Roman"/>
          <w:color w:val="000000" w:themeColor="text1"/>
          <w:sz w:val="16"/>
          <w:szCs w:val="16"/>
        </w:rPr>
        <w:softHyphen/>
        <w:t>ботке методов расчета на прочность, где ими дан ряд удовлетворитель</w:t>
      </w:r>
      <w:r w:rsidRPr="00A259BD">
        <w:rPr>
          <w:rFonts w:ascii="Times New Roman" w:hAnsi="Times New Roman"/>
          <w:color w:val="000000" w:themeColor="text1"/>
          <w:sz w:val="16"/>
          <w:szCs w:val="16"/>
        </w:rPr>
        <w:softHyphen/>
        <w:t>ных решений совершенно новых вопросов.</w:t>
      </w:r>
    </w:p>
    <w:p w14:paraId="0AD861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Признать конструктивное оформление проекта исполненным с ин</w:t>
      </w:r>
      <w:r w:rsidRPr="00A259BD">
        <w:rPr>
          <w:rFonts w:ascii="Times New Roman" w:hAnsi="Times New Roman"/>
          <w:color w:val="000000" w:themeColor="text1"/>
          <w:sz w:val="16"/>
          <w:szCs w:val="16"/>
        </w:rPr>
        <w:softHyphen/>
        <w:t>женерной точки зрения вполне удовлетворительным.</w:t>
      </w:r>
    </w:p>
    <w:p w14:paraId="2A0FEF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Ввиду большого интереса к автожиру как к новому типу летательных аппаратов, легко управляемых в полете и дающих возможность безопасного верти</w:t>
      </w:r>
      <w:r w:rsidRPr="00A259BD">
        <w:rPr>
          <w:rFonts w:ascii="Times New Roman" w:hAnsi="Times New Roman"/>
          <w:color w:val="000000" w:themeColor="text1"/>
          <w:sz w:val="16"/>
          <w:szCs w:val="16"/>
        </w:rPr>
        <w:softHyphen/>
        <w:t>кального спуска, комиссия при</w:t>
      </w:r>
      <w:r w:rsidRPr="00A259BD">
        <w:rPr>
          <w:rFonts w:ascii="Times New Roman" w:hAnsi="Times New Roman"/>
          <w:color w:val="000000" w:themeColor="text1"/>
          <w:sz w:val="16"/>
          <w:szCs w:val="16"/>
        </w:rPr>
        <w:softHyphen/>
        <w:t>знала чрезвычайно желательным постройку опытного вертолета по представленному проекту, причем ввиду новизны этого де</w:t>
      </w:r>
      <w:r w:rsidRPr="00A259BD">
        <w:rPr>
          <w:rFonts w:ascii="Times New Roman" w:hAnsi="Times New Roman"/>
          <w:color w:val="000000" w:themeColor="text1"/>
          <w:sz w:val="16"/>
          <w:szCs w:val="16"/>
        </w:rPr>
        <w:softHyphen/>
        <w:t>ла комиссия считает, что в про</w:t>
      </w:r>
      <w:r w:rsidRPr="00A259BD">
        <w:rPr>
          <w:rFonts w:ascii="Times New Roman" w:hAnsi="Times New Roman"/>
          <w:color w:val="000000" w:themeColor="text1"/>
          <w:sz w:val="16"/>
          <w:szCs w:val="16"/>
        </w:rPr>
        <w:softHyphen/>
        <w:t>цессе постройки по желанию конструкторов должны быть до</w:t>
      </w:r>
      <w:r w:rsidRPr="00A259BD">
        <w:rPr>
          <w:rFonts w:ascii="Times New Roman" w:hAnsi="Times New Roman"/>
          <w:color w:val="000000" w:themeColor="text1"/>
          <w:sz w:val="16"/>
          <w:szCs w:val="16"/>
        </w:rPr>
        <w:softHyphen/>
        <w:t>пущены отступления от проекта в виде переделок отдельных де</w:t>
      </w:r>
      <w:r w:rsidRPr="00A259BD">
        <w:rPr>
          <w:rFonts w:ascii="Times New Roman" w:hAnsi="Times New Roman"/>
          <w:color w:val="000000" w:themeColor="text1"/>
          <w:sz w:val="16"/>
          <w:szCs w:val="16"/>
        </w:rPr>
        <w:softHyphen/>
        <w:t>талей в сторону возможного их улучшения.</w:t>
      </w:r>
    </w:p>
    <w:p w14:paraId="406078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Комиссия всячески поддер</w:t>
      </w:r>
      <w:r w:rsidRPr="00A259BD">
        <w:rPr>
          <w:rFonts w:ascii="Times New Roman" w:hAnsi="Times New Roman"/>
          <w:color w:val="000000" w:themeColor="text1"/>
          <w:sz w:val="16"/>
          <w:szCs w:val="16"/>
        </w:rPr>
        <w:softHyphen/>
        <w:t xml:space="preserve">живает начинание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Камова и </w:t>
      </w:r>
      <w:proofErr w:type="spellStart"/>
      <w:r w:rsidRPr="00A259BD">
        <w:rPr>
          <w:rFonts w:ascii="Times New Roman" w:hAnsi="Times New Roman"/>
          <w:color w:val="000000" w:themeColor="text1"/>
          <w:sz w:val="16"/>
          <w:szCs w:val="16"/>
        </w:rPr>
        <w:t>Скржинского</w:t>
      </w:r>
      <w:proofErr w:type="spellEnd"/>
      <w:r w:rsidRPr="00A259BD">
        <w:rPr>
          <w:rFonts w:ascii="Times New Roman" w:hAnsi="Times New Roman"/>
          <w:color w:val="000000" w:themeColor="text1"/>
          <w:sz w:val="16"/>
          <w:szCs w:val="16"/>
        </w:rPr>
        <w:t xml:space="preserve"> в деле развития нового способа летания, могу</w:t>
      </w:r>
      <w:r w:rsidRPr="00A259BD">
        <w:rPr>
          <w:rFonts w:ascii="Times New Roman" w:hAnsi="Times New Roman"/>
          <w:color w:val="000000" w:themeColor="text1"/>
          <w:sz w:val="16"/>
          <w:szCs w:val="16"/>
        </w:rPr>
        <w:softHyphen/>
        <w:t>щего принести реальную пользу для воздушного флота СССР” (10224,21).</w:t>
      </w:r>
    </w:p>
    <w:p w14:paraId="4FED03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29C94A5" w14:textId="77777777" w:rsidR="009024DB"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BFF717B" w14:textId="77777777" w:rsidR="009024DB" w:rsidRPr="00A259BD" w:rsidRDefault="009024D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1B158F7" w14:textId="77777777" w:rsidR="009024DB" w:rsidRPr="00A259BD" w:rsidRDefault="009024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8 февраля</w:t>
      </w:r>
      <w:r w:rsidRPr="00A259BD">
        <w:rPr>
          <w:rFonts w:ascii="Times New Roman" w:hAnsi="Times New Roman"/>
          <w:color w:val="000000" w:themeColor="text1"/>
          <w:sz w:val="16"/>
          <w:szCs w:val="16"/>
        </w:rPr>
        <w:t xml:space="preserve"> в 1929 году впервые взлетел первый тяжелый ночной бомбардировщик </w:t>
      </w:r>
      <w:hyperlink r:id="rId17" w:tgtFrame="_blank" w:history="1">
        <w:r w:rsidRPr="00A259BD">
          <w:rPr>
            <w:rFonts w:ascii="Times New Roman" w:hAnsi="Times New Roman"/>
            <w:color w:val="000000" w:themeColor="text1"/>
            <w:sz w:val="16"/>
            <w:szCs w:val="16"/>
          </w:rPr>
          <w:t>«Н.Р.36» «</w:t>
        </w:r>
        <w:proofErr w:type="spellStart"/>
        <w:r w:rsidRPr="00A259BD">
          <w:rPr>
            <w:rFonts w:ascii="Times New Roman" w:hAnsi="Times New Roman"/>
            <w:color w:val="000000" w:themeColor="text1"/>
            <w:sz w:val="16"/>
            <w:szCs w:val="16"/>
          </w:rPr>
          <w:t>Hinaidi</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Mk.II</w:t>
        </w:r>
        <w:proofErr w:type="spellEnd"/>
        <w:r w:rsidRPr="00A259BD">
          <w:rPr>
            <w:rFonts w:ascii="Times New Roman" w:hAnsi="Times New Roman"/>
            <w:color w:val="000000" w:themeColor="text1"/>
            <w:sz w:val="16"/>
            <w:szCs w:val="16"/>
          </w:rPr>
          <w:t xml:space="preserve">» (J9478). </w:t>
        </w:r>
      </w:hyperlink>
      <w:r w:rsidRPr="00A259BD">
        <w:rPr>
          <w:rFonts w:ascii="Times New Roman" w:hAnsi="Times New Roman"/>
          <w:color w:val="000000" w:themeColor="text1"/>
          <w:sz w:val="16"/>
          <w:szCs w:val="16"/>
        </w:rPr>
        <w:t xml:space="preserve">Первая партия из 16 самолетов (K1063-K1078) была выпущена в этом же году. Самолеты оборудованные двумя двигателями Bristol </w:t>
      </w:r>
      <w:proofErr w:type="spellStart"/>
      <w:r w:rsidRPr="00A259BD">
        <w:rPr>
          <w:rFonts w:ascii="Times New Roman" w:hAnsi="Times New Roman"/>
          <w:color w:val="000000" w:themeColor="text1"/>
          <w:sz w:val="16"/>
          <w:szCs w:val="16"/>
        </w:rPr>
        <w:t>Jupiter</w:t>
      </w:r>
      <w:proofErr w:type="spellEnd"/>
      <w:r w:rsidRPr="00A259BD">
        <w:rPr>
          <w:rFonts w:ascii="Times New Roman" w:hAnsi="Times New Roman"/>
          <w:color w:val="000000" w:themeColor="text1"/>
          <w:sz w:val="16"/>
          <w:szCs w:val="16"/>
        </w:rPr>
        <w:t xml:space="preserve"> VIIIF мощностью 525 л.с. (уже по новой спецификации 13/29) поступили на вооружение 99 бомбардировочной эскадрильи RAF, заменяя деревянные «</w:t>
      </w:r>
      <w:proofErr w:type="spellStart"/>
      <w:r w:rsidRPr="00A259BD">
        <w:rPr>
          <w:rFonts w:ascii="Times New Roman" w:hAnsi="Times New Roman"/>
          <w:color w:val="000000" w:themeColor="text1"/>
          <w:sz w:val="16"/>
          <w:szCs w:val="16"/>
        </w:rPr>
        <w:t>Hyderabad</w:t>
      </w:r>
      <w:proofErr w:type="spellEnd"/>
      <w:r w:rsidRPr="00A259BD">
        <w:rPr>
          <w:rFonts w:ascii="Times New Roman" w:hAnsi="Times New Roman"/>
          <w:color w:val="000000" w:themeColor="text1"/>
          <w:sz w:val="16"/>
          <w:szCs w:val="16"/>
        </w:rPr>
        <w:t>». Последний из этих самолетов был списан в марте 1934 года, замененный очередной разработкой «</w:t>
      </w:r>
      <w:proofErr w:type="spellStart"/>
      <w:r w:rsidRPr="00A259BD">
        <w:rPr>
          <w:rFonts w:ascii="Times New Roman" w:hAnsi="Times New Roman"/>
          <w:color w:val="000000" w:themeColor="text1"/>
          <w:sz w:val="16"/>
          <w:szCs w:val="16"/>
        </w:rPr>
        <w:t>Handley</w:t>
      </w:r>
      <w:proofErr w:type="spellEnd"/>
      <w:r w:rsidRPr="00A259BD">
        <w:rPr>
          <w:rFonts w:ascii="Times New Roman" w:hAnsi="Times New Roman"/>
          <w:color w:val="000000" w:themeColor="text1"/>
          <w:sz w:val="16"/>
          <w:szCs w:val="16"/>
        </w:rPr>
        <w:t xml:space="preserve"> Page» - бомбардировщиком «</w:t>
      </w:r>
      <w:proofErr w:type="spellStart"/>
      <w:r w:rsidRPr="00A259BD">
        <w:rPr>
          <w:rFonts w:ascii="Times New Roman" w:hAnsi="Times New Roman"/>
          <w:color w:val="000000" w:themeColor="text1"/>
          <w:sz w:val="16"/>
          <w:szCs w:val="16"/>
        </w:rPr>
        <w:t>Heyford</w:t>
      </w:r>
      <w:proofErr w:type="spellEnd"/>
      <w:r w:rsidRPr="00A259BD">
        <w:rPr>
          <w:rFonts w:ascii="Times New Roman" w:hAnsi="Times New Roman"/>
          <w:color w:val="000000" w:themeColor="text1"/>
          <w:sz w:val="16"/>
          <w:szCs w:val="16"/>
        </w:rPr>
        <w:t>» (15034).</w:t>
      </w:r>
    </w:p>
    <w:p w14:paraId="3BAF0167" w14:textId="77777777" w:rsidR="009024DB" w:rsidRPr="00A259BD" w:rsidRDefault="009024DB" w:rsidP="009236E3">
      <w:pPr>
        <w:spacing w:after="0" w:line="240" w:lineRule="auto"/>
        <w:jc w:val="both"/>
        <w:rPr>
          <w:rFonts w:ascii="Times New Roman" w:hAnsi="Times New Roman"/>
          <w:color w:val="000000" w:themeColor="text1"/>
          <w:sz w:val="16"/>
          <w:szCs w:val="16"/>
        </w:rPr>
      </w:pPr>
    </w:p>
    <w:p w14:paraId="43D5A80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69D008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02ABE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февраля 1929 года был рассмотрен вопрос:</w:t>
      </w:r>
    </w:p>
    <w:p w14:paraId="02CA8F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 эскизном проекте почтового самолета К-6 бис под мотор Юпитер 450 л.с. VI серии</w:t>
      </w:r>
    </w:p>
    <w:p w14:paraId="2FFCA9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Постоянный член НТК Машкевич доложил эскизный проект почтового самолета К-6 бис </w:t>
      </w:r>
      <w:proofErr w:type="spellStart"/>
      <w:r w:rsidRPr="00A259BD">
        <w:rPr>
          <w:rFonts w:ascii="Times New Roman" w:hAnsi="Times New Roman"/>
          <w:color w:val="000000" w:themeColor="text1"/>
          <w:sz w:val="16"/>
          <w:szCs w:val="16"/>
        </w:rPr>
        <w:t>Укрвоздухпути</w:t>
      </w:r>
      <w:proofErr w:type="spellEnd"/>
      <w:r w:rsidRPr="00A259BD">
        <w:rPr>
          <w:rFonts w:ascii="Times New Roman" w:hAnsi="Times New Roman"/>
          <w:color w:val="000000" w:themeColor="text1"/>
          <w:sz w:val="16"/>
          <w:szCs w:val="16"/>
        </w:rPr>
        <w:t xml:space="preserve"> с приспособлением его под военный.</w:t>
      </w:r>
    </w:p>
    <w:p w14:paraId="0AF816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своей конструкции самолет К-6 бис является дальнейшим развитием самолета К-4 с уклоном возможности его использования в качестве военного. Этот самолет рассчитан согласно технических требований ИГВФ для перевозки почты и двух пассажиров, кроме пилота и бортмеханика. При этом в случае мобилизации самолет может быть применен в качестве разведчика или бомбардировщика, благодаря чему размеры кабины не удовлетворяют требованиям для пассажирского самолета, что отчасти компенсируется удобным расположением кресел с откидной спинкой.</w:t>
      </w:r>
    </w:p>
    <w:p w14:paraId="6A75AC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Фюзеляж сконструирован сварным из стальных труб, крыло (</w:t>
      </w:r>
      <w:proofErr w:type="spellStart"/>
      <w:r w:rsidRPr="00A259BD">
        <w:rPr>
          <w:rFonts w:ascii="Times New Roman" w:hAnsi="Times New Roman"/>
          <w:color w:val="000000" w:themeColor="text1"/>
          <w:sz w:val="16"/>
          <w:szCs w:val="16"/>
        </w:rPr>
        <w:t>элипт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очерт</w:t>
      </w:r>
      <w:proofErr w:type="spellEnd"/>
      <w:r w:rsidRPr="00A259BD">
        <w:rPr>
          <w:rFonts w:ascii="Times New Roman" w:hAnsi="Times New Roman"/>
          <w:color w:val="000000" w:themeColor="text1"/>
          <w:sz w:val="16"/>
          <w:szCs w:val="16"/>
        </w:rPr>
        <w:t>.) может быть по желанию деревянным или металлическим, с полотняной обшивкой.</w:t>
      </w:r>
    </w:p>
    <w:p w14:paraId="3F72BD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переходе на военное применение самолет К-6 бис представляет собой 30-х местный армейский разведчик или легкий бомбардировщик. Конструктором предусматривается возможность для стрельбы под фюзеляж вниз и установки фотоаппарата и радиоаппарата.</w:t>
      </w:r>
    </w:p>
    <w:p w14:paraId="2FE83F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7BE1D6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постановлено:</w:t>
      </w:r>
    </w:p>
    <w:p w14:paraId="21DF963D"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Эскизный проект самолета К6 бис утвердить (7768, 5-9).</w:t>
      </w:r>
    </w:p>
    <w:p w14:paraId="19936021"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5DB8DC8" w14:textId="77777777" w:rsidR="009024DB"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12DB098D" w14:textId="77777777" w:rsidR="009024DB" w:rsidRPr="00A259BD" w:rsidRDefault="009024D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0A1C2B" w14:textId="77777777" w:rsidR="009024DB" w:rsidRPr="00A259BD" w:rsidRDefault="009024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9 февраля</w:t>
      </w:r>
      <w:r w:rsidRPr="00A259BD">
        <w:rPr>
          <w:rFonts w:ascii="Times New Roman" w:hAnsi="Times New Roman"/>
          <w:color w:val="000000" w:themeColor="text1"/>
          <w:sz w:val="16"/>
          <w:szCs w:val="16"/>
        </w:rPr>
        <w:t xml:space="preserve"> в 1929 году объединенное заседание Политбюро ЦК и Президиума ЦКК ВКП(б) осудило «правую оппозицию» (</w:t>
      </w:r>
      <w:proofErr w:type="spellStart"/>
      <w:r w:rsidRPr="00A259BD">
        <w:rPr>
          <w:rFonts w:ascii="Times New Roman" w:hAnsi="Times New Roman"/>
          <w:color w:val="000000" w:themeColor="text1"/>
          <w:sz w:val="16"/>
          <w:szCs w:val="16"/>
        </w:rPr>
        <w:t>А.И.Рыков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Н.Бухарин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Н.Томский</w:t>
      </w:r>
      <w:proofErr w:type="spellEnd"/>
      <w:r w:rsidRPr="00A259BD">
        <w:rPr>
          <w:rFonts w:ascii="Times New Roman" w:hAnsi="Times New Roman"/>
          <w:color w:val="000000" w:themeColor="text1"/>
          <w:sz w:val="16"/>
          <w:szCs w:val="16"/>
        </w:rPr>
        <w:t xml:space="preserve"> и др.) сталинскому курсу на "</w:t>
      </w:r>
      <w:proofErr w:type="spellStart"/>
      <w:r w:rsidRPr="00A259BD">
        <w:rPr>
          <w:rFonts w:ascii="Times New Roman" w:hAnsi="Times New Roman"/>
          <w:color w:val="000000" w:themeColor="text1"/>
          <w:sz w:val="16"/>
          <w:szCs w:val="16"/>
        </w:rPr>
        <w:t>агрогулаг</w:t>
      </w:r>
      <w:proofErr w:type="spellEnd"/>
      <w:r w:rsidRPr="00A259BD">
        <w:rPr>
          <w:rFonts w:ascii="Times New Roman" w:hAnsi="Times New Roman"/>
          <w:color w:val="000000" w:themeColor="text1"/>
          <w:sz w:val="16"/>
          <w:szCs w:val="16"/>
        </w:rPr>
        <w:t>" – ликвидацию крупных сельско-хозяйственных производителей (кулаков) и ускоренную насильственную коллективизацию крестьянства. В апреле Бухарин и Томский были освобождены от своих постов, в ноябре выведены из Политбюро ЦК (15035).</w:t>
      </w:r>
    </w:p>
    <w:p w14:paraId="36E7956F" w14:textId="77777777" w:rsidR="009024DB" w:rsidRPr="00A259BD" w:rsidRDefault="009024DB" w:rsidP="009236E3">
      <w:pPr>
        <w:spacing w:after="0" w:line="240" w:lineRule="auto"/>
        <w:jc w:val="both"/>
        <w:rPr>
          <w:rFonts w:ascii="Times New Roman" w:hAnsi="Times New Roman"/>
          <w:color w:val="000000" w:themeColor="text1"/>
          <w:sz w:val="16"/>
          <w:szCs w:val="16"/>
        </w:rPr>
      </w:pPr>
    </w:p>
    <w:p w14:paraId="6D5C87E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11D5CAA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CC7C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февраля 1929 СССР, Польша, Румыния, Латвия, Эстония подписали "протокол Литвинова", по которому они обязались выполнять условия пакта "</w:t>
      </w:r>
      <w:proofErr w:type="spellStart"/>
      <w:r w:rsidRPr="00A259BD">
        <w:rPr>
          <w:rFonts w:ascii="Times New Roman" w:hAnsi="Times New Roman"/>
          <w:color w:val="000000" w:themeColor="text1"/>
          <w:sz w:val="16"/>
          <w:szCs w:val="16"/>
        </w:rPr>
        <w:t>Бриана</w:t>
      </w:r>
      <w:proofErr w:type="spellEnd"/>
      <w:r w:rsidRPr="00A259BD">
        <w:rPr>
          <w:rFonts w:ascii="Times New Roman" w:hAnsi="Times New Roman"/>
          <w:color w:val="000000" w:themeColor="text1"/>
          <w:sz w:val="16"/>
          <w:szCs w:val="16"/>
        </w:rPr>
        <w:t>-Келлога" (1348,241), предполагающего отказ от войны как средства разрешения споров - это был Московский протокол и потом присоединились Турция, Литва и Иран (2438,423).</w:t>
      </w:r>
    </w:p>
    <w:p w14:paraId="2CBFE3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8A6AF9" w14:textId="77777777" w:rsidR="00410640" w:rsidRPr="00A259BD" w:rsidRDefault="00410640" w:rsidP="009236E3">
      <w:pPr>
        <w:spacing w:after="0" w:line="240" w:lineRule="auto"/>
        <w:jc w:val="both"/>
        <w:rPr>
          <w:rFonts w:ascii="Times New Roman" w:hAnsi="Times New Roman"/>
          <w:color w:val="000000" w:themeColor="text1"/>
          <w:sz w:val="16"/>
          <w:szCs w:val="16"/>
        </w:rPr>
      </w:pPr>
      <w:r w:rsidRPr="00A259BD">
        <w:rPr>
          <w:rStyle w:val="92"/>
          <w:rFonts w:ascii="Times New Roman" w:hAnsi="Times New Roman"/>
          <w:color w:val="000000" w:themeColor="text1"/>
          <w:sz w:val="16"/>
          <w:szCs w:val="16"/>
        </w:rPr>
        <w:t>9 февраля 1929 г. СССР заключил с Польшей, Румынией, Латвией и Эстони</w:t>
      </w:r>
      <w:r w:rsidRPr="00A259BD">
        <w:rPr>
          <w:rStyle w:val="92"/>
          <w:rFonts w:ascii="Times New Roman" w:hAnsi="Times New Roman"/>
          <w:color w:val="000000" w:themeColor="text1"/>
          <w:sz w:val="16"/>
          <w:szCs w:val="16"/>
        </w:rPr>
        <w:softHyphen/>
        <w:t>ей соглашения о досрочном введении в действие пакта Келлога (17200).</w:t>
      </w:r>
    </w:p>
    <w:p w14:paraId="5136B3DD" w14:textId="77777777" w:rsidR="00410640" w:rsidRPr="00A259BD" w:rsidRDefault="00410640" w:rsidP="009236E3">
      <w:pPr>
        <w:spacing w:after="0" w:line="240" w:lineRule="auto"/>
        <w:jc w:val="both"/>
        <w:rPr>
          <w:rStyle w:val="92"/>
          <w:rFonts w:ascii="Times New Roman" w:hAnsi="Times New Roman"/>
          <w:color w:val="000000" w:themeColor="text1"/>
          <w:sz w:val="16"/>
          <w:szCs w:val="16"/>
        </w:rPr>
      </w:pPr>
    </w:p>
    <w:p w14:paraId="3A9F0438" w14:textId="77777777" w:rsidR="009024DB" w:rsidRPr="00A259BD" w:rsidRDefault="009024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9 февраля</w:t>
      </w:r>
      <w:r w:rsidRPr="00A259BD">
        <w:rPr>
          <w:rFonts w:ascii="Times New Roman" w:hAnsi="Times New Roman"/>
          <w:color w:val="000000" w:themeColor="text1"/>
          <w:sz w:val="16"/>
          <w:szCs w:val="16"/>
        </w:rPr>
        <w:t xml:space="preserve"> в 1929 году по инициативе советского правительства был подписан Московский протокол о досрочном введении в действие пакта Келлога – </w:t>
      </w:r>
      <w:proofErr w:type="spellStart"/>
      <w:r w:rsidRPr="00A259BD">
        <w:rPr>
          <w:rFonts w:ascii="Times New Roman" w:hAnsi="Times New Roman"/>
          <w:color w:val="000000" w:themeColor="text1"/>
          <w:sz w:val="16"/>
          <w:szCs w:val="16"/>
        </w:rPr>
        <w:t>Бриана</w:t>
      </w:r>
      <w:proofErr w:type="spellEnd"/>
      <w:r w:rsidRPr="00A259BD">
        <w:rPr>
          <w:rFonts w:ascii="Times New Roman" w:hAnsi="Times New Roman"/>
          <w:color w:val="000000" w:themeColor="text1"/>
          <w:sz w:val="16"/>
          <w:szCs w:val="16"/>
        </w:rPr>
        <w:t xml:space="preserve"> об отказе от войны как средства национальной политики (подписан в Париже 27 августа 1928 г. СССР присоединился к пакту 6 сентября 1928 г.) (15035).</w:t>
      </w:r>
    </w:p>
    <w:p w14:paraId="0171B782" w14:textId="77777777" w:rsidR="009024DB" w:rsidRPr="00A259BD" w:rsidRDefault="009024DB" w:rsidP="009236E3">
      <w:pPr>
        <w:spacing w:after="0" w:line="240" w:lineRule="auto"/>
        <w:jc w:val="both"/>
        <w:rPr>
          <w:rFonts w:ascii="Times New Roman" w:hAnsi="Times New Roman"/>
          <w:color w:val="000000" w:themeColor="text1"/>
          <w:sz w:val="16"/>
          <w:szCs w:val="16"/>
        </w:rPr>
      </w:pPr>
    </w:p>
    <w:p w14:paraId="02999D91"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A3E850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B81B8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февраля 1929 года во время праздника зимнего спорта на озере </w:t>
      </w:r>
      <w:proofErr w:type="spellStart"/>
      <w:r w:rsidRPr="00A259BD">
        <w:rPr>
          <w:rFonts w:ascii="Times New Roman" w:hAnsi="Times New Roman"/>
          <w:color w:val="000000" w:themeColor="text1"/>
          <w:sz w:val="16"/>
          <w:szCs w:val="16"/>
        </w:rPr>
        <w:t>Штарнбергерзее</w:t>
      </w:r>
      <w:proofErr w:type="spellEnd"/>
      <w:r w:rsidRPr="00A259BD">
        <w:rPr>
          <w:rFonts w:ascii="Times New Roman" w:hAnsi="Times New Roman"/>
          <w:color w:val="000000" w:themeColor="text1"/>
          <w:sz w:val="16"/>
          <w:szCs w:val="16"/>
        </w:rPr>
        <w:t xml:space="preserve"> был организован третий пробег саней без пассажиров. Аэродинамическая форма саней была улучшена путем снятия сидения водителя. Кроме того, в саму конструкцию саней Валье внес ряд улучшений, в связи с чем необычному транспортному </w:t>
      </w:r>
      <w:r w:rsidRPr="00A259BD">
        <w:rPr>
          <w:rFonts w:ascii="Times New Roman" w:hAnsi="Times New Roman"/>
          <w:color w:val="000000" w:themeColor="text1"/>
          <w:sz w:val="16"/>
          <w:szCs w:val="16"/>
        </w:rPr>
        <w:lastRenderedPageBreak/>
        <w:t>средству было дано новое название: “</w:t>
      </w:r>
      <w:proofErr w:type="spellStart"/>
      <w:r w:rsidRPr="00A259BD">
        <w:rPr>
          <w:rFonts w:ascii="Times New Roman" w:hAnsi="Times New Roman"/>
          <w:color w:val="000000" w:themeColor="text1"/>
          <w:sz w:val="16"/>
          <w:szCs w:val="16"/>
        </w:rPr>
        <w:t>Valier-Rak-Bob</w:t>
      </w:r>
      <w:proofErr w:type="spellEnd"/>
      <w:r w:rsidRPr="00A259BD">
        <w:rPr>
          <w:rFonts w:ascii="Times New Roman" w:hAnsi="Times New Roman"/>
          <w:color w:val="000000" w:themeColor="text1"/>
          <w:sz w:val="16"/>
          <w:szCs w:val="16"/>
        </w:rPr>
        <w:t xml:space="preserve"> 2”. Очередной пробег должен был показать, какую скорость смогут развить ракетные сани с полным зарядом без пассажира.</w:t>
      </w:r>
    </w:p>
    <w:p w14:paraId="2A8C90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этот раз все батареи ракет выгорели безупречно, благодаря тому, что Валье догадался для тепловой изоляции вставить между ними пластины из асбеста. В итоге удалось достигнуть скорости 400 км/ч.</w:t>
      </w:r>
    </w:p>
    <w:p w14:paraId="6D8E72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вновь этот отчаянный энтузиаст не учел возможных последствий. Неуправляемые сани во время пробега отклонились в сторону и в конце концов на огромной скорости врезались в берег, что привело к значительным повреждениям уникального транспортного средства. А деньги, положенные на испытания, кончились, и на некоторое время о ракетных “повозках” пришлось забыть.</w:t>
      </w:r>
    </w:p>
    <w:p w14:paraId="0CD439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здравому размышлению Макс Валье решил раз и навсегда отказаться от дальнейших экспериментов с “батареями” пороховых ракет. Их использование в качестве движителей для наземного транспорта было бесперспективно в силу короткого времени работы и низкого коэффициента полезного действия (механический </w:t>
      </w:r>
      <w:proofErr w:type="spellStart"/>
      <w:r w:rsidRPr="00A259BD">
        <w:rPr>
          <w:rFonts w:ascii="Times New Roman" w:hAnsi="Times New Roman"/>
          <w:color w:val="000000" w:themeColor="text1"/>
          <w:sz w:val="16"/>
          <w:szCs w:val="16"/>
        </w:rPr>
        <w:t>к.п.д</w:t>
      </w:r>
      <w:proofErr w:type="spellEnd"/>
      <w:r w:rsidRPr="00A259BD">
        <w:rPr>
          <w:rFonts w:ascii="Times New Roman" w:hAnsi="Times New Roman"/>
          <w:color w:val="000000" w:themeColor="text1"/>
          <w:sz w:val="16"/>
          <w:szCs w:val="16"/>
        </w:rPr>
        <w:t xml:space="preserve">. не превышал 3%). Пора было возвращаться к идее ракетных двигателей на жидком топливе, и тут на жизненном пути Валье встретил доктора </w:t>
      </w:r>
      <w:proofErr w:type="spellStart"/>
      <w:r w:rsidRPr="00A259BD">
        <w:rPr>
          <w:rFonts w:ascii="Times New Roman" w:hAnsi="Times New Roman"/>
          <w:color w:val="000000" w:themeColor="text1"/>
          <w:sz w:val="16"/>
          <w:szCs w:val="16"/>
        </w:rPr>
        <w:t>Хейланда</w:t>
      </w:r>
      <w:proofErr w:type="spellEnd"/>
      <w:r w:rsidRPr="00A259BD">
        <w:rPr>
          <w:rFonts w:ascii="Times New Roman" w:hAnsi="Times New Roman"/>
          <w:color w:val="000000" w:themeColor="text1"/>
          <w:sz w:val="16"/>
          <w:szCs w:val="16"/>
        </w:rPr>
        <w:t xml:space="preserve"> (по другой транскрипции – </w:t>
      </w:r>
      <w:proofErr w:type="spellStart"/>
      <w:r w:rsidRPr="00A259BD">
        <w:rPr>
          <w:rFonts w:ascii="Times New Roman" w:hAnsi="Times New Roman"/>
          <w:color w:val="000000" w:themeColor="text1"/>
          <w:sz w:val="16"/>
          <w:szCs w:val="16"/>
        </w:rPr>
        <w:t>Гейланда</w:t>
      </w:r>
      <w:proofErr w:type="spellEnd"/>
      <w:r w:rsidRPr="00A259BD">
        <w:rPr>
          <w:rFonts w:ascii="Times New Roman" w:hAnsi="Times New Roman"/>
          <w:color w:val="000000" w:themeColor="text1"/>
          <w:sz w:val="16"/>
          <w:szCs w:val="16"/>
        </w:rPr>
        <w:t>), которому принадлежал завод по производству промышленных газов и в том числе жидкого кислорода. С помощью Вальтера Риделя, одного из инженеров завода, Валье спроектировал, построил и испытал небольшой жидкостный ракетный двигатель с корпусом из стали (11688).</w:t>
      </w:r>
    </w:p>
    <w:p w14:paraId="44AC5E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251D29D" w14:textId="77777777" w:rsidR="001D28D9" w:rsidRPr="00A259BD" w:rsidRDefault="001D28D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8097FF0" w14:textId="77777777" w:rsidR="001D28D9" w:rsidRPr="00A259BD" w:rsidRDefault="001D28D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C36938E" w14:textId="77777777" w:rsidR="001D28D9" w:rsidRPr="00A259BD" w:rsidRDefault="001D28D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февраля 1929 (10-11 февраля) - Пилотесса Эвелин Траут установила мировой рекорд продолжительности полета - 17 часов 5 минут на самолете R.O. </w:t>
      </w:r>
      <w:proofErr w:type="spellStart"/>
      <w:r w:rsidRPr="00A259BD">
        <w:rPr>
          <w:rFonts w:ascii="Times New Roman" w:hAnsi="Times New Roman"/>
          <w:color w:val="000000" w:themeColor="text1"/>
          <w:sz w:val="16"/>
          <w:szCs w:val="16"/>
        </w:rPr>
        <w:t>Bone</w:t>
      </w:r>
      <w:proofErr w:type="spellEnd"/>
      <w:r w:rsidRPr="00A259BD">
        <w:rPr>
          <w:rFonts w:ascii="Times New Roman" w:hAnsi="Times New Roman"/>
          <w:color w:val="000000" w:themeColor="text1"/>
          <w:sz w:val="16"/>
          <w:szCs w:val="16"/>
        </w:rPr>
        <w:t xml:space="preserve"> Co. Golden Eagle (22628).</w:t>
      </w:r>
    </w:p>
    <w:p w14:paraId="04C7A9FF" w14:textId="77777777" w:rsidR="001D28D9" w:rsidRPr="00A259BD" w:rsidRDefault="001D28D9" w:rsidP="009236E3">
      <w:pPr>
        <w:spacing w:after="0" w:line="240" w:lineRule="auto"/>
        <w:jc w:val="both"/>
        <w:rPr>
          <w:rFonts w:ascii="Times New Roman" w:hAnsi="Times New Roman"/>
          <w:color w:val="000000" w:themeColor="text1"/>
          <w:sz w:val="16"/>
          <w:szCs w:val="16"/>
        </w:rPr>
      </w:pPr>
    </w:p>
    <w:p w14:paraId="23C05B0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5717A2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D681D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февраля 1929 состоялось техническое совещание АГОС ЦАГИ и В.М.П. поручили доложить на следующим балансировку АНТ-6 (ТБ-3) (1077,119) и также по АНТ-7 (1077,151).</w:t>
      </w:r>
    </w:p>
    <w:p w14:paraId="6E3187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17BDD0"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2D9D39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9637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февраля 1929 на основе соглашений Папы Пия 11 и Правительства Италии было образовано церковное государство Ватикан (3186).</w:t>
      </w:r>
    </w:p>
    <w:p w14:paraId="22C990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9B4EA1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февраля 1929 фашистское правительство Италии подписало </w:t>
      </w:r>
      <w:proofErr w:type="spellStart"/>
      <w:r w:rsidRPr="00A259BD">
        <w:rPr>
          <w:rFonts w:ascii="Times New Roman" w:hAnsi="Times New Roman"/>
          <w:color w:val="000000" w:themeColor="text1"/>
          <w:sz w:val="16"/>
          <w:szCs w:val="16"/>
        </w:rPr>
        <w:t>Латеранский</w:t>
      </w:r>
      <w:proofErr w:type="spellEnd"/>
      <w:r w:rsidRPr="00A259BD">
        <w:rPr>
          <w:rFonts w:ascii="Times New Roman" w:hAnsi="Times New Roman"/>
          <w:color w:val="000000" w:themeColor="text1"/>
          <w:sz w:val="16"/>
          <w:szCs w:val="16"/>
        </w:rPr>
        <w:t xml:space="preserve"> договор о создании независимого государства Ватикан (4962).</w:t>
      </w:r>
    </w:p>
    <w:p w14:paraId="1C84B90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BA875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февраля 1929 с прибытия в Константинополь для Л. Троцкого началось изгнание (4962).</w:t>
      </w:r>
    </w:p>
    <w:p w14:paraId="50E64FD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910EDF" w14:textId="77777777" w:rsidR="00F547C5" w:rsidRPr="00A259BD" w:rsidRDefault="002E2A19" w:rsidP="009236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DF443D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6EDBB6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февраля 1929 года отправной вариант пятилетнего плана был принят Президиумом Госплана за основу. В марте V съезд президиумов Госпланов признал этот вариант научно и экономически обоснованным. В недрах ВСНХ под руководством В.В. Куйбышева разрабатывался только оптимальный вариант. В основу плана, подготовленного ВСНХ, легли “Контрольные цифры пятилетнего плана промышленности ВСНХ СССР”, в которых задания по росту тяжелой индустрии, особенно </w:t>
      </w:r>
      <w:proofErr w:type="spellStart"/>
      <w:r w:rsidRPr="00A259BD">
        <w:rPr>
          <w:rFonts w:ascii="Times New Roman" w:hAnsi="Times New Roman"/>
          <w:color w:val="000000" w:themeColor="text1"/>
          <w:sz w:val="16"/>
          <w:szCs w:val="16"/>
        </w:rPr>
        <w:t>чер¬ной</w:t>
      </w:r>
      <w:proofErr w:type="spellEnd"/>
      <w:r w:rsidRPr="00A259BD">
        <w:rPr>
          <w:rFonts w:ascii="Times New Roman" w:hAnsi="Times New Roman"/>
          <w:color w:val="000000" w:themeColor="text1"/>
          <w:sz w:val="16"/>
          <w:szCs w:val="16"/>
        </w:rPr>
        <w:t xml:space="preserve"> и цветной металлургии, машиностроения, химической и строительной отраслей были сильно завышены. В ноябре 1928 года пленум Постоянного планового совещания ВСНХ разработал окончательные директивы пятилетки, предусматривающие рост промышленности на 134,6%, в том числе, тяжелой — на 150,2%, а легкой — на 121,4%. Однако, руководствуясь решениями ноябрьского (1928 года) пленума ЦК ВКП(б) о необходимости усиления роста тяжелой индустрии, ВСНХ в середине декабря 1928 года подготовил новый проект контрольных цифр, предусматривающий рост всей промышленности на 167% (тяжелой — на 221%, легкой — на 130%). 23 апреля 1929 года на заседании правительства, несмотря на возражения Кржижановского, был принят оптимальный вариант пятилетнего плана, одобренный в апреле XVI партийной конференцией и утвержденный в мае V Всесоюзным съездом Советов. А уже в июле—августе 1929 года ЦК принял ряд постановлений о форсированном развитии многих отраслей тяжелой промышленности (11575).</w:t>
      </w:r>
    </w:p>
    <w:p w14:paraId="7DF7D7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F27E4FD" w14:textId="77777777" w:rsidR="001D28D9" w:rsidRPr="00A259BD" w:rsidRDefault="001D28D9"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12 февраля 1929 года на совещании руководства ГКБ ОАТ и 7-й секции Артиллерийского Комитета ГАУ КА Т-19 был снова упомянут, на сей раз более развернуто. Но одновременно появился еще один проект, получивший обозначение Т-18 бис. Боевая масса снижалась с 5,9 тонн (до такой массы Т-18 дорос в серии) до 5,5 тонн, скорость возрастала до 18-19 км/ч, также предусматривалась возможность установки более мощного орудия. По результатам совещания Т-18 бис было решено передать ГКБ ОАТ. Впрочем, данное обозначение продержалось недолго. 24 мая 1929 года на "Большевик" пришло письмо от </w:t>
      </w:r>
      <w:proofErr w:type="spellStart"/>
      <w:r w:rsidRPr="00A259BD">
        <w:rPr>
          <w:rFonts w:ascii="Times New Roman" w:eastAsia="Times New Roman" w:hAnsi="Times New Roman"/>
          <w:color w:val="000000" w:themeColor="text1"/>
          <w:sz w:val="16"/>
          <w:szCs w:val="16"/>
          <w:lang w:eastAsia="ru-RU"/>
        </w:rPr>
        <w:t>Шукалова</w:t>
      </w:r>
      <w:proofErr w:type="spellEnd"/>
      <w:r w:rsidRPr="00A259BD">
        <w:rPr>
          <w:rFonts w:ascii="Times New Roman" w:eastAsia="Times New Roman" w:hAnsi="Times New Roman"/>
          <w:color w:val="000000" w:themeColor="text1"/>
          <w:sz w:val="16"/>
          <w:szCs w:val="16"/>
          <w:lang w:eastAsia="ru-RU"/>
        </w:rPr>
        <w:t>, в котором он сообщал, что теперь индекс Т-18 бис присваивался танку третьей производственной серии. Что же касается разработки ГКБ ОАТ, то она получила индекс Т-20. Одновременно требования к танку ужесточили. мощность мотора вырастала до 60 л.с., а максимальная скорость поднималась до 22 км/ч. В качестве вооружения предполагалась "37-мм пушка обр.1929 года" (на самом деле это будущая Б-3) и пулемет ДТ (20852).</w:t>
      </w:r>
    </w:p>
    <w:p w14:paraId="78889F9D" w14:textId="77777777" w:rsidR="001D28D9" w:rsidRPr="00A259BD" w:rsidRDefault="001D28D9"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C6044D8" w14:textId="77777777" w:rsidR="001D28D9" w:rsidRPr="00A259BD" w:rsidRDefault="001D28D9" w:rsidP="009236E3">
      <w:pPr>
        <w:pStyle w:val="article-renderblock"/>
        <w:shd w:val="clear" w:color="auto" w:fill="FFFFFF"/>
        <w:spacing w:before="0" w:beforeAutospacing="0" w:after="0" w:afterAutospacing="0"/>
        <w:jc w:val="both"/>
        <w:rPr>
          <w:color w:val="000000" w:themeColor="text1"/>
          <w:sz w:val="16"/>
          <w:szCs w:val="16"/>
        </w:rPr>
      </w:pPr>
      <w:r w:rsidRPr="00A259BD">
        <w:rPr>
          <w:color w:val="000000" w:themeColor="text1"/>
          <w:sz w:val="16"/>
          <w:szCs w:val="16"/>
        </w:rPr>
        <w:t>12 февраля 1929 года Т-19, который всем известен, впервые упомянули. На совещании ОАТ (Орудийно-Арсенальный Трест) рассмотрели перспективы развития Т-18. На нем упомянули Т-18Бис, разработку которого брал на себя ГКБ ОАТ (теперь так именовался Технический отдел ГУВП). В мае 1929 года его переименовали в Т-20. А Т-19 уже выглядел совсем другим танком. Боевая масса возрастала до 7 тонн, кроме того, танк должен был получить улучшенную башню с кормовой нишей под радиостанцию, плюс новую 37-мм пушку разработки завода "Большевик". Данное орудие получило обозначение Б-3. В качестве силовой установки предусматривался мотор мощностью 75 лошадиных сил, работы по которому на "Большевике" начали с конца 1928 года (20842).</w:t>
      </w:r>
    </w:p>
    <w:p w14:paraId="043DE139" w14:textId="77777777" w:rsidR="001D28D9" w:rsidRPr="00A259BD" w:rsidRDefault="001D28D9" w:rsidP="009236E3">
      <w:pPr>
        <w:pStyle w:val="article-renderblock"/>
        <w:shd w:val="clear" w:color="auto" w:fill="FFFFFF"/>
        <w:spacing w:before="0" w:beforeAutospacing="0" w:after="0" w:afterAutospacing="0"/>
        <w:jc w:val="both"/>
        <w:rPr>
          <w:color w:val="000000" w:themeColor="text1"/>
          <w:sz w:val="16"/>
          <w:szCs w:val="16"/>
        </w:rPr>
      </w:pPr>
    </w:p>
    <w:p w14:paraId="281723C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1AC3AA3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F65A0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февраля 1929 по решению ПБ ЦК ВКП(б) Л.Д.Т. был выслан за пределы СССР (3186).</w:t>
      </w:r>
    </w:p>
    <w:p w14:paraId="58BFA2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C686D6" w14:textId="77777777" w:rsidR="000D2278" w:rsidRPr="00A259BD" w:rsidRDefault="000D2278"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12 февраля</w:t>
      </w:r>
      <w:r w:rsidRPr="00A259BD">
        <w:rPr>
          <w:rFonts w:ascii="Times New Roman" w:hAnsi="Times New Roman"/>
          <w:color w:val="000000" w:themeColor="text1"/>
          <w:sz w:val="16"/>
          <w:szCs w:val="16"/>
        </w:rPr>
        <w:t xml:space="preserve"> в 1929 году c прибытия в Константинополь для </w:t>
      </w:r>
      <w:proofErr w:type="spellStart"/>
      <w:r w:rsidRPr="00A259BD">
        <w:rPr>
          <w:rFonts w:ascii="Times New Roman" w:hAnsi="Times New Roman"/>
          <w:color w:val="000000" w:themeColor="text1"/>
          <w:sz w:val="16"/>
          <w:szCs w:val="16"/>
        </w:rPr>
        <w:t>Л.Троцкого</w:t>
      </w:r>
      <w:proofErr w:type="spellEnd"/>
      <w:r w:rsidRPr="00A259BD">
        <w:rPr>
          <w:rFonts w:ascii="Times New Roman" w:hAnsi="Times New Roman"/>
          <w:color w:val="000000" w:themeColor="text1"/>
          <w:sz w:val="16"/>
          <w:szCs w:val="16"/>
        </w:rPr>
        <w:t xml:space="preserve"> начинается изгнание (15038).</w:t>
      </w:r>
    </w:p>
    <w:p w14:paraId="3D2FA0C6" w14:textId="77777777" w:rsidR="000D2278" w:rsidRPr="00A259BD" w:rsidRDefault="000D2278" w:rsidP="009236E3">
      <w:pPr>
        <w:spacing w:after="0" w:line="240" w:lineRule="auto"/>
        <w:jc w:val="both"/>
        <w:rPr>
          <w:rFonts w:ascii="Times New Roman" w:hAnsi="Times New Roman"/>
          <w:color w:val="000000" w:themeColor="text1"/>
          <w:sz w:val="16"/>
          <w:szCs w:val="16"/>
        </w:rPr>
      </w:pPr>
    </w:p>
    <w:p w14:paraId="6737AE6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E29D95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84B6F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февраля 1929 года – определение горизонтальных скоростей на высоте 100 м по мерному километру Самолета Р1-М5 № 3454 (6982).</w:t>
      </w:r>
    </w:p>
    <w:p w14:paraId="2C6C67C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D5A6F7" w14:textId="77777777" w:rsidR="00824FAB"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07326A1" w14:textId="77777777" w:rsidR="00824FAB" w:rsidRPr="00A259BD" w:rsidRDefault="00824FA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C9D9A3F" w14:textId="77777777" w:rsidR="00824FAB" w:rsidRPr="00A259BD" w:rsidRDefault="00824FAB" w:rsidP="009236E3">
      <w:pPr>
        <w:pStyle w:val="rtejustify"/>
        <w:spacing w:before="0" w:after="0"/>
        <w:rPr>
          <w:color w:val="000000" w:themeColor="text1"/>
          <w:sz w:val="16"/>
          <w:szCs w:val="16"/>
        </w:rPr>
      </w:pPr>
      <w:r w:rsidRPr="00A259BD">
        <w:rPr>
          <w:rStyle w:val="af0"/>
          <w:i w:val="0"/>
          <w:color w:val="000000" w:themeColor="text1"/>
          <w:sz w:val="16"/>
          <w:szCs w:val="16"/>
        </w:rPr>
        <w:t xml:space="preserve">13 февраля </w:t>
      </w:r>
      <w:r w:rsidRPr="00A259BD">
        <w:rPr>
          <w:color w:val="000000" w:themeColor="text1"/>
          <w:sz w:val="16"/>
          <w:szCs w:val="16"/>
        </w:rPr>
        <w:t>1929 г</w:t>
      </w:r>
      <w:r w:rsidRPr="00A259BD">
        <w:rPr>
          <w:rStyle w:val="af0"/>
          <w:i w:val="0"/>
          <w:color w:val="000000" w:themeColor="text1"/>
          <w:sz w:val="16"/>
          <w:szCs w:val="16"/>
        </w:rPr>
        <w:t>. Протокол Реввоенсовета № 12.</w:t>
      </w:r>
      <w:r w:rsidRPr="00A259BD">
        <w:rPr>
          <w:color w:val="000000" w:themeColor="text1"/>
          <w:sz w:val="16"/>
          <w:szCs w:val="16"/>
        </w:rPr>
        <w:t xml:space="preserve"> 1. О батальонной артиллерии. (Шапошников, в прениях — Каменев, Кулик, </w:t>
      </w:r>
      <w:proofErr w:type="spellStart"/>
      <w:r w:rsidRPr="00A259BD">
        <w:rPr>
          <w:color w:val="000000" w:themeColor="text1"/>
          <w:sz w:val="16"/>
          <w:szCs w:val="16"/>
        </w:rPr>
        <w:t>Триандафилов</w:t>
      </w:r>
      <w:proofErr w:type="spellEnd"/>
      <w:r w:rsidRPr="00A259BD">
        <w:rPr>
          <w:color w:val="000000" w:themeColor="text1"/>
          <w:sz w:val="16"/>
          <w:szCs w:val="16"/>
        </w:rPr>
        <w:t>, Постников, Ворошилов, Ольский, Янсон), ставится 6</w:t>
      </w:r>
      <w:r w:rsidRPr="00A259BD">
        <w:rPr>
          <w:color w:val="000000" w:themeColor="text1"/>
          <w:sz w:val="16"/>
          <w:szCs w:val="16"/>
        </w:rPr>
        <w:noBreakHyphen/>
        <w:t>й раз. 4. О тачанках для перевозки станковых пулеметов в стрелковых частях (Каменев), ставится 2</w:t>
      </w:r>
      <w:r w:rsidRPr="00A259BD">
        <w:rPr>
          <w:color w:val="000000" w:themeColor="text1"/>
          <w:sz w:val="16"/>
          <w:szCs w:val="16"/>
        </w:rPr>
        <w:noBreakHyphen/>
        <w:t>й раз. 7. О невыполненных заданиях РВС СССР. (РГВА. Ф. 4. Оп. 18. Д. 15. Л. 77</w:t>
      </w:r>
      <w:r w:rsidRPr="00A259BD">
        <w:rPr>
          <w:color w:val="000000" w:themeColor="text1"/>
          <w:sz w:val="16"/>
          <w:szCs w:val="16"/>
        </w:rPr>
        <w:noBreakHyphen/>
        <w:t>78, 80</w:t>
      </w:r>
      <w:r w:rsidRPr="00A259BD">
        <w:rPr>
          <w:color w:val="000000" w:themeColor="text1"/>
          <w:sz w:val="16"/>
          <w:szCs w:val="16"/>
        </w:rPr>
        <w:noBreakHyphen/>
        <w:t>82) (12342).</w:t>
      </w:r>
    </w:p>
    <w:p w14:paraId="25333FBA" w14:textId="77777777" w:rsidR="00824FAB" w:rsidRPr="00A259BD" w:rsidRDefault="00824FAB" w:rsidP="009236E3">
      <w:pPr>
        <w:pStyle w:val="rtejustify"/>
        <w:spacing w:before="0" w:after="0"/>
        <w:rPr>
          <w:color w:val="000000" w:themeColor="text1"/>
          <w:sz w:val="16"/>
          <w:szCs w:val="16"/>
        </w:rPr>
      </w:pPr>
    </w:p>
    <w:p w14:paraId="3A208389" w14:textId="77777777" w:rsidR="000D2278"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C62E4C2" w14:textId="77777777" w:rsidR="000D2278" w:rsidRPr="00A259BD" w:rsidRDefault="000D227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2C6F646"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февраля 1929 г. первый полет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A50 (20806). </w:t>
      </w:r>
    </w:p>
    <w:p w14:paraId="65E2AA1A" w14:textId="77777777" w:rsidR="00825262" w:rsidRPr="00A259BD" w:rsidRDefault="00825262" w:rsidP="009236E3">
      <w:pPr>
        <w:spacing w:after="0" w:line="240" w:lineRule="auto"/>
        <w:jc w:val="both"/>
        <w:rPr>
          <w:rFonts w:ascii="Times New Roman" w:hAnsi="Times New Roman"/>
          <w:color w:val="000000" w:themeColor="text1"/>
          <w:sz w:val="16"/>
          <w:szCs w:val="16"/>
        </w:rPr>
      </w:pPr>
    </w:p>
    <w:p w14:paraId="43A49D02"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февраля 1929 года — первый полёт лёгкого спортивного самолёта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A 50 Junior. /Германия/</w:t>
      </w:r>
    </w:p>
    <w:p w14:paraId="1D282F58"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Будущий конструктор пикирующего бомбардировщика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Ju</w:t>
      </w:r>
      <w:proofErr w:type="spellEnd"/>
      <w:r w:rsidRPr="00A259BD">
        <w:rPr>
          <w:rFonts w:ascii="Times New Roman" w:hAnsi="Times New Roman"/>
          <w:color w:val="000000" w:themeColor="text1"/>
          <w:sz w:val="16"/>
          <w:szCs w:val="16"/>
        </w:rPr>
        <w:t xml:space="preserve"> 87 </w:t>
      </w:r>
      <w:proofErr w:type="spellStart"/>
      <w:r w:rsidRPr="00A259BD">
        <w:rPr>
          <w:rFonts w:ascii="Times New Roman" w:hAnsi="Times New Roman"/>
          <w:color w:val="000000" w:themeColor="text1"/>
          <w:sz w:val="16"/>
          <w:szCs w:val="16"/>
        </w:rPr>
        <w:t>Stuka</w:t>
      </w:r>
      <w:proofErr w:type="spellEnd"/>
      <w:r w:rsidRPr="00A259BD">
        <w:rPr>
          <w:rFonts w:ascii="Times New Roman" w:hAnsi="Times New Roman"/>
          <w:color w:val="000000" w:themeColor="text1"/>
          <w:sz w:val="16"/>
          <w:szCs w:val="16"/>
        </w:rPr>
        <w:t xml:space="preserve"> — Герман </w:t>
      </w:r>
      <w:proofErr w:type="spellStart"/>
      <w:r w:rsidRPr="00A259BD">
        <w:rPr>
          <w:rFonts w:ascii="Times New Roman" w:hAnsi="Times New Roman"/>
          <w:color w:val="000000" w:themeColor="text1"/>
          <w:sz w:val="16"/>
          <w:szCs w:val="16"/>
        </w:rPr>
        <w:t>Польман</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Hermann</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Pohlmann</w:t>
      </w:r>
      <w:proofErr w:type="spellEnd"/>
      <w:r w:rsidRPr="00A259BD">
        <w:rPr>
          <w:rFonts w:ascii="Times New Roman" w:hAnsi="Times New Roman"/>
          <w:color w:val="000000" w:themeColor="text1"/>
          <w:sz w:val="16"/>
          <w:szCs w:val="16"/>
        </w:rPr>
        <w:t>) — начал свою карьеру в компании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Flugzeugwerke</w:t>
      </w:r>
      <w:proofErr w:type="spellEnd"/>
      <w:r w:rsidRPr="00A259BD">
        <w:rPr>
          <w:rFonts w:ascii="Times New Roman" w:hAnsi="Times New Roman"/>
          <w:color w:val="000000" w:themeColor="text1"/>
          <w:sz w:val="16"/>
          <w:szCs w:val="16"/>
        </w:rPr>
        <w:t xml:space="preserve"> с разработки обтекателей для двигателей. Постепенно он стал конструировать самолёты. Одним из проектов </w:t>
      </w:r>
      <w:proofErr w:type="spellStart"/>
      <w:r w:rsidRPr="00A259BD">
        <w:rPr>
          <w:rFonts w:ascii="Times New Roman" w:hAnsi="Times New Roman"/>
          <w:color w:val="000000" w:themeColor="text1"/>
          <w:sz w:val="16"/>
          <w:szCs w:val="16"/>
        </w:rPr>
        <w:t>Польмана</w:t>
      </w:r>
      <w:proofErr w:type="spellEnd"/>
      <w:r w:rsidRPr="00A259BD">
        <w:rPr>
          <w:rFonts w:ascii="Times New Roman" w:hAnsi="Times New Roman"/>
          <w:color w:val="000000" w:themeColor="text1"/>
          <w:sz w:val="16"/>
          <w:szCs w:val="16"/>
        </w:rPr>
        <w:t xml:space="preserve"> был спортивный самолёт A 50 Junior, разработанный в 1928 году.</w:t>
      </w:r>
    </w:p>
    <w:p w14:paraId="29ACFFBD"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A 50 представлял собой двухместный цельнометаллический низкоплан с </w:t>
      </w:r>
      <w:proofErr w:type="spellStart"/>
      <w:r w:rsidRPr="00A259BD">
        <w:rPr>
          <w:rFonts w:ascii="Times New Roman" w:hAnsi="Times New Roman"/>
          <w:color w:val="000000" w:themeColor="text1"/>
          <w:sz w:val="16"/>
          <w:szCs w:val="16"/>
        </w:rPr>
        <w:t>неубираемым</w:t>
      </w:r>
      <w:proofErr w:type="spellEnd"/>
      <w:r w:rsidRPr="00A259BD">
        <w:rPr>
          <w:rFonts w:ascii="Times New Roman" w:hAnsi="Times New Roman"/>
          <w:color w:val="000000" w:themeColor="text1"/>
          <w:sz w:val="16"/>
          <w:szCs w:val="16"/>
        </w:rPr>
        <w:t xml:space="preserve"> шасси (колёсном, поплавковом или лыжным). Существовало 7 различных вариантов самолёта, отличавшихся в основном двигателями. В версии A50ba оснащался мотором </w:t>
      </w:r>
      <w:proofErr w:type="spellStart"/>
      <w:r w:rsidRPr="00A259BD">
        <w:rPr>
          <w:rFonts w:ascii="Times New Roman" w:hAnsi="Times New Roman"/>
          <w:color w:val="000000" w:themeColor="text1"/>
          <w:sz w:val="16"/>
          <w:szCs w:val="16"/>
        </w:rPr>
        <w:t>Armstrong</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Siddeley</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Genet</w:t>
      </w:r>
      <w:proofErr w:type="spellEnd"/>
      <w:r w:rsidRPr="00A259BD">
        <w:rPr>
          <w:rFonts w:ascii="Times New Roman" w:hAnsi="Times New Roman"/>
          <w:color w:val="000000" w:themeColor="text1"/>
          <w:sz w:val="16"/>
          <w:szCs w:val="16"/>
        </w:rPr>
        <w:t xml:space="preserve"> II (87 л.с.) Максимальная скорость — 164 км/ч, дальность полёта — 600 км.</w:t>
      </w:r>
    </w:p>
    <w:p w14:paraId="6CDBB50C" w14:textId="77777777" w:rsidR="00825262" w:rsidRPr="00A259BD" w:rsidRDefault="00825262"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lastRenderedPageBreak/>
        <w:t>Junkers</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Flugzeugwerke</w:t>
      </w:r>
      <w:proofErr w:type="spellEnd"/>
      <w:r w:rsidRPr="00A259BD">
        <w:rPr>
          <w:rFonts w:ascii="Times New Roman" w:hAnsi="Times New Roman"/>
          <w:color w:val="000000" w:themeColor="text1"/>
          <w:sz w:val="16"/>
          <w:szCs w:val="16"/>
        </w:rPr>
        <w:t xml:space="preserve"> планировала выпустить 5000 самолётов A 50 Junior, но построили лишь 69 единиц. Причина — высокая цена. Основная масса выпущенных самолётов была куплена частными владельцами из Германии, Австралии, Финляндии, Бразилии и других стран мира (22300).</w:t>
      </w:r>
    </w:p>
    <w:p w14:paraId="43BD80D3" w14:textId="77777777" w:rsidR="00825262" w:rsidRPr="00A259BD" w:rsidRDefault="00825262" w:rsidP="009236E3">
      <w:pPr>
        <w:spacing w:after="0" w:line="240" w:lineRule="auto"/>
        <w:jc w:val="both"/>
        <w:rPr>
          <w:rFonts w:ascii="Times New Roman" w:hAnsi="Times New Roman"/>
          <w:color w:val="000000" w:themeColor="text1"/>
          <w:sz w:val="16"/>
          <w:szCs w:val="16"/>
        </w:rPr>
      </w:pPr>
    </w:p>
    <w:p w14:paraId="48EE8C9D" w14:textId="77777777" w:rsidR="000D2278" w:rsidRPr="00A259BD" w:rsidRDefault="000D2278"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13 февраля</w:t>
      </w:r>
      <w:r w:rsidRPr="00A259BD">
        <w:rPr>
          <w:rFonts w:ascii="Times New Roman" w:hAnsi="Times New Roman"/>
          <w:color w:val="000000" w:themeColor="text1"/>
          <w:sz w:val="16"/>
          <w:szCs w:val="16"/>
        </w:rPr>
        <w:t xml:space="preserve"> в 1929 году английский микробиолог Александер Флеминг (1881-1955) сделал в Медицинском клубе первое сообщение об открытом им пенициллине (15039).</w:t>
      </w:r>
    </w:p>
    <w:p w14:paraId="02954E56" w14:textId="77777777" w:rsidR="000D2278" w:rsidRPr="00A259BD" w:rsidRDefault="000D2278" w:rsidP="009236E3">
      <w:pPr>
        <w:spacing w:after="0" w:line="240" w:lineRule="auto"/>
        <w:jc w:val="both"/>
        <w:rPr>
          <w:rFonts w:ascii="Times New Roman" w:hAnsi="Times New Roman"/>
          <w:color w:val="000000" w:themeColor="text1"/>
          <w:sz w:val="16"/>
          <w:szCs w:val="16"/>
        </w:rPr>
      </w:pPr>
    </w:p>
    <w:p w14:paraId="34EAF0E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429194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7BB82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февраля 1929 в НИИ ВВС были предъявлены первые два головных серийных И-3 БМВ-6 завода 1 с устраненными дефектами, выявленными в ходе гос. испытаний в НИИ ВВС с 14 марта по 1 апреля 1928. Опять выявили существенные дефекты (2371).</w:t>
      </w:r>
    </w:p>
    <w:p w14:paraId="5F7F9E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85F061" w14:textId="77777777" w:rsidR="00EE73C1" w:rsidRPr="00441F34" w:rsidRDefault="00EE73C1" w:rsidP="00EE73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14 февраля 1929 г. первые два головных серийных И-3 БМВ-6 выпуска завода №1 со всеми доработками, выполненными по заявлению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на них, поступили на контрольные испытания в НИИ ВВС, которые показали, что многое все еще не сделано и появились новые существенные дефекты (24887).</w:t>
      </w:r>
    </w:p>
    <w:p w14:paraId="03638598" w14:textId="77777777" w:rsidR="00EE73C1" w:rsidRPr="00441F34" w:rsidRDefault="00EE73C1" w:rsidP="00EE73C1">
      <w:pPr>
        <w:spacing w:after="0" w:line="240" w:lineRule="auto"/>
        <w:jc w:val="both"/>
        <w:rPr>
          <w:rFonts w:ascii="Times New Roman" w:hAnsi="Times New Roman"/>
          <w:color w:val="0070C0"/>
          <w:sz w:val="16"/>
          <w:szCs w:val="16"/>
        </w:rPr>
      </w:pPr>
    </w:p>
    <w:p w14:paraId="3DFDB2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февраля 1929 состоялось совещание по вопросу о выборе принципиальной схемы гидросамолетов, разрабатываемых КГ и </w:t>
      </w:r>
      <w:proofErr w:type="spellStart"/>
      <w:r w:rsidRPr="00A259BD">
        <w:rPr>
          <w:rFonts w:ascii="Times New Roman" w:hAnsi="Times New Roman"/>
          <w:color w:val="000000" w:themeColor="text1"/>
          <w:sz w:val="16"/>
          <w:szCs w:val="16"/>
        </w:rPr>
        <w:t>П.Ришара</w:t>
      </w:r>
      <w:proofErr w:type="spellEnd"/>
      <w:r w:rsidRPr="00A259BD">
        <w:rPr>
          <w:rFonts w:ascii="Times New Roman" w:hAnsi="Times New Roman"/>
          <w:color w:val="000000" w:themeColor="text1"/>
          <w:sz w:val="16"/>
          <w:szCs w:val="16"/>
        </w:rPr>
        <w:t>. Рассматривали ТОМ-1 и БОМ-1 и решили, что первый надо доработать, а по второму недостаточно данных (2363,8).</w:t>
      </w:r>
    </w:p>
    <w:p w14:paraId="48A30C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ПРОТОКОЛ</w:t>
      </w:r>
    </w:p>
    <w:p w14:paraId="321DF5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СОВЕЩАНИЯ ПО ВОПРОСУ О ВЫБОРЕ ПРИНЦИПИАЛЬНОЙ СХЕМЫ ГИДРОСАМОЛЕТОВ РАЗРАБАТЫВАЕМЫХ КОНСТРУКТОРСКОЙ ГРУППОЙ ИНЖ. РИШАРА</w:t>
      </w:r>
    </w:p>
    <w:p w14:paraId="425270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февраля 1929 г.</w:t>
      </w:r>
    </w:p>
    <w:p w14:paraId="6FB1983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ПРИСУТСТВОВАЛИ: Пом. Нач. ВВС - </w:t>
      </w:r>
      <w:proofErr w:type="spellStart"/>
      <w:r w:rsidRPr="00A259BD">
        <w:rPr>
          <w:rFonts w:ascii="Times New Roman" w:hAnsi="Times New Roman"/>
          <w:color w:val="000000" w:themeColor="text1"/>
          <w:sz w:val="16"/>
          <w:szCs w:val="16"/>
        </w:rPr>
        <w:t>С.А.Меженинов</w:t>
      </w:r>
      <w:proofErr w:type="spellEnd"/>
      <w:r w:rsidRPr="00A259BD">
        <w:rPr>
          <w:rFonts w:ascii="Times New Roman" w:hAnsi="Times New Roman"/>
          <w:color w:val="000000" w:themeColor="text1"/>
          <w:sz w:val="16"/>
          <w:szCs w:val="16"/>
        </w:rPr>
        <w:t>.</w:t>
      </w:r>
    </w:p>
    <w:p w14:paraId="0B2A448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 2-й Секции - </w:t>
      </w:r>
      <w:proofErr w:type="spellStart"/>
      <w:r w:rsidRPr="00A259BD">
        <w:rPr>
          <w:rFonts w:ascii="Times New Roman" w:hAnsi="Times New Roman"/>
          <w:color w:val="000000" w:themeColor="text1"/>
          <w:sz w:val="16"/>
          <w:szCs w:val="16"/>
        </w:rPr>
        <w:t>Е.В.Агокас</w:t>
      </w:r>
      <w:proofErr w:type="spellEnd"/>
    </w:p>
    <w:p w14:paraId="6F9416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Члены секции: - </w:t>
      </w:r>
      <w:proofErr w:type="spellStart"/>
      <w:r w:rsidRPr="00A259BD">
        <w:rPr>
          <w:rFonts w:ascii="Times New Roman" w:hAnsi="Times New Roman"/>
          <w:color w:val="000000" w:themeColor="text1"/>
          <w:sz w:val="16"/>
          <w:szCs w:val="16"/>
        </w:rPr>
        <w:t>А.З.Надашкевич</w:t>
      </w:r>
      <w:proofErr w:type="spellEnd"/>
      <w:r w:rsidRPr="00A259BD">
        <w:rPr>
          <w:rFonts w:ascii="Times New Roman" w:hAnsi="Times New Roman"/>
          <w:color w:val="000000" w:themeColor="text1"/>
          <w:sz w:val="16"/>
          <w:szCs w:val="16"/>
        </w:rPr>
        <w:t xml:space="preserve">, Н.М. Тулупов, </w:t>
      </w:r>
      <w:proofErr w:type="spellStart"/>
      <w:r w:rsidRPr="00A259BD">
        <w:rPr>
          <w:rFonts w:ascii="Times New Roman" w:hAnsi="Times New Roman"/>
          <w:color w:val="000000" w:themeColor="text1"/>
          <w:sz w:val="16"/>
          <w:szCs w:val="16"/>
        </w:rPr>
        <w:t>В.С.Коннэрт</w:t>
      </w:r>
      <w:proofErr w:type="spellEnd"/>
      <w:r w:rsidRPr="00A259BD">
        <w:rPr>
          <w:rFonts w:ascii="Times New Roman" w:hAnsi="Times New Roman"/>
          <w:color w:val="000000" w:themeColor="text1"/>
          <w:sz w:val="16"/>
          <w:szCs w:val="16"/>
        </w:rPr>
        <w:t>.</w:t>
      </w:r>
    </w:p>
    <w:p w14:paraId="1F36118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Н-к ВВС Черного Моря - </w:t>
      </w:r>
      <w:proofErr w:type="spellStart"/>
      <w:r w:rsidRPr="00A259BD">
        <w:rPr>
          <w:rFonts w:ascii="Times New Roman" w:hAnsi="Times New Roman"/>
          <w:color w:val="000000" w:themeColor="text1"/>
          <w:sz w:val="16"/>
          <w:szCs w:val="16"/>
        </w:rPr>
        <w:t>В.К.Лавров</w:t>
      </w:r>
      <w:proofErr w:type="spellEnd"/>
      <w:r w:rsidRPr="00A259BD">
        <w:rPr>
          <w:rFonts w:ascii="Times New Roman" w:hAnsi="Times New Roman"/>
          <w:color w:val="000000" w:themeColor="text1"/>
          <w:sz w:val="16"/>
          <w:szCs w:val="16"/>
        </w:rPr>
        <w:t>.</w:t>
      </w:r>
    </w:p>
    <w:p w14:paraId="784B7AD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Морлет</w:t>
      </w:r>
      <w:proofErr w:type="spellEnd"/>
      <w:r w:rsidRPr="00A259BD">
        <w:rPr>
          <w:rFonts w:ascii="Times New Roman" w:hAnsi="Times New Roman"/>
          <w:color w:val="000000" w:themeColor="text1"/>
          <w:sz w:val="16"/>
          <w:szCs w:val="16"/>
        </w:rPr>
        <w:t xml:space="preserve"> - </w:t>
      </w:r>
      <w:proofErr w:type="spellStart"/>
      <w:r w:rsidRPr="00A259BD">
        <w:rPr>
          <w:rFonts w:ascii="Times New Roman" w:hAnsi="Times New Roman"/>
          <w:color w:val="000000" w:themeColor="text1"/>
          <w:sz w:val="16"/>
          <w:szCs w:val="16"/>
        </w:rPr>
        <w:t>Рыбалчук</w:t>
      </w:r>
      <w:proofErr w:type="spellEnd"/>
      <w:r w:rsidRPr="00A259BD">
        <w:rPr>
          <w:rFonts w:ascii="Times New Roman" w:hAnsi="Times New Roman"/>
          <w:color w:val="000000" w:themeColor="text1"/>
          <w:sz w:val="16"/>
          <w:szCs w:val="16"/>
        </w:rPr>
        <w:t>.</w:t>
      </w:r>
    </w:p>
    <w:p w14:paraId="02B3EA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ПО САМОЛЕТУ ТОМ I</w:t>
      </w:r>
    </w:p>
    <w:p w14:paraId="4B377E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Рассматривая основным вариантом нагрузку в 8000 кг, совещание </w:t>
      </w:r>
      <w:proofErr w:type="spellStart"/>
      <w:r w:rsidRPr="00A259BD">
        <w:rPr>
          <w:rFonts w:ascii="Times New Roman" w:hAnsi="Times New Roman"/>
          <w:color w:val="000000" w:themeColor="text1"/>
          <w:sz w:val="16"/>
          <w:szCs w:val="16"/>
        </w:rPr>
        <w:t>исходяиз</w:t>
      </w:r>
      <w:proofErr w:type="spellEnd"/>
      <w:r w:rsidRPr="00A259BD">
        <w:rPr>
          <w:rFonts w:ascii="Times New Roman" w:hAnsi="Times New Roman"/>
          <w:color w:val="000000" w:themeColor="text1"/>
          <w:sz w:val="16"/>
          <w:szCs w:val="16"/>
        </w:rPr>
        <w:t xml:space="preserve"> предъявленной схемы считает обороноспособность самолета со стороны нижней полусферы слабой. Обслуживание верхних и нижних пулеметов задней кабины одним стрелком совещание считает неприемлемым. Обслуживание отдельными стрелками требует увеличение экипажа. Бомбардировочная кабина должна быть оборудована по образцу ТБ1, а кабина летчика переделана в целях увеличения обзора.</w:t>
      </w:r>
    </w:p>
    <w:p w14:paraId="2AF7EE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Просить Трест дополнительно представить расчет на прочность главных элементов и расчет мореходности самолета.</w:t>
      </w:r>
    </w:p>
    <w:p w14:paraId="0493516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2.ПО САМОЛЕТУ БОМ</w:t>
      </w:r>
    </w:p>
    <w:p w14:paraId="22A7A4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Просить Трест дополнительно представить расчеты аэродинамический, </w:t>
      </w:r>
      <w:proofErr w:type="spellStart"/>
      <w:r w:rsidRPr="00A259BD">
        <w:rPr>
          <w:rFonts w:ascii="Times New Roman" w:hAnsi="Times New Roman"/>
          <w:color w:val="000000" w:themeColor="text1"/>
          <w:sz w:val="16"/>
          <w:szCs w:val="16"/>
        </w:rPr>
        <w:t>гидродинамичаский</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устойчивостипути</w:t>
      </w:r>
      <w:proofErr w:type="spellEnd"/>
      <w:r w:rsidRPr="00A259BD">
        <w:rPr>
          <w:rFonts w:ascii="Times New Roman" w:hAnsi="Times New Roman"/>
          <w:color w:val="000000" w:themeColor="text1"/>
          <w:sz w:val="16"/>
          <w:szCs w:val="16"/>
        </w:rPr>
        <w:t xml:space="preserve"> при взлете (2363,8).</w:t>
      </w:r>
    </w:p>
    <w:p w14:paraId="146B37E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4B6490"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14 февраля</w:t>
      </w:r>
      <w:r w:rsidRPr="00A259BD">
        <w:rPr>
          <w:rFonts w:ascii="Times New Roman" w:hAnsi="Times New Roman"/>
          <w:color w:val="000000" w:themeColor="text1"/>
          <w:sz w:val="16"/>
          <w:szCs w:val="16"/>
        </w:rPr>
        <w:t xml:space="preserve"> в 1929 году совершен (14-16 февраля) первый полет по маршруту Москва - Пудож - Ленинград. Полет выполнил летчик Иван Васильевич Михеев (15040).</w:t>
      </w:r>
    </w:p>
    <w:p w14:paraId="175DE080" w14:textId="77777777" w:rsidR="00E21C05" w:rsidRPr="00A259BD" w:rsidRDefault="00E21C05" w:rsidP="009236E3">
      <w:pPr>
        <w:spacing w:after="0" w:line="240" w:lineRule="auto"/>
        <w:jc w:val="both"/>
        <w:rPr>
          <w:rFonts w:ascii="Times New Roman" w:hAnsi="Times New Roman"/>
          <w:color w:val="000000" w:themeColor="text1"/>
          <w:sz w:val="16"/>
          <w:szCs w:val="16"/>
        </w:rPr>
      </w:pPr>
    </w:p>
    <w:p w14:paraId="1A43F744" w14:textId="77777777" w:rsidR="000F0AC0" w:rsidRPr="006B74EB" w:rsidRDefault="000F0AC0" w:rsidP="000F0AC0">
      <w:pPr>
        <w:spacing w:after="0" w:line="240" w:lineRule="auto"/>
        <w:jc w:val="both"/>
        <w:rPr>
          <w:rFonts w:ascii="Times New Roman" w:hAnsi="Times New Roman"/>
          <w:color w:val="0070C0"/>
          <w:sz w:val="16"/>
          <w:szCs w:val="16"/>
        </w:rPr>
      </w:pPr>
      <w:r w:rsidRPr="00DF60D4">
        <w:rPr>
          <w:rFonts w:ascii="Times New Roman" w:hAnsi="Times New Roman"/>
          <w:color w:val="0070C0"/>
          <w:sz w:val="16"/>
          <w:szCs w:val="16"/>
        </w:rPr>
        <w:t>14</w:t>
      </w:r>
      <w:r w:rsidRPr="006B74EB">
        <w:rPr>
          <w:rFonts w:ascii="Times New Roman" w:hAnsi="Times New Roman"/>
          <w:color w:val="0070C0"/>
          <w:sz w:val="16"/>
          <w:szCs w:val="16"/>
        </w:rPr>
        <w:t xml:space="preserve"> февраля</w:t>
      </w:r>
      <w:r w:rsidRPr="00DF60D4">
        <w:rPr>
          <w:rFonts w:ascii="Times New Roman" w:hAnsi="Times New Roman"/>
          <w:color w:val="0070C0"/>
          <w:sz w:val="16"/>
          <w:szCs w:val="16"/>
        </w:rPr>
        <w:t xml:space="preserve"> 1929 </w:t>
      </w:r>
      <w:r>
        <w:rPr>
          <w:rFonts w:ascii="Times New Roman" w:hAnsi="Times New Roman"/>
          <w:color w:val="0070C0"/>
          <w:sz w:val="16"/>
          <w:szCs w:val="16"/>
        </w:rPr>
        <w:t>г</w:t>
      </w:r>
      <w:r w:rsidRPr="006B74EB">
        <w:rPr>
          <w:rFonts w:ascii="Times New Roman" w:hAnsi="Times New Roman"/>
          <w:color w:val="0070C0"/>
          <w:sz w:val="16"/>
          <w:szCs w:val="16"/>
        </w:rPr>
        <w:t>. Военно-научная комиссия РВС, обследовав научно-тех</w:t>
      </w:r>
      <w:r>
        <w:rPr>
          <w:rFonts w:ascii="Times New Roman" w:hAnsi="Times New Roman"/>
          <w:color w:val="0070C0"/>
          <w:sz w:val="16"/>
          <w:szCs w:val="16"/>
        </w:rPr>
        <w:t>н</w:t>
      </w:r>
      <w:r w:rsidRPr="006B74EB">
        <w:rPr>
          <w:rFonts w:ascii="Times New Roman" w:hAnsi="Times New Roman"/>
          <w:color w:val="0070C0"/>
          <w:sz w:val="16"/>
          <w:szCs w:val="16"/>
        </w:rPr>
        <w:t>и</w:t>
      </w:r>
      <w:r>
        <w:rPr>
          <w:rFonts w:ascii="Times New Roman" w:hAnsi="Times New Roman"/>
          <w:color w:val="0070C0"/>
          <w:sz w:val="16"/>
          <w:szCs w:val="16"/>
        </w:rPr>
        <w:t>ческую</w:t>
      </w:r>
      <w:r w:rsidRPr="006B74EB">
        <w:rPr>
          <w:rFonts w:ascii="Times New Roman" w:hAnsi="Times New Roman"/>
          <w:color w:val="0070C0"/>
          <w:sz w:val="16"/>
          <w:szCs w:val="16"/>
        </w:rPr>
        <w:t xml:space="preserve"> деятельность ВВС,</w:t>
      </w:r>
      <w:r>
        <w:rPr>
          <w:rFonts w:ascii="Times New Roman" w:hAnsi="Times New Roman"/>
          <w:color w:val="0070C0"/>
          <w:sz w:val="16"/>
          <w:szCs w:val="16"/>
        </w:rPr>
        <w:t xml:space="preserve"> </w:t>
      </w:r>
      <w:r w:rsidRPr="006B74EB">
        <w:rPr>
          <w:rFonts w:ascii="Times New Roman" w:hAnsi="Times New Roman"/>
          <w:color w:val="0070C0"/>
          <w:sz w:val="16"/>
          <w:szCs w:val="16"/>
        </w:rPr>
        <w:t>констатировала,</w:t>
      </w:r>
      <w:r>
        <w:rPr>
          <w:rFonts w:ascii="Times New Roman" w:hAnsi="Times New Roman"/>
          <w:color w:val="0070C0"/>
          <w:sz w:val="16"/>
          <w:szCs w:val="16"/>
        </w:rPr>
        <w:t xml:space="preserve"> </w:t>
      </w:r>
      <w:r w:rsidRPr="006B74EB">
        <w:rPr>
          <w:rFonts w:ascii="Times New Roman" w:hAnsi="Times New Roman"/>
          <w:color w:val="0070C0"/>
          <w:sz w:val="16"/>
          <w:szCs w:val="16"/>
        </w:rPr>
        <w:t>что опытное моторострое</w:t>
      </w:r>
      <w:r>
        <w:rPr>
          <w:rFonts w:ascii="Times New Roman" w:hAnsi="Times New Roman"/>
          <w:color w:val="0070C0"/>
          <w:sz w:val="16"/>
          <w:szCs w:val="16"/>
        </w:rPr>
        <w:t>ние нахо</w:t>
      </w:r>
      <w:r w:rsidRPr="006B74EB">
        <w:rPr>
          <w:rFonts w:ascii="Times New Roman" w:hAnsi="Times New Roman"/>
          <w:color w:val="0070C0"/>
          <w:sz w:val="16"/>
          <w:szCs w:val="16"/>
        </w:rPr>
        <w:t>д</w:t>
      </w:r>
      <w:r>
        <w:rPr>
          <w:rFonts w:ascii="Times New Roman" w:hAnsi="Times New Roman"/>
          <w:color w:val="0070C0"/>
          <w:sz w:val="16"/>
          <w:szCs w:val="16"/>
        </w:rPr>
        <w:t>и</w:t>
      </w:r>
      <w:r w:rsidRPr="006B74EB">
        <w:rPr>
          <w:rFonts w:ascii="Times New Roman" w:hAnsi="Times New Roman"/>
          <w:color w:val="0070C0"/>
          <w:sz w:val="16"/>
          <w:szCs w:val="16"/>
        </w:rPr>
        <w:t>тся в крайне тяжелом полож</w:t>
      </w:r>
      <w:r>
        <w:rPr>
          <w:rFonts w:ascii="Times New Roman" w:hAnsi="Times New Roman"/>
          <w:color w:val="0070C0"/>
          <w:sz w:val="16"/>
          <w:szCs w:val="16"/>
        </w:rPr>
        <w:t>е</w:t>
      </w:r>
      <w:r w:rsidRPr="006B74EB">
        <w:rPr>
          <w:rFonts w:ascii="Times New Roman" w:hAnsi="Times New Roman"/>
          <w:color w:val="0070C0"/>
          <w:sz w:val="16"/>
          <w:szCs w:val="16"/>
        </w:rPr>
        <w:t>нии.</w:t>
      </w:r>
      <w:r>
        <w:rPr>
          <w:rFonts w:ascii="Times New Roman" w:hAnsi="Times New Roman"/>
          <w:color w:val="0070C0"/>
          <w:sz w:val="16"/>
          <w:szCs w:val="16"/>
        </w:rPr>
        <w:t xml:space="preserve"> Д</w:t>
      </w:r>
      <w:r w:rsidRPr="006B74EB">
        <w:rPr>
          <w:rFonts w:ascii="Times New Roman" w:hAnsi="Times New Roman"/>
          <w:color w:val="0070C0"/>
          <w:sz w:val="16"/>
          <w:szCs w:val="16"/>
        </w:rPr>
        <w:t xml:space="preserve">о </w:t>
      </w:r>
      <w:r>
        <w:rPr>
          <w:rFonts w:ascii="Times New Roman" w:hAnsi="Times New Roman"/>
          <w:color w:val="0070C0"/>
          <w:sz w:val="16"/>
          <w:szCs w:val="16"/>
        </w:rPr>
        <w:t>с</w:t>
      </w:r>
      <w:r w:rsidRPr="006B74EB">
        <w:rPr>
          <w:rFonts w:ascii="Times New Roman" w:hAnsi="Times New Roman"/>
          <w:color w:val="0070C0"/>
          <w:sz w:val="16"/>
          <w:szCs w:val="16"/>
        </w:rPr>
        <w:t xml:space="preserve">его времени </w:t>
      </w:r>
      <w:r>
        <w:rPr>
          <w:rFonts w:ascii="Times New Roman" w:hAnsi="Times New Roman"/>
          <w:color w:val="0070C0"/>
          <w:sz w:val="16"/>
          <w:szCs w:val="16"/>
        </w:rPr>
        <w:t>–</w:t>
      </w:r>
      <w:r w:rsidRPr="006B74EB">
        <w:rPr>
          <w:rFonts w:ascii="Times New Roman" w:hAnsi="Times New Roman"/>
          <w:color w:val="0070C0"/>
          <w:sz w:val="16"/>
          <w:szCs w:val="16"/>
        </w:rPr>
        <w:t xml:space="preserve"> гово</w:t>
      </w:r>
      <w:r>
        <w:rPr>
          <w:rFonts w:ascii="Times New Roman" w:hAnsi="Times New Roman"/>
          <w:color w:val="0070C0"/>
          <w:sz w:val="16"/>
          <w:szCs w:val="16"/>
        </w:rPr>
        <w:t>рилось в</w:t>
      </w:r>
      <w:r w:rsidRPr="006B74EB">
        <w:rPr>
          <w:rFonts w:ascii="Times New Roman" w:hAnsi="Times New Roman"/>
          <w:color w:val="0070C0"/>
          <w:sz w:val="16"/>
          <w:szCs w:val="16"/>
        </w:rPr>
        <w:t xml:space="preserve"> докладе комиссии - мы не тол</w:t>
      </w:r>
      <w:r>
        <w:rPr>
          <w:rFonts w:ascii="Times New Roman" w:hAnsi="Times New Roman"/>
          <w:color w:val="0070C0"/>
          <w:sz w:val="16"/>
          <w:szCs w:val="16"/>
        </w:rPr>
        <w:t>ько</w:t>
      </w:r>
      <w:r w:rsidRPr="006B74EB">
        <w:rPr>
          <w:rFonts w:ascii="Times New Roman" w:hAnsi="Times New Roman"/>
          <w:color w:val="0070C0"/>
          <w:sz w:val="16"/>
          <w:szCs w:val="16"/>
        </w:rPr>
        <w:t xml:space="preserve"> не имеем </w:t>
      </w:r>
      <w:r>
        <w:rPr>
          <w:rFonts w:ascii="Times New Roman" w:hAnsi="Times New Roman"/>
          <w:color w:val="0070C0"/>
          <w:sz w:val="16"/>
          <w:szCs w:val="16"/>
        </w:rPr>
        <w:t>н</w:t>
      </w:r>
      <w:r w:rsidRPr="006B74EB">
        <w:rPr>
          <w:rFonts w:ascii="Times New Roman" w:hAnsi="Times New Roman"/>
          <w:color w:val="0070C0"/>
          <w:sz w:val="16"/>
          <w:szCs w:val="16"/>
        </w:rPr>
        <w:t>и одной собствен</w:t>
      </w:r>
      <w:r>
        <w:rPr>
          <w:rFonts w:ascii="Times New Roman" w:hAnsi="Times New Roman"/>
          <w:color w:val="0070C0"/>
          <w:sz w:val="16"/>
          <w:szCs w:val="16"/>
        </w:rPr>
        <w:t>ной ориги</w:t>
      </w:r>
      <w:r w:rsidRPr="006B74EB">
        <w:rPr>
          <w:rFonts w:ascii="Times New Roman" w:hAnsi="Times New Roman"/>
          <w:color w:val="0070C0"/>
          <w:sz w:val="16"/>
          <w:szCs w:val="16"/>
        </w:rPr>
        <w:t>нальной конструкции мотора для боевых самолетов,</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но н </w:t>
      </w:r>
      <w:r>
        <w:rPr>
          <w:rFonts w:ascii="Times New Roman" w:hAnsi="Times New Roman"/>
          <w:color w:val="0070C0"/>
          <w:sz w:val="16"/>
          <w:szCs w:val="16"/>
        </w:rPr>
        <w:t xml:space="preserve">слабо </w:t>
      </w:r>
      <w:r w:rsidRPr="006B74EB">
        <w:rPr>
          <w:rFonts w:ascii="Times New Roman" w:hAnsi="Times New Roman"/>
          <w:color w:val="0070C0"/>
          <w:sz w:val="16"/>
          <w:szCs w:val="16"/>
        </w:rPr>
        <w:t>с</w:t>
      </w:r>
      <w:r>
        <w:rPr>
          <w:rFonts w:ascii="Times New Roman" w:hAnsi="Times New Roman"/>
          <w:color w:val="0070C0"/>
          <w:sz w:val="16"/>
          <w:szCs w:val="16"/>
        </w:rPr>
        <w:t>правляемся</w:t>
      </w:r>
      <w:r w:rsidRPr="006B74EB">
        <w:rPr>
          <w:rFonts w:ascii="Times New Roman" w:hAnsi="Times New Roman"/>
          <w:color w:val="0070C0"/>
          <w:sz w:val="16"/>
          <w:szCs w:val="16"/>
        </w:rPr>
        <w:t xml:space="preserve"> </w:t>
      </w:r>
      <w:r>
        <w:rPr>
          <w:rFonts w:ascii="Times New Roman" w:hAnsi="Times New Roman"/>
          <w:color w:val="0070C0"/>
          <w:sz w:val="16"/>
          <w:szCs w:val="16"/>
        </w:rPr>
        <w:t>с</w:t>
      </w:r>
      <w:r w:rsidRPr="006B74EB">
        <w:rPr>
          <w:rFonts w:ascii="Times New Roman" w:hAnsi="Times New Roman"/>
          <w:color w:val="0070C0"/>
          <w:sz w:val="16"/>
          <w:szCs w:val="16"/>
        </w:rPr>
        <w:t xml:space="preserve"> воспроизводством /копированием/ заграничных мото</w:t>
      </w:r>
      <w:r>
        <w:rPr>
          <w:rFonts w:ascii="Times New Roman" w:hAnsi="Times New Roman"/>
          <w:color w:val="0070C0"/>
          <w:sz w:val="16"/>
          <w:szCs w:val="16"/>
        </w:rPr>
        <w:t>ров. Причи</w:t>
      </w:r>
      <w:r w:rsidRPr="006B74EB">
        <w:rPr>
          <w:rFonts w:ascii="Times New Roman" w:hAnsi="Times New Roman"/>
          <w:color w:val="0070C0"/>
          <w:sz w:val="16"/>
          <w:szCs w:val="16"/>
        </w:rPr>
        <w:t>ны столь тяжелого положения комиссия находит в:</w:t>
      </w:r>
      <w:r>
        <w:rPr>
          <w:rFonts w:ascii="Times New Roman" w:hAnsi="Times New Roman"/>
          <w:color w:val="0070C0"/>
          <w:sz w:val="16"/>
          <w:szCs w:val="16"/>
        </w:rPr>
        <w:t xml:space="preserve"> </w:t>
      </w:r>
      <w:r w:rsidRPr="006B74EB">
        <w:rPr>
          <w:rFonts w:ascii="Times New Roman" w:hAnsi="Times New Roman"/>
          <w:color w:val="0070C0"/>
          <w:sz w:val="16"/>
          <w:szCs w:val="16"/>
        </w:rPr>
        <w:t>а/ недо</w:t>
      </w:r>
      <w:r>
        <w:rPr>
          <w:rFonts w:ascii="Times New Roman" w:hAnsi="Times New Roman"/>
          <w:color w:val="0070C0"/>
          <w:sz w:val="16"/>
          <w:szCs w:val="16"/>
        </w:rPr>
        <w:t xml:space="preserve">статке </w:t>
      </w:r>
      <w:r w:rsidRPr="006B74EB">
        <w:rPr>
          <w:rFonts w:ascii="Times New Roman" w:hAnsi="Times New Roman"/>
          <w:color w:val="0070C0"/>
          <w:sz w:val="16"/>
          <w:szCs w:val="16"/>
        </w:rPr>
        <w:t>в</w:t>
      </w:r>
      <w:r>
        <w:rPr>
          <w:rFonts w:ascii="Times New Roman" w:hAnsi="Times New Roman"/>
          <w:color w:val="0070C0"/>
          <w:sz w:val="16"/>
          <w:szCs w:val="16"/>
        </w:rPr>
        <w:t>ни</w:t>
      </w:r>
      <w:r w:rsidRPr="006B74EB">
        <w:rPr>
          <w:rFonts w:ascii="Times New Roman" w:hAnsi="Times New Roman"/>
          <w:color w:val="0070C0"/>
          <w:sz w:val="16"/>
          <w:szCs w:val="16"/>
        </w:rPr>
        <w:t xml:space="preserve">мания со стороны </w:t>
      </w:r>
      <w:proofErr w:type="spellStart"/>
      <w:r w:rsidRPr="006B74EB">
        <w:rPr>
          <w:rFonts w:ascii="Times New Roman" w:hAnsi="Times New Roman"/>
          <w:color w:val="0070C0"/>
          <w:sz w:val="16"/>
          <w:szCs w:val="16"/>
        </w:rPr>
        <w:t>Авнатреста</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ВСН</w:t>
      </w:r>
      <w:r w:rsidRPr="006B74EB">
        <w:rPr>
          <w:rFonts w:ascii="Times New Roman" w:hAnsi="Times New Roman"/>
          <w:color w:val="0070C0"/>
          <w:sz w:val="16"/>
          <w:szCs w:val="16"/>
        </w:rPr>
        <w:t>Х,</w:t>
      </w:r>
      <w:r>
        <w:rPr>
          <w:rFonts w:ascii="Times New Roman" w:hAnsi="Times New Roman"/>
          <w:color w:val="0070C0"/>
          <w:sz w:val="16"/>
          <w:szCs w:val="16"/>
        </w:rPr>
        <w:t xml:space="preserve"> </w:t>
      </w:r>
      <w:r w:rsidRPr="006B74EB">
        <w:rPr>
          <w:rFonts w:ascii="Times New Roman" w:hAnsi="Times New Roman"/>
          <w:color w:val="0070C0"/>
          <w:sz w:val="16"/>
          <w:szCs w:val="16"/>
        </w:rPr>
        <w:t>ВВС;</w:t>
      </w:r>
      <w:r>
        <w:rPr>
          <w:rFonts w:ascii="Times New Roman" w:hAnsi="Times New Roman"/>
          <w:color w:val="0070C0"/>
          <w:sz w:val="16"/>
          <w:szCs w:val="16"/>
        </w:rPr>
        <w:t xml:space="preserve"> </w:t>
      </w:r>
      <w:r w:rsidRPr="006B74EB">
        <w:rPr>
          <w:rFonts w:ascii="Times New Roman" w:hAnsi="Times New Roman"/>
          <w:color w:val="0070C0"/>
          <w:sz w:val="16"/>
          <w:szCs w:val="16"/>
        </w:rPr>
        <w:t>б/ недостатке вы</w:t>
      </w:r>
      <w:r>
        <w:rPr>
          <w:rFonts w:ascii="Times New Roman" w:hAnsi="Times New Roman"/>
          <w:color w:val="0070C0"/>
          <w:sz w:val="16"/>
          <w:szCs w:val="16"/>
        </w:rPr>
        <w:t>пуска высокосортных</w:t>
      </w:r>
      <w:r w:rsidRPr="006B74EB">
        <w:rPr>
          <w:rFonts w:ascii="Times New Roman" w:hAnsi="Times New Roman"/>
          <w:color w:val="0070C0"/>
          <w:sz w:val="16"/>
          <w:szCs w:val="16"/>
        </w:rPr>
        <w:t xml:space="preserve"> металлов;</w:t>
      </w:r>
      <w:r>
        <w:rPr>
          <w:rFonts w:ascii="Times New Roman" w:hAnsi="Times New Roman"/>
          <w:color w:val="0070C0"/>
          <w:sz w:val="16"/>
          <w:szCs w:val="16"/>
        </w:rPr>
        <w:t xml:space="preserve"> </w:t>
      </w:r>
      <w:r w:rsidRPr="006B74EB">
        <w:rPr>
          <w:rFonts w:ascii="Times New Roman" w:hAnsi="Times New Roman"/>
          <w:color w:val="0070C0"/>
          <w:sz w:val="16"/>
          <w:szCs w:val="16"/>
        </w:rPr>
        <w:t>в/ малочисленности и разбросанности конструк</w:t>
      </w:r>
      <w:r>
        <w:rPr>
          <w:rFonts w:ascii="Times New Roman" w:hAnsi="Times New Roman"/>
          <w:color w:val="0070C0"/>
          <w:sz w:val="16"/>
          <w:szCs w:val="16"/>
        </w:rPr>
        <w:t xml:space="preserve">торских бюро; </w:t>
      </w:r>
      <w:r w:rsidRPr="006B74EB">
        <w:rPr>
          <w:rFonts w:ascii="Times New Roman" w:hAnsi="Times New Roman"/>
          <w:color w:val="0070C0"/>
          <w:sz w:val="16"/>
          <w:szCs w:val="16"/>
        </w:rPr>
        <w:t xml:space="preserve">г/ нездоровых отношениях между </w:t>
      </w:r>
      <w:proofErr w:type="spellStart"/>
      <w:r w:rsidRPr="006B74EB">
        <w:rPr>
          <w:rFonts w:ascii="Times New Roman" w:hAnsi="Times New Roman"/>
          <w:color w:val="0070C0"/>
          <w:sz w:val="16"/>
          <w:szCs w:val="16"/>
        </w:rPr>
        <w:t>Авиатрестом</w:t>
      </w:r>
      <w:proofErr w:type="spellEnd"/>
      <w:r w:rsidRPr="006B74EB">
        <w:rPr>
          <w:rFonts w:ascii="Times New Roman" w:hAnsi="Times New Roman"/>
          <w:color w:val="0070C0"/>
          <w:sz w:val="16"/>
          <w:szCs w:val="16"/>
        </w:rPr>
        <w:t xml:space="preserve"> и НТК ВВС.</w:t>
      </w:r>
    </w:p>
    <w:p w14:paraId="3C71BE33" w14:textId="77777777" w:rsidR="000F0AC0" w:rsidRDefault="000F0AC0" w:rsidP="000F0AC0">
      <w:pPr>
        <w:spacing w:after="0" w:line="240" w:lineRule="auto"/>
        <w:jc w:val="both"/>
        <w:rPr>
          <w:rFonts w:ascii="Times New Roman" w:hAnsi="Times New Roman"/>
          <w:color w:val="0070C0"/>
          <w:sz w:val="16"/>
          <w:szCs w:val="16"/>
        </w:rPr>
      </w:pPr>
      <w:r>
        <w:rPr>
          <w:rFonts w:ascii="Times New Roman" w:hAnsi="Times New Roman"/>
          <w:color w:val="0070C0"/>
          <w:sz w:val="16"/>
          <w:szCs w:val="16"/>
        </w:rPr>
        <w:t>/ЦГАСА</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ф.</w:t>
      </w:r>
      <w:r>
        <w:rPr>
          <w:rFonts w:ascii="Times New Roman" w:hAnsi="Times New Roman"/>
          <w:color w:val="0070C0"/>
          <w:sz w:val="16"/>
          <w:szCs w:val="16"/>
        </w:rPr>
        <w:t xml:space="preserve"> </w:t>
      </w:r>
      <w:r w:rsidRPr="006B74EB">
        <w:rPr>
          <w:rFonts w:ascii="Times New Roman" w:hAnsi="Times New Roman"/>
          <w:color w:val="0070C0"/>
          <w:sz w:val="16"/>
          <w:szCs w:val="16"/>
        </w:rPr>
        <w:t>4,</w:t>
      </w:r>
      <w:r>
        <w:rPr>
          <w:rFonts w:ascii="Times New Roman" w:hAnsi="Times New Roman"/>
          <w:color w:val="0070C0"/>
          <w:sz w:val="16"/>
          <w:szCs w:val="16"/>
        </w:rPr>
        <w:t xml:space="preserve"> оп</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2,</w:t>
      </w:r>
      <w:r>
        <w:rPr>
          <w:rFonts w:ascii="Times New Roman" w:hAnsi="Times New Roman"/>
          <w:color w:val="0070C0"/>
          <w:sz w:val="16"/>
          <w:szCs w:val="16"/>
        </w:rPr>
        <w:t xml:space="preserve"> д</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398, </w:t>
      </w:r>
      <w:r>
        <w:rPr>
          <w:rFonts w:ascii="Times New Roman" w:hAnsi="Times New Roman"/>
          <w:color w:val="0070C0"/>
          <w:sz w:val="16"/>
          <w:szCs w:val="16"/>
        </w:rPr>
        <w:t>д</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60/</w:t>
      </w:r>
      <w:r>
        <w:rPr>
          <w:rFonts w:ascii="Times New Roman" w:hAnsi="Times New Roman"/>
          <w:color w:val="0070C0"/>
          <w:sz w:val="16"/>
          <w:szCs w:val="16"/>
        </w:rPr>
        <w:t xml:space="preserve"> (23370).</w:t>
      </w:r>
    </w:p>
    <w:p w14:paraId="729A83D7" w14:textId="77777777" w:rsidR="000F0AC0" w:rsidRPr="006B74EB" w:rsidRDefault="000F0AC0" w:rsidP="000F0AC0">
      <w:pPr>
        <w:spacing w:after="0" w:line="240" w:lineRule="auto"/>
        <w:jc w:val="both"/>
        <w:rPr>
          <w:rFonts w:ascii="Times New Roman" w:hAnsi="Times New Roman"/>
          <w:color w:val="0070C0"/>
          <w:sz w:val="16"/>
          <w:szCs w:val="16"/>
        </w:rPr>
      </w:pPr>
    </w:p>
    <w:p w14:paraId="077A4F77" w14:textId="77777777" w:rsidR="00F547C5" w:rsidRPr="00A259BD" w:rsidRDefault="00EA483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7A474E3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C9060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февраля 1929 года карточная система на хлеб стала всесоюзной. Политбюро утвердило проект постановления, внесенный </w:t>
      </w:r>
      <w:proofErr w:type="spellStart"/>
      <w:r w:rsidRPr="00A259BD">
        <w:rPr>
          <w:rFonts w:ascii="Times New Roman" w:hAnsi="Times New Roman"/>
          <w:color w:val="000000" w:themeColor="text1"/>
          <w:sz w:val="16"/>
          <w:szCs w:val="16"/>
        </w:rPr>
        <w:t>Наркомторгом</w:t>
      </w:r>
      <w:proofErr w:type="spellEnd"/>
      <w:r w:rsidRPr="00A259BD">
        <w:rPr>
          <w:rFonts w:ascii="Times New Roman" w:hAnsi="Times New Roman"/>
          <w:color w:val="000000" w:themeColor="text1"/>
          <w:sz w:val="16"/>
          <w:szCs w:val="16"/>
        </w:rPr>
        <w:t>, в соответствии с которым по всей потребляющей полосе Российской Федерации, Закавказья, Белоруссии и Украины хлеб населению должен был отпускаться по специальным заборным книжкам. Книжки получало только трудовое население городов. Постановлением был установлен предельный размер хлебного пайка. В Москве и Ленинграде для рабочих и служащих фабрично-заводских предприятий он составлял 900 граммов печеного хлеба в день; для членов семей рабочих, а также для служащих и членов их семей, безработных и прочего трудового населения — 500 граммов. В остальных промышленных центрах и фабрично-заводских поселках — соответственно 600 и 300 граммов. Карточки должны были быть введены не позже 1 марта 1929 года. Постановление повторило более ранее решение Политбюро о сохранении свободной продажи хлеба без карточек приезжему населению, но только из того, что оставалось после обеспечения основных потребителей и по двойной цене. В 1928/29 году в регионах в дополнение к хлебным карточкам стали стихийно распространяться нормирование и карточки на другие продукты: масло, мясо, сахар, крупу и прочее. Открытая продажа непродовольственных товаров в магазинах также постепенно сворачивалась из-за огромных очередей и эксцессов. Вместо этого вводилось их распределение на предприятиях и организациях по талонам и ордерам. Как и в случае с хлебом, нормирование и карточки на другие продукты и непродовольственные товары вначале “оформлялись” снизу решениями торгующих организаций и санкциями местной власти. Официальное признание карточной системы Центром растянулось во времени. Только в начале 1931 года, когда массовый голод стал реальной перспективой и карточки уже фактически существовали по всей стране, Наркомат снабжения по заданию Политбюро разработал единые принципы карточного снабжения основными продуктами и непродовольственными товарами для всей страны. Продовольственный кризис и введение в 1931 году всесоюзной карточной системы представляли закономерный результат отмирания частного предпринимательства в городе и насильственного обобществления крестьянских хозяйств. Процесс форсированной индустриализации и огосударствления экономики был на полном ходу, но население балансировало на пороге массового голода (11528).</w:t>
      </w:r>
    </w:p>
    <w:p w14:paraId="69D23A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2662C98"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февраля 1929 г. государство ввело всесоюзную карточную систему на хлебопродукты. Хлеб должен был продаваться по специальным заборным книжкам. Постепенно карточки стали распространяться на масло, мясо, сахар, крупу и т.д. Открытая продажа непродовольственных товаров также сворачивалась из-за громадных очередей. Было введено их нормированное распределение по талонам и ордерам.</w:t>
      </w:r>
    </w:p>
    <w:p w14:paraId="24C983F5"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карточной системы, которая мыслилась руководством как наиболее практичный способ производства и распределения потребительских товаров, обеспечивающий плановые расчеты капиталовложений в производство основных товаров и контроль за покупательной способностью населения.</w:t>
      </w:r>
    </w:p>
    <w:p w14:paraId="61D82572"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введении карточной системы был учтен опыт военного коммунизма. Нормы карточного снабжения стали более дифференцированными и устанавливались исходя из вклада в трудовой процесс или трудовой активности. Распределение осуществлялось по категориям и товары продавались по установленным низким ценам, а все их излишки реализовывались через «коммерческую торговлю» (21332).</w:t>
      </w:r>
    </w:p>
    <w:p w14:paraId="3C217648" w14:textId="77777777" w:rsidR="00825262" w:rsidRPr="00A259BD" w:rsidRDefault="00825262" w:rsidP="009236E3">
      <w:pPr>
        <w:spacing w:after="0" w:line="240" w:lineRule="auto"/>
        <w:jc w:val="both"/>
        <w:rPr>
          <w:rFonts w:ascii="Times New Roman" w:hAnsi="Times New Roman"/>
          <w:color w:val="000000" w:themeColor="text1"/>
          <w:sz w:val="16"/>
          <w:szCs w:val="16"/>
        </w:rPr>
      </w:pPr>
    </w:p>
    <w:p w14:paraId="410A1017"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A18168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2405A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февраля 1929 в гараже Чикаго в ходе перестрелки было убито семь гангстеров (“резня святого Валентина”) (4962).</w:t>
      </w:r>
    </w:p>
    <w:p w14:paraId="05FA2A7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3B092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8DB817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802EA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февраля 1929 состоялось совещание НТС ГВПУ ВСНХ СССР у Чл. Коллегии ГВПУ Корзун по вопросу о самолетах сварочной конструкции. Присутствовали от НТК УВВС Тулупов, от ЦАГИ - А.Н.Т., от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Н.Н.П. Обсуждали целесообразность получения техпомощи из Германии от фирмы Хейнкель, которая предложила закупить партию самолетов сварной конструкции. ГВПУ поддерживало, Н.Н.П. говорил, что хотя в СССР даже углеродистых труб нет - все равно перспективно (2365,134).</w:t>
      </w:r>
    </w:p>
    <w:p w14:paraId="62E75D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F695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февраля 1929 завод 25 направил в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с письмом N 458ск переработанный пятилетний план опытного строительства. В этом плане завод постарался заполнить брешь в работе 4 кв. постройкой Р-5 М-18, самолета У-2 на поплавках, легкого разведчика и самолета для опыления вредителей. Потом давал еще один пересмотренный в марте (2365).</w:t>
      </w:r>
    </w:p>
    <w:p w14:paraId="6ECC77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Выделили 5 групп</w:t>
      </w:r>
    </w:p>
    <w:p w14:paraId="350714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 группа - объединяет самолеты завода 25, уже поступившие в серийное производство, но нуждающиеся в дальнейшей модернизации, как в смысле переделок самолета, так и установки более мощных моторов русского производства...</w:t>
      </w:r>
    </w:p>
    <w:p w14:paraId="6BBBE5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Р-5 - установка отечественного мотора и введение модификаций конструкции</w:t>
      </w:r>
    </w:p>
    <w:p w14:paraId="224E18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И-3 - постройка под русский мотор или М-17Z с учетом пожеланий строевых частей...</w:t>
      </w:r>
    </w:p>
    <w:p w14:paraId="29037B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ТБ-2 - постройка 2-го </w:t>
      </w:r>
      <w:proofErr w:type="spellStart"/>
      <w:r w:rsidRPr="00A259BD">
        <w:rPr>
          <w:rFonts w:ascii="Times New Roman" w:hAnsi="Times New Roman"/>
          <w:color w:val="000000" w:themeColor="text1"/>
          <w:sz w:val="16"/>
          <w:szCs w:val="16"/>
        </w:rPr>
        <w:t>экз</w:t>
      </w:r>
      <w:proofErr w:type="spellEnd"/>
      <w:r w:rsidRPr="00A259BD">
        <w:rPr>
          <w:rFonts w:ascii="Times New Roman" w:hAnsi="Times New Roman"/>
          <w:color w:val="000000" w:themeColor="text1"/>
          <w:sz w:val="16"/>
          <w:szCs w:val="16"/>
        </w:rPr>
        <w:t xml:space="preserve"> с 2М-17 с учетом результатов испытаний 1-го в НИИ ВВС</w:t>
      </w:r>
    </w:p>
    <w:p w14:paraId="05928F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У-2 П-2 - модификация и модернизация и в т.ч. перестановка мотора</w:t>
      </w:r>
    </w:p>
    <w:p w14:paraId="629286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группа - объединяет самолеты завода 25, устанавливаемые на поплавки и приспособление самолетов как морских + тип одномоторного торпедоносца на основе Р-5 М-17</w:t>
      </w:r>
    </w:p>
    <w:p w14:paraId="2A3FB5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У-2 - И-3</w:t>
      </w:r>
    </w:p>
    <w:p w14:paraId="691621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торпедоносец одномоторный на поплавках</w:t>
      </w:r>
    </w:p>
    <w:p w14:paraId="110DB8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группа - вновь проектируемые самолеты, для которых исходным типом служат машины, уже принятые в серийное производство, но под новые задания и моторы</w:t>
      </w:r>
    </w:p>
    <w:p w14:paraId="566544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ЛР - по схеме Р-5 М-17 или П-2 М-6 под нагрузку 700-500 кг под М-17 или иной в 450-600 </w:t>
      </w:r>
      <w:proofErr w:type="spellStart"/>
      <w:r w:rsidRPr="00A259BD">
        <w:rPr>
          <w:rFonts w:ascii="Times New Roman" w:hAnsi="Times New Roman"/>
          <w:color w:val="000000" w:themeColor="text1"/>
          <w:sz w:val="16"/>
          <w:szCs w:val="16"/>
        </w:rPr>
        <w:t>нр</w:t>
      </w:r>
      <w:proofErr w:type="spellEnd"/>
    </w:p>
    <w:p w14:paraId="061162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 под мотор во - на основе Д-2 М-17Z</w:t>
      </w:r>
    </w:p>
    <w:p w14:paraId="640384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группа - чисто экспериментальные, т.е. строящиеся по заданию ВВС коим требуются проработки и создания нового типа, напр., штурмовик, ТБ и т.п.</w:t>
      </w:r>
    </w:p>
    <w:p w14:paraId="75F954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Штурмовик - предполагается разработать самолет, могущий помогать пехоте при атаке или же самостоятельно атаковать земные цели.</w:t>
      </w:r>
    </w:p>
    <w:p w14:paraId="791A4B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Предполагается снабдить его вооружением мелкими бомбами и достаточным количеством пулеметов. Самолет этот предполагается построить специально для этой цели, а не приспособить имеющиеся. Будет проработана специальная схема самолета, даны соответствующие ЛД и полностью учтены те </w:t>
      </w:r>
      <w:proofErr w:type="spellStart"/>
      <w:r w:rsidRPr="00A259BD">
        <w:rPr>
          <w:rFonts w:ascii="Times New Roman" w:hAnsi="Times New Roman"/>
          <w:color w:val="000000" w:themeColor="text1"/>
          <w:sz w:val="16"/>
          <w:szCs w:val="16"/>
        </w:rPr>
        <w:t>м.б.</w:t>
      </w:r>
      <w:proofErr w:type="spellEnd"/>
      <w:r w:rsidRPr="00A259BD">
        <w:rPr>
          <w:rFonts w:ascii="Times New Roman" w:hAnsi="Times New Roman"/>
          <w:color w:val="000000" w:themeColor="text1"/>
          <w:sz w:val="16"/>
          <w:szCs w:val="16"/>
        </w:rPr>
        <w:t xml:space="preserve"> небольшие к тому времени данные по боевому применению такого рода самолетов, кои накопятся в ВВС.</w:t>
      </w:r>
    </w:p>
    <w:p w14:paraId="00BCBF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 под 2 мотора дальней разведки по схеме ТБ-2 2М-17 - дублер Р-6 2ИС-450, но смешанной конструкции</w:t>
      </w:r>
    </w:p>
    <w:p w14:paraId="641061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w:t>
      </w:r>
    </w:p>
    <w:p w14:paraId="638B69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Легкий истребитель типа Жокей</w:t>
      </w:r>
    </w:p>
    <w:p w14:paraId="764E88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группа - самолеты гражданского назначения</w:t>
      </w:r>
    </w:p>
    <w:p w14:paraId="3DD7E7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для вредителей - сначала приспособить У-2 М-11, а с учетом опыта сделать настоящий</w:t>
      </w:r>
    </w:p>
    <w:p w14:paraId="1EC6BE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связи</w:t>
      </w:r>
    </w:p>
    <w:p w14:paraId="49870E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Почтовый самолет - приспособление Р-5 М-17 (2365).</w:t>
      </w:r>
    </w:p>
    <w:p w14:paraId="5D5210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B774C3" w14:textId="77777777" w:rsidR="00EE73C1" w:rsidRPr="00441F34" w:rsidRDefault="00EE73C1" w:rsidP="00EE73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15 февраля 1929 г. письмом №458ск директор завода №25 Журавлев (сменивший арестованного Б.Ф. Гончарова) направил в Правление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переработанный пятилетний план опытного строительства, где упор был сделан на перспективные разработки и модификации проходящих испытания самолетов Р-5 с мотором М-18, У-2 на поплавках, легкого разведчика и самолета для защиты полей от вредителей, но снова не было уделено достаточное внимание доводке самолета И-3 и конструкторскому сопровождению его серийного производства, тогда как УВВС и СНК считали это важнейшей задачей. Этот проект плана отклонен.</w:t>
      </w:r>
    </w:p>
    <w:p w14:paraId="31075FF7" w14:textId="77777777" w:rsidR="00EE73C1" w:rsidRPr="00441F34" w:rsidRDefault="00EE73C1" w:rsidP="00EE73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это время НТК УВВС подготовил проект Постановления Реввоенсовета по опытному авиационному строительству, который предусматривал разработку новых самолетов в основном на основании заданий и технических требований, выдвигаемых самим НТК УВВС, а не в порядке инициативы конструкторских организаций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Это выводило бы из числа плановых и лишало бы финансирования ряд работ ЦКБ, в т.ч. и по самолету И-3 с двигателем Паккард 600 </w:t>
      </w:r>
      <w:proofErr w:type="spellStart"/>
      <w:r w:rsidRPr="00441F34">
        <w:rPr>
          <w:rFonts w:ascii="Times New Roman" w:hAnsi="Times New Roman"/>
          <w:color w:val="0070C0"/>
          <w:sz w:val="16"/>
          <w:szCs w:val="16"/>
        </w:rPr>
        <w:t>нр</w:t>
      </w:r>
      <w:proofErr w:type="spellEnd"/>
      <w:r w:rsidRPr="00441F34">
        <w:rPr>
          <w:rFonts w:ascii="Times New Roman" w:hAnsi="Times New Roman"/>
          <w:color w:val="0070C0"/>
          <w:sz w:val="16"/>
          <w:szCs w:val="16"/>
        </w:rPr>
        <w:t>, на которых настаивал Поликарпов.</w:t>
      </w:r>
    </w:p>
    <w:p w14:paraId="02F95BC7" w14:textId="77777777" w:rsidR="00EE73C1" w:rsidRPr="00441F34" w:rsidRDefault="00EE73C1" w:rsidP="00EE73C1">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Авиатрест</w:t>
      </w:r>
      <w:proofErr w:type="spellEnd"/>
      <w:r w:rsidRPr="00441F34">
        <w:rPr>
          <w:rFonts w:ascii="Times New Roman" w:hAnsi="Times New Roman"/>
          <w:color w:val="0070C0"/>
          <w:sz w:val="16"/>
          <w:szCs w:val="16"/>
        </w:rPr>
        <w:t xml:space="preserve"> этот проект постановления РВС согласовать отказался, и письмом №162/2533сс от 20 марта 1929 г. «О нормальном развитии опытного авиастроительства» в адрес РВС указал, что «…Полученный Правлением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проект постановления РВС по опытному авиационному строительству, предложенный НТК УВВС, ни в коей мере не может обеспечить правильное развитие опытного строительства и дать в возможно короткие сроки, приемлемые по техническим и тактическим требованиям, которые могли бы быть безболезненно осуществлены промышленностью в серийном производстве. Принятая НТК установка, что опытное строительство в основном должно исходить от НИИ под полным и всесторонним контролем НТК УВВС и что в этом НТК видит единственно возможное развитие самолетов и моторов, не имеет под собой надежного фундамента... Если два года назад состояние опытного строительства треста по самолетам внушало большие опасения, то на сегодняшний день </w:t>
      </w:r>
      <w:proofErr w:type="spellStart"/>
      <w:r w:rsidRPr="00441F34">
        <w:rPr>
          <w:rFonts w:ascii="Times New Roman" w:hAnsi="Times New Roman"/>
          <w:color w:val="0070C0"/>
          <w:sz w:val="16"/>
          <w:szCs w:val="16"/>
        </w:rPr>
        <w:t>Авиатрест</w:t>
      </w:r>
      <w:proofErr w:type="spellEnd"/>
      <w:r w:rsidRPr="00441F34">
        <w:rPr>
          <w:rFonts w:ascii="Times New Roman" w:hAnsi="Times New Roman"/>
          <w:color w:val="0070C0"/>
          <w:sz w:val="16"/>
          <w:szCs w:val="16"/>
        </w:rPr>
        <w:t xml:space="preserve"> достиг значительных результатов. На серийное производство уже ставятся выпущенные КО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следующие сухопутные машины: У-2, П-2, И-3, Р-5, Д-2; находятся в конструктивной проработке и постройке опытных образцов ТБ-2 и И-6…»</w:t>
      </w:r>
    </w:p>
    <w:p w14:paraId="33429AFD" w14:textId="77777777" w:rsidR="00EE73C1" w:rsidRPr="00441F34" w:rsidRDefault="00EE73C1" w:rsidP="00EE73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Как аргумент некомпетентности НТК УВВС в вопросе правильного выбора проектов для первоочередного финансирования руководство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привело частный и случайный факт принятие в производство самолета У-2 с двигателем М-11, тогда как НТК предлагал М-12, который оказался неудачен. В то же время из перечисленных в списке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опытных самолетов И-6 и ТБ-2 на вооружение не был принят ни один, а из четырех указанных как запускаемые в серийное производство действительно начали выпускаться и были приняты в эксплуатацию только два – Р-5 и И-3, причем по обоим имело место значительное отставание от плана ввиду неудовлетворительной организации работ. При этом </w:t>
      </w:r>
      <w:proofErr w:type="spellStart"/>
      <w:r w:rsidRPr="00441F34">
        <w:rPr>
          <w:rFonts w:ascii="Times New Roman" w:hAnsi="Times New Roman"/>
          <w:color w:val="0070C0"/>
          <w:sz w:val="16"/>
          <w:szCs w:val="16"/>
        </w:rPr>
        <w:t>Авиатрест</w:t>
      </w:r>
      <w:proofErr w:type="spellEnd"/>
      <w:r w:rsidRPr="00441F34">
        <w:rPr>
          <w:rFonts w:ascii="Times New Roman" w:hAnsi="Times New Roman"/>
          <w:color w:val="0070C0"/>
          <w:sz w:val="16"/>
          <w:szCs w:val="16"/>
        </w:rPr>
        <w:t xml:space="preserve"> пытался избавиться от контроля за ними со стороны УВВС.</w:t>
      </w:r>
    </w:p>
    <w:p w14:paraId="1D40B082" w14:textId="77777777" w:rsidR="00EE73C1" w:rsidRPr="00441F34" w:rsidRDefault="00EE73C1" w:rsidP="00EE73C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Все это происходило на фоне резкого обострения борьбы между сторонниками НЭПа и дальнейшей либерализации экономики в руководстве промышленности, многие из которых были из старых специалистов и занимали высокие должности, и Центральным Комитетом ВКП(б) как руководством политическим и Советом Народных Комиссаров как правительством страны, взявшими курс на переход к плановой системе хозяйствования с ужесточением контроля и ответственности за расходование государственных средств. Эта борьба местами переходила уже от дискуссий к прямому саботажу государственных решений, затрагивавших вопросы экономики и обороны, также отмечались увеличение процента брака и числа аварий на производстве, которые могли быть следствием намеренного вредительства. Отделить случаи такого саботажа от невыполнения заданий по объективным причинам (нехватка на то у исполнителей средств и времени) силами планово-хозяйственных органов подчас оказалось трудно. С учетом обстановки (обострение военной угрозы, выразившееся в официальных заявлениях руководителей капиталистических стран, переброска дополнительных войск в колонии на границах с СССР, снабжение вооружением недружественных соседних стран и попустительство разворачиванию в них агрессивных националистических движений) вопрос определения фактов саботажа и вредительства переданы Объединенному государственному политическому управлению (ОГПУ), в ответственность которого такие вопросы входили. В ходе мероприятий по проверке сообщений о саботаже и вредительстве в авиапромышленности и с 1928 г. это коснулось и ЦКБ, которое подверглось проверке, в ходе которой ряд руководителей был арестован, и реорганизации (24887).</w:t>
      </w:r>
    </w:p>
    <w:p w14:paraId="55C0387A" w14:textId="77777777" w:rsidR="00EE73C1" w:rsidRPr="00441F34" w:rsidRDefault="00EE73C1" w:rsidP="00EE73C1">
      <w:pPr>
        <w:spacing w:after="0" w:line="240" w:lineRule="auto"/>
        <w:jc w:val="both"/>
        <w:rPr>
          <w:rFonts w:ascii="Times New Roman" w:hAnsi="Times New Roman"/>
          <w:color w:val="0070C0"/>
          <w:sz w:val="16"/>
          <w:szCs w:val="16"/>
        </w:rPr>
      </w:pPr>
    </w:p>
    <w:p w14:paraId="304AEF6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5CFACB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21E8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февраля 1929 г. проект наложения ствола 102/60-мм корабельной пушки на лафет 152-мм пушки обр. 1910 г. был рассмотрен в КБ Артиллерийского комитета (3861).</w:t>
      </w:r>
    </w:p>
    <w:p w14:paraId="6ED9F3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A6E5FD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75EEE0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DD79B9" w14:textId="77777777" w:rsidR="00071A79" w:rsidRPr="00A259BD" w:rsidRDefault="00071A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февраля 1929. Газета "Вечерняя Москва" сообщала: "В настоящее время здание нового Центрального телеграфа ("Дом Связи") на Тверской занято теми или иными учреждениями более чем на одну треть. В остальной части заканчиваются работы по приведению помещений в готовый вид. Через три-четыре недели будет закончена прокладка пневматической почты общей длиной четыре километра. Примерно в середине марта ожидается открытие большого телефонного зала для посетителей" (18726).</w:t>
      </w:r>
    </w:p>
    <w:p w14:paraId="7E93947B" w14:textId="77777777" w:rsidR="00071A79" w:rsidRPr="00A259BD" w:rsidRDefault="00071A79" w:rsidP="009236E3">
      <w:pPr>
        <w:spacing w:after="0" w:line="240" w:lineRule="auto"/>
        <w:jc w:val="both"/>
        <w:rPr>
          <w:rFonts w:ascii="Times New Roman" w:hAnsi="Times New Roman"/>
          <w:color w:val="000000" w:themeColor="text1"/>
          <w:sz w:val="16"/>
          <w:szCs w:val="16"/>
        </w:rPr>
      </w:pPr>
    </w:p>
    <w:p w14:paraId="7EB430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февраля 1929 года вышло постановление наркомата торговли ТССР, по которому в Казани и в рабочих районах республики вводилась карточная система - "заборные книжки" на хлеб. Но хлеб выдавался не бесплатно: так, в 1932 году ржаной по карточкам стоил 9 копеек за килограмм, а пшеничный - 20 копеек(4). Заборные карточки выдавались на семью. Хлебом обеспечивались рабочие, служащие, учащиеся, безработные, кустари, инвалиды, пенсионеры. "Нетрудовые элементы" - торговцы, служители религиозных культов, лишенные избирательных прав, - снабжению не подлежали (11566).</w:t>
      </w:r>
    </w:p>
    <w:p w14:paraId="61B7E4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6B84591"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4651BB9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89784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16 и 24 февраля 1929. Из протокола заседания Политбюро N 65, особая папка, 1929 г.</w:t>
      </w:r>
    </w:p>
    <w:p w14:paraId="77C1FB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Вопрос Комиссии Внешних Сношений ВЦСПС </w:t>
      </w:r>
    </w:p>
    <w:p w14:paraId="67D102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Утвердить смету Комиссии Внешних Сношений на 1929 г. в сумме 300 тыс. рублей с вычетом остатка баланса 1928 г.— 53 тыс. рублей, т. е. всего 247 тыс. рублей, из них 70 тыс. рублей в инвалюте. </w:t>
      </w:r>
    </w:p>
    <w:p w14:paraId="586CB9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Ликвидировать секретный фонд по международной работе ВЦСПС, находившийся в распоряжении т. Томского (11652).</w:t>
      </w:r>
    </w:p>
    <w:p w14:paraId="5E1119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F4B2D5" w14:textId="77777777" w:rsidR="000F0AC0" w:rsidRPr="00A259BD" w:rsidRDefault="000F0AC0" w:rsidP="000F0AC0">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lastRenderedPageBreak/>
        <w:t>Авиапромышленность:</w:t>
      </w:r>
    </w:p>
    <w:p w14:paraId="6E7D5E95" w14:textId="77777777" w:rsidR="000F0AC0" w:rsidRPr="00A259BD" w:rsidRDefault="000F0AC0" w:rsidP="000F0AC0">
      <w:pPr>
        <w:autoSpaceDE w:val="0"/>
        <w:autoSpaceDN w:val="0"/>
        <w:adjustRightInd w:val="0"/>
        <w:spacing w:after="0" w:line="240" w:lineRule="auto"/>
        <w:jc w:val="both"/>
        <w:rPr>
          <w:rFonts w:ascii="Times New Roman" w:hAnsi="Times New Roman"/>
          <w:iCs/>
          <w:color w:val="000000" w:themeColor="text1"/>
          <w:sz w:val="16"/>
          <w:szCs w:val="16"/>
        </w:rPr>
      </w:pPr>
    </w:p>
    <w:p w14:paraId="1ED2CE0F" w14:textId="77777777" w:rsidR="000F0AC0" w:rsidRPr="006B74EB" w:rsidRDefault="000F0AC0" w:rsidP="000F0AC0">
      <w:pPr>
        <w:spacing w:after="0" w:line="240" w:lineRule="auto"/>
        <w:jc w:val="both"/>
        <w:rPr>
          <w:rFonts w:ascii="Times New Roman" w:hAnsi="Times New Roman"/>
          <w:color w:val="0070C0"/>
          <w:sz w:val="16"/>
          <w:szCs w:val="16"/>
        </w:rPr>
      </w:pPr>
      <w:r>
        <w:rPr>
          <w:rFonts w:ascii="Times New Roman" w:hAnsi="Times New Roman"/>
          <w:color w:val="0070C0"/>
          <w:sz w:val="16"/>
          <w:szCs w:val="16"/>
        </w:rPr>
        <w:t>17</w:t>
      </w:r>
      <w:r w:rsidRPr="006B74EB">
        <w:rPr>
          <w:rFonts w:ascii="Times New Roman" w:hAnsi="Times New Roman"/>
          <w:color w:val="0070C0"/>
          <w:sz w:val="16"/>
          <w:szCs w:val="16"/>
        </w:rPr>
        <w:t xml:space="preserve"> февраля</w:t>
      </w:r>
      <w:r>
        <w:rPr>
          <w:rFonts w:ascii="Times New Roman" w:hAnsi="Times New Roman"/>
          <w:color w:val="0070C0"/>
          <w:sz w:val="16"/>
          <w:szCs w:val="16"/>
        </w:rPr>
        <w:t xml:space="preserve"> 1929 г</w:t>
      </w:r>
      <w:r w:rsidRPr="006B74EB">
        <w:rPr>
          <w:rFonts w:ascii="Times New Roman" w:hAnsi="Times New Roman"/>
          <w:color w:val="0070C0"/>
          <w:sz w:val="16"/>
          <w:szCs w:val="16"/>
        </w:rPr>
        <w:t xml:space="preserve">. </w:t>
      </w:r>
      <w:r>
        <w:rPr>
          <w:rFonts w:ascii="Times New Roman" w:hAnsi="Times New Roman"/>
          <w:color w:val="0070C0"/>
          <w:sz w:val="16"/>
          <w:szCs w:val="16"/>
        </w:rPr>
        <w:t>л</w:t>
      </w:r>
      <w:r w:rsidRPr="006B74EB">
        <w:rPr>
          <w:rFonts w:ascii="Times New Roman" w:hAnsi="Times New Roman"/>
          <w:color w:val="0070C0"/>
          <w:sz w:val="16"/>
          <w:szCs w:val="16"/>
        </w:rPr>
        <w:t>етчик Добролета Иван Васильевич Михеев совер</w:t>
      </w:r>
      <w:r>
        <w:rPr>
          <w:rFonts w:ascii="Times New Roman" w:hAnsi="Times New Roman"/>
          <w:color w:val="0070C0"/>
          <w:sz w:val="16"/>
          <w:szCs w:val="16"/>
        </w:rPr>
        <w:t>шил</w:t>
      </w:r>
      <w:r w:rsidRPr="006B74EB">
        <w:rPr>
          <w:rFonts w:ascii="Times New Roman" w:hAnsi="Times New Roman"/>
          <w:color w:val="0070C0"/>
          <w:sz w:val="16"/>
          <w:szCs w:val="16"/>
        </w:rPr>
        <w:t xml:space="preserve"> </w:t>
      </w:r>
      <w:r>
        <w:rPr>
          <w:rFonts w:ascii="Times New Roman" w:hAnsi="Times New Roman"/>
          <w:color w:val="0070C0"/>
          <w:sz w:val="16"/>
          <w:szCs w:val="16"/>
        </w:rPr>
        <w:t>герои</w:t>
      </w:r>
      <w:r w:rsidRPr="006B74EB">
        <w:rPr>
          <w:rFonts w:ascii="Times New Roman" w:hAnsi="Times New Roman"/>
          <w:color w:val="0070C0"/>
          <w:sz w:val="16"/>
          <w:szCs w:val="16"/>
        </w:rPr>
        <w:t xml:space="preserve">ческий полет по спасению карельской учительницы </w:t>
      </w:r>
      <w:proofErr w:type="spellStart"/>
      <w:r w:rsidRPr="006B74EB">
        <w:rPr>
          <w:rFonts w:ascii="Times New Roman" w:hAnsi="Times New Roman"/>
          <w:color w:val="0070C0"/>
          <w:sz w:val="16"/>
          <w:szCs w:val="16"/>
        </w:rPr>
        <w:t>А.М.Громце</w:t>
      </w:r>
      <w:r>
        <w:rPr>
          <w:rFonts w:ascii="Times New Roman" w:hAnsi="Times New Roman"/>
          <w:color w:val="0070C0"/>
          <w:sz w:val="16"/>
          <w:szCs w:val="16"/>
        </w:rPr>
        <w:t>вой</w:t>
      </w:r>
      <w:proofErr w:type="spellEnd"/>
      <w:r>
        <w:rPr>
          <w:rFonts w:ascii="Times New Roman" w:hAnsi="Times New Roman"/>
          <w:color w:val="0070C0"/>
          <w:sz w:val="16"/>
          <w:szCs w:val="16"/>
        </w:rPr>
        <w:t xml:space="preserve"> -</w:t>
      </w:r>
      <w:r w:rsidRPr="006B74EB">
        <w:rPr>
          <w:rFonts w:ascii="Times New Roman" w:hAnsi="Times New Roman"/>
          <w:color w:val="0070C0"/>
          <w:sz w:val="16"/>
          <w:szCs w:val="16"/>
        </w:rPr>
        <w:t xml:space="preserve"> активистки предвыборной кампании</w:t>
      </w:r>
      <w:r>
        <w:rPr>
          <w:rFonts w:ascii="Times New Roman" w:hAnsi="Times New Roman"/>
          <w:color w:val="0070C0"/>
          <w:sz w:val="16"/>
          <w:szCs w:val="16"/>
        </w:rPr>
        <w:t>.</w:t>
      </w:r>
      <w:r w:rsidRPr="006B74EB">
        <w:rPr>
          <w:rFonts w:ascii="Times New Roman" w:hAnsi="Times New Roman"/>
          <w:color w:val="0070C0"/>
          <w:sz w:val="16"/>
          <w:szCs w:val="16"/>
        </w:rPr>
        <w:t xml:space="preserve"> Как только в Москве стало </w:t>
      </w:r>
      <w:r>
        <w:rPr>
          <w:rFonts w:ascii="Times New Roman" w:hAnsi="Times New Roman"/>
          <w:color w:val="0070C0"/>
          <w:sz w:val="16"/>
          <w:szCs w:val="16"/>
        </w:rPr>
        <w:t>ясно</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что </w:t>
      </w:r>
      <w:proofErr w:type="spellStart"/>
      <w:r>
        <w:rPr>
          <w:rFonts w:ascii="Times New Roman" w:hAnsi="Times New Roman"/>
          <w:color w:val="0070C0"/>
          <w:sz w:val="16"/>
          <w:szCs w:val="16"/>
        </w:rPr>
        <w:t>Громцева</w:t>
      </w:r>
      <w:proofErr w:type="spellEnd"/>
      <w:r w:rsidRPr="006B74EB">
        <w:rPr>
          <w:rFonts w:ascii="Times New Roman" w:hAnsi="Times New Roman"/>
          <w:color w:val="0070C0"/>
          <w:sz w:val="16"/>
          <w:szCs w:val="16"/>
        </w:rPr>
        <w:t xml:space="preserve"> </w:t>
      </w:r>
      <w:r>
        <w:rPr>
          <w:rFonts w:ascii="Times New Roman" w:hAnsi="Times New Roman"/>
          <w:color w:val="0070C0"/>
          <w:sz w:val="16"/>
          <w:szCs w:val="16"/>
        </w:rPr>
        <w:t>н</w:t>
      </w:r>
      <w:r w:rsidRPr="006B74EB">
        <w:rPr>
          <w:rFonts w:ascii="Times New Roman" w:hAnsi="Times New Roman"/>
          <w:color w:val="0070C0"/>
          <w:sz w:val="16"/>
          <w:szCs w:val="16"/>
        </w:rPr>
        <w:t>ужда</w:t>
      </w:r>
      <w:r>
        <w:rPr>
          <w:rFonts w:ascii="Times New Roman" w:hAnsi="Times New Roman"/>
          <w:color w:val="0070C0"/>
          <w:sz w:val="16"/>
          <w:szCs w:val="16"/>
        </w:rPr>
        <w:t>ется</w:t>
      </w:r>
      <w:r w:rsidRPr="006B74EB">
        <w:rPr>
          <w:rFonts w:ascii="Times New Roman" w:hAnsi="Times New Roman"/>
          <w:color w:val="0070C0"/>
          <w:sz w:val="16"/>
          <w:szCs w:val="16"/>
        </w:rPr>
        <w:t xml:space="preserve"> в срочной мед</w:t>
      </w:r>
      <w:r>
        <w:rPr>
          <w:rFonts w:ascii="Times New Roman" w:hAnsi="Times New Roman"/>
          <w:color w:val="0070C0"/>
          <w:sz w:val="16"/>
          <w:szCs w:val="16"/>
        </w:rPr>
        <w:t>и</w:t>
      </w:r>
      <w:r w:rsidRPr="006B74EB">
        <w:rPr>
          <w:rFonts w:ascii="Times New Roman" w:hAnsi="Times New Roman"/>
          <w:color w:val="0070C0"/>
          <w:sz w:val="16"/>
          <w:szCs w:val="16"/>
        </w:rPr>
        <w:t>ц</w:t>
      </w:r>
      <w:r>
        <w:rPr>
          <w:rFonts w:ascii="Times New Roman" w:hAnsi="Times New Roman"/>
          <w:color w:val="0070C0"/>
          <w:sz w:val="16"/>
          <w:szCs w:val="16"/>
        </w:rPr>
        <w:t>инс</w:t>
      </w:r>
      <w:r w:rsidRPr="006B74EB">
        <w:rPr>
          <w:rFonts w:ascii="Times New Roman" w:hAnsi="Times New Roman"/>
          <w:color w:val="0070C0"/>
          <w:sz w:val="16"/>
          <w:szCs w:val="16"/>
        </w:rPr>
        <w:t xml:space="preserve">кой </w:t>
      </w:r>
      <w:r>
        <w:rPr>
          <w:rFonts w:ascii="Times New Roman" w:hAnsi="Times New Roman"/>
          <w:color w:val="0070C0"/>
          <w:sz w:val="16"/>
          <w:szCs w:val="16"/>
        </w:rPr>
        <w:t>п</w:t>
      </w:r>
      <w:r w:rsidRPr="006B74EB">
        <w:rPr>
          <w:rFonts w:ascii="Times New Roman" w:hAnsi="Times New Roman"/>
          <w:color w:val="0070C0"/>
          <w:sz w:val="16"/>
          <w:szCs w:val="16"/>
        </w:rPr>
        <w:t>о</w:t>
      </w:r>
      <w:r>
        <w:rPr>
          <w:rFonts w:ascii="Times New Roman" w:hAnsi="Times New Roman"/>
          <w:color w:val="0070C0"/>
          <w:sz w:val="16"/>
          <w:szCs w:val="16"/>
        </w:rPr>
        <w:t>м</w:t>
      </w:r>
      <w:r w:rsidRPr="006B74EB">
        <w:rPr>
          <w:rFonts w:ascii="Times New Roman" w:hAnsi="Times New Roman"/>
          <w:color w:val="0070C0"/>
          <w:sz w:val="16"/>
          <w:szCs w:val="16"/>
        </w:rPr>
        <w:t>о</w:t>
      </w:r>
      <w:r>
        <w:rPr>
          <w:rFonts w:ascii="Times New Roman" w:hAnsi="Times New Roman"/>
          <w:color w:val="0070C0"/>
          <w:sz w:val="16"/>
          <w:szCs w:val="16"/>
        </w:rPr>
        <w:t>щи, которую</w:t>
      </w:r>
      <w:r w:rsidRPr="006B74EB">
        <w:rPr>
          <w:rFonts w:ascii="Times New Roman" w:hAnsi="Times New Roman"/>
          <w:color w:val="0070C0"/>
          <w:sz w:val="16"/>
          <w:szCs w:val="16"/>
        </w:rPr>
        <w:t xml:space="preserve"> на м</w:t>
      </w:r>
      <w:r>
        <w:rPr>
          <w:rFonts w:ascii="Times New Roman" w:hAnsi="Times New Roman"/>
          <w:color w:val="0070C0"/>
          <w:sz w:val="16"/>
          <w:szCs w:val="16"/>
        </w:rPr>
        <w:t>е</w:t>
      </w:r>
      <w:r w:rsidRPr="006B74EB">
        <w:rPr>
          <w:rFonts w:ascii="Times New Roman" w:hAnsi="Times New Roman"/>
          <w:color w:val="0070C0"/>
          <w:sz w:val="16"/>
          <w:szCs w:val="16"/>
        </w:rPr>
        <w:t xml:space="preserve">сте /Пудож/ оказать было нельзя, </w:t>
      </w:r>
      <w:r>
        <w:rPr>
          <w:rFonts w:ascii="Times New Roman" w:hAnsi="Times New Roman"/>
          <w:color w:val="0070C0"/>
          <w:sz w:val="16"/>
          <w:szCs w:val="16"/>
        </w:rPr>
        <w:t>Михеев</w:t>
      </w:r>
      <w:r w:rsidRPr="006B74EB">
        <w:rPr>
          <w:rFonts w:ascii="Times New Roman" w:hAnsi="Times New Roman"/>
          <w:color w:val="0070C0"/>
          <w:sz w:val="16"/>
          <w:szCs w:val="16"/>
        </w:rPr>
        <w:t xml:space="preserve"> с механиком </w:t>
      </w:r>
      <w:r>
        <w:rPr>
          <w:rFonts w:ascii="Times New Roman" w:hAnsi="Times New Roman"/>
          <w:color w:val="0070C0"/>
          <w:sz w:val="16"/>
          <w:szCs w:val="16"/>
        </w:rPr>
        <w:t>Гладк</w:t>
      </w:r>
      <w:r w:rsidRPr="006B74EB">
        <w:rPr>
          <w:rFonts w:ascii="Times New Roman" w:hAnsi="Times New Roman"/>
          <w:color w:val="0070C0"/>
          <w:sz w:val="16"/>
          <w:szCs w:val="16"/>
        </w:rPr>
        <w:t>им на самолете Юнкоре-13, вылетел из Москвы в Пудож /760 км/</w:t>
      </w:r>
      <w:r>
        <w:rPr>
          <w:rFonts w:ascii="Times New Roman" w:hAnsi="Times New Roman"/>
          <w:color w:val="0070C0"/>
          <w:sz w:val="16"/>
          <w:szCs w:val="16"/>
        </w:rPr>
        <w:t>,</w:t>
      </w:r>
      <w:r w:rsidRPr="006B74EB">
        <w:rPr>
          <w:rFonts w:ascii="Times New Roman" w:hAnsi="Times New Roman"/>
          <w:color w:val="0070C0"/>
          <w:sz w:val="16"/>
          <w:szCs w:val="16"/>
        </w:rPr>
        <w:t xml:space="preserve"> преодолев</w:t>
      </w:r>
      <w:r>
        <w:rPr>
          <w:rFonts w:ascii="Times New Roman" w:hAnsi="Times New Roman"/>
          <w:color w:val="0070C0"/>
          <w:sz w:val="16"/>
          <w:szCs w:val="16"/>
        </w:rPr>
        <w:t>ая</w:t>
      </w:r>
      <w:r w:rsidRPr="006B74EB">
        <w:rPr>
          <w:rFonts w:ascii="Times New Roman" w:hAnsi="Times New Roman"/>
          <w:color w:val="0070C0"/>
          <w:sz w:val="16"/>
          <w:szCs w:val="16"/>
        </w:rPr>
        <w:t xml:space="preserve"> непогоду, принял на борт пострадав</w:t>
      </w:r>
      <w:r>
        <w:rPr>
          <w:rFonts w:ascii="Times New Roman" w:hAnsi="Times New Roman"/>
          <w:color w:val="0070C0"/>
          <w:sz w:val="16"/>
          <w:szCs w:val="16"/>
        </w:rPr>
        <w:t>ш</w:t>
      </w:r>
      <w:r w:rsidRPr="006B74EB">
        <w:rPr>
          <w:rFonts w:ascii="Times New Roman" w:hAnsi="Times New Roman"/>
          <w:color w:val="0070C0"/>
          <w:sz w:val="16"/>
          <w:szCs w:val="16"/>
        </w:rPr>
        <w:t>ую и доставил ее в</w:t>
      </w:r>
      <w:r>
        <w:rPr>
          <w:rFonts w:ascii="Times New Roman" w:hAnsi="Times New Roman"/>
          <w:color w:val="0070C0"/>
          <w:sz w:val="16"/>
          <w:szCs w:val="16"/>
        </w:rPr>
        <w:t xml:space="preserve"> Ленинград, г</w:t>
      </w:r>
      <w:r w:rsidRPr="006B74EB">
        <w:rPr>
          <w:rFonts w:ascii="Times New Roman" w:hAnsi="Times New Roman"/>
          <w:color w:val="0070C0"/>
          <w:sz w:val="16"/>
          <w:szCs w:val="16"/>
        </w:rPr>
        <w:t>де ей была оказана необходимая помощь.</w:t>
      </w:r>
      <w:r>
        <w:rPr>
          <w:rFonts w:ascii="Times New Roman" w:hAnsi="Times New Roman"/>
          <w:color w:val="0070C0"/>
          <w:sz w:val="16"/>
          <w:szCs w:val="16"/>
        </w:rPr>
        <w:t xml:space="preserve"> Э</w:t>
      </w:r>
      <w:r w:rsidRPr="006B74EB">
        <w:rPr>
          <w:rFonts w:ascii="Times New Roman" w:hAnsi="Times New Roman"/>
          <w:color w:val="0070C0"/>
          <w:sz w:val="16"/>
          <w:szCs w:val="16"/>
        </w:rPr>
        <w:t>тот полет,</w:t>
      </w:r>
      <w:r>
        <w:rPr>
          <w:rFonts w:ascii="Times New Roman" w:hAnsi="Times New Roman"/>
          <w:color w:val="0070C0"/>
          <w:sz w:val="16"/>
          <w:szCs w:val="16"/>
        </w:rPr>
        <w:t xml:space="preserve"> </w:t>
      </w:r>
      <w:r w:rsidRPr="006B74EB">
        <w:rPr>
          <w:rFonts w:ascii="Times New Roman" w:hAnsi="Times New Roman"/>
          <w:color w:val="0070C0"/>
          <w:sz w:val="16"/>
          <w:szCs w:val="16"/>
        </w:rPr>
        <w:t>ме</w:t>
      </w:r>
      <w:r>
        <w:rPr>
          <w:rFonts w:ascii="Times New Roman" w:hAnsi="Times New Roman"/>
          <w:color w:val="0070C0"/>
          <w:sz w:val="16"/>
          <w:szCs w:val="16"/>
        </w:rPr>
        <w:t xml:space="preserve">жду </w:t>
      </w:r>
      <w:r w:rsidRPr="006B74EB">
        <w:rPr>
          <w:rFonts w:ascii="Times New Roman" w:hAnsi="Times New Roman"/>
          <w:color w:val="0070C0"/>
          <w:sz w:val="16"/>
          <w:szCs w:val="16"/>
        </w:rPr>
        <w:t xml:space="preserve">прочим, побудил органы здравоохранения и гражданской авиации </w:t>
      </w:r>
      <w:r>
        <w:rPr>
          <w:rFonts w:ascii="Times New Roman" w:hAnsi="Times New Roman"/>
          <w:color w:val="0070C0"/>
          <w:sz w:val="16"/>
          <w:szCs w:val="16"/>
        </w:rPr>
        <w:t>всерьез</w:t>
      </w:r>
      <w:r w:rsidRPr="006B74EB">
        <w:rPr>
          <w:rFonts w:ascii="Times New Roman" w:hAnsi="Times New Roman"/>
          <w:color w:val="0070C0"/>
          <w:sz w:val="16"/>
          <w:szCs w:val="16"/>
        </w:rPr>
        <w:t xml:space="preserve"> </w:t>
      </w:r>
      <w:r>
        <w:rPr>
          <w:rFonts w:ascii="Times New Roman" w:hAnsi="Times New Roman"/>
          <w:color w:val="0070C0"/>
          <w:sz w:val="16"/>
          <w:szCs w:val="16"/>
        </w:rPr>
        <w:t>з</w:t>
      </w:r>
      <w:r w:rsidRPr="006B74EB">
        <w:rPr>
          <w:rFonts w:ascii="Times New Roman" w:hAnsi="Times New Roman"/>
          <w:color w:val="0070C0"/>
          <w:sz w:val="16"/>
          <w:szCs w:val="16"/>
        </w:rPr>
        <w:t xml:space="preserve">аняться вопросом </w:t>
      </w:r>
      <w:proofErr w:type="spellStart"/>
      <w:r w:rsidRPr="006B74EB">
        <w:rPr>
          <w:rFonts w:ascii="Times New Roman" w:hAnsi="Times New Roman"/>
          <w:color w:val="0070C0"/>
          <w:sz w:val="16"/>
          <w:szCs w:val="16"/>
        </w:rPr>
        <w:t>оргаи</w:t>
      </w:r>
      <w:r>
        <w:rPr>
          <w:rFonts w:ascii="Times New Roman" w:hAnsi="Times New Roman"/>
          <w:color w:val="0070C0"/>
          <w:sz w:val="16"/>
          <w:szCs w:val="16"/>
        </w:rPr>
        <w:t>изации</w:t>
      </w:r>
      <w:proofErr w:type="spellEnd"/>
      <w:r>
        <w:rPr>
          <w:rFonts w:ascii="Times New Roman" w:hAnsi="Times New Roman"/>
          <w:color w:val="0070C0"/>
          <w:sz w:val="16"/>
          <w:szCs w:val="16"/>
        </w:rPr>
        <w:t xml:space="preserve"> сани</w:t>
      </w:r>
      <w:r w:rsidRPr="006B74EB">
        <w:rPr>
          <w:rFonts w:ascii="Times New Roman" w:hAnsi="Times New Roman"/>
          <w:color w:val="0070C0"/>
          <w:sz w:val="16"/>
          <w:szCs w:val="16"/>
        </w:rPr>
        <w:t>тарной авиации.</w:t>
      </w:r>
    </w:p>
    <w:p w14:paraId="1837C9D4" w14:textId="77777777" w:rsidR="000F0AC0" w:rsidRDefault="000F0AC0" w:rsidP="000F0AC0">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 xml:space="preserve">/"Красная звезда" за 19 февраля 1929 </w:t>
      </w:r>
      <w:r>
        <w:rPr>
          <w:rFonts w:ascii="Times New Roman" w:hAnsi="Times New Roman"/>
          <w:color w:val="0070C0"/>
          <w:sz w:val="16"/>
          <w:szCs w:val="16"/>
        </w:rPr>
        <w:t>г</w:t>
      </w:r>
      <w:r w:rsidRPr="006B74EB">
        <w:rPr>
          <w:rFonts w:ascii="Times New Roman" w:hAnsi="Times New Roman"/>
          <w:color w:val="0070C0"/>
          <w:sz w:val="16"/>
          <w:szCs w:val="16"/>
        </w:rPr>
        <w:t>./</w:t>
      </w:r>
      <w:r>
        <w:rPr>
          <w:rFonts w:ascii="Times New Roman" w:hAnsi="Times New Roman"/>
          <w:color w:val="0070C0"/>
          <w:sz w:val="16"/>
          <w:szCs w:val="16"/>
        </w:rPr>
        <w:t xml:space="preserve"> (23370).</w:t>
      </w:r>
    </w:p>
    <w:p w14:paraId="2F467C38" w14:textId="77777777" w:rsidR="000F0AC0" w:rsidRPr="006B74EB" w:rsidRDefault="000F0AC0" w:rsidP="000F0AC0">
      <w:pPr>
        <w:spacing w:after="0" w:line="240" w:lineRule="auto"/>
        <w:jc w:val="both"/>
        <w:rPr>
          <w:rFonts w:ascii="Times New Roman" w:hAnsi="Times New Roman"/>
          <w:color w:val="0070C0"/>
          <w:sz w:val="16"/>
          <w:szCs w:val="16"/>
        </w:rPr>
      </w:pPr>
    </w:p>
    <w:p w14:paraId="510B4997" w14:textId="77777777" w:rsidR="00071A79" w:rsidRPr="00A259BD" w:rsidRDefault="00071A7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91311C1" w14:textId="77777777" w:rsidR="00071A79" w:rsidRPr="00A259BD" w:rsidRDefault="00071A7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B9CE22C" w14:textId="77777777" w:rsidR="00071A79" w:rsidRPr="00A259BD" w:rsidRDefault="00071A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февраля 1929 на Красной площади в Москве состоялся старт пробега аэросаней, организованного «Автодором» совместно с «Осоавиахимом» по маршруту: Москва – Ярославль -Кострома – Кинешма – Юрьевец Подольский – Мантурово – Богородск – Котельнич – Вятка – Глазово – </w:t>
      </w:r>
      <w:proofErr w:type="spellStart"/>
      <w:r w:rsidRPr="00A259BD">
        <w:rPr>
          <w:rFonts w:ascii="Times New Roman" w:hAnsi="Times New Roman"/>
          <w:color w:val="000000" w:themeColor="text1"/>
          <w:sz w:val="16"/>
          <w:szCs w:val="16"/>
        </w:rPr>
        <w:t>Дебессы</w:t>
      </w:r>
      <w:proofErr w:type="spellEnd"/>
      <w:r w:rsidRPr="00A259BD">
        <w:rPr>
          <w:rFonts w:ascii="Times New Roman" w:hAnsi="Times New Roman"/>
          <w:color w:val="000000" w:themeColor="text1"/>
          <w:sz w:val="16"/>
          <w:szCs w:val="16"/>
        </w:rPr>
        <w:t xml:space="preserve"> – Оханск – Пермь -Оса – Воткинск – Ижевск – Елабуга – Казань – Чебоксары – Нижний Новгород – Владимир – Москва. В пробег вышли аэросани серийного выпуска ЦАГИ (АНТ)-IV с моторами «Люцифер» и аэросани НАМИ-V и НАМИ-VIII с моторами «НАМИ-</w:t>
      </w:r>
      <w:proofErr w:type="spellStart"/>
      <w:r w:rsidRPr="00A259BD">
        <w:rPr>
          <w:rFonts w:ascii="Times New Roman" w:hAnsi="Times New Roman"/>
          <w:color w:val="000000" w:themeColor="text1"/>
          <w:sz w:val="16"/>
          <w:szCs w:val="16"/>
        </w:rPr>
        <w:t>Сальмсон</w:t>
      </w:r>
      <w:proofErr w:type="spellEnd"/>
      <w:r w:rsidRPr="00A259BD">
        <w:rPr>
          <w:rFonts w:ascii="Times New Roman" w:hAnsi="Times New Roman"/>
          <w:color w:val="000000" w:themeColor="text1"/>
          <w:sz w:val="16"/>
          <w:szCs w:val="16"/>
        </w:rPr>
        <w:t xml:space="preserve">». В районе Кинешмы аэросани НАМИ-V и одна из машин ЦАГИ провалились под лёд, однако после извлечения из воды и двухдневной стоянки смогли продолжить путь. Аэросани НАМИ-VIII не смогли продолжить пробег из-за начавшейся оттепели и вышли из пробега после Ижевска. Завершить пробег смогли трое аэросаней, однако НАМИ-V, получившие повреждения в результате аварии в Кинешме, постоянно отставали и срезали путь на 625 км, пойдя от Глазово сразу на Ижевск, минуя </w:t>
      </w:r>
      <w:proofErr w:type="spellStart"/>
      <w:r w:rsidRPr="00A259BD">
        <w:rPr>
          <w:rFonts w:ascii="Times New Roman" w:hAnsi="Times New Roman"/>
          <w:color w:val="000000" w:themeColor="text1"/>
          <w:sz w:val="16"/>
          <w:szCs w:val="16"/>
        </w:rPr>
        <w:t>Дебессы</w:t>
      </w:r>
      <w:proofErr w:type="spellEnd"/>
      <w:r w:rsidRPr="00A259BD">
        <w:rPr>
          <w:rFonts w:ascii="Times New Roman" w:hAnsi="Times New Roman"/>
          <w:color w:val="000000" w:themeColor="text1"/>
          <w:sz w:val="16"/>
          <w:szCs w:val="16"/>
        </w:rPr>
        <w:t>, Пермь, Оханск, Осу и Воткинск. Аэросанный пробег подтвердил высокие качества аэросаней ЦАГИ, чего, однако, нельзя было сказать о конструкциях НАМИ (18640).</w:t>
      </w:r>
    </w:p>
    <w:p w14:paraId="3C9D6948" w14:textId="77777777" w:rsidR="00071A79" w:rsidRPr="00A259BD" w:rsidRDefault="00071A79" w:rsidP="009236E3">
      <w:pPr>
        <w:spacing w:after="0" w:line="240" w:lineRule="auto"/>
        <w:jc w:val="both"/>
        <w:rPr>
          <w:rFonts w:ascii="Times New Roman" w:hAnsi="Times New Roman"/>
          <w:color w:val="000000" w:themeColor="text1"/>
          <w:sz w:val="16"/>
          <w:szCs w:val="16"/>
        </w:rPr>
      </w:pPr>
    </w:p>
    <w:p w14:paraId="02A56141"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февраля 1929 состоялся старт Всероссийского испытательного пробега аэросаней, организованно</w:t>
      </w:r>
      <w:r w:rsidRPr="00A259BD">
        <w:rPr>
          <w:rFonts w:ascii="Times New Roman" w:hAnsi="Times New Roman"/>
          <w:color w:val="000000" w:themeColor="text1"/>
          <w:sz w:val="16"/>
          <w:szCs w:val="16"/>
        </w:rPr>
        <w:softHyphen/>
        <w:t>го обществом «Автодор» по маршруту Москва - Ярославль - Кострома - Кинешма - Юрьевец Подо</w:t>
      </w:r>
      <w:r w:rsidRPr="00A259BD">
        <w:rPr>
          <w:rFonts w:ascii="Times New Roman" w:hAnsi="Times New Roman"/>
          <w:color w:val="000000" w:themeColor="text1"/>
          <w:sz w:val="16"/>
          <w:szCs w:val="16"/>
        </w:rPr>
        <w:softHyphen/>
        <w:t xml:space="preserve">льский - Богородск - Котельнич - Вятка - Глазово - </w:t>
      </w:r>
      <w:proofErr w:type="spellStart"/>
      <w:r w:rsidRPr="00A259BD">
        <w:rPr>
          <w:rFonts w:ascii="Times New Roman" w:hAnsi="Times New Roman"/>
          <w:color w:val="000000" w:themeColor="text1"/>
          <w:sz w:val="16"/>
          <w:szCs w:val="16"/>
        </w:rPr>
        <w:t>Дебесса</w:t>
      </w:r>
      <w:proofErr w:type="spellEnd"/>
      <w:r w:rsidRPr="00A259BD">
        <w:rPr>
          <w:rFonts w:ascii="Times New Roman" w:hAnsi="Times New Roman"/>
          <w:color w:val="000000" w:themeColor="text1"/>
          <w:sz w:val="16"/>
          <w:szCs w:val="16"/>
        </w:rPr>
        <w:t xml:space="preserve"> - Пермь - Ижевск - Елабуга - Казань - Че</w:t>
      </w:r>
      <w:r w:rsidRPr="00A259BD">
        <w:rPr>
          <w:rFonts w:ascii="Times New Roman" w:hAnsi="Times New Roman"/>
          <w:color w:val="000000" w:themeColor="text1"/>
          <w:sz w:val="16"/>
          <w:szCs w:val="16"/>
        </w:rPr>
        <w:softHyphen/>
        <w:t>боксары - Нижний Новгород - Владимир - Москва протяженностью 3625 км. Пробег закончился 29 мар</w:t>
      </w:r>
      <w:r w:rsidRPr="00A259BD">
        <w:rPr>
          <w:rFonts w:ascii="Times New Roman" w:hAnsi="Times New Roman"/>
          <w:color w:val="000000" w:themeColor="text1"/>
          <w:sz w:val="16"/>
          <w:szCs w:val="16"/>
        </w:rPr>
        <w:softHyphen/>
        <w:t>та 1929 г.</w:t>
      </w:r>
    </w:p>
    <w:p w14:paraId="1D90A3AD"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пробеге участвовали четверо аэросаней: двое AHT-IV-ЦАГИ с двигателями «Люцифер» мощнос</w:t>
      </w:r>
      <w:r w:rsidRPr="00A259BD">
        <w:rPr>
          <w:rFonts w:ascii="Times New Roman" w:hAnsi="Times New Roman"/>
          <w:color w:val="000000" w:themeColor="text1"/>
          <w:sz w:val="16"/>
          <w:szCs w:val="16"/>
        </w:rPr>
        <w:softHyphen/>
        <w:t>тью 100 л.с., цельнометаллические, четырехмес</w:t>
      </w:r>
      <w:r w:rsidRPr="00A259BD">
        <w:rPr>
          <w:rFonts w:ascii="Times New Roman" w:hAnsi="Times New Roman"/>
          <w:color w:val="000000" w:themeColor="text1"/>
          <w:sz w:val="16"/>
          <w:szCs w:val="16"/>
        </w:rPr>
        <w:softHyphen/>
        <w:t>тные, пассажирская кабина закрытая, место водите</w:t>
      </w:r>
      <w:r w:rsidRPr="00A259BD">
        <w:rPr>
          <w:rFonts w:ascii="Times New Roman" w:hAnsi="Times New Roman"/>
          <w:color w:val="000000" w:themeColor="text1"/>
          <w:sz w:val="16"/>
          <w:szCs w:val="16"/>
        </w:rPr>
        <w:softHyphen/>
        <w:t>ля открытое (экипаж одной из этих машин составили ее конструкторы А. Ар</w:t>
      </w:r>
      <w:r w:rsidRPr="00A259BD">
        <w:rPr>
          <w:rFonts w:ascii="Times New Roman" w:hAnsi="Times New Roman"/>
          <w:color w:val="000000" w:themeColor="text1"/>
          <w:sz w:val="16"/>
          <w:szCs w:val="16"/>
        </w:rPr>
        <w:softHyphen/>
        <w:t xml:space="preserve">хангельский, В. Петляков, М. Петров, Б. Стечкин, И. </w:t>
      </w:r>
      <w:proofErr w:type="spellStart"/>
      <w:r w:rsidRPr="00A259BD">
        <w:rPr>
          <w:rFonts w:ascii="Times New Roman" w:hAnsi="Times New Roman"/>
          <w:color w:val="000000" w:themeColor="text1"/>
          <w:sz w:val="16"/>
          <w:szCs w:val="16"/>
        </w:rPr>
        <w:t>Погосский</w:t>
      </w:r>
      <w:proofErr w:type="spellEnd"/>
      <w:r w:rsidRPr="00A259BD">
        <w:rPr>
          <w:rFonts w:ascii="Times New Roman" w:hAnsi="Times New Roman"/>
          <w:color w:val="000000" w:themeColor="text1"/>
          <w:sz w:val="16"/>
          <w:szCs w:val="16"/>
        </w:rPr>
        <w:t>, на второй водителем был А. Кузне</w:t>
      </w:r>
      <w:r w:rsidRPr="00A259BD">
        <w:rPr>
          <w:rFonts w:ascii="Times New Roman" w:hAnsi="Times New Roman"/>
          <w:color w:val="000000" w:themeColor="text1"/>
          <w:sz w:val="16"/>
          <w:szCs w:val="16"/>
        </w:rPr>
        <w:softHyphen/>
        <w:t>цов), НАМИ-V (водитель Ф. Король) и НАМИ-VIII (водитель Щербаков) - аэ</w:t>
      </w:r>
      <w:r w:rsidRPr="00A259BD">
        <w:rPr>
          <w:rFonts w:ascii="Times New Roman" w:hAnsi="Times New Roman"/>
          <w:color w:val="000000" w:themeColor="text1"/>
          <w:sz w:val="16"/>
          <w:szCs w:val="16"/>
        </w:rPr>
        <w:softHyphen/>
        <w:t>росани деревянные, от</w:t>
      </w:r>
      <w:r w:rsidRPr="00A259BD">
        <w:rPr>
          <w:rFonts w:ascii="Times New Roman" w:hAnsi="Times New Roman"/>
          <w:color w:val="000000" w:themeColor="text1"/>
          <w:sz w:val="16"/>
          <w:szCs w:val="16"/>
        </w:rPr>
        <w:softHyphen/>
        <w:t>крытые, 4-местные, с мото</w:t>
      </w:r>
      <w:r w:rsidRPr="00A259BD">
        <w:rPr>
          <w:rFonts w:ascii="Times New Roman" w:hAnsi="Times New Roman"/>
          <w:color w:val="000000" w:themeColor="text1"/>
          <w:sz w:val="16"/>
          <w:szCs w:val="16"/>
        </w:rPr>
        <w:softHyphen/>
        <w:t>ром «</w:t>
      </w:r>
      <w:proofErr w:type="spellStart"/>
      <w:r w:rsidRPr="00A259BD">
        <w:rPr>
          <w:rFonts w:ascii="Times New Roman" w:hAnsi="Times New Roman"/>
          <w:color w:val="000000" w:themeColor="text1"/>
          <w:sz w:val="16"/>
          <w:szCs w:val="16"/>
        </w:rPr>
        <w:t>Сальмсон</w:t>
      </w:r>
      <w:proofErr w:type="spellEnd"/>
      <w:r w:rsidRPr="00A259BD">
        <w:rPr>
          <w:rFonts w:ascii="Times New Roman" w:hAnsi="Times New Roman"/>
          <w:color w:val="000000" w:themeColor="text1"/>
          <w:sz w:val="16"/>
          <w:szCs w:val="16"/>
        </w:rPr>
        <w:t>» мощнос</w:t>
      </w:r>
      <w:r w:rsidRPr="00A259BD">
        <w:rPr>
          <w:rFonts w:ascii="Times New Roman" w:hAnsi="Times New Roman"/>
          <w:color w:val="000000" w:themeColor="text1"/>
          <w:sz w:val="16"/>
          <w:szCs w:val="16"/>
        </w:rPr>
        <w:softHyphen/>
        <w:t>тью 150 л.с. (последние, пройдя 2300 км, сошли с маршрута после Ижевска) (22518).</w:t>
      </w:r>
    </w:p>
    <w:p w14:paraId="50E3EC01" w14:textId="77777777" w:rsidR="00825262" w:rsidRPr="00A259BD" w:rsidRDefault="00825262" w:rsidP="009236E3">
      <w:pPr>
        <w:spacing w:after="0" w:line="240" w:lineRule="auto"/>
        <w:jc w:val="both"/>
        <w:rPr>
          <w:rFonts w:ascii="Times New Roman" w:hAnsi="Times New Roman"/>
          <w:color w:val="000000" w:themeColor="text1"/>
          <w:sz w:val="16"/>
          <w:szCs w:val="16"/>
        </w:rPr>
      </w:pPr>
    </w:p>
    <w:p w14:paraId="7DDCCAF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A626CF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FA61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февраля 1929 из ЦАГИ вернулся второй экз. дублера И-4, на который ставили подогреватель карбюратора (1060,47).</w:t>
      </w:r>
    </w:p>
    <w:p w14:paraId="3C7185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A28DF7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февраля 1929 года был подготовлен Протокол по испытаниям самолета П2-М6 на посадку (6981).</w:t>
      </w:r>
    </w:p>
    <w:p w14:paraId="3D1218A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485D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февраля 1929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заключило с ЦАГИ договор на постройку опытного образца "металлического самолета типа бомбовоза", который должны были сдать к 1 июля 1930 (1854,6).</w:t>
      </w:r>
    </w:p>
    <w:p w14:paraId="452AEB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92ABB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7D1654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727A6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февраля 1929 </w:t>
      </w:r>
      <w:proofErr w:type="spellStart"/>
      <w:r w:rsidRPr="00A259BD">
        <w:rPr>
          <w:rFonts w:ascii="Times New Roman" w:hAnsi="Times New Roman"/>
          <w:color w:val="000000" w:themeColor="text1"/>
          <w:sz w:val="16"/>
          <w:szCs w:val="16"/>
        </w:rPr>
        <w:t>Л.В.Курчевский</w:t>
      </w:r>
      <w:proofErr w:type="spellEnd"/>
      <w:r w:rsidRPr="00A259BD">
        <w:rPr>
          <w:rFonts w:ascii="Times New Roman" w:hAnsi="Times New Roman"/>
          <w:color w:val="000000" w:themeColor="text1"/>
          <w:sz w:val="16"/>
          <w:szCs w:val="16"/>
        </w:rPr>
        <w:t xml:space="preserve">, прибывший из заключения с Соловков, появился на Ленинградском </w:t>
      </w:r>
      <w:proofErr w:type="spellStart"/>
      <w:r w:rsidRPr="00A259BD">
        <w:rPr>
          <w:rFonts w:ascii="Times New Roman" w:hAnsi="Times New Roman"/>
          <w:color w:val="000000" w:themeColor="text1"/>
          <w:sz w:val="16"/>
          <w:szCs w:val="16"/>
        </w:rPr>
        <w:t>артполигоне</w:t>
      </w:r>
      <w:proofErr w:type="spellEnd"/>
      <w:r w:rsidRPr="00A259BD">
        <w:rPr>
          <w:rFonts w:ascii="Times New Roman" w:hAnsi="Times New Roman"/>
          <w:color w:val="000000" w:themeColor="text1"/>
          <w:sz w:val="16"/>
          <w:szCs w:val="16"/>
        </w:rPr>
        <w:t xml:space="preserve"> и безжалостно раскритиковал две пушки ДРП конструкции проф. </w:t>
      </w:r>
      <w:proofErr w:type="spellStart"/>
      <w:r w:rsidRPr="00A259BD">
        <w:rPr>
          <w:rFonts w:ascii="Times New Roman" w:hAnsi="Times New Roman"/>
          <w:color w:val="000000" w:themeColor="text1"/>
          <w:sz w:val="16"/>
          <w:szCs w:val="16"/>
        </w:rPr>
        <w:t>Беркалова</w:t>
      </w:r>
      <w:proofErr w:type="spellEnd"/>
      <w:r w:rsidRPr="00A259BD">
        <w:rPr>
          <w:rFonts w:ascii="Times New Roman" w:hAnsi="Times New Roman"/>
          <w:color w:val="000000" w:themeColor="text1"/>
          <w:sz w:val="16"/>
          <w:szCs w:val="16"/>
        </w:rPr>
        <w:t>. Сумел убедить ГАУ, что сделает лучше и с марта уже получал зарплату в 400 руб. (2693,13).</w:t>
      </w:r>
    </w:p>
    <w:p w14:paraId="17263F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6CC1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февраля 1929 </w:t>
      </w:r>
      <w:proofErr w:type="spellStart"/>
      <w:r w:rsidRPr="00A259BD">
        <w:rPr>
          <w:rFonts w:ascii="Times New Roman" w:hAnsi="Times New Roman"/>
          <w:color w:val="000000" w:themeColor="text1"/>
          <w:sz w:val="16"/>
          <w:szCs w:val="16"/>
        </w:rPr>
        <w:t>Курчевский</w:t>
      </w:r>
      <w:proofErr w:type="spellEnd"/>
      <w:r w:rsidRPr="00A259BD">
        <w:rPr>
          <w:rFonts w:ascii="Times New Roman" w:hAnsi="Times New Roman"/>
          <w:color w:val="000000" w:themeColor="text1"/>
          <w:sz w:val="16"/>
          <w:szCs w:val="16"/>
        </w:rPr>
        <w:t xml:space="preserve"> появился на Ленинградском артиллерийском полигоне, где осмотрел и безжалостно раскритиковал две ДРП конструкции профессора </w:t>
      </w:r>
      <w:proofErr w:type="spellStart"/>
      <w:r w:rsidRPr="00A259BD">
        <w:rPr>
          <w:rFonts w:ascii="Times New Roman" w:hAnsi="Times New Roman"/>
          <w:color w:val="000000" w:themeColor="text1"/>
          <w:sz w:val="16"/>
          <w:szCs w:val="16"/>
        </w:rPr>
        <w:t>Беркалова</w:t>
      </w:r>
      <w:proofErr w:type="spellEnd"/>
      <w:r w:rsidRPr="00A259BD">
        <w:rPr>
          <w:rFonts w:ascii="Times New Roman" w:hAnsi="Times New Roman"/>
          <w:color w:val="000000" w:themeColor="text1"/>
          <w:sz w:val="16"/>
          <w:szCs w:val="16"/>
        </w:rPr>
        <w:t xml:space="preserve">. Убедив руководство Артиллерийского управления РККА в том, что только он сумеет создать более эффективные системы, </w:t>
      </w:r>
      <w:proofErr w:type="spellStart"/>
      <w:r w:rsidRPr="00A259BD">
        <w:rPr>
          <w:rFonts w:ascii="Times New Roman" w:hAnsi="Times New Roman"/>
          <w:color w:val="000000" w:themeColor="text1"/>
          <w:sz w:val="16"/>
          <w:szCs w:val="16"/>
        </w:rPr>
        <w:t>Курчевский</w:t>
      </w:r>
      <w:proofErr w:type="spellEnd"/>
      <w:r w:rsidRPr="00A259BD">
        <w:rPr>
          <w:rFonts w:ascii="Times New Roman" w:hAnsi="Times New Roman"/>
          <w:color w:val="000000" w:themeColor="text1"/>
          <w:sz w:val="16"/>
          <w:szCs w:val="16"/>
        </w:rPr>
        <w:t xml:space="preserve"> получил особое секретное задание на разработку ДРП своей конструкции. Уже с марта 1929 г. ему начали выплачивать ежемесячное жалованье - 400 рублей. Чуть позже были предоставлены необходимые средства и производственная база на артиллерийском заводе № 8 в подмосковных Подлипках. Там были изготовлены опытные образцы орудий, и проведены первые убедительные демонстрации. Наиболее впечатляла зрителей </w:t>
      </w:r>
      <w:proofErr w:type="spellStart"/>
      <w:r w:rsidRPr="00A259BD">
        <w:rPr>
          <w:rFonts w:ascii="Times New Roman" w:hAnsi="Times New Roman"/>
          <w:color w:val="000000" w:themeColor="text1"/>
          <w:sz w:val="16"/>
          <w:szCs w:val="16"/>
        </w:rPr>
        <w:t>динамореактивная</w:t>
      </w:r>
      <w:proofErr w:type="spellEnd"/>
      <w:r w:rsidRPr="00A259BD">
        <w:rPr>
          <w:rFonts w:ascii="Times New Roman" w:hAnsi="Times New Roman"/>
          <w:color w:val="000000" w:themeColor="text1"/>
          <w:sz w:val="16"/>
          <w:szCs w:val="16"/>
        </w:rPr>
        <w:t xml:space="preserve"> пушка, закреплённая на качелях. Пушка стреляла, а качели оставались неподвижными. Пользуясь благосклонным отношением руководства, в июле конструктор потребовал обеспечить ему штат сотрудников из десяти человек и выделить 87000 рублей до конца года (12005).</w:t>
      </w:r>
    </w:p>
    <w:p w14:paraId="344258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54EE9C"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февраля 1929 г. </w:t>
      </w:r>
      <w:proofErr w:type="spellStart"/>
      <w:r w:rsidRPr="00A259BD">
        <w:rPr>
          <w:rFonts w:ascii="Times New Roman" w:hAnsi="Times New Roman"/>
          <w:color w:val="000000" w:themeColor="text1"/>
          <w:sz w:val="16"/>
          <w:szCs w:val="16"/>
        </w:rPr>
        <w:t>Курчевский</w:t>
      </w:r>
      <w:proofErr w:type="spellEnd"/>
      <w:r w:rsidRPr="00A259BD">
        <w:rPr>
          <w:rFonts w:ascii="Times New Roman" w:hAnsi="Times New Roman"/>
          <w:color w:val="000000" w:themeColor="text1"/>
          <w:sz w:val="16"/>
          <w:szCs w:val="16"/>
        </w:rPr>
        <w:t xml:space="preserve"> отправляет письмо начальнику ВНИК Янсону:</w:t>
      </w:r>
    </w:p>
    <w:p w14:paraId="0552BD7A"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«Настоящим доношу, что в Ленинграде мне было предъявлено к осмотру две пушки (гаубицы): 1) заряжаемая с дула, 2) заряжаемая с казны, построенные на полигоне специальной комиссией по ДРП.</w:t>
      </w:r>
    </w:p>
    <w:p w14:paraId="523BACE3"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Гаубицы устанавливаются на треноге или, по желанию, на пулеметном станке. После осмотра был произведен один выстрел и даны объяснения тов. </w:t>
      </w:r>
      <w:proofErr w:type="spellStart"/>
      <w:r w:rsidRPr="00A259BD">
        <w:rPr>
          <w:rFonts w:ascii="Times New Roman" w:hAnsi="Times New Roman"/>
          <w:color w:val="000000" w:themeColor="text1"/>
          <w:sz w:val="16"/>
          <w:szCs w:val="16"/>
        </w:rPr>
        <w:t>Беркаловым</w:t>
      </w:r>
      <w:proofErr w:type="spellEnd"/>
      <w:r w:rsidRPr="00A259BD">
        <w:rPr>
          <w:rFonts w:ascii="Times New Roman" w:hAnsi="Times New Roman"/>
          <w:color w:val="000000" w:themeColor="text1"/>
          <w:sz w:val="16"/>
          <w:szCs w:val="16"/>
        </w:rPr>
        <w:t>. При использовании снаряда весом 3,15 кг и заряда 400 г начальная скорость снаряда — 180 м/с, дальность стрельбы — 2 км, давление газов — 2300 атм. При стрельбе снарядом весом 6 кг — начальная скорость снаряда 90 м/с.</w:t>
      </w:r>
    </w:p>
    <w:p w14:paraId="566469D0"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Вывод:</w:t>
      </w:r>
    </w:p>
    <w:p w14:paraId="653C393C"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Осмотренные гаубицы не являются орудиями, построенными на основании разумно усвоенного и разработанного принципа ДРП…</w:t>
      </w:r>
    </w:p>
    <w:p w14:paraId="526CA97C"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Единственное свойство, оставшееся от ДРП, — </w:t>
      </w:r>
      <w:proofErr w:type="spellStart"/>
      <w:r w:rsidRPr="00A259BD">
        <w:rPr>
          <w:rFonts w:ascii="Times New Roman" w:hAnsi="Times New Roman"/>
          <w:color w:val="000000" w:themeColor="text1"/>
          <w:sz w:val="16"/>
          <w:szCs w:val="16"/>
        </w:rPr>
        <w:t>безоткатность</w:t>
      </w:r>
      <w:proofErr w:type="spellEnd"/>
      <w:r w:rsidRPr="00A259BD">
        <w:rPr>
          <w:rFonts w:ascii="Times New Roman" w:hAnsi="Times New Roman"/>
          <w:color w:val="000000" w:themeColor="text1"/>
          <w:sz w:val="16"/>
          <w:szCs w:val="16"/>
        </w:rPr>
        <w:t>, однако заимствованное от ДРП сопло не используется по прямому назначению — для увеличения реакции струи, а следовательно, и повышения начальной скорости снаряда.</w:t>
      </w:r>
    </w:p>
    <w:p w14:paraId="2DAEC919"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Вследствие непомерного уширения сопла, примерно до 60° взамен допустимого 10°, его роль сводится к простому надульнику [</w:t>
      </w:r>
      <w:proofErr w:type="spellStart"/>
      <w:r w:rsidRPr="00A259BD">
        <w:rPr>
          <w:rFonts w:ascii="Times New Roman" w:hAnsi="Times New Roman"/>
          <w:color w:val="000000" w:themeColor="text1"/>
          <w:sz w:val="16"/>
          <w:szCs w:val="16"/>
        </w:rPr>
        <w:t>Курчевский</w:t>
      </w:r>
      <w:proofErr w:type="spellEnd"/>
      <w:r w:rsidRPr="00A259BD">
        <w:rPr>
          <w:rFonts w:ascii="Times New Roman" w:hAnsi="Times New Roman"/>
          <w:color w:val="000000" w:themeColor="text1"/>
          <w:sz w:val="16"/>
          <w:szCs w:val="16"/>
        </w:rPr>
        <w:t xml:space="preserve"> имеет в виду дульный тормоз</w:t>
      </w:r>
      <w:r w:rsidRPr="00A259BD">
        <w:rPr>
          <w:rFonts w:ascii="Times New Roman" w:hAnsi="Times New Roman"/>
          <w:iCs/>
          <w:color w:val="000000" w:themeColor="text1"/>
          <w:sz w:val="16"/>
          <w:szCs w:val="16"/>
        </w:rPr>
        <w:t xml:space="preserve">], </w:t>
      </w:r>
      <w:r w:rsidRPr="00A259BD">
        <w:rPr>
          <w:rFonts w:ascii="Times New Roman" w:hAnsi="Times New Roman"/>
          <w:color w:val="000000" w:themeColor="text1"/>
          <w:sz w:val="16"/>
          <w:szCs w:val="16"/>
        </w:rPr>
        <w:t>лишь тормозящему откат ствола, без всякого влияния на улучшение баллистических качеств орудия.</w:t>
      </w:r>
    </w:p>
    <w:p w14:paraId="25658FC3"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Заряд воспламеняется в передней части, что противоречит самому принципу ДРП.</w:t>
      </w:r>
    </w:p>
    <w:p w14:paraId="4448F0D9"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Полученное давление — 2300 </w:t>
      </w:r>
      <w:proofErr w:type="spellStart"/>
      <w:r w:rsidRPr="00A259BD">
        <w:rPr>
          <w:rFonts w:ascii="Times New Roman" w:hAnsi="Times New Roman"/>
          <w:color w:val="000000" w:themeColor="text1"/>
          <w:sz w:val="16"/>
          <w:szCs w:val="16"/>
        </w:rPr>
        <w:t>атм</w:t>
      </w:r>
      <w:proofErr w:type="spellEnd"/>
      <w:r w:rsidRPr="00A259BD">
        <w:rPr>
          <w:rFonts w:ascii="Times New Roman" w:hAnsi="Times New Roman"/>
          <w:color w:val="000000" w:themeColor="text1"/>
          <w:sz w:val="16"/>
          <w:szCs w:val="16"/>
        </w:rPr>
        <w:t xml:space="preserve"> — чрезмерно велико и используется очень плохо, так как начальная скорость снаряда всего 180 м/с.</w:t>
      </w:r>
    </w:p>
    <w:p w14:paraId="3D4C99D6"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Благодаря большому давлению уничтожается ценное свойство ДРП — применение легких, с тонкой оболочкой, дешевых снарядов с большим количеством взрывчатого вещества.</w:t>
      </w:r>
    </w:p>
    <w:p w14:paraId="3EB67AE3"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Если сопоставить результаты работы Комиссии с бывшими у меня ранее, то получится такая картина: скорострельность упала с 30 до 7 выстрелов в минуту.</w:t>
      </w:r>
    </w:p>
    <w:p w14:paraId="79952FA0"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Таким образом, невзирая на большой вес тела орудия, большой заряд и громадное давление в канале, живая сила снаряда гаубицы </w:t>
      </w:r>
      <w:proofErr w:type="spellStart"/>
      <w:r w:rsidRPr="00A259BD">
        <w:rPr>
          <w:rFonts w:ascii="Times New Roman" w:hAnsi="Times New Roman"/>
          <w:color w:val="000000" w:themeColor="text1"/>
          <w:sz w:val="16"/>
          <w:szCs w:val="16"/>
        </w:rPr>
        <w:t>Беркалова</w:t>
      </w:r>
      <w:proofErr w:type="spellEnd"/>
      <w:r w:rsidRPr="00A259BD">
        <w:rPr>
          <w:rFonts w:ascii="Times New Roman" w:hAnsi="Times New Roman"/>
          <w:color w:val="000000" w:themeColor="text1"/>
          <w:sz w:val="16"/>
          <w:szCs w:val="16"/>
        </w:rPr>
        <w:t xml:space="preserve"> в четыре раза меньше, чем живая сила снаряда ДРП.</w:t>
      </w:r>
    </w:p>
    <w:p w14:paraId="6B51132B"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словам Комиссии, работавшей над ДРП, она не получила после меня никаких теоретических материалов. Первые стрельбы, по-видимому, производились бракованными снарядами, может быть, этим и объясняется столь малая успешность работ Комиссии.</w:t>
      </w:r>
    </w:p>
    <w:p w14:paraId="2059572D"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Никакого существенного улучшения работы орудия </w:t>
      </w:r>
      <w:proofErr w:type="spellStart"/>
      <w:r w:rsidRPr="00A259BD">
        <w:rPr>
          <w:rFonts w:ascii="Times New Roman" w:hAnsi="Times New Roman"/>
          <w:color w:val="000000" w:themeColor="text1"/>
          <w:sz w:val="16"/>
          <w:szCs w:val="16"/>
        </w:rPr>
        <w:t>Беркалова</w:t>
      </w:r>
      <w:proofErr w:type="spellEnd"/>
      <w:r w:rsidRPr="00A259BD">
        <w:rPr>
          <w:rFonts w:ascii="Times New Roman" w:hAnsi="Times New Roman"/>
          <w:color w:val="000000" w:themeColor="text1"/>
          <w:sz w:val="16"/>
          <w:szCs w:val="16"/>
        </w:rPr>
        <w:t xml:space="preserve"> ожидать нельзя. Таким образом, вся работа Комиссии, за исключением некоторых мелких деталей конструктивного характера, оказывается безрезультатной. Необходимо вернуться к неискаженному принципу “ДРП”. При этом, я полагаю, удастся построить:</w:t>
      </w:r>
    </w:p>
    <w:p w14:paraId="1E722B3F"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Дешевое легкое полковое орудие с дальностью стрельбы 4—5 км, калибром 3 дюйма.</w:t>
      </w:r>
    </w:p>
    <w:p w14:paraId="1CF1D7D2"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То же легкое “тяжелое орудие” калибром 5—6 дюймов с дальностью 5—6 км.</w:t>
      </w:r>
    </w:p>
    <w:p w14:paraId="04F15528"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Легкую противотанковую пушку калибром 2—2,5 дюйма, способную пробивать броню 20—25 мм на расстоянии 1000 м.</w:t>
      </w:r>
    </w:p>
    <w:p w14:paraId="395C860C"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Картечницу 3—4-дюймового калибра для вооружения самолетов, для борьбы с самолетами противника.</w:t>
      </w:r>
    </w:p>
    <w:p w14:paraId="2D8F3BC6"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Полковую артиллерию считаю необходимым сделать самоходной. Весьма заманчивым представляется установка 3-х дюймовой гаубицы на шасси прицепки мотоцикла “Харлей” и 6-дм пушки на шасси легкового автомобиля “Форд”.</w:t>
      </w:r>
    </w:p>
    <w:p w14:paraId="6AF4E45B" w14:textId="77777777" w:rsidR="00E21C05" w:rsidRPr="00A259BD" w:rsidRDefault="00E21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Такое орудие, обладая большой скоростью передвижения (до 80 км/час), проходимостью по любым дорогам и даже без дорог, большим запасом снарядов, возимых с орудием (40—50 шт.), и громадной мощностью огня, должно в корне изменить нашу тактику» (15117).</w:t>
      </w:r>
    </w:p>
    <w:p w14:paraId="4FE9778F" w14:textId="77777777" w:rsidR="00E21C05" w:rsidRPr="00A259BD" w:rsidRDefault="00E21C05" w:rsidP="009236E3">
      <w:pPr>
        <w:spacing w:after="0" w:line="240" w:lineRule="auto"/>
        <w:jc w:val="both"/>
        <w:rPr>
          <w:rFonts w:ascii="Times New Roman" w:hAnsi="Times New Roman"/>
          <w:color w:val="000000" w:themeColor="text1"/>
          <w:sz w:val="16"/>
          <w:szCs w:val="16"/>
        </w:rPr>
      </w:pPr>
    </w:p>
    <w:p w14:paraId="4A9C9692" w14:textId="77777777" w:rsidR="00071A79" w:rsidRPr="00A259BD" w:rsidRDefault="00071A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февраля 1929 г. военный министр </w:t>
      </w:r>
      <w:proofErr w:type="spellStart"/>
      <w:r w:rsidRPr="00A259BD">
        <w:rPr>
          <w:rFonts w:ascii="Times New Roman" w:hAnsi="Times New Roman"/>
          <w:color w:val="000000" w:themeColor="text1"/>
          <w:sz w:val="16"/>
          <w:szCs w:val="16"/>
        </w:rPr>
        <w:t>Гренер</w:t>
      </w:r>
      <w:proofErr w:type="spellEnd"/>
      <w:r w:rsidRPr="00A259BD">
        <w:rPr>
          <w:rFonts w:ascii="Times New Roman" w:hAnsi="Times New Roman"/>
          <w:color w:val="000000" w:themeColor="text1"/>
          <w:sz w:val="16"/>
          <w:szCs w:val="16"/>
        </w:rPr>
        <w:t xml:space="preserve"> и министр иностранных дел </w:t>
      </w:r>
      <w:proofErr w:type="spellStart"/>
      <w:r w:rsidRPr="00A259BD">
        <w:rPr>
          <w:rFonts w:ascii="Times New Roman" w:hAnsi="Times New Roman"/>
          <w:color w:val="000000" w:themeColor="text1"/>
          <w:sz w:val="16"/>
          <w:szCs w:val="16"/>
        </w:rPr>
        <w:t>Штреземан</w:t>
      </w:r>
      <w:proofErr w:type="spellEnd"/>
      <w:r w:rsidRPr="00A259BD">
        <w:rPr>
          <w:rFonts w:ascii="Times New Roman" w:hAnsi="Times New Roman"/>
          <w:color w:val="000000" w:themeColor="text1"/>
          <w:sz w:val="16"/>
          <w:szCs w:val="16"/>
        </w:rPr>
        <w:t xml:space="preserve"> договорились о посылке в 1929 г. 52 человек в Липецк, 11 человек в Казань, «необходимого» персонала на «Томку», 14 человек на маневры, одного опытного штабного офицера на полгода и 5 человек для изучения русского языка. Иными </w:t>
      </w:r>
      <w:r w:rsidRPr="00A259BD">
        <w:rPr>
          <w:rFonts w:ascii="Times New Roman" w:hAnsi="Times New Roman"/>
          <w:color w:val="000000" w:themeColor="text1"/>
          <w:sz w:val="16"/>
          <w:szCs w:val="16"/>
        </w:rPr>
        <w:lastRenderedPageBreak/>
        <w:t xml:space="preserve">словами, в 1929 г. в СССР для обучения и проведения испытаний от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выезжало почти 90 Человек. И это помимо постоянно действовавшего в школах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и в «Центре Москва» персонала, а также представителей германских </w:t>
      </w:r>
      <w:proofErr w:type="spellStart"/>
      <w:r w:rsidRPr="00A259BD">
        <w:rPr>
          <w:rFonts w:ascii="Times New Roman" w:hAnsi="Times New Roman"/>
          <w:color w:val="000000" w:themeColor="text1"/>
          <w:sz w:val="16"/>
          <w:szCs w:val="16"/>
        </w:rPr>
        <w:t>военнопромышленных</w:t>
      </w:r>
      <w:proofErr w:type="spellEnd"/>
      <w:r w:rsidRPr="00A259BD">
        <w:rPr>
          <w:rFonts w:ascii="Times New Roman" w:hAnsi="Times New Roman"/>
          <w:color w:val="000000" w:themeColor="text1"/>
          <w:sz w:val="16"/>
          <w:szCs w:val="16"/>
        </w:rPr>
        <w:t xml:space="preserve"> фирм (18265).</w:t>
      </w:r>
    </w:p>
    <w:p w14:paraId="74492EE9" w14:textId="77777777" w:rsidR="00071A79" w:rsidRPr="00A259BD" w:rsidRDefault="00071A79" w:rsidP="009236E3">
      <w:pPr>
        <w:spacing w:after="0" w:line="240" w:lineRule="auto"/>
        <w:jc w:val="both"/>
        <w:rPr>
          <w:rFonts w:ascii="Times New Roman" w:hAnsi="Times New Roman"/>
          <w:color w:val="000000" w:themeColor="text1"/>
          <w:sz w:val="16"/>
          <w:szCs w:val="16"/>
        </w:rPr>
      </w:pPr>
    </w:p>
    <w:p w14:paraId="3699929D" w14:textId="77777777" w:rsidR="00DA7BDB"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C9A4F27" w14:textId="77777777" w:rsidR="00DA7BDB" w:rsidRPr="00A259BD" w:rsidRDefault="00DA7BD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DB54E7" w14:textId="77777777" w:rsidR="00DA7BDB" w:rsidRPr="00A259BD" w:rsidRDefault="00DA7B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18 февраля</w:t>
      </w:r>
      <w:r w:rsidRPr="00A259BD">
        <w:rPr>
          <w:rFonts w:ascii="Times New Roman" w:hAnsi="Times New Roman"/>
          <w:color w:val="000000" w:themeColor="text1"/>
          <w:sz w:val="16"/>
          <w:szCs w:val="16"/>
        </w:rPr>
        <w:t xml:space="preserve"> в 1929 году транспортный самолет </w:t>
      </w:r>
      <w:hyperlink r:id="rId18" w:tgtFrame="_blank" w:history="1">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Bernard</w:t>
        </w:r>
        <w:proofErr w:type="spellEnd"/>
        <w:r w:rsidRPr="00A259BD">
          <w:rPr>
            <w:rFonts w:ascii="Times New Roman" w:hAnsi="Times New Roman"/>
            <w:color w:val="000000" w:themeColor="text1"/>
            <w:sz w:val="16"/>
            <w:szCs w:val="16"/>
          </w:rPr>
          <w:t xml:space="preserve">» «197GR», </w:t>
        </w:r>
      </w:hyperlink>
      <w:r w:rsidRPr="00A259BD">
        <w:rPr>
          <w:rFonts w:ascii="Times New Roman" w:hAnsi="Times New Roman"/>
          <w:color w:val="000000" w:themeColor="text1"/>
          <w:sz w:val="16"/>
          <w:szCs w:val="16"/>
        </w:rPr>
        <w:t>последний представитель семейства «</w:t>
      </w:r>
      <w:proofErr w:type="spellStart"/>
      <w:r w:rsidRPr="00A259BD">
        <w:rPr>
          <w:rFonts w:ascii="Times New Roman" w:hAnsi="Times New Roman"/>
          <w:color w:val="000000" w:themeColor="text1"/>
          <w:sz w:val="16"/>
          <w:szCs w:val="16"/>
        </w:rPr>
        <w:t>Bernard</w:t>
      </w:r>
      <w:proofErr w:type="spellEnd"/>
      <w:r w:rsidRPr="00A259BD">
        <w:rPr>
          <w:rFonts w:ascii="Times New Roman" w:hAnsi="Times New Roman"/>
          <w:color w:val="000000" w:themeColor="text1"/>
          <w:sz w:val="16"/>
          <w:szCs w:val="16"/>
        </w:rPr>
        <w:t xml:space="preserve"> 190», построенный в 1929 году, принял участие в 11000-километровом перелете в Сайгон, но был вынужден совершить преждевременную посадку на последнем этапе перелета - сразу после вылета из Рангуна(ныне Янгон, столица Мьянмы) 26 февраля 1929 года. «</w:t>
      </w:r>
      <w:proofErr w:type="spellStart"/>
      <w:r w:rsidRPr="00A259BD">
        <w:rPr>
          <w:rFonts w:ascii="Times New Roman" w:hAnsi="Times New Roman"/>
          <w:color w:val="000000" w:themeColor="text1"/>
          <w:sz w:val="16"/>
          <w:szCs w:val="16"/>
        </w:rPr>
        <w:t>Bernard</w:t>
      </w:r>
      <w:proofErr w:type="spellEnd"/>
      <w:r w:rsidRPr="00A259BD">
        <w:rPr>
          <w:rFonts w:ascii="Times New Roman" w:hAnsi="Times New Roman"/>
          <w:color w:val="000000" w:themeColor="text1"/>
          <w:sz w:val="16"/>
          <w:szCs w:val="16"/>
        </w:rPr>
        <w:t xml:space="preserve"> 197 GR»: был заказан компанией "Societe </w:t>
      </w:r>
      <w:proofErr w:type="spellStart"/>
      <w:r w:rsidRPr="00A259BD">
        <w:rPr>
          <w:rFonts w:ascii="Times New Roman" w:hAnsi="Times New Roman"/>
          <w:color w:val="000000" w:themeColor="text1"/>
          <w:sz w:val="16"/>
          <w:szCs w:val="16"/>
        </w:rPr>
        <w:t>des</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Moteurs</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Lorraine</w:t>
      </w:r>
      <w:proofErr w:type="spellEnd"/>
      <w:r w:rsidRPr="00A259BD">
        <w:rPr>
          <w:rFonts w:ascii="Times New Roman" w:hAnsi="Times New Roman"/>
          <w:color w:val="000000" w:themeColor="text1"/>
          <w:sz w:val="16"/>
          <w:szCs w:val="16"/>
        </w:rPr>
        <w:t>" для демонстрации своего двигателя во время рекламного тура по Южной Америке. Самолет летал в компании "South Pacific", а затем использовался для подготовительных полетов по новым маршрутам (15044).</w:t>
      </w:r>
    </w:p>
    <w:p w14:paraId="2754CB35" w14:textId="77777777" w:rsidR="00DA7BDB" w:rsidRPr="00A259BD" w:rsidRDefault="00DA7BDB" w:rsidP="009236E3">
      <w:pPr>
        <w:spacing w:after="0" w:line="240" w:lineRule="auto"/>
        <w:jc w:val="both"/>
        <w:rPr>
          <w:rFonts w:ascii="Times New Roman" w:hAnsi="Times New Roman"/>
          <w:color w:val="000000" w:themeColor="text1"/>
          <w:sz w:val="16"/>
          <w:szCs w:val="16"/>
        </w:rPr>
      </w:pPr>
    </w:p>
    <w:p w14:paraId="7B0466F3"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2EE690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F40B31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февраля 1929 года в ходе испытаний самолета ТБ-1 БМВ6 в НИИ ВВС был проведен полет на определение горизонтальных скоростей на высоте 100 м по мерному километру.</w:t>
      </w:r>
    </w:p>
    <w:p w14:paraId="30229EE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Волковойнов</w:t>
      </w:r>
      <w:proofErr w:type="spellEnd"/>
      <w:r w:rsidRPr="00A259BD">
        <w:rPr>
          <w:rFonts w:ascii="Times New Roman" w:hAnsi="Times New Roman"/>
          <w:color w:val="000000" w:themeColor="text1"/>
          <w:sz w:val="16"/>
          <w:szCs w:val="16"/>
        </w:rPr>
        <w:t xml:space="preserve"> (6913).</w:t>
      </w:r>
    </w:p>
    <w:p w14:paraId="3B376DF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839432" w14:textId="77777777" w:rsidR="00071A79" w:rsidRPr="00A259BD" w:rsidRDefault="00071A79"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 xml:space="preserve">19 февраля 1929 г. АНТ-5 дублер вернулся из ЦАГИ в НИИ ВВС, а 28 февраля на нем потерпел аварию И.Ф. Козлов. Оторвавшийся кок винта повредил пропеллер, капот мотора и левую лыжу (к этому времени у И-4 уже имелись свои лыжи, изготовленные заводом № 28). Самолет отправили на опытный завод ЦАГИ для ремонта. Там и нашли очень простое и эффективное средство борьбы с самопроизвольным кабрированием - перевернули стабилизатор «вверх ногами», выпуклостью вверх. С 14 марта истребитель опять начал летать, склонность задирать нос у него полностью исчезла. В процессе испытаний в НИИ ВВС в самолет внесли еще целый ряд небольших из- </w:t>
      </w:r>
      <w:proofErr w:type="spellStart"/>
      <w:r w:rsidRPr="00A259BD">
        <w:rPr>
          <w:rFonts w:ascii="Times New Roman" w:hAnsi="Times New Roman" w:cs="Times New Roman"/>
          <w:color w:val="000000" w:themeColor="text1"/>
        </w:rPr>
        <w:t>менений:переделали</w:t>
      </w:r>
      <w:proofErr w:type="spellEnd"/>
      <w:r w:rsidRPr="00A259BD">
        <w:rPr>
          <w:rFonts w:ascii="Times New Roman" w:hAnsi="Times New Roman" w:cs="Times New Roman"/>
          <w:color w:val="000000" w:themeColor="text1"/>
        </w:rPr>
        <w:t xml:space="preserve"> </w:t>
      </w:r>
      <w:proofErr w:type="spellStart"/>
      <w:r w:rsidRPr="00A259BD">
        <w:rPr>
          <w:rFonts w:ascii="Times New Roman" w:hAnsi="Times New Roman" w:cs="Times New Roman"/>
          <w:color w:val="000000" w:themeColor="text1"/>
        </w:rPr>
        <w:t>заголовникпило</w:t>
      </w:r>
      <w:proofErr w:type="spellEnd"/>
      <w:r w:rsidRPr="00A259BD">
        <w:rPr>
          <w:rFonts w:ascii="Times New Roman" w:hAnsi="Times New Roman" w:cs="Times New Roman"/>
          <w:color w:val="000000" w:themeColor="text1"/>
        </w:rPr>
        <w:t>- та, поставили новую ручку управления (на 50 мм короче) и стандартные ручки перезаряжания пулеметов, усилили обтекатели цилиндров и кок винта.</w:t>
      </w:r>
    </w:p>
    <w:p w14:paraId="4AD923B8" w14:textId="77777777" w:rsidR="00071A79" w:rsidRPr="00A259BD" w:rsidRDefault="00071A79"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Испытания завершились лишь 25 апреля 1929 г. НИИ ВВС дал просто великолепный отзыв. В нем отмечались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w:t>
      </w:r>
    </w:p>
    <w:p w14:paraId="073C36B8" w14:textId="77777777" w:rsidR="00071A79" w:rsidRPr="00A259BD" w:rsidRDefault="00071A79"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2C0BE166" w14:textId="77777777" w:rsidR="00071A79" w:rsidRPr="00A259BD" w:rsidRDefault="00071A79" w:rsidP="009236E3">
      <w:pPr>
        <w:pStyle w:val="a8"/>
        <w:jc w:val="both"/>
        <w:rPr>
          <w:rFonts w:ascii="Times New Roman" w:hAnsi="Times New Roman" w:cs="Times New Roman"/>
          <w:color w:val="000000" w:themeColor="text1"/>
        </w:rPr>
      </w:pPr>
    </w:p>
    <w:p w14:paraId="5ED2D48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92F398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3BE894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февраля 1929 года в ходе испытаний самолета ТБ-1 БМВ6 в НИИ ВВС был выполнен полет на определение горизонтальных скоростей на высоте 100 м по мерному километру</w:t>
      </w:r>
    </w:p>
    <w:p w14:paraId="3FA5E44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Волковойнов</w:t>
      </w:r>
      <w:proofErr w:type="spellEnd"/>
      <w:r w:rsidRPr="00A259BD">
        <w:rPr>
          <w:rFonts w:ascii="Times New Roman" w:hAnsi="Times New Roman"/>
          <w:color w:val="000000" w:themeColor="text1"/>
          <w:sz w:val="16"/>
          <w:szCs w:val="16"/>
        </w:rPr>
        <w:t xml:space="preserve"> (6913).</w:t>
      </w:r>
    </w:p>
    <w:p w14:paraId="5A325B9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EFAE3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февраля 1929 года в ходе испытаний самолета ТБ-1 БМВ6 в НИИ ВВС был выполнен полет на управляемость.</w:t>
      </w:r>
    </w:p>
    <w:p w14:paraId="7DFBDE2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Волковойнов</w:t>
      </w:r>
      <w:proofErr w:type="spellEnd"/>
      <w:r w:rsidRPr="00A259BD">
        <w:rPr>
          <w:rFonts w:ascii="Times New Roman" w:hAnsi="Times New Roman"/>
          <w:color w:val="000000" w:themeColor="text1"/>
          <w:sz w:val="16"/>
          <w:szCs w:val="16"/>
        </w:rPr>
        <w:t xml:space="preserve"> (6913).</w:t>
      </w:r>
    </w:p>
    <w:p w14:paraId="428589E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075A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февраля 1929 УД НКТ </w:t>
      </w:r>
      <w:proofErr w:type="spellStart"/>
      <w:r w:rsidRPr="00A259BD">
        <w:rPr>
          <w:rFonts w:ascii="Times New Roman" w:hAnsi="Times New Roman"/>
          <w:color w:val="000000" w:themeColor="text1"/>
          <w:sz w:val="16"/>
          <w:szCs w:val="16"/>
        </w:rPr>
        <w:t>Полякв</w:t>
      </w:r>
      <w:proofErr w:type="spellEnd"/>
      <w:r w:rsidRPr="00A259BD">
        <w:rPr>
          <w:rFonts w:ascii="Times New Roman" w:hAnsi="Times New Roman"/>
          <w:color w:val="000000" w:themeColor="text1"/>
          <w:sz w:val="16"/>
          <w:szCs w:val="16"/>
        </w:rPr>
        <w:t xml:space="preserve"> писал письмо № 534 в ОУД НКВМ </w:t>
      </w:r>
      <w:proofErr w:type="spellStart"/>
      <w:r w:rsidRPr="00A259BD">
        <w:rPr>
          <w:rFonts w:ascii="Times New Roman" w:hAnsi="Times New Roman"/>
          <w:color w:val="000000" w:themeColor="text1"/>
          <w:sz w:val="16"/>
          <w:szCs w:val="16"/>
        </w:rPr>
        <w:t>Цисумайсу</w:t>
      </w:r>
      <w:proofErr w:type="spellEnd"/>
      <w:r w:rsidRPr="00A259BD">
        <w:rPr>
          <w:rFonts w:ascii="Times New Roman" w:hAnsi="Times New Roman"/>
          <w:color w:val="000000" w:themeColor="text1"/>
          <w:sz w:val="16"/>
          <w:szCs w:val="16"/>
        </w:rPr>
        <w:t>:</w:t>
      </w:r>
    </w:p>
    <w:p w14:paraId="6D1B373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Согласно Вашей просьбы при сем препровождается мате</w:t>
      </w:r>
      <w:r w:rsidRPr="00A259BD">
        <w:rPr>
          <w:rFonts w:ascii="Times New Roman" w:hAnsi="Times New Roman"/>
          <w:color w:val="000000" w:themeColor="text1"/>
          <w:sz w:val="16"/>
          <w:szCs w:val="16"/>
        </w:rPr>
        <w:softHyphen/>
        <w:t>риал о прохождении вопроса по дирижаблестроению.</w:t>
      </w:r>
    </w:p>
    <w:p w14:paraId="4822A5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упомянутое на 19 листах ЦГАСА, ф. 4, оп. 2, д. 398, л. 66 (1026,52.</w:t>
      </w:r>
    </w:p>
    <w:p w14:paraId="7440964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июля 1928 года ПРОТОКОЛ заседания комиссии по дирижаблестроению при НТУ ВСНХ СССР</w:t>
      </w:r>
    </w:p>
    <w:p w14:paraId="6CD2CB1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Присутствовали;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8"/>
        <w:gridCol w:w="2808"/>
      </w:tblGrid>
      <w:tr w:rsidR="00A259BD" w:rsidRPr="00A259BD" w14:paraId="2DD6172C" w14:textId="77777777">
        <w:tc>
          <w:tcPr>
            <w:tcW w:w="2808" w:type="dxa"/>
            <w:tcBorders>
              <w:top w:val="single" w:sz="12" w:space="0" w:color="auto"/>
            </w:tcBorders>
          </w:tcPr>
          <w:p w14:paraId="6DC6C16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т.т.Лапиров-Скобло</w:t>
            </w:r>
            <w:proofErr w:type="spellEnd"/>
            <w:r w:rsidRPr="00A259BD">
              <w:rPr>
                <w:rFonts w:ascii="Times New Roman" w:hAnsi="Times New Roman"/>
                <w:color w:val="000000" w:themeColor="text1"/>
                <w:sz w:val="16"/>
                <w:szCs w:val="16"/>
              </w:rPr>
              <w:t xml:space="preserve"> М.Я.</w:t>
            </w:r>
          </w:p>
        </w:tc>
        <w:tc>
          <w:tcPr>
            <w:tcW w:w="2808" w:type="dxa"/>
            <w:tcBorders>
              <w:top w:val="single" w:sz="12" w:space="0" w:color="auto"/>
            </w:tcBorders>
          </w:tcPr>
          <w:p w14:paraId="7CF714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НТУ</w:t>
            </w:r>
          </w:p>
        </w:tc>
      </w:tr>
      <w:tr w:rsidR="00A259BD" w:rsidRPr="00A259BD" w14:paraId="7F983837" w14:textId="77777777">
        <w:tc>
          <w:tcPr>
            <w:tcW w:w="2808" w:type="dxa"/>
          </w:tcPr>
          <w:p w14:paraId="0943BA8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Фомин Н.В.</w:t>
            </w:r>
          </w:p>
        </w:tc>
        <w:tc>
          <w:tcPr>
            <w:tcW w:w="2808" w:type="dxa"/>
          </w:tcPr>
          <w:p w14:paraId="06582B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МВТУ</w:t>
            </w:r>
          </w:p>
        </w:tc>
      </w:tr>
      <w:tr w:rsidR="00A259BD" w:rsidRPr="00A259BD" w14:paraId="047DC32D" w14:textId="77777777">
        <w:tc>
          <w:tcPr>
            <w:tcW w:w="2808" w:type="dxa"/>
          </w:tcPr>
          <w:p w14:paraId="0DB1A24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Ассберг</w:t>
            </w:r>
            <w:proofErr w:type="spellEnd"/>
            <w:r w:rsidRPr="00A259BD">
              <w:rPr>
                <w:rFonts w:ascii="Times New Roman" w:hAnsi="Times New Roman"/>
                <w:color w:val="000000" w:themeColor="text1"/>
                <w:sz w:val="16"/>
                <w:szCs w:val="16"/>
              </w:rPr>
              <w:t xml:space="preserve"> Ф.Ф.</w:t>
            </w:r>
          </w:p>
        </w:tc>
        <w:tc>
          <w:tcPr>
            <w:tcW w:w="2808" w:type="dxa"/>
          </w:tcPr>
          <w:p w14:paraId="72AA25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МВТУ</w:t>
            </w:r>
          </w:p>
        </w:tc>
      </w:tr>
      <w:tr w:rsidR="00A259BD" w:rsidRPr="00A259BD" w14:paraId="5CDD6A3C" w14:textId="77777777">
        <w:tc>
          <w:tcPr>
            <w:tcW w:w="2808" w:type="dxa"/>
          </w:tcPr>
          <w:p w14:paraId="67B5535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Туполев А.Н.</w:t>
            </w:r>
          </w:p>
        </w:tc>
        <w:tc>
          <w:tcPr>
            <w:tcW w:w="2808" w:type="dxa"/>
          </w:tcPr>
          <w:p w14:paraId="324A06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r>
      <w:tr w:rsidR="00A259BD" w:rsidRPr="00A259BD" w14:paraId="2C01EB3F" w14:textId="77777777">
        <w:tc>
          <w:tcPr>
            <w:tcW w:w="2808" w:type="dxa"/>
          </w:tcPr>
          <w:p w14:paraId="35415C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Чаплыгин С.А.</w:t>
            </w:r>
          </w:p>
        </w:tc>
        <w:tc>
          <w:tcPr>
            <w:tcW w:w="2808" w:type="dxa"/>
          </w:tcPr>
          <w:p w14:paraId="27776F9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r>
      <w:tr w:rsidR="00A259BD" w:rsidRPr="00A259BD" w14:paraId="4DA844D2" w14:textId="77777777">
        <w:tc>
          <w:tcPr>
            <w:tcW w:w="2808" w:type="dxa"/>
          </w:tcPr>
          <w:p w14:paraId="60AAAA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Шабашев</w:t>
            </w:r>
            <w:proofErr w:type="spellEnd"/>
            <w:r w:rsidRPr="00A259BD">
              <w:rPr>
                <w:rFonts w:ascii="Times New Roman" w:hAnsi="Times New Roman"/>
                <w:color w:val="000000" w:themeColor="text1"/>
                <w:sz w:val="16"/>
                <w:szCs w:val="16"/>
              </w:rPr>
              <w:t xml:space="preserve"> Н.И.</w:t>
            </w:r>
          </w:p>
        </w:tc>
        <w:tc>
          <w:tcPr>
            <w:tcW w:w="2808" w:type="dxa"/>
          </w:tcPr>
          <w:p w14:paraId="0E5AD4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НТК УВВС РККА</w:t>
            </w:r>
          </w:p>
        </w:tc>
      </w:tr>
      <w:tr w:rsidR="00A259BD" w:rsidRPr="00A259BD" w14:paraId="1A6A4B44" w14:textId="77777777">
        <w:tc>
          <w:tcPr>
            <w:tcW w:w="2808" w:type="dxa"/>
          </w:tcPr>
          <w:p w14:paraId="4B64FE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Соколов</w:t>
            </w:r>
          </w:p>
        </w:tc>
        <w:tc>
          <w:tcPr>
            <w:tcW w:w="2808" w:type="dxa"/>
          </w:tcPr>
          <w:p w14:paraId="7C7B1F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НТК УВВС РККА</w:t>
            </w:r>
          </w:p>
        </w:tc>
      </w:tr>
      <w:tr w:rsidR="00A259BD" w:rsidRPr="00A259BD" w14:paraId="33DF6C88" w14:textId="77777777">
        <w:tc>
          <w:tcPr>
            <w:tcW w:w="2808" w:type="dxa"/>
          </w:tcPr>
          <w:p w14:paraId="7AD63C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Канищев М.М.</w:t>
            </w:r>
          </w:p>
        </w:tc>
        <w:tc>
          <w:tcPr>
            <w:tcW w:w="2808" w:type="dxa"/>
          </w:tcPr>
          <w:p w14:paraId="07ED40E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 Академия</w:t>
            </w:r>
          </w:p>
        </w:tc>
      </w:tr>
      <w:tr w:rsidR="00A259BD" w:rsidRPr="00A259BD" w14:paraId="3EB6D6D0" w14:textId="77777777">
        <w:tc>
          <w:tcPr>
            <w:tcW w:w="2808" w:type="dxa"/>
          </w:tcPr>
          <w:p w14:paraId="1D5360F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Хорьков</w:t>
            </w:r>
          </w:p>
        </w:tc>
        <w:tc>
          <w:tcPr>
            <w:tcW w:w="2808" w:type="dxa"/>
          </w:tcPr>
          <w:p w14:paraId="22BCC3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Мобпланупра</w:t>
            </w:r>
            <w:proofErr w:type="spellEnd"/>
          </w:p>
        </w:tc>
      </w:tr>
      <w:tr w:rsidR="00A259BD" w:rsidRPr="00A259BD" w14:paraId="5C61FF1D" w14:textId="77777777">
        <w:tc>
          <w:tcPr>
            <w:tcW w:w="2808" w:type="dxa"/>
          </w:tcPr>
          <w:p w14:paraId="075BBB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Воробьев Б.</w:t>
            </w:r>
          </w:p>
        </w:tc>
        <w:tc>
          <w:tcPr>
            <w:tcW w:w="2808" w:type="dxa"/>
          </w:tcPr>
          <w:p w14:paraId="6539258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Мобпланупра</w:t>
            </w:r>
            <w:proofErr w:type="spellEnd"/>
          </w:p>
        </w:tc>
      </w:tr>
      <w:tr w:rsidR="00A259BD" w:rsidRPr="00A259BD" w14:paraId="1E465118" w14:textId="77777777">
        <w:tc>
          <w:tcPr>
            <w:tcW w:w="2808" w:type="dxa"/>
          </w:tcPr>
          <w:p w14:paraId="3684EF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Калинин</w:t>
            </w:r>
          </w:p>
        </w:tc>
        <w:tc>
          <w:tcPr>
            <w:tcW w:w="2808" w:type="dxa"/>
          </w:tcPr>
          <w:p w14:paraId="24E5C8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w:t>
            </w:r>
          </w:p>
        </w:tc>
      </w:tr>
      <w:tr w:rsidR="00A259BD" w:rsidRPr="00A259BD" w14:paraId="7DB13539" w14:textId="77777777">
        <w:tc>
          <w:tcPr>
            <w:tcW w:w="2808" w:type="dxa"/>
          </w:tcPr>
          <w:p w14:paraId="0AA1BD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Семенов</w:t>
            </w:r>
          </w:p>
        </w:tc>
        <w:tc>
          <w:tcPr>
            <w:tcW w:w="2808" w:type="dxa"/>
          </w:tcPr>
          <w:p w14:paraId="79E5BDD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В.В.Академия</w:t>
            </w:r>
            <w:proofErr w:type="spellEnd"/>
          </w:p>
        </w:tc>
      </w:tr>
      <w:tr w:rsidR="00A259BD" w:rsidRPr="00A259BD" w14:paraId="3EEC8701" w14:textId="77777777">
        <w:tc>
          <w:tcPr>
            <w:tcW w:w="2808" w:type="dxa"/>
            <w:tcBorders>
              <w:bottom w:val="single" w:sz="12" w:space="0" w:color="auto"/>
            </w:tcBorders>
          </w:tcPr>
          <w:p w14:paraId="1253D49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Пузыревский Н.</w:t>
            </w:r>
          </w:p>
        </w:tc>
        <w:tc>
          <w:tcPr>
            <w:tcW w:w="2808" w:type="dxa"/>
            <w:tcBorders>
              <w:bottom w:val="single" w:sz="12" w:space="0" w:color="auto"/>
            </w:tcBorders>
          </w:tcPr>
          <w:p w14:paraId="350FEC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Ленинградок, ин-т путей со</w:t>
            </w:r>
            <w:r w:rsidRPr="00A259BD">
              <w:rPr>
                <w:rFonts w:ascii="Times New Roman" w:hAnsi="Times New Roman"/>
                <w:color w:val="000000" w:themeColor="text1"/>
                <w:sz w:val="16"/>
                <w:szCs w:val="16"/>
              </w:rPr>
              <w:softHyphen/>
              <w:t>общения</w:t>
            </w:r>
          </w:p>
        </w:tc>
      </w:tr>
    </w:tbl>
    <w:p w14:paraId="130400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Председатель - </w:t>
      </w:r>
      <w:proofErr w:type="spellStart"/>
      <w:r w:rsidRPr="00A259BD">
        <w:rPr>
          <w:rFonts w:ascii="Times New Roman" w:hAnsi="Times New Roman"/>
          <w:color w:val="000000" w:themeColor="text1"/>
          <w:sz w:val="16"/>
          <w:szCs w:val="16"/>
        </w:rPr>
        <w:t>М.Я.Лапиров-Скобло</w:t>
      </w:r>
      <w:proofErr w:type="spellEnd"/>
      <w:r w:rsidRPr="00A259BD">
        <w:rPr>
          <w:rFonts w:ascii="Times New Roman" w:hAnsi="Times New Roman"/>
          <w:color w:val="000000" w:themeColor="text1"/>
          <w:sz w:val="16"/>
          <w:szCs w:val="16"/>
        </w:rPr>
        <w:t>.</w:t>
      </w:r>
    </w:p>
    <w:p w14:paraId="1B966D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СЛУШАЛИ:</w:t>
      </w:r>
    </w:p>
    <w:p w14:paraId="7504003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Доклад НТК УВВС о программе работ по дирижаблестрое</w:t>
      </w:r>
      <w:r w:rsidRPr="00A259BD">
        <w:rPr>
          <w:rFonts w:ascii="Times New Roman" w:hAnsi="Times New Roman"/>
          <w:color w:val="000000" w:themeColor="text1"/>
          <w:sz w:val="16"/>
          <w:szCs w:val="16"/>
        </w:rPr>
        <w:softHyphen/>
        <w:t>нию ЦАРИ и необходимых средствах для ее выполнения.</w:t>
      </w:r>
    </w:p>
    <w:p w14:paraId="358996D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/Докладчик </w:t>
      </w:r>
      <w:proofErr w:type="spellStart"/>
      <w:r w:rsidRPr="00A259BD">
        <w:rPr>
          <w:rFonts w:ascii="Times New Roman" w:hAnsi="Times New Roman"/>
          <w:color w:val="000000" w:themeColor="text1"/>
          <w:sz w:val="16"/>
          <w:szCs w:val="16"/>
        </w:rPr>
        <w:t>т.Шабашев</w:t>
      </w:r>
      <w:proofErr w:type="spellEnd"/>
      <w:r w:rsidRPr="00A259BD">
        <w:rPr>
          <w:rFonts w:ascii="Times New Roman" w:hAnsi="Times New Roman"/>
          <w:color w:val="000000" w:themeColor="text1"/>
          <w:sz w:val="16"/>
          <w:szCs w:val="16"/>
        </w:rPr>
        <w:t>/</w:t>
      </w:r>
    </w:p>
    <w:p w14:paraId="7A6BE9E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2..Доклад об организации производства воздухоплаватель</w:t>
      </w:r>
      <w:r w:rsidRPr="00A259BD">
        <w:rPr>
          <w:rFonts w:ascii="Times New Roman" w:hAnsi="Times New Roman"/>
          <w:color w:val="000000" w:themeColor="text1"/>
          <w:sz w:val="16"/>
          <w:szCs w:val="16"/>
        </w:rPr>
        <w:softHyphen/>
        <w:t>ного имущества.</w:t>
      </w:r>
    </w:p>
    <w:p w14:paraId="18F927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/Докладчик </w:t>
      </w:r>
      <w:proofErr w:type="spellStart"/>
      <w:r w:rsidRPr="00A259BD">
        <w:rPr>
          <w:rFonts w:ascii="Times New Roman" w:hAnsi="Times New Roman"/>
          <w:color w:val="000000" w:themeColor="text1"/>
          <w:sz w:val="16"/>
          <w:szCs w:val="16"/>
        </w:rPr>
        <w:t>т.Воробьев</w:t>
      </w:r>
      <w:proofErr w:type="spellEnd"/>
      <w:r w:rsidRPr="00A259BD">
        <w:rPr>
          <w:rFonts w:ascii="Times New Roman" w:hAnsi="Times New Roman"/>
          <w:color w:val="000000" w:themeColor="text1"/>
          <w:sz w:val="16"/>
          <w:szCs w:val="16"/>
        </w:rPr>
        <w:t>/</w:t>
      </w:r>
    </w:p>
    <w:p w14:paraId="29609E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Доклад об организации производства аэростатов различ</w:t>
      </w:r>
      <w:r w:rsidRPr="00A259BD">
        <w:rPr>
          <w:rFonts w:ascii="Times New Roman" w:hAnsi="Times New Roman"/>
          <w:color w:val="000000" w:themeColor="text1"/>
          <w:sz w:val="16"/>
          <w:szCs w:val="16"/>
        </w:rPr>
        <w:softHyphen/>
        <w:t>ных систем и принадлежностей для них,</w:t>
      </w:r>
    </w:p>
    <w:p w14:paraId="7AA699B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/Докладчик </w:t>
      </w:r>
      <w:proofErr w:type="spellStart"/>
      <w:r w:rsidRPr="00A259BD">
        <w:rPr>
          <w:rFonts w:ascii="Times New Roman" w:hAnsi="Times New Roman"/>
          <w:color w:val="000000" w:themeColor="text1"/>
          <w:sz w:val="16"/>
          <w:szCs w:val="16"/>
        </w:rPr>
        <w:t>тов.Канищев</w:t>
      </w:r>
      <w:proofErr w:type="spellEnd"/>
      <w:r w:rsidRPr="00A259BD">
        <w:rPr>
          <w:rFonts w:ascii="Times New Roman" w:hAnsi="Times New Roman"/>
          <w:color w:val="000000" w:themeColor="text1"/>
          <w:sz w:val="16"/>
          <w:szCs w:val="16"/>
        </w:rPr>
        <w:t>/</w:t>
      </w:r>
    </w:p>
    <w:p w14:paraId="6464BB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Особое </w:t>
      </w:r>
      <w:proofErr w:type="spellStart"/>
      <w:r w:rsidRPr="00A259BD">
        <w:rPr>
          <w:rFonts w:ascii="Times New Roman" w:hAnsi="Times New Roman"/>
          <w:color w:val="000000" w:themeColor="text1"/>
          <w:sz w:val="16"/>
          <w:szCs w:val="16"/>
        </w:rPr>
        <w:t>ннение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Т.Т.Воробьева</w:t>
      </w:r>
      <w:proofErr w:type="spellEnd"/>
      <w:r w:rsidRPr="00A259BD">
        <w:rPr>
          <w:rFonts w:ascii="Times New Roman" w:hAnsi="Times New Roman"/>
          <w:color w:val="000000" w:themeColor="text1"/>
          <w:sz w:val="16"/>
          <w:szCs w:val="16"/>
        </w:rPr>
        <w:t xml:space="preserve"> и Пузыревского.</w:t>
      </w:r>
    </w:p>
    <w:p w14:paraId="077467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Воробьев и Пузыревский считают постройку жесткого дирижабля в 15.000 </w:t>
      </w:r>
      <w:proofErr w:type="spellStart"/>
      <w:r w:rsidRPr="00A259BD">
        <w:rPr>
          <w:rFonts w:ascii="Times New Roman" w:hAnsi="Times New Roman"/>
          <w:color w:val="000000" w:themeColor="text1"/>
          <w:sz w:val="16"/>
          <w:szCs w:val="16"/>
        </w:rPr>
        <w:t>куб.метров</w:t>
      </w:r>
      <w:proofErr w:type="spellEnd"/>
      <w:r w:rsidRPr="00A259BD">
        <w:rPr>
          <w:rFonts w:ascii="Times New Roman" w:hAnsi="Times New Roman"/>
          <w:color w:val="000000" w:themeColor="text1"/>
          <w:sz w:val="16"/>
          <w:szCs w:val="16"/>
        </w:rPr>
        <w:t xml:space="preserve"> нецелесообразным в силу невоз</w:t>
      </w:r>
      <w:r w:rsidRPr="00A259BD">
        <w:rPr>
          <w:rFonts w:ascii="Times New Roman" w:hAnsi="Times New Roman"/>
          <w:color w:val="000000" w:themeColor="text1"/>
          <w:sz w:val="16"/>
          <w:szCs w:val="16"/>
        </w:rPr>
        <w:softHyphen/>
        <w:t>можности практического применения дирижаблей этого типа</w:t>
      </w:r>
    </w:p>
    <w:p w14:paraId="17C0EF3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Председатель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в голосовании не участвует, не имея на это полномочий.</w:t>
      </w:r>
    </w:p>
    <w:p w14:paraId="5FA5BC5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 г</w:t>
      </w:r>
    </w:p>
    <w:p w14:paraId="74381C2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 а/ Подтвердить решение комиссии от 6/УП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/прото</w:t>
      </w:r>
      <w:r w:rsidRPr="00A259BD">
        <w:rPr>
          <w:rFonts w:ascii="Times New Roman" w:hAnsi="Times New Roman"/>
          <w:color w:val="000000" w:themeColor="text1"/>
          <w:sz w:val="16"/>
          <w:szCs w:val="16"/>
        </w:rPr>
        <w:softHyphen/>
        <w:t>кол № 3/ о целесообразности развертывания опытных работ по дирижаблестроению, при чем считать целе</w:t>
      </w:r>
      <w:r w:rsidRPr="00A259BD">
        <w:rPr>
          <w:rFonts w:ascii="Times New Roman" w:hAnsi="Times New Roman"/>
          <w:color w:val="000000" w:themeColor="text1"/>
          <w:sz w:val="16"/>
          <w:szCs w:val="16"/>
        </w:rPr>
        <w:softHyphen/>
        <w:t>сообразным организацию и проведение работ по дири</w:t>
      </w:r>
      <w:r w:rsidRPr="00A259BD">
        <w:rPr>
          <w:rFonts w:ascii="Times New Roman" w:hAnsi="Times New Roman"/>
          <w:color w:val="000000" w:themeColor="text1"/>
          <w:sz w:val="16"/>
          <w:szCs w:val="16"/>
        </w:rPr>
        <w:softHyphen/>
        <w:t>жаблестроению, как в отношении научно-</w:t>
      </w:r>
      <w:proofErr w:type="spellStart"/>
      <w:r w:rsidRPr="00A259BD">
        <w:rPr>
          <w:rFonts w:ascii="Times New Roman" w:hAnsi="Times New Roman"/>
          <w:color w:val="000000" w:themeColor="text1"/>
          <w:sz w:val="16"/>
          <w:szCs w:val="16"/>
        </w:rPr>
        <w:t>исследова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тельской</w:t>
      </w:r>
      <w:proofErr w:type="spellEnd"/>
      <w:r w:rsidRPr="00A259BD">
        <w:rPr>
          <w:rFonts w:ascii="Times New Roman" w:hAnsi="Times New Roman"/>
          <w:color w:val="000000" w:themeColor="text1"/>
          <w:sz w:val="16"/>
          <w:szCs w:val="16"/>
        </w:rPr>
        <w:t xml:space="preserve"> части, так и в отношении разработки и осу</w:t>
      </w:r>
      <w:r w:rsidRPr="00A259BD">
        <w:rPr>
          <w:rFonts w:ascii="Times New Roman" w:hAnsi="Times New Roman"/>
          <w:color w:val="000000" w:themeColor="text1"/>
          <w:sz w:val="16"/>
          <w:szCs w:val="16"/>
        </w:rPr>
        <w:softHyphen/>
        <w:t>ществления опытных конструкций поручить ЦАГИ с при</w:t>
      </w:r>
      <w:r w:rsidRPr="00A259BD">
        <w:rPr>
          <w:rFonts w:ascii="Times New Roman" w:hAnsi="Times New Roman"/>
          <w:color w:val="000000" w:themeColor="text1"/>
          <w:sz w:val="16"/>
          <w:szCs w:val="16"/>
        </w:rPr>
        <w:softHyphen/>
        <w:t xml:space="preserve">влечением к этим работам лабораторий и специалистов согласно решения комиссии от 6/УП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.(п. 7)</w:t>
      </w:r>
    </w:p>
    <w:p w14:paraId="279C818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Основные выводы НТК УВВС по программе дирижаблестрое</w:t>
      </w:r>
      <w:r w:rsidRPr="00A259BD">
        <w:rPr>
          <w:rFonts w:ascii="Times New Roman" w:hAnsi="Times New Roman"/>
          <w:color w:val="000000" w:themeColor="text1"/>
          <w:sz w:val="16"/>
          <w:szCs w:val="16"/>
        </w:rPr>
        <w:softHyphen/>
        <w:t>ния ЦАГИ и внесенные в нее поправки принять. /За</w:t>
      </w:r>
      <w:r w:rsidRPr="00A259BD">
        <w:rPr>
          <w:rFonts w:ascii="Times New Roman" w:hAnsi="Times New Roman"/>
          <w:color w:val="000000" w:themeColor="text1"/>
          <w:sz w:val="16"/>
          <w:szCs w:val="16"/>
        </w:rPr>
        <w:softHyphen/>
        <w:t>ключение НТК УВВС прилагается/.</w:t>
      </w:r>
    </w:p>
    <w:p w14:paraId="3A22A4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Признать желательным сокращение программы опытного строительства ЦАГИ по крайней мере на 1 год.. Смету принять ориентировочно.</w:t>
      </w:r>
    </w:p>
    <w:p w14:paraId="5DFCC9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w:t>
      </w:r>
      <w:proofErr w:type="spellStart"/>
      <w:r w:rsidRPr="00A259BD">
        <w:rPr>
          <w:rFonts w:ascii="Times New Roman" w:hAnsi="Times New Roman"/>
          <w:color w:val="000000" w:themeColor="text1"/>
          <w:sz w:val="16"/>
          <w:szCs w:val="16"/>
        </w:rPr>
        <w:t>Об"ем</w:t>
      </w:r>
      <w:proofErr w:type="spellEnd"/>
      <w:r w:rsidRPr="00A259BD">
        <w:rPr>
          <w:rFonts w:ascii="Times New Roman" w:hAnsi="Times New Roman"/>
          <w:color w:val="000000" w:themeColor="text1"/>
          <w:sz w:val="16"/>
          <w:szCs w:val="16"/>
        </w:rPr>
        <w:t xml:space="preserve"> двух полужестких дирижаблей, предусмотренных программой, принять соответственно в 7.000 куб. м и 20-25 </w:t>
      </w:r>
      <w:proofErr w:type="spellStart"/>
      <w:r w:rsidRPr="00A259BD">
        <w:rPr>
          <w:rFonts w:ascii="Times New Roman" w:hAnsi="Times New Roman"/>
          <w:color w:val="000000" w:themeColor="text1"/>
          <w:sz w:val="16"/>
          <w:szCs w:val="16"/>
        </w:rPr>
        <w:t>тыс.куб.м</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Об"ем</w:t>
      </w:r>
      <w:proofErr w:type="spellEnd"/>
      <w:r w:rsidRPr="00A259BD">
        <w:rPr>
          <w:rFonts w:ascii="Times New Roman" w:hAnsi="Times New Roman"/>
          <w:color w:val="000000" w:themeColor="text1"/>
          <w:sz w:val="16"/>
          <w:szCs w:val="16"/>
        </w:rPr>
        <w:t xml:space="preserve"> жестких дирижаблей, предусмотренных программой, принять ориентировочно в 15.000 куб. м и 40-45 тыс. куб. м., при чем, если по ходу работ окажется целесообразным и возможным, начать постройку жестких дирижаблей с </w:t>
      </w:r>
      <w:proofErr w:type="spellStart"/>
      <w:r w:rsidRPr="00A259BD">
        <w:rPr>
          <w:rFonts w:ascii="Times New Roman" w:hAnsi="Times New Roman"/>
          <w:color w:val="000000" w:themeColor="text1"/>
          <w:sz w:val="16"/>
          <w:szCs w:val="16"/>
        </w:rPr>
        <w:t>об"ема</w:t>
      </w:r>
      <w:proofErr w:type="spellEnd"/>
      <w:r w:rsidRPr="00A259BD">
        <w:rPr>
          <w:rFonts w:ascii="Times New Roman" w:hAnsi="Times New Roman"/>
          <w:color w:val="000000" w:themeColor="text1"/>
          <w:sz w:val="16"/>
          <w:szCs w:val="16"/>
        </w:rPr>
        <w:t xml:space="preserve"> не ме</w:t>
      </w:r>
      <w:r w:rsidRPr="00A259BD">
        <w:rPr>
          <w:rFonts w:ascii="Times New Roman" w:hAnsi="Times New Roman"/>
          <w:color w:val="000000" w:themeColor="text1"/>
          <w:sz w:val="16"/>
          <w:szCs w:val="16"/>
        </w:rPr>
        <w:softHyphen/>
        <w:t xml:space="preserve">нее 20-25.000 </w:t>
      </w:r>
      <w:proofErr w:type="spellStart"/>
      <w:r w:rsidRPr="00A259BD">
        <w:rPr>
          <w:rFonts w:ascii="Times New Roman" w:hAnsi="Times New Roman"/>
          <w:color w:val="000000" w:themeColor="text1"/>
          <w:sz w:val="16"/>
          <w:szCs w:val="16"/>
        </w:rPr>
        <w:t>куб.м</w:t>
      </w:r>
      <w:proofErr w:type="spellEnd"/>
      <w:r w:rsidRPr="00A259BD">
        <w:rPr>
          <w:rFonts w:ascii="Times New Roman" w:hAnsi="Times New Roman"/>
          <w:color w:val="000000" w:themeColor="text1"/>
          <w:sz w:val="16"/>
          <w:szCs w:val="16"/>
        </w:rPr>
        <w:t>.</w:t>
      </w:r>
    </w:p>
    <w:p w14:paraId="45C0F15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w:t>
      </w:r>
      <w:proofErr w:type="spellStart"/>
      <w:r w:rsidRPr="00A259BD">
        <w:rPr>
          <w:rFonts w:ascii="Times New Roman" w:hAnsi="Times New Roman"/>
          <w:color w:val="000000" w:themeColor="text1"/>
          <w:sz w:val="16"/>
          <w:szCs w:val="16"/>
        </w:rPr>
        <w:t>п.п</w:t>
      </w:r>
      <w:proofErr w:type="spellEnd"/>
      <w:r w:rsidRPr="00A259BD">
        <w:rPr>
          <w:rFonts w:ascii="Times New Roman" w:hAnsi="Times New Roman"/>
          <w:color w:val="000000" w:themeColor="text1"/>
          <w:sz w:val="16"/>
          <w:szCs w:val="16"/>
        </w:rPr>
        <w:t>. 2 и 3.</w:t>
      </w:r>
    </w:p>
    <w:p w14:paraId="15F687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Признать необходимым организацию при ВСНХ необходи</w:t>
      </w:r>
      <w:r w:rsidRPr="00A259BD">
        <w:rPr>
          <w:rFonts w:ascii="Times New Roman" w:hAnsi="Times New Roman"/>
          <w:color w:val="000000" w:themeColor="text1"/>
          <w:sz w:val="16"/>
          <w:szCs w:val="16"/>
        </w:rPr>
        <w:softHyphen/>
        <w:t>мого рабочего органа для подготовки материальной ба</w:t>
      </w:r>
      <w:r w:rsidRPr="00A259BD">
        <w:rPr>
          <w:rFonts w:ascii="Times New Roman" w:hAnsi="Times New Roman"/>
          <w:color w:val="000000" w:themeColor="text1"/>
          <w:sz w:val="16"/>
          <w:szCs w:val="16"/>
        </w:rPr>
        <w:softHyphen/>
        <w:t>зы воздухоплавательной промышленности, опираясь на научно-исследовательские выводы ЦАГИ и НТК УВВС.</w:t>
      </w:r>
    </w:p>
    <w:p w14:paraId="2DAD49A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б/ Поручить рабочей группе в составе </w:t>
      </w:r>
      <w:proofErr w:type="spellStart"/>
      <w:r w:rsidRPr="00A259BD">
        <w:rPr>
          <w:rFonts w:ascii="Times New Roman" w:hAnsi="Times New Roman"/>
          <w:color w:val="000000" w:themeColor="text1"/>
          <w:sz w:val="16"/>
          <w:szCs w:val="16"/>
        </w:rPr>
        <w:t>т,т.Лапирова-Скобло</w:t>
      </w:r>
      <w:proofErr w:type="spellEnd"/>
      <w:r w:rsidRPr="00A259BD">
        <w:rPr>
          <w:rFonts w:ascii="Times New Roman" w:hAnsi="Times New Roman"/>
          <w:color w:val="000000" w:themeColor="text1"/>
          <w:sz w:val="16"/>
          <w:szCs w:val="16"/>
        </w:rPr>
        <w:t xml:space="preserve">, Туполева, </w:t>
      </w:r>
      <w:proofErr w:type="spellStart"/>
      <w:r w:rsidRPr="00A259BD">
        <w:rPr>
          <w:rFonts w:ascii="Times New Roman" w:hAnsi="Times New Roman"/>
          <w:color w:val="000000" w:themeColor="text1"/>
          <w:sz w:val="16"/>
          <w:szCs w:val="16"/>
        </w:rPr>
        <w:t>Шабажева</w:t>
      </w:r>
      <w:proofErr w:type="spellEnd"/>
      <w:r w:rsidRPr="00A259BD">
        <w:rPr>
          <w:rFonts w:ascii="Times New Roman" w:hAnsi="Times New Roman"/>
          <w:color w:val="000000" w:themeColor="text1"/>
          <w:sz w:val="16"/>
          <w:szCs w:val="16"/>
        </w:rPr>
        <w:t>, Канищева и Воробьева редакти</w:t>
      </w:r>
      <w:r w:rsidRPr="00A259BD">
        <w:rPr>
          <w:rFonts w:ascii="Times New Roman" w:hAnsi="Times New Roman"/>
          <w:color w:val="000000" w:themeColor="text1"/>
          <w:sz w:val="16"/>
          <w:szCs w:val="16"/>
        </w:rPr>
        <w:softHyphen/>
        <w:t>ровать докладную записку в Совнарком и БСНХ о свое</w:t>
      </w:r>
      <w:r w:rsidRPr="00A259BD">
        <w:rPr>
          <w:rFonts w:ascii="Times New Roman" w:hAnsi="Times New Roman"/>
          <w:color w:val="000000" w:themeColor="text1"/>
          <w:sz w:val="16"/>
          <w:szCs w:val="16"/>
        </w:rPr>
        <w:softHyphen/>
        <w:t>временном состоянии дирижаблестроения, проблеме раз</w:t>
      </w:r>
      <w:r w:rsidRPr="00A259BD">
        <w:rPr>
          <w:rFonts w:ascii="Times New Roman" w:hAnsi="Times New Roman"/>
          <w:color w:val="000000" w:themeColor="text1"/>
          <w:sz w:val="16"/>
          <w:szCs w:val="16"/>
        </w:rPr>
        <w:softHyphen/>
        <w:t>вития его в СССР и необходимых средствах для развер</w:t>
      </w:r>
      <w:r w:rsidRPr="00A259BD">
        <w:rPr>
          <w:rFonts w:ascii="Times New Roman" w:hAnsi="Times New Roman"/>
          <w:color w:val="000000" w:themeColor="text1"/>
          <w:sz w:val="16"/>
          <w:szCs w:val="16"/>
        </w:rPr>
        <w:softHyphen/>
        <w:t>тывания опытного дирижаблестроения. Работу эту закон</w:t>
      </w:r>
      <w:r w:rsidRPr="00A259BD">
        <w:rPr>
          <w:rFonts w:ascii="Times New Roman" w:hAnsi="Times New Roman"/>
          <w:color w:val="000000" w:themeColor="text1"/>
          <w:sz w:val="16"/>
          <w:szCs w:val="16"/>
        </w:rPr>
        <w:softHyphen/>
        <w:t>чить в недельный срок.</w:t>
      </w:r>
    </w:p>
    <w:p w14:paraId="6BF05A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Председатель</w:t>
      </w:r>
    </w:p>
    <w:p w14:paraId="7ED636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М.ЛАПИРОВ-СКОБЛО</w:t>
      </w:r>
    </w:p>
    <w:p w14:paraId="7AFA0E2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ЦАСА. ф. 4, оп. 2, д. 398, л.л.67 (1026,53)..</w:t>
      </w:r>
    </w:p>
    <w:p w14:paraId="65FE0E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О ПЛАНЕ РАБОТ ЦАГИ ПО ДИРИЖАБЛЕСТРОЕНИЮ.</w:t>
      </w:r>
    </w:p>
    <w:p w14:paraId="5E884C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план работ ЦАГИ /на синьке/ и ориентировочная смета.</w:t>
      </w:r>
    </w:p>
    <w:p w14:paraId="2DE7691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Инженер ЦАГИ </w:t>
      </w:r>
      <w:proofErr w:type="spellStart"/>
      <w:r w:rsidRPr="00A259BD">
        <w:rPr>
          <w:rFonts w:ascii="Times New Roman" w:hAnsi="Times New Roman"/>
          <w:color w:val="000000" w:themeColor="text1"/>
          <w:sz w:val="16"/>
          <w:szCs w:val="16"/>
        </w:rPr>
        <w:t>А.Н.Туполев</w:t>
      </w:r>
      <w:proofErr w:type="spellEnd"/>
      <w:r w:rsidRPr="00A259BD">
        <w:rPr>
          <w:rFonts w:ascii="Times New Roman" w:hAnsi="Times New Roman"/>
          <w:color w:val="000000" w:themeColor="text1"/>
          <w:sz w:val="16"/>
          <w:szCs w:val="16"/>
        </w:rPr>
        <w:t xml:space="preserve"> доложил разработанный ЦАГИ план работ по дирижаблестроению и ориентировочную смету на выполне</w:t>
      </w:r>
      <w:r w:rsidRPr="00A259BD">
        <w:rPr>
          <w:rFonts w:ascii="Times New Roman" w:hAnsi="Times New Roman"/>
          <w:color w:val="000000" w:themeColor="text1"/>
          <w:sz w:val="16"/>
          <w:szCs w:val="16"/>
        </w:rPr>
        <w:softHyphen/>
        <w:t>ние этих работ. Согласно представленного плана, ЦАГИ сначала 1928/29 гг., продолжал ведущиеся и теперь работы по дирижаблям в Научно-исследовательской части, приступает к выработке мето</w:t>
      </w:r>
      <w:r w:rsidRPr="00A259BD">
        <w:rPr>
          <w:rFonts w:ascii="Times New Roman" w:hAnsi="Times New Roman"/>
          <w:color w:val="000000" w:themeColor="text1"/>
          <w:sz w:val="16"/>
          <w:szCs w:val="16"/>
        </w:rPr>
        <w:softHyphen/>
        <w:t>дов расчета и к разработке конструкций с изготовлением и испы</w:t>
      </w:r>
      <w:r w:rsidRPr="00A259BD">
        <w:rPr>
          <w:rFonts w:ascii="Times New Roman" w:hAnsi="Times New Roman"/>
          <w:color w:val="000000" w:themeColor="text1"/>
          <w:sz w:val="16"/>
          <w:szCs w:val="16"/>
        </w:rPr>
        <w:softHyphen/>
        <w:t>танием отдельных деталей* Осуществление опытных построек ди</w:t>
      </w:r>
      <w:r w:rsidRPr="00A259BD">
        <w:rPr>
          <w:rFonts w:ascii="Times New Roman" w:hAnsi="Times New Roman"/>
          <w:color w:val="000000" w:themeColor="text1"/>
          <w:sz w:val="16"/>
          <w:szCs w:val="16"/>
        </w:rPr>
        <w:softHyphen/>
        <w:t xml:space="preserve">рижаблей начинается с половины 1929/30 </w:t>
      </w:r>
      <w:proofErr w:type="spellStart"/>
      <w:r w:rsidRPr="00A259BD">
        <w:rPr>
          <w:rFonts w:ascii="Times New Roman" w:hAnsi="Times New Roman"/>
          <w:color w:val="000000" w:themeColor="text1"/>
          <w:sz w:val="16"/>
          <w:szCs w:val="16"/>
        </w:rPr>
        <w:t>операц</w:t>
      </w:r>
      <w:proofErr w:type="spellEnd"/>
      <w:r w:rsidRPr="00A259BD">
        <w:rPr>
          <w:rFonts w:ascii="Times New Roman" w:hAnsi="Times New Roman"/>
          <w:color w:val="000000" w:themeColor="text1"/>
          <w:sz w:val="16"/>
          <w:szCs w:val="16"/>
        </w:rPr>
        <w:t>. года, когда за</w:t>
      </w:r>
      <w:r w:rsidRPr="00A259BD">
        <w:rPr>
          <w:rFonts w:ascii="Times New Roman" w:hAnsi="Times New Roman"/>
          <w:color w:val="000000" w:themeColor="text1"/>
          <w:sz w:val="16"/>
          <w:szCs w:val="16"/>
        </w:rPr>
        <w:softHyphen/>
        <w:t>кладывается первый опытный дирижабль полужесткой системы учеб</w:t>
      </w:r>
      <w:r w:rsidRPr="00A259BD">
        <w:rPr>
          <w:rFonts w:ascii="Times New Roman" w:hAnsi="Times New Roman"/>
          <w:color w:val="000000" w:themeColor="text1"/>
          <w:sz w:val="16"/>
          <w:szCs w:val="16"/>
        </w:rPr>
        <w:softHyphen/>
        <w:t xml:space="preserve">ного типа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в 3000-8000 м</w:t>
      </w:r>
      <w:r w:rsidRPr="00A259BD">
        <w:rPr>
          <w:rFonts w:ascii="Times New Roman" w:hAnsi="Times New Roman"/>
          <w:color w:val="000000" w:themeColor="text1"/>
          <w:sz w:val="16"/>
          <w:szCs w:val="16"/>
          <w:vertAlign w:val="superscript"/>
        </w:rPr>
        <w:t>3</w:t>
      </w:r>
      <w:r w:rsidRPr="00A259BD">
        <w:rPr>
          <w:rFonts w:ascii="Times New Roman" w:hAnsi="Times New Roman"/>
          <w:color w:val="000000" w:themeColor="text1"/>
          <w:sz w:val="16"/>
          <w:szCs w:val="16"/>
        </w:rPr>
        <w:t>. Постройка этого дирижабля оканчивается в конце 1930/31 г.</w:t>
      </w:r>
    </w:p>
    <w:p w14:paraId="21B7DC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начала 1932/33 г. осуществляется постройка опытного ди</w:t>
      </w:r>
      <w:r w:rsidRPr="00A259BD">
        <w:rPr>
          <w:rFonts w:ascii="Times New Roman" w:hAnsi="Times New Roman"/>
          <w:color w:val="000000" w:themeColor="text1"/>
          <w:sz w:val="16"/>
          <w:szCs w:val="16"/>
        </w:rPr>
        <w:softHyphen/>
        <w:t xml:space="preserve">рижабля полужесткой системы </w:t>
      </w:r>
      <w:proofErr w:type="spellStart"/>
      <w:r w:rsidRPr="00A259BD">
        <w:rPr>
          <w:rFonts w:ascii="Times New Roman" w:hAnsi="Times New Roman"/>
          <w:color w:val="000000" w:themeColor="text1"/>
          <w:sz w:val="16"/>
          <w:szCs w:val="16"/>
        </w:rPr>
        <w:t>об"ема</w:t>
      </w:r>
      <w:proofErr w:type="spellEnd"/>
      <w:r w:rsidRPr="00A259BD">
        <w:rPr>
          <w:rFonts w:ascii="Times New Roman" w:hAnsi="Times New Roman"/>
          <w:color w:val="000000" w:themeColor="text1"/>
          <w:sz w:val="16"/>
          <w:szCs w:val="16"/>
        </w:rPr>
        <w:t xml:space="preserve"> 20-25.000 м</w:t>
      </w:r>
      <w:r w:rsidRPr="00A259BD">
        <w:rPr>
          <w:rFonts w:ascii="Times New Roman" w:hAnsi="Times New Roman"/>
          <w:color w:val="000000" w:themeColor="text1"/>
          <w:sz w:val="16"/>
          <w:szCs w:val="16"/>
          <w:vertAlign w:val="superscript"/>
        </w:rPr>
        <w:t>3</w:t>
      </w:r>
      <w:r w:rsidRPr="00A259BD">
        <w:rPr>
          <w:rFonts w:ascii="Times New Roman" w:hAnsi="Times New Roman"/>
          <w:color w:val="000000" w:themeColor="text1"/>
          <w:sz w:val="16"/>
          <w:szCs w:val="16"/>
        </w:rPr>
        <w:t>. С середины 1930/31 г. ЦАГИ ведет постройку промежуточного дирижабля жест</w:t>
      </w:r>
      <w:r w:rsidRPr="00A259BD">
        <w:rPr>
          <w:rFonts w:ascii="Times New Roman" w:hAnsi="Times New Roman"/>
          <w:color w:val="000000" w:themeColor="text1"/>
          <w:sz w:val="16"/>
          <w:szCs w:val="16"/>
        </w:rPr>
        <w:softHyphen/>
        <w:t xml:space="preserve">кой системы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в 8-15.000 куб. м,</w:t>
      </w:r>
    </w:p>
    <w:p w14:paraId="25A3E2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 постройки этого дирижабля намечается к середине 1932/33 г.</w:t>
      </w:r>
    </w:p>
    <w:p w14:paraId="1B4325E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начала 1932/33 г. строится жесткий дирижабль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25-50.000 куб. м., заканчивается он в конце 1934/35 г. Для осуществления постройки опытных дирижаблей ЦАГИ предусмотрел создание при нем опытной верфи с эллингом для дирижаблей </w:t>
      </w:r>
      <w:proofErr w:type="spellStart"/>
      <w:r w:rsidRPr="00A259BD">
        <w:rPr>
          <w:rFonts w:ascii="Times New Roman" w:hAnsi="Times New Roman"/>
          <w:color w:val="000000" w:themeColor="text1"/>
          <w:sz w:val="16"/>
          <w:szCs w:val="16"/>
        </w:rPr>
        <w:t>об"е</w:t>
      </w:r>
      <w:proofErr w:type="spellEnd"/>
      <w:r w:rsidRPr="00A259BD">
        <w:rPr>
          <w:rFonts w:ascii="Times New Roman" w:hAnsi="Times New Roman"/>
          <w:color w:val="000000" w:themeColor="text1"/>
          <w:sz w:val="16"/>
          <w:szCs w:val="16"/>
        </w:rPr>
        <w:t xml:space="preserve">-мом до 50,000 </w:t>
      </w:r>
      <w:proofErr w:type="spellStart"/>
      <w:r w:rsidRPr="00A259BD">
        <w:rPr>
          <w:rFonts w:ascii="Times New Roman" w:hAnsi="Times New Roman"/>
          <w:color w:val="000000" w:themeColor="text1"/>
          <w:sz w:val="16"/>
          <w:szCs w:val="16"/>
        </w:rPr>
        <w:t>куб.м</w:t>
      </w:r>
      <w:proofErr w:type="spellEnd"/>
      <w:r w:rsidRPr="00A259BD">
        <w:rPr>
          <w:rFonts w:ascii="Times New Roman" w:hAnsi="Times New Roman"/>
          <w:color w:val="000000" w:themeColor="text1"/>
          <w:sz w:val="16"/>
          <w:szCs w:val="16"/>
        </w:rPr>
        <w:t xml:space="preserve">. Кроме эллинга, оборудование опытной верфи состоит из мастерских, складов и хранилищ /материальный склад, склад горючего, склад газа в трубах, </w:t>
      </w:r>
      <w:proofErr w:type="spellStart"/>
      <w:r w:rsidRPr="00A259BD">
        <w:rPr>
          <w:rFonts w:ascii="Times New Roman" w:hAnsi="Times New Roman"/>
          <w:color w:val="000000" w:themeColor="text1"/>
          <w:sz w:val="16"/>
          <w:szCs w:val="16"/>
        </w:rPr>
        <w:t>колекторный</w:t>
      </w:r>
      <w:proofErr w:type="spellEnd"/>
      <w:r w:rsidRPr="00A259BD">
        <w:rPr>
          <w:rFonts w:ascii="Times New Roman" w:hAnsi="Times New Roman"/>
          <w:color w:val="000000" w:themeColor="text1"/>
          <w:sz w:val="16"/>
          <w:szCs w:val="16"/>
        </w:rPr>
        <w:t xml:space="preserve"> сарай с кол</w:t>
      </w:r>
      <w:r w:rsidRPr="00A259BD">
        <w:rPr>
          <w:rFonts w:ascii="Times New Roman" w:hAnsi="Times New Roman"/>
          <w:color w:val="000000" w:themeColor="text1"/>
          <w:sz w:val="16"/>
          <w:szCs w:val="16"/>
        </w:rPr>
        <w:softHyphen/>
        <w:t>лектором и оборудованием/ водородного завода с производитель</w:t>
      </w:r>
      <w:r w:rsidRPr="00A259BD">
        <w:rPr>
          <w:rFonts w:ascii="Times New Roman" w:hAnsi="Times New Roman"/>
          <w:color w:val="000000" w:themeColor="text1"/>
          <w:sz w:val="16"/>
          <w:szCs w:val="16"/>
        </w:rPr>
        <w:softHyphen/>
        <w:t xml:space="preserve">ностью 100-140 куб. м. газа в час /по способу </w:t>
      </w:r>
      <w:proofErr w:type="spellStart"/>
      <w:r w:rsidRPr="00A259BD">
        <w:rPr>
          <w:rFonts w:ascii="Times New Roman" w:hAnsi="Times New Roman"/>
          <w:color w:val="000000" w:themeColor="text1"/>
          <w:sz w:val="16"/>
          <w:szCs w:val="16"/>
        </w:rPr>
        <w:t>Дельвик</w:t>
      </w:r>
      <w:proofErr w:type="spellEnd"/>
      <w:r w:rsidRPr="00A259BD">
        <w:rPr>
          <w:rFonts w:ascii="Times New Roman" w:hAnsi="Times New Roman"/>
          <w:color w:val="000000" w:themeColor="text1"/>
          <w:sz w:val="16"/>
          <w:szCs w:val="16"/>
        </w:rPr>
        <w:t xml:space="preserve">-Флейшера/, рельсового пути, аэромаяка, служебных и жилых помещений и т.д. Эллинг строится с середины 1928-29 </w:t>
      </w:r>
      <w:proofErr w:type="spellStart"/>
      <w:r w:rsidRPr="00A259BD">
        <w:rPr>
          <w:rFonts w:ascii="Times New Roman" w:hAnsi="Times New Roman"/>
          <w:color w:val="000000" w:themeColor="text1"/>
          <w:sz w:val="16"/>
          <w:szCs w:val="16"/>
        </w:rPr>
        <w:t>опер.года</w:t>
      </w:r>
      <w:proofErr w:type="spellEnd"/>
      <w:r w:rsidRPr="00A259BD">
        <w:rPr>
          <w:rFonts w:ascii="Times New Roman" w:hAnsi="Times New Roman"/>
          <w:color w:val="000000" w:themeColor="text1"/>
          <w:sz w:val="16"/>
          <w:szCs w:val="16"/>
        </w:rPr>
        <w:t xml:space="preserve"> и заканчивается к концу 1929/30 гг. Ориентировочная смета ЦАГИ предусматривает стоимость постройки вышеперечисленных 4-х опытных дирижаблей и опытной верфи в сумме 15.875.00 руб. и расходы на экспериментальные работы в течение 5-ти лет - 1.500.000 рублей, а всего 17,375ч.ООО рублей. Только после проведения указанного порядка опытных работ по дирижаблестроению докладчик считает возможным осуществление </w:t>
      </w:r>
      <w:proofErr w:type="spellStart"/>
      <w:r w:rsidRPr="00A259BD">
        <w:rPr>
          <w:rFonts w:ascii="Times New Roman" w:hAnsi="Times New Roman"/>
          <w:color w:val="000000" w:themeColor="text1"/>
          <w:sz w:val="16"/>
          <w:szCs w:val="16"/>
        </w:rPr>
        <w:t>эксплоатационного</w:t>
      </w:r>
      <w:proofErr w:type="spellEnd"/>
      <w:r w:rsidRPr="00A259BD">
        <w:rPr>
          <w:rFonts w:ascii="Times New Roman" w:hAnsi="Times New Roman"/>
          <w:color w:val="000000" w:themeColor="text1"/>
          <w:sz w:val="16"/>
          <w:szCs w:val="16"/>
        </w:rPr>
        <w:t xml:space="preserve"> дирижабля наибольшей мощности объемом 150-250.000 куб. м., что может быть достигнуто к концу 1938-39 гг.</w:t>
      </w:r>
    </w:p>
    <w:p w14:paraId="7A1205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этому времени, по мнению докладчика, кубатура загранич</w:t>
      </w:r>
      <w:r w:rsidRPr="00A259BD">
        <w:rPr>
          <w:rFonts w:ascii="Times New Roman" w:hAnsi="Times New Roman"/>
          <w:color w:val="000000" w:themeColor="text1"/>
          <w:sz w:val="16"/>
          <w:szCs w:val="16"/>
        </w:rPr>
        <w:softHyphen/>
        <w:t xml:space="preserve">ных дирижаблей не будет превышать указанной в 250,000 куб. м и наш опыт в постройке опытных конструкций даст возможность построишь такой дирижабль, не уступающим по своим </w:t>
      </w:r>
      <w:proofErr w:type="spellStart"/>
      <w:r w:rsidRPr="00A259BD">
        <w:rPr>
          <w:rFonts w:ascii="Times New Roman" w:hAnsi="Times New Roman"/>
          <w:color w:val="000000" w:themeColor="text1"/>
          <w:sz w:val="16"/>
          <w:szCs w:val="16"/>
        </w:rPr>
        <w:t>качествам,мо</w:t>
      </w:r>
      <w:r w:rsidRPr="00A259BD">
        <w:rPr>
          <w:rFonts w:ascii="Times New Roman" w:hAnsi="Times New Roman"/>
          <w:color w:val="000000" w:themeColor="text1"/>
          <w:sz w:val="16"/>
          <w:szCs w:val="16"/>
        </w:rPr>
        <w:softHyphen/>
        <w:t>гущим</w:t>
      </w:r>
      <w:proofErr w:type="spellEnd"/>
      <w:r w:rsidRPr="00A259BD">
        <w:rPr>
          <w:rFonts w:ascii="Times New Roman" w:hAnsi="Times New Roman"/>
          <w:color w:val="000000" w:themeColor="text1"/>
          <w:sz w:val="16"/>
          <w:szCs w:val="16"/>
        </w:rPr>
        <w:t xml:space="preserve"> появиться к тому времени заграничным дирижаблям. ЦАГИ за</w:t>
      </w:r>
      <w:r w:rsidRPr="00A259BD">
        <w:rPr>
          <w:rFonts w:ascii="Times New Roman" w:hAnsi="Times New Roman"/>
          <w:color w:val="000000" w:themeColor="text1"/>
          <w:sz w:val="16"/>
          <w:szCs w:val="16"/>
        </w:rPr>
        <w:softHyphen/>
        <w:t xml:space="preserve">канчивает опытные работы постройкой дирижабля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до 50.000 куб* м, дальнейшее производство дирижаблей переносится на производственную базу при техническом руководстве со стороны ЩГИ.</w:t>
      </w:r>
    </w:p>
    <w:p w14:paraId="205C9B2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Начинать опытные постройки с небольших дирижаблей доклад</w:t>
      </w:r>
      <w:r w:rsidRPr="00A259BD">
        <w:rPr>
          <w:rFonts w:ascii="Times New Roman" w:hAnsi="Times New Roman"/>
          <w:color w:val="000000" w:themeColor="text1"/>
          <w:sz w:val="16"/>
          <w:szCs w:val="16"/>
        </w:rPr>
        <w:softHyphen/>
        <w:t xml:space="preserve">чик считает крайне необходимым, т.к. только таким путем, путем постепенного накопления опыта на небольших </w:t>
      </w:r>
      <w:proofErr w:type="spellStart"/>
      <w:r w:rsidRPr="00A259BD">
        <w:rPr>
          <w:rFonts w:ascii="Times New Roman" w:hAnsi="Times New Roman"/>
          <w:color w:val="000000" w:themeColor="text1"/>
          <w:sz w:val="16"/>
          <w:szCs w:val="16"/>
        </w:rPr>
        <w:t>об"ектах</w:t>
      </w:r>
      <w:proofErr w:type="spellEnd"/>
      <w:r w:rsidRPr="00A259BD">
        <w:rPr>
          <w:rFonts w:ascii="Times New Roman" w:hAnsi="Times New Roman"/>
          <w:color w:val="000000" w:themeColor="text1"/>
          <w:sz w:val="16"/>
          <w:szCs w:val="16"/>
        </w:rPr>
        <w:t xml:space="preserve"> и в более короткий срок можно прийти к разрешению вопроса дирижаблестрое</w:t>
      </w:r>
      <w:r w:rsidRPr="00A259BD">
        <w:rPr>
          <w:rFonts w:ascii="Times New Roman" w:hAnsi="Times New Roman"/>
          <w:color w:val="000000" w:themeColor="text1"/>
          <w:sz w:val="16"/>
          <w:szCs w:val="16"/>
        </w:rPr>
        <w:softHyphen/>
        <w:t>ния и последовательностью построек иметь к определенному вре</w:t>
      </w:r>
      <w:r w:rsidRPr="00A259BD">
        <w:rPr>
          <w:rFonts w:ascii="Times New Roman" w:hAnsi="Times New Roman"/>
          <w:color w:val="000000" w:themeColor="text1"/>
          <w:sz w:val="16"/>
          <w:szCs w:val="16"/>
        </w:rPr>
        <w:softHyphen/>
        <w:t>мени достаточно знаний и опыта. Естественный путь к созданию у нас дирижаблей, по мнению докладчика, не закупка заграницей отдельных образцов, которые обычно в скором времени являются уже устаревшими, а создание на прочных основаниях своей собст</w:t>
      </w:r>
      <w:r w:rsidRPr="00A259BD">
        <w:rPr>
          <w:rFonts w:ascii="Times New Roman" w:hAnsi="Times New Roman"/>
          <w:color w:val="000000" w:themeColor="text1"/>
          <w:sz w:val="16"/>
          <w:szCs w:val="16"/>
        </w:rPr>
        <w:softHyphen/>
        <w:t xml:space="preserve">венной </w:t>
      </w:r>
      <w:proofErr w:type="spellStart"/>
      <w:r w:rsidRPr="00A259BD">
        <w:rPr>
          <w:rFonts w:ascii="Times New Roman" w:hAnsi="Times New Roman"/>
          <w:color w:val="000000" w:themeColor="text1"/>
          <w:sz w:val="16"/>
          <w:szCs w:val="16"/>
        </w:rPr>
        <w:t>базы.Далее</w:t>
      </w:r>
      <w:proofErr w:type="spellEnd"/>
      <w:r w:rsidRPr="00A259BD">
        <w:rPr>
          <w:rFonts w:ascii="Times New Roman" w:hAnsi="Times New Roman"/>
          <w:color w:val="000000" w:themeColor="text1"/>
          <w:sz w:val="16"/>
          <w:szCs w:val="16"/>
        </w:rPr>
        <w:t xml:space="preserve">, докладчик указал, что данный план ЩГИ по дирижаблестроению составлен на основании заданий НТУ ВСНХ СССР и что ЦАГИ имеет определенное указание начальника ВВС РККА </w:t>
      </w:r>
      <w:proofErr w:type="spellStart"/>
      <w:r w:rsidRPr="00A259BD">
        <w:rPr>
          <w:rFonts w:ascii="Times New Roman" w:hAnsi="Times New Roman"/>
          <w:color w:val="000000" w:themeColor="text1"/>
          <w:sz w:val="16"/>
          <w:szCs w:val="16"/>
        </w:rPr>
        <w:t>т.Баранова</w:t>
      </w:r>
      <w:proofErr w:type="spellEnd"/>
      <w:r w:rsidRPr="00A259BD">
        <w:rPr>
          <w:rFonts w:ascii="Times New Roman" w:hAnsi="Times New Roman"/>
          <w:color w:val="000000" w:themeColor="text1"/>
          <w:sz w:val="16"/>
          <w:szCs w:val="16"/>
        </w:rPr>
        <w:t xml:space="preserve"> о своевременности работ ЦАГИ в области опытного ди</w:t>
      </w:r>
      <w:r w:rsidRPr="00A259BD">
        <w:rPr>
          <w:rFonts w:ascii="Times New Roman" w:hAnsi="Times New Roman"/>
          <w:color w:val="000000" w:themeColor="text1"/>
          <w:sz w:val="16"/>
          <w:szCs w:val="16"/>
        </w:rPr>
        <w:softHyphen/>
        <w:t>рижаблестроения.</w:t>
      </w:r>
    </w:p>
    <w:p w14:paraId="1BB84B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Постоянный член Секции </w:t>
      </w:r>
      <w:proofErr w:type="spellStart"/>
      <w:r w:rsidRPr="00A259BD">
        <w:rPr>
          <w:rFonts w:ascii="Times New Roman" w:hAnsi="Times New Roman"/>
          <w:color w:val="000000" w:themeColor="text1"/>
          <w:sz w:val="16"/>
          <w:szCs w:val="16"/>
        </w:rPr>
        <w:t>Н.И.Шабашев</w:t>
      </w:r>
      <w:proofErr w:type="spellEnd"/>
      <w:r w:rsidRPr="00A259BD">
        <w:rPr>
          <w:rFonts w:ascii="Times New Roman" w:hAnsi="Times New Roman"/>
          <w:color w:val="000000" w:themeColor="text1"/>
          <w:sz w:val="16"/>
          <w:szCs w:val="16"/>
        </w:rPr>
        <w:t xml:space="preserve"> доложил, что план ра</w:t>
      </w:r>
      <w:r w:rsidRPr="00A259BD">
        <w:rPr>
          <w:rFonts w:ascii="Times New Roman" w:hAnsi="Times New Roman"/>
          <w:color w:val="000000" w:themeColor="text1"/>
          <w:sz w:val="16"/>
          <w:szCs w:val="16"/>
        </w:rPr>
        <w:softHyphen/>
        <w:t>бот ЦАГИ по дирижаблестроению и ориентировочная смета рассмат</w:t>
      </w:r>
      <w:r w:rsidRPr="00A259BD">
        <w:rPr>
          <w:rFonts w:ascii="Times New Roman" w:hAnsi="Times New Roman"/>
          <w:color w:val="000000" w:themeColor="text1"/>
          <w:sz w:val="16"/>
          <w:szCs w:val="16"/>
        </w:rPr>
        <w:softHyphen/>
        <w:t xml:space="preserve">ривались на заседании Комиссии по дирижаблестроению при НТУ ВСНХ б июля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xml:space="preserve">. под председательством члена Коллегии НТУ </w:t>
      </w:r>
      <w:proofErr w:type="spellStart"/>
      <w:r w:rsidRPr="00A259BD">
        <w:rPr>
          <w:rFonts w:ascii="Times New Roman" w:hAnsi="Times New Roman"/>
          <w:color w:val="000000" w:themeColor="text1"/>
          <w:sz w:val="16"/>
          <w:szCs w:val="16"/>
        </w:rPr>
        <w:t>тов.Лапирова-Скобло</w:t>
      </w:r>
      <w:proofErr w:type="spellEnd"/>
      <w:r w:rsidRPr="00A259BD">
        <w:rPr>
          <w:rFonts w:ascii="Times New Roman" w:hAnsi="Times New Roman"/>
          <w:color w:val="000000" w:themeColor="text1"/>
          <w:sz w:val="16"/>
          <w:szCs w:val="16"/>
        </w:rPr>
        <w:t>. По независящим от секции обстоятельствам, секция до сего времени не получила официального протокола заседания, но на данном заседании было по существу постановлено:</w:t>
      </w:r>
    </w:p>
    <w:p w14:paraId="0841F4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Признать целесообразным начало научно-исследовательских и опытно-конструкторских работ по дирижаблестроению*</w:t>
      </w:r>
    </w:p>
    <w:p w14:paraId="653EA5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Считать необходимым опытные работы по дирижаблестрое</w:t>
      </w:r>
      <w:r w:rsidRPr="00A259BD">
        <w:rPr>
          <w:rFonts w:ascii="Times New Roman" w:hAnsi="Times New Roman"/>
          <w:color w:val="000000" w:themeColor="text1"/>
          <w:sz w:val="16"/>
          <w:szCs w:val="16"/>
        </w:rPr>
        <w:softHyphen/>
        <w:t>нию в основном и целом сосредоточить в ЦАГИ, -признав вместе с тем желательным привлечение к участию в работах соответствую-</w:t>
      </w:r>
      <w:proofErr w:type="spellStart"/>
      <w:r w:rsidRPr="00A259BD">
        <w:rPr>
          <w:rFonts w:ascii="Times New Roman" w:hAnsi="Times New Roman"/>
          <w:color w:val="000000" w:themeColor="text1"/>
          <w:sz w:val="16"/>
          <w:szCs w:val="16"/>
        </w:rPr>
        <w:t>щих</w:t>
      </w:r>
      <w:proofErr w:type="spellEnd"/>
      <w:r w:rsidRPr="00A259BD">
        <w:rPr>
          <w:rFonts w:ascii="Times New Roman" w:hAnsi="Times New Roman"/>
          <w:color w:val="000000" w:themeColor="text1"/>
          <w:sz w:val="16"/>
          <w:szCs w:val="16"/>
        </w:rPr>
        <w:t xml:space="preserve"> лабораторий и специалистов других научных и высших техни</w:t>
      </w:r>
      <w:r w:rsidRPr="00A259BD">
        <w:rPr>
          <w:rFonts w:ascii="Times New Roman" w:hAnsi="Times New Roman"/>
          <w:color w:val="000000" w:themeColor="text1"/>
          <w:sz w:val="16"/>
          <w:szCs w:val="16"/>
        </w:rPr>
        <w:softHyphen/>
        <w:t>ческих учебных з-ведений, как в Москве, так и вне её”</w:t>
      </w:r>
    </w:p>
    <w:p w14:paraId="2F6C46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Считать представленную ЦАГИ программу работ технически реализуемой и минимальной на намеченный срок.</w:t>
      </w:r>
    </w:p>
    <w:p w14:paraId="67D3B51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Просить НТК УВВС о более детальной разработке програм</w:t>
      </w:r>
      <w:r w:rsidRPr="00A259BD">
        <w:rPr>
          <w:rFonts w:ascii="Times New Roman" w:hAnsi="Times New Roman"/>
          <w:color w:val="000000" w:themeColor="text1"/>
          <w:sz w:val="16"/>
          <w:szCs w:val="16"/>
        </w:rPr>
        <w:softHyphen/>
        <w:t>мы и даче своего заключения :</w:t>
      </w:r>
    </w:p>
    <w:p w14:paraId="3FD7681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о возможности сокращения намеченных </w:t>
      </w:r>
      <w:proofErr w:type="spellStart"/>
      <w:r w:rsidRPr="00A259BD">
        <w:rPr>
          <w:rFonts w:ascii="Times New Roman" w:hAnsi="Times New Roman"/>
          <w:color w:val="000000" w:themeColor="text1"/>
          <w:sz w:val="16"/>
          <w:szCs w:val="16"/>
        </w:rPr>
        <w:t>програлшой</w:t>
      </w:r>
      <w:proofErr w:type="spellEnd"/>
      <w:r w:rsidRPr="00A259BD">
        <w:rPr>
          <w:rFonts w:ascii="Times New Roman" w:hAnsi="Times New Roman"/>
          <w:color w:val="000000" w:themeColor="text1"/>
          <w:sz w:val="16"/>
          <w:szCs w:val="16"/>
        </w:rPr>
        <w:t xml:space="preserve"> сроков,</w:t>
      </w:r>
    </w:p>
    <w:p w14:paraId="45C0CBF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о целесообразности постройки переходных полужесткого и жесткого дирижаблей малого объема,</w:t>
      </w:r>
    </w:p>
    <w:p w14:paraId="105D90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об </w:t>
      </w:r>
      <w:proofErr w:type="spellStart"/>
      <w:r w:rsidRPr="00A259BD">
        <w:rPr>
          <w:rFonts w:ascii="Times New Roman" w:hAnsi="Times New Roman"/>
          <w:color w:val="000000" w:themeColor="text1"/>
          <w:sz w:val="16"/>
          <w:szCs w:val="16"/>
        </w:rPr>
        <w:t>определении,в</w:t>
      </w:r>
      <w:proofErr w:type="spellEnd"/>
      <w:r w:rsidRPr="00A259BD">
        <w:rPr>
          <w:rFonts w:ascii="Times New Roman" w:hAnsi="Times New Roman"/>
          <w:color w:val="000000" w:themeColor="text1"/>
          <w:sz w:val="16"/>
          <w:szCs w:val="16"/>
        </w:rPr>
        <w:t xml:space="preserve"> каком </w:t>
      </w:r>
      <w:proofErr w:type="spellStart"/>
      <w:r w:rsidRPr="00A259BD">
        <w:rPr>
          <w:rFonts w:ascii="Times New Roman" w:hAnsi="Times New Roman"/>
          <w:color w:val="000000" w:themeColor="text1"/>
          <w:sz w:val="16"/>
          <w:szCs w:val="16"/>
        </w:rPr>
        <w:t>об"еме</w:t>
      </w:r>
      <w:proofErr w:type="spellEnd"/>
      <w:r w:rsidRPr="00A259BD">
        <w:rPr>
          <w:rFonts w:ascii="Times New Roman" w:hAnsi="Times New Roman"/>
          <w:color w:val="000000" w:themeColor="text1"/>
          <w:sz w:val="16"/>
          <w:szCs w:val="16"/>
        </w:rPr>
        <w:t xml:space="preserve"> и до какого момента представленная программа должна выполняться в ЦАГИ, и когда работы по дирижаблестроению должны быть пе</w:t>
      </w:r>
      <w:r w:rsidRPr="00A259BD">
        <w:rPr>
          <w:rFonts w:ascii="Times New Roman" w:hAnsi="Times New Roman"/>
          <w:color w:val="000000" w:themeColor="text1"/>
          <w:sz w:val="16"/>
          <w:szCs w:val="16"/>
        </w:rPr>
        <w:softHyphen/>
        <w:t>ренесены из ЦАГИ на производственную базу,</w:t>
      </w:r>
    </w:p>
    <w:p w14:paraId="707D93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о представленной ЦАГИ ориентировочной смете с точки зрения осуществления намеченной программы”</w:t>
      </w:r>
    </w:p>
    <w:p w14:paraId="1C91AD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Тов. </w:t>
      </w:r>
      <w:proofErr w:type="spellStart"/>
      <w:r w:rsidRPr="00A259BD">
        <w:rPr>
          <w:rFonts w:ascii="Times New Roman" w:hAnsi="Times New Roman"/>
          <w:color w:val="000000" w:themeColor="text1"/>
          <w:sz w:val="16"/>
          <w:szCs w:val="16"/>
        </w:rPr>
        <w:t>Шабашев</w:t>
      </w:r>
      <w:proofErr w:type="spellEnd"/>
      <w:r w:rsidRPr="00A259BD">
        <w:rPr>
          <w:rFonts w:ascii="Times New Roman" w:hAnsi="Times New Roman"/>
          <w:color w:val="000000" w:themeColor="text1"/>
          <w:sz w:val="16"/>
          <w:szCs w:val="16"/>
        </w:rPr>
        <w:t xml:space="preserve"> указывает, что опытное разрешение вопроса дирижаблестроения в СССР, учитывая условия Союза и современное развитие дирижаблестроения за границей, следует считать вопро</w:t>
      </w:r>
      <w:r w:rsidRPr="00A259BD">
        <w:rPr>
          <w:rFonts w:ascii="Times New Roman" w:hAnsi="Times New Roman"/>
          <w:color w:val="000000" w:themeColor="text1"/>
          <w:sz w:val="16"/>
          <w:szCs w:val="16"/>
        </w:rPr>
        <w:softHyphen/>
        <w:t>сом важным и поставленным своевременно.</w:t>
      </w:r>
    </w:p>
    <w:p w14:paraId="1BAAE9C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Организацию и проведение работ по </w:t>
      </w:r>
      <w:proofErr w:type="spellStart"/>
      <w:r w:rsidRPr="00A259BD">
        <w:rPr>
          <w:rFonts w:ascii="Times New Roman" w:hAnsi="Times New Roman"/>
          <w:color w:val="000000" w:themeColor="text1"/>
          <w:sz w:val="16"/>
          <w:szCs w:val="16"/>
        </w:rPr>
        <w:t>опмтному</w:t>
      </w:r>
      <w:proofErr w:type="spellEnd"/>
      <w:r w:rsidRPr="00A259BD">
        <w:rPr>
          <w:rFonts w:ascii="Times New Roman" w:hAnsi="Times New Roman"/>
          <w:color w:val="000000" w:themeColor="text1"/>
          <w:sz w:val="16"/>
          <w:szCs w:val="16"/>
        </w:rPr>
        <w:t xml:space="preserve"> дирижабле -строению наиболее целесообразно поручить ЦАГИ, имеющему боль</w:t>
      </w:r>
      <w:r w:rsidRPr="00A259BD">
        <w:rPr>
          <w:rFonts w:ascii="Times New Roman" w:hAnsi="Times New Roman"/>
          <w:color w:val="000000" w:themeColor="text1"/>
          <w:sz w:val="16"/>
          <w:szCs w:val="16"/>
        </w:rPr>
        <w:softHyphen/>
        <w:t xml:space="preserve">шом опыт в создании металлических конструкций самолетов. ВНТК имеет резолюцию Заместителя Начальника ВВС </w:t>
      </w:r>
      <w:proofErr w:type="spellStart"/>
      <w:r w:rsidRPr="00A259BD">
        <w:rPr>
          <w:rFonts w:ascii="Times New Roman" w:hAnsi="Times New Roman"/>
          <w:color w:val="000000" w:themeColor="text1"/>
          <w:sz w:val="16"/>
          <w:szCs w:val="16"/>
        </w:rPr>
        <w:t>тов</w:t>
      </w:r>
      <w:proofErr w:type="spellEnd"/>
      <w:r w:rsidRPr="00A259BD">
        <w:rPr>
          <w:rFonts w:ascii="Times New Roman" w:hAnsi="Times New Roman"/>
          <w:color w:val="000000" w:themeColor="text1"/>
          <w:sz w:val="16"/>
          <w:szCs w:val="16"/>
        </w:rPr>
        <w:t>*Алксниса р соз</w:t>
      </w:r>
      <w:r w:rsidRPr="00A259BD">
        <w:rPr>
          <w:rFonts w:ascii="Times New Roman" w:hAnsi="Times New Roman"/>
          <w:color w:val="000000" w:themeColor="text1"/>
          <w:sz w:val="16"/>
          <w:szCs w:val="16"/>
        </w:rPr>
        <w:softHyphen/>
        <w:t>дании при ЦАГИ отдела опытного строительства по воздухоплава</w:t>
      </w:r>
      <w:r w:rsidRPr="00A259BD">
        <w:rPr>
          <w:rFonts w:ascii="Times New Roman" w:hAnsi="Times New Roman"/>
          <w:color w:val="000000" w:themeColor="text1"/>
          <w:sz w:val="16"/>
          <w:szCs w:val="16"/>
        </w:rPr>
        <w:softHyphen/>
        <w:t>нию.</w:t>
      </w:r>
    </w:p>
    <w:p w14:paraId="06D86D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проведении ЦАГИ указанных работ желательно использо</w:t>
      </w:r>
      <w:r w:rsidRPr="00A259BD">
        <w:rPr>
          <w:rFonts w:ascii="Times New Roman" w:hAnsi="Times New Roman"/>
          <w:color w:val="000000" w:themeColor="text1"/>
          <w:sz w:val="16"/>
          <w:szCs w:val="16"/>
        </w:rPr>
        <w:softHyphen/>
        <w:t>вание им по мере необходимости для выполнения отдельных зада</w:t>
      </w:r>
      <w:r w:rsidRPr="00A259BD">
        <w:rPr>
          <w:rFonts w:ascii="Times New Roman" w:hAnsi="Times New Roman"/>
          <w:color w:val="000000" w:themeColor="text1"/>
          <w:sz w:val="16"/>
          <w:szCs w:val="16"/>
        </w:rPr>
        <w:softHyphen/>
        <w:t>ний научно-исследовательского характера лабораторий соответст</w:t>
      </w:r>
      <w:r w:rsidRPr="00A259BD">
        <w:rPr>
          <w:rFonts w:ascii="Times New Roman" w:hAnsi="Times New Roman"/>
          <w:color w:val="000000" w:themeColor="text1"/>
          <w:sz w:val="16"/>
          <w:szCs w:val="16"/>
        </w:rPr>
        <w:softHyphen/>
        <w:t>вующих научных и высших технических учебных заведений Союза, а также привлечение к работам отдельных специалистов.</w:t>
      </w:r>
    </w:p>
    <w:p w14:paraId="37ED0C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Намеченный ЦАГИ подход к проведению научно-исследователь</w:t>
      </w:r>
      <w:r w:rsidRPr="00A259BD">
        <w:rPr>
          <w:rFonts w:ascii="Times New Roman" w:hAnsi="Times New Roman"/>
          <w:color w:val="000000" w:themeColor="text1"/>
          <w:sz w:val="16"/>
          <w:szCs w:val="16"/>
        </w:rPr>
        <w:softHyphen/>
        <w:t>ских работ и опытных конструкций следует признать в общем пра</w:t>
      </w:r>
      <w:r w:rsidRPr="00A259BD">
        <w:rPr>
          <w:rFonts w:ascii="Times New Roman" w:hAnsi="Times New Roman"/>
          <w:color w:val="000000" w:themeColor="text1"/>
          <w:sz w:val="16"/>
          <w:szCs w:val="16"/>
        </w:rPr>
        <w:softHyphen/>
        <w:t>вильным. Необходимость постройки первых опытных образцов полу</w:t>
      </w:r>
      <w:r w:rsidRPr="00A259BD">
        <w:rPr>
          <w:rFonts w:ascii="Times New Roman" w:hAnsi="Times New Roman"/>
          <w:color w:val="000000" w:themeColor="text1"/>
          <w:sz w:val="16"/>
          <w:szCs w:val="16"/>
        </w:rPr>
        <w:softHyphen/>
        <w:t xml:space="preserve">жесткого и жесткого дирижаблей диктуется соображениями </w:t>
      </w:r>
      <w:proofErr w:type="spellStart"/>
      <w:r w:rsidRPr="00A259BD">
        <w:rPr>
          <w:rFonts w:ascii="Times New Roman" w:hAnsi="Times New Roman"/>
          <w:color w:val="000000" w:themeColor="text1"/>
          <w:sz w:val="16"/>
          <w:szCs w:val="16"/>
        </w:rPr>
        <w:t>жела</w:t>
      </w:r>
      <w:proofErr w:type="spellEnd"/>
      <w:r w:rsidRPr="00A259BD">
        <w:rPr>
          <w:rFonts w:ascii="Times New Roman" w:hAnsi="Times New Roman"/>
          <w:color w:val="000000" w:themeColor="text1"/>
          <w:sz w:val="16"/>
          <w:szCs w:val="16"/>
        </w:rPr>
        <w:t xml:space="preserve"> -тельности накопления возможно большего конструктивного </w:t>
      </w:r>
      <w:proofErr w:type="spellStart"/>
      <w:r w:rsidRPr="00A259BD">
        <w:rPr>
          <w:rFonts w:ascii="Times New Roman" w:hAnsi="Times New Roman"/>
          <w:color w:val="000000" w:themeColor="text1"/>
          <w:sz w:val="16"/>
          <w:szCs w:val="16"/>
        </w:rPr>
        <w:t>произ</w:t>
      </w:r>
      <w:proofErr w:type="spellEnd"/>
      <w:r w:rsidRPr="00A259BD">
        <w:rPr>
          <w:rFonts w:ascii="Times New Roman" w:hAnsi="Times New Roman"/>
          <w:color w:val="000000" w:themeColor="text1"/>
          <w:sz w:val="16"/>
          <w:szCs w:val="16"/>
        </w:rPr>
        <w:t xml:space="preserve"> -Бедственного и </w:t>
      </w:r>
      <w:proofErr w:type="spellStart"/>
      <w:r w:rsidRPr="00A259BD">
        <w:rPr>
          <w:rFonts w:ascii="Times New Roman" w:hAnsi="Times New Roman"/>
          <w:color w:val="000000" w:themeColor="text1"/>
          <w:sz w:val="16"/>
          <w:szCs w:val="16"/>
        </w:rPr>
        <w:t>эксплоатационного</w:t>
      </w:r>
      <w:proofErr w:type="spellEnd"/>
      <w:r w:rsidRPr="00A259BD">
        <w:rPr>
          <w:rFonts w:ascii="Times New Roman" w:hAnsi="Times New Roman"/>
          <w:color w:val="000000" w:themeColor="text1"/>
          <w:sz w:val="16"/>
          <w:szCs w:val="16"/>
        </w:rPr>
        <w:t xml:space="preserve"> опыта не менее дорогостоящих, но вместе с тем наиболее выявляющих особенности данного типа постройках.</w:t>
      </w:r>
    </w:p>
    <w:p w14:paraId="1BFB19A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Сроки осуществления опытных дирижаблей желательно </w:t>
      </w:r>
      <w:proofErr w:type="spellStart"/>
      <w:r w:rsidRPr="00A259BD">
        <w:rPr>
          <w:rFonts w:ascii="Times New Roman" w:hAnsi="Times New Roman"/>
          <w:color w:val="000000" w:themeColor="text1"/>
          <w:sz w:val="16"/>
          <w:szCs w:val="16"/>
        </w:rPr>
        <w:t>сдви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нуть</w:t>
      </w:r>
      <w:proofErr w:type="spellEnd"/>
      <w:r w:rsidRPr="00A259BD">
        <w:rPr>
          <w:rFonts w:ascii="Times New Roman" w:hAnsi="Times New Roman"/>
          <w:color w:val="000000" w:themeColor="text1"/>
          <w:sz w:val="16"/>
          <w:szCs w:val="16"/>
        </w:rPr>
        <w:t xml:space="preserve"> с таким расчетом, чтобы дирижабли выходили из постройки к летнему сезону, когда они при наиболее благоприятных условиях могли бы быть испытываемы.</w:t>
      </w:r>
    </w:p>
    <w:p w14:paraId="0B1352C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Опытные работы ЦАГИ по дирижаблестроению должны закон -</w:t>
      </w:r>
      <w:proofErr w:type="spellStart"/>
      <w:r w:rsidRPr="00A259BD">
        <w:rPr>
          <w:rFonts w:ascii="Times New Roman" w:hAnsi="Times New Roman"/>
          <w:color w:val="000000" w:themeColor="text1"/>
          <w:sz w:val="16"/>
          <w:szCs w:val="16"/>
        </w:rPr>
        <w:t>читься</w:t>
      </w:r>
      <w:proofErr w:type="spellEnd"/>
      <w:r w:rsidRPr="00A259BD">
        <w:rPr>
          <w:rFonts w:ascii="Times New Roman" w:hAnsi="Times New Roman"/>
          <w:color w:val="000000" w:themeColor="text1"/>
          <w:sz w:val="16"/>
          <w:szCs w:val="16"/>
        </w:rPr>
        <w:t xml:space="preserve"> жестким дирижаблем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до 50.000 куб. м.</w:t>
      </w:r>
    </w:p>
    <w:p w14:paraId="7F5AE6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же касается организации и выполнения работ по осущест</w:t>
      </w:r>
      <w:r w:rsidRPr="00A259BD">
        <w:rPr>
          <w:rFonts w:ascii="Times New Roman" w:hAnsi="Times New Roman"/>
          <w:color w:val="000000" w:themeColor="text1"/>
          <w:sz w:val="16"/>
          <w:szCs w:val="16"/>
        </w:rPr>
        <w:softHyphen/>
        <w:t xml:space="preserve">влению </w:t>
      </w:r>
      <w:proofErr w:type="spellStart"/>
      <w:r w:rsidRPr="00A259BD">
        <w:rPr>
          <w:rFonts w:ascii="Times New Roman" w:hAnsi="Times New Roman"/>
          <w:color w:val="000000" w:themeColor="text1"/>
          <w:sz w:val="16"/>
          <w:szCs w:val="16"/>
        </w:rPr>
        <w:t>эксплоатационного</w:t>
      </w:r>
      <w:proofErr w:type="spellEnd"/>
      <w:r w:rsidRPr="00A259BD">
        <w:rPr>
          <w:rFonts w:ascii="Times New Roman" w:hAnsi="Times New Roman"/>
          <w:color w:val="000000" w:themeColor="text1"/>
          <w:sz w:val="16"/>
          <w:szCs w:val="16"/>
        </w:rPr>
        <w:t xml:space="preserve"> мощного дирижабля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до 250 -300,000 куб. м, то этот вопрос должен быть увязан с имеющими </w:t>
      </w:r>
      <w:proofErr w:type="spellStart"/>
      <w:r w:rsidRPr="00A259BD">
        <w:rPr>
          <w:rFonts w:ascii="Times New Roman" w:hAnsi="Times New Roman"/>
          <w:color w:val="000000" w:themeColor="text1"/>
          <w:sz w:val="16"/>
          <w:szCs w:val="16"/>
        </w:rPr>
        <w:t>бнть</w:t>
      </w:r>
      <w:proofErr w:type="spellEnd"/>
      <w:r w:rsidRPr="00A259BD">
        <w:rPr>
          <w:rFonts w:ascii="Times New Roman" w:hAnsi="Times New Roman"/>
          <w:color w:val="000000" w:themeColor="text1"/>
          <w:sz w:val="16"/>
          <w:szCs w:val="16"/>
        </w:rPr>
        <w:t xml:space="preserve"> выявленными в опытных работах ЦАГИ производственными и </w:t>
      </w:r>
      <w:proofErr w:type="spellStart"/>
      <w:r w:rsidRPr="00A259BD">
        <w:rPr>
          <w:rFonts w:ascii="Times New Roman" w:hAnsi="Times New Roman"/>
          <w:color w:val="000000" w:themeColor="text1"/>
          <w:sz w:val="16"/>
          <w:szCs w:val="16"/>
        </w:rPr>
        <w:t>эксплоатационными</w:t>
      </w:r>
      <w:proofErr w:type="spellEnd"/>
      <w:r w:rsidRPr="00A259BD">
        <w:rPr>
          <w:rFonts w:ascii="Times New Roman" w:hAnsi="Times New Roman"/>
          <w:color w:val="000000" w:themeColor="text1"/>
          <w:sz w:val="16"/>
          <w:szCs w:val="16"/>
        </w:rPr>
        <w:t xml:space="preserve"> сторонами и разрешен на особом совещании заинтересованных в развитии и </w:t>
      </w:r>
      <w:proofErr w:type="spellStart"/>
      <w:r w:rsidRPr="00A259BD">
        <w:rPr>
          <w:rFonts w:ascii="Times New Roman" w:hAnsi="Times New Roman"/>
          <w:color w:val="000000" w:themeColor="text1"/>
          <w:sz w:val="16"/>
          <w:szCs w:val="16"/>
        </w:rPr>
        <w:t>эксплоатации</w:t>
      </w:r>
      <w:proofErr w:type="spellEnd"/>
      <w:r w:rsidRPr="00A259BD">
        <w:rPr>
          <w:rFonts w:ascii="Times New Roman" w:hAnsi="Times New Roman"/>
          <w:color w:val="000000" w:themeColor="text1"/>
          <w:sz w:val="16"/>
          <w:szCs w:val="16"/>
        </w:rPr>
        <w:t xml:space="preserve"> дирижаблей в Союзе ведомств. Высказать более или менее детальное суждение о пред</w:t>
      </w:r>
      <w:r w:rsidRPr="00A259BD">
        <w:rPr>
          <w:rFonts w:ascii="Times New Roman" w:hAnsi="Times New Roman"/>
          <w:color w:val="000000" w:themeColor="text1"/>
          <w:sz w:val="16"/>
          <w:szCs w:val="16"/>
        </w:rPr>
        <w:softHyphen/>
        <w:t>ставленной ЦАГИ ориентировочной смете не представляется воз -</w:t>
      </w:r>
      <w:proofErr w:type="spellStart"/>
      <w:r w:rsidRPr="00A259BD">
        <w:rPr>
          <w:rFonts w:ascii="Times New Roman" w:hAnsi="Times New Roman"/>
          <w:color w:val="000000" w:themeColor="text1"/>
          <w:sz w:val="16"/>
          <w:szCs w:val="16"/>
        </w:rPr>
        <w:t>можным</w:t>
      </w:r>
      <w:proofErr w:type="spellEnd"/>
      <w:r w:rsidRPr="00A259BD">
        <w:rPr>
          <w:rFonts w:ascii="Times New Roman" w:hAnsi="Times New Roman"/>
          <w:color w:val="000000" w:themeColor="text1"/>
          <w:sz w:val="16"/>
          <w:szCs w:val="16"/>
        </w:rPr>
        <w:t>, в силу новизны дела, опытного характера работ и отсут</w:t>
      </w:r>
      <w:r w:rsidRPr="00A259BD">
        <w:rPr>
          <w:rFonts w:ascii="Times New Roman" w:hAnsi="Times New Roman"/>
          <w:color w:val="000000" w:themeColor="text1"/>
          <w:sz w:val="16"/>
          <w:szCs w:val="16"/>
        </w:rPr>
        <w:softHyphen/>
        <w:t>ствия в настоящее время данных о возможностях нашей промыт -</w:t>
      </w:r>
      <w:proofErr w:type="spellStart"/>
      <w:r w:rsidRPr="00A259BD">
        <w:rPr>
          <w:rFonts w:ascii="Times New Roman" w:hAnsi="Times New Roman"/>
          <w:color w:val="000000" w:themeColor="text1"/>
          <w:sz w:val="16"/>
          <w:szCs w:val="16"/>
        </w:rPr>
        <w:t>ленноети</w:t>
      </w:r>
      <w:proofErr w:type="spellEnd"/>
      <w:r w:rsidRPr="00A259BD">
        <w:rPr>
          <w:rFonts w:ascii="Times New Roman" w:hAnsi="Times New Roman"/>
          <w:color w:val="000000" w:themeColor="text1"/>
          <w:sz w:val="16"/>
          <w:szCs w:val="16"/>
        </w:rPr>
        <w:t xml:space="preserve"> в смысле материалов и оборудования”</w:t>
      </w:r>
    </w:p>
    <w:p w14:paraId="5D54DF6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порядке обсуждения вопроса были высказаны следующие мнения:</w:t>
      </w:r>
    </w:p>
    <w:p w14:paraId="1C0C1EC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 Представители: Военной Воздушной Академии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Семенов и Воздухоплавательного Отдела НИИ тов. Соколов присоединяются к выработанному ЦАГИ методу подхода к проведению научно-иссле</w:t>
      </w:r>
      <w:r w:rsidRPr="00A259BD">
        <w:rPr>
          <w:rFonts w:ascii="Times New Roman" w:hAnsi="Times New Roman"/>
          <w:color w:val="000000" w:themeColor="text1"/>
          <w:sz w:val="16"/>
          <w:szCs w:val="16"/>
        </w:rPr>
        <w:softHyphen/>
        <w:t>довательских работ и опытных "конструкций и также считают необ</w:t>
      </w:r>
      <w:r w:rsidRPr="00A259BD">
        <w:rPr>
          <w:rFonts w:ascii="Times New Roman" w:hAnsi="Times New Roman"/>
          <w:color w:val="000000" w:themeColor="text1"/>
          <w:sz w:val="16"/>
          <w:szCs w:val="16"/>
        </w:rPr>
        <w:softHyphen/>
        <w:t>ходимым первоначальное осуществление полужесткого и жесткого дирижаблей малой кубатуры.</w:t>
      </w:r>
    </w:p>
    <w:p w14:paraId="1806A6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Начальник 4-го Отдела 1-го Управления тов. </w:t>
      </w:r>
      <w:proofErr w:type="spellStart"/>
      <w:r w:rsidRPr="00A259BD">
        <w:rPr>
          <w:rFonts w:ascii="Times New Roman" w:hAnsi="Times New Roman"/>
          <w:color w:val="000000" w:themeColor="text1"/>
          <w:sz w:val="16"/>
          <w:szCs w:val="16"/>
        </w:rPr>
        <w:t>Хрипин</w:t>
      </w:r>
      <w:proofErr w:type="spellEnd"/>
      <w:r w:rsidRPr="00A259BD">
        <w:rPr>
          <w:rFonts w:ascii="Times New Roman" w:hAnsi="Times New Roman"/>
          <w:color w:val="000000" w:themeColor="text1"/>
          <w:sz w:val="16"/>
          <w:szCs w:val="16"/>
        </w:rPr>
        <w:t xml:space="preserve"> счи</w:t>
      </w:r>
      <w:r w:rsidRPr="00A259BD">
        <w:rPr>
          <w:rFonts w:ascii="Times New Roman" w:hAnsi="Times New Roman"/>
          <w:color w:val="000000" w:themeColor="text1"/>
          <w:sz w:val="16"/>
          <w:szCs w:val="16"/>
        </w:rPr>
        <w:softHyphen/>
        <w:t>тает необходимым возможно более полное освещение вопроса о развитии в Союзе не только опытного дирижаблестроения, но и всего воздухоплавания в целом, с привлечением к разрешению этого вопроса всех заинтересованных ведомств. По данному во -просу у нас нет целевой установки.</w:t>
      </w:r>
    </w:p>
    <w:p w14:paraId="522477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Представитель </w:t>
      </w:r>
      <w:proofErr w:type="spellStart"/>
      <w:r w:rsidRPr="00A259BD">
        <w:rPr>
          <w:rFonts w:ascii="Times New Roman" w:hAnsi="Times New Roman"/>
          <w:color w:val="000000" w:themeColor="text1"/>
          <w:sz w:val="16"/>
          <w:szCs w:val="16"/>
        </w:rPr>
        <w:t>Моь</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План.Управления</w:t>
      </w:r>
      <w:proofErr w:type="spellEnd"/>
      <w:r w:rsidRPr="00A259BD">
        <w:rPr>
          <w:rFonts w:ascii="Times New Roman" w:hAnsi="Times New Roman"/>
          <w:color w:val="000000" w:themeColor="text1"/>
          <w:sz w:val="16"/>
          <w:szCs w:val="16"/>
        </w:rPr>
        <w:t xml:space="preserve"> ВСНХ </w:t>
      </w:r>
      <w:proofErr w:type="spellStart"/>
      <w:r w:rsidRPr="00A259BD">
        <w:rPr>
          <w:rFonts w:ascii="Times New Roman" w:hAnsi="Times New Roman"/>
          <w:color w:val="000000" w:themeColor="text1"/>
          <w:sz w:val="16"/>
          <w:szCs w:val="16"/>
        </w:rPr>
        <w:t>тов.Воробьев</w:t>
      </w:r>
      <w:proofErr w:type="spellEnd"/>
      <w:r w:rsidRPr="00A259BD">
        <w:rPr>
          <w:rFonts w:ascii="Times New Roman" w:hAnsi="Times New Roman"/>
          <w:color w:val="000000" w:themeColor="text1"/>
          <w:sz w:val="16"/>
          <w:szCs w:val="16"/>
        </w:rPr>
        <w:t xml:space="preserve"> указывает, что представленную ЦАГИ программу работ по опытно</w:t>
      </w:r>
      <w:r w:rsidRPr="00A259BD">
        <w:rPr>
          <w:rFonts w:ascii="Times New Roman" w:hAnsi="Times New Roman"/>
          <w:color w:val="000000" w:themeColor="text1"/>
          <w:sz w:val="16"/>
          <w:szCs w:val="16"/>
        </w:rPr>
        <w:softHyphen/>
        <w:t xml:space="preserve">му дирижаблестроению нельзя считать реальной, так как она не увязана с промышленностью. Надо ставить вопрос не только об опытном дирижаблестроении, а вообще и развитии </w:t>
      </w:r>
      <w:proofErr w:type="spellStart"/>
      <w:r w:rsidRPr="00A259BD">
        <w:rPr>
          <w:rFonts w:ascii="Times New Roman" w:hAnsi="Times New Roman"/>
          <w:color w:val="000000" w:themeColor="text1"/>
          <w:sz w:val="16"/>
          <w:szCs w:val="16"/>
        </w:rPr>
        <w:t>воздухоплава</w:t>
      </w:r>
      <w:proofErr w:type="spellEnd"/>
      <w:r w:rsidRPr="00A259BD">
        <w:rPr>
          <w:rFonts w:ascii="Times New Roman" w:hAnsi="Times New Roman"/>
          <w:color w:val="000000" w:themeColor="text1"/>
          <w:sz w:val="16"/>
          <w:szCs w:val="16"/>
        </w:rPr>
        <w:t xml:space="preserve"> -тельной промышленности в целом. Без полного освещения этого вопроса нецелесообразно рассматривать отдельно программу ЦАГИ, как составляющую только небольшую часть развития воздухоплава</w:t>
      </w:r>
      <w:r w:rsidRPr="00A259BD">
        <w:rPr>
          <w:rFonts w:ascii="Times New Roman" w:hAnsi="Times New Roman"/>
          <w:color w:val="000000" w:themeColor="text1"/>
          <w:sz w:val="16"/>
          <w:szCs w:val="16"/>
        </w:rPr>
        <w:softHyphen/>
        <w:t>ния в целом.</w:t>
      </w:r>
    </w:p>
    <w:p w14:paraId="5C07A2A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Воробьев, не возражая против передачи научно-иссле</w:t>
      </w:r>
      <w:r w:rsidRPr="00A259BD">
        <w:rPr>
          <w:rFonts w:ascii="Times New Roman" w:hAnsi="Times New Roman"/>
          <w:color w:val="000000" w:themeColor="text1"/>
          <w:sz w:val="16"/>
          <w:szCs w:val="16"/>
        </w:rPr>
        <w:softHyphen/>
        <w:t>довательской части по дирижаблям в ЦАГИ, считает вопрос осу -</w:t>
      </w:r>
      <w:proofErr w:type="spellStart"/>
      <w:r w:rsidRPr="00A259BD">
        <w:rPr>
          <w:rFonts w:ascii="Times New Roman" w:hAnsi="Times New Roman"/>
          <w:color w:val="000000" w:themeColor="text1"/>
          <w:sz w:val="16"/>
          <w:szCs w:val="16"/>
        </w:rPr>
        <w:t>ществления</w:t>
      </w:r>
      <w:proofErr w:type="spellEnd"/>
      <w:r w:rsidRPr="00A259BD">
        <w:rPr>
          <w:rFonts w:ascii="Times New Roman" w:hAnsi="Times New Roman"/>
          <w:color w:val="000000" w:themeColor="text1"/>
          <w:sz w:val="16"/>
          <w:szCs w:val="16"/>
        </w:rPr>
        <w:t xml:space="preserve"> в ЦАГИ опытных конструкций дирижаблей не </w:t>
      </w:r>
      <w:proofErr w:type="spellStart"/>
      <w:r w:rsidRPr="00A259BD">
        <w:rPr>
          <w:rFonts w:ascii="Times New Roman" w:hAnsi="Times New Roman"/>
          <w:color w:val="000000" w:themeColor="text1"/>
          <w:sz w:val="16"/>
          <w:szCs w:val="16"/>
        </w:rPr>
        <w:t>разрабо</w:t>
      </w:r>
      <w:proofErr w:type="spellEnd"/>
      <w:r w:rsidRPr="00A259BD">
        <w:rPr>
          <w:rFonts w:ascii="Times New Roman" w:hAnsi="Times New Roman"/>
          <w:color w:val="000000" w:themeColor="text1"/>
          <w:sz w:val="16"/>
          <w:szCs w:val="16"/>
        </w:rPr>
        <w:t xml:space="preserve"> -тайным, так как он не согласован с промышленностью. Только при этом согласовании можно вырешить, где быть заводу. Вопрос о необходимости иметь завод большего размера именно при </w:t>
      </w:r>
      <w:proofErr w:type="spellStart"/>
      <w:r w:rsidRPr="00A259BD">
        <w:rPr>
          <w:rFonts w:ascii="Times New Roman" w:hAnsi="Times New Roman"/>
          <w:color w:val="000000" w:themeColor="text1"/>
          <w:sz w:val="16"/>
          <w:szCs w:val="16"/>
        </w:rPr>
        <w:t>ЦАГИ,тог</w:t>
      </w:r>
      <w:r w:rsidRPr="00A259BD">
        <w:rPr>
          <w:rFonts w:ascii="Times New Roman" w:hAnsi="Times New Roman"/>
          <w:color w:val="000000" w:themeColor="text1"/>
          <w:sz w:val="16"/>
          <w:szCs w:val="16"/>
        </w:rPr>
        <w:softHyphen/>
        <w:t>да</w:t>
      </w:r>
      <w:proofErr w:type="spellEnd"/>
      <w:r w:rsidRPr="00A259BD">
        <w:rPr>
          <w:rFonts w:ascii="Times New Roman" w:hAnsi="Times New Roman"/>
          <w:color w:val="000000" w:themeColor="text1"/>
          <w:sz w:val="16"/>
          <w:szCs w:val="16"/>
        </w:rPr>
        <w:t xml:space="preserve"> как остальная часть проблемы остается нерешенной, для него остается недоказанным. Кроме того, </w:t>
      </w:r>
      <w:proofErr w:type="spellStart"/>
      <w:r w:rsidRPr="00A259BD">
        <w:rPr>
          <w:rFonts w:ascii="Times New Roman" w:hAnsi="Times New Roman"/>
          <w:color w:val="000000" w:themeColor="text1"/>
          <w:sz w:val="16"/>
          <w:szCs w:val="16"/>
        </w:rPr>
        <w:t>инж.Воробьев</w:t>
      </w:r>
      <w:proofErr w:type="spellEnd"/>
      <w:r w:rsidRPr="00A259BD">
        <w:rPr>
          <w:rFonts w:ascii="Times New Roman" w:hAnsi="Times New Roman"/>
          <w:color w:val="000000" w:themeColor="text1"/>
          <w:sz w:val="16"/>
          <w:szCs w:val="16"/>
        </w:rPr>
        <w:t xml:space="preserve"> считает нецеле</w:t>
      </w:r>
      <w:r w:rsidRPr="00A259BD">
        <w:rPr>
          <w:rFonts w:ascii="Times New Roman" w:hAnsi="Times New Roman"/>
          <w:color w:val="000000" w:themeColor="text1"/>
          <w:sz w:val="16"/>
          <w:szCs w:val="16"/>
        </w:rPr>
        <w:softHyphen/>
        <w:t xml:space="preserve">сообразным постройку первого промежуточного дирижабля, жесткой системы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15.000 куб. м, как не могущего быть после постройки использованным для практических целей, о чем и пода</w:t>
      </w:r>
      <w:r w:rsidRPr="00A259BD">
        <w:rPr>
          <w:rFonts w:ascii="Times New Roman" w:hAnsi="Times New Roman"/>
          <w:color w:val="000000" w:themeColor="text1"/>
          <w:sz w:val="16"/>
          <w:szCs w:val="16"/>
        </w:rPr>
        <w:softHyphen/>
        <w:t>ет свое особое мнение.</w:t>
      </w:r>
    </w:p>
    <w:p w14:paraId="2BF8217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Намеченные ЦАГИ сроки постройки опытных дирижаблей, равно как и стоимость, по мнению </w:t>
      </w:r>
      <w:proofErr w:type="spellStart"/>
      <w:r w:rsidRPr="00A259BD">
        <w:rPr>
          <w:rFonts w:ascii="Times New Roman" w:hAnsi="Times New Roman"/>
          <w:color w:val="000000" w:themeColor="text1"/>
          <w:sz w:val="16"/>
          <w:szCs w:val="16"/>
        </w:rPr>
        <w:t>инж.Воробьева</w:t>
      </w:r>
      <w:proofErr w:type="spellEnd"/>
      <w:r w:rsidRPr="00A259BD">
        <w:rPr>
          <w:rFonts w:ascii="Times New Roman" w:hAnsi="Times New Roman"/>
          <w:color w:val="000000" w:themeColor="text1"/>
          <w:sz w:val="16"/>
          <w:szCs w:val="16"/>
        </w:rPr>
        <w:t>, являются чрезмерными.</w:t>
      </w:r>
    </w:p>
    <w:p w14:paraId="69286D3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 учтены при этом и </w:t>
      </w:r>
      <w:proofErr w:type="spellStart"/>
      <w:r w:rsidRPr="00A259BD">
        <w:rPr>
          <w:rFonts w:ascii="Times New Roman" w:hAnsi="Times New Roman"/>
          <w:color w:val="000000" w:themeColor="text1"/>
          <w:sz w:val="16"/>
          <w:szCs w:val="16"/>
        </w:rPr>
        <w:t>эксплоатационные</w:t>
      </w:r>
      <w:proofErr w:type="spellEnd"/>
      <w:r w:rsidRPr="00A259BD">
        <w:rPr>
          <w:rFonts w:ascii="Times New Roman" w:hAnsi="Times New Roman"/>
          <w:color w:val="000000" w:themeColor="text1"/>
          <w:sz w:val="16"/>
          <w:szCs w:val="16"/>
        </w:rPr>
        <w:t xml:space="preserve"> расходы при испыта</w:t>
      </w:r>
      <w:r w:rsidRPr="00A259BD">
        <w:rPr>
          <w:rFonts w:ascii="Times New Roman" w:hAnsi="Times New Roman"/>
          <w:color w:val="000000" w:themeColor="text1"/>
          <w:sz w:val="16"/>
          <w:szCs w:val="16"/>
        </w:rPr>
        <w:softHyphen/>
        <w:t>ниях дирижаблей, которые должны быть значительными.</w:t>
      </w:r>
    </w:p>
    <w:p w14:paraId="4EF24C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Инженер Туполев указывает, что начинать постройку опыт</w:t>
      </w:r>
      <w:r w:rsidRPr="00A259BD">
        <w:rPr>
          <w:rFonts w:ascii="Times New Roman" w:hAnsi="Times New Roman"/>
          <w:color w:val="000000" w:themeColor="text1"/>
          <w:sz w:val="16"/>
          <w:szCs w:val="16"/>
        </w:rPr>
        <w:softHyphen/>
        <w:t xml:space="preserve">ного жесткого дирижабля сразу с </w:t>
      </w:r>
      <w:proofErr w:type="spellStart"/>
      <w:r w:rsidRPr="00A259BD">
        <w:rPr>
          <w:rFonts w:ascii="Times New Roman" w:hAnsi="Times New Roman"/>
          <w:color w:val="000000" w:themeColor="text1"/>
          <w:sz w:val="16"/>
          <w:szCs w:val="16"/>
        </w:rPr>
        <w:t>об"ема</w:t>
      </w:r>
      <w:proofErr w:type="spellEnd"/>
      <w:r w:rsidRPr="00A259BD">
        <w:rPr>
          <w:rFonts w:ascii="Times New Roman" w:hAnsi="Times New Roman"/>
          <w:color w:val="000000" w:themeColor="text1"/>
          <w:sz w:val="16"/>
          <w:szCs w:val="16"/>
        </w:rPr>
        <w:t xml:space="preserve"> 20-25.000 куб. м. будет экономически более невыгодно, и что без создания при ЦАГИ опыт</w:t>
      </w:r>
      <w:r w:rsidRPr="00A259BD">
        <w:rPr>
          <w:rFonts w:ascii="Times New Roman" w:hAnsi="Times New Roman"/>
          <w:color w:val="000000" w:themeColor="text1"/>
          <w:sz w:val="16"/>
          <w:szCs w:val="16"/>
        </w:rPr>
        <w:softHyphen/>
        <w:t>ного завода, ЦАГИ не возьмет на себя разрешения задачи опытного дирижаблестроения.</w:t>
      </w:r>
    </w:p>
    <w:p w14:paraId="4075E6B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По обсуждении и обмене мнениями ПОСТАНОВЛЕНО</w:t>
      </w:r>
    </w:p>
    <w:p w14:paraId="0621CDD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Принимая во внимание значительное развитие в настоя</w:t>
      </w:r>
      <w:r w:rsidRPr="00A259BD">
        <w:rPr>
          <w:rFonts w:ascii="Times New Roman" w:hAnsi="Times New Roman"/>
          <w:color w:val="000000" w:themeColor="text1"/>
          <w:sz w:val="16"/>
          <w:szCs w:val="16"/>
        </w:rPr>
        <w:softHyphen/>
        <w:t xml:space="preserve">щее время техники дирижаблестроения за. </w:t>
      </w:r>
      <w:proofErr w:type="spellStart"/>
      <w:r w:rsidRPr="00A259BD">
        <w:rPr>
          <w:rFonts w:ascii="Times New Roman" w:hAnsi="Times New Roman"/>
          <w:color w:val="000000" w:themeColor="text1"/>
          <w:sz w:val="16"/>
          <w:szCs w:val="16"/>
        </w:rPr>
        <w:t>границей,счи</w:t>
      </w:r>
      <w:r w:rsidRPr="00A259BD">
        <w:rPr>
          <w:rFonts w:ascii="Times New Roman" w:hAnsi="Times New Roman"/>
          <w:color w:val="000000" w:themeColor="text1"/>
          <w:sz w:val="16"/>
          <w:szCs w:val="16"/>
        </w:rPr>
        <w:softHyphen/>
        <w:t>тать</w:t>
      </w:r>
      <w:proofErr w:type="spellEnd"/>
      <w:r w:rsidRPr="00A259BD">
        <w:rPr>
          <w:rFonts w:ascii="Times New Roman" w:hAnsi="Times New Roman"/>
          <w:color w:val="000000" w:themeColor="text1"/>
          <w:sz w:val="16"/>
          <w:szCs w:val="16"/>
        </w:rPr>
        <w:t xml:space="preserve"> опытное разрешение вопроса о дирижаблестроении в СССР важным и своевременным. Б интересах уточнения плана работ по опытному дирижаблестроению и своевре</w:t>
      </w:r>
      <w:r w:rsidRPr="00A259BD">
        <w:rPr>
          <w:rFonts w:ascii="Times New Roman" w:hAnsi="Times New Roman"/>
          <w:color w:val="000000" w:themeColor="text1"/>
          <w:sz w:val="16"/>
          <w:szCs w:val="16"/>
        </w:rPr>
        <w:softHyphen/>
        <w:t xml:space="preserve">менного внесения в него возможных изменений признать необходимым просить Начальника 1-го Управления УВВС РККА и Совет гражданской авиации дать свое </w:t>
      </w:r>
      <w:proofErr w:type="spellStart"/>
      <w:r w:rsidRPr="00A259BD">
        <w:rPr>
          <w:rFonts w:ascii="Times New Roman" w:hAnsi="Times New Roman"/>
          <w:color w:val="000000" w:themeColor="text1"/>
          <w:sz w:val="16"/>
          <w:szCs w:val="16"/>
        </w:rPr>
        <w:t>заключе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ние</w:t>
      </w:r>
      <w:proofErr w:type="spellEnd"/>
      <w:r w:rsidRPr="00A259BD">
        <w:rPr>
          <w:rFonts w:ascii="Times New Roman" w:hAnsi="Times New Roman"/>
          <w:color w:val="000000" w:themeColor="text1"/>
          <w:sz w:val="16"/>
          <w:szCs w:val="16"/>
        </w:rPr>
        <w:t xml:space="preserve"> о необходимости развития как опытного дирижабле</w:t>
      </w:r>
      <w:r w:rsidRPr="00A259BD">
        <w:rPr>
          <w:rFonts w:ascii="Times New Roman" w:hAnsi="Times New Roman"/>
          <w:color w:val="000000" w:themeColor="text1"/>
          <w:sz w:val="16"/>
          <w:szCs w:val="16"/>
        </w:rPr>
        <w:softHyphen/>
        <w:t>строения, так и всего воздухоплавания в целом, а также и свои соображения о необходимости и размерах использования воздухоплавания, в частности дирижаб</w:t>
      </w:r>
      <w:r w:rsidRPr="00A259BD">
        <w:rPr>
          <w:rFonts w:ascii="Times New Roman" w:hAnsi="Times New Roman"/>
          <w:color w:val="000000" w:themeColor="text1"/>
          <w:sz w:val="16"/>
          <w:szCs w:val="16"/>
        </w:rPr>
        <w:softHyphen/>
        <w:t>лей, в будущем.</w:t>
      </w:r>
    </w:p>
    <w:p w14:paraId="59E230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Организацию и проведение работ по дирижаблестроению как в отношении научно-исследовательской части, так и в отношении разработки и осуществления опытных конструкций считать наиболее целесообразным поручить ЦАГИ.</w:t>
      </w:r>
    </w:p>
    <w:p w14:paraId="557733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Считать желательным при проведении ЦАГИ указанных ра</w:t>
      </w:r>
      <w:r w:rsidRPr="00A259BD">
        <w:rPr>
          <w:rFonts w:ascii="Times New Roman" w:hAnsi="Times New Roman"/>
          <w:color w:val="000000" w:themeColor="text1"/>
          <w:sz w:val="16"/>
          <w:szCs w:val="16"/>
        </w:rPr>
        <w:softHyphen/>
        <w:t>бот использование им по мере необходимости для выпол</w:t>
      </w:r>
      <w:r w:rsidRPr="00A259BD">
        <w:rPr>
          <w:rFonts w:ascii="Times New Roman" w:hAnsi="Times New Roman"/>
          <w:color w:val="000000" w:themeColor="text1"/>
          <w:sz w:val="16"/>
          <w:szCs w:val="16"/>
        </w:rPr>
        <w:softHyphen/>
        <w:t>нения отдельных заданий научно-исследовательского ха</w:t>
      </w:r>
      <w:r w:rsidRPr="00A259BD">
        <w:rPr>
          <w:rFonts w:ascii="Times New Roman" w:hAnsi="Times New Roman"/>
          <w:color w:val="000000" w:themeColor="text1"/>
          <w:sz w:val="16"/>
          <w:szCs w:val="16"/>
        </w:rPr>
        <w:softHyphen/>
        <w:t>рактера лабораторий соответствующих научных и высших технических учебных заведений Союза, а также привле</w:t>
      </w:r>
      <w:r w:rsidRPr="00A259BD">
        <w:rPr>
          <w:rFonts w:ascii="Times New Roman" w:hAnsi="Times New Roman"/>
          <w:color w:val="000000" w:themeColor="text1"/>
          <w:sz w:val="16"/>
          <w:szCs w:val="16"/>
        </w:rPr>
        <w:softHyphen/>
        <w:t>чение к работам отдельных специалистов.</w:t>
      </w:r>
    </w:p>
    <w:p w14:paraId="58F2B4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Намеченный ЦАГИ подход к проведению научно-ис</w:t>
      </w:r>
      <w:r w:rsidRPr="00A259BD">
        <w:rPr>
          <w:rFonts w:ascii="Times New Roman" w:hAnsi="Times New Roman"/>
          <w:color w:val="000000" w:themeColor="text1"/>
          <w:sz w:val="16"/>
          <w:szCs w:val="16"/>
        </w:rPr>
        <w:softHyphen/>
        <w:t>следовательских работ и опытных конструкций считать в общем правильным.</w:t>
      </w:r>
    </w:p>
    <w:p w14:paraId="72001E6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В отношении поставленной в программу первой опытной конструкции /полужесткий дирижабль учебного типа, не</w:t>
      </w:r>
      <w:r w:rsidRPr="00A259BD">
        <w:rPr>
          <w:rFonts w:ascii="Times New Roman" w:hAnsi="Times New Roman"/>
          <w:color w:val="000000" w:themeColor="text1"/>
          <w:sz w:val="16"/>
          <w:szCs w:val="16"/>
        </w:rPr>
        <w:softHyphen/>
        <w:t xml:space="preserve">большого </w:t>
      </w:r>
      <w:proofErr w:type="spellStart"/>
      <w:r w:rsidRPr="00A259BD">
        <w:rPr>
          <w:rFonts w:ascii="Times New Roman" w:hAnsi="Times New Roman"/>
          <w:color w:val="000000" w:themeColor="text1"/>
          <w:sz w:val="16"/>
          <w:szCs w:val="16"/>
        </w:rPr>
        <w:t>об"ема</w:t>
      </w:r>
      <w:proofErr w:type="spellEnd"/>
      <w:r w:rsidRPr="00A259BD">
        <w:rPr>
          <w:rFonts w:ascii="Times New Roman" w:hAnsi="Times New Roman"/>
          <w:color w:val="000000" w:themeColor="text1"/>
          <w:sz w:val="16"/>
          <w:szCs w:val="16"/>
        </w:rPr>
        <w:t>/ считать осуществление таковом вполне целесообразным, в виду желательности накопления воз</w:t>
      </w:r>
      <w:r w:rsidRPr="00A259BD">
        <w:rPr>
          <w:rFonts w:ascii="Times New Roman" w:hAnsi="Times New Roman"/>
          <w:color w:val="000000" w:themeColor="text1"/>
          <w:sz w:val="16"/>
          <w:szCs w:val="16"/>
        </w:rPr>
        <w:softHyphen/>
        <w:t xml:space="preserve">можно большего конструкторского, производственного и </w:t>
      </w:r>
      <w:proofErr w:type="spellStart"/>
      <w:r w:rsidRPr="00A259BD">
        <w:rPr>
          <w:rFonts w:ascii="Times New Roman" w:hAnsi="Times New Roman"/>
          <w:color w:val="000000" w:themeColor="text1"/>
          <w:sz w:val="16"/>
          <w:szCs w:val="16"/>
        </w:rPr>
        <w:t>эксплоатационного</w:t>
      </w:r>
      <w:proofErr w:type="spellEnd"/>
      <w:r w:rsidRPr="00A259BD">
        <w:rPr>
          <w:rFonts w:ascii="Times New Roman" w:hAnsi="Times New Roman"/>
          <w:color w:val="000000" w:themeColor="text1"/>
          <w:sz w:val="16"/>
          <w:szCs w:val="16"/>
        </w:rPr>
        <w:t xml:space="preserve"> опыта на менее дорогостоящих, но вместе с тем наиболее выявляющих особенности данного типа постройках. </w:t>
      </w:r>
      <w:proofErr w:type="spellStart"/>
      <w:r w:rsidRPr="00A259BD">
        <w:rPr>
          <w:rFonts w:ascii="Times New Roman" w:hAnsi="Times New Roman"/>
          <w:color w:val="000000" w:themeColor="text1"/>
          <w:sz w:val="16"/>
          <w:szCs w:val="16"/>
        </w:rPr>
        <w:t>Об"ем</w:t>
      </w:r>
      <w:proofErr w:type="spellEnd"/>
      <w:r w:rsidRPr="00A259BD">
        <w:rPr>
          <w:rFonts w:ascii="Times New Roman" w:hAnsi="Times New Roman"/>
          <w:color w:val="000000" w:themeColor="text1"/>
          <w:sz w:val="16"/>
          <w:szCs w:val="16"/>
        </w:rPr>
        <w:t xml:space="preserve"> такого дирижабля, могущего быть использованным военным ведомством, считать наиболее це</w:t>
      </w:r>
      <w:r w:rsidRPr="00A259BD">
        <w:rPr>
          <w:rFonts w:ascii="Times New Roman" w:hAnsi="Times New Roman"/>
          <w:color w:val="000000" w:themeColor="text1"/>
          <w:sz w:val="16"/>
          <w:szCs w:val="16"/>
        </w:rPr>
        <w:softHyphen/>
        <w:t>лесообразным в 7,000 куб. м.</w:t>
      </w:r>
    </w:p>
    <w:p w14:paraId="099B0B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На основании тех же </w:t>
      </w:r>
      <w:proofErr w:type="spellStart"/>
      <w:r w:rsidRPr="00A259BD">
        <w:rPr>
          <w:rFonts w:ascii="Times New Roman" w:hAnsi="Times New Roman"/>
          <w:color w:val="000000" w:themeColor="text1"/>
          <w:sz w:val="16"/>
          <w:szCs w:val="16"/>
        </w:rPr>
        <w:t>соображений,что</w:t>
      </w:r>
      <w:proofErr w:type="spellEnd"/>
      <w:r w:rsidRPr="00A259BD">
        <w:rPr>
          <w:rFonts w:ascii="Times New Roman" w:hAnsi="Times New Roman"/>
          <w:color w:val="000000" w:themeColor="text1"/>
          <w:sz w:val="16"/>
          <w:szCs w:val="16"/>
        </w:rPr>
        <w:t xml:space="preserve"> и в п.5-ом настоя</w:t>
      </w:r>
      <w:r w:rsidRPr="00A259BD">
        <w:rPr>
          <w:rFonts w:ascii="Times New Roman" w:hAnsi="Times New Roman"/>
          <w:color w:val="000000" w:themeColor="text1"/>
          <w:sz w:val="16"/>
          <w:szCs w:val="16"/>
        </w:rPr>
        <w:softHyphen/>
        <w:t>щего постановления, признать целесообразным и осущест</w:t>
      </w:r>
      <w:r w:rsidRPr="00A259BD">
        <w:rPr>
          <w:rFonts w:ascii="Times New Roman" w:hAnsi="Times New Roman"/>
          <w:color w:val="000000" w:themeColor="text1"/>
          <w:sz w:val="16"/>
          <w:szCs w:val="16"/>
        </w:rPr>
        <w:softHyphen/>
        <w:t>вление намеченной программой опытной конструкции жест</w:t>
      </w:r>
      <w:r w:rsidRPr="00A259BD">
        <w:rPr>
          <w:rFonts w:ascii="Times New Roman" w:hAnsi="Times New Roman"/>
          <w:color w:val="000000" w:themeColor="text1"/>
          <w:sz w:val="16"/>
          <w:szCs w:val="16"/>
        </w:rPr>
        <w:softHyphen/>
        <w:t xml:space="preserve">кого дирижабля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до 15.000 </w:t>
      </w:r>
      <w:proofErr w:type="spellStart"/>
      <w:r w:rsidRPr="00A259BD">
        <w:rPr>
          <w:rFonts w:ascii="Times New Roman" w:hAnsi="Times New Roman"/>
          <w:color w:val="000000" w:themeColor="text1"/>
          <w:sz w:val="16"/>
          <w:szCs w:val="16"/>
        </w:rPr>
        <w:t>куб.м</w:t>
      </w:r>
      <w:proofErr w:type="spellEnd"/>
      <w:r w:rsidRPr="00A259BD">
        <w:rPr>
          <w:rFonts w:ascii="Times New Roman" w:hAnsi="Times New Roman"/>
          <w:color w:val="000000" w:themeColor="text1"/>
          <w:sz w:val="16"/>
          <w:szCs w:val="16"/>
        </w:rPr>
        <w:t>. Хотя такой ди</w:t>
      </w:r>
      <w:r w:rsidRPr="00A259BD">
        <w:rPr>
          <w:rFonts w:ascii="Times New Roman" w:hAnsi="Times New Roman"/>
          <w:color w:val="000000" w:themeColor="text1"/>
          <w:sz w:val="16"/>
          <w:szCs w:val="16"/>
        </w:rPr>
        <w:softHyphen/>
        <w:t>рижабль и не является рентабельным и, возможно, не бу</w:t>
      </w:r>
      <w:r w:rsidRPr="00A259BD">
        <w:rPr>
          <w:rFonts w:ascii="Times New Roman" w:hAnsi="Times New Roman"/>
          <w:color w:val="000000" w:themeColor="text1"/>
          <w:sz w:val="16"/>
          <w:szCs w:val="16"/>
        </w:rPr>
        <w:softHyphen/>
        <w:t>дет практически использован, тем не менее постройка его нужна, как научно-исследовательская работа, имею -</w:t>
      </w:r>
      <w:proofErr w:type="spellStart"/>
      <w:r w:rsidRPr="00A259BD">
        <w:rPr>
          <w:rFonts w:ascii="Times New Roman" w:hAnsi="Times New Roman"/>
          <w:color w:val="000000" w:themeColor="text1"/>
          <w:sz w:val="16"/>
          <w:szCs w:val="16"/>
        </w:rPr>
        <w:t>щая</w:t>
      </w:r>
      <w:proofErr w:type="spellEnd"/>
      <w:r w:rsidRPr="00A259BD">
        <w:rPr>
          <w:rFonts w:ascii="Times New Roman" w:hAnsi="Times New Roman"/>
          <w:color w:val="000000" w:themeColor="text1"/>
          <w:sz w:val="16"/>
          <w:szCs w:val="16"/>
        </w:rPr>
        <w:t xml:space="preserve"> своей целью создание в дальнейшем рентабельного дирижабля большой </w:t>
      </w:r>
      <w:proofErr w:type="spellStart"/>
      <w:r w:rsidRPr="00A259BD">
        <w:rPr>
          <w:rFonts w:ascii="Times New Roman" w:hAnsi="Times New Roman"/>
          <w:color w:val="000000" w:themeColor="text1"/>
          <w:sz w:val="16"/>
          <w:szCs w:val="16"/>
        </w:rPr>
        <w:t>кубаяуры</w:t>
      </w:r>
      <w:proofErr w:type="spellEnd"/>
      <w:r w:rsidRPr="00A259BD">
        <w:rPr>
          <w:rFonts w:ascii="Times New Roman" w:hAnsi="Times New Roman"/>
          <w:color w:val="000000" w:themeColor="text1"/>
          <w:sz w:val="16"/>
          <w:szCs w:val="16"/>
        </w:rPr>
        <w:t>.</w:t>
      </w:r>
    </w:p>
    <w:p w14:paraId="1C0FE69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В отношении намеченных программой сроков осуществления опытных конструкций первых трех дирижаблей считать же</w:t>
      </w:r>
      <w:r w:rsidRPr="00A259BD">
        <w:rPr>
          <w:rFonts w:ascii="Times New Roman" w:hAnsi="Times New Roman"/>
          <w:color w:val="000000" w:themeColor="text1"/>
          <w:sz w:val="16"/>
          <w:szCs w:val="16"/>
        </w:rPr>
        <w:softHyphen/>
        <w:t xml:space="preserve">лательным заканчивать их постройку к началу латного сезона, назначенного программой года, чтобы с </w:t>
      </w:r>
      <w:proofErr w:type="spellStart"/>
      <w:r w:rsidRPr="00A259BD">
        <w:rPr>
          <w:rFonts w:ascii="Times New Roman" w:hAnsi="Times New Roman"/>
          <w:color w:val="000000" w:themeColor="text1"/>
          <w:sz w:val="16"/>
          <w:szCs w:val="16"/>
        </w:rPr>
        <w:t>наступ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лением</w:t>
      </w:r>
      <w:proofErr w:type="spellEnd"/>
      <w:r w:rsidRPr="00A259BD">
        <w:rPr>
          <w:rFonts w:ascii="Times New Roman" w:hAnsi="Times New Roman"/>
          <w:color w:val="000000" w:themeColor="text1"/>
          <w:sz w:val="16"/>
          <w:szCs w:val="16"/>
        </w:rPr>
        <w:t xml:space="preserve"> этого сезона можно было бы уже приступать к по</w:t>
      </w:r>
      <w:r w:rsidRPr="00A259BD">
        <w:rPr>
          <w:rFonts w:ascii="Times New Roman" w:hAnsi="Times New Roman"/>
          <w:color w:val="000000" w:themeColor="text1"/>
          <w:sz w:val="16"/>
          <w:szCs w:val="16"/>
        </w:rPr>
        <w:softHyphen/>
        <w:t>летным испытаниям.</w:t>
      </w:r>
    </w:p>
    <w:p w14:paraId="290E40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Имея в виду целесообразность ускорения во времени на -меченной ЦАГИ программы, признать крайне желательным возможно больше приблизить срок окончания постройки по</w:t>
      </w:r>
      <w:r w:rsidRPr="00A259BD">
        <w:rPr>
          <w:rFonts w:ascii="Times New Roman" w:hAnsi="Times New Roman"/>
          <w:color w:val="000000" w:themeColor="text1"/>
          <w:sz w:val="16"/>
          <w:szCs w:val="16"/>
        </w:rPr>
        <w:softHyphen/>
        <w:t>следнего /четвертого по счету/ опытного дирижабля жест</w:t>
      </w:r>
      <w:r w:rsidRPr="00A259BD">
        <w:rPr>
          <w:rFonts w:ascii="Times New Roman" w:hAnsi="Times New Roman"/>
          <w:color w:val="000000" w:themeColor="text1"/>
          <w:sz w:val="16"/>
          <w:szCs w:val="16"/>
        </w:rPr>
        <w:softHyphen/>
        <w:t xml:space="preserve">кой системы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до 50.000 куб. м.</w:t>
      </w:r>
    </w:p>
    <w:p w14:paraId="22BCA6C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Считать, что опытные работы ЦАГИ по дирижаблестроению должны закончиться указанным в п.8-ом настоящего по -становления жестким дирижаблем. Что же касается орга</w:t>
      </w:r>
      <w:r w:rsidRPr="00A259BD">
        <w:rPr>
          <w:rFonts w:ascii="Times New Roman" w:hAnsi="Times New Roman"/>
          <w:color w:val="000000" w:themeColor="text1"/>
          <w:sz w:val="16"/>
          <w:szCs w:val="16"/>
        </w:rPr>
        <w:softHyphen/>
        <w:t xml:space="preserve">низации и выполнения работ по осуществлению </w:t>
      </w:r>
      <w:proofErr w:type="spellStart"/>
      <w:r w:rsidRPr="00A259BD">
        <w:rPr>
          <w:rFonts w:ascii="Times New Roman" w:hAnsi="Times New Roman"/>
          <w:color w:val="000000" w:themeColor="text1"/>
          <w:sz w:val="16"/>
          <w:szCs w:val="16"/>
        </w:rPr>
        <w:t>эксплоата</w:t>
      </w:r>
      <w:r w:rsidRPr="00A259BD">
        <w:rPr>
          <w:rFonts w:ascii="Times New Roman" w:hAnsi="Times New Roman"/>
          <w:color w:val="000000" w:themeColor="text1"/>
          <w:sz w:val="16"/>
          <w:szCs w:val="16"/>
        </w:rPr>
        <w:softHyphen/>
        <w:t>ционного</w:t>
      </w:r>
      <w:proofErr w:type="spellEnd"/>
      <w:r w:rsidRPr="00A259BD">
        <w:rPr>
          <w:rFonts w:ascii="Times New Roman" w:hAnsi="Times New Roman"/>
          <w:color w:val="000000" w:themeColor="text1"/>
          <w:sz w:val="16"/>
          <w:szCs w:val="16"/>
        </w:rPr>
        <w:t xml:space="preserve"> дирижабля большой мощности 150-250.000 </w:t>
      </w:r>
      <w:proofErr w:type="spellStart"/>
      <w:r w:rsidRPr="00A259BD">
        <w:rPr>
          <w:rFonts w:ascii="Times New Roman" w:hAnsi="Times New Roman"/>
          <w:color w:val="000000" w:themeColor="text1"/>
          <w:sz w:val="16"/>
          <w:szCs w:val="16"/>
        </w:rPr>
        <w:t>куб.м</w:t>
      </w:r>
      <w:proofErr w:type="spellEnd"/>
      <w:r w:rsidRPr="00A259BD">
        <w:rPr>
          <w:rFonts w:ascii="Times New Roman" w:hAnsi="Times New Roman"/>
          <w:color w:val="000000" w:themeColor="text1"/>
          <w:sz w:val="16"/>
          <w:szCs w:val="16"/>
        </w:rPr>
        <w:t xml:space="preserve"> /и соответственно эллинга, </w:t>
      </w:r>
      <w:proofErr w:type="spellStart"/>
      <w:r w:rsidRPr="00A259BD">
        <w:rPr>
          <w:rFonts w:ascii="Times New Roman" w:hAnsi="Times New Roman"/>
          <w:color w:val="000000" w:themeColor="text1"/>
          <w:sz w:val="16"/>
          <w:szCs w:val="16"/>
        </w:rPr>
        <w:t>расчитанного</w:t>
      </w:r>
      <w:proofErr w:type="spellEnd"/>
      <w:r w:rsidRPr="00A259BD">
        <w:rPr>
          <w:rFonts w:ascii="Times New Roman" w:hAnsi="Times New Roman"/>
          <w:color w:val="000000" w:themeColor="text1"/>
          <w:sz w:val="16"/>
          <w:szCs w:val="16"/>
        </w:rPr>
        <w:t xml:space="preserve"> на дирижабли до 300.000 куб. метров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то этот вопрос необ</w:t>
      </w:r>
      <w:r w:rsidRPr="00A259BD">
        <w:rPr>
          <w:rFonts w:ascii="Times New Roman" w:hAnsi="Times New Roman"/>
          <w:color w:val="000000" w:themeColor="text1"/>
          <w:sz w:val="16"/>
          <w:szCs w:val="16"/>
        </w:rPr>
        <w:softHyphen/>
        <w:t xml:space="preserve">ходимо увязать с имеющими быть выявленными в опытных работах ЦАГИ производственными и </w:t>
      </w:r>
      <w:proofErr w:type="spellStart"/>
      <w:r w:rsidRPr="00A259BD">
        <w:rPr>
          <w:rFonts w:ascii="Times New Roman" w:hAnsi="Times New Roman"/>
          <w:color w:val="000000" w:themeColor="text1"/>
          <w:sz w:val="16"/>
          <w:szCs w:val="16"/>
        </w:rPr>
        <w:t>эксплоатационными</w:t>
      </w:r>
      <w:proofErr w:type="spellEnd"/>
      <w:r w:rsidRPr="00A259BD">
        <w:rPr>
          <w:rFonts w:ascii="Times New Roman" w:hAnsi="Times New Roman"/>
          <w:color w:val="000000" w:themeColor="text1"/>
          <w:sz w:val="16"/>
          <w:szCs w:val="16"/>
        </w:rPr>
        <w:t xml:space="preserve"> сто</w:t>
      </w:r>
      <w:r w:rsidRPr="00A259BD">
        <w:rPr>
          <w:rFonts w:ascii="Times New Roman" w:hAnsi="Times New Roman"/>
          <w:color w:val="000000" w:themeColor="text1"/>
          <w:sz w:val="16"/>
          <w:szCs w:val="16"/>
        </w:rPr>
        <w:softHyphen/>
        <w:t xml:space="preserve">ронами и разрешить на особом совещании заинтересованных в развитии и </w:t>
      </w:r>
      <w:proofErr w:type="spellStart"/>
      <w:r w:rsidRPr="00A259BD">
        <w:rPr>
          <w:rFonts w:ascii="Times New Roman" w:hAnsi="Times New Roman"/>
          <w:color w:val="000000" w:themeColor="text1"/>
          <w:sz w:val="16"/>
          <w:szCs w:val="16"/>
        </w:rPr>
        <w:t>эксплоатации</w:t>
      </w:r>
      <w:proofErr w:type="spellEnd"/>
      <w:r w:rsidRPr="00A259BD">
        <w:rPr>
          <w:rFonts w:ascii="Times New Roman" w:hAnsi="Times New Roman"/>
          <w:color w:val="000000" w:themeColor="text1"/>
          <w:sz w:val="16"/>
          <w:szCs w:val="16"/>
        </w:rPr>
        <w:t xml:space="preserve"> дирижаблей в Союзе ве</w:t>
      </w:r>
      <w:r w:rsidRPr="00A259BD">
        <w:rPr>
          <w:rFonts w:ascii="Times New Roman" w:hAnsi="Times New Roman"/>
          <w:color w:val="000000" w:themeColor="text1"/>
          <w:sz w:val="16"/>
          <w:szCs w:val="16"/>
        </w:rPr>
        <w:softHyphen/>
        <w:t xml:space="preserve">домств. /УВВС, ВСНХ, </w:t>
      </w:r>
      <w:proofErr w:type="spellStart"/>
      <w:r w:rsidRPr="00A259BD">
        <w:rPr>
          <w:rFonts w:ascii="Times New Roman" w:hAnsi="Times New Roman"/>
          <w:color w:val="000000" w:themeColor="text1"/>
          <w:sz w:val="16"/>
          <w:szCs w:val="16"/>
        </w:rPr>
        <w:t>Наркомпочтель</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Наркомпуть</w:t>
      </w:r>
      <w:proofErr w:type="spellEnd"/>
      <w:r w:rsidRPr="00A259BD">
        <w:rPr>
          <w:rFonts w:ascii="Times New Roman" w:hAnsi="Times New Roman"/>
          <w:color w:val="000000" w:themeColor="text1"/>
          <w:sz w:val="16"/>
          <w:szCs w:val="16"/>
        </w:rPr>
        <w:t xml:space="preserve"> и др./.</w:t>
      </w:r>
    </w:p>
    <w:p w14:paraId="3A5677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По намеченной ЦАГИ ориентировочной смете на постройку дирижаблей и эллинга с оборудованием, а также на эк -</w:t>
      </w:r>
      <w:proofErr w:type="spellStart"/>
      <w:r w:rsidRPr="00A259BD">
        <w:rPr>
          <w:rFonts w:ascii="Times New Roman" w:hAnsi="Times New Roman"/>
          <w:color w:val="000000" w:themeColor="text1"/>
          <w:sz w:val="16"/>
          <w:szCs w:val="16"/>
        </w:rPr>
        <w:t>спериментальные</w:t>
      </w:r>
      <w:proofErr w:type="spellEnd"/>
      <w:r w:rsidRPr="00A259BD">
        <w:rPr>
          <w:rFonts w:ascii="Times New Roman" w:hAnsi="Times New Roman"/>
          <w:color w:val="000000" w:themeColor="text1"/>
          <w:sz w:val="16"/>
          <w:szCs w:val="16"/>
        </w:rPr>
        <w:t xml:space="preserve"> работы, всего на сумму 17.375.000 </w:t>
      </w:r>
      <w:proofErr w:type="spellStart"/>
      <w:r w:rsidRPr="00A259BD">
        <w:rPr>
          <w:rFonts w:ascii="Times New Roman" w:hAnsi="Times New Roman"/>
          <w:color w:val="000000" w:themeColor="text1"/>
          <w:sz w:val="16"/>
          <w:szCs w:val="16"/>
        </w:rPr>
        <w:t>руб</w:t>
      </w:r>
      <w:proofErr w:type="spellEnd"/>
      <w:r w:rsidRPr="00A259BD">
        <w:rPr>
          <w:rFonts w:ascii="Times New Roman" w:hAnsi="Times New Roman"/>
          <w:color w:val="000000" w:themeColor="text1"/>
          <w:sz w:val="16"/>
          <w:szCs w:val="16"/>
        </w:rPr>
        <w:t xml:space="preserve"> высказать более или менее детальное суждение не пред</w:t>
      </w:r>
      <w:r w:rsidRPr="00A259BD">
        <w:rPr>
          <w:rFonts w:ascii="Times New Roman" w:hAnsi="Times New Roman"/>
          <w:color w:val="000000" w:themeColor="text1"/>
          <w:sz w:val="16"/>
          <w:szCs w:val="16"/>
        </w:rPr>
        <w:softHyphen/>
        <w:t>ставляется возможным в силу новизны дела, опытного ха</w:t>
      </w:r>
      <w:r w:rsidRPr="00A259BD">
        <w:rPr>
          <w:rFonts w:ascii="Times New Roman" w:hAnsi="Times New Roman"/>
          <w:color w:val="000000" w:themeColor="text1"/>
          <w:sz w:val="16"/>
          <w:szCs w:val="16"/>
        </w:rPr>
        <w:softHyphen/>
        <w:t>рактера работ и отсутствия в настоящее время данных о возможностях нашей промышленности в отношении материа</w:t>
      </w:r>
      <w:r w:rsidRPr="00A259BD">
        <w:rPr>
          <w:rFonts w:ascii="Times New Roman" w:hAnsi="Times New Roman"/>
          <w:color w:val="000000" w:themeColor="text1"/>
          <w:sz w:val="16"/>
          <w:szCs w:val="16"/>
        </w:rPr>
        <w:softHyphen/>
        <w:t>лов и оборудования.</w:t>
      </w:r>
    </w:p>
    <w:p w14:paraId="223FFC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Признать необходимым просить ЦАГИ согласовать пред -ставленную им программу работ по дирижаблестроению и смету с пятилетним планом работ ЦАГИ.</w:t>
      </w:r>
    </w:p>
    <w:p w14:paraId="0BD6BBB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Настоящее постановление сообщить НТУ ВСНХ СССР, ЦАГИ, Н-ку 1-го Управления УВВС РККА, Совету Гражданской Авиации, Мобилизационно-Плановому Управлению ВСНХ СССР, Н-ку Военно-Воздушной Академии РККА и Н-у НИИ ВВС РККА.</w:t>
      </w:r>
    </w:p>
    <w:p w14:paraId="47EBDD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ЦАСА, ф. 4, оп. 2, д. 398, л.л.68-69 (1026,56).</w:t>
      </w:r>
    </w:p>
    <w:p w14:paraId="3EA333C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августе 1928 НАЧАЛЬНИК </w:t>
      </w:r>
      <w:proofErr w:type="spellStart"/>
      <w:r w:rsidRPr="00A259BD">
        <w:rPr>
          <w:rFonts w:ascii="Times New Roman" w:hAnsi="Times New Roman"/>
          <w:color w:val="000000" w:themeColor="text1"/>
          <w:sz w:val="16"/>
          <w:szCs w:val="16"/>
        </w:rPr>
        <w:t>Чоенно</w:t>
      </w:r>
      <w:proofErr w:type="spellEnd"/>
      <w:r w:rsidRPr="00A259BD">
        <w:rPr>
          <w:rFonts w:ascii="Times New Roman" w:hAnsi="Times New Roman"/>
          <w:color w:val="000000" w:themeColor="text1"/>
          <w:sz w:val="16"/>
          <w:szCs w:val="16"/>
        </w:rPr>
        <w:t xml:space="preserve"> воздушных Сил РККА писал проект письма Председателю Революционного военного Совета Союза С. С. Р. тов. Ворошилову</w:t>
      </w:r>
    </w:p>
    <w:p w14:paraId="160600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РАЗВЕРТЫВАНИИ ОПЫТНОГО ДИРИЖАБЛЕСТРОЕНИЯ СССР.</w:t>
      </w:r>
    </w:p>
    <w:p w14:paraId="7F41C8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настоящего времени УВВС РККА главное свое внимание обращало на развитие самолетостроения, моторостроения и прочих вспомогательных производств авиапромышленности. 3 связи с общим развитием производительна” сил и с намечае</w:t>
      </w:r>
      <w:r w:rsidRPr="00A259BD">
        <w:rPr>
          <w:rFonts w:ascii="Times New Roman" w:hAnsi="Times New Roman"/>
          <w:color w:val="000000" w:themeColor="text1"/>
          <w:sz w:val="16"/>
          <w:szCs w:val="16"/>
        </w:rPr>
        <w:softHyphen/>
        <w:t>мым развертыванием металлургической и химической отраслей промышленности является целесообразным и своевременным приступить к планомерному развитию в Союзе и другой отрас</w:t>
      </w:r>
      <w:r w:rsidRPr="00A259BD">
        <w:rPr>
          <w:rFonts w:ascii="Times New Roman" w:hAnsi="Times New Roman"/>
          <w:color w:val="000000" w:themeColor="text1"/>
          <w:sz w:val="16"/>
          <w:szCs w:val="16"/>
        </w:rPr>
        <w:softHyphen/>
        <w:t>ли воздушного Флота - воздухоплавания. .Практика применения дирижаблей в империалистическую войну и наблюдающееся ны</w:t>
      </w:r>
      <w:r w:rsidRPr="00A259BD">
        <w:rPr>
          <w:rFonts w:ascii="Times New Roman" w:hAnsi="Times New Roman"/>
          <w:color w:val="000000" w:themeColor="text1"/>
          <w:sz w:val="16"/>
          <w:szCs w:val="16"/>
        </w:rPr>
        <w:softHyphen/>
        <w:t xml:space="preserve">не повсюду заграницей крайне </w:t>
      </w:r>
      <w:proofErr w:type="spellStart"/>
      <w:r w:rsidRPr="00A259BD">
        <w:rPr>
          <w:rFonts w:ascii="Times New Roman" w:hAnsi="Times New Roman"/>
          <w:color w:val="000000" w:themeColor="text1"/>
          <w:sz w:val="16"/>
          <w:szCs w:val="16"/>
        </w:rPr>
        <w:t>интесивное</w:t>
      </w:r>
      <w:proofErr w:type="spellEnd"/>
      <w:r w:rsidRPr="00A259BD">
        <w:rPr>
          <w:rFonts w:ascii="Times New Roman" w:hAnsi="Times New Roman"/>
          <w:color w:val="000000" w:themeColor="text1"/>
          <w:sz w:val="16"/>
          <w:szCs w:val="16"/>
        </w:rPr>
        <w:t xml:space="preserve"> оживление как в области научно-исследовательской и конструкторской, </w:t>
      </w:r>
      <w:proofErr w:type="spellStart"/>
      <w:r w:rsidRPr="00A259BD">
        <w:rPr>
          <w:rFonts w:ascii="Times New Roman" w:hAnsi="Times New Roman"/>
          <w:color w:val="000000" w:themeColor="text1"/>
          <w:sz w:val="16"/>
          <w:szCs w:val="16"/>
        </w:rPr>
        <w:t>таь</w:t>
      </w:r>
      <w:proofErr w:type="spellEnd"/>
      <w:r w:rsidRPr="00A259BD">
        <w:rPr>
          <w:rFonts w:ascii="Times New Roman" w:hAnsi="Times New Roman"/>
          <w:color w:val="000000" w:themeColor="text1"/>
          <w:sz w:val="16"/>
          <w:szCs w:val="16"/>
        </w:rPr>
        <w:t xml:space="preserve"> и в области применения дирижаблей заставляет обратить серьезное внимание на развертывание дирижаблестроения в СССР. Не го</w:t>
      </w:r>
      <w:r w:rsidRPr="00A259BD">
        <w:rPr>
          <w:rFonts w:ascii="Times New Roman" w:hAnsi="Times New Roman"/>
          <w:color w:val="000000" w:themeColor="text1"/>
          <w:sz w:val="16"/>
          <w:szCs w:val="16"/>
        </w:rPr>
        <w:softHyphen/>
        <w:t>воря уже о том, что в настоящее время можно уже определен</w:t>
      </w:r>
      <w:r w:rsidRPr="00A259BD">
        <w:rPr>
          <w:rFonts w:ascii="Times New Roman" w:hAnsi="Times New Roman"/>
          <w:color w:val="000000" w:themeColor="text1"/>
          <w:sz w:val="16"/>
          <w:szCs w:val="16"/>
        </w:rPr>
        <w:softHyphen/>
        <w:t xml:space="preserve">но </w:t>
      </w:r>
      <w:proofErr w:type="spellStart"/>
      <w:r w:rsidRPr="00A259BD">
        <w:rPr>
          <w:rFonts w:ascii="Times New Roman" w:hAnsi="Times New Roman"/>
          <w:color w:val="000000" w:themeColor="text1"/>
          <w:sz w:val="16"/>
          <w:szCs w:val="16"/>
        </w:rPr>
        <w:t>сказать,что</w:t>
      </w:r>
      <w:proofErr w:type="spellEnd"/>
      <w:r w:rsidRPr="00A259BD">
        <w:rPr>
          <w:rFonts w:ascii="Times New Roman" w:hAnsi="Times New Roman"/>
          <w:color w:val="000000" w:themeColor="text1"/>
          <w:sz w:val="16"/>
          <w:szCs w:val="16"/>
        </w:rPr>
        <w:t xml:space="preserve"> воздушная линия на большие расстояния мо</w:t>
      </w:r>
      <w:r w:rsidRPr="00A259BD">
        <w:rPr>
          <w:rFonts w:ascii="Times New Roman" w:hAnsi="Times New Roman"/>
          <w:color w:val="000000" w:themeColor="text1"/>
          <w:sz w:val="16"/>
          <w:szCs w:val="16"/>
        </w:rPr>
        <w:softHyphen/>
        <w:t>жет быть рентабельной лишь при обслуживании ее дирижаблями большого об "</w:t>
      </w:r>
      <w:proofErr w:type="spellStart"/>
      <w:r w:rsidRPr="00A259BD">
        <w:rPr>
          <w:rFonts w:ascii="Times New Roman" w:hAnsi="Times New Roman"/>
          <w:color w:val="000000" w:themeColor="text1"/>
          <w:sz w:val="16"/>
          <w:szCs w:val="16"/>
        </w:rPr>
        <w:t>ема</w:t>
      </w:r>
      <w:proofErr w:type="spellEnd"/>
      <w:r w:rsidRPr="00A259BD">
        <w:rPr>
          <w:rFonts w:ascii="Times New Roman" w:hAnsi="Times New Roman"/>
          <w:color w:val="000000" w:themeColor="text1"/>
          <w:sz w:val="16"/>
          <w:szCs w:val="16"/>
        </w:rPr>
        <w:t>, дирижабли могут иметь л весьма широкое при</w:t>
      </w:r>
      <w:r w:rsidRPr="00A259BD">
        <w:rPr>
          <w:rFonts w:ascii="Times New Roman" w:hAnsi="Times New Roman"/>
          <w:color w:val="000000" w:themeColor="text1"/>
          <w:sz w:val="16"/>
          <w:szCs w:val="16"/>
        </w:rPr>
        <w:softHyphen/>
        <w:t>менение при будущих вооруженных столкновениях как на сухо</w:t>
      </w:r>
      <w:r w:rsidRPr="00A259BD">
        <w:rPr>
          <w:rFonts w:ascii="Times New Roman" w:hAnsi="Times New Roman"/>
          <w:color w:val="000000" w:themeColor="text1"/>
          <w:sz w:val="16"/>
          <w:szCs w:val="16"/>
        </w:rPr>
        <w:softHyphen/>
        <w:t>путном фронте, так и особенно на морских театрах военных действий.</w:t>
      </w:r>
    </w:p>
    <w:p w14:paraId="19C786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Сопровождение транспортов и коммерческих </w:t>
      </w:r>
      <w:proofErr w:type="spellStart"/>
      <w:r w:rsidRPr="00A259BD">
        <w:rPr>
          <w:rFonts w:ascii="Times New Roman" w:hAnsi="Times New Roman"/>
          <w:color w:val="000000" w:themeColor="text1"/>
          <w:sz w:val="16"/>
          <w:szCs w:val="16"/>
        </w:rPr>
        <w:t>судов.посколь</w:t>
      </w:r>
      <w:r w:rsidRPr="00A259BD">
        <w:rPr>
          <w:rFonts w:ascii="Times New Roman" w:hAnsi="Times New Roman"/>
          <w:color w:val="000000" w:themeColor="text1"/>
          <w:sz w:val="16"/>
          <w:szCs w:val="16"/>
        </w:rPr>
        <w:softHyphen/>
        <w:t>ку</w:t>
      </w:r>
      <w:proofErr w:type="spellEnd"/>
      <w:r w:rsidRPr="00A259BD">
        <w:rPr>
          <w:rFonts w:ascii="Times New Roman" w:hAnsi="Times New Roman"/>
          <w:color w:val="000000" w:themeColor="text1"/>
          <w:sz w:val="16"/>
          <w:szCs w:val="16"/>
        </w:rPr>
        <w:t xml:space="preserve"> оно служит для предупреждения атак подводных </w:t>
      </w:r>
      <w:proofErr w:type="spellStart"/>
      <w:r w:rsidRPr="00A259BD">
        <w:rPr>
          <w:rFonts w:ascii="Times New Roman" w:hAnsi="Times New Roman"/>
          <w:color w:val="000000" w:themeColor="text1"/>
          <w:sz w:val="16"/>
          <w:szCs w:val="16"/>
        </w:rPr>
        <w:t>лодок,может</w:t>
      </w:r>
      <w:proofErr w:type="spellEnd"/>
      <w:r w:rsidRPr="00A259BD">
        <w:rPr>
          <w:rFonts w:ascii="Times New Roman" w:hAnsi="Times New Roman"/>
          <w:color w:val="000000" w:themeColor="text1"/>
          <w:sz w:val="16"/>
          <w:szCs w:val="16"/>
        </w:rPr>
        <w:t xml:space="preserve"> считаться действительным </w:t>
      </w:r>
      <w:proofErr w:type="spellStart"/>
      <w:r w:rsidRPr="00A259BD">
        <w:rPr>
          <w:rFonts w:ascii="Times New Roman" w:hAnsi="Times New Roman"/>
          <w:color w:val="000000" w:themeColor="text1"/>
          <w:sz w:val="16"/>
          <w:szCs w:val="16"/>
        </w:rPr>
        <w:t>только,если</w:t>
      </w:r>
      <w:proofErr w:type="spellEnd"/>
      <w:r w:rsidRPr="00A259BD">
        <w:rPr>
          <w:rFonts w:ascii="Times New Roman" w:hAnsi="Times New Roman"/>
          <w:color w:val="000000" w:themeColor="text1"/>
          <w:sz w:val="16"/>
          <w:szCs w:val="16"/>
        </w:rPr>
        <w:t xml:space="preserve"> оно выполняется сред</w:t>
      </w:r>
      <w:r w:rsidRPr="00A259BD">
        <w:rPr>
          <w:rFonts w:ascii="Times New Roman" w:hAnsi="Times New Roman"/>
          <w:color w:val="000000" w:themeColor="text1"/>
          <w:sz w:val="16"/>
          <w:szCs w:val="16"/>
        </w:rPr>
        <w:softHyphen/>
        <w:t>ствами воздушного ^</w:t>
      </w:r>
      <w:proofErr w:type="spellStart"/>
      <w:r w:rsidRPr="00A259BD">
        <w:rPr>
          <w:rFonts w:ascii="Times New Roman" w:hAnsi="Times New Roman"/>
          <w:color w:val="000000" w:themeColor="text1"/>
          <w:sz w:val="16"/>
          <w:szCs w:val="16"/>
        </w:rPr>
        <w:t>лота,а</w:t>
      </w:r>
      <w:proofErr w:type="spellEnd"/>
      <w:r w:rsidRPr="00A259BD">
        <w:rPr>
          <w:rFonts w:ascii="Times New Roman" w:hAnsi="Times New Roman"/>
          <w:color w:val="000000" w:themeColor="text1"/>
          <w:sz w:val="16"/>
          <w:szCs w:val="16"/>
        </w:rPr>
        <w:t xml:space="preserve"> из этих последних предпочтение должно быть отдано дирижаблю в совместном его действии с </w:t>
      </w:r>
      <w:proofErr w:type="spellStart"/>
      <w:r w:rsidRPr="00A259BD">
        <w:rPr>
          <w:rFonts w:ascii="Times New Roman" w:hAnsi="Times New Roman"/>
          <w:color w:val="000000" w:themeColor="text1"/>
          <w:sz w:val="16"/>
          <w:szCs w:val="16"/>
        </w:rPr>
        <w:t>миноносцами.Зто</w:t>
      </w:r>
      <w:proofErr w:type="spellEnd"/>
      <w:r w:rsidRPr="00A259BD">
        <w:rPr>
          <w:rFonts w:ascii="Times New Roman" w:hAnsi="Times New Roman"/>
          <w:color w:val="000000" w:themeColor="text1"/>
          <w:sz w:val="16"/>
          <w:szCs w:val="16"/>
        </w:rPr>
        <w:t xml:space="preserve"> сочетание является тем более целесообразным что поле зрения с миноносца в </w:t>
      </w:r>
      <w:proofErr w:type="spellStart"/>
      <w:r w:rsidRPr="00A259BD">
        <w:rPr>
          <w:rFonts w:ascii="Times New Roman" w:hAnsi="Times New Roman"/>
          <w:color w:val="000000" w:themeColor="text1"/>
          <w:sz w:val="16"/>
          <w:szCs w:val="16"/>
        </w:rPr>
        <w:t>значител</w:t>
      </w:r>
      <w:proofErr w:type="spellEnd"/>
      <w:r w:rsidRPr="00A259BD">
        <w:rPr>
          <w:rFonts w:ascii="Times New Roman" w:hAnsi="Times New Roman"/>
          <w:color w:val="000000" w:themeColor="text1"/>
          <w:sz w:val="16"/>
          <w:szCs w:val="16"/>
        </w:rPr>
        <w:t xml:space="preserve"> ной степени </w:t>
      </w:r>
      <w:proofErr w:type="spellStart"/>
      <w:r w:rsidRPr="00A259BD">
        <w:rPr>
          <w:rFonts w:ascii="Times New Roman" w:hAnsi="Times New Roman"/>
          <w:color w:val="000000" w:themeColor="text1"/>
          <w:sz w:val="16"/>
          <w:szCs w:val="16"/>
        </w:rPr>
        <w:t>ограни</w:t>
      </w:r>
      <w:r w:rsidRPr="00A259BD">
        <w:rPr>
          <w:rFonts w:ascii="Times New Roman" w:hAnsi="Times New Roman"/>
          <w:color w:val="000000" w:themeColor="text1"/>
          <w:sz w:val="16"/>
          <w:szCs w:val="16"/>
        </w:rPr>
        <w:softHyphen/>
        <w:t>чено,и</w:t>
      </w:r>
      <w:proofErr w:type="spellEnd"/>
      <w:r w:rsidRPr="00A259BD">
        <w:rPr>
          <w:rFonts w:ascii="Times New Roman" w:hAnsi="Times New Roman"/>
          <w:color w:val="000000" w:themeColor="text1"/>
          <w:sz w:val="16"/>
          <w:szCs w:val="16"/>
        </w:rPr>
        <w:t xml:space="preserve"> нередко он обнаруживает подводную лодку </w:t>
      </w:r>
      <w:proofErr w:type="spellStart"/>
      <w:r w:rsidRPr="00A259BD">
        <w:rPr>
          <w:rFonts w:ascii="Times New Roman" w:hAnsi="Times New Roman"/>
          <w:color w:val="000000" w:themeColor="text1"/>
          <w:sz w:val="16"/>
          <w:szCs w:val="16"/>
        </w:rPr>
        <w:t>тогда,когда</w:t>
      </w:r>
      <w:proofErr w:type="spellEnd"/>
      <w:r w:rsidRPr="00A259BD">
        <w:rPr>
          <w:rFonts w:ascii="Times New Roman" w:hAnsi="Times New Roman"/>
          <w:color w:val="000000" w:themeColor="text1"/>
          <w:sz w:val="16"/>
          <w:szCs w:val="16"/>
        </w:rPr>
        <w:t xml:space="preserve"> уже не может предупредить нападения.</w:t>
      </w:r>
    </w:p>
    <w:p w14:paraId="168FC17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Англии в империалистическую войну с июня 1917 года по октябрь 1918 г. 56-ю дирижаблями было выполнено, кроме разведывательной службы, 2210 конвоирований судов при 59703 часах пребывания в воздухе и 2.779.000 км покрытого рассто</w:t>
      </w:r>
      <w:r w:rsidRPr="00A259BD">
        <w:rPr>
          <w:rFonts w:ascii="Times New Roman" w:hAnsi="Times New Roman"/>
          <w:color w:val="000000" w:themeColor="text1"/>
          <w:sz w:val="16"/>
          <w:szCs w:val="16"/>
        </w:rPr>
        <w:softHyphen/>
        <w:t>яния.</w:t>
      </w:r>
    </w:p>
    <w:p w14:paraId="23FD886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 Франции в течение 1917-1918 гг. 8 специальных дири</w:t>
      </w:r>
      <w:r w:rsidRPr="00A259BD">
        <w:rPr>
          <w:rFonts w:ascii="Times New Roman" w:hAnsi="Times New Roman"/>
          <w:color w:val="000000" w:themeColor="text1"/>
          <w:sz w:val="16"/>
          <w:szCs w:val="16"/>
        </w:rPr>
        <w:softHyphen/>
        <w:t>жаблей несли службу по сопровождению транспортов из Алжира во Францию, неоднократно отгоняя подводные лодки.</w:t>
      </w:r>
    </w:p>
    <w:p w14:paraId="5066F4F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Дозорная служба при следующем в море флоте может нес</w:t>
      </w:r>
      <w:r w:rsidRPr="00A259BD">
        <w:rPr>
          <w:rFonts w:ascii="Times New Roman" w:hAnsi="Times New Roman"/>
          <w:color w:val="000000" w:themeColor="text1"/>
          <w:sz w:val="16"/>
          <w:szCs w:val="16"/>
        </w:rPr>
        <w:softHyphen/>
        <w:t xml:space="preserve">тись с успехом, кроме крейсеров и самолетов, и дирижаблями, конвоирующими </w:t>
      </w:r>
      <w:proofErr w:type="spellStart"/>
      <w:r w:rsidRPr="00A259BD">
        <w:rPr>
          <w:rFonts w:ascii="Times New Roman" w:hAnsi="Times New Roman"/>
          <w:color w:val="000000" w:themeColor="text1"/>
          <w:sz w:val="16"/>
          <w:szCs w:val="16"/>
        </w:rPr>
        <w:t>флоч</w:t>
      </w:r>
      <w:proofErr w:type="spellEnd"/>
      <w:r w:rsidRPr="00A259BD">
        <w:rPr>
          <w:rFonts w:ascii="Times New Roman" w:hAnsi="Times New Roman"/>
          <w:color w:val="000000" w:themeColor="text1"/>
          <w:sz w:val="16"/>
          <w:szCs w:val="16"/>
        </w:rPr>
        <w:t xml:space="preserve"> и расширяющими его </w:t>
      </w:r>
      <w:proofErr w:type="spellStart"/>
      <w:r w:rsidRPr="00A259BD">
        <w:rPr>
          <w:rFonts w:ascii="Times New Roman" w:hAnsi="Times New Roman"/>
          <w:color w:val="000000" w:themeColor="text1"/>
          <w:sz w:val="16"/>
          <w:szCs w:val="16"/>
        </w:rPr>
        <w:t>горизонт.Сго</w:t>
      </w:r>
      <w:proofErr w:type="spellEnd"/>
      <w:r w:rsidRPr="00A259BD">
        <w:rPr>
          <w:rFonts w:ascii="Times New Roman" w:hAnsi="Times New Roman"/>
          <w:color w:val="000000" w:themeColor="text1"/>
          <w:sz w:val="16"/>
          <w:szCs w:val="16"/>
        </w:rPr>
        <w:t xml:space="preserve"> участие особенно важно, когда переход флота совершается вне района действий прибрежной </w:t>
      </w:r>
      <w:proofErr w:type="spellStart"/>
      <w:r w:rsidRPr="00A259BD">
        <w:rPr>
          <w:rFonts w:ascii="Times New Roman" w:hAnsi="Times New Roman"/>
          <w:color w:val="000000" w:themeColor="text1"/>
          <w:sz w:val="16"/>
          <w:szCs w:val="16"/>
        </w:rPr>
        <w:t>авиации.Ч</w:t>
      </w:r>
      <w:proofErr w:type="spellEnd"/>
      <w:r w:rsidRPr="00A259BD">
        <w:rPr>
          <w:rFonts w:ascii="Times New Roman" w:hAnsi="Times New Roman"/>
          <w:color w:val="000000" w:themeColor="text1"/>
          <w:sz w:val="16"/>
          <w:szCs w:val="16"/>
        </w:rPr>
        <w:t xml:space="preserve"> этом случае дозорная служба .делится между корабельной авиацией и дирижаблями. В то вре</w:t>
      </w:r>
      <w:r w:rsidRPr="00A259BD">
        <w:rPr>
          <w:rFonts w:ascii="Times New Roman" w:hAnsi="Times New Roman"/>
          <w:color w:val="000000" w:themeColor="text1"/>
          <w:sz w:val="16"/>
          <w:szCs w:val="16"/>
        </w:rPr>
        <w:softHyphen/>
        <w:t xml:space="preserve">мя, как первая имеет задачи поддержки и </w:t>
      </w:r>
      <w:proofErr w:type="spellStart"/>
      <w:r w:rsidRPr="00A259BD">
        <w:rPr>
          <w:rFonts w:ascii="Times New Roman" w:hAnsi="Times New Roman"/>
          <w:color w:val="000000" w:themeColor="text1"/>
          <w:sz w:val="16"/>
          <w:szCs w:val="16"/>
        </w:rPr>
        <w:t>обеспечения,дири</w:t>
      </w:r>
      <w:r w:rsidRPr="00A259BD">
        <w:rPr>
          <w:rFonts w:ascii="Times New Roman" w:hAnsi="Times New Roman"/>
          <w:color w:val="000000" w:themeColor="text1"/>
          <w:sz w:val="16"/>
          <w:szCs w:val="16"/>
        </w:rPr>
        <w:softHyphen/>
        <w:t>жабли</w:t>
      </w:r>
      <w:proofErr w:type="spellEnd"/>
      <w:r w:rsidRPr="00A259BD">
        <w:rPr>
          <w:rFonts w:ascii="Times New Roman" w:hAnsi="Times New Roman"/>
          <w:color w:val="000000" w:themeColor="text1"/>
          <w:sz w:val="16"/>
          <w:szCs w:val="16"/>
        </w:rPr>
        <w:t xml:space="preserve"> несут воздушный дозор, при котором имеют особое значение присущие им относительно спокойные условия наблюдения способность регулировать скорость и надежная связь. В дозорной службе на море явно выгодно участие дирижаблей, да</w:t>
      </w:r>
      <w:r w:rsidRPr="00A259BD">
        <w:rPr>
          <w:rFonts w:ascii="Times New Roman" w:hAnsi="Times New Roman"/>
          <w:color w:val="000000" w:themeColor="text1"/>
          <w:sz w:val="16"/>
          <w:szCs w:val="16"/>
        </w:rPr>
        <w:softHyphen/>
        <w:t xml:space="preserve">ющих значительную экономию в </w:t>
      </w:r>
      <w:proofErr w:type="spellStart"/>
      <w:r w:rsidRPr="00A259BD">
        <w:rPr>
          <w:rFonts w:ascii="Times New Roman" w:hAnsi="Times New Roman"/>
          <w:color w:val="000000" w:themeColor="text1"/>
          <w:sz w:val="16"/>
          <w:szCs w:val="16"/>
        </w:rPr>
        <w:t>средствах,так</w:t>
      </w:r>
      <w:proofErr w:type="spellEnd"/>
      <w:r w:rsidRPr="00A259BD">
        <w:rPr>
          <w:rFonts w:ascii="Times New Roman" w:hAnsi="Times New Roman"/>
          <w:color w:val="000000" w:themeColor="text1"/>
          <w:sz w:val="16"/>
          <w:szCs w:val="16"/>
        </w:rPr>
        <w:t xml:space="preserve"> как один дири</w:t>
      </w:r>
      <w:r w:rsidRPr="00A259BD">
        <w:rPr>
          <w:rFonts w:ascii="Times New Roman" w:hAnsi="Times New Roman"/>
          <w:color w:val="000000" w:themeColor="text1"/>
          <w:sz w:val="16"/>
          <w:szCs w:val="16"/>
        </w:rPr>
        <w:softHyphen/>
        <w:t xml:space="preserve">жабль, имея в смене </w:t>
      </w:r>
      <w:proofErr w:type="spellStart"/>
      <w:r w:rsidRPr="00A259BD">
        <w:rPr>
          <w:rFonts w:ascii="Times New Roman" w:hAnsi="Times New Roman"/>
          <w:color w:val="000000" w:themeColor="text1"/>
          <w:sz w:val="16"/>
          <w:szCs w:val="16"/>
        </w:rPr>
        <w:t>другого,можещ,при</w:t>
      </w:r>
      <w:proofErr w:type="spellEnd"/>
      <w:r w:rsidRPr="00A259BD">
        <w:rPr>
          <w:rFonts w:ascii="Times New Roman" w:hAnsi="Times New Roman"/>
          <w:color w:val="000000" w:themeColor="text1"/>
          <w:sz w:val="16"/>
          <w:szCs w:val="16"/>
        </w:rPr>
        <w:t xml:space="preserve"> благоприятных а/</w:t>
      </w:r>
      <w:proofErr w:type="spellStart"/>
      <w:r w:rsidRPr="00A259BD">
        <w:rPr>
          <w:rFonts w:ascii="Times New Roman" w:hAnsi="Times New Roman"/>
          <w:color w:val="000000" w:themeColor="text1"/>
          <w:sz w:val="16"/>
          <w:szCs w:val="16"/>
        </w:rPr>
        <w:t>шосусловиях,полностью</w:t>
      </w:r>
      <w:proofErr w:type="spellEnd"/>
      <w:r w:rsidRPr="00A259BD">
        <w:rPr>
          <w:rFonts w:ascii="Times New Roman" w:hAnsi="Times New Roman"/>
          <w:color w:val="000000" w:themeColor="text1"/>
          <w:sz w:val="16"/>
          <w:szCs w:val="16"/>
        </w:rPr>
        <w:t xml:space="preserve"> обслуживать наблюдение на дозор</w:t>
      </w:r>
      <w:r w:rsidRPr="00A259BD">
        <w:rPr>
          <w:rFonts w:ascii="Times New Roman" w:hAnsi="Times New Roman"/>
          <w:color w:val="000000" w:themeColor="text1"/>
          <w:sz w:val="16"/>
          <w:szCs w:val="16"/>
        </w:rPr>
        <w:softHyphen/>
        <w:t>ной линии большого протяжения. Возложение задач наблюдения на дирижабли освобождает от этой службы суда, которые могут быть с большей пользой применены для других целей.</w:t>
      </w:r>
    </w:p>
    <w:p w14:paraId="18D18DB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Применение дирижабля для дальней разведки </w:t>
      </w:r>
      <w:proofErr w:type="spellStart"/>
      <w:r w:rsidRPr="00A259BD">
        <w:rPr>
          <w:rFonts w:ascii="Times New Roman" w:hAnsi="Times New Roman"/>
          <w:color w:val="000000" w:themeColor="text1"/>
          <w:sz w:val="16"/>
          <w:szCs w:val="16"/>
        </w:rPr>
        <w:t>внастоящее</w:t>
      </w:r>
      <w:proofErr w:type="spellEnd"/>
      <w:r w:rsidRPr="00A259BD">
        <w:rPr>
          <w:rFonts w:ascii="Times New Roman" w:hAnsi="Times New Roman"/>
          <w:color w:val="000000" w:themeColor="text1"/>
          <w:sz w:val="16"/>
          <w:szCs w:val="16"/>
        </w:rPr>
        <w:t xml:space="preserve"> время следует </w:t>
      </w:r>
      <w:proofErr w:type="spellStart"/>
      <w:r w:rsidRPr="00A259BD">
        <w:rPr>
          <w:rFonts w:ascii="Times New Roman" w:hAnsi="Times New Roman"/>
          <w:color w:val="000000" w:themeColor="text1"/>
          <w:sz w:val="16"/>
          <w:szCs w:val="16"/>
        </w:rPr>
        <w:t>считачь</w:t>
      </w:r>
      <w:proofErr w:type="spellEnd"/>
      <w:r w:rsidRPr="00A259BD">
        <w:rPr>
          <w:rFonts w:ascii="Times New Roman" w:hAnsi="Times New Roman"/>
          <w:color w:val="000000" w:themeColor="text1"/>
          <w:sz w:val="16"/>
          <w:szCs w:val="16"/>
        </w:rPr>
        <w:t xml:space="preserve"> наиболее целесообразным </w:t>
      </w:r>
      <w:proofErr w:type="spellStart"/>
      <w:r w:rsidRPr="00A259BD">
        <w:rPr>
          <w:rFonts w:ascii="Times New Roman" w:hAnsi="Times New Roman"/>
          <w:color w:val="000000" w:themeColor="text1"/>
          <w:sz w:val="16"/>
          <w:szCs w:val="16"/>
        </w:rPr>
        <w:t>вночные</w:t>
      </w:r>
      <w:proofErr w:type="spellEnd"/>
      <w:r w:rsidRPr="00A259BD">
        <w:rPr>
          <w:rFonts w:ascii="Times New Roman" w:hAnsi="Times New Roman"/>
          <w:color w:val="000000" w:themeColor="text1"/>
          <w:sz w:val="16"/>
          <w:szCs w:val="16"/>
        </w:rPr>
        <w:t xml:space="preserve"> ча</w:t>
      </w:r>
      <w:r w:rsidRPr="00A259BD">
        <w:rPr>
          <w:rFonts w:ascii="Times New Roman" w:hAnsi="Times New Roman"/>
          <w:color w:val="000000" w:themeColor="text1"/>
          <w:sz w:val="16"/>
          <w:szCs w:val="16"/>
        </w:rPr>
        <w:softHyphen/>
        <w:t>сы, введение для наполнения дирижаблей вместо водорода гелия радикально изменит такую службу дирижабля, позволив ему выполнять такие задания, которые, при условии наполне</w:t>
      </w:r>
      <w:r w:rsidRPr="00A259BD">
        <w:rPr>
          <w:rFonts w:ascii="Times New Roman" w:hAnsi="Times New Roman"/>
          <w:color w:val="000000" w:themeColor="text1"/>
          <w:sz w:val="16"/>
          <w:szCs w:val="16"/>
        </w:rPr>
        <w:softHyphen/>
        <w:t xml:space="preserve">ния водородом, он выполнить не может, например разведка </w:t>
      </w:r>
      <w:proofErr w:type="spellStart"/>
      <w:r w:rsidRPr="00A259BD">
        <w:rPr>
          <w:rFonts w:ascii="Times New Roman" w:hAnsi="Times New Roman"/>
          <w:color w:val="000000" w:themeColor="text1"/>
          <w:sz w:val="16"/>
          <w:szCs w:val="16"/>
        </w:rPr>
        <w:t>врайоне</w:t>
      </w:r>
      <w:proofErr w:type="spellEnd"/>
      <w:r w:rsidRPr="00A259BD">
        <w:rPr>
          <w:rFonts w:ascii="Times New Roman" w:hAnsi="Times New Roman"/>
          <w:color w:val="000000" w:themeColor="text1"/>
          <w:sz w:val="16"/>
          <w:szCs w:val="16"/>
        </w:rPr>
        <w:t>, близком к неприятельской воздушной базе, особенно, если дирижабль может встретить эскадрилью самолетов и т.д.</w:t>
      </w:r>
    </w:p>
    <w:p w14:paraId="3A3760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 несении разведывательной службы дирижабли могут быть применяемы как для периодической разведки, так и для выполнения отдельных разведывательных операций. Производимая дирижаблями изо дня в день по определенному расписанию </w:t>
      </w:r>
      <w:proofErr w:type="spellStart"/>
      <w:r w:rsidRPr="00A259BD">
        <w:rPr>
          <w:rFonts w:ascii="Times New Roman" w:hAnsi="Times New Roman"/>
          <w:color w:val="000000" w:themeColor="text1"/>
          <w:sz w:val="16"/>
          <w:szCs w:val="16"/>
        </w:rPr>
        <w:t>разведка,охватывая</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всюприбрежную</w:t>
      </w:r>
      <w:proofErr w:type="spellEnd"/>
      <w:r w:rsidRPr="00A259BD">
        <w:rPr>
          <w:rFonts w:ascii="Times New Roman" w:hAnsi="Times New Roman"/>
          <w:color w:val="000000" w:themeColor="text1"/>
          <w:sz w:val="16"/>
          <w:szCs w:val="16"/>
        </w:rPr>
        <w:t xml:space="preserve"> полосу и распространяясь на море, дает морскому командованию периодические сведения об обстановке на театре. В условиях СССР для Черного моря естественным пределом периодической воздушной разведки являются его иностранные берега, в особенности пункты, слу</w:t>
      </w:r>
      <w:r w:rsidRPr="00A259BD">
        <w:rPr>
          <w:rFonts w:ascii="Times New Roman" w:hAnsi="Times New Roman"/>
          <w:color w:val="000000" w:themeColor="text1"/>
          <w:sz w:val="16"/>
          <w:szCs w:val="16"/>
        </w:rPr>
        <w:softHyphen/>
        <w:t>жащие возможным местом базирования неприятельского флота /Босфор, Варна. Констанца и проч./. Дирижабли с радиусом дей</w:t>
      </w:r>
      <w:r w:rsidRPr="00A259BD">
        <w:rPr>
          <w:rFonts w:ascii="Times New Roman" w:hAnsi="Times New Roman"/>
          <w:color w:val="000000" w:themeColor="text1"/>
          <w:sz w:val="16"/>
          <w:szCs w:val="16"/>
        </w:rPr>
        <w:softHyphen/>
        <w:t xml:space="preserve">ствия в 300 км могут держать под своим наблюдением район Керчь, Феодосия-Балаклава и почти до </w:t>
      </w:r>
      <w:proofErr w:type="spellStart"/>
      <w:r w:rsidRPr="00A259BD">
        <w:rPr>
          <w:rFonts w:ascii="Times New Roman" w:hAnsi="Times New Roman"/>
          <w:color w:val="000000" w:themeColor="text1"/>
          <w:sz w:val="16"/>
          <w:szCs w:val="16"/>
        </w:rPr>
        <w:t>Кюстенджи</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усчтья</w:t>
      </w:r>
      <w:proofErr w:type="spellEnd"/>
      <w:r w:rsidRPr="00A259BD">
        <w:rPr>
          <w:rFonts w:ascii="Times New Roman" w:hAnsi="Times New Roman"/>
          <w:color w:val="000000" w:themeColor="text1"/>
          <w:sz w:val="16"/>
          <w:szCs w:val="16"/>
        </w:rPr>
        <w:t xml:space="preserve"> Ду</w:t>
      </w:r>
      <w:r w:rsidRPr="00A259BD">
        <w:rPr>
          <w:rFonts w:ascii="Times New Roman" w:hAnsi="Times New Roman"/>
          <w:color w:val="000000" w:themeColor="text1"/>
          <w:sz w:val="16"/>
          <w:szCs w:val="16"/>
        </w:rPr>
        <w:softHyphen/>
        <w:t>ная; дирижабли с радиусом действия в 2000 км - район всего Черного моря, всего Мраморного моря, Дарданеллы и почти весь Архипелаг до линии Афины-Крит-Родос.</w:t>
      </w:r>
    </w:p>
    <w:p w14:paraId="798B79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Балтийского моря естественным пределом периодической воздушной разведки является устье Финского залива нормально, минимум же - </w:t>
      </w:r>
      <w:proofErr w:type="spellStart"/>
      <w:r w:rsidRPr="00A259BD">
        <w:rPr>
          <w:rFonts w:ascii="Times New Roman" w:hAnsi="Times New Roman"/>
          <w:color w:val="000000" w:themeColor="text1"/>
          <w:sz w:val="16"/>
          <w:szCs w:val="16"/>
        </w:rPr>
        <w:t>район,охватывающий</w:t>
      </w:r>
      <w:proofErr w:type="spellEnd"/>
      <w:r w:rsidRPr="00A259BD">
        <w:rPr>
          <w:rFonts w:ascii="Times New Roman" w:hAnsi="Times New Roman"/>
          <w:color w:val="000000" w:themeColor="text1"/>
          <w:sz w:val="16"/>
          <w:szCs w:val="16"/>
        </w:rPr>
        <w:t xml:space="preserve"> Ревель и Гель</w:t>
      </w:r>
      <w:r w:rsidRPr="00A259BD">
        <w:rPr>
          <w:rFonts w:ascii="Times New Roman" w:hAnsi="Times New Roman"/>
          <w:color w:val="000000" w:themeColor="text1"/>
          <w:sz w:val="16"/>
          <w:szCs w:val="16"/>
        </w:rPr>
        <w:softHyphen/>
        <w:t xml:space="preserve">сингфорс. Здесь имеет важной значение задача, которая не </w:t>
      </w:r>
      <w:proofErr w:type="spellStart"/>
      <w:r w:rsidRPr="00A259BD">
        <w:rPr>
          <w:rFonts w:ascii="Times New Roman" w:hAnsi="Times New Roman"/>
          <w:color w:val="000000" w:themeColor="text1"/>
          <w:sz w:val="16"/>
          <w:szCs w:val="16"/>
        </w:rPr>
        <w:t>можеч</w:t>
      </w:r>
      <w:proofErr w:type="spellEnd"/>
      <w:r w:rsidRPr="00A259BD">
        <w:rPr>
          <w:rFonts w:ascii="Times New Roman" w:hAnsi="Times New Roman"/>
          <w:color w:val="000000" w:themeColor="text1"/>
          <w:sz w:val="16"/>
          <w:szCs w:val="16"/>
        </w:rPr>
        <w:t xml:space="preserve"> войти в круг ежедневной разведки, но которая должна быть предусмотрена при расчете необходимых дирижабельных средств - это разведка входов </w:t>
      </w:r>
      <w:proofErr w:type="spellStart"/>
      <w:r w:rsidRPr="00A259BD">
        <w:rPr>
          <w:rFonts w:ascii="Times New Roman" w:hAnsi="Times New Roman"/>
          <w:color w:val="000000" w:themeColor="text1"/>
          <w:sz w:val="16"/>
          <w:szCs w:val="16"/>
        </w:rPr>
        <w:t>вБалтийское</w:t>
      </w:r>
      <w:proofErr w:type="spellEnd"/>
      <w:r w:rsidRPr="00A259BD">
        <w:rPr>
          <w:rFonts w:ascii="Times New Roman" w:hAnsi="Times New Roman"/>
          <w:color w:val="000000" w:themeColor="text1"/>
          <w:sz w:val="16"/>
          <w:szCs w:val="16"/>
        </w:rPr>
        <w:t xml:space="preserve"> море. Наконец, необходимо учесть и задачи </w:t>
      </w:r>
      <w:proofErr w:type="spellStart"/>
      <w:r w:rsidRPr="00A259BD">
        <w:rPr>
          <w:rFonts w:ascii="Times New Roman" w:hAnsi="Times New Roman"/>
          <w:color w:val="000000" w:themeColor="text1"/>
          <w:sz w:val="16"/>
          <w:szCs w:val="16"/>
        </w:rPr>
        <w:t>разредки</w:t>
      </w:r>
      <w:proofErr w:type="spellEnd"/>
      <w:r w:rsidRPr="00A259BD">
        <w:rPr>
          <w:rFonts w:ascii="Times New Roman" w:hAnsi="Times New Roman"/>
          <w:color w:val="000000" w:themeColor="text1"/>
          <w:sz w:val="16"/>
          <w:szCs w:val="16"/>
        </w:rPr>
        <w:t xml:space="preserve"> наших отдаленных рай</w:t>
      </w:r>
      <w:r w:rsidRPr="00A259BD">
        <w:rPr>
          <w:rFonts w:ascii="Times New Roman" w:hAnsi="Times New Roman"/>
          <w:color w:val="000000" w:themeColor="text1"/>
          <w:sz w:val="16"/>
          <w:szCs w:val="16"/>
        </w:rPr>
        <w:softHyphen/>
        <w:t>онов: Белого моря, Ледовитого океана и берегов Дальнего Востока. На Севере наблюдение и периодическая разведка по</w:t>
      </w:r>
      <w:r w:rsidRPr="00A259BD">
        <w:rPr>
          <w:rFonts w:ascii="Times New Roman" w:hAnsi="Times New Roman"/>
          <w:color w:val="000000" w:themeColor="text1"/>
          <w:sz w:val="16"/>
          <w:szCs w:val="16"/>
        </w:rPr>
        <w:softHyphen/>
        <w:t>надобятся непременно, так как мы располагаем свободным вы</w:t>
      </w:r>
      <w:r w:rsidRPr="00A259BD">
        <w:rPr>
          <w:rFonts w:ascii="Times New Roman" w:hAnsi="Times New Roman"/>
          <w:color w:val="000000" w:themeColor="text1"/>
          <w:sz w:val="16"/>
          <w:szCs w:val="16"/>
        </w:rPr>
        <w:softHyphen/>
        <w:t xml:space="preserve">ходом на океан только </w:t>
      </w:r>
      <w:proofErr w:type="spellStart"/>
      <w:r w:rsidRPr="00A259BD">
        <w:rPr>
          <w:rFonts w:ascii="Times New Roman" w:hAnsi="Times New Roman"/>
          <w:color w:val="000000" w:themeColor="text1"/>
          <w:sz w:val="16"/>
          <w:szCs w:val="16"/>
        </w:rPr>
        <w:t>чарез</w:t>
      </w:r>
      <w:proofErr w:type="spellEnd"/>
      <w:r w:rsidRPr="00A259BD">
        <w:rPr>
          <w:rFonts w:ascii="Times New Roman" w:hAnsi="Times New Roman"/>
          <w:color w:val="000000" w:themeColor="text1"/>
          <w:sz w:val="16"/>
          <w:szCs w:val="16"/>
        </w:rPr>
        <w:t xml:space="preserve"> Север, который будет иметь для нас большое значение. Учтя громадные пространства этот рай</w:t>
      </w:r>
      <w:r w:rsidRPr="00A259BD">
        <w:rPr>
          <w:rFonts w:ascii="Times New Roman" w:hAnsi="Times New Roman"/>
          <w:color w:val="000000" w:themeColor="text1"/>
          <w:sz w:val="16"/>
          <w:szCs w:val="16"/>
        </w:rPr>
        <w:softHyphen/>
        <w:t>она, его малую обитаемость, трудность сообщении, следова</w:t>
      </w:r>
      <w:r w:rsidRPr="00A259BD">
        <w:rPr>
          <w:rFonts w:ascii="Times New Roman" w:hAnsi="Times New Roman"/>
          <w:color w:val="000000" w:themeColor="text1"/>
          <w:sz w:val="16"/>
          <w:szCs w:val="16"/>
        </w:rPr>
        <w:softHyphen/>
        <w:t xml:space="preserve">тельно, трудность оборудования частных промежуточных баз для авиации, необходимо </w:t>
      </w:r>
      <w:proofErr w:type="spellStart"/>
      <w:r w:rsidRPr="00A259BD">
        <w:rPr>
          <w:rFonts w:ascii="Times New Roman" w:hAnsi="Times New Roman"/>
          <w:color w:val="000000" w:themeColor="text1"/>
          <w:sz w:val="16"/>
          <w:szCs w:val="16"/>
        </w:rPr>
        <w:t>придти</w:t>
      </w:r>
      <w:proofErr w:type="spellEnd"/>
      <w:r w:rsidRPr="00A259BD">
        <w:rPr>
          <w:rFonts w:ascii="Times New Roman" w:hAnsi="Times New Roman"/>
          <w:color w:val="000000" w:themeColor="text1"/>
          <w:sz w:val="16"/>
          <w:szCs w:val="16"/>
        </w:rPr>
        <w:t xml:space="preserve"> к </w:t>
      </w:r>
      <w:proofErr w:type="spellStart"/>
      <w:r w:rsidRPr="00A259BD">
        <w:rPr>
          <w:rFonts w:ascii="Times New Roman" w:hAnsi="Times New Roman"/>
          <w:color w:val="000000" w:themeColor="text1"/>
          <w:sz w:val="16"/>
          <w:szCs w:val="16"/>
        </w:rPr>
        <w:t>заключению,что</w:t>
      </w:r>
      <w:proofErr w:type="spellEnd"/>
      <w:r w:rsidRPr="00A259BD">
        <w:rPr>
          <w:rFonts w:ascii="Times New Roman" w:hAnsi="Times New Roman"/>
          <w:color w:val="000000" w:themeColor="text1"/>
          <w:sz w:val="16"/>
          <w:szCs w:val="16"/>
        </w:rPr>
        <w:t xml:space="preserve"> здесь нель</w:t>
      </w:r>
      <w:r w:rsidRPr="00A259BD">
        <w:rPr>
          <w:rFonts w:ascii="Times New Roman" w:hAnsi="Times New Roman"/>
          <w:color w:val="000000" w:themeColor="text1"/>
          <w:sz w:val="16"/>
          <w:szCs w:val="16"/>
        </w:rPr>
        <w:softHyphen/>
        <w:t>зя обойтись без помощи дирижаблей, обладающих большим радиусом действия. Что касается берегов Дальнего востока, то здесь мы встречаемся с такими дистанциями, которые еще дол</w:t>
      </w:r>
      <w:r w:rsidRPr="00A259BD">
        <w:rPr>
          <w:rFonts w:ascii="Times New Roman" w:hAnsi="Times New Roman"/>
          <w:color w:val="000000" w:themeColor="text1"/>
          <w:sz w:val="16"/>
          <w:szCs w:val="16"/>
        </w:rPr>
        <w:softHyphen/>
        <w:t>гое время будут доступны только большим дирижаблям.</w:t>
      </w:r>
    </w:p>
    <w:p w14:paraId="76B519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Работая </w:t>
      </w:r>
      <w:proofErr w:type="spellStart"/>
      <w:r w:rsidRPr="00A259BD">
        <w:rPr>
          <w:rFonts w:ascii="Times New Roman" w:hAnsi="Times New Roman"/>
          <w:color w:val="000000" w:themeColor="text1"/>
          <w:sz w:val="16"/>
          <w:szCs w:val="16"/>
        </w:rPr>
        <w:t>втесной</w:t>
      </w:r>
      <w:proofErr w:type="spellEnd"/>
      <w:r w:rsidRPr="00A259BD">
        <w:rPr>
          <w:rFonts w:ascii="Times New Roman" w:hAnsi="Times New Roman"/>
          <w:color w:val="000000" w:themeColor="text1"/>
          <w:sz w:val="16"/>
          <w:szCs w:val="16"/>
        </w:rPr>
        <w:t xml:space="preserve"> связи с авиацией, дирижабли могут с успехом взять на себя при производстве периодической воз</w:t>
      </w:r>
      <w:r w:rsidRPr="00A259BD">
        <w:rPr>
          <w:rFonts w:ascii="Times New Roman" w:hAnsi="Times New Roman"/>
          <w:color w:val="000000" w:themeColor="text1"/>
          <w:sz w:val="16"/>
          <w:szCs w:val="16"/>
        </w:rPr>
        <w:softHyphen/>
        <w:t xml:space="preserve">душной разведки нижеследующие основные задачи: 1/разведку наиболее отдаленных районов, выходящих за пределы действия авиации, осветить каковые районы не всегда возможно даже при помощи авиаматок /например, разведка открытой части Балтийского моря при прегражденном неприятелем выхода из Финского залива/, 2/ ночную разведку с </w:t>
      </w:r>
      <w:proofErr w:type="spellStart"/>
      <w:r w:rsidRPr="00A259BD">
        <w:rPr>
          <w:rFonts w:ascii="Times New Roman" w:hAnsi="Times New Roman"/>
          <w:color w:val="000000" w:themeColor="text1"/>
          <w:sz w:val="16"/>
          <w:szCs w:val="16"/>
        </w:rPr>
        <w:t>д.лительным</w:t>
      </w:r>
      <w:proofErr w:type="spellEnd"/>
      <w:r w:rsidRPr="00A259BD">
        <w:rPr>
          <w:rFonts w:ascii="Times New Roman" w:hAnsi="Times New Roman"/>
          <w:color w:val="000000" w:themeColor="text1"/>
          <w:sz w:val="16"/>
          <w:szCs w:val="16"/>
        </w:rPr>
        <w:t xml:space="preserve"> пребывани</w:t>
      </w:r>
      <w:r w:rsidRPr="00A259BD">
        <w:rPr>
          <w:rFonts w:ascii="Times New Roman" w:hAnsi="Times New Roman"/>
          <w:color w:val="000000" w:themeColor="text1"/>
          <w:sz w:val="16"/>
          <w:szCs w:val="16"/>
        </w:rPr>
        <w:softHyphen/>
        <w:t>ем в воздухе, и 3/ периодическую разведку прибрежных райо</w:t>
      </w:r>
      <w:r w:rsidRPr="00A259BD">
        <w:rPr>
          <w:rFonts w:ascii="Times New Roman" w:hAnsi="Times New Roman"/>
          <w:color w:val="000000" w:themeColor="text1"/>
          <w:sz w:val="16"/>
          <w:szCs w:val="16"/>
        </w:rPr>
        <w:softHyphen/>
        <w:t>нов вне дальности берегового наблюдения, а равно и зон мо</w:t>
      </w:r>
      <w:r w:rsidRPr="00A259BD">
        <w:rPr>
          <w:rFonts w:ascii="Times New Roman" w:hAnsi="Times New Roman"/>
          <w:color w:val="000000" w:themeColor="text1"/>
          <w:sz w:val="16"/>
          <w:szCs w:val="16"/>
        </w:rPr>
        <w:softHyphen/>
        <w:t>ря, где вероятность появления неприятельской авиации минимальна, или когда дирижабли могут быть поддержаны своими самолетами.</w:t>
      </w:r>
    </w:p>
    <w:p w14:paraId="1C92CA9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Блестящими примерами разведывательной службы дирижаблей на море является работа немецких морских Цеппелинов в империалистическую войну. В декабре 1914 года два Цеппелина не допустили 9 английских гидросамолетов бомбардиро</w:t>
      </w:r>
      <w:r w:rsidRPr="00A259BD">
        <w:rPr>
          <w:rFonts w:ascii="Times New Roman" w:hAnsi="Times New Roman"/>
          <w:color w:val="000000" w:themeColor="text1"/>
          <w:sz w:val="16"/>
          <w:szCs w:val="16"/>
        </w:rPr>
        <w:softHyphen/>
        <w:t xml:space="preserve">вать </w:t>
      </w:r>
      <w:proofErr w:type="spellStart"/>
      <w:r w:rsidRPr="00A259BD">
        <w:rPr>
          <w:rFonts w:ascii="Times New Roman" w:hAnsi="Times New Roman"/>
          <w:color w:val="000000" w:themeColor="text1"/>
          <w:sz w:val="16"/>
          <w:szCs w:val="16"/>
        </w:rPr>
        <w:t>Куксгафен</w:t>
      </w:r>
      <w:proofErr w:type="spellEnd"/>
      <w:r w:rsidRPr="00A259BD">
        <w:rPr>
          <w:rFonts w:ascii="Times New Roman" w:hAnsi="Times New Roman"/>
          <w:color w:val="000000" w:themeColor="text1"/>
          <w:sz w:val="16"/>
          <w:szCs w:val="16"/>
        </w:rPr>
        <w:t xml:space="preserve">, причем 3 гидросамолета были сбиты. В 1916 г. Цеппелины </w:t>
      </w:r>
      <w:r w:rsidRPr="00A259BD">
        <w:rPr>
          <w:rFonts w:ascii="Times New Roman" w:hAnsi="Times New Roman"/>
          <w:color w:val="000000" w:themeColor="text1"/>
          <w:sz w:val="16"/>
          <w:szCs w:val="16"/>
        </w:rPr>
        <w:lastRenderedPageBreak/>
        <w:t xml:space="preserve">способствовали благополучному отходу немецкого морского </w:t>
      </w:r>
      <w:proofErr w:type="spellStart"/>
      <w:r w:rsidRPr="00A259BD">
        <w:rPr>
          <w:rFonts w:ascii="Times New Roman" w:hAnsi="Times New Roman"/>
          <w:color w:val="000000" w:themeColor="text1"/>
          <w:sz w:val="16"/>
          <w:szCs w:val="16"/>
        </w:rPr>
        <w:t>отряда,бомбардировавшего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Скаборо</w:t>
      </w:r>
      <w:proofErr w:type="spellEnd"/>
      <w:r w:rsidRPr="00A259BD">
        <w:rPr>
          <w:rFonts w:ascii="Times New Roman" w:hAnsi="Times New Roman"/>
          <w:color w:val="000000" w:themeColor="text1"/>
          <w:sz w:val="16"/>
          <w:szCs w:val="16"/>
        </w:rPr>
        <w:t>. Успех, сопровож</w:t>
      </w:r>
      <w:r w:rsidRPr="00A259BD">
        <w:rPr>
          <w:rFonts w:ascii="Times New Roman" w:hAnsi="Times New Roman"/>
          <w:color w:val="000000" w:themeColor="text1"/>
          <w:sz w:val="16"/>
          <w:szCs w:val="16"/>
        </w:rPr>
        <w:softHyphen/>
        <w:t xml:space="preserve">давший атаки немецких подводных лодок на </w:t>
      </w:r>
      <w:proofErr w:type="spellStart"/>
      <w:r w:rsidRPr="00A259BD">
        <w:rPr>
          <w:rFonts w:ascii="Times New Roman" w:hAnsi="Times New Roman"/>
          <w:color w:val="000000" w:themeColor="text1"/>
          <w:sz w:val="16"/>
          <w:szCs w:val="16"/>
        </w:rPr>
        <w:t>английсьие</w:t>
      </w:r>
      <w:proofErr w:type="spellEnd"/>
      <w:r w:rsidRPr="00A259BD">
        <w:rPr>
          <w:rFonts w:ascii="Times New Roman" w:hAnsi="Times New Roman"/>
          <w:color w:val="000000" w:themeColor="text1"/>
          <w:sz w:val="16"/>
          <w:szCs w:val="16"/>
        </w:rPr>
        <w:t xml:space="preserve"> крей</w:t>
      </w:r>
      <w:r w:rsidRPr="00A259BD">
        <w:rPr>
          <w:rFonts w:ascii="Times New Roman" w:hAnsi="Times New Roman"/>
          <w:color w:val="000000" w:themeColor="text1"/>
          <w:sz w:val="16"/>
          <w:szCs w:val="16"/>
        </w:rPr>
        <w:softHyphen/>
        <w:t>сера "</w:t>
      </w:r>
      <w:proofErr w:type="spellStart"/>
      <w:r w:rsidRPr="00A259BD">
        <w:rPr>
          <w:rFonts w:ascii="Times New Roman" w:hAnsi="Times New Roman"/>
          <w:color w:val="000000" w:themeColor="text1"/>
          <w:sz w:val="16"/>
          <w:szCs w:val="16"/>
        </w:rPr>
        <w:t>Ноттингам</w:t>
      </w:r>
      <w:proofErr w:type="spellEnd"/>
      <w:r w:rsidRPr="00A259BD">
        <w:rPr>
          <w:rFonts w:ascii="Times New Roman" w:hAnsi="Times New Roman"/>
          <w:color w:val="000000" w:themeColor="text1"/>
          <w:sz w:val="16"/>
          <w:szCs w:val="16"/>
        </w:rPr>
        <w:t>" и "</w:t>
      </w:r>
      <w:proofErr w:type="spellStart"/>
      <w:r w:rsidRPr="00A259BD">
        <w:rPr>
          <w:rFonts w:ascii="Times New Roman" w:hAnsi="Times New Roman"/>
          <w:color w:val="000000" w:themeColor="text1"/>
          <w:sz w:val="16"/>
          <w:szCs w:val="16"/>
        </w:rPr>
        <w:t>Фильмус</w:t>
      </w:r>
      <w:proofErr w:type="spellEnd"/>
      <w:r w:rsidRPr="00A259BD">
        <w:rPr>
          <w:rFonts w:ascii="Times New Roman" w:hAnsi="Times New Roman"/>
          <w:color w:val="000000" w:themeColor="text1"/>
          <w:sz w:val="16"/>
          <w:szCs w:val="16"/>
        </w:rPr>
        <w:t xml:space="preserve">", приписываются англичанами в большей степени работе Цеппелинов. Принимая активное участие в </w:t>
      </w:r>
      <w:proofErr w:type="spellStart"/>
      <w:r w:rsidRPr="00A259BD">
        <w:rPr>
          <w:rFonts w:ascii="Times New Roman" w:hAnsi="Times New Roman"/>
          <w:color w:val="000000" w:themeColor="text1"/>
          <w:sz w:val="16"/>
          <w:szCs w:val="16"/>
        </w:rPr>
        <w:t>Ютландском</w:t>
      </w:r>
      <w:proofErr w:type="spellEnd"/>
      <w:r w:rsidRPr="00A259BD">
        <w:rPr>
          <w:rFonts w:ascii="Times New Roman" w:hAnsi="Times New Roman"/>
          <w:color w:val="000000" w:themeColor="text1"/>
          <w:sz w:val="16"/>
          <w:szCs w:val="16"/>
        </w:rPr>
        <w:t xml:space="preserve"> бою, Цеппелины 1 июня, на </w:t>
      </w:r>
      <w:proofErr w:type="spellStart"/>
      <w:r w:rsidRPr="00A259BD">
        <w:rPr>
          <w:rFonts w:ascii="Times New Roman" w:hAnsi="Times New Roman"/>
          <w:color w:val="000000" w:themeColor="text1"/>
          <w:sz w:val="16"/>
          <w:szCs w:val="16"/>
        </w:rPr>
        <w:t>рассвете,после</w:t>
      </w:r>
      <w:proofErr w:type="spellEnd"/>
      <w:r w:rsidRPr="00A259BD">
        <w:rPr>
          <w:rFonts w:ascii="Times New Roman" w:hAnsi="Times New Roman"/>
          <w:color w:val="000000" w:themeColor="text1"/>
          <w:sz w:val="16"/>
          <w:szCs w:val="16"/>
        </w:rPr>
        <w:t xml:space="preserve"> ноч</w:t>
      </w:r>
      <w:r w:rsidRPr="00A259BD">
        <w:rPr>
          <w:rFonts w:ascii="Times New Roman" w:hAnsi="Times New Roman"/>
          <w:color w:val="000000" w:themeColor="text1"/>
          <w:sz w:val="16"/>
          <w:szCs w:val="16"/>
        </w:rPr>
        <w:softHyphen/>
        <w:t xml:space="preserve">ного боя, обнаружили местонахождение британского </w:t>
      </w:r>
      <w:proofErr w:type="spellStart"/>
      <w:r w:rsidRPr="00A259BD">
        <w:rPr>
          <w:rFonts w:ascii="Times New Roman" w:hAnsi="Times New Roman"/>
          <w:color w:val="000000" w:themeColor="text1"/>
          <w:sz w:val="16"/>
          <w:szCs w:val="16"/>
        </w:rPr>
        <w:t>флоча</w:t>
      </w:r>
      <w:proofErr w:type="spellEnd"/>
      <w:r w:rsidRPr="00A259BD">
        <w:rPr>
          <w:rFonts w:ascii="Times New Roman" w:hAnsi="Times New Roman"/>
          <w:color w:val="000000" w:themeColor="text1"/>
          <w:sz w:val="16"/>
          <w:szCs w:val="16"/>
        </w:rPr>
        <w:t xml:space="preserve"> и своевременно донесли об этом своему командованию.</w:t>
      </w:r>
    </w:p>
    <w:p w14:paraId="467363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признанию немцев Цеппелины по крайней мере три ра</w:t>
      </w:r>
      <w:r w:rsidRPr="00A259BD">
        <w:rPr>
          <w:rFonts w:ascii="Times New Roman" w:hAnsi="Times New Roman"/>
          <w:color w:val="000000" w:themeColor="text1"/>
          <w:sz w:val="16"/>
          <w:szCs w:val="16"/>
        </w:rPr>
        <w:softHyphen/>
        <w:t>за спасали свой морской флот от опасности быть окруженным британским флотом.</w:t>
      </w:r>
    </w:p>
    <w:p w14:paraId="53B402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Значение дирижаблей, как бомбардировочного средства, вполне очевидно. Главными </w:t>
      </w:r>
      <w:proofErr w:type="spellStart"/>
      <w:r w:rsidRPr="00A259BD">
        <w:rPr>
          <w:rFonts w:ascii="Times New Roman" w:hAnsi="Times New Roman"/>
          <w:color w:val="000000" w:themeColor="text1"/>
          <w:sz w:val="16"/>
          <w:szCs w:val="16"/>
        </w:rPr>
        <w:t>об"ектами</w:t>
      </w:r>
      <w:proofErr w:type="spellEnd"/>
      <w:r w:rsidRPr="00A259BD">
        <w:rPr>
          <w:rFonts w:ascii="Times New Roman" w:hAnsi="Times New Roman"/>
          <w:color w:val="000000" w:themeColor="text1"/>
          <w:sz w:val="16"/>
          <w:szCs w:val="16"/>
        </w:rPr>
        <w:t xml:space="preserve"> для </w:t>
      </w:r>
      <w:proofErr w:type="spellStart"/>
      <w:r w:rsidRPr="00A259BD">
        <w:rPr>
          <w:rFonts w:ascii="Times New Roman" w:hAnsi="Times New Roman"/>
          <w:color w:val="000000" w:themeColor="text1"/>
          <w:sz w:val="16"/>
          <w:szCs w:val="16"/>
        </w:rPr>
        <w:t>для</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бомбордирования</w:t>
      </w:r>
      <w:proofErr w:type="spellEnd"/>
      <w:r w:rsidRPr="00A259BD">
        <w:rPr>
          <w:rFonts w:ascii="Times New Roman" w:hAnsi="Times New Roman"/>
          <w:color w:val="000000" w:themeColor="text1"/>
          <w:sz w:val="16"/>
          <w:szCs w:val="16"/>
        </w:rPr>
        <w:t xml:space="preserve"> могут служить береговые укрепления, арсеналы, верфи, боевые соединения судов, стоящих в неприятельских портах, а также специальные цели, представляющие стратегический интерес. Все эти </w:t>
      </w:r>
      <w:proofErr w:type="spellStart"/>
      <w:r w:rsidRPr="00A259BD">
        <w:rPr>
          <w:rFonts w:ascii="Times New Roman" w:hAnsi="Times New Roman"/>
          <w:color w:val="000000" w:themeColor="text1"/>
          <w:sz w:val="16"/>
          <w:szCs w:val="16"/>
        </w:rPr>
        <w:t>об"екты</w:t>
      </w:r>
      <w:proofErr w:type="spellEnd"/>
      <w:r w:rsidRPr="00A259BD">
        <w:rPr>
          <w:rFonts w:ascii="Times New Roman" w:hAnsi="Times New Roman"/>
          <w:color w:val="000000" w:themeColor="text1"/>
          <w:sz w:val="16"/>
          <w:szCs w:val="16"/>
        </w:rPr>
        <w:t xml:space="preserve"> для дирижаблей гораздо более доступны, чем цели земные, так как для того, чтобы проникнуть на неприя</w:t>
      </w:r>
      <w:r w:rsidRPr="00A259BD">
        <w:rPr>
          <w:rFonts w:ascii="Times New Roman" w:hAnsi="Times New Roman"/>
          <w:color w:val="000000" w:themeColor="text1"/>
          <w:sz w:val="16"/>
          <w:szCs w:val="16"/>
        </w:rPr>
        <w:softHyphen/>
        <w:t>тельский берег, часто не требуется преодоления огневых заграждений фронта.</w:t>
      </w:r>
    </w:p>
    <w:p w14:paraId="3BC022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Значение самостоятельных операций дирижаблей, как </w:t>
      </w:r>
      <w:proofErr w:type="spellStart"/>
      <w:r w:rsidRPr="00A259BD">
        <w:rPr>
          <w:rFonts w:ascii="Times New Roman" w:hAnsi="Times New Roman"/>
          <w:color w:val="000000" w:themeColor="text1"/>
          <w:sz w:val="16"/>
          <w:szCs w:val="16"/>
        </w:rPr>
        <w:t>средсттва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бомбардирорания</w:t>
      </w:r>
      <w:proofErr w:type="spellEnd"/>
      <w:r w:rsidRPr="00A259BD">
        <w:rPr>
          <w:rFonts w:ascii="Times New Roman" w:hAnsi="Times New Roman"/>
          <w:color w:val="000000" w:themeColor="text1"/>
          <w:sz w:val="16"/>
          <w:szCs w:val="16"/>
        </w:rPr>
        <w:t xml:space="preserve"> неприятельского побережья и рейдов, вполне подтверждено опытов империалистической войны. Немец</w:t>
      </w:r>
      <w:r w:rsidRPr="00A259BD">
        <w:rPr>
          <w:rFonts w:ascii="Times New Roman" w:hAnsi="Times New Roman"/>
          <w:color w:val="000000" w:themeColor="text1"/>
          <w:sz w:val="16"/>
          <w:szCs w:val="16"/>
        </w:rPr>
        <w:softHyphen/>
        <w:t xml:space="preserve">кие Цеппелины </w:t>
      </w:r>
      <w:proofErr w:type="spellStart"/>
      <w:r w:rsidRPr="00A259BD">
        <w:rPr>
          <w:rFonts w:ascii="Times New Roman" w:hAnsi="Times New Roman"/>
          <w:color w:val="000000" w:themeColor="text1"/>
          <w:sz w:val="16"/>
          <w:szCs w:val="16"/>
        </w:rPr>
        <w:t>своимипостоянными</w:t>
      </w:r>
      <w:proofErr w:type="spellEnd"/>
      <w:r w:rsidRPr="00A259BD">
        <w:rPr>
          <w:rFonts w:ascii="Times New Roman" w:hAnsi="Times New Roman"/>
          <w:color w:val="000000" w:themeColor="text1"/>
          <w:sz w:val="16"/>
          <w:szCs w:val="16"/>
        </w:rPr>
        <w:t xml:space="preserve"> налетами на Англию, поми</w:t>
      </w:r>
      <w:r w:rsidRPr="00A259BD">
        <w:rPr>
          <w:rFonts w:ascii="Times New Roman" w:hAnsi="Times New Roman"/>
          <w:color w:val="000000" w:themeColor="text1"/>
          <w:sz w:val="16"/>
          <w:szCs w:val="16"/>
        </w:rPr>
        <w:softHyphen/>
        <w:t>мо непосредственных разрушений от бомб весом 300 кг, поми</w:t>
      </w:r>
      <w:r w:rsidRPr="00A259BD">
        <w:rPr>
          <w:rFonts w:ascii="Times New Roman" w:hAnsi="Times New Roman"/>
          <w:color w:val="000000" w:themeColor="text1"/>
          <w:sz w:val="16"/>
          <w:szCs w:val="16"/>
        </w:rPr>
        <w:softHyphen/>
        <w:t>мо морального действия на население, помимо постоянного приковывания к тылу значительных средств противовоздушной обороны, нарушали торговлю и транспорт приостановкой всего сообщения при налетах.</w:t>
      </w:r>
    </w:p>
    <w:p w14:paraId="54EF47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Современный дирижабль,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около 100,000 м</w:t>
      </w:r>
      <w:r w:rsidRPr="00A259BD">
        <w:rPr>
          <w:rFonts w:ascii="Times New Roman" w:hAnsi="Times New Roman"/>
          <w:color w:val="000000" w:themeColor="text1"/>
          <w:sz w:val="16"/>
          <w:szCs w:val="16"/>
          <w:vertAlign w:val="superscript"/>
        </w:rPr>
        <w:t>3</w:t>
      </w:r>
      <w:r w:rsidRPr="00A259BD">
        <w:rPr>
          <w:rFonts w:ascii="Times New Roman" w:hAnsi="Times New Roman"/>
          <w:color w:val="000000" w:themeColor="text1"/>
          <w:sz w:val="16"/>
          <w:szCs w:val="16"/>
        </w:rPr>
        <w:t>, при полном боевом снаряжении с самолетами на борту может нес</w:t>
      </w:r>
      <w:r w:rsidRPr="00A259BD">
        <w:rPr>
          <w:rFonts w:ascii="Times New Roman" w:hAnsi="Times New Roman"/>
          <w:color w:val="000000" w:themeColor="text1"/>
          <w:sz w:val="16"/>
          <w:szCs w:val="16"/>
        </w:rPr>
        <w:softHyphen/>
        <w:t>ти 10 тонн бомб на радиусе Лондон-Москва.</w:t>
      </w:r>
    </w:p>
    <w:p w14:paraId="7A8D0C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Наконец в совместной работе с морским боевыми соеди</w:t>
      </w:r>
      <w:r w:rsidRPr="00A259BD">
        <w:rPr>
          <w:rFonts w:ascii="Times New Roman" w:hAnsi="Times New Roman"/>
          <w:color w:val="000000" w:themeColor="text1"/>
          <w:sz w:val="16"/>
          <w:szCs w:val="16"/>
        </w:rPr>
        <w:softHyphen/>
        <w:t xml:space="preserve">нениями и авиацией действия дирижаблей могут развернуться </w:t>
      </w:r>
      <w:proofErr w:type="spellStart"/>
      <w:r w:rsidRPr="00A259BD">
        <w:rPr>
          <w:rFonts w:ascii="Times New Roman" w:hAnsi="Times New Roman"/>
          <w:color w:val="000000" w:themeColor="text1"/>
          <w:sz w:val="16"/>
          <w:szCs w:val="16"/>
        </w:rPr>
        <w:t>целесообразно,особенно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новью,при</w:t>
      </w:r>
      <w:proofErr w:type="spellEnd"/>
      <w:r w:rsidRPr="00A259BD">
        <w:rPr>
          <w:rFonts w:ascii="Times New Roman" w:hAnsi="Times New Roman"/>
          <w:color w:val="000000" w:themeColor="text1"/>
          <w:sz w:val="16"/>
          <w:szCs w:val="16"/>
        </w:rPr>
        <w:t xml:space="preserve"> производстве морских </w:t>
      </w:r>
      <w:proofErr w:type="spellStart"/>
      <w:r w:rsidRPr="00A259BD">
        <w:rPr>
          <w:rFonts w:ascii="Times New Roman" w:hAnsi="Times New Roman"/>
          <w:color w:val="000000" w:themeColor="text1"/>
          <w:sz w:val="16"/>
          <w:szCs w:val="16"/>
        </w:rPr>
        <w:t>операций,имеющих</w:t>
      </w:r>
      <w:proofErr w:type="spellEnd"/>
      <w:r w:rsidRPr="00A259BD">
        <w:rPr>
          <w:rFonts w:ascii="Times New Roman" w:hAnsi="Times New Roman"/>
          <w:color w:val="000000" w:themeColor="text1"/>
          <w:sz w:val="16"/>
          <w:szCs w:val="16"/>
        </w:rPr>
        <w:t xml:space="preserve"> целью высадку своих сил на неприятельскую территорию, или, наоборот, противодействие высадке не</w:t>
      </w:r>
      <w:r w:rsidRPr="00A259BD">
        <w:rPr>
          <w:rFonts w:ascii="Times New Roman" w:hAnsi="Times New Roman"/>
          <w:color w:val="000000" w:themeColor="text1"/>
          <w:sz w:val="16"/>
          <w:szCs w:val="16"/>
        </w:rPr>
        <w:softHyphen/>
        <w:t>приятеля. Дирижабль может с успехом действовать совместно с флотом при ночных бомбардировках неприятельского бере</w:t>
      </w:r>
      <w:r w:rsidRPr="00A259BD">
        <w:rPr>
          <w:rFonts w:ascii="Times New Roman" w:hAnsi="Times New Roman"/>
          <w:color w:val="000000" w:themeColor="text1"/>
          <w:sz w:val="16"/>
          <w:szCs w:val="16"/>
        </w:rPr>
        <w:softHyphen/>
        <w:t>га, содействуя дезорганизации противника и увеличению у него паники.</w:t>
      </w:r>
    </w:p>
    <w:p w14:paraId="102E61C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службе флота могут иметь полезное применение в за</w:t>
      </w:r>
      <w:r w:rsidRPr="00A259BD">
        <w:rPr>
          <w:rFonts w:ascii="Times New Roman" w:hAnsi="Times New Roman"/>
          <w:color w:val="000000" w:themeColor="text1"/>
          <w:sz w:val="16"/>
          <w:szCs w:val="16"/>
        </w:rPr>
        <w:softHyphen/>
        <w:t>висимости от назначения дирижабли самых различных куба</w:t>
      </w:r>
      <w:r w:rsidRPr="00A259BD">
        <w:rPr>
          <w:rFonts w:ascii="Times New Roman" w:hAnsi="Times New Roman"/>
          <w:color w:val="000000" w:themeColor="text1"/>
          <w:sz w:val="16"/>
          <w:szCs w:val="16"/>
        </w:rPr>
        <w:softHyphen/>
        <w:t>тур: малые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до 10,000 м</w:t>
      </w:r>
      <w:r w:rsidRPr="00A259BD">
        <w:rPr>
          <w:rFonts w:ascii="Times New Roman" w:hAnsi="Times New Roman"/>
          <w:color w:val="000000" w:themeColor="text1"/>
          <w:sz w:val="16"/>
          <w:szCs w:val="16"/>
          <w:vertAlign w:val="superscript"/>
        </w:rPr>
        <w:t>3</w:t>
      </w:r>
      <w:r w:rsidRPr="00A259BD">
        <w:rPr>
          <w:rFonts w:ascii="Times New Roman" w:hAnsi="Times New Roman"/>
          <w:color w:val="000000" w:themeColor="text1"/>
          <w:sz w:val="16"/>
          <w:szCs w:val="16"/>
        </w:rPr>
        <w:t>/, средние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от 10,000 до 25,000 м</w:t>
      </w:r>
      <w:r w:rsidRPr="00A259BD">
        <w:rPr>
          <w:rFonts w:ascii="Times New Roman" w:hAnsi="Times New Roman"/>
          <w:color w:val="000000" w:themeColor="text1"/>
          <w:sz w:val="16"/>
          <w:szCs w:val="16"/>
          <w:vertAlign w:val="superscript"/>
        </w:rPr>
        <w:t>3</w:t>
      </w:r>
      <w:r w:rsidRPr="00A259BD">
        <w:rPr>
          <w:rFonts w:ascii="Times New Roman" w:hAnsi="Times New Roman"/>
          <w:color w:val="000000" w:themeColor="text1"/>
          <w:sz w:val="16"/>
          <w:szCs w:val="16"/>
        </w:rPr>
        <w:t>/ и большие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свыше 100.000 м3/. Для наблюдательной береговой службы и борьбы с </w:t>
      </w:r>
      <w:proofErr w:type="spellStart"/>
      <w:r w:rsidRPr="00A259BD">
        <w:rPr>
          <w:rFonts w:ascii="Times New Roman" w:hAnsi="Times New Roman"/>
          <w:color w:val="000000" w:themeColor="text1"/>
          <w:sz w:val="16"/>
          <w:szCs w:val="16"/>
        </w:rPr>
        <w:t>подвоными</w:t>
      </w:r>
      <w:proofErr w:type="spellEnd"/>
      <w:r w:rsidRPr="00A259BD">
        <w:rPr>
          <w:rFonts w:ascii="Times New Roman" w:hAnsi="Times New Roman"/>
          <w:color w:val="000000" w:themeColor="text1"/>
          <w:sz w:val="16"/>
          <w:szCs w:val="16"/>
        </w:rPr>
        <w:t xml:space="preserve"> лодками наиболее целесообразно применение малых </w:t>
      </w:r>
      <w:proofErr w:type="spellStart"/>
      <w:r w:rsidRPr="00A259BD">
        <w:rPr>
          <w:rFonts w:ascii="Times New Roman" w:hAnsi="Times New Roman"/>
          <w:color w:val="000000" w:themeColor="text1"/>
          <w:sz w:val="16"/>
          <w:szCs w:val="16"/>
        </w:rPr>
        <w:t>дирижабоей</w:t>
      </w:r>
      <w:proofErr w:type="spellEnd"/>
      <w:r w:rsidRPr="00A259BD">
        <w:rPr>
          <w:rFonts w:ascii="Times New Roman" w:hAnsi="Times New Roman"/>
          <w:color w:val="000000" w:themeColor="text1"/>
          <w:sz w:val="16"/>
          <w:szCs w:val="16"/>
        </w:rPr>
        <w:t xml:space="preserve">, как наиболее экономичных, по своей </w:t>
      </w:r>
      <w:proofErr w:type="spellStart"/>
      <w:r w:rsidRPr="00A259BD">
        <w:rPr>
          <w:rFonts w:ascii="Times New Roman" w:hAnsi="Times New Roman"/>
          <w:color w:val="000000" w:themeColor="text1"/>
          <w:sz w:val="16"/>
          <w:szCs w:val="16"/>
        </w:rPr>
        <w:t>зксплоатации</w:t>
      </w:r>
      <w:proofErr w:type="spellEnd"/>
      <w:r w:rsidRPr="00A259BD">
        <w:rPr>
          <w:rFonts w:ascii="Times New Roman" w:hAnsi="Times New Roman"/>
          <w:color w:val="000000" w:themeColor="text1"/>
          <w:sz w:val="16"/>
          <w:szCs w:val="16"/>
        </w:rPr>
        <w:t xml:space="preserve"> и требующих для своей стоянки более простого оборудования</w:t>
      </w:r>
      <w:r w:rsidRPr="00A259BD">
        <w:rPr>
          <w:rFonts w:ascii="Times New Roman" w:hAnsi="Times New Roman"/>
          <w:smallCaps/>
          <w:color w:val="000000" w:themeColor="text1"/>
          <w:sz w:val="16"/>
          <w:szCs w:val="16"/>
        </w:rPr>
        <w:t xml:space="preserve">. </w:t>
      </w:r>
      <w:r w:rsidRPr="00A259BD">
        <w:rPr>
          <w:rFonts w:ascii="Times New Roman" w:hAnsi="Times New Roman"/>
          <w:color w:val="000000" w:themeColor="text1"/>
          <w:sz w:val="16"/>
          <w:szCs w:val="16"/>
        </w:rPr>
        <w:t>Для сопровождения судов могут применяться как малые, та к и средние дирижабли, зависимости от того, ограничивается ли служба сопровождения только выводом из порта, пока со</w:t>
      </w:r>
      <w:r w:rsidRPr="00A259BD">
        <w:rPr>
          <w:rFonts w:ascii="Times New Roman" w:hAnsi="Times New Roman"/>
          <w:color w:val="000000" w:themeColor="text1"/>
          <w:sz w:val="16"/>
          <w:szCs w:val="16"/>
        </w:rPr>
        <w:softHyphen/>
        <w:t>провождаемое судно не достигнет открытого моря, или сопро</w:t>
      </w:r>
      <w:r w:rsidRPr="00A259BD">
        <w:rPr>
          <w:rFonts w:ascii="Times New Roman" w:hAnsi="Times New Roman"/>
          <w:color w:val="000000" w:themeColor="text1"/>
          <w:sz w:val="16"/>
          <w:szCs w:val="16"/>
        </w:rPr>
        <w:softHyphen/>
        <w:t>вождение должно продолжаться в течение всего перехода судна. Если расположение баз позволяет производить смену малых дирижаблей, то в последнем случае надобность в дирижаблях средней кубатуры может отпасть. Дозорная служба в море мо</w:t>
      </w:r>
      <w:r w:rsidRPr="00A259BD">
        <w:rPr>
          <w:rFonts w:ascii="Times New Roman" w:hAnsi="Times New Roman"/>
          <w:color w:val="000000" w:themeColor="text1"/>
          <w:sz w:val="16"/>
          <w:szCs w:val="16"/>
        </w:rPr>
        <w:softHyphen/>
        <w:t>жет производится как малыми, так и средними дирижаблями. Наконец, для дальней разведки, бомбардирования и совместной работы с флотом при производстве морских операций, естест</w:t>
      </w:r>
      <w:r w:rsidRPr="00A259BD">
        <w:rPr>
          <w:rFonts w:ascii="Times New Roman" w:hAnsi="Times New Roman"/>
          <w:color w:val="000000" w:themeColor="text1"/>
          <w:sz w:val="16"/>
          <w:szCs w:val="16"/>
        </w:rPr>
        <w:softHyphen/>
        <w:t>венно, с наибольшей пользой могут применяться большие ди</w:t>
      </w:r>
      <w:r w:rsidRPr="00A259BD">
        <w:rPr>
          <w:rFonts w:ascii="Times New Roman" w:hAnsi="Times New Roman"/>
          <w:color w:val="000000" w:themeColor="text1"/>
          <w:sz w:val="16"/>
          <w:szCs w:val="16"/>
        </w:rPr>
        <w:softHyphen/>
        <w:t>рижабли, но не исключается и применение дирижаблей средней кубатуры.</w:t>
      </w:r>
    </w:p>
    <w:p w14:paraId="5E694B2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касается применения дирижаблей на сухопутном фрон</w:t>
      </w:r>
      <w:r w:rsidRPr="00A259BD">
        <w:rPr>
          <w:rFonts w:ascii="Times New Roman" w:hAnsi="Times New Roman"/>
          <w:color w:val="000000" w:themeColor="text1"/>
          <w:sz w:val="16"/>
          <w:szCs w:val="16"/>
        </w:rPr>
        <w:softHyphen/>
        <w:t>те, т о здесь главными боевыми задачами их являются мощное бомбометание по административным и промышленным центрам, а также и по другим крупным военным целям в глубоком ты</w:t>
      </w:r>
      <w:r w:rsidRPr="00A259BD">
        <w:rPr>
          <w:rFonts w:ascii="Times New Roman" w:hAnsi="Times New Roman"/>
          <w:color w:val="000000" w:themeColor="text1"/>
          <w:sz w:val="16"/>
          <w:szCs w:val="16"/>
        </w:rPr>
        <w:softHyphen/>
        <w:t>лу противника, и поддержание связи и транспортирование боевых грузов для отдаленных участков военных действий. В ча</w:t>
      </w:r>
      <w:r w:rsidRPr="00A259BD">
        <w:rPr>
          <w:rFonts w:ascii="Times New Roman" w:hAnsi="Times New Roman"/>
          <w:color w:val="000000" w:themeColor="text1"/>
          <w:sz w:val="16"/>
          <w:szCs w:val="16"/>
        </w:rPr>
        <w:softHyphen/>
        <w:t>стности для СССР при его громадных расстояниях от окраин /Сибирь, Забайкалье, Приамурье, Туркестан, Закавказье/ дири</w:t>
      </w:r>
      <w:r w:rsidRPr="00A259BD">
        <w:rPr>
          <w:rFonts w:ascii="Times New Roman" w:hAnsi="Times New Roman"/>
          <w:color w:val="000000" w:themeColor="text1"/>
          <w:sz w:val="16"/>
          <w:szCs w:val="16"/>
        </w:rPr>
        <w:softHyphen/>
        <w:t xml:space="preserve">жабль, как средство связи, должен иметь особое значение. Для выполнения этих задач, естественно должны быть привлекаемы дирижабли , </w:t>
      </w:r>
      <w:proofErr w:type="spellStart"/>
      <w:r w:rsidRPr="00A259BD">
        <w:rPr>
          <w:rFonts w:ascii="Times New Roman" w:hAnsi="Times New Roman"/>
          <w:color w:val="000000" w:themeColor="text1"/>
          <w:sz w:val="16"/>
          <w:szCs w:val="16"/>
        </w:rPr>
        <w:t>облдающие</w:t>
      </w:r>
      <w:proofErr w:type="spellEnd"/>
      <w:r w:rsidRPr="00A259BD">
        <w:rPr>
          <w:rFonts w:ascii="Times New Roman" w:hAnsi="Times New Roman"/>
          <w:color w:val="000000" w:themeColor="text1"/>
          <w:sz w:val="16"/>
          <w:szCs w:val="16"/>
        </w:rPr>
        <w:t xml:space="preserve"> большим радиусом </w:t>
      </w:r>
      <w:proofErr w:type="spellStart"/>
      <w:r w:rsidRPr="00A259BD">
        <w:rPr>
          <w:rFonts w:ascii="Times New Roman" w:hAnsi="Times New Roman"/>
          <w:color w:val="000000" w:themeColor="text1"/>
          <w:sz w:val="16"/>
          <w:szCs w:val="16"/>
        </w:rPr>
        <w:t>деиствия</w:t>
      </w:r>
      <w:proofErr w:type="spellEnd"/>
      <w:r w:rsidRPr="00A259BD">
        <w:rPr>
          <w:rFonts w:ascii="Times New Roman" w:hAnsi="Times New Roman"/>
          <w:color w:val="000000" w:themeColor="text1"/>
          <w:sz w:val="16"/>
          <w:szCs w:val="16"/>
        </w:rPr>
        <w:t xml:space="preserve"> , большей полезной </w:t>
      </w:r>
      <w:proofErr w:type="spellStart"/>
      <w:r w:rsidRPr="00A259BD">
        <w:rPr>
          <w:rFonts w:ascii="Times New Roman" w:hAnsi="Times New Roman"/>
          <w:color w:val="000000" w:themeColor="text1"/>
          <w:sz w:val="16"/>
          <w:szCs w:val="16"/>
        </w:rPr>
        <w:t>грузопод"емност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ью</w:t>
      </w:r>
      <w:proofErr w:type="spellEnd"/>
      <w:r w:rsidRPr="00A259BD">
        <w:rPr>
          <w:rFonts w:ascii="Times New Roman" w:hAnsi="Times New Roman"/>
          <w:color w:val="000000" w:themeColor="text1"/>
          <w:sz w:val="16"/>
          <w:szCs w:val="16"/>
        </w:rPr>
        <w:t>, могущей обеспечить мощность бомбометания, высоким потолком и надежно вооруженные для обороны от самолетов противника /большие и средние дири</w:t>
      </w:r>
      <w:r w:rsidRPr="00A259BD">
        <w:rPr>
          <w:rFonts w:ascii="Times New Roman" w:hAnsi="Times New Roman"/>
          <w:color w:val="000000" w:themeColor="text1"/>
          <w:sz w:val="16"/>
          <w:szCs w:val="16"/>
        </w:rPr>
        <w:softHyphen/>
        <w:t>жабли/.</w:t>
      </w:r>
    </w:p>
    <w:p w14:paraId="08761F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Указанная работа дирижаблем по бомбардированию тыла противника имеет особенно важное значение во время про</w:t>
      </w:r>
      <w:r w:rsidRPr="00A259BD">
        <w:rPr>
          <w:rFonts w:ascii="Times New Roman" w:hAnsi="Times New Roman"/>
          <w:color w:val="000000" w:themeColor="text1"/>
          <w:sz w:val="16"/>
          <w:szCs w:val="16"/>
        </w:rPr>
        <w:softHyphen/>
        <w:t xml:space="preserve">изводства </w:t>
      </w:r>
      <w:proofErr w:type="spellStart"/>
      <w:r w:rsidRPr="00A259BD">
        <w:rPr>
          <w:rFonts w:ascii="Times New Roman" w:hAnsi="Times New Roman"/>
          <w:color w:val="000000" w:themeColor="text1"/>
          <w:sz w:val="16"/>
          <w:szCs w:val="16"/>
        </w:rPr>
        <w:t>мобилизации,развертывания</w:t>
      </w:r>
      <w:proofErr w:type="spellEnd"/>
      <w:r w:rsidRPr="00A259BD">
        <w:rPr>
          <w:rFonts w:ascii="Times New Roman" w:hAnsi="Times New Roman"/>
          <w:color w:val="000000" w:themeColor="text1"/>
          <w:sz w:val="16"/>
          <w:szCs w:val="16"/>
        </w:rPr>
        <w:t xml:space="preserve"> сил противника и </w:t>
      </w:r>
      <w:r w:rsidRPr="00A259BD">
        <w:rPr>
          <w:rFonts w:ascii="Times New Roman" w:hAnsi="Times New Roman"/>
          <w:smallCaps/>
          <w:color w:val="000000" w:themeColor="text1"/>
          <w:sz w:val="16"/>
          <w:szCs w:val="16"/>
        </w:rPr>
        <w:t xml:space="preserve">р </w:t>
      </w:r>
      <w:r w:rsidRPr="00A259BD">
        <w:rPr>
          <w:rFonts w:ascii="Times New Roman" w:hAnsi="Times New Roman"/>
          <w:color w:val="000000" w:themeColor="text1"/>
          <w:sz w:val="16"/>
          <w:szCs w:val="16"/>
        </w:rPr>
        <w:t>первый период боевых; действий.</w:t>
      </w:r>
    </w:p>
    <w:p w14:paraId="36A8C1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w:t>
      </w:r>
      <w:proofErr w:type="spellStart"/>
      <w:r w:rsidRPr="00A259BD">
        <w:rPr>
          <w:rFonts w:ascii="Times New Roman" w:hAnsi="Times New Roman"/>
          <w:color w:val="000000" w:themeColor="text1"/>
          <w:sz w:val="16"/>
          <w:szCs w:val="16"/>
        </w:rPr>
        <w:t>об"явлением</w:t>
      </w:r>
      <w:proofErr w:type="spellEnd"/>
      <w:r w:rsidRPr="00A259BD">
        <w:rPr>
          <w:rFonts w:ascii="Times New Roman" w:hAnsi="Times New Roman"/>
          <w:color w:val="000000" w:themeColor="text1"/>
          <w:sz w:val="16"/>
          <w:szCs w:val="16"/>
        </w:rPr>
        <w:t xml:space="preserve"> боевых, действий, дирижабли могуч немед</w:t>
      </w:r>
      <w:r w:rsidRPr="00A259BD">
        <w:rPr>
          <w:rFonts w:ascii="Times New Roman" w:hAnsi="Times New Roman"/>
          <w:color w:val="000000" w:themeColor="text1"/>
          <w:sz w:val="16"/>
          <w:szCs w:val="16"/>
        </w:rPr>
        <w:softHyphen/>
        <w:t xml:space="preserve">ленно приступить к боевой </w:t>
      </w:r>
      <w:proofErr w:type="spellStart"/>
      <w:r w:rsidRPr="00A259BD">
        <w:rPr>
          <w:rFonts w:ascii="Times New Roman" w:hAnsi="Times New Roman"/>
          <w:color w:val="000000" w:themeColor="text1"/>
          <w:sz w:val="16"/>
          <w:szCs w:val="16"/>
        </w:rPr>
        <w:t>работе,отправляясь</w:t>
      </w:r>
      <w:proofErr w:type="spellEnd"/>
      <w:r w:rsidRPr="00A259BD">
        <w:rPr>
          <w:rFonts w:ascii="Times New Roman" w:hAnsi="Times New Roman"/>
          <w:color w:val="000000" w:themeColor="text1"/>
          <w:sz w:val="16"/>
          <w:szCs w:val="16"/>
        </w:rPr>
        <w:t xml:space="preserve"> из обычно</w:t>
      </w:r>
      <w:r w:rsidRPr="00A259BD">
        <w:rPr>
          <w:rFonts w:ascii="Times New Roman" w:hAnsi="Times New Roman"/>
          <w:color w:val="000000" w:themeColor="text1"/>
          <w:sz w:val="16"/>
          <w:szCs w:val="16"/>
        </w:rPr>
        <w:softHyphen/>
        <w:t xml:space="preserve">го своего </w:t>
      </w:r>
      <w:proofErr w:type="spellStart"/>
      <w:r w:rsidRPr="00A259BD">
        <w:rPr>
          <w:rFonts w:ascii="Times New Roman" w:hAnsi="Times New Roman"/>
          <w:color w:val="000000" w:themeColor="text1"/>
          <w:sz w:val="16"/>
          <w:szCs w:val="16"/>
        </w:rPr>
        <w:t>местоэавпвдвжйния.без</w:t>
      </w:r>
      <w:proofErr w:type="spellEnd"/>
      <w:r w:rsidRPr="00A259BD">
        <w:rPr>
          <w:rFonts w:ascii="Times New Roman" w:hAnsi="Times New Roman"/>
          <w:color w:val="000000" w:themeColor="text1"/>
          <w:sz w:val="16"/>
          <w:szCs w:val="16"/>
        </w:rPr>
        <w:t xml:space="preserve"> всяких предварительных </w:t>
      </w:r>
      <w:proofErr w:type="spellStart"/>
      <w:r w:rsidRPr="00A259BD">
        <w:rPr>
          <w:rFonts w:ascii="Times New Roman" w:hAnsi="Times New Roman"/>
          <w:color w:val="000000" w:themeColor="text1"/>
          <w:sz w:val="16"/>
          <w:szCs w:val="16"/>
        </w:rPr>
        <w:t>перебросок,которые</w:t>
      </w:r>
      <w:proofErr w:type="spellEnd"/>
      <w:r w:rsidRPr="00A259BD">
        <w:rPr>
          <w:rFonts w:ascii="Times New Roman" w:hAnsi="Times New Roman"/>
          <w:color w:val="000000" w:themeColor="text1"/>
          <w:sz w:val="16"/>
          <w:szCs w:val="16"/>
        </w:rPr>
        <w:t xml:space="preserve"> всегда влекут за собой перерыв дея</w:t>
      </w:r>
      <w:r w:rsidRPr="00A259BD">
        <w:rPr>
          <w:rFonts w:ascii="Times New Roman" w:hAnsi="Times New Roman"/>
          <w:color w:val="000000" w:themeColor="text1"/>
          <w:sz w:val="16"/>
          <w:szCs w:val="16"/>
        </w:rPr>
        <w:softHyphen/>
        <w:t xml:space="preserve">тельности и потерю </w:t>
      </w:r>
      <w:proofErr w:type="spellStart"/>
      <w:r w:rsidRPr="00A259BD">
        <w:rPr>
          <w:rFonts w:ascii="Times New Roman" w:hAnsi="Times New Roman"/>
          <w:color w:val="000000" w:themeColor="text1"/>
          <w:sz w:val="16"/>
          <w:szCs w:val="16"/>
        </w:rPr>
        <w:t>времени.Бомбардировка</w:t>
      </w:r>
      <w:proofErr w:type="spellEnd"/>
      <w:r w:rsidRPr="00A259BD">
        <w:rPr>
          <w:rFonts w:ascii="Times New Roman" w:hAnsi="Times New Roman"/>
          <w:color w:val="000000" w:themeColor="text1"/>
          <w:sz w:val="16"/>
          <w:szCs w:val="16"/>
        </w:rPr>
        <w:t xml:space="preserve"> дирижаблями в период мобилизации и развертывания сил противника жизнен</w:t>
      </w:r>
      <w:r w:rsidRPr="00A259BD">
        <w:rPr>
          <w:rFonts w:ascii="Times New Roman" w:hAnsi="Times New Roman"/>
          <w:color w:val="000000" w:themeColor="text1"/>
          <w:sz w:val="16"/>
          <w:szCs w:val="16"/>
        </w:rPr>
        <w:softHyphen/>
        <w:t xml:space="preserve">ных: железнодорожных: </w:t>
      </w:r>
      <w:proofErr w:type="spellStart"/>
      <w:r w:rsidRPr="00A259BD">
        <w:rPr>
          <w:rFonts w:ascii="Times New Roman" w:hAnsi="Times New Roman"/>
          <w:color w:val="000000" w:themeColor="text1"/>
          <w:sz w:val="16"/>
          <w:szCs w:val="16"/>
        </w:rPr>
        <w:t>центров,мест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концентрацил</w:t>
      </w:r>
      <w:proofErr w:type="spellEnd"/>
      <w:r w:rsidRPr="00A259BD">
        <w:rPr>
          <w:rFonts w:ascii="Times New Roman" w:hAnsi="Times New Roman"/>
          <w:color w:val="000000" w:themeColor="text1"/>
          <w:sz w:val="16"/>
          <w:szCs w:val="16"/>
        </w:rPr>
        <w:t xml:space="preserve"> и сбора войск противника,^</w:t>
      </w:r>
      <w:r w:rsidRPr="00A259BD">
        <w:rPr>
          <w:rFonts w:ascii="Times New Roman" w:hAnsi="Times New Roman"/>
          <w:color w:val="000000" w:themeColor="text1"/>
          <w:sz w:val="16"/>
          <w:szCs w:val="16"/>
          <w:vertAlign w:val="superscript"/>
        </w:rPr>
        <w:t>1</w:t>
      </w:r>
      <w:r w:rsidRPr="00A259BD">
        <w:rPr>
          <w:rFonts w:ascii="Times New Roman" w:hAnsi="Times New Roman"/>
          <w:color w:val="000000" w:themeColor="text1"/>
          <w:sz w:val="16"/>
          <w:szCs w:val="16"/>
        </w:rPr>
        <w:t xml:space="preserve">!ериалу ной части и т.п. может </w:t>
      </w:r>
      <w:proofErr w:type="spellStart"/>
      <w:r w:rsidRPr="00A259BD">
        <w:rPr>
          <w:rFonts w:ascii="Times New Roman" w:hAnsi="Times New Roman"/>
          <w:color w:val="000000" w:themeColor="text1"/>
          <w:sz w:val="16"/>
          <w:szCs w:val="16"/>
        </w:rPr>
        <w:t>т.ать</w:t>
      </w:r>
      <w:proofErr w:type="spellEnd"/>
      <w:r w:rsidRPr="00A259BD">
        <w:rPr>
          <w:rFonts w:ascii="Times New Roman" w:hAnsi="Times New Roman"/>
          <w:color w:val="000000" w:themeColor="text1"/>
          <w:sz w:val="16"/>
          <w:szCs w:val="16"/>
        </w:rPr>
        <w:t xml:space="preserve"> отличные результаты в этот первый период </w:t>
      </w:r>
      <w:proofErr w:type="spellStart"/>
      <w:r w:rsidRPr="00A259BD">
        <w:rPr>
          <w:rFonts w:ascii="Times New Roman" w:hAnsi="Times New Roman"/>
          <w:color w:val="000000" w:themeColor="text1"/>
          <w:sz w:val="16"/>
          <w:szCs w:val="16"/>
        </w:rPr>
        <w:t>войны,когда</w:t>
      </w:r>
      <w:proofErr w:type="spellEnd"/>
      <w:r w:rsidRPr="00A259BD">
        <w:rPr>
          <w:rFonts w:ascii="Times New Roman" w:hAnsi="Times New Roman"/>
          <w:color w:val="000000" w:themeColor="text1"/>
          <w:sz w:val="16"/>
          <w:szCs w:val="16"/>
        </w:rPr>
        <w:t xml:space="preserve"> противник не развернул еще деятельности противовоздуш</w:t>
      </w:r>
      <w:r w:rsidRPr="00A259BD">
        <w:rPr>
          <w:rFonts w:ascii="Times New Roman" w:hAnsi="Times New Roman"/>
          <w:color w:val="000000" w:themeColor="text1"/>
          <w:sz w:val="16"/>
          <w:szCs w:val="16"/>
        </w:rPr>
        <w:softHyphen/>
        <w:t xml:space="preserve">ной обороны и не приобрел </w:t>
      </w:r>
      <w:proofErr w:type="spellStart"/>
      <w:r w:rsidRPr="00A259BD">
        <w:rPr>
          <w:rFonts w:ascii="Times New Roman" w:hAnsi="Times New Roman"/>
          <w:color w:val="000000" w:themeColor="text1"/>
          <w:sz w:val="16"/>
          <w:szCs w:val="16"/>
        </w:rPr>
        <w:t>ел.е</w:t>
      </w:r>
      <w:proofErr w:type="spellEnd"/>
      <w:r w:rsidRPr="00A259BD">
        <w:rPr>
          <w:rFonts w:ascii="Times New Roman" w:hAnsi="Times New Roman"/>
          <w:color w:val="000000" w:themeColor="text1"/>
          <w:sz w:val="16"/>
          <w:szCs w:val="16"/>
        </w:rPr>
        <w:t xml:space="preserve"> достаточного навыка в об</w:t>
      </w:r>
      <w:r w:rsidRPr="00A259BD">
        <w:rPr>
          <w:rFonts w:ascii="Times New Roman" w:hAnsi="Times New Roman"/>
          <w:color w:val="000000" w:themeColor="text1"/>
          <w:sz w:val="16"/>
          <w:szCs w:val="16"/>
        </w:rPr>
        <w:softHyphen/>
        <w:t xml:space="preserve">наружении и открытии в ночное время огня по воздушным </w:t>
      </w:r>
      <w:proofErr w:type="spellStart"/>
      <w:r w:rsidRPr="00A259BD">
        <w:rPr>
          <w:rFonts w:ascii="Times New Roman" w:hAnsi="Times New Roman"/>
          <w:color w:val="000000" w:themeColor="text1"/>
          <w:sz w:val="16"/>
          <w:szCs w:val="16"/>
        </w:rPr>
        <w:t>целям.С</w:t>
      </w:r>
      <w:proofErr w:type="spellEnd"/>
      <w:r w:rsidRPr="00A259BD">
        <w:rPr>
          <w:rFonts w:ascii="Times New Roman" w:hAnsi="Times New Roman"/>
          <w:color w:val="000000" w:themeColor="text1"/>
          <w:sz w:val="16"/>
          <w:szCs w:val="16"/>
        </w:rPr>
        <w:t xml:space="preserve"> развитием военных действий л </w:t>
      </w:r>
      <w:proofErr w:type="spellStart"/>
      <w:r w:rsidRPr="00A259BD">
        <w:rPr>
          <w:rFonts w:ascii="Times New Roman" w:hAnsi="Times New Roman"/>
          <w:color w:val="000000" w:themeColor="text1"/>
          <w:sz w:val="16"/>
          <w:szCs w:val="16"/>
        </w:rPr>
        <w:t>разворачивснием</w:t>
      </w:r>
      <w:proofErr w:type="spellEnd"/>
      <w:r w:rsidRPr="00A259BD">
        <w:rPr>
          <w:rFonts w:ascii="Times New Roman" w:hAnsi="Times New Roman"/>
          <w:color w:val="000000" w:themeColor="text1"/>
          <w:sz w:val="16"/>
          <w:szCs w:val="16"/>
        </w:rPr>
        <w:t xml:space="preserve"> противовоздушной обороны выполнение задач, </w:t>
      </w:r>
      <w:proofErr w:type="spellStart"/>
      <w:r w:rsidRPr="00A259BD">
        <w:rPr>
          <w:rFonts w:ascii="Times New Roman" w:hAnsi="Times New Roman"/>
          <w:color w:val="000000" w:themeColor="text1"/>
          <w:sz w:val="16"/>
          <w:szCs w:val="16"/>
        </w:rPr>
        <w:t>бомбарцирора-ния</w:t>
      </w:r>
      <w:proofErr w:type="spellEnd"/>
      <w:r w:rsidRPr="00A259BD">
        <w:rPr>
          <w:rFonts w:ascii="Times New Roman" w:hAnsi="Times New Roman"/>
          <w:color w:val="000000" w:themeColor="text1"/>
          <w:sz w:val="16"/>
          <w:szCs w:val="16"/>
        </w:rPr>
        <w:t xml:space="preserve"> для дирижаблей становится значительно </w:t>
      </w:r>
      <w:proofErr w:type="spellStart"/>
      <w:r w:rsidRPr="00A259BD">
        <w:rPr>
          <w:rFonts w:ascii="Times New Roman" w:hAnsi="Times New Roman"/>
          <w:color w:val="000000" w:themeColor="text1"/>
          <w:sz w:val="16"/>
          <w:szCs w:val="16"/>
        </w:rPr>
        <w:t>трудней,но</w:t>
      </w:r>
      <w:proofErr w:type="spellEnd"/>
      <w:r w:rsidRPr="00A259BD">
        <w:rPr>
          <w:rFonts w:ascii="Times New Roman" w:hAnsi="Times New Roman"/>
          <w:color w:val="000000" w:themeColor="text1"/>
          <w:sz w:val="16"/>
          <w:szCs w:val="16"/>
        </w:rPr>
        <w:t xml:space="preserve"> и в этом случае применение </w:t>
      </w:r>
      <w:proofErr w:type="spellStart"/>
      <w:r w:rsidRPr="00A259BD">
        <w:rPr>
          <w:rFonts w:ascii="Times New Roman" w:hAnsi="Times New Roman"/>
          <w:color w:val="000000" w:themeColor="text1"/>
          <w:sz w:val="16"/>
          <w:szCs w:val="16"/>
        </w:rPr>
        <w:t>дирижаблей,в</w:t>
      </w:r>
      <w:proofErr w:type="spellEnd"/>
      <w:r w:rsidRPr="00A259BD">
        <w:rPr>
          <w:rFonts w:ascii="Times New Roman" w:hAnsi="Times New Roman"/>
          <w:color w:val="000000" w:themeColor="text1"/>
          <w:sz w:val="16"/>
          <w:szCs w:val="16"/>
        </w:rPr>
        <w:t xml:space="preserve"> дополнение к бом</w:t>
      </w:r>
      <w:r w:rsidRPr="00A259BD">
        <w:rPr>
          <w:rFonts w:ascii="Times New Roman" w:hAnsi="Times New Roman"/>
          <w:color w:val="000000" w:themeColor="text1"/>
          <w:sz w:val="16"/>
          <w:szCs w:val="16"/>
        </w:rPr>
        <w:softHyphen/>
        <w:t xml:space="preserve">бардировкам с самолетов, </w:t>
      </w:r>
      <w:proofErr w:type="spellStart"/>
      <w:r w:rsidRPr="00A259BD">
        <w:rPr>
          <w:rFonts w:ascii="Times New Roman" w:hAnsi="Times New Roman"/>
          <w:color w:val="000000" w:themeColor="text1"/>
          <w:sz w:val="16"/>
          <w:szCs w:val="16"/>
        </w:rPr>
        <w:t>бу.цви</w:t>
      </w:r>
      <w:proofErr w:type="spellEnd"/>
      <w:r w:rsidRPr="00A259BD">
        <w:rPr>
          <w:rFonts w:ascii="Times New Roman" w:hAnsi="Times New Roman"/>
          <w:color w:val="000000" w:themeColor="text1"/>
          <w:sz w:val="16"/>
          <w:szCs w:val="16"/>
        </w:rPr>
        <w:t xml:space="preserve"> всегда </w:t>
      </w:r>
      <w:proofErr w:type="spellStart"/>
      <w:r w:rsidRPr="00A259BD">
        <w:rPr>
          <w:rFonts w:ascii="Times New Roman" w:hAnsi="Times New Roman"/>
          <w:color w:val="000000" w:themeColor="text1"/>
          <w:sz w:val="16"/>
          <w:szCs w:val="16"/>
        </w:rPr>
        <w:t>полезным,так</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каь</w:t>
      </w:r>
      <w:proofErr w:type="spellEnd"/>
      <w:r w:rsidRPr="00A259BD">
        <w:rPr>
          <w:rFonts w:ascii="Times New Roman" w:hAnsi="Times New Roman"/>
          <w:color w:val="000000" w:themeColor="text1"/>
          <w:sz w:val="16"/>
          <w:szCs w:val="16"/>
        </w:rPr>
        <w:t xml:space="preserve"> даст возможность держать противника под постоянной угро</w:t>
      </w:r>
      <w:r w:rsidRPr="00A259BD">
        <w:rPr>
          <w:rFonts w:ascii="Times New Roman" w:hAnsi="Times New Roman"/>
          <w:color w:val="000000" w:themeColor="text1"/>
          <w:sz w:val="16"/>
          <w:szCs w:val="16"/>
        </w:rPr>
        <w:softHyphen/>
        <w:t xml:space="preserve">зой бомбардирования как днем /самолетами/, так и ночью /дирижаблями и самолетами/ и заставить его </w:t>
      </w:r>
      <w:proofErr w:type="spellStart"/>
      <w:r w:rsidRPr="00A259BD">
        <w:rPr>
          <w:rFonts w:ascii="Times New Roman" w:hAnsi="Times New Roman"/>
          <w:color w:val="000000" w:themeColor="text1"/>
          <w:sz w:val="16"/>
          <w:szCs w:val="16"/>
        </w:rPr>
        <w:t>рассеиват</w:t>
      </w:r>
      <w:proofErr w:type="spellEnd"/>
      <w:r w:rsidRPr="00A259BD">
        <w:rPr>
          <w:rFonts w:ascii="Times New Roman" w:hAnsi="Times New Roman"/>
          <w:color w:val="000000" w:themeColor="text1"/>
          <w:sz w:val="16"/>
          <w:szCs w:val="16"/>
        </w:rPr>
        <w:t xml:space="preserve">-на возможно широком фронте </w:t>
      </w:r>
      <w:proofErr w:type="spellStart"/>
      <w:r w:rsidRPr="00A259BD">
        <w:rPr>
          <w:rFonts w:ascii="Times New Roman" w:hAnsi="Times New Roman"/>
          <w:color w:val="000000" w:themeColor="text1"/>
          <w:sz w:val="16"/>
          <w:szCs w:val="16"/>
        </w:rPr>
        <w:t>сври</w:t>
      </w:r>
      <w:proofErr w:type="spellEnd"/>
      <w:r w:rsidRPr="00A259BD">
        <w:rPr>
          <w:rFonts w:ascii="Times New Roman" w:hAnsi="Times New Roman"/>
          <w:color w:val="000000" w:themeColor="text1"/>
          <w:sz w:val="16"/>
          <w:szCs w:val="16"/>
        </w:rPr>
        <w:t xml:space="preserve"> средства противовоздушной </w:t>
      </w:r>
      <w:proofErr w:type="spellStart"/>
      <w:r w:rsidRPr="00A259BD">
        <w:rPr>
          <w:rFonts w:ascii="Times New Roman" w:hAnsi="Times New Roman"/>
          <w:color w:val="000000" w:themeColor="text1"/>
          <w:sz w:val="16"/>
          <w:szCs w:val="16"/>
        </w:rPr>
        <w:t>обороны.Как</w:t>
      </w:r>
      <w:proofErr w:type="spellEnd"/>
      <w:r w:rsidRPr="00A259BD">
        <w:rPr>
          <w:rFonts w:ascii="Times New Roman" w:hAnsi="Times New Roman"/>
          <w:color w:val="000000" w:themeColor="text1"/>
          <w:sz w:val="16"/>
          <w:szCs w:val="16"/>
        </w:rPr>
        <w:t xml:space="preserve"> бы ни был снабжен </w:t>
      </w:r>
      <w:proofErr w:type="spellStart"/>
      <w:r w:rsidRPr="00A259BD">
        <w:rPr>
          <w:rFonts w:ascii="Times New Roman" w:hAnsi="Times New Roman"/>
          <w:color w:val="000000" w:themeColor="text1"/>
          <w:sz w:val="16"/>
          <w:szCs w:val="16"/>
        </w:rPr>
        <w:t>протирник</w:t>
      </w:r>
      <w:proofErr w:type="spellEnd"/>
      <w:r w:rsidRPr="00A259BD">
        <w:rPr>
          <w:rFonts w:ascii="Times New Roman" w:hAnsi="Times New Roman"/>
          <w:color w:val="000000" w:themeColor="text1"/>
          <w:sz w:val="16"/>
          <w:szCs w:val="16"/>
        </w:rPr>
        <w:t xml:space="preserve"> этими средствами, дирижабль всегда может найти на неприятельской территории пут. ь наименьшего сопротивления и выполнить поставленную ему задачу.</w:t>
      </w:r>
    </w:p>
    <w:p w14:paraId="0302EDD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Как было указано выше, в настоящее время заграницей идут интенсивные работы по развитию дирижаблей, и техника дирижаблестроения с каждым днем идет вперед усиленным темпом. Благодаря широко поставленным в </w:t>
      </w:r>
      <w:proofErr w:type="spellStart"/>
      <w:r w:rsidRPr="00A259BD">
        <w:rPr>
          <w:rFonts w:ascii="Times New Roman" w:hAnsi="Times New Roman"/>
          <w:color w:val="000000" w:themeColor="text1"/>
          <w:sz w:val="16"/>
          <w:szCs w:val="16"/>
        </w:rPr>
        <w:t>западно</w:t>
      </w:r>
      <w:proofErr w:type="spellEnd"/>
      <w:r w:rsidRPr="00A259BD">
        <w:rPr>
          <w:rFonts w:ascii="Times New Roman" w:hAnsi="Times New Roman"/>
          <w:color w:val="000000" w:themeColor="text1"/>
          <w:sz w:val="16"/>
          <w:szCs w:val="16"/>
        </w:rPr>
        <w:t xml:space="preserve"> европейских государствах и в Америке научно-</w:t>
      </w:r>
      <w:proofErr w:type="spellStart"/>
      <w:r w:rsidRPr="00A259BD">
        <w:rPr>
          <w:rFonts w:ascii="Times New Roman" w:hAnsi="Times New Roman"/>
          <w:color w:val="000000" w:themeColor="text1"/>
          <w:sz w:val="16"/>
          <w:szCs w:val="16"/>
        </w:rPr>
        <w:t>исследовательским"и</w:t>
      </w:r>
      <w:proofErr w:type="spellEnd"/>
      <w:r w:rsidRPr="00A259BD">
        <w:rPr>
          <w:rFonts w:ascii="Times New Roman" w:hAnsi="Times New Roman"/>
          <w:color w:val="000000" w:themeColor="text1"/>
          <w:sz w:val="16"/>
          <w:szCs w:val="16"/>
        </w:rPr>
        <w:t xml:space="preserve"> кон</w:t>
      </w:r>
      <w:r w:rsidRPr="00A259BD">
        <w:rPr>
          <w:rFonts w:ascii="Times New Roman" w:hAnsi="Times New Roman"/>
          <w:color w:val="000000" w:themeColor="text1"/>
          <w:sz w:val="16"/>
          <w:szCs w:val="16"/>
        </w:rPr>
        <w:softHyphen/>
        <w:t xml:space="preserve">структорским </w:t>
      </w:r>
      <w:proofErr w:type="spellStart"/>
      <w:r w:rsidRPr="00A259BD">
        <w:rPr>
          <w:rFonts w:ascii="Times New Roman" w:hAnsi="Times New Roman"/>
          <w:color w:val="000000" w:themeColor="text1"/>
          <w:sz w:val="16"/>
          <w:szCs w:val="16"/>
        </w:rPr>
        <w:t>работам,развитие</w:t>
      </w:r>
      <w:proofErr w:type="spellEnd"/>
      <w:r w:rsidRPr="00A259BD">
        <w:rPr>
          <w:rFonts w:ascii="Times New Roman" w:hAnsi="Times New Roman"/>
          <w:color w:val="000000" w:themeColor="text1"/>
          <w:sz w:val="16"/>
          <w:szCs w:val="16"/>
        </w:rPr>
        <w:t xml:space="preserve"> дирижаблей таит в себе ряд неограниченных возможностей,- как-то чрезвычайно большое увеличение высоты </w:t>
      </w:r>
      <w:proofErr w:type="spellStart"/>
      <w:r w:rsidRPr="00A259BD">
        <w:rPr>
          <w:rFonts w:ascii="Times New Roman" w:hAnsi="Times New Roman"/>
          <w:color w:val="000000" w:themeColor="text1"/>
          <w:sz w:val="16"/>
          <w:szCs w:val="16"/>
        </w:rPr>
        <w:t>полета,возрастание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скорости,устранение</w:t>
      </w:r>
      <w:proofErr w:type="spellEnd"/>
      <w:r w:rsidRPr="00A259BD">
        <w:rPr>
          <w:rFonts w:ascii="Times New Roman" w:hAnsi="Times New Roman"/>
          <w:color w:val="000000" w:themeColor="text1"/>
          <w:sz w:val="16"/>
          <w:szCs w:val="16"/>
        </w:rPr>
        <w:t xml:space="preserve"> воспламеняемости /гелий, нейтральная прослойка, невоспла</w:t>
      </w:r>
      <w:r w:rsidRPr="00A259BD">
        <w:rPr>
          <w:rFonts w:ascii="Times New Roman" w:hAnsi="Times New Roman"/>
          <w:color w:val="000000" w:themeColor="text1"/>
          <w:sz w:val="16"/>
          <w:szCs w:val="16"/>
        </w:rPr>
        <w:softHyphen/>
        <w:t>меняемый водород/, применение газообразного горючего вмес</w:t>
      </w:r>
      <w:r w:rsidRPr="00A259BD">
        <w:rPr>
          <w:rFonts w:ascii="Times New Roman" w:hAnsi="Times New Roman"/>
          <w:color w:val="000000" w:themeColor="text1"/>
          <w:sz w:val="16"/>
          <w:szCs w:val="16"/>
        </w:rPr>
        <w:softHyphen/>
        <w:t xml:space="preserve">то </w:t>
      </w:r>
      <w:proofErr w:type="spellStart"/>
      <w:r w:rsidRPr="00A259BD">
        <w:rPr>
          <w:rFonts w:ascii="Times New Roman" w:hAnsi="Times New Roman"/>
          <w:color w:val="000000" w:themeColor="text1"/>
          <w:sz w:val="16"/>
          <w:szCs w:val="16"/>
        </w:rPr>
        <w:t>жидкого,надежное</w:t>
      </w:r>
      <w:proofErr w:type="spellEnd"/>
      <w:r w:rsidRPr="00A259BD">
        <w:rPr>
          <w:rFonts w:ascii="Times New Roman" w:hAnsi="Times New Roman"/>
          <w:color w:val="000000" w:themeColor="text1"/>
          <w:sz w:val="16"/>
          <w:szCs w:val="16"/>
        </w:rPr>
        <w:t xml:space="preserve"> вооружение большим количеством пуле</w:t>
      </w:r>
      <w:r w:rsidRPr="00A259BD">
        <w:rPr>
          <w:rFonts w:ascii="Times New Roman" w:hAnsi="Times New Roman"/>
          <w:color w:val="000000" w:themeColor="text1"/>
          <w:sz w:val="16"/>
          <w:szCs w:val="16"/>
        </w:rPr>
        <w:softHyphen/>
        <w:t xml:space="preserve">метов и автоматическими </w:t>
      </w:r>
      <w:proofErr w:type="spellStart"/>
      <w:r w:rsidRPr="00A259BD">
        <w:rPr>
          <w:rFonts w:ascii="Times New Roman" w:hAnsi="Times New Roman"/>
          <w:color w:val="000000" w:themeColor="text1"/>
          <w:sz w:val="16"/>
          <w:szCs w:val="16"/>
        </w:rPr>
        <w:t>пушками,взлет</w:t>
      </w:r>
      <w:proofErr w:type="spellEnd"/>
      <w:r w:rsidRPr="00A259BD">
        <w:rPr>
          <w:rFonts w:ascii="Times New Roman" w:hAnsi="Times New Roman"/>
          <w:color w:val="000000" w:themeColor="text1"/>
          <w:sz w:val="16"/>
          <w:szCs w:val="16"/>
        </w:rPr>
        <w:t xml:space="preserve"> и посадка на дири</w:t>
      </w:r>
      <w:r w:rsidRPr="00A259BD">
        <w:rPr>
          <w:rFonts w:ascii="Times New Roman" w:hAnsi="Times New Roman"/>
          <w:color w:val="000000" w:themeColor="text1"/>
          <w:sz w:val="16"/>
          <w:szCs w:val="16"/>
        </w:rPr>
        <w:softHyphen/>
        <w:t xml:space="preserve">жабль </w:t>
      </w:r>
      <w:proofErr w:type="spellStart"/>
      <w:r w:rsidRPr="00A259BD">
        <w:rPr>
          <w:rFonts w:ascii="Times New Roman" w:hAnsi="Times New Roman"/>
          <w:color w:val="000000" w:themeColor="text1"/>
          <w:sz w:val="16"/>
          <w:szCs w:val="16"/>
        </w:rPr>
        <w:t>самолетов,применение</w:t>
      </w:r>
      <w:proofErr w:type="spellEnd"/>
      <w:r w:rsidRPr="00A259BD">
        <w:rPr>
          <w:rFonts w:ascii="Times New Roman" w:hAnsi="Times New Roman"/>
          <w:color w:val="000000" w:themeColor="text1"/>
          <w:sz w:val="16"/>
          <w:szCs w:val="16"/>
        </w:rPr>
        <w:t xml:space="preserve"> дымовых </w:t>
      </w:r>
      <w:proofErr w:type="spellStart"/>
      <w:r w:rsidRPr="00A259BD">
        <w:rPr>
          <w:rFonts w:ascii="Times New Roman" w:hAnsi="Times New Roman"/>
          <w:color w:val="000000" w:themeColor="text1"/>
          <w:sz w:val="16"/>
          <w:szCs w:val="16"/>
        </w:rPr>
        <w:t>завес,укрывающих</w:t>
      </w:r>
      <w:proofErr w:type="spellEnd"/>
      <w:r w:rsidRPr="00A259BD">
        <w:rPr>
          <w:rFonts w:ascii="Times New Roman" w:hAnsi="Times New Roman"/>
          <w:color w:val="000000" w:themeColor="text1"/>
          <w:sz w:val="16"/>
          <w:szCs w:val="16"/>
        </w:rPr>
        <w:t xml:space="preserve"> ди</w:t>
      </w:r>
      <w:r w:rsidRPr="00A259BD">
        <w:rPr>
          <w:rFonts w:ascii="Times New Roman" w:hAnsi="Times New Roman"/>
          <w:color w:val="000000" w:themeColor="text1"/>
          <w:sz w:val="16"/>
          <w:szCs w:val="16"/>
        </w:rPr>
        <w:softHyphen/>
        <w:t xml:space="preserve">рижабль от прожекторов и противовоздушных средств </w:t>
      </w:r>
      <w:proofErr w:type="spellStart"/>
      <w:r w:rsidRPr="00A259BD">
        <w:rPr>
          <w:rFonts w:ascii="Times New Roman" w:hAnsi="Times New Roman"/>
          <w:color w:val="000000" w:themeColor="text1"/>
          <w:sz w:val="16"/>
          <w:szCs w:val="16"/>
        </w:rPr>
        <w:t>оборо</w:t>
      </w:r>
      <w:r w:rsidRPr="00A259BD">
        <w:rPr>
          <w:rFonts w:ascii="Times New Roman" w:hAnsi="Times New Roman"/>
          <w:color w:val="000000" w:themeColor="text1"/>
          <w:sz w:val="16"/>
          <w:szCs w:val="16"/>
        </w:rPr>
        <w:softHyphen/>
        <w:t>ны,и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т.д.Усовершеннетвовбнные</w:t>
      </w:r>
      <w:proofErr w:type="spellEnd"/>
      <w:r w:rsidRPr="00A259BD">
        <w:rPr>
          <w:rFonts w:ascii="Times New Roman" w:hAnsi="Times New Roman"/>
          <w:color w:val="000000" w:themeColor="text1"/>
          <w:sz w:val="16"/>
          <w:szCs w:val="16"/>
        </w:rPr>
        <w:t xml:space="preserve"> таким образом дирижабли еще в большей степени поднимут свое </w:t>
      </w:r>
      <w:proofErr w:type="spellStart"/>
      <w:r w:rsidRPr="00A259BD">
        <w:rPr>
          <w:rFonts w:ascii="Times New Roman" w:hAnsi="Times New Roman"/>
          <w:color w:val="000000" w:themeColor="text1"/>
          <w:sz w:val="16"/>
          <w:szCs w:val="16"/>
        </w:rPr>
        <w:t>значение,с</w:t>
      </w:r>
      <w:proofErr w:type="spellEnd"/>
      <w:r w:rsidRPr="00A259BD">
        <w:rPr>
          <w:rFonts w:ascii="Times New Roman" w:hAnsi="Times New Roman"/>
          <w:color w:val="000000" w:themeColor="text1"/>
          <w:sz w:val="16"/>
          <w:szCs w:val="16"/>
        </w:rPr>
        <w:t xml:space="preserve"> одной </w:t>
      </w:r>
      <w:proofErr w:type="spellStart"/>
      <w:r w:rsidRPr="00A259BD">
        <w:rPr>
          <w:rFonts w:ascii="Times New Roman" w:hAnsi="Times New Roman"/>
          <w:color w:val="000000" w:themeColor="text1"/>
          <w:sz w:val="16"/>
          <w:szCs w:val="16"/>
        </w:rPr>
        <w:t>стороны,.как</w:t>
      </w:r>
      <w:proofErr w:type="spellEnd"/>
      <w:r w:rsidRPr="00A259BD">
        <w:rPr>
          <w:rFonts w:ascii="Times New Roman" w:hAnsi="Times New Roman"/>
          <w:color w:val="000000" w:themeColor="text1"/>
          <w:sz w:val="16"/>
          <w:szCs w:val="16"/>
        </w:rPr>
        <w:t xml:space="preserve"> незаменимого транспортного средства на бол--</w:t>
      </w:r>
      <w:proofErr w:type="spellStart"/>
      <w:r w:rsidRPr="00A259BD">
        <w:rPr>
          <w:rFonts w:ascii="Times New Roman" w:hAnsi="Times New Roman"/>
          <w:color w:val="000000" w:themeColor="text1"/>
          <w:sz w:val="16"/>
          <w:szCs w:val="16"/>
        </w:rPr>
        <w:t>шие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расстояния,а</w:t>
      </w:r>
      <w:proofErr w:type="spellEnd"/>
      <w:r w:rsidRPr="00A259BD">
        <w:rPr>
          <w:rFonts w:ascii="Times New Roman" w:hAnsi="Times New Roman"/>
          <w:color w:val="000000" w:themeColor="text1"/>
          <w:sz w:val="16"/>
          <w:szCs w:val="16"/>
        </w:rPr>
        <w:t xml:space="preserve"> с другой </w:t>
      </w:r>
      <w:proofErr w:type="spellStart"/>
      <w:r w:rsidRPr="00A259BD">
        <w:rPr>
          <w:rFonts w:ascii="Times New Roman" w:hAnsi="Times New Roman"/>
          <w:color w:val="000000" w:themeColor="text1"/>
          <w:sz w:val="16"/>
          <w:szCs w:val="16"/>
        </w:rPr>
        <w:t>стороны,как</w:t>
      </w:r>
      <w:proofErr w:type="spellEnd"/>
      <w:r w:rsidRPr="00A259BD">
        <w:rPr>
          <w:rFonts w:ascii="Times New Roman" w:hAnsi="Times New Roman"/>
          <w:color w:val="000000" w:themeColor="text1"/>
          <w:sz w:val="16"/>
          <w:szCs w:val="16"/>
        </w:rPr>
        <w:t xml:space="preserve"> первоклассного даль</w:t>
      </w:r>
      <w:r w:rsidRPr="00A259BD">
        <w:rPr>
          <w:rFonts w:ascii="Times New Roman" w:hAnsi="Times New Roman"/>
          <w:color w:val="000000" w:themeColor="text1"/>
          <w:sz w:val="16"/>
          <w:szCs w:val="16"/>
        </w:rPr>
        <w:softHyphen/>
        <w:t>него разведчика и бомбовоза на театре военных действий.</w:t>
      </w:r>
    </w:p>
    <w:p w14:paraId="226AE3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прекращая строительства малых и средних .дирижаб</w:t>
      </w:r>
      <w:r w:rsidRPr="00A259BD">
        <w:rPr>
          <w:rFonts w:ascii="Times New Roman" w:hAnsi="Times New Roman"/>
          <w:color w:val="000000" w:themeColor="text1"/>
          <w:sz w:val="16"/>
          <w:szCs w:val="16"/>
        </w:rPr>
        <w:softHyphen/>
        <w:t>лей .предназначаемых для выполнения задач береговой наблю</w:t>
      </w:r>
      <w:r w:rsidRPr="00A259BD">
        <w:rPr>
          <w:rFonts w:ascii="Times New Roman" w:hAnsi="Times New Roman"/>
          <w:color w:val="000000" w:themeColor="text1"/>
          <w:sz w:val="16"/>
          <w:szCs w:val="16"/>
        </w:rPr>
        <w:softHyphen/>
        <w:t xml:space="preserve">дательной </w:t>
      </w:r>
      <w:proofErr w:type="spellStart"/>
      <w:r w:rsidRPr="00A259BD">
        <w:rPr>
          <w:rFonts w:ascii="Times New Roman" w:hAnsi="Times New Roman"/>
          <w:color w:val="000000" w:themeColor="text1"/>
          <w:sz w:val="16"/>
          <w:szCs w:val="16"/>
        </w:rPr>
        <w:t>службы,дозорной</w:t>
      </w:r>
      <w:proofErr w:type="spellEnd"/>
      <w:r w:rsidRPr="00A259BD">
        <w:rPr>
          <w:rFonts w:ascii="Times New Roman" w:hAnsi="Times New Roman"/>
          <w:color w:val="000000" w:themeColor="text1"/>
          <w:sz w:val="16"/>
          <w:szCs w:val="16"/>
        </w:rPr>
        <w:t xml:space="preserve"> службы на море и службы сопро</w:t>
      </w:r>
      <w:r w:rsidRPr="00A259BD">
        <w:rPr>
          <w:rFonts w:ascii="Times New Roman" w:hAnsi="Times New Roman"/>
          <w:color w:val="000000" w:themeColor="text1"/>
          <w:sz w:val="16"/>
          <w:szCs w:val="16"/>
        </w:rPr>
        <w:softHyphen/>
        <w:t xml:space="preserve">вождения </w:t>
      </w:r>
      <w:proofErr w:type="spellStart"/>
      <w:r w:rsidRPr="00A259BD">
        <w:rPr>
          <w:rFonts w:ascii="Times New Roman" w:hAnsi="Times New Roman"/>
          <w:color w:val="000000" w:themeColor="text1"/>
          <w:sz w:val="16"/>
          <w:szCs w:val="16"/>
        </w:rPr>
        <w:t>судов,ряд</w:t>
      </w:r>
      <w:proofErr w:type="spellEnd"/>
      <w:r w:rsidRPr="00A259BD">
        <w:rPr>
          <w:rFonts w:ascii="Times New Roman" w:hAnsi="Times New Roman"/>
          <w:color w:val="000000" w:themeColor="text1"/>
          <w:sz w:val="16"/>
          <w:szCs w:val="16"/>
        </w:rPr>
        <w:t xml:space="preserve"> западно-европейских империалистических </w:t>
      </w:r>
      <w:proofErr w:type="spellStart"/>
      <w:r w:rsidRPr="00A259BD">
        <w:rPr>
          <w:rFonts w:ascii="Times New Roman" w:hAnsi="Times New Roman"/>
          <w:color w:val="000000" w:themeColor="text1"/>
          <w:sz w:val="16"/>
          <w:szCs w:val="16"/>
        </w:rPr>
        <w:t>держав,а</w:t>
      </w:r>
      <w:proofErr w:type="spellEnd"/>
      <w:r w:rsidRPr="00A259BD">
        <w:rPr>
          <w:rFonts w:ascii="Times New Roman" w:hAnsi="Times New Roman"/>
          <w:color w:val="000000" w:themeColor="text1"/>
          <w:sz w:val="16"/>
          <w:szCs w:val="16"/>
        </w:rPr>
        <w:t xml:space="preserve"> также и Америка приступили к осуществлению широких программ по строительству больших дирижаблей.</w:t>
      </w:r>
    </w:p>
    <w:p w14:paraId="79AAD2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Германия закончила постройкой свой </w:t>
      </w:r>
      <w:proofErr w:type="spellStart"/>
      <w:r w:rsidRPr="00A259BD">
        <w:rPr>
          <w:rFonts w:ascii="Times New Roman" w:hAnsi="Times New Roman"/>
          <w:color w:val="000000" w:themeColor="text1"/>
          <w:sz w:val="16"/>
          <w:szCs w:val="16"/>
        </w:rPr>
        <w:t>ноый</w:t>
      </w:r>
      <w:proofErr w:type="spellEnd"/>
      <w:r w:rsidRPr="00A259BD">
        <w:rPr>
          <w:rFonts w:ascii="Times New Roman" w:hAnsi="Times New Roman"/>
          <w:color w:val="000000" w:themeColor="text1"/>
          <w:sz w:val="16"/>
          <w:szCs w:val="16"/>
        </w:rPr>
        <w:t xml:space="preserve"> воздушный корабль Цеппелин ZZ - 127, об№”</w:t>
      </w:r>
      <w:proofErr w:type="spellStart"/>
      <w:r w:rsidRPr="00A259BD">
        <w:rPr>
          <w:rFonts w:ascii="Times New Roman" w:hAnsi="Times New Roman"/>
          <w:color w:val="000000" w:themeColor="text1"/>
          <w:sz w:val="16"/>
          <w:szCs w:val="16"/>
        </w:rPr>
        <w:t>емом</w:t>
      </w:r>
      <w:proofErr w:type="spellEnd"/>
      <w:r w:rsidRPr="00A259BD">
        <w:rPr>
          <w:rFonts w:ascii="Times New Roman" w:hAnsi="Times New Roman"/>
          <w:color w:val="000000" w:themeColor="text1"/>
          <w:sz w:val="16"/>
          <w:szCs w:val="16"/>
        </w:rPr>
        <w:t xml:space="preserve"> в 105,000 м</w:t>
      </w:r>
      <w:r w:rsidRPr="00A259BD">
        <w:rPr>
          <w:rFonts w:ascii="Times New Roman" w:hAnsi="Times New Roman"/>
          <w:color w:val="000000" w:themeColor="text1"/>
          <w:sz w:val="16"/>
          <w:szCs w:val="16"/>
          <w:vertAlign w:val="superscript"/>
        </w:rPr>
        <w:t>3</w:t>
      </w:r>
      <w:r w:rsidRPr="00A259BD">
        <w:rPr>
          <w:rFonts w:ascii="Times New Roman" w:hAnsi="Times New Roman"/>
          <w:color w:val="000000" w:themeColor="text1"/>
          <w:sz w:val="16"/>
          <w:szCs w:val="16"/>
        </w:rPr>
        <w:t>, который, благодаря целому ряду усовершенствований и нововведений по сравнению с прежними Цеппелинами, несомненно откроет новую эру в области воздушных кораблей. При 7-ми моторах Майбах по 530 л.с. дирижабль сможет развивать максималь</w:t>
      </w:r>
      <w:r w:rsidRPr="00A259BD">
        <w:rPr>
          <w:rFonts w:ascii="Times New Roman" w:hAnsi="Times New Roman"/>
          <w:color w:val="000000" w:themeColor="text1"/>
          <w:sz w:val="16"/>
          <w:szCs w:val="16"/>
        </w:rPr>
        <w:softHyphen/>
        <w:t>ную скорость до 135 км/час. При крейсерской скорости 115 км/ч и при запасе горючего на 90 часов дальность полета дири</w:t>
      </w:r>
      <w:r w:rsidRPr="00A259BD">
        <w:rPr>
          <w:rFonts w:ascii="Times New Roman" w:hAnsi="Times New Roman"/>
          <w:color w:val="000000" w:themeColor="text1"/>
          <w:sz w:val="16"/>
          <w:szCs w:val="16"/>
        </w:rPr>
        <w:softHyphen/>
        <w:t>жабля без спуска превышает 10,000 км.</w:t>
      </w:r>
    </w:p>
    <w:p w14:paraId="29623D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настоящему времени фирмой Цеппелина закончены проекты следующих двух еще более мощных новых </w:t>
      </w:r>
      <w:proofErr w:type="spellStart"/>
      <w:r w:rsidRPr="00A259BD">
        <w:rPr>
          <w:rFonts w:ascii="Times New Roman" w:hAnsi="Times New Roman"/>
          <w:color w:val="000000" w:themeColor="text1"/>
          <w:sz w:val="16"/>
          <w:szCs w:val="16"/>
        </w:rPr>
        <w:t>Цепелелинов</w:t>
      </w:r>
      <w:proofErr w:type="spellEnd"/>
      <w:r w:rsidRPr="00A259BD">
        <w:rPr>
          <w:rFonts w:ascii="Times New Roman" w:hAnsi="Times New Roman"/>
          <w:color w:val="000000" w:themeColor="text1"/>
          <w:sz w:val="16"/>
          <w:szCs w:val="16"/>
        </w:rPr>
        <w:t xml:space="preserve">: 128,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125,000 м</w:t>
      </w:r>
      <w:r w:rsidRPr="00A259BD">
        <w:rPr>
          <w:rFonts w:ascii="Times New Roman" w:hAnsi="Times New Roman"/>
          <w:color w:val="000000" w:themeColor="text1"/>
          <w:sz w:val="16"/>
          <w:szCs w:val="16"/>
          <w:vertAlign w:val="superscript"/>
        </w:rPr>
        <w:t>3</w:t>
      </w:r>
      <w:r w:rsidRPr="00A259BD">
        <w:rPr>
          <w:rFonts w:ascii="Times New Roman" w:hAnsi="Times New Roman"/>
          <w:color w:val="000000" w:themeColor="text1"/>
          <w:sz w:val="16"/>
          <w:szCs w:val="16"/>
        </w:rPr>
        <w:t xml:space="preserve"> и 129,об"емом в 150,000 м</w:t>
      </w:r>
      <w:r w:rsidRPr="00A259BD">
        <w:rPr>
          <w:rFonts w:ascii="Times New Roman" w:hAnsi="Times New Roman"/>
          <w:color w:val="000000" w:themeColor="text1"/>
          <w:sz w:val="16"/>
          <w:szCs w:val="16"/>
          <w:vertAlign w:val="superscript"/>
        </w:rPr>
        <w:t>3</w:t>
      </w:r>
      <w:r w:rsidRPr="00A259BD">
        <w:rPr>
          <w:rFonts w:ascii="Times New Roman" w:hAnsi="Times New Roman"/>
          <w:color w:val="000000" w:themeColor="text1"/>
          <w:sz w:val="16"/>
          <w:szCs w:val="16"/>
        </w:rPr>
        <w:t>.</w:t>
      </w:r>
    </w:p>
    <w:p w14:paraId="38F059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Италия продолжает непрерывно развивать и совершен</w:t>
      </w:r>
      <w:r w:rsidRPr="00A259BD">
        <w:rPr>
          <w:rFonts w:ascii="Times New Roman" w:hAnsi="Times New Roman"/>
          <w:color w:val="000000" w:themeColor="text1"/>
          <w:sz w:val="16"/>
          <w:szCs w:val="16"/>
        </w:rPr>
        <w:softHyphen/>
        <w:t>ствовать свой полужесткий тип дирижабля, стремясь к стро</w:t>
      </w:r>
      <w:r w:rsidRPr="00A259BD">
        <w:rPr>
          <w:rFonts w:ascii="Times New Roman" w:hAnsi="Times New Roman"/>
          <w:color w:val="000000" w:themeColor="text1"/>
          <w:sz w:val="16"/>
          <w:szCs w:val="16"/>
        </w:rPr>
        <w:softHyphen/>
        <w:t xml:space="preserve">ительству воздушных кораблей больших </w:t>
      </w:r>
      <w:proofErr w:type="spellStart"/>
      <w:r w:rsidRPr="00A259BD">
        <w:rPr>
          <w:rFonts w:ascii="Times New Roman" w:hAnsi="Times New Roman"/>
          <w:color w:val="000000" w:themeColor="text1"/>
          <w:sz w:val="16"/>
          <w:szCs w:val="16"/>
        </w:rPr>
        <w:t>об"емов</w:t>
      </w:r>
      <w:proofErr w:type="spellEnd"/>
      <w:r w:rsidRPr="00A259BD">
        <w:rPr>
          <w:rFonts w:ascii="Times New Roman" w:hAnsi="Times New Roman"/>
          <w:color w:val="000000" w:themeColor="text1"/>
          <w:sz w:val="16"/>
          <w:szCs w:val="16"/>
        </w:rPr>
        <w:t xml:space="preserve">. В Италии почти закончен постройкой полужесткий </w:t>
      </w:r>
      <w:proofErr w:type="spellStart"/>
      <w:r w:rsidRPr="00A259BD">
        <w:rPr>
          <w:rFonts w:ascii="Times New Roman" w:hAnsi="Times New Roman"/>
          <w:color w:val="000000" w:themeColor="text1"/>
          <w:sz w:val="16"/>
          <w:szCs w:val="16"/>
        </w:rPr>
        <w:t>т.иритаблъ</w:t>
      </w:r>
      <w:proofErr w:type="spellEnd"/>
      <w:r w:rsidRPr="00A259BD">
        <w:rPr>
          <w:rFonts w:ascii="Times New Roman" w:hAnsi="Times New Roman"/>
          <w:color w:val="000000" w:themeColor="text1"/>
          <w:sz w:val="16"/>
          <w:szCs w:val="16"/>
        </w:rPr>
        <w:t xml:space="preserve"> объемом в 53.000 м</w:t>
      </w:r>
      <w:r w:rsidRPr="00A259BD">
        <w:rPr>
          <w:rFonts w:ascii="Times New Roman" w:hAnsi="Times New Roman"/>
          <w:color w:val="000000" w:themeColor="text1"/>
          <w:sz w:val="16"/>
          <w:szCs w:val="16"/>
          <w:vertAlign w:val="superscript"/>
        </w:rPr>
        <w:t>3</w:t>
      </w:r>
      <w:r w:rsidRPr="00A259BD">
        <w:rPr>
          <w:rFonts w:ascii="Times New Roman" w:hAnsi="Times New Roman"/>
          <w:color w:val="000000" w:themeColor="text1"/>
          <w:sz w:val="16"/>
          <w:szCs w:val="16"/>
        </w:rPr>
        <w:t xml:space="preserve"> с полезной </w:t>
      </w:r>
      <w:proofErr w:type="spellStart"/>
      <w:r w:rsidRPr="00A259BD">
        <w:rPr>
          <w:rFonts w:ascii="Times New Roman" w:hAnsi="Times New Roman"/>
          <w:color w:val="000000" w:themeColor="text1"/>
          <w:sz w:val="16"/>
          <w:szCs w:val="16"/>
        </w:rPr>
        <w:t>грузопод"емностью</w:t>
      </w:r>
      <w:proofErr w:type="spellEnd"/>
      <w:r w:rsidRPr="00A259BD">
        <w:rPr>
          <w:rFonts w:ascii="Times New Roman" w:hAnsi="Times New Roman"/>
          <w:color w:val="000000" w:themeColor="text1"/>
          <w:sz w:val="16"/>
          <w:szCs w:val="16"/>
        </w:rPr>
        <w:t xml:space="preserve"> около 30 тонн и со скоростью около 120 км/час.</w:t>
      </w:r>
    </w:p>
    <w:p w14:paraId="77A9D1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Англия заканчивает постройкой два гигантских воздуш</w:t>
      </w:r>
      <w:r w:rsidRPr="00A259BD">
        <w:rPr>
          <w:rFonts w:ascii="Times New Roman" w:hAnsi="Times New Roman"/>
          <w:color w:val="000000" w:themeColor="text1"/>
          <w:sz w:val="16"/>
          <w:szCs w:val="16"/>
        </w:rPr>
        <w:softHyphen/>
        <w:t xml:space="preserve">ных корабля R 100 и R-101,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около 135,000 м</w:t>
      </w:r>
      <w:r w:rsidRPr="00A259BD">
        <w:rPr>
          <w:rFonts w:ascii="Times New Roman" w:hAnsi="Times New Roman"/>
          <w:color w:val="000000" w:themeColor="text1"/>
          <w:sz w:val="16"/>
          <w:szCs w:val="16"/>
          <w:vertAlign w:val="superscript"/>
        </w:rPr>
        <w:t>3</w:t>
      </w:r>
      <w:r w:rsidRPr="00A259BD">
        <w:rPr>
          <w:rFonts w:ascii="Times New Roman" w:hAnsi="Times New Roman"/>
          <w:color w:val="000000" w:themeColor="text1"/>
          <w:sz w:val="16"/>
          <w:szCs w:val="16"/>
        </w:rPr>
        <w:t>, пред</w:t>
      </w:r>
      <w:r w:rsidRPr="00A259BD">
        <w:rPr>
          <w:rFonts w:ascii="Times New Roman" w:hAnsi="Times New Roman"/>
          <w:color w:val="000000" w:themeColor="text1"/>
          <w:sz w:val="16"/>
          <w:szCs w:val="16"/>
        </w:rPr>
        <w:softHyphen/>
        <w:t>назначенных для соединения воздушным путем метрополии со своими заокеанскими колониями /воздушная линия Лондон--Египет- Индия-</w:t>
      </w:r>
      <w:proofErr w:type="spellStart"/>
      <w:r w:rsidRPr="00A259BD">
        <w:rPr>
          <w:rFonts w:ascii="Times New Roman" w:hAnsi="Times New Roman"/>
          <w:color w:val="000000" w:themeColor="text1"/>
          <w:sz w:val="16"/>
          <w:szCs w:val="16"/>
        </w:rPr>
        <w:t>Австралик</w:t>
      </w:r>
      <w:proofErr w:type="spellEnd"/>
      <w:r w:rsidRPr="00A259BD">
        <w:rPr>
          <w:rFonts w:ascii="Times New Roman" w:hAnsi="Times New Roman"/>
          <w:color w:val="000000" w:themeColor="text1"/>
          <w:sz w:val="16"/>
          <w:szCs w:val="16"/>
        </w:rPr>
        <w:t>/.</w:t>
      </w:r>
    </w:p>
    <w:p w14:paraId="48D3CE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Полезнаягрузопод"емность</w:t>
      </w:r>
      <w:proofErr w:type="spellEnd"/>
      <w:r w:rsidRPr="00A259BD">
        <w:rPr>
          <w:rFonts w:ascii="Times New Roman" w:hAnsi="Times New Roman"/>
          <w:color w:val="000000" w:themeColor="text1"/>
          <w:sz w:val="16"/>
          <w:szCs w:val="16"/>
        </w:rPr>
        <w:t xml:space="preserve"> этих дирижаблей составляет около 75 </w:t>
      </w:r>
      <w:proofErr w:type="spellStart"/>
      <w:r w:rsidRPr="00A259BD">
        <w:rPr>
          <w:rFonts w:ascii="Times New Roman" w:hAnsi="Times New Roman"/>
          <w:color w:val="000000" w:themeColor="text1"/>
          <w:sz w:val="16"/>
          <w:szCs w:val="16"/>
        </w:rPr>
        <w:t>тонн.При</w:t>
      </w:r>
      <w:proofErr w:type="spellEnd"/>
      <w:r w:rsidRPr="00A259BD">
        <w:rPr>
          <w:rFonts w:ascii="Times New Roman" w:hAnsi="Times New Roman"/>
          <w:color w:val="000000" w:themeColor="text1"/>
          <w:sz w:val="16"/>
          <w:szCs w:val="16"/>
        </w:rPr>
        <w:t xml:space="preserve"> крейсерской скорости в 115 км/час ди</w:t>
      </w:r>
      <w:r w:rsidRPr="00A259BD">
        <w:rPr>
          <w:rFonts w:ascii="Times New Roman" w:hAnsi="Times New Roman"/>
          <w:color w:val="000000" w:themeColor="text1"/>
          <w:sz w:val="16"/>
          <w:szCs w:val="16"/>
        </w:rPr>
        <w:softHyphen/>
        <w:t xml:space="preserve">рижабль этого типа при полете на 10,000 км может иметь на борту 100 человек пассажиров и 10 тонн груза и почты. В Англии же возникло в последнее время частное </w:t>
      </w:r>
      <w:proofErr w:type="spellStart"/>
      <w:r w:rsidRPr="00A259BD">
        <w:rPr>
          <w:rFonts w:ascii="Times New Roman" w:hAnsi="Times New Roman"/>
          <w:color w:val="000000" w:themeColor="text1"/>
          <w:sz w:val="16"/>
          <w:szCs w:val="16"/>
        </w:rPr>
        <w:t>общее:во</w:t>
      </w:r>
      <w:proofErr w:type="spellEnd"/>
      <w:r w:rsidRPr="00A259BD">
        <w:rPr>
          <w:rFonts w:ascii="Times New Roman" w:hAnsi="Times New Roman"/>
          <w:color w:val="000000" w:themeColor="text1"/>
          <w:sz w:val="16"/>
          <w:szCs w:val="16"/>
        </w:rPr>
        <w:t xml:space="preserve"> для постройки полужестких коммерческих дирижаблей.</w:t>
      </w:r>
    </w:p>
    <w:p w14:paraId="00A08D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Франция, упорно до сих пор ограничивавшая </w:t>
      </w:r>
      <w:proofErr w:type="spellStart"/>
      <w:r w:rsidRPr="00A259BD">
        <w:rPr>
          <w:rFonts w:ascii="Times New Roman" w:hAnsi="Times New Roman"/>
          <w:color w:val="000000" w:themeColor="text1"/>
          <w:sz w:val="16"/>
          <w:szCs w:val="16"/>
        </w:rPr>
        <w:t>своивоздуш</w:t>
      </w:r>
      <w:r w:rsidRPr="00A259BD">
        <w:rPr>
          <w:rFonts w:ascii="Times New Roman" w:hAnsi="Times New Roman"/>
          <w:color w:val="000000" w:themeColor="text1"/>
          <w:sz w:val="16"/>
          <w:szCs w:val="16"/>
        </w:rPr>
        <w:softHyphen/>
        <w:t>ные</w:t>
      </w:r>
      <w:proofErr w:type="spellEnd"/>
      <w:r w:rsidRPr="00A259BD">
        <w:rPr>
          <w:rFonts w:ascii="Times New Roman" w:hAnsi="Times New Roman"/>
          <w:color w:val="000000" w:themeColor="text1"/>
          <w:sz w:val="16"/>
          <w:szCs w:val="16"/>
        </w:rPr>
        <w:t xml:space="preserve"> силы одной </w:t>
      </w:r>
      <w:proofErr w:type="spellStart"/>
      <w:r w:rsidRPr="00A259BD">
        <w:rPr>
          <w:rFonts w:ascii="Times New Roman" w:hAnsi="Times New Roman"/>
          <w:color w:val="000000" w:themeColor="text1"/>
          <w:sz w:val="16"/>
          <w:szCs w:val="16"/>
        </w:rPr>
        <w:t>авиацией,также</w:t>
      </w:r>
      <w:proofErr w:type="spellEnd"/>
      <w:r w:rsidRPr="00A259BD">
        <w:rPr>
          <w:rFonts w:ascii="Times New Roman" w:hAnsi="Times New Roman"/>
          <w:color w:val="000000" w:themeColor="text1"/>
          <w:sz w:val="16"/>
          <w:szCs w:val="16"/>
        </w:rPr>
        <w:t xml:space="preserve"> приступила к опытному стро</w:t>
      </w:r>
      <w:r w:rsidRPr="00A259BD">
        <w:rPr>
          <w:rFonts w:ascii="Times New Roman" w:hAnsi="Times New Roman"/>
          <w:color w:val="000000" w:themeColor="text1"/>
          <w:sz w:val="16"/>
          <w:szCs w:val="16"/>
        </w:rPr>
        <w:softHyphen/>
        <w:t>ительству двух полужестких дирижаблей,</w:t>
      </w:r>
    </w:p>
    <w:p w14:paraId="2A556E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Наконец, Америка приступила к постройке двух гигантских дирижаблей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по 185,000 м3каждый. При крейсерской скорости в 100 км/ч ас радиус действия этих дирижаблей будет составлять около 15,000 км. На каждое дирижабле пред</w:t>
      </w:r>
      <w:r w:rsidRPr="00A259BD">
        <w:rPr>
          <w:rFonts w:ascii="Times New Roman" w:hAnsi="Times New Roman"/>
          <w:color w:val="000000" w:themeColor="text1"/>
          <w:sz w:val="16"/>
          <w:szCs w:val="16"/>
        </w:rPr>
        <w:softHyphen/>
        <w:t>полагается установить по 30 пулеметов и по 2 автоматичес</w:t>
      </w:r>
      <w:r w:rsidRPr="00A259BD">
        <w:rPr>
          <w:rFonts w:ascii="Times New Roman" w:hAnsi="Times New Roman"/>
          <w:color w:val="000000" w:themeColor="text1"/>
          <w:sz w:val="16"/>
          <w:szCs w:val="16"/>
        </w:rPr>
        <w:softHyphen/>
        <w:t>ких пушки.</w:t>
      </w:r>
    </w:p>
    <w:p w14:paraId="2A8140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Помимо значительного количества, </w:t>
      </w:r>
      <w:proofErr w:type="spellStart"/>
      <w:r w:rsidRPr="00A259BD">
        <w:rPr>
          <w:rFonts w:ascii="Times New Roman" w:hAnsi="Times New Roman"/>
          <w:color w:val="000000" w:themeColor="text1"/>
          <w:sz w:val="16"/>
          <w:szCs w:val="16"/>
        </w:rPr>
        <w:t>бомб.дирижабли</w:t>
      </w:r>
      <w:proofErr w:type="spellEnd"/>
      <w:r w:rsidRPr="00A259BD">
        <w:rPr>
          <w:rFonts w:ascii="Times New Roman" w:hAnsi="Times New Roman"/>
          <w:color w:val="000000" w:themeColor="text1"/>
          <w:sz w:val="16"/>
          <w:szCs w:val="16"/>
        </w:rPr>
        <w:t>, в це</w:t>
      </w:r>
      <w:r w:rsidRPr="00A259BD">
        <w:rPr>
          <w:rFonts w:ascii="Times New Roman" w:hAnsi="Times New Roman"/>
          <w:color w:val="000000" w:themeColor="text1"/>
          <w:sz w:val="16"/>
          <w:szCs w:val="16"/>
        </w:rPr>
        <w:softHyphen/>
        <w:t>лях увеличения радиуса действия и для защиты от нападения неприятельских летчиков, будут брать с собой в полет 5-ть самолетов.</w:t>
      </w:r>
    </w:p>
    <w:p w14:paraId="3B90535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связи с заграничными тенденциями развития дирижаб</w:t>
      </w:r>
      <w:r w:rsidRPr="00A259BD">
        <w:rPr>
          <w:rFonts w:ascii="Times New Roman" w:hAnsi="Times New Roman"/>
          <w:color w:val="000000" w:themeColor="text1"/>
          <w:sz w:val="16"/>
          <w:szCs w:val="16"/>
        </w:rPr>
        <w:softHyphen/>
        <w:t xml:space="preserve">лестроения и учитывая важность развития этого дела у нас в Союзе, НТУ ВСНХ СССР образовал у себя Комиссию для всесторонней проработки воздухоплавательной </w:t>
      </w:r>
      <w:proofErr w:type="spellStart"/>
      <w:r w:rsidRPr="00A259BD">
        <w:rPr>
          <w:rFonts w:ascii="Times New Roman" w:hAnsi="Times New Roman"/>
          <w:color w:val="000000" w:themeColor="text1"/>
          <w:sz w:val="16"/>
          <w:szCs w:val="16"/>
        </w:rPr>
        <w:t>проблеммы</w:t>
      </w:r>
      <w:proofErr w:type="spellEnd"/>
      <w:r w:rsidRPr="00A259BD">
        <w:rPr>
          <w:rFonts w:ascii="Times New Roman" w:hAnsi="Times New Roman"/>
          <w:color w:val="000000" w:themeColor="text1"/>
          <w:sz w:val="16"/>
          <w:szCs w:val="16"/>
        </w:rPr>
        <w:t xml:space="preserve"> и уяснения возможностей постановки опытного дирижаблестрое</w:t>
      </w:r>
      <w:r w:rsidRPr="00A259BD">
        <w:rPr>
          <w:rFonts w:ascii="Times New Roman" w:hAnsi="Times New Roman"/>
          <w:color w:val="000000" w:themeColor="text1"/>
          <w:sz w:val="16"/>
          <w:szCs w:val="16"/>
        </w:rPr>
        <w:softHyphen/>
        <w:t xml:space="preserve">ния в СССР. После детального обсуждения вопроса </w:t>
      </w:r>
      <w:proofErr w:type="spellStart"/>
      <w:r w:rsidRPr="00A259BD">
        <w:rPr>
          <w:rFonts w:ascii="Times New Roman" w:hAnsi="Times New Roman"/>
          <w:color w:val="000000" w:themeColor="text1"/>
          <w:sz w:val="16"/>
          <w:szCs w:val="16"/>
        </w:rPr>
        <w:t>коииссия</w:t>
      </w:r>
      <w:proofErr w:type="spellEnd"/>
      <w:r w:rsidRPr="00A259BD">
        <w:rPr>
          <w:rFonts w:ascii="Times New Roman" w:hAnsi="Times New Roman"/>
          <w:color w:val="000000" w:themeColor="text1"/>
          <w:sz w:val="16"/>
          <w:szCs w:val="16"/>
        </w:rPr>
        <w:t xml:space="preserve"> пришла к заключению о необходимости теперь же приступить и у нас к развертыванию научно-исследовательской и опыт</w:t>
      </w:r>
      <w:r w:rsidRPr="00A259BD">
        <w:rPr>
          <w:rFonts w:ascii="Times New Roman" w:hAnsi="Times New Roman"/>
          <w:color w:val="000000" w:themeColor="text1"/>
          <w:sz w:val="16"/>
          <w:szCs w:val="16"/>
        </w:rPr>
        <w:softHyphen/>
        <w:t>ной конструкторской работы в области дирижаблестроения.</w:t>
      </w:r>
    </w:p>
    <w:p w14:paraId="2ADA47B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Принимая во </w:t>
      </w:r>
      <w:proofErr w:type="spellStart"/>
      <w:r w:rsidRPr="00A259BD">
        <w:rPr>
          <w:rFonts w:ascii="Times New Roman" w:hAnsi="Times New Roman"/>
          <w:color w:val="000000" w:themeColor="text1"/>
          <w:sz w:val="16"/>
          <w:szCs w:val="16"/>
        </w:rPr>
        <w:t>внимание,что</w:t>
      </w:r>
      <w:proofErr w:type="spellEnd"/>
      <w:r w:rsidRPr="00A259BD">
        <w:rPr>
          <w:rFonts w:ascii="Times New Roman" w:hAnsi="Times New Roman"/>
          <w:color w:val="000000" w:themeColor="text1"/>
          <w:sz w:val="16"/>
          <w:szCs w:val="16"/>
        </w:rPr>
        <w:t xml:space="preserve"> подведомственный НТУ ВСНХ Центральный Аэро-Гидродинамический </w:t>
      </w:r>
      <w:proofErr w:type="spellStart"/>
      <w:r w:rsidRPr="00A259BD">
        <w:rPr>
          <w:rFonts w:ascii="Times New Roman" w:hAnsi="Times New Roman"/>
          <w:color w:val="000000" w:themeColor="text1"/>
          <w:sz w:val="16"/>
          <w:szCs w:val="16"/>
        </w:rPr>
        <w:t>Институг</w:t>
      </w:r>
      <w:proofErr w:type="spellEnd"/>
      <w:r w:rsidRPr="00A259BD">
        <w:rPr>
          <w:rFonts w:ascii="Times New Roman" w:hAnsi="Times New Roman"/>
          <w:color w:val="000000" w:themeColor="text1"/>
          <w:sz w:val="16"/>
          <w:szCs w:val="16"/>
        </w:rPr>
        <w:t xml:space="preserve"> /ЦАГИ/ уже имеет большой опыт в области конструкции металлических ферм для самолетов, и что этому </w:t>
      </w:r>
      <w:proofErr w:type="spellStart"/>
      <w:r w:rsidRPr="00A259BD">
        <w:rPr>
          <w:rFonts w:ascii="Times New Roman" w:hAnsi="Times New Roman"/>
          <w:color w:val="000000" w:themeColor="text1"/>
          <w:sz w:val="16"/>
          <w:szCs w:val="16"/>
        </w:rPr>
        <w:t>мощноиу</w:t>
      </w:r>
      <w:proofErr w:type="spellEnd"/>
      <w:r w:rsidRPr="00A259BD">
        <w:rPr>
          <w:rFonts w:ascii="Times New Roman" w:hAnsi="Times New Roman"/>
          <w:color w:val="000000" w:themeColor="text1"/>
          <w:sz w:val="16"/>
          <w:szCs w:val="16"/>
        </w:rPr>
        <w:t xml:space="preserve"> научно исследовательскому институту легче всего будет подойти к разре</w:t>
      </w:r>
      <w:r w:rsidRPr="00A259BD">
        <w:rPr>
          <w:rFonts w:ascii="Times New Roman" w:hAnsi="Times New Roman"/>
          <w:color w:val="000000" w:themeColor="text1"/>
          <w:sz w:val="16"/>
          <w:szCs w:val="16"/>
        </w:rPr>
        <w:softHyphen/>
        <w:t>шению вопроса опытного дирижаблестроения, Президиум НТУ поручил ЦАГИ разработать программу работ по опыт</w:t>
      </w:r>
      <w:r w:rsidRPr="00A259BD">
        <w:rPr>
          <w:rFonts w:ascii="Times New Roman" w:hAnsi="Times New Roman"/>
          <w:color w:val="000000" w:themeColor="text1"/>
          <w:sz w:val="16"/>
          <w:szCs w:val="16"/>
        </w:rPr>
        <w:softHyphen/>
        <w:t xml:space="preserve">ному дирижаблестроению на ближайшие годы и смету на выполнение этих работ. Программа работ ЦАГИ, предварительно рассмотренная в Научно-Техническом Комитете УВВС РККА, принята НТУ ВСНХ. Согласно этой программы, ЦАГИ с 1928/29 г. приступает к предварительные опытам по дирижаблестроению, которые частично </w:t>
      </w:r>
      <w:proofErr w:type="spellStart"/>
      <w:r w:rsidRPr="00A259BD">
        <w:rPr>
          <w:rFonts w:ascii="Times New Roman" w:hAnsi="Times New Roman"/>
          <w:color w:val="000000" w:themeColor="text1"/>
          <w:sz w:val="16"/>
          <w:szCs w:val="16"/>
        </w:rPr>
        <w:t>винституте</w:t>
      </w:r>
      <w:proofErr w:type="spellEnd"/>
      <w:r w:rsidRPr="00A259BD">
        <w:rPr>
          <w:rFonts w:ascii="Times New Roman" w:hAnsi="Times New Roman"/>
          <w:color w:val="000000" w:themeColor="text1"/>
          <w:sz w:val="16"/>
          <w:szCs w:val="16"/>
        </w:rPr>
        <w:t xml:space="preserve"> начали уже осуществляться. Летом 1931 года ЦАГИ заканчивает </w:t>
      </w:r>
      <w:proofErr w:type="spellStart"/>
      <w:r w:rsidRPr="00A259BD">
        <w:rPr>
          <w:rFonts w:ascii="Times New Roman" w:hAnsi="Times New Roman"/>
          <w:color w:val="000000" w:themeColor="text1"/>
          <w:sz w:val="16"/>
          <w:szCs w:val="16"/>
        </w:rPr>
        <w:t>постройной</w:t>
      </w:r>
      <w:proofErr w:type="spellEnd"/>
      <w:r w:rsidRPr="00A259BD">
        <w:rPr>
          <w:rFonts w:ascii="Times New Roman" w:hAnsi="Times New Roman"/>
          <w:color w:val="000000" w:themeColor="text1"/>
          <w:sz w:val="16"/>
          <w:szCs w:val="16"/>
        </w:rPr>
        <w:t xml:space="preserve"> опытный дирижабль учебного типа полужесткой системы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в 7,000 м</w:t>
      </w:r>
      <w:r w:rsidRPr="00A259BD">
        <w:rPr>
          <w:rFonts w:ascii="Times New Roman" w:hAnsi="Times New Roman"/>
          <w:color w:val="000000" w:themeColor="text1"/>
          <w:sz w:val="16"/>
          <w:szCs w:val="16"/>
          <w:vertAlign w:val="superscript"/>
        </w:rPr>
        <w:t>3</w:t>
      </w:r>
      <w:r w:rsidRPr="00A259BD">
        <w:rPr>
          <w:rFonts w:ascii="Times New Roman" w:hAnsi="Times New Roman"/>
          <w:color w:val="000000" w:themeColor="text1"/>
          <w:sz w:val="16"/>
          <w:szCs w:val="16"/>
        </w:rPr>
        <w:t xml:space="preserve">, а летом 1935с г. такой же дирижабль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20-25,000 м</w:t>
      </w:r>
      <w:r w:rsidRPr="00A259BD">
        <w:rPr>
          <w:rFonts w:ascii="Times New Roman" w:hAnsi="Times New Roman"/>
          <w:color w:val="000000" w:themeColor="text1"/>
          <w:sz w:val="16"/>
          <w:szCs w:val="16"/>
          <w:vertAlign w:val="superscript"/>
        </w:rPr>
        <w:t>3</w:t>
      </w:r>
      <w:r w:rsidRPr="00A259BD">
        <w:rPr>
          <w:rFonts w:ascii="Times New Roman" w:hAnsi="Times New Roman"/>
          <w:color w:val="000000" w:themeColor="text1"/>
          <w:sz w:val="16"/>
          <w:szCs w:val="16"/>
        </w:rPr>
        <w:t xml:space="preserve">. Дирижабли обоих указанных типов могут быть использованы на службе военного </w:t>
      </w:r>
      <w:proofErr w:type="spellStart"/>
      <w:r w:rsidRPr="00A259BD">
        <w:rPr>
          <w:rFonts w:ascii="Times New Roman" w:hAnsi="Times New Roman"/>
          <w:color w:val="000000" w:themeColor="text1"/>
          <w:sz w:val="16"/>
          <w:szCs w:val="16"/>
        </w:rPr>
        <w:t>ведомства.Что</w:t>
      </w:r>
      <w:proofErr w:type="spellEnd"/>
      <w:r w:rsidRPr="00A259BD">
        <w:rPr>
          <w:rFonts w:ascii="Times New Roman" w:hAnsi="Times New Roman"/>
          <w:color w:val="000000" w:themeColor="text1"/>
          <w:sz w:val="16"/>
          <w:szCs w:val="16"/>
        </w:rPr>
        <w:t xml:space="preserve"> касается постройки дири</w:t>
      </w:r>
      <w:r w:rsidRPr="00A259BD">
        <w:rPr>
          <w:rFonts w:ascii="Times New Roman" w:hAnsi="Times New Roman"/>
          <w:color w:val="000000" w:themeColor="text1"/>
          <w:sz w:val="16"/>
          <w:szCs w:val="16"/>
        </w:rPr>
        <w:softHyphen/>
        <w:t xml:space="preserve">жаблей жесткой системы, то первый опытный жесткий дирижабль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до 15,000 м ЦАГИ дает летом 1933 г. года, а дирижабль этой же системы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до 50,000 м - летом 1935 года. Последним указанным дирижаблем ЦАГИ заканчивает свои опытные работы по дирижаблестроению, каковые работы, выявив в своем конечном результате наиболее приемлемую в условиях нашего Союза конструкцию, должны послужить в дальнейшем базой для развития в СССР постройки дирижаблей нужных нам типов.</w:t>
      </w:r>
    </w:p>
    <w:p w14:paraId="12FD6F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Приняв план работ и смету ЦАГИ, НТУ ВСНХ возбуждает ходатайство перед Президиумом ВСНХ СССР о разрешении те</w:t>
      </w:r>
      <w:r w:rsidRPr="00A259BD">
        <w:rPr>
          <w:rFonts w:ascii="Times New Roman" w:hAnsi="Times New Roman"/>
          <w:color w:val="000000" w:themeColor="text1"/>
          <w:sz w:val="16"/>
          <w:szCs w:val="16"/>
        </w:rPr>
        <w:softHyphen/>
        <w:t xml:space="preserve">перь же приступить к развертыванию в Союзе научно-исследовательские работы и опытно-конструкторской работы </w:t>
      </w:r>
      <w:proofErr w:type="spellStart"/>
      <w:r w:rsidRPr="00A259BD">
        <w:rPr>
          <w:rFonts w:ascii="Times New Roman" w:hAnsi="Times New Roman"/>
          <w:color w:val="000000" w:themeColor="text1"/>
          <w:sz w:val="16"/>
          <w:szCs w:val="16"/>
        </w:rPr>
        <w:t>воб</w:t>
      </w:r>
      <w:r w:rsidRPr="00A259BD">
        <w:rPr>
          <w:rFonts w:ascii="Times New Roman" w:hAnsi="Times New Roman"/>
          <w:color w:val="000000" w:themeColor="text1"/>
          <w:sz w:val="16"/>
          <w:szCs w:val="16"/>
        </w:rPr>
        <w:softHyphen/>
        <w:t>ласти</w:t>
      </w:r>
      <w:proofErr w:type="spellEnd"/>
      <w:r w:rsidRPr="00A259BD">
        <w:rPr>
          <w:rFonts w:ascii="Times New Roman" w:hAnsi="Times New Roman"/>
          <w:color w:val="000000" w:themeColor="text1"/>
          <w:sz w:val="16"/>
          <w:szCs w:val="16"/>
        </w:rPr>
        <w:t xml:space="preserve"> дирижаблестроения, поручив в основном и целом органи</w:t>
      </w:r>
      <w:r w:rsidRPr="00A259BD">
        <w:rPr>
          <w:rFonts w:ascii="Times New Roman" w:hAnsi="Times New Roman"/>
          <w:color w:val="000000" w:themeColor="text1"/>
          <w:sz w:val="16"/>
          <w:szCs w:val="16"/>
        </w:rPr>
        <w:softHyphen/>
        <w:t>зацию и проведение этих работ ЦАГИ.</w:t>
      </w:r>
    </w:p>
    <w:p w14:paraId="1FA77F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Считая вполне целесообразные и своевременным присту</w:t>
      </w:r>
      <w:r w:rsidRPr="00A259BD">
        <w:rPr>
          <w:rFonts w:ascii="Times New Roman" w:hAnsi="Times New Roman"/>
          <w:color w:val="000000" w:themeColor="text1"/>
          <w:sz w:val="16"/>
          <w:szCs w:val="16"/>
        </w:rPr>
        <w:softHyphen/>
        <w:t xml:space="preserve">пить к развитию дирижаблестроения </w:t>
      </w:r>
      <w:proofErr w:type="spellStart"/>
      <w:r w:rsidRPr="00A259BD">
        <w:rPr>
          <w:rFonts w:ascii="Times New Roman" w:hAnsi="Times New Roman"/>
          <w:color w:val="000000" w:themeColor="text1"/>
          <w:sz w:val="16"/>
          <w:szCs w:val="16"/>
        </w:rPr>
        <w:t>вСССР</w:t>
      </w:r>
      <w:proofErr w:type="spellEnd"/>
      <w:r w:rsidRPr="00A259BD">
        <w:rPr>
          <w:rFonts w:ascii="Times New Roman" w:hAnsi="Times New Roman"/>
          <w:color w:val="000000" w:themeColor="text1"/>
          <w:sz w:val="16"/>
          <w:szCs w:val="16"/>
        </w:rPr>
        <w:t>, УВВС РККА присо</w:t>
      </w:r>
      <w:r w:rsidRPr="00A259BD">
        <w:rPr>
          <w:rFonts w:ascii="Times New Roman" w:hAnsi="Times New Roman"/>
          <w:color w:val="000000" w:themeColor="text1"/>
          <w:sz w:val="16"/>
          <w:szCs w:val="16"/>
        </w:rPr>
        <w:softHyphen/>
        <w:t xml:space="preserve">единяется к ходатайству НТУ ВСНХ и просит вас поддержать это ходатайство перед Президиумом ВСНХ СССР, с </w:t>
      </w:r>
      <w:proofErr w:type="spellStart"/>
      <w:r w:rsidRPr="00A259BD">
        <w:rPr>
          <w:rFonts w:ascii="Times New Roman" w:hAnsi="Times New Roman"/>
          <w:color w:val="000000" w:themeColor="text1"/>
          <w:sz w:val="16"/>
          <w:szCs w:val="16"/>
        </w:rPr>
        <w:t>тем.чтобы</w:t>
      </w:r>
      <w:proofErr w:type="spellEnd"/>
      <w:r w:rsidRPr="00A259BD">
        <w:rPr>
          <w:rFonts w:ascii="Times New Roman" w:hAnsi="Times New Roman"/>
          <w:color w:val="000000" w:themeColor="text1"/>
          <w:sz w:val="16"/>
          <w:szCs w:val="16"/>
        </w:rPr>
        <w:t>, дав ЦАГИ отпуском необходимых средств возможность уже осенью текущего года приступить к работам по опытному дирижаблестроению, обеспечить в дальнейшем плановость на</w:t>
      </w:r>
      <w:r w:rsidRPr="00A259BD">
        <w:rPr>
          <w:rFonts w:ascii="Times New Roman" w:hAnsi="Times New Roman"/>
          <w:color w:val="000000" w:themeColor="text1"/>
          <w:sz w:val="16"/>
          <w:szCs w:val="16"/>
        </w:rPr>
        <w:softHyphen/>
        <w:t>меченных работ и тем гарантировать своевременное созда</w:t>
      </w:r>
      <w:r w:rsidRPr="00A259BD">
        <w:rPr>
          <w:rFonts w:ascii="Times New Roman" w:hAnsi="Times New Roman"/>
          <w:color w:val="000000" w:themeColor="text1"/>
          <w:sz w:val="16"/>
          <w:szCs w:val="16"/>
        </w:rPr>
        <w:softHyphen/>
        <w:t>ние в СССР на прочных основаниях производственного центра по дирижаблестроению.</w:t>
      </w:r>
    </w:p>
    <w:p w14:paraId="77E3D2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Размер средств, в соответствии с представленным планом, на 1928/29 г., определяется суммой 1.700.000 рублей.</w:t>
      </w:r>
    </w:p>
    <w:p w14:paraId="7A109C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проект сношения Председателя РВС СССР на имя Президиума ВСНХ СССР.</w:t>
      </w:r>
    </w:p>
    <w:p w14:paraId="6A3E6C5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 ВОЕННЫХ ВОЗДУШНЫХ СИЛ РККА /БАРАНОВ/</w:t>
      </w:r>
    </w:p>
    <w:p w14:paraId="77CE4D0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ЦАСА, ф. 4, оп. 2, д. 398, </w:t>
      </w:r>
      <w:proofErr w:type="spellStart"/>
      <w:r w:rsidRPr="00A259BD">
        <w:rPr>
          <w:rFonts w:ascii="Times New Roman" w:hAnsi="Times New Roman"/>
          <w:color w:val="000000" w:themeColor="text1"/>
          <w:sz w:val="16"/>
          <w:szCs w:val="16"/>
        </w:rPr>
        <w:t>л.л</w:t>
      </w:r>
      <w:proofErr w:type="spellEnd"/>
      <w:r w:rsidRPr="00A259BD">
        <w:rPr>
          <w:rFonts w:ascii="Times New Roman" w:hAnsi="Times New Roman"/>
          <w:color w:val="000000" w:themeColor="text1"/>
          <w:sz w:val="16"/>
          <w:szCs w:val="16"/>
        </w:rPr>
        <w:t>. 1-6 (1026,64).</w:t>
      </w:r>
    </w:p>
    <w:p w14:paraId="406E95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сентябре 1928 НАЧАЛЬНИК Военных воздушных Сил РККА Баранов </w:t>
      </w:r>
      <w:proofErr w:type="spellStart"/>
      <w:r w:rsidRPr="00A259BD">
        <w:rPr>
          <w:rFonts w:ascii="Times New Roman" w:hAnsi="Times New Roman"/>
          <w:color w:val="000000" w:themeColor="text1"/>
          <w:sz w:val="16"/>
          <w:szCs w:val="16"/>
        </w:rPr>
        <w:t>аисал</w:t>
      </w:r>
      <w:proofErr w:type="spellEnd"/>
      <w:r w:rsidRPr="00A259BD">
        <w:rPr>
          <w:rFonts w:ascii="Times New Roman" w:hAnsi="Times New Roman"/>
          <w:color w:val="000000" w:themeColor="text1"/>
          <w:sz w:val="16"/>
          <w:szCs w:val="16"/>
        </w:rPr>
        <w:t xml:space="preserve"> ПРЕДСЕДАТЕЛЮ РЕВОЛЮЦИОННОГО ВОЕННОГО СОВЕТА СОЮЗА ССР.</w:t>
      </w:r>
    </w:p>
    <w:p w14:paraId="6D5FEA8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РАПОРТ.</w:t>
      </w:r>
    </w:p>
    <w:p w14:paraId="13B5EF3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Представляя при сем доклад о целесообразности и свое</w:t>
      </w:r>
      <w:r w:rsidRPr="00A259BD">
        <w:rPr>
          <w:rFonts w:ascii="Times New Roman" w:hAnsi="Times New Roman"/>
          <w:color w:val="000000" w:themeColor="text1"/>
          <w:sz w:val="16"/>
          <w:szCs w:val="16"/>
        </w:rPr>
        <w:softHyphen/>
        <w:t>временности развертывания в СССР статного дирижаблестрое</w:t>
      </w:r>
      <w:r w:rsidRPr="00A259BD">
        <w:rPr>
          <w:rFonts w:ascii="Times New Roman" w:hAnsi="Times New Roman"/>
          <w:color w:val="000000" w:themeColor="text1"/>
          <w:sz w:val="16"/>
          <w:szCs w:val="16"/>
        </w:rPr>
        <w:softHyphen/>
        <w:t>ния с просьбой поддержать перед Президиумом ВСНХ СССР ходатайство Коллегии НТК ВСНХ об отпуске Центральному Аэро-Гидродинамическому Институту необходимых средств, обе</w:t>
      </w:r>
      <w:r w:rsidRPr="00A259BD">
        <w:rPr>
          <w:rFonts w:ascii="Times New Roman" w:hAnsi="Times New Roman"/>
          <w:color w:val="000000" w:themeColor="text1"/>
          <w:sz w:val="16"/>
          <w:szCs w:val="16"/>
        </w:rPr>
        <w:softHyphen/>
        <w:t>спечивающих начало работ с осени текущего года, УВВС РККА доносит, что им были приняты меры к получению заключений от УВМС РККА и Штаба РККА о надобности и предполагаемых размерах использования дирижаблей в будущем для обслужи</w:t>
      </w:r>
      <w:r w:rsidRPr="00A259BD">
        <w:rPr>
          <w:rFonts w:ascii="Times New Roman" w:hAnsi="Times New Roman"/>
          <w:color w:val="000000" w:themeColor="text1"/>
          <w:sz w:val="16"/>
          <w:szCs w:val="16"/>
        </w:rPr>
        <w:softHyphen/>
        <w:t>вания армии и флота.</w:t>
      </w:r>
    </w:p>
    <w:p w14:paraId="45A658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Управление военных морских Сил в своем заключении указывает, что считая применение дирижаблей на службе фло</w:t>
      </w:r>
      <w:r w:rsidRPr="00A259BD">
        <w:rPr>
          <w:rFonts w:ascii="Times New Roman" w:hAnsi="Times New Roman"/>
          <w:color w:val="000000" w:themeColor="text1"/>
          <w:sz w:val="16"/>
          <w:szCs w:val="16"/>
        </w:rPr>
        <w:softHyphen/>
        <w:t>та вполне целесообразным, полагает, однако, что поднимать вопрос о дирижаблестроении для обслуживания военно-морских Сил РККА в настоящее время преждевременно. УВВС РККА не может согласиться с заключением УВМС о преждевремен</w:t>
      </w:r>
      <w:r w:rsidRPr="00A259BD">
        <w:rPr>
          <w:rFonts w:ascii="Times New Roman" w:hAnsi="Times New Roman"/>
          <w:color w:val="000000" w:themeColor="text1"/>
          <w:sz w:val="16"/>
          <w:szCs w:val="16"/>
        </w:rPr>
        <w:softHyphen/>
        <w:t>ности постановки этого вопроса, так как, если не приступить теперь же к работам по дирижаблестроению как в отноше</w:t>
      </w:r>
      <w:r w:rsidRPr="00A259BD">
        <w:rPr>
          <w:rFonts w:ascii="Times New Roman" w:hAnsi="Times New Roman"/>
          <w:color w:val="000000" w:themeColor="text1"/>
          <w:sz w:val="16"/>
          <w:szCs w:val="16"/>
        </w:rPr>
        <w:softHyphen/>
        <w:t xml:space="preserve">нии научно-исследовательской </w:t>
      </w:r>
      <w:proofErr w:type="spellStart"/>
      <w:r w:rsidRPr="00A259BD">
        <w:rPr>
          <w:rFonts w:ascii="Times New Roman" w:hAnsi="Times New Roman"/>
          <w:color w:val="000000" w:themeColor="text1"/>
          <w:sz w:val="16"/>
          <w:szCs w:val="16"/>
        </w:rPr>
        <w:t>части,так</w:t>
      </w:r>
      <w:proofErr w:type="spellEnd"/>
      <w:r w:rsidRPr="00A259BD">
        <w:rPr>
          <w:rFonts w:ascii="Times New Roman" w:hAnsi="Times New Roman"/>
          <w:color w:val="000000" w:themeColor="text1"/>
          <w:sz w:val="16"/>
          <w:szCs w:val="16"/>
        </w:rPr>
        <w:t xml:space="preserve"> и в отношении разработки и осуществления опытных </w:t>
      </w:r>
      <w:proofErr w:type="spellStart"/>
      <w:r w:rsidRPr="00A259BD">
        <w:rPr>
          <w:rFonts w:ascii="Times New Roman" w:hAnsi="Times New Roman"/>
          <w:color w:val="000000" w:themeColor="text1"/>
          <w:sz w:val="16"/>
          <w:szCs w:val="16"/>
        </w:rPr>
        <w:t>конетрукций,имеющих</w:t>
      </w:r>
      <w:proofErr w:type="spellEnd"/>
      <w:r w:rsidRPr="00A259BD">
        <w:rPr>
          <w:rFonts w:ascii="Times New Roman" w:hAnsi="Times New Roman"/>
          <w:color w:val="000000" w:themeColor="text1"/>
          <w:sz w:val="16"/>
          <w:szCs w:val="16"/>
        </w:rPr>
        <w:t xml:space="preserve"> своей целью создание в ближайшие годы типовых конструк</w:t>
      </w:r>
      <w:r w:rsidRPr="00A259BD">
        <w:rPr>
          <w:rFonts w:ascii="Times New Roman" w:hAnsi="Times New Roman"/>
          <w:color w:val="000000" w:themeColor="text1"/>
          <w:sz w:val="16"/>
          <w:szCs w:val="16"/>
        </w:rPr>
        <w:softHyphen/>
        <w:t xml:space="preserve">ций </w:t>
      </w:r>
      <w:proofErr w:type="spellStart"/>
      <w:r w:rsidRPr="00A259BD">
        <w:rPr>
          <w:rFonts w:ascii="Times New Roman" w:hAnsi="Times New Roman"/>
          <w:color w:val="000000" w:themeColor="text1"/>
          <w:sz w:val="16"/>
          <w:szCs w:val="16"/>
        </w:rPr>
        <w:t>дирижаблей,наиболее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приештеадых</w:t>
      </w:r>
      <w:proofErr w:type="spellEnd"/>
      <w:r w:rsidRPr="00A259BD">
        <w:rPr>
          <w:rFonts w:ascii="Times New Roman" w:hAnsi="Times New Roman"/>
          <w:color w:val="000000" w:themeColor="text1"/>
          <w:sz w:val="16"/>
          <w:szCs w:val="16"/>
        </w:rPr>
        <w:t xml:space="preserve"> в условиях нашего Со</w:t>
      </w:r>
      <w:r w:rsidRPr="00A259BD">
        <w:rPr>
          <w:rFonts w:ascii="Times New Roman" w:hAnsi="Times New Roman"/>
          <w:color w:val="000000" w:themeColor="text1"/>
          <w:sz w:val="16"/>
          <w:szCs w:val="16"/>
        </w:rPr>
        <w:softHyphen/>
        <w:t>юза, невозможно будет своевременно обеспечить потребность Военно-морских Сил в дирижаблях.</w:t>
      </w:r>
    </w:p>
    <w:p w14:paraId="19A048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касается заключения Штаба РККА, то таковое не мог</w:t>
      </w:r>
      <w:r w:rsidRPr="00A259BD">
        <w:rPr>
          <w:rFonts w:ascii="Times New Roman" w:hAnsi="Times New Roman"/>
          <w:color w:val="000000" w:themeColor="text1"/>
          <w:sz w:val="16"/>
          <w:szCs w:val="16"/>
        </w:rPr>
        <w:softHyphen/>
        <w:t xml:space="preserve">ло быть своевременно получено вследствие </w:t>
      </w:r>
      <w:proofErr w:type="spellStart"/>
      <w:r w:rsidRPr="00A259BD">
        <w:rPr>
          <w:rFonts w:ascii="Times New Roman" w:hAnsi="Times New Roman"/>
          <w:color w:val="000000" w:themeColor="text1"/>
          <w:sz w:val="16"/>
          <w:szCs w:val="16"/>
        </w:rPr>
        <w:t>от"езда</w:t>
      </w:r>
      <w:proofErr w:type="spellEnd"/>
      <w:r w:rsidRPr="00A259BD">
        <w:rPr>
          <w:rFonts w:ascii="Times New Roman" w:hAnsi="Times New Roman"/>
          <w:color w:val="000000" w:themeColor="text1"/>
          <w:sz w:val="16"/>
          <w:szCs w:val="16"/>
        </w:rPr>
        <w:t xml:space="preserve"> на </w:t>
      </w:r>
      <w:proofErr w:type="spellStart"/>
      <w:r w:rsidRPr="00A259BD">
        <w:rPr>
          <w:rFonts w:ascii="Times New Roman" w:hAnsi="Times New Roman"/>
          <w:color w:val="000000" w:themeColor="text1"/>
          <w:sz w:val="16"/>
          <w:szCs w:val="16"/>
        </w:rPr>
        <w:t>маненвры</w:t>
      </w:r>
      <w:proofErr w:type="spellEnd"/>
      <w:r w:rsidRPr="00A259BD">
        <w:rPr>
          <w:rFonts w:ascii="Times New Roman" w:hAnsi="Times New Roman"/>
          <w:color w:val="000000" w:themeColor="text1"/>
          <w:sz w:val="16"/>
          <w:szCs w:val="16"/>
        </w:rPr>
        <w:t xml:space="preserve"> компетентных в данное вопросе работников Штаба.</w:t>
      </w:r>
    </w:p>
    <w:p w14:paraId="35068B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 ВОЕННЫХ ВОЗДУШНЫХ СИЛ /БАРАНОВ/</w:t>
      </w:r>
    </w:p>
    <w:p w14:paraId="571655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ЦАСА, ф. 4, оп. 2, д. 398, </w:t>
      </w:r>
      <w:proofErr w:type="spellStart"/>
      <w:r w:rsidRPr="00A259BD">
        <w:rPr>
          <w:rFonts w:ascii="Times New Roman" w:hAnsi="Times New Roman"/>
          <w:color w:val="000000" w:themeColor="text1"/>
          <w:sz w:val="16"/>
          <w:szCs w:val="16"/>
        </w:rPr>
        <w:t>л.л</w:t>
      </w:r>
      <w:proofErr w:type="spellEnd"/>
      <w:r w:rsidRPr="00A259BD">
        <w:rPr>
          <w:rFonts w:ascii="Times New Roman" w:hAnsi="Times New Roman"/>
          <w:color w:val="000000" w:themeColor="text1"/>
          <w:sz w:val="16"/>
          <w:szCs w:val="16"/>
        </w:rPr>
        <w:t>. 7 (1026,78).</w:t>
      </w:r>
    </w:p>
    <w:p w14:paraId="0EEA51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5C5269" w14:textId="77777777" w:rsidR="00825262" w:rsidRPr="00A259BD" w:rsidRDefault="00825262"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BD262AE" w14:textId="77777777" w:rsidR="00825262" w:rsidRPr="00A259BD" w:rsidRDefault="0082526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4F9BC9F"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февраля 1929 г. состоялось первое заседание Комиссии АУ РККА по рассмотрению проектов батальонных мортир (вар. 3). На рассмотрение жюри было представлено 11 проектов: мортира конструкторов Глухарева, Щелкова и Тягунова (ГЩТ), мортира КБ АК, мортира Мотовилихинского машиностроительного завода, мортира адъюнкта Военно-технической академии (ВТА) А. А. Толочкова, мортира завода «Красный Путиловец» (в трех вариантах), мортира завода «Большевик», мортира КБ ОАТ, мортира конструктора Н. Е. Дмитриева и мортира марки «БОНК» (завод №8 им. М. И. Калинина, г. Москва).146 После рассмотрения всех проектов 13 марта 1929 г. было принято решение заказать опытные образцы мортир проекта КБ АК, заводов «Большевик» и «Красный Путиловец» (вариант №3) и ГЩТ. 147 В начале апреля 1929 г. КБ АК было проинформировано о том, что в соответствии с постановлениями РВС СССР и директивами Штаба РККА первоочередной работой по батальонным мортирам было признано проектирование систем по т.н. 3-му варианту, в связи с чем проектирование систем по 2-му варианту (КБ АК уже был представлен проект такой системы) признавалось утратившим значение.148 (20074).</w:t>
      </w:r>
    </w:p>
    <w:p w14:paraId="4BC5DE8D" w14:textId="77777777" w:rsidR="00825262" w:rsidRPr="00A259BD" w:rsidRDefault="00825262" w:rsidP="009236E3">
      <w:pPr>
        <w:spacing w:after="0" w:line="240" w:lineRule="auto"/>
        <w:jc w:val="both"/>
        <w:rPr>
          <w:rFonts w:ascii="Times New Roman" w:hAnsi="Times New Roman"/>
          <w:color w:val="000000" w:themeColor="text1"/>
          <w:sz w:val="16"/>
          <w:szCs w:val="16"/>
        </w:rPr>
      </w:pPr>
    </w:p>
    <w:p w14:paraId="4E53680C" w14:textId="77777777" w:rsidR="00860234"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70CB6940" w14:textId="77777777" w:rsidR="00860234" w:rsidRPr="00A259BD" w:rsidRDefault="0086023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691B4BC" w14:textId="77777777" w:rsidR="00860234" w:rsidRPr="00A259BD" w:rsidRDefault="00860234" w:rsidP="009236E3">
      <w:pPr>
        <w:pStyle w:val="ae"/>
        <w:spacing w:before="0" w:after="0"/>
        <w:jc w:val="both"/>
        <w:rPr>
          <w:bCs/>
          <w:color w:val="000000" w:themeColor="text1"/>
          <w:sz w:val="16"/>
          <w:szCs w:val="16"/>
        </w:rPr>
      </w:pPr>
      <w:r w:rsidRPr="00A259BD">
        <w:rPr>
          <w:bCs/>
          <w:color w:val="000000" w:themeColor="text1"/>
          <w:sz w:val="16"/>
          <w:szCs w:val="16"/>
        </w:rPr>
        <w:t xml:space="preserve">20 февраля 1929 </w:t>
      </w:r>
      <w:r w:rsidRPr="00A259BD">
        <w:rPr>
          <w:bCs/>
          <w:color w:val="000000" w:themeColor="text1"/>
          <w:sz w:val="16"/>
          <w:szCs w:val="16"/>
          <w:lang w:val="en-US"/>
        </w:rPr>
        <w:t>c</w:t>
      </w:r>
      <w:proofErr w:type="spellStart"/>
      <w:r w:rsidRPr="00A259BD">
        <w:rPr>
          <w:bCs/>
          <w:color w:val="000000" w:themeColor="text1"/>
          <w:sz w:val="16"/>
          <w:szCs w:val="16"/>
        </w:rPr>
        <w:t>остоялось</w:t>
      </w:r>
      <w:proofErr w:type="spellEnd"/>
      <w:r w:rsidRPr="00A259BD">
        <w:rPr>
          <w:bCs/>
          <w:color w:val="000000" w:themeColor="text1"/>
          <w:sz w:val="16"/>
          <w:szCs w:val="16"/>
        </w:rPr>
        <w:t xml:space="preserve"> расширенное заседание РВС СССР с повесткой дня: итоги строительства РККА, состояние армии и флота, и пятилетний план их развития (1929-1934 гг.) (17150).</w:t>
      </w:r>
    </w:p>
    <w:p w14:paraId="5ECF6D22" w14:textId="77777777" w:rsidR="00860234" w:rsidRPr="00A259BD" w:rsidRDefault="00860234" w:rsidP="009236E3">
      <w:pPr>
        <w:pStyle w:val="ae"/>
        <w:spacing w:before="0" w:after="0"/>
        <w:jc w:val="both"/>
        <w:rPr>
          <w:bCs/>
          <w:color w:val="000000" w:themeColor="text1"/>
          <w:sz w:val="16"/>
          <w:szCs w:val="16"/>
        </w:rPr>
      </w:pPr>
    </w:p>
    <w:p w14:paraId="569A8D3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22844F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DEB2E6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февраля 1929 года в ходе испытаний самолета ТБ-1 БМВ6 в НИИ ВВС был выполнен полет на управляемость. Летчик </w:t>
      </w:r>
      <w:proofErr w:type="spellStart"/>
      <w:r w:rsidRPr="00A259BD">
        <w:rPr>
          <w:rFonts w:ascii="Times New Roman" w:hAnsi="Times New Roman"/>
          <w:color w:val="000000" w:themeColor="text1"/>
          <w:sz w:val="16"/>
          <w:szCs w:val="16"/>
        </w:rPr>
        <w:t>Волковойнов</w:t>
      </w:r>
      <w:proofErr w:type="spellEnd"/>
      <w:r w:rsidRPr="00A259BD">
        <w:rPr>
          <w:rFonts w:ascii="Times New Roman" w:hAnsi="Times New Roman"/>
          <w:color w:val="000000" w:themeColor="text1"/>
          <w:sz w:val="16"/>
          <w:szCs w:val="16"/>
        </w:rPr>
        <w:t xml:space="preserve"> (6913).</w:t>
      </w:r>
    </w:p>
    <w:p w14:paraId="225FB10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1776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февраля 1929 г. прервались госиспытания АНТ-4 дублер -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3B3054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18B0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февраля 1929 состоялось заседание 1-й Секции НК УВВС (журнал 8с) по вопросу "О гидросамолете ТОМ 2БМВ-6" - докладывал Тулупов по материалам по ТОМ и БОМ. Отметил некоторые недостатки. Постановили:</w:t>
      </w:r>
    </w:p>
    <w:p w14:paraId="763D22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Самолет монокок пассажирского типа БОМ с полезной нагрузкой 1500 кг не может рассматриваться как торпедоносец, т.к. не допускает асимметричной нагрузки и поэтому вынуждены остановиться на ТОМ (поплавковом).</w:t>
      </w:r>
    </w:p>
    <w:p w14:paraId="226529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Схема поплавкового самолета, не допускающего работы вдали от берегов в условиях погоды, предусмотренных ТТ, полностью удовлетворить УВВС не может, т.к. самолет ЮГ-1, аналогичный ТОМ, этим требованиям не удовлетворяет...(2363).</w:t>
      </w:r>
    </w:p>
    <w:p w14:paraId="1DE530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гидросамолетах ТОМ-2БМВУ1</w:t>
      </w:r>
    </w:p>
    <w:p w14:paraId="7C8D97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Постоянный член НТК т. Тулупов доложил представленные материалы по с-там ТОМ и БОМ</w:t>
      </w:r>
    </w:p>
    <w:p w14:paraId="5EF5A14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Рассматривая представленный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проект самолета ТОМ (поплавковый) как эскизный, необходимо представить следующие, требуемые общими техническими условиями материалы:</w:t>
      </w:r>
    </w:p>
    <w:p w14:paraId="10392B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Изыскание рациональных размеров или статических данных, оправдывающих принятые основные размеры самолета</w:t>
      </w:r>
    </w:p>
    <w:p w14:paraId="7C5195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Подбор размеров оперения по статистическому методу.</w:t>
      </w:r>
    </w:p>
    <w:p w14:paraId="60E848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w:t>
      </w:r>
      <w:proofErr w:type="spellStart"/>
      <w:r w:rsidRPr="00A259BD">
        <w:rPr>
          <w:rFonts w:ascii="Times New Roman" w:hAnsi="Times New Roman"/>
          <w:color w:val="000000" w:themeColor="text1"/>
          <w:sz w:val="16"/>
          <w:szCs w:val="16"/>
        </w:rPr>
        <w:t>Об"яснительную</w:t>
      </w:r>
      <w:proofErr w:type="spellEnd"/>
      <w:r w:rsidRPr="00A259BD">
        <w:rPr>
          <w:rFonts w:ascii="Times New Roman" w:hAnsi="Times New Roman"/>
          <w:color w:val="000000" w:themeColor="text1"/>
          <w:sz w:val="16"/>
          <w:szCs w:val="16"/>
        </w:rPr>
        <w:t xml:space="preserve"> записку, в которой указывается, как выполнены технические требования и даются обоснования принятых типа и конструкции главнейших частей самолета.</w:t>
      </w:r>
    </w:p>
    <w:p w14:paraId="4A2C35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Оценку схем обзора и обстрела самолета по установленным УВВС нормам.</w:t>
      </w:r>
    </w:p>
    <w:p w14:paraId="1D1ADC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Пояснительный текст к аэродинамическому расчету /откуда взять винт, способы учета обдувки от винта/.</w:t>
      </w:r>
    </w:p>
    <w:p w14:paraId="2A98D1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представленного материала, характеризующего морс</w:t>
      </w:r>
      <w:r w:rsidRPr="00A259BD">
        <w:rPr>
          <w:rFonts w:ascii="Times New Roman" w:hAnsi="Times New Roman"/>
          <w:color w:val="000000" w:themeColor="text1"/>
          <w:sz w:val="16"/>
          <w:szCs w:val="16"/>
        </w:rPr>
        <w:softHyphen/>
        <w:t>кие качества самолета сделать выводы о соблюдении море</w:t>
      </w:r>
      <w:r w:rsidRPr="00A259BD">
        <w:rPr>
          <w:rFonts w:ascii="Times New Roman" w:hAnsi="Times New Roman"/>
          <w:color w:val="000000" w:themeColor="text1"/>
          <w:sz w:val="16"/>
          <w:szCs w:val="16"/>
        </w:rPr>
        <w:softHyphen/>
        <w:t xml:space="preserve">ходных качеств самолета требуемых </w:t>
      </w:r>
      <w:proofErr w:type="spellStart"/>
      <w:r w:rsidRPr="00A259BD">
        <w:rPr>
          <w:rFonts w:ascii="Times New Roman" w:hAnsi="Times New Roman"/>
          <w:color w:val="000000" w:themeColor="text1"/>
          <w:sz w:val="16"/>
          <w:szCs w:val="16"/>
        </w:rPr>
        <w:t>техтребованиями</w:t>
      </w:r>
      <w:proofErr w:type="spellEnd"/>
      <w:r w:rsidRPr="00A259BD">
        <w:rPr>
          <w:rFonts w:ascii="Times New Roman" w:hAnsi="Times New Roman"/>
          <w:color w:val="000000" w:themeColor="text1"/>
          <w:sz w:val="16"/>
          <w:szCs w:val="16"/>
        </w:rPr>
        <w:t xml:space="preserve"> не представляется возможным из за отсутствия расчетов подтверж</w:t>
      </w:r>
      <w:r w:rsidRPr="00A259BD">
        <w:rPr>
          <w:rFonts w:ascii="Times New Roman" w:hAnsi="Times New Roman"/>
          <w:color w:val="000000" w:themeColor="text1"/>
          <w:sz w:val="16"/>
          <w:szCs w:val="16"/>
        </w:rPr>
        <w:softHyphen/>
        <w:t>дающих их соблюдение, так как обстановка погоды не отра</w:t>
      </w:r>
      <w:r w:rsidRPr="00A259BD">
        <w:rPr>
          <w:rFonts w:ascii="Times New Roman" w:hAnsi="Times New Roman"/>
          <w:color w:val="000000" w:themeColor="text1"/>
          <w:sz w:val="16"/>
          <w:szCs w:val="16"/>
        </w:rPr>
        <w:softHyphen/>
        <w:t>жена.</w:t>
      </w:r>
    </w:p>
    <w:p w14:paraId="43A9D7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 определения опорных ватерлиний для случаев запол</w:t>
      </w:r>
      <w:r w:rsidRPr="00A259BD">
        <w:rPr>
          <w:rFonts w:ascii="Times New Roman" w:hAnsi="Times New Roman"/>
          <w:color w:val="000000" w:themeColor="text1"/>
          <w:sz w:val="16"/>
          <w:szCs w:val="16"/>
        </w:rPr>
        <w:softHyphen/>
        <w:t xml:space="preserve">нения двух соседних отсеков поплавка и доказательства требуемой </w:t>
      </w:r>
      <w:proofErr w:type="spellStart"/>
      <w:r w:rsidRPr="00A259BD">
        <w:rPr>
          <w:rFonts w:ascii="Times New Roman" w:hAnsi="Times New Roman"/>
          <w:color w:val="000000" w:themeColor="text1"/>
          <w:sz w:val="16"/>
          <w:szCs w:val="16"/>
        </w:rPr>
        <w:t>техтребованиями</w:t>
      </w:r>
      <w:proofErr w:type="spellEnd"/>
      <w:r w:rsidRPr="00A259BD">
        <w:rPr>
          <w:rFonts w:ascii="Times New Roman" w:hAnsi="Times New Roman"/>
          <w:color w:val="000000" w:themeColor="text1"/>
          <w:sz w:val="16"/>
          <w:szCs w:val="16"/>
        </w:rPr>
        <w:t xml:space="preserve"> плавучести и остойчивости са</w:t>
      </w:r>
      <w:r w:rsidRPr="00A259BD">
        <w:rPr>
          <w:rFonts w:ascii="Times New Roman" w:hAnsi="Times New Roman"/>
          <w:color w:val="000000" w:themeColor="text1"/>
          <w:sz w:val="16"/>
          <w:szCs w:val="16"/>
        </w:rPr>
        <w:softHyphen/>
        <w:t>молета на плаву, отсутствует кривая Рида статической и динамической остойчивости в данной обстановке по которой можно было бы определить соблюдение требований безопасно: крена и дифферента в заданных условиях погоды. Имеется только вычисление начального метацентрического радиуса. Таким образом, до представления отсутствующих расчетов дать оценку самолета с мореходкой точки зрения нельзя.</w:t>
      </w:r>
    </w:p>
    <w:p w14:paraId="65C0AF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Соответствие техническим требованиям летных данных.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45"/>
        <w:gridCol w:w="1966"/>
        <w:gridCol w:w="1656"/>
        <w:gridCol w:w="1836"/>
      </w:tblGrid>
      <w:tr w:rsidR="00A259BD" w:rsidRPr="00A259BD" w14:paraId="49C7B07F" w14:textId="77777777">
        <w:trPr>
          <w:trHeight w:val="338"/>
        </w:trPr>
        <w:tc>
          <w:tcPr>
            <w:tcW w:w="2045" w:type="dxa"/>
            <w:tcBorders>
              <w:top w:val="single" w:sz="12" w:space="0" w:color="auto"/>
            </w:tcBorders>
          </w:tcPr>
          <w:p w14:paraId="2C1E32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6" w:type="dxa"/>
            <w:tcBorders>
              <w:top w:val="single" w:sz="12" w:space="0" w:color="auto"/>
            </w:tcBorders>
          </w:tcPr>
          <w:p w14:paraId="1D879D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требованиям</w:t>
            </w:r>
          </w:p>
        </w:tc>
        <w:tc>
          <w:tcPr>
            <w:tcW w:w="1656" w:type="dxa"/>
            <w:tcBorders>
              <w:top w:val="single" w:sz="12" w:space="0" w:color="auto"/>
            </w:tcBorders>
          </w:tcPr>
          <w:p w14:paraId="76BD9E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проекту</w:t>
            </w:r>
          </w:p>
        </w:tc>
        <w:tc>
          <w:tcPr>
            <w:tcW w:w="1836" w:type="dxa"/>
            <w:tcBorders>
              <w:top w:val="single" w:sz="12" w:space="0" w:color="auto"/>
            </w:tcBorders>
          </w:tcPr>
          <w:p w14:paraId="636C38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контрольному пересчету</w:t>
            </w:r>
          </w:p>
        </w:tc>
      </w:tr>
      <w:tr w:rsidR="00A259BD" w:rsidRPr="00A259BD" w14:paraId="652CE817" w14:textId="77777777">
        <w:trPr>
          <w:trHeight w:val="238"/>
        </w:trPr>
        <w:tc>
          <w:tcPr>
            <w:tcW w:w="2045" w:type="dxa"/>
          </w:tcPr>
          <w:p w14:paraId="0CCADB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Горизонтальная скорость на 3000 м</w:t>
            </w:r>
          </w:p>
          <w:p w14:paraId="5D6484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6" w:type="dxa"/>
          </w:tcPr>
          <w:p w14:paraId="7433FF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180 к/час</w:t>
            </w:r>
          </w:p>
          <w:p w14:paraId="09E250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A3535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220</w:t>
            </w:r>
          </w:p>
        </w:tc>
        <w:tc>
          <w:tcPr>
            <w:tcW w:w="1836" w:type="dxa"/>
          </w:tcPr>
          <w:p w14:paraId="766393E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w:t>
            </w:r>
          </w:p>
        </w:tc>
      </w:tr>
      <w:tr w:rsidR="00A259BD" w:rsidRPr="00A259BD" w14:paraId="65E21DF8" w14:textId="77777777">
        <w:trPr>
          <w:trHeight w:val="108"/>
        </w:trPr>
        <w:tc>
          <w:tcPr>
            <w:tcW w:w="2045" w:type="dxa"/>
          </w:tcPr>
          <w:p w14:paraId="06D0B3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Посадочная скорость</w:t>
            </w:r>
          </w:p>
        </w:tc>
        <w:tc>
          <w:tcPr>
            <w:tcW w:w="1966" w:type="dxa"/>
          </w:tcPr>
          <w:p w14:paraId="0F94DD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w:t>
            </w:r>
          </w:p>
        </w:tc>
        <w:tc>
          <w:tcPr>
            <w:tcW w:w="1656" w:type="dxa"/>
          </w:tcPr>
          <w:p w14:paraId="5CEF33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836" w:type="dxa"/>
          </w:tcPr>
          <w:p w14:paraId="5FA2068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w:t>
            </w:r>
          </w:p>
        </w:tc>
      </w:tr>
      <w:tr w:rsidR="00A259BD" w:rsidRPr="00A259BD" w14:paraId="63A50AA9" w14:textId="77777777">
        <w:trPr>
          <w:trHeight w:val="216"/>
        </w:trPr>
        <w:tc>
          <w:tcPr>
            <w:tcW w:w="2045" w:type="dxa"/>
            <w:tcBorders>
              <w:bottom w:val="single" w:sz="12" w:space="0" w:color="auto"/>
            </w:tcBorders>
          </w:tcPr>
          <w:p w14:paraId="2EA4AFA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Потолок практический</w:t>
            </w:r>
          </w:p>
        </w:tc>
        <w:tc>
          <w:tcPr>
            <w:tcW w:w="1966" w:type="dxa"/>
            <w:tcBorders>
              <w:bottom w:val="single" w:sz="12" w:space="0" w:color="auto"/>
            </w:tcBorders>
          </w:tcPr>
          <w:p w14:paraId="7EF262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4500</w:t>
            </w:r>
          </w:p>
        </w:tc>
        <w:tc>
          <w:tcPr>
            <w:tcW w:w="1656" w:type="dxa"/>
            <w:tcBorders>
              <w:bottom w:val="single" w:sz="12" w:space="0" w:color="auto"/>
            </w:tcBorders>
          </w:tcPr>
          <w:p w14:paraId="33BE2A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w:t>
            </w:r>
          </w:p>
        </w:tc>
        <w:tc>
          <w:tcPr>
            <w:tcW w:w="1836" w:type="dxa"/>
            <w:tcBorders>
              <w:bottom w:val="single" w:sz="12" w:space="0" w:color="auto"/>
            </w:tcBorders>
          </w:tcPr>
          <w:p w14:paraId="2180C2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w:t>
            </w:r>
          </w:p>
        </w:tc>
      </w:tr>
    </w:tbl>
    <w:p w14:paraId="4D96F3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Данные по проекту указаны для мощности в </w:t>
      </w:r>
      <w:r w:rsidRPr="00A259BD">
        <w:rPr>
          <w:rFonts w:ascii="Times New Roman" w:hAnsi="Times New Roman"/>
          <w:color w:val="000000" w:themeColor="text1"/>
          <w:sz w:val="16"/>
          <w:szCs w:val="16"/>
          <w:vertAlign w:val="subscript"/>
        </w:rPr>
        <w:t xml:space="preserve">3 </w:t>
      </w:r>
      <w:proofErr w:type="spellStart"/>
      <w:r w:rsidRPr="00A259BD">
        <w:rPr>
          <w:rFonts w:ascii="Times New Roman" w:hAnsi="Times New Roman"/>
          <w:color w:val="000000" w:themeColor="text1"/>
          <w:sz w:val="16"/>
          <w:szCs w:val="16"/>
        </w:rPr>
        <w:t>ковой</w:t>
      </w:r>
      <w:proofErr w:type="spellEnd"/>
      <w:r w:rsidRPr="00A259BD">
        <w:rPr>
          <w:rFonts w:ascii="Times New Roman" w:hAnsi="Times New Roman"/>
          <w:color w:val="000000" w:themeColor="text1"/>
          <w:sz w:val="16"/>
          <w:szCs w:val="16"/>
        </w:rPr>
        <w:t xml:space="preserve"> делался и контрольный пересчет.</w:t>
      </w:r>
    </w:p>
    <w:p w14:paraId="3319831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Сравнивая технические требования и проект следует отметить их преувеличенность. Считая данные контрольного пересчета более реальными соответствие техническим требованиям будем относить к ним. Имеем значительное повышение посадочной скорости против требуемой на что согласиться нельзя, так как это еще более усложнит в условиях </w:t>
      </w:r>
      <w:proofErr w:type="spellStart"/>
      <w:r w:rsidRPr="00A259BD">
        <w:rPr>
          <w:rFonts w:ascii="Times New Roman" w:hAnsi="Times New Roman"/>
          <w:color w:val="000000" w:themeColor="text1"/>
          <w:sz w:val="16"/>
          <w:szCs w:val="16"/>
        </w:rPr>
        <w:t>реданной</w:t>
      </w:r>
      <w:proofErr w:type="spellEnd"/>
      <w:r w:rsidRPr="00A259BD">
        <w:rPr>
          <w:rFonts w:ascii="Times New Roman" w:hAnsi="Times New Roman"/>
          <w:color w:val="000000" w:themeColor="text1"/>
          <w:sz w:val="16"/>
          <w:szCs w:val="16"/>
        </w:rPr>
        <w:t xml:space="preserve"> обстановки, особенно приняв во внимание очень большую </w:t>
      </w:r>
      <w:proofErr w:type="spellStart"/>
      <w:r w:rsidRPr="00A259BD">
        <w:rPr>
          <w:rFonts w:ascii="Times New Roman" w:hAnsi="Times New Roman"/>
          <w:color w:val="000000" w:themeColor="text1"/>
          <w:sz w:val="16"/>
          <w:szCs w:val="16"/>
        </w:rPr>
        <w:t>плошадь</w:t>
      </w:r>
      <w:proofErr w:type="spellEnd"/>
      <w:r w:rsidRPr="00A259BD">
        <w:rPr>
          <w:rFonts w:ascii="Times New Roman" w:hAnsi="Times New Roman"/>
          <w:color w:val="000000" w:themeColor="text1"/>
          <w:sz w:val="16"/>
          <w:szCs w:val="16"/>
        </w:rPr>
        <w:t xml:space="preserve"> ватерлиний </w:t>
      </w:r>
      <w:proofErr w:type="spellStart"/>
      <w:r w:rsidRPr="00A259BD">
        <w:rPr>
          <w:rFonts w:ascii="Times New Roman" w:hAnsi="Times New Roman"/>
          <w:color w:val="000000" w:themeColor="text1"/>
          <w:sz w:val="16"/>
          <w:szCs w:val="16"/>
        </w:rPr>
        <w:t>поплавкови</w:t>
      </w:r>
      <w:proofErr w:type="spellEnd"/>
      <w:r w:rsidRPr="00A259BD">
        <w:rPr>
          <w:rFonts w:ascii="Times New Roman" w:hAnsi="Times New Roman"/>
          <w:color w:val="000000" w:themeColor="text1"/>
          <w:sz w:val="16"/>
          <w:szCs w:val="16"/>
        </w:rPr>
        <w:t xml:space="preserve"> относительно малую </w:t>
      </w:r>
      <w:proofErr w:type="spellStart"/>
      <w:r w:rsidRPr="00A259BD">
        <w:rPr>
          <w:rFonts w:ascii="Times New Roman" w:hAnsi="Times New Roman"/>
          <w:color w:val="000000" w:themeColor="text1"/>
          <w:sz w:val="16"/>
          <w:szCs w:val="16"/>
        </w:rPr>
        <w:t>вилеватость</w:t>
      </w:r>
      <w:proofErr w:type="spellEnd"/>
      <w:r w:rsidRPr="00A259BD">
        <w:rPr>
          <w:rFonts w:ascii="Times New Roman" w:hAnsi="Times New Roman"/>
          <w:color w:val="000000" w:themeColor="text1"/>
          <w:sz w:val="16"/>
          <w:szCs w:val="16"/>
        </w:rPr>
        <w:t>.</w:t>
      </w:r>
    </w:p>
    <w:p w14:paraId="74C73D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техническим требованиям самолет должен допускать длительное крутое планирование и хорошее маневрирование. О выполнении этого требования в описании </w:t>
      </w:r>
      <w:proofErr w:type="spellStart"/>
      <w:r w:rsidRPr="00A259BD">
        <w:rPr>
          <w:rFonts w:ascii="Times New Roman" w:hAnsi="Times New Roman"/>
          <w:color w:val="000000" w:themeColor="text1"/>
          <w:sz w:val="16"/>
          <w:szCs w:val="16"/>
        </w:rPr>
        <w:t>самол</w:t>
      </w:r>
      <w:proofErr w:type="spellEnd"/>
      <w:r w:rsidRPr="00A259BD">
        <w:rPr>
          <w:rFonts w:ascii="Times New Roman" w:hAnsi="Times New Roman"/>
          <w:color w:val="000000" w:themeColor="text1"/>
          <w:sz w:val="16"/>
          <w:szCs w:val="16"/>
        </w:rPr>
        <w:t xml:space="preserve"> не указано.</w:t>
      </w:r>
    </w:p>
    <w:p w14:paraId="1A8BAB2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Расчетные весовые данные конструкции </w:t>
      </w:r>
      <w:proofErr w:type="spellStart"/>
      <w:r w:rsidRPr="00A259BD">
        <w:rPr>
          <w:rFonts w:ascii="Times New Roman" w:hAnsi="Times New Roman"/>
          <w:color w:val="000000" w:themeColor="text1"/>
          <w:sz w:val="16"/>
          <w:szCs w:val="16"/>
        </w:rPr>
        <w:t>самоле</w:t>
      </w:r>
      <w:proofErr w:type="spellEnd"/>
      <w:r w:rsidRPr="00A259BD">
        <w:rPr>
          <w:rFonts w:ascii="Times New Roman" w:hAnsi="Times New Roman"/>
          <w:color w:val="000000" w:themeColor="text1"/>
          <w:sz w:val="16"/>
          <w:szCs w:val="16"/>
        </w:rPr>
        <w:t xml:space="preserve"> не обоснованы совсем и здесь, даже беглое сравнение с существующими само летами заставляете считать, что вес конструкции будет значительно больше, чем дан в таблице. Желательно получить теперь же данные статистики, чтобы учесть возможные изменения в летные данные.</w:t>
      </w:r>
    </w:p>
    <w:p w14:paraId="7B30DDA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приложенных чертежей конструкции деталей обращает на себя внимание очень малый опорный базис крепления поплавков к фюзеляжу в продольном отношении.</w:t>
      </w:r>
    </w:p>
    <w:p w14:paraId="1CB3AF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Пропеллеры нельзя считать защищенными от брызг так как при ударах о волны широких полных ватерлиний большой </w:t>
      </w:r>
      <w:proofErr w:type="spellStart"/>
      <w:r w:rsidRPr="00A259BD">
        <w:rPr>
          <w:rFonts w:ascii="Times New Roman" w:hAnsi="Times New Roman"/>
          <w:color w:val="000000" w:themeColor="text1"/>
          <w:sz w:val="16"/>
          <w:szCs w:val="16"/>
        </w:rPr>
        <w:t>килеватости</w:t>
      </w:r>
      <w:proofErr w:type="spellEnd"/>
      <w:r w:rsidRPr="00A259BD">
        <w:rPr>
          <w:rFonts w:ascii="Times New Roman" w:hAnsi="Times New Roman"/>
          <w:color w:val="000000" w:themeColor="text1"/>
          <w:sz w:val="16"/>
          <w:szCs w:val="16"/>
        </w:rPr>
        <w:t xml:space="preserve"> донных частей будет, получать много брызг подсасываемых пропеллерами непосредственно после отражения их от обтекателя поплавков.</w:t>
      </w:r>
    </w:p>
    <w:p w14:paraId="345EA4B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самолету </w:t>
      </w:r>
      <w:proofErr w:type="spellStart"/>
      <w:r w:rsidRPr="00A259BD">
        <w:rPr>
          <w:rFonts w:ascii="Times New Roman" w:hAnsi="Times New Roman"/>
          <w:color w:val="000000" w:themeColor="text1"/>
          <w:sz w:val="16"/>
          <w:szCs w:val="16"/>
        </w:rPr>
        <w:t>БиМ</w:t>
      </w:r>
      <w:proofErr w:type="spellEnd"/>
      <w:r w:rsidRPr="00A259BD">
        <w:rPr>
          <w:rFonts w:ascii="Times New Roman" w:hAnsi="Times New Roman"/>
          <w:color w:val="000000" w:themeColor="text1"/>
          <w:sz w:val="16"/>
          <w:szCs w:val="16"/>
        </w:rPr>
        <w:t>.</w:t>
      </w:r>
    </w:p>
    <w:p w14:paraId="2DE20D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представленных материалах отсутствуют те разделы, что и для самолета ТОМ, а кроме того и весь динамический расчет. Самолет лодочного типа но без хвостовой части, обеспечивающей самолету остойчивость на воде. Выбор такой лодки, встречающейся редко среди самолетов мореходных, ничем не обоснован и наличие устойчивости пути ничем не подтверждено. Кроме того, </w:t>
      </w:r>
      <w:proofErr w:type="spellStart"/>
      <w:r w:rsidRPr="00A259BD">
        <w:rPr>
          <w:rFonts w:ascii="Times New Roman" w:hAnsi="Times New Roman"/>
          <w:color w:val="000000" w:themeColor="text1"/>
          <w:sz w:val="16"/>
          <w:szCs w:val="16"/>
        </w:rPr>
        <w:t>отлтчается</w:t>
      </w:r>
      <w:proofErr w:type="spellEnd"/>
      <w:r w:rsidRPr="00A259BD">
        <w:rPr>
          <w:rFonts w:ascii="Times New Roman" w:hAnsi="Times New Roman"/>
          <w:color w:val="000000" w:themeColor="text1"/>
          <w:sz w:val="16"/>
          <w:szCs w:val="16"/>
        </w:rPr>
        <w:t xml:space="preserve"> своим большим, широким миделем очень не...как в смысле распределения водоизмещения по </w:t>
      </w:r>
      <w:proofErr w:type="spellStart"/>
      <w:r w:rsidRPr="00A259BD">
        <w:rPr>
          <w:rFonts w:ascii="Times New Roman" w:hAnsi="Times New Roman"/>
          <w:color w:val="000000" w:themeColor="text1"/>
          <w:sz w:val="16"/>
          <w:szCs w:val="16"/>
        </w:rPr>
        <w:t>ра</w:t>
      </w:r>
      <w:proofErr w:type="spellEnd"/>
      <w:r w:rsidRPr="00A259BD">
        <w:rPr>
          <w:rFonts w:ascii="Times New Roman" w:hAnsi="Times New Roman"/>
          <w:color w:val="000000" w:themeColor="text1"/>
          <w:sz w:val="16"/>
          <w:szCs w:val="16"/>
        </w:rPr>
        <w:t xml:space="preserve">... для обеспечения поперечной остойчивости ,так и в смысле динамическом. Далее обращает на себя внимание крепления устанавливаемого на трех стержнях, сводящих в точке; подкосов нет. Необходимо проверить эту случаи несимметричной нагрузки на оперение которая </w:t>
      </w:r>
      <w:proofErr w:type="spellStart"/>
      <w:r w:rsidRPr="00A259BD">
        <w:rPr>
          <w:rFonts w:ascii="Times New Roman" w:hAnsi="Times New Roman"/>
          <w:color w:val="000000" w:themeColor="text1"/>
          <w:sz w:val="16"/>
          <w:szCs w:val="16"/>
        </w:rPr>
        <w:t>моджет</w:t>
      </w:r>
      <w:proofErr w:type="spellEnd"/>
      <w:r w:rsidRPr="00A259BD">
        <w:rPr>
          <w:rFonts w:ascii="Times New Roman" w:hAnsi="Times New Roman"/>
          <w:color w:val="000000" w:themeColor="text1"/>
          <w:sz w:val="16"/>
          <w:szCs w:val="16"/>
        </w:rPr>
        <w:t xml:space="preserve"> возникнуть в полете.</w:t>
      </w:r>
    </w:p>
    <w:p w14:paraId="543814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Аэродинамических расчетов и поляры нет, поэтому говорить о летных данных, и только на основании данных, приведенных в таблице без поляры и контрольных расчетов, не представляется возможным.</w:t>
      </w:r>
    </w:p>
    <w:p w14:paraId="067BAC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Получать представление о морских качествах также затруднительно...</w:t>
      </w:r>
    </w:p>
    <w:p w14:paraId="5187CA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сравнения его с ТОМ отказаться</w:t>
      </w:r>
    </w:p>
    <w:p w14:paraId="6170802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w:t>
      </w:r>
    </w:p>
    <w:p w14:paraId="33F0D7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 Самолет монокок пассажирского типа "БОМ” с полезной нагрузкой в 1500 кг. не может быть рассматриваем как торпедоносец, так как он не допускает ассиметричной нагрузки торпедой, </w:t>
      </w:r>
      <w:proofErr w:type="spellStart"/>
      <w:r w:rsidRPr="00A259BD">
        <w:rPr>
          <w:rFonts w:ascii="Times New Roman" w:hAnsi="Times New Roman"/>
          <w:color w:val="000000" w:themeColor="text1"/>
          <w:sz w:val="16"/>
          <w:szCs w:val="16"/>
        </w:rPr>
        <w:t>почкму</w:t>
      </w:r>
      <w:proofErr w:type="spellEnd"/>
      <w:r w:rsidRPr="00A259BD">
        <w:rPr>
          <w:rFonts w:ascii="Times New Roman" w:hAnsi="Times New Roman"/>
          <w:color w:val="000000" w:themeColor="text1"/>
          <w:sz w:val="16"/>
          <w:szCs w:val="16"/>
        </w:rPr>
        <w:t xml:space="preserve"> Секция вынуждена остановиться на рассмотрении с-та поплавкового типа ТОМ</w:t>
      </w:r>
    </w:p>
    <w:p w14:paraId="398DA45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Схема </w:t>
      </w:r>
      <w:proofErr w:type="spellStart"/>
      <w:r w:rsidRPr="00A259BD">
        <w:rPr>
          <w:rFonts w:ascii="Times New Roman" w:hAnsi="Times New Roman"/>
          <w:color w:val="000000" w:themeColor="text1"/>
          <w:sz w:val="16"/>
          <w:szCs w:val="16"/>
        </w:rPr>
        <w:t>попплавкового</w:t>
      </w:r>
      <w:proofErr w:type="spellEnd"/>
      <w:r w:rsidRPr="00A259BD">
        <w:rPr>
          <w:rFonts w:ascii="Times New Roman" w:hAnsi="Times New Roman"/>
          <w:color w:val="000000" w:themeColor="text1"/>
          <w:sz w:val="16"/>
          <w:szCs w:val="16"/>
        </w:rPr>
        <w:t xml:space="preserve"> с-та, не допускающая работы вдали от берегов в </w:t>
      </w:r>
      <w:proofErr w:type="spellStart"/>
      <w:r w:rsidRPr="00A259BD">
        <w:rPr>
          <w:rFonts w:ascii="Times New Roman" w:hAnsi="Times New Roman"/>
          <w:color w:val="000000" w:themeColor="text1"/>
          <w:sz w:val="16"/>
          <w:szCs w:val="16"/>
        </w:rPr>
        <w:t>условияъ</w:t>
      </w:r>
      <w:proofErr w:type="spellEnd"/>
      <w:r w:rsidRPr="00A259BD">
        <w:rPr>
          <w:rFonts w:ascii="Times New Roman" w:hAnsi="Times New Roman"/>
          <w:color w:val="000000" w:themeColor="text1"/>
          <w:sz w:val="16"/>
          <w:szCs w:val="16"/>
        </w:rPr>
        <w:t xml:space="preserve"> погоды, предусмотренных в ТТ, полностью удовлетворить УВВС не может, т.к. на с-те ЮГ-1, аналогичному с-ту ТОМ, эти требования не выполняются.</w:t>
      </w:r>
    </w:p>
    <w:p w14:paraId="09E772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Отметить повышенную посадочную </w:t>
      </w:r>
      <w:proofErr w:type="spellStart"/>
      <w:r w:rsidRPr="00A259BD">
        <w:rPr>
          <w:rFonts w:ascii="Times New Roman" w:hAnsi="Times New Roman"/>
          <w:color w:val="000000" w:themeColor="text1"/>
          <w:sz w:val="16"/>
          <w:szCs w:val="16"/>
        </w:rPr>
        <w:t>скооость</w:t>
      </w:r>
      <w:proofErr w:type="spellEnd"/>
      <w:r w:rsidRPr="00A259BD">
        <w:rPr>
          <w:rFonts w:ascii="Times New Roman" w:hAnsi="Times New Roman"/>
          <w:color w:val="000000" w:themeColor="text1"/>
          <w:sz w:val="16"/>
          <w:szCs w:val="16"/>
        </w:rPr>
        <w:t xml:space="preserve"> самолета про</w:t>
      </w:r>
      <w:r w:rsidRPr="00A259BD">
        <w:rPr>
          <w:rFonts w:ascii="Times New Roman" w:hAnsi="Times New Roman"/>
          <w:color w:val="000000" w:themeColor="text1"/>
          <w:sz w:val="16"/>
          <w:szCs w:val="16"/>
        </w:rPr>
        <w:softHyphen/>
        <w:t>тив требований, что должно сильно отразиться на морских ка</w:t>
      </w:r>
      <w:r w:rsidRPr="00A259BD">
        <w:rPr>
          <w:rFonts w:ascii="Times New Roman" w:hAnsi="Times New Roman"/>
          <w:color w:val="000000" w:themeColor="text1"/>
          <w:sz w:val="16"/>
          <w:szCs w:val="16"/>
        </w:rPr>
        <w:softHyphen/>
        <w:t>чествах самолета.</w:t>
      </w:r>
    </w:p>
    <w:p w14:paraId="0F18F11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Для полного суждения о данном самолете просить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представить дополнительно все потребные данные, по которым можно было бы судить о степени выполнения </w:t>
      </w:r>
      <w:proofErr w:type="spellStart"/>
      <w:r w:rsidRPr="00A259BD">
        <w:rPr>
          <w:rFonts w:ascii="Times New Roman" w:hAnsi="Times New Roman"/>
          <w:color w:val="000000" w:themeColor="text1"/>
          <w:sz w:val="16"/>
          <w:szCs w:val="16"/>
        </w:rPr>
        <w:t>техтребований</w:t>
      </w:r>
      <w:proofErr w:type="spellEnd"/>
      <w:r w:rsidRPr="00A259BD">
        <w:rPr>
          <w:rFonts w:ascii="Times New Roman" w:hAnsi="Times New Roman"/>
          <w:color w:val="000000" w:themeColor="text1"/>
          <w:sz w:val="16"/>
          <w:szCs w:val="16"/>
        </w:rPr>
        <w:t xml:space="preserve"> для самолета-торпедоносца.</w:t>
      </w:r>
    </w:p>
    <w:p w14:paraId="4AE6595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Считать, на основании представленных диаграмм, обороноспособность самолета со стороны нижней полусферы слабой </w:t>
      </w:r>
      <w:proofErr w:type="spellStart"/>
      <w:r w:rsidRPr="00A259BD">
        <w:rPr>
          <w:rFonts w:ascii="Times New Roman" w:hAnsi="Times New Roman"/>
          <w:color w:val="000000" w:themeColor="text1"/>
          <w:sz w:val="16"/>
          <w:szCs w:val="16"/>
        </w:rPr>
        <w:t>иобслуживание</w:t>
      </w:r>
      <w:proofErr w:type="spellEnd"/>
      <w:r w:rsidRPr="00A259BD">
        <w:rPr>
          <w:rFonts w:ascii="Times New Roman" w:hAnsi="Times New Roman"/>
          <w:color w:val="000000" w:themeColor="text1"/>
          <w:sz w:val="16"/>
          <w:szCs w:val="16"/>
        </w:rPr>
        <w:t xml:space="preserve"> верхних и нижнего пулеметов задней кабины одним стрелком </w:t>
      </w:r>
      <w:proofErr w:type="spellStart"/>
      <w:r w:rsidRPr="00A259BD">
        <w:rPr>
          <w:rFonts w:ascii="Times New Roman" w:hAnsi="Times New Roman"/>
          <w:color w:val="000000" w:themeColor="text1"/>
          <w:sz w:val="16"/>
          <w:szCs w:val="16"/>
        </w:rPr>
        <w:t>неприемлимым</w:t>
      </w:r>
      <w:proofErr w:type="spellEnd"/>
      <w:r w:rsidRPr="00A259BD">
        <w:rPr>
          <w:rFonts w:ascii="Times New Roman" w:hAnsi="Times New Roman"/>
          <w:color w:val="000000" w:themeColor="text1"/>
          <w:sz w:val="16"/>
          <w:szCs w:val="16"/>
        </w:rPr>
        <w:t>, обслуживание кормовых пулеме</w:t>
      </w:r>
      <w:r w:rsidRPr="00A259BD">
        <w:rPr>
          <w:rFonts w:ascii="Times New Roman" w:hAnsi="Times New Roman"/>
          <w:color w:val="000000" w:themeColor="text1"/>
          <w:sz w:val="16"/>
          <w:szCs w:val="16"/>
        </w:rPr>
        <w:softHyphen/>
        <w:t>тов отдельными стрелками требует увеличение экипажа. Бом</w:t>
      </w:r>
      <w:r w:rsidRPr="00A259BD">
        <w:rPr>
          <w:rFonts w:ascii="Times New Roman" w:hAnsi="Times New Roman"/>
          <w:color w:val="000000" w:themeColor="text1"/>
          <w:sz w:val="16"/>
          <w:szCs w:val="16"/>
        </w:rPr>
        <w:softHyphen/>
        <w:t>бардировочная кабина должна быть переоборудована по образцу ТБ-1, а кабине летчика переделана для увеличения обзора.</w:t>
      </w:r>
    </w:p>
    <w:p w14:paraId="01FD87B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Просить </w:t>
      </w:r>
      <w:proofErr w:type="spellStart"/>
      <w:r w:rsidRPr="00A259BD">
        <w:rPr>
          <w:rFonts w:ascii="Times New Roman" w:hAnsi="Times New Roman"/>
          <w:smallCaps/>
          <w:color w:val="000000" w:themeColor="text1"/>
          <w:sz w:val="16"/>
          <w:szCs w:val="16"/>
        </w:rPr>
        <w:t>а</w:t>
      </w:r>
      <w:r w:rsidRPr="00A259BD">
        <w:rPr>
          <w:rFonts w:ascii="Times New Roman" w:hAnsi="Times New Roman"/>
          <w:color w:val="000000" w:themeColor="text1"/>
          <w:sz w:val="16"/>
          <w:szCs w:val="16"/>
        </w:rPr>
        <w:t>виатрест</w:t>
      </w:r>
      <w:proofErr w:type="spellEnd"/>
      <w:r w:rsidRPr="00A259BD">
        <w:rPr>
          <w:rFonts w:ascii="Times New Roman" w:hAnsi="Times New Roman"/>
          <w:color w:val="000000" w:themeColor="text1"/>
          <w:sz w:val="16"/>
          <w:szCs w:val="16"/>
        </w:rPr>
        <w:t xml:space="preserve"> впредь не представлять на рассмотрение НТК не проверенных расчетов и в </w:t>
      </w:r>
      <w:proofErr w:type="spellStart"/>
      <w:r w:rsidRPr="00A259BD">
        <w:rPr>
          <w:rFonts w:ascii="Times New Roman" w:hAnsi="Times New Roman"/>
          <w:color w:val="000000" w:themeColor="text1"/>
          <w:sz w:val="16"/>
          <w:szCs w:val="16"/>
        </w:rPr>
        <w:t>об</w:t>
      </w:r>
      <w:r w:rsidRPr="00A259BD">
        <w:rPr>
          <w:rFonts w:ascii="Times New Roman" w:hAnsi="Times New Roman"/>
          <w:color w:val="000000" w:themeColor="text1"/>
          <w:sz w:val="16"/>
          <w:szCs w:val="16"/>
          <w:vertAlign w:val="superscript"/>
        </w:rPr>
        <w:t>м</w:t>
      </w:r>
      <w:r w:rsidRPr="00A259BD">
        <w:rPr>
          <w:rFonts w:ascii="Times New Roman" w:hAnsi="Times New Roman"/>
          <w:color w:val="000000" w:themeColor="text1"/>
          <w:sz w:val="16"/>
          <w:szCs w:val="16"/>
        </w:rPr>
        <w:t>еме</w:t>
      </w:r>
      <w:proofErr w:type="spellEnd"/>
      <w:r w:rsidRPr="00A259BD">
        <w:rPr>
          <w:rFonts w:ascii="Times New Roman" w:hAnsi="Times New Roman"/>
          <w:color w:val="000000" w:themeColor="text1"/>
          <w:sz w:val="16"/>
          <w:szCs w:val="16"/>
        </w:rPr>
        <w:t xml:space="preserve"> не позволяющем вынести заключение как о качестве самолета, так и о степени выполнения технических требований.</w:t>
      </w:r>
    </w:p>
    <w:p w14:paraId="764B50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выполнение общих технических требований в части представления проекта ведет за собой неизбежную задержку в рас</w:t>
      </w:r>
      <w:r w:rsidRPr="00A259BD">
        <w:rPr>
          <w:rFonts w:ascii="Times New Roman" w:hAnsi="Times New Roman"/>
          <w:color w:val="000000" w:themeColor="text1"/>
          <w:sz w:val="16"/>
          <w:szCs w:val="16"/>
        </w:rPr>
        <w:softHyphen/>
        <w:t>смотрении и невозможность дать исчерпывающее заключение по данному самолету.</w:t>
      </w:r>
    </w:p>
    <w:p w14:paraId="424F44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Отмеченная в докладе разница в летных данных по про</w:t>
      </w:r>
      <w:r w:rsidRPr="00A259BD">
        <w:rPr>
          <w:rFonts w:ascii="Times New Roman" w:hAnsi="Times New Roman"/>
          <w:color w:val="000000" w:themeColor="text1"/>
          <w:sz w:val="16"/>
          <w:szCs w:val="16"/>
        </w:rPr>
        <w:softHyphen/>
        <w:t>екту и по контрольному пересчету видимо происходит благо</w:t>
      </w:r>
      <w:r w:rsidRPr="00A259BD">
        <w:rPr>
          <w:rFonts w:ascii="Times New Roman" w:hAnsi="Times New Roman"/>
          <w:color w:val="000000" w:themeColor="text1"/>
          <w:sz w:val="16"/>
          <w:szCs w:val="16"/>
        </w:rPr>
        <w:softHyphen/>
        <w:t xml:space="preserve">даря тому, что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при расчете: 1/ относил поляру самолета, по продувке ЦАГИ, не к </w:t>
      </w:r>
      <w:proofErr w:type="spellStart"/>
      <w:r w:rsidRPr="00A259BD">
        <w:rPr>
          <w:rFonts w:ascii="Times New Roman" w:hAnsi="Times New Roman"/>
          <w:color w:val="000000" w:themeColor="text1"/>
          <w:sz w:val="16"/>
          <w:szCs w:val="16"/>
        </w:rPr>
        <w:t>плошади</w:t>
      </w:r>
      <w:proofErr w:type="spellEnd"/>
      <w:r w:rsidRPr="00A259BD">
        <w:rPr>
          <w:rFonts w:ascii="Times New Roman" w:hAnsi="Times New Roman"/>
          <w:color w:val="000000" w:themeColor="text1"/>
          <w:sz w:val="16"/>
          <w:szCs w:val="16"/>
        </w:rPr>
        <w:t xml:space="preserve"> контура крыльев /120 м/ как это делает ЦАГИ, а к фактически </w:t>
      </w:r>
      <w:proofErr w:type="spellStart"/>
      <w:r w:rsidRPr="00A259BD">
        <w:rPr>
          <w:rFonts w:ascii="Times New Roman" w:hAnsi="Times New Roman"/>
          <w:color w:val="000000" w:themeColor="text1"/>
          <w:sz w:val="16"/>
          <w:szCs w:val="16"/>
        </w:rPr>
        <w:t>несушей</w:t>
      </w:r>
      <w:proofErr w:type="spellEnd"/>
      <w:r w:rsidRPr="00A259BD">
        <w:rPr>
          <w:rFonts w:ascii="Times New Roman" w:hAnsi="Times New Roman"/>
          <w:color w:val="000000" w:themeColor="text1"/>
          <w:sz w:val="16"/>
          <w:szCs w:val="16"/>
        </w:rPr>
        <w:t xml:space="preserve"> поверх</w:t>
      </w:r>
      <w:r w:rsidRPr="00A259BD">
        <w:rPr>
          <w:rFonts w:ascii="Times New Roman" w:hAnsi="Times New Roman"/>
          <w:color w:val="000000" w:themeColor="text1"/>
          <w:sz w:val="16"/>
          <w:szCs w:val="16"/>
        </w:rPr>
        <w:softHyphen/>
        <w:t xml:space="preserve">ности; 2/не учтено влияние обдувки крыльев и деталей, находящихся в струе; 3/ падение </w:t>
      </w:r>
      <w:proofErr w:type="spellStart"/>
      <w:r w:rsidRPr="00A259BD">
        <w:rPr>
          <w:rFonts w:ascii="Times New Roman" w:hAnsi="Times New Roman"/>
          <w:color w:val="000000" w:themeColor="text1"/>
          <w:sz w:val="16"/>
          <w:szCs w:val="16"/>
        </w:rPr>
        <w:t>мошности</w:t>
      </w:r>
      <w:proofErr w:type="spellEnd"/>
      <w:r w:rsidRPr="00A259BD">
        <w:rPr>
          <w:rFonts w:ascii="Times New Roman" w:hAnsi="Times New Roman"/>
          <w:color w:val="000000" w:themeColor="text1"/>
          <w:sz w:val="16"/>
          <w:szCs w:val="16"/>
        </w:rPr>
        <w:t xml:space="preserve"> /эффективной/ принималось пропорционально плотности, без учета постоянства механиче</w:t>
      </w:r>
      <w:r w:rsidRPr="00A259BD">
        <w:rPr>
          <w:rFonts w:ascii="Times New Roman" w:hAnsi="Times New Roman"/>
          <w:color w:val="000000" w:themeColor="text1"/>
          <w:sz w:val="16"/>
          <w:szCs w:val="16"/>
        </w:rPr>
        <w:softHyphen/>
        <w:t>ских потерь (2363).</w:t>
      </w:r>
    </w:p>
    <w:p w14:paraId="75FC6E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2B02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февраля 1929 П.И.Б. письмом N ТЭИ/143 с направил зам. пред. РВС доклад "О специальных средствах связи самолетов с землей (пехотные и кавалерийские части)" - подхватывание (1028,64).</w:t>
      </w:r>
    </w:p>
    <w:p w14:paraId="3D0ACC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56FD8A" w14:textId="77777777" w:rsidR="009D5DFC"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E4984AE" w14:textId="77777777" w:rsidR="009D5DFC" w:rsidRPr="00A259BD" w:rsidRDefault="009D5DF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73D01E" w14:textId="77777777" w:rsidR="009D5DFC" w:rsidRPr="00A259BD" w:rsidRDefault="009D5DFC"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февраля 1929 года Президиум ВСНХ утвердил окончательное техническое задание для СТЗ: 40000 тракторов «Интернационал» в год; в это же время начальником </w:t>
      </w:r>
      <w:proofErr w:type="spellStart"/>
      <w:r w:rsidRPr="00A259BD">
        <w:rPr>
          <w:rFonts w:ascii="Times New Roman" w:hAnsi="Times New Roman"/>
          <w:color w:val="000000" w:themeColor="text1"/>
          <w:sz w:val="16"/>
          <w:szCs w:val="16"/>
        </w:rPr>
        <w:t>Тракторостроя</w:t>
      </w:r>
      <w:proofErr w:type="spellEnd"/>
      <w:r w:rsidRPr="00A259BD">
        <w:rPr>
          <w:rFonts w:ascii="Times New Roman" w:hAnsi="Times New Roman"/>
          <w:color w:val="000000" w:themeColor="text1"/>
          <w:sz w:val="16"/>
          <w:szCs w:val="16"/>
        </w:rPr>
        <w:t xml:space="preserve"> был утвержден Василий Иванович Иванов. Первоначальный проект тракторного завода предполагал выпуск 10000 тракторов в год, однако в 1928 году было принято решение об установке новых темпов работы будущего завода: проектные мощности должны были обеспечить выпуск 20000 тракторов в год (17161).</w:t>
      </w:r>
    </w:p>
    <w:p w14:paraId="6703DE9F" w14:textId="77777777" w:rsidR="009D5DFC" w:rsidRPr="00A259BD" w:rsidRDefault="009D5DFC" w:rsidP="009236E3">
      <w:pPr>
        <w:autoSpaceDE w:val="0"/>
        <w:autoSpaceDN w:val="0"/>
        <w:adjustRightInd w:val="0"/>
        <w:spacing w:after="0" w:line="240" w:lineRule="auto"/>
        <w:jc w:val="both"/>
        <w:rPr>
          <w:rFonts w:ascii="Times New Roman" w:hAnsi="Times New Roman"/>
          <w:color w:val="000000" w:themeColor="text1"/>
          <w:sz w:val="16"/>
          <w:szCs w:val="16"/>
        </w:rPr>
      </w:pPr>
    </w:p>
    <w:p w14:paraId="1A805DCB"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499AFB0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9D23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февраля 1929 было письмо ЦК ВКП(б) ко всем партийным организациям О поднятии трудовой дисциплины (3960, 72).</w:t>
      </w:r>
    </w:p>
    <w:p w14:paraId="7C77C9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6DEF9C"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21 февраля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Политбюро ЦК ВКП (б) утвердило проект письма ЦК ВКП (б) партийным организациям о поднятии трудовой дисциплины (12265).</w:t>
      </w:r>
    </w:p>
    <w:p w14:paraId="068DFDEE"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1053472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5DDD67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79AC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февраля 1929 состоялось совещание при производственно-техническом отделе ГВПУ (протокол 16/8168с) по вопросу "О переходе конструкторского дела от НКВМ в промышленность" От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был </w:t>
      </w:r>
      <w:proofErr w:type="spellStart"/>
      <w:r w:rsidRPr="00A259BD">
        <w:rPr>
          <w:rFonts w:ascii="Times New Roman" w:hAnsi="Times New Roman"/>
          <w:color w:val="000000" w:themeColor="text1"/>
          <w:sz w:val="16"/>
          <w:szCs w:val="16"/>
        </w:rPr>
        <w:t>Окромешко</w:t>
      </w:r>
      <w:proofErr w:type="spellEnd"/>
      <w:r w:rsidRPr="00A259BD">
        <w:rPr>
          <w:rFonts w:ascii="Times New Roman" w:hAnsi="Times New Roman"/>
          <w:color w:val="000000" w:themeColor="text1"/>
          <w:sz w:val="16"/>
          <w:szCs w:val="16"/>
        </w:rPr>
        <w:t>. Согласились (2339,196).</w:t>
      </w:r>
    </w:p>
    <w:p w14:paraId="78EE0E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ПРИСУТСТВОВАЛИ:</w:t>
      </w:r>
    </w:p>
    <w:p w14:paraId="5FBE4E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 ГВПУ - тт. Карпович, </w:t>
      </w:r>
      <w:proofErr w:type="spellStart"/>
      <w:r w:rsidRPr="00A259BD">
        <w:rPr>
          <w:rFonts w:ascii="Times New Roman" w:hAnsi="Times New Roman"/>
          <w:color w:val="000000" w:themeColor="text1"/>
          <w:sz w:val="16"/>
          <w:szCs w:val="16"/>
        </w:rPr>
        <w:t>Щульга</w:t>
      </w:r>
      <w:proofErr w:type="spellEnd"/>
    </w:p>
    <w:p w14:paraId="22DFAA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ОАТ - т. Заславский</w:t>
      </w:r>
    </w:p>
    <w:p w14:paraId="798BF5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РУЖ - т. Каневский</w:t>
      </w:r>
    </w:p>
    <w:p w14:paraId="0964E9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ПТТ - т. Тузов</w:t>
      </w:r>
    </w:p>
    <w:p w14:paraId="7F6433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 т. </w:t>
      </w:r>
      <w:proofErr w:type="spellStart"/>
      <w:r w:rsidRPr="00A259BD">
        <w:rPr>
          <w:rFonts w:ascii="Times New Roman" w:hAnsi="Times New Roman"/>
          <w:color w:val="000000" w:themeColor="text1"/>
          <w:sz w:val="16"/>
          <w:szCs w:val="16"/>
        </w:rPr>
        <w:t>Окромешко</w:t>
      </w:r>
      <w:proofErr w:type="spellEnd"/>
    </w:p>
    <w:p w14:paraId="420E6B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 </w:t>
      </w:r>
      <w:proofErr w:type="spellStart"/>
      <w:r w:rsidRPr="00A259BD">
        <w:rPr>
          <w:rFonts w:ascii="Times New Roman" w:hAnsi="Times New Roman"/>
          <w:color w:val="000000" w:themeColor="text1"/>
          <w:sz w:val="16"/>
          <w:szCs w:val="16"/>
        </w:rPr>
        <w:t>Вохимтреста</w:t>
      </w:r>
      <w:proofErr w:type="spellEnd"/>
      <w:r w:rsidRPr="00A259BD">
        <w:rPr>
          <w:rFonts w:ascii="Times New Roman" w:hAnsi="Times New Roman"/>
          <w:color w:val="000000" w:themeColor="text1"/>
          <w:sz w:val="16"/>
          <w:szCs w:val="16"/>
        </w:rPr>
        <w:t xml:space="preserve"> - не прибыл.</w:t>
      </w:r>
    </w:p>
    <w:p w14:paraId="3E4E2D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Председатель - т. Карпович</w:t>
      </w:r>
    </w:p>
    <w:p w14:paraId="584768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Секретарь - т. Шульга</w:t>
      </w:r>
    </w:p>
    <w:p w14:paraId="4680E0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Начато в 11 час.</w:t>
      </w:r>
    </w:p>
    <w:p w14:paraId="59380F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Окончено в 12 час.</w:t>
      </w:r>
    </w:p>
    <w:p w14:paraId="56A788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Слушали:</w:t>
      </w:r>
    </w:p>
    <w:p w14:paraId="742691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Доклад т. Карпович о составленном в МПУ проекте “Основных положений перехода конструкторского дела от НКВМ в промышленность”</w:t>
      </w:r>
    </w:p>
    <w:p w14:paraId="06A8CD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моменты, подлежащие обсуждению:</w:t>
      </w:r>
    </w:p>
    <w:p w14:paraId="14D3B3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целесообразность указанного перехода,</w:t>
      </w:r>
    </w:p>
    <w:p w14:paraId="188F92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распределение ролей между штабом РККА, учреждениями </w:t>
      </w:r>
      <w:proofErr w:type="spellStart"/>
      <w:r w:rsidRPr="00A259BD">
        <w:rPr>
          <w:rFonts w:ascii="Times New Roman" w:hAnsi="Times New Roman"/>
          <w:color w:val="000000" w:themeColor="text1"/>
          <w:sz w:val="16"/>
          <w:szCs w:val="16"/>
        </w:rPr>
        <w:t>НКВМора</w:t>
      </w:r>
      <w:proofErr w:type="spellEnd"/>
      <w:r w:rsidRPr="00A259BD">
        <w:rPr>
          <w:rFonts w:ascii="Times New Roman" w:hAnsi="Times New Roman"/>
          <w:color w:val="000000" w:themeColor="text1"/>
          <w:sz w:val="16"/>
          <w:szCs w:val="16"/>
        </w:rPr>
        <w:t xml:space="preserve"> и трестами, в каком порядке должны распределяться частные задания между трестами,</w:t>
      </w:r>
    </w:p>
    <w:p w14:paraId="56EBC8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наиболее рациональное осуществление планирования и фактического руководства проектными работами,</w:t>
      </w:r>
    </w:p>
    <w:p w14:paraId="2E7E33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вопросы организационного порядка</w:t>
      </w:r>
    </w:p>
    <w:p w14:paraId="3A81AE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w:t>
      </w:r>
    </w:p>
    <w:p w14:paraId="1C0361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Признать целесообразным передачу конструкторского дела в промышленность и констатировать, что фактически промышленность уже выполняет конструкторские работы, требуется только оформление путем осуществления ряда организационных мероприятий...(2339,196).</w:t>
      </w:r>
    </w:p>
    <w:p w14:paraId="48CA74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24105F" w14:textId="77777777" w:rsidR="00825262" w:rsidRPr="00A259BD" w:rsidRDefault="00825262"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22/27 февраля 1929 года было письмо начальника Штаба РККА Б.М. Шапошникова и начальника 2-го управления Штаба РККА Н.А. Ефимова за Исходящим № 235/1с «О 5-ти летнем строительстве ОСОАВИАХИМа и задачах на военное время» в адрес заместителя председателя РВС СССР (он же – заместитель наркомвоенмора) И.С. </w:t>
      </w:r>
      <w:proofErr w:type="spellStart"/>
      <w:r w:rsidRPr="00A259BD">
        <w:rPr>
          <w:rFonts w:ascii="Times New Roman" w:hAnsi="Times New Roman"/>
          <w:color w:val="000000" w:themeColor="text1"/>
          <w:sz w:val="16"/>
          <w:szCs w:val="16"/>
        </w:rPr>
        <w:t>Уншлихта</w:t>
      </w:r>
      <w:proofErr w:type="spellEnd"/>
      <w:r w:rsidRPr="00A259BD">
        <w:rPr>
          <w:rFonts w:ascii="Times New Roman" w:hAnsi="Times New Roman"/>
          <w:color w:val="000000" w:themeColor="text1"/>
          <w:sz w:val="16"/>
          <w:szCs w:val="16"/>
        </w:rPr>
        <w:t>.</w:t>
      </w:r>
    </w:p>
    <w:p w14:paraId="2B94E2E8"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«…Работа нашего ОСОАВИАХИМа в прошлом носила агитационно-пропагандистский характер и материальная помощь оказывалась, главным образом, ВОЗДУШНОМУ ФЛОТУ в форме аэродромного строительства и приобретения самолётов.</w:t>
      </w:r>
    </w:p>
    <w:p w14:paraId="09D1A252"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настоящее время ОСОАВИАХИМ проделал большую работу по переподготовке комсостава запаса, по усилению противовоздушно-химической обороны и стрелкового спорта, а также открыл одну гражданскую школу лётчиков (Пенза).</w:t>
      </w:r>
    </w:p>
    <w:p w14:paraId="4A4CD491"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дальнейшем необходимо организации Осоавиахима привлекать к активной работе по укреплению обороноспособности страны, в частности, к выполнению задач, прилагаемых ШТАБОМ РККА.</w:t>
      </w:r>
    </w:p>
    <w:p w14:paraId="0083A209"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Задачи ОСОАВИАХИМа на военное время</w:t>
      </w:r>
    </w:p>
    <w:p w14:paraId="54EBE133"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Организация </w:t>
      </w:r>
      <w:proofErr w:type="spellStart"/>
      <w:r w:rsidRPr="00A259BD">
        <w:rPr>
          <w:rFonts w:ascii="Times New Roman" w:hAnsi="Times New Roman"/>
          <w:color w:val="000000" w:themeColor="text1"/>
          <w:sz w:val="16"/>
          <w:szCs w:val="16"/>
        </w:rPr>
        <w:t>противоздушно</w:t>
      </w:r>
      <w:proofErr w:type="spellEnd"/>
      <w:r w:rsidRPr="00A259BD">
        <w:rPr>
          <w:rFonts w:ascii="Times New Roman" w:hAnsi="Times New Roman"/>
          <w:color w:val="000000" w:themeColor="text1"/>
          <w:sz w:val="16"/>
          <w:szCs w:val="16"/>
        </w:rPr>
        <w:t>-химической обороны городов и пунктов в полосе, угрожаемой со стороны противника, не обороняемых войсковыми частями и активными средствами по указанию штабов секторов ПВО в смысле формирования воздушно-химических команд, постов воздушного наблюдения, оповещения и связи, снабжения населения противогазами, оборудования газоубежищ, а также заготовки и распределения предметов нейтрализации химических газов;</w:t>
      </w:r>
    </w:p>
    <w:p w14:paraId="782B48A0"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Содействие в организации и обучении войсковых частей (МИЛИЦИОННЫХ) в полосе, угрожаемой со стороны противника, из оставшихся рабочих в городах и партизанских отрядов в сёлах и деревнях, а также в тылу на случай борьбы с восстаниями – совместно с партийными профессиональными организациями под руководством командования округа-фронта;</w:t>
      </w:r>
    </w:p>
    <w:p w14:paraId="2F8E2B65"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Содействие в привлечении местного населения по инженерно-фортификационным работам (устройство окопов, землянок, убежищ, проволочных заграждений и др.) и подготовки территории театра военных действий к обороне;</w:t>
      </w:r>
    </w:p>
    <w:p w14:paraId="7C239289"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Содействие по обслуживанию линий перелётов авиационных частей в тылу в смысле оборудования посадочных площадок, охраны их, постройки бензохранилищ и заготовки запасов горючего;</w:t>
      </w:r>
      <w:r w:rsidRPr="00A259BD">
        <w:rPr>
          <w:rFonts w:ascii="Times New Roman" w:hAnsi="Times New Roman"/>
          <w:color w:val="000000" w:themeColor="text1"/>
          <w:sz w:val="16"/>
          <w:szCs w:val="16"/>
        </w:rPr>
        <w:br/>
        <w:t>5. Содействие боевым операциям армии в смысле подбора и подготовки команд проводников в горной, степной и пересечённой местности КАВКАЗА, ТУРКЕСТАНА, СИБИРИ И ЗАПАДНОЙ ПОГРАНИЧНОЙ ПОЛОСЫ;</w:t>
      </w:r>
    </w:p>
    <w:p w14:paraId="7BB99198"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Содействие организаций ОСОАВИАХИМа по снабжению частей КРАСНОЙ АРМИИ водой и охране колодцев и водопоев (особенно в прифронтовой полосе);</w:t>
      </w:r>
    </w:p>
    <w:p w14:paraId="19136FEE"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Отбор и военная подготовка породистых собак и почтовых голубей и комплектование ими частей КРАСНОЙ АРМИИ в военное время;</w:t>
      </w:r>
    </w:p>
    <w:p w14:paraId="19B9ACBE"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Организация и содержание подготовительных курсов для комплектования школ ВВС из числа </w:t>
      </w:r>
      <w:proofErr w:type="spellStart"/>
      <w:r w:rsidRPr="00A259BD">
        <w:rPr>
          <w:rFonts w:ascii="Times New Roman" w:hAnsi="Times New Roman"/>
          <w:color w:val="000000" w:themeColor="text1"/>
          <w:sz w:val="16"/>
          <w:szCs w:val="16"/>
        </w:rPr>
        <w:t>авиахимовцев</w:t>
      </w:r>
      <w:proofErr w:type="spellEnd"/>
      <w:r w:rsidRPr="00A259BD">
        <w:rPr>
          <w:rFonts w:ascii="Times New Roman" w:hAnsi="Times New Roman"/>
          <w:color w:val="000000" w:themeColor="text1"/>
          <w:sz w:val="16"/>
          <w:szCs w:val="16"/>
        </w:rPr>
        <w:t>;</w:t>
      </w:r>
    </w:p>
    <w:p w14:paraId="0324C01B"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Комплектование и отбор из числа </w:t>
      </w:r>
      <w:proofErr w:type="spellStart"/>
      <w:r w:rsidRPr="00A259BD">
        <w:rPr>
          <w:rFonts w:ascii="Times New Roman" w:hAnsi="Times New Roman"/>
          <w:color w:val="000000" w:themeColor="text1"/>
          <w:sz w:val="16"/>
          <w:szCs w:val="16"/>
        </w:rPr>
        <w:t>осоавиахимовцев</w:t>
      </w:r>
      <w:proofErr w:type="spellEnd"/>
      <w:r w:rsidRPr="00A259BD">
        <w:rPr>
          <w:rFonts w:ascii="Times New Roman" w:hAnsi="Times New Roman"/>
          <w:color w:val="000000" w:themeColor="text1"/>
          <w:sz w:val="16"/>
          <w:szCs w:val="16"/>
        </w:rPr>
        <w:t xml:space="preserve"> авиационных и общевойсковых вузов по заявкам соответствующих центральных управлений РККА;</w:t>
      </w:r>
    </w:p>
    <w:p w14:paraId="33EA7F6F"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10.Проведение допризывной подготовки под руководством соответствующих органов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с привлечением начсостава запаса в качестве инструкторов;</w:t>
      </w:r>
    </w:p>
    <w:p w14:paraId="4627A4EF"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Организация добровольных отрядов по </w:t>
      </w:r>
      <w:proofErr w:type="spellStart"/>
      <w:r w:rsidRPr="00A259BD">
        <w:rPr>
          <w:rFonts w:ascii="Times New Roman" w:hAnsi="Times New Roman"/>
          <w:color w:val="000000" w:themeColor="text1"/>
          <w:sz w:val="16"/>
          <w:szCs w:val="16"/>
        </w:rPr>
        <w:t>окарауливанию</w:t>
      </w:r>
      <w:proofErr w:type="spellEnd"/>
      <w:r w:rsidRPr="00A259BD">
        <w:rPr>
          <w:rFonts w:ascii="Times New Roman" w:hAnsi="Times New Roman"/>
          <w:color w:val="000000" w:themeColor="text1"/>
          <w:sz w:val="16"/>
          <w:szCs w:val="16"/>
        </w:rPr>
        <w:t xml:space="preserve"> складов, мостов, промышленных и </w:t>
      </w:r>
      <w:proofErr w:type="spellStart"/>
      <w:r w:rsidRPr="00A259BD">
        <w:rPr>
          <w:rFonts w:ascii="Times New Roman" w:hAnsi="Times New Roman"/>
          <w:color w:val="000000" w:themeColor="text1"/>
          <w:sz w:val="16"/>
          <w:szCs w:val="16"/>
        </w:rPr>
        <w:t>жел</w:t>
      </w:r>
      <w:proofErr w:type="spellEnd"/>
      <w:r w:rsidRPr="00A259BD">
        <w:rPr>
          <w:rFonts w:ascii="Times New Roman" w:hAnsi="Times New Roman"/>
          <w:color w:val="000000" w:themeColor="text1"/>
          <w:sz w:val="16"/>
          <w:szCs w:val="16"/>
        </w:rPr>
        <w:t>.-дор. Сооружений в помощь частям внутренней охраны в неблагополучных районах, а также содействие органам милиции в поддержании общественного порядка;</w:t>
      </w:r>
    </w:p>
    <w:p w14:paraId="79EF4CF9"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Материальная и научно-техническая помощь научно-опытным учреждениям и конструкторским бюро;</w:t>
      </w:r>
    </w:p>
    <w:p w14:paraId="6C68D8BA"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Собирание с населения добровольных взносов и пожертвований на нужды обороны;</w:t>
      </w:r>
    </w:p>
    <w:p w14:paraId="0D4F438C"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Усиление агитационно-пропагандистской работы среди широких масс населения (лекции, доклады, кружки военных знаний, стрелковый спорт, клубная работа).</w:t>
      </w:r>
    </w:p>
    <w:p w14:paraId="34DEFB98"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ШТАБ РККА считает необходимым предложить в 5-ти летний план СТРОИТЕЛЬСТВА ОСОАВИАХИМа следующие основные задачи:</w:t>
      </w:r>
    </w:p>
    <w:p w14:paraId="6966D6B9"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Проведение переподготовки комсостава запаса по заявке ГУРККА, причём ежегодно необходимо переподготавливать 15.000-20.000 командиров запаса;</w:t>
      </w:r>
    </w:p>
    <w:p w14:paraId="2948759D"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Развитие и содержание 2-х гражданских школ лётчиков (Пенза и Харьков) и доведение их пропускной способности до 50-ти лётчиков в год.</w:t>
      </w:r>
    </w:p>
    <w:p w14:paraId="5BD4CBEB"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Открытие и содержание 3-х гражданских школ авиатехников.</w:t>
      </w:r>
    </w:p>
    <w:p w14:paraId="0D9FE5F1"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Организация и содержание подготовительных курсов для укомплектования школ ВВС (мотористы, радисты, фотографы, аэрологи и др.) – по согласованию с УВВС РККА;</w:t>
      </w:r>
    </w:p>
    <w:p w14:paraId="4A4513C9"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Участие ОСОАВИАХИМа в деле осуществления 5-ти летнего плана СТРОИТЕЛЬСТВА Гражданского Воздушного Флота и содействие в организации и развитии ИСПОЛКОМОВСКОЙ АВИАЦИИ;</w:t>
      </w:r>
    </w:p>
    <w:p w14:paraId="5714D990"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Содействие организаций ОСОАВИАХИМа в деле строительства и оборудования 140 оперативных аэродромов и посадочных площадок для ВОЗДУШНОГО ФЛОТА, согласно особому списку, препровождаемого Штабом РККА за № 013541/СС от 28/I-</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w:t>
      </w:r>
    </w:p>
    <w:p w14:paraId="55EB5775"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Содействие </w:t>
      </w:r>
      <w:proofErr w:type="spellStart"/>
      <w:r w:rsidRPr="00A259BD">
        <w:rPr>
          <w:rFonts w:ascii="Times New Roman" w:hAnsi="Times New Roman"/>
          <w:color w:val="000000" w:themeColor="text1"/>
          <w:sz w:val="16"/>
          <w:szCs w:val="16"/>
        </w:rPr>
        <w:t>ОСОАВМАХИМа</w:t>
      </w:r>
      <w:proofErr w:type="spellEnd"/>
      <w:r w:rsidRPr="00A259BD">
        <w:rPr>
          <w:rFonts w:ascii="Times New Roman" w:hAnsi="Times New Roman"/>
          <w:color w:val="000000" w:themeColor="text1"/>
          <w:sz w:val="16"/>
          <w:szCs w:val="16"/>
        </w:rPr>
        <w:t xml:space="preserve"> в деле организации и подготовки МИЛИЦИОННЫХ войсковых соединений и, в первую очередь, по одной милиционной дивизии в ЛЕНИНГРАДЕ, КИЕВЕ, БАКУ и по одному милиционному полку в МИНСКЕ, ОДЕССЕ и в ГРОЗНОМ. В дальнейшем можно будет добавить по одной милиционной дивизии в МОСКВЕ, ХАРЬКОВЕ и ДОНБАССЕ и по одному милиционному полку в СЕВАСТОПОЛЕ, АРХАНГЕЛЬСКЕ и ВЛАДИВОСТОКЕ.</w:t>
      </w:r>
    </w:p>
    <w:p w14:paraId="4086FDCB"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Комплектование милиционных частей будет производиться из состава, освобождаемого от призыва на военную службу (льготники) и из состава рабочих военизированной промышленности. Для обучения этих частей может быть привлечён комсостав запаса, а организация их вооружения и снабжения боеприпасами возлагается на соответствующие штабы и управления РККА;</w:t>
      </w:r>
    </w:p>
    <w:p w14:paraId="15C329DE"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Материальная и научно-техническая помощь научно-опытным учреждениям и конструкторским бюро по испытанию и конструированию новых военных изобретений и технических усовершенствований – по заявкам соответствующих центральных управлений РККА;</w:t>
      </w:r>
    </w:p>
    <w:p w14:paraId="7B29EA4F"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Организация пассивных средств противовоздушной обороны (формирование химических команд, гражданских постов службы наблюдения и оповещения), причём работы по противовоздушной обороне должны вестись в первую очередь среди населения ЗАПАДНОЙ пограничной полосы.</w:t>
      </w:r>
    </w:p>
    <w:p w14:paraId="120ECF8A"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Развитие стрелкового спорта и широкое распространение его не только в городе, но и в деревне;</w:t>
      </w:r>
    </w:p>
    <w:p w14:paraId="5D3C97E7"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Организация кружков военных знаний и военных уголков в городе и деревне с вовлечением молодёжи;</w:t>
      </w:r>
    </w:p>
    <w:p w14:paraId="789C70A6"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Развитие планеризма и </w:t>
      </w:r>
      <w:proofErr w:type="spellStart"/>
      <w:r w:rsidRPr="00A259BD">
        <w:rPr>
          <w:rFonts w:ascii="Times New Roman" w:hAnsi="Times New Roman"/>
          <w:color w:val="000000" w:themeColor="text1"/>
          <w:sz w:val="16"/>
          <w:szCs w:val="16"/>
        </w:rPr>
        <w:t>авиэточного</w:t>
      </w:r>
      <w:proofErr w:type="spellEnd"/>
      <w:r w:rsidRPr="00A259BD">
        <w:rPr>
          <w:rFonts w:ascii="Times New Roman" w:hAnsi="Times New Roman"/>
          <w:color w:val="000000" w:themeColor="text1"/>
          <w:sz w:val="16"/>
          <w:szCs w:val="16"/>
        </w:rPr>
        <w:t xml:space="preserve"> спорта;</w:t>
      </w:r>
    </w:p>
    <w:p w14:paraId="249A9A8D"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Организация и развитие собаководства и голубеводства для нужд КРАСНОЙ АРМИИ, причём в первую очередь необходимо произвести учёт породистых собак (немецкие овчарки, доберман-пинчеры, эрдельтерьеры) и начать обучение военному делу.</w:t>
      </w:r>
    </w:p>
    <w:p w14:paraId="5A27CBA4"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организации и развитии голубеводства в первую очередь необходимо обратить внимание на учёт почтовых голубей, открытие голубиных станций и соревнования в почтовой связи.</w:t>
      </w:r>
    </w:p>
    <w:p w14:paraId="43BC4A2A"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Содействие органам РККА в организации и проведении допризывной подготовки.</w:t>
      </w:r>
    </w:p>
    <w:p w14:paraId="29760334"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настоящем плане-задании </w:t>
      </w:r>
      <w:proofErr w:type="spellStart"/>
      <w:r w:rsidRPr="00A259BD">
        <w:rPr>
          <w:rFonts w:ascii="Times New Roman" w:hAnsi="Times New Roman"/>
          <w:color w:val="000000" w:themeColor="text1"/>
          <w:sz w:val="16"/>
          <w:szCs w:val="16"/>
        </w:rPr>
        <w:t>НАРКОВОЕНМОРа</w:t>
      </w:r>
      <w:proofErr w:type="spellEnd"/>
      <w:r w:rsidRPr="00A259BD">
        <w:rPr>
          <w:rFonts w:ascii="Times New Roman" w:hAnsi="Times New Roman"/>
          <w:color w:val="000000" w:themeColor="text1"/>
          <w:sz w:val="16"/>
          <w:szCs w:val="16"/>
        </w:rPr>
        <w:t xml:space="preserve"> по 5-ти летнему плану СТРОИТЕЛЬСТВА </w:t>
      </w:r>
      <w:proofErr w:type="spellStart"/>
      <w:r w:rsidRPr="00A259BD">
        <w:rPr>
          <w:rFonts w:ascii="Times New Roman" w:hAnsi="Times New Roman"/>
          <w:color w:val="000000" w:themeColor="text1"/>
          <w:sz w:val="16"/>
          <w:szCs w:val="16"/>
        </w:rPr>
        <w:t>ОСОВМАХИМа</w:t>
      </w:r>
      <w:proofErr w:type="spellEnd"/>
      <w:r w:rsidRPr="00A259BD">
        <w:rPr>
          <w:rFonts w:ascii="Times New Roman" w:hAnsi="Times New Roman"/>
          <w:color w:val="000000" w:themeColor="text1"/>
          <w:sz w:val="16"/>
          <w:szCs w:val="16"/>
        </w:rPr>
        <w:t xml:space="preserve"> приведены лишь основные задачи, на которые ОСОАВИАХИМ должен обратить серьёзнейшее внимание и включить их в план своей военной работы» (21466).</w:t>
      </w:r>
    </w:p>
    <w:p w14:paraId="2F65A27B" w14:textId="77777777" w:rsidR="00825262" w:rsidRPr="00A259BD" w:rsidRDefault="0082526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9867EDC" w14:textId="77777777" w:rsidR="00825262" w:rsidRPr="00A259BD" w:rsidRDefault="00825262"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77BD9117" w14:textId="77777777" w:rsidR="00825262" w:rsidRPr="00A259BD" w:rsidRDefault="0082526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FA5883B" w14:textId="77777777" w:rsidR="00825262" w:rsidRPr="00A259BD" w:rsidRDefault="0082526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14" w:name="_Hlk91228120"/>
      <w:r w:rsidRPr="00A259BD">
        <w:rPr>
          <w:rFonts w:ascii="Times New Roman" w:eastAsia="Times New Roman" w:hAnsi="Times New Roman"/>
          <w:color w:val="000000" w:themeColor="text1"/>
          <w:sz w:val="16"/>
          <w:szCs w:val="16"/>
          <w:lang w:eastAsia="ru-RU"/>
        </w:rPr>
        <w:t xml:space="preserve">22 февраля 1929 г. РВС решил "боевую подготовку организационно </w:t>
      </w:r>
      <w:proofErr w:type="spellStart"/>
      <w:r w:rsidRPr="00A259BD">
        <w:rPr>
          <w:rFonts w:ascii="Times New Roman" w:eastAsia="Times New Roman" w:hAnsi="Times New Roman"/>
          <w:color w:val="000000" w:themeColor="text1"/>
          <w:sz w:val="16"/>
          <w:szCs w:val="16"/>
          <w:lang w:eastAsia="ru-RU"/>
        </w:rPr>
        <w:t>oбъединить</w:t>
      </w:r>
      <w:proofErr w:type="spellEnd"/>
      <w:r w:rsidRPr="00A259BD">
        <w:rPr>
          <w:rFonts w:ascii="Times New Roman" w:eastAsia="Times New Roman" w:hAnsi="Times New Roman"/>
          <w:color w:val="000000" w:themeColor="text1"/>
          <w:sz w:val="16"/>
          <w:szCs w:val="16"/>
          <w:lang w:eastAsia="ru-RU"/>
        </w:rPr>
        <w:t xml:space="preserve"> и полностью подчинить штабу РККА. " Одновременно Реввоенсоветом указывалось: "Оставить войсковую мобилизацию и штатные вопросы в составе соответствующих Управлений ГУ РККА, но подтвердить, что по вопросам мобилизации и организации армии Штаб РККА является директивным органом, а ГУ РККА - исполнительным, вследствие чего Штаб РККА имеет право давать директивы в этой области, а ГУ РККА обязано принимать их к безоговорочному исполнению. Директивное руководство Штаба в области моб. и оргработы осуществляется и по отношению к другим Главным Управлениям РККА" Протокол № 13 заседания РВС СССР от 20.02.1929 // РГВА. Ф. 4. Оп. 18. Д 15. Л. 93. Редакционные изменения, внесенные Ворошиловым, придавали решениям по укреплению полномочий Штаба большую категоричность) (22725).</w:t>
      </w:r>
    </w:p>
    <w:p w14:paraId="6C6833F2" w14:textId="77777777" w:rsidR="00825262" w:rsidRPr="00A259BD" w:rsidRDefault="0082526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p>
    <w:bookmarkEnd w:id="14"/>
    <w:p w14:paraId="19DA58C6" w14:textId="77777777" w:rsidR="004F43CA" w:rsidRPr="00A259BD" w:rsidRDefault="004F43CA"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688C6D22" w14:textId="77777777" w:rsidR="004F43CA" w:rsidRPr="00A259BD" w:rsidRDefault="004F43C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668F06B" w14:textId="77777777" w:rsidR="00686CBB" w:rsidRPr="00441F34" w:rsidRDefault="00686CBB" w:rsidP="00686CBB">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22 февраля 1929 г. ЦК ВКП(б) принял первые меры по содействию подготовке женщин-инженеров и ввел для них 20%-</w:t>
      </w:r>
      <w:proofErr w:type="spellStart"/>
      <w:r w:rsidRPr="00441F34">
        <w:rPr>
          <w:rFonts w:ascii="Times New Roman" w:hAnsi="Times New Roman"/>
          <w:color w:val="0070C0"/>
          <w:sz w:val="16"/>
          <w:szCs w:val="16"/>
        </w:rPr>
        <w:t>ную</w:t>
      </w:r>
      <w:proofErr w:type="spellEnd"/>
      <w:r w:rsidRPr="00441F34">
        <w:rPr>
          <w:rFonts w:ascii="Times New Roman" w:hAnsi="Times New Roman"/>
          <w:color w:val="0070C0"/>
          <w:sz w:val="16"/>
          <w:szCs w:val="16"/>
        </w:rPr>
        <w:t xml:space="preserve"> квоту на прием в высшие технические учебные заведения (втузы), также 20%-</w:t>
      </w:r>
      <w:proofErr w:type="spellStart"/>
      <w:r w:rsidRPr="00441F34">
        <w:rPr>
          <w:rFonts w:ascii="Times New Roman" w:hAnsi="Times New Roman"/>
          <w:color w:val="0070C0"/>
          <w:sz w:val="16"/>
          <w:szCs w:val="16"/>
        </w:rPr>
        <w:t>ную</w:t>
      </w:r>
      <w:proofErr w:type="spellEnd"/>
      <w:r w:rsidRPr="00441F34">
        <w:rPr>
          <w:rFonts w:ascii="Times New Roman" w:hAnsi="Times New Roman"/>
          <w:color w:val="0070C0"/>
          <w:sz w:val="16"/>
          <w:szCs w:val="16"/>
        </w:rPr>
        <w:t xml:space="preserve"> — на прием в институты химической и текстильной промышленности, в техникумы и на рабочие факультеты (рабфаки)</w:t>
      </w:r>
      <w:bookmarkStart w:id="15" w:name="r1"/>
      <w:bookmarkEnd w:id="15"/>
      <w:r w:rsidRPr="00441F34">
        <w:rPr>
          <w:rFonts w:ascii="Times New Roman" w:hAnsi="Times New Roman"/>
          <w:color w:val="0070C0"/>
          <w:sz w:val="16"/>
          <w:szCs w:val="16"/>
        </w:rPr>
        <w:fldChar w:fldCharType="begin"/>
      </w:r>
      <w:r w:rsidRPr="00441F34">
        <w:rPr>
          <w:rFonts w:ascii="Times New Roman" w:hAnsi="Times New Roman"/>
          <w:color w:val="0070C0"/>
          <w:sz w:val="16"/>
          <w:szCs w:val="16"/>
        </w:rPr>
        <w:instrText xml:space="preserve"> HYPERLINK "https://www.universalinternetlibrary.ru/book/71121/chitat_knigu.shtml" \l "n_1" \o "    Техникум — специальное учебное заведение, в котором на протяжении трех лет обучались техники среднего уровня квалификации. Техникумы породила возросшая потребность в кадрах для индустриализации: первые из них были основаны Наркоматом просвещения в 1929 г., в 1930 г. их насчитывалось уже 320 по всему Советскому Союзу, а в 1936 г. число техникумов снизилось до 224. Данные взяты из кн.: Кадры тяжелой промышленности в цифрах. М., 1936. С. 47-51. Рабочий факультет (рабфак) — учреждение, призванное за два года подготовить рабочих, крестьян и их детей, не имевших достаточного школьного образования, к обучению в вузе. Рабфаки были созданы в 1919 г. и ликвидированы в конце 1930-х гг., поскольку предполагалось, что за истекший период каждый гражданин СССР получил возможности для необходимого систематического школьного образования.   " </w:instrText>
      </w:r>
      <w:r w:rsidRPr="00441F34">
        <w:rPr>
          <w:rFonts w:ascii="Times New Roman" w:hAnsi="Times New Roman"/>
          <w:color w:val="0070C0"/>
          <w:sz w:val="16"/>
          <w:szCs w:val="16"/>
        </w:rPr>
      </w:r>
      <w:r w:rsidRPr="00441F34">
        <w:rPr>
          <w:rFonts w:ascii="Times New Roman" w:hAnsi="Times New Roman"/>
          <w:color w:val="0070C0"/>
          <w:sz w:val="16"/>
          <w:szCs w:val="16"/>
        </w:rPr>
        <w:fldChar w:fldCharType="separate"/>
      </w:r>
      <w:r w:rsidRPr="00441F34">
        <w:rPr>
          <w:rStyle w:val="a5"/>
          <w:rFonts w:ascii="Times New Roman" w:hAnsi="Times New Roman"/>
          <w:color w:val="0070C0"/>
          <w:sz w:val="16"/>
          <w:szCs w:val="16"/>
        </w:rPr>
        <w:t>[1]</w:t>
      </w:r>
      <w:r w:rsidRPr="00441F34">
        <w:rPr>
          <w:rFonts w:ascii="Times New Roman" w:hAnsi="Times New Roman"/>
          <w:color w:val="0070C0"/>
          <w:sz w:val="16"/>
          <w:szCs w:val="16"/>
        </w:rPr>
        <w:fldChar w:fldCharType="end"/>
      </w:r>
      <w:r w:rsidRPr="00441F34">
        <w:rPr>
          <w:rFonts w:ascii="Times New Roman" w:hAnsi="Times New Roman"/>
          <w:color w:val="0070C0"/>
          <w:sz w:val="16"/>
          <w:szCs w:val="16"/>
        </w:rPr>
        <w:t xml:space="preserve"> и 35%-</w:t>
      </w:r>
      <w:proofErr w:type="spellStart"/>
      <w:r w:rsidRPr="00441F34">
        <w:rPr>
          <w:rFonts w:ascii="Times New Roman" w:hAnsi="Times New Roman"/>
          <w:color w:val="0070C0"/>
          <w:sz w:val="16"/>
          <w:szCs w:val="16"/>
        </w:rPr>
        <w:t>ную</w:t>
      </w:r>
      <w:proofErr w:type="spellEnd"/>
      <w:r w:rsidRPr="00441F34">
        <w:rPr>
          <w:rFonts w:ascii="Times New Roman" w:hAnsi="Times New Roman"/>
          <w:color w:val="0070C0"/>
          <w:sz w:val="16"/>
          <w:szCs w:val="16"/>
        </w:rPr>
        <w:t xml:space="preserve"> — на прием в высшие учебные заведения в текстильных регионах</w:t>
      </w:r>
      <w:hyperlink r:id="rId19" w:anchor="c_10" w:history="1">
        <w:r w:rsidRPr="00441F34">
          <w:rPr>
            <w:rStyle w:val="a5"/>
            <w:rFonts w:ascii="Times New Roman" w:hAnsi="Times New Roman"/>
            <w:color w:val="0070C0"/>
            <w:sz w:val="16"/>
            <w:szCs w:val="16"/>
          </w:rPr>
          <w:t>{10}</w:t>
        </w:r>
      </w:hyperlink>
      <w:r w:rsidRPr="00441F34">
        <w:rPr>
          <w:rFonts w:ascii="Times New Roman" w:hAnsi="Times New Roman"/>
          <w:color w:val="0070C0"/>
          <w:sz w:val="16"/>
          <w:szCs w:val="16"/>
        </w:rPr>
        <w:t>. От крупных предприятий требовали создавать специальные курсы для работниц с целью их подготовки к обучению в высшей школе; с 1929 по 1930 г. курсы только для женщин существовали также в 27 технических вузах и на 80 рабфаках (22314).</w:t>
      </w:r>
    </w:p>
    <w:p w14:paraId="52DBFC88" w14:textId="77777777" w:rsidR="00686CBB" w:rsidRPr="00441F34" w:rsidRDefault="00686CBB" w:rsidP="00686CBB">
      <w:pPr>
        <w:spacing w:after="0" w:line="240" w:lineRule="auto"/>
        <w:jc w:val="both"/>
        <w:rPr>
          <w:rFonts w:ascii="Times New Roman" w:hAnsi="Times New Roman"/>
          <w:color w:val="0070C0"/>
          <w:sz w:val="16"/>
          <w:szCs w:val="16"/>
        </w:rPr>
      </w:pPr>
    </w:p>
    <w:p w14:paraId="6E439CF2" w14:textId="77777777" w:rsidR="004F43CA" w:rsidRPr="00A259BD" w:rsidRDefault="004F43C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февраля 1929. Газета "Вечерняя Москва" сообщала: "Для продажи хлебных товаров нетрудовому населению и приезжим намечено выделить специальные магазины, которые будут торговать хлебом по повышенным ценам" (18726).</w:t>
      </w:r>
    </w:p>
    <w:p w14:paraId="32E8E9D3" w14:textId="77777777" w:rsidR="004F43CA" w:rsidRPr="00A259BD" w:rsidRDefault="004F43CA" w:rsidP="009236E3">
      <w:pPr>
        <w:spacing w:after="0" w:line="240" w:lineRule="auto"/>
        <w:jc w:val="both"/>
        <w:rPr>
          <w:rFonts w:ascii="Times New Roman" w:hAnsi="Times New Roman"/>
          <w:color w:val="000000" w:themeColor="text1"/>
          <w:sz w:val="16"/>
          <w:szCs w:val="16"/>
        </w:rPr>
      </w:pPr>
    </w:p>
    <w:p w14:paraId="2C5F0B83" w14:textId="77777777" w:rsidR="00DA7BDB"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5495B7C" w14:textId="77777777" w:rsidR="00DA7BDB" w:rsidRPr="00A259BD" w:rsidRDefault="00DA7BD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A47750B" w14:textId="77777777" w:rsidR="00DA7BDB" w:rsidRPr="00A259BD" w:rsidRDefault="00DA7B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22 февраля</w:t>
      </w:r>
      <w:r w:rsidRPr="00A259BD">
        <w:rPr>
          <w:rFonts w:ascii="Times New Roman" w:hAnsi="Times New Roman"/>
          <w:color w:val="000000" w:themeColor="text1"/>
          <w:sz w:val="16"/>
          <w:szCs w:val="16"/>
        </w:rPr>
        <w:t xml:space="preserve"> в 1929 году совершил первый полёт английский легкий транспортный самолет </w:t>
      </w:r>
      <w:hyperlink r:id="rId20" w:tgtFrame="_blank" w:history="1">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Wessex</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Westland</w:t>
        </w:r>
        <w:proofErr w:type="spellEnd"/>
        <w:r w:rsidRPr="00A259BD">
          <w:rPr>
            <w:rFonts w:ascii="Times New Roman" w:hAnsi="Times New Roman"/>
            <w:color w:val="000000" w:themeColor="text1"/>
            <w:sz w:val="16"/>
            <w:szCs w:val="16"/>
          </w:rPr>
          <w:t xml:space="preserve"> IV». </w:t>
        </w:r>
      </w:hyperlink>
      <w:r w:rsidRPr="00A259BD">
        <w:rPr>
          <w:rFonts w:ascii="Times New Roman" w:hAnsi="Times New Roman"/>
          <w:color w:val="000000" w:themeColor="text1"/>
          <w:sz w:val="16"/>
          <w:szCs w:val="16"/>
        </w:rPr>
        <w:t>Серийные самолёты выпускались с двигателями «</w:t>
      </w:r>
      <w:proofErr w:type="spellStart"/>
      <w:r w:rsidRPr="00A259BD">
        <w:rPr>
          <w:rFonts w:ascii="Times New Roman" w:hAnsi="Times New Roman"/>
          <w:color w:val="000000" w:themeColor="text1"/>
          <w:sz w:val="16"/>
          <w:szCs w:val="16"/>
        </w:rPr>
        <w:t>Armstrong</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Siddeley</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Genet</w:t>
      </w:r>
      <w:proofErr w:type="spellEnd"/>
      <w:r w:rsidRPr="00A259BD">
        <w:rPr>
          <w:rFonts w:ascii="Times New Roman" w:hAnsi="Times New Roman"/>
          <w:color w:val="000000" w:themeColor="text1"/>
          <w:sz w:val="16"/>
          <w:szCs w:val="16"/>
        </w:rPr>
        <w:t>». Однако их мощность была слишком мала. Поэтому их заменили на более мощные двигатели «</w:t>
      </w:r>
      <w:proofErr w:type="spellStart"/>
      <w:r w:rsidRPr="00A259BD">
        <w:rPr>
          <w:rFonts w:ascii="Times New Roman" w:hAnsi="Times New Roman"/>
          <w:color w:val="000000" w:themeColor="text1"/>
          <w:sz w:val="16"/>
          <w:szCs w:val="16"/>
        </w:rPr>
        <w:t>Genet</w:t>
      </w:r>
      <w:proofErr w:type="spellEnd"/>
      <w:r w:rsidRPr="00A259BD">
        <w:rPr>
          <w:rFonts w:ascii="Times New Roman" w:hAnsi="Times New Roman"/>
          <w:color w:val="000000" w:themeColor="text1"/>
          <w:sz w:val="16"/>
          <w:szCs w:val="16"/>
        </w:rPr>
        <w:t xml:space="preserve"> Major» (15048).</w:t>
      </w:r>
    </w:p>
    <w:p w14:paraId="22620E66" w14:textId="77777777" w:rsidR="00DA7BDB" w:rsidRPr="00A259BD" w:rsidRDefault="00DA7BDB" w:rsidP="009236E3">
      <w:pPr>
        <w:spacing w:after="0" w:line="240" w:lineRule="auto"/>
        <w:jc w:val="both"/>
        <w:rPr>
          <w:rFonts w:ascii="Times New Roman" w:hAnsi="Times New Roman"/>
          <w:color w:val="000000" w:themeColor="text1"/>
          <w:sz w:val="16"/>
          <w:szCs w:val="16"/>
        </w:rPr>
      </w:pPr>
    </w:p>
    <w:p w14:paraId="254549EF"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февраля 1929 г. первый полет </w:t>
      </w:r>
      <w:proofErr w:type="spellStart"/>
      <w:r w:rsidRPr="00A259BD">
        <w:rPr>
          <w:rFonts w:ascii="Times New Roman" w:hAnsi="Times New Roman"/>
          <w:color w:val="000000" w:themeColor="text1"/>
          <w:sz w:val="16"/>
          <w:szCs w:val="16"/>
        </w:rPr>
        <w:t>Westland</w:t>
      </w:r>
      <w:proofErr w:type="spellEnd"/>
      <w:r w:rsidRPr="00A259BD">
        <w:rPr>
          <w:rFonts w:ascii="Times New Roman" w:hAnsi="Times New Roman"/>
          <w:color w:val="000000" w:themeColor="text1"/>
          <w:sz w:val="16"/>
          <w:szCs w:val="16"/>
        </w:rPr>
        <w:t xml:space="preserve"> IV, прототипа </w:t>
      </w:r>
      <w:proofErr w:type="spellStart"/>
      <w:r w:rsidRPr="00A259BD">
        <w:rPr>
          <w:rFonts w:ascii="Times New Roman" w:hAnsi="Times New Roman"/>
          <w:color w:val="000000" w:themeColor="text1"/>
          <w:sz w:val="16"/>
          <w:szCs w:val="16"/>
        </w:rPr>
        <w:t>тримоторного</w:t>
      </w:r>
      <w:proofErr w:type="spellEnd"/>
      <w:r w:rsidRPr="00A259BD">
        <w:rPr>
          <w:rFonts w:ascii="Times New Roman" w:hAnsi="Times New Roman"/>
          <w:color w:val="000000" w:themeColor="text1"/>
          <w:sz w:val="16"/>
          <w:szCs w:val="16"/>
        </w:rPr>
        <w:t xml:space="preserve"> авиалайнера </w:t>
      </w:r>
      <w:proofErr w:type="spellStart"/>
      <w:r w:rsidRPr="00A259BD">
        <w:rPr>
          <w:rFonts w:ascii="Times New Roman" w:hAnsi="Times New Roman"/>
          <w:color w:val="000000" w:themeColor="text1"/>
          <w:sz w:val="16"/>
          <w:szCs w:val="16"/>
        </w:rPr>
        <w:t>Westland</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Wessex</w:t>
      </w:r>
      <w:proofErr w:type="spellEnd"/>
      <w:r w:rsidRPr="00A259BD">
        <w:rPr>
          <w:rFonts w:ascii="Times New Roman" w:hAnsi="Times New Roman"/>
          <w:color w:val="000000" w:themeColor="text1"/>
          <w:sz w:val="16"/>
          <w:szCs w:val="16"/>
        </w:rPr>
        <w:t xml:space="preserve"> (20806).</w:t>
      </w:r>
    </w:p>
    <w:p w14:paraId="6E322D6A" w14:textId="77777777" w:rsidR="00825262" w:rsidRPr="00A259BD" w:rsidRDefault="00825262" w:rsidP="009236E3">
      <w:pPr>
        <w:spacing w:after="0" w:line="240" w:lineRule="auto"/>
        <w:jc w:val="both"/>
        <w:rPr>
          <w:rFonts w:ascii="Times New Roman" w:hAnsi="Times New Roman"/>
          <w:color w:val="000000" w:themeColor="text1"/>
          <w:sz w:val="16"/>
          <w:szCs w:val="16"/>
        </w:rPr>
      </w:pPr>
    </w:p>
    <w:p w14:paraId="26CF2C02" w14:textId="77777777" w:rsidR="00DA7BDB"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74D8111B" w14:textId="77777777" w:rsidR="00DA7BDB" w:rsidRPr="00A259BD" w:rsidRDefault="00DA7BD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15247C" w14:textId="77777777" w:rsidR="00DA7BDB" w:rsidRPr="00A259BD" w:rsidRDefault="00DA7B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23 февраля</w:t>
      </w:r>
      <w:r w:rsidRPr="00A259BD">
        <w:rPr>
          <w:rFonts w:ascii="Times New Roman" w:hAnsi="Times New Roman"/>
          <w:color w:val="000000" w:themeColor="text1"/>
          <w:sz w:val="16"/>
          <w:szCs w:val="16"/>
        </w:rPr>
        <w:t xml:space="preserve"> в 1929 году </w:t>
      </w:r>
      <w:proofErr w:type="spellStart"/>
      <w:r w:rsidRPr="00A259BD">
        <w:rPr>
          <w:rFonts w:ascii="Times New Roman" w:hAnsi="Times New Roman"/>
          <w:color w:val="000000" w:themeColor="text1"/>
          <w:sz w:val="16"/>
          <w:szCs w:val="16"/>
        </w:rPr>
        <w:t>Н.Бухарин</w:t>
      </w:r>
      <w:proofErr w:type="spellEnd"/>
      <w:r w:rsidRPr="00A259BD">
        <w:rPr>
          <w:rFonts w:ascii="Times New Roman" w:hAnsi="Times New Roman"/>
          <w:color w:val="000000" w:themeColor="text1"/>
          <w:sz w:val="16"/>
          <w:szCs w:val="16"/>
        </w:rPr>
        <w:t xml:space="preserve"> и нарком просвещения </w:t>
      </w:r>
      <w:proofErr w:type="spellStart"/>
      <w:r w:rsidRPr="00A259BD">
        <w:rPr>
          <w:rFonts w:ascii="Times New Roman" w:hAnsi="Times New Roman"/>
          <w:color w:val="000000" w:themeColor="text1"/>
          <w:sz w:val="16"/>
          <w:szCs w:val="16"/>
        </w:rPr>
        <w:t>А.В.Луначарский</w:t>
      </w:r>
      <w:proofErr w:type="spellEnd"/>
      <w:r w:rsidRPr="00A259BD">
        <w:rPr>
          <w:rFonts w:ascii="Times New Roman" w:hAnsi="Times New Roman"/>
          <w:color w:val="000000" w:themeColor="text1"/>
          <w:sz w:val="16"/>
          <w:szCs w:val="16"/>
        </w:rPr>
        <w:t xml:space="preserve"> направляют в Политбюро ЦК на утверждение программный документ группы академиков-коммунистов о их политике к Академии наук: не взрывать это учреждение изнутри, а приспособить к нуждам социалистического строительства, сделать его единым организующим центром развития науки в стране. Документ предлагал принять «твердый курс» на развитие Физико-математического отделения и постепенную ликвидацию Гуманитарного отделения Академии наук с передачей в дальнейшем его институтов Комакадемии; введение в Устав пункта об удовлетворении членами Академии «не только требованиям научной квалификации, но и политическим требованиям»; замену </w:t>
      </w:r>
      <w:proofErr w:type="spellStart"/>
      <w:r w:rsidRPr="00A259BD">
        <w:rPr>
          <w:rFonts w:ascii="Times New Roman" w:hAnsi="Times New Roman"/>
          <w:color w:val="000000" w:themeColor="text1"/>
          <w:sz w:val="16"/>
          <w:szCs w:val="16"/>
        </w:rPr>
        <w:t>А.П.Карпинского</w:t>
      </w:r>
      <w:proofErr w:type="spellEnd"/>
      <w:r w:rsidRPr="00A259BD">
        <w:rPr>
          <w:rFonts w:ascii="Times New Roman" w:hAnsi="Times New Roman"/>
          <w:color w:val="000000" w:themeColor="text1"/>
          <w:sz w:val="16"/>
          <w:szCs w:val="16"/>
        </w:rPr>
        <w:t xml:space="preserve"> на </w:t>
      </w:r>
      <w:proofErr w:type="spellStart"/>
      <w:r w:rsidRPr="00A259BD">
        <w:rPr>
          <w:rFonts w:ascii="Times New Roman" w:hAnsi="Times New Roman"/>
          <w:color w:val="000000" w:themeColor="text1"/>
          <w:sz w:val="16"/>
          <w:szCs w:val="16"/>
        </w:rPr>
        <w:t>В.Л.Комарова</w:t>
      </w:r>
      <w:proofErr w:type="spellEnd"/>
      <w:r w:rsidRPr="00A259BD">
        <w:rPr>
          <w:rFonts w:ascii="Times New Roman" w:hAnsi="Times New Roman"/>
          <w:color w:val="000000" w:themeColor="text1"/>
          <w:sz w:val="16"/>
          <w:szCs w:val="16"/>
        </w:rPr>
        <w:t xml:space="preserve"> на посту Президента Академии Наук СССР, а </w:t>
      </w:r>
      <w:proofErr w:type="spellStart"/>
      <w:r w:rsidRPr="00A259BD">
        <w:rPr>
          <w:rFonts w:ascii="Times New Roman" w:hAnsi="Times New Roman"/>
          <w:color w:val="000000" w:themeColor="text1"/>
          <w:sz w:val="16"/>
          <w:szCs w:val="16"/>
        </w:rPr>
        <w:t>С.Ф.Ольденбурга</w:t>
      </w:r>
      <w:proofErr w:type="spellEnd"/>
      <w:r w:rsidRPr="00A259BD">
        <w:rPr>
          <w:rFonts w:ascii="Times New Roman" w:hAnsi="Times New Roman"/>
          <w:color w:val="000000" w:themeColor="text1"/>
          <w:sz w:val="16"/>
          <w:szCs w:val="16"/>
        </w:rPr>
        <w:t xml:space="preserve"> на </w:t>
      </w:r>
      <w:proofErr w:type="spellStart"/>
      <w:r w:rsidRPr="00A259BD">
        <w:rPr>
          <w:rFonts w:ascii="Times New Roman" w:hAnsi="Times New Roman"/>
          <w:color w:val="000000" w:themeColor="text1"/>
          <w:sz w:val="16"/>
          <w:szCs w:val="16"/>
        </w:rPr>
        <w:t>В.П.Волгина</w:t>
      </w:r>
      <w:proofErr w:type="spellEnd"/>
      <w:r w:rsidRPr="00A259BD">
        <w:rPr>
          <w:rFonts w:ascii="Times New Roman" w:hAnsi="Times New Roman"/>
          <w:color w:val="000000" w:themeColor="text1"/>
          <w:sz w:val="16"/>
          <w:szCs w:val="16"/>
        </w:rPr>
        <w:t xml:space="preserve"> и др. 25 февраля решением Политбюро Президентом Академии Наук СССР оставлен </w:t>
      </w:r>
      <w:proofErr w:type="spellStart"/>
      <w:r w:rsidRPr="00A259BD">
        <w:rPr>
          <w:rFonts w:ascii="Times New Roman" w:hAnsi="Times New Roman"/>
          <w:color w:val="000000" w:themeColor="text1"/>
          <w:sz w:val="16"/>
          <w:szCs w:val="16"/>
        </w:rPr>
        <w:t>А.П.Карпинский</w:t>
      </w:r>
      <w:proofErr w:type="spellEnd"/>
      <w:r w:rsidRPr="00A259BD">
        <w:rPr>
          <w:rFonts w:ascii="Times New Roman" w:hAnsi="Times New Roman"/>
          <w:color w:val="000000" w:themeColor="text1"/>
          <w:sz w:val="16"/>
          <w:szCs w:val="16"/>
        </w:rPr>
        <w:t>, вице-президентами утверждены Кржижановский, Марр и Комаров, а непременным секретарем – Волгин. Фактическая замена Ольденбурга на Волгина произошла после развертывания чекистами «дела Академии наук» осенью 1929 (15049).</w:t>
      </w:r>
    </w:p>
    <w:p w14:paraId="66255D45" w14:textId="77777777" w:rsidR="00DA7BDB" w:rsidRPr="00A259BD" w:rsidRDefault="00DA7BDB" w:rsidP="009236E3">
      <w:pPr>
        <w:spacing w:after="0" w:line="240" w:lineRule="auto"/>
        <w:jc w:val="both"/>
        <w:rPr>
          <w:rFonts w:ascii="Times New Roman" w:hAnsi="Times New Roman"/>
          <w:color w:val="000000" w:themeColor="text1"/>
          <w:sz w:val="16"/>
          <w:szCs w:val="16"/>
        </w:rPr>
      </w:pPr>
    </w:p>
    <w:p w14:paraId="4278110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133342F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9DDC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23 февраля и 1 марта 1929. Из протокола заседания Политбюро N 66, особая папка, 1929 г.</w:t>
      </w:r>
    </w:p>
    <w:p w14:paraId="33172B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 Афганистане </w:t>
      </w:r>
    </w:p>
    <w:p w14:paraId="1AF7A2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В выдаче оружия Гулям-Наби (генконсул Афганистана в Ташкенте, предложивший сформировать отряды для помощи свергнутому королю Аманулле) отказать в деликатной форме. </w:t>
      </w:r>
    </w:p>
    <w:p w14:paraId="291372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Эвакуацию посольства из Кабула не производить. Считать желательным постепенное сокращение штатов посольства и постепенный выезд из Кабула членов семей и явно лишних сотрудников посольства. </w:t>
      </w:r>
    </w:p>
    <w:p w14:paraId="6A2ADF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В аэропланах для вывоза ценностей Амануллы отказать в деликатной форме, сославшись на техническую невозможность. </w:t>
      </w:r>
    </w:p>
    <w:p w14:paraId="09D1FE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Указать т. Старку (посол СССР в Кабуле) еще раз на необходимость соблюдения строгого нейтралитета и предложить ему, исходя из того, что телеграммы могут расшифровываться и попасть в чужие руки, не посылать длинных и чересчур откровенных телеграмм и быть в них максимально кратким и точным (11652).</w:t>
      </w:r>
    </w:p>
    <w:p w14:paraId="58240E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5AE9DB" w14:textId="77777777" w:rsidR="00DA7BDB"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CCA71E5" w14:textId="77777777" w:rsidR="00DA7BDB" w:rsidRPr="00A259BD" w:rsidRDefault="00DA7BD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D801111" w14:textId="77777777" w:rsidR="00DA7BDB" w:rsidRPr="00A259BD" w:rsidRDefault="00DA7B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23 февраля</w:t>
      </w:r>
      <w:r w:rsidRPr="00A259BD">
        <w:rPr>
          <w:rFonts w:ascii="Times New Roman" w:hAnsi="Times New Roman"/>
          <w:color w:val="000000" w:themeColor="text1"/>
          <w:sz w:val="16"/>
          <w:szCs w:val="16"/>
        </w:rPr>
        <w:t xml:space="preserve"> в 1929 году первый полёт прототипа разведчика-бомбардировщика </w:t>
      </w:r>
      <w:hyperlink r:id="rId21" w:tgtFrame="_blank" w:history="1">
        <w:r w:rsidRPr="00A259BD">
          <w:rPr>
            <w:rFonts w:ascii="Times New Roman" w:hAnsi="Times New Roman"/>
            <w:color w:val="000000" w:themeColor="text1"/>
            <w:sz w:val="16"/>
            <w:szCs w:val="16"/>
          </w:rPr>
          <w:t xml:space="preserve">«Breguet» «Br.27» </w:t>
        </w:r>
      </w:hyperlink>
      <w:r w:rsidRPr="00A259BD">
        <w:rPr>
          <w:rFonts w:ascii="Times New Roman" w:hAnsi="Times New Roman"/>
          <w:color w:val="000000" w:themeColor="text1"/>
          <w:sz w:val="16"/>
          <w:szCs w:val="16"/>
        </w:rPr>
        <w:t xml:space="preserve">(компания «Breguet», Франция). В 1928 году министерство авиации Франции выдало новую спецификацию на фронтовой разведчик категории «А2». Обязательными требованиями к такому самолёту было наличие двух членов экипажа - пилота и стрелка-наблюдателя, который заодно обслуживал фотокамеру и радиостанцию, а также возможность самолёта взлетать с неподготовленных взлетных полос. Самолёт, названный «Breguet 27», в целом был обычным бипланом, но его фюзеляж представлял собой нечто неординарное. Конструкторская бригада, в которую входили Марсель </w:t>
      </w:r>
      <w:proofErr w:type="spellStart"/>
      <w:r w:rsidRPr="00A259BD">
        <w:rPr>
          <w:rFonts w:ascii="Times New Roman" w:hAnsi="Times New Roman"/>
          <w:color w:val="000000" w:themeColor="text1"/>
          <w:sz w:val="16"/>
          <w:szCs w:val="16"/>
        </w:rPr>
        <w:t>Вюиллерм</w:t>
      </w:r>
      <w:proofErr w:type="spellEnd"/>
      <w:r w:rsidRPr="00A259BD">
        <w:rPr>
          <w:rFonts w:ascii="Times New Roman" w:hAnsi="Times New Roman"/>
          <w:color w:val="000000" w:themeColor="text1"/>
          <w:sz w:val="16"/>
          <w:szCs w:val="16"/>
        </w:rPr>
        <w:t xml:space="preserve">, Рене </w:t>
      </w:r>
      <w:proofErr w:type="spellStart"/>
      <w:r w:rsidRPr="00A259BD">
        <w:rPr>
          <w:rFonts w:ascii="Times New Roman" w:hAnsi="Times New Roman"/>
          <w:color w:val="000000" w:themeColor="text1"/>
          <w:sz w:val="16"/>
          <w:szCs w:val="16"/>
        </w:rPr>
        <w:t>Ледюк</w:t>
      </w:r>
      <w:proofErr w:type="spellEnd"/>
      <w:r w:rsidRPr="00A259BD">
        <w:rPr>
          <w:rFonts w:ascii="Times New Roman" w:hAnsi="Times New Roman"/>
          <w:color w:val="000000" w:themeColor="text1"/>
          <w:sz w:val="16"/>
          <w:szCs w:val="16"/>
        </w:rPr>
        <w:t xml:space="preserve"> и Пауль </w:t>
      </w:r>
      <w:proofErr w:type="spellStart"/>
      <w:r w:rsidRPr="00A259BD">
        <w:rPr>
          <w:rFonts w:ascii="Times New Roman" w:hAnsi="Times New Roman"/>
          <w:color w:val="000000" w:themeColor="text1"/>
          <w:sz w:val="16"/>
          <w:szCs w:val="16"/>
        </w:rPr>
        <w:t>Дэвилль</w:t>
      </w:r>
      <w:proofErr w:type="spellEnd"/>
      <w:r w:rsidRPr="00A259BD">
        <w:rPr>
          <w:rFonts w:ascii="Times New Roman" w:hAnsi="Times New Roman"/>
          <w:color w:val="000000" w:themeColor="text1"/>
          <w:sz w:val="16"/>
          <w:szCs w:val="16"/>
        </w:rPr>
        <w:t xml:space="preserve"> разработали весьма оригинальную конструкцию, призванную увеличить сектора обстрела с места стрелка-наблюдателя и, в некоторой степени, снизить массу самолёта. В результате фюзеляж собирался из стальных труб и имел дюралевую обшивку. Сразу за местом наблюдателя фюзеляж переходил в достаточно тонкую хвостовую балку, на конце которой монтировалось хвостовое оперение. Кабины пилотов выполнили открытыми, но зачем-то снабдили массивными козырьками. Вместо стандартной тогда схемы биплана была выбрана схема </w:t>
      </w:r>
      <w:proofErr w:type="spellStart"/>
      <w:r w:rsidRPr="00A259BD">
        <w:rPr>
          <w:rFonts w:ascii="Times New Roman" w:hAnsi="Times New Roman"/>
          <w:color w:val="000000" w:themeColor="text1"/>
          <w:sz w:val="16"/>
          <w:szCs w:val="16"/>
        </w:rPr>
        <w:t>полутороплана</w:t>
      </w:r>
      <w:proofErr w:type="spellEnd"/>
      <w:r w:rsidRPr="00A259BD">
        <w:rPr>
          <w:rFonts w:ascii="Times New Roman" w:hAnsi="Times New Roman"/>
          <w:color w:val="000000" w:themeColor="text1"/>
          <w:sz w:val="16"/>
          <w:szCs w:val="16"/>
        </w:rPr>
        <w:t>, с установкой главных стоек шасси в обтекателях под нижним крылом меньшей площади (15049).</w:t>
      </w:r>
    </w:p>
    <w:p w14:paraId="451B9FD4" w14:textId="77777777" w:rsidR="00DA7BDB" w:rsidRPr="00A259BD" w:rsidRDefault="00DA7BDB" w:rsidP="009236E3">
      <w:pPr>
        <w:spacing w:after="0" w:line="240" w:lineRule="auto"/>
        <w:jc w:val="both"/>
        <w:rPr>
          <w:rFonts w:ascii="Times New Roman" w:hAnsi="Times New Roman"/>
          <w:color w:val="000000" w:themeColor="text1"/>
          <w:sz w:val="16"/>
          <w:szCs w:val="16"/>
        </w:rPr>
      </w:pPr>
    </w:p>
    <w:p w14:paraId="7ACBB1F7"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февраля 1929 - Первый полет французского разведчика-бомбардировщика Breguet 27 (22589).</w:t>
      </w:r>
    </w:p>
    <w:p w14:paraId="73774DDC" w14:textId="77777777" w:rsidR="00825262" w:rsidRPr="00A259BD" w:rsidRDefault="00825262" w:rsidP="009236E3">
      <w:pPr>
        <w:spacing w:after="0" w:line="240" w:lineRule="auto"/>
        <w:jc w:val="both"/>
        <w:rPr>
          <w:rFonts w:ascii="Times New Roman" w:hAnsi="Times New Roman"/>
          <w:color w:val="000000" w:themeColor="text1"/>
          <w:sz w:val="16"/>
          <w:szCs w:val="16"/>
        </w:rPr>
      </w:pPr>
    </w:p>
    <w:p w14:paraId="4FCF5C0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6109AA5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AD7CD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февраля 1929 вышло постановление ЦК ВКП(б) "О командном и политическом составе РККА" (356,65). Особое внимание укреплению единоначалия, военной подготовке политработников и на улучшение социального состава (501,15).</w:t>
      </w:r>
    </w:p>
    <w:p w14:paraId="53EDCD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4E0B0B5" w14:textId="77777777" w:rsidR="004F43CA" w:rsidRPr="00A259BD" w:rsidRDefault="004F43C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февраля 1929 г. и от 5 июня 1931 г. Постановления ЦК ВКП(б) «О командном и политическом составе РККА» предусматривали пополнение частей и учебных заведений ВВС за счет коммунистов и комсомольцев, расширение сети авиашкол и увеличение численности обучаемых в имевшихся авиашколах. 21 марта 1931 г. во все военные школы ВВС была направлена «Инструкция по отбору кандидатов в Военные школы Военных Воздушных сил Р.К.К.А.», в которой указывалось, что «в школы ВВС принимаются:</w:t>
      </w:r>
    </w:p>
    <w:p w14:paraId="1AE7FE0D" w14:textId="77777777" w:rsidR="004F43CA" w:rsidRPr="00A259BD" w:rsidRDefault="004F43C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Военнослужащие – красноармейцы рядового состава, лица младшего начальствующего состава, а на курсы летчиков также и лица среднего начальствующего состава. Возраст до 27 лет. </w:t>
      </w:r>
    </w:p>
    <w:p w14:paraId="5109FA95" w14:textId="77777777" w:rsidR="004F43CA" w:rsidRPr="00A259BD" w:rsidRDefault="004F43C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w:t>
      </w:r>
      <w:proofErr w:type="spellStart"/>
      <w:r w:rsidRPr="00A259BD">
        <w:rPr>
          <w:rFonts w:ascii="Times New Roman" w:hAnsi="Times New Roman"/>
          <w:color w:val="000000" w:themeColor="text1"/>
          <w:sz w:val="16"/>
          <w:szCs w:val="16"/>
        </w:rPr>
        <w:t>Невоеннослужащие</w:t>
      </w:r>
      <w:proofErr w:type="spellEnd"/>
      <w:r w:rsidRPr="00A259BD">
        <w:rPr>
          <w:rFonts w:ascii="Times New Roman" w:hAnsi="Times New Roman"/>
          <w:color w:val="000000" w:themeColor="text1"/>
          <w:sz w:val="16"/>
          <w:szCs w:val="16"/>
        </w:rPr>
        <w:t>, направляемые в школы авиационных техников и техников специальных служб – через организации ВЛКСМ [Это было связано со взятием в январе 1931 г. комсомолом шефства над ВВС РККА].</w:t>
      </w:r>
    </w:p>
    <w:p w14:paraId="06DF195F" w14:textId="77777777" w:rsidR="004F43CA" w:rsidRPr="00A259BD" w:rsidRDefault="004F43C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школы принимаются лица в возрасте от 18 до 24 лет» (19566).</w:t>
      </w:r>
    </w:p>
    <w:p w14:paraId="37DD12ED" w14:textId="77777777" w:rsidR="004F43CA" w:rsidRPr="00A259BD" w:rsidRDefault="004F43CA" w:rsidP="009236E3">
      <w:pPr>
        <w:spacing w:after="0" w:line="240" w:lineRule="auto"/>
        <w:jc w:val="both"/>
        <w:rPr>
          <w:rFonts w:ascii="Times New Roman" w:hAnsi="Times New Roman"/>
          <w:color w:val="000000" w:themeColor="text1"/>
          <w:sz w:val="16"/>
          <w:szCs w:val="16"/>
        </w:rPr>
      </w:pPr>
    </w:p>
    <w:p w14:paraId="372BD78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7F8302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75D42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февраля 1929 состоялось заседание НМС (протокол 8) по вопросу о реорганизации конструкторского дела в АП (2339).</w:t>
      </w:r>
    </w:p>
    <w:p w14:paraId="4FC3A6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E5FB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февраля 1929 письмом N 059052сс Янсон - пред. военно-научно исследовательского комитета при РВС направил </w:t>
      </w:r>
      <w:proofErr w:type="spellStart"/>
      <w:r w:rsidRPr="00A259BD">
        <w:rPr>
          <w:rFonts w:ascii="Times New Roman" w:hAnsi="Times New Roman"/>
          <w:color w:val="000000" w:themeColor="text1"/>
          <w:sz w:val="16"/>
          <w:szCs w:val="16"/>
        </w:rPr>
        <w:t>К.Е.Ворошилову</w:t>
      </w:r>
      <w:proofErr w:type="spellEnd"/>
      <w:r w:rsidRPr="00A259BD">
        <w:rPr>
          <w:rFonts w:ascii="Times New Roman" w:hAnsi="Times New Roman"/>
          <w:color w:val="000000" w:themeColor="text1"/>
          <w:sz w:val="16"/>
          <w:szCs w:val="16"/>
        </w:rPr>
        <w:t xml:space="preserve"> "заключение по плану об опытном дирижаблестроении в СССР", разработанном летом 1928 и предложившем все работы сосредоточить в ЦАГИ. Ругал (1026,97).</w:t>
      </w:r>
    </w:p>
    <w:p w14:paraId="54FD91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C5B6C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февраля 1929 г. Военно-научный Исследовательский комитет при Реввоенсовете СССР за № 059052/сс представил ПРЕДСЕДАТЕЛЮ РВС СССР </w:t>
      </w:r>
      <w:proofErr w:type="spellStart"/>
      <w:r w:rsidRPr="00A259BD">
        <w:rPr>
          <w:rFonts w:ascii="Times New Roman" w:hAnsi="Times New Roman"/>
          <w:color w:val="000000" w:themeColor="text1"/>
          <w:sz w:val="16"/>
          <w:szCs w:val="16"/>
        </w:rPr>
        <w:t>тов.ВОРОШИЛОВУ</w:t>
      </w:r>
      <w:proofErr w:type="spellEnd"/>
      <w:r w:rsidRPr="00A259BD">
        <w:rPr>
          <w:rFonts w:ascii="Times New Roman" w:hAnsi="Times New Roman"/>
          <w:color w:val="000000" w:themeColor="text1"/>
          <w:sz w:val="16"/>
          <w:szCs w:val="16"/>
        </w:rPr>
        <w:t xml:space="preserve"> К.Е.</w:t>
      </w:r>
    </w:p>
    <w:p w14:paraId="2200A62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 по плану об опытном дирижаблестроении в СССР.</w:t>
      </w:r>
    </w:p>
    <w:p w14:paraId="0DF264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Летом прошлого года ЦАГИ разработал план опытного дири</w:t>
      </w:r>
      <w:r w:rsidRPr="00A259BD">
        <w:rPr>
          <w:rFonts w:ascii="Times New Roman" w:hAnsi="Times New Roman"/>
          <w:color w:val="000000" w:themeColor="text1"/>
          <w:sz w:val="16"/>
          <w:szCs w:val="16"/>
        </w:rPr>
        <w:softHyphen/>
        <w:t>жаблестроения в СССР</w:t>
      </w:r>
    </w:p>
    <w:p w14:paraId="26F36B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Постановлением президиума ВСНХ от 3 ноября 1928 г. пред</w:t>
      </w:r>
      <w:r w:rsidRPr="00A259BD">
        <w:rPr>
          <w:rFonts w:ascii="Times New Roman" w:hAnsi="Times New Roman"/>
          <w:color w:val="000000" w:themeColor="text1"/>
          <w:sz w:val="16"/>
          <w:szCs w:val="16"/>
        </w:rPr>
        <w:softHyphen/>
        <w:t>ложено Начальнику МПУ т. Постникову дополнительно проработать этот план организации и развития дирижаблестроения в СССР, увязав его с Военным Ведомством.</w:t>
      </w:r>
    </w:p>
    <w:p w14:paraId="6375D81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Разработанный ЦАГИ план опытного дирижаблестроения </w:t>
      </w:r>
      <w:proofErr w:type="spellStart"/>
      <w:r w:rsidRPr="00A259BD">
        <w:rPr>
          <w:rFonts w:ascii="Times New Roman" w:hAnsi="Times New Roman"/>
          <w:color w:val="000000" w:themeColor="text1"/>
          <w:sz w:val="16"/>
          <w:szCs w:val="16"/>
        </w:rPr>
        <w:t>расчитан</w:t>
      </w:r>
      <w:proofErr w:type="spellEnd"/>
      <w:r w:rsidRPr="00A259BD">
        <w:rPr>
          <w:rFonts w:ascii="Times New Roman" w:hAnsi="Times New Roman"/>
          <w:color w:val="000000" w:themeColor="text1"/>
          <w:sz w:val="16"/>
          <w:szCs w:val="16"/>
        </w:rPr>
        <w:t xml:space="preserve"> на пять лет /1929-1935 г./ и предусматривает следующие работы :</w:t>
      </w:r>
    </w:p>
    <w:p w14:paraId="3AEF857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1929 по 1931 г. постройку полужесткого дирижабля в 3000-8000 куб. м.</w:t>
      </w:r>
    </w:p>
    <w:p w14:paraId="11E090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1931 по 1933 г. постройку полужесткого дирижабля в 20.000-25.000 куб. м.</w:t>
      </w:r>
    </w:p>
    <w:p w14:paraId="6F044B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1933 по 1935 г. постройку жесткого дирижабля в 25,000-50.000 куб. м.</w:t>
      </w:r>
    </w:p>
    <w:p w14:paraId="12D6E6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Всю работу по опытному дирижаблестроению предположено сосредоточить в ЦАГИ.</w:t>
      </w:r>
    </w:p>
    <w:p w14:paraId="596371B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Работа ЦАГИ по опытному дирижаблестроению в первые пять лет носит научно-исследовательский характер. Заканчивается постройкой опытного дирижабля </w:t>
      </w:r>
      <w:proofErr w:type="spellStart"/>
      <w:r w:rsidRPr="00A259BD">
        <w:rPr>
          <w:rFonts w:ascii="Times New Roman" w:hAnsi="Times New Roman"/>
          <w:color w:val="000000" w:themeColor="text1"/>
          <w:sz w:val="16"/>
          <w:szCs w:val="16"/>
        </w:rPr>
        <w:t>об"емом</w:t>
      </w:r>
      <w:proofErr w:type="spellEnd"/>
      <w:r w:rsidRPr="00A259BD">
        <w:rPr>
          <w:rFonts w:ascii="Times New Roman" w:hAnsi="Times New Roman"/>
          <w:color w:val="000000" w:themeColor="text1"/>
          <w:sz w:val="16"/>
          <w:szCs w:val="16"/>
        </w:rPr>
        <w:t xml:space="preserve"> до 50.000 </w:t>
      </w:r>
      <w:proofErr w:type="spellStart"/>
      <w:r w:rsidRPr="00A259BD">
        <w:rPr>
          <w:rFonts w:ascii="Times New Roman" w:hAnsi="Times New Roman"/>
          <w:color w:val="000000" w:themeColor="text1"/>
          <w:sz w:val="16"/>
          <w:szCs w:val="16"/>
        </w:rPr>
        <w:t>к.уб.м</w:t>
      </w:r>
      <w:proofErr w:type="spellEnd"/>
      <w:r w:rsidRPr="00A259BD">
        <w:rPr>
          <w:rFonts w:ascii="Times New Roman" w:hAnsi="Times New Roman"/>
          <w:color w:val="000000" w:themeColor="text1"/>
          <w:sz w:val="16"/>
          <w:szCs w:val="16"/>
        </w:rPr>
        <w:t>., после чего дальнейшее производство дирижаблей переносится на. производ</w:t>
      </w:r>
      <w:r w:rsidRPr="00A259BD">
        <w:rPr>
          <w:rFonts w:ascii="Times New Roman" w:hAnsi="Times New Roman"/>
          <w:color w:val="000000" w:themeColor="text1"/>
          <w:sz w:val="16"/>
          <w:szCs w:val="16"/>
        </w:rPr>
        <w:softHyphen/>
        <w:t>ственную базу при техническом руководстве ЦАГИ.</w:t>
      </w:r>
    </w:p>
    <w:p w14:paraId="570F6E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осуществления этого плана </w:t>
      </w:r>
      <w:proofErr w:type="spellStart"/>
      <w:r w:rsidRPr="00A259BD">
        <w:rPr>
          <w:rFonts w:ascii="Times New Roman" w:hAnsi="Times New Roman"/>
          <w:color w:val="000000" w:themeColor="text1"/>
          <w:sz w:val="16"/>
          <w:szCs w:val="16"/>
        </w:rPr>
        <w:t>тзабот</w:t>
      </w:r>
      <w:proofErr w:type="spellEnd"/>
      <w:r w:rsidRPr="00A259BD">
        <w:rPr>
          <w:rFonts w:ascii="Times New Roman" w:hAnsi="Times New Roman"/>
          <w:color w:val="000000" w:themeColor="text1"/>
          <w:sz w:val="16"/>
          <w:szCs w:val="16"/>
        </w:rPr>
        <w:t xml:space="preserve"> предусмотрено созда</w:t>
      </w:r>
      <w:r w:rsidRPr="00A259BD">
        <w:rPr>
          <w:rFonts w:ascii="Times New Roman" w:hAnsi="Times New Roman"/>
          <w:color w:val="000000" w:themeColor="text1"/>
          <w:sz w:val="16"/>
          <w:szCs w:val="16"/>
        </w:rPr>
        <w:softHyphen/>
        <w:t>ние при ЦАГИ опытной верфи с эллингом, мастерских, складов и хранилищ, водородного завода, рельсового пути, аэромаяка, слу</w:t>
      </w:r>
      <w:r w:rsidRPr="00A259BD">
        <w:rPr>
          <w:rFonts w:ascii="Times New Roman" w:hAnsi="Times New Roman"/>
          <w:color w:val="000000" w:themeColor="text1"/>
          <w:sz w:val="16"/>
          <w:szCs w:val="16"/>
        </w:rPr>
        <w:softHyphen/>
        <w:t>жебных и жилых помещений.</w:t>
      </w:r>
    </w:p>
    <w:p w14:paraId="060DF9B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выполнение указанных работ по ориентировочной смете ЦАГИ потребуется отпуск в течение 3-ти лет 17.375.000 рублей.</w:t>
      </w:r>
    </w:p>
    <w:p w14:paraId="6132A3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Принимая во внимание значительное развитие дирижаблестрое</w:t>
      </w:r>
      <w:r w:rsidRPr="00A259BD">
        <w:rPr>
          <w:rFonts w:ascii="Times New Roman" w:hAnsi="Times New Roman"/>
          <w:color w:val="000000" w:themeColor="text1"/>
          <w:sz w:val="16"/>
          <w:szCs w:val="16"/>
        </w:rPr>
        <w:softHyphen/>
        <w:t>ния заграницей, вопрос об опытном дирижаблестроении следует признать своевременными и важным, но представленный ЦАГИ ориен</w:t>
      </w:r>
      <w:r w:rsidRPr="00A259BD">
        <w:rPr>
          <w:rFonts w:ascii="Times New Roman" w:hAnsi="Times New Roman"/>
          <w:color w:val="000000" w:themeColor="text1"/>
          <w:sz w:val="16"/>
          <w:szCs w:val="16"/>
        </w:rPr>
        <w:softHyphen/>
        <w:t xml:space="preserve">тировочный план опытного дирижаблестроения по нашему мнению </w:t>
      </w:r>
      <w:proofErr w:type="spellStart"/>
      <w:r w:rsidRPr="00A259BD">
        <w:rPr>
          <w:rFonts w:ascii="Times New Roman" w:hAnsi="Times New Roman"/>
          <w:color w:val="000000" w:themeColor="text1"/>
          <w:sz w:val="16"/>
          <w:szCs w:val="16"/>
        </w:rPr>
        <w:t>имеет^следующие</w:t>
      </w:r>
      <w:proofErr w:type="spellEnd"/>
      <w:r w:rsidRPr="00A259BD">
        <w:rPr>
          <w:rFonts w:ascii="Times New Roman" w:hAnsi="Times New Roman"/>
          <w:color w:val="000000" w:themeColor="text1"/>
          <w:sz w:val="16"/>
          <w:szCs w:val="16"/>
        </w:rPr>
        <w:t xml:space="preserve"> существенные недостатки :</w:t>
      </w:r>
    </w:p>
    <w:p w14:paraId="6EA6DA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Разработанный ЦАГИ план опытного дирижаблестроения не увязан в достаточной мере с проблемой обороны СССР. Программу работ по плану, </w:t>
      </w:r>
      <w:proofErr w:type="spellStart"/>
      <w:r w:rsidRPr="00A259BD">
        <w:rPr>
          <w:rFonts w:ascii="Times New Roman" w:hAnsi="Times New Roman"/>
          <w:color w:val="000000" w:themeColor="text1"/>
          <w:sz w:val="16"/>
          <w:szCs w:val="16"/>
        </w:rPr>
        <w:t>расчитанному</w:t>
      </w:r>
      <w:proofErr w:type="spellEnd"/>
      <w:r w:rsidRPr="00A259BD">
        <w:rPr>
          <w:rFonts w:ascii="Times New Roman" w:hAnsi="Times New Roman"/>
          <w:color w:val="000000" w:themeColor="text1"/>
          <w:sz w:val="16"/>
          <w:szCs w:val="16"/>
        </w:rPr>
        <w:t xml:space="preserve"> на 5 лет нель</w:t>
      </w:r>
      <w:r w:rsidRPr="00A259BD">
        <w:rPr>
          <w:rFonts w:ascii="Times New Roman" w:hAnsi="Times New Roman"/>
          <w:color w:val="000000" w:themeColor="text1"/>
          <w:sz w:val="16"/>
          <w:szCs w:val="16"/>
        </w:rPr>
        <w:softHyphen/>
        <w:t>зя считать законченной.</w:t>
      </w:r>
    </w:p>
    <w:p w14:paraId="12178A1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Вопрос об опытном дирижаблестроении неразрывно связан с вопросом воздухоплавательной промышленности в целом. Поэтому в плане ЦАГИ, предусматривающем только опытное дирижаблестроение нет ясной целевой установки.</w:t>
      </w:r>
    </w:p>
    <w:p w14:paraId="2C18F7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Сосредоточение работы по опытному дирижаблестроению в ЦАГИ с тем, чтобы через пять лет дальнейшее произ</w:t>
      </w:r>
      <w:r w:rsidRPr="00A259BD">
        <w:rPr>
          <w:rFonts w:ascii="Times New Roman" w:hAnsi="Times New Roman"/>
          <w:color w:val="000000" w:themeColor="text1"/>
          <w:sz w:val="16"/>
          <w:szCs w:val="16"/>
        </w:rPr>
        <w:softHyphen/>
        <w:t xml:space="preserve">водство дирижаблей передать </w:t>
      </w:r>
      <w:proofErr w:type="spellStart"/>
      <w:r w:rsidRPr="00A259BD">
        <w:rPr>
          <w:rFonts w:ascii="Times New Roman" w:hAnsi="Times New Roman"/>
          <w:color w:val="000000" w:themeColor="text1"/>
          <w:sz w:val="16"/>
          <w:szCs w:val="16"/>
        </w:rPr>
        <w:t>промышленности,вряд</w:t>
      </w:r>
      <w:proofErr w:type="spellEnd"/>
      <w:r w:rsidRPr="00A259BD">
        <w:rPr>
          <w:rFonts w:ascii="Times New Roman" w:hAnsi="Times New Roman"/>
          <w:color w:val="000000" w:themeColor="text1"/>
          <w:sz w:val="16"/>
          <w:szCs w:val="16"/>
        </w:rPr>
        <w:t xml:space="preserve"> ли можно признать целесообразным. Опытное строительство в данном конкретном случае нецелесообразно отрывать от производственной базы.</w:t>
      </w:r>
    </w:p>
    <w:p w14:paraId="54DC12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По нашему мнению, должен быть создан единый центр воз</w:t>
      </w:r>
      <w:r w:rsidRPr="00A259BD">
        <w:rPr>
          <w:rFonts w:ascii="Times New Roman" w:hAnsi="Times New Roman"/>
          <w:color w:val="000000" w:themeColor="text1"/>
          <w:sz w:val="16"/>
          <w:szCs w:val="16"/>
        </w:rPr>
        <w:softHyphen/>
        <w:t>духоплавательной промышленности, при чем выбор района, где наладить дирижаблестроение имеет существенное зна</w:t>
      </w:r>
      <w:r w:rsidRPr="00A259BD">
        <w:rPr>
          <w:rFonts w:ascii="Times New Roman" w:hAnsi="Times New Roman"/>
          <w:color w:val="000000" w:themeColor="text1"/>
          <w:sz w:val="16"/>
          <w:szCs w:val="16"/>
        </w:rPr>
        <w:softHyphen/>
        <w:t>чение - Урал или Саратовский район.</w:t>
      </w:r>
    </w:p>
    <w:p w14:paraId="19C5C9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Работы ЦАГИ по дирижаблестроению на ближайшие пять лет с затратой 17 миллионов рублей будут иметь только научно-исследовательское значение. Намеченные к по -стройке четыре опытных дирижабля по своей кубатуре не будут иметь почти никакого практического военного значения. Привлечение к этому делу иностранной техничес</w:t>
      </w:r>
      <w:r w:rsidRPr="00A259BD">
        <w:rPr>
          <w:rFonts w:ascii="Times New Roman" w:hAnsi="Times New Roman"/>
          <w:color w:val="000000" w:themeColor="text1"/>
          <w:sz w:val="16"/>
          <w:szCs w:val="16"/>
        </w:rPr>
        <w:softHyphen/>
        <w:t>кой помощи /Германия/ избавило бы нас от больших за -трат по изучению данной отрасли промышленности и по -</w:t>
      </w:r>
      <w:proofErr w:type="spellStart"/>
      <w:r w:rsidRPr="00A259BD">
        <w:rPr>
          <w:rFonts w:ascii="Times New Roman" w:hAnsi="Times New Roman"/>
          <w:color w:val="000000" w:themeColor="text1"/>
          <w:sz w:val="16"/>
          <w:szCs w:val="16"/>
        </w:rPr>
        <w:t>зволило</w:t>
      </w:r>
      <w:proofErr w:type="spellEnd"/>
      <w:r w:rsidRPr="00A259BD">
        <w:rPr>
          <w:rFonts w:ascii="Times New Roman" w:hAnsi="Times New Roman"/>
          <w:color w:val="000000" w:themeColor="text1"/>
          <w:sz w:val="16"/>
          <w:szCs w:val="16"/>
        </w:rPr>
        <w:t xml:space="preserve"> бы по мере создания центра дирижаблестроения перейти сразу на постройку аппаратов более мощной ку</w:t>
      </w:r>
      <w:r w:rsidRPr="00A259BD">
        <w:rPr>
          <w:rFonts w:ascii="Times New Roman" w:hAnsi="Times New Roman"/>
          <w:color w:val="000000" w:themeColor="text1"/>
          <w:sz w:val="16"/>
          <w:szCs w:val="16"/>
        </w:rPr>
        <w:softHyphen/>
        <w:t>батуры и пригодных для практических задач Красной Ар</w:t>
      </w:r>
      <w:r w:rsidRPr="00A259BD">
        <w:rPr>
          <w:rFonts w:ascii="Times New Roman" w:hAnsi="Times New Roman"/>
          <w:color w:val="000000" w:themeColor="text1"/>
          <w:sz w:val="16"/>
          <w:szCs w:val="16"/>
        </w:rPr>
        <w:softHyphen/>
        <w:t>мии и Военно-Морского флота.</w:t>
      </w:r>
    </w:p>
    <w:p w14:paraId="53C9316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Исходя из этого, я считаю, что представленный ЦАГИ план опытного дирижаблестроения требует дополнительной проработай Специальной Комиссии РВС СССР, с участием представителей ВСНХ и промышленности. Только после детальной проработки этого во</w:t>
      </w:r>
      <w:r w:rsidRPr="00A259BD">
        <w:rPr>
          <w:rFonts w:ascii="Times New Roman" w:hAnsi="Times New Roman"/>
          <w:color w:val="000000" w:themeColor="text1"/>
          <w:sz w:val="16"/>
          <w:szCs w:val="16"/>
        </w:rPr>
        <w:softHyphen/>
        <w:t>проса в целом он может служить предметом обсуждения на РВС СССР.</w:t>
      </w:r>
    </w:p>
    <w:p w14:paraId="6878CB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Председатель Военно-научного Исследовательского Комитета при РВС СССР /ЯНСОН/</w:t>
      </w:r>
    </w:p>
    <w:p w14:paraId="7D11B5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НАСА, ф. 4, оп. 2, д. 398, </w:t>
      </w:r>
      <w:proofErr w:type="spellStart"/>
      <w:r w:rsidRPr="00A259BD">
        <w:rPr>
          <w:rFonts w:ascii="Times New Roman" w:hAnsi="Times New Roman"/>
          <w:color w:val="000000" w:themeColor="text1"/>
          <w:sz w:val="16"/>
          <w:szCs w:val="16"/>
        </w:rPr>
        <w:t>л.л</w:t>
      </w:r>
      <w:proofErr w:type="spellEnd"/>
      <w:r w:rsidRPr="00A259BD">
        <w:rPr>
          <w:rFonts w:ascii="Times New Roman" w:hAnsi="Times New Roman"/>
          <w:color w:val="000000" w:themeColor="text1"/>
          <w:sz w:val="16"/>
          <w:szCs w:val="16"/>
        </w:rPr>
        <w:t>. 79-80 (1026,97).</w:t>
      </w:r>
    </w:p>
    <w:p w14:paraId="2B6C767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09AF62" w14:textId="77777777" w:rsidR="00824FAB"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D9A41FB" w14:textId="77777777" w:rsidR="00824FAB" w:rsidRPr="00A259BD" w:rsidRDefault="00824FA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1E20BEE"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февраля 1929 г. Протокол заседания Постоянного мобилизационного совещания при Президиуме ВСНХ СССР. 1. О проекте организации </w:t>
      </w:r>
      <w:proofErr w:type="spellStart"/>
      <w:r w:rsidRPr="00A259BD">
        <w:rPr>
          <w:rFonts w:ascii="Times New Roman" w:hAnsi="Times New Roman"/>
          <w:color w:val="000000" w:themeColor="text1"/>
          <w:sz w:val="16"/>
          <w:szCs w:val="16"/>
        </w:rPr>
        <w:t>лекально-калиберного</w:t>
      </w:r>
      <w:proofErr w:type="spellEnd"/>
      <w:r w:rsidRPr="00A259BD">
        <w:rPr>
          <w:rFonts w:ascii="Times New Roman" w:hAnsi="Times New Roman"/>
          <w:color w:val="000000" w:themeColor="text1"/>
          <w:sz w:val="16"/>
          <w:szCs w:val="16"/>
        </w:rPr>
        <w:t xml:space="preserve"> дела в СССР, обеспечении потребности в лекалах и калибрах по плану № 10. 2. О передаче конструкторского дела из НКВМ в промышленность. 3. О мероприятиях по постановке производства приборов зажигания и других </w:t>
      </w:r>
      <w:proofErr w:type="spellStart"/>
      <w:r w:rsidRPr="00A259BD">
        <w:rPr>
          <w:rFonts w:ascii="Times New Roman" w:hAnsi="Times New Roman"/>
          <w:color w:val="000000" w:themeColor="text1"/>
          <w:sz w:val="16"/>
          <w:szCs w:val="16"/>
        </w:rPr>
        <w:t>электроизделий</w:t>
      </w:r>
      <w:proofErr w:type="spellEnd"/>
      <w:r w:rsidRPr="00A259BD">
        <w:rPr>
          <w:rFonts w:ascii="Times New Roman" w:hAnsi="Times New Roman"/>
          <w:color w:val="000000" w:themeColor="text1"/>
          <w:sz w:val="16"/>
          <w:szCs w:val="16"/>
        </w:rPr>
        <w:t xml:space="preserve"> в СССР. 4. О снижении технических норм капитального строительства в военное время. 5. О расширении шорно-седельного производства в 1928/29 г. (РГАЭ. Ф. 3429. Оп. 16. Д. 3. Л. 17?19 об.) (12417).</w:t>
      </w:r>
    </w:p>
    <w:p w14:paraId="37F089D2" w14:textId="77777777" w:rsidR="00824FAB" w:rsidRPr="00A259BD" w:rsidRDefault="00824FAB" w:rsidP="009236E3">
      <w:pPr>
        <w:spacing w:after="0" w:line="240" w:lineRule="auto"/>
        <w:jc w:val="both"/>
        <w:rPr>
          <w:rFonts w:ascii="Times New Roman" w:hAnsi="Times New Roman"/>
          <w:color w:val="000000" w:themeColor="text1"/>
          <w:sz w:val="16"/>
          <w:szCs w:val="16"/>
        </w:rPr>
      </w:pPr>
    </w:p>
    <w:p w14:paraId="21E4076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3FC79D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7DA35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ТЕЗИСЫ к докладу 27 февраля 1929 г. РВС СССР по опытному строительству УВВС РККА.</w:t>
      </w:r>
    </w:p>
    <w:p w14:paraId="194CAC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СЕКРЕТНО</w:t>
      </w:r>
    </w:p>
    <w:p w14:paraId="2D88CC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Опытное строительство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должно развиваться как по линии </w:t>
      </w:r>
      <w:proofErr w:type="spellStart"/>
      <w:r w:rsidRPr="00A259BD">
        <w:rPr>
          <w:rFonts w:ascii="Times New Roman" w:hAnsi="Times New Roman"/>
          <w:color w:val="000000" w:themeColor="text1"/>
          <w:sz w:val="16"/>
          <w:szCs w:val="16"/>
        </w:rPr>
        <w:t>самолетостроеняя</w:t>
      </w:r>
      <w:proofErr w:type="spellEnd"/>
      <w:r w:rsidRPr="00A259BD">
        <w:rPr>
          <w:rFonts w:ascii="Times New Roman" w:hAnsi="Times New Roman"/>
          <w:color w:val="000000" w:themeColor="text1"/>
          <w:sz w:val="16"/>
          <w:szCs w:val="16"/>
        </w:rPr>
        <w:t>, так и по линии моторостроения со всеми принадлежащими к ним частями и оборудованием.</w:t>
      </w:r>
    </w:p>
    <w:p w14:paraId="740CB8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Здоровое развитие опытного строительства мыслимо лишь на базе технических достижений, </w:t>
      </w:r>
      <w:proofErr w:type="spellStart"/>
      <w:r w:rsidRPr="00A259BD">
        <w:rPr>
          <w:rFonts w:ascii="Times New Roman" w:hAnsi="Times New Roman"/>
          <w:color w:val="000000" w:themeColor="text1"/>
          <w:sz w:val="16"/>
          <w:szCs w:val="16"/>
        </w:rPr>
        <w:t>которье</w:t>
      </w:r>
      <w:proofErr w:type="spellEnd"/>
      <w:r w:rsidRPr="00A259BD">
        <w:rPr>
          <w:rFonts w:ascii="Times New Roman" w:hAnsi="Times New Roman"/>
          <w:color w:val="000000" w:themeColor="text1"/>
          <w:sz w:val="16"/>
          <w:szCs w:val="16"/>
        </w:rPr>
        <w:t xml:space="preserve"> имеются и будут иметься в серийном производстве; в силу чего отдельные виды опытного строительства должны увязываться на каждый данный период с той степенью технической культуры, которая достигнута в производстве и, естественно, </w:t>
      </w:r>
      <w:proofErr w:type="spellStart"/>
      <w:r w:rsidRPr="00A259BD">
        <w:rPr>
          <w:rFonts w:ascii="Times New Roman" w:hAnsi="Times New Roman"/>
          <w:color w:val="000000" w:themeColor="text1"/>
          <w:sz w:val="16"/>
          <w:szCs w:val="16"/>
        </w:rPr>
        <w:t>делжна</w:t>
      </w:r>
      <w:proofErr w:type="spellEnd"/>
      <w:r w:rsidRPr="00A259BD">
        <w:rPr>
          <w:rFonts w:ascii="Times New Roman" w:hAnsi="Times New Roman"/>
          <w:color w:val="000000" w:themeColor="text1"/>
          <w:sz w:val="16"/>
          <w:szCs w:val="16"/>
        </w:rPr>
        <w:t xml:space="preserve"> быть территориально связана с этим производством.</w:t>
      </w:r>
    </w:p>
    <w:p w14:paraId="27037A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В области самолетостроения этот принцип нецелесообразно проводить до его логического конца, так как ЦАГИ имеет значительные достижения в части опытного металлического сухопутного самолетостроения, каковая задача и должна в дальнейшем остаться за этим Институтом.</w:t>
      </w:r>
    </w:p>
    <w:p w14:paraId="4B6D68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За авиапромышленностью остается опытное сухопутное </w:t>
      </w:r>
      <w:proofErr w:type="spellStart"/>
      <w:r w:rsidRPr="00A259BD">
        <w:rPr>
          <w:rFonts w:ascii="Times New Roman" w:hAnsi="Times New Roman"/>
          <w:color w:val="000000" w:themeColor="text1"/>
          <w:sz w:val="16"/>
          <w:szCs w:val="16"/>
        </w:rPr>
        <w:t>самолето</w:t>
      </w:r>
      <w:proofErr w:type="spellEnd"/>
      <w:r w:rsidRPr="00A259BD">
        <w:rPr>
          <w:rFonts w:ascii="Times New Roman" w:hAnsi="Times New Roman"/>
          <w:color w:val="000000" w:themeColor="text1"/>
          <w:sz w:val="16"/>
          <w:szCs w:val="16"/>
        </w:rPr>
        <w:t>-как деревянной, так смешанной и сварной конструкции; морское самолетостроение всех видов и назначений, а разно и опытные работы всех предметов оборудования и снабжения самолетов и моторов (винты, лыжи, вооружение, магнето, свечи и проч., за исключением авиаприборов).</w:t>
      </w:r>
    </w:p>
    <w:p w14:paraId="3F4886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Весь комплекс конструктивных задач по опытному моте </w:t>
      </w:r>
      <w:proofErr w:type="spellStart"/>
      <w:r w:rsidRPr="00A259BD">
        <w:rPr>
          <w:rFonts w:ascii="Times New Roman" w:hAnsi="Times New Roman"/>
          <w:color w:val="000000" w:themeColor="text1"/>
          <w:sz w:val="16"/>
          <w:szCs w:val="16"/>
        </w:rPr>
        <w:t>нню</w:t>
      </w:r>
      <w:proofErr w:type="spellEnd"/>
      <w:r w:rsidRPr="00A259BD">
        <w:rPr>
          <w:rFonts w:ascii="Times New Roman" w:hAnsi="Times New Roman"/>
          <w:color w:val="000000" w:themeColor="text1"/>
          <w:sz w:val="16"/>
          <w:szCs w:val="16"/>
        </w:rPr>
        <w:t xml:space="preserve">, подлежащих производственному разрешению, возлагается полностью на </w:t>
      </w:r>
      <w:proofErr w:type="spellStart"/>
      <w:r w:rsidRPr="00A259BD">
        <w:rPr>
          <w:rFonts w:ascii="Times New Roman" w:hAnsi="Times New Roman"/>
          <w:color w:val="000000" w:themeColor="text1"/>
          <w:sz w:val="16"/>
          <w:szCs w:val="16"/>
        </w:rPr>
        <w:t>Авиатрэст</w:t>
      </w:r>
      <w:proofErr w:type="spellEnd"/>
      <w:r w:rsidRPr="00A259BD">
        <w:rPr>
          <w:rFonts w:ascii="Times New Roman" w:hAnsi="Times New Roman"/>
          <w:color w:val="000000" w:themeColor="text1"/>
          <w:sz w:val="16"/>
          <w:szCs w:val="16"/>
        </w:rPr>
        <w:t>.</w:t>
      </w:r>
    </w:p>
    <w:p w14:paraId="5C5CE5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На основе этих принципиальные положений Авиапромышленность доводит до конечного </w:t>
      </w:r>
      <w:proofErr w:type="spellStart"/>
      <w:r w:rsidRPr="00A259BD">
        <w:rPr>
          <w:rFonts w:ascii="Times New Roman" w:hAnsi="Times New Roman"/>
          <w:color w:val="000000" w:themeColor="text1"/>
          <w:sz w:val="16"/>
          <w:szCs w:val="16"/>
        </w:rPr>
        <w:t>результаха</w:t>
      </w:r>
      <w:proofErr w:type="spellEnd"/>
      <w:r w:rsidRPr="00A259BD">
        <w:rPr>
          <w:rFonts w:ascii="Times New Roman" w:hAnsi="Times New Roman"/>
          <w:color w:val="000000" w:themeColor="text1"/>
          <w:sz w:val="16"/>
          <w:szCs w:val="16"/>
        </w:rPr>
        <w:t xml:space="preserve"> выделение опытного </w:t>
      </w:r>
      <w:proofErr w:type="spellStart"/>
      <w:r w:rsidRPr="00A259BD">
        <w:rPr>
          <w:rFonts w:ascii="Times New Roman" w:hAnsi="Times New Roman"/>
          <w:color w:val="000000" w:themeColor="text1"/>
          <w:sz w:val="16"/>
          <w:szCs w:val="16"/>
        </w:rPr>
        <w:t>стрительства</w:t>
      </w:r>
      <w:proofErr w:type="spellEnd"/>
      <w:r w:rsidRPr="00A259BD">
        <w:rPr>
          <w:rFonts w:ascii="Times New Roman" w:hAnsi="Times New Roman"/>
          <w:color w:val="000000" w:themeColor="text1"/>
          <w:sz w:val="16"/>
          <w:szCs w:val="16"/>
        </w:rPr>
        <w:t xml:space="preserve"> из серийного производства, связывая, однако, территориальные и отдельные опытные единицы с наиболее мощными базами серийного производства.</w:t>
      </w:r>
    </w:p>
    <w:p w14:paraId="72EA674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производства. ^</w:t>
      </w:r>
    </w:p>
    <w:p w14:paraId="258930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В полном соответствии с данным положением Опытный отдел морского самолетостроения (ОПО-3) достраивается на территории завода 22.</w:t>
      </w:r>
    </w:p>
    <w:p w14:paraId="1B2463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Завод № 25 (ОПО-1) соответственно должен быть у </w:t>
      </w:r>
      <w:proofErr w:type="spellStart"/>
      <w:r w:rsidRPr="00A259BD">
        <w:rPr>
          <w:rFonts w:ascii="Times New Roman" w:hAnsi="Times New Roman"/>
          <w:color w:val="000000" w:themeColor="text1"/>
          <w:sz w:val="16"/>
          <w:szCs w:val="16"/>
        </w:rPr>
        <w:t>вязазан</w:t>
      </w:r>
      <w:proofErr w:type="spellEnd"/>
      <w:r w:rsidRPr="00A259BD">
        <w:rPr>
          <w:rFonts w:ascii="Times New Roman" w:hAnsi="Times New Roman"/>
          <w:color w:val="000000" w:themeColor="text1"/>
          <w:sz w:val="16"/>
          <w:szCs w:val="16"/>
        </w:rPr>
        <w:t xml:space="preserve"> с работой завода № I и иметь замкнутое хозяйство соответствующего </w:t>
      </w:r>
      <w:proofErr w:type="spellStart"/>
      <w:r w:rsidRPr="00A259BD">
        <w:rPr>
          <w:rFonts w:ascii="Times New Roman" w:hAnsi="Times New Roman"/>
          <w:color w:val="000000" w:themeColor="text1"/>
          <w:sz w:val="16"/>
          <w:szCs w:val="16"/>
        </w:rPr>
        <w:t>об"ема</w:t>
      </w:r>
      <w:proofErr w:type="spellEnd"/>
      <w:r w:rsidRPr="00A259BD">
        <w:rPr>
          <w:rFonts w:ascii="Times New Roman" w:hAnsi="Times New Roman"/>
          <w:color w:val="000000" w:themeColor="text1"/>
          <w:sz w:val="16"/>
          <w:szCs w:val="16"/>
        </w:rPr>
        <w:t xml:space="preserve"> на новой территории завода № I на аэродроме.</w:t>
      </w:r>
    </w:p>
    <w:p w14:paraId="5E1A6C8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Опытный моторостроительный отдел (ОПО-2) организуется в специальных помещениях завода № 24 с выделением обособленного участка испытательной. станции, </w:t>
      </w:r>
      <w:proofErr w:type="spellStart"/>
      <w:r w:rsidRPr="00A259BD">
        <w:rPr>
          <w:rFonts w:ascii="Times New Roman" w:hAnsi="Times New Roman"/>
          <w:color w:val="000000" w:themeColor="text1"/>
          <w:sz w:val="16"/>
          <w:szCs w:val="16"/>
        </w:rPr>
        <w:t>риспособленного</w:t>
      </w:r>
      <w:proofErr w:type="spellEnd"/>
      <w:r w:rsidRPr="00A259BD">
        <w:rPr>
          <w:rFonts w:ascii="Times New Roman" w:hAnsi="Times New Roman"/>
          <w:color w:val="000000" w:themeColor="text1"/>
          <w:sz w:val="16"/>
          <w:szCs w:val="16"/>
        </w:rPr>
        <w:t xml:space="preserve"> для всестороннего изучения опытного образца.</w:t>
      </w:r>
    </w:p>
    <w:p w14:paraId="36C2C4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В связи с организацией завода вооружений, вся конструктивная проработка предметов вооружения самолетов должна быть сосредоточена в авиапромышленности и, в целях увязки с конструкцией самолетов, организована на заводе № 25. Равным образом на завод № 25 возлагается конструирование лыж и винтов.</w:t>
      </w:r>
    </w:p>
    <w:p w14:paraId="68EAB8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Опытное строительство самолетов должно быть обеспечено ответственно оборудованной летной станцией, позволяющей производить полное испытание </w:t>
      </w:r>
      <w:proofErr w:type="spellStart"/>
      <w:r w:rsidRPr="00A259BD">
        <w:rPr>
          <w:rFonts w:ascii="Times New Roman" w:hAnsi="Times New Roman"/>
          <w:color w:val="000000" w:themeColor="text1"/>
          <w:sz w:val="16"/>
          <w:szCs w:val="16"/>
        </w:rPr>
        <w:t>самодетов</w:t>
      </w:r>
      <w:proofErr w:type="spellEnd"/>
      <w:r w:rsidRPr="00A259BD">
        <w:rPr>
          <w:rFonts w:ascii="Times New Roman" w:hAnsi="Times New Roman"/>
          <w:color w:val="000000" w:themeColor="text1"/>
          <w:sz w:val="16"/>
          <w:szCs w:val="16"/>
        </w:rPr>
        <w:t>, согласно требованиям НТК У.В.С.</w:t>
      </w:r>
    </w:p>
    <w:p w14:paraId="0FC314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В целях ускорения срока (периодов) внедрения в серийное производство образцов, признанных удовлетворяющими требованиям ВВС, предусматривается возможность изготовления головных серий самолетов и </w:t>
      </w:r>
      <w:proofErr w:type="spellStart"/>
      <w:r w:rsidRPr="00A259BD">
        <w:rPr>
          <w:rFonts w:ascii="Times New Roman" w:hAnsi="Times New Roman"/>
          <w:color w:val="000000" w:themeColor="text1"/>
          <w:sz w:val="16"/>
          <w:szCs w:val="16"/>
        </w:rPr>
        <w:t>др.предметов</w:t>
      </w:r>
      <w:proofErr w:type="spellEnd"/>
      <w:r w:rsidRPr="00A259BD">
        <w:rPr>
          <w:rFonts w:ascii="Times New Roman" w:hAnsi="Times New Roman"/>
          <w:color w:val="000000" w:themeColor="text1"/>
          <w:sz w:val="16"/>
          <w:szCs w:val="16"/>
        </w:rPr>
        <w:t xml:space="preserve"> снаряжения в опытных отделов Треста; в силу чего, эти отделы должны быть достаточно мощными для постройки головных серий.</w:t>
      </w:r>
    </w:p>
    <w:p w14:paraId="49E937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Принцип построения головных серий в опытных отделах Треста должен предусмотреть увязку на первой серии всех производственных неполадок, полное изготовление всех рабочих чертежей; технических описаний, </w:t>
      </w:r>
      <w:proofErr w:type="spellStart"/>
      <w:r w:rsidRPr="00A259BD">
        <w:rPr>
          <w:rFonts w:ascii="Times New Roman" w:hAnsi="Times New Roman"/>
          <w:color w:val="000000" w:themeColor="text1"/>
          <w:sz w:val="16"/>
          <w:szCs w:val="16"/>
        </w:rPr>
        <w:t>спесификаций</w:t>
      </w:r>
      <w:proofErr w:type="spellEnd"/>
      <w:r w:rsidRPr="00A259BD">
        <w:rPr>
          <w:rFonts w:ascii="Times New Roman" w:hAnsi="Times New Roman"/>
          <w:color w:val="000000" w:themeColor="text1"/>
          <w:sz w:val="16"/>
          <w:szCs w:val="16"/>
        </w:rPr>
        <w:t xml:space="preserve"> материалов и проч., в силу чего серийные заводы непосредственно могут </w:t>
      </w:r>
      <w:proofErr w:type="spellStart"/>
      <w:r w:rsidRPr="00A259BD">
        <w:rPr>
          <w:rFonts w:ascii="Times New Roman" w:hAnsi="Times New Roman"/>
          <w:color w:val="000000" w:themeColor="text1"/>
          <w:sz w:val="16"/>
          <w:szCs w:val="16"/>
        </w:rPr>
        <w:t>ротступить</w:t>
      </w:r>
      <w:proofErr w:type="spellEnd"/>
      <w:r w:rsidRPr="00A259BD">
        <w:rPr>
          <w:rFonts w:ascii="Times New Roman" w:hAnsi="Times New Roman"/>
          <w:color w:val="000000" w:themeColor="text1"/>
          <w:sz w:val="16"/>
          <w:szCs w:val="16"/>
        </w:rPr>
        <w:t xml:space="preserve"> к изготовлению больших серий по принципу лицензионному.</w:t>
      </w:r>
    </w:p>
    <w:p w14:paraId="13112AB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Как принцип, Опытное строительство авиапромышленности должно существовать для удовлетворения технических и тактических требований ВВС; однако, в случае недостижения соглашения между НТК и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по техническим требованиям к той или иной конструкции, за авиапромышленностью остается право дать конструкцию в инициативном порядке.</w:t>
      </w:r>
    </w:p>
    <w:p w14:paraId="14A0C4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w:t>
      </w:r>
      <w:proofErr w:type="spellStart"/>
      <w:r w:rsidRPr="00A259BD">
        <w:rPr>
          <w:rFonts w:ascii="Times New Roman" w:hAnsi="Times New Roman"/>
          <w:color w:val="000000" w:themeColor="text1"/>
          <w:sz w:val="16"/>
          <w:szCs w:val="16"/>
        </w:rPr>
        <w:t>Оуществление</w:t>
      </w:r>
      <w:proofErr w:type="spellEnd"/>
      <w:r w:rsidRPr="00A259BD">
        <w:rPr>
          <w:rFonts w:ascii="Times New Roman" w:hAnsi="Times New Roman"/>
          <w:color w:val="000000" w:themeColor="text1"/>
          <w:sz w:val="16"/>
          <w:szCs w:val="16"/>
        </w:rPr>
        <w:t xml:space="preserve"> крайне </w:t>
      </w:r>
      <w:proofErr w:type="spellStart"/>
      <w:r w:rsidRPr="00A259BD">
        <w:rPr>
          <w:rFonts w:ascii="Times New Roman" w:hAnsi="Times New Roman"/>
          <w:color w:val="000000" w:themeColor="text1"/>
          <w:sz w:val="16"/>
          <w:szCs w:val="16"/>
        </w:rPr>
        <w:t>оветственных</w:t>
      </w:r>
      <w:proofErr w:type="spellEnd"/>
      <w:r w:rsidRPr="00A259BD">
        <w:rPr>
          <w:rFonts w:ascii="Times New Roman" w:hAnsi="Times New Roman"/>
          <w:color w:val="000000" w:themeColor="text1"/>
          <w:sz w:val="16"/>
          <w:szCs w:val="16"/>
        </w:rPr>
        <w:t xml:space="preserve"> заданий, возлагаемых на работников Опытных Отделов авиапромышленности, при данном состоянии теории и практики </w:t>
      </w:r>
      <w:proofErr w:type="spellStart"/>
      <w:r w:rsidRPr="00A259BD">
        <w:rPr>
          <w:rFonts w:ascii="Times New Roman" w:hAnsi="Times New Roman"/>
          <w:color w:val="000000" w:themeColor="text1"/>
          <w:sz w:val="16"/>
          <w:szCs w:val="16"/>
        </w:rPr>
        <w:t>авиастроеняя</w:t>
      </w:r>
      <w:proofErr w:type="spellEnd"/>
      <w:r w:rsidRPr="00A259BD">
        <w:rPr>
          <w:rFonts w:ascii="Times New Roman" w:hAnsi="Times New Roman"/>
          <w:color w:val="000000" w:themeColor="text1"/>
          <w:sz w:val="16"/>
          <w:szCs w:val="16"/>
        </w:rPr>
        <w:t xml:space="preserve">, не может </w:t>
      </w:r>
      <w:proofErr w:type="spellStart"/>
      <w:r w:rsidRPr="00A259BD">
        <w:rPr>
          <w:rFonts w:ascii="Times New Roman" w:hAnsi="Times New Roman"/>
          <w:color w:val="000000" w:themeColor="text1"/>
          <w:sz w:val="16"/>
          <w:szCs w:val="16"/>
        </w:rPr>
        <w:t>опраться</w:t>
      </w:r>
      <w:proofErr w:type="spellEnd"/>
      <w:r w:rsidRPr="00A259BD">
        <w:rPr>
          <w:rFonts w:ascii="Times New Roman" w:hAnsi="Times New Roman"/>
          <w:color w:val="000000" w:themeColor="text1"/>
          <w:sz w:val="16"/>
          <w:szCs w:val="16"/>
        </w:rPr>
        <w:t xml:space="preserve"> на твердые расчетные практические данные и проверенные коэффициенты прочности, в силу чего этим работникам ....(2339,171).</w:t>
      </w:r>
    </w:p>
    <w:p w14:paraId="7698FB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0371AD" w14:textId="77777777" w:rsidR="00824FAB" w:rsidRPr="00A259BD" w:rsidRDefault="00824FAB" w:rsidP="009236E3">
      <w:pPr>
        <w:pStyle w:val="rtejustify"/>
        <w:spacing w:before="0" w:after="0"/>
        <w:rPr>
          <w:color w:val="000000" w:themeColor="text1"/>
          <w:sz w:val="16"/>
          <w:szCs w:val="16"/>
        </w:rPr>
      </w:pPr>
      <w:r w:rsidRPr="00A259BD">
        <w:rPr>
          <w:color w:val="000000" w:themeColor="text1"/>
          <w:sz w:val="16"/>
          <w:szCs w:val="16"/>
        </w:rPr>
        <w:t>27 февраля1929 г</w:t>
      </w:r>
      <w:r w:rsidRPr="00A259BD">
        <w:rPr>
          <w:rStyle w:val="af0"/>
          <w:i w:val="0"/>
          <w:color w:val="000000" w:themeColor="text1"/>
          <w:sz w:val="16"/>
          <w:szCs w:val="16"/>
        </w:rPr>
        <w:t>. Протокол Реввоенсовета № 14.</w:t>
      </w:r>
      <w:r w:rsidRPr="00A259BD">
        <w:rPr>
          <w:color w:val="000000" w:themeColor="text1"/>
          <w:sz w:val="16"/>
          <w:szCs w:val="16"/>
        </w:rPr>
        <w:t xml:space="preserve"> 1. Об опытном моторо- и самолетостроении. (Баранов и Янсон, в прениях — Ворошилов, </w:t>
      </w:r>
      <w:proofErr w:type="spellStart"/>
      <w:r w:rsidRPr="00A259BD">
        <w:rPr>
          <w:color w:val="000000" w:themeColor="text1"/>
          <w:sz w:val="16"/>
          <w:szCs w:val="16"/>
        </w:rPr>
        <w:t>Уншлихт</w:t>
      </w:r>
      <w:proofErr w:type="spellEnd"/>
      <w:r w:rsidRPr="00A259BD">
        <w:rPr>
          <w:color w:val="000000" w:themeColor="text1"/>
          <w:sz w:val="16"/>
          <w:szCs w:val="16"/>
        </w:rPr>
        <w:t>, Постников), ставится 3</w:t>
      </w:r>
      <w:r w:rsidRPr="00A259BD">
        <w:rPr>
          <w:color w:val="000000" w:themeColor="text1"/>
          <w:sz w:val="16"/>
          <w:szCs w:val="16"/>
        </w:rPr>
        <w:noBreakHyphen/>
        <w:t>й раз. (РГВА. Ф. 4. Оп. 18. Д. 15. Л. 96) (12342).</w:t>
      </w:r>
    </w:p>
    <w:p w14:paraId="2D2CE7C5" w14:textId="77777777" w:rsidR="00824FAB" w:rsidRPr="00A259BD" w:rsidRDefault="00824FAB" w:rsidP="009236E3">
      <w:pPr>
        <w:pStyle w:val="rtejustify"/>
        <w:spacing w:before="0" w:after="0"/>
        <w:rPr>
          <w:color w:val="000000" w:themeColor="text1"/>
          <w:sz w:val="16"/>
          <w:szCs w:val="16"/>
        </w:rPr>
      </w:pPr>
    </w:p>
    <w:p w14:paraId="0D10639C"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февраля 1929 г. под председательством В.А. </w:t>
      </w:r>
      <w:proofErr w:type="spellStart"/>
      <w:r w:rsidRPr="00A259BD">
        <w:rPr>
          <w:rFonts w:ascii="Times New Roman" w:hAnsi="Times New Roman"/>
          <w:color w:val="000000" w:themeColor="text1"/>
          <w:sz w:val="16"/>
          <w:szCs w:val="16"/>
        </w:rPr>
        <w:t>Зарзара</w:t>
      </w:r>
      <w:proofErr w:type="spellEnd"/>
      <w:r w:rsidRPr="00A259BD">
        <w:rPr>
          <w:rFonts w:ascii="Times New Roman" w:hAnsi="Times New Roman"/>
          <w:color w:val="000000" w:themeColor="text1"/>
          <w:sz w:val="16"/>
          <w:szCs w:val="16"/>
        </w:rPr>
        <w:t xml:space="preserve"> состоялся Межведомственный совет при инспек</w:t>
      </w:r>
      <w:r w:rsidRPr="00A259BD">
        <w:rPr>
          <w:rFonts w:ascii="Times New Roman" w:hAnsi="Times New Roman"/>
          <w:color w:val="000000" w:themeColor="text1"/>
          <w:sz w:val="16"/>
          <w:szCs w:val="16"/>
        </w:rPr>
        <w:softHyphen/>
        <w:t>ции ГВФ для рассмотрения вопроса вертолета КАСКР. Окончательное заключение в отношении КАСКР гласило: «Учитывая целесообразность и назревшую необходимость постройки опытного вертолета по проекту инженеров Ка</w:t>
      </w:r>
      <w:r w:rsidRPr="00A259BD">
        <w:rPr>
          <w:rFonts w:ascii="Times New Roman" w:hAnsi="Times New Roman"/>
          <w:color w:val="000000" w:themeColor="text1"/>
          <w:sz w:val="16"/>
          <w:szCs w:val="16"/>
        </w:rPr>
        <w:softHyphen/>
        <w:t xml:space="preserve">мова и </w:t>
      </w:r>
      <w:proofErr w:type="spellStart"/>
      <w:r w:rsidRPr="00A259BD">
        <w:rPr>
          <w:rFonts w:ascii="Times New Roman" w:hAnsi="Times New Roman"/>
          <w:color w:val="000000" w:themeColor="text1"/>
          <w:sz w:val="16"/>
          <w:szCs w:val="16"/>
        </w:rPr>
        <w:t>Скржинского</w:t>
      </w:r>
      <w:proofErr w:type="spellEnd"/>
      <w:r w:rsidRPr="00A259BD">
        <w:rPr>
          <w:rFonts w:ascii="Times New Roman" w:hAnsi="Times New Roman"/>
          <w:color w:val="000000" w:themeColor="text1"/>
          <w:sz w:val="16"/>
          <w:szCs w:val="16"/>
        </w:rPr>
        <w:t>, считать необходимым скорейшее осуществление постройки» (20361).</w:t>
      </w:r>
    </w:p>
    <w:p w14:paraId="48CA1723" w14:textId="77777777" w:rsidR="00825262" w:rsidRPr="00A259BD" w:rsidRDefault="00825262" w:rsidP="009236E3">
      <w:pPr>
        <w:shd w:val="clear" w:color="auto" w:fill="FFFFFF"/>
        <w:spacing w:after="0" w:line="240" w:lineRule="auto"/>
        <w:jc w:val="both"/>
        <w:rPr>
          <w:rFonts w:ascii="Times New Roman" w:hAnsi="Times New Roman"/>
          <w:color w:val="000000" w:themeColor="text1"/>
          <w:sz w:val="16"/>
          <w:szCs w:val="16"/>
        </w:rPr>
      </w:pPr>
    </w:p>
    <w:p w14:paraId="2EC435F4" w14:textId="77777777" w:rsidR="00824FAB"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8568CC3" w14:textId="77777777" w:rsidR="00824FAB" w:rsidRPr="00A259BD" w:rsidRDefault="00824FA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B62D460"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27 февраля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ЦИК и СНК утвердили «Основные положения о порядке долгосрочного кредитования и безвозвратного финансирования государственной промышленности и электрохозяйства местного значения» (12265).</w:t>
      </w:r>
    </w:p>
    <w:p w14:paraId="497A6847"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77FF39F1"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55EBDB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EA04C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февраля 1929 Турция присоединилась к протоколу Литвинова (3907,156).</w:t>
      </w:r>
    </w:p>
    <w:p w14:paraId="169B07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489EC53"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A3BFEB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AA7DF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28 февраля 1929 </w:t>
      </w:r>
      <w:proofErr w:type="spellStart"/>
      <w:r w:rsidRPr="00A259BD">
        <w:rPr>
          <w:rFonts w:ascii="Times New Roman" w:hAnsi="Times New Roman"/>
          <w:color w:val="000000" w:themeColor="text1"/>
          <w:sz w:val="16"/>
          <w:szCs w:val="16"/>
        </w:rPr>
        <w:t>И.Ф.Козлов</w:t>
      </w:r>
      <w:proofErr w:type="spellEnd"/>
      <w:r w:rsidRPr="00A259BD">
        <w:rPr>
          <w:rFonts w:ascii="Times New Roman" w:hAnsi="Times New Roman"/>
          <w:color w:val="000000" w:themeColor="text1"/>
          <w:sz w:val="16"/>
          <w:szCs w:val="16"/>
        </w:rPr>
        <w:t xml:space="preserve"> потерпел аварию на И-4 дублере из-за того, что оторвался кок винта (1060,47).</w:t>
      </w:r>
    </w:p>
    <w:p w14:paraId="1535A7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7765E5" w14:textId="77777777" w:rsidR="008F5A88" w:rsidRPr="00A259BD" w:rsidRDefault="008F5A88"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 xml:space="preserve">28 февраля 1929 на АНТ-5 дублер в ходе госиспытаний потерпел аварию И.Ф. Козлов. Оторвавшийся кок винта повредил пропеллер, капот мотора и левую лыжу (к этому времени у И-4 уже имелись свои лыжи, изготовленные заводом № 28). Самолет отправили на опытный завод ЦАГИ для ремонта. Там и нашли очень простое и эффективное средство борьбы с самопроизвольным кабрированием - перевернули стабилизатор «вверх ногами», выпуклостью вверх. С 14 марта истребитель опять начал летать, склонность задирать нос у него полностью исчезла. В процессе испытаний в НИИ ВВС в самолет внесли еще целый ряд небольших из- </w:t>
      </w:r>
      <w:proofErr w:type="spellStart"/>
      <w:r w:rsidRPr="00A259BD">
        <w:rPr>
          <w:rFonts w:ascii="Times New Roman" w:hAnsi="Times New Roman" w:cs="Times New Roman"/>
          <w:color w:val="000000" w:themeColor="text1"/>
        </w:rPr>
        <w:t>менений:переделали</w:t>
      </w:r>
      <w:proofErr w:type="spellEnd"/>
      <w:r w:rsidRPr="00A259BD">
        <w:rPr>
          <w:rFonts w:ascii="Times New Roman" w:hAnsi="Times New Roman" w:cs="Times New Roman"/>
          <w:color w:val="000000" w:themeColor="text1"/>
        </w:rPr>
        <w:t xml:space="preserve"> </w:t>
      </w:r>
      <w:proofErr w:type="spellStart"/>
      <w:r w:rsidRPr="00A259BD">
        <w:rPr>
          <w:rFonts w:ascii="Times New Roman" w:hAnsi="Times New Roman" w:cs="Times New Roman"/>
          <w:color w:val="000000" w:themeColor="text1"/>
        </w:rPr>
        <w:t>заголовникпило</w:t>
      </w:r>
      <w:proofErr w:type="spellEnd"/>
      <w:r w:rsidRPr="00A259BD">
        <w:rPr>
          <w:rFonts w:ascii="Times New Roman" w:hAnsi="Times New Roman" w:cs="Times New Roman"/>
          <w:color w:val="000000" w:themeColor="text1"/>
        </w:rPr>
        <w:t>- та, поставили новую ручку управления (на 50 мм короче) и стандартные ручки перезаряжания пулеметов, усилили обтекатели цилиндров и кок винта.</w:t>
      </w:r>
    </w:p>
    <w:p w14:paraId="6D8CCA45" w14:textId="77777777" w:rsidR="008F5A88" w:rsidRPr="00A259BD" w:rsidRDefault="008F5A88"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 xml:space="preserve">Испытания завершились лишь 25 апреля 1929 г. НИИ ВВС дал просто великолепный отзыв. В нем отмечались хорошая устойчивость на всех режимах полета, быстрая </w:t>
      </w:r>
      <w:r w:rsidRPr="00A259BD">
        <w:rPr>
          <w:rFonts w:ascii="Times New Roman" w:hAnsi="Times New Roman" w:cs="Times New Roman"/>
          <w:color w:val="000000" w:themeColor="text1"/>
        </w:rPr>
        <w:lastRenderedPageBreak/>
        <w:t>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w:t>
      </w:r>
    </w:p>
    <w:p w14:paraId="4D38AF3A" w14:textId="77777777" w:rsidR="008F5A88" w:rsidRPr="00A259BD" w:rsidRDefault="008F5A88"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12A72F25" w14:textId="77777777" w:rsidR="008F5A88" w:rsidRPr="00A259BD" w:rsidRDefault="008F5A88" w:rsidP="009236E3">
      <w:pPr>
        <w:pStyle w:val="a8"/>
        <w:jc w:val="both"/>
        <w:rPr>
          <w:rFonts w:ascii="Times New Roman" w:hAnsi="Times New Roman" w:cs="Times New Roman"/>
          <w:color w:val="000000" w:themeColor="text1"/>
        </w:rPr>
      </w:pPr>
    </w:p>
    <w:p w14:paraId="32C867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февраля 1929 состоялось заседание Совета по ГА (протокол 39с) под председательством П.И.Б. Слушали изменения в пятилетнем плане развития ГА в соответствии с директивами СТО (</w:t>
      </w:r>
      <w:proofErr w:type="spellStart"/>
      <w:r w:rsidRPr="00A259BD">
        <w:rPr>
          <w:rFonts w:ascii="Times New Roman" w:hAnsi="Times New Roman"/>
          <w:color w:val="000000" w:themeColor="text1"/>
          <w:sz w:val="16"/>
          <w:szCs w:val="16"/>
        </w:rPr>
        <w:t>прот</w:t>
      </w:r>
      <w:proofErr w:type="spellEnd"/>
      <w:r w:rsidRPr="00A259BD">
        <w:rPr>
          <w:rFonts w:ascii="Times New Roman" w:hAnsi="Times New Roman"/>
          <w:color w:val="000000" w:themeColor="text1"/>
          <w:sz w:val="16"/>
          <w:szCs w:val="16"/>
        </w:rPr>
        <w:t xml:space="preserve">. N 7/405 от 15 февраля и N 5/403 от 1 февраля 1929) по докладу </w:t>
      </w:r>
      <w:proofErr w:type="spellStart"/>
      <w:r w:rsidRPr="00A259BD">
        <w:rPr>
          <w:rFonts w:ascii="Times New Roman" w:hAnsi="Times New Roman"/>
          <w:color w:val="000000" w:themeColor="text1"/>
          <w:sz w:val="16"/>
          <w:szCs w:val="16"/>
        </w:rPr>
        <w:t>В.А.Зарзара</w:t>
      </w:r>
      <w:proofErr w:type="spellEnd"/>
      <w:r w:rsidRPr="00A259BD">
        <w:rPr>
          <w:rFonts w:ascii="Times New Roman" w:hAnsi="Times New Roman"/>
          <w:color w:val="000000" w:themeColor="text1"/>
          <w:sz w:val="16"/>
          <w:szCs w:val="16"/>
        </w:rPr>
        <w:t>. решили включить новые линии (2341,40).</w:t>
      </w:r>
    </w:p>
    <w:p w14:paraId="4D3A30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C69E7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28 февраля 1929 </w:t>
      </w:r>
      <w:proofErr w:type="spellStart"/>
      <w:r w:rsidRPr="00A259BD">
        <w:rPr>
          <w:rFonts w:ascii="Times New Roman" w:hAnsi="Times New Roman"/>
          <w:color w:val="000000" w:themeColor="text1"/>
          <w:sz w:val="16"/>
          <w:szCs w:val="16"/>
        </w:rPr>
        <w:t>дир</w:t>
      </w:r>
      <w:proofErr w:type="spellEnd"/>
      <w:r w:rsidRPr="00A259BD">
        <w:rPr>
          <w:rFonts w:ascii="Times New Roman" w:hAnsi="Times New Roman"/>
          <w:color w:val="000000" w:themeColor="text1"/>
          <w:sz w:val="16"/>
          <w:szCs w:val="16"/>
        </w:rPr>
        <w:t xml:space="preserve">. завода 25 Горшков и Пом. </w:t>
      </w:r>
      <w:proofErr w:type="spellStart"/>
      <w:r w:rsidRPr="00A259BD">
        <w:rPr>
          <w:rFonts w:ascii="Times New Roman" w:hAnsi="Times New Roman"/>
          <w:color w:val="000000" w:themeColor="text1"/>
          <w:sz w:val="16"/>
          <w:szCs w:val="16"/>
        </w:rPr>
        <w:t>дир</w:t>
      </w:r>
      <w:proofErr w:type="spellEnd"/>
      <w:r w:rsidRPr="00A259BD">
        <w:rPr>
          <w:rFonts w:ascii="Times New Roman" w:hAnsi="Times New Roman"/>
          <w:color w:val="000000" w:themeColor="text1"/>
          <w:sz w:val="16"/>
          <w:szCs w:val="16"/>
        </w:rPr>
        <w:t xml:space="preserve">.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Н.Н.П. писали письмо N 518ск:</w:t>
      </w:r>
    </w:p>
    <w:p w14:paraId="15EDF7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сем препровождаются материалы по предварительной наметке самолета-опылителя У-2 М-11." (2341,31).</w:t>
      </w:r>
    </w:p>
    <w:p w14:paraId="6547DE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123E7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февраля 1929 П.И.Б. сообщили, что план перелетов на 1929 утвержден Наркомом (1028,66).</w:t>
      </w:r>
    </w:p>
    <w:p w14:paraId="2975E4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AD8A17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3B6FCC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0CB1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февраля 1929 г. относительно «Ауэра» Фишман сообщал Ворошилову: «Ознакомление производилось крайне неохотно. &lt;...&gt; К весне будет выпущена маска для летчиков. Заводские лаборатории «Ауэра» являются несомненно одним из важнейших пунктов научной противогаз, работы, а самый завод одним из крупнейших поставщиков противогазов рейхсверу». Саму маску для летчиков на «Ауэре» им не показали. Хотя еще в середине февраля 1929 г. Бломберг обещал, что образцы указанной маски «Ауэра», а также дистанционные взрыватели для авиабомб «весной будут доставлены в Томку». Военному атташе Корку Бломберг говорил потом о недоверии советских представителей; те считали, что от них что-то скрывают (11784).</w:t>
      </w:r>
    </w:p>
    <w:p w14:paraId="380E70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EB7802" w14:textId="77777777" w:rsidR="00C07C69" w:rsidRPr="00A259BD" w:rsidRDefault="00C07C6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февраля 1929 г. Относительно «Ауэра» Фишман сообщал Ворошилову:</w:t>
      </w:r>
    </w:p>
    <w:p w14:paraId="1067AD8F" w14:textId="77777777" w:rsidR="00C07C69" w:rsidRPr="00A259BD" w:rsidRDefault="00C07C6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«Ознакомление производилось крайне неохотно. &lt;…&gt; К весне будет выпущена маска для летчиков. Заводские лаборатории «Ауэра» являются несомненно одним из важнейших пунктов научной работы, а самый завод одним из крупнейших поставщиков противогазов рейхсверу».</w:t>
      </w:r>
      <w:r w:rsidRPr="00A259BD">
        <w:rPr>
          <w:rFonts w:ascii="Times New Roman" w:hAnsi="Times New Roman"/>
          <w:color w:val="000000" w:themeColor="text1"/>
          <w:sz w:val="16"/>
          <w:szCs w:val="16"/>
        </w:rPr>
        <w:cr/>
        <w:t>Саму маску для летчиков на «Ауэре» им не показали. Хотя еще в середине февраля 1929 г. Бломберг обещал, что образцы указанной маски «Ауэра», а также дистанционные взрыватели для авиабомб «весной будут доставлены в Томку». Военному атташе Корку Бломберг говорил потом о недоверии советских представителей; те считали, что от них что-то скрывают (18265).</w:t>
      </w:r>
    </w:p>
    <w:p w14:paraId="747A0FB4" w14:textId="77777777" w:rsidR="00C07C69" w:rsidRPr="00A259BD" w:rsidRDefault="00C07C69" w:rsidP="009236E3">
      <w:pPr>
        <w:spacing w:after="0" w:line="240" w:lineRule="auto"/>
        <w:jc w:val="both"/>
        <w:rPr>
          <w:rFonts w:ascii="Times New Roman" w:hAnsi="Times New Roman"/>
          <w:color w:val="000000" w:themeColor="text1"/>
          <w:sz w:val="16"/>
          <w:szCs w:val="16"/>
        </w:rPr>
      </w:pPr>
    </w:p>
    <w:p w14:paraId="09B9548B" w14:textId="77777777" w:rsidR="009D5DFC" w:rsidRPr="00A259BD" w:rsidRDefault="009D5DFC"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28 февраля 1929 года бюро Нижне-Волжского крайкома ВКП (б) принимает постановление о мерах по выполнению плана строительства </w:t>
      </w:r>
      <w:r w:rsidRPr="00A259BD">
        <w:rPr>
          <w:rFonts w:ascii="Times New Roman" w:hAnsi="Times New Roman"/>
          <w:color w:val="000000" w:themeColor="text1"/>
          <w:sz w:val="16"/>
          <w:szCs w:val="16"/>
          <w:lang w:val="en-US"/>
        </w:rPr>
        <w:t>CNP</w:t>
      </w:r>
      <w:r w:rsidRPr="00A259BD">
        <w:rPr>
          <w:rFonts w:ascii="Times New Roman" w:hAnsi="Times New Roman"/>
          <w:color w:val="000000" w:themeColor="text1"/>
          <w:sz w:val="16"/>
          <w:szCs w:val="16"/>
        </w:rPr>
        <w:t>, дата завершения установлена: 1 апреля 1931 года. Однако в июле 1929 года утверждена новая дата – конец 1930 года. Позже дата уточняется – 15 июня 1930 года (17161).</w:t>
      </w:r>
    </w:p>
    <w:p w14:paraId="25ED1E8E" w14:textId="77777777" w:rsidR="009D5DFC" w:rsidRPr="00A259BD" w:rsidRDefault="009D5DFC" w:rsidP="009236E3">
      <w:pPr>
        <w:autoSpaceDE w:val="0"/>
        <w:autoSpaceDN w:val="0"/>
        <w:adjustRightInd w:val="0"/>
        <w:spacing w:after="0" w:line="240" w:lineRule="auto"/>
        <w:jc w:val="both"/>
        <w:rPr>
          <w:rFonts w:ascii="Times New Roman" w:hAnsi="Times New Roman"/>
          <w:color w:val="000000" w:themeColor="text1"/>
          <w:sz w:val="16"/>
          <w:szCs w:val="16"/>
        </w:rPr>
      </w:pPr>
    </w:p>
    <w:p w14:paraId="14BA010F" w14:textId="77777777" w:rsidR="00824FAB"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EC75D43" w14:textId="77777777" w:rsidR="00824FAB" w:rsidRPr="00A259BD" w:rsidRDefault="00824FA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151B1C1" w14:textId="77777777" w:rsidR="00824FAB" w:rsidRPr="00A259BD" w:rsidRDefault="00824FAB"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28 февраля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Политбюро ЦК ВКП (б) одобрило решение совещания председателя СНК и СТО с его заместителями о выпуске государственного выигрышного займа 1929 г (12265).</w:t>
      </w:r>
    </w:p>
    <w:p w14:paraId="361CE77F" w14:textId="77777777" w:rsidR="00824FAB" w:rsidRPr="00A259BD" w:rsidRDefault="00824FAB" w:rsidP="009236E3">
      <w:pPr>
        <w:spacing w:after="0" w:line="240" w:lineRule="auto"/>
        <w:jc w:val="both"/>
        <w:rPr>
          <w:rFonts w:ascii="Times New Roman" w:hAnsi="Times New Roman"/>
          <w:color w:val="000000" w:themeColor="text1"/>
          <w:sz w:val="16"/>
          <w:szCs w:val="16"/>
        </w:rPr>
      </w:pPr>
    </w:p>
    <w:p w14:paraId="0DE9B753"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A2AB55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37B50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 второй половине февраля 1929 в НИИ ВВС был передан 2-й экз. П-2 М-6, изготовленный на заводе 25 Н.Н.П. (2371).</w:t>
      </w:r>
    </w:p>
    <w:p w14:paraId="1CDE4B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6F60A3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7F17FF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C63C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феврале 1929 г. после ряда дополнительных доработок и облета </w:t>
      </w:r>
      <w:proofErr w:type="spellStart"/>
      <w:r w:rsidRPr="00A259BD">
        <w:rPr>
          <w:rFonts w:ascii="Times New Roman" w:hAnsi="Times New Roman"/>
          <w:color w:val="000000" w:themeColor="text1"/>
          <w:sz w:val="16"/>
          <w:szCs w:val="16"/>
        </w:rPr>
        <w:t>М.М.Громовым</w:t>
      </w:r>
      <w:proofErr w:type="spellEnd"/>
      <w:r w:rsidRPr="00A259BD">
        <w:rPr>
          <w:rFonts w:ascii="Times New Roman" w:hAnsi="Times New Roman"/>
          <w:color w:val="000000" w:themeColor="text1"/>
          <w:sz w:val="16"/>
          <w:szCs w:val="16"/>
        </w:rPr>
        <w:t xml:space="preserve"> самолет Р-5 представили на госиспытания в НИИ ВВС. Летал </w:t>
      </w:r>
      <w:proofErr w:type="spellStart"/>
      <w:r w:rsidRPr="00A259BD">
        <w:rPr>
          <w:rFonts w:ascii="Times New Roman" w:hAnsi="Times New Roman"/>
          <w:color w:val="000000" w:themeColor="text1"/>
          <w:sz w:val="16"/>
          <w:szCs w:val="16"/>
        </w:rPr>
        <w:t>О.П.Писаренко</w:t>
      </w:r>
      <w:proofErr w:type="spellEnd"/>
      <w:r w:rsidRPr="00A259BD">
        <w:rPr>
          <w:rFonts w:ascii="Times New Roman" w:hAnsi="Times New Roman"/>
          <w:color w:val="000000" w:themeColor="text1"/>
          <w:sz w:val="16"/>
          <w:szCs w:val="16"/>
        </w:rPr>
        <w:t xml:space="preserve"> и еще ряд военных летчиков. Общее мнение испытателей было следующим: “Самолет в пилотировании прост, вполне устойчив, очень летуч, медленно теряет скорость при сбросе газа. Штопор возможен только при скорости 70 км/ч или при намеренном вводе, на скорости 80 км/ч устойчиво парашютирует. Задувание в кабине пилота незначительно, возможен полет без очков”.</w:t>
      </w:r>
    </w:p>
    <w:p w14:paraId="7E13C4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нагрузке 860 кг Р-5 взлетал после стометрового разбега, а в воздухе легко выполнял мертвые петли и перевороты. Вираж на километровой высоте разведчик выполнял за 16 секунд, что было вполне неплохо. Большим оказался пробег на посадке - 250-300 метров - однако установка тормозных колес позволила впоследствии длину пробега сократить.</w:t>
      </w:r>
    </w:p>
    <w:p w14:paraId="57736B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 Р-5 закончились беспосадочным перелетом из Москвы в Севастополь, совершенным Виктором Писаренко совместно с заместителем начальника ВВС РККА Яковом Алкснисом (5016).</w:t>
      </w:r>
    </w:p>
    <w:p w14:paraId="01E3C6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3BB5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феврале 1929 г. впервые подумали О возможной переделке Р-5 в торпедоносец. Но тогда первые отечественные авиационные торпеды только разрабатывались. Практическое воплощение идея получила после того, как 9 июля 1933 г. РВС СССР принял соответствующее постановление. Осенью того же года началось проектирование модификации Р-5Т. Переделкой планера занималась группа конструкторов завода № 1 во главе с инженером </w:t>
      </w:r>
      <w:proofErr w:type="spellStart"/>
      <w:r w:rsidRPr="00A259BD">
        <w:rPr>
          <w:rFonts w:ascii="Times New Roman" w:hAnsi="Times New Roman"/>
          <w:color w:val="000000" w:themeColor="text1"/>
          <w:sz w:val="16"/>
          <w:szCs w:val="16"/>
        </w:rPr>
        <w:t>Гребеневым</w:t>
      </w:r>
      <w:proofErr w:type="spellEnd"/>
      <w:r w:rsidRPr="00A259BD">
        <w:rPr>
          <w:rFonts w:ascii="Times New Roman" w:hAnsi="Times New Roman"/>
          <w:color w:val="000000" w:themeColor="text1"/>
          <w:sz w:val="16"/>
          <w:szCs w:val="16"/>
        </w:rPr>
        <w:t>. Основную роль в ней играли инженеры Шишкин и Никитин. Подвеску торпеды разрабатывали в 16-м отделе НИИ ВВС под руководством М.И. Проценко.</w:t>
      </w:r>
    </w:p>
    <w:p w14:paraId="7FB05E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Такой тяжелый груз, как торпеда, можно было подвесить только под фюзеляжем. Но Р-5 имел старомодное шасси, не позволявшее разместить торпеду между стойками, поэтому его заменили новой конструкцией с двумя отдельными пирамидальными стойками. Силовой набор крыла и фюзеляжа несколько усилили.</w:t>
      </w:r>
    </w:p>
    <w:p w14:paraId="2C16FC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Р-5Т выбрали торпеду ТАН-12 - переделанную морскую торпеду образца 1912 г. Ее расположили под фюзеляжем наклонно. Подвеска ("</w:t>
      </w:r>
      <w:proofErr w:type="spellStart"/>
      <w:r w:rsidRPr="00A259BD">
        <w:rPr>
          <w:rFonts w:ascii="Times New Roman" w:hAnsi="Times New Roman"/>
          <w:color w:val="000000" w:themeColor="text1"/>
          <w:sz w:val="16"/>
          <w:szCs w:val="16"/>
        </w:rPr>
        <w:t>торпедодержатель</w:t>
      </w:r>
      <w:proofErr w:type="spellEnd"/>
      <w:r w:rsidRPr="00A259BD">
        <w:rPr>
          <w:rFonts w:ascii="Times New Roman" w:hAnsi="Times New Roman"/>
          <w:color w:val="000000" w:themeColor="text1"/>
          <w:sz w:val="16"/>
          <w:szCs w:val="16"/>
        </w:rPr>
        <w:t>") снабжалась замками от бомбодержателя Дер-13. Сброс осуществлялся механическим сбрасывателем, стоявшим у пилота.</w:t>
      </w:r>
    </w:p>
    <w:p w14:paraId="08E7CA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самолета сконструировали простой торпедный прицел ПТН-1 ("гребенку").</w:t>
      </w:r>
    </w:p>
    <w:p w14:paraId="3F6065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Масса торпеды с подвеской (930 кг) превышала максимально допустимые для Р-5 пределы. Для облегчения самолет сделали одноместным, закрыв проем задней кабины съемной крышкой. Курсовой пулемет ПВ-1 сохранили для подавления зенитных средств атакуемого корабля. Р-5Т без торпеды мог использоваться как дальний разведчик. При этом предусматривалось размещение в задней кабине дополнительного бензобака, позволявшего увеличить дальность до 1200 км.</w:t>
      </w:r>
    </w:p>
    <w:p w14:paraId="7033E7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качестве ближнего разведчика Р-5Т опять становился двухместным. В задней кабине предусматривалась установка радиостанции 13-СК и фотоаппаратов </w:t>
      </w:r>
      <w:proofErr w:type="spellStart"/>
      <w:r w:rsidRPr="00A259BD">
        <w:rPr>
          <w:rFonts w:ascii="Times New Roman" w:hAnsi="Times New Roman"/>
          <w:color w:val="000000" w:themeColor="text1"/>
          <w:sz w:val="16"/>
          <w:szCs w:val="16"/>
        </w:rPr>
        <w:t>Поттэ</w:t>
      </w:r>
      <w:proofErr w:type="spellEnd"/>
      <w:r w:rsidRPr="00A259BD">
        <w:rPr>
          <w:rFonts w:ascii="Times New Roman" w:hAnsi="Times New Roman"/>
          <w:color w:val="000000" w:themeColor="text1"/>
          <w:sz w:val="16"/>
          <w:szCs w:val="16"/>
        </w:rPr>
        <w:t xml:space="preserve"> 1Б или АФА-13. При этом машина могла нести мелкие бомбы на держателях Дер-7 под крылом (11936).</w:t>
      </w:r>
    </w:p>
    <w:p w14:paraId="1238A9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D037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феврале 1929 г. конструкторы ОСС впервые подумали о возможной переделке Р-5 в торпедоносец. Но тогда первые отечественные авиационные торпеды только разрабатывались. Практическое воплощение эта идея получила в начале 1930-х гг.</w:t>
      </w:r>
    </w:p>
    <w:p w14:paraId="28F82F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1933 г. на вооружение поступили торпеды ТАН-12 для низкого торпедометания (с бреющего полета) и ТАВ- 15 для сброса с парашютами, а также авиационная мина МАВ-1 (ВОМИЗА-ЮО). Для торпедоносцев сконструировали несколько типов специальных прицелов. К этому времени сформировали две минно-торпедных эскадрильи (на Балтийском флоте и на Тихом океане) и один отдельный отряд (на Черном море). Все они оснащались самолетами ТБ-1 в сухопутном или поплавковом варианте.</w:t>
      </w:r>
    </w:p>
    <w:p w14:paraId="544203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 из-за значительного веса ТБ-1 обладал недостаточной маневренностью. Ему больше подходили постановка мин и высотное торпедометание. В качестве низкого торпедоносца этот довольно тихоходный и неуклюжий самолет казался весьма уязвимым. Кроме того, он был технологически сложен (по тому времени) и стоил недешево. ВВС РККА, в которые тогда организационно входила морская авиация, требовалось что-нибудь попроще и подешевле для нужд береговой обороны, в первую очередь, на Дальнем Востоке, где нужно было хоть что-то противопоставить сильному японскому флоту.</w:t>
      </w:r>
    </w:p>
    <w:p w14:paraId="038F4D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Выбор пал на Р-5. Новое предложение переделать его в торпедоносец выдвинул B.C. </w:t>
      </w:r>
      <w:proofErr w:type="spellStart"/>
      <w:r w:rsidRPr="00A259BD">
        <w:rPr>
          <w:rFonts w:ascii="Times New Roman" w:hAnsi="Times New Roman"/>
          <w:color w:val="000000" w:themeColor="text1"/>
          <w:sz w:val="16"/>
          <w:szCs w:val="16"/>
        </w:rPr>
        <w:t>Коннэрг</w:t>
      </w:r>
      <w:proofErr w:type="spellEnd"/>
      <w:r w:rsidRPr="00A259BD">
        <w:rPr>
          <w:rFonts w:ascii="Times New Roman" w:hAnsi="Times New Roman"/>
          <w:color w:val="000000" w:themeColor="text1"/>
          <w:sz w:val="16"/>
          <w:szCs w:val="16"/>
        </w:rPr>
        <w:t>, начальник отдела вооружения УВВС. 9 июля 1933 г. Реввоенсовет СССР принял постановление, в котором говорилось: "Поставить перед промышленностью задачу приспособить Р-5 к высотному и низкому торпедометанию для действия у своих берегов" (12034).</w:t>
      </w:r>
    </w:p>
    <w:p w14:paraId="2B90BB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A73E7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феврале 1929 между УВВС и ЦАГИ был подписан договор на постройку "Металлического самолета типа бомбовоз с моторами 2400 л.с.". Работу распределили:</w:t>
      </w:r>
    </w:p>
    <w:p w14:paraId="7B7845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В.М.Петляков</w:t>
      </w:r>
      <w:proofErr w:type="spellEnd"/>
      <w:r w:rsidRPr="00A259BD">
        <w:rPr>
          <w:rFonts w:ascii="Times New Roman" w:hAnsi="Times New Roman"/>
          <w:color w:val="000000" w:themeColor="text1"/>
          <w:sz w:val="16"/>
          <w:szCs w:val="16"/>
        </w:rPr>
        <w:t xml:space="preserve"> - крыло;</w:t>
      </w:r>
    </w:p>
    <w:p w14:paraId="501E43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Н.С.Некрасов</w:t>
      </w:r>
      <w:proofErr w:type="spellEnd"/>
      <w:r w:rsidRPr="00A259BD">
        <w:rPr>
          <w:rFonts w:ascii="Times New Roman" w:hAnsi="Times New Roman"/>
          <w:color w:val="000000" w:themeColor="text1"/>
          <w:sz w:val="16"/>
          <w:szCs w:val="16"/>
        </w:rPr>
        <w:t xml:space="preserve"> - оперение;</w:t>
      </w:r>
    </w:p>
    <w:p w14:paraId="341FA3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А.А.Архангельский</w:t>
      </w:r>
      <w:proofErr w:type="spellEnd"/>
      <w:r w:rsidRPr="00A259BD">
        <w:rPr>
          <w:rFonts w:ascii="Times New Roman" w:hAnsi="Times New Roman"/>
          <w:color w:val="000000" w:themeColor="text1"/>
          <w:sz w:val="16"/>
          <w:szCs w:val="16"/>
        </w:rPr>
        <w:t xml:space="preserve"> - фюзеляж и управление;</w:t>
      </w:r>
    </w:p>
    <w:p w14:paraId="3CBD05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А.И.Путилов</w:t>
      </w:r>
      <w:proofErr w:type="spellEnd"/>
      <w:r w:rsidRPr="00A259BD">
        <w:rPr>
          <w:rFonts w:ascii="Times New Roman" w:hAnsi="Times New Roman"/>
          <w:color w:val="000000" w:themeColor="text1"/>
          <w:sz w:val="16"/>
          <w:szCs w:val="16"/>
        </w:rPr>
        <w:t xml:space="preserve"> - шасси;</w:t>
      </w:r>
    </w:p>
    <w:p w14:paraId="3A8F8D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Е.И.Погосский</w:t>
      </w:r>
      <w:proofErr w:type="spellEnd"/>
      <w:r w:rsidRPr="00A259BD">
        <w:rPr>
          <w:rFonts w:ascii="Times New Roman" w:hAnsi="Times New Roman"/>
          <w:color w:val="000000" w:themeColor="text1"/>
          <w:sz w:val="16"/>
          <w:szCs w:val="16"/>
        </w:rPr>
        <w:t xml:space="preserve"> - </w:t>
      </w:r>
      <w:proofErr w:type="spellStart"/>
      <w:r w:rsidRPr="00A259BD">
        <w:rPr>
          <w:rFonts w:ascii="Times New Roman" w:hAnsi="Times New Roman"/>
          <w:color w:val="000000" w:themeColor="text1"/>
          <w:sz w:val="16"/>
          <w:szCs w:val="16"/>
        </w:rPr>
        <w:t>мотооборудование</w:t>
      </w:r>
      <w:proofErr w:type="spellEnd"/>
      <w:r w:rsidRPr="00A259BD">
        <w:rPr>
          <w:rFonts w:ascii="Times New Roman" w:hAnsi="Times New Roman"/>
          <w:color w:val="000000" w:themeColor="text1"/>
          <w:sz w:val="16"/>
          <w:szCs w:val="16"/>
        </w:rPr>
        <w:t>;</w:t>
      </w:r>
    </w:p>
    <w:p w14:paraId="3022DE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Е.И.Погосский</w:t>
      </w:r>
      <w:proofErr w:type="spellEnd"/>
      <w:r w:rsidRPr="00A259BD">
        <w:rPr>
          <w:rFonts w:ascii="Times New Roman" w:hAnsi="Times New Roman"/>
          <w:color w:val="000000" w:themeColor="text1"/>
          <w:sz w:val="16"/>
          <w:szCs w:val="16"/>
        </w:rPr>
        <w:t xml:space="preserve"> - </w:t>
      </w:r>
      <w:proofErr w:type="spellStart"/>
      <w:r w:rsidRPr="00A259BD">
        <w:rPr>
          <w:rFonts w:ascii="Times New Roman" w:hAnsi="Times New Roman"/>
          <w:color w:val="000000" w:themeColor="text1"/>
          <w:sz w:val="16"/>
          <w:szCs w:val="16"/>
        </w:rPr>
        <w:t>мотоустановки</w:t>
      </w:r>
      <w:proofErr w:type="spellEnd"/>
      <w:r w:rsidRPr="00A259BD">
        <w:rPr>
          <w:rFonts w:ascii="Times New Roman" w:hAnsi="Times New Roman"/>
          <w:color w:val="000000" w:themeColor="text1"/>
          <w:sz w:val="16"/>
          <w:szCs w:val="16"/>
        </w:rPr>
        <w:t xml:space="preserve"> и расчеты (156,17).</w:t>
      </w:r>
    </w:p>
    <w:p w14:paraId="44D0D9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Вот он НЭП и хозрасчет 30-х</w:t>
      </w:r>
    </w:p>
    <w:p w14:paraId="1B3835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другим данным ЦАГИ обязалось не только перед УВВС, но и перед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которые согласовали свои требования (346,25).</w:t>
      </w:r>
    </w:p>
    <w:p w14:paraId="565F7E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734E2E"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феврале 1929 г. были подписаны условия, по которым ЦАГИ обязался построить </w:t>
      </w:r>
      <w:proofErr w:type="spellStart"/>
      <w:r w:rsidRPr="00441F34">
        <w:rPr>
          <w:rFonts w:ascii="Times New Roman" w:hAnsi="Times New Roman"/>
          <w:color w:val="0070C0"/>
          <w:sz w:val="16"/>
          <w:szCs w:val="16"/>
        </w:rPr>
        <w:t>Остехбюро</w:t>
      </w:r>
      <w:proofErr w:type="spellEnd"/>
      <w:r w:rsidRPr="00441F34">
        <w:rPr>
          <w:rFonts w:ascii="Times New Roman" w:hAnsi="Times New Roman"/>
          <w:color w:val="0070C0"/>
          <w:sz w:val="16"/>
          <w:szCs w:val="16"/>
        </w:rPr>
        <w:t xml:space="preserve"> «металлический са</w:t>
      </w:r>
      <w:r w:rsidRPr="00441F34">
        <w:rPr>
          <w:rFonts w:ascii="Times New Roman" w:hAnsi="Times New Roman"/>
          <w:color w:val="0070C0"/>
          <w:sz w:val="16"/>
          <w:szCs w:val="16"/>
        </w:rPr>
        <w:softHyphen/>
        <w:t>молет типа бомбовоз с моторами около 2400 л.с.». Интересно, что об идее по</w:t>
      </w:r>
      <w:r w:rsidRPr="00441F34">
        <w:rPr>
          <w:rFonts w:ascii="Times New Roman" w:hAnsi="Times New Roman"/>
          <w:color w:val="0070C0"/>
          <w:sz w:val="16"/>
          <w:szCs w:val="16"/>
        </w:rPr>
        <w:softHyphen/>
        <w:t>плавкового варианта заказчик не забывал. КБ пошло на уступки. В задание включи</w:t>
      </w:r>
      <w:r w:rsidRPr="00441F34">
        <w:rPr>
          <w:rFonts w:ascii="Times New Roman" w:hAnsi="Times New Roman"/>
          <w:color w:val="0070C0"/>
          <w:sz w:val="16"/>
          <w:szCs w:val="16"/>
        </w:rPr>
        <w:softHyphen/>
        <w:t>ли пункт, предусматривавший возмож</w:t>
      </w:r>
      <w:r w:rsidRPr="00441F34">
        <w:rPr>
          <w:rFonts w:ascii="Times New Roman" w:hAnsi="Times New Roman"/>
          <w:color w:val="0070C0"/>
          <w:sz w:val="16"/>
          <w:szCs w:val="16"/>
        </w:rPr>
        <w:softHyphen/>
        <w:t>ность использования конструктивных элементов самолета для морского вари</w:t>
      </w:r>
      <w:r w:rsidRPr="00441F34">
        <w:rPr>
          <w:rFonts w:ascii="Times New Roman" w:hAnsi="Times New Roman"/>
          <w:color w:val="0070C0"/>
          <w:sz w:val="16"/>
          <w:szCs w:val="16"/>
        </w:rPr>
        <w:softHyphen/>
        <w:t>анта. Машина должна была перевозить:</w:t>
      </w:r>
    </w:p>
    <w:p w14:paraId="798AFD8B"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тяжелые орудия с передками, ком</w:t>
      </w:r>
      <w:r w:rsidRPr="00441F34">
        <w:rPr>
          <w:rFonts w:ascii="Times New Roman" w:hAnsi="Times New Roman"/>
          <w:color w:val="0070C0"/>
          <w:sz w:val="16"/>
          <w:szCs w:val="16"/>
        </w:rPr>
        <w:softHyphen/>
        <w:t>плектом боеприпасов, тракторами, об</w:t>
      </w:r>
      <w:r w:rsidRPr="00441F34">
        <w:rPr>
          <w:rFonts w:ascii="Times New Roman" w:hAnsi="Times New Roman"/>
          <w:color w:val="0070C0"/>
          <w:sz w:val="16"/>
          <w:szCs w:val="16"/>
        </w:rPr>
        <w:softHyphen/>
        <w:t>служивающим персоналом;</w:t>
      </w:r>
    </w:p>
    <w:p w14:paraId="642DBE98"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танки с полным вооружением и экипажами;</w:t>
      </w:r>
    </w:p>
    <w:p w14:paraId="49F5CC39"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войсковые соединения с вооруже</w:t>
      </w:r>
      <w:r w:rsidRPr="00441F34">
        <w:rPr>
          <w:rFonts w:ascii="Times New Roman" w:hAnsi="Times New Roman"/>
          <w:color w:val="0070C0"/>
          <w:sz w:val="16"/>
          <w:szCs w:val="16"/>
        </w:rPr>
        <w:softHyphen/>
        <w:t>нием;</w:t>
      </w:r>
    </w:p>
    <w:p w14:paraId="75A87BF9"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военное снаряжение и продоволь</w:t>
      </w:r>
      <w:r w:rsidRPr="00441F34">
        <w:rPr>
          <w:rFonts w:ascii="Times New Roman" w:hAnsi="Times New Roman"/>
          <w:color w:val="0070C0"/>
          <w:sz w:val="16"/>
          <w:szCs w:val="16"/>
        </w:rPr>
        <w:softHyphen/>
        <w:t>ственные грузы;</w:t>
      </w:r>
    </w:p>
    <w:p w14:paraId="5BA8F46B"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отравляющие вещества;</w:t>
      </w:r>
    </w:p>
    <w:p w14:paraId="7BB59B89"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катера с торпедами.</w:t>
      </w:r>
    </w:p>
    <w:p w14:paraId="011CE1D7"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Однако окончательное согласование требований между </w:t>
      </w:r>
      <w:proofErr w:type="spellStart"/>
      <w:r w:rsidRPr="00441F34">
        <w:rPr>
          <w:rFonts w:ascii="Times New Roman" w:hAnsi="Times New Roman"/>
          <w:color w:val="0070C0"/>
          <w:sz w:val="16"/>
          <w:szCs w:val="16"/>
        </w:rPr>
        <w:t>Остехбюро</w:t>
      </w:r>
      <w:proofErr w:type="spellEnd"/>
      <w:r w:rsidRPr="00441F34">
        <w:rPr>
          <w:rFonts w:ascii="Times New Roman" w:hAnsi="Times New Roman"/>
          <w:color w:val="0070C0"/>
          <w:sz w:val="16"/>
          <w:szCs w:val="16"/>
        </w:rPr>
        <w:t xml:space="preserve"> и УВВС за</w:t>
      </w:r>
      <w:r w:rsidRPr="00441F34">
        <w:rPr>
          <w:rFonts w:ascii="Times New Roman" w:hAnsi="Times New Roman"/>
          <w:color w:val="0070C0"/>
          <w:sz w:val="16"/>
          <w:szCs w:val="16"/>
        </w:rPr>
        <w:softHyphen/>
        <w:t>кончилось тем, что АНТ—6 стал рассмат</w:t>
      </w:r>
      <w:r w:rsidRPr="00441F34">
        <w:rPr>
          <w:rFonts w:ascii="Times New Roman" w:hAnsi="Times New Roman"/>
          <w:color w:val="0070C0"/>
          <w:sz w:val="16"/>
          <w:szCs w:val="16"/>
        </w:rPr>
        <w:softHyphen/>
        <w:t>риваться прежде всего как дневной и ночной бомбардировщик (23474).</w:t>
      </w:r>
    </w:p>
    <w:p w14:paraId="4C10AD60" w14:textId="77777777" w:rsidR="00292DF5" w:rsidRPr="00441F34" w:rsidRDefault="00292DF5" w:rsidP="00292DF5">
      <w:pPr>
        <w:spacing w:after="0" w:line="240" w:lineRule="auto"/>
        <w:jc w:val="both"/>
        <w:rPr>
          <w:rFonts w:ascii="Times New Roman" w:hAnsi="Times New Roman"/>
          <w:color w:val="0070C0"/>
          <w:sz w:val="16"/>
          <w:szCs w:val="16"/>
        </w:rPr>
      </w:pPr>
    </w:p>
    <w:p w14:paraId="289786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феврале 1929 УВВС одобрил предложения АГОС по вооружению АНТ-9 и предложил изменить макет (522,3).</w:t>
      </w:r>
    </w:p>
    <w:p w14:paraId="580542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F919316"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весне 1929 г. час</w:t>
      </w:r>
      <w:r w:rsidRPr="00441F34">
        <w:rPr>
          <w:rFonts w:ascii="Times New Roman" w:hAnsi="Times New Roman"/>
          <w:color w:val="0070C0"/>
          <w:sz w:val="16"/>
          <w:szCs w:val="16"/>
        </w:rPr>
        <w:softHyphen/>
        <w:t>тям ВВС было передано 79 самолетов Р—ЗЛД, построенных заводом №22.</w:t>
      </w:r>
    </w:p>
    <w:p w14:paraId="1EC4A1D1"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Всего было выпущено 103 самолета Р—3, включая и опытные машины (23474).</w:t>
      </w:r>
    </w:p>
    <w:p w14:paraId="78808BD7" w14:textId="77777777" w:rsidR="00292DF5" w:rsidRPr="00441F34" w:rsidRDefault="00292DF5" w:rsidP="00292DF5">
      <w:pPr>
        <w:spacing w:after="0" w:line="240" w:lineRule="auto"/>
        <w:jc w:val="both"/>
        <w:rPr>
          <w:rFonts w:ascii="Times New Roman" w:hAnsi="Times New Roman"/>
          <w:color w:val="0070C0"/>
          <w:sz w:val="16"/>
          <w:szCs w:val="16"/>
        </w:rPr>
      </w:pPr>
    </w:p>
    <w:p w14:paraId="5CD503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феврале 1929 г. сформированная авиационной секцией Осоавиахима СССР специальная комиссия под председательством профессора Б.Н. Юрьева (ученика Н.Е. Жуковского) рассмотрела представленный проект автожира КАСКР и вынесла положительное решение, в котором, между прочим, отметила, что конструктивное оформление проекта исполнено с инженерной точки зрения вполне удовлетворительно (9975).</w:t>
      </w:r>
    </w:p>
    <w:p w14:paraId="72FE32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5C9C9C4"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феврале 1929 г. и «</w:t>
      </w:r>
      <w:proofErr w:type="spellStart"/>
      <w:r w:rsidRPr="00441F34">
        <w:rPr>
          <w:rFonts w:ascii="Times New Roman" w:hAnsi="Times New Roman"/>
          <w:color w:val="0070C0"/>
          <w:sz w:val="16"/>
          <w:szCs w:val="16"/>
        </w:rPr>
        <w:t>фарманы</w:t>
      </w:r>
      <w:proofErr w:type="spellEnd"/>
      <w:r w:rsidRPr="00441F34">
        <w:rPr>
          <w:rFonts w:ascii="Times New Roman" w:hAnsi="Times New Roman"/>
          <w:color w:val="0070C0"/>
          <w:sz w:val="16"/>
          <w:szCs w:val="16"/>
        </w:rPr>
        <w:t xml:space="preserve">», и ЮГ-1 получили храповики на втулках винтов для запуска моторов с помощью </w:t>
      </w:r>
      <w:proofErr w:type="spellStart"/>
      <w:r w:rsidRPr="00441F34">
        <w:rPr>
          <w:rFonts w:ascii="Times New Roman" w:hAnsi="Times New Roman"/>
          <w:color w:val="0070C0"/>
          <w:sz w:val="16"/>
          <w:szCs w:val="16"/>
        </w:rPr>
        <w:t>автостартёра</w:t>
      </w:r>
      <w:proofErr w:type="spellEnd"/>
      <w:r w:rsidRPr="00441F34">
        <w:rPr>
          <w:rFonts w:ascii="Times New Roman" w:hAnsi="Times New Roman"/>
          <w:color w:val="0070C0"/>
          <w:sz w:val="16"/>
          <w:szCs w:val="16"/>
        </w:rPr>
        <w:t>. На «Голи</w:t>
      </w:r>
      <w:r w:rsidRPr="00441F34">
        <w:rPr>
          <w:rFonts w:ascii="Times New Roman" w:hAnsi="Times New Roman"/>
          <w:color w:val="0070C0"/>
          <w:sz w:val="16"/>
          <w:szCs w:val="16"/>
        </w:rPr>
        <w:softHyphen/>
        <w:t>афах» усилили баки и поставили советские пропеллеры. На немец</w:t>
      </w:r>
      <w:r w:rsidRPr="00441F34">
        <w:rPr>
          <w:rFonts w:ascii="Times New Roman" w:hAnsi="Times New Roman"/>
          <w:color w:val="0070C0"/>
          <w:sz w:val="16"/>
          <w:szCs w:val="16"/>
        </w:rPr>
        <w:softHyphen/>
        <w:t>ких самолётах с ноября 1928 г. ста</w:t>
      </w:r>
      <w:r w:rsidRPr="00441F34">
        <w:rPr>
          <w:rFonts w:ascii="Times New Roman" w:hAnsi="Times New Roman"/>
          <w:color w:val="0070C0"/>
          <w:sz w:val="16"/>
          <w:szCs w:val="16"/>
        </w:rPr>
        <w:softHyphen/>
        <w:t>ли ставить более прочные лыжи конструкции Лобанова (23469).</w:t>
      </w:r>
    </w:p>
    <w:p w14:paraId="194E33EE" w14:textId="77777777" w:rsidR="00292DF5" w:rsidRPr="00441F34" w:rsidRDefault="00292DF5" w:rsidP="00292DF5">
      <w:pPr>
        <w:spacing w:after="0" w:line="240" w:lineRule="auto"/>
        <w:jc w:val="both"/>
        <w:rPr>
          <w:rFonts w:ascii="Times New Roman" w:hAnsi="Times New Roman"/>
          <w:color w:val="0070C0"/>
          <w:sz w:val="16"/>
          <w:szCs w:val="16"/>
        </w:rPr>
      </w:pPr>
    </w:p>
    <w:p w14:paraId="1CF07A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феврале 1929 г. опытный образец М-21 изготовил завод «Большевик» (бывший Обуховский) в Ленинграде. Никаких данных о его испытаниях нет. Выпуск авиационного М-6 прекратили в 1931 г. Но двигателю нашли новое применение — на танках. Для них специально изготовили </w:t>
      </w:r>
      <w:proofErr w:type="spellStart"/>
      <w:r w:rsidRPr="00A259BD">
        <w:rPr>
          <w:rFonts w:ascii="Times New Roman" w:hAnsi="Times New Roman"/>
          <w:color w:val="000000" w:themeColor="text1"/>
          <w:sz w:val="16"/>
          <w:szCs w:val="16"/>
        </w:rPr>
        <w:t>дефорсированный</w:t>
      </w:r>
      <w:proofErr w:type="spellEnd"/>
      <w:r w:rsidRPr="00A259BD">
        <w:rPr>
          <w:rFonts w:ascii="Times New Roman" w:hAnsi="Times New Roman"/>
          <w:color w:val="000000" w:themeColor="text1"/>
          <w:sz w:val="16"/>
          <w:szCs w:val="16"/>
        </w:rPr>
        <w:t xml:space="preserve"> М-6Т12 с уменьшенной степенью сжатия. Но танковый вариант в серийное производство не запускали, так же как танк Т-12, для которого он предназначался (11852).</w:t>
      </w:r>
    </w:p>
    <w:p w14:paraId="508933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7C34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феврале 1929 г. заводом «Большевик» (Ленинград) был изготовлен </w:t>
      </w:r>
      <w:proofErr w:type="spellStart"/>
      <w:r w:rsidRPr="00A259BD">
        <w:rPr>
          <w:rFonts w:ascii="Times New Roman" w:hAnsi="Times New Roman"/>
          <w:color w:val="000000" w:themeColor="text1"/>
          <w:sz w:val="16"/>
          <w:szCs w:val="16"/>
        </w:rPr>
        <w:t>ппытный</w:t>
      </w:r>
      <w:proofErr w:type="spellEnd"/>
      <w:r w:rsidRPr="00A259BD">
        <w:rPr>
          <w:rFonts w:ascii="Times New Roman" w:hAnsi="Times New Roman"/>
          <w:color w:val="000000" w:themeColor="text1"/>
          <w:sz w:val="16"/>
          <w:szCs w:val="16"/>
        </w:rPr>
        <w:t xml:space="preserve"> образец М-21 - переделка М-6 на воздушное охлаждение. Цилиндры мотора М-12 были установлены на картере М-6. Данных об испытаниях нет.</w:t>
      </w:r>
    </w:p>
    <w:p w14:paraId="49FFFA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Характеристики:</w:t>
      </w:r>
    </w:p>
    <w:p w14:paraId="7C4435A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8-цилиндровый, рядный У-образный, четырехтактный, воздушного охлаждения;</w:t>
      </w:r>
    </w:p>
    <w:p w14:paraId="5FCC0D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диаметр цилиндра 125 мм;</w:t>
      </w:r>
    </w:p>
    <w:p w14:paraId="321EB36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безредукторный</w:t>
      </w:r>
      <w:proofErr w:type="spellEnd"/>
      <w:r w:rsidRPr="00A259BD">
        <w:rPr>
          <w:rFonts w:ascii="Times New Roman" w:hAnsi="Times New Roman"/>
          <w:color w:val="000000" w:themeColor="text1"/>
          <w:sz w:val="16"/>
          <w:szCs w:val="16"/>
        </w:rPr>
        <w:t xml:space="preserve"> (11852).</w:t>
      </w:r>
    </w:p>
    <w:p w14:paraId="5ED42E0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F7DA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феврале 1929 г. был доклад, подготовленный для начальника УВВС П.И. Баранова, согласно которому ленинградский завод «Большевик» по собственной инициативе приступили к разработке семейства мощных авиамоторов. В семейство входили два двига</w:t>
      </w:r>
      <w:r w:rsidRPr="00A259BD">
        <w:rPr>
          <w:rFonts w:ascii="Times New Roman" w:hAnsi="Times New Roman"/>
          <w:color w:val="000000" w:themeColor="text1"/>
          <w:sz w:val="16"/>
          <w:szCs w:val="16"/>
        </w:rPr>
        <w:softHyphen/>
        <w:t>теля. Первый из них, «Большевик I» мощностью 600—700 л.с., даже одно время входил в государственный план опытных работ как М-24. Его про</w:t>
      </w:r>
      <w:r w:rsidRPr="00A259BD">
        <w:rPr>
          <w:rFonts w:ascii="Times New Roman" w:hAnsi="Times New Roman"/>
          <w:color w:val="000000" w:themeColor="text1"/>
          <w:sz w:val="16"/>
          <w:szCs w:val="16"/>
        </w:rPr>
        <w:softHyphen/>
        <w:t>ект трижды представлялся УВВС. К январю 1929 г. его успели изготовить наполовину, после чего финансирование прекратили. Второй двигатель, «Большевик II» в 450-500 л.с., проектировался в апреле — июне 1928 г., но до стадии опытного образца он не дошел. По другим документам, создавали три варианта: АМБ-500, АМБ-600 и АМБ-700, мощностью соответственно 500 л.с., 600 л.с. и 700 л.с. Изго</w:t>
      </w:r>
      <w:r w:rsidRPr="00A259BD">
        <w:rPr>
          <w:rFonts w:ascii="Times New Roman" w:hAnsi="Times New Roman"/>
          <w:color w:val="000000" w:themeColor="text1"/>
          <w:sz w:val="16"/>
          <w:szCs w:val="16"/>
        </w:rPr>
        <w:softHyphen/>
        <w:t>товлялся только последний тип. Интересно, что якобы предусматривалось как водяное, так и воздушное охлаждение цилиндров (11852).</w:t>
      </w:r>
    </w:p>
    <w:p w14:paraId="1B8748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E7FB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феврале 1929 г. бомбардировщики сухопутных эскадрилий ЛВО получили храповики на втулки винтов для запуска моторов автостартером (3224,14).</w:t>
      </w:r>
    </w:p>
    <w:p w14:paraId="71AB16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8981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феврале 1929 г. на втулки пропеллеров всех самолётов установили храповики для запуска двигателей </w:t>
      </w:r>
      <w:proofErr w:type="spellStart"/>
      <w:r w:rsidRPr="00A259BD">
        <w:rPr>
          <w:rFonts w:ascii="Times New Roman" w:hAnsi="Times New Roman"/>
          <w:color w:val="000000" w:themeColor="text1"/>
          <w:sz w:val="16"/>
          <w:szCs w:val="16"/>
        </w:rPr>
        <w:t>автостартёром</w:t>
      </w:r>
      <w:proofErr w:type="spellEnd"/>
      <w:r w:rsidRPr="00A259BD">
        <w:rPr>
          <w:rFonts w:ascii="Times New Roman" w:hAnsi="Times New Roman"/>
          <w:color w:val="000000" w:themeColor="text1"/>
          <w:sz w:val="16"/>
          <w:szCs w:val="16"/>
        </w:rPr>
        <w:t xml:space="preserve">. Автором доработки являлся уже упоминавшийся инженер </w:t>
      </w:r>
      <w:proofErr w:type="spellStart"/>
      <w:r w:rsidRPr="00A259BD">
        <w:rPr>
          <w:rFonts w:ascii="Times New Roman" w:hAnsi="Times New Roman"/>
          <w:color w:val="000000" w:themeColor="text1"/>
          <w:sz w:val="16"/>
          <w:szCs w:val="16"/>
        </w:rPr>
        <w:t>Пальмбах</w:t>
      </w:r>
      <w:proofErr w:type="spellEnd"/>
      <w:r w:rsidRPr="00A259BD">
        <w:rPr>
          <w:rFonts w:ascii="Times New Roman" w:hAnsi="Times New Roman"/>
          <w:color w:val="000000" w:themeColor="text1"/>
          <w:sz w:val="16"/>
          <w:szCs w:val="16"/>
        </w:rPr>
        <w:t>. Ему помогали техники Фролов и Дробышев. На части машин французские винты заменили отечественными производства ГАЗ-8, хотя они были тяжелее и уменьшали обороты моторов (11984).</w:t>
      </w:r>
    </w:p>
    <w:p w14:paraId="753868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00FDD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феврале 1929 г. "</w:t>
      </w:r>
      <w:proofErr w:type="spellStart"/>
      <w:r w:rsidRPr="00A259BD">
        <w:rPr>
          <w:rFonts w:ascii="Times New Roman" w:hAnsi="Times New Roman"/>
          <w:color w:val="000000" w:themeColor="text1"/>
          <w:sz w:val="16"/>
          <w:szCs w:val="16"/>
        </w:rPr>
        <w:t>фарманы</w:t>
      </w:r>
      <w:proofErr w:type="spellEnd"/>
      <w:r w:rsidRPr="00A259BD">
        <w:rPr>
          <w:rFonts w:ascii="Times New Roman" w:hAnsi="Times New Roman"/>
          <w:color w:val="000000" w:themeColor="text1"/>
          <w:sz w:val="16"/>
          <w:szCs w:val="16"/>
        </w:rPr>
        <w:t>", и ЮГ-1 получили храповики на втулках винтов для запуска моторов с помощью автостартера. На "Голиафах" усилили баки и поставили советские пропеллеры производства завода ГАЗ № 8. На немецких самолетах с ноября 1928 г. стали ставить более прочные лыжи конструкции Лобанова, изготовлявшиеся тем же ГАЗ № 8 (12036).</w:t>
      </w:r>
    </w:p>
    <w:p w14:paraId="4BB1C0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3F87D6" w14:textId="77777777" w:rsidR="00DA7BDB" w:rsidRPr="00A259BD" w:rsidRDefault="00DA7BD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феврале 1929 года бомбардировщики сухопутных эскадрилий ЛВО получили храповики на втулки винтов для запуска моторов автостартером. В 62-й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оснастили свои машины пневматическими стартерами «Бристоль». На Черном море успели укомплектовать самолеты отечественными радиостанциями 18-С (примерно с теми же данными, что и у AD-6F, но более надежными) (15479).</w:t>
      </w:r>
    </w:p>
    <w:p w14:paraId="094B227E" w14:textId="77777777" w:rsidR="00DA7BDB" w:rsidRPr="00A259BD" w:rsidRDefault="00DA7BDB" w:rsidP="009236E3">
      <w:pPr>
        <w:spacing w:after="0" w:line="240" w:lineRule="auto"/>
        <w:jc w:val="both"/>
        <w:rPr>
          <w:rFonts w:ascii="Times New Roman" w:hAnsi="Times New Roman"/>
          <w:color w:val="000000" w:themeColor="text1"/>
          <w:sz w:val="16"/>
          <w:szCs w:val="16"/>
        </w:rPr>
      </w:pPr>
    </w:p>
    <w:p w14:paraId="2276F8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феврале 1929 проф. ВВА </w:t>
      </w:r>
      <w:proofErr w:type="spellStart"/>
      <w:r w:rsidRPr="00A259BD">
        <w:rPr>
          <w:rFonts w:ascii="Times New Roman" w:hAnsi="Times New Roman"/>
          <w:color w:val="000000" w:themeColor="text1"/>
          <w:sz w:val="16"/>
          <w:szCs w:val="16"/>
        </w:rPr>
        <w:t>Б.С.Стечкин</w:t>
      </w:r>
      <w:proofErr w:type="spellEnd"/>
      <w:r w:rsidRPr="00A259BD">
        <w:rPr>
          <w:rFonts w:ascii="Times New Roman" w:hAnsi="Times New Roman"/>
          <w:color w:val="000000" w:themeColor="text1"/>
          <w:sz w:val="16"/>
          <w:szCs w:val="16"/>
        </w:rPr>
        <w:t xml:space="preserve"> опубликовал статью Теория ВРД (438,592).</w:t>
      </w:r>
    </w:p>
    <w:p w14:paraId="49186C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90D7539" w14:textId="77777777" w:rsidR="004752AB" w:rsidRPr="00A259BD" w:rsidRDefault="004752A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феврале 1929 года на станции Сетунь Московской области началось строительство завода по производству полуфабрикатов из алюминиевых и магниевых сплавов. 1 июля 1933 года состоялся пуск завода в эксплуатацию. Это был первый в Советском Союзе специализированный завод по производству полуфабрикатов из алюминиевых и магниевых сплавов для самолётов и авиационных моторов. В январе 1934 года завод из ведения </w:t>
      </w:r>
      <w:proofErr w:type="spellStart"/>
      <w:r w:rsidRPr="00A259BD">
        <w:rPr>
          <w:rFonts w:ascii="Times New Roman" w:eastAsia="Times New Roman" w:hAnsi="Times New Roman"/>
          <w:color w:val="000000" w:themeColor="text1"/>
          <w:sz w:val="16"/>
          <w:szCs w:val="16"/>
          <w:lang w:eastAsia="ru-RU"/>
        </w:rPr>
        <w:t>Главцветметобработки</w:t>
      </w:r>
      <w:proofErr w:type="spellEnd"/>
      <w:r w:rsidRPr="00A259BD">
        <w:rPr>
          <w:rFonts w:ascii="Times New Roman" w:eastAsia="Times New Roman" w:hAnsi="Times New Roman"/>
          <w:color w:val="000000" w:themeColor="text1"/>
          <w:sz w:val="16"/>
          <w:szCs w:val="16"/>
          <w:lang w:eastAsia="ru-RU"/>
        </w:rPr>
        <w:t xml:space="preserve"> передан в ведение </w:t>
      </w:r>
      <w:proofErr w:type="spellStart"/>
      <w:r w:rsidRPr="00A259BD">
        <w:rPr>
          <w:rFonts w:ascii="Times New Roman" w:eastAsia="Times New Roman" w:hAnsi="Times New Roman"/>
          <w:color w:val="000000" w:themeColor="text1"/>
          <w:sz w:val="16"/>
          <w:szCs w:val="16"/>
          <w:lang w:eastAsia="ru-RU"/>
        </w:rPr>
        <w:t>Глававиапрома</w:t>
      </w:r>
      <w:proofErr w:type="spellEnd"/>
      <w:r w:rsidRPr="00A259BD">
        <w:rPr>
          <w:rFonts w:ascii="Times New Roman" w:eastAsia="Times New Roman" w:hAnsi="Times New Roman"/>
          <w:color w:val="000000" w:themeColor="text1"/>
          <w:sz w:val="16"/>
          <w:szCs w:val="16"/>
          <w:lang w:eastAsia="ru-RU"/>
        </w:rPr>
        <w:t>. Заводу присваивается номер — № 95.</w:t>
      </w:r>
    </w:p>
    <w:p w14:paraId="2456DFC7" w14:textId="77777777" w:rsidR="004752AB" w:rsidRPr="00A259BD" w:rsidRDefault="004752A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Мощностей традиционных производителей магния — Днепропетровского и Соликамского заводов — явно не хватало. В 1939 году Экономсовет СССР принимает решение о создании еще одного магниевого завода в городе Березники Пермской области (c 8 марта 1940 года по 2 октября 1957 года — </w:t>
      </w:r>
      <w:proofErr w:type="spellStart"/>
      <w:r w:rsidRPr="00A259BD">
        <w:rPr>
          <w:rFonts w:ascii="Times New Roman" w:eastAsia="Times New Roman" w:hAnsi="Times New Roman"/>
          <w:color w:val="000000" w:themeColor="text1"/>
          <w:sz w:val="16"/>
          <w:szCs w:val="16"/>
          <w:lang w:eastAsia="ru-RU"/>
        </w:rPr>
        <w:t>Мо?лотовская</w:t>
      </w:r>
      <w:proofErr w:type="spellEnd"/>
      <w:r w:rsidRPr="00A259BD">
        <w:rPr>
          <w:rFonts w:ascii="Times New Roman" w:eastAsia="Times New Roman" w:hAnsi="Times New Roman"/>
          <w:color w:val="000000" w:themeColor="text1"/>
          <w:sz w:val="16"/>
          <w:szCs w:val="16"/>
          <w:lang w:eastAsia="ru-RU"/>
        </w:rPr>
        <w:t xml:space="preserve"> область.). В апреле 1941 года утверждён технический проект и генеральная смета строительства Березниковского магниевого завода (БМЗ), ставшего родоначальником "АВИСМА".</w:t>
      </w:r>
    </w:p>
    <w:p w14:paraId="33D3A77E" w14:textId="77777777" w:rsidR="004752AB" w:rsidRPr="00A259BD" w:rsidRDefault="004752A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После первых бомбардировок Завода № 95 в июле 1941 года, принимается решение о создании завода-дублера на Урале в городе Верхняя Салда, заводу присвоен номер — № 491. 8 октября 1941 года начинается полная эвакуации Завода № 95 из Московской области в город Верхняя Салда Свердловской области. 19 ноября 1941 года Завод-дублер № 491 объединился с эвакуированным подмосковным заводом, новому предприятию присвоен номер — № 95. С 1941 года по 1944 год Завод № 95 является единственным поставщиком полуфабрикатов из алюминиевых и магниевых сплавов для нужд авиации и флота СССР.</w:t>
      </w:r>
    </w:p>
    <w:p w14:paraId="59CD4A37" w14:textId="77777777" w:rsidR="004752AB" w:rsidRPr="00A259BD" w:rsidRDefault="004752AB"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eastAsia="Times New Roman" w:hAnsi="Times New Roman"/>
          <w:color w:val="000000" w:themeColor="text1"/>
          <w:sz w:val="16"/>
          <w:szCs w:val="16"/>
          <w:lang w:eastAsia="ru-RU"/>
        </w:rPr>
        <w:t xml:space="preserve">22 июня 1943 года на Березниковском магниевом заводе (БМЗ) получен первый слиток (чушка) магния, который отлили </w:t>
      </w:r>
      <w:proofErr w:type="spellStart"/>
      <w:r w:rsidRPr="00A259BD">
        <w:rPr>
          <w:rFonts w:ascii="Times New Roman" w:eastAsia="Times New Roman" w:hAnsi="Times New Roman"/>
          <w:color w:val="000000" w:themeColor="text1"/>
          <w:sz w:val="16"/>
          <w:szCs w:val="16"/>
          <w:lang w:eastAsia="ru-RU"/>
        </w:rPr>
        <w:t>ванщики</w:t>
      </w:r>
      <w:proofErr w:type="spellEnd"/>
      <w:r w:rsidRPr="00A259BD">
        <w:rPr>
          <w:rFonts w:ascii="Times New Roman" w:eastAsia="Times New Roman" w:hAnsi="Times New Roman"/>
          <w:color w:val="000000" w:themeColor="text1"/>
          <w:sz w:val="16"/>
          <w:szCs w:val="16"/>
          <w:lang w:eastAsia="ru-RU"/>
        </w:rPr>
        <w:t xml:space="preserve"> электролизного цеха Порфирий </w:t>
      </w:r>
      <w:proofErr w:type="spellStart"/>
      <w:r w:rsidRPr="00A259BD">
        <w:rPr>
          <w:rFonts w:ascii="Times New Roman" w:eastAsia="Times New Roman" w:hAnsi="Times New Roman"/>
          <w:color w:val="000000" w:themeColor="text1"/>
          <w:sz w:val="16"/>
          <w:szCs w:val="16"/>
          <w:lang w:eastAsia="ru-RU"/>
        </w:rPr>
        <w:t>Бармак</w:t>
      </w:r>
      <w:proofErr w:type="spellEnd"/>
      <w:r w:rsidRPr="00A259BD">
        <w:rPr>
          <w:rFonts w:ascii="Times New Roman" w:eastAsia="Times New Roman" w:hAnsi="Times New Roman"/>
          <w:color w:val="000000" w:themeColor="text1"/>
          <w:sz w:val="16"/>
          <w:szCs w:val="16"/>
          <w:lang w:eastAsia="ru-RU"/>
        </w:rPr>
        <w:t xml:space="preserve"> и Василий Дзюба. Этот день считается днём рождения березниковского филиала Корпорации — "АВИСМА"</w:t>
      </w:r>
      <w:r w:rsidR="00911626" w:rsidRPr="00A259BD">
        <w:rPr>
          <w:rFonts w:ascii="Times New Roman" w:eastAsia="Times New Roman" w:hAnsi="Times New Roman"/>
          <w:color w:val="000000" w:themeColor="text1"/>
          <w:sz w:val="16"/>
          <w:szCs w:val="16"/>
          <w:lang w:eastAsia="ru-RU"/>
        </w:rPr>
        <w:t xml:space="preserve"> (17222)</w:t>
      </w:r>
      <w:r w:rsidRPr="00A259BD">
        <w:rPr>
          <w:rFonts w:ascii="Times New Roman" w:eastAsia="Times New Roman" w:hAnsi="Times New Roman"/>
          <w:color w:val="000000" w:themeColor="text1"/>
          <w:sz w:val="16"/>
          <w:szCs w:val="16"/>
          <w:lang w:eastAsia="ru-RU"/>
        </w:rPr>
        <w:t>.</w:t>
      </w:r>
    </w:p>
    <w:p w14:paraId="33A4F7B9" w14:textId="77777777" w:rsidR="004752AB" w:rsidRPr="00A259BD" w:rsidRDefault="004752AB" w:rsidP="009236E3">
      <w:pPr>
        <w:autoSpaceDE w:val="0"/>
        <w:autoSpaceDN w:val="0"/>
        <w:adjustRightInd w:val="0"/>
        <w:spacing w:after="0" w:line="240" w:lineRule="auto"/>
        <w:jc w:val="both"/>
        <w:rPr>
          <w:rFonts w:ascii="Times New Roman" w:hAnsi="Times New Roman"/>
          <w:color w:val="000000" w:themeColor="text1"/>
          <w:sz w:val="16"/>
          <w:szCs w:val="16"/>
        </w:rPr>
      </w:pPr>
    </w:p>
    <w:p w14:paraId="5AC042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феврале 1929 </w:t>
      </w:r>
      <w:proofErr w:type="spellStart"/>
      <w:r w:rsidRPr="00A259BD">
        <w:rPr>
          <w:rFonts w:ascii="Times New Roman" w:hAnsi="Times New Roman"/>
          <w:color w:val="000000" w:themeColor="text1"/>
          <w:sz w:val="16"/>
          <w:szCs w:val="16"/>
        </w:rPr>
        <w:t>Б.Г.Чухновский</w:t>
      </w:r>
      <w:proofErr w:type="spellEnd"/>
      <w:r w:rsidRPr="00A259BD">
        <w:rPr>
          <w:rFonts w:ascii="Times New Roman" w:hAnsi="Times New Roman"/>
          <w:color w:val="000000" w:themeColor="text1"/>
          <w:sz w:val="16"/>
          <w:szCs w:val="16"/>
        </w:rPr>
        <w:t xml:space="preserve"> будучи в Италии просил МГ о помощи в покупке самолета для полетов в Арктике (99,155).</w:t>
      </w:r>
    </w:p>
    <w:p w14:paraId="1CC727D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2D943C9" w14:textId="3C19A911" w:rsidR="00825262" w:rsidRPr="00A259BD" w:rsidRDefault="00825262"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В феврале 1929 года появился первый пятилетний план развития гражданской авиации в СССР, однако уже к концу года начался его пересмотр в сторону резкого увеличения объёмов финансирования и стр</w:t>
      </w:r>
      <w:r w:rsidR="00B13405" w:rsidRPr="00A259BD">
        <w:rPr>
          <w:rFonts w:ascii="Times New Roman" w:hAnsi="Times New Roman"/>
          <w:color w:val="000000" w:themeColor="text1"/>
          <w:sz w:val="16"/>
          <w:szCs w:val="16"/>
          <w:shd w:val="clear" w:color="auto" w:fill="FFFFFF"/>
        </w:rPr>
        <w:t>оительства</w:t>
      </w:r>
    </w:p>
    <w:p w14:paraId="040A4DC4" w14:textId="77777777" w:rsidR="00825262" w:rsidRPr="00A259BD" w:rsidRDefault="00825262" w:rsidP="009236E3">
      <w:pPr>
        <w:spacing w:after="0" w:line="240" w:lineRule="auto"/>
        <w:jc w:val="both"/>
        <w:rPr>
          <w:rFonts w:ascii="Times New Roman" w:hAnsi="Times New Roman"/>
          <w:color w:val="000000" w:themeColor="text1"/>
          <w:sz w:val="16"/>
          <w:szCs w:val="16"/>
          <w:shd w:val="clear" w:color="auto" w:fill="FFFFFF"/>
        </w:rPr>
      </w:pPr>
    </w:p>
    <w:p w14:paraId="5A927119" w14:textId="4DBA983B" w:rsidR="000F0AC0" w:rsidRPr="006B74EB" w:rsidRDefault="000F0AC0" w:rsidP="000F0AC0">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В </w:t>
      </w:r>
      <w:r w:rsidRPr="006B74EB">
        <w:rPr>
          <w:rFonts w:ascii="Times New Roman" w:hAnsi="Times New Roman"/>
          <w:color w:val="0070C0"/>
          <w:sz w:val="16"/>
          <w:szCs w:val="16"/>
        </w:rPr>
        <w:t>феврал</w:t>
      </w:r>
      <w:r>
        <w:rPr>
          <w:rFonts w:ascii="Times New Roman" w:hAnsi="Times New Roman"/>
          <w:color w:val="0070C0"/>
          <w:sz w:val="16"/>
          <w:szCs w:val="16"/>
        </w:rPr>
        <w:t>е 1929 г. п</w:t>
      </w:r>
      <w:r w:rsidRPr="006B74EB">
        <w:rPr>
          <w:rFonts w:ascii="Times New Roman" w:hAnsi="Times New Roman"/>
          <w:color w:val="0070C0"/>
          <w:sz w:val="16"/>
          <w:szCs w:val="16"/>
        </w:rPr>
        <w:t>рофессор B</w:t>
      </w:r>
      <w:r>
        <w:rPr>
          <w:rFonts w:ascii="Times New Roman" w:hAnsi="Times New Roman"/>
          <w:color w:val="0070C0"/>
          <w:sz w:val="16"/>
          <w:szCs w:val="16"/>
        </w:rPr>
        <w:t>В</w:t>
      </w:r>
      <w:r w:rsidRPr="006B74EB">
        <w:rPr>
          <w:rFonts w:ascii="Times New Roman" w:hAnsi="Times New Roman"/>
          <w:color w:val="0070C0"/>
          <w:sz w:val="16"/>
          <w:szCs w:val="16"/>
        </w:rPr>
        <w:t xml:space="preserve">A Борис Сергеевич Стечкин опубликовал </w:t>
      </w:r>
      <w:r>
        <w:rPr>
          <w:rFonts w:ascii="Times New Roman" w:hAnsi="Times New Roman"/>
          <w:color w:val="0070C0"/>
          <w:sz w:val="16"/>
          <w:szCs w:val="16"/>
        </w:rPr>
        <w:t>труд</w:t>
      </w:r>
      <w:r w:rsidRPr="006B74EB">
        <w:rPr>
          <w:rFonts w:ascii="Times New Roman" w:hAnsi="Times New Roman"/>
          <w:color w:val="0070C0"/>
          <w:sz w:val="16"/>
          <w:szCs w:val="16"/>
        </w:rPr>
        <w:t xml:space="preserve"> "Теория </w:t>
      </w:r>
      <w:proofErr w:type="spellStart"/>
      <w:r w:rsidRPr="006B74EB">
        <w:rPr>
          <w:rFonts w:ascii="Times New Roman" w:hAnsi="Times New Roman"/>
          <w:color w:val="0070C0"/>
          <w:sz w:val="16"/>
          <w:szCs w:val="16"/>
        </w:rPr>
        <w:t>воздувно-реактивмого</w:t>
      </w:r>
      <w:proofErr w:type="spellEnd"/>
      <w:r>
        <w:rPr>
          <w:rFonts w:ascii="Times New Roman" w:hAnsi="Times New Roman"/>
          <w:color w:val="0070C0"/>
          <w:sz w:val="16"/>
          <w:szCs w:val="16"/>
        </w:rPr>
        <w:t xml:space="preserve"> </w:t>
      </w:r>
      <w:r w:rsidRPr="006B74EB">
        <w:rPr>
          <w:rFonts w:ascii="Times New Roman" w:hAnsi="Times New Roman"/>
          <w:color w:val="0070C0"/>
          <w:sz w:val="16"/>
          <w:szCs w:val="16"/>
        </w:rPr>
        <w:t>двигателя»</w:t>
      </w:r>
      <w:r>
        <w:rPr>
          <w:rFonts w:ascii="Times New Roman" w:hAnsi="Times New Roman"/>
          <w:color w:val="0070C0"/>
          <w:sz w:val="16"/>
          <w:szCs w:val="16"/>
        </w:rPr>
        <w:t>.</w:t>
      </w:r>
      <w:r w:rsidRPr="006B74EB">
        <w:rPr>
          <w:rFonts w:ascii="Times New Roman" w:hAnsi="Times New Roman"/>
          <w:color w:val="0070C0"/>
          <w:sz w:val="16"/>
          <w:szCs w:val="16"/>
        </w:rPr>
        <w:t xml:space="preserve"> В то время в ав</w:t>
      </w:r>
      <w:r>
        <w:rPr>
          <w:rFonts w:ascii="Times New Roman" w:hAnsi="Times New Roman"/>
          <w:color w:val="0070C0"/>
          <w:sz w:val="16"/>
          <w:szCs w:val="16"/>
        </w:rPr>
        <w:t>и</w:t>
      </w:r>
      <w:r w:rsidRPr="006B74EB">
        <w:rPr>
          <w:rFonts w:ascii="Times New Roman" w:hAnsi="Times New Roman"/>
          <w:color w:val="0070C0"/>
          <w:sz w:val="16"/>
          <w:szCs w:val="16"/>
        </w:rPr>
        <w:t>а</w:t>
      </w:r>
      <w:r>
        <w:rPr>
          <w:rFonts w:ascii="Times New Roman" w:hAnsi="Times New Roman"/>
          <w:color w:val="0070C0"/>
          <w:sz w:val="16"/>
          <w:szCs w:val="16"/>
        </w:rPr>
        <w:t>ции</w:t>
      </w:r>
      <w:r w:rsidRPr="006B74EB">
        <w:rPr>
          <w:rFonts w:ascii="Times New Roman" w:hAnsi="Times New Roman"/>
          <w:color w:val="0070C0"/>
          <w:sz w:val="16"/>
          <w:szCs w:val="16"/>
        </w:rPr>
        <w:t xml:space="preserve"> </w:t>
      </w:r>
      <w:r>
        <w:rPr>
          <w:rFonts w:ascii="Times New Roman" w:hAnsi="Times New Roman"/>
          <w:color w:val="0070C0"/>
          <w:sz w:val="16"/>
          <w:szCs w:val="16"/>
        </w:rPr>
        <w:t xml:space="preserve">ВРД </w:t>
      </w:r>
      <w:r w:rsidRPr="006B74EB">
        <w:rPr>
          <w:rFonts w:ascii="Times New Roman" w:hAnsi="Times New Roman"/>
          <w:color w:val="0070C0"/>
          <w:sz w:val="16"/>
          <w:szCs w:val="16"/>
        </w:rPr>
        <w:t xml:space="preserve">еще </w:t>
      </w:r>
      <w:r>
        <w:rPr>
          <w:rFonts w:ascii="Times New Roman" w:hAnsi="Times New Roman"/>
          <w:color w:val="0070C0"/>
          <w:sz w:val="16"/>
          <w:szCs w:val="16"/>
        </w:rPr>
        <w:t>не</w:t>
      </w:r>
      <w:r w:rsidRPr="006B74EB">
        <w:rPr>
          <w:rFonts w:ascii="Times New Roman" w:hAnsi="Times New Roman"/>
          <w:color w:val="0070C0"/>
          <w:sz w:val="16"/>
          <w:szCs w:val="16"/>
        </w:rPr>
        <w:t xml:space="preserve"> было и по</w:t>
      </w:r>
      <w:r>
        <w:rPr>
          <w:rFonts w:ascii="Times New Roman" w:hAnsi="Times New Roman"/>
          <w:color w:val="0070C0"/>
          <w:sz w:val="16"/>
          <w:szCs w:val="16"/>
        </w:rPr>
        <w:t>э</w:t>
      </w:r>
      <w:r w:rsidRPr="006B74EB">
        <w:rPr>
          <w:rFonts w:ascii="Times New Roman" w:hAnsi="Times New Roman"/>
          <w:color w:val="0070C0"/>
          <w:sz w:val="16"/>
          <w:szCs w:val="16"/>
        </w:rPr>
        <w:t xml:space="preserve">тому теорией их никто </w:t>
      </w:r>
      <w:r>
        <w:rPr>
          <w:rFonts w:ascii="Times New Roman" w:hAnsi="Times New Roman"/>
          <w:color w:val="0070C0"/>
          <w:sz w:val="16"/>
          <w:szCs w:val="16"/>
        </w:rPr>
        <w:t>н</w:t>
      </w:r>
      <w:r w:rsidRPr="006B74EB">
        <w:rPr>
          <w:rFonts w:ascii="Times New Roman" w:hAnsi="Times New Roman"/>
          <w:color w:val="0070C0"/>
          <w:sz w:val="16"/>
          <w:szCs w:val="16"/>
        </w:rPr>
        <w:t>е занимался.</w:t>
      </w:r>
      <w:r>
        <w:rPr>
          <w:rFonts w:ascii="Times New Roman" w:hAnsi="Times New Roman"/>
          <w:color w:val="0070C0"/>
          <w:sz w:val="16"/>
          <w:szCs w:val="16"/>
        </w:rPr>
        <w:t xml:space="preserve"> </w:t>
      </w:r>
      <w:r w:rsidRPr="006B74EB">
        <w:rPr>
          <w:rFonts w:ascii="Times New Roman" w:hAnsi="Times New Roman"/>
          <w:color w:val="0070C0"/>
          <w:sz w:val="16"/>
          <w:szCs w:val="16"/>
        </w:rPr>
        <w:t>Одна</w:t>
      </w:r>
      <w:r>
        <w:rPr>
          <w:rFonts w:ascii="Times New Roman" w:hAnsi="Times New Roman"/>
          <w:color w:val="0070C0"/>
          <w:sz w:val="16"/>
          <w:szCs w:val="16"/>
        </w:rPr>
        <w:t xml:space="preserve">ко, </w:t>
      </w:r>
      <w:r w:rsidRPr="006B74EB">
        <w:rPr>
          <w:rFonts w:ascii="Times New Roman" w:hAnsi="Times New Roman"/>
          <w:color w:val="0070C0"/>
          <w:sz w:val="16"/>
          <w:szCs w:val="16"/>
        </w:rPr>
        <w:t>появившиеся проекты ВРД нуждались в научно разработанной тео</w:t>
      </w:r>
      <w:r>
        <w:rPr>
          <w:rFonts w:ascii="Times New Roman" w:hAnsi="Times New Roman"/>
          <w:color w:val="0070C0"/>
          <w:sz w:val="16"/>
          <w:szCs w:val="16"/>
        </w:rPr>
        <w:t>рии.</w:t>
      </w:r>
    </w:p>
    <w:p w14:paraId="3F09AE3D" w14:textId="77777777" w:rsidR="000F0AC0" w:rsidRPr="006B74EB" w:rsidRDefault="000F0AC0" w:rsidP="000F0AC0">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C развитием реактивной авиации нужда в теор</w:t>
      </w:r>
      <w:r>
        <w:rPr>
          <w:rFonts w:ascii="Times New Roman" w:hAnsi="Times New Roman"/>
          <w:color w:val="0070C0"/>
          <w:sz w:val="16"/>
          <w:szCs w:val="16"/>
        </w:rPr>
        <w:t xml:space="preserve">ии ВРД стала очевидной. </w:t>
      </w:r>
      <w:r w:rsidRPr="006B74EB">
        <w:rPr>
          <w:rFonts w:ascii="Times New Roman" w:hAnsi="Times New Roman"/>
          <w:color w:val="0070C0"/>
          <w:sz w:val="16"/>
          <w:szCs w:val="16"/>
        </w:rPr>
        <w:t>Теория ВВД, разработанная Стечкиным,</w:t>
      </w:r>
      <w:r>
        <w:rPr>
          <w:rFonts w:ascii="Times New Roman" w:hAnsi="Times New Roman"/>
          <w:color w:val="0070C0"/>
          <w:sz w:val="16"/>
          <w:szCs w:val="16"/>
        </w:rPr>
        <w:t xml:space="preserve"> </w:t>
      </w:r>
      <w:r w:rsidRPr="006B74EB">
        <w:rPr>
          <w:rFonts w:ascii="Times New Roman" w:hAnsi="Times New Roman"/>
          <w:color w:val="0070C0"/>
          <w:sz w:val="16"/>
          <w:szCs w:val="16"/>
        </w:rPr>
        <w:t>явилась</w:t>
      </w:r>
      <w:r>
        <w:rPr>
          <w:rFonts w:ascii="Times New Roman" w:hAnsi="Times New Roman"/>
          <w:color w:val="0070C0"/>
          <w:sz w:val="16"/>
          <w:szCs w:val="16"/>
        </w:rPr>
        <w:t xml:space="preserve"> первой</w:t>
      </w:r>
      <w:r w:rsidRPr="006B74EB">
        <w:rPr>
          <w:rFonts w:ascii="Times New Roman" w:hAnsi="Times New Roman"/>
          <w:color w:val="0070C0"/>
          <w:sz w:val="16"/>
          <w:szCs w:val="16"/>
        </w:rPr>
        <w:t xml:space="preserve"> </w:t>
      </w:r>
      <w:r>
        <w:rPr>
          <w:rFonts w:ascii="Times New Roman" w:hAnsi="Times New Roman"/>
          <w:color w:val="0070C0"/>
          <w:sz w:val="16"/>
          <w:szCs w:val="16"/>
        </w:rPr>
        <w:t>в мировой</w:t>
      </w:r>
      <w:r w:rsidRPr="006B74EB">
        <w:rPr>
          <w:rFonts w:ascii="Times New Roman" w:hAnsi="Times New Roman"/>
          <w:color w:val="0070C0"/>
          <w:sz w:val="16"/>
          <w:szCs w:val="16"/>
        </w:rPr>
        <w:t xml:space="preserve"> литературе научным трудом, положившим основу в ускорявшим развито реактивной авиации.</w:t>
      </w:r>
    </w:p>
    <w:p w14:paraId="716E320C" w14:textId="77777777" w:rsidR="000F0AC0" w:rsidRPr="006B74EB" w:rsidRDefault="000F0AC0" w:rsidP="000F0AC0">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w:t>
      </w:r>
      <w:r>
        <w:rPr>
          <w:rFonts w:ascii="Times New Roman" w:hAnsi="Times New Roman"/>
          <w:color w:val="0070C0"/>
          <w:sz w:val="16"/>
          <w:szCs w:val="16"/>
        </w:rPr>
        <w:t>ТВФ</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1929 </w:t>
      </w:r>
      <w:r>
        <w:rPr>
          <w:rFonts w:ascii="Times New Roman" w:hAnsi="Times New Roman"/>
          <w:color w:val="0070C0"/>
          <w:sz w:val="16"/>
          <w:szCs w:val="16"/>
        </w:rPr>
        <w:t>№</w:t>
      </w:r>
      <w:r w:rsidRPr="006B74EB">
        <w:rPr>
          <w:rFonts w:ascii="Times New Roman" w:hAnsi="Times New Roman"/>
          <w:color w:val="0070C0"/>
          <w:sz w:val="16"/>
          <w:szCs w:val="16"/>
        </w:rPr>
        <w:t xml:space="preserve"> 2,</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статья </w:t>
      </w:r>
      <w:proofErr w:type="spellStart"/>
      <w:r w:rsidRPr="006B74EB">
        <w:rPr>
          <w:rFonts w:ascii="Times New Roman" w:hAnsi="Times New Roman"/>
          <w:color w:val="0070C0"/>
          <w:sz w:val="16"/>
          <w:szCs w:val="16"/>
        </w:rPr>
        <w:t>Б.В.Стечкина</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(23370).</w:t>
      </w:r>
    </w:p>
    <w:p w14:paraId="2B82F909" w14:textId="77777777" w:rsidR="000F0AC0" w:rsidRDefault="000F0AC0" w:rsidP="000F0AC0">
      <w:pPr>
        <w:spacing w:after="0" w:line="240" w:lineRule="auto"/>
        <w:jc w:val="both"/>
        <w:rPr>
          <w:rFonts w:ascii="Times New Roman" w:hAnsi="Times New Roman"/>
          <w:color w:val="0070C0"/>
          <w:sz w:val="16"/>
          <w:szCs w:val="16"/>
        </w:rPr>
      </w:pPr>
    </w:p>
    <w:p w14:paraId="1F4F670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43032D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C976F9" w14:textId="77777777" w:rsidR="00825262" w:rsidRPr="00A259BD" w:rsidRDefault="0082526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16" w:name="_Hlk91312894"/>
      <w:r w:rsidRPr="00A259BD">
        <w:rPr>
          <w:rFonts w:ascii="Times New Roman" w:eastAsia="Times New Roman" w:hAnsi="Times New Roman"/>
          <w:color w:val="000000" w:themeColor="text1"/>
          <w:sz w:val="16"/>
          <w:szCs w:val="16"/>
          <w:lang w:eastAsia="ru-RU"/>
        </w:rPr>
        <w:t>В феврале 1929 г., РЗ СТО, будто спохватившись, дало директивы относительно того, какие параметры мобилизационной готовности промышленности должны быть достигнуты к концу второго и третьего годов пятилетки. Влияния на общехозяйственные плановые расчеты эти указания, разумеется, оказать уже не могли (</w:t>
      </w:r>
      <w:r w:rsidRPr="00A259BD">
        <w:rPr>
          <w:rFonts w:ascii="Times New Roman" w:eastAsia="Times New Roman" w:hAnsi="Times New Roman"/>
          <w:color w:val="000000" w:themeColor="text1"/>
          <w:sz w:val="16"/>
          <w:szCs w:val="16"/>
          <w:lang w:val="en-US" w:eastAsia="ru-RU"/>
        </w:rPr>
        <w:t>Stone</w:t>
      </w:r>
      <w:r w:rsidRPr="00A259BD">
        <w:rPr>
          <w:rFonts w:ascii="Times New Roman" w:eastAsia="Times New Roman" w:hAnsi="Times New Roman"/>
          <w:color w:val="000000" w:themeColor="text1"/>
          <w:sz w:val="16"/>
          <w:szCs w:val="16"/>
          <w:lang w:eastAsia="ru-RU"/>
        </w:rPr>
        <w:t xml:space="preserve"> </w:t>
      </w:r>
      <w:r w:rsidRPr="00A259BD">
        <w:rPr>
          <w:rFonts w:ascii="Times New Roman" w:eastAsia="Times New Roman" w:hAnsi="Times New Roman"/>
          <w:color w:val="000000" w:themeColor="text1"/>
          <w:sz w:val="16"/>
          <w:szCs w:val="16"/>
          <w:lang w:val="en-US" w:eastAsia="ru-RU"/>
        </w:rPr>
        <w:t>D</w:t>
      </w:r>
      <w:r w:rsidRPr="00A259BD">
        <w:rPr>
          <w:rFonts w:ascii="Times New Roman" w:eastAsia="Times New Roman" w:hAnsi="Times New Roman"/>
          <w:color w:val="000000" w:themeColor="text1"/>
          <w:sz w:val="16"/>
          <w:szCs w:val="16"/>
          <w:lang w:eastAsia="ru-RU"/>
        </w:rPr>
        <w:t xml:space="preserve">. </w:t>
      </w:r>
      <w:r w:rsidRPr="00A259BD">
        <w:rPr>
          <w:rFonts w:ascii="Times New Roman" w:eastAsia="Times New Roman" w:hAnsi="Times New Roman"/>
          <w:color w:val="000000" w:themeColor="text1"/>
          <w:sz w:val="16"/>
          <w:szCs w:val="16"/>
          <w:lang w:val="en-US" w:eastAsia="ru-RU"/>
        </w:rPr>
        <w:t>Hammer</w:t>
      </w:r>
      <w:r w:rsidRPr="00A259BD">
        <w:rPr>
          <w:rFonts w:ascii="Times New Roman" w:eastAsia="Times New Roman" w:hAnsi="Times New Roman"/>
          <w:color w:val="000000" w:themeColor="text1"/>
          <w:sz w:val="16"/>
          <w:szCs w:val="16"/>
          <w:lang w:eastAsia="ru-RU"/>
        </w:rPr>
        <w:t xml:space="preserve"> </w:t>
      </w:r>
      <w:r w:rsidRPr="00A259BD">
        <w:rPr>
          <w:rFonts w:ascii="Times New Roman" w:eastAsia="Times New Roman" w:hAnsi="Times New Roman"/>
          <w:color w:val="000000" w:themeColor="text1"/>
          <w:sz w:val="16"/>
          <w:szCs w:val="16"/>
          <w:lang w:val="en-US" w:eastAsia="ru-RU"/>
        </w:rPr>
        <w:t>and</w:t>
      </w:r>
      <w:r w:rsidRPr="00A259BD">
        <w:rPr>
          <w:rFonts w:ascii="Times New Roman" w:eastAsia="Times New Roman" w:hAnsi="Times New Roman"/>
          <w:color w:val="000000" w:themeColor="text1"/>
          <w:sz w:val="16"/>
          <w:szCs w:val="16"/>
          <w:lang w:eastAsia="ru-RU"/>
        </w:rPr>
        <w:t xml:space="preserve"> </w:t>
      </w:r>
      <w:r w:rsidRPr="00A259BD">
        <w:rPr>
          <w:rFonts w:ascii="Times New Roman" w:eastAsia="Times New Roman" w:hAnsi="Times New Roman"/>
          <w:color w:val="000000" w:themeColor="text1"/>
          <w:sz w:val="16"/>
          <w:szCs w:val="16"/>
          <w:lang w:val="en-US" w:eastAsia="ru-RU"/>
        </w:rPr>
        <w:t>Rifle</w:t>
      </w:r>
      <w:r w:rsidRPr="00A259BD">
        <w:rPr>
          <w:rFonts w:ascii="Times New Roman" w:eastAsia="Times New Roman" w:hAnsi="Times New Roman"/>
          <w:color w:val="000000" w:themeColor="text1"/>
          <w:sz w:val="16"/>
          <w:szCs w:val="16"/>
          <w:lang w:eastAsia="ru-RU"/>
        </w:rPr>
        <w:t>. P. 121-122).</w:t>
      </w:r>
    </w:p>
    <w:p w14:paraId="65E6224B" w14:textId="77777777" w:rsidR="00825262" w:rsidRPr="00A259BD" w:rsidRDefault="0082526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Председатель СО К А. Мехоношин, соглашаясь с критикой начальника Штаба РККА, что пятилетний план не предусматривает, в частности, преодоления дефицита цветных металлов, однако отстаивал принцип, согласно которому требуется вначале установить основные направления реконструкции важнейших отраслей промышленности и затем на этой основе формулировать планы военного производства на военное время. Мехоношин полагал, что в течение пятилетки именные расходы должны оставаться "приблизительно на уровне 1828 - 1929 гг.", и предложил более чем вдвое урезать предложенный ВСНХ объем инвестиций в развитие военного производства (</w:t>
      </w:r>
      <w:proofErr w:type="spellStart"/>
      <w:r w:rsidRPr="00A259BD">
        <w:rPr>
          <w:rFonts w:ascii="Times New Roman" w:eastAsia="Times New Roman" w:hAnsi="Times New Roman"/>
          <w:color w:val="000000" w:themeColor="text1"/>
          <w:sz w:val="16"/>
          <w:szCs w:val="16"/>
          <w:lang w:eastAsia="ru-RU"/>
        </w:rPr>
        <w:t>Ibid</w:t>
      </w:r>
      <w:proofErr w:type="spellEnd"/>
      <w:r w:rsidRPr="00A259BD">
        <w:rPr>
          <w:rFonts w:ascii="Times New Roman" w:eastAsia="Times New Roman" w:hAnsi="Times New Roman"/>
          <w:color w:val="000000" w:themeColor="text1"/>
          <w:sz w:val="16"/>
          <w:szCs w:val="16"/>
          <w:lang w:eastAsia="ru-RU"/>
        </w:rPr>
        <w:t>. P. 122-123; Симонов H. С. Военно-промышленный комплекс СССР в 20-50-е годы: Темпы экономического роста, структура, организация производства и управление. М., 1996. С. 66-67. Д. Стоун ссылается на документ, направленный Мехоношиным Ворошилову 5 апреля 1929 г., Н. С. Симонов - на доклад (X) Госплана в СТО СССР от того же дня. Вероятно, речь идет об одном и том же документе) (22725).</w:t>
      </w:r>
    </w:p>
    <w:p w14:paraId="48BE9068" w14:textId="77777777" w:rsidR="00825262" w:rsidRPr="00A259BD" w:rsidRDefault="00825262" w:rsidP="009236E3">
      <w:pPr>
        <w:spacing w:after="0" w:line="240" w:lineRule="auto"/>
        <w:jc w:val="both"/>
        <w:rPr>
          <w:rFonts w:ascii="Times New Roman" w:hAnsi="Times New Roman"/>
          <w:color w:val="000000" w:themeColor="text1"/>
          <w:sz w:val="16"/>
          <w:szCs w:val="16"/>
          <w:shd w:val="clear" w:color="auto" w:fill="FFFFFF"/>
        </w:rPr>
      </w:pPr>
    </w:p>
    <w:bookmarkEnd w:id="16"/>
    <w:p w14:paraId="081A23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феврале 1929 </w:t>
      </w:r>
      <w:proofErr w:type="spellStart"/>
      <w:r w:rsidRPr="00A259BD">
        <w:rPr>
          <w:rFonts w:ascii="Times New Roman" w:hAnsi="Times New Roman"/>
          <w:color w:val="000000" w:themeColor="text1"/>
          <w:sz w:val="16"/>
          <w:szCs w:val="16"/>
        </w:rPr>
        <w:t>Л.В.Курчевский</w:t>
      </w:r>
      <w:proofErr w:type="spellEnd"/>
      <w:r w:rsidRPr="00A259BD">
        <w:rPr>
          <w:rFonts w:ascii="Times New Roman" w:hAnsi="Times New Roman"/>
          <w:color w:val="000000" w:themeColor="text1"/>
          <w:sz w:val="16"/>
          <w:szCs w:val="16"/>
        </w:rPr>
        <w:t xml:space="preserve"> сумел убедить ГАУ РККА в том, что ДРП его системы наиболее эффективны и в результате получил секретное задание и приступил к созданию безоткатных пушек для армии, авиации и флота. Основное внимание уделялось авиапушке калибром 76.2 мм для усиления истребителей (2692,4).</w:t>
      </w:r>
    </w:p>
    <w:p w14:paraId="6DBF09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4D98F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феврале 1929 заводу Большевик было выдано задание на отечественный танковый двигатель мощностью 180 </w:t>
      </w:r>
      <w:proofErr w:type="spellStart"/>
      <w:r w:rsidRPr="00A259BD">
        <w:rPr>
          <w:rFonts w:ascii="Times New Roman" w:hAnsi="Times New Roman"/>
          <w:color w:val="000000" w:themeColor="text1"/>
          <w:sz w:val="16"/>
          <w:szCs w:val="16"/>
        </w:rPr>
        <w:t>нр</w:t>
      </w:r>
      <w:proofErr w:type="spellEnd"/>
      <w:r w:rsidRPr="00A259BD">
        <w:rPr>
          <w:rFonts w:ascii="Times New Roman" w:hAnsi="Times New Roman"/>
          <w:color w:val="000000" w:themeColor="text1"/>
          <w:sz w:val="16"/>
          <w:szCs w:val="16"/>
        </w:rPr>
        <w:t xml:space="preserve"> (4243,21).</w:t>
      </w:r>
    </w:p>
    <w:p w14:paraId="396DEF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97CA2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феврале 1929 г. заводу “Большевик” был выдан заказ на отечественный танковый двигатель мощностью 180 л.с. конструкции А. Микулина для Т-12. Но таковой построен не был, поскольку “Большевик” лихорадило от программы выпуска МС-1, и потому было принято решение по установке на танке отечественного авиамотора М-6 с пониженной до 180—200 л.с. мощностью. Для него В. Заславским и А. Микулиным были заново спро</w:t>
      </w:r>
      <w:r w:rsidRPr="00A259BD">
        <w:rPr>
          <w:rFonts w:ascii="Times New Roman" w:hAnsi="Times New Roman"/>
          <w:color w:val="000000" w:themeColor="text1"/>
          <w:sz w:val="16"/>
          <w:szCs w:val="16"/>
        </w:rPr>
        <w:softHyphen/>
        <w:t>ектированы коробка передач и ленточные тормоза (10733,86).</w:t>
      </w:r>
    </w:p>
    <w:p w14:paraId="4D825B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087F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феврале 1929 началось изготовление спроектированного Можаровым в январе 1929 г. лёгкого мотоцикла, обозначенного "Иж-4". Бензобак, состоявший из двух симметричных половин, подвесили на верхней балке рамы. Двигатель рабочим объёмом 200 </w:t>
      </w:r>
      <w:proofErr w:type="spellStart"/>
      <w:r w:rsidRPr="00A259BD">
        <w:rPr>
          <w:rFonts w:ascii="Times New Roman" w:hAnsi="Times New Roman"/>
          <w:color w:val="000000" w:themeColor="text1"/>
          <w:sz w:val="16"/>
          <w:szCs w:val="16"/>
        </w:rPr>
        <w:t>смз</w:t>
      </w:r>
      <w:proofErr w:type="spellEnd"/>
      <w:r w:rsidRPr="00A259BD">
        <w:rPr>
          <w:rFonts w:ascii="Times New Roman" w:hAnsi="Times New Roman"/>
          <w:color w:val="000000" w:themeColor="text1"/>
          <w:sz w:val="16"/>
          <w:szCs w:val="16"/>
        </w:rPr>
        <w:t xml:space="preserve">, коробку передач и вал привода заднего колеса вместе с главной передачей взяли от немецкого мотоцикла </w:t>
      </w:r>
      <w:proofErr w:type="spellStart"/>
      <w:r w:rsidRPr="00A259BD">
        <w:rPr>
          <w:rFonts w:ascii="Times New Roman" w:hAnsi="Times New Roman"/>
          <w:color w:val="000000" w:themeColor="text1"/>
          <w:sz w:val="16"/>
          <w:szCs w:val="16"/>
        </w:rPr>
        <w:t>Stoсk</w:t>
      </w:r>
      <w:proofErr w:type="spellEnd"/>
      <w:r w:rsidRPr="00A259BD">
        <w:rPr>
          <w:rFonts w:ascii="Times New Roman" w:hAnsi="Times New Roman"/>
          <w:color w:val="000000" w:themeColor="text1"/>
          <w:sz w:val="16"/>
          <w:szCs w:val="16"/>
        </w:rPr>
        <w:t xml:space="preserve">. В это время выявилась нехватка импортных комплектующих, необходимых для завершения "Иж-1" - "Иж-4" и постройки ещё двух образцов. Пришлось в 1929 году ехать в Берлинское торгпредство СССР. Петру Владимировичу удалось приобрести всё необходимое, а заодно и ознакомиться с новинками </w:t>
      </w:r>
      <w:proofErr w:type="spellStart"/>
      <w:r w:rsidRPr="00A259BD">
        <w:rPr>
          <w:rFonts w:ascii="Times New Roman" w:hAnsi="Times New Roman"/>
          <w:color w:val="000000" w:themeColor="text1"/>
          <w:sz w:val="16"/>
          <w:szCs w:val="16"/>
        </w:rPr>
        <w:t>мотоциклостроения</w:t>
      </w:r>
      <w:proofErr w:type="spellEnd"/>
      <w:r w:rsidRPr="00A259BD">
        <w:rPr>
          <w:rFonts w:ascii="Times New Roman" w:hAnsi="Times New Roman"/>
          <w:color w:val="000000" w:themeColor="text1"/>
          <w:sz w:val="16"/>
          <w:szCs w:val="16"/>
        </w:rPr>
        <w:t xml:space="preserve"> Германии. Вернувшись в начале июня, Можаров продолжил руководить изготовлением четырёх машин и энергично взялся за создание мотоцикла "Иж-5". Поскольку сроки поджимали - близилась дата старта очередного мотопробега - основой машины стал мотоцикл </w:t>
      </w:r>
      <w:proofErr w:type="spellStart"/>
      <w:r w:rsidRPr="00A259BD">
        <w:rPr>
          <w:rFonts w:ascii="Times New Roman" w:hAnsi="Times New Roman"/>
          <w:color w:val="000000" w:themeColor="text1"/>
          <w:sz w:val="16"/>
          <w:szCs w:val="16"/>
        </w:rPr>
        <w:t>Nеаndеr</w:t>
      </w:r>
      <w:proofErr w:type="spellEnd"/>
      <w:r w:rsidRPr="00A259BD">
        <w:rPr>
          <w:rFonts w:ascii="Times New Roman" w:hAnsi="Times New Roman"/>
          <w:color w:val="000000" w:themeColor="text1"/>
          <w:sz w:val="16"/>
          <w:szCs w:val="16"/>
        </w:rPr>
        <w:t xml:space="preserve">, с 500-кубовым верхнеклапанным двигателем конструкции Рихарда </w:t>
      </w:r>
      <w:proofErr w:type="spellStart"/>
      <w:r w:rsidRPr="00A259BD">
        <w:rPr>
          <w:rFonts w:ascii="Times New Roman" w:hAnsi="Times New Roman"/>
          <w:color w:val="000000" w:themeColor="text1"/>
          <w:sz w:val="16"/>
          <w:szCs w:val="16"/>
        </w:rPr>
        <w:t>Кюхена</w:t>
      </w:r>
      <w:proofErr w:type="spellEnd"/>
      <w:r w:rsidRPr="00A259BD">
        <w:rPr>
          <w:rFonts w:ascii="Times New Roman" w:hAnsi="Times New Roman"/>
          <w:color w:val="000000" w:themeColor="text1"/>
          <w:sz w:val="16"/>
          <w:szCs w:val="16"/>
        </w:rPr>
        <w:t xml:space="preserve">. Можаров лишь слегка усилил ходовую часть, добавил боковую подставку и плоские подножки, а главное - разработал полностью новую рычажную переднюю вилку. Проектирование задуманного в то же время мотоцикла "Иж-6" шло медленно из-за авральной занятости сотрудников </w:t>
      </w:r>
      <w:proofErr w:type="spellStart"/>
      <w:r w:rsidRPr="00A259BD">
        <w:rPr>
          <w:rFonts w:ascii="Times New Roman" w:hAnsi="Times New Roman"/>
          <w:color w:val="000000" w:themeColor="text1"/>
          <w:sz w:val="16"/>
          <w:szCs w:val="16"/>
        </w:rPr>
        <w:t>мотосекции</w:t>
      </w:r>
      <w:proofErr w:type="spellEnd"/>
      <w:r w:rsidRPr="00A259BD">
        <w:rPr>
          <w:rFonts w:ascii="Times New Roman" w:hAnsi="Times New Roman"/>
          <w:color w:val="000000" w:themeColor="text1"/>
          <w:sz w:val="16"/>
          <w:szCs w:val="16"/>
        </w:rPr>
        <w:t xml:space="preserve"> (11397).</w:t>
      </w:r>
    </w:p>
    <w:p w14:paraId="6A1C65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705F8F" w14:textId="77777777" w:rsidR="006E6C3D" w:rsidRPr="00A259BD" w:rsidRDefault="006E6C3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В феврале 1929 г. заводу "Большевик"  был выдан заказ на отечественный танковый двигатель мощностью 180 л.с. для Т-12. Но таковой построен не был, поскольку "Большевик" лихорадило от программы выпуска МС-1 и потому было принято решение по установке на танке отечественного авиамотора М-6 с пониженной до 180-200 л.с. мощностью. Для него были заново спроектированы коробка передач и ленточные тормоза (19553)</w:t>
      </w:r>
    </w:p>
    <w:p w14:paraId="180ED787" w14:textId="77777777" w:rsidR="006E6C3D" w:rsidRPr="00A259BD" w:rsidRDefault="006E6C3D" w:rsidP="009236E3">
      <w:pPr>
        <w:spacing w:after="0" w:line="240" w:lineRule="auto"/>
        <w:jc w:val="both"/>
        <w:rPr>
          <w:rFonts w:ascii="Times New Roman" w:hAnsi="Times New Roman"/>
          <w:color w:val="000000" w:themeColor="text1"/>
          <w:sz w:val="16"/>
          <w:szCs w:val="16"/>
          <w:shd w:val="clear" w:color="auto" w:fill="FFFFFF"/>
        </w:rPr>
      </w:pPr>
    </w:p>
    <w:p w14:paraId="0C6F2313" w14:textId="77777777" w:rsidR="006E6C3D" w:rsidRPr="00A259BD" w:rsidRDefault="006E6C3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феврале 1929 г. лаборатория Эльсница с завода «Красная заря» была пе</w:t>
      </w:r>
      <w:r w:rsidRPr="00A259BD">
        <w:rPr>
          <w:rFonts w:ascii="Times New Roman" w:hAnsi="Times New Roman"/>
          <w:color w:val="000000" w:themeColor="text1"/>
          <w:sz w:val="16"/>
          <w:szCs w:val="16"/>
        </w:rPr>
        <w:softHyphen/>
        <w:t>реведена в ЦЛПС, где она стала именоваться Военным отделом с сохранением за ней всех ранее определенных направлений работы. Начался второй этап техни</w:t>
      </w:r>
      <w:r w:rsidRPr="00A259BD">
        <w:rPr>
          <w:rFonts w:ascii="Times New Roman" w:hAnsi="Times New Roman"/>
          <w:color w:val="000000" w:themeColor="text1"/>
          <w:sz w:val="16"/>
          <w:szCs w:val="16"/>
        </w:rPr>
        <w:softHyphen/>
        <w:t>ческого вооружения войск связи РККА проводными средствами связи, который по времени совпал с периодом реализации промышленностью первого пятилет</w:t>
      </w:r>
      <w:r w:rsidRPr="00A259BD">
        <w:rPr>
          <w:rFonts w:ascii="Times New Roman" w:hAnsi="Times New Roman"/>
          <w:color w:val="000000" w:themeColor="text1"/>
          <w:sz w:val="16"/>
          <w:szCs w:val="16"/>
        </w:rPr>
        <w:softHyphen/>
        <w:t>него плана.</w:t>
      </w:r>
    </w:p>
    <w:p w14:paraId="1EA138E4" w14:textId="77777777" w:rsidR="006E6C3D" w:rsidRPr="00A259BD" w:rsidRDefault="006E6C3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первую очередь отдел Эльсница приступил к конструктивному оформ</w:t>
      </w:r>
      <w:r w:rsidRPr="00A259BD">
        <w:rPr>
          <w:rFonts w:ascii="Times New Roman" w:hAnsi="Times New Roman"/>
          <w:color w:val="000000" w:themeColor="text1"/>
          <w:sz w:val="16"/>
          <w:szCs w:val="16"/>
        </w:rPr>
        <w:softHyphen/>
        <w:t xml:space="preserve">лению индукторных коммутаторов Р-20 и Р-60. С этой целью в его распоряжение из </w:t>
      </w:r>
      <w:proofErr w:type="spellStart"/>
      <w:r w:rsidRPr="00A259BD">
        <w:rPr>
          <w:rFonts w:ascii="Times New Roman" w:hAnsi="Times New Roman"/>
          <w:color w:val="000000" w:themeColor="text1"/>
          <w:sz w:val="16"/>
          <w:szCs w:val="16"/>
        </w:rPr>
        <w:t>НИИСа</w:t>
      </w:r>
      <w:proofErr w:type="spellEnd"/>
      <w:r w:rsidRPr="00A259BD">
        <w:rPr>
          <w:rFonts w:ascii="Times New Roman" w:hAnsi="Times New Roman"/>
          <w:color w:val="000000" w:themeColor="text1"/>
          <w:sz w:val="16"/>
          <w:szCs w:val="16"/>
        </w:rPr>
        <w:t xml:space="preserve"> был временно откомандирован И.М. </w:t>
      </w:r>
      <w:proofErr w:type="spellStart"/>
      <w:r w:rsidRPr="00A259BD">
        <w:rPr>
          <w:rFonts w:ascii="Times New Roman" w:hAnsi="Times New Roman"/>
          <w:color w:val="000000" w:themeColor="text1"/>
          <w:sz w:val="16"/>
          <w:szCs w:val="16"/>
        </w:rPr>
        <w:t>Ростокин</w:t>
      </w:r>
      <w:proofErr w:type="spellEnd"/>
      <w:r w:rsidRPr="00A259BD">
        <w:rPr>
          <w:rFonts w:ascii="Times New Roman" w:hAnsi="Times New Roman"/>
          <w:color w:val="000000" w:themeColor="text1"/>
          <w:sz w:val="16"/>
          <w:szCs w:val="16"/>
        </w:rPr>
        <w:t>. С его помощью были изготовлены производственные образцы обоих коммутаторов, которые затем были приняты на вооружение РККА. Серийное производство коммутатора Р-60, предназначенного для внутренней телефонной связи штабов армии и фронта, на</w:t>
      </w:r>
      <w:r w:rsidRPr="00A259BD">
        <w:rPr>
          <w:rFonts w:ascii="Times New Roman" w:hAnsi="Times New Roman"/>
          <w:color w:val="000000" w:themeColor="text1"/>
          <w:sz w:val="16"/>
          <w:szCs w:val="16"/>
        </w:rPr>
        <w:softHyphen/>
        <w:t>чалось с 1932 г., а коммутатора Р-20 для штабов корпуса и дивизии - с 1933 г. (19098).</w:t>
      </w:r>
    </w:p>
    <w:p w14:paraId="2A104404" w14:textId="77777777" w:rsidR="006E6C3D" w:rsidRPr="00A259BD" w:rsidRDefault="006E6C3D" w:rsidP="009236E3">
      <w:pPr>
        <w:spacing w:after="0" w:line="240" w:lineRule="auto"/>
        <w:jc w:val="both"/>
        <w:rPr>
          <w:rFonts w:ascii="Times New Roman" w:hAnsi="Times New Roman"/>
          <w:color w:val="000000" w:themeColor="text1"/>
          <w:sz w:val="16"/>
          <w:szCs w:val="16"/>
        </w:rPr>
      </w:pPr>
    </w:p>
    <w:p w14:paraId="4D0E2857" w14:textId="77777777" w:rsidR="006E6C3D" w:rsidRPr="00A259BD" w:rsidRDefault="006E6C3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феврале 1929 г. после образования Военного отдела ЦЛПС во главе с А.Г. Эльсницем начался новый этап технического вооружения войск связи РККА средствами телефонной связи, который по времени совпал с периодом реализации первого пятилетнего плана. При этом завод «Красная заря» выступал в качестве основной опытной и производственной площадки для реализации разработок Военного отдела.</w:t>
      </w:r>
    </w:p>
    <w:p w14:paraId="332E781C" w14:textId="77777777" w:rsidR="006E6C3D" w:rsidRPr="00A259BD" w:rsidRDefault="006E6C3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первую очередь А.Г. Эльсниц приступил к конструктивному оформлению индукторных коммутаторов Р-20 и Р-60. С этой целью в его распоряжение из </w:t>
      </w:r>
      <w:proofErr w:type="spellStart"/>
      <w:r w:rsidRPr="00A259BD">
        <w:rPr>
          <w:rFonts w:ascii="Times New Roman" w:hAnsi="Times New Roman"/>
          <w:color w:val="000000" w:themeColor="text1"/>
          <w:sz w:val="16"/>
          <w:szCs w:val="16"/>
        </w:rPr>
        <w:t>НИИСа</w:t>
      </w:r>
      <w:proofErr w:type="spellEnd"/>
      <w:r w:rsidRPr="00A259BD">
        <w:rPr>
          <w:rFonts w:ascii="Times New Roman" w:hAnsi="Times New Roman"/>
          <w:color w:val="000000" w:themeColor="text1"/>
          <w:sz w:val="16"/>
          <w:szCs w:val="16"/>
        </w:rPr>
        <w:t xml:space="preserve"> был временно откомандирован инженер И.М. </w:t>
      </w:r>
      <w:proofErr w:type="spellStart"/>
      <w:r w:rsidRPr="00A259BD">
        <w:rPr>
          <w:rFonts w:ascii="Times New Roman" w:hAnsi="Times New Roman"/>
          <w:color w:val="000000" w:themeColor="text1"/>
          <w:sz w:val="16"/>
          <w:szCs w:val="16"/>
        </w:rPr>
        <w:t>Ростокин</w:t>
      </w:r>
      <w:proofErr w:type="spellEnd"/>
      <w:r w:rsidRPr="00A259BD">
        <w:rPr>
          <w:rFonts w:ascii="Times New Roman" w:hAnsi="Times New Roman"/>
          <w:color w:val="000000" w:themeColor="text1"/>
          <w:sz w:val="16"/>
          <w:szCs w:val="16"/>
        </w:rPr>
        <w:t>. С его помощью были изготовлены производственные образцы обоих коммутаторов, которые затем были приняты на вооружение РККА. Серийное производство коммутатора Р-60, предназначенного для внутренней телефонной связи штабов армии и фронта, и коммутатора Р-20 для штабов корпуса и дивизии началось на «Красной заре» в 1932 г. (18297).</w:t>
      </w:r>
    </w:p>
    <w:p w14:paraId="18C2903C" w14:textId="77777777" w:rsidR="006E6C3D" w:rsidRPr="00A259BD" w:rsidRDefault="006E6C3D" w:rsidP="009236E3">
      <w:pPr>
        <w:spacing w:after="0" w:line="240" w:lineRule="auto"/>
        <w:jc w:val="both"/>
        <w:rPr>
          <w:rFonts w:ascii="Times New Roman" w:hAnsi="Times New Roman"/>
          <w:color w:val="000000" w:themeColor="text1"/>
          <w:sz w:val="16"/>
          <w:szCs w:val="16"/>
        </w:rPr>
      </w:pPr>
    </w:p>
    <w:p w14:paraId="7B23FAE7" w14:textId="77777777" w:rsidR="006E6C3D" w:rsidRPr="00A259BD" w:rsidRDefault="006E6C3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феврале 1929 г. </w:t>
      </w:r>
      <w:proofErr w:type="spellStart"/>
      <w:r w:rsidRPr="00A259BD">
        <w:rPr>
          <w:rFonts w:ascii="Times New Roman" w:hAnsi="Times New Roman"/>
          <w:color w:val="000000" w:themeColor="text1"/>
          <w:sz w:val="16"/>
          <w:szCs w:val="16"/>
        </w:rPr>
        <w:t>Главхим</w:t>
      </w:r>
      <w:proofErr w:type="spellEnd"/>
      <w:r w:rsidRPr="00A259BD">
        <w:rPr>
          <w:rFonts w:ascii="Times New Roman" w:hAnsi="Times New Roman"/>
          <w:color w:val="000000" w:themeColor="text1"/>
          <w:sz w:val="16"/>
          <w:szCs w:val="16"/>
        </w:rPr>
        <w:t xml:space="preserve"> совместно с </w:t>
      </w:r>
      <w:proofErr w:type="spellStart"/>
      <w:r w:rsidRPr="00A259BD">
        <w:rPr>
          <w:rFonts w:ascii="Times New Roman" w:hAnsi="Times New Roman"/>
          <w:color w:val="000000" w:themeColor="text1"/>
          <w:sz w:val="16"/>
          <w:szCs w:val="16"/>
        </w:rPr>
        <w:t>Резинотрестом</w:t>
      </w:r>
      <w:proofErr w:type="spellEnd"/>
      <w:r w:rsidRPr="00A259BD">
        <w:rPr>
          <w:rFonts w:ascii="Times New Roman" w:hAnsi="Times New Roman"/>
          <w:color w:val="000000" w:themeColor="text1"/>
          <w:sz w:val="16"/>
          <w:szCs w:val="16"/>
        </w:rPr>
        <w:t xml:space="preserve"> назначил комиссию в составе академика В.Н. Ипатьева, академика А.Е. Чичибабина и профессора А.Ф. Кокина по оценке работы опытной станции на заводе «Красный Треугольник», по получению каучука из нефти. Комиссия сделала заключение, что метод профессора Б.В. Бызова может иметь значение в промышленности. Было признано целесообразным продолжить исследования, причем не только в лабораторных условиях, но и в полузаводском масштабе (18298).</w:t>
      </w:r>
    </w:p>
    <w:p w14:paraId="2E5D5718" w14:textId="77777777" w:rsidR="006E6C3D" w:rsidRPr="00A259BD" w:rsidRDefault="006E6C3D" w:rsidP="009236E3">
      <w:pPr>
        <w:spacing w:after="0" w:line="240" w:lineRule="auto"/>
        <w:jc w:val="both"/>
        <w:rPr>
          <w:rFonts w:ascii="Times New Roman" w:hAnsi="Times New Roman"/>
          <w:color w:val="000000" w:themeColor="text1"/>
          <w:sz w:val="16"/>
          <w:szCs w:val="16"/>
        </w:rPr>
      </w:pPr>
    </w:p>
    <w:p w14:paraId="4DE312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феврале 1929 г. Совет Труда и Обороны утвердил программу военного кораблестроения страны на 1928-1932 гг. Ее разработала специальная комиссия под председательством К. Е. Ворошилова. В программе предусматривалось строительство 113 кораблей различных классов. На ее осуществление выделялось (без вооружения) 200 млн. руб. Были проведены организационные мероприятия с целью повысить эффективность работы судостроительной промышленности (10700).</w:t>
      </w:r>
    </w:p>
    <w:p w14:paraId="1B3E30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DB6A5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B8CA3F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D7B12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феврале 1929 г. бывший бухарский эмир провел в Кабуле совещание полевых командиров, наметив план боевых действий на советской территории. Такая расстановка сил уже, несомненно, означала угрозу для СССР. Вопреки сценарию "поддержки революционных трудящихся", было принято решение оказать помощь Аманулле (3871).</w:t>
      </w:r>
    </w:p>
    <w:p w14:paraId="457ABA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0D9812" w14:textId="77777777" w:rsidR="00825262" w:rsidRPr="00A259BD" w:rsidRDefault="00825262" w:rsidP="009236E3">
      <w:pPr>
        <w:spacing w:after="0" w:line="240" w:lineRule="auto"/>
        <w:jc w:val="both"/>
        <w:rPr>
          <w:rFonts w:ascii="Times New Roman" w:hAnsi="Times New Roman"/>
          <w:color w:val="000000" w:themeColor="text1"/>
          <w:sz w:val="16"/>
          <w:szCs w:val="16"/>
        </w:rPr>
      </w:pPr>
      <w:bookmarkStart w:id="17" w:name="_Hlk77747662"/>
      <w:r w:rsidRPr="00A259BD">
        <w:rPr>
          <w:rFonts w:ascii="Times New Roman" w:hAnsi="Times New Roman"/>
          <w:color w:val="000000" w:themeColor="text1"/>
          <w:sz w:val="16"/>
          <w:szCs w:val="16"/>
        </w:rPr>
        <w:t xml:space="preserve">В феврале 1929 г, ж-л "Радио Всем" [№ 3, с.93] отмечал: "По сведениям из английских журналов, проф. </w:t>
      </w:r>
      <w:proofErr w:type="spellStart"/>
      <w:r w:rsidRPr="00A259BD">
        <w:rPr>
          <w:rFonts w:ascii="Times New Roman" w:hAnsi="Times New Roman"/>
          <w:color w:val="000000" w:themeColor="text1"/>
          <w:sz w:val="16"/>
          <w:szCs w:val="16"/>
        </w:rPr>
        <w:t>Езау</w:t>
      </w:r>
      <w:proofErr w:type="spellEnd"/>
      <w:r w:rsidRPr="00A259BD">
        <w:rPr>
          <w:rFonts w:ascii="Times New Roman" w:hAnsi="Times New Roman"/>
          <w:color w:val="000000" w:themeColor="text1"/>
          <w:sz w:val="16"/>
          <w:szCs w:val="16"/>
        </w:rPr>
        <w:t xml:space="preserve"> в Иене (Германия) начал новый год с открытия "лучей смерти": прибор, помещавшийся в папиросной коробке, излучал ультракороткие (особо короткие) волны, которыми можно было убить небольших животных и истреблять культуры бацилл. При этом прибор работал без антенны на обыкновенных усилительных лампах". И даже сам </w:t>
      </w:r>
      <w:proofErr w:type="spellStart"/>
      <w:r w:rsidRPr="00A259BD">
        <w:rPr>
          <w:rFonts w:ascii="Times New Roman" w:hAnsi="Times New Roman"/>
          <w:color w:val="000000" w:themeColor="text1"/>
          <w:sz w:val="16"/>
          <w:szCs w:val="16"/>
        </w:rPr>
        <w:t>Гуельмо</w:t>
      </w:r>
      <w:proofErr w:type="spellEnd"/>
      <w:r w:rsidRPr="00A259BD">
        <w:rPr>
          <w:rFonts w:ascii="Times New Roman" w:hAnsi="Times New Roman"/>
          <w:color w:val="000000" w:themeColor="text1"/>
          <w:sz w:val="16"/>
          <w:szCs w:val="16"/>
        </w:rPr>
        <w:t xml:space="preserve"> Маркони, которому во многих зарубежных публикациях стали приписывать изобретение "лучей смерти", вынужден был выступить с публичным опровержением. Однако и после его публикации многие остались, как говорят, "при своем мнении". Считалось, что опровержение Маркони имеет чисто дипломатический характер (21359).</w:t>
      </w:r>
    </w:p>
    <w:bookmarkEnd w:id="17"/>
    <w:p w14:paraId="1F8FAAC1" w14:textId="77777777" w:rsidR="00825262" w:rsidRPr="00A259BD" w:rsidRDefault="00825262" w:rsidP="009236E3">
      <w:pPr>
        <w:spacing w:after="0" w:line="240" w:lineRule="auto"/>
        <w:jc w:val="both"/>
        <w:rPr>
          <w:rFonts w:ascii="Times New Roman" w:hAnsi="Times New Roman"/>
          <w:color w:val="000000" w:themeColor="text1"/>
          <w:sz w:val="16"/>
          <w:szCs w:val="16"/>
        </w:rPr>
      </w:pPr>
    </w:p>
    <w:p w14:paraId="65967B23"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феврале 1929 г. в США была создана компании «</w:t>
      </w:r>
      <w:proofErr w:type="spellStart"/>
      <w:r w:rsidRPr="00A259BD">
        <w:rPr>
          <w:rFonts w:ascii="Times New Roman" w:hAnsi="Times New Roman"/>
          <w:color w:val="000000" w:themeColor="text1"/>
          <w:sz w:val="16"/>
          <w:szCs w:val="16"/>
        </w:rPr>
        <w:t>Питкерн-Сиерва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аутоджайро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компани</w:t>
      </w:r>
      <w:proofErr w:type="spellEnd"/>
      <w:r w:rsidRPr="00A259BD">
        <w:rPr>
          <w:rFonts w:ascii="Times New Roman" w:hAnsi="Times New Roman"/>
          <w:color w:val="000000" w:themeColor="text1"/>
          <w:sz w:val="16"/>
          <w:szCs w:val="16"/>
        </w:rPr>
        <w:t xml:space="preserve"> оф Америка». Эта компания приобрела в Англии все права на патенты в об</w:t>
      </w:r>
      <w:r w:rsidRPr="00A259BD">
        <w:rPr>
          <w:rFonts w:ascii="Times New Roman" w:hAnsi="Times New Roman"/>
          <w:color w:val="000000" w:themeColor="text1"/>
          <w:sz w:val="16"/>
          <w:szCs w:val="16"/>
        </w:rPr>
        <w:softHyphen/>
        <w:t xml:space="preserve">ласти </w:t>
      </w:r>
      <w:proofErr w:type="spellStart"/>
      <w:r w:rsidRPr="00A259BD">
        <w:rPr>
          <w:rFonts w:ascii="Times New Roman" w:hAnsi="Times New Roman"/>
          <w:color w:val="000000" w:themeColor="text1"/>
          <w:sz w:val="16"/>
          <w:szCs w:val="16"/>
        </w:rPr>
        <w:t>автожиростроения</w:t>
      </w:r>
      <w:proofErr w:type="spellEnd"/>
      <w:r w:rsidRPr="00A259BD">
        <w:rPr>
          <w:rFonts w:ascii="Times New Roman" w:hAnsi="Times New Roman"/>
          <w:color w:val="000000" w:themeColor="text1"/>
          <w:sz w:val="16"/>
          <w:szCs w:val="16"/>
        </w:rPr>
        <w:t xml:space="preserve"> для США. У нее, в свою оче</w:t>
      </w:r>
      <w:r w:rsidRPr="00A259BD">
        <w:rPr>
          <w:rFonts w:ascii="Times New Roman" w:hAnsi="Times New Roman"/>
          <w:color w:val="000000" w:themeColor="text1"/>
          <w:sz w:val="16"/>
          <w:szCs w:val="16"/>
        </w:rPr>
        <w:softHyphen/>
        <w:t>редь, лицензию на производство автожиров приобрели еще ряд компаний, которые активно занимались совершен</w:t>
      </w:r>
      <w:r w:rsidRPr="00A259BD">
        <w:rPr>
          <w:rFonts w:ascii="Times New Roman" w:hAnsi="Times New Roman"/>
          <w:color w:val="000000" w:themeColor="text1"/>
          <w:sz w:val="16"/>
          <w:szCs w:val="16"/>
        </w:rPr>
        <w:softHyphen/>
        <w:t>ствованием нового типа летательного аппарата. Наиболее известный американский автожир РСА-2 в 1931 г. был сер</w:t>
      </w:r>
      <w:r w:rsidRPr="00A259BD">
        <w:rPr>
          <w:rFonts w:ascii="Times New Roman" w:hAnsi="Times New Roman"/>
          <w:color w:val="000000" w:themeColor="text1"/>
          <w:sz w:val="16"/>
          <w:szCs w:val="16"/>
        </w:rPr>
        <w:softHyphen/>
        <w:t>тифицирован для перевозки пассажиров и коммерческих полетов. Однако, несмотря на очевидные и успешные по</w:t>
      </w:r>
      <w:r w:rsidRPr="00A259BD">
        <w:rPr>
          <w:rFonts w:ascii="Times New Roman" w:hAnsi="Times New Roman"/>
          <w:color w:val="000000" w:themeColor="text1"/>
          <w:sz w:val="16"/>
          <w:szCs w:val="16"/>
        </w:rPr>
        <w:softHyphen/>
        <w:t>леты автожиров в США, должного развития не получили они и здесь. Экономический кризис начала 1930-х гг. за</w:t>
      </w:r>
      <w:r w:rsidRPr="00A259BD">
        <w:rPr>
          <w:rFonts w:ascii="Times New Roman" w:hAnsi="Times New Roman"/>
          <w:color w:val="000000" w:themeColor="text1"/>
          <w:sz w:val="16"/>
          <w:szCs w:val="16"/>
        </w:rPr>
        <w:softHyphen/>
        <w:t>тормозил их развитие, а позднее интерес к ним заметно снизился (20361).</w:t>
      </w:r>
    </w:p>
    <w:p w14:paraId="58FEE36D" w14:textId="77777777" w:rsidR="00825262" w:rsidRPr="00A259BD" w:rsidRDefault="00825262" w:rsidP="009236E3">
      <w:pPr>
        <w:shd w:val="clear" w:color="auto" w:fill="FFFFFF"/>
        <w:spacing w:after="0" w:line="240" w:lineRule="auto"/>
        <w:jc w:val="both"/>
        <w:rPr>
          <w:rFonts w:ascii="Times New Roman" w:hAnsi="Times New Roman"/>
          <w:color w:val="000000" w:themeColor="text1"/>
          <w:sz w:val="16"/>
          <w:szCs w:val="16"/>
        </w:rPr>
      </w:pPr>
    </w:p>
    <w:p w14:paraId="4567B426" w14:textId="77777777" w:rsidR="00825262" w:rsidRPr="00A259BD" w:rsidRDefault="0082526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феврале 1929 Гарольд Питкэрн покупает американские права на все изобретения и патенты автожира Хуан - де - ла - </w:t>
      </w:r>
      <w:proofErr w:type="spellStart"/>
      <w:r w:rsidRPr="00A259BD">
        <w:rPr>
          <w:rFonts w:ascii="Times New Roman" w:hAnsi="Times New Roman"/>
          <w:color w:val="000000" w:themeColor="text1"/>
          <w:sz w:val="16"/>
          <w:szCs w:val="16"/>
        </w:rPr>
        <w:t>Сьервы</w:t>
      </w:r>
      <w:proofErr w:type="spellEnd"/>
      <w:r w:rsidRPr="00A259BD">
        <w:rPr>
          <w:rFonts w:ascii="Times New Roman" w:hAnsi="Times New Roman"/>
          <w:color w:val="000000" w:themeColor="text1"/>
          <w:sz w:val="16"/>
          <w:szCs w:val="16"/>
        </w:rPr>
        <w:t xml:space="preserve"> и учреждает Питкэрн-</w:t>
      </w:r>
      <w:proofErr w:type="spellStart"/>
      <w:r w:rsidRPr="00A259BD">
        <w:rPr>
          <w:rFonts w:ascii="Times New Roman" w:hAnsi="Times New Roman"/>
          <w:color w:val="000000" w:themeColor="text1"/>
          <w:sz w:val="16"/>
          <w:szCs w:val="16"/>
        </w:rPr>
        <w:t>Сьерв</w:t>
      </w:r>
      <w:proofErr w:type="spellEnd"/>
      <w:r w:rsidRPr="00A259BD">
        <w:rPr>
          <w:rFonts w:ascii="Times New Roman" w:hAnsi="Times New Roman"/>
          <w:color w:val="000000" w:themeColor="text1"/>
          <w:sz w:val="16"/>
          <w:szCs w:val="16"/>
        </w:rPr>
        <w:t xml:space="preserve"> автожир компании (20806).</w:t>
      </w:r>
    </w:p>
    <w:p w14:paraId="3676F0B2" w14:textId="77777777" w:rsidR="00825262" w:rsidRPr="00A259BD" w:rsidRDefault="00825262" w:rsidP="009236E3">
      <w:pPr>
        <w:spacing w:after="0" w:line="240" w:lineRule="auto"/>
        <w:jc w:val="both"/>
        <w:rPr>
          <w:rFonts w:ascii="Times New Roman" w:hAnsi="Times New Roman"/>
          <w:color w:val="000000" w:themeColor="text1"/>
          <w:sz w:val="16"/>
          <w:szCs w:val="16"/>
        </w:rPr>
      </w:pPr>
    </w:p>
    <w:p w14:paraId="1057F4A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951B64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EC9EB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Зимой-весной 1929 проводились работы по доработке и Хейнкель ХД-37 с учетом результатов гос. испытаний в НИИ ВВС и прежде всего по улучшению штопорных характеристик. Наши потребовали новый профиль крыла, изменение соотношения площадей верхнего и нижнего крыльев, доработку шасси и хвостового оперения (3202,3).</w:t>
      </w:r>
    </w:p>
    <w:p w14:paraId="534A38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6068D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AA347B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5030D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весне 1929 были готовы все необходимые для постройки К-5 чертежи и техдокументация и их передали в производство. Заложили два под Юпитер-Гном-Рон в 480, а для второго пришлось закупать, но заказали только 14 августа 1929 (70,159).</w:t>
      </w:r>
    </w:p>
    <w:p w14:paraId="111B4F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FCD8687" w14:textId="77777777" w:rsidR="00065B0A"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AAED696" w14:textId="77777777" w:rsidR="00065B0A" w:rsidRPr="00A259BD" w:rsidRDefault="00065B0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06B27C3" w14:textId="77777777" w:rsidR="00527C17" w:rsidRPr="00A259BD" w:rsidRDefault="00527C17" w:rsidP="009236E3">
      <w:pPr>
        <w:pStyle w:val="ae"/>
        <w:shd w:val="clear" w:color="auto" w:fill="FFFFFF"/>
        <w:spacing w:before="0" w:after="0"/>
        <w:jc w:val="both"/>
        <w:rPr>
          <w:color w:val="000000" w:themeColor="text1"/>
          <w:sz w:val="16"/>
          <w:szCs w:val="16"/>
        </w:rPr>
      </w:pPr>
      <w:r w:rsidRPr="00A259BD">
        <w:rPr>
          <w:color w:val="000000" w:themeColor="text1"/>
          <w:sz w:val="16"/>
          <w:szCs w:val="16"/>
        </w:rPr>
        <w:t>К весне 1929 года работы по танкам сопровождения стали вестись сразу в нескольких направлениях. Во-первых, началась разработка танка Т-19 с 75-сильным двигателем и новой ходовой частью. Ожидалось, что он будет разгоняться до 25 км/ч. Во-вторых, появился проект Т-18 бис, эта тема позже развилась в Т-20. Это был тот же Т-18, но с некоторыми усовершенствованиями и улучшением динамических характеристик. В-третьих, 7 марта 1929 года появились соображения по модернизации Т-18 третьей серии, которая, согласно планам, должна была включать 150 танков. Эта машина должна была стать более быстрой (максимальная скорость до 18 км/ч) за счёт форсирования двигателя до 45 лошадиных сил. Максимальная скорость должна была увеличиться до 18 км/ч. Впрочем, на заводе к возможности подобного увеличения мощности отнеслись со скепсисом: имелись сомнения в надёжности форсированного двигателя.</w:t>
      </w:r>
    </w:p>
    <w:p w14:paraId="39E13390" w14:textId="77777777" w:rsidR="00527C17" w:rsidRPr="00A259BD" w:rsidRDefault="00527C17" w:rsidP="009236E3">
      <w:pPr>
        <w:pStyle w:val="ae"/>
        <w:shd w:val="clear" w:color="auto" w:fill="FFFFFF"/>
        <w:spacing w:before="0" w:after="0"/>
        <w:jc w:val="both"/>
        <w:rPr>
          <w:color w:val="000000" w:themeColor="text1"/>
          <w:sz w:val="16"/>
          <w:szCs w:val="16"/>
        </w:rPr>
      </w:pPr>
      <w:r w:rsidRPr="00A259BD">
        <w:rPr>
          <w:color w:val="000000" w:themeColor="text1"/>
          <w:sz w:val="16"/>
          <w:szCs w:val="16"/>
        </w:rPr>
        <w:t xml:space="preserve">Толщину брони танков третьей серии </w:t>
      </w:r>
      <w:proofErr w:type="spellStart"/>
      <w:r w:rsidRPr="00A259BD">
        <w:rPr>
          <w:color w:val="000000" w:themeColor="text1"/>
          <w:sz w:val="16"/>
          <w:szCs w:val="16"/>
        </w:rPr>
        <w:t>Шукалов</w:t>
      </w:r>
      <w:proofErr w:type="spellEnd"/>
      <w:r w:rsidRPr="00A259BD">
        <w:rPr>
          <w:color w:val="000000" w:themeColor="text1"/>
          <w:sz w:val="16"/>
          <w:szCs w:val="16"/>
        </w:rPr>
        <w:t xml:space="preserve"> предлагал уменьшить с 16 до 14 мм. Уровень защищённости предполагалось сохранить прежним за счёт повышения качества брони. Башня должна была получить развитую кормовую нишу. Связано это было с разработкой новой, более мощной пушки Б-3 калибра 37 мм, а также с планами по установке радиостанции. В списке изменений фигурировали и новые полностью литые траки безо всяких заклёпок. Новые траки были более прочными и обеспечивали лучшее сцепление — из-за этого они даже получили официальное обозначение «орлиный коготь». Позже к новым тракам добавились переработанные ленивцы (чертёж 1-18-251), новые поддерживающие катки (чертёж 1-18-233) и ведущие колёса (чертёж 1-18-239). Изменилась конструкция глушителя — теперь он имел цельный корпус (17724).</w:t>
      </w:r>
    </w:p>
    <w:p w14:paraId="0F83FF58" w14:textId="77777777" w:rsidR="00527C17" w:rsidRPr="00A259BD" w:rsidRDefault="00527C17" w:rsidP="009236E3">
      <w:pPr>
        <w:pStyle w:val="ae"/>
        <w:shd w:val="clear" w:color="auto" w:fill="FFFFFF"/>
        <w:spacing w:before="0" w:after="0"/>
        <w:jc w:val="both"/>
        <w:rPr>
          <w:color w:val="000000" w:themeColor="text1"/>
          <w:sz w:val="16"/>
          <w:szCs w:val="16"/>
        </w:rPr>
      </w:pPr>
    </w:p>
    <w:p w14:paraId="55E79940" w14:textId="77777777" w:rsidR="00065B0A" w:rsidRPr="00A259BD" w:rsidRDefault="00065B0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весне 1929 г. проработка пятилетнего плана близилась к за</w:t>
      </w:r>
      <w:r w:rsidRPr="00A259BD">
        <w:rPr>
          <w:rFonts w:ascii="Times New Roman" w:hAnsi="Times New Roman"/>
          <w:color w:val="000000" w:themeColor="text1"/>
          <w:sz w:val="16"/>
          <w:szCs w:val="16"/>
        </w:rPr>
        <w:softHyphen/>
        <w:t>вершению. За основу принимались оптимальные контрольные цифры. Однако военные по-прежнему настаивали, что вопросы обороны в пятилетнем плане так и не решены окончательно. Сторонники военизации пятилетки призывали снова скорректи</w:t>
      </w:r>
      <w:r w:rsidRPr="00A259BD">
        <w:rPr>
          <w:rFonts w:ascii="Times New Roman" w:hAnsi="Times New Roman"/>
          <w:color w:val="000000" w:themeColor="text1"/>
          <w:sz w:val="16"/>
          <w:szCs w:val="16"/>
        </w:rPr>
        <w:softHyphen/>
        <w:t xml:space="preserve">ровать хозяйственную политику. Зам. наркома НКВМ </w:t>
      </w:r>
      <w:proofErr w:type="spellStart"/>
      <w:r w:rsidRPr="00A259BD">
        <w:rPr>
          <w:rFonts w:ascii="Times New Roman" w:hAnsi="Times New Roman"/>
          <w:color w:val="000000" w:themeColor="text1"/>
          <w:sz w:val="16"/>
          <w:szCs w:val="16"/>
        </w:rPr>
        <w:t>Уншлихт</w:t>
      </w:r>
      <w:proofErr w:type="spellEnd"/>
      <w:r w:rsidRPr="00A259BD">
        <w:rPr>
          <w:rFonts w:ascii="Times New Roman" w:hAnsi="Times New Roman"/>
          <w:color w:val="000000" w:themeColor="text1"/>
          <w:sz w:val="16"/>
          <w:szCs w:val="16"/>
        </w:rPr>
        <w:t xml:space="preserve"> настойчиво рекомендует пересмотреть в сторону увеличения те показатели, которые имеют решающее для обороны значение. В апреле 1929 г. в Президиуме Госплана опять вспыхнула дискуссия по поводу ассигнований на военные нужды между представителя</w:t>
      </w:r>
      <w:r w:rsidRPr="00A259BD">
        <w:rPr>
          <w:rFonts w:ascii="Times New Roman" w:hAnsi="Times New Roman"/>
          <w:color w:val="000000" w:themeColor="text1"/>
          <w:sz w:val="16"/>
          <w:szCs w:val="16"/>
        </w:rPr>
        <w:softHyphen/>
        <w:t xml:space="preserve">ми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ОГПУ, РКИ, с одной стороны, ВСНХ и наркома</w:t>
      </w:r>
      <w:r w:rsidRPr="00A259BD">
        <w:rPr>
          <w:rFonts w:ascii="Times New Roman" w:hAnsi="Times New Roman"/>
          <w:color w:val="000000" w:themeColor="text1"/>
          <w:sz w:val="16"/>
          <w:szCs w:val="16"/>
        </w:rPr>
        <w:softHyphen/>
        <w:t xml:space="preserve">тов - с другой. Прежние варианты </w:t>
      </w:r>
      <w:proofErr w:type="spellStart"/>
      <w:r w:rsidRPr="00A259BD">
        <w:rPr>
          <w:rFonts w:ascii="Times New Roman" w:hAnsi="Times New Roman"/>
          <w:color w:val="000000" w:themeColor="text1"/>
          <w:sz w:val="16"/>
          <w:szCs w:val="16"/>
        </w:rPr>
        <w:t>мобпланов</w:t>
      </w:r>
      <w:proofErr w:type="spellEnd"/>
      <w:r w:rsidRPr="00A259BD">
        <w:rPr>
          <w:rFonts w:ascii="Times New Roman" w:hAnsi="Times New Roman"/>
          <w:color w:val="000000" w:themeColor="text1"/>
          <w:sz w:val="16"/>
          <w:szCs w:val="16"/>
        </w:rPr>
        <w:t xml:space="preserve"> рассматривались теперь как механическая сводка </w:t>
      </w:r>
      <w:proofErr w:type="spellStart"/>
      <w:r w:rsidRPr="00A259BD">
        <w:rPr>
          <w:rFonts w:ascii="Times New Roman" w:hAnsi="Times New Roman"/>
          <w:color w:val="000000" w:themeColor="text1"/>
          <w:sz w:val="16"/>
          <w:szCs w:val="16"/>
        </w:rPr>
        <w:t>мобпланов</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мобзаданий</w:t>
      </w:r>
      <w:proofErr w:type="spellEnd"/>
      <w:r w:rsidRPr="00A259BD">
        <w:rPr>
          <w:rFonts w:ascii="Times New Roman" w:hAnsi="Times New Roman"/>
          <w:color w:val="000000" w:themeColor="text1"/>
          <w:sz w:val="16"/>
          <w:szCs w:val="16"/>
        </w:rPr>
        <w:t xml:space="preserve"> тре</w:t>
      </w:r>
      <w:r w:rsidRPr="00A259BD">
        <w:rPr>
          <w:rFonts w:ascii="Times New Roman" w:hAnsi="Times New Roman"/>
          <w:color w:val="000000" w:themeColor="text1"/>
          <w:sz w:val="16"/>
          <w:szCs w:val="16"/>
        </w:rPr>
        <w:softHyphen/>
        <w:t xml:space="preserve">стов и предприятий, сведенная МПУ ВСНХ. В свете новых задач </w:t>
      </w:r>
      <w:proofErr w:type="spellStart"/>
      <w:r w:rsidRPr="00A259BD">
        <w:rPr>
          <w:rFonts w:ascii="Times New Roman" w:hAnsi="Times New Roman"/>
          <w:color w:val="000000" w:themeColor="text1"/>
          <w:sz w:val="16"/>
          <w:szCs w:val="16"/>
        </w:rPr>
        <w:t>мобпланирования</w:t>
      </w:r>
      <w:proofErr w:type="spellEnd"/>
      <w:r w:rsidRPr="00A259BD">
        <w:rPr>
          <w:rFonts w:ascii="Times New Roman" w:hAnsi="Times New Roman"/>
          <w:color w:val="000000" w:themeColor="text1"/>
          <w:sz w:val="16"/>
          <w:szCs w:val="16"/>
        </w:rPr>
        <w:t xml:space="preserve"> их рассматривали теперь как “клочки бумаги”.</w:t>
      </w:r>
    </w:p>
    <w:p w14:paraId="30EF14A0" w14:textId="77777777" w:rsidR="00065B0A" w:rsidRPr="00A259BD" w:rsidRDefault="00065B0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Тогда же в РЗ СТО был направлен новый аналитический до</w:t>
      </w:r>
      <w:r w:rsidRPr="00A259BD">
        <w:rPr>
          <w:rFonts w:ascii="Times New Roman" w:hAnsi="Times New Roman"/>
          <w:color w:val="000000" w:themeColor="text1"/>
          <w:sz w:val="16"/>
          <w:szCs w:val="16"/>
        </w:rPr>
        <w:softHyphen/>
        <w:t>клад Госплана об учете интересов обороны в пятилетке, кото</w:t>
      </w:r>
      <w:r w:rsidRPr="00A259BD">
        <w:rPr>
          <w:rFonts w:ascii="Times New Roman" w:hAnsi="Times New Roman"/>
          <w:color w:val="000000" w:themeColor="text1"/>
          <w:sz w:val="16"/>
          <w:szCs w:val="16"/>
        </w:rPr>
        <w:softHyphen/>
        <w:t>рый заметно отличался от предыдущего (см. выше) и отражал некоторые положения, выработанные комиссией Ворошилова. План исходил из оптимальных контрольных цифр и стабильного состава вооруженных сил на пятилетку. Но главным направле</w:t>
      </w:r>
      <w:r w:rsidRPr="00A259BD">
        <w:rPr>
          <w:rFonts w:ascii="Times New Roman" w:hAnsi="Times New Roman"/>
          <w:color w:val="000000" w:themeColor="text1"/>
          <w:sz w:val="16"/>
          <w:szCs w:val="16"/>
        </w:rPr>
        <w:softHyphen/>
        <w:t>нием теперь провозглашалась машинизация вооруженных сил, бо</w:t>
      </w:r>
      <w:r w:rsidRPr="00A259BD">
        <w:rPr>
          <w:rFonts w:ascii="Times New Roman" w:hAnsi="Times New Roman"/>
          <w:color w:val="000000" w:themeColor="text1"/>
          <w:sz w:val="16"/>
          <w:szCs w:val="16"/>
        </w:rPr>
        <w:softHyphen/>
        <w:t xml:space="preserve">лее известная в литературе как </w:t>
      </w:r>
      <w:r w:rsidRPr="00A259BD">
        <w:rPr>
          <w:rFonts w:ascii="Times New Roman" w:hAnsi="Times New Roman"/>
          <w:iCs/>
          <w:color w:val="000000" w:themeColor="text1"/>
          <w:sz w:val="16"/>
          <w:szCs w:val="16"/>
        </w:rPr>
        <w:t>моторизация РККА.</w:t>
      </w:r>
      <w:r w:rsidRPr="00A259BD">
        <w:rPr>
          <w:rFonts w:ascii="Times New Roman" w:hAnsi="Times New Roman"/>
          <w:color w:val="000000" w:themeColor="text1"/>
          <w:sz w:val="16"/>
          <w:szCs w:val="16"/>
        </w:rPr>
        <w:t xml:space="preserve"> Число танков предполагалось увеличить в 15 раз. Сильный военный уклон на</w:t>
      </w:r>
      <w:r w:rsidRPr="00A259BD">
        <w:rPr>
          <w:rFonts w:ascii="Times New Roman" w:hAnsi="Times New Roman"/>
          <w:color w:val="000000" w:themeColor="text1"/>
          <w:sz w:val="16"/>
          <w:szCs w:val="16"/>
        </w:rPr>
        <w:softHyphen/>
        <w:t>кладывался на топливную промышленность, прежде всего на до</w:t>
      </w:r>
      <w:r w:rsidRPr="00A259BD">
        <w:rPr>
          <w:rFonts w:ascii="Times New Roman" w:hAnsi="Times New Roman"/>
          <w:color w:val="000000" w:themeColor="text1"/>
          <w:sz w:val="16"/>
          <w:szCs w:val="16"/>
        </w:rPr>
        <w:softHyphen/>
        <w:t>бычу, переработку и доставку нефтепродуктов. Треть металлур</w:t>
      </w:r>
      <w:r w:rsidRPr="00A259BD">
        <w:rPr>
          <w:rFonts w:ascii="Times New Roman" w:hAnsi="Times New Roman"/>
          <w:color w:val="000000" w:themeColor="text1"/>
          <w:sz w:val="16"/>
          <w:szCs w:val="16"/>
        </w:rPr>
        <w:softHyphen/>
        <w:t>гической базы должна была быть переориентирована на нужды армии, причем значительно должны были возрасти мощности по высококачественной стали и ферросплавам. Отмечалось неудов</w:t>
      </w:r>
      <w:r w:rsidRPr="00A259BD">
        <w:rPr>
          <w:rFonts w:ascii="Times New Roman" w:hAnsi="Times New Roman"/>
          <w:color w:val="000000" w:themeColor="text1"/>
          <w:sz w:val="16"/>
          <w:szCs w:val="16"/>
        </w:rPr>
        <w:softHyphen/>
        <w:t>летворительное положение по цветным металлам и отсутствие новых разведанных месторождений, в связи с чем предлагалось двигаться с Урала в Казахстан. В одном из последующих доку</w:t>
      </w:r>
      <w:r w:rsidRPr="00A259BD">
        <w:rPr>
          <w:rFonts w:ascii="Times New Roman" w:hAnsi="Times New Roman"/>
          <w:color w:val="000000" w:themeColor="text1"/>
          <w:sz w:val="16"/>
          <w:szCs w:val="16"/>
        </w:rPr>
        <w:softHyphen/>
        <w:t>ментов предлагалось использовать для этой цели заключенных ГУЛАГа.</w:t>
      </w:r>
    </w:p>
    <w:p w14:paraId="5EF718F0" w14:textId="77777777" w:rsidR="00065B0A" w:rsidRPr="00A259BD" w:rsidRDefault="00065B0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докладе Госплана отмечалось, что, судя по темпам разви</w:t>
      </w:r>
      <w:r w:rsidRPr="00A259BD">
        <w:rPr>
          <w:rFonts w:ascii="Times New Roman" w:hAnsi="Times New Roman"/>
          <w:color w:val="000000" w:themeColor="text1"/>
          <w:sz w:val="16"/>
          <w:szCs w:val="16"/>
        </w:rPr>
        <w:softHyphen/>
        <w:t>тия машиностроения в пятилетке, даже оптимальным, освобо</w:t>
      </w:r>
      <w:r w:rsidRPr="00A259BD">
        <w:rPr>
          <w:rFonts w:ascii="Times New Roman" w:hAnsi="Times New Roman"/>
          <w:color w:val="000000" w:themeColor="text1"/>
          <w:sz w:val="16"/>
          <w:szCs w:val="16"/>
        </w:rPr>
        <w:softHyphen/>
        <w:t>диться от импортной зависимости в пятилетке не удастся. Кон</w:t>
      </w:r>
      <w:r w:rsidRPr="00A259BD">
        <w:rPr>
          <w:rFonts w:ascii="Times New Roman" w:hAnsi="Times New Roman"/>
          <w:color w:val="000000" w:themeColor="text1"/>
          <w:sz w:val="16"/>
          <w:szCs w:val="16"/>
        </w:rPr>
        <w:softHyphen/>
        <w:t>статировалось тяжелое положение с инструментальной базой, особенно с измерительным инструментом, что пятилетний план по обороне не увязан с тракторостроением, авиастроением, с программой развития тонкого и точного машиностроения. Гово</w:t>
      </w:r>
      <w:r w:rsidRPr="00A259BD">
        <w:rPr>
          <w:rFonts w:ascii="Times New Roman" w:hAnsi="Times New Roman"/>
          <w:color w:val="000000" w:themeColor="text1"/>
          <w:sz w:val="16"/>
          <w:szCs w:val="16"/>
        </w:rPr>
        <w:softHyphen/>
        <w:t>рилось о том, что в химическом производстве необходимо делать ставку на развитие основной химии: азотное, хлорное, серно-кис</w:t>
      </w:r>
      <w:r w:rsidRPr="00A259BD">
        <w:rPr>
          <w:rFonts w:ascii="Times New Roman" w:hAnsi="Times New Roman"/>
          <w:color w:val="000000" w:themeColor="text1"/>
          <w:sz w:val="16"/>
          <w:szCs w:val="16"/>
        </w:rPr>
        <w:softHyphen/>
        <w:t>лотное, аммиачное производство, искусственное волокно. Наме</w:t>
      </w:r>
      <w:r w:rsidRPr="00A259BD">
        <w:rPr>
          <w:rFonts w:ascii="Times New Roman" w:hAnsi="Times New Roman"/>
          <w:color w:val="000000" w:themeColor="text1"/>
          <w:sz w:val="16"/>
          <w:szCs w:val="16"/>
        </w:rPr>
        <w:softHyphen/>
        <w:t>ченные планом 16 фабрик - только начало. Базовым новшест</w:t>
      </w:r>
      <w:r w:rsidRPr="00A259BD">
        <w:rPr>
          <w:rFonts w:ascii="Times New Roman" w:hAnsi="Times New Roman"/>
          <w:color w:val="000000" w:themeColor="text1"/>
          <w:sz w:val="16"/>
          <w:szCs w:val="16"/>
        </w:rPr>
        <w:softHyphen/>
        <w:t xml:space="preserve">вом в документе была опора планирования </w:t>
      </w:r>
      <w:r w:rsidRPr="00A259BD">
        <w:rPr>
          <w:rFonts w:ascii="Times New Roman" w:hAnsi="Times New Roman"/>
          <w:iCs/>
          <w:color w:val="000000" w:themeColor="text1"/>
          <w:sz w:val="16"/>
          <w:szCs w:val="16"/>
        </w:rPr>
        <w:t>на сплошную коллек</w:t>
      </w:r>
      <w:r w:rsidRPr="00A259BD">
        <w:rPr>
          <w:rFonts w:ascii="Times New Roman" w:hAnsi="Times New Roman"/>
          <w:iCs/>
          <w:color w:val="000000" w:themeColor="text1"/>
          <w:sz w:val="16"/>
          <w:szCs w:val="16"/>
        </w:rPr>
        <w:softHyphen/>
        <w:t>тивизацию деревни.</w:t>
      </w:r>
      <w:r w:rsidRPr="00A259BD">
        <w:rPr>
          <w:rFonts w:ascii="Times New Roman" w:hAnsi="Times New Roman"/>
          <w:color w:val="000000" w:themeColor="text1"/>
          <w:sz w:val="16"/>
          <w:szCs w:val="16"/>
        </w:rPr>
        <w:t xml:space="preserve"> (Обратим внимание - еще до принятия ре</w:t>
      </w:r>
      <w:r w:rsidRPr="00A259BD">
        <w:rPr>
          <w:rFonts w:ascii="Times New Roman" w:hAnsi="Times New Roman"/>
          <w:color w:val="000000" w:themeColor="text1"/>
          <w:sz w:val="16"/>
          <w:szCs w:val="16"/>
        </w:rPr>
        <w:softHyphen/>
        <w:t>шения о массовой коллективизации).</w:t>
      </w:r>
    </w:p>
    <w:p w14:paraId="48848EB9" w14:textId="77777777" w:rsidR="00065B0A" w:rsidRPr="00A259BD" w:rsidRDefault="00065B0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мнению военного руководства, крупные производствен</w:t>
      </w:r>
      <w:r w:rsidRPr="00A259BD">
        <w:rPr>
          <w:rFonts w:ascii="Times New Roman" w:hAnsi="Times New Roman"/>
          <w:color w:val="000000" w:themeColor="text1"/>
          <w:sz w:val="16"/>
          <w:szCs w:val="16"/>
        </w:rPr>
        <w:softHyphen/>
        <w:t>ные единицы в сельском хозяйстве будут легче поддаваться пла</w:t>
      </w:r>
      <w:r w:rsidRPr="00A259BD">
        <w:rPr>
          <w:rFonts w:ascii="Times New Roman" w:hAnsi="Times New Roman"/>
          <w:color w:val="000000" w:themeColor="text1"/>
          <w:sz w:val="16"/>
          <w:szCs w:val="16"/>
        </w:rPr>
        <w:softHyphen/>
        <w:t>новому воздействию, чем многомиллионные массы распылен</w:t>
      </w:r>
      <w:r w:rsidRPr="00A259BD">
        <w:rPr>
          <w:rFonts w:ascii="Times New Roman" w:hAnsi="Times New Roman"/>
          <w:color w:val="000000" w:themeColor="text1"/>
          <w:sz w:val="16"/>
          <w:szCs w:val="16"/>
        </w:rPr>
        <w:softHyphen/>
        <w:t>ных крестьянских хозяйств. Более того, линия на создание выс</w:t>
      </w:r>
      <w:r w:rsidRPr="00A259BD">
        <w:rPr>
          <w:rFonts w:ascii="Times New Roman" w:hAnsi="Times New Roman"/>
          <w:color w:val="000000" w:themeColor="text1"/>
          <w:sz w:val="16"/>
          <w:szCs w:val="16"/>
        </w:rPr>
        <w:softHyphen/>
        <w:t>ших типов хозяйственных объединений усилит обороноспособ</w:t>
      </w:r>
      <w:r w:rsidRPr="00A259BD">
        <w:rPr>
          <w:rFonts w:ascii="Times New Roman" w:hAnsi="Times New Roman"/>
          <w:color w:val="000000" w:themeColor="text1"/>
          <w:sz w:val="16"/>
          <w:szCs w:val="16"/>
        </w:rPr>
        <w:softHyphen/>
        <w:t>ность страны, машинизация и химизация сельского хозяйства улучшат хозяйственный баланс, облегчат обеспечение кавале</w:t>
      </w:r>
      <w:r w:rsidRPr="00A259BD">
        <w:rPr>
          <w:rFonts w:ascii="Times New Roman" w:hAnsi="Times New Roman"/>
          <w:color w:val="000000" w:themeColor="text1"/>
          <w:sz w:val="16"/>
          <w:szCs w:val="16"/>
        </w:rPr>
        <w:softHyphen/>
        <w:t xml:space="preserve">рии. Удельный вес товарного зерна в колхозах составит 39%, что позволит обеспечить полную годовую потребность армии на случай войны, но для этого нужно втянуть в колхозы 85% крестьянских дворов. Мобилизационный фонд хлебного запаса должен составить 2 млн ц на 3 месяца войны и 12,5 млн ц на год ведения войны. Параллельно предлагалось развернуть создание </w:t>
      </w:r>
      <w:proofErr w:type="spellStart"/>
      <w:r w:rsidRPr="00A259BD">
        <w:rPr>
          <w:rFonts w:ascii="Times New Roman" w:hAnsi="Times New Roman"/>
          <w:color w:val="000000" w:themeColor="text1"/>
          <w:sz w:val="16"/>
          <w:szCs w:val="16"/>
        </w:rPr>
        <w:t>сельскозяйственных</w:t>
      </w:r>
      <w:proofErr w:type="spellEnd"/>
      <w:r w:rsidRPr="00A259BD">
        <w:rPr>
          <w:rFonts w:ascii="Times New Roman" w:hAnsi="Times New Roman"/>
          <w:color w:val="000000" w:themeColor="text1"/>
          <w:sz w:val="16"/>
          <w:szCs w:val="16"/>
        </w:rPr>
        <w:t xml:space="preserve"> предприятий для переработки продукции, обратить внимание на строительство хлебозаводов, столовых, фабрик-кухонь, что в настоящее время - положение неблаго</w:t>
      </w:r>
      <w:r w:rsidRPr="00A259BD">
        <w:rPr>
          <w:rFonts w:ascii="Times New Roman" w:hAnsi="Times New Roman"/>
          <w:color w:val="000000" w:themeColor="text1"/>
          <w:sz w:val="16"/>
          <w:szCs w:val="16"/>
        </w:rPr>
        <w:softHyphen/>
        <w:t>приятное: мало элеваторов, хлебопекарен, мельниц. Говори</w:t>
      </w:r>
      <w:r w:rsidRPr="00A259BD">
        <w:rPr>
          <w:rFonts w:ascii="Times New Roman" w:hAnsi="Times New Roman"/>
          <w:color w:val="000000" w:themeColor="text1"/>
          <w:sz w:val="16"/>
          <w:szCs w:val="16"/>
        </w:rPr>
        <w:softHyphen/>
        <w:t>лось о том, что нужно создать такие запасы продуктов, которые гарантировали бы от перебоев в мирное время и безболезнен</w:t>
      </w:r>
      <w:r w:rsidRPr="00A259BD">
        <w:rPr>
          <w:rFonts w:ascii="Times New Roman" w:hAnsi="Times New Roman"/>
          <w:color w:val="000000" w:themeColor="text1"/>
          <w:sz w:val="16"/>
          <w:szCs w:val="16"/>
        </w:rPr>
        <w:softHyphen/>
        <w:t>ный переход к войне, а из технических культур для армии наи</w:t>
      </w:r>
      <w:r w:rsidRPr="00A259BD">
        <w:rPr>
          <w:rFonts w:ascii="Times New Roman" w:hAnsi="Times New Roman"/>
          <w:color w:val="000000" w:themeColor="text1"/>
          <w:sz w:val="16"/>
          <w:szCs w:val="16"/>
        </w:rPr>
        <w:softHyphen/>
        <w:t>большее значение имеет хлопок. Если в 1927/28 г. 45,4% его шло на нужды армии, то в 1932/33 г. эту цифру предлагалось [152] довести до 73%. Указывалось, что коллективизация позволит изменить структуру посевов овса и сеянных трав для заготовки армейского фуража. Производство сельскохозяйственной продукции намечалось районировать в направлении Поволжья, Сибири, Казахстана.</w:t>
      </w:r>
    </w:p>
    <w:p w14:paraId="20641963" w14:textId="77777777" w:rsidR="00065B0A" w:rsidRPr="00A259BD" w:rsidRDefault="00065B0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Хотя планировался значительный сдвиг на Восток, диктуе</w:t>
      </w:r>
      <w:r w:rsidRPr="00A259BD">
        <w:rPr>
          <w:rFonts w:ascii="Times New Roman" w:hAnsi="Times New Roman"/>
          <w:color w:val="000000" w:themeColor="text1"/>
          <w:sz w:val="16"/>
          <w:szCs w:val="16"/>
        </w:rPr>
        <w:softHyphen/>
        <w:t>мый интересами обороны, но, видимо, говорилось в записке, наи</w:t>
      </w:r>
      <w:r w:rsidRPr="00A259BD">
        <w:rPr>
          <w:rFonts w:ascii="Times New Roman" w:hAnsi="Times New Roman"/>
          <w:color w:val="000000" w:themeColor="text1"/>
          <w:sz w:val="16"/>
          <w:szCs w:val="16"/>
        </w:rPr>
        <w:softHyphen/>
        <w:t>более решительный сдвиг следует отнести на следующую пяти</w:t>
      </w:r>
      <w:r w:rsidRPr="00A259BD">
        <w:rPr>
          <w:rFonts w:ascii="Times New Roman" w:hAnsi="Times New Roman"/>
          <w:color w:val="000000" w:themeColor="text1"/>
          <w:sz w:val="16"/>
          <w:szCs w:val="16"/>
        </w:rPr>
        <w:softHyphen/>
        <w:t>летку. Пока еще состояние промышленности и транспорта не по</w:t>
      </w:r>
      <w:r w:rsidRPr="00A259BD">
        <w:rPr>
          <w:rFonts w:ascii="Times New Roman" w:hAnsi="Times New Roman"/>
          <w:color w:val="000000" w:themeColor="text1"/>
          <w:sz w:val="16"/>
          <w:szCs w:val="16"/>
        </w:rPr>
        <w:softHyphen/>
        <w:t>зволяет произвести его в широких масштабах. Ставилась задача добиться выполнения оптимальных заданий по железнодорожно</w:t>
      </w:r>
      <w:r w:rsidRPr="00A259BD">
        <w:rPr>
          <w:rFonts w:ascii="Times New Roman" w:hAnsi="Times New Roman"/>
          <w:color w:val="000000" w:themeColor="text1"/>
          <w:sz w:val="16"/>
          <w:szCs w:val="16"/>
        </w:rPr>
        <w:softHyphen/>
        <w:t xml:space="preserve">му транспорту, намечалось построить железнодорожное кольцо вокруг Москвы, а строительство </w:t>
      </w:r>
      <w:proofErr w:type="spellStart"/>
      <w:r w:rsidRPr="00A259BD">
        <w:rPr>
          <w:rFonts w:ascii="Times New Roman" w:hAnsi="Times New Roman"/>
          <w:color w:val="000000" w:themeColor="text1"/>
          <w:sz w:val="16"/>
          <w:szCs w:val="16"/>
        </w:rPr>
        <w:t>Турксиба</w:t>
      </w:r>
      <w:proofErr w:type="spellEnd"/>
      <w:r w:rsidRPr="00A259BD">
        <w:rPr>
          <w:rFonts w:ascii="Times New Roman" w:hAnsi="Times New Roman"/>
          <w:color w:val="000000" w:themeColor="text1"/>
          <w:sz w:val="16"/>
          <w:szCs w:val="16"/>
        </w:rPr>
        <w:t xml:space="preserve"> связать с созданием хлопковой базы для армии. Констатировалось, что положение на водном транспорте хуже, чем в 1913 г., что перспективы автомо</w:t>
      </w:r>
      <w:r w:rsidRPr="00A259BD">
        <w:rPr>
          <w:rFonts w:ascii="Times New Roman" w:hAnsi="Times New Roman"/>
          <w:color w:val="000000" w:themeColor="text1"/>
          <w:sz w:val="16"/>
          <w:szCs w:val="16"/>
        </w:rPr>
        <w:softHyphen/>
        <w:t>билизации армии в пятилетке - неудовлетворительные, не обес</w:t>
      </w:r>
      <w:r w:rsidRPr="00A259BD">
        <w:rPr>
          <w:rFonts w:ascii="Times New Roman" w:hAnsi="Times New Roman"/>
          <w:color w:val="000000" w:themeColor="text1"/>
          <w:sz w:val="16"/>
          <w:szCs w:val="16"/>
        </w:rPr>
        <w:softHyphen/>
        <w:t>печивают маневренности войск, не учитывают возможности воз</w:t>
      </w:r>
      <w:r w:rsidRPr="00A259BD">
        <w:rPr>
          <w:rFonts w:ascii="Times New Roman" w:hAnsi="Times New Roman"/>
          <w:color w:val="000000" w:themeColor="text1"/>
          <w:sz w:val="16"/>
          <w:szCs w:val="16"/>
        </w:rPr>
        <w:softHyphen/>
        <w:t>душных сообщений и развития гражданской авиации (17200).</w:t>
      </w:r>
    </w:p>
    <w:p w14:paraId="3B2EBE10" w14:textId="77777777" w:rsidR="00065B0A" w:rsidRPr="00A259BD" w:rsidRDefault="00065B0A" w:rsidP="009236E3">
      <w:pPr>
        <w:spacing w:after="0" w:line="240" w:lineRule="auto"/>
        <w:jc w:val="both"/>
        <w:rPr>
          <w:rFonts w:ascii="Times New Roman" w:hAnsi="Times New Roman"/>
          <w:color w:val="000000" w:themeColor="text1"/>
          <w:sz w:val="16"/>
          <w:szCs w:val="16"/>
        </w:rPr>
      </w:pPr>
    </w:p>
    <w:p w14:paraId="6699D645" w14:textId="77777777" w:rsidR="00825262" w:rsidRPr="00A259BD" w:rsidRDefault="00825262" w:rsidP="009236E3">
      <w:pPr>
        <w:autoSpaceDE w:val="0"/>
        <w:autoSpaceDN w:val="0"/>
        <w:adjustRightInd w:val="0"/>
        <w:spacing w:after="0" w:line="240" w:lineRule="auto"/>
        <w:jc w:val="both"/>
        <w:rPr>
          <w:rFonts w:ascii="Times New Roman" w:hAnsi="Times New Roman"/>
          <w:iCs/>
          <w:color w:val="000000" w:themeColor="text1"/>
          <w:sz w:val="16"/>
          <w:szCs w:val="16"/>
        </w:rPr>
      </w:pPr>
      <w:bookmarkStart w:id="18" w:name="_Hlk91319098"/>
      <w:r w:rsidRPr="00A259BD">
        <w:rPr>
          <w:rFonts w:ascii="Times New Roman" w:hAnsi="Times New Roman"/>
          <w:i/>
          <w:iCs/>
          <w:color w:val="000000" w:themeColor="text1"/>
          <w:sz w:val="16"/>
          <w:szCs w:val="16"/>
        </w:rPr>
        <w:t>Армия:</w:t>
      </w:r>
    </w:p>
    <w:p w14:paraId="36BDF31A" w14:textId="77777777" w:rsidR="00825262" w:rsidRPr="00A259BD" w:rsidRDefault="0082526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0E434A9" w14:textId="77777777" w:rsidR="00825262" w:rsidRPr="00A259BD" w:rsidRDefault="0082526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К весне 1929 г. в результате мероприятий, предпринятых Штабом РККА по указанию правительства, "по сравнению с вариантом 5-зе 1926 года общая численность РККА военного времени по </w:t>
      </w:r>
      <w:proofErr w:type="spellStart"/>
      <w:r w:rsidRPr="00A259BD">
        <w:rPr>
          <w:rFonts w:ascii="Times New Roman" w:eastAsia="Times New Roman" w:hAnsi="Times New Roman"/>
          <w:color w:val="000000" w:themeColor="text1"/>
          <w:sz w:val="16"/>
          <w:szCs w:val="16"/>
          <w:lang w:eastAsia="ru-RU"/>
        </w:rPr>
        <w:t>мобрасписанию</w:t>
      </w:r>
      <w:proofErr w:type="spellEnd"/>
      <w:r w:rsidRPr="00A259BD">
        <w:rPr>
          <w:rFonts w:ascii="Times New Roman" w:eastAsia="Times New Roman" w:hAnsi="Times New Roman"/>
          <w:color w:val="000000" w:themeColor="text1"/>
          <w:sz w:val="16"/>
          <w:szCs w:val="16"/>
          <w:lang w:eastAsia="ru-RU"/>
        </w:rPr>
        <w:t xml:space="preserve"> № 8 сократилась: в отношении людей с 3 313 440 до 2 963 328 человек, т. е. на 11%... Тыловые учреждения и заведения сокращены в общем в людях на 40%" (Доклад Заместителя Начальника Штаба РККА </w:t>
      </w:r>
      <w:proofErr w:type="spellStart"/>
      <w:r w:rsidRPr="00A259BD">
        <w:rPr>
          <w:rFonts w:ascii="Times New Roman" w:eastAsia="Times New Roman" w:hAnsi="Times New Roman"/>
          <w:color w:val="000000" w:themeColor="text1"/>
          <w:sz w:val="16"/>
          <w:szCs w:val="16"/>
          <w:lang w:eastAsia="ru-RU"/>
        </w:rPr>
        <w:t>Триандафиллова</w:t>
      </w:r>
      <w:proofErr w:type="spellEnd"/>
      <w:r w:rsidRPr="00A259BD">
        <w:rPr>
          <w:rFonts w:ascii="Times New Roman" w:eastAsia="Times New Roman" w:hAnsi="Times New Roman"/>
          <w:color w:val="000000" w:themeColor="text1"/>
          <w:sz w:val="16"/>
          <w:szCs w:val="16"/>
          <w:lang w:eastAsia="ru-RU"/>
        </w:rPr>
        <w:t xml:space="preserve"> Председателю РВС СССР "О состоянии проработки и материального обеспечения </w:t>
      </w:r>
      <w:proofErr w:type="spellStart"/>
      <w:r w:rsidRPr="00A259BD">
        <w:rPr>
          <w:rFonts w:ascii="Times New Roman" w:eastAsia="Times New Roman" w:hAnsi="Times New Roman"/>
          <w:color w:val="000000" w:themeColor="text1"/>
          <w:sz w:val="16"/>
          <w:szCs w:val="16"/>
          <w:lang w:eastAsia="ru-RU"/>
        </w:rPr>
        <w:t>мобрасписания</w:t>
      </w:r>
      <w:proofErr w:type="spellEnd"/>
      <w:r w:rsidRPr="00A259BD">
        <w:rPr>
          <w:rFonts w:ascii="Times New Roman" w:eastAsia="Times New Roman" w:hAnsi="Times New Roman"/>
          <w:color w:val="000000" w:themeColor="text1"/>
          <w:sz w:val="16"/>
          <w:szCs w:val="16"/>
          <w:lang w:eastAsia="ru-RU"/>
        </w:rPr>
        <w:t xml:space="preserve"> № 8", 4.02.1929 // РГВА. Ф. 4. On. 1. Д. 929- Л. 1). Успешный эксперимент 1927-1929 гг. по сокращению численности РККА военного времени на 350 тыс. человек без ослабления боевого состава мог подвигнуть политическое руководство на его продолжение, тем более что не претерпело серьезного изменения и важнейшее обстоятельство, наряду с бюджетными ограничениями сильно влиявшее на параметры мобилизуемой армии, - неразвитость сети железнодорожного транспорта и сто изношенность ("В ходе работы над мобилизационным планом 1928 г. выяснилось, что мощность железнодорожного транспорта не позволяет произвести перевозки в объеме, предусмотренном планом "5зс". В результате численность армии, развертываемой по мобилизационному </w:t>
      </w:r>
      <w:proofErr w:type="spellStart"/>
      <w:r w:rsidRPr="00A259BD">
        <w:rPr>
          <w:rFonts w:ascii="Times New Roman" w:eastAsia="Times New Roman" w:hAnsi="Times New Roman"/>
          <w:color w:val="000000" w:themeColor="text1"/>
          <w:sz w:val="16"/>
          <w:szCs w:val="16"/>
          <w:lang w:eastAsia="ru-RU"/>
        </w:rPr>
        <w:t>планy</w:t>
      </w:r>
      <w:proofErr w:type="spellEnd"/>
      <w:r w:rsidRPr="00A259BD">
        <w:rPr>
          <w:rFonts w:ascii="Times New Roman" w:eastAsia="Times New Roman" w:hAnsi="Times New Roman"/>
          <w:color w:val="000000" w:themeColor="text1"/>
          <w:sz w:val="16"/>
          <w:szCs w:val="16"/>
          <w:lang w:eastAsia="ru-RU"/>
        </w:rPr>
        <w:t xml:space="preserve"> 1928 г. (мобилизационный план № 8), была сокращена с 3 313 440 человек, предусмотренных планом "5зе", до 2 900 000 человек" (МЕЛИЯ А. А Мобилизационная </w:t>
      </w:r>
      <w:proofErr w:type="spellStart"/>
      <w:r w:rsidRPr="00A259BD">
        <w:rPr>
          <w:rFonts w:ascii="Times New Roman" w:eastAsia="Times New Roman" w:hAnsi="Times New Roman"/>
          <w:color w:val="000000" w:themeColor="text1"/>
          <w:sz w:val="16"/>
          <w:szCs w:val="16"/>
          <w:lang w:eastAsia="ru-RU"/>
        </w:rPr>
        <w:t>подготока</w:t>
      </w:r>
      <w:proofErr w:type="spellEnd"/>
      <w:r w:rsidRPr="00A259BD">
        <w:rPr>
          <w:rFonts w:ascii="Times New Roman" w:eastAsia="Times New Roman" w:hAnsi="Times New Roman"/>
          <w:color w:val="000000" w:themeColor="text1"/>
          <w:sz w:val="16"/>
          <w:szCs w:val="16"/>
          <w:lang w:eastAsia="ru-RU"/>
        </w:rPr>
        <w:t xml:space="preserve"> народного хозяйства СССР. М., 2004. С. 142).) (22725).</w:t>
      </w:r>
    </w:p>
    <w:p w14:paraId="0DC51EB9" w14:textId="77777777" w:rsidR="00825262" w:rsidRPr="00A259BD" w:rsidRDefault="00825262" w:rsidP="009236E3">
      <w:pPr>
        <w:spacing w:after="0" w:line="240" w:lineRule="auto"/>
        <w:jc w:val="both"/>
        <w:rPr>
          <w:rFonts w:ascii="Times New Roman" w:hAnsi="Times New Roman"/>
          <w:color w:val="000000" w:themeColor="text1"/>
          <w:sz w:val="16"/>
          <w:szCs w:val="16"/>
        </w:rPr>
      </w:pPr>
    </w:p>
    <w:bookmarkEnd w:id="18"/>
    <w:p w14:paraId="0B3E3027" w14:textId="77777777" w:rsidR="003122B8" w:rsidRPr="00A259BD" w:rsidRDefault="003122B8"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lastRenderedPageBreak/>
        <w:t>Жизнь и внутренняя политика:</w:t>
      </w:r>
    </w:p>
    <w:p w14:paraId="6BC9EE74" w14:textId="77777777" w:rsidR="003122B8" w:rsidRPr="00A259BD" w:rsidRDefault="003122B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CCDD160" w14:textId="77777777" w:rsidR="003122B8" w:rsidRPr="00A259BD" w:rsidRDefault="003122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весне 1929 г. проработка пятилетнего плана близилась к завершению. За основу принимались оптимальные контрольные цифры. Однако военные по-прежнему настаивали, что вопросы обороны в пятилетнем плане так и не решены окончательно. Сторонники военизации пятилетки призывали снова скорректировать хозяйственную политику. Зам. наркома НКВМ </w:t>
      </w:r>
      <w:proofErr w:type="spellStart"/>
      <w:r w:rsidRPr="00A259BD">
        <w:rPr>
          <w:rFonts w:ascii="Times New Roman" w:hAnsi="Times New Roman"/>
          <w:color w:val="000000" w:themeColor="text1"/>
          <w:sz w:val="16"/>
          <w:szCs w:val="16"/>
        </w:rPr>
        <w:t>Уншлихт</w:t>
      </w:r>
      <w:proofErr w:type="spellEnd"/>
      <w:r w:rsidRPr="00A259BD">
        <w:rPr>
          <w:rFonts w:ascii="Times New Roman" w:hAnsi="Times New Roman"/>
          <w:color w:val="000000" w:themeColor="text1"/>
          <w:sz w:val="16"/>
          <w:szCs w:val="16"/>
        </w:rPr>
        <w:t xml:space="preserve"> настойчиво рекомендует пересмотреть в сторону увеличения те показатели, которые имеют решающее для обороны значение. В апреле 1929 г. в Президиуме Госплана опять вспыхнула дискуссия по поводу ассигнований на военные нужды между представителями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ОГПУ, РКИ, с одной стороны, ВСНХ и наркоматов - с другой. Прежние варианты </w:t>
      </w:r>
      <w:proofErr w:type="spellStart"/>
      <w:r w:rsidRPr="00A259BD">
        <w:rPr>
          <w:rFonts w:ascii="Times New Roman" w:hAnsi="Times New Roman"/>
          <w:color w:val="000000" w:themeColor="text1"/>
          <w:sz w:val="16"/>
          <w:szCs w:val="16"/>
        </w:rPr>
        <w:t>мобпланов</w:t>
      </w:r>
      <w:proofErr w:type="spellEnd"/>
      <w:r w:rsidRPr="00A259BD">
        <w:rPr>
          <w:rFonts w:ascii="Times New Roman" w:hAnsi="Times New Roman"/>
          <w:color w:val="000000" w:themeColor="text1"/>
          <w:sz w:val="16"/>
          <w:szCs w:val="16"/>
        </w:rPr>
        <w:t xml:space="preserve"> рассматривались теперь как механическая сводка </w:t>
      </w:r>
      <w:proofErr w:type="spellStart"/>
      <w:r w:rsidRPr="00A259BD">
        <w:rPr>
          <w:rFonts w:ascii="Times New Roman" w:hAnsi="Times New Roman"/>
          <w:color w:val="000000" w:themeColor="text1"/>
          <w:sz w:val="16"/>
          <w:szCs w:val="16"/>
        </w:rPr>
        <w:t>мобпланов</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мобзаданий</w:t>
      </w:r>
      <w:proofErr w:type="spellEnd"/>
      <w:r w:rsidRPr="00A259BD">
        <w:rPr>
          <w:rFonts w:ascii="Times New Roman" w:hAnsi="Times New Roman"/>
          <w:color w:val="000000" w:themeColor="text1"/>
          <w:sz w:val="16"/>
          <w:szCs w:val="16"/>
        </w:rPr>
        <w:t xml:space="preserve"> трестов и предприятий, сведенная МПУ ВСНХ. В свете новых задач </w:t>
      </w:r>
      <w:proofErr w:type="spellStart"/>
      <w:r w:rsidRPr="00A259BD">
        <w:rPr>
          <w:rFonts w:ascii="Times New Roman" w:hAnsi="Times New Roman"/>
          <w:color w:val="000000" w:themeColor="text1"/>
          <w:sz w:val="16"/>
          <w:szCs w:val="16"/>
        </w:rPr>
        <w:t>мобпланирования</w:t>
      </w:r>
      <w:proofErr w:type="spellEnd"/>
      <w:r w:rsidRPr="00A259BD">
        <w:rPr>
          <w:rFonts w:ascii="Times New Roman" w:hAnsi="Times New Roman"/>
          <w:color w:val="000000" w:themeColor="text1"/>
          <w:sz w:val="16"/>
          <w:szCs w:val="16"/>
        </w:rPr>
        <w:t xml:space="preserve"> их рассматривали теперь как “клочки бумаги” (18393).</w:t>
      </w:r>
    </w:p>
    <w:p w14:paraId="3EE625D1" w14:textId="77777777" w:rsidR="003122B8" w:rsidRPr="00A259BD" w:rsidRDefault="003122B8" w:rsidP="009236E3">
      <w:pPr>
        <w:spacing w:after="0" w:line="240" w:lineRule="auto"/>
        <w:jc w:val="both"/>
        <w:rPr>
          <w:rFonts w:ascii="Times New Roman" w:hAnsi="Times New Roman"/>
          <w:color w:val="000000" w:themeColor="text1"/>
          <w:sz w:val="16"/>
          <w:szCs w:val="16"/>
        </w:rPr>
      </w:pPr>
    </w:p>
    <w:p w14:paraId="1E45A9E1" w14:textId="77777777" w:rsidR="003122B8" w:rsidRPr="00A259BD" w:rsidRDefault="003122B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весне 1929 года карточки были введены повсеместно. Распределительная система спровоцировала появление феномена блата. Норма блата продолжала существовать в сфере питания и после отмены карточек в 1935 году, и в условиях карточной системы 1941–1947 годов, и после войны (19804).</w:t>
      </w:r>
    </w:p>
    <w:p w14:paraId="7192E63E" w14:textId="77777777" w:rsidR="003122B8" w:rsidRPr="00A259BD" w:rsidRDefault="003122B8" w:rsidP="009236E3">
      <w:pPr>
        <w:spacing w:after="0" w:line="240" w:lineRule="auto"/>
        <w:jc w:val="both"/>
        <w:rPr>
          <w:rFonts w:ascii="Times New Roman" w:hAnsi="Times New Roman"/>
          <w:color w:val="000000" w:themeColor="text1"/>
          <w:sz w:val="16"/>
          <w:szCs w:val="16"/>
        </w:rPr>
      </w:pPr>
    </w:p>
    <w:p w14:paraId="2B97B9A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6B93EE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AF60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марта 1929 с завода вышел опытный образец Р-2 БМВ-6 и до декабря 1929 был на войсковых испытаниях - главное штопор при различных формах оперения (1028,84).</w:t>
      </w:r>
    </w:p>
    <w:p w14:paraId="520DC3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07B2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марта 1929 г. состоялось новое заседа</w:t>
      </w:r>
      <w:r w:rsidRPr="00A259BD">
        <w:rPr>
          <w:rFonts w:ascii="Times New Roman" w:hAnsi="Times New Roman"/>
          <w:color w:val="000000" w:themeColor="text1"/>
          <w:sz w:val="16"/>
          <w:szCs w:val="16"/>
        </w:rPr>
        <w:softHyphen/>
        <w:t>ние макетной комиссии, утвердившее предложенный вариант компоновки вооружения и оборудования И-6 (10667).</w:t>
      </w:r>
    </w:p>
    <w:p w14:paraId="434A8E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5572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марта 1929 состоялось совещание ответственных работников ВВС в т.ч. по вопроса материального обеспечения. Были </w:t>
      </w:r>
      <w:proofErr w:type="spellStart"/>
      <w:r w:rsidRPr="00A259BD">
        <w:rPr>
          <w:rFonts w:ascii="Times New Roman" w:hAnsi="Times New Roman"/>
          <w:color w:val="000000" w:themeColor="text1"/>
          <w:sz w:val="16"/>
          <w:szCs w:val="16"/>
        </w:rPr>
        <w:t>С.А.Чаплыгин</w:t>
      </w:r>
      <w:proofErr w:type="spellEnd"/>
      <w:r w:rsidRPr="00A259BD">
        <w:rPr>
          <w:rFonts w:ascii="Times New Roman" w:hAnsi="Times New Roman"/>
          <w:color w:val="000000" w:themeColor="text1"/>
          <w:sz w:val="16"/>
          <w:szCs w:val="16"/>
        </w:rPr>
        <w:t xml:space="preserve"> от ЦАГИ и С.В.И. и А.Н.Т. как постоянные члены НТК (1027,22).</w:t>
      </w:r>
    </w:p>
    <w:p w14:paraId="4F2196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8B6B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марта 1929 года секретарь Авиационной секции ЦК Союза ОСОАВИАХИМа </w:t>
      </w:r>
      <w:proofErr w:type="spellStart"/>
      <w:r w:rsidRPr="00A259BD">
        <w:rPr>
          <w:rFonts w:ascii="Times New Roman" w:hAnsi="Times New Roman"/>
          <w:color w:val="000000" w:themeColor="text1"/>
          <w:sz w:val="16"/>
          <w:szCs w:val="16"/>
        </w:rPr>
        <w:t>А.Е.Жардинье</w:t>
      </w:r>
      <w:proofErr w:type="spellEnd"/>
      <w:r w:rsidRPr="00A259BD">
        <w:rPr>
          <w:rFonts w:ascii="Times New Roman" w:hAnsi="Times New Roman"/>
          <w:color w:val="000000" w:themeColor="text1"/>
          <w:sz w:val="16"/>
          <w:szCs w:val="16"/>
        </w:rPr>
        <w:t xml:space="preserve"> письмом сообщил Камову, что секция направляет ему механика </w:t>
      </w:r>
      <w:proofErr w:type="spellStart"/>
      <w:r w:rsidRPr="00A259BD">
        <w:rPr>
          <w:rFonts w:ascii="Times New Roman" w:hAnsi="Times New Roman"/>
          <w:color w:val="000000" w:themeColor="text1"/>
          <w:sz w:val="16"/>
          <w:szCs w:val="16"/>
        </w:rPr>
        <w:t>Крейдлина</w:t>
      </w:r>
      <w:proofErr w:type="spellEnd"/>
      <w:r w:rsidRPr="00A259BD">
        <w:rPr>
          <w:rFonts w:ascii="Times New Roman" w:hAnsi="Times New Roman"/>
          <w:color w:val="000000" w:themeColor="text1"/>
          <w:sz w:val="16"/>
          <w:szCs w:val="16"/>
        </w:rPr>
        <w:t>, “который изъявил согласие работать в общественном поряд</w:t>
      </w:r>
      <w:r w:rsidRPr="00A259BD">
        <w:rPr>
          <w:rFonts w:ascii="Times New Roman" w:hAnsi="Times New Roman"/>
          <w:color w:val="000000" w:themeColor="text1"/>
          <w:sz w:val="16"/>
          <w:szCs w:val="16"/>
        </w:rPr>
        <w:softHyphen/>
        <w:t>ке на авиационном поприще” (10224,23).</w:t>
      </w:r>
    </w:p>
    <w:p w14:paraId="3D94EE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96A4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марта 1929 года на Кузьминском полигоне в Москве были выполнены авиационные ипритные атаки на землю. Было предусмотрено заразить участок полигона с помощью приборов ВАП-2 с высоты 30-200 метров. Самолет взлетел с аэродрома в Ухтомской и вернулся туда же. Подвеска и снятие на аэродроме приборов ВАП-2, снаряженных ипритом, а также выполнение самого полета производились без средств защиты персонала. В тот день над полигоном было распылено 200 кг иприта. При этом правый прибор вскрылся плохо и самолет оказался забрызганным каплями иприта. Кстати, во время маневров над целью сам самолет прошел через собственное облако иприта (9065).</w:t>
      </w:r>
    </w:p>
    <w:p w14:paraId="4F3CD0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071196" w14:textId="77777777" w:rsidR="00DA7BDB" w:rsidRPr="00A259BD" w:rsidRDefault="00DA7BDB"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bCs/>
          <w:iCs/>
          <w:color w:val="000000" w:themeColor="text1"/>
          <w:sz w:val="16"/>
          <w:szCs w:val="16"/>
        </w:rPr>
        <w:t>1 марта 1929 г.</w:t>
      </w:r>
      <w:r w:rsidRPr="00A259BD">
        <w:rPr>
          <w:rFonts w:ascii="Times New Roman" w:hAnsi="Times New Roman"/>
          <w:color w:val="000000" w:themeColor="text1"/>
          <w:sz w:val="16"/>
          <w:szCs w:val="16"/>
        </w:rPr>
        <w:t xml:space="preserve"> Опыт по заражению ипритом участка на полигоне в Кузьминках (Москва) с самолета из прибора ВАП-2 с высоты 30-200 метров. Самолет взлетел с аэродрома в Ухтомском и вернулся туда же. Распылено 200 кг иприта. Правый прибор вскрылся плохо и самолет был забрызган каплями иприта. Во время полета над целью самолет прошел через облако иприта (17133).</w:t>
      </w:r>
    </w:p>
    <w:p w14:paraId="093A9989" w14:textId="77777777" w:rsidR="00DA7BDB" w:rsidRPr="00A259BD" w:rsidRDefault="00DA7BDB" w:rsidP="009236E3">
      <w:pPr>
        <w:shd w:val="clear" w:color="auto" w:fill="FFFFFF"/>
        <w:spacing w:after="0" w:line="240" w:lineRule="auto"/>
        <w:jc w:val="both"/>
        <w:rPr>
          <w:rFonts w:ascii="Times New Roman" w:hAnsi="Times New Roman"/>
          <w:color w:val="000000" w:themeColor="text1"/>
          <w:sz w:val="16"/>
          <w:szCs w:val="16"/>
        </w:rPr>
      </w:pPr>
    </w:p>
    <w:p w14:paraId="2820E1E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088340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4412F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марта 1929 года гл. инспектор ГВФ В.А. </w:t>
      </w:r>
      <w:proofErr w:type="spellStart"/>
      <w:r w:rsidRPr="00A259BD">
        <w:rPr>
          <w:rFonts w:ascii="Times New Roman" w:hAnsi="Times New Roman"/>
          <w:color w:val="000000" w:themeColor="text1"/>
          <w:sz w:val="16"/>
          <w:szCs w:val="16"/>
        </w:rPr>
        <w:t>Зарзар</w:t>
      </w:r>
      <w:proofErr w:type="spellEnd"/>
      <w:r w:rsidRPr="00A259BD">
        <w:rPr>
          <w:rFonts w:ascii="Times New Roman" w:hAnsi="Times New Roman"/>
          <w:color w:val="000000" w:themeColor="text1"/>
          <w:sz w:val="16"/>
          <w:szCs w:val="16"/>
        </w:rPr>
        <w:t xml:space="preserve"> писал письмо № И/132 командиру авиаотряда особого назначения Шестакову, начальнику аэронавигационного отдела НИИ Стерлигову, авиамеханику авиаотряда особого назначения </w:t>
      </w:r>
      <w:proofErr w:type="spellStart"/>
      <w:r w:rsidRPr="00A259BD">
        <w:rPr>
          <w:rFonts w:ascii="Times New Roman" w:hAnsi="Times New Roman"/>
          <w:color w:val="000000" w:themeColor="text1"/>
          <w:sz w:val="16"/>
          <w:szCs w:val="16"/>
        </w:rPr>
        <w:t>Фуфаеву</w:t>
      </w:r>
      <w:proofErr w:type="spellEnd"/>
    </w:p>
    <w:p w14:paraId="63C974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приказанию начальника ВВС Баранова П.И. сообщаю Вам, что вы назначаетесь в экипаж самолета АНТ-4, которому надлежит летом текущего года произвести перелет Москва-Дальний Восток-Сан-Франциско-Нью-Йорк по маршруту, определенному Комиссией Президиума Союза Осоавиахима по организации перелетов 1929 года.</w:t>
      </w:r>
    </w:p>
    <w:p w14:paraId="428E36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получением сего Вам надлежит поступить в распоряжение председателя НТК УВВС Дубенского П.С. для участия в технической подготовке перелета.</w:t>
      </w:r>
    </w:p>
    <w:p w14:paraId="64C2B1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1C16B2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Командиром самолета назначается Шестаков. </w:t>
      </w:r>
      <w:proofErr w:type="spellStart"/>
      <w:r w:rsidRPr="00A259BD">
        <w:rPr>
          <w:rFonts w:ascii="Times New Roman" w:hAnsi="Times New Roman"/>
          <w:color w:val="000000" w:themeColor="text1"/>
          <w:sz w:val="16"/>
          <w:szCs w:val="16"/>
        </w:rPr>
        <w:t>Аэронавигатором</w:t>
      </w:r>
      <w:proofErr w:type="spellEnd"/>
      <w:r w:rsidRPr="00A259BD">
        <w:rPr>
          <w:rFonts w:ascii="Times New Roman" w:hAnsi="Times New Roman"/>
          <w:color w:val="000000" w:themeColor="text1"/>
          <w:sz w:val="16"/>
          <w:szCs w:val="16"/>
        </w:rPr>
        <w:t xml:space="preserve"> Стерлигов. Механиком самолета – </w:t>
      </w:r>
      <w:proofErr w:type="spellStart"/>
      <w:r w:rsidRPr="00A259BD">
        <w:rPr>
          <w:rFonts w:ascii="Times New Roman" w:hAnsi="Times New Roman"/>
          <w:color w:val="000000" w:themeColor="text1"/>
          <w:sz w:val="16"/>
          <w:szCs w:val="16"/>
        </w:rPr>
        <w:t>Фуфаев</w:t>
      </w:r>
      <w:proofErr w:type="spellEnd"/>
      <w:r w:rsidRPr="00A259BD">
        <w:rPr>
          <w:rFonts w:ascii="Times New Roman" w:hAnsi="Times New Roman"/>
          <w:color w:val="000000" w:themeColor="text1"/>
          <w:sz w:val="16"/>
          <w:szCs w:val="16"/>
        </w:rPr>
        <w:t xml:space="preserve"> (7769, 2).</w:t>
      </w:r>
    </w:p>
    <w:p w14:paraId="2DD81D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EDBC55" w14:textId="77777777" w:rsidR="00860234"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795EEBA2" w14:textId="77777777" w:rsidR="00860234" w:rsidRPr="00A259BD" w:rsidRDefault="0086023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828F20" w14:textId="77777777" w:rsidR="00860234" w:rsidRPr="00A259BD" w:rsidRDefault="00860234" w:rsidP="009236E3">
      <w:pPr>
        <w:pStyle w:val="ae"/>
        <w:spacing w:before="0" w:after="0"/>
        <w:jc w:val="both"/>
        <w:rPr>
          <w:bCs/>
          <w:color w:val="000000" w:themeColor="text1"/>
          <w:sz w:val="16"/>
          <w:szCs w:val="16"/>
        </w:rPr>
      </w:pPr>
      <w:r w:rsidRPr="00A259BD">
        <w:rPr>
          <w:bCs/>
          <w:color w:val="000000" w:themeColor="text1"/>
          <w:sz w:val="16"/>
          <w:szCs w:val="16"/>
        </w:rPr>
        <w:t>2 – 8 марта 1929 состоялся съезд руководящего состава ВВС РККА, который наметил планы строительства авиации и задачи боевой подготовки войск (17150).</w:t>
      </w:r>
    </w:p>
    <w:p w14:paraId="30B9A068" w14:textId="77777777" w:rsidR="00860234" w:rsidRPr="00A259BD" w:rsidRDefault="00860234" w:rsidP="009236E3">
      <w:pPr>
        <w:pStyle w:val="ae"/>
        <w:spacing w:before="0" w:after="0"/>
        <w:jc w:val="both"/>
        <w:rPr>
          <w:bCs/>
          <w:color w:val="000000" w:themeColor="text1"/>
          <w:sz w:val="16"/>
          <w:szCs w:val="16"/>
        </w:rPr>
      </w:pPr>
    </w:p>
    <w:p w14:paraId="50BFBF2B" w14:textId="77777777" w:rsidR="00F70746" w:rsidRPr="00A259BD" w:rsidRDefault="00F70746"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715A53E" w14:textId="77777777" w:rsidR="00F70746" w:rsidRPr="00A259BD" w:rsidRDefault="00F7074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3ADE5CC"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марта 1929 найден безопасный маршрут через Анды между Буэнос-Айресом, Аргентина и Сантьяго, Чили, чтобы избежать 1000-километрового (621-мильного) объезда, который позволял избегать гор. </w:t>
      </w:r>
      <w:proofErr w:type="spellStart"/>
      <w:r w:rsidRPr="00A259BD">
        <w:rPr>
          <w:rFonts w:ascii="Times New Roman" w:hAnsi="Times New Roman"/>
          <w:color w:val="000000" w:themeColor="text1"/>
          <w:sz w:val="16"/>
          <w:szCs w:val="16"/>
        </w:rPr>
        <w:t>Latécoère</w:t>
      </w:r>
      <w:proofErr w:type="spellEnd"/>
      <w:r w:rsidRPr="00A259BD">
        <w:rPr>
          <w:rFonts w:ascii="Times New Roman" w:hAnsi="Times New Roman"/>
          <w:color w:val="000000" w:themeColor="text1"/>
          <w:sz w:val="16"/>
          <w:szCs w:val="16"/>
        </w:rPr>
        <w:t xml:space="preserve"> 25, пилотируемый Жаном </w:t>
      </w:r>
      <w:proofErr w:type="spellStart"/>
      <w:r w:rsidRPr="00A259BD">
        <w:rPr>
          <w:rFonts w:ascii="Times New Roman" w:hAnsi="Times New Roman"/>
          <w:color w:val="000000" w:themeColor="text1"/>
          <w:sz w:val="16"/>
          <w:szCs w:val="16"/>
        </w:rPr>
        <w:t>Мермозом</w:t>
      </w:r>
      <w:proofErr w:type="spellEnd"/>
      <w:r w:rsidRPr="00A259BD">
        <w:rPr>
          <w:rFonts w:ascii="Times New Roman" w:hAnsi="Times New Roman"/>
          <w:color w:val="000000" w:themeColor="text1"/>
          <w:sz w:val="16"/>
          <w:szCs w:val="16"/>
        </w:rPr>
        <w:t xml:space="preserve"> и несущий его механика Александр </w:t>
      </w:r>
      <w:proofErr w:type="spellStart"/>
      <w:r w:rsidRPr="00A259BD">
        <w:rPr>
          <w:rFonts w:ascii="Times New Roman" w:hAnsi="Times New Roman"/>
          <w:color w:val="000000" w:themeColor="text1"/>
          <w:sz w:val="16"/>
          <w:szCs w:val="16"/>
        </w:rPr>
        <w:t>Коллено</w:t>
      </w:r>
      <w:proofErr w:type="spellEnd"/>
      <w:r w:rsidRPr="00A259BD">
        <w:rPr>
          <w:rFonts w:ascii="Times New Roman" w:hAnsi="Times New Roman"/>
          <w:color w:val="000000" w:themeColor="text1"/>
          <w:sz w:val="16"/>
          <w:szCs w:val="16"/>
        </w:rPr>
        <w:t xml:space="preserve"> и граф Генри де ла </w:t>
      </w:r>
      <w:proofErr w:type="spellStart"/>
      <w:r w:rsidRPr="00A259BD">
        <w:rPr>
          <w:rFonts w:ascii="Times New Roman" w:hAnsi="Times New Roman"/>
          <w:color w:val="000000" w:themeColor="text1"/>
          <w:sz w:val="16"/>
          <w:szCs w:val="16"/>
        </w:rPr>
        <w:t>Волькс</w:t>
      </w:r>
      <w:proofErr w:type="spellEnd"/>
      <w:r w:rsidRPr="00A259BD">
        <w:rPr>
          <w:rFonts w:ascii="Times New Roman" w:hAnsi="Times New Roman"/>
          <w:color w:val="000000" w:themeColor="text1"/>
          <w:sz w:val="16"/>
          <w:szCs w:val="16"/>
        </w:rPr>
        <w:t xml:space="preserve"> в качестве пассажиров попадают в нисходящий поток и вынуждены приземлиться на плато шириной 300 метров (986 футов) на высоте 4000 метров (13 123 футов). Трое мужчин проводят четыре дня, ремонтируя и облегчая самолет и расчищая путь к краю плато, после чего они скатывают его с края, </w:t>
      </w:r>
      <w:proofErr w:type="spellStart"/>
      <w:r w:rsidRPr="00A259BD">
        <w:rPr>
          <w:rFonts w:ascii="Times New Roman" w:hAnsi="Times New Roman"/>
          <w:color w:val="000000" w:themeColor="text1"/>
          <w:sz w:val="16"/>
          <w:szCs w:val="16"/>
        </w:rPr>
        <w:t>Мермос</w:t>
      </w:r>
      <w:proofErr w:type="spellEnd"/>
      <w:r w:rsidRPr="00A259BD">
        <w:rPr>
          <w:rFonts w:ascii="Times New Roman" w:hAnsi="Times New Roman"/>
          <w:color w:val="000000" w:themeColor="text1"/>
          <w:sz w:val="16"/>
          <w:szCs w:val="16"/>
        </w:rPr>
        <w:t xml:space="preserve"> ныряет, чтобы набрать скорость, и они благополучно прибывают в Сантьяго. Событие широко отмечается (20806).</w:t>
      </w:r>
    </w:p>
    <w:p w14:paraId="5155B899" w14:textId="77777777" w:rsidR="00F70746" w:rsidRPr="00A259BD" w:rsidRDefault="00F70746" w:rsidP="009236E3">
      <w:pPr>
        <w:spacing w:after="0" w:line="240" w:lineRule="auto"/>
        <w:jc w:val="both"/>
        <w:rPr>
          <w:rFonts w:ascii="Times New Roman" w:hAnsi="Times New Roman"/>
          <w:color w:val="000000" w:themeColor="text1"/>
          <w:sz w:val="16"/>
          <w:szCs w:val="16"/>
        </w:rPr>
      </w:pPr>
    </w:p>
    <w:p w14:paraId="5C4B913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A0DF5B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49863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марта 1929 сотрудники ГДЛ произвели пробный пуск ракеты на бездымном порохе, изобретенной </w:t>
      </w:r>
      <w:proofErr w:type="spellStart"/>
      <w:r w:rsidRPr="00A259BD">
        <w:rPr>
          <w:rFonts w:ascii="Times New Roman" w:hAnsi="Times New Roman"/>
          <w:color w:val="000000" w:themeColor="text1"/>
          <w:sz w:val="16"/>
          <w:szCs w:val="16"/>
        </w:rPr>
        <w:t>Б.А.Артемьевым</w:t>
      </w:r>
      <w:proofErr w:type="spellEnd"/>
      <w:r w:rsidRPr="00A259BD">
        <w:rPr>
          <w:rFonts w:ascii="Times New Roman" w:hAnsi="Times New Roman"/>
          <w:color w:val="000000" w:themeColor="text1"/>
          <w:sz w:val="16"/>
          <w:szCs w:val="16"/>
        </w:rPr>
        <w:t xml:space="preserve"> (2831,24).</w:t>
      </w:r>
    </w:p>
    <w:p w14:paraId="452AD5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5F334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A3E2C3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E34020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марта 1929 в НИИ ВВС закончились испытания самолета И-2 бис М.5. № 3560 постройки завода № 1, которые проходили с 26 января 1929.</w:t>
      </w:r>
    </w:p>
    <w:p w14:paraId="2C3E35D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испытания самолета И-2 бис М.5. № 3560 постройки завода № 1</w:t>
      </w:r>
    </w:p>
    <w:p w14:paraId="69A4193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Начало испытания 26 января 1929 года</w:t>
      </w:r>
    </w:p>
    <w:p w14:paraId="5769832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 испытания 4 марта 1929 года</w:t>
      </w:r>
    </w:p>
    <w:p w14:paraId="05D9D71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И-2 бис заводской № 3560 постройки завода № 1.</w:t>
      </w:r>
    </w:p>
    <w:p w14:paraId="111CAE3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 М-5 400 НР № 712 постройки завода № 24</w:t>
      </w:r>
    </w:p>
    <w:p w14:paraId="14539A2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построен по образцу самолета И-2 бис № 1990, построенного заводом № 23 с мелкими изменениями.</w:t>
      </w:r>
    </w:p>
    <w:p w14:paraId="664D391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3B93CAF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Летные качества самолета не отвечают современным требованиям к истребителям, а потому самолет И-2 бис М.5. может быть признан только как тренировочный самолет (6978, 6984).</w:t>
      </w:r>
    </w:p>
    <w:p w14:paraId="2FDD8A7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1F7AFC"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4 марта 1929 г. в Москве в НОА ВВС завершились испытания головного самолета И-2бис М-5 зав. № 3560 постройки завода № 1. Они показали, что летные качества самолета не отвечают современным требованиям к истребителям и он может использоваться только как тренировочный самолет (23560).</w:t>
      </w:r>
    </w:p>
    <w:p w14:paraId="6FBDE891" w14:textId="77777777" w:rsidR="00292DF5" w:rsidRPr="00441F34" w:rsidRDefault="00292DF5" w:rsidP="00292DF5">
      <w:pPr>
        <w:spacing w:after="0" w:line="240" w:lineRule="auto"/>
        <w:jc w:val="both"/>
        <w:rPr>
          <w:rFonts w:ascii="Times New Roman" w:hAnsi="Times New Roman"/>
          <w:color w:val="0070C0"/>
          <w:sz w:val="16"/>
          <w:szCs w:val="16"/>
        </w:rPr>
      </w:pPr>
    </w:p>
    <w:p w14:paraId="6115EE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марта 1929 завод 25 направил в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с письмом N 655ск еще раз переработанный пятилетний план опытного строительства с хронологическими планировками работ на 1929/30 и 1930/31. В этом плане завод уделил больше внимания гражданским самолетам (2365).</w:t>
      </w:r>
    </w:p>
    <w:p w14:paraId="21637E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034F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марта 1929 г. второй экземпляр М-14 был представлен на приемочные испытания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770890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Характеристики:</w:t>
      </w:r>
    </w:p>
    <w:p w14:paraId="1E8A56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12-цилиндровый, рядный У-образный, четырехтактный, водяного охлаждения;</w:t>
      </w:r>
    </w:p>
    <w:p w14:paraId="3C1DB3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мощность 450/480 л.с. (по проекту 450/500 л.с.);</w:t>
      </w:r>
    </w:p>
    <w:p w14:paraId="5A875B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диаметр цилиндра/ход поршня 130/170 мм (по первоначальному про</w:t>
      </w:r>
      <w:r w:rsidRPr="00A259BD">
        <w:rPr>
          <w:rFonts w:ascii="Times New Roman" w:hAnsi="Times New Roman"/>
          <w:color w:val="000000" w:themeColor="text1"/>
          <w:sz w:val="16"/>
          <w:szCs w:val="16"/>
        </w:rPr>
        <w:softHyphen/>
        <w:t>екту 130/178 мм);</w:t>
      </w:r>
    </w:p>
    <w:p w14:paraId="15C26E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объем 27,1 л (по первоначальному проекту 28,2 л);</w:t>
      </w:r>
    </w:p>
    <w:p w14:paraId="5F2715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степень сжатия 6,0 (первоначально 5,4, у второго экземпляра 6,25);</w:t>
      </w:r>
    </w:p>
    <w:p w14:paraId="796A02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безредукторный</w:t>
      </w:r>
      <w:proofErr w:type="spellEnd"/>
      <w:r w:rsidRPr="00A259BD">
        <w:rPr>
          <w:rFonts w:ascii="Times New Roman" w:hAnsi="Times New Roman"/>
          <w:color w:val="000000" w:themeColor="text1"/>
          <w:sz w:val="16"/>
          <w:szCs w:val="16"/>
        </w:rPr>
        <w:t>;</w:t>
      </w:r>
    </w:p>
    <w:p w14:paraId="72DE3C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вес 415 кг, позднее доведен до 407 кг.</w:t>
      </w:r>
    </w:p>
    <w:p w14:paraId="52B4FA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Мотор предлагался для использования на самолетах МРТ-1, Л-2, К-5.</w:t>
      </w:r>
    </w:p>
    <w:p w14:paraId="040580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622C2B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8893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марта 1929 года председатель ВСНХ и ответственный секретарь президиума ВСНХ писали письмо № 484сс председателю РЗ СТО</w:t>
      </w:r>
    </w:p>
    <w:p w14:paraId="399489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очередном заседании РЗ СТО, имеющем быть 11 марта 1929 года, предложено заслушать доклад ВСНХ по вопросу о развитии отстающих отраслей промышленности (</w:t>
      </w:r>
      <w:proofErr w:type="spellStart"/>
      <w:r w:rsidRPr="00A259BD">
        <w:rPr>
          <w:rFonts w:ascii="Times New Roman" w:hAnsi="Times New Roman"/>
          <w:color w:val="000000" w:themeColor="text1"/>
          <w:sz w:val="16"/>
          <w:szCs w:val="16"/>
        </w:rPr>
        <w:t>самолето</w:t>
      </w:r>
      <w:proofErr w:type="spellEnd"/>
      <w:r w:rsidRPr="00A259BD">
        <w:rPr>
          <w:rFonts w:ascii="Times New Roman" w:hAnsi="Times New Roman"/>
          <w:color w:val="000000" w:themeColor="text1"/>
          <w:sz w:val="16"/>
          <w:szCs w:val="16"/>
        </w:rPr>
        <w:t xml:space="preserve"> моторостроение, танко тракторостроение и автостроение).</w:t>
      </w:r>
    </w:p>
    <w:p w14:paraId="126E3F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Желая возможно шире с исчерпывающей полнотой осветить данные вопросы в докладе, ВСНХ предпринял проработку необходимых материалов; окончание этой проработки возможно лишь к 25-27 марта 1929 года, в силу чего ВСНХ просит перенести слушание доклада на первые числа апреля 1929 года (3545, 61).</w:t>
      </w:r>
    </w:p>
    <w:p w14:paraId="2A901B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6CFF2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184556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CE1887" w14:textId="77777777" w:rsidR="0081757F" w:rsidRPr="00A259BD" w:rsidRDefault="008175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марта 1929 г. Сектор обороны Госплана СССР в ходе заседания, посвященного рассмотрению пятилетнего перспективного плана развития электротехнической промышленности предложил План, который, в частности, предусматривал:</w:t>
      </w:r>
    </w:p>
    <w:p w14:paraId="098FDC79" w14:textId="77777777" w:rsidR="0081757F" w:rsidRPr="00A259BD" w:rsidRDefault="008175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обеспечение намеченного строительства новых и реконструкции существующих заводов отечественным и импортным оборудованием. Наряду со строительством нового радиозавода в Нижнем Новгороде и переоборудованием под </w:t>
      </w:r>
      <w:proofErr w:type="spellStart"/>
      <w:r w:rsidRPr="00A259BD">
        <w:rPr>
          <w:rFonts w:ascii="Times New Roman" w:hAnsi="Times New Roman"/>
          <w:color w:val="000000" w:themeColor="text1"/>
          <w:sz w:val="16"/>
          <w:szCs w:val="16"/>
        </w:rPr>
        <w:t>радиопроизводство</w:t>
      </w:r>
      <w:proofErr w:type="spellEnd"/>
      <w:r w:rsidRPr="00A259BD">
        <w:rPr>
          <w:rFonts w:ascii="Times New Roman" w:hAnsi="Times New Roman"/>
          <w:color w:val="000000" w:themeColor="text1"/>
          <w:sz w:val="16"/>
          <w:szCs w:val="16"/>
        </w:rPr>
        <w:t xml:space="preserve"> завода «</w:t>
      </w:r>
      <w:proofErr w:type="spellStart"/>
      <w:r w:rsidRPr="00A259BD">
        <w:rPr>
          <w:rFonts w:ascii="Times New Roman" w:hAnsi="Times New Roman"/>
          <w:color w:val="000000" w:themeColor="text1"/>
          <w:sz w:val="16"/>
          <w:szCs w:val="16"/>
        </w:rPr>
        <w:t>Мосэлектрик</w:t>
      </w:r>
      <w:proofErr w:type="spellEnd"/>
      <w:r w:rsidRPr="00A259BD">
        <w:rPr>
          <w:rFonts w:ascii="Times New Roman" w:hAnsi="Times New Roman"/>
          <w:color w:val="000000" w:themeColor="text1"/>
          <w:sz w:val="16"/>
          <w:szCs w:val="16"/>
        </w:rPr>
        <w:t xml:space="preserve">» к числу основных капитальных работ на пятилетку относились также достройка и переоборудование завода им. Козицкого под производство </w:t>
      </w:r>
      <w:proofErr w:type="spellStart"/>
      <w:r w:rsidRPr="00A259BD">
        <w:rPr>
          <w:rFonts w:ascii="Times New Roman" w:hAnsi="Times New Roman"/>
          <w:color w:val="000000" w:themeColor="text1"/>
          <w:sz w:val="16"/>
          <w:szCs w:val="16"/>
        </w:rPr>
        <w:t>радиопродукции</w:t>
      </w:r>
      <w:proofErr w:type="spellEnd"/>
      <w:r w:rsidRPr="00A259BD">
        <w:rPr>
          <w:rFonts w:ascii="Times New Roman" w:hAnsi="Times New Roman"/>
          <w:color w:val="000000" w:themeColor="text1"/>
          <w:sz w:val="16"/>
          <w:szCs w:val="16"/>
        </w:rPr>
        <w:t>, реконструкция завода «Светлана» для производства электронных ламп;</w:t>
      </w:r>
    </w:p>
    <w:p w14:paraId="6F09B0F2" w14:textId="77777777" w:rsidR="0081757F" w:rsidRPr="00A259BD" w:rsidRDefault="008175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обеспечение электропромышленности квалифицированной рабочей силой и техническим персоналом, в том числе за счет откомандирования для работы в промышленности военных </w:t>
      </w:r>
      <w:proofErr w:type="spellStart"/>
      <w:r w:rsidRPr="00A259BD">
        <w:rPr>
          <w:rFonts w:ascii="Times New Roman" w:hAnsi="Times New Roman"/>
          <w:color w:val="000000" w:themeColor="text1"/>
          <w:sz w:val="16"/>
          <w:szCs w:val="16"/>
        </w:rPr>
        <w:t>инженеровэлектриков</w:t>
      </w:r>
      <w:proofErr w:type="spellEnd"/>
      <w:r w:rsidRPr="00A259BD">
        <w:rPr>
          <w:rFonts w:ascii="Times New Roman" w:hAnsi="Times New Roman"/>
          <w:color w:val="000000" w:themeColor="text1"/>
          <w:sz w:val="16"/>
          <w:szCs w:val="16"/>
        </w:rPr>
        <w:t xml:space="preserve"> и специалистов по проводной связи;</w:t>
      </w:r>
    </w:p>
    <w:p w14:paraId="61D62D72" w14:textId="77777777" w:rsidR="0081757F" w:rsidRPr="00A259BD" w:rsidRDefault="008175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повышение качества поставляемых для отрасли материалов, создание запасов дефицитных импортных материалов и полуфабрикатов. При этом электропромышленность должна была удовлетворяться цветными металлами наравне с военной и химической;</w:t>
      </w:r>
    </w:p>
    <w:p w14:paraId="709A603A" w14:textId="77777777" w:rsidR="0081757F" w:rsidRPr="00A259BD" w:rsidRDefault="008175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усиление технического контроля за качеством военной продукции, обеспечение ее ТТХ на уровне последних технических достижений, не уступающих заграничным аналогам;</w:t>
      </w:r>
    </w:p>
    <w:p w14:paraId="6D6A8DE6" w14:textId="77777777" w:rsidR="0081757F" w:rsidRPr="00A259BD" w:rsidRDefault="008175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проведение стандартизации производства гражданских и военных телефонных и телеграфных аппаратов;</w:t>
      </w:r>
    </w:p>
    <w:p w14:paraId="2BD2A213" w14:textId="77777777" w:rsidR="0081757F" w:rsidRPr="00A259BD" w:rsidRDefault="008175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усиление исследовательских работ в области </w:t>
      </w:r>
      <w:proofErr w:type="spellStart"/>
      <w:r w:rsidRPr="00A259BD">
        <w:rPr>
          <w:rFonts w:ascii="Times New Roman" w:hAnsi="Times New Roman"/>
          <w:color w:val="000000" w:themeColor="text1"/>
          <w:sz w:val="16"/>
          <w:szCs w:val="16"/>
        </w:rPr>
        <w:t>суррогатирования</w:t>
      </w:r>
      <w:proofErr w:type="spellEnd"/>
      <w:r w:rsidRPr="00A259BD">
        <w:rPr>
          <w:rFonts w:ascii="Times New Roman" w:hAnsi="Times New Roman"/>
          <w:color w:val="000000" w:themeColor="text1"/>
          <w:sz w:val="16"/>
          <w:szCs w:val="16"/>
        </w:rPr>
        <w:t xml:space="preserve"> (18297).</w:t>
      </w:r>
    </w:p>
    <w:p w14:paraId="4AA06D92" w14:textId="77777777" w:rsidR="0081757F" w:rsidRPr="00A259BD" w:rsidRDefault="0081757F" w:rsidP="009236E3">
      <w:pPr>
        <w:spacing w:after="0" w:line="240" w:lineRule="auto"/>
        <w:jc w:val="both"/>
        <w:rPr>
          <w:rFonts w:ascii="Times New Roman" w:hAnsi="Times New Roman"/>
          <w:color w:val="000000" w:themeColor="text1"/>
          <w:sz w:val="16"/>
          <w:szCs w:val="16"/>
        </w:rPr>
      </w:pPr>
    </w:p>
    <w:p w14:paraId="07985C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марта 1929 г. ВСНХ СССР издал известный приказ № 498, где говорилось, что правительство приняло решение построить собственными силами современный автомобильный завод годовой производительностью 100 тыс. машин. Место постройки выбрали в районе деревни Монастырка под Нижним Новгородом (позже Горький), срок строительства определили в 3 года, то есть завод должен был вступить в строй в начале 1932 г. Почему выбрали именно Нижний Новгород? Наличие квалифицированной рабочей силы, дешевизна подвоза сырья водным путем, близость уральской металлургической базы, достаточная удаленность от государственных границ - вот доводы, предопределившие выбор (12098).</w:t>
      </w:r>
    </w:p>
    <w:p w14:paraId="7B2141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DC16F6" w14:textId="77777777" w:rsidR="00DA7BDB" w:rsidRPr="00A259BD" w:rsidRDefault="00DA7BDB" w:rsidP="009236E3">
      <w:pPr>
        <w:widowControl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марта </w:t>
      </w:r>
      <w:smartTag w:uri="urn:schemas-microsoft-com:office:smarttags" w:element="metricconverter">
        <w:smartTagPr>
          <w:attr w:name="ProductID" w:val="1929 г"/>
        </w:smartTagPr>
        <w:r w:rsidRPr="00A259BD">
          <w:rPr>
            <w:rFonts w:ascii="Times New Roman" w:hAnsi="Times New Roman"/>
            <w:color w:val="000000" w:themeColor="text1"/>
            <w:sz w:val="16"/>
            <w:szCs w:val="16"/>
          </w:rPr>
          <w:t>1929 г</w:t>
        </w:r>
      </w:smartTag>
      <w:r w:rsidRPr="00A259BD">
        <w:rPr>
          <w:rFonts w:ascii="Times New Roman" w:hAnsi="Times New Roman"/>
          <w:color w:val="000000" w:themeColor="text1"/>
          <w:sz w:val="16"/>
          <w:szCs w:val="16"/>
        </w:rPr>
        <w:t xml:space="preserve">. Высший Совет народного хозяйства СССР издал приказ №498, где говорилось, что правительство приняло решение построить собственными силами современный автомобильный завод производительностью 100 тыс. машин в год. Место постройки выбрали в районе деревни Монастырка под Нижним Новгородом (позже Горький), что определялось наличием в регионе квалифицированной рабочей силы, дешевизной подвоза сырья водным путем, близостью уральской металлургической базы, удаленностью от государственных границ. Завод должен был вступить в строй в начале </w:t>
      </w:r>
      <w:smartTag w:uri="urn:schemas-microsoft-com:office:smarttags" w:element="metricconverter">
        <w:smartTagPr>
          <w:attr w:name="ProductID" w:val="1932 г"/>
        </w:smartTagPr>
        <w:r w:rsidRPr="00A259BD">
          <w:rPr>
            <w:rFonts w:ascii="Times New Roman" w:hAnsi="Times New Roman"/>
            <w:color w:val="000000" w:themeColor="text1"/>
            <w:sz w:val="16"/>
            <w:szCs w:val="16"/>
          </w:rPr>
          <w:t>1932 г</w:t>
        </w:r>
      </w:smartTag>
      <w:r w:rsidRPr="00A259BD">
        <w:rPr>
          <w:rFonts w:ascii="Times New Roman" w:hAnsi="Times New Roman"/>
          <w:color w:val="000000" w:themeColor="text1"/>
          <w:sz w:val="16"/>
          <w:szCs w:val="16"/>
        </w:rPr>
        <w:t>. Несмотря на острую необходимость, советское руководство отказалось от привлечения иностранных инвестиций в процесс строительства (15218).</w:t>
      </w:r>
    </w:p>
    <w:p w14:paraId="2769AE51" w14:textId="77777777" w:rsidR="00DA7BDB" w:rsidRPr="00A259BD" w:rsidRDefault="00DA7BDB" w:rsidP="009236E3">
      <w:pPr>
        <w:widowControl w:val="0"/>
        <w:spacing w:after="0" w:line="240" w:lineRule="auto"/>
        <w:jc w:val="both"/>
        <w:rPr>
          <w:rFonts w:ascii="Times New Roman" w:hAnsi="Times New Roman"/>
          <w:color w:val="000000" w:themeColor="text1"/>
          <w:sz w:val="16"/>
          <w:szCs w:val="16"/>
        </w:rPr>
      </w:pPr>
    </w:p>
    <w:p w14:paraId="1C510FD4" w14:textId="77777777" w:rsidR="007F4634" w:rsidRPr="00A259BD" w:rsidRDefault="007F463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марта </w:t>
      </w:r>
      <w:smartTag w:uri="urn:schemas-microsoft-com:office:smarttags" w:element="metricconverter">
        <w:smartTagPr>
          <w:attr w:name="ProductID" w:val="1929 г"/>
        </w:smartTagPr>
        <w:r w:rsidRPr="00A259BD">
          <w:rPr>
            <w:rFonts w:ascii="Times New Roman" w:hAnsi="Times New Roman"/>
            <w:color w:val="000000" w:themeColor="text1"/>
            <w:sz w:val="16"/>
            <w:szCs w:val="16"/>
          </w:rPr>
          <w:t>1929 г</w:t>
        </w:r>
      </w:smartTag>
      <w:r w:rsidRPr="00A259BD">
        <w:rPr>
          <w:rFonts w:ascii="Times New Roman" w:hAnsi="Times New Roman"/>
          <w:color w:val="000000" w:themeColor="text1"/>
          <w:sz w:val="16"/>
          <w:szCs w:val="16"/>
        </w:rPr>
        <w:t xml:space="preserve">. Высший Совет народного хозяйства СССР издал приказ №498, где говорилось, что правительство приняло решение построить собственными силами современный автомобильный завод производительностью 100 тыс. машин в год. Место постройки выбрали в районе деревни Монастырка под Нижним Новгородом (позже Горький), что определялось наличием в регионе квалифицированной рабочей силы, дешевизной подвоза сырья водным путем, близостью уральской металлургической базы, удаленностью от государственных границ. Завод должен был вступить в строй в начале </w:t>
      </w:r>
      <w:smartTag w:uri="urn:schemas-microsoft-com:office:smarttags" w:element="metricconverter">
        <w:smartTagPr>
          <w:attr w:name="ProductID" w:val="1932 г"/>
        </w:smartTagPr>
        <w:r w:rsidRPr="00A259BD">
          <w:rPr>
            <w:rFonts w:ascii="Times New Roman" w:hAnsi="Times New Roman"/>
            <w:color w:val="000000" w:themeColor="text1"/>
            <w:sz w:val="16"/>
            <w:szCs w:val="16"/>
          </w:rPr>
          <w:t>1932 г</w:t>
        </w:r>
      </w:smartTag>
      <w:r w:rsidRPr="00A259BD">
        <w:rPr>
          <w:rFonts w:ascii="Times New Roman" w:hAnsi="Times New Roman"/>
          <w:color w:val="000000" w:themeColor="text1"/>
          <w:sz w:val="16"/>
          <w:szCs w:val="16"/>
        </w:rPr>
        <w:t xml:space="preserve">. (История отечественного автомобилестроения: учебное пособие / под ред. Л.В. </w:t>
      </w:r>
      <w:proofErr w:type="spellStart"/>
      <w:r w:rsidRPr="00A259BD">
        <w:rPr>
          <w:rFonts w:ascii="Times New Roman" w:hAnsi="Times New Roman"/>
          <w:color w:val="000000" w:themeColor="text1"/>
          <w:sz w:val="16"/>
          <w:szCs w:val="16"/>
        </w:rPr>
        <w:t>Храмкова</w:t>
      </w:r>
      <w:proofErr w:type="spellEnd"/>
      <w:r w:rsidRPr="00A259BD">
        <w:rPr>
          <w:rFonts w:ascii="Times New Roman" w:hAnsi="Times New Roman"/>
          <w:color w:val="000000" w:themeColor="text1"/>
          <w:sz w:val="16"/>
          <w:szCs w:val="16"/>
        </w:rPr>
        <w:t>, Н.Н. Щербакова. – Тольятти: Тольяттинский государственный университет, 2007. – С. 41-42.) (15218).</w:t>
      </w:r>
    </w:p>
    <w:p w14:paraId="6CD8E68B" w14:textId="77777777" w:rsidR="007F4634" w:rsidRPr="00A259BD" w:rsidRDefault="007F4634" w:rsidP="009236E3">
      <w:pPr>
        <w:spacing w:after="0" w:line="240" w:lineRule="auto"/>
        <w:jc w:val="both"/>
        <w:rPr>
          <w:rFonts w:ascii="Times New Roman" w:hAnsi="Times New Roman"/>
          <w:color w:val="000000" w:themeColor="text1"/>
          <w:sz w:val="16"/>
          <w:szCs w:val="16"/>
        </w:rPr>
      </w:pPr>
    </w:p>
    <w:p w14:paraId="388DED44"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марта 1929 г. принято решение ВСНК СССР и подписан приказ о строительстве автомобильного завода.</w:t>
      </w:r>
    </w:p>
    <w:p w14:paraId="37D40FE9"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апреля 1929 г. утверждено решение о выборе района строительства будущего автозавода - около города Нижнего Новгорода.</w:t>
      </w:r>
    </w:p>
    <w:p w14:paraId="5D733F0D"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мая 1929 г. ВСНХ СССР и американская фирма "Ford Motor Company" заключили соглашение о технической помощи при организации и налаживании массового производства легковых автомобилей типа "Ford-А" и грузовых автомобилей типа "Ford-АА". Технологическое и строительное проектирование велось в Америке в основном силами отечественных инженеров при тесном сотрудничестве с фирмой "Ford Motor Company". Архитектурно-строительный проект разрабатывался фирмой "Austin K".</w:t>
      </w:r>
    </w:p>
    <w:p w14:paraId="2946B4A9"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мая 1930 г. под Нижним Новгородом был заложен первый камень в фундамент будущего автомобильного завода. Благодаря удачному проекту, умелому руководству, личной ответственности каждого участника завод был построен за 18 месяцев.</w:t>
      </w:r>
    </w:p>
    <w:p w14:paraId="188D7031"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января 1932 г. автозавод вступил в строй действующих.</w:t>
      </w:r>
    </w:p>
    <w:p w14:paraId="0515D581"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января 1932 г. с конвейера сошел первый автомобиль - грузовик НАЗ-АА (21167).</w:t>
      </w:r>
    </w:p>
    <w:p w14:paraId="31AC7734" w14:textId="77777777" w:rsidR="00F70746" w:rsidRPr="00A259BD" w:rsidRDefault="00F70746" w:rsidP="009236E3">
      <w:pPr>
        <w:spacing w:after="0" w:line="240" w:lineRule="auto"/>
        <w:jc w:val="both"/>
        <w:rPr>
          <w:rFonts w:ascii="Times New Roman" w:hAnsi="Times New Roman"/>
          <w:color w:val="000000" w:themeColor="text1"/>
          <w:sz w:val="16"/>
          <w:szCs w:val="16"/>
        </w:rPr>
      </w:pPr>
    </w:p>
    <w:p w14:paraId="58115AFB" w14:textId="77777777" w:rsidR="00DA7BDB" w:rsidRPr="00A259BD" w:rsidRDefault="00DA7BDB" w:rsidP="009236E3">
      <w:pPr>
        <w:spacing w:after="0" w:line="240" w:lineRule="auto"/>
        <w:jc w:val="both"/>
        <w:rPr>
          <w:rStyle w:val="af0"/>
          <w:rFonts w:ascii="Times New Roman" w:hAnsi="Times New Roman"/>
          <w:i w:val="0"/>
          <w:color w:val="000000" w:themeColor="text1"/>
          <w:sz w:val="16"/>
          <w:szCs w:val="16"/>
        </w:rPr>
      </w:pPr>
      <w:r w:rsidRPr="00A259BD">
        <w:rPr>
          <w:rFonts w:ascii="Times New Roman" w:hAnsi="Times New Roman"/>
          <w:bCs/>
          <w:color w:val="000000" w:themeColor="text1"/>
          <w:sz w:val="16"/>
          <w:szCs w:val="16"/>
        </w:rPr>
        <w:t>4 марта 1929 г. — Протокол заседания Сектора обороны Госплана СССР о пятилетнем перспективном плане развития электротехнической промышленности</w:t>
      </w:r>
    </w:p>
    <w:p w14:paraId="2CDC2C05"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159197AE"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Присутствовали: от Госплана СССР (Сектор обороны) — т. </w:t>
      </w:r>
      <w:proofErr w:type="spellStart"/>
      <w:r w:rsidRPr="00A259BD">
        <w:rPr>
          <w:color w:val="000000" w:themeColor="text1"/>
          <w:sz w:val="16"/>
          <w:szCs w:val="16"/>
        </w:rPr>
        <w:t>Ботнер</w:t>
      </w:r>
      <w:proofErr w:type="spellEnd"/>
      <w:r w:rsidRPr="00A259BD">
        <w:rPr>
          <w:color w:val="000000" w:themeColor="text1"/>
          <w:sz w:val="16"/>
          <w:szCs w:val="16"/>
        </w:rPr>
        <w:t>, Гольдберг; от ВСНХ СССР (</w:t>
      </w:r>
      <w:proofErr w:type="spellStart"/>
      <w:r w:rsidRPr="00A259BD">
        <w:rPr>
          <w:color w:val="000000" w:themeColor="text1"/>
          <w:sz w:val="16"/>
          <w:szCs w:val="16"/>
        </w:rPr>
        <w:t>Мобпланупр</w:t>
      </w:r>
      <w:proofErr w:type="spellEnd"/>
      <w:r w:rsidRPr="00A259BD">
        <w:rPr>
          <w:color w:val="000000" w:themeColor="text1"/>
          <w:sz w:val="16"/>
          <w:szCs w:val="16"/>
        </w:rPr>
        <w:t>) — т. </w:t>
      </w:r>
      <w:proofErr w:type="spellStart"/>
      <w:r w:rsidRPr="00A259BD">
        <w:rPr>
          <w:color w:val="000000" w:themeColor="text1"/>
          <w:sz w:val="16"/>
          <w:szCs w:val="16"/>
        </w:rPr>
        <w:t>Крожевский</w:t>
      </w:r>
      <w:proofErr w:type="spellEnd"/>
      <w:r w:rsidRPr="00A259BD">
        <w:rPr>
          <w:color w:val="000000" w:themeColor="text1"/>
          <w:sz w:val="16"/>
          <w:szCs w:val="16"/>
        </w:rPr>
        <w:t xml:space="preserve">, </w:t>
      </w:r>
      <w:proofErr w:type="spellStart"/>
      <w:r w:rsidRPr="00A259BD">
        <w:rPr>
          <w:color w:val="000000" w:themeColor="text1"/>
          <w:sz w:val="16"/>
          <w:szCs w:val="16"/>
        </w:rPr>
        <w:t>Мякиненко</w:t>
      </w:r>
      <w:proofErr w:type="spellEnd"/>
      <w:r w:rsidRPr="00A259BD">
        <w:rPr>
          <w:color w:val="000000" w:themeColor="text1"/>
          <w:sz w:val="16"/>
          <w:szCs w:val="16"/>
        </w:rPr>
        <w:t>; от ВСНХ СССР (</w:t>
      </w:r>
      <w:proofErr w:type="spellStart"/>
      <w:r w:rsidRPr="00A259BD">
        <w:rPr>
          <w:color w:val="000000" w:themeColor="text1"/>
          <w:sz w:val="16"/>
          <w:szCs w:val="16"/>
        </w:rPr>
        <w:t>Главэ-лектро</w:t>
      </w:r>
      <w:proofErr w:type="spellEnd"/>
      <w:r w:rsidRPr="00A259BD">
        <w:rPr>
          <w:color w:val="000000" w:themeColor="text1"/>
          <w:sz w:val="16"/>
          <w:szCs w:val="16"/>
        </w:rPr>
        <w:t>) — т. Гурвич; от НКВМ (II Управление Штаба РККА) — т. </w:t>
      </w:r>
      <w:proofErr w:type="spellStart"/>
      <w:r w:rsidRPr="00A259BD">
        <w:rPr>
          <w:color w:val="000000" w:themeColor="text1"/>
          <w:sz w:val="16"/>
          <w:szCs w:val="16"/>
        </w:rPr>
        <w:t>Бузников</w:t>
      </w:r>
      <w:proofErr w:type="spellEnd"/>
      <w:r w:rsidRPr="00A259BD">
        <w:rPr>
          <w:color w:val="000000" w:themeColor="text1"/>
          <w:sz w:val="16"/>
          <w:szCs w:val="16"/>
        </w:rPr>
        <w:t>.</w:t>
      </w:r>
    </w:p>
    <w:p w14:paraId="0D74BC37"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 xml:space="preserve">Председатель — </w:t>
      </w:r>
      <w:proofErr w:type="spellStart"/>
      <w:r w:rsidRPr="00A259BD">
        <w:rPr>
          <w:color w:val="000000" w:themeColor="text1"/>
          <w:sz w:val="16"/>
          <w:szCs w:val="16"/>
        </w:rPr>
        <w:t>Ботнер</w:t>
      </w:r>
      <w:proofErr w:type="spellEnd"/>
      <w:r w:rsidRPr="00A259BD">
        <w:rPr>
          <w:color w:val="000000" w:themeColor="text1"/>
          <w:sz w:val="16"/>
          <w:szCs w:val="16"/>
        </w:rPr>
        <w:t>, секретарь — Гольдберг.</w:t>
      </w:r>
    </w:p>
    <w:p w14:paraId="526540D4" w14:textId="77777777" w:rsidR="00F068A9" w:rsidRPr="00A259BD" w:rsidRDefault="00F068A9" w:rsidP="009236E3">
      <w:pPr>
        <w:pStyle w:val="rtejustify"/>
        <w:spacing w:before="0" w:after="0"/>
        <w:rPr>
          <w:color w:val="000000" w:themeColor="text1"/>
          <w:sz w:val="16"/>
          <w:szCs w:val="16"/>
        </w:rPr>
      </w:pPr>
      <w:r w:rsidRPr="00A259BD">
        <w:rPr>
          <w:rStyle w:val="af0"/>
          <w:i w:val="0"/>
          <w:color w:val="000000" w:themeColor="text1"/>
          <w:sz w:val="16"/>
          <w:szCs w:val="16"/>
        </w:rPr>
        <w:t>Слушали:</w:t>
      </w:r>
      <w:r w:rsidRPr="00A259BD">
        <w:rPr>
          <w:color w:val="000000" w:themeColor="text1"/>
          <w:sz w:val="16"/>
          <w:szCs w:val="16"/>
        </w:rPr>
        <w:t xml:space="preserve"> пятилетний перспективный план развития электротехнической промышленности — оптимальный вариант, с точки зрения удовлетворения его требованиям обороны.</w:t>
      </w:r>
    </w:p>
    <w:p w14:paraId="1174DD5C" w14:textId="77777777" w:rsidR="00F068A9" w:rsidRPr="00A259BD" w:rsidRDefault="00F068A9" w:rsidP="009236E3">
      <w:pPr>
        <w:pStyle w:val="rtejustify"/>
        <w:spacing w:before="0" w:after="0"/>
        <w:rPr>
          <w:color w:val="000000" w:themeColor="text1"/>
          <w:sz w:val="16"/>
          <w:szCs w:val="16"/>
        </w:rPr>
      </w:pPr>
      <w:r w:rsidRPr="00A259BD">
        <w:rPr>
          <w:rStyle w:val="af0"/>
          <w:i w:val="0"/>
          <w:color w:val="000000" w:themeColor="text1"/>
          <w:sz w:val="16"/>
          <w:szCs w:val="16"/>
        </w:rPr>
        <w:t>Постановили</w:t>
      </w:r>
      <w:r w:rsidRPr="00A259BD">
        <w:rPr>
          <w:color w:val="000000" w:themeColor="text1"/>
          <w:sz w:val="16"/>
          <w:szCs w:val="16"/>
        </w:rPr>
        <w:t>: I. Считать, что запроектированные по плану мощности отдельных производств полностью обеспечивают заявку НКВМ и потребности на военное время других ведомств как по трехлетней, так и пятилетней заявкам.</w:t>
      </w:r>
    </w:p>
    <w:p w14:paraId="4B5CCBD1"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II. Отметить, что запроектированный ВСНХ СССР (</w:t>
      </w:r>
      <w:proofErr w:type="spellStart"/>
      <w:r w:rsidRPr="00A259BD">
        <w:rPr>
          <w:color w:val="000000" w:themeColor="text1"/>
          <w:sz w:val="16"/>
          <w:szCs w:val="16"/>
        </w:rPr>
        <w:t>Главэлектро</w:t>
      </w:r>
      <w:proofErr w:type="spellEnd"/>
      <w:r w:rsidRPr="00A259BD">
        <w:rPr>
          <w:color w:val="000000" w:themeColor="text1"/>
          <w:sz w:val="16"/>
          <w:szCs w:val="16"/>
        </w:rPr>
        <w:t>) план развития электротехнической промышленности не обеспечивается по линии снабжения, главным образом меди.</w:t>
      </w:r>
    </w:p>
    <w:p w14:paraId="4203F003"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III. Подчеркнуть правильную линию, взятую ВСНХ СССР (</w:t>
      </w:r>
      <w:proofErr w:type="spellStart"/>
      <w:r w:rsidRPr="00A259BD">
        <w:rPr>
          <w:color w:val="000000" w:themeColor="text1"/>
          <w:sz w:val="16"/>
          <w:szCs w:val="16"/>
        </w:rPr>
        <w:t>Главэлектро</w:t>
      </w:r>
      <w:proofErr w:type="spellEnd"/>
      <w:r w:rsidRPr="00A259BD">
        <w:rPr>
          <w:color w:val="000000" w:themeColor="text1"/>
          <w:sz w:val="16"/>
          <w:szCs w:val="16"/>
        </w:rPr>
        <w:t>) в отношении дублирования уникальных производств, расположенных в г. Ленинград, и развертывании нового строительства внутри страны.</w:t>
      </w:r>
    </w:p>
    <w:p w14:paraId="2C1B69D3"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IV. Предложить ВСНХ СССР:</w:t>
      </w:r>
    </w:p>
    <w:p w14:paraId="32B7891D"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1) обеспечить намеченное по электропромышленности строительство новых и расширение существующих заводов оборудованием как внутренним, так и импортным;</w:t>
      </w:r>
    </w:p>
    <w:p w14:paraId="4613DF9F"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 xml:space="preserve">2) обеспечить электротехническую промышленность квалифицированной рабочей силой и техническим персоналом, поставив перед НКВМ вопрос о ежегодном командировании для работ в электропромышленности из числа оканчивающих Военно-техническую, Морскую академии и военные отделения вузов военных инженеров-электриков и специалистов по проволочной связи, прожекторам, приборам управления артогнем и стрельбы по </w:t>
      </w:r>
      <w:proofErr w:type="spellStart"/>
      <w:r w:rsidRPr="00A259BD">
        <w:rPr>
          <w:color w:val="000000" w:themeColor="text1"/>
          <w:sz w:val="16"/>
          <w:szCs w:val="16"/>
        </w:rPr>
        <w:t>аэроцелям</w:t>
      </w:r>
      <w:proofErr w:type="spellEnd"/>
      <w:r w:rsidRPr="00A259BD">
        <w:rPr>
          <w:color w:val="000000" w:themeColor="text1"/>
          <w:sz w:val="16"/>
          <w:szCs w:val="16"/>
        </w:rPr>
        <w:t>;</w:t>
      </w:r>
    </w:p>
    <w:p w14:paraId="0376B88C"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3) при распределении цветных металлов потребность электротехнической промышленности удовлетворять наравне с военной и химической промышленностью;</w:t>
      </w:r>
    </w:p>
    <w:p w14:paraId="7C9287E8"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4) обратить внимание на повышение качества поставляемого для электропромышленности материала и металлов;</w:t>
      </w:r>
    </w:p>
    <w:p w14:paraId="1C74C033"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5) создать необходимые запасы дефицитных импортных материалов и полуфабрикатов;</w:t>
      </w:r>
    </w:p>
    <w:p w14:paraId="45FE342D"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6) обратить внимание на технический контроль продукции, сдаваемой по заказам НКВМ, и принять меры, чтобы качество продукции по своим техническим свойствам было бы на уровне современных технических достижений и не уступало бы, а даже и превосходило, заграничную.</w:t>
      </w:r>
    </w:p>
    <w:p w14:paraId="44247F69"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7) поставить производство электродов и электроплавильных печей;</w:t>
      </w:r>
    </w:p>
    <w:p w14:paraId="4738A98C"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lastRenderedPageBreak/>
        <w:t>8) ускорить пересмотр норм, шкалы сечений и нагрузку кабелей в целях экономии в расходовании цветных металлов;</w:t>
      </w:r>
    </w:p>
    <w:p w14:paraId="63CD47DC"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9) поставить и разрешить вопрос о применении железных проводов;</w:t>
      </w:r>
    </w:p>
    <w:p w14:paraId="554AA141"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10) произвести подготовку к потреблению алюминия вместо меди;</w:t>
      </w:r>
    </w:p>
    <w:p w14:paraId="2B192EC1"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11) провести, по возможности, стандартизацию производства гражданских и военных телеграфных и телефонных аппаратов;</w:t>
      </w:r>
    </w:p>
    <w:p w14:paraId="00236A6C"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 xml:space="preserve">12) усилить изыскательную работу в области </w:t>
      </w:r>
      <w:proofErr w:type="spellStart"/>
      <w:r w:rsidRPr="00A259BD">
        <w:rPr>
          <w:color w:val="000000" w:themeColor="text1"/>
          <w:sz w:val="16"/>
          <w:szCs w:val="16"/>
        </w:rPr>
        <w:t>суррогатирования</w:t>
      </w:r>
      <w:proofErr w:type="spellEnd"/>
      <w:r w:rsidRPr="00A259BD">
        <w:rPr>
          <w:color w:val="000000" w:themeColor="text1"/>
          <w:sz w:val="16"/>
          <w:szCs w:val="16"/>
        </w:rPr>
        <w:t xml:space="preserve">, поднятия емкости первичных элементов, приборов управления артогнем и стрельбы по </w:t>
      </w:r>
      <w:proofErr w:type="spellStart"/>
      <w:r w:rsidRPr="00A259BD">
        <w:rPr>
          <w:color w:val="000000" w:themeColor="text1"/>
          <w:sz w:val="16"/>
          <w:szCs w:val="16"/>
        </w:rPr>
        <w:t>аэроцелям</w:t>
      </w:r>
      <w:proofErr w:type="spellEnd"/>
      <w:r w:rsidRPr="00A259BD">
        <w:rPr>
          <w:color w:val="000000" w:themeColor="text1"/>
          <w:sz w:val="16"/>
          <w:szCs w:val="16"/>
        </w:rPr>
        <w:t>, а также по постановке новых производств: прожекторов морского типа с дугой интенсивного горения и ламповых, стеклянных отражений для прожекторов, алюминиевых сплавов, не разъедаемых морской водой, гидроакустике, машин высокого напряжения для радио 5</w:t>
      </w:r>
      <w:r w:rsidRPr="00A259BD">
        <w:rPr>
          <w:color w:val="000000" w:themeColor="text1"/>
          <w:sz w:val="16"/>
          <w:szCs w:val="16"/>
        </w:rPr>
        <w:noBreakHyphen/>
        <w:t>10 тыс. вольт, щелочных аккумуляторов.</w:t>
      </w:r>
    </w:p>
    <w:p w14:paraId="69B66F93" w14:textId="77777777" w:rsidR="00F068A9" w:rsidRPr="00A259BD" w:rsidRDefault="00F068A9"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Председатель </w:t>
      </w:r>
      <w:proofErr w:type="spellStart"/>
      <w:r w:rsidRPr="00A259BD">
        <w:rPr>
          <w:rStyle w:val="af0"/>
          <w:i w:val="0"/>
          <w:color w:val="000000" w:themeColor="text1"/>
          <w:sz w:val="16"/>
          <w:szCs w:val="16"/>
        </w:rPr>
        <w:t>Ботнер</w:t>
      </w:r>
      <w:proofErr w:type="spellEnd"/>
    </w:p>
    <w:p w14:paraId="16E3390B" w14:textId="77777777" w:rsidR="00F068A9" w:rsidRPr="00A259BD" w:rsidRDefault="00F068A9" w:rsidP="009236E3">
      <w:pPr>
        <w:pStyle w:val="ae"/>
        <w:spacing w:before="0" w:after="0"/>
        <w:jc w:val="both"/>
        <w:rPr>
          <w:color w:val="000000" w:themeColor="text1"/>
          <w:sz w:val="16"/>
          <w:szCs w:val="16"/>
        </w:rPr>
      </w:pPr>
      <w:r w:rsidRPr="00A259BD">
        <w:rPr>
          <w:rStyle w:val="af0"/>
          <w:i w:val="0"/>
          <w:color w:val="000000" w:themeColor="text1"/>
          <w:sz w:val="16"/>
          <w:szCs w:val="16"/>
        </w:rPr>
        <w:t>Секретарь Гольдберг</w:t>
      </w:r>
    </w:p>
    <w:p w14:paraId="2610064E" w14:textId="77777777" w:rsidR="00F068A9" w:rsidRPr="00A259BD" w:rsidRDefault="00F068A9" w:rsidP="009236E3">
      <w:pPr>
        <w:pStyle w:val="ae"/>
        <w:spacing w:before="0" w:after="0"/>
        <w:jc w:val="both"/>
        <w:rPr>
          <w:color w:val="000000" w:themeColor="text1"/>
          <w:sz w:val="16"/>
          <w:szCs w:val="16"/>
        </w:rPr>
      </w:pPr>
      <w:r w:rsidRPr="00A259BD">
        <w:rPr>
          <w:color w:val="000000" w:themeColor="text1"/>
          <w:sz w:val="16"/>
          <w:szCs w:val="16"/>
        </w:rPr>
        <w:t>РГАЭ. Ф. 4372. Оп. 91. Д. 363. Л. 8—8об. Подлинник.</w:t>
      </w:r>
    </w:p>
    <w:p w14:paraId="4FCEB7BA"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4372. Оп. 91. Д. 363. Л. 8—8об. Подлинник. </w:t>
      </w:r>
    </w:p>
    <w:p w14:paraId="486B28CC"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Источник: Становление оборонно-промышленного комплекса СССР (1927-1932). М. 2008, стр. 280-281. </w:t>
      </w:r>
    </w:p>
    <w:p w14:paraId="5208E5DC"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Архив: РГАЭ. Ф. 4372. Оп. 91. Д. 363. Л. 8—8об. Подлинник. </w:t>
      </w:r>
    </w:p>
    <w:p w14:paraId="3A671B43"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280-281 (12423).</w:t>
      </w:r>
    </w:p>
    <w:p w14:paraId="208DBA39" w14:textId="77777777" w:rsidR="00F068A9" w:rsidRPr="00A259BD" w:rsidRDefault="00F068A9" w:rsidP="009236E3">
      <w:pPr>
        <w:spacing w:after="0" w:line="240" w:lineRule="auto"/>
        <w:jc w:val="both"/>
        <w:rPr>
          <w:rFonts w:ascii="Times New Roman" w:hAnsi="Times New Roman"/>
          <w:color w:val="000000" w:themeColor="text1"/>
          <w:sz w:val="16"/>
          <w:szCs w:val="16"/>
        </w:rPr>
      </w:pPr>
    </w:p>
    <w:p w14:paraId="782DF139" w14:textId="77777777" w:rsidR="00F547C5" w:rsidRPr="00A259BD" w:rsidRDefault="0081757F"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r w:rsidR="00EA4835" w:rsidRPr="00A259BD">
        <w:rPr>
          <w:rFonts w:ascii="Times New Roman" w:hAnsi="Times New Roman"/>
          <w:i/>
          <w:iCs/>
          <w:color w:val="000000" w:themeColor="text1"/>
          <w:sz w:val="16"/>
          <w:szCs w:val="16"/>
        </w:rPr>
        <w:t>:</w:t>
      </w:r>
    </w:p>
    <w:p w14:paraId="158C13B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9DD1EA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марта 1929 Персия подписывает протокол Литвинова (4962).</w:t>
      </w:r>
    </w:p>
    <w:p w14:paraId="72ED0DC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179892" w14:textId="77777777" w:rsidR="00F70746" w:rsidRPr="00A259BD" w:rsidRDefault="00F70746"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4F44E816" w14:textId="77777777" w:rsidR="00F70746" w:rsidRPr="00A259BD" w:rsidRDefault="00F7074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B71DE52"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марта 1929 года — первый полёт летающей лодки Boeing Model 204. /США/</w:t>
      </w:r>
    </w:p>
    <w:p w14:paraId="7A6AA177"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1928 году компания Boeing построила летающую лодку Model 6E, рассчитанную на 3 пассажиров. После выпуска 5 самолётов было принято решение увеличить вместимость. Новая модель получила обозначение Model 204.</w:t>
      </w:r>
    </w:p>
    <w:p w14:paraId="67C13C7A"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Внешне Model 204 практически не отличался от Model 6E. Это был одномоторный биплан с толкающим винтом. Главные отличия коснулись кабины (теперь там могло разместиться 4 пассажира) и двигателя (устанавливались более мощные Pratt &amp; Whitney R-1340 </w:t>
      </w:r>
      <w:proofErr w:type="spellStart"/>
      <w:r w:rsidRPr="00A259BD">
        <w:rPr>
          <w:rFonts w:ascii="Times New Roman" w:hAnsi="Times New Roman"/>
          <w:color w:val="000000" w:themeColor="text1"/>
          <w:sz w:val="16"/>
          <w:szCs w:val="16"/>
        </w:rPr>
        <w:t>Wasp</w:t>
      </w:r>
      <w:proofErr w:type="spellEnd"/>
      <w:r w:rsidRPr="00A259BD">
        <w:rPr>
          <w:rFonts w:ascii="Times New Roman" w:hAnsi="Times New Roman"/>
          <w:color w:val="000000" w:themeColor="text1"/>
          <w:sz w:val="16"/>
          <w:szCs w:val="16"/>
        </w:rPr>
        <w:t xml:space="preserve"> в 410 л.с.) Крейсерская скорость — 153 км/ч, дальность полёта — 563 км.</w:t>
      </w:r>
    </w:p>
    <w:p w14:paraId="7B3A0409"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Было выпущено 7 летающих лодок Model 204. Большая часть производилась дочерней компанией Boeing Aircraft </w:t>
      </w:r>
      <w:proofErr w:type="spellStart"/>
      <w:r w:rsidRPr="00A259BD">
        <w:rPr>
          <w:rFonts w:ascii="Times New Roman" w:hAnsi="Times New Roman"/>
          <w:color w:val="000000" w:themeColor="text1"/>
          <w:sz w:val="16"/>
          <w:szCs w:val="16"/>
        </w:rPr>
        <w:t>of</w:t>
      </w:r>
      <w:proofErr w:type="spellEnd"/>
      <w:r w:rsidRPr="00A259BD">
        <w:rPr>
          <w:rFonts w:ascii="Times New Roman" w:hAnsi="Times New Roman"/>
          <w:color w:val="000000" w:themeColor="text1"/>
          <w:sz w:val="16"/>
          <w:szCs w:val="16"/>
        </w:rPr>
        <w:t xml:space="preserve"> Canada под обозначением C-204 Thunderbird. Самолёты использовались частными владельцами, а также небольшими авиакомпаниями — </w:t>
      </w:r>
      <w:proofErr w:type="spellStart"/>
      <w:r w:rsidRPr="00A259BD">
        <w:rPr>
          <w:rFonts w:ascii="Times New Roman" w:hAnsi="Times New Roman"/>
          <w:color w:val="000000" w:themeColor="text1"/>
          <w:sz w:val="16"/>
          <w:szCs w:val="16"/>
        </w:rPr>
        <w:t>Gorst</w:t>
      </w:r>
      <w:proofErr w:type="spellEnd"/>
      <w:r w:rsidRPr="00A259BD">
        <w:rPr>
          <w:rFonts w:ascii="Times New Roman" w:hAnsi="Times New Roman"/>
          <w:color w:val="000000" w:themeColor="text1"/>
          <w:sz w:val="16"/>
          <w:szCs w:val="16"/>
        </w:rPr>
        <w:t xml:space="preserve"> Air Transport, Western Canada Airways — для перевозки пассажиров и почты (22300).</w:t>
      </w:r>
    </w:p>
    <w:p w14:paraId="7BB9C6CD" w14:textId="77777777" w:rsidR="00F70746" w:rsidRPr="00A259BD" w:rsidRDefault="00F70746" w:rsidP="009236E3">
      <w:pPr>
        <w:spacing w:after="0" w:line="240" w:lineRule="auto"/>
        <w:jc w:val="both"/>
        <w:rPr>
          <w:rFonts w:ascii="Times New Roman" w:hAnsi="Times New Roman"/>
          <w:color w:val="000000" w:themeColor="text1"/>
          <w:sz w:val="16"/>
          <w:szCs w:val="16"/>
        </w:rPr>
      </w:pPr>
    </w:p>
    <w:p w14:paraId="0B3799B1" w14:textId="77777777" w:rsidR="007F4634"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F0FC688" w14:textId="77777777" w:rsidR="007F4634" w:rsidRPr="00A259BD" w:rsidRDefault="007F463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404831" w14:textId="77777777" w:rsidR="007F4634" w:rsidRPr="00A259BD" w:rsidRDefault="007F4634"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5 марта</w:t>
      </w:r>
      <w:r w:rsidRPr="00A259BD">
        <w:rPr>
          <w:rFonts w:ascii="Times New Roman" w:hAnsi="Times New Roman"/>
          <w:color w:val="000000" w:themeColor="text1"/>
          <w:sz w:val="16"/>
          <w:szCs w:val="16"/>
        </w:rPr>
        <w:t xml:space="preserve"> в 1929 году коллектив ленинградского завода "Красный выборжец" через газету "Правда" вызвал другие предприятия страны на соревнование. Тем самым было положено начало институту социалистического соревнования в СССР (15059).</w:t>
      </w:r>
    </w:p>
    <w:p w14:paraId="7C1E5225" w14:textId="77777777" w:rsidR="007F4634" w:rsidRPr="00A259BD" w:rsidRDefault="007F4634" w:rsidP="009236E3">
      <w:pPr>
        <w:spacing w:after="0" w:line="240" w:lineRule="auto"/>
        <w:jc w:val="both"/>
        <w:rPr>
          <w:rFonts w:ascii="Times New Roman" w:hAnsi="Times New Roman"/>
          <w:color w:val="000000" w:themeColor="text1"/>
          <w:sz w:val="16"/>
          <w:szCs w:val="16"/>
        </w:rPr>
      </w:pPr>
    </w:p>
    <w:p w14:paraId="3242472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3B1A5B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12F87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марта 1929 коллектив завода Красный выборжец вызвал другие предприятия СССР на соцсоревнование (3481).</w:t>
      </w:r>
    </w:p>
    <w:p w14:paraId="57652C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F67DF9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марта 1929 создан Запорожский драматический театр (4962).</w:t>
      </w:r>
    </w:p>
    <w:p w14:paraId="2EF9A88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C41D5D" w14:textId="77777777" w:rsidR="00F068A9"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0A74118" w14:textId="77777777" w:rsidR="00F068A9" w:rsidRPr="00A259BD" w:rsidRDefault="00F068A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78F40E" w14:textId="77777777" w:rsidR="00F068A9" w:rsidRPr="00A259BD" w:rsidRDefault="00F068A9" w:rsidP="009236E3">
      <w:pPr>
        <w:pStyle w:val="rtejustify"/>
        <w:spacing w:before="0" w:after="0"/>
        <w:rPr>
          <w:color w:val="000000" w:themeColor="text1"/>
          <w:sz w:val="16"/>
          <w:szCs w:val="16"/>
        </w:rPr>
      </w:pPr>
      <w:r w:rsidRPr="00A259BD">
        <w:rPr>
          <w:rStyle w:val="af0"/>
          <w:i w:val="0"/>
          <w:color w:val="000000" w:themeColor="text1"/>
          <w:sz w:val="16"/>
          <w:szCs w:val="16"/>
        </w:rPr>
        <w:t xml:space="preserve">6 марта </w:t>
      </w:r>
      <w:r w:rsidRPr="00A259BD">
        <w:rPr>
          <w:color w:val="000000" w:themeColor="text1"/>
          <w:sz w:val="16"/>
          <w:szCs w:val="16"/>
        </w:rPr>
        <w:t>1929 г</w:t>
      </w:r>
      <w:r w:rsidRPr="00A259BD">
        <w:rPr>
          <w:rStyle w:val="af0"/>
          <w:i w:val="0"/>
          <w:color w:val="000000" w:themeColor="text1"/>
          <w:sz w:val="16"/>
          <w:szCs w:val="16"/>
        </w:rPr>
        <w:t>. Протокол Реввоенсовета № 15.</w:t>
      </w:r>
      <w:r w:rsidRPr="00A259BD">
        <w:rPr>
          <w:color w:val="000000" w:themeColor="text1"/>
          <w:sz w:val="16"/>
          <w:szCs w:val="16"/>
        </w:rPr>
        <w:t xml:space="preserve"> 3. О техническом состоянии </w:t>
      </w:r>
      <w:proofErr w:type="spellStart"/>
      <w:r w:rsidRPr="00A259BD">
        <w:rPr>
          <w:color w:val="000000" w:themeColor="text1"/>
          <w:sz w:val="16"/>
          <w:szCs w:val="16"/>
        </w:rPr>
        <w:t>артимущества</w:t>
      </w:r>
      <w:proofErr w:type="spellEnd"/>
      <w:r w:rsidRPr="00A259BD">
        <w:rPr>
          <w:color w:val="000000" w:themeColor="text1"/>
          <w:sz w:val="16"/>
          <w:szCs w:val="16"/>
        </w:rPr>
        <w:t xml:space="preserve"> в войсках. (</w:t>
      </w:r>
      <w:proofErr w:type="spellStart"/>
      <w:r w:rsidRPr="00A259BD">
        <w:rPr>
          <w:color w:val="000000" w:themeColor="text1"/>
          <w:sz w:val="16"/>
          <w:szCs w:val="16"/>
        </w:rPr>
        <w:t>Гарф</w:t>
      </w:r>
      <w:proofErr w:type="spellEnd"/>
      <w:r w:rsidRPr="00A259BD">
        <w:rPr>
          <w:color w:val="000000" w:themeColor="text1"/>
          <w:sz w:val="16"/>
          <w:szCs w:val="16"/>
        </w:rPr>
        <w:t xml:space="preserve">, в прениях — </w:t>
      </w:r>
      <w:proofErr w:type="spellStart"/>
      <w:r w:rsidRPr="00A259BD">
        <w:rPr>
          <w:color w:val="000000" w:themeColor="text1"/>
          <w:sz w:val="16"/>
          <w:szCs w:val="16"/>
        </w:rPr>
        <w:t>Грендаль</w:t>
      </w:r>
      <w:proofErr w:type="spellEnd"/>
      <w:r w:rsidRPr="00A259BD">
        <w:rPr>
          <w:color w:val="000000" w:themeColor="text1"/>
          <w:sz w:val="16"/>
          <w:szCs w:val="16"/>
        </w:rPr>
        <w:t xml:space="preserve">, </w:t>
      </w:r>
      <w:proofErr w:type="spellStart"/>
      <w:r w:rsidRPr="00A259BD">
        <w:rPr>
          <w:color w:val="000000" w:themeColor="text1"/>
          <w:sz w:val="16"/>
          <w:szCs w:val="16"/>
        </w:rPr>
        <w:t>Уншлихт</w:t>
      </w:r>
      <w:proofErr w:type="spellEnd"/>
      <w:r w:rsidRPr="00A259BD">
        <w:rPr>
          <w:color w:val="000000" w:themeColor="text1"/>
          <w:sz w:val="16"/>
          <w:szCs w:val="16"/>
        </w:rPr>
        <w:t>), ставится 2</w:t>
      </w:r>
      <w:r w:rsidRPr="00A259BD">
        <w:rPr>
          <w:color w:val="000000" w:themeColor="text1"/>
          <w:sz w:val="16"/>
          <w:szCs w:val="16"/>
        </w:rPr>
        <w:noBreakHyphen/>
        <w:t>й раз. 5. О 203</w:t>
      </w:r>
      <w:r w:rsidRPr="00A259BD">
        <w:rPr>
          <w:color w:val="000000" w:themeColor="text1"/>
          <w:sz w:val="16"/>
          <w:szCs w:val="16"/>
        </w:rPr>
        <w:noBreakHyphen/>
        <w:t>мм гаубице системы Шнейдера и о 203</w:t>
      </w:r>
      <w:r w:rsidRPr="00A259BD">
        <w:rPr>
          <w:color w:val="000000" w:themeColor="text1"/>
          <w:sz w:val="16"/>
          <w:szCs w:val="16"/>
        </w:rPr>
        <w:noBreakHyphen/>
        <w:t xml:space="preserve">мм гаубице системы </w:t>
      </w:r>
      <w:proofErr w:type="spellStart"/>
      <w:r w:rsidRPr="00A259BD">
        <w:rPr>
          <w:color w:val="000000" w:themeColor="text1"/>
          <w:sz w:val="16"/>
          <w:szCs w:val="16"/>
        </w:rPr>
        <w:t>Косартопа</w:t>
      </w:r>
      <w:proofErr w:type="spellEnd"/>
      <w:r w:rsidRPr="00A259BD">
        <w:rPr>
          <w:color w:val="000000" w:themeColor="text1"/>
          <w:sz w:val="16"/>
          <w:szCs w:val="16"/>
        </w:rPr>
        <w:t xml:space="preserve"> (Шапошников и С. С. Каменев), ставится 4</w:t>
      </w:r>
      <w:r w:rsidRPr="00A259BD">
        <w:rPr>
          <w:color w:val="000000" w:themeColor="text1"/>
          <w:sz w:val="16"/>
          <w:szCs w:val="16"/>
        </w:rPr>
        <w:noBreakHyphen/>
        <w:t>й раз. 6. О 107</w:t>
      </w:r>
      <w:r w:rsidRPr="00A259BD">
        <w:rPr>
          <w:color w:val="000000" w:themeColor="text1"/>
          <w:sz w:val="16"/>
          <w:szCs w:val="16"/>
        </w:rPr>
        <w:noBreakHyphen/>
        <w:t>мм зажигательном снаряде № 3 (Шапошников), ставится 1</w:t>
      </w:r>
      <w:r w:rsidRPr="00A259BD">
        <w:rPr>
          <w:color w:val="000000" w:themeColor="text1"/>
          <w:sz w:val="16"/>
          <w:szCs w:val="16"/>
        </w:rPr>
        <w:noBreakHyphen/>
        <w:t>й раз. 12. О невыполненных заданиях РВС СССР. (РГВА. Ф. 4. Оп. 18. Д. 15. Л. 98, 100, 101</w:t>
      </w:r>
      <w:r w:rsidRPr="00A259BD">
        <w:rPr>
          <w:color w:val="000000" w:themeColor="text1"/>
          <w:sz w:val="16"/>
          <w:szCs w:val="16"/>
        </w:rPr>
        <w:noBreakHyphen/>
        <w:t>102, 104</w:t>
      </w:r>
      <w:r w:rsidRPr="00A259BD">
        <w:rPr>
          <w:color w:val="000000" w:themeColor="text1"/>
          <w:sz w:val="16"/>
          <w:szCs w:val="16"/>
        </w:rPr>
        <w:noBreakHyphen/>
        <w:t>106) (12342).</w:t>
      </w:r>
    </w:p>
    <w:p w14:paraId="6A37C215" w14:textId="77777777" w:rsidR="00F068A9" w:rsidRPr="00A259BD" w:rsidRDefault="00F068A9" w:rsidP="009236E3">
      <w:pPr>
        <w:pStyle w:val="rtejustify"/>
        <w:spacing w:before="0" w:after="0"/>
        <w:rPr>
          <w:color w:val="000000" w:themeColor="text1"/>
          <w:sz w:val="16"/>
          <w:szCs w:val="16"/>
        </w:rPr>
      </w:pPr>
    </w:p>
    <w:p w14:paraId="781D895A" w14:textId="77777777" w:rsidR="00F068A9" w:rsidRPr="00A259BD" w:rsidRDefault="00F068A9" w:rsidP="009236E3">
      <w:pPr>
        <w:pStyle w:val="rtejustify"/>
        <w:spacing w:before="0" w:after="0"/>
        <w:rPr>
          <w:color w:val="000000" w:themeColor="text1"/>
          <w:sz w:val="16"/>
          <w:szCs w:val="16"/>
        </w:rPr>
      </w:pPr>
      <w:r w:rsidRPr="00A259BD">
        <w:rPr>
          <w:rStyle w:val="af0"/>
          <w:i w:val="0"/>
          <w:color w:val="000000" w:themeColor="text1"/>
          <w:sz w:val="16"/>
          <w:szCs w:val="16"/>
        </w:rPr>
        <w:t xml:space="preserve">6 марта </w:t>
      </w:r>
      <w:r w:rsidRPr="00A259BD">
        <w:rPr>
          <w:color w:val="000000" w:themeColor="text1"/>
          <w:sz w:val="16"/>
          <w:szCs w:val="16"/>
        </w:rPr>
        <w:t>1929 г</w:t>
      </w:r>
      <w:r w:rsidRPr="00A259BD">
        <w:rPr>
          <w:rStyle w:val="af0"/>
          <w:i w:val="0"/>
          <w:color w:val="000000" w:themeColor="text1"/>
          <w:sz w:val="16"/>
          <w:szCs w:val="16"/>
        </w:rPr>
        <w:t>. Протокол Реввоенсовета № 18.</w:t>
      </w:r>
      <w:r w:rsidRPr="00A259BD">
        <w:rPr>
          <w:color w:val="000000" w:themeColor="text1"/>
          <w:sz w:val="16"/>
          <w:szCs w:val="16"/>
        </w:rPr>
        <w:t xml:space="preserve"> 4. О заказе на батальонную артиллерию. (Постников, в прениях — </w:t>
      </w:r>
      <w:proofErr w:type="spellStart"/>
      <w:r w:rsidRPr="00A259BD">
        <w:rPr>
          <w:color w:val="000000" w:themeColor="text1"/>
          <w:sz w:val="16"/>
          <w:szCs w:val="16"/>
        </w:rPr>
        <w:t>Гарф</w:t>
      </w:r>
      <w:proofErr w:type="spellEnd"/>
      <w:r w:rsidRPr="00A259BD">
        <w:rPr>
          <w:color w:val="000000" w:themeColor="text1"/>
          <w:sz w:val="16"/>
          <w:szCs w:val="16"/>
        </w:rPr>
        <w:t xml:space="preserve">, Кулик, Ворошилов, </w:t>
      </w:r>
      <w:proofErr w:type="spellStart"/>
      <w:r w:rsidRPr="00A259BD">
        <w:rPr>
          <w:color w:val="000000" w:themeColor="text1"/>
          <w:sz w:val="16"/>
          <w:szCs w:val="16"/>
        </w:rPr>
        <w:t>Уншлихт</w:t>
      </w:r>
      <w:proofErr w:type="spellEnd"/>
      <w:r w:rsidRPr="00A259BD">
        <w:rPr>
          <w:color w:val="000000" w:themeColor="text1"/>
          <w:sz w:val="16"/>
          <w:szCs w:val="16"/>
        </w:rPr>
        <w:t>), ставится 1</w:t>
      </w:r>
      <w:r w:rsidRPr="00A259BD">
        <w:rPr>
          <w:color w:val="000000" w:themeColor="text1"/>
          <w:sz w:val="16"/>
          <w:szCs w:val="16"/>
        </w:rPr>
        <w:noBreakHyphen/>
        <w:t>й раз. 6. О введении на вооружение прожекторной станции 0</w:t>
      </w:r>
      <w:r w:rsidRPr="00A259BD">
        <w:rPr>
          <w:color w:val="000000" w:themeColor="text1"/>
          <w:sz w:val="16"/>
          <w:szCs w:val="16"/>
        </w:rPr>
        <w:noBreakHyphen/>
        <w:t>15</w:t>
      </w:r>
      <w:r w:rsidRPr="00A259BD">
        <w:rPr>
          <w:color w:val="000000" w:themeColor="text1"/>
          <w:sz w:val="16"/>
          <w:szCs w:val="16"/>
        </w:rPr>
        <w:noBreakHyphen/>
        <w:t>2 (Шапошников). 7. О введении на вооружение химических снарядов (Шапошников). 8. О введении на вооружение 8</w:t>
      </w:r>
      <w:r w:rsidRPr="00A259BD">
        <w:rPr>
          <w:color w:val="000000" w:themeColor="text1"/>
          <w:sz w:val="16"/>
          <w:szCs w:val="16"/>
        </w:rPr>
        <w:noBreakHyphen/>
        <w:t xml:space="preserve">килограммовой химической </w:t>
      </w:r>
      <w:proofErr w:type="spellStart"/>
      <w:r w:rsidRPr="00A259BD">
        <w:rPr>
          <w:color w:val="000000" w:themeColor="text1"/>
          <w:sz w:val="16"/>
          <w:szCs w:val="16"/>
        </w:rPr>
        <w:t>аэробомбы</w:t>
      </w:r>
      <w:proofErr w:type="spellEnd"/>
      <w:r w:rsidRPr="00A259BD">
        <w:rPr>
          <w:color w:val="000000" w:themeColor="text1"/>
          <w:sz w:val="16"/>
          <w:szCs w:val="16"/>
        </w:rPr>
        <w:t xml:space="preserve"> (Шапошников). 9. О вознаграждении изобретателей (Янсон, в прениях — Ворошилов, Баранов). (РГВА. Ф. 4. Оп. 18. Д. 15. Л. 121</w:t>
      </w:r>
      <w:r w:rsidRPr="00A259BD">
        <w:rPr>
          <w:color w:val="000000" w:themeColor="text1"/>
          <w:sz w:val="16"/>
          <w:szCs w:val="16"/>
        </w:rPr>
        <w:noBreakHyphen/>
        <w:t>123) (12342).</w:t>
      </w:r>
    </w:p>
    <w:p w14:paraId="202B26DA" w14:textId="77777777" w:rsidR="00F068A9" w:rsidRPr="00A259BD" w:rsidRDefault="00F068A9" w:rsidP="009236E3">
      <w:pPr>
        <w:pStyle w:val="rtejustify"/>
        <w:spacing w:before="0" w:after="0"/>
        <w:rPr>
          <w:color w:val="000000" w:themeColor="text1"/>
          <w:sz w:val="16"/>
          <w:szCs w:val="16"/>
        </w:rPr>
      </w:pPr>
    </w:p>
    <w:p w14:paraId="327E3510" w14:textId="77777777" w:rsidR="00F068A9" w:rsidRPr="00A259BD" w:rsidRDefault="00F068A9"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6 марта</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РЗ СТО СССР о состоянии подготовки промышленности к обороне (ГА РФ. Ф. Р?8418. Оп. 28; РГАЭ. Ф. 2097. Оп. 1. Д. 769. Л. 41?38.; ГА РФ. Ф. Р?8418. Оп. 3. Д. 9. Л. 1?2 об.) (12415).</w:t>
      </w:r>
    </w:p>
    <w:p w14:paraId="2EC685AC" w14:textId="77777777" w:rsidR="00F068A9" w:rsidRPr="00A259BD" w:rsidRDefault="00F068A9" w:rsidP="009236E3">
      <w:pPr>
        <w:spacing w:after="0" w:line="240" w:lineRule="auto"/>
        <w:jc w:val="both"/>
        <w:rPr>
          <w:rFonts w:ascii="Times New Roman" w:hAnsi="Times New Roman"/>
          <w:color w:val="000000" w:themeColor="text1"/>
          <w:sz w:val="16"/>
          <w:szCs w:val="16"/>
          <w:u w:color="002060"/>
        </w:rPr>
      </w:pPr>
    </w:p>
    <w:p w14:paraId="1102EFAE"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6 марта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СНК принял постановление «О мерах к укреплению трудовой дисциплины в государственных предприятиях» (12265).</w:t>
      </w:r>
    </w:p>
    <w:p w14:paraId="38B191AC"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0F2E347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A9EE5C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CE136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марта 1929 Болгария и Турция заключили договор о дружбе (3907,156).</w:t>
      </w:r>
    </w:p>
    <w:p w14:paraId="26EE92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98965D3" w14:textId="77777777" w:rsidR="00F068A9"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71423CD" w14:textId="77777777" w:rsidR="00F068A9" w:rsidRPr="00A259BD" w:rsidRDefault="00F068A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AAE2245"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марта 1929 г. Выписка из протокола заседания Президиума ВСНХ СССР о состоянии и перспективах азотного строительства СССР (РГАЭ. Ф. 3429. Оп. 16. Д. 2. Л. 132?131) (12417).</w:t>
      </w:r>
    </w:p>
    <w:p w14:paraId="0565B71E" w14:textId="77777777" w:rsidR="00F068A9" w:rsidRPr="00A259BD" w:rsidRDefault="00F068A9" w:rsidP="009236E3">
      <w:pPr>
        <w:spacing w:after="0" w:line="240" w:lineRule="auto"/>
        <w:jc w:val="both"/>
        <w:rPr>
          <w:rFonts w:ascii="Times New Roman" w:hAnsi="Times New Roman"/>
          <w:color w:val="000000" w:themeColor="text1"/>
          <w:sz w:val="16"/>
          <w:szCs w:val="16"/>
        </w:rPr>
      </w:pPr>
    </w:p>
    <w:p w14:paraId="2A2EABBA" w14:textId="77777777" w:rsidR="007F4634" w:rsidRPr="00A259BD" w:rsidRDefault="007F4634" w:rsidP="009236E3">
      <w:pPr>
        <w:spacing w:after="0" w:line="240" w:lineRule="auto"/>
        <w:jc w:val="both"/>
        <w:rPr>
          <w:rStyle w:val="af0"/>
          <w:rFonts w:ascii="Times New Roman" w:hAnsi="Times New Roman"/>
          <w:i w:val="0"/>
          <w:color w:val="000000" w:themeColor="text1"/>
          <w:sz w:val="16"/>
          <w:szCs w:val="16"/>
        </w:rPr>
      </w:pPr>
      <w:r w:rsidRPr="00A259BD">
        <w:rPr>
          <w:rFonts w:ascii="Times New Roman" w:hAnsi="Times New Roman"/>
          <w:bCs/>
          <w:color w:val="000000" w:themeColor="text1"/>
          <w:sz w:val="16"/>
          <w:szCs w:val="16"/>
        </w:rPr>
        <w:t xml:space="preserve">7 марта 1929 г. Сообщение начальника ВМС РККА Р. А. </w:t>
      </w:r>
      <w:proofErr w:type="spellStart"/>
      <w:r w:rsidRPr="00A259BD">
        <w:rPr>
          <w:rFonts w:ascii="Times New Roman" w:hAnsi="Times New Roman"/>
          <w:bCs/>
          <w:color w:val="000000" w:themeColor="text1"/>
          <w:sz w:val="16"/>
          <w:szCs w:val="16"/>
        </w:rPr>
        <w:t>Муклевича</w:t>
      </w:r>
      <w:proofErr w:type="spellEnd"/>
      <w:r w:rsidRPr="00A259BD">
        <w:rPr>
          <w:rFonts w:ascii="Times New Roman" w:hAnsi="Times New Roman"/>
          <w:bCs/>
          <w:color w:val="000000" w:themeColor="text1"/>
          <w:sz w:val="16"/>
          <w:szCs w:val="16"/>
        </w:rPr>
        <w:t xml:space="preserve"> начальнику Мобилизационно-планового управления ВСНХ СССР А. М. Постникову об использовании иностранной технической помощи в военной промышленности</w:t>
      </w:r>
    </w:p>
    <w:p w14:paraId="5B7ED064"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Секретно.</w:t>
      </w:r>
    </w:p>
    <w:p w14:paraId="2B0D73A8"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Сообщаю:</w:t>
      </w:r>
    </w:p>
    <w:p w14:paraId="3E1ABA04"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 xml:space="preserve">1. Каких-либо договоров, заключенных </w:t>
      </w:r>
      <w:proofErr w:type="spellStart"/>
      <w:r w:rsidRPr="00A259BD">
        <w:rPr>
          <w:color w:val="000000" w:themeColor="text1"/>
          <w:sz w:val="16"/>
          <w:szCs w:val="16"/>
        </w:rPr>
        <w:t>НКВМором</w:t>
      </w:r>
      <w:proofErr w:type="spellEnd"/>
      <w:r w:rsidRPr="00A259BD">
        <w:rPr>
          <w:color w:val="000000" w:themeColor="text1"/>
          <w:sz w:val="16"/>
          <w:szCs w:val="16"/>
        </w:rPr>
        <w:t xml:space="preserve"> непосредственно в целях осуществления иностранной технической помощи для ВМС РККА, не имеется, и в таких непосредственных договорах надобности нет. Однако ВМС РККА считает совершенно необходимым срочно развернуть </w:t>
      </w:r>
      <w:proofErr w:type="spellStart"/>
      <w:r w:rsidRPr="00A259BD">
        <w:rPr>
          <w:color w:val="000000" w:themeColor="text1"/>
          <w:sz w:val="16"/>
          <w:szCs w:val="16"/>
        </w:rPr>
        <w:t>технопомощь</w:t>
      </w:r>
      <w:proofErr w:type="spellEnd"/>
      <w:r w:rsidRPr="00A259BD">
        <w:rPr>
          <w:color w:val="000000" w:themeColor="text1"/>
          <w:sz w:val="16"/>
          <w:szCs w:val="16"/>
        </w:rPr>
        <w:t xml:space="preserve"> по линии </w:t>
      </w:r>
      <w:proofErr w:type="spellStart"/>
      <w:r w:rsidRPr="00A259BD">
        <w:rPr>
          <w:color w:val="000000" w:themeColor="text1"/>
          <w:sz w:val="16"/>
          <w:szCs w:val="16"/>
        </w:rPr>
        <w:t>госпромышленности</w:t>
      </w:r>
      <w:proofErr w:type="spellEnd"/>
      <w:r w:rsidRPr="00A259BD">
        <w:rPr>
          <w:color w:val="000000" w:themeColor="text1"/>
          <w:sz w:val="16"/>
          <w:szCs w:val="16"/>
        </w:rPr>
        <w:t>, обслуживающей нужды ВМС РККА.</w:t>
      </w:r>
    </w:p>
    <w:p w14:paraId="225EF7F5"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 xml:space="preserve">2. Такая </w:t>
      </w:r>
      <w:proofErr w:type="spellStart"/>
      <w:r w:rsidRPr="00A259BD">
        <w:rPr>
          <w:color w:val="000000" w:themeColor="text1"/>
          <w:sz w:val="16"/>
          <w:szCs w:val="16"/>
        </w:rPr>
        <w:t>технопомощь</w:t>
      </w:r>
      <w:proofErr w:type="spellEnd"/>
      <w:r w:rsidRPr="00A259BD">
        <w:rPr>
          <w:color w:val="000000" w:themeColor="text1"/>
          <w:sz w:val="16"/>
          <w:szCs w:val="16"/>
        </w:rPr>
        <w:t xml:space="preserve"> должна быть осуществлена в следующих отраслях ВСНХ СССР:</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85"/>
        <w:gridCol w:w="2361"/>
        <w:gridCol w:w="2276"/>
      </w:tblGrid>
      <w:tr w:rsidR="00A259BD" w:rsidRPr="00A259BD" w14:paraId="26130E4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05B36F0"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Объект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77339"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Где должна применяться </w:t>
            </w:r>
            <w:proofErr w:type="spellStart"/>
            <w:r w:rsidRPr="00A259BD">
              <w:rPr>
                <w:rFonts w:ascii="Times New Roman" w:hAnsi="Times New Roman"/>
                <w:color w:val="000000" w:themeColor="text1"/>
                <w:sz w:val="16"/>
                <w:szCs w:val="16"/>
              </w:rPr>
              <w:t>технопомощь</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3EC29F9"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 кого необходима </w:t>
            </w:r>
            <w:proofErr w:type="spellStart"/>
            <w:r w:rsidRPr="00A259BD">
              <w:rPr>
                <w:rFonts w:ascii="Times New Roman" w:hAnsi="Times New Roman"/>
                <w:color w:val="000000" w:themeColor="text1"/>
                <w:sz w:val="16"/>
                <w:szCs w:val="16"/>
              </w:rPr>
              <w:t>технопомощь</w:t>
            </w:r>
            <w:proofErr w:type="spellEnd"/>
          </w:p>
        </w:tc>
      </w:tr>
      <w:tr w:rsidR="00A259BD" w:rsidRPr="00A259BD" w14:paraId="2893424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4166A18"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Судостроение (реконструкция судостроительных заводов и рационализация их; проектирование военных кораблей; производственные судостроительные процессы, в частности, электросварка корпусов кораблей)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0E114"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«Гипромез»</w:t>
            </w:r>
          </w:p>
          <w:p w14:paraId="75F7853E"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Суцопроект</w:t>
            </w:r>
            <w:proofErr w:type="spellEnd"/>
            <w:r w:rsidRPr="00A259BD">
              <w:rPr>
                <w:rFonts w:ascii="Times New Roman" w:hAnsi="Times New Roman"/>
                <w:color w:val="000000" w:themeColor="text1"/>
                <w:sz w:val="16"/>
                <w:szCs w:val="16"/>
              </w:rPr>
              <w:t>»</w:t>
            </w:r>
          </w:p>
          <w:p w14:paraId="33BF9894"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Судотрест</w:t>
            </w:r>
            <w:proofErr w:type="spellEnd"/>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D45BF"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верфь «Круппа»</w:t>
            </w:r>
          </w:p>
          <w:p w14:paraId="2779A461"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(«Германия</w:t>
            </w:r>
            <w:r w:rsidRPr="00A259BD">
              <w:rPr>
                <w:rFonts w:ascii="Times New Roman" w:hAnsi="Times New Roman"/>
                <w:color w:val="000000" w:themeColor="text1"/>
                <w:sz w:val="16"/>
                <w:szCs w:val="16"/>
              </w:rPr>
              <w:noBreakHyphen/>
              <w:t>верфь)</w:t>
            </w:r>
          </w:p>
          <w:p w14:paraId="00A3D79D"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w:t>
            </w:r>
            <w:proofErr w:type="spellStart"/>
            <w:r w:rsidRPr="00A259BD">
              <w:rPr>
                <w:rFonts w:ascii="Times New Roman" w:hAnsi="Times New Roman"/>
                <w:color w:val="000000" w:themeColor="text1"/>
                <w:sz w:val="16"/>
                <w:szCs w:val="16"/>
              </w:rPr>
              <w:t>Дешимаг</w:t>
            </w:r>
            <w:proofErr w:type="spellEnd"/>
            <w:r w:rsidRPr="00A259BD">
              <w:rPr>
                <w:rFonts w:ascii="Times New Roman" w:hAnsi="Times New Roman"/>
                <w:color w:val="000000" w:themeColor="text1"/>
                <w:sz w:val="16"/>
                <w:szCs w:val="16"/>
              </w:rPr>
              <w:t>» или непосредственно с организацией, проектирующей и строящей подлодки в Голландии</w:t>
            </w:r>
          </w:p>
        </w:tc>
      </w:tr>
      <w:tr w:rsidR="00A259BD" w:rsidRPr="00A259BD" w14:paraId="39A51C0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4619580"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Торпедное дело (проектирование и постройка торпедного завода; проектирование и постройка торпед новейших образцов)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12555"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ГВПУ ВСНХ СССР (завод «Баррикады»)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1F733"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Америка, «Форд»; Германия</w:t>
            </w:r>
          </w:p>
        </w:tc>
      </w:tr>
      <w:tr w:rsidR="00A259BD" w:rsidRPr="00A259BD" w14:paraId="7699EF4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E313F74"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Артиллерийское дело (оптические артиллерийские приборы: телескопические прицелы, дальномеры)¹*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C0D86"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«Большевик»</w:t>
            </w:r>
          </w:p>
          <w:p w14:paraId="707F92FC"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w:t>
            </w:r>
            <w:proofErr w:type="spellStart"/>
            <w:r w:rsidRPr="00A259BD">
              <w:rPr>
                <w:rFonts w:ascii="Times New Roman" w:hAnsi="Times New Roman"/>
                <w:color w:val="000000" w:themeColor="text1"/>
                <w:sz w:val="16"/>
                <w:szCs w:val="16"/>
              </w:rPr>
              <w:t>ТОМПа</w:t>
            </w:r>
            <w:proofErr w:type="spellEnd"/>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6CE6C"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Голландия, фирма «</w:t>
            </w:r>
            <w:proofErr w:type="spellStart"/>
            <w:r w:rsidRPr="00A259BD">
              <w:rPr>
                <w:rFonts w:ascii="Times New Roman" w:hAnsi="Times New Roman"/>
                <w:color w:val="000000" w:themeColor="text1"/>
                <w:sz w:val="16"/>
                <w:szCs w:val="16"/>
              </w:rPr>
              <w:t>Недиско</w:t>
            </w:r>
            <w:proofErr w:type="spellEnd"/>
            <w:r w:rsidRPr="00A259BD">
              <w:rPr>
                <w:rFonts w:ascii="Times New Roman" w:hAnsi="Times New Roman"/>
                <w:color w:val="000000" w:themeColor="text1"/>
                <w:sz w:val="16"/>
                <w:szCs w:val="16"/>
              </w:rPr>
              <w:t>», (быв. «Цейс», Германия)</w:t>
            </w:r>
          </w:p>
        </w:tc>
      </w:tr>
      <w:tr w:rsidR="00A259BD" w:rsidRPr="00A259BD" w14:paraId="04D69DB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A7C91A5"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Металлургия чугуна и стали (перлитовые чугуны взамен стали в отливках, ковкие чугуны, стальные гребные винты взамен бронзовых, стальное тонкостенное литье и протяжка труб больших диаметров, нержавеющие медистые и никелевые судостроительные стали, нержавеющие вязкие стали наивысшего сопротивления, пружинная сталь, сталь высоких качеств для орудий и торпедных резервуаров и т. 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C1253" w14:textId="77777777" w:rsidR="00F068A9" w:rsidRPr="00A259BD" w:rsidRDefault="00F068A9"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Ленсудотрест</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Гомзы</w:t>
            </w:r>
            <w:proofErr w:type="spellEnd"/>
            <w:r w:rsidRPr="00A259BD">
              <w:rPr>
                <w:rFonts w:ascii="Times New Roman" w:hAnsi="Times New Roman"/>
                <w:color w:val="000000" w:themeColor="text1"/>
                <w:sz w:val="16"/>
                <w:szCs w:val="16"/>
              </w:rPr>
              <w:t xml:space="preserve"> (с пересадкой на другие тресты ВСНХ СССР, судостроительные и </w:t>
            </w:r>
            <w:proofErr w:type="spellStart"/>
            <w:r w:rsidRPr="00A259BD">
              <w:rPr>
                <w:rFonts w:ascii="Times New Roman" w:hAnsi="Times New Roman"/>
                <w:color w:val="000000" w:themeColor="text1"/>
                <w:sz w:val="16"/>
                <w:szCs w:val="16"/>
              </w:rPr>
              <w:t>механ</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ические</w:t>
            </w:r>
            <w:proofErr w:type="spellEnd"/>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7DA82"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Германия и Америка</w:t>
            </w:r>
          </w:p>
        </w:tc>
      </w:tr>
      <w:tr w:rsidR="00A259BD" w:rsidRPr="00A259BD" w14:paraId="5CD3B78D"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86C81CB"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Металлургия цветных металлов (</w:t>
            </w:r>
            <w:proofErr w:type="spellStart"/>
            <w:r w:rsidRPr="00A259BD">
              <w:rPr>
                <w:rFonts w:ascii="Times New Roman" w:hAnsi="Times New Roman"/>
                <w:color w:val="000000" w:themeColor="text1"/>
                <w:sz w:val="16"/>
                <w:szCs w:val="16"/>
              </w:rPr>
              <w:t>некоррозирующие</w:t>
            </w:r>
            <w:proofErr w:type="spellEnd"/>
            <w:r w:rsidRPr="00A259BD">
              <w:rPr>
                <w:rFonts w:ascii="Times New Roman" w:hAnsi="Times New Roman"/>
                <w:color w:val="000000" w:themeColor="text1"/>
                <w:sz w:val="16"/>
                <w:szCs w:val="16"/>
              </w:rPr>
              <w:t xml:space="preserve"> алюминиевые сплавы, бронзовое литье для высоких давлений, наиболее экономичные и хорошо сопротивляющиеся трению сплавы типа бронзы, экономичные типы баббитов судового типа для быстроходных машин и тихоходных и т. п.)²*</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C1134" w14:textId="77777777" w:rsidR="00F068A9" w:rsidRPr="00A259BD" w:rsidRDefault="00F068A9"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Ленсудотрест</w:t>
            </w:r>
            <w:proofErr w:type="spellEnd"/>
            <w:r w:rsidRPr="00A259BD">
              <w:rPr>
                <w:rFonts w:ascii="Times New Roman" w:hAnsi="Times New Roman"/>
                <w:color w:val="000000" w:themeColor="text1"/>
                <w:sz w:val="16"/>
                <w:szCs w:val="16"/>
              </w:rPr>
              <w:t>,</w:t>
            </w:r>
          </w:p>
          <w:p w14:paraId="0AECC42C" w14:textId="77777777" w:rsidR="00F068A9" w:rsidRPr="00A259BD" w:rsidRDefault="00F068A9"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Гомзы</w:t>
            </w:r>
            <w:proofErr w:type="spellEnd"/>
            <w:r w:rsidRPr="00A259BD">
              <w:rPr>
                <w:rFonts w:ascii="Times New Roman" w:hAnsi="Times New Roman"/>
                <w:color w:val="000000" w:themeColor="text1"/>
                <w:sz w:val="16"/>
                <w:szCs w:val="16"/>
              </w:rPr>
              <w:t xml:space="preserve"> (с пересадкой на другие тресты ВСНХ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E7C04"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Германия</w:t>
            </w:r>
          </w:p>
          <w:p w14:paraId="6A58697C"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Америка</w:t>
            </w:r>
          </w:p>
        </w:tc>
      </w:tr>
      <w:tr w:rsidR="00A259BD" w:rsidRPr="00A259BD" w14:paraId="1280D3AB"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1357F94"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Постройка мощных дизелей </w:t>
            </w:r>
            <w:proofErr w:type="spellStart"/>
            <w:r w:rsidRPr="00A259BD">
              <w:rPr>
                <w:rFonts w:ascii="Times New Roman" w:hAnsi="Times New Roman"/>
                <w:color w:val="000000" w:themeColor="text1"/>
                <w:sz w:val="16"/>
                <w:szCs w:val="16"/>
              </w:rPr>
              <w:t>легкосудового</w:t>
            </w:r>
            <w:proofErr w:type="spellEnd"/>
            <w:r w:rsidRPr="00A259BD">
              <w:rPr>
                <w:rFonts w:ascii="Times New Roman" w:hAnsi="Times New Roman"/>
                <w:color w:val="000000" w:themeColor="text1"/>
                <w:sz w:val="16"/>
                <w:szCs w:val="16"/>
              </w:rPr>
              <w:t xml:space="preserve"> типа (около 10 кг/НР и менее)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C250F" w14:textId="77777777" w:rsidR="00F068A9" w:rsidRPr="00A259BD" w:rsidRDefault="00F068A9"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Гомзы</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BD6978E"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Германия, «МАН»</w:t>
            </w:r>
          </w:p>
        </w:tc>
      </w:tr>
      <w:tr w:rsidR="00A259BD" w:rsidRPr="00A259BD" w14:paraId="078B75D4"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344F99F"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Проектирование и постройка гидроакустических приборов новейших типов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932F0"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ЭТЗСТ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3E380"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Америка, «Сигнал Корпорейшен»</w:t>
            </w:r>
          </w:p>
        </w:tc>
      </w:tr>
      <w:tr w:rsidR="00A259BD" w:rsidRPr="00A259BD" w14:paraId="5E086DD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C33EEB5"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Проектирование и постройка приборов радиосвязи, прожекторов, гирокомпасов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93B12"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ЭТЗСТ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BE68C"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Америка, «</w:t>
            </w:r>
            <w:proofErr w:type="spellStart"/>
            <w:r w:rsidRPr="00A259BD">
              <w:rPr>
                <w:rFonts w:ascii="Times New Roman" w:hAnsi="Times New Roman"/>
                <w:color w:val="000000" w:themeColor="text1"/>
                <w:sz w:val="16"/>
                <w:szCs w:val="16"/>
              </w:rPr>
              <w:t>Сперри</w:t>
            </w:r>
            <w:proofErr w:type="spellEnd"/>
            <w:r w:rsidRPr="00A259BD">
              <w:rPr>
                <w:rFonts w:ascii="Times New Roman" w:hAnsi="Times New Roman"/>
                <w:color w:val="000000" w:themeColor="text1"/>
                <w:sz w:val="16"/>
                <w:szCs w:val="16"/>
              </w:rPr>
              <w:t>»</w:t>
            </w:r>
          </w:p>
        </w:tc>
      </w:tr>
    </w:tbl>
    <w:p w14:paraId="046B8B6F" w14:textId="77777777" w:rsidR="00F068A9" w:rsidRPr="00A259BD" w:rsidRDefault="00F068A9"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Начальник Военно-морских сил </w:t>
      </w:r>
      <w:hyperlink r:id="rId22" w:history="1">
        <w:proofErr w:type="spellStart"/>
        <w:r w:rsidRPr="00A259BD">
          <w:rPr>
            <w:rStyle w:val="af0"/>
            <w:i w:val="0"/>
            <w:color w:val="000000" w:themeColor="text1"/>
            <w:sz w:val="16"/>
            <w:szCs w:val="16"/>
          </w:rPr>
          <w:t>Муклевич</w:t>
        </w:r>
        <w:proofErr w:type="spellEnd"/>
      </w:hyperlink>
    </w:p>
    <w:p w14:paraId="2CD0D421" w14:textId="77777777" w:rsidR="00F068A9" w:rsidRPr="00A259BD" w:rsidRDefault="00F068A9"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p>
    <w:p w14:paraId="6266AF4F"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xml:space="preserve">* В области заграничной </w:t>
      </w:r>
      <w:proofErr w:type="spellStart"/>
      <w:r w:rsidRPr="00A259BD">
        <w:rPr>
          <w:color w:val="000000" w:themeColor="text1"/>
          <w:sz w:val="16"/>
          <w:szCs w:val="16"/>
        </w:rPr>
        <w:t>технономощи</w:t>
      </w:r>
      <w:proofErr w:type="spellEnd"/>
      <w:r w:rsidRPr="00A259BD">
        <w:rPr>
          <w:color w:val="000000" w:themeColor="text1"/>
          <w:sz w:val="16"/>
          <w:szCs w:val="16"/>
        </w:rPr>
        <w:t xml:space="preserve"> по современным трубкам и порохом ВМС РККА полагает, что АУ УС РККА со своей стороны выставит такую потребность, которая позволит ВМС РККА обеспечить и свои задачи (</w:t>
      </w:r>
      <w:r w:rsidRPr="00A259BD">
        <w:rPr>
          <w:rStyle w:val="af0"/>
          <w:i w:val="0"/>
          <w:color w:val="000000" w:themeColor="text1"/>
          <w:sz w:val="16"/>
          <w:szCs w:val="16"/>
        </w:rPr>
        <w:t>Прим. док</w:t>
      </w:r>
      <w:r w:rsidRPr="00A259BD">
        <w:rPr>
          <w:color w:val="000000" w:themeColor="text1"/>
          <w:sz w:val="16"/>
          <w:szCs w:val="16"/>
        </w:rPr>
        <w:t>.).</w:t>
      </w:r>
    </w:p>
    <w:p w14:paraId="186041D1"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xml:space="preserve">* Что касается дела применения в машиностроении </w:t>
      </w:r>
      <w:proofErr w:type="spellStart"/>
      <w:r w:rsidRPr="00A259BD">
        <w:rPr>
          <w:color w:val="000000" w:themeColor="text1"/>
          <w:sz w:val="16"/>
          <w:szCs w:val="16"/>
        </w:rPr>
        <w:t>экстралегких</w:t>
      </w:r>
      <w:proofErr w:type="spellEnd"/>
      <w:r w:rsidRPr="00A259BD">
        <w:rPr>
          <w:color w:val="000000" w:themeColor="text1"/>
          <w:sz w:val="16"/>
          <w:szCs w:val="16"/>
        </w:rPr>
        <w:t xml:space="preserve"> сплавов типа «электрон» и т. п. в прокатке и отливке, то ВМС РККА полагает, что таковое будет выдвинуто УВВС РККА, что позволит в будущем обеспечить ВМС РККА свои запросы в этой области (</w:t>
      </w:r>
      <w:r w:rsidRPr="00A259BD">
        <w:rPr>
          <w:rStyle w:val="af0"/>
          <w:i w:val="0"/>
          <w:color w:val="000000" w:themeColor="text1"/>
          <w:sz w:val="16"/>
          <w:szCs w:val="16"/>
        </w:rPr>
        <w:t>Прим. док</w:t>
      </w:r>
      <w:r w:rsidRPr="00A259BD">
        <w:rPr>
          <w:color w:val="000000" w:themeColor="text1"/>
          <w:sz w:val="16"/>
          <w:szCs w:val="16"/>
        </w:rPr>
        <w:t>.).</w:t>
      </w:r>
    </w:p>
    <w:p w14:paraId="3FC9B9C8" w14:textId="77777777" w:rsidR="00F068A9" w:rsidRPr="00A259BD" w:rsidRDefault="00F068A9" w:rsidP="009236E3">
      <w:pPr>
        <w:pStyle w:val="ae"/>
        <w:spacing w:before="0" w:after="0"/>
        <w:jc w:val="both"/>
        <w:rPr>
          <w:color w:val="000000" w:themeColor="text1"/>
          <w:sz w:val="16"/>
          <w:szCs w:val="16"/>
        </w:rPr>
      </w:pPr>
      <w:r w:rsidRPr="00A259BD">
        <w:rPr>
          <w:color w:val="000000" w:themeColor="text1"/>
          <w:sz w:val="16"/>
          <w:szCs w:val="16"/>
        </w:rPr>
        <w:t>РГАЭ. Ф. 2097. Оп. 1. Д. 799. Л. 71—72. Заверенная копия.</w:t>
      </w:r>
    </w:p>
    <w:p w14:paraId="38E8F2BE"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2097. Оп. 1. Д. 799. Л. 71—72. Заверенная копия. </w:t>
      </w:r>
    </w:p>
    <w:p w14:paraId="5BB528A1"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281-282 (12424).</w:t>
      </w:r>
    </w:p>
    <w:p w14:paraId="4FE49EE0" w14:textId="77777777" w:rsidR="00F068A9" w:rsidRPr="00A259BD" w:rsidRDefault="00F068A9" w:rsidP="009236E3">
      <w:pPr>
        <w:spacing w:after="0" w:line="240" w:lineRule="auto"/>
        <w:jc w:val="both"/>
        <w:rPr>
          <w:rFonts w:ascii="Times New Roman" w:hAnsi="Times New Roman"/>
          <w:color w:val="000000" w:themeColor="text1"/>
          <w:sz w:val="16"/>
          <w:szCs w:val="16"/>
        </w:rPr>
      </w:pPr>
    </w:p>
    <w:p w14:paraId="10AFD0EB" w14:textId="77777777" w:rsidR="00527C17" w:rsidRPr="00A259BD" w:rsidRDefault="00527C17"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3EE7D2B" w14:textId="77777777" w:rsidR="00527C17" w:rsidRPr="00A259BD" w:rsidRDefault="00527C1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44C47F" w14:textId="77777777" w:rsidR="00527C17" w:rsidRPr="00A259BD" w:rsidRDefault="00527C17" w:rsidP="009236E3">
      <w:pPr>
        <w:pStyle w:val="ae"/>
        <w:shd w:val="clear" w:color="auto" w:fill="FFFFFF"/>
        <w:spacing w:before="0" w:after="0"/>
        <w:jc w:val="both"/>
        <w:rPr>
          <w:color w:val="000000" w:themeColor="text1"/>
          <w:sz w:val="16"/>
          <w:szCs w:val="16"/>
        </w:rPr>
      </w:pPr>
      <w:r w:rsidRPr="00A259BD">
        <w:rPr>
          <w:color w:val="000000" w:themeColor="text1"/>
          <w:sz w:val="16"/>
          <w:szCs w:val="16"/>
        </w:rPr>
        <w:t>7 марта 1929 года появились соображения по модернизации Т-18 третьей серии, которая, согласно планам, должна была включать 150 танков. Эта машина должна была стать более быстрой (максимальная скорость до 18 км/ч) за счёт форсирования двигателя до 45 лошадиных сил. Максимальная скорость должна была увеличиться до 18 км/ч. Впрочем, на заводе к возможности подобного увеличения мощности отнеслись со скепсисом: имелись сомнения в надёжности форсированного двигателя.</w:t>
      </w:r>
    </w:p>
    <w:p w14:paraId="7C3308DC" w14:textId="77777777" w:rsidR="00527C17" w:rsidRPr="00A259BD" w:rsidRDefault="00527C17" w:rsidP="009236E3">
      <w:pPr>
        <w:pStyle w:val="ae"/>
        <w:shd w:val="clear" w:color="auto" w:fill="FFFFFF"/>
        <w:spacing w:before="0" w:after="0"/>
        <w:jc w:val="both"/>
        <w:rPr>
          <w:color w:val="000000" w:themeColor="text1"/>
          <w:sz w:val="16"/>
          <w:szCs w:val="16"/>
        </w:rPr>
      </w:pPr>
      <w:r w:rsidRPr="00A259BD">
        <w:rPr>
          <w:color w:val="000000" w:themeColor="text1"/>
          <w:sz w:val="16"/>
          <w:szCs w:val="16"/>
        </w:rPr>
        <w:t xml:space="preserve">Толщину брони танков третьей серии </w:t>
      </w:r>
      <w:proofErr w:type="spellStart"/>
      <w:r w:rsidRPr="00A259BD">
        <w:rPr>
          <w:color w:val="000000" w:themeColor="text1"/>
          <w:sz w:val="16"/>
          <w:szCs w:val="16"/>
        </w:rPr>
        <w:t>Шукалов</w:t>
      </w:r>
      <w:proofErr w:type="spellEnd"/>
      <w:r w:rsidRPr="00A259BD">
        <w:rPr>
          <w:color w:val="000000" w:themeColor="text1"/>
          <w:sz w:val="16"/>
          <w:szCs w:val="16"/>
        </w:rPr>
        <w:t xml:space="preserve"> предлагал уменьшить с 16 до 14 мм. Уровень защищённости предполагалось сохранить прежним за счёт повышения качества брони. Башня должна была получить развитую кормовую нишу. Связано это было с разработкой новой, более мощной пушки Б-3 калибра 37 мм, а также с планами по установке радиостанции. В списке изменений фигурировали и новые полностью литые траки безо всяких заклёпок. Новые траки были более прочными и обеспечивали лучшее сцепление — из-за этого они даже получили официальное обозначение «орлиный коготь». Позже к новым тракам добавились переработанные ленивцы (чертёж 1-18-251), новые поддерживающие катки (чертёж 1-18-233) и ведущие колёса (чертёж 1-18-239). Изменилась конструкция глушителя — теперь он имел цельный корпус.</w:t>
      </w:r>
    </w:p>
    <w:p w14:paraId="4CE7E020" w14:textId="77777777" w:rsidR="00527C17" w:rsidRPr="00A259BD" w:rsidRDefault="00527C17" w:rsidP="009236E3">
      <w:pPr>
        <w:pStyle w:val="ae"/>
        <w:shd w:val="clear" w:color="auto" w:fill="FFFFFF"/>
        <w:spacing w:before="0" w:after="0"/>
        <w:jc w:val="both"/>
        <w:rPr>
          <w:color w:val="000000" w:themeColor="text1"/>
          <w:sz w:val="16"/>
          <w:szCs w:val="16"/>
        </w:rPr>
      </w:pPr>
      <w:r w:rsidRPr="00A259BD">
        <w:rPr>
          <w:color w:val="000000" w:themeColor="text1"/>
          <w:sz w:val="16"/>
          <w:szCs w:val="16"/>
        </w:rPr>
        <w:t>Пессимизм заводского руководства оказался оправданным. В ходе испытаний форсированного двигателя стало понятно, что придётся несколько умерить аппетиты. В июле 1929 года было принято решение увеличить мощность лишь до 40 лошадиных сил вместо 45. Одновременно с этим танк должен был получить 4-скоростную коробку передач, которую, впрочем, следовало сначала испытать на одном из танков второй серии. Опорные и поддерживающие катки на танки третьей серии было решено оставить прежними, а вот ленивец и кронштейны ведущих колёс поменялись. Оставался нерешённым вопрос с ведущими колёсами. Требовалось что-то делать и с дефектами резиновых бандажей, которые поставлялись «Красным треугольником».</w:t>
      </w:r>
    </w:p>
    <w:p w14:paraId="768DFD5E" w14:textId="77777777" w:rsidR="00527C17" w:rsidRPr="00A259BD" w:rsidRDefault="00527C17" w:rsidP="009236E3">
      <w:pPr>
        <w:pStyle w:val="ae"/>
        <w:shd w:val="clear" w:color="auto" w:fill="FFFFFF"/>
        <w:spacing w:before="0" w:after="0"/>
        <w:jc w:val="both"/>
        <w:rPr>
          <w:color w:val="000000" w:themeColor="text1"/>
          <w:sz w:val="16"/>
          <w:szCs w:val="16"/>
        </w:rPr>
      </w:pPr>
      <w:r w:rsidRPr="00A259BD">
        <w:rPr>
          <w:color w:val="000000" w:themeColor="text1"/>
          <w:sz w:val="16"/>
          <w:szCs w:val="16"/>
        </w:rPr>
        <w:t>Объём заказа увеличился: теперь планировалось построить 180 Т-18 третьей серии. Первые 5 танков ожидались в январе 1930 года, 10 в феврале, 15 в марте — и далее, начиная с апреля, по 25 штук в месяц. Эти ожидания, правда, не соответствовали мощностям завода: для ежемесячного выпуска 25 танков требовалось увеличить станочный парк. Несмотря на это, в начале 1930 года планка снова была поднята, на сей раз до 305 танков (17724).</w:t>
      </w:r>
    </w:p>
    <w:p w14:paraId="403E05DF" w14:textId="77777777" w:rsidR="00527C17" w:rsidRPr="00A259BD" w:rsidRDefault="00527C17" w:rsidP="009236E3">
      <w:pPr>
        <w:pStyle w:val="ae"/>
        <w:shd w:val="clear" w:color="auto" w:fill="FFFFFF"/>
        <w:spacing w:before="0" w:after="0"/>
        <w:jc w:val="both"/>
        <w:rPr>
          <w:color w:val="000000" w:themeColor="text1"/>
          <w:sz w:val="16"/>
          <w:szCs w:val="16"/>
        </w:rPr>
      </w:pPr>
    </w:p>
    <w:p w14:paraId="2674064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C2138C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18B9D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марта 1929 г. происходил следующий осмотр доработанного макета самолета И-6 Н.Н.П. представителями ВВС. Поли</w:t>
      </w:r>
      <w:r w:rsidRPr="00A259BD">
        <w:rPr>
          <w:rFonts w:ascii="Times New Roman" w:hAnsi="Times New Roman"/>
          <w:color w:val="000000" w:themeColor="text1"/>
          <w:sz w:val="16"/>
          <w:szCs w:val="16"/>
        </w:rPr>
        <w:softHyphen/>
        <w:t>карпов в этот период был помощником директора завода №25 по технической части (10729).</w:t>
      </w:r>
    </w:p>
    <w:p w14:paraId="5430CEA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75DEEC"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марта 1929 г. состоялся следующий осмотр доработанного макета И-6 представите</w:t>
      </w:r>
      <w:r w:rsidRPr="00A259BD">
        <w:rPr>
          <w:rFonts w:ascii="Times New Roman" w:hAnsi="Times New Roman"/>
          <w:color w:val="000000" w:themeColor="text1"/>
          <w:sz w:val="16"/>
          <w:szCs w:val="16"/>
        </w:rPr>
        <w:softHyphen/>
        <w:t>лями ВВС. Поли</w:t>
      </w:r>
      <w:r w:rsidRPr="00A259BD">
        <w:rPr>
          <w:rFonts w:ascii="Times New Roman" w:hAnsi="Times New Roman"/>
          <w:color w:val="000000" w:themeColor="text1"/>
          <w:sz w:val="16"/>
          <w:szCs w:val="16"/>
        </w:rPr>
        <w:softHyphen/>
        <w:t>карпов в этот период являлся помощником директора завода №25 по технической части (12295).</w:t>
      </w:r>
    </w:p>
    <w:p w14:paraId="17F5EB4A" w14:textId="77777777" w:rsidR="00F068A9" w:rsidRPr="00A259BD" w:rsidRDefault="00F068A9" w:rsidP="009236E3">
      <w:pPr>
        <w:spacing w:after="0" w:line="240" w:lineRule="auto"/>
        <w:jc w:val="both"/>
        <w:rPr>
          <w:rFonts w:ascii="Times New Roman" w:hAnsi="Times New Roman"/>
          <w:color w:val="000000" w:themeColor="text1"/>
          <w:sz w:val="16"/>
          <w:szCs w:val="16"/>
        </w:rPr>
      </w:pPr>
    </w:p>
    <w:p w14:paraId="5625E649"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 марта 1929 года происходил следующий осмотр доработанного макета И-6 представителями ВВС. Поликарпов в этот период являлся помощником директора завода No. 25 по технической части. 1 февраля 1929 года рассматривался эскизный проект И-6 в двух вариантах. В 1929 году И-6 оценивается как наиболее реальный истребитель, поэтому самолет проектируется под более эффективный двигатель "</w:t>
      </w:r>
      <w:proofErr w:type="spellStart"/>
      <w:r w:rsidRPr="00441F34">
        <w:rPr>
          <w:rFonts w:ascii="Times New Roman" w:hAnsi="Times New Roman"/>
          <w:color w:val="0070C0"/>
          <w:sz w:val="16"/>
          <w:szCs w:val="16"/>
        </w:rPr>
        <w:t>Jupiter</w:t>
      </w:r>
      <w:proofErr w:type="spellEnd"/>
      <w:r w:rsidRPr="00441F34">
        <w:rPr>
          <w:rFonts w:ascii="Times New Roman" w:hAnsi="Times New Roman"/>
          <w:color w:val="0070C0"/>
          <w:sz w:val="16"/>
          <w:szCs w:val="16"/>
        </w:rPr>
        <w:t>" VII мощностью 600 л.с. Кроме этого, в ряде документов, как вероятный для установки на первый экземпляр И-6, указывается немецкий двигатель "</w:t>
      </w:r>
      <w:proofErr w:type="spellStart"/>
      <w:r w:rsidRPr="00441F34">
        <w:rPr>
          <w:rFonts w:ascii="Times New Roman" w:hAnsi="Times New Roman"/>
          <w:color w:val="0070C0"/>
          <w:sz w:val="16"/>
          <w:szCs w:val="16"/>
        </w:rPr>
        <w:t>Hornet</w:t>
      </w:r>
      <w:proofErr w:type="spellEnd"/>
      <w:r w:rsidRPr="00441F34">
        <w:rPr>
          <w:rFonts w:ascii="Times New Roman" w:hAnsi="Times New Roman"/>
          <w:color w:val="0070C0"/>
          <w:sz w:val="16"/>
          <w:szCs w:val="16"/>
        </w:rPr>
        <w:t>" 500 л.с. (строившийся фирмой BMW по лицензии фирмы "Pratt &amp; Whitney"). В дальнейшем, как известно, ни один из этих моторов в СССР развития не получил. С 1929 года на заводе No. 29 в Запорожье началось производство лицензионного двигателя "</w:t>
      </w:r>
      <w:proofErr w:type="spellStart"/>
      <w:r w:rsidRPr="00441F34">
        <w:rPr>
          <w:rFonts w:ascii="Times New Roman" w:hAnsi="Times New Roman"/>
          <w:color w:val="0070C0"/>
          <w:sz w:val="16"/>
          <w:szCs w:val="16"/>
        </w:rPr>
        <w:t>Jupiter</w:t>
      </w:r>
      <w:proofErr w:type="spellEnd"/>
      <w:r w:rsidRPr="00441F34">
        <w:rPr>
          <w:rFonts w:ascii="Times New Roman" w:hAnsi="Times New Roman"/>
          <w:color w:val="0070C0"/>
          <w:sz w:val="16"/>
          <w:szCs w:val="16"/>
        </w:rPr>
        <w:t>" VI мощностью 480 л.с. под обозначением М-22. Именно этот двигатель получил достаточное распространение и ставился на многие советские самолеты (24301).</w:t>
      </w:r>
    </w:p>
    <w:p w14:paraId="07006E51" w14:textId="77777777" w:rsidR="00292DF5" w:rsidRPr="00441F34" w:rsidRDefault="00292DF5" w:rsidP="00292DF5">
      <w:pPr>
        <w:spacing w:after="0" w:line="240" w:lineRule="auto"/>
        <w:jc w:val="both"/>
        <w:rPr>
          <w:rFonts w:ascii="Times New Roman" w:hAnsi="Times New Roman"/>
          <w:color w:val="0070C0"/>
          <w:sz w:val="16"/>
          <w:szCs w:val="16"/>
        </w:rPr>
      </w:pPr>
    </w:p>
    <w:p w14:paraId="50502A8F" w14:textId="77777777" w:rsidR="00F068A9"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E7D7E07" w14:textId="77777777" w:rsidR="00F068A9" w:rsidRPr="00A259BD" w:rsidRDefault="00F068A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F58905C"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марта 1929 г. — Справка Сектора обороны Госплана СССР о состоянии химической промышленности</w:t>
      </w:r>
    </w:p>
    <w:p w14:paraId="23A6EDA5"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Справка Сектора обороны Госплана СССР о состоянии химической промышленности</w:t>
      </w:r>
    </w:p>
    <w:p w14:paraId="55F78CB6"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8 марта 1929 г.</w:t>
      </w:r>
    </w:p>
    <w:p w14:paraId="14DDFDAF"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2359D4B4"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 xml:space="preserve">Оборонное строительство химической промышленности в ближайшем пятилетии имеет узловыми пунктами мощное развитие основной и туковой отраслей и глубокую ассимиляцию военных производств гражданской </w:t>
      </w:r>
      <w:proofErr w:type="spellStart"/>
      <w:r w:rsidRPr="00A259BD">
        <w:rPr>
          <w:color w:val="000000" w:themeColor="text1"/>
          <w:sz w:val="16"/>
          <w:szCs w:val="16"/>
        </w:rPr>
        <w:t>химпромышленностью</w:t>
      </w:r>
      <w:proofErr w:type="spellEnd"/>
      <w:r w:rsidRPr="00A259BD">
        <w:rPr>
          <w:color w:val="000000" w:themeColor="text1"/>
          <w:sz w:val="16"/>
          <w:szCs w:val="16"/>
        </w:rPr>
        <w:t>. Резкое несоответствие, существующее между потребностями народного хозяйства в химической продукции и возможностью их удовлетворения за счет внутреннего производства сильно задерживают ныне общее развитие хозяйства страны, сводя значение химии к роли тормоза вместо принадлежащей ей роли ведущей отрасли народного хозяйства. Такое несоответствие еще ярче выявляется в вопросах обороны. Покрытие потребности в химикатах военного значения в условиях войны в настоящее время ничтожно, составляя в среднем около 20</w:t>
      </w:r>
      <w:r w:rsidRPr="00A259BD">
        <w:rPr>
          <w:color w:val="000000" w:themeColor="text1"/>
          <w:sz w:val="16"/>
          <w:szCs w:val="16"/>
        </w:rPr>
        <w:noBreakHyphen/>
        <w:t xml:space="preserve">25%. Другой отрицательной стороной в оборонной готовности </w:t>
      </w:r>
      <w:proofErr w:type="spellStart"/>
      <w:r w:rsidRPr="00A259BD">
        <w:rPr>
          <w:color w:val="000000" w:themeColor="text1"/>
          <w:sz w:val="16"/>
          <w:szCs w:val="16"/>
        </w:rPr>
        <w:t>химпромышленности</w:t>
      </w:r>
      <w:proofErr w:type="spellEnd"/>
      <w:r w:rsidRPr="00A259BD">
        <w:rPr>
          <w:color w:val="000000" w:themeColor="text1"/>
          <w:sz w:val="16"/>
          <w:szCs w:val="16"/>
        </w:rPr>
        <w:t xml:space="preserve"> является зависимость от импорта сырья, оборудования и полупродуктов (селитра и т. д.) и слабость внедрения в </w:t>
      </w:r>
      <w:proofErr w:type="spellStart"/>
      <w:r w:rsidRPr="00A259BD">
        <w:rPr>
          <w:color w:val="000000" w:themeColor="text1"/>
          <w:sz w:val="16"/>
          <w:szCs w:val="16"/>
        </w:rPr>
        <w:t>химпромышленность</w:t>
      </w:r>
      <w:proofErr w:type="spellEnd"/>
      <w:r w:rsidRPr="00A259BD">
        <w:rPr>
          <w:color w:val="000000" w:themeColor="text1"/>
          <w:sz w:val="16"/>
          <w:szCs w:val="16"/>
        </w:rPr>
        <w:t xml:space="preserve"> элементов, связывающих ее с военными производствами, т. е. ассимиляции военных производств и кооперирования.</w:t>
      </w:r>
    </w:p>
    <w:p w14:paraId="4841C4B9"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 xml:space="preserve">В пятилетнем плане центральным вопросом поставлена задача колоссального по своим относительным размерам увеличения производства минеральных удобрений. 7 млн. т туков, запроектированных на конец пятилетия, определяют основное направление капитальных работ, темпы и главнейшие качественные показатели развертывания химической промышленности. Для дела обороны такая установка имеет решающее значение, ибо этим подводится прочная база под развитие ряда важнейших военных производств. Доведение мощностей до цифры в 1,5 млн. т по серной кислоте и до 200 тыс. т по связанному азоту против ныне наличных 225 и 12 тыс. т является главным пунктом оборонной химии. Но и такой рост оставляет нашу </w:t>
      </w:r>
      <w:proofErr w:type="spellStart"/>
      <w:r w:rsidRPr="00A259BD">
        <w:rPr>
          <w:color w:val="000000" w:themeColor="text1"/>
          <w:sz w:val="16"/>
          <w:szCs w:val="16"/>
        </w:rPr>
        <w:t>химпромышленность</w:t>
      </w:r>
      <w:proofErr w:type="spellEnd"/>
      <w:r w:rsidRPr="00A259BD">
        <w:rPr>
          <w:color w:val="000000" w:themeColor="text1"/>
          <w:sz w:val="16"/>
          <w:szCs w:val="16"/>
        </w:rPr>
        <w:t xml:space="preserve"> все еще далеко позади крупнейших капиталистических стран, что видно из следующего сопоставления.</w:t>
      </w:r>
    </w:p>
    <w:p w14:paraId="1E24C40D" w14:textId="77777777" w:rsidR="00F068A9" w:rsidRPr="00A259BD" w:rsidRDefault="00F068A9" w:rsidP="009236E3">
      <w:pPr>
        <w:pStyle w:val="rtejustify"/>
        <w:spacing w:before="0" w:after="0"/>
        <w:rPr>
          <w:color w:val="000000" w:themeColor="text1"/>
          <w:sz w:val="16"/>
          <w:szCs w:val="16"/>
        </w:rPr>
      </w:pPr>
      <w:r w:rsidRPr="00A259BD">
        <w:rPr>
          <w:rStyle w:val="af0"/>
          <w:i w:val="0"/>
          <w:color w:val="000000" w:themeColor="text1"/>
          <w:sz w:val="16"/>
          <w:szCs w:val="16"/>
        </w:rPr>
        <w:t>Производство серной кислоты в 1928 г:,</w:t>
      </w:r>
      <w:r w:rsidRPr="00A259BD">
        <w:rPr>
          <w:color w:val="000000" w:themeColor="text1"/>
          <w:sz w:val="16"/>
          <w:szCs w:val="16"/>
        </w:rPr>
        <w:t xml:space="preserve"> в САСШ — около 8 млн. т; в Германии — около 2,5 млн. т; во Франции — около 2,5 млн. т. СССР к концу пятилетия будет иметь 1,5 млн. т. </w:t>
      </w:r>
      <w:r w:rsidRPr="00A259BD">
        <w:rPr>
          <w:rStyle w:val="af0"/>
          <w:i w:val="0"/>
          <w:color w:val="000000" w:themeColor="text1"/>
          <w:sz w:val="16"/>
          <w:szCs w:val="16"/>
        </w:rPr>
        <w:t>Производство связанного азота в 1928 г.</w:t>
      </w:r>
      <w:r w:rsidRPr="00A259BD">
        <w:rPr>
          <w:color w:val="000000" w:themeColor="text1"/>
          <w:sz w:val="16"/>
          <w:szCs w:val="16"/>
        </w:rPr>
        <w:t xml:space="preserve"> В Германии — около 660 тыс. т; в прочих странах суммарно — около 220 тыс. т. СССР к концу пятилетия будет иметь 200 тыс. т.</w:t>
      </w:r>
    </w:p>
    <w:p w14:paraId="0381EE35"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lastRenderedPageBreak/>
        <w:t>Территориальное размещение азотной и сернокислотной промышленности в пятилетием плане отнесено главным образом трем районам Союза: Уралу, Центру и Донбассу. В интересах обороны такое дислоцирование является целесообразным и вместе с тем увязывается с общехозяйственными задачами наилучшего размещения туковой промышленности. Количественные показатели производства на конец пятилетия дают возможность покрытия военной потребности в азоте и серной кислоте, а также и обеспечения сельского хозяйства в военное время минеральными удобрениями по сокращенной программе. Но темп развертывания этих отраслей для ближайшего трехлетия запроектирован совершенно недостаточный, не обеспечивающий оборонных потребностей указанного периода. В этом отношении необходимо значительно изменить проектировки для первой половины пятилетия в сторону форсирования строительства, особенно по связанному азоту. Также следует пересмотреть план в части хлорной промышленности и туковой — по селитре. Производство хлора должно быть увеличено, а в программе по минеральным удобрениям принят больший размах производства комбинированных удобрений, включающий в свой состав селитру.</w:t>
      </w:r>
    </w:p>
    <w:p w14:paraId="2A9C25AC"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Конкретно — эти главнейшие мероприятия, без которых не может быть достигнуто полное обеспечение намеченного плана специально оборонных отраслей химии (взрывчатые вещества, противогазовое дело и пр.) и военной промышленности, сводятся к следующим:</w:t>
      </w:r>
    </w:p>
    <w:p w14:paraId="435DF6B9"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1. Форсировать азотное строительство, включив, начиная с текущего года, подготовку и проведение постройки двух азотных заводов на коксовом водороде Донбасса с расчетом окончания их в 1930/31 г.</w:t>
      </w:r>
    </w:p>
    <w:p w14:paraId="06CEFCBD"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2. Повысить программу хлорного производства до 85 тыс. т к концу пятилетия, в том числе предусмотрев увеличение мощности по хлору ...¹* [э]</w:t>
      </w:r>
      <w:proofErr w:type="spellStart"/>
      <w:r w:rsidRPr="00A259BD">
        <w:rPr>
          <w:color w:val="000000" w:themeColor="text1"/>
          <w:sz w:val="16"/>
          <w:szCs w:val="16"/>
        </w:rPr>
        <w:t>нергии</w:t>
      </w:r>
      <w:proofErr w:type="spellEnd"/>
      <w:r w:rsidRPr="00A259BD">
        <w:rPr>
          <w:color w:val="000000" w:themeColor="text1"/>
          <w:sz w:val="16"/>
          <w:szCs w:val="16"/>
        </w:rPr>
        <w:t xml:space="preserve"> </w:t>
      </w:r>
      <w:proofErr w:type="spellStart"/>
      <w:r w:rsidRPr="00A259BD">
        <w:rPr>
          <w:color w:val="000000" w:themeColor="text1"/>
          <w:sz w:val="16"/>
          <w:szCs w:val="16"/>
        </w:rPr>
        <w:t>Днепростроя</w:t>
      </w:r>
      <w:proofErr w:type="spellEnd"/>
      <w:r w:rsidRPr="00A259BD">
        <w:rPr>
          <w:color w:val="000000" w:themeColor="text1"/>
          <w:sz w:val="16"/>
          <w:szCs w:val="16"/>
        </w:rPr>
        <w:t xml:space="preserve"> до 25</w:t>
      </w:r>
      <w:r w:rsidRPr="00A259BD">
        <w:rPr>
          <w:color w:val="000000" w:themeColor="text1"/>
          <w:sz w:val="16"/>
          <w:szCs w:val="16"/>
        </w:rPr>
        <w:noBreakHyphen/>
        <w:t>30 тыс. т.</w:t>
      </w:r>
    </w:p>
    <w:p w14:paraId="4DC296DB" w14:textId="77777777" w:rsidR="00F068A9" w:rsidRPr="00A259BD" w:rsidRDefault="00F068A9" w:rsidP="009236E3">
      <w:pPr>
        <w:pStyle w:val="rtejustify"/>
        <w:spacing w:before="0" w:after="0"/>
        <w:rPr>
          <w:color w:val="000000" w:themeColor="text1"/>
          <w:sz w:val="16"/>
          <w:szCs w:val="16"/>
        </w:rPr>
      </w:pPr>
      <w:r w:rsidRPr="00A259BD">
        <w:rPr>
          <w:color w:val="000000" w:themeColor="text1"/>
          <w:sz w:val="16"/>
          <w:szCs w:val="16"/>
        </w:rPr>
        <w:t>3. В программе туковой промышленности повысить удельный вес комбинированных удобрений с азотно-кислотными компонентами. В частности, запроектировать производство аммонийной селитры не менее 100 тыс. т.</w:t>
      </w:r>
    </w:p>
    <w:p w14:paraId="3D22323D" w14:textId="77777777" w:rsidR="00F068A9" w:rsidRPr="00A259BD" w:rsidRDefault="00F068A9" w:rsidP="009236E3">
      <w:pPr>
        <w:pStyle w:val="ae"/>
        <w:spacing w:before="0" w:after="0"/>
        <w:jc w:val="both"/>
        <w:rPr>
          <w:color w:val="000000" w:themeColor="text1"/>
          <w:sz w:val="16"/>
          <w:szCs w:val="16"/>
        </w:rPr>
      </w:pPr>
      <w:r w:rsidRPr="00A259BD">
        <w:rPr>
          <w:rStyle w:val="af0"/>
          <w:i w:val="0"/>
          <w:color w:val="000000" w:themeColor="text1"/>
          <w:sz w:val="16"/>
          <w:szCs w:val="16"/>
        </w:rPr>
        <w:t>Власов</w:t>
      </w:r>
    </w:p>
    <w:p w14:paraId="63EE3077" w14:textId="77777777" w:rsidR="00F068A9" w:rsidRPr="00A259BD" w:rsidRDefault="00F068A9"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Примечание:</w:t>
      </w:r>
    </w:p>
    <w:p w14:paraId="43C62B0F" w14:textId="77777777" w:rsidR="00F068A9" w:rsidRPr="00A259BD" w:rsidRDefault="00F068A9" w:rsidP="009236E3">
      <w:pPr>
        <w:pStyle w:val="ae"/>
        <w:spacing w:before="0" w:after="0"/>
        <w:jc w:val="both"/>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Текст поврежден.</w:t>
      </w:r>
    </w:p>
    <w:p w14:paraId="246EB285" w14:textId="77777777" w:rsidR="00F068A9" w:rsidRPr="00A259BD" w:rsidRDefault="00F068A9" w:rsidP="009236E3">
      <w:pPr>
        <w:pStyle w:val="ae"/>
        <w:spacing w:before="0" w:after="0"/>
        <w:jc w:val="both"/>
        <w:rPr>
          <w:color w:val="000000" w:themeColor="text1"/>
          <w:sz w:val="16"/>
          <w:szCs w:val="16"/>
        </w:rPr>
      </w:pPr>
      <w:r w:rsidRPr="00A259BD">
        <w:rPr>
          <w:color w:val="000000" w:themeColor="text1"/>
          <w:sz w:val="16"/>
          <w:szCs w:val="16"/>
        </w:rPr>
        <w:t>РГАЭ. Ф. 4372. Оп. 91. Д. 421. Л. 13—13об. Подлинник.</w:t>
      </w:r>
    </w:p>
    <w:p w14:paraId="45C36A83"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4372. Оп. 91. Д. 421. Л. 13—13об. Подлинник. </w:t>
      </w:r>
    </w:p>
    <w:p w14:paraId="74DA0764"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283-284 (12425).</w:t>
      </w:r>
    </w:p>
    <w:p w14:paraId="6B5A856E" w14:textId="77777777" w:rsidR="00F068A9" w:rsidRPr="00A259BD" w:rsidRDefault="00F068A9" w:rsidP="009236E3">
      <w:pPr>
        <w:spacing w:after="0" w:line="240" w:lineRule="auto"/>
        <w:jc w:val="both"/>
        <w:rPr>
          <w:rFonts w:ascii="Times New Roman" w:hAnsi="Times New Roman"/>
          <w:color w:val="000000" w:themeColor="text1"/>
          <w:sz w:val="16"/>
          <w:szCs w:val="16"/>
        </w:rPr>
      </w:pPr>
    </w:p>
    <w:p w14:paraId="0ABDC1C7" w14:textId="77777777" w:rsidR="00F068A9" w:rsidRPr="00A259BD" w:rsidRDefault="00F068A9"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8 марта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СТО принял постановление «О правильном использовании внутренних ресурсов государственных предприятий» (12265).</w:t>
      </w:r>
    </w:p>
    <w:p w14:paraId="2CBFA9AA" w14:textId="77777777" w:rsidR="00F068A9" w:rsidRPr="00A259BD" w:rsidRDefault="00F068A9" w:rsidP="009236E3">
      <w:pPr>
        <w:spacing w:after="0" w:line="240" w:lineRule="auto"/>
        <w:jc w:val="both"/>
        <w:rPr>
          <w:rFonts w:ascii="Times New Roman" w:hAnsi="Times New Roman"/>
          <w:color w:val="000000" w:themeColor="text1"/>
          <w:sz w:val="16"/>
          <w:szCs w:val="16"/>
        </w:rPr>
      </w:pPr>
    </w:p>
    <w:p w14:paraId="4FDCA557" w14:textId="77777777" w:rsidR="007F4634" w:rsidRPr="00A259BD" w:rsidRDefault="007F4634"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8 марта</w:t>
      </w:r>
      <w:r w:rsidRPr="00A259BD">
        <w:rPr>
          <w:rFonts w:ascii="Times New Roman" w:hAnsi="Times New Roman"/>
          <w:color w:val="000000" w:themeColor="text1"/>
          <w:sz w:val="16"/>
          <w:szCs w:val="16"/>
        </w:rPr>
        <w:t xml:space="preserve"> в 1929 году в городе Петрозаводске открылась слюдяная мастерская. С февраля 1930 г. слюдяная мастерская переименована в Петрозаводскую слюдяную фабрику имени 8 марта, с декабря 1978 г. - в Петрозаводскую ордена "Знак почета" слюдяную фабрику имени 8 марта. В 1993 году предприятие было преобразовано в АООТ "</w:t>
      </w:r>
      <w:proofErr w:type="spellStart"/>
      <w:r w:rsidRPr="00A259BD">
        <w:rPr>
          <w:rFonts w:ascii="Times New Roman" w:hAnsi="Times New Roman"/>
          <w:color w:val="000000" w:themeColor="text1"/>
          <w:sz w:val="16"/>
          <w:szCs w:val="16"/>
        </w:rPr>
        <w:t>Петромика</w:t>
      </w:r>
      <w:proofErr w:type="spellEnd"/>
      <w:r w:rsidRPr="00A259BD">
        <w:rPr>
          <w:rFonts w:ascii="Times New Roman" w:hAnsi="Times New Roman"/>
          <w:color w:val="000000" w:themeColor="text1"/>
          <w:sz w:val="16"/>
          <w:szCs w:val="16"/>
        </w:rPr>
        <w:t>" (15062).</w:t>
      </w:r>
    </w:p>
    <w:p w14:paraId="5EBFD87D" w14:textId="77777777" w:rsidR="007F4634" w:rsidRPr="00A259BD" w:rsidRDefault="007F4634" w:rsidP="009236E3">
      <w:pPr>
        <w:spacing w:after="0" w:line="240" w:lineRule="auto"/>
        <w:jc w:val="both"/>
        <w:rPr>
          <w:rFonts w:ascii="Times New Roman" w:hAnsi="Times New Roman"/>
          <w:color w:val="000000" w:themeColor="text1"/>
          <w:sz w:val="16"/>
          <w:szCs w:val="16"/>
        </w:rPr>
      </w:pPr>
    </w:p>
    <w:p w14:paraId="00E1241B" w14:textId="77777777" w:rsidR="007F4634"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5832DA7A" w14:textId="77777777" w:rsidR="007F4634" w:rsidRPr="00A259BD" w:rsidRDefault="007F463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1F45CC7" w14:textId="77777777" w:rsidR="007F4634" w:rsidRPr="00A259BD" w:rsidRDefault="007F4634"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8 марта</w:t>
      </w:r>
      <w:r w:rsidRPr="00A259BD">
        <w:rPr>
          <w:rFonts w:ascii="Times New Roman" w:hAnsi="Times New Roman"/>
          <w:color w:val="000000" w:themeColor="text1"/>
          <w:sz w:val="16"/>
          <w:szCs w:val="16"/>
        </w:rPr>
        <w:t xml:space="preserve"> в 1929 году в Ленинграде в Малом оперном театре проходят торжественное собрание и концерт, посвященные Международному женскому дню. На концерте впервые выступает оркестр «</w:t>
      </w:r>
      <w:proofErr w:type="spellStart"/>
      <w:r w:rsidRPr="00A259BD">
        <w:rPr>
          <w:rFonts w:ascii="Times New Roman" w:hAnsi="Times New Roman"/>
          <w:color w:val="000000" w:themeColor="text1"/>
          <w:sz w:val="16"/>
          <w:szCs w:val="16"/>
        </w:rPr>
        <w:t>Теаджаз</w:t>
      </w:r>
      <w:proofErr w:type="spellEnd"/>
      <w:r w:rsidRPr="00A259BD">
        <w:rPr>
          <w:rFonts w:ascii="Times New Roman" w:hAnsi="Times New Roman"/>
          <w:color w:val="000000" w:themeColor="text1"/>
          <w:sz w:val="16"/>
          <w:szCs w:val="16"/>
        </w:rPr>
        <w:t>» (то есть Театральный джаз) Леонида Утесова. Леонид Осипович потом будет вспоминать: «Все, что произошло после первого номера, было столь неожиданно и ошеломляюще, что мне кажется, что это был один из самых радостных и значительных дней моей жизни. Когда мы закончили, плотная ткань тишины зала словно с треском прорвалась, и сила звуковой волны была так велика, что меня отбросило назад. Несколько секунд, ничего не понимая, я растерянно смотрел в зал. Оттуда неслись уже не только аплодисменты, но и какие-то крики, похожие на вопли. И вдруг в этот миг я осознал свою победу... Мне захотелось петь, танцевать, дирижировать. Все это я и должен был делать по программе - я пел, танцевал, дирижировал, но, кажется, никогда еще так щедро не отдавал публике всего себя. Я знал успех, но именно в этот вечер я понял, что схватил «бога за бороду». Я понял, что ворота на новую дорогу для меня широко распахнулись. Я понял, что с этой дороги я никогда не сойду» (15062).</w:t>
      </w:r>
    </w:p>
    <w:p w14:paraId="06981729" w14:textId="77777777" w:rsidR="007F4634" w:rsidRPr="00A259BD" w:rsidRDefault="007F4634" w:rsidP="009236E3">
      <w:pPr>
        <w:spacing w:after="0" w:line="240" w:lineRule="auto"/>
        <w:jc w:val="both"/>
        <w:rPr>
          <w:rFonts w:ascii="Times New Roman" w:hAnsi="Times New Roman"/>
          <w:color w:val="000000" w:themeColor="text1"/>
          <w:sz w:val="16"/>
          <w:szCs w:val="16"/>
        </w:rPr>
      </w:pPr>
    </w:p>
    <w:p w14:paraId="13BD43B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EDB38F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B2631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9 марта 1929 начались испытания Д-2 и не были закончены до августа 1929 (2339).</w:t>
      </w:r>
    </w:p>
    <w:p w14:paraId="234AC0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CDDE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марта 1929 состоялась беседа членов РВС с ответственными работниками ВФ и выступал П.И.Б. (1027,26).</w:t>
      </w:r>
    </w:p>
    <w:p w14:paraId="45E541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710DE3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D28F67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82EB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9 и 15 марта 1929. Из протокола заседания Политбюро N 68, 1929 г.</w:t>
      </w:r>
    </w:p>
    <w:p w14:paraId="1481F1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катастрофе в Горловке </w:t>
      </w:r>
    </w:p>
    <w:p w14:paraId="582255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Признать, что украинцы поступили неправильно, замяв дело о катастрофе на шахте "Мария" в Горловке и поставив ЦК ВКП(б) в невозможность своевременно реагировать на катастрофу. </w:t>
      </w:r>
    </w:p>
    <w:p w14:paraId="38291C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Просить ЦК КП(б)У сегодня же разослать по </w:t>
      </w:r>
      <w:proofErr w:type="spellStart"/>
      <w:r w:rsidRPr="00A259BD">
        <w:rPr>
          <w:rFonts w:ascii="Times New Roman" w:hAnsi="Times New Roman"/>
          <w:color w:val="000000" w:themeColor="text1"/>
          <w:sz w:val="16"/>
          <w:szCs w:val="16"/>
        </w:rPr>
        <w:t>ТАССу</w:t>
      </w:r>
      <w:proofErr w:type="spellEnd"/>
      <w:r w:rsidRPr="00A259BD">
        <w:rPr>
          <w:rFonts w:ascii="Times New Roman" w:hAnsi="Times New Roman"/>
          <w:color w:val="000000" w:themeColor="text1"/>
          <w:sz w:val="16"/>
          <w:szCs w:val="16"/>
        </w:rPr>
        <w:t xml:space="preserve"> для печати соответствующее сообщение о катастрофе и принятых мерах. </w:t>
      </w:r>
    </w:p>
    <w:p w14:paraId="1C2D72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Предложить СНК СССР назначить правительственную комиссию для расследования этого дела, обязав ее немедля выехать на место (11652).</w:t>
      </w:r>
    </w:p>
    <w:p w14:paraId="1689D6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1001941"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BD5B17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0064727" w14:textId="77777777" w:rsidR="007F4634" w:rsidRPr="00A259BD" w:rsidRDefault="007F4634" w:rsidP="009236E3">
      <w:pPr>
        <w:spacing w:after="0" w:line="240" w:lineRule="auto"/>
        <w:jc w:val="both"/>
        <w:rPr>
          <w:rFonts w:ascii="Times New Roman" w:hAnsi="Times New Roman"/>
          <w:bCs/>
          <w:color w:val="000000" w:themeColor="text1"/>
          <w:sz w:val="16"/>
          <w:szCs w:val="16"/>
        </w:rPr>
      </w:pPr>
      <w:r w:rsidRPr="00A259BD">
        <w:rPr>
          <w:rFonts w:ascii="Times New Roman" w:hAnsi="Times New Roman"/>
          <w:bCs/>
          <w:color w:val="000000" w:themeColor="text1"/>
          <w:sz w:val="16"/>
          <w:szCs w:val="16"/>
        </w:rPr>
        <w:t>9 марта</w:t>
      </w:r>
      <w:r w:rsidRPr="00A259BD">
        <w:rPr>
          <w:rFonts w:ascii="Times New Roman" w:hAnsi="Times New Roman"/>
          <w:color w:val="000000" w:themeColor="text1"/>
          <w:sz w:val="16"/>
          <w:szCs w:val="16"/>
        </w:rPr>
        <w:t xml:space="preserve"> в 1929 году первый полет самолета </w:t>
      </w:r>
      <w:hyperlink r:id="rId23" w:tgtFrame="_blank" w:history="1">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Bleriot</w:t>
        </w:r>
        <w:proofErr w:type="spellEnd"/>
        <w:r w:rsidRPr="00A259BD">
          <w:rPr>
            <w:rFonts w:ascii="Times New Roman" w:hAnsi="Times New Roman"/>
            <w:color w:val="000000" w:themeColor="text1"/>
            <w:sz w:val="16"/>
            <w:szCs w:val="16"/>
          </w:rPr>
          <w:t xml:space="preserve"> 195» (15063). </w:t>
        </w:r>
      </w:hyperlink>
    </w:p>
    <w:p w14:paraId="5BE44EA0" w14:textId="77777777" w:rsidR="007F4634" w:rsidRPr="00A259BD" w:rsidRDefault="007F4634" w:rsidP="009236E3">
      <w:pPr>
        <w:spacing w:after="0" w:line="240" w:lineRule="auto"/>
        <w:jc w:val="both"/>
        <w:rPr>
          <w:rFonts w:ascii="Times New Roman" w:hAnsi="Times New Roman"/>
          <w:bCs/>
          <w:color w:val="000000" w:themeColor="text1"/>
          <w:sz w:val="16"/>
          <w:szCs w:val="16"/>
        </w:rPr>
      </w:pPr>
    </w:p>
    <w:p w14:paraId="20CBA4CC"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марта 1929 - Первый полет самолета </w:t>
      </w:r>
      <w:proofErr w:type="spellStart"/>
      <w:r w:rsidRPr="00A259BD">
        <w:rPr>
          <w:rFonts w:ascii="Times New Roman" w:hAnsi="Times New Roman"/>
          <w:color w:val="000000" w:themeColor="text1"/>
          <w:sz w:val="16"/>
          <w:szCs w:val="16"/>
        </w:rPr>
        <w:t>Bleriot</w:t>
      </w:r>
      <w:proofErr w:type="spellEnd"/>
      <w:r w:rsidRPr="00A259BD">
        <w:rPr>
          <w:rFonts w:ascii="Times New Roman" w:hAnsi="Times New Roman"/>
          <w:color w:val="000000" w:themeColor="text1"/>
          <w:sz w:val="16"/>
          <w:szCs w:val="16"/>
        </w:rPr>
        <w:t xml:space="preserve"> 195. Это был большой свободнонесущий моноплан с нижним расположением крыла и четырьмя двигателями, </w:t>
      </w:r>
      <w:proofErr w:type="spellStart"/>
      <w:r w:rsidRPr="00A259BD">
        <w:rPr>
          <w:rFonts w:ascii="Times New Roman" w:hAnsi="Times New Roman"/>
          <w:color w:val="000000" w:themeColor="text1"/>
          <w:sz w:val="16"/>
          <w:szCs w:val="16"/>
        </w:rPr>
        <w:t>тандемно</w:t>
      </w:r>
      <w:proofErr w:type="spellEnd"/>
      <w:r w:rsidRPr="00A259BD">
        <w:rPr>
          <w:rFonts w:ascii="Times New Roman" w:hAnsi="Times New Roman"/>
          <w:color w:val="000000" w:themeColor="text1"/>
          <w:sz w:val="16"/>
          <w:szCs w:val="16"/>
        </w:rPr>
        <w:t xml:space="preserve"> укрепленными парами над крыльями при помощи сложной ферменной конструкции.  Это был сухопутный вариант с шасси самолета </w:t>
      </w:r>
      <w:proofErr w:type="spellStart"/>
      <w:r w:rsidRPr="00A259BD">
        <w:rPr>
          <w:rFonts w:ascii="Times New Roman" w:hAnsi="Times New Roman"/>
          <w:color w:val="000000" w:themeColor="text1"/>
          <w:sz w:val="16"/>
          <w:szCs w:val="16"/>
        </w:rPr>
        <w:t>Bleriot</w:t>
      </w:r>
      <w:proofErr w:type="spellEnd"/>
      <w:r w:rsidRPr="00A259BD">
        <w:rPr>
          <w:rFonts w:ascii="Times New Roman" w:hAnsi="Times New Roman"/>
          <w:color w:val="000000" w:themeColor="text1"/>
          <w:sz w:val="16"/>
          <w:szCs w:val="16"/>
        </w:rPr>
        <w:t xml:space="preserve"> 127/2, имевший обозначение </w:t>
      </w:r>
      <w:proofErr w:type="spellStart"/>
      <w:r w:rsidRPr="00A259BD">
        <w:rPr>
          <w:rFonts w:ascii="Times New Roman" w:hAnsi="Times New Roman"/>
          <w:color w:val="000000" w:themeColor="text1"/>
          <w:sz w:val="16"/>
          <w:szCs w:val="16"/>
        </w:rPr>
        <w:t>Bleriot</w:t>
      </w:r>
      <w:proofErr w:type="spellEnd"/>
      <w:r w:rsidRPr="00A259BD">
        <w:rPr>
          <w:rFonts w:ascii="Times New Roman" w:hAnsi="Times New Roman"/>
          <w:color w:val="000000" w:themeColor="text1"/>
          <w:sz w:val="16"/>
          <w:szCs w:val="16"/>
        </w:rPr>
        <w:t xml:space="preserve"> 195/2. После установки на самолет поплавков компании </w:t>
      </w:r>
      <w:proofErr w:type="spellStart"/>
      <w:r w:rsidRPr="00A259BD">
        <w:rPr>
          <w:rFonts w:ascii="Times New Roman" w:hAnsi="Times New Roman"/>
          <w:color w:val="000000" w:themeColor="text1"/>
          <w:sz w:val="16"/>
          <w:szCs w:val="16"/>
        </w:rPr>
        <w:t>Blanchard</w:t>
      </w:r>
      <w:proofErr w:type="spellEnd"/>
      <w:r w:rsidRPr="00A259BD">
        <w:rPr>
          <w:rFonts w:ascii="Times New Roman" w:hAnsi="Times New Roman"/>
          <w:color w:val="000000" w:themeColor="text1"/>
          <w:sz w:val="16"/>
          <w:szCs w:val="16"/>
        </w:rPr>
        <w:t xml:space="preserve"> его обозначение сменилось на </w:t>
      </w:r>
      <w:proofErr w:type="spellStart"/>
      <w:r w:rsidRPr="00A259BD">
        <w:rPr>
          <w:rFonts w:ascii="Times New Roman" w:hAnsi="Times New Roman"/>
          <w:color w:val="000000" w:themeColor="text1"/>
          <w:sz w:val="16"/>
          <w:szCs w:val="16"/>
        </w:rPr>
        <w:t>Bleriot</w:t>
      </w:r>
      <w:proofErr w:type="spellEnd"/>
      <w:r w:rsidRPr="00A259BD">
        <w:rPr>
          <w:rFonts w:ascii="Times New Roman" w:hAnsi="Times New Roman"/>
          <w:color w:val="000000" w:themeColor="text1"/>
          <w:sz w:val="16"/>
          <w:szCs w:val="16"/>
        </w:rPr>
        <w:t xml:space="preserve"> 195/3 (22575).</w:t>
      </w:r>
    </w:p>
    <w:p w14:paraId="3F7DFA41" w14:textId="77777777" w:rsidR="00F70746" w:rsidRPr="00A259BD" w:rsidRDefault="00F70746" w:rsidP="009236E3">
      <w:pPr>
        <w:spacing w:after="0" w:line="240" w:lineRule="auto"/>
        <w:jc w:val="both"/>
        <w:rPr>
          <w:rFonts w:ascii="Times New Roman" w:hAnsi="Times New Roman"/>
          <w:color w:val="000000" w:themeColor="text1"/>
          <w:sz w:val="16"/>
          <w:szCs w:val="16"/>
        </w:rPr>
      </w:pPr>
    </w:p>
    <w:p w14:paraId="60A937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9-10 марта 1929 в Берлине прошел Международный антифашистский конгресс (3186).</w:t>
      </w:r>
    </w:p>
    <w:p w14:paraId="56C123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6D4F20"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5E8169E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C960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10 марта по 20 апреля 1929 в здании Харьковской оперы проходили показательные процессы по делу "Союза освобождения Украины". К.А.К. не затронули (70,219).</w:t>
      </w:r>
    </w:p>
    <w:p w14:paraId="39923D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A5AED2B" w14:textId="77777777" w:rsidR="0096703E"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4D496DD3" w14:textId="77777777" w:rsidR="0096703E" w:rsidRPr="00A259BD" w:rsidRDefault="0096703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072460" w14:textId="77777777" w:rsidR="0096703E" w:rsidRPr="00A259BD" w:rsidRDefault="0096703E" w:rsidP="009236E3">
      <w:pPr>
        <w:pStyle w:val="ae"/>
        <w:spacing w:before="0" w:after="0"/>
        <w:jc w:val="both"/>
        <w:rPr>
          <w:bCs/>
          <w:color w:val="000000" w:themeColor="text1"/>
          <w:sz w:val="16"/>
          <w:szCs w:val="16"/>
        </w:rPr>
      </w:pPr>
      <w:r w:rsidRPr="00A259BD">
        <w:rPr>
          <w:bCs/>
          <w:color w:val="000000" w:themeColor="text1"/>
          <w:sz w:val="16"/>
          <w:szCs w:val="16"/>
        </w:rPr>
        <w:t>12 марта 1920 проходили учения войск ЛВО и морских сил Балтийского моря с участием населения Кронштадта. На учениях присутствовали К.Е. Ворошилов, М.Н. Тухачевский и М.В. Викторов (17150).</w:t>
      </w:r>
    </w:p>
    <w:p w14:paraId="4E0B3FDB" w14:textId="77777777" w:rsidR="0096703E" w:rsidRPr="00A259BD" w:rsidRDefault="0096703E" w:rsidP="009236E3">
      <w:pPr>
        <w:pStyle w:val="ae"/>
        <w:spacing w:before="0" w:after="0"/>
        <w:jc w:val="both"/>
        <w:rPr>
          <w:bCs/>
          <w:color w:val="000000" w:themeColor="text1"/>
          <w:sz w:val="16"/>
          <w:szCs w:val="16"/>
        </w:rPr>
      </w:pPr>
    </w:p>
    <w:p w14:paraId="209D8B41" w14:textId="77777777" w:rsidR="007F4634"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6F3F628" w14:textId="77777777" w:rsidR="007F4634" w:rsidRPr="00A259BD" w:rsidRDefault="007F463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837498D" w14:textId="77777777" w:rsidR="007F4634" w:rsidRPr="00A259BD" w:rsidRDefault="007F4634"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12 марта</w:t>
      </w:r>
      <w:r w:rsidRPr="00A259BD">
        <w:rPr>
          <w:rFonts w:ascii="Times New Roman" w:hAnsi="Times New Roman"/>
          <w:color w:val="000000" w:themeColor="text1"/>
          <w:sz w:val="16"/>
          <w:szCs w:val="16"/>
        </w:rPr>
        <w:t xml:space="preserve"> в 1929 году первый полёт первого построенного лёгкого транспортного самолёта </w:t>
      </w:r>
      <w:hyperlink r:id="rId24" w:tgtFrame="_blank" w:history="1">
        <w:r w:rsidRPr="00A259BD">
          <w:rPr>
            <w:rFonts w:ascii="Times New Roman" w:hAnsi="Times New Roman"/>
            <w:color w:val="000000" w:themeColor="text1"/>
            <w:sz w:val="16"/>
            <w:szCs w:val="16"/>
          </w:rPr>
          <w:t xml:space="preserve">«PWS-20Т» </w:t>
        </w:r>
      </w:hyperlink>
      <w:r w:rsidRPr="00A259BD">
        <w:rPr>
          <w:rFonts w:ascii="Times New Roman" w:hAnsi="Times New Roman"/>
          <w:color w:val="000000" w:themeColor="text1"/>
          <w:sz w:val="16"/>
          <w:szCs w:val="16"/>
        </w:rPr>
        <w:t>(разработчик: «PWS», Польша). Получил собственное имя "</w:t>
      </w:r>
      <w:proofErr w:type="spellStart"/>
      <w:r w:rsidRPr="00A259BD">
        <w:rPr>
          <w:rFonts w:ascii="Times New Roman" w:hAnsi="Times New Roman"/>
          <w:color w:val="000000" w:themeColor="text1"/>
          <w:sz w:val="16"/>
          <w:szCs w:val="16"/>
        </w:rPr>
        <w:t>Гнезно</w:t>
      </w:r>
      <w:proofErr w:type="spellEnd"/>
      <w:r w:rsidRPr="00A259BD">
        <w:rPr>
          <w:rFonts w:ascii="Times New Roman" w:hAnsi="Times New Roman"/>
          <w:color w:val="000000" w:themeColor="text1"/>
          <w:sz w:val="16"/>
          <w:szCs w:val="16"/>
        </w:rPr>
        <w:t>" (15066).</w:t>
      </w:r>
    </w:p>
    <w:p w14:paraId="2C0D8B14" w14:textId="77777777" w:rsidR="007F4634" w:rsidRPr="00A259BD" w:rsidRDefault="007F4634" w:rsidP="009236E3">
      <w:pPr>
        <w:spacing w:after="0" w:line="240" w:lineRule="auto"/>
        <w:jc w:val="both"/>
        <w:rPr>
          <w:rFonts w:ascii="Times New Roman" w:hAnsi="Times New Roman"/>
          <w:color w:val="000000" w:themeColor="text1"/>
          <w:sz w:val="16"/>
          <w:szCs w:val="16"/>
        </w:rPr>
      </w:pPr>
    </w:p>
    <w:p w14:paraId="1E9D447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258B75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07F49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марта 1929 состоялось заседание НТС ГВПУ (протокол 16/8200сс) по вопросу "О реорганизации конструкторского дела на началах передачи его в промышленность" (2339).</w:t>
      </w:r>
    </w:p>
    <w:p w14:paraId="5E3BF7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из Протокола № 16/8200сс НТС ГУВП</w:t>
      </w:r>
    </w:p>
    <w:p w14:paraId="3D7FAF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Слушали:</w:t>
      </w:r>
    </w:p>
    <w:p w14:paraId="6671A0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 Выписку из протокола № 8 заседания НМС от 26/П-29 г.</w:t>
      </w:r>
    </w:p>
    <w:p w14:paraId="301DBE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Проект МПУ ВСНХ СССР “Основных Положений о </w:t>
      </w:r>
      <w:proofErr w:type="spellStart"/>
      <w:r w:rsidRPr="00A259BD">
        <w:rPr>
          <w:rFonts w:ascii="Times New Roman" w:hAnsi="Times New Roman"/>
          <w:color w:val="000000" w:themeColor="text1"/>
          <w:sz w:val="16"/>
          <w:szCs w:val="16"/>
        </w:rPr>
        <w:t>перехконструкторского</w:t>
      </w:r>
      <w:proofErr w:type="spellEnd"/>
      <w:r w:rsidRPr="00A259BD">
        <w:rPr>
          <w:rFonts w:ascii="Times New Roman" w:hAnsi="Times New Roman"/>
          <w:color w:val="000000" w:themeColor="text1"/>
          <w:sz w:val="16"/>
          <w:szCs w:val="16"/>
        </w:rPr>
        <w:t xml:space="preserve"> дела из </w:t>
      </w:r>
      <w:proofErr w:type="spellStart"/>
      <w:r w:rsidRPr="00A259BD">
        <w:rPr>
          <w:rFonts w:ascii="Times New Roman" w:hAnsi="Times New Roman"/>
          <w:color w:val="000000" w:themeColor="text1"/>
          <w:sz w:val="16"/>
          <w:szCs w:val="16"/>
        </w:rPr>
        <w:t>НКВМора</w:t>
      </w:r>
      <w:proofErr w:type="spellEnd"/>
      <w:r w:rsidRPr="00A259BD">
        <w:rPr>
          <w:rFonts w:ascii="Times New Roman" w:hAnsi="Times New Roman"/>
          <w:color w:val="000000" w:themeColor="text1"/>
          <w:sz w:val="16"/>
          <w:szCs w:val="16"/>
        </w:rPr>
        <w:t xml:space="preserve"> в промышленность.</w:t>
      </w:r>
    </w:p>
    <w:p w14:paraId="001663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Предложения представителей трестов военной промышленности по вопросу о реорганизации конструкторского дела и намечаемых трестами списков заводов, на коих должны быть конструкторские бюро.</w:t>
      </w:r>
    </w:p>
    <w:p w14:paraId="75E775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w:t>
      </w:r>
    </w:p>
    <w:p w14:paraId="4B84A3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Намечаемый МПУ процесс дачи заданий /тактическое задание и претворение его в техническую мысль/ и выполнение указанных заданий конструкторскими бюро считать правильным и вполне </w:t>
      </w:r>
      <w:proofErr w:type="spellStart"/>
      <w:r w:rsidRPr="00A259BD">
        <w:rPr>
          <w:rFonts w:ascii="Times New Roman" w:hAnsi="Times New Roman"/>
          <w:color w:val="000000" w:themeColor="text1"/>
          <w:sz w:val="16"/>
          <w:szCs w:val="16"/>
        </w:rPr>
        <w:t>приемлимым</w:t>
      </w:r>
      <w:proofErr w:type="spellEnd"/>
      <w:r w:rsidRPr="00A259BD">
        <w:rPr>
          <w:rFonts w:ascii="Times New Roman" w:hAnsi="Times New Roman"/>
          <w:color w:val="000000" w:themeColor="text1"/>
          <w:sz w:val="16"/>
          <w:szCs w:val="16"/>
        </w:rPr>
        <w:t>.</w:t>
      </w:r>
    </w:p>
    <w:p w14:paraId="3A7285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Констатировать, что остается неясным вопрос - какова намечается организация </w:t>
      </w:r>
      <w:proofErr w:type="spellStart"/>
      <w:r w:rsidRPr="00A259BD">
        <w:rPr>
          <w:rFonts w:ascii="Times New Roman" w:hAnsi="Times New Roman"/>
          <w:color w:val="000000" w:themeColor="text1"/>
          <w:sz w:val="16"/>
          <w:szCs w:val="16"/>
        </w:rPr>
        <w:t>ВНИКа</w:t>
      </w:r>
      <w:proofErr w:type="spellEnd"/>
      <w:r w:rsidRPr="00A259BD">
        <w:rPr>
          <w:rFonts w:ascii="Times New Roman" w:hAnsi="Times New Roman"/>
          <w:color w:val="000000" w:themeColor="text1"/>
          <w:sz w:val="16"/>
          <w:szCs w:val="16"/>
        </w:rPr>
        <w:t xml:space="preserve">, каковым будут его функции и будет ли он соответствовать, в смысле разработки заданий, как это выполняется </w:t>
      </w:r>
      <w:proofErr w:type="spellStart"/>
      <w:r w:rsidRPr="00A259BD">
        <w:rPr>
          <w:rFonts w:ascii="Times New Roman" w:hAnsi="Times New Roman"/>
          <w:color w:val="000000" w:themeColor="text1"/>
          <w:sz w:val="16"/>
          <w:szCs w:val="16"/>
        </w:rPr>
        <w:t>Арткомом</w:t>
      </w:r>
      <w:proofErr w:type="spellEnd"/>
      <w:r w:rsidRPr="00A259BD">
        <w:rPr>
          <w:rFonts w:ascii="Times New Roman" w:hAnsi="Times New Roman"/>
          <w:color w:val="000000" w:themeColor="text1"/>
          <w:sz w:val="16"/>
          <w:szCs w:val="16"/>
        </w:rPr>
        <w:t>.</w:t>
      </w:r>
    </w:p>
    <w:p w14:paraId="567469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Признать необходимым тщательно разработать вопрос о планировании конструкторских работ и руководстве ими: какова должна быть в данном случае роль Главков и МПУ.</w:t>
      </w:r>
    </w:p>
    <w:p w14:paraId="4AF3DC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Считать, что в этом отношении должны быть учтены следующие заключения НТС ГВПУ:...(2339).</w:t>
      </w:r>
    </w:p>
    <w:p w14:paraId="085976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1C9A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марта 1929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писал письмо N 169/2435с Глав. инспектору ГВФ по вопросу О высылке требований к конкурсу на комбинированное шасси для Об-</w:t>
      </w:r>
      <w:proofErr w:type="spellStart"/>
      <w:r w:rsidRPr="00A259BD">
        <w:rPr>
          <w:rFonts w:ascii="Times New Roman" w:hAnsi="Times New Roman"/>
          <w:color w:val="000000" w:themeColor="text1"/>
          <w:sz w:val="16"/>
          <w:szCs w:val="16"/>
        </w:rPr>
        <w:t>ва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Дерулюфт</w:t>
      </w:r>
      <w:proofErr w:type="spellEnd"/>
      <w:r w:rsidRPr="00A259BD">
        <w:rPr>
          <w:rFonts w:ascii="Times New Roman" w:hAnsi="Times New Roman"/>
          <w:color w:val="000000" w:themeColor="text1"/>
          <w:sz w:val="16"/>
          <w:szCs w:val="16"/>
        </w:rPr>
        <w:t xml:space="preserve"> (2341).</w:t>
      </w:r>
    </w:p>
    <w:p w14:paraId="434FC1E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Письмом № 58969 Вы предложили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принять участие в конкурсе на </w:t>
      </w:r>
      <w:proofErr w:type="spellStart"/>
      <w:r w:rsidRPr="00A259BD">
        <w:rPr>
          <w:rFonts w:ascii="Times New Roman" w:hAnsi="Times New Roman"/>
          <w:color w:val="000000" w:themeColor="text1"/>
          <w:sz w:val="16"/>
          <w:szCs w:val="16"/>
        </w:rPr>
        <w:t>комбппированное</w:t>
      </w:r>
      <w:proofErr w:type="spellEnd"/>
      <w:r w:rsidRPr="00A259BD">
        <w:rPr>
          <w:rFonts w:ascii="Times New Roman" w:hAnsi="Times New Roman"/>
          <w:color w:val="000000" w:themeColor="text1"/>
          <w:sz w:val="16"/>
          <w:szCs w:val="16"/>
        </w:rPr>
        <w:t xml:space="preserve"> шасси для О-ва </w:t>
      </w:r>
      <w:proofErr w:type="spellStart"/>
      <w:r w:rsidRPr="00A259BD">
        <w:rPr>
          <w:rFonts w:ascii="Times New Roman" w:hAnsi="Times New Roman"/>
          <w:color w:val="000000" w:themeColor="text1"/>
          <w:sz w:val="16"/>
          <w:szCs w:val="16"/>
        </w:rPr>
        <w:t>Дерулюфт</w:t>
      </w:r>
      <w:proofErr w:type="spellEnd"/>
      <w:r w:rsidRPr="00A259BD">
        <w:rPr>
          <w:rFonts w:ascii="Times New Roman" w:hAnsi="Times New Roman"/>
          <w:color w:val="000000" w:themeColor="text1"/>
          <w:sz w:val="16"/>
          <w:szCs w:val="16"/>
        </w:rPr>
        <w:t xml:space="preserve"> и просили сообщить о согласии Правления на это участие, а также кто из инженеров берется за это дело.</w:t>
      </w:r>
    </w:p>
    <w:p w14:paraId="65CE0C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Письмом № 169/1731с Правление уведомило Вас о принципиаль</w:t>
      </w:r>
      <w:r w:rsidRPr="00A259BD">
        <w:rPr>
          <w:rFonts w:ascii="Times New Roman" w:hAnsi="Times New Roman"/>
          <w:color w:val="000000" w:themeColor="text1"/>
          <w:sz w:val="16"/>
          <w:szCs w:val="16"/>
        </w:rPr>
        <w:softHyphen/>
        <w:t>ном согласии участвовать в конкурсе и просило выслать усло</w:t>
      </w:r>
      <w:r w:rsidRPr="00A259BD">
        <w:rPr>
          <w:rFonts w:ascii="Times New Roman" w:hAnsi="Times New Roman"/>
          <w:color w:val="000000" w:themeColor="text1"/>
          <w:sz w:val="16"/>
          <w:szCs w:val="16"/>
        </w:rPr>
        <w:softHyphen/>
        <w:t>вия конкурса и технические требования к конструкции.</w:t>
      </w:r>
    </w:p>
    <w:p w14:paraId="2CBE13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настоящее время лица, желающие принять участие в конкурсе, уже выяснены и список их при сем прилагается.</w:t>
      </w:r>
    </w:p>
    <w:p w14:paraId="12FFC2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Вместе с тем Правление вторично просит Вашего распоряжения о высылке условий конкурса и технических требований, а также ответа по следующим вопросам:</w:t>
      </w:r>
    </w:p>
    <w:p w14:paraId="78C982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Нужно ли представить только схему или разработанные чертежи...</w:t>
      </w:r>
    </w:p>
    <w:p w14:paraId="659AAB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...Вместе с тем Правление просит учесть иногороднее расположение некоторых заводов, затрудняющее получение нужных для </w:t>
      </w:r>
      <w:proofErr w:type="spellStart"/>
      <w:r w:rsidRPr="00A259BD">
        <w:rPr>
          <w:rFonts w:ascii="Times New Roman" w:hAnsi="Times New Roman"/>
          <w:color w:val="000000" w:themeColor="text1"/>
          <w:sz w:val="16"/>
          <w:szCs w:val="16"/>
        </w:rPr>
        <w:t>шоектирования</w:t>
      </w:r>
      <w:proofErr w:type="spellEnd"/>
      <w:r w:rsidRPr="00A259BD">
        <w:rPr>
          <w:rFonts w:ascii="Times New Roman" w:hAnsi="Times New Roman"/>
          <w:color w:val="000000" w:themeColor="text1"/>
          <w:sz w:val="16"/>
          <w:szCs w:val="16"/>
        </w:rPr>
        <w:t xml:space="preserve"> сведений, а потому просит тех. требования сопроводить всеми необходимыми для проектирования г исходными данными, в виде чертежей эскизов и цифровых данных по типу самолету (самолетам), для которого шасси предназначается (2341).</w:t>
      </w:r>
    </w:p>
    <w:p w14:paraId="79B27A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Список лиц, выразивших желание принять участие в конкурсе на комбинированное шасси</w:t>
      </w:r>
    </w:p>
    <w:p w14:paraId="4F23F5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Завод № 1 - </w:t>
      </w:r>
      <w:proofErr w:type="spellStart"/>
      <w:r w:rsidRPr="00A259BD">
        <w:rPr>
          <w:rFonts w:ascii="Times New Roman" w:hAnsi="Times New Roman"/>
          <w:color w:val="000000" w:themeColor="text1"/>
          <w:sz w:val="16"/>
          <w:szCs w:val="16"/>
        </w:rPr>
        <w:t>об"являет</w:t>
      </w:r>
      <w:proofErr w:type="spellEnd"/>
      <w:r w:rsidRPr="00A259BD">
        <w:rPr>
          <w:rFonts w:ascii="Times New Roman" w:hAnsi="Times New Roman"/>
          <w:color w:val="000000" w:themeColor="text1"/>
          <w:sz w:val="16"/>
          <w:szCs w:val="16"/>
        </w:rPr>
        <w:t xml:space="preserve"> конкурс внутри завода.</w:t>
      </w:r>
    </w:p>
    <w:p w14:paraId="319F495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22 - Инженеры:- САМСОНОВ, НИКИТИН, ГЕРАСИМОВ, ЧЕТВЕРИКОВ; конструктор САВИНСКИЙ и группа инженеров - МИХАЙЛОВ, СОРОКИН и МОЖАРОВСКИЙ</w:t>
      </w:r>
    </w:p>
    <w:p w14:paraId="46CC5A5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Завод № 23 - </w:t>
      </w:r>
      <w:proofErr w:type="spellStart"/>
      <w:r w:rsidRPr="00A259BD">
        <w:rPr>
          <w:rFonts w:ascii="Times New Roman" w:hAnsi="Times New Roman"/>
          <w:color w:val="000000" w:themeColor="text1"/>
          <w:sz w:val="16"/>
          <w:szCs w:val="16"/>
        </w:rPr>
        <w:t>Желае</w:t>
      </w:r>
      <w:proofErr w:type="spellEnd"/>
      <w:r w:rsidRPr="00A259BD">
        <w:rPr>
          <w:rFonts w:ascii="Times New Roman" w:hAnsi="Times New Roman"/>
          <w:color w:val="000000" w:themeColor="text1"/>
          <w:sz w:val="16"/>
          <w:szCs w:val="16"/>
        </w:rPr>
        <w:t xml:space="preserve"> т участвовать инженерная Секция.</w:t>
      </w:r>
    </w:p>
    <w:p w14:paraId="28B221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28 - тов. ДЬЯЧКОВ.</w:t>
      </w:r>
    </w:p>
    <w:p w14:paraId="54B4908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31 СТАРОВОЙТ, ПАВЛОВ, РЕМЕЗЮК, ТАРНОВСКИЙ, ЛОСИК и АГЕЕВ (2341).</w:t>
      </w:r>
    </w:p>
    <w:p w14:paraId="2E19EA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AC0C3F" w14:textId="77777777" w:rsidR="00F70746" w:rsidRPr="00A259BD" w:rsidRDefault="00F70746"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95EB170" w14:textId="77777777" w:rsidR="00F70746" w:rsidRPr="00A259BD" w:rsidRDefault="00F7074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8C68014"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марта 1929 - Первый полёт первого построенного лёгкого транспортного самолёта PWS-20Т (разработчик: PWS, Польша). Получил собственное имя "</w:t>
      </w:r>
      <w:proofErr w:type="spellStart"/>
      <w:r w:rsidRPr="00A259BD">
        <w:rPr>
          <w:rFonts w:ascii="Times New Roman" w:hAnsi="Times New Roman"/>
          <w:color w:val="000000" w:themeColor="text1"/>
          <w:sz w:val="16"/>
          <w:szCs w:val="16"/>
        </w:rPr>
        <w:t>Гнезно</w:t>
      </w:r>
      <w:proofErr w:type="spellEnd"/>
      <w:r w:rsidRPr="00A259BD">
        <w:rPr>
          <w:rFonts w:ascii="Times New Roman" w:hAnsi="Times New Roman"/>
          <w:color w:val="000000" w:themeColor="text1"/>
          <w:sz w:val="16"/>
          <w:szCs w:val="16"/>
        </w:rPr>
        <w:t xml:space="preserve">". В том же самом году был построен и второй экземпляр </w:t>
      </w:r>
      <w:proofErr w:type="spellStart"/>
      <w:r w:rsidRPr="00A259BD">
        <w:rPr>
          <w:rFonts w:ascii="Times New Roman" w:hAnsi="Times New Roman"/>
          <w:color w:val="000000" w:themeColor="text1"/>
          <w:sz w:val="16"/>
          <w:szCs w:val="16"/>
        </w:rPr>
        <w:t>Sp</w:t>
      </w:r>
      <w:proofErr w:type="spellEnd"/>
      <w:r w:rsidRPr="00A259BD">
        <w:rPr>
          <w:rFonts w:ascii="Times New Roman" w:hAnsi="Times New Roman"/>
          <w:color w:val="000000" w:themeColor="text1"/>
          <w:sz w:val="16"/>
          <w:szCs w:val="16"/>
        </w:rPr>
        <w:t>-AAY "Яга", также поставленный авиакомпании LOT. Во время испытаний самолет широко использовали для перевозки грузов. Однако из-за низкой экономичности самолет в компании не прижился. По этой же причине третий экземпляр так и не был построен (22570).</w:t>
      </w:r>
    </w:p>
    <w:p w14:paraId="522C6B63" w14:textId="77777777" w:rsidR="00F70746" w:rsidRPr="00A259BD" w:rsidRDefault="00F70746" w:rsidP="009236E3">
      <w:pPr>
        <w:spacing w:after="0" w:line="240" w:lineRule="auto"/>
        <w:jc w:val="both"/>
        <w:rPr>
          <w:rFonts w:ascii="Times New Roman" w:hAnsi="Times New Roman"/>
          <w:color w:val="000000" w:themeColor="text1"/>
          <w:sz w:val="16"/>
          <w:szCs w:val="16"/>
        </w:rPr>
      </w:pPr>
    </w:p>
    <w:p w14:paraId="0D2092EE"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марта 1929 испанская правительственная авиакомпания CLASSA официально учреждена как компания, образованная в результате слияния Iberia и нескольких других испанских авиакомпаний (20806).</w:t>
      </w:r>
    </w:p>
    <w:p w14:paraId="35B15F65" w14:textId="77777777" w:rsidR="00F70746" w:rsidRPr="00A259BD" w:rsidRDefault="00F70746" w:rsidP="009236E3">
      <w:pPr>
        <w:spacing w:after="0" w:line="240" w:lineRule="auto"/>
        <w:jc w:val="both"/>
        <w:rPr>
          <w:rFonts w:ascii="Times New Roman" w:hAnsi="Times New Roman"/>
          <w:color w:val="000000" w:themeColor="text1"/>
          <w:sz w:val="16"/>
          <w:szCs w:val="16"/>
        </w:rPr>
      </w:pPr>
    </w:p>
    <w:p w14:paraId="33539C8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9A930D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AC2EE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УВВС письмом от 14 марта 1929 за N 49сс препроводил проект постановления РВС об опытном строительстве ВВС и просил замечания к 15 марта (351). Получен в ЦАГИ 14 марта 1929 (351).</w:t>
      </w:r>
    </w:p>
    <w:p w14:paraId="0346D0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CB9E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марта 1929 вновь после ремонта начались испытательные полеты на дублере И-4 (1060,47).</w:t>
      </w:r>
    </w:p>
    <w:p w14:paraId="749D96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A30B75" w14:textId="77777777" w:rsidR="0081757F" w:rsidRPr="00A259BD" w:rsidRDefault="0081757F"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 xml:space="preserve">С 14 марта 1929 истребитель АНТ-5 дублер опять начал летать на госиспытаниях, склонность задирать нос у него полностью исчезла. В процессе испытаний в НИИ ВВС в самолет внесли еще целый ряд небольших из- </w:t>
      </w:r>
      <w:proofErr w:type="spellStart"/>
      <w:r w:rsidRPr="00A259BD">
        <w:rPr>
          <w:rFonts w:ascii="Times New Roman" w:hAnsi="Times New Roman" w:cs="Times New Roman"/>
          <w:color w:val="000000" w:themeColor="text1"/>
        </w:rPr>
        <w:t>менений</w:t>
      </w:r>
      <w:proofErr w:type="spellEnd"/>
      <w:r w:rsidRPr="00A259BD">
        <w:rPr>
          <w:rFonts w:ascii="Times New Roman" w:hAnsi="Times New Roman" w:cs="Times New Roman"/>
          <w:color w:val="000000" w:themeColor="text1"/>
        </w:rPr>
        <w:t xml:space="preserve">: переделали </w:t>
      </w:r>
      <w:proofErr w:type="spellStart"/>
      <w:r w:rsidRPr="00A259BD">
        <w:rPr>
          <w:rFonts w:ascii="Times New Roman" w:hAnsi="Times New Roman" w:cs="Times New Roman"/>
          <w:color w:val="000000" w:themeColor="text1"/>
        </w:rPr>
        <w:t>заголовник</w:t>
      </w:r>
      <w:proofErr w:type="spellEnd"/>
      <w:r w:rsidRPr="00A259BD">
        <w:rPr>
          <w:rFonts w:ascii="Times New Roman" w:hAnsi="Times New Roman" w:cs="Times New Roman"/>
          <w:color w:val="000000" w:themeColor="text1"/>
        </w:rPr>
        <w:t xml:space="preserve"> пилота, поставили новую ручку управления (на 50 мм короче) и стандартные ручки перезаряжания пулеметов, усилили обтекатели цилиндров и кок винта.</w:t>
      </w:r>
    </w:p>
    <w:p w14:paraId="75FB5D72" w14:textId="77777777" w:rsidR="0081757F" w:rsidRPr="00A259BD" w:rsidRDefault="0081757F"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Испытания завершились лишь 25 апреля 1929 г. НИИ ВВС дал просто великолепный отзыв. В нем отмечались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w:t>
      </w:r>
    </w:p>
    <w:p w14:paraId="473CC55E" w14:textId="77777777" w:rsidR="0081757F" w:rsidRPr="00A259BD" w:rsidRDefault="0081757F"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016C70CF" w14:textId="77777777" w:rsidR="0081757F" w:rsidRPr="00A259BD" w:rsidRDefault="0081757F" w:rsidP="009236E3">
      <w:pPr>
        <w:pStyle w:val="a8"/>
        <w:jc w:val="both"/>
        <w:rPr>
          <w:rFonts w:ascii="Times New Roman" w:hAnsi="Times New Roman" w:cs="Times New Roman"/>
          <w:color w:val="000000" w:themeColor="text1"/>
        </w:rPr>
      </w:pPr>
    </w:p>
    <w:p w14:paraId="383057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марта 1929 НТК УВВС (журнал 16с) внес новые требования к конструкции пулеметных турелей ТУР-5 и ТУР-6 (2371).</w:t>
      </w:r>
    </w:p>
    <w:p w14:paraId="319A44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34C836" w14:textId="77777777" w:rsidR="00DA22D3"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1F17CC3" w14:textId="77777777" w:rsidR="00DA22D3" w:rsidRPr="00A259BD" w:rsidRDefault="00DA22D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84C00B6" w14:textId="77777777" w:rsidR="00AD381B" w:rsidRPr="00A259BD" w:rsidRDefault="00AD38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марта 1929 года в промышленной зоне на юго-востоке столицы по решению ВСНХ СССР был создан 1-ГПЗ, так как здесь уже была железная дорога и планировалось строительство Южного порта. В мае 1929 года образовали управление строительством «</w:t>
      </w:r>
      <w:proofErr w:type="spellStart"/>
      <w:r w:rsidRPr="00A259BD">
        <w:rPr>
          <w:rFonts w:ascii="Times New Roman" w:hAnsi="Times New Roman"/>
          <w:color w:val="000000" w:themeColor="text1"/>
          <w:sz w:val="16"/>
          <w:szCs w:val="16"/>
        </w:rPr>
        <w:t>Шарикоподшипникстрой</w:t>
      </w:r>
      <w:proofErr w:type="spellEnd"/>
      <w:r w:rsidRPr="00A259BD">
        <w:rPr>
          <w:rFonts w:ascii="Times New Roman" w:hAnsi="Times New Roman"/>
          <w:color w:val="000000" w:themeColor="text1"/>
          <w:sz w:val="16"/>
          <w:szCs w:val="16"/>
        </w:rPr>
        <w:t xml:space="preserve">» во главе с опытным хозяйственником И.Р. </w:t>
      </w:r>
      <w:proofErr w:type="spellStart"/>
      <w:r w:rsidRPr="00A259BD">
        <w:rPr>
          <w:rFonts w:ascii="Times New Roman" w:hAnsi="Times New Roman"/>
          <w:color w:val="000000" w:themeColor="text1"/>
          <w:sz w:val="16"/>
          <w:szCs w:val="16"/>
        </w:rPr>
        <w:t>Вишневецким</w:t>
      </w:r>
      <w:proofErr w:type="spellEnd"/>
      <w:r w:rsidRPr="00A259BD">
        <w:rPr>
          <w:rFonts w:ascii="Times New Roman" w:hAnsi="Times New Roman"/>
          <w:color w:val="000000" w:themeColor="text1"/>
          <w:sz w:val="16"/>
          <w:szCs w:val="16"/>
        </w:rPr>
        <w:t xml:space="preserve">. А 29 июля 1929 года ВСНХ утвердил задание для будущего завода. Его проектная мощность первоначально была определена в 11 миллионов 300 тысяч подшипников в год. </w:t>
      </w:r>
    </w:p>
    <w:p w14:paraId="36C3FE9D" w14:textId="77777777" w:rsidR="00AD381B" w:rsidRPr="00A259BD" w:rsidRDefault="00AD38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Однако в мае 1930 года был подписан договор с филиалом ФИАТА фирмой РИВ (Италия) о техпомощи в постройке завода. 18 августа 1930 года он был принят за основу. Причем проектная мощность завода определялась уже в 24 миллиона подшипников в год. </w:t>
      </w:r>
    </w:p>
    <w:p w14:paraId="180BA53B" w14:textId="77777777" w:rsidR="00AD381B" w:rsidRPr="00A259BD" w:rsidRDefault="00AD38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ноября 1930 года начальником теперь уже </w:t>
      </w:r>
      <w:proofErr w:type="spellStart"/>
      <w:r w:rsidRPr="00A259BD">
        <w:rPr>
          <w:rFonts w:ascii="Times New Roman" w:hAnsi="Times New Roman"/>
          <w:color w:val="000000" w:themeColor="text1"/>
          <w:sz w:val="16"/>
          <w:szCs w:val="16"/>
        </w:rPr>
        <w:t>Господшипникстроя</w:t>
      </w:r>
      <w:proofErr w:type="spellEnd"/>
      <w:r w:rsidRPr="00A259BD">
        <w:rPr>
          <w:rFonts w:ascii="Times New Roman" w:hAnsi="Times New Roman"/>
          <w:color w:val="000000" w:themeColor="text1"/>
          <w:sz w:val="16"/>
          <w:szCs w:val="16"/>
        </w:rPr>
        <w:t xml:space="preserve"> был назначен Андрей Михайлович Бодров, ставший затем и директором 1-ГПЗ. 10 ноября 1930 года был заложен первый камень завода, а в начале 1931 года - первые цеха (механосборочный, инструментальный и кузнечный). В июле начало поступать оборудование, закупленное в США, Италии и Германии. </w:t>
      </w:r>
    </w:p>
    <w:p w14:paraId="11CE73E5" w14:textId="77777777" w:rsidR="00AD381B" w:rsidRPr="00A259BD" w:rsidRDefault="00AD38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в это время московские заводы готовили кадры для 1-ГПЗ. Единственным в стране подшипниковым заводом тогда был небольшой механический заводик Торгового Дома «Шварцкопф», «</w:t>
      </w:r>
      <w:proofErr w:type="spellStart"/>
      <w:r w:rsidRPr="00A259BD">
        <w:rPr>
          <w:rFonts w:ascii="Times New Roman" w:hAnsi="Times New Roman"/>
          <w:color w:val="000000" w:themeColor="text1"/>
          <w:sz w:val="16"/>
          <w:szCs w:val="16"/>
        </w:rPr>
        <w:t>Дзирне</w:t>
      </w:r>
      <w:proofErr w:type="spellEnd"/>
      <w:r w:rsidRPr="00A259BD">
        <w:rPr>
          <w:rFonts w:ascii="Times New Roman" w:hAnsi="Times New Roman"/>
          <w:color w:val="000000" w:themeColor="text1"/>
          <w:sz w:val="16"/>
          <w:szCs w:val="16"/>
        </w:rPr>
        <w:t>» и «</w:t>
      </w:r>
      <w:proofErr w:type="spellStart"/>
      <w:r w:rsidRPr="00A259BD">
        <w:rPr>
          <w:rFonts w:ascii="Times New Roman" w:hAnsi="Times New Roman"/>
          <w:color w:val="000000" w:themeColor="text1"/>
          <w:sz w:val="16"/>
          <w:szCs w:val="16"/>
        </w:rPr>
        <w:t>Кольпак</w:t>
      </w:r>
      <w:proofErr w:type="spellEnd"/>
      <w:r w:rsidRPr="00A259BD">
        <w:rPr>
          <w:rFonts w:ascii="Times New Roman" w:hAnsi="Times New Roman"/>
          <w:color w:val="000000" w:themeColor="text1"/>
          <w:sz w:val="16"/>
          <w:szCs w:val="16"/>
        </w:rPr>
        <w:t xml:space="preserve">», основанный еще в 1898 году и к началу 1-й мировой войны насчитывавший всего 108 рабочих. В 1916 году шведская фирма перестроила предприятие, и после гражданской войны, в апреле 1923 года фирма СКФ заключила концессионный договор. В 1931 году эта концессия прекратила существование и завод был преобразован в «Шарикоподшипник». Именно на нем (ныне 2-ГПЗ) в начале 30-х годов обучались 1139 человек для 1-ГПЗ. </w:t>
      </w:r>
    </w:p>
    <w:p w14:paraId="3840D928" w14:textId="77777777" w:rsidR="00AD381B" w:rsidRPr="00A259BD" w:rsidRDefault="00AD38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января 1932 года на 1-ГПЗ были собраны первые 10 подшипников типа «203». Первая партия подшипников была направлена в Царицын (Волгоград). К 1940 году 1-ГПЗ выпускал уже 41 036 тысяч подшипников в год (90% всех подшипников, производимых в СССР). А еще в 1936 году завод освоил производство небольших, но точных подшипников для приборов и гигантских четырехрядных подшипников свыше 1 метра в диаметре (17224).</w:t>
      </w:r>
    </w:p>
    <w:p w14:paraId="2AD79984" w14:textId="77777777" w:rsidR="00AD381B" w:rsidRPr="00A259BD" w:rsidRDefault="00AD381B" w:rsidP="009236E3">
      <w:pPr>
        <w:spacing w:after="0" w:line="240" w:lineRule="auto"/>
        <w:jc w:val="both"/>
        <w:rPr>
          <w:rFonts w:ascii="Times New Roman" w:hAnsi="Times New Roman"/>
          <w:color w:val="000000" w:themeColor="text1"/>
          <w:sz w:val="16"/>
          <w:szCs w:val="16"/>
        </w:rPr>
      </w:pPr>
    </w:p>
    <w:p w14:paraId="2C292975" w14:textId="77777777" w:rsidR="00321477" w:rsidRPr="00A259BD" w:rsidRDefault="00321477"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lastRenderedPageBreak/>
        <w:t xml:space="preserve">14  марта  </w:t>
      </w:r>
      <w:bookmarkStart w:id="19" w:name="YANDEX_4"/>
      <w:bookmarkEnd w:id="19"/>
      <w:r w:rsidRPr="00A259BD">
        <w:rPr>
          <w:rFonts w:ascii="Times New Roman" w:eastAsia="Times New Roman" w:hAnsi="Times New Roman"/>
          <w:color w:val="000000" w:themeColor="text1"/>
          <w:sz w:val="16"/>
          <w:szCs w:val="16"/>
          <w:lang w:eastAsia="ru-RU"/>
        </w:rPr>
        <w:t> 1929  года, в Москве был заключен договор между обществом «Добролет» и акционерным обществом «</w:t>
      </w:r>
      <w:proofErr w:type="spellStart"/>
      <w:r w:rsidRPr="00A259BD">
        <w:rPr>
          <w:rFonts w:ascii="Times New Roman" w:eastAsia="Times New Roman" w:hAnsi="Times New Roman"/>
          <w:color w:val="000000" w:themeColor="text1"/>
          <w:sz w:val="16"/>
          <w:szCs w:val="16"/>
          <w:lang w:eastAsia="ru-RU"/>
        </w:rPr>
        <w:t>Союззолото</w:t>
      </w:r>
      <w:proofErr w:type="spellEnd"/>
      <w:r w:rsidRPr="00A259BD">
        <w:rPr>
          <w:rFonts w:ascii="Times New Roman" w:eastAsia="Times New Roman" w:hAnsi="Times New Roman"/>
          <w:color w:val="000000" w:themeColor="text1"/>
          <w:sz w:val="16"/>
          <w:szCs w:val="16"/>
          <w:lang w:eastAsia="ru-RU"/>
        </w:rPr>
        <w:t>», по которому, обозные мастерские, переданные обществу «Добролет» для оборудования авиаремонтных мастерских 2 ноября 1928 года постановлением Иркутского окружного исполнительного комитета, переходили в ведение «</w:t>
      </w:r>
      <w:proofErr w:type="spellStart"/>
      <w:r w:rsidRPr="00A259BD">
        <w:rPr>
          <w:rFonts w:ascii="Times New Roman" w:eastAsia="Times New Roman" w:hAnsi="Times New Roman"/>
          <w:color w:val="000000" w:themeColor="text1"/>
          <w:sz w:val="16"/>
          <w:szCs w:val="16"/>
          <w:lang w:eastAsia="ru-RU"/>
        </w:rPr>
        <w:t>Союззолото</w:t>
      </w:r>
      <w:proofErr w:type="spellEnd"/>
      <w:r w:rsidRPr="00A259BD">
        <w:rPr>
          <w:rFonts w:ascii="Times New Roman" w:eastAsia="Times New Roman" w:hAnsi="Times New Roman"/>
          <w:color w:val="000000" w:themeColor="text1"/>
          <w:sz w:val="16"/>
          <w:szCs w:val="16"/>
          <w:lang w:eastAsia="ru-RU"/>
        </w:rPr>
        <w:t>». Через несколько месяцев, А чуть позже, 6 апреля того же года, на заседании правления акционерного общества было принято постановление об организации «... завода  на основе самостоятельной производственной единицы «</w:t>
      </w:r>
      <w:proofErr w:type="spellStart"/>
      <w:r w:rsidRPr="00A259BD">
        <w:rPr>
          <w:rFonts w:ascii="Times New Roman" w:eastAsia="Times New Roman" w:hAnsi="Times New Roman"/>
          <w:color w:val="000000" w:themeColor="text1"/>
          <w:sz w:val="16"/>
          <w:szCs w:val="16"/>
          <w:lang w:eastAsia="ru-RU"/>
        </w:rPr>
        <w:t>Союззолото</w:t>
      </w:r>
      <w:proofErr w:type="spellEnd"/>
      <w:r w:rsidRPr="00A259BD">
        <w:rPr>
          <w:rFonts w:ascii="Times New Roman" w:eastAsia="Times New Roman" w:hAnsi="Times New Roman"/>
          <w:color w:val="000000" w:themeColor="text1"/>
          <w:sz w:val="16"/>
          <w:szCs w:val="16"/>
          <w:lang w:eastAsia="ru-RU"/>
        </w:rPr>
        <w:t>», работающей на хозрасчете и под непосредственным подчинением правлению «</w:t>
      </w:r>
      <w:proofErr w:type="spellStart"/>
      <w:r w:rsidRPr="00A259BD">
        <w:rPr>
          <w:rFonts w:ascii="Times New Roman" w:eastAsia="Times New Roman" w:hAnsi="Times New Roman"/>
          <w:color w:val="000000" w:themeColor="text1"/>
          <w:sz w:val="16"/>
          <w:szCs w:val="16"/>
          <w:lang w:eastAsia="ru-RU"/>
        </w:rPr>
        <w:t>Союззолото</w:t>
      </w:r>
      <w:proofErr w:type="spellEnd"/>
      <w:r w:rsidRPr="00A259BD">
        <w:rPr>
          <w:rFonts w:ascii="Times New Roman" w:eastAsia="Times New Roman" w:hAnsi="Times New Roman"/>
          <w:color w:val="000000" w:themeColor="text1"/>
          <w:sz w:val="16"/>
          <w:szCs w:val="16"/>
          <w:lang w:eastAsia="ru-RU"/>
        </w:rPr>
        <w:t>». Тем же постановлением был установлен штат ответственных работников  завода .</w:t>
      </w:r>
    </w:p>
    <w:p w14:paraId="42283270" w14:textId="77777777" w:rsidR="00321477" w:rsidRPr="00A259BD" w:rsidRDefault="00321477"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Вскоре после этого акционерным обществом было принято Положение об Иркутском механическом  заводе , в котором говорилось, 18 июня </w:t>
      </w:r>
      <w:bookmarkStart w:id="20" w:name="YANDEX_8"/>
      <w:bookmarkEnd w:id="20"/>
      <w:r w:rsidRPr="00A259BD">
        <w:rPr>
          <w:rFonts w:ascii="Times New Roman" w:eastAsia="Times New Roman" w:hAnsi="Times New Roman"/>
          <w:color w:val="000000" w:themeColor="text1"/>
          <w:sz w:val="16"/>
          <w:szCs w:val="16"/>
          <w:lang w:eastAsia="ru-RU"/>
        </w:rPr>
        <w:t> 1929  года в торжественной обстановке была произведена закладка первой мартеновской печи сталелитейного цеха. Иркутская газета «Власть труда» от 19 июня 1920 года писала: «С этого момента в Восточной Сибири зарождается крупная индустрия. С этого времени золотая промышленность, центр которой находится в Иркутске, сможет получить необходимое в строительстве стальное литье значительно дешевле, чем получала раньше».  В музее хранится макет черпака 150-литровой драги. Формы для первых отливок 150-литровых черпаков были изготовлены Д. Д. Мерцаловым, И. М. Шипициным, П. А. Плотниковым и залиты металлом первой плавки 6 марта 1930 года. что завод создается «...в целях скорейшего проведения в жизнь механизации производственно-технических процессов золотоплатиновой промышленности и использования в них новейших достижений и опыта советской и иностранной науки и техники». Принятие этого Положения был открыт новый этап развития завода.</w:t>
      </w:r>
    </w:p>
    <w:p w14:paraId="1B23D0BA" w14:textId="77777777" w:rsidR="00321477" w:rsidRPr="00A259BD" w:rsidRDefault="00321477"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то время был заложен прочный фундамент нынешних достижений заводчан. Завод строился быстрыми темпами: в 1930 — 1931 годах были сданы в эксплуатацию первый мартен и первый механический цех. В реконструированных цехах бывшей «</w:t>
      </w:r>
      <w:proofErr w:type="spellStart"/>
      <w:r w:rsidRPr="00A259BD">
        <w:rPr>
          <w:rFonts w:ascii="Times New Roman" w:eastAsia="Times New Roman" w:hAnsi="Times New Roman"/>
          <w:color w:val="000000" w:themeColor="text1"/>
          <w:sz w:val="16"/>
          <w:szCs w:val="16"/>
          <w:lang w:eastAsia="ru-RU"/>
        </w:rPr>
        <w:t>обозки</w:t>
      </w:r>
      <w:proofErr w:type="spellEnd"/>
      <w:r w:rsidRPr="00A259BD">
        <w:rPr>
          <w:rFonts w:ascii="Times New Roman" w:eastAsia="Times New Roman" w:hAnsi="Times New Roman"/>
          <w:color w:val="000000" w:themeColor="text1"/>
          <w:sz w:val="16"/>
          <w:szCs w:val="16"/>
          <w:lang w:eastAsia="ru-RU"/>
        </w:rPr>
        <w:t>» выпускалось оборудование для горнодобывающей промышленности: буры «</w:t>
      </w:r>
      <w:proofErr w:type="spellStart"/>
      <w:r w:rsidRPr="00A259BD">
        <w:rPr>
          <w:rFonts w:ascii="Times New Roman" w:eastAsia="Times New Roman" w:hAnsi="Times New Roman"/>
          <w:color w:val="000000" w:themeColor="text1"/>
          <w:sz w:val="16"/>
          <w:szCs w:val="16"/>
          <w:lang w:eastAsia="ru-RU"/>
        </w:rPr>
        <w:t>Эмпайер</w:t>
      </w:r>
      <w:proofErr w:type="spellEnd"/>
      <w:r w:rsidRPr="00A259BD">
        <w:rPr>
          <w:rFonts w:ascii="Times New Roman" w:eastAsia="Times New Roman" w:hAnsi="Times New Roman"/>
          <w:color w:val="000000" w:themeColor="text1"/>
          <w:sz w:val="16"/>
          <w:szCs w:val="16"/>
          <w:lang w:eastAsia="ru-RU"/>
        </w:rPr>
        <w:t>» с конным приводом, шахтные вагонетки, чаши для измельчения золотосодержащих пород, а вместе с этой продукцией завод изготавливал телеги, тачки, кайлы, ломы и колеса. Наряду с ростом производственных мощностей быстро рос и заводской коллектив. Шло время, вводились в эксплуатацию новые корпуса: сталелитейный, механический, деревообрабатывающий, чугунолитейный, сборочный, электромеханический, котельный.</w:t>
      </w:r>
    </w:p>
    <w:p w14:paraId="480B2179" w14:textId="77777777" w:rsidR="00321477" w:rsidRPr="00A259BD" w:rsidRDefault="00321477"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1930 году Иркутскому механическому  заводу  было присвоено имя выдающегося государственного и партийного деятеля Валериана Владимировича Куйбышева. Как заместитель Председателя Совета Народных Комиссаров, Председатель Госплана СССР В. В. Куйбышев уделял постоянное внимание строительству </w:t>
      </w:r>
      <w:bookmarkStart w:id="21" w:name="YANDEX_10"/>
      <w:bookmarkEnd w:id="21"/>
      <w:r w:rsidRPr="00A259BD">
        <w:rPr>
          <w:rFonts w:ascii="Times New Roman" w:eastAsia="Times New Roman" w:hAnsi="Times New Roman"/>
          <w:color w:val="000000" w:themeColor="text1"/>
          <w:sz w:val="16"/>
          <w:szCs w:val="16"/>
          <w:lang w:eastAsia="ru-RU"/>
        </w:rPr>
        <w:t xml:space="preserve"> завода  на Ангаре, неоднократно писал на </w:t>
      </w:r>
      <w:bookmarkStart w:id="22" w:name="YANDEX_11"/>
      <w:bookmarkEnd w:id="22"/>
      <w:r w:rsidRPr="00A259BD">
        <w:rPr>
          <w:rFonts w:ascii="Times New Roman" w:eastAsia="Times New Roman" w:hAnsi="Times New Roman"/>
          <w:color w:val="000000" w:themeColor="text1"/>
          <w:sz w:val="16"/>
          <w:szCs w:val="16"/>
          <w:lang w:eastAsia="ru-RU"/>
        </w:rPr>
        <w:t> завод  письма, в которых обращался к коллективу: «Дорогие товарищи! — писал он в одном из них — Строительство Иркутского  завода  является одним из примеров успешного осуществления первой пятилетки. В лице этого  завода  Советский Союз получил мощную машиностроительную базу для золотой промышленности».</w:t>
      </w:r>
    </w:p>
    <w:p w14:paraId="6E0FF7BF" w14:textId="77777777" w:rsidR="00321477" w:rsidRPr="00A259BD" w:rsidRDefault="00321477"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3 октября 1933 года руководство через газету «Металлист» обратилась к коллективу с открытым письмом: «...наш </w:t>
      </w:r>
      <w:bookmarkStart w:id="23" w:name="YANDEX_14"/>
      <w:bookmarkEnd w:id="23"/>
      <w:r w:rsidRPr="00A259BD">
        <w:rPr>
          <w:rFonts w:ascii="Times New Roman" w:eastAsia="Times New Roman" w:hAnsi="Times New Roman"/>
          <w:color w:val="000000" w:themeColor="text1"/>
          <w:sz w:val="16"/>
          <w:szCs w:val="16"/>
          <w:lang w:eastAsia="ru-RU"/>
        </w:rPr>
        <w:t xml:space="preserve"> завод  образовался из обозных мастерских... где работало всего 80 человек. Сейчас это крупное, всесоюзного значения промышленное производство... В самом начале (на строительстве) здесь работали всего 8 человек, к концу </w:t>
      </w:r>
      <w:bookmarkStart w:id="24" w:name="YANDEX_15"/>
      <w:bookmarkEnd w:id="24"/>
      <w:r w:rsidRPr="00A259BD">
        <w:rPr>
          <w:rFonts w:ascii="Times New Roman" w:eastAsia="Times New Roman" w:hAnsi="Times New Roman"/>
          <w:color w:val="000000" w:themeColor="text1"/>
          <w:sz w:val="16"/>
          <w:szCs w:val="16"/>
          <w:lang w:eastAsia="ru-RU"/>
        </w:rPr>
        <w:t> 1929  года на строительстве было уже 400 человек, в 1930 — 1200, а сейчас — 3330 человек. Старая кузница — маленький кирпичный сарай — сохранилась и до настоящего времени. Она тогда была центральным корпусом, а сейчас — новые каменные корпуса, новые цеха. В новых цехах — до 206 самых разнообразных, сложной конструкции станков... а ведь еще четыре года назад на  заводе </w:t>
      </w:r>
      <w:bookmarkStart w:id="25" w:name="YANDEX_LAST"/>
      <w:bookmarkEnd w:id="25"/>
      <w:r w:rsidRPr="00A259BD">
        <w:rPr>
          <w:rFonts w:ascii="Times New Roman" w:eastAsia="Times New Roman" w:hAnsi="Times New Roman"/>
          <w:color w:val="000000" w:themeColor="text1"/>
          <w:sz w:val="16"/>
          <w:szCs w:val="16"/>
          <w:lang w:eastAsia="ru-RU"/>
        </w:rPr>
        <w:t xml:space="preserve"> было всего 4 токарных станка. Раньше дражные черпаки нашей страной покупались за границей. Сейчас мы овладели фасонным литьем и у себя на заводе отлили до 950 таких черпаков.</w:t>
      </w:r>
    </w:p>
    <w:p w14:paraId="75A03D97" w14:textId="77777777" w:rsidR="00321477" w:rsidRPr="00A259BD" w:rsidRDefault="00321477"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Мы держим четыре переходящих Красных знамени!..» Вместе со всей страной коллектив </w:t>
      </w:r>
      <w:proofErr w:type="spellStart"/>
      <w:r w:rsidRPr="00A259BD">
        <w:rPr>
          <w:rFonts w:ascii="Times New Roman" w:eastAsia="Times New Roman" w:hAnsi="Times New Roman"/>
          <w:color w:val="000000" w:themeColor="text1"/>
          <w:sz w:val="16"/>
          <w:szCs w:val="16"/>
          <w:lang w:eastAsia="ru-RU"/>
        </w:rPr>
        <w:t>куйбышевцев</w:t>
      </w:r>
      <w:proofErr w:type="spellEnd"/>
      <w:r w:rsidRPr="00A259BD">
        <w:rPr>
          <w:rFonts w:ascii="Times New Roman" w:eastAsia="Times New Roman" w:hAnsi="Times New Roman"/>
          <w:color w:val="000000" w:themeColor="text1"/>
          <w:sz w:val="16"/>
          <w:szCs w:val="16"/>
          <w:lang w:eastAsia="ru-RU"/>
        </w:rPr>
        <w:t xml:space="preserve"> участвовал в социалистическом соревновании под девизом: «Пятилетку — в четыре года!» Росло движение ударников за высокую производительность труда. Государственный план 1935 года </w:t>
      </w:r>
      <w:proofErr w:type="spellStart"/>
      <w:r w:rsidRPr="00A259BD">
        <w:rPr>
          <w:rFonts w:ascii="Times New Roman" w:eastAsia="Times New Roman" w:hAnsi="Times New Roman"/>
          <w:color w:val="000000" w:themeColor="text1"/>
          <w:sz w:val="16"/>
          <w:szCs w:val="16"/>
          <w:lang w:eastAsia="ru-RU"/>
        </w:rPr>
        <w:t>куйбышевцы</w:t>
      </w:r>
      <w:proofErr w:type="spellEnd"/>
      <w:r w:rsidRPr="00A259BD">
        <w:rPr>
          <w:rFonts w:ascii="Times New Roman" w:eastAsia="Times New Roman" w:hAnsi="Times New Roman"/>
          <w:color w:val="000000" w:themeColor="text1"/>
          <w:sz w:val="16"/>
          <w:szCs w:val="16"/>
          <w:lang w:eastAsia="ru-RU"/>
        </w:rPr>
        <w:t xml:space="preserve"> выполнили на 101 процент. Первыми ударниками на заводе стали слесари А. И. Шадрин, И. Т. Пивоваров и формовщик И. М. Бородкин. В середине 1935 года коллектив завода подхватил почин Алексея Стаханова. Стахановское движение ширилось среди производственных коллективов завода.</w:t>
      </w:r>
    </w:p>
    <w:p w14:paraId="1F67B694" w14:textId="77777777" w:rsidR="00321477" w:rsidRPr="00A259BD" w:rsidRDefault="00321477"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1938 году завод перешел на выпуск этих малолитражных драг «Гном», конструкция которых была разработана заводскими конструкторами под руководством Г.П. </w:t>
      </w:r>
      <w:proofErr w:type="spellStart"/>
      <w:r w:rsidRPr="00A259BD">
        <w:rPr>
          <w:rFonts w:ascii="Times New Roman" w:eastAsia="Times New Roman" w:hAnsi="Times New Roman"/>
          <w:color w:val="000000" w:themeColor="text1"/>
          <w:sz w:val="16"/>
          <w:szCs w:val="16"/>
          <w:lang w:eastAsia="ru-RU"/>
        </w:rPr>
        <w:t>Столова</w:t>
      </w:r>
      <w:proofErr w:type="spellEnd"/>
      <w:r w:rsidRPr="00A259BD">
        <w:rPr>
          <w:rFonts w:ascii="Times New Roman" w:eastAsia="Times New Roman" w:hAnsi="Times New Roman"/>
          <w:color w:val="000000" w:themeColor="text1"/>
          <w:sz w:val="16"/>
          <w:szCs w:val="16"/>
          <w:lang w:eastAsia="ru-RU"/>
        </w:rPr>
        <w:t>. Эта драга емкостью черпака 50 литров давала возможность эффективно отрабатывать небольшие золотоносные россыпи. За один 1939 год заводом было изготовлено 24 такие драги. В том же году 13 работникам завода были вручены ордена и медали Советского Союза. Руководитель проекта драги «Гном» Г.П. Столов был награжден орденом «Знак Почета», медалями были награждены начальник сборочного участка, депутат областного Совета депутатов трудящихся А. 3. Савенков, токарь, а затем заместитель председателя завкома профсоюза И. Т. Столбов и другие.</w:t>
      </w:r>
    </w:p>
    <w:p w14:paraId="68D414D2" w14:textId="77777777" w:rsidR="00321477" w:rsidRPr="00A259BD" w:rsidRDefault="00321477"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1940 году к традиционной номенклатуре продукции прибавились новые: оборудование для домен, мартенов, прокатных станов. Это изменило профиль завода. Расширились связи иркутских машиностроителей с другими предприятиями страны, укрепляется конструкторское бюро, строятся новые цеха. Завод был на подъеме, готовился к расширению производства, освоению новой продукции, но внезапное нападение фашистской Германии в корне изменило жизнь всей страны (17227).</w:t>
      </w:r>
    </w:p>
    <w:p w14:paraId="2B2F99F3" w14:textId="77777777" w:rsidR="00321477" w:rsidRPr="00A259BD" w:rsidRDefault="00321477" w:rsidP="009236E3">
      <w:pPr>
        <w:autoSpaceDE w:val="0"/>
        <w:autoSpaceDN w:val="0"/>
        <w:adjustRightInd w:val="0"/>
        <w:spacing w:after="0" w:line="240" w:lineRule="auto"/>
        <w:jc w:val="both"/>
        <w:rPr>
          <w:rFonts w:ascii="Times New Roman" w:hAnsi="Times New Roman"/>
          <w:color w:val="000000" w:themeColor="text1"/>
          <w:sz w:val="16"/>
          <w:szCs w:val="16"/>
        </w:rPr>
      </w:pPr>
    </w:p>
    <w:p w14:paraId="5C31DB10"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14 марта 1929 </w:t>
      </w:r>
      <w:r w:rsidRPr="00A259BD">
        <w:rPr>
          <w:rFonts w:ascii="Times New Roman" w:hAnsi="Times New Roman"/>
          <w:color w:val="000000" w:themeColor="text1"/>
          <w:sz w:val="16"/>
          <w:szCs w:val="16"/>
        </w:rPr>
        <w:t>Политбюро ЦК ВКП (б) одобрило план ВСНХ по использованию энергии Днепровской ГЭС (12265).</w:t>
      </w:r>
    </w:p>
    <w:p w14:paraId="7FADE234"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4CCBEC9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6400E8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27A61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марта 1929 г. Президиума авиа</w:t>
      </w:r>
      <w:r w:rsidRPr="00A259BD">
        <w:rPr>
          <w:rFonts w:ascii="Times New Roman" w:hAnsi="Times New Roman"/>
          <w:color w:val="000000" w:themeColor="text1"/>
          <w:sz w:val="16"/>
          <w:szCs w:val="16"/>
        </w:rPr>
        <w:softHyphen/>
        <w:t xml:space="preserve">ционной секции ЦС Союза ОСОАВИАХИМ СССР и РСФСР на своем заседании решил вопрос о финансировании строительства автожира КАСКР. Протокол подписал Председатель </w:t>
      </w:r>
      <w:proofErr w:type="spellStart"/>
      <w:r w:rsidRPr="00A259BD">
        <w:rPr>
          <w:rFonts w:ascii="Times New Roman" w:hAnsi="Times New Roman"/>
          <w:color w:val="000000" w:themeColor="text1"/>
          <w:sz w:val="16"/>
          <w:szCs w:val="16"/>
        </w:rPr>
        <w:t>Авиасекции</w:t>
      </w:r>
      <w:proofErr w:type="spellEnd"/>
      <w:r w:rsidRPr="00A259BD">
        <w:rPr>
          <w:rFonts w:ascii="Times New Roman" w:hAnsi="Times New Roman"/>
          <w:color w:val="000000" w:themeColor="text1"/>
          <w:sz w:val="16"/>
          <w:szCs w:val="16"/>
        </w:rPr>
        <w:t xml:space="preserve">, начальник ВВС РККА </w:t>
      </w:r>
      <w:proofErr w:type="spellStart"/>
      <w:r w:rsidRPr="00A259BD">
        <w:rPr>
          <w:rFonts w:ascii="Times New Roman" w:hAnsi="Times New Roman"/>
          <w:color w:val="000000" w:themeColor="text1"/>
          <w:sz w:val="16"/>
          <w:szCs w:val="16"/>
        </w:rPr>
        <w:t>П.И.Баранов</w:t>
      </w:r>
      <w:proofErr w:type="spellEnd"/>
      <w:r w:rsidRPr="00A259BD">
        <w:rPr>
          <w:rFonts w:ascii="Times New Roman" w:hAnsi="Times New Roman"/>
          <w:color w:val="000000" w:themeColor="text1"/>
          <w:sz w:val="16"/>
          <w:szCs w:val="16"/>
        </w:rPr>
        <w:t>. В Протоколе заседания было отмечено:</w:t>
      </w:r>
    </w:p>
    <w:p w14:paraId="4C0133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Секция считает целесообразным произвести отпуск средств для постройки автожира, как </w:t>
      </w:r>
      <w:proofErr w:type="spellStart"/>
      <w:r w:rsidRPr="00A259BD">
        <w:rPr>
          <w:rFonts w:ascii="Times New Roman" w:hAnsi="Times New Roman"/>
          <w:color w:val="000000" w:themeColor="text1"/>
          <w:sz w:val="16"/>
          <w:szCs w:val="16"/>
        </w:rPr>
        <w:t>аэро</w:t>
      </w:r>
      <w:proofErr w:type="spellEnd"/>
      <w:r w:rsidRPr="00A259BD">
        <w:rPr>
          <w:rFonts w:ascii="Times New Roman" w:hAnsi="Times New Roman"/>
          <w:color w:val="000000" w:themeColor="text1"/>
          <w:sz w:val="16"/>
          <w:szCs w:val="16"/>
        </w:rPr>
        <w:t>-конструкции, открывающей новые прин</w:t>
      </w:r>
      <w:r w:rsidRPr="00A259BD">
        <w:rPr>
          <w:rFonts w:ascii="Times New Roman" w:hAnsi="Times New Roman"/>
          <w:color w:val="000000" w:themeColor="text1"/>
          <w:sz w:val="16"/>
          <w:szCs w:val="16"/>
        </w:rPr>
        <w:softHyphen/>
        <w:t>ципы в завоевании воздуха и дающей большие практические перспекти</w:t>
      </w:r>
      <w:r w:rsidRPr="00A259BD">
        <w:rPr>
          <w:rFonts w:ascii="Times New Roman" w:hAnsi="Times New Roman"/>
          <w:color w:val="000000" w:themeColor="text1"/>
          <w:sz w:val="16"/>
          <w:szCs w:val="16"/>
        </w:rPr>
        <w:softHyphen/>
        <w:t>вы в применении этого аппарата как для мирных, так и для военных це</w:t>
      </w:r>
      <w:r w:rsidRPr="00A259BD">
        <w:rPr>
          <w:rFonts w:ascii="Times New Roman" w:hAnsi="Times New Roman"/>
          <w:color w:val="000000" w:themeColor="text1"/>
          <w:sz w:val="16"/>
          <w:szCs w:val="16"/>
        </w:rPr>
        <w:softHyphen/>
        <w:t>лей.</w:t>
      </w:r>
    </w:p>
    <w:p w14:paraId="651770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Принимая во внимание, что осуществление этого проекта является постройкой экстраординарной, в реализации которой заинтересованы многие организации и советская общественность в целом, и считаясь с тем обстоятельством, что </w:t>
      </w:r>
      <w:proofErr w:type="spellStart"/>
      <w:r w:rsidRPr="00A259BD">
        <w:rPr>
          <w:rFonts w:ascii="Times New Roman" w:hAnsi="Times New Roman"/>
          <w:color w:val="000000" w:themeColor="text1"/>
          <w:sz w:val="16"/>
          <w:szCs w:val="16"/>
        </w:rPr>
        <w:t>Авиасекция</w:t>
      </w:r>
      <w:proofErr w:type="spellEnd"/>
      <w:r w:rsidRPr="00A259BD">
        <w:rPr>
          <w:rFonts w:ascii="Times New Roman" w:hAnsi="Times New Roman"/>
          <w:color w:val="000000" w:themeColor="text1"/>
          <w:sz w:val="16"/>
          <w:szCs w:val="16"/>
        </w:rPr>
        <w:t xml:space="preserve"> не в состоянии ее финансировать, не сорвав свою плановую работу, возбудить ходатайство перед президиумом ЦС ОСОАВИАХИМ-а об отпуске специальной дота</w:t>
      </w:r>
      <w:r w:rsidRPr="00A259BD">
        <w:rPr>
          <w:rFonts w:ascii="Times New Roman" w:hAnsi="Times New Roman"/>
          <w:color w:val="000000" w:themeColor="text1"/>
          <w:sz w:val="16"/>
          <w:szCs w:val="16"/>
        </w:rPr>
        <w:softHyphen/>
        <w:t>ции в сумме 8500 рублей для постройки автожира” (10224,23).</w:t>
      </w:r>
    </w:p>
    <w:p w14:paraId="4F3FA6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D939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15 марта по июль 1929 г. велись за</w:t>
      </w:r>
      <w:r w:rsidRPr="00A259BD">
        <w:rPr>
          <w:rFonts w:ascii="Times New Roman" w:hAnsi="Times New Roman"/>
          <w:color w:val="000000" w:themeColor="text1"/>
          <w:sz w:val="16"/>
          <w:szCs w:val="16"/>
        </w:rPr>
        <w:softHyphen/>
        <w:t>водские испытания Д-2 с двигателем БМВ-6, который построили на московском заводе № 25. Самолет облетывал Б. Л. Бухгольц; по его мнению, Д-2 не уступал но свои характеристикам большинству зару</w:t>
      </w:r>
      <w:r w:rsidRPr="00A259BD">
        <w:rPr>
          <w:rFonts w:ascii="Times New Roman" w:hAnsi="Times New Roman"/>
          <w:color w:val="000000" w:themeColor="text1"/>
          <w:sz w:val="16"/>
          <w:szCs w:val="16"/>
        </w:rPr>
        <w:softHyphen/>
        <w:t>бежных одноместных истребителей, а при установке более мощного вооружения мог бы стать более эффективным, чем одноме</w:t>
      </w:r>
      <w:r w:rsidRPr="00A259BD">
        <w:rPr>
          <w:rFonts w:ascii="Times New Roman" w:hAnsi="Times New Roman"/>
          <w:color w:val="000000" w:themeColor="text1"/>
          <w:sz w:val="16"/>
          <w:szCs w:val="16"/>
        </w:rPr>
        <w:softHyphen/>
        <w:t>стные машины. Вместе с тем Бухгольц от</w:t>
      </w:r>
      <w:r w:rsidRPr="00A259BD">
        <w:rPr>
          <w:rFonts w:ascii="Times New Roman" w:hAnsi="Times New Roman"/>
          <w:color w:val="000000" w:themeColor="text1"/>
          <w:sz w:val="16"/>
          <w:szCs w:val="16"/>
        </w:rPr>
        <w:softHyphen/>
        <w:t>мечал, что Д-2 по причине значительной задней центровки имеет неудовлетвори</w:t>
      </w:r>
      <w:r w:rsidRPr="00A259BD">
        <w:rPr>
          <w:rFonts w:ascii="Times New Roman" w:hAnsi="Times New Roman"/>
          <w:color w:val="000000" w:themeColor="text1"/>
          <w:sz w:val="16"/>
          <w:szCs w:val="16"/>
        </w:rPr>
        <w:softHyphen/>
        <w:t>тельные характеристики штопора. После проведенных испытаний самолет длительное время - практически в течение года - оставался невостребованным и ни</w:t>
      </w:r>
      <w:r w:rsidRPr="00A259BD">
        <w:rPr>
          <w:rFonts w:ascii="Times New Roman" w:hAnsi="Times New Roman"/>
          <w:color w:val="000000" w:themeColor="text1"/>
          <w:sz w:val="16"/>
          <w:szCs w:val="16"/>
        </w:rPr>
        <w:softHyphen/>
        <w:t>каким переделкам не подвергался. За это время арестовали Поликарпова, а авиаза</w:t>
      </w:r>
      <w:r w:rsidRPr="00A259BD">
        <w:rPr>
          <w:rFonts w:ascii="Times New Roman" w:hAnsi="Times New Roman"/>
          <w:color w:val="000000" w:themeColor="text1"/>
          <w:sz w:val="16"/>
          <w:szCs w:val="16"/>
        </w:rPr>
        <w:softHyphen/>
        <w:t>вод № 25 включили в состав авиазавода № 39 (11134).</w:t>
      </w:r>
    </w:p>
    <w:p w14:paraId="4390ACD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43893A"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15 марта по июль 1929 года велись за</w:t>
      </w:r>
      <w:r w:rsidRPr="00A259BD">
        <w:rPr>
          <w:rFonts w:ascii="Times New Roman" w:hAnsi="Times New Roman"/>
          <w:color w:val="000000" w:themeColor="text1"/>
          <w:sz w:val="16"/>
          <w:szCs w:val="16"/>
        </w:rPr>
        <w:softHyphen/>
        <w:t>водские испытания Д-2 с двигателем БМВ-6. Летал Бенедикт Бухгольц, который считал, что Д-2 не уступает по своим харак</w:t>
      </w:r>
      <w:r w:rsidRPr="00A259BD">
        <w:rPr>
          <w:rFonts w:ascii="Times New Roman" w:hAnsi="Times New Roman"/>
          <w:color w:val="000000" w:themeColor="text1"/>
          <w:sz w:val="16"/>
          <w:szCs w:val="16"/>
        </w:rPr>
        <w:softHyphen/>
        <w:t>теристикам большинству зарубежных одно</w:t>
      </w:r>
      <w:r w:rsidRPr="00A259BD">
        <w:rPr>
          <w:rFonts w:ascii="Times New Roman" w:hAnsi="Times New Roman"/>
          <w:color w:val="000000" w:themeColor="text1"/>
          <w:sz w:val="16"/>
          <w:szCs w:val="16"/>
        </w:rPr>
        <w:softHyphen/>
        <w:t>местных истребителей, а при установке мощ</w:t>
      </w:r>
      <w:r w:rsidRPr="00A259BD">
        <w:rPr>
          <w:rFonts w:ascii="Times New Roman" w:hAnsi="Times New Roman"/>
          <w:color w:val="000000" w:themeColor="text1"/>
          <w:sz w:val="16"/>
          <w:szCs w:val="16"/>
        </w:rPr>
        <w:softHyphen/>
        <w:t>ного вооружения может стать более эффек</w:t>
      </w:r>
      <w:r w:rsidRPr="00A259BD">
        <w:rPr>
          <w:rFonts w:ascii="Times New Roman" w:hAnsi="Times New Roman"/>
          <w:color w:val="000000" w:themeColor="text1"/>
          <w:sz w:val="16"/>
          <w:szCs w:val="16"/>
        </w:rPr>
        <w:softHyphen/>
        <w:t>тивным, чем одноместные машины. Однов</w:t>
      </w:r>
      <w:r w:rsidRPr="00A259BD">
        <w:rPr>
          <w:rFonts w:ascii="Times New Roman" w:hAnsi="Times New Roman"/>
          <w:color w:val="000000" w:themeColor="text1"/>
          <w:sz w:val="16"/>
          <w:szCs w:val="16"/>
        </w:rPr>
        <w:softHyphen/>
        <w:t>ременно, Бухгольц указывал, что Д-2 по при</w:t>
      </w:r>
      <w:r w:rsidRPr="00A259BD">
        <w:rPr>
          <w:rFonts w:ascii="Times New Roman" w:hAnsi="Times New Roman"/>
          <w:color w:val="000000" w:themeColor="text1"/>
          <w:sz w:val="16"/>
          <w:szCs w:val="16"/>
        </w:rPr>
        <w:softHyphen/>
        <w:t>чине значительной задней центровки имеет неудовлетворительные характеристики што</w:t>
      </w:r>
      <w:r w:rsidRPr="00A259BD">
        <w:rPr>
          <w:rFonts w:ascii="Times New Roman" w:hAnsi="Times New Roman"/>
          <w:color w:val="000000" w:themeColor="text1"/>
          <w:sz w:val="16"/>
          <w:szCs w:val="16"/>
        </w:rPr>
        <w:softHyphen/>
        <w:t>пора. После проведенных испытаний самолет длительное время — практически в течение года — оставался невостребованным и ника</w:t>
      </w:r>
      <w:r w:rsidRPr="00A259BD">
        <w:rPr>
          <w:rFonts w:ascii="Times New Roman" w:hAnsi="Times New Roman"/>
          <w:color w:val="000000" w:themeColor="text1"/>
          <w:sz w:val="16"/>
          <w:szCs w:val="16"/>
        </w:rPr>
        <w:softHyphen/>
        <w:t>ким переделкам не подвергался. За этот пери</w:t>
      </w:r>
      <w:r w:rsidRPr="00A259BD">
        <w:rPr>
          <w:rFonts w:ascii="Times New Roman" w:hAnsi="Times New Roman"/>
          <w:color w:val="000000" w:themeColor="text1"/>
          <w:sz w:val="16"/>
          <w:szCs w:val="16"/>
        </w:rPr>
        <w:softHyphen/>
        <w:t>од был арестован конструктор Поликарпов, а авиазавод №25 включили в состав авиа</w:t>
      </w:r>
      <w:r w:rsidRPr="00A259BD">
        <w:rPr>
          <w:rFonts w:ascii="Times New Roman" w:hAnsi="Times New Roman"/>
          <w:color w:val="000000" w:themeColor="text1"/>
          <w:sz w:val="16"/>
          <w:szCs w:val="16"/>
        </w:rPr>
        <w:softHyphen/>
        <w:t>завода №39 (12295).</w:t>
      </w:r>
    </w:p>
    <w:p w14:paraId="59F436BB" w14:textId="77777777" w:rsidR="00DA22D3" w:rsidRPr="00A259BD" w:rsidRDefault="00DA22D3" w:rsidP="009236E3">
      <w:pPr>
        <w:spacing w:after="0" w:line="240" w:lineRule="auto"/>
        <w:jc w:val="both"/>
        <w:rPr>
          <w:rFonts w:ascii="Times New Roman" w:hAnsi="Times New Roman"/>
          <w:color w:val="000000" w:themeColor="text1"/>
          <w:sz w:val="16"/>
          <w:szCs w:val="16"/>
        </w:rPr>
      </w:pPr>
    </w:p>
    <w:p w14:paraId="08E49AC6" w14:textId="77777777" w:rsidR="007F4634" w:rsidRPr="00A259BD" w:rsidRDefault="007F4634"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15 марта</w:t>
      </w:r>
      <w:r w:rsidRPr="00A259BD">
        <w:rPr>
          <w:rFonts w:ascii="Times New Roman" w:hAnsi="Times New Roman"/>
          <w:color w:val="000000" w:themeColor="text1"/>
          <w:sz w:val="16"/>
          <w:szCs w:val="16"/>
        </w:rPr>
        <w:t xml:space="preserve"> в 1929 году начались (по июль) заводские испытания двухместного истребителя Поликарпова </w:t>
      </w:r>
      <w:hyperlink r:id="rId25" w:tgtFrame="_blank" w:history="1">
        <w:r w:rsidRPr="00A259BD">
          <w:rPr>
            <w:rFonts w:ascii="Times New Roman" w:hAnsi="Times New Roman"/>
            <w:color w:val="000000" w:themeColor="text1"/>
            <w:sz w:val="16"/>
            <w:szCs w:val="16"/>
          </w:rPr>
          <w:t xml:space="preserve">«Д-2» («ДИ-2»), </w:t>
        </w:r>
      </w:hyperlink>
      <w:r w:rsidRPr="00A259BD">
        <w:rPr>
          <w:rFonts w:ascii="Times New Roman" w:hAnsi="Times New Roman"/>
          <w:color w:val="000000" w:themeColor="text1"/>
          <w:sz w:val="16"/>
          <w:szCs w:val="16"/>
        </w:rPr>
        <w:t xml:space="preserve">облетывал пилот </w:t>
      </w:r>
      <w:proofErr w:type="spellStart"/>
      <w:r w:rsidRPr="00A259BD">
        <w:rPr>
          <w:rFonts w:ascii="Times New Roman" w:hAnsi="Times New Roman"/>
          <w:color w:val="000000" w:themeColor="text1"/>
          <w:sz w:val="16"/>
          <w:szCs w:val="16"/>
        </w:rPr>
        <w:t>Б.Л.Бухгольц</w:t>
      </w:r>
      <w:proofErr w:type="spellEnd"/>
      <w:r w:rsidRPr="00A259BD">
        <w:rPr>
          <w:rFonts w:ascii="Times New Roman" w:hAnsi="Times New Roman"/>
          <w:color w:val="000000" w:themeColor="text1"/>
          <w:sz w:val="16"/>
          <w:szCs w:val="16"/>
        </w:rPr>
        <w:t xml:space="preserve"> (15069).</w:t>
      </w:r>
    </w:p>
    <w:p w14:paraId="4512548D" w14:textId="77777777" w:rsidR="007F4634" w:rsidRPr="00A259BD" w:rsidRDefault="007F4634" w:rsidP="009236E3">
      <w:pPr>
        <w:spacing w:after="0" w:line="240" w:lineRule="auto"/>
        <w:jc w:val="both"/>
        <w:rPr>
          <w:rFonts w:ascii="Times New Roman" w:hAnsi="Times New Roman"/>
          <w:color w:val="000000" w:themeColor="text1"/>
          <w:sz w:val="16"/>
          <w:szCs w:val="16"/>
        </w:rPr>
      </w:pPr>
    </w:p>
    <w:p w14:paraId="59EC168A" w14:textId="77777777" w:rsidR="00F70746" w:rsidRPr="00A259BD" w:rsidRDefault="00F70746"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1297F61" w14:textId="77777777" w:rsidR="00F70746" w:rsidRPr="00A259BD" w:rsidRDefault="00F7074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77E6808" w14:textId="77777777" w:rsidR="00F70746" w:rsidRPr="00A259BD" w:rsidRDefault="00F70746"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15 марта 1929 г. работы по ремонту 26 шт. 240-мм длинноствольных минометов </w:t>
      </w:r>
      <w:proofErr w:type="spellStart"/>
      <w:r w:rsidRPr="00A259BD">
        <w:rPr>
          <w:rFonts w:ascii="Times New Roman" w:hAnsi="Times New Roman"/>
          <w:color w:val="000000" w:themeColor="text1"/>
          <w:sz w:val="16"/>
          <w:szCs w:val="16"/>
        </w:rPr>
        <w:t>Батиньоля</w:t>
      </w:r>
      <w:proofErr w:type="spellEnd"/>
      <w:r w:rsidRPr="00A259BD">
        <w:rPr>
          <w:rFonts w:ascii="Times New Roman" w:hAnsi="Times New Roman"/>
          <w:color w:val="000000" w:themeColor="text1"/>
          <w:sz w:val="16"/>
          <w:szCs w:val="16"/>
        </w:rPr>
        <w:t xml:space="preserve"> были частично завершены: отремонтированы стволы и станки, приведены в порядок деревянные основания (прокладные и опорные брусья), подготовлены чертежи прицела и направлены на согласование в КБ АК, после чего предполагалось изготовление опытного экземпляра. Работа над приспособлениями для перевозки 240-мм минометов </w:t>
      </w:r>
      <w:proofErr w:type="spellStart"/>
      <w:r w:rsidRPr="00A259BD">
        <w:rPr>
          <w:rFonts w:ascii="Times New Roman" w:hAnsi="Times New Roman"/>
          <w:color w:val="000000" w:themeColor="text1"/>
          <w:sz w:val="16"/>
          <w:szCs w:val="16"/>
        </w:rPr>
        <w:t>Батиньоля</w:t>
      </w:r>
      <w:proofErr w:type="spellEnd"/>
      <w:r w:rsidRPr="00A259BD">
        <w:rPr>
          <w:rFonts w:ascii="Times New Roman" w:hAnsi="Times New Roman"/>
          <w:color w:val="000000" w:themeColor="text1"/>
          <w:sz w:val="16"/>
          <w:szCs w:val="16"/>
        </w:rPr>
        <w:t xml:space="preserve"> была продолжена, параллельно на </w:t>
      </w:r>
      <w:proofErr w:type="spellStart"/>
      <w:r w:rsidRPr="00A259BD">
        <w:rPr>
          <w:rFonts w:ascii="Times New Roman" w:hAnsi="Times New Roman"/>
          <w:color w:val="000000" w:themeColor="text1"/>
          <w:sz w:val="16"/>
          <w:szCs w:val="16"/>
        </w:rPr>
        <w:t>НИАПе</w:t>
      </w:r>
      <w:proofErr w:type="spellEnd"/>
      <w:r w:rsidRPr="00A259BD">
        <w:rPr>
          <w:rFonts w:ascii="Times New Roman" w:hAnsi="Times New Roman"/>
          <w:color w:val="000000" w:themeColor="text1"/>
          <w:sz w:val="16"/>
          <w:szCs w:val="16"/>
        </w:rPr>
        <w:t xml:space="preserve"> разрабатывались кольца для ручной подноски мин.491 (20074).</w:t>
      </w:r>
    </w:p>
    <w:p w14:paraId="2769EAA0" w14:textId="77777777" w:rsidR="00F70746" w:rsidRPr="00A259BD" w:rsidRDefault="00F70746" w:rsidP="009236E3">
      <w:pPr>
        <w:autoSpaceDE w:val="0"/>
        <w:autoSpaceDN w:val="0"/>
        <w:adjustRightInd w:val="0"/>
        <w:spacing w:after="0" w:line="240" w:lineRule="auto"/>
        <w:jc w:val="both"/>
        <w:rPr>
          <w:rFonts w:ascii="Times New Roman" w:hAnsi="Times New Roman"/>
          <w:color w:val="000000" w:themeColor="text1"/>
          <w:sz w:val="16"/>
          <w:szCs w:val="16"/>
        </w:rPr>
      </w:pPr>
    </w:p>
    <w:p w14:paraId="6B428F0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73759EE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25F3B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марта 1929 г. началось фор</w:t>
      </w:r>
      <w:r w:rsidRPr="00A259BD">
        <w:rPr>
          <w:rFonts w:ascii="Times New Roman" w:hAnsi="Times New Roman"/>
          <w:color w:val="000000" w:themeColor="text1"/>
          <w:sz w:val="16"/>
          <w:szCs w:val="16"/>
        </w:rPr>
        <w:softHyphen/>
        <w:t>мирование 68-го отдельного гидроавиационного отряда Амурской военной флотилии, вооруженного МР-1 (10667).</w:t>
      </w:r>
    </w:p>
    <w:p w14:paraId="1A6FD2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D9F6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марта 1929 г. сформировали 68-й авиационный отряд (командир Э.М. </w:t>
      </w:r>
      <w:proofErr w:type="spellStart"/>
      <w:r w:rsidRPr="00A259BD">
        <w:rPr>
          <w:rFonts w:ascii="Times New Roman" w:hAnsi="Times New Roman"/>
          <w:color w:val="000000" w:themeColor="text1"/>
          <w:sz w:val="16"/>
          <w:szCs w:val="16"/>
        </w:rPr>
        <w:t>Лухт</w:t>
      </w:r>
      <w:proofErr w:type="spellEnd"/>
      <w:r w:rsidRPr="00A259BD">
        <w:rPr>
          <w:rFonts w:ascii="Times New Roman" w:hAnsi="Times New Roman"/>
          <w:color w:val="000000" w:themeColor="text1"/>
          <w:sz w:val="16"/>
          <w:szCs w:val="16"/>
        </w:rPr>
        <w:t>), имевший восемь гидросамолетов МР-1 и плавучую базу “Амур” (и.о. командира Г.В. Андреев). К началу боевых действий шесть самолетов отряда и “Амур” базировались в Михайло-Семеновском, два - в Хабаровске. Экипажи не имели большой специальной подготовки и тренированности в бомбометании. На самолётах стояли бомбардировочные прицелы АП-8, точность которых была ниже оптических. Кроме того, наличие поплавков ограничивало сектор визирования цели (9978).</w:t>
      </w:r>
    </w:p>
    <w:p w14:paraId="1AC3D2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81F1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15 марта по 15 июля 1929 на первых 4-месячных курсах необходимое обучение прошел постоянный состав казанской танковой школы, а затем, с 15 июня по 15 ноября, и первая группа переменного состава, в которую входило 10 немецких и 10 советских курсантов. Учебная программа Казанской школы включала </w:t>
      </w:r>
      <w:r w:rsidRPr="00A259BD">
        <w:rPr>
          <w:rFonts w:ascii="Times New Roman" w:hAnsi="Times New Roman"/>
          <w:color w:val="000000" w:themeColor="text1"/>
          <w:sz w:val="16"/>
          <w:szCs w:val="16"/>
        </w:rPr>
        <w:lastRenderedPageBreak/>
        <w:t xml:space="preserve">теоретический курс, прикладную часть и технические занятия. В рамках теоретического курса слушатели изучали типы танков и их общее устройство, конструкцию моторов, виды оружия и боеприпасов, тактику боевых действий танковых войск и вопросы взаимодействия, особенности материально-технического обеспечения (подвоза) на поле боя. Прикладная часть включала обучение езде по ровной и пересеченной местности и в различных условиях (днем, ночью с использованием фар и без них, при использовании дымов), форсирование водных преград по дну, обучение стрельбе и проведение боевых стрельб, отработку действий в составе подразделений (до роты включительно), способы взаимодействия с другими родами войск, вопросы управления в бою и на марше. На технических занятиях слушатели получали практику технического обслуживания и ремонта танков. Школа состояла из четырех основных подразделений: учебные классы, испытательное отделение, технический отдел, бухгалтерия. Основные участки в начальный период работы танковой школы возглавляли капитан X. </w:t>
      </w:r>
      <w:proofErr w:type="spellStart"/>
      <w:r w:rsidRPr="00A259BD">
        <w:rPr>
          <w:rFonts w:ascii="Times New Roman" w:hAnsi="Times New Roman"/>
          <w:color w:val="000000" w:themeColor="text1"/>
          <w:sz w:val="16"/>
          <w:szCs w:val="16"/>
        </w:rPr>
        <w:t>Пирнер</w:t>
      </w:r>
      <w:proofErr w:type="spellEnd"/>
      <w:r w:rsidRPr="00A259BD">
        <w:rPr>
          <w:rFonts w:ascii="Times New Roman" w:hAnsi="Times New Roman"/>
          <w:color w:val="000000" w:themeColor="text1"/>
          <w:sz w:val="16"/>
          <w:szCs w:val="16"/>
        </w:rPr>
        <w:t xml:space="preserve"> (испытательное отделение), капитан Фр. </w:t>
      </w:r>
      <w:proofErr w:type="spellStart"/>
      <w:r w:rsidRPr="00A259BD">
        <w:rPr>
          <w:rFonts w:ascii="Times New Roman" w:hAnsi="Times New Roman"/>
          <w:color w:val="000000" w:themeColor="text1"/>
          <w:sz w:val="16"/>
          <w:szCs w:val="16"/>
        </w:rPr>
        <w:t>Кюн</w:t>
      </w:r>
      <w:proofErr w:type="spellEnd"/>
      <w:r w:rsidRPr="00A259BD">
        <w:rPr>
          <w:rFonts w:ascii="Times New Roman" w:hAnsi="Times New Roman"/>
          <w:color w:val="000000" w:themeColor="text1"/>
          <w:sz w:val="16"/>
          <w:szCs w:val="16"/>
        </w:rPr>
        <w:t xml:space="preserve"> (учебные курсы) и лейтенант </w:t>
      </w:r>
      <w:proofErr w:type="spellStart"/>
      <w:r w:rsidRPr="00A259BD">
        <w:rPr>
          <w:rFonts w:ascii="Times New Roman" w:hAnsi="Times New Roman"/>
          <w:color w:val="000000" w:themeColor="text1"/>
          <w:sz w:val="16"/>
          <w:szCs w:val="16"/>
        </w:rPr>
        <w:t>Бернарди</w:t>
      </w:r>
      <w:proofErr w:type="spellEnd"/>
      <w:r w:rsidRPr="00A259BD">
        <w:rPr>
          <w:rFonts w:ascii="Times New Roman" w:hAnsi="Times New Roman"/>
          <w:color w:val="000000" w:themeColor="text1"/>
          <w:sz w:val="16"/>
          <w:szCs w:val="16"/>
        </w:rPr>
        <w:t xml:space="preserve"> (переводчик). На постоянной основе в Казани работали инженеры фирм «Крупп»,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xml:space="preserve">», «Даймлер-Бенц», разрабатывавших первые немецкие танки. Материальной базой сначала служили шесть танков, поставленные «Крупном» по соглашению, заключенному в Москве в мае 1929г. В мае 1930 г. в школу прибыли еще четыре легких танка (два танка фирмы «Даймлер-Бенц» и два английских танка фирмы «Карден-Ллойд»). Начальником танковой школы был немец: в 1929 г. — подполковник В. </w:t>
      </w:r>
      <w:proofErr w:type="spellStart"/>
      <w:r w:rsidRPr="00A259BD">
        <w:rPr>
          <w:rFonts w:ascii="Times New Roman" w:hAnsi="Times New Roman"/>
          <w:color w:val="000000" w:themeColor="text1"/>
          <w:sz w:val="16"/>
          <w:szCs w:val="16"/>
        </w:rPr>
        <w:t>Мальбрандт</w:t>
      </w:r>
      <w:proofErr w:type="spellEnd"/>
      <w:r w:rsidRPr="00A259BD">
        <w:rPr>
          <w:rFonts w:ascii="Times New Roman" w:hAnsi="Times New Roman"/>
          <w:color w:val="000000" w:themeColor="text1"/>
          <w:sz w:val="16"/>
          <w:szCs w:val="16"/>
        </w:rPr>
        <w:t xml:space="preserve"> (директор </w:t>
      </w:r>
      <w:proofErr w:type="spellStart"/>
      <w:r w:rsidRPr="00A259BD">
        <w:rPr>
          <w:rFonts w:ascii="Times New Roman" w:hAnsi="Times New Roman"/>
          <w:color w:val="000000" w:themeColor="text1"/>
          <w:sz w:val="16"/>
          <w:szCs w:val="16"/>
        </w:rPr>
        <w:t>Маркарт</w:t>
      </w:r>
      <w:proofErr w:type="spellEnd"/>
      <w:r w:rsidRPr="00A259BD">
        <w:rPr>
          <w:rFonts w:ascii="Times New Roman" w:hAnsi="Times New Roman"/>
          <w:color w:val="000000" w:themeColor="text1"/>
          <w:sz w:val="16"/>
          <w:szCs w:val="16"/>
        </w:rPr>
        <w:t xml:space="preserve">), в 1929 — 1932гг. — Л. Риттер фон </w:t>
      </w:r>
      <w:proofErr w:type="spellStart"/>
      <w:r w:rsidRPr="00A259BD">
        <w:rPr>
          <w:rFonts w:ascii="Times New Roman" w:hAnsi="Times New Roman"/>
          <w:color w:val="000000" w:themeColor="text1"/>
          <w:sz w:val="16"/>
          <w:szCs w:val="16"/>
        </w:rPr>
        <w:t>Радльмайер</w:t>
      </w:r>
      <w:proofErr w:type="spellEnd"/>
      <w:r w:rsidRPr="00A259BD">
        <w:rPr>
          <w:rFonts w:ascii="Times New Roman" w:hAnsi="Times New Roman"/>
          <w:color w:val="000000" w:themeColor="text1"/>
          <w:sz w:val="16"/>
          <w:szCs w:val="16"/>
        </w:rPr>
        <w:t xml:space="preserve"> (директор </w:t>
      </w:r>
      <w:proofErr w:type="spellStart"/>
      <w:r w:rsidRPr="00A259BD">
        <w:rPr>
          <w:rFonts w:ascii="Times New Roman" w:hAnsi="Times New Roman"/>
          <w:color w:val="000000" w:themeColor="text1"/>
          <w:sz w:val="16"/>
          <w:szCs w:val="16"/>
        </w:rPr>
        <w:t>Раабе</w:t>
      </w:r>
      <w:proofErr w:type="spellEnd"/>
      <w:r w:rsidRPr="00A259BD">
        <w:rPr>
          <w:rFonts w:ascii="Times New Roman" w:hAnsi="Times New Roman"/>
          <w:color w:val="000000" w:themeColor="text1"/>
          <w:sz w:val="16"/>
          <w:szCs w:val="16"/>
        </w:rPr>
        <w:t>), в 1932 — 1933гг. — полковник И. Харпе (директор Хаккер) (</w:t>
      </w:r>
      <w:proofErr w:type="spellStart"/>
      <w:r w:rsidRPr="00A259BD">
        <w:rPr>
          <w:rFonts w:ascii="Times New Roman" w:hAnsi="Times New Roman"/>
          <w:color w:val="000000" w:themeColor="text1"/>
          <w:sz w:val="16"/>
          <w:szCs w:val="16"/>
        </w:rPr>
        <w:t>Walter</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Nehring</w:t>
      </w:r>
      <w:proofErr w:type="spellEnd"/>
      <w:r w:rsidRPr="00A259BD">
        <w:rPr>
          <w:rFonts w:ascii="Times New Roman" w:hAnsi="Times New Roman"/>
          <w:color w:val="000000" w:themeColor="text1"/>
          <w:sz w:val="16"/>
          <w:szCs w:val="16"/>
        </w:rPr>
        <w:t xml:space="preserve">. Die </w:t>
      </w:r>
      <w:proofErr w:type="spellStart"/>
      <w:r w:rsidRPr="00A259BD">
        <w:rPr>
          <w:rFonts w:ascii="Times New Roman" w:hAnsi="Times New Roman"/>
          <w:color w:val="000000" w:themeColor="text1"/>
          <w:sz w:val="16"/>
          <w:szCs w:val="16"/>
        </w:rPr>
        <w:t>Geschichte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der</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deutschen</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Panzerwaffe</w:t>
      </w:r>
      <w:proofErr w:type="spellEnd"/>
      <w:r w:rsidRPr="00A259BD">
        <w:rPr>
          <w:rFonts w:ascii="Times New Roman" w:hAnsi="Times New Roman"/>
          <w:color w:val="000000" w:themeColor="text1"/>
          <w:sz w:val="16"/>
          <w:szCs w:val="16"/>
        </w:rPr>
        <w:t xml:space="preserve"> 1916 </w:t>
      </w:r>
      <w:proofErr w:type="spellStart"/>
      <w:r w:rsidRPr="00A259BD">
        <w:rPr>
          <w:rFonts w:ascii="Times New Roman" w:hAnsi="Times New Roman"/>
          <w:color w:val="000000" w:themeColor="text1"/>
          <w:sz w:val="16"/>
          <w:szCs w:val="16"/>
        </w:rPr>
        <w:t>bis</w:t>
      </w:r>
      <w:proofErr w:type="spellEnd"/>
      <w:r w:rsidRPr="00A259BD">
        <w:rPr>
          <w:rFonts w:ascii="Times New Roman" w:hAnsi="Times New Roman"/>
          <w:color w:val="000000" w:themeColor="text1"/>
          <w:sz w:val="16"/>
          <w:szCs w:val="16"/>
        </w:rPr>
        <w:t xml:space="preserve"> 1945 Berlin, 1969. S. 11.). Он подчиняйся руководству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в лице руководителя «Центра Москва» и ВИКО Лит-</w:t>
      </w:r>
      <w:proofErr w:type="spellStart"/>
      <w:r w:rsidRPr="00A259BD">
        <w:rPr>
          <w:rFonts w:ascii="Times New Roman" w:hAnsi="Times New Roman"/>
          <w:color w:val="000000" w:themeColor="text1"/>
          <w:sz w:val="16"/>
          <w:szCs w:val="16"/>
        </w:rPr>
        <w:t>Томзена</w:t>
      </w:r>
      <w:proofErr w:type="spellEnd"/>
      <w:r w:rsidRPr="00A259BD">
        <w:rPr>
          <w:rFonts w:ascii="Times New Roman" w:hAnsi="Times New Roman"/>
          <w:color w:val="000000" w:themeColor="text1"/>
          <w:sz w:val="16"/>
          <w:szCs w:val="16"/>
        </w:rPr>
        <w:t xml:space="preserve"> и руководил административно-хозяйственной, учебно-строевой жизнью школы. В распоряжение начальника школы был выделен штатный помощник — комбриг Ерошенко, подчинявшийся советским инстанциям. В его функции входило оказание помощи немцам при решении всех текущих задач, а также урегулирование вопросов, связанных с работой и учебой в школе советского персонала. Затраты на 1929 г для немецкой стороны составили 1,5 млн. м., в 1930 г. — 1. 24 млн. м. Занятия в танковой школе проходили планомерно в соответствии с учебной программой. Одновременно на курсах школы обучалось не более 12 немцев. Учеба продолжалась довольно долго. Два года в летнее время в России проходила практическая подготовка танкистов и одну зиму в Берлине — теоретические занятия. Каждый немецкий курсант осваивал навыки и механика-водителя, и командира танка, и радиста, и наводчика орудия. В 1929/30 гг. курсы закончили 10 немецких офицеров, в 1931/32 гг. — 11 и в 1933 г. — 9, то есть всего 30 человек. Некоторые из выпускников «Казани» стали впоследствии генералами, воевали на восточном фронте в годы второй мировой войны. Это В. </w:t>
      </w:r>
      <w:proofErr w:type="spellStart"/>
      <w:r w:rsidRPr="00A259BD">
        <w:rPr>
          <w:rFonts w:ascii="Times New Roman" w:hAnsi="Times New Roman"/>
          <w:color w:val="000000" w:themeColor="text1"/>
          <w:sz w:val="16"/>
          <w:szCs w:val="16"/>
        </w:rPr>
        <w:t>Томале</w:t>
      </w:r>
      <w:proofErr w:type="spellEnd"/>
      <w:r w:rsidRPr="00A259BD">
        <w:rPr>
          <w:rFonts w:ascii="Times New Roman" w:hAnsi="Times New Roman"/>
          <w:color w:val="000000" w:themeColor="text1"/>
          <w:sz w:val="16"/>
          <w:szCs w:val="16"/>
        </w:rPr>
        <w:t xml:space="preserve">, Фр. </w:t>
      </w:r>
      <w:proofErr w:type="spellStart"/>
      <w:r w:rsidRPr="00A259BD">
        <w:rPr>
          <w:rFonts w:ascii="Times New Roman" w:hAnsi="Times New Roman"/>
          <w:color w:val="000000" w:themeColor="text1"/>
          <w:sz w:val="16"/>
          <w:szCs w:val="16"/>
        </w:rPr>
        <w:t>Кюн</w:t>
      </w:r>
      <w:proofErr w:type="spellEnd"/>
      <w:r w:rsidRPr="00A259BD">
        <w:rPr>
          <w:rFonts w:ascii="Times New Roman" w:hAnsi="Times New Roman"/>
          <w:color w:val="000000" w:themeColor="text1"/>
          <w:sz w:val="16"/>
          <w:szCs w:val="16"/>
        </w:rPr>
        <w:t xml:space="preserve">, начальники школы Л. Р. фон </w:t>
      </w:r>
      <w:proofErr w:type="spellStart"/>
      <w:r w:rsidRPr="00A259BD">
        <w:rPr>
          <w:rFonts w:ascii="Times New Roman" w:hAnsi="Times New Roman"/>
          <w:color w:val="000000" w:themeColor="text1"/>
          <w:sz w:val="16"/>
          <w:szCs w:val="16"/>
        </w:rPr>
        <w:t>Радльмайер</w:t>
      </w:r>
      <w:proofErr w:type="spellEnd"/>
      <w:r w:rsidRPr="00A259BD">
        <w:rPr>
          <w:rFonts w:ascii="Times New Roman" w:hAnsi="Times New Roman"/>
          <w:color w:val="000000" w:themeColor="text1"/>
          <w:sz w:val="16"/>
          <w:szCs w:val="16"/>
        </w:rPr>
        <w:t xml:space="preserve">, Ю. Харпе. За этот же период (1929 — 1931 гг. ) на курсах ТЕКО прошло обучение 65 советских офицеров. Это были строевые командиры танковых и мотомеханизированных частей РККА, преподаватели бронетанковых вузов и инженеры (танкисты, артиллеристы, радисты). В отличие от немецких курсантов их состав менялся ежегодно. Москва, учитывая важность непосредственного соприкосновения с иностранным опытом, старалась пропустить через школу максимальное количество курсантов. Так, летом 1932 г. на тактических занятиях с использованием трех танковых взводов РККА участвовало 100 человек. Тогда в Казани с инспекцией находился куратор школы, начальник инспекции № 6 генерал О. Лутц, его сопровождал знаменитый впоследствии X. Гудериан. В мае 1933 г. Гудериан в составе делегации </w:t>
      </w:r>
      <w:proofErr w:type="spellStart"/>
      <w:r w:rsidRPr="00A259BD">
        <w:rPr>
          <w:rFonts w:ascii="Times New Roman" w:hAnsi="Times New Roman"/>
          <w:color w:val="000000" w:themeColor="text1"/>
          <w:sz w:val="16"/>
          <w:szCs w:val="16"/>
        </w:rPr>
        <w:t>Боккельберга</w:t>
      </w:r>
      <w:proofErr w:type="spellEnd"/>
      <w:r w:rsidRPr="00A259BD">
        <w:rPr>
          <w:rFonts w:ascii="Times New Roman" w:hAnsi="Times New Roman"/>
          <w:color w:val="000000" w:themeColor="text1"/>
          <w:sz w:val="16"/>
          <w:szCs w:val="16"/>
        </w:rPr>
        <w:t xml:space="preserve"> вторично посетил СССР. Он осматривал тракторное и танковое производство в Харькове. Для проведения строевых и тактических занятий и одновременно испытания техники в распоряжение ТЕКО была выделена рота в составе двух взводов танкеток Т-27 и одного взвода танков МС-1. Немцам было предложено в порядке компенсации привезти из Германии новый 3-тонный танк и 8-колесную плавающую бронемашину, что и было сделано (11784).</w:t>
      </w:r>
    </w:p>
    <w:p w14:paraId="451D81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EC91BD" w14:textId="77777777" w:rsidR="00A1095E" w:rsidRPr="00A259BD" w:rsidRDefault="00A109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15 марта по 15 июля 1929 танковая школа приступила к практическому обучению на первых 4-месячных </w:t>
      </w:r>
      <w:proofErr w:type="spellStart"/>
      <w:r w:rsidRPr="00A259BD">
        <w:rPr>
          <w:rFonts w:ascii="Times New Roman" w:hAnsi="Times New Roman"/>
          <w:color w:val="000000" w:themeColor="text1"/>
          <w:sz w:val="16"/>
          <w:szCs w:val="16"/>
        </w:rPr>
        <w:t>курсахю</w:t>
      </w:r>
      <w:proofErr w:type="spellEnd"/>
      <w:r w:rsidRPr="00A259BD">
        <w:rPr>
          <w:rFonts w:ascii="Times New Roman" w:hAnsi="Times New Roman"/>
          <w:color w:val="000000" w:themeColor="text1"/>
          <w:sz w:val="16"/>
          <w:szCs w:val="16"/>
        </w:rPr>
        <w:t xml:space="preserve"> Необходимое обучение прошел постоянный состав, а затем, с 15 июня по 15 ноября, и первая группа переменного состава, в которую входило 10 немецких и 10 советских курсантов. Учебная программа Казанской школы включала теоретический курс, прикладную часть и технические занятия. В рамках теоретического курса слушатели изучали типы танков и их общее устройство, конструкцию моторов, виды оружия и боеприпасов, тактику боевых действий танковых войск и вопросы взаимодействия, особенности материально-технического обеспечения (подвоза) на поле боя. Прикладная часть включала обучение езде по ровной и пересеченной местности и в различных условиях (днем, ночью с использованием фар и без них, при использовании дымов), форсирование водных преград по дну, обучение стрельбе и проведение боевых стрельб, отработку действий в составе подразделений (до роты включительно), способы взаимодействия с другими родами войск, вопросы управления в бою и на марше. На технических занятиях слушатели получали практику технического обслуживания и ремонта танков.</w:t>
      </w:r>
    </w:p>
    <w:p w14:paraId="699FB41C" w14:textId="77777777" w:rsidR="00A1095E" w:rsidRPr="00A259BD" w:rsidRDefault="00A109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Школа состояла из четырех основных подразделений: учебные классы, испытательное отделение, технический отдел, бухгалтерия. Основные участки в начальный период работы танковой школы возглавляли капитан X. </w:t>
      </w:r>
      <w:proofErr w:type="spellStart"/>
      <w:r w:rsidRPr="00A259BD">
        <w:rPr>
          <w:rFonts w:ascii="Times New Roman" w:hAnsi="Times New Roman"/>
          <w:color w:val="000000" w:themeColor="text1"/>
          <w:sz w:val="16"/>
          <w:szCs w:val="16"/>
        </w:rPr>
        <w:t>Пирнер</w:t>
      </w:r>
      <w:proofErr w:type="spellEnd"/>
      <w:r w:rsidRPr="00A259BD">
        <w:rPr>
          <w:rFonts w:ascii="Times New Roman" w:hAnsi="Times New Roman"/>
          <w:color w:val="000000" w:themeColor="text1"/>
          <w:sz w:val="16"/>
          <w:szCs w:val="16"/>
        </w:rPr>
        <w:t xml:space="preserve"> (испытательное отделение), капитан Фр. </w:t>
      </w:r>
      <w:proofErr w:type="spellStart"/>
      <w:r w:rsidRPr="00A259BD">
        <w:rPr>
          <w:rFonts w:ascii="Times New Roman" w:hAnsi="Times New Roman"/>
          <w:color w:val="000000" w:themeColor="text1"/>
          <w:sz w:val="16"/>
          <w:szCs w:val="16"/>
        </w:rPr>
        <w:t>Кюн</w:t>
      </w:r>
      <w:proofErr w:type="spellEnd"/>
      <w:r w:rsidRPr="00A259BD">
        <w:rPr>
          <w:rFonts w:ascii="Times New Roman" w:hAnsi="Times New Roman"/>
          <w:color w:val="000000" w:themeColor="text1"/>
          <w:sz w:val="16"/>
          <w:szCs w:val="16"/>
        </w:rPr>
        <w:t xml:space="preserve"> (учебные курсы) и лейтенант </w:t>
      </w:r>
      <w:proofErr w:type="spellStart"/>
      <w:r w:rsidRPr="00A259BD">
        <w:rPr>
          <w:rFonts w:ascii="Times New Roman" w:hAnsi="Times New Roman"/>
          <w:color w:val="000000" w:themeColor="text1"/>
          <w:sz w:val="16"/>
          <w:szCs w:val="16"/>
        </w:rPr>
        <w:t>Бернарди</w:t>
      </w:r>
      <w:proofErr w:type="spellEnd"/>
      <w:r w:rsidRPr="00A259BD">
        <w:rPr>
          <w:rFonts w:ascii="Times New Roman" w:hAnsi="Times New Roman"/>
          <w:color w:val="000000" w:themeColor="text1"/>
          <w:sz w:val="16"/>
          <w:szCs w:val="16"/>
        </w:rPr>
        <w:t xml:space="preserve"> (переводчик). На постоянной основе в Казани работали инженеры фирм «Крупп»,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«Даймлер-Бенц», разрабатывавших первые немецкие танки. Материальной базой сначала служили шесть танков, поставленные «Крупном» по соглашению, заключенному в Москве в мае 1929 г. В мае 1930 г. в школу прибыли еще четыре легких танка (два танка фирмы «Даймлер-Бенц» и два английских танка фирмы «Карден-Ллойд»).</w:t>
      </w:r>
    </w:p>
    <w:p w14:paraId="2ECD75B5" w14:textId="77777777" w:rsidR="00A1095E" w:rsidRPr="00A259BD" w:rsidRDefault="00A109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Начальником танковой школы был немец: в 1929 г. — подполковник В. </w:t>
      </w:r>
      <w:proofErr w:type="spellStart"/>
      <w:r w:rsidRPr="00A259BD">
        <w:rPr>
          <w:rFonts w:ascii="Times New Roman" w:hAnsi="Times New Roman"/>
          <w:color w:val="000000" w:themeColor="text1"/>
          <w:sz w:val="16"/>
          <w:szCs w:val="16"/>
        </w:rPr>
        <w:t>Мальбрандт</w:t>
      </w:r>
      <w:proofErr w:type="spellEnd"/>
      <w:r w:rsidRPr="00A259BD">
        <w:rPr>
          <w:rFonts w:ascii="Times New Roman" w:hAnsi="Times New Roman"/>
          <w:color w:val="000000" w:themeColor="text1"/>
          <w:sz w:val="16"/>
          <w:szCs w:val="16"/>
        </w:rPr>
        <w:t xml:space="preserve"> (директор </w:t>
      </w:r>
      <w:proofErr w:type="spellStart"/>
      <w:r w:rsidRPr="00A259BD">
        <w:rPr>
          <w:rFonts w:ascii="Times New Roman" w:hAnsi="Times New Roman"/>
          <w:color w:val="000000" w:themeColor="text1"/>
          <w:sz w:val="16"/>
          <w:szCs w:val="16"/>
        </w:rPr>
        <w:t>Маркарт</w:t>
      </w:r>
      <w:proofErr w:type="spellEnd"/>
      <w:r w:rsidRPr="00A259BD">
        <w:rPr>
          <w:rFonts w:ascii="Times New Roman" w:hAnsi="Times New Roman"/>
          <w:color w:val="000000" w:themeColor="text1"/>
          <w:sz w:val="16"/>
          <w:szCs w:val="16"/>
        </w:rPr>
        <w:t xml:space="preserve">), в 1929–1932 гг. — Л. Риттер фон </w:t>
      </w:r>
      <w:proofErr w:type="spellStart"/>
      <w:r w:rsidRPr="00A259BD">
        <w:rPr>
          <w:rFonts w:ascii="Times New Roman" w:hAnsi="Times New Roman"/>
          <w:color w:val="000000" w:themeColor="text1"/>
          <w:sz w:val="16"/>
          <w:szCs w:val="16"/>
        </w:rPr>
        <w:t>Радльмайер</w:t>
      </w:r>
      <w:proofErr w:type="spellEnd"/>
      <w:r w:rsidRPr="00A259BD">
        <w:rPr>
          <w:rFonts w:ascii="Times New Roman" w:hAnsi="Times New Roman"/>
          <w:color w:val="000000" w:themeColor="text1"/>
          <w:sz w:val="16"/>
          <w:szCs w:val="16"/>
        </w:rPr>
        <w:t xml:space="preserve"> (директор </w:t>
      </w:r>
      <w:proofErr w:type="spellStart"/>
      <w:r w:rsidRPr="00A259BD">
        <w:rPr>
          <w:rFonts w:ascii="Times New Roman" w:hAnsi="Times New Roman"/>
          <w:color w:val="000000" w:themeColor="text1"/>
          <w:sz w:val="16"/>
          <w:szCs w:val="16"/>
        </w:rPr>
        <w:t>Раабе</w:t>
      </w:r>
      <w:proofErr w:type="spellEnd"/>
      <w:r w:rsidRPr="00A259BD">
        <w:rPr>
          <w:rFonts w:ascii="Times New Roman" w:hAnsi="Times New Roman"/>
          <w:color w:val="000000" w:themeColor="text1"/>
          <w:sz w:val="16"/>
          <w:szCs w:val="16"/>
        </w:rPr>
        <w:t xml:space="preserve">), в 1932–1933 гг. — полковник И. Харпе (директор Хаккер)[318]. Он подчиняйся руководству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в лице руководителя «Центра Москва» и ВИКО Лит-</w:t>
      </w:r>
      <w:proofErr w:type="spellStart"/>
      <w:r w:rsidRPr="00A259BD">
        <w:rPr>
          <w:rFonts w:ascii="Times New Roman" w:hAnsi="Times New Roman"/>
          <w:color w:val="000000" w:themeColor="text1"/>
          <w:sz w:val="16"/>
          <w:szCs w:val="16"/>
        </w:rPr>
        <w:t>Томзена</w:t>
      </w:r>
      <w:proofErr w:type="spellEnd"/>
      <w:r w:rsidRPr="00A259BD">
        <w:rPr>
          <w:rFonts w:ascii="Times New Roman" w:hAnsi="Times New Roman"/>
          <w:color w:val="000000" w:themeColor="text1"/>
          <w:sz w:val="16"/>
          <w:szCs w:val="16"/>
        </w:rPr>
        <w:t xml:space="preserve"> и руководил административно-хозяйственной, учебно-строевой жизнью школы. В распоряжение начальника школы был выделен штатный помощник — комбриг Ерошенко, подчинявшийся советским инстанциям. В его функции входило оказание помощи немцам при решении всех текущих задач, а также урегулирование вопросов, связанных с работой и учебой в школе советского персонала. Затраты на 1929 г. для немецкой стороны составили 1,5 млн. м., в 1930 г. — 1,24 млн. м.</w:t>
      </w:r>
    </w:p>
    <w:p w14:paraId="1B296AEF" w14:textId="77777777" w:rsidR="00A1095E" w:rsidRPr="00A259BD" w:rsidRDefault="00A109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Занятия в танковой школе проходили планомерно в соответствии с учебной программой. Одновременно на курсах школы обучалось не более 12 немцев. Учеба продолжалась довольно долго. Два года в летнее время в России проходила практическая подготовка танкистов и одну зиму в Берлине — теоретические занятия. Каждый немецкий курсант осваивал навыки и механика-водителя, и командира танка, и радиста, и наводчика орудия. В 1929/30 гг. курсы закончили 10 немецких офицеров, в 1931/32 гг. — 11 и в 1933 г. — 9, то есть всего 30 человек. Некоторые из выпускников «Казани» стали впоследствии генералами, воевали на восточном фронте в годы второй мировой войны. Это В. </w:t>
      </w:r>
      <w:proofErr w:type="spellStart"/>
      <w:r w:rsidRPr="00A259BD">
        <w:rPr>
          <w:rFonts w:ascii="Times New Roman" w:hAnsi="Times New Roman"/>
          <w:color w:val="000000" w:themeColor="text1"/>
          <w:sz w:val="16"/>
          <w:szCs w:val="16"/>
        </w:rPr>
        <w:t>Томале</w:t>
      </w:r>
      <w:proofErr w:type="spellEnd"/>
      <w:r w:rsidRPr="00A259BD">
        <w:rPr>
          <w:rFonts w:ascii="Times New Roman" w:hAnsi="Times New Roman"/>
          <w:color w:val="000000" w:themeColor="text1"/>
          <w:sz w:val="16"/>
          <w:szCs w:val="16"/>
        </w:rPr>
        <w:t xml:space="preserve">, Фр. </w:t>
      </w:r>
      <w:proofErr w:type="spellStart"/>
      <w:r w:rsidRPr="00A259BD">
        <w:rPr>
          <w:rFonts w:ascii="Times New Roman" w:hAnsi="Times New Roman"/>
          <w:color w:val="000000" w:themeColor="text1"/>
          <w:sz w:val="16"/>
          <w:szCs w:val="16"/>
        </w:rPr>
        <w:t>Кюн</w:t>
      </w:r>
      <w:proofErr w:type="spellEnd"/>
      <w:r w:rsidRPr="00A259BD">
        <w:rPr>
          <w:rFonts w:ascii="Times New Roman" w:hAnsi="Times New Roman"/>
          <w:color w:val="000000" w:themeColor="text1"/>
          <w:sz w:val="16"/>
          <w:szCs w:val="16"/>
        </w:rPr>
        <w:t xml:space="preserve">, начальники школы Л. Р. фон </w:t>
      </w:r>
      <w:proofErr w:type="spellStart"/>
      <w:r w:rsidRPr="00A259BD">
        <w:rPr>
          <w:rFonts w:ascii="Times New Roman" w:hAnsi="Times New Roman"/>
          <w:color w:val="000000" w:themeColor="text1"/>
          <w:sz w:val="16"/>
          <w:szCs w:val="16"/>
        </w:rPr>
        <w:t>Радльмайер</w:t>
      </w:r>
      <w:proofErr w:type="spellEnd"/>
      <w:r w:rsidRPr="00A259BD">
        <w:rPr>
          <w:rFonts w:ascii="Times New Roman" w:hAnsi="Times New Roman"/>
          <w:color w:val="000000" w:themeColor="text1"/>
          <w:sz w:val="16"/>
          <w:szCs w:val="16"/>
        </w:rPr>
        <w:t>, Ю. Харпе (18265).</w:t>
      </w:r>
    </w:p>
    <w:p w14:paraId="1EF825EC" w14:textId="77777777" w:rsidR="00A1095E" w:rsidRPr="00A259BD" w:rsidRDefault="00A1095E" w:rsidP="009236E3">
      <w:pPr>
        <w:spacing w:after="0" w:line="240" w:lineRule="auto"/>
        <w:jc w:val="both"/>
        <w:rPr>
          <w:rFonts w:ascii="Times New Roman" w:hAnsi="Times New Roman"/>
          <w:color w:val="000000" w:themeColor="text1"/>
          <w:sz w:val="16"/>
          <w:szCs w:val="16"/>
        </w:rPr>
      </w:pPr>
    </w:p>
    <w:p w14:paraId="30D3931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FBDE63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334B8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марта 1929 в Ленинграде рабочие з-да Красный Выборжец первыми в СССР предложили организовать соцсоревнование и сами начали в нем участвовать (3960, 104).</w:t>
      </w:r>
    </w:p>
    <w:p w14:paraId="489D74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82A0E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D62D6D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3D7EC2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марта 1929 в Стамбуле Троцкий объявил о том, что покидает политику (4962).</w:t>
      </w:r>
    </w:p>
    <w:p w14:paraId="5D8BD1B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FA0844"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E1BF2E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2A6CF9F"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марта 1929 у Ford 4-AT-B </w:t>
      </w:r>
      <w:proofErr w:type="spellStart"/>
      <w:r w:rsidRPr="00A259BD">
        <w:rPr>
          <w:rFonts w:ascii="Times New Roman" w:hAnsi="Times New Roman"/>
          <w:color w:val="000000" w:themeColor="text1"/>
          <w:sz w:val="16"/>
          <w:szCs w:val="16"/>
        </w:rPr>
        <w:t>Trimotor</w:t>
      </w:r>
      <w:proofErr w:type="spellEnd"/>
      <w:r w:rsidRPr="00A259BD">
        <w:rPr>
          <w:rFonts w:ascii="Times New Roman" w:hAnsi="Times New Roman"/>
          <w:color w:val="000000" w:themeColor="text1"/>
          <w:sz w:val="16"/>
          <w:szCs w:val="16"/>
        </w:rPr>
        <w:t xml:space="preserve"> NC7683 </w:t>
      </w:r>
      <w:proofErr w:type="spellStart"/>
      <w:r w:rsidRPr="00A259BD">
        <w:rPr>
          <w:rFonts w:ascii="Times New Roman" w:hAnsi="Times New Roman"/>
          <w:color w:val="000000" w:themeColor="text1"/>
          <w:sz w:val="16"/>
          <w:szCs w:val="16"/>
        </w:rPr>
        <w:t>Colonial</w:t>
      </w:r>
      <w:proofErr w:type="spellEnd"/>
      <w:r w:rsidRPr="00A259BD">
        <w:rPr>
          <w:rFonts w:ascii="Times New Roman" w:hAnsi="Times New Roman"/>
          <w:color w:val="000000" w:themeColor="text1"/>
          <w:sz w:val="16"/>
          <w:szCs w:val="16"/>
        </w:rPr>
        <w:t xml:space="preserve"> Western Airways произошел двойной отказ двигателя во время первоначального набора высоты после взлета из аэропорта Ньюарк в Ньюарке, штат Нью-Джерси. Самолет не набрал высоту и врезается в грузовой железнодорожный вагон, загруженный песком, в результате чего 14 из 15 человек на борту самолета погибают. На тот момент это самая смертоносная авиакатастрофа в истории Америки (20806).</w:t>
      </w:r>
    </w:p>
    <w:p w14:paraId="6477D582" w14:textId="77777777" w:rsidR="00F70746" w:rsidRPr="00A259BD" w:rsidRDefault="00F70746" w:rsidP="009236E3">
      <w:pPr>
        <w:spacing w:after="0" w:line="240" w:lineRule="auto"/>
        <w:jc w:val="both"/>
        <w:rPr>
          <w:rFonts w:ascii="Times New Roman" w:hAnsi="Times New Roman"/>
          <w:color w:val="000000" w:themeColor="text1"/>
          <w:sz w:val="16"/>
          <w:szCs w:val="16"/>
        </w:rPr>
      </w:pPr>
    </w:p>
    <w:p w14:paraId="0142EF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марта 1929 правительство закрыло Мадридский университет из-за студенческих беспорядков (3907,156).</w:t>
      </w:r>
    </w:p>
    <w:p w14:paraId="7FEBAC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442155"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43BF7FA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906E2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марта 1929 националистами убит узбекский поэт Хамза Хакимзаде (4962).</w:t>
      </w:r>
    </w:p>
    <w:p w14:paraId="53DF85A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16E7D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6C9790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A34CB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 марта 1929 НТК УВВС направил ЦАГИ СЗ и выписку из журнала заседаний 1 секции НТК N 2cc от 31 января 1929 "О трехлетнем плане сухопутного опытного самолетостроения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и ЦАГИ" и соответствующее постановление по данному вопросу (351). ЦАГИ получил 20 марта 1929 и дал N 284 (351).</w:t>
      </w:r>
    </w:p>
    <w:p w14:paraId="766CCB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0D4198"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марта 1929 г.</w:t>
      </w:r>
    </w:p>
    <w:p w14:paraId="4E9A1DC3"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Письмо К.Е. Ворошилова в Политбюро ЦК ВКП(б) о разрешении на пролет американского самолета через территорию СССР № 05563/сс</w:t>
      </w:r>
    </w:p>
    <w:p w14:paraId="0974AEDD"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марта 1929 г.</w:t>
      </w:r>
    </w:p>
    <w:p w14:paraId="5C6512C6"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 секретно</w:t>
      </w:r>
    </w:p>
    <w:p w14:paraId="2C8E2281"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Политбюро ЦК ВКП(б)</w:t>
      </w:r>
    </w:p>
    <w:p w14:paraId="63CE69E8"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Американский журналист Ван Лир Блек, совершающий перелет на зафрахтованном им самолете из Лондона в Токио через Китай, Индию и Японию и намеревающийся возвратиться в Англию через Сибирь, европейскую часть Союза и Германию, обратился в НКИД с просьбой о разрешении ему совершить перелет через территорию Союза.</w:t>
      </w:r>
    </w:p>
    <w:p w14:paraId="00C1C838"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типа «Фоккер»-</w:t>
      </w:r>
      <w:proofErr w:type="spellStart"/>
      <w:r w:rsidRPr="00A259BD">
        <w:rPr>
          <w:rFonts w:ascii="Times New Roman" w:hAnsi="Times New Roman"/>
          <w:color w:val="000000" w:themeColor="text1"/>
          <w:sz w:val="16"/>
          <w:szCs w:val="16"/>
        </w:rPr>
        <w:t>УПа</w:t>
      </w:r>
      <w:proofErr w:type="spellEnd"/>
      <w:r w:rsidRPr="00A259BD">
        <w:rPr>
          <w:rFonts w:ascii="Times New Roman" w:hAnsi="Times New Roman"/>
          <w:color w:val="000000" w:themeColor="text1"/>
          <w:sz w:val="16"/>
          <w:szCs w:val="16"/>
        </w:rPr>
        <w:t>, 10-ти местный, с 3-мя моторами по 200 сил.</w:t>
      </w:r>
    </w:p>
    <w:p w14:paraId="252AC524"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Пилоты </w:t>
      </w:r>
      <w:proofErr w:type="spellStart"/>
      <w:r w:rsidRPr="00A259BD">
        <w:rPr>
          <w:rFonts w:ascii="Times New Roman" w:hAnsi="Times New Roman"/>
          <w:color w:val="000000" w:themeColor="text1"/>
          <w:sz w:val="16"/>
          <w:szCs w:val="16"/>
        </w:rPr>
        <w:t>Шольтэ</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Гайзендорфер</w:t>
      </w:r>
      <w:proofErr w:type="spellEnd"/>
      <w:r w:rsidRPr="00A259BD">
        <w:rPr>
          <w:rFonts w:ascii="Times New Roman" w:hAnsi="Times New Roman"/>
          <w:color w:val="000000" w:themeColor="text1"/>
          <w:sz w:val="16"/>
          <w:szCs w:val="16"/>
        </w:rPr>
        <w:t xml:space="preserve"> и механик Ван </w:t>
      </w:r>
      <w:proofErr w:type="spellStart"/>
      <w:r w:rsidRPr="00A259BD">
        <w:rPr>
          <w:rFonts w:ascii="Times New Roman" w:hAnsi="Times New Roman"/>
          <w:color w:val="000000" w:themeColor="text1"/>
          <w:sz w:val="16"/>
          <w:szCs w:val="16"/>
        </w:rPr>
        <w:t>Трайт</w:t>
      </w:r>
      <w:proofErr w:type="spellEnd"/>
      <w:r w:rsidRPr="00A259BD">
        <w:rPr>
          <w:rFonts w:ascii="Times New Roman" w:hAnsi="Times New Roman"/>
          <w:color w:val="000000" w:themeColor="text1"/>
          <w:sz w:val="16"/>
          <w:szCs w:val="16"/>
        </w:rPr>
        <w:t xml:space="preserve"> - голландцы. </w:t>
      </w:r>
    </w:p>
    <w:p w14:paraId="74D9C3C7"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числе экипажа, кроме самого </w:t>
      </w:r>
      <w:proofErr w:type="spellStart"/>
      <w:r w:rsidRPr="00A259BD">
        <w:rPr>
          <w:rFonts w:ascii="Times New Roman" w:hAnsi="Times New Roman"/>
          <w:color w:val="000000" w:themeColor="text1"/>
          <w:sz w:val="16"/>
          <w:szCs w:val="16"/>
        </w:rPr>
        <w:t>Блека</w:t>
      </w:r>
      <w:proofErr w:type="spellEnd"/>
      <w:r w:rsidRPr="00A259BD">
        <w:rPr>
          <w:rFonts w:ascii="Times New Roman" w:hAnsi="Times New Roman"/>
          <w:color w:val="000000" w:themeColor="text1"/>
          <w:sz w:val="16"/>
          <w:szCs w:val="16"/>
        </w:rPr>
        <w:t xml:space="preserve">, с ним летят: его слуга Лио </w:t>
      </w:r>
      <w:proofErr w:type="spellStart"/>
      <w:r w:rsidRPr="00A259BD">
        <w:rPr>
          <w:rFonts w:ascii="Times New Roman" w:hAnsi="Times New Roman"/>
          <w:color w:val="000000" w:themeColor="text1"/>
          <w:sz w:val="16"/>
          <w:szCs w:val="16"/>
        </w:rPr>
        <w:t>Бэйлайн</w:t>
      </w:r>
      <w:proofErr w:type="spellEnd"/>
      <w:r w:rsidRPr="00A259BD">
        <w:rPr>
          <w:rFonts w:ascii="Times New Roman" w:hAnsi="Times New Roman"/>
          <w:color w:val="000000" w:themeColor="text1"/>
          <w:sz w:val="16"/>
          <w:szCs w:val="16"/>
        </w:rPr>
        <w:t xml:space="preserve">, тоже американец, и секретарь Р.М. </w:t>
      </w:r>
      <w:proofErr w:type="spellStart"/>
      <w:r w:rsidRPr="00A259BD">
        <w:rPr>
          <w:rFonts w:ascii="Times New Roman" w:hAnsi="Times New Roman"/>
          <w:color w:val="000000" w:themeColor="text1"/>
          <w:sz w:val="16"/>
          <w:szCs w:val="16"/>
        </w:rPr>
        <w:t>Маккол</w:t>
      </w:r>
      <w:proofErr w:type="spellEnd"/>
      <w:r w:rsidRPr="00A259BD">
        <w:rPr>
          <w:rFonts w:ascii="Times New Roman" w:hAnsi="Times New Roman"/>
          <w:color w:val="000000" w:themeColor="text1"/>
          <w:sz w:val="16"/>
          <w:szCs w:val="16"/>
        </w:rPr>
        <w:t xml:space="preserve"> - англичанин.</w:t>
      </w:r>
    </w:p>
    <w:p w14:paraId="61389C7E"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 восточной границы Союза до Москвы самолет может лететь маршрутом общества Добролет, от Москвы до западной границы маршрутом общества </w:t>
      </w:r>
      <w:proofErr w:type="spellStart"/>
      <w:r w:rsidRPr="00A259BD">
        <w:rPr>
          <w:rFonts w:ascii="Times New Roman" w:hAnsi="Times New Roman"/>
          <w:color w:val="000000" w:themeColor="text1"/>
          <w:sz w:val="16"/>
          <w:szCs w:val="16"/>
        </w:rPr>
        <w:t>Дерулюфт</w:t>
      </w:r>
      <w:proofErr w:type="spellEnd"/>
      <w:r w:rsidRPr="00A259BD">
        <w:rPr>
          <w:rFonts w:ascii="Times New Roman" w:hAnsi="Times New Roman"/>
          <w:color w:val="000000" w:themeColor="text1"/>
          <w:sz w:val="16"/>
          <w:szCs w:val="16"/>
        </w:rPr>
        <w:t>.</w:t>
      </w:r>
    </w:p>
    <w:p w14:paraId="53D88548"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Ввиду предполагаемого нашего перелета в Америку, а также неоднократного разрешения иностранцам на перелет через территорию нашего Союза (японцы, французы, чехословаки, датчане, поляки) я считаю необходимым разрешить перелет американскому журналисту Ван Лир Влеку.</w:t>
      </w:r>
    </w:p>
    <w:p w14:paraId="347E107F"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НКИД со своей стороны поддерживает.</w:t>
      </w:r>
    </w:p>
    <w:p w14:paraId="634B9CD8"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Председатель Революционного Военного</w:t>
      </w:r>
    </w:p>
    <w:p w14:paraId="66CCF9F6"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Совета Союза ССР</w:t>
      </w:r>
      <w:r w:rsidRPr="00A259BD">
        <w:rPr>
          <w:rFonts w:ascii="Times New Roman" w:hAnsi="Times New Roman"/>
          <w:color w:val="000000" w:themeColor="text1"/>
          <w:sz w:val="16"/>
          <w:szCs w:val="16"/>
        </w:rPr>
        <w:tab/>
        <w:t>Ворошилов</w:t>
      </w:r>
    </w:p>
    <w:p w14:paraId="609E36FF"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Штамп: </w:t>
      </w:r>
      <w:proofErr w:type="spellStart"/>
      <w:r w:rsidRPr="00A259BD">
        <w:rPr>
          <w:rFonts w:ascii="Times New Roman" w:hAnsi="Times New Roman"/>
          <w:color w:val="000000" w:themeColor="text1"/>
          <w:sz w:val="16"/>
          <w:szCs w:val="16"/>
        </w:rPr>
        <w:t>Прот</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окол</w:t>
      </w:r>
      <w:proofErr w:type="spellEnd"/>
      <w:r w:rsidRPr="00A259BD">
        <w:rPr>
          <w:rFonts w:ascii="Times New Roman" w:hAnsi="Times New Roman"/>
          <w:color w:val="000000" w:themeColor="text1"/>
          <w:sz w:val="16"/>
          <w:szCs w:val="16"/>
        </w:rPr>
        <w:t>] ПБ № 69, п. 34.</w:t>
      </w:r>
    </w:p>
    <w:p w14:paraId="30B0AC4E"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АП РФ. Ф. 3. On. 66. Д. 436. Л. 61. Подлинник.</w:t>
      </w:r>
    </w:p>
    <w:p w14:paraId="04CEF3BF" w14:textId="77777777" w:rsidR="00F70746" w:rsidRPr="00A259BD" w:rsidRDefault="00F70746" w:rsidP="009236E3">
      <w:pPr>
        <w:spacing w:after="0" w:line="240" w:lineRule="auto"/>
        <w:jc w:val="both"/>
        <w:rPr>
          <w:rFonts w:ascii="Times New Roman" w:hAnsi="Times New Roman"/>
          <w:color w:val="000000" w:themeColor="text1"/>
          <w:sz w:val="16"/>
          <w:szCs w:val="16"/>
        </w:rPr>
      </w:pPr>
    </w:p>
    <w:p w14:paraId="46D40C1C" w14:textId="77777777" w:rsidR="00DA22D3"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FE15953" w14:textId="77777777" w:rsidR="00DA22D3" w:rsidRPr="00A259BD" w:rsidRDefault="00DA22D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32CA61D"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 марта 1929 г. Протокол заседания Постоянного мобилизационного совещания при Президиуме ВСНХ СССР. 1. Учет нужд обороны в пятилетием перспективном плане развития промышленности. 2. О распределении паровозов 0?3?0 750 мм, заказанных </w:t>
      </w:r>
      <w:proofErr w:type="spellStart"/>
      <w:r w:rsidRPr="00A259BD">
        <w:rPr>
          <w:rFonts w:ascii="Times New Roman" w:hAnsi="Times New Roman"/>
          <w:color w:val="000000" w:themeColor="text1"/>
          <w:sz w:val="16"/>
          <w:szCs w:val="16"/>
        </w:rPr>
        <w:t>Гомзы</w:t>
      </w:r>
      <w:proofErr w:type="spellEnd"/>
      <w:r w:rsidRPr="00A259BD">
        <w:rPr>
          <w:rFonts w:ascii="Times New Roman" w:hAnsi="Times New Roman"/>
          <w:color w:val="000000" w:themeColor="text1"/>
          <w:sz w:val="16"/>
          <w:szCs w:val="16"/>
        </w:rPr>
        <w:t xml:space="preserve"> согласно постановлению Президиума ВСНХ СССР от 28 августа 1928 г. № 25/492. 3. О восстановлении Краснодарского </w:t>
      </w:r>
      <w:proofErr w:type="spellStart"/>
      <w:r w:rsidRPr="00A259BD">
        <w:rPr>
          <w:rFonts w:ascii="Times New Roman" w:hAnsi="Times New Roman"/>
          <w:color w:val="000000" w:themeColor="text1"/>
          <w:sz w:val="16"/>
          <w:szCs w:val="16"/>
        </w:rPr>
        <w:t>нитротолуолового</w:t>
      </w:r>
      <w:proofErr w:type="spellEnd"/>
      <w:r w:rsidRPr="00A259BD">
        <w:rPr>
          <w:rFonts w:ascii="Times New Roman" w:hAnsi="Times New Roman"/>
          <w:color w:val="000000" w:themeColor="text1"/>
          <w:sz w:val="16"/>
          <w:szCs w:val="16"/>
        </w:rPr>
        <w:t xml:space="preserve"> завода. 4. О заводе «</w:t>
      </w:r>
      <w:proofErr w:type="spellStart"/>
      <w:r w:rsidRPr="00A259BD">
        <w:rPr>
          <w:rFonts w:ascii="Times New Roman" w:hAnsi="Times New Roman"/>
          <w:color w:val="000000" w:themeColor="text1"/>
          <w:sz w:val="16"/>
          <w:szCs w:val="16"/>
        </w:rPr>
        <w:t>Химметалл</w:t>
      </w:r>
      <w:proofErr w:type="spellEnd"/>
      <w:r w:rsidRPr="00A259BD">
        <w:rPr>
          <w:rFonts w:ascii="Times New Roman" w:hAnsi="Times New Roman"/>
          <w:color w:val="000000" w:themeColor="text1"/>
          <w:sz w:val="16"/>
          <w:szCs w:val="16"/>
        </w:rPr>
        <w:t xml:space="preserve">». 5. Установление задания </w:t>
      </w:r>
      <w:proofErr w:type="spellStart"/>
      <w:r w:rsidRPr="00A259BD">
        <w:rPr>
          <w:rFonts w:ascii="Times New Roman" w:hAnsi="Times New Roman"/>
          <w:color w:val="000000" w:themeColor="text1"/>
          <w:sz w:val="16"/>
          <w:szCs w:val="16"/>
        </w:rPr>
        <w:t>Главцветмегу</w:t>
      </w:r>
      <w:proofErr w:type="spellEnd"/>
      <w:r w:rsidRPr="00A259BD">
        <w:rPr>
          <w:rFonts w:ascii="Times New Roman" w:hAnsi="Times New Roman"/>
          <w:color w:val="000000" w:themeColor="text1"/>
          <w:sz w:val="16"/>
          <w:szCs w:val="16"/>
        </w:rPr>
        <w:t xml:space="preserve"> о размерах проектируемого завода кольчугалюминия. 6. Об ассигновании 100 тыс. руб. на постройку нового завода свинцовых аккумуляторов по Государственному аккумуляторному тресту в г. Саратов (РГАЭ. Ф. 3429. Оп. 16. Д. 3. Л. 12?13 об.) (12417).</w:t>
      </w:r>
    </w:p>
    <w:p w14:paraId="32ED5BA9" w14:textId="77777777" w:rsidR="00DA22D3" w:rsidRPr="00A259BD" w:rsidRDefault="00DA22D3" w:rsidP="009236E3">
      <w:pPr>
        <w:spacing w:after="0" w:line="240" w:lineRule="auto"/>
        <w:jc w:val="both"/>
        <w:rPr>
          <w:rFonts w:ascii="Times New Roman" w:hAnsi="Times New Roman"/>
          <w:color w:val="000000" w:themeColor="text1"/>
          <w:sz w:val="16"/>
          <w:szCs w:val="16"/>
        </w:rPr>
      </w:pPr>
    </w:p>
    <w:p w14:paraId="56E233EA"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марта 1929 г. Постановление Постоянного мобилизационного совещания Президиуме ВСНХ СССР о пятилетием плане промышленности (РГАЭ. Ф. 3429. Оп. 16. Д. 3. Л. 14?14 об.) (12417).</w:t>
      </w:r>
    </w:p>
    <w:p w14:paraId="3EEE89D3" w14:textId="77777777" w:rsidR="00DA22D3" w:rsidRPr="00A259BD" w:rsidRDefault="00DA22D3" w:rsidP="009236E3">
      <w:pPr>
        <w:spacing w:after="0" w:line="240" w:lineRule="auto"/>
        <w:jc w:val="both"/>
        <w:rPr>
          <w:rFonts w:ascii="Times New Roman" w:hAnsi="Times New Roman"/>
          <w:color w:val="000000" w:themeColor="text1"/>
          <w:sz w:val="16"/>
          <w:szCs w:val="16"/>
        </w:rPr>
      </w:pPr>
    </w:p>
    <w:p w14:paraId="52DC076B" w14:textId="77777777" w:rsidR="00F70746" w:rsidRPr="00A259BD" w:rsidRDefault="00F70746"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E157B32" w14:textId="77777777" w:rsidR="00F70746" w:rsidRPr="00A259BD" w:rsidRDefault="00F7074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2CD709A"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 марта 1929 недавно построенный Ford 5-AT-B </w:t>
      </w:r>
      <w:proofErr w:type="spellStart"/>
      <w:r w:rsidRPr="00A259BD">
        <w:rPr>
          <w:rFonts w:ascii="Times New Roman" w:hAnsi="Times New Roman"/>
          <w:color w:val="000000" w:themeColor="text1"/>
          <w:sz w:val="16"/>
          <w:szCs w:val="16"/>
        </w:rPr>
        <w:t>Trimotor</w:t>
      </w:r>
      <w:proofErr w:type="spellEnd"/>
      <w:r w:rsidRPr="00A259BD">
        <w:rPr>
          <w:rFonts w:ascii="Times New Roman" w:hAnsi="Times New Roman"/>
          <w:color w:val="000000" w:themeColor="text1"/>
          <w:sz w:val="16"/>
          <w:szCs w:val="16"/>
        </w:rPr>
        <w:t xml:space="preserve"> NC9674 , совершивший свой первый полет всего пятью днями ранее, терпит аварию, когда его крыло ударяется о землю при посадке во время возвращения в аэропорт Форд в Дирборне, штат Мичиган когда компании Ford Motor. Рейс доставляла машину заказчику. Все четыре человека на борту погибают (20806).</w:t>
      </w:r>
    </w:p>
    <w:p w14:paraId="0E657FD1" w14:textId="77777777" w:rsidR="00F70746" w:rsidRPr="00A259BD" w:rsidRDefault="00F70746" w:rsidP="009236E3">
      <w:pPr>
        <w:spacing w:after="0" w:line="240" w:lineRule="auto"/>
        <w:jc w:val="both"/>
        <w:rPr>
          <w:rFonts w:ascii="Times New Roman" w:hAnsi="Times New Roman"/>
          <w:color w:val="000000" w:themeColor="text1"/>
          <w:sz w:val="16"/>
          <w:szCs w:val="16"/>
        </w:rPr>
      </w:pPr>
    </w:p>
    <w:p w14:paraId="602A3A1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F04824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063D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марта 1929 ЦАГИ был получен проект постановления РВС по докладу УВВС по опытному строительству УВВС. Подписал Пред. НТК УВВС </w:t>
      </w:r>
      <w:proofErr w:type="spellStart"/>
      <w:r w:rsidRPr="00A259BD">
        <w:rPr>
          <w:rFonts w:ascii="Times New Roman" w:hAnsi="Times New Roman"/>
          <w:color w:val="000000" w:themeColor="text1"/>
          <w:sz w:val="16"/>
          <w:szCs w:val="16"/>
        </w:rPr>
        <w:t>П.С.Дубенский</w:t>
      </w:r>
      <w:proofErr w:type="spellEnd"/>
      <w:r w:rsidRPr="00A259BD">
        <w:rPr>
          <w:rFonts w:ascii="Times New Roman" w:hAnsi="Times New Roman"/>
          <w:color w:val="000000" w:themeColor="text1"/>
          <w:sz w:val="16"/>
          <w:szCs w:val="16"/>
        </w:rPr>
        <w:t xml:space="preserve"> (351).</w:t>
      </w:r>
    </w:p>
    <w:p w14:paraId="397AC5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60859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марта 1929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писал письмо N 162/2533сс "О нормальном развитии опытного авиастроительства" и отмечал, что:</w:t>
      </w:r>
    </w:p>
    <w:p w14:paraId="794C87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"Полученный Правлением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проект постановления РВС по опытному авиационному строительству, предложенный НТК УВВС, ни в коей мере не может обеспечить правильное развитие опытного строительства и дать в возможно короткие сроки, приемлемые по техническим и тактическим требованиям, которые могли бы быть безболезненно осуществлены промышленностью в серийном производстве.</w:t>
      </w:r>
    </w:p>
    <w:p w14:paraId="08000C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Принятая НТК установка, что опытное строительство в основном должно исходить от НИИ под полным и всесторонним контролем НТК УВВС и что в этом НТК видит единственно возможное развитие самолетов и моторов, не имеет под собой надежного фундамента... Оспаривал и приводил пример, когда НТК принял М-12, а пошел М-11. Писал о том, что: "Если два года назад состояние опытного строительства треста по самолетам внушало большие опасения, то на сегодняшний день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достиг значительных результатов.</w:t>
      </w:r>
    </w:p>
    <w:p w14:paraId="04EC05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серийное производство уже ставятся выпущенные КО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следующие сухопутные машины: У-2, П-2, И-3, Р-5, Д-2; находятся в конструктивной проработке и постройке опытных образцов ТБ-2 и И6.</w:t>
      </w:r>
    </w:p>
    <w:p w14:paraId="6D9B13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морским самолетам в конструктивной проработке и постройке опытных образцов находятся следующие машины: МР-5, МР-3бис и МУ-2. В конструктивной проработке группы Ришара находятся ТОМ, БОМ и МР-5..." (2339,182).</w:t>
      </w:r>
    </w:p>
    <w:p w14:paraId="7134E6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марта 1929 Предправления Урываев и Член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Макаровский писали письмо № 162/2533сс:</w:t>
      </w:r>
    </w:p>
    <w:p w14:paraId="157F88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нормальном развитии опытного авиастроительства </w:t>
      </w:r>
    </w:p>
    <w:p w14:paraId="58AB098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Полученный Правлением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проект постановления РВС по опытному авиационному строительству, предложенный НТК УВВС ни в коей мере не может обеспечить правильное развитие опытного строительства и дать в возможно короткие сроки приемлемые по техническим и тактическим требованиям ВВС образцы моторов и самолетов, которые могли бы быть безболезненно осуществлены промышленностью в серийном производстве.</w:t>
      </w:r>
    </w:p>
    <w:p w14:paraId="349927C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Принятая НТК УВВС установка , что опытное строительство в основном должно исходить от Научных институтов под полным и все</w:t>
      </w:r>
      <w:r w:rsidRPr="00A259BD">
        <w:rPr>
          <w:rFonts w:ascii="Times New Roman" w:hAnsi="Times New Roman"/>
          <w:color w:val="000000" w:themeColor="text1"/>
          <w:sz w:val="16"/>
          <w:szCs w:val="16"/>
        </w:rPr>
        <w:softHyphen/>
        <w:t>сторонним контролем НТК УВВС и что в этом НТК видит единствен</w:t>
      </w:r>
      <w:r w:rsidRPr="00A259BD">
        <w:rPr>
          <w:rFonts w:ascii="Times New Roman" w:hAnsi="Times New Roman"/>
          <w:color w:val="000000" w:themeColor="text1"/>
          <w:sz w:val="16"/>
          <w:szCs w:val="16"/>
        </w:rPr>
        <w:softHyphen/>
        <w:t>но возможное развитие самолетов и моторов не имеет под собой надежного Фундамента.</w:t>
      </w:r>
    </w:p>
    <w:p w14:paraId="7296FB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Предоставление промышленности второстепенного места в деле опытного строительства, не является целесообразным, как в отношении получения достаточно проработанных конструкций, так и ускорения выхода машин из серийного производства. Выросшее на промышленной базе опытное строительство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несомненно дает и даст более осязаемый результат.</w:t>
      </w:r>
    </w:p>
    <w:p w14:paraId="253340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Положение об опытном строительстве, выдвигаемое НТК УВВС нового ничего не дает, т.к. таковая установка существовала до сего времени и по мнению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является безусловно в деле развития опытного строительства вредной. Подводя итоги работ по опытному строительству Научных Институтов 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приходится сделать вывод не в пользу оставления опытного авиационного строительства за Научными Институтами.</w:t>
      </w:r>
    </w:p>
    <w:p w14:paraId="3A3CF55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Научный комитет НАМИ дал </w:t>
      </w:r>
      <w:proofErr w:type="spellStart"/>
      <w:r w:rsidRPr="00A259BD">
        <w:rPr>
          <w:rFonts w:ascii="Times New Roman" w:hAnsi="Times New Roman"/>
          <w:color w:val="000000" w:themeColor="text1"/>
          <w:sz w:val="16"/>
          <w:szCs w:val="16"/>
        </w:rPr>
        <w:t>колнструктивную</w:t>
      </w:r>
      <w:proofErr w:type="spellEnd"/>
      <w:r w:rsidRPr="00A259BD">
        <w:rPr>
          <w:rFonts w:ascii="Times New Roman" w:hAnsi="Times New Roman"/>
          <w:color w:val="000000" w:themeColor="text1"/>
          <w:sz w:val="16"/>
          <w:szCs w:val="16"/>
        </w:rPr>
        <w:t xml:space="preserve"> проработку двух моторов М-12 и М-13, построенных на заводах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При официальных испытаниях в НИИ учебного мотора НАМИ М-12 произошла поломка коленвала. Несмотря на происшедшую поломку вала мотор М-12 по настоянию УВВС был принят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на серийное производство на заводе № 29 в количестве 70 шт. на первый год.</w:t>
      </w:r>
    </w:p>
    <w:p w14:paraId="4F9DCC5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выполнения поставленной задачи завод полным темпом развернул работу по этому мотору. В результате на заводе создались большие производственные затруднения из-за поломки на моторах коленчатых валов на приемочных испытаниях. Таким образом, погибла огромная подготовительная работа завода и остаются пока неиспользованными поковки этого мотора.</w:t>
      </w:r>
    </w:p>
    <w:p w14:paraId="73B54A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данном случае НТК УВВС поставило этот недоработанный мотор Научного Института на производство и НТК должно было снять его со снабжения.</w:t>
      </w:r>
    </w:p>
    <w:p w14:paraId="0D0447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Случай с </w:t>
      </w:r>
      <w:proofErr w:type="spellStart"/>
      <w:r w:rsidRPr="00A259BD">
        <w:rPr>
          <w:rFonts w:ascii="Times New Roman" w:hAnsi="Times New Roman"/>
          <w:color w:val="000000" w:themeColor="text1"/>
          <w:sz w:val="16"/>
          <w:szCs w:val="16"/>
        </w:rPr>
        <w:t>мотром</w:t>
      </w:r>
      <w:proofErr w:type="spellEnd"/>
      <w:r w:rsidRPr="00A259BD">
        <w:rPr>
          <w:rFonts w:ascii="Times New Roman" w:hAnsi="Times New Roman"/>
          <w:color w:val="000000" w:themeColor="text1"/>
          <w:sz w:val="16"/>
          <w:szCs w:val="16"/>
        </w:rPr>
        <w:t xml:space="preserve"> М-12 есть характерная иллюстрация того, что проведение через НТК конструкций и следующее за ним постановление о постройке не только не гарантирует планомерности и правильности постановки на серийное производство опытных образцов, но даже, как в случае с мотором М-12, может иметь отрицательное значение.</w:t>
      </w:r>
    </w:p>
    <w:p w14:paraId="784A65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 М-13, также запроектированный НАМИ, построен в 2-х опытных экземплярах на заводах № 29 и 24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Этот мотор не может быть принят на производство, т.к. конструкция блока его не увязана с серийными производственными возможностями заводов, а отливку блоков при данном состоянии промышленности в больших количествах осуществлять нельзя.</w:t>
      </w:r>
    </w:p>
    <w:p w14:paraId="592074C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одно время с мотором М-12 конструкторским Бюро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был разработан однотипный мотор М-11. Этот мотор, давший положительные </w:t>
      </w:r>
      <w:proofErr w:type="spellStart"/>
      <w:r w:rsidRPr="00A259BD">
        <w:rPr>
          <w:rFonts w:ascii="Times New Roman" w:hAnsi="Times New Roman"/>
          <w:color w:val="000000" w:themeColor="text1"/>
          <w:sz w:val="16"/>
          <w:szCs w:val="16"/>
        </w:rPr>
        <w:t>результатв</w:t>
      </w:r>
      <w:proofErr w:type="spellEnd"/>
      <w:r w:rsidRPr="00A259BD">
        <w:rPr>
          <w:rFonts w:ascii="Times New Roman" w:hAnsi="Times New Roman"/>
          <w:color w:val="000000" w:themeColor="text1"/>
          <w:sz w:val="16"/>
          <w:szCs w:val="16"/>
        </w:rPr>
        <w:t xml:space="preserve"> на официальных испытаниях, не только не был принят НТК, но даже и не был одобрен к постановке на самолет, в виду состоявшегося уже решения НТК о постройке мотора М-12. Однако, не имея другого мотора для учебной машины, трест вынужден был поставить на первый образец самолета мотор М-11. В продолжительной </w:t>
      </w:r>
      <w:proofErr w:type="spellStart"/>
      <w:r w:rsidRPr="00A259BD">
        <w:rPr>
          <w:rFonts w:ascii="Times New Roman" w:hAnsi="Times New Roman"/>
          <w:color w:val="000000" w:themeColor="text1"/>
          <w:sz w:val="16"/>
          <w:szCs w:val="16"/>
        </w:rPr>
        <w:t>эксплоатации</w:t>
      </w:r>
      <w:proofErr w:type="spellEnd"/>
      <w:r w:rsidRPr="00A259BD">
        <w:rPr>
          <w:rFonts w:ascii="Times New Roman" w:hAnsi="Times New Roman"/>
          <w:color w:val="000000" w:themeColor="text1"/>
          <w:sz w:val="16"/>
          <w:szCs w:val="16"/>
        </w:rPr>
        <w:t xml:space="preserve"> на самолете этот мотор дал также хорошие результаты. Тем не менее во избежание параллелизма в постройке двух </w:t>
      </w:r>
      <w:proofErr w:type="spellStart"/>
      <w:r w:rsidRPr="00A259BD">
        <w:rPr>
          <w:rFonts w:ascii="Times New Roman" w:hAnsi="Times New Roman"/>
          <w:color w:val="000000" w:themeColor="text1"/>
          <w:sz w:val="16"/>
          <w:szCs w:val="16"/>
        </w:rPr>
        <w:t>однотипинх</w:t>
      </w:r>
      <w:proofErr w:type="spellEnd"/>
      <w:r w:rsidRPr="00A259BD">
        <w:rPr>
          <w:rFonts w:ascii="Times New Roman" w:hAnsi="Times New Roman"/>
          <w:color w:val="000000" w:themeColor="text1"/>
          <w:sz w:val="16"/>
          <w:szCs w:val="16"/>
        </w:rPr>
        <w:t xml:space="preserve"> учебных моторов трест после длительных переговоров вынужден был снять мотор М-11 со снабжения и оставить на серийном производстве мотор НАМИ М-12. Действительность показала, кто был прав в этом споре - промышленность ли, давшая опытный мотор на своей </w:t>
      </w:r>
      <w:proofErr w:type="spellStart"/>
      <w:r w:rsidRPr="00A259BD">
        <w:rPr>
          <w:rFonts w:ascii="Times New Roman" w:hAnsi="Times New Roman"/>
          <w:color w:val="000000" w:themeColor="text1"/>
          <w:sz w:val="16"/>
          <w:szCs w:val="16"/>
        </w:rPr>
        <w:t>производственой</w:t>
      </w:r>
      <w:proofErr w:type="spellEnd"/>
      <w:r w:rsidRPr="00A259BD">
        <w:rPr>
          <w:rFonts w:ascii="Times New Roman" w:hAnsi="Times New Roman"/>
          <w:color w:val="000000" w:themeColor="text1"/>
          <w:sz w:val="16"/>
          <w:szCs w:val="16"/>
        </w:rPr>
        <w:t xml:space="preserve"> базе или Научный Институт, получивши санкцию НТК.</w:t>
      </w:r>
    </w:p>
    <w:p w14:paraId="4D2E0E2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М-11 пришлось срочно вводить в серию на заводе № 29 вместо М-12.</w:t>
      </w:r>
    </w:p>
    <w:p w14:paraId="7AE0D5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окончательном результате получилась задержка в </w:t>
      </w:r>
      <w:proofErr w:type="spellStart"/>
      <w:r w:rsidRPr="00A259BD">
        <w:rPr>
          <w:rFonts w:ascii="Times New Roman" w:hAnsi="Times New Roman"/>
          <w:color w:val="000000" w:themeColor="text1"/>
          <w:sz w:val="16"/>
          <w:szCs w:val="16"/>
        </w:rPr>
        <w:t>серином</w:t>
      </w:r>
      <w:proofErr w:type="spellEnd"/>
      <w:r w:rsidRPr="00A259BD">
        <w:rPr>
          <w:rFonts w:ascii="Times New Roman" w:hAnsi="Times New Roman"/>
          <w:color w:val="000000" w:themeColor="text1"/>
          <w:sz w:val="16"/>
          <w:szCs w:val="16"/>
        </w:rPr>
        <w:t xml:space="preserve"> выпуске учебных моторов.</w:t>
      </w:r>
    </w:p>
    <w:p w14:paraId="1E5E898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Другие модели Конструкторского Бюро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М-15, У-12, ... и М-14 находятся в периоде заводского испытания и с производственной стороны не встречают затруднений.</w:t>
      </w:r>
    </w:p>
    <w:p w14:paraId="2BCF78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На этом отнюдь не заканчивается развитие опытного строительства моторов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Опытным моторным отделом проработан не только трехлетний план опытного строительства, но и пятилетний, в котором намечены модификации строящихся моторов с учетом возможностей приближения к заграничным образцам моторов в </w:t>
      </w:r>
      <w:proofErr w:type="spellStart"/>
      <w:r w:rsidRPr="00A259BD">
        <w:rPr>
          <w:rFonts w:ascii="Times New Roman" w:hAnsi="Times New Roman"/>
          <w:color w:val="000000" w:themeColor="text1"/>
          <w:sz w:val="16"/>
          <w:szCs w:val="16"/>
        </w:rPr>
        <w:t>перспектизном</w:t>
      </w:r>
      <w:proofErr w:type="spellEnd"/>
      <w:r w:rsidRPr="00A259BD">
        <w:rPr>
          <w:rFonts w:ascii="Times New Roman" w:hAnsi="Times New Roman"/>
          <w:color w:val="000000" w:themeColor="text1"/>
          <w:sz w:val="16"/>
          <w:szCs w:val="16"/>
        </w:rPr>
        <w:t xml:space="preserve"> плане развития моторостроения, а также и </w:t>
      </w:r>
      <w:proofErr w:type="spellStart"/>
      <w:r w:rsidRPr="00A259BD">
        <w:rPr>
          <w:rFonts w:ascii="Times New Roman" w:hAnsi="Times New Roman"/>
          <w:color w:val="000000" w:themeColor="text1"/>
          <w:sz w:val="16"/>
          <w:szCs w:val="16"/>
        </w:rPr>
        <w:t>ппроизводственных</w:t>
      </w:r>
      <w:proofErr w:type="spellEnd"/>
      <w:r w:rsidRPr="00A259BD">
        <w:rPr>
          <w:rFonts w:ascii="Times New Roman" w:hAnsi="Times New Roman"/>
          <w:color w:val="000000" w:themeColor="text1"/>
          <w:sz w:val="16"/>
          <w:szCs w:val="16"/>
        </w:rPr>
        <w:t xml:space="preserve"> возможностей авиапромышленности.</w:t>
      </w:r>
    </w:p>
    <w:p w14:paraId="515D32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Если два года тому назад состояние опытного строительства Треста по самолетам внушало большие опасения, то на </w:t>
      </w:r>
      <w:proofErr w:type="spellStart"/>
      <w:r w:rsidRPr="00A259BD">
        <w:rPr>
          <w:rFonts w:ascii="Times New Roman" w:hAnsi="Times New Roman"/>
          <w:color w:val="000000" w:themeColor="text1"/>
          <w:sz w:val="16"/>
          <w:szCs w:val="16"/>
        </w:rPr>
        <w:t>сегоднягшний</w:t>
      </w:r>
      <w:proofErr w:type="spellEnd"/>
      <w:r w:rsidRPr="00A259BD">
        <w:rPr>
          <w:rFonts w:ascii="Times New Roman" w:hAnsi="Times New Roman"/>
          <w:color w:val="000000" w:themeColor="text1"/>
          <w:sz w:val="16"/>
          <w:szCs w:val="16"/>
        </w:rPr>
        <w:t xml:space="preserve"> день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достиг значительных результатов.</w:t>
      </w:r>
    </w:p>
    <w:p w14:paraId="7F6135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серийное производство уже ставятся выпущенные конструкторским Отделом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следующие сухопутные машины: У-2; И-3, Р-5 и Д-2; находятся в конструктивной проработке и постройке опытные образцы ТБ-2 и И-6.</w:t>
      </w:r>
    </w:p>
    <w:p w14:paraId="4F46DB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морским самолетам в конструктивной проработке и постройке опытных образцов находятся </w:t>
      </w:r>
      <w:proofErr w:type="spellStart"/>
      <w:r w:rsidRPr="00A259BD">
        <w:rPr>
          <w:rFonts w:ascii="Times New Roman" w:hAnsi="Times New Roman"/>
          <w:color w:val="000000" w:themeColor="text1"/>
          <w:sz w:val="16"/>
          <w:szCs w:val="16"/>
        </w:rPr>
        <w:t>слодующие</w:t>
      </w:r>
      <w:proofErr w:type="spellEnd"/>
      <w:r w:rsidRPr="00A259BD">
        <w:rPr>
          <w:rFonts w:ascii="Times New Roman" w:hAnsi="Times New Roman"/>
          <w:color w:val="000000" w:themeColor="text1"/>
          <w:sz w:val="16"/>
          <w:szCs w:val="16"/>
        </w:rPr>
        <w:t xml:space="preserve"> машины: РОМ; МР-5; МР-3бис и МУ-2.. В конструктивной </w:t>
      </w:r>
      <w:proofErr w:type="spellStart"/>
      <w:r w:rsidRPr="00A259BD">
        <w:rPr>
          <w:rFonts w:ascii="Times New Roman" w:hAnsi="Times New Roman"/>
          <w:color w:val="000000" w:themeColor="text1"/>
          <w:sz w:val="16"/>
          <w:szCs w:val="16"/>
        </w:rPr>
        <w:t>проработко</w:t>
      </w:r>
      <w:proofErr w:type="spellEnd"/>
      <w:r w:rsidRPr="00A259BD">
        <w:rPr>
          <w:rFonts w:ascii="Times New Roman" w:hAnsi="Times New Roman"/>
          <w:color w:val="000000" w:themeColor="text1"/>
          <w:sz w:val="16"/>
          <w:szCs w:val="16"/>
        </w:rPr>
        <w:t xml:space="preserve"> группой Ришара самолеты ТОМ; БОИ и МР-5.</w:t>
      </w:r>
    </w:p>
    <w:p w14:paraId="6C57535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w:t>
      </w:r>
      <w:proofErr w:type="spellStart"/>
      <w:r w:rsidRPr="00A259BD">
        <w:rPr>
          <w:rFonts w:ascii="Times New Roman" w:hAnsi="Times New Roman"/>
          <w:color w:val="000000" w:themeColor="text1"/>
          <w:sz w:val="16"/>
          <w:szCs w:val="16"/>
        </w:rPr>
        <w:t>проведенныи</w:t>
      </w:r>
      <w:proofErr w:type="spellEnd"/>
      <w:r w:rsidRPr="00A259BD">
        <w:rPr>
          <w:rFonts w:ascii="Times New Roman" w:hAnsi="Times New Roman"/>
          <w:color w:val="000000" w:themeColor="text1"/>
          <w:sz w:val="16"/>
          <w:szCs w:val="16"/>
        </w:rPr>
        <w:t xml:space="preserve"> испытаниям самолеты, вводимые на серийное производство, стоят на одном уровне с заграничными, и истребитель И3 превосходит своими </w:t>
      </w:r>
      <w:proofErr w:type="spellStart"/>
      <w:r w:rsidRPr="00A259BD">
        <w:rPr>
          <w:rFonts w:ascii="Times New Roman" w:hAnsi="Times New Roman"/>
          <w:color w:val="000000" w:themeColor="text1"/>
          <w:sz w:val="16"/>
          <w:szCs w:val="16"/>
        </w:rPr>
        <w:t>даннымимногие</w:t>
      </w:r>
      <w:proofErr w:type="spellEnd"/>
      <w:r w:rsidRPr="00A259BD">
        <w:rPr>
          <w:rFonts w:ascii="Times New Roman" w:hAnsi="Times New Roman"/>
          <w:color w:val="000000" w:themeColor="text1"/>
          <w:sz w:val="16"/>
          <w:szCs w:val="16"/>
        </w:rPr>
        <w:t xml:space="preserve"> из них. Технических трудностей введения перечисленных самолетов на серийное производство не встречается. Такой большой успех, конечно, возможен -был только при построении опытного строительства на промышленной базе. Равным образом опыт треста в морском самолетостроении закончился заводским </w:t>
      </w:r>
      <w:proofErr w:type="spellStart"/>
      <w:r w:rsidRPr="00A259BD">
        <w:rPr>
          <w:rFonts w:ascii="Times New Roman" w:hAnsi="Times New Roman"/>
          <w:color w:val="000000" w:themeColor="text1"/>
          <w:sz w:val="16"/>
          <w:szCs w:val="16"/>
        </w:rPr>
        <w:t>испытаннием</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РОМ'а</w:t>
      </w:r>
      <w:proofErr w:type="spellEnd"/>
      <w:r w:rsidRPr="00A259BD">
        <w:rPr>
          <w:rFonts w:ascii="Times New Roman" w:hAnsi="Times New Roman"/>
          <w:color w:val="000000" w:themeColor="text1"/>
          <w:sz w:val="16"/>
          <w:szCs w:val="16"/>
        </w:rPr>
        <w:t>, причем полное испытание его НТК будет произведено в перенесено в летнюю кампании 29 г.</w:t>
      </w:r>
    </w:p>
    <w:p w14:paraId="6D25FA7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Посколько</w:t>
      </w:r>
      <w:proofErr w:type="spellEnd"/>
      <w:r w:rsidRPr="00A259BD">
        <w:rPr>
          <w:rFonts w:ascii="Times New Roman" w:hAnsi="Times New Roman"/>
          <w:color w:val="000000" w:themeColor="text1"/>
          <w:sz w:val="16"/>
          <w:szCs w:val="16"/>
        </w:rPr>
        <w:t xml:space="preserve"> в моторостроении имеется образец неудачной работы Научного института в области опытного строительства, настолько в самолетостроении получился другой результат. Научный Институт ЦАГИ поставил себе задачей разрешение проблемы металлического самолетостроения и в результате правильно намеченного пути добился громадных результатов - через Институт налажена новая отрасль самолетостроения - металлического.</w:t>
      </w:r>
    </w:p>
    <w:p w14:paraId="65058B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Пути, по которому НТК УВВС хочет повести Институт - это обыденное конструирование всех современных типов машин.</w:t>
      </w:r>
    </w:p>
    <w:p w14:paraId="20B289F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Насколько может быть это целесообразно в дальнейшем, видно из опыта передачи ЦАГИ опытных машин в серийное производство в промышленность. Самолет Р-3, выпущенный почти 5 лет назад, не имеет закопченных чертежей, переделки идут и </w:t>
      </w:r>
      <w:proofErr w:type="spellStart"/>
      <w:r w:rsidRPr="00A259BD">
        <w:rPr>
          <w:rFonts w:ascii="Times New Roman" w:hAnsi="Times New Roman"/>
          <w:color w:val="000000" w:themeColor="text1"/>
          <w:sz w:val="16"/>
          <w:szCs w:val="16"/>
        </w:rPr>
        <w:t>по-сейчас</w:t>
      </w:r>
      <w:proofErr w:type="spellEnd"/>
      <w:r w:rsidRPr="00A259BD">
        <w:rPr>
          <w:rFonts w:ascii="Times New Roman" w:hAnsi="Times New Roman"/>
          <w:color w:val="000000" w:themeColor="text1"/>
          <w:sz w:val="16"/>
          <w:szCs w:val="16"/>
        </w:rPr>
        <w:t>. Самолеты ТБ1 и И-4 до сего времени не доработаны в образцовых машинах; постановка в серийном производстве этих маши встречает большие затруднения из-за целого ряда переделок, поступающих время от времени от ЦАГИ. В производстве металлические машины ЦАГИ очень сложны - и это вполне естественно, т.к. Научные Институты далеки от производство.</w:t>
      </w:r>
    </w:p>
    <w:p w14:paraId="7C64AC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Этим объясняется больной срок для выхода машин из серийного производства и громадная их стоимость.</w:t>
      </w:r>
    </w:p>
    <w:p w14:paraId="3D4B60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Такая недоработка Научными Институтами конструкций до логического конца не обеспечивает плановости работ на заводах серийного производства и не дает гарантии в возможности выпуска новых машин из серийного </w:t>
      </w:r>
      <w:proofErr w:type="spellStart"/>
      <w:r w:rsidRPr="00A259BD">
        <w:rPr>
          <w:rFonts w:ascii="Times New Roman" w:hAnsi="Times New Roman"/>
          <w:color w:val="000000" w:themeColor="text1"/>
          <w:sz w:val="16"/>
          <w:szCs w:val="16"/>
        </w:rPr>
        <w:t>производсва</w:t>
      </w:r>
      <w:proofErr w:type="spellEnd"/>
      <w:r w:rsidRPr="00A259BD">
        <w:rPr>
          <w:rFonts w:ascii="Times New Roman" w:hAnsi="Times New Roman"/>
          <w:color w:val="000000" w:themeColor="text1"/>
          <w:sz w:val="16"/>
          <w:szCs w:val="16"/>
        </w:rPr>
        <w:t xml:space="preserve"> в более короткие сроки.</w:t>
      </w:r>
    </w:p>
    <w:p w14:paraId="0FD374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Основываясь на вышеизложенном, и принимая во внимание все высказанное представителями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на Заседании в РВС 11/сего </w:t>
      </w:r>
      <w:proofErr w:type="spellStart"/>
      <w:r w:rsidRPr="00A259BD">
        <w:rPr>
          <w:rFonts w:ascii="Times New Roman" w:hAnsi="Times New Roman"/>
          <w:color w:val="000000" w:themeColor="text1"/>
          <w:sz w:val="16"/>
          <w:szCs w:val="16"/>
        </w:rPr>
        <w:t>масяца</w:t>
      </w:r>
      <w:proofErr w:type="spellEnd"/>
      <w:r w:rsidRPr="00A259BD">
        <w:rPr>
          <w:rFonts w:ascii="Times New Roman" w:hAnsi="Times New Roman"/>
          <w:color w:val="000000" w:themeColor="text1"/>
          <w:sz w:val="16"/>
          <w:szCs w:val="16"/>
        </w:rPr>
        <w:t xml:space="preserve">, а также мнение штаба РККА об освобождении Научных Институтов от Опытного строительства и равным образом прилагаемые тезисы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и мнение завода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еще раз категорически подтверждает, что нормальное опытное строительство </w:t>
      </w:r>
      <w:proofErr w:type="spellStart"/>
      <w:r w:rsidRPr="00A259BD">
        <w:rPr>
          <w:rFonts w:ascii="Times New Roman" w:hAnsi="Times New Roman"/>
          <w:color w:val="000000" w:themeColor="text1"/>
          <w:sz w:val="16"/>
          <w:szCs w:val="16"/>
        </w:rPr>
        <w:t>возможнолишь</w:t>
      </w:r>
      <w:proofErr w:type="spellEnd"/>
      <w:r w:rsidRPr="00A259BD">
        <w:rPr>
          <w:rFonts w:ascii="Times New Roman" w:hAnsi="Times New Roman"/>
          <w:color w:val="000000" w:themeColor="text1"/>
          <w:sz w:val="16"/>
          <w:szCs w:val="16"/>
        </w:rPr>
        <w:t xml:space="preserve"> в промышленности на базе производственных достижений с допуском обоснованного технического риска</w:t>
      </w:r>
    </w:p>
    <w:p w14:paraId="3E38192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Приложение: Тезисы </w:t>
      </w:r>
      <w:proofErr w:type="spellStart"/>
      <w:r w:rsidRPr="00A259BD">
        <w:rPr>
          <w:rFonts w:ascii="Times New Roman" w:hAnsi="Times New Roman"/>
          <w:color w:val="000000" w:themeColor="text1"/>
          <w:sz w:val="16"/>
          <w:szCs w:val="16"/>
        </w:rPr>
        <w:t>авиатреста</w:t>
      </w:r>
      <w:proofErr w:type="spellEnd"/>
    </w:p>
    <w:p w14:paraId="0929F4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Докладная записка зав. № 24 об опытном </w:t>
      </w:r>
      <w:proofErr w:type="spellStart"/>
      <w:r w:rsidRPr="00A259BD">
        <w:rPr>
          <w:rFonts w:ascii="Times New Roman" w:hAnsi="Times New Roman"/>
          <w:color w:val="000000" w:themeColor="text1"/>
          <w:sz w:val="16"/>
          <w:szCs w:val="16"/>
        </w:rPr>
        <w:t>мотроостроении</w:t>
      </w:r>
      <w:proofErr w:type="spellEnd"/>
    </w:p>
    <w:p w14:paraId="29981A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 штаба РККА (2339,183).</w:t>
      </w:r>
    </w:p>
    <w:p w14:paraId="4B47C4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Тезисы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к докладу Р.В.С.</w:t>
      </w:r>
    </w:p>
    <w:p w14:paraId="1B5C29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Необходимая промышленная база для осуществления в серийном производстве разработанных опытных образцов имеет под собой достаточный </w:t>
      </w:r>
      <w:proofErr w:type="spellStart"/>
      <w:r w:rsidRPr="00A259BD">
        <w:rPr>
          <w:rFonts w:ascii="Times New Roman" w:hAnsi="Times New Roman"/>
          <w:color w:val="000000" w:themeColor="text1"/>
          <w:sz w:val="16"/>
          <w:szCs w:val="16"/>
        </w:rPr>
        <w:t>фкндамент</w:t>
      </w:r>
      <w:proofErr w:type="spellEnd"/>
      <w:r w:rsidRPr="00A259BD">
        <w:rPr>
          <w:rFonts w:ascii="Times New Roman" w:hAnsi="Times New Roman"/>
          <w:color w:val="000000" w:themeColor="text1"/>
          <w:sz w:val="16"/>
          <w:szCs w:val="16"/>
        </w:rPr>
        <w:t>.</w:t>
      </w:r>
    </w:p>
    <w:p w14:paraId="39C115A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Здоровое развитие новых конструкций, а </w:t>
      </w:r>
      <w:proofErr w:type="spellStart"/>
      <w:r w:rsidRPr="00A259BD">
        <w:rPr>
          <w:rFonts w:ascii="Times New Roman" w:hAnsi="Times New Roman"/>
          <w:color w:val="000000" w:themeColor="text1"/>
          <w:sz w:val="16"/>
          <w:szCs w:val="16"/>
        </w:rPr>
        <w:t>такжэ</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выполннение</w:t>
      </w:r>
      <w:proofErr w:type="spellEnd"/>
      <w:r w:rsidRPr="00A259BD">
        <w:rPr>
          <w:rFonts w:ascii="Times New Roman" w:hAnsi="Times New Roman"/>
          <w:color w:val="000000" w:themeColor="text1"/>
          <w:sz w:val="16"/>
          <w:szCs w:val="16"/>
        </w:rPr>
        <w:t xml:space="preserve"> опытных образцов мыслимо лишь в самой авиапромышленности на базе тех технических достижений, которые имеются и будут и будут иметься на заводах серийного производства; в силу чего отдельные виды опытного строительства должны </w:t>
      </w:r>
      <w:proofErr w:type="spellStart"/>
      <w:r w:rsidRPr="00A259BD">
        <w:rPr>
          <w:rFonts w:ascii="Times New Roman" w:hAnsi="Times New Roman"/>
          <w:color w:val="000000" w:themeColor="text1"/>
          <w:sz w:val="16"/>
          <w:szCs w:val="16"/>
        </w:rPr>
        <w:t>соответсгаовать</w:t>
      </w:r>
      <w:proofErr w:type="spellEnd"/>
      <w:r w:rsidRPr="00A259BD">
        <w:rPr>
          <w:rFonts w:ascii="Times New Roman" w:hAnsi="Times New Roman"/>
          <w:color w:val="000000" w:themeColor="text1"/>
          <w:sz w:val="16"/>
          <w:szCs w:val="16"/>
        </w:rPr>
        <w:t xml:space="preserve"> на каждый период уровню технической культуры данного вида серийного производства и, естественно, должны быть тесно связаны с этим самым производством.</w:t>
      </w:r>
    </w:p>
    <w:p w14:paraId="3F6990F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Развившееся на промышленной базе опытное строительство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должно поставить первоочередной и важнейшей задачей наикратчайший срок, объем и темп опытного строительства до размеров полностью, обеспечивающих </w:t>
      </w:r>
      <w:proofErr w:type="spellStart"/>
      <w:r w:rsidRPr="00A259BD">
        <w:rPr>
          <w:rFonts w:ascii="Times New Roman" w:hAnsi="Times New Roman"/>
          <w:color w:val="000000" w:themeColor="text1"/>
          <w:sz w:val="16"/>
          <w:szCs w:val="16"/>
        </w:rPr>
        <w:t>разнитие</w:t>
      </w:r>
      <w:proofErr w:type="spellEnd"/>
      <w:r w:rsidRPr="00A259BD">
        <w:rPr>
          <w:rFonts w:ascii="Times New Roman" w:hAnsi="Times New Roman"/>
          <w:color w:val="000000" w:themeColor="text1"/>
          <w:sz w:val="16"/>
          <w:szCs w:val="16"/>
        </w:rPr>
        <w:t xml:space="preserve"> техники воздушного флота да полного удовлетворения </w:t>
      </w:r>
      <w:proofErr w:type="spellStart"/>
      <w:r w:rsidRPr="00A259BD">
        <w:rPr>
          <w:rFonts w:ascii="Times New Roman" w:hAnsi="Times New Roman"/>
          <w:color w:val="000000" w:themeColor="text1"/>
          <w:sz w:val="16"/>
          <w:szCs w:val="16"/>
        </w:rPr>
        <w:t>трэбоваани</w:t>
      </w:r>
      <w:proofErr w:type="spellEnd"/>
      <w:r w:rsidRPr="00A259BD">
        <w:rPr>
          <w:rFonts w:ascii="Times New Roman" w:hAnsi="Times New Roman"/>
          <w:color w:val="000000" w:themeColor="text1"/>
          <w:sz w:val="16"/>
          <w:szCs w:val="16"/>
        </w:rPr>
        <w:t xml:space="preserve"> интересов нашей страны.</w:t>
      </w:r>
    </w:p>
    <w:p w14:paraId="4FEB75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Развитие опытного строительства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должно идти как по линии самолетостроения, так и по двигателестроению со всеми принадлежащими к ним частями и оборудованием и иметь своей целью выпуск в кратчайший срок опытных конструкций...(2339,181).</w:t>
      </w:r>
    </w:p>
    <w:p w14:paraId="1701CF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277BC0"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20 марта 1929 г. </w:t>
      </w:r>
      <w:proofErr w:type="spellStart"/>
      <w:r w:rsidRPr="00441F34">
        <w:rPr>
          <w:rFonts w:ascii="Times New Roman" w:hAnsi="Times New Roman"/>
          <w:color w:val="0070C0"/>
          <w:sz w:val="16"/>
          <w:szCs w:val="16"/>
        </w:rPr>
        <w:t>Авиатрест</w:t>
      </w:r>
      <w:proofErr w:type="spellEnd"/>
      <w:r w:rsidRPr="00441F34">
        <w:rPr>
          <w:rFonts w:ascii="Times New Roman" w:hAnsi="Times New Roman"/>
          <w:color w:val="0070C0"/>
          <w:sz w:val="16"/>
          <w:szCs w:val="16"/>
        </w:rPr>
        <w:t xml:space="preserve"> письмом №162/2533сс «О нормальном развитии опытного авиастроительства» в адрес РВС указал, что «…Полученный Правлением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проект постановления РВС по опытному авиационному строительству, предложенный НТК УВВС, ни в коей мере не может обеспечить правильное развитие опытного строительства и дать в возможно короткие сроки, приемлемые по техническим и тактическим требованиям, которые могли бы быть безболезненно осуществлены промышленностью в серийном производстве. Принятая НТК установка, что опытное строительство в основном должно исходить от НИИ под полным и всесторонним контролем НТК УВВС и что в этом НТК видит единственно возможное развитие самолетов и моторов, не имеет под собой надежного фундамента... Если два года назад состояние опытного строительства треста по самолетам внушало большие опасения, то на сегодняшний день </w:t>
      </w:r>
      <w:proofErr w:type="spellStart"/>
      <w:r w:rsidRPr="00441F34">
        <w:rPr>
          <w:rFonts w:ascii="Times New Roman" w:hAnsi="Times New Roman"/>
          <w:color w:val="0070C0"/>
          <w:sz w:val="16"/>
          <w:szCs w:val="16"/>
        </w:rPr>
        <w:t>Авиатрест</w:t>
      </w:r>
      <w:proofErr w:type="spellEnd"/>
      <w:r w:rsidRPr="00441F34">
        <w:rPr>
          <w:rFonts w:ascii="Times New Roman" w:hAnsi="Times New Roman"/>
          <w:color w:val="0070C0"/>
          <w:sz w:val="16"/>
          <w:szCs w:val="16"/>
        </w:rPr>
        <w:t xml:space="preserve"> достиг значительных результатов. На серийное производство уже ставятся выпущенные КО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следующие сухопутные машины: У-2, П-2, И-3, Р-5, Д-2; находятся в конструктивной проработке и постройке опытных образцов ТБ-2 и И-6…»</w:t>
      </w:r>
    </w:p>
    <w:p w14:paraId="4AC32022"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Как аргумент некомпетентности НТК УВВС в вопросе правильного выбора проектов для первоочередного финансирования руководство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привело частный и случайный факт принятие в производство самолета У-2 с двигателем М-11, тогда как НТК предлагал М-12, который оказался неудачен. В то же время из перечисленных в списке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опытных самолетов И-6 и ТБ-2 на вооружение не был принят ни один, а из четырех указанных как запускаемые в серийное производство действительно начали выпускаться и были приняты в эксплуатацию только два – Р-5 и И-3, причем по обоим имело место значительное отставание от плана ввиду неудовлетворительной организации работ. При этом </w:t>
      </w:r>
      <w:proofErr w:type="spellStart"/>
      <w:r w:rsidRPr="00441F34">
        <w:rPr>
          <w:rFonts w:ascii="Times New Roman" w:hAnsi="Times New Roman"/>
          <w:color w:val="0070C0"/>
          <w:sz w:val="16"/>
          <w:szCs w:val="16"/>
        </w:rPr>
        <w:t>Авиатрест</w:t>
      </w:r>
      <w:proofErr w:type="spellEnd"/>
      <w:r w:rsidRPr="00441F34">
        <w:rPr>
          <w:rFonts w:ascii="Times New Roman" w:hAnsi="Times New Roman"/>
          <w:color w:val="0070C0"/>
          <w:sz w:val="16"/>
          <w:szCs w:val="16"/>
        </w:rPr>
        <w:t xml:space="preserve"> пытался избавиться от контроля за ними со стороны УВВС (24887).</w:t>
      </w:r>
    </w:p>
    <w:p w14:paraId="3AB498B6" w14:textId="77777777" w:rsidR="00292DF5" w:rsidRPr="00441F34" w:rsidRDefault="00292DF5" w:rsidP="00292DF5">
      <w:pPr>
        <w:spacing w:after="0" w:line="240" w:lineRule="auto"/>
        <w:jc w:val="both"/>
        <w:rPr>
          <w:rFonts w:ascii="Times New Roman" w:hAnsi="Times New Roman"/>
          <w:color w:val="0070C0"/>
          <w:sz w:val="16"/>
          <w:szCs w:val="16"/>
        </w:rPr>
      </w:pPr>
    </w:p>
    <w:p w14:paraId="5534B6C9" w14:textId="77777777" w:rsidR="00F70746" w:rsidRPr="00A259BD" w:rsidRDefault="00F70746"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hAnsi="Times New Roman"/>
          <w:color w:val="000000" w:themeColor="text1"/>
          <w:sz w:val="16"/>
          <w:szCs w:val="16"/>
        </w:rPr>
        <w:t xml:space="preserve">20 марта 1929 г. в проекте резолюции собрания ячейки ВКП(б) от было сказано: «…считать необходимым удаление из Академии Яковлева, как человека, показавшего себя аполитичным и антиобщественным в нашей </w:t>
      </w:r>
      <w:proofErr w:type="spellStart"/>
      <w:r w:rsidRPr="00A259BD">
        <w:rPr>
          <w:rFonts w:ascii="Times New Roman" w:hAnsi="Times New Roman"/>
          <w:color w:val="000000" w:themeColor="text1"/>
          <w:sz w:val="16"/>
          <w:szCs w:val="16"/>
        </w:rPr>
        <w:t>слушательской</w:t>
      </w:r>
      <w:proofErr w:type="spellEnd"/>
      <w:r w:rsidRPr="00A259BD">
        <w:rPr>
          <w:rFonts w:ascii="Times New Roman" w:hAnsi="Times New Roman"/>
          <w:color w:val="000000" w:themeColor="text1"/>
          <w:sz w:val="16"/>
          <w:szCs w:val="16"/>
        </w:rPr>
        <w:t xml:space="preserve"> среде, имея в виду , что на выходе из Академии его аполитичность будет увеличиваться». Проект резолюции готовили слушатели М.Я. </w:t>
      </w:r>
      <w:proofErr w:type="spellStart"/>
      <w:r w:rsidRPr="00A259BD">
        <w:rPr>
          <w:rFonts w:ascii="Times New Roman" w:hAnsi="Times New Roman"/>
          <w:color w:val="000000" w:themeColor="text1"/>
          <w:sz w:val="16"/>
          <w:szCs w:val="16"/>
        </w:rPr>
        <w:t>Слоущ</w:t>
      </w:r>
      <w:proofErr w:type="spellEnd"/>
      <w:r w:rsidRPr="00A259BD">
        <w:rPr>
          <w:rFonts w:ascii="Times New Roman" w:hAnsi="Times New Roman"/>
          <w:color w:val="000000" w:themeColor="text1"/>
          <w:sz w:val="16"/>
          <w:szCs w:val="16"/>
        </w:rPr>
        <w:t xml:space="preserve">, В.А. Александров и М.Г. </w:t>
      </w:r>
      <w:proofErr w:type="spellStart"/>
      <w:r w:rsidRPr="00A259BD">
        <w:rPr>
          <w:rFonts w:ascii="Times New Roman" w:hAnsi="Times New Roman"/>
          <w:color w:val="000000" w:themeColor="text1"/>
          <w:sz w:val="16"/>
          <w:szCs w:val="16"/>
        </w:rPr>
        <w:t>Жужунава</w:t>
      </w:r>
      <w:proofErr w:type="spellEnd"/>
      <w:r w:rsidRPr="00A259BD">
        <w:rPr>
          <w:rFonts w:ascii="Times New Roman" w:hAnsi="Times New Roman"/>
          <w:color w:val="000000" w:themeColor="text1"/>
          <w:sz w:val="16"/>
          <w:szCs w:val="16"/>
        </w:rPr>
        <w:t xml:space="preserve">. О втором обвиняемом – С.К. </w:t>
      </w:r>
      <w:proofErr w:type="spellStart"/>
      <w:r w:rsidRPr="00A259BD">
        <w:rPr>
          <w:rFonts w:ascii="Times New Roman" w:hAnsi="Times New Roman"/>
          <w:color w:val="000000" w:themeColor="text1"/>
          <w:sz w:val="16"/>
          <w:szCs w:val="16"/>
        </w:rPr>
        <w:t>Туманском</w:t>
      </w:r>
      <w:proofErr w:type="spellEnd"/>
      <w:r w:rsidRPr="00A259BD">
        <w:rPr>
          <w:rFonts w:ascii="Times New Roman" w:hAnsi="Times New Roman"/>
          <w:color w:val="000000" w:themeColor="text1"/>
          <w:sz w:val="16"/>
          <w:szCs w:val="16"/>
        </w:rPr>
        <w:t xml:space="preserve"> секретарь партячейки Е.И. Ефимов сказал: «</w:t>
      </w:r>
      <w:proofErr w:type="spellStart"/>
      <w:r w:rsidRPr="00A259BD">
        <w:rPr>
          <w:rFonts w:ascii="Times New Roman" w:hAnsi="Times New Roman"/>
          <w:color w:val="000000" w:themeColor="text1"/>
          <w:sz w:val="16"/>
          <w:szCs w:val="16"/>
        </w:rPr>
        <w:t>Туманский</w:t>
      </w:r>
      <w:proofErr w:type="spellEnd"/>
      <w:r w:rsidRPr="00A259BD">
        <w:rPr>
          <w:rFonts w:ascii="Times New Roman" w:hAnsi="Times New Roman"/>
          <w:color w:val="000000" w:themeColor="text1"/>
          <w:sz w:val="16"/>
          <w:szCs w:val="16"/>
        </w:rPr>
        <w:t xml:space="preserve"> воспитывает из себя исключительно специалиста, на этого надо повлиять всей парторганизацией». О нём же в проекте резолюции: «в кратчайший срок получить сведения от знавших его прошлое лиц и организаций для окончательного суждения о его пригодности как слушателя Академии». И далее следует целая инструкция по организации сыска за беспартийными, имеющимися на курсе. Однако группа гонителей оказалась в меньшинстве. Было решено выбросить из резолюции всё, что касается политической надёжности беспартийных. Ефимов позднее сетовал: «Совершенно не закрепили мнение о ненужности в Академии Яковлева». За Яковлева вступился на собрании член партии А.Я. Рапп. Он участвовал в изготовлении чертежей для авиетки Яковлева и говорил со знанием дела: «Яковлев конструктор хороший. С этим нам нужно считаться». </w:t>
      </w:r>
      <w:proofErr w:type="spellStart"/>
      <w:r w:rsidRPr="00A259BD">
        <w:rPr>
          <w:rFonts w:ascii="Times New Roman" w:hAnsi="Times New Roman"/>
          <w:color w:val="000000" w:themeColor="text1"/>
          <w:sz w:val="16"/>
          <w:szCs w:val="16"/>
        </w:rPr>
        <w:t>Висман</w:t>
      </w:r>
      <w:proofErr w:type="spellEnd"/>
      <w:r w:rsidRPr="00A259BD">
        <w:rPr>
          <w:rFonts w:ascii="Times New Roman" w:hAnsi="Times New Roman"/>
          <w:color w:val="000000" w:themeColor="text1"/>
          <w:sz w:val="16"/>
          <w:szCs w:val="16"/>
        </w:rPr>
        <w:t xml:space="preserve"> тут же дал отпор. По его мнению, и Яковлев плох, и самолёт «не наш» (содран), а потому и в заграничный полёт не пошёл. Это говорилось о ВВА-3 (АИР-1), на котором 19 июля 1927 г. в перелёте Севастополь-Москва </w:t>
      </w:r>
      <w:proofErr w:type="spellStart"/>
      <w:r w:rsidRPr="00A259BD">
        <w:rPr>
          <w:rFonts w:ascii="Times New Roman" w:hAnsi="Times New Roman"/>
          <w:color w:val="000000" w:themeColor="text1"/>
          <w:sz w:val="16"/>
          <w:szCs w:val="16"/>
        </w:rPr>
        <w:t>пилотинструктор</w:t>
      </w:r>
      <w:proofErr w:type="spellEnd"/>
      <w:r w:rsidRPr="00A259BD">
        <w:rPr>
          <w:rFonts w:ascii="Times New Roman" w:hAnsi="Times New Roman"/>
          <w:color w:val="000000" w:themeColor="text1"/>
          <w:sz w:val="16"/>
          <w:szCs w:val="16"/>
        </w:rPr>
        <w:t xml:space="preserve"> Академии Ю.И. Пионтковский установил два мировых рекорда – впервые в СССР. А за рубеж ни одна из авиеток не пошла потому, что Осоавиахим послал все пять наличных авиеток осенью 1927 г. на Одесские манёвры Красной Армии. В их числе и самолёт старшекурсника Академии А.Н. </w:t>
      </w:r>
      <w:proofErr w:type="spellStart"/>
      <w:r w:rsidRPr="00A259BD">
        <w:rPr>
          <w:rFonts w:ascii="Times New Roman" w:hAnsi="Times New Roman"/>
          <w:color w:val="000000" w:themeColor="text1"/>
          <w:sz w:val="16"/>
          <w:szCs w:val="16"/>
        </w:rPr>
        <w:t>Рафаэлянца</w:t>
      </w:r>
      <w:proofErr w:type="spellEnd"/>
      <w:r w:rsidRPr="00A259BD">
        <w:rPr>
          <w:rFonts w:ascii="Times New Roman" w:hAnsi="Times New Roman"/>
          <w:color w:val="000000" w:themeColor="text1"/>
          <w:sz w:val="16"/>
          <w:szCs w:val="16"/>
        </w:rPr>
        <w:t xml:space="preserve">, ранее планировавшийся для полёта в Берлин. АИР-1 показал себя на манёврах блестяще и был официально назван «лучшей из советских авиеток». Её конструктора, рабочего-красноармейца Академии А.С. Яковлева, по ходатайству Осоавиахима, шефа ВВА, зачислили слушателем Академии, хотя он не проходил по возрасту – имел 21 год, а не 23, как требовалось. В то время на курсе было 32 члена партии (в т. ч. А.Н. Пономарёв) и 9 беспартийных: А.С. Яковлев, С.К. </w:t>
      </w:r>
      <w:proofErr w:type="spellStart"/>
      <w:r w:rsidRPr="00A259BD">
        <w:rPr>
          <w:rFonts w:ascii="Times New Roman" w:hAnsi="Times New Roman"/>
          <w:color w:val="000000" w:themeColor="text1"/>
          <w:sz w:val="16"/>
          <w:szCs w:val="16"/>
        </w:rPr>
        <w:t>Туманский</w:t>
      </w:r>
      <w:proofErr w:type="spellEnd"/>
      <w:r w:rsidRPr="00A259BD">
        <w:rPr>
          <w:rFonts w:ascii="Times New Roman" w:hAnsi="Times New Roman"/>
          <w:color w:val="000000" w:themeColor="text1"/>
          <w:sz w:val="16"/>
          <w:szCs w:val="16"/>
        </w:rPr>
        <w:t xml:space="preserve">, Я.Я. Суздальцев (в будущем сотрудник ОКБ А.С. Яковлева) и другие. Никто из тогдашних однокурсников не сделал так много для нашей авиации, как Яковлев и </w:t>
      </w:r>
      <w:proofErr w:type="spellStart"/>
      <w:r w:rsidRPr="00A259BD">
        <w:rPr>
          <w:rFonts w:ascii="Times New Roman" w:hAnsi="Times New Roman"/>
          <w:color w:val="000000" w:themeColor="text1"/>
          <w:sz w:val="16"/>
          <w:szCs w:val="16"/>
        </w:rPr>
        <w:t>Туманский</w:t>
      </w:r>
      <w:proofErr w:type="spellEnd"/>
      <w:r w:rsidRPr="00A259BD">
        <w:rPr>
          <w:rFonts w:ascii="Times New Roman" w:hAnsi="Times New Roman"/>
          <w:color w:val="000000" w:themeColor="text1"/>
          <w:sz w:val="16"/>
          <w:szCs w:val="16"/>
        </w:rPr>
        <w:t xml:space="preserve">. Фактическая картина представлена выступавшими, как сейчас принято говорить, «с точностью до наоборот». Яковлев был активнейшим общественником ещё в школе – староста класса, председатель </w:t>
      </w:r>
      <w:proofErr w:type="spellStart"/>
      <w:r w:rsidRPr="00A259BD">
        <w:rPr>
          <w:rFonts w:ascii="Times New Roman" w:hAnsi="Times New Roman"/>
          <w:color w:val="000000" w:themeColor="text1"/>
          <w:sz w:val="16"/>
          <w:szCs w:val="16"/>
        </w:rPr>
        <w:t>старостата</w:t>
      </w:r>
      <w:proofErr w:type="spellEnd"/>
      <w:r w:rsidRPr="00A259BD">
        <w:rPr>
          <w:rFonts w:ascii="Times New Roman" w:hAnsi="Times New Roman"/>
          <w:color w:val="000000" w:themeColor="text1"/>
          <w:sz w:val="16"/>
          <w:szCs w:val="16"/>
        </w:rPr>
        <w:t xml:space="preserve"> (совета старост школы), редактор ученического журнала, организатор первой в ОДВФ3 школьной ячейки юных друзей Воздушного флота, планерного кружка. Он был зачислен слушателем Академии условно, и до января 1928 г. сдавал 23 вступительных экзамена. Но ещё в ноябре 1927 г. ему дали «нагрузку» – выделили в комиссию цикла самолётостроения, в июне 1928 г. – опять «выделили» для корреспондентской работы в стенгазете и решили посылать докладчиком в красноармейскую команду по авиационным вопросам. Некоторые его заметки сохранились. Одну из них публикуем здесь. «...больно и обидно», - пишет Яковлев о нападках на него. В это время строился второй самолёт Яковлева – АИР-2 «Пионер». Он поднялся в воздух в начале октября 1928 г. Тем не менее, в начале 2 курса рассматривалось заявление Яковлева о даче ему нагрузки. Решили: «выделить тов. Яковлева в столовую комиссию и предложить т. Петрову больше его использовать в работе газеты». (21471).</w:t>
      </w:r>
    </w:p>
    <w:p w14:paraId="62550EB1" w14:textId="77777777" w:rsidR="00F70746" w:rsidRPr="00A259BD" w:rsidRDefault="00F70746"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AB267F6"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марта 1929 г.</w:t>
      </w:r>
    </w:p>
    <w:p w14:paraId="094B3AF0"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 Политбюро ЦК ВКП(б)</w:t>
      </w:r>
    </w:p>
    <w:p w14:paraId="2620B240"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разрешении Ван Лир Влеку перелета через территорию СССР» № П69/9-рс</w:t>
      </w:r>
    </w:p>
    <w:p w14:paraId="4F630968"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марта 1929 г.</w:t>
      </w:r>
    </w:p>
    <w:p w14:paraId="256CB18D"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Строго секретно</w:t>
      </w:r>
    </w:p>
    <w:p w14:paraId="55E42EBC"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 Разрешить.</w:t>
      </w:r>
    </w:p>
    <w:p w14:paraId="2DE1CB33"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АП РФ. Ф. 3. On. 66. Д. 436. Л. 60. Копия.</w:t>
      </w:r>
    </w:p>
    <w:p w14:paraId="4A3D2264"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Секретарь ЦК</w:t>
      </w:r>
    </w:p>
    <w:p w14:paraId="265D3F61" w14:textId="77777777" w:rsidR="00F70746" w:rsidRPr="00A259BD" w:rsidRDefault="00F707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Вопрос представлен К.Е. Ворошиловым. Выписка из протокола № 69 заседания Политбюро ЦК ВКП(б) 20 марта 1929 г., п. 34. Направлена К.Е. Ворошилову, М.М. Литвинову, М.А. </w:t>
      </w:r>
      <w:proofErr w:type="spellStart"/>
      <w:r w:rsidRPr="00A259BD">
        <w:rPr>
          <w:rFonts w:ascii="Times New Roman" w:hAnsi="Times New Roman"/>
          <w:color w:val="000000" w:themeColor="text1"/>
          <w:sz w:val="16"/>
          <w:szCs w:val="16"/>
        </w:rPr>
        <w:t>Трилиссеру</w:t>
      </w:r>
      <w:proofErr w:type="spellEnd"/>
      <w:r w:rsidRPr="00A259BD">
        <w:rPr>
          <w:rFonts w:ascii="Times New Roman" w:hAnsi="Times New Roman"/>
          <w:color w:val="000000" w:themeColor="text1"/>
          <w:sz w:val="16"/>
          <w:szCs w:val="16"/>
        </w:rPr>
        <w:t xml:space="preserve"> (20508).</w:t>
      </w:r>
    </w:p>
    <w:p w14:paraId="6255390A" w14:textId="77777777" w:rsidR="00F70746" w:rsidRPr="00A259BD" w:rsidRDefault="00F70746" w:rsidP="009236E3">
      <w:pPr>
        <w:spacing w:after="0" w:line="240" w:lineRule="auto"/>
        <w:jc w:val="both"/>
        <w:rPr>
          <w:rFonts w:ascii="Times New Roman" w:hAnsi="Times New Roman"/>
          <w:color w:val="000000" w:themeColor="text1"/>
          <w:sz w:val="16"/>
          <w:szCs w:val="16"/>
        </w:rPr>
      </w:pPr>
    </w:p>
    <w:p w14:paraId="3B8E61C3" w14:textId="77777777" w:rsidR="00DA22D3"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604951B3" w14:textId="77777777" w:rsidR="00DA22D3" w:rsidRPr="00A259BD" w:rsidRDefault="00DA22D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7D03463"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20 марта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ЦИК и СНК приняли постановление «О выпуске государственного выигрышного займа 1929 г.» (12265).</w:t>
      </w:r>
    </w:p>
    <w:p w14:paraId="0976BD8B"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2B522F7A" w14:textId="77777777" w:rsidR="00764926"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AF414B8" w14:textId="77777777" w:rsidR="00764926" w:rsidRPr="00A259BD" w:rsidRDefault="0076492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0CB8F90" w14:textId="77777777" w:rsidR="00764926" w:rsidRPr="00A259BD" w:rsidRDefault="007649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20 марта</w:t>
      </w:r>
      <w:r w:rsidRPr="00A259BD">
        <w:rPr>
          <w:rFonts w:ascii="Times New Roman" w:hAnsi="Times New Roman"/>
          <w:color w:val="000000" w:themeColor="text1"/>
          <w:sz w:val="16"/>
          <w:szCs w:val="16"/>
        </w:rPr>
        <w:t xml:space="preserve"> в 1929 году подписан контракт на серийное производство 40 польских </w:t>
      </w:r>
      <w:hyperlink r:id="rId26" w:tgtFrame="_blank" w:history="1">
        <w:r w:rsidRPr="00A259BD">
          <w:rPr>
            <w:rFonts w:ascii="Times New Roman" w:hAnsi="Times New Roman"/>
            <w:color w:val="000000" w:themeColor="text1"/>
            <w:sz w:val="16"/>
            <w:szCs w:val="16"/>
          </w:rPr>
          <w:t>УТС «</w:t>
        </w:r>
        <w:proofErr w:type="spellStart"/>
        <w:r w:rsidRPr="00A259BD">
          <w:rPr>
            <w:rFonts w:ascii="Times New Roman" w:hAnsi="Times New Roman"/>
            <w:color w:val="000000" w:themeColor="text1"/>
            <w:sz w:val="16"/>
            <w:szCs w:val="16"/>
          </w:rPr>
          <w:t>Bartel</w:t>
        </w:r>
        <w:proofErr w:type="spellEnd"/>
        <w:r w:rsidRPr="00A259BD">
          <w:rPr>
            <w:rFonts w:ascii="Times New Roman" w:hAnsi="Times New Roman"/>
            <w:color w:val="000000" w:themeColor="text1"/>
            <w:sz w:val="16"/>
            <w:szCs w:val="16"/>
          </w:rPr>
          <w:t xml:space="preserve">» «BM-5»: </w:t>
        </w:r>
      </w:hyperlink>
      <w:r w:rsidRPr="00A259BD">
        <w:rPr>
          <w:rFonts w:ascii="Times New Roman" w:hAnsi="Times New Roman"/>
          <w:color w:val="000000" w:themeColor="text1"/>
          <w:sz w:val="16"/>
          <w:szCs w:val="16"/>
        </w:rPr>
        <w:t>20 в версии «ВМ-5а» и 20 версии «BM-5b», причем первые пять машин были оснащены двигателем «AD225», а следующие пять – «SPA». Все серийные самолеты получили одно военное обозначение «ВМ-5Р2». Поставки были окончены в 1930 году (15074).</w:t>
      </w:r>
    </w:p>
    <w:p w14:paraId="2C4F7469" w14:textId="77777777" w:rsidR="00764926" w:rsidRPr="00A259BD" w:rsidRDefault="00764926" w:rsidP="009236E3">
      <w:pPr>
        <w:spacing w:after="0" w:line="240" w:lineRule="auto"/>
        <w:jc w:val="both"/>
        <w:rPr>
          <w:rFonts w:ascii="Times New Roman" w:hAnsi="Times New Roman"/>
          <w:color w:val="000000" w:themeColor="text1"/>
          <w:sz w:val="16"/>
          <w:szCs w:val="16"/>
        </w:rPr>
      </w:pPr>
    </w:p>
    <w:p w14:paraId="3185A06D" w14:textId="77777777" w:rsidR="00873B02" w:rsidRPr="00A259BD" w:rsidRDefault="00873B02"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E685474" w14:textId="77777777" w:rsidR="00873B02" w:rsidRPr="00A259BD" w:rsidRDefault="00873B0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FA208F" w14:textId="77777777" w:rsidR="00873B02" w:rsidRPr="00A259BD" w:rsidRDefault="00873B0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hAnsi="Times New Roman"/>
          <w:color w:val="000000" w:themeColor="text1"/>
          <w:sz w:val="16"/>
          <w:szCs w:val="16"/>
        </w:rPr>
        <w:t xml:space="preserve">21 марта 1929 командир базировавшейся в Киеве 5-я авиабригады С.А. Чернобровкин направил в Харьков Начальнику ВВС УВО Ф.А. </w:t>
      </w:r>
      <w:proofErr w:type="spellStart"/>
      <w:r w:rsidRPr="00A259BD">
        <w:rPr>
          <w:rFonts w:ascii="Times New Roman" w:hAnsi="Times New Roman"/>
          <w:color w:val="000000" w:themeColor="text1"/>
          <w:sz w:val="16"/>
          <w:szCs w:val="16"/>
        </w:rPr>
        <w:t>Ингаунису</w:t>
      </w:r>
      <w:proofErr w:type="spellEnd"/>
      <w:r w:rsidRPr="00A259BD">
        <w:rPr>
          <w:rFonts w:ascii="Times New Roman" w:hAnsi="Times New Roman"/>
          <w:color w:val="000000" w:themeColor="text1"/>
          <w:sz w:val="16"/>
          <w:szCs w:val="16"/>
        </w:rPr>
        <w:t xml:space="preserve"> рапорт, в котором отмечал, что «…пользование полученными в бригаде парашютами “Ирвинг” на «Фоккера» ДХI затруднено…летчик сидит на парашюте, высовываясь из кабины на половину своего роста. Необходимо было снизить сиденье, но завод № 43 без разработки и утверждения проекта снижения НТК делать это отказывается, так как понижение сопряжено с приближением к тросам управления». Кроме того, в рапорте отмечалось, что летчик сидит на парашюте неустойчиво, а пользование привязными ремнями затруднено. Феликс Антонович проникся проблемой, «нажал» на 43-й завод, и концу апреля заведующий техническим отделом завода № 43 Дмитрий Людвигович Томашевич подготовил проект доработки сиденья. В Москву в НТК УВВС чертежи отправились 14 мая с «сопроводиловкой» за подписью Начальника ВВС округа с просьбой о срочном рассмотрении и припиской, что переделка одной машины на заводе № 43 санкционирована им лично (23030).</w:t>
      </w:r>
    </w:p>
    <w:p w14:paraId="30C00A7B" w14:textId="77777777" w:rsidR="00873B02" w:rsidRPr="00A259BD" w:rsidRDefault="00873B0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F31A599" w14:textId="77777777" w:rsidR="00E36928"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EAAED66" w14:textId="77777777" w:rsidR="00E36928" w:rsidRPr="00A259BD" w:rsidRDefault="00E3692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E621D9F" w14:textId="77777777" w:rsidR="00E36928" w:rsidRPr="00A259BD" w:rsidRDefault="00E369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21 марта</w:t>
      </w:r>
      <w:r w:rsidRPr="00A259BD">
        <w:rPr>
          <w:rFonts w:ascii="Times New Roman" w:hAnsi="Times New Roman"/>
          <w:color w:val="000000" w:themeColor="text1"/>
          <w:sz w:val="16"/>
          <w:szCs w:val="16"/>
        </w:rPr>
        <w:t xml:space="preserve"> в 1929 году состоялся первый полет самолета «Fokker» «F.XIV» Транспортный самолет «Fokker» «F.XIV» сконструировали в 1929 году. Верхняя часть его фюзеляжа была из гофрированного дюраля. Он имел крыло - парасоль, укрепленное на стойках над фюзеляжем, и открытую кабину пилота позади пассажирского салона. 20 экземпляров военно-транспортного варианта самолета «F-XIV», были </w:t>
      </w:r>
      <w:proofErr w:type="spellStart"/>
      <w:r w:rsidRPr="00A259BD">
        <w:rPr>
          <w:rFonts w:ascii="Times New Roman" w:hAnsi="Times New Roman"/>
          <w:color w:val="000000" w:themeColor="text1"/>
          <w:sz w:val="16"/>
          <w:szCs w:val="16"/>
        </w:rPr>
        <w:t>приобретенны</w:t>
      </w:r>
      <w:proofErr w:type="spellEnd"/>
      <w:r w:rsidRPr="00A259BD">
        <w:rPr>
          <w:rFonts w:ascii="Times New Roman" w:hAnsi="Times New Roman"/>
          <w:color w:val="000000" w:themeColor="text1"/>
          <w:sz w:val="16"/>
          <w:szCs w:val="16"/>
        </w:rPr>
        <w:t xml:space="preserve"> армией США в 1931 году под обозначением «Y1C-XIV». Высокое расположение крыла самолета «Фоккер» «Y1C-XIV» сделало его идеальным средством для прыжков с парашютом (15075).</w:t>
      </w:r>
    </w:p>
    <w:p w14:paraId="4517461C" w14:textId="77777777" w:rsidR="00E36928" w:rsidRPr="00A259BD" w:rsidRDefault="00E36928" w:rsidP="009236E3">
      <w:pPr>
        <w:spacing w:after="0" w:line="240" w:lineRule="auto"/>
        <w:jc w:val="both"/>
        <w:rPr>
          <w:rFonts w:ascii="Times New Roman" w:hAnsi="Times New Roman"/>
          <w:color w:val="000000" w:themeColor="text1"/>
          <w:sz w:val="16"/>
          <w:szCs w:val="16"/>
        </w:rPr>
      </w:pPr>
    </w:p>
    <w:p w14:paraId="28E9890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2397CE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794A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марта 1929 года был утвержден протокол по рассмотрению проектов 76-мм мортир и промышленности было поручено изготовить 6 опытных образцов:</w:t>
      </w:r>
    </w:p>
    <w:p w14:paraId="52269E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КБ НТК </w:t>
      </w:r>
      <w:proofErr w:type="spellStart"/>
      <w:r w:rsidRPr="00A259BD">
        <w:rPr>
          <w:rFonts w:ascii="Times New Roman" w:hAnsi="Times New Roman"/>
          <w:color w:val="000000" w:themeColor="text1"/>
          <w:sz w:val="16"/>
          <w:szCs w:val="16"/>
        </w:rPr>
        <w:t>Артуправления</w:t>
      </w:r>
      <w:proofErr w:type="spellEnd"/>
      <w:r w:rsidRPr="00A259BD">
        <w:rPr>
          <w:rFonts w:ascii="Times New Roman" w:hAnsi="Times New Roman"/>
          <w:color w:val="000000" w:themeColor="text1"/>
          <w:sz w:val="16"/>
          <w:szCs w:val="16"/>
        </w:rPr>
        <w:t xml:space="preserve"> 1-й вариант;</w:t>
      </w:r>
    </w:p>
    <w:p w14:paraId="2E9061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КБ НТК </w:t>
      </w:r>
      <w:proofErr w:type="spellStart"/>
      <w:r w:rsidRPr="00A259BD">
        <w:rPr>
          <w:rFonts w:ascii="Times New Roman" w:hAnsi="Times New Roman"/>
          <w:color w:val="000000" w:themeColor="text1"/>
          <w:sz w:val="16"/>
          <w:szCs w:val="16"/>
        </w:rPr>
        <w:t>Артуправления</w:t>
      </w:r>
      <w:proofErr w:type="spellEnd"/>
      <w:r w:rsidRPr="00A259BD">
        <w:rPr>
          <w:rFonts w:ascii="Times New Roman" w:hAnsi="Times New Roman"/>
          <w:color w:val="000000" w:themeColor="text1"/>
          <w:sz w:val="16"/>
          <w:szCs w:val="16"/>
        </w:rPr>
        <w:t xml:space="preserve"> 3-й вариант;</w:t>
      </w:r>
    </w:p>
    <w:p w14:paraId="740A63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Завод "Красный Путиловец;</w:t>
      </w:r>
    </w:p>
    <w:p w14:paraId="4D8781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Завод "Большевик";</w:t>
      </w:r>
    </w:p>
    <w:p w14:paraId="627D35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ОАТ;</w:t>
      </w:r>
    </w:p>
    <w:p w14:paraId="78746F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Глухарева, Щелкова и </w:t>
      </w:r>
      <w:proofErr w:type="spellStart"/>
      <w:r w:rsidRPr="00A259BD">
        <w:rPr>
          <w:rFonts w:ascii="Times New Roman" w:hAnsi="Times New Roman"/>
          <w:color w:val="000000" w:themeColor="text1"/>
          <w:sz w:val="16"/>
          <w:szCs w:val="16"/>
        </w:rPr>
        <w:t>Тагунова</w:t>
      </w:r>
      <w:proofErr w:type="spellEnd"/>
      <w:r w:rsidRPr="00A259BD">
        <w:rPr>
          <w:rFonts w:ascii="Times New Roman" w:hAnsi="Times New Roman"/>
          <w:color w:val="000000" w:themeColor="text1"/>
          <w:sz w:val="16"/>
          <w:szCs w:val="16"/>
        </w:rPr>
        <w:t xml:space="preserve"> (ГШТ) (3861).</w:t>
      </w:r>
    </w:p>
    <w:p w14:paraId="25EFD9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690892"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марта 1929 г. Выписка из протокола заседания Постоянного мобилизационного совещания при Президиуме ВСНХ СССР о производстве ферросплавов в первый период войны (РГАЭ. Ф. 3429. Оп. 6. Д. 193. Л. 21) (12417).</w:t>
      </w:r>
    </w:p>
    <w:p w14:paraId="417ABD7A" w14:textId="77777777" w:rsidR="00DA22D3" w:rsidRPr="00A259BD" w:rsidRDefault="00DA22D3" w:rsidP="009236E3">
      <w:pPr>
        <w:spacing w:after="0" w:line="240" w:lineRule="auto"/>
        <w:jc w:val="both"/>
        <w:rPr>
          <w:rFonts w:ascii="Times New Roman" w:hAnsi="Times New Roman"/>
          <w:color w:val="000000" w:themeColor="text1"/>
          <w:sz w:val="16"/>
          <w:szCs w:val="16"/>
        </w:rPr>
      </w:pPr>
    </w:p>
    <w:p w14:paraId="1CC3D5A7"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FE8237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7A53DC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марта 1929 американской береговой охраной в Мексиканском заливе потоплена канадская шхуна “Одинокий”, подозревавшаяся в перевозке контрабандных спиртных напитков (4962).</w:t>
      </w:r>
    </w:p>
    <w:p w14:paraId="093F17C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8071D4"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5E9BBCD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A944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марта 1929 закончился пленум ЦК ВКП(б) И.В.С. добился осуждения группы </w:t>
      </w:r>
      <w:proofErr w:type="spellStart"/>
      <w:r w:rsidRPr="00A259BD">
        <w:rPr>
          <w:rFonts w:ascii="Times New Roman" w:hAnsi="Times New Roman"/>
          <w:color w:val="000000" w:themeColor="text1"/>
          <w:sz w:val="16"/>
          <w:szCs w:val="16"/>
        </w:rPr>
        <w:t>Н.И.Бухарина</w:t>
      </w:r>
      <w:proofErr w:type="spellEnd"/>
      <w:r w:rsidRPr="00A259BD">
        <w:rPr>
          <w:rFonts w:ascii="Times New Roman" w:hAnsi="Times New Roman"/>
          <w:color w:val="000000" w:themeColor="text1"/>
          <w:sz w:val="16"/>
          <w:szCs w:val="16"/>
        </w:rPr>
        <w:t xml:space="preserve">, А.И.Р., </w:t>
      </w:r>
      <w:proofErr w:type="spellStart"/>
      <w:r w:rsidRPr="00A259BD">
        <w:rPr>
          <w:rFonts w:ascii="Times New Roman" w:hAnsi="Times New Roman"/>
          <w:color w:val="000000" w:themeColor="text1"/>
          <w:sz w:val="16"/>
          <w:szCs w:val="16"/>
        </w:rPr>
        <w:t>М.П.Томского</w:t>
      </w:r>
      <w:proofErr w:type="spellEnd"/>
      <w:r w:rsidRPr="00A259BD">
        <w:rPr>
          <w:rFonts w:ascii="Times New Roman" w:hAnsi="Times New Roman"/>
          <w:color w:val="000000" w:themeColor="text1"/>
          <w:sz w:val="16"/>
          <w:szCs w:val="16"/>
        </w:rPr>
        <w:t>, обвиненных в правом уклоне (3186).</w:t>
      </w:r>
    </w:p>
    <w:p w14:paraId="53C410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A6CCE8"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10FB24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3636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марта1929 в Италии на однопартийных парламентских выборах победу одержали фашисты (3907,156).</w:t>
      </w:r>
    </w:p>
    <w:p w14:paraId="54D623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62430E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марта 1929 на плебисците в Италии подавляющее большинство населения поддержало политику фашистов (4962).</w:t>
      </w:r>
    </w:p>
    <w:p w14:paraId="2575654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BA9688" w14:textId="77777777" w:rsidR="0096703E"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482D950E" w14:textId="77777777" w:rsidR="0096703E" w:rsidRPr="00A259BD" w:rsidRDefault="0096703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BC1607" w14:textId="77777777" w:rsidR="0096703E" w:rsidRPr="00A259BD" w:rsidRDefault="0096703E" w:rsidP="009236E3">
      <w:pPr>
        <w:pStyle w:val="ae"/>
        <w:spacing w:before="0" w:after="0"/>
        <w:jc w:val="both"/>
        <w:rPr>
          <w:bCs/>
          <w:color w:val="000000" w:themeColor="text1"/>
          <w:sz w:val="16"/>
          <w:szCs w:val="16"/>
        </w:rPr>
      </w:pPr>
      <w:r w:rsidRPr="00A259BD">
        <w:rPr>
          <w:bCs/>
          <w:color w:val="000000" w:themeColor="text1"/>
          <w:sz w:val="16"/>
          <w:szCs w:val="16"/>
        </w:rPr>
        <w:t>25 марта 1929 «Боевой устав бронесил РККА, ч.1, кн.1 (Танки)» введен пр. №74 (17150).</w:t>
      </w:r>
    </w:p>
    <w:p w14:paraId="25A5B926" w14:textId="77777777" w:rsidR="0096703E" w:rsidRPr="00A259BD" w:rsidRDefault="0096703E" w:rsidP="009236E3">
      <w:pPr>
        <w:pStyle w:val="ae"/>
        <w:spacing w:before="0" w:after="0"/>
        <w:jc w:val="both"/>
        <w:rPr>
          <w:bCs/>
          <w:color w:val="000000" w:themeColor="text1"/>
          <w:sz w:val="16"/>
          <w:szCs w:val="16"/>
        </w:rPr>
      </w:pPr>
    </w:p>
    <w:p w14:paraId="61BCBFE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11A8CE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9C7C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марта 1929 завершились гос. испытания ТБ-1 дублера, которые шли с 15 августа 1928 (92,348) - по другим данным испытания шли с июля 1928.</w:t>
      </w:r>
    </w:p>
    <w:p w14:paraId="1861C4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Чертовски долго - понятно почему сажали.</w:t>
      </w:r>
    </w:p>
    <w:p w14:paraId="79C78EB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7BADCB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марта 1929 г. Начались испытания АНТ-4 “Дублера” с БМВ-6, которые шли с 15 авгус</w:t>
      </w:r>
      <w:r w:rsidRPr="00A259BD">
        <w:rPr>
          <w:rFonts w:ascii="Times New Roman" w:hAnsi="Times New Roman"/>
          <w:color w:val="000000" w:themeColor="text1"/>
          <w:sz w:val="16"/>
          <w:szCs w:val="16"/>
        </w:rPr>
        <w:softHyphen/>
        <w:t>та 1928 г. НИИ ВВС заключил, что самолет “может быть до</w:t>
      </w:r>
      <w:r w:rsidRPr="00A259BD">
        <w:rPr>
          <w:rFonts w:ascii="Times New Roman" w:hAnsi="Times New Roman"/>
          <w:color w:val="000000" w:themeColor="text1"/>
          <w:sz w:val="16"/>
          <w:szCs w:val="16"/>
        </w:rPr>
        <w:softHyphen/>
        <w:t>пущен для эксплуатации в частях ВВС” (11286).</w:t>
      </w:r>
    </w:p>
    <w:p w14:paraId="56B166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FCB922" w14:textId="77777777" w:rsidR="00873B02" w:rsidRPr="00A259BD" w:rsidRDefault="00873B02"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4572EC1" w14:textId="77777777" w:rsidR="00873B02" w:rsidRPr="00A259BD" w:rsidRDefault="00873B0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92263F" w14:textId="77777777" w:rsidR="00873B02" w:rsidRPr="00A259BD" w:rsidRDefault="00873B02" w:rsidP="009236E3">
      <w:pPr>
        <w:pStyle w:val="article-renderblock"/>
        <w:shd w:val="clear" w:color="auto" w:fill="FFFFFF"/>
        <w:spacing w:before="0" w:beforeAutospacing="0" w:after="0" w:afterAutospacing="0"/>
        <w:jc w:val="both"/>
        <w:rPr>
          <w:color w:val="000000" w:themeColor="text1"/>
          <w:sz w:val="16"/>
          <w:szCs w:val="16"/>
        </w:rPr>
      </w:pPr>
      <w:r w:rsidRPr="00A259BD">
        <w:rPr>
          <w:color w:val="000000" w:themeColor="text1"/>
          <w:sz w:val="16"/>
          <w:szCs w:val="16"/>
        </w:rPr>
        <w:t>26 марта 1929 года завод получил заказ №А0209729 на разработку танка Т-19 (20842).</w:t>
      </w:r>
    </w:p>
    <w:p w14:paraId="0BD200C1" w14:textId="77777777" w:rsidR="00873B02" w:rsidRPr="00A259BD" w:rsidRDefault="00873B02" w:rsidP="009236E3">
      <w:pPr>
        <w:pStyle w:val="article-renderblock"/>
        <w:shd w:val="clear" w:color="auto" w:fill="FFFFFF"/>
        <w:spacing w:before="0" w:beforeAutospacing="0" w:after="0" w:afterAutospacing="0"/>
        <w:jc w:val="both"/>
        <w:rPr>
          <w:color w:val="000000" w:themeColor="text1"/>
          <w:sz w:val="16"/>
          <w:szCs w:val="16"/>
        </w:rPr>
      </w:pPr>
    </w:p>
    <w:p w14:paraId="6EC224C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90A0A1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131CA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марта 1929 комиссия по постройке АНТ-9 приняло решение о временной отделке самолета отечественными материалами, т.к. импортные не поступили (10542,19).</w:t>
      </w:r>
    </w:p>
    <w:p w14:paraId="6E3383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944982D" w14:textId="77777777" w:rsidR="00DA22D3"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78EDDAC" w14:textId="77777777" w:rsidR="00DA22D3" w:rsidRPr="00A259BD" w:rsidRDefault="00DA22D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EDAFBD4"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27 марта 1929 на ленинградском заводе «Красный выборжец» удалось получить первые восемь килограммов алюминия. В ленинградской печати отмечалось тогда, что «первый слиток алюминия, представляющий музейную ценность, должен быть сохранен как памятник одного из крупнейших достижений советской техники». Образцы алюминия, полученного на «Красном Выборжце», и изделия из него были преподнесены от трудящихся Ленинграда V Всесоюзному съезду Советов. Успешное проведение этих опытов позволило приступить к сооружению Волховского и Днепровского алюминиевых заводов (12245).</w:t>
      </w:r>
    </w:p>
    <w:p w14:paraId="61FBE6E1" w14:textId="77777777" w:rsidR="00DA22D3" w:rsidRPr="00A259BD" w:rsidRDefault="00DA22D3" w:rsidP="009236E3">
      <w:pPr>
        <w:spacing w:after="0" w:line="240" w:lineRule="auto"/>
        <w:jc w:val="both"/>
        <w:rPr>
          <w:rFonts w:ascii="Times New Roman" w:hAnsi="Times New Roman"/>
          <w:color w:val="000000" w:themeColor="text1"/>
          <w:sz w:val="16"/>
          <w:szCs w:val="16"/>
        </w:rPr>
      </w:pPr>
    </w:p>
    <w:p w14:paraId="74462EA3" w14:textId="77777777" w:rsidR="00873B02" w:rsidRPr="00A259BD" w:rsidRDefault="00873B0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марта 1929 года на ленинградском заводе «Красный выборжец» удалось получить первые восемь килограммов </w:t>
      </w:r>
      <w:proofErr w:type="spellStart"/>
      <w:r w:rsidRPr="00A259BD">
        <w:rPr>
          <w:rFonts w:ascii="Times New Roman" w:hAnsi="Times New Roman"/>
          <w:color w:val="000000" w:themeColor="text1"/>
          <w:sz w:val="16"/>
          <w:szCs w:val="16"/>
        </w:rPr>
        <w:t>аллюминия</w:t>
      </w:r>
      <w:proofErr w:type="spellEnd"/>
      <w:r w:rsidRPr="00A259BD">
        <w:rPr>
          <w:rFonts w:ascii="Times New Roman" w:hAnsi="Times New Roman"/>
          <w:color w:val="000000" w:themeColor="text1"/>
          <w:sz w:val="16"/>
          <w:szCs w:val="16"/>
        </w:rPr>
        <w:t>. В ленинградской печати отмечалось тогда, что «первый слиток алюминия, представляющий музейную ценность, должен быть сохранен как памятник одного из крупнейших достижений советской техники». Образцы алюминия, полученного на «Красном Выборжце», и изделия из него были преподнесены от трудящихся Ленинграда V Всесоюзному съезду Советов. Успешное проведение этих опытов позволило приступить к сооружению Волховского и Днепровского алюминиевых заводов.</w:t>
      </w:r>
    </w:p>
    <w:p w14:paraId="43780A9E" w14:textId="77777777" w:rsidR="00873B02" w:rsidRPr="00A259BD" w:rsidRDefault="00873B0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Совет Труда и Обороны в 1929 году постановил построить на базе </w:t>
      </w:r>
      <w:proofErr w:type="spellStart"/>
      <w:r w:rsidRPr="00A259BD">
        <w:rPr>
          <w:rFonts w:ascii="Times New Roman" w:hAnsi="Times New Roman"/>
          <w:color w:val="000000" w:themeColor="text1"/>
          <w:sz w:val="16"/>
          <w:szCs w:val="16"/>
        </w:rPr>
        <w:t>Днепростроя</w:t>
      </w:r>
      <w:proofErr w:type="spellEnd"/>
      <w:r w:rsidRPr="00A259BD">
        <w:rPr>
          <w:rFonts w:ascii="Times New Roman" w:hAnsi="Times New Roman"/>
          <w:color w:val="000000" w:themeColor="text1"/>
          <w:sz w:val="16"/>
          <w:szCs w:val="16"/>
        </w:rPr>
        <w:t xml:space="preserve"> и Волховстроя алюминиевые заводы с производительностью соответственно 15 000 тонн и на 5 000 тонн алюминия в год. Одновременно со строительством началась подготовка кадров для будущих заводов. Советская власть послала учиться техников и инженеров во Францию, на родину алюминиевой промышленности. Одновременно интенсивная подготовка кадров шла и на «Красном Выборжце».</w:t>
      </w:r>
    </w:p>
    <w:p w14:paraId="6F3C1C59" w14:textId="77777777" w:rsidR="00873B02" w:rsidRPr="00A259BD" w:rsidRDefault="00873B0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мая 1932 года Волховский алюминиевый комбинат выдал первую партию алюминия. Так начиналась история «крылатого металла» Страны Советов. Советское государство, сумело менее чем за пятнадцать лет преодолеть более чем полувековое отставание России в производстве алюминия. Собственное производство алюминия дало мощной толчок промышленности, авиации, приборостроению, но самое главное позволило избавиться от зависимости от импорта и вынужденной необходимости кормить иностранный капитал.</w:t>
      </w:r>
    </w:p>
    <w:p w14:paraId="70187113" w14:textId="77777777" w:rsidR="00873B02" w:rsidRPr="00A259BD" w:rsidRDefault="00873B0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Далее:</w:t>
      </w:r>
    </w:p>
    <w:p w14:paraId="74B6D1B9" w14:textId="77777777" w:rsidR="00873B02" w:rsidRPr="00A259BD" w:rsidRDefault="00873B0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В 1933 году заработал Днепровский алюминиевый завод в Запорожье.</w:t>
      </w:r>
    </w:p>
    <w:p w14:paraId="24988EBC" w14:textId="77777777" w:rsidR="00873B02" w:rsidRPr="00A259BD" w:rsidRDefault="00873B0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В 1934 году начата добыча бокситов на </w:t>
      </w:r>
      <w:proofErr w:type="spellStart"/>
      <w:r w:rsidRPr="00A259BD">
        <w:rPr>
          <w:rFonts w:ascii="Times New Roman" w:hAnsi="Times New Roman"/>
          <w:color w:val="000000" w:themeColor="text1"/>
          <w:sz w:val="16"/>
          <w:szCs w:val="16"/>
        </w:rPr>
        <w:t>Северо</w:t>
      </w:r>
      <w:proofErr w:type="spellEnd"/>
      <w:r w:rsidRPr="00A259BD">
        <w:rPr>
          <w:rFonts w:ascii="Times New Roman" w:hAnsi="Times New Roman"/>
          <w:color w:val="000000" w:themeColor="text1"/>
          <w:sz w:val="16"/>
          <w:szCs w:val="16"/>
        </w:rPr>
        <w:t>–Уральском бокситовом руднике.</w:t>
      </w:r>
    </w:p>
    <w:p w14:paraId="0BA884C3" w14:textId="77777777" w:rsidR="00873B02" w:rsidRPr="00A259BD" w:rsidRDefault="00873B0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В 1936 году был запущен </w:t>
      </w:r>
      <w:proofErr w:type="spellStart"/>
      <w:r w:rsidRPr="00A259BD">
        <w:rPr>
          <w:rFonts w:ascii="Times New Roman" w:hAnsi="Times New Roman"/>
          <w:color w:val="000000" w:themeColor="text1"/>
          <w:sz w:val="16"/>
          <w:szCs w:val="16"/>
        </w:rPr>
        <w:t>Южно</w:t>
      </w:r>
      <w:proofErr w:type="spellEnd"/>
      <w:r w:rsidRPr="00A259BD">
        <w:rPr>
          <w:rFonts w:ascii="Times New Roman" w:hAnsi="Times New Roman"/>
          <w:color w:val="000000" w:themeColor="text1"/>
          <w:sz w:val="16"/>
          <w:szCs w:val="16"/>
        </w:rPr>
        <w:t>–Уральский бокситовый рудник, давший начало строительству алюминиевого комбината на Урале.</w:t>
      </w:r>
    </w:p>
    <w:p w14:paraId="5AF9E4BC" w14:textId="77777777" w:rsidR="00873B02" w:rsidRPr="00A259BD" w:rsidRDefault="00873B0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В 1938 году был введен в эксплуатацию Тихвинский глиноземный завод.</w:t>
      </w:r>
    </w:p>
    <w:p w14:paraId="3FC8ED78" w14:textId="77777777" w:rsidR="00873B02" w:rsidRPr="00A259BD" w:rsidRDefault="00873B0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В 1939 году начала работу первая очередь Уральского алюминиевого комбината в Каменске–Уральском.</w:t>
      </w:r>
    </w:p>
    <w:p w14:paraId="1A4AE106" w14:textId="77777777" w:rsidR="00873B02" w:rsidRPr="00A259BD" w:rsidRDefault="00873B0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Годовое производство алюминия в СССР в 1940 году составило 60 000 тонн (21168).</w:t>
      </w:r>
    </w:p>
    <w:p w14:paraId="45A76125" w14:textId="77777777" w:rsidR="00873B02" w:rsidRPr="00A259BD" w:rsidRDefault="00873B02" w:rsidP="009236E3">
      <w:pPr>
        <w:spacing w:after="0" w:line="240" w:lineRule="auto"/>
        <w:jc w:val="both"/>
        <w:rPr>
          <w:rFonts w:ascii="Times New Roman" w:hAnsi="Times New Roman"/>
          <w:color w:val="000000" w:themeColor="text1"/>
          <w:sz w:val="16"/>
          <w:szCs w:val="16"/>
        </w:rPr>
      </w:pPr>
    </w:p>
    <w:p w14:paraId="17D5311D" w14:textId="77777777" w:rsidR="00CE6C7E" w:rsidRPr="00A259BD" w:rsidRDefault="00CE6C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27 марта</w:t>
      </w:r>
      <w:r w:rsidRPr="00A259BD">
        <w:rPr>
          <w:rFonts w:ascii="Times New Roman" w:hAnsi="Times New Roman"/>
          <w:color w:val="000000" w:themeColor="text1"/>
          <w:sz w:val="16"/>
          <w:szCs w:val="16"/>
        </w:rPr>
        <w:t xml:space="preserve"> в 1929 году в лаборатории ленинградского завода «Красный выборжец» под руководством профессора </w:t>
      </w:r>
      <w:proofErr w:type="spellStart"/>
      <w:r w:rsidRPr="00A259BD">
        <w:rPr>
          <w:rFonts w:ascii="Times New Roman" w:hAnsi="Times New Roman"/>
          <w:color w:val="000000" w:themeColor="text1"/>
          <w:sz w:val="16"/>
          <w:szCs w:val="16"/>
        </w:rPr>
        <w:t>П.П.Федотьева</w:t>
      </w:r>
      <w:proofErr w:type="spellEnd"/>
      <w:r w:rsidRPr="00A259BD">
        <w:rPr>
          <w:rFonts w:ascii="Times New Roman" w:hAnsi="Times New Roman"/>
          <w:color w:val="000000" w:themeColor="text1"/>
          <w:sz w:val="16"/>
          <w:szCs w:val="16"/>
        </w:rPr>
        <w:t xml:space="preserve"> был получен образец первого советского алюминия из отечественного сырья, что положило начало его промышленному производству (15081).</w:t>
      </w:r>
    </w:p>
    <w:p w14:paraId="68C9E42C" w14:textId="77777777" w:rsidR="00CE6C7E" w:rsidRPr="00A259BD" w:rsidRDefault="00CE6C7E" w:rsidP="009236E3">
      <w:pPr>
        <w:spacing w:after="0" w:line="240" w:lineRule="auto"/>
        <w:jc w:val="both"/>
        <w:rPr>
          <w:rFonts w:ascii="Times New Roman" w:hAnsi="Times New Roman"/>
          <w:color w:val="000000" w:themeColor="text1"/>
          <w:sz w:val="16"/>
          <w:szCs w:val="16"/>
        </w:rPr>
      </w:pPr>
    </w:p>
    <w:p w14:paraId="2443667F"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27 марта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СНК принял постановление «О планировании опытного строительства «научно-исследовательских работ в области строительства и о фонде их финансирования» (12265).</w:t>
      </w:r>
    </w:p>
    <w:p w14:paraId="48BFC8F0"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008C7EE0"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марта 1929 г. Анонимное письмо рабочего завода «Красный путиловец» в ЦКК ВКП(б)</w:t>
      </w:r>
    </w:p>
    <w:p w14:paraId="28EC0921"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Товарищи, прежде чем писать, я отлично знаю, что это письмо не попадет туда, куда адресовано, но я хочу просить и прошу не оставить это письмо без внимания. Во-вторых, хочу сказать пару слов о себе. Кто я есть? Я рабочий, член партии, и я слышу голос рабочего, голос крестьянина и голос нашей защиты, т.е. красноармейца. И вот на этом я и хочу сказать свои мысли, которые с каждым днем, с каждым часом встречают новое и новое. С чем и приходится бороться. Итак, товарищи, я начинаю свое письмо. Товарищи, я слышу голос рабочего, очень жаль, что он такой плачевный. Что в стране советов быть не должно, рабочие ряды с каждым днем все больше и больше расшатываются, благодаря низовому руководству. Вы посмотрите на низы. Что там проводится в жизнь из постановлений - все исковеркано и перевернуто. И рабочий, смотря на такое управление, не верит в строительство социализма, рабочий сейчас смотрит на государство, как на такого же эксплуататора, как и раньше. Он ясно говорит, что 12 лет строительства и мы голые, как птенцы, и переживаем такие трудности, какие сейчас есть у нас налицо. И рабочий не ставит в вину недород, он ясно и коротко говорит, что не могут управлять страной, что нет плановости хозяйства. У нас этот год был недород, можно было прошлый год сделать запас на год. Если всецело упирать на недород. Если у нас еще один или два года не уродится, тогда все должны погибнуть. Когда сейчас не неурожай, а только недород, население голодает, рабочий также не доедает. И рабочий грамотный, он читает газету и видит - осенью писалось в газете, что заготовительная кампания работает великолепно - в каждую пятидневку заготовляли больше прошлогоднего на несколько десятков процентов, а сейчас спрашивает, где же хлеб? За границу не отправляли. Заготовка работала хорошо, почему же люди голодают? Второе. Это внутри заводов. В газете ясно говорится, что снижение себестоимости не должно отразиться на заработке рабочего, но на практике оно только и отражается как на рабочем, так и на его заработке. А накладные расходы? Как они были, так и будут все те же, волокита все та же, формальность в управлении заводом тоже рабочему не нравится. Нет единого управления. У рабочего создается мнение разное: лебедь, рак и щука. Оно так и есть, и благодаря этому у нас нет продуктивности в работе. Разве рабочий путиловец не видит или не знает, что стоит сделать трактор, и во сколько он обходится, и сколько он уже стоит заводу, и за сколько продается. Он знает, что трактор рабочему стоит 1500-2000 руб., заводу - 4500 руб., продается за 2000 [руб.]. Теперь, спрашивает рабочий, для чего у нас Контрольная комиссия, когда она не идет рука об руку с рабочими. Она из себя представляет Амстердамский профсоюз.1 Второе, для чего служит отдел экономики труда, где штат доходит до 5% всего завода. Он рабочему не нужен и государству также никакой пользы не приносит. Этот отдел у нас заменит вполне расчетная контора, а Конфликтная] К[</w:t>
      </w:r>
      <w:proofErr w:type="spellStart"/>
      <w:r w:rsidRPr="00A259BD">
        <w:rPr>
          <w:rFonts w:ascii="Times New Roman" w:hAnsi="Times New Roman"/>
          <w:color w:val="000000" w:themeColor="text1"/>
          <w:sz w:val="16"/>
          <w:szCs w:val="16"/>
        </w:rPr>
        <w:t>омиссия</w:t>
      </w:r>
      <w:proofErr w:type="spellEnd"/>
      <w:r w:rsidRPr="00A259BD">
        <w:rPr>
          <w:rFonts w:ascii="Times New Roman" w:hAnsi="Times New Roman"/>
          <w:color w:val="000000" w:themeColor="text1"/>
          <w:sz w:val="16"/>
          <w:szCs w:val="16"/>
        </w:rPr>
        <w:t>] вполне заменит завком. Но Т[</w:t>
      </w:r>
      <w:proofErr w:type="spellStart"/>
      <w:r w:rsidRPr="00A259BD">
        <w:rPr>
          <w:rFonts w:ascii="Times New Roman" w:hAnsi="Times New Roman"/>
          <w:color w:val="000000" w:themeColor="text1"/>
          <w:sz w:val="16"/>
          <w:szCs w:val="16"/>
        </w:rPr>
        <w:t>арифно</w:t>
      </w:r>
      <w:proofErr w:type="spellEnd"/>
      <w:r w:rsidRPr="00A259BD">
        <w:rPr>
          <w:rFonts w:ascii="Times New Roman" w:hAnsi="Times New Roman"/>
          <w:color w:val="000000" w:themeColor="text1"/>
          <w:sz w:val="16"/>
          <w:szCs w:val="16"/>
        </w:rPr>
        <w:t>-] Нормировочное] Б[</w:t>
      </w:r>
      <w:proofErr w:type="spellStart"/>
      <w:r w:rsidRPr="00A259BD">
        <w:rPr>
          <w:rFonts w:ascii="Times New Roman" w:hAnsi="Times New Roman"/>
          <w:color w:val="000000" w:themeColor="text1"/>
          <w:sz w:val="16"/>
          <w:szCs w:val="16"/>
        </w:rPr>
        <w:t>юро</w:t>
      </w:r>
      <w:proofErr w:type="spellEnd"/>
      <w:r w:rsidRPr="00A259BD">
        <w:rPr>
          <w:rFonts w:ascii="Times New Roman" w:hAnsi="Times New Roman"/>
          <w:color w:val="000000" w:themeColor="text1"/>
          <w:sz w:val="16"/>
          <w:szCs w:val="16"/>
        </w:rPr>
        <w:t>] - это для государства нужно. Но для рабочего, т.е. работа ТНБ, не нравится. ТНБ не может самостоятельно оценить работу и не знает, сколько на работу потратится времени; вся работа ТНБ лежит на мастерах цехов и, самое главное, - это потребность рабочего. 40% рабочих не получило столько, сколько им требуется для существования. Возьмем теперь жилище рабочего. Как рабочий жил в подвале, так и остался. Можно привести пример. Металлострой строит новые дома и ремонтирует старые. Но кто в этих домах живет и кто может жить? Рабочий, получая 80 руб. в месяц, имея 5-6 чел. семьи, квартира в 2-3 комнаты для него необходима. В Металлострое она стоит 40-50 руб. в месяц. Может средний рабочий жить в этих квартирах или нет? Живет в этих квартирах рабочая верхушка. Квартплата с каждым днем в жилищной кооперации меняется, т.е. повышается за счет рабочего. И вот взять все это и подумать, какое мнение рабочего в отношении советской власти?</w:t>
      </w:r>
    </w:p>
    <w:p w14:paraId="022701D9"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Теперь насчет крестьянства. Хотя генеральная линия и говорила, что Троцкий не прав - хочет закабалить крестьянство, а сама закабалила. Что делается в крестьянстве? Вам оказывается неизвестно. Живет тот, кому бы давно нужно отмереть, а беднота как была беднота, так и осталась беднотой. Второе, на местах неправильно проводятся в жизнь лозунги, наши постановления в отношении сельскохозяйственного налога по отношению середняка. Середняку не дают развиваться, середняка на практике в деревне душат и принимают за кулака. Это факт - вся тяжесть сельскохозяйственного налога ложится на середняка. Теперь насчет машин сельскохозяйственных. Кто может приобрести машину? Но нашему бедняку слаб.2 Так мы думаем, но на практике не так, как бедняк был с сохой, так он и остался с ней. А у кулака, благодаря мощному хозяйству, есть на что купить. Он и покупает. В отношении кредитов также: бедняку не дают столько, сколько кулаку.</w:t>
      </w:r>
    </w:p>
    <w:p w14:paraId="2D7E8C0E"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Теперь насчет [того] - </w:t>
      </w:r>
      <w:proofErr w:type="spellStart"/>
      <w:r w:rsidRPr="00A259BD">
        <w:rPr>
          <w:rFonts w:ascii="Times New Roman" w:hAnsi="Times New Roman"/>
          <w:color w:val="000000" w:themeColor="text1"/>
          <w:sz w:val="16"/>
          <w:szCs w:val="16"/>
        </w:rPr>
        <w:t>вообщем</w:t>
      </w:r>
      <w:proofErr w:type="spellEnd"/>
      <w:r w:rsidRPr="00A259BD">
        <w:rPr>
          <w:rFonts w:ascii="Times New Roman" w:hAnsi="Times New Roman"/>
          <w:color w:val="000000" w:themeColor="text1"/>
          <w:sz w:val="16"/>
          <w:szCs w:val="16"/>
        </w:rPr>
        <w:t xml:space="preserve"> хотел на эту тему поговорить, что я видел на практике и слышал от крестьян. Сейчас не могу равнодушно сдержать себя.</w:t>
      </w:r>
    </w:p>
    <w:p w14:paraId="6ACFC958"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Перейду к третьему - это о Красной Армии. Красная Армия тоже расшатывается. Она видит и слышит, как живет рабочий и крестьянин. Ей тоже далеко за фактами не ходить, когда у многих красноармейцев семьи голодают, да и подчас берут красноармейца на службу и остаются у него жена и мать без всякого материального обеспечения. Попробуй красноармеец устроить жену на работу, он встретит на пути множество препятствий. Были факты и есть. Жены красноармейцев из-за материального положения пускались в разврат, также и кончали самоубийством. Разве это не может поколебать мощь нашей армии? Конечно, может. Второе -обеспечение самого красноармейца: как питание, так и все необходимое никуда не годится.</w:t>
      </w:r>
    </w:p>
    <w:p w14:paraId="406C1C68"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этом я хочу кончить. Если какие понадобятся факты и доказательства, то можете через центральную «Правду» (не статьей и не вопросом, а просто спросить второе письмо). Я здесь адреса не дам. Я, как и все рабочие, говорю, что хотя и свобода слова, но правду говорить нельзя. Не подумайте, что я уклонист. Нет. С таким мнением 80% всех членов партии. Такое же количество и комсомола.</w:t>
      </w:r>
    </w:p>
    <w:p w14:paraId="0E8AA584"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Позабыл насчет демократии. Демократия у нас отсутствует вез-» де. На собраниях руководящие органы предлагают, а собранию только приходится утверждать. Насчет чистки партии вопрос неправильно поставлен. Все, кто на словах или на деле хорошо относится к делу или службе, то вычищен не будет. Не надо забывать, что у нас служат 40% чуждого нам элемента, которые говорят одно, делают другое, и чистокровных рабочих и крестьян у руководящих мест совершенно мало. Отчего и сильно развелась и развивается бюрократия. Ну и так, тов. Контрольная комиссия3, буду надеяться, что мое письмо дойдет туда, куда нужно. Лучше мысли, чувства выразить не могу, но они - еще горячей. Если потребуется, то постараюсь выразить </w:t>
      </w:r>
      <w:proofErr w:type="spellStart"/>
      <w:r w:rsidRPr="00A259BD">
        <w:rPr>
          <w:rFonts w:ascii="Times New Roman" w:hAnsi="Times New Roman"/>
          <w:color w:val="000000" w:themeColor="text1"/>
          <w:sz w:val="16"/>
          <w:szCs w:val="16"/>
        </w:rPr>
        <w:t>поярче</w:t>
      </w:r>
      <w:proofErr w:type="spellEnd"/>
      <w:r w:rsidRPr="00A259BD">
        <w:rPr>
          <w:rFonts w:ascii="Times New Roman" w:hAnsi="Times New Roman"/>
          <w:color w:val="000000" w:themeColor="text1"/>
          <w:sz w:val="16"/>
          <w:szCs w:val="16"/>
        </w:rPr>
        <w:t>.</w:t>
      </w:r>
    </w:p>
    <w:p w14:paraId="77FC635C"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Адрес мой будет такой: Ленинград - свой рабочий. Можете спросить, как я сказал, через газету, еще более ярких фактов по адресу -свой рабочий.</w:t>
      </w:r>
    </w:p>
    <w:p w14:paraId="287CB948"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марта.4</w:t>
      </w:r>
    </w:p>
    <w:p w14:paraId="53DCD88B"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ЦГАИПД СПб. Ф. 24, </w:t>
      </w:r>
      <w:proofErr w:type="spellStart"/>
      <w:r w:rsidRPr="00A259BD">
        <w:rPr>
          <w:rFonts w:ascii="Times New Roman" w:hAnsi="Times New Roman"/>
          <w:color w:val="000000" w:themeColor="text1"/>
          <w:sz w:val="16"/>
          <w:szCs w:val="16"/>
        </w:rPr>
        <w:t>on</w:t>
      </w:r>
      <w:proofErr w:type="spellEnd"/>
      <w:r w:rsidRPr="00A259BD">
        <w:rPr>
          <w:rFonts w:ascii="Times New Roman" w:hAnsi="Times New Roman"/>
          <w:color w:val="000000" w:themeColor="text1"/>
          <w:sz w:val="16"/>
          <w:szCs w:val="16"/>
        </w:rPr>
        <w:t>. 16, д. 31, л. 6-7. Заверенная копия. Машинопись.</w:t>
      </w:r>
    </w:p>
    <w:p w14:paraId="5A6C4115"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w:t>
      </w:r>
      <w:proofErr w:type="spellStart"/>
      <w:r w:rsidRPr="00A259BD">
        <w:rPr>
          <w:rFonts w:ascii="Times New Roman" w:hAnsi="Times New Roman"/>
          <w:color w:val="000000" w:themeColor="text1"/>
          <w:sz w:val="16"/>
          <w:szCs w:val="16"/>
        </w:rPr>
        <w:t>Направлнена</w:t>
      </w:r>
      <w:proofErr w:type="spellEnd"/>
      <w:r w:rsidRPr="00A259BD">
        <w:rPr>
          <w:rFonts w:ascii="Times New Roman" w:hAnsi="Times New Roman"/>
          <w:color w:val="000000" w:themeColor="text1"/>
          <w:sz w:val="16"/>
          <w:szCs w:val="16"/>
        </w:rPr>
        <w:t xml:space="preserve"> в декабре 1945 г. в связи с созданием Всемирной федерации профсоюзов.</w:t>
      </w:r>
    </w:p>
    <w:p w14:paraId="0609B4C0"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Так в документе.</w:t>
      </w:r>
    </w:p>
    <w:p w14:paraId="3D67CF5D"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Центральная и местные партийные контрольные комиссии (ЦКК и КК) созданы в сентябре 1920 г. на IX Всероссийской конференции РКП(б) по докладу </w:t>
      </w:r>
      <w:proofErr w:type="spellStart"/>
      <w:r w:rsidRPr="00A259BD">
        <w:rPr>
          <w:rFonts w:ascii="Times New Roman" w:hAnsi="Times New Roman"/>
          <w:color w:val="000000" w:themeColor="text1"/>
          <w:sz w:val="16"/>
          <w:szCs w:val="16"/>
        </w:rPr>
        <w:t>Г.Е.Зиновьева</w:t>
      </w:r>
      <w:proofErr w:type="spellEnd"/>
      <w:r w:rsidRPr="00A259BD">
        <w:rPr>
          <w:rFonts w:ascii="Times New Roman" w:hAnsi="Times New Roman"/>
          <w:color w:val="000000" w:themeColor="text1"/>
          <w:sz w:val="16"/>
          <w:szCs w:val="16"/>
        </w:rPr>
        <w:t xml:space="preserve"> с целью контроля за внутрипартийной дисциплиной и ликвидации фракционности. Согласно «Положению о контрольных комиссиях» член партии обязан был сообщать в КК о всех случаях «преступлений против партии», «ни на минуту не стесняясь постом и ролью обвиняемых лиц». ЦКК избиралась съездом </w:t>
      </w:r>
      <w:r w:rsidRPr="00A259BD">
        <w:rPr>
          <w:rFonts w:ascii="Times New Roman" w:hAnsi="Times New Roman"/>
          <w:color w:val="000000" w:themeColor="text1"/>
          <w:sz w:val="16"/>
          <w:szCs w:val="16"/>
        </w:rPr>
        <w:lastRenderedPageBreak/>
        <w:t>партии и была лишь ему подотчетна, принимала и разбирала жалобы, в 1929 г. руководила «генеральной чисткой партии». Председателями ЦКК были в 1923-1926 гг. -</w:t>
      </w:r>
      <w:proofErr w:type="spellStart"/>
      <w:r w:rsidRPr="00A259BD">
        <w:rPr>
          <w:rFonts w:ascii="Times New Roman" w:hAnsi="Times New Roman"/>
          <w:color w:val="000000" w:themeColor="text1"/>
          <w:sz w:val="16"/>
          <w:szCs w:val="16"/>
        </w:rPr>
        <w:t>В.В.Куйбышев</w:t>
      </w:r>
      <w:proofErr w:type="spellEnd"/>
      <w:r w:rsidRPr="00A259BD">
        <w:rPr>
          <w:rFonts w:ascii="Times New Roman" w:hAnsi="Times New Roman"/>
          <w:color w:val="000000" w:themeColor="text1"/>
          <w:sz w:val="16"/>
          <w:szCs w:val="16"/>
        </w:rPr>
        <w:t xml:space="preserve">, в 1926-1930 гг. - </w:t>
      </w:r>
      <w:proofErr w:type="spellStart"/>
      <w:r w:rsidRPr="00A259BD">
        <w:rPr>
          <w:rFonts w:ascii="Times New Roman" w:hAnsi="Times New Roman"/>
          <w:color w:val="000000" w:themeColor="text1"/>
          <w:sz w:val="16"/>
          <w:szCs w:val="16"/>
        </w:rPr>
        <w:t>Г.К.Орджоникидзе</w:t>
      </w:r>
      <w:proofErr w:type="spellEnd"/>
      <w:r w:rsidRPr="00A259BD">
        <w:rPr>
          <w:rFonts w:ascii="Times New Roman" w:hAnsi="Times New Roman"/>
          <w:color w:val="000000" w:themeColor="text1"/>
          <w:sz w:val="16"/>
          <w:szCs w:val="16"/>
        </w:rPr>
        <w:t xml:space="preserve"> (см.: Известия ЦК КПСС. 1990. № 5. С. 117-120).</w:t>
      </w:r>
    </w:p>
    <w:p w14:paraId="528B03AB"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К письму приложена записка на бланке Ленинградского обкома ВКП(б): «Красный путиловец. Тов. Алексеев П. А., пересылаю согласно указанию т. Кирова. </w:t>
      </w:r>
      <w:proofErr w:type="spellStart"/>
      <w:r w:rsidRPr="00A259BD">
        <w:rPr>
          <w:rFonts w:ascii="Times New Roman" w:hAnsi="Times New Roman"/>
          <w:color w:val="000000" w:themeColor="text1"/>
          <w:sz w:val="16"/>
          <w:szCs w:val="16"/>
        </w:rPr>
        <w:t>Н.Свешников</w:t>
      </w:r>
      <w:proofErr w:type="spellEnd"/>
      <w:r w:rsidRPr="00A259BD">
        <w:rPr>
          <w:rFonts w:ascii="Times New Roman" w:hAnsi="Times New Roman"/>
          <w:color w:val="000000" w:themeColor="text1"/>
          <w:sz w:val="16"/>
          <w:szCs w:val="16"/>
        </w:rPr>
        <w:t xml:space="preserve">. 5 апреля 1929 г. Исх. № 83 с. 5 апреля 1929 г. Подлежит возврату. </w:t>
      </w:r>
      <w:proofErr w:type="spellStart"/>
      <w:r w:rsidRPr="00A259BD">
        <w:rPr>
          <w:rFonts w:ascii="Times New Roman" w:hAnsi="Times New Roman"/>
          <w:color w:val="000000" w:themeColor="text1"/>
          <w:sz w:val="16"/>
          <w:szCs w:val="16"/>
        </w:rPr>
        <w:t>Вх</w:t>
      </w:r>
      <w:proofErr w:type="spellEnd"/>
      <w:r w:rsidRPr="00A259BD">
        <w:rPr>
          <w:rFonts w:ascii="Times New Roman" w:hAnsi="Times New Roman"/>
          <w:color w:val="000000" w:themeColor="text1"/>
          <w:sz w:val="16"/>
          <w:szCs w:val="16"/>
        </w:rPr>
        <w:t>. № 33 с.»</w:t>
      </w:r>
    </w:p>
    <w:p w14:paraId="3A188BA4"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Возвращая в обком данное письмо, ответственный секретарь парткома «Красного путиловца» </w:t>
      </w:r>
      <w:proofErr w:type="spellStart"/>
      <w:r w:rsidRPr="00A259BD">
        <w:rPr>
          <w:rFonts w:ascii="Times New Roman" w:hAnsi="Times New Roman"/>
          <w:color w:val="000000" w:themeColor="text1"/>
          <w:sz w:val="16"/>
          <w:szCs w:val="16"/>
        </w:rPr>
        <w:t>И.И.Алексеев</w:t>
      </w:r>
      <w:proofErr w:type="spellEnd"/>
      <w:r w:rsidRPr="00A259BD">
        <w:rPr>
          <w:rFonts w:ascii="Times New Roman" w:hAnsi="Times New Roman"/>
          <w:color w:val="000000" w:themeColor="text1"/>
          <w:sz w:val="16"/>
          <w:szCs w:val="16"/>
        </w:rPr>
        <w:t xml:space="preserve"> писал в сопроводительной (исх. № 24/с от 20 апреля 1929 г., </w:t>
      </w:r>
      <w:proofErr w:type="spellStart"/>
      <w:r w:rsidRPr="00A259BD">
        <w:rPr>
          <w:rFonts w:ascii="Times New Roman" w:hAnsi="Times New Roman"/>
          <w:color w:val="000000" w:themeColor="text1"/>
          <w:sz w:val="16"/>
          <w:szCs w:val="16"/>
        </w:rPr>
        <w:t>вх</w:t>
      </w:r>
      <w:proofErr w:type="spellEnd"/>
      <w:r w:rsidRPr="00A259BD">
        <w:rPr>
          <w:rFonts w:ascii="Times New Roman" w:hAnsi="Times New Roman"/>
          <w:color w:val="000000" w:themeColor="text1"/>
          <w:sz w:val="16"/>
          <w:szCs w:val="16"/>
        </w:rPr>
        <w:t>. № 34017-11с от 24 апреля 1929 г.): «Анонимка за подписью "Свой рабочий" является одной из многих анонимок, которые, как это выяснилось, зачастую пишутся от имени рабочих "Красного пути-ловца", поскольку такая подпись выглядит убедительней. Взгляды, указываемые в данной анонимке, имеются среди отдельных рабочих нашего завода, к воздействию на которых мы и стараемся приспособить свои повседневные работы.» На сопроводительной имеется помета: «В архив Н.А. 24 апреле 1929 г.» (ЦГАИПД СПб. Ф. 24, оп. 16, д. 31, л. 4-5) (12214).</w:t>
      </w:r>
    </w:p>
    <w:p w14:paraId="5AB1E838" w14:textId="77777777" w:rsidR="00DA22D3" w:rsidRPr="00A259BD" w:rsidRDefault="00DA22D3" w:rsidP="009236E3">
      <w:pPr>
        <w:spacing w:after="0" w:line="240" w:lineRule="auto"/>
        <w:jc w:val="both"/>
        <w:rPr>
          <w:rFonts w:ascii="Times New Roman" w:hAnsi="Times New Roman"/>
          <w:color w:val="000000" w:themeColor="text1"/>
          <w:sz w:val="16"/>
          <w:szCs w:val="16"/>
        </w:rPr>
      </w:pPr>
    </w:p>
    <w:p w14:paraId="76269DC8"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4280020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D9E6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марта 1929 Королевство С, Х и С и Греция подписали договор о дружбе (3907,156).</w:t>
      </w:r>
    </w:p>
    <w:p w14:paraId="196922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542F3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5A3563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6309B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марта 1929 НТК УВВС утвердил макет Р-7 (АНТ-10) - воспроизведение Р-3, но крупнее. Проектировался с июля 1928 (92,346) и началась его постройка (346,46).</w:t>
      </w:r>
    </w:p>
    <w:p w14:paraId="31B779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6C426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марта 1929 на расширенном заседании Объеди</w:t>
      </w:r>
      <w:r w:rsidRPr="00A259BD">
        <w:rPr>
          <w:rFonts w:ascii="Times New Roman" w:hAnsi="Times New Roman"/>
          <w:color w:val="000000" w:themeColor="text1"/>
          <w:sz w:val="16"/>
          <w:szCs w:val="16"/>
        </w:rPr>
        <w:softHyphen/>
        <w:t>ненного президиума Союза ОСОАВИАХИМа СССР и ОСОАВИАХИМа РСФСР, которое состоялось в помещении клуба “Металлист” на Озерковской набережной был окончательно решен вопрос о финансировании строительства автожира КАСКР (10224,23).</w:t>
      </w:r>
    </w:p>
    <w:p w14:paraId="0DFBA8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A840A97" w14:textId="77777777" w:rsidR="00DA22D3"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696E660" w14:textId="77777777" w:rsidR="00DA22D3" w:rsidRPr="00A259BD" w:rsidRDefault="00DA22D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610A818" w14:textId="77777777" w:rsidR="00DA22D3" w:rsidRPr="00A259BD" w:rsidRDefault="00DA22D3"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28 марта</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xml:space="preserve">. Протокол заседания Политбюро ЦК ВКП(б) № 70. Опросом членов ПБ от 28 марта 1929 г. 57. Заявление </w:t>
      </w:r>
      <w:proofErr w:type="spellStart"/>
      <w:r w:rsidRPr="00A259BD">
        <w:rPr>
          <w:rFonts w:ascii="Times New Roman" w:hAnsi="Times New Roman"/>
          <w:color w:val="000000" w:themeColor="text1"/>
          <w:sz w:val="16"/>
          <w:szCs w:val="16"/>
          <w:u w:color="002060"/>
        </w:rPr>
        <w:t>Толоконцева</w:t>
      </w:r>
      <w:proofErr w:type="spellEnd"/>
      <w:r w:rsidRPr="00A259BD">
        <w:rPr>
          <w:rFonts w:ascii="Times New Roman" w:hAnsi="Times New Roman"/>
          <w:color w:val="000000" w:themeColor="text1"/>
          <w:sz w:val="16"/>
          <w:szCs w:val="16"/>
          <w:u w:color="002060"/>
        </w:rPr>
        <w:t xml:space="preserve"> А. Ф. об освобождении его от обязанностей начальника Главного военно-промышленного управления (Куйбышев, </w:t>
      </w:r>
      <w:proofErr w:type="spellStart"/>
      <w:r w:rsidRPr="00A259BD">
        <w:rPr>
          <w:rFonts w:ascii="Times New Roman" w:hAnsi="Times New Roman"/>
          <w:color w:val="000000" w:themeColor="text1"/>
          <w:sz w:val="16"/>
          <w:szCs w:val="16"/>
          <w:u w:color="002060"/>
        </w:rPr>
        <w:t>Толоконцев</w:t>
      </w:r>
      <w:proofErr w:type="spellEnd"/>
      <w:r w:rsidRPr="00A259BD">
        <w:rPr>
          <w:rFonts w:ascii="Times New Roman" w:hAnsi="Times New Roman"/>
          <w:color w:val="000000" w:themeColor="text1"/>
          <w:sz w:val="16"/>
          <w:szCs w:val="16"/>
          <w:u w:color="002060"/>
        </w:rPr>
        <w:t>). (Политбюро... Т. 1. С. 680) (12416).</w:t>
      </w:r>
    </w:p>
    <w:p w14:paraId="280D9BE7" w14:textId="77777777" w:rsidR="00DA22D3" w:rsidRPr="00A259BD" w:rsidRDefault="00DA22D3" w:rsidP="009236E3">
      <w:pPr>
        <w:spacing w:after="0" w:line="240" w:lineRule="auto"/>
        <w:jc w:val="both"/>
        <w:rPr>
          <w:rFonts w:ascii="Times New Roman" w:hAnsi="Times New Roman"/>
          <w:color w:val="000000" w:themeColor="text1"/>
          <w:sz w:val="16"/>
          <w:szCs w:val="16"/>
          <w:u w:color="002060"/>
        </w:rPr>
      </w:pPr>
    </w:p>
    <w:p w14:paraId="2D22B813"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7FC6B8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B4C2A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марта 1929 года помощник начальника НИИ по применению ст. летчик Левин писал письмо № 114с начальнику НИИ.</w:t>
      </w:r>
    </w:p>
    <w:p w14:paraId="469B45A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Тб-1 26 марта 1929 года Отделом применения сдан в ЦАГИ и перевезен в ангар ВВА (6913).</w:t>
      </w:r>
    </w:p>
    <w:p w14:paraId="4DCBBCC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1534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марта 1929 состоялось совещание по вопросу обеспечения ГА по пятилетнему плану ее развития самолетами и моторами советского производства (протокол 1) под председательством </w:t>
      </w:r>
      <w:proofErr w:type="spellStart"/>
      <w:r w:rsidRPr="00A259BD">
        <w:rPr>
          <w:rFonts w:ascii="Times New Roman" w:hAnsi="Times New Roman"/>
          <w:color w:val="000000" w:themeColor="text1"/>
          <w:sz w:val="16"/>
          <w:szCs w:val="16"/>
        </w:rPr>
        <w:t>В.А.Зарзара</w:t>
      </w:r>
      <w:proofErr w:type="spellEnd"/>
      <w:r w:rsidRPr="00A259BD">
        <w:rPr>
          <w:rFonts w:ascii="Times New Roman" w:hAnsi="Times New Roman"/>
          <w:color w:val="000000" w:themeColor="text1"/>
          <w:sz w:val="16"/>
          <w:szCs w:val="16"/>
        </w:rPr>
        <w:t xml:space="preserve">. Постановили, что гл. вопросом является проблема металлического самолетостроения, моторостроение, </w:t>
      </w:r>
      <w:proofErr w:type="spellStart"/>
      <w:r w:rsidRPr="00A259BD">
        <w:rPr>
          <w:rFonts w:ascii="Times New Roman" w:hAnsi="Times New Roman"/>
          <w:color w:val="000000" w:themeColor="text1"/>
          <w:sz w:val="16"/>
          <w:szCs w:val="16"/>
        </w:rPr>
        <w:t>гидросамолетостроение</w:t>
      </w:r>
      <w:proofErr w:type="spellEnd"/>
      <w:r w:rsidRPr="00A259BD">
        <w:rPr>
          <w:rFonts w:ascii="Times New Roman" w:hAnsi="Times New Roman"/>
          <w:color w:val="000000" w:themeColor="text1"/>
          <w:sz w:val="16"/>
          <w:szCs w:val="16"/>
        </w:rPr>
        <w:t xml:space="preserve"> и вспомогательное производство магнето, свечей, приборов, винтов, лыж. Констатировали, что завод </w:t>
      </w:r>
      <w:proofErr w:type="spellStart"/>
      <w:r w:rsidRPr="00A259BD">
        <w:rPr>
          <w:rFonts w:ascii="Times New Roman" w:hAnsi="Times New Roman"/>
          <w:color w:val="000000" w:themeColor="text1"/>
          <w:sz w:val="16"/>
          <w:szCs w:val="16"/>
        </w:rPr>
        <w:t>Укрвоздухпути</w:t>
      </w:r>
      <w:proofErr w:type="spellEnd"/>
      <w:r w:rsidRPr="00A259BD">
        <w:rPr>
          <w:rFonts w:ascii="Times New Roman" w:hAnsi="Times New Roman"/>
          <w:color w:val="000000" w:themeColor="text1"/>
          <w:sz w:val="16"/>
          <w:szCs w:val="16"/>
        </w:rPr>
        <w:t xml:space="preserve"> м. полностью удовлетворить потребности в К-4, К-5 и К-6 и др. смешанной конструкции... (2341,41).</w:t>
      </w:r>
    </w:p>
    <w:p w14:paraId="749CF2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1FF4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марта 1929 г., после очередного неудачного цикла доводок мотора М-12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вынесло предложение: “...С последним испытанием М12 поставить вопрос перед УВВС о прекращении работ по М12”. В истории создания М-12 была </w:t>
      </w:r>
      <w:proofErr w:type="spellStart"/>
      <w:r w:rsidRPr="00A259BD">
        <w:rPr>
          <w:rFonts w:ascii="Times New Roman" w:hAnsi="Times New Roman"/>
          <w:color w:val="000000" w:themeColor="text1"/>
          <w:sz w:val="16"/>
          <w:szCs w:val="16"/>
        </w:rPr>
        <w:t>поставле</w:t>
      </w:r>
      <w:proofErr w:type="spellEnd"/>
      <w:r w:rsidRPr="00A259BD">
        <w:rPr>
          <w:rFonts w:ascii="Times New Roman" w:hAnsi="Times New Roman"/>
          <w:color w:val="000000" w:themeColor="text1"/>
          <w:sz w:val="16"/>
          <w:szCs w:val="16"/>
        </w:rPr>
        <w:t xml:space="preserve"> последняя точка. Таким образом, М-11 стал первым серийным мот ром полностью отечественной разработки. Большой вклад в организацию его серийного, а затем массовой производства внес </w:t>
      </w:r>
      <w:proofErr w:type="spellStart"/>
      <w:r w:rsidRPr="00A259BD">
        <w:rPr>
          <w:rFonts w:ascii="Times New Roman" w:hAnsi="Times New Roman"/>
          <w:color w:val="000000" w:themeColor="text1"/>
          <w:sz w:val="16"/>
          <w:szCs w:val="16"/>
        </w:rPr>
        <w:t>А.С.Назаров</w:t>
      </w:r>
      <w:proofErr w:type="spellEnd"/>
      <w:r w:rsidRPr="00A259BD">
        <w:rPr>
          <w:rFonts w:ascii="Times New Roman" w:hAnsi="Times New Roman"/>
          <w:color w:val="000000" w:themeColor="text1"/>
          <w:sz w:val="16"/>
          <w:szCs w:val="16"/>
        </w:rPr>
        <w:t>. Ресурс двигателя постоянно увеличивался, достигнув 200 часов в 1932 г. и 400 часов - в 1936 г. Он вплоть до 1952 г. строился на не</w:t>
      </w:r>
      <w:r w:rsidRPr="00A259BD">
        <w:rPr>
          <w:rFonts w:ascii="Times New Roman" w:hAnsi="Times New Roman"/>
          <w:color w:val="000000" w:themeColor="text1"/>
          <w:sz w:val="16"/>
          <w:szCs w:val="16"/>
        </w:rPr>
        <w:softHyphen/>
        <w:t>скольких авиамоторных заводах, находился в эксплуа</w:t>
      </w:r>
      <w:r w:rsidRPr="00A259BD">
        <w:rPr>
          <w:rFonts w:ascii="Times New Roman" w:hAnsi="Times New Roman"/>
          <w:color w:val="000000" w:themeColor="text1"/>
          <w:sz w:val="16"/>
          <w:szCs w:val="16"/>
        </w:rPr>
        <w:softHyphen/>
        <w:t>тации до 1959 г. (10667).</w:t>
      </w:r>
    </w:p>
    <w:p w14:paraId="18EF840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AA04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марта 1929 закончился аэросанный пробег, начатый в феврале, который начался 1 февраля 1929. В.М.П. вел АНТ-11 с Люцифером (1077,53).</w:t>
      </w:r>
    </w:p>
    <w:p w14:paraId="1070D1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7E9DC2C"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29 марта 1929 г. на ленинградском заводе «Красный выборжец» им. К.Е. Во</w:t>
      </w:r>
      <w:r w:rsidRPr="00441F34">
        <w:rPr>
          <w:rFonts w:ascii="Times New Roman" w:hAnsi="Times New Roman"/>
          <w:color w:val="0070C0"/>
          <w:sz w:val="16"/>
          <w:szCs w:val="16"/>
        </w:rPr>
        <w:softHyphen/>
        <w:t>рошилова были получены восемь килограммов первого советского алюминия. На вновь открытом в 1930 г. в Ленинграде Опытном заводе до конца того же года уда</w:t>
      </w:r>
      <w:r w:rsidRPr="00441F34">
        <w:rPr>
          <w:rFonts w:ascii="Times New Roman" w:hAnsi="Times New Roman"/>
          <w:color w:val="0070C0"/>
          <w:sz w:val="16"/>
          <w:szCs w:val="16"/>
        </w:rPr>
        <w:softHyphen/>
        <w:t>лось выплавить 90 тонн металла. В 1931 году в СССР было произ</w:t>
      </w:r>
      <w:r w:rsidRPr="00441F34">
        <w:rPr>
          <w:rFonts w:ascii="Times New Roman" w:hAnsi="Times New Roman"/>
          <w:color w:val="0070C0"/>
          <w:sz w:val="16"/>
          <w:szCs w:val="16"/>
        </w:rPr>
        <w:softHyphen/>
        <w:t>ведено всего 200 тонн алюминия! Для сравнения: Германия в том же году выплавила 21 тысячу тонн «крылатого металла», а во всем мире - около 300 тысяч тонн. Из своего и закупленного алюминия в СССР произвели около 500 тонн проката и полуфабрикатов, из них 67% на ленинградском заводе им. К.Е. Ворошилова, 21% на металлур</w:t>
      </w:r>
      <w:r w:rsidRPr="00441F34">
        <w:rPr>
          <w:rFonts w:ascii="Times New Roman" w:hAnsi="Times New Roman"/>
          <w:color w:val="0070C0"/>
          <w:sz w:val="16"/>
          <w:szCs w:val="16"/>
        </w:rPr>
        <w:softHyphen/>
        <w:t>гическом производстве Государст</w:t>
      </w:r>
      <w:r w:rsidRPr="00441F34">
        <w:rPr>
          <w:rFonts w:ascii="Times New Roman" w:hAnsi="Times New Roman"/>
          <w:color w:val="0070C0"/>
          <w:sz w:val="16"/>
          <w:szCs w:val="16"/>
        </w:rPr>
        <w:softHyphen/>
        <w:t>венного авиационного завода №1 и 12% на Кольчугинском заводе. И хотя ускоренными темпами стро</w:t>
      </w:r>
      <w:r w:rsidRPr="00441F34">
        <w:rPr>
          <w:rFonts w:ascii="Times New Roman" w:hAnsi="Times New Roman"/>
          <w:color w:val="0070C0"/>
          <w:sz w:val="16"/>
          <w:szCs w:val="16"/>
        </w:rPr>
        <w:softHyphen/>
        <w:t>ился Волховский алюминиевый комбинат и закладывался фунда</w:t>
      </w:r>
      <w:r w:rsidRPr="00441F34">
        <w:rPr>
          <w:rFonts w:ascii="Times New Roman" w:hAnsi="Times New Roman"/>
          <w:color w:val="0070C0"/>
          <w:sz w:val="16"/>
          <w:szCs w:val="16"/>
        </w:rPr>
        <w:softHyphen/>
        <w:t>мент Днепровского алюминиевого завода, до удовлетворения ми</w:t>
      </w:r>
      <w:r w:rsidRPr="00441F34">
        <w:rPr>
          <w:rFonts w:ascii="Times New Roman" w:hAnsi="Times New Roman"/>
          <w:color w:val="0070C0"/>
          <w:sz w:val="16"/>
          <w:szCs w:val="16"/>
        </w:rPr>
        <w:softHyphen/>
        <w:t>нимальной потребности отрасли в этом металле было еще ох как далеко (23406).</w:t>
      </w:r>
    </w:p>
    <w:p w14:paraId="71B05E58" w14:textId="77777777" w:rsidR="00292DF5" w:rsidRPr="00441F34" w:rsidRDefault="00292DF5" w:rsidP="00292DF5">
      <w:pPr>
        <w:spacing w:after="0" w:line="240" w:lineRule="auto"/>
        <w:jc w:val="both"/>
        <w:rPr>
          <w:rFonts w:ascii="Times New Roman" w:hAnsi="Times New Roman"/>
          <w:color w:val="0070C0"/>
          <w:sz w:val="16"/>
          <w:szCs w:val="16"/>
        </w:rPr>
      </w:pPr>
    </w:p>
    <w:p w14:paraId="53169134" w14:textId="77777777" w:rsidR="00DA22D3"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3CD6583" w14:textId="77777777" w:rsidR="00DA22D3" w:rsidRPr="00A259BD" w:rsidRDefault="00DA22D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BC2277" w14:textId="77777777" w:rsidR="00CE6C7E" w:rsidRPr="00A259BD" w:rsidRDefault="00CE6C7E"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bCs/>
          <w:color w:val="000000" w:themeColor="text1"/>
          <w:sz w:val="16"/>
          <w:szCs w:val="16"/>
        </w:rPr>
        <w:t>29 марта 1929 г. — Докладная записка ЭКУ ОГПУ СССР по следственному делу «О контрреволюционной организации в военной промышленности»</w:t>
      </w:r>
    </w:p>
    <w:p w14:paraId="6182FAD5"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Ввиду того что аресты ряда лиц еще не произведены, просьба хранить особо секретно.</w:t>
      </w:r>
    </w:p>
    <w:p w14:paraId="78DDA1C8"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Настоящая докладная записка составлена на основании следственного материала по делу о контрреволюционной организации в военной промышленности, ведущемуся ОГПУ. По независящим обстоятельствам, выразившимся в невозможности своевременно арестовать и произвести допрос целого ряда лиц, состоявших в контрреволюционной организации, процесс следствия значительно затянулся. Только в самое последнее время ОГПУ получило возможность развернуть до необходимых размеров масштаб следственной работы и собрать материал, который даст более полное представление о составе контрреволюционной организации и ее деятельности, направленной к подрыву обороноспособности страны.</w:t>
      </w:r>
    </w:p>
    <w:p w14:paraId="69945EC7" w14:textId="77777777" w:rsidR="00DA22D3" w:rsidRPr="00A259BD" w:rsidRDefault="00DA22D3" w:rsidP="009236E3">
      <w:pPr>
        <w:pStyle w:val="rtejustify"/>
        <w:spacing w:before="0" w:after="0"/>
        <w:rPr>
          <w:color w:val="000000" w:themeColor="text1"/>
          <w:sz w:val="16"/>
          <w:szCs w:val="16"/>
        </w:rPr>
      </w:pPr>
      <w:r w:rsidRPr="00A259BD">
        <w:rPr>
          <w:rStyle w:val="af0"/>
          <w:i w:val="0"/>
          <w:color w:val="000000" w:themeColor="text1"/>
          <w:sz w:val="16"/>
          <w:szCs w:val="16"/>
        </w:rPr>
        <w:t>Возникновение контрреволюционной организации.</w:t>
      </w:r>
      <w:r w:rsidRPr="00A259BD">
        <w:rPr>
          <w:color w:val="000000" w:themeColor="text1"/>
          <w:sz w:val="16"/>
          <w:szCs w:val="16"/>
        </w:rPr>
        <w:t xml:space="preserve"> Контрреволюционная организация в военной промышленности возникла в 1922 г. Основателем ее явилась группа бывших генералов и полковников царской армии в составе Михайлова, </w:t>
      </w:r>
      <w:proofErr w:type="spellStart"/>
      <w:r w:rsidRPr="00A259BD">
        <w:rPr>
          <w:color w:val="000000" w:themeColor="text1"/>
          <w:sz w:val="16"/>
          <w:szCs w:val="16"/>
        </w:rPr>
        <w:t>Дыммана</w:t>
      </w:r>
      <w:proofErr w:type="spellEnd"/>
      <w:r w:rsidRPr="00A259BD">
        <w:rPr>
          <w:color w:val="000000" w:themeColor="text1"/>
          <w:sz w:val="16"/>
          <w:szCs w:val="16"/>
        </w:rPr>
        <w:t xml:space="preserve">, </w:t>
      </w:r>
      <w:proofErr w:type="spellStart"/>
      <w:r w:rsidRPr="00A259BD">
        <w:rPr>
          <w:color w:val="000000" w:themeColor="text1"/>
          <w:sz w:val="16"/>
          <w:szCs w:val="16"/>
        </w:rPr>
        <w:t>Высочанского</w:t>
      </w:r>
      <w:proofErr w:type="spellEnd"/>
      <w:r w:rsidRPr="00A259BD">
        <w:rPr>
          <w:color w:val="000000" w:themeColor="text1"/>
          <w:sz w:val="16"/>
          <w:szCs w:val="16"/>
        </w:rPr>
        <w:t xml:space="preserve"> и </w:t>
      </w:r>
      <w:proofErr w:type="spellStart"/>
      <w:r w:rsidRPr="00A259BD">
        <w:rPr>
          <w:color w:val="000000" w:themeColor="text1"/>
          <w:sz w:val="16"/>
          <w:szCs w:val="16"/>
        </w:rPr>
        <w:t>Кургуева</w:t>
      </w:r>
      <w:proofErr w:type="spellEnd"/>
      <w:r w:rsidRPr="00A259BD">
        <w:rPr>
          <w:color w:val="000000" w:themeColor="text1"/>
          <w:sz w:val="16"/>
          <w:szCs w:val="16"/>
        </w:rPr>
        <w:t>.</w:t>
      </w:r>
    </w:p>
    <w:p w14:paraId="7C04F27F"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Арестованный Михайлов показывает: «Приношу мое самое искреннее раскаяние перед советской властью в целом и ее работниками, полным доверием которых я пользовался, в том, что в 1922 г. мною была в целях контрреволюции основана организация, которая поставила себе задачей внести постепенно глубокое расстройство в работы военной промышленности, а следовательно, и снабжение Красной армии. Конечным следствием всего этого должно было явиться ослабление обороноспособности Советского Союза».</w:t>
      </w:r>
    </w:p>
    <w:p w14:paraId="64D7FC27"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 xml:space="preserve">Арестованный Шейман показывает. «Возникновение упомянутой выше организации относится ко времени образования ГУВП, когда представители разных заводов быв. ГАУ имели съезды в Москве, представлявшие возможность установления связей между ними. В ГУВП вредительская работа производилась и возглавлялась Михайловым, </w:t>
      </w:r>
      <w:proofErr w:type="spellStart"/>
      <w:r w:rsidRPr="00A259BD">
        <w:rPr>
          <w:color w:val="000000" w:themeColor="text1"/>
          <w:sz w:val="16"/>
          <w:szCs w:val="16"/>
        </w:rPr>
        <w:t>Высочанским</w:t>
      </w:r>
      <w:proofErr w:type="spellEnd"/>
      <w:r w:rsidRPr="00A259BD">
        <w:rPr>
          <w:color w:val="000000" w:themeColor="text1"/>
          <w:sz w:val="16"/>
          <w:szCs w:val="16"/>
        </w:rPr>
        <w:t xml:space="preserve">, </w:t>
      </w:r>
      <w:proofErr w:type="spellStart"/>
      <w:r w:rsidRPr="00A259BD">
        <w:rPr>
          <w:color w:val="000000" w:themeColor="text1"/>
          <w:sz w:val="16"/>
          <w:szCs w:val="16"/>
        </w:rPr>
        <w:t>Дымманом</w:t>
      </w:r>
      <w:proofErr w:type="spellEnd"/>
      <w:r w:rsidRPr="00A259BD">
        <w:rPr>
          <w:color w:val="000000" w:themeColor="text1"/>
          <w:sz w:val="16"/>
          <w:szCs w:val="16"/>
        </w:rPr>
        <w:t xml:space="preserve">, </w:t>
      </w:r>
      <w:proofErr w:type="spellStart"/>
      <w:r w:rsidRPr="00A259BD">
        <w:rPr>
          <w:color w:val="000000" w:themeColor="text1"/>
          <w:sz w:val="16"/>
          <w:szCs w:val="16"/>
        </w:rPr>
        <w:t>Кургуевым</w:t>
      </w:r>
      <w:proofErr w:type="spellEnd"/>
      <w:r w:rsidRPr="00A259BD">
        <w:rPr>
          <w:color w:val="000000" w:themeColor="text1"/>
          <w:sz w:val="16"/>
          <w:szCs w:val="16"/>
        </w:rPr>
        <w:t xml:space="preserve"> и Филипповским. Об этом я узнал от Кузьмина-Караваева». (Показ[</w:t>
      </w:r>
      <w:proofErr w:type="spellStart"/>
      <w:r w:rsidRPr="00A259BD">
        <w:rPr>
          <w:color w:val="000000" w:themeColor="text1"/>
          <w:sz w:val="16"/>
          <w:szCs w:val="16"/>
        </w:rPr>
        <w:t>ания</w:t>
      </w:r>
      <w:proofErr w:type="spellEnd"/>
      <w:r w:rsidRPr="00A259BD">
        <w:rPr>
          <w:color w:val="000000" w:themeColor="text1"/>
          <w:sz w:val="16"/>
          <w:szCs w:val="16"/>
        </w:rPr>
        <w:t>] от 2 марта 1929 г.).</w:t>
      </w:r>
    </w:p>
    <w:p w14:paraId="4CF1547C"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 xml:space="preserve">Арестованный </w:t>
      </w:r>
      <w:proofErr w:type="spellStart"/>
      <w:r w:rsidRPr="00A259BD">
        <w:rPr>
          <w:color w:val="000000" w:themeColor="text1"/>
          <w:sz w:val="16"/>
          <w:szCs w:val="16"/>
        </w:rPr>
        <w:t>Довгелевич</w:t>
      </w:r>
      <w:proofErr w:type="spellEnd"/>
      <w:r w:rsidRPr="00A259BD">
        <w:rPr>
          <w:color w:val="000000" w:themeColor="text1"/>
          <w:sz w:val="16"/>
          <w:szCs w:val="16"/>
        </w:rPr>
        <w:t xml:space="preserve"> показывает: «Приношу свое раскаяние, что я, состоя в контрреволюционной организации, до сего времени скрывал. В организацию вошел с 1923 г. В организации состояли: Михайлов, </w:t>
      </w:r>
      <w:proofErr w:type="spellStart"/>
      <w:r w:rsidRPr="00A259BD">
        <w:rPr>
          <w:color w:val="000000" w:themeColor="text1"/>
          <w:sz w:val="16"/>
          <w:szCs w:val="16"/>
        </w:rPr>
        <w:t>Кургуев</w:t>
      </w:r>
      <w:proofErr w:type="spellEnd"/>
      <w:r w:rsidRPr="00A259BD">
        <w:rPr>
          <w:color w:val="000000" w:themeColor="text1"/>
          <w:sz w:val="16"/>
          <w:szCs w:val="16"/>
        </w:rPr>
        <w:t xml:space="preserve">, </w:t>
      </w:r>
      <w:proofErr w:type="spellStart"/>
      <w:r w:rsidRPr="00A259BD">
        <w:rPr>
          <w:color w:val="000000" w:themeColor="text1"/>
          <w:sz w:val="16"/>
          <w:szCs w:val="16"/>
        </w:rPr>
        <w:t>Дымман</w:t>
      </w:r>
      <w:proofErr w:type="spellEnd"/>
      <w:r w:rsidRPr="00A259BD">
        <w:rPr>
          <w:color w:val="000000" w:themeColor="text1"/>
          <w:sz w:val="16"/>
          <w:szCs w:val="16"/>
        </w:rPr>
        <w:t>, Филипповский». (Показания] от 23 марта 1929 г.).</w:t>
      </w:r>
    </w:p>
    <w:p w14:paraId="6142FD99" w14:textId="77777777" w:rsidR="00DA22D3" w:rsidRPr="00A259BD" w:rsidRDefault="00DA22D3" w:rsidP="009236E3">
      <w:pPr>
        <w:pStyle w:val="rtejustify"/>
        <w:spacing w:before="0" w:after="0"/>
        <w:rPr>
          <w:color w:val="000000" w:themeColor="text1"/>
          <w:sz w:val="16"/>
          <w:szCs w:val="16"/>
        </w:rPr>
      </w:pPr>
      <w:r w:rsidRPr="00A259BD">
        <w:rPr>
          <w:rStyle w:val="af0"/>
          <w:i w:val="0"/>
          <w:color w:val="000000" w:themeColor="text1"/>
          <w:sz w:val="16"/>
          <w:szCs w:val="16"/>
        </w:rPr>
        <w:t>Развитие контрреволюционной организации.</w:t>
      </w:r>
      <w:r w:rsidRPr="00A259BD">
        <w:rPr>
          <w:color w:val="000000" w:themeColor="text1"/>
          <w:sz w:val="16"/>
          <w:szCs w:val="16"/>
        </w:rPr>
        <w:t xml:space="preserve"> В дальнейшем под руководством указанных лиц организация получила широкое развитие и втянула в свои ряды значительное количество военных специалистов, связанных между собой совместной службой в военном ведомстве царского времени.</w:t>
      </w:r>
    </w:p>
    <w:p w14:paraId="6207CDA4"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 xml:space="preserve">Арестованный Шейман показывает: «В состав организации входили следующие лица: Михайлов, </w:t>
      </w:r>
      <w:proofErr w:type="spellStart"/>
      <w:r w:rsidRPr="00A259BD">
        <w:rPr>
          <w:color w:val="000000" w:themeColor="text1"/>
          <w:sz w:val="16"/>
          <w:szCs w:val="16"/>
        </w:rPr>
        <w:t>Высочанский</w:t>
      </w:r>
      <w:proofErr w:type="spellEnd"/>
      <w:r w:rsidRPr="00A259BD">
        <w:rPr>
          <w:color w:val="000000" w:themeColor="text1"/>
          <w:sz w:val="16"/>
          <w:szCs w:val="16"/>
        </w:rPr>
        <w:t xml:space="preserve">, </w:t>
      </w:r>
      <w:proofErr w:type="spellStart"/>
      <w:r w:rsidRPr="00A259BD">
        <w:rPr>
          <w:color w:val="000000" w:themeColor="text1"/>
          <w:sz w:val="16"/>
          <w:szCs w:val="16"/>
        </w:rPr>
        <w:t>Кургуев</w:t>
      </w:r>
      <w:proofErr w:type="spellEnd"/>
      <w:r w:rsidRPr="00A259BD">
        <w:rPr>
          <w:color w:val="000000" w:themeColor="text1"/>
          <w:sz w:val="16"/>
          <w:szCs w:val="16"/>
        </w:rPr>
        <w:t xml:space="preserve">, </w:t>
      </w:r>
      <w:proofErr w:type="spellStart"/>
      <w:r w:rsidRPr="00A259BD">
        <w:rPr>
          <w:color w:val="000000" w:themeColor="text1"/>
          <w:sz w:val="16"/>
          <w:szCs w:val="16"/>
        </w:rPr>
        <w:t>Дымман</w:t>
      </w:r>
      <w:proofErr w:type="spellEnd"/>
      <w:r w:rsidRPr="00A259BD">
        <w:rPr>
          <w:color w:val="000000" w:themeColor="text1"/>
          <w:sz w:val="16"/>
          <w:szCs w:val="16"/>
        </w:rPr>
        <w:t xml:space="preserve">, Филипповский, X¹*, </w:t>
      </w:r>
      <w:proofErr w:type="spellStart"/>
      <w:r w:rsidRPr="00A259BD">
        <w:rPr>
          <w:color w:val="000000" w:themeColor="text1"/>
          <w:sz w:val="16"/>
          <w:szCs w:val="16"/>
        </w:rPr>
        <w:t>Дыхов</w:t>
      </w:r>
      <w:proofErr w:type="spellEnd"/>
      <w:r w:rsidRPr="00A259BD">
        <w:rPr>
          <w:color w:val="000000" w:themeColor="text1"/>
          <w:sz w:val="16"/>
          <w:szCs w:val="16"/>
        </w:rPr>
        <w:t xml:space="preserve">, X, </w:t>
      </w:r>
      <w:proofErr w:type="spellStart"/>
      <w:r w:rsidRPr="00A259BD">
        <w:rPr>
          <w:color w:val="000000" w:themeColor="text1"/>
          <w:sz w:val="16"/>
          <w:szCs w:val="16"/>
        </w:rPr>
        <w:t>Кацари</w:t>
      </w:r>
      <w:proofErr w:type="spellEnd"/>
      <w:r w:rsidRPr="00A259BD">
        <w:rPr>
          <w:color w:val="000000" w:themeColor="text1"/>
          <w:sz w:val="16"/>
          <w:szCs w:val="16"/>
        </w:rPr>
        <w:t xml:space="preserve">, X, X, </w:t>
      </w:r>
      <w:proofErr w:type="spellStart"/>
      <w:r w:rsidRPr="00A259BD">
        <w:rPr>
          <w:color w:val="000000" w:themeColor="text1"/>
          <w:sz w:val="16"/>
          <w:szCs w:val="16"/>
        </w:rPr>
        <w:t>Филимошин</w:t>
      </w:r>
      <w:proofErr w:type="spellEnd"/>
      <w:r w:rsidRPr="00A259BD">
        <w:rPr>
          <w:color w:val="000000" w:themeColor="text1"/>
          <w:sz w:val="16"/>
          <w:szCs w:val="16"/>
        </w:rPr>
        <w:t xml:space="preserve">, X, Сахаров, X и Кузьмин-Караваев. Последний и </w:t>
      </w:r>
      <w:proofErr w:type="spellStart"/>
      <w:r w:rsidRPr="00A259BD">
        <w:rPr>
          <w:color w:val="000000" w:themeColor="text1"/>
          <w:sz w:val="16"/>
          <w:szCs w:val="16"/>
        </w:rPr>
        <w:t>Кургуев</w:t>
      </w:r>
      <w:proofErr w:type="spellEnd"/>
      <w:r w:rsidRPr="00A259BD">
        <w:rPr>
          <w:color w:val="000000" w:themeColor="text1"/>
          <w:sz w:val="16"/>
          <w:szCs w:val="16"/>
        </w:rPr>
        <w:t xml:space="preserve"> ныне умерли». (Показ[</w:t>
      </w:r>
      <w:proofErr w:type="spellStart"/>
      <w:r w:rsidRPr="00A259BD">
        <w:rPr>
          <w:color w:val="000000" w:themeColor="text1"/>
          <w:sz w:val="16"/>
          <w:szCs w:val="16"/>
        </w:rPr>
        <w:t>ания</w:t>
      </w:r>
      <w:proofErr w:type="spellEnd"/>
      <w:r w:rsidRPr="00A259BD">
        <w:rPr>
          <w:color w:val="000000" w:themeColor="text1"/>
          <w:sz w:val="16"/>
          <w:szCs w:val="16"/>
        </w:rPr>
        <w:t>] от 9 марта 1929 г.).</w:t>
      </w:r>
    </w:p>
    <w:p w14:paraId="6068FE78"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 xml:space="preserve">Арестованный </w:t>
      </w:r>
      <w:proofErr w:type="spellStart"/>
      <w:r w:rsidRPr="00A259BD">
        <w:rPr>
          <w:color w:val="000000" w:themeColor="text1"/>
          <w:sz w:val="16"/>
          <w:szCs w:val="16"/>
        </w:rPr>
        <w:t>Дыхов</w:t>
      </w:r>
      <w:proofErr w:type="spellEnd"/>
      <w:r w:rsidRPr="00A259BD">
        <w:rPr>
          <w:color w:val="000000" w:themeColor="text1"/>
          <w:sz w:val="16"/>
          <w:szCs w:val="16"/>
        </w:rPr>
        <w:t xml:space="preserve"> показывает: «В состав вредительской организации входили лично известные мне сотрудники </w:t>
      </w:r>
      <w:proofErr w:type="spellStart"/>
      <w:r w:rsidRPr="00A259BD">
        <w:rPr>
          <w:color w:val="000000" w:themeColor="text1"/>
          <w:sz w:val="16"/>
          <w:szCs w:val="16"/>
        </w:rPr>
        <w:t>Военпрома</w:t>
      </w:r>
      <w:proofErr w:type="spellEnd"/>
      <w:r w:rsidRPr="00A259BD">
        <w:rPr>
          <w:color w:val="000000" w:themeColor="text1"/>
          <w:sz w:val="16"/>
          <w:szCs w:val="16"/>
        </w:rPr>
        <w:t xml:space="preserve"> и треста: В. С. Михайлов, Н. Г. </w:t>
      </w:r>
      <w:proofErr w:type="spellStart"/>
      <w:r w:rsidRPr="00A259BD">
        <w:rPr>
          <w:color w:val="000000" w:themeColor="text1"/>
          <w:sz w:val="16"/>
          <w:szCs w:val="16"/>
        </w:rPr>
        <w:t>Высочанский</w:t>
      </w:r>
      <w:proofErr w:type="spellEnd"/>
      <w:r w:rsidRPr="00A259BD">
        <w:rPr>
          <w:color w:val="000000" w:themeColor="text1"/>
          <w:sz w:val="16"/>
          <w:szCs w:val="16"/>
        </w:rPr>
        <w:t xml:space="preserve">, Н. Н. Филипповский, X, А. П. Чижевский, Н. Я. Шейман, а также по </w:t>
      </w:r>
      <w:proofErr w:type="spellStart"/>
      <w:r w:rsidRPr="00A259BD">
        <w:rPr>
          <w:color w:val="000000" w:themeColor="text1"/>
          <w:sz w:val="16"/>
          <w:szCs w:val="16"/>
        </w:rPr>
        <w:t>Цепазу</w:t>
      </w:r>
      <w:proofErr w:type="spellEnd"/>
      <w:r w:rsidRPr="00A259BD">
        <w:rPr>
          <w:color w:val="000000" w:themeColor="text1"/>
          <w:sz w:val="16"/>
          <w:szCs w:val="16"/>
        </w:rPr>
        <w:t xml:space="preserve"> В. Л. </w:t>
      </w:r>
      <w:proofErr w:type="spellStart"/>
      <w:r w:rsidRPr="00A259BD">
        <w:rPr>
          <w:color w:val="000000" w:themeColor="text1"/>
          <w:sz w:val="16"/>
          <w:szCs w:val="16"/>
        </w:rPr>
        <w:t>Дымман</w:t>
      </w:r>
      <w:proofErr w:type="spellEnd"/>
      <w:r w:rsidRPr="00A259BD">
        <w:rPr>
          <w:color w:val="000000" w:themeColor="text1"/>
          <w:sz w:val="16"/>
          <w:szCs w:val="16"/>
        </w:rPr>
        <w:t xml:space="preserve"> и на заводе «</w:t>
      </w:r>
      <w:proofErr w:type="spellStart"/>
      <w:r w:rsidRPr="00A259BD">
        <w:rPr>
          <w:color w:val="000000" w:themeColor="text1"/>
          <w:sz w:val="16"/>
          <w:szCs w:val="16"/>
        </w:rPr>
        <w:t>Мастяжарт</w:t>
      </w:r>
      <w:proofErr w:type="spellEnd"/>
      <w:r w:rsidRPr="00A259BD">
        <w:rPr>
          <w:color w:val="000000" w:themeColor="text1"/>
          <w:sz w:val="16"/>
          <w:szCs w:val="16"/>
        </w:rPr>
        <w:t xml:space="preserve">» В. Б. Сахаров; по Брянскому заводу — инженер X, по </w:t>
      </w:r>
      <w:proofErr w:type="spellStart"/>
      <w:r w:rsidRPr="00A259BD">
        <w:rPr>
          <w:color w:val="000000" w:themeColor="text1"/>
          <w:sz w:val="16"/>
          <w:szCs w:val="16"/>
        </w:rPr>
        <w:t>Цепазу</w:t>
      </w:r>
      <w:proofErr w:type="spellEnd"/>
      <w:r w:rsidRPr="00A259BD">
        <w:rPr>
          <w:color w:val="000000" w:themeColor="text1"/>
          <w:sz w:val="16"/>
          <w:szCs w:val="16"/>
        </w:rPr>
        <w:t> — X, И. М. </w:t>
      </w:r>
      <w:proofErr w:type="spellStart"/>
      <w:r w:rsidRPr="00A259BD">
        <w:rPr>
          <w:color w:val="000000" w:themeColor="text1"/>
          <w:sz w:val="16"/>
          <w:szCs w:val="16"/>
        </w:rPr>
        <w:t>Кургуев</w:t>
      </w:r>
      <w:proofErr w:type="spellEnd"/>
      <w:r w:rsidRPr="00A259BD">
        <w:rPr>
          <w:color w:val="000000" w:themeColor="text1"/>
          <w:sz w:val="16"/>
          <w:szCs w:val="16"/>
        </w:rPr>
        <w:t>, В. Н. </w:t>
      </w:r>
      <w:proofErr w:type="spellStart"/>
      <w:r w:rsidRPr="00A259BD">
        <w:rPr>
          <w:color w:val="000000" w:themeColor="text1"/>
          <w:sz w:val="16"/>
          <w:szCs w:val="16"/>
        </w:rPr>
        <w:t>Деханов</w:t>
      </w:r>
      <w:proofErr w:type="spellEnd"/>
      <w:r w:rsidRPr="00A259BD">
        <w:rPr>
          <w:color w:val="000000" w:themeColor="text1"/>
          <w:sz w:val="16"/>
          <w:szCs w:val="16"/>
        </w:rPr>
        <w:t>; по Орудийно-арсенальному тресту — X, X, К. К. </w:t>
      </w:r>
      <w:proofErr w:type="spellStart"/>
      <w:r w:rsidRPr="00A259BD">
        <w:rPr>
          <w:color w:val="000000" w:themeColor="text1"/>
          <w:sz w:val="16"/>
          <w:szCs w:val="16"/>
        </w:rPr>
        <w:t>Кацари</w:t>
      </w:r>
      <w:proofErr w:type="spellEnd"/>
      <w:r w:rsidRPr="00A259BD">
        <w:rPr>
          <w:color w:val="000000" w:themeColor="text1"/>
          <w:sz w:val="16"/>
          <w:szCs w:val="16"/>
        </w:rPr>
        <w:t>». (Показ[</w:t>
      </w:r>
      <w:proofErr w:type="spellStart"/>
      <w:r w:rsidRPr="00A259BD">
        <w:rPr>
          <w:color w:val="000000" w:themeColor="text1"/>
          <w:sz w:val="16"/>
          <w:szCs w:val="16"/>
        </w:rPr>
        <w:t>ания</w:t>
      </w:r>
      <w:proofErr w:type="spellEnd"/>
      <w:r w:rsidRPr="00A259BD">
        <w:rPr>
          <w:color w:val="000000" w:themeColor="text1"/>
          <w:sz w:val="16"/>
          <w:szCs w:val="16"/>
        </w:rPr>
        <w:t>] от 23 марта 1929 г.).</w:t>
      </w:r>
    </w:p>
    <w:p w14:paraId="36F71F08" w14:textId="77777777" w:rsidR="00DA22D3" w:rsidRPr="00A259BD" w:rsidRDefault="00DA22D3" w:rsidP="009236E3">
      <w:pPr>
        <w:pStyle w:val="rtejustify"/>
        <w:spacing w:before="0" w:after="0"/>
        <w:rPr>
          <w:color w:val="000000" w:themeColor="text1"/>
          <w:sz w:val="16"/>
          <w:szCs w:val="16"/>
        </w:rPr>
      </w:pPr>
      <w:r w:rsidRPr="00A259BD">
        <w:rPr>
          <w:rStyle w:val="af0"/>
          <w:i w:val="0"/>
          <w:color w:val="000000" w:themeColor="text1"/>
          <w:sz w:val="16"/>
          <w:szCs w:val="16"/>
        </w:rPr>
        <w:t>Структура контрреволюционной организации.</w:t>
      </w:r>
      <w:r w:rsidRPr="00A259BD">
        <w:rPr>
          <w:color w:val="000000" w:themeColor="text1"/>
          <w:sz w:val="16"/>
          <w:szCs w:val="16"/>
        </w:rPr>
        <w:t xml:space="preserve"> Структура контрреволюционной организации находилась в полном соответствии с общей системой управления военной промышленностью. Лица, принадлежавшие к центральной руководящей группе, заняли ответственные посты во главе основных военных трестов ГВПУ.</w:t>
      </w:r>
    </w:p>
    <w:p w14:paraId="416E3CCA"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Арестованный Шейман показывает: «Организация построена по принципу: роли в организации распределялись по занимаемым должностям. Этот принцип в конспиративном отношении чрезвычайно удобен по той ясности, которая вносится без слов в работу каждого члена и в то же время дает возможность получить указания в работе, не возбуждая ни в ком никаких сомнений». (Показ[</w:t>
      </w:r>
      <w:proofErr w:type="spellStart"/>
      <w:r w:rsidRPr="00A259BD">
        <w:rPr>
          <w:color w:val="000000" w:themeColor="text1"/>
          <w:sz w:val="16"/>
          <w:szCs w:val="16"/>
        </w:rPr>
        <w:t>ания</w:t>
      </w:r>
      <w:proofErr w:type="spellEnd"/>
      <w:r w:rsidRPr="00A259BD">
        <w:rPr>
          <w:color w:val="000000" w:themeColor="text1"/>
          <w:sz w:val="16"/>
          <w:szCs w:val="16"/>
        </w:rPr>
        <w:t xml:space="preserve">] от 9 марта 1929 г.). «Кроме цели организации, я узнал о ее конструкции, а именно, что она </w:t>
      </w:r>
      <w:r w:rsidRPr="00A259BD">
        <w:rPr>
          <w:color w:val="000000" w:themeColor="text1"/>
          <w:sz w:val="16"/>
          <w:szCs w:val="16"/>
        </w:rPr>
        <w:lastRenderedPageBreak/>
        <w:t>должна быть построена по тому же принципу, как и организация в учреждении, т. е. важность должности по службе соответствует таковой в организации. В целях большей конспирации не должны были сноситься письменно, а лишь при личных свиданиях». (Показ[</w:t>
      </w:r>
      <w:proofErr w:type="spellStart"/>
      <w:r w:rsidRPr="00A259BD">
        <w:rPr>
          <w:color w:val="000000" w:themeColor="text1"/>
          <w:sz w:val="16"/>
          <w:szCs w:val="16"/>
        </w:rPr>
        <w:t>ания</w:t>
      </w:r>
      <w:proofErr w:type="spellEnd"/>
      <w:r w:rsidRPr="00A259BD">
        <w:rPr>
          <w:color w:val="000000" w:themeColor="text1"/>
          <w:sz w:val="16"/>
          <w:szCs w:val="16"/>
        </w:rPr>
        <w:t>] от 11 марта 1929 г.).</w:t>
      </w:r>
    </w:p>
    <w:p w14:paraId="3D1EE4C7"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 xml:space="preserve">Арестованный Мариенгоф показывает: «Когда </w:t>
      </w:r>
      <w:proofErr w:type="spellStart"/>
      <w:r w:rsidRPr="00A259BD">
        <w:rPr>
          <w:color w:val="000000" w:themeColor="text1"/>
          <w:sz w:val="16"/>
          <w:szCs w:val="16"/>
        </w:rPr>
        <w:t>Деханов</w:t>
      </w:r>
      <w:proofErr w:type="spellEnd"/>
      <w:r w:rsidRPr="00A259BD">
        <w:rPr>
          <w:color w:val="000000" w:themeColor="text1"/>
          <w:sz w:val="16"/>
          <w:szCs w:val="16"/>
        </w:rPr>
        <w:t xml:space="preserve"> разговаривал со мной о подборе организации, он неоднократно высказывал мысль, что совершенно нет оснований и нужды чрезмерно расширять круг лиц, так сказать, формально входящих в организацию, и что, наоборот, можно с полным успехом проводить работу, группируя вокруг себя знакомых лиц, которые будут полностью подчинены вышестоящим, зависят от них во всех, главным образом, в вопросах материального порядка и т. д.». (Показ[</w:t>
      </w:r>
      <w:proofErr w:type="spellStart"/>
      <w:r w:rsidRPr="00A259BD">
        <w:rPr>
          <w:color w:val="000000" w:themeColor="text1"/>
          <w:sz w:val="16"/>
          <w:szCs w:val="16"/>
        </w:rPr>
        <w:t>ания</w:t>
      </w:r>
      <w:proofErr w:type="spellEnd"/>
      <w:r w:rsidRPr="00A259BD">
        <w:rPr>
          <w:color w:val="000000" w:themeColor="text1"/>
          <w:sz w:val="16"/>
          <w:szCs w:val="16"/>
        </w:rPr>
        <w:t>] от 27 февраля 1929 г.).</w:t>
      </w:r>
    </w:p>
    <w:p w14:paraId="653B8680"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Арестованный Михайлов показывает: «В целях конспирации я лично сносился по вопросам саботажа только с известными тремя лицами (</w:t>
      </w:r>
      <w:proofErr w:type="spellStart"/>
      <w:r w:rsidRPr="00A259BD">
        <w:rPr>
          <w:color w:val="000000" w:themeColor="text1"/>
          <w:sz w:val="16"/>
          <w:szCs w:val="16"/>
        </w:rPr>
        <w:t>Дымман</w:t>
      </w:r>
      <w:proofErr w:type="spellEnd"/>
      <w:r w:rsidRPr="00A259BD">
        <w:rPr>
          <w:color w:val="000000" w:themeColor="text1"/>
          <w:sz w:val="16"/>
          <w:szCs w:val="16"/>
        </w:rPr>
        <w:t xml:space="preserve">, </w:t>
      </w:r>
      <w:proofErr w:type="spellStart"/>
      <w:r w:rsidRPr="00A259BD">
        <w:rPr>
          <w:color w:val="000000" w:themeColor="text1"/>
          <w:sz w:val="16"/>
          <w:szCs w:val="16"/>
        </w:rPr>
        <w:t>Кургуев</w:t>
      </w:r>
      <w:proofErr w:type="spellEnd"/>
      <w:r w:rsidRPr="00A259BD">
        <w:rPr>
          <w:color w:val="000000" w:themeColor="text1"/>
          <w:sz w:val="16"/>
          <w:szCs w:val="16"/>
        </w:rPr>
        <w:t xml:space="preserve"> и </w:t>
      </w:r>
      <w:proofErr w:type="spellStart"/>
      <w:r w:rsidRPr="00A259BD">
        <w:rPr>
          <w:color w:val="000000" w:themeColor="text1"/>
          <w:sz w:val="16"/>
          <w:szCs w:val="16"/>
        </w:rPr>
        <w:t>Высочанский</w:t>
      </w:r>
      <w:proofErr w:type="spellEnd"/>
      <w:r w:rsidRPr="00A259BD">
        <w:rPr>
          <w:color w:val="000000" w:themeColor="text1"/>
          <w:sz w:val="16"/>
          <w:szCs w:val="16"/>
        </w:rPr>
        <w:t xml:space="preserve"> — наше </w:t>
      </w:r>
      <w:proofErr w:type="spellStart"/>
      <w:r w:rsidRPr="00A259BD">
        <w:rPr>
          <w:color w:val="000000" w:themeColor="text1"/>
          <w:sz w:val="16"/>
          <w:szCs w:val="16"/>
        </w:rPr>
        <w:t>примеч</w:t>
      </w:r>
      <w:proofErr w:type="spellEnd"/>
      <w:r w:rsidRPr="00A259BD">
        <w:rPr>
          <w:color w:val="000000" w:themeColor="text1"/>
          <w:sz w:val="16"/>
          <w:szCs w:val="16"/>
        </w:rPr>
        <w:t>[</w:t>
      </w:r>
      <w:proofErr w:type="spellStart"/>
      <w:r w:rsidRPr="00A259BD">
        <w:rPr>
          <w:color w:val="000000" w:themeColor="text1"/>
          <w:sz w:val="16"/>
          <w:szCs w:val="16"/>
        </w:rPr>
        <w:t>ание</w:t>
      </w:r>
      <w:proofErr w:type="spellEnd"/>
      <w:r w:rsidRPr="00A259BD">
        <w:rPr>
          <w:color w:val="000000" w:themeColor="text1"/>
          <w:sz w:val="16"/>
          <w:szCs w:val="16"/>
        </w:rPr>
        <w:t>]) и никогда не сообщался с их сотрудниками. Общих совещаний из осторожности мы вчетвером не устраивали, а приходили ко мне поодиночке в служебный кабинет. Иногда говорили в доме, где жили. Переписка, конечно, не велась по делам саботажа». (Показ[</w:t>
      </w:r>
      <w:proofErr w:type="spellStart"/>
      <w:r w:rsidRPr="00A259BD">
        <w:rPr>
          <w:color w:val="000000" w:themeColor="text1"/>
          <w:sz w:val="16"/>
          <w:szCs w:val="16"/>
        </w:rPr>
        <w:t>ания</w:t>
      </w:r>
      <w:proofErr w:type="spellEnd"/>
      <w:r w:rsidRPr="00A259BD">
        <w:rPr>
          <w:color w:val="000000" w:themeColor="text1"/>
          <w:sz w:val="16"/>
          <w:szCs w:val="16"/>
        </w:rPr>
        <w:t xml:space="preserve">| от 23 марта 1929 г.). «Во главе этой организации мною были поставлены ответственные руководители отдельных отраслей военной промышленности, а именно: </w:t>
      </w:r>
      <w:proofErr w:type="spellStart"/>
      <w:r w:rsidRPr="00A259BD">
        <w:rPr>
          <w:color w:val="000000" w:themeColor="text1"/>
          <w:sz w:val="16"/>
          <w:szCs w:val="16"/>
        </w:rPr>
        <w:t>Высочанский</w:t>
      </w:r>
      <w:proofErr w:type="spellEnd"/>
      <w:r w:rsidRPr="00A259BD">
        <w:rPr>
          <w:color w:val="000000" w:themeColor="text1"/>
          <w:sz w:val="16"/>
          <w:szCs w:val="16"/>
        </w:rPr>
        <w:t xml:space="preserve"> — по орудийно-арсенальной группе, </w:t>
      </w:r>
      <w:proofErr w:type="spellStart"/>
      <w:r w:rsidRPr="00A259BD">
        <w:rPr>
          <w:color w:val="000000" w:themeColor="text1"/>
          <w:sz w:val="16"/>
          <w:szCs w:val="16"/>
        </w:rPr>
        <w:t>Кургуев</w:t>
      </w:r>
      <w:proofErr w:type="spellEnd"/>
      <w:r w:rsidRPr="00A259BD">
        <w:rPr>
          <w:color w:val="000000" w:themeColor="text1"/>
          <w:sz w:val="16"/>
          <w:szCs w:val="16"/>
        </w:rPr>
        <w:t xml:space="preserve"> — по военно-химической и </w:t>
      </w:r>
      <w:proofErr w:type="spellStart"/>
      <w:r w:rsidRPr="00A259BD">
        <w:rPr>
          <w:color w:val="000000" w:themeColor="text1"/>
          <w:sz w:val="16"/>
          <w:szCs w:val="16"/>
        </w:rPr>
        <w:t>Дымман</w:t>
      </w:r>
      <w:proofErr w:type="spellEnd"/>
      <w:r w:rsidRPr="00A259BD">
        <w:rPr>
          <w:color w:val="000000" w:themeColor="text1"/>
          <w:sz w:val="16"/>
          <w:szCs w:val="16"/>
        </w:rPr>
        <w:t xml:space="preserve"> — по Патронно-трубочному. Каждому из них были даны мною поручения выбрать из сотрудников своего отдела надежных в смысле конспирации людей и ввести их в дело вредительства. Мне в свое время было сообщено, что в своей работе они опираются на следующих лиц (имея в виду вредительскую работу): Филипповский, Чижевский, </w:t>
      </w:r>
      <w:proofErr w:type="spellStart"/>
      <w:r w:rsidRPr="00A259BD">
        <w:rPr>
          <w:color w:val="000000" w:themeColor="text1"/>
          <w:sz w:val="16"/>
          <w:szCs w:val="16"/>
        </w:rPr>
        <w:t>Дыхов</w:t>
      </w:r>
      <w:proofErr w:type="spellEnd"/>
      <w:r w:rsidRPr="00A259BD">
        <w:rPr>
          <w:color w:val="000000" w:themeColor="text1"/>
          <w:sz w:val="16"/>
          <w:szCs w:val="16"/>
        </w:rPr>
        <w:t xml:space="preserve">, X, </w:t>
      </w:r>
      <w:proofErr w:type="spellStart"/>
      <w:r w:rsidRPr="00A259BD">
        <w:rPr>
          <w:color w:val="000000" w:themeColor="text1"/>
          <w:sz w:val="16"/>
          <w:szCs w:val="16"/>
        </w:rPr>
        <w:t>Довгелевич</w:t>
      </w:r>
      <w:proofErr w:type="spellEnd"/>
      <w:r w:rsidRPr="00A259BD">
        <w:rPr>
          <w:color w:val="000000" w:themeColor="text1"/>
          <w:sz w:val="16"/>
          <w:szCs w:val="16"/>
        </w:rPr>
        <w:t xml:space="preserve">, X и </w:t>
      </w:r>
      <w:proofErr w:type="spellStart"/>
      <w:r w:rsidRPr="00A259BD">
        <w:rPr>
          <w:color w:val="000000" w:themeColor="text1"/>
          <w:sz w:val="16"/>
          <w:szCs w:val="16"/>
        </w:rPr>
        <w:t>Нарушевич</w:t>
      </w:r>
      <w:proofErr w:type="spellEnd"/>
      <w:r w:rsidRPr="00A259BD">
        <w:rPr>
          <w:color w:val="000000" w:themeColor="text1"/>
          <w:sz w:val="16"/>
          <w:szCs w:val="16"/>
        </w:rPr>
        <w:t xml:space="preserve">. Вышеназванные лица совместно со мной, </w:t>
      </w:r>
      <w:proofErr w:type="spellStart"/>
      <w:r w:rsidRPr="00A259BD">
        <w:rPr>
          <w:color w:val="000000" w:themeColor="text1"/>
          <w:sz w:val="16"/>
          <w:szCs w:val="16"/>
        </w:rPr>
        <w:t>Высочанским</w:t>
      </w:r>
      <w:proofErr w:type="spellEnd"/>
      <w:r w:rsidRPr="00A259BD">
        <w:rPr>
          <w:color w:val="000000" w:themeColor="text1"/>
          <w:sz w:val="16"/>
          <w:szCs w:val="16"/>
        </w:rPr>
        <w:t xml:space="preserve">, </w:t>
      </w:r>
      <w:proofErr w:type="spellStart"/>
      <w:r w:rsidRPr="00A259BD">
        <w:rPr>
          <w:color w:val="000000" w:themeColor="text1"/>
          <w:sz w:val="16"/>
          <w:szCs w:val="16"/>
        </w:rPr>
        <w:t>Кургуевым</w:t>
      </w:r>
      <w:proofErr w:type="spellEnd"/>
      <w:r w:rsidRPr="00A259BD">
        <w:rPr>
          <w:color w:val="000000" w:themeColor="text1"/>
          <w:sz w:val="16"/>
          <w:szCs w:val="16"/>
        </w:rPr>
        <w:t xml:space="preserve"> и </w:t>
      </w:r>
      <w:proofErr w:type="spellStart"/>
      <w:r w:rsidRPr="00A259BD">
        <w:rPr>
          <w:color w:val="000000" w:themeColor="text1"/>
          <w:sz w:val="16"/>
          <w:szCs w:val="16"/>
        </w:rPr>
        <w:t>Дымманом</w:t>
      </w:r>
      <w:proofErr w:type="spellEnd"/>
      <w:r w:rsidRPr="00A259BD">
        <w:rPr>
          <w:color w:val="000000" w:themeColor="text1"/>
          <w:sz w:val="16"/>
          <w:szCs w:val="16"/>
        </w:rPr>
        <w:t xml:space="preserve"> составляли центральное ядро для руководства вредительской работой. С X, ведавшим оружейно-пулеметным делом, связь установлена не была ввиду особенностей его характера, отличавшегося крайней болтливостью. Зная его враждебное настроение против соввласти, я был уверен, что он будет вредить или в лучшем случае пассивно саботировать. Тем более, что в ведении X находился X — человек ярко выраженного монархического образа мыслей». (Показ[</w:t>
      </w:r>
      <w:proofErr w:type="spellStart"/>
      <w:r w:rsidRPr="00A259BD">
        <w:rPr>
          <w:color w:val="000000" w:themeColor="text1"/>
          <w:sz w:val="16"/>
          <w:szCs w:val="16"/>
        </w:rPr>
        <w:t>ания</w:t>
      </w:r>
      <w:proofErr w:type="spellEnd"/>
      <w:r w:rsidRPr="00A259BD">
        <w:rPr>
          <w:color w:val="000000" w:themeColor="text1"/>
          <w:sz w:val="16"/>
          <w:szCs w:val="16"/>
        </w:rPr>
        <w:t>] от 24 марта 1929 г.). «Контрреволюционная организация имела широко разветвленную периферию, состоящую из специалистов, работавших на следующих военных предприятиях: «</w:t>
      </w:r>
      <w:proofErr w:type="spellStart"/>
      <w:r w:rsidRPr="00A259BD">
        <w:rPr>
          <w:color w:val="000000" w:themeColor="text1"/>
          <w:sz w:val="16"/>
          <w:szCs w:val="16"/>
        </w:rPr>
        <w:t>Мастяжарт</w:t>
      </w:r>
      <w:proofErr w:type="spellEnd"/>
      <w:r w:rsidRPr="00A259BD">
        <w:rPr>
          <w:color w:val="000000" w:themeColor="text1"/>
          <w:sz w:val="16"/>
          <w:szCs w:val="16"/>
        </w:rPr>
        <w:t>», Московский орудийный завод, Ленинградский арсенал, Пермский орудийный завод, «Большевик», Богородский завод, Казанский завод, Шлиссельбургский завод, Самарский завод, Московский пороховой завод, Самарский трубочный завод, Ульяновский пороховой завод, Ленинградский трубочный завод, Пензенский завод». (Показ[</w:t>
      </w:r>
      <w:proofErr w:type="spellStart"/>
      <w:r w:rsidRPr="00A259BD">
        <w:rPr>
          <w:color w:val="000000" w:themeColor="text1"/>
          <w:sz w:val="16"/>
          <w:szCs w:val="16"/>
        </w:rPr>
        <w:t>ания</w:t>
      </w:r>
      <w:proofErr w:type="spellEnd"/>
      <w:r w:rsidRPr="00A259BD">
        <w:rPr>
          <w:color w:val="000000" w:themeColor="text1"/>
          <w:sz w:val="16"/>
          <w:szCs w:val="16"/>
        </w:rPr>
        <w:t>] от 24 марта 1929 г.).</w:t>
      </w:r>
    </w:p>
    <w:p w14:paraId="37A3BF08" w14:textId="77777777" w:rsidR="00DA22D3" w:rsidRPr="00A259BD" w:rsidRDefault="00DA22D3" w:rsidP="009236E3">
      <w:pPr>
        <w:pStyle w:val="rtejustify"/>
        <w:spacing w:before="0" w:after="0"/>
        <w:rPr>
          <w:color w:val="000000" w:themeColor="text1"/>
          <w:sz w:val="16"/>
          <w:szCs w:val="16"/>
        </w:rPr>
      </w:pPr>
      <w:r w:rsidRPr="00A259BD">
        <w:rPr>
          <w:rStyle w:val="af0"/>
          <w:i w:val="0"/>
          <w:color w:val="000000" w:themeColor="text1"/>
          <w:sz w:val="16"/>
          <w:szCs w:val="16"/>
        </w:rPr>
        <w:t>Идеология членов контрреволюционной организации.</w:t>
      </w:r>
      <w:r w:rsidRPr="00A259BD">
        <w:rPr>
          <w:color w:val="000000" w:themeColor="text1"/>
          <w:sz w:val="16"/>
          <w:szCs w:val="16"/>
        </w:rPr>
        <w:t xml:space="preserve"> Идеологические воззрения участников контрреволюционной организации целиком предопределяются их принадлежностью к высшим слоям командного состава царской армии и социальным происхождением.</w:t>
      </w:r>
    </w:p>
    <w:p w14:paraId="1FE46A47"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 xml:space="preserve">Арестованный </w:t>
      </w:r>
      <w:proofErr w:type="spellStart"/>
      <w:r w:rsidRPr="00A259BD">
        <w:rPr>
          <w:color w:val="000000" w:themeColor="text1"/>
          <w:sz w:val="16"/>
          <w:szCs w:val="16"/>
        </w:rPr>
        <w:t>Шпитальский</w:t>
      </w:r>
      <w:proofErr w:type="spellEnd"/>
      <w:r w:rsidRPr="00A259BD">
        <w:rPr>
          <w:color w:val="000000" w:themeColor="text1"/>
          <w:sz w:val="16"/>
          <w:szCs w:val="16"/>
        </w:rPr>
        <w:t xml:space="preserve"> показывает: «...²*После разговора с Михайловым у него на квартире мне стало ясно, что такими же мыслями и такой же враждебностью по отношению к соввласти полон Михайлов... Под влиянием собственного убеждения и озлобления, а кроме того, зная, что как по линии военной промышленности, так и мирной работают люди, так же желающие изменения строя, не только не скрывал своего определенного отношения к соввласти и ее организационному аппарату, а говорил об этом и о том, что надо что-то делать и, прежде всего, не способствовать укреплению соввласти... Своими резкими суждениями о безнадежности положения и о том, что русская интеллигенция повинна в том, что не сумела предупредить Октябрьскую революцию, и что она же должна теперь помочь, я влиял на многих. В этом смысле теперь вспоминаю действительно свой разговор с Поварниным (когда не помню), что если бы инженерство могло действительно уговориться и действовать заодно, то положение соввласти сделалось бы невозможным, и она должна была бы отойти». (Показ[</w:t>
      </w:r>
      <w:proofErr w:type="spellStart"/>
      <w:r w:rsidRPr="00A259BD">
        <w:rPr>
          <w:color w:val="000000" w:themeColor="text1"/>
          <w:sz w:val="16"/>
          <w:szCs w:val="16"/>
        </w:rPr>
        <w:t>ания</w:t>
      </w:r>
      <w:proofErr w:type="spellEnd"/>
      <w:r w:rsidRPr="00A259BD">
        <w:rPr>
          <w:color w:val="000000" w:themeColor="text1"/>
          <w:sz w:val="16"/>
          <w:szCs w:val="16"/>
        </w:rPr>
        <w:t>] от 25 марта 1929 г.).</w:t>
      </w:r>
    </w:p>
    <w:p w14:paraId="18CDED81" w14:textId="77777777" w:rsidR="00DA22D3" w:rsidRPr="00A259BD" w:rsidRDefault="00DA22D3" w:rsidP="009236E3">
      <w:pPr>
        <w:pStyle w:val="rtejustify"/>
        <w:spacing w:before="0" w:after="0"/>
        <w:rPr>
          <w:color w:val="000000" w:themeColor="text1"/>
          <w:sz w:val="16"/>
          <w:szCs w:val="16"/>
        </w:rPr>
      </w:pPr>
      <w:r w:rsidRPr="00A259BD">
        <w:rPr>
          <w:rStyle w:val="af0"/>
          <w:i w:val="0"/>
          <w:color w:val="000000" w:themeColor="text1"/>
          <w:sz w:val="16"/>
          <w:szCs w:val="16"/>
        </w:rPr>
        <w:t>Цели контрреволюционной организации.</w:t>
      </w:r>
      <w:r w:rsidRPr="00A259BD">
        <w:rPr>
          <w:color w:val="000000" w:themeColor="text1"/>
          <w:sz w:val="16"/>
          <w:szCs w:val="16"/>
        </w:rPr>
        <w:t xml:space="preserve"> Вся система деятельности контрреволюционной организации на военных заводах была направлена к срыву обороноспособности страны путем вредительства в военной промышленности и подготовке таким путем успеха будущей интервенции.</w:t>
      </w:r>
    </w:p>
    <w:p w14:paraId="2F1D1AD2"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 xml:space="preserve">Арестованный </w:t>
      </w:r>
      <w:proofErr w:type="spellStart"/>
      <w:r w:rsidRPr="00A259BD">
        <w:rPr>
          <w:color w:val="000000" w:themeColor="text1"/>
          <w:sz w:val="16"/>
          <w:szCs w:val="16"/>
        </w:rPr>
        <w:t>Шпитальский</w:t>
      </w:r>
      <w:proofErr w:type="spellEnd"/>
      <w:r w:rsidRPr="00A259BD">
        <w:rPr>
          <w:color w:val="000000" w:themeColor="text1"/>
          <w:sz w:val="16"/>
          <w:szCs w:val="16"/>
        </w:rPr>
        <w:t xml:space="preserve"> показывает: «Я в организации по срыву обороны СССР безусловно состоял и являлся одним из ее активнейших членов...». (Показ[</w:t>
      </w:r>
      <w:proofErr w:type="spellStart"/>
      <w:r w:rsidRPr="00A259BD">
        <w:rPr>
          <w:color w:val="000000" w:themeColor="text1"/>
          <w:sz w:val="16"/>
          <w:szCs w:val="16"/>
        </w:rPr>
        <w:t>ания</w:t>
      </w:r>
      <w:proofErr w:type="spellEnd"/>
      <w:r w:rsidRPr="00A259BD">
        <w:rPr>
          <w:color w:val="000000" w:themeColor="text1"/>
          <w:sz w:val="16"/>
          <w:szCs w:val="16"/>
        </w:rPr>
        <w:t>] от 25 марта 1929 г.). «Я не имею возможности точно, да еще по каждому пункту, формулировать какой именно ущерб нанесли советской власти все мои действия. В целом ясно, что они вызвали задержку в организации обороны на срок от 1 до 2 лет». Показ[</w:t>
      </w:r>
      <w:proofErr w:type="spellStart"/>
      <w:r w:rsidRPr="00A259BD">
        <w:rPr>
          <w:color w:val="000000" w:themeColor="text1"/>
          <w:sz w:val="16"/>
          <w:szCs w:val="16"/>
        </w:rPr>
        <w:t>ания</w:t>
      </w:r>
      <w:proofErr w:type="spellEnd"/>
      <w:r w:rsidRPr="00A259BD">
        <w:rPr>
          <w:color w:val="000000" w:themeColor="text1"/>
          <w:sz w:val="16"/>
          <w:szCs w:val="16"/>
        </w:rPr>
        <w:t>] от 8 марта 1929 г.).</w:t>
      </w:r>
    </w:p>
    <w:p w14:paraId="0A9AC388"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 xml:space="preserve">Арестованный </w:t>
      </w:r>
      <w:proofErr w:type="spellStart"/>
      <w:r w:rsidRPr="00A259BD">
        <w:rPr>
          <w:color w:val="000000" w:themeColor="text1"/>
          <w:sz w:val="16"/>
          <w:szCs w:val="16"/>
        </w:rPr>
        <w:t>Нарушевич</w:t>
      </w:r>
      <w:proofErr w:type="spellEnd"/>
      <w:r w:rsidRPr="00A259BD">
        <w:rPr>
          <w:color w:val="000000" w:themeColor="text1"/>
          <w:sz w:val="16"/>
          <w:szCs w:val="16"/>
        </w:rPr>
        <w:t xml:space="preserve"> показывает: «О целях организации я из разговора с Филипповским понимал, что организация в целом, уменьшая производительность заводов, ведет военную промышленность к условиям, в которых она должна на доведение себя до полной мощности (на разворачивание) потратить больше времени, т. е. к срыву военной промышленности на первый период войны, что должно было привести к возможности неуспеха нашей армии и в связи с этим вторжению иностранных войск в СССР». (Показ[</w:t>
      </w:r>
      <w:proofErr w:type="spellStart"/>
      <w:r w:rsidRPr="00A259BD">
        <w:rPr>
          <w:color w:val="000000" w:themeColor="text1"/>
          <w:sz w:val="16"/>
          <w:szCs w:val="16"/>
        </w:rPr>
        <w:t>ания</w:t>
      </w:r>
      <w:proofErr w:type="spellEnd"/>
      <w:r w:rsidRPr="00A259BD">
        <w:rPr>
          <w:color w:val="000000" w:themeColor="text1"/>
          <w:sz w:val="16"/>
          <w:szCs w:val="16"/>
        </w:rPr>
        <w:t>] от 25 марта 1929 г.).</w:t>
      </w:r>
    </w:p>
    <w:p w14:paraId="6E4BF8B1"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Арестованный Чижевский показывает: «Вредительская организация ставила себе целью облегчить возможность возвращения прежнего монархического строя, так как большинство членов организации были с монархическими убеждениями. С этой целью имелась связь с заграницей путем личных свиданий или при посредстве переписки». (Показ[</w:t>
      </w:r>
      <w:proofErr w:type="spellStart"/>
      <w:r w:rsidRPr="00A259BD">
        <w:rPr>
          <w:color w:val="000000" w:themeColor="text1"/>
          <w:sz w:val="16"/>
          <w:szCs w:val="16"/>
        </w:rPr>
        <w:t>ания</w:t>
      </w:r>
      <w:proofErr w:type="spellEnd"/>
      <w:r w:rsidRPr="00A259BD">
        <w:rPr>
          <w:color w:val="000000" w:themeColor="text1"/>
          <w:sz w:val="16"/>
          <w:szCs w:val="16"/>
        </w:rPr>
        <w:t>] от 16 марта 1929 г.).</w:t>
      </w:r>
    </w:p>
    <w:p w14:paraId="739098A8"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 xml:space="preserve">Арестованный </w:t>
      </w:r>
      <w:proofErr w:type="spellStart"/>
      <w:r w:rsidRPr="00A259BD">
        <w:rPr>
          <w:color w:val="000000" w:themeColor="text1"/>
          <w:sz w:val="16"/>
          <w:szCs w:val="16"/>
        </w:rPr>
        <w:t>Дыхов</w:t>
      </w:r>
      <w:proofErr w:type="spellEnd"/>
      <w:r w:rsidRPr="00A259BD">
        <w:rPr>
          <w:color w:val="000000" w:themeColor="text1"/>
          <w:sz w:val="16"/>
          <w:szCs w:val="16"/>
        </w:rPr>
        <w:t xml:space="preserve"> показывает: «Основной целью преуменьшения мощностей являлось замедление мобилизационного развертывания заводов во время войны и уменьшения выпуска продукции, идущей на снабжение РККА. Этими действиями достигался подрыв обороноспособности страны, что, в свою очередь должно было вызвать наше поражение во время войны. По данному вопросу еще необходимо отметить следующее: если бы война приняла затяжной характер, то по прошествии примерно года производительность заводов сама собой должна была бы развернуться полностью, т. е. выпуск заводов был бы тогда равен действительной, раньше скрытой, мощности. Это, конечно, в план организации не входило, и наша ставка была на войну медлительного порядка. В этом случае расчеты строились на Польшу. Ставя своей задачей активную борьбу против соввласти путем срыва подготовки к обороне страны в мирное время, организация во время войны свою активность проявляла бы следующим порядком: максимально возможным замедлением выполнения военных заказов и путем отдельных вредительских актов при помощи периферийных участников организации выводить из строя отдельные предметы оборудования». (Показ[</w:t>
      </w:r>
      <w:proofErr w:type="spellStart"/>
      <w:r w:rsidRPr="00A259BD">
        <w:rPr>
          <w:color w:val="000000" w:themeColor="text1"/>
          <w:sz w:val="16"/>
          <w:szCs w:val="16"/>
        </w:rPr>
        <w:t>ания</w:t>
      </w:r>
      <w:proofErr w:type="spellEnd"/>
      <w:r w:rsidRPr="00A259BD">
        <w:rPr>
          <w:color w:val="000000" w:themeColor="text1"/>
          <w:sz w:val="16"/>
          <w:szCs w:val="16"/>
        </w:rPr>
        <w:t>] от 27 марта 1929 г.).</w:t>
      </w:r>
    </w:p>
    <w:p w14:paraId="0D3D56B3" w14:textId="77777777" w:rsidR="00DA22D3" w:rsidRPr="00A259BD" w:rsidRDefault="00DA22D3" w:rsidP="009236E3">
      <w:pPr>
        <w:pStyle w:val="rtejustify"/>
        <w:spacing w:before="0" w:after="0"/>
        <w:rPr>
          <w:color w:val="000000" w:themeColor="text1"/>
          <w:sz w:val="16"/>
          <w:szCs w:val="16"/>
        </w:rPr>
      </w:pPr>
      <w:r w:rsidRPr="00A259BD">
        <w:rPr>
          <w:rStyle w:val="af0"/>
          <w:i w:val="0"/>
          <w:color w:val="000000" w:themeColor="text1"/>
          <w:sz w:val="16"/>
          <w:szCs w:val="16"/>
        </w:rPr>
        <w:t>Контрреволюционная деятельность в военной промышленности.</w:t>
      </w:r>
      <w:r w:rsidRPr="00A259BD">
        <w:rPr>
          <w:color w:val="000000" w:themeColor="text1"/>
          <w:sz w:val="16"/>
          <w:szCs w:val="16"/>
        </w:rPr>
        <w:t xml:space="preserve"> В связи с общим ходом развития военной промышленности в Союзе деятельность контрреволюционной организации распадается хронологически на 3 периода. Первый период связан с концентрацией военной промышленности, причем вредительство выражалось в форме разоружения заводов и вывода их из строя как производственных единиц, обслуживающих нужды военного ведомства. Второй период, связанный </w:t>
      </w:r>
      <w:r w:rsidRPr="00A259BD">
        <w:rPr>
          <w:rStyle w:val="af0"/>
          <w:i w:val="0"/>
          <w:color w:val="000000" w:themeColor="text1"/>
          <w:sz w:val="16"/>
          <w:szCs w:val="16"/>
        </w:rPr>
        <w:t>с</w:t>
      </w:r>
      <w:r w:rsidRPr="00A259BD">
        <w:rPr>
          <w:color w:val="000000" w:themeColor="text1"/>
          <w:sz w:val="16"/>
          <w:szCs w:val="16"/>
        </w:rPr>
        <w:t xml:space="preserve"> восстановлением заводов, их расширением и увеличением мощности, вызвал со стороны организации систематическое вложение крупных средств в работы второстепенного значения с целью задержать рост мощности военной промышленности и создать «узкие» места на предприятиях. Наконец, третий период, характеризующийся широким капитальным строительством, тесно связан с методом «планового» вредительства, исходившего от руководящего центра контрреволюционной организации и направленного к срыву всей системы мобилизационного развертывания военной промышленности в случае возникновения войны.</w:t>
      </w:r>
    </w:p>
    <w:p w14:paraId="0533D9A3"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По своим методам вредительская деятельность контрреволюционной организации протекала по нижеследующим основным каналам.</w:t>
      </w:r>
    </w:p>
    <w:p w14:paraId="3130F611" w14:textId="77777777" w:rsidR="00CE6C7E" w:rsidRPr="00A259BD" w:rsidRDefault="00CE6C7E" w:rsidP="009236E3">
      <w:pPr>
        <w:pStyle w:val="rtejustify"/>
        <w:spacing w:before="0" w:after="0"/>
        <w:rPr>
          <w:color w:val="000000" w:themeColor="text1"/>
          <w:sz w:val="16"/>
          <w:szCs w:val="16"/>
        </w:rPr>
      </w:pPr>
      <w:r w:rsidRPr="00A259BD">
        <w:rPr>
          <w:rStyle w:val="a7"/>
          <w:b w:val="0"/>
          <w:bCs w:val="0"/>
          <w:color w:val="000000" w:themeColor="text1"/>
          <w:sz w:val="16"/>
          <w:szCs w:val="16"/>
        </w:rPr>
        <w:t>1. Вредительство по линии разоружения заводов</w:t>
      </w:r>
    </w:p>
    <w:p w14:paraId="3E5CB854"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Арестованный Михайлов показывает: «В деле военной промышленности признаю себя виновным в ряде преступных действий, совершенных в период 1923</w:t>
      </w:r>
      <w:r w:rsidRPr="00A259BD">
        <w:rPr>
          <w:color w:val="000000" w:themeColor="text1"/>
          <w:sz w:val="16"/>
          <w:szCs w:val="16"/>
        </w:rPr>
        <w:noBreakHyphen/>
        <w:t xml:space="preserve">1927 гг., которые заключаются в следующем. В 1923 г. открылись работы по концентрации промышленности. Я был членом комиссии. Докладчиками были специалисты. В порядке работ этой комиссии были приняты следующие решения по отдельным заводам. Завод Барановского в части его оборудования перенести в Самару... Завод </w:t>
      </w:r>
      <w:proofErr w:type="spellStart"/>
      <w:r w:rsidRPr="00A259BD">
        <w:rPr>
          <w:color w:val="000000" w:themeColor="text1"/>
          <w:sz w:val="16"/>
          <w:szCs w:val="16"/>
        </w:rPr>
        <w:t>Вельцера</w:t>
      </w:r>
      <w:proofErr w:type="spellEnd"/>
      <w:r w:rsidRPr="00A259BD">
        <w:rPr>
          <w:color w:val="000000" w:themeColor="text1"/>
          <w:sz w:val="16"/>
          <w:szCs w:val="16"/>
        </w:rPr>
        <w:t xml:space="preserve"> закрыть. Это была моя инициатива. Бежецкий завод передать в гражданскую промышленность — тоже моя инициатива... </w:t>
      </w:r>
      <w:proofErr w:type="spellStart"/>
      <w:r w:rsidRPr="00A259BD">
        <w:rPr>
          <w:color w:val="000000" w:themeColor="text1"/>
          <w:sz w:val="16"/>
          <w:szCs w:val="16"/>
        </w:rPr>
        <w:t>Бачмановский</w:t>
      </w:r>
      <w:proofErr w:type="spellEnd"/>
      <w:r w:rsidRPr="00A259BD">
        <w:rPr>
          <w:color w:val="000000" w:themeColor="text1"/>
          <w:sz w:val="16"/>
          <w:szCs w:val="16"/>
        </w:rPr>
        <w:t xml:space="preserve"> завод поставить на консервацию с тем, чтобы в дальнейшем передать в гражданскую промышленность — это было мое мнение... Предполагалось назначить к переносу завод Виннера, но после отказались... </w:t>
      </w:r>
      <w:proofErr w:type="spellStart"/>
      <w:r w:rsidRPr="00A259BD">
        <w:rPr>
          <w:color w:val="000000" w:themeColor="text1"/>
          <w:sz w:val="16"/>
          <w:szCs w:val="16"/>
        </w:rPr>
        <w:t>Кургуев</w:t>
      </w:r>
      <w:proofErr w:type="spellEnd"/>
      <w:r w:rsidRPr="00A259BD">
        <w:rPr>
          <w:color w:val="000000" w:themeColor="text1"/>
          <w:sz w:val="16"/>
          <w:szCs w:val="16"/>
        </w:rPr>
        <w:t xml:space="preserve"> предложил назначить к ликвидации Тамбовский пороховой завод. Я первоначально согласился, но после перерешил вопрос и оставил его на консервации. С него были взяты лишь турбины и котлы на другие заводы...». (Показ[</w:t>
      </w:r>
      <w:proofErr w:type="spellStart"/>
      <w:r w:rsidRPr="00A259BD">
        <w:rPr>
          <w:color w:val="000000" w:themeColor="text1"/>
          <w:sz w:val="16"/>
          <w:szCs w:val="16"/>
        </w:rPr>
        <w:t>ания</w:t>
      </w:r>
      <w:proofErr w:type="spellEnd"/>
      <w:r w:rsidRPr="00A259BD">
        <w:rPr>
          <w:color w:val="000000" w:themeColor="text1"/>
          <w:sz w:val="16"/>
          <w:szCs w:val="16"/>
        </w:rPr>
        <w:t>] от 23 марта 1929 г.).</w:t>
      </w:r>
    </w:p>
    <w:p w14:paraId="0618334E"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 xml:space="preserve">Арестованный Чижевский показывает: «С 1924 г. до </w:t>
      </w:r>
      <w:proofErr w:type="spellStart"/>
      <w:r w:rsidRPr="00A259BD">
        <w:rPr>
          <w:color w:val="000000" w:themeColor="text1"/>
          <w:sz w:val="16"/>
          <w:szCs w:val="16"/>
        </w:rPr>
        <w:t>растрестирования</w:t>
      </w:r>
      <w:proofErr w:type="spellEnd"/>
      <w:r w:rsidRPr="00A259BD">
        <w:rPr>
          <w:color w:val="000000" w:themeColor="text1"/>
          <w:sz w:val="16"/>
          <w:szCs w:val="16"/>
        </w:rPr>
        <w:t xml:space="preserve"> принимались меры вредительского характера путем разоружения заводов, передачи их в ведение гражданской промышленности и возведения сооружений, не соответствующих своему назначению, с преувеличенными затратами. Во исполнение намеченного плана по ликвидации заводов поручено было проведение Михайлову в правлении </w:t>
      </w:r>
      <w:proofErr w:type="spellStart"/>
      <w:r w:rsidRPr="00A259BD">
        <w:rPr>
          <w:color w:val="000000" w:themeColor="text1"/>
          <w:sz w:val="16"/>
          <w:szCs w:val="16"/>
        </w:rPr>
        <w:t>Военпрома</w:t>
      </w:r>
      <w:proofErr w:type="spellEnd"/>
      <w:r w:rsidRPr="00A259BD">
        <w:rPr>
          <w:color w:val="000000" w:themeColor="text1"/>
          <w:sz w:val="16"/>
          <w:szCs w:val="16"/>
        </w:rPr>
        <w:t>».</w:t>
      </w:r>
    </w:p>
    <w:p w14:paraId="6974E112" w14:textId="77777777" w:rsidR="00CE6C7E" w:rsidRPr="00A259BD" w:rsidRDefault="00CE6C7E" w:rsidP="009236E3">
      <w:pPr>
        <w:pStyle w:val="rtejustify"/>
        <w:spacing w:before="0" w:after="0"/>
        <w:rPr>
          <w:color w:val="000000" w:themeColor="text1"/>
          <w:sz w:val="16"/>
          <w:szCs w:val="16"/>
        </w:rPr>
      </w:pPr>
      <w:r w:rsidRPr="00A259BD">
        <w:rPr>
          <w:rStyle w:val="a7"/>
          <w:b w:val="0"/>
          <w:bCs w:val="0"/>
          <w:color w:val="000000" w:themeColor="text1"/>
          <w:sz w:val="16"/>
          <w:szCs w:val="16"/>
        </w:rPr>
        <w:t>2. Вредительство по линии капитального строительства</w:t>
      </w:r>
    </w:p>
    <w:p w14:paraId="43EB500C"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Арестованный Михайлов показывает: «С целью поднять общую сумму расходов в отдельных случаях искусственно увеличивался и объем самих работ, вносимых в план. Так, например, мною в план была внесена постройка нового латунного завода в Туле. Понятно, при добросовестном составлении плана я должен был бы поставить тресту на разработку вопрос о возможности использовать существующие цеха... Стоимость нового цеха была определена в 14 млн. руб., сколько помню... Эта оценка, понятно, велика, на сколько — судить было трудно, так как для латунного завода в русской практике остановившихся показателей нет. На глаз я считал, что ее можно было бы и для нового завода процентов на 40 сократить, т. е. на сумму 5</w:t>
      </w:r>
      <w:r w:rsidRPr="00A259BD">
        <w:rPr>
          <w:color w:val="000000" w:themeColor="text1"/>
          <w:sz w:val="16"/>
          <w:szCs w:val="16"/>
        </w:rPr>
        <w:noBreakHyphen/>
        <w:t xml:space="preserve">5,5 млн. Как постройка нового завода, так и расценка его внесена в согласии с </w:t>
      </w:r>
      <w:proofErr w:type="spellStart"/>
      <w:r w:rsidRPr="00A259BD">
        <w:rPr>
          <w:color w:val="000000" w:themeColor="text1"/>
          <w:sz w:val="16"/>
          <w:szCs w:val="16"/>
        </w:rPr>
        <w:t>Дымманом</w:t>
      </w:r>
      <w:proofErr w:type="spellEnd"/>
      <w:r w:rsidRPr="00A259BD">
        <w:rPr>
          <w:color w:val="000000" w:themeColor="text1"/>
          <w:sz w:val="16"/>
          <w:szCs w:val="16"/>
        </w:rPr>
        <w:t xml:space="preserve">... Крупным преувеличением являлся внесенный в первый план новый трубочный завод, в связи с преуменьшением мощностей объем этого завода должен был бы быть меньше, а поэтому и стоимость значительно ниже. Без документов указать здесь какие-либо цифры затрудняюсь. Проект составлялся под руководством </w:t>
      </w:r>
      <w:proofErr w:type="spellStart"/>
      <w:r w:rsidRPr="00A259BD">
        <w:rPr>
          <w:color w:val="000000" w:themeColor="text1"/>
          <w:sz w:val="16"/>
          <w:szCs w:val="16"/>
        </w:rPr>
        <w:t>Дыммана</w:t>
      </w:r>
      <w:proofErr w:type="spellEnd"/>
      <w:r w:rsidRPr="00A259BD">
        <w:rPr>
          <w:color w:val="000000" w:themeColor="text1"/>
          <w:sz w:val="16"/>
          <w:szCs w:val="16"/>
        </w:rPr>
        <w:t>.</w:t>
      </w:r>
    </w:p>
    <w:p w14:paraId="356AB467"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Все перечисленные меры вредительского характера, принятые в области составления первого перспективного плана и перешедшие затем без существенных изменений во второй план, дали определенно крупный эффект вреда. Без документов мне трудно говорить. Но весьма грубо, на глаз, я оценил бы преувеличение общей стоимости работ, введенных этим путем в план примерно в итоге процентов [на] 30, а в деньгах — миллионов [на] 60</w:t>
      </w:r>
      <w:r w:rsidRPr="00A259BD">
        <w:rPr>
          <w:color w:val="000000" w:themeColor="text1"/>
          <w:sz w:val="16"/>
          <w:szCs w:val="16"/>
        </w:rPr>
        <w:noBreakHyphen/>
        <w:t>65</w:t>
      </w:r>
      <w:r w:rsidRPr="00A259BD">
        <w:rPr>
          <w:color w:val="000000" w:themeColor="text1"/>
          <w:sz w:val="16"/>
          <w:szCs w:val="16"/>
        </w:rPr>
        <w:noBreakHyphen/>
        <w:t>70... Централизованная работа была сосредоточена исключительно на строительстве. Общий вред, который она могла бы в итоге нанести военной промышленности и обороне, если бы была доведена до конца, был бы весьма велик... Этот вред был [бы] многосторонним. Он наносил ущерб сильный и общему хозяйству страны, и обороноспособности непосредственно». (Показ[</w:t>
      </w:r>
      <w:proofErr w:type="spellStart"/>
      <w:r w:rsidRPr="00A259BD">
        <w:rPr>
          <w:color w:val="000000" w:themeColor="text1"/>
          <w:sz w:val="16"/>
          <w:szCs w:val="16"/>
        </w:rPr>
        <w:t>ания</w:t>
      </w:r>
      <w:proofErr w:type="spellEnd"/>
      <w:r w:rsidRPr="00A259BD">
        <w:rPr>
          <w:color w:val="000000" w:themeColor="text1"/>
          <w:sz w:val="16"/>
          <w:szCs w:val="16"/>
        </w:rPr>
        <w:t>] от 26 марта 1929 г.). (Подробно смотреть прилагаемые показания Михайлова и Чижевского).</w:t>
      </w:r>
    </w:p>
    <w:p w14:paraId="5997974D"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lastRenderedPageBreak/>
        <w:t xml:space="preserve">Арестованный Чижевский показывает: «Перечень вредительских работ, произведенных, как указано мною в первом моем показании, вредительской организацией: 1) постройка в Павшине оптического завода из двух старых корпусов фабрик. Постройка с оборудованием обошлась около 4 млн. руб. За эту сумму можно было бы построить новый завод на ровном месте. Постройка цеха на новом и удобном месте даст более дешевую транспортировку изделий между мастерскими, удобства к установке оборудования, что влияет на повышение производительности. Кроме этого, удобнее было бы расположить здание между собой³*. Первый пункт моего показания проведен в жизнь при поддержке Михайлова... Вместо расширения Брянского арсенала следовало бы строить на новом месте новый арсенал не в Брянске, а в более удобном стратегическом условии, топливном и транспортном. Кроме того, с постройкой нового арсенала было бы расширено арсенальное дело с затратой меньших средств, чем теперь, и с увеличением </w:t>
      </w:r>
      <w:proofErr w:type="spellStart"/>
      <w:r w:rsidRPr="00A259BD">
        <w:rPr>
          <w:color w:val="000000" w:themeColor="text1"/>
          <w:sz w:val="16"/>
          <w:szCs w:val="16"/>
        </w:rPr>
        <w:t>мобвозможностей</w:t>
      </w:r>
      <w:proofErr w:type="spellEnd"/>
      <w:r w:rsidRPr="00A259BD">
        <w:rPr>
          <w:color w:val="000000" w:themeColor="text1"/>
          <w:sz w:val="16"/>
          <w:szCs w:val="16"/>
        </w:rPr>
        <w:t xml:space="preserve"> примерно до 40%...».</w:t>
      </w:r>
    </w:p>
    <w:p w14:paraId="2794548B" w14:textId="77777777" w:rsidR="00CE6C7E" w:rsidRPr="00A259BD" w:rsidRDefault="00CE6C7E" w:rsidP="009236E3">
      <w:pPr>
        <w:pStyle w:val="rtejustify"/>
        <w:spacing w:before="0" w:after="0"/>
        <w:rPr>
          <w:color w:val="000000" w:themeColor="text1"/>
          <w:sz w:val="16"/>
          <w:szCs w:val="16"/>
        </w:rPr>
      </w:pPr>
      <w:r w:rsidRPr="00A259BD">
        <w:rPr>
          <w:rStyle w:val="a7"/>
          <w:b w:val="0"/>
          <w:bCs w:val="0"/>
          <w:color w:val="000000" w:themeColor="text1"/>
          <w:sz w:val="16"/>
          <w:szCs w:val="16"/>
        </w:rPr>
        <w:t>3. Вредительство по линии оборудования</w:t>
      </w:r>
    </w:p>
    <w:p w14:paraId="007C1DBC"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 xml:space="preserve">Арестованный Чижевский показывает: «Излишествующих на складах и заводах </w:t>
      </w:r>
      <w:proofErr w:type="spellStart"/>
      <w:r w:rsidRPr="00A259BD">
        <w:rPr>
          <w:color w:val="000000" w:themeColor="text1"/>
          <w:sz w:val="16"/>
          <w:szCs w:val="16"/>
        </w:rPr>
        <w:t>Оруд</w:t>
      </w:r>
      <w:proofErr w:type="spellEnd"/>
      <w:r w:rsidRPr="00A259BD">
        <w:rPr>
          <w:color w:val="000000" w:themeColor="text1"/>
          <w:sz w:val="16"/>
          <w:szCs w:val="16"/>
        </w:rPr>
        <w:t>[</w:t>
      </w:r>
      <w:proofErr w:type="spellStart"/>
      <w:r w:rsidRPr="00A259BD">
        <w:rPr>
          <w:color w:val="000000" w:themeColor="text1"/>
          <w:sz w:val="16"/>
          <w:szCs w:val="16"/>
        </w:rPr>
        <w:t>ийно</w:t>
      </w:r>
      <w:proofErr w:type="spellEnd"/>
      <w:r w:rsidRPr="00A259BD">
        <w:rPr>
          <w:color w:val="000000" w:themeColor="text1"/>
          <w:sz w:val="16"/>
          <w:szCs w:val="16"/>
        </w:rPr>
        <w:t>-]ар[</w:t>
      </w:r>
      <w:proofErr w:type="spellStart"/>
      <w:r w:rsidRPr="00A259BD">
        <w:rPr>
          <w:color w:val="000000" w:themeColor="text1"/>
          <w:sz w:val="16"/>
          <w:szCs w:val="16"/>
        </w:rPr>
        <w:t>сенального</w:t>
      </w:r>
      <w:proofErr w:type="spellEnd"/>
      <w:r w:rsidRPr="00A259BD">
        <w:rPr>
          <w:color w:val="000000" w:themeColor="text1"/>
          <w:sz w:val="16"/>
          <w:szCs w:val="16"/>
        </w:rPr>
        <w:t>] треста имеется и теперь до 300 станков, из них есть с годностью до 80%, и среди них имеются специальные станки, которые могли бы быть использованы и заменили бы импорт; таким образом, и здесь промышленность могла бы сохранить несколько миллионов рублей... Получилось скопление ненужного импортного оборудования на заводах и по приблизительному подсчету выражалось в сумме свыше 1 млн., что отражается на приведении в надлежащий вид заводов и их мощности. Кроме того, приносится убыток от неиспользования оборудования в 150 приблизительно станков, которые дали бы продукцию свыше 1 млн. руб., если бы на 1 млн. руб. были бы закуплены нужные станки в количестве приблизительно 150 шт.». (Показ[</w:t>
      </w:r>
      <w:proofErr w:type="spellStart"/>
      <w:r w:rsidRPr="00A259BD">
        <w:rPr>
          <w:color w:val="000000" w:themeColor="text1"/>
          <w:sz w:val="16"/>
          <w:szCs w:val="16"/>
        </w:rPr>
        <w:t>ания</w:t>
      </w:r>
      <w:proofErr w:type="spellEnd"/>
      <w:r w:rsidRPr="00A259BD">
        <w:rPr>
          <w:color w:val="000000" w:themeColor="text1"/>
          <w:sz w:val="16"/>
          <w:szCs w:val="16"/>
        </w:rPr>
        <w:t>] от 4 марта 1929 г.).</w:t>
      </w:r>
    </w:p>
    <w:p w14:paraId="348D627B"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Арестованный Шейман показывает: «При представлении Филипповскому он сказал мне, что в роли заведующего оборудованием я должен буду совершать вредительские акты по линии задержек с выпиской оборудования, внесения ошибок в выписываемое оборудование и идти по линии преимущественного выписывания импортного оборудования, а не в СССР...». (Показ[</w:t>
      </w:r>
      <w:proofErr w:type="spellStart"/>
      <w:r w:rsidRPr="00A259BD">
        <w:rPr>
          <w:color w:val="000000" w:themeColor="text1"/>
          <w:sz w:val="16"/>
          <w:szCs w:val="16"/>
        </w:rPr>
        <w:t>ания</w:t>
      </w:r>
      <w:proofErr w:type="spellEnd"/>
      <w:r w:rsidRPr="00A259BD">
        <w:rPr>
          <w:color w:val="000000" w:themeColor="text1"/>
          <w:sz w:val="16"/>
          <w:szCs w:val="16"/>
        </w:rPr>
        <w:t xml:space="preserve">] от 11 марта 1929 г.). «По 1927/28 г. согласно постановлению правления треста должно быть заготовлено инструмента для </w:t>
      </w:r>
      <w:proofErr w:type="spellStart"/>
      <w:r w:rsidRPr="00A259BD">
        <w:rPr>
          <w:color w:val="000000" w:themeColor="text1"/>
          <w:sz w:val="16"/>
          <w:szCs w:val="16"/>
        </w:rPr>
        <w:t>мобзапаса</w:t>
      </w:r>
      <w:proofErr w:type="spellEnd"/>
      <w:r w:rsidRPr="00A259BD">
        <w:rPr>
          <w:color w:val="000000" w:themeColor="text1"/>
          <w:sz w:val="16"/>
          <w:szCs w:val="16"/>
        </w:rPr>
        <w:t xml:space="preserve"> на 493 тыс. руб. за счет сокращения расходов по всем статьям титульных списков 1927/28 г. Я докладывал этот вопрос </w:t>
      </w:r>
      <w:proofErr w:type="spellStart"/>
      <w:r w:rsidRPr="00A259BD">
        <w:rPr>
          <w:color w:val="000000" w:themeColor="text1"/>
          <w:sz w:val="16"/>
          <w:szCs w:val="16"/>
        </w:rPr>
        <w:t>Высочанскому</w:t>
      </w:r>
      <w:proofErr w:type="spellEnd"/>
      <w:r w:rsidRPr="00A259BD">
        <w:rPr>
          <w:color w:val="000000" w:themeColor="text1"/>
          <w:sz w:val="16"/>
          <w:szCs w:val="16"/>
        </w:rPr>
        <w:t xml:space="preserve"> и Филипповскому, причем </w:t>
      </w:r>
      <w:proofErr w:type="spellStart"/>
      <w:r w:rsidRPr="00A259BD">
        <w:rPr>
          <w:color w:val="000000" w:themeColor="text1"/>
          <w:sz w:val="16"/>
          <w:szCs w:val="16"/>
        </w:rPr>
        <w:t>Высочанский</w:t>
      </w:r>
      <w:proofErr w:type="spellEnd"/>
      <w:r w:rsidRPr="00A259BD">
        <w:rPr>
          <w:color w:val="000000" w:themeColor="text1"/>
          <w:sz w:val="16"/>
          <w:szCs w:val="16"/>
        </w:rPr>
        <w:t xml:space="preserve"> заявил: “С импорта не брать, а будут даны специальные суммы”. Однако это было вопреки постановлению правления треста, и инструмент заказан не был, чем была сорвана </w:t>
      </w:r>
      <w:proofErr w:type="spellStart"/>
      <w:r w:rsidRPr="00A259BD">
        <w:rPr>
          <w:color w:val="000000" w:themeColor="text1"/>
          <w:sz w:val="16"/>
          <w:szCs w:val="16"/>
        </w:rPr>
        <w:t>мобготовность</w:t>
      </w:r>
      <w:proofErr w:type="spellEnd"/>
      <w:r w:rsidRPr="00A259BD">
        <w:rPr>
          <w:color w:val="000000" w:themeColor="text1"/>
          <w:sz w:val="16"/>
          <w:szCs w:val="16"/>
        </w:rPr>
        <w:t xml:space="preserve"> заводов по инструменту». (Показ[</w:t>
      </w:r>
      <w:proofErr w:type="spellStart"/>
      <w:r w:rsidRPr="00A259BD">
        <w:rPr>
          <w:color w:val="000000" w:themeColor="text1"/>
          <w:sz w:val="16"/>
          <w:szCs w:val="16"/>
        </w:rPr>
        <w:t>ания</w:t>
      </w:r>
      <w:proofErr w:type="spellEnd"/>
      <w:r w:rsidRPr="00A259BD">
        <w:rPr>
          <w:color w:val="000000" w:themeColor="text1"/>
          <w:sz w:val="16"/>
          <w:szCs w:val="16"/>
        </w:rPr>
        <w:t>] от 28 февраля 1929 г.). «Заготавливалось импортное оборудование в больших количествах и по таким характеристикам, которые не подходили к устанавливаемым на заводах программам, как, например, на ММЗ оборудований для пушечного производства. Элемент вредительства во всех приведенных случаях проявлялся в затоваривании». (Показ[</w:t>
      </w:r>
      <w:proofErr w:type="spellStart"/>
      <w:r w:rsidRPr="00A259BD">
        <w:rPr>
          <w:color w:val="000000" w:themeColor="text1"/>
          <w:sz w:val="16"/>
          <w:szCs w:val="16"/>
        </w:rPr>
        <w:t>ания</w:t>
      </w:r>
      <w:proofErr w:type="spellEnd"/>
      <w:r w:rsidRPr="00A259BD">
        <w:rPr>
          <w:color w:val="000000" w:themeColor="text1"/>
          <w:sz w:val="16"/>
          <w:szCs w:val="16"/>
        </w:rPr>
        <w:t>] от 2 марта 1929 г.). «Титульные списки 1927/28 г. были составлены так, что на импортное оборудование предусматривалось более 4,5 млн. руб., а на заготовку внутри страны — 114 тыс. руб. Цель — не давать развития станкостроения в СССР», (Показ[</w:t>
      </w:r>
      <w:proofErr w:type="spellStart"/>
      <w:r w:rsidRPr="00A259BD">
        <w:rPr>
          <w:color w:val="000000" w:themeColor="text1"/>
          <w:sz w:val="16"/>
          <w:szCs w:val="16"/>
        </w:rPr>
        <w:t>ания</w:t>
      </w:r>
      <w:proofErr w:type="spellEnd"/>
      <w:r w:rsidRPr="00A259BD">
        <w:rPr>
          <w:color w:val="000000" w:themeColor="text1"/>
          <w:sz w:val="16"/>
          <w:szCs w:val="16"/>
        </w:rPr>
        <w:t>] от 9 марта 1929 г.).</w:t>
      </w:r>
    </w:p>
    <w:p w14:paraId="2F07D078" w14:textId="77777777" w:rsidR="00CE6C7E" w:rsidRPr="00A259BD" w:rsidRDefault="00CE6C7E" w:rsidP="009236E3">
      <w:pPr>
        <w:pStyle w:val="rtejustify"/>
        <w:spacing w:before="0" w:after="0"/>
        <w:rPr>
          <w:color w:val="000000" w:themeColor="text1"/>
          <w:sz w:val="16"/>
          <w:szCs w:val="16"/>
        </w:rPr>
      </w:pPr>
      <w:r w:rsidRPr="00A259BD">
        <w:rPr>
          <w:rStyle w:val="a7"/>
          <w:b w:val="0"/>
          <w:bCs w:val="0"/>
          <w:color w:val="000000" w:themeColor="text1"/>
          <w:sz w:val="16"/>
          <w:szCs w:val="16"/>
        </w:rPr>
        <w:t>4. Вредительство по линии военно-химической промышленности</w:t>
      </w:r>
    </w:p>
    <w:p w14:paraId="59D54B05"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Арестованный Разумовский показывает: «Вредительской же являлась и деятельность «</w:t>
      </w:r>
      <w:proofErr w:type="spellStart"/>
      <w:r w:rsidRPr="00A259BD">
        <w:rPr>
          <w:color w:val="000000" w:themeColor="text1"/>
          <w:sz w:val="16"/>
          <w:szCs w:val="16"/>
        </w:rPr>
        <w:t>Эксольхима</w:t>
      </w:r>
      <w:proofErr w:type="spellEnd"/>
      <w:r w:rsidRPr="00A259BD">
        <w:rPr>
          <w:color w:val="000000" w:themeColor="text1"/>
          <w:sz w:val="16"/>
          <w:szCs w:val="16"/>
        </w:rPr>
        <w:t xml:space="preserve">» в области общезаводского оборудования Ольгинского завода. Оборудование на заводе — вентиляция, канализация, паровое хозяйство — не удовлетворяли потребностям завода. Мощности отдельных производств не были увязаны друг с другом. Являясь ближайшим сотрудником профессора </w:t>
      </w:r>
      <w:proofErr w:type="spellStart"/>
      <w:r w:rsidRPr="00A259BD">
        <w:rPr>
          <w:color w:val="000000" w:themeColor="text1"/>
          <w:sz w:val="16"/>
          <w:szCs w:val="16"/>
        </w:rPr>
        <w:t>Шпитальского</w:t>
      </w:r>
      <w:proofErr w:type="spellEnd"/>
      <w:r w:rsidRPr="00A259BD">
        <w:rPr>
          <w:color w:val="000000" w:themeColor="text1"/>
          <w:sz w:val="16"/>
          <w:szCs w:val="16"/>
        </w:rPr>
        <w:t xml:space="preserve"> по всем работам в области «</w:t>
      </w:r>
      <w:proofErr w:type="spellStart"/>
      <w:r w:rsidRPr="00A259BD">
        <w:rPr>
          <w:color w:val="000000" w:themeColor="text1"/>
          <w:sz w:val="16"/>
          <w:szCs w:val="16"/>
        </w:rPr>
        <w:t>бентара</w:t>
      </w:r>
      <w:proofErr w:type="spellEnd"/>
      <w:r w:rsidRPr="00A259BD">
        <w:rPr>
          <w:color w:val="000000" w:themeColor="text1"/>
          <w:sz w:val="16"/>
          <w:szCs w:val="16"/>
        </w:rPr>
        <w:t>», я являлся ближайшим исполнителем всех его указаний, направлению к торможению в развитии этого производства и носивших вредительский характер».</w:t>
      </w:r>
    </w:p>
    <w:p w14:paraId="66ABE295"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 xml:space="preserve">Арестованный Зайков показывает: «...Мои поступки неизбежно вытекали из моего близкого участия в работе группы химиков под руководством </w:t>
      </w:r>
      <w:proofErr w:type="spellStart"/>
      <w:r w:rsidRPr="00A259BD">
        <w:rPr>
          <w:color w:val="000000" w:themeColor="text1"/>
          <w:sz w:val="16"/>
          <w:szCs w:val="16"/>
        </w:rPr>
        <w:t>Шпитальского</w:t>
      </w:r>
      <w:proofErr w:type="spellEnd"/>
      <w:r w:rsidRPr="00A259BD">
        <w:rPr>
          <w:color w:val="000000" w:themeColor="text1"/>
          <w:sz w:val="16"/>
          <w:szCs w:val="16"/>
        </w:rPr>
        <w:t xml:space="preserve">. Эта группа, выполнявшая акты вредительства, возглавлявшаяся </w:t>
      </w:r>
      <w:proofErr w:type="spellStart"/>
      <w:r w:rsidRPr="00A259BD">
        <w:rPr>
          <w:color w:val="000000" w:themeColor="text1"/>
          <w:sz w:val="16"/>
          <w:szCs w:val="16"/>
        </w:rPr>
        <w:t>Шпитальским</w:t>
      </w:r>
      <w:proofErr w:type="spellEnd"/>
      <w:r w:rsidRPr="00A259BD">
        <w:rPr>
          <w:color w:val="000000" w:themeColor="text1"/>
          <w:sz w:val="16"/>
          <w:szCs w:val="16"/>
        </w:rPr>
        <w:t>, состояла из меня, Разумовского, X и X. Организация ставила себе целью в создании производства и ведения таких работ, имеющих только академический интерес, которые часто не вызывались текущими потребностями промышленности, затребовали затраты больших средств и тем самым наносили ущерб Советскому Союзу. “</w:t>
      </w:r>
      <w:proofErr w:type="spellStart"/>
      <w:r w:rsidRPr="00A259BD">
        <w:rPr>
          <w:color w:val="000000" w:themeColor="text1"/>
          <w:sz w:val="16"/>
          <w:szCs w:val="16"/>
        </w:rPr>
        <w:t>Эксольхим</w:t>
      </w:r>
      <w:proofErr w:type="spellEnd"/>
      <w:r w:rsidRPr="00A259BD">
        <w:rPr>
          <w:color w:val="000000" w:themeColor="text1"/>
          <w:sz w:val="16"/>
          <w:szCs w:val="16"/>
        </w:rPr>
        <w:t xml:space="preserve">”, как известно, организовался с 1 августа 1925 г. Задание на проектировку установки косвенно было дано мне около 1 декабря. Около же этого времени произошел разговор со </w:t>
      </w:r>
      <w:proofErr w:type="spellStart"/>
      <w:r w:rsidRPr="00A259BD">
        <w:rPr>
          <w:color w:val="000000" w:themeColor="text1"/>
          <w:sz w:val="16"/>
          <w:szCs w:val="16"/>
        </w:rPr>
        <w:t>Шпитальским</w:t>
      </w:r>
      <w:proofErr w:type="spellEnd"/>
      <w:r w:rsidRPr="00A259BD">
        <w:rPr>
          <w:color w:val="000000" w:themeColor="text1"/>
          <w:sz w:val="16"/>
          <w:szCs w:val="16"/>
        </w:rPr>
        <w:t>, где он сказал, что истинная цель “</w:t>
      </w:r>
      <w:proofErr w:type="spellStart"/>
      <w:r w:rsidRPr="00A259BD">
        <w:rPr>
          <w:color w:val="000000" w:themeColor="text1"/>
          <w:sz w:val="16"/>
          <w:szCs w:val="16"/>
        </w:rPr>
        <w:t>Эксольхима</w:t>
      </w:r>
      <w:proofErr w:type="spellEnd"/>
      <w:r w:rsidRPr="00A259BD">
        <w:rPr>
          <w:color w:val="000000" w:themeColor="text1"/>
          <w:sz w:val="16"/>
          <w:szCs w:val="16"/>
        </w:rPr>
        <w:t xml:space="preserve">”, как он ее ставит, разумеется, не производство ОВ, а возможность за счет отпуска средств на работы по линии ОВ вести разработку вопросов, интересующих его, </w:t>
      </w:r>
      <w:proofErr w:type="spellStart"/>
      <w:r w:rsidRPr="00A259BD">
        <w:rPr>
          <w:color w:val="000000" w:themeColor="text1"/>
          <w:sz w:val="16"/>
          <w:szCs w:val="16"/>
        </w:rPr>
        <w:t>Шпитальского</w:t>
      </w:r>
      <w:proofErr w:type="spellEnd"/>
      <w:r w:rsidRPr="00A259BD">
        <w:rPr>
          <w:color w:val="000000" w:themeColor="text1"/>
          <w:sz w:val="16"/>
          <w:szCs w:val="16"/>
        </w:rPr>
        <w:t xml:space="preserve">. На указание кого-то из присутствовавших при этом разговоре на создающуюся сразу ложность положения он, </w:t>
      </w:r>
      <w:proofErr w:type="spellStart"/>
      <w:r w:rsidRPr="00A259BD">
        <w:rPr>
          <w:color w:val="000000" w:themeColor="text1"/>
          <w:sz w:val="16"/>
          <w:szCs w:val="16"/>
        </w:rPr>
        <w:t>Шпитальский</w:t>
      </w:r>
      <w:proofErr w:type="spellEnd"/>
      <w:r w:rsidRPr="00A259BD">
        <w:rPr>
          <w:color w:val="000000" w:themeColor="text1"/>
          <w:sz w:val="16"/>
          <w:szCs w:val="16"/>
        </w:rPr>
        <w:t xml:space="preserve">, ответил, что не будет же он стараться делать ОВ для большевиков, а что внешне все будет прилично... Он все обдумал со всех сторон и всю ответственность за постановку дела несет он, </w:t>
      </w:r>
      <w:proofErr w:type="spellStart"/>
      <w:r w:rsidRPr="00A259BD">
        <w:rPr>
          <w:color w:val="000000" w:themeColor="text1"/>
          <w:sz w:val="16"/>
          <w:szCs w:val="16"/>
        </w:rPr>
        <w:t>Шпитальский</w:t>
      </w:r>
      <w:proofErr w:type="spellEnd"/>
      <w:r w:rsidRPr="00A259BD">
        <w:rPr>
          <w:color w:val="000000" w:themeColor="text1"/>
          <w:sz w:val="16"/>
          <w:szCs w:val="16"/>
        </w:rPr>
        <w:t>, и он же сумеет кому угодно дать нужные разъяснения».</w:t>
      </w:r>
    </w:p>
    <w:p w14:paraId="6B205587"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Касаясь вопроса литерных производств на заводе «</w:t>
      </w:r>
      <w:proofErr w:type="spellStart"/>
      <w:r w:rsidRPr="00A259BD">
        <w:rPr>
          <w:color w:val="000000" w:themeColor="text1"/>
          <w:sz w:val="16"/>
          <w:szCs w:val="16"/>
        </w:rPr>
        <w:t>Берсоль</w:t>
      </w:r>
      <w:proofErr w:type="spellEnd"/>
      <w:r w:rsidRPr="00A259BD">
        <w:rPr>
          <w:color w:val="000000" w:themeColor="text1"/>
          <w:sz w:val="16"/>
          <w:szCs w:val="16"/>
        </w:rPr>
        <w:t xml:space="preserve">», Зайков показывает: «Перед поездкой в Самару я был у </w:t>
      </w:r>
      <w:proofErr w:type="spellStart"/>
      <w:r w:rsidRPr="00A259BD">
        <w:rPr>
          <w:color w:val="000000" w:themeColor="text1"/>
          <w:sz w:val="16"/>
          <w:szCs w:val="16"/>
        </w:rPr>
        <w:t>Шпитальского</w:t>
      </w:r>
      <w:proofErr w:type="spellEnd"/>
      <w:r w:rsidRPr="00A259BD">
        <w:rPr>
          <w:color w:val="000000" w:themeColor="text1"/>
          <w:sz w:val="16"/>
          <w:szCs w:val="16"/>
        </w:rPr>
        <w:t xml:space="preserve"> на квартире... Я указал ему на совершенно объективную возможность наладить работу установки фосгена без капитального ее переустройства... На это он сказал, что менять нашу “установку вопроса" было бы скандалом. Все равно никто ничего в этом деле не понимает и никакого риска поступить согласно прежнему решению. Мы забраковали установку иприта согласно указаниям, полученным от </w:t>
      </w:r>
      <w:proofErr w:type="spellStart"/>
      <w:r w:rsidRPr="00A259BD">
        <w:rPr>
          <w:color w:val="000000" w:themeColor="text1"/>
          <w:sz w:val="16"/>
          <w:szCs w:val="16"/>
        </w:rPr>
        <w:t>Шпитальского</w:t>
      </w:r>
      <w:proofErr w:type="spellEnd"/>
      <w:r w:rsidRPr="00A259BD">
        <w:rPr>
          <w:color w:val="000000" w:themeColor="text1"/>
          <w:sz w:val="16"/>
          <w:szCs w:val="16"/>
        </w:rPr>
        <w:t>, понимая, что это представляет собой контрреволюционный акт».</w:t>
      </w:r>
    </w:p>
    <w:p w14:paraId="527E0F5B"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 xml:space="preserve">Арестованный </w:t>
      </w:r>
      <w:proofErr w:type="spellStart"/>
      <w:r w:rsidRPr="00A259BD">
        <w:rPr>
          <w:color w:val="000000" w:themeColor="text1"/>
          <w:sz w:val="16"/>
          <w:szCs w:val="16"/>
        </w:rPr>
        <w:t>Шпитальский</w:t>
      </w:r>
      <w:proofErr w:type="spellEnd"/>
      <w:r w:rsidRPr="00A259BD">
        <w:rPr>
          <w:color w:val="000000" w:themeColor="text1"/>
          <w:sz w:val="16"/>
          <w:szCs w:val="16"/>
        </w:rPr>
        <w:t xml:space="preserve"> показывает: «...На основании этого считаю себя виновным в преступлении по ст. 58, п. 7, заключающемся в том, что: 1) при выработке программы работ и выборе тем я параллельно и одновременно с темами по основным ОВ (иприт, дифосген, </w:t>
      </w:r>
      <w:proofErr w:type="spellStart"/>
      <w:r w:rsidRPr="00A259BD">
        <w:rPr>
          <w:color w:val="000000" w:themeColor="text1"/>
          <w:sz w:val="16"/>
          <w:szCs w:val="16"/>
        </w:rPr>
        <w:t>дифенилохлорарсин</w:t>
      </w:r>
      <w:proofErr w:type="spellEnd"/>
      <w:r w:rsidRPr="00A259BD">
        <w:rPr>
          <w:color w:val="000000" w:themeColor="text1"/>
          <w:sz w:val="16"/>
          <w:szCs w:val="16"/>
        </w:rPr>
        <w:t xml:space="preserve">, адамсит) вводил темы, хотя сами по себе и важные, но, с точки зрения скорейшей организации производства основных ОВ, все-таки второочередные, вместо того чтобы все свое внимание и все силы лаборатории сосредоточить на основных первоочередных задачах впредь до их практического разрешения; 2) при руководстве работами по первоочередным основным ОВ не останавливался на тех достижениях, тех вариантах метода, которые, хотя и не будучи окончательными и более совершенными, все-таки уже позволили бы обеспечить оборону страны массовым производством, хотя и менее совершенным. Тем самым я подвергал страну опасности в случае неожиданной войны быть без массового производства ОВ; 3) при поручении мне правлением </w:t>
      </w:r>
      <w:proofErr w:type="spellStart"/>
      <w:r w:rsidRPr="00A259BD">
        <w:rPr>
          <w:color w:val="000000" w:themeColor="text1"/>
          <w:sz w:val="16"/>
          <w:szCs w:val="16"/>
        </w:rPr>
        <w:t>Метохима</w:t>
      </w:r>
      <w:proofErr w:type="spellEnd"/>
      <w:r w:rsidRPr="00A259BD">
        <w:rPr>
          <w:color w:val="000000" w:themeColor="text1"/>
          <w:sz w:val="16"/>
          <w:szCs w:val="16"/>
        </w:rPr>
        <w:t xml:space="preserve"> обследования совместно с т. Ипатьевым и Гальпериным оборудования иприта и фосгена немцами и далее при передаче инструкций моим сотрудникам, командированным для наблюдения за пробным пуском в ход этих производств, высказал резкое суждение о дефектах немецкого оборудования, зная, что это может повлиять в конечном счете на решения приемочной комиссии и правления </w:t>
      </w:r>
      <w:proofErr w:type="spellStart"/>
      <w:r w:rsidRPr="00A259BD">
        <w:rPr>
          <w:color w:val="000000" w:themeColor="text1"/>
          <w:sz w:val="16"/>
          <w:szCs w:val="16"/>
        </w:rPr>
        <w:t>Метохима</w:t>
      </w:r>
      <w:proofErr w:type="spellEnd"/>
      <w:r w:rsidRPr="00A259BD">
        <w:rPr>
          <w:color w:val="000000" w:themeColor="text1"/>
          <w:sz w:val="16"/>
          <w:szCs w:val="16"/>
        </w:rPr>
        <w:t xml:space="preserve"> в том смысле, что не будет максимально использована возможность скорейшего практического использования немецкого оборудования для обеспечения страны в кратчайший срок. Всеми этими действиями я, ясно сознавая возможные последствия, наносил вред и подвергал страну опасности...».</w:t>
      </w:r>
    </w:p>
    <w:p w14:paraId="492004E1"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 xml:space="preserve">В итоге работы контрреволюционной организации заторможено на несколько лет или сорвано совершенно производство следующих предметов, необходимых </w:t>
      </w:r>
      <w:proofErr w:type="spellStart"/>
      <w:r w:rsidRPr="00A259BD">
        <w:rPr>
          <w:color w:val="000000" w:themeColor="text1"/>
          <w:sz w:val="16"/>
          <w:szCs w:val="16"/>
        </w:rPr>
        <w:t>военведу</w:t>
      </w:r>
      <w:proofErr w:type="spellEnd"/>
      <w:r w:rsidRPr="00A259BD">
        <w:rPr>
          <w:color w:val="000000" w:themeColor="text1"/>
          <w:sz w:val="16"/>
          <w:szCs w:val="16"/>
        </w:rPr>
        <w:t>: 1) металлические колеса для артиллерии; 2) платформы Шухова; 3) </w:t>
      </w:r>
      <w:proofErr w:type="spellStart"/>
      <w:r w:rsidRPr="00A259BD">
        <w:rPr>
          <w:color w:val="000000" w:themeColor="text1"/>
          <w:sz w:val="16"/>
          <w:szCs w:val="16"/>
        </w:rPr>
        <w:t>аэрохимбомбы</w:t>
      </w:r>
      <w:proofErr w:type="spellEnd"/>
      <w:r w:rsidRPr="00A259BD">
        <w:rPr>
          <w:color w:val="000000" w:themeColor="text1"/>
          <w:sz w:val="16"/>
          <w:szCs w:val="16"/>
        </w:rPr>
        <w:t>; 4) автотяга для артиллерии (см. показ[</w:t>
      </w:r>
      <w:proofErr w:type="spellStart"/>
      <w:r w:rsidRPr="00A259BD">
        <w:rPr>
          <w:color w:val="000000" w:themeColor="text1"/>
          <w:sz w:val="16"/>
          <w:szCs w:val="16"/>
        </w:rPr>
        <w:t>ания</w:t>
      </w:r>
      <w:proofErr w:type="spellEnd"/>
      <w:r w:rsidRPr="00A259BD">
        <w:rPr>
          <w:color w:val="000000" w:themeColor="text1"/>
          <w:sz w:val="16"/>
          <w:szCs w:val="16"/>
        </w:rPr>
        <w:t xml:space="preserve">] </w:t>
      </w:r>
      <w:proofErr w:type="spellStart"/>
      <w:r w:rsidRPr="00A259BD">
        <w:rPr>
          <w:color w:val="000000" w:themeColor="text1"/>
          <w:sz w:val="16"/>
          <w:szCs w:val="16"/>
        </w:rPr>
        <w:t>Дыхова</w:t>
      </w:r>
      <w:proofErr w:type="spellEnd"/>
      <w:r w:rsidRPr="00A259BD">
        <w:rPr>
          <w:color w:val="000000" w:themeColor="text1"/>
          <w:sz w:val="16"/>
          <w:szCs w:val="16"/>
        </w:rPr>
        <w:t>); 5) отравляющие вещества (показ[</w:t>
      </w:r>
      <w:proofErr w:type="spellStart"/>
      <w:r w:rsidRPr="00A259BD">
        <w:rPr>
          <w:color w:val="000000" w:themeColor="text1"/>
          <w:sz w:val="16"/>
          <w:szCs w:val="16"/>
        </w:rPr>
        <w:t>ания</w:t>
      </w:r>
      <w:proofErr w:type="spellEnd"/>
      <w:r w:rsidRPr="00A259BD">
        <w:rPr>
          <w:color w:val="000000" w:themeColor="text1"/>
          <w:sz w:val="16"/>
          <w:szCs w:val="16"/>
        </w:rPr>
        <w:t xml:space="preserve">] </w:t>
      </w:r>
      <w:proofErr w:type="spellStart"/>
      <w:r w:rsidRPr="00A259BD">
        <w:rPr>
          <w:color w:val="000000" w:themeColor="text1"/>
          <w:sz w:val="16"/>
          <w:szCs w:val="16"/>
        </w:rPr>
        <w:t>Шпитальского</w:t>
      </w:r>
      <w:proofErr w:type="spellEnd"/>
      <w:r w:rsidRPr="00A259BD">
        <w:rPr>
          <w:color w:val="000000" w:themeColor="text1"/>
          <w:sz w:val="16"/>
          <w:szCs w:val="16"/>
        </w:rPr>
        <w:t xml:space="preserve"> и Зайкова); 6) суррогаты порохов (см. показ[</w:t>
      </w:r>
      <w:proofErr w:type="spellStart"/>
      <w:r w:rsidRPr="00A259BD">
        <w:rPr>
          <w:color w:val="000000" w:themeColor="text1"/>
          <w:sz w:val="16"/>
          <w:szCs w:val="16"/>
        </w:rPr>
        <w:t>ания</w:t>
      </w:r>
      <w:proofErr w:type="spellEnd"/>
      <w:r w:rsidRPr="00A259BD">
        <w:rPr>
          <w:color w:val="000000" w:themeColor="text1"/>
          <w:sz w:val="16"/>
          <w:szCs w:val="16"/>
        </w:rPr>
        <w:t xml:space="preserve">] </w:t>
      </w:r>
      <w:proofErr w:type="spellStart"/>
      <w:r w:rsidRPr="00A259BD">
        <w:rPr>
          <w:color w:val="000000" w:themeColor="text1"/>
          <w:sz w:val="16"/>
          <w:szCs w:val="16"/>
        </w:rPr>
        <w:t>Довгелевича</w:t>
      </w:r>
      <w:proofErr w:type="spellEnd"/>
      <w:r w:rsidRPr="00A259BD">
        <w:rPr>
          <w:color w:val="000000" w:themeColor="text1"/>
          <w:sz w:val="16"/>
          <w:szCs w:val="16"/>
        </w:rPr>
        <w:t>); 7) мобилизация гражданской основной химической промышленности (показ[</w:t>
      </w:r>
      <w:proofErr w:type="spellStart"/>
      <w:r w:rsidRPr="00A259BD">
        <w:rPr>
          <w:color w:val="000000" w:themeColor="text1"/>
          <w:sz w:val="16"/>
          <w:szCs w:val="16"/>
        </w:rPr>
        <w:t>ания</w:t>
      </w:r>
      <w:proofErr w:type="spellEnd"/>
      <w:r w:rsidRPr="00A259BD">
        <w:rPr>
          <w:color w:val="000000" w:themeColor="text1"/>
          <w:sz w:val="16"/>
          <w:szCs w:val="16"/>
        </w:rPr>
        <w:t>] Поварнина); 8) танкостроение; 9) завоз инструментов (показ[</w:t>
      </w:r>
      <w:proofErr w:type="spellStart"/>
      <w:r w:rsidRPr="00A259BD">
        <w:rPr>
          <w:color w:val="000000" w:themeColor="text1"/>
          <w:sz w:val="16"/>
          <w:szCs w:val="16"/>
        </w:rPr>
        <w:t>ания</w:t>
      </w:r>
      <w:proofErr w:type="spellEnd"/>
      <w:r w:rsidRPr="00A259BD">
        <w:rPr>
          <w:color w:val="000000" w:themeColor="text1"/>
          <w:sz w:val="16"/>
          <w:szCs w:val="16"/>
        </w:rPr>
        <w:t>] Шеймана).</w:t>
      </w:r>
    </w:p>
    <w:p w14:paraId="6C67F803"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Следствие в настоящий момент располагает рядом и других показаний арестованных по этому делу, хотя сейчас оно находится в первой стадии разворачивания картины работы контрреволюционной организации. Ниже приводим список арестованных с указанием занимаемой должности обвиняемого, с отметками о сознании: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149"/>
        <w:gridCol w:w="1173"/>
      </w:tblGrid>
      <w:tr w:rsidR="00A259BD" w:rsidRPr="00A259BD" w14:paraId="6C9B22B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BA287D8"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Михайлов — зам. начальника ГВПУ ВСНХ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253F1"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сознался</w:t>
            </w:r>
          </w:p>
        </w:tc>
      </w:tr>
      <w:tr w:rsidR="00A259BD" w:rsidRPr="00A259BD" w14:paraId="20A91F5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6906C80"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Шейман — гл. инженер </w:t>
            </w:r>
            <w:proofErr w:type="spellStart"/>
            <w:r w:rsidRPr="00A259BD">
              <w:rPr>
                <w:rFonts w:ascii="Times New Roman" w:hAnsi="Times New Roman"/>
                <w:color w:val="000000" w:themeColor="text1"/>
                <w:sz w:val="16"/>
                <w:szCs w:val="16"/>
              </w:rPr>
              <w:t>стр</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оительно</w:t>
            </w:r>
            <w:proofErr w:type="spellEnd"/>
            <w:r w:rsidRPr="00A259BD">
              <w:rPr>
                <w:rFonts w:ascii="Times New Roman" w:hAnsi="Times New Roman"/>
                <w:color w:val="000000" w:themeColor="text1"/>
                <w:sz w:val="16"/>
                <w:szCs w:val="16"/>
              </w:rPr>
              <w:t>-]мех[</w:t>
            </w:r>
            <w:proofErr w:type="spellStart"/>
            <w:r w:rsidRPr="00A259BD">
              <w:rPr>
                <w:rFonts w:ascii="Times New Roman" w:hAnsi="Times New Roman"/>
                <w:color w:val="000000" w:themeColor="text1"/>
                <w:sz w:val="16"/>
                <w:szCs w:val="16"/>
              </w:rPr>
              <w:t>анического</w:t>
            </w:r>
            <w:proofErr w:type="spellEnd"/>
            <w:r w:rsidRPr="00A259BD">
              <w:rPr>
                <w:rFonts w:ascii="Times New Roman" w:hAnsi="Times New Roman"/>
                <w:color w:val="000000" w:themeColor="text1"/>
                <w:sz w:val="16"/>
                <w:szCs w:val="16"/>
              </w:rPr>
              <w:t xml:space="preserve">] отдела </w:t>
            </w:r>
            <w:proofErr w:type="spellStart"/>
            <w:r w:rsidRPr="00A259BD">
              <w:rPr>
                <w:rFonts w:ascii="Times New Roman" w:hAnsi="Times New Roman"/>
                <w:color w:val="000000" w:themeColor="text1"/>
                <w:sz w:val="16"/>
                <w:szCs w:val="16"/>
              </w:rPr>
              <w:t>Оруд</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ийно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арс</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енального</w:t>
            </w:r>
            <w:proofErr w:type="spellEnd"/>
            <w:r w:rsidRPr="00A259BD">
              <w:rPr>
                <w:rFonts w:ascii="Times New Roman" w:hAnsi="Times New Roman"/>
                <w:color w:val="000000" w:themeColor="text1"/>
                <w:sz w:val="16"/>
                <w:szCs w:val="16"/>
              </w:rPr>
              <w:t>]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F3B0C"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сознался</w:t>
            </w:r>
          </w:p>
        </w:tc>
      </w:tr>
      <w:tr w:rsidR="00A259BD" w:rsidRPr="00A259BD" w14:paraId="2C51C8F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32325BE" w14:textId="77777777" w:rsidR="00DA22D3" w:rsidRPr="00A259BD" w:rsidRDefault="00DA22D3"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Дымман</w:t>
            </w:r>
            <w:proofErr w:type="spellEnd"/>
            <w:r w:rsidRPr="00A259BD">
              <w:rPr>
                <w:rFonts w:ascii="Times New Roman" w:hAnsi="Times New Roman"/>
                <w:color w:val="000000" w:themeColor="text1"/>
                <w:sz w:val="16"/>
                <w:szCs w:val="16"/>
              </w:rPr>
              <w:t> — член правления Патр[</w:t>
            </w:r>
            <w:proofErr w:type="spellStart"/>
            <w:r w:rsidRPr="00A259BD">
              <w:rPr>
                <w:rFonts w:ascii="Times New Roman" w:hAnsi="Times New Roman"/>
                <w:color w:val="000000" w:themeColor="text1"/>
                <w:sz w:val="16"/>
                <w:szCs w:val="16"/>
              </w:rPr>
              <w:t>онно</w:t>
            </w:r>
            <w:proofErr w:type="spellEnd"/>
            <w:r w:rsidRPr="00A259BD">
              <w:rPr>
                <w:rFonts w:ascii="Times New Roman" w:hAnsi="Times New Roman"/>
                <w:color w:val="000000" w:themeColor="text1"/>
                <w:sz w:val="16"/>
                <w:szCs w:val="16"/>
              </w:rPr>
              <w:t>-]труб[очного]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BB028"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сознался</w:t>
            </w:r>
          </w:p>
        </w:tc>
      </w:tr>
      <w:tr w:rsidR="00A259BD" w:rsidRPr="00A259BD" w14:paraId="4CFFDF14"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897B526"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Филипповский — гл. инженер </w:t>
            </w:r>
            <w:proofErr w:type="spellStart"/>
            <w:r w:rsidRPr="00A259BD">
              <w:rPr>
                <w:rFonts w:ascii="Times New Roman" w:hAnsi="Times New Roman"/>
                <w:color w:val="000000" w:themeColor="text1"/>
                <w:sz w:val="16"/>
                <w:szCs w:val="16"/>
              </w:rPr>
              <w:t>Оруд</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ийно</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арс</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енального</w:t>
            </w:r>
            <w:proofErr w:type="spellEnd"/>
            <w:r w:rsidRPr="00A259BD">
              <w:rPr>
                <w:rFonts w:ascii="Times New Roman" w:hAnsi="Times New Roman"/>
                <w:color w:val="000000" w:themeColor="text1"/>
                <w:sz w:val="16"/>
                <w:szCs w:val="16"/>
              </w:rPr>
              <w:t>]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D5197"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сознался</w:t>
            </w:r>
          </w:p>
        </w:tc>
      </w:tr>
      <w:tr w:rsidR="00A259BD" w:rsidRPr="00A259BD" w14:paraId="189DCAC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F1DD836" w14:textId="77777777" w:rsidR="00DA22D3" w:rsidRPr="00A259BD" w:rsidRDefault="00DA22D3"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Довгелевич</w:t>
            </w:r>
            <w:proofErr w:type="spellEnd"/>
            <w:r w:rsidRPr="00A259BD">
              <w:rPr>
                <w:rFonts w:ascii="Times New Roman" w:hAnsi="Times New Roman"/>
                <w:color w:val="000000" w:themeColor="text1"/>
                <w:sz w:val="16"/>
                <w:szCs w:val="16"/>
              </w:rPr>
              <w:t> — зав. пор[</w:t>
            </w:r>
            <w:proofErr w:type="spellStart"/>
            <w:r w:rsidRPr="00A259BD">
              <w:rPr>
                <w:rFonts w:ascii="Times New Roman" w:hAnsi="Times New Roman"/>
                <w:color w:val="000000" w:themeColor="text1"/>
                <w:sz w:val="16"/>
                <w:szCs w:val="16"/>
              </w:rPr>
              <w:t>оховым</w:t>
            </w:r>
            <w:proofErr w:type="spellEnd"/>
            <w:r w:rsidRPr="00A259BD">
              <w:rPr>
                <w:rFonts w:ascii="Times New Roman" w:hAnsi="Times New Roman"/>
                <w:color w:val="000000" w:themeColor="text1"/>
                <w:sz w:val="16"/>
                <w:szCs w:val="16"/>
              </w:rPr>
              <w:t xml:space="preserve">] подотделом </w:t>
            </w:r>
            <w:proofErr w:type="spellStart"/>
            <w:r w:rsidRPr="00A259BD">
              <w:rPr>
                <w:rFonts w:ascii="Times New Roman" w:hAnsi="Times New Roman"/>
                <w:color w:val="000000" w:themeColor="text1"/>
                <w:sz w:val="16"/>
                <w:szCs w:val="16"/>
              </w:rPr>
              <w:t>Вохимтреста</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6FC5036"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сознался</w:t>
            </w:r>
          </w:p>
        </w:tc>
      </w:tr>
      <w:tr w:rsidR="00A259BD" w:rsidRPr="00A259BD" w14:paraId="0A38F6F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8785595"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Сахаров — технический директор завода «</w:t>
            </w:r>
            <w:proofErr w:type="spellStart"/>
            <w:r w:rsidRPr="00A259BD">
              <w:rPr>
                <w:rFonts w:ascii="Times New Roman" w:hAnsi="Times New Roman"/>
                <w:color w:val="000000" w:themeColor="text1"/>
                <w:sz w:val="16"/>
                <w:szCs w:val="16"/>
              </w:rPr>
              <w:t>Мастяжарт</w:t>
            </w:r>
            <w:proofErr w:type="spellEnd"/>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81E8E"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сознался</w:t>
            </w:r>
          </w:p>
        </w:tc>
      </w:tr>
      <w:tr w:rsidR="00A259BD" w:rsidRPr="00A259BD" w14:paraId="7C599C1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6664EB9"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Чижевский — начальник </w:t>
            </w:r>
            <w:proofErr w:type="spellStart"/>
            <w:r w:rsidRPr="00A259BD">
              <w:rPr>
                <w:rFonts w:ascii="Times New Roman" w:hAnsi="Times New Roman"/>
                <w:color w:val="000000" w:themeColor="text1"/>
                <w:sz w:val="16"/>
                <w:szCs w:val="16"/>
              </w:rPr>
              <w:t>стр</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оительно</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механ</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ического</w:t>
            </w:r>
            <w:proofErr w:type="spellEnd"/>
            <w:r w:rsidRPr="00A259BD">
              <w:rPr>
                <w:rFonts w:ascii="Times New Roman" w:hAnsi="Times New Roman"/>
                <w:color w:val="000000" w:themeColor="text1"/>
                <w:sz w:val="16"/>
                <w:szCs w:val="16"/>
              </w:rPr>
              <w:t xml:space="preserve">]отдела </w:t>
            </w:r>
            <w:proofErr w:type="spellStart"/>
            <w:r w:rsidRPr="00A259BD">
              <w:rPr>
                <w:rFonts w:ascii="Times New Roman" w:hAnsi="Times New Roman"/>
                <w:color w:val="000000" w:themeColor="text1"/>
                <w:sz w:val="16"/>
                <w:szCs w:val="16"/>
              </w:rPr>
              <w:t>Оруд</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ийно</w:t>
            </w:r>
            <w:proofErr w:type="spellEnd"/>
            <w:r w:rsidRPr="00A259BD">
              <w:rPr>
                <w:rFonts w:ascii="Times New Roman" w:hAnsi="Times New Roman"/>
                <w:color w:val="000000" w:themeColor="text1"/>
                <w:sz w:val="16"/>
                <w:szCs w:val="16"/>
              </w:rPr>
              <w:t xml:space="preserve">-] арсенального] </w:t>
            </w:r>
            <w:proofErr w:type="spellStart"/>
            <w:r w:rsidRPr="00A259BD">
              <w:rPr>
                <w:rFonts w:ascii="Times New Roman" w:hAnsi="Times New Roman"/>
                <w:color w:val="000000" w:themeColor="text1"/>
                <w:sz w:val="16"/>
                <w:szCs w:val="16"/>
              </w:rPr>
              <w:t>тр</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еста</w:t>
            </w:r>
            <w:proofErr w:type="spellEnd"/>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6DA82"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сознался</w:t>
            </w:r>
          </w:p>
        </w:tc>
      </w:tr>
      <w:tr w:rsidR="00A259BD" w:rsidRPr="00A259BD" w14:paraId="733C0FC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4C72483" w14:textId="77777777" w:rsidR="00DA22D3" w:rsidRPr="00A259BD" w:rsidRDefault="00DA22D3"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Дыхов</w:t>
            </w:r>
            <w:proofErr w:type="spellEnd"/>
            <w:r w:rsidRPr="00A259BD">
              <w:rPr>
                <w:rFonts w:ascii="Times New Roman" w:hAnsi="Times New Roman"/>
                <w:color w:val="000000" w:themeColor="text1"/>
                <w:sz w:val="16"/>
                <w:szCs w:val="16"/>
              </w:rPr>
              <w:t xml:space="preserve"> — начальник </w:t>
            </w:r>
            <w:proofErr w:type="spellStart"/>
            <w:r w:rsidRPr="00A259BD">
              <w:rPr>
                <w:rFonts w:ascii="Times New Roman" w:hAnsi="Times New Roman"/>
                <w:color w:val="000000" w:themeColor="text1"/>
                <w:sz w:val="16"/>
                <w:szCs w:val="16"/>
              </w:rPr>
              <w:t>арс</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енального</w:t>
            </w:r>
            <w:proofErr w:type="spellEnd"/>
            <w:r w:rsidRPr="00A259BD">
              <w:rPr>
                <w:rFonts w:ascii="Times New Roman" w:hAnsi="Times New Roman"/>
                <w:color w:val="000000" w:themeColor="text1"/>
                <w:sz w:val="16"/>
                <w:szCs w:val="16"/>
              </w:rPr>
              <w:t xml:space="preserve">] подотдела </w:t>
            </w:r>
            <w:proofErr w:type="spellStart"/>
            <w:r w:rsidRPr="00A259BD">
              <w:rPr>
                <w:rFonts w:ascii="Times New Roman" w:hAnsi="Times New Roman"/>
                <w:color w:val="000000" w:themeColor="text1"/>
                <w:sz w:val="16"/>
                <w:szCs w:val="16"/>
              </w:rPr>
              <w:t>Оруд</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ийно</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арс</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енального</w:t>
            </w:r>
            <w:proofErr w:type="spellEnd"/>
            <w:r w:rsidRPr="00A259BD">
              <w:rPr>
                <w:rFonts w:ascii="Times New Roman" w:hAnsi="Times New Roman"/>
                <w:color w:val="000000" w:themeColor="text1"/>
                <w:sz w:val="16"/>
                <w:szCs w:val="16"/>
              </w:rPr>
              <w:t>]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06193"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сознался</w:t>
            </w:r>
          </w:p>
        </w:tc>
      </w:tr>
      <w:tr w:rsidR="00A259BD" w:rsidRPr="00A259BD" w14:paraId="668EAB8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2363B27"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Петров — начальник подотдела оптики </w:t>
            </w:r>
            <w:proofErr w:type="spellStart"/>
            <w:r w:rsidRPr="00A259BD">
              <w:rPr>
                <w:rFonts w:ascii="Times New Roman" w:hAnsi="Times New Roman"/>
                <w:color w:val="000000" w:themeColor="text1"/>
                <w:sz w:val="16"/>
                <w:szCs w:val="16"/>
              </w:rPr>
              <w:t>Оруд</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ийно</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арс</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енального</w:t>
            </w:r>
            <w:proofErr w:type="spellEnd"/>
            <w:r w:rsidRPr="00A259BD">
              <w:rPr>
                <w:rFonts w:ascii="Times New Roman" w:hAnsi="Times New Roman"/>
                <w:color w:val="000000" w:themeColor="text1"/>
                <w:sz w:val="16"/>
                <w:szCs w:val="16"/>
              </w:rPr>
              <w:t>]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83CBB"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сознался</w:t>
            </w:r>
          </w:p>
        </w:tc>
      </w:tr>
      <w:tr w:rsidR="00A259BD" w:rsidRPr="00A259BD" w14:paraId="1F7655DD"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A57FCFE" w14:textId="77777777" w:rsidR="00DA22D3" w:rsidRPr="00A259BD" w:rsidRDefault="00DA22D3"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Нарушевич</w:t>
            </w:r>
            <w:proofErr w:type="spellEnd"/>
            <w:r w:rsidRPr="00A259BD">
              <w:rPr>
                <w:rFonts w:ascii="Times New Roman" w:hAnsi="Times New Roman"/>
                <w:color w:val="000000" w:themeColor="text1"/>
                <w:sz w:val="16"/>
                <w:szCs w:val="16"/>
              </w:rPr>
              <w:t xml:space="preserve"> — начальник </w:t>
            </w:r>
            <w:proofErr w:type="spellStart"/>
            <w:r w:rsidRPr="00A259BD">
              <w:rPr>
                <w:rFonts w:ascii="Times New Roman" w:hAnsi="Times New Roman"/>
                <w:color w:val="000000" w:themeColor="text1"/>
                <w:sz w:val="16"/>
                <w:szCs w:val="16"/>
              </w:rPr>
              <w:t>моббюро</w:t>
            </w:r>
            <w:proofErr w:type="spellEnd"/>
            <w:r w:rsidRPr="00A259BD">
              <w:rPr>
                <w:rFonts w:ascii="Times New Roman" w:hAnsi="Times New Roman"/>
                <w:color w:val="000000" w:themeColor="text1"/>
                <w:sz w:val="16"/>
                <w:szCs w:val="16"/>
              </w:rPr>
              <w:t xml:space="preserve"> завода «</w:t>
            </w:r>
            <w:proofErr w:type="spellStart"/>
            <w:r w:rsidRPr="00A259BD">
              <w:rPr>
                <w:rFonts w:ascii="Times New Roman" w:hAnsi="Times New Roman"/>
                <w:color w:val="000000" w:themeColor="text1"/>
                <w:sz w:val="16"/>
                <w:szCs w:val="16"/>
              </w:rPr>
              <w:t>Мастяжарт</w:t>
            </w:r>
            <w:proofErr w:type="spellEnd"/>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15BA9"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сознался</w:t>
            </w:r>
          </w:p>
        </w:tc>
      </w:tr>
      <w:tr w:rsidR="00A259BD" w:rsidRPr="00A259BD" w14:paraId="1E38D80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9C8AF51" w14:textId="77777777" w:rsidR="00DA22D3" w:rsidRPr="00A259BD" w:rsidRDefault="00DA22D3"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Высочанский</w:t>
            </w:r>
            <w:proofErr w:type="spellEnd"/>
            <w:r w:rsidRPr="00A259BD">
              <w:rPr>
                <w:rFonts w:ascii="Times New Roman" w:hAnsi="Times New Roman"/>
                <w:color w:val="000000" w:themeColor="text1"/>
                <w:sz w:val="16"/>
                <w:szCs w:val="16"/>
              </w:rPr>
              <w:t xml:space="preserve"> — член правления </w:t>
            </w:r>
            <w:proofErr w:type="spellStart"/>
            <w:r w:rsidRPr="00A259BD">
              <w:rPr>
                <w:rFonts w:ascii="Times New Roman" w:hAnsi="Times New Roman"/>
                <w:color w:val="000000" w:themeColor="text1"/>
                <w:sz w:val="16"/>
                <w:szCs w:val="16"/>
              </w:rPr>
              <w:t>Оруд</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ийно</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арс</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енального</w:t>
            </w:r>
            <w:proofErr w:type="spellEnd"/>
            <w:r w:rsidRPr="00A259BD">
              <w:rPr>
                <w:rFonts w:ascii="Times New Roman" w:hAnsi="Times New Roman"/>
                <w:color w:val="000000" w:themeColor="text1"/>
                <w:sz w:val="16"/>
                <w:szCs w:val="16"/>
              </w:rPr>
              <w:t>]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A7A76"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сознался</w:t>
            </w:r>
          </w:p>
        </w:tc>
      </w:tr>
      <w:tr w:rsidR="00A259BD" w:rsidRPr="00A259BD" w14:paraId="209AA1D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5C3A816" w14:textId="77777777" w:rsidR="00DA22D3" w:rsidRPr="00A259BD" w:rsidRDefault="00DA22D3"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Деханов</w:t>
            </w:r>
            <w:proofErr w:type="spellEnd"/>
            <w:r w:rsidRPr="00A259BD">
              <w:rPr>
                <w:rFonts w:ascii="Times New Roman" w:hAnsi="Times New Roman"/>
                <w:color w:val="000000" w:themeColor="text1"/>
                <w:sz w:val="16"/>
                <w:szCs w:val="16"/>
              </w:rPr>
              <w:t xml:space="preserve"> — быв. технический директор химического завода № 2 и быв. член правления </w:t>
            </w:r>
            <w:proofErr w:type="spellStart"/>
            <w:r w:rsidRPr="00A259BD">
              <w:rPr>
                <w:rFonts w:ascii="Times New Roman" w:hAnsi="Times New Roman"/>
                <w:color w:val="000000" w:themeColor="text1"/>
                <w:sz w:val="16"/>
                <w:szCs w:val="16"/>
              </w:rPr>
              <w:t>Севхимтреста</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E1401EC"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сознался</w:t>
            </w:r>
          </w:p>
        </w:tc>
      </w:tr>
      <w:tr w:rsidR="00A259BD" w:rsidRPr="00A259BD" w14:paraId="5E316E5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73F662E" w14:textId="77777777" w:rsidR="00DA22D3" w:rsidRPr="00A259BD" w:rsidRDefault="00DA22D3"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Шпитальский</w:t>
            </w:r>
            <w:proofErr w:type="spellEnd"/>
            <w:r w:rsidRPr="00A259BD">
              <w:rPr>
                <w:rFonts w:ascii="Times New Roman" w:hAnsi="Times New Roman"/>
                <w:color w:val="000000" w:themeColor="text1"/>
                <w:sz w:val="16"/>
                <w:szCs w:val="16"/>
              </w:rPr>
              <w:t> — директор «</w:t>
            </w:r>
            <w:proofErr w:type="spellStart"/>
            <w:r w:rsidRPr="00A259BD">
              <w:rPr>
                <w:rFonts w:ascii="Times New Roman" w:hAnsi="Times New Roman"/>
                <w:color w:val="000000" w:themeColor="text1"/>
                <w:sz w:val="16"/>
                <w:szCs w:val="16"/>
              </w:rPr>
              <w:t>Эксольхима</w:t>
            </w:r>
            <w:proofErr w:type="spellEnd"/>
            <w:r w:rsidRPr="00A259BD">
              <w:rPr>
                <w:rFonts w:ascii="Times New Roman" w:hAnsi="Times New Roman"/>
                <w:color w:val="000000" w:themeColor="text1"/>
                <w:sz w:val="16"/>
                <w:szCs w:val="16"/>
              </w:rPr>
              <w:t>» и консультант по военной химии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FF1F1"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сознался</w:t>
            </w:r>
          </w:p>
        </w:tc>
      </w:tr>
      <w:tr w:rsidR="00A259BD" w:rsidRPr="00A259BD" w14:paraId="615AD5F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963A806"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Мариенгоф — технический директор </w:t>
            </w:r>
            <w:proofErr w:type="spellStart"/>
            <w:r w:rsidRPr="00A259BD">
              <w:rPr>
                <w:rFonts w:ascii="Times New Roman" w:hAnsi="Times New Roman"/>
                <w:color w:val="000000" w:themeColor="text1"/>
                <w:sz w:val="16"/>
                <w:szCs w:val="16"/>
              </w:rPr>
              <w:t>Севхимтреста</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6F31B788"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сознался</w:t>
            </w:r>
          </w:p>
        </w:tc>
      </w:tr>
      <w:tr w:rsidR="00A259BD" w:rsidRPr="00A259BD" w14:paraId="14E65C8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4CE4A00"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Разумовский — быв. глав[</w:t>
            </w:r>
            <w:proofErr w:type="spellStart"/>
            <w:r w:rsidRPr="00A259BD">
              <w:rPr>
                <w:rFonts w:ascii="Times New Roman" w:hAnsi="Times New Roman"/>
                <w:color w:val="000000" w:themeColor="text1"/>
                <w:sz w:val="16"/>
                <w:szCs w:val="16"/>
              </w:rPr>
              <w:t>ный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хим</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ик</w:t>
            </w:r>
            <w:proofErr w:type="spellEnd"/>
            <w:r w:rsidRPr="00A259BD">
              <w:rPr>
                <w:rFonts w:ascii="Times New Roman" w:hAnsi="Times New Roman"/>
                <w:color w:val="000000" w:themeColor="text1"/>
                <w:sz w:val="16"/>
                <w:szCs w:val="16"/>
              </w:rPr>
              <w:t>] Ольгинского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9DED5"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сознался</w:t>
            </w:r>
          </w:p>
        </w:tc>
      </w:tr>
      <w:tr w:rsidR="00A259BD" w:rsidRPr="00A259BD" w14:paraId="3B2BABF4"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478AE5D"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Зайков — быв. зав. фосгенным производством Ольгинского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60147"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сознался</w:t>
            </w:r>
          </w:p>
        </w:tc>
      </w:tr>
      <w:tr w:rsidR="00A259BD" w:rsidRPr="00A259BD" w14:paraId="05A5E27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5707B19"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Свентицкий — зав. фосгенным отделом Самарского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F1E30"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сознался</w:t>
            </w:r>
          </w:p>
        </w:tc>
      </w:tr>
      <w:tr w:rsidR="00A259BD" w:rsidRPr="00A259BD" w14:paraId="3B6961D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7ECDC12"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Шрейдер — гл. механик Самарского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38244"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сознался</w:t>
            </w:r>
          </w:p>
        </w:tc>
      </w:tr>
      <w:tr w:rsidR="00A259BD" w:rsidRPr="00A259BD" w14:paraId="48E7A99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4DB479A" w14:textId="77777777" w:rsidR="00DA22D3" w:rsidRPr="00A259BD" w:rsidRDefault="00DA22D3"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Туманский</w:t>
            </w:r>
            <w:proofErr w:type="spellEnd"/>
            <w:r w:rsidRPr="00A259BD">
              <w:rPr>
                <w:rFonts w:ascii="Times New Roman" w:hAnsi="Times New Roman"/>
                <w:color w:val="000000" w:themeColor="text1"/>
                <w:sz w:val="16"/>
                <w:szCs w:val="16"/>
              </w:rPr>
              <w:t xml:space="preserve"> — зав. </w:t>
            </w:r>
            <w:proofErr w:type="spellStart"/>
            <w:r w:rsidRPr="00A259BD">
              <w:rPr>
                <w:rFonts w:ascii="Times New Roman" w:hAnsi="Times New Roman"/>
                <w:color w:val="000000" w:themeColor="text1"/>
                <w:sz w:val="16"/>
                <w:szCs w:val="16"/>
              </w:rPr>
              <w:t>бертол</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етовым</w:t>
            </w:r>
            <w:proofErr w:type="spellEnd"/>
            <w:r w:rsidRPr="00A259BD">
              <w:rPr>
                <w:rFonts w:ascii="Times New Roman" w:hAnsi="Times New Roman"/>
                <w:color w:val="000000" w:themeColor="text1"/>
                <w:sz w:val="16"/>
                <w:szCs w:val="16"/>
              </w:rPr>
              <w:t>] цехом Самарского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6B842"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сознался</w:t>
            </w:r>
          </w:p>
        </w:tc>
      </w:tr>
      <w:tr w:rsidR="00A259BD" w:rsidRPr="00A259BD" w14:paraId="4BFA904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A622287"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Миллер — зав. строит[</w:t>
            </w:r>
            <w:proofErr w:type="spellStart"/>
            <w:r w:rsidRPr="00A259BD">
              <w:rPr>
                <w:rFonts w:ascii="Times New Roman" w:hAnsi="Times New Roman"/>
                <w:color w:val="000000" w:themeColor="text1"/>
                <w:sz w:val="16"/>
                <w:szCs w:val="16"/>
              </w:rPr>
              <w:t>ельным</w:t>
            </w:r>
            <w:proofErr w:type="spellEnd"/>
            <w:r w:rsidRPr="00A259BD">
              <w:rPr>
                <w:rFonts w:ascii="Times New Roman" w:hAnsi="Times New Roman"/>
                <w:color w:val="000000" w:themeColor="text1"/>
                <w:sz w:val="16"/>
                <w:szCs w:val="16"/>
              </w:rPr>
              <w:t>] отделом Самарского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38DFB"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сознался</w:t>
            </w:r>
          </w:p>
        </w:tc>
      </w:tr>
      <w:tr w:rsidR="00A259BD" w:rsidRPr="00A259BD" w14:paraId="122485B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67CDEAF"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Пушкин — директор Самарского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7CDF1"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сознался</w:t>
            </w:r>
          </w:p>
        </w:tc>
      </w:tr>
    </w:tbl>
    <w:p w14:paraId="1E2BB925" w14:textId="77777777" w:rsidR="00DA22D3" w:rsidRPr="00A259BD" w:rsidRDefault="00DA22D3"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Зам. председателя ОГПУ </w:t>
      </w:r>
      <w:hyperlink r:id="rId27" w:history="1">
        <w:r w:rsidRPr="00A259BD">
          <w:rPr>
            <w:rStyle w:val="af0"/>
            <w:i w:val="0"/>
            <w:color w:val="000000" w:themeColor="text1"/>
            <w:sz w:val="16"/>
            <w:szCs w:val="16"/>
          </w:rPr>
          <w:t>Ягода</w:t>
        </w:r>
      </w:hyperlink>
    </w:p>
    <w:p w14:paraId="0E6A823B" w14:textId="77777777" w:rsidR="00DA22D3" w:rsidRPr="00A259BD" w:rsidRDefault="00DA22D3"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Начальник </w:t>
      </w:r>
      <w:proofErr w:type="spellStart"/>
      <w:r w:rsidRPr="00A259BD">
        <w:rPr>
          <w:rStyle w:val="af0"/>
          <w:i w:val="0"/>
          <w:color w:val="000000" w:themeColor="text1"/>
          <w:sz w:val="16"/>
          <w:szCs w:val="16"/>
        </w:rPr>
        <w:t>Экономупра</w:t>
      </w:r>
      <w:proofErr w:type="spellEnd"/>
      <w:r w:rsidRPr="00A259BD">
        <w:rPr>
          <w:rStyle w:val="af0"/>
          <w:i w:val="0"/>
          <w:color w:val="000000" w:themeColor="text1"/>
          <w:sz w:val="16"/>
          <w:szCs w:val="16"/>
        </w:rPr>
        <w:t xml:space="preserve"> ОГПУ </w:t>
      </w:r>
      <w:hyperlink r:id="rId28" w:history="1">
        <w:r w:rsidRPr="00A259BD">
          <w:rPr>
            <w:rStyle w:val="af0"/>
            <w:i w:val="0"/>
            <w:color w:val="000000" w:themeColor="text1"/>
            <w:sz w:val="16"/>
            <w:szCs w:val="16"/>
          </w:rPr>
          <w:t>Прокофьев</w:t>
        </w:r>
      </w:hyperlink>
    </w:p>
    <w:p w14:paraId="2712D758"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Приложение: копии протоколов допроса на 47 листах⁴*.</w:t>
      </w:r>
    </w:p>
    <w:p w14:paraId="18DC1081" w14:textId="77777777" w:rsidR="00DA22D3" w:rsidRPr="00A259BD" w:rsidRDefault="00DA22D3" w:rsidP="009236E3">
      <w:pPr>
        <w:pStyle w:val="ae"/>
        <w:spacing w:before="0" w:after="0"/>
        <w:jc w:val="both"/>
        <w:rPr>
          <w:color w:val="000000" w:themeColor="text1"/>
          <w:sz w:val="16"/>
          <w:szCs w:val="16"/>
        </w:rPr>
      </w:pPr>
      <w:r w:rsidRPr="00A259BD">
        <w:rPr>
          <w:rStyle w:val="af0"/>
          <w:i w:val="0"/>
          <w:color w:val="000000" w:themeColor="text1"/>
          <w:sz w:val="16"/>
          <w:szCs w:val="16"/>
        </w:rPr>
        <w:lastRenderedPageBreak/>
        <w:t>Примечания</w:t>
      </w:r>
      <w:r w:rsidRPr="00A259BD">
        <w:rPr>
          <w:color w:val="000000" w:themeColor="text1"/>
          <w:sz w:val="16"/>
          <w:szCs w:val="16"/>
        </w:rPr>
        <w:t>:</w:t>
      </w:r>
    </w:p>
    <w:p w14:paraId="4D71EDEB"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Здесь и далее в документе, фамилии не указаны.</w:t>
      </w:r>
    </w:p>
    <w:p w14:paraId="26C12E09"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Здесь и далее отточия документа.</w:t>
      </w:r>
    </w:p>
    <w:p w14:paraId="5C0FC4B1"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vertAlign w:val="superscript"/>
        </w:rPr>
        <w:t>3</w:t>
      </w:r>
      <w:r w:rsidRPr="00A259BD">
        <w:rPr>
          <w:color w:val="000000" w:themeColor="text1"/>
          <w:sz w:val="16"/>
          <w:szCs w:val="16"/>
        </w:rPr>
        <w:t>* Так в тексте.</w:t>
      </w:r>
    </w:p>
    <w:p w14:paraId="63F9A7B2"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vertAlign w:val="superscript"/>
        </w:rPr>
        <w:t>4</w:t>
      </w:r>
      <w:r w:rsidRPr="00A259BD">
        <w:rPr>
          <w:color w:val="000000" w:themeColor="text1"/>
          <w:sz w:val="16"/>
          <w:szCs w:val="16"/>
        </w:rPr>
        <w:t>* Не публикуются (см. там же, л. 13</w:t>
      </w:r>
      <w:r w:rsidRPr="00A259BD">
        <w:rPr>
          <w:color w:val="000000" w:themeColor="text1"/>
          <w:sz w:val="16"/>
          <w:szCs w:val="16"/>
        </w:rPr>
        <w:noBreakHyphen/>
        <w:t>72).</w:t>
      </w:r>
    </w:p>
    <w:p w14:paraId="7BA338FE" w14:textId="77777777" w:rsidR="00DA22D3" w:rsidRPr="00A259BD" w:rsidRDefault="00DA22D3" w:rsidP="009236E3">
      <w:pPr>
        <w:pStyle w:val="rtejustify"/>
        <w:spacing w:before="0" w:after="0"/>
        <w:rPr>
          <w:color w:val="000000" w:themeColor="text1"/>
          <w:sz w:val="16"/>
          <w:szCs w:val="16"/>
        </w:rPr>
      </w:pPr>
      <w:r w:rsidRPr="00A259BD">
        <w:rPr>
          <w:color w:val="000000" w:themeColor="text1"/>
          <w:sz w:val="16"/>
          <w:szCs w:val="16"/>
        </w:rPr>
        <w:t>ЦА ФСБ РФ. Ф. 2. Оп. 7. Пор. 444. Л. 1—12. Подлинник.</w:t>
      </w:r>
    </w:p>
    <w:p w14:paraId="3FCE669A"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ЦА ФСБ РФ. Ф. 2. Оп. 7. Пор. 444. Л. 1—12. Подлинник. </w:t>
      </w:r>
    </w:p>
    <w:p w14:paraId="6C43055F" w14:textId="77777777" w:rsidR="00DA22D3" w:rsidRPr="00A259BD" w:rsidRDefault="00DA22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284-292 (12426).</w:t>
      </w:r>
    </w:p>
    <w:p w14:paraId="62320F23" w14:textId="77777777" w:rsidR="00DA22D3" w:rsidRPr="00A259BD" w:rsidRDefault="00DA22D3" w:rsidP="009236E3">
      <w:pPr>
        <w:spacing w:after="0" w:line="240" w:lineRule="auto"/>
        <w:jc w:val="both"/>
        <w:rPr>
          <w:rFonts w:ascii="Times New Roman" w:hAnsi="Times New Roman"/>
          <w:color w:val="000000" w:themeColor="text1"/>
          <w:sz w:val="16"/>
          <w:szCs w:val="16"/>
        </w:rPr>
      </w:pPr>
    </w:p>
    <w:p w14:paraId="357B94D9" w14:textId="77777777" w:rsidR="00A1095E" w:rsidRPr="00A259BD" w:rsidRDefault="00A109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марта 1929 г. ОГПУ представило в Политбюро доку</w:t>
      </w:r>
      <w:r w:rsidRPr="00A259BD">
        <w:rPr>
          <w:rFonts w:ascii="Times New Roman" w:hAnsi="Times New Roman"/>
          <w:color w:val="000000" w:themeColor="text1"/>
          <w:sz w:val="16"/>
          <w:szCs w:val="16"/>
        </w:rPr>
        <w:softHyphen/>
        <w:t>мент, где говорилось о раскрытии контрреволюционной орга</w:t>
      </w:r>
      <w:r w:rsidRPr="00A259BD">
        <w:rPr>
          <w:rFonts w:ascii="Times New Roman" w:hAnsi="Times New Roman"/>
          <w:color w:val="000000" w:themeColor="text1"/>
          <w:sz w:val="16"/>
          <w:szCs w:val="16"/>
        </w:rPr>
        <w:softHyphen/>
        <w:t xml:space="preserve">низации в </w:t>
      </w:r>
      <w:proofErr w:type="spellStart"/>
      <w:r w:rsidRPr="00A259BD">
        <w:rPr>
          <w:rFonts w:ascii="Times New Roman" w:hAnsi="Times New Roman"/>
          <w:color w:val="000000" w:themeColor="text1"/>
          <w:sz w:val="16"/>
          <w:szCs w:val="16"/>
        </w:rPr>
        <w:t>Военпроме</w:t>
      </w:r>
      <w:bookmarkStart w:id="26" w:name="_ednref27"/>
      <w:proofErr w:type="spellEnd"/>
      <w:r w:rsidR="00497FC6" w:rsidRPr="00A259BD">
        <w:rPr>
          <w:rFonts w:ascii="Times New Roman" w:hAnsi="Times New Roman"/>
          <w:color w:val="000000" w:themeColor="text1"/>
          <w:sz w:val="16"/>
          <w:szCs w:val="16"/>
        </w:rPr>
        <w:fldChar w:fldCharType="begin"/>
      </w:r>
      <w:r w:rsidRPr="00A259BD">
        <w:rPr>
          <w:rFonts w:ascii="Times New Roman" w:hAnsi="Times New Roman"/>
          <w:color w:val="000000" w:themeColor="text1"/>
          <w:sz w:val="16"/>
          <w:szCs w:val="16"/>
        </w:rPr>
        <w:instrText xml:space="preserve"> HYPERLINK "http://ebookiriran.ru/index.php?id=93&amp;section=8&amp;view=article" \l "_edn27" \o "" </w:instrText>
      </w:r>
      <w:r w:rsidR="00497FC6" w:rsidRPr="00A259BD">
        <w:rPr>
          <w:rFonts w:ascii="Times New Roman" w:hAnsi="Times New Roman"/>
          <w:color w:val="000000" w:themeColor="text1"/>
          <w:sz w:val="16"/>
          <w:szCs w:val="16"/>
        </w:rPr>
      </w:r>
      <w:r w:rsidR="00497FC6" w:rsidRPr="00A259BD">
        <w:rPr>
          <w:rFonts w:ascii="Times New Roman" w:hAnsi="Times New Roman"/>
          <w:color w:val="000000" w:themeColor="text1"/>
          <w:sz w:val="16"/>
          <w:szCs w:val="16"/>
        </w:rPr>
        <w:fldChar w:fldCharType="separate"/>
      </w:r>
      <w:r w:rsidRPr="00A259BD">
        <w:rPr>
          <w:rStyle w:val="a5"/>
          <w:rFonts w:ascii="Times New Roman" w:hAnsi="Times New Roman"/>
          <w:color w:val="000000" w:themeColor="text1"/>
          <w:sz w:val="16"/>
          <w:szCs w:val="16"/>
        </w:rPr>
        <w:t>[27]</w:t>
      </w:r>
      <w:r w:rsidR="00497FC6" w:rsidRPr="00A259BD">
        <w:rPr>
          <w:rFonts w:ascii="Times New Roman" w:hAnsi="Times New Roman"/>
          <w:color w:val="000000" w:themeColor="text1"/>
          <w:sz w:val="16"/>
          <w:szCs w:val="16"/>
        </w:rPr>
        <w:fldChar w:fldCharType="end"/>
      </w:r>
      <w:bookmarkEnd w:id="26"/>
      <w:r w:rsidRPr="00A259BD">
        <w:rPr>
          <w:rFonts w:ascii="Times New Roman" w:hAnsi="Times New Roman"/>
          <w:color w:val="000000" w:themeColor="text1"/>
          <w:sz w:val="16"/>
          <w:szCs w:val="16"/>
        </w:rPr>
        <w:t>. Ее возникновение ОГПУ отнесло к 1922 г., а инициаторами ее создания назвало генералов и пол</w:t>
      </w:r>
      <w:r w:rsidRPr="00A259BD">
        <w:rPr>
          <w:rFonts w:ascii="Times New Roman" w:hAnsi="Times New Roman"/>
          <w:color w:val="000000" w:themeColor="text1"/>
          <w:sz w:val="16"/>
          <w:szCs w:val="16"/>
        </w:rPr>
        <w:softHyphen/>
        <w:t>ковников царской армии. По мере развития организации в нее якобы было втянуто большое число военных специалистов, которых-де еще предстоит разоблачить в процессе следствия. Разворачивалась настоящая кампания по выявлению вредите</w:t>
      </w:r>
      <w:r w:rsidRPr="00A259BD">
        <w:rPr>
          <w:rFonts w:ascii="Times New Roman" w:hAnsi="Times New Roman"/>
          <w:color w:val="000000" w:themeColor="text1"/>
          <w:sz w:val="16"/>
          <w:szCs w:val="16"/>
        </w:rPr>
        <w:softHyphen/>
        <w:t>лей, которая охватывала все больше работников аппарата и специалистов на заводах. Сообщалось о вредительстве на заво</w:t>
      </w:r>
      <w:r w:rsidRPr="00A259BD">
        <w:rPr>
          <w:rFonts w:ascii="Times New Roman" w:hAnsi="Times New Roman"/>
          <w:color w:val="000000" w:themeColor="text1"/>
          <w:sz w:val="16"/>
          <w:szCs w:val="16"/>
        </w:rPr>
        <w:softHyphen/>
        <w:t>дах: “</w:t>
      </w:r>
      <w:proofErr w:type="spellStart"/>
      <w:r w:rsidRPr="00A259BD">
        <w:rPr>
          <w:rFonts w:ascii="Times New Roman" w:hAnsi="Times New Roman"/>
          <w:color w:val="000000" w:themeColor="text1"/>
          <w:sz w:val="16"/>
          <w:szCs w:val="16"/>
        </w:rPr>
        <w:t>Мастяжарт</w:t>
      </w:r>
      <w:proofErr w:type="spellEnd"/>
      <w:r w:rsidRPr="00A259BD">
        <w:rPr>
          <w:rFonts w:ascii="Times New Roman" w:hAnsi="Times New Roman"/>
          <w:color w:val="000000" w:themeColor="text1"/>
          <w:sz w:val="16"/>
          <w:szCs w:val="16"/>
        </w:rPr>
        <w:t>”, Московском орудийном, “Арсенале”, “Большевике”, Пермском, Богородском, Казанском, Шлис</w:t>
      </w:r>
      <w:r w:rsidRPr="00A259BD">
        <w:rPr>
          <w:rFonts w:ascii="Times New Roman" w:hAnsi="Times New Roman"/>
          <w:color w:val="000000" w:themeColor="text1"/>
          <w:sz w:val="16"/>
          <w:szCs w:val="16"/>
        </w:rPr>
        <w:softHyphen/>
        <w:t>сельбургском, Самарском и Ленинградском трубочных, Улья</w:t>
      </w:r>
      <w:r w:rsidRPr="00A259BD">
        <w:rPr>
          <w:rFonts w:ascii="Times New Roman" w:hAnsi="Times New Roman"/>
          <w:color w:val="000000" w:themeColor="text1"/>
          <w:sz w:val="16"/>
          <w:szCs w:val="16"/>
        </w:rPr>
        <w:softHyphen/>
        <w:t xml:space="preserve">новском пороховом, Пензенском и др. Целью </w:t>
      </w:r>
      <w:proofErr w:type="spellStart"/>
      <w:r w:rsidRPr="00A259BD">
        <w:rPr>
          <w:rFonts w:ascii="Times New Roman" w:hAnsi="Times New Roman"/>
          <w:color w:val="000000" w:themeColor="text1"/>
          <w:sz w:val="16"/>
          <w:szCs w:val="16"/>
        </w:rPr>
        <w:t>контреволюци</w:t>
      </w:r>
      <w:r w:rsidRPr="00A259BD">
        <w:rPr>
          <w:rFonts w:ascii="Times New Roman" w:hAnsi="Times New Roman"/>
          <w:color w:val="000000" w:themeColor="text1"/>
          <w:sz w:val="16"/>
          <w:szCs w:val="16"/>
        </w:rPr>
        <w:softHyphen/>
        <w:t>онной</w:t>
      </w:r>
      <w:proofErr w:type="spellEnd"/>
      <w:r w:rsidRPr="00A259BD">
        <w:rPr>
          <w:rFonts w:ascii="Times New Roman" w:hAnsi="Times New Roman"/>
          <w:color w:val="000000" w:themeColor="text1"/>
          <w:sz w:val="16"/>
          <w:szCs w:val="16"/>
        </w:rPr>
        <w:t xml:space="preserve"> организации, как говорилось, было подорвать обороно</w:t>
      </w:r>
      <w:r w:rsidRPr="00A259BD">
        <w:rPr>
          <w:rFonts w:ascii="Times New Roman" w:hAnsi="Times New Roman"/>
          <w:color w:val="000000" w:themeColor="text1"/>
          <w:sz w:val="16"/>
          <w:szCs w:val="16"/>
        </w:rPr>
        <w:softHyphen/>
        <w:t>способность Красной армии.</w:t>
      </w:r>
    </w:p>
    <w:p w14:paraId="610A0838" w14:textId="77777777" w:rsidR="00A1095E" w:rsidRPr="00A259BD" w:rsidRDefault="00A109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Структура организации выстраивалась чекистами соответ</w:t>
      </w:r>
      <w:r w:rsidRPr="00A259BD">
        <w:rPr>
          <w:rFonts w:ascii="Times New Roman" w:hAnsi="Times New Roman"/>
          <w:color w:val="000000" w:themeColor="text1"/>
          <w:sz w:val="16"/>
          <w:szCs w:val="16"/>
        </w:rPr>
        <w:softHyphen/>
        <w:t xml:space="preserve">ственно со схемой управления военной промышленностью, и главной сферой </w:t>
      </w:r>
      <w:proofErr w:type="spellStart"/>
      <w:r w:rsidRPr="00A259BD">
        <w:rPr>
          <w:rFonts w:ascii="Times New Roman" w:hAnsi="Times New Roman"/>
          <w:color w:val="000000" w:themeColor="text1"/>
          <w:sz w:val="16"/>
          <w:szCs w:val="16"/>
        </w:rPr>
        <w:t>вредитетельства</w:t>
      </w:r>
      <w:proofErr w:type="spellEnd"/>
      <w:r w:rsidRPr="00A259BD">
        <w:rPr>
          <w:rFonts w:ascii="Times New Roman" w:hAnsi="Times New Roman"/>
          <w:color w:val="000000" w:themeColor="text1"/>
          <w:sz w:val="16"/>
          <w:szCs w:val="16"/>
        </w:rPr>
        <w:t xml:space="preserve"> называлось бывшее ГУВП. Главным “вредителем” был объявлен B.C. Михайлов, преж</w:t>
      </w:r>
      <w:r w:rsidRPr="00A259BD">
        <w:rPr>
          <w:rFonts w:ascii="Times New Roman" w:hAnsi="Times New Roman"/>
          <w:color w:val="000000" w:themeColor="text1"/>
          <w:sz w:val="16"/>
          <w:szCs w:val="16"/>
        </w:rPr>
        <w:softHyphen/>
        <w:t>ний заместитель председателя ГУВП - крупный теоретик во</w:t>
      </w:r>
      <w:r w:rsidRPr="00A259BD">
        <w:rPr>
          <w:rFonts w:ascii="Times New Roman" w:hAnsi="Times New Roman"/>
          <w:color w:val="000000" w:themeColor="text1"/>
          <w:sz w:val="16"/>
          <w:szCs w:val="16"/>
        </w:rPr>
        <w:softHyphen/>
        <w:t xml:space="preserve">енного дела и специалист в области артиллерии. Всего по делу проходил 21 человек, в том числе, помимо Михайлова, </w:t>
      </w:r>
      <w:proofErr w:type="spellStart"/>
      <w:r w:rsidRPr="00A259BD">
        <w:rPr>
          <w:rFonts w:ascii="Times New Roman" w:hAnsi="Times New Roman"/>
          <w:color w:val="000000" w:themeColor="text1"/>
          <w:sz w:val="16"/>
          <w:szCs w:val="16"/>
        </w:rPr>
        <w:t>Дым</w:t>
      </w:r>
      <w:r w:rsidRPr="00A259BD">
        <w:rPr>
          <w:rFonts w:ascii="Times New Roman" w:hAnsi="Times New Roman"/>
          <w:color w:val="000000" w:themeColor="text1"/>
          <w:sz w:val="16"/>
          <w:szCs w:val="16"/>
        </w:rPr>
        <w:softHyphen/>
        <w:t>ман</w:t>
      </w:r>
      <w:proofErr w:type="spellEnd"/>
      <w:r w:rsidRPr="00A259BD">
        <w:rPr>
          <w:rFonts w:ascii="Times New Roman" w:hAnsi="Times New Roman"/>
          <w:color w:val="000000" w:themeColor="text1"/>
          <w:sz w:val="16"/>
          <w:szCs w:val="16"/>
        </w:rPr>
        <w:t xml:space="preserve"> (член правления ПТТ), </w:t>
      </w:r>
      <w:proofErr w:type="spellStart"/>
      <w:r w:rsidRPr="00A259BD">
        <w:rPr>
          <w:rFonts w:ascii="Times New Roman" w:hAnsi="Times New Roman"/>
          <w:color w:val="000000" w:themeColor="text1"/>
          <w:sz w:val="16"/>
          <w:szCs w:val="16"/>
        </w:rPr>
        <w:t>Высочанский</w:t>
      </w:r>
      <w:proofErr w:type="spellEnd"/>
      <w:r w:rsidRPr="00A259BD">
        <w:rPr>
          <w:rFonts w:ascii="Times New Roman" w:hAnsi="Times New Roman"/>
          <w:color w:val="000000" w:themeColor="text1"/>
          <w:sz w:val="16"/>
          <w:szCs w:val="16"/>
        </w:rPr>
        <w:t xml:space="preserve"> (член правления ОАТ, бывший член правления ГУВП), Шейман (главный ин</w:t>
      </w:r>
      <w:r w:rsidRPr="00A259BD">
        <w:rPr>
          <w:rFonts w:ascii="Times New Roman" w:hAnsi="Times New Roman"/>
          <w:color w:val="000000" w:themeColor="text1"/>
          <w:sz w:val="16"/>
          <w:szCs w:val="16"/>
        </w:rPr>
        <w:softHyphen/>
        <w:t xml:space="preserve">женер строительно-механического отдела ОАТ), </w:t>
      </w:r>
      <w:proofErr w:type="spellStart"/>
      <w:r w:rsidRPr="00A259BD">
        <w:rPr>
          <w:rFonts w:ascii="Times New Roman" w:hAnsi="Times New Roman"/>
          <w:color w:val="000000" w:themeColor="text1"/>
          <w:sz w:val="16"/>
          <w:szCs w:val="16"/>
        </w:rPr>
        <w:t>Довгелевич</w:t>
      </w:r>
      <w:proofErr w:type="spellEnd"/>
      <w:r w:rsidRPr="00A259BD">
        <w:rPr>
          <w:rFonts w:ascii="Times New Roman" w:hAnsi="Times New Roman"/>
          <w:color w:val="000000" w:themeColor="text1"/>
          <w:sz w:val="16"/>
          <w:szCs w:val="16"/>
        </w:rPr>
        <w:t xml:space="preserve">, (зам. нач. отдела </w:t>
      </w:r>
      <w:proofErr w:type="spellStart"/>
      <w:r w:rsidRPr="00A259BD">
        <w:rPr>
          <w:rFonts w:ascii="Times New Roman" w:hAnsi="Times New Roman"/>
          <w:color w:val="000000" w:themeColor="text1"/>
          <w:sz w:val="16"/>
          <w:szCs w:val="16"/>
        </w:rPr>
        <w:t>Вохимтреста</w:t>
      </w:r>
      <w:proofErr w:type="spellEnd"/>
      <w:r w:rsidRPr="00A259BD">
        <w:rPr>
          <w:rFonts w:ascii="Times New Roman" w:hAnsi="Times New Roman"/>
          <w:color w:val="000000" w:themeColor="text1"/>
          <w:sz w:val="16"/>
          <w:szCs w:val="16"/>
        </w:rPr>
        <w:t>), Сахаров (технический дирек</w:t>
      </w:r>
      <w:r w:rsidRPr="00A259BD">
        <w:rPr>
          <w:rFonts w:ascii="Times New Roman" w:hAnsi="Times New Roman"/>
          <w:color w:val="000000" w:themeColor="text1"/>
          <w:sz w:val="16"/>
          <w:szCs w:val="16"/>
        </w:rPr>
        <w:softHyphen/>
        <w:t>тор завода “</w:t>
      </w:r>
      <w:proofErr w:type="spellStart"/>
      <w:r w:rsidRPr="00A259BD">
        <w:rPr>
          <w:rFonts w:ascii="Times New Roman" w:hAnsi="Times New Roman"/>
          <w:color w:val="000000" w:themeColor="text1"/>
          <w:sz w:val="16"/>
          <w:szCs w:val="16"/>
        </w:rPr>
        <w:t>Мастяжарт</w:t>
      </w:r>
      <w:proofErr w:type="spellEnd"/>
      <w:r w:rsidRPr="00A259BD">
        <w:rPr>
          <w:rFonts w:ascii="Times New Roman" w:hAnsi="Times New Roman"/>
          <w:color w:val="000000" w:themeColor="text1"/>
          <w:sz w:val="16"/>
          <w:szCs w:val="16"/>
        </w:rPr>
        <w:t xml:space="preserve">”), Чижевский (начальник отдела ОАТ), </w:t>
      </w:r>
      <w:proofErr w:type="spellStart"/>
      <w:r w:rsidRPr="00A259BD">
        <w:rPr>
          <w:rFonts w:ascii="Times New Roman" w:hAnsi="Times New Roman"/>
          <w:color w:val="000000" w:themeColor="text1"/>
          <w:sz w:val="16"/>
          <w:szCs w:val="16"/>
        </w:rPr>
        <w:t>Дыхов</w:t>
      </w:r>
      <w:proofErr w:type="spellEnd"/>
      <w:r w:rsidRPr="00A259BD">
        <w:rPr>
          <w:rFonts w:ascii="Times New Roman" w:hAnsi="Times New Roman"/>
          <w:color w:val="000000" w:themeColor="text1"/>
          <w:sz w:val="16"/>
          <w:szCs w:val="16"/>
        </w:rPr>
        <w:t xml:space="preserve"> (начальник арсенального подотдела ОАТ), </w:t>
      </w:r>
      <w:proofErr w:type="spellStart"/>
      <w:r w:rsidRPr="00A259BD">
        <w:rPr>
          <w:rFonts w:ascii="Times New Roman" w:hAnsi="Times New Roman"/>
          <w:color w:val="000000" w:themeColor="text1"/>
          <w:sz w:val="16"/>
          <w:szCs w:val="16"/>
        </w:rPr>
        <w:t>Шпи</w:t>
      </w:r>
      <w:r w:rsidRPr="00A259BD">
        <w:rPr>
          <w:rFonts w:ascii="Times New Roman" w:hAnsi="Times New Roman"/>
          <w:color w:val="000000" w:themeColor="text1"/>
          <w:sz w:val="16"/>
          <w:szCs w:val="16"/>
        </w:rPr>
        <w:softHyphen/>
        <w:t>тальский</w:t>
      </w:r>
      <w:proofErr w:type="spellEnd"/>
      <w:r w:rsidRPr="00A259BD">
        <w:rPr>
          <w:rFonts w:ascii="Times New Roman" w:hAnsi="Times New Roman"/>
          <w:color w:val="000000" w:themeColor="text1"/>
          <w:sz w:val="16"/>
          <w:szCs w:val="16"/>
        </w:rPr>
        <w:t xml:space="preserve"> (директор “</w:t>
      </w:r>
      <w:proofErr w:type="spellStart"/>
      <w:r w:rsidRPr="00A259BD">
        <w:rPr>
          <w:rFonts w:ascii="Times New Roman" w:hAnsi="Times New Roman"/>
          <w:color w:val="000000" w:themeColor="text1"/>
          <w:sz w:val="16"/>
          <w:szCs w:val="16"/>
        </w:rPr>
        <w:t>Эксольхима</w:t>
      </w:r>
      <w:proofErr w:type="spellEnd"/>
      <w:r w:rsidRPr="00A259BD">
        <w:rPr>
          <w:rFonts w:ascii="Times New Roman" w:hAnsi="Times New Roman"/>
          <w:color w:val="000000" w:themeColor="text1"/>
          <w:sz w:val="16"/>
          <w:szCs w:val="16"/>
        </w:rPr>
        <w:t>”), Филипповский (главный инженер ОАТ ) и др.</w:t>
      </w:r>
    </w:p>
    <w:p w14:paraId="58EA3FCF" w14:textId="77777777" w:rsidR="00A1095E" w:rsidRPr="00A259BD" w:rsidRDefault="00A109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Обращает на себя внимание, как ОГПУ определяло периоды в деятельности организации. Первый якобы был направлен на разоружение заводов и выведение их из строя, второй - препят</w:t>
      </w:r>
      <w:r w:rsidRPr="00A259BD">
        <w:rPr>
          <w:rFonts w:ascii="Times New Roman" w:hAnsi="Times New Roman"/>
          <w:color w:val="000000" w:themeColor="text1"/>
          <w:sz w:val="16"/>
          <w:szCs w:val="16"/>
        </w:rPr>
        <w:softHyphen/>
        <w:t>ствование восстановлению заводов, например, путем направле</w:t>
      </w:r>
      <w:r w:rsidRPr="00A259BD">
        <w:rPr>
          <w:rFonts w:ascii="Times New Roman" w:hAnsi="Times New Roman"/>
          <w:color w:val="000000" w:themeColor="text1"/>
          <w:sz w:val="16"/>
          <w:szCs w:val="16"/>
        </w:rPr>
        <w:softHyphen/>
        <w:t>ния капиталовложений на второстепенные объекты, создания на производстве узких мест, третий будто бы совпадал с масштаб</w:t>
      </w:r>
      <w:r w:rsidRPr="00A259BD">
        <w:rPr>
          <w:rFonts w:ascii="Times New Roman" w:hAnsi="Times New Roman"/>
          <w:color w:val="000000" w:themeColor="text1"/>
          <w:sz w:val="16"/>
          <w:szCs w:val="16"/>
        </w:rPr>
        <w:softHyphen/>
        <w:t>ной программой капитального строительства и знаменовал пере</w:t>
      </w:r>
      <w:r w:rsidRPr="00A259BD">
        <w:rPr>
          <w:rFonts w:ascii="Times New Roman" w:hAnsi="Times New Roman"/>
          <w:color w:val="000000" w:themeColor="text1"/>
          <w:sz w:val="16"/>
          <w:szCs w:val="16"/>
        </w:rPr>
        <w:softHyphen/>
        <w:t>ход к плановому вредительству и срыву мобилизационного раз</w:t>
      </w:r>
      <w:r w:rsidRPr="00A259BD">
        <w:rPr>
          <w:rFonts w:ascii="Times New Roman" w:hAnsi="Times New Roman"/>
          <w:color w:val="000000" w:themeColor="text1"/>
          <w:sz w:val="16"/>
          <w:szCs w:val="16"/>
        </w:rPr>
        <w:softHyphen/>
        <w:t>вертывания. Таким образом, рисовалась удивительная способ</w:t>
      </w:r>
      <w:r w:rsidRPr="00A259BD">
        <w:rPr>
          <w:rFonts w:ascii="Times New Roman" w:hAnsi="Times New Roman"/>
          <w:color w:val="000000" w:themeColor="text1"/>
          <w:sz w:val="16"/>
          <w:szCs w:val="16"/>
        </w:rPr>
        <w:softHyphen/>
        <w:t>ность “вредителей” следовать политике партийного руководства [158] и выстраивать под нее свою деятельность. Сами по себе обвинения, предъявленные “вредителям”, поражают своей абсурдностью, ибо на них сваливались все присущие советской экономике того време</w:t>
      </w:r>
      <w:r w:rsidRPr="00A259BD">
        <w:rPr>
          <w:rFonts w:ascii="Times New Roman" w:hAnsi="Times New Roman"/>
          <w:color w:val="000000" w:themeColor="text1"/>
          <w:sz w:val="16"/>
          <w:szCs w:val="16"/>
        </w:rPr>
        <w:softHyphen/>
        <w:t>ни недостатки, огрехи и трудности. Особенно поражает, каким образом благие намерения B.C. Михайлова постоянно оборачива</w:t>
      </w:r>
      <w:r w:rsidRPr="00A259BD">
        <w:rPr>
          <w:rFonts w:ascii="Times New Roman" w:hAnsi="Times New Roman"/>
          <w:color w:val="000000" w:themeColor="text1"/>
          <w:sz w:val="16"/>
          <w:szCs w:val="16"/>
        </w:rPr>
        <w:softHyphen/>
        <w:t>ются против него и расцениваются как “вредительские факты”.</w:t>
      </w:r>
    </w:p>
    <w:p w14:paraId="2D9EBE85" w14:textId="77777777" w:rsidR="00A1095E" w:rsidRPr="00A259BD" w:rsidRDefault="00A109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Данный документ следует рассматривать вместе с последую</w:t>
      </w:r>
      <w:r w:rsidRPr="00A259BD">
        <w:rPr>
          <w:rFonts w:ascii="Times New Roman" w:hAnsi="Times New Roman"/>
          <w:color w:val="000000" w:themeColor="text1"/>
          <w:sz w:val="16"/>
          <w:szCs w:val="16"/>
        </w:rPr>
        <w:softHyphen/>
        <w:t xml:space="preserve">щими. 25 октября 1929 г. в сообщении для печати говорилось, что Михайлов, </w:t>
      </w:r>
      <w:proofErr w:type="spellStart"/>
      <w:r w:rsidRPr="00A259BD">
        <w:rPr>
          <w:rFonts w:ascii="Times New Roman" w:hAnsi="Times New Roman"/>
          <w:color w:val="000000" w:themeColor="text1"/>
          <w:sz w:val="16"/>
          <w:szCs w:val="16"/>
        </w:rPr>
        <w:t>Дымман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Деханов</w:t>
      </w:r>
      <w:proofErr w:type="spellEnd"/>
      <w:r w:rsidRPr="00A259BD">
        <w:rPr>
          <w:rFonts w:ascii="Times New Roman" w:hAnsi="Times New Roman"/>
          <w:color w:val="000000" w:themeColor="text1"/>
          <w:sz w:val="16"/>
          <w:szCs w:val="16"/>
        </w:rPr>
        <w:t>, Шульга были расстреляны, осталь</w:t>
      </w:r>
      <w:r w:rsidRPr="00A259BD">
        <w:rPr>
          <w:rFonts w:ascii="Times New Roman" w:hAnsi="Times New Roman"/>
          <w:color w:val="000000" w:themeColor="text1"/>
          <w:sz w:val="16"/>
          <w:szCs w:val="16"/>
        </w:rPr>
        <w:softHyphen/>
        <w:t>ные участники приговорены к различным срокам заключения в концентрационных лагерях. В докладной записке по делу ука</w:t>
      </w:r>
      <w:r w:rsidRPr="00A259BD">
        <w:rPr>
          <w:rFonts w:ascii="Times New Roman" w:hAnsi="Times New Roman"/>
          <w:color w:val="000000" w:themeColor="text1"/>
          <w:sz w:val="16"/>
          <w:szCs w:val="16"/>
        </w:rPr>
        <w:softHyphen/>
        <w:t>зывалось как развивался процесс, кто “сознался”, а кто не соз</w:t>
      </w:r>
      <w:r w:rsidRPr="00A259BD">
        <w:rPr>
          <w:rFonts w:ascii="Times New Roman" w:hAnsi="Times New Roman"/>
          <w:color w:val="000000" w:themeColor="text1"/>
          <w:sz w:val="16"/>
          <w:szCs w:val="16"/>
        </w:rPr>
        <w:softHyphen/>
        <w:t>нался во вредительстве. Добавлялись и уточнялись пункты обви</w:t>
      </w:r>
      <w:r w:rsidRPr="00A259BD">
        <w:rPr>
          <w:rFonts w:ascii="Times New Roman" w:hAnsi="Times New Roman"/>
          <w:color w:val="000000" w:themeColor="text1"/>
          <w:sz w:val="16"/>
          <w:szCs w:val="16"/>
        </w:rPr>
        <w:softHyphen/>
        <w:t xml:space="preserve">нения. Например: Михайлов настаивал на строительстве нового латунного завода вместо переоборудования имеющихся цехов, </w:t>
      </w:r>
      <w:proofErr w:type="spellStart"/>
      <w:r w:rsidRPr="00A259BD">
        <w:rPr>
          <w:rFonts w:ascii="Times New Roman" w:hAnsi="Times New Roman"/>
          <w:color w:val="000000" w:themeColor="text1"/>
          <w:sz w:val="16"/>
          <w:szCs w:val="16"/>
        </w:rPr>
        <w:t>Дымман</w:t>
      </w:r>
      <w:proofErr w:type="spellEnd"/>
      <w:r w:rsidRPr="00A259BD">
        <w:rPr>
          <w:rFonts w:ascii="Times New Roman" w:hAnsi="Times New Roman"/>
          <w:color w:val="000000" w:themeColor="text1"/>
          <w:sz w:val="16"/>
          <w:szCs w:val="16"/>
        </w:rPr>
        <w:t xml:space="preserve"> говорил о строительстве нового трубного завода, Чи</w:t>
      </w:r>
      <w:r w:rsidRPr="00A259BD">
        <w:rPr>
          <w:rFonts w:ascii="Times New Roman" w:hAnsi="Times New Roman"/>
          <w:color w:val="000000" w:themeColor="text1"/>
          <w:sz w:val="16"/>
          <w:szCs w:val="16"/>
        </w:rPr>
        <w:softHyphen/>
        <w:t>жевский - о строительстве в Павшино нового оптического заво</w:t>
      </w:r>
      <w:r w:rsidRPr="00A259BD">
        <w:rPr>
          <w:rFonts w:ascii="Times New Roman" w:hAnsi="Times New Roman"/>
          <w:color w:val="000000" w:themeColor="text1"/>
          <w:sz w:val="16"/>
          <w:szCs w:val="16"/>
        </w:rPr>
        <w:softHyphen/>
        <w:t>да на ровном месте взамен использования и переоборудования двух старых цехов, что привело к удорожанию работ в два раза. Вредительство по линии оборудования заключалось-де в том, что станки, которые могли быть использованы вместо закупки их за границей, отправлялись на склады. За рубежом закупалось не подходящее оборудование, создавались задержки с освоением и созданием отечественного станкостроения. В “</w:t>
      </w:r>
      <w:proofErr w:type="spellStart"/>
      <w:r w:rsidRPr="00A259BD">
        <w:rPr>
          <w:rFonts w:ascii="Times New Roman" w:hAnsi="Times New Roman"/>
          <w:color w:val="000000" w:themeColor="text1"/>
          <w:sz w:val="16"/>
          <w:szCs w:val="16"/>
        </w:rPr>
        <w:t>Эксольхиме</w:t>
      </w:r>
      <w:proofErr w:type="spellEnd"/>
      <w:r w:rsidRPr="00A259BD">
        <w:rPr>
          <w:rFonts w:ascii="Times New Roman" w:hAnsi="Times New Roman"/>
          <w:color w:val="000000" w:themeColor="text1"/>
          <w:sz w:val="16"/>
          <w:szCs w:val="16"/>
        </w:rPr>
        <w:t>” за</w:t>
      </w:r>
      <w:r w:rsidRPr="00A259BD">
        <w:rPr>
          <w:rFonts w:ascii="Times New Roman" w:hAnsi="Times New Roman"/>
          <w:color w:val="000000" w:themeColor="text1"/>
          <w:sz w:val="16"/>
          <w:szCs w:val="16"/>
        </w:rPr>
        <w:softHyphen/>
        <w:t>нимались академическими работами, сосредоточились на разра</w:t>
      </w:r>
      <w:r w:rsidRPr="00A259BD">
        <w:rPr>
          <w:rFonts w:ascii="Times New Roman" w:hAnsi="Times New Roman"/>
          <w:color w:val="000000" w:themeColor="text1"/>
          <w:sz w:val="16"/>
          <w:szCs w:val="16"/>
        </w:rPr>
        <w:softHyphen/>
        <w:t>ботках второстепенных ОВ (18393).</w:t>
      </w:r>
    </w:p>
    <w:p w14:paraId="3DFFB162" w14:textId="77777777" w:rsidR="00A1095E" w:rsidRPr="00A259BD" w:rsidRDefault="00A1095E" w:rsidP="009236E3">
      <w:pPr>
        <w:spacing w:after="0" w:line="240" w:lineRule="auto"/>
        <w:jc w:val="both"/>
        <w:rPr>
          <w:rFonts w:ascii="Times New Roman" w:hAnsi="Times New Roman"/>
          <w:color w:val="000000" w:themeColor="text1"/>
          <w:sz w:val="16"/>
          <w:szCs w:val="16"/>
        </w:rPr>
      </w:pPr>
    </w:p>
    <w:p w14:paraId="1544D7D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D1A1C4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BB34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марта 1929 были подготовлены ТТ к ТОМ с двумя моторами БМВ-6</w:t>
      </w:r>
    </w:p>
    <w:p w14:paraId="51DAA7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Самолет с полезной нагрузкой 1500 кг и запасом горючего на 4 час. полета д. иметь следующие данные:</w:t>
      </w:r>
    </w:p>
    <w:p w14:paraId="4C5ED3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Гор. скорость на 3000 м - 180 км/час</w:t>
      </w:r>
    </w:p>
    <w:p w14:paraId="6CF66E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Посад. скорость - 85 км/час</w:t>
      </w:r>
    </w:p>
    <w:p w14:paraId="45070C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Потолок практический - 4500 м</w:t>
      </w:r>
    </w:p>
    <w:p w14:paraId="3A6C79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Скороподъемность на 3000 м - 20-25 м</w:t>
      </w:r>
    </w:p>
    <w:p w14:paraId="6E7307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Разбег и пробег в штиль - 18-20 час.</w:t>
      </w:r>
    </w:p>
    <w:p w14:paraId="4DF94E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Полезная нагрузка</w:t>
      </w:r>
    </w:p>
    <w:p w14:paraId="70541D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Полезная нагрузка состоит из экипажа в количестве 3-х чел. и оборудования...(2363,18).</w:t>
      </w:r>
    </w:p>
    <w:p w14:paraId="65F7CD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E96A19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3C1531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A9CF5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марта 1929 в памятной записке штаба РККА отмечено, что план развития оборонной промышленности так и не был составлен. Моб.-плановое </w:t>
      </w:r>
      <w:proofErr w:type="spellStart"/>
      <w:r w:rsidRPr="00A259BD">
        <w:rPr>
          <w:rFonts w:ascii="Times New Roman" w:hAnsi="Times New Roman"/>
          <w:color w:val="000000" w:themeColor="text1"/>
          <w:sz w:val="16"/>
          <w:szCs w:val="16"/>
        </w:rPr>
        <w:t>уппавление</w:t>
      </w:r>
      <w:proofErr w:type="spellEnd"/>
      <w:r w:rsidRPr="00A259BD">
        <w:rPr>
          <w:rFonts w:ascii="Times New Roman" w:hAnsi="Times New Roman"/>
          <w:color w:val="000000" w:themeColor="text1"/>
          <w:sz w:val="16"/>
          <w:szCs w:val="16"/>
        </w:rPr>
        <w:t xml:space="preserve"> в ответе заверило, что план будет готов к апрелю и что обязательно отразится на структуре всего общего пятилетнего плана (9089,93).</w:t>
      </w:r>
    </w:p>
    <w:p w14:paraId="02876F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D0A86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7FD877B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7691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30 марта и 4 апреля 1929. Из протокола заседания Политбюро N 70, особая папка, 1929 г.</w:t>
      </w:r>
    </w:p>
    <w:p w14:paraId="15A8C3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Вопрос </w:t>
      </w:r>
      <w:proofErr w:type="spellStart"/>
      <w:r w:rsidRPr="00A259BD">
        <w:rPr>
          <w:rFonts w:ascii="Times New Roman" w:hAnsi="Times New Roman"/>
          <w:color w:val="000000" w:themeColor="text1"/>
          <w:sz w:val="16"/>
          <w:szCs w:val="16"/>
        </w:rPr>
        <w:t>Заккрайкома</w:t>
      </w:r>
      <w:proofErr w:type="spellEnd"/>
      <w:r w:rsidRPr="00A259BD">
        <w:rPr>
          <w:rFonts w:ascii="Times New Roman" w:hAnsi="Times New Roman"/>
          <w:color w:val="000000" w:themeColor="text1"/>
          <w:sz w:val="16"/>
          <w:szCs w:val="16"/>
        </w:rPr>
        <w:t xml:space="preserve"> </w:t>
      </w:r>
    </w:p>
    <w:p w14:paraId="0662A1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Предложить </w:t>
      </w:r>
      <w:proofErr w:type="spellStart"/>
      <w:r w:rsidRPr="00A259BD">
        <w:rPr>
          <w:rFonts w:ascii="Times New Roman" w:hAnsi="Times New Roman"/>
          <w:color w:val="000000" w:themeColor="text1"/>
          <w:sz w:val="16"/>
          <w:szCs w:val="16"/>
        </w:rPr>
        <w:t>Заккрайкому</w:t>
      </w:r>
      <w:proofErr w:type="spellEnd"/>
      <w:r w:rsidRPr="00A259BD">
        <w:rPr>
          <w:rFonts w:ascii="Times New Roman" w:hAnsi="Times New Roman"/>
          <w:color w:val="000000" w:themeColor="text1"/>
          <w:sz w:val="16"/>
          <w:szCs w:val="16"/>
        </w:rPr>
        <w:t xml:space="preserve"> ликвидировать в </w:t>
      </w:r>
      <w:proofErr w:type="spellStart"/>
      <w:r w:rsidRPr="00A259BD">
        <w:rPr>
          <w:rFonts w:ascii="Times New Roman" w:hAnsi="Times New Roman"/>
          <w:color w:val="000000" w:themeColor="text1"/>
          <w:sz w:val="16"/>
          <w:szCs w:val="16"/>
        </w:rPr>
        <w:t>Аджаристане</w:t>
      </w:r>
      <w:proofErr w:type="spellEnd"/>
      <w:r w:rsidRPr="00A259BD">
        <w:rPr>
          <w:rFonts w:ascii="Times New Roman" w:hAnsi="Times New Roman"/>
          <w:color w:val="000000" w:themeColor="text1"/>
          <w:sz w:val="16"/>
          <w:szCs w:val="16"/>
        </w:rPr>
        <w:t xml:space="preserve"> контрреволюционное восстание всеми доступными мерами. </w:t>
      </w:r>
    </w:p>
    <w:p w14:paraId="10D7F5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Обязать </w:t>
      </w:r>
      <w:proofErr w:type="spellStart"/>
      <w:r w:rsidRPr="00A259BD">
        <w:rPr>
          <w:rFonts w:ascii="Times New Roman" w:hAnsi="Times New Roman"/>
          <w:color w:val="000000" w:themeColor="text1"/>
          <w:sz w:val="16"/>
          <w:szCs w:val="16"/>
        </w:rPr>
        <w:t>Орахелашвили</w:t>
      </w:r>
      <w:proofErr w:type="spellEnd"/>
      <w:r w:rsidRPr="00A259BD">
        <w:rPr>
          <w:rFonts w:ascii="Times New Roman" w:hAnsi="Times New Roman"/>
          <w:color w:val="000000" w:themeColor="text1"/>
          <w:sz w:val="16"/>
          <w:szCs w:val="16"/>
        </w:rPr>
        <w:t xml:space="preserve"> ежедневно информировать Москву о ходе дела и предпринимаемых мерах. </w:t>
      </w:r>
    </w:p>
    <w:p w14:paraId="47EED8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Предложить ЦК Азербайджана воздержаться от проведения декрета о снятии чадры. </w:t>
      </w:r>
    </w:p>
    <w:p w14:paraId="30F082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Признать абсолютно недопустимыми какие бы то ни было меры насилия и административного нажима в отношении борьбы с религиозными предрассудками масс (11652).</w:t>
      </w:r>
    </w:p>
    <w:p w14:paraId="15C43F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4BC8F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30 марта и 4 апреля 1929. Из протокола заседания Политбюро N 71, особая папка, 1929 г.</w:t>
      </w:r>
    </w:p>
    <w:p w14:paraId="70DB67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спекуляции в Москве </w:t>
      </w:r>
    </w:p>
    <w:p w14:paraId="2C20F5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Поручить ОГПУ арестовать в ближайшие дни 100-150 заведомых спекулянтов по Москве, являющихся фактическими организаторами паники на рынке потребительских продуктов и хвостов (очередей), и выслать их в далекие края Сибири (11652).</w:t>
      </w:r>
    </w:p>
    <w:p w14:paraId="077BCD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CFAB26B" w14:textId="77777777" w:rsidR="00873B02" w:rsidRPr="00A259BD" w:rsidRDefault="00873B02"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89BAFC7" w14:textId="77777777" w:rsidR="00873B02" w:rsidRPr="00A259BD" w:rsidRDefault="00873B0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8590946" w14:textId="77777777" w:rsidR="00873B02" w:rsidRPr="00A259BD" w:rsidRDefault="00873B0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марта 1929 Imperial Airways открывает первое регулярное авиасообщение между Великобританией и Британской Индией (20806).</w:t>
      </w:r>
    </w:p>
    <w:p w14:paraId="5AC56D83" w14:textId="77777777" w:rsidR="00873B02" w:rsidRPr="00A259BD" w:rsidRDefault="00873B02" w:rsidP="009236E3">
      <w:pPr>
        <w:spacing w:after="0" w:line="240" w:lineRule="auto"/>
        <w:jc w:val="both"/>
        <w:rPr>
          <w:rFonts w:ascii="Times New Roman" w:hAnsi="Times New Roman"/>
          <w:color w:val="000000" w:themeColor="text1"/>
          <w:sz w:val="16"/>
          <w:szCs w:val="16"/>
        </w:rPr>
      </w:pPr>
    </w:p>
    <w:p w14:paraId="4D59EA2F" w14:textId="77777777" w:rsidR="00EF1005" w:rsidRPr="00A259BD" w:rsidRDefault="00EF100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D79EE56" w14:textId="77777777" w:rsidR="00EF1005" w:rsidRPr="00A259BD" w:rsidRDefault="00EF100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0C19933" w14:textId="77777777" w:rsidR="00EF1005" w:rsidRPr="00A259BD" w:rsidRDefault="00EF1005"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В конце марта 1929 года сдали первые танки Т-18 второй производственной серии сдали, а к концу июня их сдали всего 8. Из них 7 относились к заказу Осоавиахим. Эти машины с правой стороны башен несли надпись «Наш ответ Чемберлену», а с левой стороны наносили надписи «Батрак», «Московский Металлист», «</w:t>
      </w:r>
      <w:proofErr w:type="spellStart"/>
      <w:r w:rsidRPr="00A259BD">
        <w:rPr>
          <w:rFonts w:ascii="Times New Roman" w:hAnsi="Times New Roman"/>
          <w:color w:val="000000" w:themeColor="text1"/>
          <w:sz w:val="16"/>
          <w:szCs w:val="16"/>
          <w:shd w:val="clear" w:color="auto" w:fill="FFFFFF"/>
        </w:rPr>
        <w:t>Совторгслужащий</w:t>
      </w:r>
      <w:proofErr w:type="spellEnd"/>
      <w:r w:rsidRPr="00A259BD">
        <w:rPr>
          <w:rFonts w:ascii="Times New Roman" w:hAnsi="Times New Roman"/>
          <w:color w:val="000000" w:themeColor="text1"/>
          <w:sz w:val="16"/>
          <w:szCs w:val="16"/>
          <w:shd w:val="clear" w:color="auto" w:fill="FFFFFF"/>
        </w:rPr>
        <w:t xml:space="preserve"> СССР», «Горнорабочий СССР» и «Железнодорожник — страж СССР». К концу августа приняли 32 машины, из их часть, вперемешку с танками первой серии, направили в механизированный полк. Это те самые машины, которые принимали участие во Всесоюзных Маневрах Белорусского Военного Округа. Всего к началу сентября завод отправили 15 танков второй серии. Шли они как раз в тот самый механизированный полк. Причем с маневров пришла ругань на тему "танки второй серии хуже по качеству, чем машины первой серии".</w:t>
      </w:r>
    </w:p>
    <w:p w14:paraId="6E1EE4D5" w14:textId="77777777" w:rsidR="00EF1005" w:rsidRPr="00A259BD" w:rsidRDefault="00EF10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Окончательно программу 28/29 годов завод закончил в ноябре 1929 года, с большой руганью и первой волной проверок соответствующими органам (22380).</w:t>
      </w:r>
    </w:p>
    <w:p w14:paraId="323DBF22" w14:textId="77777777" w:rsidR="00EF1005" w:rsidRPr="00A259BD" w:rsidRDefault="00EF1005" w:rsidP="009236E3">
      <w:pPr>
        <w:spacing w:after="0" w:line="240" w:lineRule="auto"/>
        <w:jc w:val="both"/>
        <w:rPr>
          <w:rFonts w:ascii="Times New Roman" w:hAnsi="Times New Roman"/>
          <w:color w:val="000000" w:themeColor="text1"/>
          <w:sz w:val="16"/>
          <w:szCs w:val="16"/>
        </w:rPr>
      </w:pPr>
    </w:p>
    <w:p w14:paraId="3391E5D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F2A684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8F048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марте 1929 г. Поликарпов подписал “Объяснитель</w:t>
      </w:r>
      <w:r w:rsidRPr="00A259BD">
        <w:rPr>
          <w:rFonts w:ascii="Times New Roman" w:hAnsi="Times New Roman"/>
          <w:color w:val="000000" w:themeColor="text1"/>
          <w:sz w:val="16"/>
          <w:szCs w:val="16"/>
        </w:rPr>
        <w:softHyphen/>
        <w:t>ную записку к эскизному проекту одноместного истре</w:t>
      </w:r>
      <w:r w:rsidRPr="00A259BD">
        <w:rPr>
          <w:rFonts w:ascii="Times New Roman" w:hAnsi="Times New Roman"/>
          <w:color w:val="000000" w:themeColor="text1"/>
          <w:sz w:val="16"/>
          <w:szCs w:val="16"/>
        </w:rPr>
        <w:softHyphen/>
        <w:t>бителя И6-Юп6”. В ней нашли отражение концепции и перспективы развития машины, анализировалось пред</w:t>
      </w:r>
      <w:r w:rsidRPr="00A259BD">
        <w:rPr>
          <w:rFonts w:ascii="Times New Roman" w:hAnsi="Times New Roman"/>
          <w:color w:val="000000" w:themeColor="text1"/>
          <w:sz w:val="16"/>
          <w:szCs w:val="16"/>
        </w:rPr>
        <w:softHyphen/>
        <w:t>ложение УВВС установить на самолете двигатель “Юпи</w:t>
      </w:r>
      <w:r w:rsidRPr="00A259BD">
        <w:rPr>
          <w:rFonts w:ascii="Times New Roman" w:hAnsi="Times New Roman"/>
          <w:color w:val="000000" w:themeColor="text1"/>
          <w:sz w:val="16"/>
          <w:szCs w:val="16"/>
        </w:rPr>
        <w:softHyphen/>
        <w:t>тер” IV:</w:t>
      </w:r>
    </w:p>
    <w:p w14:paraId="552BC9E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исходный тип при проектировании И6 завод принял самолет ИЗ (фюзеляж-монокок минимального лобового сопротивления), при этом в коробке крыльев предусмотрен лишь один расчалочный крест, как на са</w:t>
      </w:r>
      <w:r w:rsidRPr="00A259BD">
        <w:rPr>
          <w:rFonts w:ascii="Times New Roman" w:hAnsi="Times New Roman"/>
          <w:color w:val="000000" w:themeColor="text1"/>
          <w:sz w:val="16"/>
          <w:szCs w:val="16"/>
        </w:rPr>
        <w:softHyphen/>
        <w:t>молетах НД37.</w:t>
      </w:r>
    </w:p>
    <w:p w14:paraId="0BEE6A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Коробка крыльев намечена в двух вариантах, разли</w:t>
      </w:r>
      <w:r w:rsidRPr="00A259BD">
        <w:rPr>
          <w:rFonts w:ascii="Times New Roman" w:hAnsi="Times New Roman"/>
          <w:color w:val="000000" w:themeColor="text1"/>
          <w:sz w:val="16"/>
          <w:szCs w:val="16"/>
        </w:rPr>
        <w:softHyphen/>
        <w:t>чающихся между собой размахами верхних и нижних крыльев:</w:t>
      </w:r>
    </w:p>
    <w:p w14:paraId="547E758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1-й вариант имеет размахи 9,75 и 6,5 м, а 2-й вариант 9,0 и 6,0. Общая площадь крыльев 1-го варианта состав</w:t>
      </w:r>
      <w:r w:rsidRPr="00A259BD">
        <w:rPr>
          <w:rFonts w:ascii="Times New Roman" w:hAnsi="Times New Roman"/>
          <w:color w:val="000000" w:themeColor="text1"/>
          <w:sz w:val="16"/>
          <w:szCs w:val="16"/>
        </w:rPr>
        <w:softHyphen/>
        <w:t xml:space="preserve">ляет 20,5 </w:t>
      </w:r>
      <w:proofErr w:type="spellStart"/>
      <w:r w:rsidRPr="00A259BD">
        <w:rPr>
          <w:rFonts w:ascii="Times New Roman" w:hAnsi="Times New Roman"/>
          <w:color w:val="000000" w:themeColor="text1"/>
          <w:sz w:val="16"/>
          <w:szCs w:val="16"/>
        </w:rPr>
        <w:t>кв.м</w:t>
      </w:r>
      <w:proofErr w:type="spellEnd"/>
      <w:r w:rsidRPr="00A259BD">
        <w:rPr>
          <w:rFonts w:ascii="Times New Roman" w:hAnsi="Times New Roman"/>
          <w:color w:val="000000" w:themeColor="text1"/>
          <w:sz w:val="16"/>
          <w:szCs w:val="16"/>
        </w:rPr>
        <w:t>, а 2-го - 18,85 кв.м.</w:t>
      </w:r>
    </w:p>
    <w:p w14:paraId="1270060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Основным преимуществом 2-го варианта является его повышенная маневренность, хотя расчетная поса</w:t>
      </w:r>
      <w:r w:rsidRPr="00A259BD">
        <w:rPr>
          <w:rFonts w:ascii="Times New Roman" w:hAnsi="Times New Roman"/>
          <w:color w:val="000000" w:themeColor="text1"/>
          <w:sz w:val="16"/>
          <w:szCs w:val="16"/>
        </w:rPr>
        <w:softHyphen/>
        <w:t>дочная скорость получается для него немного выше за</w:t>
      </w:r>
      <w:r w:rsidRPr="00A259BD">
        <w:rPr>
          <w:rFonts w:ascii="Times New Roman" w:hAnsi="Times New Roman"/>
          <w:color w:val="000000" w:themeColor="text1"/>
          <w:sz w:val="16"/>
          <w:szCs w:val="16"/>
        </w:rPr>
        <w:softHyphen/>
        <w:t>данной.</w:t>
      </w:r>
    </w:p>
    <w:p w14:paraId="6EA4EF2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полезной нагрузке в 210 кг и запасе горючего в 190 кг расчетные полетные данные обоих вариантов сравнительно с требованиями УВВС таковы:</w:t>
      </w:r>
    </w:p>
    <w:p w14:paraId="48784B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Требования</w:t>
      </w:r>
    </w:p>
    <w:p w14:paraId="49FAB8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расчету</w:t>
      </w:r>
    </w:p>
    <w:p w14:paraId="328CC1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УВВС 1-й вариант 2-й вариант Макс, </w:t>
      </w:r>
      <w:proofErr w:type="spellStart"/>
      <w:r w:rsidRPr="00A259BD">
        <w:rPr>
          <w:rFonts w:ascii="Times New Roman" w:hAnsi="Times New Roman"/>
          <w:color w:val="000000" w:themeColor="text1"/>
          <w:sz w:val="16"/>
          <w:szCs w:val="16"/>
        </w:rPr>
        <w:t>гориз</w:t>
      </w:r>
      <w:proofErr w:type="spellEnd"/>
      <w:r w:rsidRPr="00A259BD">
        <w:rPr>
          <w:rFonts w:ascii="Times New Roman" w:hAnsi="Times New Roman"/>
          <w:color w:val="000000" w:themeColor="text1"/>
          <w:sz w:val="16"/>
          <w:szCs w:val="16"/>
        </w:rPr>
        <w:t>. Скорость на высоте 5000 м 260-270 272 273 Посадочная скорость 100 101 104 Время подъема на 5000 м 9-10 9,44 9,66 Потолок в 45 мин 7500-8000 8250 8060</w:t>
      </w:r>
    </w:p>
    <w:p w14:paraId="5CE1C1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мотора ЮПИТЕР 6 необходимо от</w:t>
      </w:r>
      <w:r w:rsidRPr="00A259BD">
        <w:rPr>
          <w:rFonts w:ascii="Times New Roman" w:hAnsi="Times New Roman"/>
          <w:color w:val="000000" w:themeColor="text1"/>
          <w:sz w:val="16"/>
          <w:szCs w:val="16"/>
        </w:rPr>
        <w:softHyphen/>
        <w:t>метить его недостаточную надежность конструкции, об</w:t>
      </w:r>
      <w:r w:rsidRPr="00A259BD">
        <w:rPr>
          <w:rFonts w:ascii="Times New Roman" w:hAnsi="Times New Roman"/>
          <w:color w:val="000000" w:themeColor="text1"/>
          <w:sz w:val="16"/>
          <w:szCs w:val="16"/>
        </w:rPr>
        <w:softHyphen/>
        <w:t>наруженную при 50-ти часовых сдаточных испытаниях (поломка вала).</w:t>
      </w:r>
    </w:p>
    <w:p w14:paraId="5BDA92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Установка вместо ЮП6 ЮПИТЕРА 4 снизит летную характеристику самолета настолько заметно, что стано</w:t>
      </w:r>
      <w:r w:rsidRPr="00A259BD">
        <w:rPr>
          <w:rFonts w:ascii="Times New Roman" w:hAnsi="Times New Roman"/>
          <w:color w:val="000000" w:themeColor="text1"/>
          <w:sz w:val="16"/>
          <w:szCs w:val="16"/>
        </w:rPr>
        <w:softHyphen/>
        <w:t>вится сомнительной целесообразность постройки всей машины.</w:t>
      </w:r>
    </w:p>
    <w:p w14:paraId="6B4417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Наилучшим решением вопроса в случае невозмож</w:t>
      </w:r>
      <w:r w:rsidRPr="00A259BD">
        <w:rPr>
          <w:rFonts w:ascii="Times New Roman" w:hAnsi="Times New Roman"/>
          <w:color w:val="000000" w:themeColor="text1"/>
          <w:sz w:val="16"/>
          <w:szCs w:val="16"/>
        </w:rPr>
        <w:softHyphen/>
        <w:t>ности получения ЮП6 представляется, по-видимому, установка на И6 мотора “</w:t>
      </w:r>
      <w:proofErr w:type="spellStart"/>
      <w:r w:rsidRPr="00A259BD">
        <w:rPr>
          <w:rFonts w:ascii="Times New Roman" w:hAnsi="Times New Roman"/>
          <w:color w:val="000000" w:themeColor="text1"/>
          <w:sz w:val="16"/>
          <w:szCs w:val="16"/>
        </w:rPr>
        <w:t>Хорнет</w:t>
      </w:r>
      <w:proofErr w:type="spellEnd"/>
      <w:r w:rsidRPr="00A259BD">
        <w:rPr>
          <w:rFonts w:ascii="Times New Roman" w:hAnsi="Times New Roman"/>
          <w:color w:val="000000" w:themeColor="text1"/>
          <w:sz w:val="16"/>
          <w:szCs w:val="16"/>
        </w:rPr>
        <w:t>”, изготовляемого в на</w:t>
      </w:r>
      <w:r w:rsidRPr="00A259BD">
        <w:rPr>
          <w:rFonts w:ascii="Times New Roman" w:hAnsi="Times New Roman"/>
          <w:color w:val="000000" w:themeColor="text1"/>
          <w:sz w:val="16"/>
          <w:szCs w:val="16"/>
        </w:rPr>
        <w:softHyphen/>
        <w:t>стоящее время заводом Б.М.В. по лицензии Пратт-</w:t>
      </w:r>
      <w:proofErr w:type="spellStart"/>
      <w:r w:rsidRPr="00A259BD">
        <w:rPr>
          <w:rFonts w:ascii="Times New Roman" w:hAnsi="Times New Roman"/>
          <w:color w:val="000000" w:themeColor="text1"/>
          <w:sz w:val="16"/>
          <w:szCs w:val="16"/>
        </w:rPr>
        <w:t>Уит</w:t>
      </w:r>
      <w:proofErr w:type="spellEnd"/>
      <w:r w:rsidRPr="00A259BD">
        <w:rPr>
          <w:rFonts w:ascii="Times New Roman" w:hAnsi="Times New Roman"/>
          <w:color w:val="000000" w:themeColor="text1"/>
          <w:sz w:val="16"/>
          <w:szCs w:val="16"/>
        </w:rPr>
        <w:t>-ней. Однако в этом случае придется пересмотреть всю компоновку самолета, так как точные габариты “</w:t>
      </w:r>
      <w:proofErr w:type="spellStart"/>
      <w:r w:rsidRPr="00A259BD">
        <w:rPr>
          <w:rFonts w:ascii="Times New Roman" w:hAnsi="Times New Roman"/>
          <w:color w:val="000000" w:themeColor="text1"/>
          <w:sz w:val="16"/>
          <w:szCs w:val="16"/>
        </w:rPr>
        <w:t>Хорнета</w:t>
      </w:r>
      <w:proofErr w:type="spellEnd"/>
      <w:r w:rsidRPr="00A259BD">
        <w:rPr>
          <w:rFonts w:ascii="Times New Roman" w:hAnsi="Times New Roman"/>
          <w:color w:val="000000" w:themeColor="text1"/>
          <w:sz w:val="16"/>
          <w:szCs w:val="16"/>
        </w:rPr>
        <w:t>” заводу не известны” (10667). Ожидаемый вес пустого самолета, выполненного по первому варианту, составлял 900, по второму - 855 кг, соответственно, взлетный вес 1300 и 1285 кг. Предпола</w:t>
      </w:r>
      <w:r w:rsidRPr="00A259BD">
        <w:rPr>
          <w:rFonts w:ascii="Times New Roman" w:hAnsi="Times New Roman"/>
          <w:color w:val="000000" w:themeColor="text1"/>
          <w:sz w:val="16"/>
          <w:szCs w:val="16"/>
        </w:rPr>
        <w:softHyphen/>
        <w:t>галось, что первый вариант будет развивать у земли мак</w:t>
      </w:r>
      <w:r w:rsidRPr="00A259BD">
        <w:rPr>
          <w:rFonts w:ascii="Times New Roman" w:hAnsi="Times New Roman"/>
          <w:color w:val="000000" w:themeColor="text1"/>
          <w:sz w:val="16"/>
          <w:szCs w:val="16"/>
        </w:rPr>
        <w:softHyphen/>
        <w:t>симальную скорость 273 км/ч, на высоте 1000 м - 284,5 км/ч, на высоте 5000 м - 272 км/ч. Второй вариант, соот</w:t>
      </w:r>
      <w:r w:rsidRPr="00A259BD">
        <w:rPr>
          <w:rFonts w:ascii="Times New Roman" w:hAnsi="Times New Roman"/>
          <w:color w:val="000000" w:themeColor="text1"/>
          <w:sz w:val="16"/>
          <w:szCs w:val="16"/>
        </w:rPr>
        <w:softHyphen/>
        <w:t>ветственно, 274,8 км/ч, 286,3 км/ч и 273,2 км/ч. Эскизный проект истребителя И-6 с некоторыми за</w:t>
      </w:r>
      <w:r w:rsidRPr="00A259BD">
        <w:rPr>
          <w:rFonts w:ascii="Times New Roman" w:hAnsi="Times New Roman"/>
          <w:color w:val="000000" w:themeColor="text1"/>
          <w:sz w:val="16"/>
          <w:szCs w:val="16"/>
        </w:rPr>
        <w:softHyphen/>
        <w:t>мечаниями был утвержден в НТК ВВС и рекомендован к постройке, которая началась с лета 1929 г. В случае отсут</w:t>
      </w:r>
      <w:r w:rsidRPr="00A259BD">
        <w:rPr>
          <w:rFonts w:ascii="Times New Roman" w:hAnsi="Times New Roman"/>
          <w:color w:val="000000" w:themeColor="text1"/>
          <w:sz w:val="16"/>
          <w:szCs w:val="16"/>
        </w:rPr>
        <w:softHyphen/>
        <w:t>ствия мотора “Юпитер” VII (600 л.с.) или “Юпитер” VI (480 л.с.) УВВС соглашалось с заменой его на двигатель “Юпитер” IV (420 л.с.) и неизбежным снижением соот</w:t>
      </w:r>
      <w:r w:rsidRPr="00A259BD">
        <w:rPr>
          <w:rFonts w:ascii="Times New Roman" w:hAnsi="Times New Roman"/>
          <w:color w:val="000000" w:themeColor="text1"/>
          <w:sz w:val="16"/>
          <w:szCs w:val="16"/>
        </w:rPr>
        <w:softHyphen/>
        <w:t>ветствующих технических требований к самолету. В этом случае получаемые на испытаниях характеристики должны пересчитываться под соответствующий мотор. Завод обеспечивал возможность установки на машине различных двигателей. Самолет заложили в четырех экземплярах, каждый имел некоторые отличия от другого, за исключением идентичных по конструкции третьего и четвертого эк</w:t>
      </w:r>
      <w:r w:rsidRPr="00A259BD">
        <w:rPr>
          <w:rFonts w:ascii="Times New Roman" w:hAnsi="Times New Roman"/>
          <w:color w:val="000000" w:themeColor="text1"/>
          <w:sz w:val="16"/>
          <w:szCs w:val="16"/>
        </w:rPr>
        <w:softHyphen/>
        <w:t>земпляров, которые разрабатывались позже, с конца 1929 г., без участия Николая Николаевича (10667).</w:t>
      </w:r>
    </w:p>
    <w:p w14:paraId="2E4904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46E8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 1929 были прочностные испытания АНТ-9 (522,3).</w:t>
      </w:r>
    </w:p>
    <w:p w14:paraId="3545DE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A2F8576"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марте 1929 г. в Москве в НОА ВВС прошли испытания на боевое применение серийных самолетов И-2бис М-5 зав. № 3552, а затем № 3560 (23560).</w:t>
      </w:r>
    </w:p>
    <w:p w14:paraId="3C1FE0D3" w14:textId="77777777" w:rsidR="00292DF5" w:rsidRPr="00441F34" w:rsidRDefault="00292DF5" w:rsidP="00292DF5">
      <w:pPr>
        <w:spacing w:after="0" w:line="240" w:lineRule="auto"/>
        <w:jc w:val="both"/>
        <w:rPr>
          <w:rFonts w:ascii="Times New Roman" w:hAnsi="Times New Roman"/>
          <w:color w:val="0070C0"/>
          <w:sz w:val="16"/>
          <w:szCs w:val="16"/>
        </w:rPr>
      </w:pPr>
    </w:p>
    <w:p w14:paraId="546E86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марте 1929 г. макетная комиссия утвердила полноразмерный макет бомбардировщика ТБ-2, опытный образец которого к тому времени уже начали строить. Начало летных испытаний ТБ-2 задержалось сначала из-за выявленной недостаточной жесткости </w:t>
      </w:r>
      <w:proofErr w:type="spellStart"/>
      <w:r w:rsidRPr="00A259BD">
        <w:rPr>
          <w:rFonts w:ascii="Times New Roman" w:hAnsi="Times New Roman"/>
          <w:color w:val="000000" w:themeColor="text1"/>
          <w:sz w:val="16"/>
          <w:szCs w:val="16"/>
        </w:rPr>
        <w:t>бипланной</w:t>
      </w:r>
      <w:proofErr w:type="spellEnd"/>
      <w:r w:rsidRPr="00A259BD">
        <w:rPr>
          <w:rFonts w:ascii="Times New Roman" w:hAnsi="Times New Roman"/>
          <w:color w:val="000000" w:themeColor="text1"/>
          <w:sz w:val="16"/>
          <w:szCs w:val="16"/>
        </w:rPr>
        <w:t xml:space="preserve"> коробки, затем из-за ареста Поликарпова, объявленного "вредителем". Уже без него весной 1930 г. самолет прошел краткие заводские испытания, на которых показал скорость 216 км/ч - немного больше, чем у туполевского ТБ-1. Но по всем остальным характеристикам он уступал конкуренту, уже </w:t>
      </w:r>
      <w:proofErr w:type="spellStart"/>
      <w:r w:rsidRPr="00A259BD">
        <w:rPr>
          <w:rFonts w:ascii="Times New Roman" w:hAnsi="Times New Roman"/>
          <w:color w:val="000000" w:themeColor="text1"/>
          <w:sz w:val="16"/>
          <w:szCs w:val="16"/>
        </w:rPr>
        <w:t>запускавшемуся</w:t>
      </w:r>
      <w:proofErr w:type="spellEnd"/>
      <w:r w:rsidRPr="00A259BD">
        <w:rPr>
          <w:rFonts w:ascii="Times New Roman" w:hAnsi="Times New Roman"/>
          <w:color w:val="000000" w:themeColor="text1"/>
          <w:sz w:val="16"/>
          <w:szCs w:val="16"/>
        </w:rPr>
        <w:t xml:space="preserve"> в серийное производство. Работы по ТБ-2 прекратили (12036).</w:t>
      </w:r>
    </w:p>
    <w:p w14:paraId="2F24AB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8BA2D7"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марте 1929 г. макетная комиссия утвер</w:t>
      </w:r>
      <w:r w:rsidRPr="00441F34">
        <w:rPr>
          <w:rFonts w:ascii="Times New Roman" w:hAnsi="Times New Roman"/>
          <w:color w:val="0070C0"/>
          <w:sz w:val="16"/>
          <w:szCs w:val="16"/>
        </w:rPr>
        <w:softHyphen/>
        <w:t>дила полноразмерный макет бом</w:t>
      </w:r>
      <w:r w:rsidRPr="00441F34">
        <w:rPr>
          <w:rFonts w:ascii="Times New Roman" w:hAnsi="Times New Roman"/>
          <w:color w:val="0070C0"/>
          <w:sz w:val="16"/>
          <w:szCs w:val="16"/>
        </w:rPr>
        <w:softHyphen/>
        <w:t>бардировщика, получившего обо</w:t>
      </w:r>
      <w:r w:rsidRPr="00441F34">
        <w:rPr>
          <w:rFonts w:ascii="Times New Roman" w:hAnsi="Times New Roman"/>
          <w:color w:val="0070C0"/>
          <w:sz w:val="16"/>
          <w:szCs w:val="16"/>
        </w:rPr>
        <w:softHyphen/>
        <w:t>значение ТБ-2. К тому времени опытный образец самолёта уже на</w:t>
      </w:r>
      <w:r w:rsidRPr="00441F34">
        <w:rPr>
          <w:rFonts w:ascii="Times New Roman" w:hAnsi="Times New Roman"/>
          <w:color w:val="0070C0"/>
          <w:sz w:val="16"/>
          <w:szCs w:val="16"/>
        </w:rPr>
        <w:softHyphen/>
        <w:t>чали строить. Начало лётных ис</w:t>
      </w:r>
      <w:r w:rsidRPr="00441F34">
        <w:rPr>
          <w:rFonts w:ascii="Times New Roman" w:hAnsi="Times New Roman"/>
          <w:color w:val="0070C0"/>
          <w:sz w:val="16"/>
          <w:szCs w:val="16"/>
        </w:rPr>
        <w:softHyphen/>
        <w:t>пытаний задержалось сначала из- за выявленной недостаточной жё</w:t>
      </w:r>
      <w:r w:rsidRPr="00441F34">
        <w:rPr>
          <w:rFonts w:ascii="Times New Roman" w:hAnsi="Times New Roman"/>
          <w:color w:val="0070C0"/>
          <w:sz w:val="16"/>
          <w:szCs w:val="16"/>
        </w:rPr>
        <w:softHyphen/>
        <w:t xml:space="preserve">сткости </w:t>
      </w:r>
      <w:proofErr w:type="spellStart"/>
      <w:r w:rsidRPr="00441F34">
        <w:rPr>
          <w:rFonts w:ascii="Times New Roman" w:hAnsi="Times New Roman"/>
          <w:color w:val="0070C0"/>
          <w:sz w:val="16"/>
          <w:szCs w:val="16"/>
        </w:rPr>
        <w:t>бипланной</w:t>
      </w:r>
      <w:proofErr w:type="spellEnd"/>
      <w:r w:rsidRPr="00441F34">
        <w:rPr>
          <w:rFonts w:ascii="Times New Roman" w:hAnsi="Times New Roman"/>
          <w:color w:val="0070C0"/>
          <w:sz w:val="16"/>
          <w:szCs w:val="16"/>
        </w:rPr>
        <w:t xml:space="preserve"> коробки, затем из-за ареста Поликарпова, объяв</w:t>
      </w:r>
      <w:r w:rsidRPr="00441F34">
        <w:rPr>
          <w:rFonts w:ascii="Times New Roman" w:hAnsi="Times New Roman"/>
          <w:color w:val="0070C0"/>
          <w:sz w:val="16"/>
          <w:szCs w:val="16"/>
        </w:rPr>
        <w:softHyphen/>
        <w:t>ленного «вредителем». Весной 1930 г. самолёт прошел краткие за</w:t>
      </w:r>
      <w:r w:rsidRPr="00441F34">
        <w:rPr>
          <w:rFonts w:ascii="Times New Roman" w:hAnsi="Times New Roman"/>
          <w:color w:val="0070C0"/>
          <w:sz w:val="16"/>
          <w:szCs w:val="16"/>
        </w:rPr>
        <w:softHyphen/>
        <w:t>водские испытания, на которых показал скорость 216 км/ч - не</w:t>
      </w:r>
      <w:r w:rsidRPr="00441F34">
        <w:rPr>
          <w:rFonts w:ascii="Times New Roman" w:hAnsi="Times New Roman"/>
          <w:color w:val="0070C0"/>
          <w:sz w:val="16"/>
          <w:szCs w:val="16"/>
        </w:rPr>
        <w:softHyphen/>
        <w:t>много больше, чем у туполевского ТБ-1. Но по всем остальным харак</w:t>
      </w:r>
      <w:r w:rsidRPr="00441F34">
        <w:rPr>
          <w:rFonts w:ascii="Times New Roman" w:hAnsi="Times New Roman"/>
          <w:color w:val="0070C0"/>
          <w:sz w:val="16"/>
          <w:szCs w:val="16"/>
        </w:rPr>
        <w:softHyphen/>
        <w:t xml:space="preserve">теристикам он уступал конкуренту, уже </w:t>
      </w:r>
      <w:proofErr w:type="spellStart"/>
      <w:r w:rsidRPr="00441F34">
        <w:rPr>
          <w:rFonts w:ascii="Times New Roman" w:hAnsi="Times New Roman"/>
          <w:color w:val="0070C0"/>
          <w:sz w:val="16"/>
          <w:szCs w:val="16"/>
        </w:rPr>
        <w:t>запускавшемуся</w:t>
      </w:r>
      <w:proofErr w:type="spellEnd"/>
      <w:r w:rsidRPr="00441F34">
        <w:rPr>
          <w:rFonts w:ascii="Times New Roman" w:hAnsi="Times New Roman"/>
          <w:color w:val="0070C0"/>
          <w:sz w:val="16"/>
          <w:szCs w:val="16"/>
        </w:rPr>
        <w:t xml:space="preserve"> в серийное производство. Работы по ТБ-2 пре</w:t>
      </w:r>
      <w:r w:rsidRPr="00441F34">
        <w:rPr>
          <w:rFonts w:ascii="Times New Roman" w:hAnsi="Times New Roman"/>
          <w:color w:val="0070C0"/>
          <w:sz w:val="16"/>
          <w:szCs w:val="16"/>
        </w:rPr>
        <w:softHyphen/>
        <w:t>кратили (23469).</w:t>
      </w:r>
    </w:p>
    <w:p w14:paraId="14F317B5" w14:textId="77777777" w:rsidR="00292DF5" w:rsidRPr="00441F34" w:rsidRDefault="00292DF5" w:rsidP="00292DF5">
      <w:pPr>
        <w:spacing w:after="0" w:line="240" w:lineRule="auto"/>
        <w:jc w:val="both"/>
        <w:rPr>
          <w:rFonts w:ascii="Times New Roman" w:hAnsi="Times New Roman"/>
          <w:color w:val="0070C0"/>
          <w:sz w:val="16"/>
          <w:szCs w:val="16"/>
        </w:rPr>
      </w:pPr>
    </w:p>
    <w:p w14:paraId="4CE12922"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марте 1929 г. был утвержден макет АНТ-10 и началась его постройка (23374).</w:t>
      </w:r>
    </w:p>
    <w:p w14:paraId="74F3E7E6" w14:textId="77777777" w:rsidR="00292DF5" w:rsidRPr="00441F34" w:rsidRDefault="00292DF5" w:rsidP="00292DF5">
      <w:pPr>
        <w:spacing w:after="0" w:line="240" w:lineRule="auto"/>
        <w:jc w:val="both"/>
        <w:rPr>
          <w:rFonts w:ascii="Times New Roman" w:hAnsi="Times New Roman"/>
          <w:color w:val="0070C0"/>
          <w:sz w:val="16"/>
          <w:szCs w:val="16"/>
        </w:rPr>
      </w:pPr>
    </w:p>
    <w:p w14:paraId="2CCC47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 1929 Ришар подготовил замечания по ТУ на ТОМ, полученные от НТК УВВС и отмечал много неясностей с якорем, торпедами, фотооборудованием, другим оборудованием и т.п. (2363).</w:t>
      </w:r>
    </w:p>
    <w:p w14:paraId="33DE9D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E5338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 1929 был доклад в ВВА "О возможности постройки "Стального самолета" (1076,599).</w:t>
      </w:r>
    </w:p>
    <w:p w14:paraId="59B629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C527E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 1929 НТК УВВС утвердил проект К-7, но еще меньших размеров (70,201).</w:t>
      </w:r>
    </w:p>
    <w:p w14:paraId="43C2D1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УВВС при сооружении опытных К-5 требовал предусмотреть возможность установки Тур-4 и соответствующий договор с УВП был подписан 13 апреля 1929 К-5 должен был быть трехместным (пилот, бомбардир, стрелок-наблюдатель) бомбардировщиком 3 класса (1 апреля 1929 г.). ПВ-1 250 патронов - через винт, два ДА с 630 - на турели. Бомб - 450-500 кг + радиостанция и фотоаппарат </w:t>
      </w:r>
      <w:proofErr w:type="spellStart"/>
      <w:r w:rsidRPr="00A259BD">
        <w:rPr>
          <w:rFonts w:ascii="Times New Roman" w:hAnsi="Times New Roman"/>
          <w:color w:val="000000" w:themeColor="text1"/>
          <w:sz w:val="16"/>
          <w:szCs w:val="16"/>
        </w:rPr>
        <w:t>Потте</w:t>
      </w:r>
      <w:proofErr w:type="spellEnd"/>
      <w:r w:rsidRPr="00A259BD">
        <w:rPr>
          <w:rFonts w:ascii="Times New Roman" w:hAnsi="Times New Roman"/>
          <w:color w:val="000000" w:themeColor="text1"/>
          <w:sz w:val="16"/>
          <w:szCs w:val="16"/>
        </w:rPr>
        <w:t xml:space="preserve"> и затем Ф-5 (70,175).</w:t>
      </w:r>
    </w:p>
    <w:p w14:paraId="23F254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97667C" w14:textId="77777777" w:rsidR="00EF1005" w:rsidRPr="00A259BD" w:rsidRDefault="00EF1005" w:rsidP="009236E3">
      <w:pPr>
        <w:spacing w:after="0" w:line="240" w:lineRule="auto"/>
        <w:jc w:val="both"/>
        <w:rPr>
          <w:rFonts w:ascii="Times New Roman" w:hAnsi="Times New Roman"/>
          <w:color w:val="000000" w:themeColor="text1"/>
          <w:sz w:val="16"/>
          <w:szCs w:val="16"/>
        </w:rPr>
      </w:pPr>
      <w:bookmarkStart w:id="27" w:name="_Hlk95398273"/>
      <w:r w:rsidRPr="00A259BD">
        <w:rPr>
          <w:rFonts w:ascii="Times New Roman" w:hAnsi="Times New Roman"/>
          <w:color w:val="000000" w:themeColor="text1"/>
          <w:sz w:val="16"/>
          <w:szCs w:val="16"/>
        </w:rPr>
        <w:t xml:space="preserve">В марте 1929 г. НКТ УВВС (как организацией, ответственной за заказ самолетов для ГВФ) был утвержден проект большого пассажирского самолета Калинина - свободнонесущего моноплана классической аэродинамической схемы. </w:t>
      </w:r>
      <w:proofErr w:type="spellStart"/>
      <w:r w:rsidRPr="00A259BD">
        <w:rPr>
          <w:rFonts w:ascii="Times New Roman" w:hAnsi="Times New Roman"/>
          <w:color w:val="000000" w:themeColor="text1"/>
          <w:sz w:val="16"/>
          <w:szCs w:val="16"/>
        </w:rPr>
        <w:t>Элиптической</w:t>
      </w:r>
      <w:proofErr w:type="spellEnd"/>
      <w:r w:rsidRPr="00A259BD">
        <w:rPr>
          <w:rFonts w:ascii="Times New Roman" w:hAnsi="Times New Roman"/>
          <w:color w:val="000000" w:themeColor="text1"/>
          <w:sz w:val="16"/>
          <w:szCs w:val="16"/>
        </w:rPr>
        <w:t xml:space="preserve"> формы крыло имело профиль ЦАГИ Р-П (P-II) в варианте с относительной толщиной 33% – это давало большую строительную высоту, позволяя снизить вес при достаточной прочности и использовать его объемы для размещения пассажиров, уменьшив сечение фюзеляжа. Силовая установка – три 9-цилиндровых однорядных звездообразных двигателя воздушного охлаждения BMW 132 (лицензионный вариант американского мотора Пратт-Уитни R-1690-S1Е-G «</w:t>
      </w:r>
      <w:proofErr w:type="spellStart"/>
      <w:r w:rsidRPr="00A259BD">
        <w:rPr>
          <w:rFonts w:ascii="Times New Roman" w:hAnsi="Times New Roman"/>
          <w:color w:val="000000" w:themeColor="text1"/>
          <w:sz w:val="16"/>
          <w:szCs w:val="16"/>
        </w:rPr>
        <w:t>Хорнет</w:t>
      </w:r>
      <w:proofErr w:type="spellEnd"/>
      <w:r w:rsidRPr="00A259BD">
        <w:rPr>
          <w:rFonts w:ascii="Times New Roman" w:hAnsi="Times New Roman"/>
          <w:color w:val="000000" w:themeColor="text1"/>
          <w:sz w:val="16"/>
          <w:szCs w:val="16"/>
        </w:rPr>
        <w:t>» немецкого производства, взлетная мощность каждого 720…750 л.с., номинальная 650 л.с.). Конструкция - цельнодеревянная с полотняной обшивкой считалась временной мерой до освоения заводом работы с металлом.</w:t>
      </w:r>
    </w:p>
    <w:p w14:paraId="374396A9" w14:textId="77777777" w:rsidR="00EF1005" w:rsidRPr="00A259BD" w:rsidRDefault="00EF10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1928 г. модель самолета была исследована в АДТ в ЦАГИ.</w:t>
      </w:r>
    </w:p>
    <w:p w14:paraId="36F7B5A6" w14:textId="77777777" w:rsidR="00EF1005" w:rsidRPr="00A259BD" w:rsidRDefault="00EF10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Задание на постройку самолета было включено в план заводу № 135, но самолет построен не был.</w:t>
      </w:r>
    </w:p>
    <w:p w14:paraId="58007C7E" w14:textId="77777777" w:rsidR="00EF1005" w:rsidRPr="00A259BD" w:rsidRDefault="00EF10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Одной из причин было то, что само производство на заводе № 135 еще не было налажено в полной мере, не было площадей, достаточных для производства самолета таких размеров.</w:t>
      </w:r>
    </w:p>
    <w:p w14:paraId="25B4C9CA" w14:textId="77777777" w:rsidR="00EF1005" w:rsidRPr="00A259BD" w:rsidRDefault="00EF10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Кроме того, расчеты и продувки модели самолета показали, что мощности трех моторов не достаточно и в проект была включена четвертая </w:t>
      </w:r>
      <w:proofErr w:type="spellStart"/>
      <w:r w:rsidRPr="00A259BD">
        <w:rPr>
          <w:rFonts w:ascii="Times New Roman" w:hAnsi="Times New Roman"/>
          <w:color w:val="000000" w:themeColor="text1"/>
          <w:sz w:val="16"/>
          <w:szCs w:val="16"/>
        </w:rPr>
        <w:t>мотоустановка</w:t>
      </w:r>
      <w:proofErr w:type="spellEnd"/>
      <w:r w:rsidRPr="00A259BD">
        <w:rPr>
          <w:rFonts w:ascii="Times New Roman" w:hAnsi="Times New Roman"/>
          <w:color w:val="000000" w:themeColor="text1"/>
          <w:sz w:val="16"/>
          <w:szCs w:val="16"/>
        </w:rPr>
        <w:t xml:space="preserve"> (23097).</w:t>
      </w:r>
    </w:p>
    <w:bookmarkEnd w:id="27"/>
    <w:p w14:paraId="23ADFFF5" w14:textId="77777777" w:rsidR="00EF1005" w:rsidRPr="00A259BD" w:rsidRDefault="00EF1005" w:rsidP="009236E3">
      <w:pPr>
        <w:spacing w:after="0" w:line="240" w:lineRule="auto"/>
        <w:jc w:val="both"/>
        <w:rPr>
          <w:rFonts w:ascii="Times New Roman" w:hAnsi="Times New Roman"/>
          <w:color w:val="000000" w:themeColor="text1"/>
          <w:sz w:val="16"/>
          <w:szCs w:val="16"/>
        </w:rPr>
      </w:pPr>
    </w:p>
    <w:p w14:paraId="42064360"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марте 1929 г. проект большого пассажирского самолета К.А.К. был утвержден Научно-техническим комитетом Управления Военных Воздушных Сил Рабоче-Крестьянской Красной Армии (НКТ УВВС) как организацией, уполномоченной Совнаркомом СССР осуществлять заказ самолетов также и для ГВФ.</w:t>
      </w:r>
    </w:p>
    <w:p w14:paraId="055398D0"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том же году конструкторское бюро АГОС ЦАГИ («Авиация, гидроавиация, опытное строительство Центрального аэрогидродинамического института) под общим руководством А.Н. Туполева получило задание на разработку бомбардировщика подобной размерности АНТ-16 (ТБ-4) с шестью моторами.</w:t>
      </w:r>
    </w:p>
    <w:p w14:paraId="731A1C5B"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Задание на постройку самолета было включено в план заводу №135, но самолет построен не был.</w:t>
      </w:r>
    </w:p>
    <w:p w14:paraId="4BBEC31F"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Одной из причин было то, что само производство на заводе №135 еще не было налажено в полной мере, не было площадей, достаточных для производства самолета таких размеров.</w:t>
      </w:r>
    </w:p>
    <w:p w14:paraId="70506409"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Кроме того, расчеты и продувки модели самолета показали, что мощности трех моторов не достаточно и в проект была включена четвертая </w:t>
      </w:r>
      <w:proofErr w:type="spellStart"/>
      <w:r w:rsidRPr="00441F34">
        <w:rPr>
          <w:rFonts w:ascii="Times New Roman" w:hAnsi="Times New Roman"/>
          <w:color w:val="0070C0"/>
          <w:sz w:val="16"/>
          <w:szCs w:val="16"/>
        </w:rPr>
        <w:t>мотоустановка</w:t>
      </w:r>
      <w:proofErr w:type="spellEnd"/>
      <w:r w:rsidRPr="00441F34">
        <w:rPr>
          <w:rFonts w:ascii="Times New Roman" w:hAnsi="Times New Roman"/>
          <w:color w:val="0070C0"/>
          <w:sz w:val="16"/>
          <w:szCs w:val="16"/>
        </w:rPr>
        <w:t xml:space="preserve"> (23561).</w:t>
      </w:r>
    </w:p>
    <w:p w14:paraId="571A9D10" w14:textId="77777777" w:rsidR="00292DF5" w:rsidRPr="00441F34" w:rsidRDefault="00292DF5" w:rsidP="00292DF5">
      <w:pPr>
        <w:spacing w:after="0" w:line="240" w:lineRule="auto"/>
        <w:jc w:val="both"/>
        <w:rPr>
          <w:rFonts w:ascii="Times New Roman" w:hAnsi="Times New Roman"/>
          <w:color w:val="0070C0"/>
          <w:sz w:val="16"/>
          <w:szCs w:val="16"/>
        </w:rPr>
      </w:pPr>
    </w:p>
    <w:p w14:paraId="65412EF8" w14:textId="77777777" w:rsidR="00EF1005" w:rsidRPr="00A259BD" w:rsidRDefault="00EF10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 1929 г. было принято окончательное решение об изготовлении КАСКР. В соответствии с принятыми тогда правилами строился КАСКР на средства Осоавиахима. ВВС выделили фюзеляж от учебного «</w:t>
      </w:r>
      <w:proofErr w:type="spellStart"/>
      <w:r w:rsidRPr="00A259BD">
        <w:rPr>
          <w:rFonts w:ascii="Times New Roman" w:hAnsi="Times New Roman"/>
          <w:color w:val="000000" w:themeColor="text1"/>
          <w:sz w:val="16"/>
          <w:szCs w:val="16"/>
        </w:rPr>
        <w:t>Авро</w:t>
      </w:r>
      <w:proofErr w:type="spellEnd"/>
      <w:r w:rsidRPr="00A259BD">
        <w:rPr>
          <w:rFonts w:ascii="Times New Roman" w:hAnsi="Times New Roman"/>
          <w:color w:val="000000" w:themeColor="text1"/>
          <w:sz w:val="16"/>
          <w:szCs w:val="16"/>
        </w:rPr>
        <w:t xml:space="preserve"> 504К» с двигателем «Рон» 120 л.с. Объединение ремонтных заводов «</w:t>
      </w:r>
      <w:proofErr w:type="spellStart"/>
      <w:r w:rsidRPr="00A259BD">
        <w:rPr>
          <w:rFonts w:ascii="Times New Roman" w:hAnsi="Times New Roman"/>
          <w:color w:val="000000" w:themeColor="text1"/>
          <w:sz w:val="16"/>
          <w:szCs w:val="16"/>
        </w:rPr>
        <w:t>Промвоздух</w:t>
      </w:r>
      <w:proofErr w:type="spellEnd"/>
      <w:r w:rsidRPr="00A259BD">
        <w:rPr>
          <w:rFonts w:ascii="Times New Roman" w:hAnsi="Times New Roman"/>
          <w:color w:val="000000" w:themeColor="text1"/>
          <w:sz w:val="16"/>
          <w:szCs w:val="16"/>
        </w:rPr>
        <w:t>» предоставило необходимые материалы и по</w:t>
      </w:r>
      <w:r w:rsidRPr="00A259BD">
        <w:rPr>
          <w:rFonts w:ascii="Times New Roman" w:hAnsi="Times New Roman"/>
          <w:color w:val="000000" w:themeColor="text1"/>
          <w:sz w:val="16"/>
          <w:szCs w:val="16"/>
        </w:rPr>
        <w:softHyphen/>
        <w:t>мещение на заводе «Авиаработник». От «Добролета» в помощь инициативной конструкторской группе направили механика Алексеева.</w:t>
      </w:r>
    </w:p>
    <w:p w14:paraId="10B3DF8D" w14:textId="77777777" w:rsidR="00EF1005" w:rsidRPr="00A259BD" w:rsidRDefault="00EF10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Постройка КАСКР велась во внеурочное, то есть в сво</w:t>
      </w:r>
      <w:r w:rsidRPr="00A259BD">
        <w:rPr>
          <w:rFonts w:ascii="Times New Roman" w:hAnsi="Times New Roman"/>
          <w:color w:val="000000" w:themeColor="text1"/>
          <w:sz w:val="16"/>
          <w:szCs w:val="16"/>
        </w:rPr>
        <w:softHyphen/>
        <w:t>бодное от основной работы время. В ней также принима</w:t>
      </w:r>
      <w:r w:rsidRPr="00A259BD">
        <w:rPr>
          <w:rFonts w:ascii="Times New Roman" w:hAnsi="Times New Roman"/>
          <w:color w:val="000000" w:themeColor="text1"/>
          <w:sz w:val="16"/>
          <w:szCs w:val="16"/>
        </w:rPr>
        <w:softHyphen/>
        <w:t xml:space="preserve">ли участие механик Э. </w:t>
      </w:r>
      <w:proofErr w:type="spellStart"/>
      <w:r w:rsidRPr="00A259BD">
        <w:rPr>
          <w:rFonts w:ascii="Times New Roman" w:hAnsi="Times New Roman"/>
          <w:color w:val="000000" w:themeColor="text1"/>
          <w:sz w:val="16"/>
          <w:szCs w:val="16"/>
        </w:rPr>
        <w:t>Крейндлин</w:t>
      </w:r>
      <w:proofErr w:type="spellEnd"/>
      <w:r w:rsidRPr="00A259BD">
        <w:rPr>
          <w:rFonts w:ascii="Times New Roman" w:hAnsi="Times New Roman"/>
          <w:color w:val="000000" w:themeColor="text1"/>
          <w:sz w:val="16"/>
          <w:szCs w:val="16"/>
        </w:rPr>
        <w:t>, студент М.Л. Миль, чертежник Н. Кун. Основной заботой при изготовлении «вертолета» стал несущий ротор, его втулка и крепление на фюзеляже. Лопасти ротора имели лонжероны из состав</w:t>
      </w:r>
      <w:r w:rsidRPr="00A259BD">
        <w:rPr>
          <w:rFonts w:ascii="Times New Roman" w:hAnsi="Times New Roman"/>
          <w:color w:val="000000" w:themeColor="text1"/>
          <w:sz w:val="16"/>
          <w:szCs w:val="16"/>
        </w:rPr>
        <w:softHyphen/>
        <w:t>ных хромомолибденовых труб, поперечный набор состо</w:t>
      </w:r>
      <w:r w:rsidRPr="00A259BD">
        <w:rPr>
          <w:rFonts w:ascii="Times New Roman" w:hAnsi="Times New Roman"/>
          <w:color w:val="000000" w:themeColor="text1"/>
          <w:sz w:val="16"/>
          <w:szCs w:val="16"/>
        </w:rPr>
        <w:softHyphen/>
        <w:t>ял из деревянных нервюр, обшивка передней части лопа</w:t>
      </w:r>
      <w:r w:rsidRPr="00A259BD">
        <w:rPr>
          <w:rFonts w:ascii="Times New Roman" w:hAnsi="Times New Roman"/>
          <w:color w:val="000000" w:themeColor="text1"/>
          <w:sz w:val="16"/>
          <w:szCs w:val="16"/>
        </w:rPr>
        <w:softHyphen/>
        <w:t>сти из фанеры, далее - полотно. Между собой лопасти до</w:t>
      </w:r>
      <w:r w:rsidRPr="00A259BD">
        <w:rPr>
          <w:rFonts w:ascii="Times New Roman" w:hAnsi="Times New Roman"/>
          <w:color w:val="000000" w:themeColor="text1"/>
          <w:sz w:val="16"/>
          <w:szCs w:val="16"/>
        </w:rPr>
        <w:softHyphen/>
        <w:t>полнительно крепились тросовыми растяжками. Кабан ротора стальной, имел приспособление для наклона несу</w:t>
      </w:r>
      <w:r w:rsidRPr="00A259BD">
        <w:rPr>
          <w:rFonts w:ascii="Times New Roman" w:hAnsi="Times New Roman"/>
          <w:color w:val="000000" w:themeColor="text1"/>
          <w:sz w:val="16"/>
          <w:szCs w:val="16"/>
        </w:rPr>
        <w:softHyphen/>
        <w:t>щей системы в поперечном направлении. Усиленное шас</w:t>
      </w:r>
      <w:r w:rsidRPr="00A259BD">
        <w:rPr>
          <w:rFonts w:ascii="Times New Roman" w:hAnsi="Times New Roman"/>
          <w:color w:val="000000" w:themeColor="text1"/>
          <w:sz w:val="16"/>
          <w:szCs w:val="16"/>
        </w:rPr>
        <w:softHyphen/>
        <w:t>си получило более широкую колею, чем на учебном само</w:t>
      </w:r>
      <w:r w:rsidRPr="00A259BD">
        <w:rPr>
          <w:rFonts w:ascii="Times New Roman" w:hAnsi="Times New Roman"/>
          <w:color w:val="000000" w:themeColor="text1"/>
          <w:sz w:val="16"/>
          <w:szCs w:val="16"/>
        </w:rPr>
        <w:softHyphen/>
        <w:t>лете - 3800 мм. Противокапотажная лыжа от учебного самолета сохранилась.</w:t>
      </w:r>
    </w:p>
    <w:p w14:paraId="5F93D693" w14:textId="77777777" w:rsidR="00EF1005" w:rsidRPr="00A259BD" w:rsidRDefault="00EF10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нижней части фюзеляжа КАСКР установили небольшое крыло площадью 5,2 м2, оборудованное элеронами для обеспечения поперечного управления. Хотя управление ав</w:t>
      </w:r>
      <w:r w:rsidRPr="00A259BD">
        <w:rPr>
          <w:rFonts w:ascii="Times New Roman" w:hAnsi="Times New Roman"/>
          <w:color w:val="000000" w:themeColor="text1"/>
          <w:sz w:val="16"/>
          <w:szCs w:val="16"/>
        </w:rPr>
        <w:softHyphen/>
        <w:t xml:space="preserve">тожиром осуществлялось </w:t>
      </w:r>
      <w:proofErr w:type="spellStart"/>
      <w:r w:rsidRPr="00A259BD">
        <w:rPr>
          <w:rFonts w:ascii="Times New Roman" w:hAnsi="Times New Roman"/>
          <w:color w:val="000000" w:themeColor="text1"/>
          <w:sz w:val="16"/>
          <w:szCs w:val="16"/>
        </w:rPr>
        <w:t>по-самолетному</w:t>
      </w:r>
      <w:proofErr w:type="spellEnd"/>
      <w:r w:rsidRPr="00A259BD">
        <w:rPr>
          <w:rFonts w:ascii="Times New Roman" w:hAnsi="Times New Roman"/>
          <w:color w:val="000000" w:themeColor="text1"/>
          <w:sz w:val="16"/>
          <w:szCs w:val="16"/>
        </w:rPr>
        <w:t>, поперечная балансировка аппарата предполагалась изменением угла наклона ротора - для этого в передней кабине пилота имелся специальный штурвал (20361).</w:t>
      </w:r>
    </w:p>
    <w:p w14:paraId="459BA1A4" w14:textId="77777777" w:rsidR="00EF1005" w:rsidRPr="00A259BD" w:rsidRDefault="00EF1005" w:rsidP="009236E3">
      <w:pPr>
        <w:spacing w:after="0" w:line="240" w:lineRule="auto"/>
        <w:jc w:val="both"/>
        <w:rPr>
          <w:rFonts w:ascii="Times New Roman" w:hAnsi="Times New Roman"/>
          <w:color w:val="000000" w:themeColor="text1"/>
          <w:sz w:val="16"/>
          <w:szCs w:val="16"/>
        </w:rPr>
      </w:pPr>
    </w:p>
    <w:p w14:paraId="22961D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марте 1929 президиум авиационной секции Центрального Совета </w:t>
      </w:r>
      <w:proofErr w:type="spellStart"/>
      <w:r w:rsidRPr="00A259BD">
        <w:rPr>
          <w:rFonts w:ascii="Times New Roman" w:hAnsi="Times New Roman"/>
          <w:color w:val="000000" w:themeColor="text1"/>
          <w:sz w:val="16"/>
          <w:szCs w:val="16"/>
        </w:rPr>
        <w:t>Осоавиа-хима</w:t>
      </w:r>
      <w:proofErr w:type="spellEnd"/>
      <w:r w:rsidRPr="00A259BD">
        <w:rPr>
          <w:rFonts w:ascii="Times New Roman" w:hAnsi="Times New Roman"/>
          <w:color w:val="000000" w:themeColor="text1"/>
          <w:sz w:val="16"/>
          <w:szCs w:val="16"/>
        </w:rPr>
        <w:t xml:space="preserve"> СССР под председательством П.И. Баранова, который тогда был начальником ВВС Красной Армии, принял решение строить КАСКР-1. Автожиру дали название “Красный инженер”. Основные участники группы “КАСКР” каждый вечер собирались вместе, сверлили и резали трубы, выпиливали стальные детали кабана, фюзеляжа, шасси, делали лопасти. Каленые хромомолибденовые трубы с трудом поддавались обработке. Сверлили ручными дрелями, порой сверла не хватало и на одно отверстие. Быстро “садились” ножовочные полотна (9975).</w:t>
      </w:r>
    </w:p>
    <w:p w14:paraId="73F199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6951BB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 1929 были подготовлены Сведения о выполнении заданий Отдела применения НИИ за февраль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985"/>
        <w:gridCol w:w="3260"/>
        <w:gridCol w:w="1700"/>
      </w:tblGrid>
      <w:tr w:rsidR="00A259BD" w:rsidRPr="00A259BD" w14:paraId="44F92E33" w14:textId="77777777">
        <w:tc>
          <w:tcPr>
            <w:tcW w:w="3652" w:type="dxa"/>
          </w:tcPr>
          <w:p w14:paraId="7155056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Наименование задания</w:t>
            </w:r>
          </w:p>
        </w:tc>
        <w:tc>
          <w:tcPr>
            <w:tcW w:w="1985" w:type="dxa"/>
          </w:tcPr>
          <w:p w14:paraId="65BE57E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Когда дано задание</w:t>
            </w:r>
          </w:p>
        </w:tc>
        <w:tc>
          <w:tcPr>
            <w:tcW w:w="3260" w:type="dxa"/>
          </w:tcPr>
          <w:p w14:paraId="523E239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Срок выполнения</w:t>
            </w:r>
          </w:p>
        </w:tc>
        <w:tc>
          <w:tcPr>
            <w:tcW w:w="1700" w:type="dxa"/>
          </w:tcPr>
          <w:p w14:paraId="34E80AF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каком состоянии находится задание </w:t>
            </w:r>
          </w:p>
        </w:tc>
      </w:tr>
      <w:tr w:rsidR="00A259BD" w:rsidRPr="00A259BD" w14:paraId="177272C7" w14:textId="77777777">
        <w:tc>
          <w:tcPr>
            <w:tcW w:w="3652" w:type="dxa"/>
          </w:tcPr>
          <w:p w14:paraId="266E222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Р-V БМВ-VI</w:t>
            </w:r>
          </w:p>
        </w:tc>
        <w:tc>
          <w:tcPr>
            <w:tcW w:w="1985" w:type="dxa"/>
          </w:tcPr>
          <w:p w14:paraId="6A214B3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1A508D4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находится на заводе</w:t>
            </w:r>
          </w:p>
        </w:tc>
        <w:tc>
          <w:tcPr>
            <w:tcW w:w="1700" w:type="dxa"/>
          </w:tcPr>
          <w:p w14:paraId="1F47902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BEC9F0D" w14:textId="77777777">
        <w:tc>
          <w:tcPr>
            <w:tcW w:w="3652" w:type="dxa"/>
          </w:tcPr>
          <w:p w14:paraId="1CA9F5C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Р-III БМВ VI</w:t>
            </w:r>
          </w:p>
        </w:tc>
        <w:tc>
          <w:tcPr>
            <w:tcW w:w="1985" w:type="dxa"/>
          </w:tcPr>
          <w:p w14:paraId="3F461FE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004256C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задерживается из-за плохой работы мотора</w:t>
            </w:r>
          </w:p>
        </w:tc>
        <w:tc>
          <w:tcPr>
            <w:tcW w:w="1700" w:type="dxa"/>
          </w:tcPr>
          <w:p w14:paraId="0C08E2A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CED13BF" w14:textId="77777777">
        <w:tc>
          <w:tcPr>
            <w:tcW w:w="3652" w:type="dxa"/>
          </w:tcPr>
          <w:p w14:paraId="4F9E914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ТБ1</w:t>
            </w:r>
          </w:p>
        </w:tc>
        <w:tc>
          <w:tcPr>
            <w:tcW w:w="1985" w:type="dxa"/>
          </w:tcPr>
          <w:p w14:paraId="11381A0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304A373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Разрушен узел шасси</w:t>
            </w:r>
          </w:p>
        </w:tc>
        <w:tc>
          <w:tcPr>
            <w:tcW w:w="1700" w:type="dxa"/>
          </w:tcPr>
          <w:p w14:paraId="2A35CC5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9654D77" w14:textId="77777777">
        <w:tc>
          <w:tcPr>
            <w:tcW w:w="3652" w:type="dxa"/>
          </w:tcPr>
          <w:p w14:paraId="5E1B870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И-3</w:t>
            </w:r>
          </w:p>
        </w:tc>
        <w:tc>
          <w:tcPr>
            <w:tcW w:w="1985" w:type="dxa"/>
          </w:tcPr>
          <w:p w14:paraId="61185FD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7F210FA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находится на заводе</w:t>
            </w:r>
          </w:p>
        </w:tc>
        <w:tc>
          <w:tcPr>
            <w:tcW w:w="1700" w:type="dxa"/>
          </w:tcPr>
          <w:p w14:paraId="32621FA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0B8485F" w14:textId="77777777">
        <w:tc>
          <w:tcPr>
            <w:tcW w:w="3652" w:type="dxa"/>
          </w:tcPr>
          <w:p w14:paraId="3E59BB7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И IV Ю-VI</w:t>
            </w:r>
          </w:p>
        </w:tc>
        <w:tc>
          <w:tcPr>
            <w:tcW w:w="1985" w:type="dxa"/>
          </w:tcPr>
          <w:p w14:paraId="137A0AD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4BFFAE6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стадии испытания</w:t>
            </w:r>
          </w:p>
        </w:tc>
        <w:tc>
          <w:tcPr>
            <w:tcW w:w="1700" w:type="dxa"/>
          </w:tcPr>
          <w:p w14:paraId="2AD38C4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w:t>
            </w:r>
          </w:p>
        </w:tc>
      </w:tr>
      <w:tr w:rsidR="00A259BD" w:rsidRPr="00A259BD" w14:paraId="1C0FC032" w14:textId="77777777">
        <w:tc>
          <w:tcPr>
            <w:tcW w:w="3652" w:type="dxa"/>
          </w:tcPr>
          <w:p w14:paraId="08BD252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НД-37</w:t>
            </w:r>
          </w:p>
        </w:tc>
        <w:tc>
          <w:tcPr>
            <w:tcW w:w="1985" w:type="dxa"/>
          </w:tcPr>
          <w:p w14:paraId="5B47FFD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742DF84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стадии испытания</w:t>
            </w:r>
          </w:p>
        </w:tc>
        <w:tc>
          <w:tcPr>
            <w:tcW w:w="1700" w:type="dxa"/>
          </w:tcPr>
          <w:p w14:paraId="229A7F3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A6CD6E2" w14:textId="77777777">
        <w:tc>
          <w:tcPr>
            <w:tcW w:w="3652" w:type="dxa"/>
          </w:tcPr>
          <w:p w14:paraId="234CF5C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Авиа “ВН-33”</w:t>
            </w:r>
          </w:p>
        </w:tc>
        <w:tc>
          <w:tcPr>
            <w:tcW w:w="1985" w:type="dxa"/>
          </w:tcPr>
          <w:p w14:paraId="5A7D0B2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0A211AA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Устранение недостатков</w:t>
            </w:r>
          </w:p>
        </w:tc>
        <w:tc>
          <w:tcPr>
            <w:tcW w:w="1700" w:type="dxa"/>
          </w:tcPr>
          <w:p w14:paraId="33074EF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F6E9FE6" w14:textId="77777777">
        <w:tc>
          <w:tcPr>
            <w:tcW w:w="3652" w:type="dxa"/>
          </w:tcPr>
          <w:p w14:paraId="7C7C79A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Р-1 № 3483</w:t>
            </w:r>
          </w:p>
        </w:tc>
        <w:tc>
          <w:tcPr>
            <w:tcW w:w="1985" w:type="dxa"/>
          </w:tcPr>
          <w:p w14:paraId="4E5529C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342FC2A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Выполнено</w:t>
            </w:r>
          </w:p>
        </w:tc>
        <w:tc>
          <w:tcPr>
            <w:tcW w:w="1700" w:type="dxa"/>
          </w:tcPr>
          <w:p w14:paraId="274A7B7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r>
      <w:tr w:rsidR="00A259BD" w:rsidRPr="00A259BD" w14:paraId="10666B6C" w14:textId="77777777">
        <w:tc>
          <w:tcPr>
            <w:tcW w:w="3652" w:type="dxa"/>
          </w:tcPr>
          <w:p w14:paraId="01F9327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И-2 бис № 3552</w:t>
            </w:r>
          </w:p>
        </w:tc>
        <w:tc>
          <w:tcPr>
            <w:tcW w:w="1985" w:type="dxa"/>
          </w:tcPr>
          <w:p w14:paraId="5010E48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331AFF5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Выполнено</w:t>
            </w:r>
          </w:p>
        </w:tc>
        <w:tc>
          <w:tcPr>
            <w:tcW w:w="1700" w:type="dxa"/>
          </w:tcPr>
          <w:p w14:paraId="2DC241E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r>
      <w:tr w:rsidR="00A259BD" w:rsidRPr="00A259BD" w14:paraId="771DFC0C" w14:textId="77777777">
        <w:tc>
          <w:tcPr>
            <w:tcW w:w="3652" w:type="dxa"/>
          </w:tcPr>
          <w:p w14:paraId="4433CC6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И-2 бис № 3560</w:t>
            </w:r>
          </w:p>
        </w:tc>
        <w:tc>
          <w:tcPr>
            <w:tcW w:w="1985" w:type="dxa"/>
          </w:tcPr>
          <w:p w14:paraId="1236424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469A292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Выполнено</w:t>
            </w:r>
          </w:p>
        </w:tc>
        <w:tc>
          <w:tcPr>
            <w:tcW w:w="1700" w:type="dxa"/>
          </w:tcPr>
          <w:p w14:paraId="2329012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r>
      <w:tr w:rsidR="00A259BD" w:rsidRPr="00A259BD" w14:paraId="62CD82BA" w14:textId="77777777">
        <w:tc>
          <w:tcPr>
            <w:tcW w:w="3652" w:type="dxa"/>
          </w:tcPr>
          <w:p w14:paraId="545B521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Р1 № 3454 с нагрузкой 450 кг</w:t>
            </w:r>
          </w:p>
        </w:tc>
        <w:tc>
          <w:tcPr>
            <w:tcW w:w="1985" w:type="dxa"/>
          </w:tcPr>
          <w:p w14:paraId="4E6A292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59BAB33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Выполнено</w:t>
            </w:r>
          </w:p>
        </w:tc>
        <w:tc>
          <w:tcPr>
            <w:tcW w:w="1700" w:type="dxa"/>
          </w:tcPr>
          <w:p w14:paraId="6A79EED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r>
    </w:tbl>
    <w:p w14:paraId="011D0FB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(6953, 13-15).</w:t>
      </w:r>
    </w:p>
    <w:p w14:paraId="52F163E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9389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 1929 г. на М-5 завода № 24 выявили прогорание поршней. Причиной сочли то, что днище поршня у советского двигателя было тоньше, чем у оригинального «Либерти». После этого и у нас стали выпускать поршни с утолщенным днищем (11923).</w:t>
      </w:r>
    </w:p>
    <w:p w14:paraId="64217C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3BC14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марту 1929 г. один опытный двигатель Киреева был готов примерно наполо</w:t>
      </w:r>
      <w:r w:rsidRPr="00A259BD">
        <w:rPr>
          <w:rFonts w:ascii="Times New Roman" w:hAnsi="Times New Roman"/>
          <w:color w:val="000000" w:themeColor="text1"/>
          <w:sz w:val="16"/>
          <w:szCs w:val="16"/>
        </w:rPr>
        <w:softHyphen/>
        <w:t>вину. Денег при этом израсходовали вдвое больше, чем запланировали.</w:t>
      </w:r>
    </w:p>
    <w:p w14:paraId="115C7D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Характеристики:</w:t>
      </w:r>
    </w:p>
    <w:p w14:paraId="2438C6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12-цилиндровый, рядный У-образный, четырехтактный, водяного</w:t>
      </w:r>
    </w:p>
    <w:p w14:paraId="3136784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охлаждения, редукторный;</w:t>
      </w:r>
    </w:p>
    <w:p w14:paraId="11B127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 ПЦН (в окончательном варианте);</w:t>
      </w:r>
    </w:p>
    <w:p w14:paraId="54499A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диаметр цилиндра/ход поршня 132/180 мм (позднее 166,5/230 мм);</w:t>
      </w:r>
    </w:p>
    <w:p w14:paraId="26B868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степень сжатия 5,7 (альтернативно 6,2);</w:t>
      </w:r>
    </w:p>
    <w:p w14:paraId="0B9A686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мощность исходно 600 л.с. (позднее 800 л.с. и 950 л.с.) (11852).</w:t>
      </w:r>
    </w:p>
    <w:p w14:paraId="3DA50E8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2AAD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марте 1929 г. правление треста издало приказ о прекращении работы, но 5 апреля Реввоенсовет отменил его. Проект Киреева за это время довольно существенно изменился. Диаметр цилиндра увеличился, так же как ход поршня. Предусматривался наддув от ПЦН, а впоследствии от турбонагнетателя. В дальнейшем Киреев хотел перейти на </w:t>
      </w:r>
      <w:proofErr w:type="spellStart"/>
      <w:r w:rsidRPr="00A259BD">
        <w:rPr>
          <w:rFonts w:ascii="Times New Roman" w:hAnsi="Times New Roman"/>
          <w:color w:val="000000" w:themeColor="text1"/>
          <w:sz w:val="16"/>
          <w:szCs w:val="16"/>
        </w:rPr>
        <w:t>пятиклапанные</w:t>
      </w:r>
      <w:proofErr w:type="spellEnd"/>
      <w:r w:rsidRPr="00A259BD">
        <w:rPr>
          <w:rFonts w:ascii="Times New Roman" w:hAnsi="Times New Roman"/>
          <w:color w:val="000000" w:themeColor="text1"/>
          <w:sz w:val="16"/>
          <w:szCs w:val="16"/>
        </w:rPr>
        <w:t xml:space="preserve"> головки цилиндров. Даже без турбонаддува, по расчетам, мотор должен был развить мощность 950 л.с. Характеристики:</w:t>
      </w:r>
    </w:p>
    <w:p w14:paraId="004FEA2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12-цилиндровый, рядный У-образный, четырехтактный, водяного</w:t>
      </w:r>
    </w:p>
    <w:p w14:paraId="14D60F3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охлаждения, редукторный;</w:t>
      </w:r>
    </w:p>
    <w:p w14:paraId="73138D2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 ПЦН (в окончательном варианте);</w:t>
      </w:r>
    </w:p>
    <w:p w14:paraId="501B355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диаметр цилиндра/ход поршня 132/180 мм (позднее 166,5/230 мм);</w:t>
      </w:r>
    </w:p>
    <w:p w14:paraId="3ED945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степень сжатия 5,7 (альтернативно 6,2);</w:t>
      </w:r>
    </w:p>
    <w:p w14:paraId="303EFC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мощность исходно 600 л.с. (позднее 800 л.с. и 950 л.с.) (11852).</w:t>
      </w:r>
    </w:p>
    <w:p w14:paraId="7B68B23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8965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 1929 Реввоенсовет ставил вопрос о переброске горючего по воздуху (522,5).</w:t>
      </w:r>
    </w:p>
    <w:p w14:paraId="040AE6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2C95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 1929 года были проведены войсковые авиационные испытания АХБ калибра 32 кг в снаряжении ипритом (9065).</w:t>
      </w:r>
    </w:p>
    <w:p w14:paraId="166D4A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9E1D3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 1929 было подготовлено Постановление РЗ СТО (проект)</w:t>
      </w:r>
    </w:p>
    <w:p w14:paraId="678732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Президиум ВСНХ СССР от " " марта 1929 года за № ………….. о деятельности авиапромышленности за период 1927/28 года и о перспективах развития ее на ближайшее пятилетие – 1928/29 – 1932/33 годов (в редакции ВСНХ СССР)</w:t>
      </w:r>
    </w:p>
    <w:p w14:paraId="48B46E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отделу 1</w:t>
      </w:r>
    </w:p>
    <w:p w14:paraId="4D12A0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(Техническое состояние авиапромышленности на 1 октября 1928 года)</w:t>
      </w:r>
    </w:p>
    <w:p w14:paraId="5E989885"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Отметить рост основного капитала авиапромышленности по состоянию на 1 октября 1928 года по сравнению его с 1925-26 годом.</w:t>
      </w:r>
    </w:p>
    <w:p w14:paraId="1F2017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Капитал увеличился с 22013 тысяч рублей на 43282 тысячи рублей. Увеличение шло за счет вложений в существующие заводы авиапромышленности с 1925-26 г., а также присоединения с 1926-27 г. завода № 22, с основным капиталом в 5677 тысяч рублей.</w:t>
      </w:r>
    </w:p>
    <w:p w14:paraId="2D4207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отделу II</w:t>
      </w:r>
    </w:p>
    <w:p w14:paraId="591B53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деятельности авиапромышленности на период 1926/27 и 1927/28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w:t>
      </w:r>
    </w:p>
    <w:p w14:paraId="0863CCA9"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Отметить рост производительности авиапромышленности за 1926-27 и 1927-28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в отношении как основных предметов изделий – самолетов и моторов, так и подсобных предметов производства. По сравнению с 1925-26 годом производство самолетов увеличилось в 1926-27 году на 67,8%, а в 1927-28 году на 89,6% и производство моторов увеличилось в 1927-28 году на 109,2% (в отношении 1926-27 года увеличения выпуска новых моторов нет, но за то имеется увеличение в выпуске ремонтных моторов М5, 292 в 1926/27 году против 170 ремонтных моторов в 1925-26 году (при наличии усложняющихся из года в год конструкций самолетов и моторов.</w:t>
      </w:r>
    </w:p>
    <w:p w14:paraId="77AF3753"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Отметить недовыполнение производственной программы авиапромышленностью, определяющееся в поштучном выражении основных предметов изделия:</w:t>
      </w:r>
    </w:p>
    <w:p w14:paraId="17EA53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1926-27 году по моторам – 16%</w:t>
      </w:r>
    </w:p>
    <w:p w14:paraId="138D7D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1927-28 году по самолетам – 16%</w:t>
      </w:r>
    </w:p>
    <w:p w14:paraId="360889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1927-28 году по моторам – 9%</w:t>
      </w:r>
    </w:p>
    <w:p w14:paraId="008395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Означенное недовыполнение явилось результатом недостаточной планировки производства и снабжения, по отдельным заводам брака цветного литья, брака </w:t>
      </w:r>
      <w:proofErr w:type="spellStart"/>
      <w:r w:rsidRPr="00A259BD">
        <w:rPr>
          <w:rFonts w:ascii="Times New Roman" w:hAnsi="Times New Roman"/>
          <w:color w:val="000000" w:themeColor="text1"/>
          <w:sz w:val="16"/>
          <w:szCs w:val="16"/>
        </w:rPr>
        <w:t>авиапоковок</w:t>
      </w:r>
      <w:proofErr w:type="spellEnd"/>
      <w:r w:rsidRPr="00A259BD">
        <w:rPr>
          <w:rFonts w:ascii="Times New Roman" w:hAnsi="Times New Roman"/>
          <w:color w:val="000000" w:themeColor="text1"/>
          <w:sz w:val="16"/>
          <w:szCs w:val="16"/>
        </w:rPr>
        <w:t xml:space="preserve">, высоких требований техусловий на поставку </w:t>
      </w:r>
      <w:proofErr w:type="spellStart"/>
      <w:r w:rsidRPr="00A259BD">
        <w:rPr>
          <w:rFonts w:ascii="Times New Roman" w:hAnsi="Times New Roman"/>
          <w:color w:val="000000" w:themeColor="text1"/>
          <w:sz w:val="16"/>
          <w:szCs w:val="16"/>
        </w:rPr>
        <w:t>авиаизделий</w:t>
      </w:r>
      <w:proofErr w:type="spellEnd"/>
      <w:r w:rsidRPr="00A259BD">
        <w:rPr>
          <w:rFonts w:ascii="Times New Roman" w:hAnsi="Times New Roman"/>
          <w:color w:val="000000" w:themeColor="text1"/>
          <w:sz w:val="16"/>
          <w:szCs w:val="16"/>
        </w:rPr>
        <w:t>, недостатка высококвалифицированной рабочей силы и руководящего техперсонала на рынке труда, поступления на производство недостаточно проработанных конструкций.</w:t>
      </w:r>
    </w:p>
    <w:p w14:paraId="5306AB1D"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Отмечая наличие значительного % брака по </w:t>
      </w:r>
      <w:proofErr w:type="spellStart"/>
      <w:r w:rsidRPr="00A259BD">
        <w:rPr>
          <w:rFonts w:ascii="Times New Roman" w:hAnsi="Times New Roman"/>
          <w:color w:val="000000" w:themeColor="text1"/>
          <w:sz w:val="16"/>
          <w:szCs w:val="16"/>
        </w:rPr>
        <w:t>авиапоковкам</w:t>
      </w:r>
      <w:proofErr w:type="spellEnd"/>
      <w:r w:rsidRPr="00A259BD">
        <w:rPr>
          <w:rFonts w:ascii="Times New Roman" w:hAnsi="Times New Roman"/>
          <w:color w:val="000000" w:themeColor="text1"/>
          <w:sz w:val="16"/>
          <w:szCs w:val="16"/>
        </w:rPr>
        <w:t xml:space="preserve"> предложить ВСНХ особо рассмотреть вопрос о мероприятиях по улучшению производства </w:t>
      </w:r>
      <w:proofErr w:type="spellStart"/>
      <w:r w:rsidRPr="00A259BD">
        <w:rPr>
          <w:rFonts w:ascii="Times New Roman" w:hAnsi="Times New Roman"/>
          <w:color w:val="000000" w:themeColor="text1"/>
          <w:sz w:val="16"/>
          <w:szCs w:val="16"/>
        </w:rPr>
        <w:t>авиапоковок</w:t>
      </w:r>
      <w:proofErr w:type="spellEnd"/>
      <w:r w:rsidRPr="00A259BD">
        <w:rPr>
          <w:rFonts w:ascii="Times New Roman" w:hAnsi="Times New Roman"/>
          <w:color w:val="000000" w:themeColor="text1"/>
          <w:sz w:val="16"/>
          <w:szCs w:val="16"/>
        </w:rPr>
        <w:t xml:space="preserve"> из специальных сортов хромоникелевых, хромомолибденовых и ванадиевых сталей, не останавливаясь перед необходимостью получения в этом деле технической помощи от соответствующих иностранных фирм.</w:t>
      </w:r>
    </w:p>
    <w:p w14:paraId="41DF618F"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Наряду с мероприятиями по п. 3 предложить </w:t>
      </w:r>
      <w:proofErr w:type="spellStart"/>
      <w:r w:rsidRPr="00A259BD">
        <w:rPr>
          <w:rFonts w:ascii="Times New Roman" w:hAnsi="Times New Roman"/>
          <w:color w:val="000000" w:themeColor="text1"/>
          <w:sz w:val="16"/>
          <w:szCs w:val="16"/>
        </w:rPr>
        <w:t>НКВМору</w:t>
      </w:r>
      <w:proofErr w:type="spellEnd"/>
      <w:r w:rsidRPr="00A259BD">
        <w:rPr>
          <w:rFonts w:ascii="Times New Roman" w:hAnsi="Times New Roman"/>
          <w:color w:val="000000" w:themeColor="text1"/>
          <w:sz w:val="16"/>
          <w:szCs w:val="16"/>
        </w:rPr>
        <w:t xml:space="preserve"> и ВСНХ-СССР организовать работу по пересмотру существующих техусловий на поставку продукции авиационной промышленности в целях устранения в них всех излишне строгих и чрезмерно высоких требований, не оправдывающихся условиями производства и эксплуатации.</w:t>
      </w:r>
    </w:p>
    <w:p w14:paraId="31AE9114"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Отмечая медленность внедрения на производство новых типов самолетов и моторов – предложить ВСНХ-СССР принять меры по созданию условий, устраняющих означенное явление путем ряда организационных мер по сокращению сроков выпуска головных машин и производства их испытаний, а также путем улучшения планировки в производстве и в снабжении.</w:t>
      </w:r>
    </w:p>
    <w:p w14:paraId="110075D9"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Отметить слабое развитие работ по постановке производства моторов М17 на основах использования договора по </w:t>
      </w:r>
      <w:proofErr w:type="spellStart"/>
      <w:r w:rsidRPr="00A259BD">
        <w:rPr>
          <w:rFonts w:ascii="Times New Roman" w:hAnsi="Times New Roman"/>
          <w:color w:val="000000" w:themeColor="text1"/>
          <w:sz w:val="16"/>
          <w:szCs w:val="16"/>
        </w:rPr>
        <w:t>техсодействию</w:t>
      </w:r>
      <w:proofErr w:type="spellEnd"/>
      <w:r w:rsidRPr="00A259BD">
        <w:rPr>
          <w:rFonts w:ascii="Times New Roman" w:hAnsi="Times New Roman"/>
          <w:color w:val="000000" w:themeColor="text1"/>
          <w:sz w:val="16"/>
          <w:szCs w:val="16"/>
        </w:rPr>
        <w:t xml:space="preserve"> с фирмой БМВ. Предложить ВСНХ-СССР взять под особое наблюдение работы авиапромышленности в этой части в целях принятия мер по формированию этих работ.</w:t>
      </w:r>
    </w:p>
    <w:p w14:paraId="59B5C7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отделу III</w:t>
      </w:r>
    </w:p>
    <w:p w14:paraId="2DB504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(Снабжение)</w:t>
      </w:r>
    </w:p>
    <w:p w14:paraId="1485F621"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Отмечая установку ряда новых производств внутри нашей страны по предметам, ввозившимся для авиапромышленности ранее из-за границы как-то: стальным цельнотянутым трубам, стальным тросам, аэролакам, расчалкам, </w:t>
      </w:r>
      <w:proofErr w:type="spellStart"/>
      <w:r w:rsidRPr="00A259BD">
        <w:rPr>
          <w:rFonts w:ascii="Times New Roman" w:hAnsi="Times New Roman"/>
          <w:color w:val="000000" w:themeColor="text1"/>
          <w:sz w:val="16"/>
          <w:szCs w:val="16"/>
        </w:rPr>
        <w:t>авиасвечам</w:t>
      </w:r>
      <w:proofErr w:type="spellEnd"/>
      <w:r w:rsidRPr="00A259BD">
        <w:rPr>
          <w:rFonts w:ascii="Times New Roman" w:hAnsi="Times New Roman"/>
          <w:color w:val="000000" w:themeColor="text1"/>
          <w:sz w:val="16"/>
          <w:szCs w:val="16"/>
        </w:rPr>
        <w:t>, авиаприборам и другим предметам – предложить ВСНХ-СССР расширить в этом направлении в целях полного освобождения авиапромышленности от иностранной зависимости, в течении ближайших 5 лет.</w:t>
      </w:r>
    </w:p>
    <w:p w14:paraId="724018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отделу IV и V</w:t>
      </w:r>
    </w:p>
    <w:p w14:paraId="1FFF39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труда и динамика цен отпускных и снижение себестоимости)</w:t>
      </w:r>
    </w:p>
    <w:p w14:paraId="1D462F71"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Отметить улучшение в использовании труда и оборудования авиапромышленностью, давшее при наличии ряда рационализаторских мероприятий в производстве, снижение количества производственных часов на единицу изделия, по основным видам установившегося производства. Так по самолетам Р1-М5 в 1926-27 году снижено на 13,4% и в 1927-28 году на 27,8% и по моторам М5 в 1926-27 году на 45,6% и в 1927-28 году на 46,4% по сравнению с 1925-26 годом.</w:t>
      </w:r>
    </w:p>
    <w:p w14:paraId="2896CE2E"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Отметить, что в результате мероприятий указанных в предыдущем пункте, а также снижения накладных расходов, достигнуто снижение в себестоимости продукции авиапромышленности.</w:t>
      </w:r>
    </w:p>
    <w:p w14:paraId="3C7083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 по основным видам изделий по самолетам Р1-М5 снижение определяется в 1926-27 году в 10,2% и в 1927-28 году в 12,5%, по моторам М5 в те же годы на 27,1% и в 1927-28 году на 32,1% по сравнению с 1925-26 годом.</w:t>
      </w:r>
    </w:p>
    <w:p w14:paraId="4364D4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отделу VI</w:t>
      </w:r>
    </w:p>
    <w:p w14:paraId="0E4851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плану пятилетнего развития авиапромышленности и капитального строительства)</w:t>
      </w:r>
    </w:p>
    <w:p w14:paraId="077C9B51"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Отметить необходимость развития авиапромышленности по плану новых </w:t>
      </w:r>
      <w:proofErr w:type="spellStart"/>
      <w:r w:rsidRPr="00A259BD">
        <w:rPr>
          <w:rFonts w:ascii="Times New Roman" w:hAnsi="Times New Roman"/>
          <w:color w:val="000000" w:themeColor="text1"/>
          <w:sz w:val="16"/>
          <w:szCs w:val="16"/>
        </w:rPr>
        <w:t>мобзаданий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на 5 лет с 1928/29 года по 1932/33 включительно с достижением полной годовой мощности в 6865 самолетов и 8010 моторов.</w:t>
      </w:r>
    </w:p>
    <w:p w14:paraId="525F23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Означенное задание утвердить, положив его в основу развития авиапромышленности на период ближайших 5 лет, считая первым годом 28/29 год. Развитие мощности вести, исходя из условий установившегося производства по окончании периода развертывания.</w:t>
      </w:r>
    </w:p>
    <w:p w14:paraId="26D6653F"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Отметить правильность общего направления в решении вопросов развития авиапромышленности в связи с новым </w:t>
      </w:r>
      <w:proofErr w:type="spellStart"/>
      <w:r w:rsidRPr="00A259BD">
        <w:rPr>
          <w:rFonts w:ascii="Times New Roman" w:hAnsi="Times New Roman"/>
          <w:color w:val="000000" w:themeColor="text1"/>
          <w:sz w:val="16"/>
          <w:szCs w:val="16"/>
        </w:rPr>
        <w:t>мобзаданием</w:t>
      </w:r>
      <w:proofErr w:type="spellEnd"/>
      <w:r w:rsidRPr="00A259BD">
        <w:rPr>
          <w:rFonts w:ascii="Times New Roman" w:hAnsi="Times New Roman"/>
          <w:color w:val="000000" w:themeColor="text1"/>
          <w:sz w:val="16"/>
          <w:szCs w:val="16"/>
        </w:rPr>
        <w:t xml:space="preserve"> на пять лет.</w:t>
      </w:r>
    </w:p>
    <w:p w14:paraId="09F6F62F"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Констатировать, что намечаемым ориентировочно, по плану развития авиапромышленности, выпуском не покрывается полностью потребность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в самолетах и моторах по </w:t>
      </w:r>
      <w:proofErr w:type="spellStart"/>
      <w:r w:rsidRPr="00A259BD">
        <w:rPr>
          <w:rFonts w:ascii="Times New Roman" w:hAnsi="Times New Roman"/>
          <w:color w:val="000000" w:themeColor="text1"/>
          <w:sz w:val="16"/>
          <w:szCs w:val="16"/>
        </w:rPr>
        <w:t>мобплану</w:t>
      </w:r>
      <w:proofErr w:type="spellEnd"/>
      <w:r w:rsidRPr="00A259BD">
        <w:rPr>
          <w:rFonts w:ascii="Times New Roman" w:hAnsi="Times New Roman"/>
          <w:color w:val="000000" w:themeColor="text1"/>
          <w:sz w:val="16"/>
          <w:szCs w:val="16"/>
        </w:rPr>
        <w:t xml:space="preserve"> варианта № 10 на 1930/31 год. По самолетам не покрывается 867 машин, по моторам – 1257 машин.</w:t>
      </w:r>
    </w:p>
    <w:p w14:paraId="624F29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Покрытие полной потребности осуществляется лишь между 1930/31 и 1931/32 годами.</w:t>
      </w:r>
    </w:p>
    <w:p w14:paraId="1203E802"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Отметить необходимость постройки двух новых самолетостроительных заводов соответствующих мощностей: один для деревянных и смешанных конструкций с производственной мощностью в 930 самолетов и другой для металлических самолетов с производственной мощностью в 369 самолетов в одну смену при 2000 рабочих часов в год.</w:t>
      </w:r>
    </w:p>
    <w:p w14:paraId="3AE8473B"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Отметить целесообразность постройки подсобного цеха для производства отдельных механизмов и деталей для строящихся авиамоторов в целях разгрузки моторных заводов и увеличения выпуска моторов.</w:t>
      </w:r>
    </w:p>
    <w:p w14:paraId="7C01663E"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Отметить необходимость ускорения постройки нового завода по приборам для вооружения самолетов.</w:t>
      </w:r>
    </w:p>
    <w:p w14:paraId="5CBC411F"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решении вопроса о способе покрытия дефицита в части авиамоторов ВСНХ-СССР исходить из соображений экономической и технической целесообразности (постройка нового завода, расширение существующих моторных заводов). Предложить ВСНХ закончить разработку вопроса в течение двух месяцев.</w:t>
      </w:r>
    </w:p>
    <w:p w14:paraId="3D1B31FB"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приведенных в докладе сумм, необходимых для осуществления запроектированного развития авиапромышленности, предложить ВСНХ определить указанные суммы на основе уточненных расчетов развития технических мощностей ………………………..</w:t>
      </w:r>
    </w:p>
    <w:p w14:paraId="57593D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Соответствующие работы закончить к началу мая 1930 года.</w:t>
      </w:r>
    </w:p>
    <w:p w14:paraId="159397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отделу VII</w:t>
      </w:r>
    </w:p>
    <w:p w14:paraId="5A2293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(Опытное строительство)</w:t>
      </w:r>
    </w:p>
    <w:p w14:paraId="7B7A5DAB"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Отметить ряд успешных разработок конструкции новых типов самолетов, как например: ТБ1, И3, И4, П2, Р5, У2.</w:t>
      </w:r>
    </w:p>
    <w:p w14:paraId="206861C2"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Отметить крайнюю медленность в разработке новых конструкций самолетов и моторов.</w:t>
      </w:r>
    </w:p>
    <w:p w14:paraId="5F7B1409"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Предложить ВСНХ широко развернуть работы конструкторских и опытных организаций, как промышленных, так и научных, по новым конструкциям самолетов и моторов, по заданиям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создав условия максимально большей согласованности в них и максимального использования наличия конструкторских сил и опыта внутри ВСНХ и </w:t>
      </w:r>
      <w:proofErr w:type="spellStart"/>
      <w:r w:rsidRPr="00A259BD">
        <w:rPr>
          <w:rFonts w:ascii="Times New Roman" w:hAnsi="Times New Roman"/>
          <w:color w:val="000000" w:themeColor="text1"/>
          <w:sz w:val="16"/>
          <w:szCs w:val="16"/>
        </w:rPr>
        <w:t>НКВМора</w:t>
      </w:r>
      <w:proofErr w:type="spellEnd"/>
      <w:r w:rsidRPr="00A259BD">
        <w:rPr>
          <w:rFonts w:ascii="Times New Roman" w:hAnsi="Times New Roman"/>
          <w:color w:val="000000" w:themeColor="text1"/>
          <w:sz w:val="16"/>
          <w:szCs w:val="16"/>
        </w:rPr>
        <w:t>.</w:t>
      </w:r>
    </w:p>
    <w:p w14:paraId="0FBC7ED4"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Отметить необходимость форсирования работ по проектированию и постройке новых конструкций приборов для вооружения самолетов.</w:t>
      </w:r>
    </w:p>
    <w:p w14:paraId="4D5A5186"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Отмечая недостаточность собственных конструкторских сил по разработке новых конструкций самолетов и моторов, считать необходимым усиление наших конструкторских организаций путем приглашения соответствующих специалистов из-за границы, считая мероприятия ВСНХ в этом отношении правильными. Предложить последнему форсировать в дальнейшем такое усиление строго согласовав однако с действительной потребностью.</w:t>
      </w:r>
    </w:p>
    <w:p w14:paraId="1CF65899"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Предложить ВСНХ ускорить разрешение вопроса по увязке работ по опытному строительству между авиапромышленностью по линии ГВПУ и ЦАГИ и НАМИ по линии НТУ ВСНХ, а также УВВС.</w:t>
      </w:r>
    </w:p>
    <w:p w14:paraId="31B1B4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отделу VIII</w:t>
      </w:r>
    </w:p>
    <w:p w14:paraId="095477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(Базы снабжения)</w:t>
      </w:r>
    </w:p>
    <w:p w14:paraId="087BB54B"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Констатировать недостаточно удовлетворительное состояние баз снабжения авиапромышленности основными материалами и полуфабрикатами.</w:t>
      </w:r>
    </w:p>
    <w:p w14:paraId="0CE6B9E4"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Предложить ВСНХ СССР в шестимесячный срок разработать и представить на утверждение в СТО исчерпывающий план снабжения авиапромышленности основными материалами и полуфабрикатами, с указанием потребных к отпуску сумм на капитальное строительство.</w:t>
      </w:r>
    </w:p>
    <w:p w14:paraId="0A7629C9"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Учитывая истощение лесных массивов, годных для авиапромышленности, предложить </w:t>
      </w:r>
      <w:proofErr w:type="spellStart"/>
      <w:r w:rsidRPr="00A259BD">
        <w:rPr>
          <w:rFonts w:ascii="Times New Roman" w:hAnsi="Times New Roman"/>
          <w:color w:val="000000" w:themeColor="text1"/>
          <w:sz w:val="16"/>
          <w:szCs w:val="16"/>
        </w:rPr>
        <w:t>НКЗему</w:t>
      </w:r>
      <w:proofErr w:type="spellEnd"/>
      <w:r w:rsidRPr="00A259BD">
        <w:rPr>
          <w:rFonts w:ascii="Times New Roman" w:hAnsi="Times New Roman"/>
          <w:color w:val="000000" w:themeColor="text1"/>
          <w:sz w:val="16"/>
          <w:szCs w:val="16"/>
        </w:rPr>
        <w:t xml:space="preserve"> разработать и представить на утверждение в СТО в течение 6 месяцев план обеспечения промышленности новыми лесными массивами, годными для потребностей самолетостроения.</w:t>
      </w:r>
    </w:p>
    <w:p w14:paraId="722DC235"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Предложить ВСНХ и </w:t>
      </w:r>
      <w:proofErr w:type="spellStart"/>
      <w:r w:rsidRPr="00A259BD">
        <w:rPr>
          <w:rFonts w:ascii="Times New Roman" w:hAnsi="Times New Roman"/>
          <w:color w:val="000000" w:themeColor="text1"/>
          <w:sz w:val="16"/>
          <w:szCs w:val="16"/>
        </w:rPr>
        <w:t>НКВМору</w:t>
      </w:r>
      <w:proofErr w:type="spellEnd"/>
      <w:r w:rsidRPr="00A259BD">
        <w:rPr>
          <w:rFonts w:ascii="Times New Roman" w:hAnsi="Times New Roman"/>
          <w:color w:val="000000" w:themeColor="text1"/>
          <w:sz w:val="16"/>
          <w:szCs w:val="16"/>
        </w:rPr>
        <w:t xml:space="preserve"> в течение шести месяцев разработать вопрос по возможному снижению технических требований в отношении качества лесных материалов, идущих на постройку самолетов.</w:t>
      </w:r>
    </w:p>
    <w:p w14:paraId="608062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отделу IX</w:t>
      </w:r>
    </w:p>
    <w:p w14:paraId="384889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(Рабочий вопрос)</w:t>
      </w:r>
    </w:p>
    <w:p w14:paraId="51BDB5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предложить ВСНХ совместно с </w:t>
      </w:r>
      <w:proofErr w:type="spellStart"/>
      <w:r w:rsidRPr="00A259BD">
        <w:rPr>
          <w:rFonts w:ascii="Times New Roman" w:hAnsi="Times New Roman"/>
          <w:color w:val="000000" w:themeColor="text1"/>
          <w:sz w:val="16"/>
          <w:szCs w:val="16"/>
        </w:rPr>
        <w:t>НКТРуда</w:t>
      </w:r>
      <w:proofErr w:type="spellEnd"/>
      <w:r w:rsidRPr="00A259BD">
        <w:rPr>
          <w:rFonts w:ascii="Times New Roman" w:hAnsi="Times New Roman"/>
          <w:color w:val="000000" w:themeColor="text1"/>
          <w:sz w:val="16"/>
          <w:szCs w:val="16"/>
        </w:rPr>
        <w:t xml:space="preserve"> в шестимесячный срок разработать и представить на утверждение в СТО вопрос о мероприятиях по укомплектованию техперсоналом и рабсилой авиапромышленности на период пятилетнего ее развития для условий мирного времени, с подсчетом всех потребных для разрешения вопроса сумм, с установлением плана финансирования (3545,16-18 и 3770,40).</w:t>
      </w:r>
    </w:p>
    <w:p w14:paraId="75F9EE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02DC968" w14:textId="77777777" w:rsidR="00B65863" w:rsidRPr="00A259BD" w:rsidRDefault="00B6586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 1929 месяце было произведено несколько испытаний тягача НАМИ для работы по снежному аэродрому на поле и в дороге, после чего машину сдали в НИИ ВВС. Однако на снабжение ВВС тягач так и не поступил. 16 мая 1929 г. один из его разработчиков – А. С. Кузин доложил соратникам ход работ. В этой связи в протоколе № 76 коллегии НАМИ было зафиксировано решение о необходимости просить ВВС указать, что должен эксплуатироваться тягач «по снежной целине, по снежному твёрдому грунту, или осеннему бездорожью или же летней дороге», так как предварительные опыты показали, что «при работе в тяжёлых зимних условиях тягач может быть неудовлетворительным» (18640).</w:t>
      </w:r>
    </w:p>
    <w:p w14:paraId="47945141" w14:textId="77777777" w:rsidR="00B65863" w:rsidRPr="00A259BD" w:rsidRDefault="00B65863" w:rsidP="009236E3">
      <w:pPr>
        <w:spacing w:after="0" w:line="240" w:lineRule="auto"/>
        <w:jc w:val="both"/>
        <w:rPr>
          <w:rFonts w:ascii="Times New Roman" w:hAnsi="Times New Roman"/>
          <w:color w:val="000000" w:themeColor="text1"/>
          <w:sz w:val="16"/>
          <w:szCs w:val="16"/>
        </w:rPr>
      </w:pPr>
    </w:p>
    <w:p w14:paraId="1FFE06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марте 1929 г. </w:t>
      </w:r>
      <w:proofErr w:type="spellStart"/>
      <w:r w:rsidRPr="00A259BD">
        <w:rPr>
          <w:rFonts w:ascii="Times New Roman" w:hAnsi="Times New Roman"/>
          <w:color w:val="000000" w:themeColor="text1"/>
          <w:sz w:val="16"/>
          <w:szCs w:val="16"/>
        </w:rPr>
        <w:t>Авиа</w:t>
      </w:r>
      <w:r w:rsidRPr="00A259BD">
        <w:rPr>
          <w:rFonts w:ascii="Times New Roman" w:hAnsi="Times New Roman"/>
          <w:color w:val="000000" w:themeColor="text1"/>
          <w:sz w:val="16"/>
          <w:szCs w:val="16"/>
        </w:rPr>
        <w:softHyphen/>
        <w:t>трест</w:t>
      </w:r>
      <w:proofErr w:type="spellEnd"/>
      <w:r w:rsidRPr="00A259BD">
        <w:rPr>
          <w:rFonts w:ascii="Times New Roman" w:hAnsi="Times New Roman"/>
          <w:color w:val="000000" w:themeColor="text1"/>
          <w:sz w:val="16"/>
          <w:szCs w:val="16"/>
        </w:rPr>
        <w:t xml:space="preserve"> обратился с ходатайством перед начальником Главного политического управления разрешить двух-трехнедельную командировку в Германию на заводы Хейнкеля председателю правления </w:t>
      </w:r>
      <w:proofErr w:type="spellStart"/>
      <w:r w:rsidRPr="00A259BD">
        <w:rPr>
          <w:rFonts w:ascii="Times New Roman" w:hAnsi="Times New Roman"/>
          <w:color w:val="000000" w:themeColor="text1"/>
          <w:sz w:val="16"/>
          <w:szCs w:val="16"/>
        </w:rPr>
        <w:t>М.Г.Урываеву</w:t>
      </w:r>
      <w:proofErr w:type="spellEnd"/>
      <w:r w:rsidRPr="00A259BD">
        <w:rPr>
          <w:rFonts w:ascii="Times New Roman" w:hAnsi="Times New Roman"/>
          <w:color w:val="000000" w:themeColor="text1"/>
          <w:sz w:val="16"/>
          <w:szCs w:val="16"/>
        </w:rPr>
        <w:t xml:space="preserve"> и по</w:t>
      </w:r>
      <w:r w:rsidRPr="00A259BD">
        <w:rPr>
          <w:rFonts w:ascii="Times New Roman" w:hAnsi="Times New Roman"/>
          <w:color w:val="000000" w:themeColor="text1"/>
          <w:sz w:val="16"/>
          <w:szCs w:val="16"/>
        </w:rPr>
        <w:softHyphen/>
        <w:t xml:space="preserve">мощнику директора завода № 25 по технической части </w:t>
      </w:r>
      <w:proofErr w:type="spellStart"/>
      <w:r w:rsidRPr="00A259BD">
        <w:rPr>
          <w:rFonts w:ascii="Times New Roman" w:hAnsi="Times New Roman"/>
          <w:color w:val="000000" w:themeColor="text1"/>
          <w:sz w:val="16"/>
          <w:szCs w:val="16"/>
        </w:rPr>
        <w:t>Н.Н.Поликарпову</w:t>
      </w:r>
      <w:proofErr w:type="spellEnd"/>
      <w:r w:rsidRPr="00A259BD">
        <w:rPr>
          <w:rFonts w:ascii="Times New Roman" w:hAnsi="Times New Roman"/>
          <w:color w:val="000000" w:themeColor="text1"/>
          <w:sz w:val="16"/>
          <w:szCs w:val="16"/>
        </w:rPr>
        <w:t xml:space="preserve"> “для уточнения всех вопросов, свя</w:t>
      </w:r>
      <w:r w:rsidRPr="00A259BD">
        <w:rPr>
          <w:rFonts w:ascii="Times New Roman" w:hAnsi="Times New Roman"/>
          <w:color w:val="000000" w:themeColor="text1"/>
          <w:sz w:val="16"/>
          <w:szCs w:val="16"/>
        </w:rPr>
        <w:softHyphen/>
        <w:t>занных с получением техпомощи по самолетам сварной конструкции”. ОГПУ на это ответило отказом: над Поликарповым уже нависли черные тучи, шли процес</w:t>
      </w:r>
      <w:r w:rsidRPr="00A259BD">
        <w:rPr>
          <w:rFonts w:ascii="Times New Roman" w:hAnsi="Times New Roman"/>
          <w:color w:val="000000" w:themeColor="text1"/>
          <w:sz w:val="16"/>
          <w:szCs w:val="16"/>
        </w:rPr>
        <w:softHyphen/>
        <w:t>сы “Шахтинского дела”, “дела Промпартии” и др. Одна</w:t>
      </w:r>
      <w:r w:rsidRPr="00A259BD">
        <w:rPr>
          <w:rFonts w:ascii="Times New Roman" w:hAnsi="Times New Roman"/>
          <w:color w:val="000000" w:themeColor="text1"/>
          <w:sz w:val="16"/>
          <w:szCs w:val="16"/>
        </w:rPr>
        <w:softHyphen/>
        <w:t xml:space="preserve">ко против приглашения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зарубежных специалистов возражений не было (10667).</w:t>
      </w:r>
    </w:p>
    <w:p w14:paraId="6F4B445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88DB0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E46675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DF754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 1929 года представленные проекты были рассмотрены, и после утверждения протокола (22 марта 1929 года) промышленности было поручено изготовить 6 опытных образцов:</w:t>
      </w:r>
    </w:p>
    <w:p w14:paraId="246C52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КБ НТК </w:t>
      </w:r>
      <w:proofErr w:type="spellStart"/>
      <w:r w:rsidRPr="00A259BD">
        <w:rPr>
          <w:rFonts w:ascii="Times New Roman" w:hAnsi="Times New Roman"/>
          <w:color w:val="000000" w:themeColor="text1"/>
          <w:sz w:val="16"/>
          <w:szCs w:val="16"/>
        </w:rPr>
        <w:t>Артуправления</w:t>
      </w:r>
      <w:proofErr w:type="spellEnd"/>
      <w:r w:rsidRPr="00A259BD">
        <w:rPr>
          <w:rFonts w:ascii="Times New Roman" w:hAnsi="Times New Roman"/>
          <w:color w:val="000000" w:themeColor="text1"/>
          <w:sz w:val="16"/>
          <w:szCs w:val="16"/>
        </w:rPr>
        <w:t xml:space="preserve"> 1-й вариант;</w:t>
      </w:r>
    </w:p>
    <w:p w14:paraId="6AB3FB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КБ НТК </w:t>
      </w:r>
      <w:proofErr w:type="spellStart"/>
      <w:r w:rsidRPr="00A259BD">
        <w:rPr>
          <w:rFonts w:ascii="Times New Roman" w:hAnsi="Times New Roman"/>
          <w:color w:val="000000" w:themeColor="text1"/>
          <w:sz w:val="16"/>
          <w:szCs w:val="16"/>
        </w:rPr>
        <w:t>Артуправления</w:t>
      </w:r>
      <w:proofErr w:type="spellEnd"/>
      <w:r w:rsidRPr="00A259BD">
        <w:rPr>
          <w:rFonts w:ascii="Times New Roman" w:hAnsi="Times New Roman"/>
          <w:color w:val="000000" w:themeColor="text1"/>
          <w:sz w:val="16"/>
          <w:szCs w:val="16"/>
        </w:rPr>
        <w:t xml:space="preserve"> 3-й вариант;</w:t>
      </w:r>
    </w:p>
    <w:p w14:paraId="15CD93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Завод "Красный Путиловец;</w:t>
      </w:r>
    </w:p>
    <w:p w14:paraId="0AADAD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Завод "Большевик";</w:t>
      </w:r>
    </w:p>
    <w:p w14:paraId="43F5F2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ОАТ;</w:t>
      </w:r>
    </w:p>
    <w:p w14:paraId="4D579D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Глухарева, Щелкова и </w:t>
      </w:r>
      <w:proofErr w:type="spellStart"/>
      <w:r w:rsidRPr="00A259BD">
        <w:rPr>
          <w:rFonts w:ascii="Times New Roman" w:hAnsi="Times New Roman"/>
          <w:color w:val="000000" w:themeColor="text1"/>
          <w:sz w:val="16"/>
          <w:szCs w:val="16"/>
        </w:rPr>
        <w:t>Тагунова</w:t>
      </w:r>
      <w:proofErr w:type="spellEnd"/>
      <w:r w:rsidRPr="00A259BD">
        <w:rPr>
          <w:rFonts w:ascii="Times New Roman" w:hAnsi="Times New Roman"/>
          <w:color w:val="000000" w:themeColor="text1"/>
          <w:sz w:val="16"/>
          <w:szCs w:val="16"/>
        </w:rPr>
        <w:t xml:space="preserve"> (ГШТ) (3861).</w:t>
      </w:r>
    </w:p>
    <w:p w14:paraId="354527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103426" w14:textId="77777777" w:rsidR="0055524C" w:rsidRPr="00A259BD" w:rsidRDefault="0055524C" w:rsidP="009236E3">
      <w:pPr>
        <w:pStyle w:val="a3"/>
        <w:rPr>
          <w:color w:val="000000" w:themeColor="text1"/>
          <w:lang w:val="ru-RU"/>
        </w:rPr>
      </w:pPr>
      <w:r w:rsidRPr="00A259BD">
        <w:rPr>
          <w:color w:val="000000" w:themeColor="text1"/>
          <w:lang w:val="ru-RU"/>
        </w:rPr>
        <w:t xml:space="preserve">Уже с марта 1929 г: </w:t>
      </w:r>
      <w:proofErr w:type="spellStart"/>
      <w:r w:rsidRPr="00A259BD">
        <w:rPr>
          <w:color w:val="000000" w:themeColor="text1"/>
          <w:lang w:val="ru-RU"/>
        </w:rPr>
        <w:t>Курчевскому</w:t>
      </w:r>
      <w:proofErr w:type="spellEnd"/>
      <w:r w:rsidRPr="00A259BD">
        <w:rPr>
          <w:color w:val="000000" w:themeColor="text1"/>
          <w:lang w:val="ru-RU"/>
        </w:rPr>
        <w:t xml:space="preserve"> начали выплачивать ежемесячное жалованье. Чуть позже были предоставлены дополнительные средства и производственная база на артиллерийском заводе №8 в подмосковных Подлипках (12731).</w:t>
      </w:r>
    </w:p>
    <w:p w14:paraId="3DAD6BE6" w14:textId="77777777" w:rsidR="0055524C" w:rsidRPr="00A259BD" w:rsidRDefault="0055524C" w:rsidP="009236E3">
      <w:pPr>
        <w:pStyle w:val="a3"/>
        <w:rPr>
          <w:color w:val="000000" w:themeColor="text1"/>
          <w:lang w:val="ru-RU"/>
        </w:rPr>
      </w:pPr>
    </w:p>
    <w:p w14:paraId="41112514" w14:textId="77777777" w:rsidR="004E7A6F" w:rsidRPr="00A259BD" w:rsidRDefault="004E7A6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марте 1929 г. по итогам заседания по вопросам модернизации вооружения под председательством начальника АУ Г. И. Кулика были взяты под особый контроль ОАТ, Мобилизационно-планового управления и Главного военно-промышленного управления Высшего Совета Народного Хозяйства СССР по срокам исполнения порученные заводу № 7 разработка способа возки снарядов дальней стрельбы и изготовление опытного образца 76-мм батарейной мортиры разработки КБ Научно-технического комитета (НТК) АУ (вар. 3). Данный заказ осуществлялся заводом № 7 в кооперации с заводом «Большевик», который отвечал за поставку ствола орудия [1, Ф. 7р. Оп. 12. Д. 9. Л. 329, 332, 556]. Такой объем номенклатуры опытных изделий материальной части артиллерии зачастую превышал производственные мощности военно-опытной мастерской завода № 7, в связи с чем выполнение нарядов в срок выполнялось при значительных усилиях со стороны инженеров и рабочих завода. Так, 6 декабря 1929 г. в КБ НТК АУ состоялось заседание с участием начальника КБ НТК В. В. Иванова, районного инспектора приемок АУ Г. Д. </w:t>
      </w:r>
      <w:proofErr w:type="spellStart"/>
      <w:r w:rsidRPr="00A259BD">
        <w:rPr>
          <w:rFonts w:ascii="Times New Roman" w:hAnsi="Times New Roman"/>
          <w:color w:val="000000" w:themeColor="text1"/>
          <w:sz w:val="16"/>
          <w:szCs w:val="16"/>
        </w:rPr>
        <w:t>Гродского</w:t>
      </w:r>
      <w:proofErr w:type="spellEnd"/>
      <w:r w:rsidRPr="00A259BD">
        <w:rPr>
          <w:rFonts w:ascii="Times New Roman" w:hAnsi="Times New Roman"/>
          <w:color w:val="000000" w:themeColor="text1"/>
          <w:sz w:val="16"/>
          <w:szCs w:val="16"/>
        </w:rPr>
        <w:t xml:space="preserve">, помощника директора завода № 7 по технической части Н. К. </w:t>
      </w:r>
      <w:proofErr w:type="spellStart"/>
      <w:r w:rsidRPr="00A259BD">
        <w:rPr>
          <w:rFonts w:ascii="Times New Roman" w:hAnsi="Times New Roman"/>
          <w:color w:val="000000" w:themeColor="text1"/>
          <w:sz w:val="16"/>
          <w:szCs w:val="16"/>
        </w:rPr>
        <w:t>Перфилетова</w:t>
      </w:r>
      <w:proofErr w:type="spellEnd"/>
      <w:r w:rsidRPr="00A259BD">
        <w:rPr>
          <w:rFonts w:ascii="Times New Roman" w:hAnsi="Times New Roman"/>
          <w:color w:val="000000" w:themeColor="text1"/>
          <w:sz w:val="16"/>
          <w:szCs w:val="16"/>
        </w:rPr>
        <w:t>, заведующего опытной мастерской И. П. Платонова, на котором обсуждалось состояние опытного производства на заводе. Участниками было отмечено недостаточное планирование поступления заказов в мастерскую, сбои в поставках от смежников, что вызывало смещение сроков выполнения нарядов уже заводом № 7. В результате было принято решение о необходимости дооснащения военно-опытной мастерской необходимым оборудованием и увеличения в ее штате квалифицированных инженерных кадров. Кроме этого, насущной необходимостью было упорядочение организационной составляющей производства, в связи с чем было высказано предложение снять с военно-опытного отдела обязанность ведения серийных заказов, чтобы иметь возможность сосредоточиться на опытных и выработать конкретный и посильный для завода план выполнения заданий с четкой последовательностью, установленной АУ совместно с ОАТ [1, Ф. 7р. Оп. 12. Д. 9. Л. 329, 332]. Таким образом, к концу 1920-х гг. Ленинградский государственный механический завод «Красный Арсенал» — механический завод № 7 сохранил исторически сложившуюся специализацию по производству материальной части артиллерии в сложных условиях восстановления советского оборонно-промышленного комплекса после Гражданской войны. Имея многолетний опыт выполнения заказов военного ведомства и на протяжении всего времени своего существования оставаясь государственным (казенным) заводом, предприятие сохранило производственную инфраструктуру и внутриведомственные связи, необходимые для реализации профильных серийных и опытных работ, что послужило основой для последующей деятельности завода по освоению производства новых видов артиллерийского вооружения в предвоенные 1930-е гг. (19257).</w:t>
      </w:r>
    </w:p>
    <w:p w14:paraId="49C857E4" w14:textId="77777777" w:rsidR="004E7A6F" w:rsidRPr="00A259BD" w:rsidRDefault="004E7A6F" w:rsidP="009236E3">
      <w:pPr>
        <w:spacing w:after="0" w:line="240" w:lineRule="auto"/>
        <w:jc w:val="both"/>
        <w:rPr>
          <w:rFonts w:ascii="Times New Roman" w:hAnsi="Times New Roman"/>
          <w:color w:val="000000" w:themeColor="text1"/>
          <w:sz w:val="16"/>
          <w:szCs w:val="16"/>
        </w:rPr>
      </w:pPr>
    </w:p>
    <w:p w14:paraId="25E0A7B0" w14:textId="77777777" w:rsidR="00B65863" w:rsidRPr="00A259BD" w:rsidRDefault="00B6586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 1929 г. по итогам заседания по вопросам модернизации вооружения под председательством начальника АУ Г. И. Кулика были взяты под особый контроль ОАТ, Мобилизационно-планового управления и Главного военно-промышленного управления Высшего Совета Народного Хозяйства СССР по срокам исполнения порученные заводу № 7 разработка способа возки снарядов дальней стрельбы и изготовление опытного образца 76-мм батарейной мортиры разработки КБ Научно-технического комитета (НТК) АУ (вар. 3). Данный заказ осуществлялся заводом № 7 в кооперации с заводом «Большевик», который отвечал за поставку ствола орудия [1, Ф. 7р. Оп. 12. Д. 9. Л. 329, 332, 556]. Такой объем номенклатуры опытных изделий материальной части артиллерии зачастую превышал производственные мощности военно-опытной мастерской завода № 7, в связи с чем выполнение нарядов в срок выполнялось при значительных усилиях со стороны инженеров и рабочих завода (18628).</w:t>
      </w:r>
    </w:p>
    <w:p w14:paraId="368DC6F5" w14:textId="77777777" w:rsidR="00B65863" w:rsidRPr="00A259BD" w:rsidRDefault="00B65863" w:rsidP="009236E3">
      <w:pPr>
        <w:spacing w:after="0" w:line="240" w:lineRule="auto"/>
        <w:jc w:val="both"/>
        <w:rPr>
          <w:rFonts w:ascii="Times New Roman" w:hAnsi="Times New Roman"/>
          <w:color w:val="000000" w:themeColor="text1"/>
          <w:sz w:val="16"/>
          <w:szCs w:val="16"/>
        </w:rPr>
      </w:pPr>
    </w:p>
    <w:p w14:paraId="78166B6F" w14:textId="77777777" w:rsidR="00B65863" w:rsidRPr="00A259BD" w:rsidRDefault="00B6586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 1929 года, стремясь обезопасить себя от возможных политических осложнений, немцы обратились к Советскому Союзу с предложением заключить с фирмой "</w:t>
      </w:r>
      <w:proofErr w:type="spellStart"/>
      <w:r w:rsidRPr="00A259BD">
        <w:rPr>
          <w:rFonts w:ascii="Times New Roman" w:hAnsi="Times New Roman"/>
          <w:color w:val="000000" w:themeColor="text1"/>
          <w:sz w:val="16"/>
          <w:szCs w:val="16"/>
        </w:rPr>
        <w:t>Рейнметалл</w:t>
      </w:r>
      <w:proofErr w:type="spellEnd"/>
      <w:r w:rsidRPr="00A259BD">
        <w:rPr>
          <w:rFonts w:ascii="Times New Roman" w:hAnsi="Times New Roman"/>
          <w:color w:val="000000" w:themeColor="text1"/>
          <w:sz w:val="16"/>
          <w:szCs w:val="16"/>
        </w:rPr>
        <w:t xml:space="preserve">" фиктивный договор о закупке танков (всего десять единиц, в том числе пять легких и два средних танка), которые немцы хотели доставить через Ленинград с началом навигации. Нарком по военным и морским делам </w:t>
      </w:r>
      <w:proofErr w:type="spellStart"/>
      <w:r w:rsidRPr="00A259BD">
        <w:rPr>
          <w:rFonts w:ascii="Times New Roman" w:hAnsi="Times New Roman"/>
          <w:color w:val="000000" w:themeColor="text1"/>
          <w:sz w:val="16"/>
          <w:szCs w:val="16"/>
        </w:rPr>
        <w:t>К.Е.Ворошилов</w:t>
      </w:r>
      <w:proofErr w:type="spellEnd"/>
      <w:r w:rsidRPr="00A259BD">
        <w:rPr>
          <w:rFonts w:ascii="Times New Roman" w:hAnsi="Times New Roman"/>
          <w:color w:val="000000" w:themeColor="text1"/>
          <w:sz w:val="16"/>
          <w:szCs w:val="16"/>
        </w:rPr>
        <w:t xml:space="preserve"> поддержал данный проект и направил соответствующее ходатайство в Политбюро ЦК ВКП(б), особо отметив, что "скорое прибытие танков в СССР для РККА крайне желательно". Однако предложение было отвергнуто, И.В. Сталин собственноручно наложил резолюцию: "О танках. Мы не можем пойти на фиктивную сделку" Там же.- с.186 (18271).</w:t>
      </w:r>
    </w:p>
    <w:p w14:paraId="0F2477A4" w14:textId="77777777" w:rsidR="00B65863" w:rsidRPr="00A259BD" w:rsidRDefault="00B65863" w:rsidP="009236E3">
      <w:pPr>
        <w:spacing w:after="0" w:line="240" w:lineRule="auto"/>
        <w:jc w:val="both"/>
        <w:rPr>
          <w:rFonts w:ascii="Times New Roman" w:hAnsi="Times New Roman"/>
          <w:color w:val="000000" w:themeColor="text1"/>
          <w:sz w:val="16"/>
          <w:szCs w:val="16"/>
        </w:rPr>
      </w:pPr>
    </w:p>
    <w:p w14:paraId="050E7ADD" w14:textId="77777777" w:rsidR="00E5267B" w:rsidRPr="00A259BD" w:rsidRDefault="00E5267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w:t>
      </w:r>
      <w:bookmarkStart w:id="28" w:name="YANDEX_2"/>
      <w:bookmarkEnd w:id="28"/>
      <w:r w:rsidRPr="00A259BD">
        <w:rPr>
          <w:rStyle w:val="highlight"/>
          <w:rFonts w:ascii="Times New Roman" w:hAnsi="Times New Roman"/>
          <w:color w:val="000000" w:themeColor="text1"/>
          <w:sz w:val="16"/>
          <w:szCs w:val="16"/>
        </w:rPr>
        <w:t> марте  1929 </w:t>
      </w:r>
      <w:r w:rsidRPr="00A259BD">
        <w:rPr>
          <w:rFonts w:ascii="Times New Roman" w:hAnsi="Times New Roman"/>
          <w:color w:val="000000" w:themeColor="text1"/>
          <w:sz w:val="16"/>
          <w:szCs w:val="16"/>
        </w:rPr>
        <w:t>-го советская делегация посетила Германию с целью заключения соглашений на оказание технической помощи для организации современного военно-промышленного производства. Были достигнуты предварительные договоренности с фирмами Круппа, Юнкерса, Цейса и «</w:t>
      </w:r>
      <w:proofErr w:type="spellStart"/>
      <w:r w:rsidRPr="00A259BD">
        <w:rPr>
          <w:rFonts w:ascii="Times New Roman" w:hAnsi="Times New Roman"/>
          <w:color w:val="000000" w:themeColor="text1"/>
          <w:sz w:val="16"/>
          <w:szCs w:val="16"/>
        </w:rPr>
        <w:t>Рейнметалл</w:t>
      </w:r>
      <w:proofErr w:type="spellEnd"/>
      <w:r w:rsidRPr="00A259BD">
        <w:rPr>
          <w:rFonts w:ascii="Times New Roman" w:hAnsi="Times New Roman"/>
          <w:color w:val="000000" w:themeColor="text1"/>
          <w:sz w:val="16"/>
          <w:szCs w:val="16"/>
        </w:rPr>
        <w:t xml:space="preserve">». В том же году через </w:t>
      </w:r>
      <w:proofErr w:type="spellStart"/>
      <w:r w:rsidRPr="00A259BD">
        <w:rPr>
          <w:rFonts w:ascii="Times New Roman" w:hAnsi="Times New Roman"/>
          <w:color w:val="000000" w:themeColor="text1"/>
          <w:sz w:val="16"/>
          <w:szCs w:val="16"/>
        </w:rPr>
        <w:t>крупповский</w:t>
      </w:r>
      <w:proofErr w:type="spellEnd"/>
      <w:r w:rsidRPr="00A259BD">
        <w:rPr>
          <w:rFonts w:ascii="Times New Roman" w:hAnsi="Times New Roman"/>
          <w:color w:val="000000" w:themeColor="text1"/>
          <w:sz w:val="16"/>
          <w:szCs w:val="16"/>
        </w:rPr>
        <w:t xml:space="preserve"> филиал в Швеции - фирму «</w:t>
      </w:r>
      <w:proofErr w:type="spellStart"/>
      <w:r w:rsidRPr="00A259BD">
        <w:rPr>
          <w:rFonts w:ascii="Times New Roman" w:hAnsi="Times New Roman"/>
          <w:color w:val="000000" w:themeColor="text1"/>
          <w:sz w:val="16"/>
          <w:szCs w:val="16"/>
        </w:rPr>
        <w:t>Бофорс</w:t>
      </w:r>
      <w:proofErr w:type="spellEnd"/>
      <w:r w:rsidRPr="00A259BD">
        <w:rPr>
          <w:rFonts w:ascii="Times New Roman" w:hAnsi="Times New Roman"/>
          <w:color w:val="000000" w:themeColor="text1"/>
          <w:sz w:val="16"/>
          <w:szCs w:val="16"/>
        </w:rPr>
        <w:t>» - были закуплены несколько образцов немецких пушек и артиллерийские боеприпасы для исследования и изучения их характеристик.</w:t>
      </w:r>
    </w:p>
    <w:p w14:paraId="178C312D" w14:textId="77777777" w:rsidR="00E5267B" w:rsidRPr="00A259BD" w:rsidRDefault="00E5267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 послевоенное десятилетие фирма «Крупп» перестроилась на выпуск мирной продукции: локомотивы и вагоны, станки и оборудование, мостовые конструкции и трубопроводы. Однако она, нарушая Версальский договор, участвовала и в перевооружении рейхсвера, выпуская малыми партиями различную военную технику и боеприпасы. К началу 1930-х в концерне «Крупп» работало около 70 тысяч человек, и кроме металлургических </w:t>
      </w:r>
      <w:r w:rsidRPr="00A259BD">
        <w:rPr>
          <w:rStyle w:val="highlight"/>
          <w:rFonts w:ascii="Times New Roman" w:hAnsi="Times New Roman"/>
          <w:color w:val="000000" w:themeColor="text1"/>
          <w:sz w:val="16"/>
          <w:szCs w:val="16"/>
        </w:rPr>
        <w:t> заводов </w:t>
      </w:r>
      <w:r w:rsidRPr="00A259BD">
        <w:rPr>
          <w:rFonts w:ascii="Times New Roman" w:hAnsi="Times New Roman"/>
          <w:color w:val="000000" w:themeColor="text1"/>
          <w:sz w:val="16"/>
          <w:szCs w:val="16"/>
        </w:rPr>
        <w:t xml:space="preserve"> в него входили угольные шахты, железные рудники и транспортные организации. Головной офис и главное конструкторское бюро располагалось в городе Эссен.</w:t>
      </w:r>
    </w:p>
    <w:p w14:paraId="78474A5C" w14:textId="77777777" w:rsidR="00E5267B" w:rsidRPr="00A259BD" w:rsidRDefault="00E5267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w:t>
      </w:r>
      <w:r w:rsidRPr="00A259BD">
        <w:rPr>
          <w:rStyle w:val="highlight"/>
          <w:rFonts w:ascii="Times New Roman" w:hAnsi="Times New Roman"/>
          <w:color w:val="000000" w:themeColor="text1"/>
          <w:sz w:val="16"/>
          <w:szCs w:val="16"/>
        </w:rPr>
        <w:t> 1929 </w:t>
      </w:r>
      <w:r w:rsidRPr="00A259BD">
        <w:rPr>
          <w:rFonts w:ascii="Times New Roman" w:hAnsi="Times New Roman"/>
          <w:color w:val="000000" w:themeColor="text1"/>
          <w:sz w:val="16"/>
          <w:szCs w:val="16"/>
        </w:rPr>
        <w:t>-го в Москве прошли переговоры между ВСНХ (Высший Совет народного хозяйства) и фирмой «Крупп» об оказании технической помощи в военном производстве и в производстве легированных сталей и чугуна для гражданских целей сроком на десять лет. В результате Крупп отказался от сотрудничества в военной области, ссылаясь на то, что этим он нарушает Версальский договор, но согласился на совместные работы по специальным сталям. Как говорится, «свято место пусто не бывает», и куда не пошел Крупп - туда пошел «</w:t>
      </w:r>
      <w:proofErr w:type="spellStart"/>
      <w:r w:rsidRPr="00A259BD">
        <w:rPr>
          <w:rFonts w:ascii="Times New Roman" w:hAnsi="Times New Roman"/>
          <w:color w:val="000000" w:themeColor="text1"/>
          <w:sz w:val="16"/>
          <w:szCs w:val="16"/>
        </w:rPr>
        <w:t>Рейнметалл</w:t>
      </w:r>
      <w:proofErr w:type="spellEnd"/>
      <w:r w:rsidRPr="00A259BD">
        <w:rPr>
          <w:rFonts w:ascii="Times New Roman" w:hAnsi="Times New Roman"/>
          <w:color w:val="000000" w:themeColor="text1"/>
          <w:sz w:val="16"/>
          <w:szCs w:val="16"/>
        </w:rPr>
        <w:t>».</w:t>
      </w:r>
    </w:p>
    <w:p w14:paraId="61FCA268" w14:textId="77777777" w:rsidR="00E5267B" w:rsidRPr="00A259BD" w:rsidRDefault="00E5267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июне </w:t>
      </w:r>
      <w:r w:rsidRPr="00A259BD">
        <w:rPr>
          <w:rStyle w:val="highlight"/>
          <w:rFonts w:ascii="Times New Roman" w:hAnsi="Times New Roman"/>
          <w:color w:val="000000" w:themeColor="text1"/>
          <w:sz w:val="16"/>
          <w:szCs w:val="16"/>
        </w:rPr>
        <w:t> 1929 </w:t>
      </w:r>
      <w:r w:rsidRPr="00A259BD">
        <w:rPr>
          <w:rFonts w:ascii="Times New Roman" w:hAnsi="Times New Roman"/>
          <w:color w:val="000000" w:themeColor="text1"/>
          <w:sz w:val="16"/>
          <w:szCs w:val="16"/>
        </w:rPr>
        <w:t xml:space="preserve">-го между Круппом и СССР, который представляло ГОМЗ (Государственное объединение машиностроительных </w:t>
      </w:r>
      <w:r w:rsidRPr="00A259BD">
        <w:rPr>
          <w:rStyle w:val="highlight"/>
          <w:rFonts w:ascii="Times New Roman" w:hAnsi="Times New Roman"/>
          <w:color w:val="000000" w:themeColor="text1"/>
          <w:sz w:val="16"/>
          <w:szCs w:val="16"/>
        </w:rPr>
        <w:t> заводов </w:t>
      </w:r>
      <w:r w:rsidRPr="00A259BD">
        <w:rPr>
          <w:rFonts w:ascii="Times New Roman" w:hAnsi="Times New Roman"/>
          <w:color w:val="000000" w:themeColor="text1"/>
          <w:sz w:val="16"/>
          <w:szCs w:val="16"/>
        </w:rPr>
        <w:t xml:space="preserve">) был подписан договор о технической помощи. По нему фирме «Крупп» должны были выплатить 1,15 миллиона американских долларов, частями, до 1939 года. Крупп же обязывался присылать своих специалистов на заводы ГОМЗ для консультаций и технической поддержки, а также давать советским инженерно-техническим работникам подробные наставления на своих заводах и в лабораториях по производству специальных марок стали. Производство стали было одной из главных составляющих военной промышленности. Разворачивая в конце 1920-х военное производство, СССР столкнулся с проблемой получения высококачественных сталей. Металлурги страны к этому времени освоили производство более 100 марок легированных сталей, количество металлургических заводов увеличилось в шесть раз, но в то же время около 4 миллионов тонн стали было закуплено за рубежом. Советское руководство тяжелой промышленностью выбрало ленинградский завод «Большевик» как основную базу, где будут изучаться </w:t>
      </w:r>
      <w:proofErr w:type="spellStart"/>
      <w:r w:rsidRPr="00A259BD">
        <w:rPr>
          <w:rFonts w:ascii="Times New Roman" w:hAnsi="Times New Roman"/>
          <w:color w:val="000000" w:themeColor="text1"/>
          <w:sz w:val="16"/>
          <w:szCs w:val="16"/>
        </w:rPr>
        <w:t>крупповские</w:t>
      </w:r>
      <w:proofErr w:type="spellEnd"/>
      <w:r w:rsidRPr="00A259BD">
        <w:rPr>
          <w:rFonts w:ascii="Times New Roman" w:hAnsi="Times New Roman"/>
          <w:color w:val="000000" w:themeColor="text1"/>
          <w:sz w:val="16"/>
          <w:szCs w:val="16"/>
        </w:rPr>
        <w:t xml:space="preserve"> методы в сталелитейном производстве. В первый год завод должен был принять двенадцать немецких специалистов (17225).</w:t>
      </w:r>
    </w:p>
    <w:p w14:paraId="33EF5AB4" w14:textId="77777777" w:rsidR="00E5267B" w:rsidRPr="00A259BD" w:rsidRDefault="00E5267B" w:rsidP="009236E3">
      <w:pPr>
        <w:spacing w:after="0" w:line="240" w:lineRule="auto"/>
        <w:jc w:val="both"/>
        <w:rPr>
          <w:rFonts w:ascii="Times New Roman" w:hAnsi="Times New Roman"/>
          <w:color w:val="000000" w:themeColor="text1"/>
          <w:sz w:val="16"/>
          <w:szCs w:val="16"/>
        </w:rPr>
      </w:pPr>
    </w:p>
    <w:p w14:paraId="00778CF4" w14:textId="77777777" w:rsidR="00B65863" w:rsidRPr="00A259BD" w:rsidRDefault="00B6586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shd w:val="clear" w:color="auto" w:fill="FFFFFF"/>
        </w:rPr>
        <w:t>В марте 1929-го советская делегация посетила Германию с целью заключения соглашений на оказание технической помощи для организации современного военно-промышленного производства.</w:t>
      </w:r>
    </w:p>
    <w:p w14:paraId="05670CCA" w14:textId="77777777" w:rsidR="00B65863" w:rsidRPr="00A259BD" w:rsidRDefault="00B6586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shd w:val="clear" w:color="auto" w:fill="FFFFFF"/>
        </w:rPr>
        <w:t>Были достигнуты предварительные договоренности с фирмами Круппа, Юнкерса, Цейса и «</w:t>
      </w:r>
      <w:proofErr w:type="spellStart"/>
      <w:r w:rsidRPr="00A259BD">
        <w:rPr>
          <w:rFonts w:ascii="Times New Roman" w:hAnsi="Times New Roman"/>
          <w:color w:val="000000" w:themeColor="text1"/>
          <w:sz w:val="16"/>
          <w:szCs w:val="16"/>
          <w:shd w:val="clear" w:color="auto" w:fill="FFFFFF"/>
        </w:rPr>
        <w:t>Рейнметалл</w:t>
      </w:r>
      <w:proofErr w:type="spellEnd"/>
      <w:r w:rsidRPr="00A259BD">
        <w:rPr>
          <w:rFonts w:ascii="Times New Roman" w:hAnsi="Times New Roman"/>
          <w:color w:val="000000" w:themeColor="text1"/>
          <w:sz w:val="16"/>
          <w:szCs w:val="16"/>
          <w:shd w:val="clear" w:color="auto" w:fill="FFFFFF"/>
        </w:rPr>
        <w:t>».</w:t>
      </w:r>
    </w:p>
    <w:p w14:paraId="5D6251F0" w14:textId="77777777" w:rsidR="00B65863" w:rsidRPr="00A259BD" w:rsidRDefault="00B6586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shd w:val="clear" w:color="auto" w:fill="FFFFFF"/>
        </w:rPr>
        <w:t xml:space="preserve">В том же году через </w:t>
      </w:r>
      <w:proofErr w:type="spellStart"/>
      <w:r w:rsidRPr="00A259BD">
        <w:rPr>
          <w:rFonts w:ascii="Times New Roman" w:hAnsi="Times New Roman"/>
          <w:color w:val="000000" w:themeColor="text1"/>
          <w:sz w:val="16"/>
          <w:szCs w:val="16"/>
          <w:shd w:val="clear" w:color="auto" w:fill="FFFFFF"/>
        </w:rPr>
        <w:t>крупповский</w:t>
      </w:r>
      <w:proofErr w:type="spellEnd"/>
      <w:r w:rsidRPr="00A259BD">
        <w:rPr>
          <w:rFonts w:ascii="Times New Roman" w:hAnsi="Times New Roman"/>
          <w:color w:val="000000" w:themeColor="text1"/>
          <w:sz w:val="16"/>
          <w:szCs w:val="16"/>
          <w:shd w:val="clear" w:color="auto" w:fill="FFFFFF"/>
        </w:rPr>
        <w:t xml:space="preserve"> филиал в Швеции - фирму «</w:t>
      </w:r>
      <w:proofErr w:type="spellStart"/>
      <w:r w:rsidRPr="00A259BD">
        <w:rPr>
          <w:rFonts w:ascii="Times New Roman" w:hAnsi="Times New Roman"/>
          <w:color w:val="000000" w:themeColor="text1"/>
          <w:sz w:val="16"/>
          <w:szCs w:val="16"/>
          <w:shd w:val="clear" w:color="auto" w:fill="FFFFFF"/>
        </w:rPr>
        <w:t>Бофорс</w:t>
      </w:r>
      <w:proofErr w:type="spellEnd"/>
      <w:r w:rsidRPr="00A259BD">
        <w:rPr>
          <w:rFonts w:ascii="Times New Roman" w:hAnsi="Times New Roman"/>
          <w:color w:val="000000" w:themeColor="text1"/>
          <w:sz w:val="16"/>
          <w:szCs w:val="16"/>
          <w:shd w:val="clear" w:color="auto" w:fill="FFFFFF"/>
        </w:rPr>
        <w:t>» - были закуплены несколько образцов немецких пушек и артиллерийские боеприпасы для исследования и изучения их характеристик (18976).</w:t>
      </w:r>
    </w:p>
    <w:p w14:paraId="1FEE3E23" w14:textId="77777777" w:rsidR="00B65863" w:rsidRPr="00A259BD" w:rsidRDefault="00B65863" w:rsidP="009236E3">
      <w:pPr>
        <w:spacing w:after="0" w:line="240" w:lineRule="auto"/>
        <w:jc w:val="both"/>
        <w:rPr>
          <w:rFonts w:ascii="Times New Roman" w:hAnsi="Times New Roman"/>
          <w:color w:val="000000" w:themeColor="text1"/>
          <w:sz w:val="16"/>
          <w:szCs w:val="16"/>
        </w:rPr>
      </w:pPr>
    </w:p>
    <w:p w14:paraId="11D2860E" w14:textId="77777777" w:rsidR="00B65863" w:rsidRPr="00A259BD" w:rsidRDefault="00B6586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марте 1929 г. ГЭТ заключил договор о техническом содействии в электромашиностроительной отрасли с американской компанией «ДЭК» сроком на 10 лет. Стоимость соглашения составляла 5 млн долл. [там же, л. 2]4. После заключения договора с американским </w:t>
      </w:r>
      <w:proofErr w:type="spellStart"/>
      <w:r w:rsidRPr="00A259BD">
        <w:rPr>
          <w:rFonts w:ascii="Times New Roman" w:hAnsi="Times New Roman"/>
          <w:color w:val="000000" w:themeColor="text1"/>
          <w:sz w:val="16"/>
          <w:szCs w:val="16"/>
        </w:rPr>
        <w:t>электроконцерном</w:t>
      </w:r>
      <w:proofErr w:type="spellEnd"/>
      <w:r w:rsidRPr="00A259BD">
        <w:rPr>
          <w:rFonts w:ascii="Times New Roman" w:hAnsi="Times New Roman"/>
          <w:color w:val="000000" w:themeColor="text1"/>
          <w:sz w:val="16"/>
          <w:szCs w:val="16"/>
        </w:rPr>
        <w:t xml:space="preserve"> в советской сильноточной отрасли возникла ситуация, когда соглашения о техническом сотрудничестве с «АЕГ» и «ДЭК» по некоторым областям производства дублировали друг друга. Этот момент повлиял бы положительно на развитие электропромышленности сильных токов, предоставив возможность ГЭТ заимствовать самое лучшее по одному и тому же типу изделий как у одной, так и у другой компании, если бы между фирмами не было соглашения об обмене патентами и техническими достижениями. Кроме того, технический уровень «ДЭК» по некоторым видам продукции был выше, чем у «АЕГ», которая сама часто использовала разработки своего заокеанского партнера (18647).</w:t>
      </w:r>
    </w:p>
    <w:p w14:paraId="546D898C" w14:textId="77777777" w:rsidR="00B65863" w:rsidRPr="00A259BD" w:rsidRDefault="00B65863" w:rsidP="009236E3">
      <w:pPr>
        <w:spacing w:after="0" w:line="240" w:lineRule="auto"/>
        <w:jc w:val="both"/>
        <w:rPr>
          <w:rFonts w:ascii="Times New Roman" w:hAnsi="Times New Roman"/>
          <w:color w:val="000000" w:themeColor="text1"/>
          <w:sz w:val="16"/>
          <w:szCs w:val="16"/>
        </w:rPr>
      </w:pPr>
    </w:p>
    <w:p w14:paraId="09429E1F" w14:textId="77777777" w:rsidR="004E7A6F" w:rsidRPr="00A259BD" w:rsidRDefault="004E7A6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 1929 г. телефонно-телеграфная секция Технического комитета ВТУ на своем заседании рассмотрела результаты испытаний изготов</w:t>
      </w:r>
      <w:r w:rsidRPr="00A259BD">
        <w:rPr>
          <w:rFonts w:ascii="Times New Roman" w:hAnsi="Times New Roman"/>
          <w:color w:val="000000" w:themeColor="text1"/>
          <w:sz w:val="16"/>
          <w:szCs w:val="16"/>
        </w:rPr>
        <w:softHyphen/>
        <w:t>ленных на заводе «Красная заря» образцов аппаратов УНА в железных корпусах. Было отмечено, что применение новых корпусов позволило уменьшить объем аппаратов на 42-46%, а массы - на 19%, а также существенно ускорить и удеше</w:t>
      </w:r>
      <w:r w:rsidRPr="00A259BD">
        <w:rPr>
          <w:rFonts w:ascii="Times New Roman" w:hAnsi="Times New Roman"/>
          <w:color w:val="000000" w:themeColor="text1"/>
          <w:sz w:val="16"/>
          <w:szCs w:val="16"/>
        </w:rPr>
        <w:softHyphen/>
        <w:t>вить их массовое производство. Секция признала возможность принятия таких аппаратов на вооружение при условии получения положительных результатов при полевых испытаниях . На «Красной заре» было изготовлено по десять аппа</w:t>
      </w:r>
      <w:r w:rsidRPr="00A259BD">
        <w:rPr>
          <w:rFonts w:ascii="Times New Roman" w:hAnsi="Times New Roman"/>
          <w:color w:val="000000" w:themeColor="text1"/>
          <w:sz w:val="16"/>
          <w:szCs w:val="16"/>
        </w:rPr>
        <w:softHyphen/>
        <w:t>ратов УНА-И и УНА-Ф, и они направлены на длительные испытания в войска. Но антикоррозийный состав покрытия корпусов не спасал их от ржавчины, и от идеи железных корпусов, в конце концов, пришлось отказаться. Однако опыт конструирования с использованием металлических корпусов был использован при разработке нового деревянного корпуса, который также позволил уменьшить объем и вес аппаратов. Кроме того, был совершенно видоизменен зуммер, усо</w:t>
      </w:r>
      <w:r w:rsidRPr="00A259BD">
        <w:rPr>
          <w:rFonts w:ascii="Times New Roman" w:hAnsi="Times New Roman"/>
          <w:color w:val="000000" w:themeColor="text1"/>
          <w:sz w:val="16"/>
          <w:szCs w:val="16"/>
        </w:rPr>
        <w:softHyphen/>
        <w:t>вершенствован разговорный клапан и микротелефонная трубка в целом. Все эти работы были завершены к 1931 г. Новые образцы полевых телефонов УНА-Ф-31 и УНА-И-31 прошли войсковые испытания, получили положительные отзывы, и ими было решено заменить аппараты обр. 1928 г. В 1933 г. завод «Красная за</w:t>
      </w:r>
      <w:r w:rsidRPr="00A259BD">
        <w:rPr>
          <w:rFonts w:ascii="Times New Roman" w:hAnsi="Times New Roman"/>
          <w:color w:val="000000" w:themeColor="text1"/>
          <w:sz w:val="16"/>
          <w:szCs w:val="16"/>
        </w:rPr>
        <w:softHyphen/>
        <w:t>ря» приступил к серийному выпуску аппаратов УНА-Ф-31 и УНА-И-31 (19098).</w:t>
      </w:r>
    </w:p>
    <w:p w14:paraId="5BB8D211" w14:textId="77777777" w:rsidR="004E7A6F" w:rsidRPr="00A259BD" w:rsidRDefault="004E7A6F" w:rsidP="009236E3">
      <w:pPr>
        <w:spacing w:after="0" w:line="240" w:lineRule="auto"/>
        <w:jc w:val="both"/>
        <w:rPr>
          <w:rFonts w:ascii="Times New Roman" w:hAnsi="Times New Roman"/>
          <w:color w:val="000000" w:themeColor="text1"/>
          <w:sz w:val="16"/>
          <w:szCs w:val="16"/>
        </w:rPr>
      </w:pPr>
    </w:p>
    <w:p w14:paraId="5C5FC8F7" w14:textId="77777777" w:rsidR="00EA13E1" w:rsidRPr="00A259BD" w:rsidRDefault="00EA13E1" w:rsidP="009236E3">
      <w:pPr>
        <w:pStyle w:val="ae"/>
        <w:spacing w:before="0" w:after="0"/>
        <w:jc w:val="both"/>
        <w:rPr>
          <w:color w:val="000000" w:themeColor="text1"/>
          <w:sz w:val="16"/>
          <w:szCs w:val="16"/>
        </w:rPr>
      </w:pPr>
      <w:r w:rsidRPr="00A259BD">
        <w:rPr>
          <w:color w:val="000000" w:themeColor="text1"/>
          <w:sz w:val="16"/>
          <w:szCs w:val="16"/>
        </w:rPr>
        <w:t>В марте 1929 на строительную площадку ММК прибыли первые строители (17219).</w:t>
      </w:r>
    </w:p>
    <w:p w14:paraId="61AD900F" w14:textId="77777777" w:rsidR="00EA13E1" w:rsidRPr="00A259BD" w:rsidRDefault="00EA13E1" w:rsidP="009236E3">
      <w:pPr>
        <w:pStyle w:val="a3"/>
        <w:rPr>
          <w:color w:val="000000" w:themeColor="text1"/>
          <w:lang w:val="ru-RU"/>
        </w:rPr>
      </w:pPr>
    </w:p>
    <w:p w14:paraId="5A7C719B" w14:textId="77777777" w:rsidR="004E7A6F" w:rsidRPr="00A259BD" w:rsidRDefault="004E7A6F"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731F1F32" w14:textId="77777777" w:rsidR="004E7A6F" w:rsidRPr="00A259BD" w:rsidRDefault="004E7A6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FCC3D8" w14:textId="77777777" w:rsidR="004E7A6F" w:rsidRPr="00A259BD" w:rsidRDefault="004E7A6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В марте 1929 г. в Управлении ВВС РККА прошло Совещание старших командиров и работников авиационных ремонтно-производственных организаций. Совещание подвело итоги организационного строительства ВВС во время военной реформы с начала 1924 по 1 октября 1928 г. Совещание пришло к выводу, что в связи с усилением воздушных флотов других стран необходимо значительно поднять авиапромышленность, глубже изучить существующие у потенциальных противников самолеты и без задержки осваивать поступающую на вооружение ВВС РККА авиатехнику. Данное Совещание свидетельствует о продуманном подходе руководства ВВС к началу нового этапа строительства Воздушного флота. Отсутствие руководящих документов, задержавшихся с изданием, было заменено живым обсуждением имевшихся проблем авиационного строительства и боевой учебы. В историческом плане это Совещание стало продолжением традиции четырех Авиационных съездов, прошедших в 1917 – 1921 гг. Значительное увеличение численности Воздушного флота позволило в 1929 г. более конкретно поставить задачу углубления специализации родов авиации. Универсализм стал изживаться из боевой подготовки. В конце 1920-х гг. руководство ВВС постоянно отмечало, что «главнейшим свойством наших Военно-Воздушных сил должна быть способность к широкому маневрированию. Свобода маневра не только воздушными, но и земными эшелонами обеспечивало достижение превосходства над противником на важнейшем направлении даже при невыгодном для ВВС РККА соотношении воздушных сил, находящихся на театре военных действий»191. Исходя из этого, в двадцатых годов было принято считать важным элементом боевой подготовки отработку авиачастями дальних перелетов с перебазированием. Впереди в осуществлении дальних и рекордных перелетов шли летчики-испытатели из Научного испытательного института и Осоавиахима. В 1929 г. большие перелеты командиров авиачастей и соединений продолжали практиковаться (приложение «Н»). Как правило, они производились с целью сбора командного состава ВВС в Москве в назначенное время. Это требовало от руководящего летно-подъемного состава достаточно высокой аэронавигационной подготовки и летного мастерства (19566). </w:t>
      </w:r>
    </w:p>
    <w:p w14:paraId="7AF1E08D" w14:textId="77777777" w:rsidR="004E7A6F" w:rsidRPr="00A259BD" w:rsidRDefault="004E7A6F" w:rsidP="009236E3">
      <w:pPr>
        <w:spacing w:after="0" w:line="240" w:lineRule="auto"/>
        <w:jc w:val="both"/>
        <w:rPr>
          <w:rFonts w:ascii="Times New Roman" w:hAnsi="Times New Roman"/>
          <w:color w:val="000000" w:themeColor="text1"/>
          <w:sz w:val="16"/>
          <w:szCs w:val="16"/>
        </w:rPr>
      </w:pPr>
    </w:p>
    <w:p w14:paraId="2C406C1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E7EC94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FC815C" w14:textId="77777777" w:rsidR="00B65863" w:rsidRPr="00A259BD" w:rsidRDefault="00B6586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Март 1929. В Москве вновь введена карточная система снабжения населения (18726).</w:t>
      </w:r>
    </w:p>
    <w:p w14:paraId="11FB74BA" w14:textId="77777777" w:rsidR="00B65863" w:rsidRPr="00A259BD" w:rsidRDefault="00B65863" w:rsidP="009236E3">
      <w:pPr>
        <w:spacing w:after="0" w:line="240" w:lineRule="auto"/>
        <w:jc w:val="both"/>
        <w:rPr>
          <w:rFonts w:ascii="Times New Roman" w:hAnsi="Times New Roman"/>
          <w:color w:val="000000" w:themeColor="text1"/>
          <w:sz w:val="16"/>
          <w:szCs w:val="16"/>
        </w:rPr>
      </w:pPr>
    </w:p>
    <w:p w14:paraId="76B9AFED" w14:textId="77777777" w:rsidR="00B65863" w:rsidRPr="00A259BD" w:rsidRDefault="00B6586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марта 1929 г. в Москве была введена карточная система на продовольственные (хлеб, сахар, чай, животное масло, растительное масло, макаронные изделия, сельдь, мясо, яйца, картофель) и некоторые промышленные товары (например, одежда и мыло){965}. За общим крахом системы снабжения в конце 1930 г. последовало введение в 1931 г. «закрытых распределителей», где продукты питания и потребительские товары выдавались по ордерам{966}.На крупных промышленных предприятиях были образованы «закрытые рабочие кооперативы» (ЗРК), в их магазинах приобрести товары по ордерам могли только занятые на данном предприятии. Закрытые рабочие кооперативы отличались от прочих учреждений потребительской кооперации тем, что они лучше снабжались государственными и кооперативными центральными органами, особенно это касалось товаров, которые на свободном рынке приобрести было или невозможно, или только по многократно завышенной кооперативной цене{967}.Несмотря на привилегии, которыми пользовались рабочие в этой </w:t>
      </w:r>
      <w:proofErr w:type="spellStart"/>
      <w:r w:rsidRPr="00A259BD">
        <w:rPr>
          <w:rFonts w:ascii="Times New Roman" w:hAnsi="Times New Roman"/>
          <w:color w:val="000000" w:themeColor="text1"/>
          <w:sz w:val="16"/>
          <w:szCs w:val="16"/>
        </w:rPr>
        <w:t>двухклассовой</w:t>
      </w:r>
      <w:proofErr w:type="spellEnd"/>
      <w:r w:rsidRPr="00A259BD">
        <w:rPr>
          <w:rFonts w:ascii="Times New Roman" w:hAnsi="Times New Roman"/>
          <w:color w:val="000000" w:themeColor="text1"/>
          <w:sz w:val="16"/>
          <w:szCs w:val="16"/>
        </w:rPr>
        <w:t xml:space="preserve"> системе — что, впрочем, порождало расцвет черного рынка ордеров, -система закрытых распределителей также не могла гарантировать надежного снабжения, прежде всего в период обострения продовольственного кризиса в 1932-1933 гг.{968} (18299).</w:t>
      </w:r>
    </w:p>
    <w:p w14:paraId="4C9F0551" w14:textId="77777777" w:rsidR="00B65863" w:rsidRPr="00A259BD" w:rsidRDefault="00B65863" w:rsidP="009236E3">
      <w:pPr>
        <w:spacing w:after="0" w:line="240" w:lineRule="auto"/>
        <w:jc w:val="both"/>
        <w:rPr>
          <w:rFonts w:ascii="Times New Roman" w:hAnsi="Times New Roman"/>
          <w:color w:val="000000" w:themeColor="text1"/>
          <w:sz w:val="16"/>
          <w:szCs w:val="16"/>
        </w:rPr>
      </w:pPr>
    </w:p>
    <w:p w14:paraId="0B9BD5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 1929 года в Казани "для удобства рабочих и служащих" ввели товарные абонементы на мануфактуру. А в апреле дефицитные товары было решено отпускать только членам Центральной рабочей кооперации, инвалидам и пенсионерам. К дефициту, помимо некоторых ненормируемых продуктов, а также хлопчатобумажной мануфактуры, суконно-шерстяных тканей, кожаных изделий, галош, были отнесены кровельное и сортовое железо, гвозди, хозяйственное мыло. Промтовары теперь нельзя было прийти и купить просто так, необходимо было получить ордер. Так, в ноябре 1930 года студентам Казанского университета было выдано 300 ордеров на покупку валяной обуви, 250 - на "ватные пиджаки", 75 - на пальто и 800 - на "мелкие вещи" (а всего в университете тогда обучалось более 2 тысяч студентов) (11566).</w:t>
      </w:r>
    </w:p>
    <w:p w14:paraId="74644B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AF1155"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4538B74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BDC10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 1929 года в Германии нейтрализовали группу инженера В. Адамчика. Группа состояла из проектировщиков и технологов и специализировалась на похищении чертежей. В 1928—1930 годах, когда Германия приступила к постройке своего первого военного крейсера, советская разведка начала активную охоту за документами (11765).</w:t>
      </w:r>
    </w:p>
    <w:p w14:paraId="348466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5CCC89" w14:textId="77777777" w:rsidR="00B65863" w:rsidRPr="00A259BD" w:rsidRDefault="00B6586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марте 1929 г. в записке в Политбюро ЦК ВКП(б) и Сталину Ворошилов поставил вопрос о направлении на летне-осенний период 1929 г. в Германию 8 офицеров (командующий БВО Егоров, командир 1-го стрелкового корпуса Калмыков, помощник начальника ВВС РККА Меженинов, начальник 1-й Ленинградской артшколы Федотов, начальник артиллерии МВО </w:t>
      </w:r>
      <w:proofErr w:type="spellStart"/>
      <w:r w:rsidRPr="00A259BD">
        <w:rPr>
          <w:rFonts w:ascii="Times New Roman" w:hAnsi="Times New Roman"/>
          <w:color w:val="000000" w:themeColor="text1"/>
          <w:sz w:val="16"/>
          <w:szCs w:val="16"/>
        </w:rPr>
        <w:t>Розынко</w:t>
      </w:r>
      <w:proofErr w:type="spellEnd"/>
      <w:r w:rsidRPr="00A259BD">
        <w:rPr>
          <w:rFonts w:ascii="Times New Roman" w:hAnsi="Times New Roman"/>
          <w:color w:val="000000" w:themeColor="text1"/>
          <w:sz w:val="16"/>
          <w:szCs w:val="16"/>
        </w:rPr>
        <w:t xml:space="preserve">, комдив 24-й дивизии </w:t>
      </w:r>
      <w:proofErr w:type="spellStart"/>
      <w:r w:rsidRPr="00A259BD">
        <w:rPr>
          <w:rFonts w:ascii="Times New Roman" w:hAnsi="Times New Roman"/>
          <w:color w:val="000000" w:themeColor="text1"/>
          <w:sz w:val="16"/>
          <w:szCs w:val="16"/>
        </w:rPr>
        <w:t>Даненберг</w:t>
      </w:r>
      <w:proofErr w:type="spellEnd"/>
      <w:r w:rsidRPr="00A259BD">
        <w:rPr>
          <w:rFonts w:ascii="Times New Roman" w:hAnsi="Times New Roman"/>
          <w:color w:val="000000" w:themeColor="text1"/>
          <w:sz w:val="16"/>
          <w:szCs w:val="16"/>
        </w:rPr>
        <w:t xml:space="preserve">, командир 40-го полка Катков и командир 15-го полка Венцов. Все кандидатуры были утверждены наркомвоенмором и Политбюро). Еще трое (Якир, </w:t>
      </w:r>
      <w:proofErr w:type="spellStart"/>
      <w:r w:rsidRPr="00A259BD">
        <w:rPr>
          <w:rFonts w:ascii="Times New Roman" w:hAnsi="Times New Roman"/>
          <w:color w:val="000000" w:themeColor="text1"/>
          <w:sz w:val="16"/>
          <w:szCs w:val="16"/>
        </w:rPr>
        <w:t>Зомберг</w:t>
      </w:r>
      <w:proofErr w:type="spellEnd"/>
      <w:r w:rsidRPr="00A259BD">
        <w:rPr>
          <w:rFonts w:ascii="Times New Roman" w:hAnsi="Times New Roman"/>
          <w:color w:val="000000" w:themeColor="text1"/>
          <w:sz w:val="16"/>
          <w:szCs w:val="16"/>
        </w:rPr>
        <w:t xml:space="preserve"> и Степанов) обучались на III курсе в </w:t>
      </w:r>
      <w:proofErr w:type="spellStart"/>
      <w:r w:rsidRPr="00A259BD">
        <w:rPr>
          <w:rFonts w:ascii="Times New Roman" w:hAnsi="Times New Roman"/>
          <w:color w:val="000000" w:themeColor="text1"/>
          <w:sz w:val="16"/>
          <w:szCs w:val="16"/>
        </w:rPr>
        <w:t>райхсвере</w:t>
      </w:r>
      <w:proofErr w:type="spellEnd"/>
      <w:r w:rsidRPr="00A259BD">
        <w:rPr>
          <w:rFonts w:ascii="Times New Roman" w:hAnsi="Times New Roman"/>
          <w:color w:val="000000" w:themeColor="text1"/>
          <w:sz w:val="16"/>
          <w:szCs w:val="16"/>
        </w:rPr>
        <w:t xml:space="preserve"> и должны были также участвовать в полевых поездках, маневрах и тактических занятиях соединений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В свою очередь, немцы намеревались командировать в СССР в 1929 г. также 8 офицеров и еще 4 инспекторов инженерных войск сроком на один месяц для участия в полевых занятиях РККА (18265).</w:t>
      </w:r>
    </w:p>
    <w:p w14:paraId="411F78AA" w14:textId="77777777" w:rsidR="00B65863" w:rsidRPr="00A259BD" w:rsidRDefault="00B65863" w:rsidP="009236E3">
      <w:pPr>
        <w:spacing w:after="0" w:line="240" w:lineRule="auto"/>
        <w:jc w:val="both"/>
        <w:rPr>
          <w:rFonts w:ascii="Times New Roman" w:hAnsi="Times New Roman"/>
          <w:color w:val="000000" w:themeColor="text1"/>
          <w:sz w:val="16"/>
          <w:szCs w:val="16"/>
        </w:rPr>
      </w:pPr>
    </w:p>
    <w:p w14:paraId="6F64E3E0"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C870B9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3D3E2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марте 1929 Войска Ибн Сауда, переброшенные на 200 военных автомобилях, при поддержке с воздуха (4 английских самолета) разгромили главные силы мятежных </w:t>
      </w:r>
      <w:proofErr w:type="spellStart"/>
      <w:r w:rsidRPr="00A259BD">
        <w:rPr>
          <w:rFonts w:ascii="Times New Roman" w:hAnsi="Times New Roman"/>
          <w:color w:val="000000" w:themeColor="text1"/>
          <w:sz w:val="16"/>
          <w:szCs w:val="16"/>
        </w:rPr>
        <w:t>ихванов</w:t>
      </w:r>
      <w:proofErr w:type="spellEnd"/>
      <w:r w:rsidRPr="00A259BD">
        <w:rPr>
          <w:rFonts w:ascii="Times New Roman" w:hAnsi="Times New Roman"/>
          <w:color w:val="000000" w:themeColor="text1"/>
          <w:sz w:val="16"/>
          <w:szCs w:val="16"/>
        </w:rPr>
        <w:t xml:space="preserve"> Ибн </w:t>
      </w:r>
      <w:proofErr w:type="spellStart"/>
      <w:r w:rsidRPr="00A259BD">
        <w:rPr>
          <w:rFonts w:ascii="Times New Roman" w:hAnsi="Times New Roman"/>
          <w:color w:val="000000" w:themeColor="text1"/>
          <w:sz w:val="16"/>
          <w:szCs w:val="16"/>
        </w:rPr>
        <w:t>Хумауда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Дэвиша</w:t>
      </w:r>
      <w:proofErr w:type="spellEnd"/>
      <w:r w:rsidRPr="00A259BD">
        <w:rPr>
          <w:rFonts w:ascii="Times New Roman" w:hAnsi="Times New Roman"/>
          <w:color w:val="000000" w:themeColor="text1"/>
          <w:sz w:val="16"/>
          <w:szCs w:val="16"/>
        </w:rPr>
        <w:t xml:space="preserve"> в сражении на равнине </w:t>
      </w:r>
      <w:proofErr w:type="spellStart"/>
      <w:r w:rsidRPr="00A259BD">
        <w:rPr>
          <w:rFonts w:ascii="Times New Roman" w:hAnsi="Times New Roman"/>
          <w:color w:val="000000" w:themeColor="text1"/>
          <w:sz w:val="16"/>
          <w:szCs w:val="16"/>
        </w:rPr>
        <w:t>Сабалах</w:t>
      </w:r>
      <w:proofErr w:type="spellEnd"/>
      <w:r w:rsidRPr="00A259BD">
        <w:rPr>
          <w:rFonts w:ascii="Times New Roman" w:hAnsi="Times New Roman"/>
          <w:color w:val="000000" w:themeColor="text1"/>
          <w:sz w:val="16"/>
          <w:szCs w:val="16"/>
        </w:rPr>
        <w:t xml:space="preserve">. Ибн </w:t>
      </w:r>
      <w:proofErr w:type="spellStart"/>
      <w:r w:rsidRPr="00A259BD">
        <w:rPr>
          <w:rFonts w:ascii="Times New Roman" w:hAnsi="Times New Roman"/>
          <w:color w:val="000000" w:themeColor="text1"/>
          <w:sz w:val="16"/>
          <w:szCs w:val="16"/>
        </w:rPr>
        <w:t>Хумауд</w:t>
      </w:r>
      <w:proofErr w:type="spellEnd"/>
      <w:r w:rsidRPr="00A259BD">
        <w:rPr>
          <w:rFonts w:ascii="Times New Roman" w:hAnsi="Times New Roman"/>
          <w:color w:val="000000" w:themeColor="text1"/>
          <w:sz w:val="16"/>
          <w:szCs w:val="16"/>
        </w:rPr>
        <w:t xml:space="preserve"> был захвачен, </w:t>
      </w:r>
      <w:proofErr w:type="spellStart"/>
      <w:r w:rsidRPr="00A259BD">
        <w:rPr>
          <w:rFonts w:ascii="Times New Roman" w:hAnsi="Times New Roman"/>
          <w:color w:val="000000" w:themeColor="text1"/>
          <w:sz w:val="16"/>
          <w:szCs w:val="16"/>
        </w:rPr>
        <w:t>Дэвиш</w:t>
      </w:r>
      <w:proofErr w:type="spellEnd"/>
      <w:r w:rsidRPr="00A259BD">
        <w:rPr>
          <w:rFonts w:ascii="Times New Roman" w:hAnsi="Times New Roman"/>
          <w:color w:val="000000" w:themeColor="text1"/>
          <w:sz w:val="16"/>
          <w:szCs w:val="16"/>
        </w:rPr>
        <w:t xml:space="preserve"> - серьезно ранен (7558).</w:t>
      </w:r>
    </w:p>
    <w:p w14:paraId="629EF8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7B2F87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7F3D27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FDEE1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марта по апрель 1929 проводились полеты на И1-М5 с уменьшенными по площади РВ и РН. Все было нормально, но к этому времени машина устарела окончательно (228,50).</w:t>
      </w:r>
    </w:p>
    <w:p w14:paraId="048367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8089C17"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марте-апреле 1929 г. доработанный самолет И-1 № 2895 выполнил еще несколько полетов на пилотаж и штопор, показав хорошие качества, но общий вес дополнительных грузов для достижения требуемой центровки превышал 130 кг, замена их на вооружение вопроса центровки не решала, т.к. оно располагалось в районе ЦМ. Поликарпов предложил заменить мотор М-5 на </w:t>
      </w:r>
      <w:proofErr w:type="spellStart"/>
      <w:r w:rsidRPr="00441F34">
        <w:rPr>
          <w:rFonts w:ascii="Times New Roman" w:hAnsi="Times New Roman"/>
          <w:color w:val="0070C0"/>
          <w:sz w:val="16"/>
          <w:szCs w:val="16"/>
        </w:rPr>
        <w:t>Лорэн</w:t>
      </w:r>
      <w:proofErr w:type="spellEnd"/>
      <w:r w:rsidRPr="00441F34">
        <w:rPr>
          <w:rFonts w:ascii="Times New Roman" w:hAnsi="Times New Roman"/>
          <w:color w:val="0070C0"/>
          <w:sz w:val="16"/>
          <w:szCs w:val="16"/>
        </w:rPr>
        <w:t>-Дитрих.</w:t>
      </w:r>
    </w:p>
    <w:p w14:paraId="4D58D4D4"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Также были проведены испытания на пикирование – в установившемся режиме была получена скорость 360 км/ч.</w:t>
      </w:r>
    </w:p>
    <w:p w14:paraId="63E9A4E0"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Далее самолет не летал, был поставлен на хранение и затем утилизирован (23578).</w:t>
      </w:r>
    </w:p>
    <w:p w14:paraId="156719BE" w14:textId="77777777" w:rsidR="00292DF5" w:rsidRPr="00441F34" w:rsidRDefault="00292DF5" w:rsidP="00292DF5">
      <w:pPr>
        <w:spacing w:after="0" w:line="240" w:lineRule="auto"/>
        <w:jc w:val="both"/>
        <w:rPr>
          <w:rFonts w:ascii="Times New Roman" w:hAnsi="Times New Roman"/>
          <w:color w:val="0070C0"/>
          <w:sz w:val="16"/>
          <w:szCs w:val="16"/>
        </w:rPr>
      </w:pPr>
    </w:p>
    <w:p w14:paraId="4034327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марте-апреле 1929 г. И-1 прошел дополнительные испытания на высший пилотаж с обычным и увеличен</w:t>
      </w:r>
      <w:r w:rsidRPr="00A259BD">
        <w:rPr>
          <w:rFonts w:ascii="Times New Roman" w:hAnsi="Times New Roman"/>
          <w:color w:val="000000" w:themeColor="text1"/>
          <w:sz w:val="16"/>
          <w:szCs w:val="16"/>
        </w:rPr>
        <w:softHyphen/>
        <w:t>ным по площади оперением. Они показали, что при центровке 32% САХ самолет обладает почти идеальны</w:t>
      </w:r>
      <w:r w:rsidRPr="00A259BD">
        <w:rPr>
          <w:rFonts w:ascii="Times New Roman" w:hAnsi="Times New Roman"/>
          <w:color w:val="000000" w:themeColor="text1"/>
          <w:sz w:val="16"/>
          <w:szCs w:val="16"/>
        </w:rPr>
        <w:softHyphen/>
        <w:t>ми пилотажными характеристиками. В установившемся пикировании И-1 достигал скорости 360 км/ч. Снова возник вопрос об использовании уже постро</w:t>
      </w:r>
      <w:r w:rsidRPr="00A259BD">
        <w:rPr>
          <w:rFonts w:ascii="Times New Roman" w:hAnsi="Times New Roman"/>
          <w:color w:val="000000" w:themeColor="text1"/>
          <w:sz w:val="16"/>
          <w:szCs w:val="16"/>
        </w:rPr>
        <w:softHyphen/>
        <w:t>енных машин, тем более, что в 1929 г. на вооружении ВВС СССР еще не было самолетов, превосходивших по скорости И-1. Предполагалось заменить двигатель М-5 на “</w:t>
      </w:r>
      <w:proofErr w:type="spellStart"/>
      <w:r w:rsidRPr="00A259BD">
        <w:rPr>
          <w:rFonts w:ascii="Times New Roman" w:hAnsi="Times New Roman"/>
          <w:color w:val="000000" w:themeColor="text1"/>
          <w:sz w:val="16"/>
          <w:szCs w:val="16"/>
        </w:rPr>
        <w:t>Лоррен</w:t>
      </w:r>
      <w:proofErr w:type="spellEnd"/>
      <w:r w:rsidRPr="00A259BD">
        <w:rPr>
          <w:rFonts w:ascii="Times New Roman" w:hAnsi="Times New Roman"/>
          <w:color w:val="000000" w:themeColor="text1"/>
          <w:sz w:val="16"/>
          <w:szCs w:val="16"/>
        </w:rPr>
        <w:t>-Дитрих” мощностью 450 л.с., к тому же бо</w:t>
      </w:r>
      <w:r w:rsidRPr="00A259BD">
        <w:rPr>
          <w:rFonts w:ascii="Times New Roman" w:hAnsi="Times New Roman"/>
          <w:color w:val="000000" w:themeColor="text1"/>
          <w:sz w:val="16"/>
          <w:szCs w:val="16"/>
        </w:rPr>
        <w:softHyphen/>
        <w:t>лее тяжелый. Его центр тяжести был смещен вперед по сравнению с М-5. Это позволяло отказаться от установ</w:t>
      </w:r>
      <w:r w:rsidRPr="00A259BD">
        <w:rPr>
          <w:rFonts w:ascii="Times New Roman" w:hAnsi="Times New Roman"/>
          <w:color w:val="000000" w:themeColor="text1"/>
          <w:sz w:val="16"/>
          <w:szCs w:val="16"/>
        </w:rPr>
        <w:softHyphen/>
        <w:t>ки дополнительных грузов для обеспечения центровки в 32% САХ (10667).</w:t>
      </w:r>
    </w:p>
    <w:p w14:paraId="2D8208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828D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марте-апреле 1929 г. заместитель начальника ВВС РККА Алкснис провел переговоры с представителями фирмы БМВ о закупке 200 авиамоторов «БМВ VI» и 102 истребителей «НД 37» у фирмы «</w:t>
      </w:r>
      <w:proofErr w:type="spellStart"/>
      <w:r w:rsidRPr="00A259BD">
        <w:rPr>
          <w:rFonts w:ascii="Times New Roman" w:hAnsi="Times New Roman"/>
          <w:color w:val="000000" w:themeColor="text1"/>
          <w:sz w:val="16"/>
          <w:szCs w:val="16"/>
        </w:rPr>
        <w:t>Хайнкель</w:t>
      </w:r>
      <w:proofErr w:type="spellEnd"/>
      <w:r w:rsidRPr="00A259BD">
        <w:rPr>
          <w:rFonts w:ascii="Times New Roman" w:hAnsi="Times New Roman"/>
          <w:color w:val="000000" w:themeColor="text1"/>
          <w:sz w:val="16"/>
          <w:szCs w:val="16"/>
        </w:rPr>
        <w:t xml:space="preserve">». Целью командировки было ознакомление с гражданским </w:t>
      </w:r>
      <w:proofErr w:type="spellStart"/>
      <w:r w:rsidRPr="00A259BD">
        <w:rPr>
          <w:rFonts w:ascii="Times New Roman" w:hAnsi="Times New Roman"/>
          <w:color w:val="000000" w:themeColor="text1"/>
          <w:sz w:val="16"/>
          <w:szCs w:val="16"/>
        </w:rPr>
        <w:t>самолето</w:t>
      </w:r>
      <w:proofErr w:type="spellEnd"/>
      <w:r w:rsidRPr="00A259BD">
        <w:rPr>
          <w:rFonts w:ascii="Times New Roman" w:hAnsi="Times New Roman"/>
          <w:color w:val="000000" w:themeColor="text1"/>
          <w:sz w:val="16"/>
          <w:szCs w:val="16"/>
        </w:rPr>
        <w:t xml:space="preserve">- и моторостроением. Алкснис хорошо знал немецкий язык, встречался в Германии с авиаконструктором Э. </w:t>
      </w:r>
      <w:proofErr w:type="spellStart"/>
      <w:r w:rsidRPr="00A259BD">
        <w:rPr>
          <w:rFonts w:ascii="Times New Roman" w:hAnsi="Times New Roman"/>
          <w:color w:val="000000" w:themeColor="text1"/>
          <w:sz w:val="16"/>
          <w:szCs w:val="16"/>
        </w:rPr>
        <w:t>Хайнкелем</w:t>
      </w:r>
      <w:proofErr w:type="spellEnd"/>
      <w:r w:rsidRPr="00A259BD">
        <w:rPr>
          <w:rFonts w:ascii="Times New Roman" w:hAnsi="Times New Roman"/>
          <w:color w:val="000000" w:themeColor="text1"/>
          <w:sz w:val="16"/>
          <w:szCs w:val="16"/>
        </w:rPr>
        <w:t xml:space="preserve"> (Хейнкелем). После этого он неоднократно бывал в Германии, а с 1930 г. — и во Франции (РГВА,ф.4,оп. 1, д. 763, л. 11-12. См. также: Командарм крылатых. Сборник воспоминаний очерков и документов о жизни Я. Алксниса. Рига. 1973 с 20—27 Б. М. Орлов. В поисках союзников: командование Красной Армии и проблемы внешней политики СССР в 30-х годах. Вопросы истории» № 4,1990, с. 42.). При заключении контракта на моторы Алкснису удалось добиться некоторого снижения цен по сравнению с условиями предыдущего заказа, произведенного в 1927 г. Тогда было закуплено 100 моторов, а также 20 гидросамолетов «Дорнье-Валь» (11784).</w:t>
      </w:r>
    </w:p>
    <w:p w14:paraId="5B8CD7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391D6B" w14:textId="77777777" w:rsidR="00341284" w:rsidRPr="00A259BD" w:rsidRDefault="0034128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марте-апреле 1929 г. заместитель начальника ВВС РККА Алкснис провел переговоры с представителями фирмы БМВ о закупке 200 авиамоторов «БМВ VI» и 102 истребителей «НД 37» у фирмы «</w:t>
      </w:r>
      <w:proofErr w:type="spellStart"/>
      <w:r w:rsidRPr="00A259BD">
        <w:rPr>
          <w:rFonts w:ascii="Times New Roman" w:hAnsi="Times New Roman"/>
          <w:color w:val="000000" w:themeColor="text1"/>
          <w:sz w:val="16"/>
          <w:szCs w:val="16"/>
        </w:rPr>
        <w:t>Хайнкель</w:t>
      </w:r>
      <w:proofErr w:type="spellEnd"/>
      <w:r w:rsidRPr="00A259BD">
        <w:rPr>
          <w:rFonts w:ascii="Times New Roman" w:hAnsi="Times New Roman"/>
          <w:color w:val="000000" w:themeColor="text1"/>
          <w:sz w:val="16"/>
          <w:szCs w:val="16"/>
        </w:rPr>
        <w:t xml:space="preserve">». Целью командировки было ознакомление с гражданским </w:t>
      </w:r>
      <w:proofErr w:type="spellStart"/>
      <w:r w:rsidRPr="00A259BD">
        <w:rPr>
          <w:rFonts w:ascii="Times New Roman" w:hAnsi="Times New Roman"/>
          <w:color w:val="000000" w:themeColor="text1"/>
          <w:sz w:val="16"/>
          <w:szCs w:val="16"/>
        </w:rPr>
        <w:t>самолето</w:t>
      </w:r>
      <w:proofErr w:type="spellEnd"/>
      <w:r w:rsidRPr="00A259BD">
        <w:rPr>
          <w:rFonts w:ascii="Times New Roman" w:hAnsi="Times New Roman"/>
          <w:color w:val="000000" w:themeColor="text1"/>
          <w:sz w:val="16"/>
          <w:szCs w:val="16"/>
        </w:rPr>
        <w:t xml:space="preserve">- и моторостроением. Алкснис хорошо знал немецкий язык, встречался в Германии с авиаконструктором Э. </w:t>
      </w:r>
      <w:proofErr w:type="spellStart"/>
      <w:r w:rsidRPr="00A259BD">
        <w:rPr>
          <w:rFonts w:ascii="Times New Roman" w:hAnsi="Times New Roman"/>
          <w:color w:val="000000" w:themeColor="text1"/>
          <w:sz w:val="16"/>
          <w:szCs w:val="16"/>
        </w:rPr>
        <w:t>Хайнкелем</w:t>
      </w:r>
      <w:proofErr w:type="spellEnd"/>
      <w:r w:rsidRPr="00A259BD">
        <w:rPr>
          <w:rFonts w:ascii="Times New Roman" w:hAnsi="Times New Roman"/>
          <w:color w:val="000000" w:themeColor="text1"/>
          <w:sz w:val="16"/>
          <w:szCs w:val="16"/>
        </w:rPr>
        <w:t xml:space="preserve"> (Хейнкелем). После этого он неоднократно бывал в Германии, а с 1930 г. — и во Франции. При заключении контракта на моторы Алкснису удалось добиться некоторого снижения цен по сравнению с условиями предыдущего заказа, произведенного в 1927 г. Тогда было закуплено 100 моторов, а также 20 гидросамолетов «Дорнье-Валь» (18265).</w:t>
      </w:r>
    </w:p>
    <w:p w14:paraId="3B2A7B39" w14:textId="77777777" w:rsidR="00341284" w:rsidRPr="00A259BD" w:rsidRDefault="00341284" w:rsidP="009236E3">
      <w:pPr>
        <w:spacing w:after="0" w:line="240" w:lineRule="auto"/>
        <w:jc w:val="both"/>
        <w:rPr>
          <w:rFonts w:ascii="Times New Roman" w:hAnsi="Times New Roman"/>
          <w:color w:val="000000" w:themeColor="text1"/>
          <w:sz w:val="16"/>
          <w:szCs w:val="16"/>
        </w:rPr>
      </w:pPr>
    </w:p>
    <w:p w14:paraId="67C5FC04" w14:textId="77777777" w:rsidR="00154C41"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lastRenderedPageBreak/>
        <w:t>Авиапромышленность:</w:t>
      </w:r>
    </w:p>
    <w:p w14:paraId="31621C24" w14:textId="77777777" w:rsidR="00154C41" w:rsidRPr="00A259BD" w:rsidRDefault="00154C4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BDE6021" w14:textId="77777777" w:rsidR="00154C41" w:rsidRPr="00A259BD" w:rsidRDefault="00154C41" w:rsidP="009236E3">
      <w:pPr>
        <w:pStyle w:val="59"/>
        <w:shd w:val="clear" w:color="auto" w:fill="auto"/>
        <w:spacing w:line="240" w:lineRule="auto"/>
        <w:ind w:firstLine="0"/>
        <w:jc w:val="both"/>
        <w:rPr>
          <w:rFonts w:ascii="Times New Roman" w:hAnsi="Times New Roman"/>
          <w:color w:val="000000" w:themeColor="text1"/>
          <w:spacing w:val="0"/>
          <w:sz w:val="16"/>
          <w:szCs w:val="16"/>
        </w:rPr>
      </w:pPr>
      <w:r w:rsidRPr="00A259BD">
        <w:rPr>
          <w:rStyle w:val="50pt"/>
          <w:rFonts w:ascii="Times New Roman" w:hAnsi="Times New Roman" w:cs="Times New Roman"/>
          <w:i w:val="0"/>
          <w:color w:val="000000" w:themeColor="text1"/>
          <w:sz w:val="16"/>
          <w:szCs w:val="16"/>
        </w:rPr>
        <w:t>Ранней весной 1929 перед новым летным сезоном о морском разведчике РОМ-1 вспом</w:t>
      </w:r>
      <w:r w:rsidRPr="00A259BD">
        <w:rPr>
          <w:rStyle w:val="50pt"/>
          <w:rFonts w:ascii="Times New Roman" w:hAnsi="Times New Roman" w:cs="Times New Roman"/>
          <w:i w:val="0"/>
          <w:color w:val="000000" w:themeColor="text1"/>
          <w:sz w:val="16"/>
          <w:szCs w:val="16"/>
        </w:rPr>
        <w:softHyphen/>
        <w:t xml:space="preserve">нили. Инженер-механик К.Н. </w:t>
      </w:r>
      <w:proofErr w:type="spellStart"/>
      <w:r w:rsidRPr="00A259BD">
        <w:rPr>
          <w:rStyle w:val="50pt"/>
          <w:rFonts w:ascii="Times New Roman" w:hAnsi="Times New Roman" w:cs="Times New Roman"/>
          <w:i w:val="0"/>
          <w:color w:val="000000" w:themeColor="text1"/>
          <w:sz w:val="16"/>
          <w:szCs w:val="16"/>
        </w:rPr>
        <w:t>Ганулич</w:t>
      </w:r>
      <w:proofErr w:type="spellEnd"/>
      <w:r w:rsidRPr="00A259BD">
        <w:rPr>
          <w:rStyle w:val="50pt"/>
          <w:rFonts w:ascii="Times New Roman" w:hAnsi="Times New Roman" w:cs="Times New Roman"/>
          <w:i w:val="0"/>
          <w:color w:val="000000" w:themeColor="text1"/>
          <w:sz w:val="16"/>
          <w:szCs w:val="16"/>
        </w:rPr>
        <w:t>, произведший осмотр РОМ-1 на заво</w:t>
      </w:r>
      <w:r w:rsidRPr="00A259BD">
        <w:rPr>
          <w:rStyle w:val="50pt"/>
          <w:rFonts w:ascii="Times New Roman" w:hAnsi="Times New Roman" w:cs="Times New Roman"/>
          <w:i w:val="0"/>
          <w:color w:val="000000" w:themeColor="text1"/>
          <w:sz w:val="16"/>
          <w:szCs w:val="16"/>
        </w:rPr>
        <w:softHyphen/>
        <w:t>де №31, докладывал:</w:t>
      </w:r>
      <w:r w:rsidRPr="00A259BD">
        <w:rPr>
          <w:rFonts w:ascii="Times New Roman" w:hAnsi="Times New Roman"/>
          <w:color w:val="000000" w:themeColor="text1"/>
          <w:spacing w:val="0"/>
          <w:sz w:val="16"/>
          <w:szCs w:val="16"/>
        </w:rPr>
        <w:t xml:space="preserve"> «В результате того, что самолет оставался осенью под открытым небом, деревянные крылья пострадали настолько, что потребовался их ремонт. Внутренние поверхности залило водой, появилась плесень, пришла в ветхость фанерная обшивка носков крыльев, хуже всего состояние носков элеронов. Лодка ремонта не требует, «</w:t>
      </w:r>
      <w:proofErr w:type="spellStart"/>
      <w:r w:rsidRPr="00A259BD">
        <w:rPr>
          <w:rFonts w:ascii="Times New Roman" w:hAnsi="Times New Roman"/>
          <w:color w:val="000000" w:themeColor="text1"/>
          <w:spacing w:val="0"/>
          <w:sz w:val="16"/>
          <w:szCs w:val="16"/>
        </w:rPr>
        <w:t>битмо</w:t>
      </w:r>
      <w:proofErr w:type="spellEnd"/>
      <w:r w:rsidRPr="00A259BD">
        <w:rPr>
          <w:rFonts w:ascii="Times New Roman" w:hAnsi="Times New Roman"/>
          <w:color w:val="000000" w:themeColor="text1"/>
          <w:spacing w:val="0"/>
          <w:sz w:val="16"/>
          <w:szCs w:val="16"/>
        </w:rPr>
        <w:t xml:space="preserve">» (про- </w:t>
      </w:r>
      <w:proofErr w:type="spellStart"/>
      <w:r w:rsidRPr="00A259BD">
        <w:rPr>
          <w:rFonts w:ascii="Times New Roman" w:hAnsi="Times New Roman"/>
          <w:color w:val="000000" w:themeColor="text1"/>
          <w:spacing w:val="0"/>
          <w:sz w:val="16"/>
          <w:szCs w:val="16"/>
        </w:rPr>
        <w:t>мазочный</w:t>
      </w:r>
      <w:proofErr w:type="spellEnd"/>
      <w:r w:rsidRPr="00A259BD">
        <w:rPr>
          <w:rFonts w:ascii="Times New Roman" w:hAnsi="Times New Roman"/>
          <w:color w:val="000000" w:themeColor="text1"/>
          <w:spacing w:val="0"/>
          <w:sz w:val="16"/>
          <w:szCs w:val="16"/>
        </w:rPr>
        <w:t xml:space="preserve"> битумный лак — М.М.) в хорошем состоянии. Невозможно герметически задраивать люки водо</w:t>
      </w:r>
      <w:r w:rsidRPr="00A259BD">
        <w:rPr>
          <w:rFonts w:ascii="Times New Roman" w:hAnsi="Times New Roman"/>
          <w:color w:val="000000" w:themeColor="text1"/>
          <w:spacing w:val="0"/>
          <w:sz w:val="16"/>
          <w:szCs w:val="16"/>
        </w:rPr>
        <w:softHyphen/>
        <w:t>непроницаемых переборок...».</w:t>
      </w:r>
    </w:p>
    <w:p w14:paraId="3D1A9DAB" w14:textId="77777777" w:rsidR="00154C41" w:rsidRPr="00A259BD" w:rsidRDefault="00154C41"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Ремонт РОМ-1 произвели в апре</w:t>
      </w:r>
      <w:r w:rsidRPr="00A259BD">
        <w:rPr>
          <w:rFonts w:ascii="Times New Roman" w:cs="Times New Roman"/>
          <w:color w:val="000000" w:themeColor="text1"/>
          <w:sz w:val="16"/>
          <w:szCs w:val="16"/>
        </w:rPr>
        <w:softHyphen/>
        <w:t>ле 1929 г, в середине мая его под</w:t>
      </w:r>
      <w:r w:rsidRPr="00A259BD">
        <w:rPr>
          <w:rFonts w:ascii="Times New Roman" w:cs="Times New Roman"/>
          <w:color w:val="000000" w:themeColor="text1"/>
          <w:sz w:val="16"/>
          <w:szCs w:val="16"/>
        </w:rPr>
        <w:softHyphen/>
        <w:t>готовили к полетам, затем, после облета, перегнали в Севастополь. 17 июня 1929 г. помощник начальника ВВС Красной Армии Я.И. Алкснис издал приказ о проведении государ</w:t>
      </w:r>
      <w:r w:rsidRPr="00A259BD">
        <w:rPr>
          <w:rFonts w:ascii="Times New Roman" w:cs="Times New Roman"/>
          <w:color w:val="000000" w:themeColor="text1"/>
          <w:sz w:val="16"/>
          <w:szCs w:val="16"/>
        </w:rPr>
        <w:softHyphen/>
        <w:t>ственных испытаний РОМ-1, РОМ-2 и МР-5 (12609).</w:t>
      </w:r>
    </w:p>
    <w:p w14:paraId="411F6E21" w14:textId="77777777" w:rsidR="00154C41" w:rsidRPr="00A259BD" w:rsidRDefault="00154C41" w:rsidP="009236E3">
      <w:pPr>
        <w:pStyle w:val="45"/>
        <w:shd w:val="clear" w:color="auto" w:fill="auto"/>
        <w:spacing w:before="0" w:line="240" w:lineRule="auto"/>
        <w:jc w:val="both"/>
        <w:rPr>
          <w:rFonts w:ascii="Times New Roman" w:cs="Times New Roman"/>
          <w:color w:val="000000" w:themeColor="text1"/>
          <w:sz w:val="16"/>
          <w:szCs w:val="16"/>
        </w:rPr>
      </w:pPr>
    </w:p>
    <w:p w14:paraId="6DD0CCF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E55006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DFDE2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апрелю 1929 В.Б.Ш. закончил столярные работы по Ш-1 на квартире у </w:t>
      </w:r>
      <w:proofErr w:type="spellStart"/>
      <w:r w:rsidRPr="00A259BD">
        <w:rPr>
          <w:rFonts w:ascii="Times New Roman" w:hAnsi="Times New Roman"/>
          <w:color w:val="000000" w:themeColor="text1"/>
          <w:sz w:val="16"/>
          <w:szCs w:val="16"/>
        </w:rPr>
        <w:t>В.Л.Корвин</w:t>
      </w:r>
      <w:proofErr w:type="spellEnd"/>
      <w:r w:rsidRPr="00A259BD">
        <w:rPr>
          <w:rFonts w:ascii="Times New Roman" w:hAnsi="Times New Roman"/>
          <w:color w:val="000000" w:themeColor="text1"/>
          <w:sz w:val="16"/>
          <w:szCs w:val="16"/>
        </w:rPr>
        <w:t>-Кербера (99,146).</w:t>
      </w:r>
    </w:p>
    <w:p w14:paraId="2FD832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4F04AF"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апрелю 1929 г. единственный оставшийся самолет HD 37 №292 был сдан в 15-ю авиабригаду ВВС РККА (базовый аэродром – Брянск), где эксплуатировался наравне с другими единичными самолетами – в 1928 г. туда были переданы два закупленных в Италии самолета FIAT CR.20, а в 1929-м – один из опытных образцов первого отечественного цельнометаллического истребителя АНТ-5 (И-4). Но основу истребительных сил бригады составляли в то время серийные самолеты И-2бис.</w:t>
      </w:r>
    </w:p>
    <w:p w14:paraId="377350B7"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Несмотря ни на выявленные конструктивные недостатки проекта </w:t>
      </w:r>
      <w:proofErr w:type="spellStart"/>
      <w:r w:rsidRPr="00441F34">
        <w:rPr>
          <w:rFonts w:ascii="Times New Roman" w:hAnsi="Times New Roman"/>
          <w:color w:val="0070C0"/>
          <w:sz w:val="16"/>
          <w:szCs w:val="16"/>
        </w:rPr>
        <w:t>Heinkel</w:t>
      </w:r>
      <w:proofErr w:type="spellEnd"/>
      <w:r w:rsidRPr="00441F34">
        <w:rPr>
          <w:rFonts w:ascii="Times New Roman" w:hAnsi="Times New Roman"/>
          <w:color w:val="0070C0"/>
          <w:sz w:val="16"/>
          <w:szCs w:val="16"/>
        </w:rPr>
        <w:t xml:space="preserve"> HD 37, которые разработчик устранять не спешил, Управление ВВС и лично Начальник ВВС РККА Баранов и его зам Алкснис настаивали на закупке этих самолетов. </w:t>
      </w:r>
      <w:proofErr w:type="spellStart"/>
      <w:r w:rsidRPr="00441F34">
        <w:rPr>
          <w:rFonts w:ascii="Times New Roman" w:hAnsi="Times New Roman"/>
          <w:color w:val="0070C0"/>
          <w:sz w:val="16"/>
          <w:szCs w:val="16"/>
        </w:rPr>
        <w:t>Авиатрест</w:t>
      </w:r>
      <w:proofErr w:type="spellEnd"/>
      <w:r w:rsidRPr="00441F34">
        <w:rPr>
          <w:rFonts w:ascii="Times New Roman" w:hAnsi="Times New Roman"/>
          <w:color w:val="0070C0"/>
          <w:sz w:val="16"/>
          <w:szCs w:val="16"/>
        </w:rPr>
        <w:t xml:space="preserve"> был против, указывая на свои перспективные разработки. Однако постоянный срыв планов предприятиями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и недовыполнение заданных тактико-технических требований его конструкторами заставило все же вернуться к вопросу о самолете Хейнкель HD 37.</w:t>
      </w:r>
    </w:p>
    <w:p w14:paraId="5DEC5D96"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Однако с учетом ранее принятых решений постановили купить в Германии не готовые машины, а лицензию на их производство в СССР, и заниматься его освоением пришлось все тому же Петру Ионовичу </w:t>
      </w:r>
      <w:proofErr w:type="spellStart"/>
      <w:r w:rsidRPr="00441F34">
        <w:rPr>
          <w:rFonts w:ascii="Times New Roman" w:hAnsi="Times New Roman"/>
          <w:color w:val="0070C0"/>
          <w:sz w:val="16"/>
          <w:szCs w:val="16"/>
        </w:rPr>
        <w:t>Баранрову</w:t>
      </w:r>
      <w:proofErr w:type="spellEnd"/>
      <w:r w:rsidRPr="00441F34">
        <w:rPr>
          <w:rFonts w:ascii="Times New Roman" w:hAnsi="Times New Roman"/>
          <w:color w:val="0070C0"/>
          <w:sz w:val="16"/>
          <w:szCs w:val="16"/>
        </w:rPr>
        <w:t>, который переходил с должности Начальника ВВС на пост руководителя авиапромышленности страны.</w:t>
      </w:r>
    </w:p>
    <w:p w14:paraId="4FCF2CEA"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Что же касается устранения дефектов HD 37, это оказалось невозможно без полной переделки проекта, и после острых дискуссий с советской стороной Эрнст Хейнкель разработал проект HD 43 как новый тип истребителя (24201).</w:t>
      </w:r>
    </w:p>
    <w:p w14:paraId="59FAFCA6" w14:textId="77777777" w:rsidR="00292DF5" w:rsidRPr="00441F34" w:rsidRDefault="00292DF5" w:rsidP="00292DF5">
      <w:pPr>
        <w:spacing w:after="0" w:line="240" w:lineRule="auto"/>
        <w:jc w:val="both"/>
        <w:rPr>
          <w:rFonts w:ascii="Times New Roman" w:hAnsi="Times New Roman"/>
          <w:color w:val="0070C0"/>
          <w:sz w:val="16"/>
          <w:szCs w:val="16"/>
        </w:rPr>
      </w:pPr>
    </w:p>
    <w:p w14:paraId="22DA5FED" w14:textId="77777777" w:rsidR="00F90FD9" w:rsidRPr="00A259BD" w:rsidRDefault="00F90FD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E9EDE77" w14:textId="77777777" w:rsidR="00F90FD9" w:rsidRPr="00A259BD" w:rsidRDefault="00F90FD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C8632B4" w14:textId="77777777" w:rsidR="00F90FD9" w:rsidRPr="00A259BD" w:rsidRDefault="00F90FD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апрелю 1929 г. в Японии был готов прототип легкого танка. Он также строился Армейским арсеналом в Осаке и получил обозначение «Осака </w:t>
      </w:r>
      <w:proofErr w:type="spellStart"/>
      <w:r w:rsidRPr="00A259BD">
        <w:rPr>
          <w:rFonts w:ascii="Times New Roman" w:hAnsi="Times New Roman"/>
          <w:color w:val="000000" w:themeColor="text1"/>
          <w:sz w:val="16"/>
          <w:szCs w:val="16"/>
        </w:rPr>
        <w:t>Рёкогун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Дзёхей</w:t>
      </w:r>
      <w:proofErr w:type="spellEnd"/>
      <w:r w:rsidRPr="00A259BD">
        <w:rPr>
          <w:rFonts w:ascii="Times New Roman" w:hAnsi="Times New Roman"/>
          <w:color w:val="000000" w:themeColor="text1"/>
          <w:sz w:val="16"/>
          <w:szCs w:val="16"/>
        </w:rPr>
        <w:t xml:space="preserve"> № 2», или просто № 2. На испытаниях эта 9,8-тонная машина продемонстрировала неплохие характеристики, однако и ее на вооружение не приняли. Военных не устроило слабое бронирование и недостаточно мощное вооружение (22970).</w:t>
      </w:r>
    </w:p>
    <w:p w14:paraId="0353E6C1" w14:textId="77777777" w:rsidR="00F90FD9" w:rsidRPr="00A259BD" w:rsidRDefault="00F90FD9" w:rsidP="009236E3">
      <w:pPr>
        <w:spacing w:after="0" w:line="240" w:lineRule="auto"/>
        <w:jc w:val="both"/>
        <w:rPr>
          <w:rFonts w:ascii="Times New Roman" w:hAnsi="Times New Roman"/>
          <w:color w:val="000000" w:themeColor="text1"/>
          <w:sz w:val="16"/>
          <w:szCs w:val="16"/>
        </w:rPr>
      </w:pPr>
    </w:p>
    <w:p w14:paraId="14257C8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D26C16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2D7348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 апреля по 17 мая 1929 в НИИ ВВС проходили испытания П-2 М-6 (6957).</w:t>
      </w:r>
    </w:p>
    <w:p w14:paraId="25073F9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Самолет П-2 второй экземпляр по конструкции всех своих основных частей не отличается от первого экземпляра. Изменения внесенные в него коснулись главным образом второстепенных элементов основных частей (например шасси). Все изменения произведены на основании постановлений НИИ и НТК, выраженных в протоколах НИИ от 11 августа 1928 года, одного протокола без даты (в августе 1928 года), завода № 25 от 24 сентября 1928 года 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от 3 октября 1928 года.</w:t>
      </w:r>
    </w:p>
    <w:p w14:paraId="22204DB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П-2 М-6 проходил испытания в НИИ с 1 апреля 1929 года по 17 мая 1929 года</w:t>
      </w:r>
    </w:p>
    <w:p w14:paraId="4C51491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Вед. летчик – Анисимов (6957).</w:t>
      </w:r>
    </w:p>
    <w:p w14:paraId="656E676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8299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апреля 1929 началась постройка АНТ-23 (И-12) (514).</w:t>
      </w:r>
    </w:p>
    <w:p w14:paraId="48490D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5A78820" w14:textId="77777777" w:rsidR="00CE6C7E" w:rsidRPr="00A259BD" w:rsidRDefault="00CE6C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апреля в 1929 году началось проектирование пушечного истребителя КБ Туполева </w:t>
      </w:r>
      <w:hyperlink r:id="rId29" w:tgtFrame="_blank" w:history="1">
        <w:r w:rsidRPr="00A259BD">
          <w:rPr>
            <w:rFonts w:ascii="Times New Roman" w:hAnsi="Times New Roman"/>
            <w:color w:val="000000" w:themeColor="text1"/>
            <w:sz w:val="16"/>
            <w:szCs w:val="16"/>
          </w:rPr>
          <w:t xml:space="preserve">«И-12» («АНТ-23»). </w:t>
        </w:r>
      </w:hyperlink>
    </w:p>
    <w:p w14:paraId="771DFD5A" w14:textId="77777777" w:rsidR="00CE6C7E" w:rsidRPr="00A259BD" w:rsidRDefault="00CE6C7E" w:rsidP="009236E3">
      <w:pPr>
        <w:spacing w:after="0" w:line="240" w:lineRule="auto"/>
        <w:jc w:val="both"/>
        <w:rPr>
          <w:rFonts w:ascii="Times New Roman" w:hAnsi="Times New Roman"/>
          <w:color w:val="000000" w:themeColor="text1"/>
          <w:sz w:val="16"/>
          <w:szCs w:val="16"/>
        </w:rPr>
      </w:pPr>
    </w:p>
    <w:p w14:paraId="6F5D66A1" w14:textId="77777777" w:rsidR="00FC57CE" w:rsidRPr="00A259BD" w:rsidRDefault="00FC57C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апреля 1929 г. практически одновременно с проектированием на заводе № 22 была начата постройка И-12 (АНТ-23, без б/№).  Поскольку многие узлы приходилось неоднократно переделывать, а тема была неплановая, постройка шла с перерывами и заняла больше времени, чем обычно требовалось на опытный самолет такой размерности. При этом каких-то особых конструктивно-технологических сложностей не было – в основном мешали делу организационные препоны.   19.07.31 г. самолет был закончен постройкой и передан на наземные испытания, которые проходили на ЦА (г. Москва).   Ведущим летчиком-испытателем был назначен И.Ф. Козлов, наблюдающим инженером от НИИ ВВС – Жемчужин. Оба уже имели хороший опыт испытательной работы и заслуженный авторитет.   21.07.31 г. была выполнена первая рулежка. Результат был неудовлетворительный – самолет на малых скоростях управлялся плохо (23136).</w:t>
      </w:r>
    </w:p>
    <w:p w14:paraId="6D371C08" w14:textId="77777777" w:rsidR="00FC57CE" w:rsidRPr="00A259BD" w:rsidRDefault="00FC57CE" w:rsidP="009236E3">
      <w:pPr>
        <w:spacing w:after="0" w:line="240" w:lineRule="auto"/>
        <w:jc w:val="both"/>
        <w:rPr>
          <w:rFonts w:ascii="Times New Roman" w:hAnsi="Times New Roman"/>
          <w:color w:val="000000" w:themeColor="text1"/>
          <w:sz w:val="16"/>
          <w:szCs w:val="16"/>
        </w:rPr>
      </w:pPr>
    </w:p>
    <w:p w14:paraId="548D5B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апреля 1929 состоялось техническое совещание руководителей групп отдела АГОС о загрузке мастерских и В.М.П. должен был делать крылья АНТ-8 (1077,154), а П.О.С. - амортизационные оттяжки лыж и докладывал о результатах продувки АНТ-10 (1102).</w:t>
      </w:r>
    </w:p>
    <w:p w14:paraId="4E040B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C48FB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апреля 1929 начались исследования возможности переоборудования К-5 в трехместный бомбардировщик. Бомб - 450-500 кг. Также должны были поставить пулемет ПВ-1 для стрельбы через винт с 250 патронами и двух ДА с 630 патронами. Плюс рация и фотоаппарат (70,175).</w:t>
      </w:r>
    </w:p>
    <w:p w14:paraId="66D9B7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95DEF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апреля 1929 состоялось заседание Техсовета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по рассмотрению проекта ТОМ </w:t>
      </w:r>
      <w:proofErr w:type="spellStart"/>
      <w:r w:rsidRPr="00A259BD">
        <w:rPr>
          <w:rFonts w:ascii="Times New Roman" w:hAnsi="Times New Roman"/>
          <w:color w:val="000000" w:themeColor="text1"/>
          <w:sz w:val="16"/>
          <w:szCs w:val="16"/>
        </w:rPr>
        <w:t>П.Ришара</w:t>
      </w:r>
      <w:proofErr w:type="spellEnd"/>
      <w:r w:rsidRPr="00A259BD">
        <w:rPr>
          <w:rFonts w:ascii="Times New Roman" w:hAnsi="Times New Roman"/>
          <w:color w:val="000000" w:themeColor="text1"/>
          <w:sz w:val="16"/>
          <w:szCs w:val="16"/>
        </w:rPr>
        <w:t xml:space="preserve">. Наши критиковали. Присутствовал </w:t>
      </w:r>
      <w:proofErr w:type="spellStart"/>
      <w:r w:rsidRPr="00A259BD">
        <w:rPr>
          <w:rFonts w:ascii="Times New Roman" w:hAnsi="Times New Roman"/>
          <w:color w:val="000000" w:themeColor="text1"/>
          <w:sz w:val="16"/>
          <w:szCs w:val="16"/>
        </w:rPr>
        <w:t>Гикса</w:t>
      </w:r>
      <w:proofErr w:type="spellEnd"/>
      <w:r w:rsidRPr="00A259BD">
        <w:rPr>
          <w:rFonts w:ascii="Times New Roman" w:hAnsi="Times New Roman"/>
          <w:color w:val="000000" w:themeColor="text1"/>
          <w:sz w:val="16"/>
          <w:szCs w:val="16"/>
        </w:rPr>
        <w:t>, Самсонов, Н.Н.П. и др. Холмский доложил ответы Ришара по пунктам постановления НК УВВС о проекте (2363).</w:t>
      </w:r>
    </w:p>
    <w:p w14:paraId="33B97F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Протокол</w:t>
      </w:r>
    </w:p>
    <w:p w14:paraId="6E4B099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заседания Техсовета</w:t>
      </w:r>
    </w:p>
    <w:p w14:paraId="4FBC65E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апреля 1929</w:t>
      </w:r>
    </w:p>
    <w:p w14:paraId="099D82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Председатель: Макаровский.</w:t>
      </w:r>
    </w:p>
    <w:p w14:paraId="7AA6CA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Окромешко</w:t>
      </w:r>
      <w:proofErr w:type="spellEnd"/>
      <w:r w:rsidRPr="00A259BD">
        <w:rPr>
          <w:rFonts w:ascii="Times New Roman" w:hAnsi="Times New Roman"/>
          <w:color w:val="000000" w:themeColor="text1"/>
          <w:sz w:val="16"/>
          <w:szCs w:val="16"/>
        </w:rPr>
        <w:t xml:space="preserve">, Ришар, </w:t>
      </w:r>
      <w:proofErr w:type="spellStart"/>
      <w:r w:rsidRPr="00A259BD">
        <w:rPr>
          <w:rFonts w:ascii="Times New Roman" w:hAnsi="Times New Roman"/>
          <w:color w:val="000000" w:themeColor="text1"/>
          <w:sz w:val="16"/>
          <w:szCs w:val="16"/>
        </w:rPr>
        <w:t>Гикса</w:t>
      </w:r>
      <w:proofErr w:type="spellEnd"/>
      <w:r w:rsidRPr="00A259BD">
        <w:rPr>
          <w:rFonts w:ascii="Times New Roman" w:hAnsi="Times New Roman"/>
          <w:color w:val="000000" w:themeColor="text1"/>
          <w:sz w:val="16"/>
          <w:szCs w:val="16"/>
        </w:rPr>
        <w:t>, Самсонов, Поликарпов, Артамонов, Рубенчик, Александров</w:t>
      </w:r>
    </w:p>
    <w:p w14:paraId="6BC655B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Присутствуют:</w:t>
      </w:r>
    </w:p>
    <w:p w14:paraId="32D2B5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Холмский, Камов, Лавочкин, </w:t>
      </w:r>
      <w:proofErr w:type="spellStart"/>
      <w:r w:rsidRPr="00A259BD">
        <w:rPr>
          <w:rFonts w:ascii="Times New Roman" w:hAnsi="Times New Roman"/>
          <w:color w:val="000000" w:themeColor="text1"/>
          <w:sz w:val="16"/>
          <w:szCs w:val="16"/>
        </w:rPr>
        <w:t>Яровицкий</w:t>
      </w:r>
      <w:proofErr w:type="spellEnd"/>
      <w:r w:rsidRPr="00A259BD">
        <w:rPr>
          <w:rFonts w:ascii="Times New Roman" w:hAnsi="Times New Roman"/>
          <w:color w:val="000000" w:themeColor="text1"/>
          <w:sz w:val="16"/>
          <w:szCs w:val="16"/>
        </w:rPr>
        <w:t xml:space="preserve"> и Раскин.</w:t>
      </w:r>
    </w:p>
    <w:p w14:paraId="58928A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Докладывают:</w:t>
      </w:r>
    </w:p>
    <w:p w14:paraId="08DBC3E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Холмский, Верещагина,</w:t>
      </w:r>
    </w:p>
    <w:p w14:paraId="71F686B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Калинин, стенографистка - Крисе.</w:t>
      </w:r>
    </w:p>
    <w:p w14:paraId="199A537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проекте самолета ТОМ, конструкции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РИШАРА.</w:t>
      </w:r>
    </w:p>
    <w:p w14:paraId="508035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Хомский докладывает ответы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Ришара по пунктам постановления НК УВВС о проекте гидросамолета ТОМ.</w:t>
      </w:r>
    </w:p>
    <w:p w14:paraId="6182D8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 основных размерах самолета - в представлении обоснования размеров нет необходимости, так как программа за.. подробно и сама давала те необходимые основные данные, которые были приняты по </w:t>
      </w:r>
      <w:proofErr w:type="spellStart"/>
      <w:r w:rsidRPr="00A259BD">
        <w:rPr>
          <w:rFonts w:ascii="Times New Roman" w:hAnsi="Times New Roman"/>
          <w:color w:val="000000" w:themeColor="text1"/>
          <w:sz w:val="16"/>
          <w:szCs w:val="16"/>
        </w:rPr>
        <w:t>ТОМ"у</w:t>
      </w:r>
      <w:proofErr w:type="spellEnd"/>
      <w:r w:rsidRPr="00A259BD">
        <w:rPr>
          <w:rFonts w:ascii="Times New Roman" w:hAnsi="Times New Roman"/>
          <w:color w:val="000000" w:themeColor="text1"/>
          <w:sz w:val="16"/>
          <w:szCs w:val="16"/>
        </w:rPr>
        <w:t>.</w:t>
      </w:r>
    </w:p>
    <w:p w14:paraId="73A56D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подборе размеров оперения по статистическому методу - статистический метод применять не рационально. Более целесообразно руководствоваться технологическими соображениями, что даст возможность избежать повторения сделанных другими ошибок.</w:t>
      </w:r>
    </w:p>
    <w:p w14:paraId="2C74866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 объяснительной записке - технические данные </w:t>
      </w:r>
      <w:proofErr w:type="spellStart"/>
      <w:r w:rsidRPr="00A259BD">
        <w:rPr>
          <w:rFonts w:ascii="Times New Roman" w:hAnsi="Times New Roman"/>
          <w:color w:val="000000" w:themeColor="text1"/>
          <w:sz w:val="16"/>
          <w:szCs w:val="16"/>
        </w:rPr>
        <w:t>ТОМа</w:t>
      </w:r>
      <w:proofErr w:type="spellEnd"/>
      <w:r w:rsidRPr="00A259BD">
        <w:rPr>
          <w:rFonts w:ascii="Times New Roman" w:hAnsi="Times New Roman"/>
          <w:color w:val="000000" w:themeColor="text1"/>
          <w:sz w:val="16"/>
          <w:szCs w:val="16"/>
        </w:rPr>
        <w:t xml:space="preserve"> значительно превышают заданные техническими требованиями на эту </w:t>
      </w:r>
      <w:proofErr w:type="spellStart"/>
      <w:r w:rsidRPr="00A259BD">
        <w:rPr>
          <w:rFonts w:ascii="Times New Roman" w:hAnsi="Times New Roman"/>
          <w:color w:val="000000" w:themeColor="text1"/>
          <w:sz w:val="16"/>
          <w:szCs w:val="16"/>
        </w:rPr>
        <w:t>мащину</w:t>
      </w:r>
      <w:proofErr w:type="spellEnd"/>
      <w:r w:rsidRPr="00A259BD">
        <w:rPr>
          <w:rFonts w:ascii="Times New Roman" w:hAnsi="Times New Roman"/>
          <w:color w:val="000000" w:themeColor="text1"/>
          <w:sz w:val="16"/>
          <w:szCs w:val="16"/>
        </w:rPr>
        <w:t>, исключение составляет посадочная скорость, которая допущена больше, чем в требованиях, но об этом будет речь в дальнейшем.</w:t>
      </w:r>
    </w:p>
    <w:p w14:paraId="0D553C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схемах обзора и обстрела - схема представлена по методу пресечений линий обстрела со сферой. Если НК предложит другой метод, то пусть даст его.</w:t>
      </w:r>
    </w:p>
    <w:p w14:paraId="1A09F8A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 учете обдувки частей самолета струей винта. Литературные данные по этому вопросу неясны и противоречивы.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Ришар предпочитает ими не-пользоваться. Окончательный расчет будет дан по выбранным им методам будет дан по пол... конструкции машины.</w:t>
      </w:r>
    </w:p>
    <w:p w14:paraId="0B9444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гидростатических и гидродинамических расчетах. Расчеты на случай затопления 2-х соседних отсеков, а равно расчеты, обеспечения устойчивости и мореходности делаются и будут представлены.</w:t>
      </w:r>
    </w:p>
    <w:p w14:paraId="520A5C0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 аэродинамическом расчете - В расчетах, представленных в НК, площадь крыла принято 101 м кв., но затем была исправлена на .... НК в своем расчете принял 120 м кв...</w:t>
      </w:r>
    </w:p>
    <w:p w14:paraId="727A70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площадь элеронов - достаточна, необходимое отклонение будет превышать 50 гр. и слишком большие элероны могут быть </w:t>
      </w:r>
      <w:proofErr w:type="spellStart"/>
      <w:r w:rsidRPr="00A259BD">
        <w:rPr>
          <w:rFonts w:ascii="Times New Roman" w:hAnsi="Times New Roman"/>
          <w:color w:val="000000" w:themeColor="text1"/>
          <w:sz w:val="16"/>
          <w:szCs w:val="16"/>
        </w:rPr>
        <w:t>чоеваты</w:t>
      </w:r>
      <w:proofErr w:type="spellEnd"/>
      <w:r w:rsidRPr="00A259BD">
        <w:rPr>
          <w:rFonts w:ascii="Times New Roman" w:hAnsi="Times New Roman"/>
          <w:color w:val="000000" w:themeColor="text1"/>
          <w:sz w:val="16"/>
          <w:szCs w:val="16"/>
        </w:rPr>
        <w:t xml:space="preserve"> аварией.</w:t>
      </w:r>
    </w:p>
    <w:p w14:paraId="5E27DE4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Поликарпов: судить о конструкции за отсутствием чертежей и расчетов прочности. </w:t>
      </w:r>
      <w:proofErr w:type="spellStart"/>
      <w:r w:rsidRPr="00A259BD">
        <w:rPr>
          <w:rFonts w:ascii="Times New Roman" w:hAnsi="Times New Roman"/>
          <w:color w:val="000000" w:themeColor="text1"/>
          <w:sz w:val="16"/>
          <w:szCs w:val="16"/>
        </w:rPr>
        <w:t>Образает</w:t>
      </w:r>
      <w:proofErr w:type="spellEnd"/>
      <w:r w:rsidRPr="00A259BD">
        <w:rPr>
          <w:rFonts w:ascii="Times New Roman" w:hAnsi="Times New Roman"/>
          <w:color w:val="000000" w:themeColor="text1"/>
          <w:sz w:val="16"/>
          <w:szCs w:val="16"/>
        </w:rPr>
        <w:t xml:space="preserve"> внимание...оперения, что заставляет опасаться за прочность... </w:t>
      </w:r>
      <w:proofErr w:type="spellStart"/>
      <w:r w:rsidRPr="00A259BD">
        <w:rPr>
          <w:rFonts w:ascii="Times New Roman" w:hAnsi="Times New Roman"/>
          <w:color w:val="000000" w:themeColor="text1"/>
          <w:sz w:val="16"/>
          <w:szCs w:val="16"/>
        </w:rPr>
        <w:t>чение</w:t>
      </w:r>
      <w:proofErr w:type="spellEnd"/>
      <w:r w:rsidRPr="00A259BD">
        <w:rPr>
          <w:rFonts w:ascii="Times New Roman" w:hAnsi="Times New Roman"/>
          <w:color w:val="000000" w:themeColor="text1"/>
          <w:sz w:val="16"/>
          <w:szCs w:val="16"/>
        </w:rPr>
        <w:t xml:space="preserve">. Устойчивость в пути должна быть проверена на разных углах атаки и отклонения рулей.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Поликарпов отмечает, что было бы интересно выяснить, достаточно ли рулей, например, на штопоре, учитывая возможность попадания в штопор при пикировании. Штопор предусмотрен техническими.... На это обстоятельство надо обратить внимание и...оперение по статистическим данным, что наиболее... современной </w:t>
      </w:r>
      <w:proofErr w:type="spellStart"/>
      <w:r w:rsidRPr="00A259BD">
        <w:rPr>
          <w:rFonts w:ascii="Times New Roman" w:hAnsi="Times New Roman"/>
          <w:color w:val="000000" w:themeColor="text1"/>
          <w:sz w:val="16"/>
          <w:szCs w:val="16"/>
        </w:rPr>
        <w:t>невыясненности</w:t>
      </w:r>
      <w:proofErr w:type="spellEnd"/>
      <w:r w:rsidRPr="00A259BD">
        <w:rPr>
          <w:rFonts w:ascii="Times New Roman" w:hAnsi="Times New Roman"/>
          <w:color w:val="000000" w:themeColor="text1"/>
          <w:sz w:val="16"/>
          <w:szCs w:val="16"/>
        </w:rPr>
        <w:t xml:space="preserve"> вопроса о штопоре.</w:t>
      </w:r>
    </w:p>
    <w:p w14:paraId="3A875D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Ришар: Вертикальное оперение изменено в большой...</w:t>
      </w:r>
    </w:p>
    <w:p w14:paraId="760E6C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Крепление фюзеляжа в те части машины, которые... он предлагает испытать статически. Что касается... штопор, то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Ришар считает, что моноплан ...</w:t>
      </w:r>
      <w:proofErr w:type="spellStart"/>
      <w:r w:rsidRPr="00A259BD">
        <w:rPr>
          <w:rFonts w:ascii="Times New Roman" w:hAnsi="Times New Roman"/>
          <w:color w:val="000000" w:themeColor="text1"/>
          <w:sz w:val="16"/>
          <w:szCs w:val="16"/>
        </w:rPr>
        <w:t>ти</w:t>
      </w:r>
      <w:proofErr w:type="spellEnd"/>
      <w:r w:rsidRPr="00A259BD">
        <w:rPr>
          <w:rFonts w:ascii="Times New Roman" w:hAnsi="Times New Roman"/>
          <w:color w:val="000000" w:themeColor="text1"/>
          <w:sz w:val="16"/>
          <w:szCs w:val="16"/>
        </w:rPr>
        <w:t xml:space="preserve"> не может.</w:t>
      </w:r>
    </w:p>
    <w:p w14:paraId="2259CD1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Поликарпов: заявляет, что он знает само лет-моноплан с трудом выходящий из штопора.</w:t>
      </w:r>
    </w:p>
    <w:p w14:paraId="6A1E19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Ришар: Если моноплан </w:t>
      </w:r>
      <w:proofErr w:type="spellStart"/>
      <w:r w:rsidRPr="00A259BD">
        <w:rPr>
          <w:rFonts w:ascii="Times New Roman" w:hAnsi="Times New Roman"/>
          <w:color w:val="000000" w:themeColor="text1"/>
          <w:sz w:val="16"/>
          <w:szCs w:val="16"/>
        </w:rPr>
        <w:t>неподкосного</w:t>
      </w:r>
      <w:proofErr w:type="spellEnd"/>
      <w:r w:rsidRPr="00A259BD">
        <w:rPr>
          <w:rFonts w:ascii="Times New Roman" w:hAnsi="Times New Roman"/>
          <w:color w:val="000000" w:themeColor="text1"/>
          <w:sz w:val="16"/>
          <w:szCs w:val="16"/>
        </w:rPr>
        <w:t xml:space="preserve"> типа, то... войти в штопор он может лишь из-за деформации... случае никакое оперение не спасет или-же, как... испытания, при наличии ненормальностей кривых... </w:t>
      </w:r>
      <w:proofErr w:type="spellStart"/>
      <w:r w:rsidRPr="00A259BD">
        <w:rPr>
          <w:rFonts w:ascii="Times New Roman" w:hAnsi="Times New Roman"/>
          <w:color w:val="000000" w:themeColor="text1"/>
          <w:sz w:val="16"/>
          <w:szCs w:val="16"/>
        </w:rPr>
        <w:t>ших</w:t>
      </w:r>
      <w:proofErr w:type="spellEnd"/>
      <w:r w:rsidRPr="00A259BD">
        <w:rPr>
          <w:rFonts w:ascii="Times New Roman" w:hAnsi="Times New Roman"/>
          <w:color w:val="000000" w:themeColor="text1"/>
          <w:sz w:val="16"/>
          <w:szCs w:val="16"/>
        </w:rPr>
        <w:t xml:space="preserve"> углах </w:t>
      </w:r>
      <w:proofErr w:type="spellStart"/>
      <w:r w:rsidRPr="00A259BD">
        <w:rPr>
          <w:rFonts w:ascii="Times New Roman" w:hAnsi="Times New Roman"/>
          <w:color w:val="000000" w:themeColor="text1"/>
          <w:sz w:val="16"/>
          <w:szCs w:val="16"/>
        </w:rPr>
        <w:t>аттаки</w:t>
      </w:r>
      <w:proofErr w:type="spellEnd"/>
      <w:r w:rsidRPr="00A259BD">
        <w:rPr>
          <w:rFonts w:ascii="Times New Roman" w:hAnsi="Times New Roman"/>
          <w:color w:val="000000" w:themeColor="text1"/>
          <w:sz w:val="16"/>
          <w:szCs w:val="16"/>
        </w:rPr>
        <w:t xml:space="preserve"> (срывы, низкий Су максим).</w:t>
      </w:r>
    </w:p>
    <w:p w14:paraId="1FC78F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Макаррвский</w:t>
      </w:r>
      <w:proofErr w:type="spellEnd"/>
      <w:r w:rsidRPr="00A259BD">
        <w:rPr>
          <w:rFonts w:ascii="Times New Roman" w:hAnsi="Times New Roman"/>
          <w:color w:val="000000" w:themeColor="text1"/>
          <w:sz w:val="16"/>
          <w:szCs w:val="16"/>
        </w:rPr>
        <w:t>: отмечает, что вопрос о штопоре может получить разрешение, что-же касается указанных...</w:t>
      </w:r>
      <w:proofErr w:type="spellStart"/>
      <w:r w:rsidRPr="00A259BD">
        <w:rPr>
          <w:rFonts w:ascii="Times New Roman" w:hAnsi="Times New Roman"/>
          <w:color w:val="000000" w:themeColor="text1"/>
          <w:sz w:val="16"/>
          <w:szCs w:val="16"/>
        </w:rPr>
        <w:t>повым</w:t>
      </w:r>
      <w:proofErr w:type="spellEnd"/>
      <w:r w:rsidRPr="00A259BD">
        <w:rPr>
          <w:rFonts w:ascii="Times New Roman" w:hAnsi="Times New Roman"/>
          <w:color w:val="000000" w:themeColor="text1"/>
          <w:sz w:val="16"/>
          <w:szCs w:val="16"/>
        </w:rPr>
        <w:t xml:space="preserve"> самолета, то он попросит разрешение Правления... эту машину Ришару и попросить его консультаций</w:t>
      </w:r>
    </w:p>
    <w:p w14:paraId="45CE0C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Ришар: отмечает, что с удовольствием </w:t>
      </w:r>
      <w:proofErr w:type="spellStart"/>
      <w:r w:rsidRPr="00A259BD">
        <w:rPr>
          <w:rFonts w:ascii="Times New Roman" w:hAnsi="Times New Roman"/>
          <w:color w:val="000000" w:themeColor="text1"/>
          <w:sz w:val="16"/>
          <w:szCs w:val="16"/>
        </w:rPr>
        <w:t>пойдеи</w:t>
      </w:r>
      <w:proofErr w:type="spellEnd"/>
      <w:r w:rsidRPr="00A259BD">
        <w:rPr>
          <w:rFonts w:ascii="Times New Roman" w:hAnsi="Times New Roman"/>
          <w:color w:val="000000" w:themeColor="text1"/>
          <w:sz w:val="16"/>
          <w:szCs w:val="16"/>
        </w:rPr>
        <w:t xml:space="preserve"> даст консультации по данному вопросу.</w:t>
      </w:r>
    </w:p>
    <w:p w14:paraId="0CAFE9E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Поликарпов: заканчивая свой доклад </w:t>
      </w:r>
      <w:proofErr w:type="spellStart"/>
      <w:r w:rsidRPr="00A259BD">
        <w:rPr>
          <w:rFonts w:ascii="Times New Roman" w:hAnsi="Times New Roman"/>
          <w:color w:val="000000" w:themeColor="text1"/>
          <w:sz w:val="16"/>
          <w:szCs w:val="16"/>
        </w:rPr>
        <w:t>заявлет</w:t>
      </w:r>
      <w:proofErr w:type="spellEnd"/>
      <w:r w:rsidRPr="00A259BD">
        <w:rPr>
          <w:rFonts w:ascii="Times New Roman" w:hAnsi="Times New Roman"/>
          <w:color w:val="000000" w:themeColor="text1"/>
          <w:sz w:val="16"/>
          <w:szCs w:val="16"/>
        </w:rPr>
        <w:t xml:space="preserve">, что для него задача была-бы проще, если бы ему были бы даны все материалы по проекту, </w:t>
      </w:r>
      <w:proofErr w:type="spellStart"/>
      <w:r w:rsidRPr="00A259BD">
        <w:rPr>
          <w:rFonts w:ascii="Times New Roman" w:hAnsi="Times New Roman"/>
          <w:color w:val="000000" w:themeColor="text1"/>
          <w:sz w:val="16"/>
          <w:szCs w:val="16"/>
        </w:rPr>
        <w:t>преду</w:t>
      </w:r>
      <w:proofErr w:type="spellEnd"/>
      <w:r w:rsidRPr="00A259BD">
        <w:rPr>
          <w:rFonts w:ascii="Times New Roman" w:hAnsi="Times New Roman"/>
          <w:color w:val="000000" w:themeColor="text1"/>
          <w:sz w:val="16"/>
          <w:szCs w:val="16"/>
        </w:rPr>
        <w:t xml:space="preserve"> смотренные общими условиями и инструкцией Треста. </w:t>
      </w:r>
      <w:proofErr w:type="spellStart"/>
      <w:r w:rsidRPr="00A259BD">
        <w:rPr>
          <w:rFonts w:ascii="Times New Roman" w:hAnsi="Times New Roman"/>
          <w:color w:val="000000" w:themeColor="text1"/>
          <w:sz w:val="16"/>
          <w:szCs w:val="16"/>
        </w:rPr>
        <w:t>Чрезвычайнно</w:t>
      </w:r>
      <w:proofErr w:type="spellEnd"/>
      <w:r w:rsidRPr="00A259BD">
        <w:rPr>
          <w:rFonts w:ascii="Times New Roman" w:hAnsi="Times New Roman"/>
          <w:color w:val="000000" w:themeColor="text1"/>
          <w:sz w:val="16"/>
          <w:szCs w:val="16"/>
        </w:rPr>
        <w:t xml:space="preserve"> важно, например, иметь определение углов отклонения... на ручку. В частности, не представлены - определение... и осей инерции, а также расчеты прочностей основных деталей. Моменты к...интересно знать, так как они характеризуют маневренность...за отсутствием-же чертежей и расчетов нельзя ... конструкции машины, хотя-бы с точки зрений ... прочности и, в частности, весах отдельных частей.</w:t>
      </w:r>
    </w:p>
    <w:p w14:paraId="53ACB4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Ришар </w:t>
      </w:r>
      <w:proofErr w:type="spellStart"/>
      <w:r w:rsidRPr="00A259BD">
        <w:rPr>
          <w:rFonts w:ascii="Times New Roman" w:hAnsi="Times New Roman"/>
          <w:color w:val="000000" w:themeColor="text1"/>
          <w:sz w:val="16"/>
          <w:szCs w:val="16"/>
        </w:rPr>
        <w:t>заявлявт,что</w:t>
      </w:r>
      <w:proofErr w:type="spellEnd"/>
      <w:r w:rsidRPr="00A259BD">
        <w:rPr>
          <w:rFonts w:ascii="Times New Roman" w:hAnsi="Times New Roman"/>
          <w:color w:val="000000" w:themeColor="text1"/>
          <w:sz w:val="16"/>
          <w:szCs w:val="16"/>
        </w:rPr>
        <w:t xml:space="preserve"> давление на ручку будут определены... </w:t>
      </w:r>
      <w:proofErr w:type="spellStart"/>
      <w:r w:rsidRPr="00A259BD">
        <w:rPr>
          <w:rFonts w:ascii="Times New Roman" w:hAnsi="Times New Roman"/>
          <w:color w:val="000000" w:themeColor="text1"/>
          <w:sz w:val="16"/>
          <w:szCs w:val="16"/>
        </w:rPr>
        <w:t>ся</w:t>
      </w:r>
      <w:proofErr w:type="spellEnd"/>
      <w:r w:rsidRPr="00A259BD">
        <w:rPr>
          <w:rFonts w:ascii="Times New Roman" w:hAnsi="Times New Roman"/>
          <w:color w:val="000000" w:themeColor="text1"/>
          <w:sz w:val="16"/>
          <w:szCs w:val="16"/>
        </w:rPr>
        <w:t xml:space="preserve"> результата продувок в ЦАГИ, так как предварительно... не дадут нужных результатов. Моменты и оси... когда выявится окончательно конструкция, Чертежи можно показать в </w:t>
      </w:r>
      <w:proofErr w:type="spellStart"/>
      <w:r w:rsidRPr="00A259BD">
        <w:rPr>
          <w:rFonts w:ascii="Times New Roman" w:hAnsi="Times New Roman"/>
          <w:color w:val="000000" w:themeColor="text1"/>
          <w:sz w:val="16"/>
          <w:szCs w:val="16"/>
        </w:rPr>
        <w:t>Бюро,так</w:t>
      </w:r>
      <w:proofErr w:type="spellEnd"/>
      <w:r w:rsidRPr="00A259BD">
        <w:rPr>
          <w:rFonts w:ascii="Times New Roman" w:hAnsi="Times New Roman"/>
          <w:color w:val="000000" w:themeColor="text1"/>
          <w:sz w:val="16"/>
          <w:szCs w:val="16"/>
        </w:rPr>
        <w:t xml:space="preserve"> как она почти уже....</w:t>
      </w:r>
    </w:p>
    <w:p w14:paraId="238284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Макаровский: за поздним временем предлагает закрыть совещание и перенести его на 3 Апреля, предложив Членам Технического Совета перед заседанием ознакомиться с чертежами конструкции с-та: макетом и вносимыми в последний изменениями.</w:t>
      </w:r>
    </w:p>
    <w:p w14:paraId="6133180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ЗАСЕДАНИЕ ТЕХСОВЕТА 3-го АПРЕЛЯ (продолжение заседания от 1 апреля)</w:t>
      </w:r>
    </w:p>
    <w:p w14:paraId="002E5FE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Состав тот-же.</w:t>
      </w:r>
    </w:p>
    <w:p w14:paraId="0E22B93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Самсонов: докладывает, что представленные материалы по гидростатическому и гидродинамическому расчетам - недостаточно полны для машины открытого моря. Неполный гидростатический расчет, нет расчета поперечной устойчивости, не сделан расчет непотопляемости в соответствии с заданиями технических требований, нет расчета времени и длины пробега и расчета качки на волне. Что касается представленного гидростатического расчета, то отсутствует определение упорной </w:t>
      </w:r>
      <w:proofErr w:type="spellStart"/>
      <w:r w:rsidRPr="00A259BD">
        <w:rPr>
          <w:rFonts w:ascii="Times New Roman" w:hAnsi="Times New Roman"/>
          <w:color w:val="000000" w:themeColor="text1"/>
          <w:sz w:val="16"/>
          <w:szCs w:val="16"/>
        </w:rPr>
        <w:t>ватерлинии,очень</w:t>
      </w:r>
      <w:proofErr w:type="spellEnd"/>
      <w:r w:rsidRPr="00A259BD">
        <w:rPr>
          <w:rFonts w:ascii="Times New Roman" w:hAnsi="Times New Roman"/>
          <w:color w:val="000000" w:themeColor="text1"/>
          <w:sz w:val="16"/>
          <w:szCs w:val="16"/>
        </w:rPr>
        <w:t xml:space="preserve"> важное для </w:t>
      </w:r>
      <w:proofErr w:type="spellStart"/>
      <w:r w:rsidRPr="00A259BD">
        <w:rPr>
          <w:rFonts w:ascii="Times New Roman" w:hAnsi="Times New Roman"/>
          <w:color w:val="000000" w:themeColor="text1"/>
          <w:sz w:val="16"/>
          <w:szCs w:val="16"/>
        </w:rPr>
        <w:t>чуждения</w:t>
      </w:r>
      <w:proofErr w:type="spellEnd"/>
      <w:r w:rsidRPr="00A259BD">
        <w:rPr>
          <w:rFonts w:ascii="Times New Roman" w:hAnsi="Times New Roman"/>
          <w:color w:val="000000" w:themeColor="text1"/>
          <w:sz w:val="16"/>
          <w:szCs w:val="16"/>
        </w:rPr>
        <w:t xml:space="preserve"> о разбеге машины. При проделанных подсчетах получается динамический крен в 7°, что соответствует перемещению.... лодки на 700 м/м. Такое положение опорной ватерлинии докладчик считает недопустимым. При разбеге, нос лодки может зарываться в воду, а винты задеть за последнюю, что вызовет их </w:t>
      </w:r>
      <w:proofErr w:type="spellStart"/>
      <w:r w:rsidRPr="00A259BD">
        <w:rPr>
          <w:rFonts w:ascii="Times New Roman" w:hAnsi="Times New Roman"/>
          <w:color w:val="000000" w:themeColor="text1"/>
          <w:sz w:val="16"/>
          <w:szCs w:val="16"/>
        </w:rPr>
        <w:t>полоик</w:t>
      </w:r>
      <w:proofErr w:type="spellEnd"/>
      <w:r w:rsidRPr="00A259BD">
        <w:rPr>
          <w:rFonts w:ascii="Times New Roman" w:hAnsi="Times New Roman"/>
          <w:color w:val="000000" w:themeColor="text1"/>
          <w:sz w:val="16"/>
          <w:szCs w:val="16"/>
        </w:rPr>
        <w:t>. В расчете есть указание о возможности загрузки с-та до 12 тонн, при этом осадка достигнет 800-850 м/м. При работе моторов</w:t>
      </w:r>
      <w:r w:rsidRPr="00A259BD">
        <w:rPr>
          <w:rFonts w:ascii="Times New Roman" w:hAnsi="Times New Roman"/>
          <w:smallCaps/>
          <w:color w:val="000000" w:themeColor="text1"/>
          <w:sz w:val="16"/>
          <w:szCs w:val="16"/>
        </w:rPr>
        <w:t xml:space="preserve">, </w:t>
      </w:r>
      <w:r w:rsidRPr="00A259BD">
        <w:rPr>
          <w:rFonts w:ascii="Times New Roman" w:hAnsi="Times New Roman"/>
          <w:color w:val="000000" w:themeColor="text1"/>
          <w:sz w:val="16"/>
          <w:szCs w:val="16"/>
        </w:rPr>
        <w:t xml:space="preserve">нос лодки уйдет в воду и самолет не взлетит в спокойном море. Докладчик отмечает, что в однотипного с-та Савойя высота </w:t>
      </w:r>
      <w:proofErr w:type="spellStart"/>
      <w:r w:rsidRPr="00A259BD">
        <w:rPr>
          <w:rFonts w:ascii="Times New Roman" w:hAnsi="Times New Roman"/>
          <w:color w:val="000000" w:themeColor="text1"/>
          <w:sz w:val="16"/>
          <w:szCs w:val="16"/>
        </w:rPr>
        <w:t>боротов</w:t>
      </w:r>
      <w:proofErr w:type="spellEnd"/>
      <w:r w:rsidRPr="00A259BD">
        <w:rPr>
          <w:rFonts w:ascii="Times New Roman" w:hAnsi="Times New Roman"/>
          <w:color w:val="000000" w:themeColor="text1"/>
          <w:sz w:val="16"/>
          <w:szCs w:val="16"/>
        </w:rPr>
        <w:t xml:space="preserve"> - значительно выше и полагает необходимым удлинить лодку и уширить носовую часть ее.</w:t>
      </w:r>
    </w:p>
    <w:p w14:paraId="6528AD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Ришар: </w:t>
      </w:r>
      <w:proofErr w:type="spellStart"/>
      <w:r w:rsidRPr="00A259BD">
        <w:rPr>
          <w:rFonts w:ascii="Times New Roman" w:hAnsi="Times New Roman"/>
          <w:color w:val="000000" w:themeColor="text1"/>
          <w:sz w:val="16"/>
          <w:szCs w:val="16"/>
        </w:rPr>
        <w:t>заявляет,что</w:t>
      </w:r>
      <w:proofErr w:type="spellEnd"/>
      <w:r w:rsidRPr="00A259BD">
        <w:rPr>
          <w:rFonts w:ascii="Times New Roman" w:hAnsi="Times New Roman"/>
          <w:color w:val="000000" w:themeColor="text1"/>
          <w:sz w:val="16"/>
          <w:szCs w:val="16"/>
        </w:rPr>
        <w:t xml:space="preserve"> ему не известен как сделан расчет, но что докладчик, по-видимому ошибается. Лично у него </w:t>
      </w:r>
      <w:proofErr w:type="spellStart"/>
      <w:r w:rsidRPr="00A259BD">
        <w:rPr>
          <w:rFonts w:ascii="Times New Roman" w:hAnsi="Times New Roman"/>
          <w:color w:val="000000" w:themeColor="text1"/>
          <w:sz w:val="16"/>
          <w:szCs w:val="16"/>
        </w:rPr>
        <w:t>нер</w:t>
      </w:r>
      <w:proofErr w:type="spellEnd"/>
      <w:r w:rsidRPr="00A259BD">
        <w:rPr>
          <w:rFonts w:ascii="Times New Roman" w:hAnsi="Times New Roman"/>
          <w:color w:val="000000" w:themeColor="text1"/>
          <w:sz w:val="16"/>
          <w:szCs w:val="16"/>
        </w:rPr>
        <w:t xml:space="preserve"> на этот счет нет сомнений и ни одна поплавковая машина с места с полным газом не взлетит, а последний дается постепенно. При последнем аппарат уже при незначительной скорости </w:t>
      </w:r>
      <w:proofErr w:type="spellStart"/>
      <w:r w:rsidRPr="00A259BD">
        <w:rPr>
          <w:rFonts w:ascii="Times New Roman" w:hAnsi="Times New Roman"/>
          <w:color w:val="000000" w:themeColor="text1"/>
          <w:sz w:val="16"/>
          <w:szCs w:val="16"/>
        </w:rPr>
        <w:t>начинат</w:t>
      </w:r>
      <w:proofErr w:type="spellEnd"/>
      <w:r w:rsidRPr="00A259BD">
        <w:rPr>
          <w:rFonts w:ascii="Times New Roman" w:hAnsi="Times New Roman"/>
          <w:color w:val="000000" w:themeColor="text1"/>
          <w:sz w:val="16"/>
          <w:szCs w:val="16"/>
        </w:rPr>
        <w:t xml:space="preserve"> планировать и исключается возможность зарывания носа. Если де будет загружен до 12 тонн, то ему, конечно, будет дана соответственная центровка. ТОМ является не 2-хпоплавковой, а лодочной машиной и к нему нельзя применять соображения, имеющейся поплавковой машины. Явления взлета весьма сложны, в них действуют и гидродинамические и аэродинамические модели и учесть их не так просто, а потому расчет можно считать </w:t>
      </w:r>
      <w:proofErr w:type="spellStart"/>
      <w:r w:rsidRPr="00A259BD">
        <w:rPr>
          <w:rFonts w:ascii="Times New Roman" w:hAnsi="Times New Roman"/>
          <w:color w:val="000000" w:themeColor="text1"/>
          <w:sz w:val="16"/>
          <w:szCs w:val="16"/>
        </w:rPr>
        <w:t>оюоюдоострым</w:t>
      </w:r>
      <w:proofErr w:type="spellEnd"/>
      <w:r w:rsidRPr="00A259BD">
        <w:rPr>
          <w:rFonts w:ascii="Times New Roman" w:hAnsi="Times New Roman"/>
          <w:color w:val="000000" w:themeColor="text1"/>
          <w:sz w:val="16"/>
          <w:szCs w:val="16"/>
        </w:rPr>
        <w:t xml:space="preserve"> оружием.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Ришар </w:t>
      </w:r>
      <w:proofErr w:type="spellStart"/>
      <w:r w:rsidRPr="00A259BD">
        <w:rPr>
          <w:rFonts w:ascii="Times New Roman" w:hAnsi="Times New Roman"/>
          <w:color w:val="000000" w:themeColor="text1"/>
          <w:sz w:val="16"/>
          <w:szCs w:val="16"/>
        </w:rPr>
        <w:t>заявлет</w:t>
      </w:r>
      <w:proofErr w:type="spellEnd"/>
      <w:r w:rsidRPr="00A259BD">
        <w:rPr>
          <w:rFonts w:ascii="Times New Roman" w:hAnsi="Times New Roman"/>
          <w:color w:val="000000" w:themeColor="text1"/>
          <w:sz w:val="16"/>
          <w:szCs w:val="16"/>
        </w:rPr>
        <w:t>, что его всегда обви</w:t>
      </w:r>
      <w:r w:rsidRPr="00A259BD">
        <w:rPr>
          <w:rFonts w:ascii="Times New Roman" w:hAnsi="Times New Roman"/>
          <w:color w:val="000000" w:themeColor="text1"/>
          <w:sz w:val="16"/>
          <w:szCs w:val="16"/>
        </w:rPr>
        <w:softHyphen/>
        <w:t xml:space="preserve">няют в применении коротких лодок, но он их сторонник, что подтверждается его опытом, и отмечает, что и </w:t>
      </w:r>
      <w:proofErr w:type="spellStart"/>
      <w:r w:rsidRPr="00A259BD">
        <w:rPr>
          <w:rFonts w:ascii="Times New Roman" w:hAnsi="Times New Roman"/>
          <w:color w:val="000000" w:themeColor="text1"/>
          <w:sz w:val="16"/>
          <w:szCs w:val="16"/>
        </w:rPr>
        <w:t>Рорбах</w:t>
      </w:r>
      <w:proofErr w:type="spellEnd"/>
      <w:r w:rsidRPr="00A259BD">
        <w:rPr>
          <w:rFonts w:ascii="Times New Roman" w:hAnsi="Times New Roman"/>
          <w:color w:val="000000" w:themeColor="text1"/>
          <w:sz w:val="16"/>
          <w:szCs w:val="16"/>
        </w:rPr>
        <w:t xml:space="preserve"> при полном газе с места не взлетит.</w:t>
      </w:r>
    </w:p>
    <w:p w14:paraId="64912DA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Самсонов: указывает, что необходимость давать газ постепенно удлинит разбег. Кроме того, ТОМ имеет короткий нос, низкие борта и сильно отнесенный назад редан, а потому лодка долго будет </w:t>
      </w:r>
      <w:proofErr w:type="spellStart"/>
      <w:r w:rsidRPr="00A259BD">
        <w:rPr>
          <w:rFonts w:ascii="Times New Roman" w:hAnsi="Times New Roman"/>
          <w:color w:val="000000" w:themeColor="text1"/>
          <w:sz w:val="16"/>
          <w:szCs w:val="16"/>
        </w:rPr>
        <w:t>кабрировать</w:t>
      </w:r>
      <w:proofErr w:type="spellEnd"/>
      <w:r w:rsidRPr="00A259BD">
        <w:rPr>
          <w:rFonts w:ascii="Times New Roman" w:hAnsi="Times New Roman"/>
          <w:color w:val="000000" w:themeColor="text1"/>
          <w:sz w:val="16"/>
          <w:szCs w:val="16"/>
        </w:rPr>
        <w:t xml:space="preserve">. Самолет </w:t>
      </w:r>
      <w:proofErr w:type="spellStart"/>
      <w:r w:rsidRPr="00A259BD">
        <w:rPr>
          <w:rFonts w:ascii="Times New Roman" w:hAnsi="Times New Roman"/>
          <w:color w:val="000000" w:themeColor="text1"/>
          <w:sz w:val="16"/>
          <w:szCs w:val="16"/>
        </w:rPr>
        <w:t>Дернье</w:t>
      </w:r>
      <w:proofErr w:type="spellEnd"/>
      <w:r w:rsidRPr="00A259BD">
        <w:rPr>
          <w:rFonts w:ascii="Times New Roman" w:hAnsi="Times New Roman"/>
          <w:color w:val="000000" w:themeColor="text1"/>
          <w:sz w:val="16"/>
          <w:szCs w:val="16"/>
        </w:rPr>
        <w:t xml:space="preserve"> имеет такой-же редан, но у него длинная носовая части. Замечание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Ришара,что</w:t>
      </w:r>
      <w:proofErr w:type="spellEnd"/>
      <w:r w:rsidRPr="00A259BD">
        <w:rPr>
          <w:rFonts w:ascii="Times New Roman" w:hAnsi="Times New Roman"/>
          <w:color w:val="000000" w:themeColor="text1"/>
          <w:sz w:val="16"/>
          <w:szCs w:val="16"/>
        </w:rPr>
        <w:t xml:space="preserve"> с-т является </w:t>
      </w:r>
      <w:proofErr w:type="spellStart"/>
      <w:r w:rsidRPr="00A259BD">
        <w:rPr>
          <w:rFonts w:ascii="Times New Roman" w:hAnsi="Times New Roman"/>
          <w:color w:val="000000" w:themeColor="text1"/>
          <w:sz w:val="16"/>
          <w:szCs w:val="16"/>
        </w:rPr>
        <w:t>лодочной,а</w:t>
      </w:r>
      <w:proofErr w:type="spellEnd"/>
      <w:r w:rsidRPr="00A259BD">
        <w:rPr>
          <w:rFonts w:ascii="Times New Roman" w:hAnsi="Times New Roman"/>
          <w:color w:val="000000" w:themeColor="text1"/>
          <w:sz w:val="16"/>
          <w:szCs w:val="16"/>
        </w:rPr>
        <w:t xml:space="preserve"> не поплавковой машиной налагает еще большее обязательство (2636).</w:t>
      </w:r>
    </w:p>
    <w:p w14:paraId="3090440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Т Е Н О Г Р А М </w:t>
      </w:r>
      <w:proofErr w:type="spellStart"/>
      <w:r w:rsidRPr="00A259BD">
        <w:rPr>
          <w:rFonts w:ascii="Times New Roman" w:hAnsi="Times New Roman"/>
          <w:color w:val="000000" w:themeColor="text1"/>
          <w:sz w:val="16"/>
          <w:szCs w:val="16"/>
        </w:rPr>
        <w:t>М</w:t>
      </w:r>
      <w:proofErr w:type="spellEnd"/>
      <w:r w:rsidRPr="00A259BD">
        <w:rPr>
          <w:rFonts w:ascii="Times New Roman" w:hAnsi="Times New Roman"/>
          <w:color w:val="000000" w:themeColor="text1"/>
          <w:sz w:val="16"/>
          <w:szCs w:val="16"/>
        </w:rPr>
        <w:t xml:space="preserve"> А ЗАСЕДАНИЯ ТЕХНИЧЕСКОГО СОВЕТА</w:t>
      </w:r>
    </w:p>
    <w:p w14:paraId="298F29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апреля 1929</w:t>
      </w:r>
    </w:p>
    <w:p w14:paraId="743A9C2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Ришар отвечает на постановление НТК УВВС о проекте гидросамолета по каждому пункту в отдельности. На первый вопрос относительно основных размеров гидросамолета, он на</w:t>
      </w:r>
      <w:r w:rsidRPr="00A259BD">
        <w:rPr>
          <w:rFonts w:ascii="Times New Roman" w:hAnsi="Times New Roman"/>
          <w:color w:val="000000" w:themeColor="text1"/>
          <w:sz w:val="16"/>
          <w:szCs w:val="16"/>
        </w:rPr>
        <w:softHyphen/>
        <w:t xml:space="preserve">ходит, что в предоставлении обоснования выбора основных размеров нет необходимости, так как программа, </w:t>
      </w:r>
      <w:proofErr w:type="spellStart"/>
      <w:r w:rsidRPr="00A259BD">
        <w:rPr>
          <w:rFonts w:ascii="Times New Roman" w:hAnsi="Times New Roman"/>
          <w:color w:val="000000" w:themeColor="text1"/>
          <w:sz w:val="16"/>
          <w:szCs w:val="16"/>
        </w:rPr>
        <w:t>которан</w:t>
      </w:r>
      <w:proofErr w:type="spellEnd"/>
      <w:r w:rsidRPr="00A259BD">
        <w:rPr>
          <w:rFonts w:ascii="Times New Roman" w:hAnsi="Times New Roman"/>
          <w:color w:val="000000" w:themeColor="text1"/>
          <w:sz w:val="16"/>
          <w:szCs w:val="16"/>
        </w:rPr>
        <w:t xml:space="preserve"> была дана - очень подробна разработана и сама давала те необ</w:t>
      </w:r>
      <w:r w:rsidRPr="00A259BD">
        <w:rPr>
          <w:rFonts w:ascii="Times New Roman" w:hAnsi="Times New Roman"/>
          <w:color w:val="000000" w:themeColor="text1"/>
          <w:sz w:val="16"/>
          <w:szCs w:val="16"/>
        </w:rPr>
        <w:softHyphen/>
        <w:t xml:space="preserve">ходимые основные данные </w:t>
      </w:r>
      <w:proofErr w:type="spellStart"/>
      <w:r w:rsidRPr="00A259BD">
        <w:rPr>
          <w:rFonts w:ascii="Times New Roman" w:hAnsi="Times New Roman"/>
          <w:color w:val="000000" w:themeColor="text1"/>
          <w:sz w:val="16"/>
          <w:szCs w:val="16"/>
        </w:rPr>
        <w:t>машины,которые</w:t>
      </w:r>
      <w:proofErr w:type="spellEnd"/>
      <w:r w:rsidRPr="00A259BD">
        <w:rPr>
          <w:rFonts w:ascii="Times New Roman" w:hAnsi="Times New Roman"/>
          <w:color w:val="000000" w:themeColor="text1"/>
          <w:sz w:val="16"/>
          <w:szCs w:val="16"/>
        </w:rPr>
        <w:t xml:space="preserve"> были приняты по </w:t>
      </w:r>
      <w:proofErr w:type="spellStart"/>
      <w:r w:rsidRPr="00A259BD">
        <w:rPr>
          <w:rFonts w:ascii="Times New Roman" w:hAnsi="Times New Roman"/>
          <w:color w:val="000000" w:themeColor="text1"/>
          <w:sz w:val="16"/>
          <w:szCs w:val="16"/>
        </w:rPr>
        <w:t>ТОМу</w:t>
      </w:r>
      <w:proofErr w:type="spellEnd"/>
      <w:r w:rsidRPr="00A259BD">
        <w:rPr>
          <w:rFonts w:ascii="Times New Roman" w:hAnsi="Times New Roman"/>
          <w:color w:val="000000" w:themeColor="text1"/>
          <w:sz w:val="16"/>
          <w:szCs w:val="16"/>
        </w:rPr>
        <w:t>.</w:t>
      </w:r>
    </w:p>
    <w:p w14:paraId="078492E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По поводу требования о подборе размеров оперения статистической методой он находит, что статистический метод применять нерационально, он предпочитает руководствовать</w:t>
      </w:r>
      <w:r w:rsidRPr="00A259BD">
        <w:rPr>
          <w:rFonts w:ascii="Times New Roman" w:hAnsi="Times New Roman"/>
          <w:color w:val="000000" w:themeColor="text1"/>
          <w:sz w:val="16"/>
          <w:szCs w:val="16"/>
        </w:rPr>
        <w:softHyphen/>
        <w:t>ся логическими требованиями, что дает возможность избе</w:t>
      </w:r>
      <w:r w:rsidRPr="00A259BD">
        <w:rPr>
          <w:rFonts w:ascii="Times New Roman" w:hAnsi="Times New Roman"/>
          <w:color w:val="000000" w:themeColor="text1"/>
          <w:sz w:val="16"/>
          <w:szCs w:val="16"/>
        </w:rPr>
        <w:softHyphen/>
        <w:t>жать повторения сделанных другими ошибок.</w:t>
      </w:r>
    </w:p>
    <w:p w14:paraId="040383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По поводу </w:t>
      </w:r>
      <w:proofErr w:type="spellStart"/>
      <w:r w:rsidRPr="00A259BD">
        <w:rPr>
          <w:rFonts w:ascii="Times New Roman" w:hAnsi="Times New Roman"/>
          <w:color w:val="000000" w:themeColor="text1"/>
          <w:sz w:val="16"/>
          <w:szCs w:val="16"/>
        </w:rPr>
        <w:t>об"яснительной</w:t>
      </w:r>
      <w:proofErr w:type="spellEnd"/>
      <w:r w:rsidRPr="00A259BD">
        <w:rPr>
          <w:rFonts w:ascii="Times New Roman" w:hAnsi="Times New Roman"/>
          <w:color w:val="000000" w:themeColor="text1"/>
          <w:sz w:val="16"/>
          <w:szCs w:val="16"/>
        </w:rPr>
        <w:t xml:space="preserve"> записки - они пишут, что тех</w:t>
      </w:r>
      <w:r w:rsidRPr="00A259BD">
        <w:rPr>
          <w:rFonts w:ascii="Times New Roman" w:hAnsi="Times New Roman"/>
          <w:color w:val="000000" w:themeColor="text1"/>
          <w:sz w:val="16"/>
          <w:szCs w:val="16"/>
        </w:rPr>
        <w:softHyphen/>
        <w:t xml:space="preserve">нические данные, которые даются в </w:t>
      </w:r>
      <w:proofErr w:type="spellStart"/>
      <w:r w:rsidRPr="00A259BD">
        <w:rPr>
          <w:rFonts w:ascii="Times New Roman" w:hAnsi="Times New Roman"/>
          <w:color w:val="000000" w:themeColor="text1"/>
          <w:sz w:val="16"/>
          <w:szCs w:val="16"/>
        </w:rPr>
        <w:t>ТОМе</w:t>
      </w:r>
      <w:proofErr w:type="spellEnd"/>
      <w:r w:rsidRPr="00A259BD">
        <w:rPr>
          <w:rFonts w:ascii="Times New Roman" w:hAnsi="Times New Roman"/>
          <w:color w:val="000000" w:themeColor="text1"/>
          <w:sz w:val="16"/>
          <w:szCs w:val="16"/>
        </w:rPr>
        <w:t xml:space="preserve"> значительно выше, чем те требования, которые </w:t>
      </w:r>
      <w:proofErr w:type="spellStart"/>
      <w:r w:rsidRPr="00A259BD">
        <w:rPr>
          <w:rFonts w:ascii="Times New Roman" w:hAnsi="Times New Roman"/>
          <w:color w:val="000000" w:themeColor="text1"/>
          <w:sz w:val="16"/>
          <w:szCs w:val="16"/>
        </w:rPr>
        <w:t>пред"явлены</w:t>
      </w:r>
      <w:proofErr w:type="spellEnd"/>
      <w:r w:rsidRPr="00A259BD">
        <w:rPr>
          <w:rFonts w:ascii="Times New Roman" w:hAnsi="Times New Roman"/>
          <w:color w:val="000000" w:themeColor="text1"/>
          <w:sz w:val="16"/>
          <w:szCs w:val="16"/>
        </w:rPr>
        <w:t xml:space="preserve"> техническими условиями и на эту машину. Единственное исключение составляет посадочная скорость, которая допущена больше, чем требует</w:t>
      </w:r>
      <w:r w:rsidRPr="00A259BD">
        <w:rPr>
          <w:rFonts w:ascii="Times New Roman" w:hAnsi="Times New Roman"/>
          <w:color w:val="000000" w:themeColor="text1"/>
          <w:sz w:val="16"/>
          <w:szCs w:val="16"/>
        </w:rPr>
        <w:softHyphen/>
        <w:t>ся, но об этой будет в дальнейшем разговор.</w:t>
      </w:r>
    </w:p>
    <w:p w14:paraId="15C578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 схемах обзора и обстрела, которые просит НК по своим нормам, то схема представлена по методу определения линии обстрела со сферой, но если НК предпочитает другой метод, он не откажется его принять.</w:t>
      </w:r>
    </w:p>
    <w:p w14:paraId="53BA4B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Об учете обдувки частей самолета струей винта. </w:t>
      </w:r>
      <w:proofErr w:type="spellStart"/>
      <w:r w:rsidRPr="00A259BD">
        <w:rPr>
          <w:rFonts w:ascii="Times New Roman" w:hAnsi="Times New Roman"/>
          <w:color w:val="000000" w:themeColor="text1"/>
          <w:sz w:val="16"/>
          <w:szCs w:val="16"/>
        </w:rPr>
        <w:t>Литературнне</w:t>
      </w:r>
      <w:proofErr w:type="spellEnd"/>
      <w:r w:rsidRPr="00A259BD">
        <w:rPr>
          <w:rFonts w:ascii="Times New Roman" w:hAnsi="Times New Roman"/>
          <w:color w:val="000000" w:themeColor="text1"/>
          <w:sz w:val="16"/>
          <w:szCs w:val="16"/>
        </w:rPr>
        <w:t xml:space="preserve"> данные по этому вопросу неясны и противоречивы... (2363)</w:t>
      </w:r>
    </w:p>
    <w:p w14:paraId="2D0022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4AED7E" w14:textId="08A26765" w:rsidR="00154C41" w:rsidRPr="00A259BD" w:rsidRDefault="00154C41" w:rsidP="009236E3">
      <w:pPr>
        <w:spacing w:after="0" w:line="240" w:lineRule="auto"/>
        <w:jc w:val="both"/>
        <w:rPr>
          <w:rFonts w:ascii="Times New Roman" w:hAnsi="Times New Roman"/>
          <w:color w:val="000000" w:themeColor="text1"/>
          <w:sz w:val="16"/>
          <w:szCs w:val="16"/>
        </w:rPr>
      </w:pPr>
      <w:bookmarkStart w:id="29" w:name="_Hlk129874879"/>
      <w:r w:rsidRPr="00A259BD">
        <w:rPr>
          <w:rFonts w:ascii="Times New Roman" w:hAnsi="Times New Roman"/>
          <w:color w:val="000000" w:themeColor="text1"/>
          <w:sz w:val="16"/>
          <w:szCs w:val="16"/>
        </w:rPr>
        <w:t>1 апреля 1929 г. — Из обзора ВСНХ СССР в Наркомат по военным и морским делам СССР о работе авиапромышленности за 1926/27 и 1927/28 гг. и о перспективах ее развития на ближайшее пятилетие</w:t>
      </w:r>
    </w:p>
    <w:bookmarkEnd w:id="29"/>
    <w:p w14:paraId="4A85F3B5"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Совершенно секретно.</w:t>
      </w:r>
    </w:p>
    <w:p w14:paraId="0FE3473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Техническое состояние авиапромышленности на 1 октября 1928 г. таково:</w:t>
      </w:r>
    </w:p>
    <w:p w14:paraId="1D2ECD83"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Группа самолетостроительная состоит из пяти заводов (№ 1, 22, 23, 25 и 31), причем завод № 25 выполняет задания по опытному строительству, а остальные заводы работают по основному производству. 2. Группа моторостроительная состоит из трех заводов (№ 24, 26 и 29), причем завод № 26 находится в периоде достройки и дооборудования и только во втором полугодии 1927/28 г. приступил к подготовке производства моторов М</w:t>
      </w:r>
      <w:r w:rsidRPr="00A259BD">
        <w:rPr>
          <w:rFonts w:ascii="Times New Roman" w:hAnsi="Times New Roman"/>
          <w:color w:val="000000" w:themeColor="text1"/>
          <w:sz w:val="16"/>
          <w:szCs w:val="16"/>
        </w:rPr>
        <w:noBreakHyphen/>
        <w:t>17 (БМВ</w:t>
      </w:r>
      <w:r w:rsidRPr="00A259BD">
        <w:rPr>
          <w:rFonts w:ascii="Times New Roman" w:hAnsi="Times New Roman"/>
          <w:color w:val="000000" w:themeColor="text1"/>
          <w:sz w:val="16"/>
          <w:szCs w:val="16"/>
        </w:rPr>
        <w:noBreakHyphen/>
        <w:t>VI). 3. Группа заводов вспомогательных производств состоит из трех заводов: № 28 (винты и лыжи), № 41 — лесопильный, № 36 —</w:t>
      </w:r>
      <w:proofErr w:type="spellStart"/>
      <w:r w:rsidRPr="00A259BD">
        <w:rPr>
          <w:rFonts w:ascii="Times New Roman" w:hAnsi="Times New Roman"/>
          <w:color w:val="000000" w:themeColor="text1"/>
          <w:sz w:val="16"/>
          <w:szCs w:val="16"/>
        </w:rPr>
        <w:t>аэролаковый</w:t>
      </w:r>
      <w:proofErr w:type="spellEnd"/>
      <w:r w:rsidRPr="00A259BD">
        <w:rPr>
          <w:rFonts w:ascii="Times New Roman" w:hAnsi="Times New Roman"/>
          <w:color w:val="000000" w:themeColor="text1"/>
          <w:sz w:val="16"/>
          <w:szCs w:val="16"/>
        </w:rPr>
        <w:t>.</w:t>
      </w:r>
    </w:p>
    <w:p w14:paraId="278EE29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Завод № 12 в истекшем 1927/28 г. приступил к серийному производству </w:t>
      </w:r>
      <w:proofErr w:type="spellStart"/>
      <w:r w:rsidRPr="00A259BD">
        <w:rPr>
          <w:rFonts w:ascii="Times New Roman" w:hAnsi="Times New Roman"/>
          <w:color w:val="000000" w:themeColor="text1"/>
          <w:sz w:val="16"/>
          <w:szCs w:val="16"/>
        </w:rPr>
        <w:t>авиасвечей</w:t>
      </w:r>
      <w:proofErr w:type="spellEnd"/>
      <w:r w:rsidRPr="00A259BD">
        <w:rPr>
          <w:rFonts w:ascii="Times New Roman" w:hAnsi="Times New Roman"/>
          <w:color w:val="000000" w:themeColor="text1"/>
          <w:sz w:val="16"/>
          <w:szCs w:val="16"/>
        </w:rPr>
        <w:t xml:space="preserve"> и, кроме того, продолжает изготовлять радиоаппаратуру, дабы иметь достаточную нагрузку в производстве. Завод в настоящее время передается </w:t>
      </w:r>
      <w:proofErr w:type="spellStart"/>
      <w:r w:rsidRPr="00A259BD">
        <w:rPr>
          <w:rFonts w:ascii="Times New Roman" w:hAnsi="Times New Roman"/>
          <w:color w:val="000000" w:themeColor="text1"/>
          <w:sz w:val="16"/>
          <w:szCs w:val="16"/>
        </w:rPr>
        <w:t>Главэлектро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ГЭТу</w:t>
      </w:r>
      <w:proofErr w:type="spellEnd"/>
      <w:r w:rsidRPr="00A259BD">
        <w:rPr>
          <w:rFonts w:ascii="Times New Roman" w:hAnsi="Times New Roman"/>
          <w:color w:val="000000" w:themeColor="text1"/>
          <w:sz w:val="16"/>
          <w:szCs w:val="16"/>
        </w:rPr>
        <w:t xml:space="preserve">) для производства свечей и постановки производства приборов зажигания для самолетов. Наибольшее количество авиазаводов (10 из 13) расположено в Центральном промышленном районе и лишь 3 завода на периферии: № 23 — в Ленинграде, № 29 — в Запорожье и № 31 — в Таганроге. Производственная возможность заводов, находящихся в Центральном районе, на 1 октября 1928 г. составляет 56% по самолетам и 75% по моторам от общей производительности авиазаводов. Производство моторов ведется также в специальном цехе завода «Большевик» </w:t>
      </w:r>
      <w:proofErr w:type="spellStart"/>
      <w:r w:rsidRPr="00A259BD">
        <w:rPr>
          <w:rFonts w:ascii="Times New Roman" w:hAnsi="Times New Roman"/>
          <w:color w:val="000000" w:themeColor="text1"/>
          <w:sz w:val="16"/>
          <w:szCs w:val="16"/>
        </w:rPr>
        <w:t>Орудартреста</w:t>
      </w:r>
      <w:proofErr w:type="spellEnd"/>
      <w:r w:rsidRPr="00A259BD">
        <w:rPr>
          <w:rFonts w:ascii="Times New Roman" w:hAnsi="Times New Roman"/>
          <w:color w:val="000000" w:themeColor="text1"/>
          <w:sz w:val="16"/>
          <w:szCs w:val="16"/>
        </w:rPr>
        <w:t>. В настоящее время завод в связи с проектированием заново нового цеха подготовляется к производству мотора М</w:t>
      </w:r>
      <w:r w:rsidRPr="00A259BD">
        <w:rPr>
          <w:rFonts w:ascii="Times New Roman" w:hAnsi="Times New Roman"/>
          <w:color w:val="000000" w:themeColor="text1"/>
          <w:sz w:val="16"/>
          <w:szCs w:val="16"/>
        </w:rPr>
        <w:noBreakHyphen/>
        <w:t>17 вместо производимого ныне мотора М</w:t>
      </w:r>
      <w:r w:rsidRPr="00A259BD">
        <w:rPr>
          <w:rFonts w:ascii="Times New Roman" w:hAnsi="Times New Roman"/>
          <w:color w:val="000000" w:themeColor="text1"/>
          <w:sz w:val="16"/>
          <w:szCs w:val="16"/>
        </w:rPr>
        <w:noBreakHyphen/>
        <w:t>5.</w:t>
      </w:r>
    </w:p>
    <w:p w14:paraId="2F97D06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 Выполнение производственной программы за период 1926/27 г. и 1927/28 г.</w:t>
      </w:r>
    </w:p>
    <w:p w14:paraId="6E233B43"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Несмотря на прогрессирующую сложность производства в связи с введением на вооружение более мощных моторов и самолетов, авиапромышленность имеет за отчетный период достижения, характеризующиеся следующими основными показателями (см. приложение табл. № 1²*). На основании данных приведенной таблицы можно констатировать рост производительности авиазаводов по отношению к установившимся типам самолетов и моторов, как-то: самолеты Р</w:t>
      </w:r>
      <w:r w:rsidRPr="00A259BD">
        <w:rPr>
          <w:rFonts w:ascii="Times New Roman" w:hAnsi="Times New Roman"/>
          <w:color w:val="000000" w:themeColor="text1"/>
          <w:sz w:val="16"/>
          <w:szCs w:val="16"/>
        </w:rPr>
        <w:noBreakHyphen/>
        <w:t>1, 6 и моторы М</w:t>
      </w:r>
      <w:r w:rsidRPr="00A259BD">
        <w:rPr>
          <w:rFonts w:ascii="Times New Roman" w:hAnsi="Times New Roman"/>
          <w:color w:val="000000" w:themeColor="text1"/>
          <w:sz w:val="16"/>
          <w:szCs w:val="16"/>
        </w:rPr>
        <w:noBreakHyphen/>
        <w:t>5 и М</w:t>
      </w:r>
      <w:r w:rsidRPr="00A259BD">
        <w:rPr>
          <w:rFonts w:ascii="Times New Roman" w:hAnsi="Times New Roman"/>
          <w:color w:val="000000" w:themeColor="text1"/>
          <w:sz w:val="16"/>
          <w:szCs w:val="16"/>
        </w:rPr>
        <w:noBreakHyphen/>
        <w:t>6.</w:t>
      </w:r>
    </w:p>
    <w:p w14:paraId="58A5617D"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Вместе с тем надлежит отметить, что этот рост мог быть более значительным, если бы не имел место ряд тормозящих причин, как, например: а) значительный процент брака </w:t>
      </w:r>
      <w:proofErr w:type="spellStart"/>
      <w:r w:rsidRPr="00A259BD">
        <w:rPr>
          <w:rFonts w:ascii="Times New Roman" w:hAnsi="Times New Roman"/>
          <w:color w:val="000000" w:themeColor="text1"/>
          <w:sz w:val="16"/>
          <w:szCs w:val="16"/>
        </w:rPr>
        <w:t>авиапоковок</w:t>
      </w:r>
      <w:proofErr w:type="spellEnd"/>
      <w:r w:rsidRPr="00A259BD">
        <w:rPr>
          <w:rFonts w:ascii="Times New Roman" w:hAnsi="Times New Roman"/>
          <w:color w:val="000000" w:themeColor="text1"/>
          <w:sz w:val="16"/>
          <w:szCs w:val="16"/>
        </w:rPr>
        <w:t>, наблюдавшийся на протяжении вышеуказанного периода, в особенности коленчатых валов, что в большой степени задерживало выпуск авиамоторов, как, например: из числа поставленных для мотора М</w:t>
      </w:r>
      <w:r w:rsidRPr="00A259BD">
        <w:rPr>
          <w:rFonts w:ascii="Times New Roman" w:hAnsi="Times New Roman"/>
          <w:color w:val="000000" w:themeColor="text1"/>
          <w:sz w:val="16"/>
          <w:szCs w:val="16"/>
        </w:rPr>
        <w:noBreakHyphen/>
        <w:t xml:space="preserve">6 170 коленчатых валов в 1927/28 г. было забраковано 60 шт., т. е. 33,75% от всего поставленного количества. Указанное явление объясняется как новизной производства поковок из хромоникелевых сталей, так и трудностями этого производства вообще; б) задержки в своевременной поставке </w:t>
      </w:r>
      <w:proofErr w:type="spellStart"/>
      <w:r w:rsidRPr="00A259BD">
        <w:rPr>
          <w:rFonts w:ascii="Times New Roman" w:hAnsi="Times New Roman"/>
          <w:color w:val="000000" w:themeColor="text1"/>
          <w:sz w:val="16"/>
          <w:szCs w:val="16"/>
        </w:rPr>
        <w:t>авиапоковок</w:t>
      </w:r>
      <w:proofErr w:type="spellEnd"/>
      <w:r w:rsidRPr="00A259BD">
        <w:rPr>
          <w:rFonts w:ascii="Times New Roman" w:hAnsi="Times New Roman"/>
          <w:color w:val="000000" w:themeColor="text1"/>
          <w:sz w:val="16"/>
          <w:szCs w:val="16"/>
        </w:rPr>
        <w:t xml:space="preserve"> на заводы авиапромышленности; в) необходимость в интересах обороны страны принимать на серийное производство типы самолетов и моторов, недостаточно проработанных в конструктивном отношении, что вносит значительные затруднения в производство и задерживает выпуск самолетов и моторов. Так, например, в 1927/28 г. были приняты к производству недостаточно проработанные конструкции самолетов И</w:t>
      </w:r>
      <w:r w:rsidRPr="00A259BD">
        <w:rPr>
          <w:rFonts w:ascii="Times New Roman" w:hAnsi="Times New Roman"/>
          <w:color w:val="000000" w:themeColor="text1"/>
          <w:sz w:val="16"/>
          <w:szCs w:val="16"/>
        </w:rPr>
        <w:noBreakHyphen/>
        <w:t>2</w:t>
      </w:r>
      <w:r w:rsidRPr="00A259BD">
        <w:rPr>
          <w:rFonts w:ascii="Times New Roman" w:hAnsi="Times New Roman"/>
          <w:color w:val="000000" w:themeColor="text1"/>
          <w:sz w:val="16"/>
          <w:szCs w:val="16"/>
        </w:rPr>
        <w:noBreakHyphen/>
        <w:t>бис, Р</w:t>
      </w:r>
      <w:r w:rsidRPr="00A259BD">
        <w:rPr>
          <w:rFonts w:ascii="Times New Roman" w:hAnsi="Times New Roman"/>
          <w:color w:val="000000" w:themeColor="text1"/>
          <w:sz w:val="16"/>
          <w:szCs w:val="16"/>
        </w:rPr>
        <w:noBreakHyphen/>
        <w:t>3</w:t>
      </w:r>
      <w:r w:rsidRPr="00A259BD">
        <w:rPr>
          <w:rFonts w:ascii="Times New Roman" w:hAnsi="Times New Roman"/>
          <w:color w:val="000000" w:themeColor="text1"/>
          <w:sz w:val="16"/>
          <w:szCs w:val="16"/>
        </w:rPr>
        <w:noBreakHyphen/>
        <w:t>ЛД, Р</w:t>
      </w:r>
      <w:r w:rsidRPr="00A259BD">
        <w:rPr>
          <w:rFonts w:ascii="Times New Roman" w:hAnsi="Times New Roman"/>
          <w:color w:val="000000" w:themeColor="text1"/>
          <w:sz w:val="16"/>
          <w:szCs w:val="16"/>
        </w:rPr>
        <w:noBreakHyphen/>
        <w:t>1</w:t>
      </w:r>
      <w:r w:rsidRPr="00A259BD">
        <w:rPr>
          <w:rFonts w:ascii="Times New Roman" w:hAnsi="Times New Roman"/>
          <w:color w:val="000000" w:themeColor="text1"/>
          <w:sz w:val="16"/>
          <w:szCs w:val="16"/>
        </w:rPr>
        <w:noBreakHyphen/>
        <w:t>БМВ</w:t>
      </w:r>
      <w:r w:rsidRPr="00A259BD">
        <w:rPr>
          <w:rFonts w:ascii="Times New Roman" w:hAnsi="Times New Roman"/>
          <w:color w:val="000000" w:themeColor="text1"/>
          <w:sz w:val="16"/>
          <w:szCs w:val="16"/>
        </w:rPr>
        <w:noBreakHyphen/>
        <w:t>IV и мотор № 12.</w:t>
      </w:r>
    </w:p>
    <w:p w14:paraId="5B99E4D4"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Однако, несмотря на эти причины, не зависящие от авиапромышленности, необходимо констатировать также и ряд определенных у нее недочетов, которые в результате также привели к недовыполнению программ, выразившемуся в следующих цифрах: в 1926/27 г. по моторам — 16%; в 1927/28 г. по самолетам — 16%; в 1927/28 г. по моторам </w:t>
      </w:r>
      <w:r w:rsidRPr="00A259BD">
        <w:rPr>
          <w:rFonts w:ascii="Times New Roman" w:hAnsi="Times New Roman"/>
          <w:color w:val="000000" w:themeColor="text1"/>
          <w:sz w:val="16"/>
          <w:szCs w:val="16"/>
        </w:rPr>
        <w:noBreakHyphen/>
        <w:t xml:space="preserve"> 9%. Главнейшими недочетами в самом производстве авиапромышленности могут считаться: а) недостаточность планировки в производстве и в снабжении отдельных заводов, что вызвало замедление в выполнении производственных программ 1926/27 и 1927/28 гг.; б) медленность развертывания работ по </w:t>
      </w:r>
      <w:r w:rsidRPr="00A259BD">
        <w:rPr>
          <w:rFonts w:ascii="Times New Roman" w:hAnsi="Times New Roman"/>
          <w:color w:val="000000" w:themeColor="text1"/>
          <w:sz w:val="16"/>
          <w:szCs w:val="16"/>
        </w:rPr>
        <w:lastRenderedPageBreak/>
        <w:t>постановке производства моторов М</w:t>
      </w:r>
      <w:r w:rsidRPr="00A259BD">
        <w:rPr>
          <w:rFonts w:ascii="Times New Roman" w:hAnsi="Times New Roman"/>
          <w:color w:val="000000" w:themeColor="text1"/>
          <w:sz w:val="16"/>
          <w:szCs w:val="16"/>
        </w:rPr>
        <w:noBreakHyphen/>
        <w:t>17 в 1928/29 г., осуществляемого по договору на получение технической помощи от иностранной фирмы «БМВ». Несмотря на то что договор заключен в сентябре 1927 г., постановка производства моторов не закончена и до настоящего времени; в) неравномерность темпа производства по месяцам с резким сдвигом выполнения программ на последние месяцы производственного года (см. приложение, табл. № 2); г) крайняя медленность внедрения в производство новых типов самолетов и моторов (самолеты И</w:t>
      </w:r>
      <w:r w:rsidRPr="00A259BD">
        <w:rPr>
          <w:rFonts w:ascii="Times New Roman" w:hAnsi="Times New Roman"/>
          <w:color w:val="000000" w:themeColor="text1"/>
          <w:sz w:val="16"/>
          <w:szCs w:val="16"/>
        </w:rPr>
        <w:noBreakHyphen/>
        <w:t>3</w:t>
      </w:r>
      <w:r w:rsidRPr="00A259BD">
        <w:rPr>
          <w:rFonts w:ascii="Times New Roman" w:hAnsi="Times New Roman"/>
          <w:color w:val="000000" w:themeColor="text1"/>
          <w:sz w:val="16"/>
          <w:szCs w:val="16"/>
        </w:rPr>
        <w:noBreakHyphen/>
        <w:t>БМВ</w:t>
      </w:r>
      <w:r w:rsidRPr="00A259BD">
        <w:rPr>
          <w:rFonts w:ascii="Times New Roman" w:hAnsi="Times New Roman"/>
          <w:color w:val="000000" w:themeColor="text1"/>
          <w:sz w:val="16"/>
          <w:szCs w:val="16"/>
        </w:rPr>
        <w:noBreakHyphen/>
        <w:t>VI, И</w:t>
      </w:r>
      <w:r w:rsidRPr="00A259BD">
        <w:rPr>
          <w:rFonts w:ascii="Times New Roman" w:hAnsi="Times New Roman"/>
          <w:color w:val="000000" w:themeColor="text1"/>
          <w:sz w:val="16"/>
          <w:szCs w:val="16"/>
        </w:rPr>
        <w:noBreakHyphen/>
        <w:t>4</w:t>
      </w:r>
      <w:r w:rsidRPr="00A259BD">
        <w:rPr>
          <w:rFonts w:ascii="Times New Roman" w:hAnsi="Times New Roman"/>
          <w:color w:val="000000" w:themeColor="text1"/>
          <w:sz w:val="16"/>
          <w:szCs w:val="16"/>
        </w:rPr>
        <w:noBreakHyphen/>
        <w:t>ЮП</w:t>
      </w:r>
      <w:r w:rsidRPr="00A259BD">
        <w:rPr>
          <w:rFonts w:ascii="Times New Roman" w:hAnsi="Times New Roman"/>
          <w:color w:val="000000" w:themeColor="text1"/>
          <w:sz w:val="16"/>
          <w:szCs w:val="16"/>
        </w:rPr>
        <w:noBreakHyphen/>
        <w:t>6, Р</w:t>
      </w:r>
      <w:r w:rsidRPr="00A259BD">
        <w:rPr>
          <w:rFonts w:ascii="Times New Roman" w:hAnsi="Times New Roman"/>
          <w:color w:val="000000" w:themeColor="text1"/>
          <w:sz w:val="16"/>
          <w:szCs w:val="16"/>
        </w:rPr>
        <w:noBreakHyphen/>
        <w:t>5</w:t>
      </w:r>
      <w:r w:rsidRPr="00A259BD">
        <w:rPr>
          <w:rFonts w:ascii="Times New Roman" w:hAnsi="Times New Roman"/>
          <w:color w:val="000000" w:themeColor="text1"/>
          <w:sz w:val="16"/>
          <w:szCs w:val="16"/>
        </w:rPr>
        <w:noBreakHyphen/>
        <w:t>БМВ</w:t>
      </w:r>
      <w:r w:rsidRPr="00A259BD">
        <w:rPr>
          <w:rFonts w:ascii="Times New Roman" w:hAnsi="Times New Roman"/>
          <w:color w:val="000000" w:themeColor="text1"/>
          <w:sz w:val="16"/>
          <w:szCs w:val="16"/>
        </w:rPr>
        <w:noBreakHyphen/>
        <w:t>VI и мотор М</w:t>
      </w:r>
      <w:r w:rsidRPr="00A259BD">
        <w:rPr>
          <w:rFonts w:ascii="Times New Roman" w:hAnsi="Times New Roman"/>
          <w:color w:val="000000" w:themeColor="text1"/>
          <w:sz w:val="16"/>
          <w:szCs w:val="16"/>
        </w:rPr>
        <w:noBreakHyphen/>
        <w:t>11);</w:t>
      </w:r>
    </w:p>
    <w:p w14:paraId="39EC92D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высокий процент брака в производстве литья из цветных металлов (алюминиевые картера, блоки, бронзовые вкладыши и др.);</w:t>
      </w:r>
    </w:p>
    <w:p w14:paraId="43CA7602"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отставание в производстве запчастей по сравнению с производством самолетов и моторов.</w:t>
      </w:r>
    </w:p>
    <w:p w14:paraId="491E0923"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Указанные недочеты, несомненно, являются результатом молодости союзной авиапромышленности, а также недостаточной подготовленности общей промышленной базы в нашей стране для обслуживания авиапромышленности. Меры в соответствующей части принимаются в порядке текущей работы, а в остальном подготовляются в связи с общим перспективным планом развития всей промышленности Союза.</w:t>
      </w:r>
    </w:p>
    <w:p w14:paraId="2051587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III. Снабжение</w:t>
      </w:r>
    </w:p>
    <w:p w14:paraId="6BBB6B0D"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линии снабжения следует констатировать некоторое освобождение от зависимости в заграничном рынке по получению материалов, полуфабрикатов и готовых изделий, необходимых для авиапромышленности вследствие организации внутри нашего Союза ряда новых производств, как-то: стальных труб, стального троса, авиаприборов, </w:t>
      </w:r>
      <w:proofErr w:type="spellStart"/>
      <w:r w:rsidRPr="00A259BD">
        <w:rPr>
          <w:rFonts w:ascii="Times New Roman" w:hAnsi="Times New Roman"/>
          <w:color w:val="000000" w:themeColor="text1"/>
          <w:sz w:val="16"/>
          <w:szCs w:val="16"/>
        </w:rPr>
        <w:t>авиасвечей</w:t>
      </w:r>
      <w:proofErr w:type="spellEnd"/>
      <w:r w:rsidRPr="00A259BD">
        <w:rPr>
          <w:rFonts w:ascii="Times New Roman" w:hAnsi="Times New Roman"/>
          <w:color w:val="000000" w:themeColor="text1"/>
          <w:sz w:val="16"/>
          <w:szCs w:val="16"/>
        </w:rPr>
        <w:t xml:space="preserve"> и др. (см. приложение, табл. № 3). Также необходимо отметить увеличение удельного веса ввоза сырья по отношению к полуфабрикатам, как, например: в 1927/28 г. сырье составляет 35% от импортного плана и в 1928/29 г. оно составляет уже 65%. Это также указывает на несомненный рост производств внутри Союза. Одновременно отмечается улучшение организации снабжения материалами в 1927/28 г., хотя заготовка по поковкам и цветным металлам была выполнена все же с большим напряжением.</w:t>
      </w:r>
    </w:p>
    <w:p w14:paraId="1006B6CE" w14:textId="77777777" w:rsidR="00154C41" w:rsidRPr="00A259BD" w:rsidRDefault="00154C41" w:rsidP="009236E3">
      <w:pPr>
        <w:spacing w:after="0" w:line="240" w:lineRule="auto"/>
        <w:jc w:val="both"/>
        <w:rPr>
          <w:rFonts w:ascii="Times New Roman" w:hAnsi="Times New Roman"/>
          <w:color w:val="000000" w:themeColor="text1"/>
          <w:sz w:val="16"/>
          <w:szCs w:val="16"/>
        </w:rPr>
      </w:pPr>
      <w:bookmarkStart w:id="30" w:name="_Hlk129874938"/>
      <w:r w:rsidRPr="00A259BD">
        <w:rPr>
          <w:rFonts w:ascii="Times New Roman" w:hAnsi="Times New Roman"/>
          <w:color w:val="000000" w:themeColor="text1"/>
          <w:sz w:val="16"/>
          <w:szCs w:val="16"/>
        </w:rPr>
        <w:t>IV. Динамика отпускных цен и снижение себестоимости</w:t>
      </w:r>
    </w:p>
    <w:p w14:paraId="6C9FB1A8"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Констатируется как следствие лучшего использования рабсилы и сокращения норм расходов в материалах по рационализации в производстве, а также сокращения накладных расходов — снижение как себестоимости, так и отпускных цен по основным типам самолетов и моторов, выражающееся следующими цифрами (в процентах):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302"/>
        <w:gridCol w:w="1255"/>
        <w:gridCol w:w="1255"/>
        <w:gridCol w:w="1255"/>
        <w:gridCol w:w="1255"/>
      </w:tblGrid>
      <w:tr w:rsidR="00A259BD" w:rsidRPr="00A259BD" w14:paraId="07B1C2D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56F7C68"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47DB7"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7D0D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294A7"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DA36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1928/29 г.</w:t>
            </w:r>
          </w:p>
        </w:tc>
      </w:tr>
      <w:tr w:rsidR="00A259BD" w:rsidRPr="00A259BD" w14:paraId="0A3DEB2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98C7CA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Отпускные цены (к пред[</w:t>
            </w:r>
            <w:proofErr w:type="spellStart"/>
            <w:r w:rsidRPr="00A259BD">
              <w:rPr>
                <w:rFonts w:ascii="Times New Roman" w:hAnsi="Times New Roman"/>
                <w:color w:val="000000" w:themeColor="text1"/>
                <w:sz w:val="16"/>
                <w:szCs w:val="16"/>
              </w:rPr>
              <w:t>ыдущему</w:t>
            </w:r>
            <w:proofErr w:type="spellEnd"/>
            <w:r w:rsidRPr="00A259BD">
              <w:rPr>
                <w:rFonts w:ascii="Times New Roman" w:hAnsi="Times New Roman"/>
                <w:color w:val="000000" w:themeColor="text1"/>
                <w:sz w:val="16"/>
                <w:szCs w:val="16"/>
              </w:rPr>
              <w:t>] году)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72EF8"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1B630"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71DF7"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54DFF"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w:t>
            </w:r>
          </w:p>
        </w:tc>
      </w:tr>
      <w:tr w:rsidR="00A259BD" w:rsidRPr="00A259BD" w14:paraId="0023169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4723360"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Снижение себестоимости (к пред[</w:t>
            </w:r>
            <w:proofErr w:type="spellStart"/>
            <w:r w:rsidRPr="00A259BD">
              <w:rPr>
                <w:rFonts w:ascii="Times New Roman" w:hAnsi="Times New Roman"/>
                <w:color w:val="000000" w:themeColor="text1"/>
                <w:sz w:val="16"/>
                <w:szCs w:val="16"/>
              </w:rPr>
              <w:t>ыдущему</w:t>
            </w:r>
            <w:proofErr w:type="spellEnd"/>
            <w:r w:rsidRPr="00A259BD">
              <w:rPr>
                <w:rFonts w:ascii="Times New Roman" w:hAnsi="Times New Roman"/>
                <w:color w:val="000000" w:themeColor="text1"/>
                <w:sz w:val="16"/>
                <w:szCs w:val="16"/>
              </w:rPr>
              <w:t>] году)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989F2"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DD8DD"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568DB"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479D7"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12,8</w:t>
            </w:r>
          </w:p>
        </w:tc>
      </w:tr>
    </w:tbl>
    <w:p w14:paraId="5D27088E" w14:textId="77777777" w:rsidR="00CE6C7E" w:rsidRPr="00A259BD" w:rsidRDefault="00CE6C7E" w:rsidP="009236E3">
      <w:pPr>
        <w:pStyle w:val="rtejustify"/>
        <w:spacing w:before="0" w:after="0"/>
        <w:rPr>
          <w:color w:val="000000" w:themeColor="text1"/>
          <w:sz w:val="16"/>
          <w:szCs w:val="16"/>
        </w:rPr>
      </w:pPr>
      <w:r w:rsidRPr="00A259BD">
        <w:rPr>
          <w:rStyle w:val="a7"/>
          <w:b w:val="0"/>
          <w:bCs w:val="0"/>
          <w:color w:val="000000" w:themeColor="text1"/>
          <w:sz w:val="16"/>
          <w:szCs w:val="16"/>
        </w:rPr>
        <w:t>V. Вопросы труда</w:t>
      </w:r>
    </w:p>
    <w:p w14:paraId="3D801E08"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Основные показатели по труду приводятся в таблице № 1 (см. приложение), графа II и III. Данные этой таблицы указывают на достижения по авиапромышленности, явившиеся следствием введения серийного метода в производство, а также и рационализации производства.</w:t>
      </w:r>
    </w:p>
    <w:p w14:paraId="770CF717"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Необходимо отметить, что при росте рабочих в авиапромышленности по отношению к 1925/26 г. (принятому за 100%) выпуск продукции возрос соответственно данным, приводимым ниже таблицей, что характеризует большую степень использования рабочей силы и оборудования (в процентах):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98"/>
        <w:gridCol w:w="1056"/>
        <w:gridCol w:w="1056"/>
        <w:gridCol w:w="1056"/>
        <w:gridCol w:w="1056"/>
      </w:tblGrid>
      <w:tr w:rsidR="00A259BD" w:rsidRPr="00A259BD" w14:paraId="054075D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770138F"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B2580"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A5D18"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2210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A1C6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1928/29 г.</w:t>
            </w:r>
          </w:p>
        </w:tc>
      </w:tr>
      <w:tr w:rsidR="00A259BD" w:rsidRPr="00A259BD" w14:paraId="32BA5FD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4F635B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Рабсила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686B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A0168"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4A2BD"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3E9B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56193D5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2FB515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Валовая продукция в отпускных среднегодовых ценах 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D0E3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80F80"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79D8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24F4E"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03FCAE5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15278C3"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Товарная продукция в количествах:</w:t>
            </w:r>
          </w:p>
          <w:p w14:paraId="73EFA1F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635E2"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13EE0A54"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EE938"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0D15E5B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B0F5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5528B00F"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70A6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64574B9D"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2B69830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FB8ED17"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C48A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BD21D"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852C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CE853"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bl>
    <w:p w14:paraId="09D3A8D0" w14:textId="77777777" w:rsidR="00154C41" w:rsidRPr="00A259BD" w:rsidRDefault="00154C41" w:rsidP="009236E3">
      <w:pPr>
        <w:pStyle w:val="ae"/>
        <w:spacing w:before="0" w:after="0"/>
        <w:jc w:val="both"/>
        <w:rPr>
          <w:color w:val="000000" w:themeColor="text1"/>
          <w:sz w:val="16"/>
          <w:szCs w:val="16"/>
        </w:rPr>
      </w:pPr>
      <w:r w:rsidRPr="00A259BD">
        <w:rPr>
          <w:color w:val="000000" w:themeColor="text1"/>
          <w:sz w:val="16"/>
          <w:szCs w:val="16"/>
        </w:rPr>
        <w:t>…⁴*</w:t>
      </w:r>
    </w:p>
    <w:p w14:paraId="17FFF92C" w14:textId="77777777" w:rsidR="00154C41" w:rsidRPr="00A259BD" w:rsidRDefault="00154C41"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За председателя ВСНХ СССР </w:t>
      </w:r>
      <w:hyperlink r:id="rId30" w:history="1">
        <w:proofErr w:type="spellStart"/>
        <w:r w:rsidRPr="00A259BD">
          <w:rPr>
            <w:rStyle w:val="af0"/>
            <w:i w:val="0"/>
            <w:color w:val="000000" w:themeColor="text1"/>
            <w:sz w:val="16"/>
            <w:szCs w:val="16"/>
          </w:rPr>
          <w:t>Рухимович</w:t>
        </w:r>
        <w:proofErr w:type="spellEnd"/>
      </w:hyperlink>
    </w:p>
    <w:p w14:paraId="5206DD02" w14:textId="77777777" w:rsidR="00154C41" w:rsidRPr="00A259BD" w:rsidRDefault="00154C41" w:rsidP="009236E3">
      <w:pPr>
        <w:pStyle w:val="ae"/>
        <w:spacing w:before="0" w:after="0"/>
        <w:jc w:val="both"/>
        <w:rPr>
          <w:color w:val="000000" w:themeColor="text1"/>
          <w:sz w:val="16"/>
          <w:szCs w:val="16"/>
        </w:rPr>
      </w:pPr>
      <w:r w:rsidRPr="00A259BD">
        <w:rPr>
          <w:rStyle w:val="af0"/>
          <w:i w:val="0"/>
          <w:color w:val="000000" w:themeColor="text1"/>
          <w:sz w:val="16"/>
          <w:szCs w:val="16"/>
        </w:rPr>
        <w:t>За ответственного секретаря Президиума ВСНХ СССР Высоцкий</w:t>
      </w:r>
    </w:p>
    <w:p w14:paraId="6C596F43" w14:textId="77777777" w:rsidR="00154C41" w:rsidRPr="00A259BD" w:rsidRDefault="00154C41"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Начальник ГВПУ </w:t>
      </w:r>
      <w:hyperlink r:id="rId31" w:history="1">
        <w:r w:rsidRPr="00A259BD">
          <w:rPr>
            <w:rStyle w:val="af0"/>
            <w:i w:val="0"/>
            <w:color w:val="000000" w:themeColor="text1"/>
            <w:sz w:val="16"/>
            <w:szCs w:val="16"/>
          </w:rPr>
          <w:t>Урываев</w:t>
        </w:r>
      </w:hyperlink>
    </w:p>
    <w:bookmarkEnd w:id="30"/>
    <w:p w14:paraId="3E0E5FDE" w14:textId="77777777" w:rsidR="00154C41" w:rsidRPr="00A259BD" w:rsidRDefault="00154C41"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r w:rsidRPr="00A259BD">
        <w:rPr>
          <w:color w:val="000000" w:themeColor="text1"/>
          <w:sz w:val="16"/>
          <w:szCs w:val="16"/>
        </w:rPr>
        <w:t>:</w:t>
      </w:r>
    </w:p>
    <w:p w14:paraId="48808B4F"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xml:space="preserve">* В заключении руководителя комиссии, временно исполняющего должность начальника ВВС РККА Я. И. Алксниса по </w:t>
      </w:r>
      <w:r w:rsidRPr="00A259BD">
        <w:rPr>
          <w:rStyle w:val="af0"/>
          <w:i w:val="0"/>
          <w:color w:val="000000" w:themeColor="text1"/>
          <w:sz w:val="16"/>
          <w:szCs w:val="16"/>
        </w:rPr>
        <w:t>обзору ВСНХ СССР о работе авиапромышленности</w:t>
      </w:r>
      <w:r w:rsidRPr="00A259BD">
        <w:rPr>
          <w:color w:val="000000" w:themeColor="text1"/>
          <w:sz w:val="16"/>
          <w:szCs w:val="16"/>
        </w:rPr>
        <w:t xml:space="preserve"> говорилось следующее: 1. В плане развития авиапромышленности не учтено соответствие между развитием </w:t>
      </w:r>
      <w:proofErr w:type="spellStart"/>
      <w:r w:rsidRPr="00A259BD">
        <w:rPr>
          <w:color w:val="000000" w:themeColor="text1"/>
          <w:sz w:val="16"/>
          <w:szCs w:val="16"/>
        </w:rPr>
        <w:t>самолето</w:t>
      </w:r>
      <w:proofErr w:type="spellEnd"/>
      <w:r w:rsidRPr="00A259BD">
        <w:rPr>
          <w:color w:val="000000" w:themeColor="text1"/>
          <w:sz w:val="16"/>
          <w:szCs w:val="16"/>
        </w:rPr>
        <w:t xml:space="preserve">- и моторостроения. Недостающие моторы придется импортировать. 2. Необходимо строительство нового завода, производящего вооружение самолетов. 3. Производство учебных моторов отстает, а производство переходных моторов значительно перекрывает потребности ВВС. Производственные возможности нового завода по переходным моторам следует направить на производство учебных моторов и моторов большой мощности. 4. Приведенные в докладе цифры вызывают сомнение, и уже можно говорить о нереальности плана на 1929/30 гг., тем более что рабочая сила пополняется за счет рабочих низкой квалификации 5. Происходит несоблюдение технических условий, а также сроков и количества заказов. Промышленность обязана жестко выполнять требования, предъявленные планом, или уже сейчас взять в основу расчета реальные пониженные цифры. 6. Основную проблему представляет подсобная промышленность. Необходимо указание правительства о развитии производств высокосортных материалов. 7. Меры по переоборудованию и механизации производства на заводах </w:t>
      </w:r>
      <w:proofErr w:type="spellStart"/>
      <w:r w:rsidRPr="00A259BD">
        <w:rPr>
          <w:color w:val="000000" w:themeColor="text1"/>
          <w:sz w:val="16"/>
          <w:szCs w:val="16"/>
        </w:rPr>
        <w:t>Авиатреста</w:t>
      </w:r>
      <w:proofErr w:type="spellEnd"/>
      <w:r w:rsidRPr="00A259BD">
        <w:rPr>
          <w:color w:val="000000" w:themeColor="text1"/>
          <w:sz w:val="16"/>
          <w:szCs w:val="16"/>
        </w:rPr>
        <w:t xml:space="preserve"> должны быть приняты также на заводах — поставщиках авиапромышленности. 8. По проекту постановления РЗ СТО: следует отметить полное отсутствие достижений по осуществлению проектов мощных моторов, а также обратить внимание, что снижение цен показано от очень высоких цен еще </w:t>
      </w:r>
      <w:proofErr w:type="spellStart"/>
      <w:r w:rsidRPr="00A259BD">
        <w:rPr>
          <w:color w:val="000000" w:themeColor="text1"/>
          <w:sz w:val="16"/>
          <w:szCs w:val="16"/>
        </w:rPr>
        <w:t>неналаженного</w:t>
      </w:r>
      <w:proofErr w:type="spellEnd"/>
      <w:r w:rsidRPr="00A259BD">
        <w:rPr>
          <w:color w:val="000000" w:themeColor="text1"/>
          <w:sz w:val="16"/>
          <w:szCs w:val="16"/>
        </w:rPr>
        <w:t xml:space="preserve"> производства. (РГВА. Ф. 4. Оп. 1. Д. 941. Л. 53</w:t>
      </w:r>
      <w:r w:rsidRPr="00A259BD">
        <w:rPr>
          <w:color w:val="000000" w:themeColor="text1"/>
          <w:sz w:val="16"/>
          <w:szCs w:val="16"/>
        </w:rPr>
        <w:noBreakHyphen/>
        <w:t>54).</w:t>
      </w:r>
    </w:p>
    <w:p w14:paraId="066D305E"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Здесь и далее приложения не публикуются (см. там же, л. 14</w:t>
      </w:r>
      <w:r w:rsidRPr="00A259BD">
        <w:rPr>
          <w:color w:val="000000" w:themeColor="text1"/>
          <w:sz w:val="16"/>
          <w:szCs w:val="16"/>
        </w:rPr>
        <w:noBreakHyphen/>
        <w:t>32).</w:t>
      </w:r>
    </w:p>
    <w:p w14:paraId="25E53162"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vertAlign w:val="superscript"/>
        </w:rPr>
        <w:t>3</w:t>
      </w:r>
      <w:r w:rsidRPr="00A259BD">
        <w:rPr>
          <w:color w:val="000000" w:themeColor="text1"/>
          <w:sz w:val="16"/>
          <w:szCs w:val="16"/>
        </w:rPr>
        <w:t>* </w:t>
      </w:r>
      <w:bookmarkStart w:id="31" w:name="_Hlk129875145"/>
      <w:r w:rsidRPr="00A259BD">
        <w:rPr>
          <w:color w:val="000000" w:themeColor="text1"/>
          <w:sz w:val="16"/>
          <w:szCs w:val="16"/>
        </w:rPr>
        <w:t xml:space="preserve">Некоторое отставание в размере снижения отпускных цен на 1928/29 г. (7,7%) против намеченного снижения себестоимости (12,8%) объясняется тем, что в 1927/28 г. </w:t>
      </w:r>
      <w:proofErr w:type="spellStart"/>
      <w:r w:rsidRPr="00A259BD">
        <w:rPr>
          <w:color w:val="000000" w:themeColor="text1"/>
          <w:sz w:val="16"/>
          <w:szCs w:val="16"/>
        </w:rPr>
        <w:t>Авиатрест</w:t>
      </w:r>
      <w:proofErr w:type="spellEnd"/>
      <w:r w:rsidRPr="00A259BD">
        <w:rPr>
          <w:color w:val="000000" w:themeColor="text1"/>
          <w:sz w:val="16"/>
          <w:szCs w:val="16"/>
        </w:rPr>
        <w:t xml:space="preserve"> имел принудительное снижение цен на авиамотор М</w:t>
      </w:r>
      <w:r w:rsidRPr="00A259BD">
        <w:rPr>
          <w:color w:val="000000" w:themeColor="text1"/>
          <w:sz w:val="16"/>
          <w:szCs w:val="16"/>
        </w:rPr>
        <w:noBreakHyphen/>
        <w:t>5 и самолет Р</w:t>
      </w:r>
      <w:r w:rsidRPr="00A259BD">
        <w:rPr>
          <w:color w:val="000000" w:themeColor="text1"/>
          <w:sz w:val="16"/>
          <w:szCs w:val="16"/>
        </w:rPr>
        <w:noBreakHyphen/>
        <w:t xml:space="preserve">1 на основании постановления РЗ СТО по докладу НК РКИ, в результате чего снижение цен в 1927/28 г. составило 19,3% от 1926/27 г. при снижении себестоимости на 10,6%. Такое снижение цен 1927/28 г., не основанное на себестоимости, привело к тому, что </w:t>
      </w:r>
      <w:proofErr w:type="spellStart"/>
      <w:r w:rsidRPr="00A259BD">
        <w:rPr>
          <w:color w:val="000000" w:themeColor="text1"/>
          <w:sz w:val="16"/>
          <w:szCs w:val="16"/>
        </w:rPr>
        <w:t>Авиатрест</w:t>
      </w:r>
      <w:proofErr w:type="spellEnd"/>
      <w:r w:rsidRPr="00A259BD">
        <w:rPr>
          <w:color w:val="000000" w:themeColor="text1"/>
          <w:sz w:val="16"/>
          <w:szCs w:val="16"/>
        </w:rPr>
        <w:t xml:space="preserve"> закончил 1927/28 г. с убытком 213 тыс. руб., имея по одним авиамоторам М</w:t>
      </w:r>
      <w:r w:rsidRPr="00A259BD">
        <w:rPr>
          <w:color w:val="000000" w:themeColor="text1"/>
          <w:sz w:val="16"/>
          <w:szCs w:val="16"/>
        </w:rPr>
        <w:noBreakHyphen/>
        <w:t>5 убыток в 489 тыс. руб. Для устранения получившихся в результате принудительного снижения убыточных цен пришлось па 1928/29 г. замедлить темп снижения цен в сравнении со снижением себестоимости (</w:t>
      </w:r>
      <w:r w:rsidRPr="00A259BD">
        <w:rPr>
          <w:rStyle w:val="af0"/>
          <w:i w:val="0"/>
          <w:color w:val="000000" w:themeColor="text1"/>
          <w:sz w:val="16"/>
          <w:szCs w:val="16"/>
        </w:rPr>
        <w:t>Прим. док</w:t>
      </w:r>
      <w:r w:rsidRPr="00A259BD">
        <w:rPr>
          <w:color w:val="000000" w:themeColor="text1"/>
          <w:sz w:val="16"/>
          <w:szCs w:val="16"/>
        </w:rPr>
        <w:t>.).</w:t>
      </w:r>
      <w:bookmarkEnd w:id="31"/>
    </w:p>
    <w:p w14:paraId="64A44F05"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vertAlign w:val="superscript"/>
        </w:rPr>
        <w:t>4</w:t>
      </w:r>
      <w:r w:rsidRPr="00A259BD">
        <w:rPr>
          <w:color w:val="000000" w:themeColor="text1"/>
          <w:sz w:val="16"/>
          <w:szCs w:val="16"/>
        </w:rPr>
        <w:t>* Опущены разделы “Пятилетний план развития промышленности за период 1928/1929</w:t>
      </w:r>
      <w:r w:rsidRPr="00A259BD">
        <w:rPr>
          <w:color w:val="000000" w:themeColor="text1"/>
          <w:sz w:val="16"/>
          <w:szCs w:val="16"/>
        </w:rPr>
        <w:noBreakHyphen/>
        <w:t>1932/1933 г. включительно”, “Опытное строительство”, “База снабжения”, “Капитальное строительство”, “Рабочий вопрос”, “О загрузке заводов авиапромышленности в условиях мирного времени”.</w:t>
      </w:r>
    </w:p>
    <w:p w14:paraId="0E786B87" w14:textId="77777777" w:rsidR="00154C41" w:rsidRPr="00A259BD" w:rsidRDefault="00154C41" w:rsidP="009236E3">
      <w:pPr>
        <w:pStyle w:val="ae"/>
        <w:spacing w:before="0" w:after="0"/>
        <w:jc w:val="both"/>
        <w:rPr>
          <w:color w:val="000000" w:themeColor="text1"/>
          <w:sz w:val="16"/>
          <w:szCs w:val="16"/>
        </w:rPr>
      </w:pPr>
      <w:r w:rsidRPr="00A259BD">
        <w:rPr>
          <w:color w:val="000000" w:themeColor="text1"/>
          <w:sz w:val="16"/>
          <w:szCs w:val="16"/>
        </w:rPr>
        <w:t>РГВА. Ф. 4. Оп. 1. Д. 941. Л. 1—3. Заверенная копия.</w:t>
      </w:r>
    </w:p>
    <w:p w14:paraId="3CC1E56C" w14:textId="77777777" w:rsidR="00154C41" w:rsidRPr="00A259BD" w:rsidRDefault="00154C41" w:rsidP="009236E3">
      <w:pPr>
        <w:spacing w:after="0" w:line="240" w:lineRule="auto"/>
        <w:jc w:val="both"/>
        <w:rPr>
          <w:rFonts w:ascii="Times New Roman" w:hAnsi="Times New Roman"/>
          <w:color w:val="000000" w:themeColor="text1"/>
          <w:sz w:val="16"/>
          <w:szCs w:val="16"/>
        </w:rPr>
      </w:pPr>
      <w:bookmarkStart w:id="32" w:name="_Hlk129874969"/>
      <w:r w:rsidRPr="00A259BD">
        <w:rPr>
          <w:rFonts w:ascii="Times New Roman" w:hAnsi="Times New Roman"/>
          <w:color w:val="000000" w:themeColor="text1"/>
          <w:sz w:val="16"/>
          <w:szCs w:val="16"/>
        </w:rPr>
        <w:t xml:space="preserve">Архив: РГВА. Ф. 4. Оп. 1. Д. 941. Л. 1—3. Заверенная копия. </w:t>
      </w:r>
    </w:p>
    <w:p w14:paraId="758B2FBB"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292-295 (12427).</w:t>
      </w:r>
    </w:p>
    <w:bookmarkEnd w:id="32"/>
    <w:p w14:paraId="77B30E6B" w14:textId="77777777" w:rsidR="00154C41" w:rsidRPr="00A259BD" w:rsidRDefault="00154C41" w:rsidP="009236E3">
      <w:pPr>
        <w:spacing w:after="0" w:line="240" w:lineRule="auto"/>
        <w:jc w:val="both"/>
        <w:rPr>
          <w:rFonts w:ascii="Times New Roman" w:hAnsi="Times New Roman"/>
          <w:color w:val="000000" w:themeColor="text1"/>
          <w:sz w:val="16"/>
          <w:szCs w:val="16"/>
        </w:rPr>
      </w:pPr>
    </w:p>
    <w:p w14:paraId="2B3D17E2" w14:textId="77777777" w:rsidR="00154C41"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1C9FA10" w14:textId="77777777" w:rsidR="00154C41" w:rsidRPr="00A259BD" w:rsidRDefault="00154C4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C8B2429" w14:textId="77777777" w:rsidR="00CE6C7E" w:rsidRPr="00A259BD" w:rsidRDefault="00CE6C7E"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bCs/>
          <w:iCs/>
          <w:color w:val="000000" w:themeColor="text1"/>
          <w:sz w:val="16"/>
          <w:szCs w:val="16"/>
        </w:rPr>
        <w:t>1 апреля 1929 г.</w:t>
      </w:r>
      <w:r w:rsidRPr="00A259BD">
        <w:rPr>
          <w:rFonts w:ascii="Times New Roman" w:hAnsi="Times New Roman"/>
          <w:color w:val="000000" w:themeColor="text1"/>
          <w:sz w:val="16"/>
          <w:szCs w:val="16"/>
        </w:rPr>
        <w:t xml:space="preserve"> Решение РВС СССР о введении на вооружение РККА новых артиллерийских химических снарядов и авиационных химических бомб — 76 мм осколочно-химического снаряда № 10, 107 мм осколочно-химического снаряда № 2, 107 мм химического снаряда № 1 (с СОВ и НОВ), 8 кг осколочно-химической авиационной бомбы АОХ-8 в снаряжении хлорацетофеноном (17133).</w:t>
      </w:r>
    </w:p>
    <w:p w14:paraId="20F70566" w14:textId="77777777" w:rsidR="00CE6C7E" w:rsidRPr="00A259BD" w:rsidRDefault="00CE6C7E" w:rsidP="009236E3">
      <w:pPr>
        <w:shd w:val="clear" w:color="auto" w:fill="FFFFFF"/>
        <w:spacing w:after="0" w:line="240" w:lineRule="auto"/>
        <w:jc w:val="both"/>
        <w:rPr>
          <w:rFonts w:ascii="Times New Roman" w:hAnsi="Times New Roman"/>
          <w:color w:val="000000" w:themeColor="text1"/>
          <w:sz w:val="16"/>
          <w:szCs w:val="16"/>
        </w:rPr>
      </w:pPr>
    </w:p>
    <w:p w14:paraId="3F96DEFD"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апреля 1929 г. Протокол заседания Президиума ВСНХ СССР. 386. Постановление коллегии </w:t>
      </w:r>
      <w:proofErr w:type="spellStart"/>
      <w:r w:rsidRPr="00A259BD">
        <w:rPr>
          <w:rFonts w:ascii="Times New Roman" w:hAnsi="Times New Roman"/>
          <w:color w:val="000000" w:themeColor="text1"/>
          <w:sz w:val="16"/>
          <w:szCs w:val="16"/>
        </w:rPr>
        <w:t>Главмашинстроя</w:t>
      </w:r>
      <w:proofErr w:type="spellEnd"/>
      <w:r w:rsidRPr="00A259BD">
        <w:rPr>
          <w:rFonts w:ascii="Times New Roman" w:hAnsi="Times New Roman"/>
          <w:color w:val="000000" w:themeColor="text1"/>
          <w:sz w:val="16"/>
          <w:szCs w:val="16"/>
        </w:rPr>
        <w:t xml:space="preserve"> от 30 ноября — 1 декабря 1928 г. об образовании Южного судостроительного треста «ЮСТ» в составе заводов им. Андре Марти и «</w:t>
      </w:r>
      <w:proofErr w:type="spellStart"/>
      <w:r w:rsidRPr="00A259BD">
        <w:rPr>
          <w:rFonts w:ascii="Times New Roman" w:hAnsi="Times New Roman"/>
          <w:color w:val="000000" w:themeColor="text1"/>
          <w:sz w:val="16"/>
          <w:szCs w:val="16"/>
        </w:rPr>
        <w:t>Руссуд</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ЮМТа</w:t>
      </w:r>
      <w:proofErr w:type="spellEnd"/>
      <w:r w:rsidRPr="00A259BD">
        <w:rPr>
          <w:rFonts w:ascii="Times New Roman" w:hAnsi="Times New Roman"/>
          <w:color w:val="000000" w:themeColor="text1"/>
          <w:sz w:val="16"/>
          <w:szCs w:val="16"/>
        </w:rPr>
        <w:t>» и Севастопольского морского завода». 387. 1). Отношение ВСНХ РСФСР от 25 февраля 1929 г. за № 810/с по вопросу о целесообразности существования Бюро оптико-механических производств при ГВПУ и распространения деятельности его на ТОМП, с его предприятиями. 2). Отношение Главного военно-промышленного управления от 8 марта 1929 г. за № 182/с о препятствиях, чинимых работе Бюро оптико-механических производств при ГВПУ органами ВСНХ РСФСР и ВСНХ БССР (РГАЭ. Ф. 3429. Оп. 1. Д. 5162. Л. 49?49 об.) (12417).</w:t>
      </w:r>
    </w:p>
    <w:p w14:paraId="19F56DF3" w14:textId="77777777" w:rsidR="00154C41" w:rsidRPr="00A259BD" w:rsidRDefault="00154C41" w:rsidP="009236E3">
      <w:pPr>
        <w:spacing w:after="0" w:line="240" w:lineRule="auto"/>
        <w:jc w:val="both"/>
        <w:rPr>
          <w:rFonts w:ascii="Times New Roman" w:hAnsi="Times New Roman"/>
          <w:color w:val="000000" w:themeColor="text1"/>
          <w:sz w:val="16"/>
          <w:szCs w:val="16"/>
        </w:rPr>
      </w:pPr>
    </w:p>
    <w:p w14:paraId="7787B52D"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C3E7E8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487D7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апреля 1929 года Куртом </w:t>
      </w:r>
      <w:proofErr w:type="spellStart"/>
      <w:r w:rsidRPr="00A259BD">
        <w:rPr>
          <w:rFonts w:ascii="Times New Roman" w:hAnsi="Times New Roman"/>
          <w:color w:val="000000" w:themeColor="text1"/>
          <w:sz w:val="16"/>
          <w:szCs w:val="16"/>
        </w:rPr>
        <w:t>Фолькхартом</w:t>
      </w:r>
      <w:proofErr w:type="spellEnd"/>
      <w:r w:rsidRPr="00A259BD">
        <w:rPr>
          <w:rFonts w:ascii="Times New Roman" w:hAnsi="Times New Roman"/>
          <w:color w:val="000000" w:themeColor="text1"/>
          <w:sz w:val="16"/>
          <w:szCs w:val="16"/>
        </w:rPr>
        <w:t xml:space="preserve"> – тем самым водителем первых ракетных автомобилей компании “Опель” - была осуществлена поездка на ракетном собственном автомобиле “</w:t>
      </w:r>
      <w:proofErr w:type="spellStart"/>
      <w:r w:rsidRPr="00A259BD">
        <w:rPr>
          <w:rFonts w:ascii="Times New Roman" w:hAnsi="Times New Roman"/>
          <w:color w:val="000000" w:themeColor="text1"/>
          <w:sz w:val="16"/>
          <w:szCs w:val="16"/>
        </w:rPr>
        <w:t>Volkhart-Rak</w:t>
      </w:r>
      <w:proofErr w:type="spellEnd"/>
      <w:r w:rsidRPr="00A259BD">
        <w:rPr>
          <w:rFonts w:ascii="Times New Roman" w:hAnsi="Times New Roman"/>
          <w:color w:val="000000" w:themeColor="text1"/>
          <w:sz w:val="16"/>
          <w:szCs w:val="16"/>
        </w:rPr>
        <w:t xml:space="preserve"> 1” (“</w:t>
      </w:r>
      <w:proofErr w:type="spellStart"/>
      <w:r w:rsidRPr="00A259BD">
        <w:rPr>
          <w:rFonts w:ascii="Times New Roman" w:hAnsi="Times New Roman"/>
          <w:color w:val="000000" w:themeColor="text1"/>
          <w:sz w:val="16"/>
          <w:szCs w:val="16"/>
        </w:rPr>
        <w:t>Фолькхарт</w:t>
      </w:r>
      <w:proofErr w:type="spellEnd"/>
      <w:r w:rsidRPr="00A259BD">
        <w:rPr>
          <w:rFonts w:ascii="Times New Roman" w:hAnsi="Times New Roman"/>
          <w:color w:val="000000" w:themeColor="text1"/>
          <w:sz w:val="16"/>
          <w:szCs w:val="16"/>
        </w:rPr>
        <w:t xml:space="preserve">-Рак 1”) с 24 гнездами для ракет с пассажиром или, точнее говоря, с пассажиркой </w:t>
      </w:r>
      <w:proofErr w:type="spellStart"/>
      <w:r w:rsidRPr="00A259BD">
        <w:rPr>
          <w:rFonts w:ascii="Times New Roman" w:hAnsi="Times New Roman"/>
          <w:color w:val="000000" w:themeColor="text1"/>
          <w:sz w:val="16"/>
          <w:szCs w:val="16"/>
        </w:rPr>
        <w:t>Вальденфельс</w:t>
      </w:r>
      <w:proofErr w:type="spellEnd"/>
      <w:r w:rsidRPr="00A259BD">
        <w:rPr>
          <w:rFonts w:ascii="Times New Roman" w:hAnsi="Times New Roman"/>
          <w:color w:val="000000" w:themeColor="text1"/>
          <w:sz w:val="16"/>
          <w:szCs w:val="16"/>
        </w:rPr>
        <w:t>. Затем им же была предпринята поездка на ракетном велосипеде – движимый шестью ракетами Зандера велосипед прокатился только 300 м, что также разочаровало и публику, и прессу (11688).</w:t>
      </w:r>
    </w:p>
    <w:p w14:paraId="1A6DE0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5CE869" w14:textId="77777777" w:rsidR="00CE6C7E" w:rsidRPr="00A259BD" w:rsidRDefault="00CE6C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апреля в 1929 году на знаменитой гоночной трассе "Нюрбургринг" (</w:t>
      </w:r>
      <w:proofErr w:type="spellStart"/>
      <w:r w:rsidRPr="00A259BD">
        <w:rPr>
          <w:rFonts w:ascii="Times New Roman" w:hAnsi="Times New Roman"/>
          <w:color w:val="000000" w:themeColor="text1"/>
          <w:sz w:val="16"/>
          <w:szCs w:val="16"/>
        </w:rPr>
        <w:t>Nurburgring</w:t>
      </w:r>
      <w:proofErr w:type="spellEnd"/>
      <w:r w:rsidRPr="00A259BD">
        <w:rPr>
          <w:rFonts w:ascii="Times New Roman" w:hAnsi="Times New Roman"/>
          <w:color w:val="000000" w:themeColor="text1"/>
          <w:sz w:val="16"/>
          <w:szCs w:val="16"/>
        </w:rPr>
        <w:t>) проведены испытания мотоцикла "</w:t>
      </w:r>
      <w:proofErr w:type="spellStart"/>
      <w:r w:rsidRPr="00A259BD">
        <w:rPr>
          <w:rFonts w:ascii="Times New Roman" w:hAnsi="Times New Roman"/>
          <w:color w:val="000000" w:themeColor="text1"/>
          <w:sz w:val="16"/>
          <w:szCs w:val="16"/>
        </w:rPr>
        <w:t>Dumo</w:t>
      </w:r>
      <w:proofErr w:type="spellEnd"/>
      <w:r w:rsidRPr="00A259BD">
        <w:rPr>
          <w:rFonts w:ascii="Times New Roman" w:hAnsi="Times New Roman"/>
          <w:color w:val="000000" w:themeColor="text1"/>
          <w:sz w:val="16"/>
          <w:szCs w:val="16"/>
        </w:rPr>
        <w:t xml:space="preserve">" на котором впервые были установлены три ракеты конструктора Зандера. Мотоциклом управлял Курт </w:t>
      </w:r>
      <w:proofErr w:type="spellStart"/>
      <w:r w:rsidRPr="00A259BD">
        <w:rPr>
          <w:rFonts w:ascii="Times New Roman" w:hAnsi="Times New Roman"/>
          <w:color w:val="000000" w:themeColor="text1"/>
          <w:sz w:val="16"/>
          <w:szCs w:val="16"/>
        </w:rPr>
        <w:t>Фолькарт</w:t>
      </w:r>
      <w:proofErr w:type="spellEnd"/>
      <w:r w:rsidRPr="00A259BD">
        <w:rPr>
          <w:rFonts w:ascii="Times New Roman" w:hAnsi="Times New Roman"/>
          <w:color w:val="000000" w:themeColor="text1"/>
          <w:sz w:val="16"/>
          <w:szCs w:val="16"/>
        </w:rPr>
        <w:t xml:space="preserve"> (15086).</w:t>
      </w:r>
    </w:p>
    <w:p w14:paraId="7B4CB4D8" w14:textId="77777777" w:rsidR="00CE6C7E" w:rsidRPr="00A259BD" w:rsidRDefault="00CE6C7E" w:rsidP="009236E3">
      <w:pPr>
        <w:spacing w:after="0" w:line="240" w:lineRule="auto"/>
        <w:jc w:val="both"/>
        <w:rPr>
          <w:rFonts w:ascii="Times New Roman" w:hAnsi="Times New Roman"/>
          <w:color w:val="000000" w:themeColor="text1"/>
          <w:sz w:val="16"/>
          <w:szCs w:val="16"/>
        </w:rPr>
      </w:pPr>
    </w:p>
    <w:p w14:paraId="48C2C538" w14:textId="77777777" w:rsidR="00154C41"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lastRenderedPageBreak/>
        <w:t>Другие оборонные отрасли:</w:t>
      </w:r>
    </w:p>
    <w:p w14:paraId="7314CDD5" w14:textId="77777777" w:rsidR="00154C41" w:rsidRPr="00A259BD" w:rsidRDefault="00154C4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0295214" w14:textId="77777777" w:rsidR="00CE6C7E" w:rsidRPr="00A259BD" w:rsidRDefault="00CE6C7E" w:rsidP="009236E3">
      <w:pPr>
        <w:spacing w:after="0" w:line="240" w:lineRule="auto"/>
        <w:jc w:val="both"/>
        <w:rPr>
          <w:rStyle w:val="af0"/>
          <w:rFonts w:ascii="Times New Roman" w:hAnsi="Times New Roman"/>
          <w:i w:val="0"/>
          <w:color w:val="000000" w:themeColor="text1"/>
          <w:sz w:val="16"/>
          <w:szCs w:val="16"/>
        </w:rPr>
      </w:pPr>
      <w:r w:rsidRPr="00A259BD">
        <w:rPr>
          <w:rFonts w:ascii="Times New Roman" w:hAnsi="Times New Roman"/>
          <w:bCs/>
          <w:color w:val="000000" w:themeColor="text1"/>
          <w:sz w:val="16"/>
          <w:szCs w:val="16"/>
        </w:rPr>
        <w:t xml:space="preserve">2 апреля 1929 г. — Из объяснительной записки ГВПУ к </w:t>
      </w:r>
      <w:proofErr w:type="spellStart"/>
      <w:r w:rsidRPr="00A259BD">
        <w:rPr>
          <w:rFonts w:ascii="Times New Roman" w:hAnsi="Times New Roman"/>
          <w:bCs/>
          <w:color w:val="000000" w:themeColor="text1"/>
          <w:sz w:val="16"/>
          <w:szCs w:val="16"/>
        </w:rPr>
        <w:t>промфинплану</w:t>
      </w:r>
      <w:proofErr w:type="spellEnd"/>
      <w:r w:rsidRPr="00A259BD">
        <w:rPr>
          <w:rFonts w:ascii="Times New Roman" w:hAnsi="Times New Roman"/>
          <w:bCs/>
          <w:color w:val="000000" w:themeColor="text1"/>
          <w:sz w:val="16"/>
          <w:szCs w:val="16"/>
        </w:rPr>
        <w:t xml:space="preserve"> военной промышленности на 1928/29 г. — Об итогах выполнения </w:t>
      </w:r>
      <w:proofErr w:type="spellStart"/>
      <w:r w:rsidRPr="00A259BD">
        <w:rPr>
          <w:rFonts w:ascii="Times New Roman" w:hAnsi="Times New Roman"/>
          <w:bCs/>
          <w:color w:val="000000" w:themeColor="text1"/>
          <w:sz w:val="16"/>
          <w:szCs w:val="16"/>
        </w:rPr>
        <w:t>промфинплана</w:t>
      </w:r>
      <w:proofErr w:type="spellEnd"/>
      <w:r w:rsidRPr="00A259BD">
        <w:rPr>
          <w:rFonts w:ascii="Times New Roman" w:hAnsi="Times New Roman"/>
          <w:bCs/>
          <w:color w:val="000000" w:themeColor="text1"/>
          <w:sz w:val="16"/>
          <w:szCs w:val="16"/>
        </w:rPr>
        <w:t xml:space="preserve"> военной промышленности за 1927/28 г.</w:t>
      </w:r>
    </w:p>
    <w:p w14:paraId="4C3E79BE"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13D15BDF" w14:textId="77777777" w:rsidR="00154C41" w:rsidRPr="00A259BD" w:rsidRDefault="00154C41" w:rsidP="009236E3">
      <w:pPr>
        <w:pStyle w:val="ae"/>
        <w:spacing w:before="0" w:after="0"/>
        <w:jc w:val="both"/>
        <w:rPr>
          <w:color w:val="000000" w:themeColor="text1"/>
          <w:sz w:val="16"/>
          <w:szCs w:val="16"/>
        </w:rPr>
      </w:pPr>
      <w:r w:rsidRPr="00A259BD">
        <w:rPr>
          <w:rStyle w:val="a7"/>
          <w:b w:val="0"/>
          <w:color w:val="000000" w:themeColor="text1"/>
          <w:sz w:val="16"/>
          <w:szCs w:val="16"/>
        </w:rPr>
        <w:t>Введение</w:t>
      </w:r>
    </w:p>
    <w:p w14:paraId="61BE46D0"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 xml:space="preserve">...¹*Разработка </w:t>
      </w:r>
      <w:proofErr w:type="spellStart"/>
      <w:r w:rsidRPr="00A259BD">
        <w:rPr>
          <w:color w:val="000000" w:themeColor="text1"/>
          <w:sz w:val="16"/>
          <w:szCs w:val="16"/>
        </w:rPr>
        <w:t>промфинплана</w:t>
      </w:r>
      <w:proofErr w:type="spellEnd"/>
      <w:r w:rsidRPr="00A259BD">
        <w:rPr>
          <w:color w:val="000000" w:themeColor="text1"/>
          <w:sz w:val="16"/>
          <w:szCs w:val="16"/>
        </w:rPr>
        <w:t xml:space="preserve"> военной промышленности проводилась под углом зрения выполнения целого ряда директив ВСНХ СССР и правительства. Главнейшие моменты этой проработки: а) максимальное снижение себестоимости продукции и снижение стоимости строительства; б) увеличение роста выработки на рабочего; в) форсирование выпуска мирной продукции; г) мобилизация внутренних ресурсов военной промышленности на основе ускорения оборачиваемости ее капиталов; д) максимальное использование внутренних источников для финансирования капитальных работ; е) упорядочение снабжения; ж) ускорение производственных процессов и з) в целом — решительное улучшение качественных показателей работы военной промышленности.</w:t>
      </w:r>
    </w:p>
    <w:p w14:paraId="5BAF7A5E" w14:textId="77777777" w:rsidR="00154C41" w:rsidRPr="00A259BD" w:rsidRDefault="00154C41" w:rsidP="009236E3">
      <w:pPr>
        <w:pStyle w:val="rtejustify"/>
        <w:spacing w:before="0" w:after="0"/>
        <w:rPr>
          <w:color w:val="000000" w:themeColor="text1"/>
          <w:sz w:val="16"/>
          <w:szCs w:val="16"/>
        </w:rPr>
      </w:pPr>
      <w:proofErr w:type="spellStart"/>
      <w:r w:rsidRPr="00A259BD">
        <w:rPr>
          <w:color w:val="000000" w:themeColor="text1"/>
          <w:sz w:val="16"/>
          <w:szCs w:val="16"/>
        </w:rPr>
        <w:t>Промфинплан</w:t>
      </w:r>
      <w:proofErr w:type="spellEnd"/>
      <w:r w:rsidRPr="00A259BD">
        <w:rPr>
          <w:color w:val="000000" w:themeColor="text1"/>
          <w:sz w:val="16"/>
          <w:szCs w:val="16"/>
        </w:rPr>
        <w:t xml:space="preserve"> 1928/29 г. характеризуется значительным ростом программы: валовая продукция в ценах 1926/27 г. возрастает с 306 млн. руб. 1927/28 г. до 418,8 млн. руб. в 1928/29 г., давая прирост на 113,8 млн. руб., или на 37,2%. Такой энергичный прирост продукции при стабильности оборотного капитала создает крайнее напряжение всех сил и средств военной промышленности. Прирост товарной военной продукции составляет 33,9%; прирост мирной продукции дает 67,5%, что соответствует директиве РЗ СТО и Президиума ВСНХ относительно форсирования мирных производств с целью улучшения экономических показателей военной промышленности.</w:t>
      </w:r>
    </w:p>
    <w:p w14:paraId="75F65C0F"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А. Производство (программа, мощность, загрузка)</w:t>
      </w:r>
    </w:p>
    <w:p w14:paraId="0736AB95" w14:textId="77777777" w:rsidR="00154C41" w:rsidRPr="00A259BD" w:rsidRDefault="00154C41" w:rsidP="009236E3">
      <w:pPr>
        <w:pStyle w:val="rtejustify"/>
        <w:spacing w:before="0" w:after="0"/>
        <w:rPr>
          <w:color w:val="000000" w:themeColor="text1"/>
          <w:sz w:val="16"/>
          <w:szCs w:val="16"/>
        </w:rPr>
      </w:pPr>
      <w:r w:rsidRPr="00A259BD">
        <w:rPr>
          <w:rStyle w:val="af0"/>
          <w:i w:val="0"/>
          <w:color w:val="000000" w:themeColor="text1"/>
          <w:sz w:val="16"/>
          <w:szCs w:val="16"/>
        </w:rPr>
        <w:t>Выполнение программы за 1927/28 г.</w:t>
      </w:r>
      <w:r w:rsidRPr="00A259BD">
        <w:rPr>
          <w:color w:val="000000" w:themeColor="text1"/>
          <w:sz w:val="16"/>
          <w:szCs w:val="16"/>
        </w:rPr>
        <w:t xml:space="preserve"> Утвержденная на 1927/28 операционный год производственная программа военной промышленности по валовой продукции в отпускных ценах выполнена в следующем размере.</w:t>
      </w:r>
    </w:p>
    <w:p w14:paraId="5761179E" w14:textId="77777777" w:rsidR="00154C41" w:rsidRPr="00A259BD" w:rsidRDefault="00154C41" w:rsidP="009236E3">
      <w:pPr>
        <w:pStyle w:val="ae"/>
        <w:spacing w:before="0" w:after="0"/>
        <w:jc w:val="both"/>
        <w:rPr>
          <w:color w:val="000000" w:themeColor="text1"/>
          <w:sz w:val="16"/>
          <w:szCs w:val="16"/>
        </w:rPr>
      </w:pPr>
      <w:r w:rsidRPr="00A259BD">
        <w:rPr>
          <w:rStyle w:val="a7"/>
          <w:b w:val="0"/>
          <w:color w:val="000000" w:themeColor="text1"/>
          <w:sz w:val="16"/>
          <w:szCs w:val="16"/>
        </w:rPr>
        <w:t>Валовая продукция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1"/>
        <w:gridCol w:w="2290"/>
        <w:gridCol w:w="1724"/>
        <w:gridCol w:w="1977"/>
      </w:tblGrid>
      <w:tr w:rsidR="00A259BD" w:rsidRPr="00A259BD" w14:paraId="735E6C12" w14:textId="77777777" w:rsidTr="005704B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2D3F3D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Тресты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83E9170"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1927/28 г.</w:t>
            </w:r>
          </w:p>
        </w:tc>
      </w:tr>
      <w:tr w:rsidR="00A259BD" w:rsidRPr="00A259BD" w14:paraId="4C71FB17" w14:textId="77777777" w:rsidTr="005704B1">
        <w:tc>
          <w:tcPr>
            <w:tcW w:w="0" w:type="auto"/>
            <w:vMerge/>
            <w:tcBorders>
              <w:top w:val="outset" w:sz="6" w:space="0" w:color="auto"/>
              <w:left w:val="outset" w:sz="6" w:space="0" w:color="auto"/>
              <w:bottom w:val="outset" w:sz="6" w:space="0" w:color="auto"/>
              <w:right w:val="outset" w:sz="6" w:space="0" w:color="auto"/>
            </w:tcBorders>
            <w:vAlign w:val="center"/>
            <w:hideMark/>
          </w:tcPr>
          <w:p w14:paraId="0864EE72" w14:textId="77777777" w:rsidR="00154C41" w:rsidRPr="00A259BD" w:rsidRDefault="00154C41" w:rsidP="009236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1C414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Утверждено по</w:t>
            </w:r>
          </w:p>
          <w:p w14:paraId="0E017E5D" w14:textId="77777777" w:rsidR="00154C41" w:rsidRPr="00A259BD" w:rsidRDefault="00154C41"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промфинплану</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6A597E63"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29C8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Выполнение,</w:t>
            </w:r>
          </w:p>
          <w:p w14:paraId="2A4C4EA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процентах</w:t>
            </w:r>
          </w:p>
        </w:tc>
      </w:tr>
      <w:tr w:rsidR="00A259BD" w:rsidRPr="00A259BD" w14:paraId="4CB6A28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BBA7174"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Орудийно-арсенальный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F4FA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F6B58"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5F938"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108,1</w:t>
            </w:r>
          </w:p>
        </w:tc>
      </w:tr>
      <w:tr w:rsidR="00A259BD" w:rsidRPr="00A259BD" w14:paraId="7E60160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586C07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Оружейно-пулеметный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21C0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AE682"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9BD4D"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104</w:t>
            </w:r>
          </w:p>
        </w:tc>
      </w:tr>
      <w:tr w:rsidR="00A259BD" w:rsidRPr="00A259BD" w14:paraId="377F074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739E954"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Патронно-трубочный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90CD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D647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458C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101,9</w:t>
            </w:r>
          </w:p>
        </w:tc>
      </w:tr>
      <w:tr w:rsidR="00A259BD" w:rsidRPr="00A259BD" w14:paraId="17BD859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F4672ED" w14:textId="77777777" w:rsidR="00154C41" w:rsidRPr="00A259BD" w:rsidRDefault="00154C41"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Авиатрест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6CB3C2E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97C8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B01B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76,7</w:t>
            </w:r>
          </w:p>
        </w:tc>
      </w:tr>
      <w:tr w:rsidR="00A259BD" w:rsidRPr="00A259BD" w14:paraId="29057DE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CBA25CD"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 по металлической группе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91BA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71BB4"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EA53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99,3</w:t>
            </w:r>
          </w:p>
        </w:tc>
      </w:tr>
      <w:tr w:rsidR="00A259BD" w:rsidRPr="00A259BD" w14:paraId="6295D62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2BD07D3"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Военно-химический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206DD"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E24A0"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FEDE2"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98,1</w:t>
            </w:r>
          </w:p>
        </w:tc>
      </w:tr>
      <w:tr w:rsidR="00A259BD" w:rsidRPr="00A259BD" w14:paraId="2843AB9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946B62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по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77B72"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78680"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FBE48"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99,1</w:t>
            </w:r>
          </w:p>
        </w:tc>
      </w:tr>
    </w:tbl>
    <w:p w14:paraId="4719CA98"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 xml:space="preserve">В общем, выполнение производственной программы военной промышленности по валовой продукции надо считать удовлетворительным, так как недовыполнение равняется только 0,9%. И только по одному </w:t>
      </w:r>
      <w:proofErr w:type="spellStart"/>
      <w:r w:rsidRPr="00A259BD">
        <w:rPr>
          <w:color w:val="000000" w:themeColor="text1"/>
          <w:sz w:val="16"/>
          <w:szCs w:val="16"/>
        </w:rPr>
        <w:t>Авиатресту</w:t>
      </w:r>
      <w:proofErr w:type="spellEnd"/>
      <w:r w:rsidRPr="00A259BD">
        <w:rPr>
          <w:color w:val="000000" w:themeColor="text1"/>
          <w:sz w:val="16"/>
          <w:szCs w:val="16"/>
        </w:rPr>
        <w:t xml:space="preserve"> недовыполнение составляет 23,3%, на что имеются свои объективные причины. </w:t>
      </w:r>
      <w:proofErr w:type="spellStart"/>
      <w:r w:rsidRPr="00A259BD">
        <w:rPr>
          <w:color w:val="000000" w:themeColor="text1"/>
          <w:sz w:val="16"/>
          <w:szCs w:val="16"/>
        </w:rPr>
        <w:t>Авиатрест</w:t>
      </w:r>
      <w:proofErr w:type="spellEnd"/>
      <w:r w:rsidRPr="00A259BD">
        <w:rPr>
          <w:color w:val="000000" w:themeColor="text1"/>
          <w:sz w:val="16"/>
          <w:szCs w:val="16"/>
        </w:rPr>
        <w:t xml:space="preserve"> имел в своей производственной программе новые конструкции, по которым чертежи окончательно утверждались в результате испытаний, подвергались несколько раз изменению, что в общем внесло значительную задержку в производство. Кроме того, поскольку были новые единицы, впервые пускаемые в производство, в процессе их выполнения имелся ряд неполадок, также внесших задержку.</w:t>
      </w:r>
    </w:p>
    <w:p w14:paraId="437DF8CB"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Выполнение производственной программы по товарной продукции (в отпускных ценах) дает несколько другую картину:</w:t>
      </w:r>
    </w:p>
    <w:p w14:paraId="52BE59D6" w14:textId="77777777" w:rsidR="00154C41" w:rsidRPr="00A259BD" w:rsidRDefault="00154C41" w:rsidP="009236E3">
      <w:pPr>
        <w:pStyle w:val="ae"/>
        <w:spacing w:before="0" w:after="0"/>
        <w:jc w:val="both"/>
        <w:rPr>
          <w:color w:val="000000" w:themeColor="text1"/>
          <w:sz w:val="16"/>
          <w:szCs w:val="16"/>
        </w:rPr>
      </w:pPr>
      <w:r w:rsidRPr="00A259BD">
        <w:rPr>
          <w:rStyle w:val="a7"/>
          <w:b w:val="0"/>
          <w:color w:val="000000" w:themeColor="text1"/>
          <w:sz w:val="16"/>
          <w:szCs w:val="16"/>
        </w:rPr>
        <w:t>Товарная продукция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1"/>
        <w:gridCol w:w="2290"/>
        <w:gridCol w:w="1724"/>
        <w:gridCol w:w="1977"/>
      </w:tblGrid>
      <w:tr w:rsidR="00A259BD" w:rsidRPr="00A259BD" w14:paraId="32BC9578" w14:textId="77777777" w:rsidTr="005704B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B895BA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Тресты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F8D171E"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1927/28 г.</w:t>
            </w:r>
          </w:p>
        </w:tc>
      </w:tr>
      <w:tr w:rsidR="00A259BD" w:rsidRPr="00A259BD" w14:paraId="6DA559F9" w14:textId="77777777" w:rsidTr="005704B1">
        <w:tc>
          <w:tcPr>
            <w:tcW w:w="0" w:type="auto"/>
            <w:vMerge/>
            <w:tcBorders>
              <w:top w:val="outset" w:sz="6" w:space="0" w:color="auto"/>
              <w:left w:val="outset" w:sz="6" w:space="0" w:color="auto"/>
              <w:bottom w:val="outset" w:sz="6" w:space="0" w:color="auto"/>
              <w:right w:val="outset" w:sz="6" w:space="0" w:color="auto"/>
            </w:tcBorders>
            <w:vAlign w:val="center"/>
            <w:hideMark/>
          </w:tcPr>
          <w:p w14:paraId="07BEDF95" w14:textId="77777777" w:rsidR="00154C41" w:rsidRPr="00A259BD" w:rsidRDefault="00154C41" w:rsidP="009236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94197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Утверждено по</w:t>
            </w:r>
          </w:p>
          <w:p w14:paraId="0CA0D461" w14:textId="77777777" w:rsidR="00154C41" w:rsidRPr="00A259BD" w:rsidRDefault="00154C41"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промфинплану</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10035ED"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190C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Выполнение,</w:t>
            </w:r>
          </w:p>
          <w:p w14:paraId="32BBE74E"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процентах</w:t>
            </w:r>
          </w:p>
        </w:tc>
      </w:tr>
      <w:tr w:rsidR="00A259BD" w:rsidRPr="00A259BD" w14:paraId="3BBE56B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B799FF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Орудийно-арсенальный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A9FF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7D3D2"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5FA4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95,6</w:t>
            </w:r>
          </w:p>
        </w:tc>
      </w:tr>
      <w:tr w:rsidR="00A259BD" w:rsidRPr="00A259BD" w14:paraId="6F0F6EC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011B92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Оружейно-пулеметный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8944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D982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3C027"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94,3</w:t>
            </w:r>
          </w:p>
        </w:tc>
      </w:tr>
      <w:tr w:rsidR="00A259BD" w:rsidRPr="00A259BD" w14:paraId="5FDD0C15"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E19EDF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Патронно-трубочный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AC13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36CCB"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16D5B"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93,5</w:t>
            </w:r>
          </w:p>
        </w:tc>
      </w:tr>
      <w:tr w:rsidR="00A259BD" w:rsidRPr="00A259BD" w14:paraId="351DE63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E255B2B" w14:textId="77777777" w:rsidR="00154C41" w:rsidRPr="00A259BD" w:rsidRDefault="00154C41"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Авиатрест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A275CC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F4E88"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48422"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80,2</w:t>
            </w:r>
          </w:p>
        </w:tc>
      </w:tr>
      <w:tr w:rsidR="00A259BD" w:rsidRPr="00A259BD" w14:paraId="65640C5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714B77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 по металлической группе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F765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C028F"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AF3B3"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92,1</w:t>
            </w:r>
          </w:p>
        </w:tc>
      </w:tr>
      <w:tr w:rsidR="00A259BD" w:rsidRPr="00A259BD" w14:paraId="48C0E6A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A3B532E"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Военно-химический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2EE2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7B505"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87302"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92,8</w:t>
            </w:r>
          </w:p>
        </w:tc>
      </w:tr>
      <w:tr w:rsidR="00A259BD" w:rsidRPr="00A259BD" w14:paraId="2B3C54DA"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B5E313F"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по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412C8"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154C7"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E332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92,3</w:t>
            </w:r>
          </w:p>
        </w:tc>
      </w:tr>
    </w:tbl>
    <w:p w14:paraId="448FFD32"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 xml:space="preserve">Недовыполнение товарной продукции составляет 20,1 млн. руб., или 7,7%. Расхождение в процентах выполнения валовой и товарной или более низкий процент выполнения товарной продукции объясняется следующими причинами: а) большими заготовками, чем ранее предполагалось по некоторым трестам на капитальные работы, в </w:t>
      </w:r>
      <w:proofErr w:type="spellStart"/>
      <w:r w:rsidRPr="00A259BD">
        <w:rPr>
          <w:color w:val="000000" w:themeColor="text1"/>
          <w:sz w:val="16"/>
          <w:szCs w:val="16"/>
        </w:rPr>
        <w:t>мобзапас</w:t>
      </w:r>
      <w:proofErr w:type="spellEnd"/>
      <w:r w:rsidRPr="00A259BD">
        <w:rPr>
          <w:color w:val="000000" w:themeColor="text1"/>
          <w:sz w:val="16"/>
          <w:szCs w:val="16"/>
        </w:rPr>
        <w:t xml:space="preserve"> и на разные </w:t>
      </w:r>
      <w:proofErr w:type="spellStart"/>
      <w:r w:rsidRPr="00A259BD">
        <w:rPr>
          <w:color w:val="000000" w:themeColor="text1"/>
          <w:sz w:val="16"/>
          <w:szCs w:val="16"/>
        </w:rPr>
        <w:t>хознужды</w:t>
      </w:r>
      <w:proofErr w:type="spellEnd"/>
      <w:r w:rsidRPr="00A259BD">
        <w:rPr>
          <w:color w:val="000000" w:themeColor="text1"/>
          <w:sz w:val="16"/>
          <w:szCs w:val="16"/>
        </w:rPr>
        <w:t xml:space="preserve">, — вся эта продукция полностью не входит в товарную; б) и вторая причина — при довольно значительном росте программы (валовая продукция в сравнимых ценах возрастает на 39,6%) заводы не наладили еще в достаточной степени производственно-технического планирования выполнения заказов. Эта </w:t>
      </w:r>
      <w:proofErr w:type="spellStart"/>
      <w:r w:rsidRPr="00A259BD">
        <w:rPr>
          <w:color w:val="000000" w:themeColor="text1"/>
          <w:sz w:val="16"/>
          <w:szCs w:val="16"/>
        </w:rPr>
        <w:t>неналаженность</w:t>
      </w:r>
      <w:proofErr w:type="spellEnd"/>
      <w:r w:rsidRPr="00A259BD">
        <w:rPr>
          <w:color w:val="000000" w:themeColor="text1"/>
          <w:sz w:val="16"/>
          <w:szCs w:val="16"/>
        </w:rPr>
        <w:t xml:space="preserve"> ведет в результате порой к большому накоплению незавершенного производства и к отставанию выпуска товарной продукции. При большом росте программы, естественно, возможны некоторые отдельные частичные задержки в производстве, создание «узких» мест, что в общем может приводить к тому, что готовая на 99% продукция из-за какой-нибудь мелкой детали, при производстве которой образовалось «узкое» место, не может быть закончена и выпущена на рынок. ГВПУ своевременно обратило внимание на это явление и дало директиву трестам усилить на заводах работу по производственно-техническому планированию выполнения заказов, что бы устраняло существующие ножницы в выпуске товарной и валовой продукции. Наконец, немаловажное значение имело также и сокращение запроектированной в </w:t>
      </w:r>
      <w:proofErr w:type="spellStart"/>
      <w:r w:rsidRPr="00A259BD">
        <w:rPr>
          <w:color w:val="000000" w:themeColor="text1"/>
          <w:sz w:val="16"/>
          <w:szCs w:val="16"/>
        </w:rPr>
        <w:t>промфинплане</w:t>
      </w:r>
      <w:proofErr w:type="spellEnd"/>
      <w:r w:rsidRPr="00A259BD">
        <w:rPr>
          <w:color w:val="000000" w:themeColor="text1"/>
          <w:sz w:val="16"/>
          <w:szCs w:val="16"/>
        </w:rPr>
        <w:t xml:space="preserve"> товарной продукции по сравнению с реальным портфелем заказов. Если в отношении мирной продукции тресты имеют некоторую свободу действий и смогут выпавшие или сокращенные заказы заменять другими, то по линии военной продукции их возможности ограничены.</w:t>
      </w:r>
    </w:p>
    <w:p w14:paraId="62F14460"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Выполнение товарной продукции отдельно по военной и мирной программе видно из следующих данных:</w:t>
      </w:r>
    </w:p>
    <w:p w14:paraId="5CD8EF37" w14:textId="77777777" w:rsidR="00154C41" w:rsidRPr="00A259BD" w:rsidRDefault="00154C41" w:rsidP="009236E3">
      <w:pPr>
        <w:pStyle w:val="ae"/>
        <w:spacing w:before="0" w:after="0"/>
        <w:jc w:val="both"/>
        <w:rPr>
          <w:color w:val="000000" w:themeColor="text1"/>
          <w:sz w:val="16"/>
          <w:szCs w:val="16"/>
        </w:rPr>
      </w:pPr>
      <w:r w:rsidRPr="00A259BD">
        <w:rPr>
          <w:rStyle w:val="a7"/>
          <w:b w:val="0"/>
          <w:color w:val="000000" w:themeColor="text1"/>
          <w:sz w:val="16"/>
          <w:szCs w:val="16"/>
        </w:rPr>
        <w:t>Военная продукция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1"/>
        <w:gridCol w:w="2290"/>
        <w:gridCol w:w="1724"/>
        <w:gridCol w:w="1977"/>
      </w:tblGrid>
      <w:tr w:rsidR="00A259BD" w:rsidRPr="00A259BD" w14:paraId="5B57A31E" w14:textId="77777777" w:rsidTr="005704B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95DF0BE"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Тресты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3E961BE"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1927/28 г.</w:t>
            </w:r>
          </w:p>
        </w:tc>
      </w:tr>
      <w:tr w:rsidR="00A259BD" w:rsidRPr="00A259BD" w14:paraId="0BC0C6C7" w14:textId="77777777" w:rsidTr="005704B1">
        <w:tc>
          <w:tcPr>
            <w:tcW w:w="0" w:type="auto"/>
            <w:vMerge/>
            <w:tcBorders>
              <w:top w:val="outset" w:sz="6" w:space="0" w:color="auto"/>
              <w:left w:val="outset" w:sz="6" w:space="0" w:color="auto"/>
              <w:bottom w:val="outset" w:sz="6" w:space="0" w:color="auto"/>
              <w:right w:val="outset" w:sz="6" w:space="0" w:color="auto"/>
            </w:tcBorders>
            <w:vAlign w:val="center"/>
            <w:hideMark/>
          </w:tcPr>
          <w:p w14:paraId="4C19A1B8" w14:textId="77777777" w:rsidR="00154C41" w:rsidRPr="00A259BD" w:rsidRDefault="00154C41" w:rsidP="009236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5DF84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Утверждено по</w:t>
            </w:r>
          </w:p>
          <w:p w14:paraId="460B3707" w14:textId="77777777" w:rsidR="00154C41" w:rsidRPr="00A259BD" w:rsidRDefault="00154C41"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промфинплану</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74AE2F5"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19B8F"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Выполнение,</w:t>
            </w:r>
          </w:p>
          <w:p w14:paraId="25E98C8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процентах</w:t>
            </w:r>
          </w:p>
        </w:tc>
      </w:tr>
      <w:tr w:rsidR="00A259BD" w:rsidRPr="00A259BD" w14:paraId="094476B5"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D966873"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Орудийно-арсенальный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211C5"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06E23"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DF7B4"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95,6</w:t>
            </w:r>
          </w:p>
        </w:tc>
      </w:tr>
      <w:tr w:rsidR="00A259BD" w:rsidRPr="00A259BD" w14:paraId="23F2E50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28AA7B7"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Оружейно-пулеметный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0E688"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8BB1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E000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96,4</w:t>
            </w:r>
          </w:p>
        </w:tc>
      </w:tr>
      <w:tr w:rsidR="00A259BD" w:rsidRPr="00A259BD" w14:paraId="47D0761B"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8482B82"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Патронно-трубочный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9F364"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B2303"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B0234"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88,9</w:t>
            </w:r>
          </w:p>
        </w:tc>
      </w:tr>
      <w:tr w:rsidR="00A259BD" w:rsidRPr="00A259BD" w14:paraId="799086E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34FD542" w14:textId="77777777" w:rsidR="00154C41" w:rsidRPr="00A259BD" w:rsidRDefault="00154C41"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Авиатрест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8B50A9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3EC84"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55D7E"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80,5</w:t>
            </w:r>
          </w:p>
        </w:tc>
      </w:tr>
      <w:tr w:rsidR="00A259BD" w:rsidRPr="00A259BD" w14:paraId="50EE70A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89568B3"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 по металлической группе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E67D4"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210D3"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C3C34"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90,2</w:t>
            </w:r>
          </w:p>
        </w:tc>
      </w:tr>
      <w:tr w:rsidR="00A259BD" w:rsidRPr="00A259BD" w14:paraId="3697633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664A7B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Военно-химический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3B4CF"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C370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8BD00"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95,3</w:t>
            </w:r>
          </w:p>
        </w:tc>
      </w:tr>
      <w:tr w:rsidR="00A259BD" w:rsidRPr="00A259BD" w14:paraId="5845AF8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8C63A5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по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974D3"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38C3B"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79B83"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91,3</w:t>
            </w:r>
          </w:p>
        </w:tc>
      </w:tr>
    </w:tbl>
    <w:p w14:paraId="046BBE11"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Недовыполнение военной продукции на 15,8 млн. руб., или на 8,7% объясняется, главным образом, причинами, не зависящими от самой промышленности, а исходящими от заказчика. Основные из них: позднее представление заказов, изменение их в течение года, изменение чертежей и техусловий и т. д. По ряду изделий, как например, арсенал и снаряжение, причинами недодела явились чисто конъюнктурные явления — отсутствие на рынке кожи и дуба требуемых кондиций. По самолетам, моторам и ряду других новых изделий недовыполнение объясняется неполадками и затруднениями в процессе производств ввиду новизны этих изделий.</w:t>
      </w:r>
    </w:p>
    <w:p w14:paraId="3467347E" w14:textId="77777777" w:rsidR="00154C41" w:rsidRPr="00A259BD" w:rsidRDefault="00154C41" w:rsidP="009236E3">
      <w:pPr>
        <w:pStyle w:val="ae"/>
        <w:spacing w:before="0" w:after="0"/>
        <w:jc w:val="both"/>
        <w:rPr>
          <w:color w:val="000000" w:themeColor="text1"/>
          <w:sz w:val="16"/>
          <w:szCs w:val="16"/>
        </w:rPr>
      </w:pPr>
      <w:r w:rsidRPr="00A259BD">
        <w:rPr>
          <w:rStyle w:val="a7"/>
          <w:b w:val="0"/>
          <w:color w:val="000000" w:themeColor="text1"/>
          <w:sz w:val="16"/>
          <w:szCs w:val="16"/>
        </w:rPr>
        <w:t>Мирная продукция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1"/>
        <w:gridCol w:w="2290"/>
        <w:gridCol w:w="1724"/>
        <w:gridCol w:w="1977"/>
      </w:tblGrid>
      <w:tr w:rsidR="00A259BD" w:rsidRPr="00A259BD" w14:paraId="53FD516D" w14:textId="77777777" w:rsidTr="005704B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655A6F4"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Тресты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EF2CF08"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1927/28 операционный год</w:t>
            </w:r>
          </w:p>
        </w:tc>
      </w:tr>
      <w:tr w:rsidR="00A259BD" w:rsidRPr="00A259BD" w14:paraId="0D5B82AC" w14:textId="77777777" w:rsidTr="005704B1">
        <w:tc>
          <w:tcPr>
            <w:tcW w:w="0" w:type="auto"/>
            <w:vMerge/>
            <w:tcBorders>
              <w:top w:val="outset" w:sz="6" w:space="0" w:color="auto"/>
              <w:left w:val="outset" w:sz="6" w:space="0" w:color="auto"/>
              <w:bottom w:val="outset" w:sz="6" w:space="0" w:color="auto"/>
              <w:right w:val="outset" w:sz="6" w:space="0" w:color="auto"/>
            </w:tcBorders>
            <w:vAlign w:val="center"/>
            <w:hideMark/>
          </w:tcPr>
          <w:p w14:paraId="3829B58A" w14:textId="77777777" w:rsidR="00154C41" w:rsidRPr="00A259BD" w:rsidRDefault="00154C41" w:rsidP="009236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263B0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Утверждено по</w:t>
            </w:r>
          </w:p>
          <w:p w14:paraId="5CB3A22F" w14:textId="77777777" w:rsidR="00154C41" w:rsidRPr="00A259BD" w:rsidRDefault="00154C41"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промфинплану</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261BDB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7EAC0"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Выполнение,</w:t>
            </w:r>
          </w:p>
          <w:p w14:paraId="6CB5967F"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процентах</w:t>
            </w:r>
          </w:p>
        </w:tc>
      </w:tr>
      <w:tr w:rsidR="00A259BD" w:rsidRPr="00A259BD" w14:paraId="099017E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AB0AFC5"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Орудийно-арсенальный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3BD48"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14D2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9640D"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94,8</w:t>
            </w:r>
          </w:p>
        </w:tc>
      </w:tr>
      <w:tr w:rsidR="00A259BD" w:rsidRPr="00A259BD" w14:paraId="6183F30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7F094F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Оружейно-пулеметный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0729E"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A06F8"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A1D54"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93,4</w:t>
            </w:r>
          </w:p>
        </w:tc>
      </w:tr>
      <w:tr w:rsidR="00A259BD" w:rsidRPr="00A259BD" w14:paraId="64F4AE1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E10749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Патронно-трубочный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5C58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6E15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FD400"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107,9</w:t>
            </w:r>
          </w:p>
        </w:tc>
      </w:tr>
      <w:tr w:rsidR="00A259BD" w:rsidRPr="00A259BD" w14:paraId="5FA4BDA5"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9C84529" w14:textId="77777777" w:rsidR="00154C41" w:rsidRPr="00A259BD" w:rsidRDefault="00154C41"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lastRenderedPageBreak/>
              <w:t>Авиатрест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311F955"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6F7A3"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7062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88,9</w:t>
            </w:r>
          </w:p>
        </w:tc>
      </w:tr>
      <w:tr w:rsidR="00A259BD" w:rsidRPr="00A259BD" w14:paraId="1188E41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E0C3FD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 по металлической группе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A7107"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EE36D"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783D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96,6</w:t>
            </w:r>
          </w:p>
        </w:tc>
      </w:tr>
      <w:tr w:rsidR="00A259BD" w:rsidRPr="00A259BD" w14:paraId="06FA81D4"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BA3D153"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Военно-химический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23E1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593A8"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E8BEB"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87,5</w:t>
            </w:r>
          </w:p>
        </w:tc>
      </w:tr>
      <w:tr w:rsidR="00A259BD" w:rsidRPr="00A259BD" w14:paraId="433CF0F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353521E"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по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23A44"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215B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83DEF"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94,5</w:t>
            </w:r>
          </w:p>
        </w:tc>
      </w:tr>
    </w:tbl>
    <w:p w14:paraId="13F4DFDE"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Недовыполнение мирной продукции на 4,3 млн. руб., или на 5,5% объясняется недополучением ряда заказов и новизной ряда изделий, впервые устанавливаемых, но [по] которым в процессе производства встретились осложнения и трудности...²*</w:t>
      </w:r>
    </w:p>
    <w:p w14:paraId="343CFA9A" w14:textId="77777777" w:rsidR="00154C41" w:rsidRPr="00A259BD" w:rsidRDefault="00154C41"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Начальник ГВПУ </w:t>
      </w:r>
      <w:hyperlink r:id="rId32" w:history="1">
        <w:proofErr w:type="spellStart"/>
        <w:r w:rsidRPr="00A259BD">
          <w:rPr>
            <w:rStyle w:val="af0"/>
            <w:i w:val="0"/>
            <w:color w:val="000000" w:themeColor="text1"/>
            <w:sz w:val="16"/>
            <w:szCs w:val="16"/>
          </w:rPr>
          <w:t>Толоконцев</w:t>
        </w:r>
        <w:proofErr w:type="spellEnd"/>
      </w:hyperlink>
    </w:p>
    <w:p w14:paraId="2266AD34" w14:textId="77777777" w:rsidR="00154C41" w:rsidRPr="00A259BD" w:rsidRDefault="00154C41" w:rsidP="009236E3">
      <w:pPr>
        <w:pStyle w:val="ae"/>
        <w:spacing w:before="0" w:after="0"/>
        <w:jc w:val="both"/>
        <w:rPr>
          <w:color w:val="000000" w:themeColor="text1"/>
          <w:sz w:val="16"/>
          <w:szCs w:val="16"/>
        </w:rPr>
      </w:pPr>
      <w:r w:rsidRPr="00A259BD">
        <w:rPr>
          <w:rStyle w:val="af0"/>
          <w:i w:val="0"/>
          <w:color w:val="000000" w:themeColor="text1"/>
          <w:sz w:val="16"/>
          <w:szCs w:val="16"/>
        </w:rPr>
        <w:t>Начальник ПЭО ГВПУ Устинов</w:t>
      </w:r>
    </w:p>
    <w:p w14:paraId="580F73C3" w14:textId="77777777" w:rsidR="00154C41" w:rsidRPr="00A259BD" w:rsidRDefault="00154C41"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p>
    <w:p w14:paraId="63D8F1CE"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Опущена краткая справка о порядке составления и прохождения контрольных цифр и планов капитального строительства на 1928/29 г.</w:t>
      </w:r>
    </w:p>
    <w:p w14:paraId="14C1503E"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Опущены: программа на 1928/29 г., а также разделы «Труд», «Себестоимость и цены», «Капитальное строительство», «Финансово-коммерческая деятельность».</w:t>
      </w:r>
    </w:p>
    <w:p w14:paraId="57301D49" w14:textId="77777777" w:rsidR="00154C41" w:rsidRPr="00A259BD" w:rsidRDefault="00154C41" w:rsidP="009236E3">
      <w:pPr>
        <w:pStyle w:val="ae"/>
        <w:spacing w:before="0" w:after="0"/>
        <w:jc w:val="both"/>
        <w:rPr>
          <w:color w:val="000000" w:themeColor="text1"/>
          <w:sz w:val="16"/>
          <w:szCs w:val="16"/>
        </w:rPr>
      </w:pPr>
      <w:r w:rsidRPr="00A259BD">
        <w:rPr>
          <w:color w:val="000000" w:themeColor="text1"/>
          <w:sz w:val="16"/>
          <w:szCs w:val="16"/>
        </w:rPr>
        <w:t>РГАЭ. Ф. 2097. Оп. 1. Д. 854. Л. 4—5 об. Копия.</w:t>
      </w:r>
    </w:p>
    <w:p w14:paraId="6BE04D4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2097. Оп. 1. Д. 854. Л. 4—5 об. Копия. </w:t>
      </w:r>
    </w:p>
    <w:p w14:paraId="1701EC92"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295-298 (12428).</w:t>
      </w:r>
    </w:p>
    <w:p w14:paraId="3FDD6B0A" w14:textId="77777777" w:rsidR="00154C41" w:rsidRPr="00A259BD" w:rsidRDefault="00154C41" w:rsidP="009236E3">
      <w:pPr>
        <w:spacing w:after="0" w:line="240" w:lineRule="auto"/>
        <w:jc w:val="both"/>
        <w:rPr>
          <w:rFonts w:ascii="Times New Roman" w:hAnsi="Times New Roman"/>
          <w:color w:val="000000" w:themeColor="text1"/>
          <w:sz w:val="16"/>
          <w:szCs w:val="16"/>
        </w:rPr>
      </w:pPr>
    </w:p>
    <w:p w14:paraId="2C603BD8" w14:textId="77777777" w:rsidR="00DF3B23" w:rsidRPr="00A259BD" w:rsidRDefault="00DF3B23"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bCs/>
          <w:iCs/>
          <w:color w:val="000000" w:themeColor="text1"/>
          <w:sz w:val="16"/>
          <w:szCs w:val="16"/>
        </w:rPr>
        <w:t>2 апреля 1929 г.</w:t>
      </w: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Артстрельбы</w:t>
      </w:r>
      <w:proofErr w:type="spellEnd"/>
      <w:r w:rsidRPr="00A259BD">
        <w:rPr>
          <w:rFonts w:ascii="Times New Roman" w:hAnsi="Times New Roman"/>
          <w:color w:val="000000" w:themeColor="text1"/>
          <w:sz w:val="16"/>
          <w:szCs w:val="16"/>
        </w:rPr>
        <w:t xml:space="preserve"> на полигоне в Кузьминках (Москва). Задача — повторить огневые химические налеты французской армии, совершенные начиная с лета 1916 года на полях сражений Первой мировой войны. Тогда в артснарядах был применен «</w:t>
      </w:r>
      <w:proofErr w:type="spellStart"/>
      <w:r w:rsidRPr="00A259BD">
        <w:rPr>
          <w:rFonts w:ascii="Times New Roman" w:hAnsi="Times New Roman"/>
          <w:color w:val="000000" w:themeColor="text1"/>
          <w:sz w:val="16"/>
          <w:szCs w:val="16"/>
        </w:rPr>
        <w:t>венсенит</w:t>
      </w:r>
      <w:proofErr w:type="spellEnd"/>
      <w:r w:rsidRPr="00A259BD">
        <w:rPr>
          <w:rFonts w:ascii="Times New Roman" w:hAnsi="Times New Roman"/>
          <w:color w:val="000000" w:themeColor="text1"/>
          <w:sz w:val="16"/>
          <w:szCs w:val="16"/>
        </w:rPr>
        <w:t xml:space="preserve">», то есть синильная кислота с добавлением треххлористым мышьяка, облачко которого при разрыве снаряда использовалось для пристрелки. В Кузьминках был осуществлен огневой налет с использованием синильной кислоты, с добавлением — для пристрелки — хлорного олова. Стреляли две </w:t>
      </w:r>
      <w:proofErr w:type="spellStart"/>
      <w:r w:rsidRPr="00A259BD">
        <w:rPr>
          <w:rFonts w:ascii="Times New Roman" w:hAnsi="Times New Roman"/>
          <w:color w:val="000000" w:themeColor="text1"/>
          <w:sz w:val="16"/>
          <w:szCs w:val="16"/>
        </w:rPr>
        <w:t>артбатареи</w:t>
      </w:r>
      <w:proofErr w:type="spellEnd"/>
      <w:r w:rsidRPr="00A259BD">
        <w:rPr>
          <w:rFonts w:ascii="Times New Roman" w:hAnsi="Times New Roman"/>
          <w:color w:val="000000" w:themeColor="text1"/>
          <w:sz w:val="16"/>
          <w:szCs w:val="16"/>
        </w:rPr>
        <w:t xml:space="preserve"> из Выхино по полигону на расстояние 6 км. Интенсивность огневого налета была обеспечена тем, что 150 </w:t>
      </w:r>
      <w:proofErr w:type="spellStart"/>
      <w:r w:rsidRPr="00A259BD">
        <w:rPr>
          <w:rFonts w:ascii="Times New Roman" w:hAnsi="Times New Roman"/>
          <w:color w:val="000000" w:themeColor="text1"/>
          <w:sz w:val="16"/>
          <w:szCs w:val="16"/>
        </w:rPr>
        <w:t>артхимснарядов</w:t>
      </w:r>
      <w:proofErr w:type="spellEnd"/>
      <w:r w:rsidRPr="00A259BD">
        <w:rPr>
          <w:rFonts w:ascii="Times New Roman" w:hAnsi="Times New Roman"/>
          <w:color w:val="000000" w:themeColor="text1"/>
          <w:sz w:val="16"/>
          <w:szCs w:val="16"/>
        </w:rPr>
        <w:t xml:space="preserve"> были выпущены всего за две минуты и 15 секунд. Заметить за такой короткий срок 150 разрывов, к тому же на большом расстоянии, было невозможно. А искать неразорвавшиеся снаряды с синильной кислотой и с любым иным ОВ тогда принято не было (17133).</w:t>
      </w:r>
    </w:p>
    <w:p w14:paraId="02E4A5D0" w14:textId="77777777" w:rsidR="00DF3B23" w:rsidRPr="00A259BD" w:rsidRDefault="00DF3B23" w:rsidP="009236E3">
      <w:pPr>
        <w:shd w:val="clear" w:color="auto" w:fill="FFFFFF"/>
        <w:spacing w:after="0" w:line="240" w:lineRule="auto"/>
        <w:jc w:val="both"/>
        <w:rPr>
          <w:rFonts w:ascii="Times New Roman" w:hAnsi="Times New Roman"/>
          <w:color w:val="000000" w:themeColor="text1"/>
          <w:sz w:val="16"/>
          <w:szCs w:val="16"/>
        </w:rPr>
      </w:pPr>
    </w:p>
    <w:p w14:paraId="5848F891" w14:textId="77777777" w:rsidR="00F4473A" w:rsidRPr="00A259BD" w:rsidRDefault="00F4473A"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274A8FF" w14:textId="77777777" w:rsidR="00F4473A" w:rsidRPr="00A259BD" w:rsidRDefault="00F4473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73A65F" w14:textId="77777777" w:rsidR="00F4473A" w:rsidRPr="00A259BD" w:rsidRDefault="00F4473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апреля 1929, управляя бипланом в поддержку повстанческих сил во время восстания Эскобара в Мексике, ирландский пилот Патрик Мерфи совершает ряд бомбардировок </w:t>
      </w:r>
      <w:proofErr w:type="spellStart"/>
      <w:r w:rsidRPr="00A259BD">
        <w:rPr>
          <w:rFonts w:ascii="Times New Roman" w:hAnsi="Times New Roman"/>
          <w:color w:val="000000" w:themeColor="text1"/>
          <w:sz w:val="16"/>
          <w:szCs w:val="16"/>
        </w:rPr>
        <w:t>Нако</w:t>
      </w:r>
      <w:proofErr w:type="spellEnd"/>
      <w:r w:rsidRPr="00A259BD">
        <w:rPr>
          <w:rFonts w:ascii="Times New Roman" w:hAnsi="Times New Roman"/>
          <w:color w:val="000000" w:themeColor="text1"/>
          <w:sz w:val="16"/>
          <w:szCs w:val="16"/>
        </w:rPr>
        <w:t xml:space="preserve"> в мексиканском штате </w:t>
      </w:r>
      <w:proofErr w:type="spellStart"/>
      <w:r w:rsidRPr="00A259BD">
        <w:rPr>
          <w:rFonts w:ascii="Times New Roman" w:hAnsi="Times New Roman"/>
          <w:color w:val="000000" w:themeColor="text1"/>
          <w:sz w:val="16"/>
          <w:szCs w:val="16"/>
        </w:rPr>
        <w:t>Сонора</w:t>
      </w:r>
      <w:proofErr w:type="spellEnd"/>
      <w:r w:rsidRPr="00A259BD">
        <w:rPr>
          <w:rFonts w:ascii="Times New Roman" w:hAnsi="Times New Roman"/>
          <w:color w:val="000000" w:themeColor="text1"/>
          <w:sz w:val="16"/>
          <w:szCs w:val="16"/>
        </w:rPr>
        <w:t xml:space="preserve">, в которых он по ошибке трижды сбрасывает бомбы через границу в США, повредив несколько зданий и уничтожив автомобиль в соседнем с </w:t>
      </w:r>
      <w:proofErr w:type="spellStart"/>
      <w:r w:rsidRPr="00A259BD">
        <w:rPr>
          <w:rFonts w:ascii="Times New Roman" w:hAnsi="Times New Roman"/>
          <w:color w:val="000000" w:themeColor="text1"/>
          <w:sz w:val="16"/>
          <w:szCs w:val="16"/>
        </w:rPr>
        <w:t>Нако</w:t>
      </w:r>
      <w:proofErr w:type="spellEnd"/>
      <w:r w:rsidRPr="00A259BD">
        <w:rPr>
          <w:rFonts w:ascii="Times New Roman" w:hAnsi="Times New Roman"/>
          <w:color w:val="000000" w:themeColor="text1"/>
          <w:sz w:val="16"/>
          <w:szCs w:val="16"/>
        </w:rPr>
        <w:t>, штат Аризона. Впервые в истории территория США подверглась воздушной бомбардировке иностранным самолетом (20806).</w:t>
      </w:r>
    </w:p>
    <w:p w14:paraId="07C28A7E" w14:textId="77777777" w:rsidR="00F4473A" w:rsidRPr="00A259BD" w:rsidRDefault="00F4473A" w:rsidP="009236E3">
      <w:pPr>
        <w:spacing w:after="0" w:line="240" w:lineRule="auto"/>
        <w:jc w:val="both"/>
        <w:rPr>
          <w:rFonts w:ascii="Times New Roman" w:hAnsi="Times New Roman"/>
          <w:color w:val="000000" w:themeColor="text1"/>
          <w:sz w:val="16"/>
          <w:szCs w:val="16"/>
        </w:rPr>
      </w:pPr>
    </w:p>
    <w:p w14:paraId="18B9D5F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C51F71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F810B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апреля 1929 состоялось второе заседание Техсовета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по рассмотрению проекта ТОМ </w:t>
      </w:r>
      <w:proofErr w:type="spellStart"/>
      <w:r w:rsidRPr="00A259BD">
        <w:rPr>
          <w:rFonts w:ascii="Times New Roman" w:hAnsi="Times New Roman"/>
          <w:color w:val="000000" w:themeColor="text1"/>
          <w:sz w:val="16"/>
          <w:szCs w:val="16"/>
        </w:rPr>
        <w:t>П.Ришара</w:t>
      </w:r>
      <w:proofErr w:type="spellEnd"/>
      <w:r w:rsidRPr="00A259BD">
        <w:rPr>
          <w:rFonts w:ascii="Times New Roman" w:hAnsi="Times New Roman"/>
          <w:color w:val="000000" w:themeColor="text1"/>
          <w:sz w:val="16"/>
          <w:szCs w:val="16"/>
        </w:rPr>
        <w:t>. Наши критиковали. Состав тот же. Решения так и не приняли и рассматривали снова 25 июня (2363).</w:t>
      </w:r>
    </w:p>
    <w:p w14:paraId="749354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0E9F72" w14:textId="77777777" w:rsidR="00154C41" w:rsidRPr="00A259BD" w:rsidRDefault="00154C41" w:rsidP="009236E3">
      <w:pPr>
        <w:pStyle w:val="rtejustify"/>
        <w:spacing w:before="0" w:after="0"/>
        <w:rPr>
          <w:color w:val="000000" w:themeColor="text1"/>
          <w:sz w:val="16"/>
          <w:szCs w:val="16"/>
        </w:rPr>
      </w:pPr>
      <w:r w:rsidRPr="00A259BD">
        <w:rPr>
          <w:rStyle w:val="af0"/>
          <w:i w:val="0"/>
          <w:color w:val="000000" w:themeColor="text1"/>
          <w:sz w:val="16"/>
          <w:szCs w:val="16"/>
        </w:rPr>
        <w:t xml:space="preserve">3 апреля </w:t>
      </w:r>
      <w:r w:rsidRPr="00A259BD">
        <w:rPr>
          <w:color w:val="000000" w:themeColor="text1"/>
          <w:sz w:val="16"/>
          <w:szCs w:val="16"/>
        </w:rPr>
        <w:t>1929 г</w:t>
      </w:r>
      <w:r w:rsidRPr="00A259BD">
        <w:rPr>
          <w:rStyle w:val="af0"/>
          <w:i w:val="0"/>
          <w:color w:val="000000" w:themeColor="text1"/>
          <w:sz w:val="16"/>
          <w:szCs w:val="16"/>
        </w:rPr>
        <w:t>. Протокол Реввоенсовета № 20.</w:t>
      </w:r>
      <w:r w:rsidRPr="00A259BD">
        <w:rPr>
          <w:color w:val="000000" w:themeColor="text1"/>
          <w:sz w:val="16"/>
          <w:szCs w:val="16"/>
        </w:rPr>
        <w:t xml:space="preserve"> 1. Опытное строительство в авиации. (Каменев С. С.). 6. О заказе АУ пехотных тачанок. (</w:t>
      </w:r>
      <w:proofErr w:type="spellStart"/>
      <w:r w:rsidRPr="00A259BD">
        <w:rPr>
          <w:color w:val="000000" w:themeColor="text1"/>
          <w:sz w:val="16"/>
          <w:szCs w:val="16"/>
        </w:rPr>
        <w:t>Павлуновский</w:t>
      </w:r>
      <w:proofErr w:type="spellEnd"/>
      <w:r w:rsidRPr="00A259BD">
        <w:rPr>
          <w:color w:val="000000" w:themeColor="text1"/>
          <w:sz w:val="16"/>
          <w:szCs w:val="16"/>
        </w:rPr>
        <w:t>). (РГВА. Ф. 4. Оп. 18. Д. 15. Л. 133, 135) (12342).</w:t>
      </w:r>
    </w:p>
    <w:p w14:paraId="7307BA31" w14:textId="77777777" w:rsidR="00154C41" w:rsidRPr="00A259BD" w:rsidRDefault="00154C41" w:rsidP="009236E3">
      <w:pPr>
        <w:pStyle w:val="rtejustify"/>
        <w:spacing w:before="0" w:after="0"/>
        <w:rPr>
          <w:color w:val="000000" w:themeColor="text1"/>
          <w:sz w:val="16"/>
          <w:szCs w:val="16"/>
        </w:rPr>
      </w:pPr>
    </w:p>
    <w:p w14:paraId="0A7EEB95" w14:textId="77777777" w:rsidR="00154C41"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2205752" w14:textId="77777777" w:rsidR="00154C41" w:rsidRPr="00A259BD" w:rsidRDefault="00154C4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DC2B45C" w14:textId="77777777" w:rsidR="00154C41" w:rsidRPr="00A259BD" w:rsidRDefault="00154C41"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3 апреля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ЦИК и СНК СССР о правах и обязанностях в военное время рабочих и служащих государственных, кооперативных и общественных предприятий и учреждений, имеющих особо важное значение для обороны страны (ГА РФ. Ф. Р?8418. Оп. 4. Д. 58. Л. 9?12) (12415).</w:t>
      </w:r>
    </w:p>
    <w:p w14:paraId="618E29E0" w14:textId="77777777" w:rsidR="00154C41" w:rsidRPr="00A259BD" w:rsidRDefault="00154C41" w:rsidP="009236E3">
      <w:pPr>
        <w:spacing w:after="0" w:line="240" w:lineRule="auto"/>
        <w:jc w:val="both"/>
        <w:rPr>
          <w:rFonts w:ascii="Times New Roman" w:hAnsi="Times New Roman"/>
          <w:color w:val="000000" w:themeColor="text1"/>
          <w:sz w:val="16"/>
          <w:szCs w:val="16"/>
          <w:u w:color="002060"/>
        </w:rPr>
      </w:pPr>
    </w:p>
    <w:p w14:paraId="25E96B57"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06C7B0D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5D7DF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апреля 1929 Персия присоединилась к протоколу Литвинова (3907,156).</w:t>
      </w:r>
    </w:p>
    <w:p w14:paraId="35A52E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E5782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A40380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B345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апреля 1929 закончились гос. испытания дублера И-4 АНТ-5 с Юпитер 6, которые проходили с 1 декабря 1928 (1017,161).</w:t>
      </w:r>
    </w:p>
    <w:p w14:paraId="047F41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F091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апреля 1929 ЦАГИ был предъявлен макет гидросамолета МДР-2 - дальнего морского разведчика - экспериментального, </w:t>
      </w:r>
      <w:proofErr w:type="spellStart"/>
      <w:r w:rsidRPr="00A259BD">
        <w:rPr>
          <w:rFonts w:ascii="Times New Roman" w:hAnsi="Times New Roman"/>
          <w:color w:val="000000" w:themeColor="text1"/>
          <w:sz w:val="16"/>
          <w:szCs w:val="16"/>
        </w:rPr>
        <w:t>однолодочного</w:t>
      </w:r>
      <w:proofErr w:type="spellEnd"/>
      <w:r w:rsidRPr="00A259BD">
        <w:rPr>
          <w:rFonts w:ascii="Times New Roman" w:hAnsi="Times New Roman"/>
          <w:color w:val="000000" w:themeColor="text1"/>
          <w:sz w:val="16"/>
          <w:szCs w:val="16"/>
        </w:rPr>
        <w:t xml:space="preserve"> с двумя БМВ-6 и крылом от Р-6 и 26 июля после доработок он был утвержден. (1076,885).</w:t>
      </w:r>
    </w:p>
    <w:p w14:paraId="481D0B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D4A16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апреля 1929 завод 22 (</w:t>
      </w:r>
      <w:proofErr w:type="spellStart"/>
      <w:r w:rsidRPr="00A259BD">
        <w:rPr>
          <w:rFonts w:ascii="Times New Roman" w:hAnsi="Times New Roman"/>
          <w:color w:val="000000" w:themeColor="text1"/>
          <w:sz w:val="16"/>
          <w:szCs w:val="16"/>
        </w:rPr>
        <w:t>дир</w:t>
      </w:r>
      <w:proofErr w:type="spellEnd"/>
      <w:r w:rsidRPr="00A259BD">
        <w:rPr>
          <w:rFonts w:ascii="Times New Roman" w:hAnsi="Times New Roman"/>
          <w:color w:val="000000" w:themeColor="text1"/>
          <w:sz w:val="16"/>
          <w:szCs w:val="16"/>
        </w:rPr>
        <w:t>. Ма, Зав. ОПО Артамонов) подготовил объяснительную записку N Ц2/661 к трехлетнему (1929-31) плану работ по опытному морскому самолетостроению.</w:t>
      </w:r>
    </w:p>
    <w:p w14:paraId="3E4A2D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ОПО-3 заканчивал постройку 2-х машин - РОМ-2 и МР-5</w:t>
      </w:r>
    </w:p>
    <w:p w14:paraId="3EC28D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1929/32 предполагали:</w:t>
      </w:r>
    </w:p>
    <w:p w14:paraId="48A859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Испытать МР-5 и РОМ-2 в августе 1929</w:t>
      </w:r>
    </w:p>
    <w:p w14:paraId="7D72BA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Проектировать деревянные лодки под МР-5 и МУ-2 в июне-июле 1929</w:t>
      </w:r>
    </w:p>
    <w:p w14:paraId="35637A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Модифицировать РОМ-2 и построить РОМ-2 бис цельнометаллический в июле 1930</w:t>
      </w:r>
    </w:p>
    <w:p w14:paraId="444CC0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Построить цельнометаллический МР-5 бис к маю 1930</w:t>
      </w:r>
    </w:p>
    <w:p w14:paraId="4F7628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Проектировать и строить РТОМ (</w:t>
      </w:r>
      <w:proofErr w:type="spellStart"/>
      <w:r w:rsidRPr="00A259BD">
        <w:rPr>
          <w:rFonts w:ascii="Times New Roman" w:hAnsi="Times New Roman"/>
          <w:color w:val="000000" w:themeColor="text1"/>
          <w:sz w:val="16"/>
          <w:szCs w:val="16"/>
        </w:rPr>
        <w:t>Ромар</w:t>
      </w:r>
      <w:proofErr w:type="spellEnd"/>
      <w:r w:rsidRPr="00A259BD">
        <w:rPr>
          <w:rFonts w:ascii="Times New Roman" w:hAnsi="Times New Roman"/>
          <w:color w:val="000000" w:themeColor="text1"/>
          <w:sz w:val="16"/>
          <w:szCs w:val="16"/>
        </w:rPr>
        <w:t xml:space="preserve"> металлический) с января 1930 и закончить постройку к апрелю 1931</w:t>
      </w:r>
    </w:p>
    <w:p w14:paraId="0304B3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Проектировать и строить морской истребитель катапультный (МИК) - цельнометаллический биплан на одном поплавке с конца 1930 для испытаний весной 1931</w:t>
      </w:r>
    </w:p>
    <w:p w14:paraId="665B60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Проектировать и строить ТОМ - цельнометаллическая </w:t>
      </w:r>
      <w:proofErr w:type="spellStart"/>
      <w:r w:rsidRPr="00A259BD">
        <w:rPr>
          <w:rFonts w:ascii="Times New Roman" w:hAnsi="Times New Roman"/>
          <w:color w:val="000000" w:themeColor="text1"/>
          <w:sz w:val="16"/>
          <w:szCs w:val="16"/>
        </w:rPr>
        <w:t>лл</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бипланного</w:t>
      </w:r>
      <w:proofErr w:type="spellEnd"/>
      <w:r w:rsidRPr="00A259BD">
        <w:rPr>
          <w:rFonts w:ascii="Times New Roman" w:hAnsi="Times New Roman"/>
          <w:color w:val="000000" w:themeColor="text1"/>
          <w:sz w:val="16"/>
          <w:szCs w:val="16"/>
        </w:rPr>
        <w:t xml:space="preserve"> типа с конца 1930 по июль 1931</w:t>
      </w:r>
    </w:p>
    <w:p w14:paraId="5A8958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Проектирование БОМ-1 металлического с 2 отечественными моторами с мая 1931 с выходом весной 1933</w:t>
      </w:r>
    </w:p>
    <w:p w14:paraId="622200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Проектирование МУ-2 бис с августа 1931 и испытание весной 1932</w:t>
      </w:r>
    </w:p>
    <w:p w14:paraId="4D85AA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Проектирование МИКЛ (МИК лодочного типа) с сентября 1931 с выходом весной 1933 (2365).</w:t>
      </w:r>
    </w:p>
    <w:p w14:paraId="1BE58F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B44497" w14:textId="77777777" w:rsidR="00154C41"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EB82841" w14:textId="77777777" w:rsidR="00154C41" w:rsidRPr="00A259BD" w:rsidRDefault="00154C4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9ECFF75" w14:textId="77777777" w:rsidR="00154C41" w:rsidRPr="00A259BD" w:rsidRDefault="00154C41"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4 апреля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xml:space="preserve">. Протокол заседания Политбюро ЦК ВКП(б) № 71. 31. О </w:t>
      </w:r>
      <w:proofErr w:type="spellStart"/>
      <w:r w:rsidRPr="00A259BD">
        <w:rPr>
          <w:rFonts w:ascii="Times New Roman" w:hAnsi="Times New Roman"/>
          <w:color w:val="000000" w:themeColor="text1"/>
          <w:sz w:val="16"/>
          <w:szCs w:val="16"/>
          <w:u w:color="002060"/>
        </w:rPr>
        <w:t>начснабе</w:t>
      </w:r>
      <w:proofErr w:type="spellEnd"/>
      <w:r w:rsidRPr="00A259BD">
        <w:rPr>
          <w:rFonts w:ascii="Times New Roman" w:hAnsi="Times New Roman"/>
          <w:color w:val="000000" w:themeColor="text1"/>
          <w:sz w:val="16"/>
          <w:szCs w:val="16"/>
          <w:u w:color="002060"/>
        </w:rPr>
        <w:t xml:space="preserve"> РККА (ПБ от 18 октября 1928 г., пр. № 47, п. 3). (Политбюро... Т. 1. С. 681) (12416).</w:t>
      </w:r>
    </w:p>
    <w:p w14:paraId="44110E09" w14:textId="77777777" w:rsidR="00154C41" w:rsidRPr="00A259BD" w:rsidRDefault="00154C41" w:rsidP="009236E3">
      <w:pPr>
        <w:spacing w:after="0" w:line="240" w:lineRule="auto"/>
        <w:jc w:val="both"/>
        <w:rPr>
          <w:rFonts w:ascii="Times New Roman" w:hAnsi="Times New Roman"/>
          <w:color w:val="000000" w:themeColor="text1"/>
          <w:sz w:val="16"/>
          <w:szCs w:val="16"/>
          <w:u w:color="002060"/>
        </w:rPr>
      </w:pPr>
    </w:p>
    <w:p w14:paraId="5D5443A3"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4 апреля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Политбюро ЦК ВКП (б) одобрило решение ВСНХ о постройке автозавода в районе Нижнего Новгорода (12265).</w:t>
      </w:r>
    </w:p>
    <w:p w14:paraId="04B3B24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7CCB6DD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341AA5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930D8B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5 апреля по 20 мая 1929 в НИИ ВВС проходили испытания самолета И-3 БМВ VI Z.</w:t>
      </w:r>
    </w:p>
    <w:p w14:paraId="51F5FFA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из дневника прохождения испытания самолета И-3 БМВ VI Z</w:t>
      </w:r>
    </w:p>
    <w:p w14:paraId="655C8A9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A3DD18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5 апреля по 20 мая 1929 в НИИ ВВС проходили испытания самолета И3-БМВVI, второго экз.</w:t>
      </w:r>
    </w:p>
    <w:p w14:paraId="209BAF2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Объяснительная записка по второму летному экземпляру самолета И3-БМВVIZ</w:t>
      </w:r>
    </w:p>
    <w:p w14:paraId="0F9B9B8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спроектирован и построен согласно техническим требованиям УВВС от 2 августа 1926 года, дополнения к ним от 7 сентября 1926 года и постановления Президиума НК УВВС от 4 ноября 1927 года.</w:t>
      </w:r>
    </w:p>
    <w:p w14:paraId="5FAB3A0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период заводских летных испытаний были проделаны все фигуры.</w:t>
      </w:r>
    </w:p>
    <w:p w14:paraId="46DDF52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Второй летный экземпляр самолета И3 в отношении конструкции и примененных материалов идентичен первому летному экземпляру и имеет лишь следующие отличия:</w:t>
      </w:r>
    </w:p>
    <w:p w14:paraId="4C12FED6"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Вместо мотора БМВVI поставлен мотор БМВVIZ.</w:t>
      </w:r>
    </w:p>
    <w:p w14:paraId="0FC72286"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Емкость главного бензинового бака увеличена на 50 кг за счет увеличения соответствующего отсека фюзеляжа.</w:t>
      </w:r>
    </w:p>
    <w:p w14:paraId="65842CC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1AB757D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прибыл в НИИ на испытание 14 марта 1928 года, а 13 апреля 1928 года сдан на ГАЗ № 1.</w:t>
      </w:r>
    </w:p>
    <w:p w14:paraId="06B1A2C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Основным недочетом самолета выявилась неустойчивость пути и еще 38 дефектов.</w:t>
      </w:r>
    </w:p>
    <w:p w14:paraId="67BDA32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апреля 1928 года на Президиуме НТК ВВС отмечено, что без устранения основного недостатка – неустойчивости пути, самолет не может быть допущен к серийной постройке.</w:t>
      </w:r>
    </w:p>
    <w:p w14:paraId="7129BFC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НИИ и конструктор самолета Поликарпов требовали, требовали прежде чем решать вопрос о серийной постройке самолета, </w:t>
      </w:r>
      <w:proofErr w:type="spellStart"/>
      <w:r w:rsidRPr="00A259BD">
        <w:rPr>
          <w:rFonts w:ascii="Times New Roman" w:hAnsi="Times New Roman"/>
          <w:color w:val="000000" w:themeColor="text1"/>
          <w:sz w:val="16"/>
          <w:szCs w:val="16"/>
        </w:rPr>
        <w:t>доиспытать</w:t>
      </w:r>
      <w:proofErr w:type="spellEnd"/>
      <w:r w:rsidRPr="00A259BD">
        <w:rPr>
          <w:rFonts w:ascii="Times New Roman" w:hAnsi="Times New Roman"/>
          <w:color w:val="000000" w:themeColor="text1"/>
          <w:sz w:val="16"/>
          <w:szCs w:val="16"/>
        </w:rPr>
        <w:t xml:space="preserve"> его в НИИ. Но в силу категорического заявления представителя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решено было передать самолет на завод немедленно. На этом испытание самолета в НИИ было закончено и 13 апреля 1928 года он был передан на завод.</w:t>
      </w:r>
    </w:p>
    <w:p w14:paraId="69AE10C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Прохождение испытаний второго экземпляра самолета И3 БМВ VI</w:t>
      </w:r>
    </w:p>
    <w:p w14:paraId="55C5741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прибыл в октябре 1928 года. До 13 ноября 1928 года было окончательно выявлено, что и на втором опытном экземпляре И3 не хватает руля глубины.</w:t>
      </w:r>
    </w:p>
    <w:p w14:paraId="13033DC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17 по 21 ноября 1928 года производилась установка новых рулей и испытание действия его. Испытания показали, что посадка на три точки при новом руле возможна.</w:t>
      </w:r>
    </w:p>
    <w:p w14:paraId="7E6576D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ноября 1928 года произошла порча мотора и 7 декабря 1928 года самолет был сдан на завод № 25 для исправления мотора.</w:t>
      </w:r>
    </w:p>
    <w:p w14:paraId="158E2DB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Вновь самолет прибыл в НИИ 5 апреля 1929 года и по 20 мая 1929 года находился в НИИ на испытании. Испытание закончено не было, так как 20 мая произошла авария самолета (6976).</w:t>
      </w:r>
    </w:p>
    <w:p w14:paraId="0A7CA41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апреля 1929 года – самолет получен с завода № 25. Произведен пробный полет.</w:t>
      </w:r>
    </w:p>
    <w:p w14:paraId="6AB0D62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апреля 1929 года – два полета на устойчивость и скороподъемность</w:t>
      </w:r>
    </w:p>
    <w:p w14:paraId="1D15A74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апреля 1929 года – полет для испытания скорости на мерном километре и 3 полета для испытания на посадку</w:t>
      </w:r>
    </w:p>
    <w:p w14:paraId="62BE752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апреля 1929 года – самолет переставлен с лыж на колеса</w:t>
      </w:r>
    </w:p>
    <w:p w14:paraId="3FA2364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апреля 1929 года – полет на потолок</w:t>
      </w:r>
    </w:p>
    <w:p w14:paraId="4D0865E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мая 1929 года – пробный полет на потолок</w:t>
      </w:r>
    </w:p>
    <w:p w14:paraId="563B412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мая 1929 года – полет на управляемость и фигуры</w:t>
      </w:r>
    </w:p>
    <w:p w14:paraId="3A3EC83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мая 1929 года – полет на </w:t>
      </w:r>
      <w:proofErr w:type="spellStart"/>
      <w:r w:rsidRPr="00A259BD">
        <w:rPr>
          <w:rFonts w:ascii="Times New Roman" w:hAnsi="Times New Roman"/>
          <w:color w:val="000000" w:themeColor="text1"/>
          <w:sz w:val="16"/>
          <w:szCs w:val="16"/>
        </w:rPr>
        <w:t>фотобазисе</w:t>
      </w:r>
      <w:proofErr w:type="spellEnd"/>
      <w:r w:rsidRPr="00A259BD">
        <w:rPr>
          <w:rFonts w:ascii="Times New Roman" w:hAnsi="Times New Roman"/>
          <w:color w:val="000000" w:themeColor="text1"/>
          <w:sz w:val="16"/>
          <w:szCs w:val="16"/>
        </w:rPr>
        <w:t xml:space="preserve"> на 2000 м, полет на управляемость на 1000 м</w:t>
      </w:r>
    </w:p>
    <w:p w14:paraId="15939A0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мая 1929 года – полет для определения крейсерской скорости и запаса горючего</w:t>
      </w:r>
    </w:p>
    <w:p w14:paraId="5A89EE2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мая 1929 года – полет на управляемость по высотам. Полет на перегрузки и полет для определения наименьшего угла планирования и три полета для определения времени и длины разбега и пробега.</w:t>
      </w:r>
    </w:p>
    <w:p w14:paraId="7881B9D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мая 1929 года – два полета на штопор по особой программе.</w:t>
      </w:r>
    </w:p>
    <w:p w14:paraId="23C4248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мая 1929 года – полет на штопор по особой программе.</w:t>
      </w:r>
    </w:p>
    <w:p w14:paraId="36B9652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мая 1929 года – полет на штопор и полет для определения пробега с остановленным винтом (6979).</w:t>
      </w:r>
    </w:p>
    <w:p w14:paraId="016B099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86708B"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 апреля 1929 г. в Москве на Центральном аэродроме 2-й опытный самолет И-3 с двигателем BMW VI 6,0z вновь предъявлен на Государственные испытания заводом №25 в НИИ ВВС РККА и в тот же день произведен пробный полет.</w:t>
      </w:r>
    </w:p>
    <w:p w14:paraId="3B984DDA"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12 апреля 1929 г. выполнено два полета на устойчивость и скороподъемность.</w:t>
      </w:r>
    </w:p>
    <w:p w14:paraId="5CEF775D"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 апреля 1929 г. выполнены полет на замер скорости на мерном километре и три полета на замер угла планирования, скорости захода на посадку и касания, длины и времени пробега. Испытания приостановлены из-за таяния снега.</w:t>
      </w:r>
    </w:p>
    <w:p w14:paraId="69C31C73"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25 апреля 1929 г. самолет переставлен с лыж на колеса.</w:t>
      </w:r>
    </w:p>
    <w:p w14:paraId="7D2756AB"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27 апреля 1929 г. выполнен первый полет на практический потолок.</w:t>
      </w:r>
    </w:p>
    <w:p w14:paraId="6934D7BA"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апрель 1929 г. программа Государственных испытаний самолета И-3 была выполнена НИИ ВВС на 40%.</w:t>
      </w:r>
    </w:p>
    <w:p w14:paraId="2B44F348"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 мая 1929 г. выполнен второй полет на практический потолок.</w:t>
      </w:r>
    </w:p>
    <w:p w14:paraId="0F35DC8A"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9 мая 1929 г. выполнен полет на оценку управляемости и фигуры высшего пилотажа.</w:t>
      </w:r>
    </w:p>
    <w:p w14:paraId="205A4345"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10 мая 1929 г. выполнен полет на замер максимальных скоростей на </w:t>
      </w:r>
      <w:proofErr w:type="spellStart"/>
      <w:r w:rsidRPr="00441F34">
        <w:rPr>
          <w:rFonts w:ascii="Times New Roman" w:hAnsi="Times New Roman"/>
          <w:color w:val="0070C0"/>
          <w:sz w:val="16"/>
          <w:szCs w:val="16"/>
        </w:rPr>
        <w:t>фотобазисе</w:t>
      </w:r>
      <w:proofErr w:type="spellEnd"/>
      <w:r w:rsidRPr="00441F34">
        <w:rPr>
          <w:rFonts w:ascii="Times New Roman" w:hAnsi="Times New Roman"/>
          <w:color w:val="0070C0"/>
          <w:sz w:val="16"/>
          <w:szCs w:val="16"/>
        </w:rPr>
        <w:t xml:space="preserve"> на 2000 м и полет на управляемость на высоте 1000 м.</w:t>
      </w:r>
    </w:p>
    <w:p w14:paraId="41D37D31"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 мая 1929 г. выполнен полет для определения крейсерской скорости и расхода горючего.</w:t>
      </w:r>
    </w:p>
    <w:p w14:paraId="69769372"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14 мая 1929 г. выполнены полет на управляемость по высотам, полет на перегрузки и полет для определения наименьшего угла планирования и три полета для определения времени и длины разбега и пробега.</w:t>
      </w:r>
    </w:p>
    <w:p w14:paraId="050363AB"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16 мая 1929 г. выполнены два полета на штопор по особой программе.</w:t>
      </w:r>
    </w:p>
    <w:p w14:paraId="6E135622"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18 мая 1929 г. выполнен один полет на штопор по особой программе.</w:t>
      </w:r>
    </w:p>
    <w:p w14:paraId="76DC4D56"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20 мая 1929 г. выполнен полет на штопор и полет для определения пробега с остановленным винтом, но в этот день Государственные испытания в НИИ ВВС 2-го опытного самолета И-3 прерваны из-за его аварии.</w:t>
      </w:r>
    </w:p>
    <w:p w14:paraId="7C8FC729"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ходе этого этапа испытаний выполнены все требуемые фигуры высшего пилотажа с замером их характеристик, но в целом программу успели выполнить лишь на 70%, и не было испытано вооружение (24887).</w:t>
      </w:r>
    </w:p>
    <w:p w14:paraId="32D877E4" w14:textId="77777777" w:rsidR="00292DF5" w:rsidRPr="00441F34" w:rsidRDefault="00292DF5" w:rsidP="00292DF5">
      <w:pPr>
        <w:spacing w:after="0" w:line="240" w:lineRule="auto"/>
        <w:jc w:val="both"/>
        <w:rPr>
          <w:rFonts w:ascii="Times New Roman" w:hAnsi="Times New Roman"/>
          <w:color w:val="0070C0"/>
          <w:sz w:val="16"/>
          <w:szCs w:val="16"/>
        </w:rPr>
      </w:pPr>
    </w:p>
    <w:p w14:paraId="025B15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апреля 1929 Реввоенсовет отменил приказ правления треста издало о прекращении работы над мотором Киреева. Проект Киреева за это время довольно существенно изменился. Диаметр цилиндра увеличился, так же как ход поршня. Предусматривался наддув от ПЦН, а впоследствии от турбонагнетателя. В дальнейшем Киреев хотел перейти на </w:t>
      </w:r>
      <w:proofErr w:type="spellStart"/>
      <w:r w:rsidRPr="00A259BD">
        <w:rPr>
          <w:rFonts w:ascii="Times New Roman" w:hAnsi="Times New Roman"/>
          <w:color w:val="000000" w:themeColor="text1"/>
          <w:sz w:val="16"/>
          <w:szCs w:val="16"/>
        </w:rPr>
        <w:t>пятиклапанные</w:t>
      </w:r>
      <w:proofErr w:type="spellEnd"/>
      <w:r w:rsidRPr="00A259BD">
        <w:rPr>
          <w:rFonts w:ascii="Times New Roman" w:hAnsi="Times New Roman"/>
          <w:color w:val="000000" w:themeColor="text1"/>
          <w:sz w:val="16"/>
          <w:szCs w:val="16"/>
        </w:rPr>
        <w:t xml:space="preserve"> головки цилиндров. Даже без турбонаддува, по расчетам, мотор должен был развить мощность 950 л.с. Характеристики:</w:t>
      </w:r>
    </w:p>
    <w:p w14:paraId="7B6446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12-цилиндровый, рядный У-образный, четырехтактный, водяного</w:t>
      </w:r>
    </w:p>
    <w:p w14:paraId="50ED38E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охлаждения, редукторный;</w:t>
      </w:r>
    </w:p>
    <w:p w14:paraId="37AC43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 ПЦН (в окончательном варианте);</w:t>
      </w:r>
    </w:p>
    <w:p w14:paraId="66B188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диаметр цилиндра/ход поршня 132/180 мм (позднее 166,5/230 мм);</w:t>
      </w:r>
    </w:p>
    <w:p w14:paraId="43D73A6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степень сжатия 5,7 (альтернативно 6,2);</w:t>
      </w:r>
    </w:p>
    <w:p w14:paraId="32E99F9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мощность исходно 600 л.с. (позднее 800 л.с. и 950 л.с.) (11852).</w:t>
      </w:r>
    </w:p>
    <w:p w14:paraId="479D74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968E5F"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апреля 1929 г. </w:t>
      </w:r>
      <w:proofErr w:type="spellStart"/>
      <w:r w:rsidRPr="00A259BD">
        <w:rPr>
          <w:rFonts w:ascii="Times New Roman" w:hAnsi="Times New Roman"/>
          <w:color w:val="000000" w:themeColor="text1"/>
          <w:sz w:val="16"/>
          <w:szCs w:val="16"/>
        </w:rPr>
        <w:t>Я.Алкснис</w:t>
      </w:r>
      <w:proofErr w:type="spellEnd"/>
      <w:r w:rsidRPr="00A259BD">
        <w:rPr>
          <w:rFonts w:ascii="Times New Roman" w:hAnsi="Times New Roman"/>
          <w:color w:val="000000" w:themeColor="text1"/>
          <w:sz w:val="16"/>
          <w:szCs w:val="16"/>
        </w:rPr>
        <w:t xml:space="preserve"> писал начальнику ВВС </w:t>
      </w:r>
      <w:proofErr w:type="spellStart"/>
      <w:r w:rsidRPr="00A259BD">
        <w:rPr>
          <w:rFonts w:ascii="Times New Roman" w:hAnsi="Times New Roman"/>
          <w:color w:val="000000" w:themeColor="text1"/>
          <w:sz w:val="16"/>
          <w:szCs w:val="16"/>
        </w:rPr>
        <w:t>П.И.Бара</w:t>
      </w:r>
      <w:r w:rsidRPr="00A259BD">
        <w:rPr>
          <w:rFonts w:ascii="Times New Roman" w:hAnsi="Times New Roman"/>
          <w:color w:val="000000" w:themeColor="text1"/>
          <w:sz w:val="16"/>
          <w:szCs w:val="16"/>
        </w:rPr>
        <w:softHyphen/>
        <w:t>нову</w:t>
      </w:r>
      <w:proofErr w:type="spellEnd"/>
      <w:r w:rsidRPr="00A259BD">
        <w:rPr>
          <w:rFonts w:ascii="Times New Roman" w:hAnsi="Times New Roman"/>
          <w:color w:val="000000" w:themeColor="text1"/>
          <w:sz w:val="16"/>
          <w:szCs w:val="16"/>
        </w:rPr>
        <w:t>: «Мне до черта надоело... Если Хейнкель на уступки не пойдет — вручу уль</w:t>
      </w:r>
      <w:r w:rsidRPr="00A259BD">
        <w:rPr>
          <w:rFonts w:ascii="Times New Roman" w:hAnsi="Times New Roman"/>
          <w:color w:val="000000" w:themeColor="text1"/>
          <w:sz w:val="16"/>
          <w:szCs w:val="16"/>
        </w:rPr>
        <w:softHyphen/>
        <w:t>тиматум и уеду в Москву». Ну, а Хейнкель то</w:t>
      </w:r>
      <w:r w:rsidRPr="00A259BD">
        <w:rPr>
          <w:rFonts w:ascii="Times New Roman" w:hAnsi="Times New Roman"/>
          <w:color w:val="000000" w:themeColor="text1"/>
          <w:sz w:val="16"/>
          <w:szCs w:val="16"/>
        </w:rPr>
        <w:softHyphen/>
        <w:t>же по-своему был недоволен требовательны</w:t>
      </w:r>
      <w:r w:rsidRPr="00A259BD">
        <w:rPr>
          <w:rFonts w:ascii="Times New Roman" w:hAnsi="Times New Roman"/>
          <w:color w:val="000000" w:themeColor="text1"/>
          <w:sz w:val="16"/>
          <w:szCs w:val="16"/>
        </w:rPr>
        <w:softHyphen/>
        <w:t>ми заказчиками, чего стоят его слова о плохо преодолеваемой неприязни. Впрочем, вот еще одно его откровение о непосредственном из</w:t>
      </w:r>
      <w:r w:rsidRPr="00A259BD">
        <w:rPr>
          <w:rFonts w:ascii="Times New Roman" w:hAnsi="Times New Roman"/>
          <w:color w:val="000000" w:themeColor="text1"/>
          <w:sz w:val="16"/>
          <w:szCs w:val="16"/>
        </w:rPr>
        <w:softHyphen/>
        <w:t>готовлении самолетов Н0.55:</w:t>
      </w:r>
    </w:p>
    <w:p w14:paraId="70E0D1A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«...Через четыре дня ко мне приехали пред</w:t>
      </w:r>
      <w:r w:rsidRPr="00A259BD">
        <w:rPr>
          <w:rFonts w:ascii="Times New Roman" w:hAnsi="Times New Roman"/>
          <w:color w:val="000000" w:themeColor="text1"/>
          <w:sz w:val="16"/>
          <w:szCs w:val="16"/>
        </w:rPr>
        <w:softHyphen/>
        <w:t>ставители заказчика. Среди них был Тулу</w:t>
      </w:r>
      <w:r w:rsidRPr="00A259BD">
        <w:rPr>
          <w:rFonts w:ascii="Times New Roman" w:hAnsi="Times New Roman"/>
          <w:color w:val="000000" w:themeColor="text1"/>
          <w:sz w:val="16"/>
          <w:szCs w:val="16"/>
        </w:rPr>
        <w:softHyphen/>
        <w:t>пов - бывший царский офицер (представи</w:t>
      </w:r>
      <w:r w:rsidRPr="00A259BD">
        <w:rPr>
          <w:rFonts w:ascii="Times New Roman" w:hAnsi="Times New Roman"/>
          <w:color w:val="000000" w:themeColor="text1"/>
          <w:sz w:val="16"/>
          <w:szCs w:val="16"/>
        </w:rPr>
        <w:softHyphen/>
        <w:t xml:space="preserve">тель НТК УВВС </w:t>
      </w:r>
      <w:proofErr w:type="spellStart"/>
      <w:r w:rsidRPr="00A259BD">
        <w:rPr>
          <w:rFonts w:ascii="Times New Roman" w:hAnsi="Times New Roman"/>
          <w:color w:val="000000" w:themeColor="text1"/>
          <w:sz w:val="16"/>
          <w:szCs w:val="16"/>
        </w:rPr>
        <w:t>Н.М.Тулупов</w:t>
      </w:r>
      <w:proofErr w:type="spellEnd"/>
      <w:r w:rsidRPr="00A259BD">
        <w:rPr>
          <w:rFonts w:ascii="Times New Roman" w:hAnsi="Times New Roman"/>
          <w:color w:val="000000" w:themeColor="text1"/>
          <w:sz w:val="16"/>
          <w:szCs w:val="16"/>
        </w:rPr>
        <w:t>. - М.М.). За</w:t>
      </w:r>
      <w:r w:rsidRPr="00A259BD">
        <w:rPr>
          <w:rFonts w:ascii="Times New Roman" w:hAnsi="Times New Roman"/>
          <w:color w:val="000000" w:themeColor="text1"/>
          <w:sz w:val="16"/>
          <w:szCs w:val="16"/>
        </w:rPr>
        <w:softHyphen/>
        <w:t>нимавшийся у меня вопросами производст</w:t>
      </w:r>
      <w:r w:rsidRPr="00A259BD">
        <w:rPr>
          <w:rFonts w:ascii="Times New Roman" w:hAnsi="Times New Roman"/>
          <w:color w:val="000000" w:themeColor="text1"/>
          <w:sz w:val="16"/>
          <w:szCs w:val="16"/>
        </w:rPr>
        <w:softHyphen/>
        <w:t xml:space="preserve">ва </w:t>
      </w:r>
      <w:proofErr w:type="spellStart"/>
      <w:r w:rsidRPr="00A259BD">
        <w:rPr>
          <w:rFonts w:ascii="Times New Roman" w:hAnsi="Times New Roman"/>
          <w:color w:val="000000" w:themeColor="text1"/>
          <w:sz w:val="16"/>
          <w:szCs w:val="16"/>
        </w:rPr>
        <w:t>Клейннейр</w:t>
      </w:r>
      <w:proofErr w:type="spellEnd"/>
      <w:r w:rsidRPr="00A259BD">
        <w:rPr>
          <w:rFonts w:ascii="Times New Roman" w:hAnsi="Times New Roman"/>
          <w:color w:val="000000" w:themeColor="text1"/>
          <w:sz w:val="16"/>
          <w:szCs w:val="16"/>
        </w:rPr>
        <w:t xml:space="preserve"> пришел ко мне на следующий день весь красный от возмущения.</w:t>
      </w:r>
    </w:p>
    <w:p w14:paraId="7BD84A09" w14:textId="77777777" w:rsidR="00154C41" w:rsidRPr="00A259BD" w:rsidRDefault="00154C41" w:rsidP="009236E3">
      <w:pPr>
        <w:tabs>
          <w:tab w:val="left" w:pos="376"/>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rPr>
        <w:tab/>
        <w:t>Подумать только! — кричал он. — Каждое темное пятно на древесине они требуют уда</w:t>
      </w:r>
      <w:r w:rsidRPr="00A259BD">
        <w:rPr>
          <w:rFonts w:ascii="Times New Roman" w:hAnsi="Times New Roman"/>
          <w:color w:val="000000" w:themeColor="text1"/>
          <w:sz w:val="16"/>
          <w:szCs w:val="16"/>
        </w:rPr>
        <w:softHyphen/>
        <w:t>лить. Роются в куче отходов, чтобы убедить</w:t>
      </w:r>
      <w:r w:rsidRPr="00A259BD">
        <w:rPr>
          <w:rFonts w:ascii="Times New Roman" w:hAnsi="Times New Roman"/>
          <w:color w:val="000000" w:themeColor="text1"/>
          <w:sz w:val="16"/>
          <w:szCs w:val="16"/>
        </w:rPr>
        <w:softHyphen/>
        <w:t>ся, выбросили мы бракованные детали или нет. Такой мелочной опеки мои люди не по</w:t>
      </w:r>
      <w:r w:rsidRPr="00A259BD">
        <w:rPr>
          <w:rFonts w:ascii="Times New Roman" w:hAnsi="Times New Roman"/>
          <w:color w:val="000000" w:themeColor="text1"/>
          <w:sz w:val="16"/>
          <w:szCs w:val="16"/>
        </w:rPr>
        <w:softHyphen/>
        <w:t>терпят!</w:t>
      </w:r>
    </w:p>
    <w:p w14:paraId="339D2F0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Пришлось ему объяснять, что такая заба</w:t>
      </w:r>
      <w:r w:rsidRPr="00A259BD">
        <w:rPr>
          <w:rFonts w:ascii="Times New Roman" w:hAnsi="Times New Roman"/>
          <w:color w:val="000000" w:themeColor="text1"/>
          <w:sz w:val="16"/>
          <w:szCs w:val="16"/>
        </w:rPr>
        <w:softHyphen/>
        <w:t>стовка со стороны рабочих может сорвать за</w:t>
      </w:r>
      <w:r w:rsidRPr="00A259BD">
        <w:rPr>
          <w:rFonts w:ascii="Times New Roman" w:hAnsi="Times New Roman"/>
          <w:color w:val="000000" w:themeColor="text1"/>
          <w:sz w:val="16"/>
          <w:szCs w:val="16"/>
        </w:rPr>
        <w:softHyphen/>
        <w:t>каз, а это грозит мне неустойкой.</w:t>
      </w:r>
    </w:p>
    <w:p w14:paraId="3022382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Работа должна продолжаться, и требова</w:t>
      </w:r>
      <w:r w:rsidRPr="00A259BD">
        <w:rPr>
          <w:rFonts w:ascii="Times New Roman" w:hAnsi="Times New Roman"/>
          <w:color w:val="000000" w:themeColor="text1"/>
          <w:sz w:val="16"/>
          <w:szCs w:val="16"/>
        </w:rPr>
        <w:softHyphen/>
        <w:t>ния русских необходимо выполнять.</w:t>
      </w:r>
    </w:p>
    <w:p w14:paraId="2BD1C9E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Когда заказ был выполнен, в течение двух недель русские проводили испытания ката</w:t>
      </w:r>
      <w:r w:rsidRPr="00A259BD">
        <w:rPr>
          <w:rFonts w:ascii="Times New Roman" w:hAnsi="Times New Roman"/>
          <w:color w:val="000000" w:themeColor="text1"/>
          <w:sz w:val="16"/>
          <w:szCs w:val="16"/>
        </w:rPr>
        <w:softHyphen/>
        <w:t xml:space="preserve">пульты в нашем присутствии. Убедившись, что все нормально, они начали ее разбирать и укладывать в заранее привезенные </w:t>
      </w:r>
      <w:proofErr w:type="spellStart"/>
      <w:r w:rsidRPr="00A259BD">
        <w:rPr>
          <w:rFonts w:ascii="Times New Roman" w:hAnsi="Times New Roman"/>
          <w:color w:val="000000" w:themeColor="text1"/>
          <w:sz w:val="16"/>
          <w:szCs w:val="16"/>
        </w:rPr>
        <w:t>яшики</w:t>
      </w:r>
      <w:proofErr w:type="spellEnd"/>
      <w:r w:rsidRPr="00A259BD">
        <w:rPr>
          <w:rFonts w:ascii="Times New Roman" w:hAnsi="Times New Roman"/>
          <w:color w:val="000000" w:themeColor="text1"/>
          <w:sz w:val="16"/>
          <w:szCs w:val="16"/>
        </w:rPr>
        <w:t>. Полтора месяца я не имел никаких известий о нашем гидросамолете и катапульте.</w:t>
      </w:r>
    </w:p>
    <w:p w14:paraId="2A3B5532"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Внезапно у нас появился Алкснис.</w:t>
      </w:r>
    </w:p>
    <w:p w14:paraId="4140346F" w14:textId="77777777" w:rsidR="00154C41" w:rsidRPr="00A259BD" w:rsidRDefault="00154C41" w:rsidP="009236E3">
      <w:pPr>
        <w:tabs>
          <w:tab w:val="left" w:pos="340"/>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rPr>
        <w:tab/>
        <w:t>Летающая лодка хорошая, — сказал он. — Вы получите заказ на изготовление двадцати гидросамолетов.</w:t>
      </w:r>
    </w:p>
    <w:p w14:paraId="572854E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Мне сначала показалось, что неправильно переведена цифра. Сколько существует мое предприятие, я еще не получал такого зака</w:t>
      </w:r>
      <w:r w:rsidRPr="00A259BD">
        <w:rPr>
          <w:rFonts w:ascii="Times New Roman" w:hAnsi="Times New Roman"/>
          <w:color w:val="000000" w:themeColor="text1"/>
          <w:sz w:val="16"/>
          <w:szCs w:val="16"/>
        </w:rPr>
        <w:softHyphen/>
        <w:t>за. Но нет, цифра оказалась правильной. Я хорошо представлял все технические труд</w:t>
      </w:r>
      <w:r w:rsidRPr="00A259BD">
        <w:rPr>
          <w:rFonts w:ascii="Times New Roman" w:hAnsi="Times New Roman"/>
          <w:color w:val="000000" w:themeColor="text1"/>
          <w:sz w:val="16"/>
          <w:szCs w:val="16"/>
        </w:rPr>
        <w:softHyphen/>
        <w:t>ности, с которыми связано серийное произ</w:t>
      </w:r>
      <w:r w:rsidRPr="00A259BD">
        <w:rPr>
          <w:rFonts w:ascii="Times New Roman" w:hAnsi="Times New Roman"/>
          <w:color w:val="000000" w:themeColor="text1"/>
          <w:sz w:val="16"/>
          <w:szCs w:val="16"/>
        </w:rPr>
        <w:softHyphen/>
        <w:t>водство. Решил полюбопытствовать насчет контроля:</w:t>
      </w:r>
    </w:p>
    <w:p w14:paraId="414ED054" w14:textId="77777777" w:rsidR="00154C41" w:rsidRPr="00A259BD" w:rsidRDefault="00154C41" w:rsidP="009236E3">
      <w:pPr>
        <w:tabs>
          <w:tab w:val="left" w:pos="402"/>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rPr>
        <w:tab/>
        <w:t>Над всем этим заказом вы будете осу</w:t>
      </w:r>
      <w:r w:rsidRPr="00A259BD">
        <w:rPr>
          <w:rFonts w:ascii="Times New Roman" w:hAnsi="Times New Roman"/>
          <w:color w:val="000000" w:themeColor="text1"/>
          <w:sz w:val="16"/>
          <w:szCs w:val="16"/>
        </w:rPr>
        <w:softHyphen/>
        <w:t>ществлять надзор?</w:t>
      </w:r>
    </w:p>
    <w:p w14:paraId="079B0441" w14:textId="77777777" w:rsidR="00154C41" w:rsidRPr="00A259BD" w:rsidRDefault="00154C41" w:rsidP="009236E3">
      <w:pPr>
        <w:tabs>
          <w:tab w:val="left" w:pos="362"/>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rPr>
        <w:tab/>
        <w:t>Конечно, — ответил Алкснис. — Большое количество самолетов потребует большого количества приемщиков.</w:t>
      </w:r>
    </w:p>
    <w:p w14:paraId="60FEEE0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Снова приехал Тулупов и его четверка с це</w:t>
      </w:r>
      <w:r w:rsidRPr="00A259BD">
        <w:rPr>
          <w:rFonts w:ascii="Times New Roman" w:hAnsi="Times New Roman"/>
          <w:color w:val="000000" w:themeColor="text1"/>
          <w:sz w:val="16"/>
          <w:szCs w:val="16"/>
        </w:rPr>
        <w:softHyphen/>
        <w:t>лой свитой других представителей. С перво</w:t>
      </w:r>
      <w:r w:rsidRPr="00A259BD">
        <w:rPr>
          <w:rFonts w:ascii="Times New Roman" w:hAnsi="Times New Roman"/>
          <w:color w:val="000000" w:themeColor="text1"/>
          <w:sz w:val="16"/>
          <w:szCs w:val="16"/>
        </w:rPr>
        <w:softHyphen/>
        <w:t>го же дня, когда мы приступили к изготовле</w:t>
      </w:r>
      <w:r w:rsidRPr="00A259BD">
        <w:rPr>
          <w:rFonts w:ascii="Times New Roman" w:hAnsi="Times New Roman"/>
          <w:color w:val="000000" w:themeColor="text1"/>
          <w:sz w:val="16"/>
          <w:szCs w:val="16"/>
        </w:rPr>
        <w:softHyphen/>
        <w:t>нию заказа, они стали осуществлять надзор.</w:t>
      </w:r>
    </w:p>
    <w:p w14:paraId="2EFD85A4"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...Русские, сами не сознавая этого, оказа</w:t>
      </w:r>
      <w:r w:rsidRPr="00A259BD">
        <w:rPr>
          <w:rFonts w:ascii="Times New Roman" w:hAnsi="Times New Roman"/>
          <w:color w:val="000000" w:themeColor="text1"/>
          <w:sz w:val="16"/>
          <w:szCs w:val="16"/>
        </w:rPr>
        <w:softHyphen/>
        <w:t>ли мне хорошую услугу, выполняя работу за моих людей. Они сами контролировали каче</w:t>
      </w:r>
      <w:r w:rsidRPr="00A259BD">
        <w:rPr>
          <w:rFonts w:ascii="Times New Roman" w:hAnsi="Times New Roman"/>
          <w:color w:val="000000" w:themeColor="text1"/>
          <w:sz w:val="16"/>
          <w:szCs w:val="16"/>
        </w:rPr>
        <w:softHyphen/>
        <w:t>ство материала, идущего на изготовление ле</w:t>
      </w:r>
      <w:r w:rsidRPr="00A259BD">
        <w:rPr>
          <w:rFonts w:ascii="Times New Roman" w:hAnsi="Times New Roman"/>
          <w:color w:val="000000" w:themeColor="text1"/>
          <w:sz w:val="16"/>
          <w:szCs w:val="16"/>
        </w:rPr>
        <w:softHyphen/>
        <w:t>тающих лодок. Мне не понадобилось тратить на это свои деньги. Весь материал принимал</w:t>
      </w:r>
      <w:r w:rsidRPr="00A259BD">
        <w:rPr>
          <w:rFonts w:ascii="Times New Roman" w:hAnsi="Times New Roman"/>
          <w:color w:val="000000" w:themeColor="text1"/>
          <w:sz w:val="16"/>
          <w:szCs w:val="16"/>
        </w:rPr>
        <w:softHyphen/>
        <w:t>ся заказчиком с гораздо большей тщательно</w:t>
      </w:r>
      <w:r w:rsidRPr="00A259BD">
        <w:rPr>
          <w:rFonts w:ascii="Times New Roman" w:hAnsi="Times New Roman"/>
          <w:color w:val="000000" w:themeColor="text1"/>
          <w:sz w:val="16"/>
          <w:szCs w:val="16"/>
        </w:rPr>
        <w:softHyphen/>
        <w:t>стью и быстро.</w:t>
      </w:r>
    </w:p>
    <w:p w14:paraId="4EFC9FE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...Как трудно переносить надзор, я вскоре уже испытал на себе. Первую построенную лодку русские попросили взвесить. Я дал со</w:t>
      </w:r>
      <w:r w:rsidRPr="00A259BD">
        <w:rPr>
          <w:rFonts w:ascii="Times New Roman" w:hAnsi="Times New Roman"/>
          <w:color w:val="000000" w:themeColor="text1"/>
          <w:sz w:val="16"/>
          <w:szCs w:val="16"/>
        </w:rPr>
        <w:softHyphen/>
        <w:t>ответствующее распоряжение. Через полча</w:t>
      </w:r>
      <w:r w:rsidRPr="00A259BD">
        <w:rPr>
          <w:rFonts w:ascii="Times New Roman" w:hAnsi="Times New Roman"/>
          <w:color w:val="000000" w:themeColor="text1"/>
          <w:sz w:val="16"/>
          <w:szCs w:val="16"/>
        </w:rPr>
        <w:softHyphen/>
        <w:t>са ко мне пришел Тулупов со своим помощ</w:t>
      </w:r>
      <w:r w:rsidRPr="00A259BD">
        <w:rPr>
          <w:rFonts w:ascii="Times New Roman" w:hAnsi="Times New Roman"/>
          <w:color w:val="000000" w:themeColor="text1"/>
          <w:sz w:val="16"/>
          <w:szCs w:val="16"/>
        </w:rPr>
        <w:softHyphen/>
        <w:t>ником. У обоих были мрачные лица. Вес лод</w:t>
      </w:r>
      <w:r w:rsidRPr="00A259BD">
        <w:rPr>
          <w:rFonts w:ascii="Times New Roman" w:hAnsi="Times New Roman"/>
          <w:color w:val="000000" w:themeColor="text1"/>
          <w:sz w:val="16"/>
          <w:szCs w:val="16"/>
        </w:rPr>
        <w:softHyphen/>
        <w:t>ки оказался на два килограмма больше, чем это предусматривалось заказом. Я сказал им, что не могу строить летающие лодки с точно</w:t>
      </w:r>
      <w:r w:rsidRPr="00A259BD">
        <w:rPr>
          <w:rFonts w:ascii="Times New Roman" w:hAnsi="Times New Roman"/>
          <w:color w:val="000000" w:themeColor="text1"/>
          <w:sz w:val="16"/>
          <w:szCs w:val="16"/>
        </w:rPr>
        <w:softHyphen/>
        <w:t>стью до килограмма. И потом, два килограм</w:t>
      </w:r>
      <w:r w:rsidRPr="00A259BD">
        <w:rPr>
          <w:rFonts w:ascii="Times New Roman" w:hAnsi="Times New Roman"/>
          <w:color w:val="000000" w:themeColor="text1"/>
          <w:sz w:val="16"/>
          <w:szCs w:val="16"/>
        </w:rPr>
        <w:softHyphen/>
        <w:t>ма не такой уж большой вес. Тулупов достал из кармана копию договора.</w:t>
      </w:r>
    </w:p>
    <w:p w14:paraId="4C8FF52E" w14:textId="77777777" w:rsidR="00154C41" w:rsidRPr="00A259BD" w:rsidRDefault="00154C41" w:rsidP="009236E3">
      <w:pPr>
        <w:tabs>
          <w:tab w:val="left" w:pos="369"/>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rPr>
        <w:tab/>
        <w:t>Вот здесь указано, — показал он пальцем, — за килограмм лишнего веса штраф, за два еще больший. Договор это или нет?</w:t>
      </w:r>
    </w:p>
    <w:p w14:paraId="49BDB463"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Дело принимало неприятный оборот. Мой восторг к русским методам работы сразу остыл. Пришлось вызывать </w:t>
      </w:r>
      <w:proofErr w:type="spellStart"/>
      <w:r w:rsidRPr="00A259BD">
        <w:rPr>
          <w:rFonts w:ascii="Times New Roman" w:hAnsi="Times New Roman"/>
          <w:color w:val="000000" w:themeColor="text1"/>
          <w:sz w:val="16"/>
          <w:szCs w:val="16"/>
        </w:rPr>
        <w:t>Клейннейра</w:t>
      </w:r>
      <w:proofErr w:type="spellEnd"/>
      <w:r w:rsidRPr="00A259BD">
        <w:rPr>
          <w:rFonts w:ascii="Times New Roman" w:hAnsi="Times New Roman"/>
          <w:color w:val="000000" w:themeColor="text1"/>
          <w:sz w:val="16"/>
          <w:szCs w:val="16"/>
        </w:rPr>
        <w:t>.</w:t>
      </w:r>
    </w:p>
    <w:p w14:paraId="0DBE092B"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rPr>
        <w:tab/>
        <w:t>Что происходит? - спросил я его. - Как хотите, но следующая машина должна быть до граммов точной. Я не намерен платить дальше штрафы.</w:t>
      </w:r>
    </w:p>
    <w:p w14:paraId="4E7269DF"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Через два дня ко мне пришел Тулупов. Вид у него был спокойный.</w:t>
      </w:r>
    </w:p>
    <w:p w14:paraId="16547325" w14:textId="77777777" w:rsidR="00154C41" w:rsidRPr="00A259BD" w:rsidRDefault="00154C41" w:rsidP="009236E3">
      <w:pPr>
        <w:tabs>
          <w:tab w:val="left" w:pos="373"/>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rPr>
        <w:tab/>
        <w:t>Шестой самолет правильный, никакого штрафа.</w:t>
      </w:r>
    </w:p>
    <w:p w14:paraId="40D211D5"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Я отлично понимал, что первая машина не </w:t>
      </w:r>
      <w:proofErr w:type="spellStart"/>
      <w:r w:rsidRPr="00A259BD">
        <w:rPr>
          <w:rFonts w:ascii="Times New Roman" w:hAnsi="Times New Roman"/>
          <w:color w:val="000000" w:themeColor="text1"/>
          <w:sz w:val="16"/>
          <w:szCs w:val="16"/>
        </w:rPr>
        <w:t>чогла</w:t>
      </w:r>
      <w:proofErr w:type="spellEnd"/>
      <w:r w:rsidRPr="00A259BD">
        <w:rPr>
          <w:rFonts w:ascii="Times New Roman" w:hAnsi="Times New Roman"/>
          <w:color w:val="000000" w:themeColor="text1"/>
          <w:sz w:val="16"/>
          <w:szCs w:val="16"/>
        </w:rPr>
        <w:t xml:space="preserve"> оказаться белой вороной. Точного ве</w:t>
      </w:r>
      <w:r w:rsidRPr="00A259BD">
        <w:rPr>
          <w:rFonts w:ascii="Times New Roman" w:hAnsi="Times New Roman"/>
          <w:color w:val="000000" w:themeColor="text1"/>
          <w:sz w:val="16"/>
          <w:szCs w:val="16"/>
        </w:rPr>
        <w:softHyphen/>
        <w:t>са практически невозможно добиться. Ког-</w:t>
      </w:r>
    </w:p>
    <w:p w14:paraId="5602E57B"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следующие экземпляры стали иметь пора- </w:t>
      </w:r>
      <w:proofErr w:type="spellStart"/>
      <w:r w:rsidRPr="00A259BD">
        <w:rPr>
          <w:rFonts w:ascii="Times New Roman" w:hAnsi="Times New Roman"/>
          <w:color w:val="000000" w:themeColor="text1"/>
          <w:sz w:val="16"/>
          <w:szCs w:val="16"/>
        </w:rPr>
        <w:t>жтельно</w:t>
      </w:r>
      <w:proofErr w:type="spellEnd"/>
      <w:r w:rsidRPr="00A259BD">
        <w:rPr>
          <w:rFonts w:ascii="Times New Roman" w:hAnsi="Times New Roman"/>
          <w:color w:val="000000" w:themeColor="text1"/>
          <w:sz w:val="16"/>
          <w:szCs w:val="16"/>
        </w:rPr>
        <w:t xml:space="preserve"> точный вес, я вызвал </w:t>
      </w:r>
      <w:proofErr w:type="spellStart"/>
      <w:r w:rsidRPr="00A259BD">
        <w:rPr>
          <w:rFonts w:ascii="Times New Roman" w:hAnsi="Times New Roman"/>
          <w:color w:val="000000" w:themeColor="text1"/>
          <w:sz w:val="16"/>
          <w:szCs w:val="16"/>
        </w:rPr>
        <w:t>Клейннейра</w:t>
      </w:r>
      <w:proofErr w:type="spellEnd"/>
      <w:r w:rsidRPr="00A259BD">
        <w:rPr>
          <w:rFonts w:ascii="Times New Roman" w:hAnsi="Times New Roman"/>
          <w:color w:val="000000" w:themeColor="text1"/>
          <w:sz w:val="16"/>
          <w:szCs w:val="16"/>
        </w:rPr>
        <w:t xml:space="preserve"> и спросил его:</w:t>
      </w:r>
    </w:p>
    <w:p w14:paraId="482A7600" w14:textId="77777777" w:rsidR="00154C41" w:rsidRPr="00A259BD" w:rsidRDefault="00154C41" w:rsidP="009236E3">
      <w:pPr>
        <w:tabs>
          <w:tab w:val="left" w:pos="355"/>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rPr>
        <w:tab/>
        <w:t>Как вы ухитрились добиться такого точ</w:t>
      </w:r>
      <w:r w:rsidRPr="00A259BD">
        <w:rPr>
          <w:rFonts w:ascii="Times New Roman" w:hAnsi="Times New Roman"/>
          <w:color w:val="000000" w:themeColor="text1"/>
          <w:sz w:val="16"/>
          <w:szCs w:val="16"/>
        </w:rPr>
        <w:softHyphen/>
        <w:t>ного веса?</w:t>
      </w:r>
    </w:p>
    <w:p w14:paraId="1FFDC16F"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Тот, ухмыляясь, пояснил:</w:t>
      </w:r>
    </w:p>
    <w:p w14:paraId="64F27439" w14:textId="77777777" w:rsidR="00154C41" w:rsidRPr="00A259BD" w:rsidRDefault="00154C41" w:rsidP="009236E3">
      <w:pPr>
        <w:tabs>
          <w:tab w:val="left" w:pos="358"/>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rPr>
        <w:tab/>
        <w:t xml:space="preserve">Первый раз мы поставили ограничитель внутри циферблата весов. Затем в одну из но- ¦^и сумели сделать весовую площадку более </w:t>
      </w:r>
      <w:proofErr w:type="spellStart"/>
      <w:r w:rsidRPr="00A259BD">
        <w:rPr>
          <w:rFonts w:ascii="Times New Roman" w:hAnsi="Times New Roman"/>
          <w:color w:val="000000" w:themeColor="text1"/>
          <w:sz w:val="16"/>
          <w:szCs w:val="16"/>
        </w:rPr>
        <w:t>кгкой</w:t>
      </w:r>
      <w:proofErr w:type="spellEnd"/>
      <w:r w:rsidRPr="00A259BD">
        <w:rPr>
          <w:rFonts w:ascii="Times New Roman" w:hAnsi="Times New Roman"/>
          <w:color w:val="000000" w:themeColor="text1"/>
          <w:sz w:val="16"/>
          <w:szCs w:val="16"/>
        </w:rPr>
        <w:t>. Наконец, поставили одного молодо</w:t>
      </w:r>
      <w:r w:rsidRPr="00A259BD">
        <w:rPr>
          <w:rFonts w:ascii="Times New Roman" w:hAnsi="Times New Roman"/>
          <w:color w:val="000000" w:themeColor="text1"/>
          <w:sz w:val="16"/>
          <w:szCs w:val="16"/>
        </w:rPr>
        <w:softHyphen/>
        <w:t>го человека, который с помощью подпольно</w:t>
      </w:r>
      <w:r w:rsidRPr="00A259BD">
        <w:rPr>
          <w:rFonts w:ascii="Times New Roman" w:hAnsi="Times New Roman"/>
          <w:color w:val="000000" w:themeColor="text1"/>
          <w:sz w:val="16"/>
          <w:szCs w:val="16"/>
        </w:rPr>
        <w:softHyphen/>
        <w:t xml:space="preserve">го рычага ногой регулировал вес, дружески глядя на </w:t>
      </w:r>
      <w:proofErr w:type="spellStart"/>
      <w:r w:rsidRPr="00A259BD">
        <w:rPr>
          <w:rFonts w:ascii="Times New Roman" w:hAnsi="Times New Roman"/>
          <w:color w:val="000000" w:themeColor="text1"/>
          <w:sz w:val="16"/>
          <w:szCs w:val="16"/>
        </w:rPr>
        <w:t>Тулупова</w:t>
      </w:r>
      <w:proofErr w:type="spellEnd"/>
      <w:r w:rsidRPr="00A259BD">
        <w:rPr>
          <w:rFonts w:ascii="Times New Roman" w:hAnsi="Times New Roman"/>
          <w:color w:val="000000" w:themeColor="text1"/>
          <w:sz w:val="16"/>
          <w:szCs w:val="16"/>
        </w:rPr>
        <w:t xml:space="preserve"> и циферблат весов.</w:t>
      </w:r>
    </w:p>
    <w:p w14:paraId="446191B0" w14:textId="77777777" w:rsidR="00154C41" w:rsidRPr="00A259BD" w:rsidRDefault="00154C41" w:rsidP="009236E3">
      <w:pPr>
        <w:tabs>
          <w:tab w:val="left" w:pos="32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rPr>
        <w:tab/>
        <w:t>А если заметят?</w:t>
      </w:r>
    </w:p>
    <w:p w14:paraId="6E1EE4C0" w14:textId="77777777" w:rsidR="00154C41" w:rsidRPr="00A259BD" w:rsidRDefault="00154C41" w:rsidP="009236E3">
      <w:pPr>
        <w:tabs>
          <w:tab w:val="left" w:pos="342"/>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rPr>
        <w:tab/>
        <w:t>Тогда мы сядем в лужу.</w:t>
      </w:r>
    </w:p>
    <w:p w14:paraId="323A9575" w14:textId="77777777" w:rsidR="00154C41" w:rsidRPr="00A259BD" w:rsidRDefault="00154C41" w:rsidP="009236E3">
      <w:pPr>
        <w:tabs>
          <w:tab w:val="left" w:pos="301"/>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rPr>
        <w:tab/>
        <w:t>Очень сожалею, но тогда мне придется пожертвовать вами, — сказал я ему на прощание.</w:t>
      </w:r>
    </w:p>
    <w:p w14:paraId="0C847F27"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Каждый раз, встречая </w:t>
      </w:r>
      <w:proofErr w:type="spellStart"/>
      <w:r w:rsidRPr="00A259BD">
        <w:rPr>
          <w:rFonts w:ascii="Times New Roman" w:hAnsi="Times New Roman"/>
          <w:color w:val="000000" w:themeColor="text1"/>
          <w:sz w:val="16"/>
          <w:szCs w:val="16"/>
        </w:rPr>
        <w:t>Тулупова</w:t>
      </w:r>
      <w:proofErr w:type="spellEnd"/>
      <w:r w:rsidRPr="00A259BD">
        <w:rPr>
          <w:rFonts w:ascii="Times New Roman" w:hAnsi="Times New Roman"/>
          <w:color w:val="000000" w:themeColor="text1"/>
          <w:sz w:val="16"/>
          <w:szCs w:val="16"/>
        </w:rPr>
        <w:t xml:space="preserve">, я ждал с его стороны протеста. Но он забрал все </w:t>
      </w:r>
      <w:proofErr w:type="spellStart"/>
      <w:r w:rsidRPr="00A259BD">
        <w:rPr>
          <w:rFonts w:ascii="Times New Roman" w:hAnsi="Times New Roman"/>
          <w:color w:val="000000" w:themeColor="text1"/>
          <w:sz w:val="16"/>
          <w:szCs w:val="16"/>
        </w:rPr>
        <w:t>двад</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ть</w:t>
      </w:r>
      <w:proofErr w:type="spellEnd"/>
      <w:r w:rsidRPr="00A259BD">
        <w:rPr>
          <w:rFonts w:ascii="Times New Roman" w:hAnsi="Times New Roman"/>
          <w:color w:val="000000" w:themeColor="text1"/>
          <w:sz w:val="16"/>
          <w:szCs w:val="16"/>
        </w:rPr>
        <w:t xml:space="preserve"> летающих лодок, не предъявив ни одной претензии относительно веса каждой из них.</w:t>
      </w:r>
    </w:p>
    <w:p w14:paraId="520E9FE2"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течение гарантийного срока эксплуатации наших гидросамолетов на Черном море мы не получили ни одной рекламации. Затем я получил заказ еще на двадцать летающих ло</w:t>
      </w:r>
      <w:r w:rsidRPr="00A259BD">
        <w:rPr>
          <w:rFonts w:ascii="Times New Roman" w:hAnsi="Times New Roman"/>
          <w:color w:val="000000" w:themeColor="text1"/>
          <w:sz w:val="16"/>
          <w:szCs w:val="16"/>
        </w:rPr>
        <w:softHyphen/>
        <w:t>док (ну, это господин Хейнкель хватил лиш</w:t>
      </w:r>
      <w:r w:rsidRPr="00A259BD">
        <w:rPr>
          <w:rFonts w:ascii="Times New Roman" w:hAnsi="Times New Roman"/>
          <w:color w:val="000000" w:themeColor="text1"/>
          <w:sz w:val="16"/>
          <w:szCs w:val="16"/>
        </w:rPr>
        <w:softHyphen/>
        <w:t>него - всего для СССР было закуплено 20 са</w:t>
      </w:r>
      <w:r w:rsidRPr="00A259BD">
        <w:rPr>
          <w:rFonts w:ascii="Times New Roman" w:hAnsi="Times New Roman"/>
          <w:color w:val="000000" w:themeColor="text1"/>
          <w:sz w:val="16"/>
          <w:szCs w:val="16"/>
        </w:rPr>
        <w:softHyphen/>
        <w:t>молетов типа НО. 55). На этот раз вес лодки в договоре не облагался штрафом, если она оказывалась тяжелее на три килограмма от веса, указанного в договоре.</w:t>
      </w:r>
    </w:p>
    <w:p w14:paraId="16187B18"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Строительство летающих лодок для Совет</w:t>
      </w:r>
      <w:r w:rsidRPr="00A259BD">
        <w:rPr>
          <w:rFonts w:ascii="Times New Roman" w:hAnsi="Times New Roman"/>
          <w:color w:val="000000" w:themeColor="text1"/>
          <w:sz w:val="16"/>
          <w:szCs w:val="16"/>
        </w:rPr>
        <w:softHyphen/>
        <w:t xml:space="preserve">ской России помогло мне пережить </w:t>
      </w:r>
      <w:proofErr w:type="spellStart"/>
      <w:r w:rsidRPr="00A259BD">
        <w:rPr>
          <w:rFonts w:ascii="Times New Roman" w:hAnsi="Times New Roman"/>
          <w:color w:val="000000" w:themeColor="text1"/>
          <w:sz w:val="16"/>
          <w:szCs w:val="16"/>
        </w:rPr>
        <w:t>кртис</w:t>
      </w:r>
      <w:proofErr w:type="spellEnd"/>
      <w:r w:rsidRPr="00A259BD">
        <w:rPr>
          <w:rFonts w:ascii="Times New Roman" w:hAnsi="Times New Roman"/>
          <w:color w:val="000000" w:themeColor="text1"/>
          <w:sz w:val="16"/>
          <w:szCs w:val="16"/>
        </w:rPr>
        <w:t xml:space="preserve"> 1931 года, в результате которого в Германии много авиазаводов разорилось. Я воспользо</w:t>
      </w:r>
      <w:r w:rsidRPr="00A259BD">
        <w:rPr>
          <w:rFonts w:ascii="Times New Roman" w:hAnsi="Times New Roman"/>
          <w:color w:val="000000" w:themeColor="text1"/>
          <w:sz w:val="16"/>
          <w:szCs w:val="16"/>
        </w:rPr>
        <w:softHyphen/>
        <w:t>вался этим и приобрел такие</w:t>
      </w:r>
      <w:r w:rsidRPr="00A259BD">
        <w:rPr>
          <w:rStyle w:val="8pt"/>
          <w:rFonts w:ascii="Times New Roman" w:hAnsi="Times New Roman" w:cs="Times New Roman"/>
          <w:color w:val="000000" w:themeColor="text1"/>
          <w:spacing w:val="0"/>
        </w:rPr>
        <w:t xml:space="preserve"> </w:t>
      </w:r>
      <w:proofErr w:type="spellStart"/>
      <w:r w:rsidRPr="00A259BD">
        <w:rPr>
          <w:rStyle w:val="8pt"/>
          <w:rFonts w:ascii="Times New Roman" w:hAnsi="Times New Roman" w:cs="Times New Roman"/>
          <w:color w:val="000000" w:themeColor="text1"/>
          <w:spacing w:val="0"/>
        </w:rPr>
        <w:t>изисстаыс</w:t>
      </w:r>
      <w:proofErr w:type="spellEnd"/>
      <w:r w:rsidRPr="00A259BD">
        <w:rPr>
          <w:rStyle w:val="8pt"/>
          <w:rFonts w:ascii="Times New Roman" w:hAnsi="Times New Roman" w:cs="Times New Roman"/>
          <w:color w:val="000000" w:themeColor="text1"/>
          <w:spacing w:val="0"/>
        </w:rPr>
        <w:t xml:space="preserve"> пред</w:t>
      </w:r>
      <w:r w:rsidRPr="00A259BD">
        <w:rPr>
          <w:rStyle w:val="8pt"/>
          <w:rFonts w:ascii="Times New Roman" w:hAnsi="Times New Roman" w:cs="Times New Roman"/>
          <w:color w:val="000000" w:themeColor="text1"/>
          <w:spacing w:val="0"/>
        </w:rPr>
        <w:softHyphen/>
      </w:r>
      <w:r w:rsidRPr="00A259BD">
        <w:rPr>
          <w:rFonts w:ascii="Times New Roman" w:hAnsi="Times New Roman"/>
          <w:color w:val="000000" w:themeColor="text1"/>
          <w:sz w:val="16"/>
          <w:szCs w:val="16"/>
        </w:rPr>
        <w:t>приятия, как «Альбатрос» и Баварский завод. Моей собственностью стал один из заводов Хуго Юнкерса, который оказался в тяжелом положении и продал его» (12301).</w:t>
      </w:r>
    </w:p>
    <w:p w14:paraId="443700F7" w14:textId="77777777" w:rsidR="00154C41" w:rsidRPr="00A259BD" w:rsidRDefault="00154C41" w:rsidP="009236E3">
      <w:pPr>
        <w:spacing w:after="0" w:line="240" w:lineRule="auto"/>
        <w:jc w:val="both"/>
        <w:rPr>
          <w:rFonts w:ascii="Times New Roman" w:hAnsi="Times New Roman"/>
          <w:color w:val="000000" w:themeColor="text1"/>
          <w:sz w:val="16"/>
          <w:szCs w:val="16"/>
        </w:rPr>
      </w:pPr>
    </w:p>
    <w:p w14:paraId="0D2CD4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апреля 1929 года вышло постановления СТО пр. № 12/410, поручившее летом 1929 года организовать перелет Москва-Нью-Йорк. Непосредственное руководство подготовкой и осуществлением перелета возложено на начальника ВВС (7783, 169).</w:t>
      </w:r>
    </w:p>
    <w:p w14:paraId="0BEF8A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A9533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DE947E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795A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апреля 1929 Сектор обороны Госплана СССР представил СТО доклад по вопросам учета интересов обороны в первом пятилетнем плане. Указал, что затраты на оборону в гражданском секторе - чрезмерны и </w:t>
      </w:r>
      <w:proofErr w:type="spellStart"/>
      <w:r w:rsidRPr="00A259BD">
        <w:rPr>
          <w:rFonts w:ascii="Times New Roman" w:hAnsi="Times New Roman"/>
          <w:color w:val="000000" w:themeColor="text1"/>
          <w:sz w:val="16"/>
          <w:szCs w:val="16"/>
        </w:rPr>
        <w:t>д.б</w:t>
      </w:r>
      <w:proofErr w:type="spellEnd"/>
      <w:r w:rsidRPr="00A259BD">
        <w:rPr>
          <w:rFonts w:ascii="Times New Roman" w:hAnsi="Times New Roman"/>
          <w:color w:val="000000" w:themeColor="text1"/>
          <w:sz w:val="16"/>
          <w:szCs w:val="16"/>
        </w:rPr>
        <w:t>. снижены с 1190 млн. до 500 млн. (1566,67).</w:t>
      </w:r>
    </w:p>
    <w:p w14:paraId="5F81FC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8AE3997" w14:textId="77777777" w:rsidR="000979B3" w:rsidRPr="00A259BD" w:rsidRDefault="000979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апреля 1929 г. сектор обороны Госплана СССР, анализируя степень учета интересов обороны в пятилетнем плане развития народного хозяйства, в записке констатировал: "В плане развития сельского хозяйства крупнейшим фактором оборонного значения является значительный рост обобществленного сектора. Не приходится сомневаться, что в условиях войны, когда особенно важно сохранение возможностей регулирования, обобществленный сектор будет иметь исключительное значение. Не менее важно наличие крупных производственных единиц, легче поддающихся плановому воздействию, чем многомиллионная масса мелких, распыленных хозяйств. Удельный вес обобществленного сектора в товарной продукции зерновых в конце пятилетки составит 39%, что соответствует полной годовой потребности Красной Армии в военное время" (18413).</w:t>
      </w:r>
    </w:p>
    <w:p w14:paraId="6EE40D4D" w14:textId="77777777" w:rsidR="000979B3" w:rsidRPr="00A259BD" w:rsidRDefault="000979B3" w:rsidP="009236E3">
      <w:pPr>
        <w:spacing w:after="0" w:line="240" w:lineRule="auto"/>
        <w:jc w:val="both"/>
        <w:rPr>
          <w:rFonts w:ascii="Times New Roman" w:hAnsi="Times New Roman"/>
          <w:color w:val="000000" w:themeColor="text1"/>
          <w:sz w:val="16"/>
          <w:szCs w:val="16"/>
        </w:rPr>
      </w:pPr>
    </w:p>
    <w:p w14:paraId="3DDF2CB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апреля 1929 г. Сектор Обороны Госплана СССР представил в СТО доклад, посвященный вопросам учета интересов обороны в первом пятилетнем плане. Экспертами Госплана СССР принимались во внимание следующие моменты: 1) абсолютный объем и удельный вес материальных потребностей вооруженных сил, 2) степень удовлетворения потребностей страны в военное время и 3) объем и характер программы материальных затрат.</w:t>
      </w:r>
    </w:p>
    <w:p w14:paraId="35C28DE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Сектор Обороны Госплана СССР пришел к выводу, “что ин</w:t>
      </w:r>
      <w:r w:rsidRPr="00A259BD">
        <w:rPr>
          <w:rFonts w:ascii="Times New Roman" w:hAnsi="Times New Roman"/>
          <w:color w:val="000000" w:themeColor="text1"/>
          <w:sz w:val="16"/>
          <w:szCs w:val="16"/>
        </w:rPr>
        <w:softHyphen/>
        <w:t>тересы обороны требуют осуществления в течение пятилетия темпов, намеченных оптимальным вариантом плана”, но при бо</w:t>
      </w:r>
      <w:r w:rsidRPr="00A259BD">
        <w:rPr>
          <w:rFonts w:ascii="Times New Roman" w:hAnsi="Times New Roman"/>
          <w:color w:val="000000" w:themeColor="text1"/>
          <w:sz w:val="16"/>
          <w:szCs w:val="16"/>
        </w:rPr>
        <w:softHyphen/>
        <w:t xml:space="preserve">лее высоких бюджетных расходах на финансирование НКВМ и дотации военной </w:t>
      </w:r>
      <w:proofErr w:type="spellStart"/>
      <w:r w:rsidRPr="00A259BD">
        <w:rPr>
          <w:rFonts w:ascii="Times New Roman" w:hAnsi="Times New Roman"/>
          <w:color w:val="000000" w:themeColor="text1"/>
          <w:sz w:val="16"/>
          <w:szCs w:val="16"/>
        </w:rPr>
        <w:t>промышлености</w:t>
      </w:r>
      <w:proofErr w:type="spellEnd"/>
      <w:r w:rsidRPr="00A259BD">
        <w:rPr>
          <w:rFonts w:ascii="Times New Roman" w:hAnsi="Times New Roman"/>
          <w:color w:val="000000" w:themeColor="text1"/>
          <w:sz w:val="16"/>
          <w:szCs w:val="16"/>
        </w:rPr>
        <w:t>. Затраты на капитальное строи</w:t>
      </w:r>
      <w:r w:rsidRPr="00A259BD">
        <w:rPr>
          <w:rFonts w:ascii="Times New Roman" w:hAnsi="Times New Roman"/>
          <w:color w:val="000000" w:themeColor="text1"/>
          <w:sz w:val="16"/>
          <w:szCs w:val="16"/>
        </w:rPr>
        <w:softHyphen/>
        <w:t xml:space="preserve">тельство по военной промышленности и военным производствам в “гражданской” промышленности в размере 1190 </w:t>
      </w:r>
      <w:proofErr w:type="spellStart"/>
      <w:r w:rsidRPr="00A259BD">
        <w:rPr>
          <w:rFonts w:ascii="Times New Roman" w:hAnsi="Times New Roman"/>
          <w:color w:val="000000" w:themeColor="text1"/>
          <w:sz w:val="16"/>
          <w:szCs w:val="16"/>
        </w:rPr>
        <w:t>млн.руб</w:t>
      </w:r>
      <w:proofErr w:type="spellEnd"/>
      <w:r w:rsidRPr="00A259BD">
        <w:rPr>
          <w:rFonts w:ascii="Times New Roman" w:hAnsi="Times New Roman"/>
          <w:color w:val="000000" w:themeColor="text1"/>
          <w:sz w:val="16"/>
          <w:szCs w:val="16"/>
        </w:rPr>
        <w:t>., предложенные ВСНХ СССР, Сектор Обороны признал чрезмер</w:t>
      </w:r>
      <w:r w:rsidRPr="00A259BD">
        <w:rPr>
          <w:rFonts w:ascii="Times New Roman" w:hAnsi="Times New Roman"/>
          <w:color w:val="000000" w:themeColor="text1"/>
          <w:sz w:val="16"/>
          <w:szCs w:val="16"/>
        </w:rPr>
        <w:softHyphen/>
        <w:t xml:space="preserve">ными и предложил урезать их до 500 млн. рублей (ГАРФ ф.8418, </w:t>
      </w:r>
      <w:proofErr w:type="spellStart"/>
      <w:r w:rsidRPr="00A259BD">
        <w:rPr>
          <w:rFonts w:ascii="Times New Roman" w:hAnsi="Times New Roman"/>
          <w:color w:val="000000" w:themeColor="text1"/>
          <w:sz w:val="16"/>
          <w:szCs w:val="16"/>
        </w:rPr>
        <w:t>оп.З</w:t>
      </w:r>
      <w:proofErr w:type="spellEnd"/>
      <w:r w:rsidRPr="00A259BD">
        <w:rPr>
          <w:rFonts w:ascii="Times New Roman" w:hAnsi="Times New Roman"/>
          <w:color w:val="000000" w:themeColor="text1"/>
          <w:sz w:val="16"/>
          <w:szCs w:val="16"/>
        </w:rPr>
        <w:t>, д.52, л.10-14) (1566,66).</w:t>
      </w:r>
    </w:p>
    <w:p w14:paraId="03CA4C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F4208B" w14:textId="77777777" w:rsidR="00056F8F" w:rsidRPr="00A259BD" w:rsidRDefault="00056F8F" w:rsidP="009236E3">
      <w:pPr>
        <w:spacing w:after="0" w:line="240" w:lineRule="auto"/>
        <w:jc w:val="both"/>
        <w:rPr>
          <w:rStyle w:val="af0"/>
          <w:rFonts w:ascii="Times New Roman" w:hAnsi="Times New Roman"/>
          <w:i w:val="0"/>
          <w:color w:val="000000" w:themeColor="text1"/>
          <w:sz w:val="16"/>
          <w:szCs w:val="16"/>
        </w:rPr>
      </w:pPr>
      <w:r w:rsidRPr="00A259BD">
        <w:rPr>
          <w:rFonts w:ascii="Times New Roman" w:hAnsi="Times New Roman"/>
          <w:bCs/>
          <w:color w:val="000000" w:themeColor="text1"/>
          <w:sz w:val="16"/>
          <w:szCs w:val="16"/>
        </w:rPr>
        <w:t>5 апреля 1929 г. — Из аналитического доклада Госплана СССР в РЗ СТО СССР «Об учете интересов обороны в пятилетнем плане развития народного хозяйства»</w:t>
      </w:r>
    </w:p>
    <w:p w14:paraId="6A912EF0"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5EC2A11A"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Наш анализ пятилетнего плана развития народного хозяйства, с точки зрения его соответствия требованиям обороны страны, основывается на учете следующих моментов: а) абсолютного объема и удельного веса материальных потребностей вооруженных сил в военное время; этот объем на протяжении пятилетия увеличивается в связи с необходимостью поставить армию во время войны в наиболее выгодные условия по количеству и качеству военной техники; б) степени удовлетворения потребностей страны в военное время, а также всей суммы тех изменений в народном хозяйстве, которые возникнут с началом войны и будут развиваться в процессе ее ведения, как следствие изъятий материальных ресурсов для вооруженного фронта и других обстоятельств, связанных с условиями военного времени в нашей стране (блокада, нарушение экономики прифронтовых районов и т. п.); в) объема и характера программы материальных затрат на протяжении пятилетия, которые вытекают из необходимости на определенных этапах достигнуть соответствующего масштаба подготовки вооруженных сил и отраслей народного хозяйства к обороне.</w:t>
      </w:r>
    </w:p>
    <w:p w14:paraId="6BAB5336"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Характерные тенденции накопления потребности вооруженного фронта на протяжении пятилетия зафиксированы в трехлетней программе, утвержденной РЗ СТО, и пятилетней программе, принятой Комиссией т. </w:t>
      </w:r>
      <w:hyperlink r:id="rId33" w:history="1">
        <w:r w:rsidRPr="00A259BD">
          <w:rPr>
            <w:color w:val="000000" w:themeColor="text1"/>
            <w:sz w:val="16"/>
            <w:szCs w:val="16"/>
          </w:rPr>
          <w:t>Ворошилова</w:t>
        </w:r>
      </w:hyperlink>
      <w:r w:rsidRPr="00A259BD">
        <w:rPr>
          <w:color w:val="000000" w:themeColor="text1"/>
          <w:sz w:val="16"/>
          <w:szCs w:val="16"/>
        </w:rPr>
        <w:t>, и сводятся к следующему: а) численность вооруженных сил сохраняет почти полную стабильность (7,5% от всего трудоспособного населения в 1927/28 г. и 6,5% в 1932/33 г.); то же — в отношении изъятия лошадей; б) значительно растет подача огнеприпасов (1 октября 1929 г.— 100%, 1 октября 1931 г. — 180%, 1 октября 1933 г. — 270%); соответственно растет потребность в огнестрельном оружии; в) авиация растет в следующем темпе: 1 октября 1929 г. — 100%, 1 октября 1931 г. — 133%, 1 октября 1933 г. — 279%; г) на протяжении пятилетия идет машинизация армии (численность танков возрастает в 15 раз по сравнению с 1928/29 г.; вводится механический транспорт (потребность по мобилизации на конец пятилетия в автотранспорте в 4</w:t>
      </w:r>
      <w:r w:rsidRPr="00A259BD">
        <w:rPr>
          <w:color w:val="000000" w:themeColor="text1"/>
          <w:sz w:val="16"/>
          <w:szCs w:val="16"/>
        </w:rPr>
        <w:noBreakHyphen/>
        <w:t>5 раз больше всего наличного в 1928/29 г. в СССР парка грузовых машин).</w:t>
      </w:r>
    </w:p>
    <w:p w14:paraId="26A4269F"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В общем, потребности вооруженных сил индустриализируются в очень быстром темпе, так как ясно, что при почти неизменной численности армии удельный вес продукции сельского хозяйства (</w:t>
      </w:r>
      <w:proofErr w:type="spellStart"/>
      <w:r w:rsidRPr="00A259BD">
        <w:rPr>
          <w:color w:val="000000" w:themeColor="text1"/>
          <w:sz w:val="16"/>
          <w:szCs w:val="16"/>
        </w:rPr>
        <w:t>продфураж</w:t>
      </w:r>
      <w:proofErr w:type="spellEnd"/>
      <w:r w:rsidRPr="00A259BD">
        <w:rPr>
          <w:color w:val="000000" w:themeColor="text1"/>
          <w:sz w:val="16"/>
          <w:szCs w:val="16"/>
        </w:rPr>
        <w:t>) во всей ее потребности падает; также падает удельный вес продукции легкой промышленности (одежда, обувь и т. п.). Такой же процесс мы наблюдаем в тенденциях развития отраслей народного хозяйства. Пятилетний план в целом показывает более низкие темпы роста продукции сельского хозяйства (1932/33 г. в процентах к 1927/28 г. дает: по зерновым — 135/143¹*, по хлопку — 233/265, по льну — 193/250, по мясу — 132/145, по кожам крупным — 115, по шерсти — 126/132); темпы роста продукции промышленности выше (по чугуну — 240/300, по машиностроению общему — 225/353, по сельскохозяйственному машиностроению — 343/399, по тракторам — 3985, по серной кислоте — 611/697, по аммиаку — 1733/2267, по автомобилям грузовым — 4640).</w:t>
      </w:r>
    </w:p>
    <w:p w14:paraId="026A59BD"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Сопоставление этих сдвигов как в потребностях вооруженных сил, так и в развитии отраслей народного хозяйства обнаруживает совпадение в тенденциях развития и свидетельствует о том, что пятилетняя программа потребности вооруженных сил в основном соответствует развитию народного хозяйства. Падению удельного веса продукции легкой промышленности в потребности вооруженных сил соответствует такая же тенденция в развитии самой промышленности (удельный вес группы «А» в 1928/29 г. — 41%, в 1932/33 г. — 46,9/47,7%). И там и здесь мы имеем одинаково бурный рост новых производств.</w:t>
      </w:r>
    </w:p>
    <w:p w14:paraId="45014F13"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Следующей данной, характеризующей соответствие развития отраслей народного хозяйства задачам усиления обороноспособности, является удельный вес потребностей вооруженного фронта по отношению ко всему объему продукции, достигаемому на основных этапах пятилетия. Этот удельный вес показывает следующую картину (в процентах от продукции): по металлу (прокат²*) в 1928/29 г. — 27,6%, в 1930/31 г. — 35,4%, в 1932/33 г. — 36/28%; по химии (серная кислота) в 1929/30 г. — 90%, в 1932/33 г. — 52/46%; по сельскохозяйственному сырью: хлопок в 1928/29 г. — 22%, в 1930/31 г. — 12%, в 1932/33 г. — 9%, шерсть в 1928/29 г. — 98%, в 1930/31 г. — 63%, в 1932/33 г. — 49%; кожи крупные — 39%, 37%, 31%; лен — 54%, 29%, 18% (все в процентах от товарной продукции); удельный вес перевозок для армии к работе железных дорог мирного времени составляет соответственно 23,7%, 23,6%, 23,2%.</w:t>
      </w:r>
    </w:p>
    <w:p w14:paraId="5E435435"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lastRenderedPageBreak/>
        <w:t>Эти данные показывают, что при значительном росте объема потребностей вооруженного фронта их удельный вес к концу пятилетия уменьшается; он весьма значителен в настоящее время, для 1930/31 г. положение незначительно изменяется, и лишь в конце пятилетия мы имеем значительное уменьшение удельного веса³*; это соответствует той характерной особенности пятилетки, что за первые 3 года мы имеем сравнительно небольшой темп роста и значительный рост в последние годы. Следует отметить, что здесь не показаны данные по цветной металлургии, где положение остается дефицитным на все время пятилетки.</w:t>
      </w:r>
    </w:p>
    <w:p w14:paraId="580270F6"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Переходя к анализу развития отраслей народного хозяйства с точки зрения обороны, необходимо остановиться, прежде всего, на топливе; несмотря на его незначительный вес в непосредственном потреблении фронта, оно является во время войны определяющим развертывание военных и мирных производств. Здесь необходимо считаться со следующими явлениями, отличающими наш план топливоснабжения на протяжении пятилетия:</w:t>
      </w:r>
    </w:p>
    <w:p w14:paraId="70B462EF"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1. Удельный вес привозного топлива (Донецкого) в балансе основных промышленных районов — Северо-западной области и Центрально-промышленной — повышается (Северо-западная в 1927/28 г. — 52,3%, в 1932/33 г. — 63%; ЦПО⁴* — 31,2%, 35,4 [%]).</w:t>
      </w:r>
    </w:p>
    <w:p w14:paraId="5344554C"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2. При напряженности плана в отношении добычи, в особенности в Донбассе, мы не будем иметь достаточных производственных резервов по каменному углю; между тем в случае войны нужно ожидать, исходя из наших подсчетов по контрольным цифрам п[</w:t>
      </w:r>
      <w:proofErr w:type="spellStart"/>
      <w:r w:rsidRPr="00A259BD">
        <w:rPr>
          <w:color w:val="000000" w:themeColor="text1"/>
          <w:sz w:val="16"/>
          <w:szCs w:val="16"/>
        </w:rPr>
        <w:t>ервого</w:t>
      </w:r>
      <w:proofErr w:type="spellEnd"/>
      <w:r w:rsidRPr="00A259BD">
        <w:rPr>
          <w:color w:val="000000" w:themeColor="text1"/>
          <w:sz w:val="16"/>
          <w:szCs w:val="16"/>
        </w:rPr>
        <w:t>] п[</w:t>
      </w:r>
      <w:proofErr w:type="spellStart"/>
      <w:r w:rsidRPr="00A259BD">
        <w:rPr>
          <w:color w:val="000000" w:themeColor="text1"/>
          <w:sz w:val="16"/>
          <w:szCs w:val="16"/>
        </w:rPr>
        <w:t>ериода</w:t>
      </w:r>
      <w:proofErr w:type="spellEnd"/>
      <w:r w:rsidRPr="00A259BD">
        <w:rPr>
          <w:color w:val="000000" w:themeColor="text1"/>
          <w:sz w:val="16"/>
          <w:szCs w:val="16"/>
        </w:rPr>
        <w:t>] в[</w:t>
      </w:r>
      <w:proofErr w:type="spellStart"/>
      <w:r w:rsidRPr="00A259BD">
        <w:rPr>
          <w:color w:val="000000" w:themeColor="text1"/>
          <w:sz w:val="16"/>
          <w:szCs w:val="16"/>
        </w:rPr>
        <w:t>ойны</w:t>
      </w:r>
      <w:proofErr w:type="spellEnd"/>
      <w:r w:rsidRPr="00A259BD">
        <w:rPr>
          <w:color w:val="000000" w:themeColor="text1"/>
          <w:sz w:val="16"/>
          <w:szCs w:val="16"/>
        </w:rPr>
        <w:t>], довольно больших затруднений для сохранения добычи на уровне мирного времени при систематической тенденции к росту потребления дон[</w:t>
      </w:r>
      <w:proofErr w:type="spellStart"/>
      <w:r w:rsidRPr="00A259BD">
        <w:rPr>
          <w:color w:val="000000" w:themeColor="text1"/>
          <w:sz w:val="16"/>
          <w:szCs w:val="16"/>
        </w:rPr>
        <w:t>ецкого</w:t>
      </w:r>
      <w:proofErr w:type="spellEnd"/>
      <w:r w:rsidRPr="00A259BD">
        <w:rPr>
          <w:color w:val="000000" w:themeColor="text1"/>
          <w:sz w:val="16"/>
          <w:szCs w:val="16"/>
        </w:rPr>
        <w:t>] топлива.</w:t>
      </w:r>
    </w:p>
    <w:p w14:paraId="7F8922CA"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3. Запасы минерального топлива в настоящее время находятся на низком уровне — 2,3 месяца, к концу пятилетия достигают 3</w:t>
      </w:r>
      <w:r w:rsidRPr="00A259BD">
        <w:rPr>
          <w:color w:val="000000" w:themeColor="text1"/>
          <w:sz w:val="16"/>
          <w:szCs w:val="16"/>
        </w:rPr>
        <w:noBreakHyphen/>
        <w:t>3,2 месяцев, что, учитывая загруженность транспорта в начальный период войны и неравномерность распределения этих запасов по важнейшим потребителям, следует признать недостаточным.</w:t>
      </w:r>
    </w:p>
    <w:p w14:paraId="4B08ABF3"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Все это выдвигает необходимость дополнительной проработки плана в сторону большего развития потребления местных топлив, как-то: подмосковного угля и торфа, проблемы торфа и подмосковного угля должны быть поставлены во весь рост и в срочном порядке; нужно преодолеть тенденцию при размещении нового промышленного строительства, сосредотачивать его, главным образом, в таких центрах, как Москва и Ленинград; нужно разрешить вопрос о транспорте низкосортного топлива, нужно придать четкие организационные формы торфяной промышленности, наконец, нужно приступить к использованию торфа в качестве строительного материала, в качестве сырья для химической промышленности и пр. Вместе с тем необходимо в течение пятилетия разрешить вопрос о выходе нефти на внутренний рынок, что в случае войны будет иметь колоссальное значение; необходимо ускорить постройку нефтепроводов, связывающих нефтеносные районы с центром страны (Эмба—Самара, Каспий—Москва или другой центр страны), необходимо пересмотреть план развития Волго-Каспийского нефтеналивного флота. Одновременно план должен предусмотреть сохранение резерва лесосек в непосредственной близости от линий железных дорог в районах западной полосы, на Урале и др.</w:t>
      </w:r>
    </w:p>
    <w:p w14:paraId="26B959D4" w14:textId="77777777" w:rsidR="00154C41" w:rsidRPr="00A259BD" w:rsidRDefault="00154C41" w:rsidP="009236E3">
      <w:pPr>
        <w:pStyle w:val="rtejustify"/>
        <w:spacing w:before="0" w:after="0"/>
        <w:rPr>
          <w:color w:val="000000" w:themeColor="text1"/>
          <w:sz w:val="16"/>
          <w:szCs w:val="16"/>
        </w:rPr>
      </w:pPr>
      <w:r w:rsidRPr="00A259BD">
        <w:rPr>
          <w:rStyle w:val="af0"/>
          <w:i w:val="0"/>
          <w:color w:val="000000" w:themeColor="text1"/>
          <w:sz w:val="16"/>
          <w:szCs w:val="16"/>
        </w:rPr>
        <w:t>Металл.</w:t>
      </w:r>
      <w:r w:rsidRPr="00A259BD">
        <w:rPr>
          <w:color w:val="000000" w:themeColor="text1"/>
          <w:sz w:val="16"/>
          <w:szCs w:val="16"/>
        </w:rPr>
        <w:t xml:space="preserve"> Как уже выше указывалось, удельный вес потребности фронта в металле составляет свыше ⅓ всего производства по отправному варианту; вместе с потребностью железных дорог на военное время только для верхнего строения пути этот удельный вес возрастает до 58% по отправному и до 45% по оптимальному вариантам. При использовании для снарядного производства </w:t>
      </w:r>
      <w:proofErr w:type="spellStart"/>
      <w:r w:rsidRPr="00A259BD">
        <w:rPr>
          <w:color w:val="000000" w:themeColor="text1"/>
          <w:sz w:val="16"/>
          <w:szCs w:val="16"/>
        </w:rPr>
        <w:t>сталистого</w:t>
      </w:r>
      <w:proofErr w:type="spellEnd"/>
      <w:r w:rsidRPr="00A259BD">
        <w:rPr>
          <w:color w:val="000000" w:themeColor="text1"/>
          <w:sz w:val="16"/>
          <w:szCs w:val="16"/>
        </w:rPr>
        <w:t xml:space="preserve"> чугуна⁵* удельный вес потребности фронта и транспорта снизится до 47% по отправному и до 36% по оптимальному вариантам. Только одна потребность в снарядной заготовке составляет в 1928/29 г. 14,3%, в 1930/31 г. — 20,8% и в 1932/33 г. — 19,5% от продукции металла (проката) в соответствующие годы. Сопоставление с данными минувшей империалистической войны показывают, что примерно такой же процент металла шел на производство снарядов в Германии в 1917 г. (19,6%) и несколько выше в Англии (23%); в России этот процент в 1916 г. составлял 18%. Эти данные показывают, что народное хозяйство на уровне, достигаемом к концу пятилетия, справится с изъятием металла для вооруженных сил; при достижении темпов оптимального варианта возможно некоторое повышение артиллерийской заявки Наркомвоенмора с сохранением тех же процентов изъятия металла (все исчисления в процентах от продукции проката).</w:t>
      </w:r>
    </w:p>
    <w:p w14:paraId="2FB7D79C"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 xml:space="preserve">Баланс качественной стали и ферросплавов показывает весьма неблагоприятную картину, а именно; по ориентировочным подсчетам, потребность в качественной стали в условиях войны⁶*, исходя из наметок ВСНХ, будет удовлетворена в 1930/31 г. на 20%, а в 1932/33 г. — на 48,6%; по ферросплавам процент удовлетворения будет соответственно 20,8% и 50% и лишь по ферросилицию несколько выше (26,5% и 67%). Таким образом, представляется необходимым пересмотреть план в сторону значительного увеличения производства как качественной стали, так и ферросплавов, а также ускорить строительство намеченных объектов. В отношении улучшения баланса черного металла на случай войны необходимо перейти на производство снарядов из </w:t>
      </w:r>
      <w:proofErr w:type="spellStart"/>
      <w:r w:rsidRPr="00A259BD">
        <w:rPr>
          <w:color w:val="000000" w:themeColor="text1"/>
          <w:sz w:val="16"/>
          <w:szCs w:val="16"/>
        </w:rPr>
        <w:t>сталистого</w:t>
      </w:r>
      <w:proofErr w:type="spellEnd"/>
      <w:r w:rsidRPr="00A259BD">
        <w:rPr>
          <w:color w:val="000000" w:themeColor="text1"/>
          <w:sz w:val="16"/>
          <w:szCs w:val="16"/>
        </w:rPr>
        <w:t xml:space="preserve"> чугуна в возможно большем проценте. В отношении районирования металлургии основными базами остаются Украина и Урал, причем удельный вес последнего растет, что соответствует интересам обороны. Неблагоприятным является местоположение Керченского завода, составляющего значительную величину в общей продукции металла.</w:t>
      </w:r>
    </w:p>
    <w:p w14:paraId="3AD73AFD"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 xml:space="preserve">Добыча </w:t>
      </w:r>
      <w:r w:rsidRPr="00A259BD">
        <w:rPr>
          <w:rStyle w:val="af0"/>
          <w:i w:val="0"/>
          <w:color w:val="000000" w:themeColor="text1"/>
          <w:sz w:val="16"/>
          <w:szCs w:val="16"/>
        </w:rPr>
        <w:t>цветных металлов</w:t>
      </w:r>
      <w:r w:rsidRPr="00A259BD">
        <w:rPr>
          <w:color w:val="000000" w:themeColor="text1"/>
          <w:sz w:val="16"/>
          <w:szCs w:val="16"/>
        </w:rPr>
        <w:t xml:space="preserve"> в проектировке и отправного и оптимального вариантов не удовлетворяет потребности народного хозяйства и, равным образом, потребности в случае войны. По ориентировочным подсчетам, потребности промышленности, обслуживающей вооруженные силы, в период войны удовлетворяются внутренней добычей в 1932/33 г.; по меди — на 44,8/59%, по цинку — на 57,8/100%, по свинцу — 30,6/42%, по алюминию — 16,6%, по никелю — 88%; в 1930/31 г. положение значительно хуже, тем более, что ряд новых производств (алюминий и никель) еще не успевает развернуться. Это обстоятельство заставляет нас в течение всего пятилетия накоплять значительные запасы цветных металлов, чтобы не поставить под угрозу обороноспособность страны. Особенно неблагоприятным представляется недостаточная разведанность запасов руд и отсутствие технического персонала, знающего производство. Это затрудняет в настоящее время дать более повышенные и надежные проектировки развития добычи; необходимо принять немедленные меры по усилению разведочных работ, по привлечению иностранных специалистов и по подготовке собственных квалифицированных технических сил. В то же время должны быть приняты суровые меры по экономии цветных металлов; особенно важно в этом отношении решительное проведение </w:t>
      </w:r>
      <w:proofErr w:type="spellStart"/>
      <w:r w:rsidRPr="00A259BD">
        <w:rPr>
          <w:color w:val="000000" w:themeColor="text1"/>
          <w:sz w:val="16"/>
          <w:szCs w:val="16"/>
        </w:rPr>
        <w:t>суррогатирования</w:t>
      </w:r>
      <w:proofErr w:type="spellEnd"/>
      <w:r w:rsidRPr="00A259BD">
        <w:rPr>
          <w:color w:val="000000" w:themeColor="text1"/>
          <w:sz w:val="16"/>
          <w:szCs w:val="16"/>
        </w:rPr>
        <w:t xml:space="preserve"> и замены цветных металлов. Основной базой цветное металлургии являлся до сих пор Урал, в предстоящее пятилетие особенное развитий' цветная металлургия получает в новом районе — Казахстане, поэтому в целях успешного разрешения вопроса о развитии цветной металлургии должно быть стимулировав всемерное развитие путей сообщения в этом районе. Строительство новых металлургических заводов идет чрезвычайно медленно. Так, строительства, начатые в 1925/26г. предполагается закончить и пустить в полную эксплуатацию лишь в 1932/33 г. и даже в 1933/34 г.; такой темп строительства не позволит нам разрешить проблему цветные металлов, его необходимо ускорить.</w:t>
      </w:r>
    </w:p>
    <w:p w14:paraId="6DFEC20A" w14:textId="77777777" w:rsidR="00154C41" w:rsidRPr="00A259BD" w:rsidRDefault="00154C41" w:rsidP="009236E3">
      <w:pPr>
        <w:pStyle w:val="rtejustify"/>
        <w:spacing w:before="0" w:after="0"/>
        <w:rPr>
          <w:color w:val="000000" w:themeColor="text1"/>
          <w:sz w:val="16"/>
          <w:szCs w:val="16"/>
        </w:rPr>
      </w:pPr>
      <w:r w:rsidRPr="00A259BD">
        <w:rPr>
          <w:rStyle w:val="af0"/>
          <w:i w:val="0"/>
          <w:color w:val="000000" w:themeColor="text1"/>
          <w:sz w:val="16"/>
          <w:szCs w:val="16"/>
        </w:rPr>
        <w:t>Машиностроение</w:t>
      </w:r>
      <w:r w:rsidRPr="00A259BD">
        <w:rPr>
          <w:color w:val="000000" w:themeColor="text1"/>
          <w:sz w:val="16"/>
          <w:szCs w:val="16"/>
        </w:rPr>
        <w:t xml:space="preserve"> развивается в весьма значительном темпе (рост к концу пятилетия — 225/353), однако это не освобождает нас от завоза импортного оборудования в течение пятилетия. Особенно неблагоприятное положение — в производстве инструментов, в частности контрольно-измерительных инструментов. По плану ВСНХ потребность в инструменте в конце пятилетия превысит продукцию примерно в 4 раза, положение с контрольно-измерительными приборами еще хуже, так как их производство в настоящее время совершенно отсутствует. Автостроение намечено в конце пятилетия в значительном размере (производство за все пятилетие 72,4 тыс. машин и 3 тыс. мотоциклов); однако план автостроения является еще не проработанным, и необходимо добиться достижения в течение пятилетия наличия в стране парка до 150 тыс. машин и 25 тыс. мотоциклов, что могло бы обеспечить потребности вооруженных сил и народного хозяйства на случай войны. Необходимо ускорить постройку намеченного инструментального завода и поставить производство контрольно-измерительных приборов; также необходимо предусмотреть в плане постановку производства оборудования для заводов цветной металлургии и для химических заводов, в отношении которого мы находимся целиком в зависимости от импорта. План машиностроения должен быть также дополнительно проработан в целях большей увязки с теми потребностями, которые возникнут в связи с постановкой внутри страны новых производств, в частности — тракторостроение, автостроение, авиастроение (производство шарикоподшипников и т. п.); необходимо развить тонкое и точное машиностроение, ориентируя его на переход в военное время на военные производства.</w:t>
      </w:r>
    </w:p>
    <w:p w14:paraId="6166FA6F" w14:textId="77777777" w:rsidR="00154C41" w:rsidRPr="00A259BD" w:rsidRDefault="00154C41" w:rsidP="009236E3">
      <w:pPr>
        <w:pStyle w:val="rtejustify"/>
        <w:spacing w:before="0" w:after="0"/>
        <w:rPr>
          <w:color w:val="000000" w:themeColor="text1"/>
          <w:sz w:val="16"/>
          <w:szCs w:val="16"/>
        </w:rPr>
      </w:pPr>
      <w:r w:rsidRPr="00A259BD">
        <w:rPr>
          <w:rStyle w:val="af0"/>
          <w:i w:val="0"/>
          <w:color w:val="000000" w:themeColor="text1"/>
          <w:sz w:val="16"/>
          <w:szCs w:val="16"/>
        </w:rPr>
        <w:t>Химия.</w:t>
      </w:r>
      <w:r w:rsidRPr="00A259BD">
        <w:rPr>
          <w:color w:val="000000" w:themeColor="text1"/>
          <w:sz w:val="16"/>
          <w:szCs w:val="16"/>
        </w:rPr>
        <w:t xml:space="preserve"> Основная установка плана развития химической промышленности на максимальное и преимущественное развитие основной химии, а в этой последней на туковую промышленность, совпадает с узловыми пунктами оборонного химического строительства. Давая преимущественное развертывание азотному, хлорному и сернокислотному производствам, имеющим огромное военное значение, а также фосфорному, калийному, содовому производствам, также весьма существенно отражающимся на усилении обороноспособности, план намечает резкие сдвиги в этих важнейших производствах. Запроектированная в отправном варианте выработка синтетического аммиака в размере 165 тыс. т в последнем году недостаточна, так как в случае войны она будет целиком изъята для нужд вооруженных сил. Также недостаточна проектировка отправного варианта по хлору, так как она удовлетворяет потребности Наркомвоенмора⁷* в конце пятилетия лишь на 86%. Темпы развертывания промышленности в начальные годы пятилетия являются недостаточными; это относится, главным образом, к азотной и коксобензольной промышленности. Намечаемая программа по азоту не покрывает потребности вооруженных сил на конец трехлетия; программа коксобензольной промышленности не дает возможности в конце трехлетия развернуть полностью соответствующие военные производства (взрывчатые вещества и ОВ), поэтому во всех этих отраслях необходимо форсирование строительства в первые годы пятилетия. План недостаточно проработан в отношении постановки научно-исследовательских работ в области химии, которые являются особенно крупной задачей текущего пятилетия с точки зрения интересов и народного хозяйства, и обороны. В отношении строительства развертываемой </w:t>
      </w:r>
      <w:proofErr w:type="spellStart"/>
      <w:r w:rsidRPr="00A259BD">
        <w:rPr>
          <w:color w:val="000000" w:themeColor="text1"/>
          <w:sz w:val="16"/>
          <w:szCs w:val="16"/>
        </w:rPr>
        <w:t>химпромышленности</w:t>
      </w:r>
      <w:proofErr w:type="spellEnd"/>
      <w:r w:rsidRPr="00A259BD">
        <w:rPr>
          <w:color w:val="000000" w:themeColor="text1"/>
          <w:sz w:val="16"/>
          <w:szCs w:val="16"/>
        </w:rPr>
        <w:t xml:space="preserve"> необходимо разрешить вопрос о типизации производств, ибо до сих пор мы строим одновременно разнотипные производства (3 типа заводов связанного азота). В организации строительства </w:t>
      </w:r>
      <w:proofErr w:type="spellStart"/>
      <w:r w:rsidRPr="00A259BD">
        <w:rPr>
          <w:color w:val="000000" w:themeColor="text1"/>
          <w:sz w:val="16"/>
          <w:szCs w:val="16"/>
        </w:rPr>
        <w:t>химпромышленности</w:t>
      </w:r>
      <w:proofErr w:type="spellEnd"/>
      <w:r w:rsidRPr="00A259BD">
        <w:rPr>
          <w:color w:val="000000" w:themeColor="text1"/>
          <w:sz w:val="16"/>
          <w:szCs w:val="16"/>
        </w:rPr>
        <w:t>, развертываемого в огромном объеме, несмотря на сосредоточение всего строительства в Химстрое, имеются серьезные трудности, от удачного решения которых зависит успех выполнения пятилетней программы, поэтому вопросам организации строительства должно быть уделено особое внимание.</w:t>
      </w:r>
    </w:p>
    <w:p w14:paraId="46A25774" w14:textId="77777777" w:rsidR="00154C41" w:rsidRPr="00A259BD" w:rsidRDefault="00154C41" w:rsidP="009236E3">
      <w:pPr>
        <w:pStyle w:val="rtejustify"/>
        <w:spacing w:before="0" w:after="0"/>
        <w:rPr>
          <w:color w:val="000000" w:themeColor="text1"/>
          <w:sz w:val="16"/>
          <w:szCs w:val="16"/>
        </w:rPr>
      </w:pPr>
      <w:r w:rsidRPr="00A259BD">
        <w:rPr>
          <w:rStyle w:val="af0"/>
          <w:i w:val="0"/>
          <w:color w:val="000000" w:themeColor="text1"/>
          <w:sz w:val="16"/>
          <w:szCs w:val="16"/>
        </w:rPr>
        <w:t>По искусственному волокну</w:t>
      </w:r>
      <w:r w:rsidRPr="00A259BD">
        <w:rPr>
          <w:color w:val="000000" w:themeColor="text1"/>
          <w:sz w:val="16"/>
          <w:szCs w:val="16"/>
        </w:rPr>
        <w:t xml:space="preserve"> план намечает строительство 16 фабрик, общей мощностью в 28 450 т, с производством в 1932/33 г. около 17 тыс. т. Этот план, по существу, еще имеется пока в виде наметки, нельзя считать решенным вопрос о наиболее выгодном типе производства, объекты далеко не все намечены; это объясняется почти полным отсутствием собственного опыта в этом деле. Исходя из огромного специфически оборонного значения этого производства (связь с производством порохов и взрывчатых веществ), а также громадного народнохозяйственного значения, необходимо план развития производства искусственного волокна проработать в особом порядке и интенсивно продолжать работу по изучению этого производства с целью увязки его с производством взрывчатых веществ. Это даст возможность избавиться от необходимости значительного капитального строительства в военной промышленности.</w:t>
      </w:r>
    </w:p>
    <w:p w14:paraId="5D01E2E4"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lastRenderedPageBreak/>
        <w:t>В отношении районирования всей химической промышленности следует отметить довольно равномерное распределение ее между тремя основными районами (ЦПО, Урал и Волга и УССР). Удельный вес западной пограничной полосы, а также Ленинграда, в производстве основной химии незначителен (в 1932/33 г. удельный вес западной приграничной полосы в производстве серной кислоты составит 4</w:t>
      </w:r>
      <w:r w:rsidRPr="00A259BD">
        <w:rPr>
          <w:color w:val="000000" w:themeColor="text1"/>
          <w:sz w:val="16"/>
          <w:szCs w:val="16"/>
        </w:rPr>
        <w:noBreakHyphen/>
        <w:t>5%, а Ленинградской обл. — 7</w:t>
      </w:r>
      <w:r w:rsidRPr="00A259BD">
        <w:rPr>
          <w:color w:val="000000" w:themeColor="text1"/>
          <w:sz w:val="16"/>
          <w:szCs w:val="16"/>
        </w:rPr>
        <w:noBreakHyphen/>
        <w:t>8%, по аммиаку — 0 </w:t>
      </w:r>
      <w:r w:rsidRPr="00A259BD">
        <w:rPr>
          <w:color w:val="000000" w:themeColor="text1"/>
          <w:sz w:val="16"/>
          <w:szCs w:val="16"/>
        </w:rPr>
        <w:noBreakHyphen/>
        <w:t>0%, по хлору — 0% и 2</w:t>
      </w:r>
      <w:r w:rsidRPr="00A259BD">
        <w:rPr>
          <w:color w:val="000000" w:themeColor="text1"/>
          <w:sz w:val="16"/>
          <w:szCs w:val="16"/>
        </w:rPr>
        <w:noBreakHyphen/>
        <w:t>3%). Значительный удельный вес занимает Ленинград по техническим резиновым изделиям. Так, по шинным изделиям в настоящее время Ленинград занимает 90%, в 1932/33 г. — 11%; по всей группе к концу пятилетия удельный вес Ленинграда ориентировочно по наметкам плана составит 30</w:t>
      </w:r>
      <w:r w:rsidRPr="00A259BD">
        <w:rPr>
          <w:color w:val="000000" w:themeColor="text1"/>
          <w:sz w:val="16"/>
          <w:szCs w:val="16"/>
        </w:rPr>
        <w:noBreakHyphen/>
        <w:t>40%. Необходимо поэтому в этом отношении дополнительно проработать план с целью развития этого производства вне угрожаемых зон.</w:t>
      </w:r>
    </w:p>
    <w:p w14:paraId="2C6A384B" w14:textId="77777777" w:rsidR="00154C41" w:rsidRPr="00A259BD" w:rsidRDefault="00154C41" w:rsidP="009236E3">
      <w:pPr>
        <w:pStyle w:val="rtejustify"/>
        <w:spacing w:before="0" w:after="0"/>
        <w:rPr>
          <w:color w:val="000000" w:themeColor="text1"/>
          <w:sz w:val="16"/>
          <w:szCs w:val="16"/>
        </w:rPr>
      </w:pPr>
      <w:r w:rsidRPr="00A259BD">
        <w:rPr>
          <w:rStyle w:val="af0"/>
          <w:i w:val="0"/>
          <w:color w:val="000000" w:themeColor="text1"/>
          <w:sz w:val="16"/>
          <w:szCs w:val="16"/>
        </w:rPr>
        <w:t>Сельское хозяйство.</w:t>
      </w:r>
      <w:r w:rsidRPr="00A259BD">
        <w:rPr>
          <w:color w:val="000000" w:themeColor="text1"/>
          <w:sz w:val="16"/>
          <w:szCs w:val="16"/>
        </w:rPr>
        <w:t xml:space="preserve"> В плане развития сельского хозяйства крупнейшим фактором оборонного значения является значительный темп роста обобществленного сектора, а вместе с тем и укрупнения производственных единиц. Не приходится сомневаться, что в условиях войны, когда особенно важно сохранение возможностей регулирования хозяйства, обобществленный сектор будет играть значительную роль; столь же важно наличие крупных производственных единиц, легче поддающихся плановому воздействию, чем многомиллионная масса мелких, распыленных крестьянских хозяйств. Поэтому линия на развитие обобществленных хозяйств, начиная с высших типов их, кончая простейшим типом до контрактации включительно, в максимальной степени усиливает позиции обороны. Другим фактором первостепенного оборонного значения, лежащим в основе плана, является машинизация и химизация сельского хозяйства; первая не только способствует интенсивности производства, но значительно улучшает баланс тяговой силы в сельском хозяйстве, что во время войны, при значительном изъятии лошадей, особенно важно. И та, и другая усиливают связи сельскохозяйственного производства с промышленностью, ставят его некоторым образом в зависимость от промышленности, что также способствует подтягиванию сельского хозяйства под воздействие планового начала. Эти процессы, подлежащие широкому развертыванию на протяжении пятилетия, являются решающими в деле реконструкции сельского хозяйства; они же разрешают в основном вопрос подготовки сельского хозяйства к обороне. Удельный вес в товарной продукции зерна обобществленного сектора в конце пятилетия составляет 39%, что соответствует полной годовой потребности армии в военное время; это одно свидетельствует о решительном сдвиге в деле усиления обороноспособности. Не менее серьезны такие реконструктивные сдвиги, как втягивание в сельскохозяйственную кооперацию до 85% всех крестьянских дворов, охват контрактации 100% товарной массы технических культур, около ⅔ зерна и 50% животноводства, переход на производственную и долголетнюю контрактацию, покрытие потребности в искусственных удобрениях по главным техническим культурам на 88% и т. д. Необходимо также отметить серьезный сдвиг в развитии строительства предприятий по переработке сельскохозяйственной продукции, с вложением в это дело около 1,4 млрд. руб.; это строительство имеет первостепенное оборонное значение, не только индустриализируя сельское хозяйство, но и усиливая возможности планового воздействия на характер, размеры и качество продукции. Необходимо отметить, что так же, как и в отношении промышленности, первые 3 года пятилетия не дают еще полного размаха всех реконструктивных сдвигов в сельском хозяйстве; в этот период сельское хозяйство в основном выходит из того состояния отстающей отрасли народного хозяйства, в котором его застает начало пятилетия. В 1930/31 г. в случае войны потребности армии и городского населения были бы удовлетворены еще со значительным дефицитом; только в конце пятилетия продукция хлеба обеспечивает полностью потребности страны и армии в случае войны. Из технических культур остается дефицитным хлопок, по которому процент удовлетворения мирных потребностей, за вычетом потребления армии, составляет: 1927/28 г. — 45,4%; 1930/31 г. — 66,3%; 1932/33 г. — 73%. Недостаточное развитие получает продукция мяса и сырья животного происхождения; процент удовлетворения мирных потребностей, за вычетом потребления армии, составит: по мясу в 1930/31 г. — 56,7%, в 1932/33 г. — 76,3%, по кожам крупным — соответственно 52,8% и 62,2%, по шерсти — 33,9% и 27,9%. Это свидетельствует, что если в плане развития сельского хозяйства проблема хлеба и в целом растениеводство нашли себе удовлетворительное разрешение с точки зрения обороны, то в отношении животноводства приходится констатировать значительный разрыв; с этой стороны план, несомненно, нуждается в серьезных поправках. Этот разрыв наглядно характеризуется следующими данными:</w:t>
      </w:r>
    </w:p>
    <w:p w14:paraId="01FE6B91" w14:textId="77777777" w:rsidR="00154C41" w:rsidRPr="00A259BD" w:rsidRDefault="00154C41" w:rsidP="009236E3">
      <w:pPr>
        <w:pStyle w:val="ae"/>
        <w:spacing w:before="0" w:after="0"/>
        <w:jc w:val="both"/>
        <w:rPr>
          <w:color w:val="000000" w:themeColor="text1"/>
          <w:sz w:val="16"/>
          <w:szCs w:val="16"/>
        </w:rPr>
      </w:pPr>
      <w:r w:rsidRPr="00A259BD">
        <w:rPr>
          <w:rStyle w:val="a7"/>
          <w:b w:val="0"/>
          <w:color w:val="000000" w:themeColor="text1"/>
          <w:sz w:val="16"/>
          <w:szCs w:val="16"/>
        </w:rPr>
        <w:t>Сдвиги в удельном весе отраслей сельского хозяйства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32"/>
        <w:gridCol w:w="1906"/>
        <w:gridCol w:w="1906"/>
        <w:gridCol w:w="3178"/>
      </w:tblGrid>
      <w:tr w:rsidR="00A259BD" w:rsidRPr="00A259BD" w14:paraId="3210A86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87156BF"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9924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DF48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9C79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 г. к 1932 г.,</w:t>
            </w:r>
          </w:p>
          <w:p w14:paraId="1A1BA835"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процентах</w:t>
            </w:r>
          </w:p>
        </w:tc>
      </w:tr>
      <w:tr w:rsidR="00A259BD" w:rsidRPr="00A259BD" w14:paraId="7F033D09" w14:textId="77777777" w:rsidTr="005704B1">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4189B1B"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Валовая продукция</w:t>
            </w:r>
          </w:p>
        </w:tc>
      </w:tr>
      <w:tr w:rsidR="00A259BD" w:rsidRPr="00A259BD" w14:paraId="702780A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A49877E"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Растениеводство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FC51D"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9C94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C2154"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+ 1,5</w:t>
            </w:r>
          </w:p>
        </w:tc>
      </w:tr>
      <w:tr w:rsidR="00A259BD" w:rsidRPr="00A259BD" w14:paraId="0C147F9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680AC5E"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том числе: зерновые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1501E"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B4AB2"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D4032"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-0,7</w:t>
            </w:r>
          </w:p>
        </w:tc>
      </w:tr>
      <w:tr w:rsidR="00A259BD" w:rsidRPr="00A259BD" w14:paraId="2FB6C7D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9708A22"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FFF40"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0019F"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AF7F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+24,2</w:t>
            </w:r>
          </w:p>
        </w:tc>
      </w:tr>
      <w:tr w:rsidR="00A259BD" w:rsidRPr="00A259BD" w14:paraId="415B021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21C9317"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Животноводство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39DFD"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0DB6F"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F1A2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r>
      <w:tr w:rsidR="00A259BD" w:rsidRPr="00A259BD" w14:paraId="34DDEBFA" w14:textId="77777777" w:rsidTr="005704B1">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B6B0CFB"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Товарная продукция</w:t>
            </w:r>
          </w:p>
        </w:tc>
      </w:tr>
      <w:tr w:rsidR="00A259BD" w:rsidRPr="00A259BD" w14:paraId="56C9C16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0B293C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Растениеводство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C682E"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55E3D"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D267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+9,1</w:t>
            </w:r>
          </w:p>
        </w:tc>
      </w:tr>
      <w:tr w:rsidR="00A259BD" w:rsidRPr="00A259BD" w14:paraId="2E48515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50D7745"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том числе: зерновые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5464B"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675E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4E8E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tc>
      </w:tr>
      <w:tr w:rsidR="00A259BD" w:rsidRPr="00A259BD" w14:paraId="7E9FA2C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7656BDF"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807C0"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E445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1881E"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+ 18</w:t>
            </w:r>
          </w:p>
        </w:tc>
      </w:tr>
      <w:tr w:rsidR="00A259BD" w:rsidRPr="00A259BD" w14:paraId="4D1245C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D341810"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Животноводство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BF627"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F15ED"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9042E"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-8,9</w:t>
            </w:r>
          </w:p>
        </w:tc>
      </w:tr>
    </w:tbl>
    <w:p w14:paraId="510CDBA8"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Из важнейших, с точки зрения обороны, разделов сельскохозяйственного производства нужно отметить производство овса и сеяных трав. При росте конского поголовья на 19,7% рост валовой продукции овса запроектирован на 24</w:t>
      </w:r>
      <w:r w:rsidRPr="00A259BD">
        <w:rPr>
          <w:color w:val="000000" w:themeColor="text1"/>
          <w:sz w:val="16"/>
          <w:szCs w:val="16"/>
        </w:rPr>
        <w:noBreakHyphen/>
        <w:t>26%; сеяные травы проектируются в районах, наиболее интересных с точки зрения обороны, в значительных темпах, а именно: потребляющая полоса — + 97; ЦЧО — + 244; БССР — + 101; УССР — +170 [%]. Снабжение населения продуктами огородничества и бахчеводства даст сдвиг в сторону увеличения, так как при росте городского населения на 21,3% прирост товарной части этих продуктов увеличивается на 61%.</w:t>
      </w:r>
    </w:p>
    <w:p w14:paraId="7553A47A"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 xml:space="preserve">В отношении районирования сельскохозяйственной продукции в плане намечаются следующие сдвиги: снабжение хлебом потребляющей полосы Европейской части СССР, а также Средней Азии переносится к концу пятилетия почти целиком на счет Поволжья, Сибири и Казахстана; Украина, Северный Кавказ и частью Поволжье ориентируются на экспорт. Таким образом, в случае войны эти районы, наиболее близкие к фронту, послужат основной базой снабжения хлебом вооруженных сил. По льну мы имеем в течение пятилетия некоторое передвижение на Восток; удельные веса меняются следующим образом: Западный район 1927/28 г. — 12,7% валовой продукции, 1932/33 г. — 11,8%; ЦПО — 31,1%, 27,9%; </w:t>
      </w:r>
      <w:proofErr w:type="spellStart"/>
      <w:r w:rsidRPr="00A259BD">
        <w:rPr>
          <w:color w:val="000000" w:themeColor="text1"/>
          <w:sz w:val="16"/>
          <w:szCs w:val="16"/>
        </w:rPr>
        <w:t>Вятско</w:t>
      </w:r>
      <w:proofErr w:type="spellEnd"/>
      <w:r w:rsidRPr="00A259BD">
        <w:rPr>
          <w:color w:val="000000" w:themeColor="text1"/>
          <w:sz w:val="16"/>
          <w:szCs w:val="16"/>
        </w:rPr>
        <w:t>-Ветлужский — 8,4%, 9,4%; Уральская обл. — 6,7%, 7,7%; Сибирский край — 10,8%, 14,2%; БССР — 11,6%, 11,2%. Посевы сахарной свеклы развиваются в целом ряде восточных районов, в том числе: ЦЧО — на 312%, на Северном Кавказе — на 336%, в Западной обл. — 226%; в то же время по Украине рост составляет 199%. Таким образом, развитие посевов в районах, более удаленных от фронта, идет более быстрым темпом, чем в западных районах, тем не менее основной массив свеклосеяния остается на Правобережье Украины.</w:t>
      </w:r>
    </w:p>
    <w:p w14:paraId="24D9E478" w14:textId="77777777" w:rsidR="00154C41" w:rsidRPr="00A259BD" w:rsidRDefault="00154C41" w:rsidP="009236E3">
      <w:pPr>
        <w:pStyle w:val="rtejustify"/>
        <w:spacing w:before="0" w:after="0"/>
        <w:rPr>
          <w:color w:val="000000" w:themeColor="text1"/>
          <w:sz w:val="16"/>
          <w:szCs w:val="16"/>
        </w:rPr>
      </w:pPr>
      <w:r w:rsidRPr="00A259BD">
        <w:rPr>
          <w:rStyle w:val="af0"/>
          <w:i w:val="0"/>
          <w:color w:val="000000" w:themeColor="text1"/>
          <w:sz w:val="16"/>
          <w:szCs w:val="16"/>
        </w:rPr>
        <w:t>Транспорт.</w:t>
      </w:r>
      <w:r w:rsidRPr="00A259BD">
        <w:rPr>
          <w:color w:val="000000" w:themeColor="text1"/>
          <w:sz w:val="16"/>
          <w:szCs w:val="16"/>
        </w:rPr>
        <w:t xml:space="preserve"> Как уже указывалось выше, при запроектированном росте грузооборота железных дорог удельный вес военных перевозок в случае войны на всем протяжении пятилетия остается почти стабильным, причем сами размеры военных перевозок растут в следующем темпе: 1928/29 г. — 100%, 1930/31 г. — 120%, 1932/33 г. — 150%.</w:t>
      </w:r>
    </w:p>
    <w:p w14:paraId="561E84B8"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Потребность в подвижном составе на время войны, по произведенным нами подсчетам в первые годы пятилетия, остается неудовлетворенной; этот недостаток составляет для 1929/30 г. от 10 до 15% (товарных вагонов), примерно такой же процент неудовлетворения будет иметь место в 1930/31 г. По проектировке плана намечается создание резерва в подвижном составе (товарных вагонов) в 1930/31 г. — 2,1%, в 1932/33 г. — 11,5%. Таким образом, этот резерв даже в последний год пятилетия не вполне удовлетворяет потребности военного времени. По оптимальному варианту резерв создается еще меньше (в 1932/33 г. — 5,2%). По паровозам предполагается создать в 1932/33 г. резерв в 11,4% по отправному варианту и по оптимальному — 7,5%. Таким образом, наиболее «узким» местом пятилетнего плана транспорта, с точки зрения обороны, является недостаточное развитие товарного парка вагонов, а так как резервы создаются при весьма высоком принятом измерителе подвижного состава (118</w:t>
      </w:r>
      <w:r w:rsidRPr="00A259BD">
        <w:rPr>
          <w:color w:val="000000" w:themeColor="text1"/>
          <w:sz w:val="16"/>
          <w:szCs w:val="16"/>
        </w:rPr>
        <w:noBreakHyphen/>
        <w:t>километровый средний суточный пробег), который трудно будет сохранить в военное время, то следует признать, что создаваемый резерв на случай войны не обеспечивает потребности грузооборота; при оптимальном варианте процент резерва значительно меньше, поэтому приходится признать программу строительства подвижного состава по отправному варианту недостаточной, необходимо принять программу вагоностроения оптимального варианта (140 тыс.).</w:t>
      </w:r>
    </w:p>
    <w:p w14:paraId="6BD6585D"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Подсчеты НКПС показывают сравнительно благополучную картину пропускной способности железных дорог в течение пятилетия; только 0,65% путей достигают мощности грузопотоков, превышающую допустимую, и требуют применения особых технических средств; 1,29% линий близки к критическому состоянию, но смогут овладеть грузопотоком существующими техническими средствами. Железнодорожные направления, идущие к западной границе, в полосе западнее меридиана Москвы не дают почти никакого возрастания грузопотоков, и их усиление производится в порядке специального плана по оборонным соображениям. Наибольший рост грузооборота дают направления: Донбасс — Москва — Ленинград, Сибирь — ЦПО и Северо-Западная обл., Донбасс — Кривой Рог, Закавказье — Северный Кавказ — Центр, Заволжье — Южная Украина, Средняя Азия — Сибирь; увеличение пропускной способности этих направлений вполне совпадает с интересами обороны.</w:t>
      </w:r>
    </w:p>
    <w:p w14:paraId="1908D99B"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 xml:space="preserve">В плане нового железнодорожного строительства особое значение, с точки зрения обороны, имеют линии Брянск — Вязьма, Ржев—Новгород, обходное кольцо вокруг Москвы, Волоколамск — Витебск. Первые две в мирное время будут обслуживать угольный грузопоток на Ленинград, в случае войны могут служить рокадами для оперативных перевозок; московское кольцо в мирное время связано с разгрузкой московского узла, в военное время значительно облегчит задачу обслуживания фронта. </w:t>
      </w:r>
      <w:proofErr w:type="spellStart"/>
      <w:r w:rsidRPr="00A259BD">
        <w:rPr>
          <w:color w:val="000000" w:themeColor="text1"/>
          <w:sz w:val="16"/>
          <w:szCs w:val="16"/>
        </w:rPr>
        <w:t>Сверхмагистрализация</w:t>
      </w:r>
      <w:proofErr w:type="spellEnd"/>
      <w:r w:rsidRPr="00A259BD">
        <w:rPr>
          <w:color w:val="000000" w:themeColor="text1"/>
          <w:sz w:val="16"/>
          <w:szCs w:val="16"/>
        </w:rPr>
        <w:t xml:space="preserve"> сибирского направления и направления Донбасс — Москва имеют крупное значение с точки зрения обороны; из них осуществление первой в течение пятилетия является насущно необходимым и никаких сомнений не вызывает; второе в течение пятилетия не находит себе разрешения, так как существующие линии при усилении справляются в течение пятилетия с грузопотоками. В плане запроектировано значительное строительство в восточных районах — на Урале, в Казахстане, в Сибири, в Средней Азии; это связано с промышленным развитием, а также с развитием сельского хозяйства в этих районах и усиливает их </w:t>
      </w:r>
      <w:r w:rsidRPr="00A259BD">
        <w:rPr>
          <w:color w:val="000000" w:themeColor="text1"/>
          <w:sz w:val="16"/>
          <w:szCs w:val="16"/>
        </w:rPr>
        <w:lastRenderedPageBreak/>
        <w:t>связь с центром страны. Это строительство наряду с общехозяйственным имеет крупное оборонное значение. В общем, наиболее интенсивное строительство железнодорожных линий падает на районы Северо-Востока, Востока и Юго-Востока, что вполне соответствует задачам более интенсивного развития этих районов и расширяет базу обороны.</w:t>
      </w:r>
    </w:p>
    <w:p w14:paraId="0390BF7E"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 xml:space="preserve">В области реконструкции транспорта необходимо отметить введение </w:t>
      </w:r>
      <w:proofErr w:type="spellStart"/>
      <w:r w:rsidRPr="00A259BD">
        <w:rPr>
          <w:color w:val="000000" w:themeColor="text1"/>
          <w:sz w:val="16"/>
          <w:szCs w:val="16"/>
        </w:rPr>
        <w:t>автоторможения</w:t>
      </w:r>
      <w:proofErr w:type="spellEnd"/>
      <w:r w:rsidRPr="00A259BD">
        <w:rPr>
          <w:color w:val="000000" w:themeColor="text1"/>
          <w:sz w:val="16"/>
          <w:szCs w:val="16"/>
        </w:rPr>
        <w:t xml:space="preserve"> и автоблокировки, что способствует усилению пропускной способности сети и соответствует интересам обороны. Электрификация железных дорог намечается в незначительных размерах и существенного значения в течение пятилетия не имеет. В отношении тепловозов планом предусматривается опытное их применение на одном из участков; при удачном разрешении применения тепловозов таковые могли бы сыграть значительную роль в случае войны (использование на линиях с разрушенным водоснабжением).</w:t>
      </w:r>
    </w:p>
    <w:p w14:paraId="630EF061" w14:textId="77777777" w:rsidR="00154C41" w:rsidRPr="00A259BD" w:rsidRDefault="00154C41" w:rsidP="009236E3">
      <w:pPr>
        <w:pStyle w:val="rtejustify"/>
        <w:spacing w:before="0" w:after="0"/>
        <w:rPr>
          <w:color w:val="000000" w:themeColor="text1"/>
          <w:sz w:val="16"/>
          <w:szCs w:val="16"/>
        </w:rPr>
      </w:pPr>
      <w:r w:rsidRPr="00A259BD">
        <w:rPr>
          <w:rStyle w:val="af0"/>
          <w:i w:val="0"/>
          <w:color w:val="000000" w:themeColor="text1"/>
          <w:sz w:val="16"/>
          <w:szCs w:val="16"/>
        </w:rPr>
        <w:t>Водный транспорт</w:t>
      </w:r>
      <w:r w:rsidRPr="00A259BD">
        <w:rPr>
          <w:color w:val="000000" w:themeColor="text1"/>
          <w:sz w:val="16"/>
          <w:szCs w:val="16"/>
        </w:rPr>
        <w:t xml:space="preserve"> в настоящее время показывает значительное отставание по сравнению с 1913 г. (грузооборот 1928 г. составляет 76,1% от довоенного); планом предусматривался рост грузооборота на 58% к концу пятилетия, в том числе нефтеперевозки — 53,7%. С точки зрения обороны, особое значение имеет переустройство Березинской системы, а также работы по дноуглублению на Днепре, Марьинской системе и т. д. В связи с вопросами топливоснабжения на военное время огромное значение приобретает развитие </w:t>
      </w:r>
      <w:proofErr w:type="spellStart"/>
      <w:r w:rsidRPr="00A259BD">
        <w:rPr>
          <w:color w:val="000000" w:themeColor="text1"/>
          <w:sz w:val="16"/>
          <w:szCs w:val="16"/>
        </w:rPr>
        <w:t>нефтефлота</w:t>
      </w:r>
      <w:proofErr w:type="spellEnd"/>
      <w:r w:rsidRPr="00A259BD">
        <w:rPr>
          <w:color w:val="000000" w:themeColor="text1"/>
          <w:sz w:val="16"/>
          <w:szCs w:val="16"/>
        </w:rPr>
        <w:t xml:space="preserve"> по Волге, строительство которого должно быть по возможности увеличено по сравнению с планом; то же самое относится к развитию и нефтеналивного флота на Каспийском море.</w:t>
      </w:r>
    </w:p>
    <w:p w14:paraId="4F28AE80"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 xml:space="preserve">Наиболее отсталой отраслью транспортного хозяйства является </w:t>
      </w:r>
      <w:r w:rsidRPr="00A259BD">
        <w:rPr>
          <w:rStyle w:val="af0"/>
          <w:i w:val="0"/>
          <w:color w:val="000000" w:themeColor="text1"/>
          <w:sz w:val="16"/>
          <w:szCs w:val="16"/>
        </w:rPr>
        <w:t>безрельсовый транспорт.</w:t>
      </w:r>
      <w:r w:rsidRPr="00A259BD">
        <w:rPr>
          <w:color w:val="000000" w:themeColor="text1"/>
          <w:sz w:val="16"/>
          <w:szCs w:val="16"/>
        </w:rPr>
        <w:t xml:space="preserve"> Интересы развития народного хозяйства настоятельно требуют дать в течение ближайшего пятилетия мощный толчок подъему этого заброшенного участка. Намечающееся мощное развитие автотранспорта, задачи индустриализации сельского хозяйства, задачи освоения новых районов заставляют подойти к разрешению проблемы безрельсовых путей с планом широкой и решительной реконструкции; это не нашло себе разрешения ни в коей мере в проектировках пятилетнего плана по транспорту, несмотря на предположенные значительные новые строительства. Между тем задачи подготовки к обороне требуют наличия хорошо развитой сети дорог и достаточно высокого их качества; программа создания парка автотранспорта в 150 тыс. машин на конец пятилетия не может быть удовлетворительно разрешена без одновременного решения вопроса дорожного строительства. Все это заставляет признать запроектированный план неудовлетворительным и требует дополнительной проработки для приведения в соответствие с намечающимися темпами местного грузооборота и автотранспорта. Вопросы реконструкции безрельсового транспорта должны найти себе в ближайшее время решение; необходимо всемерно усилить вовлечение средств местных бюджетов, промышленности и самого населения в дело дорожного строительства; необходимо придать делу строительства безрельсовых путей четкий организационный характер.</w:t>
      </w:r>
    </w:p>
    <w:p w14:paraId="66BB489A"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 xml:space="preserve">Необходимо особо остановиться на проблеме развития </w:t>
      </w:r>
      <w:r w:rsidRPr="00A259BD">
        <w:rPr>
          <w:rStyle w:val="af0"/>
          <w:i w:val="0"/>
          <w:color w:val="000000" w:themeColor="text1"/>
          <w:sz w:val="16"/>
          <w:szCs w:val="16"/>
        </w:rPr>
        <w:t>автотранспорта.</w:t>
      </w:r>
      <w:r w:rsidRPr="00A259BD">
        <w:rPr>
          <w:color w:val="000000" w:themeColor="text1"/>
          <w:sz w:val="16"/>
          <w:szCs w:val="16"/>
        </w:rPr>
        <w:t xml:space="preserve"> Следует признать, что в этой области нами упущено много времени и необходимо мобилизовать значительные силы и средства для того, чтобы наверстать упущенное. Несомненно, что мы подошли к тому пределу, когда недостаточное развитие механического транспорта в стране является тормозом в развитии производительных сил. Состояние нашего автомобильного хозяйства нужно признать неудовлетворительным как с точки зрения общего наличия парка, так и с точки зрения его качеств. Наша автопромышленность находится еще в зачаточном состоянии и далеко не стоит твердо на своих ногах. Мы еще не подошли вплотную и по серьезному к определению потребности народного хозяйства в автотранспорте на период пятилетия, и в этой области, кроме отдельных выступлений в печати, ничего не сделано. Между тем вопрос о развитии автотранспорта в течение ближайших лет является одним из решающих в деле подготовки страны к обороне. В самом деле, мы готовимся к подготовке вооруженных сил на высоком уровне военной техники, мы подготавливаем народное хозяйство к подаче в случае войны на фронт колоссальных количеств огнеприпасов, орудия, снаряжения, </w:t>
      </w:r>
      <w:proofErr w:type="spellStart"/>
      <w:r w:rsidRPr="00A259BD">
        <w:rPr>
          <w:color w:val="000000" w:themeColor="text1"/>
          <w:sz w:val="16"/>
          <w:szCs w:val="16"/>
        </w:rPr>
        <w:t>продфуража</w:t>
      </w:r>
      <w:proofErr w:type="spellEnd"/>
      <w:r w:rsidRPr="00A259BD">
        <w:rPr>
          <w:color w:val="000000" w:themeColor="text1"/>
          <w:sz w:val="16"/>
          <w:szCs w:val="16"/>
        </w:rPr>
        <w:t xml:space="preserve"> и т. д.; на основе анализа перспектив развития народного хозяйства мы установили, что этот масштаб подготовки к обороне посилен для народного хозяйства на уровне развития производительных сил, достигаемом им к концу пятилетия. А между тем без разрешения проблемы механического транспорта мы не обеспечим вооруженным силам маневрирования всеми этими ресурсами; имеющийся в этом деле разрыв должен быть во что бы то ни стало ликвидирован. Мы сделали попытку исчислить потребность в автотранспорте в стране на конец пятилетия, приняв во внимание рост местного грузового оборота, наличие и перспективы гужевого транспорта и живой тягловой силы, даже мы учли потребность вооруженных сил по мобилизации на конец пятилетия; на основе такого, далеко несовершенного, подсчета мы пришли к цифре потребности в стране грузовых машин в 122 тыс., причем наиболее приемлемый тип машины определяется 1,5</w:t>
      </w:r>
      <w:r w:rsidRPr="00A259BD">
        <w:rPr>
          <w:color w:val="000000" w:themeColor="text1"/>
          <w:sz w:val="16"/>
          <w:szCs w:val="16"/>
        </w:rPr>
        <w:noBreakHyphen/>
        <w:t>2 т. Далеко не переоценивая этого исчисления, можно с уверенностью сказать, что принимая во внимание интересы обороны, эта цифра является, скорее всего, преуменьшенной. В связи с этим необходимо признать намеченный ВСНХ план автостроения далеко недостаточным и недоработанным. К делу развития автостроения должны быть привлечены в большей степени, чем это имеет место до сих пор, республики и районы, перед всей нашей общественностью вопрос о развитии автотранспорта должен быть поставлен как первоочередной оборонный вопрос.</w:t>
      </w:r>
    </w:p>
    <w:p w14:paraId="39DD2F8F"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 xml:space="preserve">Гораздо больше, относительно, наши успехи в деле развития </w:t>
      </w:r>
      <w:r w:rsidRPr="00A259BD">
        <w:rPr>
          <w:rStyle w:val="af0"/>
          <w:i w:val="0"/>
          <w:color w:val="000000" w:themeColor="text1"/>
          <w:sz w:val="16"/>
          <w:szCs w:val="16"/>
        </w:rPr>
        <w:t>воздушных сообщений гражданской авиации</w:t>
      </w:r>
      <w:r w:rsidRPr="00A259BD">
        <w:rPr>
          <w:color w:val="000000" w:themeColor="text1"/>
          <w:sz w:val="16"/>
          <w:szCs w:val="16"/>
        </w:rPr>
        <w:t xml:space="preserve"> в целом. Мы имеем в настоящее время довольно разветвленную сеть воздушных линий, мы применяем самолеты в различных областях (аэрофотосъемки, борьба с вредителями и т. д.). Пятилетний план развития гражданской авиации предусматривает значительные темпы развития различных отраслей применения ее, впервые в этом плане предполагается подойти к развитию гражданской авиапромышленности. Это обозначает, что авиация, бывшая до сих пор исключительно делом военным, становится самостоятельной отраслью народного хозяйства. Однако нужно признать, что, по-видимому, и в этой области мы далеко не учли еще всех возможностей и всех потребностей, поэтому и здесь предстоит работа по уточнению перспектив в этом деле в сторону значительного увеличения темпа развития. Пока важно отметить что пути развития гражданской авиации определились, и что из положения, когда она поддерживалась почти исключительно опекой нашей общественности, гражданская авиация перешла на путь самостоятельного развития.</w:t>
      </w:r>
    </w:p>
    <w:p w14:paraId="75766533" w14:textId="77777777" w:rsidR="00154C41" w:rsidRPr="00A259BD" w:rsidRDefault="00154C41" w:rsidP="009236E3">
      <w:pPr>
        <w:pStyle w:val="rtejustify"/>
        <w:spacing w:before="0" w:after="0"/>
        <w:rPr>
          <w:color w:val="000000" w:themeColor="text1"/>
          <w:sz w:val="16"/>
          <w:szCs w:val="16"/>
        </w:rPr>
      </w:pPr>
      <w:r w:rsidRPr="00A259BD">
        <w:rPr>
          <w:rStyle w:val="af0"/>
          <w:i w:val="0"/>
          <w:color w:val="000000" w:themeColor="text1"/>
          <w:sz w:val="16"/>
          <w:szCs w:val="16"/>
        </w:rPr>
        <w:t>Труд.</w:t>
      </w:r>
      <w:r w:rsidRPr="00A259BD">
        <w:rPr>
          <w:color w:val="000000" w:themeColor="text1"/>
          <w:sz w:val="16"/>
          <w:szCs w:val="16"/>
        </w:rPr>
        <w:t xml:space="preserve"> Так как численность армии остается стабильной на всем протяжении пятилетия, то процент изъятия в течение года войны к концу пятилетия снижается (по отношению ко всему трудоспособному населению Союза он составит в 1932/33 г. 6,3%, по отношению ко всем трудоспособным мужчинам — 13,3%); этот процент нужно признать вполне посильным, если учесть, что в период империалистической войны в первый год в России было изъято 10,5% всего трудоспособного населения и 21,9% всех трудоспособных мужчин. Изъятие рабочих промышленных составляет 14,6%, работников транспорта и связи — 4,1%, при этом условии рабочая прослойка в армии составит в 1928/29 г. 7,5%, в 1932/33 г. — 8,3%. В области труда на военное время стоит серьезный вопрос об укомплектовании развертывающейся промышленности в военных производствах квалифицированной рабочей силой, поэтому необходимо, чтобы в первые годы пятилетия было увеличено намечаемое планом количество переобучаемых рабочих в основных отраслях промышленности (металлической, химической и каменноугольной). Поскольку вопрос подготовки к обороне промышленности в течение пятилетия теснейшим образом связан с наличием инженерно-технического персонала для осуществления намечаемого грандиозного строительства, имеющего в ряде отраслей специфическое оборонное значение (цветная металлургия, химия, машиностроение авто-, авиа- и моторостроение), то необходимо признать, что вопрос подготовки этих кадров является, с точки зрения обороны, особенно острым. Далее, с точки зрения обороны, имеет значение не только сохранение, но и повышение удельного веса женского труда в промышленности, так как естественно, что в случае войны женский труд будя играть значительную роль и по существу явится тем резервом, за счет которого достигается пополнение вновь развертываемых производств. Интересы мирного развития промышленности в обстановке значительного вовлечения новых кадров и повышения качества работы не противоречат большему вовлечению женского труда, который в целом ряде случаев может оказаться более приспособленным к производству, чем сырые деревенские кадры. Нежелательным явлением, с точки зрения обороны, имеющим место в нашей промышленности, является значительный процент в ряде отраслей рабочих, тесно связанных с деревней и сохраняющих крестьянские настроения, поэтому дело скорейшего перевоспитания этих кадров является, с точки зрения обороны, весьма насущным. Также неблагоприятным явлением является наличие текучести рабочей силы, особенно в таких отраслях, как горнодобывающая, топливная, металлическая; необходимо в пятилетием плане предусмотреть мероприятия по ликвидации этого явления. Особенно остро стоит вопрос о рассасывании безработицы и аграрного перенаселения в западной пограничной полосе (БССР, Правобережье Украины); в течение ближайшего пятилетия должен быть предпринят ряд решительных мероприятий по изжитию этого положения в порядке развития местной промышленности, поощрения кустарной промышленности, максимальной интенсификации сельского хозяйства, широких мероприятий по переселению и т. д.</w:t>
      </w:r>
    </w:p>
    <w:p w14:paraId="5A155714"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 xml:space="preserve">В отношении </w:t>
      </w:r>
      <w:r w:rsidRPr="00A259BD">
        <w:rPr>
          <w:rStyle w:val="af0"/>
          <w:i w:val="0"/>
          <w:color w:val="000000" w:themeColor="text1"/>
          <w:sz w:val="16"/>
          <w:szCs w:val="16"/>
        </w:rPr>
        <w:t>социально-культурного строительства</w:t>
      </w:r>
      <w:r w:rsidRPr="00A259BD">
        <w:rPr>
          <w:color w:val="000000" w:themeColor="text1"/>
          <w:sz w:val="16"/>
          <w:szCs w:val="16"/>
        </w:rPr>
        <w:t xml:space="preserve"> особое значение в интересах подготовки к обороне представляет полоса западных пограничных районов; здесь в отношении мероприятий социально-культурного порядка план должен быть особенно тщательно проработан. При сочетании широких мероприятий по поднятию экономики этих районов с соответствующими мероприятиями по линии просвещения, здравоохранения, коммунального хозяйства и т. д. здесь должна быть создана прочная социально-политическая база возможного будущего непосредственного тыла вооруженного фронта. Не менее важной, с точки зрения усиления обороноспособности, является область социально-культурного строительства на Дальнем Востоке и во всей полосе районов, соприкасающихся с Китаем, Афганистаном и Персией; в этих районах необходимо взять установку не только на противодействие напору зарубежного влияния, но на непосредственное воздействие на население сопредельных стран.</w:t>
      </w:r>
    </w:p>
    <w:p w14:paraId="7FBA7659"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 xml:space="preserve">Вопросы </w:t>
      </w:r>
      <w:r w:rsidRPr="00A259BD">
        <w:rPr>
          <w:rStyle w:val="af0"/>
          <w:i w:val="0"/>
          <w:color w:val="000000" w:themeColor="text1"/>
          <w:sz w:val="16"/>
          <w:szCs w:val="16"/>
        </w:rPr>
        <w:t>внутреннего товарооборота</w:t>
      </w:r>
      <w:r w:rsidRPr="00A259BD">
        <w:rPr>
          <w:color w:val="000000" w:themeColor="text1"/>
          <w:sz w:val="16"/>
          <w:szCs w:val="16"/>
        </w:rPr>
        <w:t xml:space="preserve">, с точки зрения подготовки к обороне, ставятся как вопросы организации и регулирования потребления. Чем более в мирное время внутренний товарооборот будет охвачен регулирующими мероприятиями, чем более вопросы внутренней торговли будут перекрываться плановым охватом снабжения страны, тем более можно считать народное хозяйство подготовленным к переходу на условия военного времени. Если в условиях капиталистического хозяйства в минувшую империалистическую войну развитие шло в сторону все большего охвата рынка регулирующими мероприятиями, то тем более это будет иметь место в наших условиях; в этом отношении интересы подготовки к обороне не противоречат основным тенденциям мирного развития, которое идет по линии все более глубокого охвата в порядке регулирования внутренней торговли всех процессов, связанных с распределением и потреблением. Уже само по себе то значительное усиление элементов обобществления, элементов социализации, которые намечены, в особенности, в плане развития сельскохозяйственного сектора, должно автоматически повлечь за собою переход на высшую стадию планирования в области торговли; этому соответствует намечающийся быстрый темп обобществления в деле снабжения и питания городского населения. Чем больше в этом отношении будут достигнуты успехи в мирное время, тем легче будет маневрирование </w:t>
      </w:r>
      <w:r w:rsidRPr="00A259BD">
        <w:rPr>
          <w:color w:val="000000" w:themeColor="text1"/>
          <w:sz w:val="16"/>
          <w:szCs w:val="16"/>
        </w:rPr>
        <w:lastRenderedPageBreak/>
        <w:t xml:space="preserve">ресурсами в военное время, тем безболезненнее будет совершаться самый переход на путь жесткого регулирования, которое неизбежно во время войны. Поэтому развитие кооперации во всех ее видах приобретает огромное оборонное значение, роль ее во время войны значительно усилится; особенно важное значение имеют кооперирование и все формы обобществления в области индивидуального крестьянского хозяйства. Этому процессу перехода на плановый охват внутреннего товарооборота, усиливающему обороноспособность страны, должно соответствовать развитие торгового строительства, которое должно быть подготовлено к удовлетворению тех огромных запросов, которые будут предъявлены со стороны организованного потребления. С этой точки зрения, все торговое строительство, как-то: складское, холодильное, элеваторное, по линии общественного питания (хлебозаводы, столовые-фабрики и т. п.) приобретает огромное оборонное значение. В частности, с точки зрения подготовки к обороне, мы заинтересованы в достаточной </w:t>
      </w:r>
      <w:proofErr w:type="spellStart"/>
      <w:r w:rsidRPr="00A259BD">
        <w:rPr>
          <w:color w:val="000000" w:themeColor="text1"/>
          <w:sz w:val="16"/>
          <w:szCs w:val="16"/>
        </w:rPr>
        <w:t>обслуженности</w:t>
      </w:r>
      <w:proofErr w:type="spellEnd"/>
      <w:r w:rsidRPr="00A259BD">
        <w:rPr>
          <w:color w:val="000000" w:themeColor="text1"/>
          <w:sz w:val="16"/>
          <w:szCs w:val="16"/>
        </w:rPr>
        <w:t xml:space="preserve"> этой сетью районов, прилегающих к возможной линии фронта; в этом отношении положение сейчас нельзя признать благополучным, так как западнее линии Москва — Харьков имеется очень мало элеваторов, хлебозаводов и мельниц. План в отношении развития этих устройств должен быть дополнительно проработан.</w:t>
      </w:r>
    </w:p>
    <w:p w14:paraId="2F5B3D9A" w14:textId="77777777" w:rsidR="00154C41" w:rsidRPr="00A259BD" w:rsidRDefault="00154C41" w:rsidP="009236E3">
      <w:pPr>
        <w:pStyle w:val="rtejustify"/>
        <w:spacing w:before="0" w:after="0"/>
        <w:rPr>
          <w:color w:val="000000" w:themeColor="text1"/>
          <w:sz w:val="16"/>
          <w:szCs w:val="16"/>
        </w:rPr>
      </w:pPr>
      <w:r w:rsidRPr="00A259BD">
        <w:rPr>
          <w:rStyle w:val="af0"/>
          <w:i w:val="0"/>
          <w:color w:val="000000" w:themeColor="text1"/>
          <w:sz w:val="16"/>
          <w:szCs w:val="16"/>
        </w:rPr>
        <w:t>Торговые запасы.</w:t>
      </w:r>
      <w:r w:rsidRPr="00A259BD">
        <w:rPr>
          <w:color w:val="000000" w:themeColor="text1"/>
          <w:sz w:val="16"/>
          <w:szCs w:val="16"/>
        </w:rPr>
        <w:t xml:space="preserve"> Обобществление потребления, связанное с параллельным процессом обобществления производства в сельском хозяйстве, является наиболее решающим способом осуществить плановый охват внутреннего товарооборота. Однако этим не снимается необходимость наличия товарных запасов вообще и в текущем пятилетии в особенности. Здесь играет роль и сезонность в производстве целого ряда продуктов, сезонность спроса, учета транспортных условий, наконец, зависимость от импорта сырья; последние два условия особенно должны быть учитываемы с точки зрения обороны; в условиях войны, особенно в первый период ее, при загрузке транспорта военными перевозками благоприятное разрешение снабжения населения продовольствием и промтоварами будет зависеть в значительной степени от наличия запасов; в отношении сырья импортного происхождения блокада, связанная с войной, диктует необходимость держать крупные запасы. Таким образом, и потребности регулирования народного хозяйства, и потребности обороны требуют создания значительных запасов. В настоящее время положение в этом отношении является далеко неудовлетворительным и лишь постепенно в течение пятилетия создается запроектированный планом тот комплекс товарных запасов, который гарантирует нас от перебоев в мирное время и дает возможность сравнительно безболезненно осуществить переход к условиям военного времени. Накопление хлебных запасов намечено с лета 1930 г.; на 1 июля 1933 г. предполагается довести видимые запасы до 72 млн. ц, в том числе </w:t>
      </w:r>
      <w:proofErr w:type="spellStart"/>
      <w:r w:rsidRPr="00A259BD">
        <w:rPr>
          <w:color w:val="000000" w:themeColor="text1"/>
          <w:sz w:val="16"/>
          <w:szCs w:val="16"/>
        </w:rPr>
        <w:t>мобфонд</w:t>
      </w:r>
      <w:proofErr w:type="spellEnd"/>
      <w:r w:rsidRPr="00A259BD">
        <w:rPr>
          <w:color w:val="000000" w:themeColor="text1"/>
          <w:sz w:val="16"/>
          <w:szCs w:val="16"/>
        </w:rPr>
        <w:t xml:space="preserve"> для удовлетворения потребности Наркомвоенмора на период развертывания (3 месяца) — 12,5 млн. ц; последний должен быть создан в течение 1929/30 и 1930/31 гг. Сырьевые запасы промышленности в течение пятилетия имеют следующее движение;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04"/>
        <w:gridCol w:w="1659"/>
        <w:gridCol w:w="1659"/>
      </w:tblGrid>
      <w:tr w:rsidR="00A259BD" w:rsidRPr="00A259BD" w14:paraId="4B931D3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A570DCB"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Фактические запасы на конец года (в </w:t>
            </w:r>
            <w:proofErr w:type="spellStart"/>
            <w:r w:rsidRPr="00A259BD">
              <w:rPr>
                <w:rFonts w:ascii="Times New Roman" w:hAnsi="Times New Roman"/>
                <w:color w:val="000000" w:themeColor="text1"/>
                <w:sz w:val="16"/>
                <w:szCs w:val="16"/>
              </w:rPr>
              <w:t>мес</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яцах</w:t>
            </w:r>
            <w:proofErr w:type="spellEnd"/>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8FE3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D32CF"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w:t>
            </w:r>
          </w:p>
        </w:tc>
      </w:tr>
      <w:tr w:rsidR="00A259BD" w:rsidRPr="00A259BD" w14:paraId="0944042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5D3D384"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Хлопок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64C5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A7F58"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w:t>
            </w:r>
          </w:p>
        </w:tc>
      </w:tr>
      <w:tr w:rsidR="00A259BD" w:rsidRPr="00A259BD" w14:paraId="793B5B5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15EF91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6F3C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2B58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w:t>
            </w:r>
          </w:p>
        </w:tc>
      </w:tr>
      <w:tr w:rsidR="00A259BD" w:rsidRPr="00A259BD" w14:paraId="2DEE782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52B8A7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Пенька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B04AB"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ED215"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w:t>
            </w:r>
          </w:p>
        </w:tc>
      </w:tr>
      <w:tr w:rsidR="00A259BD" w:rsidRPr="00A259BD" w14:paraId="527250F5"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08421D9"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Шерсть грубая и полугрубая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345B7"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66D0C"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w:t>
            </w:r>
          </w:p>
        </w:tc>
      </w:tr>
      <w:tr w:rsidR="00A259BD" w:rsidRPr="00A259BD" w14:paraId="51CECEC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6989A8E"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Шерсть тонкая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DDB01"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78FA7"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w:t>
            </w:r>
          </w:p>
        </w:tc>
      </w:tr>
      <w:tr w:rsidR="00A259BD" w:rsidRPr="00A259BD" w14:paraId="60F349A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5DFDC0D"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Кожсырье крупное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988D4"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3305E"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w:t>
            </w:r>
          </w:p>
        </w:tc>
      </w:tr>
      <w:tr w:rsidR="00A259BD" w:rsidRPr="00A259BD" w14:paraId="318CA32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05DA51E"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Кожсырье мелкое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4701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D6732"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w:t>
            </w:r>
          </w:p>
        </w:tc>
      </w:tr>
    </w:tbl>
    <w:p w14:paraId="7B5C25FF"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По импортному сырью, сверх того, предусмотрено образование к концу пятилетия специального госфонда в размере месячной потребности. Эти проектировки по созданию запасов удовлетворяют потребность обороны, но лишь в конце пятилетия; на протяжении же ближайших 3 лет запасы недостаточны. Движение запасов промышленных товаров в процентах к их реализации предполагается в следующем виде: 1 октября 1928 г. — 24,9%; 1 октября 1929 г. — 24,5%; 1 октября 1930 г. — 25,2%; 1 октября 1931 г. — 25,6%; 1 октября 1932 г. — 27,5%; 1 октября 1933 г. — 28,7%. Необходимо создание специального запаса хозяйственного мыла и махорки в размере месячной продукции.</w:t>
      </w:r>
    </w:p>
    <w:p w14:paraId="192AA5A2"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Наконец, запасы скоропортящихся продуктов предполагается увеличить с 1 октября 1929 г.: по яйцам — с 2 месяцев до 2,5 месяцев, по маслу — до 1 месяца, по мясу с 11 дней до 25</w:t>
      </w:r>
      <w:r w:rsidRPr="00A259BD">
        <w:rPr>
          <w:color w:val="000000" w:themeColor="text1"/>
          <w:sz w:val="16"/>
          <w:szCs w:val="16"/>
        </w:rPr>
        <w:noBreakHyphen/>
        <w:t>дневной потребности всего городского населения. Основным дефектом этой программы создания запасов является позднее их образование, так как по существу мы достигаем удовлетворительного состояния их, с точки зрения обороны, лишь в последние 2 года пятилетия. Поэтому необходимо пересмотреть план создания, в особенности хлебных запасов, в сторону большего накопления уже в первые годы. Необходимо при рассмотрении погодных планов отнюдь не отступать от линии на создание запасов, по мере возможности усиливая и укрепляя их.</w:t>
      </w:r>
    </w:p>
    <w:p w14:paraId="1420E8A2" w14:textId="77777777" w:rsidR="00154C41" w:rsidRPr="00A259BD" w:rsidRDefault="00154C41" w:rsidP="009236E3">
      <w:pPr>
        <w:pStyle w:val="rtejustify"/>
        <w:spacing w:before="0" w:after="0"/>
        <w:rPr>
          <w:color w:val="000000" w:themeColor="text1"/>
          <w:sz w:val="16"/>
          <w:szCs w:val="16"/>
        </w:rPr>
      </w:pPr>
      <w:r w:rsidRPr="00A259BD">
        <w:rPr>
          <w:rStyle w:val="af0"/>
          <w:i w:val="0"/>
          <w:color w:val="000000" w:themeColor="text1"/>
          <w:sz w:val="16"/>
          <w:szCs w:val="16"/>
        </w:rPr>
        <w:t>Внешнеторговые связи.</w:t>
      </w:r>
      <w:r w:rsidRPr="00A259BD">
        <w:rPr>
          <w:color w:val="000000" w:themeColor="text1"/>
          <w:sz w:val="16"/>
          <w:szCs w:val="16"/>
        </w:rPr>
        <w:t xml:space="preserve"> Значение экспорта, с точки зрения подготовки к обороне, особенно важно в том отношении, что, развивая экспорт, мы тем самым создаем на случай войны резервы, которые смогут быть использованы с появлением нового крупного потребителя, каковым является армия. С этой стороны особенно важно развитие экспорта хлеба и прочих продуктов сельскохозяйственного производства (лен, масло, мясопродукты и т. д.). С этой точки зрения, меньший интерес представляет развитие экспорта лесоматериалов; развитие экспорта нефтепродуктов также создает в случае войны значительные резервы, которые могут существенно облегчить топливную проблему во время войны при условии, как это указывалось выше, создания благоприятных условий для выхода нефти на внутренний рынок. По линии импорта в течение пятилетия мы имеем некоторые сдвиги, а именно — некоторое снижение удельного импорта сырья; ввоз цветных металлов не сокращается в течение пятилетия, а даже наоборот, это является следствием неудовлетворительности плана развития внутренней добычи; импорт оборудования в течение пятилетия в общем сохраняет свой удельный вес и лишь в последний год пятилетия предполагается незначительное уменьшение; это свидетельствует о том, что по линии производства средств производства в текущем пятилетии наша зависимость от заграницы сохраняется. Необходимо тенденцию по сокращению ввоза сырья усилить за счет усиления внутренних ресурсов; необходимо перейти к организации производства суррогатов тех видов сырья, в отношении которых мы целиком зависим от импорта (каучук); также необходимо добиться сокращения ввоза цветных металлов путем увеличения добычи и </w:t>
      </w:r>
      <w:proofErr w:type="spellStart"/>
      <w:r w:rsidRPr="00A259BD">
        <w:rPr>
          <w:color w:val="000000" w:themeColor="text1"/>
          <w:sz w:val="16"/>
          <w:szCs w:val="16"/>
        </w:rPr>
        <w:t>суррогатирования</w:t>
      </w:r>
      <w:proofErr w:type="spellEnd"/>
      <w:r w:rsidRPr="00A259BD">
        <w:rPr>
          <w:color w:val="000000" w:themeColor="text1"/>
          <w:sz w:val="16"/>
          <w:szCs w:val="16"/>
        </w:rPr>
        <w:t xml:space="preserve"> их. Особый интерес, с точки зрения обороны, представляет всемерное укрепление торговых связей со странами Востока, которые могут явиться во время войны источником получения некоторых видов дефицитного сырья (кожсырье, хлопок, шерсть), поэтому этой задаче в ближайшее пятилетие должно быть уделено большое внимание и предпринят ряд мер. Сюда относится: транспортное строительство в наших восточных пограничных районах, стимулирование развития соответствующих отраслей хозяйства в сопредельных странах Востока, воздействие на улучшение качества получаемого оттуда сырья (кожсырье). Наша растущая промышленность дает возможность шире развить наш </w:t>
      </w:r>
      <w:proofErr w:type="spellStart"/>
      <w:r w:rsidRPr="00A259BD">
        <w:rPr>
          <w:color w:val="000000" w:themeColor="text1"/>
          <w:sz w:val="16"/>
          <w:szCs w:val="16"/>
        </w:rPr>
        <w:t>промэкспорт</w:t>
      </w:r>
      <w:proofErr w:type="spellEnd"/>
      <w:r w:rsidRPr="00A259BD">
        <w:rPr>
          <w:color w:val="000000" w:themeColor="text1"/>
          <w:sz w:val="16"/>
          <w:szCs w:val="16"/>
        </w:rPr>
        <w:t xml:space="preserve"> в эти страны, что должно явиться основным рычагом по укреплению внешней торговли со странами Востока.</w:t>
      </w:r>
    </w:p>
    <w:p w14:paraId="4D894BD8" w14:textId="77777777" w:rsidR="00154C41" w:rsidRPr="00A259BD" w:rsidRDefault="00154C41" w:rsidP="009236E3">
      <w:pPr>
        <w:pStyle w:val="rtejustify"/>
        <w:spacing w:before="0" w:after="0"/>
        <w:rPr>
          <w:color w:val="000000" w:themeColor="text1"/>
          <w:sz w:val="16"/>
          <w:szCs w:val="16"/>
        </w:rPr>
      </w:pPr>
      <w:r w:rsidRPr="00A259BD">
        <w:rPr>
          <w:rStyle w:val="af0"/>
          <w:i w:val="0"/>
          <w:color w:val="000000" w:themeColor="text1"/>
          <w:sz w:val="16"/>
          <w:szCs w:val="16"/>
        </w:rPr>
        <w:t>Развитие районов в течение пятилетия.</w:t>
      </w:r>
      <w:r w:rsidRPr="00A259BD">
        <w:rPr>
          <w:color w:val="000000" w:themeColor="text1"/>
          <w:sz w:val="16"/>
          <w:szCs w:val="16"/>
        </w:rPr>
        <w:t xml:space="preserve"> К оценке перспективы развития экономических районов мы подходим с точки зрения того, какова будет роль того или иного района в условиях войны в связи с изменившейся обстановкой (новое потребление вооруженных сил, прекращение экспорта и импорта, вооруженный фронт вдоль всей западной границы, изменение транспортных условий в связи с войной). Под этим углом зрения мы уже касались некоторых районов при анализе перспектив развития отраслей народного хозяйства. Мы констатировали, что намечающаяся в течение пятилетия схема районов, производящих хлеб, а именно — обращение Поволжья, Сибири, Казахстана на внутреннее снабжение, а Украины, Северного Кавказа и частью Поволжья на экспорт, — является наиболее приемлемой в том отношении, что выпадающий во время войны экспорт районов, сравнительно близких к фронту, может быть направлен на удовлетворение армии. Строительство Туркестано-Сибирской железной дороги радикальным образом разрешает проблему снабжения Средней Азии хлебом и тем самым обеспечивает хлопковую базу на случай войны. В отношении районов потребляющей полосы РСФСР в течение пятилетия идет передвижка культуры льна на восток, что следует признать соответствующим интересам обороны; эти районы, а также ЦЧО, должны будут снабжать фронт овсом и сеном, поэтому соответствующая тенденция в развитии сельского хозяйства в этих районах должна проводиться достаточно четко. Необходимо отметить, что представляет особый интерес ослабление зависимости потребляющей полосы в продовольственном отношении от Юга и Востока в связи с обстоятельствами военного времени. Между тем это не нашло себе отражения в плане, мы не имеем еще серьезно разработанных проектировок по поднятию урожайности в этих районах, равным образом неудовлетворительно разрешен вопрос о создании огородных хозяйств вокруг крупных промышленных центров.</w:t>
      </w:r>
    </w:p>
    <w:p w14:paraId="272F71C4"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 xml:space="preserve">Основными центрами промышленности остаются ЦПО, Северо-Западная обл., Украина, Урал и Поволжье. Значительное развитие промышленности Урала не меняет в основном соотношения этих районов; в специально оборонном отношении роль Урала значительно усиливается в связи с развитием там химической промышленности; усиливается роль Нижнего Поволжья. На протяжении пятилетия приобретают уже серьезный вес два новых района — Казахстан и </w:t>
      </w:r>
      <w:proofErr w:type="spellStart"/>
      <w:r w:rsidRPr="00A259BD">
        <w:rPr>
          <w:color w:val="000000" w:themeColor="text1"/>
          <w:sz w:val="16"/>
          <w:szCs w:val="16"/>
        </w:rPr>
        <w:t>Кузнецко</w:t>
      </w:r>
      <w:proofErr w:type="spellEnd"/>
      <w:r w:rsidRPr="00A259BD">
        <w:rPr>
          <w:color w:val="000000" w:themeColor="text1"/>
          <w:sz w:val="16"/>
          <w:szCs w:val="16"/>
        </w:rPr>
        <w:t xml:space="preserve">-Алтайский район; развитию этих районов с точки зрения обороны желательно придать более быстрый темп. Необходимо особо остановиться на роли Северо-Западной обл. и, в частности, Ленинграда. Ввиду крупного значения ленинградской промышленности, наличия там ряда производств союзного значения необходимо план развития промышленности района дополнительно проработать, комбинируя его с темпами развития других районов (Урал, ЦПО) таким образом, чтобы в случае войны не создавалось опасности перебоев в снабжении страны и армии. Во что бы то ни стало необходимо сократить удельный вес привозного (донецкого) топлива в балансе района за счет развития потребления местного топлива; в этом отношении особенно важно разгрузить самый Ленинград от нового промышленного строительства, приблизив таковое к ресурсам местного топлива, что имеет значение также и в отношении воздушной обороны. В отношении топливного баланса Центрально-промышленного района приходится отметить то же самое, что и в отношении Ленинграда. И здесь так же, несмотря на наличие подмосковного угля и торфа, непомерно растет потребление донецкого угля, и здесь также имеет место преимущественное сосредоточение нового промышленного строительства в Москве и вокруг нее; и то и другое требует, с точки зрения обороны, пересмотра. Для полосы западных пограничных районов (северо-западный район, западный район РСФСР, БССР, Правобережье УССР) стоит задача их всемерного экономического укрепления на основе развития там промышленности, главным образом местного значения, всемерного стимулирования интенсификации сельского хозяйства, широких мероприятий в области труда и социально-культурного строительства, рассасывания безработицы. Проектировки районов не вполне разрешают эту задачу, почему необходимо подвергнуть планы этих районов дополнительной разработке; Госпланом намечен специальный резерв в 100 млн. руб., который подлежит распределению между этими районами для укрепления в них экономического и </w:t>
      </w:r>
      <w:r w:rsidRPr="00A259BD">
        <w:rPr>
          <w:color w:val="000000" w:themeColor="text1"/>
          <w:sz w:val="16"/>
          <w:szCs w:val="16"/>
        </w:rPr>
        <w:lastRenderedPageBreak/>
        <w:t>культурного строительства. Задача ближайшего пятилетия — дать мощный толчок развитию этих, до сих пор захудалых в подлинном смысле этого слова, районов. Из районов, граничащих со странами Востока, особое внимание должно быть уделено Дальнему Востоку для противодействия тому мощному натиску, который там происходит со стороны Северного Китая и, особенно, Японии. Культурное освоение путем широких переселенческих мероприятий должно быть ускорено по сравнению с наметками плана; в большей степени нужно стимулировать там насаждение промышленности, учитывая отрыв района от основных центров страны.</w:t>
      </w:r>
    </w:p>
    <w:p w14:paraId="622C2CF0"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 xml:space="preserve">В целом, в отношении проблемы развития районов необходимо отметить, что пятилетний план еще только наметил подход к проблеме развития восточных районов; в основном пятилетний план сосредоточен на старых экономических районах Европейской части СССР. Только в следующее пятилетие, по-видимому, будет достигнут полный размах освоения и экономического развития восточных районов. Если это в основном и верно, то нужно ожидать, что действительность все же, вероятно, перешагнет наметки плана, во всяком случае, делу изучения этих районов и исследования ресурсов их необходимо в течение ближайшего пятилетия уделить особое внимание. Также и пятилетний план транспортного строительства не вполне разрешает задачу вовлечения новых районов: проблема сибирского грузопотока разрешается </w:t>
      </w:r>
      <w:proofErr w:type="spellStart"/>
      <w:r w:rsidRPr="00A259BD">
        <w:rPr>
          <w:color w:val="000000" w:themeColor="text1"/>
          <w:sz w:val="16"/>
          <w:szCs w:val="16"/>
        </w:rPr>
        <w:t>сверхмагистрализацией</w:t>
      </w:r>
      <w:proofErr w:type="spellEnd"/>
      <w:r w:rsidRPr="00A259BD">
        <w:rPr>
          <w:color w:val="000000" w:themeColor="text1"/>
          <w:sz w:val="16"/>
          <w:szCs w:val="16"/>
        </w:rPr>
        <w:t xml:space="preserve"> сибирского направления; Волго-Донское строительство и железная дорога Саратов — Миллерово существенно улучшают связь Поволжья, Урала и отчасти Сибири </w:t>
      </w:r>
      <w:r w:rsidRPr="00A259BD">
        <w:rPr>
          <w:rStyle w:val="af0"/>
          <w:i w:val="0"/>
          <w:color w:val="000000" w:themeColor="text1"/>
          <w:sz w:val="16"/>
          <w:szCs w:val="16"/>
        </w:rPr>
        <w:t>с</w:t>
      </w:r>
      <w:r w:rsidRPr="00A259BD">
        <w:rPr>
          <w:color w:val="000000" w:themeColor="text1"/>
          <w:sz w:val="16"/>
          <w:szCs w:val="16"/>
        </w:rPr>
        <w:t xml:space="preserve"> нашим Югом; это соответствует укреплению восточно-западного направления грузопотоков, которое найдет себе сильное развитие во время войны. Из северо-южных направлений особое значение, как уже отмечалось выше, имеет Туркестано-Сибирская магистраль, направление Северный Кавказ — Москва, Донбасс — Москва-Ленинград; два последних находят себе в течение пятилетия разрешение путем развития существующих железнодорожных линий. Недостаточное развитие транспорта намечается в Казахстане, который как хлебная база и база цветной металлургии в течение пятилетия приобретает большое значение. Железнодорожное строительство на севере Европейской части СССР имеет, по преимуществу, экспортное значение в связи с вывозом леса. Наконец, исключительно большое оборонное значение имеет новое железнодорожное строительство в западной части Союза, развиваемое как в порядке экономического строительства, так и в порядке выполнения плана специальной подготовки. В целом план железнодорожного строительства способствует укреплению межрайонных связей, что существенно важно с точки зрения обороны.</w:t>
      </w:r>
    </w:p>
    <w:p w14:paraId="53C4F0FE"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Анализ пятилетнего плана развития народного хозяйства дает нам основание заключить: 1) что на базе этого развития мы достигаем значительного повышения обороноспособности страны; 2) что основные линии плана соответствуют задаче укрепления обороны; 3) что в планах развития отраслей народного хозяйства Госпланом и ведомствами интересы обороны учтены в основном правильно; 4) что уровень развития производительных сил страны к концу пятилетия, намеченный планом, дает возможность обеспечить в случае войны вооруженные силы теми ресурсами, которые соответствуют развитию современной военной техники, как этот в основном зафиксировано в постановлении правительства и программе Комиссии т. Ворошилова; 5) что в своих отдельных частях план требует дополнительной проработки с целью возможно более полного учета задач укрепления обороноспособности; 6) что интересы обороны требуют осуществления в течение пятилетия темпов, намечаемых оптимальным вариантом плана⁸*.</w:t>
      </w:r>
    </w:p>
    <w:p w14:paraId="455E1923"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rPr>
        <w:t>В итоге анализа пятилетнего плана развития народного хозяйства, а также той программы материальных затрат на протяжении пятилетия, которая должна обеспечить соответствующий уровню производительных сил масштаб удовлетворения потребности фронта в случае войны, мы считаем, что эта программа является посильной для народного хозяйства в том объеме и в тех темпах годовых затрат, которые исчислены нами. В меру уточнения разработок специальных планов будет уточнена и эта программа, однако уже сейчас можно сказать, что едва ли она может быть в какой-либо мере значительно сокращена: наша проверка путем анализа удельного веса затрат на специальную подготовку к обороне в финансовом плане на пятилетие убеждает нас в этом.</w:t>
      </w:r>
    </w:p>
    <w:p w14:paraId="45F73DE3" w14:textId="77777777" w:rsidR="00154C41" w:rsidRPr="00A259BD" w:rsidRDefault="00154C41" w:rsidP="009236E3">
      <w:pPr>
        <w:pStyle w:val="rteright"/>
        <w:spacing w:before="0" w:after="0"/>
        <w:jc w:val="both"/>
        <w:rPr>
          <w:color w:val="000000" w:themeColor="text1"/>
          <w:sz w:val="16"/>
          <w:szCs w:val="16"/>
        </w:rPr>
      </w:pPr>
      <w:r w:rsidRPr="00A259BD">
        <w:rPr>
          <w:rStyle w:val="af0"/>
          <w:i w:val="0"/>
          <w:color w:val="000000" w:themeColor="text1"/>
          <w:sz w:val="16"/>
          <w:szCs w:val="16"/>
        </w:rPr>
        <w:t xml:space="preserve">Зам. председателя Сектора обороны Госплана СССР </w:t>
      </w:r>
      <w:hyperlink r:id="rId34" w:history="1">
        <w:r w:rsidRPr="00A259BD">
          <w:rPr>
            <w:rStyle w:val="af0"/>
            <w:i w:val="0"/>
            <w:color w:val="000000" w:themeColor="text1"/>
            <w:sz w:val="16"/>
            <w:szCs w:val="16"/>
          </w:rPr>
          <w:t>Мехоношин</w:t>
        </w:r>
      </w:hyperlink>
    </w:p>
    <w:p w14:paraId="390E1611" w14:textId="77777777" w:rsidR="00154C41" w:rsidRPr="00A259BD" w:rsidRDefault="00154C41" w:rsidP="009236E3">
      <w:pPr>
        <w:pStyle w:val="rteright"/>
        <w:spacing w:before="0" w:after="0"/>
        <w:jc w:val="both"/>
        <w:rPr>
          <w:color w:val="000000" w:themeColor="text1"/>
          <w:sz w:val="16"/>
          <w:szCs w:val="16"/>
        </w:rPr>
      </w:pPr>
      <w:r w:rsidRPr="00A259BD">
        <w:rPr>
          <w:rStyle w:val="af0"/>
          <w:i w:val="0"/>
          <w:color w:val="000000" w:themeColor="text1"/>
          <w:sz w:val="16"/>
          <w:szCs w:val="16"/>
        </w:rPr>
        <w:t xml:space="preserve">Председатель II комиссии Сектора обороны </w:t>
      </w:r>
      <w:hyperlink r:id="rId35" w:history="1">
        <w:proofErr w:type="spellStart"/>
        <w:r w:rsidRPr="00A259BD">
          <w:rPr>
            <w:rStyle w:val="af0"/>
            <w:i w:val="0"/>
            <w:color w:val="000000" w:themeColor="text1"/>
            <w:sz w:val="16"/>
            <w:szCs w:val="16"/>
          </w:rPr>
          <w:t>Ботнер</w:t>
        </w:r>
        <w:proofErr w:type="spellEnd"/>
      </w:hyperlink>
    </w:p>
    <w:p w14:paraId="6C715387" w14:textId="77777777" w:rsidR="00154C41" w:rsidRPr="00A259BD" w:rsidRDefault="00154C41"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r w:rsidRPr="00A259BD">
        <w:rPr>
          <w:color w:val="000000" w:themeColor="text1"/>
          <w:sz w:val="16"/>
          <w:szCs w:val="16"/>
        </w:rPr>
        <w:t>:</w:t>
      </w:r>
    </w:p>
    <w:p w14:paraId="529E5B93"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Числитель здесь и далее относится к отправному варианту, знаменатель — к оптимальному (</w:t>
      </w:r>
      <w:r w:rsidRPr="00A259BD">
        <w:rPr>
          <w:rStyle w:val="af0"/>
          <w:i w:val="0"/>
          <w:color w:val="000000" w:themeColor="text1"/>
          <w:sz w:val="16"/>
          <w:szCs w:val="16"/>
        </w:rPr>
        <w:t>Прим. док</w:t>
      </w:r>
      <w:r w:rsidRPr="00A259BD">
        <w:rPr>
          <w:color w:val="000000" w:themeColor="text1"/>
          <w:sz w:val="16"/>
          <w:szCs w:val="16"/>
        </w:rPr>
        <w:t>.).</w:t>
      </w:r>
    </w:p>
    <w:p w14:paraId="202C0838"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xml:space="preserve">* Без учета применения </w:t>
      </w:r>
      <w:proofErr w:type="spellStart"/>
      <w:r w:rsidRPr="00A259BD">
        <w:rPr>
          <w:color w:val="000000" w:themeColor="text1"/>
          <w:sz w:val="16"/>
          <w:szCs w:val="16"/>
        </w:rPr>
        <w:t>сталистого</w:t>
      </w:r>
      <w:proofErr w:type="spellEnd"/>
      <w:r w:rsidRPr="00A259BD">
        <w:rPr>
          <w:color w:val="000000" w:themeColor="text1"/>
          <w:sz w:val="16"/>
          <w:szCs w:val="16"/>
        </w:rPr>
        <w:t xml:space="preserve"> чугуна в производстве снарядов (</w:t>
      </w:r>
      <w:r w:rsidRPr="00A259BD">
        <w:rPr>
          <w:rStyle w:val="af0"/>
          <w:i w:val="0"/>
          <w:color w:val="000000" w:themeColor="text1"/>
          <w:sz w:val="16"/>
          <w:szCs w:val="16"/>
        </w:rPr>
        <w:t>Прим. док</w:t>
      </w:r>
      <w:r w:rsidRPr="00A259BD">
        <w:rPr>
          <w:color w:val="000000" w:themeColor="text1"/>
          <w:sz w:val="16"/>
          <w:szCs w:val="16"/>
        </w:rPr>
        <w:t>.).</w:t>
      </w:r>
    </w:p>
    <w:p w14:paraId="544422CF"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vertAlign w:val="superscript"/>
        </w:rPr>
        <w:t>3</w:t>
      </w:r>
      <w:r w:rsidRPr="00A259BD">
        <w:rPr>
          <w:color w:val="000000" w:themeColor="text1"/>
          <w:sz w:val="16"/>
          <w:szCs w:val="16"/>
        </w:rPr>
        <w:t>* По металлу лишь при оптимальном варианте (</w:t>
      </w:r>
      <w:r w:rsidRPr="00A259BD">
        <w:rPr>
          <w:rStyle w:val="af0"/>
          <w:i w:val="0"/>
          <w:color w:val="000000" w:themeColor="text1"/>
          <w:sz w:val="16"/>
          <w:szCs w:val="16"/>
        </w:rPr>
        <w:t>Прим. док</w:t>
      </w:r>
      <w:r w:rsidRPr="00A259BD">
        <w:rPr>
          <w:color w:val="000000" w:themeColor="text1"/>
          <w:sz w:val="16"/>
          <w:szCs w:val="16"/>
        </w:rPr>
        <w:t>.).</w:t>
      </w:r>
    </w:p>
    <w:p w14:paraId="54F85091"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vertAlign w:val="superscript"/>
        </w:rPr>
        <w:t>4</w:t>
      </w:r>
      <w:r w:rsidRPr="00A259BD">
        <w:rPr>
          <w:color w:val="000000" w:themeColor="text1"/>
          <w:sz w:val="16"/>
          <w:szCs w:val="16"/>
        </w:rPr>
        <w:t>* Здесь и далее: Ц[</w:t>
      </w:r>
      <w:proofErr w:type="spellStart"/>
      <w:r w:rsidRPr="00A259BD">
        <w:rPr>
          <w:color w:val="000000" w:themeColor="text1"/>
          <w:sz w:val="16"/>
          <w:szCs w:val="16"/>
        </w:rPr>
        <w:t>ентрально</w:t>
      </w:r>
      <w:proofErr w:type="spellEnd"/>
      <w:r w:rsidRPr="00A259BD">
        <w:rPr>
          <w:color w:val="000000" w:themeColor="text1"/>
          <w:sz w:val="16"/>
          <w:szCs w:val="16"/>
        </w:rPr>
        <w:t>-]П[</w:t>
      </w:r>
      <w:proofErr w:type="spellStart"/>
      <w:r w:rsidRPr="00A259BD">
        <w:rPr>
          <w:color w:val="000000" w:themeColor="text1"/>
          <w:sz w:val="16"/>
          <w:szCs w:val="16"/>
        </w:rPr>
        <w:t>ромышленная</w:t>
      </w:r>
      <w:proofErr w:type="spellEnd"/>
      <w:r w:rsidRPr="00A259BD">
        <w:rPr>
          <w:color w:val="000000" w:themeColor="text1"/>
          <w:sz w:val="16"/>
          <w:szCs w:val="16"/>
        </w:rPr>
        <w:t>] О(</w:t>
      </w:r>
      <w:proofErr w:type="spellStart"/>
      <w:r w:rsidRPr="00A259BD">
        <w:rPr>
          <w:color w:val="000000" w:themeColor="text1"/>
          <w:sz w:val="16"/>
          <w:szCs w:val="16"/>
        </w:rPr>
        <w:t>бласть</w:t>
      </w:r>
      <w:proofErr w:type="spellEnd"/>
      <w:r w:rsidRPr="00A259BD">
        <w:rPr>
          <w:color w:val="000000" w:themeColor="text1"/>
          <w:sz w:val="16"/>
          <w:szCs w:val="16"/>
        </w:rPr>
        <w:t>], вероятно, имеется в виду Центральный промышленный район.</w:t>
      </w:r>
    </w:p>
    <w:p w14:paraId="55379DB2"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vertAlign w:val="superscript"/>
        </w:rPr>
        <w:t>5</w:t>
      </w:r>
      <w:r w:rsidRPr="00A259BD">
        <w:rPr>
          <w:color w:val="000000" w:themeColor="text1"/>
          <w:sz w:val="16"/>
          <w:szCs w:val="16"/>
        </w:rPr>
        <w:t>* Применение в следующем размере: 76</w:t>
      </w:r>
      <w:r w:rsidRPr="00A259BD">
        <w:rPr>
          <w:color w:val="000000" w:themeColor="text1"/>
          <w:sz w:val="16"/>
          <w:szCs w:val="16"/>
        </w:rPr>
        <w:noBreakHyphen/>
        <w:t>мм снарядов — 75%, 122</w:t>
      </w:r>
      <w:r w:rsidRPr="00A259BD">
        <w:rPr>
          <w:color w:val="000000" w:themeColor="text1"/>
          <w:sz w:val="16"/>
          <w:szCs w:val="16"/>
        </w:rPr>
        <w:noBreakHyphen/>
        <w:t>мм — 50%, 152</w:t>
      </w:r>
      <w:r w:rsidRPr="00A259BD">
        <w:rPr>
          <w:color w:val="000000" w:themeColor="text1"/>
          <w:sz w:val="16"/>
          <w:szCs w:val="16"/>
        </w:rPr>
        <w:noBreakHyphen/>
        <w:t>мм — 20% (</w:t>
      </w:r>
      <w:r w:rsidRPr="00A259BD">
        <w:rPr>
          <w:rStyle w:val="af0"/>
          <w:i w:val="0"/>
          <w:color w:val="000000" w:themeColor="text1"/>
          <w:sz w:val="16"/>
          <w:szCs w:val="16"/>
        </w:rPr>
        <w:t>Прим. док</w:t>
      </w:r>
      <w:r w:rsidRPr="00A259BD">
        <w:rPr>
          <w:color w:val="000000" w:themeColor="text1"/>
          <w:sz w:val="16"/>
          <w:szCs w:val="16"/>
        </w:rPr>
        <w:t>.)</w:t>
      </w:r>
    </w:p>
    <w:p w14:paraId="51A99965"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vertAlign w:val="superscript"/>
        </w:rPr>
        <w:t>6</w:t>
      </w:r>
      <w:r w:rsidRPr="00A259BD">
        <w:rPr>
          <w:color w:val="000000" w:themeColor="text1"/>
          <w:sz w:val="16"/>
          <w:szCs w:val="16"/>
        </w:rPr>
        <w:t>* Только для военных производств (</w:t>
      </w:r>
      <w:r w:rsidRPr="00A259BD">
        <w:rPr>
          <w:rStyle w:val="af0"/>
          <w:i w:val="0"/>
          <w:color w:val="000000" w:themeColor="text1"/>
          <w:sz w:val="16"/>
          <w:szCs w:val="16"/>
        </w:rPr>
        <w:t>Прим. док</w:t>
      </w:r>
      <w:r w:rsidRPr="00A259BD">
        <w:rPr>
          <w:color w:val="000000" w:themeColor="text1"/>
          <w:sz w:val="16"/>
          <w:szCs w:val="16"/>
        </w:rPr>
        <w:t>.).</w:t>
      </w:r>
    </w:p>
    <w:p w14:paraId="726E8876"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vertAlign w:val="superscript"/>
        </w:rPr>
        <w:t>7</w:t>
      </w:r>
      <w:r w:rsidRPr="00A259BD">
        <w:rPr>
          <w:color w:val="000000" w:themeColor="text1"/>
          <w:sz w:val="16"/>
          <w:szCs w:val="16"/>
        </w:rPr>
        <w:t>* Слово зачеркнуто карандашом и сверху написано “вооруженных сил”.</w:t>
      </w:r>
    </w:p>
    <w:p w14:paraId="15760FBB" w14:textId="77777777" w:rsidR="00154C41" w:rsidRPr="00A259BD" w:rsidRDefault="00154C41" w:rsidP="009236E3">
      <w:pPr>
        <w:pStyle w:val="rtejustify"/>
        <w:spacing w:before="0" w:after="0"/>
        <w:rPr>
          <w:color w:val="000000" w:themeColor="text1"/>
          <w:sz w:val="16"/>
          <w:szCs w:val="16"/>
        </w:rPr>
      </w:pPr>
      <w:r w:rsidRPr="00A259BD">
        <w:rPr>
          <w:color w:val="000000" w:themeColor="text1"/>
          <w:sz w:val="16"/>
          <w:szCs w:val="16"/>
          <w:vertAlign w:val="superscript"/>
        </w:rPr>
        <w:t>8</w:t>
      </w:r>
      <w:r w:rsidRPr="00A259BD">
        <w:rPr>
          <w:color w:val="000000" w:themeColor="text1"/>
          <w:sz w:val="16"/>
          <w:szCs w:val="16"/>
        </w:rPr>
        <w:t>* Опущен раздел “План специальной подготовки к обороне”.</w:t>
      </w:r>
    </w:p>
    <w:p w14:paraId="6D462BF5" w14:textId="77777777" w:rsidR="00154C41" w:rsidRPr="00A259BD" w:rsidRDefault="00154C41" w:rsidP="009236E3">
      <w:pPr>
        <w:pStyle w:val="ae"/>
        <w:spacing w:before="0" w:after="0"/>
        <w:jc w:val="both"/>
        <w:rPr>
          <w:color w:val="000000" w:themeColor="text1"/>
          <w:sz w:val="16"/>
          <w:szCs w:val="16"/>
        </w:rPr>
      </w:pPr>
      <w:r w:rsidRPr="00A259BD">
        <w:rPr>
          <w:color w:val="000000" w:themeColor="text1"/>
          <w:sz w:val="16"/>
          <w:szCs w:val="16"/>
        </w:rPr>
        <w:t>РГАЭ. Ф. 4372. Оп. 91. Д. 519. Л. 67—42, 39. Заверенная копия.</w:t>
      </w:r>
    </w:p>
    <w:p w14:paraId="38114A98"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4372. Оп. 91. Д. 519. Л. 67—42, 39. Заверенная копия. </w:t>
      </w:r>
    </w:p>
    <w:p w14:paraId="0A6774FA"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298-314 (12249).</w:t>
      </w:r>
    </w:p>
    <w:p w14:paraId="3DFF406F" w14:textId="77777777" w:rsidR="00154C41" w:rsidRPr="00A259BD" w:rsidRDefault="00154C41" w:rsidP="009236E3">
      <w:pPr>
        <w:spacing w:after="0" w:line="240" w:lineRule="auto"/>
        <w:jc w:val="both"/>
        <w:rPr>
          <w:rFonts w:ascii="Times New Roman" w:hAnsi="Times New Roman"/>
          <w:color w:val="000000" w:themeColor="text1"/>
          <w:sz w:val="16"/>
          <w:szCs w:val="16"/>
        </w:rPr>
      </w:pPr>
    </w:p>
    <w:p w14:paraId="0457C33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5E89CC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7D32D9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апреля 1929 года помощник директора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Поликарпов подготовил:</w:t>
      </w:r>
    </w:p>
    <w:p w14:paraId="3B882B7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Объяснительная записка ко второму экземпляру самолета П-2 М-6</w:t>
      </w:r>
    </w:p>
    <w:p w14:paraId="71F8E7A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Самолет П-2 второй экземпляр по конструкции всех своих основных частей не отличается от первого экземпляра. Изменения внесенные в него коснулись главным образом второстепенных элементов основных частей (например шасси). Все изменения произведены на основании постановлений НИИ и НТК, выраженных в протоколах НИИ от 11 августа 1928 года, одного протокола без даты (в августе 1928 года), завода № 25 от 24 сентября 1928 года 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от 3 октября 1928 года.</w:t>
      </w:r>
    </w:p>
    <w:p w14:paraId="74DC911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П-2 М-6 проходил испытания в НИИ с 1 апреля 1929 года по 17 мая 1929 года</w:t>
      </w:r>
    </w:p>
    <w:p w14:paraId="4CB716D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Вед. летчик – Анисимов (6957).</w:t>
      </w:r>
    </w:p>
    <w:p w14:paraId="26F511B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B4CBB5" w14:textId="77777777" w:rsidR="00056F8F"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CF7A3C4" w14:textId="77777777" w:rsidR="00056F8F" w:rsidRPr="00A259BD" w:rsidRDefault="00056F8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35254D9" w14:textId="77777777" w:rsidR="00056F8F" w:rsidRPr="00A259BD" w:rsidRDefault="00056F8F"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color w:val="000000" w:themeColor="text1"/>
          <w:sz w:val="16"/>
          <w:szCs w:val="16"/>
        </w:rPr>
        <w:t>6 апреля 1929 года принято постановление президиума ВСНХ СССР о постройке автомобильного завода в Нижегородской области (16220).</w:t>
      </w:r>
    </w:p>
    <w:p w14:paraId="588DB69D" w14:textId="77777777" w:rsidR="00056F8F" w:rsidRPr="00A259BD" w:rsidRDefault="00056F8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EDF3473" w14:textId="77777777" w:rsidR="00041169" w:rsidRPr="00A259BD" w:rsidRDefault="0004116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апреля 1929 г. утверждено решение о выборе района строительства будущего автозавода - около города Нижнего Новгорода.</w:t>
      </w:r>
    </w:p>
    <w:p w14:paraId="03EC071C" w14:textId="77777777" w:rsidR="00041169" w:rsidRPr="00A259BD" w:rsidRDefault="0004116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мая 1929 г. ВСНХ СССР и американская фирма "Ford Motor Company" заключили соглашение о технической помощи при организации и налаживании массового производства легковых автомобилей типа "Ford-А" и грузовых автомобилей типа "Ford-АА". Технологическое и строительное проектирование велось в Америке в основном силами отечественных инженеров при тесном сотрудничестве с фирмой "Ford Motor Company". Архитектурно-строительный проект разрабатывался фирмой "Austin K".</w:t>
      </w:r>
    </w:p>
    <w:p w14:paraId="10D95CDF" w14:textId="77777777" w:rsidR="00041169" w:rsidRPr="00A259BD" w:rsidRDefault="0004116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мая 1930 г. под Нижним Новгородом был заложен первый камень в фундамент будущего автомобильного завода. Благодаря удачному проекту, умелому руководству, личной ответственности каждого участника завод был построен за 18 месяцев.</w:t>
      </w:r>
    </w:p>
    <w:p w14:paraId="7DCC841D" w14:textId="77777777" w:rsidR="00041169" w:rsidRPr="00A259BD" w:rsidRDefault="0004116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января 1932 г. автозавод вступил в строй действующих.</w:t>
      </w:r>
    </w:p>
    <w:p w14:paraId="29F55A14" w14:textId="77777777" w:rsidR="00041169" w:rsidRPr="00A259BD" w:rsidRDefault="0004116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января 1932 г. с конвейера сошел первый автомобиль - грузовик НАЗ-АА (21167).</w:t>
      </w:r>
    </w:p>
    <w:p w14:paraId="448D6963" w14:textId="77777777" w:rsidR="00041169" w:rsidRPr="00A259BD" w:rsidRDefault="00041169" w:rsidP="009236E3">
      <w:pPr>
        <w:spacing w:after="0" w:line="240" w:lineRule="auto"/>
        <w:jc w:val="both"/>
        <w:rPr>
          <w:rFonts w:ascii="Times New Roman" w:hAnsi="Times New Roman"/>
          <w:color w:val="000000" w:themeColor="text1"/>
          <w:sz w:val="16"/>
          <w:szCs w:val="16"/>
        </w:rPr>
      </w:pPr>
    </w:p>
    <w:p w14:paraId="4FA37E3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4E2D4A3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A84D1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6 и 12 апреля 1929. Из протокола заседания Политбюро N 71, 1929 г.</w:t>
      </w:r>
    </w:p>
    <w:p w14:paraId="146EE4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 участии в конференции по пересмотру Женевской конвенции </w:t>
      </w:r>
    </w:p>
    <w:p w14:paraId="7D3371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Признать нецелесообразным участие в конференции по пересмотру Женевской конвенции о раненых и по выработке кодекса о пленных (11652).</w:t>
      </w:r>
    </w:p>
    <w:p w14:paraId="398C90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85AA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6 и 12 апреля 1929. Из протокола заседания Политбюро N 71, 1929 г.</w:t>
      </w:r>
    </w:p>
    <w:p w14:paraId="02F681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библиотеке по </w:t>
      </w:r>
      <w:proofErr w:type="spellStart"/>
      <w:r w:rsidRPr="00A259BD">
        <w:rPr>
          <w:rFonts w:ascii="Times New Roman" w:hAnsi="Times New Roman"/>
          <w:color w:val="000000" w:themeColor="text1"/>
          <w:sz w:val="16"/>
          <w:szCs w:val="16"/>
        </w:rPr>
        <w:t>юдаике</w:t>
      </w:r>
      <w:proofErr w:type="spellEnd"/>
      <w:r w:rsidRPr="00A259BD">
        <w:rPr>
          <w:rFonts w:ascii="Times New Roman" w:hAnsi="Times New Roman"/>
          <w:color w:val="000000" w:themeColor="text1"/>
          <w:sz w:val="16"/>
          <w:szCs w:val="16"/>
        </w:rPr>
        <w:t xml:space="preserve"> </w:t>
      </w:r>
    </w:p>
    <w:p w14:paraId="45CCE5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Согласиться с предложением </w:t>
      </w:r>
      <w:proofErr w:type="spellStart"/>
      <w:r w:rsidRPr="00A259BD">
        <w:rPr>
          <w:rFonts w:ascii="Times New Roman" w:hAnsi="Times New Roman"/>
          <w:color w:val="000000" w:themeColor="text1"/>
          <w:sz w:val="16"/>
          <w:szCs w:val="16"/>
        </w:rPr>
        <w:t>Наркомторга</w:t>
      </w:r>
      <w:proofErr w:type="spellEnd"/>
      <w:r w:rsidRPr="00A259BD">
        <w:rPr>
          <w:rFonts w:ascii="Times New Roman" w:hAnsi="Times New Roman"/>
          <w:color w:val="000000" w:themeColor="text1"/>
          <w:sz w:val="16"/>
          <w:szCs w:val="16"/>
        </w:rPr>
        <w:t xml:space="preserve"> о продаже библиотеки по </w:t>
      </w:r>
      <w:proofErr w:type="spellStart"/>
      <w:r w:rsidRPr="00A259BD">
        <w:rPr>
          <w:rFonts w:ascii="Times New Roman" w:hAnsi="Times New Roman"/>
          <w:color w:val="000000" w:themeColor="text1"/>
          <w:sz w:val="16"/>
          <w:szCs w:val="16"/>
        </w:rPr>
        <w:t>юдаике</w:t>
      </w:r>
      <w:proofErr w:type="spellEnd"/>
      <w:r w:rsidRPr="00A259BD">
        <w:rPr>
          <w:rFonts w:ascii="Times New Roman" w:hAnsi="Times New Roman"/>
          <w:color w:val="000000" w:themeColor="text1"/>
          <w:sz w:val="16"/>
          <w:szCs w:val="16"/>
        </w:rPr>
        <w:t xml:space="preserve"> Б. Гинзбурга. </w:t>
      </w:r>
    </w:p>
    <w:p w14:paraId="607A67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Считать более целесообразным продажу этой библиотеки за валюту, а не обмен ее на другую библиотеку (11652).</w:t>
      </w:r>
    </w:p>
    <w:p w14:paraId="52F3C2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67691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636D24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02D8F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апреля 1929 самолет АНТ-4 № 601 (по другим дан</w:t>
      </w:r>
      <w:r w:rsidRPr="00A259BD">
        <w:rPr>
          <w:rFonts w:ascii="Times New Roman" w:hAnsi="Times New Roman"/>
          <w:color w:val="000000" w:themeColor="text1"/>
          <w:sz w:val="16"/>
          <w:szCs w:val="16"/>
        </w:rPr>
        <w:softHyphen/>
        <w:t>ным — № 603), предназначенный для перелета в США, перелетел в Таганрог, где на авиа</w:t>
      </w:r>
      <w:r w:rsidRPr="00A259BD">
        <w:rPr>
          <w:rFonts w:ascii="Times New Roman" w:hAnsi="Times New Roman"/>
          <w:color w:val="000000" w:themeColor="text1"/>
          <w:sz w:val="16"/>
          <w:szCs w:val="16"/>
        </w:rPr>
        <w:softHyphen/>
        <w:t>заводе № 31 его установили на немного уд</w:t>
      </w:r>
      <w:r w:rsidRPr="00A259BD">
        <w:rPr>
          <w:rFonts w:ascii="Times New Roman" w:hAnsi="Times New Roman"/>
          <w:color w:val="000000" w:themeColor="text1"/>
          <w:sz w:val="16"/>
          <w:szCs w:val="16"/>
        </w:rPr>
        <w:softHyphen/>
        <w:t>линенные поплавки от трехмоторного ЮГ-1. Затем в Таганроге и Севастополе экипаж выполнил не один десяток тренировочных полетов. Одновременно шла подготовка карт, радиостанции, вымерялись расстоя</w:t>
      </w:r>
      <w:r w:rsidRPr="00A259BD">
        <w:rPr>
          <w:rFonts w:ascii="Times New Roman" w:hAnsi="Times New Roman"/>
          <w:color w:val="000000" w:themeColor="text1"/>
          <w:sz w:val="16"/>
          <w:szCs w:val="16"/>
        </w:rPr>
        <w:softHyphen/>
        <w:t xml:space="preserve">ния между поворотными пунктами. Особое значение придавали показаниям указателя </w:t>
      </w:r>
      <w:r w:rsidRPr="00A259BD">
        <w:rPr>
          <w:rFonts w:ascii="Times New Roman" w:hAnsi="Times New Roman"/>
          <w:color w:val="000000" w:themeColor="text1"/>
          <w:sz w:val="16"/>
          <w:szCs w:val="16"/>
        </w:rPr>
        <w:lastRenderedPageBreak/>
        <w:t>воздушной скорости, которые могли иметь значительную погрешность из-за бокового ветра или неравномерной работы двигате</w:t>
      </w:r>
      <w:r w:rsidRPr="00A259BD">
        <w:rPr>
          <w:rFonts w:ascii="Times New Roman" w:hAnsi="Times New Roman"/>
          <w:color w:val="000000" w:themeColor="text1"/>
          <w:sz w:val="16"/>
          <w:szCs w:val="16"/>
        </w:rPr>
        <w:softHyphen/>
        <w:t>лей. Поэтому приемник воздушного давле</w:t>
      </w:r>
      <w:r w:rsidRPr="00A259BD">
        <w:rPr>
          <w:rFonts w:ascii="Times New Roman" w:hAnsi="Times New Roman"/>
          <w:color w:val="000000" w:themeColor="text1"/>
          <w:sz w:val="16"/>
          <w:szCs w:val="16"/>
        </w:rPr>
        <w:softHyphen/>
        <w:t>ния установили в носовой части на удлинен</w:t>
      </w:r>
      <w:r w:rsidRPr="00A259BD">
        <w:rPr>
          <w:rFonts w:ascii="Times New Roman" w:hAnsi="Times New Roman"/>
          <w:color w:val="000000" w:themeColor="text1"/>
          <w:sz w:val="16"/>
          <w:szCs w:val="16"/>
        </w:rPr>
        <w:softHyphen/>
        <w:t>ной штанге, оборудованной специальной флюгаркой. Она хорошо была видна из пи</w:t>
      </w:r>
      <w:r w:rsidRPr="00A259BD">
        <w:rPr>
          <w:rFonts w:ascii="Times New Roman" w:hAnsi="Times New Roman"/>
          <w:color w:val="000000" w:themeColor="text1"/>
          <w:sz w:val="16"/>
          <w:szCs w:val="16"/>
        </w:rPr>
        <w:softHyphen/>
        <w:t>лотской кабины и помогала летчикам не до</w:t>
      </w:r>
      <w:r w:rsidRPr="00A259BD">
        <w:rPr>
          <w:rFonts w:ascii="Times New Roman" w:hAnsi="Times New Roman"/>
          <w:color w:val="000000" w:themeColor="text1"/>
          <w:sz w:val="16"/>
          <w:szCs w:val="16"/>
        </w:rPr>
        <w:softHyphen/>
        <w:t>пускать скольжения самолета при плохой видимости горизонта. Когда все было гото</w:t>
      </w:r>
      <w:r w:rsidRPr="00A259BD">
        <w:rPr>
          <w:rFonts w:ascii="Times New Roman" w:hAnsi="Times New Roman"/>
          <w:color w:val="000000" w:themeColor="text1"/>
          <w:sz w:val="16"/>
          <w:szCs w:val="16"/>
        </w:rPr>
        <w:softHyphen/>
        <w:t>во, экипаж совершил контрольный перелет по маршруту Москва-Воронеж-Кремен</w:t>
      </w:r>
      <w:r w:rsidRPr="00A259BD">
        <w:rPr>
          <w:rFonts w:ascii="Times New Roman" w:hAnsi="Times New Roman"/>
          <w:color w:val="000000" w:themeColor="text1"/>
          <w:sz w:val="16"/>
          <w:szCs w:val="16"/>
        </w:rPr>
        <w:softHyphen/>
        <w:t>чуг-Киев-Москва протяженностью 2000 км (11286).</w:t>
      </w:r>
    </w:p>
    <w:p w14:paraId="3EDEC4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2FD74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D63194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CDD2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апреля 1929 первый отечественный торпедный катер АНТ-4 Туполев зачислили в состав ЧФ как Ш-4 (71,111).</w:t>
      </w:r>
    </w:p>
    <w:p w14:paraId="1C104B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272B3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1B191F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E54C1C" w14:textId="77777777" w:rsidR="00AF08BC" w:rsidRPr="00A259BD" w:rsidRDefault="00AF08BC"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33" w:name="_Hlk83624013"/>
      <w:r w:rsidRPr="00A259BD">
        <w:rPr>
          <w:rFonts w:ascii="Times New Roman" w:eastAsia="Times New Roman" w:hAnsi="Times New Roman"/>
          <w:color w:val="000000" w:themeColor="text1"/>
          <w:sz w:val="16"/>
          <w:szCs w:val="16"/>
          <w:lang w:eastAsia="ru-RU"/>
        </w:rPr>
        <w:t>8 апреля 1929 г. состоялось заседание РЗ СТО</w:t>
      </w:r>
    </w:p>
    <w:p w14:paraId="35A5BF8A" w14:textId="77777777" w:rsidR="00AF08BC" w:rsidRPr="00A259BD" w:rsidRDefault="00AF08BC"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Протокол № 31 от 8 апреля 1929 г.:</w:t>
      </w:r>
    </w:p>
    <w:p w14:paraId="32B1E428" w14:textId="77777777" w:rsidR="00AF08BC" w:rsidRPr="00A259BD" w:rsidRDefault="00AF08BC"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…О состоянии подготовки промышленности к обороне (постановление РЗ СТО от 6.3.1929 г. к протоколу РЗ СТО № 31 от 8.4.1929 г. по п. 8).</w:t>
      </w:r>
    </w:p>
    <w:p w14:paraId="6D8A8FE5" w14:textId="77777777" w:rsidR="00AF08BC" w:rsidRPr="00A259BD" w:rsidRDefault="00AF08BC"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…Об отпуске Особого технического бюро из резервного фонда СНК СССР 366.000 рублей (постановление P3 СТО от 15.3.1929 г. к протоколу P3 СТО № 31 от 8.4.1929 г. по п. 16);</w:t>
      </w:r>
    </w:p>
    <w:p w14:paraId="77BF3B53" w14:textId="77777777" w:rsidR="00AF08BC" w:rsidRPr="00A259BD" w:rsidRDefault="00AF08BC"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…О сроках окончания работ над очередным вариантом хозяйственного плана на первый период войны (постановление P3 СТО от 26.3.1929 г. к протоколу P3 СТО № 31 от 8.4.1929 г. по п. 17).</w:t>
      </w:r>
    </w:p>
    <w:p w14:paraId="7E53D828" w14:textId="77777777" w:rsidR="00AF08BC" w:rsidRPr="00A259BD" w:rsidRDefault="00AF08BC"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О дополнении примечанием ст. 5-й постановления P3 СТО от 12/1-29 г. "О порядке составления очередного варианта хозяйственного плана на первый период войны в союзных республиках" (постановление P3 СТО от 26.3.1929 г. к протоколу РЗ СТО № 31 от 8.4.1929 г. по п. 18).</w:t>
      </w:r>
    </w:p>
    <w:p w14:paraId="71988438" w14:textId="77777777" w:rsidR="00AF08BC" w:rsidRPr="00A259BD" w:rsidRDefault="00AF08BC"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Об организации Комиссии по рассмотрению Положения о подготовительном к войне периоде и перечня мероприятий, проводимых в подготовительный к войне период (постановление P3 CTO от 26.3.1929 г. к протоколу P3 СТО № 31 от 8.4.1929 г. по п. 19).</w:t>
      </w:r>
    </w:p>
    <w:p w14:paraId="031544C5" w14:textId="77777777" w:rsidR="00AF08BC" w:rsidRPr="00A259BD" w:rsidRDefault="00AF08BC"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О заключении договора со шведской фирмой "</w:t>
      </w:r>
      <w:proofErr w:type="spellStart"/>
      <w:r w:rsidRPr="00A259BD">
        <w:rPr>
          <w:rFonts w:ascii="Times New Roman" w:eastAsia="Times New Roman" w:hAnsi="Times New Roman"/>
          <w:color w:val="000000" w:themeColor="text1"/>
          <w:sz w:val="16"/>
          <w:szCs w:val="16"/>
          <w:lang w:eastAsia="ru-RU"/>
        </w:rPr>
        <w:t>Юнгнер</w:t>
      </w:r>
      <w:proofErr w:type="spellEnd"/>
      <w:r w:rsidRPr="00A259BD">
        <w:rPr>
          <w:rFonts w:ascii="Times New Roman" w:eastAsia="Times New Roman" w:hAnsi="Times New Roman"/>
          <w:color w:val="000000" w:themeColor="text1"/>
          <w:sz w:val="16"/>
          <w:szCs w:val="16"/>
          <w:lang w:eastAsia="ru-RU"/>
        </w:rPr>
        <w:t>" на постановку производства щелочных аккумуляторов в СССР (постановление P3 СТО от 8.4.1929 г. к протоколу P3 СТО № 31 от 8.4.1929 г. по п. 23).</w:t>
      </w:r>
    </w:p>
    <w:p w14:paraId="61FBE6BF" w14:textId="77777777" w:rsidR="00AF08BC" w:rsidRPr="00A259BD" w:rsidRDefault="00AF08BC"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О передаче Мытищинской фабрики искусственного волокна в ведение ВСНХ СССР (постановление ЦИК и СНК СССР от 27.3.1929 г. к протоколу P3 СТО № 31 от 8.4.1929 г. по п. 24); - Утверждено Президиумом ЦИК СССР от 27.3.1929 г., пр. № 87, п. 5 (21567).</w:t>
      </w:r>
    </w:p>
    <w:p w14:paraId="17D01B89" w14:textId="77777777" w:rsidR="00AF08BC" w:rsidRPr="00A259BD" w:rsidRDefault="00AF08BC" w:rsidP="009236E3">
      <w:pPr>
        <w:spacing w:after="0" w:line="240" w:lineRule="auto"/>
        <w:jc w:val="both"/>
        <w:rPr>
          <w:rFonts w:ascii="Times New Roman" w:hAnsi="Times New Roman"/>
          <w:color w:val="000000" w:themeColor="text1"/>
          <w:sz w:val="16"/>
          <w:szCs w:val="16"/>
        </w:rPr>
      </w:pPr>
    </w:p>
    <w:bookmarkEnd w:id="33"/>
    <w:p w14:paraId="243927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апреля 1929 г. Военный атташе в Германии </w:t>
      </w:r>
      <w:proofErr w:type="spellStart"/>
      <w:r w:rsidRPr="00A259BD">
        <w:rPr>
          <w:rFonts w:ascii="Times New Roman" w:hAnsi="Times New Roman"/>
          <w:color w:val="000000" w:themeColor="text1"/>
          <w:sz w:val="16"/>
          <w:szCs w:val="16"/>
        </w:rPr>
        <w:t>Корк</w:t>
      </w:r>
      <w:proofErr w:type="spellEnd"/>
      <w:r w:rsidRPr="00A259BD">
        <w:rPr>
          <w:rFonts w:ascii="Times New Roman" w:hAnsi="Times New Roman"/>
          <w:color w:val="000000" w:themeColor="text1"/>
          <w:sz w:val="16"/>
          <w:szCs w:val="16"/>
        </w:rPr>
        <w:t xml:space="preserve"> докладывал Ворошилову, что в проекты гаубицы и пушки, над которыми работал </w:t>
      </w:r>
      <w:proofErr w:type="spellStart"/>
      <w:r w:rsidRPr="00A259BD">
        <w:rPr>
          <w:rFonts w:ascii="Times New Roman" w:hAnsi="Times New Roman"/>
          <w:color w:val="000000" w:themeColor="text1"/>
          <w:sz w:val="16"/>
          <w:szCs w:val="16"/>
        </w:rPr>
        <w:t>Шмиц</w:t>
      </w:r>
      <w:proofErr w:type="spellEnd"/>
      <w:r w:rsidRPr="00A259BD">
        <w:rPr>
          <w:rFonts w:ascii="Times New Roman" w:hAnsi="Times New Roman"/>
          <w:color w:val="000000" w:themeColor="text1"/>
          <w:sz w:val="16"/>
          <w:szCs w:val="16"/>
        </w:rPr>
        <w:t xml:space="preserve">, он внес «ряд конструктивных изменений, улучшивших их характеристики. Кроме того </w:t>
      </w:r>
      <w:proofErr w:type="spellStart"/>
      <w:r w:rsidRPr="00A259BD">
        <w:rPr>
          <w:rFonts w:ascii="Times New Roman" w:hAnsi="Times New Roman"/>
          <w:color w:val="000000" w:themeColor="text1"/>
          <w:sz w:val="16"/>
          <w:szCs w:val="16"/>
        </w:rPr>
        <w:t>Шмиц</w:t>
      </w:r>
      <w:proofErr w:type="spellEnd"/>
      <w:r w:rsidRPr="00A259BD">
        <w:rPr>
          <w:rFonts w:ascii="Times New Roman" w:hAnsi="Times New Roman"/>
          <w:color w:val="000000" w:themeColor="text1"/>
          <w:sz w:val="16"/>
          <w:szCs w:val="16"/>
        </w:rPr>
        <w:t xml:space="preserve"> подготовил эскиз дальнобойной (20 км) пушки калибра 10,67 см. В своем КБ в </w:t>
      </w:r>
      <w:proofErr w:type="spellStart"/>
      <w:r w:rsidRPr="00A259BD">
        <w:rPr>
          <w:rFonts w:ascii="Times New Roman" w:hAnsi="Times New Roman"/>
          <w:color w:val="000000" w:themeColor="text1"/>
          <w:sz w:val="16"/>
          <w:szCs w:val="16"/>
        </w:rPr>
        <w:t>Брауншвайге</w:t>
      </w:r>
      <w:proofErr w:type="spellEnd"/>
      <w:r w:rsidRPr="00A259BD">
        <w:rPr>
          <w:rFonts w:ascii="Times New Roman" w:hAnsi="Times New Roman"/>
          <w:color w:val="000000" w:themeColor="text1"/>
          <w:sz w:val="16"/>
          <w:szCs w:val="16"/>
        </w:rPr>
        <w:t xml:space="preserve"> (технический институт, в котором он был директором) он изготавливал и модели проектируемых орудий. (РГВА, ф. 33987, оп. 3, д. 295, л. 71-78,34; ADAP, Ser.B,Bd.XIV.S.7).) (11784).</w:t>
      </w:r>
    </w:p>
    <w:p w14:paraId="3FB09F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E5B9F0" w14:textId="77777777" w:rsidR="00154C41" w:rsidRPr="00A259BD" w:rsidRDefault="00154C41"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8 апреля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распорядительного органа (РЗ) СТО СССР о порядке комплектования оборонных органов гражданских ведомств, прохождений службы их работниками и порядке проработки оборонных вопросов (РГАЭ. Ф. 3429. Оп. 11. Д. 3. Л. 7?9) (12415).</w:t>
      </w:r>
    </w:p>
    <w:p w14:paraId="091B249A" w14:textId="77777777" w:rsidR="00154C41" w:rsidRPr="00A259BD" w:rsidRDefault="00154C41" w:rsidP="009236E3">
      <w:pPr>
        <w:spacing w:after="0" w:line="240" w:lineRule="auto"/>
        <w:jc w:val="both"/>
        <w:rPr>
          <w:rFonts w:ascii="Times New Roman" w:hAnsi="Times New Roman"/>
          <w:color w:val="000000" w:themeColor="text1"/>
          <w:sz w:val="16"/>
          <w:szCs w:val="16"/>
          <w:u w:color="002060"/>
        </w:rPr>
      </w:pPr>
    </w:p>
    <w:p w14:paraId="7157D786"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51F416A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C150E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апреля 1929 вышел указ об организации церковной жизни. Усилился контроль со стороны властей за церковью. В мае 1929 была принята поправка к ст. 123 Конституции: свобода быть верующим или неверующим заменена свободой вероисповедания или ведения антирелигиозной пропаганды (3908,328).</w:t>
      </w:r>
    </w:p>
    <w:p w14:paraId="6EDA59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9B7FA7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апреля 1929 года было издано постановление, усиливающее ответственность местных властей за духовную жизнь прихожан и добавляющее новые ограничения в деятельности религиозных объединений. Отныне всякая деятельность, выходящая за рамки "удовлетворения религиозных потребностей", попадала под действие закона об уголовной ответственности, в частности, 10 параграфа 58 статьи Уголовного кодекса, предусматривающего наказание от трех лет тюремного заключения и до смертной казни за "использование религиозных предрассудков для ослабления государства" (6804).</w:t>
      </w:r>
    </w:p>
    <w:p w14:paraId="3210715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D8BC5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4BF50F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A9206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апреля 1929 состоялось техническое совещание руководителей групп отдела АГОС и П.О.С. сообщил о передаче сборочного чертежа АНТ-10 в производство (1102).</w:t>
      </w:r>
    </w:p>
    <w:p w14:paraId="0F0B40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C5C8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апреля 1929 года гл. инспектор ГВФ </w:t>
      </w:r>
      <w:proofErr w:type="spellStart"/>
      <w:r w:rsidRPr="00A259BD">
        <w:rPr>
          <w:rFonts w:ascii="Times New Roman" w:hAnsi="Times New Roman"/>
          <w:color w:val="000000" w:themeColor="text1"/>
          <w:sz w:val="16"/>
          <w:szCs w:val="16"/>
        </w:rPr>
        <w:t>Зарзар</w:t>
      </w:r>
      <w:proofErr w:type="spellEnd"/>
      <w:r w:rsidRPr="00A259BD">
        <w:rPr>
          <w:rFonts w:ascii="Times New Roman" w:hAnsi="Times New Roman"/>
          <w:color w:val="000000" w:themeColor="text1"/>
          <w:sz w:val="16"/>
          <w:szCs w:val="16"/>
        </w:rPr>
        <w:t xml:space="preserve"> писал письмо № И/218 ст. инженеру ВВС Черного моря Бартини</w:t>
      </w:r>
    </w:p>
    <w:p w14:paraId="67A2A2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приказанию начальника ВВС Баранова П.И., предлагаю вам приступить к работе по подготовке большого восточного перелета 1929 года в отношении гидроавиационном. В частности, на Вас возлагается наблюдение за подготовкой самолета АНТ-4, наблюдение и участие в проведении морских испытаний в Таганроге, отбор морских запасных частей и проработка всех организационных и технических вопросов в части морского маршрута перелета.</w:t>
      </w:r>
    </w:p>
    <w:p w14:paraId="654378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…………….(7769, 20).</w:t>
      </w:r>
    </w:p>
    <w:p w14:paraId="68609F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C84EA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87D4DE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A237C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до 20 апреля 1929 г. в Москве велись переговоры с Круппом. С нашей стороны в переговорах участвовали: тт. Ксандров,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xml:space="preserve">, Урываев, </w:t>
      </w:r>
      <w:proofErr w:type="spellStart"/>
      <w:r w:rsidRPr="00A259BD">
        <w:rPr>
          <w:rFonts w:ascii="Times New Roman" w:hAnsi="Times New Roman"/>
          <w:color w:val="000000" w:themeColor="text1"/>
          <w:sz w:val="16"/>
          <w:szCs w:val="16"/>
        </w:rPr>
        <w:t>Будневич</w:t>
      </w:r>
      <w:proofErr w:type="spellEnd"/>
      <w:r w:rsidRPr="00A259BD">
        <w:rPr>
          <w:rFonts w:ascii="Times New Roman" w:hAnsi="Times New Roman"/>
          <w:color w:val="000000" w:themeColor="text1"/>
          <w:sz w:val="16"/>
          <w:szCs w:val="16"/>
        </w:rPr>
        <w:t xml:space="preserve">, Корзун и Иванов. Для обсуждения вопросов по специальностям привлекались тов. Оборин от </w:t>
      </w:r>
      <w:proofErr w:type="spellStart"/>
      <w:r w:rsidRPr="00A259BD">
        <w:rPr>
          <w:rFonts w:ascii="Times New Roman" w:hAnsi="Times New Roman"/>
          <w:color w:val="000000" w:themeColor="text1"/>
          <w:sz w:val="16"/>
          <w:szCs w:val="16"/>
        </w:rPr>
        <w:t>Главмашстроя</w:t>
      </w:r>
      <w:proofErr w:type="spellEnd"/>
      <w:r w:rsidRPr="00A259BD">
        <w:rPr>
          <w:rFonts w:ascii="Times New Roman" w:hAnsi="Times New Roman"/>
          <w:color w:val="000000" w:themeColor="text1"/>
          <w:sz w:val="16"/>
          <w:szCs w:val="16"/>
        </w:rPr>
        <w:t xml:space="preserve">, тов. </w:t>
      </w:r>
      <w:proofErr w:type="spellStart"/>
      <w:r w:rsidRPr="00A259BD">
        <w:rPr>
          <w:rFonts w:ascii="Times New Roman" w:hAnsi="Times New Roman"/>
          <w:color w:val="000000" w:themeColor="text1"/>
          <w:sz w:val="16"/>
          <w:szCs w:val="16"/>
        </w:rPr>
        <w:t>Hеймаер</w:t>
      </w:r>
      <w:proofErr w:type="spellEnd"/>
      <w:r w:rsidRPr="00A259BD">
        <w:rPr>
          <w:rFonts w:ascii="Times New Roman" w:hAnsi="Times New Roman"/>
          <w:color w:val="000000" w:themeColor="text1"/>
          <w:sz w:val="16"/>
          <w:szCs w:val="16"/>
        </w:rPr>
        <w:t xml:space="preserve"> от </w:t>
      </w:r>
      <w:proofErr w:type="spellStart"/>
      <w:r w:rsidRPr="00A259BD">
        <w:rPr>
          <w:rFonts w:ascii="Times New Roman" w:hAnsi="Times New Roman"/>
          <w:color w:val="000000" w:themeColor="text1"/>
          <w:sz w:val="16"/>
          <w:szCs w:val="16"/>
        </w:rPr>
        <w:t>Гомзы</w:t>
      </w:r>
      <w:proofErr w:type="spellEnd"/>
      <w:r w:rsidRPr="00A259BD">
        <w:rPr>
          <w:rFonts w:ascii="Times New Roman" w:hAnsi="Times New Roman"/>
          <w:color w:val="000000" w:themeColor="text1"/>
          <w:sz w:val="16"/>
          <w:szCs w:val="16"/>
        </w:rPr>
        <w:t xml:space="preserve">, тов. Григорович от </w:t>
      </w:r>
      <w:proofErr w:type="spellStart"/>
      <w:r w:rsidRPr="00A259BD">
        <w:rPr>
          <w:rFonts w:ascii="Times New Roman" w:hAnsi="Times New Roman"/>
          <w:color w:val="000000" w:themeColor="text1"/>
          <w:sz w:val="16"/>
          <w:szCs w:val="16"/>
        </w:rPr>
        <w:t>Hаучно</w:t>
      </w:r>
      <w:proofErr w:type="spellEnd"/>
      <w:r w:rsidRPr="00A259BD">
        <w:rPr>
          <w:rFonts w:ascii="Times New Roman" w:hAnsi="Times New Roman"/>
          <w:color w:val="000000" w:themeColor="text1"/>
          <w:sz w:val="16"/>
          <w:szCs w:val="16"/>
        </w:rPr>
        <w:t xml:space="preserve">-Технического Совета, Бутырин от </w:t>
      </w:r>
      <w:proofErr w:type="spellStart"/>
      <w:r w:rsidRPr="00A259BD">
        <w:rPr>
          <w:rFonts w:ascii="Times New Roman" w:hAnsi="Times New Roman"/>
          <w:color w:val="000000" w:themeColor="text1"/>
          <w:sz w:val="16"/>
          <w:szCs w:val="16"/>
        </w:rPr>
        <w:t>Главэлектро</w:t>
      </w:r>
      <w:proofErr w:type="spellEnd"/>
      <w:r w:rsidRPr="00A259BD">
        <w:rPr>
          <w:rFonts w:ascii="Times New Roman" w:hAnsi="Times New Roman"/>
          <w:color w:val="000000" w:themeColor="text1"/>
          <w:sz w:val="16"/>
          <w:szCs w:val="16"/>
        </w:rPr>
        <w:t xml:space="preserve">, тов. Пастухов от Орудийно-Арсенального треста и тт. Молодцов и Смирнов от АУ и </w:t>
      </w:r>
      <w:proofErr w:type="spellStart"/>
      <w:r w:rsidRPr="00A259BD">
        <w:rPr>
          <w:rFonts w:ascii="Times New Roman" w:hAnsi="Times New Roman"/>
          <w:color w:val="000000" w:themeColor="text1"/>
          <w:sz w:val="16"/>
          <w:szCs w:val="16"/>
        </w:rPr>
        <w:t>Hачальник</w:t>
      </w:r>
      <w:proofErr w:type="spellEnd"/>
      <w:r w:rsidRPr="00A259BD">
        <w:rPr>
          <w:rFonts w:ascii="Times New Roman" w:hAnsi="Times New Roman"/>
          <w:color w:val="000000" w:themeColor="text1"/>
          <w:sz w:val="16"/>
          <w:szCs w:val="16"/>
        </w:rPr>
        <w:t xml:space="preserve"> Снабжения РККА. В совещаниях по военным вопросам участвовал строго определенный круг лиц, по назначению тов. </w:t>
      </w:r>
      <w:proofErr w:type="spellStart"/>
      <w:r w:rsidRPr="00A259BD">
        <w:rPr>
          <w:rFonts w:ascii="Times New Roman" w:hAnsi="Times New Roman"/>
          <w:color w:val="000000" w:themeColor="text1"/>
          <w:sz w:val="16"/>
          <w:szCs w:val="16"/>
        </w:rPr>
        <w:t>Толоконцева</w:t>
      </w:r>
      <w:proofErr w:type="spellEnd"/>
      <w:r w:rsidRPr="00A259BD">
        <w:rPr>
          <w:rFonts w:ascii="Times New Roman" w:hAnsi="Times New Roman"/>
          <w:color w:val="000000" w:themeColor="text1"/>
          <w:sz w:val="16"/>
          <w:szCs w:val="16"/>
        </w:rPr>
        <w:t xml:space="preserve">. </w:t>
      </w:r>
    </w:p>
    <w:p w14:paraId="2E6566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 стороны Круппа вели переговоры: проф. </w:t>
      </w:r>
      <w:proofErr w:type="spellStart"/>
      <w:r w:rsidRPr="00A259BD">
        <w:rPr>
          <w:rFonts w:ascii="Times New Roman" w:hAnsi="Times New Roman"/>
          <w:color w:val="000000" w:themeColor="text1"/>
          <w:sz w:val="16"/>
          <w:szCs w:val="16"/>
        </w:rPr>
        <w:t>Геренс</w:t>
      </w:r>
      <w:proofErr w:type="spellEnd"/>
      <w:r w:rsidRPr="00A259BD">
        <w:rPr>
          <w:rFonts w:ascii="Times New Roman" w:hAnsi="Times New Roman"/>
          <w:color w:val="000000" w:themeColor="text1"/>
          <w:sz w:val="16"/>
          <w:szCs w:val="16"/>
        </w:rPr>
        <w:t xml:space="preserve">, член </w:t>
      </w:r>
      <w:proofErr w:type="spellStart"/>
      <w:r w:rsidRPr="00A259BD">
        <w:rPr>
          <w:rFonts w:ascii="Times New Roman" w:hAnsi="Times New Roman"/>
          <w:color w:val="000000" w:themeColor="text1"/>
          <w:sz w:val="16"/>
          <w:szCs w:val="16"/>
        </w:rPr>
        <w:t>Директориума</w:t>
      </w:r>
      <w:proofErr w:type="spellEnd"/>
      <w:r w:rsidRPr="00A259BD">
        <w:rPr>
          <w:rFonts w:ascii="Times New Roman" w:hAnsi="Times New Roman"/>
          <w:color w:val="000000" w:themeColor="text1"/>
          <w:sz w:val="16"/>
          <w:szCs w:val="16"/>
        </w:rPr>
        <w:t xml:space="preserve"> Акционерного Общества Фридрих Крупп , глава делегации; д-р инженер </w:t>
      </w:r>
      <w:proofErr w:type="spellStart"/>
      <w:r w:rsidRPr="00A259BD">
        <w:rPr>
          <w:rFonts w:ascii="Times New Roman" w:hAnsi="Times New Roman"/>
          <w:color w:val="000000" w:themeColor="text1"/>
          <w:sz w:val="16"/>
          <w:szCs w:val="16"/>
        </w:rPr>
        <w:t>Грисман</w:t>
      </w:r>
      <w:proofErr w:type="spellEnd"/>
      <w:r w:rsidRPr="00A259BD">
        <w:rPr>
          <w:rFonts w:ascii="Times New Roman" w:hAnsi="Times New Roman"/>
          <w:color w:val="000000" w:themeColor="text1"/>
          <w:sz w:val="16"/>
          <w:szCs w:val="16"/>
        </w:rPr>
        <w:t xml:space="preserve"> - директор завода в Магдебурге Акционерного Общества Фридрих Крупп и </w:t>
      </w:r>
      <w:proofErr w:type="spellStart"/>
      <w:r w:rsidRPr="00A259BD">
        <w:rPr>
          <w:rFonts w:ascii="Times New Roman" w:hAnsi="Times New Roman"/>
          <w:color w:val="000000" w:themeColor="text1"/>
          <w:sz w:val="16"/>
          <w:szCs w:val="16"/>
        </w:rPr>
        <w:t>Бамбергер</w:t>
      </w:r>
      <w:proofErr w:type="spellEnd"/>
      <w:r w:rsidRPr="00A259BD">
        <w:rPr>
          <w:rFonts w:ascii="Times New Roman" w:hAnsi="Times New Roman"/>
          <w:color w:val="000000" w:themeColor="text1"/>
          <w:sz w:val="16"/>
          <w:szCs w:val="16"/>
        </w:rPr>
        <w:t xml:space="preserve"> - директор Восточного Отдела Акционерного Общества Фридрих Крупп . </w:t>
      </w:r>
    </w:p>
    <w:p w14:paraId="031366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Представители сторон имели ряд совещаний (протоколы и стенограммы велись систематически) по двум основным вопросам: о технической помощи в области мирной продукции (производство и обработка высокосортной стали, чугуна, специальные способы контроля над процессом производства) и о технической помощи в области специальной - военного производства. </w:t>
      </w:r>
    </w:p>
    <w:p w14:paraId="1A59C3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Результаты переговоров могут быть представлены в следующих положениях: </w:t>
      </w:r>
    </w:p>
    <w:p w14:paraId="00ACA5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 Срок действия договора, со дня его подписания и утверждения, устанавливается на 10 лет; </w:t>
      </w:r>
    </w:p>
    <w:p w14:paraId="7A6032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II. Объектом договора является техническое содействие фирмы Крупп советской промышленности в области мирного и военного производств. Фирма Крупп передает Советской стороне весь накопленный ею опыт и знания во всех областях производства, которые являются ее специальностью или которые ей приходилось изучать. Для осуществления этого содействия фирма Крупп представляет возможность советской стороне изучать на своих заводах, лабораториях и полигонах как всю постановку работы фирмы Крупп в целом, так и отдельные вопросы по нашему выбору. Конструкторское Бюро фирмы в Эссене должно быть соответственно расширено для обслуживания советских требований. Если Советская сторона пожелает, Конструкторское Бюро будет организовано в СССР. Помимо указаний в области постановки новых в СССР методов производств, заимствованных у фирмы Круппа , фирма Круппа обязана давать указания и по вопросам технически правильной и рациональной организации производства вообще. Фирма Круппа по требованию Советской стороны обязана командировать к нам потребное количество инструкторов надлежащей квалификации и по нашим специальным требованиям. Советская сторона имеет право командировать во все учреждения Круппа , в том числе и в Конструкторское Бюро в Эссене, необходимое количество своих инженеров и работников. </w:t>
      </w:r>
    </w:p>
    <w:p w14:paraId="577E8B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III. Представители фирмы Круппа сделали, однако, следующие существенные оговорки в области специального военного производства. </w:t>
      </w:r>
    </w:p>
    <w:p w14:paraId="2CA977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Все, что фирма Круппа имела в области производства опыта и знаний до 1918 г., безоговорочно может быть "передано" нам для изучения и введения у себя. </w:t>
      </w:r>
    </w:p>
    <w:p w14:paraId="7C6498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Достижения периода времени от 1918 г. по день подписания договора могут быть нам "переданы" лишь с согласия Рейхсвера, хотя это согласие заранее обеспечено. </w:t>
      </w:r>
    </w:p>
    <w:p w14:paraId="3A423C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w:t>
      </w:r>
      <w:proofErr w:type="spellStart"/>
      <w:r w:rsidRPr="00A259BD">
        <w:rPr>
          <w:rFonts w:ascii="Times New Roman" w:hAnsi="Times New Roman"/>
          <w:color w:val="000000" w:themeColor="text1"/>
          <w:sz w:val="16"/>
          <w:szCs w:val="16"/>
        </w:rPr>
        <w:t>Hовые</w:t>
      </w:r>
      <w:proofErr w:type="spellEnd"/>
      <w:r w:rsidRPr="00A259BD">
        <w:rPr>
          <w:rFonts w:ascii="Times New Roman" w:hAnsi="Times New Roman"/>
          <w:color w:val="000000" w:themeColor="text1"/>
          <w:sz w:val="16"/>
          <w:szCs w:val="16"/>
        </w:rPr>
        <w:t xml:space="preserve"> конструкции и изобретения в течение действия договора "передаются" нам каждый раз с согласия германского правительства. </w:t>
      </w:r>
    </w:p>
    <w:p w14:paraId="1A150D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Все, что достигнуто фирмой Круппа совместно с фирмой </w:t>
      </w:r>
      <w:proofErr w:type="spellStart"/>
      <w:r w:rsidRPr="00A259BD">
        <w:rPr>
          <w:rFonts w:ascii="Times New Roman" w:hAnsi="Times New Roman"/>
          <w:color w:val="000000" w:themeColor="text1"/>
          <w:sz w:val="16"/>
          <w:szCs w:val="16"/>
        </w:rPr>
        <w:t>Бофорс</w:t>
      </w:r>
      <w:proofErr w:type="spellEnd"/>
      <w:r w:rsidRPr="00A259BD">
        <w:rPr>
          <w:rFonts w:ascii="Times New Roman" w:hAnsi="Times New Roman"/>
          <w:color w:val="000000" w:themeColor="text1"/>
          <w:sz w:val="16"/>
          <w:szCs w:val="16"/>
        </w:rPr>
        <w:t xml:space="preserve"> в Швеции, "передается" нам с согласия этой фирмы. Фирма Круппа предложила свое посредничество по установлению сотрудничества между советскими заводами и фирмой </w:t>
      </w:r>
      <w:proofErr w:type="spellStart"/>
      <w:r w:rsidRPr="00A259BD">
        <w:rPr>
          <w:rFonts w:ascii="Times New Roman" w:hAnsi="Times New Roman"/>
          <w:color w:val="000000" w:themeColor="text1"/>
          <w:sz w:val="16"/>
          <w:szCs w:val="16"/>
        </w:rPr>
        <w:t>Бофорс</w:t>
      </w:r>
      <w:proofErr w:type="spellEnd"/>
      <w:r w:rsidRPr="00A259BD">
        <w:rPr>
          <w:rFonts w:ascii="Times New Roman" w:hAnsi="Times New Roman"/>
          <w:color w:val="000000" w:themeColor="text1"/>
          <w:sz w:val="16"/>
          <w:szCs w:val="16"/>
        </w:rPr>
        <w:t xml:space="preserve">, если бы мы этого пожелали. </w:t>
      </w:r>
    </w:p>
    <w:p w14:paraId="34A52A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IV. Содержание русского отдела в Конструкторском Бюро в Эссене, содержание советских сотрудников, которые будут командированы для работы у Круппа , и инженеров-конструкторов, которые будут командированы Круппом в СССР, должно отдельно, по себестоимости оплачиваться Советской стороной. Советской стороной в течение переговоров было выработано уточненное определение "Объема и характера технического содействия". Внесена существенная поправка о том, что советские инженеры вводятся в состав Конструкторского Бюро в Эссене, а не просто образуется - "русский отдел" при этом бюро. </w:t>
      </w:r>
    </w:p>
    <w:p w14:paraId="3F6946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VI. (...) Существенные разногласия выявились в вопросе о сроках и размерах платежей по обеим частям договора о техническом содействии. Представители фирмы Круппа , отказавшись от начального своего запроса - 2-х миллионов американских долларов, с уплатой из них в первые два года 1 500 000 американских долларов, сделали следующее заявление: советская машиностроительная промышленность уплачивает фирме Крупп 1 850 000 американских долларов нижеследующим образом: при подписании договора 500 тыс. американских долларов, через 6 месяцев - 125 тыс. долларов, через 9 месяцев - 100 тыс. Долларов</w:t>
      </w:r>
    </w:p>
    <w:p w14:paraId="44AF94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ЦГАСА. Ф. 33987. Оп. 3. Д. 295. Л. 227. (11448).</w:t>
      </w:r>
    </w:p>
    <w:p w14:paraId="1EE630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D4A9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10 по 20 апреля 1929 г. в Москве между представителями ВСНХ (в том числе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и фирмы «Крупп» по инициативе советской стороны проходили переговоры об оказании технической помощи в области военного производства, производства легированных чугуна и сталей для гражданских целей сроком на 10 лет. Москва была заинтересована в разработке с помощью «Круппа» зенитной артиллерии всех калибров с приборами управления, мортир среднего и большого калибра, тяжелой корпусной и дивизионной артиллерии, снарядов всех типов. «Крупп» предлагал за 2 млн. американских долларов оказывать содействие в разработках, производстве и испытаниях в СССР различных орудийных систем и боеприпасов (снаряды, порох, взрыватели) для сухопутных войск и флота, расширить КБ фирмы в Эссене или создать КБ в СССР, либо посылать немецких конструкторов в соответствующие советские КБ. Фирма предложила передать Все свои наработки по артиллерии вплоть до 1918 г., а разработки и изобретения после 1918 г. — с согласия правительства. «Крупп» изъявил согласие посылать своих специалистов для контроля за производством на советские военные заводы. В соответствии с германским законом о производстве военной техники фирмам запрещалось производить исследовательские работы в области военного производства, кроме как по заказу правительственных органов. «Крупп» настаивал, чтобы после учреждения им в Москве своего КБ советская сторона всякий раз, когда она намеревалась бы дать КБ заказ, обращалась бы в военное министерство Германии, а оно уже формально давало бы заказ </w:t>
      </w:r>
      <w:proofErr w:type="spellStart"/>
      <w:r w:rsidRPr="00A259BD">
        <w:rPr>
          <w:rFonts w:ascii="Times New Roman" w:hAnsi="Times New Roman"/>
          <w:color w:val="000000" w:themeColor="text1"/>
          <w:sz w:val="16"/>
          <w:szCs w:val="16"/>
        </w:rPr>
        <w:t>крупповскому</w:t>
      </w:r>
      <w:proofErr w:type="spellEnd"/>
      <w:r w:rsidRPr="00A259BD">
        <w:rPr>
          <w:rFonts w:ascii="Times New Roman" w:hAnsi="Times New Roman"/>
          <w:color w:val="000000" w:themeColor="text1"/>
          <w:sz w:val="16"/>
          <w:szCs w:val="16"/>
        </w:rPr>
        <w:t xml:space="preserve"> КБ. Тем самым «Крупп» не нарушал бы действующего в Германии законодательства. Советская же сторона предлагала создать исследовательскую фирму в виде общества с ограниченной ответственностью, которое формально бы не подпадало под упомянутый закон, запрещавший заниматься изыскательскими работами в военной сфере только производственным фирмам. «Крупп», учитывая, что это на грани допустимого, отказался.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же согласился. В конечном итоге в связи с неприемлемыми условиями ВСНХ (В. В. Куйбышев) отказался от привлечения «Круппа» к содействию в создании и усовершенствовании артсистем вооружения, ограничившись заключением с ним 17 июня 1929 г. договора о технической помощи по специальным сталям (РГВА, ф. 33987, оп. 3, д. 112, л. 74-75.). С советской стороны договор подписала «</w:t>
      </w:r>
      <w:proofErr w:type="spellStart"/>
      <w:r w:rsidRPr="00A259BD">
        <w:rPr>
          <w:rFonts w:ascii="Times New Roman" w:hAnsi="Times New Roman"/>
          <w:color w:val="000000" w:themeColor="text1"/>
          <w:sz w:val="16"/>
          <w:szCs w:val="16"/>
        </w:rPr>
        <w:t>Гомза</w:t>
      </w:r>
      <w:proofErr w:type="spellEnd"/>
      <w:r w:rsidRPr="00A259BD">
        <w:rPr>
          <w:rFonts w:ascii="Times New Roman" w:hAnsi="Times New Roman"/>
          <w:color w:val="000000" w:themeColor="text1"/>
          <w:sz w:val="16"/>
          <w:szCs w:val="16"/>
        </w:rPr>
        <w:t>» (Государственное объединение машиностроительных заводов). Согласно договору «Крупп» за 1,15 млн. американских долларов, которые выплачивались по частям вплоть до 1939 г., обязался давать специалистам «</w:t>
      </w:r>
      <w:proofErr w:type="spellStart"/>
      <w:r w:rsidRPr="00A259BD">
        <w:rPr>
          <w:rFonts w:ascii="Times New Roman" w:hAnsi="Times New Roman"/>
          <w:color w:val="000000" w:themeColor="text1"/>
          <w:sz w:val="16"/>
          <w:szCs w:val="16"/>
        </w:rPr>
        <w:t>Гомзы</w:t>
      </w:r>
      <w:proofErr w:type="spellEnd"/>
      <w:r w:rsidRPr="00A259BD">
        <w:rPr>
          <w:rFonts w:ascii="Times New Roman" w:hAnsi="Times New Roman"/>
          <w:color w:val="000000" w:themeColor="text1"/>
          <w:sz w:val="16"/>
          <w:szCs w:val="16"/>
        </w:rPr>
        <w:t>» подробные наставления на своих заводах и в лабораториях относительно методов и способов производства специальных марок сталей. «</w:t>
      </w:r>
      <w:proofErr w:type="spellStart"/>
      <w:r w:rsidRPr="00A259BD">
        <w:rPr>
          <w:rFonts w:ascii="Times New Roman" w:hAnsi="Times New Roman"/>
          <w:color w:val="000000" w:themeColor="text1"/>
          <w:sz w:val="16"/>
          <w:szCs w:val="16"/>
        </w:rPr>
        <w:t>Гомза</w:t>
      </w:r>
      <w:proofErr w:type="spellEnd"/>
      <w:r w:rsidRPr="00A259BD">
        <w:rPr>
          <w:rFonts w:ascii="Times New Roman" w:hAnsi="Times New Roman"/>
          <w:color w:val="000000" w:themeColor="text1"/>
          <w:sz w:val="16"/>
          <w:szCs w:val="16"/>
        </w:rPr>
        <w:t>» получала право ежегодно направлять на фирму для обучения до 30 инженеров. В результате к середине 30-х годов практику прошло более 100 человек. Одним из практикантов был И. Ф. Тевосян, впоследствии нарком черной металлургии, а затем судостроения СССР. В 1939 — 1940гг. после подписания пакта «Молотова — Риббентропа» он вновь, уже будучи наркомом, активно участвовал в налаживании военно-промышленного сотрудничества СССР с Германией. Сталелитейный завод «Круп</w:t>
      </w:r>
      <w:r w:rsidR="007A431E" w:rsidRPr="00A259BD">
        <w:rPr>
          <w:rFonts w:ascii="Times New Roman" w:hAnsi="Times New Roman"/>
          <w:color w:val="000000" w:themeColor="text1"/>
          <w:sz w:val="16"/>
          <w:szCs w:val="16"/>
        </w:rPr>
        <w:t>п</w:t>
      </w:r>
      <w:r w:rsidRPr="00A259BD">
        <w:rPr>
          <w:rFonts w:ascii="Times New Roman" w:hAnsi="Times New Roman"/>
          <w:color w:val="000000" w:themeColor="text1"/>
          <w:sz w:val="16"/>
          <w:szCs w:val="16"/>
        </w:rPr>
        <w:t>а» в Эссене неоднократно посещали высокопоставленные офицеры РККА (в сентябре 1931 г. — М. Е. Симонов, в апреле 1932 г. — П. Н. Лунев, в сентябре 1932 г. — М. Н. Тухачевский) (</w:t>
      </w:r>
      <w:proofErr w:type="spellStart"/>
      <w:r w:rsidRPr="00A259BD">
        <w:rPr>
          <w:rFonts w:ascii="Times New Roman" w:hAnsi="Times New Roman"/>
          <w:color w:val="000000" w:themeColor="text1"/>
          <w:sz w:val="16"/>
          <w:szCs w:val="16"/>
        </w:rPr>
        <w:t>Zeidler</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Manfred</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Op</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cit</w:t>
      </w:r>
      <w:proofErr w:type="spellEnd"/>
      <w:r w:rsidRPr="00A259BD">
        <w:rPr>
          <w:rFonts w:ascii="Times New Roman" w:hAnsi="Times New Roman"/>
          <w:color w:val="000000" w:themeColor="text1"/>
          <w:sz w:val="16"/>
          <w:szCs w:val="16"/>
        </w:rPr>
        <w:t>.. S. 230,236.) (11784).</w:t>
      </w:r>
    </w:p>
    <w:p w14:paraId="1C7BBA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B3C785" w14:textId="77777777" w:rsidR="000979B3" w:rsidRPr="00A259BD" w:rsidRDefault="000979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10 по 20 апреля 1929 г. в Москве между представителями ВСНХ (в том числе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и фирмы «Крупп» по инициативе советской стороны проходили переговоры об оказании технической помощи в области военного производства, производства легированных чугуна и сталей для гражданских целей сроком на 10 лет. Москва была заинтересована в разработке с помощью «Круппа» зенитной артиллерии всех калибров с приборами управления, мортир среднего и большого калибра, тяжелой корпусной и дивизионной артиллерии, снарядов всех типов. «Крупп» предлагал за 2 млн. американских долларов оказывать содействие в разработках, производстве и испытаниях в СССР различных орудийных систем и боеприпасов (снаряды, порох, взрыватели) для сухопутных войск и флота, расширить КБ фирмы в Эссене или создать КБ в СССР, либо посылать немецких конструкторов в соответствующие советские КБ. Фирма предложила передать все свои наработки по артиллерии вплоть до 1918 г., а разработки и изобретения после 1918 г. — с согласия правительства. «Крупп» изъявил согласие посылать своих специалистов для контроля за производством на советские военные заводы. В соответствии с германским законом о производстве военной техники фирмам запрещалось производить исследовательские работы в области военного производства, кроме как по заказу правительственных органов. «Крупп» настаивал, чтобы после учреждения им в Москве своего КБ советская сторона всякий раз, когда она намеревалась бы дать КБ заказ, обращалась бы в военное министерство Германии, а оно уже формально давало бы заказ </w:t>
      </w:r>
      <w:proofErr w:type="spellStart"/>
      <w:r w:rsidRPr="00A259BD">
        <w:rPr>
          <w:rFonts w:ascii="Times New Roman" w:hAnsi="Times New Roman"/>
          <w:color w:val="000000" w:themeColor="text1"/>
          <w:sz w:val="16"/>
          <w:szCs w:val="16"/>
        </w:rPr>
        <w:t>крупповскому</w:t>
      </w:r>
      <w:proofErr w:type="spellEnd"/>
      <w:r w:rsidRPr="00A259BD">
        <w:rPr>
          <w:rFonts w:ascii="Times New Roman" w:hAnsi="Times New Roman"/>
          <w:color w:val="000000" w:themeColor="text1"/>
          <w:sz w:val="16"/>
          <w:szCs w:val="16"/>
        </w:rPr>
        <w:t xml:space="preserve"> КБ. Тем самым «Крупп» не нарушал бы действующего в Германии законодательства. Советская же сторона предлагала создать исследовательскую фирму в виде общества с ограниченной ответственностью, которое формально бы не подпадало под упомянутый закон, запрещавший заниматься изыскательскими работами в военной сфере только производственным фирмам. «Крупп», учитывая, что это на грани допустимого, отказался.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же согласился.</w:t>
      </w:r>
    </w:p>
    <w:p w14:paraId="78FA1E04" w14:textId="77777777" w:rsidR="000979B3" w:rsidRPr="00A259BD" w:rsidRDefault="000979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конечном итоге в связи с неприемлемыми условиями ВСНХ (В. В. Куйбышев) отказался от привлечения «Круппа» к содействию в создании и усовершенствовании артсистем вооружения, ограничившись заключением с ним 17 июня 1929 г. договора о технической помощи по специальным сталям</w:t>
      </w:r>
      <w:hyperlink r:id="rId36" w:anchor="n_400" w:history="1">
        <w:r w:rsidRPr="00A259BD">
          <w:rPr>
            <w:rStyle w:val="a5"/>
            <w:rFonts w:ascii="Times New Roman" w:hAnsi="Times New Roman"/>
            <w:color w:val="000000" w:themeColor="text1"/>
            <w:sz w:val="16"/>
            <w:szCs w:val="16"/>
          </w:rPr>
          <w:t>[400]</w:t>
        </w:r>
      </w:hyperlink>
      <w:r w:rsidRPr="00A259BD">
        <w:rPr>
          <w:rFonts w:ascii="Times New Roman" w:hAnsi="Times New Roman"/>
          <w:color w:val="000000" w:themeColor="text1"/>
          <w:sz w:val="16"/>
          <w:szCs w:val="16"/>
        </w:rPr>
        <w:t>. С советской стороны договор подписала «</w:t>
      </w:r>
      <w:proofErr w:type="spellStart"/>
      <w:r w:rsidRPr="00A259BD">
        <w:rPr>
          <w:rFonts w:ascii="Times New Roman" w:hAnsi="Times New Roman"/>
          <w:color w:val="000000" w:themeColor="text1"/>
          <w:sz w:val="16"/>
          <w:szCs w:val="16"/>
        </w:rPr>
        <w:t>Гомза</w:t>
      </w:r>
      <w:proofErr w:type="spellEnd"/>
      <w:r w:rsidRPr="00A259BD">
        <w:rPr>
          <w:rFonts w:ascii="Times New Roman" w:hAnsi="Times New Roman"/>
          <w:color w:val="000000" w:themeColor="text1"/>
          <w:sz w:val="16"/>
          <w:szCs w:val="16"/>
        </w:rPr>
        <w:t>» (Государственное объединение машиностроительных заводов). Согласно договору «Крупп» за 1,15 млн. американских долларов, которые выплачивались по частям вплоть до 1939 г., обязался давать специалистам «</w:t>
      </w:r>
      <w:proofErr w:type="spellStart"/>
      <w:r w:rsidRPr="00A259BD">
        <w:rPr>
          <w:rFonts w:ascii="Times New Roman" w:hAnsi="Times New Roman"/>
          <w:color w:val="000000" w:themeColor="text1"/>
          <w:sz w:val="16"/>
          <w:szCs w:val="16"/>
        </w:rPr>
        <w:t>Гомзы</w:t>
      </w:r>
      <w:proofErr w:type="spellEnd"/>
      <w:r w:rsidRPr="00A259BD">
        <w:rPr>
          <w:rFonts w:ascii="Times New Roman" w:hAnsi="Times New Roman"/>
          <w:color w:val="000000" w:themeColor="text1"/>
          <w:sz w:val="16"/>
          <w:szCs w:val="16"/>
        </w:rPr>
        <w:t>» подробные наставления на своих заводах и в лабораториях относительно методов и способов производства специальных марок сталей. «</w:t>
      </w:r>
      <w:proofErr w:type="spellStart"/>
      <w:r w:rsidRPr="00A259BD">
        <w:rPr>
          <w:rFonts w:ascii="Times New Roman" w:hAnsi="Times New Roman"/>
          <w:color w:val="000000" w:themeColor="text1"/>
          <w:sz w:val="16"/>
          <w:szCs w:val="16"/>
        </w:rPr>
        <w:t>Гомза</w:t>
      </w:r>
      <w:proofErr w:type="spellEnd"/>
      <w:r w:rsidRPr="00A259BD">
        <w:rPr>
          <w:rFonts w:ascii="Times New Roman" w:hAnsi="Times New Roman"/>
          <w:color w:val="000000" w:themeColor="text1"/>
          <w:sz w:val="16"/>
          <w:szCs w:val="16"/>
        </w:rPr>
        <w:t>» получала право ежегодно направлять на фирму для обучения до 30 инженеров. В результате к середине 30-х годов практику прошло более 100 человек. Одним из практикантов был И. Ф. Тевосян, впоследствии нарком черной металлургии, а затем судостроения СССР. В 1939–1940 гг. после подписания пакта «Молотова — Риббентропа» он вновь, уже будучи наркомом, активно участвовал в налаживании военно-промышленного сотрудничества СССР с Германией. Сталелитейный завод «Крупна» в Эссене неоднократно посещали высокопоставленные офицеры РККА (в сентябре 1931 г. — М. Е. Симонов, в апреле 1932 г. — П. Н. Лунев, в сентябре 1932 г. — М. Н. Тухачевский) (18265).</w:t>
      </w:r>
    </w:p>
    <w:p w14:paraId="2E5E8474" w14:textId="77777777" w:rsidR="000979B3" w:rsidRPr="00A259BD" w:rsidRDefault="000979B3" w:rsidP="009236E3">
      <w:pPr>
        <w:spacing w:after="0" w:line="240" w:lineRule="auto"/>
        <w:jc w:val="both"/>
        <w:rPr>
          <w:rFonts w:ascii="Times New Roman" w:hAnsi="Times New Roman"/>
          <w:color w:val="000000" w:themeColor="text1"/>
          <w:sz w:val="16"/>
          <w:szCs w:val="16"/>
        </w:rPr>
      </w:pPr>
    </w:p>
    <w:p w14:paraId="7B0C197F" w14:textId="77777777" w:rsidR="007A431E"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1A3B28A8" w14:textId="77777777" w:rsidR="007A431E" w:rsidRPr="00A259BD" w:rsidRDefault="007A431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9370E6" w14:textId="77777777" w:rsidR="007A431E" w:rsidRPr="00A259BD" w:rsidRDefault="007A431E" w:rsidP="009236E3">
      <w:pPr>
        <w:spacing w:after="0" w:line="240" w:lineRule="auto"/>
        <w:jc w:val="both"/>
        <w:rPr>
          <w:rFonts w:ascii="Times New Roman" w:hAnsi="Times New Roman"/>
          <w:bCs/>
          <w:color w:val="000000" w:themeColor="text1"/>
          <w:sz w:val="16"/>
          <w:szCs w:val="16"/>
        </w:rPr>
      </w:pPr>
      <w:r w:rsidRPr="00A259BD">
        <w:rPr>
          <w:rFonts w:ascii="Times New Roman" w:hAnsi="Times New Roman"/>
          <w:color w:val="000000" w:themeColor="text1"/>
          <w:sz w:val="16"/>
          <w:szCs w:val="16"/>
        </w:rPr>
        <w:t xml:space="preserve">10 апреля 1929 г. ЦИК и Совнарком </w:t>
      </w:r>
      <w:bookmarkStart w:id="34" w:name="YANDEX_9"/>
      <w:bookmarkEnd w:id="34"/>
      <w:r w:rsidRPr="00A259BD">
        <w:rPr>
          <w:rStyle w:val="highlight"/>
          <w:rFonts w:ascii="Times New Roman" w:hAnsi="Times New Roman"/>
          <w:color w:val="000000" w:themeColor="text1"/>
          <w:sz w:val="16"/>
          <w:szCs w:val="16"/>
        </w:rPr>
        <w:t> СССР </w:t>
      </w:r>
      <w:r w:rsidRPr="00A259BD">
        <w:rPr>
          <w:rFonts w:ascii="Times New Roman" w:hAnsi="Times New Roman"/>
          <w:color w:val="000000" w:themeColor="text1"/>
          <w:sz w:val="16"/>
          <w:szCs w:val="16"/>
        </w:rPr>
        <w:t xml:space="preserve"> приняли постановление «О праве передачи по радио и проводам публичного исполнения музыкальных, драматических и других произведений, а равно лекций и докладов». Радиовещательные организации получали право без особой оплаты устанавливать микрофоны в театральных, концертных и лекционных залах. Это способствовало гораздо большему размаху общественно-политического и художественного радиовещания, а также более широкому использованию радио в целях самообразования слушателей (17217).</w:t>
      </w:r>
    </w:p>
    <w:p w14:paraId="355F066A" w14:textId="77777777" w:rsidR="007A431E" w:rsidRPr="00A259BD" w:rsidRDefault="007A431E" w:rsidP="009236E3">
      <w:pPr>
        <w:spacing w:after="0" w:line="240" w:lineRule="auto"/>
        <w:jc w:val="both"/>
        <w:rPr>
          <w:rFonts w:ascii="Times New Roman" w:hAnsi="Times New Roman"/>
          <w:bCs/>
          <w:color w:val="000000" w:themeColor="text1"/>
          <w:sz w:val="16"/>
          <w:szCs w:val="16"/>
        </w:rPr>
      </w:pPr>
    </w:p>
    <w:p w14:paraId="1985E8B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413CECD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5728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апреля 1929 </w:t>
      </w:r>
      <w:proofErr w:type="spellStart"/>
      <w:r w:rsidRPr="00A259BD">
        <w:rPr>
          <w:rFonts w:ascii="Times New Roman" w:hAnsi="Times New Roman"/>
          <w:color w:val="000000" w:themeColor="text1"/>
          <w:sz w:val="16"/>
          <w:szCs w:val="16"/>
        </w:rPr>
        <w:t>Ф.Зандер</w:t>
      </w:r>
      <w:proofErr w:type="spellEnd"/>
      <w:r w:rsidRPr="00A259BD">
        <w:rPr>
          <w:rFonts w:ascii="Times New Roman" w:hAnsi="Times New Roman"/>
          <w:color w:val="000000" w:themeColor="text1"/>
          <w:sz w:val="16"/>
          <w:szCs w:val="16"/>
        </w:rPr>
        <w:t xml:space="preserve"> в Германии выполнил успешный полет ракеты с ЖРД. Длина - 71 см, диаметр - 21 с, масса 7/16 кг с топливом. Двигатель работал 132 с и давал тягу 45-50 кг. Стартовала так стремительно, что ни проследить полет, ни найти место падения не смогли (3814).</w:t>
      </w:r>
    </w:p>
    <w:p w14:paraId="7FAC72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BFEE3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F23858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0C697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апреля 1929 года в НИИ ВВС закончились гос. испытания самолета Р3 БМВ VI, которые проходили с 10 сентября 1928.</w:t>
      </w:r>
    </w:p>
    <w:p w14:paraId="2DAB6B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испытания самолета Р3 БМВ VI</w:t>
      </w:r>
    </w:p>
    <w:p w14:paraId="243FCF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Задание НТК УВВ № 30256/с от 4 июля 1928 года</w:t>
      </w:r>
    </w:p>
    <w:p w14:paraId="3EF6DF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Самолет Р-3 ранее испытан в НИИ с моторами “Либерти” 400 НР и </w:t>
      </w:r>
      <w:proofErr w:type="spellStart"/>
      <w:r w:rsidRPr="00A259BD">
        <w:rPr>
          <w:rFonts w:ascii="Times New Roman" w:hAnsi="Times New Roman"/>
          <w:color w:val="000000" w:themeColor="text1"/>
          <w:sz w:val="16"/>
          <w:szCs w:val="16"/>
        </w:rPr>
        <w:t>Лоррен</w:t>
      </w:r>
      <w:proofErr w:type="spellEnd"/>
      <w:r w:rsidRPr="00A259BD">
        <w:rPr>
          <w:rFonts w:ascii="Times New Roman" w:hAnsi="Times New Roman"/>
          <w:color w:val="000000" w:themeColor="text1"/>
          <w:sz w:val="16"/>
          <w:szCs w:val="16"/>
        </w:rPr>
        <w:t>-Дитрих – 450 НР. Для данного испытания на самолете переделана моторная установка и поставлен мотор БМВ VI Е=7,3.</w:t>
      </w:r>
    </w:p>
    <w:p w14:paraId="1FD781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Общее заключение</w:t>
      </w:r>
    </w:p>
    <w:p w14:paraId="298100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Р-3 с мотором БМВ VI Z 7,3 по сравнению с самолетом Р3 Л.Д. и Р3-М5 значительно улучшил свои летные качества, как по скоростям, так и по скороподъемности.</w:t>
      </w:r>
    </w:p>
    <w:p w14:paraId="54F8C1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Окончательное решение об установке мотора БМВ VI Z 7,3 на самолет Р3 НИИ считает необходимым отложить до выяснения вопроса о работе мотора при низких температурах (6993).</w:t>
      </w:r>
    </w:p>
    <w:p w14:paraId="6620C5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236DFE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апреля 1929 в НИИ ВВС закончились испытания самолетов Р3 БМВVI, которые проходили с 10 сентября 1928.</w:t>
      </w:r>
    </w:p>
    <w:p w14:paraId="5E393A4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Задание НТК УВВ № 30256/с от 4 июля 1928 года</w:t>
      </w:r>
    </w:p>
    <w:p w14:paraId="547D6B9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Начало испытания 10 сентября 1928 года</w:t>
      </w:r>
    </w:p>
    <w:p w14:paraId="6A9569B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 испытания 11 апреля 1929 года</w:t>
      </w:r>
    </w:p>
    <w:p w14:paraId="0105F7A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Р3 был ранее испытан в НИИ с мотором ЛИБЕРТИ 400 НР и ЛОРРЕН-ДИТРИХ 450 НР. Для данного испытания на самолете переделана моторная установка и поставлен мотор БМВ VI 7,3. Вся моторная рама съемная и подвешена к фюзеляжу на пяти шарнирах.</w:t>
      </w:r>
    </w:p>
    <w:p w14:paraId="5CFAE83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Общее заключение</w:t>
      </w:r>
    </w:p>
    <w:p w14:paraId="20AC177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Р-3 с мотором БМВ VIZ 7,3 по сравнению с самолетом Р3 Л.Д. и Р3-М5 значительно улучшил свои летные качества как по скоростям, так и по скороподъемности.</w:t>
      </w:r>
    </w:p>
    <w:p w14:paraId="050D3B7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Окончательное решение об установке мотора БМВ VIZ 7,3 на самолет Р3 НИИ считает необходимым отложить вплоть до полного выяснения вопроса о работе мотора БМВ VIZ 7,3 вообще при низких температурах (6970).</w:t>
      </w:r>
    </w:p>
    <w:p w14:paraId="67AE70F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3154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апреля 1929 закончились гос. испытания Р-3 ВМВ-6, которые проходили с 10 сентября 1928 (189,7).</w:t>
      </w:r>
    </w:p>
    <w:p w14:paraId="4194F3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A512D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апреля 1929 г. закончились государственные испытания Р-3 ВМВ-6, которые проходили с 10 сентября 1928 г.; машина летала и на колесах, и на лыжах. Летные характеристики с BMW VI оказались значительно выше, чем у Р-ЗМ5 и Р-ЗЛД (скорость - до 229 км/ч, потолок 6200 м). Здесь в первую очередь сказались значительно большая мощность двигателя - максимально доходившая до 730 л.с. </w:t>
      </w:r>
    </w:p>
    <w:p w14:paraId="674DBB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Серийно модификация Р-3 с мотором BMW VI не строилась, но результаты работы над ней использовали в новом разведчике Туполева Р-7 (АНТ-10), который представлял собой увеличенный Р-3 под тот же двигатель. Этот самолет был построен и успешно прошел испытания в 1930 г., но не выдержал конкуренции с более простым и дешевым Р-5 конструкции Н.Н. Поликарпова (11985).</w:t>
      </w:r>
    </w:p>
    <w:p w14:paraId="2C0C49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22 июня 1928 в опытный экземпляр с мотором BMW переделали уже изрядно послуживший самолет № 4008. Вооружение на нем отсутствовало, не было даже кронштейнов курсового пулемета, хотя турель смонтировали. Машину собрали на Центральном аэродроме и сразу же приступили к заводским испытаниям. После этого самолет передали в руки испытателей НИИ ВВС (11985).</w:t>
      </w:r>
    </w:p>
    <w:p w14:paraId="6E77B3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22D6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апреля 1929 НТК УВВС окончательно утвердил конструкцию ТБ-1 А.Н.Т. (журнал первой секции N 16с) и отметили 81 пункт, подлежащих исправления (2371).</w:t>
      </w:r>
    </w:p>
    <w:p w14:paraId="308C4C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16F61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апреля 1929 года председатель ВСНХ.</w:t>
      </w:r>
    </w:p>
    <w:p w14:paraId="78E971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Доклад о деятельности авиапромышленности за период 26-27 и 27-28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и</w:t>
      </w:r>
    </w:p>
    <w:p w14:paraId="2EACFB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перспективах ее развития на ближайшее пятилетие 1928-29 - 1932-33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w:t>
      </w:r>
    </w:p>
    <w:p w14:paraId="3D3DAD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Техническое состояние авиапромышленности на 1 октября 1928 года</w:t>
      </w:r>
    </w:p>
    <w:p w14:paraId="023D62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Группа самолетостроения состоит из 5 заводов (NN 1, 22, 23, 25, 31), при чем один из них N 25 выполняет задания по опытному строительству.</w:t>
      </w:r>
    </w:p>
    <w:p w14:paraId="07FB84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Группа моторостроительная состоит из трех заводов NN 24, 26, 29), при чем завод N 26 находится в периоде достройки и дооборудования и только во II полугодии 27/28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приступил к подготовке производства моторов М17 (БМВ-6).</w:t>
      </w:r>
    </w:p>
    <w:p w14:paraId="570CBB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Группа вспомогательных производств состоит из трех заводов: N 28 (винты и лыжи), N 41 - лесопильный, N 36 - </w:t>
      </w:r>
      <w:proofErr w:type="spellStart"/>
      <w:r w:rsidRPr="00A259BD">
        <w:rPr>
          <w:rFonts w:ascii="Times New Roman" w:hAnsi="Times New Roman"/>
          <w:color w:val="000000" w:themeColor="text1"/>
          <w:sz w:val="16"/>
          <w:szCs w:val="16"/>
        </w:rPr>
        <w:t>аэролаковый</w:t>
      </w:r>
      <w:proofErr w:type="spellEnd"/>
      <w:r w:rsidRPr="00A259BD">
        <w:rPr>
          <w:rFonts w:ascii="Times New Roman" w:hAnsi="Times New Roman"/>
          <w:color w:val="000000" w:themeColor="text1"/>
          <w:sz w:val="16"/>
          <w:szCs w:val="16"/>
        </w:rPr>
        <w:t>.</w:t>
      </w:r>
    </w:p>
    <w:p w14:paraId="1E88D0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в 1927-28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были приняты к производству недостаточно проработанные конструкции самолетов: И2бис, Р3-ЛД, Р1-БМВ4 и мотор М12.</w:t>
      </w:r>
    </w:p>
    <w:p w14:paraId="01B0C8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Пятилетний план развития авиапромышленности</w:t>
      </w:r>
    </w:p>
    <w:p w14:paraId="7605ED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 период 1928-1929 по 1932-1933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w:t>
      </w:r>
    </w:p>
    <w:p w14:paraId="5C822E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Постановлением СТО от 17 ноября 1926 года был утвержден план развития авиапромышленности с конечной мощностью по самолетостроительным заводам на 1 октября 1929 года в 1500 самолетов и по моторостроительным заводам на 1 октября 1931 года 1810 моторов. Это постановление не распространилось на установление предельных мощностей для самолетостроительных заводов по металлическим конструкциям.... (3545).</w:t>
      </w:r>
    </w:p>
    <w:p w14:paraId="094628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37E15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апреля 1929 года была подготовлена справка:</w:t>
      </w:r>
    </w:p>
    <w:p w14:paraId="7713C8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вопросу: доклад о деятельности авиапромышленности за период 26-27 и 27-28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xml:space="preserve">. и о перспективах ее развития на ближайшее пятилетие 1928-29 – 1932-33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w:t>
      </w:r>
    </w:p>
    <w:p w14:paraId="4D0EFAF7"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Техническое состояние авиапромышленности на 1 октября 1928 года таково:</w:t>
      </w:r>
    </w:p>
    <w:p w14:paraId="52BEC6A6"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Группа самолетостроительная состоит из пяти заводов (№№ 1, 22, 23, 25 и 31), причем завод № 25 выполняет задания по опытному строительству, а остальные заводы работают по основному производству.</w:t>
      </w:r>
    </w:p>
    <w:p w14:paraId="7BD79DE0"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Группа моторостроительная состоит из трех заводов (№№ 24, 26 и 29), причем завод № 26 находится в периоде достройки и дооборудования и только во II полугодии 1927/28 года приступил к подготовке производства моторов М17 (БМВ-6).</w:t>
      </w:r>
    </w:p>
    <w:p w14:paraId="19D096D5"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Группа заводов вспомогательных производств состоит из трех заводов: № 28 (винты и лыжи), № 41 – лесопильный, № 36 </w:t>
      </w:r>
      <w:proofErr w:type="spellStart"/>
      <w:r w:rsidRPr="00A259BD">
        <w:rPr>
          <w:rFonts w:ascii="Times New Roman" w:hAnsi="Times New Roman"/>
          <w:color w:val="000000" w:themeColor="text1"/>
          <w:sz w:val="16"/>
          <w:szCs w:val="16"/>
        </w:rPr>
        <w:t>аэролаковый</w:t>
      </w:r>
      <w:proofErr w:type="spellEnd"/>
      <w:r w:rsidRPr="00A259BD">
        <w:rPr>
          <w:rFonts w:ascii="Times New Roman" w:hAnsi="Times New Roman"/>
          <w:color w:val="000000" w:themeColor="text1"/>
          <w:sz w:val="16"/>
          <w:szCs w:val="16"/>
        </w:rPr>
        <w:t>.</w:t>
      </w:r>
    </w:p>
    <w:p w14:paraId="723737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Завод № 12 в истекшем 1927-28 году приступил к серийному производству </w:t>
      </w:r>
      <w:proofErr w:type="spellStart"/>
      <w:r w:rsidRPr="00A259BD">
        <w:rPr>
          <w:rFonts w:ascii="Times New Roman" w:hAnsi="Times New Roman"/>
          <w:color w:val="000000" w:themeColor="text1"/>
          <w:sz w:val="16"/>
          <w:szCs w:val="16"/>
        </w:rPr>
        <w:t>авиасвечей</w:t>
      </w:r>
      <w:proofErr w:type="spellEnd"/>
      <w:r w:rsidRPr="00A259BD">
        <w:rPr>
          <w:rFonts w:ascii="Times New Roman" w:hAnsi="Times New Roman"/>
          <w:color w:val="000000" w:themeColor="text1"/>
          <w:sz w:val="16"/>
          <w:szCs w:val="16"/>
        </w:rPr>
        <w:t xml:space="preserve"> и кроме того продолжает изготовлять радиоаппаратуру, дабы иметь достаточную нагрузку в производстве.</w:t>
      </w:r>
    </w:p>
    <w:p w14:paraId="4B6B60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Завод в настоящее время передается </w:t>
      </w:r>
      <w:proofErr w:type="spellStart"/>
      <w:r w:rsidRPr="00A259BD">
        <w:rPr>
          <w:rFonts w:ascii="Times New Roman" w:hAnsi="Times New Roman"/>
          <w:color w:val="000000" w:themeColor="text1"/>
          <w:sz w:val="16"/>
          <w:szCs w:val="16"/>
        </w:rPr>
        <w:t>Главэлектро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ГЭТу</w:t>
      </w:r>
      <w:proofErr w:type="spellEnd"/>
      <w:r w:rsidRPr="00A259BD">
        <w:rPr>
          <w:rFonts w:ascii="Times New Roman" w:hAnsi="Times New Roman"/>
          <w:color w:val="000000" w:themeColor="text1"/>
          <w:sz w:val="16"/>
          <w:szCs w:val="16"/>
        </w:rPr>
        <w:t>) для производства свечей и постановки производства приборов зажигания для самолетов.</w:t>
      </w:r>
    </w:p>
    <w:p w14:paraId="715EA0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Наибольшее количество авиазаводов (10 из 13) расположено в Центральном промышленном районе и лишь три завода на периферии: № 23 – в Ленинграде, № 29 – в Запорожье и № 31 – в Таганроге.</w:t>
      </w:r>
    </w:p>
    <w:p w14:paraId="56364D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Производственная возможность заводов, находящихся в Центральном районе на 1 октября 1928 года составляет: 56% по самолетам и 75% по моторам от общей производительности авиазаводов.</w:t>
      </w:r>
    </w:p>
    <w:p w14:paraId="7C3F86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моторов ведется также в специальном цехе завода "большевик" </w:t>
      </w:r>
      <w:proofErr w:type="spellStart"/>
      <w:r w:rsidRPr="00A259BD">
        <w:rPr>
          <w:rFonts w:ascii="Times New Roman" w:hAnsi="Times New Roman"/>
          <w:color w:val="000000" w:themeColor="text1"/>
          <w:sz w:val="16"/>
          <w:szCs w:val="16"/>
        </w:rPr>
        <w:t>Орудартреста</w:t>
      </w:r>
      <w:proofErr w:type="spellEnd"/>
      <w:r w:rsidRPr="00A259BD">
        <w:rPr>
          <w:rFonts w:ascii="Times New Roman" w:hAnsi="Times New Roman"/>
          <w:color w:val="000000" w:themeColor="text1"/>
          <w:sz w:val="16"/>
          <w:szCs w:val="16"/>
        </w:rPr>
        <w:t>. В настоящее время завод в связи с проектированием заново нового цеха подготовляется к производству мотора М17, вместо производимого ныне мотора М5.</w:t>
      </w:r>
    </w:p>
    <w:p w14:paraId="2C0CDB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II. Выполнение производственной программы за период 1926/27 и 1927/28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w:t>
      </w:r>
    </w:p>
    <w:p w14:paraId="045255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Несмотря на прогрессирующую сложность производства в связи с введением на вооружение более мощных моторов и самолетов авиапромышленность имеет за отчетный период достижения, характеризующиеся следующими основными показателями: см. приложение табл. № 1.</w:t>
      </w:r>
    </w:p>
    <w:p w14:paraId="65A606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основании данных приведенной ниже таблицы можно констатировать рост производительности авиазаводов по отношению к установившимся типам самолетов и моторов, как то: самолеты Р1, VI и моторы М5 и М6.</w:t>
      </w:r>
    </w:p>
    <w:p w14:paraId="2D5B27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Вместе с тем надлежит отметить, что этот рост мог бы быть более значительным, если бы не имели место ряд тормозящих причин, как например:</w:t>
      </w:r>
    </w:p>
    <w:p w14:paraId="1D06BD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Значительный процент брака </w:t>
      </w:r>
      <w:proofErr w:type="spellStart"/>
      <w:r w:rsidRPr="00A259BD">
        <w:rPr>
          <w:rFonts w:ascii="Times New Roman" w:hAnsi="Times New Roman"/>
          <w:color w:val="000000" w:themeColor="text1"/>
          <w:sz w:val="16"/>
          <w:szCs w:val="16"/>
        </w:rPr>
        <w:t>авиапоковок</w:t>
      </w:r>
      <w:proofErr w:type="spellEnd"/>
      <w:r w:rsidRPr="00A259BD">
        <w:rPr>
          <w:rFonts w:ascii="Times New Roman" w:hAnsi="Times New Roman"/>
          <w:color w:val="000000" w:themeColor="text1"/>
          <w:sz w:val="16"/>
          <w:szCs w:val="16"/>
        </w:rPr>
        <w:t>, наблюдающийся на протяжении вышеуказанного периода, в особенности коленчатых валов, что в большой степени задерживало выпуск авиамоторов, как например: из числа поставленных для мотора № 6 170 коленчатых валов в 1927-28 году было забраковано 60 штук, т.е. 33,75% от всего поставленного количества.</w:t>
      </w:r>
    </w:p>
    <w:p w14:paraId="26B10C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Указанное явление объясняется как новизной производства поковок из хромоникелевых сталей, так и трудностями этого производства вообще.</w:t>
      </w:r>
    </w:p>
    <w:p w14:paraId="7149EC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Задержки в своевременной поставке </w:t>
      </w:r>
      <w:proofErr w:type="spellStart"/>
      <w:r w:rsidRPr="00A259BD">
        <w:rPr>
          <w:rFonts w:ascii="Times New Roman" w:hAnsi="Times New Roman"/>
          <w:color w:val="000000" w:themeColor="text1"/>
          <w:sz w:val="16"/>
          <w:szCs w:val="16"/>
        </w:rPr>
        <w:t>авиапоковок</w:t>
      </w:r>
      <w:proofErr w:type="spellEnd"/>
      <w:r w:rsidRPr="00A259BD">
        <w:rPr>
          <w:rFonts w:ascii="Times New Roman" w:hAnsi="Times New Roman"/>
          <w:color w:val="000000" w:themeColor="text1"/>
          <w:sz w:val="16"/>
          <w:szCs w:val="16"/>
        </w:rPr>
        <w:t xml:space="preserve"> на заводы авиапромышленности.</w:t>
      </w:r>
    </w:p>
    <w:p w14:paraId="3C0346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Необходимость в интересах обороны страны принимать на серийное производство типы самолетов и моторов недостаточно проработанные в конструктивном отношении, что вносит значительные затруднения в производство и задерживает выпуск самолетов и моторов.</w:t>
      </w:r>
    </w:p>
    <w:p w14:paraId="64B6EE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 например, в 1927-28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были приняты к производству недостаточно проработанные конструкции самолетов: И2бис, Р3-ЛД, Р1-БМВ4 и мотор М12.</w:t>
      </w:r>
    </w:p>
    <w:p w14:paraId="58EBB6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Однако, несмотря на эти причины, независящие от авиапромышленности, необходимо констатировать также и ряд определенных у нее недочетов, которые в результате также привели к недовыполнению программы, выразившемуся в следующих цифрах:</w:t>
      </w:r>
    </w:p>
    <w:p w14:paraId="65B2F3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1926-27 году по моторам – 16%</w:t>
      </w:r>
    </w:p>
    <w:p w14:paraId="1D3812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1927-28 году по самолетам – 16%</w:t>
      </w:r>
    </w:p>
    <w:p w14:paraId="0B20B0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1927-28 году по моторам – 9%</w:t>
      </w:r>
    </w:p>
    <w:p w14:paraId="0018B4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Главнейшими недочетами в самом производстве авиапромышленности могут считаться:</w:t>
      </w:r>
    </w:p>
    <w:p w14:paraId="4EC1DE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Недостаточность планировки в производстве и в снабжении отдельных заводов ……………………….</w:t>
      </w:r>
    </w:p>
    <w:p w14:paraId="7E7070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Медленность развертывания работ по постановке производства моторов М17 в 1928-29 году, осуществляемого по договору на получение технической помощи от иностранной фирмы БМВ.</w:t>
      </w:r>
    </w:p>
    <w:p w14:paraId="3AA000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Несмотря на то, что договор заключен в сентябре 1927 года – постановка производства моторов не закончена и до настоящего времени.</w:t>
      </w:r>
    </w:p>
    <w:p w14:paraId="274DA1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Неравномерность темпа производства по месяцам, с резким сдвигом выполнения программ на последние месяцы производственного года (см. приложение табл. № 2).</w:t>
      </w:r>
    </w:p>
    <w:p w14:paraId="682E4B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Крайняя медленность внедрения в производство новых типов самолетов и моторов (самолеты: И3-БМВ6, И4-ЮП6, Р5-БМВ6 и мотор – М11).</w:t>
      </w:r>
    </w:p>
    <w:p w14:paraId="530C2C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Высокий процент брака в производстве литья из цветных металлов (алюминиевые картеры, блоки, бронзовые вкладыши и др.).</w:t>
      </w:r>
    </w:p>
    <w:p w14:paraId="1520A9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Отставание в производстве запчастей по сравнению с производством самолетов и моторов.</w:t>
      </w:r>
    </w:p>
    <w:p w14:paraId="2100DC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Указанные недочеты несомненно являются результатом молодости Союзной авиапромышленности, а также недостаточной подготовленности общей промышленной базы в нашей стране для обслуживания авиапромышленности.</w:t>
      </w:r>
    </w:p>
    <w:p w14:paraId="3922FF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Меры в соответствующей части принимаются в порядке текущей работы, а в остальном подготовляются в связи с общим перспективным планом развития всей промышленности Союза.</w:t>
      </w:r>
    </w:p>
    <w:p w14:paraId="0EA390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3DFD9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IV. Пятилетний план развития авиапромышленности за период 1928-29 по 1932-33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включительно.</w:t>
      </w:r>
    </w:p>
    <w:p w14:paraId="2D9D8B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Проектирование развития основного производства.</w:t>
      </w:r>
    </w:p>
    <w:p w14:paraId="0FECF4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Постановлением СТО от 17 ноября 1926 года был утвержден план развития авиапромышленности с конечной мощностью по самолетостроительным заводам на 1 октября 1929 года в 1500 самолетов и по моторостроительным заводам на 1 октября 1931 года в 1810 моторов при работе в одну смену и 2000 рабочих часов в год. Это постановление не распространилось на установление предельных мощностей для самолетостроительных заводов по металлическим конструкциям.</w:t>
      </w:r>
    </w:p>
    <w:p w14:paraId="107920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Доклад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xml:space="preserve"> на основе которого было вынесено это постановление, предусматривал 2-х летний период развития ………………….делил план этого развития в три года (считая первым годом 1926-27 год) для работающих самолетостроительных заводов. Для моторных же заводов – 5 лет, из-за моторного завода № 26 (бывш. Рено) в Рыбинске, по которому было намечено развитие сначала на 500 моторов, а потом на 1000 моторов при работе в одну смену.</w:t>
      </w:r>
    </w:p>
    <w:p w14:paraId="11ED97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основании расчетов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техническая мощность самолетостроительных и моторостроительных заводов авиапромышленности, по узким местам на 1 октября 1928 года при условиях работы в одну смену при 2000 рабочих часах в год, представляется ориентировочно в следующем виде (см. приложение табл. № 4).</w:t>
      </w:r>
    </w:p>
    <w:p w14:paraId="62EAEF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Следует однако, отметить, что в настоящее время ВСНХ ведется работа по проверке и уточнению технических мощностей заводов авиапромышленности, по установленной им единообразной методологии для всех видов военной промышленности.</w:t>
      </w:r>
    </w:p>
    <w:p w14:paraId="69F165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дальнейшем изложении по промежуточным годам даются цифры мощностей, исходя из предполагаемого выпуска по предъявлению самолетов и моторов в намеченных ориентировочно условиях работы заводов. Технические мощности, понимая их как пропускные способности по площадям и оборудованию заводов должны быть несколько выше показанных цифр. Намеченные цифры развития заводов показывают их техническую мощность до размеров которых предположено к концу пятилетия довести и выпуск.</w:t>
      </w:r>
    </w:p>
    <w:p w14:paraId="6CDC0E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расчетах в основу была взята работа заводов в 3 смены при 2500 часах в год.</w:t>
      </w:r>
    </w:p>
    <w:p w14:paraId="513706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сентября 1928 года от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поступило новое </w:t>
      </w:r>
      <w:proofErr w:type="spellStart"/>
      <w:r w:rsidRPr="00A259BD">
        <w:rPr>
          <w:rFonts w:ascii="Times New Roman" w:hAnsi="Times New Roman"/>
          <w:color w:val="000000" w:themeColor="text1"/>
          <w:sz w:val="16"/>
          <w:szCs w:val="16"/>
        </w:rPr>
        <w:t>мобзадание</w:t>
      </w:r>
      <w:proofErr w:type="spellEnd"/>
      <w:r w:rsidRPr="00A259BD">
        <w:rPr>
          <w:rFonts w:ascii="Times New Roman" w:hAnsi="Times New Roman"/>
          <w:color w:val="000000" w:themeColor="text1"/>
          <w:sz w:val="16"/>
          <w:szCs w:val="16"/>
        </w:rPr>
        <w:t xml:space="preserve"> по пятилетнему плану с выпуском на последний 1932-33 год самолетов – 6865 и моторов – 8010 штук, считая первым годом развития 1928-29 год.</w:t>
      </w:r>
    </w:p>
    <w:p w14:paraId="46F6B9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Учитывая мощность завода "Большевик" по мобилизационному плану на последний год 5-ти летки в 300 моторов – от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по моторам надлежит получить 7710 моторов.</w:t>
      </w:r>
    </w:p>
    <w:p w14:paraId="023793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Новая потребность в самолетах и моторах, значительно увеличенная, меняет план развития авиапромышленности ……………………….</w:t>
      </w:r>
    </w:p>
    <w:p w14:paraId="291A0F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пересчете количества самолетов и моторов по указанному мобилизационному заданию на соответствующее число необходимое к производству в одну смену при 2000 рабочих часов в год и переходных коэффициентах от 3-х смен на одну смену: по самолетам 2,1 и по моторам – 2,№, определяются потребные мощности по самолетостроительным заводам в 2984 единицы и по моторостроительным заводам в 3073 единицы с учетом 10% запаса для обеспечения чистого выпуска.</w:t>
      </w:r>
    </w:p>
    <w:p w14:paraId="67E261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Учитывая изменение типов самолетов и моторов вводимых на производство в течение пятилетнего периода развития авиапромышленности (см. таблицы №№ 5, 5-а, 6 и 6-а) техническая мощность существующих заводов на последний год их развития в 1932-33 году определяется по самолетным заводам в 1685 самолетов и по моторам в 1810 моторов. Дефицит в производстве таким образом определяется:</w:t>
      </w:r>
    </w:p>
    <w:p w14:paraId="72CDD5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самолетам 2984 – 1685 = 1299 самолетов</w:t>
      </w:r>
    </w:p>
    <w:p w14:paraId="5D92D0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моторам 3073 – 1810 = 1263 моторов</w:t>
      </w:r>
    </w:p>
    <w:p w14:paraId="644C64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Расширение заводов и постройка новых.</w:t>
      </w:r>
    </w:p>
    <w:p w14:paraId="61C1B5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Покрытие дефицита по самолетостроительным заводам вызывает безусловную необходимость постройки двух новых заводов: 1 – по деревянной и смешанной конструкции в 930 самолетов и другой по металлическим конструкциям в 369 самолетов.</w:t>
      </w:r>
    </w:p>
    <w:p w14:paraId="5F4A85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первому заводу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уже имеет ассигнование в рублях 300000 на разработку в 1928-29 году проекта завода, который заказан </w:t>
      </w:r>
      <w:proofErr w:type="spellStart"/>
      <w:r w:rsidRPr="00A259BD">
        <w:rPr>
          <w:rFonts w:ascii="Times New Roman" w:hAnsi="Times New Roman"/>
          <w:color w:val="000000" w:themeColor="text1"/>
          <w:sz w:val="16"/>
          <w:szCs w:val="16"/>
        </w:rPr>
        <w:t>Мосгипромезу</w:t>
      </w:r>
      <w:proofErr w:type="spellEnd"/>
      <w:r w:rsidRPr="00A259BD">
        <w:rPr>
          <w:rFonts w:ascii="Times New Roman" w:hAnsi="Times New Roman"/>
          <w:color w:val="000000" w:themeColor="text1"/>
          <w:sz w:val="16"/>
          <w:szCs w:val="16"/>
        </w:rPr>
        <w:t>.</w:t>
      </w:r>
    </w:p>
    <w:p w14:paraId="48F0E6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Строительство завода намечено в Н. Новгороде, где имеется соответствующий участок и должно вестись с таким расчетом, чтобы производство самолетов было начато в 1929-30 году и доведено до полной мощности в 930 самолетов в 1932/33 году.</w:t>
      </w:r>
    </w:p>
    <w:p w14:paraId="5CD05C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самолетный завод должен быть начат постройкой в 1929-30 году, причем строительство должно быть развернуто с таким расчетом, чтобы в 1930-31 году он мог вступить уже в ………………………</w:t>
      </w:r>
    </w:p>
    <w:p w14:paraId="406F74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Переходя к разрешению вопроса о покрытии дефицита по моторостроительным заводам – рациональным мероприятием для такового является снятие с основного производства моторостроительных заводов №№ 24, 26 и 29 изготовления вспомогательных механизмов и некоторых деталей, как-то: карбюраторов, масляных, водяных и бензиновых насосов, пружин, коллекторов и проч., создав для этого отдельный подсобный цех на территории завода № 24.</w:t>
      </w:r>
    </w:p>
    <w:p w14:paraId="0EE320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Означенное мероприятие уже начато практическим осуществлением и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имеет по 1928-29 году ассигнование в рублях 100000 на разработку проекта указанного цеха. Последний должен войти в работу полной мощностью с 1 октября 1931 года.</w:t>
      </w:r>
    </w:p>
    <w:p w14:paraId="3A72C1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Указанный выше мерой дефицит снижается, согласно данных указанных таблицей (см. прилож. табл. № 7) и в конечном итоге выражается:</w:t>
      </w:r>
    </w:p>
    <w:p w14:paraId="5F63BB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3073 – 2550 = 523 мотора</w:t>
      </w:r>
    </w:p>
    <w:p w14:paraId="1009D5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полной ликвидации указанного дефицита возможны два нижеследующих варианта мероприятий:</w:t>
      </w:r>
    </w:p>
    <w:p w14:paraId="6444FC70"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Постройка нового моторного завода, с нормальной мощностью по предъявлению в 1 смену 500 моторов.</w:t>
      </w:r>
    </w:p>
    <w:p w14:paraId="459538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Ориентировочные суммы ассигнований следующие:</w:t>
      </w:r>
    </w:p>
    <w:p w14:paraId="08AAD1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строительство – рублей 1500 тыс.</w:t>
      </w:r>
    </w:p>
    <w:p w14:paraId="1C2A97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оборудование – рублей 3910 тыс.</w:t>
      </w:r>
    </w:p>
    <w:p w14:paraId="28F3E7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 – рублей 5410 тыс.</w:t>
      </w:r>
    </w:p>
    <w:p w14:paraId="30092E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т.ч. импорт – рублей 2000 тыс.</w:t>
      </w:r>
    </w:p>
    <w:p w14:paraId="6B52745A"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Произвести максимально целесообразное расширение существующих моторостроительных заводов.</w:t>
      </w:r>
    </w:p>
    <w:p w14:paraId="554698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вариант должен дать преимущества в отношении уменьшения затрат средств, а также облегчения подбора руководящего техперсонала и квалифицированной рабсилы и ускорения постановки производства.</w:t>
      </w:r>
    </w:p>
    <w:p w14:paraId="104CD8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Отрицательным моментом здесь будет увеличение числа типов производящихся на одном заводе моторов и трудность рационального управления предприятием через чур крупного размера, а также ……………………</w:t>
      </w:r>
    </w:p>
    <w:p w14:paraId="6F0B1E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окончательного выбора необходимо получение результатов технико-экономических расчетов, которые в данное время производятся.</w:t>
      </w:r>
    </w:p>
    <w:p w14:paraId="188C08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Необходимые денежные ассигнования, конечно, буду ниже ассигнований приведенных по первому варианту.</w:t>
      </w:r>
    </w:p>
    <w:p w14:paraId="4F3975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типам моторов, намеченных к производству в течении пятилетнего периода авиационные заводы распределяются следующим образом:</w:t>
      </w:r>
    </w:p>
    <w:p w14:paraId="6A4EA3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заводе № 24 предполагается осуществить переход производства с М6 – 400 на V-12ц-500 и W-18ц-750 (моторы с водяным охлаждением собственной конструкции), после получения удовлетворительных результатов испытаний с опытными образцами этих моторов. На заводе № 26 будет производиться постройка моторов М17 (БМВ-VI) с водяным охлаждением по договору о </w:t>
      </w:r>
      <w:proofErr w:type="spellStart"/>
      <w:r w:rsidRPr="00A259BD">
        <w:rPr>
          <w:rFonts w:ascii="Times New Roman" w:hAnsi="Times New Roman"/>
          <w:color w:val="000000" w:themeColor="text1"/>
          <w:sz w:val="16"/>
          <w:szCs w:val="16"/>
        </w:rPr>
        <w:t>техсодействии</w:t>
      </w:r>
      <w:proofErr w:type="spellEnd"/>
      <w:r w:rsidRPr="00A259BD">
        <w:rPr>
          <w:rFonts w:ascii="Times New Roman" w:hAnsi="Times New Roman"/>
          <w:color w:val="000000" w:themeColor="text1"/>
          <w:sz w:val="16"/>
          <w:szCs w:val="16"/>
        </w:rPr>
        <w:t xml:space="preserve"> с фирмой БМВ; там же предполагается строить моторы МГ13 – 1000 л.с. для глиссеров ВМС или мотора М27, в случае получения удачных конструкций этих моторов. В настоящее время имеется построенным только один образец мотора М13 в 600 л.с. и составлен проект мотора МГ-13 – 600 л.с. Завод № 29 предназначается для производства моторов с воздушным охлаждением по договору с фирмой "Гном и Рон" о </w:t>
      </w:r>
      <w:proofErr w:type="spellStart"/>
      <w:r w:rsidRPr="00A259BD">
        <w:rPr>
          <w:rFonts w:ascii="Times New Roman" w:hAnsi="Times New Roman"/>
          <w:color w:val="000000" w:themeColor="text1"/>
          <w:sz w:val="16"/>
          <w:szCs w:val="16"/>
        </w:rPr>
        <w:t>техсодействии</w:t>
      </w:r>
      <w:proofErr w:type="spellEnd"/>
      <w:r w:rsidRPr="00A259BD">
        <w:rPr>
          <w:rFonts w:ascii="Times New Roman" w:hAnsi="Times New Roman"/>
          <w:color w:val="000000" w:themeColor="text1"/>
          <w:sz w:val="16"/>
          <w:szCs w:val="16"/>
        </w:rPr>
        <w:t xml:space="preserve"> на постройку моторов ЮП6 – 480-500 л.с. или М15 – 500 и новый мотор М26 – 300 собственной конструкции (тип переход. мотора).</w:t>
      </w:r>
    </w:p>
    <w:p w14:paraId="65E5B6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Мобзадание</w:t>
      </w:r>
      <w:proofErr w:type="spellEnd"/>
      <w:r w:rsidRPr="00A259BD">
        <w:rPr>
          <w:rFonts w:ascii="Times New Roman" w:hAnsi="Times New Roman"/>
          <w:color w:val="000000" w:themeColor="text1"/>
          <w:sz w:val="16"/>
          <w:szCs w:val="16"/>
        </w:rPr>
        <w:t xml:space="preserve"> по плану вариант № 10 (на три года к 1 октября 1930 года) предусматривает необходимость выпуска в 1930-31 год 4267 самолетов и 4848 моторов.</w:t>
      </w:r>
    </w:p>
    <w:p w14:paraId="38A3FC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Последняя цифра снижается на 300 моторов по заводу "Большевик" </w:t>
      </w:r>
      <w:proofErr w:type="spellStart"/>
      <w:r w:rsidRPr="00A259BD">
        <w:rPr>
          <w:rFonts w:ascii="Times New Roman" w:hAnsi="Times New Roman"/>
          <w:color w:val="000000" w:themeColor="text1"/>
          <w:sz w:val="16"/>
          <w:szCs w:val="16"/>
        </w:rPr>
        <w:t>Орударттреста</w:t>
      </w:r>
      <w:proofErr w:type="spellEnd"/>
      <w:r w:rsidRPr="00A259BD">
        <w:rPr>
          <w:rFonts w:ascii="Times New Roman" w:hAnsi="Times New Roman"/>
          <w:color w:val="000000" w:themeColor="text1"/>
          <w:sz w:val="16"/>
          <w:szCs w:val="16"/>
        </w:rPr>
        <w:t xml:space="preserve"> и определяется таким образом для покрытия заводами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в 4548 моторов.</w:t>
      </w:r>
    </w:p>
    <w:p w14:paraId="0613A1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Согласно данных приведенных в таблицах №№ 8 и 9 (определяющих реальную возможность выпуска самолетов и моторов с завода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по годам …………….. по плану вариант № 10 на 1930-31 год на военное время дефицит по самолетам – 867 единиц и по моторам в 1257 единиц. При всем форсировании развертывания существующих заводов и постройки новых – покрыть вышеприведенный дефицит в 1930/31 году не представляется возможным. Разрыв с потребностью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покрывается лишь к 1 октября 1932 года.</w:t>
      </w:r>
    </w:p>
    <w:p w14:paraId="3A2EDD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Проектирование развития подсобного производства.</w:t>
      </w:r>
    </w:p>
    <w:p w14:paraId="32E95F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В отношении развития подсобного производства по приборам вооружения необходимо обратить внимание на увеличение потребности в предметах вооружения. Является своевременным и безусловно необходимым постройка нового завода на проектирование которого </w:t>
      </w:r>
      <w:proofErr w:type="spellStart"/>
      <w:r w:rsidRPr="00A259BD">
        <w:rPr>
          <w:rFonts w:ascii="Times New Roman" w:hAnsi="Times New Roman"/>
          <w:color w:val="000000" w:themeColor="text1"/>
          <w:sz w:val="16"/>
          <w:szCs w:val="16"/>
        </w:rPr>
        <w:t>Аиватрестом</w:t>
      </w:r>
      <w:proofErr w:type="spellEnd"/>
      <w:r w:rsidRPr="00A259BD">
        <w:rPr>
          <w:rFonts w:ascii="Times New Roman" w:hAnsi="Times New Roman"/>
          <w:color w:val="000000" w:themeColor="text1"/>
          <w:sz w:val="16"/>
          <w:szCs w:val="16"/>
        </w:rPr>
        <w:t xml:space="preserve"> получено в 1928/29 году ассигнование в 400 тыс. рублей (на оплату проекта и начала работ).</w:t>
      </w:r>
    </w:p>
    <w:p w14:paraId="3E062C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должен вступить в производство 1 января 1931 года и развернуть полную мощность в 1932/33 году.</w:t>
      </w:r>
    </w:p>
    <w:p w14:paraId="0DD3FD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w:t>
      </w:r>
      <w:proofErr w:type="spellStart"/>
      <w:r w:rsidRPr="00A259BD">
        <w:rPr>
          <w:rFonts w:ascii="Times New Roman" w:hAnsi="Times New Roman"/>
          <w:color w:val="000000" w:themeColor="text1"/>
          <w:sz w:val="16"/>
          <w:szCs w:val="16"/>
        </w:rPr>
        <w:t>Винтолыжный</w:t>
      </w:r>
      <w:proofErr w:type="spellEnd"/>
      <w:r w:rsidRPr="00A259BD">
        <w:rPr>
          <w:rFonts w:ascii="Times New Roman" w:hAnsi="Times New Roman"/>
          <w:color w:val="000000" w:themeColor="text1"/>
          <w:sz w:val="16"/>
          <w:szCs w:val="16"/>
        </w:rPr>
        <w:t xml:space="preserve"> завод № 28 для полного обслуживания авиапромышленности по пятилетнему плану развития нуждается в увеличении станочного оборудования, перепланировки цехов, увеличении числа сушилок и увеличении рабочей площади.</w:t>
      </w:r>
    </w:p>
    <w:p w14:paraId="18B12C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 лесопильному заводу № 41 необходима постройка добавочных лесопильных рам и расширение узкоколейки.</w:t>
      </w:r>
    </w:p>
    <w:p w14:paraId="600362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VII. Опытное строительство.</w:t>
      </w:r>
    </w:p>
    <w:p w14:paraId="7CDCA0EA"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области опытного строительства имеются некоторые достижения по линии разработки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и ЦАГИ ряда опытных конструкций самолетов и моторов, а именно:</w:t>
      </w:r>
    </w:p>
    <w:p w14:paraId="37161A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находятся в периоде проектирования и постройки: по самолетам – И6, ТБ2-2БМВ6, МР3 бис, РОМ-2, МР5-БМВ6, МУ2-М11, Р6-2(БМВ6), МРТ, ТБ3-4БМВ6, МТ-1</w:t>
      </w:r>
    </w:p>
    <w:p w14:paraId="65FB1D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моторам – М26;</w:t>
      </w:r>
    </w:p>
    <w:p w14:paraId="6DB85B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в периоде испытания и конструктивных разработок:</w:t>
      </w:r>
    </w:p>
    <w:p w14:paraId="549EED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самолетам: И3 (2 варианта), Р5-БМВ6, РОМ1</w:t>
      </w:r>
    </w:p>
    <w:p w14:paraId="700A17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моторам: М14, М15, W-18, V-12, М13;</w:t>
      </w:r>
    </w:p>
    <w:p w14:paraId="4E26E9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перешли на серию:</w:t>
      </w:r>
    </w:p>
    <w:p w14:paraId="45E6B4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самолетам: П2-М6, Р1-БМВ4, И3-БМВ6, У2-М11, Р3-М5, Р3-ЛД, И4-ЮП, ТБ1-2БМВ6, Д2</w:t>
      </w:r>
    </w:p>
    <w:p w14:paraId="3E9BFE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моторам: М11;</w:t>
      </w:r>
    </w:p>
    <w:p w14:paraId="017DF1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кроме своих основных работ по производственным заданиям заводы авиапромышленности занимаются работами по внесению ряда изменений в опытные образцы самолетов и моторов в связи с требованиями методов серийного производства, а также и переделками неизбежно выявляющимися в периоде летных и эксплуатационных испытаний их.</w:t>
      </w:r>
    </w:p>
    <w:p w14:paraId="579FCBAD"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 отметить ряд достижений авиапромышленности в области вооружения, которое тем более ценно, что авиапромышленности в этой области пришлось впервые ставить таковое производство с разработкой новых конструкций.</w:t>
      </w:r>
    </w:p>
    <w:p w14:paraId="285593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Эти достижения к настоящему времени реально выразились в следующем – восстановлено производство:</w:t>
      </w:r>
    </w:p>
    <w:p w14:paraId="760776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w:t>
      </w:r>
      <w:proofErr w:type="spellStart"/>
      <w:r w:rsidRPr="00A259BD">
        <w:rPr>
          <w:rFonts w:ascii="Times New Roman" w:hAnsi="Times New Roman"/>
          <w:color w:val="000000" w:themeColor="text1"/>
          <w:sz w:val="16"/>
          <w:szCs w:val="16"/>
        </w:rPr>
        <w:t>бомбосбрасывательные</w:t>
      </w:r>
      <w:proofErr w:type="spellEnd"/>
      <w:r w:rsidRPr="00A259BD">
        <w:rPr>
          <w:rFonts w:ascii="Times New Roman" w:hAnsi="Times New Roman"/>
          <w:color w:val="000000" w:themeColor="text1"/>
          <w:sz w:val="16"/>
          <w:szCs w:val="16"/>
        </w:rPr>
        <w:t xml:space="preserve"> приспособления на самолетах:</w:t>
      </w:r>
    </w:p>
    <w:p w14:paraId="17515C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БОМБР-1, Дер-4, Дер-3бис, СБР-7</w:t>
      </w:r>
    </w:p>
    <w:p w14:paraId="274946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БОМБР-II, Дер-6, Дер-7, СБР-8;</w:t>
      </w:r>
    </w:p>
    <w:p w14:paraId="412CBE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пулеметные установки и турели (ПУЛ-3, ПУЛ-6, ПУЛ-9. Турели № 4, № 5, № 6)</w:t>
      </w:r>
    </w:p>
    <w:p w14:paraId="6C839A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синхронизаторы и прицелы (для самолетов Р3, Р1, П2, И3 и И4, прицел Вахмистрова).</w:t>
      </w:r>
    </w:p>
    <w:p w14:paraId="0FDCCFF3"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Следует отметить организацию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производства внутри нашей страны (завод № 12) </w:t>
      </w:r>
      <w:proofErr w:type="spellStart"/>
      <w:r w:rsidRPr="00A259BD">
        <w:rPr>
          <w:rFonts w:ascii="Times New Roman" w:hAnsi="Times New Roman"/>
          <w:color w:val="000000" w:themeColor="text1"/>
          <w:sz w:val="16"/>
          <w:szCs w:val="16"/>
        </w:rPr>
        <w:t>авиасвечей</w:t>
      </w:r>
      <w:proofErr w:type="spellEnd"/>
      <w:r w:rsidRPr="00A259BD">
        <w:rPr>
          <w:rFonts w:ascii="Times New Roman" w:hAnsi="Times New Roman"/>
          <w:color w:val="000000" w:themeColor="text1"/>
          <w:sz w:val="16"/>
          <w:szCs w:val="16"/>
        </w:rPr>
        <w:t>, чем в значительной степени ослаблена зависимость от импорта.</w:t>
      </w:r>
    </w:p>
    <w:p w14:paraId="252245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области опытного строительства наряду с приведенными достижениями имеются следующие недочеты:</w:t>
      </w:r>
    </w:p>
    <w:p w14:paraId="2EC061F6"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Медленность конструктивных разработок новых типов …………………..</w:t>
      </w:r>
    </w:p>
    <w:p w14:paraId="257AEA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Одной из причин вышеуказанного недочета является недостаточность конструкторских сил, отсутствие внутри нашей страны производства высококачественных сталей, легких сплавов и высокосортных труб, на которые в основном базируется успешность работ по новым конструкциям, а также недостаточность средств, приходящихся на опытное строительство.</w:t>
      </w:r>
    </w:p>
    <w:p w14:paraId="7781B7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устранения приведенных недочетов по гидросамолетам и усилия работ по проектированию в этом направлении авиапромышленностью приглашена из-за границы специальная группа конструкторов, занимающаяся в настоящее время разработкой специальных типов гидросамолетов (группа Ришара).</w:t>
      </w:r>
    </w:p>
    <w:p w14:paraId="4672A5B3"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по увязке работ опытного строительства авиапромышленности с НТУ в настоящее время является предметом особого обсуждения ВСНХ-СССР совместно с Реввоенсоветом.</w:t>
      </w:r>
    </w:p>
    <w:p w14:paraId="374BAE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VIII. Базы снабжения.</w:t>
      </w:r>
    </w:p>
    <w:p w14:paraId="6D6C82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без снабжения авиапромышленности приходится констатировать, что рост последней опережает рост своих баз снабжения, намеченный постановлением СТО от 17 ноября 1926 года – явление свойственное всей нашей металлообрабатывающей промышленности за весь период ее развития по настоящее время.</w:t>
      </w:r>
    </w:p>
    <w:p w14:paraId="76E566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Более или менее значительные затруднения в удовлетворении своей потребности авиапромышленность испытывает и в текущем производственном году по целому ряду исходных материалов и полуфабрикатов, как-то: </w:t>
      </w:r>
      <w:proofErr w:type="spellStart"/>
      <w:r w:rsidRPr="00A259BD">
        <w:rPr>
          <w:rFonts w:ascii="Times New Roman" w:hAnsi="Times New Roman"/>
          <w:color w:val="000000" w:themeColor="text1"/>
          <w:sz w:val="16"/>
          <w:szCs w:val="16"/>
        </w:rPr>
        <w:t>кольчугаллюминию</w:t>
      </w:r>
      <w:proofErr w:type="spellEnd"/>
      <w:r w:rsidRPr="00A259BD">
        <w:rPr>
          <w:rFonts w:ascii="Times New Roman" w:hAnsi="Times New Roman"/>
          <w:color w:val="000000" w:themeColor="text1"/>
          <w:sz w:val="16"/>
          <w:szCs w:val="16"/>
        </w:rPr>
        <w:t xml:space="preserve">, фанере, авиаприборам, инструментам: мерительному, режущему и шлифовальному и особенно по </w:t>
      </w:r>
      <w:proofErr w:type="spellStart"/>
      <w:r w:rsidRPr="00A259BD">
        <w:rPr>
          <w:rFonts w:ascii="Times New Roman" w:hAnsi="Times New Roman"/>
          <w:color w:val="000000" w:themeColor="text1"/>
          <w:sz w:val="16"/>
          <w:szCs w:val="16"/>
        </w:rPr>
        <w:t>авиапоковкам</w:t>
      </w:r>
      <w:proofErr w:type="spellEnd"/>
      <w:r w:rsidRPr="00A259BD">
        <w:rPr>
          <w:rFonts w:ascii="Times New Roman" w:hAnsi="Times New Roman"/>
          <w:color w:val="000000" w:themeColor="text1"/>
          <w:sz w:val="16"/>
          <w:szCs w:val="16"/>
        </w:rPr>
        <w:t xml:space="preserve">, специальным сталям и </w:t>
      </w:r>
      <w:proofErr w:type="spellStart"/>
      <w:r w:rsidRPr="00A259BD">
        <w:rPr>
          <w:rFonts w:ascii="Times New Roman" w:hAnsi="Times New Roman"/>
          <w:color w:val="000000" w:themeColor="text1"/>
          <w:sz w:val="16"/>
          <w:szCs w:val="16"/>
        </w:rPr>
        <w:t>авиатрубам</w:t>
      </w:r>
      <w:proofErr w:type="spellEnd"/>
      <w:r w:rsidRPr="00A259BD">
        <w:rPr>
          <w:rFonts w:ascii="Times New Roman" w:hAnsi="Times New Roman"/>
          <w:color w:val="000000" w:themeColor="text1"/>
          <w:sz w:val="16"/>
          <w:szCs w:val="16"/>
        </w:rPr>
        <w:t>.</w:t>
      </w:r>
    </w:p>
    <w:p w14:paraId="598BAD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Новое задание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авиапромышленности, на период ближайших 5 лет, отмеченное ранее, вызывает колоссальный рост ее потребностей в перечисленных предметах (по годам), которые приводятся ориентировочно в нижеследующей таблице.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191"/>
        <w:gridCol w:w="1134"/>
        <w:gridCol w:w="1275"/>
        <w:gridCol w:w="1276"/>
        <w:gridCol w:w="1418"/>
      </w:tblGrid>
      <w:tr w:rsidR="00A259BD" w:rsidRPr="00A259BD" w14:paraId="4A73B2F5" w14:textId="77777777">
        <w:tc>
          <w:tcPr>
            <w:tcW w:w="1656" w:type="dxa"/>
          </w:tcPr>
          <w:p w14:paraId="5E9078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Единица измерения</w:t>
            </w:r>
          </w:p>
        </w:tc>
        <w:tc>
          <w:tcPr>
            <w:tcW w:w="1656" w:type="dxa"/>
          </w:tcPr>
          <w:p w14:paraId="675AEC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Наименование материалов</w:t>
            </w:r>
          </w:p>
        </w:tc>
        <w:tc>
          <w:tcPr>
            <w:tcW w:w="1191" w:type="dxa"/>
          </w:tcPr>
          <w:p w14:paraId="2637AF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1928/29 год</w:t>
            </w:r>
          </w:p>
        </w:tc>
        <w:tc>
          <w:tcPr>
            <w:tcW w:w="1134" w:type="dxa"/>
          </w:tcPr>
          <w:p w14:paraId="414165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год</w:t>
            </w:r>
          </w:p>
        </w:tc>
        <w:tc>
          <w:tcPr>
            <w:tcW w:w="1275" w:type="dxa"/>
          </w:tcPr>
          <w:p w14:paraId="04D6F2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 год</w:t>
            </w:r>
          </w:p>
        </w:tc>
        <w:tc>
          <w:tcPr>
            <w:tcW w:w="1276" w:type="dxa"/>
          </w:tcPr>
          <w:p w14:paraId="452EF5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 год</w:t>
            </w:r>
          </w:p>
        </w:tc>
        <w:tc>
          <w:tcPr>
            <w:tcW w:w="1418" w:type="dxa"/>
          </w:tcPr>
          <w:p w14:paraId="3595AF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год</w:t>
            </w:r>
          </w:p>
        </w:tc>
      </w:tr>
      <w:tr w:rsidR="00A259BD" w:rsidRPr="00A259BD" w14:paraId="2462C559" w14:textId="77777777">
        <w:tc>
          <w:tcPr>
            <w:tcW w:w="1656" w:type="dxa"/>
          </w:tcPr>
          <w:p w14:paraId="53A536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комплектах</w:t>
            </w:r>
          </w:p>
        </w:tc>
        <w:tc>
          <w:tcPr>
            <w:tcW w:w="1656" w:type="dxa"/>
          </w:tcPr>
          <w:p w14:paraId="042889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Авиапоковок</w:t>
            </w:r>
            <w:proofErr w:type="spellEnd"/>
          </w:p>
        </w:tc>
        <w:tc>
          <w:tcPr>
            <w:tcW w:w="1191" w:type="dxa"/>
          </w:tcPr>
          <w:p w14:paraId="22353A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2681</w:t>
            </w:r>
          </w:p>
        </w:tc>
        <w:tc>
          <w:tcPr>
            <w:tcW w:w="1134" w:type="dxa"/>
          </w:tcPr>
          <w:p w14:paraId="6F1DF6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2847</w:t>
            </w:r>
          </w:p>
        </w:tc>
        <w:tc>
          <w:tcPr>
            <w:tcW w:w="1275" w:type="dxa"/>
          </w:tcPr>
          <w:p w14:paraId="6B7575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5377</w:t>
            </w:r>
          </w:p>
        </w:tc>
        <w:tc>
          <w:tcPr>
            <w:tcW w:w="1276" w:type="dxa"/>
          </w:tcPr>
          <w:p w14:paraId="142EE6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6274</w:t>
            </w:r>
          </w:p>
        </w:tc>
        <w:tc>
          <w:tcPr>
            <w:tcW w:w="1418" w:type="dxa"/>
          </w:tcPr>
          <w:p w14:paraId="664C9E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9273</w:t>
            </w:r>
          </w:p>
        </w:tc>
      </w:tr>
      <w:tr w:rsidR="00A259BD" w:rsidRPr="00A259BD" w14:paraId="36201D5D" w14:textId="77777777">
        <w:tc>
          <w:tcPr>
            <w:tcW w:w="1656" w:type="dxa"/>
          </w:tcPr>
          <w:p w14:paraId="7C39B0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тоннах</w:t>
            </w:r>
          </w:p>
        </w:tc>
        <w:tc>
          <w:tcPr>
            <w:tcW w:w="1656" w:type="dxa"/>
          </w:tcPr>
          <w:p w14:paraId="4C2524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Авиапоковок</w:t>
            </w:r>
            <w:proofErr w:type="spellEnd"/>
          </w:p>
        </w:tc>
        <w:tc>
          <w:tcPr>
            <w:tcW w:w="1191" w:type="dxa"/>
          </w:tcPr>
          <w:p w14:paraId="47E865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5362</w:t>
            </w:r>
          </w:p>
        </w:tc>
        <w:tc>
          <w:tcPr>
            <w:tcW w:w="1134" w:type="dxa"/>
          </w:tcPr>
          <w:p w14:paraId="398AB2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5694</w:t>
            </w:r>
          </w:p>
        </w:tc>
        <w:tc>
          <w:tcPr>
            <w:tcW w:w="1275" w:type="dxa"/>
          </w:tcPr>
          <w:p w14:paraId="1900BB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10754</w:t>
            </w:r>
          </w:p>
        </w:tc>
        <w:tc>
          <w:tcPr>
            <w:tcW w:w="1276" w:type="dxa"/>
          </w:tcPr>
          <w:p w14:paraId="4C1D24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12548</w:t>
            </w:r>
          </w:p>
        </w:tc>
        <w:tc>
          <w:tcPr>
            <w:tcW w:w="1418" w:type="dxa"/>
          </w:tcPr>
          <w:p w14:paraId="150D31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18546</w:t>
            </w:r>
          </w:p>
        </w:tc>
      </w:tr>
      <w:tr w:rsidR="00A259BD" w:rsidRPr="00A259BD" w14:paraId="5ADACE5E" w14:textId="77777777">
        <w:tc>
          <w:tcPr>
            <w:tcW w:w="1656" w:type="dxa"/>
          </w:tcPr>
          <w:p w14:paraId="091337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тоннах</w:t>
            </w:r>
          </w:p>
        </w:tc>
        <w:tc>
          <w:tcPr>
            <w:tcW w:w="1656" w:type="dxa"/>
          </w:tcPr>
          <w:p w14:paraId="414504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Стали углеродистые</w:t>
            </w:r>
          </w:p>
        </w:tc>
        <w:tc>
          <w:tcPr>
            <w:tcW w:w="1191" w:type="dxa"/>
          </w:tcPr>
          <w:p w14:paraId="0FCED0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2178</w:t>
            </w:r>
          </w:p>
        </w:tc>
        <w:tc>
          <w:tcPr>
            <w:tcW w:w="1134" w:type="dxa"/>
          </w:tcPr>
          <w:p w14:paraId="0C116F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2505</w:t>
            </w:r>
          </w:p>
        </w:tc>
        <w:tc>
          <w:tcPr>
            <w:tcW w:w="1275" w:type="dxa"/>
          </w:tcPr>
          <w:p w14:paraId="13E897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4133</w:t>
            </w:r>
          </w:p>
        </w:tc>
        <w:tc>
          <w:tcPr>
            <w:tcW w:w="1276" w:type="dxa"/>
          </w:tcPr>
          <w:p w14:paraId="5D1256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5648</w:t>
            </w:r>
          </w:p>
        </w:tc>
        <w:tc>
          <w:tcPr>
            <w:tcW w:w="1418" w:type="dxa"/>
          </w:tcPr>
          <w:p w14:paraId="23A061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7166</w:t>
            </w:r>
          </w:p>
        </w:tc>
      </w:tr>
      <w:tr w:rsidR="00A259BD" w:rsidRPr="00A259BD" w14:paraId="06D5CC27" w14:textId="77777777">
        <w:tc>
          <w:tcPr>
            <w:tcW w:w="1656" w:type="dxa"/>
          </w:tcPr>
          <w:p w14:paraId="172BC8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тоннах</w:t>
            </w:r>
          </w:p>
        </w:tc>
        <w:tc>
          <w:tcPr>
            <w:tcW w:w="1656" w:type="dxa"/>
          </w:tcPr>
          <w:p w14:paraId="05AD88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Стали специальные</w:t>
            </w:r>
          </w:p>
        </w:tc>
        <w:tc>
          <w:tcPr>
            <w:tcW w:w="1191" w:type="dxa"/>
          </w:tcPr>
          <w:p w14:paraId="6D6232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246</w:t>
            </w:r>
          </w:p>
        </w:tc>
        <w:tc>
          <w:tcPr>
            <w:tcW w:w="1134" w:type="dxa"/>
          </w:tcPr>
          <w:p w14:paraId="6B2E27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393</w:t>
            </w:r>
          </w:p>
        </w:tc>
        <w:tc>
          <w:tcPr>
            <w:tcW w:w="1275" w:type="dxa"/>
          </w:tcPr>
          <w:p w14:paraId="64B2FA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1040</w:t>
            </w:r>
          </w:p>
        </w:tc>
        <w:tc>
          <w:tcPr>
            <w:tcW w:w="1276" w:type="dxa"/>
          </w:tcPr>
          <w:p w14:paraId="413FA3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1575</w:t>
            </w:r>
          </w:p>
        </w:tc>
        <w:tc>
          <w:tcPr>
            <w:tcW w:w="1418" w:type="dxa"/>
          </w:tcPr>
          <w:p w14:paraId="416626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2108</w:t>
            </w:r>
          </w:p>
        </w:tc>
      </w:tr>
      <w:tr w:rsidR="00A259BD" w:rsidRPr="00A259BD" w14:paraId="3B5CBBF7" w14:textId="77777777">
        <w:tc>
          <w:tcPr>
            <w:tcW w:w="1656" w:type="dxa"/>
          </w:tcPr>
          <w:p w14:paraId="5305AD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тыс. метров</w:t>
            </w:r>
          </w:p>
        </w:tc>
        <w:tc>
          <w:tcPr>
            <w:tcW w:w="1656" w:type="dxa"/>
          </w:tcPr>
          <w:p w14:paraId="1BDA8C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Трубы стальные</w:t>
            </w:r>
          </w:p>
        </w:tc>
        <w:tc>
          <w:tcPr>
            <w:tcW w:w="1191" w:type="dxa"/>
          </w:tcPr>
          <w:p w14:paraId="2A52D8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359</w:t>
            </w:r>
          </w:p>
        </w:tc>
        <w:tc>
          <w:tcPr>
            <w:tcW w:w="1134" w:type="dxa"/>
          </w:tcPr>
          <w:p w14:paraId="473589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402</w:t>
            </w:r>
          </w:p>
        </w:tc>
        <w:tc>
          <w:tcPr>
            <w:tcW w:w="1275" w:type="dxa"/>
          </w:tcPr>
          <w:p w14:paraId="6BE656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696</w:t>
            </w:r>
          </w:p>
        </w:tc>
        <w:tc>
          <w:tcPr>
            <w:tcW w:w="1276" w:type="dxa"/>
          </w:tcPr>
          <w:p w14:paraId="7E9D74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894</w:t>
            </w:r>
          </w:p>
        </w:tc>
        <w:tc>
          <w:tcPr>
            <w:tcW w:w="1418" w:type="dxa"/>
          </w:tcPr>
          <w:p w14:paraId="798D43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1191</w:t>
            </w:r>
          </w:p>
        </w:tc>
      </w:tr>
      <w:tr w:rsidR="00A259BD" w:rsidRPr="00A259BD" w14:paraId="4A93655C" w14:textId="77777777">
        <w:tc>
          <w:tcPr>
            <w:tcW w:w="1656" w:type="dxa"/>
          </w:tcPr>
          <w:p w14:paraId="6FA3D3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тыс. метров</w:t>
            </w:r>
          </w:p>
        </w:tc>
        <w:tc>
          <w:tcPr>
            <w:tcW w:w="1656" w:type="dxa"/>
          </w:tcPr>
          <w:p w14:paraId="7AF442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Тросы стальные</w:t>
            </w:r>
          </w:p>
        </w:tc>
        <w:tc>
          <w:tcPr>
            <w:tcW w:w="1191" w:type="dxa"/>
          </w:tcPr>
          <w:p w14:paraId="07B403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897</w:t>
            </w:r>
          </w:p>
        </w:tc>
        <w:tc>
          <w:tcPr>
            <w:tcW w:w="1134" w:type="dxa"/>
          </w:tcPr>
          <w:p w14:paraId="1FFADC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987</w:t>
            </w:r>
          </w:p>
        </w:tc>
        <w:tc>
          <w:tcPr>
            <w:tcW w:w="1275" w:type="dxa"/>
          </w:tcPr>
          <w:p w14:paraId="75FA29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1566</w:t>
            </w:r>
          </w:p>
        </w:tc>
        <w:tc>
          <w:tcPr>
            <w:tcW w:w="1276" w:type="dxa"/>
          </w:tcPr>
          <w:p w14:paraId="1916A5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2176</w:t>
            </w:r>
          </w:p>
        </w:tc>
        <w:tc>
          <w:tcPr>
            <w:tcW w:w="1418" w:type="dxa"/>
          </w:tcPr>
          <w:p w14:paraId="14E5AF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2568</w:t>
            </w:r>
          </w:p>
        </w:tc>
      </w:tr>
      <w:tr w:rsidR="00A259BD" w:rsidRPr="00A259BD" w14:paraId="03C4BF08" w14:textId="77777777">
        <w:tc>
          <w:tcPr>
            <w:tcW w:w="1656" w:type="dxa"/>
          </w:tcPr>
          <w:p w14:paraId="13A45E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тоннах</w:t>
            </w:r>
          </w:p>
        </w:tc>
        <w:tc>
          <w:tcPr>
            <w:tcW w:w="1656" w:type="dxa"/>
          </w:tcPr>
          <w:p w14:paraId="23D3CD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Проволока стальная</w:t>
            </w:r>
          </w:p>
        </w:tc>
        <w:tc>
          <w:tcPr>
            <w:tcW w:w="1191" w:type="dxa"/>
          </w:tcPr>
          <w:p w14:paraId="0F8F15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50,7</w:t>
            </w:r>
          </w:p>
        </w:tc>
        <w:tc>
          <w:tcPr>
            <w:tcW w:w="1134" w:type="dxa"/>
          </w:tcPr>
          <w:p w14:paraId="7F2C15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43,4</w:t>
            </w:r>
          </w:p>
        </w:tc>
        <w:tc>
          <w:tcPr>
            <w:tcW w:w="1275" w:type="dxa"/>
          </w:tcPr>
          <w:p w14:paraId="5939D6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84,3</w:t>
            </w:r>
          </w:p>
        </w:tc>
        <w:tc>
          <w:tcPr>
            <w:tcW w:w="1276" w:type="dxa"/>
          </w:tcPr>
          <w:p w14:paraId="1AD5C2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130,4</w:t>
            </w:r>
          </w:p>
        </w:tc>
        <w:tc>
          <w:tcPr>
            <w:tcW w:w="1418" w:type="dxa"/>
          </w:tcPr>
          <w:p w14:paraId="1580A8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146,5</w:t>
            </w:r>
          </w:p>
        </w:tc>
      </w:tr>
      <w:tr w:rsidR="00A259BD" w:rsidRPr="00A259BD" w14:paraId="16AD1872" w14:textId="77777777">
        <w:tc>
          <w:tcPr>
            <w:tcW w:w="1656" w:type="dxa"/>
          </w:tcPr>
          <w:p w14:paraId="2DE146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тоннах</w:t>
            </w:r>
          </w:p>
        </w:tc>
        <w:tc>
          <w:tcPr>
            <w:tcW w:w="1656" w:type="dxa"/>
          </w:tcPr>
          <w:p w14:paraId="3658EB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Радиат</w:t>
            </w:r>
            <w:proofErr w:type="spellEnd"/>
            <w:r w:rsidRPr="00A259BD">
              <w:rPr>
                <w:rFonts w:ascii="Times New Roman" w:hAnsi="Times New Roman"/>
                <w:color w:val="000000" w:themeColor="text1"/>
                <w:sz w:val="16"/>
                <w:szCs w:val="16"/>
              </w:rPr>
              <w:t xml:space="preserve">. трубки </w:t>
            </w:r>
          </w:p>
        </w:tc>
        <w:tc>
          <w:tcPr>
            <w:tcW w:w="1191" w:type="dxa"/>
          </w:tcPr>
          <w:p w14:paraId="0C4863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242</w:t>
            </w:r>
          </w:p>
        </w:tc>
        <w:tc>
          <w:tcPr>
            <w:tcW w:w="1134" w:type="dxa"/>
          </w:tcPr>
          <w:p w14:paraId="500E02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245</w:t>
            </w:r>
          </w:p>
        </w:tc>
        <w:tc>
          <w:tcPr>
            <w:tcW w:w="1275" w:type="dxa"/>
          </w:tcPr>
          <w:p w14:paraId="4486D6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371</w:t>
            </w:r>
          </w:p>
        </w:tc>
        <w:tc>
          <w:tcPr>
            <w:tcW w:w="1276" w:type="dxa"/>
          </w:tcPr>
          <w:p w14:paraId="03D8AB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510</w:t>
            </w:r>
          </w:p>
        </w:tc>
        <w:tc>
          <w:tcPr>
            <w:tcW w:w="1418" w:type="dxa"/>
          </w:tcPr>
          <w:p w14:paraId="2A338C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700</w:t>
            </w:r>
          </w:p>
        </w:tc>
      </w:tr>
      <w:tr w:rsidR="00A259BD" w:rsidRPr="00A259BD" w14:paraId="0023F06E" w14:textId="77777777">
        <w:tc>
          <w:tcPr>
            <w:tcW w:w="1656" w:type="dxa"/>
          </w:tcPr>
          <w:p w14:paraId="098F98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тыс. штук</w:t>
            </w:r>
          </w:p>
        </w:tc>
        <w:tc>
          <w:tcPr>
            <w:tcW w:w="1656" w:type="dxa"/>
          </w:tcPr>
          <w:p w14:paraId="64EB32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Шарикоподшипник.</w:t>
            </w:r>
          </w:p>
        </w:tc>
        <w:tc>
          <w:tcPr>
            <w:tcW w:w="1191" w:type="dxa"/>
          </w:tcPr>
          <w:p w14:paraId="2E0FDA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w:t>
            </w:r>
          </w:p>
        </w:tc>
        <w:tc>
          <w:tcPr>
            <w:tcW w:w="1134" w:type="dxa"/>
          </w:tcPr>
          <w:p w14:paraId="314971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54,5</w:t>
            </w:r>
          </w:p>
        </w:tc>
        <w:tc>
          <w:tcPr>
            <w:tcW w:w="1275" w:type="dxa"/>
          </w:tcPr>
          <w:p w14:paraId="698652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110,7</w:t>
            </w:r>
          </w:p>
        </w:tc>
        <w:tc>
          <w:tcPr>
            <w:tcW w:w="1276" w:type="dxa"/>
          </w:tcPr>
          <w:p w14:paraId="610F9D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155,3</w:t>
            </w:r>
          </w:p>
        </w:tc>
        <w:tc>
          <w:tcPr>
            <w:tcW w:w="1418" w:type="dxa"/>
          </w:tcPr>
          <w:p w14:paraId="2F08D0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185,4</w:t>
            </w:r>
          </w:p>
        </w:tc>
      </w:tr>
      <w:tr w:rsidR="00A259BD" w:rsidRPr="00A259BD" w14:paraId="0C04E961" w14:textId="77777777">
        <w:tc>
          <w:tcPr>
            <w:tcW w:w="1656" w:type="dxa"/>
          </w:tcPr>
          <w:p w14:paraId="7DCB58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тыс. штук</w:t>
            </w:r>
          </w:p>
        </w:tc>
        <w:tc>
          <w:tcPr>
            <w:tcW w:w="1656" w:type="dxa"/>
          </w:tcPr>
          <w:p w14:paraId="7D1F08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Авиаприборы</w:t>
            </w:r>
          </w:p>
        </w:tc>
        <w:tc>
          <w:tcPr>
            <w:tcW w:w="1191" w:type="dxa"/>
          </w:tcPr>
          <w:p w14:paraId="2A9A3D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48,3</w:t>
            </w:r>
          </w:p>
        </w:tc>
        <w:tc>
          <w:tcPr>
            <w:tcW w:w="1134" w:type="dxa"/>
          </w:tcPr>
          <w:p w14:paraId="7A411E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46,7</w:t>
            </w:r>
          </w:p>
        </w:tc>
        <w:tc>
          <w:tcPr>
            <w:tcW w:w="1275" w:type="dxa"/>
          </w:tcPr>
          <w:p w14:paraId="2F32CC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63,3</w:t>
            </w:r>
          </w:p>
        </w:tc>
        <w:tc>
          <w:tcPr>
            <w:tcW w:w="1276" w:type="dxa"/>
          </w:tcPr>
          <w:p w14:paraId="4AE7B4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100,1</w:t>
            </w:r>
          </w:p>
        </w:tc>
        <w:tc>
          <w:tcPr>
            <w:tcW w:w="1418" w:type="dxa"/>
          </w:tcPr>
          <w:p w14:paraId="35F17A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125,6</w:t>
            </w:r>
          </w:p>
        </w:tc>
      </w:tr>
    </w:tbl>
    <w:p w14:paraId="3379F2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Приведенные цифры потребности для своего удовлетворения требуют широкого развития соответствующих производственных баз снабжения и, главным образом, металлургических заводов.</w:t>
      </w:r>
    </w:p>
    <w:p w14:paraId="685BBE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настоящее время снабжение авиапромышленности металлами производится, главным образом, за счет производств металлургических заводов военной промышленности – Ижевского завода </w:t>
      </w:r>
      <w:proofErr w:type="spellStart"/>
      <w:r w:rsidRPr="00A259BD">
        <w:rPr>
          <w:rFonts w:ascii="Times New Roman" w:hAnsi="Times New Roman"/>
          <w:color w:val="000000" w:themeColor="text1"/>
          <w:sz w:val="16"/>
          <w:szCs w:val="16"/>
        </w:rPr>
        <w:t>РУЖтреста</w:t>
      </w:r>
      <w:proofErr w:type="spellEnd"/>
      <w:r w:rsidRPr="00A259BD">
        <w:rPr>
          <w:rFonts w:ascii="Times New Roman" w:hAnsi="Times New Roman"/>
          <w:color w:val="000000" w:themeColor="text1"/>
          <w:sz w:val="16"/>
          <w:szCs w:val="16"/>
        </w:rPr>
        <w:t xml:space="preserve"> и завода "Большевик" </w:t>
      </w:r>
      <w:proofErr w:type="spellStart"/>
      <w:r w:rsidRPr="00A259BD">
        <w:rPr>
          <w:rFonts w:ascii="Times New Roman" w:hAnsi="Times New Roman"/>
          <w:color w:val="000000" w:themeColor="text1"/>
          <w:sz w:val="16"/>
          <w:szCs w:val="16"/>
        </w:rPr>
        <w:t>Орудартреста</w:t>
      </w:r>
      <w:proofErr w:type="spellEnd"/>
      <w:r w:rsidRPr="00A259BD">
        <w:rPr>
          <w:rFonts w:ascii="Times New Roman" w:hAnsi="Times New Roman"/>
          <w:color w:val="000000" w:themeColor="text1"/>
          <w:sz w:val="16"/>
          <w:szCs w:val="16"/>
        </w:rPr>
        <w:t>, которые имеют также обширные задачи удовлетворения своих собственных потребностей по планам производственного развития на 5 лет.</w:t>
      </w:r>
    </w:p>
    <w:p w14:paraId="2296F1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Поэтому представляется совершенно необходимым проработать вопрос по перспективам удовлетворения потребностей авиационной промышленности путем привлечения к этому делу также соответствующих предприятий гражданской промышленности, исходя из соображений соблюдения нужных сроков по </w:t>
      </w:r>
      <w:proofErr w:type="spellStart"/>
      <w:r w:rsidRPr="00A259BD">
        <w:rPr>
          <w:rFonts w:ascii="Times New Roman" w:hAnsi="Times New Roman"/>
          <w:color w:val="000000" w:themeColor="text1"/>
          <w:sz w:val="16"/>
          <w:szCs w:val="16"/>
        </w:rPr>
        <w:t>мобготовности</w:t>
      </w:r>
      <w:proofErr w:type="spellEnd"/>
      <w:r w:rsidRPr="00A259BD">
        <w:rPr>
          <w:rFonts w:ascii="Times New Roman" w:hAnsi="Times New Roman"/>
          <w:color w:val="000000" w:themeColor="text1"/>
          <w:sz w:val="16"/>
          <w:szCs w:val="16"/>
        </w:rPr>
        <w:t xml:space="preserve"> и технико-экономической целесообразности.</w:t>
      </w:r>
    </w:p>
    <w:p w14:paraId="13CD19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E6380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покрытия потребности в </w:t>
      </w:r>
      <w:proofErr w:type="spellStart"/>
      <w:r w:rsidRPr="00A259BD">
        <w:rPr>
          <w:rFonts w:ascii="Times New Roman" w:hAnsi="Times New Roman"/>
          <w:color w:val="000000" w:themeColor="text1"/>
          <w:sz w:val="16"/>
          <w:szCs w:val="16"/>
        </w:rPr>
        <w:t>авиапоковках</w:t>
      </w:r>
      <w:proofErr w:type="spellEnd"/>
      <w:r w:rsidRPr="00A259BD">
        <w:rPr>
          <w:rFonts w:ascii="Times New Roman" w:hAnsi="Times New Roman"/>
          <w:color w:val="000000" w:themeColor="text1"/>
          <w:sz w:val="16"/>
          <w:szCs w:val="16"/>
        </w:rPr>
        <w:t xml:space="preserve"> намечается широкое развитие завода Электросталь, который в настоящее время производит установку оборудования и агрегатов пока для мелких поковок.</w:t>
      </w:r>
    </w:p>
    <w:p w14:paraId="0A371D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Получение поковок на нем ожидается с 1 октября 1929 года, а по коленчатым валам с 1 октября 1930 года.</w:t>
      </w:r>
    </w:p>
    <w:p w14:paraId="7F6EA5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увеличения производства </w:t>
      </w:r>
      <w:proofErr w:type="spellStart"/>
      <w:r w:rsidRPr="00A259BD">
        <w:rPr>
          <w:rFonts w:ascii="Times New Roman" w:hAnsi="Times New Roman"/>
          <w:color w:val="000000" w:themeColor="text1"/>
          <w:sz w:val="16"/>
          <w:szCs w:val="16"/>
        </w:rPr>
        <w:t>авиапоковок</w:t>
      </w:r>
      <w:proofErr w:type="spellEnd"/>
      <w:r w:rsidRPr="00A259BD">
        <w:rPr>
          <w:rFonts w:ascii="Times New Roman" w:hAnsi="Times New Roman"/>
          <w:color w:val="000000" w:themeColor="text1"/>
          <w:sz w:val="16"/>
          <w:szCs w:val="16"/>
        </w:rPr>
        <w:t>, до полного развития завода Электросталь, предполагается в настоящее время ускорить расширение и дооборудование заводов Ижевского и "Большевик".</w:t>
      </w:r>
    </w:p>
    <w:p w14:paraId="52DE26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Вышеизложенные мероприятия в отношении </w:t>
      </w:r>
      <w:proofErr w:type="spellStart"/>
      <w:r w:rsidRPr="00A259BD">
        <w:rPr>
          <w:rFonts w:ascii="Times New Roman" w:hAnsi="Times New Roman"/>
          <w:color w:val="000000" w:themeColor="text1"/>
          <w:sz w:val="16"/>
          <w:szCs w:val="16"/>
        </w:rPr>
        <w:t>авиапоковок</w:t>
      </w:r>
      <w:proofErr w:type="spellEnd"/>
      <w:r w:rsidRPr="00A259BD">
        <w:rPr>
          <w:rFonts w:ascii="Times New Roman" w:hAnsi="Times New Roman"/>
          <w:color w:val="000000" w:themeColor="text1"/>
          <w:sz w:val="16"/>
          <w:szCs w:val="16"/>
        </w:rPr>
        <w:t xml:space="preserve"> в полной мере распространяются и на производство </w:t>
      </w:r>
      <w:proofErr w:type="spellStart"/>
      <w:r w:rsidRPr="00A259BD">
        <w:rPr>
          <w:rFonts w:ascii="Times New Roman" w:hAnsi="Times New Roman"/>
          <w:color w:val="000000" w:themeColor="text1"/>
          <w:sz w:val="16"/>
          <w:szCs w:val="16"/>
        </w:rPr>
        <w:t>авиасталей</w:t>
      </w:r>
      <w:proofErr w:type="spellEnd"/>
      <w:r w:rsidRPr="00A259BD">
        <w:rPr>
          <w:rFonts w:ascii="Times New Roman" w:hAnsi="Times New Roman"/>
          <w:color w:val="000000" w:themeColor="text1"/>
          <w:sz w:val="16"/>
          <w:szCs w:val="16"/>
        </w:rPr>
        <w:t>.</w:t>
      </w:r>
    </w:p>
    <w:p w14:paraId="2F6919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покрытия потребностей по стальным трубам намечается расширение завода имени Ленина в Днепропетровске, а также расширение производства </w:t>
      </w:r>
      <w:proofErr w:type="spellStart"/>
      <w:r w:rsidRPr="00A259BD">
        <w:rPr>
          <w:rFonts w:ascii="Times New Roman" w:hAnsi="Times New Roman"/>
          <w:color w:val="000000" w:themeColor="text1"/>
          <w:sz w:val="16"/>
          <w:szCs w:val="16"/>
        </w:rPr>
        <w:t>авиатруб</w:t>
      </w:r>
      <w:proofErr w:type="spellEnd"/>
      <w:r w:rsidRPr="00A259BD">
        <w:rPr>
          <w:rFonts w:ascii="Times New Roman" w:hAnsi="Times New Roman"/>
          <w:color w:val="000000" w:themeColor="text1"/>
          <w:sz w:val="16"/>
          <w:szCs w:val="16"/>
        </w:rPr>
        <w:t xml:space="preserve"> на Ижорском заводе, с постановкой на последнем и производства заново высококачественных хромоникелевых труб, использовав для сего близость, по месту расположения, Ленинграда с его крупными научно-исследовательскими организациями.</w:t>
      </w:r>
    </w:p>
    <w:p w14:paraId="6DF4C9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покрытия потребности в стальном тросе и в стальной проволоке намечается расширение производства на заводе Белорецком и на заводе "Красный гвоздильщик", с покупкой для последнего за границей специального оборудования для гальванической оцинковки проволоки для стальных тросов.</w:t>
      </w:r>
    </w:p>
    <w:p w14:paraId="62F138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покрытия потребности по фанере намечается форсирование постройки новых заводов для производства фанеры сухой клейки.</w:t>
      </w:r>
    </w:p>
    <w:p w14:paraId="5B04A0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Отмечая истощение лесных массивов, годных для авиапромышленности, ВСНХ считает необходимым обязать </w:t>
      </w:r>
      <w:proofErr w:type="spellStart"/>
      <w:r w:rsidRPr="00A259BD">
        <w:rPr>
          <w:rFonts w:ascii="Times New Roman" w:hAnsi="Times New Roman"/>
          <w:color w:val="000000" w:themeColor="text1"/>
          <w:sz w:val="16"/>
          <w:szCs w:val="16"/>
        </w:rPr>
        <w:t>НКЗем</w:t>
      </w:r>
      <w:proofErr w:type="spellEnd"/>
      <w:r w:rsidRPr="00A259BD">
        <w:rPr>
          <w:rFonts w:ascii="Times New Roman" w:hAnsi="Times New Roman"/>
          <w:color w:val="000000" w:themeColor="text1"/>
          <w:sz w:val="16"/>
          <w:szCs w:val="16"/>
        </w:rPr>
        <w:t xml:space="preserve"> разработать план обеспечения авиапромышленности новыми лесными массивами и одновременно поручить по линии научно-исследовательских институтов и </w:t>
      </w:r>
      <w:proofErr w:type="spellStart"/>
      <w:r w:rsidRPr="00A259BD">
        <w:rPr>
          <w:rFonts w:ascii="Times New Roman" w:hAnsi="Times New Roman"/>
          <w:color w:val="000000" w:themeColor="text1"/>
          <w:sz w:val="16"/>
          <w:szCs w:val="16"/>
        </w:rPr>
        <w:t>НКВМора</w:t>
      </w:r>
      <w:proofErr w:type="spellEnd"/>
      <w:r w:rsidRPr="00A259BD">
        <w:rPr>
          <w:rFonts w:ascii="Times New Roman" w:hAnsi="Times New Roman"/>
          <w:color w:val="000000" w:themeColor="text1"/>
          <w:sz w:val="16"/>
          <w:szCs w:val="16"/>
        </w:rPr>
        <w:t xml:space="preserve"> проработать вопрос о снижении технических требований в отношении качеств лесных материалов, идущих ……………….</w:t>
      </w:r>
    </w:p>
    <w:p w14:paraId="5B8CBC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кольчугалюминию намечается: на ближайшие годы расширение завода им. Ворошилова в Ленинграде, широкое использование всех производственных возможностей по кольчугалюминию на заводе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 1и наконец, постройка нового кольчугалюминиевого завода около Москвы.</w:t>
      </w:r>
    </w:p>
    <w:p w14:paraId="413076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радиаторным трубкам производство которых ведется в настоящее время на Тульском заводе (</w:t>
      </w:r>
      <w:proofErr w:type="spellStart"/>
      <w:r w:rsidRPr="00A259BD">
        <w:rPr>
          <w:rFonts w:ascii="Times New Roman" w:hAnsi="Times New Roman"/>
          <w:color w:val="000000" w:themeColor="text1"/>
          <w:sz w:val="16"/>
          <w:szCs w:val="16"/>
        </w:rPr>
        <w:t>Патрубтреста</w:t>
      </w:r>
      <w:proofErr w:type="spellEnd"/>
      <w:r w:rsidRPr="00A259BD">
        <w:rPr>
          <w:rFonts w:ascii="Times New Roman" w:hAnsi="Times New Roman"/>
          <w:color w:val="000000" w:themeColor="text1"/>
          <w:sz w:val="16"/>
          <w:szCs w:val="16"/>
        </w:rPr>
        <w:t xml:space="preserve">), предполагается в связи с новыми требованиями к длине трубок и удешевлению – производство таковое установить по новым методам на одном из заводов </w:t>
      </w:r>
      <w:proofErr w:type="spellStart"/>
      <w:r w:rsidRPr="00A259BD">
        <w:rPr>
          <w:rFonts w:ascii="Times New Roman" w:hAnsi="Times New Roman"/>
          <w:color w:val="000000" w:themeColor="text1"/>
          <w:sz w:val="16"/>
          <w:szCs w:val="16"/>
        </w:rPr>
        <w:t>Главцветмета</w:t>
      </w:r>
      <w:proofErr w:type="spellEnd"/>
      <w:r w:rsidRPr="00A259BD">
        <w:rPr>
          <w:rFonts w:ascii="Times New Roman" w:hAnsi="Times New Roman"/>
          <w:color w:val="000000" w:themeColor="text1"/>
          <w:sz w:val="16"/>
          <w:szCs w:val="16"/>
        </w:rPr>
        <w:t xml:space="preserve"> с соответствующим его расширением и установкой нового оборудования.</w:t>
      </w:r>
    </w:p>
    <w:p w14:paraId="7B4E14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По шарикоподшипникам для авиамоторов, приобретаемым до сего времени из-за границы, намечается или постановка производства их на концессионном заводе СКФ или постановка собственного производства с получением соответствующей техпомощи от иностранных фирм.</w:t>
      </w:r>
    </w:p>
    <w:p w14:paraId="7D8095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Решение о способе последует после проработки этого вопроса во всех его деталях в отношении технико-экономических выгод.</w:t>
      </w:r>
    </w:p>
    <w:p w14:paraId="48EB7D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приборам зажигания – производство ставится на заводе </w:t>
      </w:r>
      <w:proofErr w:type="spellStart"/>
      <w:r w:rsidRPr="00A259BD">
        <w:rPr>
          <w:rFonts w:ascii="Times New Roman" w:hAnsi="Times New Roman"/>
          <w:color w:val="000000" w:themeColor="text1"/>
          <w:sz w:val="16"/>
          <w:szCs w:val="16"/>
        </w:rPr>
        <w:t>Главэлектро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ГЭТа</w:t>
      </w:r>
      <w:proofErr w:type="spellEnd"/>
      <w:r w:rsidRPr="00A259BD">
        <w:rPr>
          <w:rFonts w:ascii="Times New Roman" w:hAnsi="Times New Roman"/>
          <w:color w:val="000000" w:themeColor="text1"/>
          <w:sz w:val="16"/>
          <w:szCs w:val="16"/>
        </w:rPr>
        <w:t xml:space="preserve">), которому также в настоящее время передан завод № 12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где были начаты изучение образцовых заграничных магнето и опыты с постановкой магнето на производство.</w:t>
      </w:r>
    </w:p>
    <w:p w14:paraId="0D29B8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этому вопросу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заключен договор о </w:t>
      </w:r>
      <w:proofErr w:type="spellStart"/>
      <w:r w:rsidRPr="00A259BD">
        <w:rPr>
          <w:rFonts w:ascii="Times New Roman" w:hAnsi="Times New Roman"/>
          <w:color w:val="000000" w:themeColor="text1"/>
          <w:sz w:val="16"/>
          <w:szCs w:val="16"/>
        </w:rPr>
        <w:t>техсодействии</w:t>
      </w:r>
      <w:proofErr w:type="spellEnd"/>
      <w:r w:rsidRPr="00A259BD">
        <w:rPr>
          <w:rFonts w:ascii="Times New Roman" w:hAnsi="Times New Roman"/>
          <w:color w:val="000000" w:themeColor="text1"/>
          <w:sz w:val="16"/>
          <w:szCs w:val="16"/>
        </w:rPr>
        <w:t xml:space="preserve"> с фирмой "</w:t>
      </w:r>
      <w:proofErr w:type="spellStart"/>
      <w:r w:rsidRPr="00A259BD">
        <w:rPr>
          <w:rFonts w:ascii="Times New Roman" w:hAnsi="Times New Roman"/>
          <w:color w:val="000000" w:themeColor="text1"/>
          <w:sz w:val="16"/>
          <w:szCs w:val="16"/>
        </w:rPr>
        <w:t>Сентиа</w:t>
      </w:r>
      <w:proofErr w:type="spellEnd"/>
      <w:r w:rsidRPr="00A259BD">
        <w:rPr>
          <w:rFonts w:ascii="Times New Roman" w:hAnsi="Times New Roman"/>
          <w:color w:val="000000" w:themeColor="text1"/>
          <w:sz w:val="16"/>
          <w:szCs w:val="16"/>
        </w:rPr>
        <w:t xml:space="preserve">", который также передается </w:t>
      </w:r>
      <w:proofErr w:type="spellStart"/>
      <w:r w:rsidRPr="00A259BD">
        <w:rPr>
          <w:rFonts w:ascii="Times New Roman" w:hAnsi="Times New Roman"/>
          <w:color w:val="000000" w:themeColor="text1"/>
          <w:sz w:val="16"/>
          <w:szCs w:val="16"/>
        </w:rPr>
        <w:t>ГЭТу</w:t>
      </w:r>
      <w:proofErr w:type="spellEnd"/>
      <w:r w:rsidRPr="00A259BD">
        <w:rPr>
          <w:rFonts w:ascii="Times New Roman" w:hAnsi="Times New Roman"/>
          <w:color w:val="000000" w:themeColor="text1"/>
          <w:sz w:val="16"/>
          <w:szCs w:val="16"/>
        </w:rPr>
        <w:t>.</w:t>
      </w:r>
    </w:p>
    <w:p w14:paraId="149944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инструменту – отмечая значительный рост потребности, считается своевременным и необходимым постройка центрального инструментального мощного завода с возможностью удовлетворения потребностей в нем и других отраслей промышленности.</w:t>
      </w:r>
    </w:p>
    <w:p w14:paraId="56F5F3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нержавеющей стали и тонких стальных листов намечается установить на заводах </w:t>
      </w:r>
      <w:proofErr w:type="spellStart"/>
      <w:r w:rsidRPr="00A259BD">
        <w:rPr>
          <w:rFonts w:ascii="Times New Roman" w:hAnsi="Times New Roman"/>
          <w:color w:val="000000" w:themeColor="text1"/>
          <w:sz w:val="16"/>
          <w:szCs w:val="16"/>
        </w:rPr>
        <w:t>Златоустинском</w:t>
      </w:r>
      <w:proofErr w:type="spellEnd"/>
      <w:r w:rsidRPr="00A259BD">
        <w:rPr>
          <w:rFonts w:ascii="Times New Roman" w:hAnsi="Times New Roman"/>
          <w:color w:val="000000" w:themeColor="text1"/>
          <w:sz w:val="16"/>
          <w:szCs w:val="16"/>
        </w:rPr>
        <w:t xml:space="preserve"> и Электростали.</w:t>
      </w:r>
    </w:p>
    <w:p w14:paraId="349769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2FC48A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Более совершенное использование мощности авиамоторной группы на самолетах требует замены у них деревянных винтов на металлические.</w:t>
      </w:r>
    </w:p>
    <w:p w14:paraId="21F923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связи с этим предполагается поставить внутри нашей страны производство этих винтов с привлечением по сему техпомощи из-за границы. По означенному вопросу авиапромышленности даются соответствующие директивные указания.</w:t>
      </w:r>
    </w:p>
    <w:p w14:paraId="6DDE51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Полную проработку всех указанных выше вопросов по базам снабжения, с подсчетом необходимых затрат, ВСНХ предполагает произвести в течении шести месячного срока по истечении которого будет представлен соответствующий доклад.</w:t>
      </w:r>
    </w:p>
    <w:p w14:paraId="04E1BF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IX. Капитальное строительство.</w:t>
      </w:r>
    </w:p>
    <w:p w14:paraId="63880A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осуществления намеченного плана развития авиапромышленности в течении пяти лет на капитальные работы потребуются вложения по годам, согласно приводимых ниже таблиц (см. приложение табл. 10 и 11).</w:t>
      </w:r>
    </w:p>
    <w:p w14:paraId="750B2B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итоге всех расходов, за исключением уже ассигнованных на 1928/29 год ориентировочно намечается необходимость в отпуске 70379 тысяч рублей, из коих на строительство – 37800 тысяч рублей и на оборудование – 33079 тысяч рублей, в том числе импорт – 14727 тысяч рублей.</w:t>
      </w:r>
    </w:p>
    <w:p w14:paraId="487DB1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Уточнение этой цифры может последовать только лишь по окончательной разработке проектов развития существующих заводов и постройки новых, что может быть сделано не ранее начала мая 1930 года.</w:t>
      </w:r>
    </w:p>
    <w:p w14:paraId="19147F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 Рабочий вопрос.</w:t>
      </w:r>
    </w:p>
    <w:p w14:paraId="427891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Одним из очень сложных и трудных вопросов в общем плане развития авиапромышленности в период пяти ближайших лет ……………………….</w:t>
      </w:r>
    </w:p>
    <w:p w14:paraId="267973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результате учета всех факторов, влияющих на количество потребной рабочей силы по отдельным годам пятилетки (в виде роста производительности труда, вследствие прогрессирующей рационализации процессов производства, а также падения этой производительности, вследствие вовлечения в производство при мобилизации новых необученных кадров рабочих и проч.) в связи с необходимостью рационального развития площадей авиазаводов и правильным использованием рабочего подсобного персонала, выявляется, что по моторным заводам потребуется для всех трех смен рабочих 262%, а для самолетных 239% от количества рабочих, потребных в одну смену, при коэффициентах производительности трех смен по моторным заводам в 2, 3 и самолетным – 2,1.</w:t>
      </w:r>
    </w:p>
    <w:p w14:paraId="1C4C79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среднем, на мобилизационное время потребуется добавочно рабочих в количестве 150% от числа рабочих, занятых в мирное время.</w:t>
      </w:r>
    </w:p>
    <w:p w14:paraId="3CCFAA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этого количества, примерно 30% падает на рабочих высокой и средней квалификации, 50% - низкой и 20% - вовсе необученных.</w:t>
      </w:r>
    </w:p>
    <w:p w14:paraId="05CCBD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Пополнение технического персонала для трех смен потребуется значительно меньше, примерно, до 20% от количества занятого персонала в одну смену.</w:t>
      </w:r>
    </w:p>
    <w:p w14:paraId="1A8433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Общее потребное авиапромышленности количество рабочих по годам определяется примерно, следующими цифрами: в 1928/29 году на мирное время – 9343 рабочих, в 1930/31 году – на мирное время – 12800 человек и на военное время – 32090 человек и в 1932/33 году – последний год пятилетки – потребуется на военное время 51940 рабочих.</w:t>
      </w:r>
    </w:p>
    <w:p w14:paraId="5CC843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Приведенные цифры отмечают колоссальный рост потребной рабочей силы по плану пятилетнего развития ………………………………….</w:t>
      </w:r>
    </w:p>
    <w:p w14:paraId="09CB53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проработке этого вопроса ВСНХ в настоящее время приступает с расчетом закончить работы в течение шести месяцев.</w:t>
      </w:r>
    </w:p>
    <w:p w14:paraId="585B47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перспективе для разрешения указанных вопросов намечаются следующие пути:</w:t>
      </w:r>
    </w:p>
    <w:p w14:paraId="40C56EEC"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Организация подготовки авиапромышленностью основного кадра руководящего техперсонала для новых заводов путем подбора их и закрепления за уже действующими заводами.</w:t>
      </w:r>
    </w:p>
    <w:p w14:paraId="713D1F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Потребность техперсонала и расходов, связанных с подготовкой его для новых заводов при работе в одну смену, ориентировочно определяется следующей таблицей:</w:t>
      </w:r>
    </w:p>
    <w:p w14:paraId="50F66A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Число лиц административно-технического персонала, которое нужно подготовить для новых заводов – 95</w:t>
      </w:r>
    </w:p>
    <w:p w14:paraId="184D56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Число цехового младшего техперсонала – 50</w:t>
      </w:r>
    </w:p>
    <w:p w14:paraId="69FFE1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Стоимость расходов по подготовке до момента пуска в ход новых заводов – 520 тысяч рублей</w:t>
      </w:r>
    </w:p>
    <w:p w14:paraId="18876F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усиления кадров инженерно-технического персонала в авиапромышленности ВСНХ привлекает на заводы инженеров-производственников, окончивших академию ВВС, учредило 17 стипендий для студентов </w:t>
      </w:r>
      <w:proofErr w:type="spellStart"/>
      <w:r w:rsidRPr="00A259BD">
        <w:rPr>
          <w:rFonts w:ascii="Times New Roman" w:hAnsi="Times New Roman"/>
          <w:color w:val="000000" w:themeColor="text1"/>
          <w:sz w:val="16"/>
          <w:szCs w:val="16"/>
        </w:rPr>
        <w:t>ВТУЗов</w:t>
      </w:r>
      <w:proofErr w:type="spellEnd"/>
      <w:r w:rsidRPr="00A259BD">
        <w:rPr>
          <w:rFonts w:ascii="Times New Roman" w:hAnsi="Times New Roman"/>
          <w:color w:val="000000" w:themeColor="text1"/>
          <w:sz w:val="16"/>
          <w:szCs w:val="16"/>
        </w:rPr>
        <w:t xml:space="preserve"> и намечены 32 стипендии для слушателей техникумов. Кроме того, ГВПУ имеет в виду прикрепить целиком один ВТУЗ к военной промышленности для подготовки необходимых специалистов. Известная работа проводится также и по поднятию квалификации наличного состава инженерно-технического персонала.</w:t>
      </w:r>
    </w:p>
    <w:p w14:paraId="1EC7109C"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Недостающее количество рабочих средней и высшей квалификации на военное время намечается получить с заводов гражданской промышленности, имеющих второстепенное значение в деле обороны страны.</w:t>
      </w:r>
    </w:p>
    <w:p w14:paraId="55D4E665"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Рабочих высшей квалификации предполагается получить со своих заводов из числа необученных рабочих, проработавших на них некоторое время.</w:t>
      </w:r>
    </w:p>
    <w:p w14:paraId="63979398"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Подготовку рабочих, привлеченных с других заводов, а также повышений квалификации своих, предполагается осуществить ……………………</w:t>
      </w:r>
    </w:p>
    <w:p w14:paraId="4906256E"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Повышение квалификации достигнуть путем пропуска рабочих через особые краткосрочные курсы по повышению квалификации (см. табл. в приложении №№ 12, 13, 14, 15, 16, 17).</w:t>
      </w:r>
    </w:p>
    <w:p w14:paraId="0BD6C6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XI. О загрузке заводов авиапромышленности в условиях мирного времени.</w:t>
      </w:r>
    </w:p>
    <w:p w14:paraId="498718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Намечающееся настоящим докладом развитие мощности заводов авиапромышленности, по-видимому, неизбежно вызовет в условиях мирного времени недогрузку заводов заказами </w:t>
      </w:r>
      <w:proofErr w:type="spellStart"/>
      <w:r w:rsidRPr="00A259BD">
        <w:rPr>
          <w:rFonts w:ascii="Times New Roman" w:hAnsi="Times New Roman"/>
          <w:color w:val="000000" w:themeColor="text1"/>
          <w:sz w:val="16"/>
          <w:szCs w:val="16"/>
        </w:rPr>
        <w:t>НКВМора</w:t>
      </w:r>
      <w:proofErr w:type="spellEnd"/>
      <w:r w:rsidRPr="00A259BD">
        <w:rPr>
          <w:rFonts w:ascii="Times New Roman" w:hAnsi="Times New Roman"/>
          <w:color w:val="000000" w:themeColor="text1"/>
          <w:sz w:val="16"/>
          <w:szCs w:val="16"/>
        </w:rPr>
        <w:t xml:space="preserve"> и поэтому особую важность приобретает вопрос о догрузке авиапромышленности производством продукции общегражданского назначения.</w:t>
      </w:r>
    </w:p>
    <w:p w14:paraId="5ECEEB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До настоящего времени этот вопрос остроты не имел, ввиду полной загрузки имеемой пропускной способности заказами </w:t>
      </w:r>
      <w:proofErr w:type="spellStart"/>
      <w:r w:rsidRPr="00A259BD">
        <w:rPr>
          <w:rFonts w:ascii="Times New Roman" w:hAnsi="Times New Roman"/>
          <w:color w:val="000000" w:themeColor="text1"/>
          <w:sz w:val="16"/>
          <w:szCs w:val="16"/>
        </w:rPr>
        <w:t>НКВМора</w:t>
      </w:r>
      <w:proofErr w:type="spellEnd"/>
      <w:r w:rsidRPr="00A259BD">
        <w:rPr>
          <w:rFonts w:ascii="Times New Roman" w:hAnsi="Times New Roman"/>
          <w:color w:val="000000" w:themeColor="text1"/>
          <w:sz w:val="16"/>
          <w:szCs w:val="16"/>
        </w:rPr>
        <w:t xml:space="preserve"> и необходимости все внимание отдавать постановке на них производства новых типов самолетов и моторов. Поэтому перспективы в этом отношении на пятилетку пока не установлены и подлежат проработке полностью.</w:t>
      </w:r>
    </w:p>
    <w:p w14:paraId="4328B4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Ориентировочно же можно наметить в качестве подходящей для данного случая гражданской продукции, производство таких изделий, как мотоциклетные и автомобильные моторы, моторные катера, </w:t>
      </w:r>
      <w:proofErr w:type="spellStart"/>
      <w:r w:rsidRPr="00A259BD">
        <w:rPr>
          <w:rFonts w:ascii="Times New Roman" w:hAnsi="Times New Roman"/>
          <w:color w:val="000000" w:themeColor="text1"/>
          <w:sz w:val="16"/>
          <w:szCs w:val="16"/>
        </w:rPr>
        <w:t>авиэтки</w:t>
      </w:r>
      <w:proofErr w:type="spellEnd"/>
      <w:r w:rsidRPr="00A259BD">
        <w:rPr>
          <w:rFonts w:ascii="Times New Roman" w:hAnsi="Times New Roman"/>
          <w:color w:val="000000" w:themeColor="text1"/>
          <w:sz w:val="16"/>
          <w:szCs w:val="16"/>
        </w:rPr>
        <w:t xml:space="preserve"> и другие изделия подобного рода (3545, 6-16).</w:t>
      </w:r>
    </w:p>
    <w:p w14:paraId="0BA4E2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Приложения: Таблицы №№ 1-5, 5а, 6, 6а, 7-17 вкл.</w:t>
      </w:r>
    </w:p>
    <w:p w14:paraId="4F873E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 1929 было подготовлено Постановление РЗ СТО (проект)</w:t>
      </w:r>
    </w:p>
    <w:p w14:paraId="126C41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Президиум ВСНХ СССР от " " марта 1929 года за № ………….. о деятельности авиапромышленности за период 1927/28 года и о перспективах развития ее на ближайшее пятилетие – 1928/29 – 1932/33 годов</w:t>
      </w:r>
    </w:p>
    <w:p w14:paraId="5E195E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отделу 1</w:t>
      </w:r>
    </w:p>
    <w:p w14:paraId="0E4F46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(Техническое состояние авиапромышленности на 1 октября 1928 года)</w:t>
      </w:r>
    </w:p>
    <w:p w14:paraId="124B2066"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Отметить рост основного капитала авиапромышленности по состоянию на 1 октября 1928 года по сравнению его с 1925-26 годом.</w:t>
      </w:r>
    </w:p>
    <w:p w14:paraId="6726AE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Капитал увеличился с 22013 тысяч рублей на 43282 тысячи рублей. Увеличение шло за счет вложений в существующие заводы авиапромышленности с 1925-26 г., а также присоединения с 1926-27 г. завода № 22, с основным капиталом в 5677 тысяч рублей.</w:t>
      </w:r>
    </w:p>
    <w:p w14:paraId="52101F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отделу II</w:t>
      </w:r>
    </w:p>
    <w:p w14:paraId="4F9132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деятельности авиапромышленности на период 1926/27 и 1927/28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w:t>
      </w:r>
    </w:p>
    <w:p w14:paraId="10594BF0"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Отметить рост производительности авиапромышленности за 1926-27 и 1927-28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в отношении как основных предметов изделий – самолетов и моторов, так и подсобных предметов производства. По сравнению с 1925-26 годом производство самолетов увеличилось в 1926-27 году на 67,8%, а в 1927-28 году на 89,6% и производство моторов увеличилось в 1927-28 году на 109,2% (в отношении 1926-27 года увеличения выпуска новых моторов нет, но за то имеется увеличение в выпуске ремонтных моторов М5, 292 в 1926/27 году против 170 ремонтных моторов в 1925-26 году (при наличии усложняющихся из года в год конструкций самолетов и моторов.</w:t>
      </w:r>
    </w:p>
    <w:p w14:paraId="4CC2EF22"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Отметить недовыполнение производственной программы авиапромышленностью, определяющееся в поштучном выражении …………………..</w:t>
      </w:r>
    </w:p>
    <w:p w14:paraId="6D5CC6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1B4AB7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1926-27 году по моторам – 16%</w:t>
      </w:r>
    </w:p>
    <w:p w14:paraId="1C697A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1927-28 году по самолетам – 16%</w:t>
      </w:r>
    </w:p>
    <w:p w14:paraId="159BA2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1927-28 году по моторам – 9%</w:t>
      </w:r>
    </w:p>
    <w:p w14:paraId="0EA907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Означенное недовыполнение явилось результатом недостаточной планировки производства и снабжения, по отдельным заводам брака цветного литья, брака </w:t>
      </w:r>
      <w:proofErr w:type="spellStart"/>
      <w:r w:rsidRPr="00A259BD">
        <w:rPr>
          <w:rFonts w:ascii="Times New Roman" w:hAnsi="Times New Roman"/>
          <w:color w:val="000000" w:themeColor="text1"/>
          <w:sz w:val="16"/>
          <w:szCs w:val="16"/>
        </w:rPr>
        <w:t>авиапоковок</w:t>
      </w:r>
      <w:proofErr w:type="spellEnd"/>
      <w:r w:rsidRPr="00A259BD">
        <w:rPr>
          <w:rFonts w:ascii="Times New Roman" w:hAnsi="Times New Roman"/>
          <w:color w:val="000000" w:themeColor="text1"/>
          <w:sz w:val="16"/>
          <w:szCs w:val="16"/>
        </w:rPr>
        <w:t xml:space="preserve">, высоких требований техусловий на поставку </w:t>
      </w:r>
      <w:proofErr w:type="spellStart"/>
      <w:r w:rsidRPr="00A259BD">
        <w:rPr>
          <w:rFonts w:ascii="Times New Roman" w:hAnsi="Times New Roman"/>
          <w:color w:val="000000" w:themeColor="text1"/>
          <w:sz w:val="16"/>
          <w:szCs w:val="16"/>
        </w:rPr>
        <w:t>авиаизделий</w:t>
      </w:r>
      <w:proofErr w:type="spellEnd"/>
      <w:r w:rsidRPr="00A259BD">
        <w:rPr>
          <w:rFonts w:ascii="Times New Roman" w:hAnsi="Times New Roman"/>
          <w:color w:val="000000" w:themeColor="text1"/>
          <w:sz w:val="16"/>
          <w:szCs w:val="16"/>
        </w:rPr>
        <w:t>, недостатка высококвалифицированной рабочей силы и руководящего техперсонала на рынке труда, поступления на производство недостаточно проработанных конструкций.</w:t>
      </w:r>
    </w:p>
    <w:p w14:paraId="058B6588"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Отмечая наличие значительного % брака по </w:t>
      </w:r>
      <w:proofErr w:type="spellStart"/>
      <w:r w:rsidRPr="00A259BD">
        <w:rPr>
          <w:rFonts w:ascii="Times New Roman" w:hAnsi="Times New Roman"/>
          <w:color w:val="000000" w:themeColor="text1"/>
          <w:sz w:val="16"/>
          <w:szCs w:val="16"/>
        </w:rPr>
        <w:t>авиапоковкам</w:t>
      </w:r>
      <w:proofErr w:type="spellEnd"/>
      <w:r w:rsidRPr="00A259BD">
        <w:rPr>
          <w:rFonts w:ascii="Times New Roman" w:hAnsi="Times New Roman"/>
          <w:color w:val="000000" w:themeColor="text1"/>
          <w:sz w:val="16"/>
          <w:szCs w:val="16"/>
        </w:rPr>
        <w:t xml:space="preserve"> предложить ВСНХ особо рассмотреть вопрос о мероприятиях по улучшению производства </w:t>
      </w:r>
      <w:proofErr w:type="spellStart"/>
      <w:r w:rsidRPr="00A259BD">
        <w:rPr>
          <w:rFonts w:ascii="Times New Roman" w:hAnsi="Times New Roman"/>
          <w:color w:val="000000" w:themeColor="text1"/>
          <w:sz w:val="16"/>
          <w:szCs w:val="16"/>
        </w:rPr>
        <w:t>авиапоковок</w:t>
      </w:r>
      <w:proofErr w:type="spellEnd"/>
      <w:r w:rsidRPr="00A259BD">
        <w:rPr>
          <w:rFonts w:ascii="Times New Roman" w:hAnsi="Times New Roman"/>
          <w:color w:val="000000" w:themeColor="text1"/>
          <w:sz w:val="16"/>
          <w:szCs w:val="16"/>
        </w:rPr>
        <w:t xml:space="preserve"> из специальных сортов хромоникелевых, хромомолибденовых и ванадиевых сталей, не останавливаясь перед необходимостью получения в этом деле технической помощи от соответствующих иностранных фирм.</w:t>
      </w:r>
    </w:p>
    <w:p w14:paraId="4FC2CC7A"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Наряду с мероприятиями по п. 3 предложить </w:t>
      </w:r>
      <w:proofErr w:type="spellStart"/>
      <w:r w:rsidRPr="00A259BD">
        <w:rPr>
          <w:rFonts w:ascii="Times New Roman" w:hAnsi="Times New Roman"/>
          <w:color w:val="000000" w:themeColor="text1"/>
          <w:sz w:val="16"/>
          <w:szCs w:val="16"/>
        </w:rPr>
        <w:t>НКВМору</w:t>
      </w:r>
      <w:proofErr w:type="spellEnd"/>
      <w:r w:rsidRPr="00A259BD">
        <w:rPr>
          <w:rFonts w:ascii="Times New Roman" w:hAnsi="Times New Roman"/>
          <w:color w:val="000000" w:themeColor="text1"/>
          <w:sz w:val="16"/>
          <w:szCs w:val="16"/>
        </w:rPr>
        <w:t xml:space="preserve"> и ВСНХ-СССР организовать работу по пересмотру существующих техусловий на поставку продукции авиационной промышленности в целях устранения в них всех излишне строгих и чрезмерно высоких требований, не оправдывающихся условиями производства и эксплуатации.</w:t>
      </w:r>
    </w:p>
    <w:p w14:paraId="7F2B3564"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Отмечая медленность внедрения на производство новых типов самолетов и моторов – предложить ВСНХ-СССР принять меры по созданию условий, устраняющих означенное явление путем ряда организационных мер по сокращению сроков выпуска головных машин и производства их испытаний, а также путем улучшения планировки в производстве и в снабжении.</w:t>
      </w:r>
    </w:p>
    <w:p w14:paraId="37AC2BB3"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Отметить слабое развитие работ по постановке производства моторов М17 на основах использования договора по </w:t>
      </w:r>
      <w:proofErr w:type="spellStart"/>
      <w:r w:rsidRPr="00A259BD">
        <w:rPr>
          <w:rFonts w:ascii="Times New Roman" w:hAnsi="Times New Roman"/>
          <w:color w:val="000000" w:themeColor="text1"/>
          <w:sz w:val="16"/>
          <w:szCs w:val="16"/>
        </w:rPr>
        <w:t>техсодействию</w:t>
      </w:r>
      <w:proofErr w:type="spellEnd"/>
      <w:r w:rsidRPr="00A259BD">
        <w:rPr>
          <w:rFonts w:ascii="Times New Roman" w:hAnsi="Times New Roman"/>
          <w:color w:val="000000" w:themeColor="text1"/>
          <w:sz w:val="16"/>
          <w:szCs w:val="16"/>
        </w:rPr>
        <w:t xml:space="preserve"> с фирмой БМВ. Предложить ВСНХ-СССР взять под особое наблюдение работы авиапромышленности в этой части в целях принятия мер по формированию этих работ.</w:t>
      </w:r>
    </w:p>
    <w:p w14:paraId="63153A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отделу III</w:t>
      </w:r>
    </w:p>
    <w:p w14:paraId="4082B2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(Снабжение)</w:t>
      </w:r>
    </w:p>
    <w:p w14:paraId="710888E3"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Отмечая установку ряда новых производств внутри нашей страны по предметам, ввозившимся для авиапромышленности ранее из-за границы как-то: стальным цельнотянутым трубам, стальным тросам, аэролакам, расчалкам, </w:t>
      </w:r>
      <w:proofErr w:type="spellStart"/>
      <w:r w:rsidRPr="00A259BD">
        <w:rPr>
          <w:rFonts w:ascii="Times New Roman" w:hAnsi="Times New Roman"/>
          <w:color w:val="000000" w:themeColor="text1"/>
          <w:sz w:val="16"/>
          <w:szCs w:val="16"/>
        </w:rPr>
        <w:t>авиасвечам</w:t>
      </w:r>
      <w:proofErr w:type="spellEnd"/>
      <w:r w:rsidRPr="00A259BD">
        <w:rPr>
          <w:rFonts w:ascii="Times New Roman" w:hAnsi="Times New Roman"/>
          <w:color w:val="000000" w:themeColor="text1"/>
          <w:sz w:val="16"/>
          <w:szCs w:val="16"/>
        </w:rPr>
        <w:t>, авиаприборам и другим предметам – предложить ВСНХ-СССР расширить в этом направлении в целях полного освобождения авиапромышленности от иностранной зависимости, в течении ближайших 5 лет.</w:t>
      </w:r>
    </w:p>
    <w:p w14:paraId="6F7859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отделу IV и V</w:t>
      </w:r>
    </w:p>
    <w:p w14:paraId="76FF6F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труда и динамика цен отпускных и снижение себестоимости)</w:t>
      </w:r>
    </w:p>
    <w:p w14:paraId="406CE87D"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Отметить улучшение в использовании труда и оборудования авиапромышленностью, давшее при наличии ряда рационализаторских мероприятий в производстве, снижение количества производственных часов на единицу изделия, по основным видам установившегося производства. Так по самолетам Р1-М5 в 1926-27 году снижено на 13,4% и в 1927-28 году на 27,8% и по моторам М5 в 1926-27 году на 45,6% и в 1927-28 году на 46,4% по сравнению с 1925-26 годом.</w:t>
      </w:r>
    </w:p>
    <w:p w14:paraId="2D1FE1BF"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Отметить, что в результате мероприятий указанных в предыдущем пункте, а также снижения накладных расходов, достигнуто снижение в себестоимости продукции авиапромышленности.</w:t>
      </w:r>
    </w:p>
    <w:p w14:paraId="3B242A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 по основным видам изделий по самолетам Р1-М5 снижение определяется в 1926-27 году в 10,2% и в 1927-28 году в 12,5%, по моторам М5 в те же годы на 27,1% и в 1927-28 году на 32,1% по сравнению с 1925-26 годом.</w:t>
      </w:r>
    </w:p>
    <w:p w14:paraId="757255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отделу VI</w:t>
      </w:r>
    </w:p>
    <w:p w14:paraId="3E495A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плану пятилетнего развития авиапромышленности и капитального строительства)</w:t>
      </w:r>
    </w:p>
    <w:p w14:paraId="1F0F2A17"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Отметить необходимость развития авиапромышленности по плану новых </w:t>
      </w:r>
      <w:proofErr w:type="spellStart"/>
      <w:r w:rsidRPr="00A259BD">
        <w:rPr>
          <w:rFonts w:ascii="Times New Roman" w:hAnsi="Times New Roman"/>
          <w:color w:val="000000" w:themeColor="text1"/>
          <w:sz w:val="16"/>
          <w:szCs w:val="16"/>
        </w:rPr>
        <w:t>мобзаданий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на 5 лет с 1928/29 года по 1932/33 включительно с достижением полной годовой мощности в 6865 самолетов и 8010 моторов.</w:t>
      </w:r>
    </w:p>
    <w:p w14:paraId="23CE77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Означенное задание утвердить …………………………..</w:t>
      </w:r>
    </w:p>
    <w:p w14:paraId="42D0AC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Развитие мощности вести, исходя из условий установившегося производства по окончании периода развертывания.</w:t>
      </w:r>
    </w:p>
    <w:p w14:paraId="5A809B0A"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Отметить правильность общего направления в решении вопросов развития авиапромышленности в связи с новым </w:t>
      </w:r>
      <w:proofErr w:type="spellStart"/>
      <w:r w:rsidRPr="00A259BD">
        <w:rPr>
          <w:rFonts w:ascii="Times New Roman" w:hAnsi="Times New Roman"/>
          <w:color w:val="000000" w:themeColor="text1"/>
          <w:sz w:val="16"/>
          <w:szCs w:val="16"/>
        </w:rPr>
        <w:t>мобзаданием</w:t>
      </w:r>
      <w:proofErr w:type="spellEnd"/>
      <w:r w:rsidRPr="00A259BD">
        <w:rPr>
          <w:rFonts w:ascii="Times New Roman" w:hAnsi="Times New Roman"/>
          <w:color w:val="000000" w:themeColor="text1"/>
          <w:sz w:val="16"/>
          <w:szCs w:val="16"/>
        </w:rPr>
        <w:t xml:space="preserve"> на пять лет.</w:t>
      </w:r>
    </w:p>
    <w:p w14:paraId="12C8C58C"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Констатировать, что намечаемым ориентировочно, по плану развития авиапромышленности, выпуском не покрывается полностью потребность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в самолетах и моторах по </w:t>
      </w:r>
      <w:proofErr w:type="spellStart"/>
      <w:r w:rsidRPr="00A259BD">
        <w:rPr>
          <w:rFonts w:ascii="Times New Roman" w:hAnsi="Times New Roman"/>
          <w:color w:val="000000" w:themeColor="text1"/>
          <w:sz w:val="16"/>
          <w:szCs w:val="16"/>
        </w:rPr>
        <w:t>мобплану</w:t>
      </w:r>
      <w:proofErr w:type="spellEnd"/>
      <w:r w:rsidRPr="00A259BD">
        <w:rPr>
          <w:rFonts w:ascii="Times New Roman" w:hAnsi="Times New Roman"/>
          <w:color w:val="000000" w:themeColor="text1"/>
          <w:sz w:val="16"/>
          <w:szCs w:val="16"/>
        </w:rPr>
        <w:t xml:space="preserve"> варианта № 10 на 1930/31 год. По самолетам не покрывается 867 машин, по моторам – 1257 машин.</w:t>
      </w:r>
    </w:p>
    <w:p w14:paraId="3B4F49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Покрытие полной потребности осуществляется лишь между 1930/31 и 1931/32 годами.</w:t>
      </w:r>
    </w:p>
    <w:p w14:paraId="6BC1A674"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Отметить необходимость постройки двух новых самолетостроительных заводов соответствующих мощностей: один для деревянных и смешанных конструкций с производственной мощностью в 930 самолетов и другой для металлических самолетов с производственной мощностью в 369 самолетов в одну смену при 2000 рабочих часов в год.</w:t>
      </w:r>
    </w:p>
    <w:p w14:paraId="7F1B9CA2"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Отметить целесообразность постройки подсобного цеха для производства отдельных механизмов и деталей для строящихся авиамоторов в целях разгрузки моторных заводов и увеличения выпуска моторов.</w:t>
      </w:r>
    </w:p>
    <w:p w14:paraId="6154F3A7"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Отметить необходимость ускорения постройки нового завода по приборам для вооружения самолетов.</w:t>
      </w:r>
    </w:p>
    <w:p w14:paraId="131430CD"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решении вопроса о способе покрытия дефицита в части авиамоторов ВСНХ-СССР исходить из соображений экономической и технической целесообразности (постройка нового завода, расширение существующих моторных заводов). Предложить ВСНХ закончить разработку вопроса в течение двух месяцев.</w:t>
      </w:r>
    </w:p>
    <w:p w14:paraId="08A0E7DE"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приведенных в докладе сумм, необходимых для осуществления запроектированного развития авиапромышленности, предложить ВСНХ определить указанные суммы на основе уточненных расчетов развития технических мощностей ………………………..</w:t>
      </w:r>
    </w:p>
    <w:p w14:paraId="1FEBD6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Соответствующие работы закончить к началу мая 1930 года.</w:t>
      </w:r>
    </w:p>
    <w:p w14:paraId="358C6A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отделу VII</w:t>
      </w:r>
    </w:p>
    <w:p w14:paraId="66D62F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(Опытное строительство)</w:t>
      </w:r>
    </w:p>
    <w:p w14:paraId="41EC68C1"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Отметить ряд успешных разработок конструкции новых типов самолетов, как например: ТБ1, И3, И4, П2, Р5, У2.</w:t>
      </w:r>
    </w:p>
    <w:p w14:paraId="257B9718"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Отметить крайнюю медленность в разработке новых конструкций самолетов и моторов.</w:t>
      </w:r>
    </w:p>
    <w:p w14:paraId="11604B8A"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Предложить ВСНХ широко развернуть работы конструкторских и опытных организаций, как промышленных, так и научных, по новым конструкциям самолетов и моторов, по заданиям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создав условия максимально большей согласованности в них и максимального использования наличия конструкторских сил и опыта внутри ВСНХ и </w:t>
      </w:r>
      <w:proofErr w:type="spellStart"/>
      <w:r w:rsidRPr="00A259BD">
        <w:rPr>
          <w:rFonts w:ascii="Times New Roman" w:hAnsi="Times New Roman"/>
          <w:color w:val="000000" w:themeColor="text1"/>
          <w:sz w:val="16"/>
          <w:szCs w:val="16"/>
        </w:rPr>
        <w:t>НКВМора</w:t>
      </w:r>
      <w:proofErr w:type="spellEnd"/>
      <w:r w:rsidRPr="00A259BD">
        <w:rPr>
          <w:rFonts w:ascii="Times New Roman" w:hAnsi="Times New Roman"/>
          <w:color w:val="000000" w:themeColor="text1"/>
          <w:sz w:val="16"/>
          <w:szCs w:val="16"/>
        </w:rPr>
        <w:t>.</w:t>
      </w:r>
    </w:p>
    <w:p w14:paraId="363E9C1D"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Отметить необходимость форсирования работ по проектированию и постройке новых конструкций приборов для вооружения самолетов.</w:t>
      </w:r>
    </w:p>
    <w:p w14:paraId="1AF7DA1B"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Отмечая недостаточность собственных конструкторских сил по разработке новых конструкций самолетов и моторов, считать необходимым усиление наших конструкторских организаций путем приглашения соответствующих специалистов из-за границы, считая мероприятия ВСНХ в этом отношении правильными. Предложить последнему форсировать в дальнейшем такое усиление строго согласовав однако с действительной потребностью.</w:t>
      </w:r>
    </w:p>
    <w:p w14:paraId="317701EB"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Предложить ВСНХ ускорить разрешение вопроса по увязке работ по опытному строительству между авиапромышленностью по линии ГВПУ и ЦАГИ и НАМИ по линии НТУ ВСНХ, а также УВВС.</w:t>
      </w:r>
    </w:p>
    <w:p w14:paraId="3D9172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отделу VIII</w:t>
      </w:r>
    </w:p>
    <w:p w14:paraId="0FE1B7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(Базы снабжения)</w:t>
      </w:r>
    </w:p>
    <w:p w14:paraId="6159870A"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Констатировать недостаточно удовлетворительное состояние баз снабжения авиапромышленности основными материалами и полуфабрикатами.</w:t>
      </w:r>
    </w:p>
    <w:p w14:paraId="429E6E36"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52F6F6D1"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Учитывая истощение лесных массивов, годных для авиапромышленности, предложить </w:t>
      </w:r>
      <w:proofErr w:type="spellStart"/>
      <w:r w:rsidRPr="00A259BD">
        <w:rPr>
          <w:rFonts w:ascii="Times New Roman" w:hAnsi="Times New Roman"/>
          <w:color w:val="000000" w:themeColor="text1"/>
          <w:sz w:val="16"/>
          <w:szCs w:val="16"/>
        </w:rPr>
        <w:t>НКЗему</w:t>
      </w:r>
      <w:proofErr w:type="spellEnd"/>
      <w:r w:rsidRPr="00A259BD">
        <w:rPr>
          <w:rFonts w:ascii="Times New Roman" w:hAnsi="Times New Roman"/>
          <w:color w:val="000000" w:themeColor="text1"/>
          <w:sz w:val="16"/>
          <w:szCs w:val="16"/>
        </w:rPr>
        <w:t xml:space="preserve"> разработать и представить на утверждение в СТО в течение 6 месяцев план обеспечения промышленности новыми лесными массивами, годными для потребностей самолетостроения.</w:t>
      </w:r>
    </w:p>
    <w:p w14:paraId="67678AA9"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Предложить ВСНХ и </w:t>
      </w:r>
      <w:proofErr w:type="spellStart"/>
      <w:r w:rsidRPr="00A259BD">
        <w:rPr>
          <w:rFonts w:ascii="Times New Roman" w:hAnsi="Times New Roman"/>
          <w:color w:val="000000" w:themeColor="text1"/>
          <w:sz w:val="16"/>
          <w:szCs w:val="16"/>
        </w:rPr>
        <w:t>НКВМору</w:t>
      </w:r>
      <w:proofErr w:type="spellEnd"/>
      <w:r w:rsidRPr="00A259BD">
        <w:rPr>
          <w:rFonts w:ascii="Times New Roman" w:hAnsi="Times New Roman"/>
          <w:color w:val="000000" w:themeColor="text1"/>
          <w:sz w:val="16"/>
          <w:szCs w:val="16"/>
        </w:rPr>
        <w:t xml:space="preserve"> в течение шести месяцев разработать вопрос по возможному снижению технических требований в отношении качества лесных материалов, идущих на постройку самолетов.</w:t>
      </w:r>
    </w:p>
    <w:p w14:paraId="0A3F74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отделу IX</w:t>
      </w:r>
    </w:p>
    <w:p w14:paraId="3F5E62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(Рабочий вопрос)</w:t>
      </w:r>
    </w:p>
    <w:p w14:paraId="22F3CEDD"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предложить ВСНХ совместно с </w:t>
      </w:r>
      <w:proofErr w:type="spellStart"/>
      <w:r w:rsidRPr="00A259BD">
        <w:rPr>
          <w:rFonts w:ascii="Times New Roman" w:hAnsi="Times New Roman"/>
          <w:color w:val="000000" w:themeColor="text1"/>
          <w:sz w:val="16"/>
          <w:szCs w:val="16"/>
        </w:rPr>
        <w:t>НКТРуда</w:t>
      </w:r>
      <w:proofErr w:type="spellEnd"/>
      <w:r w:rsidRPr="00A259BD">
        <w:rPr>
          <w:rFonts w:ascii="Times New Roman" w:hAnsi="Times New Roman"/>
          <w:color w:val="000000" w:themeColor="text1"/>
          <w:sz w:val="16"/>
          <w:szCs w:val="16"/>
        </w:rPr>
        <w:t xml:space="preserve"> в шестимесячный срок разработать и представить на утверждение в СТО вопрос о мероприятиях по укомплектованию техперсоналом и рабсилой авиапромышленности на период пятилетнего ее развития для условий мирного времени, с подсчетом всех потребных для разрешения вопроса сумм, с установлением плана финансирования (3545, 16-18).</w:t>
      </w:r>
    </w:p>
    <w:p w14:paraId="7E53BC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Таблица № 1</w:t>
      </w:r>
    </w:p>
    <w:p w14:paraId="6D6592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показатели достижений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1552"/>
        <w:gridCol w:w="1701"/>
        <w:gridCol w:w="1701"/>
        <w:gridCol w:w="1701"/>
        <w:gridCol w:w="1701"/>
      </w:tblGrid>
      <w:tr w:rsidR="00A259BD" w:rsidRPr="00A259BD" w14:paraId="6A70656F" w14:textId="77777777">
        <w:tc>
          <w:tcPr>
            <w:tcW w:w="2242" w:type="dxa"/>
            <w:tcBorders>
              <w:top w:val="single" w:sz="12" w:space="0" w:color="auto"/>
            </w:tcBorders>
          </w:tcPr>
          <w:p w14:paraId="6CABBE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Показатели</w:t>
            </w:r>
          </w:p>
        </w:tc>
        <w:tc>
          <w:tcPr>
            <w:tcW w:w="1552" w:type="dxa"/>
            <w:tcBorders>
              <w:top w:val="single" w:sz="12" w:space="0" w:color="auto"/>
            </w:tcBorders>
          </w:tcPr>
          <w:p w14:paraId="13B3D1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Повышение</w:t>
            </w:r>
          </w:p>
        </w:tc>
        <w:tc>
          <w:tcPr>
            <w:tcW w:w="1701" w:type="dxa"/>
            <w:tcBorders>
              <w:top w:val="single" w:sz="12" w:space="0" w:color="auto"/>
            </w:tcBorders>
          </w:tcPr>
          <w:p w14:paraId="747441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Снижение</w:t>
            </w:r>
          </w:p>
        </w:tc>
        <w:tc>
          <w:tcPr>
            <w:tcW w:w="1701" w:type="dxa"/>
            <w:tcBorders>
              <w:top w:val="single" w:sz="12" w:space="0" w:color="auto"/>
            </w:tcBorders>
          </w:tcPr>
          <w:p w14:paraId="2B1479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Снижение</w:t>
            </w:r>
          </w:p>
        </w:tc>
        <w:tc>
          <w:tcPr>
            <w:tcW w:w="1701" w:type="dxa"/>
            <w:tcBorders>
              <w:top w:val="single" w:sz="12" w:space="0" w:color="auto"/>
            </w:tcBorders>
          </w:tcPr>
          <w:p w14:paraId="4B7C6D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Снижение</w:t>
            </w:r>
          </w:p>
        </w:tc>
        <w:tc>
          <w:tcPr>
            <w:tcW w:w="1701" w:type="dxa"/>
            <w:tcBorders>
              <w:top w:val="single" w:sz="12" w:space="0" w:color="auto"/>
            </w:tcBorders>
          </w:tcPr>
          <w:p w14:paraId="7F7945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Снижение</w:t>
            </w:r>
          </w:p>
        </w:tc>
      </w:tr>
      <w:tr w:rsidR="00A259BD" w:rsidRPr="00A259BD" w14:paraId="673843B3" w14:textId="77777777">
        <w:tc>
          <w:tcPr>
            <w:tcW w:w="2242" w:type="dxa"/>
          </w:tcPr>
          <w:p w14:paraId="74F045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0AA8B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Выпуск продукции в натуральном выражении по предъявлению в %</w:t>
            </w:r>
          </w:p>
        </w:tc>
        <w:tc>
          <w:tcPr>
            <w:tcW w:w="1701" w:type="dxa"/>
          </w:tcPr>
          <w:p w14:paraId="69C0DD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Число рабочих на единицу изделия в %</w:t>
            </w:r>
          </w:p>
        </w:tc>
        <w:tc>
          <w:tcPr>
            <w:tcW w:w="1701" w:type="dxa"/>
          </w:tcPr>
          <w:p w14:paraId="26F30F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Число производственных часов на единицу изделия в %</w:t>
            </w:r>
          </w:p>
        </w:tc>
        <w:tc>
          <w:tcPr>
            <w:tcW w:w="1701" w:type="dxa"/>
          </w:tcPr>
          <w:p w14:paraId="55A756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Стоимость рабсилы в рублях на единицу изделия по РУ-М5 и мот. МБ</w:t>
            </w:r>
          </w:p>
        </w:tc>
        <w:tc>
          <w:tcPr>
            <w:tcW w:w="1701" w:type="dxa"/>
          </w:tcPr>
          <w:p w14:paraId="0FA5D0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Себестоимость изделия в руб. по Р-1-М-5 и мот. Р5</w:t>
            </w:r>
          </w:p>
        </w:tc>
      </w:tr>
      <w:tr w:rsidR="00A259BD" w:rsidRPr="00A259BD" w14:paraId="5B5A42E0" w14:textId="77777777">
        <w:tc>
          <w:tcPr>
            <w:tcW w:w="2242" w:type="dxa"/>
          </w:tcPr>
          <w:p w14:paraId="748A0C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26/27 сам.</w:t>
            </w:r>
          </w:p>
        </w:tc>
        <w:tc>
          <w:tcPr>
            <w:tcW w:w="1552" w:type="dxa"/>
          </w:tcPr>
          <w:p w14:paraId="6F193D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167,8</w:t>
            </w:r>
          </w:p>
        </w:tc>
        <w:tc>
          <w:tcPr>
            <w:tcW w:w="1701" w:type="dxa"/>
          </w:tcPr>
          <w:p w14:paraId="3669B5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68,2</w:t>
            </w:r>
          </w:p>
        </w:tc>
        <w:tc>
          <w:tcPr>
            <w:tcW w:w="1701" w:type="dxa"/>
          </w:tcPr>
          <w:p w14:paraId="105AE7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86,6</w:t>
            </w:r>
          </w:p>
        </w:tc>
        <w:tc>
          <w:tcPr>
            <w:tcW w:w="1701" w:type="dxa"/>
          </w:tcPr>
          <w:p w14:paraId="0A5D2F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1701" w:type="dxa"/>
          </w:tcPr>
          <w:p w14:paraId="33F865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89,6</w:t>
            </w:r>
          </w:p>
        </w:tc>
      </w:tr>
      <w:tr w:rsidR="00A259BD" w:rsidRPr="00A259BD" w14:paraId="53D70536" w14:textId="77777777">
        <w:tc>
          <w:tcPr>
            <w:tcW w:w="2242" w:type="dxa"/>
          </w:tcPr>
          <w:p w14:paraId="30C47C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26/27 мот.</w:t>
            </w:r>
          </w:p>
        </w:tc>
        <w:tc>
          <w:tcPr>
            <w:tcW w:w="1552" w:type="dxa"/>
          </w:tcPr>
          <w:p w14:paraId="7CF258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1701" w:type="dxa"/>
          </w:tcPr>
          <w:p w14:paraId="782881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w:t>
            </w:r>
          </w:p>
        </w:tc>
        <w:tc>
          <w:tcPr>
            <w:tcW w:w="1701" w:type="dxa"/>
          </w:tcPr>
          <w:p w14:paraId="45058D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59,4</w:t>
            </w:r>
          </w:p>
        </w:tc>
        <w:tc>
          <w:tcPr>
            <w:tcW w:w="1701" w:type="dxa"/>
          </w:tcPr>
          <w:p w14:paraId="010F1B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39,4</w:t>
            </w:r>
          </w:p>
        </w:tc>
        <w:tc>
          <w:tcPr>
            <w:tcW w:w="1701" w:type="dxa"/>
          </w:tcPr>
          <w:p w14:paraId="3B9B67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72,9</w:t>
            </w:r>
          </w:p>
        </w:tc>
      </w:tr>
      <w:tr w:rsidR="00A259BD" w:rsidRPr="00A259BD" w14:paraId="2A3C9246" w14:textId="77777777">
        <w:tc>
          <w:tcPr>
            <w:tcW w:w="2242" w:type="dxa"/>
          </w:tcPr>
          <w:p w14:paraId="7AEFC0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27/28 сам.</w:t>
            </w:r>
          </w:p>
        </w:tc>
        <w:tc>
          <w:tcPr>
            <w:tcW w:w="1552" w:type="dxa"/>
          </w:tcPr>
          <w:p w14:paraId="5AC497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189,6</w:t>
            </w:r>
          </w:p>
        </w:tc>
        <w:tc>
          <w:tcPr>
            <w:tcW w:w="1701" w:type="dxa"/>
          </w:tcPr>
          <w:p w14:paraId="42E282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89,5</w:t>
            </w:r>
          </w:p>
        </w:tc>
        <w:tc>
          <w:tcPr>
            <w:tcW w:w="1701" w:type="dxa"/>
          </w:tcPr>
          <w:p w14:paraId="06A78B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83,4</w:t>
            </w:r>
          </w:p>
        </w:tc>
        <w:tc>
          <w:tcPr>
            <w:tcW w:w="1701" w:type="dxa"/>
          </w:tcPr>
          <w:p w14:paraId="649CA1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91,0</w:t>
            </w:r>
          </w:p>
        </w:tc>
        <w:tc>
          <w:tcPr>
            <w:tcW w:w="1701" w:type="dxa"/>
          </w:tcPr>
          <w:p w14:paraId="67DD27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87,6</w:t>
            </w:r>
          </w:p>
        </w:tc>
      </w:tr>
      <w:tr w:rsidR="00A259BD" w:rsidRPr="00A259BD" w14:paraId="30CEAC1C" w14:textId="77777777">
        <w:tc>
          <w:tcPr>
            <w:tcW w:w="2242" w:type="dxa"/>
            <w:tcBorders>
              <w:bottom w:val="single" w:sz="12" w:space="0" w:color="auto"/>
            </w:tcBorders>
          </w:tcPr>
          <w:p w14:paraId="70C45F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27/28 мот.</w:t>
            </w:r>
          </w:p>
        </w:tc>
        <w:tc>
          <w:tcPr>
            <w:tcW w:w="1552" w:type="dxa"/>
            <w:tcBorders>
              <w:bottom w:val="single" w:sz="12" w:space="0" w:color="auto"/>
            </w:tcBorders>
          </w:tcPr>
          <w:p w14:paraId="389808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209,2</w:t>
            </w:r>
          </w:p>
        </w:tc>
        <w:tc>
          <w:tcPr>
            <w:tcW w:w="1701" w:type="dxa"/>
            <w:tcBorders>
              <w:bottom w:val="single" w:sz="12" w:space="0" w:color="auto"/>
            </w:tcBorders>
          </w:tcPr>
          <w:p w14:paraId="3B892D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w:t>
            </w:r>
          </w:p>
        </w:tc>
        <w:tc>
          <w:tcPr>
            <w:tcW w:w="1701" w:type="dxa"/>
            <w:tcBorders>
              <w:bottom w:val="single" w:sz="12" w:space="0" w:color="auto"/>
            </w:tcBorders>
          </w:tcPr>
          <w:p w14:paraId="18A055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53,6</w:t>
            </w:r>
          </w:p>
        </w:tc>
        <w:tc>
          <w:tcPr>
            <w:tcW w:w="1701" w:type="dxa"/>
            <w:tcBorders>
              <w:bottom w:val="single" w:sz="12" w:space="0" w:color="auto"/>
            </w:tcBorders>
          </w:tcPr>
          <w:p w14:paraId="59FF3A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58,4</w:t>
            </w:r>
          </w:p>
        </w:tc>
        <w:tc>
          <w:tcPr>
            <w:tcW w:w="1701" w:type="dxa"/>
            <w:tcBorders>
              <w:bottom w:val="single" w:sz="12" w:space="0" w:color="auto"/>
            </w:tcBorders>
          </w:tcPr>
          <w:p w14:paraId="2F6781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58,4</w:t>
            </w:r>
          </w:p>
        </w:tc>
      </w:tr>
    </w:tbl>
    <w:p w14:paraId="03AD86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25/26 принят за 100%</w:t>
      </w:r>
    </w:p>
    <w:p w14:paraId="33110F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Означенный процент показан только по </w:t>
      </w:r>
      <w:proofErr w:type="spellStart"/>
      <w:r w:rsidRPr="00A259BD">
        <w:rPr>
          <w:rFonts w:ascii="Times New Roman" w:hAnsi="Times New Roman"/>
          <w:color w:val="000000" w:themeColor="text1"/>
          <w:sz w:val="16"/>
          <w:szCs w:val="16"/>
        </w:rPr>
        <w:t>устан</w:t>
      </w:r>
      <w:proofErr w:type="spellEnd"/>
      <w:r w:rsidRPr="00A259BD">
        <w:rPr>
          <w:rFonts w:ascii="Times New Roman" w:hAnsi="Times New Roman"/>
          <w:color w:val="000000" w:themeColor="text1"/>
          <w:sz w:val="16"/>
          <w:szCs w:val="16"/>
        </w:rPr>
        <w:t>. Типам без ремонта</w:t>
      </w:r>
    </w:p>
    <w:p w14:paraId="3081B2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Отсутствие повышения выпуска по моторам 26/27 г. объясняется повышением выпуска ремонтных моторов, которых в 26/27 г. было выпущено 292 шт., против 170 шт. в 25/26</w:t>
      </w:r>
    </w:p>
    <w:p w14:paraId="7AA247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(3770,19)</w:t>
      </w:r>
    </w:p>
    <w:p w14:paraId="3EA992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Таблица № 2</w:t>
      </w:r>
    </w:p>
    <w:p w14:paraId="0A581C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Техническая мощность авиазаводов на 1/Х - 28 в одну смену /по узким местам/</w:t>
      </w:r>
    </w:p>
    <w:p w14:paraId="714C7D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Темпо производства за 27/28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1165"/>
        <w:gridCol w:w="1165"/>
        <w:gridCol w:w="1165"/>
        <w:gridCol w:w="1165"/>
        <w:gridCol w:w="1165"/>
        <w:gridCol w:w="1165"/>
      </w:tblGrid>
      <w:tr w:rsidR="00A259BD" w:rsidRPr="00A259BD" w14:paraId="365DDB69" w14:textId="77777777">
        <w:tc>
          <w:tcPr>
            <w:tcW w:w="4219" w:type="dxa"/>
            <w:tcBorders>
              <w:top w:val="single" w:sz="12" w:space="0" w:color="auto"/>
            </w:tcBorders>
          </w:tcPr>
          <w:p w14:paraId="1E7B6D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Месяцы по порядку</w:t>
            </w:r>
          </w:p>
        </w:tc>
        <w:tc>
          <w:tcPr>
            <w:tcW w:w="1165" w:type="dxa"/>
            <w:tcBorders>
              <w:top w:val="single" w:sz="12" w:space="0" w:color="auto"/>
            </w:tcBorders>
          </w:tcPr>
          <w:p w14:paraId="0015C8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tc>
        <w:tc>
          <w:tcPr>
            <w:tcW w:w="1165" w:type="dxa"/>
            <w:tcBorders>
              <w:top w:val="single" w:sz="12" w:space="0" w:color="auto"/>
            </w:tcBorders>
          </w:tcPr>
          <w:p w14:paraId="5EAF38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tc>
        <w:tc>
          <w:tcPr>
            <w:tcW w:w="1165" w:type="dxa"/>
            <w:tcBorders>
              <w:top w:val="single" w:sz="12" w:space="0" w:color="auto"/>
            </w:tcBorders>
          </w:tcPr>
          <w:p w14:paraId="0329BB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w:t>
            </w:r>
          </w:p>
        </w:tc>
        <w:tc>
          <w:tcPr>
            <w:tcW w:w="1165" w:type="dxa"/>
            <w:tcBorders>
              <w:top w:val="single" w:sz="12" w:space="0" w:color="auto"/>
            </w:tcBorders>
          </w:tcPr>
          <w:p w14:paraId="731819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1165" w:type="dxa"/>
            <w:tcBorders>
              <w:top w:val="single" w:sz="12" w:space="0" w:color="auto"/>
            </w:tcBorders>
          </w:tcPr>
          <w:p w14:paraId="7E9ACB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w:t>
            </w:r>
          </w:p>
        </w:tc>
        <w:tc>
          <w:tcPr>
            <w:tcW w:w="1165" w:type="dxa"/>
            <w:tcBorders>
              <w:top w:val="single" w:sz="12" w:space="0" w:color="auto"/>
            </w:tcBorders>
          </w:tcPr>
          <w:p w14:paraId="136C21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w:t>
            </w:r>
          </w:p>
        </w:tc>
      </w:tr>
      <w:tr w:rsidR="00A259BD" w:rsidRPr="00A259BD" w14:paraId="6FECA974" w14:textId="77777777">
        <w:tc>
          <w:tcPr>
            <w:tcW w:w="4219" w:type="dxa"/>
            <w:tcBorders>
              <w:bottom w:val="single" w:sz="12" w:space="0" w:color="auto"/>
            </w:tcBorders>
          </w:tcPr>
          <w:p w14:paraId="49B716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выполнения от полной программы по </w:t>
            </w:r>
            <w:proofErr w:type="spellStart"/>
            <w:r w:rsidRPr="00A259BD">
              <w:rPr>
                <w:rFonts w:ascii="Times New Roman" w:hAnsi="Times New Roman"/>
                <w:color w:val="000000" w:themeColor="text1"/>
                <w:sz w:val="16"/>
                <w:szCs w:val="16"/>
              </w:rPr>
              <w:t>изготовл</w:t>
            </w:r>
            <w:proofErr w:type="spellEnd"/>
            <w:r w:rsidRPr="00A259BD">
              <w:rPr>
                <w:rFonts w:ascii="Times New Roman" w:hAnsi="Times New Roman"/>
                <w:color w:val="000000" w:themeColor="text1"/>
                <w:sz w:val="16"/>
                <w:szCs w:val="16"/>
              </w:rPr>
              <w:t>.</w:t>
            </w:r>
          </w:p>
        </w:tc>
        <w:tc>
          <w:tcPr>
            <w:tcW w:w="1165" w:type="dxa"/>
            <w:tcBorders>
              <w:bottom w:val="single" w:sz="12" w:space="0" w:color="auto"/>
            </w:tcBorders>
          </w:tcPr>
          <w:p w14:paraId="0FF921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165" w:type="dxa"/>
            <w:tcBorders>
              <w:bottom w:val="single" w:sz="12" w:space="0" w:color="auto"/>
            </w:tcBorders>
          </w:tcPr>
          <w:p w14:paraId="638349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tc>
        <w:tc>
          <w:tcPr>
            <w:tcW w:w="1165" w:type="dxa"/>
            <w:tcBorders>
              <w:bottom w:val="single" w:sz="12" w:space="0" w:color="auto"/>
            </w:tcBorders>
          </w:tcPr>
          <w:p w14:paraId="3E9B3E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tc>
        <w:tc>
          <w:tcPr>
            <w:tcW w:w="1165" w:type="dxa"/>
            <w:tcBorders>
              <w:bottom w:val="single" w:sz="12" w:space="0" w:color="auto"/>
            </w:tcBorders>
          </w:tcPr>
          <w:p w14:paraId="64BD92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1165" w:type="dxa"/>
            <w:tcBorders>
              <w:bottom w:val="single" w:sz="12" w:space="0" w:color="auto"/>
            </w:tcBorders>
          </w:tcPr>
          <w:p w14:paraId="57A762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c>
          <w:tcPr>
            <w:tcW w:w="1165" w:type="dxa"/>
            <w:tcBorders>
              <w:bottom w:val="single" w:sz="12" w:space="0" w:color="auto"/>
            </w:tcBorders>
          </w:tcPr>
          <w:p w14:paraId="4B8607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tc>
      </w:tr>
    </w:tbl>
    <w:p w14:paraId="652DCA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(3770,20)</w:t>
      </w:r>
    </w:p>
    <w:p w14:paraId="28C6A6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 1</w:t>
      </w:r>
    </w:p>
    <w:p w14:paraId="67FAA6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Пятилетний план развития самолетостроительных заводов</w:t>
      </w:r>
    </w:p>
    <w:p w14:paraId="15C0F9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Мощность заводов по предъявлению по годам при работе в одну смену и 2000 рабочих часов в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8"/>
        <w:gridCol w:w="408"/>
        <w:gridCol w:w="408"/>
        <w:gridCol w:w="408"/>
        <w:gridCol w:w="408"/>
        <w:gridCol w:w="228"/>
        <w:gridCol w:w="8"/>
        <w:gridCol w:w="422"/>
        <w:gridCol w:w="422"/>
        <w:gridCol w:w="282"/>
        <w:gridCol w:w="283"/>
        <w:gridCol w:w="284"/>
        <w:gridCol w:w="288"/>
        <w:gridCol w:w="421"/>
        <w:gridCol w:w="425"/>
        <w:gridCol w:w="283"/>
        <w:gridCol w:w="284"/>
        <w:gridCol w:w="426"/>
        <w:gridCol w:w="424"/>
      </w:tblGrid>
      <w:tr w:rsidR="00A259BD" w:rsidRPr="00A259BD" w14:paraId="78E93B47" w14:textId="77777777">
        <w:trPr>
          <w:cantSplit/>
        </w:trPr>
        <w:tc>
          <w:tcPr>
            <w:tcW w:w="624" w:type="dxa"/>
          </w:tcPr>
          <w:p w14:paraId="272E51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11" w:type="dxa"/>
            <w:gridSpan w:val="4"/>
          </w:tcPr>
          <w:p w14:paraId="36EBE4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1928/29 год</w:t>
            </w:r>
          </w:p>
        </w:tc>
        <w:tc>
          <w:tcPr>
            <w:tcW w:w="2126" w:type="dxa"/>
            <w:gridSpan w:val="5"/>
          </w:tcPr>
          <w:p w14:paraId="12A0C6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год</w:t>
            </w:r>
          </w:p>
        </w:tc>
        <w:tc>
          <w:tcPr>
            <w:tcW w:w="2268" w:type="dxa"/>
            <w:gridSpan w:val="6"/>
          </w:tcPr>
          <w:p w14:paraId="3CF715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 год</w:t>
            </w:r>
          </w:p>
        </w:tc>
        <w:tc>
          <w:tcPr>
            <w:tcW w:w="1989" w:type="dxa"/>
            <w:gridSpan w:val="7"/>
          </w:tcPr>
          <w:p w14:paraId="6DF3C7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 год</w:t>
            </w:r>
          </w:p>
        </w:tc>
        <w:tc>
          <w:tcPr>
            <w:tcW w:w="2263" w:type="dxa"/>
            <w:gridSpan w:val="6"/>
          </w:tcPr>
          <w:p w14:paraId="3C3FDC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год</w:t>
            </w:r>
          </w:p>
        </w:tc>
      </w:tr>
      <w:tr w:rsidR="00A259BD" w:rsidRPr="00A259BD" w14:paraId="0F7BDF9B" w14:textId="77777777">
        <w:trPr>
          <w:cantSplit/>
        </w:trPr>
        <w:tc>
          <w:tcPr>
            <w:tcW w:w="624" w:type="dxa"/>
          </w:tcPr>
          <w:p w14:paraId="269416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11" w:type="dxa"/>
            <w:gridSpan w:val="4"/>
          </w:tcPr>
          <w:p w14:paraId="1A252C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2126" w:type="dxa"/>
            <w:gridSpan w:val="5"/>
          </w:tcPr>
          <w:p w14:paraId="1F3843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2268" w:type="dxa"/>
            <w:gridSpan w:val="6"/>
          </w:tcPr>
          <w:p w14:paraId="4C741F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989" w:type="dxa"/>
            <w:gridSpan w:val="7"/>
          </w:tcPr>
          <w:p w14:paraId="1DD937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2263" w:type="dxa"/>
            <w:gridSpan w:val="6"/>
          </w:tcPr>
          <w:p w14:paraId="3125BA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r>
      <w:tr w:rsidR="00A259BD" w:rsidRPr="00A259BD" w14:paraId="1FBB9E3D" w14:textId="77777777">
        <w:trPr>
          <w:cantSplit/>
        </w:trPr>
        <w:tc>
          <w:tcPr>
            <w:tcW w:w="624" w:type="dxa"/>
          </w:tcPr>
          <w:p w14:paraId="1E3DF9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35" w:type="dxa"/>
          </w:tcPr>
          <w:p w14:paraId="4A92D1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425" w:type="dxa"/>
          </w:tcPr>
          <w:p w14:paraId="7D8D27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425" w:type="dxa"/>
          </w:tcPr>
          <w:p w14:paraId="2B26AE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426" w:type="dxa"/>
          </w:tcPr>
          <w:p w14:paraId="0606AA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w:t>
            </w:r>
          </w:p>
        </w:tc>
        <w:tc>
          <w:tcPr>
            <w:tcW w:w="425" w:type="dxa"/>
          </w:tcPr>
          <w:p w14:paraId="48B506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425" w:type="dxa"/>
          </w:tcPr>
          <w:p w14:paraId="63BA41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425" w:type="dxa"/>
          </w:tcPr>
          <w:p w14:paraId="7B6696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426" w:type="dxa"/>
          </w:tcPr>
          <w:p w14:paraId="29A9CE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w:t>
            </w:r>
          </w:p>
        </w:tc>
        <w:tc>
          <w:tcPr>
            <w:tcW w:w="425" w:type="dxa"/>
          </w:tcPr>
          <w:p w14:paraId="7264D2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w:t>
            </w:r>
          </w:p>
        </w:tc>
        <w:tc>
          <w:tcPr>
            <w:tcW w:w="408" w:type="dxa"/>
          </w:tcPr>
          <w:p w14:paraId="20FBDB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408" w:type="dxa"/>
          </w:tcPr>
          <w:p w14:paraId="791375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408" w:type="dxa"/>
          </w:tcPr>
          <w:p w14:paraId="7A8DE0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408" w:type="dxa"/>
          </w:tcPr>
          <w:p w14:paraId="2FF89D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w:t>
            </w:r>
          </w:p>
        </w:tc>
        <w:tc>
          <w:tcPr>
            <w:tcW w:w="408" w:type="dxa"/>
          </w:tcPr>
          <w:p w14:paraId="6FAE1E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w:t>
            </w:r>
          </w:p>
        </w:tc>
        <w:tc>
          <w:tcPr>
            <w:tcW w:w="236" w:type="dxa"/>
            <w:gridSpan w:val="2"/>
          </w:tcPr>
          <w:p w14:paraId="05D0C9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w:t>
            </w:r>
          </w:p>
        </w:tc>
        <w:tc>
          <w:tcPr>
            <w:tcW w:w="422" w:type="dxa"/>
          </w:tcPr>
          <w:p w14:paraId="35C698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422" w:type="dxa"/>
          </w:tcPr>
          <w:p w14:paraId="1EE12C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282" w:type="dxa"/>
          </w:tcPr>
          <w:p w14:paraId="3F6B27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283" w:type="dxa"/>
          </w:tcPr>
          <w:p w14:paraId="0CDF14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w:t>
            </w:r>
          </w:p>
        </w:tc>
        <w:tc>
          <w:tcPr>
            <w:tcW w:w="284" w:type="dxa"/>
          </w:tcPr>
          <w:p w14:paraId="652D28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w:t>
            </w:r>
          </w:p>
        </w:tc>
        <w:tc>
          <w:tcPr>
            <w:tcW w:w="288" w:type="dxa"/>
          </w:tcPr>
          <w:p w14:paraId="106B39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w:t>
            </w:r>
          </w:p>
        </w:tc>
        <w:tc>
          <w:tcPr>
            <w:tcW w:w="421" w:type="dxa"/>
          </w:tcPr>
          <w:p w14:paraId="7C8197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425" w:type="dxa"/>
          </w:tcPr>
          <w:p w14:paraId="12A8D3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283" w:type="dxa"/>
          </w:tcPr>
          <w:p w14:paraId="71D750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284" w:type="dxa"/>
          </w:tcPr>
          <w:p w14:paraId="6C36BA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w:t>
            </w:r>
          </w:p>
        </w:tc>
        <w:tc>
          <w:tcPr>
            <w:tcW w:w="426" w:type="dxa"/>
          </w:tcPr>
          <w:p w14:paraId="0A9D8F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w:t>
            </w:r>
          </w:p>
        </w:tc>
        <w:tc>
          <w:tcPr>
            <w:tcW w:w="424" w:type="dxa"/>
          </w:tcPr>
          <w:p w14:paraId="598D60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w:t>
            </w:r>
          </w:p>
        </w:tc>
      </w:tr>
    </w:tbl>
    <w:p w14:paraId="7BB243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Разведчики сухопутные и легкие бомбардировщики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19"/>
        <w:gridCol w:w="418"/>
        <w:gridCol w:w="439"/>
        <w:gridCol w:w="425"/>
        <w:gridCol w:w="408"/>
        <w:gridCol w:w="408"/>
        <w:gridCol w:w="408"/>
        <w:gridCol w:w="408"/>
        <w:gridCol w:w="236"/>
        <w:gridCol w:w="422"/>
        <w:gridCol w:w="422"/>
        <w:gridCol w:w="265"/>
        <w:gridCol w:w="283"/>
        <w:gridCol w:w="284"/>
        <w:gridCol w:w="286"/>
        <w:gridCol w:w="423"/>
        <w:gridCol w:w="425"/>
        <w:gridCol w:w="283"/>
        <w:gridCol w:w="284"/>
        <w:gridCol w:w="425"/>
        <w:gridCol w:w="425"/>
      </w:tblGrid>
      <w:tr w:rsidR="00A259BD" w:rsidRPr="00A259BD" w14:paraId="58D6C7A5" w14:textId="77777777">
        <w:trPr>
          <w:cantSplit/>
        </w:trPr>
        <w:tc>
          <w:tcPr>
            <w:tcW w:w="624" w:type="dxa"/>
          </w:tcPr>
          <w:p w14:paraId="00C81E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Р1 М5</w:t>
            </w:r>
          </w:p>
        </w:tc>
        <w:tc>
          <w:tcPr>
            <w:tcW w:w="335" w:type="dxa"/>
          </w:tcPr>
          <w:p w14:paraId="183FE4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270</w:t>
            </w:r>
          </w:p>
        </w:tc>
        <w:tc>
          <w:tcPr>
            <w:tcW w:w="425" w:type="dxa"/>
          </w:tcPr>
          <w:p w14:paraId="6637F6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C0382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DB54C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tc>
        <w:tc>
          <w:tcPr>
            <w:tcW w:w="425" w:type="dxa"/>
          </w:tcPr>
          <w:p w14:paraId="2F37F6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101D1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9" w:type="dxa"/>
          </w:tcPr>
          <w:p w14:paraId="0DC4A8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4C7144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c>
          <w:tcPr>
            <w:tcW w:w="439" w:type="dxa"/>
          </w:tcPr>
          <w:p w14:paraId="3050AF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26A0D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5995E5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668620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429BB1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69EE40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741CF5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1614CF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375B33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5" w:type="dxa"/>
          </w:tcPr>
          <w:p w14:paraId="40D0C1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3AB84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609C4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6" w:type="dxa"/>
          </w:tcPr>
          <w:p w14:paraId="3FB43A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04107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9CD17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C06B0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7BA1C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9D93F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E5689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E2B62FB" w14:textId="77777777">
        <w:trPr>
          <w:cantSplit/>
        </w:trPr>
        <w:tc>
          <w:tcPr>
            <w:tcW w:w="624" w:type="dxa"/>
          </w:tcPr>
          <w:p w14:paraId="42B5E2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Р1 М17</w:t>
            </w:r>
          </w:p>
        </w:tc>
        <w:tc>
          <w:tcPr>
            <w:tcW w:w="335" w:type="dxa"/>
          </w:tcPr>
          <w:p w14:paraId="56AEEA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425" w:type="dxa"/>
          </w:tcPr>
          <w:p w14:paraId="0F6C53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9BC9E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416AC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4D994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c>
          <w:tcPr>
            <w:tcW w:w="425" w:type="dxa"/>
          </w:tcPr>
          <w:p w14:paraId="3A1150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9" w:type="dxa"/>
          </w:tcPr>
          <w:p w14:paraId="454CE4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31E41F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9" w:type="dxa"/>
          </w:tcPr>
          <w:p w14:paraId="179201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425" w:type="dxa"/>
          </w:tcPr>
          <w:p w14:paraId="5746CF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350</w:t>
            </w:r>
          </w:p>
        </w:tc>
        <w:tc>
          <w:tcPr>
            <w:tcW w:w="408" w:type="dxa"/>
          </w:tcPr>
          <w:p w14:paraId="528558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609622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AB29C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313997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w:t>
            </w:r>
          </w:p>
        </w:tc>
        <w:tc>
          <w:tcPr>
            <w:tcW w:w="236" w:type="dxa"/>
          </w:tcPr>
          <w:p w14:paraId="097B4D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5A483A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480</w:t>
            </w:r>
          </w:p>
        </w:tc>
        <w:tc>
          <w:tcPr>
            <w:tcW w:w="422" w:type="dxa"/>
          </w:tcPr>
          <w:p w14:paraId="1FFA0D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5" w:type="dxa"/>
          </w:tcPr>
          <w:p w14:paraId="56D5AA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DF1A3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A2AC8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tc>
        <w:tc>
          <w:tcPr>
            <w:tcW w:w="286" w:type="dxa"/>
          </w:tcPr>
          <w:p w14:paraId="765194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32B204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w:t>
            </w:r>
          </w:p>
        </w:tc>
        <w:tc>
          <w:tcPr>
            <w:tcW w:w="425" w:type="dxa"/>
          </w:tcPr>
          <w:p w14:paraId="72603F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16A7E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D75F2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0D31D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430</w:t>
            </w:r>
          </w:p>
        </w:tc>
        <w:tc>
          <w:tcPr>
            <w:tcW w:w="425" w:type="dxa"/>
          </w:tcPr>
          <w:p w14:paraId="4E278B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E2BD782" w14:textId="77777777">
        <w:trPr>
          <w:cantSplit/>
        </w:trPr>
        <w:tc>
          <w:tcPr>
            <w:tcW w:w="624" w:type="dxa"/>
          </w:tcPr>
          <w:p w14:paraId="41812E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Р6 2М17</w:t>
            </w:r>
          </w:p>
        </w:tc>
        <w:tc>
          <w:tcPr>
            <w:tcW w:w="335" w:type="dxa"/>
          </w:tcPr>
          <w:p w14:paraId="13EC11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2688F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049A1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3BA9C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902E1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E8E8F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419" w:type="dxa"/>
          </w:tcPr>
          <w:p w14:paraId="6E1697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73B9E7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9" w:type="dxa"/>
          </w:tcPr>
          <w:p w14:paraId="3DE02D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C3649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29B150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w:t>
            </w:r>
          </w:p>
        </w:tc>
        <w:tc>
          <w:tcPr>
            <w:tcW w:w="408" w:type="dxa"/>
          </w:tcPr>
          <w:p w14:paraId="125C30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5B793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1EAE3E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DB38B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0BFCEA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00CB60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w:t>
            </w:r>
          </w:p>
        </w:tc>
        <w:tc>
          <w:tcPr>
            <w:tcW w:w="265" w:type="dxa"/>
          </w:tcPr>
          <w:p w14:paraId="1546BE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6026A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5B9BF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6" w:type="dxa"/>
          </w:tcPr>
          <w:p w14:paraId="31E57F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C619A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7812A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w:t>
            </w:r>
          </w:p>
        </w:tc>
        <w:tc>
          <w:tcPr>
            <w:tcW w:w="283" w:type="dxa"/>
          </w:tcPr>
          <w:p w14:paraId="11559B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C49C0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46836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D0FB1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9AE6F31" w14:textId="77777777">
        <w:trPr>
          <w:cantSplit/>
        </w:trPr>
        <w:tc>
          <w:tcPr>
            <w:tcW w:w="624" w:type="dxa"/>
          </w:tcPr>
          <w:p w14:paraId="12F74A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Р3-ЛД /М17/</w:t>
            </w:r>
          </w:p>
        </w:tc>
        <w:tc>
          <w:tcPr>
            <w:tcW w:w="335" w:type="dxa"/>
          </w:tcPr>
          <w:p w14:paraId="33E76F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0A034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tc>
        <w:tc>
          <w:tcPr>
            <w:tcW w:w="425" w:type="dxa"/>
          </w:tcPr>
          <w:p w14:paraId="2D087D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9C4CA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8F34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9F0BB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w:t>
            </w:r>
          </w:p>
        </w:tc>
        <w:tc>
          <w:tcPr>
            <w:tcW w:w="419" w:type="dxa"/>
          </w:tcPr>
          <w:p w14:paraId="73657F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17DE47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9" w:type="dxa"/>
          </w:tcPr>
          <w:p w14:paraId="455EC9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05390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00D963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2EC5F3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B2C93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8184D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5752D5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1FE127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1BADFB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5" w:type="dxa"/>
          </w:tcPr>
          <w:p w14:paraId="7CA8B6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F79E8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2E7FD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6" w:type="dxa"/>
          </w:tcPr>
          <w:p w14:paraId="08EB16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3DDC69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BD7A5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B0440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5D2651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21F14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D53FA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161</w:t>
            </w:r>
          </w:p>
        </w:tc>
      </w:tr>
    </w:tbl>
    <w:p w14:paraId="73EC8A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Боевики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A259BD" w14:paraId="79C631E9" w14:textId="77777777">
        <w:trPr>
          <w:cantSplit/>
        </w:trPr>
        <w:tc>
          <w:tcPr>
            <w:tcW w:w="624" w:type="dxa"/>
          </w:tcPr>
          <w:p w14:paraId="54784F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Р3-ЛД /М17/</w:t>
            </w:r>
          </w:p>
        </w:tc>
        <w:tc>
          <w:tcPr>
            <w:tcW w:w="335" w:type="dxa"/>
          </w:tcPr>
          <w:p w14:paraId="269F8D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21441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E13FA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F8EA2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DFCF6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C7AD3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02B1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55F14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BA505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4E103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746AA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CFE71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84400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3C3B8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368D2A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423" w:type="dxa"/>
          </w:tcPr>
          <w:p w14:paraId="60A86D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387E99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6BC54C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B1859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03268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8ED28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426" w:type="dxa"/>
          </w:tcPr>
          <w:p w14:paraId="6D4A82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E6FB8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F0713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D7A29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2992C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94C93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143</w:t>
            </w:r>
          </w:p>
        </w:tc>
      </w:tr>
    </w:tbl>
    <w:p w14:paraId="4375AA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Истребители сухопутные и 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A259BD" w14:paraId="3B43BB7D" w14:textId="77777777">
        <w:trPr>
          <w:cantSplit/>
        </w:trPr>
        <w:tc>
          <w:tcPr>
            <w:tcW w:w="624" w:type="dxa"/>
          </w:tcPr>
          <w:p w14:paraId="1423C8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И2 бис М5</w:t>
            </w:r>
          </w:p>
        </w:tc>
        <w:tc>
          <w:tcPr>
            <w:tcW w:w="335" w:type="dxa"/>
          </w:tcPr>
          <w:p w14:paraId="3BC1B8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tc>
        <w:tc>
          <w:tcPr>
            <w:tcW w:w="425" w:type="dxa"/>
          </w:tcPr>
          <w:p w14:paraId="11CB87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8147C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w:t>
            </w:r>
          </w:p>
        </w:tc>
        <w:tc>
          <w:tcPr>
            <w:tcW w:w="426" w:type="dxa"/>
          </w:tcPr>
          <w:p w14:paraId="54F0C8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43FF1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41D03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82265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A942A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12CD5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0119A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E5529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42272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88776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FD20D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085494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FE0D3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5F2B66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1F08FB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6B26D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61249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69240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3BC68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DEFED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488469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AD92B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85B8F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B93AC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DF21C92" w14:textId="77777777">
        <w:trPr>
          <w:cantSplit/>
        </w:trPr>
        <w:tc>
          <w:tcPr>
            <w:tcW w:w="624" w:type="dxa"/>
          </w:tcPr>
          <w:p w14:paraId="307C72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И3 М17</w:t>
            </w:r>
          </w:p>
        </w:tc>
        <w:tc>
          <w:tcPr>
            <w:tcW w:w="335" w:type="dxa"/>
          </w:tcPr>
          <w:p w14:paraId="3146DB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w:t>
            </w:r>
          </w:p>
        </w:tc>
        <w:tc>
          <w:tcPr>
            <w:tcW w:w="425" w:type="dxa"/>
          </w:tcPr>
          <w:p w14:paraId="06586E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9A031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18C53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F61F9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350</w:t>
            </w:r>
          </w:p>
        </w:tc>
        <w:tc>
          <w:tcPr>
            <w:tcW w:w="425" w:type="dxa"/>
          </w:tcPr>
          <w:p w14:paraId="4CA38E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99309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8E8FE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D6C34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B1B94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tc>
        <w:tc>
          <w:tcPr>
            <w:tcW w:w="409" w:type="dxa"/>
          </w:tcPr>
          <w:p w14:paraId="2C224B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AAB7B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F9CA3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73090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3D221A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07230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w:t>
            </w:r>
          </w:p>
        </w:tc>
        <w:tc>
          <w:tcPr>
            <w:tcW w:w="423" w:type="dxa"/>
          </w:tcPr>
          <w:p w14:paraId="17CA00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3B8E9D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945EB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A5BC1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D19BA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F217D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238</w:t>
            </w:r>
          </w:p>
        </w:tc>
        <w:tc>
          <w:tcPr>
            <w:tcW w:w="425" w:type="dxa"/>
          </w:tcPr>
          <w:p w14:paraId="12E9EE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36239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5A3DA8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A76FD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1DBF2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23D9519" w14:textId="77777777">
        <w:trPr>
          <w:cantSplit/>
        </w:trPr>
        <w:tc>
          <w:tcPr>
            <w:tcW w:w="624" w:type="dxa"/>
          </w:tcPr>
          <w:p w14:paraId="0C3ED6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Д2 М17</w:t>
            </w:r>
          </w:p>
        </w:tc>
        <w:tc>
          <w:tcPr>
            <w:tcW w:w="335" w:type="dxa"/>
          </w:tcPr>
          <w:p w14:paraId="61ADF4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97B1C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30CF8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3B88F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A64EA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425" w:type="dxa"/>
          </w:tcPr>
          <w:p w14:paraId="7C74C1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64097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71188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C016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23534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tc>
        <w:tc>
          <w:tcPr>
            <w:tcW w:w="409" w:type="dxa"/>
          </w:tcPr>
          <w:p w14:paraId="2E2D70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04ED8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BDD0B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A063C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C5152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6E8C3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162</w:t>
            </w:r>
          </w:p>
        </w:tc>
        <w:tc>
          <w:tcPr>
            <w:tcW w:w="423" w:type="dxa"/>
          </w:tcPr>
          <w:p w14:paraId="5A9EAD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1476C7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BE2DC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936A3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03C28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EF4ED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162</w:t>
            </w:r>
          </w:p>
        </w:tc>
        <w:tc>
          <w:tcPr>
            <w:tcW w:w="425" w:type="dxa"/>
          </w:tcPr>
          <w:p w14:paraId="354FC7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0A8D2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7A938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1F628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B80AB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775B25B" w14:textId="77777777">
        <w:trPr>
          <w:cantSplit/>
        </w:trPr>
        <w:tc>
          <w:tcPr>
            <w:tcW w:w="624" w:type="dxa"/>
          </w:tcPr>
          <w:p w14:paraId="2F8D96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И6 ЮП</w:t>
            </w:r>
          </w:p>
        </w:tc>
        <w:tc>
          <w:tcPr>
            <w:tcW w:w="335" w:type="dxa"/>
          </w:tcPr>
          <w:p w14:paraId="65CFE1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312B2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69BD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68847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53042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776FA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A82B4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35804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2AE29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409" w:type="dxa"/>
          </w:tcPr>
          <w:p w14:paraId="5E7644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A1CBF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BFB92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D2F59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C7AA4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236" w:type="dxa"/>
          </w:tcPr>
          <w:p w14:paraId="6817AC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F401A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934A0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4300C2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F41E4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DF327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tc>
        <w:tc>
          <w:tcPr>
            <w:tcW w:w="283" w:type="dxa"/>
          </w:tcPr>
          <w:p w14:paraId="244009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7AA51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BFE31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1B406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27569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D5EE4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419</w:t>
            </w:r>
          </w:p>
        </w:tc>
        <w:tc>
          <w:tcPr>
            <w:tcW w:w="425" w:type="dxa"/>
          </w:tcPr>
          <w:p w14:paraId="2C709E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777623D" w14:textId="77777777">
        <w:trPr>
          <w:cantSplit/>
        </w:trPr>
        <w:tc>
          <w:tcPr>
            <w:tcW w:w="624" w:type="dxa"/>
          </w:tcPr>
          <w:p w14:paraId="79484A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МИ3 М17</w:t>
            </w:r>
          </w:p>
        </w:tc>
        <w:tc>
          <w:tcPr>
            <w:tcW w:w="335" w:type="dxa"/>
          </w:tcPr>
          <w:p w14:paraId="656719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F497D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152B8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D8776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0EAF4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0BDA4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65408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0E214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C442F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EF12B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52B9C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51C69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DF8AE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85352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236" w:type="dxa"/>
          </w:tcPr>
          <w:p w14:paraId="1F96EF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C69B8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EC688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216E0A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594F5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E8856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81</w:t>
            </w:r>
          </w:p>
        </w:tc>
        <w:tc>
          <w:tcPr>
            <w:tcW w:w="283" w:type="dxa"/>
          </w:tcPr>
          <w:p w14:paraId="1F6186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B7C5C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CF977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97412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4E4C4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7629F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81</w:t>
            </w:r>
          </w:p>
        </w:tc>
        <w:tc>
          <w:tcPr>
            <w:tcW w:w="425" w:type="dxa"/>
          </w:tcPr>
          <w:p w14:paraId="2D89B8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E7DF55F" w14:textId="77777777">
        <w:trPr>
          <w:cantSplit/>
        </w:trPr>
        <w:tc>
          <w:tcPr>
            <w:tcW w:w="624" w:type="dxa"/>
          </w:tcPr>
          <w:p w14:paraId="5A0074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И4 ЮП</w:t>
            </w:r>
          </w:p>
        </w:tc>
        <w:tc>
          <w:tcPr>
            <w:tcW w:w="335" w:type="dxa"/>
          </w:tcPr>
          <w:p w14:paraId="5E92C6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FCA50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w:t>
            </w:r>
          </w:p>
        </w:tc>
        <w:tc>
          <w:tcPr>
            <w:tcW w:w="425" w:type="dxa"/>
          </w:tcPr>
          <w:p w14:paraId="4F6D94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9EEAE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4965C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7297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w:t>
            </w:r>
          </w:p>
        </w:tc>
        <w:tc>
          <w:tcPr>
            <w:tcW w:w="425" w:type="dxa"/>
          </w:tcPr>
          <w:p w14:paraId="323C85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6D643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4D6BE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D4AEB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E4B22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110</w:t>
            </w:r>
          </w:p>
        </w:tc>
        <w:tc>
          <w:tcPr>
            <w:tcW w:w="409" w:type="dxa"/>
          </w:tcPr>
          <w:p w14:paraId="53886B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37E4E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FA39E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31281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80A05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38AF7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140</w:t>
            </w:r>
          </w:p>
        </w:tc>
        <w:tc>
          <w:tcPr>
            <w:tcW w:w="275" w:type="dxa"/>
          </w:tcPr>
          <w:p w14:paraId="455732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D427A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A6100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64D82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6A34D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1DE3E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158</w:t>
            </w:r>
          </w:p>
        </w:tc>
        <w:tc>
          <w:tcPr>
            <w:tcW w:w="283" w:type="dxa"/>
          </w:tcPr>
          <w:p w14:paraId="56097C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4FDC4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67700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E6E09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513B28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Тяжелые бомбардировщики 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A259BD" w14:paraId="3025984F" w14:textId="77777777">
        <w:trPr>
          <w:cantSplit/>
        </w:trPr>
        <w:tc>
          <w:tcPr>
            <w:tcW w:w="624" w:type="dxa"/>
          </w:tcPr>
          <w:p w14:paraId="65854C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ТБ1 2М17</w:t>
            </w:r>
          </w:p>
        </w:tc>
        <w:tc>
          <w:tcPr>
            <w:tcW w:w="335" w:type="dxa"/>
          </w:tcPr>
          <w:p w14:paraId="45C6CF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71FCE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w:t>
            </w:r>
          </w:p>
        </w:tc>
        <w:tc>
          <w:tcPr>
            <w:tcW w:w="425" w:type="dxa"/>
          </w:tcPr>
          <w:p w14:paraId="1A35B6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9A9BC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FA7F2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91AF0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tc>
        <w:tc>
          <w:tcPr>
            <w:tcW w:w="425" w:type="dxa"/>
          </w:tcPr>
          <w:p w14:paraId="698192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ADF86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C3523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D8E4B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6E85E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tc>
        <w:tc>
          <w:tcPr>
            <w:tcW w:w="409" w:type="dxa"/>
          </w:tcPr>
          <w:p w14:paraId="2B741B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04874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6B0D5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8FD98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423" w:type="dxa"/>
          </w:tcPr>
          <w:p w14:paraId="53C01B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BFAF7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tc>
        <w:tc>
          <w:tcPr>
            <w:tcW w:w="275" w:type="dxa"/>
          </w:tcPr>
          <w:p w14:paraId="36037A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E78C6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A5D47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79B41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tc>
        <w:tc>
          <w:tcPr>
            <w:tcW w:w="426" w:type="dxa"/>
          </w:tcPr>
          <w:p w14:paraId="0A2DBA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74A2E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tc>
        <w:tc>
          <w:tcPr>
            <w:tcW w:w="283" w:type="dxa"/>
          </w:tcPr>
          <w:p w14:paraId="13E891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5C1ABB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89100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DD85A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w:t>
            </w:r>
          </w:p>
        </w:tc>
      </w:tr>
      <w:tr w:rsidR="00A259BD" w:rsidRPr="00A259BD" w14:paraId="1F4F5C18" w14:textId="77777777">
        <w:trPr>
          <w:cantSplit/>
        </w:trPr>
        <w:tc>
          <w:tcPr>
            <w:tcW w:w="624" w:type="dxa"/>
          </w:tcPr>
          <w:p w14:paraId="2D50D0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ТБ2 2М17</w:t>
            </w:r>
          </w:p>
        </w:tc>
        <w:tc>
          <w:tcPr>
            <w:tcW w:w="335" w:type="dxa"/>
          </w:tcPr>
          <w:p w14:paraId="105B11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0B43C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D7B05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3839F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B9AAF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85CAB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63AD6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A37EE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425" w:type="dxa"/>
          </w:tcPr>
          <w:p w14:paraId="0EC61A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0E794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F3056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C7D51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E9B54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tc>
        <w:tc>
          <w:tcPr>
            <w:tcW w:w="409" w:type="dxa"/>
          </w:tcPr>
          <w:p w14:paraId="47FB6D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3922F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A43CD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62F0C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160BE1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0D221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tc>
        <w:tc>
          <w:tcPr>
            <w:tcW w:w="284" w:type="dxa"/>
          </w:tcPr>
          <w:p w14:paraId="78508E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458AB4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54C2F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6B529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F0843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B096C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w:t>
            </w:r>
          </w:p>
        </w:tc>
        <w:tc>
          <w:tcPr>
            <w:tcW w:w="425" w:type="dxa"/>
          </w:tcPr>
          <w:p w14:paraId="238AF0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45A8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428CCC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Торпедоносец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A259BD" w14:paraId="33CE0AB7" w14:textId="77777777">
        <w:trPr>
          <w:cantSplit/>
        </w:trPr>
        <w:tc>
          <w:tcPr>
            <w:tcW w:w="624" w:type="dxa"/>
          </w:tcPr>
          <w:p w14:paraId="2E8865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ТОМ 2М17</w:t>
            </w:r>
          </w:p>
        </w:tc>
        <w:tc>
          <w:tcPr>
            <w:tcW w:w="335" w:type="dxa"/>
          </w:tcPr>
          <w:p w14:paraId="41995A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33A2B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9951B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85781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0018E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6CB6B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4F443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9CDD0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425" w:type="dxa"/>
          </w:tcPr>
          <w:p w14:paraId="07D6D4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78FBA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002CF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6CDB4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C978A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tc>
        <w:tc>
          <w:tcPr>
            <w:tcW w:w="409" w:type="dxa"/>
          </w:tcPr>
          <w:p w14:paraId="3CA1E2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9726E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60B9A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629F2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325762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D7819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tc>
        <w:tc>
          <w:tcPr>
            <w:tcW w:w="284" w:type="dxa"/>
          </w:tcPr>
          <w:p w14:paraId="636858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50AE2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DA31E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5DFCD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5EAA6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60B14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w:t>
            </w:r>
          </w:p>
        </w:tc>
        <w:tc>
          <w:tcPr>
            <w:tcW w:w="425" w:type="dxa"/>
          </w:tcPr>
          <w:p w14:paraId="620B03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B8260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027DF0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Разведчики морские ближние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A259BD" w14:paraId="1B585762" w14:textId="77777777">
        <w:trPr>
          <w:cantSplit/>
        </w:trPr>
        <w:tc>
          <w:tcPr>
            <w:tcW w:w="624" w:type="dxa"/>
          </w:tcPr>
          <w:p w14:paraId="347CD5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МР5 М17</w:t>
            </w:r>
          </w:p>
        </w:tc>
        <w:tc>
          <w:tcPr>
            <w:tcW w:w="335" w:type="dxa"/>
          </w:tcPr>
          <w:p w14:paraId="34172B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7EAC2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4254B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5D977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2C656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E0197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E2CDE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A6DD6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425" w:type="dxa"/>
          </w:tcPr>
          <w:p w14:paraId="12BFDC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574BF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AEB75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5FDBA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1E28E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w:t>
            </w:r>
          </w:p>
        </w:tc>
        <w:tc>
          <w:tcPr>
            <w:tcW w:w="409" w:type="dxa"/>
          </w:tcPr>
          <w:p w14:paraId="5B77DD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070D7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3FC49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0AD85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3BF6E9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A6B93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95</w:t>
            </w:r>
          </w:p>
        </w:tc>
        <w:tc>
          <w:tcPr>
            <w:tcW w:w="284" w:type="dxa"/>
          </w:tcPr>
          <w:p w14:paraId="5C0693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34DF0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004BE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114C1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4551D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5066D7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95</w:t>
            </w:r>
          </w:p>
        </w:tc>
        <w:tc>
          <w:tcPr>
            <w:tcW w:w="425" w:type="dxa"/>
          </w:tcPr>
          <w:p w14:paraId="1476DE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3B91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271CFA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Разведчики морские дальние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A259BD" w14:paraId="3CF143F3" w14:textId="77777777">
        <w:trPr>
          <w:cantSplit/>
        </w:trPr>
        <w:tc>
          <w:tcPr>
            <w:tcW w:w="624" w:type="dxa"/>
          </w:tcPr>
          <w:p w14:paraId="1DC7DC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 2М17</w:t>
            </w:r>
          </w:p>
        </w:tc>
        <w:tc>
          <w:tcPr>
            <w:tcW w:w="335" w:type="dxa"/>
          </w:tcPr>
          <w:p w14:paraId="1771C7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30368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4D316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101D7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EC1A8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65A96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C5B20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F03B4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c>
          <w:tcPr>
            <w:tcW w:w="425" w:type="dxa"/>
          </w:tcPr>
          <w:p w14:paraId="7C3CC5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25FE8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456F9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7BB9E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3B2BB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tc>
        <w:tc>
          <w:tcPr>
            <w:tcW w:w="409" w:type="dxa"/>
          </w:tcPr>
          <w:p w14:paraId="7AD08E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DFC31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3EF71C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90D71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03CA35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F77D0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tc>
        <w:tc>
          <w:tcPr>
            <w:tcW w:w="284" w:type="dxa"/>
          </w:tcPr>
          <w:p w14:paraId="32942E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9DA5F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985B3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9567C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5FF7F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5DB4F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w:t>
            </w:r>
          </w:p>
        </w:tc>
        <w:tc>
          <w:tcPr>
            <w:tcW w:w="425" w:type="dxa"/>
          </w:tcPr>
          <w:p w14:paraId="297F5E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5B05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0EC884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Учебные 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A259BD" w14:paraId="051F136C" w14:textId="77777777">
        <w:trPr>
          <w:cantSplit/>
        </w:trPr>
        <w:tc>
          <w:tcPr>
            <w:tcW w:w="624" w:type="dxa"/>
          </w:tcPr>
          <w:p w14:paraId="3D9266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У2 М12 (У1 М2)</w:t>
            </w:r>
          </w:p>
        </w:tc>
        <w:tc>
          <w:tcPr>
            <w:tcW w:w="335" w:type="dxa"/>
          </w:tcPr>
          <w:p w14:paraId="3472FC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A4766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026CA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w:t>
            </w:r>
          </w:p>
        </w:tc>
        <w:tc>
          <w:tcPr>
            <w:tcW w:w="426" w:type="dxa"/>
          </w:tcPr>
          <w:p w14:paraId="4B24EC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2A29F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3D4D7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4971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w:t>
            </w:r>
          </w:p>
        </w:tc>
        <w:tc>
          <w:tcPr>
            <w:tcW w:w="426" w:type="dxa"/>
          </w:tcPr>
          <w:p w14:paraId="078677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98BD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AA2BC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01A64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F8A19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w:t>
            </w:r>
          </w:p>
        </w:tc>
        <w:tc>
          <w:tcPr>
            <w:tcW w:w="409" w:type="dxa"/>
          </w:tcPr>
          <w:p w14:paraId="300DE1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F931B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698CC4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584CF2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1B0270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47A5B7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w:t>
            </w:r>
          </w:p>
        </w:tc>
        <w:tc>
          <w:tcPr>
            <w:tcW w:w="283" w:type="dxa"/>
          </w:tcPr>
          <w:p w14:paraId="3B8466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16A8E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4FE839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AFF68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35D06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2CBA6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w:t>
            </w:r>
          </w:p>
        </w:tc>
        <w:tc>
          <w:tcPr>
            <w:tcW w:w="284" w:type="dxa"/>
          </w:tcPr>
          <w:p w14:paraId="49C0BF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26DEA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D1CF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1438D6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Учебные 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A259BD" w14:paraId="264B9B16" w14:textId="77777777">
        <w:trPr>
          <w:cantSplit/>
        </w:trPr>
        <w:tc>
          <w:tcPr>
            <w:tcW w:w="624" w:type="dxa"/>
          </w:tcPr>
          <w:p w14:paraId="637967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МУ2-М12 (МУ1 М2)</w:t>
            </w:r>
          </w:p>
        </w:tc>
        <w:tc>
          <w:tcPr>
            <w:tcW w:w="335" w:type="dxa"/>
          </w:tcPr>
          <w:p w14:paraId="43828A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2110D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34406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tc>
        <w:tc>
          <w:tcPr>
            <w:tcW w:w="426" w:type="dxa"/>
          </w:tcPr>
          <w:p w14:paraId="43AD7A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1308B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E64CF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C8A48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tc>
        <w:tc>
          <w:tcPr>
            <w:tcW w:w="426" w:type="dxa"/>
          </w:tcPr>
          <w:p w14:paraId="501DDB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734C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6506C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652B5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DFA1C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tc>
        <w:tc>
          <w:tcPr>
            <w:tcW w:w="409" w:type="dxa"/>
          </w:tcPr>
          <w:p w14:paraId="6F2EED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66ADC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7C95B7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16BA0F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AE68A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7962AC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tc>
        <w:tc>
          <w:tcPr>
            <w:tcW w:w="283" w:type="dxa"/>
          </w:tcPr>
          <w:p w14:paraId="5975C1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59F61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E6753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CF295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15E06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F31DC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tc>
        <w:tc>
          <w:tcPr>
            <w:tcW w:w="284" w:type="dxa"/>
          </w:tcPr>
          <w:p w14:paraId="06D7B9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CFFFF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09C8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3D8951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Переходный сухопутный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A259BD" w14:paraId="22F4AE3F" w14:textId="77777777">
        <w:trPr>
          <w:cantSplit/>
        </w:trPr>
        <w:tc>
          <w:tcPr>
            <w:tcW w:w="624" w:type="dxa"/>
          </w:tcPr>
          <w:p w14:paraId="5802CE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П2 М6</w:t>
            </w:r>
          </w:p>
        </w:tc>
        <w:tc>
          <w:tcPr>
            <w:tcW w:w="335" w:type="dxa"/>
          </w:tcPr>
          <w:p w14:paraId="7EB0AD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B0D03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D533F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tc>
        <w:tc>
          <w:tcPr>
            <w:tcW w:w="426" w:type="dxa"/>
          </w:tcPr>
          <w:p w14:paraId="1DB3D1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8AED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AC598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97624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tc>
        <w:tc>
          <w:tcPr>
            <w:tcW w:w="426" w:type="dxa"/>
          </w:tcPr>
          <w:p w14:paraId="04653F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B2F57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244EA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8E388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BFF76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w:t>
            </w:r>
          </w:p>
        </w:tc>
        <w:tc>
          <w:tcPr>
            <w:tcW w:w="409" w:type="dxa"/>
          </w:tcPr>
          <w:p w14:paraId="7281EA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D1EE3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510A8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B201C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9E0A9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6AD3E6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73</w:t>
            </w:r>
          </w:p>
        </w:tc>
        <w:tc>
          <w:tcPr>
            <w:tcW w:w="283" w:type="dxa"/>
          </w:tcPr>
          <w:p w14:paraId="5E3BA3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0F410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E2F5D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A2AEB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BA50B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5C10E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73</w:t>
            </w:r>
          </w:p>
        </w:tc>
        <w:tc>
          <w:tcPr>
            <w:tcW w:w="284" w:type="dxa"/>
          </w:tcPr>
          <w:p w14:paraId="5A4618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E19E9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323E4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CDE5C52" w14:textId="77777777">
        <w:trPr>
          <w:cantSplit/>
        </w:trPr>
        <w:tc>
          <w:tcPr>
            <w:tcW w:w="624" w:type="dxa"/>
          </w:tcPr>
          <w:p w14:paraId="1FCD66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Итого</w:t>
            </w:r>
          </w:p>
        </w:tc>
        <w:tc>
          <w:tcPr>
            <w:tcW w:w="335" w:type="dxa"/>
          </w:tcPr>
          <w:p w14:paraId="25F35D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470</w:t>
            </w:r>
          </w:p>
        </w:tc>
        <w:tc>
          <w:tcPr>
            <w:tcW w:w="425" w:type="dxa"/>
          </w:tcPr>
          <w:p w14:paraId="045FA6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156</w:t>
            </w:r>
          </w:p>
        </w:tc>
        <w:tc>
          <w:tcPr>
            <w:tcW w:w="425" w:type="dxa"/>
          </w:tcPr>
          <w:p w14:paraId="648449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183</w:t>
            </w:r>
          </w:p>
        </w:tc>
        <w:tc>
          <w:tcPr>
            <w:tcW w:w="426" w:type="dxa"/>
          </w:tcPr>
          <w:p w14:paraId="4203D5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tc>
        <w:tc>
          <w:tcPr>
            <w:tcW w:w="425" w:type="dxa"/>
          </w:tcPr>
          <w:p w14:paraId="2826D1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560</w:t>
            </w:r>
          </w:p>
        </w:tc>
        <w:tc>
          <w:tcPr>
            <w:tcW w:w="425" w:type="dxa"/>
          </w:tcPr>
          <w:p w14:paraId="743B85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149</w:t>
            </w:r>
          </w:p>
        </w:tc>
        <w:tc>
          <w:tcPr>
            <w:tcW w:w="425" w:type="dxa"/>
          </w:tcPr>
          <w:p w14:paraId="2A74C5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177</w:t>
            </w:r>
          </w:p>
        </w:tc>
        <w:tc>
          <w:tcPr>
            <w:tcW w:w="426" w:type="dxa"/>
          </w:tcPr>
          <w:p w14:paraId="5CBADE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219</w:t>
            </w:r>
          </w:p>
        </w:tc>
        <w:tc>
          <w:tcPr>
            <w:tcW w:w="425" w:type="dxa"/>
          </w:tcPr>
          <w:p w14:paraId="0807DB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tc>
        <w:tc>
          <w:tcPr>
            <w:tcW w:w="409" w:type="dxa"/>
          </w:tcPr>
          <w:p w14:paraId="308E0B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700</w:t>
            </w:r>
          </w:p>
        </w:tc>
        <w:tc>
          <w:tcPr>
            <w:tcW w:w="409" w:type="dxa"/>
          </w:tcPr>
          <w:p w14:paraId="544957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157</w:t>
            </w:r>
          </w:p>
        </w:tc>
        <w:tc>
          <w:tcPr>
            <w:tcW w:w="409" w:type="dxa"/>
          </w:tcPr>
          <w:p w14:paraId="1C9F07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217</w:t>
            </w:r>
          </w:p>
        </w:tc>
        <w:tc>
          <w:tcPr>
            <w:tcW w:w="409" w:type="dxa"/>
          </w:tcPr>
          <w:p w14:paraId="1BFD82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130</w:t>
            </w:r>
          </w:p>
        </w:tc>
        <w:tc>
          <w:tcPr>
            <w:tcW w:w="409" w:type="dxa"/>
          </w:tcPr>
          <w:p w14:paraId="678255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260</w:t>
            </w:r>
          </w:p>
        </w:tc>
        <w:tc>
          <w:tcPr>
            <w:tcW w:w="236" w:type="dxa"/>
          </w:tcPr>
          <w:p w14:paraId="0E1567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w:t>
            </w:r>
          </w:p>
        </w:tc>
        <w:tc>
          <w:tcPr>
            <w:tcW w:w="423" w:type="dxa"/>
          </w:tcPr>
          <w:p w14:paraId="6642F9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892</w:t>
            </w:r>
          </w:p>
        </w:tc>
        <w:tc>
          <w:tcPr>
            <w:tcW w:w="423" w:type="dxa"/>
          </w:tcPr>
          <w:p w14:paraId="3266A9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187</w:t>
            </w:r>
          </w:p>
        </w:tc>
        <w:tc>
          <w:tcPr>
            <w:tcW w:w="275" w:type="dxa"/>
          </w:tcPr>
          <w:p w14:paraId="27817F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240</w:t>
            </w:r>
          </w:p>
        </w:tc>
        <w:tc>
          <w:tcPr>
            <w:tcW w:w="283" w:type="dxa"/>
          </w:tcPr>
          <w:p w14:paraId="2E0414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195</w:t>
            </w:r>
          </w:p>
        </w:tc>
        <w:tc>
          <w:tcPr>
            <w:tcW w:w="284" w:type="dxa"/>
          </w:tcPr>
          <w:p w14:paraId="6DA5BA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681</w:t>
            </w:r>
          </w:p>
        </w:tc>
        <w:tc>
          <w:tcPr>
            <w:tcW w:w="283" w:type="dxa"/>
          </w:tcPr>
          <w:p w14:paraId="09F927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w:t>
            </w:r>
          </w:p>
        </w:tc>
        <w:tc>
          <w:tcPr>
            <w:tcW w:w="426" w:type="dxa"/>
          </w:tcPr>
          <w:p w14:paraId="36682B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w:t>
            </w:r>
          </w:p>
        </w:tc>
        <w:tc>
          <w:tcPr>
            <w:tcW w:w="425" w:type="dxa"/>
          </w:tcPr>
          <w:p w14:paraId="554D11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205</w:t>
            </w:r>
          </w:p>
        </w:tc>
        <w:tc>
          <w:tcPr>
            <w:tcW w:w="283" w:type="dxa"/>
          </w:tcPr>
          <w:p w14:paraId="08AADE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240</w:t>
            </w:r>
          </w:p>
        </w:tc>
        <w:tc>
          <w:tcPr>
            <w:tcW w:w="284" w:type="dxa"/>
          </w:tcPr>
          <w:p w14:paraId="1E3616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240</w:t>
            </w:r>
          </w:p>
        </w:tc>
        <w:tc>
          <w:tcPr>
            <w:tcW w:w="425" w:type="dxa"/>
          </w:tcPr>
          <w:p w14:paraId="1C03D9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930</w:t>
            </w:r>
          </w:p>
        </w:tc>
        <w:tc>
          <w:tcPr>
            <w:tcW w:w="425" w:type="dxa"/>
          </w:tcPr>
          <w:p w14:paraId="5ACD31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369</w:t>
            </w:r>
          </w:p>
        </w:tc>
      </w:tr>
    </w:tbl>
    <w:p w14:paraId="49885E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(3545).</w:t>
      </w:r>
    </w:p>
    <w:p w14:paraId="0FA019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 2</w:t>
      </w:r>
    </w:p>
    <w:p w14:paraId="0C0D40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Пятилетний план развития самолетостроительных заводов</w:t>
      </w:r>
    </w:p>
    <w:p w14:paraId="737F9C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Мощность заводов по предъявлению по годам при работе в три смены и 2500 рабочих часов в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8"/>
        <w:gridCol w:w="408"/>
        <w:gridCol w:w="408"/>
        <w:gridCol w:w="408"/>
        <w:gridCol w:w="408"/>
        <w:gridCol w:w="228"/>
        <w:gridCol w:w="8"/>
        <w:gridCol w:w="422"/>
        <w:gridCol w:w="422"/>
        <w:gridCol w:w="282"/>
        <w:gridCol w:w="283"/>
        <w:gridCol w:w="284"/>
        <w:gridCol w:w="288"/>
        <w:gridCol w:w="421"/>
        <w:gridCol w:w="425"/>
        <w:gridCol w:w="283"/>
        <w:gridCol w:w="284"/>
        <w:gridCol w:w="426"/>
        <w:gridCol w:w="424"/>
      </w:tblGrid>
      <w:tr w:rsidR="00A259BD" w:rsidRPr="00A259BD" w14:paraId="3003CA4E" w14:textId="77777777">
        <w:trPr>
          <w:cantSplit/>
        </w:trPr>
        <w:tc>
          <w:tcPr>
            <w:tcW w:w="624" w:type="dxa"/>
          </w:tcPr>
          <w:p w14:paraId="01B44D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11" w:type="dxa"/>
            <w:gridSpan w:val="4"/>
          </w:tcPr>
          <w:p w14:paraId="7D0BF9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1928/29 год</w:t>
            </w:r>
          </w:p>
        </w:tc>
        <w:tc>
          <w:tcPr>
            <w:tcW w:w="2126" w:type="dxa"/>
            <w:gridSpan w:val="5"/>
          </w:tcPr>
          <w:p w14:paraId="4F6939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год</w:t>
            </w:r>
          </w:p>
        </w:tc>
        <w:tc>
          <w:tcPr>
            <w:tcW w:w="2268" w:type="dxa"/>
            <w:gridSpan w:val="6"/>
          </w:tcPr>
          <w:p w14:paraId="12DB4B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 год</w:t>
            </w:r>
          </w:p>
        </w:tc>
        <w:tc>
          <w:tcPr>
            <w:tcW w:w="1989" w:type="dxa"/>
            <w:gridSpan w:val="7"/>
          </w:tcPr>
          <w:p w14:paraId="01DB53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 год</w:t>
            </w:r>
          </w:p>
        </w:tc>
        <w:tc>
          <w:tcPr>
            <w:tcW w:w="2263" w:type="dxa"/>
            <w:gridSpan w:val="6"/>
          </w:tcPr>
          <w:p w14:paraId="561649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год</w:t>
            </w:r>
          </w:p>
        </w:tc>
      </w:tr>
      <w:tr w:rsidR="00A259BD" w:rsidRPr="00A259BD" w14:paraId="06AE4C74" w14:textId="77777777">
        <w:trPr>
          <w:cantSplit/>
        </w:trPr>
        <w:tc>
          <w:tcPr>
            <w:tcW w:w="624" w:type="dxa"/>
          </w:tcPr>
          <w:p w14:paraId="1C74DE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11" w:type="dxa"/>
            <w:gridSpan w:val="4"/>
          </w:tcPr>
          <w:p w14:paraId="4A8743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2126" w:type="dxa"/>
            <w:gridSpan w:val="5"/>
          </w:tcPr>
          <w:p w14:paraId="423C83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2268" w:type="dxa"/>
            <w:gridSpan w:val="6"/>
          </w:tcPr>
          <w:p w14:paraId="2682AB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989" w:type="dxa"/>
            <w:gridSpan w:val="7"/>
          </w:tcPr>
          <w:p w14:paraId="7DF545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2263" w:type="dxa"/>
            <w:gridSpan w:val="6"/>
          </w:tcPr>
          <w:p w14:paraId="4587D2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r>
      <w:tr w:rsidR="00A259BD" w:rsidRPr="00A259BD" w14:paraId="36F63FB4" w14:textId="77777777">
        <w:trPr>
          <w:cantSplit/>
        </w:trPr>
        <w:tc>
          <w:tcPr>
            <w:tcW w:w="624" w:type="dxa"/>
          </w:tcPr>
          <w:p w14:paraId="67B7B3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35" w:type="dxa"/>
          </w:tcPr>
          <w:p w14:paraId="0D5C69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425" w:type="dxa"/>
          </w:tcPr>
          <w:p w14:paraId="2D4C83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425" w:type="dxa"/>
          </w:tcPr>
          <w:p w14:paraId="6B6B17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426" w:type="dxa"/>
          </w:tcPr>
          <w:p w14:paraId="0672DE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w:t>
            </w:r>
          </w:p>
        </w:tc>
        <w:tc>
          <w:tcPr>
            <w:tcW w:w="425" w:type="dxa"/>
          </w:tcPr>
          <w:p w14:paraId="7FD663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425" w:type="dxa"/>
          </w:tcPr>
          <w:p w14:paraId="5EB9C3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425" w:type="dxa"/>
          </w:tcPr>
          <w:p w14:paraId="17882A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426" w:type="dxa"/>
          </w:tcPr>
          <w:p w14:paraId="5DE037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w:t>
            </w:r>
          </w:p>
        </w:tc>
        <w:tc>
          <w:tcPr>
            <w:tcW w:w="425" w:type="dxa"/>
          </w:tcPr>
          <w:p w14:paraId="7DAE8E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w:t>
            </w:r>
          </w:p>
        </w:tc>
        <w:tc>
          <w:tcPr>
            <w:tcW w:w="408" w:type="dxa"/>
          </w:tcPr>
          <w:p w14:paraId="2C98DF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408" w:type="dxa"/>
          </w:tcPr>
          <w:p w14:paraId="7FD551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408" w:type="dxa"/>
          </w:tcPr>
          <w:p w14:paraId="359B50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408" w:type="dxa"/>
          </w:tcPr>
          <w:p w14:paraId="2260C5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w:t>
            </w:r>
          </w:p>
        </w:tc>
        <w:tc>
          <w:tcPr>
            <w:tcW w:w="408" w:type="dxa"/>
          </w:tcPr>
          <w:p w14:paraId="757A9F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w:t>
            </w:r>
          </w:p>
        </w:tc>
        <w:tc>
          <w:tcPr>
            <w:tcW w:w="236" w:type="dxa"/>
            <w:gridSpan w:val="2"/>
          </w:tcPr>
          <w:p w14:paraId="7C3882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w:t>
            </w:r>
          </w:p>
        </w:tc>
        <w:tc>
          <w:tcPr>
            <w:tcW w:w="422" w:type="dxa"/>
          </w:tcPr>
          <w:p w14:paraId="1EF8C7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422" w:type="dxa"/>
          </w:tcPr>
          <w:p w14:paraId="491B0D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282" w:type="dxa"/>
          </w:tcPr>
          <w:p w14:paraId="2DE163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283" w:type="dxa"/>
          </w:tcPr>
          <w:p w14:paraId="3AAB7A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w:t>
            </w:r>
          </w:p>
        </w:tc>
        <w:tc>
          <w:tcPr>
            <w:tcW w:w="284" w:type="dxa"/>
          </w:tcPr>
          <w:p w14:paraId="5F8A78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w:t>
            </w:r>
          </w:p>
        </w:tc>
        <w:tc>
          <w:tcPr>
            <w:tcW w:w="288" w:type="dxa"/>
          </w:tcPr>
          <w:p w14:paraId="5E39CB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w:t>
            </w:r>
          </w:p>
        </w:tc>
        <w:tc>
          <w:tcPr>
            <w:tcW w:w="421" w:type="dxa"/>
          </w:tcPr>
          <w:p w14:paraId="6A4D57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425" w:type="dxa"/>
          </w:tcPr>
          <w:p w14:paraId="3427D6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283" w:type="dxa"/>
          </w:tcPr>
          <w:p w14:paraId="776E97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284" w:type="dxa"/>
          </w:tcPr>
          <w:p w14:paraId="68C628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w:t>
            </w:r>
          </w:p>
        </w:tc>
        <w:tc>
          <w:tcPr>
            <w:tcW w:w="426" w:type="dxa"/>
          </w:tcPr>
          <w:p w14:paraId="14FB37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w:t>
            </w:r>
          </w:p>
        </w:tc>
        <w:tc>
          <w:tcPr>
            <w:tcW w:w="424" w:type="dxa"/>
          </w:tcPr>
          <w:p w14:paraId="049DDB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w:t>
            </w:r>
          </w:p>
        </w:tc>
      </w:tr>
    </w:tbl>
    <w:p w14:paraId="1FF6B4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Разведчики сухопутные и легкие бомбардировщики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19"/>
        <w:gridCol w:w="418"/>
        <w:gridCol w:w="439"/>
        <w:gridCol w:w="425"/>
        <w:gridCol w:w="408"/>
        <w:gridCol w:w="408"/>
        <w:gridCol w:w="408"/>
        <w:gridCol w:w="408"/>
        <w:gridCol w:w="236"/>
        <w:gridCol w:w="422"/>
        <w:gridCol w:w="422"/>
        <w:gridCol w:w="265"/>
        <w:gridCol w:w="283"/>
        <w:gridCol w:w="284"/>
        <w:gridCol w:w="286"/>
        <w:gridCol w:w="423"/>
        <w:gridCol w:w="425"/>
        <w:gridCol w:w="283"/>
        <w:gridCol w:w="284"/>
        <w:gridCol w:w="425"/>
        <w:gridCol w:w="425"/>
      </w:tblGrid>
      <w:tr w:rsidR="00A259BD" w:rsidRPr="00A259BD" w14:paraId="67202965" w14:textId="77777777">
        <w:trPr>
          <w:cantSplit/>
        </w:trPr>
        <w:tc>
          <w:tcPr>
            <w:tcW w:w="624" w:type="dxa"/>
          </w:tcPr>
          <w:p w14:paraId="5688E9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Р1 М5</w:t>
            </w:r>
          </w:p>
        </w:tc>
        <w:tc>
          <w:tcPr>
            <w:tcW w:w="335" w:type="dxa"/>
          </w:tcPr>
          <w:p w14:paraId="5D6B28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620</w:t>
            </w:r>
          </w:p>
        </w:tc>
        <w:tc>
          <w:tcPr>
            <w:tcW w:w="425" w:type="dxa"/>
          </w:tcPr>
          <w:p w14:paraId="72EC8F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84284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AE58C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690</w:t>
            </w:r>
          </w:p>
        </w:tc>
        <w:tc>
          <w:tcPr>
            <w:tcW w:w="425" w:type="dxa"/>
          </w:tcPr>
          <w:p w14:paraId="4346C1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C6E8D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9" w:type="dxa"/>
          </w:tcPr>
          <w:p w14:paraId="082BEF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1886C2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460</w:t>
            </w:r>
          </w:p>
        </w:tc>
        <w:tc>
          <w:tcPr>
            <w:tcW w:w="439" w:type="dxa"/>
          </w:tcPr>
          <w:p w14:paraId="04DA7E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24F7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1E3F6D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0260B7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536243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BCA22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4A422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77D500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418215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5" w:type="dxa"/>
          </w:tcPr>
          <w:p w14:paraId="367C13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0F271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FF139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6" w:type="dxa"/>
          </w:tcPr>
          <w:p w14:paraId="642CCD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5C8C5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24679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4A4DC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3B438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3FB19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31F69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B79C4C0" w14:textId="77777777">
        <w:trPr>
          <w:cantSplit/>
        </w:trPr>
        <w:tc>
          <w:tcPr>
            <w:tcW w:w="624" w:type="dxa"/>
          </w:tcPr>
          <w:p w14:paraId="57E101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Р1 М17</w:t>
            </w:r>
          </w:p>
        </w:tc>
        <w:tc>
          <w:tcPr>
            <w:tcW w:w="335" w:type="dxa"/>
          </w:tcPr>
          <w:p w14:paraId="6DF8F0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425" w:type="dxa"/>
          </w:tcPr>
          <w:p w14:paraId="022A78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26565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6F511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2BDF4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460</w:t>
            </w:r>
          </w:p>
        </w:tc>
        <w:tc>
          <w:tcPr>
            <w:tcW w:w="425" w:type="dxa"/>
          </w:tcPr>
          <w:p w14:paraId="3C5A14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9" w:type="dxa"/>
          </w:tcPr>
          <w:p w14:paraId="66D6A3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5341DF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9" w:type="dxa"/>
          </w:tcPr>
          <w:p w14:paraId="213AAB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425" w:type="dxa"/>
          </w:tcPr>
          <w:p w14:paraId="62D414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805</w:t>
            </w:r>
          </w:p>
        </w:tc>
        <w:tc>
          <w:tcPr>
            <w:tcW w:w="408" w:type="dxa"/>
          </w:tcPr>
          <w:p w14:paraId="7D1E33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0AA363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39366E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83CF5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345</w:t>
            </w:r>
          </w:p>
        </w:tc>
        <w:tc>
          <w:tcPr>
            <w:tcW w:w="236" w:type="dxa"/>
          </w:tcPr>
          <w:p w14:paraId="55A662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6B29D8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1100</w:t>
            </w:r>
          </w:p>
        </w:tc>
        <w:tc>
          <w:tcPr>
            <w:tcW w:w="422" w:type="dxa"/>
          </w:tcPr>
          <w:p w14:paraId="3F5DA1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5" w:type="dxa"/>
          </w:tcPr>
          <w:p w14:paraId="06151C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2FEAA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EDE17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690</w:t>
            </w:r>
          </w:p>
        </w:tc>
        <w:tc>
          <w:tcPr>
            <w:tcW w:w="286" w:type="dxa"/>
          </w:tcPr>
          <w:p w14:paraId="19256C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BC94D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1380</w:t>
            </w:r>
          </w:p>
        </w:tc>
        <w:tc>
          <w:tcPr>
            <w:tcW w:w="425" w:type="dxa"/>
          </w:tcPr>
          <w:p w14:paraId="04A757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2C5F3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F0A8C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2BCBC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990</w:t>
            </w:r>
          </w:p>
        </w:tc>
        <w:tc>
          <w:tcPr>
            <w:tcW w:w="425" w:type="dxa"/>
          </w:tcPr>
          <w:p w14:paraId="4D8ED4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A8A572F" w14:textId="77777777">
        <w:trPr>
          <w:cantSplit/>
        </w:trPr>
        <w:tc>
          <w:tcPr>
            <w:tcW w:w="624" w:type="dxa"/>
          </w:tcPr>
          <w:p w14:paraId="097DEC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Р6 2М17</w:t>
            </w:r>
          </w:p>
        </w:tc>
        <w:tc>
          <w:tcPr>
            <w:tcW w:w="335" w:type="dxa"/>
          </w:tcPr>
          <w:p w14:paraId="3EEE0E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A97A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9CF1D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9A242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0F0F8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76E5B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w:t>
            </w:r>
          </w:p>
        </w:tc>
        <w:tc>
          <w:tcPr>
            <w:tcW w:w="419" w:type="dxa"/>
          </w:tcPr>
          <w:p w14:paraId="1FBAEB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60E359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9" w:type="dxa"/>
          </w:tcPr>
          <w:p w14:paraId="0CFF78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FBDC4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6E16F7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tc>
        <w:tc>
          <w:tcPr>
            <w:tcW w:w="408" w:type="dxa"/>
          </w:tcPr>
          <w:p w14:paraId="022195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5D7641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1CB1B5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689669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6D5A63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3F9A17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tc>
        <w:tc>
          <w:tcPr>
            <w:tcW w:w="265" w:type="dxa"/>
          </w:tcPr>
          <w:p w14:paraId="15815E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F1A07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4AD5E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6" w:type="dxa"/>
          </w:tcPr>
          <w:p w14:paraId="4A1579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34DE14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6CABD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tc>
        <w:tc>
          <w:tcPr>
            <w:tcW w:w="283" w:type="dxa"/>
          </w:tcPr>
          <w:p w14:paraId="6ACE32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3869D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E551A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1F6F7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C1C8ABC" w14:textId="77777777">
        <w:trPr>
          <w:cantSplit/>
        </w:trPr>
        <w:tc>
          <w:tcPr>
            <w:tcW w:w="624" w:type="dxa"/>
          </w:tcPr>
          <w:p w14:paraId="283FA4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Р3-ЛД /М17/</w:t>
            </w:r>
          </w:p>
        </w:tc>
        <w:tc>
          <w:tcPr>
            <w:tcW w:w="335" w:type="dxa"/>
          </w:tcPr>
          <w:p w14:paraId="2C8D3E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191B2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115</w:t>
            </w:r>
          </w:p>
        </w:tc>
        <w:tc>
          <w:tcPr>
            <w:tcW w:w="425" w:type="dxa"/>
          </w:tcPr>
          <w:p w14:paraId="0D82E3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16B67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06117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DF30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w:t>
            </w:r>
          </w:p>
        </w:tc>
        <w:tc>
          <w:tcPr>
            <w:tcW w:w="419" w:type="dxa"/>
          </w:tcPr>
          <w:p w14:paraId="784B8C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056378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9" w:type="dxa"/>
          </w:tcPr>
          <w:p w14:paraId="541BE6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6739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0C141F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B124E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084D2C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13B987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4F80DE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422" w:type="dxa"/>
          </w:tcPr>
          <w:p w14:paraId="1DEDE0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49D931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5" w:type="dxa"/>
          </w:tcPr>
          <w:p w14:paraId="2C46BE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1027F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7D030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6" w:type="dxa"/>
          </w:tcPr>
          <w:p w14:paraId="18D003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230</w:t>
            </w:r>
          </w:p>
        </w:tc>
        <w:tc>
          <w:tcPr>
            <w:tcW w:w="423" w:type="dxa"/>
          </w:tcPr>
          <w:p w14:paraId="7F24B4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E29A3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E6480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509378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480E2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F7EBC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270</w:t>
            </w:r>
          </w:p>
        </w:tc>
      </w:tr>
    </w:tbl>
    <w:p w14:paraId="4E033E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Боевики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A259BD" w14:paraId="6D68EC0E" w14:textId="77777777">
        <w:trPr>
          <w:cantSplit/>
        </w:trPr>
        <w:tc>
          <w:tcPr>
            <w:tcW w:w="624" w:type="dxa"/>
          </w:tcPr>
          <w:p w14:paraId="6D8E91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Р3-ЛД /М17/</w:t>
            </w:r>
          </w:p>
        </w:tc>
        <w:tc>
          <w:tcPr>
            <w:tcW w:w="335" w:type="dxa"/>
          </w:tcPr>
          <w:p w14:paraId="11653C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3C449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4D11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39502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68292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A2FC4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59C27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2A768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B62D8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A2688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35CE2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D6EB5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B45CF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02858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6DB81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423" w:type="dxa"/>
          </w:tcPr>
          <w:p w14:paraId="4E0DAE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DE637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03DA69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CFB14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7456A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D1EAB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426" w:type="dxa"/>
          </w:tcPr>
          <w:p w14:paraId="5CA2C7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BDA58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286EF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D9297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BD255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F1ED8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329</w:t>
            </w:r>
          </w:p>
        </w:tc>
      </w:tr>
    </w:tbl>
    <w:p w14:paraId="6D34B9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Истребители сухопутные и 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A259BD" w14:paraId="5506C9D0" w14:textId="77777777">
        <w:trPr>
          <w:cantSplit/>
        </w:trPr>
        <w:tc>
          <w:tcPr>
            <w:tcW w:w="624" w:type="dxa"/>
          </w:tcPr>
          <w:p w14:paraId="1ACE18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И2 бис М5</w:t>
            </w:r>
          </w:p>
        </w:tc>
        <w:tc>
          <w:tcPr>
            <w:tcW w:w="335" w:type="dxa"/>
          </w:tcPr>
          <w:p w14:paraId="6F9E6B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92</w:t>
            </w:r>
          </w:p>
        </w:tc>
        <w:tc>
          <w:tcPr>
            <w:tcW w:w="425" w:type="dxa"/>
          </w:tcPr>
          <w:p w14:paraId="2B968F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A132E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66</w:t>
            </w:r>
          </w:p>
        </w:tc>
        <w:tc>
          <w:tcPr>
            <w:tcW w:w="426" w:type="dxa"/>
          </w:tcPr>
          <w:p w14:paraId="5CFA1C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21E35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BE659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EF77C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76FF5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2E94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EFC29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ABE26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BCAFD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56985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C45D5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3E1708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14BAA8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57D097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785CC5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A090F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8B40C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E49AC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B6068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8ABC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163EA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123D8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73CDA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492F6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6A2B25B" w14:textId="77777777">
        <w:trPr>
          <w:cantSplit/>
        </w:trPr>
        <w:tc>
          <w:tcPr>
            <w:tcW w:w="624" w:type="dxa"/>
          </w:tcPr>
          <w:p w14:paraId="007917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И3 М17</w:t>
            </w:r>
          </w:p>
        </w:tc>
        <w:tc>
          <w:tcPr>
            <w:tcW w:w="335" w:type="dxa"/>
          </w:tcPr>
          <w:p w14:paraId="40850C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345</w:t>
            </w:r>
          </w:p>
        </w:tc>
        <w:tc>
          <w:tcPr>
            <w:tcW w:w="425" w:type="dxa"/>
          </w:tcPr>
          <w:p w14:paraId="4B40BB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D6E76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1BF6C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7A6FD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800</w:t>
            </w:r>
          </w:p>
        </w:tc>
        <w:tc>
          <w:tcPr>
            <w:tcW w:w="425" w:type="dxa"/>
          </w:tcPr>
          <w:p w14:paraId="2C5246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B5C10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60264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4DE63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29AEC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?00</w:t>
            </w:r>
          </w:p>
        </w:tc>
        <w:tc>
          <w:tcPr>
            <w:tcW w:w="409" w:type="dxa"/>
          </w:tcPr>
          <w:p w14:paraId="4C6179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276FA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97F77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A19BB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783749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BFFB0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575</w:t>
            </w:r>
          </w:p>
        </w:tc>
        <w:tc>
          <w:tcPr>
            <w:tcW w:w="423" w:type="dxa"/>
          </w:tcPr>
          <w:p w14:paraId="1B1FED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32F9B2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04CCB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D34FC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44D519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E4BA8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238</w:t>
            </w:r>
          </w:p>
        </w:tc>
        <w:tc>
          <w:tcPr>
            <w:tcW w:w="425" w:type="dxa"/>
          </w:tcPr>
          <w:p w14:paraId="7797F7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BF140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14444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2FCCA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6E83E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3E5AAD1" w14:textId="77777777">
        <w:trPr>
          <w:cantSplit/>
        </w:trPr>
        <w:tc>
          <w:tcPr>
            <w:tcW w:w="624" w:type="dxa"/>
          </w:tcPr>
          <w:p w14:paraId="2AA107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Д2 М17</w:t>
            </w:r>
          </w:p>
        </w:tc>
        <w:tc>
          <w:tcPr>
            <w:tcW w:w="335" w:type="dxa"/>
          </w:tcPr>
          <w:p w14:paraId="7EB52C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7883C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092AA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59438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2383D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425" w:type="dxa"/>
          </w:tcPr>
          <w:p w14:paraId="429DD5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C01B3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86061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49462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B8B9D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409" w:type="dxa"/>
          </w:tcPr>
          <w:p w14:paraId="56358B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F3FF1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312AD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E885D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006C26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50070C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373</w:t>
            </w:r>
          </w:p>
        </w:tc>
        <w:tc>
          <w:tcPr>
            <w:tcW w:w="423" w:type="dxa"/>
          </w:tcPr>
          <w:p w14:paraId="396451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589CC6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16ECF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314C5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EE1D1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8215E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162</w:t>
            </w:r>
          </w:p>
        </w:tc>
        <w:tc>
          <w:tcPr>
            <w:tcW w:w="425" w:type="dxa"/>
          </w:tcPr>
          <w:p w14:paraId="233E70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D6463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F3C68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B8FF2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C47A7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B43C511" w14:textId="77777777">
        <w:trPr>
          <w:cantSplit/>
        </w:trPr>
        <w:tc>
          <w:tcPr>
            <w:tcW w:w="624" w:type="dxa"/>
          </w:tcPr>
          <w:p w14:paraId="6CD6C7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И6 ЮП</w:t>
            </w:r>
          </w:p>
        </w:tc>
        <w:tc>
          <w:tcPr>
            <w:tcW w:w="335" w:type="dxa"/>
          </w:tcPr>
          <w:p w14:paraId="06AC8C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8727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01258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AD45E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03CD3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897BF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0AA41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EA1E4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3D00B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409" w:type="dxa"/>
          </w:tcPr>
          <w:p w14:paraId="5F49E7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14633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D2C86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026D9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D63BF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230</w:t>
            </w:r>
          </w:p>
        </w:tc>
        <w:tc>
          <w:tcPr>
            <w:tcW w:w="236" w:type="dxa"/>
          </w:tcPr>
          <w:p w14:paraId="06C57A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1099B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8A17F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76935E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E8BF4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A21AD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690</w:t>
            </w:r>
          </w:p>
        </w:tc>
        <w:tc>
          <w:tcPr>
            <w:tcW w:w="283" w:type="dxa"/>
          </w:tcPr>
          <w:p w14:paraId="6900FF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65C0C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45EF1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950C1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A167B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B9192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964</w:t>
            </w:r>
          </w:p>
        </w:tc>
        <w:tc>
          <w:tcPr>
            <w:tcW w:w="425" w:type="dxa"/>
          </w:tcPr>
          <w:p w14:paraId="5AAFF4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8643174" w14:textId="77777777">
        <w:trPr>
          <w:cantSplit/>
        </w:trPr>
        <w:tc>
          <w:tcPr>
            <w:tcW w:w="624" w:type="dxa"/>
          </w:tcPr>
          <w:p w14:paraId="61EBEC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МИ3 М17</w:t>
            </w:r>
          </w:p>
        </w:tc>
        <w:tc>
          <w:tcPr>
            <w:tcW w:w="335" w:type="dxa"/>
          </w:tcPr>
          <w:p w14:paraId="32E098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D37F4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A0A2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B86A4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6B1F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3A77C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B4F18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4708F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D3A8E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A77D3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20458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BCDA7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B98F2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596EA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236" w:type="dxa"/>
          </w:tcPr>
          <w:p w14:paraId="39ADF4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17B7D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598ED1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5716FA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789B0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833B2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186</w:t>
            </w:r>
          </w:p>
        </w:tc>
        <w:tc>
          <w:tcPr>
            <w:tcW w:w="283" w:type="dxa"/>
          </w:tcPr>
          <w:p w14:paraId="225A43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BCB50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1D70F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28023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8E0C6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2325E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186</w:t>
            </w:r>
          </w:p>
        </w:tc>
        <w:tc>
          <w:tcPr>
            <w:tcW w:w="425" w:type="dxa"/>
          </w:tcPr>
          <w:p w14:paraId="014FAB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C5A3B21" w14:textId="77777777">
        <w:trPr>
          <w:cantSplit/>
        </w:trPr>
        <w:tc>
          <w:tcPr>
            <w:tcW w:w="624" w:type="dxa"/>
          </w:tcPr>
          <w:p w14:paraId="66CA18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И4 ЮП</w:t>
            </w:r>
          </w:p>
        </w:tc>
        <w:tc>
          <w:tcPr>
            <w:tcW w:w="335" w:type="dxa"/>
          </w:tcPr>
          <w:p w14:paraId="722027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69028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117</w:t>
            </w:r>
          </w:p>
        </w:tc>
        <w:tc>
          <w:tcPr>
            <w:tcW w:w="425" w:type="dxa"/>
          </w:tcPr>
          <w:p w14:paraId="736744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BB143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A7C5A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FA1C5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207</w:t>
            </w:r>
          </w:p>
        </w:tc>
        <w:tc>
          <w:tcPr>
            <w:tcW w:w="425" w:type="dxa"/>
          </w:tcPr>
          <w:p w14:paraId="0C290E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E260A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47074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9344C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6694B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253</w:t>
            </w:r>
          </w:p>
        </w:tc>
        <w:tc>
          <w:tcPr>
            <w:tcW w:w="409" w:type="dxa"/>
          </w:tcPr>
          <w:p w14:paraId="5094D4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89881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DBFC3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0C51B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4B06E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F8481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321</w:t>
            </w:r>
          </w:p>
        </w:tc>
        <w:tc>
          <w:tcPr>
            <w:tcW w:w="275" w:type="dxa"/>
          </w:tcPr>
          <w:p w14:paraId="09754D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42162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FD332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451E0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42B21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5BE4C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3638</w:t>
            </w:r>
          </w:p>
        </w:tc>
        <w:tc>
          <w:tcPr>
            <w:tcW w:w="283" w:type="dxa"/>
          </w:tcPr>
          <w:p w14:paraId="609680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8D97C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A87C7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60517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5C9B60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Тяжелые бомбардировщики 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A259BD" w14:paraId="1981E03E" w14:textId="77777777">
        <w:trPr>
          <w:cantSplit/>
        </w:trPr>
        <w:tc>
          <w:tcPr>
            <w:tcW w:w="624" w:type="dxa"/>
          </w:tcPr>
          <w:p w14:paraId="4FCCC7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ТБ1 2М17</w:t>
            </w:r>
          </w:p>
        </w:tc>
        <w:tc>
          <w:tcPr>
            <w:tcW w:w="335" w:type="dxa"/>
          </w:tcPr>
          <w:p w14:paraId="7E1D7C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3FF7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66</w:t>
            </w:r>
          </w:p>
        </w:tc>
        <w:tc>
          <w:tcPr>
            <w:tcW w:w="425" w:type="dxa"/>
          </w:tcPr>
          <w:p w14:paraId="4D001D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880EB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CE7E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0CD27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w:t>
            </w:r>
          </w:p>
        </w:tc>
        <w:tc>
          <w:tcPr>
            <w:tcW w:w="425" w:type="dxa"/>
          </w:tcPr>
          <w:p w14:paraId="797033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0815B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D9798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BAFE0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55271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w:t>
            </w:r>
          </w:p>
        </w:tc>
        <w:tc>
          <w:tcPr>
            <w:tcW w:w="409" w:type="dxa"/>
          </w:tcPr>
          <w:p w14:paraId="06D729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7632D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2C3D8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E5F7B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c>
          <w:tcPr>
            <w:tcW w:w="423" w:type="dxa"/>
          </w:tcPr>
          <w:p w14:paraId="201361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27D6E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w:t>
            </w:r>
          </w:p>
        </w:tc>
        <w:tc>
          <w:tcPr>
            <w:tcW w:w="275" w:type="dxa"/>
          </w:tcPr>
          <w:p w14:paraId="410810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D6794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9BE83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CBD9A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w:t>
            </w:r>
          </w:p>
        </w:tc>
        <w:tc>
          <w:tcPr>
            <w:tcW w:w="426" w:type="dxa"/>
          </w:tcPr>
          <w:p w14:paraId="70D8E9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7D52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w:t>
            </w:r>
          </w:p>
        </w:tc>
        <w:tc>
          <w:tcPr>
            <w:tcW w:w="283" w:type="dxa"/>
          </w:tcPr>
          <w:p w14:paraId="7EBFB3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B4D66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35421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88F0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w:t>
            </w:r>
          </w:p>
        </w:tc>
      </w:tr>
      <w:tr w:rsidR="00A259BD" w:rsidRPr="00A259BD" w14:paraId="08B76327" w14:textId="77777777">
        <w:trPr>
          <w:cantSplit/>
        </w:trPr>
        <w:tc>
          <w:tcPr>
            <w:tcW w:w="624" w:type="dxa"/>
          </w:tcPr>
          <w:p w14:paraId="268474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ТБ2 2М17</w:t>
            </w:r>
          </w:p>
        </w:tc>
        <w:tc>
          <w:tcPr>
            <w:tcW w:w="335" w:type="dxa"/>
          </w:tcPr>
          <w:p w14:paraId="4280D0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2C619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4D24F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336CC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85E6E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9C465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E70FB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F7798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c>
          <w:tcPr>
            <w:tcW w:w="425" w:type="dxa"/>
          </w:tcPr>
          <w:p w14:paraId="3A316B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4F2ED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67E89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F7D81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CDC99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w:t>
            </w:r>
          </w:p>
        </w:tc>
        <w:tc>
          <w:tcPr>
            <w:tcW w:w="409" w:type="dxa"/>
          </w:tcPr>
          <w:p w14:paraId="05FBC9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75B25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EAED6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461A6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712ABC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F82B4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w:t>
            </w:r>
          </w:p>
        </w:tc>
        <w:tc>
          <w:tcPr>
            <w:tcW w:w="284" w:type="dxa"/>
          </w:tcPr>
          <w:p w14:paraId="245B8F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7970C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8B4E8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F4CD6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1C27C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D3AC4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94</w:t>
            </w:r>
          </w:p>
        </w:tc>
        <w:tc>
          <w:tcPr>
            <w:tcW w:w="425" w:type="dxa"/>
          </w:tcPr>
          <w:p w14:paraId="729512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BF95E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7E637F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Торпедоносец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A259BD" w14:paraId="29A2469E" w14:textId="77777777">
        <w:trPr>
          <w:cantSplit/>
        </w:trPr>
        <w:tc>
          <w:tcPr>
            <w:tcW w:w="624" w:type="dxa"/>
          </w:tcPr>
          <w:p w14:paraId="4A2D6A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ТОМ 2М17</w:t>
            </w:r>
          </w:p>
        </w:tc>
        <w:tc>
          <w:tcPr>
            <w:tcW w:w="335" w:type="dxa"/>
          </w:tcPr>
          <w:p w14:paraId="4B57A3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C29F9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149A3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117B8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60DCB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A565E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E726A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65C1D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425" w:type="dxa"/>
          </w:tcPr>
          <w:p w14:paraId="46F376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50813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1E005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A39A2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00EEA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w:t>
            </w:r>
          </w:p>
        </w:tc>
        <w:tc>
          <w:tcPr>
            <w:tcW w:w="409" w:type="dxa"/>
          </w:tcPr>
          <w:p w14:paraId="574C77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B8060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6FD45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D5B1D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5B9469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7AB5C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92</w:t>
            </w:r>
          </w:p>
        </w:tc>
        <w:tc>
          <w:tcPr>
            <w:tcW w:w="284" w:type="dxa"/>
          </w:tcPr>
          <w:p w14:paraId="340866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415037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D629A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ACA83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62EA7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6DB33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145</w:t>
            </w:r>
          </w:p>
        </w:tc>
        <w:tc>
          <w:tcPr>
            <w:tcW w:w="425" w:type="dxa"/>
          </w:tcPr>
          <w:p w14:paraId="726138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B49A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517BE7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Разведчики морские ближние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A259BD" w14:paraId="4A3EB3A6" w14:textId="77777777">
        <w:trPr>
          <w:cantSplit/>
        </w:trPr>
        <w:tc>
          <w:tcPr>
            <w:tcW w:w="624" w:type="dxa"/>
          </w:tcPr>
          <w:p w14:paraId="195CAF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МР5 М17</w:t>
            </w:r>
          </w:p>
        </w:tc>
        <w:tc>
          <w:tcPr>
            <w:tcW w:w="335" w:type="dxa"/>
          </w:tcPr>
          <w:p w14:paraId="13BCF5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32077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F940F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E2D65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E8EAE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2B673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C8AD0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45D35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425" w:type="dxa"/>
          </w:tcPr>
          <w:p w14:paraId="26D97B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06CC3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78759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E75F5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E67BE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162</w:t>
            </w:r>
          </w:p>
        </w:tc>
        <w:tc>
          <w:tcPr>
            <w:tcW w:w="409" w:type="dxa"/>
          </w:tcPr>
          <w:p w14:paraId="0D0A63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629783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99074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5D4DE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326310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D75C3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218</w:t>
            </w:r>
          </w:p>
        </w:tc>
        <w:tc>
          <w:tcPr>
            <w:tcW w:w="284" w:type="dxa"/>
          </w:tcPr>
          <w:p w14:paraId="49D22C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F04E7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A3DB2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075B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1402A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5A77F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218</w:t>
            </w:r>
          </w:p>
        </w:tc>
        <w:tc>
          <w:tcPr>
            <w:tcW w:w="425" w:type="dxa"/>
          </w:tcPr>
          <w:p w14:paraId="25CD29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AB2D9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627EC9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Разведчики морские дальние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A259BD" w14:paraId="4EE55174" w14:textId="77777777">
        <w:trPr>
          <w:cantSplit/>
        </w:trPr>
        <w:tc>
          <w:tcPr>
            <w:tcW w:w="624" w:type="dxa"/>
          </w:tcPr>
          <w:p w14:paraId="3514CA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 2М17</w:t>
            </w:r>
          </w:p>
        </w:tc>
        <w:tc>
          <w:tcPr>
            <w:tcW w:w="335" w:type="dxa"/>
          </w:tcPr>
          <w:p w14:paraId="79BBE9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8EB91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0284F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57164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A1D30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CE6C8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CAC52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9E252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w:t>
            </w:r>
          </w:p>
        </w:tc>
        <w:tc>
          <w:tcPr>
            <w:tcW w:w="425" w:type="dxa"/>
          </w:tcPr>
          <w:p w14:paraId="1A7B0F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E1D43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3BCA6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7491A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A9CED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w:t>
            </w:r>
          </w:p>
        </w:tc>
        <w:tc>
          <w:tcPr>
            <w:tcW w:w="409" w:type="dxa"/>
          </w:tcPr>
          <w:p w14:paraId="414835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0A3884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353A54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19BFEA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7298FD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23772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w:t>
            </w:r>
          </w:p>
        </w:tc>
        <w:tc>
          <w:tcPr>
            <w:tcW w:w="284" w:type="dxa"/>
          </w:tcPr>
          <w:p w14:paraId="5435A5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9214B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D59E7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D0D6B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6F2ED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08724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95</w:t>
            </w:r>
          </w:p>
        </w:tc>
        <w:tc>
          <w:tcPr>
            <w:tcW w:w="425" w:type="dxa"/>
          </w:tcPr>
          <w:p w14:paraId="4B9027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453D3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4E72B0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Учебные 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A259BD" w14:paraId="4F94221A" w14:textId="77777777">
        <w:trPr>
          <w:cantSplit/>
        </w:trPr>
        <w:tc>
          <w:tcPr>
            <w:tcW w:w="624" w:type="dxa"/>
          </w:tcPr>
          <w:p w14:paraId="20E8E9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У2 М12 (У1 М2)</w:t>
            </w:r>
          </w:p>
        </w:tc>
        <w:tc>
          <w:tcPr>
            <w:tcW w:w="335" w:type="dxa"/>
          </w:tcPr>
          <w:p w14:paraId="2262E6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71EF4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9A161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240</w:t>
            </w:r>
          </w:p>
        </w:tc>
        <w:tc>
          <w:tcPr>
            <w:tcW w:w="426" w:type="dxa"/>
          </w:tcPr>
          <w:p w14:paraId="0F26DC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0D388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E1D0B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B4796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275</w:t>
            </w:r>
          </w:p>
        </w:tc>
        <w:tc>
          <w:tcPr>
            <w:tcW w:w="426" w:type="dxa"/>
          </w:tcPr>
          <w:p w14:paraId="7454BE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2279F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51AF4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61FFA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3E73D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345</w:t>
            </w:r>
          </w:p>
        </w:tc>
        <w:tc>
          <w:tcPr>
            <w:tcW w:w="409" w:type="dxa"/>
          </w:tcPr>
          <w:p w14:paraId="492BB2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C5F11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5628D1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6F743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6F2C2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2A1623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368</w:t>
            </w:r>
          </w:p>
        </w:tc>
        <w:tc>
          <w:tcPr>
            <w:tcW w:w="283" w:type="dxa"/>
          </w:tcPr>
          <w:p w14:paraId="2E5514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0FE1A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F4101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BE2A0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03160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414530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368</w:t>
            </w:r>
          </w:p>
        </w:tc>
        <w:tc>
          <w:tcPr>
            <w:tcW w:w="284" w:type="dxa"/>
          </w:tcPr>
          <w:p w14:paraId="166123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78FE0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594FB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00ED2F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Учебные 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A259BD" w14:paraId="158EC7CE" w14:textId="77777777">
        <w:trPr>
          <w:cantSplit/>
        </w:trPr>
        <w:tc>
          <w:tcPr>
            <w:tcW w:w="624" w:type="dxa"/>
          </w:tcPr>
          <w:p w14:paraId="264B50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МУ2-М12 (МУ1 М2)</w:t>
            </w:r>
          </w:p>
        </w:tc>
        <w:tc>
          <w:tcPr>
            <w:tcW w:w="335" w:type="dxa"/>
          </w:tcPr>
          <w:p w14:paraId="325CF9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3DC7A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C4719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w:t>
            </w:r>
          </w:p>
        </w:tc>
        <w:tc>
          <w:tcPr>
            <w:tcW w:w="426" w:type="dxa"/>
          </w:tcPr>
          <w:p w14:paraId="3EB49C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1F155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270E2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FAE57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w:t>
            </w:r>
          </w:p>
        </w:tc>
        <w:tc>
          <w:tcPr>
            <w:tcW w:w="426" w:type="dxa"/>
          </w:tcPr>
          <w:p w14:paraId="2E4FDA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873F1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2F96E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5FF9C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A23A1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w:t>
            </w:r>
          </w:p>
        </w:tc>
        <w:tc>
          <w:tcPr>
            <w:tcW w:w="409" w:type="dxa"/>
          </w:tcPr>
          <w:p w14:paraId="53FE7F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56D61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303EB6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0F80F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784B9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39DA6E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w:t>
            </w:r>
          </w:p>
        </w:tc>
        <w:tc>
          <w:tcPr>
            <w:tcW w:w="283" w:type="dxa"/>
          </w:tcPr>
          <w:p w14:paraId="0BC87F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5D55D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566E2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71A6C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BC3AB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C8BAA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w:t>
            </w:r>
          </w:p>
        </w:tc>
        <w:tc>
          <w:tcPr>
            <w:tcW w:w="284" w:type="dxa"/>
          </w:tcPr>
          <w:p w14:paraId="6506BA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E3F69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1B3B0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2193D8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Переходный сухопутный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A259BD" w14:paraId="413EF805" w14:textId="77777777">
        <w:trPr>
          <w:cantSplit/>
        </w:trPr>
        <w:tc>
          <w:tcPr>
            <w:tcW w:w="624" w:type="dxa"/>
          </w:tcPr>
          <w:p w14:paraId="3FDAA0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П2 М6</w:t>
            </w:r>
          </w:p>
        </w:tc>
        <w:tc>
          <w:tcPr>
            <w:tcW w:w="335" w:type="dxa"/>
          </w:tcPr>
          <w:p w14:paraId="414D40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BA1C0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75DF7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w:t>
            </w:r>
          </w:p>
        </w:tc>
        <w:tc>
          <w:tcPr>
            <w:tcW w:w="426" w:type="dxa"/>
          </w:tcPr>
          <w:p w14:paraId="0AFCD2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0219A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43316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6E769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115</w:t>
            </w:r>
          </w:p>
        </w:tc>
        <w:tc>
          <w:tcPr>
            <w:tcW w:w="426" w:type="dxa"/>
          </w:tcPr>
          <w:p w14:paraId="26C694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B385C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C3CE6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7537C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8D1E4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189</w:t>
            </w:r>
          </w:p>
        </w:tc>
        <w:tc>
          <w:tcPr>
            <w:tcW w:w="409" w:type="dxa"/>
          </w:tcPr>
          <w:p w14:paraId="472515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4ACB0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FF496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549F0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0A395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1EA3DD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73</w:t>
            </w:r>
          </w:p>
        </w:tc>
        <w:tc>
          <w:tcPr>
            <w:tcW w:w="283" w:type="dxa"/>
          </w:tcPr>
          <w:p w14:paraId="0F81D7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338D5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66EC0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1E35D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A7754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EF1E3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168</w:t>
            </w:r>
          </w:p>
        </w:tc>
        <w:tc>
          <w:tcPr>
            <w:tcW w:w="284" w:type="dxa"/>
          </w:tcPr>
          <w:p w14:paraId="50B3A0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2A71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5405D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A135A86" w14:textId="77777777">
        <w:trPr>
          <w:cantSplit/>
        </w:trPr>
        <w:tc>
          <w:tcPr>
            <w:tcW w:w="624" w:type="dxa"/>
          </w:tcPr>
          <w:p w14:paraId="27BD9D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w:t>
            </w:r>
          </w:p>
        </w:tc>
        <w:tc>
          <w:tcPr>
            <w:tcW w:w="335" w:type="dxa"/>
          </w:tcPr>
          <w:p w14:paraId="3041AF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1080</w:t>
            </w:r>
          </w:p>
        </w:tc>
        <w:tc>
          <w:tcPr>
            <w:tcW w:w="425" w:type="dxa"/>
          </w:tcPr>
          <w:p w14:paraId="62E8BB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358</w:t>
            </w:r>
          </w:p>
        </w:tc>
        <w:tc>
          <w:tcPr>
            <w:tcW w:w="425" w:type="dxa"/>
          </w:tcPr>
          <w:p w14:paraId="15771C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422</w:t>
            </w:r>
          </w:p>
        </w:tc>
        <w:tc>
          <w:tcPr>
            <w:tcW w:w="426" w:type="dxa"/>
          </w:tcPr>
          <w:p w14:paraId="15866D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690</w:t>
            </w:r>
          </w:p>
        </w:tc>
        <w:tc>
          <w:tcPr>
            <w:tcW w:w="425" w:type="dxa"/>
          </w:tcPr>
          <w:p w14:paraId="612D31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1283</w:t>
            </w:r>
          </w:p>
        </w:tc>
        <w:tc>
          <w:tcPr>
            <w:tcW w:w="425" w:type="dxa"/>
          </w:tcPr>
          <w:p w14:paraId="1DC437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342</w:t>
            </w:r>
          </w:p>
        </w:tc>
        <w:tc>
          <w:tcPr>
            <w:tcW w:w="425" w:type="dxa"/>
          </w:tcPr>
          <w:p w14:paraId="0B8B83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406</w:t>
            </w:r>
          </w:p>
        </w:tc>
        <w:tc>
          <w:tcPr>
            <w:tcW w:w="426" w:type="dxa"/>
          </w:tcPr>
          <w:p w14:paraId="02374A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502</w:t>
            </w:r>
          </w:p>
        </w:tc>
        <w:tc>
          <w:tcPr>
            <w:tcW w:w="425" w:type="dxa"/>
          </w:tcPr>
          <w:p w14:paraId="1E30F9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w:t>
            </w:r>
          </w:p>
        </w:tc>
        <w:tc>
          <w:tcPr>
            <w:tcW w:w="409" w:type="dxa"/>
          </w:tcPr>
          <w:p w14:paraId="57DE5D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1612</w:t>
            </w:r>
          </w:p>
        </w:tc>
        <w:tc>
          <w:tcPr>
            <w:tcW w:w="409" w:type="dxa"/>
          </w:tcPr>
          <w:p w14:paraId="08A506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352</w:t>
            </w:r>
          </w:p>
        </w:tc>
        <w:tc>
          <w:tcPr>
            <w:tcW w:w="409" w:type="dxa"/>
          </w:tcPr>
          <w:p w14:paraId="3DFF03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409" w:type="dxa"/>
          </w:tcPr>
          <w:p w14:paraId="7B3DE1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tc>
        <w:tc>
          <w:tcPr>
            <w:tcW w:w="409" w:type="dxa"/>
          </w:tcPr>
          <w:p w14:paraId="100DB9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508</w:t>
            </w:r>
          </w:p>
        </w:tc>
        <w:tc>
          <w:tcPr>
            <w:tcW w:w="236" w:type="dxa"/>
          </w:tcPr>
          <w:p w14:paraId="7995B0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w:t>
            </w:r>
          </w:p>
        </w:tc>
        <w:tc>
          <w:tcPr>
            <w:tcW w:w="423" w:type="dxa"/>
          </w:tcPr>
          <w:p w14:paraId="7EA48F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2048</w:t>
            </w:r>
          </w:p>
        </w:tc>
        <w:tc>
          <w:tcPr>
            <w:tcW w:w="423" w:type="dxa"/>
          </w:tcPr>
          <w:p w14:paraId="0A2CE0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480</w:t>
            </w:r>
          </w:p>
        </w:tc>
        <w:tc>
          <w:tcPr>
            <w:tcW w:w="275" w:type="dxa"/>
          </w:tcPr>
          <w:p w14:paraId="76AC3C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552</w:t>
            </w:r>
          </w:p>
        </w:tc>
        <w:tc>
          <w:tcPr>
            <w:tcW w:w="283" w:type="dxa"/>
          </w:tcPr>
          <w:p w14:paraId="489329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448</w:t>
            </w:r>
          </w:p>
        </w:tc>
        <w:tc>
          <w:tcPr>
            <w:tcW w:w="284" w:type="dxa"/>
          </w:tcPr>
          <w:p w14:paraId="509C82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1566</w:t>
            </w:r>
          </w:p>
        </w:tc>
        <w:tc>
          <w:tcPr>
            <w:tcW w:w="283" w:type="dxa"/>
          </w:tcPr>
          <w:p w14:paraId="1F3891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275</w:t>
            </w:r>
          </w:p>
        </w:tc>
        <w:tc>
          <w:tcPr>
            <w:tcW w:w="426" w:type="dxa"/>
          </w:tcPr>
          <w:p w14:paraId="5825D1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2300</w:t>
            </w:r>
          </w:p>
        </w:tc>
        <w:tc>
          <w:tcPr>
            <w:tcW w:w="425" w:type="dxa"/>
          </w:tcPr>
          <w:p w14:paraId="3DD19C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472</w:t>
            </w:r>
          </w:p>
        </w:tc>
        <w:tc>
          <w:tcPr>
            <w:tcW w:w="283" w:type="dxa"/>
          </w:tcPr>
          <w:p w14:paraId="2D702D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352</w:t>
            </w:r>
          </w:p>
        </w:tc>
        <w:tc>
          <w:tcPr>
            <w:tcW w:w="284" w:type="dxa"/>
          </w:tcPr>
          <w:p w14:paraId="437C7B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552</w:t>
            </w:r>
          </w:p>
        </w:tc>
        <w:tc>
          <w:tcPr>
            <w:tcW w:w="425" w:type="dxa"/>
          </w:tcPr>
          <w:p w14:paraId="19911C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2140</w:t>
            </w:r>
          </w:p>
        </w:tc>
        <w:tc>
          <w:tcPr>
            <w:tcW w:w="425" w:type="dxa"/>
          </w:tcPr>
          <w:p w14:paraId="6F1029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849</w:t>
            </w:r>
          </w:p>
        </w:tc>
      </w:tr>
    </w:tbl>
    <w:p w14:paraId="3384AB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(3770).</w:t>
      </w:r>
    </w:p>
    <w:p w14:paraId="03B84C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 3</w:t>
      </w:r>
    </w:p>
    <w:p w14:paraId="5068FE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Пятилетний план развития моторостроительных заводов, мощность заводов по предъявлению по годам, при работе в одну смену и 2000 рабочих часов в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283"/>
        <w:gridCol w:w="284"/>
        <w:gridCol w:w="425"/>
        <w:gridCol w:w="425"/>
        <w:gridCol w:w="426"/>
        <w:gridCol w:w="425"/>
        <w:gridCol w:w="425"/>
        <w:gridCol w:w="1134"/>
        <w:gridCol w:w="1134"/>
      </w:tblGrid>
      <w:tr w:rsidR="00A259BD" w:rsidRPr="00A259BD" w14:paraId="36B8E40E" w14:textId="77777777">
        <w:trPr>
          <w:cantSplit/>
          <w:trHeight w:val="94"/>
        </w:trPr>
        <w:tc>
          <w:tcPr>
            <w:tcW w:w="534" w:type="dxa"/>
          </w:tcPr>
          <w:p w14:paraId="66E9A4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gridSpan w:val="4"/>
          </w:tcPr>
          <w:p w14:paraId="2C4D60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1928/29 год</w:t>
            </w:r>
          </w:p>
        </w:tc>
        <w:tc>
          <w:tcPr>
            <w:tcW w:w="1701" w:type="dxa"/>
            <w:gridSpan w:val="4"/>
          </w:tcPr>
          <w:p w14:paraId="2F8AEA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год</w:t>
            </w:r>
          </w:p>
        </w:tc>
        <w:tc>
          <w:tcPr>
            <w:tcW w:w="1701" w:type="dxa"/>
            <w:gridSpan w:val="4"/>
          </w:tcPr>
          <w:p w14:paraId="7F4ADC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 год</w:t>
            </w:r>
          </w:p>
        </w:tc>
        <w:tc>
          <w:tcPr>
            <w:tcW w:w="1842" w:type="dxa"/>
            <w:gridSpan w:val="5"/>
          </w:tcPr>
          <w:p w14:paraId="75EA5B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 год</w:t>
            </w:r>
          </w:p>
        </w:tc>
        <w:tc>
          <w:tcPr>
            <w:tcW w:w="3544" w:type="dxa"/>
            <w:gridSpan w:val="5"/>
          </w:tcPr>
          <w:p w14:paraId="3AD5CA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год</w:t>
            </w:r>
          </w:p>
        </w:tc>
      </w:tr>
      <w:tr w:rsidR="00A259BD" w:rsidRPr="00A259BD" w14:paraId="26BBF84E" w14:textId="77777777">
        <w:trPr>
          <w:cantSplit/>
          <w:trHeight w:val="94"/>
        </w:trPr>
        <w:tc>
          <w:tcPr>
            <w:tcW w:w="534" w:type="dxa"/>
          </w:tcPr>
          <w:p w14:paraId="6E11B5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gridSpan w:val="4"/>
          </w:tcPr>
          <w:p w14:paraId="386002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701" w:type="dxa"/>
            <w:gridSpan w:val="4"/>
          </w:tcPr>
          <w:p w14:paraId="5649AD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701" w:type="dxa"/>
            <w:gridSpan w:val="4"/>
          </w:tcPr>
          <w:p w14:paraId="63A2E6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842" w:type="dxa"/>
            <w:gridSpan w:val="5"/>
          </w:tcPr>
          <w:p w14:paraId="7B6018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3544" w:type="dxa"/>
            <w:gridSpan w:val="5"/>
          </w:tcPr>
          <w:p w14:paraId="309D89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r>
      <w:tr w:rsidR="00A259BD" w:rsidRPr="00A259BD" w14:paraId="5ECAE90F" w14:textId="77777777">
        <w:trPr>
          <w:cantSplit/>
        </w:trPr>
        <w:tc>
          <w:tcPr>
            <w:tcW w:w="534" w:type="dxa"/>
          </w:tcPr>
          <w:p w14:paraId="14318D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16AD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w:t>
            </w:r>
          </w:p>
        </w:tc>
        <w:tc>
          <w:tcPr>
            <w:tcW w:w="425" w:type="dxa"/>
          </w:tcPr>
          <w:p w14:paraId="1D042F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425" w:type="dxa"/>
          </w:tcPr>
          <w:p w14:paraId="448E07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w:t>
            </w:r>
          </w:p>
        </w:tc>
        <w:tc>
          <w:tcPr>
            <w:tcW w:w="426" w:type="dxa"/>
          </w:tcPr>
          <w:p w14:paraId="17B424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425" w:type="dxa"/>
          </w:tcPr>
          <w:p w14:paraId="74F0CB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w:t>
            </w:r>
          </w:p>
        </w:tc>
        <w:tc>
          <w:tcPr>
            <w:tcW w:w="425" w:type="dxa"/>
          </w:tcPr>
          <w:p w14:paraId="54B084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425" w:type="dxa"/>
          </w:tcPr>
          <w:p w14:paraId="12D6F6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w:t>
            </w:r>
          </w:p>
        </w:tc>
        <w:tc>
          <w:tcPr>
            <w:tcW w:w="426" w:type="dxa"/>
          </w:tcPr>
          <w:p w14:paraId="5BABAB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425" w:type="dxa"/>
          </w:tcPr>
          <w:p w14:paraId="63EF2E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w:t>
            </w:r>
          </w:p>
        </w:tc>
        <w:tc>
          <w:tcPr>
            <w:tcW w:w="425" w:type="dxa"/>
          </w:tcPr>
          <w:p w14:paraId="69E59B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425" w:type="dxa"/>
          </w:tcPr>
          <w:p w14:paraId="288FD3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w:t>
            </w:r>
          </w:p>
        </w:tc>
        <w:tc>
          <w:tcPr>
            <w:tcW w:w="426" w:type="dxa"/>
          </w:tcPr>
          <w:p w14:paraId="30A7B9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425" w:type="dxa"/>
          </w:tcPr>
          <w:p w14:paraId="2D7140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w:t>
            </w:r>
          </w:p>
        </w:tc>
        <w:tc>
          <w:tcPr>
            <w:tcW w:w="283" w:type="dxa"/>
          </w:tcPr>
          <w:p w14:paraId="6CB68A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284" w:type="dxa"/>
          </w:tcPr>
          <w:p w14:paraId="31F31A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w:t>
            </w:r>
          </w:p>
        </w:tc>
        <w:tc>
          <w:tcPr>
            <w:tcW w:w="425" w:type="dxa"/>
          </w:tcPr>
          <w:p w14:paraId="5655A3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Новый</w:t>
            </w:r>
          </w:p>
        </w:tc>
        <w:tc>
          <w:tcPr>
            <w:tcW w:w="425" w:type="dxa"/>
          </w:tcPr>
          <w:p w14:paraId="2E665D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426" w:type="dxa"/>
          </w:tcPr>
          <w:p w14:paraId="282CF8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w:t>
            </w:r>
          </w:p>
        </w:tc>
        <w:tc>
          <w:tcPr>
            <w:tcW w:w="425" w:type="dxa"/>
          </w:tcPr>
          <w:p w14:paraId="604161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425" w:type="dxa"/>
          </w:tcPr>
          <w:p w14:paraId="47360C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w:t>
            </w:r>
          </w:p>
        </w:tc>
        <w:tc>
          <w:tcPr>
            <w:tcW w:w="1134" w:type="dxa"/>
          </w:tcPr>
          <w:p w14:paraId="7F966B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Новый </w:t>
            </w:r>
          </w:p>
        </w:tc>
        <w:tc>
          <w:tcPr>
            <w:tcW w:w="1134" w:type="dxa"/>
          </w:tcPr>
          <w:p w14:paraId="48A78C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r>
    </w:tbl>
    <w:p w14:paraId="295BC5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Мощные с водяным охлаждением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284"/>
        <w:gridCol w:w="411"/>
        <w:gridCol w:w="411"/>
        <w:gridCol w:w="412"/>
        <w:gridCol w:w="411"/>
        <w:gridCol w:w="411"/>
        <w:gridCol w:w="1098"/>
        <w:gridCol w:w="1098"/>
      </w:tblGrid>
      <w:tr w:rsidR="00A259BD" w:rsidRPr="00A259BD" w14:paraId="11E9B0EB" w14:textId="77777777">
        <w:trPr>
          <w:cantSplit/>
        </w:trPr>
        <w:tc>
          <w:tcPr>
            <w:tcW w:w="534" w:type="dxa"/>
          </w:tcPr>
          <w:p w14:paraId="40C241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М5-400</w:t>
            </w:r>
          </w:p>
        </w:tc>
        <w:tc>
          <w:tcPr>
            <w:tcW w:w="425" w:type="dxa"/>
          </w:tcPr>
          <w:p w14:paraId="77575D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w:t>
            </w:r>
          </w:p>
        </w:tc>
        <w:tc>
          <w:tcPr>
            <w:tcW w:w="425" w:type="dxa"/>
          </w:tcPr>
          <w:p w14:paraId="6DBB67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97F67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7B0BD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w:t>
            </w:r>
          </w:p>
        </w:tc>
        <w:tc>
          <w:tcPr>
            <w:tcW w:w="425" w:type="dxa"/>
          </w:tcPr>
          <w:p w14:paraId="124FD6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c>
          <w:tcPr>
            <w:tcW w:w="425" w:type="dxa"/>
          </w:tcPr>
          <w:p w14:paraId="1BF192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D99B2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C52F5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c>
          <w:tcPr>
            <w:tcW w:w="425" w:type="dxa"/>
          </w:tcPr>
          <w:p w14:paraId="0591B5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1FAF4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375EC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DFA78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CFAB9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99840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0F2C9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5D3896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5EE844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2" w:type="dxa"/>
          </w:tcPr>
          <w:p w14:paraId="0F8C5E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16FFC0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C8240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5BF2C8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0C0E0B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6F600F0" w14:textId="77777777">
        <w:trPr>
          <w:cantSplit/>
        </w:trPr>
        <w:tc>
          <w:tcPr>
            <w:tcW w:w="534" w:type="dxa"/>
          </w:tcPr>
          <w:p w14:paraId="4D34F1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V12-600</w:t>
            </w:r>
          </w:p>
        </w:tc>
        <w:tc>
          <w:tcPr>
            <w:tcW w:w="425" w:type="dxa"/>
          </w:tcPr>
          <w:p w14:paraId="0320A1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425" w:type="dxa"/>
          </w:tcPr>
          <w:p w14:paraId="15DE81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410A7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DE671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425" w:type="dxa"/>
          </w:tcPr>
          <w:p w14:paraId="6C9551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tc>
        <w:tc>
          <w:tcPr>
            <w:tcW w:w="425" w:type="dxa"/>
          </w:tcPr>
          <w:p w14:paraId="377562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D5145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1DF9B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tc>
        <w:tc>
          <w:tcPr>
            <w:tcW w:w="425" w:type="dxa"/>
          </w:tcPr>
          <w:p w14:paraId="1A6B50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310</w:t>
            </w:r>
          </w:p>
        </w:tc>
        <w:tc>
          <w:tcPr>
            <w:tcW w:w="425" w:type="dxa"/>
          </w:tcPr>
          <w:p w14:paraId="21F318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6007B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B94D7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310</w:t>
            </w:r>
          </w:p>
        </w:tc>
        <w:tc>
          <w:tcPr>
            <w:tcW w:w="425" w:type="dxa"/>
          </w:tcPr>
          <w:p w14:paraId="782DE2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420</w:t>
            </w:r>
          </w:p>
        </w:tc>
        <w:tc>
          <w:tcPr>
            <w:tcW w:w="425" w:type="dxa"/>
          </w:tcPr>
          <w:p w14:paraId="136430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59A8D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15284B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45EB02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420</w:t>
            </w:r>
          </w:p>
        </w:tc>
        <w:tc>
          <w:tcPr>
            <w:tcW w:w="412" w:type="dxa"/>
          </w:tcPr>
          <w:p w14:paraId="63DA81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165</w:t>
            </w:r>
          </w:p>
        </w:tc>
        <w:tc>
          <w:tcPr>
            <w:tcW w:w="411" w:type="dxa"/>
          </w:tcPr>
          <w:p w14:paraId="509F41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08A8BB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4C34F6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26EFC2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165</w:t>
            </w:r>
          </w:p>
        </w:tc>
      </w:tr>
      <w:tr w:rsidR="00A259BD" w:rsidRPr="00A259BD" w14:paraId="10219A4D" w14:textId="77777777">
        <w:trPr>
          <w:cantSplit/>
        </w:trPr>
        <w:tc>
          <w:tcPr>
            <w:tcW w:w="534" w:type="dxa"/>
          </w:tcPr>
          <w:p w14:paraId="368ED8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W-18-700/ 800</w:t>
            </w:r>
          </w:p>
        </w:tc>
        <w:tc>
          <w:tcPr>
            <w:tcW w:w="425" w:type="dxa"/>
          </w:tcPr>
          <w:p w14:paraId="21125E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8BCC9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D8CCC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D9A0F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A627C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425" w:type="dxa"/>
          </w:tcPr>
          <w:p w14:paraId="4F4471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FBB3B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CDC69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425" w:type="dxa"/>
          </w:tcPr>
          <w:p w14:paraId="4ECFF0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c>
          <w:tcPr>
            <w:tcW w:w="425" w:type="dxa"/>
          </w:tcPr>
          <w:p w14:paraId="1A44EE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18593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C7F47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c>
          <w:tcPr>
            <w:tcW w:w="425" w:type="dxa"/>
          </w:tcPr>
          <w:p w14:paraId="19E55E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c>
          <w:tcPr>
            <w:tcW w:w="425" w:type="dxa"/>
          </w:tcPr>
          <w:p w14:paraId="0F58A6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56F665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45ABD2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BB068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c>
          <w:tcPr>
            <w:tcW w:w="412" w:type="dxa"/>
          </w:tcPr>
          <w:p w14:paraId="69AFB3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w:t>
            </w:r>
          </w:p>
        </w:tc>
        <w:tc>
          <w:tcPr>
            <w:tcW w:w="411" w:type="dxa"/>
          </w:tcPr>
          <w:p w14:paraId="14889A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579AAA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638951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25F702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w:t>
            </w:r>
          </w:p>
        </w:tc>
      </w:tr>
      <w:tr w:rsidR="00A259BD" w:rsidRPr="00A259BD" w14:paraId="7497B0D1" w14:textId="77777777">
        <w:trPr>
          <w:cantSplit/>
        </w:trPr>
        <w:tc>
          <w:tcPr>
            <w:tcW w:w="534" w:type="dxa"/>
          </w:tcPr>
          <w:p w14:paraId="742935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БМВ-VI</w:t>
            </w:r>
          </w:p>
        </w:tc>
        <w:tc>
          <w:tcPr>
            <w:tcW w:w="425" w:type="dxa"/>
          </w:tcPr>
          <w:p w14:paraId="6BF6F5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C4736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tc>
        <w:tc>
          <w:tcPr>
            <w:tcW w:w="425" w:type="dxa"/>
          </w:tcPr>
          <w:p w14:paraId="52FE41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F18BF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tc>
        <w:tc>
          <w:tcPr>
            <w:tcW w:w="425" w:type="dxa"/>
          </w:tcPr>
          <w:p w14:paraId="73701B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EE978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w:t>
            </w:r>
          </w:p>
        </w:tc>
        <w:tc>
          <w:tcPr>
            <w:tcW w:w="425" w:type="dxa"/>
          </w:tcPr>
          <w:p w14:paraId="4DC46F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405E7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w:t>
            </w:r>
          </w:p>
        </w:tc>
        <w:tc>
          <w:tcPr>
            <w:tcW w:w="425" w:type="dxa"/>
          </w:tcPr>
          <w:p w14:paraId="718D34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12865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425" w:type="dxa"/>
          </w:tcPr>
          <w:p w14:paraId="15C3BF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1851B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425" w:type="dxa"/>
          </w:tcPr>
          <w:p w14:paraId="3A793B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7F6F0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700</w:t>
            </w:r>
          </w:p>
        </w:tc>
        <w:tc>
          <w:tcPr>
            <w:tcW w:w="284" w:type="dxa"/>
          </w:tcPr>
          <w:p w14:paraId="376F62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4730C5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35026F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700</w:t>
            </w:r>
          </w:p>
        </w:tc>
        <w:tc>
          <w:tcPr>
            <w:tcW w:w="412" w:type="dxa"/>
          </w:tcPr>
          <w:p w14:paraId="397BC3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5C11CF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w:t>
            </w:r>
          </w:p>
        </w:tc>
        <w:tc>
          <w:tcPr>
            <w:tcW w:w="411" w:type="dxa"/>
          </w:tcPr>
          <w:p w14:paraId="3261B6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699E32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74F4F6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w:t>
            </w:r>
          </w:p>
        </w:tc>
      </w:tr>
      <w:tr w:rsidR="00A259BD" w:rsidRPr="00A259BD" w14:paraId="1F598CC3" w14:textId="77777777">
        <w:trPr>
          <w:cantSplit/>
        </w:trPr>
        <w:tc>
          <w:tcPr>
            <w:tcW w:w="534" w:type="dxa"/>
          </w:tcPr>
          <w:p w14:paraId="7A672B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М-27</w:t>
            </w:r>
          </w:p>
        </w:tc>
        <w:tc>
          <w:tcPr>
            <w:tcW w:w="425" w:type="dxa"/>
          </w:tcPr>
          <w:p w14:paraId="62F6E5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4BDF6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6B85A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96F8C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701D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32E18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A74DD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0600D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002D0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0000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6271A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5290F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33C1B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3E63F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tc>
        <w:tc>
          <w:tcPr>
            <w:tcW w:w="284" w:type="dxa"/>
          </w:tcPr>
          <w:p w14:paraId="531834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296D1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4EF11B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tc>
        <w:tc>
          <w:tcPr>
            <w:tcW w:w="412" w:type="dxa"/>
          </w:tcPr>
          <w:p w14:paraId="12C4A0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1C3BFF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w:t>
            </w:r>
          </w:p>
        </w:tc>
        <w:tc>
          <w:tcPr>
            <w:tcW w:w="411" w:type="dxa"/>
          </w:tcPr>
          <w:p w14:paraId="44C53B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5D7BDB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73AF18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w:t>
            </w:r>
          </w:p>
        </w:tc>
      </w:tr>
      <w:tr w:rsidR="00A259BD" w:rsidRPr="00A259BD" w14:paraId="7B85F3DF" w14:textId="77777777">
        <w:trPr>
          <w:cantSplit/>
        </w:trPr>
        <w:tc>
          <w:tcPr>
            <w:tcW w:w="534" w:type="dxa"/>
          </w:tcPr>
          <w:p w14:paraId="4979CA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w:t>
            </w:r>
          </w:p>
        </w:tc>
        <w:tc>
          <w:tcPr>
            <w:tcW w:w="425" w:type="dxa"/>
          </w:tcPr>
          <w:p w14:paraId="605719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610</w:t>
            </w:r>
          </w:p>
        </w:tc>
        <w:tc>
          <w:tcPr>
            <w:tcW w:w="425" w:type="dxa"/>
          </w:tcPr>
          <w:p w14:paraId="087936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tc>
        <w:tc>
          <w:tcPr>
            <w:tcW w:w="425" w:type="dxa"/>
          </w:tcPr>
          <w:p w14:paraId="2D2932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090FE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650</w:t>
            </w:r>
          </w:p>
        </w:tc>
        <w:tc>
          <w:tcPr>
            <w:tcW w:w="425" w:type="dxa"/>
          </w:tcPr>
          <w:p w14:paraId="757335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w:t>
            </w:r>
          </w:p>
        </w:tc>
        <w:tc>
          <w:tcPr>
            <w:tcW w:w="425" w:type="dxa"/>
          </w:tcPr>
          <w:p w14:paraId="5FD36C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w:t>
            </w:r>
          </w:p>
        </w:tc>
        <w:tc>
          <w:tcPr>
            <w:tcW w:w="425" w:type="dxa"/>
          </w:tcPr>
          <w:p w14:paraId="4CF584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1FB19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850</w:t>
            </w:r>
          </w:p>
        </w:tc>
        <w:tc>
          <w:tcPr>
            <w:tcW w:w="425" w:type="dxa"/>
          </w:tcPr>
          <w:p w14:paraId="191103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510</w:t>
            </w:r>
          </w:p>
        </w:tc>
        <w:tc>
          <w:tcPr>
            <w:tcW w:w="425" w:type="dxa"/>
          </w:tcPr>
          <w:p w14:paraId="3CBD63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425" w:type="dxa"/>
          </w:tcPr>
          <w:p w14:paraId="489C8D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8E616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1010</w:t>
            </w:r>
          </w:p>
        </w:tc>
        <w:tc>
          <w:tcPr>
            <w:tcW w:w="425" w:type="dxa"/>
          </w:tcPr>
          <w:p w14:paraId="6E0556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620</w:t>
            </w:r>
          </w:p>
        </w:tc>
        <w:tc>
          <w:tcPr>
            <w:tcW w:w="425" w:type="dxa"/>
          </w:tcPr>
          <w:p w14:paraId="5DDBA2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730</w:t>
            </w:r>
          </w:p>
        </w:tc>
        <w:tc>
          <w:tcPr>
            <w:tcW w:w="284" w:type="dxa"/>
          </w:tcPr>
          <w:p w14:paraId="4DE9D5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1EBD81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70EC7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1350</w:t>
            </w:r>
          </w:p>
        </w:tc>
        <w:tc>
          <w:tcPr>
            <w:tcW w:w="412" w:type="dxa"/>
          </w:tcPr>
          <w:p w14:paraId="3CFAA4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325</w:t>
            </w:r>
          </w:p>
        </w:tc>
        <w:tc>
          <w:tcPr>
            <w:tcW w:w="411" w:type="dxa"/>
          </w:tcPr>
          <w:p w14:paraId="767AC0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1150</w:t>
            </w:r>
          </w:p>
        </w:tc>
        <w:tc>
          <w:tcPr>
            <w:tcW w:w="411" w:type="dxa"/>
          </w:tcPr>
          <w:p w14:paraId="5E3D85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79247C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07C3BF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1475</w:t>
            </w:r>
          </w:p>
        </w:tc>
      </w:tr>
    </w:tbl>
    <w:p w14:paraId="5CE9A6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Мощные с воздушным охлаждением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425"/>
        <w:gridCol w:w="284"/>
        <w:gridCol w:w="425"/>
        <w:gridCol w:w="425"/>
        <w:gridCol w:w="426"/>
        <w:gridCol w:w="425"/>
        <w:gridCol w:w="992"/>
        <w:gridCol w:w="1134"/>
      </w:tblGrid>
      <w:tr w:rsidR="00A259BD" w:rsidRPr="00A259BD" w14:paraId="7E68BFDD" w14:textId="77777777">
        <w:trPr>
          <w:cantSplit/>
        </w:trPr>
        <w:tc>
          <w:tcPr>
            <w:tcW w:w="534" w:type="dxa"/>
          </w:tcPr>
          <w:p w14:paraId="0A97EE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Юпитер или М-15</w:t>
            </w:r>
          </w:p>
        </w:tc>
        <w:tc>
          <w:tcPr>
            <w:tcW w:w="425" w:type="dxa"/>
          </w:tcPr>
          <w:p w14:paraId="01AA3C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ADC11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A41C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DE9FC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47F78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425" w:type="dxa"/>
          </w:tcPr>
          <w:p w14:paraId="194437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91C54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tc>
        <w:tc>
          <w:tcPr>
            <w:tcW w:w="426" w:type="dxa"/>
          </w:tcPr>
          <w:p w14:paraId="7EE7C3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tc>
        <w:tc>
          <w:tcPr>
            <w:tcW w:w="425" w:type="dxa"/>
          </w:tcPr>
          <w:p w14:paraId="1C4076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425" w:type="dxa"/>
          </w:tcPr>
          <w:p w14:paraId="702020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B792E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tc>
        <w:tc>
          <w:tcPr>
            <w:tcW w:w="426" w:type="dxa"/>
          </w:tcPr>
          <w:p w14:paraId="12EDE7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w:t>
            </w:r>
          </w:p>
        </w:tc>
        <w:tc>
          <w:tcPr>
            <w:tcW w:w="425" w:type="dxa"/>
          </w:tcPr>
          <w:p w14:paraId="4BDC50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280</w:t>
            </w:r>
          </w:p>
        </w:tc>
        <w:tc>
          <w:tcPr>
            <w:tcW w:w="425" w:type="dxa"/>
          </w:tcPr>
          <w:p w14:paraId="5DFF80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DF6E1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220</w:t>
            </w:r>
          </w:p>
        </w:tc>
        <w:tc>
          <w:tcPr>
            <w:tcW w:w="284" w:type="dxa"/>
          </w:tcPr>
          <w:p w14:paraId="734167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2FD7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425" w:type="dxa"/>
          </w:tcPr>
          <w:p w14:paraId="5977E7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575</w:t>
            </w:r>
          </w:p>
        </w:tc>
        <w:tc>
          <w:tcPr>
            <w:tcW w:w="426" w:type="dxa"/>
          </w:tcPr>
          <w:p w14:paraId="67F589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1ACA6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w:t>
            </w:r>
          </w:p>
        </w:tc>
        <w:tc>
          <w:tcPr>
            <w:tcW w:w="992" w:type="dxa"/>
          </w:tcPr>
          <w:p w14:paraId="677670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5B9A7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725</w:t>
            </w:r>
          </w:p>
        </w:tc>
      </w:tr>
    </w:tbl>
    <w:p w14:paraId="13957C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Переходные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425"/>
        <w:gridCol w:w="284"/>
        <w:gridCol w:w="425"/>
        <w:gridCol w:w="425"/>
        <w:gridCol w:w="426"/>
        <w:gridCol w:w="425"/>
        <w:gridCol w:w="992"/>
        <w:gridCol w:w="1134"/>
      </w:tblGrid>
      <w:tr w:rsidR="00A259BD" w:rsidRPr="00A259BD" w14:paraId="1C0D2515" w14:textId="77777777">
        <w:trPr>
          <w:cantSplit/>
        </w:trPr>
        <w:tc>
          <w:tcPr>
            <w:tcW w:w="534" w:type="dxa"/>
          </w:tcPr>
          <w:p w14:paraId="68D7B2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М6-300</w:t>
            </w:r>
          </w:p>
        </w:tc>
        <w:tc>
          <w:tcPr>
            <w:tcW w:w="425" w:type="dxa"/>
          </w:tcPr>
          <w:p w14:paraId="35EF14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E327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8711A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w:t>
            </w:r>
          </w:p>
        </w:tc>
        <w:tc>
          <w:tcPr>
            <w:tcW w:w="426" w:type="dxa"/>
          </w:tcPr>
          <w:p w14:paraId="661639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w:t>
            </w:r>
          </w:p>
        </w:tc>
        <w:tc>
          <w:tcPr>
            <w:tcW w:w="425" w:type="dxa"/>
          </w:tcPr>
          <w:p w14:paraId="7D9FF6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CB38A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EE41A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tc>
        <w:tc>
          <w:tcPr>
            <w:tcW w:w="426" w:type="dxa"/>
          </w:tcPr>
          <w:p w14:paraId="5FD4D5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tc>
        <w:tc>
          <w:tcPr>
            <w:tcW w:w="425" w:type="dxa"/>
          </w:tcPr>
          <w:p w14:paraId="02FF31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32B9D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B4904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B5167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EA60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69113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AB02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983EC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50C7B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AF31B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B713A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1E33E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5E58D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2748B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01D5766" w14:textId="77777777">
        <w:trPr>
          <w:cantSplit/>
        </w:trPr>
        <w:tc>
          <w:tcPr>
            <w:tcW w:w="534" w:type="dxa"/>
          </w:tcPr>
          <w:p w14:paraId="3F544C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М26-300</w:t>
            </w:r>
          </w:p>
        </w:tc>
        <w:tc>
          <w:tcPr>
            <w:tcW w:w="425" w:type="dxa"/>
          </w:tcPr>
          <w:p w14:paraId="1FFF1B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8D7A9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9DDC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70E11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1BFF8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A4F9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FFF2D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B7D2F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C95B5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6666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16750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tc>
        <w:tc>
          <w:tcPr>
            <w:tcW w:w="426" w:type="dxa"/>
          </w:tcPr>
          <w:p w14:paraId="238C12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tc>
        <w:tc>
          <w:tcPr>
            <w:tcW w:w="425" w:type="dxa"/>
          </w:tcPr>
          <w:p w14:paraId="4FAA56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4BCB4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66034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w:t>
            </w:r>
          </w:p>
        </w:tc>
        <w:tc>
          <w:tcPr>
            <w:tcW w:w="284" w:type="dxa"/>
          </w:tcPr>
          <w:p w14:paraId="13BA59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c>
          <w:tcPr>
            <w:tcW w:w="425" w:type="dxa"/>
          </w:tcPr>
          <w:p w14:paraId="6F0F12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280</w:t>
            </w:r>
          </w:p>
        </w:tc>
        <w:tc>
          <w:tcPr>
            <w:tcW w:w="425" w:type="dxa"/>
          </w:tcPr>
          <w:p w14:paraId="303611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53D48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B07EB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130</w:t>
            </w:r>
          </w:p>
        </w:tc>
        <w:tc>
          <w:tcPr>
            <w:tcW w:w="992" w:type="dxa"/>
          </w:tcPr>
          <w:p w14:paraId="39EEDD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1134" w:type="dxa"/>
          </w:tcPr>
          <w:p w14:paraId="1BC503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630</w:t>
            </w:r>
          </w:p>
        </w:tc>
      </w:tr>
    </w:tbl>
    <w:p w14:paraId="30AED2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Учебные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425"/>
        <w:gridCol w:w="284"/>
        <w:gridCol w:w="425"/>
        <w:gridCol w:w="425"/>
        <w:gridCol w:w="430"/>
        <w:gridCol w:w="430"/>
        <w:gridCol w:w="1001"/>
        <w:gridCol w:w="1116"/>
      </w:tblGrid>
      <w:tr w:rsidR="00A259BD" w:rsidRPr="00A259BD" w14:paraId="3DC030B2" w14:textId="77777777">
        <w:trPr>
          <w:cantSplit/>
        </w:trPr>
        <w:tc>
          <w:tcPr>
            <w:tcW w:w="534" w:type="dxa"/>
          </w:tcPr>
          <w:p w14:paraId="3DCE48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М11 или М12</w:t>
            </w:r>
          </w:p>
        </w:tc>
        <w:tc>
          <w:tcPr>
            <w:tcW w:w="425" w:type="dxa"/>
          </w:tcPr>
          <w:p w14:paraId="2DBE36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537D4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9E474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w:t>
            </w:r>
          </w:p>
        </w:tc>
        <w:tc>
          <w:tcPr>
            <w:tcW w:w="426" w:type="dxa"/>
          </w:tcPr>
          <w:p w14:paraId="4C577C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w:t>
            </w:r>
          </w:p>
        </w:tc>
        <w:tc>
          <w:tcPr>
            <w:tcW w:w="425" w:type="dxa"/>
          </w:tcPr>
          <w:p w14:paraId="533D93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C628E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BF707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w:t>
            </w:r>
          </w:p>
        </w:tc>
        <w:tc>
          <w:tcPr>
            <w:tcW w:w="426" w:type="dxa"/>
          </w:tcPr>
          <w:p w14:paraId="7EEAC8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w:t>
            </w:r>
          </w:p>
        </w:tc>
        <w:tc>
          <w:tcPr>
            <w:tcW w:w="425" w:type="dxa"/>
          </w:tcPr>
          <w:p w14:paraId="100B79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3494D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E2D2B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w:t>
            </w:r>
          </w:p>
        </w:tc>
        <w:tc>
          <w:tcPr>
            <w:tcW w:w="426" w:type="dxa"/>
          </w:tcPr>
          <w:p w14:paraId="35DDC3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w:t>
            </w:r>
          </w:p>
        </w:tc>
        <w:tc>
          <w:tcPr>
            <w:tcW w:w="425" w:type="dxa"/>
          </w:tcPr>
          <w:p w14:paraId="17AD45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D4751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41F57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c>
          <w:tcPr>
            <w:tcW w:w="284" w:type="dxa"/>
          </w:tcPr>
          <w:p w14:paraId="216418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811D0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c>
          <w:tcPr>
            <w:tcW w:w="425" w:type="dxa"/>
          </w:tcPr>
          <w:p w14:paraId="7E797E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0" w:type="dxa"/>
          </w:tcPr>
          <w:p w14:paraId="15E646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0" w:type="dxa"/>
          </w:tcPr>
          <w:p w14:paraId="3E3598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220</w:t>
            </w:r>
          </w:p>
        </w:tc>
        <w:tc>
          <w:tcPr>
            <w:tcW w:w="1001" w:type="dxa"/>
          </w:tcPr>
          <w:p w14:paraId="2939BA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16" w:type="dxa"/>
          </w:tcPr>
          <w:p w14:paraId="26C710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220</w:t>
            </w:r>
          </w:p>
        </w:tc>
      </w:tr>
      <w:tr w:rsidR="00A259BD" w:rsidRPr="00A259BD" w14:paraId="2669FDD4" w14:textId="77777777">
        <w:trPr>
          <w:cantSplit/>
        </w:trPr>
        <w:tc>
          <w:tcPr>
            <w:tcW w:w="534" w:type="dxa"/>
          </w:tcPr>
          <w:p w14:paraId="1118F2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w:t>
            </w:r>
          </w:p>
        </w:tc>
        <w:tc>
          <w:tcPr>
            <w:tcW w:w="425" w:type="dxa"/>
          </w:tcPr>
          <w:p w14:paraId="05148B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610</w:t>
            </w:r>
          </w:p>
        </w:tc>
        <w:tc>
          <w:tcPr>
            <w:tcW w:w="425" w:type="dxa"/>
          </w:tcPr>
          <w:p w14:paraId="00432B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tc>
        <w:tc>
          <w:tcPr>
            <w:tcW w:w="425" w:type="dxa"/>
          </w:tcPr>
          <w:p w14:paraId="2BE048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w:t>
            </w:r>
          </w:p>
        </w:tc>
        <w:tc>
          <w:tcPr>
            <w:tcW w:w="426" w:type="dxa"/>
          </w:tcPr>
          <w:p w14:paraId="565458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810</w:t>
            </w:r>
          </w:p>
        </w:tc>
        <w:tc>
          <w:tcPr>
            <w:tcW w:w="425" w:type="dxa"/>
          </w:tcPr>
          <w:p w14:paraId="7CCE52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610</w:t>
            </w:r>
          </w:p>
        </w:tc>
        <w:tc>
          <w:tcPr>
            <w:tcW w:w="425" w:type="dxa"/>
          </w:tcPr>
          <w:p w14:paraId="122EC9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w:t>
            </w:r>
          </w:p>
        </w:tc>
        <w:tc>
          <w:tcPr>
            <w:tcW w:w="425" w:type="dxa"/>
          </w:tcPr>
          <w:p w14:paraId="27EFCC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c>
          <w:tcPr>
            <w:tcW w:w="426" w:type="dxa"/>
          </w:tcPr>
          <w:p w14:paraId="358065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1060</w:t>
            </w:r>
          </w:p>
        </w:tc>
        <w:tc>
          <w:tcPr>
            <w:tcW w:w="425" w:type="dxa"/>
          </w:tcPr>
          <w:p w14:paraId="19C97F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610</w:t>
            </w:r>
          </w:p>
        </w:tc>
        <w:tc>
          <w:tcPr>
            <w:tcW w:w="425" w:type="dxa"/>
          </w:tcPr>
          <w:p w14:paraId="6237DE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425" w:type="dxa"/>
          </w:tcPr>
          <w:p w14:paraId="146522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c>
          <w:tcPr>
            <w:tcW w:w="426" w:type="dxa"/>
          </w:tcPr>
          <w:p w14:paraId="06DFE7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1310</w:t>
            </w:r>
          </w:p>
        </w:tc>
        <w:tc>
          <w:tcPr>
            <w:tcW w:w="425" w:type="dxa"/>
          </w:tcPr>
          <w:p w14:paraId="56D1B1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w:t>
            </w:r>
          </w:p>
        </w:tc>
        <w:tc>
          <w:tcPr>
            <w:tcW w:w="425" w:type="dxa"/>
          </w:tcPr>
          <w:p w14:paraId="45893C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730</w:t>
            </w:r>
          </w:p>
        </w:tc>
        <w:tc>
          <w:tcPr>
            <w:tcW w:w="425" w:type="dxa"/>
          </w:tcPr>
          <w:p w14:paraId="3CEFC9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284" w:type="dxa"/>
          </w:tcPr>
          <w:p w14:paraId="560342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c>
          <w:tcPr>
            <w:tcW w:w="425" w:type="dxa"/>
          </w:tcPr>
          <w:p w14:paraId="561C7C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2330</w:t>
            </w:r>
          </w:p>
        </w:tc>
        <w:tc>
          <w:tcPr>
            <w:tcW w:w="425" w:type="dxa"/>
          </w:tcPr>
          <w:p w14:paraId="1DD888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w:t>
            </w:r>
          </w:p>
        </w:tc>
        <w:tc>
          <w:tcPr>
            <w:tcW w:w="430" w:type="dxa"/>
          </w:tcPr>
          <w:p w14:paraId="170AFE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1150</w:t>
            </w:r>
          </w:p>
        </w:tc>
        <w:tc>
          <w:tcPr>
            <w:tcW w:w="430" w:type="dxa"/>
          </w:tcPr>
          <w:p w14:paraId="1BD97E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1001" w:type="dxa"/>
          </w:tcPr>
          <w:p w14:paraId="01C5A9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1116" w:type="dxa"/>
          </w:tcPr>
          <w:p w14:paraId="171547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3050</w:t>
            </w:r>
          </w:p>
        </w:tc>
      </w:tr>
      <w:tr w:rsidR="00A259BD" w:rsidRPr="00A259BD" w14:paraId="709008BB" w14:textId="77777777">
        <w:trPr>
          <w:cantSplit/>
        </w:trPr>
        <w:tc>
          <w:tcPr>
            <w:tcW w:w="534" w:type="dxa"/>
          </w:tcPr>
          <w:p w14:paraId="4B3B6E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по заводам</w:t>
            </w:r>
          </w:p>
        </w:tc>
        <w:tc>
          <w:tcPr>
            <w:tcW w:w="1701" w:type="dxa"/>
            <w:gridSpan w:val="4"/>
          </w:tcPr>
          <w:p w14:paraId="4211D9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810</w:t>
            </w:r>
          </w:p>
        </w:tc>
        <w:tc>
          <w:tcPr>
            <w:tcW w:w="1701" w:type="dxa"/>
            <w:gridSpan w:val="4"/>
          </w:tcPr>
          <w:p w14:paraId="41D8EB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1060</w:t>
            </w:r>
          </w:p>
        </w:tc>
        <w:tc>
          <w:tcPr>
            <w:tcW w:w="1701" w:type="dxa"/>
            <w:gridSpan w:val="4"/>
          </w:tcPr>
          <w:p w14:paraId="39D1B6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1310</w:t>
            </w:r>
          </w:p>
        </w:tc>
        <w:tc>
          <w:tcPr>
            <w:tcW w:w="1984" w:type="dxa"/>
            <w:gridSpan w:val="5"/>
          </w:tcPr>
          <w:p w14:paraId="3D5CA9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2330</w:t>
            </w:r>
          </w:p>
        </w:tc>
        <w:tc>
          <w:tcPr>
            <w:tcW w:w="3402" w:type="dxa"/>
            <w:gridSpan w:val="5"/>
          </w:tcPr>
          <w:p w14:paraId="26DFBE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3050*</w:t>
            </w:r>
          </w:p>
        </w:tc>
      </w:tr>
    </w:tbl>
    <w:p w14:paraId="60ABF1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 * Недостаток до 3073 моторов, т.е. 23 мотора покрывается за счет рационализации производства и находит отражение в выпуске моторов (3545)</w:t>
      </w:r>
    </w:p>
    <w:p w14:paraId="3F5161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Пятилетний план развития моторостроительных заводов, мощность заводов по предъявлению по годам, при работе в три смены и 2500 рабочих часов в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275"/>
        <w:gridCol w:w="412"/>
        <w:gridCol w:w="413"/>
        <w:gridCol w:w="413"/>
        <w:gridCol w:w="412"/>
        <w:gridCol w:w="486"/>
        <w:gridCol w:w="992"/>
        <w:gridCol w:w="1134"/>
      </w:tblGrid>
      <w:tr w:rsidR="00A259BD" w:rsidRPr="00A259BD" w14:paraId="392A9DE4" w14:textId="77777777">
        <w:trPr>
          <w:cantSplit/>
          <w:trHeight w:val="94"/>
        </w:trPr>
        <w:tc>
          <w:tcPr>
            <w:tcW w:w="534" w:type="dxa"/>
          </w:tcPr>
          <w:p w14:paraId="300652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gridSpan w:val="4"/>
          </w:tcPr>
          <w:p w14:paraId="7DA612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1928/29 год</w:t>
            </w:r>
          </w:p>
        </w:tc>
        <w:tc>
          <w:tcPr>
            <w:tcW w:w="1701" w:type="dxa"/>
            <w:gridSpan w:val="4"/>
          </w:tcPr>
          <w:p w14:paraId="67244C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год</w:t>
            </w:r>
          </w:p>
        </w:tc>
        <w:tc>
          <w:tcPr>
            <w:tcW w:w="1701" w:type="dxa"/>
            <w:gridSpan w:val="4"/>
          </w:tcPr>
          <w:p w14:paraId="7693D6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 год</w:t>
            </w:r>
          </w:p>
        </w:tc>
        <w:tc>
          <w:tcPr>
            <w:tcW w:w="1950" w:type="dxa"/>
            <w:gridSpan w:val="5"/>
          </w:tcPr>
          <w:p w14:paraId="209B80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 год</w:t>
            </w:r>
          </w:p>
        </w:tc>
        <w:tc>
          <w:tcPr>
            <w:tcW w:w="3436" w:type="dxa"/>
            <w:gridSpan w:val="5"/>
          </w:tcPr>
          <w:p w14:paraId="088A35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год</w:t>
            </w:r>
          </w:p>
        </w:tc>
      </w:tr>
      <w:tr w:rsidR="00A259BD" w:rsidRPr="00A259BD" w14:paraId="4E165964" w14:textId="77777777">
        <w:trPr>
          <w:cantSplit/>
          <w:trHeight w:val="94"/>
        </w:trPr>
        <w:tc>
          <w:tcPr>
            <w:tcW w:w="534" w:type="dxa"/>
          </w:tcPr>
          <w:p w14:paraId="32F7F7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gridSpan w:val="4"/>
          </w:tcPr>
          <w:p w14:paraId="6DCD11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701" w:type="dxa"/>
            <w:gridSpan w:val="4"/>
          </w:tcPr>
          <w:p w14:paraId="6F329C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701" w:type="dxa"/>
            <w:gridSpan w:val="4"/>
          </w:tcPr>
          <w:p w14:paraId="039D7A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950" w:type="dxa"/>
            <w:gridSpan w:val="5"/>
          </w:tcPr>
          <w:p w14:paraId="4B7C12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3436" w:type="dxa"/>
            <w:gridSpan w:val="5"/>
          </w:tcPr>
          <w:p w14:paraId="71EA8C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r>
      <w:tr w:rsidR="00A259BD" w:rsidRPr="00A259BD" w14:paraId="78884FD1" w14:textId="77777777">
        <w:trPr>
          <w:cantSplit/>
        </w:trPr>
        <w:tc>
          <w:tcPr>
            <w:tcW w:w="534" w:type="dxa"/>
          </w:tcPr>
          <w:p w14:paraId="4A703A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E7988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w:t>
            </w:r>
          </w:p>
        </w:tc>
        <w:tc>
          <w:tcPr>
            <w:tcW w:w="425" w:type="dxa"/>
          </w:tcPr>
          <w:p w14:paraId="2769BE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425" w:type="dxa"/>
          </w:tcPr>
          <w:p w14:paraId="1EBFF4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w:t>
            </w:r>
          </w:p>
        </w:tc>
        <w:tc>
          <w:tcPr>
            <w:tcW w:w="426" w:type="dxa"/>
          </w:tcPr>
          <w:p w14:paraId="450FCA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425" w:type="dxa"/>
          </w:tcPr>
          <w:p w14:paraId="09D24A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w:t>
            </w:r>
          </w:p>
        </w:tc>
        <w:tc>
          <w:tcPr>
            <w:tcW w:w="425" w:type="dxa"/>
          </w:tcPr>
          <w:p w14:paraId="6390CE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425" w:type="dxa"/>
          </w:tcPr>
          <w:p w14:paraId="45546F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w:t>
            </w:r>
          </w:p>
        </w:tc>
        <w:tc>
          <w:tcPr>
            <w:tcW w:w="426" w:type="dxa"/>
          </w:tcPr>
          <w:p w14:paraId="534285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425" w:type="dxa"/>
          </w:tcPr>
          <w:p w14:paraId="3A0D48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w:t>
            </w:r>
          </w:p>
        </w:tc>
        <w:tc>
          <w:tcPr>
            <w:tcW w:w="425" w:type="dxa"/>
          </w:tcPr>
          <w:p w14:paraId="2AAB0B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425" w:type="dxa"/>
          </w:tcPr>
          <w:p w14:paraId="7EED3B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w:t>
            </w:r>
          </w:p>
        </w:tc>
        <w:tc>
          <w:tcPr>
            <w:tcW w:w="426" w:type="dxa"/>
          </w:tcPr>
          <w:p w14:paraId="6E165D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425" w:type="dxa"/>
          </w:tcPr>
          <w:p w14:paraId="6B0028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w:t>
            </w:r>
          </w:p>
        </w:tc>
        <w:tc>
          <w:tcPr>
            <w:tcW w:w="425" w:type="dxa"/>
          </w:tcPr>
          <w:p w14:paraId="001C1B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275" w:type="dxa"/>
          </w:tcPr>
          <w:p w14:paraId="516AA7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w:t>
            </w:r>
          </w:p>
        </w:tc>
        <w:tc>
          <w:tcPr>
            <w:tcW w:w="412" w:type="dxa"/>
          </w:tcPr>
          <w:p w14:paraId="03B73C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Новый</w:t>
            </w:r>
          </w:p>
        </w:tc>
        <w:tc>
          <w:tcPr>
            <w:tcW w:w="412" w:type="dxa"/>
          </w:tcPr>
          <w:p w14:paraId="27AA39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413" w:type="dxa"/>
          </w:tcPr>
          <w:p w14:paraId="486059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w:t>
            </w:r>
          </w:p>
        </w:tc>
        <w:tc>
          <w:tcPr>
            <w:tcW w:w="412" w:type="dxa"/>
          </w:tcPr>
          <w:p w14:paraId="335E06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486" w:type="dxa"/>
          </w:tcPr>
          <w:p w14:paraId="392CAB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w:t>
            </w:r>
          </w:p>
        </w:tc>
        <w:tc>
          <w:tcPr>
            <w:tcW w:w="992" w:type="dxa"/>
          </w:tcPr>
          <w:p w14:paraId="01B48F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Новый </w:t>
            </w:r>
          </w:p>
        </w:tc>
        <w:tc>
          <w:tcPr>
            <w:tcW w:w="1134" w:type="dxa"/>
          </w:tcPr>
          <w:p w14:paraId="06EE21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r>
    </w:tbl>
    <w:p w14:paraId="206B02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Мощные с водяным охлаждением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284"/>
        <w:gridCol w:w="411"/>
        <w:gridCol w:w="411"/>
        <w:gridCol w:w="412"/>
        <w:gridCol w:w="411"/>
        <w:gridCol w:w="481"/>
        <w:gridCol w:w="992"/>
        <w:gridCol w:w="1134"/>
      </w:tblGrid>
      <w:tr w:rsidR="00A259BD" w:rsidRPr="00A259BD" w14:paraId="14060628" w14:textId="77777777">
        <w:trPr>
          <w:cantSplit/>
        </w:trPr>
        <w:tc>
          <w:tcPr>
            <w:tcW w:w="534" w:type="dxa"/>
          </w:tcPr>
          <w:p w14:paraId="44543C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М5-400</w:t>
            </w:r>
          </w:p>
        </w:tc>
        <w:tc>
          <w:tcPr>
            <w:tcW w:w="425" w:type="dxa"/>
          </w:tcPr>
          <w:p w14:paraId="6EAFB2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1507</w:t>
            </w:r>
          </w:p>
        </w:tc>
        <w:tc>
          <w:tcPr>
            <w:tcW w:w="425" w:type="dxa"/>
          </w:tcPr>
          <w:p w14:paraId="65718E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08471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3F431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1507</w:t>
            </w:r>
          </w:p>
        </w:tc>
        <w:tc>
          <w:tcPr>
            <w:tcW w:w="425" w:type="dxa"/>
          </w:tcPr>
          <w:p w14:paraId="4A220F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502</w:t>
            </w:r>
          </w:p>
        </w:tc>
        <w:tc>
          <w:tcPr>
            <w:tcW w:w="425" w:type="dxa"/>
          </w:tcPr>
          <w:p w14:paraId="17AE7D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C0823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F41B7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502</w:t>
            </w:r>
          </w:p>
        </w:tc>
        <w:tc>
          <w:tcPr>
            <w:tcW w:w="425" w:type="dxa"/>
          </w:tcPr>
          <w:p w14:paraId="172B4D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335DC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45643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C5DC4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552B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27554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A2888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200462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33185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2" w:type="dxa"/>
          </w:tcPr>
          <w:p w14:paraId="7DD1D8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767996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3197AA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281FB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F9A78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237B5D2" w14:textId="77777777">
        <w:trPr>
          <w:cantSplit/>
        </w:trPr>
        <w:tc>
          <w:tcPr>
            <w:tcW w:w="534" w:type="dxa"/>
          </w:tcPr>
          <w:p w14:paraId="4626DA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V12-600</w:t>
            </w:r>
          </w:p>
        </w:tc>
        <w:tc>
          <w:tcPr>
            <w:tcW w:w="425" w:type="dxa"/>
          </w:tcPr>
          <w:p w14:paraId="5B97C7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w:t>
            </w:r>
          </w:p>
        </w:tc>
        <w:tc>
          <w:tcPr>
            <w:tcW w:w="425" w:type="dxa"/>
          </w:tcPr>
          <w:p w14:paraId="68DF4C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987FC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0F3BD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w:t>
            </w:r>
          </w:p>
        </w:tc>
        <w:tc>
          <w:tcPr>
            <w:tcW w:w="425" w:type="dxa"/>
          </w:tcPr>
          <w:p w14:paraId="31A777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754</w:t>
            </w:r>
          </w:p>
        </w:tc>
        <w:tc>
          <w:tcPr>
            <w:tcW w:w="425" w:type="dxa"/>
          </w:tcPr>
          <w:p w14:paraId="00AAFD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AB92F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D56E8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754</w:t>
            </w:r>
          </w:p>
        </w:tc>
        <w:tc>
          <w:tcPr>
            <w:tcW w:w="425" w:type="dxa"/>
          </w:tcPr>
          <w:p w14:paraId="3A27D5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778</w:t>
            </w:r>
          </w:p>
        </w:tc>
        <w:tc>
          <w:tcPr>
            <w:tcW w:w="425" w:type="dxa"/>
          </w:tcPr>
          <w:p w14:paraId="254723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52961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F86C0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776</w:t>
            </w:r>
          </w:p>
        </w:tc>
        <w:tc>
          <w:tcPr>
            <w:tcW w:w="425" w:type="dxa"/>
          </w:tcPr>
          <w:p w14:paraId="3F96E6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1060</w:t>
            </w:r>
          </w:p>
        </w:tc>
        <w:tc>
          <w:tcPr>
            <w:tcW w:w="425" w:type="dxa"/>
          </w:tcPr>
          <w:p w14:paraId="1B11C1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345B5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7455FC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21D665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1060</w:t>
            </w:r>
          </w:p>
        </w:tc>
        <w:tc>
          <w:tcPr>
            <w:tcW w:w="412" w:type="dxa"/>
          </w:tcPr>
          <w:p w14:paraId="390FFE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410</w:t>
            </w:r>
          </w:p>
        </w:tc>
        <w:tc>
          <w:tcPr>
            <w:tcW w:w="411" w:type="dxa"/>
          </w:tcPr>
          <w:p w14:paraId="3597B5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181ED5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1E9A4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B4DC9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410</w:t>
            </w:r>
          </w:p>
        </w:tc>
      </w:tr>
      <w:tr w:rsidR="00A259BD" w:rsidRPr="00A259BD" w14:paraId="1AC3DB4F" w14:textId="77777777">
        <w:trPr>
          <w:cantSplit/>
        </w:trPr>
        <w:tc>
          <w:tcPr>
            <w:tcW w:w="534" w:type="dxa"/>
          </w:tcPr>
          <w:p w14:paraId="0E472B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W-18-700/ 800</w:t>
            </w:r>
          </w:p>
        </w:tc>
        <w:tc>
          <w:tcPr>
            <w:tcW w:w="425" w:type="dxa"/>
          </w:tcPr>
          <w:p w14:paraId="5B5620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23889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DFE94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A9CEF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1A951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248</w:t>
            </w:r>
          </w:p>
        </w:tc>
        <w:tc>
          <w:tcPr>
            <w:tcW w:w="425" w:type="dxa"/>
          </w:tcPr>
          <w:p w14:paraId="57A228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2F31C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390A0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248</w:t>
            </w:r>
          </w:p>
        </w:tc>
        <w:tc>
          <w:tcPr>
            <w:tcW w:w="425" w:type="dxa"/>
          </w:tcPr>
          <w:p w14:paraId="1E640D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502</w:t>
            </w:r>
          </w:p>
        </w:tc>
        <w:tc>
          <w:tcPr>
            <w:tcW w:w="425" w:type="dxa"/>
          </w:tcPr>
          <w:p w14:paraId="7F6923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F88BA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B77A4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502</w:t>
            </w:r>
          </w:p>
        </w:tc>
        <w:tc>
          <w:tcPr>
            <w:tcW w:w="425" w:type="dxa"/>
          </w:tcPr>
          <w:p w14:paraId="77F69D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510</w:t>
            </w:r>
          </w:p>
        </w:tc>
        <w:tc>
          <w:tcPr>
            <w:tcW w:w="425" w:type="dxa"/>
          </w:tcPr>
          <w:p w14:paraId="4B0FB5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4C449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94E2B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76D89B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510</w:t>
            </w:r>
          </w:p>
        </w:tc>
        <w:tc>
          <w:tcPr>
            <w:tcW w:w="412" w:type="dxa"/>
          </w:tcPr>
          <w:p w14:paraId="6EC9BE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400</w:t>
            </w:r>
          </w:p>
        </w:tc>
        <w:tc>
          <w:tcPr>
            <w:tcW w:w="411" w:type="dxa"/>
          </w:tcPr>
          <w:p w14:paraId="4CAE2C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50E220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DF855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AF602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400</w:t>
            </w:r>
          </w:p>
        </w:tc>
      </w:tr>
      <w:tr w:rsidR="00A259BD" w:rsidRPr="00A259BD" w14:paraId="45E8A61A" w14:textId="77777777">
        <w:trPr>
          <w:cantSplit/>
        </w:trPr>
        <w:tc>
          <w:tcPr>
            <w:tcW w:w="534" w:type="dxa"/>
          </w:tcPr>
          <w:p w14:paraId="66C11F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БМВ-VI</w:t>
            </w:r>
          </w:p>
        </w:tc>
        <w:tc>
          <w:tcPr>
            <w:tcW w:w="425" w:type="dxa"/>
          </w:tcPr>
          <w:p w14:paraId="19D59A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29BA1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w:t>
            </w:r>
          </w:p>
        </w:tc>
        <w:tc>
          <w:tcPr>
            <w:tcW w:w="425" w:type="dxa"/>
          </w:tcPr>
          <w:p w14:paraId="178DF1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B7E44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59</w:t>
            </w:r>
          </w:p>
        </w:tc>
        <w:tc>
          <w:tcPr>
            <w:tcW w:w="425" w:type="dxa"/>
          </w:tcPr>
          <w:p w14:paraId="762838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0001A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635</w:t>
            </w:r>
          </w:p>
        </w:tc>
        <w:tc>
          <w:tcPr>
            <w:tcW w:w="425" w:type="dxa"/>
          </w:tcPr>
          <w:p w14:paraId="1EF22B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B6941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635</w:t>
            </w:r>
          </w:p>
        </w:tc>
        <w:tc>
          <w:tcPr>
            <w:tcW w:w="425" w:type="dxa"/>
          </w:tcPr>
          <w:p w14:paraId="1FFFB5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DD5E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1256</w:t>
            </w:r>
          </w:p>
        </w:tc>
        <w:tc>
          <w:tcPr>
            <w:tcW w:w="425" w:type="dxa"/>
          </w:tcPr>
          <w:p w14:paraId="5A735A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6633B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1256</w:t>
            </w:r>
          </w:p>
        </w:tc>
        <w:tc>
          <w:tcPr>
            <w:tcW w:w="425" w:type="dxa"/>
          </w:tcPr>
          <w:p w14:paraId="77E828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065F9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w:t>
            </w:r>
          </w:p>
        </w:tc>
        <w:tc>
          <w:tcPr>
            <w:tcW w:w="284" w:type="dxa"/>
          </w:tcPr>
          <w:p w14:paraId="0321CF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432C36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122130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w:t>
            </w:r>
          </w:p>
        </w:tc>
        <w:tc>
          <w:tcPr>
            <w:tcW w:w="412" w:type="dxa"/>
          </w:tcPr>
          <w:p w14:paraId="1E5E5C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250985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2512</w:t>
            </w:r>
          </w:p>
        </w:tc>
        <w:tc>
          <w:tcPr>
            <w:tcW w:w="481" w:type="dxa"/>
          </w:tcPr>
          <w:p w14:paraId="79635C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3CFCD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61A9C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2512</w:t>
            </w:r>
          </w:p>
        </w:tc>
      </w:tr>
      <w:tr w:rsidR="00A259BD" w:rsidRPr="00A259BD" w14:paraId="657B0B04" w14:textId="77777777">
        <w:trPr>
          <w:cantSplit/>
        </w:trPr>
        <w:tc>
          <w:tcPr>
            <w:tcW w:w="534" w:type="dxa"/>
          </w:tcPr>
          <w:p w14:paraId="09391A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М-27</w:t>
            </w:r>
          </w:p>
        </w:tc>
        <w:tc>
          <w:tcPr>
            <w:tcW w:w="425" w:type="dxa"/>
          </w:tcPr>
          <w:p w14:paraId="6EB684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B0843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70159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9D3BF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B777A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19369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F3B51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1A4A5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6733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62CA1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929A8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E3F6A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1DB30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0CDCB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83</w:t>
            </w:r>
          </w:p>
        </w:tc>
        <w:tc>
          <w:tcPr>
            <w:tcW w:w="284" w:type="dxa"/>
          </w:tcPr>
          <w:p w14:paraId="120EEE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1E180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22FBE4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83</w:t>
            </w:r>
          </w:p>
        </w:tc>
        <w:tc>
          <w:tcPr>
            <w:tcW w:w="412" w:type="dxa"/>
          </w:tcPr>
          <w:p w14:paraId="3475E2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296E64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3888</w:t>
            </w:r>
          </w:p>
        </w:tc>
        <w:tc>
          <w:tcPr>
            <w:tcW w:w="481" w:type="dxa"/>
          </w:tcPr>
          <w:p w14:paraId="0B1E7A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B3DDD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F6F22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388</w:t>
            </w:r>
          </w:p>
        </w:tc>
      </w:tr>
      <w:tr w:rsidR="00A259BD" w:rsidRPr="00A259BD" w14:paraId="07AF41EC" w14:textId="77777777">
        <w:trPr>
          <w:cantSplit/>
        </w:trPr>
        <w:tc>
          <w:tcPr>
            <w:tcW w:w="534" w:type="dxa"/>
          </w:tcPr>
          <w:p w14:paraId="3C6289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w:t>
            </w:r>
          </w:p>
        </w:tc>
        <w:tc>
          <w:tcPr>
            <w:tcW w:w="425" w:type="dxa"/>
          </w:tcPr>
          <w:p w14:paraId="2B4850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1532</w:t>
            </w:r>
          </w:p>
        </w:tc>
        <w:tc>
          <w:tcPr>
            <w:tcW w:w="425" w:type="dxa"/>
          </w:tcPr>
          <w:p w14:paraId="1047B6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w:t>
            </w:r>
          </w:p>
        </w:tc>
        <w:tc>
          <w:tcPr>
            <w:tcW w:w="425" w:type="dxa"/>
          </w:tcPr>
          <w:p w14:paraId="2A36CE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39646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1601</w:t>
            </w:r>
          </w:p>
        </w:tc>
        <w:tc>
          <w:tcPr>
            <w:tcW w:w="425" w:type="dxa"/>
          </w:tcPr>
          <w:p w14:paraId="070A63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1504</w:t>
            </w:r>
          </w:p>
        </w:tc>
        <w:tc>
          <w:tcPr>
            <w:tcW w:w="425" w:type="dxa"/>
          </w:tcPr>
          <w:p w14:paraId="348E51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635</w:t>
            </w:r>
          </w:p>
        </w:tc>
        <w:tc>
          <w:tcPr>
            <w:tcW w:w="425" w:type="dxa"/>
          </w:tcPr>
          <w:p w14:paraId="52E372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AAEFE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2139</w:t>
            </w:r>
          </w:p>
        </w:tc>
        <w:tc>
          <w:tcPr>
            <w:tcW w:w="425" w:type="dxa"/>
          </w:tcPr>
          <w:p w14:paraId="2666DF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1280</w:t>
            </w:r>
          </w:p>
        </w:tc>
        <w:tc>
          <w:tcPr>
            <w:tcW w:w="425" w:type="dxa"/>
          </w:tcPr>
          <w:p w14:paraId="539DD6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1256</w:t>
            </w:r>
          </w:p>
        </w:tc>
        <w:tc>
          <w:tcPr>
            <w:tcW w:w="425" w:type="dxa"/>
          </w:tcPr>
          <w:p w14:paraId="694113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0A608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2536</w:t>
            </w:r>
          </w:p>
        </w:tc>
        <w:tc>
          <w:tcPr>
            <w:tcW w:w="425" w:type="dxa"/>
          </w:tcPr>
          <w:p w14:paraId="7C9725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1570</w:t>
            </w:r>
          </w:p>
        </w:tc>
        <w:tc>
          <w:tcPr>
            <w:tcW w:w="425" w:type="dxa"/>
          </w:tcPr>
          <w:p w14:paraId="4D8AD1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2015</w:t>
            </w:r>
          </w:p>
        </w:tc>
        <w:tc>
          <w:tcPr>
            <w:tcW w:w="284" w:type="dxa"/>
          </w:tcPr>
          <w:p w14:paraId="61A25B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2CA341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0E1C72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3585</w:t>
            </w:r>
          </w:p>
        </w:tc>
        <w:tc>
          <w:tcPr>
            <w:tcW w:w="412" w:type="dxa"/>
          </w:tcPr>
          <w:p w14:paraId="744F56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810</w:t>
            </w:r>
          </w:p>
        </w:tc>
        <w:tc>
          <w:tcPr>
            <w:tcW w:w="411" w:type="dxa"/>
          </w:tcPr>
          <w:p w14:paraId="22A327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2900</w:t>
            </w:r>
          </w:p>
        </w:tc>
        <w:tc>
          <w:tcPr>
            <w:tcW w:w="481" w:type="dxa"/>
          </w:tcPr>
          <w:p w14:paraId="683209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2AABC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B11DF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3710</w:t>
            </w:r>
          </w:p>
        </w:tc>
      </w:tr>
    </w:tbl>
    <w:p w14:paraId="6980A4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Мощные с воздушным охлаждением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284"/>
        <w:gridCol w:w="425"/>
        <w:gridCol w:w="425"/>
        <w:gridCol w:w="425"/>
        <w:gridCol w:w="426"/>
        <w:gridCol w:w="425"/>
        <w:gridCol w:w="992"/>
        <w:gridCol w:w="1134"/>
      </w:tblGrid>
      <w:tr w:rsidR="00A259BD" w:rsidRPr="00A259BD" w14:paraId="0F963CC2" w14:textId="77777777">
        <w:trPr>
          <w:cantSplit/>
        </w:trPr>
        <w:tc>
          <w:tcPr>
            <w:tcW w:w="534" w:type="dxa"/>
          </w:tcPr>
          <w:p w14:paraId="073DEF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Юпитер или М-15</w:t>
            </w:r>
          </w:p>
        </w:tc>
        <w:tc>
          <w:tcPr>
            <w:tcW w:w="425" w:type="dxa"/>
          </w:tcPr>
          <w:p w14:paraId="6E1D15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CBD59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71042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5D1B6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9570B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w:t>
            </w:r>
          </w:p>
        </w:tc>
        <w:tc>
          <w:tcPr>
            <w:tcW w:w="425" w:type="dxa"/>
          </w:tcPr>
          <w:p w14:paraId="7B690F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890C8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99</w:t>
            </w:r>
          </w:p>
        </w:tc>
        <w:tc>
          <w:tcPr>
            <w:tcW w:w="426" w:type="dxa"/>
          </w:tcPr>
          <w:p w14:paraId="35742E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127</w:t>
            </w:r>
          </w:p>
        </w:tc>
        <w:tc>
          <w:tcPr>
            <w:tcW w:w="425" w:type="dxa"/>
          </w:tcPr>
          <w:p w14:paraId="4521F5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252</w:t>
            </w:r>
          </w:p>
        </w:tc>
        <w:tc>
          <w:tcPr>
            <w:tcW w:w="425" w:type="dxa"/>
          </w:tcPr>
          <w:p w14:paraId="42D137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F3EBE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124</w:t>
            </w:r>
          </w:p>
        </w:tc>
        <w:tc>
          <w:tcPr>
            <w:tcW w:w="426" w:type="dxa"/>
          </w:tcPr>
          <w:p w14:paraId="55277E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376</w:t>
            </w:r>
          </w:p>
        </w:tc>
        <w:tc>
          <w:tcPr>
            <w:tcW w:w="425" w:type="dxa"/>
          </w:tcPr>
          <w:p w14:paraId="673EE0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700</w:t>
            </w:r>
          </w:p>
        </w:tc>
        <w:tc>
          <w:tcPr>
            <w:tcW w:w="425" w:type="dxa"/>
          </w:tcPr>
          <w:p w14:paraId="722881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6F1FC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550</w:t>
            </w:r>
          </w:p>
        </w:tc>
        <w:tc>
          <w:tcPr>
            <w:tcW w:w="425" w:type="dxa"/>
          </w:tcPr>
          <w:p w14:paraId="5C63A1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53238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1250</w:t>
            </w:r>
          </w:p>
        </w:tc>
        <w:tc>
          <w:tcPr>
            <w:tcW w:w="425" w:type="dxa"/>
          </w:tcPr>
          <w:p w14:paraId="22BE31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w:t>
            </w:r>
          </w:p>
        </w:tc>
        <w:tc>
          <w:tcPr>
            <w:tcW w:w="426" w:type="dxa"/>
          </w:tcPr>
          <w:p w14:paraId="757C6E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1AB27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380</w:t>
            </w:r>
          </w:p>
        </w:tc>
        <w:tc>
          <w:tcPr>
            <w:tcW w:w="992" w:type="dxa"/>
          </w:tcPr>
          <w:p w14:paraId="5E16CC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BBD13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1840</w:t>
            </w:r>
          </w:p>
        </w:tc>
      </w:tr>
    </w:tbl>
    <w:p w14:paraId="11A59E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Переходные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284"/>
        <w:gridCol w:w="425"/>
        <w:gridCol w:w="425"/>
        <w:gridCol w:w="425"/>
        <w:gridCol w:w="426"/>
        <w:gridCol w:w="425"/>
        <w:gridCol w:w="992"/>
        <w:gridCol w:w="1134"/>
      </w:tblGrid>
      <w:tr w:rsidR="00A259BD" w:rsidRPr="00A259BD" w14:paraId="61B98350" w14:textId="77777777">
        <w:trPr>
          <w:cantSplit/>
        </w:trPr>
        <w:tc>
          <w:tcPr>
            <w:tcW w:w="534" w:type="dxa"/>
          </w:tcPr>
          <w:p w14:paraId="19CE58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М6-300</w:t>
            </w:r>
          </w:p>
        </w:tc>
        <w:tc>
          <w:tcPr>
            <w:tcW w:w="425" w:type="dxa"/>
          </w:tcPr>
          <w:p w14:paraId="1C36D8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F1DE8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96B2D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220</w:t>
            </w:r>
          </w:p>
        </w:tc>
        <w:tc>
          <w:tcPr>
            <w:tcW w:w="426" w:type="dxa"/>
          </w:tcPr>
          <w:p w14:paraId="5FC67A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220</w:t>
            </w:r>
          </w:p>
        </w:tc>
        <w:tc>
          <w:tcPr>
            <w:tcW w:w="425" w:type="dxa"/>
          </w:tcPr>
          <w:p w14:paraId="5C5E63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C274E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AECB9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99</w:t>
            </w:r>
          </w:p>
        </w:tc>
        <w:tc>
          <w:tcPr>
            <w:tcW w:w="426" w:type="dxa"/>
          </w:tcPr>
          <w:p w14:paraId="66A4A7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99</w:t>
            </w:r>
          </w:p>
        </w:tc>
        <w:tc>
          <w:tcPr>
            <w:tcW w:w="425" w:type="dxa"/>
          </w:tcPr>
          <w:p w14:paraId="55A9EA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284DB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DE0C5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313C7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8D237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39608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DC25B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439B6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5132B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B72AF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9C2B3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D67BA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F7121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22648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2CDDE4C" w14:textId="77777777">
        <w:trPr>
          <w:cantSplit/>
        </w:trPr>
        <w:tc>
          <w:tcPr>
            <w:tcW w:w="534" w:type="dxa"/>
          </w:tcPr>
          <w:p w14:paraId="24EF82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М26-300</w:t>
            </w:r>
          </w:p>
        </w:tc>
        <w:tc>
          <w:tcPr>
            <w:tcW w:w="425" w:type="dxa"/>
          </w:tcPr>
          <w:p w14:paraId="136305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8D87A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3E4C0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9A8F6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1FD2B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87ADD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C9968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44677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E6EEB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04DB3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F082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w:t>
            </w:r>
          </w:p>
        </w:tc>
        <w:tc>
          <w:tcPr>
            <w:tcW w:w="426" w:type="dxa"/>
          </w:tcPr>
          <w:p w14:paraId="38D2DF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w:t>
            </w:r>
          </w:p>
        </w:tc>
        <w:tc>
          <w:tcPr>
            <w:tcW w:w="425" w:type="dxa"/>
          </w:tcPr>
          <w:p w14:paraId="0CDE90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15E6B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E516A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210</w:t>
            </w:r>
          </w:p>
        </w:tc>
        <w:tc>
          <w:tcPr>
            <w:tcW w:w="425" w:type="dxa"/>
          </w:tcPr>
          <w:p w14:paraId="04762F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552</w:t>
            </w:r>
          </w:p>
        </w:tc>
        <w:tc>
          <w:tcPr>
            <w:tcW w:w="425" w:type="dxa"/>
          </w:tcPr>
          <w:p w14:paraId="4517E4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752</w:t>
            </w:r>
          </w:p>
        </w:tc>
        <w:tc>
          <w:tcPr>
            <w:tcW w:w="425" w:type="dxa"/>
          </w:tcPr>
          <w:p w14:paraId="40A2A5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AAA73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82DFF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330</w:t>
            </w:r>
          </w:p>
        </w:tc>
        <w:tc>
          <w:tcPr>
            <w:tcW w:w="992" w:type="dxa"/>
          </w:tcPr>
          <w:p w14:paraId="57A5FD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1270</w:t>
            </w:r>
          </w:p>
        </w:tc>
        <w:tc>
          <w:tcPr>
            <w:tcW w:w="1134" w:type="dxa"/>
          </w:tcPr>
          <w:p w14:paraId="160AAE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w:t>
            </w:r>
          </w:p>
        </w:tc>
      </w:tr>
    </w:tbl>
    <w:p w14:paraId="1ED5DC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Учебные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284"/>
        <w:gridCol w:w="425"/>
        <w:gridCol w:w="425"/>
        <w:gridCol w:w="425"/>
        <w:gridCol w:w="430"/>
        <w:gridCol w:w="430"/>
        <w:gridCol w:w="1001"/>
        <w:gridCol w:w="1117"/>
      </w:tblGrid>
      <w:tr w:rsidR="00A259BD" w:rsidRPr="00A259BD" w14:paraId="5CEED6B6" w14:textId="77777777">
        <w:trPr>
          <w:cantSplit/>
        </w:trPr>
        <w:tc>
          <w:tcPr>
            <w:tcW w:w="534" w:type="dxa"/>
          </w:tcPr>
          <w:p w14:paraId="0D66F1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М11 или М12</w:t>
            </w:r>
          </w:p>
        </w:tc>
        <w:tc>
          <w:tcPr>
            <w:tcW w:w="425" w:type="dxa"/>
          </w:tcPr>
          <w:p w14:paraId="414215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F5280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B22FB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168</w:t>
            </w:r>
          </w:p>
        </w:tc>
        <w:tc>
          <w:tcPr>
            <w:tcW w:w="426" w:type="dxa"/>
          </w:tcPr>
          <w:p w14:paraId="48061A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168</w:t>
            </w:r>
          </w:p>
        </w:tc>
        <w:tc>
          <w:tcPr>
            <w:tcW w:w="425" w:type="dxa"/>
          </w:tcPr>
          <w:p w14:paraId="2D3C5F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01C73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E85F9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304</w:t>
            </w:r>
          </w:p>
        </w:tc>
        <w:tc>
          <w:tcPr>
            <w:tcW w:w="426" w:type="dxa"/>
          </w:tcPr>
          <w:p w14:paraId="54CB98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304</w:t>
            </w:r>
          </w:p>
        </w:tc>
        <w:tc>
          <w:tcPr>
            <w:tcW w:w="425" w:type="dxa"/>
          </w:tcPr>
          <w:p w14:paraId="21B060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67DC0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157AB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3040</w:t>
            </w:r>
          </w:p>
        </w:tc>
        <w:tc>
          <w:tcPr>
            <w:tcW w:w="426" w:type="dxa"/>
          </w:tcPr>
          <w:p w14:paraId="3B510C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304</w:t>
            </w:r>
          </w:p>
        </w:tc>
        <w:tc>
          <w:tcPr>
            <w:tcW w:w="425" w:type="dxa"/>
          </w:tcPr>
          <w:p w14:paraId="2F6576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283F9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C0720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510</w:t>
            </w:r>
          </w:p>
        </w:tc>
        <w:tc>
          <w:tcPr>
            <w:tcW w:w="425" w:type="dxa"/>
          </w:tcPr>
          <w:p w14:paraId="388243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8775A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510</w:t>
            </w:r>
          </w:p>
        </w:tc>
        <w:tc>
          <w:tcPr>
            <w:tcW w:w="425" w:type="dxa"/>
          </w:tcPr>
          <w:p w14:paraId="15CF9B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0" w:type="dxa"/>
          </w:tcPr>
          <w:p w14:paraId="589711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0" w:type="dxa"/>
          </w:tcPr>
          <w:p w14:paraId="36762D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560</w:t>
            </w:r>
          </w:p>
        </w:tc>
        <w:tc>
          <w:tcPr>
            <w:tcW w:w="1001" w:type="dxa"/>
          </w:tcPr>
          <w:p w14:paraId="6EAAA2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16" w:type="dxa"/>
          </w:tcPr>
          <w:p w14:paraId="231AF9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560</w:t>
            </w:r>
          </w:p>
        </w:tc>
      </w:tr>
      <w:tr w:rsidR="00A259BD" w:rsidRPr="00A259BD" w14:paraId="1A88FD6B" w14:textId="77777777">
        <w:trPr>
          <w:cantSplit/>
        </w:trPr>
        <w:tc>
          <w:tcPr>
            <w:tcW w:w="534" w:type="dxa"/>
          </w:tcPr>
          <w:p w14:paraId="51AFF3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Итого</w:t>
            </w:r>
          </w:p>
        </w:tc>
        <w:tc>
          <w:tcPr>
            <w:tcW w:w="425" w:type="dxa"/>
          </w:tcPr>
          <w:p w14:paraId="66274C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1532</w:t>
            </w:r>
          </w:p>
        </w:tc>
        <w:tc>
          <w:tcPr>
            <w:tcW w:w="425" w:type="dxa"/>
          </w:tcPr>
          <w:p w14:paraId="0C9D11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w:t>
            </w:r>
          </w:p>
        </w:tc>
        <w:tc>
          <w:tcPr>
            <w:tcW w:w="425" w:type="dxa"/>
          </w:tcPr>
          <w:p w14:paraId="00B224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388</w:t>
            </w:r>
          </w:p>
        </w:tc>
        <w:tc>
          <w:tcPr>
            <w:tcW w:w="426" w:type="dxa"/>
          </w:tcPr>
          <w:p w14:paraId="4D2AE7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1989</w:t>
            </w:r>
          </w:p>
        </w:tc>
        <w:tc>
          <w:tcPr>
            <w:tcW w:w="425" w:type="dxa"/>
          </w:tcPr>
          <w:p w14:paraId="01F06A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1532</w:t>
            </w:r>
          </w:p>
        </w:tc>
        <w:tc>
          <w:tcPr>
            <w:tcW w:w="425" w:type="dxa"/>
          </w:tcPr>
          <w:p w14:paraId="7F363D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635</w:t>
            </w:r>
          </w:p>
        </w:tc>
        <w:tc>
          <w:tcPr>
            <w:tcW w:w="425" w:type="dxa"/>
          </w:tcPr>
          <w:p w14:paraId="5EE55A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502</w:t>
            </w:r>
          </w:p>
        </w:tc>
        <w:tc>
          <w:tcPr>
            <w:tcW w:w="426" w:type="dxa"/>
          </w:tcPr>
          <w:p w14:paraId="1FC7AB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2669</w:t>
            </w:r>
          </w:p>
        </w:tc>
        <w:tc>
          <w:tcPr>
            <w:tcW w:w="425" w:type="dxa"/>
          </w:tcPr>
          <w:p w14:paraId="49F8E2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1532</w:t>
            </w:r>
          </w:p>
        </w:tc>
        <w:tc>
          <w:tcPr>
            <w:tcW w:w="425" w:type="dxa"/>
          </w:tcPr>
          <w:p w14:paraId="6C232D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1256</w:t>
            </w:r>
          </w:p>
        </w:tc>
        <w:tc>
          <w:tcPr>
            <w:tcW w:w="425" w:type="dxa"/>
          </w:tcPr>
          <w:p w14:paraId="1CA471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503</w:t>
            </w:r>
          </w:p>
        </w:tc>
        <w:tc>
          <w:tcPr>
            <w:tcW w:w="426" w:type="dxa"/>
          </w:tcPr>
          <w:p w14:paraId="6B9879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3291</w:t>
            </w:r>
          </w:p>
        </w:tc>
        <w:tc>
          <w:tcPr>
            <w:tcW w:w="425" w:type="dxa"/>
          </w:tcPr>
          <w:p w14:paraId="53684C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2270</w:t>
            </w:r>
          </w:p>
        </w:tc>
        <w:tc>
          <w:tcPr>
            <w:tcW w:w="425" w:type="dxa"/>
          </w:tcPr>
          <w:p w14:paraId="634F6D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2015</w:t>
            </w:r>
          </w:p>
        </w:tc>
        <w:tc>
          <w:tcPr>
            <w:tcW w:w="284" w:type="dxa"/>
          </w:tcPr>
          <w:p w14:paraId="7915E7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1270</w:t>
            </w:r>
          </w:p>
        </w:tc>
        <w:tc>
          <w:tcPr>
            <w:tcW w:w="425" w:type="dxa"/>
          </w:tcPr>
          <w:p w14:paraId="58594A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552</w:t>
            </w:r>
          </w:p>
        </w:tc>
        <w:tc>
          <w:tcPr>
            <w:tcW w:w="425" w:type="dxa"/>
          </w:tcPr>
          <w:p w14:paraId="7492A6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6107</w:t>
            </w:r>
          </w:p>
        </w:tc>
        <w:tc>
          <w:tcPr>
            <w:tcW w:w="425" w:type="dxa"/>
          </w:tcPr>
          <w:p w14:paraId="39137C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2270</w:t>
            </w:r>
          </w:p>
        </w:tc>
        <w:tc>
          <w:tcPr>
            <w:tcW w:w="430" w:type="dxa"/>
          </w:tcPr>
          <w:p w14:paraId="3BAE2D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2900</w:t>
            </w:r>
          </w:p>
        </w:tc>
        <w:tc>
          <w:tcPr>
            <w:tcW w:w="430" w:type="dxa"/>
          </w:tcPr>
          <w:p w14:paraId="2423E1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1270</w:t>
            </w:r>
          </w:p>
        </w:tc>
        <w:tc>
          <w:tcPr>
            <w:tcW w:w="1001" w:type="dxa"/>
          </w:tcPr>
          <w:p w14:paraId="0F98F6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7110</w:t>
            </w:r>
          </w:p>
        </w:tc>
        <w:tc>
          <w:tcPr>
            <w:tcW w:w="1116" w:type="dxa"/>
          </w:tcPr>
          <w:p w14:paraId="7A4094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7710</w:t>
            </w:r>
          </w:p>
        </w:tc>
      </w:tr>
      <w:tr w:rsidR="00A259BD" w:rsidRPr="00A259BD" w14:paraId="7EDB770C" w14:textId="77777777">
        <w:trPr>
          <w:cantSplit/>
        </w:trPr>
        <w:tc>
          <w:tcPr>
            <w:tcW w:w="534" w:type="dxa"/>
          </w:tcPr>
          <w:p w14:paraId="146EC3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по заводам</w:t>
            </w:r>
          </w:p>
        </w:tc>
        <w:tc>
          <w:tcPr>
            <w:tcW w:w="1701" w:type="dxa"/>
            <w:gridSpan w:val="4"/>
          </w:tcPr>
          <w:p w14:paraId="785EE4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1989</w:t>
            </w:r>
          </w:p>
        </w:tc>
        <w:tc>
          <w:tcPr>
            <w:tcW w:w="1701" w:type="dxa"/>
            <w:gridSpan w:val="4"/>
          </w:tcPr>
          <w:p w14:paraId="6B66D8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2669</w:t>
            </w:r>
          </w:p>
        </w:tc>
        <w:tc>
          <w:tcPr>
            <w:tcW w:w="1701" w:type="dxa"/>
            <w:gridSpan w:val="4"/>
          </w:tcPr>
          <w:p w14:paraId="637ED1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3291</w:t>
            </w:r>
          </w:p>
        </w:tc>
        <w:tc>
          <w:tcPr>
            <w:tcW w:w="1983" w:type="dxa"/>
            <w:gridSpan w:val="5"/>
          </w:tcPr>
          <w:p w14:paraId="132A39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6107</w:t>
            </w:r>
          </w:p>
        </w:tc>
        <w:tc>
          <w:tcPr>
            <w:tcW w:w="3403" w:type="dxa"/>
            <w:gridSpan w:val="5"/>
          </w:tcPr>
          <w:p w14:paraId="55FA4F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7110 (3770)</w:t>
            </w:r>
          </w:p>
        </w:tc>
      </w:tr>
    </w:tbl>
    <w:p w14:paraId="4472F4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Таблица № 7</w:t>
      </w:r>
    </w:p>
    <w:p w14:paraId="092A31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Технические мощности мот/заводов после снятия с основного производства мелких деталей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A259BD" w:rsidRPr="00A259BD" w14:paraId="7D97DC2C" w14:textId="77777777">
        <w:tc>
          <w:tcPr>
            <w:tcW w:w="1868" w:type="dxa"/>
            <w:tcBorders>
              <w:top w:val="single" w:sz="12" w:space="0" w:color="auto"/>
            </w:tcBorders>
          </w:tcPr>
          <w:p w14:paraId="32B38D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868" w:type="dxa"/>
            <w:tcBorders>
              <w:top w:val="single" w:sz="12" w:space="0" w:color="auto"/>
            </w:tcBorders>
          </w:tcPr>
          <w:p w14:paraId="2D57B2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октября 1929</w:t>
            </w:r>
          </w:p>
        </w:tc>
        <w:tc>
          <w:tcPr>
            <w:tcW w:w="1868" w:type="dxa"/>
            <w:tcBorders>
              <w:top w:val="single" w:sz="12" w:space="0" w:color="auto"/>
            </w:tcBorders>
          </w:tcPr>
          <w:p w14:paraId="186F90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октября 1930</w:t>
            </w:r>
          </w:p>
        </w:tc>
        <w:tc>
          <w:tcPr>
            <w:tcW w:w="1868" w:type="dxa"/>
            <w:tcBorders>
              <w:top w:val="single" w:sz="12" w:space="0" w:color="auto"/>
            </w:tcBorders>
          </w:tcPr>
          <w:p w14:paraId="0B1250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Примечение</w:t>
            </w:r>
            <w:proofErr w:type="spellEnd"/>
          </w:p>
        </w:tc>
        <w:tc>
          <w:tcPr>
            <w:tcW w:w="1868" w:type="dxa"/>
            <w:tcBorders>
              <w:top w:val="single" w:sz="12" w:space="0" w:color="auto"/>
            </w:tcBorders>
          </w:tcPr>
          <w:p w14:paraId="58A164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октября 1931</w:t>
            </w:r>
          </w:p>
        </w:tc>
        <w:tc>
          <w:tcPr>
            <w:tcW w:w="1868" w:type="dxa"/>
            <w:tcBorders>
              <w:top w:val="single" w:sz="12" w:space="0" w:color="auto"/>
            </w:tcBorders>
          </w:tcPr>
          <w:p w14:paraId="429F8A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октября 1932</w:t>
            </w:r>
          </w:p>
        </w:tc>
      </w:tr>
      <w:tr w:rsidR="00A259BD" w:rsidRPr="00A259BD" w14:paraId="61610897" w14:textId="77777777">
        <w:tc>
          <w:tcPr>
            <w:tcW w:w="1868" w:type="dxa"/>
          </w:tcPr>
          <w:p w14:paraId="45E66F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w:t>
            </w:r>
          </w:p>
        </w:tc>
        <w:tc>
          <w:tcPr>
            <w:tcW w:w="1868" w:type="dxa"/>
          </w:tcPr>
          <w:p w14:paraId="34451B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610</w:t>
            </w:r>
          </w:p>
        </w:tc>
        <w:tc>
          <w:tcPr>
            <w:tcW w:w="1868" w:type="dxa"/>
          </w:tcPr>
          <w:p w14:paraId="5A38D5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610</w:t>
            </w:r>
          </w:p>
        </w:tc>
        <w:tc>
          <w:tcPr>
            <w:tcW w:w="1868" w:type="dxa"/>
          </w:tcPr>
          <w:p w14:paraId="515201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Поступает в работу с 1 октября 1931</w:t>
            </w:r>
          </w:p>
        </w:tc>
        <w:tc>
          <w:tcPr>
            <w:tcW w:w="1868" w:type="dxa"/>
          </w:tcPr>
          <w:p w14:paraId="52164A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w:t>
            </w:r>
          </w:p>
        </w:tc>
        <w:tc>
          <w:tcPr>
            <w:tcW w:w="1868" w:type="dxa"/>
          </w:tcPr>
          <w:p w14:paraId="3C3F3F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w:t>
            </w:r>
          </w:p>
        </w:tc>
      </w:tr>
      <w:tr w:rsidR="00A259BD" w:rsidRPr="00A259BD" w14:paraId="7A8DED4C" w14:textId="77777777">
        <w:tc>
          <w:tcPr>
            <w:tcW w:w="1868" w:type="dxa"/>
          </w:tcPr>
          <w:p w14:paraId="629373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1868" w:type="dxa"/>
          </w:tcPr>
          <w:p w14:paraId="4DB0BC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w:t>
            </w:r>
          </w:p>
        </w:tc>
        <w:tc>
          <w:tcPr>
            <w:tcW w:w="1868" w:type="dxa"/>
          </w:tcPr>
          <w:p w14:paraId="102EA0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1868" w:type="dxa"/>
          </w:tcPr>
          <w:p w14:paraId="67DB85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Полная мощность вспомогательного цеха</w:t>
            </w:r>
          </w:p>
        </w:tc>
        <w:tc>
          <w:tcPr>
            <w:tcW w:w="1868" w:type="dxa"/>
          </w:tcPr>
          <w:p w14:paraId="6B94E6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730*</w:t>
            </w:r>
          </w:p>
        </w:tc>
        <w:tc>
          <w:tcPr>
            <w:tcW w:w="1868" w:type="dxa"/>
          </w:tcPr>
          <w:p w14:paraId="4A5A05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1150</w:t>
            </w:r>
          </w:p>
        </w:tc>
      </w:tr>
      <w:tr w:rsidR="00A259BD" w:rsidRPr="00A259BD" w14:paraId="18C1EEC6" w14:textId="77777777">
        <w:tc>
          <w:tcPr>
            <w:tcW w:w="1868" w:type="dxa"/>
            <w:tcBorders>
              <w:bottom w:val="single" w:sz="12" w:space="0" w:color="auto"/>
            </w:tcBorders>
          </w:tcPr>
          <w:p w14:paraId="31D575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w:t>
            </w:r>
          </w:p>
        </w:tc>
        <w:tc>
          <w:tcPr>
            <w:tcW w:w="1868" w:type="dxa"/>
            <w:tcBorders>
              <w:bottom w:val="single" w:sz="12" w:space="0" w:color="auto"/>
            </w:tcBorders>
          </w:tcPr>
          <w:p w14:paraId="64FFB6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c>
          <w:tcPr>
            <w:tcW w:w="1868" w:type="dxa"/>
            <w:tcBorders>
              <w:bottom w:val="single" w:sz="12" w:space="0" w:color="auto"/>
            </w:tcBorders>
          </w:tcPr>
          <w:p w14:paraId="410714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c>
          <w:tcPr>
            <w:tcW w:w="1868" w:type="dxa"/>
            <w:tcBorders>
              <w:bottom w:val="single" w:sz="12" w:space="0" w:color="auto"/>
            </w:tcBorders>
          </w:tcPr>
          <w:p w14:paraId="47BC5A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Полная мощность вспомогательного цеха</w:t>
            </w:r>
          </w:p>
        </w:tc>
        <w:tc>
          <w:tcPr>
            <w:tcW w:w="1868" w:type="dxa"/>
            <w:tcBorders>
              <w:bottom w:val="single" w:sz="12" w:space="0" w:color="auto"/>
            </w:tcBorders>
          </w:tcPr>
          <w:p w14:paraId="1FFA8C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1868" w:type="dxa"/>
            <w:tcBorders>
              <w:bottom w:val="single" w:sz="12" w:space="0" w:color="auto"/>
            </w:tcBorders>
          </w:tcPr>
          <w:p w14:paraId="69F28A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r>
    </w:tbl>
    <w:p w14:paraId="62F1E1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 Увеличенная мощность з-да № 29 получается кроме выделения ряда деталей на вспомогательный завод, за счет сбалансирования цехов и окончательного налаживания производства. По заводу № 26 увеличение на 1 октября 1932 объясняется дальнейшим его развитием (3770,27).</w:t>
      </w:r>
    </w:p>
    <w:p w14:paraId="746673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Таблица № 8</w:t>
      </w:r>
    </w:p>
    <w:p w14:paraId="1969E5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Развертывание заводов. Мощность самолетостроительных заводов по годам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A259BD" w:rsidRPr="00A259BD" w14:paraId="22904D93" w14:textId="77777777">
        <w:tc>
          <w:tcPr>
            <w:tcW w:w="1868" w:type="dxa"/>
            <w:tcBorders>
              <w:top w:val="single" w:sz="12" w:space="0" w:color="auto"/>
            </w:tcBorders>
          </w:tcPr>
          <w:p w14:paraId="0EA267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868" w:type="dxa"/>
            <w:tcBorders>
              <w:top w:val="single" w:sz="12" w:space="0" w:color="auto"/>
            </w:tcBorders>
          </w:tcPr>
          <w:p w14:paraId="076B8A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28/29</w:t>
            </w:r>
          </w:p>
        </w:tc>
        <w:tc>
          <w:tcPr>
            <w:tcW w:w="1868" w:type="dxa"/>
            <w:tcBorders>
              <w:top w:val="single" w:sz="12" w:space="0" w:color="auto"/>
            </w:tcBorders>
          </w:tcPr>
          <w:p w14:paraId="43A3A7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29/30</w:t>
            </w:r>
          </w:p>
        </w:tc>
        <w:tc>
          <w:tcPr>
            <w:tcW w:w="1868" w:type="dxa"/>
            <w:tcBorders>
              <w:top w:val="single" w:sz="12" w:space="0" w:color="auto"/>
            </w:tcBorders>
          </w:tcPr>
          <w:p w14:paraId="784B48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30/31</w:t>
            </w:r>
          </w:p>
        </w:tc>
        <w:tc>
          <w:tcPr>
            <w:tcW w:w="1868" w:type="dxa"/>
            <w:tcBorders>
              <w:top w:val="single" w:sz="12" w:space="0" w:color="auto"/>
            </w:tcBorders>
          </w:tcPr>
          <w:p w14:paraId="7B2E0B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31/32</w:t>
            </w:r>
          </w:p>
        </w:tc>
        <w:tc>
          <w:tcPr>
            <w:tcW w:w="1868" w:type="dxa"/>
            <w:tcBorders>
              <w:top w:val="single" w:sz="12" w:space="0" w:color="auto"/>
            </w:tcBorders>
          </w:tcPr>
          <w:p w14:paraId="308969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32/33</w:t>
            </w:r>
          </w:p>
        </w:tc>
      </w:tr>
      <w:tr w:rsidR="00A259BD" w:rsidRPr="00A259BD" w14:paraId="027BEBCB" w14:textId="77777777">
        <w:tc>
          <w:tcPr>
            <w:tcW w:w="1868" w:type="dxa"/>
          </w:tcPr>
          <w:p w14:paraId="14FCD4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868" w:type="dxa"/>
          </w:tcPr>
          <w:p w14:paraId="426478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470</w:t>
            </w:r>
          </w:p>
        </w:tc>
        <w:tc>
          <w:tcPr>
            <w:tcW w:w="1868" w:type="dxa"/>
          </w:tcPr>
          <w:p w14:paraId="23762C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560</w:t>
            </w:r>
          </w:p>
        </w:tc>
        <w:tc>
          <w:tcPr>
            <w:tcW w:w="1868" w:type="dxa"/>
          </w:tcPr>
          <w:p w14:paraId="07928E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700</w:t>
            </w:r>
          </w:p>
        </w:tc>
        <w:tc>
          <w:tcPr>
            <w:tcW w:w="1868" w:type="dxa"/>
          </w:tcPr>
          <w:p w14:paraId="1C6D48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892</w:t>
            </w:r>
          </w:p>
        </w:tc>
        <w:tc>
          <w:tcPr>
            <w:tcW w:w="1868" w:type="dxa"/>
          </w:tcPr>
          <w:p w14:paraId="27805C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w:t>
            </w:r>
          </w:p>
        </w:tc>
      </w:tr>
      <w:tr w:rsidR="00A259BD" w:rsidRPr="00A259BD" w14:paraId="033AB4EE" w14:textId="77777777">
        <w:tc>
          <w:tcPr>
            <w:tcW w:w="1868" w:type="dxa"/>
          </w:tcPr>
          <w:p w14:paraId="67117F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1868" w:type="dxa"/>
          </w:tcPr>
          <w:p w14:paraId="255D9F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156</w:t>
            </w:r>
          </w:p>
        </w:tc>
        <w:tc>
          <w:tcPr>
            <w:tcW w:w="1868" w:type="dxa"/>
          </w:tcPr>
          <w:p w14:paraId="13C819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149</w:t>
            </w:r>
          </w:p>
        </w:tc>
        <w:tc>
          <w:tcPr>
            <w:tcW w:w="1868" w:type="dxa"/>
          </w:tcPr>
          <w:p w14:paraId="7E84F7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157</w:t>
            </w:r>
          </w:p>
        </w:tc>
        <w:tc>
          <w:tcPr>
            <w:tcW w:w="1868" w:type="dxa"/>
          </w:tcPr>
          <w:p w14:paraId="4E071A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187</w:t>
            </w:r>
          </w:p>
        </w:tc>
        <w:tc>
          <w:tcPr>
            <w:tcW w:w="1868" w:type="dxa"/>
          </w:tcPr>
          <w:p w14:paraId="017F14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205</w:t>
            </w:r>
          </w:p>
        </w:tc>
      </w:tr>
      <w:tr w:rsidR="00A259BD" w:rsidRPr="00A259BD" w14:paraId="3FA07212" w14:textId="77777777">
        <w:tc>
          <w:tcPr>
            <w:tcW w:w="1868" w:type="dxa"/>
          </w:tcPr>
          <w:p w14:paraId="7E3BB1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1868" w:type="dxa"/>
          </w:tcPr>
          <w:p w14:paraId="53194D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183</w:t>
            </w:r>
          </w:p>
        </w:tc>
        <w:tc>
          <w:tcPr>
            <w:tcW w:w="1868" w:type="dxa"/>
          </w:tcPr>
          <w:p w14:paraId="0CC0FB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177</w:t>
            </w:r>
          </w:p>
        </w:tc>
        <w:tc>
          <w:tcPr>
            <w:tcW w:w="1868" w:type="dxa"/>
          </w:tcPr>
          <w:p w14:paraId="62798E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217</w:t>
            </w:r>
          </w:p>
        </w:tc>
        <w:tc>
          <w:tcPr>
            <w:tcW w:w="1868" w:type="dxa"/>
          </w:tcPr>
          <w:p w14:paraId="6C6886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240</w:t>
            </w:r>
          </w:p>
        </w:tc>
        <w:tc>
          <w:tcPr>
            <w:tcW w:w="1868" w:type="dxa"/>
          </w:tcPr>
          <w:p w14:paraId="010533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340</w:t>
            </w:r>
          </w:p>
        </w:tc>
      </w:tr>
      <w:tr w:rsidR="00A259BD" w:rsidRPr="00A259BD" w14:paraId="1569414A" w14:textId="77777777">
        <w:tc>
          <w:tcPr>
            <w:tcW w:w="1868" w:type="dxa"/>
            <w:tcBorders>
              <w:bottom w:val="single" w:sz="12" w:space="0" w:color="auto"/>
            </w:tcBorders>
          </w:tcPr>
          <w:p w14:paraId="094504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w:t>
            </w:r>
          </w:p>
        </w:tc>
        <w:tc>
          <w:tcPr>
            <w:tcW w:w="1868" w:type="dxa"/>
            <w:tcBorders>
              <w:bottom w:val="single" w:sz="12" w:space="0" w:color="auto"/>
            </w:tcBorders>
          </w:tcPr>
          <w:p w14:paraId="37C64C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4D65C1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53C8B2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557BBB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06E4DF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01FA7A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(3770,28)</w:t>
      </w:r>
    </w:p>
    <w:p w14:paraId="013EC4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Таблица № 9</w:t>
      </w:r>
    </w:p>
    <w:p w14:paraId="6012EE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Мощность моторостроительных заводов в одну и три смены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A259BD" w:rsidRPr="00A259BD" w14:paraId="73E08CD3" w14:textId="77777777">
        <w:tc>
          <w:tcPr>
            <w:tcW w:w="1868" w:type="dxa"/>
            <w:tcBorders>
              <w:top w:val="single" w:sz="12" w:space="0" w:color="auto"/>
            </w:tcBorders>
          </w:tcPr>
          <w:p w14:paraId="5141BB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868" w:type="dxa"/>
            <w:tcBorders>
              <w:top w:val="single" w:sz="12" w:space="0" w:color="auto"/>
            </w:tcBorders>
          </w:tcPr>
          <w:p w14:paraId="61C329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28/29</w:t>
            </w:r>
          </w:p>
        </w:tc>
        <w:tc>
          <w:tcPr>
            <w:tcW w:w="1868" w:type="dxa"/>
            <w:tcBorders>
              <w:top w:val="single" w:sz="12" w:space="0" w:color="auto"/>
            </w:tcBorders>
          </w:tcPr>
          <w:p w14:paraId="171A9F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29/30</w:t>
            </w:r>
          </w:p>
        </w:tc>
        <w:tc>
          <w:tcPr>
            <w:tcW w:w="1868" w:type="dxa"/>
            <w:tcBorders>
              <w:top w:val="single" w:sz="12" w:space="0" w:color="auto"/>
            </w:tcBorders>
          </w:tcPr>
          <w:p w14:paraId="736FB4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30/31</w:t>
            </w:r>
          </w:p>
        </w:tc>
        <w:tc>
          <w:tcPr>
            <w:tcW w:w="1868" w:type="dxa"/>
            <w:tcBorders>
              <w:top w:val="single" w:sz="12" w:space="0" w:color="auto"/>
            </w:tcBorders>
          </w:tcPr>
          <w:p w14:paraId="1F5A9F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31/32</w:t>
            </w:r>
          </w:p>
        </w:tc>
        <w:tc>
          <w:tcPr>
            <w:tcW w:w="1868" w:type="dxa"/>
            <w:tcBorders>
              <w:top w:val="single" w:sz="12" w:space="0" w:color="auto"/>
            </w:tcBorders>
          </w:tcPr>
          <w:p w14:paraId="72B70F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32/33</w:t>
            </w:r>
          </w:p>
        </w:tc>
      </w:tr>
      <w:tr w:rsidR="00A259BD" w:rsidRPr="00A259BD" w14:paraId="3E5A2627" w14:textId="77777777">
        <w:tc>
          <w:tcPr>
            <w:tcW w:w="1868" w:type="dxa"/>
          </w:tcPr>
          <w:p w14:paraId="088770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w:t>
            </w:r>
          </w:p>
        </w:tc>
        <w:tc>
          <w:tcPr>
            <w:tcW w:w="1868" w:type="dxa"/>
          </w:tcPr>
          <w:p w14:paraId="4F0586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610</w:t>
            </w:r>
          </w:p>
        </w:tc>
        <w:tc>
          <w:tcPr>
            <w:tcW w:w="1868" w:type="dxa"/>
          </w:tcPr>
          <w:p w14:paraId="2200F8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610</w:t>
            </w:r>
          </w:p>
        </w:tc>
        <w:tc>
          <w:tcPr>
            <w:tcW w:w="1868" w:type="dxa"/>
          </w:tcPr>
          <w:p w14:paraId="1A3BC9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610</w:t>
            </w:r>
          </w:p>
        </w:tc>
        <w:tc>
          <w:tcPr>
            <w:tcW w:w="1868" w:type="dxa"/>
          </w:tcPr>
          <w:p w14:paraId="029AFB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w:t>
            </w:r>
          </w:p>
        </w:tc>
        <w:tc>
          <w:tcPr>
            <w:tcW w:w="1868" w:type="dxa"/>
          </w:tcPr>
          <w:p w14:paraId="0EC1DD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w:t>
            </w:r>
          </w:p>
        </w:tc>
      </w:tr>
      <w:tr w:rsidR="00A259BD" w:rsidRPr="00A259BD" w14:paraId="1269F003" w14:textId="77777777">
        <w:tc>
          <w:tcPr>
            <w:tcW w:w="1868" w:type="dxa"/>
          </w:tcPr>
          <w:p w14:paraId="237683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1868" w:type="dxa"/>
          </w:tcPr>
          <w:p w14:paraId="14A678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140</w:t>
            </w:r>
          </w:p>
        </w:tc>
        <w:tc>
          <w:tcPr>
            <w:tcW w:w="1868" w:type="dxa"/>
          </w:tcPr>
          <w:p w14:paraId="5158CD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w:t>
            </w:r>
          </w:p>
        </w:tc>
        <w:tc>
          <w:tcPr>
            <w:tcW w:w="1868" w:type="dxa"/>
          </w:tcPr>
          <w:p w14:paraId="56C0A5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1868" w:type="dxa"/>
          </w:tcPr>
          <w:p w14:paraId="379CD7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730</w:t>
            </w:r>
          </w:p>
        </w:tc>
        <w:tc>
          <w:tcPr>
            <w:tcW w:w="1868" w:type="dxa"/>
          </w:tcPr>
          <w:p w14:paraId="1700BD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1150</w:t>
            </w:r>
          </w:p>
        </w:tc>
      </w:tr>
      <w:tr w:rsidR="00A259BD" w:rsidRPr="00A259BD" w14:paraId="21EDE9C1" w14:textId="77777777">
        <w:tc>
          <w:tcPr>
            <w:tcW w:w="1868" w:type="dxa"/>
          </w:tcPr>
          <w:p w14:paraId="052964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w:t>
            </w:r>
          </w:p>
        </w:tc>
        <w:tc>
          <w:tcPr>
            <w:tcW w:w="1868" w:type="dxa"/>
          </w:tcPr>
          <w:p w14:paraId="200CF1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w:t>
            </w:r>
          </w:p>
        </w:tc>
        <w:tc>
          <w:tcPr>
            <w:tcW w:w="1868" w:type="dxa"/>
          </w:tcPr>
          <w:p w14:paraId="2BA428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c>
          <w:tcPr>
            <w:tcW w:w="1868" w:type="dxa"/>
          </w:tcPr>
          <w:p w14:paraId="53C3BA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c>
          <w:tcPr>
            <w:tcW w:w="1868" w:type="dxa"/>
          </w:tcPr>
          <w:p w14:paraId="16E82A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1868" w:type="dxa"/>
          </w:tcPr>
          <w:p w14:paraId="63A73D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r>
      <w:tr w:rsidR="00A259BD" w:rsidRPr="00A259BD" w14:paraId="2593DEBD" w14:textId="77777777">
        <w:tc>
          <w:tcPr>
            <w:tcW w:w="1868" w:type="dxa"/>
          </w:tcPr>
          <w:p w14:paraId="3F2D5D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Новые заводы</w:t>
            </w:r>
          </w:p>
        </w:tc>
        <w:tc>
          <w:tcPr>
            <w:tcW w:w="1868" w:type="dxa"/>
          </w:tcPr>
          <w:p w14:paraId="4A701B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868" w:type="dxa"/>
          </w:tcPr>
          <w:p w14:paraId="49D073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868" w:type="dxa"/>
          </w:tcPr>
          <w:p w14:paraId="5CF77E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868" w:type="dxa"/>
          </w:tcPr>
          <w:p w14:paraId="1DBBE3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c>
          <w:tcPr>
            <w:tcW w:w="1868" w:type="dxa"/>
          </w:tcPr>
          <w:p w14:paraId="4C16E6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r>
      <w:tr w:rsidR="00A259BD" w:rsidRPr="00A259BD" w14:paraId="72DA4FB1" w14:textId="77777777">
        <w:tc>
          <w:tcPr>
            <w:tcW w:w="1868" w:type="dxa"/>
          </w:tcPr>
          <w:p w14:paraId="34D4B0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 в 1 смену</w:t>
            </w:r>
          </w:p>
        </w:tc>
        <w:tc>
          <w:tcPr>
            <w:tcW w:w="1868" w:type="dxa"/>
          </w:tcPr>
          <w:p w14:paraId="5E7205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310</w:t>
            </w:r>
          </w:p>
        </w:tc>
        <w:tc>
          <w:tcPr>
            <w:tcW w:w="1868" w:type="dxa"/>
          </w:tcPr>
          <w:p w14:paraId="57500D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1060</w:t>
            </w:r>
          </w:p>
        </w:tc>
        <w:tc>
          <w:tcPr>
            <w:tcW w:w="1868" w:type="dxa"/>
          </w:tcPr>
          <w:p w14:paraId="35293A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1310</w:t>
            </w:r>
          </w:p>
        </w:tc>
        <w:tc>
          <w:tcPr>
            <w:tcW w:w="1868" w:type="dxa"/>
          </w:tcPr>
          <w:p w14:paraId="09C2AB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2330</w:t>
            </w:r>
          </w:p>
        </w:tc>
        <w:tc>
          <w:tcPr>
            <w:tcW w:w="1868" w:type="dxa"/>
          </w:tcPr>
          <w:p w14:paraId="0C389C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3050</w:t>
            </w:r>
          </w:p>
        </w:tc>
      </w:tr>
      <w:tr w:rsidR="00A259BD" w:rsidRPr="00A259BD" w14:paraId="76083560" w14:textId="77777777">
        <w:tc>
          <w:tcPr>
            <w:tcW w:w="1868" w:type="dxa"/>
          </w:tcPr>
          <w:p w14:paraId="3C3039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w:t>
            </w:r>
          </w:p>
        </w:tc>
        <w:tc>
          <w:tcPr>
            <w:tcW w:w="1868" w:type="dxa"/>
          </w:tcPr>
          <w:p w14:paraId="21123B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1532</w:t>
            </w:r>
          </w:p>
        </w:tc>
        <w:tc>
          <w:tcPr>
            <w:tcW w:w="1868" w:type="dxa"/>
          </w:tcPr>
          <w:p w14:paraId="5391B2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1532</w:t>
            </w:r>
          </w:p>
        </w:tc>
        <w:tc>
          <w:tcPr>
            <w:tcW w:w="1868" w:type="dxa"/>
          </w:tcPr>
          <w:p w14:paraId="177932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1522</w:t>
            </w:r>
          </w:p>
        </w:tc>
        <w:tc>
          <w:tcPr>
            <w:tcW w:w="1868" w:type="dxa"/>
          </w:tcPr>
          <w:p w14:paraId="1F93A1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2270</w:t>
            </w:r>
          </w:p>
        </w:tc>
        <w:tc>
          <w:tcPr>
            <w:tcW w:w="1868" w:type="dxa"/>
          </w:tcPr>
          <w:p w14:paraId="7DB724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2270</w:t>
            </w:r>
          </w:p>
        </w:tc>
      </w:tr>
      <w:tr w:rsidR="00A259BD" w:rsidRPr="00A259BD" w14:paraId="07250E27" w14:textId="77777777">
        <w:tc>
          <w:tcPr>
            <w:tcW w:w="1868" w:type="dxa"/>
          </w:tcPr>
          <w:p w14:paraId="33F4AD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1868" w:type="dxa"/>
          </w:tcPr>
          <w:p w14:paraId="4CABD4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w:t>
            </w:r>
          </w:p>
        </w:tc>
        <w:tc>
          <w:tcPr>
            <w:tcW w:w="1868" w:type="dxa"/>
          </w:tcPr>
          <w:p w14:paraId="77164E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635</w:t>
            </w:r>
          </w:p>
        </w:tc>
        <w:tc>
          <w:tcPr>
            <w:tcW w:w="1868" w:type="dxa"/>
          </w:tcPr>
          <w:p w14:paraId="2DDD53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1256</w:t>
            </w:r>
          </w:p>
        </w:tc>
        <w:tc>
          <w:tcPr>
            <w:tcW w:w="1868" w:type="dxa"/>
          </w:tcPr>
          <w:p w14:paraId="1EC6F1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2015</w:t>
            </w:r>
          </w:p>
        </w:tc>
        <w:tc>
          <w:tcPr>
            <w:tcW w:w="1868" w:type="dxa"/>
          </w:tcPr>
          <w:p w14:paraId="511AAB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2900</w:t>
            </w:r>
          </w:p>
        </w:tc>
      </w:tr>
      <w:tr w:rsidR="00A259BD" w:rsidRPr="00A259BD" w14:paraId="616C21D2" w14:textId="77777777">
        <w:tc>
          <w:tcPr>
            <w:tcW w:w="1868" w:type="dxa"/>
          </w:tcPr>
          <w:p w14:paraId="339CA1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w:t>
            </w:r>
          </w:p>
        </w:tc>
        <w:tc>
          <w:tcPr>
            <w:tcW w:w="1868" w:type="dxa"/>
          </w:tcPr>
          <w:p w14:paraId="1AFAA8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388</w:t>
            </w:r>
          </w:p>
        </w:tc>
        <w:tc>
          <w:tcPr>
            <w:tcW w:w="1868" w:type="dxa"/>
          </w:tcPr>
          <w:p w14:paraId="1D1486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502</w:t>
            </w:r>
          </w:p>
        </w:tc>
        <w:tc>
          <w:tcPr>
            <w:tcW w:w="1868" w:type="dxa"/>
          </w:tcPr>
          <w:p w14:paraId="37693C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503</w:t>
            </w:r>
          </w:p>
        </w:tc>
        <w:tc>
          <w:tcPr>
            <w:tcW w:w="1868" w:type="dxa"/>
          </w:tcPr>
          <w:p w14:paraId="5B402F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1270</w:t>
            </w:r>
          </w:p>
        </w:tc>
        <w:tc>
          <w:tcPr>
            <w:tcW w:w="1868" w:type="dxa"/>
          </w:tcPr>
          <w:p w14:paraId="486B8F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1270</w:t>
            </w:r>
          </w:p>
        </w:tc>
      </w:tr>
      <w:tr w:rsidR="00A259BD" w:rsidRPr="00A259BD" w14:paraId="239FB536" w14:textId="77777777">
        <w:tc>
          <w:tcPr>
            <w:tcW w:w="1868" w:type="dxa"/>
          </w:tcPr>
          <w:p w14:paraId="0C5A61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Новые заводы</w:t>
            </w:r>
          </w:p>
        </w:tc>
        <w:tc>
          <w:tcPr>
            <w:tcW w:w="1868" w:type="dxa"/>
          </w:tcPr>
          <w:p w14:paraId="026356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868" w:type="dxa"/>
          </w:tcPr>
          <w:p w14:paraId="37FD9F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868" w:type="dxa"/>
          </w:tcPr>
          <w:p w14:paraId="17E341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868" w:type="dxa"/>
          </w:tcPr>
          <w:p w14:paraId="0455EA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553</w:t>
            </w:r>
          </w:p>
        </w:tc>
        <w:tc>
          <w:tcPr>
            <w:tcW w:w="1868" w:type="dxa"/>
          </w:tcPr>
          <w:p w14:paraId="6F04BB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1270</w:t>
            </w:r>
          </w:p>
        </w:tc>
      </w:tr>
      <w:tr w:rsidR="00A259BD" w:rsidRPr="00A259BD" w14:paraId="3129F328" w14:textId="77777777">
        <w:tc>
          <w:tcPr>
            <w:tcW w:w="1868" w:type="dxa"/>
            <w:tcBorders>
              <w:bottom w:val="single" w:sz="12" w:space="0" w:color="auto"/>
            </w:tcBorders>
          </w:tcPr>
          <w:p w14:paraId="40F78D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 в 3 сены</w:t>
            </w:r>
          </w:p>
        </w:tc>
        <w:tc>
          <w:tcPr>
            <w:tcW w:w="1868" w:type="dxa"/>
            <w:tcBorders>
              <w:bottom w:val="single" w:sz="12" w:space="0" w:color="auto"/>
            </w:tcBorders>
          </w:tcPr>
          <w:p w14:paraId="73F444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7CEDE1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4D02BB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7CDBAC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1267BF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316209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(3770,29)</w:t>
      </w:r>
    </w:p>
    <w:p w14:paraId="191B96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Таблица № 11</w:t>
      </w:r>
    </w:p>
    <w:p w14:paraId="526BC7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План развития </w:t>
      </w:r>
      <w:proofErr w:type="spellStart"/>
      <w:r w:rsidRPr="00A259BD">
        <w:rPr>
          <w:rFonts w:ascii="Times New Roman" w:hAnsi="Times New Roman"/>
          <w:color w:val="000000" w:themeColor="text1"/>
          <w:sz w:val="16"/>
          <w:szCs w:val="16"/>
        </w:rPr>
        <w:t>заводоа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Авиатреста</w:t>
      </w:r>
      <w:proofErr w:type="spellEnd"/>
    </w:p>
    <w:p w14:paraId="0BC085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Динамика основного капитала заводов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(в тыс.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A259BD" w:rsidRPr="00A259BD" w14:paraId="1DA6A57E" w14:textId="77777777">
        <w:tc>
          <w:tcPr>
            <w:tcW w:w="2802" w:type="dxa"/>
            <w:tcBorders>
              <w:top w:val="single" w:sz="12" w:space="0" w:color="auto"/>
            </w:tcBorders>
          </w:tcPr>
          <w:p w14:paraId="73DC02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2802" w:type="dxa"/>
            <w:tcBorders>
              <w:top w:val="single" w:sz="12" w:space="0" w:color="auto"/>
            </w:tcBorders>
          </w:tcPr>
          <w:p w14:paraId="5A5D3B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октября 1926</w:t>
            </w:r>
          </w:p>
        </w:tc>
        <w:tc>
          <w:tcPr>
            <w:tcW w:w="2802" w:type="dxa"/>
            <w:tcBorders>
              <w:top w:val="single" w:sz="12" w:space="0" w:color="auto"/>
            </w:tcBorders>
          </w:tcPr>
          <w:p w14:paraId="45D35B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октября 1927</w:t>
            </w:r>
          </w:p>
        </w:tc>
        <w:tc>
          <w:tcPr>
            <w:tcW w:w="2802" w:type="dxa"/>
            <w:tcBorders>
              <w:top w:val="single" w:sz="12" w:space="0" w:color="auto"/>
            </w:tcBorders>
          </w:tcPr>
          <w:p w14:paraId="587BBA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октября 1928</w:t>
            </w:r>
          </w:p>
        </w:tc>
      </w:tr>
      <w:tr w:rsidR="00A259BD" w:rsidRPr="00A259BD" w14:paraId="249A1ADD" w14:textId="77777777">
        <w:tc>
          <w:tcPr>
            <w:tcW w:w="2802" w:type="dxa"/>
          </w:tcPr>
          <w:p w14:paraId="1D2788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2802" w:type="dxa"/>
          </w:tcPr>
          <w:p w14:paraId="10BAB2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5115</w:t>
            </w:r>
          </w:p>
        </w:tc>
        <w:tc>
          <w:tcPr>
            <w:tcW w:w="2802" w:type="dxa"/>
          </w:tcPr>
          <w:p w14:paraId="655AAF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6376</w:t>
            </w:r>
          </w:p>
        </w:tc>
        <w:tc>
          <w:tcPr>
            <w:tcW w:w="2802" w:type="dxa"/>
          </w:tcPr>
          <w:p w14:paraId="6303D1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7300</w:t>
            </w:r>
          </w:p>
        </w:tc>
      </w:tr>
      <w:tr w:rsidR="00A259BD" w:rsidRPr="00A259BD" w14:paraId="7DEDD690" w14:textId="77777777">
        <w:tc>
          <w:tcPr>
            <w:tcW w:w="2802" w:type="dxa"/>
          </w:tcPr>
          <w:p w14:paraId="470563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w:t>
            </w:r>
          </w:p>
        </w:tc>
        <w:tc>
          <w:tcPr>
            <w:tcW w:w="2802" w:type="dxa"/>
          </w:tcPr>
          <w:p w14:paraId="34D969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637</w:t>
            </w:r>
          </w:p>
        </w:tc>
        <w:tc>
          <w:tcPr>
            <w:tcW w:w="2802" w:type="dxa"/>
          </w:tcPr>
          <w:p w14:paraId="13C094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692</w:t>
            </w:r>
          </w:p>
        </w:tc>
        <w:tc>
          <w:tcPr>
            <w:tcW w:w="2802" w:type="dxa"/>
          </w:tcPr>
          <w:p w14:paraId="5E1F9D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769</w:t>
            </w:r>
          </w:p>
        </w:tc>
      </w:tr>
      <w:tr w:rsidR="00A259BD" w:rsidRPr="00A259BD" w14:paraId="5DBEA764" w14:textId="77777777">
        <w:tc>
          <w:tcPr>
            <w:tcW w:w="2802" w:type="dxa"/>
          </w:tcPr>
          <w:p w14:paraId="284D46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2802" w:type="dxa"/>
          </w:tcPr>
          <w:p w14:paraId="378ED8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802" w:type="dxa"/>
          </w:tcPr>
          <w:p w14:paraId="7E1C5E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5577</w:t>
            </w:r>
          </w:p>
        </w:tc>
        <w:tc>
          <w:tcPr>
            <w:tcW w:w="2802" w:type="dxa"/>
          </w:tcPr>
          <w:p w14:paraId="215BE7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6657</w:t>
            </w:r>
          </w:p>
        </w:tc>
      </w:tr>
      <w:tr w:rsidR="00A259BD" w:rsidRPr="00A259BD" w14:paraId="79437A6E" w14:textId="77777777">
        <w:tc>
          <w:tcPr>
            <w:tcW w:w="2802" w:type="dxa"/>
          </w:tcPr>
          <w:p w14:paraId="76288F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2802" w:type="dxa"/>
          </w:tcPr>
          <w:p w14:paraId="0D0F67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1384</w:t>
            </w:r>
          </w:p>
        </w:tc>
        <w:tc>
          <w:tcPr>
            <w:tcW w:w="2802" w:type="dxa"/>
          </w:tcPr>
          <w:p w14:paraId="230FE4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1583</w:t>
            </w:r>
          </w:p>
        </w:tc>
        <w:tc>
          <w:tcPr>
            <w:tcW w:w="2802" w:type="dxa"/>
          </w:tcPr>
          <w:p w14:paraId="33AC6F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1669</w:t>
            </w:r>
          </w:p>
        </w:tc>
      </w:tr>
      <w:tr w:rsidR="00A259BD" w:rsidRPr="00A259BD" w14:paraId="31059173" w14:textId="77777777">
        <w:tc>
          <w:tcPr>
            <w:tcW w:w="2802" w:type="dxa"/>
          </w:tcPr>
          <w:p w14:paraId="2CBCD3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w:t>
            </w:r>
          </w:p>
        </w:tc>
        <w:tc>
          <w:tcPr>
            <w:tcW w:w="2802" w:type="dxa"/>
          </w:tcPr>
          <w:p w14:paraId="63044A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4880</w:t>
            </w:r>
          </w:p>
        </w:tc>
        <w:tc>
          <w:tcPr>
            <w:tcW w:w="2802" w:type="dxa"/>
          </w:tcPr>
          <w:p w14:paraId="3697F8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6593</w:t>
            </w:r>
          </w:p>
        </w:tc>
        <w:tc>
          <w:tcPr>
            <w:tcW w:w="2802" w:type="dxa"/>
          </w:tcPr>
          <w:p w14:paraId="7F1DB0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10021</w:t>
            </w:r>
          </w:p>
        </w:tc>
      </w:tr>
      <w:tr w:rsidR="00A259BD" w:rsidRPr="00A259BD" w14:paraId="20440BFD" w14:textId="77777777">
        <w:tc>
          <w:tcPr>
            <w:tcW w:w="2802" w:type="dxa"/>
          </w:tcPr>
          <w:p w14:paraId="3DA9B2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w:t>
            </w:r>
          </w:p>
        </w:tc>
        <w:tc>
          <w:tcPr>
            <w:tcW w:w="2802" w:type="dxa"/>
          </w:tcPr>
          <w:p w14:paraId="322F15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440</w:t>
            </w:r>
          </w:p>
        </w:tc>
        <w:tc>
          <w:tcPr>
            <w:tcW w:w="2802" w:type="dxa"/>
          </w:tcPr>
          <w:p w14:paraId="5345A8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802" w:type="dxa"/>
          </w:tcPr>
          <w:p w14:paraId="325FCC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473</w:t>
            </w:r>
          </w:p>
        </w:tc>
      </w:tr>
      <w:tr w:rsidR="00A259BD" w:rsidRPr="00A259BD" w14:paraId="43AC0F07" w14:textId="77777777">
        <w:tc>
          <w:tcPr>
            <w:tcW w:w="2802" w:type="dxa"/>
          </w:tcPr>
          <w:p w14:paraId="6D8CB5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2802" w:type="dxa"/>
          </w:tcPr>
          <w:p w14:paraId="4A1B48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2936</w:t>
            </w:r>
          </w:p>
        </w:tc>
        <w:tc>
          <w:tcPr>
            <w:tcW w:w="2802" w:type="dxa"/>
          </w:tcPr>
          <w:p w14:paraId="13B1FF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3833</w:t>
            </w:r>
          </w:p>
        </w:tc>
        <w:tc>
          <w:tcPr>
            <w:tcW w:w="2802" w:type="dxa"/>
          </w:tcPr>
          <w:p w14:paraId="2E9275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4150</w:t>
            </w:r>
          </w:p>
        </w:tc>
      </w:tr>
      <w:tr w:rsidR="00A259BD" w:rsidRPr="00A259BD" w14:paraId="6DD2B933" w14:textId="77777777">
        <w:tc>
          <w:tcPr>
            <w:tcW w:w="2802" w:type="dxa"/>
          </w:tcPr>
          <w:p w14:paraId="3AC94E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w:t>
            </w:r>
          </w:p>
        </w:tc>
        <w:tc>
          <w:tcPr>
            <w:tcW w:w="2802" w:type="dxa"/>
          </w:tcPr>
          <w:p w14:paraId="57D609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754</w:t>
            </w:r>
          </w:p>
        </w:tc>
        <w:tc>
          <w:tcPr>
            <w:tcW w:w="2802" w:type="dxa"/>
          </w:tcPr>
          <w:p w14:paraId="49251A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843</w:t>
            </w:r>
          </w:p>
        </w:tc>
        <w:tc>
          <w:tcPr>
            <w:tcW w:w="2802" w:type="dxa"/>
          </w:tcPr>
          <w:p w14:paraId="2F7D1D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1549</w:t>
            </w:r>
          </w:p>
        </w:tc>
      </w:tr>
      <w:tr w:rsidR="00A259BD" w:rsidRPr="00A259BD" w14:paraId="5604A8CB" w14:textId="77777777">
        <w:tc>
          <w:tcPr>
            <w:tcW w:w="2802" w:type="dxa"/>
          </w:tcPr>
          <w:p w14:paraId="4817C7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w:t>
            </w:r>
          </w:p>
        </w:tc>
        <w:tc>
          <w:tcPr>
            <w:tcW w:w="2802" w:type="dxa"/>
          </w:tcPr>
          <w:p w14:paraId="53458C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2610</w:t>
            </w:r>
          </w:p>
        </w:tc>
        <w:tc>
          <w:tcPr>
            <w:tcW w:w="2802" w:type="dxa"/>
          </w:tcPr>
          <w:p w14:paraId="2E2BAE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3899</w:t>
            </w:r>
          </w:p>
        </w:tc>
        <w:tc>
          <w:tcPr>
            <w:tcW w:w="2802" w:type="dxa"/>
          </w:tcPr>
          <w:p w14:paraId="5CD0EC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4814</w:t>
            </w:r>
          </w:p>
        </w:tc>
      </w:tr>
      <w:tr w:rsidR="00A259BD" w:rsidRPr="00A259BD" w14:paraId="787A15D4" w14:textId="77777777">
        <w:tc>
          <w:tcPr>
            <w:tcW w:w="2802" w:type="dxa"/>
          </w:tcPr>
          <w:p w14:paraId="0BCC67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w:t>
            </w:r>
          </w:p>
        </w:tc>
        <w:tc>
          <w:tcPr>
            <w:tcW w:w="2802" w:type="dxa"/>
          </w:tcPr>
          <w:p w14:paraId="3BABD8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2677</w:t>
            </w:r>
          </w:p>
        </w:tc>
        <w:tc>
          <w:tcPr>
            <w:tcW w:w="2802" w:type="dxa"/>
          </w:tcPr>
          <w:p w14:paraId="4A9A53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3933</w:t>
            </w:r>
          </w:p>
        </w:tc>
        <w:tc>
          <w:tcPr>
            <w:tcW w:w="2802" w:type="dxa"/>
          </w:tcPr>
          <w:p w14:paraId="1D8E55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4890</w:t>
            </w:r>
          </w:p>
        </w:tc>
      </w:tr>
      <w:tr w:rsidR="00A259BD" w:rsidRPr="00A259BD" w14:paraId="103C244F" w14:textId="77777777">
        <w:tc>
          <w:tcPr>
            <w:tcW w:w="2802" w:type="dxa"/>
          </w:tcPr>
          <w:p w14:paraId="7EA45E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w:t>
            </w:r>
          </w:p>
        </w:tc>
        <w:tc>
          <w:tcPr>
            <w:tcW w:w="2802" w:type="dxa"/>
          </w:tcPr>
          <w:p w14:paraId="02CA31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133</w:t>
            </w:r>
          </w:p>
        </w:tc>
        <w:tc>
          <w:tcPr>
            <w:tcW w:w="2802" w:type="dxa"/>
          </w:tcPr>
          <w:p w14:paraId="21D38C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164</w:t>
            </w:r>
          </w:p>
        </w:tc>
        <w:tc>
          <w:tcPr>
            <w:tcW w:w="2802" w:type="dxa"/>
          </w:tcPr>
          <w:p w14:paraId="4BB595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170</w:t>
            </w:r>
          </w:p>
        </w:tc>
      </w:tr>
      <w:tr w:rsidR="00A259BD" w:rsidRPr="00A259BD" w14:paraId="344CF609" w14:textId="77777777">
        <w:tc>
          <w:tcPr>
            <w:tcW w:w="2802" w:type="dxa"/>
          </w:tcPr>
          <w:p w14:paraId="6E4993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w:t>
            </w:r>
          </w:p>
        </w:tc>
        <w:tc>
          <w:tcPr>
            <w:tcW w:w="2802" w:type="dxa"/>
          </w:tcPr>
          <w:p w14:paraId="17BF07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w:t>
            </w:r>
          </w:p>
        </w:tc>
        <w:tc>
          <w:tcPr>
            <w:tcW w:w="2802" w:type="dxa"/>
          </w:tcPr>
          <w:p w14:paraId="1693B6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238</w:t>
            </w:r>
          </w:p>
        </w:tc>
        <w:tc>
          <w:tcPr>
            <w:tcW w:w="2802" w:type="dxa"/>
          </w:tcPr>
          <w:p w14:paraId="3BC29E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343</w:t>
            </w:r>
          </w:p>
        </w:tc>
      </w:tr>
      <w:tr w:rsidR="00A259BD" w:rsidRPr="00A259BD" w14:paraId="3A0AC195" w14:textId="77777777">
        <w:tc>
          <w:tcPr>
            <w:tcW w:w="2802" w:type="dxa"/>
          </w:tcPr>
          <w:p w14:paraId="078785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Вспомогательный моторный</w:t>
            </w:r>
          </w:p>
        </w:tc>
        <w:tc>
          <w:tcPr>
            <w:tcW w:w="2802" w:type="dxa"/>
          </w:tcPr>
          <w:p w14:paraId="7524A4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802" w:type="dxa"/>
          </w:tcPr>
          <w:p w14:paraId="19C2B2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802" w:type="dxa"/>
          </w:tcPr>
          <w:p w14:paraId="5D41A2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7630B3DE" w14:textId="77777777">
        <w:tc>
          <w:tcPr>
            <w:tcW w:w="2802" w:type="dxa"/>
          </w:tcPr>
          <w:p w14:paraId="49B138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вооружения</w:t>
            </w:r>
          </w:p>
        </w:tc>
        <w:tc>
          <w:tcPr>
            <w:tcW w:w="2802" w:type="dxa"/>
          </w:tcPr>
          <w:p w14:paraId="2EDE3D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802" w:type="dxa"/>
          </w:tcPr>
          <w:p w14:paraId="1ED968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802" w:type="dxa"/>
          </w:tcPr>
          <w:p w14:paraId="1579A1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3313E4B9" w14:textId="77777777">
        <w:tc>
          <w:tcPr>
            <w:tcW w:w="2802" w:type="dxa"/>
          </w:tcPr>
          <w:p w14:paraId="45713D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Самолетостроительный завод А</w:t>
            </w:r>
          </w:p>
        </w:tc>
        <w:tc>
          <w:tcPr>
            <w:tcW w:w="2802" w:type="dxa"/>
          </w:tcPr>
          <w:p w14:paraId="244735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802" w:type="dxa"/>
          </w:tcPr>
          <w:p w14:paraId="5ACC64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802" w:type="dxa"/>
          </w:tcPr>
          <w:p w14:paraId="6E32EF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3AEB0D6B" w14:textId="77777777">
        <w:tc>
          <w:tcPr>
            <w:tcW w:w="2802" w:type="dxa"/>
          </w:tcPr>
          <w:p w14:paraId="1D3A4F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Новый моторостроительный завод</w:t>
            </w:r>
          </w:p>
        </w:tc>
        <w:tc>
          <w:tcPr>
            <w:tcW w:w="2802" w:type="dxa"/>
          </w:tcPr>
          <w:p w14:paraId="60F832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802" w:type="dxa"/>
          </w:tcPr>
          <w:p w14:paraId="2CB2F4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802" w:type="dxa"/>
          </w:tcPr>
          <w:p w14:paraId="68525D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30962D68" w14:textId="77777777">
        <w:tc>
          <w:tcPr>
            <w:tcW w:w="2802" w:type="dxa"/>
          </w:tcPr>
          <w:p w14:paraId="666E89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Самолетостроительный завод А</w:t>
            </w:r>
          </w:p>
        </w:tc>
        <w:tc>
          <w:tcPr>
            <w:tcW w:w="2802" w:type="dxa"/>
          </w:tcPr>
          <w:p w14:paraId="398CA6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802" w:type="dxa"/>
          </w:tcPr>
          <w:p w14:paraId="63EF2D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802" w:type="dxa"/>
          </w:tcPr>
          <w:p w14:paraId="69C473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7D1C8A2A" w14:textId="77777777">
        <w:tc>
          <w:tcPr>
            <w:tcW w:w="2802" w:type="dxa"/>
          </w:tcPr>
          <w:p w14:paraId="0C58B0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Базовый склад</w:t>
            </w:r>
          </w:p>
        </w:tc>
        <w:tc>
          <w:tcPr>
            <w:tcW w:w="2802" w:type="dxa"/>
          </w:tcPr>
          <w:p w14:paraId="418336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802" w:type="dxa"/>
          </w:tcPr>
          <w:p w14:paraId="61D0EB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802" w:type="dxa"/>
          </w:tcPr>
          <w:p w14:paraId="26E6BE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400</w:t>
            </w:r>
          </w:p>
        </w:tc>
      </w:tr>
      <w:tr w:rsidR="00A259BD" w:rsidRPr="00A259BD" w14:paraId="5EA3B321" w14:textId="77777777">
        <w:tc>
          <w:tcPr>
            <w:tcW w:w="2802" w:type="dxa"/>
          </w:tcPr>
          <w:p w14:paraId="4AED57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Прочие (ФЗУ)</w:t>
            </w:r>
          </w:p>
        </w:tc>
        <w:tc>
          <w:tcPr>
            <w:tcW w:w="2802" w:type="dxa"/>
          </w:tcPr>
          <w:p w14:paraId="0E541E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4C28E5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5808A4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C329ADA" w14:textId="77777777">
        <w:tc>
          <w:tcPr>
            <w:tcW w:w="2802" w:type="dxa"/>
            <w:tcBorders>
              <w:bottom w:val="single" w:sz="12" w:space="0" w:color="auto"/>
            </w:tcBorders>
          </w:tcPr>
          <w:p w14:paraId="491BF1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w:t>
            </w:r>
          </w:p>
        </w:tc>
        <w:tc>
          <w:tcPr>
            <w:tcW w:w="2802" w:type="dxa"/>
            <w:tcBorders>
              <w:bottom w:val="single" w:sz="12" w:space="0" w:color="auto"/>
            </w:tcBorders>
          </w:tcPr>
          <w:p w14:paraId="4FFD2C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22013</w:t>
            </w:r>
          </w:p>
        </w:tc>
        <w:tc>
          <w:tcPr>
            <w:tcW w:w="2802" w:type="dxa"/>
            <w:tcBorders>
              <w:bottom w:val="single" w:sz="12" w:space="0" w:color="auto"/>
            </w:tcBorders>
          </w:tcPr>
          <w:p w14:paraId="3E9EB5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34195</w:t>
            </w:r>
          </w:p>
        </w:tc>
        <w:tc>
          <w:tcPr>
            <w:tcW w:w="2802" w:type="dxa"/>
            <w:tcBorders>
              <w:bottom w:val="single" w:sz="12" w:space="0" w:color="auto"/>
            </w:tcBorders>
          </w:tcPr>
          <w:p w14:paraId="69988B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43282</w:t>
            </w:r>
          </w:p>
        </w:tc>
      </w:tr>
    </w:tbl>
    <w:p w14:paraId="5C6B69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(3770,32)</w:t>
      </w:r>
    </w:p>
    <w:p w14:paraId="1FBA1D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Таблица № 17 </w:t>
      </w:r>
    </w:p>
    <w:p w14:paraId="4204C9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Пятилетний план развития </w:t>
      </w:r>
      <w:proofErr w:type="spellStart"/>
      <w:r w:rsidRPr="00A259BD">
        <w:rPr>
          <w:rFonts w:ascii="Times New Roman" w:hAnsi="Times New Roman"/>
          <w:color w:val="000000" w:themeColor="text1"/>
          <w:sz w:val="16"/>
          <w:szCs w:val="16"/>
        </w:rPr>
        <w:t>заврдов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Авиатреста</w:t>
      </w:r>
      <w:proofErr w:type="spellEnd"/>
    </w:p>
    <w:p w14:paraId="4CBBE2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Сводный план развертывания рабочей силы</w:t>
      </w:r>
    </w:p>
    <w:p w14:paraId="5EDCD6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Число рабочих (с мл. </w:t>
      </w:r>
      <w:proofErr w:type="spellStart"/>
      <w:r w:rsidRPr="00A259BD">
        <w:rPr>
          <w:rFonts w:ascii="Times New Roman" w:hAnsi="Times New Roman"/>
          <w:color w:val="000000" w:themeColor="text1"/>
          <w:sz w:val="16"/>
          <w:szCs w:val="16"/>
        </w:rPr>
        <w:t>Обсл</w:t>
      </w:r>
      <w:proofErr w:type="spellEnd"/>
      <w:r w:rsidRPr="00A259BD">
        <w:rPr>
          <w:rFonts w:ascii="Times New Roman" w:hAnsi="Times New Roman"/>
          <w:color w:val="000000" w:themeColor="text1"/>
          <w:sz w:val="16"/>
          <w:szCs w:val="16"/>
        </w:rPr>
        <w:t>. Персоналом) и служащих на конец соответствующего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79"/>
        <w:gridCol w:w="780"/>
        <w:gridCol w:w="774"/>
        <w:gridCol w:w="782"/>
        <w:gridCol w:w="779"/>
        <w:gridCol w:w="780"/>
        <w:gridCol w:w="779"/>
        <w:gridCol w:w="780"/>
        <w:gridCol w:w="2139"/>
      </w:tblGrid>
      <w:tr w:rsidR="00A259BD" w:rsidRPr="00A259BD" w14:paraId="2560F743" w14:textId="77777777">
        <w:tc>
          <w:tcPr>
            <w:tcW w:w="2802" w:type="dxa"/>
            <w:tcBorders>
              <w:top w:val="single" w:sz="12" w:space="0" w:color="auto"/>
            </w:tcBorders>
          </w:tcPr>
          <w:p w14:paraId="591476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556" w:type="dxa"/>
            <w:gridSpan w:val="2"/>
            <w:tcBorders>
              <w:top w:val="single" w:sz="12" w:space="0" w:color="auto"/>
            </w:tcBorders>
          </w:tcPr>
          <w:p w14:paraId="010A1C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27/27</w:t>
            </w:r>
          </w:p>
        </w:tc>
        <w:tc>
          <w:tcPr>
            <w:tcW w:w="1556" w:type="dxa"/>
            <w:gridSpan w:val="2"/>
            <w:tcBorders>
              <w:top w:val="single" w:sz="12" w:space="0" w:color="auto"/>
            </w:tcBorders>
          </w:tcPr>
          <w:p w14:paraId="7BE775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28/29</w:t>
            </w:r>
          </w:p>
        </w:tc>
        <w:tc>
          <w:tcPr>
            <w:tcW w:w="1556" w:type="dxa"/>
            <w:gridSpan w:val="2"/>
            <w:tcBorders>
              <w:top w:val="single" w:sz="12" w:space="0" w:color="auto"/>
            </w:tcBorders>
          </w:tcPr>
          <w:p w14:paraId="7982BF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30/32</w:t>
            </w:r>
          </w:p>
        </w:tc>
        <w:tc>
          <w:tcPr>
            <w:tcW w:w="1556" w:type="dxa"/>
            <w:gridSpan w:val="2"/>
            <w:tcBorders>
              <w:top w:val="single" w:sz="12" w:space="0" w:color="auto"/>
            </w:tcBorders>
          </w:tcPr>
          <w:p w14:paraId="280045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32/33</w:t>
            </w:r>
          </w:p>
        </w:tc>
        <w:tc>
          <w:tcPr>
            <w:tcW w:w="2139" w:type="dxa"/>
            <w:tcBorders>
              <w:top w:val="single" w:sz="12" w:space="0" w:color="auto"/>
            </w:tcBorders>
          </w:tcPr>
          <w:p w14:paraId="2D7966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Промечание</w:t>
            </w:r>
            <w:proofErr w:type="spellEnd"/>
          </w:p>
        </w:tc>
      </w:tr>
      <w:tr w:rsidR="00A259BD" w:rsidRPr="00A259BD" w14:paraId="6702DE42" w14:textId="77777777">
        <w:tc>
          <w:tcPr>
            <w:tcW w:w="2802" w:type="dxa"/>
          </w:tcPr>
          <w:p w14:paraId="13FA81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79" w:type="dxa"/>
          </w:tcPr>
          <w:p w14:paraId="0C416C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рабочих</w:t>
            </w:r>
          </w:p>
        </w:tc>
        <w:tc>
          <w:tcPr>
            <w:tcW w:w="780" w:type="dxa"/>
          </w:tcPr>
          <w:p w14:paraId="44F9DD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служащих</w:t>
            </w:r>
          </w:p>
        </w:tc>
        <w:tc>
          <w:tcPr>
            <w:tcW w:w="774" w:type="dxa"/>
          </w:tcPr>
          <w:p w14:paraId="40B396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рабочих</w:t>
            </w:r>
          </w:p>
        </w:tc>
        <w:tc>
          <w:tcPr>
            <w:tcW w:w="782" w:type="dxa"/>
          </w:tcPr>
          <w:p w14:paraId="44ACF0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служащих</w:t>
            </w:r>
          </w:p>
        </w:tc>
        <w:tc>
          <w:tcPr>
            <w:tcW w:w="779" w:type="dxa"/>
          </w:tcPr>
          <w:p w14:paraId="398F15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рабочих</w:t>
            </w:r>
          </w:p>
        </w:tc>
        <w:tc>
          <w:tcPr>
            <w:tcW w:w="780" w:type="dxa"/>
          </w:tcPr>
          <w:p w14:paraId="414536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служащих</w:t>
            </w:r>
          </w:p>
        </w:tc>
        <w:tc>
          <w:tcPr>
            <w:tcW w:w="779" w:type="dxa"/>
          </w:tcPr>
          <w:p w14:paraId="173F96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рабочих</w:t>
            </w:r>
          </w:p>
        </w:tc>
        <w:tc>
          <w:tcPr>
            <w:tcW w:w="780" w:type="dxa"/>
          </w:tcPr>
          <w:p w14:paraId="7D886C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служащих</w:t>
            </w:r>
          </w:p>
        </w:tc>
        <w:tc>
          <w:tcPr>
            <w:tcW w:w="2130" w:type="dxa"/>
          </w:tcPr>
          <w:p w14:paraId="75C378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681ADAA" w14:textId="77777777">
        <w:tc>
          <w:tcPr>
            <w:tcW w:w="2802" w:type="dxa"/>
          </w:tcPr>
          <w:p w14:paraId="741572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779" w:type="dxa"/>
          </w:tcPr>
          <w:p w14:paraId="75E200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1599</w:t>
            </w:r>
          </w:p>
        </w:tc>
        <w:tc>
          <w:tcPr>
            <w:tcW w:w="780" w:type="dxa"/>
          </w:tcPr>
          <w:p w14:paraId="7A42F3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358</w:t>
            </w:r>
          </w:p>
        </w:tc>
        <w:tc>
          <w:tcPr>
            <w:tcW w:w="774" w:type="dxa"/>
          </w:tcPr>
          <w:p w14:paraId="757ADF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1996</w:t>
            </w:r>
          </w:p>
        </w:tc>
        <w:tc>
          <w:tcPr>
            <w:tcW w:w="782" w:type="dxa"/>
          </w:tcPr>
          <w:p w14:paraId="05CBD8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382</w:t>
            </w:r>
          </w:p>
        </w:tc>
        <w:tc>
          <w:tcPr>
            <w:tcW w:w="779" w:type="dxa"/>
          </w:tcPr>
          <w:p w14:paraId="784B09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5350</w:t>
            </w:r>
          </w:p>
        </w:tc>
        <w:tc>
          <w:tcPr>
            <w:tcW w:w="780" w:type="dxa"/>
          </w:tcPr>
          <w:p w14:paraId="71A5FF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490</w:t>
            </w:r>
          </w:p>
        </w:tc>
        <w:tc>
          <w:tcPr>
            <w:tcW w:w="779" w:type="dxa"/>
          </w:tcPr>
          <w:p w14:paraId="083E0C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6150</w:t>
            </w:r>
          </w:p>
        </w:tc>
        <w:tc>
          <w:tcPr>
            <w:tcW w:w="780" w:type="dxa"/>
          </w:tcPr>
          <w:p w14:paraId="4F7615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560</w:t>
            </w:r>
          </w:p>
        </w:tc>
        <w:tc>
          <w:tcPr>
            <w:tcW w:w="2130" w:type="dxa"/>
          </w:tcPr>
          <w:p w14:paraId="0011D0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27/28 по факту на 1 октября</w:t>
            </w:r>
          </w:p>
        </w:tc>
      </w:tr>
      <w:tr w:rsidR="00A259BD" w:rsidRPr="00A259BD" w14:paraId="58B154AA" w14:textId="77777777">
        <w:tc>
          <w:tcPr>
            <w:tcW w:w="2802" w:type="dxa"/>
          </w:tcPr>
          <w:p w14:paraId="77F025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w:t>
            </w:r>
          </w:p>
        </w:tc>
        <w:tc>
          <w:tcPr>
            <w:tcW w:w="779" w:type="dxa"/>
          </w:tcPr>
          <w:p w14:paraId="52E634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610</w:t>
            </w:r>
          </w:p>
        </w:tc>
        <w:tc>
          <w:tcPr>
            <w:tcW w:w="780" w:type="dxa"/>
          </w:tcPr>
          <w:p w14:paraId="647F0A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164</w:t>
            </w:r>
          </w:p>
        </w:tc>
        <w:tc>
          <w:tcPr>
            <w:tcW w:w="774" w:type="dxa"/>
          </w:tcPr>
          <w:p w14:paraId="78C248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524</w:t>
            </w:r>
          </w:p>
        </w:tc>
        <w:tc>
          <w:tcPr>
            <w:tcW w:w="782" w:type="dxa"/>
          </w:tcPr>
          <w:p w14:paraId="505526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155</w:t>
            </w:r>
          </w:p>
        </w:tc>
        <w:tc>
          <w:tcPr>
            <w:tcW w:w="779" w:type="dxa"/>
          </w:tcPr>
          <w:p w14:paraId="6DBF3F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w:t>
            </w:r>
          </w:p>
        </w:tc>
        <w:tc>
          <w:tcPr>
            <w:tcW w:w="780" w:type="dxa"/>
          </w:tcPr>
          <w:p w14:paraId="5CF7AD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138</w:t>
            </w:r>
          </w:p>
        </w:tc>
        <w:tc>
          <w:tcPr>
            <w:tcW w:w="779" w:type="dxa"/>
          </w:tcPr>
          <w:p w14:paraId="24C1DE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w:t>
            </w:r>
          </w:p>
        </w:tc>
        <w:tc>
          <w:tcPr>
            <w:tcW w:w="780" w:type="dxa"/>
          </w:tcPr>
          <w:p w14:paraId="3C6EF9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w:t>
            </w:r>
          </w:p>
        </w:tc>
        <w:tc>
          <w:tcPr>
            <w:tcW w:w="2130" w:type="dxa"/>
          </w:tcPr>
          <w:p w14:paraId="0858FB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28/28 по </w:t>
            </w:r>
            <w:proofErr w:type="spellStart"/>
            <w:r w:rsidRPr="00A259BD">
              <w:rPr>
                <w:rFonts w:ascii="Times New Roman" w:hAnsi="Times New Roman"/>
                <w:color w:val="000000" w:themeColor="text1"/>
                <w:sz w:val="16"/>
                <w:szCs w:val="16"/>
              </w:rPr>
              <w:t>промфинплану</w:t>
            </w:r>
            <w:proofErr w:type="spellEnd"/>
          </w:p>
        </w:tc>
      </w:tr>
      <w:tr w:rsidR="00A259BD" w:rsidRPr="00A259BD" w14:paraId="4F5B5355" w14:textId="77777777">
        <w:tc>
          <w:tcPr>
            <w:tcW w:w="2802" w:type="dxa"/>
          </w:tcPr>
          <w:p w14:paraId="2609EB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w:t>
            </w:r>
          </w:p>
        </w:tc>
        <w:tc>
          <w:tcPr>
            <w:tcW w:w="779" w:type="dxa"/>
          </w:tcPr>
          <w:p w14:paraId="658C38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753</w:t>
            </w:r>
          </w:p>
        </w:tc>
        <w:tc>
          <w:tcPr>
            <w:tcW w:w="780" w:type="dxa"/>
          </w:tcPr>
          <w:p w14:paraId="4F6554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185</w:t>
            </w:r>
          </w:p>
        </w:tc>
        <w:tc>
          <w:tcPr>
            <w:tcW w:w="774" w:type="dxa"/>
          </w:tcPr>
          <w:p w14:paraId="7D6A6E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662</w:t>
            </w:r>
          </w:p>
        </w:tc>
        <w:tc>
          <w:tcPr>
            <w:tcW w:w="782" w:type="dxa"/>
          </w:tcPr>
          <w:p w14:paraId="77169D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207</w:t>
            </w:r>
          </w:p>
        </w:tc>
        <w:tc>
          <w:tcPr>
            <w:tcW w:w="779" w:type="dxa"/>
          </w:tcPr>
          <w:p w14:paraId="39A6DD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3200</w:t>
            </w:r>
          </w:p>
        </w:tc>
        <w:tc>
          <w:tcPr>
            <w:tcW w:w="780" w:type="dxa"/>
          </w:tcPr>
          <w:p w14:paraId="51886E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390</w:t>
            </w:r>
          </w:p>
        </w:tc>
        <w:tc>
          <w:tcPr>
            <w:tcW w:w="779" w:type="dxa"/>
          </w:tcPr>
          <w:p w14:paraId="79FBFD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5200</w:t>
            </w:r>
          </w:p>
        </w:tc>
        <w:tc>
          <w:tcPr>
            <w:tcW w:w="780" w:type="dxa"/>
          </w:tcPr>
          <w:p w14:paraId="534191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550</w:t>
            </w:r>
          </w:p>
        </w:tc>
        <w:tc>
          <w:tcPr>
            <w:tcW w:w="2130" w:type="dxa"/>
          </w:tcPr>
          <w:p w14:paraId="156B45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30/32 -и 32/33 для трех смен при 2500 час. (312 дней) по 8 часов</w:t>
            </w:r>
          </w:p>
        </w:tc>
      </w:tr>
      <w:tr w:rsidR="00A259BD" w:rsidRPr="00A259BD" w14:paraId="2DA5BFFC" w14:textId="77777777">
        <w:tc>
          <w:tcPr>
            <w:tcW w:w="2802" w:type="dxa"/>
          </w:tcPr>
          <w:p w14:paraId="7D98CA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779" w:type="dxa"/>
          </w:tcPr>
          <w:p w14:paraId="69ACF6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1650</w:t>
            </w:r>
          </w:p>
        </w:tc>
        <w:tc>
          <w:tcPr>
            <w:tcW w:w="780" w:type="dxa"/>
          </w:tcPr>
          <w:p w14:paraId="2B8327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440</w:t>
            </w:r>
          </w:p>
        </w:tc>
        <w:tc>
          <w:tcPr>
            <w:tcW w:w="774" w:type="dxa"/>
          </w:tcPr>
          <w:p w14:paraId="618593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2697</w:t>
            </w:r>
          </w:p>
        </w:tc>
        <w:tc>
          <w:tcPr>
            <w:tcW w:w="782" w:type="dxa"/>
          </w:tcPr>
          <w:p w14:paraId="5C7D1E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540</w:t>
            </w:r>
          </w:p>
        </w:tc>
        <w:tc>
          <w:tcPr>
            <w:tcW w:w="779" w:type="dxa"/>
          </w:tcPr>
          <w:p w14:paraId="470D58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6160</w:t>
            </w:r>
          </w:p>
        </w:tc>
        <w:tc>
          <w:tcPr>
            <w:tcW w:w="780" w:type="dxa"/>
          </w:tcPr>
          <w:p w14:paraId="6600D9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725</w:t>
            </w:r>
          </w:p>
        </w:tc>
        <w:tc>
          <w:tcPr>
            <w:tcW w:w="779" w:type="dxa"/>
          </w:tcPr>
          <w:p w14:paraId="4996ED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4400</w:t>
            </w:r>
          </w:p>
        </w:tc>
        <w:tc>
          <w:tcPr>
            <w:tcW w:w="780" w:type="dxa"/>
          </w:tcPr>
          <w:p w14:paraId="3E2CD1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515</w:t>
            </w:r>
          </w:p>
        </w:tc>
        <w:tc>
          <w:tcPr>
            <w:tcW w:w="2130" w:type="dxa"/>
          </w:tcPr>
          <w:p w14:paraId="587C25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3E5061C" w14:textId="77777777">
        <w:tc>
          <w:tcPr>
            <w:tcW w:w="2802" w:type="dxa"/>
          </w:tcPr>
          <w:p w14:paraId="4AC2E7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А</w:t>
            </w:r>
          </w:p>
        </w:tc>
        <w:tc>
          <w:tcPr>
            <w:tcW w:w="779" w:type="dxa"/>
          </w:tcPr>
          <w:p w14:paraId="3240F2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80" w:type="dxa"/>
          </w:tcPr>
          <w:p w14:paraId="0097DB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74" w:type="dxa"/>
          </w:tcPr>
          <w:p w14:paraId="5CCF82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82" w:type="dxa"/>
          </w:tcPr>
          <w:p w14:paraId="1FDAAC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79" w:type="dxa"/>
          </w:tcPr>
          <w:p w14:paraId="230A13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2720</w:t>
            </w:r>
          </w:p>
        </w:tc>
        <w:tc>
          <w:tcPr>
            <w:tcW w:w="780" w:type="dxa"/>
          </w:tcPr>
          <w:p w14:paraId="54AA5B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510</w:t>
            </w:r>
          </w:p>
        </w:tc>
        <w:tc>
          <w:tcPr>
            <w:tcW w:w="779" w:type="dxa"/>
          </w:tcPr>
          <w:p w14:paraId="267DD0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5700</w:t>
            </w:r>
          </w:p>
        </w:tc>
        <w:tc>
          <w:tcPr>
            <w:tcW w:w="780" w:type="dxa"/>
          </w:tcPr>
          <w:p w14:paraId="43A526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690</w:t>
            </w:r>
          </w:p>
        </w:tc>
        <w:tc>
          <w:tcPr>
            <w:tcW w:w="2130" w:type="dxa"/>
          </w:tcPr>
          <w:p w14:paraId="31B83C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ACA7603" w14:textId="77777777">
        <w:tc>
          <w:tcPr>
            <w:tcW w:w="2802" w:type="dxa"/>
          </w:tcPr>
          <w:p w14:paraId="042820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w:t>
            </w:r>
          </w:p>
        </w:tc>
        <w:tc>
          <w:tcPr>
            <w:tcW w:w="779" w:type="dxa"/>
          </w:tcPr>
          <w:p w14:paraId="128362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80" w:type="dxa"/>
          </w:tcPr>
          <w:p w14:paraId="5556BE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74" w:type="dxa"/>
          </w:tcPr>
          <w:p w14:paraId="7BE4C1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82" w:type="dxa"/>
          </w:tcPr>
          <w:p w14:paraId="11E90B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79" w:type="dxa"/>
          </w:tcPr>
          <w:p w14:paraId="346C50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1540</w:t>
            </w:r>
          </w:p>
        </w:tc>
        <w:tc>
          <w:tcPr>
            <w:tcW w:w="780" w:type="dxa"/>
          </w:tcPr>
          <w:p w14:paraId="3A4AAE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270</w:t>
            </w:r>
          </w:p>
        </w:tc>
        <w:tc>
          <w:tcPr>
            <w:tcW w:w="779" w:type="dxa"/>
          </w:tcPr>
          <w:p w14:paraId="5E2093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9700</w:t>
            </w:r>
          </w:p>
        </w:tc>
        <w:tc>
          <w:tcPr>
            <w:tcW w:w="780" w:type="dxa"/>
          </w:tcPr>
          <w:p w14:paraId="22C412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1140</w:t>
            </w:r>
          </w:p>
        </w:tc>
        <w:tc>
          <w:tcPr>
            <w:tcW w:w="2130" w:type="dxa"/>
          </w:tcPr>
          <w:p w14:paraId="56F4DC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3B560B3" w14:textId="77777777">
        <w:tc>
          <w:tcPr>
            <w:tcW w:w="2802" w:type="dxa"/>
          </w:tcPr>
          <w:p w14:paraId="141E15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предметов вооружения</w:t>
            </w:r>
          </w:p>
        </w:tc>
        <w:tc>
          <w:tcPr>
            <w:tcW w:w="779" w:type="dxa"/>
          </w:tcPr>
          <w:p w14:paraId="612BA3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80" w:type="dxa"/>
          </w:tcPr>
          <w:p w14:paraId="621DAB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74" w:type="dxa"/>
          </w:tcPr>
          <w:p w14:paraId="273668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82" w:type="dxa"/>
          </w:tcPr>
          <w:p w14:paraId="6D4A81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79" w:type="dxa"/>
          </w:tcPr>
          <w:p w14:paraId="5E55BC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w:t>
            </w:r>
          </w:p>
        </w:tc>
        <w:tc>
          <w:tcPr>
            <w:tcW w:w="780" w:type="dxa"/>
          </w:tcPr>
          <w:p w14:paraId="1A1DED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345</w:t>
            </w:r>
          </w:p>
        </w:tc>
        <w:tc>
          <w:tcPr>
            <w:tcW w:w="779" w:type="dxa"/>
          </w:tcPr>
          <w:p w14:paraId="0925F4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w:t>
            </w:r>
          </w:p>
        </w:tc>
        <w:tc>
          <w:tcPr>
            <w:tcW w:w="780" w:type="dxa"/>
          </w:tcPr>
          <w:p w14:paraId="1031D9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345</w:t>
            </w:r>
          </w:p>
        </w:tc>
        <w:tc>
          <w:tcPr>
            <w:tcW w:w="2130" w:type="dxa"/>
          </w:tcPr>
          <w:p w14:paraId="63822A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AA080A2" w14:textId="77777777">
        <w:tc>
          <w:tcPr>
            <w:tcW w:w="2802" w:type="dxa"/>
          </w:tcPr>
          <w:p w14:paraId="304B79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w:t>
            </w:r>
          </w:p>
        </w:tc>
        <w:tc>
          <w:tcPr>
            <w:tcW w:w="779" w:type="dxa"/>
          </w:tcPr>
          <w:p w14:paraId="5A6E34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286</w:t>
            </w:r>
          </w:p>
        </w:tc>
        <w:tc>
          <w:tcPr>
            <w:tcW w:w="780" w:type="dxa"/>
          </w:tcPr>
          <w:p w14:paraId="50E470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w:t>
            </w:r>
          </w:p>
        </w:tc>
        <w:tc>
          <w:tcPr>
            <w:tcW w:w="774" w:type="dxa"/>
          </w:tcPr>
          <w:p w14:paraId="66AF66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272</w:t>
            </w:r>
          </w:p>
        </w:tc>
        <w:tc>
          <w:tcPr>
            <w:tcW w:w="782" w:type="dxa"/>
          </w:tcPr>
          <w:p w14:paraId="71F0B1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59</w:t>
            </w:r>
          </w:p>
        </w:tc>
        <w:tc>
          <w:tcPr>
            <w:tcW w:w="779" w:type="dxa"/>
          </w:tcPr>
          <w:p w14:paraId="39C924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550</w:t>
            </w:r>
          </w:p>
        </w:tc>
        <w:tc>
          <w:tcPr>
            <w:tcW w:w="780" w:type="dxa"/>
          </w:tcPr>
          <w:p w14:paraId="748341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w:t>
            </w:r>
          </w:p>
        </w:tc>
        <w:tc>
          <w:tcPr>
            <w:tcW w:w="779" w:type="dxa"/>
          </w:tcPr>
          <w:p w14:paraId="6A641C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870</w:t>
            </w:r>
          </w:p>
        </w:tc>
        <w:tc>
          <w:tcPr>
            <w:tcW w:w="780" w:type="dxa"/>
          </w:tcPr>
          <w:p w14:paraId="1DB435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92</w:t>
            </w:r>
          </w:p>
        </w:tc>
        <w:tc>
          <w:tcPr>
            <w:tcW w:w="2130" w:type="dxa"/>
          </w:tcPr>
          <w:p w14:paraId="257593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3610585" w14:textId="77777777">
        <w:tc>
          <w:tcPr>
            <w:tcW w:w="2802" w:type="dxa"/>
          </w:tcPr>
          <w:p w14:paraId="6A739F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по самолетостроению</w:t>
            </w:r>
          </w:p>
        </w:tc>
        <w:tc>
          <w:tcPr>
            <w:tcW w:w="779" w:type="dxa"/>
          </w:tcPr>
          <w:p w14:paraId="70B1DA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4898</w:t>
            </w:r>
          </w:p>
        </w:tc>
        <w:tc>
          <w:tcPr>
            <w:tcW w:w="780" w:type="dxa"/>
          </w:tcPr>
          <w:p w14:paraId="721588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1205</w:t>
            </w:r>
          </w:p>
        </w:tc>
        <w:tc>
          <w:tcPr>
            <w:tcW w:w="774" w:type="dxa"/>
          </w:tcPr>
          <w:p w14:paraId="3F32B3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6161</w:t>
            </w:r>
          </w:p>
        </w:tc>
        <w:tc>
          <w:tcPr>
            <w:tcW w:w="782" w:type="dxa"/>
          </w:tcPr>
          <w:p w14:paraId="17177A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1343</w:t>
            </w:r>
          </w:p>
        </w:tc>
        <w:tc>
          <w:tcPr>
            <w:tcW w:w="779" w:type="dxa"/>
          </w:tcPr>
          <w:p w14:paraId="7AB071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23070</w:t>
            </w:r>
          </w:p>
        </w:tc>
        <w:tc>
          <w:tcPr>
            <w:tcW w:w="780" w:type="dxa"/>
          </w:tcPr>
          <w:p w14:paraId="5DF750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2046</w:t>
            </w:r>
          </w:p>
        </w:tc>
        <w:tc>
          <w:tcPr>
            <w:tcW w:w="779" w:type="dxa"/>
          </w:tcPr>
          <w:p w14:paraId="73E724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35920</w:t>
            </w:r>
          </w:p>
        </w:tc>
        <w:tc>
          <w:tcPr>
            <w:tcW w:w="780" w:type="dxa"/>
          </w:tcPr>
          <w:p w14:paraId="056C5A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4012</w:t>
            </w:r>
          </w:p>
        </w:tc>
        <w:tc>
          <w:tcPr>
            <w:tcW w:w="2130" w:type="dxa"/>
          </w:tcPr>
          <w:p w14:paraId="28DDE3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BCF9E45" w14:textId="77777777">
        <w:tc>
          <w:tcPr>
            <w:tcW w:w="2802" w:type="dxa"/>
          </w:tcPr>
          <w:p w14:paraId="1C1DA6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w:t>
            </w:r>
          </w:p>
        </w:tc>
        <w:tc>
          <w:tcPr>
            <w:tcW w:w="779" w:type="dxa"/>
          </w:tcPr>
          <w:p w14:paraId="38948D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1905</w:t>
            </w:r>
          </w:p>
        </w:tc>
        <w:tc>
          <w:tcPr>
            <w:tcW w:w="780" w:type="dxa"/>
          </w:tcPr>
          <w:p w14:paraId="360B9D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490</w:t>
            </w:r>
          </w:p>
        </w:tc>
        <w:tc>
          <w:tcPr>
            <w:tcW w:w="774" w:type="dxa"/>
          </w:tcPr>
          <w:p w14:paraId="76A17E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1754</w:t>
            </w:r>
          </w:p>
        </w:tc>
        <w:tc>
          <w:tcPr>
            <w:tcW w:w="782" w:type="dxa"/>
          </w:tcPr>
          <w:p w14:paraId="2C768D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468</w:t>
            </w:r>
          </w:p>
        </w:tc>
        <w:tc>
          <w:tcPr>
            <w:tcW w:w="779" w:type="dxa"/>
          </w:tcPr>
          <w:p w14:paraId="5B1FB0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3100</w:t>
            </w:r>
          </w:p>
        </w:tc>
        <w:tc>
          <w:tcPr>
            <w:tcW w:w="780" w:type="dxa"/>
          </w:tcPr>
          <w:p w14:paraId="69B2F9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470</w:t>
            </w:r>
          </w:p>
        </w:tc>
        <w:tc>
          <w:tcPr>
            <w:tcW w:w="779" w:type="dxa"/>
          </w:tcPr>
          <w:p w14:paraId="120C6F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3700</w:t>
            </w:r>
          </w:p>
        </w:tc>
        <w:tc>
          <w:tcPr>
            <w:tcW w:w="780" w:type="dxa"/>
          </w:tcPr>
          <w:p w14:paraId="022185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470</w:t>
            </w:r>
          </w:p>
        </w:tc>
        <w:tc>
          <w:tcPr>
            <w:tcW w:w="2130" w:type="dxa"/>
          </w:tcPr>
          <w:p w14:paraId="5B1E13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A2AB6D7" w14:textId="77777777">
        <w:tc>
          <w:tcPr>
            <w:tcW w:w="2802" w:type="dxa"/>
          </w:tcPr>
          <w:p w14:paraId="56F795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779" w:type="dxa"/>
          </w:tcPr>
          <w:p w14:paraId="731D37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400</w:t>
            </w:r>
          </w:p>
        </w:tc>
        <w:tc>
          <w:tcPr>
            <w:tcW w:w="780" w:type="dxa"/>
          </w:tcPr>
          <w:p w14:paraId="42DAF9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221</w:t>
            </w:r>
          </w:p>
        </w:tc>
        <w:tc>
          <w:tcPr>
            <w:tcW w:w="774" w:type="dxa"/>
          </w:tcPr>
          <w:p w14:paraId="65AC99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527</w:t>
            </w:r>
          </w:p>
        </w:tc>
        <w:tc>
          <w:tcPr>
            <w:tcW w:w="782" w:type="dxa"/>
          </w:tcPr>
          <w:p w14:paraId="2978D1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268</w:t>
            </w:r>
          </w:p>
        </w:tc>
        <w:tc>
          <w:tcPr>
            <w:tcW w:w="779" w:type="dxa"/>
          </w:tcPr>
          <w:p w14:paraId="1B1881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2370</w:t>
            </w:r>
          </w:p>
        </w:tc>
        <w:tc>
          <w:tcPr>
            <w:tcW w:w="780" w:type="dxa"/>
          </w:tcPr>
          <w:p w14:paraId="161E81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345</w:t>
            </w:r>
          </w:p>
        </w:tc>
        <w:tc>
          <w:tcPr>
            <w:tcW w:w="779" w:type="dxa"/>
          </w:tcPr>
          <w:p w14:paraId="2B4943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4800</w:t>
            </w:r>
          </w:p>
        </w:tc>
        <w:tc>
          <w:tcPr>
            <w:tcW w:w="780" w:type="dxa"/>
          </w:tcPr>
          <w:p w14:paraId="34A9FB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460</w:t>
            </w:r>
          </w:p>
        </w:tc>
        <w:tc>
          <w:tcPr>
            <w:tcW w:w="2130" w:type="dxa"/>
          </w:tcPr>
          <w:p w14:paraId="781DCC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41ADA9A" w14:textId="77777777">
        <w:tc>
          <w:tcPr>
            <w:tcW w:w="2802" w:type="dxa"/>
          </w:tcPr>
          <w:p w14:paraId="43B529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w:t>
            </w:r>
          </w:p>
        </w:tc>
        <w:tc>
          <w:tcPr>
            <w:tcW w:w="779" w:type="dxa"/>
          </w:tcPr>
          <w:p w14:paraId="181732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563</w:t>
            </w:r>
          </w:p>
        </w:tc>
        <w:tc>
          <w:tcPr>
            <w:tcW w:w="780" w:type="dxa"/>
          </w:tcPr>
          <w:p w14:paraId="4D09C4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171</w:t>
            </w:r>
          </w:p>
        </w:tc>
        <w:tc>
          <w:tcPr>
            <w:tcW w:w="774" w:type="dxa"/>
          </w:tcPr>
          <w:p w14:paraId="0AC92B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658</w:t>
            </w:r>
          </w:p>
        </w:tc>
        <w:tc>
          <w:tcPr>
            <w:tcW w:w="782" w:type="dxa"/>
          </w:tcPr>
          <w:p w14:paraId="628783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188</w:t>
            </w:r>
          </w:p>
        </w:tc>
        <w:tc>
          <w:tcPr>
            <w:tcW w:w="779" w:type="dxa"/>
          </w:tcPr>
          <w:p w14:paraId="03D627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1100</w:t>
            </w:r>
          </w:p>
        </w:tc>
        <w:tc>
          <w:tcPr>
            <w:tcW w:w="780" w:type="dxa"/>
          </w:tcPr>
          <w:p w14:paraId="49B74A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175</w:t>
            </w:r>
          </w:p>
        </w:tc>
        <w:tc>
          <w:tcPr>
            <w:tcW w:w="779" w:type="dxa"/>
          </w:tcPr>
          <w:p w14:paraId="17B2C0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2100</w:t>
            </w:r>
          </w:p>
        </w:tc>
        <w:tc>
          <w:tcPr>
            <w:tcW w:w="780" w:type="dxa"/>
          </w:tcPr>
          <w:p w14:paraId="3F8C4B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240</w:t>
            </w:r>
          </w:p>
        </w:tc>
        <w:tc>
          <w:tcPr>
            <w:tcW w:w="2130" w:type="dxa"/>
          </w:tcPr>
          <w:p w14:paraId="044487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4C5E0F0" w14:textId="77777777">
        <w:tc>
          <w:tcPr>
            <w:tcW w:w="2802" w:type="dxa"/>
          </w:tcPr>
          <w:p w14:paraId="25412D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Новый моторный завод</w:t>
            </w:r>
          </w:p>
        </w:tc>
        <w:tc>
          <w:tcPr>
            <w:tcW w:w="779" w:type="dxa"/>
          </w:tcPr>
          <w:p w14:paraId="508C7B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80" w:type="dxa"/>
          </w:tcPr>
          <w:p w14:paraId="386114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74" w:type="dxa"/>
          </w:tcPr>
          <w:p w14:paraId="7F4A18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82" w:type="dxa"/>
          </w:tcPr>
          <w:p w14:paraId="58A821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79" w:type="dxa"/>
          </w:tcPr>
          <w:p w14:paraId="451B63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80" w:type="dxa"/>
          </w:tcPr>
          <w:p w14:paraId="46C150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79" w:type="dxa"/>
          </w:tcPr>
          <w:p w14:paraId="01297A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2750</w:t>
            </w:r>
          </w:p>
        </w:tc>
        <w:tc>
          <w:tcPr>
            <w:tcW w:w="780" w:type="dxa"/>
          </w:tcPr>
          <w:p w14:paraId="2F4801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390</w:t>
            </w:r>
          </w:p>
        </w:tc>
        <w:tc>
          <w:tcPr>
            <w:tcW w:w="2130" w:type="dxa"/>
          </w:tcPr>
          <w:p w14:paraId="787327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250EC5B" w14:textId="77777777">
        <w:tc>
          <w:tcPr>
            <w:tcW w:w="2802" w:type="dxa"/>
          </w:tcPr>
          <w:p w14:paraId="66534B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Подсобный для моторостроения</w:t>
            </w:r>
          </w:p>
        </w:tc>
        <w:tc>
          <w:tcPr>
            <w:tcW w:w="779" w:type="dxa"/>
          </w:tcPr>
          <w:p w14:paraId="24863D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80" w:type="dxa"/>
          </w:tcPr>
          <w:p w14:paraId="4CF283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74" w:type="dxa"/>
          </w:tcPr>
          <w:p w14:paraId="0EACFA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82" w:type="dxa"/>
          </w:tcPr>
          <w:p w14:paraId="1D0F47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79" w:type="dxa"/>
          </w:tcPr>
          <w:p w14:paraId="6E2CD8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1250</w:t>
            </w:r>
          </w:p>
        </w:tc>
        <w:tc>
          <w:tcPr>
            <w:tcW w:w="780" w:type="dxa"/>
          </w:tcPr>
          <w:p w14:paraId="49837B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175</w:t>
            </w:r>
          </w:p>
        </w:tc>
        <w:tc>
          <w:tcPr>
            <w:tcW w:w="779" w:type="dxa"/>
          </w:tcPr>
          <w:p w14:paraId="54263A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w:t>
            </w:r>
          </w:p>
        </w:tc>
        <w:tc>
          <w:tcPr>
            <w:tcW w:w="780" w:type="dxa"/>
          </w:tcPr>
          <w:p w14:paraId="59AEF3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175</w:t>
            </w:r>
          </w:p>
        </w:tc>
        <w:tc>
          <w:tcPr>
            <w:tcW w:w="2130" w:type="dxa"/>
          </w:tcPr>
          <w:p w14:paraId="27B413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F02D4B3" w14:textId="77777777">
        <w:tc>
          <w:tcPr>
            <w:tcW w:w="2802" w:type="dxa"/>
          </w:tcPr>
          <w:p w14:paraId="358849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w:t>
            </w:r>
          </w:p>
        </w:tc>
        <w:tc>
          <w:tcPr>
            <w:tcW w:w="779" w:type="dxa"/>
          </w:tcPr>
          <w:p w14:paraId="487F84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236</w:t>
            </w:r>
          </w:p>
        </w:tc>
        <w:tc>
          <w:tcPr>
            <w:tcW w:w="780" w:type="dxa"/>
          </w:tcPr>
          <w:p w14:paraId="5F01AE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w:t>
            </w:r>
          </w:p>
        </w:tc>
        <w:tc>
          <w:tcPr>
            <w:tcW w:w="774" w:type="dxa"/>
          </w:tcPr>
          <w:p w14:paraId="5EA235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243</w:t>
            </w:r>
          </w:p>
        </w:tc>
        <w:tc>
          <w:tcPr>
            <w:tcW w:w="782" w:type="dxa"/>
          </w:tcPr>
          <w:p w14:paraId="0FEBBF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67</w:t>
            </w:r>
          </w:p>
        </w:tc>
        <w:tc>
          <w:tcPr>
            <w:tcW w:w="779" w:type="dxa"/>
          </w:tcPr>
          <w:p w14:paraId="621014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1200</w:t>
            </w:r>
          </w:p>
        </w:tc>
        <w:tc>
          <w:tcPr>
            <w:tcW w:w="780" w:type="dxa"/>
          </w:tcPr>
          <w:p w14:paraId="1E0199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w:t>
            </w:r>
          </w:p>
        </w:tc>
        <w:tc>
          <w:tcPr>
            <w:tcW w:w="779" w:type="dxa"/>
          </w:tcPr>
          <w:p w14:paraId="3E6321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80" w:type="dxa"/>
          </w:tcPr>
          <w:p w14:paraId="7BF7AF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681F97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D045DF3" w14:textId="77777777">
        <w:tc>
          <w:tcPr>
            <w:tcW w:w="2802" w:type="dxa"/>
          </w:tcPr>
          <w:p w14:paraId="4AA6A5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по моторостроению</w:t>
            </w:r>
          </w:p>
        </w:tc>
        <w:tc>
          <w:tcPr>
            <w:tcW w:w="779" w:type="dxa"/>
          </w:tcPr>
          <w:p w14:paraId="76243A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3104</w:t>
            </w:r>
          </w:p>
        </w:tc>
        <w:tc>
          <w:tcPr>
            <w:tcW w:w="780" w:type="dxa"/>
          </w:tcPr>
          <w:p w14:paraId="66D607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945</w:t>
            </w:r>
          </w:p>
        </w:tc>
        <w:tc>
          <w:tcPr>
            <w:tcW w:w="774" w:type="dxa"/>
          </w:tcPr>
          <w:p w14:paraId="3BFA30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3182</w:t>
            </w:r>
          </w:p>
        </w:tc>
        <w:tc>
          <w:tcPr>
            <w:tcW w:w="782" w:type="dxa"/>
          </w:tcPr>
          <w:p w14:paraId="08334E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991</w:t>
            </w:r>
          </w:p>
        </w:tc>
        <w:tc>
          <w:tcPr>
            <w:tcW w:w="779" w:type="dxa"/>
          </w:tcPr>
          <w:p w14:paraId="3356BD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9020</w:t>
            </w:r>
          </w:p>
        </w:tc>
        <w:tc>
          <w:tcPr>
            <w:tcW w:w="780" w:type="dxa"/>
          </w:tcPr>
          <w:p w14:paraId="21BDD6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1283</w:t>
            </w:r>
          </w:p>
        </w:tc>
        <w:tc>
          <w:tcPr>
            <w:tcW w:w="779" w:type="dxa"/>
          </w:tcPr>
          <w:p w14:paraId="0AD2D8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80" w:type="dxa"/>
          </w:tcPr>
          <w:p w14:paraId="55C3F8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5A334C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FF364A4" w14:textId="77777777">
        <w:tc>
          <w:tcPr>
            <w:tcW w:w="2802" w:type="dxa"/>
            <w:tcBorders>
              <w:bottom w:val="single" w:sz="12" w:space="0" w:color="auto"/>
            </w:tcBorders>
          </w:tcPr>
          <w:p w14:paraId="2B9523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Всего по </w:t>
            </w:r>
            <w:proofErr w:type="spellStart"/>
            <w:r w:rsidRPr="00A259BD">
              <w:rPr>
                <w:rFonts w:ascii="Times New Roman" w:hAnsi="Times New Roman"/>
                <w:color w:val="000000" w:themeColor="text1"/>
                <w:sz w:val="16"/>
                <w:szCs w:val="16"/>
              </w:rPr>
              <w:t>Авиатресту</w:t>
            </w:r>
            <w:proofErr w:type="spellEnd"/>
          </w:p>
        </w:tc>
        <w:tc>
          <w:tcPr>
            <w:tcW w:w="779" w:type="dxa"/>
            <w:tcBorders>
              <w:bottom w:val="single" w:sz="12" w:space="0" w:color="auto"/>
            </w:tcBorders>
          </w:tcPr>
          <w:p w14:paraId="138EE2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8802</w:t>
            </w:r>
          </w:p>
        </w:tc>
        <w:tc>
          <w:tcPr>
            <w:tcW w:w="780" w:type="dxa"/>
            <w:tcBorders>
              <w:bottom w:val="single" w:sz="12" w:space="0" w:color="auto"/>
            </w:tcBorders>
          </w:tcPr>
          <w:p w14:paraId="6B8D9E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2150</w:t>
            </w:r>
          </w:p>
        </w:tc>
        <w:tc>
          <w:tcPr>
            <w:tcW w:w="774" w:type="dxa"/>
            <w:tcBorders>
              <w:bottom w:val="single" w:sz="12" w:space="0" w:color="auto"/>
            </w:tcBorders>
          </w:tcPr>
          <w:p w14:paraId="32F594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9343</w:t>
            </w:r>
          </w:p>
        </w:tc>
        <w:tc>
          <w:tcPr>
            <w:tcW w:w="782" w:type="dxa"/>
            <w:tcBorders>
              <w:bottom w:val="single" w:sz="12" w:space="0" w:color="auto"/>
            </w:tcBorders>
          </w:tcPr>
          <w:p w14:paraId="125726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79" w:type="dxa"/>
            <w:tcBorders>
              <w:bottom w:val="single" w:sz="12" w:space="0" w:color="auto"/>
            </w:tcBorders>
          </w:tcPr>
          <w:p w14:paraId="34724C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80" w:type="dxa"/>
            <w:tcBorders>
              <w:bottom w:val="single" w:sz="12" w:space="0" w:color="auto"/>
            </w:tcBorders>
          </w:tcPr>
          <w:p w14:paraId="1FF08B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79" w:type="dxa"/>
            <w:tcBorders>
              <w:bottom w:val="single" w:sz="12" w:space="0" w:color="auto"/>
            </w:tcBorders>
          </w:tcPr>
          <w:p w14:paraId="6A34EB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80" w:type="dxa"/>
            <w:tcBorders>
              <w:bottom w:val="single" w:sz="12" w:space="0" w:color="auto"/>
            </w:tcBorders>
          </w:tcPr>
          <w:p w14:paraId="0B48BB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Borders>
              <w:bottom w:val="single" w:sz="12" w:space="0" w:color="auto"/>
            </w:tcBorders>
          </w:tcPr>
          <w:p w14:paraId="003F85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5768A9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(3770,37).</w:t>
      </w:r>
    </w:p>
    <w:p w14:paraId="652ACF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Справка по докладу ВСНХ о деятельности авиапромышленности за период 1926/27-1927/28 годов и о перспективах ее развития на ближайшее пятилетие</w:t>
      </w:r>
    </w:p>
    <w:p w14:paraId="3678E1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Самолетостроительная группа состоит из пяти заводов, причем один из них выполняет задания по опытному строительству; моторостроения – из трех заводов, причем производство моторов ведется также в специальном цехе завода "Большевик" </w:t>
      </w:r>
      <w:proofErr w:type="spellStart"/>
      <w:r w:rsidRPr="00A259BD">
        <w:rPr>
          <w:rFonts w:ascii="Times New Roman" w:hAnsi="Times New Roman"/>
          <w:color w:val="000000" w:themeColor="text1"/>
          <w:sz w:val="16"/>
          <w:szCs w:val="16"/>
        </w:rPr>
        <w:t>Орудтреста</w:t>
      </w:r>
      <w:proofErr w:type="spellEnd"/>
      <w:r w:rsidRPr="00A259BD">
        <w:rPr>
          <w:rFonts w:ascii="Times New Roman" w:hAnsi="Times New Roman"/>
          <w:color w:val="000000" w:themeColor="text1"/>
          <w:sz w:val="16"/>
          <w:szCs w:val="16"/>
        </w:rPr>
        <w:t xml:space="preserve">; группа вспомогательных производств – из трех заводов (винты и лыжи, лесопильный, </w:t>
      </w:r>
      <w:proofErr w:type="spellStart"/>
      <w:r w:rsidRPr="00A259BD">
        <w:rPr>
          <w:rFonts w:ascii="Times New Roman" w:hAnsi="Times New Roman"/>
          <w:color w:val="000000" w:themeColor="text1"/>
          <w:sz w:val="16"/>
          <w:szCs w:val="16"/>
        </w:rPr>
        <w:t>аэролаковый</w:t>
      </w:r>
      <w:proofErr w:type="spellEnd"/>
      <w:r w:rsidRPr="00A259BD">
        <w:rPr>
          <w:rFonts w:ascii="Times New Roman" w:hAnsi="Times New Roman"/>
          <w:color w:val="000000" w:themeColor="text1"/>
          <w:sz w:val="16"/>
          <w:szCs w:val="16"/>
        </w:rPr>
        <w:t>).</w:t>
      </w:r>
    </w:p>
    <w:p w14:paraId="567333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Несмотря на прогрессирующую сложность производства в связи с введением на вооружение более мощных моторов и самолетов, авиапромышленность имеет за отчетный период достижения, характеризующиеся в 1927/28 году по сравнению с 1925/26 годом (принят за 100%) следующими основными показателями: повышение выпуска продукции в натуральном выражении по самолетам – 189,6%, по моторам – 209,2%, снижение числа производственных часов на единицу изделия по самолетам – 83,4%, по моторам – 53,6%; снижение стоимости рабсилы на единицу изделия по самолетам – 91,0%, по моторам – 58,4%.</w:t>
      </w:r>
    </w:p>
    <w:p w14:paraId="1C9700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Этот рост мог бы быть более значительным, если бы не тормозился следующими причинами, не зависящими от авиапромышленности:</w:t>
      </w:r>
    </w:p>
    <w:p w14:paraId="67EA2F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значительным процентом брака </w:t>
      </w:r>
      <w:proofErr w:type="spellStart"/>
      <w:r w:rsidRPr="00A259BD">
        <w:rPr>
          <w:rFonts w:ascii="Times New Roman" w:hAnsi="Times New Roman"/>
          <w:color w:val="000000" w:themeColor="text1"/>
          <w:sz w:val="16"/>
          <w:szCs w:val="16"/>
        </w:rPr>
        <w:t>авиапоковок</w:t>
      </w:r>
      <w:proofErr w:type="spellEnd"/>
      <w:r w:rsidRPr="00A259BD">
        <w:rPr>
          <w:rFonts w:ascii="Times New Roman" w:hAnsi="Times New Roman"/>
          <w:color w:val="000000" w:themeColor="text1"/>
          <w:sz w:val="16"/>
          <w:szCs w:val="16"/>
        </w:rPr>
        <w:t>, в особенности коленчатых валов, из поставленных для мотора М6 170 коленчатых валов в 1927/28 году было забраковано 60, т.е. 33,75%;</w:t>
      </w:r>
    </w:p>
    <w:p w14:paraId="1E2617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задержки в своевременной поставке </w:t>
      </w:r>
      <w:proofErr w:type="spellStart"/>
      <w:r w:rsidRPr="00A259BD">
        <w:rPr>
          <w:rFonts w:ascii="Times New Roman" w:hAnsi="Times New Roman"/>
          <w:color w:val="000000" w:themeColor="text1"/>
          <w:sz w:val="16"/>
          <w:szCs w:val="16"/>
        </w:rPr>
        <w:t>авиапоковок</w:t>
      </w:r>
      <w:proofErr w:type="spellEnd"/>
      <w:r w:rsidRPr="00A259BD">
        <w:rPr>
          <w:rFonts w:ascii="Times New Roman" w:hAnsi="Times New Roman"/>
          <w:color w:val="000000" w:themeColor="text1"/>
          <w:sz w:val="16"/>
          <w:szCs w:val="16"/>
        </w:rPr>
        <w:t xml:space="preserve"> на заводы авиапромышленности;</w:t>
      </w:r>
    </w:p>
    <w:p w14:paraId="3661A5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необходимостью в интересах обороны страны принимать на серийное производство типы самолетов и моторов недостаточно проработанные в конструктивном отношении, что вносит значительные затруднения в производство и задерживает выпуск самолетов и моторов.</w:t>
      </w:r>
    </w:p>
    <w:p w14:paraId="5B23A5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019710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медленность развертывания работ по постановке производства мотора М17 в 1928-29 году, осуществляемого по договору на получение технической помощи от иностранной фирмы БМВ, договор заключен в декабре 1927 года, но постановка производства не закончена до настоящего времени;</w:t>
      </w:r>
    </w:p>
    <w:p w14:paraId="1B648D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неравномерность темпа производства по месяцам с резким сдвигом выполнения программ на последние месяцы производственного года;</w:t>
      </w:r>
    </w:p>
    <w:p w14:paraId="7B824D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крайняя медленность внедрения в производство новых типов самолетов и моторов;</w:t>
      </w:r>
    </w:p>
    <w:p w14:paraId="50F2B9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высокий процент брака в производстве литья из цветных металлов;</w:t>
      </w:r>
    </w:p>
    <w:p w14:paraId="0ABE40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отставание в производстве запасных частей по сравнению с производством самолетов и моторов.</w:t>
      </w:r>
    </w:p>
    <w:p w14:paraId="3FC55F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линии снабжения следует констатировать некоторое освобождение от зависимости заграничного рынка в получении материалов, полуфабрикатов и готовых изделий, необходимых для авиапромышленности вследствие организации внутри нашего Союза ряда новых производств, как-то: стальных труб, стального троса, авиаприборов, </w:t>
      </w:r>
      <w:proofErr w:type="spellStart"/>
      <w:r w:rsidRPr="00A259BD">
        <w:rPr>
          <w:rFonts w:ascii="Times New Roman" w:hAnsi="Times New Roman"/>
          <w:color w:val="000000" w:themeColor="text1"/>
          <w:sz w:val="16"/>
          <w:szCs w:val="16"/>
        </w:rPr>
        <w:t>авиасвечей</w:t>
      </w:r>
      <w:proofErr w:type="spellEnd"/>
      <w:r w:rsidRPr="00A259BD">
        <w:rPr>
          <w:rFonts w:ascii="Times New Roman" w:hAnsi="Times New Roman"/>
          <w:color w:val="000000" w:themeColor="text1"/>
          <w:sz w:val="16"/>
          <w:szCs w:val="16"/>
        </w:rPr>
        <w:t xml:space="preserve"> и др. В ценностном выражении количество импортируемых материалов в 1924-25 году составляло 7,6% от стоимости основной продукции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в 1928-29 году по плану этот процент уменьшается на 3,2%, т.е. до 4,4%.</w:t>
      </w:r>
    </w:p>
    <w:p w14:paraId="11F66C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 отметить увеличение удельного веса ввоза сырья по отношению к полуфабрикатам: в 1927-28 году сырье составляло 35% от импортного плана, а в 1928-29 году оно составляет 65%.</w:t>
      </w:r>
    </w:p>
    <w:p w14:paraId="359C87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Констатируется снижение себестоимости и отпускных цен по основным типам самолетов и моторов, выражающееся следующими цифрами в процентах к предыдущему году: отпускные цены – 1926-27 года – 6,6%, 1927-28 – 19,3%, 1928-29 – 7,7%, снижение себестоимости 1926-27 года – 12,4%, 1927-28 – 10,6%и 1928-29 года – 12,8%.</w:t>
      </w:r>
    </w:p>
    <w:p w14:paraId="510992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Постановлением СТО от 17 ноября 1926 года был утвержден план развития промышленности с конечной мощностью по самолетостроительным заводам на 1 октября 1929 года в 1600 самолетов и по моторостроительным заводам …………………………….</w:t>
      </w:r>
    </w:p>
    <w:p w14:paraId="7750B2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Техническая мощность самолетостроительных и моторостроительных заводов авиапромышленности по узким местам на 1 октября 1928 года при условиях работы в одну смену при 2000 рабочих часов в год составляет 1356 самолетов и 885 моторов. Ведется работа по проверке и уточнению технических мощностей.</w:t>
      </w:r>
    </w:p>
    <w:p w14:paraId="6DE0EE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1928 году от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поступило новое </w:t>
      </w:r>
      <w:proofErr w:type="spellStart"/>
      <w:r w:rsidRPr="00A259BD">
        <w:rPr>
          <w:rFonts w:ascii="Times New Roman" w:hAnsi="Times New Roman"/>
          <w:color w:val="000000" w:themeColor="text1"/>
          <w:sz w:val="16"/>
          <w:szCs w:val="16"/>
        </w:rPr>
        <w:t>мобзадание</w:t>
      </w:r>
      <w:proofErr w:type="spellEnd"/>
      <w:r w:rsidRPr="00A259BD">
        <w:rPr>
          <w:rFonts w:ascii="Times New Roman" w:hAnsi="Times New Roman"/>
          <w:color w:val="000000" w:themeColor="text1"/>
          <w:sz w:val="16"/>
          <w:szCs w:val="16"/>
        </w:rPr>
        <w:t xml:space="preserve"> по пятилетнему плану с выпуском на последний 1932/33 год 6865 самолетов и 8010 моторов, считая первым годом развития 1928-29 год.</w:t>
      </w:r>
    </w:p>
    <w:p w14:paraId="691B36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Учитывая мощность завода "Большевик" по мобилизационному плану на последний год пятилетки в 300 моторов,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должен поставить 7710 моторов.</w:t>
      </w:r>
    </w:p>
    <w:p w14:paraId="541180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пересчете количества самолетов и моторов по указанному мобилизационному заданию на соответствующее число, необходимое к производству в одну смену с учетом переходных коэффициентов от трех смен на одну по самолетам – 2,1 и по моторам – 2,3 и 10%-</w:t>
      </w:r>
      <w:proofErr w:type="spellStart"/>
      <w:r w:rsidRPr="00A259BD">
        <w:rPr>
          <w:rFonts w:ascii="Times New Roman" w:hAnsi="Times New Roman"/>
          <w:color w:val="000000" w:themeColor="text1"/>
          <w:sz w:val="16"/>
          <w:szCs w:val="16"/>
        </w:rPr>
        <w:t>ного</w:t>
      </w:r>
      <w:proofErr w:type="spellEnd"/>
      <w:r w:rsidRPr="00A259BD">
        <w:rPr>
          <w:rFonts w:ascii="Times New Roman" w:hAnsi="Times New Roman"/>
          <w:color w:val="000000" w:themeColor="text1"/>
          <w:sz w:val="16"/>
          <w:szCs w:val="16"/>
        </w:rPr>
        <w:t xml:space="preserve"> запаса для обеспечения чистого выпуска, потребные мощности по самолетостроительным заводам определяются в 2984 единицы, а по моторостроительным – в 3073.</w:t>
      </w:r>
    </w:p>
    <w:p w14:paraId="3E826D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Техническая мощность существующих заводов в 1932/33 году определяется по самолетным заводам в 1685 самолетов и по моторам – в 1810. Дефицит в производстве определяется по самолетам – 1299, по моторам – 1263. Покрытие дефицита по самолетостроительным заводам вызывает безусловную необходимость постройки двух новых заводов: один по деревянной и смешанной конструкции в 930 самолетов и другой – по металлической конструкции в 369 самолетов.</w:t>
      </w:r>
    </w:p>
    <w:p w14:paraId="2CBDFB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первому заводу уже имеется ассигнование в 300000 рублей на разработку в 1928-29 году проекта завода, который заказан </w:t>
      </w:r>
      <w:proofErr w:type="spellStart"/>
      <w:r w:rsidRPr="00A259BD">
        <w:rPr>
          <w:rFonts w:ascii="Times New Roman" w:hAnsi="Times New Roman"/>
          <w:color w:val="000000" w:themeColor="text1"/>
          <w:sz w:val="16"/>
          <w:szCs w:val="16"/>
        </w:rPr>
        <w:t>Мосгипромезу</w:t>
      </w:r>
      <w:proofErr w:type="spellEnd"/>
      <w:r w:rsidRPr="00A259BD">
        <w:rPr>
          <w:rFonts w:ascii="Times New Roman" w:hAnsi="Times New Roman"/>
          <w:color w:val="000000" w:themeColor="text1"/>
          <w:sz w:val="16"/>
          <w:szCs w:val="16"/>
        </w:rPr>
        <w:t>. Строительство завода намечено в Нижнем Новгороде и должно вестись с таким расчетом, чтобы производство самолетов было начато в 1929-30 году и доведено до полной мощности в 930 самолетов в 1932-33 году.</w:t>
      </w:r>
    </w:p>
    <w:p w14:paraId="0F7851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самолетный завод должен быть начат постройкой в 1929-30 году, чтобы в 1930-31 году он мог вступить в производство.</w:t>
      </w:r>
    </w:p>
    <w:p w14:paraId="15E9F7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разрешения вопроса с покрытием дефицита по самолетостроительным …………… ассигнование в 100000 рублей и разработку проекта подсобного ………….., который должен войти в работу полной мощностью с 1 октября 1931 года. Указанной мерой дефицит снижается и в конечном итоге выражается в ………. мотора. Для полной ликвидации этого дефицита возможны два варианта мероприятий:</w:t>
      </w:r>
    </w:p>
    <w:p w14:paraId="4BB8D25F"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Постройка нового моторного завода с нормальной мощностью по предъявлению в одну смену 500 моторов; ориентировочные суммы ассигнований следующие: на строительство – 1500000 рублей, на оборудование – 3910000 рублей, итого – 5410000 рублей, в том числе импорт – 2000000 рублей.</w:t>
      </w:r>
    </w:p>
    <w:p w14:paraId="0C6B5604"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Произвести максимально целесообразное расширение существующих моторостроительных заводов.</w:t>
      </w:r>
    </w:p>
    <w:p w14:paraId="0CCF80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вариант должен дать преимущества в отношении уменьшения затрат, а также облегчения подбора руководящего техперсонала и квалифицированной рабочей силы и ускорения постановки производства. Отрицательным моментом будет увеличение числа типов производящихся на одном заводе моторов, а также увеличение опасности в отношении воздушных нападений.</w:t>
      </w:r>
    </w:p>
    <w:p w14:paraId="0F7690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Мобзадание</w:t>
      </w:r>
      <w:proofErr w:type="spellEnd"/>
      <w:r w:rsidRPr="00A259BD">
        <w:rPr>
          <w:rFonts w:ascii="Times New Roman" w:hAnsi="Times New Roman"/>
          <w:color w:val="000000" w:themeColor="text1"/>
          <w:sz w:val="16"/>
          <w:szCs w:val="16"/>
        </w:rPr>
        <w:t xml:space="preserve"> по плану </w:t>
      </w:r>
      <w:proofErr w:type="spellStart"/>
      <w:r w:rsidRPr="00A259BD">
        <w:rPr>
          <w:rFonts w:ascii="Times New Roman" w:hAnsi="Times New Roman"/>
          <w:color w:val="000000" w:themeColor="text1"/>
          <w:sz w:val="16"/>
          <w:szCs w:val="16"/>
        </w:rPr>
        <w:t>дит</w:t>
      </w:r>
      <w:proofErr w:type="spellEnd"/>
      <w:r w:rsidRPr="00A259BD">
        <w:rPr>
          <w:rFonts w:ascii="Times New Roman" w:hAnsi="Times New Roman"/>
          <w:color w:val="000000" w:themeColor="text1"/>
          <w:sz w:val="16"/>
          <w:szCs w:val="16"/>
        </w:rPr>
        <w:t xml:space="preserve">. "С" (на три года к 1 октября 1930 года) предусматривает необходимость выпуска в 1930-31 году 4267 самолетов и 484.. моторов. Возможность выпуска в 1930-31 году при работе в три смены 3400 самолетов и 3291 мотора. Дефицит по этому плану составляет 867 самолетов и 1257 моторов. При всем форсировании развертывания существующих заводов и постройки новых покрыть этот дефицит в 1930-31 году не представляется возможным; разрыв с потребностью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покрывается лишь к 1 октября 1932 года.</w:t>
      </w:r>
    </w:p>
    <w:p w14:paraId="529731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 обратить внимание на увеличение потребности в предметах вооружения. Является современной и безусловно необходимой постройка нового завода, на проектирование которого ассигновано 400000 рублей. Завод должен вступить в производство 1 января 1931 года и развернуть полную мощность в 1932-33 году.</w:t>
      </w:r>
    </w:p>
    <w:p w14:paraId="0D4E15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Винтолыжный</w:t>
      </w:r>
      <w:proofErr w:type="spellEnd"/>
      <w:r w:rsidRPr="00A259BD">
        <w:rPr>
          <w:rFonts w:ascii="Times New Roman" w:hAnsi="Times New Roman"/>
          <w:color w:val="000000" w:themeColor="text1"/>
          <w:sz w:val="16"/>
          <w:szCs w:val="16"/>
        </w:rPr>
        <w:t xml:space="preserve"> завод нуждается в увеличении станочного оборудования, перепланировке цехов, увеличении числа сушилок и расширении ………………..</w:t>
      </w:r>
    </w:p>
    <w:p w14:paraId="07922F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ЦАГИ ряда опытных конструкций самолетов и моторов:</w:t>
      </w:r>
    </w:p>
    <w:p w14:paraId="0E2AFB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находятся в периоде проектирования и постройки 10 типов самолетов и один тип мотора;</w:t>
      </w:r>
    </w:p>
    <w:p w14:paraId="2207A3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в периоде испытания и конструктивных разработок 3 типа самолетов и 5 типов моторов;</w:t>
      </w:r>
    </w:p>
    <w:p w14:paraId="1A146C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перешли на серию 9 типов самолетов и 1 тип мотора.</w:t>
      </w:r>
    </w:p>
    <w:p w14:paraId="1CA397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Заводы авиапромышленности занимаются работами по внесению ряда изменений в опытные образцы самолетов и моторов в связи с требованиями методов серийного производства, а также и переделками неизбежно выявляющимися в периоде летных и эксплуатационных испытаний. Достижения авиапромышленности в области </w:t>
      </w:r>
      <w:r w:rsidRPr="00A259BD">
        <w:rPr>
          <w:rFonts w:ascii="Times New Roman" w:hAnsi="Times New Roman"/>
          <w:color w:val="000000" w:themeColor="text1"/>
          <w:sz w:val="16"/>
          <w:szCs w:val="16"/>
        </w:rPr>
        <w:lastRenderedPageBreak/>
        <w:t xml:space="preserve">вооружения реально выразились в восстановлении производства </w:t>
      </w:r>
      <w:proofErr w:type="spellStart"/>
      <w:r w:rsidRPr="00A259BD">
        <w:rPr>
          <w:rFonts w:ascii="Times New Roman" w:hAnsi="Times New Roman"/>
          <w:color w:val="000000" w:themeColor="text1"/>
          <w:sz w:val="16"/>
          <w:szCs w:val="16"/>
        </w:rPr>
        <w:t>бомбосбрасывательных</w:t>
      </w:r>
      <w:proofErr w:type="spellEnd"/>
      <w:r w:rsidRPr="00A259BD">
        <w:rPr>
          <w:rFonts w:ascii="Times New Roman" w:hAnsi="Times New Roman"/>
          <w:color w:val="000000" w:themeColor="text1"/>
          <w:sz w:val="16"/>
          <w:szCs w:val="16"/>
        </w:rPr>
        <w:t xml:space="preserve"> приспособлений на самолетах, пулеметных установок и турелей, синхронизаторов и прицелов.</w:t>
      </w:r>
    </w:p>
    <w:p w14:paraId="4AE542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организовано производство внутри страны </w:t>
      </w:r>
      <w:proofErr w:type="spellStart"/>
      <w:r w:rsidRPr="00A259BD">
        <w:rPr>
          <w:rFonts w:ascii="Times New Roman" w:hAnsi="Times New Roman"/>
          <w:color w:val="000000" w:themeColor="text1"/>
          <w:sz w:val="16"/>
          <w:szCs w:val="16"/>
        </w:rPr>
        <w:t>авиасвечей</w:t>
      </w:r>
      <w:proofErr w:type="spellEnd"/>
      <w:r w:rsidRPr="00A259BD">
        <w:rPr>
          <w:rFonts w:ascii="Times New Roman" w:hAnsi="Times New Roman"/>
          <w:color w:val="000000" w:themeColor="text1"/>
          <w:sz w:val="16"/>
          <w:szCs w:val="16"/>
        </w:rPr>
        <w:t>. В области опытного строительства наряду с приведенными достижениями, отмечается медленность конструктивных разработок новых типов самолетов и моторов. Причинами являются недостаточность конструкторских сил, отсутствие внутри страны производства высококачественных сталей, легких сплавов и высокосортных труб, а также недостаточность средств на опытное строительство.</w:t>
      </w:r>
    </w:p>
    <w:p w14:paraId="584478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Авиапромышленностью приглашена из-за границы специальная группа конструкторов, занимающихся в настоящее время разработкой специальных типов гидросамолетов.</w:t>
      </w:r>
    </w:p>
    <w:p w14:paraId="55D285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Рост авиапромышленности опережает рост баз ее снабжения. Значительные затруднения в удовлетворении потребностей авиапромышленность испытывает и в текущем производственном году по целому ряду исходных материалов и полуфабрикатов, как-то: кольчугалюминию, фанере, авиаприборам, инструментам (мерительному, режущему и шлифовальному) и, особенно, по </w:t>
      </w:r>
      <w:proofErr w:type="spellStart"/>
      <w:r w:rsidRPr="00A259BD">
        <w:rPr>
          <w:rFonts w:ascii="Times New Roman" w:hAnsi="Times New Roman"/>
          <w:color w:val="000000" w:themeColor="text1"/>
          <w:sz w:val="16"/>
          <w:szCs w:val="16"/>
        </w:rPr>
        <w:t>авиапоковкам</w:t>
      </w:r>
      <w:proofErr w:type="spellEnd"/>
      <w:r w:rsidRPr="00A259BD">
        <w:rPr>
          <w:rFonts w:ascii="Times New Roman" w:hAnsi="Times New Roman"/>
          <w:color w:val="000000" w:themeColor="text1"/>
          <w:sz w:val="16"/>
          <w:szCs w:val="16"/>
        </w:rPr>
        <w:t xml:space="preserve"> специальным сталям и </w:t>
      </w:r>
      <w:proofErr w:type="spellStart"/>
      <w:r w:rsidRPr="00A259BD">
        <w:rPr>
          <w:rFonts w:ascii="Times New Roman" w:hAnsi="Times New Roman"/>
          <w:color w:val="000000" w:themeColor="text1"/>
          <w:sz w:val="16"/>
          <w:szCs w:val="16"/>
        </w:rPr>
        <w:t>авиатрубам</w:t>
      </w:r>
      <w:proofErr w:type="spellEnd"/>
      <w:r w:rsidRPr="00A259BD">
        <w:rPr>
          <w:rFonts w:ascii="Times New Roman" w:hAnsi="Times New Roman"/>
          <w:color w:val="000000" w:themeColor="text1"/>
          <w:sz w:val="16"/>
          <w:szCs w:val="16"/>
        </w:rPr>
        <w:t>.</w:t>
      </w:r>
    </w:p>
    <w:p w14:paraId="0853BC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Новое задание военпреда на период ближайших пяти лет вызывает колоссальный рост ее потребности в перечисленных предметах, которые требуют широкого развития соответствующих производственных баз ………………….</w:t>
      </w:r>
    </w:p>
    <w:p w14:paraId="0F6986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снабжение авиапромышленности металлом производится, главным образом, за счет производств металлургических заводов военной промышленности, которые имеют обширные задачи удовлетворения своих собственных потребностей. Совершенно необходимо проработать вопрос по перспективам удовлетворения потребностей авиационной промышленности путем привлечения к этому делу соответствующих предприятий гражданской промышленности. Ориентировочно намечены следующие перспективы.</w:t>
      </w:r>
    </w:p>
    <w:p w14:paraId="5E66CA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покрытия потребностей в </w:t>
      </w:r>
      <w:proofErr w:type="spellStart"/>
      <w:r w:rsidRPr="00A259BD">
        <w:rPr>
          <w:rFonts w:ascii="Times New Roman" w:hAnsi="Times New Roman"/>
          <w:color w:val="000000" w:themeColor="text1"/>
          <w:sz w:val="16"/>
          <w:szCs w:val="16"/>
        </w:rPr>
        <w:t>авиапоковках</w:t>
      </w:r>
      <w:proofErr w:type="spellEnd"/>
      <w:r w:rsidRPr="00A259BD">
        <w:rPr>
          <w:rFonts w:ascii="Times New Roman" w:hAnsi="Times New Roman"/>
          <w:color w:val="000000" w:themeColor="text1"/>
          <w:sz w:val="16"/>
          <w:szCs w:val="16"/>
        </w:rPr>
        <w:t xml:space="preserve"> намечается широкое развитие завода Электросталь; получение поковок на нем ожидается с 1929 года, а по коленчатым валам с 1 октября 1930 года; в настоящее время предполагается ускорить расширение и дооборудование заводов Ижевского и "Большевик".</w:t>
      </w:r>
    </w:p>
    <w:p w14:paraId="287986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покрытия потребностей по стальным трубам намечается расширение завода имени Ленина в Днепропетровске, а также расширение производства </w:t>
      </w:r>
      <w:proofErr w:type="spellStart"/>
      <w:r w:rsidRPr="00A259BD">
        <w:rPr>
          <w:rFonts w:ascii="Times New Roman" w:hAnsi="Times New Roman"/>
          <w:color w:val="000000" w:themeColor="text1"/>
          <w:sz w:val="16"/>
          <w:szCs w:val="16"/>
        </w:rPr>
        <w:t>авиатруб</w:t>
      </w:r>
      <w:proofErr w:type="spellEnd"/>
      <w:r w:rsidRPr="00A259BD">
        <w:rPr>
          <w:rFonts w:ascii="Times New Roman" w:hAnsi="Times New Roman"/>
          <w:color w:val="000000" w:themeColor="text1"/>
          <w:sz w:val="16"/>
          <w:szCs w:val="16"/>
        </w:rPr>
        <w:t xml:space="preserve"> на Ижорском заводе.</w:t>
      </w:r>
    </w:p>
    <w:p w14:paraId="591A12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покрытия потребностей в стальном тросе и в стальной проволоке намечается расширение производства на заводах Белорецком и "Красный гвоздильщик".</w:t>
      </w:r>
    </w:p>
    <w:p w14:paraId="583AD8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покрытия потребностей по фанере намечается форсирование постройки новых заводов для производства фанеры сухой клейки.</w:t>
      </w:r>
    </w:p>
    <w:p w14:paraId="6489AF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ВСНХ считает необходимым обязать </w:t>
      </w:r>
      <w:proofErr w:type="spellStart"/>
      <w:r w:rsidRPr="00A259BD">
        <w:rPr>
          <w:rFonts w:ascii="Times New Roman" w:hAnsi="Times New Roman"/>
          <w:color w:val="000000" w:themeColor="text1"/>
          <w:sz w:val="16"/>
          <w:szCs w:val="16"/>
        </w:rPr>
        <w:t>НКЗем</w:t>
      </w:r>
      <w:proofErr w:type="spellEnd"/>
      <w:r w:rsidRPr="00A259BD">
        <w:rPr>
          <w:rFonts w:ascii="Times New Roman" w:hAnsi="Times New Roman"/>
          <w:color w:val="000000" w:themeColor="text1"/>
          <w:sz w:val="16"/>
          <w:szCs w:val="16"/>
        </w:rPr>
        <w:t xml:space="preserve"> разработать план обеспечения авиапромышленности новыми лесными массивами и одновременно поручить по линии научно-исследовательских институтов и НКВМ проработать вопрос о снижении технических требований в отношении качества лесных материалов, идущих на постройку самолетов.</w:t>
      </w:r>
    </w:p>
    <w:p w14:paraId="110CBF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кольчугалюминию намечается: расширение завода им. Ворошилова в Ленинграде в ближайшие годы, широкое использование всех производственных возможностей на заводе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 1 и постройка нового кольчугалюминиевого завода около Москвы.</w:t>
      </w:r>
    </w:p>
    <w:p w14:paraId="3121BC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радиаторным трубкам предполагается установить производство по новым методам на одном из заводов </w:t>
      </w:r>
      <w:proofErr w:type="spellStart"/>
      <w:r w:rsidRPr="00A259BD">
        <w:rPr>
          <w:rFonts w:ascii="Times New Roman" w:hAnsi="Times New Roman"/>
          <w:color w:val="000000" w:themeColor="text1"/>
          <w:sz w:val="16"/>
          <w:szCs w:val="16"/>
        </w:rPr>
        <w:t>Главцветмета</w:t>
      </w:r>
      <w:proofErr w:type="spellEnd"/>
      <w:r w:rsidRPr="00A259BD">
        <w:rPr>
          <w:rFonts w:ascii="Times New Roman" w:hAnsi="Times New Roman"/>
          <w:color w:val="000000" w:themeColor="text1"/>
          <w:sz w:val="16"/>
          <w:szCs w:val="16"/>
        </w:rPr>
        <w:t>.</w:t>
      </w:r>
    </w:p>
    <w:p w14:paraId="765B32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шарикоподшипникам для авиамоторов намечается ……………………</w:t>
      </w:r>
    </w:p>
    <w:p w14:paraId="23A408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приборам зажигания – производство ставится на заводе </w:t>
      </w:r>
      <w:proofErr w:type="spellStart"/>
      <w:r w:rsidRPr="00A259BD">
        <w:rPr>
          <w:rFonts w:ascii="Times New Roman" w:hAnsi="Times New Roman"/>
          <w:color w:val="000000" w:themeColor="text1"/>
          <w:sz w:val="16"/>
          <w:szCs w:val="16"/>
        </w:rPr>
        <w:t>Главэлектро</w:t>
      </w:r>
      <w:proofErr w:type="spellEnd"/>
      <w:r w:rsidRPr="00A259BD">
        <w:rPr>
          <w:rFonts w:ascii="Times New Roman" w:hAnsi="Times New Roman"/>
          <w:color w:val="000000" w:themeColor="text1"/>
          <w:sz w:val="16"/>
          <w:szCs w:val="16"/>
        </w:rPr>
        <w:t xml:space="preserve">, заключен договор о </w:t>
      </w:r>
      <w:proofErr w:type="spellStart"/>
      <w:r w:rsidRPr="00A259BD">
        <w:rPr>
          <w:rFonts w:ascii="Times New Roman" w:hAnsi="Times New Roman"/>
          <w:color w:val="000000" w:themeColor="text1"/>
          <w:sz w:val="16"/>
          <w:szCs w:val="16"/>
        </w:rPr>
        <w:t>техсодействии</w:t>
      </w:r>
      <w:proofErr w:type="spellEnd"/>
      <w:r w:rsidRPr="00A259BD">
        <w:rPr>
          <w:rFonts w:ascii="Times New Roman" w:hAnsi="Times New Roman"/>
          <w:color w:val="000000" w:themeColor="text1"/>
          <w:sz w:val="16"/>
          <w:szCs w:val="16"/>
        </w:rPr>
        <w:t xml:space="preserve"> с фирмой "</w:t>
      </w:r>
      <w:proofErr w:type="spellStart"/>
      <w:r w:rsidRPr="00A259BD">
        <w:rPr>
          <w:rFonts w:ascii="Times New Roman" w:hAnsi="Times New Roman"/>
          <w:color w:val="000000" w:themeColor="text1"/>
          <w:sz w:val="16"/>
          <w:szCs w:val="16"/>
        </w:rPr>
        <w:t>Сонтис</w:t>
      </w:r>
      <w:proofErr w:type="spellEnd"/>
      <w:r w:rsidRPr="00A259BD">
        <w:rPr>
          <w:rFonts w:ascii="Times New Roman" w:hAnsi="Times New Roman"/>
          <w:color w:val="000000" w:themeColor="text1"/>
          <w:sz w:val="16"/>
          <w:szCs w:val="16"/>
        </w:rPr>
        <w:t xml:space="preserve">", который передается </w:t>
      </w:r>
      <w:proofErr w:type="spellStart"/>
      <w:r w:rsidRPr="00A259BD">
        <w:rPr>
          <w:rFonts w:ascii="Times New Roman" w:hAnsi="Times New Roman"/>
          <w:color w:val="000000" w:themeColor="text1"/>
          <w:sz w:val="16"/>
          <w:szCs w:val="16"/>
        </w:rPr>
        <w:t>ГЭТу</w:t>
      </w:r>
      <w:proofErr w:type="spellEnd"/>
      <w:r w:rsidRPr="00A259BD">
        <w:rPr>
          <w:rFonts w:ascii="Times New Roman" w:hAnsi="Times New Roman"/>
          <w:color w:val="000000" w:themeColor="text1"/>
          <w:sz w:val="16"/>
          <w:szCs w:val="16"/>
        </w:rPr>
        <w:t>.</w:t>
      </w:r>
    </w:p>
    <w:p w14:paraId="66EEF5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инструментам – считается своевременной и необходимой постройка центрального инструментального мощного завода с возможностью удовлетворения потребностей и других отраслей промышленности.</w:t>
      </w:r>
    </w:p>
    <w:p w14:paraId="785F32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нержавеющей стали и тонких стальных листов намечается установить на заводах </w:t>
      </w:r>
      <w:proofErr w:type="spellStart"/>
      <w:r w:rsidRPr="00A259BD">
        <w:rPr>
          <w:rFonts w:ascii="Times New Roman" w:hAnsi="Times New Roman"/>
          <w:color w:val="000000" w:themeColor="text1"/>
          <w:sz w:val="16"/>
          <w:szCs w:val="16"/>
        </w:rPr>
        <w:t>Златоустинском</w:t>
      </w:r>
      <w:proofErr w:type="spellEnd"/>
      <w:r w:rsidRPr="00A259BD">
        <w:rPr>
          <w:rFonts w:ascii="Times New Roman" w:hAnsi="Times New Roman"/>
          <w:color w:val="000000" w:themeColor="text1"/>
          <w:sz w:val="16"/>
          <w:szCs w:val="16"/>
        </w:rPr>
        <w:t xml:space="preserve"> и Электростали.</w:t>
      </w:r>
    </w:p>
    <w:p w14:paraId="772967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Более совершенное использование мощности винтомоторной группы на самолетах требует замены у них деревянных винтов на металлические. Предполагается поставить внутри страны производство этих винтов с привлечением техпомощи из-за границы.</w:t>
      </w:r>
    </w:p>
    <w:p w14:paraId="0A739A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Полную проработку всех указанных вопросов по базам снабжения ВСНХ предполагает произвести в течение шестимесячного срока, по истечении которого будет представлен соответствующий доклад.</w:t>
      </w:r>
    </w:p>
    <w:p w14:paraId="100658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осуществления намеченного плана развития авиапромышленности в течение пяти лет на капитальные работы ориентировочно потребуется, за исключением уже ассигнованных на 1928-29 год – 70379000 рублей, из них: на строительство 37300000 рублей и на оборудование 33079000 рублей, в том числе импорт – 14727000 рублей.</w:t>
      </w:r>
    </w:p>
    <w:p w14:paraId="5E6ECF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Одним из очень сложных и трудных вопросов является укомплектование авиазаводов техническим руководящим персоналом и квалифицированной рабочей силой как в условиях мирного времени, так и особенно, в военное время. Выявляется, что по моторным заводам для всех трех смен потребуется 252%, а для самолетных – 239% рабочих от количества работающих в одну смену при коэффициентах производительности трех смен по моторным заводам в 2,3 и самолетным – в 2,1.</w:t>
      </w:r>
    </w:p>
    <w:p w14:paraId="5C0974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среднем на мобилизационный период потребуется добавочно рабочих в количестве 150% от числа работающих в мирное время, из них: 30% падает на рабочих высокой и средней квалификации, 50% - низкой и 20% - вовсе необученных.</w:t>
      </w:r>
    </w:p>
    <w:p w14:paraId="71BB79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Пополнение технического персонала для трех смен потребуется в размерах, примерно, до 20% от количества занятого персонала в одну смену.</w:t>
      </w:r>
    </w:p>
    <w:p w14:paraId="403228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примерно следующими цифрами в 1928-29 году на мирное время 9343 раб., в 1930-31 году на мирное время – 12800 человек и на военное время – 32090 человек и в 1932/33 году потребуется на военное время – 61940 человек.</w:t>
      </w:r>
    </w:p>
    <w:p w14:paraId="5F4100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Колоссальный рост потребности в рабочей силе заставляет обратить особое внимание на вопрос развития источников получения этой силы и методы их использования.</w:t>
      </w:r>
    </w:p>
    <w:p w14:paraId="5BB6F8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разрешения указанных вопросов намечаются следующие пути:</w:t>
      </w:r>
    </w:p>
    <w:p w14:paraId="1573993B"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Организация подготовки авиапромышленностью основного кадра руководящего техперсонала для новых заводов путем подбора их и закрепления за уже действующими заводами. Потребность техперсонала и расходов связанных с его подготовкой для новых заводов при работе в одну смену определяется следующими данными: необходимо подготовить административно-технического персонала – 95, цехового младшего техперсонала – 5… Расходы по подготовке – 520000 рублей.</w:t>
      </w:r>
    </w:p>
    <w:p w14:paraId="0ECA2E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усиления кадра инженерно-технического персонала в авиапромышленности, ВСНХ привлекает на заводы и инженеров-производственников, окончивших академию ВВС; кроме того ГВПУ имеет в виду прикрепить целиком один ВТУЗ к военной промышленности для подготовки необходимых специалистов. Проводится работа и по поднятию квалификации наличного состава инженерно-технического персонала.</w:t>
      </w:r>
    </w:p>
    <w:p w14:paraId="7D5C069D"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Недостающее количество рабочих средней и высшей квалификации на военное время намечается получить с заводов гражданской промышленности, имеющих второстепенное значение в деле обороны страны.</w:t>
      </w:r>
    </w:p>
    <w:p w14:paraId="4E76A0EE"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Рабочих низшей квалификации предполагается получить со своих заводов из числа необученных рабочих, проработавших на них некоторое время.</w:t>
      </w:r>
    </w:p>
    <w:p w14:paraId="3808B9E1"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Подготовку рабочих, привлеченных с других заводов, а также повышение квалификации своих предполагается осуществить путем перехода в мобилизационный период по всем трем сменам на метод бригадной работы с образованием ядра бригад из опытных рабочих.</w:t>
      </w:r>
    </w:p>
    <w:p w14:paraId="41CFCA66"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Повысить квалификацию путем пропуска рабочих через особые краткосрочные курсы.</w:t>
      </w:r>
    </w:p>
    <w:p w14:paraId="5B9486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Развитие мощности заводов………………………………</w:t>
      </w:r>
    </w:p>
    <w:p w14:paraId="6C05D3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поэтому особую важность приобретает вопрос о догрузке авиапромышленности производством продукции общегражданского назначения. Перспективы в этом отношении на пятилетку пока не установлены.</w:t>
      </w:r>
    </w:p>
    <w:p w14:paraId="368FB6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Ориентировочно можно наметить в качестве подходящей для данного случая гражданской продукции производство таких изделий как мотоциклетные и автомобильные моторы, моторные катера, авиетки и другие изделия подобного рода (3545,38-42).</w:t>
      </w:r>
    </w:p>
    <w:p w14:paraId="4265E1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85B0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апреля 1929 г. начальник ВВС РККА Баранов, который в письме К. Е. Ворошилову указывал, что закупаемые в Германии BMW VI имеют высокие технические характеристики. [251 — Там же, с. 142, 144.] (11741).</w:t>
      </w:r>
    </w:p>
    <w:p w14:paraId="78C25E7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AEE6D4" w14:textId="77777777" w:rsidR="00154C41"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7DA268F" w14:textId="77777777" w:rsidR="00154C41" w:rsidRPr="00A259BD" w:rsidRDefault="00154C4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7062A19" w14:textId="77777777" w:rsidR="00154C41" w:rsidRPr="00A259BD" w:rsidRDefault="00154C41"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11 апреля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xml:space="preserve">. Протокол заседания Политбюро ЦК ВКП(б) № 72. Опросом членов ПБ от 11 апреля 1929 г. 35. О </w:t>
      </w:r>
      <w:proofErr w:type="spellStart"/>
      <w:r w:rsidRPr="00A259BD">
        <w:rPr>
          <w:rFonts w:ascii="Times New Roman" w:hAnsi="Times New Roman"/>
          <w:color w:val="000000" w:themeColor="text1"/>
          <w:sz w:val="16"/>
          <w:szCs w:val="16"/>
          <w:u w:color="002060"/>
        </w:rPr>
        <w:t>начснабе</w:t>
      </w:r>
      <w:proofErr w:type="spellEnd"/>
      <w:r w:rsidRPr="00A259BD">
        <w:rPr>
          <w:rFonts w:ascii="Times New Roman" w:hAnsi="Times New Roman"/>
          <w:color w:val="000000" w:themeColor="text1"/>
          <w:sz w:val="16"/>
          <w:szCs w:val="16"/>
          <w:u w:color="002060"/>
        </w:rPr>
        <w:t xml:space="preserve"> РККА (ПБ от 4 апреля 1929 г., пр. № 71, п. 31) (Ворошилов). (Политбюро... Т. 1. С. 684) (12416).</w:t>
      </w:r>
    </w:p>
    <w:p w14:paraId="1289B529" w14:textId="77777777" w:rsidR="00154C41" w:rsidRPr="00A259BD" w:rsidRDefault="00154C41" w:rsidP="009236E3">
      <w:pPr>
        <w:spacing w:after="0" w:line="240" w:lineRule="auto"/>
        <w:jc w:val="both"/>
        <w:rPr>
          <w:rFonts w:ascii="Times New Roman" w:hAnsi="Times New Roman"/>
          <w:color w:val="000000" w:themeColor="text1"/>
          <w:sz w:val="16"/>
          <w:szCs w:val="16"/>
          <w:u w:color="002060"/>
        </w:rPr>
      </w:pPr>
    </w:p>
    <w:p w14:paraId="47F7A296"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11 апреля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Политбюро ЦК ВКП (б) отклонило предложение тарифно-</w:t>
      </w:r>
      <w:proofErr w:type="spellStart"/>
      <w:r w:rsidRPr="00A259BD">
        <w:rPr>
          <w:rFonts w:ascii="Times New Roman" w:hAnsi="Times New Roman"/>
          <w:color w:val="000000" w:themeColor="text1"/>
          <w:sz w:val="16"/>
          <w:szCs w:val="16"/>
        </w:rPr>
        <w:t>экономическото</w:t>
      </w:r>
      <w:proofErr w:type="spellEnd"/>
      <w:r w:rsidRPr="00A259BD">
        <w:rPr>
          <w:rFonts w:ascii="Times New Roman" w:hAnsi="Times New Roman"/>
          <w:color w:val="000000" w:themeColor="text1"/>
          <w:sz w:val="16"/>
          <w:szCs w:val="16"/>
        </w:rPr>
        <w:t xml:space="preserve"> отдела ВЦСПС о создании комиссии по планированию соцсоревнования, предложив Оргбюро ЦК ВКП (б) внести в Политбюро проект мероприятий по оказанию помощи соцсоревнованию, которые бы обеспечивали его широкое развертывание снизу (12265).</w:t>
      </w:r>
    </w:p>
    <w:p w14:paraId="02253348"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СТО принял постановление «О лимитах </w:t>
      </w:r>
      <w:proofErr w:type="spellStart"/>
      <w:r w:rsidRPr="00A259BD">
        <w:rPr>
          <w:rFonts w:ascii="Times New Roman" w:hAnsi="Times New Roman"/>
          <w:color w:val="000000" w:themeColor="text1"/>
          <w:sz w:val="16"/>
          <w:szCs w:val="16"/>
        </w:rPr>
        <w:t>электростроительства</w:t>
      </w:r>
      <w:proofErr w:type="spellEnd"/>
      <w:r w:rsidRPr="00A259BD">
        <w:rPr>
          <w:rFonts w:ascii="Times New Roman" w:hAnsi="Times New Roman"/>
          <w:color w:val="000000" w:themeColor="text1"/>
          <w:sz w:val="16"/>
          <w:szCs w:val="16"/>
        </w:rPr>
        <w:t xml:space="preserve"> и промышленного строительства, задания по которым подлежат утверждению СТО и президиумом ВСНХ СССР» (12265).</w:t>
      </w:r>
    </w:p>
    <w:p w14:paraId="682CFC03"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20CCFB67" w14:textId="77777777" w:rsidR="00DF3B23"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2D54FA5" w14:textId="77777777" w:rsidR="00DF3B23" w:rsidRPr="00A259BD" w:rsidRDefault="00DF3B2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019E35" w14:textId="77777777" w:rsidR="00F732AA" w:rsidRPr="00A259BD" w:rsidRDefault="00F732A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11 апреля 1929 г. первый полет Боинг Р-12 (20806). </w:t>
      </w:r>
    </w:p>
    <w:p w14:paraId="021F2795" w14:textId="77777777" w:rsidR="00F732AA" w:rsidRPr="00A259BD" w:rsidRDefault="00F732AA" w:rsidP="009236E3">
      <w:pPr>
        <w:spacing w:after="0" w:line="240" w:lineRule="auto"/>
        <w:jc w:val="both"/>
        <w:rPr>
          <w:rFonts w:ascii="Times New Roman" w:hAnsi="Times New Roman"/>
          <w:color w:val="000000" w:themeColor="text1"/>
          <w:sz w:val="16"/>
          <w:szCs w:val="16"/>
        </w:rPr>
      </w:pPr>
    </w:p>
    <w:p w14:paraId="7C5D53BD" w14:textId="77777777" w:rsidR="00DF3B23" w:rsidRPr="00A259BD" w:rsidRDefault="00DF3B2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апреля в 1929 году Германия отказалась предоставить политическое убежище Льву Троцкому (15096).</w:t>
      </w:r>
    </w:p>
    <w:p w14:paraId="236281F5" w14:textId="77777777" w:rsidR="00DF3B23" w:rsidRPr="00A259BD" w:rsidRDefault="00DF3B23" w:rsidP="009236E3">
      <w:pPr>
        <w:spacing w:after="0" w:line="240" w:lineRule="auto"/>
        <w:jc w:val="both"/>
        <w:rPr>
          <w:rFonts w:ascii="Times New Roman" w:hAnsi="Times New Roman"/>
          <w:color w:val="000000" w:themeColor="text1"/>
          <w:sz w:val="16"/>
          <w:szCs w:val="16"/>
        </w:rPr>
      </w:pPr>
    </w:p>
    <w:p w14:paraId="1520571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4B8F07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ED84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апре</w:t>
      </w:r>
      <w:r w:rsidRPr="00A259BD">
        <w:rPr>
          <w:rFonts w:ascii="Times New Roman" w:hAnsi="Times New Roman"/>
          <w:color w:val="000000" w:themeColor="text1"/>
          <w:sz w:val="16"/>
          <w:szCs w:val="16"/>
        </w:rPr>
        <w:softHyphen/>
        <w:t xml:space="preserve">ля 1929 г. по инициативе </w:t>
      </w:r>
      <w:proofErr w:type="spellStart"/>
      <w:r w:rsidRPr="00A259BD">
        <w:rPr>
          <w:rFonts w:ascii="Times New Roman" w:hAnsi="Times New Roman"/>
          <w:color w:val="000000" w:themeColor="text1"/>
          <w:sz w:val="16"/>
          <w:szCs w:val="16"/>
        </w:rPr>
        <w:t>Н.Н.Поликарпова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М.И.Косткина</w:t>
      </w:r>
      <w:proofErr w:type="spellEnd"/>
      <w:r w:rsidRPr="00A259BD">
        <w:rPr>
          <w:rFonts w:ascii="Times New Roman" w:hAnsi="Times New Roman"/>
          <w:color w:val="000000" w:themeColor="text1"/>
          <w:sz w:val="16"/>
          <w:szCs w:val="16"/>
        </w:rPr>
        <w:t xml:space="preserve"> состоялось специальное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С докладом “О внедрении новых машин в производство” выступили Поликарпов, Косткин, Дай-бог. Основные положения доклада представляли собой изложение унифицированной методики проектирова</w:t>
      </w:r>
      <w:r w:rsidRPr="00A259BD">
        <w:rPr>
          <w:rFonts w:ascii="Times New Roman" w:hAnsi="Times New Roman"/>
          <w:color w:val="000000" w:themeColor="text1"/>
          <w:sz w:val="16"/>
          <w:szCs w:val="16"/>
        </w:rPr>
        <w:softHyphen/>
        <w:t>ния и постройки новых самолетов, которой должны придерживаться все конструкторские и производствен</w:t>
      </w:r>
      <w:r w:rsidRPr="00A259BD">
        <w:rPr>
          <w:rFonts w:ascii="Times New Roman" w:hAnsi="Times New Roman"/>
          <w:color w:val="000000" w:themeColor="text1"/>
          <w:sz w:val="16"/>
          <w:szCs w:val="16"/>
        </w:rPr>
        <w:softHyphen/>
        <w:t>ные коллективы. Некоторые положения доклада:</w:t>
      </w:r>
    </w:p>
    <w:p w14:paraId="5408E3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В период изготовления первой опытной машины Технический Отдел опытного завода должен иметь вполне законченные проверенные рабочие чертежи, скорректированные с производственной частью соот</w:t>
      </w:r>
      <w:r w:rsidRPr="00A259BD">
        <w:rPr>
          <w:rFonts w:ascii="Times New Roman" w:hAnsi="Times New Roman"/>
          <w:color w:val="000000" w:themeColor="text1"/>
          <w:sz w:val="16"/>
          <w:szCs w:val="16"/>
        </w:rPr>
        <w:softHyphen/>
        <w:t>ветствующего завода серийного производства, а также выверенные спецификации материалов. 5. Второй экземпляр опытной машины, как голо</w:t>
      </w:r>
      <w:r w:rsidRPr="00A259BD">
        <w:rPr>
          <w:rFonts w:ascii="Times New Roman" w:hAnsi="Times New Roman"/>
          <w:color w:val="000000" w:themeColor="text1"/>
          <w:sz w:val="16"/>
          <w:szCs w:val="16"/>
        </w:rPr>
        <w:softHyphen/>
        <w:t>вной, или несколько машин (в зависимости от качества и предстоящих заказов) строятся на соответствующем заводе опытного или серийного производства и по это</w:t>
      </w:r>
      <w:r w:rsidRPr="00A259BD">
        <w:rPr>
          <w:rFonts w:ascii="Times New Roman" w:hAnsi="Times New Roman"/>
          <w:color w:val="000000" w:themeColor="text1"/>
          <w:sz w:val="16"/>
          <w:szCs w:val="16"/>
        </w:rPr>
        <w:softHyphen/>
        <w:t>му образцу уточняются чертежи для массового произ</w:t>
      </w:r>
      <w:r w:rsidRPr="00A259BD">
        <w:rPr>
          <w:rFonts w:ascii="Times New Roman" w:hAnsi="Times New Roman"/>
          <w:color w:val="000000" w:themeColor="text1"/>
          <w:sz w:val="16"/>
          <w:szCs w:val="16"/>
        </w:rPr>
        <w:softHyphen/>
        <w:t>водства.</w:t>
      </w:r>
    </w:p>
    <w:p w14:paraId="740023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При приеме заказа на проработку новой конструк</w:t>
      </w:r>
      <w:r w:rsidRPr="00A259BD">
        <w:rPr>
          <w:rFonts w:ascii="Times New Roman" w:hAnsi="Times New Roman"/>
          <w:color w:val="000000" w:themeColor="text1"/>
          <w:sz w:val="16"/>
          <w:szCs w:val="16"/>
        </w:rPr>
        <w:softHyphen/>
        <w:t>ции машины должны быть одновременно получены от УВВС вполне законченные жесткие техническое условия.</w:t>
      </w:r>
    </w:p>
    <w:p w14:paraId="446CD2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Установить как правило, что по утверждении маке</w:t>
      </w:r>
      <w:r w:rsidRPr="00A259BD">
        <w:rPr>
          <w:rFonts w:ascii="Times New Roman" w:hAnsi="Times New Roman"/>
          <w:color w:val="000000" w:themeColor="text1"/>
          <w:sz w:val="16"/>
          <w:szCs w:val="16"/>
        </w:rPr>
        <w:softHyphen/>
        <w:t>тов (акт утверждения макета препровождается Правле</w:t>
      </w:r>
      <w:r w:rsidRPr="00A259BD">
        <w:rPr>
          <w:rFonts w:ascii="Times New Roman" w:hAnsi="Times New Roman"/>
          <w:color w:val="000000" w:themeColor="text1"/>
          <w:sz w:val="16"/>
          <w:szCs w:val="16"/>
        </w:rPr>
        <w:softHyphen/>
        <w:t xml:space="preserve">нию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разработанных согласно техническим условиям, никаких изменений в дальнейшем произво</w:t>
      </w:r>
      <w:r w:rsidRPr="00A259BD">
        <w:rPr>
          <w:rFonts w:ascii="Times New Roman" w:hAnsi="Times New Roman"/>
          <w:color w:val="000000" w:themeColor="text1"/>
          <w:sz w:val="16"/>
          <w:szCs w:val="16"/>
        </w:rPr>
        <w:softHyphen/>
        <w:t xml:space="preserve">диться не должно без особого разрешения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w:t>
      </w:r>
    </w:p>
    <w:p w14:paraId="1DD1138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В целях быстрейшего разрешения всех текущих вопросов опытного строительства, связанных с той или другой опытной машиной в период передачи ее на се</w:t>
      </w:r>
      <w:r w:rsidRPr="00A259BD">
        <w:rPr>
          <w:rFonts w:ascii="Times New Roman" w:hAnsi="Times New Roman"/>
          <w:color w:val="000000" w:themeColor="text1"/>
          <w:sz w:val="16"/>
          <w:szCs w:val="16"/>
        </w:rPr>
        <w:softHyphen/>
        <w:t>рийное производство, просить УВВС командировать каждый раз соответствующего полномочного предста</w:t>
      </w:r>
      <w:r w:rsidRPr="00A259BD">
        <w:rPr>
          <w:rFonts w:ascii="Times New Roman" w:hAnsi="Times New Roman"/>
          <w:color w:val="000000" w:themeColor="text1"/>
          <w:sz w:val="16"/>
          <w:szCs w:val="16"/>
        </w:rPr>
        <w:softHyphen/>
        <w:t>вителя...</w:t>
      </w:r>
    </w:p>
    <w:p w14:paraId="78E73F3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Установить как правило, что разработка рабочих чертежей Опытным отделом ведется совместно с заво</w:t>
      </w:r>
      <w:r w:rsidRPr="00A259BD">
        <w:rPr>
          <w:rFonts w:ascii="Times New Roman" w:hAnsi="Times New Roman"/>
          <w:color w:val="000000" w:themeColor="text1"/>
          <w:sz w:val="16"/>
          <w:szCs w:val="16"/>
        </w:rPr>
        <w:softHyphen/>
        <w:t>дом серийного производства путем откомандирования на период этой проработки соответствующего кадра конструкторов-производственников...”.</w:t>
      </w:r>
    </w:p>
    <w:p w14:paraId="5A720A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Один из пунктов доклада содержал предложение раз</w:t>
      </w:r>
      <w:r w:rsidRPr="00A259BD">
        <w:rPr>
          <w:rFonts w:ascii="Times New Roman" w:hAnsi="Times New Roman"/>
          <w:color w:val="000000" w:themeColor="text1"/>
          <w:sz w:val="16"/>
          <w:szCs w:val="16"/>
        </w:rPr>
        <w:softHyphen/>
        <w:t>работать единые отраслевые технологические нормали и стандарты на чертежно-конструкторскую документа</w:t>
      </w:r>
      <w:r w:rsidRPr="00A259BD">
        <w:rPr>
          <w:rFonts w:ascii="Times New Roman" w:hAnsi="Times New Roman"/>
          <w:color w:val="000000" w:themeColor="text1"/>
          <w:sz w:val="16"/>
          <w:szCs w:val="16"/>
        </w:rPr>
        <w:softHyphen/>
        <w:t>цию. Но, к сожалению, понимание важности этого во-проса пришло позднее, единая система конструкторской документации появилась у нас лишь спустя сорок лет.</w:t>
      </w:r>
    </w:p>
    <w:p w14:paraId="640A071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целом заявленная в докладе методика оказала за</w:t>
      </w:r>
      <w:r w:rsidRPr="00A259BD">
        <w:rPr>
          <w:rFonts w:ascii="Times New Roman" w:hAnsi="Times New Roman"/>
          <w:color w:val="000000" w:themeColor="text1"/>
          <w:sz w:val="16"/>
          <w:szCs w:val="16"/>
        </w:rPr>
        <w:softHyphen/>
        <w:t>метное влияние на развитие авиапромышленности СССР.</w:t>
      </w:r>
    </w:p>
    <w:p w14:paraId="6FBF3D2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 обсуждении доклада было высказано пожелание отработать отдельные положения на некоторых опытных самолетах. Поликарпов предложил взять для этой цели Р-5, с чем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согласилось и в прото</w:t>
      </w:r>
      <w:r w:rsidRPr="00A259BD">
        <w:rPr>
          <w:rFonts w:ascii="Times New Roman" w:hAnsi="Times New Roman"/>
          <w:color w:val="000000" w:themeColor="text1"/>
          <w:sz w:val="16"/>
          <w:szCs w:val="16"/>
        </w:rPr>
        <w:softHyphen/>
        <w:t>коле заседания появилась соответствующая запись: “От</w:t>
      </w:r>
      <w:r w:rsidRPr="00A259BD">
        <w:rPr>
          <w:rFonts w:ascii="Times New Roman" w:hAnsi="Times New Roman"/>
          <w:color w:val="000000" w:themeColor="text1"/>
          <w:sz w:val="16"/>
          <w:szCs w:val="16"/>
        </w:rPr>
        <w:softHyphen/>
        <w:t>метить, что машина Р-5, выходящая из опытов НИИ, будет служить образцом и не может подлежать никакой разборке. Заводу № 25 совместно с заводом № 1 присту</w:t>
      </w:r>
      <w:r w:rsidRPr="00A259BD">
        <w:rPr>
          <w:rFonts w:ascii="Times New Roman" w:hAnsi="Times New Roman"/>
          <w:color w:val="000000" w:themeColor="text1"/>
          <w:sz w:val="16"/>
          <w:szCs w:val="16"/>
        </w:rPr>
        <w:softHyphen/>
        <w:t>пить немедленно к проработке чертежей по этой маши</w:t>
      </w:r>
      <w:r w:rsidRPr="00A259BD">
        <w:rPr>
          <w:rFonts w:ascii="Times New Roman" w:hAnsi="Times New Roman"/>
          <w:color w:val="000000" w:themeColor="text1"/>
          <w:sz w:val="16"/>
          <w:szCs w:val="16"/>
        </w:rPr>
        <w:softHyphen/>
        <w:t>не путем мероприятий, указанных выше”.</w:t>
      </w:r>
    </w:p>
    <w:p w14:paraId="169A9A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Четвертый опытный экземпляр строился с учетом всех сделанных замечаний и доработок. Поэтому его предложили считать эталоном для серии (10667).</w:t>
      </w:r>
    </w:p>
    <w:p w14:paraId="443262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F5C3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18 и 22 апреля 1929 на заседаниях специальной комиссии по аэрофотосъемке под председательством а </w:t>
      </w:r>
      <w:proofErr w:type="spellStart"/>
      <w:r w:rsidRPr="00A259BD">
        <w:rPr>
          <w:rFonts w:ascii="Times New Roman" w:hAnsi="Times New Roman"/>
          <w:color w:val="000000" w:themeColor="text1"/>
          <w:sz w:val="16"/>
          <w:szCs w:val="16"/>
        </w:rPr>
        <w:t>А.Е.Ферсмана</w:t>
      </w:r>
      <w:proofErr w:type="spellEnd"/>
      <w:r w:rsidRPr="00A259BD">
        <w:rPr>
          <w:rFonts w:ascii="Times New Roman" w:hAnsi="Times New Roman"/>
          <w:color w:val="000000" w:themeColor="text1"/>
          <w:sz w:val="16"/>
          <w:szCs w:val="16"/>
        </w:rPr>
        <w:t xml:space="preserve"> обсуждался типаж самолетов для высокопроизводительной аэрофотосъемке больших площадей при помощи новой аппаратуры (1076,915).</w:t>
      </w:r>
    </w:p>
    <w:p w14:paraId="7E5683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03EA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апреля 1929 состоялось заседание макетной комиссии по осмотру макета ТОМ Ришара в ОПО-4. Приняли решение по оборудованию и условиям обстрела (2363,330).</w:t>
      </w:r>
    </w:p>
    <w:p w14:paraId="293B15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ПРОТОКОЛ</w:t>
      </w:r>
    </w:p>
    <w:p w14:paraId="5ABCD9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ЗАСЕДАНИЯ МАКЕТНОЙ КОМИССС ПО ОСМОТРУ МАКЕТА САМОЛЕТА ТОМ В ОПО4</w:t>
      </w:r>
    </w:p>
    <w:p w14:paraId="19FABD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Состав комиссии:</w:t>
      </w:r>
    </w:p>
    <w:p w14:paraId="4352D8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Председатель 2-й Секции НТК - </w:t>
      </w:r>
      <w:proofErr w:type="spellStart"/>
      <w:r w:rsidRPr="00A259BD">
        <w:rPr>
          <w:rFonts w:ascii="Times New Roman" w:hAnsi="Times New Roman"/>
          <w:color w:val="000000" w:themeColor="text1"/>
          <w:sz w:val="16"/>
          <w:szCs w:val="16"/>
        </w:rPr>
        <w:t>Е.В.Агонас</w:t>
      </w:r>
      <w:proofErr w:type="spellEnd"/>
      <w:r w:rsidRPr="00A259BD">
        <w:rPr>
          <w:rFonts w:ascii="Times New Roman" w:hAnsi="Times New Roman"/>
          <w:color w:val="000000" w:themeColor="text1"/>
          <w:sz w:val="16"/>
          <w:szCs w:val="16"/>
        </w:rPr>
        <w:tab/>
        <w:t>председатель</w:t>
      </w:r>
    </w:p>
    <w:p w14:paraId="5C371B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Пост. член 2-й Секции НТК </w:t>
      </w:r>
      <w:proofErr w:type="spellStart"/>
      <w:r w:rsidRPr="00A259BD">
        <w:rPr>
          <w:rFonts w:ascii="Times New Roman" w:hAnsi="Times New Roman"/>
          <w:color w:val="000000" w:themeColor="text1"/>
          <w:sz w:val="16"/>
          <w:szCs w:val="16"/>
        </w:rPr>
        <w:t>А.В.Надашкевич</w:t>
      </w:r>
      <w:proofErr w:type="spellEnd"/>
      <w:r w:rsidRPr="00A259BD">
        <w:rPr>
          <w:rFonts w:ascii="Times New Roman" w:hAnsi="Times New Roman"/>
          <w:color w:val="000000" w:themeColor="text1"/>
          <w:sz w:val="16"/>
          <w:szCs w:val="16"/>
        </w:rPr>
        <w:tab/>
        <w:t>член</w:t>
      </w:r>
    </w:p>
    <w:p w14:paraId="4926E0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Пост. член 2-й Секции НТК </w:t>
      </w:r>
      <w:proofErr w:type="spellStart"/>
      <w:r w:rsidRPr="00A259BD">
        <w:rPr>
          <w:rFonts w:ascii="Times New Roman" w:hAnsi="Times New Roman"/>
          <w:color w:val="000000" w:themeColor="text1"/>
          <w:sz w:val="16"/>
          <w:szCs w:val="16"/>
        </w:rPr>
        <w:t>В.С.Коннерт</w:t>
      </w:r>
      <w:proofErr w:type="spellEnd"/>
      <w:r w:rsidRPr="00A259BD">
        <w:rPr>
          <w:rFonts w:ascii="Times New Roman" w:hAnsi="Times New Roman"/>
          <w:color w:val="000000" w:themeColor="text1"/>
          <w:sz w:val="16"/>
          <w:szCs w:val="16"/>
        </w:rPr>
        <w:tab/>
        <w:t>член</w:t>
      </w:r>
    </w:p>
    <w:p w14:paraId="738D05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Пост. член 1-й Секции НТК </w:t>
      </w:r>
      <w:proofErr w:type="spellStart"/>
      <w:r w:rsidRPr="00A259BD">
        <w:rPr>
          <w:rFonts w:ascii="Times New Roman" w:hAnsi="Times New Roman"/>
          <w:color w:val="000000" w:themeColor="text1"/>
          <w:sz w:val="16"/>
          <w:szCs w:val="16"/>
        </w:rPr>
        <w:t>К.А.Ганулич</w:t>
      </w:r>
      <w:proofErr w:type="spellEnd"/>
      <w:r w:rsidRPr="00A259BD">
        <w:rPr>
          <w:rFonts w:ascii="Times New Roman" w:hAnsi="Times New Roman"/>
          <w:color w:val="000000" w:themeColor="text1"/>
          <w:sz w:val="16"/>
          <w:szCs w:val="16"/>
        </w:rPr>
        <w:tab/>
        <w:t>член</w:t>
      </w:r>
    </w:p>
    <w:p w14:paraId="042663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Нач. НИИ </w:t>
      </w:r>
      <w:proofErr w:type="spellStart"/>
      <w:r w:rsidRPr="00A259BD">
        <w:rPr>
          <w:rFonts w:ascii="Times New Roman" w:hAnsi="Times New Roman"/>
          <w:color w:val="000000" w:themeColor="text1"/>
          <w:sz w:val="16"/>
          <w:szCs w:val="16"/>
        </w:rPr>
        <w:t>А.А.Левин</w:t>
      </w:r>
      <w:proofErr w:type="spellEnd"/>
    </w:p>
    <w:p w14:paraId="4FBC32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 отдела применения НИИ </w:t>
      </w:r>
      <w:proofErr w:type="spellStart"/>
      <w:r w:rsidRPr="00A259BD">
        <w:rPr>
          <w:rFonts w:ascii="Times New Roman" w:hAnsi="Times New Roman"/>
          <w:color w:val="000000" w:themeColor="text1"/>
          <w:sz w:val="16"/>
          <w:szCs w:val="16"/>
        </w:rPr>
        <w:t>М.А.Волковойнов</w:t>
      </w:r>
      <w:proofErr w:type="spellEnd"/>
    </w:p>
    <w:p w14:paraId="01D8F5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НИИ </w:t>
      </w:r>
      <w:proofErr w:type="spellStart"/>
      <w:r w:rsidRPr="00A259BD">
        <w:rPr>
          <w:rFonts w:ascii="Times New Roman" w:hAnsi="Times New Roman"/>
          <w:color w:val="000000" w:themeColor="text1"/>
          <w:sz w:val="16"/>
          <w:szCs w:val="16"/>
        </w:rPr>
        <w:t>С.Г.Спирин</w:t>
      </w:r>
      <w:proofErr w:type="spellEnd"/>
    </w:p>
    <w:p w14:paraId="7B5265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НИИ </w:t>
      </w:r>
      <w:proofErr w:type="spellStart"/>
      <w:r w:rsidRPr="00A259BD">
        <w:rPr>
          <w:rFonts w:ascii="Times New Roman" w:hAnsi="Times New Roman"/>
          <w:color w:val="000000" w:themeColor="text1"/>
          <w:sz w:val="16"/>
          <w:szCs w:val="16"/>
        </w:rPr>
        <w:t>С.П.Шапошников</w:t>
      </w:r>
      <w:proofErr w:type="spellEnd"/>
    </w:p>
    <w:p w14:paraId="231313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ab/>
      </w:r>
      <w:proofErr w:type="spellStart"/>
      <w:r w:rsidRPr="00A259BD">
        <w:rPr>
          <w:rFonts w:ascii="Times New Roman" w:hAnsi="Times New Roman"/>
          <w:color w:val="000000" w:themeColor="text1"/>
          <w:sz w:val="16"/>
          <w:szCs w:val="16"/>
        </w:rPr>
        <w:t>Ю.Г.Макаров</w:t>
      </w:r>
      <w:proofErr w:type="spellEnd"/>
    </w:p>
    <w:p w14:paraId="2DDA90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НИИ </w:t>
      </w:r>
      <w:proofErr w:type="spellStart"/>
      <w:r w:rsidRPr="00A259BD">
        <w:rPr>
          <w:rFonts w:ascii="Times New Roman" w:hAnsi="Times New Roman"/>
          <w:color w:val="000000" w:themeColor="text1"/>
          <w:sz w:val="16"/>
          <w:szCs w:val="16"/>
        </w:rPr>
        <w:t>С.И.Аксенов</w:t>
      </w:r>
      <w:proofErr w:type="spellEnd"/>
    </w:p>
    <w:p w14:paraId="34F3F2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ab/>
      </w:r>
      <w:proofErr w:type="spellStart"/>
      <w:r w:rsidRPr="00A259BD">
        <w:rPr>
          <w:rFonts w:ascii="Times New Roman" w:hAnsi="Times New Roman"/>
          <w:color w:val="000000" w:themeColor="text1"/>
          <w:sz w:val="16"/>
          <w:szCs w:val="16"/>
        </w:rPr>
        <w:t>Н.П.Шалимов</w:t>
      </w:r>
      <w:proofErr w:type="spellEnd"/>
    </w:p>
    <w:p w14:paraId="0DAFF8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ab/>
      </w:r>
      <w:proofErr w:type="spellStart"/>
      <w:r w:rsidRPr="00A259BD">
        <w:rPr>
          <w:rFonts w:ascii="Times New Roman" w:hAnsi="Times New Roman"/>
          <w:color w:val="000000" w:themeColor="text1"/>
          <w:sz w:val="16"/>
          <w:szCs w:val="16"/>
        </w:rPr>
        <w:t>Г.Н.Васильев</w:t>
      </w:r>
      <w:proofErr w:type="spellEnd"/>
    </w:p>
    <w:p w14:paraId="32EAD8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Отдела ГУ </w:t>
      </w:r>
      <w:proofErr w:type="spellStart"/>
      <w:r w:rsidRPr="00A259BD">
        <w:rPr>
          <w:rFonts w:ascii="Times New Roman" w:hAnsi="Times New Roman"/>
          <w:color w:val="000000" w:themeColor="text1"/>
          <w:sz w:val="16"/>
          <w:szCs w:val="16"/>
        </w:rPr>
        <w:t>Муселиус</w:t>
      </w:r>
      <w:proofErr w:type="spellEnd"/>
    </w:p>
    <w:p w14:paraId="768A2C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Ак. </w:t>
      </w:r>
      <w:proofErr w:type="spellStart"/>
      <w:r w:rsidRPr="00A259BD">
        <w:rPr>
          <w:rFonts w:ascii="Times New Roman" w:hAnsi="Times New Roman"/>
          <w:color w:val="000000" w:themeColor="text1"/>
          <w:sz w:val="16"/>
          <w:szCs w:val="16"/>
        </w:rPr>
        <w:t>С.Г.Рыбальчук</w:t>
      </w:r>
      <w:proofErr w:type="spellEnd"/>
    </w:p>
    <w:p w14:paraId="2DE828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В.В.Калинин</w:t>
      </w:r>
      <w:proofErr w:type="spellEnd"/>
    </w:p>
    <w:p w14:paraId="3E7206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ab/>
      </w:r>
      <w:proofErr w:type="spellStart"/>
      <w:r w:rsidRPr="00A259BD">
        <w:rPr>
          <w:rFonts w:ascii="Times New Roman" w:hAnsi="Times New Roman"/>
          <w:color w:val="000000" w:themeColor="text1"/>
          <w:sz w:val="16"/>
          <w:szCs w:val="16"/>
        </w:rPr>
        <w:t>А.О.Воротников</w:t>
      </w:r>
      <w:proofErr w:type="spellEnd"/>
    </w:p>
    <w:p w14:paraId="377162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ОПО4 </w:t>
      </w:r>
      <w:proofErr w:type="spellStart"/>
      <w:r w:rsidRPr="00A259BD">
        <w:rPr>
          <w:rFonts w:ascii="Times New Roman" w:hAnsi="Times New Roman"/>
          <w:color w:val="000000" w:themeColor="text1"/>
          <w:sz w:val="16"/>
          <w:szCs w:val="16"/>
        </w:rPr>
        <w:t>Д.М.Хомский</w:t>
      </w:r>
      <w:proofErr w:type="spellEnd"/>
    </w:p>
    <w:p w14:paraId="13EB12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ab/>
      </w:r>
      <w:proofErr w:type="spellStart"/>
      <w:r w:rsidRPr="00A259BD">
        <w:rPr>
          <w:rFonts w:ascii="Times New Roman" w:hAnsi="Times New Roman"/>
          <w:color w:val="000000" w:themeColor="text1"/>
          <w:sz w:val="16"/>
          <w:szCs w:val="16"/>
        </w:rPr>
        <w:t>С.П.Королев</w:t>
      </w:r>
      <w:proofErr w:type="spellEnd"/>
    </w:p>
    <w:p w14:paraId="3C3389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Оборудование макета в части расположения приборов комиссия считает недоработанным</w:t>
      </w:r>
    </w:p>
    <w:p w14:paraId="2033E0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Обстрел</w:t>
      </w:r>
    </w:p>
    <w:p w14:paraId="013C11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Передняя установка удовлетворяет обстрел передней полусферы и четверть верхней сферы. Боковому обстрелу под крыло мешают винты, ноги поплавков и поплавки</w:t>
      </w:r>
    </w:p>
    <w:p w14:paraId="788271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Задняя установка удовлетворяет обстрел </w:t>
      </w:r>
      <w:proofErr w:type="spellStart"/>
      <w:r w:rsidRPr="00A259BD">
        <w:rPr>
          <w:rFonts w:ascii="Times New Roman" w:hAnsi="Times New Roman"/>
          <w:color w:val="000000" w:themeColor="text1"/>
          <w:sz w:val="16"/>
          <w:szCs w:val="16"/>
        </w:rPr>
        <w:t>вехней</w:t>
      </w:r>
      <w:proofErr w:type="spellEnd"/>
      <w:r w:rsidRPr="00A259BD">
        <w:rPr>
          <w:rFonts w:ascii="Times New Roman" w:hAnsi="Times New Roman"/>
          <w:color w:val="000000" w:themeColor="text1"/>
          <w:sz w:val="16"/>
          <w:szCs w:val="16"/>
        </w:rPr>
        <w:t xml:space="preserve"> задней четверти (неполностью ввиду высокой посадки хвостового оперения) нижней сферы (за вычетом ширины фюзеляжа).</w:t>
      </w:r>
    </w:p>
    <w:p w14:paraId="3F40B2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Обстрелу вниз в сторону мешают поплавки</w:t>
      </w:r>
    </w:p>
    <w:p w14:paraId="3003E1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Предъявленную башню, ввиду ее неудовлетворительности, комиссия не рассматривала.</w:t>
      </w:r>
    </w:p>
    <w:p w14:paraId="1FF47C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увеличения огневой мощи комиссия предлагает следующее:</w:t>
      </w:r>
    </w:p>
    <w:p w14:paraId="0151EF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увеличить диаметр башни до 850 мм</w:t>
      </w:r>
    </w:p>
    <w:p w14:paraId="3F51F4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сделать ее вращающейся на 360 гр. со скоростью 4 оборота в минуту</w:t>
      </w:r>
    </w:p>
    <w:p w14:paraId="461915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сделать ее опускающейся на 900 мм</w:t>
      </w:r>
    </w:p>
    <w:p w14:paraId="4B538E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предусмотреть возможность раздельного пользования башней и турелью за счет увеличения экипажа до 4 чел.</w:t>
      </w:r>
    </w:p>
    <w:p w14:paraId="5F9B43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Представители ОПО против предложенного не возражают...(2363,330).</w:t>
      </w:r>
    </w:p>
    <w:p w14:paraId="6266CE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D17E929" w14:textId="77777777" w:rsidR="00DF3B23"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9589233" w14:textId="77777777" w:rsidR="00DF3B23" w:rsidRPr="00A259BD" w:rsidRDefault="00DF3B2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ED933C" w14:textId="77777777" w:rsidR="00DF3B23" w:rsidRPr="00A259BD" w:rsidRDefault="00DF3B2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апреля в 1929 году Совет труда и обороны СССР принял постановление «Об организации Государственного акционерного общества по иностранному туризму в СССР» (теперь – Внешнеэкономическое акционерное общество по туризму и инвестициям; ВАО «Интурист») (15097).</w:t>
      </w:r>
    </w:p>
    <w:p w14:paraId="56361D11" w14:textId="77777777" w:rsidR="00DF3B23" w:rsidRPr="00A259BD" w:rsidRDefault="00DF3B23" w:rsidP="009236E3">
      <w:pPr>
        <w:spacing w:after="0" w:line="240" w:lineRule="auto"/>
        <w:jc w:val="both"/>
        <w:rPr>
          <w:rFonts w:ascii="Times New Roman" w:hAnsi="Times New Roman"/>
          <w:color w:val="000000" w:themeColor="text1"/>
          <w:sz w:val="16"/>
          <w:szCs w:val="16"/>
        </w:rPr>
      </w:pPr>
    </w:p>
    <w:p w14:paraId="5FBD05E2" w14:textId="77777777" w:rsidR="000F1133" w:rsidRPr="00A259BD" w:rsidRDefault="000F113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апреля 1929 года постановлением Совета труда и обороны было основано Государственное акционерное общество по иностранному туризму. Приток заграничных туристов был призван решить сразу несколько задач: улучшить имидж СССР за рубежом, привлечь в страну иностранных специалистов, а также принести деньги в бюджет. Иностранный туризм «способствует установлению и укреплению культурно-экономической связи» — гласила заметка члена правления «Интуриста» Хозяинова, написанная 22 сентября 1929 года. К середине 1930-х представительства «Интуриста» были открыты в нескольких европейских странах, а разработкой рекламы различных направлений занимались десятки художников по всему СССР. Плакаты предлагали иностранцам не только Москву и Ленинград, но закавказские республики, Среднюю Азию, а также речные круизы. Особым направлением была охота. Этот плакат, призывающий иностранцев приехать поохотиться в СССР, был выпущен на нескольких языках — английском, немецком и французском (21168).</w:t>
      </w:r>
    </w:p>
    <w:p w14:paraId="71978BB6" w14:textId="77777777" w:rsidR="000F1133" w:rsidRPr="00A259BD" w:rsidRDefault="000F1133" w:rsidP="009236E3">
      <w:pPr>
        <w:spacing w:after="0" w:line="240" w:lineRule="auto"/>
        <w:jc w:val="both"/>
        <w:rPr>
          <w:rFonts w:ascii="Times New Roman" w:hAnsi="Times New Roman"/>
          <w:color w:val="000000" w:themeColor="text1"/>
          <w:sz w:val="16"/>
          <w:szCs w:val="16"/>
        </w:rPr>
      </w:pPr>
    </w:p>
    <w:p w14:paraId="7505FED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020DC2D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4F872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12 апреля 1929 г. были начаты переговоры о новом кредите беседой германского посла в Москве </w:t>
      </w:r>
      <w:proofErr w:type="spellStart"/>
      <w:r w:rsidRPr="00A259BD">
        <w:rPr>
          <w:rFonts w:ascii="Times New Roman" w:hAnsi="Times New Roman"/>
          <w:color w:val="000000" w:themeColor="text1"/>
          <w:sz w:val="16"/>
          <w:szCs w:val="16"/>
        </w:rPr>
        <w:t>Дирксена</w:t>
      </w:r>
      <w:proofErr w:type="spellEnd"/>
      <w:r w:rsidRPr="00A259BD">
        <w:rPr>
          <w:rFonts w:ascii="Times New Roman" w:hAnsi="Times New Roman"/>
          <w:color w:val="000000" w:themeColor="text1"/>
          <w:sz w:val="16"/>
          <w:szCs w:val="16"/>
        </w:rPr>
        <w:t xml:space="preserve"> с наркомом внешней торговли А. И. Микояном и членом коллегии НКИД СССР </w:t>
      </w:r>
      <w:proofErr w:type="spellStart"/>
      <w:r w:rsidRPr="00A259BD">
        <w:rPr>
          <w:rFonts w:ascii="Times New Roman" w:hAnsi="Times New Roman"/>
          <w:color w:val="000000" w:themeColor="text1"/>
          <w:sz w:val="16"/>
          <w:szCs w:val="16"/>
        </w:rPr>
        <w:t>Стомоняковым</w:t>
      </w:r>
      <w:proofErr w:type="spellEnd"/>
      <w:r w:rsidRPr="00A259BD">
        <w:rPr>
          <w:rFonts w:ascii="Times New Roman" w:hAnsi="Times New Roman"/>
          <w:color w:val="000000" w:themeColor="text1"/>
          <w:sz w:val="16"/>
          <w:szCs w:val="16"/>
        </w:rPr>
        <w:t xml:space="preserve"> на приеме в германском посольстве. Микоян заявил тогда германскому дипломату: «Тяжелых и невыгодных кредитов мы больше брать не будем». И Москва сумела реализовать данный подход. В свою очередь </w:t>
      </w:r>
      <w:proofErr w:type="spellStart"/>
      <w:r w:rsidRPr="00A259BD">
        <w:rPr>
          <w:rFonts w:ascii="Times New Roman" w:hAnsi="Times New Roman"/>
          <w:color w:val="000000" w:themeColor="text1"/>
          <w:sz w:val="16"/>
          <w:szCs w:val="16"/>
        </w:rPr>
        <w:t>Дирксен</w:t>
      </w:r>
      <w:proofErr w:type="spellEnd"/>
      <w:r w:rsidRPr="00A259BD">
        <w:rPr>
          <w:rFonts w:ascii="Times New Roman" w:hAnsi="Times New Roman"/>
          <w:color w:val="000000" w:themeColor="text1"/>
          <w:sz w:val="16"/>
          <w:szCs w:val="16"/>
        </w:rPr>
        <w:t xml:space="preserve"> постоянно ставил вопрос о кредитах перед министром иностранных дел </w:t>
      </w:r>
      <w:proofErr w:type="spellStart"/>
      <w:r w:rsidRPr="00A259BD">
        <w:rPr>
          <w:rFonts w:ascii="Times New Roman" w:hAnsi="Times New Roman"/>
          <w:color w:val="000000" w:themeColor="text1"/>
          <w:sz w:val="16"/>
          <w:szCs w:val="16"/>
        </w:rPr>
        <w:t>Курциусом</w:t>
      </w:r>
      <w:proofErr w:type="spellEnd"/>
      <w:r w:rsidRPr="00A259BD">
        <w:rPr>
          <w:rFonts w:ascii="Times New Roman" w:hAnsi="Times New Roman"/>
          <w:color w:val="000000" w:themeColor="text1"/>
          <w:sz w:val="16"/>
          <w:szCs w:val="16"/>
        </w:rPr>
        <w:t>, подчеркивая его политическое значение в условиях, когда в Германии заговорили о «кризисе Рапалло», «конце Рапалло», указывая при этом на обострение внутриполитической обстановки и ужесточение режима в СССР (11784).</w:t>
      </w:r>
    </w:p>
    <w:p w14:paraId="2A3B01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AF10B7" w14:textId="77777777" w:rsidR="00DC361D" w:rsidRPr="00A259BD" w:rsidRDefault="00DC361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апреля 1929 г. </w:t>
      </w:r>
      <w:proofErr w:type="spellStart"/>
      <w:r w:rsidRPr="00A259BD">
        <w:rPr>
          <w:rFonts w:ascii="Times New Roman" w:hAnsi="Times New Roman"/>
          <w:color w:val="000000" w:themeColor="text1"/>
          <w:sz w:val="16"/>
          <w:szCs w:val="16"/>
        </w:rPr>
        <w:t>веседе</w:t>
      </w:r>
      <w:proofErr w:type="spellEnd"/>
      <w:r w:rsidRPr="00A259BD">
        <w:rPr>
          <w:rFonts w:ascii="Times New Roman" w:hAnsi="Times New Roman"/>
          <w:color w:val="000000" w:themeColor="text1"/>
          <w:sz w:val="16"/>
          <w:szCs w:val="16"/>
        </w:rPr>
        <w:t xml:space="preserve"> германского посла в Москве </w:t>
      </w:r>
      <w:proofErr w:type="spellStart"/>
      <w:r w:rsidRPr="00A259BD">
        <w:rPr>
          <w:rFonts w:ascii="Times New Roman" w:hAnsi="Times New Roman"/>
          <w:color w:val="000000" w:themeColor="text1"/>
          <w:sz w:val="16"/>
          <w:szCs w:val="16"/>
        </w:rPr>
        <w:t>Дирксена</w:t>
      </w:r>
      <w:proofErr w:type="spellEnd"/>
      <w:r w:rsidRPr="00A259BD">
        <w:rPr>
          <w:rFonts w:ascii="Times New Roman" w:hAnsi="Times New Roman"/>
          <w:color w:val="000000" w:themeColor="text1"/>
          <w:sz w:val="16"/>
          <w:szCs w:val="16"/>
        </w:rPr>
        <w:t xml:space="preserve"> с наркомом внешней торговли А. И. Микояном и членом коллегии НКИД СССР </w:t>
      </w:r>
      <w:proofErr w:type="spellStart"/>
      <w:r w:rsidRPr="00A259BD">
        <w:rPr>
          <w:rFonts w:ascii="Times New Roman" w:hAnsi="Times New Roman"/>
          <w:color w:val="000000" w:themeColor="text1"/>
          <w:sz w:val="16"/>
          <w:szCs w:val="16"/>
        </w:rPr>
        <w:t>Стомоняковым</w:t>
      </w:r>
      <w:proofErr w:type="spellEnd"/>
      <w:r w:rsidRPr="00A259BD">
        <w:rPr>
          <w:rFonts w:ascii="Times New Roman" w:hAnsi="Times New Roman"/>
          <w:color w:val="000000" w:themeColor="text1"/>
          <w:sz w:val="16"/>
          <w:szCs w:val="16"/>
        </w:rPr>
        <w:t xml:space="preserve"> на приеме в германском посольстве Микоян заявил тогда германскому дипломату:</w:t>
      </w:r>
    </w:p>
    <w:p w14:paraId="3B211978" w14:textId="77777777" w:rsidR="00DC361D" w:rsidRPr="00A259BD" w:rsidRDefault="00DC361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«Тяжелых и невыгодных кредитов мы больше брать не будем».</w:t>
      </w:r>
    </w:p>
    <w:p w14:paraId="7FDAD407" w14:textId="77777777" w:rsidR="00DC361D" w:rsidRPr="00A259BD" w:rsidRDefault="00DC361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 Москва сумела реализовать данный подход. В свою очередь </w:t>
      </w:r>
      <w:proofErr w:type="spellStart"/>
      <w:r w:rsidRPr="00A259BD">
        <w:rPr>
          <w:rFonts w:ascii="Times New Roman" w:hAnsi="Times New Roman"/>
          <w:color w:val="000000" w:themeColor="text1"/>
          <w:sz w:val="16"/>
          <w:szCs w:val="16"/>
        </w:rPr>
        <w:t>Дирксен</w:t>
      </w:r>
      <w:proofErr w:type="spellEnd"/>
      <w:r w:rsidRPr="00A259BD">
        <w:rPr>
          <w:rFonts w:ascii="Times New Roman" w:hAnsi="Times New Roman"/>
          <w:color w:val="000000" w:themeColor="text1"/>
          <w:sz w:val="16"/>
          <w:szCs w:val="16"/>
        </w:rPr>
        <w:t xml:space="preserve"> постоянно ставил вопрос о кредитах перед министром иностранных дел </w:t>
      </w:r>
      <w:proofErr w:type="spellStart"/>
      <w:r w:rsidRPr="00A259BD">
        <w:rPr>
          <w:rFonts w:ascii="Times New Roman" w:hAnsi="Times New Roman"/>
          <w:color w:val="000000" w:themeColor="text1"/>
          <w:sz w:val="16"/>
          <w:szCs w:val="16"/>
        </w:rPr>
        <w:t>Курциусом</w:t>
      </w:r>
      <w:proofErr w:type="spellEnd"/>
      <w:r w:rsidRPr="00A259BD">
        <w:rPr>
          <w:rFonts w:ascii="Times New Roman" w:hAnsi="Times New Roman"/>
          <w:color w:val="000000" w:themeColor="text1"/>
          <w:sz w:val="16"/>
          <w:szCs w:val="16"/>
        </w:rPr>
        <w:t>, подчеркивая его политическое значение в условиях, когда в Германии заговорили о «кризисе Рапалло», «конце Рапалло», указывая при этом на обострение внутриполитической обстановки и ужесточение режима в СССР.</w:t>
      </w:r>
    </w:p>
    <w:p w14:paraId="0904FCAB" w14:textId="77777777" w:rsidR="00DC361D" w:rsidRPr="00A259BD" w:rsidRDefault="00DC361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условиях экономического кризиса 1929–1933 гг. («великая депрессия») значение СССР как рынка сбыта германской промышленной, в т. ч. и военно-промышленной продукции, резко возросло. Так, если экспорт Германии в такие страны, как Франция, Голландия, Великобритания в 1932 г. по сравнению с 1929 г. сократился соответственно на 48,6 %, 53,2 % и 65,7 %, то ее экспорт в СССР, наоборот, возрос на 176 %. Подобный рост в значительной мере был обусловлен тем обстоятельством, что Москва, жестко поставив вопрос перед Берлином об экспортных кредитах, сумела настоять на своем (18265).</w:t>
      </w:r>
    </w:p>
    <w:p w14:paraId="1F5DE3CC" w14:textId="77777777" w:rsidR="00DC361D" w:rsidRPr="00A259BD" w:rsidRDefault="00DC361D" w:rsidP="009236E3">
      <w:pPr>
        <w:spacing w:after="0" w:line="240" w:lineRule="auto"/>
        <w:jc w:val="both"/>
        <w:rPr>
          <w:rFonts w:ascii="Times New Roman" w:hAnsi="Times New Roman"/>
          <w:color w:val="000000" w:themeColor="text1"/>
          <w:sz w:val="16"/>
          <w:szCs w:val="16"/>
        </w:rPr>
      </w:pPr>
    </w:p>
    <w:p w14:paraId="6FF8BB0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42B3AE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97EAD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апреля 1929 </w:t>
      </w:r>
      <w:proofErr w:type="spellStart"/>
      <w:r w:rsidRPr="00A259BD">
        <w:rPr>
          <w:rFonts w:ascii="Times New Roman" w:hAnsi="Times New Roman"/>
          <w:color w:val="000000" w:themeColor="text1"/>
          <w:sz w:val="16"/>
          <w:szCs w:val="16"/>
        </w:rPr>
        <w:t>Ф.Зандер</w:t>
      </w:r>
      <w:proofErr w:type="spellEnd"/>
      <w:r w:rsidRPr="00A259BD">
        <w:rPr>
          <w:rFonts w:ascii="Times New Roman" w:hAnsi="Times New Roman"/>
          <w:color w:val="000000" w:themeColor="text1"/>
          <w:sz w:val="16"/>
          <w:szCs w:val="16"/>
        </w:rPr>
        <w:t xml:space="preserve"> в Германии повторил успешный полет ракеты с ЖРД. Длина - 71 см, диаметр - 21 с, масса 7/16 кг с топливом. Двигатель работал 132 с и давал тягу 45-50 кг. Первая ракета стартовала так стремительно, что ни проследить полет, ни найти место падения не смогли. К второй привязал веревку в 4000 м, но та оборвалась на 2000 м (3814).</w:t>
      </w:r>
    </w:p>
    <w:p w14:paraId="0BC066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1B5E4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7FD870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3267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апреля 1929 УВП и УВВС заключили договор о том, чтобы пассажирские К-5 имели приспособления для установки над пассажирской кабиной турели Тур-4 (70,175).</w:t>
      </w:r>
    </w:p>
    <w:p w14:paraId="3CACC2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C0A8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апреля 1929 состоялось заседание Сектора обороны Госплана (протокол 12-б) по уточнению пятилетнего плана развития ГА в части </w:t>
      </w:r>
      <w:proofErr w:type="spellStart"/>
      <w:r w:rsidRPr="00A259BD">
        <w:rPr>
          <w:rFonts w:ascii="Times New Roman" w:hAnsi="Times New Roman"/>
          <w:color w:val="000000" w:themeColor="text1"/>
          <w:sz w:val="16"/>
          <w:szCs w:val="16"/>
        </w:rPr>
        <w:t>самолето</w:t>
      </w:r>
      <w:proofErr w:type="spellEnd"/>
      <w:r w:rsidRPr="00A259BD">
        <w:rPr>
          <w:rFonts w:ascii="Times New Roman" w:hAnsi="Times New Roman"/>
          <w:color w:val="000000" w:themeColor="text1"/>
          <w:sz w:val="16"/>
          <w:szCs w:val="16"/>
        </w:rPr>
        <w:t xml:space="preserve"> и моторостроения. Пред.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Окромешко</w:t>
      </w:r>
      <w:proofErr w:type="spellEnd"/>
      <w:r w:rsidRPr="00A259BD">
        <w:rPr>
          <w:rFonts w:ascii="Times New Roman" w:hAnsi="Times New Roman"/>
          <w:color w:val="000000" w:themeColor="text1"/>
          <w:sz w:val="16"/>
          <w:szCs w:val="16"/>
        </w:rPr>
        <w:t xml:space="preserve"> доложил о плане и с содокладом выступил </w:t>
      </w:r>
      <w:proofErr w:type="spellStart"/>
      <w:r w:rsidRPr="00A259BD">
        <w:rPr>
          <w:rFonts w:ascii="Times New Roman" w:hAnsi="Times New Roman"/>
          <w:color w:val="000000" w:themeColor="text1"/>
          <w:sz w:val="16"/>
          <w:szCs w:val="16"/>
        </w:rPr>
        <w:t>Зарзар</w:t>
      </w:r>
      <w:proofErr w:type="spellEnd"/>
      <w:r w:rsidRPr="00A259BD">
        <w:rPr>
          <w:rFonts w:ascii="Times New Roman" w:hAnsi="Times New Roman"/>
          <w:color w:val="000000" w:themeColor="text1"/>
          <w:sz w:val="16"/>
          <w:szCs w:val="16"/>
        </w:rPr>
        <w:t>. Признали необходимым объединить всю АП (за исключением ремонтной) в одних руках - ВСНХ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но при условии, чтобы не пострадали интересы ни ГА, ни НКВМ. </w:t>
      </w: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 xml:space="preserve"> пытался сохранить свой завод (2341,111).</w:t>
      </w:r>
    </w:p>
    <w:p w14:paraId="5C1E01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234DC5"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136B3DA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4292D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апреля 1929 в СНК РСФСР поступила совместная докладная записка Наркоматов юстиции, внутренних дел и ОГПУ, в которой доказывалась необходимость создания системы лагерей. Составители докладной обосновывали свои выводы необходимостью полного осуществления приговоров, прекращение практики применения краткосрочного заключения и снижения расходов на содержание заключенных. В качестве решения выдвигались предложения, организовать в районе Олонца-Ухты концлагерей общей численностью в 30тыс.человек, и впредь всех лиц, осужденных на срок от 3-х лет и выше , использовать для колонизации северных окраин страны, для разработки их природных богатств. По мнению составителей, реализация предложенных мер позволила бы привести практику в соответствие с основами исправительной политики и существенно снизить (до 100 руб./год) расходы на содержание заключенных.(9042).</w:t>
      </w:r>
    </w:p>
    <w:p w14:paraId="0AC813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A35D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апреля 1929 г. Докладная записка наркоматов юстиции, внутренних дел и ОГПУ в СНК РСФСР о необходимости создания системы концлагерей </w:t>
      </w:r>
    </w:p>
    <w:p w14:paraId="6E3CFCDF"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Совершенно секретно</w:t>
      </w:r>
    </w:p>
    <w:p w14:paraId="34BDDFB0"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СНК РСФСР</w:t>
      </w:r>
    </w:p>
    <w:p w14:paraId="733B33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Существующая система мер социальной защиты в отношении лиц, совершивших социально-опасные деяния, опирается у нас, главным образом, на изоляцию этого элемента в места лишения свободы. </w:t>
      </w:r>
    </w:p>
    <w:p w14:paraId="412D40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Практика применения этой системы оказалась весьма дорогостоящей государству; повела к переполнению тюремного населения сверх всякой нормы и сделала приговор суда совершенно нереальным. </w:t>
      </w:r>
    </w:p>
    <w:p w14:paraId="000711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Такое положение, отмечаемое неоднократно всеми организациями и лицами стоящими близко к этому делу, было констатировано и правительством 26/III-28 г. по докладу НКЮ, которое дало ряд конфетных указаний к изменению и коренной реорганизации системы мер социальной защиты. </w:t>
      </w:r>
    </w:p>
    <w:p w14:paraId="2A4669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Нет никакого сомнения, что проведение в жизнь директив правительства о максимальном сокращении практики применения краткосрочного заключения и настойчивая необходимость полного осуществления приговоров к долгосрочным, должны привести к переходу от системы ныне существующих мест заключения к системе концлагерей, организованных по типу лагерей ОГПУ, как гарантирующей реально проведение карательной политики и несомненное значительное снижение расходов по содержанию заключенных. </w:t>
      </w:r>
    </w:p>
    <w:p w14:paraId="6A5AFD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связи с тем, что СНК своим постановлением от 1/03–29 г. и ВЦИК от 25/03–29 г. предложили ОГПУ в качестве единовременной меры изолировать в концлагеря ОГПУ около 8000 человек: воров, рецидивистов, уголовников, конокрадов и т п., ныне содержащихся в местах лишения свободы, перед нами стал вопрос о необходимости срочной организации нового концлагеря емкостью примерно в 10 000 человек. </w:t>
      </w:r>
    </w:p>
    <w:p w14:paraId="3FC27C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Увязывая такое положение с вышеизложенными соображениями, мы вносим в СНК следующие предложения: </w:t>
      </w:r>
    </w:p>
    <w:p w14:paraId="23353C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Всех лиц, осужденных на срок от 3-х лет и выше, использовать для колонизации наших северных окраин и разработки имеющихся там природных богатств. </w:t>
      </w:r>
    </w:p>
    <w:p w14:paraId="4C65BE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Для этой цели поручить ОГПУ организовать концлагеря по типу Соловецкого, избрав для них район Олонца, Ухты. </w:t>
      </w:r>
    </w:p>
    <w:p w14:paraId="764ACF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Емкость лагерей определить в 30 000 человек. </w:t>
      </w:r>
    </w:p>
    <w:p w14:paraId="2F18A3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Проведение этих предложений в жизнь даст возможность полностью устранить отмеченные правительством по докладу НКЮ от 26/III-28 г. недостатки и, в первую очередь, поведет к упразднению всех тюрем за исключением мест изоляции для следственных и пересыльных, с значительным снижением расходов по содержанию заключенных с 250 руб. в год на человека до 100 руб. </w:t>
      </w:r>
    </w:p>
    <w:p w14:paraId="5F35DF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Останавливаясь на вопросе срочного изыскания средств для организации нового лагеря в районе Олонца на 10 000 человек, как первого шага к осуществлению наших предложений, с одной стороны, и для исполнения постановления ВЦИК от 25/03 с. г., на организацию лагеря и содержание в течение одного года заключенных испрашивается правительственных ассигнований 2350 тыс. руб. до конца же бюджетного года потребуется 1200 тыс. руб. </w:t>
      </w:r>
    </w:p>
    <w:p w14:paraId="30D7C6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Приступить к организации указанного лагеря нужно не позднее середины мая текущего года. </w:t>
      </w:r>
    </w:p>
    <w:p w14:paraId="60F9B9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Считаем необходимым обратить внимание СНК, что в организации таких лагерей несомненно будут заинтересованы Союзные Республики. </w:t>
      </w:r>
      <w:proofErr w:type="spellStart"/>
      <w:r w:rsidRPr="00A259BD">
        <w:rPr>
          <w:rFonts w:ascii="Times New Roman" w:hAnsi="Times New Roman"/>
          <w:color w:val="000000" w:themeColor="text1"/>
          <w:sz w:val="16"/>
          <w:szCs w:val="16"/>
        </w:rPr>
        <w:t>Наркомюст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Наркомвнудел</w:t>
      </w:r>
      <w:proofErr w:type="spellEnd"/>
      <w:r w:rsidRPr="00A259BD">
        <w:rPr>
          <w:rFonts w:ascii="Times New Roman" w:hAnsi="Times New Roman"/>
          <w:color w:val="000000" w:themeColor="text1"/>
          <w:sz w:val="16"/>
          <w:szCs w:val="16"/>
        </w:rPr>
        <w:t xml:space="preserve">. </w:t>
      </w:r>
    </w:p>
    <w:p w14:paraId="67611632"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Зам. пред. ОГПУ</w:t>
      </w:r>
    </w:p>
    <w:p w14:paraId="129D5C9A"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АПРФ. Ф. 3, Оп.58. Д. 165. Л. 62. Заверенная машинописная копия (12107).</w:t>
      </w:r>
    </w:p>
    <w:p w14:paraId="39F62AA8"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CF370A"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2F7F437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04BF4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13 и 19 апреля 1929. Из протокола заседания Политбюро N75, особая папка, 1929 г.</w:t>
      </w:r>
    </w:p>
    <w:p w14:paraId="3D024F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Японии </w:t>
      </w:r>
    </w:p>
    <w:p w14:paraId="1CB84B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Разрешить т. Пятакову провести негласную операцию по продаже группе Уда потребного ей количества червонцев по льготному курсу до 50 коп. за рубль с тем, что источник покрытия червонного недобора по этой операции будет согласован между Госбанком и </w:t>
      </w:r>
      <w:proofErr w:type="spellStart"/>
      <w:r w:rsidRPr="00A259BD">
        <w:rPr>
          <w:rFonts w:ascii="Times New Roman" w:hAnsi="Times New Roman"/>
          <w:color w:val="000000" w:themeColor="text1"/>
          <w:sz w:val="16"/>
          <w:szCs w:val="16"/>
        </w:rPr>
        <w:t>НКФином</w:t>
      </w:r>
      <w:proofErr w:type="spellEnd"/>
      <w:r w:rsidRPr="00A259BD">
        <w:rPr>
          <w:rFonts w:ascii="Times New Roman" w:hAnsi="Times New Roman"/>
          <w:color w:val="000000" w:themeColor="text1"/>
          <w:sz w:val="16"/>
          <w:szCs w:val="16"/>
        </w:rPr>
        <w:t xml:space="preserve"> (11652).</w:t>
      </w:r>
    </w:p>
    <w:p w14:paraId="6545FB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D6B14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F5B34F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0D1C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апреля 1929 пара Р-1 в Афганистане летала бомбить войска Амануллы-хана, но вместо того, чтобы сбросить бомбы на </w:t>
      </w:r>
      <w:proofErr w:type="spellStart"/>
      <w:r w:rsidRPr="00A259BD">
        <w:rPr>
          <w:rFonts w:ascii="Times New Roman" w:hAnsi="Times New Roman"/>
          <w:color w:val="000000" w:themeColor="text1"/>
          <w:sz w:val="16"/>
          <w:szCs w:val="16"/>
        </w:rPr>
        <w:t>длагерь</w:t>
      </w:r>
      <w:proofErr w:type="spellEnd"/>
      <w:r w:rsidRPr="00A259BD">
        <w:rPr>
          <w:rFonts w:ascii="Times New Roman" w:hAnsi="Times New Roman"/>
          <w:color w:val="000000" w:themeColor="text1"/>
          <w:sz w:val="16"/>
          <w:szCs w:val="16"/>
        </w:rPr>
        <w:t xml:space="preserve"> сбросила их вдали и поприветствовала войска (6594, 18).</w:t>
      </w:r>
    </w:p>
    <w:p w14:paraId="271638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81FBB7"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lastRenderedPageBreak/>
        <w:t>За рубежом:</w:t>
      </w:r>
    </w:p>
    <w:p w14:paraId="07A248F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7D5E9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апреля 1929 в Монте-Карло прошла первая гонка на гран при (3481).</w:t>
      </w:r>
    </w:p>
    <w:p w14:paraId="645954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21E1E3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87AEA1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727B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апреля 1929 Зам. Нач. ВВС писал нач. ВВС П.И.Б. по поводу трудностей в переговорах с фирмой Хейнкель по доработке ХД-37: "Мне до черта надоело... Если Хейнкель на уступки не пойдет - вручу ультиматум и уеду в Москву. Доработанный ХД-37 стал называться ХД-43 (3202,3).</w:t>
      </w:r>
    </w:p>
    <w:p w14:paraId="18ED12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D91006" w14:textId="77777777" w:rsidR="00154C41"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7489795" w14:textId="77777777" w:rsidR="00154C41" w:rsidRPr="00A259BD" w:rsidRDefault="00154C4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6EC346D"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15 апреля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СНК принял постановление «О дополнении постановления СНК о порядке ежегодного планирования промышленности СССР» (12265).</w:t>
      </w:r>
    </w:p>
    <w:p w14:paraId="1EA418D5" w14:textId="77777777" w:rsidR="00154C41" w:rsidRPr="00A259BD" w:rsidRDefault="00154C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1859780D" w14:textId="77777777" w:rsidR="003D3BC7"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3B5F47F1" w14:textId="77777777" w:rsidR="003D3BC7" w:rsidRPr="00A259BD"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57AB63" w14:textId="77777777" w:rsidR="003D3BC7" w:rsidRPr="00A259BD" w:rsidRDefault="003D3BC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апреля 1929 Советско-афганский отряд </w:t>
      </w:r>
      <w:proofErr w:type="spellStart"/>
      <w:r w:rsidRPr="00A259BD">
        <w:rPr>
          <w:rFonts w:ascii="Times New Roman" w:hAnsi="Times New Roman"/>
          <w:color w:val="000000" w:themeColor="text1"/>
          <w:sz w:val="16"/>
          <w:szCs w:val="16"/>
        </w:rPr>
        <w:t>В.Примакова</w:t>
      </w:r>
      <w:proofErr w:type="spellEnd"/>
      <w:r w:rsidRPr="00A259BD">
        <w:rPr>
          <w:rFonts w:ascii="Times New Roman" w:hAnsi="Times New Roman"/>
          <w:color w:val="000000" w:themeColor="text1"/>
          <w:sz w:val="16"/>
          <w:szCs w:val="16"/>
        </w:rPr>
        <w:t xml:space="preserve"> (военного атташе в Афганистане), форсировав Амударью, вторгся на территорию Афганистана из СССР и занял Мазари-Шариф. В начале апреля басмачи </w:t>
      </w:r>
      <w:proofErr w:type="spellStart"/>
      <w:r w:rsidRPr="00A259BD">
        <w:rPr>
          <w:rFonts w:ascii="Times New Roman" w:hAnsi="Times New Roman"/>
          <w:color w:val="000000" w:themeColor="text1"/>
          <w:sz w:val="16"/>
          <w:szCs w:val="16"/>
        </w:rPr>
        <w:t>Джунаид</w:t>
      </w:r>
      <w:proofErr w:type="spellEnd"/>
      <w:r w:rsidRPr="00A259BD">
        <w:rPr>
          <w:rFonts w:ascii="Times New Roman" w:hAnsi="Times New Roman"/>
          <w:color w:val="000000" w:themeColor="text1"/>
          <w:sz w:val="16"/>
          <w:szCs w:val="16"/>
        </w:rPr>
        <w:t xml:space="preserve">-хана (Амануллы) выступили из района Герата к афгано-советской границе. Таким был наш ответ. У Примакова 2 тыс. сабель, пулеметы и парочка орудий. Все одеты по-афгански. Ребята действовали на территории Афганистана полтора месяца. За это время они взяли города Мазари-Шериф, Балх, </w:t>
      </w:r>
      <w:proofErr w:type="spellStart"/>
      <w:r w:rsidRPr="00A259BD">
        <w:rPr>
          <w:rFonts w:ascii="Times New Roman" w:hAnsi="Times New Roman"/>
          <w:color w:val="000000" w:themeColor="text1"/>
          <w:sz w:val="16"/>
          <w:szCs w:val="16"/>
        </w:rPr>
        <w:t>Ташкурган</w:t>
      </w:r>
      <w:proofErr w:type="spellEnd"/>
      <w:r w:rsidRPr="00A259BD">
        <w:rPr>
          <w:rFonts w:ascii="Times New Roman" w:hAnsi="Times New Roman"/>
          <w:color w:val="000000" w:themeColor="text1"/>
          <w:sz w:val="16"/>
          <w:szCs w:val="16"/>
        </w:rPr>
        <w:t xml:space="preserve"> и более мелкие населенные пункты. Примаков, по легенде, действовал под именем Рагиб-бея. В литературе его окрестили "красным Лоуренсом". Когда стало известно, что Аманулла решил прекратить вооруженную борьбу и бежал в Индию, и продолжение экспедиции выглядело бы как агрессия против суверенной страны, Сталин приказал отозвать советские войска. Фильмы про басмачей не показывают всего спектра - прорыв границы сопровождался поддержкой авиации и выброской парашютного десанта. Спецназ рулит! (12629).</w:t>
      </w:r>
    </w:p>
    <w:p w14:paraId="2B56CFB4" w14:textId="77777777" w:rsidR="003D3BC7" w:rsidRPr="00A259BD"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C6B04F5"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70A9F94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CDF80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апреля 1929 в СССР введено государственное пенсионное обеспечение по старости (4962).</w:t>
      </w:r>
    </w:p>
    <w:p w14:paraId="4FB21F4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67D497" w14:textId="77777777" w:rsidR="00DF3B23"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4D539C37" w14:textId="77777777" w:rsidR="00DF3B23" w:rsidRPr="00A259BD" w:rsidRDefault="00DF3B2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B9CD176" w14:textId="77777777" w:rsidR="00DF3B23" w:rsidRPr="00A259BD" w:rsidRDefault="00DF3B2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апреля в 1929 году поднялся в воздух второй прототип учебно-тренировочного самолета «BM-5b» (разработчик: «</w:t>
      </w:r>
      <w:proofErr w:type="spellStart"/>
      <w:r w:rsidRPr="00A259BD">
        <w:rPr>
          <w:rFonts w:ascii="Times New Roman" w:hAnsi="Times New Roman"/>
          <w:color w:val="000000" w:themeColor="text1"/>
          <w:sz w:val="16"/>
          <w:szCs w:val="16"/>
        </w:rPr>
        <w:t>Bartel</w:t>
      </w:r>
      <w:proofErr w:type="spellEnd"/>
      <w:r w:rsidRPr="00A259BD">
        <w:rPr>
          <w:rFonts w:ascii="Times New Roman" w:hAnsi="Times New Roman"/>
          <w:color w:val="000000" w:themeColor="text1"/>
          <w:sz w:val="16"/>
          <w:szCs w:val="16"/>
        </w:rPr>
        <w:t>», Польша). На самолёте установлен двигатель «SPA-6А». По сравнению со своим предшественником он был тяжелее на 60 кг за счет большего запаса топлива. Все изготовленные самолёты отличались двигателями (15100).</w:t>
      </w:r>
    </w:p>
    <w:p w14:paraId="6A1C496C" w14:textId="77777777" w:rsidR="00DF3B23" w:rsidRPr="00A259BD" w:rsidRDefault="00DF3B23" w:rsidP="009236E3">
      <w:pPr>
        <w:spacing w:after="0" w:line="240" w:lineRule="auto"/>
        <w:jc w:val="both"/>
        <w:rPr>
          <w:rFonts w:ascii="Times New Roman" w:hAnsi="Times New Roman"/>
          <w:color w:val="000000" w:themeColor="text1"/>
          <w:sz w:val="16"/>
          <w:szCs w:val="16"/>
        </w:rPr>
      </w:pPr>
    </w:p>
    <w:p w14:paraId="5A399ED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F90239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7B2C8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апреля 1929 вышел и 17 апреля был получен в ЦАГИ за N 393 проект постановления объединенного заседания РВС и Президиума ВСНХ по докладу УВВС по опытному строительству УВВС (351).</w:t>
      </w:r>
    </w:p>
    <w:p w14:paraId="70BB07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21A43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апреля 1929 Дубенским был подготовлен Проект Постановления объединенного заседания РВС и Президиума ВСНХ по докладу УВВС по опытному строительству.</w:t>
      </w:r>
    </w:p>
    <w:p w14:paraId="54A565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34CAE6"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4C58D81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7677B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16-23 апреля 1929 Пленум ЦК ВКП(б) снял </w:t>
      </w:r>
      <w:proofErr w:type="spellStart"/>
      <w:r w:rsidRPr="00A259BD">
        <w:rPr>
          <w:rFonts w:ascii="Times New Roman" w:hAnsi="Times New Roman"/>
          <w:color w:val="000000" w:themeColor="text1"/>
          <w:sz w:val="16"/>
          <w:szCs w:val="16"/>
        </w:rPr>
        <w:t>Н.И.Бухарина</w:t>
      </w:r>
      <w:proofErr w:type="spellEnd"/>
      <w:r w:rsidRPr="00A259BD">
        <w:rPr>
          <w:rFonts w:ascii="Times New Roman" w:hAnsi="Times New Roman"/>
          <w:color w:val="000000" w:themeColor="text1"/>
          <w:sz w:val="16"/>
          <w:szCs w:val="16"/>
        </w:rPr>
        <w:t xml:space="preserve"> с постов в Правде и в Коминтерне (1348,119).</w:t>
      </w:r>
    </w:p>
    <w:p w14:paraId="280CA6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86027EF" w14:textId="77777777" w:rsidR="003D3BC7" w:rsidRPr="00A259BD" w:rsidRDefault="003D3BC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апреля 1929 открылся Пленум ЦК, на котором осуждался «правый уклон». Оппозиционеров смещают с государственных постов. Томский ушел из профсоюзов, Бухарина сняли с газеты "Правда" и руководства Коминтерном (очень болезненно для его кармана), Рыков ушел с поста председателя СНК (сменил его Молотов). Из речи Сталина на пленуме. "О наших хлебных затруднениях тут наговорили кучу небылиц. А главные моменты упустили из виду. Забыли о том, что в этом году мы собрали ржи и пшеницы, - я говорю о валовом сборе урожая, - миллионов на 500-600 пуд. меньше, чем в прошлом году... Может быть, в этом виновата политика ЦК? Нет, политика ЦК здесь ни при чем. Объясняется это серьезным неурожаем в степной зоне Украины (заморозки и засуха) и неурожаем на Северном Кавказе, в Центрально-Черноземной области, в Северо-Западной области. Этим и объясняется, что в прошлом году на 1 апреля мы заготовили хлеба на Украине (ржи и пшеницы) 200 млн. пуд., а в этом году - всего лишь 26-27 </w:t>
      </w:r>
      <w:proofErr w:type="spellStart"/>
      <w:r w:rsidRPr="00A259BD">
        <w:rPr>
          <w:rFonts w:ascii="Times New Roman" w:hAnsi="Times New Roman"/>
          <w:color w:val="000000" w:themeColor="text1"/>
          <w:sz w:val="16"/>
          <w:szCs w:val="16"/>
        </w:rPr>
        <w:t>млн.пуд</w:t>
      </w:r>
      <w:proofErr w:type="spellEnd"/>
      <w:r w:rsidRPr="00A259BD">
        <w:rPr>
          <w:rFonts w:ascii="Times New Roman" w:hAnsi="Times New Roman"/>
          <w:color w:val="000000" w:themeColor="text1"/>
          <w:sz w:val="16"/>
          <w:szCs w:val="16"/>
        </w:rPr>
        <w:t xml:space="preserve">. Этим же следует объяснить падением хлебозаготовок по ЦЧО почти в 8 раз и по Северному Кавказу - в 4 раза. На востоке же хлебозаготовки выросли за этот год почти вдвое. Но они не могли покрыть, и не покрыли, конечно, той недостачи хлеба, которая была у нас на Украине, на Северном Кавказе и в ЦЧО. Не следует забывать, что при нормальных урожаях Украина и Северный Кавказ заготавливают почти половину всего заготавливаемого хлеба по СССР. Странно, что это обстоятельство упустил из виду Рыков...". Обратите внимание, Рыкова уже не называют товарищем (12629). </w:t>
      </w:r>
    </w:p>
    <w:p w14:paraId="6BE8A1F6" w14:textId="77777777" w:rsidR="003D3BC7" w:rsidRPr="00A259BD"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9A45AA"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76F68C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3169B42" w14:textId="77777777" w:rsidR="000F1133" w:rsidRPr="00A259BD" w:rsidRDefault="000F113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апреля 1929 - Первый полет </w:t>
      </w:r>
      <w:proofErr w:type="spellStart"/>
      <w:r w:rsidRPr="00A259BD">
        <w:rPr>
          <w:rFonts w:ascii="Times New Roman" w:hAnsi="Times New Roman"/>
          <w:color w:val="000000" w:themeColor="text1"/>
          <w:sz w:val="16"/>
          <w:szCs w:val="16"/>
        </w:rPr>
        <w:t>Short</w:t>
      </w:r>
      <w:proofErr w:type="spellEnd"/>
      <w:r w:rsidRPr="00A259BD">
        <w:rPr>
          <w:rFonts w:ascii="Times New Roman" w:hAnsi="Times New Roman"/>
          <w:color w:val="000000" w:themeColor="text1"/>
          <w:sz w:val="16"/>
          <w:szCs w:val="16"/>
        </w:rPr>
        <w:t xml:space="preserve"> S.10 </w:t>
      </w:r>
      <w:proofErr w:type="spellStart"/>
      <w:r w:rsidRPr="00A259BD">
        <w:rPr>
          <w:rFonts w:ascii="Times New Roman" w:hAnsi="Times New Roman"/>
          <w:color w:val="000000" w:themeColor="text1"/>
          <w:sz w:val="16"/>
          <w:szCs w:val="16"/>
        </w:rPr>
        <w:t>Gurnard</w:t>
      </w:r>
      <w:proofErr w:type="spellEnd"/>
      <w:r w:rsidRPr="00A259BD">
        <w:rPr>
          <w:rFonts w:ascii="Times New Roman" w:hAnsi="Times New Roman"/>
          <w:color w:val="000000" w:themeColor="text1"/>
          <w:sz w:val="16"/>
          <w:szCs w:val="16"/>
        </w:rPr>
        <w:t xml:space="preserve">. Пилот Джон </w:t>
      </w:r>
      <w:proofErr w:type="spellStart"/>
      <w:r w:rsidRPr="00A259BD">
        <w:rPr>
          <w:rFonts w:ascii="Times New Roman" w:hAnsi="Times New Roman"/>
          <w:color w:val="000000" w:themeColor="text1"/>
          <w:sz w:val="16"/>
          <w:szCs w:val="16"/>
        </w:rPr>
        <w:t>Ланкестер</w:t>
      </w:r>
      <w:proofErr w:type="spellEnd"/>
      <w:r w:rsidRPr="00A259BD">
        <w:rPr>
          <w:rFonts w:ascii="Times New Roman" w:hAnsi="Times New Roman"/>
          <w:color w:val="000000" w:themeColor="text1"/>
          <w:sz w:val="16"/>
          <w:szCs w:val="16"/>
        </w:rPr>
        <w:t xml:space="preserve"> Паркер. Это истребитель-гидросамолет, разработанный английской фирмой </w:t>
      </w:r>
      <w:proofErr w:type="spellStart"/>
      <w:r w:rsidRPr="00A259BD">
        <w:rPr>
          <w:rFonts w:ascii="Times New Roman" w:hAnsi="Times New Roman"/>
          <w:color w:val="000000" w:themeColor="text1"/>
          <w:sz w:val="16"/>
          <w:szCs w:val="16"/>
        </w:rPr>
        <w:t>Shorts</w:t>
      </w:r>
      <w:proofErr w:type="spellEnd"/>
      <w:r w:rsidRPr="00A259BD">
        <w:rPr>
          <w:rFonts w:ascii="Times New Roman" w:hAnsi="Times New Roman"/>
          <w:color w:val="000000" w:themeColor="text1"/>
          <w:sz w:val="16"/>
          <w:szCs w:val="16"/>
        </w:rPr>
        <w:t xml:space="preserve">. S.10 представлял собой истребитель-разведчик корабельной авиации, стартующий при помощи катапульты. Было изготовлено два экземпляра самолета </w:t>
      </w:r>
      <w:proofErr w:type="spellStart"/>
      <w:r w:rsidRPr="00A259BD">
        <w:rPr>
          <w:rFonts w:ascii="Times New Roman" w:hAnsi="Times New Roman"/>
          <w:color w:val="000000" w:themeColor="text1"/>
          <w:sz w:val="16"/>
          <w:szCs w:val="16"/>
        </w:rPr>
        <w:t>Gurnard</w:t>
      </w:r>
      <w:proofErr w:type="spellEnd"/>
      <w:r w:rsidRPr="00A259BD">
        <w:rPr>
          <w:rFonts w:ascii="Times New Roman" w:hAnsi="Times New Roman"/>
          <w:color w:val="000000" w:themeColor="text1"/>
          <w:sz w:val="16"/>
          <w:szCs w:val="16"/>
        </w:rPr>
        <w:t xml:space="preserve"> I (сухопутный вариант с колесным шасси) и </w:t>
      </w:r>
      <w:proofErr w:type="spellStart"/>
      <w:r w:rsidRPr="00A259BD">
        <w:rPr>
          <w:rFonts w:ascii="Times New Roman" w:hAnsi="Times New Roman"/>
          <w:color w:val="000000" w:themeColor="text1"/>
          <w:sz w:val="16"/>
          <w:szCs w:val="16"/>
        </w:rPr>
        <w:t>Gurnard</w:t>
      </w:r>
      <w:proofErr w:type="spellEnd"/>
      <w:r w:rsidRPr="00A259BD">
        <w:rPr>
          <w:rFonts w:ascii="Times New Roman" w:hAnsi="Times New Roman"/>
          <w:color w:val="000000" w:themeColor="text1"/>
          <w:sz w:val="16"/>
          <w:szCs w:val="16"/>
        </w:rPr>
        <w:t xml:space="preserve"> II. На них были установлены двигатели Bristol </w:t>
      </w:r>
      <w:proofErr w:type="spellStart"/>
      <w:r w:rsidRPr="00A259BD">
        <w:rPr>
          <w:rFonts w:ascii="Times New Roman" w:hAnsi="Times New Roman"/>
          <w:color w:val="000000" w:themeColor="text1"/>
          <w:sz w:val="16"/>
          <w:szCs w:val="16"/>
        </w:rPr>
        <w:t>Jupiter</w:t>
      </w:r>
      <w:proofErr w:type="spellEnd"/>
      <w:r w:rsidRPr="00A259BD">
        <w:rPr>
          <w:rFonts w:ascii="Times New Roman" w:hAnsi="Times New Roman"/>
          <w:color w:val="000000" w:themeColor="text1"/>
          <w:sz w:val="16"/>
          <w:szCs w:val="16"/>
        </w:rPr>
        <w:t xml:space="preserve"> Х и Rolls-Royce </w:t>
      </w:r>
      <w:proofErr w:type="spellStart"/>
      <w:r w:rsidRPr="00A259BD">
        <w:rPr>
          <w:rFonts w:ascii="Times New Roman" w:hAnsi="Times New Roman"/>
          <w:color w:val="000000" w:themeColor="text1"/>
          <w:sz w:val="16"/>
          <w:szCs w:val="16"/>
        </w:rPr>
        <w:t>Kestrel</w:t>
      </w:r>
      <w:proofErr w:type="spellEnd"/>
      <w:r w:rsidRPr="00A259BD">
        <w:rPr>
          <w:rFonts w:ascii="Times New Roman" w:hAnsi="Times New Roman"/>
          <w:color w:val="000000" w:themeColor="text1"/>
          <w:sz w:val="16"/>
          <w:szCs w:val="16"/>
        </w:rPr>
        <w:t xml:space="preserve"> II соответственно. Первым в воздух в этот день поднялся </w:t>
      </w:r>
      <w:proofErr w:type="spellStart"/>
      <w:r w:rsidRPr="00A259BD">
        <w:rPr>
          <w:rFonts w:ascii="Times New Roman" w:hAnsi="Times New Roman"/>
          <w:color w:val="000000" w:themeColor="text1"/>
          <w:sz w:val="16"/>
          <w:szCs w:val="16"/>
        </w:rPr>
        <w:t>Gurnard</w:t>
      </w:r>
      <w:proofErr w:type="spellEnd"/>
      <w:r w:rsidRPr="00A259BD">
        <w:rPr>
          <w:rFonts w:ascii="Times New Roman" w:hAnsi="Times New Roman"/>
          <w:color w:val="000000" w:themeColor="text1"/>
          <w:sz w:val="16"/>
          <w:szCs w:val="16"/>
        </w:rPr>
        <w:t xml:space="preserve"> II.</w:t>
      </w:r>
    </w:p>
    <w:p w14:paraId="054F027B" w14:textId="77777777" w:rsidR="000F1133" w:rsidRPr="00A259BD" w:rsidRDefault="000F113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 время испытаний самолеты показали себя тяжелыми в управлении и маломаневренными, что было большим недостатком для истребителя и Адмиралтейства Великобритании отказалась от этого самолета в пользу </w:t>
      </w:r>
      <w:proofErr w:type="spellStart"/>
      <w:r w:rsidRPr="00A259BD">
        <w:rPr>
          <w:rFonts w:ascii="Times New Roman" w:hAnsi="Times New Roman"/>
          <w:color w:val="000000" w:themeColor="text1"/>
          <w:sz w:val="16"/>
          <w:szCs w:val="16"/>
        </w:rPr>
        <w:t>Hawker</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Osprey</w:t>
      </w:r>
      <w:proofErr w:type="spellEnd"/>
      <w:r w:rsidRPr="00A259BD">
        <w:rPr>
          <w:rFonts w:ascii="Times New Roman" w:hAnsi="Times New Roman"/>
          <w:color w:val="000000" w:themeColor="text1"/>
          <w:sz w:val="16"/>
          <w:szCs w:val="16"/>
        </w:rPr>
        <w:t xml:space="preserve"> (22533).</w:t>
      </w:r>
    </w:p>
    <w:p w14:paraId="431ED172" w14:textId="77777777" w:rsidR="000F1133" w:rsidRPr="00A259BD" w:rsidRDefault="000F1133" w:rsidP="009236E3">
      <w:pPr>
        <w:spacing w:after="0" w:line="240" w:lineRule="auto"/>
        <w:jc w:val="both"/>
        <w:rPr>
          <w:rFonts w:ascii="Times New Roman" w:hAnsi="Times New Roman"/>
          <w:color w:val="000000" w:themeColor="text1"/>
          <w:sz w:val="16"/>
          <w:szCs w:val="16"/>
        </w:rPr>
      </w:pPr>
    </w:p>
    <w:p w14:paraId="08140C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апреля 1929 в Голливуде впервые был присужден Оскар (3186).</w:t>
      </w:r>
    </w:p>
    <w:p w14:paraId="041DA8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0C405B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B1AEF0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351B5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апреля 1929 был получен в ЦАГИ за N 393 проект постановления объединенного заседания РВС и Президиума ВСНХ по докладу УВВС по опытному строительству УВВС (351).</w:t>
      </w:r>
    </w:p>
    <w:p w14:paraId="00B8EE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93AA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апреля 1929 ТО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(или НК УВВС) направил с письмом N 182/03117 протокол макетной комиссии по ТОМ Ришара (2363).</w:t>
      </w:r>
    </w:p>
    <w:p w14:paraId="290298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F1C368" w14:textId="77777777" w:rsidR="000F1133" w:rsidRPr="00A259BD" w:rsidRDefault="000F113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shd w:val="clear" w:color="auto" w:fill="FFFFFF"/>
        </w:rPr>
        <w:t xml:space="preserve">17 апреля 1929 закончились зимние полеты на линии Иркутск – </w:t>
      </w:r>
      <w:proofErr w:type="spellStart"/>
      <w:r w:rsidRPr="00A259BD">
        <w:rPr>
          <w:rFonts w:ascii="Times New Roman" w:hAnsi="Times New Roman"/>
          <w:color w:val="000000" w:themeColor="text1"/>
          <w:sz w:val="16"/>
          <w:szCs w:val="16"/>
          <w:shd w:val="clear" w:color="auto" w:fill="FFFFFF"/>
        </w:rPr>
        <w:t>Бадайбо</w:t>
      </w:r>
      <w:proofErr w:type="spellEnd"/>
      <w:r w:rsidRPr="00A259BD">
        <w:rPr>
          <w:rFonts w:ascii="Times New Roman" w:hAnsi="Times New Roman"/>
          <w:color w:val="000000" w:themeColor="text1"/>
          <w:sz w:val="16"/>
          <w:szCs w:val="16"/>
          <w:shd w:val="clear" w:color="auto" w:fill="FFFFFF"/>
        </w:rPr>
        <w:t xml:space="preserve"> м Иркутск – Якутск. </w:t>
      </w:r>
      <w:bookmarkStart w:id="35" w:name="_Hlk79476836"/>
      <w:r w:rsidRPr="00A259BD">
        <w:rPr>
          <w:rFonts w:ascii="Times New Roman" w:hAnsi="Times New Roman"/>
          <w:color w:val="000000" w:themeColor="text1"/>
          <w:sz w:val="16"/>
          <w:szCs w:val="16"/>
          <w:shd w:val="clear" w:color="auto" w:fill="FFFFFF"/>
        </w:rPr>
        <w:t xml:space="preserve">С середины марта из-за таяния снега каждый самолет, вылетая из Иркутска на лыжах, вез с собой колеса, которые оставляли в </w:t>
      </w:r>
      <w:proofErr w:type="spellStart"/>
      <w:r w:rsidRPr="00A259BD">
        <w:rPr>
          <w:rFonts w:ascii="Times New Roman" w:hAnsi="Times New Roman"/>
          <w:color w:val="000000" w:themeColor="text1"/>
          <w:sz w:val="16"/>
          <w:szCs w:val="16"/>
          <w:shd w:val="clear" w:color="auto" w:fill="FFFFFF"/>
        </w:rPr>
        <w:t>Грузновке</w:t>
      </w:r>
      <w:proofErr w:type="spellEnd"/>
      <w:r w:rsidRPr="00A259BD">
        <w:rPr>
          <w:rFonts w:ascii="Times New Roman" w:hAnsi="Times New Roman"/>
          <w:color w:val="000000" w:themeColor="text1"/>
          <w:sz w:val="16"/>
          <w:szCs w:val="16"/>
          <w:shd w:val="clear" w:color="auto" w:fill="FFFFFF"/>
        </w:rPr>
        <w:t xml:space="preserve">. На обратном пути самолеты здесь «переобували», и летчики производили посадку в Иркутске на колесах. За три зимних месяца было выполнено 10 рейсов в Якутск и 7 в Бодайбо; 83 пассажира и 1600 кг почты и грузов перевезли </w:t>
      </w:r>
      <w:proofErr w:type="spellStart"/>
      <w:r w:rsidRPr="00A259BD">
        <w:rPr>
          <w:rFonts w:ascii="Times New Roman" w:hAnsi="Times New Roman"/>
          <w:color w:val="000000" w:themeColor="text1"/>
          <w:sz w:val="16"/>
          <w:szCs w:val="16"/>
          <w:shd w:val="clear" w:color="auto" w:fill="FFFFFF"/>
        </w:rPr>
        <w:t>ирк</w:t>
      </w:r>
      <w:proofErr w:type="spellEnd"/>
      <w:r w:rsidRPr="00A259BD">
        <w:rPr>
          <w:rFonts w:ascii="Times New Roman" w:hAnsi="Times New Roman"/>
          <w:color w:val="000000" w:themeColor="text1"/>
          <w:sz w:val="16"/>
          <w:szCs w:val="16"/>
          <w:shd w:val="clear" w:color="auto" w:fill="FFFFFF"/>
        </w:rPr>
        <w:t>. Авиаторы (21429).</w:t>
      </w:r>
    </w:p>
    <w:bookmarkEnd w:id="35"/>
    <w:p w14:paraId="14E23D68" w14:textId="77777777" w:rsidR="000F1133" w:rsidRPr="00A259BD" w:rsidRDefault="000F1133" w:rsidP="009236E3">
      <w:pPr>
        <w:spacing w:after="0" w:line="240" w:lineRule="auto"/>
        <w:jc w:val="both"/>
        <w:rPr>
          <w:rFonts w:ascii="Times New Roman" w:hAnsi="Times New Roman"/>
          <w:color w:val="000000" w:themeColor="text1"/>
          <w:sz w:val="16"/>
          <w:szCs w:val="16"/>
        </w:rPr>
      </w:pPr>
    </w:p>
    <w:p w14:paraId="63ACAA8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217679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ED14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апреля 1929 состоялось заседание в Секторе оборонной промышленности Госплана СССР по уточнению 5 летнего плана развития ГА. Слушали доклад Пред.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Окромешко</w:t>
      </w:r>
      <w:proofErr w:type="spellEnd"/>
      <w:r w:rsidRPr="00A259BD">
        <w:rPr>
          <w:rFonts w:ascii="Times New Roman" w:hAnsi="Times New Roman"/>
          <w:color w:val="000000" w:themeColor="text1"/>
          <w:sz w:val="16"/>
          <w:szCs w:val="16"/>
        </w:rPr>
        <w:t xml:space="preserve"> о плане </w:t>
      </w:r>
      <w:proofErr w:type="spellStart"/>
      <w:r w:rsidRPr="00A259BD">
        <w:rPr>
          <w:rFonts w:ascii="Times New Roman" w:hAnsi="Times New Roman"/>
          <w:color w:val="000000" w:themeColor="text1"/>
          <w:sz w:val="16"/>
          <w:szCs w:val="16"/>
        </w:rPr>
        <w:t>самолето</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мотостроения</w:t>
      </w:r>
      <w:proofErr w:type="spellEnd"/>
      <w:r w:rsidRPr="00A259BD">
        <w:rPr>
          <w:rFonts w:ascii="Times New Roman" w:hAnsi="Times New Roman"/>
          <w:color w:val="000000" w:themeColor="text1"/>
          <w:sz w:val="16"/>
          <w:szCs w:val="16"/>
        </w:rPr>
        <w:t xml:space="preserve"> для ГА и содоклад </w:t>
      </w:r>
      <w:proofErr w:type="spellStart"/>
      <w:r w:rsidRPr="00A259BD">
        <w:rPr>
          <w:rFonts w:ascii="Times New Roman" w:hAnsi="Times New Roman"/>
          <w:color w:val="000000" w:themeColor="text1"/>
          <w:sz w:val="16"/>
          <w:szCs w:val="16"/>
        </w:rPr>
        <w:t>Зарзара</w:t>
      </w:r>
      <w:proofErr w:type="spellEnd"/>
      <w:r w:rsidRPr="00A259BD">
        <w:rPr>
          <w:rFonts w:ascii="Times New Roman" w:hAnsi="Times New Roman"/>
          <w:color w:val="000000" w:themeColor="text1"/>
          <w:sz w:val="16"/>
          <w:szCs w:val="16"/>
        </w:rPr>
        <w:t>. Постановили признать целесообразным объединение всей АП (за исключением ремонтной) как военной, так и гражданской - в одних руках - ВСНХ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но при условии, чтобы не пострадали интересы НКВМ и ГА...(2341,111).</w:t>
      </w:r>
    </w:p>
    <w:p w14:paraId="5026D9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69D5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апреля 1929 </w:t>
      </w:r>
      <w:proofErr w:type="spellStart"/>
      <w:r w:rsidRPr="00A259BD">
        <w:rPr>
          <w:rFonts w:ascii="Times New Roman" w:hAnsi="Times New Roman"/>
          <w:color w:val="000000" w:themeColor="text1"/>
          <w:sz w:val="16"/>
          <w:szCs w:val="16"/>
        </w:rPr>
        <w:t>В.П.Глушко</w:t>
      </w:r>
      <w:proofErr w:type="spellEnd"/>
      <w:r w:rsidRPr="00A259BD">
        <w:rPr>
          <w:rFonts w:ascii="Times New Roman" w:hAnsi="Times New Roman"/>
          <w:color w:val="000000" w:themeColor="text1"/>
          <w:sz w:val="16"/>
          <w:szCs w:val="16"/>
        </w:rPr>
        <w:t xml:space="preserve"> представил в Комитет по делам изобретательства работу "Металл как взрывчатое вещество" - изложил принцип двигателя электротермического типа (2528).</w:t>
      </w:r>
    </w:p>
    <w:p w14:paraId="602D9A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91D8D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638C5D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0993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 апреля 1929 ГК ОПО-4 Ришар с письмом N 7/64с направил в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ориентировочную смету на МР-5 (240000 руб.) (2365,117).</w:t>
      </w:r>
    </w:p>
    <w:p w14:paraId="496304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B14F56" w14:textId="77777777" w:rsidR="00154C41"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B3D7B19" w14:textId="77777777" w:rsidR="00154C41" w:rsidRPr="00A259BD" w:rsidRDefault="00154C4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0A83470" w14:textId="77777777" w:rsidR="00154C41" w:rsidRPr="00A259BD" w:rsidRDefault="00154C41"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19 апреля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xml:space="preserve">. Протокол заседания Политбюро ЦК ВКП(б) № 75 (73). 1. Вопрос Урываева. (Рыков, Куйбышев, </w:t>
      </w:r>
      <w:proofErr w:type="spellStart"/>
      <w:r w:rsidRPr="00A259BD">
        <w:rPr>
          <w:rFonts w:ascii="Times New Roman" w:hAnsi="Times New Roman"/>
          <w:color w:val="000000" w:themeColor="text1"/>
          <w:sz w:val="16"/>
          <w:szCs w:val="16"/>
          <w:u w:color="002060"/>
        </w:rPr>
        <w:t>Толоконцев</w:t>
      </w:r>
      <w:proofErr w:type="spellEnd"/>
      <w:r w:rsidRPr="00A259BD">
        <w:rPr>
          <w:rFonts w:ascii="Times New Roman" w:hAnsi="Times New Roman"/>
          <w:color w:val="000000" w:themeColor="text1"/>
          <w:sz w:val="16"/>
          <w:szCs w:val="16"/>
          <w:u w:color="002060"/>
        </w:rPr>
        <w:t>, Урываев). Постановили: принципиально принять предложение ВСНХ о заключении договора с Круппом о технической помощи по специальным сталям и военным конструкциям, разделив договор на две части — мирную и военную; б) поручить ВСНХ добиваться снижения запрошенной фирмой суммы платы за техпомощь; в) по отношению к военной части договора считать необходимым зафиксированное заявление германского правительства в том, что оно осведомлено о договоре и не возражает против него; г) предусмотреть в военной части договора организацию силами фирмы Круппа конструкторского бюро, считая более целесообразным организацию этого бюро в СССР. Наряду с этим обеспечить посылку наших специалистов военного производства для обучения этому делу на предприятия и заводы Круппа. (РГАСПИ. Ф. 17. Оп. 162. Д. 7. Л. 70) (12416).</w:t>
      </w:r>
    </w:p>
    <w:p w14:paraId="5FF09C08" w14:textId="77777777" w:rsidR="00154C41" w:rsidRPr="00A259BD" w:rsidRDefault="00154C41" w:rsidP="009236E3">
      <w:pPr>
        <w:spacing w:after="0" w:line="240" w:lineRule="auto"/>
        <w:jc w:val="both"/>
        <w:rPr>
          <w:rFonts w:ascii="Times New Roman" w:hAnsi="Times New Roman"/>
          <w:color w:val="000000" w:themeColor="text1"/>
          <w:sz w:val="16"/>
          <w:szCs w:val="16"/>
          <w:u w:color="002060"/>
        </w:rPr>
      </w:pPr>
    </w:p>
    <w:p w14:paraId="39291647" w14:textId="77777777" w:rsidR="000F1133" w:rsidRPr="00A259BD" w:rsidRDefault="000F113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апреля 1929 состоялось заседание ПБ (Протокол № 75. Особый № 76)</w:t>
      </w:r>
    </w:p>
    <w:p w14:paraId="784878A2" w14:textId="77777777" w:rsidR="000F1133" w:rsidRPr="00A259BD" w:rsidRDefault="000F113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Вопрос </w:t>
      </w:r>
      <w:proofErr w:type="spellStart"/>
      <w:r w:rsidRPr="00A259BD">
        <w:rPr>
          <w:rFonts w:ascii="Times New Roman" w:hAnsi="Times New Roman"/>
          <w:color w:val="000000" w:themeColor="text1"/>
          <w:sz w:val="16"/>
          <w:szCs w:val="16"/>
        </w:rPr>
        <w:t>т.Урываева</w:t>
      </w:r>
      <w:proofErr w:type="spellEnd"/>
      <w:r w:rsidRPr="00A259BD">
        <w:rPr>
          <w:rFonts w:ascii="Times New Roman" w:hAnsi="Times New Roman"/>
          <w:color w:val="000000" w:themeColor="text1"/>
          <w:sz w:val="16"/>
          <w:szCs w:val="16"/>
        </w:rPr>
        <w:t>.</w:t>
      </w:r>
    </w:p>
    <w:p w14:paraId="0F48CCB3" w14:textId="77777777" w:rsidR="000F1133" w:rsidRPr="00A259BD" w:rsidRDefault="000F113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Рыков, Куйбышев,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Урываев).</w:t>
      </w:r>
    </w:p>
    <w:p w14:paraId="76E1AD97" w14:textId="77777777" w:rsidR="000F1133" w:rsidRPr="00A259BD" w:rsidRDefault="000F113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Принципиально принять предложений ВСНХ о заключении договора с Круппом о технической помощи по специальным ста</w:t>
      </w:r>
      <w:r w:rsidRPr="00A259BD">
        <w:rPr>
          <w:rFonts w:ascii="Times New Roman" w:hAnsi="Times New Roman"/>
          <w:color w:val="000000" w:themeColor="text1"/>
          <w:sz w:val="16"/>
          <w:szCs w:val="16"/>
        </w:rPr>
        <w:softHyphen/>
        <w:t>лям и военным конструкциям, разделив договор на две части, мирную я военную.</w:t>
      </w:r>
    </w:p>
    <w:p w14:paraId="4ACD6D65" w14:textId="77777777" w:rsidR="000F1133" w:rsidRPr="00A259BD" w:rsidRDefault="000F113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Поручить ВСНХ добиваться снижения запрошенной фирмой суммы платы за техпомощь.</w:t>
      </w:r>
    </w:p>
    <w:p w14:paraId="45EA9920" w14:textId="77777777" w:rsidR="000F1133" w:rsidRPr="00A259BD" w:rsidRDefault="000F113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 отношению к военной части договора считать необхо</w:t>
      </w:r>
      <w:r w:rsidRPr="00A259BD">
        <w:rPr>
          <w:rFonts w:ascii="Times New Roman" w:hAnsi="Times New Roman"/>
          <w:color w:val="000000" w:themeColor="text1"/>
          <w:sz w:val="16"/>
          <w:szCs w:val="16"/>
        </w:rPr>
        <w:softHyphen/>
        <w:t>димым зафиксированное заявление германского правительства о тон, что оно осведомлено о договоре и не возражает него.</w:t>
      </w:r>
    </w:p>
    <w:p w14:paraId="54014DDF" w14:textId="77777777" w:rsidR="000F1133" w:rsidRPr="00A259BD" w:rsidRDefault="000F113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Предусмотреть ь военной части договора организацию си</w:t>
      </w:r>
      <w:r w:rsidRPr="00A259BD">
        <w:rPr>
          <w:rFonts w:ascii="Times New Roman" w:hAnsi="Times New Roman"/>
          <w:color w:val="000000" w:themeColor="text1"/>
          <w:sz w:val="16"/>
          <w:szCs w:val="16"/>
        </w:rPr>
        <w:softHyphen/>
        <w:t>лами ;</w:t>
      </w:r>
      <w:proofErr w:type="spellStart"/>
      <w:r w:rsidRPr="00A259BD">
        <w:rPr>
          <w:rFonts w:ascii="Times New Roman" w:hAnsi="Times New Roman"/>
          <w:color w:val="000000" w:themeColor="text1"/>
          <w:sz w:val="16"/>
          <w:szCs w:val="16"/>
        </w:rPr>
        <w:t>ирмы</w:t>
      </w:r>
      <w:proofErr w:type="spellEnd"/>
      <w:r w:rsidRPr="00A259BD">
        <w:rPr>
          <w:rFonts w:ascii="Times New Roman" w:hAnsi="Times New Roman"/>
          <w:color w:val="000000" w:themeColor="text1"/>
          <w:sz w:val="16"/>
          <w:szCs w:val="16"/>
        </w:rPr>
        <w:t xml:space="preserve"> Круппа конструкторского бюро, считая более целе</w:t>
      </w:r>
      <w:r w:rsidRPr="00A259BD">
        <w:rPr>
          <w:rFonts w:ascii="Times New Roman" w:hAnsi="Times New Roman"/>
          <w:color w:val="000000" w:themeColor="text1"/>
          <w:sz w:val="16"/>
          <w:szCs w:val="16"/>
        </w:rPr>
        <w:softHyphen/>
        <w:t xml:space="preserve">сообразным организацию этого бюро в </w:t>
      </w:r>
      <w:proofErr w:type="spellStart"/>
      <w:r w:rsidRPr="00A259BD">
        <w:rPr>
          <w:rFonts w:ascii="Times New Roman" w:hAnsi="Times New Roman"/>
          <w:color w:val="000000" w:themeColor="text1"/>
          <w:sz w:val="16"/>
          <w:szCs w:val="16"/>
        </w:rPr>
        <w:t>СССг</w:t>
      </w:r>
      <w:proofErr w:type="spellEnd"/>
      <w:r w:rsidRPr="00A259BD">
        <w:rPr>
          <w:rFonts w:ascii="Times New Roman" w:hAnsi="Times New Roman"/>
          <w:color w:val="000000" w:themeColor="text1"/>
          <w:sz w:val="16"/>
          <w:szCs w:val="16"/>
        </w:rPr>
        <w:t>. Наряду с этим обес</w:t>
      </w:r>
      <w:r w:rsidRPr="00A259BD">
        <w:rPr>
          <w:rFonts w:ascii="Times New Roman" w:hAnsi="Times New Roman"/>
          <w:color w:val="000000" w:themeColor="text1"/>
          <w:sz w:val="16"/>
          <w:szCs w:val="16"/>
        </w:rPr>
        <w:softHyphen/>
        <w:t>печить посылку наших специалистов военного производства для обучения этому делу на предприятия и заводы Круппа.</w:t>
      </w:r>
    </w:p>
    <w:p w14:paraId="51153768" w14:textId="77777777" w:rsidR="000F1133" w:rsidRPr="00A259BD" w:rsidRDefault="000F113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послана: т. Куйбышеву (23081).</w:t>
      </w:r>
    </w:p>
    <w:p w14:paraId="35FB70FD" w14:textId="77777777" w:rsidR="000F1133" w:rsidRPr="00A259BD" w:rsidRDefault="000F1133" w:rsidP="009236E3">
      <w:pPr>
        <w:spacing w:after="0" w:line="240" w:lineRule="auto"/>
        <w:jc w:val="both"/>
        <w:rPr>
          <w:rFonts w:ascii="Times New Roman" w:hAnsi="Times New Roman"/>
          <w:color w:val="000000" w:themeColor="text1"/>
          <w:sz w:val="16"/>
          <w:szCs w:val="16"/>
        </w:rPr>
      </w:pPr>
    </w:p>
    <w:p w14:paraId="2B837E25" w14:textId="066E64CF" w:rsidR="000F0AC0" w:rsidRDefault="000F0AC0" w:rsidP="009236E3">
      <w:pPr>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Армия:</w:t>
      </w:r>
    </w:p>
    <w:p w14:paraId="66FAB506" w14:textId="77777777" w:rsidR="000F0AC0" w:rsidRDefault="000F0AC0"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541E1BE2" w14:textId="77777777" w:rsidR="000F0AC0" w:rsidRPr="006B74EB" w:rsidRDefault="000F0AC0" w:rsidP="000F0AC0">
      <w:pPr>
        <w:spacing w:after="0" w:line="240" w:lineRule="auto"/>
        <w:jc w:val="both"/>
        <w:rPr>
          <w:rFonts w:ascii="Times New Roman" w:hAnsi="Times New Roman"/>
          <w:color w:val="0070C0"/>
          <w:sz w:val="16"/>
          <w:szCs w:val="16"/>
        </w:rPr>
      </w:pPr>
      <w:r>
        <w:rPr>
          <w:rFonts w:ascii="Times New Roman" w:hAnsi="Times New Roman"/>
          <w:color w:val="0070C0"/>
          <w:sz w:val="16"/>
          <w:szCs w:val="16"/>
        </w:rPr>
        <w:t>19</w:t>
      </w:r>
      <w:r w:rsidRPr="006B74EB">
        <w:rPr>
          <w:rFonts w:ascii="Times New Roman" w:hAnsi="Times New Roman"/>
          <w:color w:val="0070C0"/>
          <w:sz w:val="16"/>
          <w:szCs w:val="16"/>
        </w:rPr>
        <w:t xml:space="preserve"> апреля </w:t>
      </w:r>
      <w:r>
        <w:rPr>
          <w:rFonts w:ascii="Times New Roman" w:hAnsi="Times New Roman"/>
          <w:color w:val="0070C0"/>
          <w:sz w:val="16"/>
          <w:szCs w:val="16"/>
        </w:rPr>
        <w:t>1929 г</w:t>
      </w:r>
      <w:r w:rsidRPr="006B74EB">
        <w:rPr>
          <w:rFonts w:ascii="Times New Roman" w:hAnsi="Times New Roman"/>
          <w:color w:val="0070C0"/>
          <w:sz w:val="16"/>
          <w:szCs w:val="16"/>
        </w:rPr>
        <w:t>.</w:t>
      </w:r>
      <w:r>
        <w:rPr>
          <w:rFonts w:ascii="Times New Roman" w:hAnsi="Times New Roman"/>
          <w:color w:val="0070C0"/>
          <w:sz w:val="16"/>
          <w:szCs w:val="16"/>
        </w:rPr>
        <w:t xml:space="preserve"> п</w:t>
      </w:r>
      <w:r w:rsidRPr="006B74EB">
        <w:rPr>
          <w:rFonts w:ascii="Times New Roman" w:hAnsi="Times New Roman"/>
          <w:color w:val="0070C0"/>
          <w:sz w:val="16"/>
          <w:szCs w:val="16"/>
        </w:rPr>
        <w:t xml:space="preserve">риказом РВС СССР № 22 организованы краткосрочные </w:t>
      </w:r>
      <w:r>
        <w:rPr>
          <w:rFonts w:ascii="Times New Roman" w:hAnsi="Times New Roman"/>
          <w:color w:val="0070C0"/>
          <w:sz w:val="16"/>
          <w:szCs w:val="16"/>
        </w:rPr>
        <w:t>«Ку</w:t>
      </w:r>
      <w:r w:rsidRPr="006B74EB">
        <w:rPr>
          <w:rFonts w:ascii="Times New Roman" w:hAnsi="Times New Roman"/>
          <w:color w:val="0070C0"/>
          <w:sz w:val="16"/>
          <w:szCs w:val="16"/>
        </w:rPr>
        <w:t xml:space="preserve">рсы </w:t>
      </w:r>
      <w:proofErr w:type="spellStart"/>
      <w:r w:rsidRPr="006B74EB">
        <w:rPr>
          <w:rFonts w:ascii="Times New Roman" w:hAnsi="Times New Roman"/>
          <w:color w:val="0070C0"/>
          <w:sz w:val="16"/>
          <w:szCs w:val="16"/>
        </w:rPr>
        <w:t>уоовериенствовання</w:t>
      </w:r>
      <w:proofErr w:type="spellEnd"/>
      <w:r w:rsidRPr="006B74EB">
        <w:rPr>
          <w:rFonts w:ascii="Times New Roman" w:hAnsi="Times New Roman"/>
          <w:color w:val="0070C0"/>
          <w:sz w:val="16"/>
          <w:szCs w:val="16"/>
        </w:rPr>
        <w:t xml:space="preserve"> командиров частей и подразделений для Углубления их знаний в области теории и практики летного дела</w:t>
      </w:r>
      <w:r>
        <w:rPr>
          <w:rFonts w:ascii="Times New Roman" w:hAnsi="Times New Roman"/>
          <w:color w:val="0070C0"/>
          <w:sz w:val="16"/>
          <w:szCs w:val="16"/>
        </w:rPr>
        <w:t>»</w:t>
      </w:r>
      <w:r w:rsidRPr="006B74EB">
        <w:rPr>
          <w:rFonts w:ascii="Times New Roman" w:hAnsi="Times New Roman"/>
          <w:color w:val="0070C0"/>
          <w:sz w:val="16"/>
          <w:szCs w:val="16"/>
        </w:rPr>
        <w:t xml:space="preserve">, </w:t>
      </w:r>
      <w:r>
        <w:rPr>
          <w:rFonts w:ascii="Times New Roman" w:hAnsi="Times New Roman"/>
          <w:color w:val="0070C0"/>
          <w:sz w:val="16"/>
          <w:szCs w:val="16"/>
        </w:rPr>
        <w:t>которые</w:t>
      </w:r>
      <w:r w:rsidRPr="006B74EB">
        <w:rPr>
          <w:rFonts w:ascii="Times New Roman" w:hAnsi="Times New Roman"/>
          <w:color w:val="0070C0"/>
          <w:sz w:val="16"/>
          <w:szCs w:val="16"/>
        </w:rPr>
        <w:t xml:space="preserve"> были организованы при 3</w:t>
      </w:r>
      <w:r>
        <w:rPr>
          <w:rFonts w:ascii="Times New Roman" w:hAnsi="Times New Roman"/>
          <w:color w:val="0070C0"/>
          <w:sz w:val="16"/>
          <w:szCs w:val="16"/>
        </w:rPr>
        <w:t>-й</w:t>
      </w:r>
      <w:r w:rsidRPr="006B74EB">
        <w:rPr>
          <w:rFonts w:ascii="Times New Roman" w:hAnsi="Times New Roman"/>
          <w:color w:val="0070C0"/>
          <w:sz w:val="16"/>
          <w:szCs w:val="16"/>
        </w:rPr>
        <w:t xml:space="preserve"> военной школе летчиков.</w:t>
      </w:r>
    </w:p>
    <w:p w14:paraId="2220A045" w14:textId="77777777" w:rsidR="000F0AC0" w:rsidRDefault="000F0AC0" w:rsidP="000F0AC0">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w:t>
      </w:r>
      <w:r>
        <w:rPr>
          <w:rFonts w:ascii="Times New Roman" w:hAnsi="Times New Roman"/>
          <w:color w:val="0070C0"/>
          <w:sz w:val="16"/>
          <w:szCs w:val="16"/>
        </w:rPr>
        <w:t>ЦГАСА</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ф.</w:t>
      </w:r>
      <w:r>
        <w:rPr>
          <w:rFonts w:ascii="Times New Roman" w:hAnsi="Times New Roman"/>
          <w:color w:val="0070C0"/>
          <w:sz w:val="16"/>
          <w:szCs w:val="16"/>
        </w:rPr>
        <w:t xml:space="preserve"> </w:t>
      </w:r>
      <w:r w:rsidRPr="006B74EB">
        <w:rPr>
          <w:rFonts w:ascii="Times New Roman" w:hAnsi="Times New Roman"/>
          <w:color w:val="0070C0"/>
          <w:sz w:val="16"/>
          <w:szCs w:val="16"/>
        </w:rPr>
        <w:t>4,</w:t>
      </w:r>
      <w:r>
        <w:rPr>
          <w:rFonts w:ascii="Times New Roman" w:hAnsi="Times New Roman"/>
          <w:color w:val="0070C0"/>
          <w:sz w:val="16"/>
          <w:szCs w:val="16"/>
        </w:rPr>
        <w:t xml:space="preserve"> </w:t>
      </w:r>
      <w:r w:rsidRPr="006B74EB">
        <w:rPr>
          <w:rFonts w:ascii="Times New Roman" w:hAnsi="Times New Roman"/>
          <w:color w:val="0070C0"/>
          <w:sz w:val="16"/>
          <w:szCs w:val="16"/>
        </w:rPr>
        <w:t>оп.</w:t>
      </w:r>
      <w:r>
        <w:rPr>
          <w:rFonts w:ascii="Times New Roman" w:hAnsi="Times New Roman"/>
          <w:color w:val="0070C0"/>
          <w:sz w:val="16"/>
          <w:szCs w:val="16"/>
        </w:rPr>
        <w:t xml:space="preserve"> </w:t>
      </w:r>
      <w:r w:rsidRPr="006B74EB">
        <w:rPr>
          <w:rFonts w:ascii="Times New Roman" w:hAnsi="Times New Roman"/>
          <w:color w:val="0070C0"/>
          <w:sz w:val="16"/>
          <w:szCs w:val="16"/>
        </w:rPr>
        <w:t>1,</w:t>
      </w:r>
      <w:r>
        <w:rPr>
          <w:rFonts w:ascii="Times New Roman" w:hAnsi="Times New Roman"/>
          <w:color w:val="0070C0"/>
          <w:sz w:val="16"/>
          <w:szCs w:val="16"/>
        </w:rPr>
        <w:t xml:space="preserve"> д</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1481,</w:t>
      </w:r>
      <w:r>
        <w:rPr>
          <w:rFonts w:ascii="Times New Roman" w:hAnsi="Times New Roman"/>
          <w:color w:val="0070C0"/>
          <w:sz w:val="16"/>
          <w:szCs w:val="16"/>
        </w:rPr>
        <w:t xml:space="preserve"> л</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131/</w:t>
      </w:r>
      <w:r>
        <w:rPr>
          <w:rFonts w:ascii="Times New Roman" w:hAnsi="Times New Roman"/>
          <w:color w:val="0070C0"/>
          <w:sz w:val="16"/>
          <w:szCs w:val="16"/>
        </w:rPr>
        <w:t xml:space="preserve"> (23370).</w:t>
      </w:r>
    </w:p>
    <w:p w14:paraId="58B13182" w14:textId="77777777" w:rsidR="000F0AC0" w:rsidRPr="006B74EB" w:rsidRDefault="000F0AC0" w:rsidP="000F0AC0">
      <w:pPr>
        <w:spacing w:after="0" w:line="240" w:lineRule="auto"/>
        <w:jc w:val="both"/>
        <w:rPr>
          <w:rFonts w:ascii="Times New Roman" w:hAnsi="Times New Roman"/>
          <w:color w:val="0070C0"/>
          <w:sz w:val="16"/>
          <w:szCs w:val="16"/>
        </w:rPr>
      </w:pPr>
    </w:p>
    <w:p w14:paraId="2C9EB59A" w14:textId="6E8B098F" w:rsidR="00DF3B23"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FA98E7D" w14:textId="77777777" w:rsidR="00DF3B23" w:rsidRPr="00A259BD" w:rsidRDefault="00DF3B2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CC3E6F" w14:textId="77777777" w:rsidR="00DF3B23" w:rsidRPr="00A259BD" w:rsidRDefault="00DF3B2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апреля в 1929 году заказчику («</w:t>
      </w:r>
      <w:proofErr w:type="spellStart"/>
      <w:r w:rsidRPr="00A259BD">
        <w:rPr>
          <w:rFonts w:ascii="Times New Roman" w:hAnsi="Times New Roman"/>
          <w:color w:val="000000" w:themeColor="text1"/>
          <w:sz w:val="16"/>
          <w:szCs w:val="16"/>
        </w:rPr>
        <w:t>Ostschweizer</w:t>
      </w:r>
      <w:proofErr w:type="spellEnd"/>
      <w:r w:rsidRPr="00A259BD">
        <w:rPr>
          <w:rFonts w:ascii="Times New Roman" w:hAnsi="Times New Roman"/>
          <w:color w:val="000000" w:themeColor="text1"/>
          <w:sz w:val="16"/>
          <w:szCs w:val="16"/>
        </w:rPr>
        <w:t xml:space="preserve"> Aero Gesellschaft St.») передан первый и единственный австрийский легкий самолет «</w:t>
      </w:r>
      <w:proofErr w:type="spellStart"/>
      <w:r w:rsidRPr="00A259BD">
        <w:rPr>
          <w:rFonts w:ascii="Times New Roman" w:hAnsi="Times New Roman"/>
          <w:color w:val="000000" w:themeColor="text1"/>
          <w:sz w:val="16"/>
          <w:szCs w:val="16"/>
        </w:rPr>
        <w:t>Gallen</w:t>
      </w:r>
      <w:proofErr w:type="spellEnd"/>
      <w:r w:rsidRPr="00A259BD">
        <w:rPr>
          <w:rFonts w:ascii="Times New Roman" w:hAnsi="Times New Roman"/>
          <w:color w:val="000000" w:themeColor="text1"/>
          <w:sz w:val="16"/>
          <w:szCs w:val="16"/>
        </w:rPr>
        <w:t xml:space="preserve"> HV.628» (бортовой номер CH-186). Легкий пассажирский самолет «</w:t>
      </w:r>
      <w:proofErr w:type="spellStart"/>
      <w:r w:rsidRPr="00A259BD">
        <w:rPr>
          <w:rFonts w:ascii="Times New Roman" w:hAnsi="Times New Roman"/>
          <w:color w:val="000000" w:themeColor="text1"/>
          <w:sz w:val="16"/>
          <w:szCs w:val="16"/>
        </w:rPr>
        <w:t>Hopfner</w:t>
      </w:r>
      <w:proofErr w:type="spellEnd"/>
      <w:r w:rsidRPr="00A259BD">
        <w:rPr>
          <w:rFonts w:ascii="Times New Roman" w:hAnsi="Times New Roman"/>
          <w:color w:val="000000" w:themeColor="text1"/>
          <w:sz w:val="16"/>
          <w:szCs w:val="16"/>
        </w:rPr>
        <w:t>» «HV.6/28» («HV.628») был изготовлен в начале 1929 года. Самолет представлял собой высокоплан оборудованный двигателем «</w:t>
      </w:r>
      <w:proofErr w:type="spellStart"/>
      <w:r w:rsidRPr="00A259BD">
        <w:rPr>
          <w:rFonts w:ascii="Times New Roman" w:hAnsi="Times New Roman"/>
          <w:color w:val="000000" w:themeColor="text1"/>
          <w:sz w:val="16"/>
          <w:szCs w:val="16"/>
        </w:rPr>
        <w:t>Walter</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Castor</w:t>
      </w:r>
      <w:proofErr w:type="spellEnd"/>
      <w:r w:rsidRPr="00A259BD">
        <w:rPr>
          <w:rFonts w:ascii="Times New Roman" w:hAnsi="Times New Roman"/>
          <w:color w:val="000000" w:themeColor="text1"/>
          <w:sz w:val="16"/>
          <w:szCs w:val="16"/>
        </w:rPr>
        <w:t>» мощностью 240 л.с., с пассажирской кабиной на 6 человек. Использовался до апреля 1931 года, после чего был сдан на лом (15104).</w:t>
      </w:r>
    </w:p>
    <w:p w14:paraId="6483E6D0" w14:textId="77777777" w:rsidR="00DF3B23" w:rsidRPr="00A259BD" w:rsidRDefault="00DF3B23" w:rsidP="009236E3">
      <w:pPr>
        <w:spacing w:after="0" w:line="240" w:lineRule="auto"/>
        <w:jc w:val="both"/>
        <w:rPr>
          <w:rFonts w:ascii="Times New Roman" w:hAnsi="Times New Roman"/>
          <w:color w:val="000000" w:themeColor="text1"/>
          <w:sz w:val="16"/>
          <w:szCs w:val="16"/>
        </w:rPr>
      </w:pPr>
    </w:p>
    <w:p w14:paraId="333AA62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C0447C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41BC68" w14:textId="77777777" w:rsidR="00DF3B23" w:rsidRPr="00A259BD" w:rsidRDefault="00DF3B23" w:rsidP="009236E3">
      <w:pPr>
        <w:spacing w:after="0" w:line="240" w:lineRule="auto"/>
        <w:jc w:val="both"/>
        <w:rPr>
          <w:rStyle w:val="af0"/>
          <w:rFonts w:ascii="Times New Roman" w:hAnsi="Times New Roman"/>
          <w:i w:val="0"/>
          <w:color w:val="000000" w:themeColor="text1"/>
          <w:sz w:val="16"/>
          <w:szCs w:val="16"/>
        </w:rPr>
      </w:pPr>
      <w:r w:rsidRPr="00A259BD">
        <w:rPr>
          <w:rFonts w:ascii="Times New Roman" w:hAnsi="Times New Roman"/>
          <w:bCs/>
          <w:color w:val="000000" w:themeColor="text1"/>
          <w:sz w:val="16"/>
          <w:szCs w:val="16"/>
        </w:rPr>
        <w:t xml:space="preserve">20 апреля 1929 г. — Из протокола № 8 совещания в РВС СССР под председательством заместителя наркома по военным и морским делам и председателя Реввоенсовета СССР И. С. </w:t>
      </w:r>
      <w:proofErr w:type="spellStart"/>
      <w:r w:rsidRPr="00A259BD">
        <w:rPr>
          <w:rFonts w:ascii="Times New Roman" w:hAnsi="Times New Roman"/>
          <w:bCs/>
          <w:color w:val="000000" w:themeColor="text1"/>
          <w:sz w:val="16"/>
          <w:szCs w:val="16"/>
        </w:rPr>
        <w:t>Уншлихта</w:t>
      </w:r>
      <w:proofErr w:type="spellEnd"/>
      <w:r w:rsidRPr="00A259BD">
        <w:rPr>
          <w:rFonts w:ascii="Times New Roman" w:hAnsi="Times New Roman"/>
          <w:bCs/>
          <w:color w:val="000000" w:themeColor="text1"/>
          <w:sz w:val="16"/>
          <w:szCs w:val="16"/>
        </w:rPr>
        <w:t xml:space="preserve"> о состоянии танкостроения и о выполнении промышленностью заказов на танки</w:t>
      </w:r>
    </w:p>
    <w:p w14:paraId="23E5E76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45EA48FB"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Председательствует: т. </w:t>
      </w:r>
      <w:proofErr w:type="spellStart"/>
      <w:r w:rsidR="00000000">
        <w:fldChar w:fldCharType="begin"/>
      </w:r>
      <w:r w:rsidR="00000000">
        <w:instrText>HYPERLINK "http://www.hrono.ru/biograf/bio_u/unshliht_is.php"</w:instrText>
      </w:r>
      <w:r w:rsidR="00000000">
        <w:fldChar w:fldCharType="separate"/>
      </w:r>
      <w:r w:rsidRPr="00A259BD">
        <w:rPr>
          <w:color w:val="000000" w:themeColor="text1"/>
          <w:sz w:val="16"/>
          <w:szCs w:val="16"/>
        </w:rPr>
        <w:t>Уншлихт</w:t>
      </w:r>
      <w:proofErr w:type="spellEnd"/>
      <w:r w:rsidR="00000000">
        <w:rPr>
          <w:color w:val="000000" w:themeColor="text1"/>
          <w:sz w:val="16"/>
          <w:szCs w:val="16"/>
        </w:rPr>
        <w:fldChar w:fldCharType="end"/>
      </w:r>
    </w:p>
    <w:p w14:paraId="47FEAFBB"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 xml:space="preserve">Присутствуют: т. Урываев, </w:t>
      </w:r>
      <w:hyperlink r:id="rId37" w:history="1">
        <w:r w:rsidRPr="00A259BD">
          <w:rPr>
            <w:color w:val="000000" w:themeColor="text1"/>
            <w:sz w:val="16"/>
            <w:szCs w:val="16"/>
          </w:rPr>
          <w:t>Шапошников</w:t>
        </w:r>
      </w:hyperlink>
      <w:r w:rsidRPr="00A259BD">
        <w:rPr>
          <w:color w:val="000000" w:themeColor="text1"/>
          <w:sz w:val="16"/>
          <w:szCs w:val="16"/>
        </w:rPr>
        <w:t xml:space="preserve">, </w:t>
      </w:r>
      <w:hyperlink r:id="rId38" w:history="1">
        <w:proofErr w:type="spellStart"/>
        <w:r w:rsidRPr="00A259BD">
          <w:rPr>
            <w:color w:val="000000" w:themeColor="text1"/>
            <w:sz w:val="16"/>
            <w:szCs w:val="16"/>
          </w:rPr>
          <w:t>Гарф</w:t>
        </w:r>
        <w:proofErr w:type="spellEnd"/>
      </w:hyperlink>
      <w:r w:rsidRPr="00A259BD">
        <w:rPr>
          <w:color w:val="000000" w:themeColor="text1"/>
          <w:sz w:val="16"/>
          <w:szCs w:val="16"/>
        </w:rPr>
        <w:t xml:space="preserve">, </w:t>
      </w:r>
      <w:hyperlink r:id="rId39" w:history="1">
        <w:r w:rsidRPr="00A259BD">
          <w:rPr>
            <w:color w:val="000000" w:themeColor="text1"/>
            <w:sz w:val="16"/>
            <w:szCs w:val="16"/>
          </w:rPr>
          <w:t>Ефимов</w:t>
        </w:r>
      </w:hyperlink>
      <w:r w:rsidRPr="00A259BD">
        <w:rPr>
          <w:color w:val="000000" w:themeColor="text1"/>
          <w:sz w:val="16"/>
          <w:szCs w:val="16"/>
        </w:rPr>
        <w:t xml:space="preserve">, </w:t>
      </w:r>
      <w:hyperlink r:id="rId40" w:history="1">
        <w:r w:rsidRPr="00A259BD">
          <w:rPr>
            <w:color w:val="000000" w:themeColor="text1"/>
            <w:sz w:val="16"/>
            <w:szCs w:val="16"/>
          </w:rPr>
          <w:t>Кулик</w:t>
        </w:r>
      </w:hyperlink>
      <w:r w:rsidRPr="00A259BD">
        <w:rPr>
          <w:color w:val="000000" w:themeColor="text1"/>
          <w:sz w:val="16"/>
          <w:szCs w:val="16"/>
        </w:rPr>
        <w:t xml:space="preserve">, </w:t>
      </w:r>
      <w:proofErr w:type="spellStart"/>
      <w:r w:rsidRPr="00A259BD">
        <w:rPr>
          <w:color w:val="000000" w:themeColor="text1"/>
          <w:sz w:val="16"/>
          <w:szCs w:val="16"/>
        </w:rPr>
        <w:t>Будневич</w:t>
      </w:r>
      <w:proofErr w:type="spellEnd"/>
      <w:r w:rsidRPr="00A259BD">
        <w:rPr>
          <w:color w:val="000000" w:themeColor="text1"/>
          <w:sz w:val="16"/>
          <w:szCs w:val="16"/>
        </w:rPr>
        <w:t xml:space="preserve">, Корзун и </w:t>
      </w:r>
      <w:hyperlink r:id="rId41" w:history="1">
        <w:r w:rsidRPr="00A259BD">
          <w:rPr>
            <w:color w:val="000000" w:themeColor="text1"/>
            <w:sz w:val="16"/>
            <w:szCs w:val="16"/>
          </w:rPr>
          <w:t>Янсон</w:t>
        </w:r>
      </w:hyperlink>
      <w:r w:rsidRPr="00A259BD">
        <w:rPr>
          <w:color w:val="000000" w:themeColor="text1"/>
          <w:sz w:val="16"/>
          <w:szCs w:val="16"/>
        </w:rPr>
        <w:t>.</w:t>
      </w:r>
    </w:p>
    <w:p w14:paraId="10A87E04" w14:textId="77777777" w:rsidR="00E15FE6" w:rsidRPr="00A259BD" w:rsidRDefault="00E15FE6" w:rsidP="009236E3">
      <w:pPr>
        <w:pStyle w:val="rtejustify"/>
        <w:spacing w:before="0" w:after="0"/>
        <w:rPr>
          <w:color w:val="000000" w:themeColor="text1"/>
          <w:sz w:val="16"/>
          <w:szCs w:val="16"/>
        </w:rPr>
      </w:pPr>
      <w:r w:rsidRPr="00A259BD">
        <w:rPr>
          <w:rStyle w:val="af0"/>
          <w:i w:val="0"/>
          <w:color w:val="000000" w:themeColor="text1"/>
          <w:sz w:val="16"/>
          <w:szCs w:val="16"/>
        </w:rPr>
        <w:t>Слушали:</w:t>
      </w:r>
      <w:r w:rsidRPr="00A259BD">
        <w:rPr>
          <w:color w:val="000000" w:themeColor="text1"/>
          <w:sz w:val="16"/>
          <w:szCs w:val="16"/>
        </w:rPr>
        <w:t xml:space="preserve"> 1. О состоянии танкостроения и о выполнении промышленностью заказов на танки.</w:t>
      </w:r>
    </w:p>
    <w:p w14:paraId="2AF71434" w14:textId="77777777" w:rsidR="00E15FE6" w:rsidRPr="00A259BD" w:rsidRDefault="00E15FE6" w:rsidP="009236E3">
      <w:pPr>
        <w:pStyle w:val="rtejustify"/>
        <w:spacing w:before="0" w:after="0"/>
        <w:rPr>
          <w:color w:val="000000" w:themeColor="text1"/>
          <w:sz w:val="16"/>
          <w:szCs w:val="16"/>
        </w:rPr>
      </w:pPr>
      <w:r w:rsidRPr="00A259BD">
        <w:rPr>
          <w:rStyle w:val="af0"/>
          <w:i w:val="0"/>
          <w:color w:val="000000" w:themeColor="text1"/>
          <w:sz w:val="16"/>
          <w:szCs w:val="16"/>
        </w:rPr>
        <w:t>Постановили:</w:t>
      </w:r>
      <w:r w:rsidRPr="00A259BD">
        <w:rPr>
          <w:color w:val="000000" w:themeColor="text1"/>
          <w:sz w:val="16"/>
          <w:szCs w:val="16"/>
        </w:rPr>
        <w:t xml:space="preserve"> 1. Учитывая большое запоздание с выполнением в текущем году заказа на танки, что ставит под угрозу срыва всю программу танкостроения в будущем году, совещание считает необходимым:</w:t>
      </w:r>
    </w:p>
    <w:p w14:paraId="63CEE3EF"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а) обратить самое серьезное внимание ГВПУ на необходимость заблаговременного принятия решительных мер по обеспечению осуществления программы танкостроения в будущем году;</w:t>
      </w:r>
    </w:p>
    <w:p w14:paraId="130B27E3"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б) принять к сведению категорическое заявление т. Урываева, что им будут приняты все меры к тому, чтобы заказ на танки текущего года был выполнен в установленные договором сроки;</w:t>
      </w:r>
    </w:p>
    <w:p w14:paraId="2E05DDB2"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в) учитывая трудные условия Пермского завода и завода «Большевик» и малочисленность технического персонала на указанных заводах по танкостроению, военное ведомство готово оказать промышленности свое содействие в осуществлении намеченной программы по танкостроению. В частности, поручить т. Кулику немедленно командировать т. Карачана сроком на 3 месяца за счет промышленности для содействия налаживанию танкостроения на Пермском заводе и заводе «Большевик»;</w:t>
      </w:r>
    </w:p>
    <w:p w14:paraId="3216D247"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г) просить т. </w:t>
      </w:r>
      <w:proofErr w:type="spellStart"/>
      <w:r w:rsidR="00000000">
        <w:fldChar w:fldCharType="begin"/>
      </w:r>
      <w:r w:rsidR="00000000">
        <w:instrText>HYPERLINK "http://www.hrono.ru/biograf/bio_p/pavlunovski_ip.php"</w:instrText>
      </w:r>
      <w:r w:rsidR="00000000">
        <w:fldChar w:fldCharType="separate"/>
      </w:r>
      <w:r w:rsidRPr="00A259BD">
        <w:rPr>
          <w:color w:val="000000" w:themeColor="text1"/>
          <w:sz w:val="16"/>
          <w:szCs w:val="16"/>
        </w:rPr>
        <w:t>Павлуновского</w:t>
      </w:r>
      <w:proofErr w:type="spellEnd"/>
      <w:r w:rsidR="00000000">
        <w:rPr>
          <w:color w:val="000000" w:themeColor="text1"/>
          <w:sz w:val="16"/>
          <w:szCs w:val="16"/>
        </w:rPr>
        <w:fldChar w:fldCharType="end"/>
      </w:r>
      <w:r w:rsidRPr="00A259BD">
        <w:rPr>
          <w:color w:val="000000" w:themeColor="text1"/>
          <w:sz w:val="16"/>
          <w:szCs w:val="16"/>
        </w:rPr>
        <w:t xml:space="preserve"> срочно произвести детальное обследование состояния танкостроения, не нарушая, однако, нормальный ход работы треста и заводов; выявить всех виновных в невыполнении заказа на танки и дело передать прокурору Республики для привлечения виновных к ответственности.</w:t>
      </w:r>
    </w:p>
    <w:p w14:paraId="308DB4C0"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О создавшемся положении довести до сведения председателя ВСНХ СССР.</w:t>
      </w:r>
    </w:p>
    <w:p w14:paraId="475C041D" w14:textId="77777777" w:rsidR="00E15FE6" w:rsidRPr="00A259BD" w:rsidRDefault="00E15FE6"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Председатель </w:t>
      </w:r>
      <w:proofErr w:type="spellStart"/>
      <w:r w:rsidRPr="00A259BD">
        <w:rPr>
          <w:rStyle w:val="af0"/>
          <w:i w:val="0"/>
          <w:color w:val="000000" w:themeColor="text1"/>
          <w:sz w:val="16"/>
          <w:szCs w:val="16"/>
        </w:rPr>
        <w:t>Уншлихт</w:t>
      </w:r>
      <w:proofErr w:type="spellEnd"/>
    </w:p>
    <w:p w14:paraId="3016A8A0" w14:textId="77777777" w:rsidR="00E15FE6" w:rsidRPr="00A259BD" w:rsidRDefault="00E15FE6" w:rsidP="009236E3">
      <w:pPr>
        <w:pStyle w:val="ae"/>
        <w:spacing w:before="0" w:after="0"/>
        <w:jc w:val="both"/>
        <w:rPr>
          <w:color w:val="000000" w:themeColor="text1"/>
          <w:sz w:val="16"/>
          <w:szCs w:val="16"/>
        </w:rPr>
      </w:pPr>
      <w:r w:rsidRPr="00A259BD">
        <w:rPr>
          <w:color w:val="000000" w:themeColor="text1"/>
          <w:sz w:val="16"/>
          <w:szCs w:val="16"/>
        </w:rPr>
        <w:t>РГАЭ. Ф.2097. Оп.1. Д. 896.Л.269-269об. Заверенная копия.</w:t>
      </w:r>
    </w:p>
    <w:p w14:paraId="704FBEA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2097. Оп.1. Д. 896. Л. 269-269 об. Заверенная копия. </w:t>
      </w:r>
    </w:p>
    <w:p w14:paraId="3E5276F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314-315 (12450).</w:t>
      </w:r>
    </w:p>
    <w:p w14:paraId="7CAAE1A1" w14:textId="77777777" w:rsidR="00E15FE6" w:rsidRPr="00A259BD" w:rsidRDefault="00E15FE6" w:rsidP="009236E3">
      <w:pPr>
        <w:spacing w:after="0" w:line="240" w:lineRule="auto"/>
        <w:jc w:val="both"/>
        <w:rPr>
          <w:rFonts w:ascii="Times New Roman" w:hAnsi="Times New Roman"/>
          <w:color w:val="000000" w:themeColor="text1"/>
          <w:sz w:val="16"/>
          <w:szCs w:val="16"/>
        </w:rPr>
      </w:pPr>
    </w:p>
    <w:p w14:paraId="429EE0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апреля 1929 г. в Москве закончились переговоры с Круппом, которые шли с 10 апреля. С нашей стороны в переговорах участвовали: тт. Ксандров,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xml:space="preserve">, Урываев, </w:t>
      </w:r>
      <w:proofErr w:type="spellStart"/>
      <w:r w:rsidRPr="00A259BD">
        <w:rPr>
          <w:rFonts w:ascii="Times New Roman" w:hAnsi="Times New Roman"/>
          <w:color w:val="000000" w:themeColor="text1"/>
          <w:sz w:val="16"/>
          <w:szCs w:val="16"/>
        </w:rPr>
        <w:t>Будневич</w:t>
      </w:r>
      <w:proofErr w:type="spellEnd"/>
      <w:r w:rsidRPr="00A259BD">
        <w:rPr>
          <w:rFonts w:ascii="Times New Roman" w:hAnsi="Times New Roman"/>
          <w:color w:val="000000" w:themeColor="text1"/>
          <w:sz w:val="16"/>
          <w:szCs w:val="16"/>
        </w:rPr>
        <w:t xml:space="preserve">, Корзун и Иванов. Для обсуждения вопросов по специальностям привлекались тов. Оборин от </w:t>
      </w:r>
      <w:proofErr w:type="spellStart"/>
      <w:r w:rsidRPr="00A259BD">
        <w:rPr>
          <w:rFonts w:ascii="Times New Roman" w:hAnsi="Times New Roman"/>
          <w:color w:val="000000" w:themeColor="text1"/>
          <w:sz w:val="16"/>
          <w:szCs w:val="16"/>
        </w:rPr>
        <w:t>Главмашстроя</w:t>
      </w:r>
      <w:proofErr w:type="spellEnd"/>
      <w:r w:rsidRPr="00A259BD">
        <w:rPr>
          <w:rFonts w:ascii="Times New Roman" w:hAnsi="Times New Roman"/>
          <w:color w:val="000000" w:themeColor="text1"/>
          <w:sz w:val="16"/>
          <w:szCs w:val="16"/>
        </w:rPr>
        <w:t xml:space="preserve">, тов. </w:t>
      </w:r>
      <w:proofErr w:type="spellStart"/>
      <w:r w:rsidRPr="00A259BD">
        <w:rPr>
          <w:rFonts w:ascii="Times New Roman" w:hAnsi="Times New Roman"/>
          <w:color w:val="000000" w:themeColor="text1"/>
          <w:sz w:val="16"/>
          <w:szCs w:val="16"/>
        </w:rPr>
        <w:t>Hеймаер</w:t>
      </w:r>
      <w:proofErr w:type="spellEnd"/>
      <w:r w:rsidRPr="00A259BD">
        <w:rPr>
          <w:rFonts w:ascii="Times New Roman" w:hAnsi="Times New Roman"/>
          <w:color w:val="000000" w:themeColor="text1"/>
          <w:sz w:val="16"/>
          <w:szCs w:val="16"/>
        </w:rPr>
        <w:t xml:space="preserve"> от </w:t>
      </w:r>
      <w:proofErr w:type="spellStart"/>
      <w:r w:rsidRPr="00A259BD">
        <w:rPr>
          <w:rFonts w:ascii="Times New Roman" w:hAnsi="Times New Roman"/>
          <w:color w:val="000000" w:themeColor="text1"/>
          <w:sz w:val="16"/>
          <w:szCs w:val="16"/>
        </w:rPr>
        <w:t>Гомзы</w:t>
      </w:r>
      <w:proofErr w:type="spellEnd"/>
      <w:r w:rsidRPr="00A259BD">
        <w:rPr>
          <w:rFonts w:ascii="Times New Roman" w:hAnsi="Times New Roman"/>
          <w:color w:val="000000" w:themeColor="text1"/>
          <w:sz w:val="16"/>
          <w:szCs w:val="16"/>
        </w:rPr>
        <w:t xml:space="preserve">, тов. Григорович от </w:t>
      </w:r>
      <w:proofErr w:type="spellStart"/>
      <w:r w:rsidRPr="00A259BD">
        <w:rPr>
          <w:rFonts w:ascii="Times New Roman" w:hAnsi="Times New Roman"/>
          <w:color w:val="000000" w:themeColor="text1"/>
          <w:sz w:val="16"/>
          <w:szCs w:val="16"/>
        </w:rPr>
        <w:t>Hаучно</w:t>
      </w:r>
      <w:proofErr w:type="spellEnd"/>
      <w:r w:rsidRPr="00A259BD">
        <w:rPr>
          <w:rFonts w:ascii="Times New Roman" w:hAnsi="Times New Roman"/>
          <w:color w:val="000000" w:themeColor="text1"/>
          <w:sz w:val="16"/>
          <w:szCs w:val="16"/>
        </w:rPr>
        <w:t xml:space="preserve">-Технического Совета, Бутырин от </w:t>
      </w:r>
      <w:proofErr w:type="spellStart"/>
      <w:r w:rsidRPr="00A259BD">
        <w:rPr>
          <w:rFonts w:ascii="Times New Roman" w:hAnsi="Times New Roman"/>
          <w:color w:val="000000" w:themeColor="text1"/>
          <w:sz w:val="16"/>
          <w:szCs w:val="16"/>
        </w:rPr>
        <w:t>Главэлектро</w:t>
      </w:r>
      <w:proofErr w:type="spellEnd"/>
      <w:r w:rsidRPr="00A259BD">
        <w:rPr>
          <w:rFonts w:ascii="Times New Roman" w:hAnsi="Times New Roman"/>
          <w:color w:val="000000" w:themeColor="text1"/>
          <w:sz w:val="16"/>
          <w:szCs w:val="16"/>
        </w:rPr>
        <w:t xml:space="preserve">, тов. Пастухов от Орудийно-Арсенального треста и тт. Молодцов и Смирнов от АУ и </w:t>
      </w:r>
      <w:proofErr w:type="spellStart"/>
      <w:r w:rsidRPr="00A259BD">
        <w:rPr>
          <w:rFonts w:ascii="Times New Roman" w:hAnsi="Times New Roman"/>
          <w:color w:val="000000" w:themeColor="text1"/>
          <w:sz w:val="16"/>
          <w:szCs w:val="16"/>
        </w:rPr>
        <w:t>Hачальник</w:t>
      </w:r>
      <w:proofErr w:type="spellEnd"/>
      <w:r w:rsidRPr="00A259BD">
        <w:rPr>
          <w:rFonts w:ascii="Times New Roman" w:hAnsi="Times New Roman"/>
          <w:color w:val="000000" w:themeColor="text1"/>
          <w:sz w:val="16"/>
          <w:szCs w:val="16"/>
        </w:rPr>
        <w:t xml:space="preserve"> Снабжения РККА. В совещаниях по военным вопросам участвовал строго определенный круг лиц, по назначению тов. </w:t>
      </w:r>
      <w:proofErr w:type="spellStart"/>
      <w:r w:rsidRPr="00A259BD">
        <w:rPr>
          <w:rFonts w:ascii="Times New Roman" w:hAnsi="Times New Roman"/>
          <w:color w:val="000000" w:themeColor="text1"/>
          <w:sz w:val="16"/>
          <w:szCs w:val="16"/>
        </w:rPr>
        <w:t>Толоконцева</w:t>
      </w:r>
      <w:proofErr w:type="spellEnd"/>
      <w:r w:rsidRPr="00A259BD">
        <w:rPr>
          <w:rFonts w:ascii="Times New Roman" w:hAnsi="Times New Roman"/>
          <w:color w:val="000000" w:themeColor="text1"/>
          <w:sz w:val="16"/>
          <w:szCs w:val="16"/>
        </w:rPr>
        <w:t xml:space="preserve">. </w:t>
      </w:r>
    </w:p>
    <w:p w14:paraId="6404BD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 стороны Круппа вели переговоры: проф. </w:t>
      </w:r>
      <w:proofErr w:type="spellStart"/>
      <w:r w:rsidRPr="00A259BD">
        <w:rPr>
          <w:rFonts w:ascii="Times New Roman" w:hAnsi="Times New Roman"/>
          <w:color w:val="000000" w:themeColor="text1"/>
          <w:sz w:val="16"/>
          <w:szCs w:val="16"/>
        </w:rPr>
        <w:t>Геренс</w:t>
      </w:r>
      <w:proofErr w:type="spellEnd"/>
      <w:r w:rsidRPr="00A259BD">
        <w:rPr>
          <w:rFonts w:ascii="Times New Roman" w:hAnsi="Times New Roman"/>
          <w:color w:val="000000" w:themeColor="text1"/>
          <w:sz w:val="16"/>
          <w:szCs w:val="16"/>
        </w:rPr>
        <w:t xml:space="preserve">, член </w:t>
      </w:r>
      <w:proofErr w:type="spellStart"/>
      <w:r w:rsidRPr="00A259BD">
        <w:rPr>
          <w:rFonts w:ascii="Times New Roman" w:hAnsi="Times New Roman"/>
          <w:color w:val="000000" w:themeColor="text1"/>
          <w:sz w:val="16"/>
          <w:szCs w:val="16"/>
        </w:rPr>
        <w:t>Директориума</w:t>
      </w:r>
      <w:proofErr w:type="spellEnd"/>
      <w:r w:rsidRPr="00A259BD">
        <w:rPr>
          <w:rFonts w:ascii="Times New Roman" w:hAnsi="Times New Roman"/>
          <w:color w:val="000000" w:themeColor="text1"/>
          <w:sz w:val="16"/>
          <w:szCs w:val="16"/>
        </w:rPr>
        <w:t xml:space="preserve"> Акционерного Общества Фридрих Крупп , глава делегации; д-р инженер </w:t>
      </w:r>
      <w:proofErr w:type="spellStart"/>
      <w:r w:rsidRPr="00A259BD">
        <w:rPr>
          <w:rFonts w:ascii="Times New Roman" w:hAnsi="Times New Roman"/>
          <w:color w:val="000000" w:themeColor="text1"/>
          <w:sz w:val="16"/>
          <w:szCs w:val="16"/>
        </w:rPr>
        <w:t>Грисман</w:t>
      </w:r>
      <w:proofErr w:type="spellEnd"/>
      <w:r w:rsidRPr="00A259BD">
        <w:rPr>
          <w:rFonts w:ascii="Times New Roman" w:hAnsi="Times New Roman"/>
          <w:color w:val="000000" w:themeColor="text1"/>
          <w:sz w:val="16"/>
          <w:szCs w:val="16"/>
        </w:rPr>
        <w:t xml:space="preserve"> - директор завода в Магдебурге Акционерного Общества Фридрих Крупп и </w:t>
      </w:r>
      <w:proofErr w:type="spellStart"/>
      <w:r w:rsidRPr="00A259BD">
        <w:rPr>
          <w:rFonts w:ascii="Times New Roman" w:hAnsi="Times New Roman"/>
          <w:color w:val="000000" w:themeColor="text1"/>
          <w:sz w:val="16"/>
          <w:szCs w:val="16"/>
        </w:rPr>
        <w:t>Бамбергер</w:t>
      </w:r>
      <w:proofErr w:type="spellEnd"/>
      <w:r w:rsidRPr="00A259BD">
        <w:rPr>
          <w:rFonts w:ascii="Times New Roman" w:hAnsi="Times New Roman"/>
          <w:color w:val="000000" w:themeColor="text1"/>
          <w:sz w:val="16"/>
          <w:szCs w:val="16"/>
        </w:rPr>
        <w:t xml:space="preserve"> - директор Восточного Отдела Акционерного Общества Фридрих Крупп.</w:t>
      </w:r>
    </w:p>
    <w:p w14:paraId="24D7DC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Представители сторон имели ряд совещаний (протоколы и стенограммы велись систематически) по двум основным вопросам: о технической помощи в области мирной продукции (производство и обработка высокосортной стали, чугуна, специальные способы контроля над процессом производства) и о технической помощи в области специальной - военного производства. </w:t>
      </w:r>
    </w:p>
    <w:p w14:paraId="082762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Результаты переговоров могут быть представлены в следующих положениях: </w:t>
      </w:r>
    </w:p>
    <w:p w14:paraId="69EC38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 Срок действия договора, со дня его подписания и утверждения, устанавливается на 10 лет; </w:t>
      </w:r>
    </w:p>
    <w:p w14:paraId="262EF6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II. Объектом договора является техническое содействие фирмы Крупп советской промышленности в области мирного и военного производств. Фирма Крупп передает Советской стороне весь накопленный ею опыт и знания во всех областях производства, которые являются ее специальностью или которые ей приходилось изучать. Для осуществления этого содействия фирма Крупп представляет возможность советской стороне изучать на своих заводах, лабораториях и полигонах как всю постановку работы фирмы Крупп в целом, так и отдельные вопросы по нашему выбору. Конструкторское Бюро фирмы в Эссене должно быть соответственно расширено для обслуживания советских требований. Если Советская сторона пожелает, Конструкторское Бюро будет организовано в СССР. Помимо указаний в области постановки новых в СССР методов производств, заимствованных у фирмы Круппа , фирма Круппа обязана давать указания и по вопросам технически правильной и рациональной организации производства вообще. Фирма Круппа по требованию Советской стороны обязана командировать к нам потребное количество инструкторов надлежащей квалификации и по нашим специальным требованиям. Советская сторона имеет право командировать во все учреждения Круппа , в том числе и в Конструкторское Бюро в Эссене, необходимое количество своих инженеров и работников. </w:t>
      </w:r>
    </w:p>
    <w:p w14:paraId="72BB49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III. Представители фирмы Круппа сделали, однако, следующие существенные оговорки в области специального военного производства. </w:t>
      </w:r>
    </w:p>
    <w:p w14:paraId="15F16C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1. Все, что фирма Круппа имела в области производства опыта и знаний до 1918 г., безоговорочно может быть "передано" нам для изучения и введения у себя. </w:t>
      </w:r>
    </w:p>
    <w:p w14:paraId="69E9B6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Достижения периода времени от 1918 г. по день подписания договора могут быть нам "переданы" лишь с согласия Рейхсвера, хотя это согласие заранее обеспечено. </w:t>
      </w:r>
    </w:p>
    <w:p w14:paraId="46071A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w:t>
      </w:r>
      <w:proofErr w:type="spellStart"/>
      <w:r w:rsidRPr="00A259BD">
        <w:rPr>
          <w:rFonts w:ascii="Times New Roman" w:hAnsi="Times New Roman"/>
          <w:color w:val="000000" w:themeColor="text1"/>
          <w:sz w:val="16"/>
          <w:szCs w:val="16"/>
        </w:rPr>
        <w:t>Hовые</w:t>
      </w:r>
      <w:proofErr w:type="spellEnd"/>
      <w:r w:rsidRPr="00A259BD">
        <w:rPr>
          <w:rFonts w:ascii="Times New Roman" w:hAnsi="Times New Roman"/>
          <w:color w:val="000000" w:themeColor="text1"/>
          <w:sz w:val="16"/>
          <w:szCs w:val="16"/>
        </w:rPr>
        <w:t xml:space="preserve"> конструкции и изобретения в течение действия договора "передаются" нам каждый раз с согласия германского правительства. </w:t>
      </w:r>
    </w:p>
    <w:p w14:paraId="198905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Все, что достигнуто фирмой Круппа совместно с фирмой </w:t>
      </w:r>
      <w:proofErr w:type="spellStart"/>
      <w:r w:rsidRPr="00A259BD">
        <w:rPr>
          <w:rFonts w:ascii="Times New Roman" w:hAnsi="Times New Roman"/>
          <w:color w:val="000000" w:themeColor="text1"/>
          <w:sz w:val="16"/>
          <w:szCs w:val="16"/>
        </w:rPr>
        <w:t>Бофорс</w:t>
      </w:r>
      <w:proofErr w:type="spellEnd"/>
      <w:r w:rsidRPr="00A259BD">
        <w:rPr>
          <w:rFonts w:ascii="Times New Roman" w:hAnsi="Times New Roman"/>
          <w:color w:val="000000" w:themeColor="text1"/>
          <w:sz w:val="16"/>
          <w:szCs w:val="16"/>
        </w:rPr>
        <w:t xml:space="preserve"> в Швеции, "передается" нам с согласия этой фирмы. Фирма Круппа предложила свое посредничество по установлению сотрудничества между советскими заводами и фирмой </w:t>
      </w:r>
      <w:proofErr w:type="spellStart"/>
      <w:r w:rsidRPr="00A259BD">
        <w:rPr>
          <w:rFonts w:ascii="Times New Roman" w:hAnsi="Times New Roman"/>
          <w:color w:val="000000" w:themeColor="text1"/>
          <w:sz w:val="16"/>
          <w:szCs w:val="16"/>
        </w:rPr>
        <w:t>Бофорс</w:t>
      </w:r>
      <w:proofErr w:type="spellEnd"/>
      <w:r w:rsidRPr="00A259BD">
        <w:rPr>
          <w:rFonts w:ascii="Times New Roman" w:hAnsi="Times New Roman"/>
          <w:color w:val="000000" w:themeColor="text1"/>
          <w:sz w:val="16"/>
          <w:szCs w:val="16"/>
        </w:rPr>
        <w:t xml:space="preserve">, если бы мы этого пожелали. </w:t>
      </w:r>
    </w:p>
    <w:p w14:paraId="38A38B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IV. Содержание русского отдела в Конструкторском Бюро в Эссене, содержание советских сотрудников, которые будут командированы для работы у Круппа , и инженеров-конструкторов, которые будут командированы Круппом в СССР, должно отдельно, по себестоимости оплачиваться Советской стороной. Советской стороной в течение переговоров было выработано уточненное определение "Объема и характера технического содействия". Внесена существенная поправка о том, что советские инженеры вводятся в состав Конструкторского Бюро в Эссене, а не просто образуется - "русский отдел" при этом бюро. </w:t>
      </w:r>
    </w:p>
    <w:p w14:paraId="753E0F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VI. (...) Существенные разногласия выявились в вопросе о сроках и размерах платежей по обеим частям договора о техническом содействии. Представители фирмы Круппа , отказавшись от начального своего запроса - 2-х миллионов американских долларов, с уплатой из них в первые два года 1 500 000 американских долларов, сделали следующее заявление: советская машиностроительная промышленность уплачивает фирме Крупп 1 850 000 американских долларов нижеследующим образом: при подписании договора 500 тыс. американских долларов, через 6 месяцев - 125 тыс. долларов, через 9 месяцев - 100 тыс. Долларов</w:t>
      </w:r>
    </w:p>
    <w:p w14:paraId="68EB29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ЦГАСА. Ф. 33987. Оп. 3. Д. 295. Л. 227. (11448).</w:t>
      </w:r>
    </w:p>
    <w:p w14:paraId="20A89C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7CDF0F" w14:textId="77777777" w:rsidR="00DF3B23" w:rsidRPr="00A259BD" w:rsidRDefault="00DF3B2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апреля в 1929 году Совет труда и обороны СССР принял решение о строительстве металлургического завода около Кузнецка (Новокузнецка) (15105).</w:t>
      </w:r>
    </w:p>
    <w:p w14:paraId="74864BCA" w14:textId="77777777" w:rsidR="00DF3B23" w:rsidRPr="00A259BD" w:rsidRDefault="00DF3B23" w:rsidP="009236E3">
      <w:pPr>
        <w:spacing w:after="0" w:line="240" w:lineRule="auto"/>
        <w:jc w:val="both"/>
        <w:rPr>
          <w:rFonts w:ascii="Times New Roman" w:hAnsi="Times New Roman"/>
          <w:color w:val="000000" w:themeColor="text1"/>
          <w:sz w:val="16"/>
          <w:szCs w:val="16"/>
        </w:rPr>
      </w:pPr>
    </w:p>
    <w:p w14:paraId="1133392C" w14:textId="77777777" w:rsidR="00C51943" w:rsidRPr="00A259BD" w:rsidRDefault="00C51943"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52510CB" w14:textId="77777777" w:rsidR="00C51943" w:rsidRPr="00A259BD" w:rsidRDefault="00C5194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02B67EA" w14:textId="77777777" w:rsidR="00C51943" w:rsidRPr="00A259BD" w:rsidRDefault="00C5194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апреля 1929 истребитель Boeing PW-9D сухопутных войск США № 28-037, выполняющий трюки над Сан-Диего , Калифорния, пытается пролететь перед Ford 5-AT-B </w:t>
      </w:r>
      <w:proofErr w:type="spellStart"/>
      <w:r w:rsidRPr="00A259BD">
        <w:rPr>
          <w:rFonts w:ascii="Times New Roman" w:hAnsi="Times New Roman"/>
          <w:color w:val="000000" w:themeColor="text1"/>
          <w:sz w:val="16"/>
          <w:szCs w:val="16"/>
        </w:rPr>
        <w:t>Trimotor</w:t>
      </w:r>
      <w:proofErr w:type="spellEnd"/>
      <w:r w:rsidRPr="00A259BD">
        <w:rPr>
          <w:rFonts w:ascii="Times New Roman" w:hAnsi="Times New Roman"/>
          <w:color w:val="000000" w:themeColor="text1"/>
          <w:sz w:val="16"/>
          <w:szCs w:val="16"/>
        </w:rPr>
        <w:t xml:space="preserve"> NC9636 компании </w:t>
      </w:r>
      <w:proofErr w:type="spellStart"/>
      <w:r w:rsidRPr="00A259BD">
        <w:rPr>
          <w:rFonts w:ascii="Times New Roman" w:hAnsi="Times New Roman"/>
          <w:color w:val="000000" w:themeColor="text1"/>
          <w:sz w:val="16"/>
          <w:szCs w:val="16"/>
        </w:rPr>
        <w:t>Maddux</w:t>
      </w:r>
      <w:proofErr w:type="spellEnd"/>
      <w:r w:rsidRPr="00A259BD">
        <w:rPr>
          <w:rFonts w:ascii="Times New Roman" w:hAnsi="Times New Roman"/>
          <w:color w:val="000000" w:themeColor="text1"/>
          <w:sz w:val="16"/>
          <w:szCs w:val="16"/>
        </w:rPr>
        <w:t xml:space="preserve"> Air Lines, который летит регулярным пассажирским рейсом из Сан-Диего в Феникс, штат Аризона. PW-9D попадает в кабину </w:t>
      </w:r>
      <w:proofErr w:type="spellStart"/>
      <w:r w:rsidRPr="00A259BD">
        <w:rPr>
          <w:rFonts w:ascii="Times New Roman" w:hAnsi="Times New Roman"/>
          <w:color w:val="000000" w:themeColor="text1"/>
          <w:sz w:val="16"/>
          <w:szCs w:val="16"/>
        </w:rPr>
        <w:t>Trimotor</w:t>
      </w:r>
      <w:proofErr w:type="spellEnd"/>
      <w:r w:rsidRPr="00A259BD">
        <w:rPr>
          <w:rFonts w:ascii="Times New Roman" w:hAnsi="Times New Roman"/>
          <w:color w:val="000000" w:themeColor="text1"/>
          <w:sz w:val="16"/>
          <w:szCs w:val="16"/>
        </w:rPr>
        <w:t>, и оба самолета разбиваются, в результате чего погиб пилот PW-9D и все пять человек на борту авиалайнера (20806).</w:t>
      </w:r>
    </w:p>
    <w:p w14:paraId="6C3E473C" w14:textId="77777777" w:rsidR="00C51943" w:rsidRPr="00A259BD" w:rsidRDefault="00C51943" w:rsidP="009236E3">
      <w:pPr>
        <w:spacing w:after="0" w:line="240" w:lineRule="auto"/>
        <w:jc w:val="both"/>
        <w:rPr>
          <w:rFonts w:ascii="Times New Roman" w:hAnsi="Times New Roman"/>
          <w:color w:val="000000" w:themeColor="text1"/>
          <w:sz w:val="16"/>
          <w:szCs w:val="16"/>
        </w:rPr>
      </w:pPr>
    </w:p>
    <w:p w14:paraId="5F1682A3"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D9E839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52B83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апреля 1929 НТК УВВС окончательно утвердил конструкцию И-4 А.Н.Т. (журнал первой секции N 17с) (2371).</w:t>
      </w:r>
    </w:p>
    <w:p w14:paraId="315B47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C557C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EC4E7A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2F899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апреля 1929 г. АУ дало заказ заводу "Красный Путиловец" на изготовление опытного образца системы, полученной путем наложения ствола 102/60-мм корабельной пушки на лафет 152-мм пушки обр. 1910 г.. Завод запросил тело пушки с </w:t>
      </w:r>
      <w:proofErr w:type="spellStart"/>
      <w:r w:rsidRPr="00A259BD">
        <w:rPr>
          <w:rFonts w:ascii="Times New Roman" w:hAnsi="Times New Roman"/>
          <w:color w:val="000000" w:themeColor="text1"/>
          <w:sz w:val="16"/>
          <w:szCs w:val="16"/>
        </w:rPr>
        <w:t>НИМАПа</w:t>
      </w:r>
      <w:proofErr w:type="spellEnd"/>
      <w:r w:rsidRPr="00A259BD">
        <w:rPr>
          <w:rFonts w:ascii="Times New Roman" w:hAnsi="Times New Roman"/>
          <w:color w:val="000000" w:themeColor="text1"/>
          <w:sz w:val="16"/>
          <w:szCs w:val="16"/>
        </w:rPr>
        <w:t>. Тело № 224 102/60-мм пушки было доставлено на завод (3861).</w:t>
      </w:r>
    </w:p>
    <w:p w14:paraId="463087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D90D04"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7D5233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6B53A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апреля 1929 пара Р-1 в Афганистане летала бомбить войска Амануллы-хана (6594, 18).</w:t>
      </w:r>
    </w:p>
    <w:p w14:paraId="3194A6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EB3A867" w14:textId="77777777" w:rsidR="00E15FE6"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D50432C" w14:textId="77777777" w:rsidR="00E15FE6" w:rsidRPr="00A259BD" w:rsidRDefault="00E15FE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2DBAF6" w14:textId="17CCC38F"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23 апреля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0005434E" w:rsidRPr="00A259BD">
        <w:rPr>
          <w:rStyle w:val="a7"/>
          <w:rFonts w:ascii="Times New Roman" w:hAnsi="Times New Roman"/>
          <w:b w:val="0"/>
          <w:bCs w:val="0"/>
          <w:color w:val="000000" w:themeColor="text1"/>
          <w:sz w:val="16"/>
          <w:szCs w:val="16"/>
        </w:rPr>
        <w:t xml:space="preserve"> </w:t>
      </w:r>
      <w:r w:rsidRPr="00A259BD">
        <w:rPr>
          <w:rFonts w:ascii="Times New Roman" w:hAnsi="Times New Roman"/>
          <w:color w:val="000000" w:themeColor="text1"/>
          <w:sz w:val="16"/>
          <w:szCs w:val="16"/>
        </w:rPr>
        <w:t>СНК принял постановление «О пятилетнем народнохозяйственном плане на период 1928/29-1932/33 гг.» (12265).</w:t>
      </w:r>
    </w:p>
    <w:p w14:paraId="346A504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6D957BC4" w14:textId="77777777" w:rsidR="00DF3B23" w:rsidRPr="00A259BD" w:rsidRDefault="00DF3B23"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bCs/>
          <w:iCs/>
          <w:color w:val="000000" w:themeColor="text1"/>
          <w:sz w:val="16"/>
          <w:szCs w:val="16"/>
        </w:rPr>
        <w:t>23 апреля 1929 г.</w:t>
      </w:r>
      <w:r w:rsidRPr="00A259BD">
        <w:rPr>
          <w:rFonts w:ascii="Times New Roman" w:hAnsi="Times New Roman"/>
          <w:color w:val="000000" w:themeColor="text1"/>
          <w:sz w:val="16"/>
          <w:szCs w:val="16"/>
        </w:rPr>
        <w:t xml:space="preserve"> Утверждение начальником ВОХИМУ </w:t>
      </w:r>
      <w:proofErr w:type="spellStart"/>
      <w:r w:rsidRPr="00A259BD">
        <w:rPr>
          <w:rFonts w:ascii="Times New Roman" w:hAnsi="Times New Roman"/>
          <w:color w:val="000000" w:themeColor="text1"/>
          <w:sz w:val="16"/>
          <w:szCs w:val="16"/>
        </w:rPr>
        <w:t>Я.М.Фишманом</w:t>
      </w:r>
      <w:proofErr w:type="spellEnd"/>
      <w:r w:rsidRPr="00A259BD">
        <w:rPr>
          <w:rFonts w:ascii="Times New Roman" w:hAnsi="Times New Roman"/>
          <w:color w:val="000000" w:themeColor="text1"/>
          <w:sz w:val="16"/>
          <w:szCs w:val="16"/>
        </w:rPr>
        <w:t xml:space="preserve"> цифровой системы шифрования ОВ для использования в секретной переписке. Вот какие ОВ крутились в документообороте армии, ОГПУ и промышленности: иприт — вещество № 6, синильная кислота — № 11, адамсит — № 15, люизит — № 17, фосген — № 25, хлорацетофенон — № 34 (17133).</w:t>
      </w:r>
    </w:p>
    <w:p w14:paraId="1ABA0A36" w14:textId="77777777" w:rsidR="00DF3B23" w:rsidRPr="00A259BD" w:rsidRDefault="00DF3B23" w:rsidP="009236E3">
      <w:pPr>
        <w:shd w:val="clear" w:color="auto" w:fill="FFFFFF"/>
        <w:spacing w:after="0" w:line="240" w:lineRule="auto"/>
        <w:jc w:val="both"/>
        <w:rPr>
          <w:rFonts w:ascii="Times New Roman" w:hAnsi="Times New Roman"/>
          <w:color w:val="000000" w:themeColor="text1"/>
          <w:sz w:val="16"/>
          <w:szCs w:val="16"/>
        </w:rPr>
      </w:pPr>
    </w:p>
    <w:p w14:paraId="6E2684C5" w14:textId="77777777" w:rsidR="003D3BC7" w:rsidRPr="00A259BD"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Cs/>
          <w:color w:val="000000" w:themeColor="text1"/>
          <w:sz w:val="16"/>
          <w:szCs w:val="16"/>
        </w:rPr>
        <w:t xml:space="preserve">Жизнь и </w:t>
      </w:r>
      <w:proofErr w:type="spellStart"/>
      <w:r w:rsidRPr="00A259BD">
        <w:rPr>
          <w:rFonts w:ascii="Times New Roman" w:hAnsi="Times New Roman"/>
          <w:iCs/>
          <w:color w:val="000000" w:themeColor="text1"/>
          <w:sz w:val="16"/>
          <w:szCs w:val="16"/>
        </w:rPr>
        <w:t>внутреняя</w:t>
      </w:r>
      <w:proofErr w:type="spellEnd"/>
      <w:r w:rsidRPr="00A259BD">
        <w:rPr>
          <w:rFonts w:ascii="Times New Roman" w:hAnsi="Times New Roman"/>
          <w:iCs/>
          <w:color w:val="000000" w:themeColor="text1"/>
          <w:sz w:val="16"/>
          <w:szCs w:val="16"/>
        </w:rPr>
        <w:t xml:space="preserve"> политика:</w:t>
      </w:r>
    </w:p>
    <w:p w14:paraId="56C05A86" w14:textId="77777777" w:rsidR="003D3BC7" w:rsidRPr="00A259BD"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C5DA252" w14:textId="0220E54A" w:rsidR="003D3BC7" w:rsidRPr="00A259BD" w:rsidRDefault="003D3BC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апреля 1929 началась 16-я партконференция, которая приняла план первой пятилетки. В народное хозяйство решено вложить 65 млрд.</w:t>
      </w:r>
      <w:r w:rsidR="0005434E" w:rsidRPr="00A259BD">
        <w:rPr>
          <w:rFonts w:ascii="Times New Roman" w:hAnsi="Times New Roman"/>
          <w:color w:val="000000" w:themeColor="text1"/>
          <w:sz w:val="16"/>
          <w:szCs w:val="16"/>
        </w:rPr>
        <w:t xml:space="preserve"> </w:t>
      </w:r>
      <w:r w:rsidRPr="00A259BD">
        <w:rPr>
          <w:rFonts w:ascii="Times New Roman" w:hAnsi="Times New Roman"/>
          <w:color w:val="000000" w:themeColor="text1"/>
          <w:sz w:val="16"/>
          <w:szCs w:val="16"/>
        </w:rPr>
        <w:t>рублей, из них 19 - в промышленность и электрификацию, 10 - в транспорт, 23 (большая часть) - в сельское хозяйство. Остается около 12 млрд. Я так понимаю, их вложили в оборонку (12629).</w:t>
      </w:r>
    </w:p>
    <w:p w14:paraId="1F28DCE3" w14:textId="77777777" w:rsidR="003D3BC7" w:rsidRPr="00A259BD"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AEB3A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322FCB1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D76E252" w14:textId="77777777" w:rsidR="00802570" w:rsidRPr="00A259BD" w:rsidRDefault="00802570"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23 апреля 1929 года, опираясь на опыт годичной давности, состоялась еще одна подобная операция: в район города Гарм из Термеза шесть самолетов перевезли по воздуху уже 45 бойцов кавалерийской бригады во главе с комбригом Т. Т. Шапкиным и комиссаром бригады А. Т. Фединым. На вооружении отряда находилось четыре пулемета и винтовки. Можно только предполагать, какие чувства испытывали в воздухе бойцы, многие из которых самолет видели впервые в жизни… но тем не менее перевозка состоялась, посадка самолетов прошла удачно. Десантники (именно так их можно назвать с полным на то правом) свою задачу по разгрому очередной банды басмачей выполнили, уничтожив в бою за город Гарм около 80 врагов. Командующий войсками Среднеазиатского военного округа П. Е. Дыбенко, проводя разбор этого боя, высоко оценил действия десантного отряда (21399).</w:t>
      </w:r>
    </w:p>
    <w:p w14:paraId="04D54E91" w14:textId="77777777" w:rsidR="00802570" w:rsidRPr="00A259BD" w:rsidRDefault="00802570" w:rsidP="009236E3">
      <w:pPr>
        <w:spacing w:after="0" w:line="240" w:lineRule="auto"/>
        <w:jc w:val="both"/>
        <w:rPr>
          <w:rFonts w:ascii="Times New Roman" w:hAnsi="Times New Roman"/>
          <w:color w:val="000000" w:themeColor="text1"/>
          <w:sz w:val="16"/>
          <w:szCs w:val="16"/>
        </w:rPr>
      </w:pPr>
    </w:p>
    <w:p w14:paraId="6E8E0F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апреля 1929 РЗ СТО создал комиссию для обсуждения плана строительства вооруженных сил. Представила доклад 8 июля 1929 (9089,96).</w:t>
      </w:r>
    </w:p>
    <w:p w14:paraId="5AE781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E6EC916"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7B25593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DC4F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23-29 апреля 1929 состоялась XVI партконференция ВКП(б), на которой был утвержден пятилетний план развития народного хозяйства, план индустриализации (271,114).</w:t>
      </w:r>
    </w:p>
    <w:p w14:paraId="38D539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конференции поставили вопрос о необходимости реорганизации управления промышленностью и рекомендовали превратить ВСНХ и НКПС в органы не только планово-экономического руководства, но и в органы действительного технического руководства, основанного на достижениях зарубежной техники (423,108).</w:t>
      </w:r>
    </w:p>
    <w:p w14:paraId="67021A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CFC5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апреля 1929 года на заседании правительства, несмотря на возражения Кржижановского, был принят оптимальный вариант пятилетнего плана, одобренный в апреле XVI партийной конференцией и утвержденный в мае V Всесоюзным съездом Советов. А уже в июле—августе 1929 года ЦК принял ряд постановлений о форсированном развитии многих отраслей тяжелой промышленности (11575).</w:t>
      </w:r>
    </w:p>
    <w:p w14:paraId="7BD0CE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8443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апреля 1929 на закончившемся в Москве пленуме ЦК ВКП(б) И.В.С. добился осуждения группы </w:t>
      </w:r>
      <w:proofErr w:type="spellStart"/>
      <w:r w:rsidRPr="00A259BD">
        <w:rPr>
          <w:rFonts w:ascii="Times New Roman" w:hAnsi="Times New Roman"/>
          <w:color w:val="000000" w:themeColor="text1"/>
          <w:sz w:val="16"/>
          <w:szCs w:val="16"/>
        </w:rPr>
        <w:t>Н.И.Бухарина</w:t>
      </w:r>
      <w:proofErr w:type="spellEnd"/>
      <w:r w:rsidRPr="00A259BD">
        <w:rPr>
          <w:rFonts w:ascii="Times New Roman" w:hAnsi="Times New Roman"/>
          <w:color w:val="000000" w:themeColor="text1"/>
          <w:sz w:val="16"/>
          <w:szCs w:val="16"/>
        </w:rPr>
        <w:t xml:space="preserve">, А.И.Р., </w:t>
      </w:r>
      <w:proofErr w:type="spellStart"/>
      <w:r w:rsidRPr="00A259BD">
        <w:rPr>
          <w:rFonts w:ascii="Times New Roman" w:hAnsi="Times New Roman"/>
          <w:color w:val="000000" w:themeColor="text1"/>
          <w:sz w:val="16"/>
          <w:szCs w:val="16"/>
        </w:rPr>
        <w:t>М.П.Томского</w:t>
      </w:r>
      <w:proofErr w:type="spellEnd"/>
      <w:r w:rsidRPr="00A259BD">
        <w:rPr>
          <w:rFonts w:ascii="Times New Roman" w:hAnsi="Times New Roman"/>
          <w:color w:val="000000" w:themeColor="text1"/>
          <w:sz w:val="16"/>
          <w:szCs w:val="16"/>
        </w:rPr>
        <w:t>, обвиненных в правом уклоне (3186).</w:t>
      </w:r>
    </w:p>
    <w:p w14:paraId="312B4E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720B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апреля 1929 г. Совнарком СССР принял постановление "О пя</w:t>
      </w:r>
      <w:r w:rsidRPr="00A259BD">
        <w:rPr>
          <w:rFonts w:ascii="Times New Roman" w:hAnsi="Times New Roman"/>
          <w:color w:val="000000" w:themeColor="text1"/>
          <w:sz w:val="16"/>
          <w:szCs w:val="16"/>
        </w:rPr>
        <w:softHyphen/>
        <w:t xml:space="preserve">тилетнем народнохозяйственном плане на период 1928/29— 1932/33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Этим планом намечалось увеличить объем промыш</w:t>
      </w:r>
      <w:r w:rsidRPr="00A259BD">
        <w:rPr>
          <w:rFonts w:ascii="Times New Roman" w:hAnsi="Times New Roman"/>
          <w:color w:val="000000" w:themeColor="text1"/>
          <w:sz w:val="16"/>
          <w:szCs w:val="16"/>
        </w:rPr>
        <w:softHyphen/>
        <w:t>ленного производства в 2,8 раза (3898).</w:t>
      </w:r>
    </w:p>
    <w:p w14:paraId="632103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8B10F5" w14:textId="77777777" w:rsidR="00E15FE6"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6163861" w14:textId="77777777" w:rsidR="00E15FE6" w:rsidRPr="00A259BD" w:rsidRDefault="00E15FE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7DD5F9" w14:textId="77777777" w:rsidR="00DF3B23" w:rsidRPr="00A259BD" w:rsidRDefault="00DF3B23"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bCs/>
          <w:iCs/>
          <w:color w:val="000000" w:themeColor="text1"/>
          <w:sz w:val="16"/>
          <w:szCs w:val="16"/>
        </w:rPr>
        <w:t>24 апреля 1929 г.</w:t>
      </w:r>
      <w:r w:rsidRPr="00A259BD">
        <w:rPr>
          <w:rFonts w:ascii="Times New Roman" w:hAnsi="Times New Roman"/>
          <w:color w:val="000000" w:themeColor="text1"/>
          <w:sz w:val="16"/>
          <w:szCs w:val="16"/>
        </w:rPr>
        <w:t xml:space="preserve"> Постановление СНК СССР об отведении участка для размещения Вольского химического полигона, предназначенного для проведения германо-советских работ по химическому оружию и для войсковых испытаний (17133).</w:t>
      </w:r>
    </w:p>
    <w:p w14:paraId="5F86B182" w14:textId="77777777" w:rsidR="00DF3B23" w:rsidRPr="00A259BD" w:rsidRDefault="00DF3B23" w:rsidP="009236E3">
      <w:pPr>
        <w:shd w:val="clear" w:color="auto" w:fill="FFFFFF"/>
        <w:spacing w:after="0" w:line="240" w:lineRule="auto"/>
        <w:jc w:val="both"/>
        <w:rPr>
          <w:rFonts w:ascii="Times New Roman" w:hAnsi="Times New Roman"/>
          <w:color w:val="000000" w:themeColor="text1"/>
          <w:sz w:val="16"/>
          <w:szCs w:val="16"/>
        </w:rPr>
      </w:pPr>
    </w:p>
    <w:p w14:paraId="4D54B266" w14:textId="77777777" w:rsidR="00E15FE6" w:rsidRPr="00A259BD" w:rsidRDefault="00E15FE6"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24 апреля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СНК СССР об авансировании военной промышленности (</w:t>
      </w:r>
      <w:proofErr w:type="spellStart"/>
      <w:r w:rsidRPr="00A259BD">
        <w:rPr>
          <w:rFonts w:ascii="Times New Roman" w:hAnsi="Times New Roman"/>
          <w:color w:val="000000" w:themeColor="text1"/>
          <w:sz w:val="16"/>
          <w:szCs w:val="16"/>
          <w:u w:color="002060"/>
        </w:rPr>
        <w:t>прот</w:t>
      </w:r>
      <w:proofErr w:type="spellEnd"/>
      <w:r w:rsidRPr="00A259BD">
        <w:rPr>
          <w:rFonts w:ascii="Times New Roman" w:hAnsi="Times New Roman"/>
          <w:color w:val="000000" w:themeColor="text1"/>
          <w:sz w:val="16"/>
          <w:szCs w:val="16"/>
          <w:u w:color="002060"/>
        </w:rPr>
        <w:t>. № 11, п. 6) (ГА РФ. Ф. 5446. Оп. 1. Д. 46. Л. 92, 93) (12415).</w:t>
      </w:r>
    </w:p>
    <w:p w14:paraId="454CDBA8" w14:textId="77777777" w:rsidR="00E15FE6" w:rsidRPr="00A259BD" w:rsidRDefault="00E15FE6" w:rsidP="009236E3">
      <w:pPr>
        <w:spacing w:after="0" w:line="240" w:lineRule="auto"/>
        <w:jc w:val="both"/>
        <w:rPr>
          <w:rFonts w:ascii="Times New Roman" w:hAnsi="Times New Roman"/>
          <w:color w:val="000000" w:themeColor="text1"/>
          <w:sz w:val="16"/>
          <w:szCs w:val="16"/>
          <w:u w:color="002060"/>
        </w:rPr>
      </w:pPr>
    </w:p>
    <w:p w14:paraId="3093856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lastRenderedPageBreak/>
        <w:t xml:space="preserve">24 апреля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ЦИК и СНК приняли постановление «Об изменении основных положений о Банке долгосрочного кредитования промышленности и электрохозяйства СССР» (12265).</w:t>
      </w:r>
    </w:p>
    <w:p w14:paraId="2670FA2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5738DC04" w14:textId="77777777" w:rsidR="0096703E"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3B5D7459" w14:textId="77777777" w:rsidR="0096703E" w:rsidRPr="00A259BD" w:rsidRDefault="0096703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454D95" w14:textId="77777777" w:rsidR="0096703E" w:rsidRPr="00A259BD" w:rsidRDefault="0096703E" w:rsidP="009236E3">
      <w:pPr>
        <w:pStyle w:val="ae"/>
        <w:spacing w:before="0" w:after="0"/>
        <w:jc w:val="both"/>
        <w:rPr>
          <w:bCs/>
          <w:color w:val="000000" w:themeColor="text1"/>
          <w:sz w:val="16"/>
          <w:szCs w:val="16"/>
        </w:rPr>
      </w:pPr>
      <w:r w:rsidRPr="00A259BD">
        <w:rPr>
          <w:bCs/>
          <w:color w:val="000000" w:themeColor="text1"/>
          <w:sz w:val="16"/>
          <w:szCs w:val="16"/>
        </w:rPr>
        <w:t>24 апреля 1929 «Боевой устав Военно-воздушных сил РККА (Истребительная авиация)» введен пр. РВС СССР №101 (17150).</w:t>
      </w:r>
    </w:p>
    <w:p w14:paraId="7CBDF909" w14:textId="77777777" w:rsidR="0096703E" w:rsidRPr="00A259BD" w:rsidRDefault="0096703E" w:rsidP="009236E3">
      <w:pPr>
        <w:pStyle w:val="ae"/>
        <w:spacing w:before="0" w:after="0"/>
        <w:jc w:val="both"/>
        <w:rPr>
          <w:bCs/>
          <w:color w:val="000000" w:themeColor="text1"/>
          <w:sz w:val="16"/>
          <w:szCs w:val="16"/>
        </w:rPr>
      </w:pPr>
    </w:p>
    <w:p w14:paraId="1F07B90B" w14:textId="77777777" w:rsidR="00153EE9" w:rsidRPr="00A259BD" w:rsidRDefault="00153EE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апреля 1929 г. </w:t>
      </w:r>
      <w:proofErr w:type="spellStart"/>
      <w:r w:rsidRPr="00A259BD">
        <w:rPr>
          <w:rFonts w:ascii="Times New Roman" w:hAnsi="Times New Roman"/>
          <w:color w:val="000000" w:themeColor="text1"/>
          <w:sz w:val="16"/>
          <w:szCs w:val="16"/>
        </w:rPr>
        <w:t>выщел</w:t>
      </w:r>
      <w:proofErr w:type="spellEnd"/>
      <w:r w:rsidRPr="00A259BD">
        <w:rPr>
          <w:rFonts w:ascii="Times New Roman" w:hAnsi="Times New Roman"/>
          <w:color w:val="000000" w:themeColor="text1"/>
          <w:sz w:val="16"/>
          <w:szCs w:val="16"/>
        </w:rPr>
        <w:t xml:space="preserve"> приказ РВС СССР № 101 «О введении в действие «Боевого Устава ВВС РККА». Кн. 1. «Истребительная авиация» (19566).</w:t>
      </w:r>
    </w:p>
    <w:p w14:paraId="0652AEB2" w14:textId="77777777" w:rsidR="00153EE9" w:rsidRPr="00A259BD" w:rsidRDefault="00153EE9" w:rsidP="009236E3">
      <w:pPr>
        <w:spacing w:after="0" w:line="240" w:lineRule="auto"/>
        <w:jc w:val="both"/>
        <w:rPr>
          <w:rFonts w:ascii="Times New Roman" w:hAnsi="Times New Roman"/>
          <w:color w:val="000000" w:themeColor="text1"/>
          <w:sz w:val="16"/>
          <w:szCs w:val="16"/>
        </w:rPr>
      </w:pPr>
    </w:p>
    <w:p w14:paraId="2D049205"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3629BD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CFF676" w14:textId="77777777" w:rsidR="00202F81" w:rsidRPr="00A259BD" w:rsidRDefault="00202F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24–26 апреля 1929 командир эскадрильи Королевских ВВС Артур Дж. Джонс-Уильямс и лейтенант Норман Х. Дженкинс совершают первый беспосадочный перелет из Великобритании в Британскую Индию на моноплане дальнего действия </w:t>
      </w:r>
      <w:proofErr w:type="spellStart"/>
      <w:r w:rsidRPr="00A259BD">
        <w:rPr>
          <w:rFonts w:ascii="Times New Roman" w:hAnsi="Times New Roman"/>
          <w:color w:val="000000" w:themeColor="text1"/>
          <w:sz w:val="16"/>
          <w:szCs w:val="16"/>
        </w:rPr>
        <w:t>Fairey</w:t>
      </w:r>
      <w:proofErr w:type="spellEnd"/>
      <w:r w:rsidRPr="00A259BD">
        <w:rPr>
          <w:rFonts w:ascii="Times New Roman" w:hAnsi="Times New Roman"/>
          <w:color w:val="000000" w:themeColor="text1"/>
          <w:sz w:val="16"/>
          <w:szCs w:val="16"/>
        </w:rPr>
        <w:t xml:space="preserve">. В хоте перелета из RAF </w:t>
      </w:r>
      <w:proofErr w:type="spellStart"/>
      <w:r w:rsidRPr="00A259BD">
        <w:rPr>
          <w:rFonts w:ascii="Times New Roman" w:hAnsi="Times New Roman"/>
          <w:color w:val="000000" w:themeColor="text1"/>
          <w:sz w:val="16"/>
          <w:szCs w:val="16"/>
        </w:rPr>
        <w:t>Cranwell</w:t>
      </w:r>
      <w:proofErr w:type="spellEnd"/>
      <w:r w:rsidRPr="00A259BD">
        <w:rPr>
          <w:rFonts w:ascii="Times New Roman" w:hAnsi="Times New Roman"/>
          <w:color w:val="000000" w:themeColor="text1"/>
          <w:sz w:val="16"/>
          <w:szCs w:val="16"/>
        </w:rPr>
        <w:t xml:space="preserve"> в Карачи машина преодолевает 4 130 миль (6 651 км) без остановок за 50 часов 48 минут, что на 336 миль (541 км) меньше мирового рекорда по дальности полета (20806). </w:t>
      </w:r>
    </w:p>
    <w:p w14:paraId="652EC8BC" w14:textId="77777777" w:rsidR="00202F81" w:rsidRPr="00A259BD" w:rsidRDefault="00202F81" w:rsidP="009236E3">
      <w:pPr>
        <w:spacing w:after="0" w:line="240" w:lineRule="auto"/>
        <w:jc w:val="both"/>
        <w:rPr>
          <w:rFonts w:ascii="Times New Roman" w:hAnsi="Times New Roman"/>
          <w:color w:val="000000" w:themeColor="text1"/>
          <w:sz w:val="16"/>
          <w:szCs w:val="16"/>
        </w:rPr>
      </w:pPr>
    </w:p>
    <w:p w14:paraId="4ED7B328" w14:textId="77777777" w:rsidR="00202F81" w:rsidRPr="00A259BD" w:rsidRDefault="00202F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апреля 1929 - В Нью-Йорке 17-летняя Элеонор Смит установила мировой рекорд длительности полета, летая на </w:t>
      </w:r>
      <w:proofErr w:type="spellStart"/>
      <w:r w:rsidRPr="00A259BD">
        <w:rPr>
          <w:rFonts w:ascii="Times New Roman" w:hAnsi="Times New Roman"/>
          <w:color w:val="000000" w:themeColor="text1"/>
          <w:sz w:val="16"/>
          <w:szCs w:val="16"/>
        </w:rPr>
        <w:t>Bellanca</w:t>
      </w:r>
      <w:proofErr w:type="spellEnd"/>
      <w:r w:rsidRPr="00A259BD">
        <w:rPr>
          <w:rFonts w:ascii="Times New Roman" w:hAnsi="Times New Roman"/>
          <w:color w:val="000000" w:themeColor="text1"/>
          <w:sz w:val="16"/>
          <w:szCs w:val="16"/>
        </w:rPr>
        <w:t xml:space="preserve"> 300 </w:t>
      </w:r>
      <w:proofErr w:type="spellStart"/>
      <w:r w:rsidRPr="00A259BD">
        <w:rPr>
          <w:rFonts w:ascii="Times New Roman" w:hAnsi="Times New Roman"/>
          <w:color w:val="000000" w:themeColor="text1"/>
          <w:sz w:val="16"/>
          <w:szCs w:val="16"/>
        </w:rPr>
        <w:t>Pacemaker</w:t>
      </w:r>
      <w:proofErr w:type="spellEnd"/>
      <w:r w:rsidRPr="00A259BD">
        <w:rPr>
          <w:rFonts w:ascii="Times New Roman" w:hAnsi="Times New Roman"/>
          <w:color w:val="000000" w:themeColor="text1"/>
          <w:sz w:val="16"/>
          <w:szCs w:val="16"/>
        </w:rPr>
        <w:t xml:space="preserve"> CH в течение 26 часов 21 минуты 32 секунд (22525).</w:t>
      </w:r>
    </w:p>
    <w:p w14:paraId="4400DDB9" w14:textId="77777777" w:rsidR="00202F81" w:rsidRPr="00A259BD" w:rsidRDefault="00202F81" w:rsidP="009236E3">
      <w:pPr>
        <w:spacing w:after="0" w:line="240" w:lineRule="auto"/>
        <w:jc w:val="both"/>
        <w:rPr>
          <w:rFonts w:ascii="Times New Roman" w:hAnsi="Times New Roman"/>
          <w:color w:val="000000" w:themeColor="text1"/>
          <w:sz w:val="16"/>
          <w:szCs w:val="16"/>
        </w:rPr>
      </w:pPr>
    </w:p>
    <w:p w14:paraId="190243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апреля 1929 после парламентских выборов в Дании правительство сформировали социал-демократы (3907,156).</w:t>
      </w:r>
    </w:p>
    <w:p w14:paraId="06D70F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6D18C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B5D047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81A94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апреля 1929 в НИИ ВВС прошли испытания самолета И-4 ЮVI, которые проходили с 1 или 29 июля 1928.</w:t>
      </w:r>
    </w:p>
    <w:p w14:paraId="2B47739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начато 1 июля 1928 года</w:t>
      </w:r>
    </w:p>
    <w:p w14:paraId="6F2A322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поступил на испытание 29 июля 1928 года</w:t>
      </w:r>
    </w:p>
    <w:p w14:paraId="40D4161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закончено 25 апреля 1929 года</w:t>
      </w:r>
    </w:p>
    <w:p w14:paraId="2360EC5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Самолет металлической конструкции, </w:t>
      </w:r>
      <w:proofErr w:type="spellStart"/>
      <w:r w:rsidRPr="00A259BD">
        <w:rPr>
          <w:rFonts w:ascii="Times New Roman" w:hAnsi="Times New Roman"/>
          <w:color w:val="000000" w:themeColor="text1"/>
          <w:sz w:val="16"/>
          <w:szCs w:val="16"/>
        </w:rPr>
        <w:t>полуторапланного</w:t>
      </w:r>
      <w:proofErr w:type="spellEnd"/>
      <w:r w:rsidRPr="00A259BD">
        <w:rPr>
          <w:rFonts w:ascii="Times New Roman" w:hAnsi="Times New Roman"/>
          <w:color w:val="000000" w:themeColor="text1"/>
          <w:sz w:val="16"/>
          <w:szCs w:val="16"/>
        </w:rPr>
        <w:t xml:space="preserve"> типа, одноместный, одномоторный с тянущим винтом.</w:t>
      </w:r>
    </w:p>
    <w:p w14:paraId="585799F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33BAD38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И-4 ЮVI может быть рекомендован на снабжение ВФ как современный истребитель (6966, 126-165).</w:t>
      </w:r>
    </w:p>
    <w:p w14:paraId="2151B55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A78A06" w14:textId="77777777" w:rsidR="00DF3B23" w:rsidRPr="00A259BD" w:rsidRDefault="00DF3B2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апреля в 1929 году закончились испытания второго «И-4» после ряда доработок: установили подогреватель карбюратора, перевернули стабилизатор "вверх ногами", выпуклостью вверх, склонность задирать нос полностью исчезла; переделали </w:t>
      </w:r>
      <w:proofErr w:type="spellStart"/>
      <w:r w:rsidRPr="00A259BD">
        <w:rPr>
          <w:rFonts w:ascii="Times New Roman" w:hAnsi="Times New Roman"/>
          <w:color w:val="000000" w:themeColor="text1"/>
          <w:sz w:val="16"/>
          <w:szCs w:val="16"/>
        </w:rPr>
        <w:t>заголовник</w:t>
      </w:r>
      <w:proofErr w:type="spellEnd"/>
      <w:r w:rsidRPr="00A259BD">
        <w:rPr>
          <w:rFonts w:ascii="Times New Roman" w:hAnsi="Times New Roman"/>
          <w:color w:val="000000" w:themeColor="text1"/>
          <w:sz w:val="16"/>
          <w:szCs w:val="16"/>
        </w:rPr>
        <w:t xml:space="preserve"> пилота, поставили новую ручку управления (на 50 мм короче) и стандартные ручки перезаряжания пулеметов, усилили обтекатели цилиндров и кок винта. Отзыв НИИ был великолепен. Отмечалась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 (15110).</w:t>
      </w:r>
    </w:p>
    <w:p w14:paraId="7466EED4" w14:textId="77777777" w:rsidR="00DF3B23" w:rsidRPr="00A259BD" w:rsidRDefault="00DF3B23" w:rsidP="009236E3">
      <w:pPr>
        <w:spacing w:after="0" w:line="240" w:lineRule="auto"/>
        <w:jc w:val="both"/>
        <w:rPr>
          <w:rFonts w:ascii="Times New Roman" w:hAnsi="Times New Roman"/>
          <w:color w:val="000000" w:themeColor="text1"/>
          <w:sz w:val="16"/>
          <w:szCs w:val="16"/>
        </w:rPr>
      </w:pPr>
    </w:p>
    <w:p w14:paraId="2BE53560" w14:textId="77777777" w:rsidR="00153EE9" w:rsidRPr="00A259BD" w:rsidRDefault="00153EE9"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 xml:space="preserve">25 апреля 1929 г. по </w:t>
      </w:r>
      <w:proofErr w:type="spellStart"/>
      <w:r w:rsidRPr="00A259BD">
        <w:rPr>
          <w:rFonts w:ascii="Times New Roman" w:hAnsi="Times New Roman" w:cs="Times New Roman"/>
          <w:color w:val="000000" w:themeColor="text1"/>
        </w:rPr>
        <w:t>рузультатам</w:t>
      </w:r>
      <w:proofErr w:type="spellEnd"/>
      <w:r w:rsidRPr="00A259BD">
        <w:rPr>
          <w:rFonts w:ascii="Times New Roman" w:hAnsi="Times New Roman" w:cs="Times New Roman"/>
          <w:color w:val="000000" w:themeColor="text1"/>
        </w:rPr>
        <w:t xml:space="preserve"> госиспытаний АНТ-5 дублера НИИ ВВС дал просто великолепный отзыв. В нем отмечались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w:t>
      </w:r>
    </w:p>
    <w:p w14:paraId="133D6F2E" w14:textId="77777777" w:rsidR="00153EE9" w:rsidRPr="00A259BD" w:rsidRDefault="00153EE9"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36DF003E" w14:textId="77777777" w:rsidR="00153EE9" w:rsidRPr="00A259BD" w:rsidRDefault="00153EE9" w:rsidP="009236E3">
      <w:pPr>
        <w:pStyle w:val="a8"/>
        <w:jc w:val="both"/>
        <w:rPr>
          <w:rFonts w:ascii="Times New Roman" w:hAnsi="Times New Roman" w:cs="Times New Roman"/>
          <w:color w:val="000000" w:themeColor="text1"/>
        </w:rPr>
      </w:pPr>
    </w:p>
    <w:p w14:paraId="24191D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апреля 1929 г. на заводе № 1 сформировали группу конструкторов, которые занялись рабочими чертежами Р-5. Но в сентябре директор завода приостановил работу, ссылаясь на отсутствие утвержденного эталона. Теперь таковым решили считать четвертый самолет. От длинной выхлопной трубы отказались, заменив ее индивидуальными патрубками, но несколько иной формы, чем на первой и второй машинах. Как типовой приняли усиленный (с внутренними косынками) водяной радиатор с трубками круглого сечения. Военные потребовали установить ручной стартер, смонтировать электрогенератор, освещение и навигационные огни. Электрооборудование проектом предусматривалось, но на опытных образцах отсутствовало. Но самое главное - следовало усилить планер под бомбовую нагрузку в 800 кг. Для этого предусмотрели подкрепления коробки крыльев, оперения и костыля (11936).</w:t>
      </w:r>
    </w:p>
    <w:p w14:paraId="7297E0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7995C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апреля 1929 г. сформировали группу из девяти конструкторов, которые начали делать рабочие чертежи Р-5. Но в сентябре директор завода приостановил эту работу, ссылаясь на отсутствие утвержденного эталона. Теперь этот вопрос был решен. Эталоном решили считать четвертый самолет, передававшийся предприятию. От длинной выхлопной трубы отказались, заменив ее индивидуальными патрубками, но несколько иной формы, чем на первой и второй машине. Как типовой приняли усиленный (с внутренними косынками короба) водяной радиатор с трубками круглого сечения. Военные требовали установить ручной стартер и смонтировать электрогенератор, освещение и навигационные огни. Ручного стартера для BMW VI у нас в стране не имелось. Электрооборудование проектом предусматривалось, но на опытных образцах Р-5 отсутствовало. А самое главное - надо было усилить планер под бомбовую нагрузку в 800 кг. Для этого предусмотрели подкрепления коробки крыльев, оперения и костыля (12034).</w:t>
      </w:r>
    </w:p>
    <w:p w14:paraId="617F07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третьим опытным экземпляром Р-5 последовал четвертый. Он имел два главных отличия: выхлопную трубу, идущую вдоль левого борга за кабину летнаба (фанеру под ней прикрыли полосой дюраля) и переделанное шасси - более высокое и с выносом колес вперед. Испытания показали, что опасность капотирования уменьшилась, но стало "не хватать" рулей при традиционной посадке "на три точки". Увеличилась также нагрузка на костыль. Длинная выхлопная труба избавила от заноса гари в кабины, но ухудшила обзор влево.</w:t>
      </w:r>
    </w:p>
    <w:p w14:paraId="615541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требовавшегося НТК увеличения окна в полу завод отказался - мешал внутренний кассетный бомбодержатель. Специалисты НИИ ВВС доказали, что сделать это можно: они смонтировали увеличенное окно, закрывавшееся двумя створками, как ставнями. Козырек пилотской кабины на четвертом самолете остался целлулоидным, а не триплексным - триплекса просто не достали.</w:t>
      </w:r>
    </w:p>
    <w:p w14:paraId="1EAC55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Позднее четвертый самолет получил усиления нижнего крыла с расчетом на увеличение бомбовой нагрузки (12034).</w:t>
      </w:r>
    </w:p>
    <w:p w14:paraId="544E67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F642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апреля 1929 г., обсуждая возможность запуска Р-6 в серию, на заседании коллегии Главного военно-промышленного управления ВСНХ, приняли следующую резолюцию: "Признать предлагаемую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условность принятия заказа на... 10 сухопутных цельнометаллических самолетов Р6 (тогда это обозначение писалось без тире) в зависимости от срока окончательного утверждения УВВС опытных конструкций...совершенно правильной". Авиазаводы уже не раз попадали впросак, когда, стремясь выполнить планы, собирали первые серии без утвержденных военными схем размещения вооружения и оборудования, а затем были вынуждены переделывать машины.</w:t>
      </w:r>
    </w:p>
    <w:p w14:paraId="28555F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Несмотря на все препоны, ЦАГИ опоздал ненамного. Все основные узлы были изготовлены, проведены их статические испытания. 26 августа 1929 г. первый Р-6 в основном уже собрали. На самолете смонтировали пару моторов BMW VIЕ 7,3 с максимальной мощностью 730 л.с. Они вращали двухлопастные деревянные винты (разумеется, постоянного шага). Идя в ногу со временем, конструкторы ЦАГИ предусмотрели установку новых пулеметов ДА, хотя в задании были заложены устаревшие "Льюисы" обр. 1924 г. (12036).</w:t>
      </w:r>
    </w:p>
    <w:p w14:paraId="6E41C4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18905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апреля 1929 обсуждая возможность запуска Р-6 в серию, на заседании коллегии ГВПУ ВСНХ приняли резолюцию: «Признать предлагаемую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условность принятия заказа на... 10 сухопутных металлических самолётов Р6 (тогда это обозначение писалось без дефиса - прим. авт.) в зависимости от срока окончательного утверждения УВВС опытных конструкций... совершенно правильной».</w:t>
      </w:r>
    </w:p>
    <w:p w14:paraId="05671DD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Заводы уже не раз попадали впросак, когда, стремясь выполнить план, собирали первые серии без утверждённых УВВС схем размещения оборудования и вооружения, а затем были вынуждены переделывать машины.</w:t>
      </w:r>
    </w:p>
    <w:p w14:paraId="5FEFD9A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Несмотря на возникшие проблемы, ЦАГИ опоздал ненамного. Все основные узлы были изготовлены, проведены их статические испытания (12264).</w:t>
      </w:r>
    </w:p>
    <w:p w14:paraId="0F7CD540" w14:textId="77777777" w:rsidR="00E15FE6" w:rsidRPr="00A259BD" w:rsidRDefault="00E15FE6" w:rsidP="009236E3">
      <w:pPr>
        <w:spacing w:after="0" w:line="240" w:lineRule="auto"/>
        <w:jc w:val="both"/>
        <w:rPr>
          <w:rFonts w:ascii="Times New Roman" w:hAnsi="Times New Roman"/>
          <w:color w:val="000000" w:themeColor="text1"/>
          <w:sz w:val="16"/>
          <w:szCs w:val="16"/>
        </w:rPr>
      </w:pPr>
    </w:p>
    <w:p w14:paraId="430DB0F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F4B073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5FA8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(25 - 1060,47) апреля 1929 закончились гос. испытания дублера АНТ-5 в НИИ ВВС, которые проходили с 1 августа 1928. Приняли в качестве эталона для серии (346,20).</w:t>
      </w:r>
    </w:p>
    <w:p w14:paraId="7CC6D4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2D31B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апреля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49), которое поручило 25 заводу разработать 5 летний план развития АП по опытному строительству и согласовать его с УВВС (2365).</w:t>
      </w:r>
    </w:p>
    <w:p w14:paraId="27CC1D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9412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апреля 1929 ГИК ОПО-4 Ришар и Пом. ГК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Хомский писали письмо N 1/75с о размерах кредитов на 1928/29 операционный год и просил по ТОМ-1 341350, по МР-5 - 100240 (2365,79).</w:t>
      </w:r>
    </w:p>
    <w:p w14:paraId="378D63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335E9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BC1B26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0E625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26 апреля по 4 июня 1929 г. длилась командировка в Германию, где П.В. Можаров посетил следующие фирмы: </w:t>
      </w:r>
      <w:proofErr w:type="spellStart"/>
      <w:r w:rsidRPr="00A259BD">
        <w:rPr>
          <w:rFonts w:ascii="Times New Roman" w:hAnsi="Times New Roman"/>
          <w:color w:val="000000" w:themeColor="text1"/>
          <w:sz w:val="16"/>
          <w:szCs w:val="16"/>
        </w:rPr>
        <w:t>R.Bosh</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Pallas</w:t>
      </w:r>
      <w:proofErr w:type="spellEnd"/>
      <w:r w:rsidRPr="00A259BD">
        <w:rPr>
          <w:rFonts w:ascii="Times New Roman" w:hAnsi="Times New Roman"/>
          <w:color w:val="000000" w:themeColor="text1"/>
          <w:sz w:val="16"/>
          <w:szCs w:val="16"/>
        </w:rPr>
        <w:t xml:space="preserve">, AG, BMW, </w:t>
      </w:r>
      <w:proofErr w:type="spellStart"/>
      <w:r w:rsidRPr="00A259BD">
        <w:rPr>
          <w:rFonts w:ascii="Times New Roman" w:hAnsi="Times New Roman"/>
          <w:color w:val="000000" w:themeColor="text1"/>
          <w:sz w:val="16"/>
          <w:szCs w:val="16"/>
        </w:rPr>
        <w:t>Neader</w:t>
      </w:r>
      <w:proofErr w:type="spellEnd"/>
      <w:r w:rsidRPr="00A259BD">
        <w:rPr>
          <w:rFonts w:ascii="Times New Roman" w:hAnsi="Times New Roman"/>
          <w:color w:val="000000" w:themeColor="text1"/>
          <w:sz w:val="16"/>
          <w:szCs w:val="16"/>
        </w:rPr>
        <w:t>, NSU, на которых удалось приоб</w:t>
      </w:r>
      <w:r w:rsidRPr="00A259BD">
        <w:rPr>
          <w:rFonts w:ascii="Times New Roman" w:hAnsi="Times New Roman"/>
          <w:color w:val="000000" w:themeColor="text1"/>
          <w:sz w:val="16"/>
          <w:szCs w:val="16"/>
        </w:rPr>
        <w:softHyphen/>
        <w:t>рести более трёхсот различных узлов, агрегатов, комплектующих изделий, а также несколько мотоциклов последних моделей.</w:t>
      </w:r>
    </w:p>
    <w:p w14:paraId="6849253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Завершение изготовления мотоциклов ИЖ-1, ИЖ-2, ИЖ-3, ИЖ-4 пошло быстрее; в то же время, открылась возможность сделать два экспериментальных мотоцикла среднего класса (ИЖ-5 и ИЖ-6). Их проектировали и строили в спешном порядке, и они в ещё большей степени представляли собой комбинации за</w:t>
      </w:r>
      <w:r w:rsidRPr="00A259BD">
        <w:rPr>
          <w:rFonts w:ascii="Times New Roman" w:hAnsi="Times New Roman"/>
          <w:color w:val="000000" w:themeColor="text1"/>
          <w:sz w:val="16"/>
          <w:szCs w:val="16"/>
        </w:rPr>
        <w:softHyphen/>
        <w:t>рубежных агрегатов, узлов и деталей с небольшой долей, разра</w:t>
      </w:r>
      <w:r w:rsidRPr="00A259BD">
        <w:rPr>
          <w:rFonts w:ascii="Times New Roman" w:hAnsi="Times New Roman"/>
          <w:color w:val="000000" w:themeColor="text1"/>
          <w:sz w:val="16"/>
          <w:szCs w:val="16"/>
        </w:rPr>
        <w:softHyphen/>
        <w:t xml:space="preserve">ботанных и изготовленных в </w:t>
      </w:r>
      <w:proofErr w:type="spellStart"/>
      <w:r w:rsidRPr="00A259BD">
        <w:rPr>
          <w:rFonts w:ascii="Times New Roman" w:hAnsi="Times New Roman"/>
          <w:color w:val="000000" w:themeColor="text1"/>
          <w:sz w:val="16"/>
          <w:szCs w:val="16"/>
        </w:rPr>
        <w:t>мотосекции</w:t>
      </w:r>
      <w:proofErr w:type="spellEnd"/>
      <w:r w:rsidRPr="00A259BD">
        <w:rPr>
          <w:rFonts w:ascii="Times New Roman" w:hAnsi="Times New Roman"/>
          <w:color w:val="000000" w:themeColor="text1"/>
          <w:sz w:val="16"/>
          <w:szCs w:val="16"/>
        </w:rPr>
        <w:t>.</w:t>
      </w:r>
    </w:p>
    <w:p w14:paraId="5925E3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ИЖ-5 использовалась доработанная рама фирмы “</w:t>
      </w:r>
      <w:proofErr w:type="spellStart"/>
      <w:r w:rsidRPr="00A259BD">
        <w:rPr>
          <w:rFonts w:ascii="Times New Roman" w:hAnsi="Times New Roman"/>
          <w:color w:val="000000" w:themeColor="text1"/>
          <w:sz w:val="16"/>
          <w:szCs w:val="16"/>
        </w:rPr>
        <w:t>Кеапйег</w:t>
      </w:r>
      <w:proofErr w:type="spellEnd"/>
      <w:r w:rsidRPr="00A259BD">
        <w:rPr>
          <w:rFonts w:ascii="Times New Roman" w:hAnsi="Times New Roman"/>
          <w:color w:val="000000" w:themeColor="text1"/>
          <w:sz w:val="16"/>
          <w:szCs w:val="16"/>
        </w:rPr>
        <w:t>”, одноцилиндровый мотор рабочим объёмом 400 см</w:t>
      </w:r>
      <w:r w:rsidRPr="00A259BD">
        <w:rPr>
          <w:rFonts w:ascii="Times New Roman" w:hAnsi="Times New Roman"/>
          <w:color w:val="000000" w:themeColor="text1"/>
          <w:sz w:val="16"/>
          <w:szCs w:val="16"/>
          <w:vertAlign w:val="superscript"/>
        </w:rPr>
        <w:t>3</w:t>
      </w:r>
      <w:r w:rsidRPr="00A259BD">
        <w:rPr>
          <w:rFonts w:ascii="Times New Roman" w:hAnsi="Times New Roman"/>
          <w:color w:val="000000" w:themeColor="text1"/>
          <w:sz w:val="16"/>
          <w:szCs w:val="16"/>
        </w:rPr>
        <w:t>, объединённый с трёхступенчатой КП и цепным приводом веду</w:t>
      </w:r>
      <w:r w:rsidRPr="00A259BD">
        <w:rPr>
          <w:rFonts w:ascii="Times New Roman" w:hAnsi="Times New Roman"/>
          <w:color w:val="000000" w:themeColor="text1"/>
          <w:sz w:val="16"/>
          <w:szCs w:val="16"/>
        </w:rPr>
        <w:softHyphen/>
        <w:t>щего колеса, “кавалерийским” седлом, площадками для ног и от</w:t>
      </w:r>
      <w:r w:rsidRPr="00A259BD">
        <w:rPr>
          <w:rFonts w:ascii="Times New Roman" w:hAnsi="Times New Roman"/>
          <w:color w:val="000000" w:themeColor="text1"/>
          <w:sz w:val="16"/>
          <w:szCs w:val="16"/>
        </w:rPr>
        <w:softHyphen/>
        <w:t>кидной боковой подставкой, заявку на патентование которой П.В. Можаров подал в Германии в 1928 году. На этом мотоцикле использовалась рычажная передняя вилка.</w:t>
      </w:r>
    </w:p>
    <w:p w14:paraId="1DA054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ИЖ-6 предполагалось применить привод заднего колеса ва</w:t>
      </w:r>
      <w:r w:rsidRPr="00A259BD">
        <w:rPr>
          <w:rFonts w:ascii="Times New Roman" w:hAnsi="Times New Roman"/>
          <w:color w:val="000000" w:themeColor="text1"/>
          <w:sz w:val="16"/>
          <w:szCs w:val="16"/>
        </w:rPr>
        <w:softHyphen/>
        <w:t>лом, охватывающую сварную штампованную раму, и аналогич</w:t>
      </w:r>
      <w:r w:rsidRPr="00A259BD">
        <w:rPr>
          <w:rFonts w:ascii="Times New Roman" w:hAnsi="Times New Roman"/>
          <w:color w:val="000000" w:themeColor="text1"/>
          <w:sz w:val="16"/>
          <w:szCs w:val="16"/>
        </w:rPr>
        <w:softHyphen/>
        <w:t>ный двигатель рабочим объёмом 500 см</w:t>
      </w:r>
      <w:r w:rsidRPr="00A259BD">
        <w:rPr>
          <w:rFonts w:ascii="Times New Roman" w:hAnsi="Times New Roman"/>
          <w:color w:val="000000" w:themeColor="text1"/>
          <w:sz w:val="16"/>
          <w:szCs w:val="16"/>
          <w:vertAlign w:val="superscript"/>
        </w:rPr>
        <w:t>3</w:t>
      </w:r>
      <w:r w:rsidRPr="00A259BD">
        <w:rPr>
          <w:rFonts w:ascii="Times New Roman" w:hAnsi="Times New Roman"/>
          <w:color w:val="000000" w:themeColor="text1"/>
          <w:sz w:val="16"/>
          <w:szCs w:val="16"/>
        </w:rPr>
        <w:t>. Разработка этого мото</w:t>
      </w:r>
      <w:r w:rsidRPr="00A259BD">
        <w:rPr>
          <w:rFonts w:ascii="Times New Roman" w:hAnsi="Times New Roman"/>
          <w:color w:val="000000" w:themeColor="text1"/>
          <w:sz w:val="16"/>
          <w:szCs w:val="16"/>
        </w:rPr>
        <w:softHyphen/>
        <w:t xml:space="preserve">цикла шла медленно из-за большого объёма работ в небольшом коллективе </w:t>
      </w:r>
      <w:proofErr w:type="spellStart"/>
      <w:r w:rsidRPr="00A259BD">
        <w:rPr>
          <w:rFonts w:ascii="Times New Roman" w:hAnsi="Times New Roman"/>
          <w:color w:val="000000" w:themeColor="text1"/>
          <w:sz w:val="16"/>
          <w:szCs w:val="16"/>
        </w:rPr>
        <w:t>мотосекции</w:t>
      </w:r>
      <w:proofErr w:type="spellEnd"/>
      <w:r w:rsidRPr="00A259BD">
        <w:rPr>
          <w:rFonts w:ascii="Times New Roman" w:hAnsi="Times New Roman"/>
          <w:color w:val="000000" w:themeColor="text1"/>
          <w:sz w:val="16"/>
          <w:szCs w:val="16"/>
        </w:rPr>
        <w:t>.</w:t>
      </w:r>
    </w:p>
    <w:p w14:paraId="2AE82B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 шесть создаваемых экспериментальных мотоциклов пред</w:t>
      </w:r>
      <w:r w:rsidRPr="00A259BD">
        <w:rPr>
          <w:rFonts w:ascii="Times New Roman" w:hAnsi="Times New Roman"/>
          <w:color w:val="000000" w:themeColor="text1"/>
          <w:sz w:val="16"/>
          <w:szCs w:val="16"/>
        </w:rPr>
        <w:softHyphen/>
        <w:t>полагалось испытать в очередном Всесоюзном мотопробеге [3.65] (11429).</w:t>
      </w:r>
    </w:p>
    <w:p w14:paraId="27C74D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02D21B"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B431FD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92940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апреля 1929 закончился беспосадочный перелет из Англии в Индию (2100).</w:t>
      </w:r>
    </w:p>
    <w:p w14:paraId="3E933D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A2BF36" w14:textId="77777777" w:rsidR="00E15FE6"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B8E3C1B" w14:textId="77777777" w:rsidR="00E15FE6" w:rsidRPr="00A259BD" w:rsidRDefault="00E15FE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AA4A835" w14:textId="77777777" w:rsidR="00DF3B23" w:rsidRPr="00A259BD" w:rsidRDefault="00DF3B23" w:rsidP="009236E3">
      <w:pPr>
        <w:spacing w:after="0" w:line="240" w:lineRule="auto"/>
        <w:jc w:val="both"/>
        <w:rPr>
          <w:rStyle w:val="af0"/>
          <w:rFonts w:ascii="Times New Roman" w:hAnsi="Times New Roman"/>
          <w:i w:val="0"/>
          <w:color w:val="000000" w:themeColor="text1"/>
          <w:sz w:val="16"/>
          <w:szCs w:val="16"/>
        </w:rPr>
      </w:pPr>
      <w:r w:rsidRPr="00A259BD">
        <w:rPr>
          <w:rFonts w:ascii="Times New Roman" w:hAnsi="Times New Roman"/>
          <w:bCs/>
          <w:color w:val="000000" w:themeColor="text1"/>
          <w:sz w:val="16"/>
          <w:szCs w:val="16"/>
        </w:rPr>
        <w:t xml:space="preserve">27 апреля 1929 г. — Доклад бывшего начальника Военно-промышленного управления ВСНХ СССР А. Ф. </w:t>
      </w:r>
      <w:proofErr w:type="spellStart"/>
      <w:r w:rsidRPr="00A259BD">
        <w:rPr>
          <w:rFonts w:ascii="Times New Roman" w:hAnsi="Times New Roman"/>
          <w:bCs/>
          <w:color w:val="000000" w:themeColor="text1"/>
          <w:sz w:val="16"/>
          <w:szCs w:val="16"/>
        </w:rPr>
        <w:t>Толоконцева</w:t>
      </w:r>
      <w:proofErr w:type="spellEnd"/>
      <w:r w:rsidRPr="00A259BD">
        <w:rPr>
          <w:rFonts w:ascii="Times New Roman" w:hAnsi="Times New Roman"/>
          <w:bCs/>
          <w:color w:val="000000" w:themeColor="text1"/>
          <w:sz w:val="16"/>
          <w:szCs w:val="16"/>
        </w:rPr>
        <w:t xml:space="preserve"> в Политбюро ЦК ВКП(б) о состоянии военной промышленности в 1925/26—1927/28 гг.</w:t>
      </w:r>
    </w:p>
    <w:p w14:paraId="09D5CF4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6A7D77FC"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Ввиду моего ухода из военной промышленности после 2,5 лет работы я считаю необходимым доложить Политбюро как о достигнутых результатах, так и об имеющихся недостатках в военной промышленности за истекший период. Это тем более необходимо в связи с данными ОГПУ о существовании вредительской организации в военной промышленности.</w:t>
      </w:r>
    </w:p>
    <w:p w14:paraId="6A70EA4B"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 xml:space="preserve">Не буду подробно останавливаться на состоянии военной промышленности в момент моего прихода (конец 1926 г.), совпавшего с ее реорганизацией (создание трестов по производственному признаку). Характеристика действительного состояния военной промышленности сводилась к следующему. 1) наличие недоделов по военным заказам, достигших 24 млн. руб.; 2) задолженность </w:t>
      </w:r>
      <w:proofErr w:type="spellStart"/>
      <w:r w:rsidRPr="00A259BD">
        <w:rPr>
          <w:color w:val="000000" w:themeColor="text1"/>
          <w:sz w:val="16"/>
          <w:szCs w:val="16"/>
        </w:rPr>
        <w:t>военведу</w:t>
      </w:r>
      <w:proofErr w:type="spellEnd"/>
      <w:r w:rsidRPr="00A259BD">
        <w:rPr>
          <w:color w:val="000000" w:themeColor="text1"/>
          <w:sz w:val="16"/>
          <w:szCs w:val="16"/>
        </w:rPr>
        <w:t xml:space="preserve"> в сумме 24 млн. руб.; 3) избыток рабсилы, слабая производительность труда; 4) полная неупорядоченность отчетности и отсутствие калькуляции на изделия; 5) громадная убыточность, составившая за три года (до реорганизации) 51,7 млн. руб. и в последний год (1925/26 г.) до реорганизации — 14,8 млн. руб.; 6) отсутствие какого бы то ни было плана реконструкции заводов и ориентировочного перспективного плана заказов; 7) отсутствие утвержденного правительством плана потребностей по боевому снабжению на год ведения войны, что ставило военную промышленность в весьма тяжелое положение при определении необходимых кредитов на реконструкцию и расширение военных заводов, и тем самым ставилась под знак вопроса обороноспособность страны.</w:t>
      </w:r>
    </w:p>
    <w:p w14:paraId="08D920BB"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 xml:space="preserve">Ряд других существенных недостатков внутри военной промышленности характеризовали ее положение: кастовость старых специалистов на военных заводах, воспитанных военным министерством, работавших десятки лет при системе госбюджетного финансирования. Хотя формально после Октябрьской революции военные заводы и были подчинены </w:t>
      </w:r>
      <w:proofErr w:type="spellStart"/>
      <w:r w:rsidRPr="00A259BD">
        <w:rPr>
          <w:color w:val="000000" w:themeColor="text1"/>
          <w:sz w:val="16"/>
          <w:szCs w:val="16"/>
        </w:rPr>
        <w:t>Чусо</w:t>
      </w:r>
      <w:proofErr w:type="spellEnd"/>
      <w:r w:rsidRPr="00A259BD">
        <w:rPr>
          <w:color w:val="000000" w:themeColor="text1"/>
          <w:sz w:val="16"/>
          <w:szCs w:val="16"/>
        </w:rPr>
        <w:t xml:space="preserve"> и после ВСНХ, но система хозрасчета была введена лишь в 1926 г. До этого времени </w:t>
      </w:r>
      <w:proofErr w:type="spellStart"/>
      <w:r w:rsidRPr="00A259BD">
        <w:rPr>
          <w:color w:val="000000" w:themeColor="text1"/>
          <w:sz w:val="16"/>
          <w:szCs w:val="16"/>
        </w:rPr>
        <w:t>военвед</w:t>
      </w:r>
      <w:proofErr w:type="spellEnd"/>
      <w:r w:rsidRPr="00A259BD">
        <w:rPr>
          <w:color w:val="000000" w:themeColor="text1"/>
          <w:sz w:val="16"/>
          <w:szCs w:val="16"/>
        </w:rPr>
        <w:t xml:space="preserve"> выдавал наряды непосредственно на заводы или через </w:t>
      </w:r>
      <w:proofErr w:type="spellStart"/>
      <w:r w:rsidRPr="00A259BD">
        <w:rPr>
          <w:color w:val="000000" w:themeColor="text1"/>
          <w:sz w:val="16"/>
          <w:szCs w:val="16"/>
        </w:rPr>
        <w:t>Военпром</w:t>
      </w:r>
      <w:proofErr w:type="spellEnd"/>
      <w:r w:rsidRPr="00A259BD">
        <w:rPr>
          <w:color w:val="000000" w:themeColor="text1"/>
          <w:sz w:val="16"/>
          <w:szCs w:val="16"/>
        </w:rPr>
        <w:t>, и последний получал ассигнования по бюджету независимо от выполнения программных обязательств.</w:t>
      </w:r>
    </w:p>
    <w:p w14:paraId="0CC9657A"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Далее я остановлюсь вкратце на проделанной работе. Все те вопиющие недочеты военной промышленности, которые отмечались Политбюро в 1926 г. до момента реорганизации, устранены почти полностью.</w:t>
      </w:r>
    </w:p>
    <w:p w14:paraId="2546ADFF"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 xml:space="preserve">1. Недоделы — это зло, хронически переходившее из года в год, — ликвидированы, и программа 1927/28 г. военной промышленности в целом согласно договорным обязательствам с военным ведомством выполнена на 99,8%. По трестам выполнение выражается в следующем виде: </w:t>
      </w:r>
      <w:proofErr w:type="spellStart"/>
      <w:r w:rsidRPr="00A259BD">
        <w:rPr>
          <w:color w:val="000000" w:themeColor="text1"/>
          <w:sz w:val="16"/>
          <w:szCs w:val="16"/>
        </w:rPr>
        <w:t>Авиатрест</w:t>
      </w:r>
      <w:proofErr w:type="spellEnd"/>
      <w:r w:rsidRPr="00A259BD">
        <w:rPr>
          <w:color w:val="000000" w:themeColor="text1"/>
          <w:sz w:val="16"/>
          <w:szCs w:val="16"/>
        </w:rPr>
        <w:t xml:space="preserve"> — 92,4%, </w:t>
      </w:r>
      <w:proofErr w:type="spellStart"/>
      <w:r w:rsidRPr="00A259BD">
        <w:rPr>
          <w:color w:val="000000" w:themeColor="text1"/>
          <w:sz w:val="16"/>
          <w:szCs w:val="16"/>
        </w:rPr>
        <w:t>Патрубтрест</w:t>
      </w:r>
      <w:proofErr w:type="spellEnd"/>
      <w:r w:rsidRPr="00A259BD">
        <w:rPr>
          <w:color w:val="000000" w:themeColor="text1"/>
          <w:sz w:val="16"/>
          <w:szCs w:val="16"/>
        </w:rPr>
        <w:t xml:space="preserve"> — 97,5%, Руж — 100,3%, </w:t>
      </w:r>
      <w:proofErr w:type="spellStart"/>
      <w:r w:rsidRPr="00A259BD">
        <w:rPr>
          <w:color w:val="000000" w:themeColor="text1"/>
          <w:sz w:val="16"/>
          <w:szCs w:val="16"/>
        </w:rPr>
        <w:t>Орудартрест</w:t>
      </w:r>
      <w:proofErr w:type="spellEnd"/>
      <w:r w:rsidRPr="00A259BD">
        <w:rPr>
          <w:color w:val="000000" w:themeColor="text1"/>
          <w:sz w:val="16"/>
          <w:szCs w:val="16"/>
        </w:rPr>
        <w:t xml:space="preserve"> — 105,1%, </w:t>
      </w:r>
      <w:proofErr w:type="spellStart"/>
      <w:r w:rsidRPr="00A259BD">
        <w:rPr>
          <w:color w:val="000000" w:themeColor="text1"/>
          <w:sz w:val="16"/>
          <w:szCs w:val="16"/>
        </w:rPr>
        <w:t>Вохимтрест</w:t>
      </w:r>
      <w:proofErr w:type="spellEnd"/>
      <w:r w:rsidRPr="00A259BD">
        <w:rPr>
          <w:color w:val="000000" w:themeColor="text1"/>
          <w:sz w:val="16"/>
          <w:szCs w:val="16"/>
        </w:rPr>
        <w:t> — 103,4%.</w:t>
      </w:r>
    </w:p>
    <w:p w14:paraId="238DDDB7"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2. Задолженность была ликвидирована в первом полугодии начатой работы.</w:t>
      </w:r>
    </w:p>
    <w:p w14:paraId="147F734D"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3. Избыточная рабсила ликвидирована.</w:t>
      </w:r>
    </w:p>
    <w:p w14:paraId="7876FED3"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4. Загрузка заводов как по военной, так и по мирной продукции увеличилась в 1928/29 г. против 1925/26 г. по валовой продукции с 167,1 млн. руб. до 419,8 млн. руб., или в 2,5 раза, а по товарной — с 149,5 млн. руб. до 370,9 млн. руб. При этом вовлечено в производство новых 22,5 тыс. рабочих.</w:t>
      </w:r>
    </w:p>
    <w:p w14:paraId="081AEB27"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5. Отчетность налажена и находится на уровне лучших промышленных предприятий. Упорядочена калькуляционная работа в трестах и на заводах. Заводы переведены на хозяйственный расчет.</w:t>
      </w:r>
    </w:p>
    <w:p w14:paraId="0BBBEC72"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 xml:space="preserve">6. Большие размеры убыточности изжиты. За первые два года по утвержденным балансам прибыль составила 23,9 млн. руб. и на 1928/29 г. по </w:t>
      </w:r>
      <w:proofErr w:type="spellStart"/>
      <w:r w:rsidRPr="00A259BD">
        <w:rPr>
          <w:color w:val="000000" w:themeColor="text1"/>
          <w:sz w:val="16"/>
          <w:szCs w:val="16"/>
        </w:rPr>
        <w:t>промфинплану</w:t>
      </w:r>
      <w:proofErr w:type="spellEnd"/>
      <w:r w:rsidRPr="00A259BD">
        <w:rPr>
          <w:color w:val="000000" w:themeColor="text1"/>
          <w:sz w:val="16"/>
          <w:szCs w:val="16"/>
        </w:rPr>
        <w:t xml:space="preserve"> прибыль намечена в 15,3 млн. руб. Таким путем из военной кадровой промышленности мы сумели создать вполне жизненные предприятия, которые дают прибыли 39,2 млн. руб. за три года, тогда как в докладе от 3 августа 1926 г. (с. 17), посланном на имя т. Сталина, Рыкова, Куйбышева Ворошилова, </w:t>
      </w:r>
      <w:proofErr w:type="spellStart"/>
      <w:r w:rsidRPr="00A259BD">
        <w:rPr>
          <w:color w:val="000000" w:themeColor="text1"/>
          <w:sz w:val="16"/>
          <w:szCs w:val="16"/>
        </w:rPr>
        <w:t>Толоконцева</w:t>
      </w:r>
      <w:proofErr w:type="spellEnd"/>
      <w:r w:rsidRPr="00A259BD">
        <w:rPr>
          <w:color w:val="000000" w:themeColor="text1"/>
          <w:sz w:val="16"/>
          <w:szCs w:val="16"/>
        </w:rPr>
        <w:t>, казалась неизбежной, при сохранении существовавших цен, убыточность военной промышленности в размерах до 20 млн. руб. в 1926/27 г., или повышение цен на 25% («...¹*Благодаря вышеуказанным обстоятельствам военная промышленность должна или: а) понести в отчетном году примерно до 20 млн. руб. убытку, или требовать повышения цен минимум на 25%, что в конечном итоге является одним и тем же...»). Однако фактическая работа дала иные результаты. За это время проведено снижение отпускных цен на 14%, а снижение себестоимости составило в 1926/27 г. 7,1%, в 1927/28 — 7,9%, в 1928/29 — 9,5%, а всего — 22,5%, и военная промышленность вышла из состояния убыточности, давая прибыль.</w:t>
      </w:r>
    </w:p>
    <w:p w14:paraId="436A8A82"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 xml:space="preserve">7. По предложению ВСНХ утверждена правительством (РЗ СТО) потребность </w:t>
      </w:r>
      <w:proofErr w:type="spellStart"/>
      <w:r w:rsidRPr="00A259BD">
        <w:rPr>
          <w:color w:val="000000" w:themeColor="text1"/>
          <w:sz w:val="16"/>
          <w:szCs w:val="16"/>
        </w:rPr>
        <w:t>военведа</w:t>
      </w:r>
      <w:proofErr w:type="spellEnd"/>
      <w:r w:rsidRPr="00A259BD">
        <w:rPr>
          <w:color w:val="000000" w:themeColor="text1"/>
          <w:sz w:val="16"/>
          <w:szCs w:val="16"/>
        </w:rPr>
        <w:t xml:space="preserve"> на год ведения войны (июль 1928 г.). Теперь ВСНХ после утверждения заявки, безусловно, должен и может разработать программу капитальных работ с полным учетом потребностей обороны страны согласно утвержденному плану правительством как на трехлетие, так и на пятилетие и выполнить таковую, хотя это потребует большого напряжения сил как военной, так и гражданской промышленности, ибо утвержденная пятилетка требует боевого снабжения в целом больше 1916 г. в 4</w:t>
      </w:r>
      <w:r w:rsidRPr="00A259BD">
        <w:rPr>
          <w:color w:val="000000" w:themeColor="text1"/>
          <w:sz w:val="16"/>
          <w:szCs w:val="16"/>
        </w:rPr>
        <w:noBreakHyphen/>
        <w:t>5 раз, а по некоторым видам вооружения — до 15 раз, а также требует организации ряда новых производств предметов вооружения. Это может быть достигнуто при устойчивости заявки.</w:t>
      </w:r>
    </w:p>
    <w:p w14:paraId="695086CC"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 xml:space="preserve">Конечно, я вполне допускаю возможность изменения отдельных элементов заявки </w:t>
      </w:r>
      <w:proofErr w:type="spellStart"/>
      <w:r w:rsidRPr="00A259BD">
        <w:rPr>
          <w:color w:val="000000" w:themeColor="text1"/>
          <w:sz w:val="16"/>
          <w:szCs w:val="16"/>
        </w:rPr>
        <w:t>военведа</w:t>
      </w:r>
      <w:proofErr w:type="spellEnd"/>
      <w:r w:rsidRPr="00A259BD">
        <w:rPr>
          <w:color w:val="000000" w:themeColor="text1"/>
          <w:sz w:val="16"/>
          <w:szCs w:val="16"/>
        </w:rPr>
        <w:t xml:space="preserve"> на протяжении 3</w:t>
      </w:r>
      <w:r w:rsidRPr="00A259BD">
        <w:rPr>
          <w:color w:val="000000" w:themeColor="text1"/>
          <w:sz w:val="16"/>
          <w:szCs w:val="16"/>
        </w:rPr>
        <w:noBreakHyphen/>
        <w:t xml:space="preserve">5 лет, в особенности в связи с принятием на вооружение новых видов и образцов, но опасаюсь больших изменений в утвержденной правительством номенклатуре потребности в момент больших вложений на реконструкцию и расширение действующих заводов военной промышленности. Отдельные факты имеют место уже в настоящее время в части тяжелой артиллерии. Заявка </w:t>
      </w:r>
      <w:proofErr w:type="spellStart"/>
      <w:r w:rsidRPr="00A259BD">
        <w:rPr>
          <w:color w:val="000000" w:themeColor="text1"/>
          <w:sz w:val="16"/>
          <w:szCs w:val="16"/>
        </w:rPr>
        <w:t>военведа</w:t>
      </w:r>
      <w:proofErr w:type="spellEnd"/>
      <w:r w:rsidRPr="00A259BD">
        <w:rPr>
          <w:color w:val="000000" w:themeColor="text1"/>
          <w:sz w:val="16"/>
          <w:szCs w:val="16"/>
        </w:rPr>
        <w:t xml:space="preserve"> на год ведения войны утверждена в июле 1928 г., а в апреле 1929 г. </w:t>
      </w:r>
      <w:proofErr w:type="spellStart"/>
      <w:r w:rsidRPr="00A259BD">
        <w:rPr>
          <w:color w:val="000000" w:themeColor="text1"/>
          <w:sz w:val="16"/>
          <w:szCs w:val="16"/>
        </w:rPr>
        <w:t>военвед</w:t>
      </w:r>
      <w:proofErr w:type="spellEnd"/>
      <w:r w:rsidRPr="00A259BD">
        <w:rPr>
          <w:color w:val="000000" w:themeColor="text1"/>
          <w:sz w:val="16"/>
          <w:szCs w:val="16"/>
        </w:rPr>
        <w:t xml:space="preserve"> внес новые цифры со значительным ее увеличением.</w:t>
      </w:r>
    </w:p>
    <w:p w14:paraId="51503DB0"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В вопросах производительности труда и роста зарплаты мы безусловно выдержали линию партии. В 1925/26 г. выработка на одного рабочего по военной промышленности составляла 194 руб., в 1926/27 г. — 242 руб., в 1927/28 г. — 294 руб., в 1928/29 г. — 352 руб., или увеличение против 1925/26 г. на 81%. Зарплата составляла: в 1925/26 г. — 59 руб. в 1926/27 г. — 67 руб., в 1927/28 г. — 77 руб., в 1928/29 г. — 85 руб., или увеличение против 1925/26 г. на 44%.</w:t>
      </w:r>
    </w:p>
    <w:p w14:paraId="0E5B7344"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lastRenderedPageBreak/>
        <w:t>Серьезным достижением является организация производства мирной продукции на военных заводах, без чего невозможна правильная подготовка к обороне. Ввиду неизбежности значительного увеличения потребности в боевом снаряжении во время войны и быстрого развертывания промышленности по вполне понятным причинам необходимо военные заводы иметь живыми с достаточным количеством квалифицированной рабочей силы и техническим персоналом. Работа военной промышленности в условиях мирного времени должна быть направлена к обеспечению возможности быстрейшего перехода на работу для нужд обороны в случае осложнений. Выпуск мирной продукции составил: в 1925/26 г. — 44 млн. руб., 1926/27 г. — 56 млн. руб., в 1927/28 г. — 74 млн. руб., в 1928/29 г. — 135 млн. руб. Рост мирной продукции в 1928/29 г. против 1925/26 г. утроился. В 1928/29 г. против 1927/28 г. запроектировано увеличение выпуска мирной продукции на 67%. Таким образом, в области мирных производств за эти годы, как видно, мы достигли серьезных результатов. По военно-промышленным трестам это распределяется следующим образом: Оружейно-пулеметный трест имеет программу по мирной продукции больше чем по военной, составляющую 50,5% от общего задания по выпуску; Орудийно-арсенальный — 42,8%; Патронно-трубочный — 43,6% и Военно-химический — 37,7%. Ряд мирных изделий, выпускаемых военными заводами, гражданская промышленность совсем не изготовляет. Если бы производства их не были организованы на военных заводах, то это потребовало бы затрат в валюте на импорт в сумме нескольких десятков миллионов рублей.</w:t>
      </w:r>
    </w:p>
    <w:p w14:paraId="6561A183"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За истекший период нам удалось заключить 11 договоров о техпомощи с заграничными фирмами по организации военных и, главным образом, мирных производств (из них с немецкими фирмами — 5, с французскими — 5 и со швейцарскими — 1). Важнейшие договоры: на организацию производства искусственного волокна, кино- и фотопленки, активированного угля, улавливания паров спирта и эфира из воздуха, новых типов авиамоторов, приборов зажигания для авиации. Привлечены также французские специалисты по проектированию у нас мощных самолетов и немецкие специалисты по проектированию оригинальных танков. В последние дни ведутся переговоры с фирмой «Крупп» о технической помощи в области производства качественной металлургии.</w:t>
      </w:r>
    </w:p>
    <w:p w14:paraId="6D7E0610"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При такой подготовке я уверен, что военная промышленность имеет все необходимые условия для успешного развития как военных, так и мирных производств. Эта стоило больших трудов и может быть понято теми, кто объективно оценит итоги работы военной промышленности за последние годы.</w:t>
      </w:r>
    </w:p>
    <w:p w14:paraId="16BB8E19"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 xml:space="preserve">Одним из серьезнейших вопросов являются капитальные вложения. Всем известно, что военная промышленность работала с величайшим напряжением в годы империалистической и Гражданской войн и пережила то же расстройство, что и гражданская промышленность (в отдельных случаях даже более значительные). Военная промышленность, основной капитал которой составляет свыше 500 млн. руб. на 1 октября 1926 г., за весь восстановительный период до 1926/27 г. получила лишь 62 млн. руб. за счет госбюджета, не производя амортизационных начислений на сдаваемую продукцию. Если учесть значительный износ, который безусловно превышал 12%, то станет ясным, что о сколько-нибудь заметной реконструкции к концу 1926 г. говорить не приходится; даже далеко не [все] были восстановлены здания, отремонтировано оборудование, не говоря об устранении «узких» мест. С момента </w:t>
      </w:r>
      <w:proofErr w:type="spellStart"/>
      <w:r w:rsidRPr="00A259BD">
        <w:rPr>
          <w:color w:val="000000" w:themeColor="text1"/>
          <w:sz w:val="16"/>
          <w:szCs w:val="16"/>
        </w:rPr>
        <w:t>растрестирования</w:t>
      </w:r>
      <w:proofErr w:type="spellEnd"/>
      <w:r w:rsidRPr="00A259BD">
        <w:rPr>
          <w:color w:val="000000" w:themeColor="text1"/>
          <w:sz w:val="16"/>
          <w:szCs w:val="16"/>
        </w:rPr>
        <w:t xml:space="preserve"> по 1928/29 г. (включительно) в военную промышленность будет вложено 245,2 млн. руб.: на жилстроительство — 36,5 млн. руб., на </w:t>
      </w:r>
      <w:proofErr w:type="spellStart"/>
      <w:r w:rsidRPr="00A259BD">
        <w:rPr>
          <w:color w:val="000000" w:themeColor="text1"/>
          <w:sz w:val="16"/>
          <w:szCs w:val="16"/>
        </w:rPr>
        <w:t>культстроительство</w:t>
      </w:r>
      <w:proofErr w:type="spellEnd"/>
      <w:r w:rsidRPr="00A259BD">
        <w:rPr>
          <w:color w:val="000000" w:themeColor="text1"/>
          <w:sz w:val="16"/>
          <w:szCs w:val="16"/>
        </w:rPr>
        <w:t> — 2,4 млн. руб. и мирные производства (только в этом году) — 4,7 млн. руб. Из указанного размера капитальных затрат военная промышленность вложила своих средств (амортизация, прибыль, сокращение материалов и оборудования) 120,5 млн. руб.</w:t>
      </w:r>
    </w:p>
    <w:p w14:paraId="34471958"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В первый год 1926/27 вложенные средства были израсходованы в размере 25% на восстановление и капитальный ремонт и 75% на расширение. В 1927/28 г. — 18% на капитальный ремонт и 82% на расширение. В 1928/29 г. намечено 95% на расширение и на капитальный ремонт только 5%.</w:t>
      </w:r>
    </w:p>
    <w:p w14:paraId="26A40AA7"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«Больным» местом является завоз импортного оборудования. Правительством был утвержден контингент на 1926/27 г. в сумме 5546 тыс. руб. и 1927/28 г. 11 930 тыс. руб., всего — 17 476 тыс. руб. Из этого контингента до настоящего времени ввезено только на 6763 тыс. руб., или 38,7%, и в настоящем 1928/29 г. по основному плану утверждено 11 млн. руб. и по авансовому 5 млн. руб. До настоящего времени из оборудования по плану 1928/29 г. не поступило ни одного станка. Такой темп реализации импорта в значительной степени влиял на несвоевременное выполнение плана капитальных работ в 1927/28 г. При этом положении с импортом для военной промышленности без специальной директивы преодолеть эти ненормальности невозможно.</w:t>
      </w:r>
    </w:p>
    <w:p w14:paraId="7E397FA8"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 xml:space="preserve">Вот основные итоги работы военной промышленности за 2,5 года. Бесспорны серьезные достижения по основным показателям, которые достигнуты благодаря удачному подбору руководителей трестов и привлечению значительного числа партийцев как в аппараты трестов, так и в ГВПУ. В руководящем составе трестов — бывшие рабочие, имеющие серьезный опыт на хозяйственной работе. Партийная прослойка в аппаратах военно-промышленных трестов в настоящее время составляет: </w:t>
      </w:r>
      <w:proofErr w:type="spellStart"/>
      <w:r w:rsidRPr="00A259BD">
        <w:rPr>
          <w:color w:val="000000" w:themeColor="text1"/>
          <w:sz w:val="16"/>
          <w:szCs w:val="16"/>
        </w:rPr>
        <w:t>Военнохимический</w:t>
      </w:r>
      <w:proofErr w:type="spellEnd"/>
      <w:r w:rsidRPr="00A259BD">
        <w:rPr>
          <w:color w:val="000000" w:themeColor="text1"/>
          <w:sz w:val="16"/>
          <w:szCs w:val="16"/>
        </w:rPr>
        <w:t> — 18,5%, Оружейно-пулеметный — 16,8%, Патронно-трубочный — 18,5%, Орудийно-арсенальный — 18%, Авиационный — 25%, ГВПУ — 39%.</w:t>
      </w:r>
    </w:p>
    <w:p w14:paraId="7EE34BCF"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 xml:space="preserve">Преувеличены доводы некоторых весьма уважаемых товарищей, что в военной промышленности засели старые генералы. В составе аппарата ГВПУ их имелось несколько человек. Даже при таком большом количестве партийцев (39%) вредителей было весьма трудно распознать, так как возглавлявший их Михайлов (ведавший технической частью член коллегии ГВПУ) мог казаться вполне </w:t>
      </w:r>
      <w:proofErr w:type="spellStart"/>
      <w:r w:rsidRPr="00A259BD">
        <w:rPr>
          <w:color w:val="000000" w:themeColor="text1"/>
          <w:sz w:val="16"/>
          <w:szCs w:val="16"/>
        </w:rPr>
        <w:t>советски</w:t>
      </w:r>
      <w:proofErr w:type="spellEnd"/>
      <w:r w:rsidRPr="00A259BD">
        <w:rPr>
          <w:color w:val="000000" w:themeColor="text1"/>
          <w:sz w:val="16"/>
          <w:szCs w:val="16"/>
        </w:rPr>
        <w:t xml:space="preserve"> настроенным: он безоговорочно выступал с докладами на ряде собраний, на партактивах и принимал к руководству и исполнению деловую критику. Это явление убеждает в весьма тонкой приспособленности его. Он был в числе первых инженеров и техников военной промышленности, отмежевавшихся от </w:t>
      </w:r>
      <w:proofErr w:type="spellStart"/>
      <w:r w:rsidRPr="00A259BD">
        <w:rPr>
          <w:color w:val="000000" w:themeColor="text1"/>
          <w:sz w:val="16"/>
          <w:szCs w:val="16"/>
        </w:rPr>
        <w:t>шахтинцев</w:t>
      </w:r>
      <w:proofErr w:type="spellEnd"/>
      <w:r w:rsidRPr="00A259BD">
        <w:rPr>
          <w:color w:val="000000" w:themeColor="text1"/>
          <w:sz w:val="16"/>
          <w:szCs w:val="16"/>
        </w:rPr>
        <w:t xml:space="preserve"> и специально выступивших </w:t>
      </w:r>
      <w:r w:rsidRPr="00A259BD">
        <w:rPr>
          <w:rStyle w:val="af0"/>
          <w:i w:val="0"/>
          <w:color w:val="000000" w:themeColor="text1"/>
          <w:sz w:val="16"/>
          <w:szCs w:val="16"/>
        </w:rPr>
        <w:t>с</w:t>
      </w:r>
      <w:r w:rsidRPr="00A259BD">
        <w:rPr>
          <w:color w:val="000000" w:themeColor="text1"/>
          <w:sz w:val="16"/>
          <w:szCs w:val="16"/>
        </w:rPr>
        <w:t xml:space="preserve"> заявлением в печати.</w:t>
      </w:r>
    </w:p>
    <w:p w14:paraId="70E04719"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В заключение остановлюсь в нескольких словах на критике работы военной промышленности со стороны Военно-морской инспекции РКИ. Меня, а также и руководителей трестов удивляет подход т. </w:t>
      </w:r>
      <w:proofErr w:type="spellStart"/>
      <w:r w:rsidR="00000000">
        <w:fldChar w:fldCharType="begin"/>
      </w:r>
      <w:r w:rsidR="00000000">
        <w:instrText>HYPERLINK "http://www.hrono.ru/biograf/bio_p/pavlunovski_ip.php"</w:instrText>
      </w:r>
      <w:r w:rsidR="00000000">
        <w:fldChar w:fldCharType="separate"/>
      </w:r>
      <w:r w:rsidRPr="00A259BD">
        <w:rPr>
          <w:color w:val="000000" w:themeColor="text1"/>
          <w:sz w:val="16"/>
          <w:szCs w:val="16"/>
        </w:rPr>
        <w:t>Павлуновского</w:t>
      </w:r>
      <w:proofErr w:type="spellEnd"/>
      <w:r w:rsidR="00000000">
        <w:rPr>
          <w:color w:val="000000" w:themeColor="text1"/>
          <w:sz w:val="16"/>
          <w:szCs w:val="16"/>
        </w:rPr>
        <w:fldChar w:fldCharType="end"/>
      </w:r>
      <w:r w:rsidRPr="00A259BD">
        <w:rPr>
          <w:color w:val="000000" w:themeColor="text1"/>
          <w:sz w:val="16"/>
          <w:szCs w:val="16"/>
        </w:rPr>
        <w:t xml:space="preserve"> в таком серьезном вопросе, связанном с обороной страны. Я имею перед собой два документа: первый из них от 12 мая 1928 г. (№ 3069</w:t>
      </w:r>
      <w:r w:rsidRPr="00A259BD">
        <w:rPr>
          <w:color w:val="000000" w:themeColor="text1"/>
          <w:sz w:val="16"/>
          <w:szCs w:val="16"/>
        </w:rPr>
        <w:noBreakHyphen/>
        <w:t>сс), где указывается состояние, в котором находится военная промышленность и ее производственная мощность. По выводам, т. </w:t>
      </w:r>
      <w:proofErr w:type="spellStart"/>
      <w:r w:rsidRPr="00A259BD">
        <w:rPr>
          <w:color w:val="000000" w:themeColor="text1"/>
          <w:sz w:val="16"/>
          <w:szCs w:val="16"/>
        </w:rPr>
        <w:t>Павлуновского</w:t>
      </w:r>
      <w:proofErr w:type="spellEnd"/>
      <w:r w:rsidRPr="00A259BD">
        <w:rPr>
          <w:color w:val="000000" w:themeColor="text1"/>
          <w:sz w:val="16"/>
          <w:szCs w:val="16"/>
        </w:rPr>
        <w:t>, сделанным в этом докладе, военная промышленность имеет полную мощность по лит[ере] «С» (24 млн. выстрелов). Этот вывод его — совершенно не заслуженный комплимент для военной промышленности; а с другой стороны, им выдвинуто обвинение о скрытии фактических мощностей (с. 14): «...ВПУ, как уже указано выше, проектирует и производит постройку новых заводов и расширение существующих для получения проектных цифр, фактически уже достигнутых к настоящему моменту, и предположенные «затрате огромные средства — 270 млн. руб. на одну военную промышленность без авиа — уже затрачиваются для достижения тех мощностей, которые уже в настоящем достигнуты».</w:t>
      </w:r>
    </w:p>
    <w:p w14:paraId="67147082"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 xml:space="preserve">При совместной детальной проработке РКИ с военными трестами и ГВПУ в </w:t>
      </w:r>
      <w:proofErr w:type="spellStart"/>
      <w:r w:rsidRPr="00A259BD">
        <w:rPr>
          <w:color w:val="000000" w:themeColor="text1"/>
          <w:sz w:val="16"/>
          <w:szCs w:val="16"/>
        </w:rPr>
        <w:t>Мобпланупре</w:t>
      </w:r>
      <w:proofErr w:type="spellEnd"/>
      <w:r w:rsidRPr="00A259BD">
        <w:rPr>
          <w:color w:val="000000" w:themeColor="text1"/>
          <w:sz w:val="16"/>
          <w:szCs w:val="16"/>
        </w:rPr>
        <w:t xml:space="preserve"> ВСНХ и в специально образованной комиссии под председательством т. </w:t>
      </w:r>
      <w:hyperlink r:id="rId42" w:history="1">
        <w:r w:rsidRPr="00A259BD">
          <w:rPr>
            <w:color w:val="000000" w:themeColor="text1"/>
            <w:sz w:val="16"/>
            <w:szCs w:val="16"/>
          </w:rPr>
          <w:t>Косиора</w:t>
        </w:r>
      </w:hyperlink>
      <w:r w:rsidRPr="00A259BD">
        <w:rPr>
          <w:color w:val="000000" w:themeColor="text1"/>
          <w:sz w:val="16"/>
          <w:szCs w:val="16"/>
        </w:rPr>
        <w:t xml:space="preserve"> было установлено, что по порохам производственная мощность не достигает даже 50%, а по тротилу еще ниже. При этом имеется ряд не устраненных «узких» мест. Этой же комиссией было установлено, что для доведения мощности военной промышленности до необходимого уровня потребуется 159 млн. руб. (правда, из этих сумм частично производятся затраты на заготовительные цеха для обеспечения потребности по трехлетней заявке). При этом затраты для достижения необходимой мощности мост быть использованы только в срок не менее 15 месяцев. Выводы эти утверждены РЗ СТО, и часть капитальных работ переходит на 1930 г.</w:t>
      </w:r>
    </w:p>
    <w:p w14:paraId="162D10C2"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Такая оценка состояния военной промышленности является вредной, так как правительство не получило действительного освещения вопроса. Если бы не упорная настойчивость руководителей военной промышленности и военных трестов, мы бы не получили необходимых ассигнований, и военная промышленность не достигла бы уровня производственной мощности, необходимой на случай войны.</w:t>
      </w:r>
    </w:p>
    <w:p w14:paraId="59E89AAC"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В период моего ухода из военной промышленности т. </w:t>
      </w:r>
      <w:proofErr w:type="spellStart"/>
      <w:r w:rsidRPr="00A259BD">
        <w:rPr>
          <w:color w:val="000000" w:themeColor="text1"/>
          <w:sz w:val="16"/>
          <w:szCs w:val="16"/>
        </w:rPr>
        <w:t>Павлуновским</w:t>
      </w:r>
      <w:proofErr w:type="spellEnd"/>
      <w:r w:rsidRPr="00A259BD">
        <w:rPr>
          <w:color w:val="000000" w:themeColor="text1"/>
          <w:sz w:val="16"/>
          <w:szCs w:val="16"/>
        </w:rPr>
        <w:t xml:space="preserve"> спустя 10 месяцев сделаны попытки снова оценить состояние военной промышленности (письмо от апреля 1929 г.): хаос, расхлябанность, катастрофа, если не будут приняты меры в ближайшие месяцы. Привожу абзац из этого письма: «...поэтому РКИ со всей ответственностью заявляет правительству, что в настоящее время выполнение военной промышленностью лит[еры] «С» висит на волоске. И если в течение ближайших 1</w:t>
      </w:r>
      <w:r w:rsidRPr="00A259BD">
        <w:rPr>
          <w:color w:val="000000" w:themeColor="text1"/>
          <w:sz w:val="16"/>
          <w:szCs w:val="16"/>
        </w:rPr>
        <w:noBreakHyphen/>
        <w:t>2 месяцев не будет принято решительных мер к подтягиванию военной промышленности, то программа лит[еры] «С» на 1930 г. будет сорвана и выполнение ее будет отсрочено до 1931 г. А это приведет к тому, что выполнение трехлетнего плана развития промышленности отодвинется на 1,5</w:t>
      </w:r>
      <w:r w:rsidRPr="00A259BD">
        <w:rPr>
          <w:color w:val="000000" w:themeColor="text1"/>
          <w:sz w:val="16"/>
          <w:szCs w:val="16"/>
        </w:rPr>
        <w:noBreakHyphen/>
        <w:t>2 года, т. е. трехлетка превратится в пятилетку, а лит[ера] «С» будет выполнен на год позднее»²*.</w:t>
      </w:r>
    </w:p>
    <w:p w14:paraId="4B829B2A"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Не последовательна и неверна такая оценка, и очевидна поспешность сделанных выводов в мае 1923 г., так и в апреле 1929 г. Если допустить мысль о наличии в настоящее время катастрофического положения в военной промышленности, как это рисует т. </w:t>
      </w:r>
      <w:proofErr w:type="spellStart"/>
      <w:r w:rsidRPr="00A259BD">
        <w:rPr>
          <w:color w:val="000000" w:themeColor="text1"/>
          <w:sz w:val="16"/>
          <w:szCs w:val="16"/>
        </w:rPr>
        <w:t>Павлуновский</w:t>
      </w:r>
      <w:proofErr w:type="spellEnd"/>
      <w:r w:rsidRPr="00A259BD">
        <w:rPr>
          <w:color w:val="000000" w:themeColor="text1"/>
          <w:sz w:val="16"/>
          <w:szCs w:val="16"/>
        </w:rPr>
        <w:t>, то вряд ли можно в течение двух месяцев ее излечить. При наличии вредительской организации, при оценке катастрофическим положения в выводах т. </w:t>
      </w:r>
      <w:proofErr w:type="spellStart"/>
      <w:r w:rsidRPr="00A259BD">
        <w:rPr>
          <w:color w:val="000000" w:themeColor="text1"/>
          <w:sz w:val="16"/>
          <w:szCs w:val="16"/>
        </w:rPr>
        <w:t>Павлуновского</w:t>
      </w:r>
      <w:proofErr w:type="spellEnd"/>
      <w:r w:rsidRPr="00A259BD">
        <w:rPr>
          <w:color w:val="000000" w:themeColor="text1"/>
          <w:sz w:val="16"/>
          <w:szCs w:val="16"/>
        </w:rPr>
        <w:t xml:space="preserve"> не приводится даже ни одного факта неправильного направления капитальных затрат в военной промышленности. Это — колоссальная победа над врагом революции, если из вложенных за последние годы в военную промышленность до 250 млн. руб. вредителям не удалось провести свою линию подрыва обороны в этой важнейшей части ее — строительства военной промышленности. Ни РКИ (в лице т. </w:t>
      </w:r>
      <w:proofErr w:type="spellStart"/>
      <w:r w:rsidRPr="00A259BD">
        <w:rPr>
          <w:color w:val="000000" w:themeColor="text1"/>
          <w:sz w:val="16"/>
          <w:szCs w:val="16"/>
        </w:rPr>
        <w:t>Павлуновского</w:t>
      </w:r>
      <w:proofErr w:type="spellEnd"/>
      <w:r w:rsidRPr="00A259BD">
        <w:rPr>
          <w:color w:val="000000" w:themeColor="text1"/>
          <w:sz w:val="16"/>
          <w:szCs w:val="16"/>
        </w:rPr>
        <w:t>), ни другие органы (ОГПУ), обнаружившие вредительскую организацию, не указали фактов неправильного направления средств. До настоящего времени никто не доказал ненужность произведенных затрат с точки зрения обороны ни по одному заводу, ни по одному цеху, и что отдельные объекты строительства можно было отсрочить хоть на один год. Конечно, в таком большом и сложном деле, как военная промышленность, еще имеется ряд недостатков, но они не похожи на те, которые были до ее реорганизации. Недостатки военной промышленности исправлялись коллективными усилиями работников ГВПУ, трестов и заводов, Президиумом ВСНХ при полной поддержке ЦК партии в нашей работе.</w:t>
      </w:r>
    </w:p>
    <w:p w14:paraId="6C877C90"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rPr>
        <w:t>Цифры, приведенные в настоящем докладе, взяты из утвержденных отчетов военной промышленности за истекшие два года и контрольных цифр на 1928/29 г. и, естественно, не могут быть подвергнуты сомнению. Я не подаю и не собираюсь просить об уходе с выполняемой в настоящее время работы, но, если прав т. </w:t>
      </w:r>
      <w:proofErr w:type="spellStart"/>
      <w:r w:rsidRPr="00A259BD">
        <w:rPr>
          <w:color w:val="000000" w:themeColor="text1"/>
          <w:sz w:val="16"/>
          <w:szCs w:val="16"/>
        </w:rPr>
        <w:t>Павлуновский</w:t>
      </w:r>
      <w:proofErr w:type="spellEnd"/>
      <w:r w:rsidRPr="00A259BD">
        <w:rPr>
          <w:color w:val="000000" w:themeColor="text1"/>
          <w:sz w:val="16"/>
          <w:szCs w:val="16"/>
        </w:rPr>
        <w:t>, что военная промышленность висит на волоске, то в качестве вывода должно явиться немедленное снятие меня с руководства машиностроением как возглавлявшего военную промышленность в течение 2,5 лет. Я не могу не информировать Президиум ВСНХ и Политбюро, что инкриминируемое мне является чудовищным обвинением, совершенно не заслуженным и крайне болезненно на мне отражающимся. Характеристика основных моментов работы военной промышленности, представленная в моем докладе, приводит к совершенно обратным выводам, так как военная промышленность имеет ряд серьезных достижений за последние годы. Другие вопросы состояния и подготовки военной промышленности к обороне, интересующие Президиум ВСНХ и Политбюро, мною будут доложены при обсуждении этого вопроса.</w:t>
      </w:r>
    </w:p>
    <w:p w14:paraId="24C28624" w14:textId="77777777" w:rsidR="00E15FE6" w:rsidRPr="00A259BD" w:rsidRDefault="00E15FE6"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С коммунистическим приветом, </w:t>
      </w:r>
      <w:hyperlink r:id="rId43" w:history="1">
        <w:r w:rsidRPr="00A259BD">
          <w:rPr>
            <w:rStyle w:val="af0"/>
            <w:i w:val="0"/>
            <w:color w:val="000000" w:themeColor="text1"/>
            <w:sz w:val="16"/>
            <w:szCs w:val="16"/>
          </w:rPr>
          <w:t>А. </w:t>
        </w:r>
        <w:proofErr w:type="spellStart"/>
        <w:r w:rsidRPr="00A259BD">
          <w:rPr>
            <w:rStyle w:val="af0"/>
            <w:i w:val="0"/>
            <w:color w:val="000000" w:themeColor="text1"/>
            <w:sz w:val="16"/>
            <w:szCs w:val="16"/>
          </w:rPr>
          <w:t>Толоконцев</w:t>
        </w:r>
        <w:proofErr w:type="spellEnd"/>
      </w:hyperlink>
      <w:r w:rsidRPr="00A259BD">
        <w:rPr>
          <w:rStyle w:val="af0"/>
          <w:i w:val="0"/>
          <w:color w:val="000000" w:themeColor="text1"/>
          <w:sz w:val="16"/>
          <w:szCs w:val="16"/>
        </w:rPr>
        <w:t>.</w:t>
      </w:r>
    </w:p>
    <w:p w14:paraId="55A0E739" w14:textId="77777777" w:rsidR="00E15FE6" w:rsidRPr="00A259BD" w:rsidRDefault="00E15FE6"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p>
    <w:p w14:paraId="18D34EE0" w14:textId="77777777" w:rsidR="00E15FE6" w:rsidRPr="00A259BD" w:rsidRDefault="00E15FE6" w:rsidP="009236E3">
      <w:pPr>
        <w:pStyle w:val="ae"/>
        <w:spacing w:before="0" w:after="0"/>
        <w:jc w:val="both"/>
        <w:rPr>
          <w:color w:val="000000" w:themeColor="text1"/>
          <w:sz w:val="16"/>
          <w:szCs w:val="16"/>
        </w:rPr>
      </w:pPr>
      <w:r w:rsidRPr="00A259BD">
        <w:rPr>
          <w:color w:val="000000" w:themeColor="text1"/>
          <w:sz w:val="16"/>
          <w:szCs w:val="16"/>
          <w:vertAlign w:val="superscript"/>
        </w:rPr>
        <w:lastRenderedPageBreak/>
        <w:t>1</w:t>
      </w:r>
      <w:r w:rsidRPr="00A259BD">
        <w:rPr>
          <w:color w:val="000000" w:themeColor="text1"/>
          <w:sz w:val="16"/>
          <w:szCs w:val="16"/>
        </w:rPr>
        <w:t>* Здесь и далее отточия документа.</w:t>
      </w:r>
    </w:p>
    <w:p w14:paraId="7D85A0B1" w14:textId="77777777" w:rsidR="00E15FE6" w:rsidRPr="00A259BD" w:rsidRDefault="00E15FE6" w:rsidP="009236E3">
      <w:pPr>
        <w:pStyle w:val="ae"/>
        <w:spacing w:before="0" w:after="0"/>
        <w:jc w:val="both"/>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РГАЭ. Ф. 4372. Оп. 91. Д. 528. Л. 19-1</w:t>
      </w:r>
    </w:p>
    <w:p w14:paraId="0A72A4C9" w14:textId="77777777" w:rsidR="00E15FE6" w:rsidRPr="00A259BD" w:rsidRDefault="00E15FE6" w:rsidP="009236E3">
      <w:pPr>
        <w:pStyle w:val="ae"/>
        <w:spacing w:before="0" w:after="0"/>
        <w:jc w:val="both"/>
        <w:rPr>
          <w:color w:val="000000" w:themeColor="text1"/>
          <w:sz w:val="16"/>
          <w:szCs w:val="16"/>
        </w:rPr>
      </w:pPr>
      <w:r w:rsidRPr="00A259BD">
        <w:rPr>
          <w:color w:val="000000" w:themeColor="text1"/>
          <w:sz w:val="16"/>
          <w:szCs w:val="16"/>
        </w:rPr>
        <w:t>ГА РФ. Ф. Р-8418. Оп. 3. Д. 55. Л. 37—41. Подлинник.</w:t>
      </w:r>
    </w:p>
    <w:p w14:paraId="6B285782"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ГА РФ. Ф. Р-8418. Оп. 3. Д. 55. Л. 37—41. Подлинник. </w:t>
      </w:r>
    </w:p>
    <w:p w14:paraId="05B201A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315-320 (12451).</w:t>
      </w:r>
    </w:p>
    <w:p w14:paraId="18F70F9C" w14:textId="77777777" w:rsidR="00E15FE6" w:rsidRPr="00A259BD" w:rsidRDefault="00E15FE6" w:rsidP="009236E3">
      <w:pPr>
        <w:spacing w:after="0" w:line="240" w:lineRule="auto"/>
        <w:jc w:val="both"/>
        <w:rPr>
          <w:rFonts w:ascii="Times New Roman" w:hAnsi="Times New Roman"/>
          <w:color w:val="000000" w:themeColor="text1"/>
          <w:sz w:val="16"/>
          <w:szCs w:val="16"/>
        </w:rPr>
      </w:pPr>
    </w:p>
    <w:p w14:paraId="591E8B44" w14:textId="77777777" w:rsidR="009D688E" w:rsidRPr="00A259BD" w:rsidRDefault="009D688E" w:rsidP="009236E3">
      <w:pPr>
        <w:spacing w:after="0" w:line="240" w:lineRule="auto"/>
        <w:jc w:val="both"/>
        <w:rPr>
          <w:rFonts w:ascii="Times New Roman" w:hAnsi="Times New Roman"/>
          <w:color w:val="000000" w:themeColor="text1"/>
          <w:sz w:val="16"/>
          <w:szCs w:val="16"/>
        </w:rPr>
      </w:pPr>
      <w:bookmarkStart w:id="36" w:name="_ednref5"/>
      <w:r w:rsidRPr="00A259BD">
        <w:rPr>
          <w:rFonts w:ascii="Times New Roman" w:hAnsi="Times New Roman"/>
          <w:color w:val="000000" w:themeColor="text1"/>
          <w:sz w:val="16"/>
          <w:szCs w:val="16"/>
        </w:rPr>
        <w:t xml:space="preserve">27 апреля 1929 г. В докладе </w:t>
      </w:r>
      <w:proofErr w:type="spellStart"/>
      <w:r w:rsidRPr="00A259BD">
        <w:rPr>
          <w:rFonts w:ascii="Times New Roman" w:hAnsi="Times New Roman"/>
          <w:color w:val="000000" w:themeColor="text1"/>
          <w:sz w:val="16"/>
          <w:szCs w:val="16"/>
        </w:rPr>
        <w:t>Толоконцева</w:t>
      </w:r>
      <w:proofErr w:type="spellEnd"/>
      <w:r w:rsidRPr="00A259BD">
        <w:rPr>
          <w:rFonts w:ascii="Times New Roman" w:hAnsi="Times New Roman"/>
          <w:color w:val="000000" w:themeColor="text1"/>
          <w:sz w:val="16"/>
          <w:szCs w:val="16"/>
        </w:rPr>
        <w:t>, сделанном им на заседании Политбюро ЦК ВКП(б), говорилось, что зна</w:t>
      </w:r>
      <w:r w:rsidRPr="00A259BD">
        <w:rPr>
          <w:rFonts w:ascii="Times New Roman" w:hAnsi="Times New Roman"/>
          <w:color w:val="000000" w:themeColor="text1"/>
          <w:sz w:val="16"/>
          <w:szCs w:val="16"/>
        </w:rPr>
        <w:softHyphen/>
        <w:t xml:space="preserve">чительные успехи военной промышленности, достигнутых в 1927-1928 гг. якобы были достигнуты за счет организационных перестроек в </w:t>
      </w:r>
      <w:proofErr w:type="spellStart"/>
      <w:r w:rsidRPr="00A259BD">
        <w:rPr>
          <w:rFonts w:ascii="Times New Roman" w:hAnsi="Times New Roman"/>
          <w:color w:val="000000" w:themeColor="text1"/>
          <w:sz w:val="16"/>
          <w:szCs w:val="16"/>
        </w:rPr>
        <w:t>Военпроме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xml:space="preserve"> пришел к руководству ВПУ в конце 1926 г., застав дела, как он говорил, в состоянии развала и борь</w:t>
      </w:r>
      <w:r w:rsidRPr="00A259BD">
        <w:rPr>
          <w:rFonts w:ascii="Times New Roman" w:hAnsi="Times New Roman"/>
          <w:color w:val="000000" w:themeColor="text1"/>
          <w:sz w:val="16"/>
          <w:szCs w:val="16"/>
        </w:rPr>
        <w:softHyphen/>
        <w:t xml:space="preserve">бы с вредителями. С моим приходом, отмечал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поло</w:t>
      </w:r>
      <w:r w:rsidRPr="00A259BD">
        <w:rPr>
          <w:rFonts w:ascii="Times New Roman" w:hAnsi="Times New Roman"/>
          <w:color w:val="000000" w:themeColor="text1"/>
          <w:sz w:val="16"/>
          <w:szCs w:val="16"/>
        </w:rPr>
        <w:softHyphen/>
        <w:t>жение улучшилось. В 1927/28 г. было выполнено почти 100% производственной программы. Загрузка по валовой продукции поднялась с 167 млн руб. до 420 млн, т.е. в 2,5 раза. Число рабо</w:t>
      </w:r>
      <w:r w:rsidRPr="00A259BD">
        <w:rPr>
          <w:rFonts w:ascii="Times New Roman" w:hAnsi="Times New Roman"/>
          <w:color w:val="000000" w:themeColor="text1"/>
          <w:sz w:val="16"/>
          <w:szCs w:val="16"/>
        </w:rPr>
        <w:softHyphen/>
        <w:t xml:space="preserve">чих в </w:t>
      </w:r>
      <w:proofErr w:type="spellStart"/>
      <w:r w:rsidRPr="00A259BD">
        <w:rPr>
          <w:rFonts w:ascii="Times New Roman" w:hAnsi="Times New Roman"/>
          <w:color w:val="000000" w:themeColor="text1"/>
          <w:sz w:val="16"/>
          <w:szCs w:val="16"/>
        </w:rPr>
        <w:t>Военпроме</w:t>
      </w:r>
      <w:proofErr w:type="spellEnd"/>
      <w:r w:rsidRPr="00A259BD">
        <w:rPr>
          <w:rFonts w:ascii="Times New Roman" w:hAnsi="Times New Roman"/>
          <w:color w:val="000000" w:themeColor="text1"/>
          <w:sz w:val="16"/>
          <w:szCs w:val="16"/>
        </w:rPr>
        <w:t xml:space="preserve"> увеличилось на 22,5 тысячи. Убыточность воен</w:t>
      </w:r>
      <w:r w:rsidRPr="00A259BD">
        <w:rPr>
          <w:rFonts w:ascii="Times New Roman" w:hAnsi="Times New Roman"/>
          <w:color w:val="000000" w:themeColor="text1"/>
          <w:sz w:val="16"/>
          <w:szCs w:val="16"/>
        </w:rPr>
        <w:softHyphen/>
        <w:t>ных заводов удалось изжить и получить прибыль за счет сниже</w:t>
      </w:r>
      <w:r w:rsidRPr="00A259BD">
        <w:rPr>
          <w:rFonts w:ascii="Times New Roman" w:hAnsi="Times New Roman"/>
          <w:color w:val="000000" w:themeColor="text1"/>
          <w:sz w:val="16"/>
          <w:szCs w:val="16"/>
        </w:rPr>
        <w:softHyphen/>
        <w:t xml:space="preserve">ния себестоимости. Военная промышленность стала </w:t>
      </w:r>
      <w:proofErr w:type="spellStart"/>
      <w:r w:rsidRPr="00A259BD">
        <w:rPr>
          <w:rFonts w:ascii="Times New Roman" w:hAnsi="Times New Roman"/>
          <w:color w:val="000000" w:themeColor="text1"/>
          <w:sz w:val="16"/>
          <w:szCs w:val="16"/>
        </w:rPr>
        <w:t>жизнеспо</w:t>
      </w:r>
      <w:proofErr w:type="spellEnd"/>
      <w:r w:rsidRPr="00A259BD">
        <w:rPr>
          <w:rFonts w:ascii="Times New Roman" w:hAnsi="Times New Roman"/>
          <w:color w:val="000000" w:themeColor="text1"/>
          <w:sz w:val="16"/>
          <w:szCs w:val="16"/>
        </w:rPr>
        <w:t>[138]</w:t>
      </w:r>
      <w:proofErr w:type="spellStart"/>
      <w:r w:rsidRPr="00A259BD">
        <w:rPr>
          <w:rFonts w:ascii="Times New Roman" w:hAnsi="Times New Roman"/>
          <w:color w:val="000000" w:themeColor="text1"/>
          <w:sz w:val="16"/>
          <w:szCs w:val="16"/>
        </w:rPr>
        <w:t>собной</w:t>
      </w:r>
      <w:proofErr w:type="spellEnd"/>
      <w:r w:rsidRPr="00A259BD">
        <w:rPr>
          <w:rFonts w:ascii="Times New Roman" w:hAnsi="Times New Roman"/>
          <w:color w:val="000000" w:themeColor="text1"/>
          <w:sz w:val="16"/>
          <w:szCs w:val="16"/>
        </w:rPr>
        <w:t xml:space="preserve">. В июле 1928 г. по предложению ВСНХ РЗ СТО, наконец, определил потребности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на год ведения войны. Теперь, говорил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нам необходимо утвердить план капиталь</w:t>
      </w:r>
      <w:r w:rsidRPr="00A259BD">
        <w:rPr>
          <w:rFonts w:ascii="Times New Roman" w:hAnsi="Times New Roman"/>
          <w:color w:val="000000" w:themeColor="text1"/>
          <w:sz w:val="16"/>
          <w:szCs w:val="16"/>
        </w:rPr>
        <w:softHyphen/>
        <w:t>ных работ как на ближайшие три года, так и на пятилетку в це</w:t>
      </w:r>
      <w:r w:rsidRPr="00A259BD">
        <w:rPr>
          <w:rFonts w:ascii="Times New Roman" w:hAnsi="Times New Roman"/>
          <w:color w:val="000000" w:themeColor="text1"/>
          <w:sz w:val="16"/>
          <w:szCs w:val="16"/>
        </w:rPr>
        <w:softHyphen/>
        <w:t>лом, которая по имеющимся наметкам требует увеличить боевое снабжение армии по сравнению с 1916 г. в 4-5 раз, а по некото</w:t>
      </w:r>
      <w:r w:rsidRPr="00A259BD">
        <w:rPr>
          <w:rFonts w:ascii="Times New Roman" w:hAnsi="Times New Roman"/>
          <w:color w:val="000000" w:themeColor="text1"/>
          <w:sz w:val="16"/>
          <w:szCs w:val="16"/>
        </w:rPr>
        <w:softHyphen/>
        <w:t>рым видам вооружения в 15 раз. Большие достижения отмеча</w:t>
      </w:r>
      <w:r w:rsidRPr="00A259BD">
        <w:rPr>
          <w:rFonts w:ascii="Times New Roman" w:hAnsi="Times New Roman"/>
          <w:color w:val="000000" w:themeColor="text1"/>
          <w:sz w:val="16"/>
          <w:szCs w:val="16"/>
        </w:rPr>
        <w:softHyphen/>
        <w:t>лись в продвижении иностранной технической помощи. Было за</w:t>
      </w:r>
      <w:r w:rsidRPr="00A259BD">
        <w:rPr>
          <w:rFonts w:ascii="Times New Roman" w:hAnsi="Times New Roman"/>
          <w:color w:val="000000" w:themeColor="text1"/>
          <w:sz w:val="16"/>
          <w:szCs w:val="16"/>
        </w:rPr>
        <w:softHyphen/>
        <w:t>ключено 11 договоров в деле налаживания производства самоле</w:t>
      </w:r>
      <w:r w:rsidRPr="00A259BD">
        <w:rPr>
          <w:rFonts w:ascii="Times New Roman" w:hAnsi="Times New Roman"/>
          <w:color w:val="000000" w:themeColor="text1"/>
          <w:sz w:val="16"/>
          <w:szCs w:val="16"/>
        </w:rPr>
        <w:softHyphen/>
        <w:t>тов, танков и прочего вооружения.</w:t>
      </w:r>
    </w:p>
    <w:p w14:paraId="03D1A75E" w14:textId="77777777" w:rsidR="009D688E" w:rsidRPr="00A259BD" w:rsidRDefault="009D688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xml:space="preserve"> не закрывал глаза на имевшиеся недостатки, указывая на изношенность основного капитала военных заводов, что за весь восстановительный период они получили на его обнов</w:t>
      </w:r>
      <w:r w:rsidRPr="00A259BD">
        <w:rPr>
          <w:rFonts w:ascii="Times New Roman" w:hAnsi="Times New Roman"/>
          <w:color w:val="000000" w:themeColor="text1"/>
          <w:sz w:val="16"/>
          <w:szCs w:val="16"/>
        </w:rPr>
        <w:softHyphen/>
        <w:t>ление только 62 млн руб. из госбюджета, не производя никаких амортизационных отчислений. В 1926/27 г. импортное оборудо</w:t>
      </w:r>
      <w:r w:rsidRPr="00A259BD">
        <w:rPr>
          <w:rFonts w:ascii="Times New Roman" w:hAnsi="Times New Roman"/>
          <w:color w:val="000000" w:themeColor="text1"/>
          <w:sz w:val="16"/>
          <w:szCs w:val="16"/>
        </w:rPr>
        <w:softHyphen/>
        <w:t xml:space="preserve">вание должно было составить 5,5 млн руб. и в 1927/28 г. - 11,9 млн руб., но за два года было ввезено только 38,7% от потребного, а по плану 1928/29 г. не поступило еще ни одного станка.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xml:space="preserve"> пытался отвести обвинения в бюрократизме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Работники аппарата, говорил он, в трестах составляют: в Военно-химическом тресте - 18,8%, в </w:t>
      </w:r>
      <w:proofErr w:type="spellStart"/>
      <w:r w:rsidRPr="00A259BD">
        <w:rPr>
          <w:rFonts w:ascii="Times New Roman" w:hAnsi="Times New Roman"/>
          <w:color w:val="000000" w:themeColor="text1"/>
          <w:sz w:val="16"/>
          <w:szCs w:val="16"/>
        </w:rPr>
        <w:t>Оружпултресте</w:t>
      </w:r>
      <w:proofErr w:type="spellEnd"/>
      <w:r w:rsidRPr="00A259BD">
        <w:rPr>
          <w:rFonts w:ascii="Times New Roman" w:hAnsi="Times New Roman"/>
          <w:color w:val="000000" w:themeColor="text1"/>
          <w:sz w:val="16"/>
          <w:szCs w:val="16"/>
        </w:rPr>
        <w:t xml:space="preserve"> - 16,8%, в Патронно-трубочном - 18,5%, в </w:t>
      </w:r>
      <w:proofErr w:type="spellStart"/>
      <w:r w:rsidRPr="00A259BD">
        <w:rPr>
          <w:rFonts w:ascii="Times New Roman" w:hAnsi="Times New Roman"/>
          <w:color w:val="000000" w:themeColor="text1"/>
          <w:sz w:val="16"/>
          <w:szCs w:val="16"/>
        </w:rPr>
        <w:t>Авиатресте</w:t>
      </w:r>
      <w:proofErr w:type="spellEnd"/>
      <w:r w:rsidRPr="00A259BD">
        <w:rPr>
          <w:rFonts w:ascii="Times New Roman" w:hAnsi="Times New Roman"/>
          <w:color w:val="000000" w:themeColor="text1"/>
          <w:sz w:val="16"/>
          <w:szCs w:val="16"/>
        </w:rPr>
        <w:t xml:space="preserve"> - 25%, в ГВПУ - 39%, включая занятых проектированием новейших разработок. Заметно стремление </w:t>
      </w:r>
      <w:proofErr w:type="spellStart"/>
      <w:r w:rsidRPr="00A259BD">
        <w:rPr>
          <w:rFonts w:ascii="Times New Roman" w:hAnsi="Times New Roman"/>
          <w:color w:val="000000" w:themeColor="text1"/>
          <w:sz w:val="16"/>
          <w:szCs w:val="16"/>
        </w:rPr>
        <w:t>Толоконцева</w:t>
      </w:r>
      <w:proofErr w:type="spellEnd"/>
      <w:r w:rsidRPr="00A259BD">
        <w:rPr>
          <w:rFonts w:ascii="Times New Roman" w:hAnsi="Times New Roman"/>
          <w:color w:val="000000" w:themeColor="text1"/>
          <w:sz w:val="16"/>
          <w:szCs w:val="16"/>
        </w:rPr>
        <w:t xml:space="preserve"> отвести от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обвине</w:t>
      </w:r>
      <w:r w:rsidRPr="00A259BD">
        <w:rPr>
          <w:rFonts w:ascii="Times New Roman" w:hAnsi="Times New Roman"/>
          <w:color w:val="000000" w:themeColor="text1"/>
          <w:sz w:val="16"/>
          <w:szCs w:val="16"/>
        </w:rPr>
        <w:softHyphen/>
        <w:t>ния во вредительстве, борьба с которым все шире захватывала военную промышленность (18393).</w:t>
      </w:r>
    </w:p>
    <w:p w14:paraId="1D0E77B3"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Динамика роста военной промышленности с 1925/26 по 1928/29 г. (%)</w:t>
      </w:r>
    </w:p>
    <w:tbl>
      <w:tblPr>
        <w:tblW w:w="0" w:type="auto"/>
        <w:tblInd w:w="5" w:type="dxa"/>
        <w:shd w:val="clear" w:color="auto" w:fill="FFFFFF"/>
        <w:tblCellMar>
          <w:left w:w="0" w:type="dxa"/>
          <w:right w:w="0" w:type="dxa"/>
        </w:tblCellMar>
        <w:tblLook w:val="04A0" w:firstRow="1" w:lastRow="0" w:firstColumn="1" w:lastColumn="0" w:noHBand="0" w:noVBand="1"/>
      </w:tblPr>
      <w:tblGrid>
        <w:gridCol w:w="2770"/>
        <w:gridCol w:w="898"/>
        <w:gridCol w:w="898"/>
        <w:gridCol w:w="864"/>
        <w:gridCol w:w="902"/>
      </w:tblGrid>
      <w:tr w:rsidR="00A259BD" w:rsidRPr="00A259BD" w14:paraId="279FD061" w14:textId="77777777" w:rsidTr="007771FC">
        <w:trPr>
          <w:trHeight w:val="557"/>
        </w:trPr>
        <w:tc>
          <w:tcPr>
            <w:tcW w:w="2770" w:type="dxa"/>
            <w:tcBorders>
              <w:top w:val="single" w:sz="8" w:space="0" w:color="auto"/>
              <w:left w:val="single" w:sz="8" w:space="0" w:color="auto"/>
              <w:bottom w:val="nil"/>
              <w:right w:val="nil"/>
            </w:tcBorders>
            <w:shd w:val="clear" w:color="auto" w:fill="FFFFFF"/>
            <w:hideMark/>
          </w:tcPr>
          <w:p w14:paraId="4F12CA7E"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898" w:type="dxa"/>
            <w:tcBorders>
              <w:top w:val="single" w:sz="8" w:space="0" w:color="auto"/>
              <w:left w:val="single" w:sz="8" w:space="0" w:color="auto"/>
              <w:bottom w:val="nil"/>
              <w:right w:val="nil"/>
            </w:tcBorders>
            <w:shd w:val="clear" w:color="auto" w:fill="FFFFFF"/>
            <w:vAlign w:val="center"/>
            <w:hideMark/>
          </w:tcPr>
          <w:p w14:paraId="1EEF3405"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1925/26</w:t>
            </w:r>
          </w:p>
        </w:tc>
        <w:tc>
          <w:tcPr>
            <w:tcW w:w="898" w:type="dxa"/>
            <w:tcBorders>
              <w:top w:val="single" w:sz="8" w:space="0" w:color="auto"/>
              <w:left w:val="single" w:sz="8" w:space="0" w:color="auto"/>
              <w:bottom w:val="nil"/>
              <w:right w:val="nil"/>
            </w:tcBorders>
            <w:shd w:val="clear" w:color="auto" w:fill="FFFFFF"/>
            <w:vAlign w:val="center"/>
            <w:hideMark/>
          </w:tcPr>
          <w:p w14:paraId="59AB5B0A"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1926/27</w:t>
            </w:r>
          </w:p>
        </w:tc>
        <w:tc>
          <w:tcPr>
            <w:tcW w:w="864" w:type="dxa"/>
            <w:tcBorders>
              <w:top w:val="single" w:sz="8" w:space="0" w:color="auto"/>
              <w:left w:val="single" w:sz="8" w:space="0" w:color="auto"/>
              <w:bottom w:val="nil"/>
              <w:right w:val="nil"/>
            </w:tcBorders>
            <w:shd w:val="clear" w:color="auto" w:fill="FFFFFF"/>
            <w:vAlign w:val="center"/>
            <w:hideMark/>
          </w:tcPr>
          <w:p w14:paraId="1DD06374"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1927/28</w:t>
            </w:r>
          </w:p>
        </w:tc>
        <w:tc>
          <w:tcPr>
            <w:tcW w:w="902" w:type="dxa"/>
            <w:tcBorders>
              <w:top w:val="single" w:sz="8" w:space="0" w:color="auto"/>
              <w:left w:val="single" w:sz="8" w:space="0" w:color="auto"/>
              <w:bottom w:val="nil"/>
              <w:right w:val="single" w:sz="8" w:space="0" w:color="auto"/>
            </w:tcBorders>
            <w:shd w:val="clear" w:color="auto" w:fill="FFFFFF"/>
            <w:vAlign w:val="center"/>
            <w:hideMark/>
          </w:tcPr>
          <w:p w14:paraId="5E84244B"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1928/29</w:t>
            </w:r>
          </w:p>
          <w:p w14:paraId="0E713235"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(план)</w:t>
            </w:r>
          </w:p>
        </w:tc>
      </w:tr>
      <w:tr w:rsidR="00A259BD" w:rsidRPr="00A259BD" w14:paraId="6155ABE7" w14:textId="77777777" w:rsidTr="007771FC">
        <w:trPr>
          <w:trHeight w:val="538"/>
        </w:trPr>
        <w:tc>
          <w:tcPr>
            <w:tcW w:w="2770" w:type="dxa"/>
            <w:tcBorders>
              <w:top w:val="single" w:sz="8" w:space="0" w:color="auto"/>
              <w:left w:val="single" w:sz="8" w:space="0" w:color="auto"/>
              <w:bottom w:val="nil"/>
              <w:right w:val="nil"/>
            </w:tcBorders>
            <w:shd w:val="clear" w:color="auto" w:fill="FFFFFF"/>
            <w:vAlign w:val="center"/>
            <w:hideMark/>
          </w:tcPr>
          <w:p w14:paraId="3909EAC3"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Валовая продукция в ценах 1926 г.</w:t>
            </w:r>
          </w:p>
        </w:tc>
        <w:tc>
          <w:tcPr>
            <w:tcW w:w="898" w:type="dxa"/>
            <w:tcBorders>
              <w:top w:val="single" w:sz="8" w:space="0" w:color="auto"/>
              <w:left w:val="single" w:sz="8" w:space="0" w:color="auto"/>
              <w:bottom w:val="nil"/>
              <w:right w:val="nil"/>
            </w:tcBorders>
            <w:shd w:val="clear" w:color="auto" w:fill="FFFFFF"/>
            <w:vAlign w:val="center"/>
            <w:hideMark/>
          </w:tcPr>
          <w:p w14:paraId="4C80064B"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898" w:type="dxa"/>
            <w:tcBorders>
              <w:top w:val="single" w:sz="8" w:space="0" w:color="auto"/>
              <w:left w:val="single" w:sz="8" w:space="0" w:color="auto"/>
              <w:bottom w:val="nil"/>
              <w:right w:val="nil"/>
            </w:tcBorders>
            <w:shd w:val="clear" w:color="auto" w:fill="FFFFFF"/>
            <w:vAlign w:val="center"/>
            <w:hideMark/>
          </w:tcPr>
          <w:p w14:paraId="667E41B6"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127,1</w:t>
            </w:r>
          </w:p>
        </w:tc>
        <w:tc>
          <w:tcPr>
            <w:tcW w:w="864" w:type="dxa"/>
            <w:tcBorders>
              <w:top w:val="single" w:sz="8" w:space="0" w:color="auto"/>
              <w:left w:val="single" w:sz="8" w:space="0" w:color="auto"/>
              <w:bottom w:val="nil"/>
              <w:right w:val="nil"/>
            </w:tcBorders>
            <w:shd w:val="clear" w:color="auto" w:fill="FFFFFF"/>
            <w:vAlign w:val="center"/>
            <w:hideMark/>
          </w:tcPr>
          <w:p w14:paraId="14ABD47D"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171,2</w:t>
            </w:r>
          </w:p>
        </w:tc>
        <w:tc>
          <w:tcPr>
            <w:tcW w:w="902" w:type="dxa"/>
            <w:tcBorders>
              <w:top w:val="single" w:sz="8" w:space="0" w:color="auto"/>
              <w:left w:val="single" w:sz="8" w:space="0" w:color="auto"/>
              <w:bottom w:val="nil"/>
              <w:right w:val="single" w:sz="8" w:space="0" w:color="auto"/>
            </w:tcBorders>
            <w:shd w:val="clear" w:color="auto" w:fill="FFFFFF"/>
            <w:vAlign w:val="center"/>
            <w:hideMark/>
          </w:tcPr>
          <w:p w14:paraId="1F036C12"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241,8</w:t>
            </w:r>
          </w:p>
        </w:tc>
      </w:tr>
      <w:tr w:rsidR="00A259BD" w:rsidRPr="00A259BD" w14:paraId="139A2F07" w14:textId="77777777" w:rsidTr="007771FC">
        <w:trPr>
          <w:trHeight w:val="235"/>
        </w:trPr>
        <w:tc>
          <w:tcPr>
            <w:tcW w:w="2770" w:type="dxa"/>
            <w:tcBorders>
              <w:top w:val="nil"/>
              <w:left w:val="single" w:sz="8" w:space="0" w:color="auto"/>
              <w:bottom w:val="nil"/>
              <w:right w:val="nil"/>
            </w:tcBorders>
            <w:shd w:val="clear" w:color="auto" w:fill="FFFFFF"/>
            <w:vAlign w:val="center"/>
            <w:hideMark/>
          </w:tcPr>
          <w:p w14:paraId="2EB0B40E"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Товарная продукция</w:t>
            </w:r>
          </w:p>
        </w:tc>
        <w:tc>
          <w:tcPr>
            <w:tcW w:w="898" w:type="dxa"/>
            <w:tcBorders>
              <w:top w:val="nil"/>
              <w:left w:val="single" w:sz="8" w:space="0" w:color="auto"/>
              <w:bottom w:val="nil"/>
              <w:right w:val="nil"/>
            </w:tcBorders>
            <w:shd w:val="clear" w:color="auto" w:fill="FFFFFF"/>
            <w:vAlign w:val="center"/>
            <w:hideMark/>
          </w:tcPr>
          <w:p w14:paraId="4BF84F95"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1011E072"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126</w:t>
            </w:r>
          </w:p>
        </w:tc>
        <w:tc>
          <w:tcPr>
            <w:tcW w:w="864" w:type="dxa"/>
            <w:tcBorders>
              <w:top w:val="nil"/>
              <w:left w:val="single" w:sz="8" w:space="0" w:color="auto"/>
              <w:bottom w:val="nil"/>
              <w:right w:val="nil"/>
            </w:tcBorders>
            <w:shd w:val="clear" w:color="auto" w:fill="FFFFFF"/>
            <w:vAlign w:val="center"/>
            <w:hideMark/>
          </w:tcPr>
          <w:p w14:paraId="18DC3CAC"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172</w:t>
            </w:r>
          </w:p>
        </w:tc>
        <w:tc>
          <w:tcPr>
            <w:tcW w:w="902" w:type="dxa"/>
            <w:tcBorders>
              <w:top w:val="nil"/>
              <w:left w:val="single" w:sz="8" w:space="0" w:color="auto"/>
              <w:bottom w:val="nil"/>
              <w:right w:val="single" w:sz="8" w:space="0" w:color="auto"/>
            </w:tcBorders>
            <w:shd w:val="clear" w:color="auto" w:fill="FFFFFF"/>
            <w:vAlign w:val="center"/>
            <w:hideMark/>
          </w:tcPr>
          <w:p w14:paraId="5410625B"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248</w:t>
            </w:r>
          </w:p>
        </w:tc>
      </w:tr>
      <w:tr w:rsidR="00A259BD" w:rsidRPr="00A259BD" w14:paraId="4611D671" w14:textId="77777777" w:rsidTr="007771FC">
        <w:trPr>
          <w:trHeight w:val="211"/>
        </w:trPr>
        <w:tc>
          <w:tcPr>
            <w:tcW w:w="2770" w:type="dxa"/>
            <w:tcBorders>
              <w:top w:val="nil"/>
              <w:left w:val="single" w:sz="8" w:space="0" w:color="auto"/>
              <w:bottom w:val="nil"/>
              <w:right w:val="nil"/>
            </w:tcBorders>
            <w:shd w:val="clear" w:color="auto" w:fill="FFFFFF"/>
            <w:vAlign w:val="center"/>
            <w:hideMark/>
          </w:tcPr>
          <w:p w14:paraId="1D0ADD96"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Военная продукция</w:t>
            </w:r>
          </w:p>
        </w:tc>
        <w:tc>
          <w:tcPr>
            <w:tcW w:w="898" w:type="dxa"/>
            <w:tcBorders>
              <w:top w:val="nil"/>
              <w:left w:val="single" w:sz="8" w:space="0" w:color="auto"/>
              <w:bottom w:val="nil"/>
              <w:right w:val="nil"/>
            </w:tcBorders>
            <w:shd w:val="clear" w:color="auto" w:fill="FFFFFF"/>
            <w:vAlign w:val="center"/>
            <w:hideMark/>
          </w:tcPr>
          <w:p w14:paraId="44E38641"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67A23F62"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125</w:t>
            </w:r>
          </w:p>
        </w:tc>
        <w:tc>
          <w:tcPr>
            <w:tcW w:w="864" w:type="dxa"/>
            <w:tcBorders>
              <w:top w:val="nil"/>
              <w:left w:val="single" w:sz="8" w:space="0" w:color="auto"/>
              <w:bottom w:val="nil"/>
              <w:right w:val="nil"/>
            </w:tcBorders>
            <w:shd w:val="clear" w:color="auto" w:fill="FFFFFF"/>
            <w:vAlign w:val="center"/>
            <w:hideMark/>
          </w:tcPr>
          <w:p w14:paraId="56666F49"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167</w:t>
            </w:r>
          </w:p>
        </w:tc>
        <w:tc>
          <w:tcPr>
            <w:tcW w:w="902" w:type="dxa"/>
            <w:tcBorders>
              <w:top w:val="nil"/>
              <w:left w:val="single" w:sz="8" w:space="0" w:color="auto"/>
              <w:bottom w:val="nil"/>
              <w:right w:val="single" w:sz="8" w:space="0" w:color="auto"/>
            </w:tcBorders>
            <w:shd w:val="clear" w:color="auto" w:fill="FFFFFF"/>
            <w:vAlign w:val="center"/>
            <w:hideMark/>
          </w:tcPr>
          <w:p w14:paraId="32C837CF"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224</w:t>
            </w:r>
          </w:p>
        </w:tc>
      </w:tr>
      <w:tr w:rsidR="00A259BD" w:rsidRPr="00A259BD" w14:paraId="30076BF6" w14:textId="77777777" w:rsidTr="007771FC">
        <w:trPr>
          <w:trHeight w:val="226"/>
        </w:trPr>
        <w:tc>
          <w:tcPr>
            <w:tcW w:w="2770" w:type="dxa"/>
            <w:tcBorders>
              <w:top w:val="nil"/>
              <w:left w:val="single" w:sz="8" w:space="0" w:color="auto"/>
              <w:bottom w:val="nil"/>
              <w:right w:val="nil"/>
            </w:tcBorders>
            <w:shd w:val="clear" w:color="auto" w:fill="FFFFFF"/>
            <w:vAlign w:val="center"/>
            <w:hideMark/>
          </w:tcPr>
          <w:p w14:paraId="355C8983"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Мирная продукция</w:t>
            </w:r>
          </w:p>
        </w:tc>
        <w:tc>
          <w:tcPr>
            <w:tcW w:w="898" w:type="dxa"/>
            <w:tcBorders>
              <w:top w:val="nil"/>
              <w:left w:val="single" w:sz="8" w:space="0" w:color="auto"/>
              <w:bottom w:val="nil"/>
              <w:right w:val="nil"/>
            </w:tcBorders>
            <w:shd w:val="clear" w:color="auto" w:fill="FFFFFF"/>
            <w:vAlign w:val="center"/>
            <w:hideMark/>
          </w:tcPr>
          <w:p w14:paraId="3A1445F9"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36CD4410"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128</w:t>
            </w:r>
          </w:p>
        </w:tc>
        <w:tc>
          <w:tcPr>
            <w:tcW w:w="864" w:type="dxa"/>
            <w:tcBorders>
              <w:top w:val="nil"/>
              <w:left w:val="single" w:sz="8" w:space="0" w:color="auto"/>
              <w:bottom w:val="nil"/>
              <w:right w:val="nil"/>
            </w:tcBorders>
            <w:shd w:val="clear" w:color="auto" w:fill="FFFFFF"/>
            <w:vAlign w:val="center"/>
            <w:hideMark/>
          </w:tcPr>
          <w:p w14:paraId="7BB8F526"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182</w:t>
            </w:r>
          </w:p>
        </w:tc>
        <w:tc>
          <w:tcPr>
            <w:tcW w:w="902" w:type="dxa"/>
            <w:tcBorders>
              <w:top w:val="nil"/>
              <w:left w:val="single" w:sz="8" w:space="0" w:color="auto"/>
              <w:bottom w:val="nil"/>
              <w:right w:val="single" w:sz="8" w:space="0" w:color="auto"/>
            </w:tcBorders>
            <w:shd w:val="clear" w:color="auto" w:fill="FFFFFF"/>
            <w:vAlign w:val="center"/>
            <w:hideMark/>
          </w:tcPr>
          <w:p w14:paraId="01A19CC2"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306</w:t>
            </w:r>
          </w:p>
        </w:tc>
      </w:tr>
      <w:tr w:rsidR="00A259BD" w:rsidRPr="00A259BD" w14:paraId="58B94AFD" w14:textId="77777777" w:rsidTr="007771FC">
        <w:trPr>
          <w:trHeight w:val="216"/>
        </w:trPr>
        <w:tc>
          <w:tcPr>
            <w:tcW w:w="2770" w:type="dxa"/>
            <w:tcBorders>
              <w:top w:val="nil"/>
              <w:left w:val="single" w:sz="8" w:space="0" w:color="auto"/>
              <w:bottom w:val="nil"/>
              <w:right w:val="nil"/>
            </w:tcBorders>
            <w:shd w:val="clear" w:color="auto" w:fill="FFFFFF"/>
            <w:vAlign w:val="center"/>
            <w:hideMark/>
          </w:tcPr>
          <w:p w14:paraId="27C579A9"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рабочих</w:t>
            </w:r>
          </w:p>
        </w:tc>
        <w:tc>
          <w:tcPr>
            <w:tcW w:w="898" w:type="dxa"/>
            <w:tcBorders>
              <w:top w:val="nil"/>
              <w:left w:val="single" w:sz="8" w:space="0" w:color="auto"/>
              <w:bottom w:val="nil"/>
              <w:right w:val="nil"/>
            </w:tcBorders>
            <w:shd w:val="clear" w:color="auto" w:fill="FFFFFF"/>
            <w:vAlign w:val="center"/>
            <w:hideMark/>
          </w:tcPr>
          <w:p w14:paraId="5DD91DB3"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6D55414A"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101,4</w:t>
            </w:r>
          </w:p>
        </w:tc>
        <w:tc>
          <w:tcPr>
            <w:tcW w:w="864" w:type="dxa"/>
            <w:tcBorders>
              <w:top w:val="nil"/>
              <w:left w:val="single" w:sz="8" w:space="0" w:color="auto"/>
              <w:bottom w:val="nil"/>
              <w:right w:val="nil"/>
            </w:tcBorders>
            <w:shd w:val="clear" w:color="auto" w:fill="FFFFFF"/>
            <w:vAlign w:val="center"/>
            <w:hideMark/>
          </w:tcPr>
          <w:p w14:paraId="7AB6B38F"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115,3</w:t>
            </w:r>
          </w:p>
        </w:tc>
        <w:tc>
          <w:tcPr>
            <w:tcW w:w="902" w:type="dxa"/>
            <w:tcBorders>
              <w:top w:val="nil"/>
              <w:left w:val="single" w:sz="8" w:space="0" w:color="auto"/>
              <w:bottom w:val="nil"/>
              <w:right w:val="single" w:sz="8" w:space="0" w:color="auto"/>
            </w:tcBorders>
            <w:shd w:val="clear" w:color="auto" w:fill="FFFFFF"/>
            <w:vAlign w:val="center"/>
            <w:hideMark/>
          </w:tcPr>
          <w:p w14:paraId="4E136292"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131,3</w:t>
            </w:r>
          </w:p>
        </w:tc>
      </w:tr>
      <w:tr w:rsidR="00A259BD" w:rsidRPr="00A259BD" w14:paraId="59150DD4" w14:textId="77777777" w:rsidTr="007771FC">
        <w:trPr>
          <w:trHeight w:val="216"/>
        </w:trPr>
        <w:tc>
          <w:tcPr>
            <w:tcW w:w="2770" w:type="dxa"/>
            <w:tcBorders>
              <w:top w:val="nil"/>
              <w:left w:val="single" w:sz="8" w:space="0" w:color="auto"/>
              <w:bottom w:val="nil"/>
              <w:right w:val="nil"/>
            </w:tcBorders>
            <w:shd w:val="clear" w:color="auto" w:fill="FFFFFF"/>
            <w:vAlign w:val="center"/>
            <w:hideMark/>
          </w:tcPr>
          <w:p w14:paraId="577E9E7B"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служащих</w:t>
            </w:r>
          </w:p>
        </w:tc>
        <w:tc>
          <w:tcPr>
            <w:tcW w:w="898" w:type="dxa"/>
            <w:tcBorders>
              <w:top w:val="nil"/>
              <w:left w:val="single" w:sz="8" w:space="0" w:color="auto"/>
              <w:bottom w:val="nil"/>
              <w:right w:val="nil"/>
            </w:tcBorders>
            <w:shd w:val="clear" w:color="auto" w:fill="FFFFFF"/>
            <w:vAlign w:val="center"/>
            <w:hideMark/>
          </w:tcPr>
          <w:p w14:paraId="2F92B4F8"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2A35513B"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w:t>
            </w:r>
          </w:p>
        </w:tc>
        <w:tc>
          <w:tcPr>
            <w:tcW w:w="864" w:type="dxa"/>
            <w:tcBorders>
              <w:top w:val="nil"/>
              <w:left w:val="single" w:sz="8" w:space="0" w:color="auto"/>
              <w:bottom w:val="nil"/>
              <w:right w:val="nil"/>
            </w:tcBorders>
            <w:shd w:val="clear" w:color="auto" w:fill="FFFFFF"/>
            <w:vAlign w:val="center"/>
            <w:hideMark/>
          </w:tcPr>
          <w:p w14:paraId="5A7A14AE"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106,5</w:t>
            </w:r>
          </w:p>
        </w:tc>
        <w:tc>
          <w:tcPr>
            <w:tcW w:w="902" w:type="dxa"/>
            <w:tcBorders>
              <w:top w:val="nil"/>
              <w:left w:val="single" w:sz="8" w:space="0" w:color="auto"/>
              <w:bottom w:val="nil"/>
              <w:right w:val="single" w:sz="8" w:space="0" w:color="auto"/>
            </w:tcBorders>
            <w:shd w:val="clear" w:color="auto" w:fill="FFFFFF"/>
            <w:vAlign w:val="center"/>
            <w:hideMark/>
          </w:tcPr>
          <w:p w14:paraId="187845A8"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118</w:t>
            </w:r>
          </w:p>
        </w:tc>
      </w:tr>
      <w:tr w:rsidR="00A259BD" w:rsidRPr="00A259BD" w14:paraId="3048D833" w14:textId="77777777" w:rsidTr="007771FC">
        <w:trPr>
          <w:trHeight w:val="446"/>
        </w:trPr>
        <w:tc>
          <w:tcPr>
            <w:tcW w:w="2770" w:type="dxa"/>
            <w:tcBorders>
              <w:top w:val="nil"/>
              <w:left w:val="single" w:sz="8" w:space="0" w:color="auto"/>
              <w:bottom w:val="nil"/>
              <w:right w:val="nil"/>
            </w:tcBorders>
            <w:shd w:val="clear" w:color="auto" w:fill="FFFFFF"/>
            <w:vAlign w:val="center"/>
            <w:hideMark/>
          </w:tcPr>
          <w:p w14:paraId="17C06904"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Выработка на 1 рабочего в руб.</w:t>
            </w:r>
          </w:p>
        </w:tc>
        <w:tc>
          <w:tcPr>
            <w:tcW w:w="898" w:type="dxa"/>
            <w:tcBorders>
              <w:top w:val="nil"/>
              <w:left w:val="single" w:sz="8" w:space="0" w:color="auto"/>
              <w:bottom w:val="nil"/>
              <w:right w:val="nil"/>
            </w:tcBorders>
            <w:shd w:val="clear" w:color="auto" w:fill="FFFFFF"/>
            <w:vAlign w:val="center"/>
            <w:hideMark/>
          </w:tcPr>
          <w:p w14:paraId="4B89809D"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7517EFC8"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125</w:t>
            </w:r>
          </w:p>
        </w:tc>
        <w:tc>
          <w:tcPr>
            <w:tcW w:w="864" w:type="dxa"/>
            <w:tcBorders>
              <w:top w:val="nil"/>
              <w:left w:val="single" w:sz="8" w:space="0" w:color="auto"/>
              <w:bottom w:val="nil"/>
              <w:right w:val="nil"/>
            </w:tcBorders>
            <w:shd w:val="clear" w:color="auto" w:fill="FFFFFF"/>
            <w:vAlign w:val="center"/>
            <w:hideMark/>
          </w:tcPr>
          <w:p w14:paraId="3256C950"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152</w:t>
            </w:r>
          </w:p>
        </w:tc>
        <w:tc>
          <w:tcPr>
            <w:tcW w:w="902" w:type="dxa"/>
            <w:tcBorders>
              <w:top w:val="nil"/>
              <w:left w:val="single" w:sz="8" w:space="0" w:color="auto"/>
              <w:bottom w:val="nil"/>
              <w:right w:val="single" w:sz="8" w:space="0" w:color="auto"/>
            </w:tcBorders>
            <w:shd w:val="clear" w:color="auto" w:fill="FFFFFF"/>
            <w:vAlign w:val="center"/>
            <w:hideMark/>
          </w:tcPr>
          <w:p w14:paraId="4675CD11"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187</w:t>
            </w:r>
          </w:p>
        </w:tc>
      </w:tr>
      <w:tr w:rsidR="00A259BD" w:rsidRPr="00A259BD" w14:paraId="6B7061FC" w14:textId="77777777" w:rsidTr="007771FC">
        <w:trPr>
          <w:trHeight w:val="211"/>
        </w:trPr>
        <w:tc>
          <w:tcPr>
            <w:tcW w:w="2770" w:type="dxa"/>
            <w:tcBorders>
              <w:top w:val="nil"/>
              <w:left w:val="single" w:sz="8" w:space="0" w:color="auto"/>
              <w:bottom w:val="nil"/>
              <w:right w:val="nil"/>
            </w:tcBorders>
            <w:shd w:val="clear" w:color="auto" w:fill="FFFFFF"/>
            <w:vAlign w:val="center"/>
            <w:hideMark/>
          </w:tcPr>
          <w:p w14:paraId="759AD9E4"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Рост заработной платы</w:t>
            </w:r>
          </w:p>
        </w:tc>
        <w:tc>
          <w:tcPr>
            <w:tcW w:w="898" w:type="dxa"/>
            <w:tcBorders>
              <w:top w:val="nil"/>
              <w:left w:val="single" w:sz="8" w:space="0" w:color="auto"/>
              <w:bottom w:val="nil"/>
              <w:right w:val="nil"/>
            </w:tcBorders>
            <w:shd w:val="clear" w:color="auto" w:fill="FFFFFF"/>
            <w:vAlign w:val="center"/>
            <w:hideMark/>
          </w:tcPr>
          <w:p w14:paraId="50A5F6F7"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0A003461"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114</w:t>
            </w:r>
          </w:p>
        </w:tc>
        <w:tc>
          <w:tcPr>
            <w:tcW w:w="864" w:type="dxa"/>
            <w:tcBorders>
              <w:top w:val="nil"/>
              <w:left w:val="single" w:sz="8" w:space="0" w:color="auto"/>
              <w:bottom w:val="nil"/>
              <w:right w:val="nil"/>
            </w:tcBorders>
            <w:shd w:val="clear" w:color="auto" w:fill="FFFFFF"/>
            <w:vAlign w:val="center"/>
            <w:hideMark/>
          </w:tcPr>
          <w:p w14:paraId="44E62E20"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131</w:t>
            </w:r>
          </w:p>
        </w:tc>
        <w:tc>
          <w:tcPr>
            <w:tcW w:w="902" w:type="dxa"/>
            <w:tcBorders>
              <w:top w:val="nil"/>
              <w:left w:val="single" w:sz="8" w:space="0" w:color="auto"/>
              <w:bottom w:val="nil"/>
              <w:right w:val="single" w:sz="8" w:space="0" w:color="auto"/>
            </w:tcBorders>
            <w:shd w:val="clear" w:color="auto" w:fill="FFFFFF"/>
            <w:vAlign w:val="center"/>
            <w:hideMark/>
          </w:tcPr>
          <w:p w14:paraId="4D846701"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144</w:t>
            </w:r>
          </w:p>
        </w:tc>
      </w:tr>
      <w:tr w:rsidR="00A259BD" w:rsidRPr="00A259BD" w14:paraId="06972492" w14:textId="77777777" w:rsidTr="007771FC">
        <w:trPr>
          <w:trHeight w:val="211"/>
        </w:trPr>
        <w:tc>
          <w:tcPr>
            <w:tcW w:w="2770" w:type="dxa"/>
            <w:tcBorders>
              <w:top w:val="nil"/>
              <w:left w:val="single" w:sz="8" w:space="0" w:color="auto"/>
              <w:bottom w:val="nil"/>
              <w:right w:val="nil"/>
            </w:tcBorders>
            <w:shd w:val="clear" w:color="auto" w:fill="FFFFFF"/>
            <w:vAlign w:val="center"/>
            <w:hideMark/>
          </w:tcPr>
          <w:p w14:paraId="516BEB78"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Рост основного капитала</w:t>
            </w:r>
          </w:p>
        </w:tc>
        <w:tc>
          <w:tcPr>
            <w:tcW w:w="898" w:type="dxa"/>
            <w:tcBorders>
              <w:top w:val="nil"/>
              <w:left w:val="single" w:sz="8" w:space="0" w:color="auto"/>
              <w:bottom w:val="nil"/>
              <w:right w:val="nil"/>
            </w:tcBorders>
            <w:shd w:val="clear" w:color="auto" w:fill="FFFFFF"/>
            <w:vAlign w:val="center"/>
            <w:hideMark/>
          </w:tcPr>
          <w:p w14:paraId="34353C3A"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79544A8B"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112</w:t>
            </w:r>
          </w:p>
        </w:tc>
        <w:tc>
          <w:tcPr>
            <w:tcW w:w="864" w:type="dxa"/>
            <w:tcBorders>
              <w:top w:val="nil"/>
              <w:left w:val="single" w:sz="8" w:space="0" w:color="auto"/>
              <w:bottom w:val="nil"/>
              <w:right w:val="nil"/>
            </w:tcBorders>
            <w:shd w:val="clear" w:color="auto" w:fill="FFFFFF"/>
            <w:vAlign w:val="center"/>
            <w:hideMark/>
          </w:tcPr>
          <w:p w14:paraId="31BCAFA8"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130</w:t>
            </w:r>
          </w:p>
        </w:tc>
        <w:tc>
          <w:tcPr>
            <w:tcW w:w="902" w:type="dxa"/>
            <w:tcBorders>
              <w:top w:val="nil"/>
              <w:left w:val="single" w:sz="8" w:space="0" w:color="auto"/>
              <w:bottom w:val="nil"/>
              <w:right w:val="single" w:sz="8" w:space="0" w:color="auto"/>
            </w:tcBorders>
            <w:shd w:val="clear" w:color="auto" w:fill="FFFFFF"/>
            <w:vAlign w:val="center"/>
            <w:hideMark/>
          </w:tcPr>
          <w:p w14:paraId="2EAB8EEF"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w:t>
            </w:r>
          </w:p>
        </w:tc>
      </w:tr>
      <w:tr w:rsidR="00A259BD" w:rsidRPr="00A259BD" w14:paraId="00A79F56" w14:textId="77777777" w:rsidTr="007771FC">
        <w:trPr>
          <w:trHeight w:val="456"/>
        </w:trPr>
        <w:tc>
          <w:tcPr>
            <w:tcW w:w="2770" w:type="dxa"/>
            <w:tcBorders>
              <w:top w:val="nil"/>
              <w:left w:val="single" w:sz="8" w:space="0" w:color="auto"/>
              <w:bottom w:val="nil"/>
              <w:right w:val="nil"/>
            </w:tcBorders>
            <w:shd w:val="clear" w:color="auto" w:fill="FFFFFF"/>
            <w:vAlign w:val="center"/>
            <w:hideMark/>
          </w:tcPr>
          <w:p w14:paraId="6F629BED"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Затраты на капитальное строительство</w:t>
            </w:r>
          </w:p>
        </w:tc>
        <w:tc>
          <w:tcPr>
            <w:tcW w:w="898" w:type="dxa"/>
            <w:tcBorders>
              <w:top w:val="nil"/>
              <w:left w:val="single" w:sz="8" w:space="0" w:color="auto"/>
              <w:bottom w:val="nil"/>
              <w:right w:val="nil"/>
            </w:tcBorders>
            <w:shd w:val="clear" w:color="auto" w:fill="FFFFFF"/>
            <w:vAlign w:val="center"/>
            <w:hideMark/>
          </w:tcPr>
          <w:p w14:paraId="3504B75A"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10FAD309"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168</w:t>
            </w:r>
          </w:p>
        </w:tc>
        <w:tc>
          <w:tcPr>
            <w:tcW w:w="864" w:type="dxa"/>
            <w:tcBorders>
              <w:top w:val="nil"/>
              <w:left w:val="single" w:sz="8" w:space="0" w:color="auto"/>
              <w:bottom w:val="nil"/>
              <w:right w:val="nil"/>
            </w:tcBorders>
            <w:shd w:val="clear" w:color="auto" w:fill="FFFFFF"/>
            <w:vAlign w:val="center"/>
            <w:hideMark/>
          </w:tcPr>
          <w:p w14:paraId="017EC3DC"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296</w:t>
            </w:r>
          </w:p>
        </w:tc>
        <w:tc>
          <w:tcPr>
            <w:tcW w:w="902" w:type="dxa"/>
            <w:tcBorders>
              <w:top w:val="nil"/>
              <w:left w:val="single" w:sz="8" w:space="0" w:color="auto"/>
              <w:bottom w:val="nil"/>
              <w:right w:val="single" w:sz="8" w:space="0" w:color="auto"/>
            </w:tcBorders>
            <w:shd w:val="clear" w:color="auto" w:fill="FFFFFF"/>
            <w:vAlign w:val="center"/>
            <w:hideMark/>
          </w:tcPr>
          <w:p w14:paraId="772C7C40"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499</w:t>
            </w:r>
          </w:p>
        </w:tc>
      </w:tr>
      <w:tr w:rsidR="00A259BD" w:rsidRPr="00A259BD" w14:paraId="60EF24B1" w14:textId="77777777" w:rsidTr="007771FC">
        <w:trPr>
          <w:trHeight w:val="442"/>
        </w:trPr>
        <w:tc>
          <w:tcPr>
            <w:tcW w:w="2770" w:type="dxa"/>
            <w:tcBorders>
              <w:top w:val="nil"/>
              <w:left w:val="single" w:sz="8" w:space="0" w:color="auto"/>
              <w:bottom w:val="nil"/>
              <w:right w:val="nil"/>
            </w:tcBorders>
            <w:shd w:val="clear" w:color="auto" w:fill="FFFFFF"/>
            <w:vAlign w:val="center"/>
            <w:hideMark/>
          </w:tcPr>
          <w:p w14:paraId="39985D77"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том числе на промыш</w:t>
            </w:r>
            <w:r w:rsidRPr="00A259BD">
              <w:rPr>
                <w:rFonts w:ascii="Times New Roman" w:hAnsi="Times New Roman"/>
                <w:color w:val="000000" w:themeColor="text1"/>
                <w:sz w:val="16"/>
                <w:szCs w:val="16"/>
              </w:rPr>
              <w:softHyphen/>
              <w:t>ленное строительство</w:t>
            </w:r>
          </w:p>
        </w:tc>
        <w:tc>
          <w:tcPr>
            <w:tcW w:w="898" w:type="dxa"/>
            <w:tcBorders>
              <w:top w:val="nil"/>
              <w:left w:val="single" w:sz="8" w:space="0" w:color="auto"/>
              <w:bottom w:val="nil"/>
              <w:right w:val="nil"/>
            </w:tcBorders>
            <w:shd w:val="clear" w:color="auto" w:fill="FFFFFF"/>
            <w:vAlign w:val="center"/>
            <w:hideMark/>
          </w:tcPr>
          <w:p w14:paraId="2546730D"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1AB89058"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w:t>
            </w:r>
          </w:p>
        </w:tc>
        <w:tc>
          <w:tcPr>
            <w:tcW w:w="864" w:type="dxa"/>
            <w:tcBorders>
              <w:top w:val="nil"/>
              <w:left w:val="single" w:sz="8" w:space="0" w:color="auto"/>
              <w:bottom w:val="nil"/>
              <w:right w:val="nil"/>
            </w:tcBorders>
            <w:shd w:val="clear" w:color="auto" w:fill="FFFFFF"/>
            <w:vAlign w:val="center"/>
            <w:hideMark/>
          </w:tcPr>
          <w:p w14:paraId="3586328C"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256</w:t>
            </w:r>
          </w:p>
        </w:tc>
        <w:tc>
          <w:tcPr>
            <w:tcW w:w="902" w:type="dxa"/>
            <w:tcBorders>
              <w:top w:val="nil"/>
              <w:left w:val="single" w:sz="8" w:space="0" w:color="auto"/>
              <w:bottom w:val="nil"/>
              <w:right w:val="single" w:sz="8" w:space="0" w:color="auto"/>
            </w:tcBorders>
            <w:shd w:val="clear" w:color="auto" w:fill="FFFFFF"/>
            <w:vAlign w:val="center"/>
            <w:hideMark/>
          </w:tcPr>
          <w:p w14:paraId="784DEFA2"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467</w:t>
            </w:r>
          </w:p>
        </w:tc>
      </w:tr>
      <w:tr w:rsidR="00A259BD" w:rsidRPr="00A259BD" w14:paraId="278C8C32" w14:textId="77777777" w:rsidTr="007771FC">
        <w:trPr>
          <w:trHeight w:val="211"/>
        </w:trPr>
        <w:tc>
          <w:tcPr>
            <w:tcW w:w="2770" w:type="dxa"/>
            <w:tcBorders>
              <w:top w:val="nil"/>
              <w:left w:val="single" w:sz="8" w:space="0" w:color="auto"/>
              <w:bottom w:val="nil"/>
              <w:right w:val="nil"/>
            </w:tcBorders>
            <w:shd w:val="clear" w:color="auto" w:fill="FFFFFF"/>
            <w:vAlign w:val="center"/>
            <w:hideMark/>
          </w:tcPr>
          <w:p w14:paraId="515F8A78"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жилищное строительство</w:t>
            </w:r>
          </w:p>
        </w:tc>
        <w:tc>
          <w:tcPr>
            <w:tcW w:w="898" w:type="dxa"/>
            <w:tcBorders>
              <w:top w:val="nil"/>
              <w:left w:val="single" w:sz="8" w:space="0" w:color="auto"/>
              <w:bottom w:val="nil"/>
              <w:right w:val="nil"/>
            </w:tcBorders>
            <w:shd w:val="clear" w:color="auto" w:fill="FFFFFF"/>
            <w:vAlign w:val="center"/>
            <w:hideMark/>
          </w:tcPr>
          <w:p w14:paraId="594FF436"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6B58948E"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283</w:t>
            </w:r>
          </w:p>
        </w:tc>
        <w:tc>
          <w:tcPr>
            <w:tcW w:w="864" w:type="dxa"/>
            <w:tcBorders>
              <w:top w:val="nil"/>
              <w:left w:val="single" w:sz="8" w:space="0" w:color="auto"/>
              <w:bottom w:val="nil"/>
              <w:right w:val="nil"/>
            </w:tcBorders>
            <w:shd w:val="clear" w:color="auto" w:fill="FFFFFF"/>
            <w:vAlign w:val="center"/>
            <w:hideMark/>
          </w:tcPr>
          <w:p w14:paraId="4047FCBA"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560</w:t>
            </w:r>
          </w:p>
        </w:tc>
        <w:tc>
          <w:tcPr>
            <w:tcW w:w="902" w:type="dxa"/>
            <w:tcBorders>
              <w:top w:val="nil"/>
              <w:left w:val="single" w:sz="8" w:space="0" w:color="auto"/>
              <w:bottom w:val="nil"/>
              <w:right w:val="single" w:sz="8" w:space="0" w:color="auto"/>
            </w:tcBorders>
            <w:shd w:val="clear" w:color="auto" w:fill="FFFFFF"/>
            <w:vAlign w:val="center"/>
            <w:hideMark/>
          </w:tcPr>
          <w:p w14:paraId="24B75033"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739</w:t>
            </w:r>
          </w:p>
        </w:tc>
      </w:tr>
      <w:tr w:rsidR="00A259BD" w:rsidRPr="00A259BD" w14:paraId="29B58AF3" w14:textId="77777777" w:rsidTr="007771FC">
        <w:trPr>
          <w:trHeight w:val="989"/>
        </w:trPr>
        <w:tc>
          <w:tcPr>
            <w:tcW w:w="2770" w:type="dxa"/>
            <w:tcBorders>
              <w:top w:val="nil"/>
              <w:left w:val="single" w:sz="8" w:space="0" w:color="auto"/>
              <w:bottom w:val="single" w:sz="8" w:space="0" w:color="auto"/>
              <w:right w:val="nil"/>
            </w:tcBorders>
            <w:shd w:val="clear" w:color="auto" w:fill="FFFFFF"/>
            <w:vAlign w:val="center"/>
            <w:hideMark/>
          </w:tcPr>
          <w:p w14:paraId="55EB2192"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Рост собственных средств (амортизация, прибыль, переход материальных остатков, платежей)</w:t>
            </w:r>
          </w:p>
        </w:tc>
        <w:tc>
          <w:tcPr>
            <w:tcW w:w="898" w:type="dxa"/>
            <w:tcBorders>
              <w:top w:val="nil"/>
              <w:left w:val="single" w:sz="8" w:space="0" w:color="auto"/>
              <w:bottom w:val="single" w:sz="8" w:space="0" w:color="auto"/>
              <w:right w:val="nil"/>
            </w:tcBorders>
            <w:shd w:val="clear" w:color="auto" w:fill="FFFFFF"/>
            <w:vAlign w:val="center"/>
            <w:hideMark/>
          </w:tcPr>
          <w:p w14:paraId="3873BBDA"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98" w:type="dxa"/>
            <w:tcBorders>
              <w:top w:val="nil"/>
              <w:left w:val="single" w:sz="8" w:space="0" w:color="auto"/>
              <w:bottom w:val="single" w:sz="8" w:space="0" w:color="auto"/>
              <w:right w:val="nil"/>
            </w:tcBorders>
            <w:shd w:val="clear" w:color="auto" w:fill="FFFFFF"/>
            <w:vAlign w:val="center"/>
            <w:hideMark/>
          </w:tcPr>
          <w:p w14:paraId="4AFA5D8E"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864" w:type="dxa"/>
            <w:tcBorders>
              <w:top w:val="nil"/>
              <w:left w:val="single" w:sz="8" w:space="0" w:color="auto"/>
              <w:bottom w:val="single" w:sz="8" w:space="0" w:color="auto"/>
              <w:right w:val="nil"/>
            </w:tcBorders>
            <w:shd w:val="clear" w:color="auto" w:fill="FFFFFF"/>
            <w:vAlign w:val="center"/>
            <w:hideMark/>
          </w:tcPr>
          <w:p w14:paraId="01E3F5BE"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284,7</w:t>
            </w:r>
          </w:p>
        </w:tc>
        <w:tc>
          <w:tcPr>
            <w:tcW w:w="902" w:type="dxa"/>
            <w:tcBorders>
              <w:top w:val="nil"/>
              <w:left w:val="single" w:sz="8" w:space="0" w:color="auto"/>
              <w:bottom w:val="single" w:sz="8" w:space="0" w:color="auto"/>
              <w:right w:val="single" w:sz="8" w:space="0" w:color="auto"/>
            </w:tcBorders>
            <w:shd w:val="clear" w:color="auto" w:fill="FFFFFF"/>
            <w:vAlign w:val="center"/>
            <w:hideMark/>
          </w:tcPr>
          <w:p w14:paraId="215735BE"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536,6</w:t>
            </w:r>
          </w:p>
        </w:tc>
      </w:tr>
    </w:tbl>
    <w:p w14:paraId="34A05D5A"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Составлена по материалам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Как показывают отчетные документы, в 1927-1928 гг. дейст</w:t>
      </w:r>
      <w:r w:rsidRPr="00A259BD">
        <w:rPr>
          <w:rFonts w:ascii="Times New Roman" w:hAnsi="Times New Roman"/>
          <w:color w:val="000000" w:themeColor="text1"/>
          <w:sz w:val="16"/>
          <w:szCs w:val="16"/>
        </w:rPr>
        <w:softHyphen/>
        <w:t>вительно были отмечены относительными успехами в деле вос</w:t>
      </w:r>
      <w:r w:rsidRPr="00A259BD">
        <w:rPr>
          <w:rFonts w:ascii="Times New Roman" w:hAnsi="Times New Roman"/>
          <w:color w:val="000000" w:themeColor="text1"/>
          <w:sz w:val="16"/>
          <w:szCs w:val="16"/>
        </w:rPr>
        <w:softHyphen/>
        <w:t xml:space="preserve">становления военной промышленности. </w:t>
      </w:r>
      <w:bookmarkEnd w:id="36"/>
      <w:r w:rsidRPr="00A259BD">
        <w:rPr>
          <w:rFonts w:ascii="Times New Roman" w:hAnsi="Times New Roman"/>
          <w:color w:val="000000" w:themeColor="text1"/>
          <w:sz w:val="16"/>
          <w:szCs w:val="16"/>
        </w:rPr>
        <w:t xml:space="preserve"> Если в 1925/26 г. убыток по </w:t>
      </w:r>
      <w:proofErr w:type="spellStart"/>
      <w:r w:rsidRPr="00A259BD">
        <w:rPr>
          <w:rFonts w:ascii="Times New Roman" w:hAnsi="Times New Roman"/>
          <w:color w:val="000000" w:themeColor="text1"/>
          <w:sz w:val="16"/>
          <w:szCs w:val="16"/>
        </w:rPr>
        <w:t>Военпрому</w:t>
      </w:r>
      <w:proofErr w:type="spellEnd"/>
      <w:r w:rsidRPr="00A259BD">
        <w:rPr>
          <w:rFonts w:ascii="Times New Roman" w:hAnsi="Times New Roman"/>
          <w:color w:val="000000" w:themeColor="text1"/>
          <w:sz w:val="16"/>
          <w:szCs w:val="16"/>
        </w:rPr>
        <w:t xml:space="preserve"> составил 14,7 млн руб., то в 1926/27 г. была получена прибыль в 10 млн </w:t>
      </w:r>
      <w:proofErr w:type="spellStart"/>
      <w:r w:rsidRPr="00A259BD">
        <w:rPr>
          <w:rFonts w:ascii="Times New Roman" w:hAnsi="Times New Roman"/>
          <w:color w:val="000000" w:themeColor="text1"/>
          <w:sz w:val="16"/>
          <w:szCs w:val="16"/>
        </w:rPr>
        <w:t>руб</w:t>
      </w:r>
      <w:proofErr w:type="spellEnd"/>
      <w:r w:rsidRPr="00A259BD">
        <w:rPr>
          <w:rFonts w:ascii="Times New Roman" w:hAnsi="Times New Roman"/>
          <w:color w:val="000000" w:themeColor="text1"/>
          <w:sz w:val="16"/>
          <w:szCs w:val="16"/>
        </w:rPr>
        <w:t>, а в 1927/28 г. - 10,8 млн руб. В том же году удалось добиться сниже</w:t>
      </w:r>
      <w:r w:rsidRPr="00A259BD">
        <w:rPr>
          <w:rFonts w:ascii="Times New Roman" w:hAnsi="Times New Roman"/>
          <w:color w:val="000000" w:themeColor="text1"/>
          <w:sz w:val="16"/>
          <w:szCs w:val="16"/>
        </w:rPr>
        <w:softHyphen/>
        <w:t>ния цен на продукцию на 6,6%, снизить ее себестоимость на 7,9%. Таким образом, все показатели свидетельствовали об оздоровле</w:t>
      </w:r>
      <w:r w:rsidRPr="00A259BD">
        <w:rPr>
          <w:rFonts w:ascii="Times New Roman" w:hAnsi="Times New Roman"/>
          <w:color w:val="000000" w:themeColor="text1"/>
          <w:sz w:val="16"/>
          <w:szCs w:val="16"/>
        </w:rPr>
        <w:softHyphen/>
        <w:t>нии и поступательном развитии военной промышленности (18393).</w:t>
      </w:r>
    </w:p>
    <w:p w14:paraId="072A0DB5" w14:textId="77777777" w:rsidR="009D688E" w:rsidRPr="00A259BD" w:rsidRDefault="009D688E" w:rsidP="009236E3">
      <w:pPr>
        <w:spacing w:after="0" w:line="240" w:lineRule="auto"/>
        <w:jc w:val="both"/>
        <w:rPr>
          <w:rFonts w:ascii="Times New Roman" w:hAnsi="Times New Roman"/>
          <w:color w:val="000000" w:themeColor="text1"/>
          <w:sz w:val="16"/>
          <w:szCs w:val="16"/>
        </w:rPr>
      </w:pPr>
    </w:p>
    <w:p w14:paraId="735C7B38" w14:textId="77777777" w:rsidR="009D688E" w:rsidRPr="00A259BD" w:rsidRDefault="009D688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апреля 1929 г.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xml:space="preserve"> в своем докладе о работе военной про</w:t>
      </w:r>
      <w:r w:rsidRPr="00A259BD">
        <w:rPr>
          <w:rFonts w:ascii="Times New Roman" w:hAnsi="Times New Roman"/>
          <w:color w:val="000000" w:themeColor="text1"/>
          <w:sz w:val="16"/>
          <w:szCs w:val="16"/>
        </w:rPr>
        <w:softHyphen/>
        <w:t>мышленности на заседании ПБ ЦК ВКП(б)пытался как-то ослабить предъявляемые обвинения. Возра</w:t>
      </w:r>
      <w:r w:rsidRPr="00A259BD">
        <w:rPr>
          <w:rFonts w:ascii="Times New Roman" w:hAnsi="Times New Roman"/>
          <w:color w:val="000000" w:themeColor="text1"/>
          <w:sz w:val="16"/>
          <w:szCs w:val="16"/>
        </w:rPr>
        <w:softHyphen/>
        <w:t xml:space="preserve">жая </w:t>
      </w:r>
      <w:proofErr w:type="spellStart"/>
      <w:r w:rsidRPr="00A259BD">
        <w:rPr>
          <w:rFonts w:ascii="Times New Roman" w:hAnsi="Times New Roman"/>
          <w:color w:val="000000" w:themeColor="text1"/>
          <w:sz w:val="16"/>
          <w:szCs w:val="16"/>
        </w:rPr>
        <w:t>Павлуновскому</w:t>
      </w:r>
      <w:proofErr w:type="spellEnd"/>
      <w:r w:rsidRPr="00A259BD">
        <w:rPr>
          <w:rFonts w:ascii="Times New Roman" w:hAnsi="Times New Roman"/>
          <w:color w:val="000000" w:themeColor="text1"/>
          <w:sz w:val="16"/>
          <w:szCs w:val="16"/>
        </w:rPr>
        <w:t xml:space="preserve"> на то, что в аппарате ВПУ засели старые генералы, он отвечал, что это сильно преувеличено, что их всего несколько человек. Что же касается Михайлова, то он всегда казался просоветски настроенным, активно выступал с докладами на партийных собраниях, благоприятно восприни</w:t>
      </w:r>
      <w:r w:rsidRPr="00A259BD">
        <w:rPr>
          <w:rFonts w:ascii="Times New Roman" w:hAnsi="Times New Roman"/>
          <w:color w:val="000000" w:themeColor="text1"/>
          <w:sz w:val="16"/>
          <w:szCs w:val="16"/>
        </w:rPr>
        <w:softHyphen/>
        <w:t xml:space="preserve">мал критику. Он, - говорил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 первый среди ра</w:t>
      </w:r>
      <w:r w:rsidRPr="00A259BD">
        <w:rPr>
          <w:rFonts w:ascii="Times New Roman" w:hAnsi="Times New Roman"/>
          <w:color w:val="000000" w:themeColor="text1"/>
          <w:sz w:val="16"/>
          <w:szCs w:val="16"/>
        </w:rPr>
        <w:softHyphen/>
        <w:t xml:space="preserve">ботников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отмежевался от </w:t>
      </w:r>
      <w:proofErr w:type="spellStart"/>
      <w:r w:rsidRPr="00A259BD">
        <w:rPr>
          <w:rFonts w:ascii="Times New Roman" w:hAnsi="Times New Roman"/>
          <w:color w:val="000000" w:themeColor="text1"/>
          <w:sz w:val="16"/>
          <w:szCs w:val="16"/>
        </w:rPr>
        <w:t>шахтинцев</w:t>
      </w:r>
      <w:proofErr w:type="spellEnd"/>
      <w:r w:rsidRPr="00A259BD">
        <w:rPr>
          <w:rFonts w:ascii="Times New Roman" w:hAnsi="Times New Roman"/>
          <w:color w:val="000000" w:themeColor="text1"/>
          <w:sz w:val="16"/>
          <w:szCs w:val="16"/>
        </w:rPr>
        <w:t xml:space="preserve">. Вообще, - говорил он, - </w:t>
      </w:r>
      <w:proofErr w:type="spellStart"/>
      <w:r w:rsidRPr="00A259BD">
        <w:rPr>
          <w:rFonts w:ascii="Times New Roman" w:hAnsi="Times New Roman"/>
          <w:color w:val="000000" w:themeColor="text1"/>
          <w:sz w:val="16"/>
          <w:szCs w:val="16"/>
        </w:rPr>
        <w:t>Павлуновский</w:t>
      </w:r>
      <w:proofErr w:type="spellEnd"/>
      <w:r w:rsidRPr="00A259BD">
        <w:rPr>
          <w:rFonts w:ascii="Times New Roman" w:hAnsi="Times New Roman"/>
          <w:color w:val="000000" w:themeColor="text1"/>
          <w:sz w:val="16"/>
          <w:szCs w:val="16"/>
        </w:rPr>
        <w:t xml:space="preserve"> в своих нападках удивляет. В одном месте он писал, что военная промышленность имеет пол</w:t>
      </w:r>
      <w:r w:rsidRPr="00A259BD">
        <w:rPr>
          <w:rFonts w:ascii="Times New Roman" w:hAnsi="Times New Roman"/>
          <w:color w:val="000000" w:themeColor="text1"/>
          <w:sz w:val="16"/>
          <w:szCs w:val="16"/>
        </w:rPr>
        <w:softHyphen/>
        <w:t xml:space="preserve">ные мощности для </w:t>
      </w:r>
      <w:proofErr w:type="spellStart"/>
      <w:r w:rsidRPr="00A259BD">
        <w:rPr>
          <w:rFonts w:ascii="Times New Roman" w:hAnsi="Times New Roman"/>
          <w:color w:val="000000" w:themeColor="text1"/>
          <w:sz w:val="16"/>
          <w:szCs w:val="16"/>
        </w:rPr>
        <w:t>мобплана</w:t>
      </w:r>
      <w:proofErr w:type="spellEnd"/>
      <w:r w:rsidRPr="00A259BD">
        <w:rPr>
          <w:rFonts w:ascii="Times New Roman" w:hAnsi="Times New Roman"/>
          <w:color w:val="000000" w:themeColor="text1"/>
          <w:sz w:val="16"/>
          <w:szCs w:val="16"/>
        </w:rPr>
        <w:t xml:space="preserve"> литеры “С”, что является неза</w:t>
      </w:r>
      <w:r w:rsidRPr="00A259BD">
        <w:rPr>
          <w:rFonts w:ascii="Times New Roman" w:hAnsi="Times New Roman"/>
          <w:color w:val="000000" w:themeColor="text1"/>
          <w:sz w:val="16"/>
          <w:szCs w:val="16"/>
        </w:rPr>
        <w:softHyphen/>
        <w:t xml:space="preserve">служенным комплиментом, а с другой стороны, обвинял ВПУ в сокращении мощностей. Позицию </w:t>
      </w:r>
      <w:proofErr w:type="spellStart"/>
      <w:r w:rsidRPr="00A259BD">
        <w:rPr>
          <w:rFonts w:ascii="Times New Roman" w:hAnsi="Times New Roman"/>
          <w:color w:val="000000" w:themeColor="text1"/>
          <w:sz w:val="16"/>
          <w:szCs w:val="16"/>
        </w:rPr>
        <w:t>Павлуновского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Толокон</w:t>
      </w:r>
      <w:r w:rsidRPr="00A259BD">
        <w:rPr>
          <w:rFonts w:ascii="Times New Roman" w:hAnsi="Times New Roman"/>
          <w:color w:val="000000" w:themeColor="text1"/>
          <w:sz w:val="16"/>
          <w:szCs w:val="16"/>
        </w:rPr>
        <w:softHyphen/>
        <w:t>цев</w:t>
      </w:r>
      <w:proofErr w:type="spellEnd"/>
      <w:r w:rsidRPr="00A259BD">
        <w:rPr>
          <w:rFonts w:ascii="Times New Roman" w:hAnsi="Times New Roman"/>
          <w:color w:val="000000" w:themeColor="text1"/>
          <w:sz w:val="16"/>
          <w:szCs w:val="16"/>
        </w:rPr>
        <w:t xml:space="preserve"> определил как вредную, которая не дает правильного осве</w:t>
      </w:r>
      <w:r w:rsidRPr="00A259BD">
        <w:rPr>
          <w:rFonts w:ascii="Times New Roman" w:hAnsi="Times New Roman"/>
          <w:color w:val="000000" w:themeColor="text1"/>
          <w:sz w:val="16"/>
          <w:szCs w:val="16"/>
        </w:rPr>
        <w:softHyphen/>
        <w:t xml:space="preserve">щения положения в военной промышленности. (В апрельском письме в адрес ПБ </w:t>
      </w:r>
      <w:proofErr w:type="spellStart"/>
      <w:r w:rsidRPr="00A259BD">
        <w:rPr>
          <w:rFonts w:ascii="Times New Roman" w:hAnsi="Times New Roman"/>
          <w:color w:val="000000" w:themeColor="text1"/>
          <w:sz w:val="16"/>
          <w:szCs w:val="16"/>
        </w:rPr>
        <w:t>Павлуновский</w:t>
      </w:r>
      <w:proofErr w:type="spellEnd"/>
      <w:r w:rsidRPr="00A259BD">
        <w:rPr>
          <w:rFonts w:ascii="Times New Roman" w:hAnsi="Times New Roman"/>
          <w:color w:val="000000" w:themeColor="text1"/>
          <w:sz w:val="16"/>
          <w:szCs w:val="16"/>
        </w:rPr>
        <w:t xml:space="preserve"> писал о хаосе, расхлябанно</w:t>
      </w:r>
      <w:r w:rsidRPr="00A259BD">
        <w:rPr>
          <w:rFonts w:ascii="Times New Roman" w:hAnsi="Times New Roman"/>
          <w:color w:val="000000" w:themeColor="text1"/>
          <w:sz w:val="16"/>
          <w:szCs w:val="16"/>
        </w:rPr>
        <w:softHyphen/>
        <w:t>сти, катастрофическом положении в военной промышленно</w:t>
      </w:r>
      <w:r w:rsidRPr="00A259BD">
        <w:rPr>
          <w:rFonts w:ascii="Times New Roman" w:hAnsi="Times New Roman"/>
          <w:color w:val="000000" w:themeColor="text1"/>
          <w:sz w:val="16"/>
          <w:szCs w:val="16"/>
        </w:rPr>
        <w:softHyphen/>
        <w:t>сти, заявлял, что выполнение мобилизационного плана по ли</w:t>
      </w:r>
      <w:r w:rsidRPr="00A259BD">
        <w:rPr>
          <w:rFonts w:ascii="Times New Roman" w:hAnsi="Times New Roman"/>
          <w:color w:val="000000" w:themeColor="text1"/>
          <w:sz w:val="16"/>
          <w:szCs w:val="16"/>
        </w:rPr>
        <w:softHyphen/>
        <w:t>тере “С” висит на волоске, что оборонная трехлетка превра</w:t>
      </w:r>
      <w:r w:rsidRPr="00A259BD">
        <w:rPr>
          <w:rFonts w:ascii="Times New Roman" w:hAnsi="Times New Roman"/>
          <w:color w:val="000000" w:themeColor="text1"/>
          <w:sz w:val="16"/>
          <w:szCs w:val="16"/>
        </w:rPr>
        <w:softHyphen/>
        <w:t xml:space="preserve">щается в пятилетку). На самом деле вредителям, заключал </w:t>
      </w:r>
      <w:proofErr w:type="spellStart"/>
      <w:r w:rsidRPr="00A259BD">
        <w:rPr>
          <w:rFonts w:ascii="Times New Roman" w:hAnsi="Times New Roman"/>
          <w:color w:val="000000" w:themeColor="text1"/>
          <w:sz w:val="16"/>
          <w:szCs w:val="16"/>
        </w:rPr>
        <w:t>То</w:t>
      </w:r>
      <w:r w:rsidRPr="00A259BD">
        <w:rPr>
          <w:rFonts w:ascii="Times New Roman" w:hAnsi="Times New Roman"/>
          <w:color w:val="000000" w:themeColor="text1"/>
          <w:sz w:val="16"/>
          <w:szCs w:val="16"/>
        </w:rPr>
        <w:softHyphen/>
        <w:t>локонцев</w:t>
      </w:r>
      <w:proofErr w:type="spellEnd"/>
      <w:r w:rsidRPr="00A259BD">
        <w:rPr>
          <w:rFonts w:ascii="Times New Roman" w:hAnsi="Times New Roman"/>
          <w:color w:val="000000" w:themeColor="text1"/>
          <w:sz w:val="16"/>
          <w:szCs w:val="16"/>
        </w:rPr>
        <w:t>, не удалось подорвать дело обороны</w:t>
      </w:r>
      <w:bookmarkStart w:id="37" w:name="_ednref30"/>
      <w:r w:rsidRPr="00A259BD">
        <w:rPr>
          <w:rFonts w:ascii="Times New Roman" w:hAnsi="Times New Roman"/>
          <w:color w:val="000000" w:themeColor="text1"/>
          <w:sz w:val="16"/>
          <w:szCs w:val="16"/>
        </w:rPr>
        <w:t xml:space="preserve"> (18393)</w:t>
      </w:r>
      <w:bookmarkEnd w:id="37"/>
      <w:r w:rsidRPr="00A259BD">
        <w:rPr>
          <w:rFonts w:ascii="Times New Roman" w:hAnsi="Times New Roman"/>
          <w:color w:val="000000" w:themeColor="text1"/>
          <w:sz w:val="16"/>
          <w:szCs w:val="16"/>
        </w:rPr>
        <w:t>.</w:t>
      </w:r>
    </w:p>
    <w:p w14:paraId="3DF00276" w14:textId="77777777" w:rsidR="009D688E" w:rsidRPr="00A259BD" w:rsidRDefault="009D688E" w:rsidP="009236E3">
      <w:pPr>
        <w:spacing w:after="0" w:line="240" w:lineRule="auto"/>
        <w:jc w:val="both"/>
        <w:rPr>
          <w:rFonts w:ascii="Times New Roman" w:hAnsi="Times New Roman"/>
          <w:color w:val="000000" w:themeColor="text1"/>
          <w:sz w:val="16"/>
          <w:szCs w:val="16"/>
        </w:rPr>
      </w:pPr>
    </w:p>
    <w:p w14:paraId="3B9B5118" w14:textId="77777777" w:rsidR="007A4BE0" w:rsidRPr="00A259BD" w:rsidRDefault="007A4B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апреля 1929 г. в докладе </w:t>
      </w:r>
      <w:proofErr w:type="spellStart"/>
      <w:r w:rsidRPr="00A259BD">
        <w:rPr>
          <w:rFonts w:ascii="Times New Roman" w:hAnsi="Times New Roman"/>
          <w:color w:val="000000" w:themeColor="text1"/>
          <w:sz w:val="16"/>
          <w:szCs w:val="16"/>
        </w:rPr>
        <w:t>Толоконцева</w:t>
      </w:r>
      <w:proofErr w:type="spellEnd"/>
      <w:r w:rsidRPr="00A259BD">
        <w:rPr>
          <w:rFonts w:ascii="Times New Roman" w:hAnsi="Times New Roman"/>
          <w:color w:val="000000" w:themeColor="text1"/>
          <w:sz w:val="16"/>
          <w:szCs w:val="16"/>
        </w:rPr>
        <w:t xml:space="preserve">, сделанном им на заседании Политбюро ЦК ВКП(б), говорилось, что успехи военной промышленности якобы были достигнуты за счет организационных перестроек в </w:t>
      </w:r>
      <w:proofErr w:type="spellStart"/>
      <w:r w:rsidRPr="00A259BD">
        <w:rPr>
          <w:rFonts w:ascii="Times New Roman" w:hAnsi="Times New Roman"/>
          <w:color w:val="000000" w:themeColor="text1"/>
          <w:sz w:val="16"/>
          <w:szCs w:val="16"/>
        </w:rPr>
        <w:t>Военпроме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xml:space="preserve"> пришел к руководству ВПУ в конце 1926 г., застав дела, как он говорил, в состоянии развала и борь</w:t>
      </w:r>
      <w:r w:rsidRPr="00A259BD">
        <w:rPr>
          <w:rFonts w:ascii="Times New Roman" w:hAnsi="Times New Roman"/>
          <w:color w:val="000000" w:themeColor="text1"/>
          <w:sz w:val="16"/>
          <w:szCs w:val="16"/>
        </w:rPr>
        <w:softHyphen/>
        <w:t xml:space="preserve">бы с вредителями. С моим приходом, отмечал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поло</w:t>
      </w:r>
      <w:r w:rsidRPr="00A259BD">
        <w:rPr>
          <w:rFonts w:ascii="Times New Roman" w:hAnsi="Times New Roman"/>
          <w:color w:val="000000" w:themeColor="text1"/>
          <w:sz w:val="16"/>
          <w:szCs w:val="16"/>
        </w:rPr>
        <w:softHyphen/>
        <w:t>жение улучшилось. В 1927/28 г. было выполнено почти 100% производственной программы. Загрузка по валовой продукции поднялась с 167 млн руб. до 420 млн, т.е. в 2,5 раза. Число рабо</w:t>
      </w:r>
      <w:r w:rsidRPr="00A259BD">
        <w:rPr>
          <w:rFonts w:ascii="Times New Roman" w:hAnsi="Times New Roman"/>
          <w:color w:val="000000" w:themeColor="text1"/>
          <w:sz w:val="16"/>
          <w:szCs w:val="16"/>
        </w:rPr>
        <w:softHyphen/>
        <w:t xml:space="preserve">чих в </w:t>
      </w:r>
      <w:proofErr w:type="spellStart"/>
      <w:r w:rsidRPr="00A259BD">
        <w:rPr>
          <w:rFonts w:ascii="Times New Roman" w:hAnsi="Times New Roman"/>
          <w:color w:val="000000" w:themeColor="text1"/>
          <w:sz w:val="16"/>
          <w:szCs w:val="16"/>
        </w:rPr>
        <w:t>Военпроме</w:t>
      </w:r>
      <w:proofErr w:type="spellEnd"/>
      <w:r w:rsidRPr="00A259BD">
        <w:rPr>
          <w:rFonts w:ascii="Times New Roman" w:hAnsi="Times New Roman"/>
          <w:color w:val="000000" w:themeColor="text1"/>
          <w:sz w:val="16"/>
          <w:szCs w:val="16"/>
        </w:rPr>
        <w:t xml:space="preserve"> увеличилось на 22,5 тысячи. Убыточность воен</w:t>
      </w:r>
      <w:r w:rsidRPr="00A259BD">
        <w:rPr>
          <w:rFonts w:ascii="Times New Roman" w:hAnsi="Times New Roman"/>
          <w:color w:val="000000" w:themeColor="text1"/>
          <w:sz w:val="16"/>
          <w:szCs w:val="16"/>
        </w:rPr>
        <w:softHyphen/>
        <w:t>ных заводов удалось изжить и получить прибыль за счет сниже</w:t>
      </w:r>
      <w:r w:rsidRPr="00A259BD">
        <w:rPr>
          <w:rFonts w:ascii="Times New Roman" w:hAnsi="Times New Roman"/>
          <w:color w:val="000000" w:themeColor="text1"/>
          <w:sz w:val="16"/>
          <w:szCs w:val="16"/>
        </w:rPr>
        <w:softHyphen/>
        <w:t xml:space="preserve">ния себестоимости. Военная промышленность стала жизнеспособной. В июле 1928 г. по предложению ВСНХ РЗ СТО, наконец, определил потребности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на год ведения войны. Теперь, говорил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нам необходимо утвердить план капиталь</w:t>
      </w:r>
      <w:r w:rsidRPr="00A259BD">
        <w:rPr>
          <w:rFonts w:ascii="Times New Roman" w:hAnsi="Times New Roman"/>
          <w:color w:val="000000" w:themeColor="text1"/>
          <w:sz w:val="16"/>
          <w:szCs w:val="16"/>
        </w:rPr>
        <w:softHyphen/>
        <w:t>ных работ как на ближайшие три года, так и на пятилетку в це</w:t>
      </w:r>
      <w:r w:rsidRPr="00A259BD">
        <w:rPr>
          <w:rFonts w:ascii="Times New Roman" w:hAnsi="Times New Roman"/>
          <w:color w:val="000000" w:themeColor="text1"/>
          <w:sz w:val="16"/>
          <w:szCs w:val="16"/>
        </w:rPr>
        <w:softHyphen/>
        <w:t>лом, которая по имеющимся наметкам требует увеличить боевое снабжение армии по сравнению с 1916 г. в 4-5 раз, а по некото</w:t>
      </w:r>
      <w:r w:rsidRPr="00A259BD">
        <w:rPr>
          <w:rFonts w:ascii="Times New Roman" w:hAnsi="Times New Roman"/>
          <w:color w:val="000000" w:themeColor="text1"/>
          <w:sz w:val="16"/>
          <w:szCs w:val="16"/>
        </w:rPr>
        <w:softHyphen/>
        <w:t>рым видам вооружения в 15 раз. Большие достижения отмеча</w:t>
      </w:r>
      <w:r w:rsidRPr="00A259BD">
        <w:rPr>
          <w:rFonts w:ascii="Times New Roman" w:hAnsi="Times New Roman"/>
          <w:color w:val="000000" w:themeColor="text1"/>
          <w:sz w:val="16"/>
          <w:szCs w:val="16"/>
        </w:rPr>
        <w:softHyphen/>
        <w:t>лись в продвижении иностранной технической помощи. Было за</w:t>
      </w:r>
      <w:r w:rsidRPr="00A259BD">
        <w:rPr>
          <w:rFonts w:ascii="Times New Roman" w:hAnsi="Times New Roman"/>
          <w:color w:val="000000" w:themeColor="text1"/>
          <w:sz w:val="16"/>
          <w:szCs w:val="16"/>
        </w:rPr>
        <w:softHyphen/>
        <w:t>ключено 11 договоров в деле налаживания производства самоле</w:t>
      </w:r>
      <w:r w:rsidRPr="00A259BD">
        <w:rPr>
          <w:rFonts w:ascii="Times New Roman" w:hAnsi="Times New Roman"/>
          <w:color w:val="000000" w:themeColor="text1"/>
          <w:sz w:val="16"/>
          <w:szCs w:val="16"/>
        </w:rPr>
        <w:softHyphen/>
        <w:t>тов, танков и прочего вооружения.</w:t>
      </w:r>
    </w:p>
    <w:p w14:paraId="5082D298" w14:textId="77777777" w:rsidR="007A4BE0" w:rsidRPr="00A259BD" w:rsidRDefault="007A4BE0"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xml:space="preserve"> не закрывал глаза на имевшиеся недостатки, указывая на изношенность основного капитала военных заводов, что за весь восстановительный период они получили на его обнов</w:t>
      </w:r>
      <w:r w:rsidRPr="00A259BD">
        <w:rPr>
          <w:rFonts w:ascii="Times New Roman" w:hAnsi="Times New Roman"/>
          <w:color w:val="000000" w:themeColor="text1"/>
          <w:sz w:val="16"/>
          <w:szCs w:val="16"/>
        </w:rPr>
        <w:softHyphen/>
        <w:t>ление только 62 млн руб. из госбюджета, не производя никаких амортизационных отчислений. В 1926/27 г. импортное оборудо</w:t>
      </w:r>
      <w:r w:rsidRPr="00A259BD">
        <w:rPr>
          <w:rFonts w:ascii="Times New Roman" w:hAnsi="Times New Roman"/>
          <w:color w:val="000000" w:themeColor="text1"/>
          <w:sz w:val="16"/>
          <w:szCs w:val="16"/>
        </w:rPr>
        <w:softHyphen/>
        <w:t xml:space="preserve">вание должно было составить 5,5 млн руб. и в 1927/28 г. - 11,9 млн руб., но за два года было ввезено только 38,7% от потребного, а по плану 1928/29 г. не поступило еще ни одного станка.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xml:space="preserve"> пытался отвести обвинения в бюрократизме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Работники аппарата, говорил он, в трестах составляют: в Военно-химическом тресте - 18,8%, в </w:t>
      </w:r>
      <w:proofErr w:type="spellStart"/>
      <w:r w:rsidRPr="00A259BD">
        <w:rPr>
          <w:rFonts w:ascii="Times New Roman" w:hAnsi="Times New Roman"/>
          <w:color w:val="000000" w:themeColor="text1"/>
          <w:sz w:val="16"/>
          <w:szCs w:val="16"/>
        </w:rPr>
        <w:t>Оружпултресте</w:t>
      </w:r>
      <w:proofErr w:type="spellEnd"/>
      <w:r w:rsidRPr="00A259BD">
        <w:rPr>
          <w:rFonts w:ascii="Times New Roman" w:hAnsi="Times New Roman"/>
          <w:color w:val="000000" w:themeColor="text1"/>
          <w:sz w:val="16"/>
          <w:szCs w:val="16"/>
        </w:rPr>
        <w:t xml:space="preserve"> - 16,8%, в Патронно-трубочном - 18,5%, в </w:t>
      </w:r>
      <w:proofErr w:type="spellStart"/>
      <w:r w:rsidRPr="00A259BD">
        <w:rPr>
          <w:rFonts w:ascii="Times New Roman" w:hAnsi="Times New Roman"/>
          <w:color w:val="000000" w:themeColor="text1"/>
          <w:sz w:val="16"/>
          <w:szCs w:val="16"/>
        </w:rPr>
        <w:t>Авиатресте</w:t>
      </w:r>
      <w:proofErr w:type="spellEnd"/>
      <w:r w:rsidRPr="00A259BD">
        <w:rPr>
          <w:rFonts w:ascii="Times New Roman" w:hAnsi="Times New Roman"/>
          <w:color w:val="000000" w:themeColor="text1"/>
          <w:sz w:val="16"/>
          <w:szCs w:val="16"/>
        </w:rPr>
        <w:t xml:space="preserve"> - 25%, в ГВПУ - 39%, включая занятых проектированием новейших разработок. Заметно стремление </w:t>
      </w:r>
      <w:proofErr w:type="spellStart"/>
      <w:r w:rsidRPr="00A259BD">
        <w:rPr>
          <w:rFonts w:ascii="Times New Roman" w:hAnsi="Times New Roman"/>
          <w:color w:val="000000" w:themeColor="text1"/>
          <w:sz w:val="16"/>
          <w:szCs w:val="16"/>
        </w:rPr>
        <w:t>Толоконцева</w:t>
      </w:r>
      <w:proofErr w:type="spellEnd"/>
      <w:r w:rsidRPr="00A259BD">
        <w:rPr>
          <w:rFonts w:ascii="Times New Roman" w:hAnsi="Times New Roman"/>
          <w:color w:val="000000" w:themeColor="text1"/>
          <w:sz w:val="16"/>
          <w:szCs w:val="16"/>
        </w:rPr>
        <w:t xml:space="preserve"> отвести от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обвине</w:t>
      </w:r>
      <w:r w:rsidRPr="00A259BD">
        <w:rPr>
          <w:rFonts w:ascii="Times New Roman" w:hAnsi="Times New Roman"/>
          <w:color w:val="000000" w:themeColor="text1"/>
          <w:sz w:val="16"/>
          <w:szCs w:val="16"/>
        </w:rPr>
        <w:softHyphen/>
        <w:t>ния во вредительстве, борьба с которым все шире захватывала военную промышленность (17200).</w:t>
      </w:r>
    </w:p>
    <w:p w14:paraId="45D5F8FF" w14:textId="77777777" w:rsidR="007A4BE0" w:rsidRPr="00A259BD" w:rsidRDefault="007A4BE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CD0C8E" w14:textId="77777777" w:rsidR="00717079" w:rsidRPr="00A259BD" w:rsidRDefault="0071707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66765E5" w14:textId="77777777" w:rsidR="00717079" w:rsidRPr="00A259BD" w:rsidRDefault="0071707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6C7546B" w14:textId="77777777" w:rsidR="00717079" w:rsidRPr="00A259BD" w:rsidRDefault="007170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27 апреля 1929 - Британские лётчики Джонс-Уильямс и Дженкинс завершили первый беспосадочный рейс из Англии в Индию. Они летели на </w:t>
      </w:r>
      <w:proofErr w:type="spellStart"/>
      <w:r w:rsidRPr="00A259BD">
        <w:rPr>
          <w:rFonts w:ascii="Times New Roman" w:hAnsi="Times New Roman"/>
          <w:color w:val="000000" w:themeColor="text1"/>
          <w:sz w:val="16"/>
          <w:szCs w:val="16"/>
        </w:rPr>
        <w:t>Fairey</w:t>
      </w:r>
      <w:proofErr w:type="spellEnd"/>
      <w:r w:rsidRPr="00A259BD">
        <w:rPr>
          <w:rFonts w:ascii="Times New Roman" w:hAnsi="Times New Roman"/>
          <w:color w:val="000000" w:themeColor="text1"/>
          <w:sz w:val="16"/>
          <w:szCs w:val="16"/>
        </w:rPr>
        <w:t xml:space="preserve"> Long-Range </w:t>
      </w:r>
      <w:proofErr w:type="spellStart"/>
      <w:r w:rsidRPr="00A259BD">
        <w:rPr>
          <w:rFonts w:ascii="Times New Roman" w:hAnsi="Times New Roman"/>
          <w:color w:val="000000" w:themeColor="text1"/>
          <w:sz w:val="16"/>
          <w:szCs w:val="16"/>
        </w:rPr>
        <w:t>Monoplane</w:t>
      </w:r>
      <w:proofErr w:type="spellEnd"/>
      <w:r w:rsidRPr="00A259BD">
        <w:rPr>
          <w:rFonts w:ascii="Times New Roman" w:hAnsi="Times New Roman"/>
          <w:color w:val="000000" w:themeColor="text1"/>
          <w:sz w:val="16"/>
          <w:szCs w:val="16"/>
        </w:rPr>
        <w:t>.</w:t>
      </w:r>
    </w:p>
    <w:p w14:paraId="17FE4BF7" w14:textId="77777777" w:rsidR="00717079" w:rsidRPr="00A259BD" w:rsidRDefault="007170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Старт был запланирован на 24 апреля. Но вылет был отложен на несколько дней, ожидая благоприятных условий для взлета. Было решено ограничить взлётный вес до 16000 фунтов (7257,5 кг) и дождаться встречного ветра 10 миль в час (16 километров в час). После 16 с половиной часов полета, Джонс-Уильямс и Дженкинс были над Стамбулом, и достигли Багдада 10 с половиной часов спустя. Еще через 22 часа они были над Карачи (сейчас, Пакистан). С остатком топлива на 6 часов они не смогли добраться до Бангалора, экипаж принял решение сесть в Карачи засветло. Длительность их полета составила 50 часов 37 минут. Они пролетели 4130 миль (6646,6 км) беспосадочного полета (22522).</w:t>
      </w:r>
    </w:p>
    <w:p w14:paraId="11B4F3F6" w14:textId="77777777" w:rsidR="00717079" w:rsidRPr="00A259BD" w:rsidRDefault="00717079" w:rsidP="009236E3">
      <w:pPr>
        <w:spacing w:after="0" w:line="240" w:lineRule="auto"/>
        <w:jc w:val="both"/>
        <w:rPr>
          <w:rFonts w:ascii="Times New Roman" w:hAnsi="Times New Roman"/>
          <w:color w:val="000000" w:themeColor="text1"/>
          <w:sz w:val="16"/>
          <w:szCs w:val="16"/>
        </w:rPr>
      </w:pPr>
    </w:p>
    <w:p w14:paraId="3CBE181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3AE1E5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9CDD09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29 апреля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XVI Всесоюзная конференция ВКП (б) приняла резолюцию «О пятилетнем плане развития народного хозяйства» и «Обращение ко всем рабочим и трудящимся крестьянам Советского Союза» (12265).</w:t>
      </w:r>
    </w:p>
    <w:p w14:paraId="57C8B993" w14:textId="77777777" w:rsidR="00E15FE6" w:rsidRPr="00A259BD" w:rsidRDefault="00E15FE6" w:rsidP="009236E3">
      <w:pPr>
        <w:pStyle w:val="ae"/>
        <w:spacing w:before="0" w:after="0"/>
        <w:jc w:val="both"/>
        <w:rPr>
          <w:rStyle w:val="a7"/>
          <w:b w:val="0"/>
          <w:color w:val="000000" w:themeColor="text1"/>
          <w:sz w:val="16"/>
          <w:szCs w:val="16"/>
        </w:rPr>
      </w:pPr>
    </w:p>
    <w:p w14:paraId="4A8432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апреля 1929 президиум Госплана на заседании рассматривал бюджетный заказ НКО на 5 лет. НКО просил 5828 млн. руб., Госплан давал 4880 млн. руб. Сектор обороны Госплана предложил иную систему </w:t>
      </w:r>
      <w:proofErr w:type="spellStart"/>
      <w:r w:rsidRPr="00A259BD">
        <w:rPr>
          <w:rFonts w:ascii="Times New Roman" w:hAnsi="Times New Roman"/>
          <w:color w:val="000000" w:themeColor="text1"/>
          <w:sz w:val="16"/>
          <w:szCs w:val="16"/>
        </w:rPr>
        <w:t>подсчетоы</w:t>
      </w:r>
      <w:proofErr w:type="spellEnd"/>
      <w:r w:rsidRPr="00A259BD">
        <w:rPr>
          <w:rFonts w:ascii="Times New Roman" w:hAnsi="Times New Roman"/>
          <w:color w:val="000000" w:themeColor="text1"/>
          <w:sz w:val="16"/>
          <w:szCs w:val="16"/>
        </w:rPr>
        <w:t xml:space="preserve"> и считал, что будет достаточно 5475 млн. руб. Для принятия решения создали </w:t>
      </w:r>
      <w:proofErr w:type="spellStart"/>
      <w:r w:rsidRPr="00A259BD">
        <w:rPr>
          <w:rFonts w:ascii="Times New Roman" w:hAnsi="Times New Roman"/>
          <w:color w:val="000000" w:themeColor="text1"/>
          <w:sz w:val="16"/>
          <w:szCs w:val="16"/>
        </w:rPr>
        <w:t>комиссиюво</w:t>
      </w:r>
      <w:proofErr w:type="spellEnd"/>
      <w:r w:rsidRPr="00A259BD">
        <w:rPr>
          <w:rFonts w:ascii="Times New Roman" w:hAnsi="Times New Roman"/>
          <w:color w:val="000000" w:themeColor="text1"/>
          <w:sz w:val="16"/>
          <w:szCs w:val="16"/>
        </w:rPr>
        <w:t xml:space="preserve"> главе </w:t>
      </w:r>
      <w:proofErr w:type="spellStart"/>
      <w:r w:rsidRPr="00A259BD">
        <w:rPr>
          <w:rFonts w:ascii="Times New Roman" w:hAnsi="Times New Roman"/>
          <w:color w:val="000000" w:themeColor="text1"/>
          <w:sz w:val="16"/>
          <w:szCs w:val="16"/>
        </w:rPr>
        <w:t>К.А.Мехоношина</w:t>
      </w:r>
      <w:proofErr w:type="spellEnd"/>
      <w:r w:rsidRPr="00A259BD">
        <w:rPr>
          <w:rFonts w:ascii="Times New Roman" w:hAnsi="Times New Roman"/>
          <w:color w:val="000000" w:themeColor="text1"/>
          <w:sz w:val="16"/>
          <w:szCs w:val="16"/>
        </w:rPr>
        <w:t xml:space="preserve"> (от Госплана) и </w:t>
      </w:r>
      <w:proofErr w:type="spellStart"/>
      <w:r w:rsidRPr="00A259BD">
        <w:rPr>
          <w:rFonts w:ascii="Times New Roman" w:hAnsi="Times New Roman"/>
          <w:color w:val="000000" w:themeColor="text1"/>
          <w:sz w:val="16"/>
          <w:szCs w:val="16"/>
        </w:rPr>
        <w:t>Б.М.Шапошникова</w:t>
      </w:r>
      <w:proofErr w:type="spellEnd"/>
      <w:r w:rsidRPr="00A259BD">
        <w:rPr>
          <w:rFonts w:ascii="Times New Roman" w:hAnsi="Times New Roman"/>
          <w:color w:val="000000" w:themeColor="text1"/>
          <w:sz w:val="16"/>
          <w:szCs w:val="16"/>
        </w:rPr>
        <w:t xml:space="preserve"> (Нач. штаба РККА) (9089,95).</w:t>
      </w:r>
    </w:p>
    <w:p w14:paraId="4C91C9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E9BA56"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апреля 1929 г. президиум Госплана на своем заседании рассматривал бюджетный заказ наркомата обороны на пять лет. Военные просили 5828 млн. рублей, Госплан соглашался на 4880 млн., указанные в проекте плана. Промежуточную позицию занял Сектор обороны Госплана. Он предложил иную систему подсчета расходов, исходя из предполагаемого снижения цен в оборонной промышленности и сокращения некоторых военных программ. Таким образом, выходило, что военные затраты составят не более 5475 млн. рублей. Для принятия компромиссного решения была создана специальная комиссия, которую возглавили К. А. Мехоношин (от Госплана) и Б. М. Шапошников (начальник Штаба РККА с мая 1928 г.). </w:t>
      </w:r>
    </w:p>
    <w:p w14:paraId="149E3742"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Расхождения во взглядах военных и Сектора обороны Госплана на размеры оборонного бюджета нашли отражение в табл.</w:t>
      </w:r>
    </w:p>
    <w:p w14:paraId="14BA936E"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Проекты оборонного бюджета первого пятилетнего плана (весна 1929 г., в млн. руб.)</w:t>
      </w:r>
    </w:p>
    <w:tbl>
      <w:tblPr>
        <w:tblW w:w="5000" w:type="pct"/>
        <w:jc w:val="center"/>
        <w:tblBorders>
          <w:top w:val="single" w:sz="6" w:space="0" w:color="666666"/>
          <w:left w:val="single" w:sz="6" w:space="0" w:color="666666"/>
          <w:bottom w:val="single" w:sz="6" w:space="0" w:color="666666"/>
          <w:right w:val="single" w:sz="6" w:space="0" w:color="666666"/>
          <w:insideH w:val="single" w:sz="6" w:space="0" w:color="666666"/>
          <w:insideV w:val="single" w:sz="6" w:space="0" w:color="666666"/>
        </w:tblBorders>
        <w:tblCellMar>
          <w:top w:w="15" w:type="dxa"/>
          <w:left w:w="15" w:type="dxa"/>
          <w:bottom w:w="15" w:type="dxa"/>
          <w:right w:w="15" w:type="dxa"/>
        </w:tblCellMar>
        <w:tblLook w:val="04A0" w:firstRow="1" w:lastRow="0" w:firstColumn="1" w:lastColumn="0" w:noHBand="0" w:noVBand="1"/>
      </w:tblPr>
      <w:tblGrid>
        <w:gridCol w:w="5243"/>
        <w:gridCol w:w="2837"/>
        <w:gridCol w:w="3242"/>
      </w:tblGrid>
      <w:tr w:rsidR="00A259BD" w:rsidRPr="00A259BD" w14:paraId="5C3D7B45" w14:textId="77777777" w:rsidTr="005110F1">
        <w:trPr>
          <w:jc w:val="center"/>
        </w:trPr>
        <w:tc>
          <w:tcPr>
            <w:tcW w:w="0" w:type="auto"/>
            <w:shd w:val="clear" w:color="auto" w:fill="auto"/>
            <w:tcMar>
              <w:top w:w="75" w:type="dxa"/>
              <w:left w:w="75" w:type="dxa"/>
              <w:bottom w:w="75" w:type="dxa"/>
              <w:right w:w="75" w:type="dxa"/>
            </w:tcMar>
            <w:hideMark/>
          </w:tcPr>
          <w:p w14:paraId="54B69C21"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smallCaps/>
                <w:color w:val="000000" w:themeColor="text1"/>
                <w:sz w:val="16"/>
                <w:szCs w:val="16"/>
              </w:rPr>
              <w:t>Статья расходов</w:t>
            </w:r>
          </w:p>
        </w:tc>
        <w:tc>
          <w:tcPr>
            <w:tcW w:w="0" w:type="auto"/>
            <w:shd w:val="clear" w:color="auto" w:fill="auto"/>
            <w:tcMar>
              <w:top w:w="75" w:type="dxa"/>
              <w:left w:w="75" w:type="dxa"/>
              <w:bottom w:w="75" w:type="dxa"/>
              <w:right w:w="75" w:type="dxa"/>
            </w:tcMar>
            <w:hideMark/>
          </w:tcPr>
          <w:p w14:paraId="7C908E87"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 НКВМ</w:t>
            </w:r>
          </w:p>
        </w:tc>
        <w:tc>
          <w:tcPr>
            <w:tcW w:w="0" w:type="auto"/>
            <w:shd w:val="clear" w:color="auto" w:fill="auto"/>
            <w:tcMar>
              <w:top w:w="75" w:type="dxa"/>
              <w:left w:w="75" w:type="dxa"/>
              <w:bottom w:w="75" w:type="dxa"/>
              <w:right w:w="75" w:type="dxa"/>
            </w:tcMar>
            <w:hideMark/>
          </w:tcPr>
          <w:p w14:paraId="50B8CA80"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 Госплана</w:t>
            </w:r>
          </w:p>
        </w:tc>
      </w:tr>
      <w:tr w:rsidR="00A259BD" w:rsidRPr="00A259BD" w14:paraId="1C9F4245" w14:textId="77777777" w:rsidTr="005110F1">
        <w:trPr>
          <w:jc w:val="center"/>
        </w:trPr>
        <w:tc>
          <w:tcPr>
            <w:tcW w:w="0" w:type="auto"/>
            <w:shd w:val="clear" w:color="auto" w:fill="auto"/>
            <w:tcMar>
              <w:top w:w="75" w:type="dxa"/>
              <w:left w:w="75" w:type="dxa"/>
              <w:bottom w:w="75" w:type="dxa"/>
              <w:right w:w="75" w:type="dxa"/>
            </w:tcMar>
            <w:hideMark/>
          </w:tcPr>
          <w:p w14:paraId="3DAF000D"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НКВМ</w:t>
            </w:r>
          </w:p>
        </w:tc>
        <w:tc>
          <w:tcPr>
            <w:tcW w:w="0" w:type="auto"/>
            <w:shd w:val="clear" w:color="auto" w:fill="auto"/>
            <w:tcMar>
              <w:top w:w="75" w:type="dxa"/>
              <w:left w:w="75" w:type="dxa"/>
              <w:bottom w:w="75" w:type="dxa"/>
              <w:right w:w="75" w:type="dxa"/>
            </w:tcMar>
            <w:hideMark/>
          </w:tcPr>
          <w:p w14:paraId="7DA1C178"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w:t>
            </w:r>
          </w:p>
        </w:tc>
        <w:tc>
          <w:tcPr>
            <w:tcW w:w="0" w:type="auto"/>
            <w:shd w:val="clear" w:color="auto" w:fill="auto"/>
            <w:tcMar>
              <w:top w:w="75" w:type="dxa"/>
              <w:left w:w="75" w:type="dxa"/>
              <w:bottom w:w="75" w:type="dxa"/>
              <w:right w:w="75" w:type="dxa"/>
            </w:tcMar>
            <w:hideMark/>
          </w:tcPr>
          <w:p w14:paraId="41881520"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4800</w:t>
            </w:r>
          </w:p>
        </w:tc>
      </w:tr>
      <w:tr w:rsidR="00A259BD" w:rsidRPr="00A259BD" w14:paraId="52E79A30" w14:textId="77777777" w:rsidTr="005110F1">
        <w:trPr>
          <w:jc w:val="center"/>
        </w:trPr>
        <w:tc>
          <w:tcPr>
            <w:tcW w:w="0" w:type="auto"/>
            <w:shd w:val="clear" w:color="auto" w:fill="auto"/>
            <w:tcMar>
              <w:top w:w="75" w:type="dxa"/>
              <w:left w:w="75" w:type="dxa"/>
              <w:bottom w:w="75" w:type="dxa"/>
              <w:right w:w="75" w:type="dxa"/>
            </w:tcMar>
            <w:hideMark/>
          </w:tcPr>
          <w:p w14:paraId="24BE1C26"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ОГПУ</w:t>
            </w:r>
          </w:p>
        </w:tc>
        <w:tc>
          <w:tcPr>
            <w:tcW w:w="0" w:type="auto"/>
            <w:shd w:val="clear" w:color="auto" w:fill="auto"/>
            <w:tcMar>
              <w:top w:w="75" w:type="dxa"/>
              <w:left w:w="75" w:type="dxa"/>
              <w:bottom w:w="75" w:type="dxa"/>
              <w:right w:w="75" w:type="dxa"/>
            </w:tcMar>
            <w:hideMark/>
          </w:tcPr>
          <w:p w14:paraId="2C4A916F"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0" w:type="auto"/>
            <w:shd w:val="clear" w:color="auto" w:fill="auto"/>
            <w:tcMar>
              <w:top w:w="75" w:type="dxa"/>
              <w:left w:w="75" w:type="dxa"/>
              <w:bottom w:w="75" w:type="dxa"/>
              <w:right w:w="75" w:type="dxa"/>
            </w:tcMar>
            <w:hideMark/>
          </w:tcPr>
          <w:p w14:paraId="43BA0892"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w:t>
            </w:r>
          </w:p>
        </w:tc>
      </w:tr>
      <w:tr w:rsidR="00A259BD" w:rsidRPr="00A259BD" w14:paraId="65B73895" w14:textId="77777777" w:rsidTr="005110F1">
        <w:trPr>
          <w:jc w:val="center"/>
        </w:trPr>
        <w:tc>
          <w:tcPr>
            <w:tcW w:w="0" w:type="auto"/>
            <w:shd w:val="clear" w:color="auto" w:fill="auto"/>
            <w:tcMar>
              <w:top w:w="75" w:type="dxa"/>
              <w:left w:w="75" w:type="dxa"/>
              <w:bottom w:w="75" w:type="dxa"/>
              <w:right w:w="75" w:type="dxa"/>
            </w:tcMar>
            <w:hideMark/>
          </w:tcPr>
          <w:p w14:paraId="1A12F26A"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Оборонная промышленность</w:t>
            </w:r>
          </w:p>
        </w:tc>
        <w:tc>
          <w:tcPr>
            <w:tcW w:w="0" w:type="auto"/>
            <w:shd w:val="clear" w:color="auto" w:fill="auto"/>
            <w:tcMar>
              <w:top w:w="75" w:type="dxa"/>
              <w:left w:w="75" w:type="dxa"/>
              <w:bottom w:w="75" w:type="dxa"/>
              <w:right w:w="75" w:type="dxa"/>
            </w:tcMar>
            <w:hideMark/>
          </w:tcPr>
          <w:p w14:paraId="63EA9137"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0" w:type="auto"/>
            <w:shd w:val="clear" w:color="auto" w:fill="auto"/>
            <w:tcMar>
              <w:top w:w="75" w:type="dxa"/>
              <w:left w:w="75" w:type="dxa"/>
              <w:bottom w:w="75" w:type="dxa"/>
              <w:right w:w="75" w:type="dxa"/>
            </w:tcMar>
            <w:hideMark/>
          </w:tcPr>
          <w:p w14:paraId="38D1DA79"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w:t>
            </w:r>
          </w:p>
        </w:tc>
      </w:tr>
      <w:tr w:rsidR="00A259BD" w:rsidRPr="00A259BD" w14:paraId="5846EB61" w14:textId="77777777" w:rsidTr="005110F1">
        <w:trPr>
          <w:jc w:val="center"/>
        </w:trPr>
        <w:tc>
          <w:tcPr>
            <w:tcW w:w="0" w:type="auto"/>
            <w:shd w:val="clear" w:color="auto" w:fill="auto"/>
            <w:tcMar>
              <w:top w:w="75" w:type="dxa"/>
              <w:left w:w="75" w:type="dxa"/>
              <w:bottom w:w="75" w:type="dxa"/>
              <w:right w:w="75" w:type="dxa"/>
            </w:tcMar>
            <w:hideMark/>
          </w:tcPr>
          <w:p w14:paraId="4102AA29"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Транспорт</w:t>
            </w:r>
          </w:p>
        </w:tc>
        <w:tc>
          <w:tcPr>
            <w:tcW w:w="0" w:type="auto"/>
            <w:shd w:val="clear" w:color="auto" w:fill="auto"/>
            <w:tcMar>
              <w:top w:w="75" w:type="dxa"/>
              <w:left w:w="75" w:type="dxa"/>
              <w:bottom w:w="75" w:type="dxa"/>
              <w:right w:w="75" w:type="dxa"/>
            </w:tcMar>
            <w:hideMark/>
          </w:tcPr>
          <w:p w14:paraId="1E46AE4E"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0" w:type="auto"/>
            <w:shd w:val="clear" w:color="auto" w:fill="auto"/>
            <w:tcMar>
              <w:top w:w="75" w:type="dxa"/>
              <w:left w:w="75" w:type="dxa"/>
              <w:bottom w:w="75" w:type="dxa"/>
              <w:right w:w="75" w:type="dxa"/>
            </w:tcMar>
            <w:hideMark/>
          </w:tcPr>
          <w:p w14:paraId="18999DC9"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r>
      <w:tr w:rsidR="00A259BD" w:rsidRPr="00A259BD" w14:paraId="490FF49C" w14:textId="77777777" w:rsidTr="005110F1">
        <w:trPr>
          <w:jc w:val="center"/>
        </w:trPr>
        <w:tc>
          <w:tcPr>
            <w:tcW w:w="0" w:type="auto"/>
            <w:shd w:val="clear" w:color="auto" w:fill="auto"/>
            <w:tcMar>
              <w:top w:w="75" w:type="dxa"/>
              <w:left w:w="75" w:type="dxa"/>
              <w:bottom w:w="75" w:type="dxa"/>
              <w:right w:w="75" w:type="dxa"/>
            </w:tcMar>
            <w:hideMark/>
          </w:tcPr>
          <w:p w14:paraId="33C0CD64"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Связь</w:t>
            </w:r>
          </w:p>
        </w:tc>
        <w:tc>
          <w:tcPr>
            <w:tcW w:w="0" w:type="auto"/>
            <w:shd w:val="clear" w:color="auto" w:fill="auto"/>
            <w:tcMar>
              <w:top w:w="75" w:type="dxa"/>
              <w:left w:w="75" w:type="dxa"/>
              <w:bottom w:w="75" w:type="dxa"/>
              <w:right w:w="75" w:type="dxa"/>
            </w:tcMar>
            <w:hideMark/>
          </w:tcPr>
          <w:p w14:paraId="0694576A"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tc>
        <w:tc>
          <w:tcPr>
            <w:tcW w:w="0" w:type="auto"/>
            <w:shd w:val="clear" w:color="auto" w:fill="auto"/>
            <w:tcMar>
              <w:top w:w="75" w:type="dxa"/>
              <w:left w:w="75" w:type="dxa"/>
              <w:bottom w:w="75" w:type="dxa"/>
              <w:right w:w="75" w:type="dxa"/>
            </w:tcMar>
            <w:hideMark/>
          </w:tcPr>
          <w:p w14:paraId="03EA2812"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w:t>
            </w:r>
          </w:p>
        </w:tc>
      </w:tr>
      <w:tr w:rsidR="00A259BD" w:rsidRPr="00A259BD" w14:paraId="18E34470" w14:textId="77777777" w:rsidTr="005110F1">
        <w:trPr>
          <w:jc w:val="center"/>
        </w:trPr>
        <w:tc>
          <w:tcPr>
            <w:tcW w:w="0" w:type="auto"/>
            <w:shd w:val="clear" w:color="auto" w:fill="auto"/>
            <w:tcMar>
              <w:top w:w="75" w:type="dxa"/>
              <w:left w:w="75" w:type="dxa"/>
              <w:bottom w:w="75" w:type="dxa"/>
              <w:right w:w="75" w:type="dxa"/>
            </w:tcMar>
            <w:hideMark/>
          </w:tcPr>
          <w:p w14:paraId="0427D5C0"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Резервы</w:t>
            </w:r>
          </w:p>
        </w:tc>
        <w:tc>
          <w:tcPr>
            <w:tcW w:w="0" w:type="auto"/>
            <w:shd w:val="clear" w:color="auto" w:fill="auto"/>
            <w:tcMar>
              <w:top w:w="75" w:type="dxa"/>
              <w:left w:w="75" w:type="dxa"/>
              <w:bottom w:w="75" w:type="dxa"/>
              <w:right w:w="75" w:type="dxa"/>
            </w:tcMar>
            <w:hideMark/>
          </w:tcPr>
          <w:p w14:paraId="073FC866"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280</w:t>
            </w:r>
          </w:p>
        </w:tc>
        <w:tc>
          <w:tcPr>
            <w:tcW w:w="0" w:type="auto"/>
            <w:shd w:val="clear" w:color="auto" w:fill="auto"/>
            <w:tcMar>
              <w:top w:w="75" w:type="dxa"/>
              <w:left w:w="75" w:type="dxa"/>
              <w:bottom w:w="75" w:type="dxa"/>
              <w:right w:w="75" w:type="dxa"/>
            </w:tcMar>
            <w:hideMark/>
          </w:tcPr>
          <w:p w14:paraId="34F79386"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280</w:t>
            </w:r>
          </w:p>
        </w:tc>
      </w:tr>
      <w:tr w:rsidR="00A259BD" w:rsidRPr="00A259BD" w14:paraId="6D35D325" w14:textId="77777777" w:rsidTr="005110F1">
        <w:trPr>
          <w:jc w:val="center"/>
        </w:trPr>
        <w:tc>
          <w:tcPr>
            <w:tcW w:w="0" w:type="auto"/>
            <w:shd w:val="clear" w:color="auto" w:fill="auto"/>
            <w:tcMar>
              <w:top w:w="75" w:type="dxa"/>
              <w:left w:w="75" w:type="dxa"/>
              <w:bottom w:w="75" w:type="dxa"/>
              <w:right w:w="75" w:type="dxa"/>
            </w:tcMar>
            <w:hideMark/>
          </w:tcPr>
          <w:p w14:paraId="61C53E79"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0" w:type="auto"/>
            <w:shd w:val="clear" w:color="auto" w:fill="auto"/>
            <w:tcMar>
              <w:top w:w="75" w:type="dxa"/>
              <w:left w:w="75" w:type="dxa"/>
              <w:bottom w:w="75" w:type="dxa"/>
              <w:right w:w="75" w:type="dxa"/>
            </w:tcMar>
            <w:hideMark/>
          </w:tcPr>
          <w:p w14:paraId="66FA943A"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7830</w:t>
            </w:r>
          </w:p>
        </w:tc>
        <w:tc>
          <w:tcPr>
            <w:tcW w:w="0" w:type="auto"/>
            <w:shd w:val="clear" w:color="auto" w:fill="auto"/>
            <w:tcMar>
              <w:top w:w="75" w:type="dxa"/>
              <w:left w:w="75" w:type="dxa"/>
              <w:bottom w:w="75" w:type="dxa"/>
              <w:right w:w="75" w:type="dxa"/>
            </w:tcMar>
            <w:hideMark/>
          </w:tcPr>
          <w:p w14:paraId="361560F8"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6505</w:t>
            </w:r>
          </w:p>
        </w:tc>
      </w:tr>
    </w:tbl>
    <w:p w14:paraId="44F23677"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РГЛЭ. Ф.4372. Оп.91. Д.155. Л.134. Протокол заседания Президиума Госплана, 29.04.1929 г.</w:t>
      </w:r>
    </w:p>
    <w:p w14:paraId="1B204F2C"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Проекты оборонного бюджета на 1928/29–1932/33 гг. по годам (млн. руб. в ценах 1926/27 г.)</w:t>
      </w:r>
    </w:p>
    <w:tbl>
      <w:tblPr>
        <w:tblW w:w="5000" w:type="pct"/>
        <w:jc w:val="center"/>
        <w:tblBorders>
          <w:top w:val="single" w:sz="6" w:space="0" w:color="666666"/>
          <w:left w:val="single" w:sz="6" w:space="0" w:color="666666"/>
          <w:bottom w:val="single" w:sz="6" w:space="0" w:color="666666"/>
          <w:right w:val="single" w:sz="6" w:space="0" w:color="666666"/>
          <w:insideH w:val="single" w:sz="6" w:space="0" w:color="666666"/>
          <w:insideV w:val="single" w:sz="6" w:space="0" w:color="666666"/>
        </w:tblBorders>
        <w:tblCellMar>
          <w:top w:w="15" w:type="dxa"/>
          <w:left w:w="15" w:type="dxa"/>
          <w:bottom w:w="15" w:type="dxa"/>
          <w:right w:w="15" w:type="dxa"/>
        </w:tblCellMar>
        <w:tblLook w:val="04A0" w:firstRow="1" w:lastRow="0" w:firstColumn="1" w:lastColumn="0" w:noHBand="0" w:noVBand="1"/>
      </w:tblPr>
      <w:tblGrid>
        <w:gridCol w:w="3661"/>
        <w:gridCol w:w="1845"/>
        <w:gridCol w:w="693"/>
        <w:gridCol w:w="693"/>
        <w:gridCol w:w="693"/>
        <w:gridCol w:w="693"/>
        <w:gridCol w:w="693"/>
        <w:gridCol w:w="2351"/>
      </w:tblGrid>
      <w:tr w:rsidR="00A259BD" w:rsidRPr="00A259BD" w14:paraId="25F703C7" w14:textId="77777777" w:rsidTr="005110F1">
        <w:trPr>
          <w:jc w:val="center"/>
        </w:trPr>
        <w:tc>
          <w:tcPr>
            <w:tcW w:w="0" w:type="auto"/>
            <w:shd w:val="clear" w:color="auto" w:fill="auto"/>
            <w:tcMar>
              <w:top w:w="75" w:type="dxa"/>
              <w:left w:w="75" w:type="dxa"/>
              <w:bottom w:w="75" w:type="dxa"/>
              <w:right w:w="75" w:type="dxa"/>
            </w:tcMar>
            <w:hideMark/>
          </w:tcPr>
          <w:p w14:paraId="4189F997"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smallCaps/>
                <w:color w:val="000000" w:themeColor="text1"/>
                <w:sz w:val="16"/>
                <w:szCs w:val="16"/>
              </w:rPr>
              <w:t> </w:t>
            </w:r>
          </w:p>
        </w:tc>
        <w:tc>
          <w:tcPr>
            <w:tcW w:w="0" w:type="auto"/>
            <w:shd w:val="clear" w:color="auto" w:fill="auto"/>
            <w:tcMar>
              <w:top w:w="75" w:type="dxa"/>
              <w:left w:w="75" w:type="dxa"/>
              <w:bottom w:w="75" w:type="dxa"/>
              <w:right w:w="75" w:type="dxa"/>
            </w:tcMar>
            <w:hideMark/>
          </w:tcPr>
          <w:p w14:paraId="6538EEF1"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1927/28 </w:t>
            </w:r>
            <w:proofErr w:type="spellStart"/>
            <w:r w:rsidRPr="00A259BD">
              <w:rPr>
                <w:rFonts w:ascii="Times New Roman" w:hAnsi="Times New Roman"/>
                <w:color w:val="000000" w:themeColor="text1"/>
                <w:sz w:val="16"/>
                <w:szCs w:val="16"/>
              </w:rPr>
              <w:t>Реальн</w:t>
            </w:r>
            <w:proofErr w:type="spellEnd"/>
            <w:r w:rsidRPr="00A259BD">
              <w:rPr>
                <w:rFonts w:ascii="Times New Roman" w:hAnsi="Times New Roman"/>
                <w:color w:val="000000" w:themeColor="text1"/>
                <w:sz w:val="16"/>
                <w:szCs w:val="16"/>
              </w:rPr>
              <w:t>. бюджет</w:t>
            </w:r>
          </w:p>
        </w:tc>
        <w:tc>
          <w:tcPr>
            <w:tcW w:w="0" w:type="auto"/>
            <w:shd w:val="clear" w:color="auto" w:fill="auto"/>
            <w:tcMar>
              <w:top w:w="75" w:type="dxa"/>
              <w:left w:w="75" w:type="dxa"/>
              <w:bottom w:w="75" w:type="dxa"/>
              <w:right w:w="75" w:type="dxa"/>
            </w:tcMar>
            <w:hideMark/>
          </w:tcPr>
          <w:p w14:paraId="543392A1"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1928/29</w:t>
            </w:r>
          </w:p>
        </w:tc>
        <w:tc>
          <w:tcPr>
            <w:tcW w:w="0" w:type="auto"/>
            <w:shd w:val="clear" w:color="auto" w:fill="auto"/>
            <w:tcMar>
              <w:top w:w="75" w:type="dxa"/>
              <w:left w:w="75" w:type="dxa"/>
              <w:bottom w:w="75" w:type="dxa"/>
              <w:right w:w="75" w:type="dxa"/>
            </w:tcMar>
            <w:hideMark/>
          </w:tcPr>
          <w:p w14:paraId="598D06B9"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w:t>
            </w:r>
          </w:p>
        </w:tc>
        <w:tc>
          <w:tcPr>
            <w:tcW w:w="0" w:type="auto"/>
            <w:shd w:val="clear" w:color="auto" w:fill="auto"/>
            <w:tcMar>
              <w:top w:w="75" w:type="dxa"/>
              <w:left w:w="75" w:type="dxa"/>
              <w:bottom w:w="75" w:type="dxa"/>
              <w:right w:w="75" w:type="dxa"/>
            </w:tcMar>
            <w:hideMark/>
          </w:tcPr>
          <w:p w14:paraId="1247D80D"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w:t>
            </w:r>
          </w:p>
        </w:tc>
        <w:tc>
          <w:tcPr>
            <w:tcW w:w="0" w:type="auto"/>
            <w:shd w:val="clear" w:color="auto" w:fill="auto"/>
            <w:tcMar>
              <w:top w:w="75" w:type="dxa"/>
              <w:left w:w="75" w:type="dxa"/>
              <w:bottom w:w="75" w:type="dxa"/>
              <w:right w:w="75" w:type="dxa"/>
            </w:tcMar>
            <w:hideMark/>
          </w:tcPr>
          <w:p w14:paraId="69383353"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w:t>
            </w:r>
          </w:p>
        </w:tc>
        <w:tc>
          <w:tcPr>
            <w:tcW w:w="0" w:type="auto"/>
            <w:shd w:val="clear" w:color="auto" w:fill="auto"/>
            <w:tcMar>
              <w:top w:w="75" w:type="dxa"/>
              <w:left w:w="75" w:type="dxa"/>
              <w:bottom w:w="75" w:type="dxa"/>
              <w:right w:w="75" w:type="dxa"/>
            </w:tcMar>
            <w:hideMark/>
          </w:tcPr>
          <w:p w14:paraId="2C15F7BB"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w:t>
            </w:r>
          </w:p>
        </w:tc>
        <w:tc>
          <w:tcPr>
            <w:tcW w:w="0" w:type="auto"/>
            <w:shd w:val="clear" w:color="auto" w:fill="auto"/>
            <w:tcMar>
              <w:top w:w="75" w:type="dxa"/>
              <w:left w:w="75" w:type="dxa"/>
              <w:bottom w:w="75" w:type="dxa"/>
              <w:right w:w="75" w:type="dxa"/>
            </w:tcMar>
            <w:hideMark/>
          </w:tcPr>
          <w:p w14:paraId="61CD8F15"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на 5 лет 1928/29–1932/33</w:t>
            </w:r>
          </w:p>
        </w:tc>
      </w:tr>
      <w:tr w:rsidR="00A259BD" w:rsidRPr="00A259BD" w14:paraId="19F5FD9D" w14:textId="77777777" w:rsidTr="005110F1">
        <w:trPr>
          <w:jc w:val="center"/>
        </w:trPr>
        <w:tc>
          <w:tcPr>
            <w:tcW w:w="0" w:type="auto"/>
            <w:shd w:val="clear" w:color="auto" w:fill="auto"/>
            <w:tcMar>
              <w:top w:w="75" w:type="dxa"/>
              <w:left w:w="75" w:type="dxa"/>
              <w:bottom w:w="75" w:type="dxa"/>
              <w:right w:w="75" w:type="dxa"/>
            </w:tcMar>
            <w:hideMark/>
          </w:tcPr>
          <w:p w14:paraId="1058B965"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Гос. бюджет (план) </w:t>
            </w:r>
          </w:p>
        </w:tc>
        <w:tc>
          <w:tcPr>
            <w:tcW w:w="0" w:type="auto"/>
            <w:shd w:val="clear" w:color="auto" w:fill="auto"/>
            <w:tcMar>
              <w:top w:w="75" w:type="dxa"/>
              <w:left w:w="75" w:type="dxa"/>
              <w:bottom w:w="75" w:type="dxa"/>
              <w:right w:w="75" w:type="dxa"/>
            </w:tcMar>
            <w:hideMark/>
          </w:tcPr>
          <w:p w14:paraId="36CD11D6"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6581</w:t>
            </w:r>
          </w:p>
        </w:tc>
        <w:tc>
          <w:tcPr>
            <w:tcW w:w="0" w:type="auto"/>
            <w:shd w:val="clear" w:color="auto" w:fill="auto"/>
            <w:tcMar>
              <w:top w:w="75" w:type="dxa"/>
              <w:left w:w="75" w:type="dxa"/>
              <w:bottom w:w="75" w:type="dxa"/>
              <w:right w:w="75" w:type="dxa"/>
            </w:tcMar>
            <w:hideMark/>
          </w:tcPr>
          <w:p w14:paraId="743216C8"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7752</w:t>
            </w:r>
          </w:p>
        </w:tc>
        <w:tc>
          <w:tcPr>
            <w:tcW w:w="0" w:type="auto"/>
            <w:shd w:val="clear" w:color="auto" w:fill="auto"/>
            <w:tcMar>
              <w:top w:w="75" w:type="dxa"/>
              <w:left w:w="75" w:type="dxa"/>
              <w:bottom w:w="75" w:type="dxa"/>
              <w:right w:w="75" w:type="dxa"/>
            </w:tcMar>
            <w:hideMark/>
          </w:tcPr>
          <w:p w14:paraId="40A0E0E8"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9187</w:t>
            </w:r>
          </w:p>
        </w:tc>
        <w:tc>
          <w:tcPr>
            <w:tcW w:w="0" w:type="auto"/>
            <w:shd w:val="clear" w:color="auto" w:fill="auto"/>
            <w:tcMar>
              <w:top w:w="75" w:type="dxa"/>
              <w:left w:w="75" w:type="dxa"/>
              <w:bottom w:w="75" w:type="dxa"/>
              <w:right w:w="75" w:type="dxa"/>
            </w:tcMar>
            <w:hideMark/>
          </w:tcPr>
          <w:p w14:paraId="76E0EDA2"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10684</w:t>
            </w:r>
          </w:p>
        </w:tc>
        <w:tc>
          <w:tcPr>
            <w:tcW w:w="0" w:type="auto"/>
            <w:shd w:val="clear" w:color="auto" w:fill="auto"/>
            <w:tcMar>
              <w:top w:w="75" w:type="dxa"/>
              <w:left w:w="75" w:type="dxa"/>
              <w:bottom w:w="75" w:type="dxa"/>
              <w:right w:w="75" w:type="dxa"/>
            </w:tcMar>
            <w:hideMark/>
          </w:tcPr>
          <w:p w14:paraId="2E095963"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12203</w:t>
            </w:r>
          </w:p>
        </w:tc>
        <w:tc>
          <w:tcPr>
            <w:tcW w:w="0" w:type="auto"/>
            <w:shd w:val="clear" w:color="auto" w:fill="auto"/>
            <w:tcMar>
              <w:top w:w="75" w:type="dxa"/>
              <w:left w:w="75" w:type="dxa"/>
              <w:bottom w:w="75" w:type="dxa"/>
              <w:right w:w="75" w:type="dxa"/>
            </w:tcMar>
            <w:hideMark/>
          </w:tcPr>
          <w:p w14:paraId="37B6F66B"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14082</w:t>
            </w:r>
          </w:p>
        </w:tc>
        <w:tc>
          <w:tcPr>
            <w:tcW w:w="0" w:type="auto"/>
            <w:shd w:val="clear" w:color="auto" w:fill="auto"/>
            <w:tcMar>
              <w:top w:w="75" w:type="dxa"/>
              <w:left w:w="75" w:type="dxa"/>
              <w:bottom w:w="75" w:type="dxa"/>
              <w:right w:w="75" w:type="dxa"/>
            </w:tcMar>
            <w:hideMark/>
          </w:tcPr>
          <w:p w14:paraId="01183D58"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53908</w:t>
            </w:r>
          </w:p>
        </w:tc>
      </w:tr>
      <w:tr w:rsidR="00A259BD" w:rsidRPr="00A259BD" w14:paraId="774BF9CD" w14:textId="77777777" w:rsidTr="005110F1">
        <w:trPr>
          <w:jc w:val="center"/>
        </w:trPr>
        <w:tc>
          <w:tcPr>
            <w:tcW w:w="0" w:type="auto"/>
            <w:shd w:val="clear" w:color="auto" w:fill="auto"/>
            <w:tcMar>
              <w:top w:w="75" w:type="dxa"/>
              <w:left w:w="75" w:type="dxa"/>
              <w:bottom w:w="75" w:type="dxa"/>
              <w:right w:w="75" w:type="dxa"/>
            </w:tcMar>
            <w:hideMark/>
          </w:tcPr>
          <w:p w14:paraId="0D0F1CB2"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Оборонный бюджет: </w:t>
            </w:r>
          </w:p>
        </w:tc>
        <w:tc>
          <w:tcPr>
            <w:tcW w:w="0" w:type="auto"/>
            <w:shd w:val="clear" w:color="auto" w:fill="auto"/>
            <w:tcMar>
              <w:top w:w="75" w:type="dxa"/>
              <w:left w:w="75" w:type="dxa"/>
              <w:bottom w:w="75" w:type="dxa"/>
              <w:right w:w="75" w:type="dxa"/>
            </w:tcMar>
            <w:hideMark/>
          </w:tcPr>
          <w:p w14:paraId="17CCA189"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205DBDD4"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474840EC"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39EF8A32"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359563E6"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3F265030"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3BDF0EEA"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r>
      <w:tr w:rsidR="00A259BD" w:rsidRPr="00A259BD" w14:paraId="71E607C1" w14:textId="77777777" w:rsidTr="005110F1">
        <w:trPr>
          <w:jc w:val="center"/>
        </w:trPr>
        <w:tc>
          <w:tcPr>
            <w:tcW w:w="0" w:type="auto"/>
            <w:shd w:val="clear" w:color="auto" w:fill="auto"/>
            <w:tcMar>
              <w:top w:w="75" w:type="dxa"/>
              <w:left w:w="75" w:type="dxa"/>
              <w:bottom w:w="75" w:type="dxa"/>
              <w:right w:w="75" w:type="dxa"/>
            </w:tcMar>
            <w:hideMark/>
          </w:tcPr>
          <w:p w14:paraId="38BB22A9"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проект НКВМ </w:t>
            </w:r>
          </w:p>
        </w:tc>
        <w:tc>
          <w:tcPr>
            <w:tcW w:w="0" w:type="auto"/>
            <w:shd w:val="clear" w:color="auto" w:fill="auto"/>
            <w:tcMar>
              <w:top w:w="75" w:type="dxa"/>
              <w:left w:w="75" w:type="dxa"/>
              <w:bottom w:w="75" w:type="dxa"/>
              <w:right w:w="75" w:type="dxa"/>
            </w:tcMar>
            <w:hideMark/>
          </w:tcPr>
          <w:p w14:paraId="7E2D8A87"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743</w:t>
            </w:r>
          </w:p>
        </w:tc>
        <w:tc>
          <w:tcPr>
            <w:tcW w:w="0" w:type="auto"/>
            <w:shd w:val="clear" w:color="auto" w:fill="auto"/>
            <w:tcMar>
              <w:top w:w="75" w:type="dxa"/>
              <w:left w:w="75" w:type="dxa"/>
              <w:bottom w:w="75" w:type="dxa"/>
              <w:right w:w="75" w:type="dxa"/>
            </w:tcMar>
            <w:hideMark/>
          </w:tcPr>
          <w:p w14:paraId="342854C8"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850</w:t>
            </w:r>
          </w:p>
        </w:tc>
        <w:tc>
          <w:tcPr>
            <w:tcW w:w="0" w:type="auto"/>
            <w:shd w:val="clear" w:color="auto" w:fill="auto"/>
            <w:tcMar>
              <w:top w:w="75" w:type="dxa"/>
              <w:left w:w="75" w:type="dxa"/>
              <w:bottom w:w="75" w:type="dxa"/>
              <w:right w:w="75" w:type="dxa"/>
            </w:tcMar>
            <w:hideMark/>
          </w:tcPr>
          <w:p w14:paraId="0A493A53"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1032</w:t>
            </w:r>
          </w:p>
        </w:tc>
        <w:tc>
          <w:tcPr>
            <w:tcW w:w="0" w:type="auto"/>
            <w:shd w:val="clear" w:color="auto" w:fill="auto"/>
            <w:tcMar>
              <w:top w:w="75" w:type="dxa"/>
              <w:left w:w="75" w:type="dxa"/>
              <w:bottom w:w="75" w:type="dxa"/>
              <w:right w:w="75" w:type="dxa"/>
            </w:tcMar>
            <w:hideMark/>
          </w:tcPr>
          <w:p w14:paraId="364F4870"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1158</w:t>
            </w:r>
          </w:p>
        </w:tc>
        <w:tc>
          <w:tcPr>
            <w:tcW w:w="0" w:type="auto"/>
            <w:shd w:val="clear" w:color="auto" w:fill="auto"/>
            <w:tcMar>
              <w:top w:w="75" w:type="dxa"/>
              <w:left w:w="75" w:type="dxa"/>
              <w:bottom w:w="75" w:type="dxa"/>
              <w:right w:w="75" w:type="dxa"/>
            </w:tcMar>
            <w:hideMark/>
          </w:tcPr>
          <w:p w14:paraId="1A9AB2B4"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1352</w:t>
            </w:r>
          </w:p>
        </w:tc>
        <w:tc>
          <w:tcPr>
            <w:tcW w:w="0" w:type="auto"/>
            <w:shd w:val="clear" w:color="auto" w:fill="auto"/>
            <w:tcMar>
              <w:top w:w="75" w:type="dxa"/>
              <w:left w:w="75" w:type="dxa"/>
              <w:bottom w:w="75" w:type="dxa"/>
              <w:right w:w="75" w:type="dxa"/>
            </w:tcMar>
            <w:hideMark/>
          </w:tcPr>
          <w:p w14:paraId="3BC657D7"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1425</w:t>
            </w:r>
          </w:p>
        </w:tc>
        <w:tc>
          <w:tcPr>
            <w:tcW w:w="0" w:type="auto"/>
            <w:shd w:val="clear" w:color="auto" w:fill="auto"/>
            <w:tcMar>
              <w:top w:w="75" w:type="dxa"/>
              <w:left w:w="75" w:type="dxa"/>
              <w:bottom w:w="75" w:type="dxa"/>
              <w:right w:w="75" w:type="dxa"/>
            </w:tcMar>
            <w:hideMark/>
          </w:tcPr>
          <w:p w14:paraId="4324B2A4"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5817</w:t>
            </w:r>
          </w:p>
        </w:tc>
      </w:tr>
      <w:tr w:rsidR="00A259BD" w:rsidRPr="00A259BD" w14:paraId="5976E0DA" w14:textId="77777777" w:rsidTr="005110F1">
        <w:trPr>
          <w:jc w:val="center"/>
        </w:trPr>
        <w:tc>
          <w:tcPr>
            <w:tcW w:w="0" w:type="auto"/>
            <w:shd w:val="clear" w:color="auto" w:fill="auto"/>
            <w:tcMar>
              <w:top w:w="75" w:type="dxa"/>
              <w:left w:w="75" w:type="dxa"/>
              <w:bottom w:w="75" w:type="dxa"/>
              <w:right w:w="75" w:type="dxa"/>
            </w:tcMar>
            <w:hideMark/>
          </w:tcPr>
          <w:p w14:paraId="20C47093"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проект Сектора обороны Госплана </w:t>
            </w:r>
          </w:p>
        </w:tc>
        <w:tc>
          <w:tcPr>
            <w:tcW w:w="0" w:type="auto"/>
            <w:shd w:val="clear" w:color="auto" w:fill="auto"/>
            <w:tcMar>
              <w:top w:w="75" w:type="dxa"/>
              <w:left w:w="75" w:type="dxa"/>
              <w:bottom w:w="75" w:type="dxa"/>
              <w:right w:w="75" w:type="dxa"/>
            </w:tcMar>
            <w:hideMark/>
          </w:tcPr>
          <w:p w14:paraId="2B1F7BD0"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743</w:t>
            </w:r>
          </w:p>
        </w:tc>
        <w:tc>
          <w:tcPr>
            <w:tcW w:w="0" w:type="auto"/>
            <w:shd w:val="clear" w:color="auto" w:fill="auto"/>
            <w:tcMar>
              <w:top w:w="75" w:type="dxa"/>
              <w:left w:w="75" w:type="dxa"/>
              <w:bottom w:w="75" w:type="dxa"/>
              <w:right w:w="75" w:type="dxa"/>
            </w:tcMar>
            <w:hideMark/>
          </w:tcPr>
          <w:p w14:paraId="71DDAE2E"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850</w:t>
            </w:r>
          </w:p>
        </w:tc>
        <w:tc>
          <w:tcPr>
            <w:tcW w:w="0" w:type="auto"/>
            <w:shd w:val="clear" w:color="auto" w:fill="auto"/>
            <w:tcMar>
              <w:top w:w="75" w:type="dxa"/>
              <w:left w:w="75" w:type="dxa"/>
              <w:bottom w:w="75" w:type="dxa"/>
              <w:right w:w="75" w:type="dxa"/>
            </w:tcMar>
            <w:hideMark/>
          </w:tcPr>
          <w:p w14:paraId="60700FD2"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w:t>
            </w:r>
          </w:p>
        </w:tc>
        <w:tc>
          <w:tcPr>
            <w:tcW w:w="0" w:type="auto"/>
            <w:shd w:val="clear" w:color="auto" w:fill="auto"/>
            <w:tcMar>
              <w:top w:w="75" w:type="dxa"/>
              <w:left w:w="75" w:type="dxa"/>
              <w:bottom w:w="75" w:type="dxa"/>
              <w:right w:w="75" w:type="dxa"/>
            </w:tcMar>
            <w:hideMark/>
          </w:tcPr>
          <w:p w14:paraId="461BE7E5"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950</w:t>
            </w:r>
          </w:p>
        </w:tc>
        <w:tc>
          <w:tcPr>
            <w:tcW w:w="0" w:type="auto"/>
            <w:shd w:val="clear" w:color="auto" w:fill="auto"/>
            <w:tcMar>
              <w:top w:w="75" w:type="dxa"/>
              <w:left w:w="75" w:type="dxa"/>
              <w:bottom w:w="75" w:type="dxa"/>
              <w:right w:w="75" w:type="dxa"/>
            </w:tcMar>
            <w:hideMark/>
          </w:tcPr>
          <w:p w14:paraId="379C18A7"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1040</w:t>
            </w:r>
          </w:p>
        </w:tc>
        <w:tc>
          <w:tcPr>
            <w:tcW w:w="0" w:type="auto"/>
            <w:shd w:val="clear" w:color="auto" w:fill="auto"/>
            <w:tcMar>
              <w:top w:w="75" w:type="dxa"/>
              <w:left w:w="75" w:type="dxa"/>
              <w:bottom w:w="75" w:type="dxa"/>
              <w:right w:w="75" w:type="dxa"/>
            </w:tcMar>
            <w:hideMark/>
          </w:tcPr>
          <w:p w14:paraId="7A6A9E0C"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1140</w:t>
            </w:r>
          </w:p>
        </w:tc>
        <w:tc>
          <w:tcPr>
            <w:tcW w:w="0" w:type="auto"/>
            <w:shd w:val="clear" w:color="auto" w:fill="auto"/>
            <w:tcMar>
              <w:top w:w="75" w:type="dxa"/>
              <w:left w:w="75" w:type="dxa"/>
              <w:bottom w:w="75" w:type="dxa"/>
              <w:right w:w="75" w:type="dxa"/>
            </w:tcMar>
            <w:hideMark/>
          </w:tcPr>
          <w:p w14:paraId="673E3B54"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4880</w:t>
            </w:r>
          </w:p>
        </w:tc>
      </w:tr>
      <w:tr w:rsidR="00A259BD" w:rsidRPr="00A259BD" w14:paraId="1F1C65B2" w14:textId="77777777" w:rsidTr="005110F1">
        <w:trPr>
          <w:jc w:val="center"/>
        </w:trPr>
        <w:tc>
          <w:tcPr>
            <w:tcW w:w="0" w:type="auto"/>
            <w:shd w:val="clear" w:color="auto" w:fill="auto"/>
            <w:tcMar>
              <w:top w:w="75" w:type="dxa"/>
              <w:left w:w="75" w:type="dxa"/>
              <w:bottom w:w="75" w:type="dxa"/>
              <w:right w:w="75" w:type="dxa"/>
            </w:tcMar>
            <w:hideMark/>
          </w:tcPr>
          <w:p w14:paraId="409CF525" w14:textId="77777777" w:rsidR="005110F1" w:rsidRPr="00A259BD" w:rsidRDefault="005110F1"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Удельн</w:t>
            </w:r>
            <w:proofErr w:type="spellEnd"/>
            <w:r w:rsidRPr="00A259BD">
              <w:rPr>
                <w:rFonts w:ascii="Times New Roman" w:hAnsi="Times New Roman"/>
                <w:color w:val="000000" w:themeColor="text1"/>
                <w:sz w:val="16"/>
                <w:szCs w:val="16"/>
              </w:rPr>
              <w:t xml:space="preserve">. вес бюджета обороны в гос. бюджете (%) </w:t>
            </w:r>
          </w:p>
        </w:tc>
        <w:tc>
          <w:tcPr>
            <w:tcW w:w="0" w:type="auto"/>
            <w:shd w:val="clear" w:color="auto" w:fill="auto"/>
            <w:tcMar>
              <w:top w:w="75" w:type="dxa"/>
              <w:left w:w="75" w:type="dxa"/>
              <w:bottom w:w="75" w:type="dxa"/>
              <w:right w:w="75" w:type="dxa"/>
            </w:tcMar>
            <w:hideMark/>
          </w:tcPr>
          <w:p w14:paraId="60756022"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11F5F470"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23AF185F"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0F46CA62"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29CECB39"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7D571754"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shd w:val="clear" w:color="auto" w:fill="auto"/>
            <w:tcMar>
              <w:top w:w="75" w:type="dxa"/>
              <w:left w:w="75" w:type="dxa"/>
              <w:bottom w:w="75" w:type="dxa"/>
              <w:right w:w="75" w:type="dxa"/>
            </w:tcMar>
            <w:hideMark/>
          </w:tcPr>
          <w:p w14:paraId="1126F89D"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r>
      <w:tr w:rsidR="00A259BD" w:rsidRPr="00A259BD" w14:paraId="249DE06C" w14:textId="77777777" w:rsidTr="005110F1">
        <w:trPr>
          <w:jc w:val="center"/>
        </w:trPr>
        <w:tc>
          <w:tcPr>
            <w:tcW w:w="0" w:type="auto"/>
            <w:shd w:val="clear" w:color="auto" w:fill="auto"/>
            <w:tcMar>
              <w:top w:w="75" w:type="dxa"/>
              <w:left w:w="75" w:type="dxa"/>
              <w:bottom w:w="75" w:type="dxa"/>
              <w:right w:w="75" w:type="dxa"/>
            </w:tcMar>
            <w:hideMark/>
          </w:tcPr>
          <w:p w14:paraId="1F761C28"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проект НКВМ </w:t>
            </w:r>
          </w:p>
        </w:tc>
        <w:tc>
          <w:tcPr>
            <w:tcW w:w="0" w:type="auto"/>
            <w:shd w:val="clear" w:color="auto" w:fill="auto"/>
            <w:tcMar>
              <w:top w:w="75" w:type="dxa"/>
              <w:left w:w="75" w:type="dxa"/>
              <w:bottom w:w="75" w:type="dxa"/>
              <w:right w:w="75" w:type="dxa"/>
            </w:tcMar>
            <w:hideMark/>
          </w:tcPr>
          <w:p w14:paraId="1122F0BE"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11,1</w:t>
            </w:r>
          </w:p>
        </w:tc>
        <w:tc>
          <w:tcPr>
            <w:tcW w:w="0" w:type="auto"/>
            <w:shd w:val="clear" w:color="auto" w:fill="auto"/>
            <w:tcMar>
              <w:top w:w="75" w:type="dxa"/>
              <w:left w:w="75" w:type="dxa"/>
              <w:bottom w:w="75" w:type="dxa"/>
              <w:right w:w="75" w:type="dxa"/>
            </w:tcMar>
            <w:hideMark/>
          </w:tcPr>
          <w:p w14:paraId="047A6412"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10,9</w:t>
            </w:r>
          </w:p>
        </w:tc>
        <w:tc>
          <w:tcPr>
            <w:tcW w:w="0" w:type="auto"/>
            <w:shd w:val="clear" w:color="auto" w:fill="auto"/>
            <w:tcMar>
              <w:top w:w="75" w:type="dxa"/>
              <w:left w:w="75" w:type="dxa"/>
              <w:bottom w:w="75" w:type="dxa"/>
              <w:right w:w="75" w:type="dxa"/>
            </w:tcMar>
            <w:hideMark/>
          </w:tcPr>
          <w:p w14:paraId="665DBF1C"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11,5</w:t>
            </w:r>
          </w:p>
        </w:tc>
        <w:tc>
          <w:tcPr>
            <w:tcW w:w="0" w:type="auto"/>
            <w:shd w:val="clear" w:color="auto" w:fill="auto"/>
            <w:tcMar>
              <w:top w:w="75" w:type="dxa"/>
              <w:left w:w="75" w:type="dxa"/>
              <w:bottom w:w="75" w:type="dxa"/>
              <w:right w:w="75" w:type="dxa"/>
            </w:tcMar>
            <w:hideMark/>
          </w:tcPr>
          <w:p w14:paraId="35797455"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11,8</w:t>
            </w:r>
          </w:p>
        </w:tc>
        <w:tc>
          <w:tcPr>
            <w:tcW w:w="0" w:type="auto"/>
            <w:shd w:val="clear" w:color="auto" w:fill="auto"/>
            <w:tcMar>
              <w:top w:w="75" w:type="dxa"/>
              <w:left w:w="75" w:type="dxa"/>
              <w:bottom w:w="75" w:type="dxa"/>
              <w:right w:w="75" w:type="dxa"/>
            </w:tcMar>
            <w:hideMark/>
          </w:tcPr>
          <w:p w14:paraId="0F70AE95"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12,2</w:t>
            </w:r>
          </w:p>
        </w:tc>
        <w:tc>
          <w:tcPr>
            <w:tcW w:w="0" w:type="auto"/>
            <w:shd w:val="clear" w:color="auto" w:fill="auto"/>
            <w:tcMar>
              <w:top w:w="75" w:type="dxa"/>
              <w:left w:w="75" w:type="dxa"/>
              <w:bottom w:w="75" w:type="dxa"/>
              <w:right w:w="75" w:type="dxa"/>
            </w:tcMar>
            <w:hideMark/>
          </w:tcPr>
          <w:p w14:paraId="70E64B77"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11,3</w:t>
            </w:r>
          </w:p>
        </w:tc>
        <w:tc>
          <w:tcPr>
            <w:tcW w:w="0" w:type="auto"/>
            <w:shd w:val="clear" w:color="auto" w:fill="auto"/>
            <w:tcMar>
              <w:top w:w="75" w:type="dxa"/>
              <w:left w:w="75" w:type="dxa"/>
              <w:bottom w:w="75" w:type="dxa"/>
              <w:right w:w="75" w:type="dxa"/>
            </w:tcMar>
            <w:hideMark/>
          </w:tcPr>
          <w:p w14:paraId="4DE9FD0E"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11,5</w:t>
            </w:r>
          </w:p>
        </w:tc>
      </w:tr>
      <w:tr w:rsidR="00A259BD" w:rsidRPr="00A259BD" w14:paraId="5B3A5BEC" w14:textId="77777777" w:rsidTr="005110F1">
        <w:trPr>
          <w:jc w:val="center"/>
        </w:trPr>
        <w:tc>
          <w:tcPr>
            <w:tcW w:w="0" w:type="auto"/>
            <w:shd w:val="clear" w:color="auto" w:fill="auto"/>
            <w:tcMar>
              <w:top w:w="75" w:type="dxa"/>
              <w:left w:w="75" w:type="dxa"/>
              <w:bottom w:w="75" w:type="dxa"/>
              <w:right w:w="75" w:type="dxa"/>
            </w:tcMar>
            <w:hideMark/>
          </w:tcPr>
          <w:p w14:paraId="57B75D02"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проект Госплана </w:t>
            </w:r>
          </w:p>
        </w:tc>
        <w:tc>
          <w:tcPr>
            <w:tcW w:w="0" w:type="auto"/>
            <w:shd w:val="clear" w:color="auto" w:fill="auto"/>
            <w:tcMar>
              <w:top w:w="75" w:type="dxa"/>
              <w:left w:w="75" w:type="dxa"/>
              <w:bottom w:w="75" w:type="dxa"/>
              <w:right w:w="75" w:type="dxa"/>
            </w:tcMar>
            <w:hideMark/>
          </w:tcPr>
          <w:p w14:paraId="30780466"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11,1</w:t>
            </w:r>
          </w:p>
        </w:tc>
        <w:tc>
          <w:tcPr>
            <w:tcW w:w="0" w:type="auto"/>
            <w:shd w:val="clear" w:color="auto" w:fill="auto"/>
            <w:tcMar>
              <w:top w:w="75" w:type="dxa"/>
              <w:left w:w="75" w:type="dxa"/>
              <w:bottom w:w="75" w:type="dxa"/>
              <w:right w:w="75" w:type="dxa"/>
            </w:tcMar>
            <w:hideMark/>
          </w:tcPr>
          <w:p w14:paraId="074D7B66"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10,9</w:t>
            </w:r>
          </w:p>
        </w:tc>
        <w:tc>
          <w:tcPr>
            <w:tcW w:w="0" w:type="auto"/>
            <w:shd w:val="clear" w:color="auto" w:fill="auto"/>
            <w:tcMar>
              <w:top w:w="75" w:type="dxa"/>
              <w:left w:w="75" w:type="dxa"/>
              <w:bottom w:w="75" w:type="dxa"/>
              <w:right w:w="75" w:type="dxa"/>
            </w:tcMar>
            <w:hideMark/>
          </w:tcPr>
          <w:p w14:paraId="4283B053"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w:t>
            </w:r>
          </w:p>
        </w:tc>
        <w:tc>
          <w:tcPr>
            <w:tcW w:w="0" w:type="auto"/>
            <w:shd w:val="clear" w:color="auto" w:fill="auto"/>
            <w:tcMar>
              <w:top w:w="75" w:type="dxa"/>
              <w:left w:w="75" w:type="dxa"/>
              <w:bottom w:w="75" w:type="dxa"/>
              <w:right w:w="75" w:type="dxa"/>
            </w:tcMar>
            <w:hideMark/>
          </w:tcPr>
          <w:p w14:paraId="511049CD"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9,5</w:t>
            </w:r>
          </w:p>
        </w:tc>
        <w:tc>
          <w:tcPr>
            <w:tcW w:w="0" w:type="auto"/>
            <w:shd w:val="clear" w:color="auto" w:fill="auto"/>
            <w:tcMar>
              <w:top w:w="75" w:type="dxa"/>
              <w:left w:w="75" w:type="dxa"/>
              <w:bottom w:w="75" w:type="dxa"/>
              <w:right w:w="75" w:type="dxa"/>
            </w:tcMar>
            <w:hideMark/>
          </w:tcPr>
          <w:p w14:paraId="78EC1BA8"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9,4</w:t>
            </w:r>
          </w:p>
        </w:tc>
        <w:tc>
          <w:tcPr>
            <w:tcW w:w="0" w:type="auto"/>
            <w:shd w:val="clear" w:color="auto" w:fill="auto"/>
            <w:tcMar>
              <w:top w:w="75" w:type="dxa"/>
              <w:left w:w="75" w:type="dxa"/>
              <w:bottom w:w="75" w:type="dxa"/>
              <w:right w:w="75" w:type="dxa"/>
            </w:tcMar>
            <w:hideMark/>
          </w:tcPr>
          <w:p w14:paraId="14EDE23D"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w:t>
            </w:r>
          </w:p>
        </w:tc>
        <w:tc>
          <w:tcPr>
            <w:tcW w:w="0" w:type="auto"/>
            <w:shd w:val="clear" w:color="auto" w:fill="auto"/>
            <w:tcMar>
              <w:top w:w="75" w:type="dxa"/>
              <w:left w:w="75" w:type="dxa"/>
              <w:bottom w:w="75" w:type="dxa"/>
              <w:right w:w="75" w:type="dxa"/>
            </w:tcMar>
            <w:hideMark/>
          </w:tcPr>
          <w:p w14:paraId="050CE859"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9,7</w:t>
            </w:r>
          </w:p>
        </w:tc>
      </w:tr>
    </w:tbl>
    <w:p w14:paraId="68E55269"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РГАЭ. Ф.4371. Оп.91. Д.155. Л.223, 220. Динамика удельного веса бюджета обороны в народном хозяйстве.</w:t>
      </w:r>
    </w:p>
    <w:p w14:paraId="409772A4"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 Содержащиеся в документе ошибки в подсчетах исправлены, исходя из того, что приведенные цифры госбюджета — правильные.</w:t>
      </w:r>
    </w:p>
    <w:p w14:paraId="0D15D805" w14:textId="77777777" w:rsidR="005110F1" w:rsidRPr="00A259BD" w:rsidRDefault="005110F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 пятилетний период разница составила 1 млрд. руб. Желанием военных было иметь постоянную долю в бюджете, отчисляемую на развитие вооружённых сил и оборонной промышленности. Проект же Госплана предусматривал постепенное сокращение доли обороны в госбюджете к концу пятилетнего периода. Не сумев решить противоречие во время заседания, Президиум Госплана поручил заместителю наркома обороны И. С. </w:t>
      </w:r>
      <w:proofErr w:type="spellStart"/>
      <w:r w:rsidRPr="00A259BD">
        <w:rPr>
          <w:rFonts w:ascii="Times New Roman" w:hAnsi="Times New Roman"/>
          <w:color w:val="000000" w:themeColor="text1"/>
          <w:sz w:val="16"/>
          <w:szCs w:val="16"/>
        </w:rPr>
        <w:t>Уншлихту</w:t>
      </w:r>
      <w:proofErr w:type="spellEnd"/>
      <w:r w:rsidRPr="00A259BD">
        <w:rPr>
          <w:rFonts w:ascii="Times New Roman" w:hAnsi="Times New Roman"/>
          <w:color w:val="000000" w:themeColor="text1"/>
          <w:sz w:val="16"/>
          <w:szCs w:val="16"/>
        </w:rPr>
        <w:t xml:space="preserve">, начальнику Штаба РККА Б. М. Шапошникову и представителям ВСНХ A. M. Постникову и </w:t>
      </w:r>
      <w:proofErr w:type="spellStart"/>
      <w:r w:rsidRPr="00A259BD">
        <w:rPr>
          <w:rFonts w:ascii="Times New Roman" w:hAnsi="Times New Roman"/>
          <w:color w:val="000000" w:themeColor="text1"/>
          <w:sz w:val="16"/>
          <w:szCs w:val="16"/>
        </w:rPr>
        <w:t>И</w:t>
      </w:r>
      <w:proofErr w:type="spellEnd"/>
      <w:r w:rsidRPr="00A259BD">
        <w:rPr>
          <w:rFonts w:ascii="Times New Roman" w:hAnsi="Times New Roman"/>
          <w:color w:val="000000" w:themeColor="text1"/>
          <w:sz w:val="16"/>
          <w:szCs w:val="16"/>
        </w:rPr>
        <w:t xml:space="preserve">. П. </w:t>
      </w:r>
      <w:proofErr w:type="spellStart"/>
      <w:r w:rsidRPr="00A259BD">
        <w:rPr>
          <w:rFonts w:ascii="Times New Roman" w:hAnsi="Times New Roman"/>
          <w:color w:val="000000" w:themeColor="text1"/>
          <w:sz w:val="16"/>
          <w:szCs w:val="16"/>
        </w:rPr>
        <w:t>Павлуновскому</w:t>
      </w:r>
      <w:proofErr w:type="spellEnd"/>
      <w:r w:rsidRPr="00A259BD">
        <w:rPr>
          <w:rFonts w:ascii="Times New Roman" w:hAnsi="Times New Roman"/>
          <w:color w:val="000000" w:themeColor="text1"/>
          <w:sz w:val="16"/>
          <w:szCs w:val="16"/>
        </w:rPr>
        <w:t xml:space="preserve"> создать комиссию по примирению двух бюджетных проектов. Проект резолюции комиссии затем должен был быть направлен Совету труда и обороны (17208).</w:t>
      </w:r>
    </w:p>
    <w:p w14:paraId="1A0CF483" w14:textId="77777777" w:rsidR="005110F1" w:rsidRPr="00A259BD" w:rsidRDefault="005110F1" w:rsidP="009236E3">
      <w:pPr>
        <w:autoSpaceDE w:val="0"/>
        <w:autoSpaceDN w:val="0"/>
        <w:adjustRightInd w:val="0"/>
        <w:spacing w:after="0" w:line="240" w:lineRule="auto"/>
        <w:jc w:val="both"/>
        <w:rPr>
          <w:rFonts w:ascii="Times New Roman" w:hAnsi="Times New Roman"/>
          <w:color w:val="000000" w:themeColor="text1"/>
          <w:sz w:val="16"/>
          <w:szCs w:val="16"/>
        </w:rPr>
      </w:pPr>
    </w:p>
    <w:p w14:paraId="6D0269E1" w14:textId="77777777" w:rsidR="007568DB" w:rsidRPr="00A259BD" w:rsidRDefault="007568DB" w:rsidP="007568DB">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апреля 1929 г. президиум Госплана на своем заседании рассматривал бюджетный заказ наркомата обороны на пять лет. Военные просили 5828 млн. рублей, Госплан соглашался на 4880 млн., указанные в проекте плана. Промежуточную позицию занял Сектор обороны Госплана. Он предложил иную систему подсчета расходов, исходя из предполагаемого снижения цен в оборонной промышленности и сокращения некоторых военных программ. Таким образом, выходило, что военные затраты составят не более 5475 млн. рублей. Для принятия компромиссного решения была создана специальная комиссия, которую возглавили К. А. Мехоношин (от Госплана) и Б. М. Шапошников (начальник Штаба РККА с мая 1928 г.).</w:t>
      </w:r>
    </w:p>
    <w:p w14:paraId="10A4C5CA" w14:textId="77777777" w:rsidR="007568DB" w:rsidRPr="00A259BD" w:rsidRDefault="007568DB" w:rsidP="007568DB">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Расхождения во взглядах военных и Сектора обороны Госплана на размеры оборонного бюджета нашли отражение в табл.</w:t>
      </w:r>
    </w:p>
    <w:p w14:paraId="1C44A356" w14:textId="77777777" w:rsidR="007568DB" w:rsidRPr="00A259BD" w:rsidRDefault="007568DB" w:rsidP="007568DB">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Таблица 3.3. Проекты оборонного бюджета первого пятилетнего плана (весна 1929 г., в млн. руб.)</w:t>
      </w:r>
    </w:p>
    <w:tbl>
      <w:tblPr>
        <w:tblW w:w="7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4"/>
        <w:gridCol w:w="2614"/>
        <w:gridCol w:w="2614"/>
      </w:tblGrid>
      <w:tr w:rsidR="00A259BD" w:rsidRPr="00A259BD" w14:paraId="5EDE68C4" w14:textId="77777777" w:rsidTr="00953551">
        <w:tc>
          <w:tcPr>
            <w:tcW w:w="2614" w:type="dxa"/>
          </w:tcPr>
          <w:p w14:paraId="103AE2A0"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Статья расходов</w:t>
            </w:r>
          </w:p>
        </w:tc>
        <w:tc>
          <w:tcPr>
            <w:tcW w:w="2614" w:type="dxa"/>
          </w:tcPr>
          <w:p w14:paraId="3E14D96F"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 НКВМ</w:t>
            </w:r>
          </w:p>
        </w:tc>
        <w:tc>
          <w:tcPr>
            <w:tcW w:w="2614" w:type="dxa"/>
          </w:tcPr>
          <w:p w14:paraId="40E651D6"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 Госплана</w:t>
            </w:r>
          </w:p>
        </w:tc>
      </w:tr>
      <w:tr w:rsidR="00A259BD" w:rsidRPr="00A259BD" w14:paraId="76544B0B" w14:textId="77777777" w:rsidTr="00953551">
        <w:tc>
          <w:tcPr>
            <w:tcW w:w="2614" w:type="dxa"/>
          </w:tcPr>
          <w:p w14:paraId="156601DF"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НКВМ</w:t>
            </w:r>
          </w:p>
        </w:tc>
        <w:tc>
          <w:tcPr>
            <w:tcW w:w="2614" w:type="dxa"/>
          </w:tcPr>
          <w:p w14:paraId="05627340"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w:t>
            </w:r>
          </w:p>
        </w:tc>
        <w:tc>
          <w:tcPr>
            <w:tcW w:w="2614" w:type="dxa"/>
          </w:tcPr>
          <w:p w14:paraId="2CEC0A4F"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4800</w:t>
            </w:r>
          </w:p>
        </w:tc>
      </w:tr>
      <w:tr w:rsidR="00A259BD" w:rsidRPr="00A259BD" w14:paraId="7459EA3E" w14:textId="77777777" w:rsidTr="00953551">
        <w:tc>
          <w:tcPr>
            <w:tcW w:w="2614" w:type="dxa"/>
          </w:tcPr>
          <w:p w14:paraId="1ACFD6BD"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ОГПУ</w:t>
            </w:r>
          </w:p>
        </w:tc>
        <w:tc>
          <w:tcPr>
            <w:tcW w:w="2614" w:type="dxa"/>
          </w:tcPr>
          <w:p w14:paraId="326DE04F"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2614" w:type="dxa"/>
          </w:tcPr>
          <w:p w14:paraId="3C4313C3"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w:t>
            </w:r>
          </w:p>
        </w:tc>
      </w:tr>
      <w:tr w:rsidR="00A259BD" w:rsidRPr="00A259BD" w14:paraId="5890D9BD" w14:textId="77777777" w:rsidTr="00953551">
        <w:tc>
          <w:tcPr>
            <w:tcW w:w="2614" w:type="dxa"/>
          </w:tcPr>
          <w:p w14:paraId="387C3486"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Оборонная промышленность</w:t>
            </w:r>
          </w:p>
        </w:tc>
        <w:tc>
          <w:tcPr>
            <w:tcW w:w="2614" w:type="dxa"/>
          </w:tcPr>
          <w:p w14:paraId="0FF7D705"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2614" w:type="dxa"/>
          </w:tcPr>
          <w:p w14:paraId="3200823B"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w:t>
            </w:r>
          </w:p>
        </w:tc>
      </w:tr>
      <w:tr w:rsidR="00A259BD" w:rsidRPr="00A259BD" w14:paraId="4A08B0A7" w14:textId="77777777" w:rsidTr="00953551">
        <w:tc>
          <w:tcPr>
            <w:tcW w:w="2614" w:type="dxa"/>
          </w:tcPr>
          <w:p w14:paraId="47FE0C5D"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Транспорт</w:t>
            </w:r>
          </w:p>
        </w:tc>
        <w:tc>
          <w:tcPr>
            <w:tcW w:w="2614" w:type="dxa"/>
          </w:tcPr>
          <w:p w14:paraId="782D2A6B"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2614" w:type="dxa"/>
          </w:tcPr>
          <w:p w14:paraId="77C13484"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r>
      <w:tr w:rsidR="00A259BD" w:rsidRPr="00A259BD" w14:paraId="78ABBDC5" w14:textId="77777777" w:rsidTr="00953551">
        <w:tc>
          <w:tcPr>
            <w:tcW w:w="2614" w:type="dxa"/>
          </w:tcPr>
          <w:p w14:paraId="4A6DC485"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Связь</w:t>
            </w:r>
          </w:p>
        </w:tc>
        <w:tc>
          <w:tcPr>
            <w:tcW w:w="2614" w:type="dxa"/>
          </w:tcPr>
          <w:p w14:paraId="7018F197"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tc>
        <w:tc>
          <w:tcPr>
            <w:tcW w:w="2614" w:type="dxa"/>
          </w:tcPr>
          <w:p w14:paraId="07F90E71"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w:t>
            </w:r>
          </w:p>
        </w:tc>
      </w:tr>
      <w:tr w:rsidR="00A259BD" w:rsidRPr="00A259BD" w14:paraId="0822099E" w14:textId="77777777" w:rsidTr="00953551">
        <w:tc>
          <w:tcPr>
            <w:tcW w:w="2614" w:type="dxa"/>
          </w:tcPr>
          <w:p w14:paraId="6F9C1BA9"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Резервы</w:t>
            </w:r>
          </w:p>
        </w:tc>
        <w:tc>
          <w:tcPr>
            <w:tcW w:w="2614" w:type="dxa"/>
          </w:tcPr>
          <w:p w14:paraId="52DE0E37"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280</w:t>
            </w:r>
          </w:p>
        </w:tc>
        <w:tc>
          <w:tcPr>
            <w:tcW w:w="2614" w:type="dxa"/>
          </w:tcPr>
          <w:p w14:paraId="2BD43C82"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280</w:t>
            </w:r>
          </w:p>
        </w:tc>
      </w:tr>
      <w:tr w:rsidR="00A259BD" w:rsidRPr="00A259BD" w14:paraId="2777D215" w14:textId="77777777" w:rsidTr="00953551">
        <w:tc>
          <w:tcPr>
            <w:tcW w:w="2614" w:type="dxa"/>
          </w:tcPr>
          <w:p w14:paraId="1CD7A354"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2614" w:type="dxa"/>
          </w:tcPr>
          <w:p w14:paraId="17A19872"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7830</w:t>
            </w:r>
          </w:p>
        </w:tc>
        <w:tc>
          <w:tcPr>
            <w:tcW w:w="2614" w:type="dxa"/>
          </w:tcPr>
          <w:p w14:paraId="2D621978"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6505</w:t>
            </w:r>
          </w:p>
        </w:tc>
      </w:tr>
    </w:tbl>
    <w:p w14:paraId="3AC34007" w14:textId="77777777" w:rsidR="007568DB" w:rsidRPr="00A259BD" w:rsidRDefault="007568DB" w:rsidP="007568DB">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Источник:РГЛЭ</w:t>
      </w:r>
      <w:proofErr w:type="spellEnd"/>
      <w:r w:rsidRPr="00A259BD">
        <w:rPr>
          <w:rFonts w:ascii="Times New Roman" w:hAnsi="Times New Roman"/>
          <w:color w:val="000000" w:themeColor="text1"/>
          <w:sz w:val="16"/>
          <w:szCs w:val="16"/>
        </w:rPr>
        <w:t>. Ф.4372. Оп.91. Д.155. Л.134. Протокол заседания Президиума Госплана, 29.04.1929 г.</w:t>
      </w:r>
    </w:p>
    <w:p w14:paraId="6F7C228F" w14:textId="77777777" w:rsidR="007568DB" w:rsidRPr="00A259BD" w:rsidRDefault="007568DB" w:rsidP="007568DB">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Проекты оборонного бюджета на 1928/29–1932/33 гг. по годам (млн. руб. в ценах 1926/27 г.)</w:t>
      </w:r>
    </w:p>
    <w:tbl>
      <w:tblPr>
        <w:tblW w:w="9149" w:type="dxa"/>
        <w:tblLook w:val="04A0" w:firstRow="1" w:lastRow="0" w:firstColumn="1" w:lastColumn="0" w:noHBand="0" w:noVBand="1"/>
      </w:tblPr>
      <w:tblGrid>
        <w:gridCol w:w="1307"/>
        <w:gridCol w:w="1307"/>
        <w:gridCol w:w="1307"/>
        <w:gridCol w:w="1307"/>
        <w:gridCol w:w="1307"/>
        <w:gridCol w:w="1307"/>
        <w:gridCol w:w="1307"/>
      </w:tblGrid>
      <w:tr w:rsidR="00A259BD" w:rsidRPr="00A259BD" w14:paraId="222690AD" w14:textId="77777777" w:rsidTr="00953551">
        <w:tc>
          <w:tcPr>
            <w:tcW w:w="1307" w:type="dxa"/>
            <w:tcBorders>
              <w:top w:val="single" w:sz="4" w:space="0" w:color="auto"/>
              <w:left w:val="single" w:sz="4" w:space="0" w:color="auto"/>
              <w:bottom w:val="single" w:sz="4" w:space="0" w:color="auto"/>
              <w:right w:val="single" w:sz="4" w:space="0" w:color="auto"/>
            </w:tcBorders>
          </w:tcPr>
          <w:p w14:paraId="0846B5DF"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1BBBF179"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1927/28 </w:t>
            </w:r>
            <w:proofErr w:type="spellStart"/>
            <w:r w:rsidRPr="00A259BD">
              <w:rPr>
                <w:rFonts w:ascii="Times New Roman" w:hAnsi="Times New Roman"/>
                <w:color w:val="000000" w:themeColor="text1"/>
                <w:sz w:val="16"/>
                <w:szCs w:val="16"/>
              </w:rPr>
              <w:t>Реальн</w:t>
            </w:r>
            <w:proofErr w:type="spellEnd"/>
            <w:r w:rsidRPr="00A259BD">
              <w:rPr>
                <w:rFonts w:ascii="Times New Roman" w:hAnsi="Times New Roman"/>
                <w:color w:val="000000" w:themeColor="text1"/>
                <w:sz w:val="16"/>
                <w:szCs w:val="16"/>
              </w:rPr>
              <w:t>. бюджет</w:t>
            </w:r>
          </w:p>
        </w:tc>
        <w:tc>
          <w:tcPr>
            <w:tcW w:w="1307" w:type="dxa"/>
            <w:tcBorders>
              <w:top w:val="single" w:sz="4" w:space="0" w:color="auto"/>
              <w:left w:val="single" w:sz="4" w:space="0" w:color="auto"/>
              <w:bottom w:val="single" w:sz="4" w:space="0" w:color="auto"/>
              <w:right w:val="single" w:sz="4" w:space="0" w:color="auto"/>
            </w:tcBorders>
          </w:tcPr>
          <w:p w14:paraId="142B710C"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1928/29</w:t>
            </w:r>
          </w:p>
        </w:tc>
        <w:tc>
          <w:tcPr>
            <w:tcW w:w="1307" w:type="dxa"/>
            <w:tcBorders>
              <w:top w:val="single" w:sz="4" w:space="0" w:color="auto"/>
              <w:left w:val="single" w:sz="4" w:space="0" w:color="auto"/>
              <w:bottom w:val="single" w:sz="4" w:space="0" w:color="auto"/>
              <w:right w:val="single" w:sz="4" w:space="0" w:color="auto"/>
            </w:tcBorders>
          </w:tcPr>
          <w:p w14:paraId="619C94C7"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w:t>
            </w:r>
          </w:p>
        </w:tc>
        <w:tc>
          <w:tcPr>
            <w:tcW w:w="1307" w:type="dxa"/>
            <w:tcBorders>
              <w:top w:val="single" w:sz="4" w:space="0" w:color="auto"/>
              <w:left w:val="single" w:sz="4" w:space="0" w:color="auto"/>
              <w:bottom w:val="single" w:sz="4" w:space="0" w:color="auto"/>
              <w:right w:val="single" w:sz="4" w:space="0" w:color="auto"/>
            </w:tcBorders>
          </w:tcPr>
          <w:p w14:paraId="4F0471B4"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w:t>
            </w:r>
          </w:p>
        </w:tc>
        <w:tc>
          <w:tcPr>
            <w:tcW w:w="1307" w:type="dxa"/>
            <w:tcBorders>
              <w:top w:val="single" w:sz="4" w:space="0" w:color="auto"/>
              <w:left w:val="single" w:sz="4" w:space="0" w:color="auto"/>
              <w:bottom w:val="single" w:sz="4" w:space="0" w:color="auto"/>
              <w:right w:val="single" w:sz="4" w:space="0" w:color="auto"/>
            </w:tcBorders>
          </w:tcPr>
          <w:p w14:paraId="788AF74E"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w:t>
            </w:r>
          </w:p>
        </w:tc>
        <w:tc>
          <w:tcPr>
            <w:tcW w:w="1307" w:type="dxa"/>
            <w:tcBorders>
              <w:top w:val="single" w:sz="4" w:space="0" w:color="auto"/>
              <w:left w:val="single" w:sz="4" w:space="0" w:color="auto"/>
              <w:bottom w:val="single" w:sz="4" w:space="0" w:color="auto"/>
              <w:right w:val="single" w:sz="4" w:space="0" w:color="auto"/>
            </w:tcBorders>
          </w:tcPr>
          <w:p w14:paraId="063E6147"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w:t>
            </w:r>
          </w:p>
        </w:tc>
      </w:tr>
      <w:tr w:rsidR="00A259BD" w:rsidRPr="00A259BD" w14:paraId="3C8CDF9E" w14:textId="77777777" w:rsidTr="00953551">
        <w:tc>
          <w:tcPr>
            <w:tcW w:w="1307" w:type="dxa"/>
            <w:tcBorders>
              <w:top w:val="single" w:sz="4" w:space="0" w:color="auto"/>
              <w:left w:val="single" w:sz="4" w:space="0" w:color="auto"/>
              <w:bottom w:val="single" w:sz="4" w:space="0" w:color="auto"/>
              <w:right w:val="single" w:sz="4" w:space="0" w:color="auto"/>
            </w:tcBorders>
          </w:tcPr>
          <w:p w14:paraId="3C88F2F2"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Гос. бюджет (план)</w:t>
            </w:r>
          </w:p>
        </w:tc>
        <w:tc>
          <w:tcPr>
            <w:tcW w:w="1307" w:type="dxa"/>
            <w:tcBorders>
              <w:top w:val="single" w:sz="4" w:space="0" w:color="auto"/>
              <w:left w:val="single" w:sz="4" w:space="0" w:color="auto"/>
              <w:bottom w:val="single" w:sz="4" w:space="0" w:color="auto"/>
              <w:right w:val="single" w:sz="4" w:space="0" w:color="auto"/>
            </w:tcBorders>
          </w:tcPr>
          <w:p w14:paraId="6CDD0D4C"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6581</w:t>
            </w:r>
          </w:p>
        </w:tc>
        <w:tc>
          <w:tcPr>
            <w:tcW w:w="1307" w:type="dxa"/>
            <w:tcBorders>
              <w:top w:val="single" w:sz="4" w:space="0" w:color="auto"/>
              <w:left w:val="single" w:sz="4" w:space="0" w:color="auto"/>
              <w:bottom w:val="single" w:sz="4" w:space="0" w:color="auto"/>
              <w:right w:val="single" w:sz="4" w:space="0" w:color="auto"/>
            </w:tcBorders>
          </w:tcPr>
          <w:p w14:paraId="7753FF36"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7752</w:t>
            </w:r>
          </w:p>
        </w:tc>
        <w:tc>
          <w:tcPr>
            <w:tcW w:w="1307" w:type="dxa"/>
            <w:tcBorders>
              <w:top w:val="single" w:sz="4" w:space="0" w:color="auto"/>
              <w:left w:val="single" w:sz="4" w:space="0" w:color="auto"/>
              <w:bottom w:val="single" w:sz="4" w:space="0" w:color="auto"/>
              <w:right w:val="single" w:sz="4" w:space="0" w:color="auto"/>
            </w:tcBorders>
          </w:tcPr>
          <w:p w14:paraId="6C72BC51"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9187</w:t>
            </w:r>
          </w:p>
        </w:tc>
        <w:tc>
          <w:tcPr>
            <w:tcW w:w="1307" w:type="dxa"/>
            <w:tcBorders>
              <w:top w:val="single" w:sz="4" w:space="0" w:color="auto"/>
              <w:left w:val="single" w:sz="4" w:space="0" w:color="auto"/>
              <w:bottom w:val="single" w:sz="4" w:space="0" w:color="auto"/>
              <w:right w:val="single" w:sz="4" w:space="0" w:color="auto"/>
            </w:tcBorders>
          </w:tcPr>
          <w:p w14:paraId="08AF5974"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10684</w:t>
            </w:r>
          </w:p>
        </w:tc>
        <w:tc>
          <w:tcPr>
            <w:tcW w:w="1307" w:type="dxa"/>
            <w:tcBorders>
              <w:top w:val="single" w:sz="4" w:space="0" w:color="auto"/>
              <w:left w:val="single" w:sz="4" w:space="0" w:color="auto"/>
              <w:bottom w:val="single" w:sz="4" w:space="0" w:color="auto"/>
              <w:right w:val="single" w:sz="4" w:space="0" w:color="auto"/>
            </w:tcBorders>
          </w:tcPr>
          <w:p w14:paraId="4A076B84"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12203</w:t>
            </w:r>
          </w:p>
        </w:tc>
        <w:tc>
          <w:tcPr>
            <w:tcW w:w="1307" w:type="dxa"/>
            <w:tcBorders>
              <w:top w:val="single" w:sz="4" w:space="0" w:color="auto"/>
              <w:left w:val="single" w:sz="4" w:space="0" w:color="auto"/>
              <w:bottom w:val="single" w:sz="4" w:space="0" w:color="auto"/>
              <w:right w:val="single" w:sz="4" w:space="0" w:color="auto"/>
            </w:tcBorders>
          </w:tcPr>
          <w:p w14:paraId="19B47F85"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14082</w:t>
            </w:r>
          </w:p>
        </w:tc>
      </w:tr>
      <w:tr w:rsidR="00A259BD" w:rsidRPr="00A259BD" w14:paraId="5A1A2BB7" w14:textId="77777777" w:rsidTr="00953551">
        <w:tc>
          <w:tcPr>
            <w:tcW w:w="1307" w:type="dxa"/>
            <w:tcBorders>
              <w:top w:val="single" w:sz="4" w:space="0" w:color="auto"/>
              <w:left w:val="single" w:sz="4" w:space="0" w:color="auto"/>
              <w:bottom w:val="single" w:sz="4" w:space="0" w:color="auto"/>
              <w:right w:val="single" w:sz="4" w:space="0" w:color="auto"/>
            </w:tcBorders>
          </w:tcPr>
          <w:p w14:paraId="036B8320"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Оборонный бюджет:</w:t>
            </w:r>
          </w:p>
        </w:tc>
        <w:tc>
          <w:tcPr>
            <w:tcW w:w="1307" w:type="dxa"/>
            <w:tcBorders>
              <w:top w:val="single" w:sz="4" w:space="0" w:color="auto"/>
              <w:left w:val="single" w:sz="4" w:space="0" w:color="auto"/>
              <w:bottom w:val="single" w:sz="4" w:space="0" w:color="auto"/>
              <w:right w:val="single" w:sz="4" w:space="0" w:color="auto"/>
            </w:tcBorders>
          </w:tcPr>
          <w:p w14:paraId="4E92041E"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52B4D428"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7E3BD386"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582EC971"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15F2E75E"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22A2C988"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r>
      <w:tr w:rsidR="00A259BD" w:rsidRPr="00A259BD" w14:paraId="2587AFA5" w14:textId="77777777" w:rsidTr="00953551">
        <w:tc>
          <w:tcPr>
            <w:tcW w:w="1307" w:type="dxa"/>
            <w:tcBorders>
              <w:top w:val="single" w:sz="4" w:space="0" w:color="auto"/>
              <w:left w:val="single" w:sz="4" w:space="0" w:color="auto"/>
              <w:bottom w:val="single" w:sz="4" w:space="0" w:color="auto"/>
              <w:right w:val="single" w:sz="4" w:space="0" w:color="auto"/>
            </w:tcBorders>
          </w:tcPr>
          <w:p w14:paraId="390BE5FF"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 НКВМ</w:t>
            </w:r>
          </w:p>
        </w:tc>
        <w:tc>
          <w:tcPr>
            <w:tcW w:w="1307" w:type="dxa"/>
            <w:tcBorders>
              <w:top w:val="single" w:sz="4" w:space="0" w:color="auto"/>
              <w:left w:val="single" w:sz="4" w:space="0" w:color="auto"/>
              <w:bottom w:val="single" w:sz="4" w:space="0" w:color="auto"/>
              <w:right w:val="single" w:sz="4" w:space="0" w:color="auto"/>
            </w:tcBorders>
          </w:tcPr>
          <w:p w14:paraId="18832B4D"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743</w:t>
            </w:r>
          </w:p>
        </w:tc>
        <w:tc>
          <w:tcPr>
            <w:tcW w:w="1307" w:type="dxa"/>
            <w:tcBorders>
              <w:top w:val="single" w:sz="4" w:space="0" w:color="auto"/>
              <w:left w:val="single" w:sz="4" w:space="0" w:color="auto"/>
              <w:bottom w:val="single" w:sz="4" w:space="0" w:color="auto"/>
              <w:right w:val="single" w:sz="4" w:space="0" w:color="auto"/>
            </w:tcBorders>
          </w:tcPr>
          <w:p w14:paraId="7B20DD45"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850</w:t>
            </w:r>
          </w:p>
        </w:tc>
        <w:tc>
          <w:tcPr>
            <w:tcW w:w="1307" w:type="dxa"/>
            <w:tcBorders>
              <w:top w:val="single" w:sz="4" w:space="0" w:color="auto"/>
              <w:left w:val="single" w:sz="4" w:space="0" w:color="auto"/>
              <w:bottom w:val="single" w:sz="4" w:space="0" w:color="auto"/>
              <w:right w:val="single" w:sz="4" w:space="0" w:color="auto"/>
            </w:tcBorders>
          </w:tcPr>
          <w:p w14:paraId="36D59807"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1032</w:t>
            </w:r>
          </w:p>
        </w:tc>
        <w:tc>
          <w:tcPr>
            <w:tcW w:w="1307" w:type="dxa"/>
            <w:tcBorders>
              <w:top w:val="single" w:sz="4" w:space="0" w:color="auto"/>
              <w:left w:val="single" w:sz="4" w:space="0" w:color="auto"/>
              <w:bottom w:val="single" w:sz="4" w:space="0" w:color="auto"/>
              <w:right w:val="single" w:sz="4" w:space="0" w:color="auto"/>
            </w:tcBorders>
          </w:tcPr>
          <w:p w14:paraId="3B36170A"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1158</w:t>
            </w:r>
          </w:p>
        </w:tc>
        <w:tc>
          <w:tcPr>
            <w:tcW w:w="1307" w:type="dxa"/>
            <w:tcBorders>
              <w:top w:val="single" w:sz="4" w:space="0" w:color="auto"/>
              <w:left w:val="single" w:sz="4" w:space="0" w:color="auto"/>
              <w:bottom w:val="single" w:sz="4" w:space="0" w:color="auto"/>
              <w:right w:val="single" w:sz="4" w:space="0" w:color="auto"/>
            </w:tcBorders>
          </w:tcPr>
          <w:p w14:paraId="251EB3F3"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1352</w:t>
            </w:r>
          </w:p>
        </w:tc>
        <w:tc>
          <w:tcPr>
            <w:tcW w:w="1307" w:type="dxa"/>
            <w:tcBorders>
              <w:top w:val="single" w:sz="4" w:space="0" w:color="auto"/>
              <w:left w:val="single" w:sz="4" w:space="0" w:color="auto"/>
              <w:bottom w:val="single" w:sz="4" w:space="0" w:color="auto"/>
              <w:right w:val="single" w:sz="4" w:space="0" w:color="auto"/>
            </w:tcBorders>
          </w:tcPr>
          <w:p w14:paraId="25EA3889"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1425</w:t>
            </w:r>
          </w:p>
        </w:tc>
      </w:tr>
      <w:tr w:rsidR="00A259BD" w:rsidRPr="00A259BD" w14:paraId="4FFABC6C" w14:textId="77777777" w:rsidTr="00953551">
        <w:tc>
          <w:tcPr>
            <w:tcW w:w="1307" w:type="dxa"/>
            <w:tcBorders>
              <w:top w:val="single" w:sz="4" w:space="0" w:color="auto"/>
              <w:left w:val="single" w:sz="4" w:space="0" w:color="auto"/>
              <w:bottom w:val="single" w:sz="4" w:space="0" w:color="auto"/>
              <w:right w:val="single" w:sz="4" w:space="0" w:color="auto"/>
            </w:tcBorders>
          </w:tcPr>
          <w:p w14:paraId="616A188B"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 Сектора обороны Госплана</w:t>
            </w:r>
          </w:p>
        </w:tc>
        <w:tc>
          <w:tcPr>
            <w:tcW w:w="1307" w:type="dxa"/>
            <w:tcBorders>
              <w:top w:val="single" w:sz="4" w:space="0" w:color="auto"/>
              <w:left w:val="single" w:sz="4" w:space="0" w:color="auto"/>
              <w:bottom w:val="single" w:sz="4" w:space="0" w:color="auto"/>
              <w:right w:val="single" w:sz="4" w:space="0" w:color="auto"/>
            </w:tcBorders>
          </w:tcPr>
          <w:p w14:paraId="3E3C70E7"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743</w:t>
            </w:r>
          </w:p>
        </w:tc>
        <w:tc>
          <w:tcPr>
            <w:tcW w:w="1307" w:type="dxa"/>
            <w:tcBorders>
              <w:top w:val="single" w:sz="4" w:space="0" w:color="auto"/>
              <w:left w:val="single" w:sz="4" w:space="0" w:color="auto"/>
              <w:bottom w:val="single" w:sz="4" w:space="0" w:color="auto"/>
              <w:right w:val="single" w:sz="4" w:space="0" w:color="auto"/>
            </w:tcBorders>
          </w:tcPr>
          <w:p w14:paraId="2FC410AE"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850</w:t>
            </w:r>
          </w:p>
        </w:tc>
        <w:tc>
          <w:tcPr>
            <w:tcW w:w="1307" w:type="dxa"/>
            <w:tcBorders>
              <w:top w:val="single" w:sz="4" w:space="0" w:color="auto"/>
              <w:left w:val="single" w:sz="4" w:space="0" w:color="auto"/>
              <w:bottom w:val="single" w:sz="4" w:space="0" w:color="auto"/>
              <w:right w:val="single" w:sz="4" w:space="0" w:color="auto"/>
            </w:tcBorders>
          </w:tcPr>
          <w:p w14:paraId="0FC0B6FC"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w:t>
            </w:r>
          </w:p>
        </w:tc>
        <w:tc>
          <w:tcPr>
            <w:tcW w:w="1307" w:type="dxa"/>
            <w:tcBorders>
              <w:top w:val="single" w:sz="4" w:space="0" w:color="auto"/>
              <w:left w:val="single" w:sz="4" w:space="0" w:color="auto"/>
              <w:bottom w:val="single" w:sz="4" w:space="0" w:color="auto"/>
              <w:right w:val="single" w:sz="4" w:space="0" w:color="auto"/>
            </w:tcBorders>
          </w:tcPr>
          <w:p w14:paraId="6F3897DE"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950</w:t>
            </w:r>
          </w:p>
        </w:tc>
        <w:tc>
          <w:tcPr>
            <w:tcW w:w="1307" w:type="dxa"/>
            <w:tcBorders>
              <w:top w:val="single" w:sz="4" w:space="0" w:color="auto"/>
              <w:left w:val="single" w:sz="4" w:space="0" w:color="auto"/>
              <w:bottom w:val="single" w:sz="4" w:space="0" w:color="auto"/>
              <w:right w:val="single" w:sz="4" w:space="0" w:color="auto"/>
            </w:tcBorders>
          </w:tcPr>
          <w:p w14:paraId="692713EF"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1040</w:t>
            </w:r>
          </w:p>
        </w:tc>
        <w:tc>
          <w:tcPr>
            <w:tcW w:w="1307" w:type="dxa"/>
            <w:tcBorders>
              <w:top w:val="single" w:sz="4" w:space="0" w:color="auto"/>
              <w:left w:val="single" w:sz="4" w:space="0" w:color="auto"/>
              <w:bottom w:val="single" w:sz="4" w:space="0" w:color="auto"/>
              <w:right w:val="single" w:sz="4" w:space="0" w:color="auto"/>
            </w:tcBorders>
          </w:tcPr>
          <w:p w14:paraId="1B34B46F"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1140</w:t>
            </w:r>
          </w:p>
        </w:tc>
      </w:tr>
      <w:tr w:rsidR="00A259BD" w:rsidRPr="00A259BD" w14:paraId="116428D9" w14:textId="77777777" w:rsidTr="00953551">
        <w:tc>
          <w:tcPr>
            <w:tcW w:w="1307" w:type="dxa"/>
            <w:tcBorders>
              <w:top w:val="single" w:sz="4" w:space="0" w:color="auto"/>
              <w:left w:val="single" w:sz="4" w:space="0" w:color="auto"/>
              <w:bottom w:val="single" w:sz="4" w:space="0" w:color="auto"/>
              <w:right w:val="single" w:sz="4" w:space="0" w:color="auto"/>
            </w:tcBorders>
          </w:tcPr>
          <w:p w14:paraId="611B5A9E" w14:textId="77777777" w:rsidR="007568DB" w:rsidRPr="00A259BD" w:rsidRDefault="007568DB" w:rsidP="00953551">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Удельн</w:t>
            </w:r>
            <w:proofErr w:type="spellEnd"/>
            <w:r w:rsidRPr="00A259BD">
              <w:rPr>
                <w:rFonts w:ascii="Times New Roman" w:hAnsi="Times New Roman"/>
                <w:color w:val="000000" w:themeColor="text1"/>
                <w:sz w:val="16"/>
                <w:szCs w:val="16"/>
              </w:rPr>
              <w:t>. вес бюджета обороны в гос. бюджете (%)</w:t>
            </w:r>
          </w:p>
        </w:tc>
        <w:tc>
          <w:tcPr>
            <w:tcW w:w="1307" w:type="dxa"/>
            <w:tcBorders>
              <w:top w:val="single" w:sz="4" w:space="0" w:color="auto"/>
              <w:left w:val="single" w:sz="4" w:space="0" w:color="auto"/>
              <w:bottom w:val="single" w:sz="4" w:space="0" w:color="auto"/>
              <w:right w:val="single" w:sz="4" w:space="0" w:color="auto"/>
            </w:tcBorders>
          </w:tcPr>
          <w:p w14:paraId="71704200"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7AA0FBB3"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0CE4EC0E"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45408976"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57E64C6E"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390F0CA0"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r>
      <w:tr w:rsidR="00A259BD" w:rsidRPr="00A259BD" w14:paraId="71F0CFB6" w14:textId="77777777" w:rsidTr="00953551">
        <w:tc>
          <w:tcPr>
            <w:tcW w:w="1307" w:type="dxa"/>
            <w:tcBorders>
              <w:top w:val="single" w:sz="4" w:space="0" w:color="auto"/>
              <w:left w:val="single" w:sz="4" w:space="0" w:color="auto"/>
              <w:bottom w:val="single" w:sz="4" w:space="0" w:color="auto"/>
              <w:right w:val="single" w:sz="4" w:space="0" w:color="auto"/>
            </w:tcBorders>
          </w:tcPr>
          <w:p w14:paraId="4A7FD4B0"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 НКВМ</w:t>
            </w:r>
          </w:p>
        </w:tc>
        <w:tc>
          <w:tcPr>
            <w:tcW w:w="1307" w:type="dxa"/>
            <w:tcBorders>
              <w:top w:val="single" w:sz="4" w:space="0" w:color="auto"/>
              <w:left w:val="single" w:sz="4" w:space="0" w:color="auto"/>
              <w:bottom w:val="single" w:sz="4" w:space="0" w:color="auto"/>
              <w:right w:val="single" w:sz="4" w:space="0" w:color="auto"/>
            </w:tcBorders>
          </w:tcPr>
          <w:p w14:paraId="250F4532"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11,1</w:t>
            </w:r>
          </w:p>
        </w:tc>
        <w:tc>
          <w:tcPr>
            <w:tcW w:w="1307" w:type="dxa"/>
            <w:tcBorders>
              <w:top w:val="single" w:sz="4" w:space="0" w:color="auto"/>
              <w:left w:val="single" w:sz="4" w:space="0" w:color="auto"/>
              <w:bottom w:val="single" w:sz="4" w:space="0" w:color="auto"/>
              <w:right w:val="single" w:sz="4" w:space="0" w:color="auto"/>
            </w:tcBorders>
          </w:tcPr>
          <w:p w14:paraId="55DE6029"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10,9</w:t>
            </w:r>
          </w:p>
        </w:tc>
        <w:tc>
          <w:tcPr>
            <w:tcW w:w="1307" w:type="dxa"/>
            <w:tcBorders>
              <w:top w:val="single" w:sz="4" w:space="0" w:color="auto"/>
              <w:left w:val="single" w:sz="4" w:space="0" w:color="auto"/>
              <w:bottom w:val="single" w:sz="4" w:space="0" w:color="auto"/>
              <w:right w:val="single" w:sz="4" w:space="0" w:color="auto"/>
            </w:tcBorders>
          </w:tcPr>
          <w:p w14:paraId="4F1BEC4C"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11,5</w:t>
            </w:r>
          </w:p>
        </w:tc>
        <w:tc>
          <w:tcPr>
            <w:tcW w:w="1307" w:type="dxa"/>
            <w:tcBorders>
              <w:top w:val="single" w:sz="4" w:space="0" w:color="auto"/>
              <w:left w:val="single" w:sz="4" w:space="0" w:color="auto"/>
              <w:bottom w:val="single" w:sz="4" w:space="0" w:color="auto"/>
              <w:right w:val="single" w:sz="4" w:space="0" w:color="auto"/>
            </w:tcBorders>
          </w:tcPr>
          <w:p w14:paraId="7D44EC8F"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11,8</w:t>
            </w:r>
          </w:p>
        </w:tc>
        <w:tc>
          <w:tcPr>
            <w:tcW w:w="1307" w:type="dxa"/>
            <w:tcBorders>
              <w:top w:val="single" w:sz="4" w:space="0" w:color="auto"/>
              <w:left w:val="single" w:sz="4" w:space="0" w:color="auto"/>
              <w:bottom w:val="single" w:sz="4" w:space="0" w:color="auto"/>
              <w:right w:val="single" w:sz="4" w:space="0" w:color="auto"/>
            </w:tcBorders>
          </w:tcPr>
          <w:p w14:paraId="583418B1"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12,2</w:t>
            </w:r>
          </w:p>
        </w:tc>
        <w:tc>
          <w:tcPr>
            <w:tcW w:w="1307" w:type="dxa"/>
            <w:tcBorders>
              <w:top w:val="single" w:sz="4" w:space="0" w:color="auto"/>
              <w:left w:val="single" w:sz="4" w:space="0" w:color="auto"/>
              <w:bottom w:val="single" w:sz="4" w:space="0" w:color="auto"/>
              <w:right w:val="single" w:sz="4" w:space="0" w:color="auto"/>
            </w:tcBorders>
          </w:tcPr>
          <w:p w14:paraId="61A42A1F"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11,3</w:t>
            </w:r>
          </w:p>
        </w:tc>
      </w:tr>
      <w:tr w:rsidR="00A259BD" w:rsidRPr="00A259BD" w14:paraId="0B43F083" w14:textId="77777777" w:rsidTr="00953551">
        <w:tc>
          <w:tcPr>
            <w:tcW w:w="1307" w:type="dxa"/>
            <w:tcBorders>
              <w:top w:val="single" w:sz="4" w:space="0" w:color="auto"/>
              <w:left w:val="single" w:sz="4" w:space="0" w:color="auto"/>
              <w:bottom w:val="single" w:sz="4" w:space="0" w:color="auto"/>
              <w:right w:val="single" w:sz="4" w:space="0" w:color="auto"/>
            </w:tcBorders>
          </w:tcPr>
          <w:p w14:paraId="3E5D5AE6"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 Госплана</w:t>
            </w:r>
          </w:p>
        </w:tc>
        <w:tc>
          <w:tcPr>
            <w:tcW w:w="1307" w:type="dxa"/>
            <w:tcBorders>
              <w:top w:val="single" w:sz="4" w:space="0" w:color="auto"/>
              <w:left w:val="single" w:sz="4" w:space="0" w:color="auto"/>
              <w:bottom w:val="single" w:sz="4" w:space="0" w:color="auto"/>
              <w:right w:val="single" w:sz="4" w:space="0" w:color="auto"/>
            </w:tcBorders>
          </w:tcPr>
          <w:p w14:paraId="1E75050B"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11,1</w:t>
            </w:r>
          </w:p>
        </w:tc>
        <w:tc>
          <w:tcPr>
            <w:tcW w:w="1307" w:type="dxa"/>
            <w:tcBorders>
              <w:top w:val="single" w:sz="4" w:space="0" w:color="auto"/>
              <w:left w:val="single" w:sz="4" w:space="0" w:color="auto"/>
              <w:bottom w:val="single" w:sz="4" w:space="0" w:color="auto"/>
              <w:right w:val="single" w:sz="4" w:space="0" w:color="auto"/>
            </w:tcBorders>
          </w:tcPr>
          <w:p w14:paraId="0A4F4886"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10,9</w:t>
            </w:r>
          </w:p>
        </w:tc>
        <w:tc>
          <w:tcPr>
            <w:tcW w:w="1307" w:type="dxa"/>
            <w:tcBorders>
              <w:top w:val="single" w:sz="4" w:space="0" w:color="auto"/>
              <w:left w:val="single" w:sz="4" w:space="0" w:color="auto"/>
              <w:bottom w:val="single" w:sz="4" w:space="0" w:color="auto"/>
              <w:right w:val="single" w:sz="4" w:space="0" w:color="auto"/>
            </w:tcBorders>
          </w:tcPr>
          <w:p w14:paraId="1E9DE1C6"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w:t>
            </w:r>
          </w:p>
        </w:tc>
        <w:tc>
          <w:tcPr>
            <w:tcW w:w="1307" w:type="dxa"/>
            <w:tcBorders>
              <w:top w:val="single" w:sz="4" w:space="0" w:color="auto"/>
              <w:left w:val="single" w:sz="4" w:space="0" w:color="auto"/>
              <w:bottom w:val="single" w:sz="4" w:space="0" w:color="auto"/>
              <w:right w:val="single" w:sz="4" w:space="0" w:color="auto"/>
            </w:tcBorders>
          </w:tcPr>
          <w:p w14:paraId="29EB1909"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9,5</w:t>
            </w:r>
          </w:p>
        </w:tc>
        <w:tc>
          <w:tcPr>
            <w:tcW w:w="1307" w:type="dxa"/>
            <w:tcBorders>
              <w:top w:val="single" w:sz="4" w:space="0" w:color="auto"/>
              <w:left w:val="single" w:sz="4" w:space="0" w:color="auto"/>
              <w:bottom w:val="single" w:sz="4" w:space="0" w:color="auto"/>
              <w:right w:val="single" w:sz="4" w:space="0" w:color="auto"/>
            </w:tcBorders>
          </w:tcPr>
          <w:p w14:paraId="3B2C3946"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9,4</w:t>
            </w:r>
          </w:p>
        </w:tc>
        <w:tc>
          <w:tcPr>
            <w:tcW w:w="1307" w:type="dxa"/>
            <w:tcBorders>
              <w:top w:val="single" w:sz="4" w:space="0" w:color="auto"/>
              <w:left w:val="single" w:sz="4" w:space="0" w:color="auto"/>
              <w:bottom w:val="single" w:sz="4" w:space="0" w:color="auto"/>
              <w:right w:val="single" w:sz="4" w:space="0" w:color="auto"/>
            </w:tcBorders>
          </w:tcPr>
          <w:p w14:paraId="2A9E0574" w14:textId="77777777" w:rsidR="007568DB" w:rsidRPr="00A259BD" w:rsidRDefault="007568DB" w:rsidP="00953551">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w:t>
            </w:r>
          </w:p>
        </w:tc>
      </w:tr>
    </w:tbl>
    <w:p w14:paraId="486E7C00" w14:textId="77777777" w:rsidR="007568DB" w:rsidRPr="00A259BD" w:rsidRDefault="007568DB" w:rsidP="007568DB">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rPr>
        <w:t xml:space="preserve">Источник: </w:t>
      </w:r>
      <w:r w:rsidRPr="00A259BD">
        <w:rPr>
          <w:rFonts w:ascii="Times New Roman" w:hAnsi="Times New Roman"/>
          <w:color w:val="000000" w:themeColor="text1"/>
          <w:sz w:val="16"/>
          <w:szCs w:val="16"/>
          <w:shd w:val="clear" w:color="auto" w:fill="FFFFFF"/>
        </w:rPr>
        <w:t>РГАЭ. Ф.4371. Оп.91. Д.155. Л.223, 220. Динамика удельного веса бюджета обороны в народном хозяйстве.</w:t>
      </w:r>
    </w:p>
    <w:p w14:paraId="5197DE7F" w14:textId="77777777" w:rsidR="007568DB" w:rsidRPr="00A259BD" w:rsidRDefault="007568DB" w:rsidP="007568DB">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 пятилетний период разница составила 1 млрд. руб. Желанием военных было иметь постоянную долю в бюджете, отчисляемую на развитие вооружённых сил и оборонной промышленности. Проект же Госплана предусматривал постепенное сокращение доли обороны в госбюджете к концу пятилетнего периода. Не сумев решить противоречие во время заседания, Президиум Госплана поручил заместителю наркома обороны И. С. </w:t>
      </w:r>
      <w:proofErr w:type="spellStart"/>
      <w:r w:rsidRPr="00A259BD">
        <w:rPr>
          <w:rFonts w:ascii="Times New Roman" w:hAnsi="Times New Roman"/>
          <w:color w:val="000000" w:themeColor="text1"/>
          <w:sz w:val="16"/>
          <w:szCs w:val="16"/>
        </w:rPr>
        <w:t>Уншлихту</w:t>
      </w:r>
      <w:proofErr w:type="spellEnd"/>
      <w:r w:rsidRPr="00A259BD">
        <w:rPr>
          <w:rFonts w:ascii="Times New Roman" w:hAnsi="Times New Roman"/>
          <w:color w:val="000000" w:themeColor="text1"/>
          <w:sz w:val="16"/>
          <w:szCs w:val="16"/>
        </w:rPr>
        <w:t xml:space="preserve">, начальнику Штаба РККА Б. М. Шапошникову и представителям ВСНХ A. M. Постникову и </w:t>
      </w:r>
      <w:proofErr w:type="spellStart"/>
      <w:r w:rsidRPr="00A259BD">
        <w:rPr>
          <w:rFonts w:ascii="Times New Roman" w:hAnsi="Times New Roman"/>
          <w:color w:val="000000" w:themeColor="text1"/>
          <w:sz w:val="16"/>
          <w:szCs w:val="16"/>
        </w:rPr>
        <w:t>И</w:t>
      </w:r>
      <w:proofErr w:type="spellEnd"/>
      <w:r w:rsidRPr="00A259BD">
        <w:rPr>
          <w:rFonts w:ascii="Times New Roman" w:hAnsi="Times New Roman"/>
          <w:color w:val="000000" w:themeColor="text1"/>
          <w:sz w:val="16"/>
          <w:szCs w:val="16"/>
        </w:rPr>
        <w:t xml:space="preserve">. П. </w:t>
      </w:r>
      <w:proofErr w:type="spellStart"/>
      <w:r w:rsidRPr="00A259BD">
        <w:rPr>
          <w:rFonts w:ascii="Times New Roman" w:hAnsi="Times New Roman"/>
          <w:color w:val="000000" w:themeColor="text1"/>
          <w:sz w:val="16"/>
          <w:szCs w:val="16"/>
        </w:rPr>
        <w:t>Павлуновскому</w:t>
      </w:r>
      <w:proofErr w:type="spellEnd"/>
      <w:r w:rsidRPr="00A259BD">
        <w:rPr>
          <w:rFonts w:ascii="Times New Roman" w:hAnsi="Times New Roman"/>
          <w:color w:val="000000" w:themeColor="text1"/>
          <w:sz w:val="16"/>
          <w:szCs w:val="16"/>
        </w:rPr>
        <w:t xml:space="preserve"> создать комиссию по примирению двух бюджетных проектов. Проект резолюции комиссии затем должен был быть направлен Совету труда и обороны.</w:t>
      </w:r>
    </w:p>
    <w:p w14:paraId="4A3F8773" w14:textId="77777777" w:rsidR="007568DB" w:rsidRPr="00A259BD" w:rsidRDefault="007568DB" w:rsidP="007568DB">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rPr>
        <w:t xml:space="preserve">При этих обстоятельствах, запланированный общесоюзный бюджет пятилетки должен был составить 50095 млн. рублей. </w:t>
      </w:r>
      <w:proofErr w:type="spellStart"/>
      <w:r w:rsidRPr="00A259BD">
        <w:rPr>
          <w:rFonts w:ascii="Times New Roman" w:hAnsi="Times New Roman"/>
          <w:color w:val="000000" w:themeColor="text1"/>
          <w:sz w:val="16"/>
          <w:szCs w:val="16"/>
        </w:rPr>
        <w:t>Военпром</w:t>
      </w:r>
      <w:proofErr w:type="spellEnd"/>
      <w:r w:rsidRPr="00A259BD">
        <w:rPr>
          <w:rFonts w:ascii="Times New Roman" w:hAnsi="Times New Roman"/>
          <w:color w:val="000000" w:themeColor="text1"/>
          <w:sz w:val="16"/>
          <w:szCs w:val="16"/>
        </w:rPr>
        <w:t xml:space="preserve"> запросил 1190 млн. рублей, из которых 800 млн. должны были пойти на капитальное строительство, 350 млн. — на создание мобилизационных резервов и 40 млн. — на противовоздушную оборону и прочие оборонные мероприятия. Из 800 млн. рублей, запланированных на капитальное строительство 612 млн. получало Военно-промышленное управление (ВПУ ВСНХ) и 125 млн. предназначались для импорта</w:t>
      </w:r>
      <w:r w:rsidRPr="00A259BD">
        <w:rPr>
          <w:rFonts w:ascii="Times New Roman" w:hAnsi="Times New Roman"/>
          <w:color w:val="000000" w:themeColor="text1"/>
          <w:sz w:val="16"/>
          <w:szCs w:val="16"/>
          <w:shd w:val="clear" w:color="auto" w:fill="FFFFFF"/>
        </w:rPr>
        <w:t xml:space="preserve"> (9089).</w:t>
      </w:r>
    </w:p>
    <w:p w14:paraId="023C3467" w14:textId="77777777" w:rsidR="007568DB" w:rsidRPr="00A259BD" w:rsidRDefault="007568DB" w:rsidP="007568DB">
      <w:pPr>
        <w:spacing w:after="0" w:line="240" w:lineRule="auto"/>
        <w:jc w:val="both"/>
        <w:rPr>
          <w:rFonts w:ascii="Times New Roman" w:hAnsi="Times New Roman"/>
          <w:color w:val="000000" w:themeColor="text1"/>
          <w:sz w:val="16"/>
          <w:szCs w:val="16"/>
        </w:rPr>
      </w:pPr>
    </w:p>
    <w:p w14:paraId="125A46EF" w14:textId="77777777" w:rsidR="00D7603C" w:rsidRPr="006B74EB" w:rsidRDefault="00D7603C" w:rsidP="00D7603C">
      <w:pPr>
        <w:spacing w:after="0" w:line="240" w:lineRule="auto"/>
        <w:jc w:val="both"/>
        <w:rPr>
          <w:rFonts w:ascii="Times New Roman" w:hAnsi="Times New Roman"/>
          <w:color w:val="0070C0"/>
          <w:sz w:val="16"/>
          <w:szCs w:val="16"/>
        </w:rPr>
      </w:pPr>
      <w:r>
        <w:rPr>
          <w:rFonts w:ascii="Times New Roman" w:hAnsi="Times New Roman"/>
          <w:color w:val="0070C0"/>
          <w:sz w:val="16"/>
          <w:szCs w:val="16"/>
        </w:rPr>
        <w:t>29</w:t>
      </w:r>
      <w:r w:rsidRPr="006B74EB">
        <w:rPr>
          <w:rFonts w:ascii="Times New Roman" w:hAnsi="Times New Roman"/>
          <w:color w:val="0070C0"/>
          <w:sz w:val="16"/>
          <w:szCs w:val="16"/>
        </w:rPr>
        <w:t xml:space="preserve"> апреля</w:t>
      </w:r>
      <w:r>
        <w:rPr>
          <w:rFonts w:ascii="Times New Roman" w:hAnsi="Times New Roman"/>
          <w:color w:val="0070C0"/>
          <w:sz w:val="16"/>
          <w:szCs w:val="16"/>
        </w:rPr>
        <w:t xml:space="preserve"> 1929 г</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ХУ1 конференция ВКП/б/ утвердила пятилетний план</w:t>
      </w:r>
      <w:r>
        <w:rPr>
          <w:rFonts w:ascii="Times New Roman" w:hAnsi="Times New Roman"/>
          <w:color w:val="0070C0"/>
          <w:sz w:val="16"/>
          <w:szCs w:val="16"/>
        </w:rPr>
        <w:t xml:space="preserve"> развития </w:t>
      </w:r>
      <w:r w:rsidRPr="006B74EB">
        <w:rPr>
          <w:rFonts w:ascii="Times New Roman" w:hAnsi="Times New Roman"/>
          <w:color w:val="0070C0"/>
          <w:sz w:val="16"/>
          <w:szCs w:val="16"/>
        </w:rPr>
        <w:t>народного хозяйства, план индустриализации страны.</w:t>
      </w:r>
      <w:r>
        <w:rPr>
          <w:rFonts w:ascii="Times New Roman" w:hAnsi="Times New Roman"/>
          <w:color w:val="0070C0"/>
          <w:sz w:val="16"/>
          <w:szCs w:val="16"/>
        </w:rPr>
        <w:t xml:space="preserve"> </w:t>
      </w:r>
      <w:r w:rsidRPr="006B74EB">
        <w:rPr>
          <w:rFonts w:ascii="Times New Roman" w:hAnsi="Times New Roman"/>
          <w:color w:val="0070C0"/>
          <w:sz w:val="16"/>
          <w:szCs w:val="16"/>
        </w:rPr>
        <w:t>Деви</w:t>
      </w:r>
      <w:r>
        <w:rPr>
          <w:rFonts w:ascii="Times New Roman" w:hAnsi="Times New Roman"/>
          <w:color w:val="0070C0"/>
          <w:sz w:val="16"/>
          <w:szCs w:val="16"/>
        </w:rPr>
        <w:t xml:space="preserve">зом первой пятилетка стало «догнать и перегнать в </w:t>
      </w:r>
      <w:proofErr w:type="spellStart"/>
      <w:r>
        <w:rPr>
          <w:rFonts w:ascii="Times New Roman" w:hAnsi="Times New Roman"/>
          <w:color w:val="0070C0"/>
          <w:sz w:val="16"/>
          <w:szCs w:val="16"/>
        </w:rPr>
        <w:t>технико</w:t>
      </w:r>
      <w:proofErr w:type="spellEnd"/>
      <w:r>
        <w:rPr>
          <w:rFonts w:ascii="Times New Roman" w:hAnsi="Times New Roman"/>
          <w:color w:val="0070C0"/>
          <w:sz w:val="16"/>
          <w:szCs w:val="16"/>
        </w:rPr>
        <w:t>=экономичес</w:t>
      </w:r>
      <w:r w:rsidRPr="006B74EB">
        <w:rPr>
          <w:rFonts w:ascii="Times New Roman" w:hAnsi="Times New Roman"/>
          <w:color w:val="0070C0"/>
          <w:sz w:val="16"/>
          <w:szCs w:val="16"/>
        </w:rPr>
        <w:t>ком отношении передовые капиталистические страны</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Под этим </w:t>
      </w:r>
      <w:r>
        <w:rPr>
          <w:rFonts w:ascii="Times New Roman" w:hAnsi="Times New Roman"/>
          <w:color w:val="0070C0"/>
          <w:sz w:val="16"/>
          <w:szCs w:val="16"/>
        </w:rPr>
        <w:t xml:space="preserve">девизом </w:t>
      </w:r>
      <w:r w:rsidRPr="006B74EB">
        <w:rPr>
          <w:rFonts w:ascii="Times New Roman" w:hAnsi="Times New Roman"/>
          <w:color w:val="0070C0"/>
          <w:sz w:val="16"/>
          <w:szCs w:val="16"/>
        </w:rPr>
        <w:t xml:space="preserve">стала развиваться </w:t>
      </w:r>
      <w:r>
        <w:rPr>
          <w:rFonts w:ascii="Times New Roman" w:hAnsi="Times New Roman"/>
          <w:color w:val="0070C0"/>
          <w:sz w:val="16"/>
          <w:szCs w:val="16"/>
        </w:rPr>
        <w:t>и</w:t>
      </w:r>
      <w:r w:rsidRPr="006B74EB">
        <w:rPr>
          <w:rFonts w:ascii="Times New Roman" w:hAnsi="Times New Roman"/>
          <w:color w:val="0070C0"/>
          <w:sz w:val="16"/>
          <w:szCs w:val="16"/>
        </w:rPr>
        <w:t xml:space="preserve"> авиация.</w:t>
      </w:r>
    </w:p>
    <w:p w14:paraId="2C5FFEF7" w14:textId="78247C57" w:rsidR="00D7603C" w:rsidRDefault="00D7603C" w:rsidP="00D7603C">
      <w:pPr>
        <w:spacing w:after="0" w:line="240" w:lineRule="auto"/>
        <w:jc w:val="both"/>
        <w:rPr>
          <w:rFonts w:ascii="Times New Roman" w:hAnsi="Times New Roman"/>
          <w:color w:val="0070C0"/>
          <w:sz w:val="16"/>
          <w:szCs w:val="16"/>
        </w:rPr>
      </w:pPr>
      <w:r>
        <w:rPr>
          <w:rFonts w:ascii="Times New Roman" w:hAnsi="Times New Roman"/>
          <w:color w:val="0070C0"/>
          <w:sz w:val="16"/>
          <w:szCs w:val="16"/>
        </w:rPr>
        <w:t>/«КПСС</w:t>
      </w:r>
      <w:r w:rsidRPr="006B74EB">
        <w:rPr>
          <w:rFonts w:ascii="Times New Roman" w:hAnsi="Times New Roman"/>
          <w:color w:val="0070C0"/>
          <w:sz w:val="16"/>
          <w:szCs w:val="16"/>
        </w:rPr>
        <w:t xml:space="preserve"> в резолюциях</w:t>
      </w:r>
      <w:r>
        <w:rPr>
          <w:rFonts w:ascii="Times New Roman" w:hAnsi="Times New Roman"/>
          <w:color w:val="0070C0"/>
          <w:sz w:val="16"/>
          <w:szCs w:val="16"/>
        </w:rPr>
        <w:t>»</w:t>
      </w:r>
      <w:r w:rsidRPr="006B74EB">
        <w:rPr>
          <w:rFonts w:ascii="Times New Roman" w:hAnsi="Times New Roman"/>
          <w:color w:val="0070C0"/>
          <w:sz w:val="16"/>
          <w:szCs w:val="16"/>
        </w:rPr>
        <w:t>, часть 2/</w:t>
      </w:r>
      <w:r>
        <w:rPr>
          <w:rFonts w:ascii="Times New Roman" w:hAnsi="Times New Roman"/>
          <w:color w:val="0070C0"/>
          <w:sz w:val="16"/>
          <w:szCs w:val="16"/>
        </w:rPr>
        <w:t xml:space="preserve"> (23370).</w:t>
      </w:r>
    </w:p>
    <w:p w14:paraId="79C50FC9" w14:textId="77777777" w:rsidR="00D7603C" w:rsidRDefault="00D7603C" w:rsidP="00D7603C">
      <w:pPr>
        <w:spacing w:after="0" w:line="240" w:lineRule="auto"/>
        <w:jc w:val="both"/>
        <w:rPr>
          <w:rFonts w:ascii="Times New Roman" w:hAnsi="Times New Roman"/>
          <w:color w:val="0070C0"/>
          <w:sz w:val="16"/>
          <w:szCs w:val="16"/>
        </w:rPr>
      </w:pPr>
    </w:p>
    <w:p w14:paraId="7E0CFE0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53798A5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BBF5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апреля 1929 16 конференция ВКП(б) обратилась к рабочему классу о развертывании соцсоревнования (3960, 167).</w:t>
      </w:r>
    </w:p>
    <w:p w14:paraId="5DB30E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39031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B38054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3088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апреля 1929 в АГОС ЦАГИ закончилась постройка АНТ-9. Строился в АГОС. руководителями бригад были: В.М.П. (крыло), А.А.А (фюзеляж), Путилов (шасси), </w:t>
      </w:r>
      <w:proofErr w:type="spellStart"/>
      <w:r w:rsidRPr="00A259BD">
        <w:rPr>
          <w:rFonts w:ascii="Times New Roman" w:hAnsi="Times New Roman"/>
          <w:color w:val="000000" w:themeColor="text1"/>
          <w:sz w:val="16"/>
          <w:szCs w:val="16"/>
        </w:rPr>
        <w:t>Погосский</w:t>
      </w:r>
      <w:proofErr w:type="spellEnd"/>
      <w:r w:rsidRPr="00A259BD">
        <w:rPr>
          <w:rFonts w:ascii="Times New Roman" w:hAnsi="Times New Roman"/>
          <w:color w:val="000000" w:themeColor="text1"/>
          <w:sz w:val="16"/>
          <w:szCs w:val="16"/>
        </w:rPr>
        <w:t xml:space="preserve"> (силовая установка) и др. (438,593).</w:t>
      </w:r>
    </w:p>
    <w:p w14:paraId="540010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177AD83" w14:textId="77777777" w:rsidR="00F402B5" w:rsidRPr="00A259BD" w:rsidRDefault="00F402B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апреля в 1929 году на день раньше срока, опытная машина «ПС-9» («АНТ-9») была готова. По внешнему виду самолет не уступал продукции именитых заграничных фирм. В салоне располагались плетеные камышовые кресла - этакий дачный интерьер. Их сделал один подмосковный заводик - получилось не хуже, чем у немцев. С вентиляцией поступили просто: все окна пассажирской кабины открывались, как в трамвае. Отопления на самолете не было. 1 мая 1929 года опытный «АНТ-9» уже стоял посреди Красной площади, демонстрируя новый успех советского самолетостроения. Теперь предстояло поднять машину в воздух. На Центральный аэродром самолет перевозили ночью. Огромная телега, запряженная битюгами, медленно двигалась к Ходынке, сопровождавшие шли по сторонам. Когда на подъезде к аэродрому процессия стала пересекать трамвайные пути, из утреннего тумана вдруг выскочил трамвай. Девушка-машинист не успела затормозить, и вагон врезался в самолет. Удар консолью напрочь снес крышу трамвая, крыло же практически не пострадало. Сообщившие об этом газеты захлебывались от восторга: вот какие прочные самолеты строит Туполев!</w:t>
      </w:r>
    </w:p>
    <w:p w14:paraId="0748472C" w14:textId="77777777" w:rsidR="00F402B5" w:rsidRPr="00A259BD" w:rsidRDefault="00F402B5" w:rsidP="009236E3">
      <w:pPr>
        <w:spacing w:after="0" w:line="240" w:lineRule="auto"/>
        <w:jc w:val="both"/>
        <w:rPr>
          <w:rFonts w:ascii="Times New Roman" w:hAnsi="Times New Roman"/>
          <w:color w:val="000000" w:themeColor="text1"/>
          <w:sz w:val="16"/>
          <w:szCs w:val="16"/>
        </w:rPr>
      </w:pPr>
    </w:p>
    <w:p w14:paraId="470E5B8F" w14:textId="77777777" w:rsidR="007C45C6" w:rsidRPr="006B74EB" w:rsidRDefault="007C45C6" w:rsidP="007C45C6">
      <w:pPr>
        <w:spacing w:after="0" w:line="240" w:lineRule="auto"/>
        <w:jc w:val="both"/>
        <w:rPr>
          <w:rFonts w:ascii="Times New Roman" w:hAnsi="Times New Roman"/>
          <w:color w:val="0070C0"/>
          <w:sz w:val="16"/>
          <w:szCs w:val="16"/>
        </w:rPr>
      </w:pPr>
      <w:r>
        <w:rPr>
          <w:rFonts w:ascii="Times New Roman" w:hAnsi="Times New Roman"/>
          <w:color w:val="0070C0"/>
          <w:sz w:val="16"/>
          <w:szCs w:val="16"/>
        </w:rPr>
        <w:t>30 апреля 1929 г. з</w:t>
      </w:r>
      <w:r w:rsidRPr="006B74EB">
        <w:rPr>
          <w:rFonts w:ascii="Times New Roman" w:hAnsi="Times New Roman"/>
          <w:color w:val="0070C0"/>
          <w:sz w:val="16"/>
          <w:szCs w:val="16"/>
        </w:rPr>
        <w:t xml:space="preserve">акончен постройкой первый советский многомоторный </w:t>
      </w:r>
      <w:r>
        <w:rPr>
          <w:rFonts w:ascii="Times New Roman" w:hAnsi="Times New Roman"/>
          <w:color w:val="0070C0"/>
          <w:sz w:val="16"/>
          <w:szCs w:val="16"/>
        </w:rPr>
        <w:t>пассажир</w:t>
      </w:r>
      <w:r w:rsidRPr="006B74EB">
        <w:rPr>
          <w:rFonts w:ascii="Times New Roman" w:hAnsi="Times New Roman"/>
          <w:color w:val="0070C0"/>
          <w:sz w:val="16"/>
          <w:szCs w:val="16"/>
        </w:rPr>
        <w:t xml:space="preserve">ский самолет АНТ-9 конструкции ОКБ </w:t>
      </w:r>
      <w:proofErr w:type="spellStart"/>
      <w:r w:rsidRPr="006B74EB">
        <w:rPr>
          <w:rFonts w:ascii="Times New Roman" w:hAnsi="Times New Roman"/>
          <w:color w:val="0070C0"/>
          <w:sz w:val="16"/>
          <w:szCs w:val="16"/>
        </w:rPr>
        <w:t>А.Н.Туполева</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О</w:t>
      </w:r>
      <w:r>
        <w:rPr>
          <w:rFonts w:ascii="Times New Roman" w:hAnsi="Times New Roman"/>
          <w:color w:val="0070C0"/>
          <w:sz w:val="16"/>
          <w:szCs w:val="16"/>
        </w:rPr>
        <w:t>н</w:t>
      </w:r>
      <w:r w:rsidRPr="006B74EB">
        <w:rPr>
          <w:rFonts w:ascii="Times New Roman" w:hAnsi="Times New Roman"/>
          <w:color w:val="0070C0"/>
          <w:sz w:val="16"/>
          <w:szCs w:val="16"/>
        </w:rPr>
        <w:t xml:space="preserve"> </w:t>
      </w:r>
      <w:r>
        <w:rPr>
          <w:rFonts w:ascii="Times New Roman" w:hAnsi="Times New Roman"/>
          <w:color w:val="0070C0"/>
          <w:sz w:val="16"/>
          <w:szCs w:val="16"/>
        </w:rPr>
        <w:t>с</w:t>
      </w:r>
      <w:r w:rsidRPr="006B74EB">
        <w:rPr>
          <w:rFonts w:ascii="Times New Roman" w:hAnsi="Times New Roman"/>
          <w:color w:val="0070C0"/>
          <w:sz w:val="16"/>
          <w:szCs w:val="16"/>
        </w:rPr>
        <w:t>тро</w:t>
      </w:r>
      <w:r>
        <w:rPr>
          <w:rFonts w:ascii="Times New Roman" w:hAnsi="Times New Roman"/>
          <w:color w:val="0070C0"/>
          <w:sz w:val="16"/>
          <w:szCs w:val="16"/>
        </w:rPr>
        <w:t>ился на</w:t>
      </w:r>
      <w:r w:rsidRPr="006B74EB">
        <w:rPr>
          <w:rFonts w:ascii="Times New Roman" w:hAnsi="Times New Roman"/>
          <w:color w:val="0070C0"/>
          <w:sz w:val="16"/>
          <w:szCs w:val="16"/>
        </w:rPr>
        <w:t xml:space="preserve"> заводе опытных конструкций ЦАГ</w:t>
      </w:r>
      <w:r>
        <w:rPr>
          <w:rFonts w:ascii="Times New Roman" w:hAnsi="Times New Roman"/>
          <w:color w:val="0070C0"/>
          <w:sz w:val="16"/>
          <w:szCs w:val="16"/>
        </w:rPr>
        <w:t>И</w:t>
      </w:r>
      <w:r w:rsidRPr="006B74EB">
        <w:rPr>
          <w:rFonts w:ascii="Times New Roman" w:hAnsi="Times New Roman"/>
          <w:color w:val="0070C0"/>
          <w:sz w:val="16"/>
          <w:szCs w:val="16"/>
        </w:rPr>
        <w:t xml:space="preserve"> </w:t>
      </w:r>
      <w:r>
        <w:rPr>
          <w:rFonts w:ascii="Times New Roman" w:hAnsi="Times New Roman"/>
          <w:color w:val="0070C0"/>
          <w:sz w:val="16"/>
          <w:szCs w:val="16"/>
        </w:rPr>
        <w:t>и</w:t>
      </w:r>
      <w:r w:rsidRPr="006B74EB">
        <w:rPr>
          <w:rFonts w:ascii="Times New Roman" w:hAnsi="Times New Roman"/>
          <w:color w:val="0070C0"/>
          <w:sz w:val="16"/>
          <w:szCs w:val="16"/>
        </w:rPr>
        <w:t xml:space="preserve"> потому известей еще </w:t>
      </w:r>
      <w:r>
        <w:rPr>
          <w:rFonts w:ascii="Times New Roman" w:hAnsi="Times New Roman"/>
          <w:color w:val="0070C0"/>
          <w:sz w:val="16"/>
          <w:szCs w:val="16"/>
        </w:rPr>
        <w:t>ЦАГИ</w:t>
      </w:r>
      <w:r w:rsidRPr="006B74EB">
        <w:rPr>
          <w:rFonts w:ascii="Times New Roman" w:hAnsi="Times New Roman"/>
          <w:color w:val="0070C0"/>
          <w:sz w:val="16"/>
          <w:szCs w:val="16"/>
        </w:rPr>
        <w:t>-9.</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В его постройке принимали участие </w:t>
      </w:r>
      <w:r>
        <w:rPr>
          <w:rFonts w:ascii="Times New Roman" w:hAnsi="Times New Roman"/>
          <w:color w:val="0070C0"/>
          <w:sz w:val="16"/>
          <w:szCs w:val="16"/>
        </w:rPr>
        <w:t>П</w:t>
      </w:r>
      <w:r w:rsidRPr="006B74EB">
        <w:rPr>
          <w:rFonts w:ascii="Times New Roman" w:hAnsi="Times New Roman"/>
          <w:color w:val="0070C0"/>
          <w:sz w:val="16"/>
          <w:szCs w:val="16"/>
        </w:rPr>
        <w:t xml:space="preserve">етляков /крыло/, </w:t>
      </w:r>
      <w:proofErr w:type="spellStart"/>
      <w:r>
        <w:rPr>
          <w:rFonts w:ascii="Times New Roman" w:hAnsi="Times New Roman"/>
          <w:color w:val="0070C0"/>
          <w:sz w:val="16"/>
          <w:szCs w:val="16"/>
        </w:rPr>
        <w:t>Арх</w:t>
      </w:r>
      <w:r w:rsidRPr="006B74EB">
        <w:rPr>
          <w:rFonts w:ascii="Times New Roman" w:hAnsi="Times New Roman"/>
          <w:color w:val="0070C0"/>
          <w:sz w:val="16"/>
          <w:szCs w:val="16"/>
        </w:rPr>
        <w:t>вгельск</w:t>
      </w:r>
      <w:r>
        <w:rPr>
          <w:rFonts w:ascii="Times New Roman" w:hAnsi="Times New Roman"/>
          <w:color w:val="0070C0"/>
          <w:sz w:val="16"/>
          <w:szCs w:val="16"/>
        </w:rPr>
        <w:t>и</w:t>
      </w:r>
      <w:r w:rsidRPr="006B74EB">
        <w:rPr>
          <w:rFonts w:ascii="Times New Roman" w:hAnsi="Times New Roman"/>
          <w:color w:val="0070C0"/>
          <w:sz w:val="16"/>
          <w:szCs w:val="16"/>
        </w:rPr>
        <w:t>й</w:t>
      </w:r>
      <w:proofErr w:type="spellEnd"/>
      <w:r w:rsidRPr="006B74EB">
        <w:rPr>
          <w:rFonts w:ascii="Times New Roman" w:hAnsi="Times New Roman"/>
          <w:color w:val="0070C0"/>
          <w:sz w:val="16"/>
          <w:szCs w:val="16"/>
        </w:rPr>
        <w:t xml:space="preserve"> /фюзеляж/,</w:t>
      </w:r>
      <w:r>
        <w:rPr>
          <w:rFonts w:ascii="Times New Roman" w:hAnsi="Times New Roman"/>
          <w:color w:val="0070C0"/>
          <w:sz w:val="16"/>
          <w:szCs w:val="16"/>
        </w:rPr>
        <w:t xml:space="preserve"> </w:t>
      </w:r>
      <w:r w:rsidRPr="006B74EB">
        <w:rPr>
          <w:rFonts w:ascii="Times New Roman" w:hAnsi="Times New Roman"/>
          <w:color w:val="0070C0"/>
          <w:sz w:val="16"/>
          <w:szCs w:val="16"/>
        </w:rPr>
        <w:t>Путилов /</w:t>
      </w:r>
      <w:r>
        <w:rPr>
          <w:rFonts w:ascii="Times New Roman" w:hAnsi="Times New Roman"/>
          <w:color w:val="0070C0"/>
          <w:sz w:val="16"/>
          <w:szCs w:val="16"/>
        </w:rPr>
        <w:t>шасси</w:t>
      </w:r>
      <w:r w:rsidRPr="006B74EB">
        <w:rPr>
          <w:rFonts w:ascii="Times New Roman" w:hAnsi="Times New Roman"/>
          <w:color w:val="0070C0"/>
          <w:sz w:val="16"/>
          <w:szCs w:val="16"/>
        </w:rPr>
        <w:t>/,</w:t>
      </w:r>
      <w:r>
        <w:rPr>
          <w:rFonts w:ascii="Times New Roman" w:hAnsi="Times New Roman"/>
          <w:color w:val="0070C0"/>
          <w:sz w:val="16"/>
          <w:szCs w:val="16"/>
        </w:rPr>
        <w:t xml:space="preserve"> </w:t>
      </w:r>
      <w:proofErr w:type="spellStart"/>
      <w:r w:rsidRPr="006B74EB">
        <w:rPr>
          <w:rFonts w:ascii="Times New Roman" w:hAnsi="Times New Roman"/>
          <w:color w:val="0070C0"/>
          <w:sz w:val="16"/>
          <w:szCs w:val="16"/>
        </w:rPr>
        <w:t>ПогооскиЙ</w:t>
      </w:r>
      <w:proofErr w:type="spellEnd"/>
      <w:r w:rsidRPr="006B74EB">
        <w:rPr>
          <w:rFonts w:ascii="Times New Roman" w:hAnsi="Times New Roman"/>
          <w:color w:val="0070C0"/>
          <w:sz w:val="16"/>
          <w:szCs w:val="16"/>
        </w:rPr>
        <w:t xml:space="preserve"> /силовая уста</w:t>
      </w:r>
      <w:r>
        <w:rPr>
          <w:rFonts w:ascii="Times New Roman" w:hAnsi="Times New Roman"/>
          <w:color w:val="0070C0"/>
          <w:sz w:val="16"/>
          <w:szCs w:val="16"/>
        </w:rPr>
        <w:t>новка</w:t>
      </w:r>
      <w:r w:rsidRPr="006B74EB">
        <w:rPr>
          <w:rFonts w:ascii="Times New Roman" w:hAnsi="Times New Roman"/>
          <w:color w:val="0070C0"/>
          <w:sz w:val="16"/>
          <w:szCs w:val="16"/>
        </w:rPr>
        <w:t>/</w:t>
      </w:r>
      <w:r>
        <w:rPr>
          <w:rFonts w:ascii="Times New Roman" w:hAnsi="Times New Roman"/>
          <w:color w:val="0070C0"/>
          <w:sz w:val="16"/>
          <w:szCs w:val="16"/>
        </w:rPr>
        <w:t xml:space="preserve"> и</w:t>
      </w:r>
      <w:r w:rsidRPr="006B74EB">
        <w:rPr>
          <w:rFonts w:ascii="Times New Roman" w:hAnsi="Times New Roman"/>
          <w:color w:val="0070C0"/>
          <w:sz w:val="16"/>
          <w:szCs w:val="16"/>
        </w:rPr>
        <w:t xml:space="preserve"> др. АНТ-9 - </w:t>
      </w:r>
      <w:r>
        <w:rPr>
          <w:rFonts w:ascii="Times New Roman" w:hAnsi="Times New Roman"/>
          <w:color w:val="0070C0"/>
          <w:sz w:val="16"/>
          <w:szCs w:val="16"/>
        </w:rPr>
        <w:t>с</w:t>
      </w:r>
      <w:r w:rsidRPr="006B74EB">
        <w:rPr>
          <w:rFonts w:ascii="Times New Roman" w:hAnsi="Times New Roman"/>
          <w:color w:val="0070C0"/>
          <w:sz w:val="16"/>
          <w:szCs w:val="16"/>
        </w:rPr>
        <w:t>вобод</w:t>
      </w:r>
      <w:r>
        <w:rPr>
          <w:rFonts w:ascii="Times New Roman" w:hAnsi="Times New Roman"/>
          <w:color w:val="0070C0"/>
          <w:sz w:val="16"/>
          <w:szCs w:val="16"/>
        </w:rPr>
        <w:t>н</w:t>
      </w:r>
      <w:r w:rsidRPr="006B74EB">
        <w:rPr>
          <w:rFonts w:ascii="Times New Roman" w:hAnsi="Times New Roman"/>
          <w:color w:val="0070C0"/>
          <w:sz w:val="16"/>
          <w:szCs w:val="16"/>
        </w:rPr>
        <w:t>онесущ</w:t>
      </w:r>
      <w:r>
        <w:rPr>
          <w:rFonts w:ascii="Times New Roman" w:hAnsi="Times New Roman"/>
          <w:color w:val="0070C0"/>
          <w:sz w:val="16"/>
          <w:szCs w:val="16"/>
        </w:rPr>
        <w:t>и</w:t>
      </w:r>
      <w:r w:rsidRPr="006B74EB">
        <w:rPr>
          <w:rFonts w:ascii="Times New Roman" w:hAnsi="Times New Roman"/>
          <w:color w:val="0070C0"/>
          <w:sz w:val="16"/>
          <w:szCs w:val="16"/>
        </w:rPr>
        <w:t>й цельнометаллический в</w:t>
      </w:r>
      <w:r>
        <w:rPr>
          <w:rFonts w:ascii="Times New Roman" w:hAnsi="Times New Roman"/>
          <w:color w:val="0070C0"/>
          <w:sz w:val="16"/>
          <w:szCs w:val="16"/>
        </w:rPr>
        <w:t>ы</w:t>
      </w:r>
      <w:r w:rsidRPr="006B74EB">
        <w:rPr>
          <w:rFonts w:ascii="Times New Roman" w:hAnsi="Times New Roman"/>
          <w:color w:val="0070C0"/>
          <w:sz w:val="16"/>
          <w:szCs w:val="16"/>
        </w:rPr>
        <w:t>соко</w:t>
      </w:r>
      <w:r>
        <w:rPr>
          <w:rFonts w:ascii="Times New Roman" w:hAnsi="Times New Roman"/>
          <w:color w:val="0070C0"/>
          <w:sz w:val="16"/>
          <w:szCs w:val="16"/>
        </w:rPr>
        <w:t>план н</w:t>
      </w:r>
      <w:r w:rsidRPr="006B74EB">
        <w:rPr>
          <w:rFonts w:ascii="Times New Roman" w:hAnsi="Times New Roman"/>
          <w:color w:val="0070C0"/>
          <w:sz w:val="16"/>
          <w:szCs w:val="16"/>
        </w:rPr>
        <w:t>а 9 пассажирских мест.</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Первый, экземпляр был выпущен с тремя </w:t>
      </w:r>
      <w:r>
        <w:rPr>
          <w:rFonts w:ascii="Times New Roman" w:hAnsi="Times New Roman"/>
          <w:color w:val="0070C0"/>
          <w:sz w:val="16"/>
          <w:szCs w:val="16"/>
        </w:rPr>
        <w:t>ино</w:t>
      </w:r>
      <w:r w:rsidRPr="006B74EB">
        <w:rPr>
          <w:rFonts w:ascii="Times New Roman" w:hAnsi="Times New Roman"/>
          <w:color w:val="0070C0"/>
          <w:sz w:val="16"/>
          <w:szCs w:val="16"/>
        </w:rPr>
        <w:t xml:space="preserve">странными моторами </w:t>
      </w:r>
      <w:r>
        <w:rPr>
          <w:rFonts w:ascii="Times New Roman" w:hAnsi="Times New Roman"/>
          <w:color w:val="0070C0"/>
          <w:sz w:val="16"/>
          <w:szCs w:val="16"/>
        </w:rPr>
        <w:t>«</w:t>
      </w:r>
      <w:r w:rsidRPr="006B74EB">
        <w:rPr>
          <w:rFonts w:ascii="Times New Roman" w:hAnsi="Times New Roman"/>
          <w:color w:val="0070C0"/>
          <w:sz w:val="16"/>
          <w:szCs w:val="16"/>
        </w:rPr>
        <w:t>Титан</w:t>
      </w:r>
      <w:r>
        <w:rPr>
          <w:rFonts w:ascii="Times New Roman" w:hAnsi="Times New Roman"/>
          <w:color w:val="0070C0"/>
          <w:sz w:val="16"/>
          <w:szCs w:val="16"/>
        </w:rPr>
        <w:t>»</w:t>
      </w:r>
      <w:r w:rsidRPr="006B74EB">
        <w:rPr>
          <w:rFonts w:ascii="Times New Roman" w:hAnsi="Times New Roman"/>
          <w:color w:val="0070C0"/>
          <w:sz w:val="16"/>
          <w:szCs w:val="16"/>
        </w:rPr>
        <w:t xml:space="preserve"> по 230 л.</w:t>
      </w:r>
      <w:r>
        <w:rPr>
          <w:rFonts w:ascii="Times New Roman" w:hAnsi="Times New Roman"/>
          <w:color w:val="0070C0"/>
          <w:sz w:val="16"/>
          <w:szCs w:val="16"/>
        </w:rPr>
        <w:t>с</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В день 1-е мая самолет</w:t>
      </w:r>
      <w:r>
        <w:rPr>
          <w:rFonts w:ascii="Times New Roman" w:hAnsi="Times New Roman"/>
          <w:color w:val="0070C0"/>
          <w:sz w:val="16"/>
          <w:szCs w:val="16"/>
        </w:rPr>
        <w:t xml:space="preserve"> был </w:t>
      </w:r>
      <w:r w:rsidRPr="006B74EB">
        <w:rPr>
          <w:rFonts w:ascii="Times New Roman" w:hAnsi="Times New Roman"/>
          <w:color w:val="0070C0"/>
          <w:sz w:val="16"/>
          <w:szCs w:val="16"/>
        </w:rPr>
        <w:t>выставлен на Красной площади в Москве для всеобщего обозре</w:t>
      </w:r>
      <w:r>
        <w:rPr>
          <w:rFonts w:ascii="Times New Roman" w:hAnsi="Times New Roman"/>
          <w:color w:val="0070C0"/>
          <w:sz w:val="16"/>
          <w:szCs w:val="16"/>
        </w:rPr>
        <w:t xml:space="preserve">ния, </w:t>
      </w:r>
      <w:r w:rsidRPr="006B74EB">
        <w:rPr>
          <w:rFonts w:ascii="Times New Roman" w:hAnsi="Times New Roman"/>
          <w:color w:val="0070C0"/>
          <w:sz w:val="16"/>
          <w:szCs w:val="16"/>
        </w:rPr>
        <w:t>а затем начались испытательные полет</w:t>
      </w:r>
      <w:r>
        <w:rPr>
          <w:rFonts w:ascii="Times New Roman" w:hAnsi="Times New Roman"/>
          <w:color w:val="0070C0"/>
          <w:sz w:val="16"/>
          <w:szCs w:val="16"/>
        </w:rPr>
        <w:t>ы</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В 1932 году был пере</w:t>
      </w:r>
      <w:r>
        <w:rPr>
          <w:rFonts w:ascii="Times New Roman" w:hAnsi="Times New Roman"/>
          <w:color w:val="0070C0"/>
          <w:sz w:val="16"/>
          <w:szCs w:val="16"/>
        </w:rPr>
        <w:t xml:space="preserve">делан </w:t>
      </w:r>
      <w:r w:rsidRPr="006B74EB">
        <w:rPr>
          <w:rFonts w:ascii="Times New Roman" w:hAnsi="Times New Roman"/>
          <w:color w:val="0070C0"/>
          <w:sz w:val="16"/>
          <w:szCs w:val="16"/>
        </w:rPr>
        <w:t xml:space="preserve">под два мотора </w:t>
      </w:r>
      <w:r>
        <w:rPr>
          <w:rFonts w:ascii="Times New Roman" w:hAnsi="Times New Roman"/>
          <w:color w:val="0070C0"/>
          <w:sz w:val="16"/>
          <w:szCs w:val="16"/>
        </w:rPr>
        <w:t>М</w:t>
      </w:r>
      <w:r w:rsidRPr="006B74EB">
        <w:rPr>
          <w:rFonts w:ascii="Times New Roman" w:hAnsi="Times New Roman"/>
          <w:color w:val="0070C0"/>
          <w:sz w:val="16"/>
          <w:szCs w:val="16"/>
        </w:rPr>
        <w:t xml:space="preserve">-17 по 500 л.с. </w:t>
      </w:r>
      <w:r>
        <w:rPr>
          <w:rFonts w:ascii="Times New Roman" w:hAnsi="Times New Roman"/>
          <w:color w:val="0070C0"/>
          <w:sz w:val="16"/>
          <w:szCs w:val="16"/>
        </w:rPr>
        <w:t>и</w:t>
      </w:r>
      <w:r w:rsidRPr="006B74EB">
        <w:rPr>
          <w:rFonts w:ascii="Times New Roman" w:hAnsi="Times New Roman"/>
          <w:color w:val="0070C0"/>
          <w:sz w:val="16"/>
          <w:szCs w:val="16"/>
        </w:rPr>
        <w:t xml:space="preserve"> в таком виде эксплуат</w:t>
      </w:r>
      <w:r>
        <w:rPr>
          <w:rFonts w:ascii="Times New Roman" w:hAnsi="Times New Roman"/>
          <w:color w:val="0070C0"/>
          <w:sz w:val="16"/>
          <w:szCs w:val="16"/>
        </w:rPr>
        <w:t>ировался</w:t>
      </w:r>
      <w:r w:rsidRPr="006B74EB">
        <w:rPr>
          <w:rFonts w:ascii="Times New Roman" w:hAnsi="Times New Roman"/>
          <w:color w:val="0070C0"/>
          <w:sz w:val="16"/>
          <w:szCs w:val="16"/>
        </w:rPr>
        <w:t xml:space="preserve"> в ГВ2 под маркою ПС-9,тде он был одним из основных </w:t>
      </w:r>
      <w:proofErr w:type="spellStart"/>
      <w:r w:rsidRPr="006B74EB">
        <w:rPr>
          <w:rFonts w:ascii="Times New Roman" w:hAnsi="Times New Roman"/>
          <w:color w:val="0070C0"/>
          <w:sz w:val="16"/>
          <w:szCs w:val="16"/>
        </w:rPr>
        <w:t>пас</w:t>
      </w:r>
      <w:r>
        <w:rPr>
          <w:rFonts w:ascii="Times New Roman" w:hAnsi="Times New Roman"/>
          <w:color w:val="0070C0"/>
          <w:sz w:val="16"/>
          <w:szCs w:val="16"/>
        </w:rPr>
        <w:t>сажир</w:t>
      </w:r>
      <w:r w:rsidRPr="006B74EB">
        <w:rPr>
          <w:rFonts w:ascii="Times New Roman" w:hAnsi="Times New Roman"/>
          <w:color w:val="0070C0"/>
          <w:sz w:val="16"/>
          <w:szCs w:val="16"/>
        </w:rPr>
        <w:t>скп</w:t>
      </w:r>
      <w:r>
        <w:rPr>
          <w:rFonts w:ascii="Times New Roman" w:hAnsi="Times New Roman"/>
          <w:color w:val="0070C0"/>
          <w:sz w:val="16"/>
          <w:szCs w:val="16"/>
        </w:rPr>
        <w:t>х</w:t>
      </w:r>
      <w:proofErr w:type="spellEnd"/>
      <w:r w:rsidRPr="006B74EB">
        <w:rPr>
          <w:rFonts w:ascii="Times New Roman" w:hAnsi="Times New Roman"/>
          <w:color w:val="0070C0"/>
          <w:sz w:val="16"/>
          <w:szCs w:val="16"/>
        </w:rPr>
        <w:t xml:space="preserve"> самолетов вплоть до начала второй мировой войны.</w:t>
      </w:r>
      <w:r>
        <w:rPr>
          <w:rFonts w:ascii="Times New Roman" w:hAnsi="Times New Roman"/>
          <w:color w:val="0070C0"/>
          <w:sz w:val="16"/>
          <w:szCs w:val="16"/>
        </w:rPr>
        <w:t xml:space="preserve"> Д</w:t>
      </w:r>
      <w:r w:rsidRPr="006B74EB">
        <w:rPr>
          <w:rFonts w:ascii="Times New Roman" w:hAnsi="Times New Roman"/>
          <w:color w:val="0070C0"/>
          <w:sz w:val="16"/>
          <w:szCs w:val="16"/>
        </w:rPr>
        <w:t xml:space="preserve">анные </w:t>
      </w:r>
      <w:r>
        <w:rPr>
          <w:rFonts w:ascii="Times New Roman" w:hAnsi="Times New Roman"/>
          <w:color w:val="0070C0"/>
          <w:sz w:val="16"/>
          <w:szCs w:val="16"/>
        </w:rPr>
        <w:t>ПС</w:t>
      </w:r>
      <w:r w:rsidRPr="006B74EB">
        <w:rPr>
          <w:rFonts w:ascii="Times New Roman" w:hAnsi="Times New Roman"/>
          <w:color w:val="0070C0"/>
          <w:sz w:val="16"/>
          <w:szCs w:val="16"/>
        </w:rPr>
        <w:t>-9 с двумя моторами М-17</w:t>
      </w:r>
      <w:r>
        <w:rPr>
          <w:rFonts w:ascii="Times New Roman" w:hAnsi="Times New Roman"/>
          <w:color w:val="0070C0"/>
          <w:sz w:val="16"/>
          <w:szCs w:val="16"/>
        </w:rPr>
        <w:t xml:space="preserve">: </w:t>
      </w:r>
      <w:r w:rsidRPr="006B74EB">
        <w:rPr>
          <w:rFonts w:ascii="Times New Roman" w:hAnsi="Times New Roman"/>
          <w:color w:val="0070C0"/>
          <w:sz w:val="16"/>
          <w:szCs w:val="16"/>
        </w:rPr>
        <w:t>размах - 23,7 м; длина - 17,5 м;</w:t>
      </w:r>
      <w:r>
        <w:rPr>
          <w:rFonts w:ascii="Times New Roman" w:hAnsi="Times New Roman"/>
          <w:color w:val="0070C0"/>
          <w:sz w:val="16"/>
          <w:szCs w:val="16"/>
        </w:rPr>
        <w:t xml:space="preserve"> </w:t>
      </w:r>
      <w:r w:rsidRPr="006B74EB">
        <w:rPr>
          <w:rFonts w:ascii="Times New Roman" w:hAnsi="Times New Roman"/>
          <w:color w:val="0070C0"/>
          <w:sz w:val="16"/>
          <w:szCs w:val="16"/>
        </w:rPr>
        <w:t>площ</w:t>
      </w:r>
      <w:r>
        <w:rPr>
          <w:rFonts w:ascii="Times New Roman" w:hAnsi="Times New Roman"/>
          <w:color w:val="0070C0"/>
          <w:sz w:val="16"/>
          <w:szCs w:val="16"/>
        </w:rPr>
        <w:t>ад</w:t>
      </w:r>
      <w:r w:rsidRPr="006B74EB">
        <w:rPr>
          <w:rFonts w:ascii="Times New Roman" w:hAnsi="Times New Roman"/>
          <w:color w:val="0070C0"/>
          <w:sz w:val="16"/>
          <w:szCs w:val="16"/>
        </w:rPr>
        <w:t>ь крыльев - 84 м</w:t>
      </w:r>
      <w:r>
        <w:rPr>
          <w:rFonts w:ascii="Times New Roman" w:hAnsi="Times New Roman"/>
          <w:color w:val="0070C0"/>
          <w:sz w:val="16"/>
          <w:szCs w:val="16"/>
        </w:rPr>
        <w:t>2</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вес конструкции - 4,4 тонны; полетный вес </w:t>
      </w:r>
      <w:r>
        <w:rPr>
          <w:rFonts w:ascii="Times New Roman" w:hAnsi="Times New Roman"/>
          <w:color w:val="0070C0"/>
          <w:sz w:val="16"/>
          <w:szCs w:val="16"/>
        </w:rPr>
        <w:t>– 6,2 т</w:t>
      </w:r>
      <w:r w:rsidRPr="006B74EB">
        <w:rPr>
          <w:rFonts w:ascii="Times New Roman" w:hAnsi="Times New Roman"/>
          <w:color w:val="0070C0"/>
          <w:sz w:val="16"/>
          <w:szCs w:val="16"/>
        </w:rPr>
        <w:t>; скор ость максимальная - 220 км/час, крейсерская — 195-200 км/час, по садочная - 90-100 км/час;</w:t>
      </w:r>
      <w:r>
        <w:rPr>
          <w:rFonts w:ascii="Times New Roman" w:hAnsi="Times New Roman"/>
          <w:color w:val="0070C0"/>
          <w:sz w:val="16"/>
          <w:szCs w:val="16"/>
        </w:rPr>
        <w:t xml:space="preserve"> </w:t>
      </w:r>
      <w:r w:rsidRPr="006B74EB">
        <w:rPr>
          <w:rFonts w:ascii="Times New Roman" w:hAnsi="Times New Roman"/>
          <w:color w:val="0070C0"/>
          <w:sz w:val="16"/>
          <w:szCs w:val="16"/>
        </w:rPr>
        <w:t>дальность полета нормаль</w:t>
      </w:r>
      <w:r>
        <w:rPr>
          <w:rFonts w:ascii="Times New Roman" w:hAnsi="Times New Roman"/>
          <w:color w:val="0070C0"/>
          <w:sz w:val="16"/>
          <w:szCs w:val="16"/>
        </w:rPr>
        <w:t xml:space="preserve">ная </w:t>
      </w:r>
      <w:r w:rsidRPr="006B74EB">
        <w:rPr>
          <w:rFonts w:ascii="Times New Roman" w:hAnsi="Times New Roman"/>
          <w:color w:val="0070C0"/>
          <w:sz w:val="16"/>
          <w:szCs w:val="16"/>
        </w:rPr>
        <w:t>- 1200 км; экипаж - 2 человека.</w:t>
      </w:r>
    </w:p>
    <w:p w14:paraId="0CDB57EA" w14:textId="77777777" w:rsidR="007C45C6" w:rsidRDefault="007C45C6" w:rsidP="007C45C6">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/Т</w:t>
      </w:r>
      <w:r>
        <w:rPr>
          <w:rFonts w:ascii="Times New Roman" w:hAnsi="Times New Roman"/>
          <w:color w:val="0070C0"/>
          <w:sz w:val="16"/>
          <w:szCs w:val="16"/>
        </w:rPr>
        <w:t>ВФ</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1929 № 7</w:t>
      </w:r>
      <w:r>
        <w:rPr>
          <w:rFonts w:ascii="Times New Roman" w:hAnsi="Times New Roman"/>
          <w:color w:val="0070C0"/>
          <w:sz w:val="16"/>
          <w:szCs w:val="16"/>
        </w:rPr>
        <w:t xml:space="preserve">; </w:t>
      </w:r>
      <w:r w:rsidRPr="006B74EB">
        <w:rPr>
          <w:rFonts w:ascii="Times New Roman" w:hAnsi="Times New Roman"/>
          <w:color w:val="0070C0"/>
          <w:sz w:val="16"/>
          <w:szCs w:val="16"/>
        </w:rPr>
        <w:t>Чарский, Трофимов.</w:t>
      </w:r>
      <w:r>
        <w:rPr>
          <w:rFonts w:ascii="Times New Roman" w:hAnsi="Times New Roman"/>
          <w:color w:val="0070C0"/>
          <w:sz w:val="16"/>
          <w:szCs w:val="16"/>
        </w:rPr>
        <w:t xml:space="preserve"> </w:t>
      </w:r>
      <w:r w:rsidRPr="006B74EB">
        <w:rPr>
          <w:rFonts w:ascii="Times New Roman" w:hAnsi="Times New Roman"/>
          <w:color w:val="0070C0"/>
          <w:sz w:val="16"/>
          <w:szCs w:val="16"/>
        </w:rPr>
        <w:t>Самолеты ж моторы ГВ</w:t>
      </w:r>
      <w:r>
        <w:rPr>
          <w:rFonts w:ascii="Times New Roman" w:hAnsi="Times New Roman"/>
          <w:color w:val="0070C0"/>
          <w:sz w:val="16"/>
          <w:szCs w:val="16"/>
        </w:rPr>
        <w:t xml:space="preserve">Ф, </w:t>
      </w:r>
      <w:r w:rsidRPr="006B74EB">
        <w:rPr>
          <w:rFonts w:ascii="Times New Roman" w:hAnsi="Times New Roman"/>
          <w:color w:val="0070C0"/>
          <w:sz w:val="16"/>
          <w:szCs w:val="16"/>
        </w:rPr>
        <w:t>1933/</w:t>
      </w:r>
      <w:r>
        <w:rPr>
          <w:rFonts w:ascii="Times New Roman" w:hAnsi="Times New Roman"/>
          <w:color w:val="0070C0"/>
          <w:sz w:val="16"/>
          <w:szCs w:val="16"/>
        </w:rPr>
        <w:t xml:space="preserve"> (23370).</w:t>
      </w:r>
    </w:p>
    <w:p w14:paraId="05F507D7" w14:textId="77777777" w:rsidR="007C45C6" w:rsidRDefault="007C45C6" w:rsidP="007C45C6">
      <w:pPr>
        <w:autoSpaceDE w:val="0"/>
        <w:autoSpaceDN w:val="0"/>
        <w:adjustRightInd w:val="0"/>
        <w:spacing w:after="0" w:line="240" w:lineRule="auto"/>
        <w:jc w:val="both"/>
        <w:rPr>
          <w:rFonts w:ascii="Times New Roman" w:hAnsi="Times New Roman"/>
          <w:i/>
          <w:iCs/>
          <w:color w:val="000000" w:themeColor="text1"/>
          <w:sz w:val="16"/>
          <w:szCs w:val="16"/>
        </w:rPr>
      </w:pPr>
    </w:p>
    <w:p w14:paraId="7ADF0885" w14:textId="55C8731D"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956D69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3735DDB" w14:textId="77777777" w:rsidR="00F402B5" w:rsidRPr="00A259BD" w:rsidRDefault="00F402B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апреля в 1929 году состоялся первый полет самолета «HP.39» «</w:t>
      </w:r>
      <w:proofErr w:type="spellStart"/>
      <w:r w:rsidRPr="00A259BD">
        <w:rPr>
          <w:rFonts w:ascii="Times New Roman" w:hAnsi="Times New Roman"/>
          <w:color w:val="000000" w:themeColor="text1"/>
          <w:sz w:val="16"/>
          <w:szCs w:val="16"/>
        </w:rPr>
        <w:t>Gugnuncи</w:t>
      </w:r>
      <w:proofErr w:type="spellEnd"/>
      <w:r w:rsidRPr="00A259BD">
        <w:rPr>
          <w:rFonts w:ascii="Times New Roman" w:hAnsi="Times New Roman"/>
          <w:color w:val="000000" w:themeColor="text1"/>
          <w:sz w:val="16"/>
          <w:szCs w:val="16"/>
        </w:rPr>
        <w:t>». В 1929 году в США проводился конкурс «</w:t>
      </w:r>
      <w:proofErr w:type="spellStart"/>
      <w:r w:rsidRPr="00A259BD">
        <w:rPr>
          <w:rFonts w:ascii="Times New Roman" w:hAnsi="Times New Roman"/>
          <w:color w:val="000000" w:themeColor="text1"/>
          <w:sz w:val="16"/>
          <w:szCs w:val="16"/>
        </w:rPr>
        <w:t>Guggenheim</w:t>
      </w:r>
      <w:proofErr w:type="spellEnd"/>
      <w:r w:rsidRPr="00A259BD">
        <w:rPr>
          <w:rFonts w:ascii="Times New Roman" w:hAnsi="Times New Roman"/>
          <w:color w:val="000000" w:themeColor="text1"/>
          <w:sz w:val="16"/>
          <w:szCs w:val="16"/>
        </w:rPr>
        <w:t xml:space="preserve"> Safe Aircraft </w:t>
      </w:r>
      <w:proofErr w:type="spellStart"/>
      <w:r w:rsidRPr="00A259BD">
        <w:rPr>
          <w:rFonts w:ascii="Times New Roman" w:hAnsi="Times New Roman"/>
          <w:color w:val="000000" w:themeColor="text1"/>
          <w:sz w:val="16"/>
          <w:szCs w:val="16"/>
        </w:rPr>
        <w:t>Competition</w:t>
      </w:r>
      <w:proofErr w:type="spellEnd"/>
      <w:r w:rsidRPr="00A259BD">
        <w:rPr>
          <w:rFonts w:ascii="Times New Roman" w:hAnsi="Times New Roman"/>
          <w:color w:val="000000" w:themeColor="text1"/>
          <w:sz w:val="16"/>
          <w:szCs w:val="16"/>
        </w:rPr>
        <w:t>». Специально для этих соревнований компания «</w:t>
      </w:r>
      <w:proofErr w:type="spellStart"/>
      <w:r w:rsidRPr="00A259BD">
        <w:rPr>
          <w:rFonts w:ascii="Times New Roman" w:hAnsi="Times New Roman"/>
          <w:color w:val="000000" w:themeColor="text1"/>
          <w:sz w:val="16"/>
          <w:szCs w:val="16"/>
        </w:rPr>
        <w:t>Handley</w:t>
      </w:r>
      <w:proofErr w:type="spellEnd"/>
      <w:r w:rsidRPr="00A259BD">
        <w:rPr>
          <w:rFonts w:ascii="Times New Roman" w:hAnsi="Times New Roman"/>
          <w:color w:val="000000" w:themeColor="text1"/>
          <w:sz w:val="16"/>
          <w:szCs w:val="16"/>
        </w:rPr>
        <w:t xml:space="preserve"> Page Ltd.» разработала самолет, имевший рабочее обозначение «</w:t>
      </w:r>
      <w:proofErr w:type="spellStart"/>
      <w:r w:rsidRPr="00A259BD">
        <w:rPr>
          <w:rFonts w:ascii="Times New Roman" w:hAnsi="Times New Roman"/>
          <w:color w:val="000000" w:themeColor="text1"/>
          <w:sz w:val="16"/>
          <w:szCs w:val="16"/>
        </w:rPr>
        <w:t>Guggenheim</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Competition</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Biplane</w:t>
      </w:r>
      <w:proofErr w:type="spellEnd"/>
      <w:r w:rsidRPr="00A259BD">
        <w:rPr>
          <w:rFonts w:ascii="Times New Roman" w:hAnsi="Times New Roman"/>
          <w:color w:val="000000" w:themeColor="text1"/>
          <w:sz w:val="16"/>
          <w:szCs w:val="16"/>
        </w:rPr>
        <w:t>». Одной из самых важных особенностей самолета стала очень низкая скорость сваливания - всего 53 км/ч. После окончания строительства самолет получил официальное обозначение «HP.39» «</w:t>
      </w:r>
      <w:proofErr w:type="spellStart"/>
      <w:r w:rsidRPr="00A259BD">
        <w:rPr>
          <w:rFonts w:ascii="Times New Roman" w:hAnsi="Times New Roman"/>
          <w:color w:val="000000" w:themeColor="text1"/>
          <w:sz w:val="16"/>
          <w:szCs w:val="16"/>
        </w:rPr>
        <w:t>Gugnuncи</w:t>
      </w:r>
      <w:proofErr w:type="spellEnd"/>
      <w:r w:rsidRPr="00A259BD">
        <w:rPr>
          <w:rFonts w:ascii="Times New Roman" w:hAnsi="Times New Roman"/>
          <w:color w:val="000000" w:themeColor="text1"/>
          <w:sz w:val="16"/>
          <w:szCs w:val="16"/>
        </w:rPr>
        <w:t>» гражданский регистрационный номер G-AACN (15115).</w:t>
      </w:r>
    </w:p>
    <w:p w14:paraId="2BE49631" w14:textId="77777777" w:rsidR="00F402B5" w:rsidRPr="00A259BD" w:rsidRDefault="00F402B5" w:rsidP="009236E3">
      <w:pPr>
        <w:spacing w:after="0" w:line="240" w:lineRule="auto"/>
        <w:jc w:val="both"/>
        <w:rPr>
          <w:rFonts w:ascii="Times New Roman" w:hAnsi="Times New Roman"/>
          <w:color w:val="000000" w:themeColor="text1"/>
          <w:sz w:val="16"/>
          <w:szCs w:val="16"/>
        </w:rPr>
      </w:pPr>
    </w:p>
    <w:p w14:paraId="7B62A4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апреля 1929 канцлером Австрии стал </w:t>
      </w:r>
      <w:proofErr w:type="spellStart"/>
      <w:r w:rsidRPr="00A259BD">
        <w:rPr>
          <w:rFonts w:ascii="Times New Roman" w:hAnsi="Times New Roman"/>
          <w:color w:val="000000" w:themeColor="text1"/>
          <w:sz w:val="16"/>
          <w:szCs w:val="16"/>
        </w:rPr>
        <w:t>Э.Штреерувитц</w:t>
      </w:r>
      <w:proofErr w:type="spellEnd"/>
      <w:r w:rsidRPr="00A259BD">
        <w:rPr>
          <w:rFonts w:ascii="Times New Roman" w:hAnsi="Times New Roman"/>
          <w:color w:val="000000" w:themeColor="text1"/>
          <w:sz w:val="16"/>
          <w:szCs w:val="16"/>
        </w:rPr>
        <w:t xml:space="preserve"> (3007,156).</w:t>
      </w:r>
    </w:p>
    <w:p w14:paraId="124F8B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0A350F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4662B8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EA100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г. Совет труда и обороны принял постановление об организации перелета советского самолета в США. Цели преследовались в основном чисто пропагандистские.</w:t>
      </w:r>
    </w:p>
    <w:p w14:paraId="41A6F2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перелета приказано было подготовить один из первых серийных ТБ-1, получивший имя "Страна Советов". Но, учитывая несовершенство техники того времени, предусмотрели и запасную машину, в качестве которой выступил "дублер". Именно ему суждено было добраться до Америки.</w:t>
      </w:r>
    </w:p>
    <w:p w14:paraId="3CA207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поспешно изъятом из НИИ ВВС самолете провели контрольный перелет Москва - Орел - Брянск - Москва, чтобы установить истинный расход горючего.</w:t>
      </w:r>
    </w:p>
    <w:p w14:paraId="2EF8BF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Поскольку значительная часть маршрута перелета пролегала над морем, решили использовать поплавковое шасси. В ЦАГИ спроектировали крепления для установки на ТБ-1 поплавков от немецкого бомбардировщика ЮГ-1.</w:t>
      </w:r>
    </w:p>
    <w:p w14:paraId="17C640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Предназначенная для перелета машина № 603 (то есть третья серийная), кроме узлов под поплавки, отличалась усиленными лонжеронами центроплана, дверями в фюзеляже и дополнительными бензиновыми и масляными баками. Вооружение на ней не устанавливалось, проемы турелей в хвостовой части зашили. Самолет получил все положенное электро- и радиооборудование (на бомбардировщиках предусмотренное, но реально отсутствовавшее) и значительное количество дополнительных приборов иностранного производства.</w:t>
      </w:r>
    </w:p>
    <w:p w14:paraId="2BB09B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Срок готовности машины установили 15 мая, затем сдвинули на 26 июня. Задержки вызывались опозданием с подготовкой чертежей дополнительных баков и поплавкового шасси. 22 июня ТБ-1 вывезли на аэродром. Он стал первым серийным самолетом этого типа. Пробный полет совершили 14 июля. Моторы перегревались. Дело в том, что полетный вес у рекордной машины был существенно больше, чем у опытного образца. В ЦАГИ срочно спроектировали и изготовили радиаторы увеличенной площади. Через пять дней их уже смонтировали на "Стране Советов".</w:t>
      </w:r>
    </w:p>
    <w:p w14:paraId="314057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Экипаж состоял из командира С.А. Шестакова (тогда личного пилота начальника УВВС), второго пилота Ф.Е. Болотова, штурмана Б.В. Стерлигова и бортмеханика Д.В. </w:t>
      </w:r>
      <w:proofErr w:type="spellStart"/>
      <w:r w:rsidRPr="00A259BD">
        <w:rPr>
          <w:rFonts w:ascii="Times New Roman" w:hAnsi="Times New Roman"/>
          <w:color w:val="000000" w:themeColor="text1"/>
          <w:sz w:val="16"/>
          <w:szCs w:val="16"/>
        </w:rPr>
        <w:t>Фуфаева</w:t>
      </w:r>
      <w:proofErr w:type="spellEnd"/>
      <w:r w:rsidRPr="00A259BD">
        <w:rPr>
          <w:rFonts w:ascii="Times New Roman" w:hAnsi="Times New Roman"/>
          <w:color w:val="000000" w:themeColor="text1"/>
          <w:sz w:val="16"/>
          <w:szCs w:val="16"/>
        </w:rPr>
        <w:t>. От ЦАГИ подготовкой перелета занимался В.М. Петляков. Самолет должен был пролететь почти всю страну, на Дальнем Востоке сменить колеса на поплавки и продолжить путь вдоль побережья Тихого океана. Океан собирались пересечь в самом узком месте - через Берингов пролив. Далее маршрут лежал вдоль восточного побережья Северной Америки, после чего планировалось пересечь США от океана до океана.</w:t>
      </w:r>
    </w:p>
    <w:p w14:paraId="0C74B8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Рассматривались и два альтернативных варианта: через Европу и Северную Атлантику и через Западную Африку и Южную Америку, но их сочли более сложными. Предлагался даже проект кругосветного перелета, при котором Берингов пролив пересекался в обратную сторону (с Аляски). Основным аргументом за выбранный маршрут было прохождение большей его части над территорией СССР, что облегчало подготовку.</w:t>
      </w:r>
    </w:p>
    <w:p w14:paraId="74C592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расчетные точки перелета завезли горючее и запасные части. Надо сказать, что из-за высокой по тем временам степени сжатия двигатели BMW VI работали не на чистом бензине, а на бензин- бензольной смеси, являвшейся в то время редкостью; бензол импортировали из Германии (12001).</w:t>
      </w:r>
    </w:p>
    <w:p w14:paraId="5A83D9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4750D6" w14:textId="77777777" w:rsidR="00E15FE6" w:rsidRPr="00A259BD" w:rsidRDefault="00E15FE6"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г. Совет труда и оборо</w:t>
      </w:r>
      <w:r w:rsidRPr="00A259BD">
        <w:rPr>
          <w:rFonts w:ascii="Times New Roman" w:hAnsi="Times New Roman"/>
          <w:color w:val="000000" w:themeColor="text1"/>
          <w:sz w:val="16"/>
          <w:szCs w:val="16"/>
        </w:rPr>
        <w:softHyphen/>
        <w:t>ны (СТО) дал окончательное разрешение на перелет Москва-Нью-Йорк. Целью перелета указывались не рекордные достижения, а испытания нового самолета в тяжелой по</w:t>
      </w:r>
      <w:r w:rsidRPr="00A259BD">
        <w:rPr>
          <w:rFonts w:ascii="Times New Roman" w:hAnsi="Times New Roman"/>
          <w:color w:val="000000" w:themeColor="text1"/>
          <w:sz w:val="16"/>
          <w:szCs w:val="16"/>
        </w:rPr>
        <w:softHyphen/>
        <w:t>годной обстановке и трудных условиях экс</w:t>
      </w:r>
      <w:r w:rsidRPr="00A259BD">
        <w:rPr>
          <w:rFonts w:ascii="Times New Roman" w:hAnsi="Times New Roman"/>
          <w:color w:val="000000" w:themeColor="text1"/>
          <w:sz w:val="16"/>
          <w:szCs w:val="16"/>
        </w:rPr>
        <w:softHyphen/>
        <w:t>плуатации. Общее руководство перелетом возложили на Осоавиахим СССР, техниче</w:t>
      </w:r>
      <w:r w:rsidRPr="00A259BD">
        <w:rPr>
          <w:rFonts w:ascii="Times New Roman" w:hAnsi="Times New Roman"/>
          <w:color w:val="000000" w:themeColor="text1"/>
          <w:sz w:val="16"/>
          <w:szCs w:val="16"/>
        </w:rPr>
        <w:softHyphen/>
        <w:t>ское обеспечение — на ЦАГИ. Ответствен</w:t>
      </w:r>
      <w:r w:rsidRPr="00A259BD">
        <w:rPr>
          <w:rFonts w:ascii="Times New Roman" w:hAnsi="Times New Roman"/>
          <w:color w:val="000000" w:themeColor="text1"/>
          <w:sz w:val="16"/>
          <w:szCs w:val="16"/>
        </w:rPr>
        <w:softHyphen/>
        <w:t>ным за техническое состояние самолета являлся В.М. Петляков, за моторное обору</w:t>
      </w:r>
      <w:r w:rsidRPr="00A259BD">
        <w:rPr>
          <w:rFonts w:ascii="Times New Roman" w:hAnsi="Times New Roman"/>
          <w:color w:val="000000" w:themeColor="text1"/>
          <w:sz w:val="16"/>
          <w:szCs w:val="16"/>
        </w:rPr>
        <w:softHyphen/>
        <w:t>дование — М.М. Егоров. Подготовкой мор</w:t>
      </w:r>
      <w:r w:rsidRPr="00A259BD">
        <w:rPr>
          <w:rFonts w:ascii="Times New Roman" w:hAnsi="Times New Roman"/>
          <w:color w:val="000000" w:themeColor="text1"/>
          <w:sz w:val="16"/>
          <w:szCs w:val="16"/>
        </w:rPr>
        <w:softHyphen/>
        <w:t>ского этапа перелета занимался Р.Л. Бартини, назначенный 15 мая 1929 г. старшим инженером по эксплуатации матчасти Управления ВВС Морских сил Черного моря. Для перелета стали готовить головной серийный самолет № 601 (по другим дан</w:t>
      </w:r>
      <w:r w:rsidRPr="00A259BD">
        <w:rPr>
          <w:rFonts w:ascii="Times New Roman" w:hAnsi="Times New Roman"/>
          <w:color w:val="000000" w:themeColor="text1"/>
          <w:sz w:val="16"/>
          <w:szCs w:val="16"/>
        </w:rPr>
        <w:softHyphen/>
        <w:t>ным — № 603), который пришлось соответ</w:t>
      </w:r>
      <w:r w:rsidRPr="00A259BD">
        <w:rPr>
          <w:rFonts w:ascii="Times New Roman" w:hAnsi="Times New Roman"/>
          <w:color w:val="000000" w:themeColor="text1"/>
          <w:sz w:val="16"/>
          <w:szCs w:val="16"/>
        </w:rPr>
        <w:softHyphen/>
        <w:t>ствующим образом доработать. Затем по</w:t>
      </w:r>
      <w:r w:rsidRPr="00A259BD">
        <w:rPr>
          <w:rFonts w:ascii="Times New Roman" w:hAnsi="Times New Roman"/>
          <w:color w:val="000000" w:themeColor="text1"/>
          <w:sz w:val="16"/>
          <w:szCs w:val="16"/>
        </w:rPr>
        <w:softHyphen/>
        <w:t>требовалось испытать его на поплавковом шасси, т.к. значительная часть маршрута проходила над океаном. В начале апреля самолет перелетел в Таганрог, где на авиа</w:t>
      </w:r>
      <w:r w:rsidRPr="00A259BD">
        <w:rPr>
          <w:rFonts w:ascii="Times New Roman" w:hAnsi="Times New Roman"/>
          <w:color w:val="000000" w:themeColor="text1"/>
          <w:sz w:val="16"/>
          <w:szCs w:val="16"/>
        </w:rPr>
        <w:softHyphen/>
        <w:t>заводе № 31 его установили на немного уд</w:t>
      </w:r>
      <w:r w:rsidRPr="00A259BD">
        <w:rPr>
          <w:rFonts w:ascii="Times New Roman" w:hAnsi="Times New Roman"/>
          <w:color w:val="000000" w:themeColor="text1"/>
          <w:sz w:val="16"/>
          <w:szCs w:val="16"/>
        </w:rPr>
        <w:softHyphen/>
        <w:t>линенные поплавки от трехмоторного ЮГ-1. Затем в Таганроге и Севастополе экипаж выполнил не один десяток тренировочных полетов. Одновременно шла подготовка карт, радиостанции, вымерялись расстоя</w:t>
      </w:r>
      <w:r w:rsidRPr="00A259BD">
        <w:rPr>
          <w:rFonts w:ascii="Times New Roman" w:hAnsi="Times New Roman"/>
          <w:color w:val="000000" w:themeColor="text1"/>
          <w:sz w:val="16"/>
          <w:szCs w:val="16"/>
        </w:rPr>
        <w:softHyphen/>
        <w:t>ния между поворотными пунктами. Особое значение придавали показаниям указателя воздушной скорости, которые могли иметь значительную погрешность из-за бокового ветра или неравномерной работы двигате</w:t>
      </w:r>
      <w:r w:rsidRPr="00A259BD">
        <w:rPr>
          <w:rFonts w:ascii="Times New Roman" w:hAnsi="Times New Roman"/>
          <w:color w:val="000000" w:themeColor="text1"/>
          <w:sz w:val="16"/>
          <w:szCs w:val="16"/>
        </w:rPr>
        <w:softHyphen/>
        <w:t>лей. Поэтому приемник воздушного давле</w:t>
      </w:r>
      <w:r w:rsidRPr="00A259BD">
        <w:rPr>
          <w:rFonts w:ascii="Times New Roman" w:hAnsi="Times New Roman"/>
          <w:color w:val="000000" w:themeColor="text1"/>
          <w:sz w:val="16"/>
          <w:szCs w:val="16"/>
        </w:rPr>
        <w:softHyphen/>
        <w:t>ния установили в носовой части на удлинен</w:t>
      </w:r>
      <w:r w:rsidRPr="00A259BD">
        <w:rPr>
          <w:rFonts w:ascii="Times New Roman" w:hAnsi="Times New Roman"/>
          <w:color w:val="000000" w:themeColor="text1"/>
          <w:sz w:val="16"/>
          <w:szCs w:val="16"/>
        </w:rPr>
        <w:softHyphen/>
        <w:t>ной штанге, оборудованной специальной флюгаркой. Она хорошо была видна из пи</w:t>
      </w:r>
      <w:r w:rsidRPr="00A259BD">
        <w:rPr>
          <w:rFonts w:ascii="Times New Roman" w:hAnsi="Times New Roman"/>
          <w:color w:val="000000" w:themeColor="text1"/>
          <w:sz w:val="16"/>
          <w:szCs w:val="16"/>
        </w:rPr>
        <w:softHyphen/>
        <w:t>лотской кабины и помогала летчикам не до</w:t>
      </w:r>
      <w:r w:rsidRPr="00A259BD">
        <w:rPr>
          <w:rFonts w:ascii="Times New Roman" w:hAnsi="Times New Roman"/>
          <w:color w:val="000000" w:themeColor="text1"/>
          <w:sz w:val="16"/>
          <w:szCs w:val="16"/>
        </w:rPr>
        <w:softHyphen/>
        <w:t>пускать скольжения самолета при плохой видимости горизонта. Когда все было гото</w:t>
      </w:r>
      <w:r w:rsidRPr="00A259BD">
        <w:rPr>
          <w:rFonts w:ascii="Times New Roman" w:hAnsi="Times New Roman"/>
          <w:color w:val="000000" w:themeColor="text1"/>
          <w:sz w:val="16"/>
          <w:szCs w:val="16"/>
        </w:rPr>
        <w:softHyphen/>
        <w:t>во, экипаж совершил контрольный перелет по маршруту Москва-Воронеж-Кремен</w:t>
      </w:r>
      <w:r w:rsidRPr="00A259BD">
        <w:rPr>
          <w:rFonts w:ascii="Times New Roman" w:hAnsi="Times New Roman"/>
          <w:color w:val="000000" w:themeColor="text1"/>
          <w:sz w:val="16"/>
          <w:szCs w:val="16"/>
        </w:rPr>
        <w:softHyphen/>
        <w:t>чуг-Киев-Москва протяженностью 2000 км (11286).</w:t>
      </w:r>
    </w:p>
    <w:p w14:paraId="3DF4E088" w14:textId="77777777" w:rsidR="00E15FE6" w:rsidRPr="00A259BD" w:rsidRDefault="00E15FE6"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56A3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22 завод предъявил первый головной серийный И-4 А.Н.Т. (2371).</w:t>
      </w:r>
    </w:p>
    <w:p w14:paraId="74CAC3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1B474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АГОС договорился с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о запуске АНТ-9 в серию и хотели сделать 148 (522,3).</w:t>
      </w:r>
    </w:p>
    <w:p w14:paraId="22DEF2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FED0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прошел испытания АНТ-9 (271,114).</w:t>
      </w:r>
    </w:p>
    <w:p w14:paraId="13951B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5D429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г. такие усовершенство</w:t>
      </w:r>
      <w:r w:rsidRPr="00A259BD">
        <w:rPr>
          <w:rFonts w:ascii="Times New Roman" w:hAnsi="Times New Roman"/>
          <w:color w:val="000000" w:themeColor="text1"/>
          <w:sz w:val="16"/>
          <w:szCs w:val="16"/>
        </w:rPr>
        <w:softHyphen/>
        <w:t>ванные истребители значились как трениро</w:t>
      </w:r>
      <w:r w:rsidRPr="00A259BD">
        <w:rPr>
          <w:rFonts w:ascii="Times New Roman" w:hAnsi="Times New Roman"/>
          <w:color w:val="000000" w:themeColor="text1"/>
          <w:sz w:val="16"/>
          <w:szCs w:val="16"/>
        </w:rPr>
        <w:softHyphen/>
        <w:t>вочные. В том же году было предложено уста</w:t>
      </w:r>
      <w:r w:rsidRPr="00A259BD">
        <w:rPr>
          <w:rFonts w:ascii="Times New Roman" w:hAnsi="Times New Roman"/>
          <w:color w:val="000000" w:themeColor="text1"/>
          <w:sz w:val="16"/>
          <w:szCs w:val="16"/>
        </w:rPr>
        <w:softHyphen/>
        <w:t>новить на одном из летных образцов двига</w:t>
      </w:r>
      <w:r w:rsidRPr="00A259BD">
        <w:rPr>
          <w:rFonts w:ascii="Times New Roman" w:hAnsi="Times New Roman"/>
          <w:color w:val="000000" w:themeColor="text1"/>
          <w:sz w:val="16"/>
          <w:szCs w:val="16"/>
        </w:rPr>
        <w:softHyphen/>
        <w:t>тель «</w:t>
      </w:r>
      <w:proofErr w:type="spellStart"/>
      <w:r w:rsidRPr="00A259BD">
        <w:rPr>
          <w:rFonts w:ascii="Times New Roman" w:hAnsi="Times New Roman"/>
          <w:color w:val="000000" w:themeColor="text1"/>
          <w:sz w:val="16"/>
          <w:szCs w:val="16"/>
        </w:rPr>
        <w:t>Лоррен</w:t>
      </w:r>
      <w:proofErr w:type="spellEnd"/>
      <w:r w:rsidRPr="00A259BD">
        <w:rPr>
          <w:rFonts w:ascii="Times New Roman" w:hAnsi="Times New Roman"/>
          <w:color w:val="000000" w:themeColor="text1"/>
          <w:sz w:val="16"/>
          <w:szCs w:val="16"/>
        </w:rPr>
        <w:t xml:space="preserve">-Дитрих» мощностью 450 </w:t>
      </w:r>
      <w:proofErr w:type="spellStart"/>
      <w:r w:rsidRPr="00A259BD">
        <w:rPr>
          <w:rFonts w:ascii="Times New Roman" w:hAnsi="Times New Roman"/>
          <w:color w:val="000000" w:themeColor="text1"/>
          <w:sz w:val="16"/>
          <w:szCs w:val="16"/>
        </w:rPr>
        <w:t>л.е</w:t>
      </w:r>
      <w:proofErr w:type="spellEnd"/>
      <w:r w:rsidRPr="00A259BD">
        <w:rPr>
          <w:rFonts w:ascii="Times New Roman" w:hAnsi="Times New Roman"/>
          <w:color w:val="000000" w:themeColor="text1"/>
          <w:sz w:val="16"/>
          <w:szCs w:val="16"/>
        </w:rPr>
        <w:t>., однако реализация этого предложения не со</w:t>
      </w:r>
      <w:r w:rsidRPr="00A259BD">
        <w:rPr>
          <w:rFonts w:ascii="Times New Roman" w:hAnsi="Times New Roman"/>
          <w:color w:val="000000" w:themeColor="text1"/>
          <w:sz w:val="16"/>
          <w:szCs w:val="16"/>
        </w:rPr>
        <w:softHyphen/>
        <w:t>стоялась. Последние экземпляры монопла</w:t>
      </w:r>
      <w:r w:rsidRPr="00A259BD">
        <w:rPr>
          <w:rFonts w:ascii="Times New Roman" w:hAnsi="Times New Roman"/>
          <w:color w:val="000000" w:themeColor="text1"/>
          <w:sz w:val="16"/>
          <w:szCs w:val="16"/>
        </w:rPr>
        <w:softHyphen/>
        <w:t>нов И-1 очевидцы встречали на окраине Хо</w:t>
      </w:r>
      <w:r w:rsidRPr="00A259BD">
        <w:rPr>
          <w:rFonts w:ascii="Times New Roman" w:hAnsi="Times New Roman"/>
          <w:color w:val="000000" w:themeColor="text1"/>
          <w:sz w:val="16"/>
          <w:szCs w:val="16"/>
        </w:rPr>
        <w:softHyphen/>
        <w:t>дынки еще в 1933 г. Тогда уже строился ис</w:t>
      </w:r>
      <w:r w:rsidRPr="00A259BD">
        <w:rPr>
          <w:rFonts w:ascii="Times New Roman" w:hAnsi="Times New Roman"/>
          <w:color w:val="000000" w:themeColor="text1"/>
          <w:sz w:val="16"/>
          <w:szCs w:val="16"/>
        </w:rPr>
        <w:softHyphen/>
        <w:t>требитель ЦКБ-12, ставший вскоре всемир</w:t>
      </w:r>
      <w:r w:rsidRPr="00A259BD">
        <w:rPr>
          <w:rFonts w:ascii="Times New Roman" w:hAnsi="Times New Roman"/>
          <w:color w:val="000000" w:themeColor="text1"/>
          <w:sz w:val="16"/>
          <w:szCs w:val="16"/>
        </w:rPr>
        <w:softHyphen/>
        <w:t>но известным И-16. Он был создан во многом благодаря бесценному опыту, полученному при разработке и совершенствовании И-1 (12295).</w:t>
      </w:r>
    </w:p>
    <w:p w14:paraId="46D07F7C" w14:textId="77777777" w:rsidR="00E15FE6" w:rsidRPr="00A259BD" w:rsidRDefault="00E15FE6" w:rsidP="009236E3">
      <w:pPr>
        <w:spacing w:after="0" w:line="240" w:lineRule="auto"/>
        <w:jc w:val="both"/>
        <w:rPr>
          <w:rFonts w:ascii="Times New Roman" w:hAnsi="Times New Roman"/>
          <w:color w:val="000000" w:themeColor="text1"/>
          <w:sz w:val="16"/>
          <w:szCs w:val="16"/>
        </w:rPr>
      </w:pPr>
    </w:p>
    <w:p w14:paraId="47B78FB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г. возвращающийся из коман</w:t>
      </w:r>
      <w:r w:rsidRPr="00A259BD">
        <w:rPr>
          <w:rFonts w:ascii="Times New Roman" w:hAnsi="Times New Roman"/>
          <w:color w:val="000000" w:themeColor="text1"/>
          <w:sz w:val="16"/>
          <w:szCs w:val="16"/>
        </w:rPr>
        <w:softHyphen/>
        <w:t>дировки в Париж заместитель начальника ВВС РККА Яков Алкснис посетил фирму Хейнкеля и сообщил ему о предложении советской сто</w:t>
      </w:r>
      <w:r w:rsidRPr="00A259BD">
        <w:rPr>
          <w:rFonts w:ascii="Times New Roman" w:hAnsi="Times New Roman"/>
          <w:color w:val="000000" w:themeColor="text1"/>
          <w:sz w:val="16"/>
          <w:szCs w:val="16"/>
        </w:rPr>
        <w:softHyphen/>
        <w:t>роны изготовить катапульту и летающую лодку к ней для одного из советских кораблей, бази</w:t>
      </w:r>
      <w:r w:rsidRPr="00A259BD">
        <w:rPr>
          <w:rFonts w:ascii="Times New Roman" w:hAnsi="Times New Roman"/>
          <w:color w:val="000000" w:themeColor="text1"/>
          <w:sz w:val="16"/>
          <w:szCs w:val="16"/>
        </w:rPr>
        <w:softHyphen/>
        <w:t>рующихся на Черном море. Название корабля и его водоизмещение не указывалось, однако оговаривалось, что длина катапульты не долж</w:t>
      </w:r>
      <w:r w:rsidRPr="00A259BD">
        <w:rPr>
          <w:rFonts w:ascii="Times New Roman" w:hAnsi="Times New Roman"/>
          <w:color w:val="000000" w:themeColor="text1"/>
          <w:sz w:val="16"/>
          <w:szCs w:val="16"/>
        </w:rPr>
        <w:softHyphen/>
        <w:t>на превышать 21,5 метра (12301).</w:t>
      </w:r>
    </w:p>
    <w:p w14:paraId="681126E3" w14:textId="77777777" w:rsidR="00E15FE6" w:rsidRPr="00A259BD" w:rsidRDefault="00E15FE6" w:rsidP="009236E3">
      <w:pPr>
        <w:spacing w:after="0" w:line="240" w:lineRule="auto"/>
        <w:jc w:val="both"/>
        <w:rPr>
          <w:rFonts w:ascii="Times New Roman" w:hAnsi="Times New Roman"/>
          <w:color w:val="000000" w:themeColor="text1"/>
          <w:sz w:val="16"/>
          <w:szCs w:val="16"/>
        </w:rPr>
      </w:pPr>
    </w:p>
    <w:p w14:paraId="750DB0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закончились полеты на И1-М5 с уменьшенными по площади РВ и РН, которые велись с марта 1929. Все было нормально, но к этому времени машина устарела окончательно (228,50).</w:t>
      </w:r>
    </w:p>
    <w:p w14:paraId="293057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E8C58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апреля 1929 г. нача</w:t>
      </w:r>
      <w:r w:rsidRPr="00A259BD">
        <w:rPr>
          <w:rFonts w:ascii="Times New Roman" w:hAnsi="Times New Roman"/>
          <w:color w:val="000000" w:themeColor="text1"/>
          <w:sz w:val="16"/>
          <w:szCs w:val="16"/>
        </w:rPr>
        <w:softHyphen/>
        <w:t xml:space="preserve">лись заводские испытания Д-2 с мотором БМВ-У1. Проводил их летчик </w:t>
      </w:r>
      <w:proofErr w:type="spellStart"/>
      <w:r w:rsidRPr="00A259BD">
        <w:rPr>
          <w:rFonts w:ascii="Times New Roman" w:hAnsi="Times New Roman"/>
          <w:color w:val="000000" w:themeColor="text1"/>
          <w:sz w:val="16"/>
          <w:szCs w:val="16"/>
        </w:rPr>
        <w:t>Б.Л.Бухгольц</w:t>
      </w:r>
      <w:proofErr w:type="spellEnd"/>
      <w:r w:rsidRPr="00A259BD">
        <w:rPr>
          <w:rFonts w:ascii="Times New Roman" w:hAnsi="Times New Roman"/>
          <w:color w:val="000000" w:themeColor="text1"/>
          <w:sz w:val="16"/>
          <w:szCs w:val="16"/>
        </w:rPr>
        <w:t>. Он сообщал: “...Самолет Д-2 по скорости и скороподъ</w:t>
      </w:r>
      <w:r w:rsidRPr="00A259BD">
        <w:rPr>
          <w:rFonts w:ascii="Times New Roman" w:hAnsi="Times New Roman"/>
          <w:color w:val="000000" w:themeColor="text1"/>
          <w:sz w:val="16"/>
          <w:szCs w:val="16"/>
        </w:rPr>
        <w:softHyphen/>
        <w:t>емности не уступает большинству современных одно</w:t>
      </w:r>
      <w:r w:rsidRPr="00A259BD">
        <w:rPr>
          <w:rFonts w:ascii="Times New Roman" w:hAnsi="Times New Roman"/>
          <w:color w:val="000000" w:themeColor="text1"/>
          <w:sz w:val="16"/>
          <w:szCs w:val="16"/>
        </w:rPr>
        <w:softHyphen/>
        <w:t>местных истребителей, так что при наличии более мощного вооружения по сравнению с таковыми такти</w:t>
      </w:r>
      <w:r w:rsidRPr="00A259BD">
        <w:rPr>
          <w:rFonts w:ascii="Times New Roman" w:hAnsi="Times New Roman"/>
          <w:color w:val="000000" w:themeColor="text1"/>
          <w:sz w:val="16"/>
          <w:szCs w:val="16"/>
        </w:rPr>
        <w:softHyphen/>
        <w:t>ческие качества Д-2 значительно выше одноместных ис</w:t>
      </w:r>
      <w:r w:rsidRPr="00A259BD">
        <w:rPr>
          <w:rFonts w:ascii="Times New Roman" w:hAnsi="Times New Roman"/>
          <w:color w:val="000000" w:themeColor="text1"/>
          <w:sz w:val="16"/>
          <w:szCs w:val="16"/>
        </w:rPr>
        <w:softHyphen/>
        <w:t xml:space="preserve">требителей, благодаря чему этот самолет становится в ряды первоклассных боевых единиц воздушного </w:t>
      </w:r>
      <w:proofErr w:type="spellStart"/>
      <w:r w:rsidRPr="00A259BD">
        <w:rPr>
          <w:rFonts w:ascii="Times New Roman" w:hAnsi="Times New Roman"/>
          <w:color w:val="000000" w:themeColor="text1"/>
          <w:sz w:val="16"/>
          <w:szCs w:val="16"/>
        </w:rPr>
        <w:t>фло</w:t>
      </w:r>
      <w:proofErr w:type="spellEnd"/>
      <w:r w:rsidRPr="00A259BD">
        <w:rPr>
          <w:rFonts w:ascii="Times New Roman" w:hAnsi="Times New Roman"/>
          <w:color w:val="000000" w:themeColor="text1"/>
          <w:sz w:val="16"/>
          <w:szCs w:val="16"/>
        </w:rPr>
        <w:t>-та... По своим летным данным самолет является боль</w:t>
      </w:r>
      <w:r w:rsidRPr="00A259BD">
        <w:rPr>
          <w:rFonts w:ascii="Times New Roman" w:hAnsi="Times New Roman"/>
          <w:color w:val="000000" w:themeColor="text1"/>
          <w:sz w:val="16"/>
          <w:szCs w:val="16"/>
        </w:rPr>
        <w:softHyphen/>
        <w:t>шим достижением нашей авиапромышленности, не только достигая уровня заграничной промышленности, но и превосходя таковую”. Из недостатков летчик отме</w:t>
      </w:r>
      <w:r w:rsidRPr="00A259BD">
        <w:rPr>
          <w:rFonts w:ascii="Times New Roman" w:hAnsi="Times New Roman"/>
          <w:color w:val="000000" w:themeColor="text1"/>
          <w:sz w:val="16"/>
          <w:szCs w:val="16"/>
        </w:rPr>
        <w:softHyphen/>
        <w:t>тил некоторые проблемы при выходе из штопора, что, по его мнению, свидетельствовало о возможности пере</w:t>
      </w:r>
      <w:r w:rsidRPr="00A259BD">
        <w:rPr>
          <w:rFonts w:ascii="Times New Roman" w:hAnsi="Times New Roman"/>
          <w:color w:val="000000" w:themeColor="text1"/>
          <w:sz w:val="16"/>
          <w:szCs w:val="16"/>
        </w:rPr>
        <w:softHyphen/>
        <w:t>хода самолета в плоский штопор. Затем Д-2 был возвращен на завод для внесения соот</w:t>
      </w:r>
      <w:r w:rsidRPr="00A259BD">
        <w:rPr>
          <w:rFonts w:ascii="Times New Roman" w:hAnsi="Times New Roman"/>
          <w:color w:val="000000" w:themeColor="text1"/>
          <w:sz w:val="16"/>
          <w:szCs w:val="16"/>
        </w:rPr>
        <w:softHyphen/>
        <w:t>ветствующих доработок в конструкцию. После отстра</w:t>
      </w:r>
      <w:r w:rsidRPr="00A259BD">
        <w:rPr>
          <w:rFonts w:ascii="Times New Roman" w:hAnsi="Times New Roman"/>
          <w:color w:val="000000" w:themeColor="text1"/>
          <w:sz w:val="16"/>
          <w:szCs w:val="16"/>
        </w:rPr>
        <w:softHyphen/>
        <w:t>нения Поликарпова работы по Д-2 на некоторое время были приостановлены. В конце 1929 г. начался второй этап заводских испытаний. После не во всем продуман</w:t>
      </w:r>
      <w:r w:rsidRPr="00A259BD">
        <w:rPr>
          <w:rFonts w:ascii="Times New Roman" w:hAnsi="Times New Roman"/>
          <w:color w:val="000000" w:themeColor="text1"/>
          <w:sz w:val="16"/>
          <w:szCs w:val="16"/>
        </w:rPr>
        <w:softHyphen/>
        <w:t>ных переделок центровка машины изменилась, на неко</w:t>
      </w:r>
      <w:r w:rsidRPr="00A259BD">
        <w:rPr>
          <w:rFonts w:ascii="Times New Roman" w:hAnsi="Times New Roman"/>
          <w:color w:val="000000" w:themeColor="text1"/>
          <w:sz w:val="16"/>
          <w:szCs w:val="16"/>
        </w:rPr>
        <w:softHyphen/>
        <w:t>торых режимах появились вибрации хвостового оперения. Увеличение поперечного угла оперения поз</w:t>
      </w:r>
      <w:r w:rsidRPr="00A259BD">
        <w:rPr>
          <w:rFonts w:ascii="Times New Roman" w:hAnsi="Times New Roman"/>
          <w:color w:val="000000" w:themeColor="text1"/>
          <w:sz w:val="16"/>
          <w:szCs w:val="16"/>
        </w:rPr>
        <w:softHyphen/>
        <w:t>волило устранить их (10667).</w:t>
      </w:r>
    </w:p>
    <w:p w14:paraId="292803B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245CD2" w14:textId="77777777" w:rsidR="00E15FE6" w:rsidRPr="00A259BD" w:rsidRDefault="00E15FE6"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на 39 заводе начали делать АИР-3 А.С.Я. (209,19).</w:t>
      </w:r>
    </w:p>
    <w:p w14:paraId="3109EB76" w14:textId="77777777" w:rsidR="00E15FE6" w:rsidRPr="00A259BD" w:rsidRDefault="00E15FE6" w:rsidP="009236E3">
      <w:pPr>
        <w:autoSpaceDE w:val="0"/>
        <w:autoSpaceDN w:val="0"/>
        <w:adjustRightInd w:val="0"/>
        <w:spacing w:after="0" w:line="240" w:lineRule="auto"/>
        <w:jc w:val="both"/>
        <w:rPr>
          <w:rFonts w:ascii="Times New Roman" w:hAnsi="Times New Roman"/>
          <w:color w:val="000000" w:themeColor="text1"/>
          <w:sz w:val="16"/>
          <w:szCs w:val="16"/>
        </w:rPr>
      </w:pPr>
    </w:p>
    <w:p w14:paraId="649ADB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года началась постройка АИР-3 и велась частью на авиазаводе №39 имени Менжинского и частью в мастерских ВВА при поддержке </w:t>
      </w:r>
      <w:proofErr w:type="spellStart"/>
      <w:r w:rsidRPr="00A259BD">
        <w:rPr>
          <w:rFonts w:ascii="Times New Roman" w:hAnsi="Times New Roman"/>
          <w:color w:val="000000" w:themeColor="text1"/>
          <w:sz w:val="16"/>
          <w:szCs w:val="16"/>
        </w:rPr>
        <w:t>Осоавиахи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ма</w:t>
      </w:r>
      <w:proofErr w:type="spellEnd"/>
      <w:r w:rsidRPr="00A259BD">
        <w:rPr>
          <w:rFonts w:ascii="Times New Roman" w:hAnsi="Times New Roman"/>
          <w:color w:val="000000" w:themeColor="text1"/>
          <w:sz w:val="16"/>
          <w:szCs w:val="16"/>
        </w:rPr>
        <w:t>.</w:t>
      </w:r>
    </w:p>
    <w:p w14:paraId="23E071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1928 году на средства, собранные пионерами, была построена авиетка АИР-2 "Пионер". Деньги продолжали поступать, энтузиазм не снижался, поскольку военная опасность для нашей страны, не уменьшалась. Взносы направлялись на создание нового двухместного самолета А. С. Яковлева - АИР-3 "Пионерская правда".</w:t>
      </w:r>
    </w:p>
    <w:p w14:paraId="747444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История АИР-3 началась с того, что Комиссия по большим советским перелетам Центрального совета Осоавиахима СССР дала задание Военно-воздушной академии построить маломощный самолет с максимально возможной дальностью и продолжительностью полета. </w:t>
      </w:r>
      <w:proofErr w:type="spellStart"/>
      <w:r w:rsidRPr="00A259BD">
        <w:rPr>
          <w:rFonts w:ascii="Times New Roman" w:hAnsi="Times New Roman"/>
          <w:color w:val="000000" w:themeColor="text1"/>
          <w:sz w:val="16"/>
          <w:szCs w:val="16"/>
        </w:rPr>
        <w:t>Машцна</w:t>
      </w:r>
      <w:proofErr w:type="spellEnd"/>
      <w:r w:rsidRPr="00A259BD">
        <w:rPr>
          <w:rFonts w:ascii="Times New Roman" w:hAnsi="Times New Roman"/>
          <w:color w:val="000000" w:themeColor="text1"/>
          <w:sz w:val="16"/>
          <w:szCs w:val="16"/>
        </w:rPr>
        <w:t xml:space="preserve"> предназначалась для дальних перелетов и </w:t>
      </w:r>
      <w:proofErr w:type="spellStart"/>
      <w:r w:rsidRPr="00A259BD">
        <w:rPr>
          <w:rFonts w:ascii="Times New Roman" w:hAnsi="Times New Roman"/>
          <w:color w:val="000000" w:themeColor="text1"/>
          <w:sz w:val="16"/>
          <w:szCs w:val="16"/>
        </w:rPr>
        <w:t>агитполетов</w:t>
      </w:r>
      <w:proofErr w:type="spellEnd"/>
      <w:r w:rsidRPr="00A259BD">
        <w:rPr>
          <w:rFonts w:ascii="Times New Roman" w:hAnsi="Times New Roman"/>
          <w:color w:val="000000" w:themeColor="text1"/>
          <w:sz w:val="16"/>
          <w:szCs w:val="16"/>
        </w:rPr>
        <w:t>.</w:t>
      </w:r>
    </w:p>
    <w:p w14:paraId="2B84C8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Конструирование и постройка были поручены А. С. Яковлеву, слушателю второго курса ВВА, которого уже хорошо знали как конструктора АИР-1 и АИР-2.</w:t>
      </w:r>
    </w:p>
    <w:p w14:paraId="201B53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Применив ряд деталей из этих </w:t>
      </w:r>
      <w:proofErr w:type="spellStart"/>
      <w:r w:rsidRPr="00A259BD">
        <w:rPr>
          <w:rFonts w:ascii="Times New Roman" w:hAnsi="Times New Roman"/>
          <w:color w:val="000000" w:themeColor="text1"/>
          <w:sz w:val="16"/>
          <w:szCs w:val="16"/>
        </w:rPr>
        <w:t>бипланных</w:t>
      </w:r>
      <w:proofErr w:type="spellEnd"/>
      <w:r w:rsidRPr="00A259BD">
        <w:rPr>
          <w:rFonts w:ascii="Times New Roman" w:hAnsi="Times New Roman"/>
          <w:color w:val="000000" w:themeColor="text1"/>
          <w:sz w:val="16"/>
          <w:szCs w:val="16"/>
        </w:rPr>
        <w:t xml:space="preserve"> машин, А. С. Яковлев, исходя из поставленной задачи, требовавшей большего аэродинамического совершенства, создал самолет по новой для себя схеме моноплана. </w:t>
      </w:r>
    </w:p>
    <w:p w14:paraId="537086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статье, написанной в то время, А. С. Яковлев ратовал за то, что наиболее жизненными являются машины, не отличающиеся какими-либо оригинальными формами, а обеспечивающие удобный подход ко всем ответственным деталям, к мотору, к кабине. Машины, не боящиеся условий полевого аэродрома, обладающие минимальной посадочной скоростью. "Не отказываясь от рекордов, когда это позволяет основная задача, - писал Яковлев, - мы должны неуклонно и настойчиво добиваться такого типа легкого самолета, который бы отвечал всем практическим требованиям, вытекающим из условий эксплуатации его на местах".</w:t>
      </w:r>
    </w:p>
    <w:p w14:paraId="1EF49F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Главное внимание при проектировании АИР-3 было обращено на аэродинамические качества, возможное облегчение машины и увеличение полезной нагрузки. Однако из-за опасения чрезмерного понижения запаса прочности вес нагрузки не превышал веса конструкции. Был применен новый тогда способ обшивки крыла: вместо полотна с расчалками фанера от верхней части заднего лонжерона через переднюю кромку и до нижней части переднего лонжерона. Это дало хорошее обтекание именно той части крыла, сохранение профиля которой особенно важно и которую обычно сильно искажало полотно. Для увеличения скорости мидель фюзеляжа был уменьшен до размеров 600*900 мм, что, конечно, вызвало тесноту в кабинах. Запас топлива 176 кг в трех баках в крыле был рассчитан на 14 часов полета и дальность 1700-2000 км. Мотор - "Вальтер" (60 л. е.), закупавшийся в Чехословакии.</w:t>
      </w:r>
    </w:p>
    <w:p w14:paraId="299B42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Сборку производили механики учебно-летной эскадрильи Академии, которые отдавали авиетке все свое свободное время. В дальнейшем и техобслуживание самолета проводилось на общественных началах в учебно-летной эскадрилье. Ее коллектив положил немало сил на авиетку, особенно старший летчик Юлиан Иванович Пионтковский и механик Алексей Анисимович </w:t>
      </w:r>
      <w:proofErr w:type="spellStart"/>
      <w:r w:rsidRPr="00A259BD">
        <w:rPr>
          <w:rFonts w:ascii="Times New Roman" w:hAnsi="Times New Roman"/>
          <w:color w:val="000000" w:themeColor="text1"/>
          <w:sz w:val="16"/>
          <w:szCs w:val="16"/>
        </w:rPr>
        <w:t>Демешкевич</w:t>
      </w:r>
      <w:proofErr w:type="spellEnd"/>
      <w:r w:rsidRPr="00A259BD">
        <w:rPr>
          <w:rFonts w:ascii="Times New Roman" w:hAnsi="Times New Roman"/>
          <w:color w:val="000000" w:themeColor="text1"/>
          <w:sz w:val="16"/>
          <w:szCs w:val="16"/>
        </w:rPr>
        <w:t>. Постройка ускорялась благодаря применению хвостовой части фюзеляжа и других готовых деталей с АИР-1. В конце июня АИР-3 вышел из цеха (11981).</w:t>
      </w:r>
    </w:p>
    <w:p w14:paraId="4460FE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0CF2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г. произвели ремонт РОМ-1, в середине мая его подготовили к полетам, затем, после облета, перегнали в Севастополь. Инженер- механик К.Н. </w:t>
      </w:r>
      <w:proofErr w:type="spellStart"/>
      <w:r w:rsidRPr="00A259BD">
        <w:rPr>
          <w:rFonts w:ascii="Times New Roman" w:hAnsi="Times New Roman"/>
          <w:color w:val="000000" w:themeColor="text1"/>
          <w:sz w:val="16"/>
          <w:szCs w:val="16"/>
        </w:rPr>
        <w:t>Ганулич</w:t>
      </w:r>
      <w:proofErr w:type="spellEnd"/>
      <w:r w:rsidRPr="00A259BD">
        <w:rPr>
          <w:rFonts w:ascii="Times New Roman" w:hAnsi="Times New Roman"/>
          <w:color w:val="000000" w:themeColor="text1"/>
          <w:sz w:val="16"/>
          <w:szCs w:val="16"/>
        </w:rPr>
        <w:t>, произведший осмотр РОМ-1 на заводе №31, докладывал: «В резуль</w:t>
      </w:r>
      <w:r w:rsidRPr="00A259BD">
        <w:rPr>
          <w:rFonts w:ascii="Times New Roman" w:hAnsi="Times New Roman"/>
          <w:color w:val="000000" w:themeColor="text1"/>
          <w:sz w:val="16"/>
          <w:szCs w:val="16"/>
        </w:rPr>
        <w:softHyphen/>
        <w:t>тате того, что самолет оставался осенью под открытым небом, деревянные крылья постра</w:t>
      </w:r>
      <w:r w:rsidRPr="00A259BD">
        <w:rPr>
          <w:rFonts w:ascii="Times New Roman" w:hAnsi="Times New Roman"/>
          <w:color w:val="000000" w:themeColor="text1"/>
          <w:sz w:val="16"/>
          <w:szCs w:val="16"/>
        </w:rPr>
        <w:softHyphen/>
        <w:t>дали настолько, что потребовался их ремонт. Внутренние поверхности залило водой, по</w:t>
      </w:r>
      <w:r w:rsidRPr="00A259BD">
        <w:rPr>
          <w:rFonts w:ascii="Times New Roman" w:hAnsi="Times New Roman"/>
          <w:color w:val="000000" w:themeColor="text1"/>
          <w:sz w:val="16"/>
          <w:szCs w:val="16"/>
        </w:rPr>
        <w:softHyphen/>
        <w:t>явилась плесень, пришла в ветхость фанерная обшивка носков крыльев, хуже всего состоя</w:t>
      </w:r>
      <w:r w:rsidRPr="00A259BD">
        <w:rPr>
          <w:rFonts w:ascii="Times New Roman" w:hAnsi="Times New Roman"/>
          <w:color w:val="000000" w:themeColor="text1"/>
          <w:sz w:val="16"/>
          <w:szCs w:val="16"/>
        </w:rPr>
        <w:softHyphen/>
        <w:t xml:space="preserve">ние носков элеронов. Лодка ремонта </w:t>
      </w:r>
      <w:proofErr w:type="spellStart"/>
      <w:r w:rsidRPr="00A259BD">
        <w:rPr>
          <w:rFonts w:ascii="Times New Roman" w:hAnsi="Times New Roman"/>
          <w:color w:val="000000" w:themeColor="text1"/>
          <w:sz w:val="16"/>
          <w:szCs w:val="16"/>
        </w:rPr>
        <w:t>нетребу</w:t>
      </w:r>
      <w:r w:rsidRPr="00A259BD">
        <w:rPr>
          <w:rFonts w:ascii="Times New Roman" w:hAnsi="Times New Roman"/>
          <w:color w:val="000000" w:themeColor="text1"/>
          <w:sz w:val="16"/>
          <w:szCs w:val="16"/>
        </w:rPr>
        <w:softHyphen/>
        <w:t>ет</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битмо</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промазочный</w:t>
      </w:r>
      <w:proofErr w:type="spellEnd"/>
      <w:r w:rsidRPr="00A259BD">
        <w:rPr>
          <w:rFonts w:ascii="Times New Roman" w:hAnsi="Times New Roman"/>
          <w:color w:val="000000" w:themeColor="text1"/>
          <w:sz w:val="16"/>
          <w:szCs w:val="16"/>
        </w:rPr>
        <w:t xml:space="preserve"> битумный лак) в хорошем состоянии. Невозможно гер</w:t>
      </w:r>
      <w:r w:rsidRPr="00A259BD">
        <w:rPr>
          <w:rFonts w:ascii="Times New Roman" w:hAnsi="Times New Roman"/>
          <w:color w:val="000000" w:themeColor="text1"/>
          <w:sz w:val="16"/>
          <w:szCs w:val="16"/>
        </w:rPr>
        <w:softHyphen/>
        <w:t>метически задраивать люки водонепроницае</w:t>
      </w:r>
      <w:r w:rsidRPr="00A259BD">
        <w:rPr>
          <w:rFonts w:ascii="Times New Roman" w:hAnsi="Times New Roman"/>
          <w:color w:val="000000" w:themeColor="text1"/>
          <w:sz w:val="16"/>
          <w:szCs w:val="16"/>
        </w:rPr>
        <w:softHyphen/>
        <w:t>мых переборок...». 17 июня 1929 г. помощник начальника ВВС Красной армии Я.И. Алкснис издал приказ о проведении государственных испытаний РОМ-1, Р0М-2 и МР-5. Одновременно для опре</w:t>
      </w:r>
      <w:r w:rsidRPr="00A259BD">
        <w:rPr>
          <w:rFonts w:ascii="Times New Roman" w:hAnsi="Times New Roman"/>
          <w:color w:val="000000" w:themeColor="text1"/>
          <w:sz w:val="16"/>
          <w:szCs w:val="16"/>
        </w:rPr>
        <w:softHyphen/>
        <w:t>деления дальнейшей судьбы этих самолетов организовали комиссию под председатель</w:t>
      </w:r>
      <w:r w:rsidRPr="00A259BD">
        <w:rPr>
          <w:rFonts w:ascii="Times New Roman" w:hAnsi="Times New Roman"/>
          <w:color w:val="000000" w:themeColor="text1"/>
          <w:sz w:val="16"/>
          <w:szCs w:val="16"/>
        </w:rPr>
        <w:softHyphen/>
        <w:t xml:space="preserve">ством начальника ВВС Черного моря В.К. Лаврова. В состав комиссии вошли постоянный член НТК Н.М. Тулупов и </w:t>
      </w:r>
      <w:proofErr w:type="spellStart"/>
      <w:r w:rsidRPr="00A259BD">
        <w:rPr>
          <w:rFonts w:ascii="Times New Roman" w:hAnsi="Times New Roman"/>
          <w:color w:val="000000" w:themeColor="text1"/>
          <w:sz w:val="16"/>
          <w:szCs w:val="16"/>
        </w:rPr>
        <w:t>инженерК.Н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Ганулич</w:t>
      </w:r>
      <w:proofErr w:type="spellEnd"/>
      <w:r w:rsidRPr="00A259BD">
        <w:rPr>
          <w:rFonts w:ascii="Times New Roman" w:hAnsi="Times New Roman"/>
          <w:color w:val="000000" w:themeColor="text1"/>
          <w:sz w:val="16"/>
          <w:szCs w:val="16"/>
        </w:rPr>
        <w:t xml:space="preserve"> (11978).</w:t>
      </w:r>
    </w:p>
    <w:p w14:paraId="03B01E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67E577B" w14:textId="77777777" w:rsidR="00E15FE6" w:rsidRPr="00A259BD" w:rsidRDefault="00E15FE6"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lastRenderedPageBreak/>
        <w:t>В апре</w:t>
      </w:r>
      <w:r w:rsidRPr="00A259BD">
        <w:rPr>
          <w:rFonts w:ascii="Times New Roman" w:cs="Times New Roman"/>
          <w:color w:val="000000" w:themeColor="text1"/>
          <w:sz w:val="16"/>
          <w:szCs w:val="16"/>
        </w:rPr>
        <w:softHyphen/>
        <w:t>ле 1929 г произвели ремонт РОМ-1, а в середине мая его под</w:t>
      </w:r>
      <w:r w:rsidRPr="00A259BD">
        <w:rPr>
          <w:rFonts w:ascii="Times New Roman" w:cs="Times New Roman"/>
          <w:color w:val="000000" w:themeColor="text1"/>
          <w:sz w:val="16"/>
          <w:szCs w:val="16"/>
        </w:rPr>
        <w:softHyphen/>
        <w:t>готовили к полетам, затем, после облета, перегнали в Севастополь. 17 июня 1929 г. помощник начальника ВВС Красной Армии Я.И. Алкснис издал приказ о проведении государ</w:t>
      </w:r>
      <w:r w:rsidRPr="00A259BD">
        <w:rPr>
          <w:rFonts w:ascii="Times New Roman" w:cs="Times New Roman"/>
          <w:color w:val="000000" w:themeColor="text1"/>
          <w:sz w:val="16"/>
          <w:szCs w:val="16"/>
        </w:rPr>
        <w:softHyphen/>
        <w:t>ственных испытаний РОМ-1, РОМ-2 и МР-5 (12609).</w:t>
      </w:r>
    </w:p>
    <w:p w14:paraId="07EED358" w14:textId="77777777" w:rsidR="00E15FE6" w:rsidRPr="00A259BD" w:rsidRDefault="00E15FE6" w:rsidP="009236E3">
      <w:pPr>
        <w:pStyle w:val="45"/>
        <w:shd w:val="clear" w:color="auto" w:fill="auto"/>
        <w:spacing w:before="0" w:line="240" w:lineRule="auto"/>
        <w:jc w:val="both"/>
        <w:rPr>
          <w:rFonts w:ascii="Times New Roman" w:cs="Times New Roman"/>
          <w:color w:val="000000" w:themeColor="text1"/>
          <w:sz w:val="16"/>
          <w:szCs w:val="16"/>
        </w:rPr>
      </w:pPr>
    </w:p>
    <w:p w14:paraId="702E79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был подготовлен проект письма Председателя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 182 по Заводу № 22</w:t>
      </w:r>
    </w:p>
    <w:p w14:paraId="41EFC6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 обеспечении материалами постройки самолета ТОМ.</w:t>
      </w:r>
    </w:p>
    <w:p w14:paraId="26A6B17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 избежание могущих возникнуть недоразумений и перебоев в постройке самолета ТОМ, вопрос о которой должен будет решиться окончательно в ближайшее время, сообщается следующее:</w:t>
      </w:r>
    </w:p>
    <w:p w14:paraId="63F421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 ТОМ будет строиться на заводе № 22 под непосредственным техническим руководством ОПО 4 в лице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Ришара и аппарата ОПО 4</w:t>
      </w:r>
    </w:p>
    <w:p w14:paraId="27ACF6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Обеспечение постройки рабсилой, площадями, материалами и оборудованием будет лежать на заводе № 22 и </w:t>
      </w:r>
      <w:proofErr w:type="spellStart"/>
      <w:r w:rsidRPr="00A259BD">
        <w:rPr>
          <w:rFonts w:ascii="Times New Roman" w:hAnsi="Times New Roman"/>
          <w:color w:val="000000" w:themeColor="text1"/>
          <w:sz w:val="16"/>
          <w:szCs w:val="16"/>
        </w:rPr>
        <w:t>лежатиь</w:t>
      </w:r>
      <w:proofErr w:type="spellEnd"/>
      <w:r w:rsidRPr="00A259BD">
        <w:rPr>
          <w:rFonts w:ascii="Times New Roman" w:hAnsi="Times New Roman"/>
          <w:color w:val="000000" w:themeColor="text1"/>
          <w:sz w:val="16"/>
          <w:szCs w:val="16"/>
        </w:rPr>
        <w:t xml:space="preserve"> на его аппарате, т.к. ОПО 4 не имеет соответствующих организационных ячеек и иметь не будет.</w:t>
      </w:r>
    </w:p>
    <w:p w14:paraId="316C4F2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заготовкам материалов </w:t>
      </w:r>
      <w:proofErr w:type="spellStart"/>
      <w:r w:rsidRPr="00A259BD">
        <w:rPr>
          <w:rFonts w:ascii="Times New Roman" w:hAnsi="Times New Roman"/>
          <w:color w:val="000000" w:themeColor="text1"/>
          <w:sz w:val="16"/>
          <w:szCs w:val="16"/>
        </w:rPr>
        <w:t>д.б</w:t>
      </w:r>
      <w:proofErr w:type="spellEnd"/>
      <w:r w:rsidRPr="00A259BD">
        <w:rPr>
          <w:rFonts w:ascii="Times New Roman" w:hAnsi="Times New Roman"/>
          <w:color w:val="000000" w:themeColor="text1"/>
          <w:sz w:val="16"/>
          <w:szCs w:val="16"/>
        </w:rPr>
        <w:t>. приступлено уже в настоящее время.</w:t>
      </w:r>
    </w:p>
    <w:p w14:paraId="2326216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Заготовка будет вестись отделом Снабжения завода № 22, которому ОПО 4 должен передать все необходимые технические данные и сведения, а Отдел Снабжения завода будет уже сам сноситься в необходимых случаях с КФО Правления треста.</w:t>
      </w:r>
    </w:p>
    <w:p w14:paraId="08DB4A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всем вопросам снабжения постройки ОПО 4 должен будет сноситься непосредственно с Отделом Снабжения завода.</w:t>
      </w:r>
    </w:p>
    <w:p w14:paraId="5FBD36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Материалы, заготовленные для ОПО 4, должны храниться на складах завода и отпускаться лишь по требованиям ОПО 4. Позаимствование этих материалов для нужд серийного производства может быть допущено в исключит </w:t>
      </w:r>
      <w:proofErr w:type="spellStart"/>
      <w:r w:rsidRPr="00A259BD">
        <w:rPr>
          <w:rFonts w:ascii="Times New Roman" w:hAnsi="Times New Roman"/>
          <w:color w:val="000000" w:themeColor="text1"/>
          <w:sz w:val="16"/>
          <w:szCs w:val="16"/>
        </w:rPr>
        <w:t>ельных</w:t>
      </w:r>
      <w:proofErr w:type="spellEnd"/>
      <w:r w:rsidRPr="00A259BD">
        <w:rPr>
          <w:rFonts w:ascii="Times New Roman" w:hAnsi="Times New Roman"/>
          <w:color w:val="000000" w:themeColor="text1"/>
          <w:sz w:val="16"/>
          <w:szCs w:val="16"/>
        </w:rPr>
        <w:t xml:space="preserve"> случаях и только по согласованию между заводом и ОПО 4.</w:t>
      </w:r>
    </w:p>
    <w:p w14:paraId="78E362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Ввиду изложенного предлагается ОПО 4 и заводу № 22 в ближайшее время первому передать, а второму принять все необходимые данные отдела по заготовке материалов для постройки самолета ТОМ и частей для статистических испытаний его, уточнив могущие возникнуть вопросы в КФО Правления треста.</w:t>
      </w:r>
    </w:p>
    <w:p w14:paraId="464290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 исполнении просьба сообщить (2363).</w:t>
      </w:r>
    </w:p>
    <w:p w14:paraId="02C0FA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5F69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был подготовлен проект письма Председателя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в ОПО 4 на заводе № 28 № 182/013117 На </w:t>
      </w:r>
      <w:proofErr w:type="spellStart"/>
      <w:r w:rsidRPr="00A259BD">
        <w:rPr>
          <w:rFonts w:ascii="Times New Roman" w:hAnsi="Times New Roman"/>
          <w:color w:val="000000" w:themeColor="text1"/>
          <w:sz w:val="16"/>
          <w:szCs w:val="16"/>
        </w:rPr>
        <w:t>вх</w:t>
      </w:r>
      <w:proofErr w:type="spellEnd"/>
      <w:r w:rsidRPr="00A259BD">
        <w:rPr>
          <w:rFonts w:ascii="Times New Roman" w:hAnsi="Times New Roman"/>
          <w:color w:val="000000" w:themeColor="text1"/>
          <w:sz w:val="16"/>
          <w:szCs w:val="16"/>
        </w:rPr>
        <w:t>. № 6663/н-19:</w:t>
      </w:r>
    </w:p>
    <w:p w14:paraId="2763A7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протоколом Макетной комиссии по с-ту ТОМ</w:t>
      </w:r>
    </w:p>
    <w:p w14:paraId="351011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сем препровождается для руководства и соответствующего исполнения протокол заседания макетной Комиссии по осмотру макета самолета ТОМ.</w:t>
      </w:r>
    </w:p>
    <w:p w14:paraId="448129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Просьба по получении срочно сообщить в Тех. Отдел сроки готовности макета к </w:t>
      </w:r>
      <w:proofErr w:type="spellStart"/>
      <w:r w:rsidRPr="00A259BD">
        <w:rPr>
          <w:rFonts w:ascii="Times New Roman" w:hAnsi="Times New Roman"/>
          <w:color w:val="000000" w:themeColor="text1"/>
          <w:sz w:val="16"/>
          <w:szCs w:val="16"/>
        </w:rPr>
        <w:t>оконча</w:t>
      </w:r>
      <w:proofErr w:type="spellEnd"/>
      <w:r w:rsidRPr="00A259BD">
        <w:rPr>
          <w:rFonts w:ascii="Times New Roman" w:hAnsi="Times New Roman"/>
          <w:color w:val="000000" w:themeColor="text1"/>
          <w:sz w:val="16"/>
          <w:szCs w:val="16"/>
        </w:rPr>
        <w:t>-осмотру с внесением в него изменений протокола, а также сроки готовности выдвинутых в протоколе соображений расчетного характер, отдельно в отношении прицепных ка... и в отношении перегрузки.</w:t>
      </w:r>
    </w:p>
    <w:p w14:paraId="2A21EF7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касается вопроса о переносе постоянного пилота с правой стороны на </w:t>
      </w:r>
      <w:proofErr w:type="spellStart"/>
      <w:r w:rsidRPr="00A259BD">
        <w:rPr>
          <w:rFonts w:ascii="Times New Roman" w:hAnsi="Times New Roman"/>
          <w:color w:val="000000" w:themeColor="text1"/>
          <w:sz w:val="16"/>
          <w:szCs w:val="16"/>
        </w:rPr>
        <w:t>левую,то</w:t>
      </w:r>
      <w:proofErr w:type="spellEnd"/>
      <w:r w:rsidRPr="00A259BD">
        <w:rPr>
          <w:rFonts w:ascii="Times New Roman" w:hAnsi="Times New Roman"/>
          <w:color w:val="000000" w:themeColor="text1"/>
          <w:sz w:val="16"/>
          <w:szCs w:val="16"/>
        </w:rPr>
        <w:t xml:space="preserve"> цельное решение его будет сообщено дополнительно (2363).</w:t>
      </w:r>
    </w:p>
    <w:p w14:paraId="72EB70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4DB61F" w14:textId="77777777" w:rsidR="00195D7F" w:rsidRPr="00A259BD" w:rsidRDefault="00195D7F" w:rsidP="009236E3">
      <w:pPr>
        <w:pStyle w:val="affc"/>
        <w:shd w:val="clear" w:color="auto" w:fill="FFFFFF"/>
        <w:spacing w:before="0" w:beforeAutospacing="0" w:after="0" w:afterAutospacing="0"/>
        <w:jc w:val="both"/>
        <w:rPr>
          <w:color w:val="000000" w:themeColor="text1"/>
          <w:sz w:val="16"/>
          <w:szCs w:val="16"/>
        </w:rPr>
      </w:pPr>
      <w:r w:rsidRPr="00A259BD">
        <w:rPr>
          <w:color w:val="000000" w:themeColor="text1"/>
          <w:sz w:val="16"/>
          <w:szCs w:val="16"/>
        </w:rPr>
        <w:t>В апреле 1929 года состоялась XVI Всесоюзная конференция ВКП(б), на которой был принят план первой пятилетки, предусматривавший, в том числе, строительство в СССР свыше 500 крупных промышленных предприятий различных отраслей.</w:t>
      </w:r>
    </w:p>
    <w:p w14:paraId="39509C0D" w14:textId="77777777" w:rsidR="00195D7F" w:rsidRPr="00A259BD" w:rsidRDefault="00195D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Планом первой пятилетки было предусмотрено строительство в СССР свыше 500 крупных промышленных предприятий различных отраслей. Среди этого количества было два Воронежских авиационных завода. Они имели литеры “Б” и “Р”.</w:t>
      </w:r>
    </w:p>
    <w:p w14:paraId="647F81ED" w14:textId="77777777" w:rsidR="00195D7F" w:rsidRPr="00A259BD" w:rsidRDefault="00195D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Территорию бывшего завода «Взрыватель», где изначально предполагалось строить новое авиастроительное предприятие, комиссия забраковала. И тогда выбор пал на участок в районе деревни Монастырщина, вольно раскинувшейся на левом берегу реки Воронеж. Место для завода Б было выбрано (19822).</w:t>
      </w:r>
    </w:p>
    <w:p w14:paraId="0AA84DD2" w14:textId="77777777" w:rsidR="00195D7F" w:rsidRPr="00A259BD" w:rsidRDefault="00195D7F" w:rsidP="009236E3">
      <w:pPr>
        <w:pStyle w:val="ae"/>
        <w:shd w:val="clear" w:color="auto" w:fill="FFFFFF"/>
        <w:spacing w:before="0" w:after="0"/>
        <w:jc w:val="both"/>
        <w:rPr>
          <w:color w:val="000000" w:themeColor="text1"/>
          <w:sz w:val="16"/>
          <w:szCs w:val="16"/>
        </w:rPr>
      </w:pPr>
    </w:p>
    <w:p w14:paraId="75BE3A44"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года заводом 24 начал проектироваться мотор М-29 вне плана (мощность 600 л.с.) (6998, 9-14).</w:t>
      </w:r>
    </w:p>
    <w:p w14:paraId="1DCE3FC3"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C70D57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были подготовлены Сведения о выполнении заданий Отдела применения НИИ за март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1984"/>
        <w:gridCol w:w="3828"/>
        <w:gridCol w:w="1701"/>
      </w:tblGrid>
      <w:tr w:rsidR="00A259BD" w:rsidRPr="00A259BD" w14:paraId="64E08D23" w14:textId="77777777">
        <w:tc>
          <w:tcPr>
            <w:tcW w:w="3085" w:type="dxa"/>
          </w:tcPr>
          <w:p w14:paraId="5FB9DD7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Наименование задания</w:t>
            </w:r>
          </w:p>
        </w:tc>
        <w:tc>
          <w:tcPr>
            <w:tcW w:w="1984" w:type="dxa"/>
          </w:tcPr>
          <w:p w14:paraId="78730B8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Когда дано задание</w:t>
            </w:r>
          </w:p>
        </w:tc>
        <w:tc>
          <w:tcPr>
            <w:tcW w:w="3828" w:type="dxa"/>
          </w:tcPr>
          <w:p w14:paraId="708D40C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Срок выполнения</w:t>
            </w:r>
          </w:p>
        </w:tc>
        <w:tc>
          <w:tcPr>
            <w:tcW w:w="1701" w:type="dxa"/>
          </w:tcPr>
          <w:p w14:paraId="75FC233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каком состоянии находится задание </w:t>
            </w:r>
          </w:p>
        </w:tc>
      </w:tr>
      <w:tr w:rsidR="00A259BD" w:rsidRPr="00A259BD" w14:paraId="5E6D5325" w14:textId="77777777">
        <w:tc>
          <w:tcPr>
            <w:tcW w:w="3085" w:type="dxa"/>
          </w:tcPr>
          <w:p w14:paraId="1593578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Р-V БМВ</w:t>
            </w:r>
          </w:p>
        </w:tc>
        <w:tc>
          <w:tcPr>
            <w:tcW w:w="1984" w:type="dxa"/>
          </w:tcPr>
          <w:p w14:paraId="50927BE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1EA8829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находится на заводе</w:t>
            </w:r>
          </w:p>
        </w:tc>
        <w:tc>
          <w:tcPr>
            <w:tcW w:w="1701" w:type="dxa"/>
          </w:tcPr>
          <w:p w14:paraId="41A7D39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DC35D0C" w14:textId="77777777">
        <w:tc>
          <w:tcPr>
            <w:tcW w:w="3085" w:type="dxa"/>
          </w:tcPr>
          <w:p w14:paraId="231BA5F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Р-III БМВ VI</w:t>
            </w:r>
          </w:p>
        </w:tc>
        <w:tc>
          <w:tcPr>
            <w:tcW w:w="1984" w:type="dxa"/>
          </w:tcPr>
          <w:p w14:paraId="76BB6B7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0F16B9E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стадии выполнения</w:t>
            </w:r>
          </w:p>
        </w:tc>
        <w:tc>
          <w:tcPr>
            <w:tcW w:w="1701" w:type="dxa"/>
          </w:tcPr>
          <w:p w14:paraId="75E6AE8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w:t>
            </w:r>
          </w:p>
        </w:tc>
      </w:tr>
      <w:tr w:rsidR="00A259BD" w:rsidRPr="00A259BD" w14:paraId="0BB539A4" w14:textId="77777777">
        <w:tc>
          <w:tcPr>
            <w:tcW w:w="3085" w:type="dxa"/>
          </w:tcPr>
          <w:p w14:paraId="3AD558B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ТБ1</w:t>
            </w:r>
          </w:p>
        </w:tc>
        <w:tc>
          <w:tcPr>
            <w:tcW w:w="1984" w:type="dxa"/>
          </w:tcPr>
          <w:p w14:paraId="25B9700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560A6BB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взят, поэтому испытание прекращено</w:t>
            </w:r>
          </w:p>
        </w:tc>
        <w:tc>
          <w:tcPr>
            <w:tcW w:w="1701" w:type="dxa"/>
          </w:tcPr>
          <w:p w14:paraId="68D342C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r>
      <w:tr w:rsidR="00A259BD" w:rsidRPr="00A259BD" w14:paraId="253960F6" w14:textId="77777777">
        <w:tc>
          <w:tcPr>
            <w:tcW w:w="3085" w:type="dxa"/>
          </w:tcPr>
          <w:p w14:paraId="4270F34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И-3</w:t>
            </w:r>
          </w:p>
        </w:tc>
        <w:tc>
          <w:tcPr>
            <w:tcW w:w="1984" w:type="dxa"/>
          </w:tcPr>
          <w:p w14:paraId="023225E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58E464A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находится на заводе</w:t>
            </w:r>
          </w:p>
        </w:tc>
        <w:tc>
          <w:tcPr>
            <w:tcW w:w="1701" w:type="dxa"/>
          </w:tcPr>
          <w:p w14:paraId="4CF6702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139802B" w14:textId="77777777">
        <w:tc>
          <w:tcPr>
            <w:tcW w:w="3085" w:type="dxa"/>
          </w:tcPr>
          <w:p w14:paraId="25497A3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И IV Ю-VI</w:t>
            </w:r>
          </w:p>
        </w:tc>
        <w:tc>
          <w:tcPr>
            <w:tcW w:w="1984" w:type="dxa"/>
          </w:tcPr>
          <w:p w14:paraId="0EE22FF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165752C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Летное испытание закончено</w:t>
            </w:r>
          </w:p>
        </w:tc>
        <w:tc>
          <w:tcPr>
            <w:tcW w:w="1701" w:type="dxa"/>
          </w:tcPr>
          <w:p w14:paraId="2F10592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w:t>
            </w:r>
          </w:p>
        </w:tc>
      </w:tr>
      <w:tr w:rsidR="00A259BD" w:rsidRPr="00A259BD" w14:paraId="13958593" w14:textId="77777777">
        <w:tc>
          <w:tcPr>
            <w:tcW w:w="3085" w:type="dxa"/>
          </w:tcPr>
          <w:p w14:paraId="35F6B84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НД-37</w:t>
            </w:r>
          </w:p>
        </w:tc>
        <w:tc>
          <w:tcPr>
            <w:tcW w:w="1984" w:type="dxa"/>
          </w:tcPr>
          <w:p w14:paraId="550860A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3D70868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сдан в 15 авиабригаду</w:t>
            </w:r>
          </w:p>
        </w:tc>
        <w:tc>
          <w:tcPr>
            <w:tcW w:w="1701" w:type="dxa"/>
          </w:tcPr>
          <w:p w14:paraId="20E5310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r>
      <w:tr w:rsidR="00A259BD" w:rsidRPr="00A259BD" w14:paraId="51334397" w14:textId="77777777">
        <w:tc>
          <w:tcPr>
            <w:tcW w:w="3085" w:type="dxa"/>
          </w:tcPr>
          <w:p w14:paraId="6A32113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Авиа “ВН-33”</w:t>
            </w:r>
          </w:p>
        </w:tc>
        <w:tc>
          <w:tcPr>
            <w:tcW w:w="1984" w:type="dxa"/>
          </w:tcPr>
          <w:p w14:paraId="1DCA9F3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014B5BC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Ожидается переделка подогревателя мотора</w:t>
            </w:r>
          </w:p>
        </w:tc>
        <w:tc>
          <w:tcPr>
            <w:tcW w:w="1701" w:type="dxa"/>
          </w:tcPr>
          <w:p w14:paraId="430C7D6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36B4CA2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(6953, 19-21).</w:t>
      </w:r>
    </w:p>
    <w:p w14:paraId="50BB186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A3D4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w:t>
      </w:r>
      <w:proofErr w:type="spellStart"/>
      <w:r w:rsidRPr="00A259BD">
        <w:rPr>
          <w:rFonts w:ascii="Times New Roman" w:hAnsi="Times New Roman"/>
          <w:color w:val="000000" w:themeColor="text1"/>
          <w:sz w:val="16"/>
          <w:szCs w:val="16"/>
        </w:rPr>
        <w:t>Б.С.Петропавловский</w:t>
      </w:r>
      <w:proofErr w:type="spellEnd"/>
      <w:r w:rsidRPr="00A259BD">
        <w:rPr>
          <w:rFonts w:ascii="Times New Roman" w:hAnsi="Times New Roman"/>
          <w:color w:val="000000" w:themeColor="text1"/>
          <w:sz w:val="16"/>
          <w:szCs w:val="16"/>
        </w:rPr>
        <w:t xml:space="preserve"> пришел в ГДЛ (93,17).</w:t>
      </w:r>
    </w:p>
    <w:p w14:paraId="0C22BF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C1D26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w:t>
      </w:r>
      <w:proofErr w:type="spellStart"/>
      <w:r w:rsidRPr="00A259BD">
        <w:rPr>
          <w:rFonts w:ascii="Times New Roman" w:hAnsi="Times New Roman"/>
          <w:color w:val="000000" w:themeColor="text1"/>
          <w:sz w:val="16"/>
          <w:szCs w:val="16"/>
        </w:rPr>
        <w:t>Скрипухин</w:t>
      </w:r>
      <w:proofErr w:type="spellEnd"/>
      <w:r w:rsidRPr="00A259BD">
        <w:rPr>
          <w:rFonts w:ascii="Times New Roman" w:hAnsi="Times New Roman"/>
          <w:color w:val="000000" w:themeColor="text1"/>
          <w:sz w:val="16"/>
          <w:szCs w:val="16"/>
        </w:rPr>
        <w:t xml:space="preserve">, возглавляющий исследовательскую комиссию по парашютам в НИИ ВВС РККА, пришел к выводу, что парашют Ирвина самый лучший. С 1927 выбирали из Гофман, </w:t>
      </w:r>
      <w:proofErr w:type="spellStart"/>
      <w:r w:rsidRPr="00A259BD">
        <w:rPr>
          <w:rFonts w:ascii="Times New Roman" w:hAnsi="Times New Roman"/>
          <w:color w:val="000000" w:themeColor="text1"/>
          <w:sz w:val="16"/>
          <w:szCs w:val="16"/>
        </w:rPr>
        <w:t>Нанака</w:t>
      </w:r>
      <w:proofErr w:type="spellEnd"/>
      <w:r w:rsidRPr="00A259BD">
        <w:rPr>
          <w:rFonts w:ascii="Times New Roman" w:hAnsi="Times New Roman"/>
          <w:color w:val="000000" w:themeColor="text1"/>
          <w:sz w:val="16"/>
          <w:szCs w:val="16"/>
        </w:rPr>
        <w:t xml:space="preserve"> (Япония), </w:t>
      </w:r>
      <w:proofErr w:type="spellStart"/>
      <w:r w:rsidRPr="00A259BD">
        <w:rPr>
          <w:rFonts w:ascii="Times New Roman" w:hAnsi="Times New Roman"/>
          <w:color w:val="000000" w:themeColor="text1"/>
          <w:sz w:val="16"/>
          <w:szCs w:val="16"/>
        </w:rPr>
        <w:t>Жеккекюю</w:t>
      </w:r>
      <w:proofErr w:type="spellEnd"/>
      <w:r w:rsidRPr="00A259BD">
        <w:rPr>
          <w:rFonts w:ascii="Times New Roman" w:hAnsi="Times New Roman"/>
          <w:color w:val="000000" w:themeColor="text1"/>
          <w:sz w:val="16"/>
          <w:szCs w:val="16"/>
        </w:rPr>
        <w:t xml:space="preserve"> (Англия), </w:t>
      </w:r>
      <w:proofErr w:type="spellStart"/>
      <w:r w:rsidRPr="00A259BD">
        <w:rPr>
          <w:rFonts w:ascii="Times New Roman" w:hAnsi="Times New Roman"/>
          <w:color w:val="000000" w:themeColor="text1"/>
          <w:sz w:val="16"/>
          <w:szCs w:val="16"/>
        </w:rPr>
        <w:t>Авиариес</w:t>
      </w:r>
      <w:proofErr w:type="spellEnd"/>
      <w:r w:rsidRPr="00A259BD">
        <w:rPr>
          <w:rFonts w:ascii="Times New Roman" w:hAnsi="Times New Roman"/>
          <w:color w:val="000000" w:themeColor="text1"/>
          <w:sz w:val="16"/>
          <w:szCs w:val="16"/>
        </w:rPr>
        <w:t xml:space="preserve"> (Франция) и решили послать в Америку л </w:t>
      </w:r>
      <w:proofErr w:type="spellStart"/>
      <w:r w:rsidRPr="00A259BD">
        <w:rPr>
          <w:rFonts w:ascii="Times New Roman" w:hAnsi="Times New Roman"/>
          <w:color w:val="000000" w:themeColor="text1"/>
          <w:sz w:val="16"/>
          <w:szCs w:val="16"/>
        </w:rPr>
        <w:t>Л.Г.Минова</w:t>
      </w:r>
      <w:proofErr w:type="spellEnd"/>
      <w:r w:rsidRPr="00A259BD">
        <w:rPr>
          <w:rFonts w:ascii="Times New Roman" w:hAnsi="Times New Roman"/>
          <w:color w:val="000000" w:themeColor="text1"/>
          <w:sz w:val="16"/>
          <w:szCs w:val="16"/>
        </w:rPr>
        <w:t xml:space="preserve"> (1101,38).</w:t>
      </w:r>
    </w:p>
    <w:p w14:paraId="756469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82653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в ГДЛ пришел </w:t>
      </w:r>
      <w:proofErr w:type="spellStart"/>
      <w:r w:rsidRPr="00A259BD">
        <w:rPr>
          <w:rFonts w:ascii="Times New Roman" w:hAnsi="Times New Roman"/>
          <w:color w:val="000000" w:themeColor="text1"/>
          <w:sz w:val="16"/>
          <w:szCs w:val="16"/>
        </w:rPr>
        <w:t>Б.С.Петропавловский</w:t>
      </w:r>
      <w:proofErr w:type="spellEnd"/>
      <w:r w:rsidRPr="00A259BD">
        <w:rPr>
          <w:rFonts w:ascii="Times New Roman" w:hAnsi="Times New Roman"/>
          <w:color w:val="000000" w:themeColor="text1"/>
          <w:sz w:val="16"/>
          <w:szCs w:val="16"/>
        </w:rPr>
        <w:t xml:space="preserve"> и стал делать пусковые устройства - предложил перейти от минометного ствола к легким тонкостенным трубам (1233,23).</w:t>
      </w:r>
    </w:p>
    <w:p w14:paraId="614C15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EEC2B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w:t>
      </w:r>
      <w:proofErr w:type="spellStart"/>
      <w:r w:rsidRPr="00A259BD">
        <w:rPr>
          <w:rFonts w:ascii="Times New Roman" w:hAnsi="Times New Roman"/>
          <w:color w:val="000000" w:themeColor="text1"/>
          <w:sz w:val="16"/>
          <w:szCs w:val="16"/>
        </w:rPr>
        <w:t>комэск</w:t>
      </w:r>
      <w:proofErr w:type="spellEnd"/>
      <w:r w:rsidRPr="00A259BD">
        <w:rPr>
          <w:rFonts w:ascii="Times New Roman" w:hAnsi="Times New Roman"/>
          <w:color w:val="000000" w:themeColor="text1"/>
          <w:sz w:val="16"/>
          <w:szCs w:val="16"/>
        </w:rPr>
        <w:t xml:space="preserve"> Морских сил </w:t>
      </w:r>
      <w:proofErr w:type="spellStart"/>
      <w:r w:rsidRPr="00A259BD">
        <w:rPr>
          <w:rFonts w:ascii="Times New Roman" w:hAnsi="Times New Roman"/>
          <w:color w:val="000000" w:themeColor="text1"/>
          <w:sz w:val="16"/>
          <w:szCs w:val="16"/>
        </w:rPr>
        <w:t>Балтморя</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Б.Г.Чухновский</w:t>
      </w:r>
      <w:proofErr w:type="spellEnd"/>
      <w:r w:rsidRPr="00A259BD">
        <w:rPr>
          <w:rFonts w:ascii="Times New Roman" w:hAnsi="Times New Roman"/>
          <w:color w:val="000000" w:themeColor="text1"/>
          <w:sz w:val="16"/>
          <w:szCs w:val="16"/>
        </w:rPr>
        <w:t xml:space="preserve"> писал НКВТ А.И.М. докладную записку со необходимости организовать ледовую разведку в Карском море для обеспечения проводки судов и просил Дорнье-Валь (99,155).</w:t>
      </w:r>
    </w:p>
    <w:p w14:paraId="0558BC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47253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г. возвращающийся из командировки в Париж заместитель начальника ВВС РККА Яков Алкснис посетил фирму Хейнкеля и сообщил ему о предложении советской стороны изготовить катапульту и летающую лодку к ней для одного из советских кораблей, базирующихся на Черном море. На</w:t>
      </w:r>
      <w:r w:rsidRPr="00A259BD">
        <w:rPr>
          <w:rFonts w:ascii="Times New Roman" w:hAnsi="Times New Roman"/>
          <w:color w:val="000000" w:themeColor="text1"/>
          <w:sz w:val="16"/>
          <w:szCs w:val="16"/>
        </w:rPr>
        <w:softHyphen/>
        <w:t>звание корабля и его водоизмещение не указывалось, однако оговаривалось, что длина катапульты не должна пре</w:t>
      </w:r>
      <w:r w:rsidRPr="00A259BD">
        <w:rPr>
          <w:rFonts w:ascii="Times New Roman" w:hAnsi="Times New Roman"/>
          <w:color w:val="000000" w:themeColor="text1"/>
          <w:sz w:val="16"/>
          <w:szCs w:val="16"/>
        </w:rPr>
        <w:softHyphen/>
        <w:t>вышать 21,5 м (11107).</w:t>
      </w:r>
    </w:p>
    <w:p w14:paraId="1C6BE3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F19640" w14:textId="77777777" w:rsidR="00F402B5" w:rsidRPr="00A259BD" w:rsidRDefault="00F402B5"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г. на экспертизу </w:t>
      </w:r>
      <w:proofErr w:type="spellStart"/>
      <w:r w:rsidRPr="00A259BD">
        <w:rPr>
          <w:rFonts w:ascii="Times New Roman" w:hAnsi="Times New Roman"/>
          <w:color w:val="000000" w:themeColor="text1"/>
          <w:sz w:val="16"/>
          <w:szCs w:val="16"/>
        </w:rPr>
        <w:t>Н.И.Тихомирову</w:t>
      </w:r>
      <w:proofErr w:type="spellEnd"/>
      <w:r w:rsidRPr="00A259BD">
        <w:rPr>
          <w:rFonts w:ascii="Times New Roman" w:hAnsi="Times New Roman"/>
          <w:color w:val="000000" w:themeColor="text1"/>
          <w:sz w:val="16"/>
          <w:szCs w:val="16"/>
        </w:rPr>
        <w:t xml:space="preserve"> в ГДЛ и к профессору </w:t>
      </w:r>
      <w:proofErr w:type="spellStart"/>
      <w:r w:rsidRPr="00A259BD">
        <w:rPr>
          <w:rFonts w:ascii="Times New Roman" w:hAnsi="Times New Roman"/>
          <w:color w:val="000000" w:themeColor="text1"/>
          <w:sz w:val="16"/>
          <w:szCs w:val="16"/>
        </w:rPr>
        <w:t>М.В.Шулейкину</w:t>
      </w:r>
      <w:proofErr w:type="spellEnd"/>
      <w:r w:rsidRPr="00A259BD">
        <w:rPr>
          <w:rFonts w:ascii="Times New Roman" w:hAnsi="Times New Roman"/>
          <w:color w:val="000000" w:themeColor="text1"/>
          <w:sz w:val="16"/>
          <w:szCs w:val="16"/>
        </w:rPr>
        <w:t xml:space="preserve"> в Москве поступила работа </w:t>
      </w:r>
      <w:proofErr w:type="spellStart"/>
      <w:r w:rsidRPr="00A259BD">
        <w:rPr>
          <w:rFonts w:ascii="Times New Roman" w:hAnsi="Times New Roman"/>
          <w:color w:val="000000" w:themeColor="text1"/>
          <w:sz w:val="16"/>
          <w:szCs w:val="16"/>
        </w:rPr>
        <w:t>В.П.Глушко</w:t>
      </w:r>
      <w:proofErr w:type="spellEnd"/>
      <w:r w:rsidRPr="00A259BD">
        <w:rPr>
          <w:rFonts w:ascii="Times New Roman" w:hAnsi="Times New Roman"/>
          <w:color w:val="000000" w:themeColor="text1"/>
          <w:sz w:val="16"/>
          <w:szCs w:val="16"/>
        </w:rPr>
        <w:t xml:space="preserve"> «Металл, как взрывчатое вещество», являвшееся третьей частью его дипломного проекта. В одобрительном отзыве на работу </w:t>
      </w:r>
      <w:proofErr w:type="spellStart"/>
      <w:r w:rsidRPr="00A259BD">
        <w:rPr>
          <w:rFonts w:ascii="Times New Roman" w:hAnsi="Times New Roman"/>
          <w:color w:val="000000" w:themeColor="text1"/>
          <w:sz w:val="16"/>
          <w:szCs w:val="16"/>
        </w:rPr>
        <w:t>Н.И.Тихомиров</w:t>
      </w:r>
      <w:proofErr w:type="spellEnd"/>
      <w:r w:rsidRPr="00A259BD">
        <w:rPr>
          <w:rFonts w:ascii="Times New Roman" w:hAnsi="Times New Roman"/>
          <w:color w:val="000000" w:themeColor="text1"/>
          <w:sz w:val="16"/>
          <w:szCs w:val="16"/>
        </w:rPr>
        <w:t xml:space="preserve"> писал: «Результаты проверочных расчетов повелительно указывают на необходимость безотлагательно приступить к опытным работам по предложению </w:t>
      </w:r>
      <w:proofErr w:type="spellStart"/>
      <w:r w:rsidRPr="00A259BD">
        <w:rPr>
          <w:rFonts w:ascii="Times New Roman" w:hAnsi="Times New Roman"/>
          <w:color w:val="000000" w:themeColor="text1"/>
          <w:sz w:val="16"/>
          <w:szCs w:val="16"/>
        </w:rPr>
        <w:t>В.П.Глушко</w:t>
      </w:r>
      <w:proofErr w:type="spellEnd"/>
      <w:r w:rsidRPr="00A259BD">
        <w:rPr>
          <w:rFonts w:ascii="Times New Roman" w:hAnsi="Times New Roman"/>
          <w:color w:val="000000" w:themeColor="text1"/>
          <w:sz w:val="16"/>
          <w:szCs w:val="16"/>
        </w:rPr>
        <w:t xml:space="preserve">». В результате 15 мая 1929 г. под руководством </w:t>
      </w:r>
      <w:proofErr w:type="spellStart"/>
      <w:r w:rsidRPr="00A259BD">
        <w:rPr>
          <w:rFonts w:ascii="Times New Roman" w:hAnsi="Times New Roman"/>
          <w:color w:val="000000" w:themeColor="text1"/>
          <w:sz w:val="16"/>
          <w:szCs w:val="16"/>
        </w:rPr>
        <w:t>В.П.Глушко</w:t>
      </w:r>
      <w:proofErr w:type="spellEnd"/>
      <w:r w:rsidRPr="00A259BD">
        <w:rPr>
          <w:rFonts w:ascii="Times New Roman" w:hAnsi="Times New Roman"/>
          <w:color w:val="000000" w:themeColor="text1"/>
          <w:sz w:val="16"/>
          <w:szCs w:val="16"/>
        </w:rPr>
        <w:t xml:space="preserve"> начало работу новое подразделение ГДЛ по разработке электрических и жидкостных ракетных двигателей и ракет (15252).</w:t>
      </w:r>
    </w:p>
    <w:p w14:paraId="5C1E081D" w14:textId="77777777" w:rsidR="00F402B5" w:rsidRPr="00A259BD" w:rsidRDefault="00F402B5" w:rsidP="009236E3">
      <w:pPr>
        <w:shd w:val="clear" w:color="auto" w:fill="FFFFFF"/>
        <w:spacing w:after="0" w:line="240" w:lineRule="auto"/>
        <w:jc w:val="both"/>
        <w:rPr>
          <w:rFonts w:ascii="Times New Roman" w:hAnsi="Times New Roman"/>
          <w:color w:val="000000" w:themeColor="text1"/>
          <w:sz w:val="16"/>
          <w:szCs w:val="16"/>
        </w:rPr>
      </w:pPr>
    </w:p>
    <w:p w14:paraId="292ACFB1" w14:textId="19E42913" w:rsidR="00156342" w:rsidRPr="00A259BD" w:rsidRDefault="001563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года военный атташе советского полпредства в Италии Григорий Силин докладывал своему начальству о разговоре с опальным инженером Нобиле:</w:t>
      </w:r>
    </w:p>
    <w:p w14:paraId="6A6E7EC2" w14:textId="77777777" w:rsidR="00156342" w:rsidRPr="00A259BD" w:rsidRDefault="001563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 Курносов, зав. бюро печати, имел свиданье с ген. Нобиле. Он передаёт следующий разговор с Нобиле. Его завод закрыт. На заводе имеется один готовый дирижабль его системы и полный в собранном виде стальной ангар к нему. Имеется также второй недостроенный дирижабль, на который уже затрачено 700.000 лир. Всё находится на заводе без достаточного ухода и даже портится. Готовый дирижабль с ангаром итальянское правительство хотело продать Испании, но почти уже в конце почему-то прекратило переговоры. Дирижабль с ангаром стоят около 3 миллионов лир.</w:t>
      </w:r>
    </w:p>
    <w:p w14:paraId="2C01C0EE" w14:textId="77777777" w:rsidR="00156342" w:rsidRPr="00A259BD" w:rsidRDefault="001563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Нобиле, вероятно, очень хочет, чтобы это было продано, и зондирует почву.</w:t>
      </w:r>
    </w:p>
    <w:p w14:paraId="5A5325E1" w14:textId="77777777" w:rsidR="00156342" w:rsidRPr="00A259BD" w:rsidRDefault="001563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Помощник начальника УВВС Сергей Меженинов поручил председателю Научно-технического комитета УВВС Петру Дубенскому выяснить: не интересует ли нас содержимое римских дирижабельных складов? Тот вскоре ответил:</w:t>
      </w:r>
    </w:p>
    <w:p w14:paraId="42E10427" w14:textId="7A480C6F" w:rsidR="00156342" w:rsidRPr="00A259BD" w:rsidRDefault="001563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Дело это безусловно интересное. УВВС покупать это всё же едва ли стоит. ЦАГИ это интересует, но они такой суммы не получат. Во всяком случае весьма желательно с этим делом познакомиться ближе, т. к. в этой записке сведений мало (23192).</w:t>
      </w:r>
    </w:p>
    <w:p w14:paraId="78D1AFFE" w14:textId="77777777" w:rsidR="00156342" w:rsidRPr="00A259BD" w:rsidRDefault="00156342"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119B29E0"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апреле 1929 г. из ОВИ Комитета по делам изобретений ВСНХ на экспертизу к профессору-физику Василию Шулейкину (1895-1979) в Управление связи РККА в Москве поступил проект жидкостного реактивного двигателя (ЖРД). Его подал молодой выпускник Новороссийского (Одесского) университета Валентин Глушко (1908-1989).</w:t>
      </w:r>
    </w:p>
    <w:p w14:paraId="08A22BCD"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Проект был одобрен, и в 1930 г. В. П. Глушко стал сотрудником ГДЛ, в которой возглавил группу (с 1931 г. сектор) по разработке жидкостных и электрических ракетных двигателей.</w:t>
      </w:r>
    </w:p>
    <w:p w14:paraId="50771E81"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 xml:space="preserve">Первым реализованным проектом Глушко явился ОРМ-1 (опытный ракетный мотор). Он работал на азотном </w:t>
      </w:r>
      <w:proofErr w:type="spellStart"/>
      <w:r w:rsidRPr="00441F34">
        <w:rPr>
          <w:rFonts w:ascii="Times New Roman" w:hAnsi="Times New Roman"/>
          <w:color w:val="0070C0"/>
          <w:sz w:val="16"/>
          <w:szCs w:val="16"/>
        </w:rPr>
        <w:t>тетроксиде</w:t>
      </w:r>
      <w:proofErr w:type="spellEnd"/>
      <w:r w:rsidRPr="00441F34">
        <w:rPr>
          <w:rFonts w:ascii="Times New Roman" w:hAnsi="Times New Roman"/>
          <w:color w:val="0070C0"/>
          <w:sz w:val="16"/>
          <w:szCs w:val="16"/>
        </w:rPr>
        <w:t xml:space="preserve"> с толуолом, либо на жидком кислороде с бензином, развивал тягу до 20 кг/сек.</w:t>
      </w:r>
    </w:p>
    <w:p w14:paraId="04DA1C33"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Одновременно с ОРМ-1 Глушко изготовил и испытал более простой двигатель ОРМ-2 (с тягой 6 кг/сек), работавший на рас</w:t>
      </w:r>
      <w:r w:rsidRPr="00441F34">
        <w:rPr>
          <w:rFonts w:ascii="Times New Roman" w:hAnsi="Times New Roman"/>
          <w:color w:val="0070C0"/>
          <w:sz w:val="16"/>
          <w:szCs w:val="16"/>
        </w:rPr>
        <w:softHyphen/>
        <w:t xml:space="preserve">творах толуола либо бензина в азотном </w:t>
      </w:r>
      <w:proofErr w:type="spellStart"/>
      <w:r w:rsidRPr="00441F34">
        <w:rPr>
          <w:rFonts w:ascii="Times New Roman" w:hAnsi="Times New Roman"/>
          <w:color w:val="0070C0"/>
          <w:sz w:val="16"/>
          <w:szCs w:val="16"/>
        </w:rPr>
        <w:t>тетроксиде</w:t>
      </w:r>
      <w:proofErr w:type="spellEnd"/>
      <w:r w:rsidRPr="00441F34">
        <w:rPr>
          <w:rFonts w:ascii="Times New Roman" w:hAnsi="Times New Roman"/>
          <w:color w:val="0070C0"/>
          <w:sz w:val="16"/>
          <w:szCs w:val="16"/>
        </w:rPr>
        <w:t xml:space="preserve"> (23550).</w:t>
      </w:r>
    </w:p>
    <w:p w14:paraId="3E788221" w14:textId="77777777" w:rsidR="00292DF5" w:rsidRPr="00441F34" w:rsidRDefault="00292DF5" w:rsidP="00292DF5">
      <w:pPr>
        <w:spacing w:after="0" w:line="240" w:lineRule="auto"/>
        <w:jc w:val="both"/>
        <w:rPr>
          <w:rFonts w:ascii="Times New Roman" w:hAnsi="Times New Roman"/>
          <w:color w:val="0070C0"/>
          <w:sz w:val="16"/>
          <w:szCs w:val="16"/>
        </w:rPr>
      </w:pPr>
    </w:p>
    <w:p w14:paraId="072A2BE9" w14:textId="2E4DC6D5"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7E3484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AA19697" w14:textId="77777777" w:rsidR="006B6922" w:rsidRPr="00A259BD" w:rsidRDefault="006B692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г. начальниками Артиллерийского Управления </w:t>
      </w:r>
      <w:proofErr w:type="spellStart"/>
      <w:r w:rsidRPr="00A259BD">
        <w:rPr>
          <w:rFonts w:ascii="Times New Roman" w:hAnsi="Times New Roman"/>
          <w:color w:val="000000" w:themeColor="text1"/>
          <w:sz w:val="16"/>
          <w:szCs w:val="16"/>
        </w:rPr>
        <w:t>Управления</w:t>
      </w:r>
      <w:proofErr w:type="spellEnd"/>
      <w:r w:rsidRPr="00A259BD">
        <w:rPr>
          <w:rFonts w:ascii="Times New Roman" w:hAnsi="Times New Roman"/>
          <w:color w:val="000000" w:themeColor="text1"/>
          <w:sz w:val="16"/>
          <w:szCs w:val="16"/>
        </w:rPr>
        <w:t xml:space="preserve"> Снабжений (АУ УС) РККА и Военно-научного исследовательского комитета (ВНИК) при РВС СССР был направлен запрос начальнику Штаба РККА Б. М. Шапошникову с просьбой дать объяснения по вопросу о проектах новых мортир (минометов), учитывая текущее положение дел по проектированию и изготовлению опытных образцов. Ссылаясь на уже представленную Председателю РВС систему артиллерийского вооружения, Б. М. Шапошниковым было указано на приоритетность работ по проектированию среднего и тяжелого минометов. При этом, учитывая фактически отсутствие проекта среднего миномета, было рекомендовано не приступать к работам по нему до утверждения системы РВС СССР. Относительно тяжелого миномета было рекомендовано либо продолжать работы (в случае их близости к завершению), либо также ждать ее утверждения Советом. 153 (20074).</w:t>
      </w:r>
    </w:p>
    <w:p w14:paraId="441AEC1B" w14:textId="77777777" w:rsidR="006B6922" w:rsidRPr="00A259BD" w:rsidRDefault="006B6922" w:rsidP="009236E3">
      <w:pPr>
        <w:spacing w:after="0" w:line="240" w:lineRule="auto"/>
        <w:jc w:val="both"/>
        <w:rPr>
          <w:rFonts w:ascii="Times New Roman" w:hAnsi="Times New Roman"/>
          <w:color w:val="000000" w:themeColor="text1"/>
          <w:sz w:val="16"/>
          <w:szCs w:val="16"/>
        </w:rPr>
      </w:pPr>
    </w:p>
    <w:p w14:paraId="57E0AC10" w14:textId="77777777" w:rsidR="006B6922" w:rsidRPr="00A259BD" w:rsidRDefault="006B692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апреле 1929 г. РЗ СТО утвердило увеличенный заказ НКВМ на производство артиллерийских орудий и снарядов. В конце месяца на заседании узкого состава Президиума Госплана, рассмотревшего разногласия но поводу ассигнований на оборонные нужды, направляемых НКВМ, ОГПУ, ВСНХ, Наркомату путей сообщения и Наркомату связи, было решено создать межведомственную комиссию (</w:t>
      </w:r>
      <w:proofErr w:type="spellStart"/>
      <w:r w:rsidRPr="00A259BD">
        <w:rPr>
          <w:rFonts w:ascii="Times New Roman" w:eastAsia="Times New Roman" w:hAnsi="Times New Roman"/>
          <w:color w:val="000000" w:themeColor="text1"/>
          <w:sz w:val="16"/>
          <w:szCs w:val="16"/>
          <w:lang w:eastAsia="ru-RU"/>
        </w:rPr>
        <w:t>Уншлихт</w:t>
      </w:r>
      <w:proofErr w:type="spellEnd"/>
      <w:r w:rsidRPr="00A259BD">
        <w:rPr>
          <w:rFonts w:ascii="Times New Roman" w:eastAsia="Times New Roman" w:hAnsi="Times New Roman"/>
          <w:color w:val="000000" w:themeColor="text1"/>
          <w:sz w:val="16"/>
          <w:szCs w:val="16"/>
          <w:lang w:eastAsia="ru-RU"/>
        </w:rPr>
        <w:t xml:space="preserve">, Шапошников, Постников и </w:t>
      </w:r>
      <w:proofErr w:type="spellStart"/>
      <w:r w:rsidRPr="00A259BD">
        <w:rPr>
          <w:rFonts w:ascii="Times New Roman" w:eastAsia="Times New Roman" w:hAnsi="Times New Roman"/>
          <w:color w:val="000000" w:themeColor="text1"/>
          <w:sz w:val="16"/>
          <w:szCs w:val="16"/>
          <w:lang w:eastAsia="ru-RU"/>
        </w:rPr>
        <w:t>Павлуновский</w:t>
      </w:r>
      <w:proofErr w:type="spellEnd"/>
      <w:r w:rsidRPr="00A259BD">
        <w:rPr>
          <w:rFonts w:ascii="Times New Roman" w:eastAsia="Times New Roman" w:hAnsi="Times New Roman"/>
          <w:color w:val="000000" w:themeColor="text1"/>
          <w:sz w:val="16"/>
          <w:szCs w:val="16"/>
          <w:lang w:eastAsia="ru-RU"/>
        </w:rPr>
        <w:t>), которой поручалось выработать компромиссные предложения и внести их в Совет Труда и Обороны. Члены комиссии смогли лишь констатировать возникшие разногласия относительно размеров оборонных расходов на предстоящий хозяйственный год и пятилетку в целом (22725).</w:t>
      </w:r>
    </w:p>
    <w:p w14:paraId="6135BD00" w14:textId="77777777" w:rsidR="006B6922" w:rsidRPr="00A259BD" w:rsidRDefault="006B6922" w:rsidP="009236E3">
      <w:pPr>
        <w:spacing w:after="0" w:line="240" w:lineRule="auto"/>
        <w:jc w:val="both"/>
        <w:rPr>
          <w:rFonts w:ascii="Times New Roman" w:hAnsi="Times New Roman"/>
          <w:color w:val="000000" w:themeColor="text1"/>
          <w:sz w:val="16"/>
          <w:szCs w:val="16"/>
        </w:rPr>
      </w:pPr>
    </w:p>
    <w:p w14:paraId="65A08503" w14:textId="77777777" w:rsidR="006B6922" w:rsidRPr="00A259BD" w:rsidRDefault="006B692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апреле 1929 г. руководство Госплана. Предъявляя Пятилетний план XVI конференции ВКП(б), в лице председателя Госплана Г. М. Кржижановского было вынуждено сделать оговорку, что один из неразработанных разделов нашей пятилетки это трактовка нужд военного ведомства, трактовка нужд обороны". Он "охотно соглашался" с НКВМ, что в плане эти нужды "несколько преуменьшены", обещал при утверждении годичных планов перепланировать соответствующие цифры и вообще "многократно возвращаться к оценке нашего плана с точки зрения обороны" (Доклад Кржижановского о пятилетнем плане, 23.04.1929// Шестнадцатая конференция ВКП(б), апрель 1929 года. С. 49) (22724).</w:t>
      </w:r>
    </w:p>
    <w:p w14:paraId="5A1BA007" w14:textId="77777777" w:rsidR="006B6922" w:rsidRPr="00A259BD" w:rsidRDefault="006B6922" w:rsidP="009236E3">
      <w:pPr>
        <w:spacing w:after="0" w:line="240" w:lineRule="auto"/>
        <w:jc w:val="both"/>
        <w:rPr>
          <w:rFonts w:ascii="Times New Roman" w:hAnsi="Times New Roman"/>
          <w:color w:val="000000" w:themeColor="text1"/>
          <w:sz w:val="16"/>
          <w:szCs w:val="16"/>
        </w:rPr>
      </w:pPr>
    </w:p>
    <w:p w14:paraId="70D70182" w14:textId="77777777" w:rsidR="006B6922" w:rsidRPr="00A259BD" w:rsidRDefault="006B692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38" w:name="_Hlk91394307"/>
      <w:r w:rsidRPr="00A259BD">
        <w:rPr>
          <w:rFonts w:ascii="Times New Roman" w:eastAsia="Times New Roman" w:hAnsi="Times New Roman"/>
          <w:color w:val="000000" w:themeColor="text1"/>
          <w:sz w:val="16"/>
          <w:szCs w:val="16"/>
          <w:lang w:eastAsia="ru-RU"/>
        </w:rPr>
        <w:t xml:space="preserve">В апреле 1929 г. был впервые составлен единый </w:t>
      </w:r>
      <w:proofErr w:type="spellStart"/>
      <w:r w:rsidRPr="00A259BD">
        <w:rPr>
          <w:rFonts w:ascii="Times New Roman" w:eastAsia="Times New Roman" w:hAnsi="Times New Roman"/>
          <w:color w:val="000000" w:themeColor="text1"/>
          <w:sz w:val="16"/>
          <w:szCs w:val="16"/>
          <w:lang w:eastAsia="ru-RU"/>
        </w:rPr>
        <w:t>промфинплан</w:t>
      </w:r>
      <w:proofErr w:type="spellEnd"/>
      <w:r w:rsidRPr="00A259BD">
        <w:rPr>
          <w:rFonts w:ascii="Times New Roman" w:eastAsia="Times New Roman" w:hAnsi="Times New Roman"/>
          <w:color w:val="000000" w:themeColor="text1"/>
          <w:sz w:val="16"/>
          <w:szCs w:val="16"/>
          <w:lang w:eastAsia="ru-RU"/>
        </w:rPr>
        <w:t xml:space="preserve"> промышленности на военное время, в который как составная часть входил </w:t>
      </w:r>
      <w:proofErr w:type="spellStart"/>
      <w:r w:rsidRPr="00A259BD">
        <w:rPr>
          <w:rFonts w:ascii="Times New Roman" w:eastAsia="Times New Roman" w:hAnsi="Times New Roman"/>
          <w:color w:val="000000" w:themeColor="text1"/>
          <w:sz w:val="16"/>
          <w:szCs w:val="16"/>
          <w:lang w:eastAsia="ru-RU"/>
        </w:rPr>
        <w:t>мобплан</w:t>
      </w:r>
      <w:proofErr w:type="spellEnd"/>
      <w:r w:rsidRPr="00A259BD">
        <w:rPr>
          <w:rFonts w:ascii="Times New Roman" w:eastAsia="Times New Roman" w:hAnsi="Times New Roman"/>
          <w:color w:val="000000" w:themeColor="text1"/>
          <w:sz w:val="16"/>
          <w:szCs w:val="16"/>
          <w:lang w:eastAsia="ru-RU"/>
        </w:rPr>
        <w:t xml:space="preserve"> (план предприятий, имеющих </w:t>
      </w:r>
      <w:proofErr w:type="spellStart"/>
      <w:r w:rsidRPr="00A259BD">
        <w:rPr>
          <w:rFonts w:ascii="Times New Roman" w:eastAsia="Times New Roman" w:hAnsi="Times New Roman"/>
          <w:color w:val="000000" w:themeColor="text1"/>
          <w:sz w:val="16"/>
          <w:szCs w:val="16"/>
          <w:lang w:eastAsia="ru-RU"/>
        </w:rPr>
        <w:t>мобзадание</w:t>
      </w:r>
      <w:proofErr w:type="spellEnd"/>
      <w:r w:rsidRPr="00A259BD">
        <w:rPr>
          <w:rFonts w:ascii="Times New Roman" w:eastAsia="Times New Roman" w:hAnsi="Times New Roman"/>
          <w:color w:val="000000" w:themeColor="text1"/>
          <w:sz w:val="16"/>
          <w:szCs w:val="16"/>
          <w:lang w:eastAsia="ru-RU"/>
        </w:rPr>
        <w:t xml:space="preserve">). Обозначенный литерой "С", он "должен был полностью отражать изменения, которые вызовет в промышленности война". Этим он принципиально отличался от составленного МНУ ВСНX двумя годами ранее </w:t>
      </w:r>
      <w:proofErr w:type="spellStart"/>
      <w:r w:rsidRPr="00A259BD">
        <w:rPr>
          <w:rFonts w:ascii="Times New Roman" w:eastAsia="Times New Roman" w:hAnsi="Times New Roman"/>
          <w:color w:val="000000" w:themeColor="text1"/>
          <w:sz w:val="16"/>
          <w:szCs w:val="16"/>
          <w:lang w:eastAsia="ru-RU"/>
        </w:rPr>
        <w:t>мобплана</w:t>
      </w:r>
      <w:proofErr w:type="spellEnd"/>
      <w:r w:rsidRPr="00A259BD">
        <w:rPr>
          <w:rFonts w:ascii="Times New Roman" w:eastAsia="Times New Roman" w:hAnsi="Times New Roman"/>
          <w:color w:val="000000" w:themeColor="text1"/>
          <w:sz w:val="16"/>
          <w:szCs w:val="16"/>
          <w:lang w:eastAsia="ru-RU"/>
        </w:rPr>
        <w:t xml:space="preserve"> "А-Р", который являлся суммой планов предприятий, имеющих </w:t>
      </w:r>
      <w:proofErr w:type="spellStart"/>
      <w:r w:rsidRPr="00A259BD">
        <w:rPr>
          <w:rFonts w:ascii="Times New Roman" w:eastAsia="Times New Roman" w:hAnsi="Times New Roman"/>
          <w:color w:val="000000" w:themeColor="text1"/>
          <w:sz w:val="16"/>
          <w:szCs w:val="16"/>
          <w:lang w:eastAsia="ru-RU"/>
        </w:rPr>
        <w:t>мобзадание</w:t>
      </w:r>
      <w:proofErr w:type="spellEnd"/>
      <w:r w:rsidRPr="00A259BD">
        <w:rPr>
          <w:rFonts w:ascii="Times New Roman" w:eastAsia="Times New Roman" w:hAnsi="Times New Roman"/>
          <w:color w:val="000000" w:themeColor="text1"/>
          <w:sz w:val="16"/>
          <w:szCs w:val="16"/>
          <w:lang w:eastAsia="ru-RU"/>
        </w:rPr>
        <w:t>, "без увязки его со всей промышленностью, т. е. планом, не обеспеченным снабжением на военное время". Новый план исходил из предпосылки мобилизационного развертывания промышленности в течение первого полугодия войны и определял подачу в течение последующих 12 месяцев войны (1 апреля 1929 г.- 1 октября 1930 г.).</w:t>
      </w:r>
    </w:p>
    <w:p w14:paraId="0361D7AF" w14:textId="77777777" w:rsidR="006B6922" w:rsidRPr="00A259BD" w:rsidRDefault="006B692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Как показала проверка, проведенная военным ведомством, план "С-30", рассчитанный на введение в действие в период до 1 июля 1930 г., уже в конце 1929 г. оказался "устарелым, минимальным, не удовлетворяющим нужд обороны" и в довершении ко всему - "безусловно нереальным". Модификацию </w:t>
      </w:r>
      <w:proofErr w:type="spellStart"/>
      <w:r w:rsidRPr="00A259BD">
        <w:rPr>
          <w:rFonts w:ascii="Times New Roman" w:eastAsia="Times New Roman" w:hAnsi="Times New Roman"/>
          <w:color w:val="000000" w:themeColor="text1"/>
          <w:sz w:val="16"/>
          <w:szCs w:val="16"/>
          <w:lang w:eastAsia="ru-RU"/>
        </w:rPr>
        <w:t>мобплана</w:t>
      </w:r>
      <w:proofErr w:type="spellEnd"/>
      <w:r w:rsidRPr="00A259BD">
        <w:rPr>
          <w:rFonts w:ascii="Times New Roman" w:eastAsia="Times New Roman" w:hAnsi="Times New Roman"/>
          <w:color w:val="000000" w:themeColor="text1"/>
          <w:sz w:val="16"/>
          <w:szCs w:val="16"/>
          <w:lang w:eastAsia="ru-RU"/>
        </w:rPr>
        <w:t xml:space="preserve"> "С-30", предложенную МПУ ВСНХ, военное руководство отказалось рассматривать как план, "способный обеспечить планомерное развертывание промышленности на случай войны в 1929/30 г.". "РВС должен констатировать. - заявлялось в его декабрьском решении, - что в данный </w:t>
      </w:r>
      <w:proofErr w:type="spellStart"/>
      <w:r w:rsidRPr="00A259BD">
        <w:rPr>
          <w:rFonts w:ascii="Times New Roman" w:eastAsia="Times New Roman" w:hAnsi="Times New Roman"/>
          <w:color w:val="000000" w:themeColor="text1"/>
          <w:sz w:val="16"/>
          <w:szCs w:val="16"/>
          <w:lang w:eastAsia="ru-RU"/>
        </w:rPr>
        <w:t>момснт</w:t>
      </w:r>
      <w:proofErr w:type="spellEnd"/>
      <w:r w:rsidRPr="00A259BD">
        <w:rPr>
          <w:rFonts w:ascii="Times New Roman" w:eastAsia="Times New Roman" w:hAnsi="Times New Roman"/>
          <w:color w:val="000000" w:themeColor="text1"/>
          <w:sz w:val="16"/>
          <w:szCs w:val="16"/>
          <w:lang w:eastAsia="ru-RU"/>
        </w:rPr>
        <w:t xml:space="preserve">, как и год тому назад, </w:t>
      </w:r>
      <w:proofErr w:type="spellStart"/>
      <w:r w:rsidRPr="00A259BD">
        <w:rPr>
          <w:rFonts w:ascii="Times New Roman" w:eastAsia="Times New Roman" w:hAnsi="Times New Roman"/>
          <w:color w:val="000000" w:themeColor="text1"/>
          <w:sz w:val="16"/>
          <w:szCs w:val="16"/>
          <w:lang w:eastAsia="ru-RU"/>
        </w:rPr>
        <w:t>мобплана</w:t>
      </w:r>
      <w:proofErr w:type="spellEnd"/>
      <w:r w:rsidRPr="00A259BD">
        <w:rPr>
          <w:rFonts w:ascii="Times New Roman" w:eastAsia="Times New Roman" w:hAnsi="Times New Roman"/>
          <w:color w:val="000000" w:themeColor="text1"/>
          <w:sz w:val="16"/>
          <w:szCs w:val="16"/>
          <w:lang w:eastAsia="ru-RU"/>
        </w:rPr>
        <w:t xml:space="preserve"> промышленности мы не имеем и в случае войны промышленность должна будет мобилизовываться без плана, стихийно". В последнем пункте постановления Реввоенсовета звучало откровенное сомнение в эффективности системы оборонного планирования СССР: "Просить РЗ СТО указать пути и средства, а также точно определить органы, могущие реально гарантировать создание </w:t>
      </w:r>
      <w:proofErr w:type="spellStart"/>
      <w:r w:rsidRPr="00A259BD">
        <w:rPr>
          <w:rFonts w:ascii="Times New Roman" w:eastAsia="Times New Roman" w:hAnsi="Times New Roman"/>
          <w:color w:val="000000" w:themeColor="text1"/>
          <w:sz w:val="16"/>
          <w:szCs w:val="16"/>
          <w:lang w:eastAsia="ru-RU"/>
        </w:rPr>
        <w:t>мобплана</w:t>
      </w:r>
      <w:proofErr w:type="spellEnd"/>
      <w:r w:rsidRPr="00A259BD">
        <w:rPr>
          <w:rFonts w:ascii="Times New Roman" w:eastAsia="Times New Roman" w:hAnsi="Times New Roman"/>
          <w:color w:val="000000" w:themeColor="text1"/>
          <w:sz w:val="16"/>
          <w:szCs w:val="16"/>
          <w:lang w:eastAsia="ru-RU"/>
        </w:rPr>
        <w:t xml:space="preserve"> промышленности к весне 1929/30 года" (Протокол № 41 заседания РВС СССР от 23.12.1929 // Там же. Ф. 4. Оп. 18. Д 15 Л. 295. Сопоставление основных параметров "С-30" с мобилизационной заявкой НКВМ см.: Симонов Н. С. Военно-промышленный комплекс СССР в 20-50-е годы: Темпы экономического роста, структура, организации производства и управление. М., 1996. С. 69.).</w:t>
      </w:r>
    </w:p>
    <w:p w14:paraId="5B9C0700" w14:textId="77777777" w:rsidR="006B6922" w:rsidRPr="00A259BD" w:rsidRDefault="006B692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Еще резче оценивало план МПУ ВСНХ руководство Государственного планового комитета СССР. В своем заключении заместитель председателя Госплана </w:t>
      </w:r>
      <w:proofErr w:type="spellStart"/>
      <w:r w:rsidRPr="00A259BD">
        <w:rPr>
          <w:rFonts w:ascii="Times New Roman" w:eastAsia="Times New Roman" w:hAnsi="Times New Roman"/>
          <w:color w:val="000000" w:themeColor="text1"/>
          <w:sz w:val="16"/>
          <w:szCs w:val="16"/>
          <w:lang w:eastAsia="ru-RU"/>
        </w:rPr>
        <w:t>Квиринг</w:t>
      </w:r>
      <w:proofErr w:type="spellEnd"/>
      <w:r w:rsidRPr="00A259BD">
        <w:rPr>
          <w:rFonts w:ascii="Times New Roman" w:eastAsia="Times New Roman" w:hAnsi="Times New Roman"/>
          <w:color w:val="000000" w:themeColor="text1"/>
          <w:sz w:val="16"/>
          <w:szCs w:val="16"/>
          <w:lang w:eastAsia="ru-RU"/>
        </w:rPr>
        <w:t xml:space="preserve"> и председатель сектора обороны Госплана Мехоношин указывали на три особенности </w:t>
      </w:r>
      <w:proofErr w:type="spellStart"/>
      <w:r w:rsidRPr="00A259BD">
        <w:rPr>
          <w:rFonts w:ascii="Times New Roman" w:eastAsia="Times New Roman" w:hAnsi="Times New Roman"/>
          <w:color w:val="000000" w:themeColor="text1"/>
          <w:sz w:val="16"/>
          <w:szCs w:val="16"/>
          <w:lang w:eastAsia="ru-RU"/>
        </w:rPr>
        <w:t>мобплана</w:t>
      </w:r>
      <w:proofErr w:type="spellEnd"/>
      <w:r w:rsidRPr="00A259BD">
        <w:rPr>
          <w:rFonts w:ascii="Times New Roman" w:eastAsia="Times New Roman" w:hAnsi="Times New Roman"/>
          <w:color w:val="000000" w:themeColor="text1"/>
          <w:sz w:val="16"/>
          <w:szCs w:val="16"/>
          <w:lang w:eastAsia="ru-RU"/>
        </w:rPr>
        <w:t>:</w:t>
      </w:r>
    </w:p>
    <w:p w14:paraId="0BC56E35" w14:textId="77777777" w:rsidR="006B6922" w:rsidRPr="00A259BD" w:rsidRDefault="006B692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I) "учтенные ВСНХ производственные мощности обеспечивают </w:t>
      </w:r>
      <w:proofErr w:type="spellStart"/>
      <w:r w:rsidRPr="00A259BD">
        <w:rPr>
          <w:rFonts w:ascii="Times New Roman" w:eastAsia="Times New Roman" w:hAnsi="Times New Roman"/>
          <w:color w:val="000000" w:themeColor="text1"/>
          <w:sz w:val="16"/>
          <w:szCs w:val="16"/>
          <w:lang w:eastAsia="ru-RU"/>
        </w:rPr>
        <w:t>мобзадание</w:t>
      </w:r>
      <w:proofErr w:type="spellEnd"/>
      <w:r w:rsidRPr="00A259BD">
        <w:rPr>
          <w:rFonts w:ascii="Times New Roman" w:eastAsia="Times New Roman" w:hAnsi="Times New Roman"/>
          <w:color w:val="000000" w:themeColor="text1"/>
          <w:sz w:val="16"/>
          <w:szCs w:val="16"/>
          <w:lang w:eastAsia="ru-RU"/>
        </w:rPr>
        <w:t xml:space="preserve"> лит. "С" всего лишь на 2/3 (16 млн снарядов вместо 24 млн по </w:t>
      </w:r>
      <w:proofErr w:type="spellStart"/>
      <w:r w:rsidRPr="00A259BD">
        <w:rPr>
          <w:rFonts w:ascii="Times New Roman" w:eastAsia="Times New Roman" w:hAnsi="Times New Roman"/>
          <w:color w:val="000000" w:themeColor="text1"/>
          <w:sz w:val="16"/>
          <w:szCs w:val="16"/>
          <w:lang w:eastAsia="ru-RU"/>
        </w:rPr>
        <w:t>мобзаданию</w:t>
      </w:r>
      <w:proofErr w:type="spellEnd"/>
      <w:r w:rsidRPr="00A259BD">
        <w:rPr>
          <w:rFonts w:ascii="Times New Roman" w:eastAsia="Times New Roman" w:hAnsi="Times New Roman"/>
          <w:color w:val="000000" w:themeColor="text1"/>
          <w:sz w:val="16"/>
          <w:szCs w:val="16"/>
          <w:lang w:eastAsia="ru-RU"/>
        </w:rPr>
        <w:t>";</w:t>
      </w:r>
    </w:p>
    <w:p w14:paraId="3021AD9D" w14:textId="77777777" w:rsidR="006B6922" w:rsidRPr="00A259BD" w:rsidRDefault="006B692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2) "эти (т. с. дающие лишь 2/3) производственные мощности не обеспечены материальным снабжением и раб[</w:t>
      </w:r>
      <w:proofErr w:type="spellStart"/>
      <w:r w:rsidRPr="00A259BD">
        <w:rPr>
          <w:rFonts w:ascii="Times New Roman" w:eastAsia="Times New Roman" w:hAnsi="Times New Roman"/>
          <w:color w:val="000000" w:themeColor="text1"/>
          <w:sz w:val="16"/>
          <w:szCs w:val="16"/>
          <w:lang w:eastAsia="ru-RU"/>
        </w:rPr>
        <w:t>оче</w:t>
      </w:r>
      <w:proofErr w:type="spellEnd"/>
      <w:r w:rsidRPr="00A259BD">
        <w:rPr>
          <w:rFonts w:ascii="Times New Roman" w:eastAsia="Times New Roman" w:hAnsi="Times New Roman"/>
          <w:color w:val="000000" w:themeColor="text1"/>
          <w:sz w:val="16"/>
          <w:szCs w:val="16"/>
          <w:lang w:eastAsia="ru-RU"/>
        </w:rPr>
        <w:t>]-тех[</w:t>
      </w:r>
      <w:proofErr w:type="spellStart"/>
      <w:r w:rsidRPr="00A259BD">
        <w:rPr>
          <w:rFonts w:ascii="Times New Roman" w:eastAsia="Times New Roman" w:hAnsi="Times New Roman"/>
          <w:color w:val="000000" w:themeColor="text1"/>
          <w:sz w:val="16"/>
          <w:szCs w:val="16"/>
          <w:lang w:eastAsia="ru-RU"/>
        </w:rPr>
        <w:t>нической</w:t>
      </w:r>
      <w:proofErr w:type="spellEnd"/>
      <w:r w:rsidRPr="00A259BD">
        <w:rPr>
          <w:rFonts w:ascii="Times New Roman" w:eastAsia="Times New Roman" w:hAnsi="Times New Roman"/>
          <w:color w:val="000000" w:themeColor="text1"/>
          <w:sz w:val="16"/>
          <w:szCs w:val="16"/>
          <w:lang w:eastAsia="ru-RU"/>
        </w:rPr>
        <w:t>] силой;</w:t>
      </w:r>
    </w:p>
    <w:p w14:paraId="170E2905" w14:textId="77777777" w:rsidR="006B6922" w:rsidRPr="00A259BD" w:rsidRDefault="006B692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3) сроки развертывания чрезвычайно велики, но и они не подкрепляются установленными ресурсами. Плановое обеспечение промышленной мобилизации, указывали они Рыкову, по сравнению с ситуацией начала 1929 г. ухудшилось. В результате "никакого </w:t>
      </w:r>
      <w:proofErr w:type="spellStart"/>
      <w:r w:rsidRPr="00A259BD">
        <w:rPr>
          <w:rFonts w:ascii="Times New Roman" w:eastAsia="Times New Roman" w:hAnsi="Times New Roman"/>
          <w:color w:val="000000" w:themeColor="text1"/>
          <w:sz w:val="16"/>
          <w:szCs w:val="16"/>
          <w:lang w:eastAsia="ru-RU"/>
        </w:rPr>
        <w:t>мобплана</w:t>
      </w:r>
      <w:proofErr w:type="spellEnd"/>
      <w:r w:rsidRPr="00A259BD">
        <w:rPr>
          <w:rFonts w:ascii="Times New Roman" w:eastAsia="Times New Roman" w:hAnsi="Times New Roman"/>
          <w:color w:val="000000" w:themeColor="text1"/>
          <w:sz w:val="16"/>
          <w:szCs w:val="16"/>
          <w:lang w:eastAsia="ru-RU"/>
        </w:rPr>
        <w:t xml:space="preserve"> мы не имеем. Таков итог мобилизационной подготовки промышленности" (22725).</w:t>
      </w:r>
    </w:p>
    <w:p w14:paraId="15485526" w14:textId="77777777" w:rsidR="006B6922" w:rsidRPr="00A259BD" w:rsidRDefault="006B6922" w:rsidP="009236E3">
      <w:pPr>
        <w:spacing w:after="0" w:line="240" w:lineRule="auto"/>
        <w:jc w:val="both"/>
        <w:rPr>
          <w:rFonts w:ascii="Times New Roman" w:hAnsi="Times New Roman"/>
          <w:color w:val="000000" w:themeColor="text1"/>
          <w:sz w:val="16"/>
          <w:szCs w:val="16"/>
        </w:rPr>
      </w:pPr>
    </w:p>
    <w:p w14:paraId="12F74C5A" w14:textId="77777777" w:rsidR="006B6922" w:rsidRPr="00A259BD" w:rsidRDefault="006B692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апреле 1929 г. Пленум ЦК и ЦКК закрепил окончательное поражение линии на сбалансированное развитие страны в рамках новой экономической политики. Директивы высших государственных и партийных органов в мае-июле 1929 г. были скорее направлены на решение неотложных проблем военной промышленности и "подтягивание" оборонных вопросов к общим политическим и хозяйственным установкам. При этом, будучи результатом быстрых и несбалансированных решений, новые установки, как становилось ясно при их детальной проработке в Штабе РККА и плановых </w:t>
      </w:r>
      <w:proofErr w:type="spellStart"/>
      <w:r w:rsidRPr="00A259BD">
        <w:rPr>
          <w:rFonts w:ascii="Times New Roman" w:eastAsia="Times New Roman" w:hAnsi="Times New Roman"/>
          <w:color w:val="000000" w:themeColor="text1"/>
          <w:sz w:val="16"/>
          <w:szCs w:val="16"/>
          <w:lang w:eastAsia="ru-RU"/>
        </w:rPr>
        <w:t>органax</w:t>
      </w:r>
      <w:proofErr w:type="spellEnd"/>
      <w:r w:rsidRPr="00A259BD">
        <w:rPr>
          <w:rFonts w:ascii="Times New Roman" w:eastAsia="Times New Roman" w:hAnsi="Times New Roman"/>
          <w:color w:val="000000" w:themeColor="text1"/>
          <w:sz w:val="16"/>
          <w:szCs w:val="16"/>
          <w:lang w:eastAsia="ru-RU"/>
        </w:rPr>
        <w:t>, зачастую вступали в противоречие друг с другом.</w:t>
      </w:r>
    </w:p>
    <w:p w14:paraId="3438DF5B" w14:textId="77777777" w:rsidR="006B6922" w:rsidRPr="00A259BD" w:rsidRDefault="006B692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Реализация решений СТО и Политбюро была, таким образом, чревата обострением объективного конфликта между потребностями быстрой индустриализации страны и наращиванием военного потенциала. Более того, уже первые месяцы осуществления новой программы оборонной подготовки заставили военных и хозяйственников задуматься о способности промышленности, административного и военного аппарата справиться с проведением запланированных мероприятий в обстановке тотального напряжения, охватившего страну к концу 1929 г. (22725).</w:t>
      </w:r>
    </w:p>
    <w:bookmarkEnd w:id="38"/>
    <w:p w14:paraId="04DD648D" w14:textId="77777777" w:rsidR="006B6922" w:rsidRPr="00A259BD" w:rsidRDefault="006B6922" w:rsidP="009236E3">
      <w:pPr>
        <w:spacing w:after="0" w:line="240" w:lineRule="auto"/>
        <w:jc w:val="both"/>
        <w:rPr>
          <w:rFonts w:ascii="Times New Roman" w:hAnsi="Times New Roman"/>
          <w:color w:val="000000" w:themeColor="text1"/>
          <w:sz w:val="16"/>
          <w:szCs w:val="16"/>
        </w:rPr>
      </w:pPr>
    </w:p>
    <w:p w14:paraId="6558ECA9" w14:textId="77777777" w:rsidR="00E5267B" w:rsidRPr="00A259BD" w:rsidRDefault="00E5267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w:t>
      </w:r>
      <w:r w:rsidRPr="00A259BD">
        <w:rPr>
          <w:rStyle w:val="highlight"/>
          <w:rFonts w:ascii="Times New Roman" w:hAnsi="Times New Roman"/>
          <w:color w:val="000000" w:themeColor="text1"/>
          <w:sz w:val="16"/>
          <w:szCs w:val="16"/>
        </w:rPr>
        <w:t> 1929 </w:t>
      </w:r>
      <w:r w:rsidRPr="00A259BD">
        <w:rPr>
          <w:rFonts w:ascii="Times New Roman" w:hAnsi="Times New Roman"/>
          <w:color w:val="000000" w:themeColor="text1"/>
          <w:sz w:val="16"/>
          <w:szCs w:val="16"/>
        </w:rPr>
        <w:t>-го в Москве прошли переговоры между ВСНХ (Высший Совет народного хозяйства) и фирмой «Крупп» об оказании технической помощи в военном производстве и в производстве легированных сталей и чугуна для гражданских целей сроком на десять лет. В результате Крупп отказался от сотрудничества в военной области, ссылаясь на то, что этим он нарушает Версальский договор, но согласился на совместные работы по специальным сталям. Как говорится, «свято место пусто не бывает», и куда не пошел Крупп - туда пошел «</w:t>
      </w:r>
      <w:proofErr w:type="spellStart"/>
      <w:r w:rsidRPr="00A259BD">
        <w:rPr>
          <w:rFonts w:ascii="Times New Roman" w:hAnsi="Times New Roman"/>
          <w:color w:val="000000" w:themeColor="text1"/>
          <w:sz w:val="16"/>
          <w:szCs w:val="16"/>
        </w:rPr>
        <w:t>Рейнметалл</w:t>
      </w:r>
      <w:proofErr w:type="spellEnd"/>
      <w:r w:rsidRPr="00A259BD">
        <w:rPr>
          <w:rFonts w:ascii="Times New Roman" w:hAnsi="Times New Roman"/>
          <w:color w:val="000000" w:themeColor="text1"/>
          <w:sz w:val="16"/>
          <w:szCs w:val="16"/>
        </w:rPr>
        <w:t>».</w:t>
      </w:r>
    </w:p>
    <w:p w14:paraId="1F7C0F00" w14:textId="77777777" w:rsidR="00E5267B" w:rsidRPr="00A259BD" w:rsidRDefault="00E5267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июне </w:t>
      </w:r>
      <w:r w:rsidRPr="00A259BD">
        <w:rPr>
          <w:rStyle w:val="highlight"/>
          <w:rFonts w:ascii="Times New Roman" w:hAnsi="Times New Roman"/>
          <w:color w:val="000000" w:themeColor="text1"/>
          <w:sz w:val="16"/>
          <w:szCs w:val="16"/>
        </w:rPr>
        <w:t> 1929 </w:t>
      </w:r>
      <w:r w:rsidRPr="00A259BD">
        <w:rPr>
          <w:rFonts w:ascii="Times New Roman" w:hAnsi="Times New Roman"/>
          <w:color w:val="000000" w:themeColor="text1"/>
          <w:sz w:val="16"/>
          <w:szCs w:val="16"/>
        </w:rPr>
        <w:t xml:space="preserve">-го между Круппом и СССР, который представляло ГОМЗ (Государственное объединение машиностроительных </w:t>
      </w:r>
      <w:r w:rsidRPr="00A259BD">
        <w:rPr>
          <w:rStyle w:val="highlight"/>
          <w:rFonts w:ascii="Times New Roman" w:hAnsi="Times New Roman"/>
          <w:color w:val="000000" w:themeColor="text1"/>
          <w:sz w:val="16"/>
          <w:szCs w:val="16"/>
        </w:rPr>
        <w:t> заводов </w:t>
      </w:r>
      <w:r w:rsidRPr="00A259BD">
        <w:rPr>
          <w:rFonts w:ascii="Times New Roman" w:hAnsi="Times New Roman"/>
          <w:color w:val="000000" w:themeColor="text1"/>
          <w:sz w:val="16"/>
          <w:szCs w:val="16"/>
        </w:rPr>
        <w:t xml:space="preserve">) был подписан договор о технической помощи. По нему фирме «Крупп» должны были выплатить 1,15 миллиона американских долларов, частями, до 1939 года. Крупп же обязывался присылать своих специалистов на заводы ГОМЗ для консультаций и технической поддержки, а также давать советским инженерно-техническим работникам подробные наставления на своих заводах и в лабораториях по производству специальных марок стали. Производство стали было одной из главных составляющих военной промышленности. Разворачивая в конце 1920-х военное производство, СССР столкнулся с проблемой получения высококачественных сталей. Металлурги страны к этому времени освоили производство более 100 марок легированных сталей, количество металлургических заводов увеличилось в шесть раз, но в то же время около 4 миллионов тонн стали было закуплено за рубежом. Советское руководство тяжелой промышленностью выбрало ленинградский завод «Большевик» как основную базу, где будут изучаться </w:t>
      </w:r>
      <w:proofErr w:type="spellStart"/>
      <w:r w:rsidRPr="00A259BD">
        <w:rPr>
          <w:rFonts w:ascii="Times New Roman" w:hAnsi="Times New Roman"/>
          <w:color w:val="000000" w:themeColor="text1"/>
          <w:sz w:val="16"/>
          <w:szCs w:val="16"/>
        </w:rPr>
        <w:t>крупповские</w:t>
      </w:r>
      <w:proofErr w:type="spellEnd"/>
      <w:r w:rsidRPr="00A259BD">
        <w:rPr>
          <w:rFonts w:ascii="Times New Roman" w:hAnsi="Times New Roman"/>
          <w:color w:val="000000" w:themeColor="text1"/>
          <w:sz w:val="16"/>
          <w:szCs w:val="16"/>
        </w:rPr>
        <w:t xml:space="preserve"> методы в сталелитейном производстве. В первый год завод должен был принять двенадцать немецких специалистов (17225).</w:t>
      </w:r>
    </w:p>
    <w:p w14:paraId="75583349" w14:textId="77777777" w:rsidR="00E5267B" w:rsidRPr="00A259BD" w:rsidRDefault="00E5267B" w:rsidP="009236E3">
      <w:pPr>
        <w:spacing w:after="0" w:line="240" w:lineRule="auto"/>
        <w:jc w:val="both"/>
        <w:rPr>
          <w:rFonts w:ascii="Times New Roman" w:hAnsi="Times New Roman"/>
          <w:color w:val="000000" w:themeColor="text1"/>
          <w:sz w:val="16"/>
          <w:szCs w:val="16"/>
        </w:rPr>
      </w:pPr>
    </w:p>
    <w:p w14:paraId="53B471E0" w14:textId="77777777" w:rsidR="00065B0A" w:rsidRPr="00A259BD" w:rsidRDefault="00065B0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г. в Президиуме Госплана опять вспыхнула дискуссия по поводу ассигнований на военные нужды между представителя</w:t>
      </w:r>
      <w:r w:rsidRPr="00A259BD">
        <w:rPr>
          <w:rFonts w:ascii="Times New Roman" w:hAnsi="Times New Roman"/>
          <w:color w:val="000000" w:themeColor="text1"/>
          <w:sz w:val="16"/>
          <w:szCs w:val="16"/>
        </w:rPr>
        <w:softHyphen/>
        <w:t xml:space="preserve">ми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ОГПУ, РКИ, с одной стороны, ВСНХ и наркома</w:t>
      </w:r>
      <w:r w:rsidRPr="00A259BD">
        <w:rPr>
          <w:rFonts w:ascii="Times New Roman" w:hAnsi="Times New Roman"/>
          <w:color w:val="000000" w:themeColor="text1"/>
          <w:sz w:val="16"/>
          <w:szCs w:val="16"/>
        </w:rPr>
        <w:softHyphen/>
        <w:t xml:space="preserve">тов - с другой. Прежние варианты </w:t>
      </w:r>
      <w:proofErr w:type="spellStart"/>
      <w:r w:rsidRPr="00A259BD">
        <w:rPr>
          <w:rFonts w:ascii="Times New Roman" w:hAnsi="Times New Roman"/>
          <w:color w:val="000000" w:themeColor="text1"/>
          <w:sz w:val="16"/>
          <w:szCs w:val="16"/>
        </w:rPr>
        <w:t>мобпланов</w:t>
      </w:r>
      <w:proofErr w:type="spellEnd"/>
      <w:r w:rsidRPr="00A259BD">
        <w:rPr>
          <w:rFonts w:ascii="Times New Roman" w:hAnsi="Times New Roman"/>
          <w:color w:val="000000" w:themeColor="text1"/>
          <w:sz w:val="16"/>
          <w:szCs w:val="16"/>
        </w:rPr>
        <w:t xml:space="preserve"> рассматривались теперь как механическая сводка </w:t>
      </w:r>
      <w:proofErr w:type="spellStart"/>
      <w:r w:rsidRPr="00A259BD">
        <w:rPr>
          <w:rFonts w:ascii="Times New Roman" w:hAnsi="Times New Roman"/>
          <w:color w:val="000000" w:themeColor="text1"/>
          <w:sz w:val="16"/>
          <w:szCs w:val="16"/>
        </w:rPr>
        <w:t>мобпланов</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мобзаданий</w:t>
      </w:r>
      <w:proofErr w:type="spellEnd"/>
      <w:r w:rsidRPr="00A259BD">
        <w:rPr>
          <w:rFonts w:ascii="Times New Roman" w:hAnsi="Times New Roman"/>
          <w:color w:val="000000" w:themeColor="text1"/>
          <w:sz w:val="16"/>
          <w:szCs w:val="16"/>
        </w:rPr>
        <w:t xml:space="preserve"> тре</w:t>
      </w:r>
      <w:r w:rsidRPr="00A259BD">
        <w:rPr>
          <w:rFonts w:ascii="Times New Roman" w:hAnsi="Times New Roman"/>
          <w:color w:val="000000" w:themeColor="text1"/>
          <w:sz w:val="16"/>
          <w:szCs w:val="16"/>
        </w:rPr>
        <w:softHyphen/>
        <w:t xml:space="preserve">стов и предприятий, сведенная МПУ ВСНХ. В свете новых задач </w:t>
      </w:r>
      <w:proofErr w:type="spellStart"/>
      <w:r w:rsidRPr="00A259BD">
        <w:rPr>
          <w:rFonts w:ascii="Times New Roman" w:hAnsi="Times New Roman"/>
          <w:color w:val="000000" w:themeColor="text1"/>
          <w:sz w:val="16"/>
          <w:szCs w:val="16"/>
        </w:rPr>
        <w:t>мобпланирования</w:t>
      </w:r>
      <w:proofErr w:type="spellEnd"/>
      <w:r w:rsidRPr="00A259BD">
        <w:rPr>
          <w:rFonts w:ascii="Times New Roman" w:hAnsi="Times New Roman"/>
          <w:color w:val="000000" w:themeColor="text1"/>
          <w:sz w:val="16"/>
          <w:szCs w:val="16"/>
        </w:rPr>
        <w:t xml:space="preserve"> их рассматривали теперь как “клочки бумаги”.</w:t>
      </w:r>
    </w:p>
    <w:p w14:paraId="4C81900A" w14:textId="77777777" w:rsidR="00065B0A" w:rsidRPr="00A259BD" w:rsidRDefault="00065B0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Тогда же в РЗ СТО был направлен новый аналитический до</w:t>
      </w:r>
      <w:r w:rsidRPr="00A259BD">
        <w:rPr>
          <w:rFonts w:ascii="Times New Roman" w:hAnsi="Times New Roman"/>
          <w:color w:val="000000" w:themeColor="text1"/>
          <w:sz w:val="16"/>
          <w:szCs w:val="16"/>
        </w:rPr>
        <w:softHyphen/>
        <w:t>клад Госплана об учете интересов обороны в пятилетке, кото</w:t>
      </w:r>
      <w:r w:rsidRPr="00A259BD">
        <w:rPr>
          <w:rFonts w:ascii="Times New Roman" w:hAnsi="Times New Roman"/>
          <w:color w:val="000000" w:themeColor="text1"/>
          <w:sz w:val="16"/>
          <w:szCs w:val="16"/>
        </w:rPr>
        <w:softHyphen/>
        <w:t>рый заметно отличался от предыдущего (см. выше) и отражал некоторые положения, выработанные комиссией Ворошилова. План исходил из оптимальных контрольных цифр и стабильного состава вооруженных сил на пятилетку. Но главным направле</w:t>
      </w:r>
      <w:r w:rsidRPr="00A259BD">
        <w:rPr>
          <w:rFonts w:ascii="Times New Roman" w:hAnsi="Times New Roman"/>
          <w:color w:val="000000" w:themeColor="text1"/>
          <w:sz w:val="16"/>
          <w:szCs w:val="16"/>
        </w:rPr>
        <w:softHyphen/>
        <w:t>нием теперь провозглашалась машинизация вооруженных сил, бо</w:t>
      </w:r>
      <w:r w:rsidRPr="00A259BD">
        <w:rPr>
          <w:rFonts w:ascii="Times New Roman" w:hAnsi="Times New Roman"/>
          <w:color w:val="000000" w:themeColor="text1"/>
          <w:sz w:val="16"/>
          <w:szCs w:val="16"/>
        </w:rPr>
        <w:softHyphen/>
        <w:t xml:space="preserve">лее известная в литературе как </w:t>
      </w:r>
      <w:r w:rsidRPr="00A259BD">
        <w:rPr>
          <w:rFonts w:ascii="Times New Roman" w:hAnsi="Times New Roman"/>
          <w:iCs/>
          <w:color w:val="000000" w:themeColor="text1"/>
          <w:sz w:val="16"/>
          <w:szCs w:val="16"/>
        </w:rPr>
        <w:t>моторизация РККА.</w:t>
      </w:r>
      <w:r w:rsidRPr="00A259BD">
        <w:rPr>
          <w:rFonts w:ascii="Times New Roman" w:hAnsi="Times New Roman"/>
          <w:color w:val="000000" w:themeColor="text1"/>
          <w:sz w:val="16"/>
          <w:szCs w:val="16"/>
        </w:rPr>
        <w:t xml:space="preserve"> Число танков предполагалось увеличить в 15 раз. Сильный военный уклон на</w:t>
      </w:r>
      <w:r w:rsidRPr="00A259BD">
        <w:rPr>
          <w:rFonts w:ascii="Times New Roman" w:hAnsi="Times New Roman"/>
          <w:color w:val="000000" w:themeColor="text1"/>
          <w:sz w:val="16"/>
          <w:szCs w:val="16"/>
        </w:rPr>
        <w:softHyphen/>
        <w:t>кладывался на топливную промышленность, прежде всего на до</w:t>
      </w:r>
      <w:r w:rsidRPr="00A259BD">
        <w:rPr>
          <w:rFonts w:ascii="Times New Roman" w:hAnsi="Times New Roman"/>
          <w:color w:val="000000" w:themeColor="text1"/>
          <w:sz w:val="16"/>
          <w:szCs w:val="16"/>
        </w:rPr>
        <w:softHyphen/>
        <w:t>бычу, переработку и доставку нефтепродуктов. Треть металлур</w:t>
      </w:r>
      <w:r w:rsidRPr="00A259BD">
        <w:rPr>
          <w:rFonts w:ascii="Times New Roman" w:hAnsi="Times New Roman"/>
          <w:color w:val="000000" w:themeColor="text1"/>
          <w:sz w:val="16"/>
          <w:szCs w:val="16"/>
        </w:rPr>
        <w:softHyphen/>
        <w:t>гической базы должна была быть переориентирована на нужды армии, причем значительно должны были возрасти мощности по высококачественной стали и ферросплавам. Отмечалось неудов</w:t>
      </w:r>
      <w:r w:rsidRPr="00A259BD">
        <w:rPr>
          <w:rFonts w:ascii="Times New Roman" w:hAnsi="Times New Roman"/>
          <w:color w:val="000000" w:themeColor="text1"/>
          <w:sz w:val="16"/>
          <w:szCs w:val="16"/>
        </w:rPr>
        <w:softHyphen/>
        <w:t>летворительное положение по цветным металлам и отсутствие новых разведанных месторождений, в связи с чем предлагалось двигаться с Урала в Казахстан. В одном из последующих доку</w:t>
      </w:r>
      <w:r w:rsidRPr="00A259BD">
        <w:rPr>
          <w:rFonts w:ascii="Times New Roman" w:hAnsi="Times New Roman"/>
          <w:color w:val="000000" w:themeColor="text1"/>
          <w:sz w:val="16"/>
          <w:szCs w:val="16"/>
        </w:rPr>
        <w:softHyphen/>
        <w:t>ментов предлагалось использовать для этой цели заключенных ГУЛАГа.</w:t>
      </w:r>
    </w:p>
    <w:p w14:paraId="217FBE87" w14:textId="77777777" w:rsidR="00065B0A" w:rsidRPr="00A259BD" w:rsidRDefault="00065B0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докладе Госплана отмечалось, что, судя по темпам разви</w:t>
      </w:r>
      <w:r w:rsidRPr="00A259BD">
        <w:rPr>
          <w:rFonts w:ascii="Times New Roman" w:hAnsi="Times New Roman"/>
          <w:color w:val="000000" w:themeColor="text1"/>
          <w:sz w:val="16"/>
          <w:szCs w:val="16"/>
        </w:rPr>
        <w:softHyphen/>
        <w:t>тия машиностроения в пятилетке, даже оптимальным, освобо</w:t>
      </w:r>
      <w:r w:rsidRPr="00A259BD">
        <w:rPr>
          <w:rFonts w:ascii="Times New Roman" w:hAnsi="Times New Roman"/>
          <w:color w:val="000000" w:themeColor="text1"/>
          <w:sz w:val="16"/>
          <w:szCs w:val="16"/>
        </w:rPr>
        <w:softHyphen/>
        <w:t>диться от импортной зависимости в пятилетке не удастся. Кон</w:t>
      </w:r>
      <w:r w:rsidRPr="00A259BD">
        <w:rPr>
          <w:rFonts w:ascii="Times New Roman" w:hAnsi="Times New Roman"/>
          <w:color w:val="000000" w:themeColor="text1"/>
          <w:sz w:val="16"/>
          <w:szCs w:val="16"/>
        </w:rPr>
        <w:softHyphen/>
        <w:t>статировалось тяжелое положение с инструментальной базой, особенно с измерительным инструментом, что пятилетний план по обороне не увязан с тракторостроением, авиастроением, с программой развития тонкого и точного машиностроения. Гово</w:t>
      </w:r>
      <w:r w:rsidRPr="00A259BD">
        <w:rPr>
          <w:rFonts w:ascii="Times New Roman" w:hAnsi="Times New Roman"/>
          <w:color w:val="000000" w:themeColor="text1"/>
          <w:sz w:val="16"/>
          <w:szCs w:val="16"/>
        </w:rPr>
        <w:softHyphen/>
        <w:t xml:space="preserve">рилось о том, что в химическом производстве необходимо делать </w:t>
      </w:r>
      <w:r w:rsidRPr="00A259BD">
        <w:rPr>
          <w:rFonts w:ascii="Times New Roman" w:hAnsi="Times New Roman"/>
          <w:color w:val="000000" w:themeColor="text1"/>
          <w:sz w:val="16"/>
          <w:szCs w:val="16"/>
        </w:rPr>
        <w:lastRenderedPageBreak/>
        <w:t>ставку на развитие основной химии: азотное, хлорное, серно-кис</w:t>
      </w:r>
      <w:r w:rsidRPr="00A259BD">
        <w:rPr>
          <w:rFonts w:ascii="Times New Roman" w:hAnsi="Times New Roman"/>
          <w:color w:val="000000" w:themeColor="text1"/>
          <w:sz w:val="16"/>
          <w:szCs w:val="16"/>
        </w:rPr>
        <w:softHyphen/>
        <w:t>лотное, аммиачное производство, искусственное волокно. Наме</w:t>
      </w:r>
      <w:r w:rsidRPr="00A259BD">
        <w:rPr>
          <w:rFonts w:ascii="Times New Roman" w:hAnsi="Times New Roman"/>
          <w:color w:val="000000" w:themeColor="text1"/>
          <w:sz w:val="16"/>
          <w:szCs w:val="16"/>
        </w:rPr>
        <w:softHyphen/>
        <w:t>ченные планом 16 фабрик - только начало. Базовым новшест</w:t>
      </w:r>
      <w:r w:rsidRPr="00A259BD">
        <w:rPr>
          <w:rFonts w:ascii="Times New Roman" w:hAnsi="Times New Roman"/>
          <w:color w:val="000000" w:themeColor="text1"/>
          <w:sz w:val="16"/>
          <w:szCs w:val="16"/>
        </w:rPr>
        <w:softHyphen/>
        <w:t xml:space="preserve">вом в документе была опора планирования </w:t>
      </w:r>
      <w:r w:rsidRPr="00A259BD">
        <w:rPr>
          <w:rFonts w:ascii="Times New Roman" w:hAnsi="Times New Roman"/>
          <w:iCs/>
          <w:color w:val="000000" w:themeColor="text1"/>
          <w:sz w:val="16"/>
          <w:szCs w:val="16"/>
        </w:rPr>
        <w:t>на сплошную коллек</w:t>
      </w:r>
      <w:r w:rsidRPr="00A259BD">
        <w:rPr>
          <w:rFonts w:ascii="Times New Roman" w:hAnsi="Times New Roman"/>
          <w:iCs/>
          <w:color w:val="000000" w:themeColor="text1"/>
          <w:sz w:val="16"/>
          <w:szCs w:val="16"/>
        </w:rPr>
        <w:softHyphen/>
        <w:t>тивизацию деревни.</w:t>
      </w:r>
      <w:r w:rsidRPr="00A259BD">
        <w:rPr>
          <w:rFonts w:ascii="Times New Roman" w:hAnsi="Times New Roman"/>
          <w:color w:val="000000" w:themeColor="text1"/>
          <w:sz w:val="16"/>
          <w:szCs w:val="16"/>
        </w:rPr>
        <w:t xml:space="preserve"> (Обратим внимание - еще до принятия ре</w:t>
      </w:r>
      <w:r w:rsidRPr="00A259BD">
        <w:rPr>
          <w:rFonts w:ascii="Times New Roman" w:hAnsi="Times New Roman"/>
          <w:color w:val="000000" w:themeColor="text1"/>
          <w:sz w:val="16"/>
          <w:szCs w:val="16"/>
        </w:rPr>
        <w:softHyphen/>
        <w:t>шения о массовой коллективизации).</w:t>
      </w:r>
    </w:p>
    <w:p w14:paraId="3CBD144A" w14:textId="77777777" w:rsidR="00065B0A" w:rsidRPr="00A259BD" w:rsidRDefault="00065B0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мнению военного руководства, крупные производствен</w:t>
      </w:r>
      <w:r w:rsidRPr="00A259BD">
        <w:rPr>
          <w:rFonts w:ascii="Times New Roman" w:hAnsi="Times New Roman"/>
          <w:color w:val="000000" w:themeColor="text1"/>
          <w:sz w:val="16"/>
          <w:szCs w:val="16"/>
        </w:rPr>
        <w:softHyphen/>
        <w:t>ные единицы в сельском хозяйстве будут легче поддаваться пла</w:t>
      </w:r>
      <w:r w:rsidRPr="00A259BD">
        <w:rPr>
          <w:rFonts w:ascii="Times New Roman" w:hAnsi="Times New Roman"/>
          <w:color w:val="000000" w:themeColor="text1"/>
          <w:sz w:val="16"/>
          <w:szCs w:val="16"/>
        </w:rPr>
        <w:softHyphen/>
        <w:t>новому воздействию, чем многомиллионные массы распылен</w:t>
      </w:r>
      <w:r w:rsidRPr="00A259BD">
        <w:rPr>
          <w:rFonts w:ascii="Times New Roman" w:hAnsi="Times New Roman"/>
          <w:color w:val="000000" w:themeColor="text1"/>
          <w:sz w:val="16"/>
          <w:szCs w:val="16"/>
        </w:rPr>
        <w:softHyphen/>
        <w:t>ных крестьянских хозяйств. Более того, линия на создание выс</w:t>
      </w:r>
      <w:r w:rsidRPr="00A259BD">
        <w:rPr>
          <w:rFonts w:ascii="Times New Roman" w:hAnsi="Times New Roman"/>
          <w:color w:val="000000" w:themeColor="text1"/>
          <w:sz w:val="16"/>
          <w:szCs w:val="16"/>
        </w:rPr>
        <w:softHyphen/>
        <w:t>ших типов хозяйственных объединений усилит обороноспособ</w:t>
      </w:r>
      <w:r w:rsidRPr="00A259BD">
        <w:rPr>
          <w:rFonts w:ascii="Times New Roman" w:hAnsi="Times New Roman"/>
          <w:color w:val="000000" w:themeColor="text1"/>
          <w:sz w:val="16"/>
          <w:szCs w:val="16"/>
        </w:rPr>
        <w:softHyphen/>
        <w:t>ность страны, машинизация и химизация сельского хозяйства улучшат хозяйственный баланс, облегчат обеспечение кавале</w:t>
      </w:r>
      <w:r w:rsidRPr="00A259BD">
        <w:rPr>
          <w:rFonts w:ascii="Times New Roman" w:hAnsi="Times New Roman"/>
          <w:color w:val="000000" w:themeColor="text1"/>
          <w:sz w:val="16"/>
          <w:szCs w:val="16"/>
        </w:rPr>
        <w:softHyphen/>
        <w:t xml:space="preserve">рии. Удельный вес товарного зерна в колхозах составит 39%, что позволит обеспечить полную годовую потребность армии на случай войны, но для этого нужно втянуть в колхозы 85% крестьянских дворов. Мобилизационный фонд хлебного запаса должен составить 2 млн ц на 3 месяца войны и 12,5 млн ц на год ведения войны. Параллельно предлагалось развернуть создание </w:t>
      </w:r>
      <w:proofErr w:type="spellStart"/>
      <w:r w:rsidRPr="00A259BD">
        <w:rPr>
          <w:rFonts w:ascii="Times New Roman" w:hAnsi="Times New Roman"/>
          <w:color w:val="000000" w:themeColor="text1"/>
          <w:sz w:val="16"/>
          <w:szCs w:val="16"/>
        </w:rPr>
        <w:t>сельскозяйственных</w:t>
      </w:r>
      <w:proofErr w:type="spellEnd"/>
      <w:r w:rsidRPr="00A259BD">
        <w:rPr>
          <w:rFonts w:ascii="Times New Roman" w:hAnsi="Times New Roman"/>
          <w:color w:val="000000" w:themeColor="text1"/>
          <w:sz w:val="16"/>
          <w:szCs w:val="16"/>
        </w:rPr>
        <w:t xml:space="preserve"> предприятий для переработки продукции, обратить внимание на строительство хлебозаводов, столовых, фабрик-кухонь, что в настоящее время - положение неблаго</w:t>
      </w:r>
      <w:r w:rsidRPr="00A259BD">
        <w:rPr>
          <w:rFonts w:ascii="Times New Roman" w:hAnsi="Times New Roman"/>
          <w:color w:val="000000" w:themeColor="text1"/>
          <w:sz w:val="16"/>
          <w:szCs w:val="16"/>
        </w:rPr>
        <w:softHyphen/>
        <w:t>приятное: мало элеваторов, хлебопекарен, мельниц. Говори</w:t>
      </w:r>
      <w:r w:rsidRPr="00A259BD">
        <w:rPr>
          <w:rFonts w:ascii="Times New Roman" w:hAnsi="Times New Roman"/>
          <w:color w:val="000000" w:themeColor="text1"/>
          <w:sz w:val="16"/>
          <w:szCs w:val="16"/>
        </w:rPr>
        <w:softHyphen/>
        <w:t>лось о том, что нужно создать такие запасы продуктов, которые гарантировали бы от перебоев в мирное время и безболезнен</w:t>
      </w:r>
      <w:r w:rsidRPr="00A259BD">
        <w:rPr>
          <w:rFonts w:ascii="Times New Roman" w:hAnsi="Times New Roman"/>
          <w:color w:val="000000" w:themeColor="text1"/>
          <w:sz w:val="16"/>
          <w:szCs w:val="16"/>
        </w:rPr>
        <w:softHyphen/>
        <w:t>ный переход к войне, а из технических культур для армии наи</w:t>
      </w:r>
      <w:r w:rsidRPr="00A259BD">
        <w:rPr>
          <w:rFonts w:ascii="Times New Roman" w:hAnsi="Times New Roman"/>
          <w:color w:val="000000" w:themeColor="text1"/>
          <w:sz w:val="16"/>
          <w:szCs w:val="16"/>
        </w:rPr>
        <w:softHyphen/>
        <w:t>большее значение имеет хлопок. Если в 1927/28 г. 45,4% его шло на нужды армии, то в 1932/33 г. эту цифру предлагалось довести до 73%. Указывалось, что коллективизация позволит изменить структуру посевов овса и сеянных трав для заготовки армейского фуража. Производство сельскохозяйственной продукции намечалось районировать в направлении Поволжья, Сибири, Казахстана.</w:t>
      </w:r>
    </w:p>
    <w:p w14:paraId="3CC02D28" w14:textId="77777777" w:rsidR="00065B0A" w:rsidRPr="00A259BD" w:rsidRDefault="00065B0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Хотя планировался значительный сдвиг на Восток, диктуе</w:t>
      </w:r>
      <w:r w:rsidRPr="00A259BD">
        <w:rPr>
          <w:rFonts w:ascii="Times New Roman" w:hAnsi="Times New Roman"/>
          <w:color w:val="000000" w:themeColor="text1"/>
          <w:sz w:val="16"/>
          <w:szCs w:val="16"/>
        </w:rPr>
        <w:softHyphen/>
        <w:t>мый интересами обороны, но, видимо, говорилось в записке, наи</w:t>
      </w:r>
      <w:r w:rsidRPr="00A259BD">
        <w:rPr>
          <w:rFonts w:ascii="Times New Roman" w:hAnsi="Times New Roman"/>
          <w:color w:val="000000" w:themeColor="text1"/>
          <w:sz w:val="16"/>
          <w:szCs w:val="16"/>
        </w:rPr>
        <w:softHyphen/>
        <w:t>более решительный сдвиг следует отнести на следующую пяти</w:t>
      </w:r>
      <w:r w:rsidRPr="00A259BD">
        <w:rPr>
          <w:rFonts w:ascii="Times New Roman" w:hAnsi="Times New Roman"/>
          <w:color w:val="000000" w:themeColor="text1"/>
          <w:sz w:val="16"/>
          <w:szCs w:val="16"/>
        </w:rPr>
        <w:softHyphen/>
        <w:t>летку. Пока еще состояние промышленности и транспорта не по</w:t>
      </w:r>
      <w:r w:rsidRPr="00A259BD">
        <w:rPr>
          <w:rFonts w:ascii="Times New Roman" w:hAnsi="Times New Roman"/>
          <w:color w:val="000000" w:themeColor="text1"/>
          <w:sz w:val="16"/>
          <w:szCs w:val="16"/>
        </w:rPr>
        <w:softHyphen/>
        <w:t>зволяет произвести его в широких масштабах. Ставилась задача добиться выполнения оптимальных заданий по железнодорожно</w:t>
      </w:r>
      <w:r w:rsidRPr="00A259BD">
        <w:rPr>
          <w:rFonts w:ascii="Times New Roman" w:hAnsi="Times New Roman"/>
          <w:color w:val="000000" w:themeColor="text1"/>
          <w:sz w:val="16"/>
          <w:szCs w:val="16"/>
        </w:rPr>
        <w:softHyphen/>
        <w:t xml:space="preserve">му транспорту, намечалось построить железнодорожное кольцо вокруг Москвы, а строительство </w:t>
      </w:r>
      <w:proofErr w:type="spellStart"/>
      <w:r w:rsidRPr="00A259BD">
        <w:rPr>
          <w:rFonts w:ascii="Times New Roman" w:hAnsi="Times New Roman"/>
          <w:color w:val="000000" w:themeColor="text1"/>
          <w:sz w:val="16"/>
          <w:szCs w:val="16"/>
        </w:rPr>
        <w:t>Турксиба</w:t>
      </w:r>
      <w:proofErr w:type="spellEnd"/>
      <w:r w:rsidRPr="00A259BD">
        <w:rPr>
          <w:rFonts w:ascii="Times New Roman" w:hAnsi="Times New Roman"/>
          <w:color w:val="000000" w:themeColor="text1"/>
          <w:sz w:val="16"/>
          <w:szCs w:val="16"/>
        </w:rPr>
        <w:t xml:space="preserve"> связать с созданием хлопковой базы для армии. Констатировалось, что положение на водном транспорте хуже, чем в 1913 г., что перспективы автомо</w:t>
      </w:r>
      <w:r w:rsidRPr="00A259BD">
        <w:rPr>
          <w:rFonts w:ascii="Times New Roman" w:hAnsi="Times New Roman"/>
          <w:color w:val="000000" w:themeColor="text1"/>
          <w:sz w:val="16"/>
          <w:szCs w:val="16"/>
        </w:rPr>
        <w:softHyphen/>
        <w:t>билизации армии в пятилетке - неудовлетворительные, не обес</w:t>
      </w:r>
      <w:r w:rsidRPr="00A259BD">
        <w:rPr>
          <w:rFonts w:ascii="Times New Roman" w:hAnsi="Times New Roman"/>
          <w:color w:val="000000" w:themeColor="text1"/>
          <w:sz w:val="16"/>
          <w:szCs w:val="16"/>
        </w:rPr>
        <w:softHyphen/>
        <w:t>печивают маневренности войск, не учитывают возможности воз</w:t>
      </w:r>
      <w:r w:rsidRPr="00A259BD">
        <w:rPr>
          <w:rFonts w:ascii="Times New Roman" w:hAnsi="Times New Roman"/>
          <w:color w:val="000000" w:themeColor="text1"/>
          <w:sz w:val="16"/>
          <w:szCs w:val="16"/>
        </w:rPr>
        <w:softHyphen/>
        <w:t>душных сообщений и развития гражданской авиации (17200).</w:t>
      </w:r>
    </w:p>
    <w:p w14:paraId="33911BF1" w14:textId="77777777" w:rsidR="00065B0A" w:rsidRPr="00A259BD" w:rsidRDefault="00065B0A" w:rsidP="009236E3">
      <w:pPr>
        <w:spacing w:after="0" w:line="240" w:lineRule="auto"/>
        <w:jc w:val="both"/>
        <w:rPr>
          <w:rFonts w:ascii="Times New Roman" w:hAnsi="Times New Roman"/>
          <w:color w:val="000000" w:themeColor="text1"/>
          <w:sz w:val="16"/>
          <w:szCs w:val="16"/>
        </w:rPr>
      </w:pPr>
    </w:p>
    <w:p w14:paraId="60E9C02B" w14:textId="77777777" w:rsidR="00C11F81" w:rsidRPr="00A259BD" w:rsidRDefault="00C11F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г. Распорядительное заседание СТО (упразднено 24 декабря 1930 г. Вместо РЗ СТО при СНК СССР формируется Комиссия Обороны в составе: </w:t>
      </w:r>
      <w:proofErr w:type="spellStart"/>
      <w:r w:rsidRPr="00A259BD">
        <w:rPr>
          <w:rFonts w:ascii="Times New Roman" w:hAnsi="Times New Roman"/>
          <w:color w:val="000000" w:themeColor="text1"/>
          <w:sz w:val="16"/>
          <w:szCs w:val="16"/>
        </w:rPr>
        <w:t>И.В.Сталин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В.М.Молотов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К.Е.Ворошилов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Г.К.Орджоникидзе</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В.В.Куйбышев</w:t>
      </w:r>
      <w:proofErr w:type="spellEnd"/>
      <w:r w:rsidRPr="00A259BD">
        <w:rPr>
          <w:rFonts w:ascii="Times New Roman" w:hAnsi="Times New Roman"/>
          <w:color w:val="000000" w:themeColor="text1"/>
          <w:sz w:val="16"/>
          <w:szCs w:val="16"/>
        </w:rPr>
        <w:t>) принимает решение о переводе нескольких заводов военной промышленности на положение мобилизованных. В их числе Тульские и Ижевские оружейные заводы; крупнейшие артиллерийские заводы: «Большевик», «Баррикады», Мотовилихинский. На мобилизованных предприятиях вводится непрерывный круглосуточный график работы; рабочему и инженерно-техническому персоналу отказывается в праве свободного увольнения и перехода на другую работу (18406).</w:t>
      </w:r>
    </w:p>
    <w:p w14:paraId="027E26BD" w14:textId="77777777" w:rsidR="00C11F81" w:rsidRPr="00A259BD" w:rsidRDefault="00C11F81" w:rsidP="009236E3">
      <w:pPr>
        <w:spacing w:after="0" w:line="240" w:lineRule="auto"/>
        <w:jc w:val="both"/>
        <w:rPr>
          <w:rFonts w:ascii="Times New Roman" w:hAnsi="Times New Roman"/>
          <w:color w:val="000000" w:themeColor="text1"/>
          <w:sz w:val="16"/>
          <w:szCs w:val="16"/>
        </w:rPr>
      </w:pPr>
    </w:p>
    <w:p w14:paraId="3CA0D077" w14:textId="77777777" w:rsidR="00C11F81" w:rsidRPr="00A259BD" w:rsidRDefault="00C11F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в РЗ СТО был направлен новый аналитический до</w:t>
      </w:r>
      <w:r w:rsidRPr="00A259BD">
        <w:rPr>
          <w:rFonts w:ascii="Times New Roman" w:hAnsi="Times New Roman"/>
          <w:color w:val="000000" w:themeColor="text1"/>
          <w:sz w:val="16"/>
          <w:szCs w:val="16"/>
        </w:rPr>
        <w:softHyphen/>
        <w:t>клад Госплана об учете интересов обороны в пятилетке, кото</w:t>
      </w:r>
      <w:r w:rsidRPr="00A259BD">
        <w:rPr>
          <w:rFonts w:ascii="Times New Roman" w:hAnsi="Times New Roman"/>
          <w:color w:val="000000" w:themeColor="text1"/>
          <w:sz w:val="16"/>
          <w:szCs w:val="16"/>
        </w:rPr>
        <w:softHyphen/>
        <w:t>рый заметно отличался от предыдущего (см. выше) и отражал некоторые положения, выработанные комиссией Ворошилова. План исходил из оптимальных контрольных цифр и стабильного состава вооруженных сил на пятилетку. Но главным направле</w:t>
      </w:r>
      <w:r w:rsidRPr="00A259BD">
        <w:rPr>
          <w:rFonts w:ascii="Times New Roman" w:hAnsi="Times New Roman"/>
          <w:color w:val="000000" w:themeColor="text1"/>
          <w:sz w:val="16"/>
          <w:szCs w:val="16"/>
        </w:rPr>
        <w:softHyphen/>
        <w:t>нием теперь провозглашалась машинизация вооруженных сил, бо</w:t>
      </w:r>
      <w:r w:rsidRPr="00A259BD">
        <w:rPr>
          <w:rFonts w:ascii="Times New Roman" w:hAnsi="Times New Roman"/>
          <w:color w:val="000000" w:themeColor="text1"/>
          <w:sz w:val="16"/>
          <w:szCs w:val="16"/>
        </w:rPr>
        <w:softHyphen/>
        <w:t>лее известная в литературе как моторизация РККА. Число танков предполагалось увеличить в 15 раз. Сильный военный уклон на</w:t>
      </w:r>
      <w:r w:rsidRPr="00A259BD">
        <w:rPr>
          <w:rFonts w:ascii="Times New Roman" w:hAnsi="Times New Roman"/>
          <w:color w:val="000000" w:themeColor="text1"/>
          <w:sz w:val="16"/>
          <w:szCs w:val="16"/>
        </w:rPr>
        <w:softHyphen/>
        <w:t>кладывался на топливную промышленность, прежде всего на до</w:t>
      </w:r>
      <w:r w:rsidRPr="00A259BD">
        <w:rPr>
          <w:rFonts w:ascii="Times New Roman" w:hAnsi="Times New Roman"/>
          <w:color w:val="000000" w:themeColor="text1"/>
          <w:sz w:val="16"/>
          <w:szCs w:val="16"/>
        </w:rPr>
        <w:softHyphen/>
        <w:t>бычу, переработку и доставку нефтепродуктов. Треть металлур</w:t>
      </w:r>
      <w:r w:rsidRPr="00A259BD">
        <w:rPr>
          <w:rFonts w:ascii="Times New Roman" w:hAnsi="Times New Roman"/>
          <w:color w:val="000000" w:themeColor="text1"/>
          <w:sz w:val="16"/>
          <w:szCs w:val="16"/>
        </w:rPr>
        <w:softHyphen/>
        <w:t>гической базы должна была быть переориентирована на нужды [151] армии, причем значительно должны были возрасти мощности по высококачественной стали и ферросплавам. Отмечалось неудов</w:t>
      </w:r>
      <w:r w:rsidRPr="00A259BD">
        <w:rPr>
          <w:rFonts w:ascii="Times New Roman" w:hAnsi="Times New Roman"/>
          <w:color w:val="000000" w:themeColor="text1"/>
          <w:sz w:val="16"/>
          <w:szCs w:val="16"/>
        </w:rPr>
        <w:softHyphen/>
        <w:t>летворительное положение по цветным металлам и отсутствие новых разведанных месторождений, в связи с чем предлагалось двигаться с Урала в Казахстан. В одном из последующих доку</w:t>
      </w:r>
      <w:r w:rsidRPr="00A259BD">
        <w:rPr>
          <w:rFonts w:ascii="Times New Roman" w:hAnsi="Times New Roman"/>
          <w:color w:val="000000" w:themeColor="text1"/>
          <w:sz w:val="16"/>
          <w:szCs w:val="16"/>
        </w:rPr>
        <w:softHyphen/>
        <w:t>ментов предлагалось использовать для этой цели заключенных ГУЛАГа.</w:t>
      </w:r>
    </w:p>
    <w:p w14:paraId="006A3ABB" w14:textId="77777777" w:rsidR="00C11F81" w:rsidRPr="00A259BD" w:rsidRDefault="00C11F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докладе Госплана отмечалось, что, судя по темпам разви</w:t>
      </w:r>
      <w:r w:rsidRPr="00A259BD">
        <w:rPr>
          <w:rFonts w:ascii="Times New Roman" w:hAnsi="Times New Roman"/>
          <w:color w:val="000000" w:themeColor="text1"/>
          <w:sz w:val="16"/>
          <w:szCs w:val="16"/>
        </w:rPr>
        <w:softHyphen/>
        <w:t>тия машиностроения в пятилетке, даже оптимальным, освобо</w:t>
      </w:r>
      <w:r w:rsidRPr="00A259BD">
        <w:rPr>
          <w:rFonts w:ascii="Times New Roman" w:hAnsi="Times New Roman"/>
          <w:color w:val="000000" w:themeColor="text1"/>
          <w:sz w:val="16"/>
          <w:szCs w:val="16"/>
        </w:rPr>
        <w:softHyphen/>
        <w:t>диться от импортной зависимости в пятилетке не удастся. Кон</w:t>
      </w:r>
      <w:r w:rsidRPr="00A259BD">
        <w:rPr>
          <w:rFonts w:ascii="Times New Roman" w:hAnsi="Times New Roman"/>
          <w:color w:val="000000" w:themeColor="text1"/>
          <w:sz w:val="16"/>
          <w:szCs w:val="16"/>
        </w:rPr>
        <w:softHyphen/>
        <w:t>статировалось тяжелое положение с инструментальной базой, особенно с измерительным инструментом, что пятилетний план по обороне не увязан с тракторостроением, авиастроением, с программой развития тонкого и точного машиностроения. Гово</w:t>
      </w:r>
      <w:r w:rsidRPr="00A259BD">
        <w:rPr>
          <w:rFonts w:ascii="Times New Roman" w:hAnsi="Times New Roman"/>
          <w:color w:val="000000" w:themeColor="text1"/>
          <w:sz w:val="16"/>
          <w:szCs w:val="16"/>
        </w:rPr>
        <w:softHyphen/>
        <w:t>рилось о том, что в химическом производстве необходимо делать ставку на развитие основной химии: азотное, хлорное, серно-кис</w:t>
      </w:r>
      <w:r w:rsidRPr="00A259BD">
        <w:rPr>
          <w:rFonts w:ascii="Times New Roman" w:hAnsi="Times New Roman"/>
          <w:color w:val="000000" w:themeColor="text1"/>
          <w:sz w:val="16"/>
          <w:szCs w:val="16"/>
        </w:rPr>
        <w:softHyphen/>
        <w:t>лотное, аммиачное производство, искусственное волокно. Наме</w:t>
      </w:r>
      <w:r w:rsidRPr="00A259BD">
        <w:rPr>
          <w:rFonts w:ascii="Times New Roman" w:hAnsi="Times New Roman"/>
          <w:color w:val="000000" w:themeColor="text1"/>
          <w:sz w:val="16"/>
          <w:szCs w:val="16"/>
        </w:rPr>
        <w:softHyphen/>
        <w:t>ченные планом 16 фабрик - только начало. Базовым новшест</w:t>
      </w:r>
      <w:r w:rsidRPr="00A259BD">
        <w:rPr>
          <w:rFonts w:ascii="Times New Roman" w:hAnsi="Times New Roman"/>
          <w:color w:val="000000" w:themeColor="text1"/>
          <w:sz w:val="16"/>
          <w:szCs w:val="16"/>
        </w:rPr>
        <w:softHyphen/>
        <w:t>вом в документе была опора планирования на сплошную коллек</w:t>
      </w:r>
      <w:r w:rsidRPr="00A259BD">
        <w:rPr>
          <w:rFonts w:ascii="Times New Roman" w:hAnsi="Times New Roman"/>
          <w:color w:val="000000" w:themeColor="text1"/>
          <w:sz w:val="16"/>
          <w:szCs w:val="16"/>
        </w:rPr>
        <w:softHyphen/>
        <w:t>тивизацию деревни. (Обратим внимание - еще до принятия ре</w:t>
      </w:r>
      <w:r w:rsidRPr="00A259BD">
        <w:rPr>
          <w:rFonts w:ascii="Times New Roman" w:hAnsi="Times New Roman"/>
          <w:color w:val="000000" w:themeColor="text1"/>
          <w:sz w:val="16"/>
          <w:szCs w:val="16"/>
        </w:rPr>
        <w:softHyphen/>
        <w:t>шения о массовой коллективизации) (18393).</w:t>
      </w:r>
    </w:p>
    <w:p w14:paraId="065BC5B8" w14:textId="77777777" w:rsidR="00C11F81" w:rsidRPr="00A259BD" w:rsidRDefault="00C11F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мнению военного руководства, крупные производствен</w:t>
      </w:r>
      <w:r w:rsidRPr="00A259BD">
        <w:rPr>
          <w:rFonts w:ascii="Times New Roman" w:hAnsi="Times New Roman"/>
          <w:color w:val="000000" w:themeColor="text1"/>
          <w:sz w:val="16"/>
          <w:szCs w:val="16"/>
        </w:rPr>
        <w:softHyphen/>
        <w:t>ные единицы в сельском хозяйстве будут легче поддаваться пла</w:t>
      </w:r>
      <w:r w:rsidRPr="00A259BD">
        <w:rPr>
          <w:rFonts w:ascii="Times New Roman" w:hAnsi="Times New Roman"/>
          <w:color w:val="000000" w:themeColor="text1"/>
          <w:sz w:val="16"/>
          <w:szCs w:val="16"/>
        </w:rPr>
        <w:softHyphen/>
        <w:t>новому воздействию, чем многомиллионные массы распылен</w:t>
      </w:r>
      <w:r w:rsidRPr="00A259BD">
        <w:rPr>
          <w:rFonts w:ascii="Times New Roman" w:hAnsi="Times New Roman"/>
          <w:color w:val="000000" w:themeColor="text1"/>
          <w:sz w:val="16"/>
          <w:szCs w:val="16"/>
        </w:rPr>
        <w:softHyphen/>
        <w:t>ных крестьянских хозяйств. Более того, линия на создание выс</w:t>
      </w:r>
      <w:r w:rsidRPr="00A259BD">
        <w:rPr>
          <w:rFonts w:ascii="Times New Roman" w:hAnsi="Times New Roman"/>
          <w:color w:val="000000" w:themeColor="text1"/>
          <w:sz w:val="16"/>
          <w:szCs w:val="16"/>
        </w:rPr>
        <w:softHyphen/>
        <w:t>ших типов хозяйственных объединений усилит обороноспособ</w:t>
      </w:r>
      <w:r w:rsidRPr="00A259BD">
        <w:rPr>
          <w:rFonts w:ascii="Times New Roman" w:hAnsi="Times New Roman"/>
          <w:color w:val="000000" w:themeColor="text1"/>
          <w:sz w:val="16"/>
          <w:szCs w:val="16"/>
        </w:rPr>
        <w:softHyphen/>
        <w:t>ность страны, машинизация и химизация сельского хозяйства улучшат хозяйственный баланс, облегчат обеспечение кавале</w:t>
      </w:r>
      <w:r w:rsidRPr="00A259BD">
        <w:rPr>
          <w:rFonts w:ascii="Times New Roman" w:hAnsi="Times New Roman"/>
          <w:color w:val="000000" w:themeColor="text1"/>
          <w:sz w:val="16"/>
          <w:szCs w:val="16"/>
        </w:rPr>
        <w:softHyphen/>
        <w:t xml:space="preserve">рии. Удельный вес товарного зерна в колхозах составит 39%, что позволит обеспечить полную годовую потребность армии на случай войны, но для этого нужно втянуть в колхозы 85% крестьянских дворов. Мобилизационный фонд хлебного запаса должен составить 2 млн ц на 3 месяца войны и 12,5 млн ц на год ведения войны. Параллельно предлагалось развернуть создание </w:t>
      </w:r>
      <w:proofErr w:type="spellStart"/>
      <w:r w:rsidRPr="00A259BD">
        <w:rPr>
          <w:rFonts w:ascii="Times New Roman" w:hAnsi="Times New Roman"/>
          <w:color w:val="000000" w:themeColor="text1"/>
          <w:sz w:val="16"/>
          <w:szCs w:val="16"/>
        </w:rPr>
        <w:t>сельскозяйственных</w:t>
      </w:r>
      <w:proofErr w:type="spellEnd"/>
      <w:r w:rsidRPr="00A259BD">
        <w:rPr>
          <w:rFonts w:ascii="Times New Roman" w:hAnsi="Times New Roman"/>
          <w:color w:val="000000" w:themeColor="text1"/>
          <w:sz w:val="16"/>
          <w:szCs w:val="16"/>
        </w:rPr>
        <w:t xml:space="preserve"> предприятий для переработки продукции, обратить внимание на строительство хлебозаводов, столовых, фабрик-кухонь, что в настоящее время - положение неблаго</w:t>
      </w:r>
      <w:r w:rsidRPr="00A259BD">
        <w:rPr>
          <w:rFonts w:ascii="Times New Roman" w:hAnsi="Times New Roman"/>
          <w:color w:val="000000" w:themeColor="text1"/>
          <w:sz w:val="16"/>
          <w:szCs w:val="16"/>
        </w:rPr>
        <w:softHyphen/>
        <w:t>приятное: мало элеваторов, хлебопекарен, мельниц. Говори</w:t>
      </w:r>
      <w:r w:rsidRPr="00A259BD">
        <w:rPr>
          <w:rFonts w:ascii="Times New Roman" w:hAnsi="Times New Roman"/>
          <w:color w:val="000000" w:themeColor="text1"/>
          <w:sz w:val="16"/>
          <w:szCs w:val="16"/>
        </w:rPr>
        <w:softHyphen/>
        <w:t>лось о том, что нужно создать такие запасы продуктов, которые гарантировали бы от перебоев в мирное время и безболезнен</w:t>
      </w:r>
      <w:r w:rsidRPr="00A259BD">
        <w:rPr>
          <w:rFonts w:ascii="Times New Roman" w:hAnsi="Times New Roman"/>
          <w:color w:val="000000" w:themeColor="text1"/>
          <w:sz w:val="16"/>
          <w:szCs w:val="16"/>
        </w:rPr>
        <w:softHyphen/>
        <w:t>ный переход к войне, а из технических культур для армии наи</w:t>
      </w:r>
      <w:r w:rsidRPr="00A259BD">
        <w:rPr>
          <w:rFonts w:ascii="Times New Roman" w:hAnsi="Times New Roman"/>
          <w:color w:val="000000" w:themeColor="text1"/>
          <w:sz w:val="16"/>
          <w:szCs w:val="16"/>
        </w:rPr>
        <w:softHyphen/>
        <w:t>большее значение имеет хлопок. Если в 1927/28 г. 45,4% его шло на нужды армии, то в 1932/33 г. эту цифру предлагалось [152] довести до 73%. Указывалось, что коллективизация позволит изменить структуру посевов овса и сеянных трав для заготовки армейского фуража. Производство сельскохозяйственной продукции намечалось районировать в направлении Поволжья, Сибири, Казахстана.</w:t>
      </w:r>
    </w:p>
    <w:p w14:paraId="09BCD6A6" w14:textId="77777777" w:rsidR="00C11F81" w:rsidRPr="00A259BD" w:rsidRDefault="00C11F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Хотя планировался значительный сдвиг на Восток, диктуе</w:t>
      </w:r>
      <w:r w:rsidRPr="00A259BD">
        <w:rPr>
          <w:rFonts w:ascii="Times New Roman" w:hAnsi="Times New Roman"/>
          <w:color w:val="000000" w:themeColor="text1"/>
          <w:sz w:val="16"/>
          <w:szCs w:val="16"/>
        </w:rPr>
        <w:softHyphen/>
        <w:t>мый интересами обороны, но, видимо, говорилось в записке, наи</w:t>
      </w:r>
      <w:r w:rsidRPr="00A259BD">
        <w:rPr>
          <w:rFonts w:ascii="Times New Roman" w:hAnsi="Times New Roman"/>
          <w:color w:val="000000" w:themeColor="text1"/>
          <w:sz w:val="16"/>
          <w:szCs w:val="16"/>
        </w:rPr>
        <w:softHyphen/>
        <w:t>более решительный сдвиг следует отнести на следующую пяти</w:t>
      </w:r>
      <w:r w:rsidRPr="00A259BD">
        <w:rPr>
          <w:rFonts w:ascii="Times New Roman" w:hAnsi="Times New Roman"/>
          <w:color w:val="000000" w:themeColor="text1"/>
          <w:sz w:val="16"/>
          <w:szCs w:val="16"/>
        </w:rPr>
        <w:softHyphen/>
        <w:t>летку. Пока еще состояние промышленности и транспорта не по</w:t>
      </w:r>
      <w:r w:rsidRPr="00A259BD">
        <w:rPr>
          <w:rFonts w:ascii="Times New Roman" w:hAnsi="Times New Roman"/>
          <w:color w:val="000000" w:themeColor="text1"/>
          <w:sz w:val="16"/>
          <w:szCs w:val="16"/>
        </w:rPr>
        <w:softHyphen/>
        <w:t>зволяет произвести его в широких масштабах. Ставилась задача добиться выполнения оптимальных заданий по железнодорожно</w:t>
      </w:r>
      <w:r w:rsidRPr="00A259BD">
        <w:rPr>
          <w:rFonts w:ascii="Times New Roman" w:hAnsi="Times New Roman"/>
          <w:color w:val="000000" w:themeColor="text1"/>
          <w:sz w:val="16"/>
          <w:szCs w:val="16"/>
        </w:rPr>
        <w:softHyphen/>
        <w:t xml:space="preserve">му транспорту, намечалось построить железнодорожное кольцо вокруг Москвы, а строительство </w:t>
      </w:r>
      <w:proofErr w:type="spellStart"/>
      <w:r w:rsidRPr="00A259BD">
        <w:rPr>
          <w:rFonts w:ascii="Times New Roman" w:hAnsi="Times New Roman"/>
          <w:color w:val="000000" w:themeColor="text1"/>
          <w:sz w:val="16"/>
          <w:szCs w:val="16"/>
        </w:rPr>
        <w:t>Турксиба</w:t>
      </w:r>
      <w:proofErr w:type="spellEnd"/>
      <w:r w:rsidRPr="00A259BD">
        <w:rPr>
          <w:rFonts w:ascii="Times New Roman" w:hAnsi="Times New Roman"/>
          <w:color w:val="000000" w:themeColor="text1"/>
          <w:sz w:val="16"/>
          <w:szCs w:val="16"/>
        </w:rPr>
        <w:t xml:space="preserve"> связать с созданием хлопковой базы для армии. Констатировалось, что положение на водном транспорте хуже, чем в 1913 г., что перспективы автомо</w:t>
      </w:r>
      <w:r w:rsidRPr="00A259BD">
        <w:rPr>
          <w:rFonts w:ascii="Times New Roman" w:hAnsi="Times New Roman"/>
          <w:color w:val="000000" w:themeColor="text1"/>
          <w:sz w:val="16"/>
          <w:szCs w:val="16"/>
        </w:rPr>
        <w:softHyphen/>
        <w:t>билизации армии в пятилетке - неудовлетворительные, не обес</w:t>
      </w:r>
      <w:r w:rsidRPr="00A259BD">
        <w:rPr>
          <w:rFonts w:ascii="Times New Roman" w:hAnsi="Times New Roman"/>
          <w:color w:val="000000" w:themeColor="text1"/>
          <w:sz w:val="16"/>
          <w:szCs w:val="16"/>
        </w:rPr>
        <w:softHyphen/>
        <w:t>печивают маневренности войск, не учитывают возможности воз</w:t>
      </w:r>
      <w:r w:rsidRPr="00A259BD">
        <w:rPr>
          <w:rFonts w:ascii="Times New Roman" w:hAnsi="Times New Roman"/>
          <w:color w:val="000000" w:themeColor="text1"/>
          <w:sz w:val="16"/>
          <w:szCs w:val="16"/>
        </w:rPr>
        <w:softHyphen/>
        <w:t>душных сообщений и развития гражданской авиации.</w:t>
      </w:r>
    </w:p>
    <w:p w14:paraId="2C836320" w14:textId="77777777" w:rsidR="00C11F81" w:rsidRPr="00A259BD" w:rsidRDefault="00C11F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области трудовых ресурсов, говорилось в записке, моби</w:t>
      </w:r>
      <w:r w:rsidRPr="00A259BD">
        <w:rPr>
          <w:rFonts w:ascii="Times New Roman" w:hAnsi="Times New Roman"/>
          <w:color w:val="000000" w:themeColor="text1"/>
          <w:sz w:val="16"/>
          <w:szCs w:val="16"/>
        </w:rPr>
        <w:softHyphen/>
        <w:t>лизационные возможности упирались в огромную текучесть[рабочей силы], прежде всего в горнорудной, топливной, ме</w:t>
      </w:r>
      <w:r w:rsidRPr="00A259BD">
        <w:rPr>
          <w:rFonts w:ascii="Times New Roman" w:hAnsi="Times New Roman"/>
          <w:color w:val="000000" w:themeColor="text1"/>
          <w:sz w:val="16"/>
          <w:szCs w:val="16"/>
        </w:rPr>
        <w:softHyphen/>
        <w:t>таллической промышленности. Обращалось внимание на рас</w:t>
      </w:r>
      <w:r w:rsidRPr="00A259BD">
        <w:rPr>
          <w:rFonts w:ascii="Times New Roman" w:hAnsi="Times New Roman"/>
          <w:color w:val="000000" w:themeColor="text1"/>
          <w:sz w:val="16"/>
          <w:szCs w:val="16"/>
        </w:rPr>
        <w:softHyphen/>
        <w:t>сасывание безработицы и необходимость программы социаль</w:t>
      </w:r>
      <w:r w:rsidRPr="00A259BD">
        <w:rPr>
          <w:rFonts w:ascii="Times New Roman" w:hAnsi="Times New Roman"/>
          <w:color w:val="000000" w:themeColor="text1"/>
          <w:sz w:val="16"/>
          <w:szCs w:val="16"/>
        </w:rPr>
        <w:softHyphen/>
        <w:t>но-культурного строительства, особенно в приграничных рай</w:t>
      </w:r>
      <w:r w:rsidRPr="00A259BD">
        <w:rPr>
          <w:rFonts w:ascii="Times New Roman" w:hAnsi="Times New Roman"/>
          <w:color w:val="000000" w:themeColor="text1"/>
          <w:sz w:val="16"/>
          <w:szCs w:val="16"/>
        </w:rPr>
        <w:softHyphen/>
        <w:t>онах. Делалась ставка на их экономический подъем, соответст</w:t>
      </w:r>
      <w:r w:rsidRPr="00A259BD">
        <w:rPr>
          <w:rFonts w:ascii="Times New Roman" w:hAnsi="Times New Roman"/>
          <w:color w:val="000000" w:themeColor="text1"/>
          <w:sz w:val="16"/>
          <w:szCs w:val="16"/>
        </w:rPr>
        <w:softHyphen/>
        <w:t>вующие мероприятия по линии просвещения, здравоохране</w:t>
      </w:r>
      <w:r w:rsidRPr="00A259BD">
        <w:rPr>
          <w:rFonts w:ascii="Times New Roman" w:hAnsi="Times New Roman"/>
          <w:color w:val="000000" w:themeColor="text1"/>
          <w:sz w:val="16"/>
          <w:szCs w:val="16"/>
        </w:rPr>
        <w:softHyphen/>
        <w:t>ния, коммунального хозяйства, имея в виду, что они должны стать прочной социально-политической базой для будущего тыла фронта, причем не только на Западе. Не менее важным будет Дальний Восток, районы, соприкасающиеся с Китаем, Афганистаном и Персией, причем не только с точки зрения обороны, но и непосредственного влияния на население сопре</w:t>
      </w:r>
      <w:r w:rsidRPr="00A259BD">
        <w:rPr>
          <w:rFonts w:ascii="Times New Roman" w:hAnsi="Times New Roman"/>
          <w:color w:val="000000" w:themeColor="text1"/>
          <w:sz w:val="16"/>
          <w:szCs w:val="16"/>
        </w:rPr>
        <w:softHyphen/>
        <w:t>дельных стран.</w:t>
      </w:r>
    </w:p>
    <w:p w14:paraId="477E7B67" w14:textId="77777777" w:rsidR="00C11F81" w:rsidRPr="00A259BD" w:rsidRDefault="00C11F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товарообороте предлагалось обеспечить переход на высшую стадию планирования: чем выше будет планирование в мирное время, тем легче будет в случае войны. С сожалением отмечалось сохранение иностранной зависимости, а по некото</w:t>
      </w:r>
      <w:r w:rsidRPr="00A259BD">
        <w:rPr>
          <w:rFonts w:ascii="Times New Roman" w:hAnsi="Times New Roman"/>
          <w:color w:val="000000" w:themeColor="text1"/>
          <w:sz w:val="16"/>
          <w:szCs w:val="16"/>
        </w:rPr>
        <w:softHyphen/>
        <w:t xml:space="preserve">рым товарам, таким как каучук, - целиком. Предлагалось еще шире развернуть мероприятия по </w:t>
      </w:r>
      <w:proofErr w:type="spellStart"/>
      <w:r w:rsidRPr="00A259BD">
        <w:rPr>
          <w:rFonts w:ascii="Times New Roman" w:hAnsi="Times New Roman"/>
          <w:color w:val="000000" w:themeColor="text1"/>
          <w:sz w:val="16"/>
          <w:szCs w:val="16"/>
        </w:rPr>
        <w:t>суррогатированию</w:t>
      </w:r>
      <w:proofErr w:type="spellEnd"/>
      <w:r w:rsidRPr="00A259BD">
        <w:rPr>
          <w:rFonts w:ascii="Times New Roman" w:hAnsi="Times New Roman"/>
          <w:color w:val="000000" w:themeColor="text1"/>
          <w:sz w:val="16"/>
          <w:szCs w:val="16"/>
        </w:rPr>
        <w:t>, т.е. созда</w:t>
      </w:r>
      <w:r w:rsidRPr="00A259BD">
        <w:rPr>
          <w:rFonts w:ascii="Times New Roman" w:hAnsi="Times New Roman"/>
          <w:color w:val="000000" w:themeColor="text1"/>
          <w:sz w:val="16"/>
          <w:szCs w:val="16"/>
        </w:rPr>
        <w:softHyphen/>
        <w:t>нию отечественных аналогов.</w:t>
      </w:r>
    </w:p>
    <w:p w14:paraId="5A50F3FC" w14:textId="77777777" w:rsidR="00C11F81" w:rsidRPr="00A259BD" w:rsidRDefault="00C11F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Однако цифры, намеченные ВСНХ на капитальное строи</w:t>
      </w:r>
      <w:r w:rsidRPr="00A259BD">
        <w:rPr>
          <w:rFonts w:ascii="Times New Roman" w:hAnsi="Times New Roman"/>
          <w:color w:val="000000" w:themeColor="text1"/>
          <w:sz w:val="16"/>
          <w:szCs w:val="16"/>
        </w:rPr>
        <w:softHyphen/>
        <w:t>тельство по военной промышленности (строительство военных заводов и милитаризацию гражданской промышленности), [153] РЗ СТО назвал чрезмерными и вместо 1190 млн руб. предложил урезать их до 500 млн руб.</w:t>
      </w:r>
      <w:bookmarkStart w:id="39" w:name="_ednref23"/>
      <w:r w:rsidR="00497FC6" w:rsidRPr="00A259BD">
        <w:rPr>
          <w:rFonts w:ascii="Times New Roman" w:hAnsi="Times New Roman"/>
          <w:color w:val="000000" w:themeColor="text1"/>
          <w:sz w:val="16"/>
          <w:szCs w:val="16"/>
        </w:rPr>
        <w:fldChar w:fldCharType="begin"/>
      </w:r>
      <w:r w:rsidRPr="00A259BD">
        <w:rPr>
          <w:rFonts w:ascii="Times New Roman" w:hAnsi="Times New Roman"/>
          <w:color w:val="000000" w:themeColor="text1"/>
          <w:sz w:val="16"/>
          <w:szCs w:val="16"/>
        </w:rPr>
        <w:instrText xml:space="preserve"> HYPERLINK "http://ebookiriran.ru/index.php?id=93&amp;section=8&amp;view=article" \l "_edn23" \o "" </w:instrText>
      </w:r>
      <w:r w:rsidR="00497FC6" w:rsidRPr="00A259BD">
        <w:rPr>
          <w:rFonts w:ascii="Times New Roman" w:hAnsi="Times New Roman"/>
          <w:color w:val="000000" w:themeColor="text1"/>
          <w:sz w:val="16"/>
          <w:szCs w:val="16"/>
        </w:rPr>
      </w:r>
      <w:r w:rsidR="00497FC6" w:rsidRPr="00A259BD">
        <w:rPr>
          <w:rFonts w:ascii="Times New Roman" w:hAnsi="Times New Roman"/>
          <w:color w:val="000000" w:themeColor="text1"/>
          <w:sz w:val="16"/>
          <w:szCs w:val="16"/>
        </w:rPr>
        <w:fldChar w:fldCharType="separate"/>
      </w:r>
      <w:r w:rsidRPr="00A259BD">
        <w:rPr>
          <w:rStyle w:val="a5"/>
          <w:rFonts w:ascii="Times New Roman" w:hAnsi="Times New Roman"/>
          <w:color w:val="000000" w:themeColor="text1"/>
          <w:sz w:val="16"/>
          <w:szCs w:val="16"/>
        </w:rPr>
        <w:t>[23]</w:t>
      </w:r>
      <w:r w:rsidR="00497FC6" w:rsidRPr="00A259BD">
        <w:rPr>
          <w:rFonts w:ascii="Times New Roman" w:hAnsi="Times New Roman"/>
          <w:color w:val="000000" w:themeColor="text1"/>
          <w:sz w:val="16"/>
          <w:szCs w:val="16"/>
        </w:rPr>
        <w:fldChar w:fldCharType="end"/>
      </w:r>
      <w:bookmarkEnd w:id="39"/>
      <w:r w:rsidRPr="00A259BD">
        <w:rPr>
          <w:rFonts w:ascii="Times New Roman" w:hAnsi="Times New Roman"/>
          <w:color w:val="000000" w:themeColor="text1"/>
          <w:sz w:val="16"/>
          <w:szCs w:val="16"/>
        </w:rPr>
        <w:t xml:space="preserve"> (18393).</w:t>
      </w:r>
    </w:p>
    <w:p w14:paraId="6EACF504" w14:textId="77777777" w:rsidR="00C11F81" w:rsidRPr="00A259BD" w:rsidRDefault="00C11F81" w:rsidP="009236E3">
      <w:pPr>
        <w:spacing w:after="0" w:line="240" w:lineRule="auto"/>
        <w:jc w:val="both"/>
        <w:rPr>
          <w:rFonts w:ascii="Times New Roman" w:hAnsi="Times New Roman"/>
          <w:color w:val="000000" w:themeColor="text1"/>
          <w:sz w:val="16"/>
          <w:szCs w:val="16"/>
        </w:rPr>
      </w:pPr>
    </w:p>
    <w:p w14:paraId="7C409E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апреля 1929 к производству танков т-18 наряду с Большевиком подключился Мотовилихинский Машзавод (б. Пермский Артиллерийский), но двигатели поступали с Большевика и массового производства не получилось. За 1929 год из 133 заказанных сдали 96 (4243,9).</w:t>
      </w:r>
    </w:p>
    <w:p w14:paraId="561DC9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FC1969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апреля 1929 г. к вы</w:t>
      </w:r>
      <w:r w:rsidRPr="00A259BD">
        <w:rPr>
          <w:rFonts w:ascii="Times New Roman" w:hAnsi="Times New Roman"/>
          <w:color w:val="000000" w:themeColor="text1"/>
          <w:sz w:val="16"/>
          <w:szCs w:val="16"/>
        </w:rPr>
        <w:softHyphen/>
        <w:t>пуску Т-18 наряду с заводом Большевик был подключен также Мотовилихинский маши</w:t>
      </w:r>
      <w:r w:rsidRPr="00A259BD">
        <w:rPr>
          <w:rFonts w:ascii="Times New Roman" w:hAnsi="Times New Roman"/>
          <w:color w:val="000000" w:themeColor="text1"/>
          <w:sz w:val="16"/>
          <w:szCs w:val="16"/>
        </w:rPr>
        <w:softHyphen/>
        <w:t>ностроительный завод (бывший Пермский артиллерий</w:t>
      </w:r>
      <w:r w:rsidRPr="00A259BD">
        <w:rPr>
          <w:rFonts w:ascii="Times New Roman" w:hAnsi="Times New Roman"/>
          <w:color w:val="000000" w:themeColor="text1"/>
          <w:sz w:val="16"/>
          <w:szCs w:val="16"/>
        </w:rPr>
        <w:softHyphen/>
        <w:t>ский) и план выпуска танков был увеличен. Однако в 1929 г. массовое производство Т-18 развернуть в Перми не удалось (тем более, что двигатели поступали с “Большевика”) и всего за 1929 г. из заказанных 133 танков было с трудом сдано 96. Но освоение Т-18 на Мотовилихинском заводе продолжалось и в 1929—30 гг. общий план выпуска Т-18 был увеличен до 300 единиц. Всего в течение 1927-1932 гг. было изготовлено 959 танков МС-1 (Т-18), из которых 4 передали в распоряже</w:t>
      </w:r>
      <w:r w:rsidRPr="00A259BD">
        <w:rPr>
          <w:rFonts w:ascii="Times New Roman" w:hAnsi="Times New Roman"/>
          <w:color w:val="000000" w:themeColor="text1"/>
          <w:sz w:val="16"/>
          <w:szCs w:val="16"/>
        </w:rPr>
        <w:softHyphen/>
        <w:t>ние ОГПУ, 2 — Четвертому управлению и один — Военно-</w:t>
      </w:r>
      <w:proofErr w:type="spellStart"/>
      <w:r w:rsidRPr="00A259BD">
        <w:rPr>
          <w:rFonts w:ascii="Times New Roman" w:hAnsi="Times New Roman"/>
          <w:color w:val="000000" w:themeColor="text1"/>
          <w:sz w:val="16"/>
          <w:szCs w:val="16"/>
        </w:rPr>
        <w:t>Химуправлению</w:t>
      </w:r>
      <w:proofErr w:type="spellEnd"/>
      <w:r w:rsidRPr="00A259BD">
        <w:rPr>
          <w:rFonts w:ascii="Times New Roman" w:hAnsi="Times New Roman"/>
          <w:color w:val="000000" w:themeColor="text1"/>
          <w:sz w:val="16"/>
          <w:szCs w:val="16"/>
        </w:rPr>
        <w:t xml:space="preserve"> РККА. Оставшиеся танки поступали в создаваемые танковые батальоны и полки общевойсковых соединений, а также в образуемые с 1929 г. механизирован</w:t>
      </w:r>
      <w:r w:rsidRPr="00A259BD">
        <w:rPr>
          <w:rFonts w:ascii="Times New Roman" w:hAnsi="Times New Roman"/>
          <w:color w:val="000000" w:themeColor="text1"/>
          <w:sz w:val="16"/>
          <w:szCs w:val="16"/>
        </w:rPr>
        <w:softHyphen/>
        <w:t>ные соединения (полки и бригады). 103 машины были сразу по изготовлении переданы в распоряжение Осоавиахима и других во</w:t>
      </w:r>
      <w:r w:rsidRPr="00A259BD">
        <w:rPr>
          <w:rFonts w:ascii="Times New Roman" w:hAnsi="Times New Roman"/>
          <w:color w:val="000000" w:themeColor="text1"/>
          <w:sz w:val="16"/>
          <w:szCs w:val="16"/>
        </w:rPr>
        <w:softHyphen/>
        <w:t>енно-технических учебных заведений (10733,81).</w:t>
      </w:r>
    </w:p>
    <w:p w14:paraId="50BC3C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6287C7" w14:textId="77777777" w:rsidR="00527C17" w:rsidRPr="00A259BD" w:rsidRDefault="00527C17" w:rsidP="009236E3">
      <w:pPr>
        <w:pStyle w:val="ae"/>
        <w:shd w:val="clear" w:color="auto" w:fill="FFFFFF"/>
        <w:spacing w:before="0" w:after="0"/>
        <w:jc w:val="both"/>
        <w:rPr>
          <w:color w:val="000000" w:themeColor="text1"/>
          <w:sz w:val="16"/>
          <w:szCs w:val="16"/>
        </w:rPr>
      </w:pPr>
      <w:r w:rsidRPr="00A259BD">
        <w:rPr>
          <w:color w:val="000000" w:themeColor="text1"/>
          <w:sz w:val="16"/>
          <w:szCs w:val="16"/>
        </w:rPr>
        <w:t>В апреле 1929 года начались работы по танкам оставшейся части 2-й серии (78 машин), полноценная их сборка началась летом. 29 июня 1929 года в работе находилось 42 корпуса, из них 29 готовых. Также в работе было 30 двигателей, из них 8 готовых. Столько же — 8 штук — было готово и танков.</w:t>
      </w:r>
    </w:p>
    <w:p w14:paraId="3EFFB868" w14:textId="77777777" w:rsidR="00527C17" w:rsidRPr="00A259BD" w:rsidRDefault="00527C17" w:rsidP="009236E3">
      <w:pPr>
        <w:pStyle w:val="ae"/>
        <w:shd w:val="clear" w:color="auto" w:fill="FFFFFF"/>
        <w:spacing w:before="0" w:after="0"/>
        <w:jc w:val="both"/>
        <w:rPr>
          <w:color w:val="000000" w:themeColor="text1"/>
          <w:sz w:val="16"/>
          <w:szCs w:val="16"/>
        </w:rPr>
      </w:pPr>
      <w:r w:rsidRPr="00A259BD">
        <w:rPr>
          <w:color w:val="000000" w:themeColor="text1"/>
          <w:sz w:val="16"/>
          <w:szCs w:val="16"/>
        </w:rPr>
        <w:t xml:space="preserve">В это же время пришлось вносить очередное изменение в конструкцию машины. Выяснилось, что на рёбрах диска ведущих колёс почти всех выпущенных танков появились трещины. Было решено ставить на танки стальные литые ведущие колёса, поначалу их получили танки первой серии. Велись и опытные работы с Т-16. Вместо катков с </w:t>
      </w:r>
      <w:proofErr w:type="spellStart"/>
      <w:r w:rsidRPr="00A259BD">
        <w:rPr>
          <w:color w:val="000000" w:themeColor="text1"/>
          <w:sz w:val="16"/>
          <w:szCs w:val="16"/>
        </w:rPr>
        <w:t>обрезинкой</w:t>
      </w:r>
      <w:proofErr w:type="spellEnd"/>
      <w:r w:rsidRPr="00A259BD">
        <w:rPr>
          <w:color w:val="000000" w:themeColor="text1"/>
          <w:sz w:val="16"/>
          <w:szCs w:val="16"/>
        </w:rPr>
        <w:t xml:space="preserve"> он получил цельнометаллические катки.</w:t>
      </w:r>
    </w:p>
    <w:p w14:paraId="735242D2" w14:textId="77777777" w:rsidR="00527C17" w:rsidRPr="00A259BD" w:rsidRDefault="00527C17" w:rsidP="009236E3">
      <w:pPr>
        <w:pStyle w:val="ae"/>
        <w:shd w:val="clear" w:color="auto" w:fill="FFFFFF"/>
        <w:spacing w:before="0" w:after="0"/>
        <w:jc w:val="both"/>
        <w:rPr>
          <w:color w:val="000000" w:themeColor="text1"/>
          <w:sz w:val="16"/>
          <w:szCs w:val="16"/>
        </w:rPr>
      </w:pPr>
      <w:r w:rsidRPr="00A259BD">
        <w:rPr>
          <w:color w:val="000000" w:themeColor="text1"/>
          <w:sz w:val="16"/>
          <w:szCs w:val="16"/>
        </w:rPr>
        <w:lastRenderedPageBreak/>
        <w:t>К 25 июля 1929 года на гарантийную обкатку вышел 21 танк второй серии. К 1 сентября число вышедших танков увеличилось до 40, 15 из них уже ушли с завода. К 23 сентября количество готовых танков достигло 50 штук. Полностью танки второй серии были сданы в ноябре 1929 года (17724)</w:t>
      </w:r>
    </w:p>
    <w:p w14:paraId="35DA78B6" w14:textId="77777777" w:rsidR="00527C17" w:rsidRPr="00A259BD" w:rsidRDefault="00527C17" w:rsidP="009236E3">
      <w:pPr>
        <w:spacing w:after="0" w:line="240" w:lineRule="auto"/>
        <w:jc w:val="both"/>
        <w:rPr>
          <w:rFonts w:ascii="Times New Roman" w:eastAsia="Times New Roman" w:hAnsi="Times New Roman"/>
          <w:color w:val="000000" w:themeColor="text1"/>
          <w:sz w:val="16"/>
          <w:szCs w:val="16"/>
          <w:lang w:eastAsia="ru-RU"/>
        </w:rPr>
      </w:pPr>
    </w:p>
    <w:p w14:paraId="1955B2DD" w14:textId="77777777" w:rsidR="00F402B5" w:rsidRPr="00A259BD" w:rsidRDefault="00F402B5" w:rsidP="009236E3">
      <w:pPr>
        <w:widowControl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w:t>
      </w:r>
      <w:smartTag w:uri="urn:schemas-microsoft-com:office:smarttags" w:element="metricconverter">
        <w:smartTagPr>
          <w:attr w:name="ProductID" w:val="1929 г"/>
        </w:smartTagPr>
        <w:r w:rsidRPr="00A259BD">
          <w:rPr>
            <w:rFonts w:ascii="Times New Roman" w:hAnsi="Times New Roman"/>
            <w:color w:val="000000" w:themeColor="text1"/>
            <w:sz w:val="16"/>
            <w:szCs w:val="16"/>
          </w:rPr>
          <w:t>1929 г</w:t>
        </w:r>
      </w:smartTag>
      <w:r w:rsidRPr="00A259BD">
        <w:rPr>
          <w:rFonts w:ascii="Times New Roman" w:hAnsi="Times New Roman"/>
          <w:color w:val="000000" w:themeColor="text1"/>
          <w:sz w:val="16"/>
          <w:szCs w:val="16"/>
        </w:rPr>
        <w:t xml:space="preserve">. было создано управление </w:t>
      </w:r>
      <w:proofErr w:type="spellStart"/>
      <w:r w:rsidRPr="00A259BD">
        <w:rPr>
          <w:rFonts w:ascii="Times New Roman" w:hAnsi="Times New Roman"/>
          <w:color w:val="000000" w:themeColor="text1"/>
          <w:sz w:val="16"/>
          <w:szCs w:val="16"/>
        </w:rPr>
        <w:t>Автостроя</w:t>
      </w:r>
      <w:proofErr w:type="spellEnd"/>
      <w:r w:rsidRPr="00A259BD">
        <w:rPr>
          <w:rFonts w:ascii="Times New Roman" w:hAnsi="Times New Roman"/>
          <w:color w:val="000000" w:themeColor="text1"/>
          <w:sz w:val="16"/>
          <w:szCs w:val="16"/>
        </w:rPr>
        <w:t xml:space="preserve">, начальником которого ВСНХ назначил члена партии с </w:t>
      </w:r>
      <w:smartTag w:uri="urn:schemas-microsoft-com:office:smarttags" w:element="metricconverter">
        <w:smartTagPr>
          <w:attr w:name="ProductID" w:val="1918 г"/>
        </w:smartTagPr>
        <w:r w:rsidRPr="00A259BD">
          <w:rPr>
            <w:rFonts w:ascii="Times New Roman" w:hAnsi="Times New Roman"/>
            <w:color w:val="000000" w:themeColor="text1"/>
            <w:sz w:val="16"/>
            <w:szCs w:val="16"/>
          </w:rPr>
          <w:t>1918 г</w:t>
        </w:r>
      </w:smartTag>
      <w:r w:rsidRPr="00A259BD">
        <w:rPr>
          <w:rFonts w:ascii="Times New Roman" w:hAnsi="Times New Roman"/>
          <w:color w:val="000000" w:themeColor="text1"/>
          <w:sz w:val="16"/>
          <w:szCs w:val="16"/>
        </w:rPr>
        <w:t xml:space="preserve">. Степана Семеновича </w:t>
      </w:r>
      <w:proofErr w:type="spellStart"/>
      <w:r w:rsidRPr="00A259BD">
        <w:rPr>
          <w:rFonts w:ascii="Times New Roman" w:hAnsi="Times New Roman"/>
          <w:color w:val="000000" w:themeColor="text1"/>
          <w:sz w:val="16"/>
          <w:szCs w:val="16"/>
        </w:rPr>
        <w:t>Дыбеца</w:t>
      </w:r>
      <w:proofErr w:type="spellEnd"/>
      <w:r w:rsidRPr="00A259BD">
        <w:rPr>
          <w:rFonts w:ascii="Times New Roman" w:hAnsi="Times New Roman"/>
          <w:color w:val="000000" w:themeColor="text1"/>
          <w:sz w:val="16"/>
          <w:szCs w:val="16"/>
        </w:rPr>
        <w:t xml:space="preserve">. С ноября </w:t>
      </w:r>
      <w:smartTag w:uri="urn:schemas-microsoft-com:office:smarttags" w:element="metricconverter">
        <w:smartTagPr>
          <w:attr w:name="ProductID" w:val="1919 г"/>
        </w:smartTagPr>
        <w:r w:rsidRPr="00A259BD">
          <w:rPr>
            <w:rFonts w:ascii="Times New Roman" w:hAnsi="Times New Roman"/>
            <w:color w:val="000000" w:themeColor="text1"/>
            <w:sz w:val="16"/>
            <w:szCs w:val="16"/>
          </w:rPr>
          <w:t>1919 г</w:t>
        </w:r>
      </w:smartTag>
      <w:r w:rsidRPr="00A259BD">
        <w:rPr>
          <w:rFonts w:ascii="Times New Roman" w:hAnsi="Times New Roman"/>
          <w:color w:val="000000" w:themeColor="text1"/>
          <w:sz w:val="16"/>
          <w:szCs w:val="16"/>
        </w:rPr>
        <w:t xml:space="preserve">. он работал в аппарате ВСНХ РСФСР, затем СССР, откуда в </w:t>
      </w:r>
      <w:smartTag w:uri="urn:schemas-microsoft-com:office:smarttags" w:element="metricconverter">
        <w:smartTagPr>
          <w:attr w:name="ProductID" w:val="1929 г"/>
        </w:smartTagPr>
        <w:r w:rsidRPr="00A259BD">
          <w:rPr>
            <w:rFonts w:ascii="Times New Roman" w:hAnsi="Times New Roman"/>
            <w:color w:val="000000" w:themeColor="text1"/>
            <w:sz w:val="16"/>
            <w:szCs w:val="16"/>
          </w:rPr>
          <w:t>1929 г</w:t>
        </w:r>
      </w:smartTag>
      <w:r w:rsidRPr="00A259BD">
        <w:rPr>
          <w:rFonts w:ascii="Times New Roman" w:hAnsi="Times New Roman"/>
          <w:color w:val="000000" w:themeColor="text1"/>
          <w:sz w:val="16"/>
          <w:szCs w:val="16"/>
        </w:rPr>
        <w:t xml:space="preserve">. направлен на </w:t>
      </w:r>
      <w:proofErr w:type="spellStart"/>
      <w:r w:rsidRPr="00A259BD">
        <w:rPr>
          <w:rFonts w:ascii="Times New Roman" w:hAnsi="Times New Roman"/>
          <w:color w:val="000000" w:themeColor="text1"/>
          <w:sz w:val="16"/>
          <w:szCs w:val="16"/>
        </w:rPr>
        <w:t>Автострой</w:t>
      </w:r>
      <w:proofErr w:type="spellEnd"/>
      <w:r w:rsidRPr="00A259BD">
        <w:rPr>
          <w:rFonts w:ascii="Times New Roman" w:hAnsi="Times New Roman"/>
          <w:color w:val="000000" w:themeColor="text1"/>
          <w:sz w:val="16"/>
          <w:szCs w:val="16"/>
        </w:rPr>
        <w:t xml:space="preserve">. Был его руководителем до </w:t>
      </w:r>
      <w:smartTag w:uri="urn:schemas-microsoft-com:office:smarttags" w:element="metricconverter">
        <w:smartTagPr>
          <w:attr w:name="ProductID" w:val="1932 г"/>
        </w:smartTagPr>
        <w:r w:rsidRPr="00A259BD">
          <w:rPr>
            <w:rFonts w:ascii="Times New Roman" w:hAnsi="Times New Roman"/>
            <w:color w:val="000000" w:themeColor="text1"/>
            <w:sz w:val="16"/>
            <w:szCs w:val="16"/>
          </w:rPr>
          <w:t>1932 г</w:t>
        </w:r>
      </w:smartTag>
      <w:r w:rsidRPr="00A259BD">
        <w:rPr>
          <w:rFonts w:ascii="Times New Roman" w:hAnsi="Times New Roman"/>
          <w:color w:val="000000" w:themeColor="text1"/>
          <w:sz w:val="16"/>
          <w:szCs w:val="16"/>
        </w:rPr>
        <w:t xml:space="preserve">., затем назначен начальником Главного управления автотракторной промышленности. В </w:t>
      </w:r>
      <w:smartTag w:uri="urn:schemas-microsoft-com:office:smarttags" w:element="metricconverter">
        <w:smartTagPr>
          <w:attr w:name="ProductID" w:val="1937 г"/>
        </w:smartTagPr>
        <w:r w:rsidRPr="00A259BD">
          <w:rPr>
            <w:rFonts w:ascii="Times New Roman" w:hAnsi="Times New Roman"/>
            <w:color w:val="000000" w:themeColor="text1"/>
            <w:sz w:val="16"/>
            <w:szCs w:val="16"/>
          </w:rPr>
          <w:t>1937 г</w:t>
        </w:r>
      </w:smartTag>
      <w:r w:rsidRPr="00A259BD">
        <w:rPr>
          <w:rFonts w:ascii="Times New Roman" w:hAnsi="Times New Roman"/>
          <w:color w:val="000000" w:themeColor="text1"/>
          <w:sz w:val="16"/>
          <w:szCs w:val="16"/>
        </w:rPr>
        <w:t xml:space="preserve">. репрессирован. Реабилитирован посмертно. Первоначальный эскизный проект автозавода было поручено выполнить Гипромезу и тресту </w:t>
      </w:r>
      <w:proofErr w:type="spellStart"/>
      <w:r w:rsidRPr="00A259BD">
        <w:rPr>
          <w:rFonts w:ascii="Times New Roman" w:hAnsi="Times New Roman"/>
          <w:color w:val="000000" w:themeColor="text1"/>
          <w:sz w:val="16"/>
          <w:szCs w:val="16"/>
        </w:rPr>
        <w:t>Металлстрой</w:t>
      </w:r>
      <w:proofErr w:type="spellEnd"/>
      <w:r w:rsidRPr="00A259BD">
        <w:rPr>
          <w:rFonts w:ascii="Times New Roman" w:hAnsi="Times New Roman"/>
          <w:color w:val="000000" w:themeColor="text1"/>
          <w:sz w:val="16"/>
          <w:szCs w:val="16"/>
        </w:rPr>
        <w:t>. Специалисты СССР еще не имели опыта автомобилестроения, особенно по организации массово-поточного производства (15218).</w:t>
      </w:r>
    </w:p>
    <w:p w14:paraId="07BB8C79" w14:textId="77777777" w:rsidR="00F402B5" w:rsidRPr="00A259BD" w:rsidRDefault="00F402B5" w:rsidP="009236E3">
      <w:pPr>
        <w:widowControl w:val="0"/>
        <w:spacing w:after="0" w:line="240" w:lineRule="auto"/>
        <w:jc w:val="both"/>
        <w:rPr>
          <w:rFonts w:ascii="Times New Roman" w:hAnsi="Times New Roman"/>
          <w:color w:val="000000" w:themeColor="text1"/>
          <w:sz w:val="16"/>
          <w:szCs w:val="16"/>
        </w:rPr>
      </w:pPr>
    </w:p>
    <w:p w14:paraId="4108BCAC" w14:textId="77777777" w:rsidR="00F402B5" w:rsidRPr="00A259BD" w:rsidRDefault="00F402B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w:t>
      </w:r>
      <w:smartTag w:uri="urn:schemas-microsoft-com:office:smarttags" w:element="metricconverter">
        <w:smartTagPr>
          <w:attr w:name="ProductID" w:val="1929 г"/>
        </w:smartTagPr>
        <w:r w:rsidRPr="00A259BD">
          <w:rPr>
            <w:rFonts w:ascii="Times New Roman" w:hAnsi="Times New Roman"/>
            <w:color w:val="000000" w:themeColor="text1"/>
            <w:sz w:val="16"/>
            <w:szCs w:val="16"/>
          </w:rPr>
          <w:t>1929 г</w:t>
        </w:r>
      </w:smartTag>
      <w:r w:rsidRPr="00A259BD">
        <w:rPr>
          <w:rFonts w:ascii="Times New Roman" w:hAnsi="Times New Roman"/>
          <w:color w:val="000000" w:themeColor="text1"/>
          <w:sz w:val="16"/>
          <w:szCs w:val="16"/>
        </w:rPr>
        <w:t xml:space="preserve">. было создано управление </w:t>
      </w:r>
      <w:proofErr w:type="spellStart"/>
      <w:r w:rsidRPr="00A259BD">
        <w:rPr>
          <w:rFonts w:ascii="Times New Roman" w:hAnsi="Times New Roman"/>
          <w:color w:val="000000" w:themeColor="text1"/>
          <w:sz w:val="16"/>
          <w:szCs w:val="16"/>
        </w:rPr>
        <w:t>Автостроя</w:t>
      </w:r>
      <w:proofErr w:type="spellEnd"/>
      <w:r w:rsidRPr="00A259BD">
        <w:rPr>
          <w:rFonts w:ascii="Times New Roman" w:hAnsi="Times New Roman"/>
          <w:color w:val="000000" w:themeColor="text1"/>
          <w:sz w:val="16"/>
          <w:szCs w:val="16"/>
        </w:rPr>
        <w:t xml:space="preserve">, начальником которого ВСНХ назначил члена партии с </w:t>
      </w:r>
      <w:smartTag w:uri="urn:schemas-microsoft-com:office:smarttags" w:element="metricconverter">
        <w:smartTagPr>
          <w:attr w:name="ProductID" w:val="1918 г"/>
        </w:smartTagPr>
        <w:r w:rsidRPr="00A259BD">
          <w:rPr>
            <w:rFonts w:ascii="Times New Roman" w:hAnsi="Times New Roman"/>
            <w:color w:val="000000" w:themeColor="text1"/>
            <w:sz w:val="16"/>
            <w:szCs w:val="16"/>
          </w:rPr>
          <w:t>1918 г</w:t>
        </w:r>
      </w:smartTag>
      <w:r w:rsidRPr="00A259BD">
        <w:rPr>
          <w:rFonts w:ascii="Times New Roman" w:hAnsi="Times New Roman"/>
          <w:color w:val="000000" w:themeColor="text1"/>
          <w:sz w:val="16"/>
          <w:szCs w:val="16"/>
        </w:rPr>
        <w:t xml:space="preserve">. Степана Семеновича </w:t>
      </w:r>
      <w:proofErr w:type="spellStart"/>
      <w:r w:rsidRPr="00A259BD">
        <w:rPr>
          <w:rFonts w:ascii="Times New Roman" w:hAnsi="Times New Roman"/>
          <w:color w:val="000000" w:themeColor="text1"/>
          <w:sz w:val="16"/>
          <w:szCs w:val="16"/>
        </w:rPr>
        <w:t>Дыбеца</w:t>
      </w:r>
      <w:proofErr w:type="spellEnd"/>
      <w:r w:rsidRPr="00A259BD">
        <w:rPr>
          <w:rFonts w:ascii="Times New Roman" w:hAnsi="Times New Roman"/>
          <w:color w:val="000000" w:themeColor="text1"/>
          <w:sz w:val="16"/>
          <w:szCs w:val="16"/>
        </w:rPr>
        <w:t xml:space="preserve">. С ноября </w:t>
      </w:r>
      <w:smartTag w:uri="urn:schemas-microsoft-com:office:smarttags" w:element="metricconverter">
        <w:smartTagPr>
          <w:attr w:name="ProductID" w:val="1919 г"/>
        </w:smartTagPr>
        <w:r w:rsidRPr="00A259BD">
          <w:rPr>
            <w:rFonts w:ascii="Times New Roman" w:hAnsi="Times New Roman"/>
            <w:color w:val="000000" w:themeColor="text1"/>
            <w:sz w:val="16"/>
            <w:szCs w:val="16"/>
          </w:rPr>
          <w:t>1919 г</w:t>
        </w:r>
      </w:smartTag>
      <w:r w:rsidRPr="00A259BD">
        <w:rPr>
          <w:rFonts w:ascii="Times New Roman" w:hAnsi="Times New Roman"/>
          <w:color w:val="000000" w:themeColor="text1"/>
          <w:sz w:val="16"/>
          <w:szCs w:val="16"/>
        </w:rPr>
        <w:t xml:space="preserve">. он работал в аппарате ВСНХ РСФСР, затем СССР, откуда в </w:t>
      </w:r>
      <w:smartTag w:uri="urn:schemas-microsoft-com:office:smarttags" w:element="metricconverter">
        <w:smartTagPr>
          <w:attr w:name="ProductID" w:val="1929 г"/>
        </w:smartTagPr>
        <w:r w:rsidRPr="00A259BD">
          <w:rPr>
            <w:rFonts w:ascii="Times New Roman" w:hAnsi="Times New Roman"/>
            <w:color w:val="000000" w:themeColor="text1"/>
            <w:sz w:val="16"/>
            <w:szCs w:val="16"/>
          </w:rPr>
          <w:t>1929 г</w:t>
        </w:r>
      </w:smartTag>
      <w:r w:rsidRPr="00A259BD">
        <w:rPr>
          <w:rFonts w:ascii="Times New Roman" w:hAnsi="Times New Roman"/>
          <w:color w:val="000000" w:themeColor="text1"/>
          <w:sz w:val="16"/>
          <w:szCs w:val="16"/>
        </w:rPr>
        <w:t xml:space="preserve">. направлен на </w:t>
      </w:r>
      <w:proofErr w:type="spellStart"/>
      <w:r w:rsidRPr="00A259BD">
        <w:rPr>
          <w:rFonts w:ascii="Times New Roman" w:hAnsi="Times New Roman"/>
          <w:color w:val="000000" w:themeColor="text1"/>
          <w:sz w:val="16"/>
          <w:szCs w:val="16"/>
        </w:rPr>
        <w:t>Автострой</w:t>
      </w:r>
      <w:proofErr w:type="spellEnd"/>
      <w:r w:rsidRPr="00A259BD">
        <w:rPr>
          <w:rFonts w:ascii="Times New Roman" w:hAnsi="Times New Roman"/>
          <w:color w:val="000000" w:themeColor="text1"/>
          <w:sz w:val="16"/>
          <w:szCs w:val="16"/>
        </w:rPr>
        <w:t xml:space="preserve">. Был его руководителем до </w:t>
      </w:r>
      <w:smartTag w:uri="urn:schemas-microsoft-com:office:smarttags" w:element="metricconverter">
        <w:smartTagPr>
          <w:attr w:name="ProductID" w:val="1932 г"/>
        </w:smartTagPr>
        <w:r w:rsidRPr="00A259BD">
          <w:rPr>
            <w:rFonts w:ascii="Times New Roman" w:hAnsi="Times New Roman"/>
            <w:color w:val="000000" w:themeColor="text1"/>
            <w:sz w:val="16"/>
            <w:szCs w:val="16"/>
          </w:rPr>
          <w:t>1932 г</w:t>
        </w:r>
      </w:smartTag>
      <w:r w:rsidRPr="00A259BD">
        <w:rPr>
          <w:rFonts w:ascii="Times New Roman" w:hAnsi="Times New Roman"/>
          <w:color w:val="000000" w:themeColor="text1"/>
          <w:sz w:val="16"/>
          <w:szCs w:val="16"/>
        </w:rPr>
        <w:t xml:space="preserve">., затем назначен начальником Главного управления автотракторной промышленности. В </w:t>
      </w:r>
      <w:smartTag w:uri="urn:schemas-microsoft-com:office:smarttags" w:element="metricconverter">
        <w:smartTagPr>
          <w:attr w:name="ProductID" w:val="1937 г"/>
        </w:smartTagPr>
        <w:r w:rsidRPr="00A259BD">
          <w:rPr>
            <w:rFonts w:ascii="Times New Roman" w:hAnsi="Times New Roman"/>
            <w:color w:val="000000" w:themeColor="text1"/>
            <w:sz w:val="16"/>
            <w:szCs w:val="16"/>
          </w:rPr>
          <w:t>1937 г</w:t>
        </w:r>
      </w:smartTag>
      <w:r w:rsidRPr="00A259BD">
        <w:rPr>
          <w:rFonts w:ascii="Times New Roman" w:hAnsi="Times New Roman"/>
          <w:color w:val="000000" w:themeColor="text1"/>
          <w:sz w:val="16"/>
          <w:szCs w:val="16"/>
        </w:rPr>
        <w:t>. репрессирован. Реабилитирован посмертно (15218).</w:t>
      </w:r>
    </w:p>
    <w:p w14:paraId="073AED9A" w14:textId="77777777" w:rsidR="00F402B5" w:rsidRPr="00A259BD" w:rsidRDefault="00F402B5" w:rsidP="009236E3">
      <w:pPr>
        <w:spacing w:after="0" w:line="240" w:lineRule="auto"/>
        <w:jc w:val="both"/>
        <w:rPr>
          <w:rFonts w:ascii="Times New Roman" w:hAnsi="Times New Roman"/>
          <w:color w:val="000000" w:themeColor="text1"/>
          <w:sz w:val="16"/>
          <w:szCs w:val="16"/>
        </w:rPr>
      </w:pPr>
    </w:p>
    <w:p w14:paraId="7AB9DB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г. на заводе (ГС завод № 172 им. Молотова НКОП, НКВ, ГКОТ, Мотовилихинский медеплавильный завод, Пермский орудийный завод ВСНХ, Мотовилихинский машиностроительный завод ВСНХ, Пермский завод им. В.М. Молотова НКОП, </w:t>
      </w:r>
      <w:proofErr w:type="spellStart"/>
      <w:r w:rsidRPr="00A259BD">
        <w:rPr>
          <w:rFonts w:ascii="Times New Roman" w:hAnsi="Times New Roman"/>
          <w:color w:val="000000" w:themeColor="text1"/>
          <w:sz w:val="16"/>
          <w:szCs w:val="16"/>
        </w:rPr>
        <w:t>Мотовилихннский</w:t>
      </w:r>
      <w:proofErr w:type="spellEnd"/>
      <w:r w:rsidRPr="00A259BD">
        <w:rPr>
          <w:rFonts w:ascii="Times New Roman" w:hAnsi="Times New Roman"/>
          <w:color w:val="000000" w:themeColor="text1"/>
          <w:sz w:val="16"/>
          <w:szCs w:val="16"/>
        </w:rPr>
        <w:t xml:space="preserve"> завод машиностроения (МЗМ), Пермский машиностроительный завод (ПМЗ) им. В.И. Ленина МОП, ОАО специального машиностроения и металлургии «Мотовилихинские заводы» (МЗ) /г. Пермь, Мотовилиха,  г. </w:t>
      </w:r>
      <w:proofErr w:type="spellStart"/>
      <w:r w:rsidRPr="00A259BD">
        <w:rPr>
          <w:rFonts w:ascii="Times New Roman" w:hAnsi="Times New Roman"/>
          <w:color w:val="000000" w:themeColor="text1"/>
          <w:sz w:val="16"/>
          <w:szCs w:val="16"/>
        </w:rPr>
        <w:t>Молотово</w:t>
      </w:r>
      <w:proofErr w:type="spellEnd"/>
      <w:r w:rsidRPr="00A259BD">
        <w:rPr>
          <w:rFonts w:ascii="Times New Roman" w:hAnsi="Times New Roman"/>
          <w:color w:val="000000" w:themeColor="text1"/>
          <w:sz w:val="16"/>
          <w:szCs w:val="16"/>
        </w:rPr>
        <w:t xml:space="preserve"> Свердловской обл. п/я 1 (193 7-38 г.)/ /614014  г. Пермь ул. 1905 года, 35 тел. (3422) 60-73-01/) начато освоение производства танка МС-1 (Т-18), на 1929-ЗО г. выдан план 300 танков (в 1929 г. выпущено 96 шт.).</w:t>
      </w:r>
    </w:p>
    <w:p w14:paraId="472B69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 0031 от 8.02.1937 г. заводу предписано создать к 1.01.1938 г. мощности по выпуску: 152-мм гаубицы обр. 1909/30 г. и 122-мм корпусной пушки А-19 обр. 1934 г. - 1280 шт. в год. Приказом № 00102 от 8.05.1937 г. предписывалось к 1.01.1938 г. создать на заводе мощности по выпуску 280 пушек А-19 в год. Этим же приказом завод был обязан ввести в эксплуатацию в 1937 г.: обдирочное отделение и 8 печей, механические цехи №2, 3, 4; расширить кузнечно-молотовый цех, установить 5 молотов, увеличить мощности мартеновского и листопрокатного цехов. Пр. ЗГУ № 71 от 17.11.1937 г. предписано набрать на завод до 1.02.1938 г. 4500 рабочих. «В связи с неудовлетворительными темпами работ» 13/20.01.1938 г. вышел приказ № 10с провести обследование реконструкции завода. По пр. № 48с от 8.02.1938 г. было необходимо построить в 1938 г. штамповую мастерскую при кузнечном цехе. По пр. № 141с от 21.04.1938 г. на завод направлено 27 молодых специалистов-ИТР. Приказом № 158сс от 10/11.05.1938 г. требовалось разработать проект (ГПИ-7) увеличения мощности завода в 1940 г. до 1500 дивизионных и 1500 корпусных 152-мм гаубиц в год; снарядное производство оставить на прежнем уровне; обеспечить выполнение плана по 152-мм гаубицам в 1938 г.: корпусные: 1-й квартал - 24 шт., 2- й - 155, 3-й - 226, 4-й - 195; дивизионные: 2-й - 165, 3-й - 195, 4-й - 240 шт. Приказом № 279с от 7.08.1938 г. требовалось: ввести в эксплуатацию цехи: термический - в 10.1938 г., обдирочный - в 12.1938 г.</w:t>
      </w:r>
    </w:p>
    <w:p w14:paraId="676F04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 № 0185 от 27.08.1937 г. на «</w:t>
      </w:r>
      <w:proofErr w:type="spellStart"/>
      <w:r w:rsidRPr="00A259BD">
        <w:rPr>
          <w:rFonts w:ascii="Times New Roman" w:hAnsi="Times New Roman"/>
          <w:color w:val="000000" w:themeColor="text1"/>
          <w:sz w:val="16"/>
          <w:szCs w:val="16"/>
        </w:rPr>
        <w:t>Саркомбайн</w:t>
      </w:r>
      <w:proofErr w:type="spellEnd"/>
      <w:r w:rsidRPr="00A259BD">
        <w:rPr>
          <w:rFonts w:ascii="Times New Roman" w:hAnsi="Times New Roman"/>
          <w:color w:val="000000" w:themeColor="text1"/>
          <w:sz w:val="16"/>
          <w:szCs w:val="16"/>
        </w:rPr>
        <w:t>» для освоения выпуска были преданы чертежи 122-мм гаубицы и переведено 10 квалифицированных рабочих. По распоряжению ЗГУ № Р/66 от 20.10.1937 г. требовалось изготовить для «</w:t>
      </w:r>
      <w:proofErr w:type="spellStart"/>
      <w:r w:rsidRPr="00A259BD">
        <w:rPr>
          <w:rFonts w:ascii="Times New Roman" w:hAnsi="Times New Roman"/>
          <w:color w:val="000000" w:themeColor="text1"/>
          <w:sz w:val="16"/>
          <w:szCs w:val="16"/>
        </w:rPr>
        <w:t>Саркомбайна</w:t>
      </w:r>
      <w:proofErr w:type="spellEnd"/>
      <w:r w:rsidRPr="00A259BD">
        <w:rPr>
          <w:rFonts w:ascii="Times New Roman" w:hAnsi="Times New Roman"/>
          <w:color w:val="000000" w:themeColor="text1"/>
          <w:sz w:val="16"/>
          <w:szCs w:val="16"/>
        </w:rPr>
        <w:t xml:space="preserve">» 7 </w:t>
      </w:r>
      <w:proofErr w:type="spellStart"/>
      <w:r w:rsidRPr="00A259BD">
        <w:rPr>
          <w:rFonts w:ascii="Times New Roman" w:hAnsi="Times New Roman"/>
          <w:color w:val="000000" w:themeColor="text1"/>
          <w:sz w:val="16"/>
          <w:szCs w:val="16"/>
        </w:rPr>
        <w:t>спецстанков</w:t>
      </w:r>
      <w:proofErr w:type="spellEnd"/>
      <w:r w:rsidRPr="00A259BD">
        <w:rPr>
          <w:rFonts w:ascii="Times New Roman" w:hAnsi="Times New Roman"/>
          <w:color w:val="000000" w:themeColor="text1"/>
          <w:sz w:val="16"/>
          <w:szCs w:val="16"/>
        </w:rPr>
        <w:t>, а также передать еще 12 станков.</w:t>
      </w:r>
    </w:p>
    <w:p w14:paraId="2918B0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составе завода (1937-38 г.): цехи: механические № 1, 2, 4, 5, передков, фасонно-литейный, чугунолитейный, мартеновский старый, ново-мартеновский, листопрокатный, сортопрокатный, крупно-закалочный, </w:t>
      </w:r>
      <w:proofErr w:type="spellStart"/>
      <w:r w:rsidRPr="00A259BD">
        <w:rPr>
          <w:rFonts w:ascii="Times New Roman" w:hAnsi="Times New Roman"/>
          <w:color w:val="000000" w:themeColor="text1"/>
          <w:sz w:val="16"/>
          <w:szCs w:val="16"/>
        </w:rPr>
        <w:t>мелко</w:t>
      </w:r>
      <w:r w:rsidRPr="00A259BD">
        <w:rPr>
          <w:rFonts w:ascii="Times New Roman" w:hAnsi="Times New Roman"/>
          <w:color w:val="000000" w:themeColor="text1"/>
          <w:sz w:val="16"/>
          <w:szCs w:val="16"/>
        </w:rPr>
        <w:softHyphen/>
        <w:t>закалочный</w:t>
      </w:r>
      <w:proofErr w:type="spellEnd"/>
      <w:r w:rsidRPr="00A259BD">
        <w:rPr>
          <w:rFonts w:ascii="Times New Roman" w:hAnsi="Times New Roman"/>
          <w:color w:val="000000" w:themeColor="text1"/>
          <w:sz w:val="16"/>
          <w:szCs w:val="16"/>
        </w:rPr>
        <w:t xml:space="preserve">, крупных деталей, мелких деталей, механический № 2, ковочный, обдирочный, </w:t>
      </w:r>
      <w:proofErr w:type="spellStart"/>
      <w:r w:rsidRPr="00A259BD">
        <w:rPr>
          <w:rFonts w:ascii="Times New Roman" w:hAnsi="Times New Roman"/>
          <w:color w:val="000000" w:themeColor="text1"/>
          <w:sz w:val="16"/>
          <w:szCs w:val="16"/>
        </w:rPr>
        <w:t>прессо</w:t>
      </w:r>
      <w:proofErr w:type="spellEnd"/>
      <w:r w:rsidRPr="00A259BD">
        <w:rPr>
          <w:rFonts w:ascii="Times New Roman" w:hAnsi="Times New Roman"/>
          <w:color w:val="000000" w:themeColor="text1"/>
          <w:sz w:val="16"/>
          <w:szCs w:val="16"/>
        </w:rPr>
        <w:t xml:space="preserve">- штамповочный и болтовой, </w:t>
      </w:r>
      <w:proofErr w:type="spellStart"/>
      <w:r w:rsidRPr="00A259BD">
        <w:rPr>
          <w:rFonts w:ascii="Times New Roman" w:hAnsi="Times New Roman"/>
          <w:color w:val="000000" w:themeColor="text1"/>
          <w:sz w:val="16"/>
          <w:szCs w:val="16"/>
        </w:rPr>
        <w:t>штампо</w:t>
      </w:r>
      <w:proofErr w:type="spellEnd"/>
      <w:r w:rsidRPr="00A259BD">
        <w:rPr>
          <w:rFonts w:ascii="Times New Roman" w:hAnsi="Times New Roman"/>
          <w:color w:val="000000" w:themeColor="text1"/>
          <w:sz w:val="16"/>
          <w:szCs w:val="16"/>
        </w:rPr>
        <w:t>-листовой, экспериментальный, ЦОС, ЦМК; отделы: проектный, снабжения, ОКС, подготовки кадров (ОПК).</w:t>
      </w:r>
    </w:p>
    <w:p w14:paraId="3336F7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 № 0278 от 20/21.12.1037 г. производство пушки ШГ переведено на конвейерную сборку. Приказом № 228сс от 1.07.1938 г. заводу поручено изготовить: к 1.11.1938 г. по одной батарее новых дивизионных гаубиц 152- мм и 122-мм.</w:t>
      </w:r>
    </w:p>
    <w:p w14:paraId="5EAFEF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Было решение о передаче с завода 132 станков заводу ЗИС, пост. ГКО № 1302 от 16.02.1942 г. это решение отменено. 10.05.1942 г. вышло постановление ГКО № 1722 о консервации производства пушек А-19 и увеличении выпуска 152-мм гаубиц. 15.01.1943 г. вновь вышло постановление ГКО № 2747 об увеличении выпуска 152-мм гаубиц МЛ-20. 10.11.1944 г. вышло распоряжение ГКО № 6904 о поставках заводу химических материалов и ГСМ.</w:t>
      </w:r>
    </w:p>
    <w:p w14:paraId="1E7F57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за 1941-45 г. изготовлено 48600 орудий.</w:t>
      </w:r>
    </w:p>
    <w:p w14:paraId="165235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пост. СМ СССР № 98-32 от 29.01.1964 г. начато производство РСЗО «Град».</w:t>
      </w:r>
    </w:p>
    <w:p w14:paraId="6AC815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07.1957 г. завод передан из ГКОТ в ведение СНХ Пермского экономического района, а затем- СНХ Западно- Уральского экономического района. 26.11.1957 г. завод № 172 переименован в ПМЗ им. В.И. Ленина. В 1992 г. ПМЗ преобразован в ОАО специального машиностроения и металлургии «Мотовилихинские заводы». По решению правительства № 22-р от 9.01.2004 г. вошло в перечень стратегических предприятий.</w:t>
      </w:r>
    </w:p>
    <w:p w14:paraId="18F144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состав АО МЗ входят (2004 г.): ООО «Металлургический завод «</w:t>
      </w:r>
      <w:proofErr w:type="spellStart"/>
      <w:r w:rsidRPr="00A259BD">
        <w:rPr>
          <w:rFonts w:ascii="Times New Roman" w:hAnsi="Times New Roman"/>
          <w:color w:val="000000" w:themeColor="text1"/>
          <w:sz w:val="16"/>
          <w:szCs w:val="16"/>
        </w:rPr>
        <w:t>Камасталь</w:t>
      </w:r>
      <w:proofErr w:type="spellEnd"/>
      <w:r w:rsidRPr="00A259BD">
        <w:rPr>
          <w:rFonts w:ascii="Times New Roman" w:hAnsi="Times New Roman"/>
          <w:color w:val="000000" w:themeColor="text1"/>
          <w:sz w:val="16"/>
          <w:szCs w:val="16"/>
        </w:rPr>
        <w:t>», ООО «</w:t>
      </w:r>
      <w:proofErr w:type="spellStart"/>
      <w:r w:rsidRPr="00A259BD">
        <w:rPr>
          <w:rFonts w:ascii="Times New Roman" w:hAnsi="Times New Roman"/>
          <w:color w:val="000000" w:themeColor="text1"/>
          <w:sz w:val="16"/>
          <w:szCs w:val="16"/>
        </w:rPr>
        <w:t>Точлит</w:t>
      </w:r>
      <w:proofErr w:type="spellEnd"/>
      <w:r w:rsidRPr="00A259BD">
        <w:rPr>
          <w:rFonts w:ascii="Times New Roman" w:hAnsi="Times New Roman"/>
          <w:color w:val="000000" w:themeColor="text1"/>
          <w:sz w:val="16"/>
          <w:szCs w:val="16"/>
        </w:rPr>
        <w:t>», ООО «Центролит», ЗАО «Пермский сантехнический завод», ЗАО «</w:t>
      </w:r>
      <w:proofErr w:type="spellStart"/>
      <w:r w:rsidRPr="00A259BD">
        <w:rPr>
          <w:rFonts w:ascii="Times New Roman" w:hAnsi="Times New Roman"/>
          <w:color w:val="000000" w:themeColor="text1"/>
          <w:sz w:val="16"/>
          <w:szCs w:val="16"/>
        </w:rPr>
        <w:t>НОиР</w:t>
      </w:r>
      <w:proofErr w:type="spellEnd"/>
      <w:r w:rsidRPr="00A259BD">
        <w:rPr>
          <w:rFonts w:ascii="Times New Roman" w:hAnsi="Times New Roman"/>
          <w:color w:val="000000" w:themeColor="text1"/>
          <w:sz w:val="16"/>
          <w:szCs w:val="16"/>
        </w:rPr>
        <w:t>», ЗАО «Торговый дом МЗ».</w:t>
      </w:r>
    </w:p>
    <w:p w14:paraId="7AEA66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(1887 г.)-170 чел., (1.04.1924 г.)- 7833 чел., (1936 г.)-19916 чел.,</w:t>
      </w:r>
    </w:p>
    <w:p w14:paraId="0D64CB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(1937 г.)- 19687 чел.</w:t>
      </w:r>
    </w:p>
    <w:p w14:paraId="6EE3D5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Горный начальник заводов (1891-97 г.)- Н. Г. Славянов.</w:t>
      </w:r>
      <w:r w:rsidRPr="00A259BD">
        <w:rPr>
          <w:rFonts w:ascii="Times New Roman" w:hAnsi="Times New Roman"/>
          <w:color w:val="000000" w:themeColor="text1"/>
          <w:sz w:val="16"/>
          <w:szCs w:val="16"/>
          <w:vertAlign w:val="superscript"/>
        </w:rPr>
        <w:t>101</w:t>
      </w:r>
      <w:r w:rsidRPr="00A259BD">
        <w:rPr>
          <w:rFonts w:ascii="Times New Roman" w:hAnsi="Times New Roman"/>
          <w:color w:val="000000" w:themeColor="text1"/>
          <w:sz w:val="16"/>
          <w:szCs w:val="16"/>
        </w:rPr>
        <w:t xml:space="preserve"> Директор (1929 г.)- Чекмарев, (1935 г.)- П.К. </w:t>
      </w:r>
      <w:proofErr w:type="spellStart"/>
      <w:r w:rsidRPr="00A259BD">
        <w:rPr>
          <w:rFonts w:ascii="Times New Roman" w:hAnsi="Times New Roman"/>
          <w:color w:val="000000" w:themeColor="text1"/>
          <w:sz w:val="16"/>
          <w:szCs w:val="16"/>
        </w:rPr>
        <w:t>Премудров</w:t>
      </w:r>
      <w:proofErr w:type="spellEnd"/>
      <w:r w:rsidRPr="00A259BD">
        <w:rPr>
          <w:rFonts w:ascii="Times New Roman" w:hAnsi="Times New Roman"/>
          <w:color w:val="000000" w:themeColor="text1"/>
          <w:sz w:val="16"/>
          <w:szCs w:val="16"/>
        </w:rPr>
        <w:t>, (15.02.1937-01.1938 г.-)- В.И. Баринов, (-06.1942-11.1943 г.-)- Быховский. Гендиректор</w:t>
      </w:r>
    </w:p>
    <w:p w14:paraId="358426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(-10.2002 г.)- Е. </w:t>
      </w:r>
      <w:proofErr w:type="spellStart"/>
      <w:r w:rsidRPr="00A259BD">
        <w:rPr>
          <w:rFonts w:ascii="Times New Roman" w:hAnsi="Times New Roman"/>
          <w:color w:val="000000" w:themeColor="text1"/>
          <w:sz w:val="16"/>
          <w:szCs w:val="16"/>
        </w:rPr>
        <w:t>Мокроносов</w:t>
      </w:r>
      <w:proofErr w:type="spellEnd"/>
      <w:r w:rsidRPr="00A259BD">
        <w:rPr>
          <w:rFonts w:ascii="Times New Roman" w:hAnsi="Times New Roman"/>
          <w:color w:val="000000" w:themeColor="text1"/>
          <w:sz w:val="16"/>
          <w:szCs w:val="16"/>
        </w:rPr>
        <w:t>, (10.2002-07.2009 г.)- И.М. Костин; и.о. (08.2009 г.-)- Н. Бухвалов.</w:t>
      </w:r>
    </w:p>
    <w:p w14:paraId="29BFA0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директора: (-10.04.1937 г.)- </w:t>
      </w:r>
      <w:r w:rsidRPr="00A259BD">
        <w:rPr>
          <w:rFonts w:ascii="Times New Roman" w:hAnsi="Times New Roman"/>
          <w:color w:val="000000" w:themeColor="text1"/>
          <w:sz w:val="16"/>
          <w:szCs w:val="16"/>
          <w:lang w:val="en-US"/>
        </w:rPr>
        <w:t>A</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M</w:t>
      </w:r>
      <w:r w:rsidRPr="00A259BD">
        <w:rPr>
          <w:rFonts w:ascii="Times New Roman" w:hAnsi="Times New Roman"/>
          <w:color w:val="000000" w:themeColor="text1"/>
          <w:sz w:val="16"/>
          <w:szCs w:val="16"/>
        </w:rPr>
        <w:t>. Зеликман, (06.1937 г.)- С.М. Ананьев; по общим вопросам (21.04.1938 г.-)- Урусов; по УКС (21.04-31.12.1938 г.)- В.Ф. Поносов, (31.12.1938 г.-)- М.А. Кузнецов. Зам. гендиректора: по коммерческим вопросам (2007 г.)- А. С. Городецкий; по организации управления и информационным технологиям (2006 г.)- С.Н. Евстратов; по общим вопросам (2004 г.)- А. Бондаренко; по экономике и финансам (2006 г.)- А.А. Антипов. Помощник директора по найму и увольнению рабочей силы (-12.1936 г.)- А.И. Шварц-</w:t>
      </w:r>
      <w:proofErr w:type="spellStart"/>
      <w:r w:rsidRPr="00A259BD">
        <w:rPr>
          <w:rFonts w:ascii="Times New Roman" w:hAnsi="Times New Roman"/>
          <w:color w:val="000000" w:themeColor="text1"/>
          <w:sz w:val="16"/>
          <w:szCs w:val="16"/>
        </w:rPr>
        <w:t>Изак</w:t>
      </w:r>
      <w:proofErr w:type="spellEnd"/>
      <w:r w:rsidRPr="00A259BD">
        <w:rPr>
          <w:rFonts w:ascii="Times New Roman" w:hAnsi="Times New Roman"/>
          <w:color w:val="000000" w:themeColor="text1"/>
          <w:sz w:val="16"/>
          <w:szCs w:val="16"/>
        </w:rPr>
        <w:t>, (31.12.1936- 37 г.-)- М.С. Ермолаев.</w:t>
      </w:r>
    </w:p>
    <w:p w14:paraId="3777D1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Директор по внешним связям и корпоративным коммуникациям (-2005-07 г.-)- И.С. Ваган.</w:t>
      </w:r>
    </w:p>
    <w:p w14:paraId="0AAFBA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инженер (-06.1937-14.03.1938 г.)- С.М. Ананьев, (08.1938 г.)- </w:t>
      </w:r>
      <w:proofErr w:type="spellStart"/>
      <w:r w:rsidRPr="00A259BD">
        <w:rPr>
          <w:rFonts w:ascii="Times New Roman" w:hAnsi="Times New Roman"/>
          <w:color w:val="000000" w:themeColor="text1"/>
          <w:sz w:val="16"/>
          <w:szCs w:val="16"/>
        </w:rPr>
        <w:t>Гулиянц</w:t>
      </w:r>
      <w:proofErr w:type="spellEnd"/>
      <w:r w:rsidRPr="00A259BD">
        <w:rPr>
          <w:rFonts w:ascii="Times New Roman" w:hAnsi="Times New Roman"/>
          <w:color w:val="000000" w:themeColor="text1"/>
          <w:sz w:val="16"/>
          <w:szCs w:val="16"/>
        </w:rPr>
        <w:t>.</w:t>
      </w:r>
    </w:p>
    <w:p w14:paraId="128B54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гл. инженера (27.05.1938 г.-)- П.М. </w:t>
      </w:r>
      <w:proofErr w:type="spellStart"/>
      <w:r w:rsidRPr="00A259BD">
        <w:rPr>
          <w:rFonts w:ascii="Times New Roman" w:hAnsi="Times New Roman"/>
          <w:color w:val="000000" w:themeColor="text1"/>
          <w:sz w:val="16"/>
          <w:szCs w:val="16"/>
        </w:rPr>
        <w:t>Лапчинский</w:t>
      </w:r>
      <w:proofErr w:type="spellEnd"/>
      <w:r w:rsidRPr="00A259BD">
        <w:rPr>
          <w:rFonts w:ascii="Times New Roman" w:hAnsi="Times New Roman"/>
          <w:color w:val="000000" w:themeColor="text1"/>
          <w:sz w:val="16"/>
          <w:szCs w:val="16"/>
        </w:rPr>
        <w:t>. Помощник гл. инженера по металлургической части (21.04.1938 г.-)- Петухов.</w:t>
      </w:r>
    </w:p>
    <w:p w14:paraId="06393A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Ген. конструктор (2004 г.)- С.В. Грунин. Гл. энергетик (-20.09.1937 г.)- В.В. </w:t>
      </w:r>
      <w:proofErr w:type="spellStart"/>
      <w:r w:rsidRPr="00A259BD">
        <w:rPr>
          <w:rFonts w:ascii="Times New Roman" w:hAnsi="Times New Roman"/>
          <w:color w:val="000000" w:themeColor="text1"/>
          <w:sz w:val="16"/>
          <w:szCs w:val="16"/>
        </w:rPr>
        <w:t>Мрачко</w:t>
      </w:r>
      <w:proofErr w:type="spellEnd"/>
      <w:r w:rsidRPr="00A259BD">
        <w:rPr>
          <w:rFonts w:ascii="Times New Roman" w:hAnsi="Times New Roman"/>
          <w:color w:val="000000" w:themeColor="text1"/>
          <w:sz w:val="16"/>
          <w:szCs w:val="16"/>
        </w:rPr>
        <w:t xml:space="preserve">, (20.09.1937 г.-)- Б.Ю. </w:t>
      </w:r>
      <w:proofErr w:type="spellStart"/>
      <w:r w:rsidRPr="00A259BD">
        <w:rPr>
          <w:rFonts w:ascii="Times New Roman" w:hAnsi="Times New Roman"/>
          <w:color w:val="000000" w:themeColor="text1"/>
          <w:sz w:val="16"/>
          <w:szCs w:val="16"/>
        </w:rPr>
        <w:t>Кошкен</w:t>
      </w:r>
      <w:proofErr w:type="spellEnd"/>
      <w:r w:rsidRPr="00A259BD">
        <w:rPr>
          <w:rFonts w:ascii="Times New Roman" w:hAnsi="Times New Roman"/>
          <w:color w:val="000000" w:themeColor="text1"/>
          <w:sz w:val="16"/>
          <w:szCs w:val="16"/>
        </w:rPr>
        <w:t xml:space="preserve">, (17.09.1938 г.-)- </w:t>
      </w:r>
      <w:r w:rsidRPr="00A259BD">
        <w:rPr>
          <w:rFonts w:ascii="Times New Roman" w:hAnsi="Times New Roman"/>
          <w:color w:val="000000" w:themeColor="text1"/>
          <w:sz w:val="16"/>
          <w:szCs w:val="16"/>
          <w:lang w:val="en-US"/>
        </w:rPr>
        <w:t>A</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M</w:t>
      </w:r>
      <w:r w:rsidRPr="00A259BD">
        <w:rPr>
          <w:rFonts w:ascii="Times New Roman" w:hAnsi="Times New Roman"/>
          <w:color w:val="000000" w:themeColor="text1"/>
          <w:sz w:val="16"/>
          <w:szCs w:val="16"/>
        </w:rPr>
        <w:t>. Школьников. Гл. металлург (10.1938 г.)- Ландграф. Гл. диспетчер (-07.1938 г.)- В.Т. Дроздов.</w:t>
      </w:r>
    </w:p>
    <w:p w14:paraId="5C8B5C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гл. энергетика: по электрической части (09.1938 г.-)- К.И. Глушков; (09.1938 г.-)- К.А. Поморцев.</w:t>
      </w:r>
    </w:p>
    <w:p w14:paraId="6976D9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Председатель комитета по стратегическому развитию (2006 г.)- М. </w:t>
      </w:r>
      <w:proofErr w:type="spellStart"/>
      <w:r w:rsidRPr="00A259BD">
        <w:rPr>
          <w:rFonts w:ascii="Times New Roman" w:hAnsi="Times New Roman"/>
          <w:color w:val="000000" w:themeColor="text1"/>
          <w:sz w:val="16"/>
          <w:szCs w:val="16"/>
        </w:rPr>
        <w:t>Загидуллов</w:t>
      </w:r>
      <w:proofErr w:type="spellEnd"/>
      <w:r w:rsidRPr="00A259BD">
        <w:rPr>
          <w:rFonts w:ascii="Times New Roman" w:hAnsi="Times New Roman"/>
          <w:color w:val="000000" w:themeColor="text1"/>
          <w:sz w:val="16"/>
          <w:szCs w:val="16"/>
        </w:rPr>
        <w:t>.</w:t>
      </w:r>
    </w:p>
    <w:p w14:paraId="0F75E7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Начальники цехов: передков (04.1938 г.)- Набатов; фасонно-литейного (04.1938 г.)- Субботин; </w:t>
      </w:r>
      <w:proofErr w:type="spellStart"/>
      <w:r w:rsidRPr="00A259BD">
        <w:rPr>
          <w:rFonts w:ascii="Times New Roman" w:hAnsi="Times New Roman"/>
          <w:color w:val="000000" w:themeColor="text1"/>
          <w:sz w:val="16"/>
          <w:szCs w:val="16"/>
        </w:rPr>
        <w:t>ново</w:t>
      </w:r>
      <w:r w:rsidRPr="00A259BD">
        <w:rPr>
          <w:rFonts w:ascii="Times New Roman" w:hAnsi="Times New Roman"/>
          <w:color w:val="000000" w:themeColor="text1"/>
          <w:sz w:val="16"/>
          <w:szCs w:val="16"/>
        </w:rPr>
        <w:softHyphen/>
        <w:t>мартеновского</w:t>
      </w:r>
      <w:proofErr w:type="spellEnd"/>
      <w:r w:rsidRPr="00A259BD">
        <w:rPr>
          <w:rFonts w:ascii="Times New Roman" w:hAnsi="Times New Roman"/>
          <w:color w:val="000000" w:themeColor="text1"/>
          <w:sz w:val="16"/>
          <w:szCs w:val="16"/>
        </w:rPr>
        <w:t xml:space="preserve"> (04.1938 г.)- Петухов; крупно-закалочного (04.1938 г.)- Филимонов; мелко-закалочного (04.1938 г.)- Меньшиков; сортопрокатного (04.1938 г.)- Урусов; крупных деталей (04.1938 г.)- Хохлов; мелких деталей (04.1938 г.)- Баскаков; механического № 2 (04.1938 г.)- Южаков; и.о. (27.05.1938 г.-)- П.М. </w:t>
      </w:r>
      <w:proofErr w:type="spellStart"/>
      <w:r w:rsidRPr="00A259BD">
        <w:rPr>
          <w:rFonts w:ascii="Times New Roman" w:hAnsi="Times New Roman"/>
          <w:color w:val="000000" w:themeColor="text1"/>
          <w:sz w:val="16"/>
          <w:szCs w:val="16"/>
        </w:rPr>
        <w:t>Лапчинский</w:t>
      </w:r>
      <w:proofErr w:type="spellEnd"/>
      <w:r w:rsidRPr="00A259BD">
        <w:rPr>
          <w:rFonts w:ascii="Times New Roman" w:hAnsi="Times New Roman"/>
          <w:color w:val="000000" w:themeColor="text1"/>
          <w:sz w:val="16"/>
          <w:szCs w:val="16"/>
        </w:rPr>
        <w:t xml:space="preserve">; ковочного (04.1938 г.)- Борисов; обдирочного (04.1938 г.)- Фролов; </w:t>
      </w:r>
      <w:proofErr w:type="spellStart"/>
      <w:r w:rsidRPr="00A259BD">
        <w:rPr>
          <w:rFonts w:ascii="Times New Roman" w:hAnsi="Times New Roman"/>
          <w:color w:val="000000" w:themeColor="text1"/>
          <w:sz w:val="16"/>
          <w:szCs w:val="16"/>
        </w:rPr>
        <w:t>прессо-пггамповочного</w:t>
      </w:r>
      <w:proofErr w:type="spellEnd"/>
      <w:r w:rsidRPr="00A259BD">
        <w:rPr>
          <w:rFonts w:ascii="Times New Roman" w:hAnsi="Times New Roman"/>
          <w:color w:val="000000" w:themeColor="text1"/>
          <w:sz w:val="16"/>
          <w:szCs w:val="16"/>
        </w:rPr>
        <w:t xml:space="preserve"> (04.1938 г.)- Будрин; </w:t>
      </w:r>
      <w:proofErr w:type="spellStart"/>
      <w:r w:rsidRPr="00A259BD">
        <w:rPr>
          <w:rFonts w:ascii="Times New Roman" w:hAnsi="Times New Roman"/>
          <w:color w:val="000000" w:themeColor="text1"/>
          <w:sz w:val="16"/>
          <w:szCs w:val="16"/>
        </w:rPr>
        <w:t>штампо</w:t>
      </w:r>
      <w:proofErr w:type="spellEnd"/>
      <w:r w:rsidRPr="00A259BD">
        <w:rPr>
          <w:rFonts w:ascii="Times New Roman" w:hAnsi="Times New Roman"/>
          <w:color w:val="000000" w:themeColor="text1"/>
          <w:sz w:val="16"/>
          <w:szCs w:val="16"/>
        </w:rPr>
        <w:t xml:space="preserve">- листового (04.1938 г.)- </w:t>
      </w:r>
      <w:proofErr w:type="spellStart"/>
      <w:r w:rsidRPr="00A259BD">
        <w:rPr>
          <w:rFonts w:ascii="Times New Roman" w:hAnsi="Times New Roman"/>
          <w:color w:val="000000" w:themeColor="text1"/>
          <w:sz w:val="16"/>
          <w:szCs w:val="16"/>
        </w:rPr>
        <w:t>Ушмаков</w:t>
      </w:r>
      <w:proofErr w:type="spellEnd"/>
      <w:r w:rsidRPr="00A259BD">
        <w:rPr>
          <w:rFonts w:ascii="Times New Roman" w:hAnsi="Times New Roman"/>
          <w:color w:val="000000" w:themeColor="text1"/>
          <w:sz w:val="16"/>
          <w:szCs w:val="16"/>
        </w:rPr>
        <w:t xml:space="preserve">; паро-силового (-09.1937 г.)- </w:t>
      </w:r>
      <w:proofErr w:type="spellStart"/>
      <w:r w:rsidRPr="00A259BD">
        <w:rPr>
          <w:rFonts w:ascii="Times New Roman" w:hAnsi="Times New Roman"/>
          <w:color w:val="000000" w:themeColor="text1"/>
          <w:sz w:val="16"/>
          <w:szCs w:val="16"/>
        </w:rPr>
        <w:t>Бройтман</w:t>
      </w:r>
      <w:proofErr w:type="spellEnd"/>
      <w:r w:rsidRPr="00A259BD">
        <w:rPr>
          <w:rFonts w:ascii="Times New Roman" w:hAnsi="Times New Roman"/>
          <w:color w:val="000000" w:themeColor="text1"/>
          <w:sz w:val="16"/>
          <w:szCs w:val="16"/>
        </w:rPr>
        <w:t>; ЦОС (04.1938 г.)- Никулин; ЦМК (04.1938 г.)- Коссовских; (10.1938 г.)- Субботин.</w:t>
      </w:r>
    </w:p>
    <w:p w14:paraId="3936E3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начальника цеха: механического № 2 (27.05.1938 г.-)- Красовский, (-07.1938 г.)- </w:t>
      </w:r>
      <w:r w:rsidRPr="00A259BD">
        <w:rPr>
          <w:rFonts w:ascii="Times New Roman" w:hAnsi="Times New Roman"/>
          <w:color w:val="000000" w:themeColor="text1"/>
          <w:sz w:val="16"/>
          <w:szCs w:val="16"/>
          <w:lang w:val="en-US"/>
        </w:rPr>
        <w:t>B</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C</w:t>
      </w:r>
      <w:r w:rsidRPr="00A259BD">
        <w:rPr>
          <w:rFonts w:ascii="Times New Roman" w:hAnsi="Times New Roman"/>
          <w:color w:val="000000" w:themeColor="text1"/>
          <w:sz w:val="16"/>
          <w:szCs w:val="16"/>
        </w:rPr>
        <w:t>. Войновский.</w:t>
      </w:r>
    </w:p>
    <w:p w14:paraId="09B78C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Начальники отделов: 2-го (-04.1938 г.)- А.В. Беликов; ОКО и.о. (09.1937 г.)- </w:t>
      </w:r>
      <w:proofErr w:type="spellStart"/>
      <w:r w:rsidRPr="00A259BD">
        <w:rPr>
          <w:rFonts w:ascii="Times New Roman" w:hAnsi="Times New Roman"/>
          <w:color w:val="000000" w:themeColor="text1"/>
          <w:sz w:val="16"/>
          <w:szCs w:val="16"/>
        </w:rPr>
        <w:t>Булашев</w:t>
      </w:r>
      <w:proofErr w:type="spellEnd"/>
      <w:r w:rsidRPr="00A259BD">
        <w:rPr>
          <w:rFonts w:ascii="Times New Roman" w:hAnsi="Times New Roman"/>
          <w:color w:val="000000" w:themeColor="text1"/>
          <w:sz w:val="16"/>
          <w:szCs w:val="16"/>
        </w:rPr>
        <w:t>; проектного (04.1938 г.)- Иванов; ОТК (12.1937 г.)- Привалов, (-02.1938 г.)-  Г.И. Дубов; и.о. (02.1938 г.-)- Платонов; снабжения (04.1938 г.)- Баранов; ОКС, УКС (25.03-31.12.1938 г.)- В.Ф. Поносов, (31.12.1938 г.-)- М.А. Кузнецов; ОПК (1937 г.)- Антипин.</w:t>
      </w:r>
    </w:p>
    <w:p w14:paraId="61A703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инженер ОКС (-09.1937 г.)- Ключарев.</w:t>
      </w:r>
    </w:p>
    <w:p w14:paraId="5F3262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 Центральной лаборатории (-07.1938 г.)- В. Г. Кушнер. Начальник </w:t>
      </w:r>
      <w:proofErr w:type="spellStart"/>
      <w:r w:rsidRPr="00A259BD">
        <w:rPr>
          <w:rFonts w:ascii="Times New Roman" w:hAnsi="Times New Roman"/>
          <w:color w:val="000000" w:themeColor="text1"/>
          <w:sz w:val="16"/>
          <w:szCs w:val="16"/>
        </w:rPr>
        <w:t>энергобюро</w:t>
      </w:r>
      <w:proofErr w:type="spellEnd"/>
      <w:r w:rsidRPr="00A259BD">
        <w:rPr>
          <w:rFonts w:ascii="Times New Roman" w:hAnsi="Times New Roman"/>
          <w:color w:val="000000" w:themeColor="text1"/>
          <w:sz w:val="16"/>
          <w:szCs w:val="16"/>
        </w:rPr>
        <w:t xml:space="preserve"> (09.1938 г.-)- К.А. Поморцев.</w:t>
      </w:r>
    </w:p>
    <w:p w14:paraId="2AF940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пушки: 8, 9, 11-дюймовые (1870-е-); морские 75-мм, 120-мм, 6-дюймовые скорострельные </w:t>
      </w:r>
      <w:proofErr w:type="spellStart"/>
      <w:r w:rsidRPr="00A259BD">
        <w:rPr>
          <w:rFonts w:ascii="Times New Roman" w:hAnsi="Times New Roman"/>
          <w:color w:val="000000" w:themeColor="text1"/>
          <w:sz w:val="16"/>
          <w:szCs w:val="16"/>
        </w:rPr>
        <w:t>Канэ</w:t>
      </w:r>
      <w:proofErr w:type="spellEnd"/>
      <w:r w:rsidRPr="00A259BD">
        <w:rPr>
          <w:rFonts w:ascii="Times New Roman" w:hAnsi="Times New Roman"/>
          <w:color w:val="000000" w:themeColor="text1"/>
          <w:sz w:val="16"/>
          <w:szCs w:val="16"/>
        </w:rPr>
        <w:t xml:space="preserve"> (1898-1910-е); 3-х и 6-дюймовые полевые (1903-14-), фирмы «Шнейдер», Путиловского завода; 45-мм противотанковые: обр. 1937 г. (ВОВ), М-42 (ВОВ); 76-мм полковые: обр. 1927 г. (ВОВ), ОБ-25 (ВОВ); 100-мм полевая С-3 (опытная, 04.1944), 122-мм корпусная А-19 обр. 1931/37 г. (-1937-42); М-46, М-47 (1947-); 2А36,2А37 «Гиацинт» (1977-), 2Б16 «Нона-К»; зенитные: 25-м 72-К (ВОВ), 45-мм морская М13 (ВОВ), КС-30 (1952-), КМ-52 (1956-); танковые Д-10, 2А20, 2А46М (1985-); 122-мм 2А18 для САУ 2С1 «Гвоздика»; гаубицы: (1903-), фирмы «Шнейдер», Путиловского завода; 122-мм (48-линейные) обр. 1909 г. (1924), обр. 1910/30 г. (1937); 152-мм (6- дюймовые) крепостные (1924), обр. 1909/30 г. (1937), обр. 1936 г. (1937), МЛ-20 (-1942-43-); 2А65 «Мста-Б» (1987- ); мортиры: фирмы «Шнейдер», Путиловского завода, 152-мм «Н» (4М) (1932-35)- 129, 152-мм </w:t>
      </w:r>
      <w:r w:rsidRPr="00A259BD">
        <w:rPr>
          <w:rFonts w:ascii="Times New Roman" w:hAnsi="Times New Roman"/>
          <w:color w:val="000000" w:themeColor="text1"/>
          <w:sz w:val="16"/>
          <w:szCs w:val="16"/>
          <w:lang w:val="en-US"/>
        </w:rPr>
        <w:t>MJI</w:t>
      </w:r>
      <w:r w:rsidRPr="00A259BD">
        <w:rPr>
          <w:rFonts w:ascii="Times New Roman" w:hAnsi="Times New Roman"/>
          <w:color w:val="000000" w:themeColor="text1"/>
          <w:sz w:val="16"/>
          <w:szCs w:val="16"/>
        </w:rPr>
        <w:t xml:space="preserve">-21 (1937)- 3; миномет 2С12 «Сани»; танки: МС-1 (1929-); САУ: пушки: 122-мм А19С, 152-мм </w:t>
      </w:r>
      <w:r w:rsidRPr="00A259BD">
        <w:rPr>
          <w:rFonts w:ascii="Times New Roman" w:hAnsi="Times New Roman"/>
          <w:color w:val="000000" w:themeColor="text1"/>
          <w:sz w:val="16"/>
          <w:szCs w:val="16"/>
          <w:lang w:val="en-US"/>
        </w:rPr>
        <w:t>MJI</w:t>
      </w:r>
      <w:r w:rsidRPr="00A259BD">
        <w:rPr>
          <w:rFonts w:ascii="Times New Roman" w:hAnsi="Times New Roman"/>
          <w:color w:val="000000" w:themeColor="text1"/>
          <w:sz w:val="16"/>
          <w:szCs w:val="16"/>
        </w:rPr>
        <w:t>-20</w:t>
      </w:r>
      <w:r w:rsidRPr="00A259BD">
        <w:rPr>
          <w:rFonts w:ascii="Times New Roman" w:hAnsi="Times New Roman"/>
          <w:color w:val="000000" w:themeColor="text1"/>
          <w:sz w:val="16"/>
          <w:szCs w:val="16"/>
          <w:lang w:val="en-US"/>
        </w:rPr>
        <w:t>C</w:t>
      </w:r>
      <w:r w:rsidRPr="00A259BD">
        <w:rPr>
          <w:rFonts w:ascii="Times New Roman" w:hAnsi="Times New Roman"/>
          <w:color w:val="000000" w:themeColor="text1"/>
          <w:sz w:val="16"/>
          <w:szCs w:val="16"/>
        </w:rPr>
        <w:t xml:space="preserve">; 2СЗ «Акация» с пушкой 2АЗЗ, 2С5 «Гиацинт-С», 2С9 «Нона-С», 2С23 «Нона-СВК», 2С31 «Вена», миномет 2С4 «Тюльпан»; РСЗО: БМ-21 «Град» (1965-1990-е)- около 3000, «Ураган» (1975-), «Смерч» (1987-2008-); лафеты для крепостной и морской артиллерии (1898-); артиллерийские снаряды: калибра 3-14 дюймов (1910-е); бомбы фугасные, химические (1924); детали для </w:t>
      </w:r>
      <w:r w:rsidRPr="00A259BD">
        <w:rPr>
          <w:rFonts w:ascii="Times New Roman" w:hAnsi="Times New Roman"/>
          <w:color w:val="000000" w:themeColor="text1"/>
          <w:sz w:val="16"/>
          <w:szCs w:val="16"/>
          <w:lang w:val="en-US"/>
        </w:rPr>
        <w:t>PC</w:t>
      </w:r>
      <w:r w:rsidRPr="00A259BD">
        <w:rPr>
          <w:rFonts w:ascii="Times New Roman" w:hAnsi="Times New Roman"/>
          <w:color w:val="000000" w:themeColor="text1"/>
          <w:sz w:val="16"/>
          <w:szCs w:val="16"/>
        </w:rPr>
        <w:t xml:space="preserve"> М-13 (1942); прицелы: танковый оптический (1929-), для 122-мм гаубицы (1938); универсальное огневое сооружение «Горчак»; машина управления артиллерийским огнем 1В12 М (1987-); ракеты 8К63, 8К63у, 11К63 (1956-66); пусковые установки: 5П73, СМ-63, СМ-90М, МС-73 для РСЗО А-215 (1969-), ТЗМ ПР14-АМ; БР Р-12; РН 11К63 «Космос-1» (1960-е); ИСЗ серии «Космос»;</w:t>
      </w:r>
    </w:p>
    <w:p w14:paraId="37315D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двигатели внутреннего сгорания 10 л.с. (1924); поковки авиационных двигателей М-25, цилиндров для М-100 (1937); сталь ХМА4 (1937); автокраны, экскаваторы-планировщики на шасси «Урал», «КамАЗ», МЗКТ для инженерных войск;</w:t>
      </w:r>
      <w:r w:rsidRPr="00A259BD">
        <w:rPr>
          <w:rFonts w:ascii="Times New Roman" w:hAnsi="Times New Roman"/>
          <w:color w:val="000000" w:themeColor="text1"/>
          <w:sz w:val="16"/>
          <w:szCs w:val="16"/>
          <w:vertAlign w:val="superscript"/>
        </w:rPr>
        <w:t>69</w:t>
      </w:r>
      <w:r w:rsidRPr="00A259BD">
        <w:rPr>
          <w:rFonts w:ascii="Times New Roman" w:hAnsi="Times New Roman"/>
          <w:color w:val="000000" w:themeColor="text1"/>
          <w:sz w:val="16"/>
          <w:szCs w:val="16"/>
        </w:rPr>
        <w:t xml:space="preserve"> пароход «</w:t>
      </w:r>
      <w:proofErr w:type="spellStart"/>
      <w:r w:rsidRPr="00A259BD">
        <w:rPr>
          <w:rFonts w:ascii="Times New Roman" w:hAnsi="Times New Roman"/>
          <w:color w:val="000000" w:themeColor="text1"/>
          <w:sz w:val="16"/>
          <w:szCs w:val="16"/>
        </w:rPr>
        <w:t>Редедя</w:t>
      </w:r>
      <w:proofErr w:type="spellEnd"/>
      <w:r w:rsidRPr="00A259BD">
        <w:rPr>
          <w:rFonts w:ascii="Times New Roman" w:hAnsi="Times New Roman"/>
          <w:color w:val="000000" w:themeColor="text1"/>
          <w:sz w:val="16"/>
          <w:szCs w:val="16"/>
        </w:rPr>
        <w:t xml:space="preserve">, князь </w:t>
      </w:r>
      <w:proofErr w:type="spellStart"/>
      <w:r w:rsidRPr="00A259BD">
        <w:rPr>
          <w:rFonts w:ascii="Times New Roman" w:hAnsi="Times New Roman"/>
          <w:color w:val="000000" w:themeColor="text1"/>
          <w:sz w:val="16"/>
          <w:szCs w:val="16"/>
        </w:rPr>
        <w:t>Косогский</w:t>
      </w:r>
      <w:proofErr w:type="spellEnd"/>
      <w:r w:rsidRPr="00A259BD">
        <w:rPr>
          <w:rFonts w:ascii="Times New Roman" w:hAnsi="Times New Roman"/>
          <w:color w:val="000000" w:themeColor="text1"/>
          <w:sz w:val="16"/>
          <w:szCs w:val="16"/>
        </w:rPr>
        <w:t>» (1889); строительные краны, комплексные дорожные машины (2007) (11982).</w:t>
      </w:r>
    </w:p>
    <w:p w14:paraId="7BECDC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DDD6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г. профессор В. Гиттис, выступая на страницах журнала "За рулем" писал: "Нужно отказаться от разработки собственной конструкции автомобиля, как не следует самим разрабатывать технологический процесс производства заново; вместо этого для ускорения нового строительства нужно принять по соглашению с каким-либо иностранным заводом применяемый им технологический процесс вместе со строящейся этим заводом конструкцией автомобиля" (12098).</w:t>
      </w:r>
    </w:p>
    <w:p w14:paraId="0189CF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EC558D" w14:textId="77777777" w:rsidR="00C11F81" w:rsidRPr="00A259BD" w:rsidRDefault="00C11F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г. было </w:t>
      </w:r>
      <w:proofErr w:type="spellStart"/>
      <w:r w:rsidRPr="00A259BD">
        <w:rPr>
          <w:rFonts w:ascii="Times New Roman" w:hAnsi="Times New Roman"/>
          <w:color w:val="000000" w:themeColor="text1"/>
          <w:sz w:val="16"/>
          <w:szCs w:val="16"/>
        </w:rPr>
        <w:t>пордписано</w:t>
      </w:r>
      <w:proofErr w:type="spellEnd"/>
      <w:r w:rsidRPr="00A259BD">
        <w:rPr>
          <w:rFonts w:ascii="Times New Roman" w:hAnsi="Times New Roman"/>
          <w:color w:val="000000" w:themeColor="text1"/>
          <w:sz w:val="16"/>
          <w:szCs w:val="16"/>
        </w:rPr>
        <w:t xml:space="preserve"> соглашение с фирмой «Крупп», которая обязалась передавать сведения «в области специального военного производства», но предпочтение отдали ее конкуренту — фирме «</w:t>
      </w:r>
      <w:proofErr w:type="spellStart"/>
      <w:r w:rsidRPr="00A259BD">
        <w:rPr>
          <w:rFonts w:ascii="Times New Roman" w:hAnsi="Times New Roman"/>
          <w:color w:val="000000" w:themeColor="text1"/>
          <w:sz w:val="16"/>
          <w:szCs w:val="16"/>
        </w:rPr>
        <w:t>Рейнметалл</w:t>
      </w:r>
      <w:proofErr w:type="spellEnd"/>
      <w:r w:rsidRPr="00A259BD">
        <w:rPr>
          <w:rFonts w:ascii="Times New Roman" w:hAnsi="Times New Roman"/>
          <w:color w:val="000000" w:themeColor="text1"/>
          <w:sz w:val="16"/>
          <w:szCs w:val="16"/>
        </w:rPr>
        <w:t>», передавшей чертежи и технологии. В августе 1930 г. был заключен договор с фирмой «</w:t>
      </w:r>
      <w:proofErr w:type="spellStart"/>
      <w:r w:rsidRPr="00A259BD">
        <w:rPr>
          <w:rFonts w:ascii="Times New Roman" w:hAnsi="Times New Roman"/>
          <w:color w:val="000000" w:themeColor="text1"/>
          <w:sz w:val="16"/>
          <w:szCs w:val="16"/>
        </w:rPr>
        <w:t>Бютаст</w:t>
      </w:r>
      <w:proofErr w:type="spellEnd"/>
      <w:r w:rsidRPr="00A259BD">
        <w:rPr>
          <w:rFonts w:ascii="Times New Roman" w:hAnsi="Times New Roman"/>
          <w:color w:val="000000" w:themeColor="text1"/>
          <w:sz w:val="16"/>
          <w:szCs w:val="16"/>
        </w:rPr>
        <w:t>» (подставной конторой фирмы «</w:t>
      </w:r>
      <w:proofErr w:type="spellStart"/>
      <w:r w:rsidRPr="00A259BD">
        <w:rPr>
          <w:rFonts w:ascii="Times New Roman" w:hAnsi="Times New Roman"/>
          <w:color w:val="000000" w:themeColor="text1"/>
          <w:sz w:val="16"/>
          <w:szCs w:val="16"/>
        </w:rPr>
        <w:t>Рейнметалл</w:t>
      </w:r>
      <w:proofErr w:type="spellEnd"/>
      <w:r w:rsidRPr="00A259BD">
        <w:rPr>
          <w:rFonts w:ascii="Times New Roman" w:hAnsi="Times New Roman"/>
          <w:color w:val="000000" w:themeColor="text1"/>
          <w:sz w:val="16"/>
          <w:szCs w:val="16"/>
        </w:rPr>
        <w:t xml:space="preserve">») на поставку в СССР шести опытных артсистем и технологической документации к ним. Так появились, например, советская 37-мм противотанковая пушка обр.1930 г. (впоследствии на ее основе создана знаменитая «сорокопятка») и 20-мм автоматическая пушка обр. 1930 г. В Москве работало смешанное КБ № 2 </w:t>
      </w:r>
      <w:proofErr w:type="spellStart"/>
      <w:r w:rsidRPr="00A259BD">
        <w:rPr>
          <w:rFonts w:ascii="Times New Roman" w:hAnsi="Times New Roman"/>
          <w:color w:val="000000" w:themeColor="text1"/>
          <w:sz w:val="16"/>
          <w:szCs w:val="16"/>
        </w:rPr>
        <w:t>Орудийноарсенального</w:t>
      </w:r>
      <w:proofErr w:type="spellEnd"/>
      <w:r w:rsidRPr="00A259BD">
        <w:rPr>
          <w:rFonts w:ascii="Times New Roman" w:hAnsi="Times New Roman"/>
          <w:color w:val="000000" w:themeColor="text1"/>
          <w:sz w:val="16"/>
          <w:szCs w:val="16"/>
        </w:rPr>
        <w:t xml:space="preserve"> объединения, руководимое немецким инженером Фохтом (в этом КБ начинал свою конструкторскую деятельность В.Г. </w:t>
      </w:r>
      <w:proofErr w:type="spellStart"/>
      <w:r w:rsidRPr="00A259BD">
        <w:rPr>
          <w:rFonts w:ascii="Times New Roman" w:hAnsi="Times New Roman"/>
          <w:color w:val="000000" w:themeColor="text1"/>
          <w:sz w:val="16"/>
          <w:szCs w:val="16"/>
        </w:rPr>
        <w:t>Грабин</w:t>
      </w:r>
      <w:proofErr w:type="spellEnd"/>
      <w:r w:rsidRPr="00A259BD">
        <w:rPr>
          <w:rFonts w:ascii="Times New Roman" w:hAnsi="Times New Roman"/>
          <w:color w:val="000000" w:themeColor="text1"/>
          <w:sz w:val="16"/>
          <w:szCs w:val="16"/>
        </w:rPr>
        <w:t>). Немцы помогли РККА приобрести зенитные пушки у шведской фирмы «</w:t>
      </w:r>
      <w:proofErr w:type="spellStart"/>
      <w:r w:rsidRPr="00A259BD">
        <w:rPr>
          <w:rFonts w:ascii="Times New Roman" w:hAnsi="Times New Roman"/>
          <w:color w:val="000000" w:themeColor="text1"/>
          <w:sz w:val="16"/>
          <w:szCs w:val="16"/>
        </w:rPr>
        <w:t>Бофорс</w:t>
      </w:r>
      <w:proofErr w:type="spellEnd"/>
      <w:r w:rsidRPr="00A259BD">
        <w:rPr>
          <w:rFonts w:ascii="Times New Roman" w:hAnsi="Times New Roman"/>
          <w:color w:val="000000" w:themeColor="text1"/>
          <w:sz w:val="16"/>
          <w:szCs w:val="16"/>
        </w:rPr>
        <w:t>» (18272).</w:t>
      </w:r>
    </w:p>
    <w:p w14:paraId="6B9AC954" w14:textId="77777777" w:rsidR="00C11F81" w:rsidRPr="00A259BD" w:rsidRDefault="00C11F81" w:rsidP="009236E3">
      <w:pPr>
        <w:spacing w:after="0" w:line="240" w:lineRule="auto"/>
        <w:jc w:val="both"/>
        <w:rPr>
          <w:rFonts w:ascii="Times New Roman" w:hAnsi="Times New Roman"/>
          <w:color w:val="000000" w:themeColor="text1"/>
          <w:sz w:val="16"/>
          <w:szCs w:val="16"/>
        </w:rPr>
      </w:pPr>
    </w:p>
    <w:p w14:paraId="2C2A8F52" w14:textId="77777777" w:rsidR="00C11F81" w:rsidRPr="00A259BD" w:rsidRDefault="00C11F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г. вопрос о возможности использования аппаратуры многократного телефо</w:t>
      </w:r>
      <w:r w:rsidRPr="00A259BD">
        <w:rPr>
          <w:rFonts w:ascii="Times New Roman" w:hAnsi="Times New Roman"/>
          <w:color w:val="000000" w:themeColor="text1"/>
          <w:sz w:val="16"/>
          <w:szCs w:val="16"/>
        </w:rPr>
        <w:softHyphen/>
        <w:t>нирования в военной области был обсужден на заседании Технического комите</w:t>
      </w:r>
      <w:r w:rsidRPr="00A259BD">
        <w:rPr>
          <w:rFonts w:ascii="Times New Roman" w:hAnsi="Times New Roman"/>
          <w:color w:val="000000" w:themeColor="text1"/>
          <w:sz w:val="16"/>
          <w:szCs w:val="16"/>
        </w:rPr>
        <w:softHyphen/>
        <w:t>та ВТУ В постановлении заседания отмечалось, что хотя разра</w:t>
      </w:r>
      <w:r w:rsidRPr="00A259BD">
        <w:rPr>
          <w:rFonts w:ascii="Times New Roman" w:hAnsi="Times New Roman"/>
          <w:color w:val="000000" w:themeColor="text1"/>
          <w:sz w:val="16"/>
          <w:szCs w:val="16"/>
        </w:rPr>
        <w:softHyphen/>
        <w:t>ботанные в ЦЛПС «... установки и не пригодны для полевых условий, но с воен</w:t>
      </w:r>
      <w:r w:rsidRPr="00A259BD">
        <w:rPr>
          <w:rFonts w:ascii="Times New Roman" w:hAnsi="Times New Roman"/>
          <w:color w:val="000000" w:themeColor="text1"/>
          <w:sz w:val="16"/>
          <w:szCs w:val="16"/>
        </w:rPr>
        <w:softHyphen/>
        <w:t>ной точки зрения их производство желательно, т.к. они могут быть применены на стратегических линиях» . Проведение дальнейших работ по данному направ</w:t>
      </w:r>
      <w:r w:rsidRPr="00A259BD">
        <w:rPr>
          <w:rFonts w:ascii="Times New Roman" w:hAnsi="Times New Roman"/>
          <w:color w:val="000000" w:themeColor="text1"/>
          <w:sz w:val="16"/>
          <w:szCs w:val="16"/>
        </w:rPr>
        <w:softHyphen/>
        <w:t xml:space="preserve">лению было поручено НИИС, где непосредственное руководство осуществлял инженер К.М. </w:t>
      </w:r>
      <w:proofErr w:type="spellStart"/>
      <w:r w:rsidRPr="00A259BD">
        <w:rPr>
          <w:rFonts w:ascii="Times New Roman" w:hAnsi="Times New Roman"/>
          <w:color w:val="000000" w:themeColor="text1"/>
          <w:sz w:val="16"/>
          <w:szCs w:val="16"/>
        </w:rPr>
        <w:t>Рекст</w:t>
      </w:r>
      <w:proofErr w:type="spellEnd"/>
      <w:r w:rsidRPr="00A259BD">
        <w:rPr>
          <w:rFonts w:ascii="Times New Roman" w:hAnsi="Times New Roman"/>
          <w:color w:val="000000" w:themeColor="text1"/>
          <w:sz w:val="16"/>
          <w:szCs w:val="16"/>
        </w:rPr>
        <w:t>. По его инициативе разработка военно-полевой установки высокочастотного телефонирования была поручена Военному отделу ЦЛПС.</w:t>
      </w:r>
    </w:p>
    <w:p w14:paraId="77C8F8F4" w14:textId="77777777" w:rsidR="00C11F81" w:rsidRPr="00A259BD" w:rsidRDefault="00C11F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этого была использована установка, разработанная В.Н. Листовым. Сотруд</w:t>
      </w:r>
      <w:r w:rsidRPr="00A259BD">
        <w:rPr>
          <w:rFonts w:ascii="Times New Roman" w:hAnsi="Times New Roman"/>
          <w:color w:val="000000" w:themeColor="text1"/>
          <w:sz w:val="16"/>
          <w:szCs w:val="16"/>
        </w:rPr>
        <w:softHyphen/>
        <w:t xml:space="preserve">ник Военного отдела А.В. Яковлев в тесном взаимодействии с </w:t>
      </w:r>
      <w:proofErr w:type="spellStart"/>
      <w:r w:rsidRPr="00A259BD">
        <w:rPr>
          <w:rFonts w:ascii="Times New Roman" w:hAnsi="Times New Roman"/>
          <w:color w:val="000000" w:themeColor="text1"/>
          <w:sz w:val="16"/>
          <w:szCs w:val="16"/>
        </w:rPr>
        <w:t>Рекстом</w:t>
      </w:r>
      <w:proofErr w:type="spellEnd"/>
      <w:r w:rsidRPr="00A259BD">
        <w:rPr>
          <w:rFonts w:ascii="Times New Roman" w:hAnsi="Times New Roman"/>
          <w:color w:val="000000" w:themeColor="text1"/>
          <w:sz w:val="16"/>
          <w:szCs w:val="16"/>
        </w:rPr>
        <w:t xml:space="preserve"> разрабо</w:t>
      </w:r>
      <w:r w:rsidRPr="00A259BD">
        <w:rPr>
          <w:rFonts w:ascii="Times New Roman" w:hAnsi="Times New Roman"/>
          <w:color w:val="000000" w:themeColor="text1"/>
          <w:sz w:val="16"/>
          <w:szCs w:val="16"/>
        </w:rPr>
        <w:softHyphen/>
        <w:t>тал автомашину с установкой высокочастотного телефонирования и с шестью каналами тонального телеграфа. Первые испытания этой установки, проведен</w:t>
      </w:r>
      <w:r w:rsidRPr="00A259BD">
        <w:rPr>
          <w:rFonts w:ascii="Times New Roman" w:hAnsi="Times New Roman"/>
          <w:color w:val="000000" w:themeColor="text1"/>
          <w:sz w:val="16"/>
          <w:szCs w:val="16"/>
        </w:rPr>
        <w:softHyphen/>
        <w:t>ные совместно с НИИС, дали положительные результаты. Проведенные работы послужили в дальнейшем основой для новой отрасли военно-полевой телефон</w:t>
      </w:r>
      <w:r w:rsidRPr="00A259BD">
        <w:rPr>
          <w:rFonts w:ascii="Times New Roman" w:hAnsi="Times New Roman"/>
          <w:color w:val="000000" w:themeColor="text1"/>
          <w:sz w:val="16"/>
          <w:szCs w:val="16"/>
        </w:rPr>
        <w:softHyphen/>
        <w:t>ной техники дальней связи (19098).</w:t>
      </w:r>
    </w:p>
    <w:p w14:paraId="7403A35F" w14:textId="77777777" w:rsidR="00C11F81" w:rsidRPr="00A259BD" w:rsidRDefault="00C11F81" w:rsidP="009236E3">
      <w:pPr>
        <w:spacing w:after="0" w:line="240" w:lineRule="auto"/>
        <w:jc w:val="both"/>
        <w:rPr>
          <w:rFonts w:ascii="Times New Roman" w:hAnsi="Times New Roman"/>
          <w:color w:val="000000" w:themeColor="text1"/>
          <w:sz w:val="16"/>
          <w:szCs w:val="16"/>
        </w:rPr>
      </w:pPr>
    </w:p>
    <w:p w14:paraId="4A9F61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СТО утвердил пятилетнюю кораблестроительную программу на 1928-1933, которая в дополнение к программе 1926 предусматривала постройку 3 эсминцев: 4 малых п/л, 2 канонерок, нескольких охотников за п/л и торпедных катеров, а также достройку небольших кораблей и капремонт трех линкоров (3848,107).</w:t>
      </w:r>
    </w:p>
    <w:p w14:paraId="5F7524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FD1C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года в Москве состоялась XVI партийная конференция, которая утвердила первый пятилетний план. Согласно этому плану, в стране предполагалось увеличить производство чугуна почти в 3 раза – до 10 млн. тонн, а всего было одобрено строительство порядка 20 крупных предприятий черной металлургии (Магнитка, КМК, Криворожсталь, Днепровский комбинат и ряд других). Громады планов превратились в скором времени в настоящее мифотворчество: в 1930 году председатель Госплана Г.М. Кржижановский одобрил увеличение производства до 15-17 млн. тонн чугуна. В принципе, из затеи с Урало-Кузбассом в том виде, в каком он был разработан советскими планировщиками ничего хорошего выйти не могло. Ведущий проектный институт страны – Гипромез начал с конца 1926 года (тогда был создан сибирский филиал института) разработку проекта будущего КМК. Однако максимум что он сумел сделать – это определить площадку, а также свести уточненные данные о запасах угля (по оценке профессоров Усова, Бокия и Рубина угольные запасы Кузбасса составляли 400-450 миллиардов тонн) в ТЭО. Опыта в строительстве и детальном проектировании таких предприятий у советских специалистов практически не было, поэтому было принято единственное возможное решение: привлечь к сотрудничеству зарубежные компании (11539).</w:t>
      </w:r>
    </w:p>
    <w:p w14:paraId="2841AF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F2CF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года строительство Кузнецкого металлургического завода было поручено “</w:t>
      </w:r>
      <w:proofErr w:type="spellStart"/>
      <w:r w:rsidRPr="00A259BD">
        <w:rPr>
          <w:rFonts w:ascii="Times New Roman" w:hAnsi="Times New Roman"/>
          <w:color w:val="000000" w:themeColor="text1"/>
          <w:sz w:val="16"/>
          <w:szCs w:val="16"/>
        </w:rPr>
        <w:t>Тельбесстрою</w:t>
      </w:r>
      <w:proofErr w:type="spellEnd"/>
      <w:r w:rsidRPr="00A259BD">
        <w:rPr>
          <w:rFonts w:ascii="Times New Roman" w:hAnsi="Times New Roman"/>
          <w:color w:val="000000" w:themeColor="text1"/>
          <w:sz w:val="16"/>
          <w:szCs w:val="16"/>
        </w:rPr>
        <w:t>”, который к концу месяца был переименован в “</w:t>
      </w:r>
      <w:proofErr w:type="spellStart"/>
      <w:r w:rsidRPr="00A259BD">
        <w:rPr>
          <w:rFonts w:ascii="Times New Roman" w:hAnsi="Times New Roman"/>
          <w:color w:val="000000" w:themeColor="text1"/>
          <w:sz w:val="16"/>
          <w:szCs w:val="16"/>
        </w:rPr>
        <w:t>Кузнецкстрой</w:t>
      </w:r>
      <w:proofErr w:type="spellEnd"/>
      <w:r w:rsidRPr="00A259BD">
        <w:rPr>
          <w:rFonts w:ascii="Times New Roman" w:hAnsi="Times New Roman"/>
          <w:color w:val="000000" w:themeColor="text1"/>
          <w:sz w:val="16"/>
          <w:szCs w:val="16"/>
        </w:rPr>
        <w:t xml:space="preserve">”. Первым начальником вновь созданной строительной организации был назначен Ф.Т. </w:t>
      </w:r>
      <w:proofErr w:type="spellStart"/>
      <w:r w:rsidRPr="00A259BD">
        <w:rPr>
          <w:rFonts w:ascii="Times New Roman" w:hAnsi="Times New Roman"/>
          <w:color w:val="000000" w:themeColor="text1"/>
          <w:sz w:val="16"/>
          <w:szCs w:val="16"/>
        </w:rPr>
        <w:t>Колгушкин</w:t>
      </w:r>
      <w:proofErr w:type="spellEnd"/>
      <w:r w:rsidRPr="00A259BD">
        <w:rPr>
          <w:rFonts w:ascii="Times New Roman" w:hAnsi="Times New Roman"/>
          <w:color w:val="000000" w:themeColor="text1"/>
          <w:sz w:val="16"/>
          <w:szCs w:val="16"/>
        </w:rPr>
        <w:t xml:space="preserve"> (1187-1937). В советской историографии его обычно называют “крупным” хозяйственником, но на самом деле это был типичный представитель тогдашнего среднего звена советских руководителей с типичной биографией. Без серьезного образования (исключен из Череповецкой семинарии), отсидка в тюрьме, после октябрьского переворота был начальником Петроградской электростанции, затем стал начальником Петроградского отделения Промбанка. После гражданской войны работал в Ленинградском областном ВСНХ и Сибирском краевом СНХ, после же эпопеи с руководством “</w:t>
      </w:r>
      <w:proofErr w:type="spellStart"/>
      <w:r w:rsidRPr="00A259BD">
        <w:rPr>
          <w:rFonts w:ascii="Times New Roman" w:hAnsi="Times New Roman"/>
          <w:color w:val="000000" w:themeColor="text1"/>
          <w:sz w:val="16"/>
          <w:szCs w:val="16"/>
        </w:rPr>
        <w:t>Кузнецкстроем</w:t>
      </w:r>
      <w:proofErr w:type="spellEnd"/>
      <w:r w:rsidRPr="00A259BD">
        <w:rPr>
          <w:rFonts w:ascii="Times New Roman" w:hAnsi="Times New Roman"/>
          <w:color w:val="000000" w:themeColor="text1"/>
          <w:sz w:val="16"/>
          <w:szCs w:val="16"/>
        </w:rPr>
        <w:t xml:space="preserve">” занимал пост директора Верх-Исетского завода. В 1937 году расстрелян в Свердловске. </w:t>
      </w:r>
    </w:p>
    <w:p w14:paraId="501897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Непосредственным строительством в Кузнецке руководил А.М. Морозов, человек малокомпетентный, но имевший большое революционное прошлое. Их ошибки приходилось выправлять коллективу профессионалов-металлургов и инженеров-строителей. Главным инженером стройки был назначен И.П. Бардин, главным механиком – И.А. Кургин, имевший большой опыт работы на южных металлургических заводах, ведущим проектировщиком являлся Г.Е. Казарновский, имевший огромный опыт работы в Донбассе и бывший директором Гурьевского завода.</w:t>
      </w:r>
    </w:p>
    <w:p w14:paraId="5A6F23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Вначале работы шли медленно – не хватало рабочей силы. Ее привлекали двумя способами – вольным наймом и вербовкой. Первый источник представляли крестьяне из близлежащих деревень, а второй инструмент позволял путем оргнабора (проводился наркоматом труда РСФСР) привозить на стройку жителей европейской части страны. Если в мае 1929 года на площадке работали только 450 человек, то к середине сентября численность рабочих выросла до 4100 человек.</w:t>
      </w:r>
    </w:p>
    <w:p w14:paraId="749FA6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июня начались земляные работы под здание заводоуправления, работы по прокладке шоссейной дороги к станции, сооружению подземных железнодорожных путей от станции Кузнецк. Землекопы делали глубокие выемки на месте будущих угольных ям, </w:t>
      </w:r>
      <w:proofErr w:type="spellStart"/>
      <w:r w:rsidRPr="00A259BD">
        <w:rPr>
          <w:rFonts w:ascii="Times New Roman" w:hAnsi="Times New Roman"/>
          <w:color w:val="000000" w:themeColor="text1"/>
          <w:sz w:val="16"/>
          <w:szCs w:val="16"/>
        </w:rPr>
        <w:t>скрапного</w:t>
      </w:r>
      <w:proofErr w:type="spellEnd"/>
      <w:r w:rsidRPr="00A259BD">
        <w:rPr>
          <w:rFonts w:ascii="Times New Roman" w:hAnsi="Times New Roman"/>
          <w:color w:val="000000" w:themeColor="text1"/>
          <w:sz w:val="16"/>
          <w:szCs w:val="16"/>
        </w:rPr>
        <w:t xml:space="preserve"> и угольного двора, сортировочной станции. </w:t>
      </w:r>
    </w:p>
    <w:p w14:paraId="2BD299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Вся работа выполнялась вручную, землю грабари отвозили на лошадях. Первая динамо-машина дала ток 3 августа. Этого хватало, чтобы осветить постройку заводоуправления. К концу года стройка имела уже 3 генератора общей мощностью свыше 50 кВт, которой хватало для всего строительного комплекса. 29 октября 1929 года строительная площадка получила связь по железной дороге с Транссибом – пришел первый состав с лесом. К зиме началось жилищное строительство. На Верхней колонии, недалеко от строительной площадки, строились дома для технического персонала. Возводились бараки и землянки для участников строительства. Помимо производственных зданий закладывались столовые, хлебопекарня, овощехранилище, </w:t>
      </w:r>
      <w:proofErr w:type="spellStart"/>
      <w:r w:rsidRPr="00A259BD">
        <w:rPr>
          <w:rFonts w:ascii="Times New Roman" w:hAnsi="Times New Roman"/>
          <w:color w:val="000000" w:themeColor="text1"/>
          <w:sz w:val="16"/>
          <w:szCs w:val="16"/>
        </w:rPr>
        <w:t>мясохранилище</w:t>
      </w:r>
      <w:proofErr w:type="spellEnd"/>
      <w:r w:rsidRPr="00A259BD">
        <w:rPr>
          <w:rFonts w:ascii="Times New Roman" w:hAnsi="Times New Roman"/>
          <w:color w:val="000000" w:themeColor="text1"/>
          <w:sz w:val="16"/>
          <w:szCs w:val="16"/>
        </w:rPr>
        <w:t xml:space="preserve">, ларьки, амбулатория, строилась баня. </w:t>
      </w:r>
    </w:p>
    <w:p w14:paraId="496501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стройке процветали различные формы ударничества и постановки “трудовых рекордов” (интересно, что строители КМК “соревновались” со строителями Магнитки). Так, бригада землекопов А.С. Филиппова на обратной засыпке траншеи главного водовода, идущего от водозабора на реке Томь до завода, установила мировой рекорд по перемещению земляного грунта вручную. Примечательно, что лопата бригадира затем стала одним из экспонатов Музея Октябрьской революции в Москве.</w:t>
      </w:r>
    </w:p>
    <w:p w14:paraId="42E488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Постепенно наращивались темпы промышленного строительства. Укладывались железнодорожные пути, и велось устройство веток к песчано-галечному и каменному карьеру. К январю 1930 года закончилось сооружение временной системы водоснабжения и были закончены гидрогеологические исследования. Тяжелый труд в кошмарных бытовых условиях стал источником вдохновения для советских писателей и поэтов. Как вспоминал Илья Эренбург, “люди строили завод в неслыханно трудных условиях, кажется, никто нигде так не строил, да и не будет строить”. </w:t>
      </w:r>
    </w:p>
    <w:p w14:paraId="54477B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1929 год на стройке была проведена планировка площадки, уложены подъездные пути, возведены кирпичный завод, технологический склад, 18 бараков и несколько каменных домов. Открылись столовая, школа, магазин. В 1930 году “</w:t>
      </w:r>
      <w:proofErr w:type="spellStart"/>
      <w:r w:rsidRPr="00A259BD">
        <w:rPr>
          <w:rFonts w:ascii="Times New Roman" w:hAnsi="Times New Roman"/>
          <w:color w:val="000000" w:themeColor="text1"/>
          <w:sz w:val="16"/>
          <w:szCs w:val="16"/>
        </w:rPr>
        <w:t>Кузнецкстрой</w:t>
      </w:r>
      <w:proofErr w:type="spellEnd"/>
      <w:r w:rsidRPr="00A259BD">
        <w:rPr>
          <w:rFonts w:ascii="Times New Roman" w:hAnsi="Times New Roman"/>
          <w:color w:val="000000" w:themeColor="text1"/>
          <w:sz w:val="16"/>
          <w:szCs w:val="16"/>
        </w:rPr>
        <w:t xml:space="preserve">” вступил в новый период: завершалось строительство подсобных цехов, развернулось сооружение двух доменных печей, мартеновского и прокатного цехов, коксохимического завода и электростанции. </w:t>
      </w:r>
    </w:p>
    <w:p w14:paraId="555822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Одновременно прокладывались шоссейные дороги, строились кирпичные заводы, и даже реконструкция Гурьевского металлургического завода, снабжавшего стройку металлоизделиями, огнеупорами и фасонным литьем тоже шла по единому графику. Тем не менее, определенное отставание от сроков все же произошло. В мае 1930 года руководителем “</w:t>
      </w:r>
      <w:proofErr w:type="spellStart"/>
      <w:r w:rsidRPr="00A259BD">
        <w:rPr>
          <w:rFonts w:ascii="Times New Roman" w:hAnsi="Times New Roman"/>
          <w:color w:val="000000" w:themeColor="text1"/>
          <w:sz w:val="16"/>
          <w:szCs w:val="16"/>
        </w:rPr>
        <w:t>Кузнецкстроя</w:t>
      </w:r>
      <w:proofErr w:type="spellEnd"/>
      <w:r w:rsidRPr="00A259BD">
        <w:rPr>
          <w:rFonts w:ascii="Times New Roman" w:hAnsi="Times New Roman"/>
          <w:color w:val="000000" w:themeColor="text1"/>
          <w:sz w:val="16"/>
          <w:szCs w:val="16"/>
        </w:rPr>
        <w:t xml:space="preserve">” была назначен партиец с </w:t>
      </w:r>
      <w:proofErr w:type="spellStart"/>
      <w:r w:rsidRPr="00A259BD">
        <w:rPr>
          <w:rFonts w:ascii="Times New Roman" w:hAnsi="Times New Roman"/>
          <w:color w:val="000000" w:themeColor="text1"/>
          <w:sz w:val="16"/>
          <w:szCs w:val="16"/>
        </w:rPr>
        <w:t>дореволюционнам</w:t>
      </w:r>
      <w:proofErr w:type="spellEnd"/>
      <w:r w:rsidRPr="00A259BD">
        <w:rPr>
          <w:rFonts w:ascii="Times New Roman" w:hAnsi="Times New Roman"/>
          <w:color w:val="000000" w:themeColor="text1"/>
          <w:sz w:val="16"/>
          <w:szCs w:val="16"/>
        </w:rPr>
        <w:t xml:space="preserve"> стажем, выпускник Политехнического института в Гренобле С.М. Франкфурт, любивший в печати, кстати, разоблачать “вредителей” и классовых врагов. Впрочем, его судьба не отличилась от истории </w:t>
      </w:r>
      <w:proofErr w:type="spellStart"/>
      <w:r w:rsidRPr="00A259BD">
        <w:rPr>
          <w:rFonts w:ascii="Times New Roman" w:hAnsi="Times New Roman"/>
          <w:color w:val="000000" w:themeColor="text1"/>
          <w:sz w:val="16"/>
          <w:szCs w:val="16"/>
        </w:rPr>
        <w:t>Колгушкина</w:t>
      </w:r>
      <w:proofErr w:type="spellEnd"/>
      <w:r w:rsidRPr="00A259BD">
        <w:rPr>
          <w:rFonts w:ascii="Times New Roman" w:hAnsi="Times New Roman"/>
          <w:color w:val="000000" w:themeColor="text1"/>
          <w:sz w:val="16"/>
          <w:szCs w:val="16"/>
        </w:rPr>
        <w:t xml:space="preserve">. В 1936 году Франкфурта обвинили в измене Родине, шпионаже и терроризме, после чего он был расстрелян. </w:t>
      </w:r>
    </w:p>
    <w:p w14:paraId="311F31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Заказы на изготовление крупных металлургических агрегатов были размещены в Германии, Англии, отчасти США и Франции. Земляные работы шли круглогодично. В 1931 году число рабочих “</w:t>
      </w:r>
      <w:proofErr w:type="spellStart"/>
      <w:r w:rsidRPr="00A259BD">
        <w:rPr>
          <w:rFonts w:ascii="Times New Roman" w:hAnsi="Times New Roman"/>
          <w:color w:val="000000" w:themeColor="text1"/>
          <w:sz w:val="16"/>
          <w:szCs w:val="16"/>
        </w:rPr>
        <w:t>Кузнецкстроя</w:t>
      </w:r>
      <w:proofErr w:type="spellEnd"/>
      <w:r w:rsidRPr="00A259BD">
        <w:rPr>
          <w:rFonts w:ascii="Times New Roman" w:hAnsi="Times New Roman"/>
          <w:color w:val="000000" w:themeColor="text1"/>
          <w:sz w:val="16"/>
          <w:szCs w:val="16"/>
        </w:rPr>
        <w:t xml:space="preserve">” выросло до 50 тысяч. Еще около 30 тысяч человек были на строительстве железных дорог и рудников. Естественно, что собрать такое количество людей одним только оргнабором было невозможно. По данным исследователя-краеведа Л.И. </w:t>
      </w:r>
      <w:proofErr w:type="spellStart"/>
      <w:r w:rsidRPr="00A259BD">
        <w:rPr>
          <w:rFonts w:ascii="Times New Roman" w:hAnsi="Times New Roman"/>
          <w:color w:val="000000" w:themeColor="text1"/>
          <w:sz w:val="16"/>
          <w:szCs w:val="16"/>
        </w:rPr>
        <w:t>Фойгт</w:t>
      </w:r>
      <w:proofErr w:type="spellEnd"/>
      <w:r w:rsidRPr="00A259BD">
        <w:rPr>
          <w:rFonts w:ascii="Times New Roman" w:hAnsi="Times New Roman"/>
          <w:color w:val="000000" w:themeColor="text1"/>
          <w:sz w:val="16"/>
          <w:szCs w:val="16"/>
        </w:rPr>
        <w:t xml:space="preserve">, до 62% строителей Кузнецкого комбината были раскулаченными крестьянами и заключенными (Л.И. </w:t>
      </w:r>
      <w:proofErr w:type="spellStart"/>
      <w:r w:rsidRPr="00A259BD">
        <w:rPr>
          <w:rFonts w:ascii="Times New Roman" w:hAnsi="Times New Roman"/>
          <w:color w:val="000000" w:themeColor="text1"/>
          <w:sz w:val="16"/>
          <w:szCs w:val="16"/>
        </w:rPr>
        <w:t>Фойгт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Сталинск</w:t>
      </w:r>
      <w:proofErr w:type="spellEnd"/>
      <w:r w:rsidRPr="00A259BD">
        <w:rPr>
          <w:rFonts w:ascii="Times New Roman" w:hAnsi="Times New Roman"/>
          <w:color w:val="000000" w:themeColor="text1"/>
          <w:sz w:val="16"/>
          <w:szCs w:val="16"/>
        </w:rPr>
        <w:t xml:space="preserve"> в годы репрессий. Новокузнецк. 1993-1995)</w:t>
      </w:r>
    </w:p>
    <w:p w14:paraId="14C660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1931 году стройка освоила </w:t>
      </w:r>
      <w:proofErr w:type="spellStart"/>
      <w:r w:rsidRPr="00A259BD">
        <w:rPr>
          <w:rFonts w:ascii="Times New Roman" w:hAnsi="Times New Roman"/>
          <w:color w:val="000000" w:themeColor="text1"/>
          <w:sz w:val="16"/>
          <w:szCs w:val="16"/>
        </w:rPr>
        <w:t>планово</w:t>
      </w:r>
      <w:proofErr w:type="spellEnd"/>
      <w:r w:rsidRPr="00A259BD">
        <w:rPr>
          <w:rFonts w:ascii="Times New Roman" w:hAnsi="Times New Roman"/>
          <w:color w:val="000000" w:themeColor="text1"/>
          <w:sz w:val="16"/>
          <w:szCs w:val="16"/>
        </w:rPr>
        <w:t xml:space="preserve"> до 150 млн. рублей (в 1930 году – только 50 млн. рублей). К концу года в строй были введены вспомогательные цеха - литейный и </w:t>
      </w:r>
      <w:proofErr w:type="spellStart"/>
      <w:r w:rsidRPr="00A259BD">
        <w:rPr>
          <w:rFonts w:ascii="Times New Roman" w:hAnsi="Times New Roman"/>
          <w:color w:val="000000" w:themeColor="text1"/>
          <w:sz w:val="16"/>
          <w:szCs w:val="16"/>
        </w:rPr>
        <w:t>шамото-динасовый</w:t>
      </w:r>
      <w:proofErr w:type="spellEnd"/>
      <w:r w:rsidRPr="00A259BD">
        <w:rPr>
          <w:rFonts w:ascii="Times New Roman" w:hAnsi="Times New Roman"/>
          <w:color w:val="000000" w:themeColor="text1"/>
          <w:sz w:val="16"/>
          <w:szCs w:val="16"/>
        </w:rPr>
        <w:t xml:space="preserve">. В феврале 1932 года заработала коксовая батарея и ТЭЦ. Первая доменная печь была запущена в конце марта 1932 года (первый чугун – 3 апреля). Советское руководство оценило высоко эти достижения (11539). </w:t>
      </w:r>
    </w:p>
    <w:p w14:paraId="19742F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9507A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г. в резолюции XVI партийная конференция "О пятилетнем плане развития народного хозяйства" наметила строительство нескольких заводов по производству тракторов, в том числе и на Урале. Местом для него был избран Челябинск.</w:t>
      </w:r>
    </w:p>
    <w:p w14:paraId="3F84EB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Выбор Челябинска был не случайным. Угольные шахты Копейска обеспечивали будущему заводу дешёвое топливо, ЧГРЭС – электроэнергию, сооружавшийся Магнитогорский металлургический комбинат – чугун и кокс; в окрестностях было много строительного материала, город находился в одном из районов потребления будущей продукции предприятия. Немаловажное значение имел и тот факт, что Челябинск был расположен на Сибирской железнодорожной магистрали, и доставка тракторов в восточные районы обходилась в 2 раза дешевле, чем из Харькова, и в четыре раза – чем из Ленинграда. При выборе места для будущего тракторного завода учитывалось и то, что Челябинск находился в рамках старейшего горнозаводского центра страны – Урала, который мог оказать предприятию всестороннюю техническую помощь и снабжать квалифицированными кадрами. </w:t>
      </w:r>
    </w:p>
    <w:p w14:paraId="694F9C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спорах решался вопрос о типе машины, предназначавшейся к производству. Некоторые предлагали утвердить традиционный колёсный трактор, к выпуску которого готовились Сталинградский и Харьковский заводы. Другие возражали: развивающееся народное хозяйство; украинские, сибирские и казахстанские просторы, леса и степи требовали более мощных машин. Поэтому в первоначальной стадии проектирование завода велось в двух вариантах: в расчёте на выпуск и колесных, и гусеничных тракторов. Специальное совещание в Новосибирске поддержало мнение основных потребителей – сибиряков, которые высказались за гусеничный трактор как более пригодный для восточных районов по мощности и по проходимости. В результате к первоначальному выпуску был утверждён гусеничный трактор марки "Коллективист" в 30–40 л.с. </w:t>
      </w:r>
    </w:p>
    <w:p w14:paraId="2E2B63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Окончательный выбор машины произошёл в ноябре 1929 г. Приказом ВСНХ СССР предлагалось начать проектирование производства гусеничного трактора типа американской фирмы "Катерпиллер" в 50–60 л.с. с выпуском 40 тыс. машин в год6. По своей производственной мощности ЧТЗ должен был превосходить в полтора раза строившиеся Сталинградский, и Харьковский тракторные заводы, вместе взятые. </w:t>
      </w:r>
    </w:p>
    <w:p w14:paraId="519419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Проектирование Челябинского тракторного завода было поручено специальной группе, созданной при Государственном институте по проектированию металлических заводов (ГИПРОМЕЗ) в Ленинграде. В неё вошли инженеры </w:t>
      </w:r>
      <w:proofErr w:type="spellStart"/>
      <w:r w:rsidRPr="00A259BD">
        <w:rPr>
          <w:rFonts w:ascii="Times New Roman" w:hAnsi="Times New Roman"/>
          <w:color w:val="000000" w:themeColor="text1"/>
          <w:sz w:val="16"/>
          <w:szCs w:val="16"/>
        </w:rPr>
        <w:t>К.П.Ловин</w:t>
      </w:r>
      <w:proofErr w:type="spellEnd"/>
      <w:r w:rsidRPr="00A259BD">
        <w:rPr>
          <w:rFonts w:ascii="Times New Roman" w:hAnsi="Times New Roman"/>
          <w:color w:val="000000" w:themeColor="text1"/>
          <w:sz w:val="16"/>
          <w:szCs w:val="16"/>
        </w:rPr>
        <w:t xml:space="preserve">, назначенный начальником строительства, </w:t>
      </w:r>
      <w:proofErr w:type="spellStart"/>
      <w:r w:rsidRPr="00A259BD">
        <w:rPr>
          <w:rFonts w:ascii="Times New Roman" w:hAnsi="Times New Roman"/>
          <w:color w:val="000000" w:themeColor="text1"/>
          <w:sz w:val="16"/>
          <w:szCs w:val="16"/>
        </w:rPr>
        <w:t>И.В.Иванов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Н.А.Межевич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А.Ю.Божко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Г.Г.Одобашьян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С.М.Лещенко</w:t>
      </w:r>
      <w:proofErr w:type="spellEnd"/>
      <w:r w:rsidRPr="00A259BD">
        <w:rPr>
          <w:rFonts w:ascii="Times New Roman" w:hAnsi="Times New Roman"/>
          <w:color w:val="000000" w:themeColor="text1"/>
          <w:sz w:val="16"/>
          <w:szCs w:val="16"/>
        </w:rPr>
        <w:t xml:space="preserve"> и др. Несмотря на многочисленные трудности и отсутствие опыта проектирования подобных предприятий, эскизный проект был составлен за 50 дней. Он получил высокую оценку американских специалистов тракторостроительных фирм "Катерпиллер" и "Альберт Кан". При ЧТЗ предусматривалось сооружение небольшого опытного завода, своеобразной лаборатории по освоению процессов производства и кузницы кадров квалифицированных рабочих для основного предприятия. ЧТЗ должен был стать крупнейшим в стране заводом по производству тяжёлых гусеничных машин. Масштабы будущего производства многим казались невероятными: 40 тыс. машин в год, т.е. через каждые 6–7 минут – гусеничный трактор! Ни в Европе, ни в Америке не было подобного завода. Даже с конвейеров американской фирмы "Катерпиллер", тип трактора которой был взят за основу, сходило всего 5–6 тысяч таких машин в год!.</w:t>
      </w:r>
    </w:p>
    <w:p w14:paraId="39AA2A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Сооружение такого предприятия было возможно только при использовании передового опыта, накопленного в мировом тракторостроении. Поэтому разработку генерального плана ЧТЗ и проекта основных цехов решено было перенести в США. Однако отношения с иностранными фирмами складывались непросто: сказывалось влияние не только политических факторов, но и экономических, в частности, учитывалась и будущая конкуренция на мировом рынке (11557).</w:t>
      </w:r>
    </w:p>
    <w:p w14:paraId="503378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9AF2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Краматорск посетил глава наркомата тяжелой промышленности С. Орджоникидзе и он же утвердил выбранную площадку. С октября 1929 года на ней началось строительство фундаментов будущих заводских цехов. НКМЗ задумывался как ведущий центр тяжелого, машиностроительного производства для металлургии, вторым по значению центром в СССР должен был быть “Уралмаш”. Но размах Новокраматорского машзавода превосходил показатели уральского предприятия. Например, производственная мощность НКМЗ предполагалась на уровне 180 тыс. тонн готовой продукции в год, тогда как в проекте “Уралмаша” заложено было только 100 тыс. тонн.</w:t>
      </w:r>
    </w:p>
    <w:p w14:paraId="10623B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Соответственно, затраты на строительство НКМЗ были также внушительными. Если в 1929-1930 годах в строительство было вложено только 7 млн. рублей, то в 1931 году инвестиции составили более 50 млн., в 1932 году – около 90 млн., а в 1933 году – свыше 90 млн. рублей. Затраты в 1934 году ориентировочно составили порядка 150 млн. рублей. Общая стоимость строительства первой очереди НКМЗ, которая была введена в строй в 1934 году, составляла порядка 600 млн. рублей и, по всей видимости, эта сумма была превышена. </w:t>
      </w:r>
    </w:p>
    <w:p w14:paraId="239B30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Предполагалось, что уже в первые годы своей работы (1934-1935) НКМЗ сможет произвести в массовом порядке сложную продукцию: шесть установок для мартена, три блюминга, 16 угольных мельниц, </w:t>
      </w:r>
      <w:proofErr w:type="spellStart"/>
      <w:r w:rsidRPr="00A259BD">
        <w:rPr>
          <w:rFonts w:ascii="Times New Roman" w:hAnsi="Times New Roman"/>
          <w:color w:val="000000" w:themeColor="text1"/>
          <w:sz w:val="16"/>
          <w:szCs w:val="16"/>
        </w:rPr>
        <w:t>коксоустановки</w:t>
      </w:r>
      <w:proofErr w:type="spellEnd"/>
      <w:r w:rsidRPr="00A259BD">
        <w:rPr>
          <w:rFonts w:ascii="Times New Roman" w:hAnsi="Times New Roman"/>
          <w:color w:val="000000" w:themeColor="text1"/>
          <w:sz w:val="16"/>
          <w:szCs w:val="16"/>
        </w:rPr>
        <w:t xml:space="preserve">, детали турбин, краны грузоподъемностью до 250 тонн. На предприятии также создавался мощный литейный цех, который по своим параметрам должен был превосходить аналогичные производства на зарубежных заводах такого профиля. Мощность сталеплавильного производства НКМЗ рассчитывалась на уровень в 43 тыс. тонн фасонного литья в год. Самый мощный сталеплавильный цех у германской фирмы Круппа производил тогда 24 тыс. тонн литья, а американский цех фирмы </w:t>
      </w:r>
      <w:proofErr w:type="spellStart"/>
      <w:r w:rsidRPr="00A259BD">
        <w:rPr>
          <w:rFonts w:ascii="Times New Roman" w:hAnsi="Times New Roman"/>
          <w:color w:val="000000" w:themeColor="text1"/>
          <w:sz w:val="16"/>
          <w:szCs w:val="16"/>
        </w:rPr>
        <w:t>Mesta</w:t>
      </w:r>
      <w:proofErr w:type="spellEnd"/>
      <w:r w:rsidRPr="00A259BD">
        <w:rPr>
          <w:rFonts w:ascii="Times New Roman" w:hAnsi="Times New Roman"/>
          <w:color w:val="000000" w:themeColor="text1"/>
          <w:sz w:val="16"/>
          <w:szCs w:val="16"/>
        </w:rPr>
        <w:t xml:space="preserve"> – 35 тыс. тонн (11585).</w:t>
      </w:r>
    </w:p>
    <w:p w14:paraId="13990E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C79F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г. фирма </w:t>
      </w:r>
      <w:proofErr w:type="spellStart"/>
      <w:r w:rsidRPr="00A259BD">
        <w:rPr>
          <w:rFonts w:ascii="Times New Roman" w:hAnsi="Times New Roman"/>
          <w:color w:val="000000" w:themeColor="text1"/>
          <w:sz w:val="16"/>
          <w:szCs w:val="16"/>
        </w:rPr>
        <w:t>Albert</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Kahn</w:t>
      </w:r>
      <w:proofErr w:type="spellEnd"/>
      <w:r w:rsidRPr="00A259BD">
        <w:rPr>
          <w:rFonts w:ascii="Times New Roman" w:hAnsi="Times New Roman"/>
          <w:color w:val="000000" w:themeColor="text1"/>
          <w:sz w:val="16"/>
          <w:szCs w:val="16"/>
        </w:rPr>
        <w:t xml:space="preserve">, Inc., расположенная в Детройте, получила заказ от советского правительства на проектирование Сталинградского тракторного завода. Выбор объяснялся тем, что спроектировавший все заводы Форда </w:t>
      </w:r>
      <w:proofErr w:type="spellStart"/>
      <w:r w:rsidRPr="00A259BD">
        <w:rPr>
          <w:rFonts w:ascii="Times New Roman" w:hAnsi="Times New Roman"/>
          <w:color w:val="000000" w:themeColor="text1"/>
          <w:sz w:val="16"/>
          <w:szCs w:val="16"/>
        </w:rPr>
        <w:t>А.Кан</w:t>
      </w:r>
      <w:proofErr w:type="spellEnd"/>
      <w:r w:rsidRPr="00A259BD">
        <w:rPr>
          <w:rFonts w:ascii="Times New Roman" w:hAnsi="Times New Roman"/>
          <w:color w:val="000000" w:themeColor="text1"/>
          <w:sz w:val="16"/>
          <w:szCs w:val="16"/>
        </w:rPr>
        <w:t xml:space="preserve"> отработал технологию проектирования промышленных предприятий, позволявшую его фирме (штатом в 400 чел.), разрабатывать рабочие чертежи за неделю, а возводить корпуса промышленных предприятий за пять месяцев. Кан практически доказал, что может делать подобное и в СССР — проект Сталинградского тракторного завода был выполнен в рекордно короткие сроки; конструкции для него были изготовлены в США, перевезены в СССР и смонтированы в течение шести месяцев. Как следствие, следующим заказом стал проект гигантского Челябинского тракторного завода. А в феврале 1930 г. был подписан договор, согласно которому фирма </w:t>
      </w:r>
      <w:proofErr w:type="spellStart"/>
      <w:r w:rsidRPr="00A259BD">
        <w:rPr>
          <w:rFonts w:ascii="Times New Roman" w:hAnsi="Times New Roman"/>
          <w:color w:val="000000" w:themeColor="text1"/>
          <w:sz w:val="16"/>
          <w:szCs w:val="16"/>
        </w:rPr>
        <w:t>А.Кана</w:t>
      </w:r>
      <w:proofErr w:type="spellEnd"/>
      <w:r w:rsidRPr="00A259BD">
        <w:rPr>
          <w:rFonts w:ascii="Times New Roman" w:hAnsi="Times New Roman"/>
          <w:color w:val="000000" w:themeColor="text1"/>
          <w:sz w:val="16"/>
          <w:szCs w:val="16"/>
        </w:rPr>
        <w:t xml:space="preserve"> становилась главным консультантом советского правительства по промышленному строительству. Кану был предложен пакет заказов на строительство промышленных предприятий общей стоимостью в 2 миллиарда долларов.</w:t>
      </w:r>
    </w:p>
    <w:p w14:paraId="123477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Между 1929 и 1932 гг. фирма </w:t>
      </w:r>
      <w:proofErr w:type="spellStart"/>
      <w:r w:rsidRPr="00A259BD">
        <w:rPr>
          <w:rFonts w:ascii="Times New Roman" w:hAnsi="Times New Roman"/>
          <w:color w:val="000000" w:themeColor="text1"/>
          <w:sz w:val="16"/>
          <w:szCs w:val="16"/>
        </w:rPr>
        <w:t>А.Кана</w:t>
      </w:r>
      <w:proofErr w:type="spellEnd"/>
      <w:r w:rsidRPr="00A259BD">
        <w:rPr>
          <w:rFonts w:ascii="Times New Roman" w:hAnsi="Times New Roman"/>
          <w:color w:val="000000" w:themeColor="text1"/>
          <w:sz w:val="16"/>
          <w:szCs w:val="16"/>
        </w:rPr>
        <w:t xml:space="preserve"> спроектировала 521 (!) (по другим данным — 571) объект. Это в первую очередь тракторные заводы в Сталинграде, Челябинске, Харькове, Томске; самолётостроительные заводы в Краматорске и Томске; автомобильные заводы в Челябинске, Москве, Сталинграде, Нижнем Новгороде, Самаре; кузнечные цеха в Челябинске, Днепропетровске, Харькове, Коломне, </w:t>
      </w:r>
      <w:proofErr w:type="spellStart"/>
      <w:r w:rsidRPr="00A259BD">
        <w:rPr>
          <w:rFonts w:ascii="Times New Roman" w:hAnsi="Times New Roman"/>
          <w:color w:val="000000" w:themeColor="text1"/>
          <w:sz w:val="16"/>
          <w:szCs w:val="16"/>
        </w:rPr>
        <w:t>Люберецке</w:t>
      </w:r>
      <w:proofErr w:type="spellEnd"/>
      <w:r w:rsidRPr="00A259BD">
        <w:rPr>
          <w:rFonts w:ascii="Times New Roman" w:hAnsi="Times New Roman"/>
          <w:color w:val="000000" w:themeColor="text1"/>
          <w:sz w:val="16"/>
          <w:szCs w:val="16"/>
        </w:rPr>
        <w:t xml:space="preserve">, Магнитогорске, Нижнем Тагиле, Сталинграде; станкостроительные заводы в Калуге, Новосибирске, Верхней </w:t>
      </w:r>
      <w:proofErr w:type="spellStart"/>
      <w:r w:rsidRPr="00A259BD">
        <w:rPr>
          <w:rFonts w:ascii="Times New Roman" w:hAnsi="Times New Roman"/>
          <w:color w:val="000000" w:themeColor="text1"/>
          <w:sz w:val="16"/>
          <w:szCs w:val="16"/>
        </w:rPr>
        <w:t>Сольде</w:t>
      </w:r>
      <w:proofErr w:type="spellEnd"/>
      <w:r w:rsidRPr="00A259BD">
        <w:rPr>
          <w:rFonts w:ascii="Times New Roman" w:hAnsi="Times New Roman"/>
          <w:color w:val="000000" w:themeColor="text1"/>
          <w:sz w:val="16"/>
          <w:szCs w:val="16"/>
        </w:rPr>
        <w:t xml:space="preserve">; прокатный стан в Москве; литейные заводы в Челябинске, Днепропетровске, Харькове, Коломне, </w:t>
      </w:r>
      <w:proofErr w:type="spellStart"/>
      <w:r w:rsidRPr="00A259BD">
        <w:rPr>
          <w:rFonts w:ascii="Times New Roman" w:hAnsi="Times New Roman"/>
          <w:color w:val="000000" w:themeColor="text1"/>
          <w:sz w:val="16"/>
          <w:szCs w:val="16"/>
        </w:rPr>
        <w:t>Люберецке</w:t>
      </w:r>
      <w:proofErr w:type="spellEnd"/>
      <w:r w:rsidRPr="00A259BD">
        <w:rPr>
          <w:rFonts w:ascii="Times New Roman" w:hAnsi="Times New Roman"/>
          <w:color w:val="000000" w:themeColor="text1"/>
          <w:sz w:val="16"/>
          <w:szCs w:val="16"/>
        </w:rPr>
        <w:t xml:space="preserve">, Магнитогорске, Сормово, Сталинграде; механические цеха в Челябинске, </w:t>
      </w:r>
      <w:proofErr w:type="spellStart"/>
      <w:r w:rsidRPr="00A259BD">
        <w:rPr>
          <w:rFonts w:ascii="Times New Roman" w:hAnsi="Times New Roman"/>
          <w:color w:val="000000" w:themeColor="text1"/>
          <w:sz w:val="16"/>
          <w:szCs w:val="16"/>
        </w:rPr>
        <w:t>Люберецке</w:t>
      </w:r>
      <w:proofErr w:type="spellEnd"/>
      <w:r w:rsidRPr="00A259BD">
        <w:rPr>
          <w:rFonts w:ascii="Times New Roman" w:hAnsi="Times New Roman"/>
          <w:color w:val="000000" w:themeColor="text1"/>
          <w:sz w:val="16"/>
          <w:szCs w:val="16"/>
        </w:rPr>
        <w:t>, Подольске, Сталинграде, Свердловске; теплоэлектростанцию в Якутске; сталелитейные и прокатные станы в Каменском, Коломне, Кузнецке, Магнитогорске, Нижнем Тагиле, Верхнем Тагиле, Сормово; Ленинградский алюминиевый завод; Уральскую асбестовую фабрику и многие другие объекты.</w:t>
      </w:r>
    </w:p>
    <w:p w14:paraId="01E48D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Проекты разрабатывались филиалом фирмы Кана в Москве под руководством брата главы фирмы — Морица Кана. Бюро Кана существовало до 1932 г. под названием “</w:t>
      </w:r>
      <w:proofErr w:type="spellStart"/>
      <w:r w:rsidRPr="00A259BD">
        <w:rPr>
          <w:rFonts w:ascii="Times New Roman" w:hAnsi="Times New Roman"/>
          <w:color w:val="000000" w:themeColor="text1"/>
          <w:sz w:val="16"/>
          <w:szCs w:val="16"/>
        </w:rPr>
        <w:t>Госпроектстрой</w:t>
      </w:r>
      <w:proofErr w:type="spellEnd"/>
      <w:r w:rsidRPr="00A259BD">
        <w:rPr>
          <w:rFonts w:ascii="Times New Roman" w:hAnsi="Times New Roman"/>
          <w:color w:val="000000" w:themeColor="text1"/>
          <w:sz w:val="16"/>
          <w:szCs w:val="16"/>
        </w:rPr>
        <w:t xml:space="preserve">”. В нём работали 25 американских инженеров и около 2,5 тыс. советских сотрудников. В то время, это было самое большое архитектурное бюро мира. Через </w:t>
      </w:r>
      <w:proofErr w:type="spellStart"/>
      <w:r w:rsidRPr="00A259BD">
        <w:rPr>
          <w:rFonts w:ascii="Times New Roman" w:hAnsi="Times New Roman"/>
          <w:color w:val="000000" w:themeColor="text1"/>
          <w:sz w:val="16"/>
          <w:szCs w:val="16"/>
        </w:rPr>
        <w:t>Госпроектстрой</w:t>
      </w:r>
      <w:proofErr w:type="spellEnd"/>
      <w:r w:rsidRPr="00A259BD">
        <w:rPr>
          <w:rFonts w:ascii="Times New Roman" w:hAnsi="Times New Roman"/>
          <w:color w:val="000000" w:themeColor="text1"/>
          <w:sz w:val="16"/>
          <w:szCs w:val="16"/>
        </w:rPr>
        <w:t xml:space="preserve"> прошло в общей около 4 тыс. советских архитекторов, инженеров и техников. Они овладели и </w:t>
      </w:r>
      <w:proofErr w:type="spellStart"/>
      <w:r w:rsidRPr="00A259BD">
        <w:rPr>
          <w:rFonts w:ascii="Times New Roman" w:hAnsi="Times New Roman"/>
          <w:color w:val="000000" w:themeColor="text1"/>
          <w:sz w:val="16"/>
          <w:szCs w:val="16"/>
        </w:rPr>
        <w:t>уносли</w:t>
      </w:r>
      <w:proofErr w:type="spellEnd"/>
      <w:r w:rsidRPr="00A259BD">
        <w:rPr>
          <w:rFonts w:ascii="Times New Roman" w:hAnsi="Times New Roman"/>
          <w:color w:val="000000" w:themeColor="text1"/>
          <w:sz w:val="16"/>
          <w:szCs w:val="16"/>
        </w:rPr>
        <w:t xml:space="preserve"> с собой живой практический опыт осуществления поточно-конвейерного способа проектирования. В 1932 г, после расторжения контракта и отъезда американских архитекторов, </w:t>
      </w:r>
      <w:proofErr w:type="spellStart"/>
      <w:r w:rsidRPr="00A259BD">
        <w:rPr>
          <w:rFonts w:ascii="Times New Roman" w:hAnsi="Times New Roman"/>
          <w:color w:val="000000" w:themeColor="text1"/>
          <w:sz w:val="16"/>
          <w:szCs w:val="16"/>
        </w:rPr>
        <w:t>Госпроектстрой</w:t>
      </w:r>
      <w:proofErr w:type="spellEnd"/>
      <w:r w:rsidRPr="00A259BD">
        <w:rPr>
          <w:rFonts w:ascii="Times New Roman" w:hAnsi="Times New Roman"/>
          <w:color w:val="000000" w:themeColor="text1"/>
          <w:sz w:val="16"/>
          <w:szCs w:val="16"/>
        </w:rPr>
        <w:t xml:space="preserve"> был реформирован в </w:t>
      </w:r>
      <w:proofErr w:type="spellStart"/>
      <w:r w:rsidRPr="00A259BD">
        <w:rPr>
          <w:rFonts w:ascii="Times New Roman" w:hAnsi="Times New Roman"/>
          <w:color w:val="000000" w:themeColor="text1"/>
          <w:sz w:val="16"/>
          <w:szCs w:val="16"/>
        </w:rPr>
        <w:t>Металлостройпроект</w:t>
      </w:r>
      <w:proofErr w:type="spellEnd"/>
      <w:r w:rsidRPr="00A259BD">
        <w:rPr>
          <w:rFonts w:ascii="Times New Roman" w:hAnsi="Times New Roman"/>
          <w:color w:val="000000" w:themeColor="text1"/>
          <w:sz w:val="16"/>
          <w:szCs w:val="16"/>
        </w:rPr>
        <w:t>.</w:t>
      </w:r>
    </w:p>
    <w:p w14:paraId="3808B6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Скорее всего, фирма Кана разрабатывала не только промышленные предприятия, но и соответствующую инфраструктуру. Известно, что вместе с проектом Сталинградского тракторного завода поставлялись и проекты домов для рабочих.</w:t>
      </w:r>
    </w:p>
    <w:p w14:paraId="414BBE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списку объектов видно, что </w:t>
      </w:r>
      <w:proofErr w:type="spellStart"/>
      <w:r w:rsidRPr="00A259BD">
        <w:rPr>
          <w:rFonts w:ascii="Times New Roman" w:hAnsi="Times New Roman"/>
          <w:color w:val="000000" w:themeColor="text1"/>
          <w:sz w:val="16"/>
          <w:szCs w:val="16"/>
        </w:rPr>
        <w:t>А.Кан</w:t>
      </w:r>
      <w:proofErr w:type="spellEnd"/>
      <w:r w:rsidRPr="00A259BD">
        <w:rPr>
          <w:rFonts w:ascii="Times New Roman" w:hAnsi="Times New Roman"/>
          <w:color w:val="000000" w:themeColor="text1"/>
          <w:sz w:val="16"/>
          <w:szCs w:val="16"/>
        </w:rPr>
        <w:t xml:space="preserve"> спроектировал (и оснастил оборудованием) едва ли не всю советскую военную промышленность. Ведь до 1930 г. в СССР, практически, не существовало собственных тракторных и танковых заводов. В 1931 г. побывавший на строительстве Челябинского тракторного завода американский журналист </w:t>
      </w:r>
      <w:proofErr w:type="spellStart"/>
      <w:r w:rsidRPr="00A259BD">
        <w:rPr>
          <w:rFonts w:ascii="Times New Roman" w:hAnsi="Times New Roman"/>
          <w:color w:val="000000" w:themeColor="text1"/>
          <w:sz w:val="16"/>
          <w:szCs w:val="16"/>
        </w:rPr>
        <w:t>Г.Р.Кникербокер</w:t>
      </w:r>
      <w:proofErr w:type="spellEnd"/>
      <w:r w:rsidRPr="00A259BD">
        <w:rPr>
          <w:rFonts w:ascii="Times New Roman" w:hAnsi="Times New Roman"/>
          <w:color w:val="000000" w:themeColor="text1"/>
          <w:sz w:val="16"/>
          <w:szCs w:val="16"/>
        </w:rPr>
        <w:t xml:space="preserve"> писал в книге “Угроза красной торговли”, посвященной первому пятилетнему плану: “Стоя посредине быстро растущих к небу стен самой большой тракторной фабрики мира, невольно вспоминаешь фразу из "Известий", официального органа советского правительства о том, что "производства танков и тракторов имеют между собой очень много общего. Даже артиллерию, пулемёты и пушки можно успешно производить на гражданских промышленных предприятиях" (...). По твёрдому убеждению большевистских пессимистов строящаяся сейчас тракторная фабрика в Челябинске может почти моментально быть переориентирована на военные цели для отражения ожидаемого нападения капиталистического мира. Планируемый выпуск 50 000 штук десятитонных 60-сильных гусеничных тракторов в год, очень сильно напоминающих танки, означает, что </w:t>
      </w:r>
      <w:proofErr w:type="spellStart"/>
      <w:r w:rsidRPr="00A259BD">
        <w:rPr>
          <w:rFonts w:ascii="Times New Roman" w:hAnsi="Times New Roman"/>
          <w:color w:val="000000" w:themeColor="text1"/>
          <w:sz w:val="16"/>
          <w:szCs w:val="16"/>
        </w:rPr>
        <w:t>рёчь</w:t>
      </w:r>
      <w:proofErr w:type="spellEnd"/>
      <w:r w:rsidRPr="00A259BD">
        <w:rPr>
          <w:rFonts w:ascii="Times New Roman" w:hAnsi="Times New Roman"/>
          <w:color w:val="000000" w:themeColor="text1"/>
          <w:sz w:val="16"/>
          <w:szCs w:val="16"/>
        </w:rPr>
        <w:t xml:space="preserve"> идет о производстве одного из типов танков” (11596).</w:t>
      </w:r>
    </w:p>
    <w:p w14:paraId="11CFA7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65D71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г. фирма Алберт Кан Инк., расположенная в Детройте, получила заказ от советского правительства на проектирование Сталинградского тракторного (танкового) завода стоимостью 40 млн. долларов. Переговоры велись через советское фирму Амторг.</w:t>
      </w:r>
    </w:p>
    <w:p w14:paraId="29D60C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Фирма Кана спроектировала между 1929 и 1932 гг. 521 (по другим данным – 571) объект. Это в первую очередь тракторные (то есть, танковые) заводы в Сталинграде, Челябинске, Харькове, Томске; самолетостроительные заводы в Краматорске и Томске; автомобильные заводы в Челябинске, Москве, Сталинграде, Нижнем Новгороде, Самаре; кузнечные цеха в Челябинске, Днепропетровске, Харькове, Коломне, </w:t>
      </w:r>
      <w:proofErr w:type="spellStart"/>
      <w:r w:rsidRPr="00A259BD">
        <w:rPr>
          <w:rFonts w:ascii="Times New Roman" w:hAnsi="Times New Roman"/>
          <w:color w:val="000000" w:themeColor="text1"/>
          <w:sz w:val="16"/>
          <w:szCs w:val="16"/>
        </w:rPr>
        <w:t>Люберецке</w:t>
      </w:r>
      <w:proofErr w:type="spellEnd"/>
      <w:r w:rsidRPr="00A259BD">
        <w:rPr>
          <w:rFonts w:ascii="Times New Roman" w:hAnsi="Times New Roman"/>
          <w:color w:val="000000" w:themeColor="text1"/>
          <w:sz w:val="16"/>
          <w:szCs w:val="16"/>
        </w:rPr>
        <w:t xml:space="preserve">, Магнитогорске, Нижнем Тагиле, Сталинграде; станкостроительные заводы в Калуге, Новосибирске, Верхней </w:t>
      </w:r>
      <w:proofErr w:type="spellStart"/>
      <w:r w:rsidRPr="00A259BD">
        <w:rPr>
          <w:rFonts w:ascii="Times New Roman" w:hAnsi="Times New Roman"/>
          <w:color w:val="000000" w:themeColor="text1"/>
          <w:sz w:val="16"/>
          <w:szCs w:val="16"/>
        </w:rPr>
        <w:t>Сольде</w:t>
      </w:r>
      <w:proofErr w:type="spellEnd"/>
      <w:r w:rsidRPr="00A259BD">
        <w:rPr>
          <w:rFonts w:ascii="Times New Roman" w:hAnsi="Times New Roman"/>
          <w:color w:val="000000" w:themeColor="text1"/>
          <w:sz w:val="16"/>
          <w:szCs w:val="16"/>
        </w:rPr>
        <w:t xml:space="preserve">; прокатный стан в Москве; литейные заводы в Челябинске, Днепропетровске, Харькове, Коломне, </w:t>
      </w:r>
      <w:proofErr w:type="spellStart"/>
      <w:r w:rsidRPr="00A259BD">
        <w:rPr>
          <w:rFonts w:ascii="Times New Roman" w:hAnsi="Times New Roman"/>
          <w:color w:val="000000" w:themeColor="text1"/>
          <w:sz w:val="16"/>
          <w:szCs w:val="16"/>
        </w:rPr>
        <w:t>Люберецке</w:t>
      </w:r>
      <w:proofErr w:type="spellEnd"/>
      <w:r w:rsidRPr="00A259BD">
        <w:rPr>
          <w:rFonts w:ascii="Times New Roman" w:hAnsi="Times New Roman"/>
          <w:color w:val="000000" w:themeColor="text1"/>
          <w:sz w:val="16"/>
          <w:szCs w:val="16"/>
        </w:rPr>
        <w:t xml:space="preserve">, Магнитогорске, Сормово, Сталинграде; механические цеха в Челябинске, </w:t>
      </w:r>
      <w:proofErr w:type="spellStart"/>
      <w:r w:rsidRPr="00A259BD">
        <w:rPr>
          <w:rFonts w:ascii="Times New Roman" w:hAnsi="Times New Roman"/>
          <w:color w:val="000000" w:themeColor="text1"/>
          <w:sz w:val="16"/>
          <w:szCs w:val="16"/>
        </w:rPr>
        <w:t>Люберецке</w:t>
      </w:r>
      <w:proofErr w:type="spellEnd"/>
      <w:r w:rsidRPr="00A259BD">
        <w:rPr>
          <w:rFonts w:ascii="Times New Roman" w:hAnsi="Times New Roman"/>
          <w:color w:val="000000" w:themeColor="text1"/>
          <w:sz w:val="16"/>
          <w:szCs w:val="16"/>
        </w:rPr>
        <w:t xml:space="preserve">, Подольске, Сталинграде, Свердловске; теплоэлектростанцию в Якутске; сталелитейные и прокатные станы в Каменском, Коломне, Кузнецке, Магнитогорске, Нижнем Тагиле, Верхнем Тагиле, Сормово; Ленинградский алюминиевый завод; Уральскую асбестовую фабрику и многие другие. </w:t>
      </w:r>
    </w:p>
    <w:p w14:paraId="13ADBF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списку объектов хорошо видно, что Кан спроектировал (и оснастил оборудованием) едва ли не всю советскую военную промышленность.</w:t>
      </w:r>
    </w:p>
    <w:p w14:paraId="0B88C5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Эти данные взяты из западных источников. В Советском Союзе список объектов первой пятилетки не публиковался никогда, а имя Кана практически никому не известно. Это тем более странно, что Альберт Кан Инк. – единственная иностранная архитектурная фирма, спроектировавшая для СССР сотни реализованных объектов (11598).</w:t>
      </w:r>
    </w:p>
    <w:p w14:paraId="18FD3D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1CCD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г. </w:t>
      </w:r>
      <w:proofErr w:type="spellStart"/>
      <w:r w:rsidRPr="00A259BD">
        <w:rPr>
          <w:rFonts w:ascii="Times New Roman" w:hAnsi="Times New Roman"/>
          <w:color w:val="000000" w:themeColor="text1"/>
          <w:sz w:val="16"/>
          <w:szCs w:val="16"/>
        </w:rPr>
        <w:t>Шмиц</w:t>
      </w:r>
      <w:proofErr w:type="spellEnd"/>
      <w:r w:rsidRPr="00A259BD">
        <w:rPr>
          <w:rFonts w:ascii="Times New Roman" w:hAnsi="Times New Roman"/>
          <w:color w:val="000000" w:themeColor="text1"/>
          <w:sz w:val="16"/>
          <w:szCs w:val="16"/>
        </w:rPr>
        <w:t xml:space="preserve"> уже делал «доклад о проделанной работе» руководителю инженерного отдела советского торгпредства в Германии Александрову. Он информировал обо всем также германские МИД и военное министерство. С одобрения последнего, очевидно, и завязалось это взаимодействие. Военный атташе в Германии </w:t>
      </w:r>
      <w:proofErr w:type="spellStart"/>
      <w:r w:rsidRPr="00A259BD">
        <w:rPr>
          <w:rFonts w:ascii="Times New Roman" w:hAnsi="Times New Roman"/>
          <w:color w:val="000000" w:themeColor="text1"/>
          <w:sz w:val="16"/>
          <w:szCs w:val="16"/>
        </w:rPr>
        <w:t>Корк</w:t>
      </w:r>
      <w:proofErr w:type="spellEnd"/>
      <w:r w:rsidRPr="00A259BD">
        <w:rPr>
          <w:rFonts w:ascii="Times New Roman" w:hAnsi="Times New Roman"/>
          <w:color w:val="000000" w:themeColor="text1"/>
          <w:sz w:val="16"/>
          <w:szCs w:val="16"/>
        </w:rPr>
        <w:t xml:space="preserve"> 8 апреля 1929 г. докладывал Ворошилову, что в проекты гаубицы и пушки, над которыми работал </w:t>
      </w:r>
      <w:proofErr w:type="spellStart"/>
      <w:r w:rsidRPr="00A259BD">
        <w:rPr>
          <w:rFonts w:ascii="Times New Roman" w:hAnsi="Times New Roman"/>
          <w:color w:val="000000" w:themeColor="text1"/>
          <w:sz w:val="16"/>
          <w:szCs w:val="16"/>
        </w:rPr>
        <w:t>Шмиц</w:t>
      </w:r>
      <w:proofErr w:type="spellEnd"/>
      <w:r w:rsidRPr="00A259BD">
        <w:rPr>
          <w:rFonts w:ascii="Times New Roman" w:hAnsi="Times New Roman"/>
          <w:color w:val="000000" w:themeColor="text1"/>
          <w:sz w:val="16"/>
          <w:szCs w:val="16"/>
        </w:rPr>
        <w:t xml:space="preserve">, он внес «ряд конструктивных изменений, улучшивших их характеристики. Кроме того </w:t>
      </w:r>
      <w:proofErr w:type="spellStart"/>
      <w:r w:rsidRPr="00A259BD">
        <w:rPr>
          <w:rFonts w:ascii="Times New Roman" w:hAnsi="Times New Roman"/>
          <w:color w:val="000000" w:themeColor="text1"/>
          <w:sz w:val="16"/>
          <w:szCs w:val="16"/>
        </w:rPr>
        <w:t>Шмиц</w:t>
      </w:r>
      <w:proofErr w:type="spellEnd"/>
      <w:r w:rsidRPr="00A259BD">
        <w:rPr>
          <w:rFonts w:ascii="Times New Roman" w:hAnsi="Times New Roman"/>
          <w:color w:val="000000" w:themeColor="text1"/>
          <w:sz w:val="16"/>
          <w:szCs w:val="16"/>
        </w:rPr>
        <w:t xml:space="preserve"> подготовил эскиз дальнобойной (20 км) пушки калибра 10,67 см. В своем КБ в </w:t>
      </w:r>
      <w:proofErr w:type="spellStart"/>
      <w:r w:rsidRPr="00A259BD">
        <w:rPr>
          <w:rFonts w:ascii="Times New Roman" w:hAnsi="Times New Roman"/>
          <w:color w:val="000000" w:themeColor="text1"/>
          <w:sz w:val="16"/>
          <w:szCs w:val="16"/>
        </w:rPr>
        <w:t>Брауншвайге</w:t>
      </w:r>
      <w:proofErr w:type="spellEnd"/>
      <w:r w:rsidRPr="00A259BD">
        <w:rPr>
          <w:rFonts w:ascii="Times New Roman" w:hAnsi="Times New Roman"/>
          <w:color w:val="000000" w:themeColor="text1"/>
          <w:sz w:val="16"/>
          <w:szCs w:val="16"/>
        </w:rPr>
        <w:t xml:space="preserve"> (технический институт, в котором он был директором) он изготавливал и модели проектируемых орудий. (РГВА, ф. 33987, оп. 3, д. 295, л. 71-78,34; ADAP, Ser.B,Bd.XIV.S.7).) (11784).</w:t>
      </w:r>
    </w:p>
    <w:p w14:paraId="59F932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1E1C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за год с апреля 1928 года, когда был создан ИХО, </w:t>
      </w:r>
      <w:proofErr w:type="spellStart"/>
      <w:r w:rsidRPr="00A259BD">
        <w:rPr>
          <w:rFonts w:ascii="Times New Roman" w:hAnsi="Times New Roman"/>
          <w:color w:val="000000" w:themeColor="text1"/>
          <w:sz w:val="16"/>
          <w:szCs w:val="16"/>
        </w:rPr>
        <w:t>И.М.Великанов</w:t>
      </w:r>
      <w:proofErr w:type="spellEnd"/>
      <w:r w:rsidRPr="00A259BD">
        <w:rPr>
          <w:rFonts w:ascii="Times New Roman" w:hAnsi="Times New Roman"/>
          <w:color w:val="000000" w:themeColor="text1"/>
          <w:sz w:val="16"/>
          <w:szCs w:val="16"/>
        </w:rPr>
        <w:t xml:space="preserve"> вряд ли нашел свое творческое место. Работы по созданию самого биологического оружия проводили </w:t>
      </w:r>
      <w:proofErr w:type="spellStart"/>
      <w:r w:rsidRPr="00A259BD">
        <w:rPr>
          <w:rFonts w:ascii="Times New Roman" w:hAnsi="Times New Roman"/>
          <w:color w:val="000000" w:themeColor="text1"/>
          <w:sz w:val="16"/>
          <w:szCs w:val="16"/>
        </w:rPr>
        <w:t>Е.И.Демиховский</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Н.Н.Гинсбург</w:t>
      </w:r>
      <w:proofErr w:type="spellEnd"/>
      <w:r w:rsidRPr="00A259BD">
        <w:rPr>
          <w:rFonts w:ascii="Times New Roman" w:hAnsi="Times New Roman"/>
          <w:color w:val="000000" w:themeColor="text1"/>
          <w:sz w:val="16"/>
          <w:szCs w:val="16"/>
        </w:rPr>
        <w:t xml:space="preserve"> и вели это дело вполне успешно. С другой стороны, сам </w:t>
      </w:r>
      <w:proofErr w:type="spellStart"/>
      <w:r w:rsidRPr="00A259BD">
        <w:rPr>
          <w:rFonts w:ascii="Times New Roman" w:hAnsi="Times New Roman"/>
          <w:color w:val="000000" w:themeColor="text1"/>
          <w:sz w:val="16"/>
          <w:szCs w:val="16"/>
        </w:rPr>
        <w:t>И.М.Великанов</w:t>
      </w:r>
      <w:proofErr w:type="spellEnd"/>
      <w:r w:rsidRPr="00A259BD">
        <w:rPr>
          <w:rFonts w:ascii="Times New Roman" w:hAnsi="Times New Roman"/>
          <w:color w:val="000000" w:themeColor="text1"/>
          <w:sz w:val="16"/>
          <w:szCs w:val="16"/>
        </w:rPr>
        <w:t xml:space="preserve">, имевший квалификацию и вкус скорее к созданию вакцин против опасных инфекций, смог отчитаться за год лишь за создание сыворотки против заболевания газовой гангреной и отравления токсином ботулизма. Ну и одновременно с отчетом он поставил вопрос о предоставлении ИХО нового большого помещения для создания вакцин против биологического оружия с одновременным превращением в самостоятельный бактериологический институт. Начальник ВОХИМУ </w:t>
      </w:r>
      <w:proofErr w:type="spellStart"/>
      <w:r w:rsidRPr="00A259BD">
        <w:rPr>
          <w:rFonts w:ascii="Times New Roman" w:hAnsi="Times New Roman"/>
          <w:color w:val="000000" w:themeColor="text1"/>
          <w:sz w:val="16"/>
          <w:szCs w:val="16"/>
        </w:rPr>
        <w:t>Я.М.Фишман</w:t>
      </w:r>
      <w:proofErr w:type="spellEnd"/>
      <w:r w:rsidRPr="00A259BD">
        <w:rPr>
          <w:rFonts w:ascii="Times New Roman" w:hAnsi="Times New Roman"/>
          <w:color w:val="000000" w:themeColor="text1"/>
          <w:sz w:val="16"/>
          <w:szCs w:val="16"/>
        </w:rPr>
        <w:t xml:space="preserve"> сформулировал эту идею более четко и вполне прагматично - "необходимо, чтобы ВСУ организовало сывороточное отделение или отпустило бы ИХО средства для этого". Однако </w:t>
      </w:r>
      <w:proofErr w:type="spellStart"/>
      <w:r w:rsidRPr="00A259BD">
        <w:rPr>
          <w:rFonts w:ascii="Times New Roman" w:hAnsi="Times New Roman"/>
          <w:color w:val="000000" w:themeColor="text1"/>
          <w:sz w:val="16"/>
          <w:szCs w:val="16"/>
        </w:rPr>
        <w:t>И.М.Великанов</w:t>
      </w:r>
      <w:proofErr w:type="spellEnd"/>
      <w:r w:rsidRPr="00A259BD">
        <w:rPr>
          <w:rFonts w:ascii="Times New Roman" w:hAnsi="Times New Roman"/>
          <w:color w:val="000000" w:themeColor="text1"/>
          <w:sz w:val="16"/>
          <w:szCs w:val="16"/>
        </w:rPr>
        <w:t xml:space="preserve"> пошел по иному пути. Вместо того, чтобы создавать средства защиты Красной Армии от биологического оружия вероятного противника в самой армии "с чистого листа", он предложил более "практичное" решение - за счет оголения гражданского здравоохранения. В апреле 1929 года </w:t>
      </w:r>
      <w:proofErr w:type="spellStart"/>
      <w:r w:rsidRPr="00A259BD">
        <w:rPr>
          <w:rFonts w:ascii="Times New Roman" w:hAnsi="Times New Roman"/>
          <w:color w:val="000000" w:themeColor="text1"/>
          <w:sz w:val="16"/>
          <w:szCs w:val="16"/>
        </w:rPr>
        <w:t>И.М.Великанов</w:t>
      </w:r>
      <w:proofErr w:type="spellEnd"/>
      <w:r w:rsidRPr="00A259BD">
        <w:rPr>
          <w:rFonts w:ascii="Times New Roman" w:hAnsi="Times New Roman"/>
          <w:color w:val="000000" w:themeColor="text1"/>
          <w:sz w:val="16"/>
          <w:szCs w:val="16"/>
        </w:rPr>
        <w:t xml:space="preserve"> выступил с инициативой о передаче в ведение Красной Армии Бактериологического института Наркомздрава РСФСР, разумеется, поставив во главе и института, и каждого отдела по бактериологу-члену партии и подчинив его непосредственно ВСУ РККА. Когда эта идея не прошла, в сентябре 1929 года он предложил новую - изъять из ведения Наркомздрава и передать в ВСУ Красной Армии Институт оспы, располагавшийся в имении Власиха, что в 40 км от Москвы по Можайскому шоссе, предварительно выселив оттуда работников самого института. Эта идея уже получила развитие. В конце марта 1930 года </w:t>
      </w:r>
      <w:proofErr w:type="spellStart"/>
      <w:r w:rsidRPr="00A259BD">
        <w:rPr>
          <w:rFonts w:ascii="Times New Roman" w:hAnsi="Times New Roman"/>
          <w:color w:val="000000" w:themeColor="text1"/>
          <w:sz w:val="16"/>
          <w:szCs w:val="16"/>
        </w:rPr>
        <w:t>И.М.Великанов</w:t>
      </w:r>
      <w:proofErr w:type="spellEnd"/>
      <w:r w:rsidRPr="00A259BD">
        <w:rPr>
          <w:rFonts w:ascii="Times New Roman" w:hAnsi="Times New Roman"/>
          <w:color w:val="000000" w:themeColor="text1"/>
          <w:sz w:val="16"/>
          <w:szCs w:val="16"/>
        </w:rPr>
        <w:t xml:space="preserve"> добился аудиенции у </w:t>
      </w:r>
      <w:proofErr w:type="spellStart"/>
      <w:r w:rsidRPr="00A259BD">
        <w:rPr>
          <w:rFonts w:ascii="Times New Roman" w:hAnsi="Times New Roman"/>
          <w:color w:val="000000" w:themeColor="text1"/>
          <w:sz w:val="16"/>
          <w:szCs w:val="16"/>
        </w:rPr>
        <w:t>К.Е.Ворошилова</w:t>
      </w:r>
      <w:proofErr w:type="spellEnd"/>
      <w:r w:rsidRPr="00A259BD">
        <w:rPr>
          <w:rFonts w:ascii="Times New Roman" w:hAnsi="Times New Roman"/>
          <w:color w:val="000000" w:themeColor="text1"/>
          <w:sz w:val="16"/>
          <w:szCs w:val="16"/>
        </w:rPr>
        <w:t xml:space="preserve"> и изложил ему свое видение расширения работ "по изучению методов ведения бактериологической войны", а заодно и решения своих личных дел. Однако в первой половине апреля высшее руководство Красной Армии после тщательного обсуждения проблемы решило не класть все яйца в одну корзину и задачи ВОХИМУ и ВСУ четко разграничить. В отношении работ по биологическому оружию было решено поступить так же, как и в случае химического оружия - поиск средств биологического нападения оставить за химиками (ВОХИМУ), а создание средств защиты от биологического оружия возложить на медиков (ВСУ). Тем не менее даже после столь четкого решения 17 апреля 1930 года "наверх" была подана докладная записка трех лиц, подписавшихся бактериологами-членами ВКП(б) (это были </w:t>
      </w:r>
      <w:proofErr w:type="spellStart"/>
      <w:r w:rsidRPr="00A259BD">
        <w:rPr>
          <w:rFonts w:ascii="Times New Roman" w:hAnsi="Times New Roman"/>
          <w:color w:val="000000" w:themeColor="text1"/>
          <w:sz w:val="16"/>
          <w:szCs w:val="16"/>
        </w:rPr>
        <w:t>Н.Л.Блюменталь</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И.М.Великанов</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Л.Г.Рапопорт</w:t>
      </w:r>
      <w:proofErr w:type="spellEnd"/>
      <w:r w:rsidRPr="00A259BD">
        <w:rPr>
          <w:rFonts w:ascii="Times New Roman" w:hAnsi="Times New Roman"/>
          <w:color w:val="000000" w:themeColor="text1"/>
          <w:sz w:val="16"/>
          <w:szCs w:val="16"/>
        </w:rPr>
        <w:t xml:space="preserve">), которые после обычной констатации ("работа по подготовке к будущей бактериологической войне должна идти по линии возможности применения известных нам микробов") сообщили, что, по их мнению, "разделение работ по военной бактериологии по различным ведомствам является... нецелесообразным и вредным для дела". Однако и этот демарш не имел успеха (11776). </w:t>
      </w:r>
    </w:p>
    <w:p w14:paraId="462F2EF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29F13B"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318380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2B3F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был объединенный Пленум ЦК и ЦКК, который, как и последующая конференция осудили политические взгляды правых, как несовместимые с генеральной линией партии, осудила их переговоры (</w:t>
      </w:r>
      <w:proofErr w:type="spellStart"/>
      <w:r w:rsidRPr="00A259BD">
        <w:rPr>
          <w:rFonts w:ascii="Times New Roman" w:hAnsi="Times New Roman"/>
          <w:color w:val="000000" w:themeColor="text1"/>
          <w:sz w:val="16"/>
          <w:szCs w:val="16"/>
        </w:rPr>
        <w:t>Н.И.Бухарин</w:t>
      </w:r>
      <w:proofErr w:type="spellEnd"/>
      <w:r w:rsidRPr="00A259BD">
        <w:rPr>
          <w:rFonts w:ascii="Times New Roman" w:hAnsi="Times New Roman"/>
          <w:color w:val="000000" w:themeColor="text1"/>
          <w:sz w:val="16"/>
          <w:szCs w:val="16"/>
        </w:rPr>
        <w:t xml:space="preserve"> через </w:t>
      </w:r>
      <w:proofErr w:type="spellStart"/>
      <w:r w:rsidRPr="00A259BD">
        <w:rPr>
          <w:rFonts w:ascii="Times New Roman" w:hAnsi="Times New Roman"/>
          <w:color w:val="000000" w:themeColor="text1"/>
          <w:sz w:val="16"/>
          <w:szCs w:val="16"/>
        </w:rPr>
        <w:t>Л.Б.Каменева</w:t>
      </w:r>
      <w:proofErr w:type="spellEnd"/>
      <w:r w:rsidRPr="00A259BD">
        <w:rPr>
          <w:rFonts w:ascii="Times New Roman" w:hAnsi="Times New Roman"/>
          <w:color w:val="000000" w:themeColor="text1"/>
          <w:sz w:val="16"/>
          <w:szCs w:val="16"/>
        </w:rPr>
        <w:t xml:space="preserve">) с троцкистами, снял </w:t>
      </w:r>
      <w:proofErr w:type="spellStart"/>
      <w:r w:rsidRPr="00A259BD">
        <w:rPr>
          <w:rFonts w:ascii="Times New Roman" w:hAnsi="Times New Roman"/>
          <w:color w:val="000000" w:themeColor="text1"/>
          <w:sz w:val="16"/>
          <w:szCs w:val="16"/>
        </w:rPr>
        <w:t>Н.И.Бухарина</w:t>
      </w:r>
      <w:proofErr w:type="spellEnd"/>
      <w:r w:rsidRPr="00A259BD">
        <w:rPr>
          <w:rFonts w:ascii="Times New Roman" w:hAnsi="Times New Roman"/>
          <w:color w:val="000000" w:themeColor="text1"/>
          <w:sz w:val="16"/>
          <w:szCs w:val="16"/>
        </w:rPr>
        <w:t xml:space="preserve"> и Томского с ответственных постов и предупредил, что при малейших нарушениях выведет из ПБ. Нарушили (226,387).</w:t>
      </w:r>
    </w:p>
    <w:p w14:paraId="6D3CCA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4122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XVI партийная конференция рассматривала первый пятилетний план 1928/1929 - 1932/1933 и приняла оптимальный вариант плана, отвергнув минималистские установки правых. Запланировали 64.6 млрд. руб. КВ по сравнению с 26.5 млрд. в предыдущем пятилетии. Запланированный рост промышленности - 2.8 раз, в т.ч. в тяжелой - 3.3 раза. Рост соц. сектора до 92%, доля кооперированных хозяйств - 85%, доля коллективных - 15%, их доля в товарной продукции - 43%. Решили развивать соревнование, которым к 1929 уже было охвачено две трети рабочих крупных предприятий (226,387).</w:t>
      </w:r>
    </w:p>
    <w:p w14:paraId="6DC77C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Объявили 1929 годом великого перелома (226,389).</w:t>
      </w:r>
    </w:p>
    <w:p w14:paraId="18F832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этой конференции поставила и вопрос о необходимости реорганизации управления промышленностью. Приняли и резолюцию "Об итогах и ближайших задачах борьбы с бюрократизмом" (423,108).</w:t>
      </w:r>
    </w:p>
    <w:p w14:paraId="04B41A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FA5BC4" w14:textId="77777777" w:rsidR="00292DF5" w:rsidRPr="00441F34" w:rsidRDefault="00292DF5" w:rsidP="00292DF5">
      <w:pPr>
        <w:spacing w:after="0" w:line="240" w:lineRule="auto"/>
        <w:jc w:val="both"/>
        <w:rPr>
          <w:rFonts w:ascii="Times New Roman" w:hAnsi="Times New Roman"/>
          <w:color w:val="0070C0"/>
          <w:sz w:val="16"/>
          <w:szCs w:val="16"/>
        </w:rPr>
      </w:pPr>
      <w:bookmarkStart w:id="40" w:name="_Hlk152610669"/>
      <w:r w:rsidRPr="00441F34">
        <w:rPr>
          <w:rFonts w:ascii="Times New Roman" w:hAnsi="Times New Roman"/>
          <w:color w:val="0070C0"/>
          <w:sz w:val="16"/>
          <w:szCs w:val="16"/>
        </w:rPr>
        <w:t>В апреле 1929 г. состоялась XVI пар</w:t>
      </w:r>
      <w:r w:rsidRPr="00441F34">
        <w:rPr>
          <w:rFonts w:ascii="Times New Roman" w:hAnsi="Times New Roman"/>
          <w:color w:val="0070C0"/>
          <w:sz w:val="16"/>
          <w:szCs w:val="16"/>
        </w:rPr>
        <w:softHyphen/>
        <w:t>тийная конференция, которая приня</w:t>
      </w:r>
      <w:r w:rsidRPr="00441F34">
        <w:rPr>
          <w:rFonts w:ascii="Times New Roman" w:hAnsi="Times New Roman"/>
          <w:color w:val="0070C0"/>
          <w:sz w:val="16"/>
          <w:szCs w:val="16"/>
        </w:rPr>
        <w:softHyphen/>
        <w:t>ла первый пятилетний план развития на</w:t>
      </w:r>
      <w:r w:rsidRPr="00441F34">
        <w:rPr>
          <w:rFonts w:ascii="Times New Roman" w:hAnsi="Times New Roman"/>
          <w:color w:val="0070C0"/>
          <w:sz w:val="16"/>
          <w:szCs w:val="16"/>
        </w:rPr>
        <w:softHyphen/>
        <w:t>родного хозяйства СССР. В числе задач на первую пятилетку в области строитель</w:t>
      </w:r>
      <w:r w:rsidRPr="00441F34">
        <w:rPr>
          <w:rFonts w:ascii="Times New Roman" w:hAnsi="Times New Roman"/>
          <w:color w:val="0070C0"/>
          <w:sz w:val="16"/>
          <w:szCs w:val="16"/>
        </w:rPr>
        <w:softHyphen/>
        <w:t>ства авиации намечалось:</w:t>
      </w:r>
    </w:p>
    <w:p w14:paraId="469F4652"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снять с вооружения все иностран</w:t>
      </w:r>
      <w:r w:rsidRPr="00441F34">
        <w:rPr>
          <w:rFonts w:ascii="Times New Roman" w:hAnsi="Times New Roman"/>
          <w:color w:val="0070C0"/>
          <w:sz w:val="16"/>
          <w:szCs w:val="16"/>
        </w:rPr>
        <w:softHyphen/>
        <w:t>ные типы самолётов и заменить их сов</w:t>
      </w:r>
      <w:r w:rsidRPr="00441F34">
        <w:rPr>
          <w:rFonts w:ascii="Times New Roman" w:hAnsi="Times New Roman"/>
          <w:color w:val="0070C0"/>
          <w:sz w:val="16"/>
          <w:szCs w:val="16"/>
        </w:rPr>
        <w:softHyphen/>
        <w:t>ременными самолётами отечественного производства;</w:t>
      </w:r>
    </w:p>
    <w:p w14:paraId="675982A4" w14:textId="77777777" w:rsidR="00292DF5" w:rsidRPr="00441F34" w:rsidRDefault="00292DF5" w:rsidP="00292DF5">
      <w:pPr>
        <w:spacing w:after="0" w:line="240" w:lineRule="auto"/>
        <w:jc w:val="both"/>
        <w:rPr>
          <w:rFonts w:ascii="Times New Roman" w:hAnsi="Times New Roman"/>
          <w:color w:val="0070C0"/>
          <w:sz w:val="16"/>
          <w:szCs w:val="16"/>
        </w:rPr>
      </w:pPr>
      <w:bookmarkStart w:id="41" w:name="bookmark44"/>
      <w:bookmarkEnd w:id="41"/>
      <w:r w:rsidRPr="00441F34">
        <w:rPr>
          <w:rFonts w:ascii="Times New Roman" w:hAnsi="Times New Roman"/>
          <w:color w:val="0070C0"/>
          <w:sz w:val="16"/>
          <w:szCs w:val="16"/>
        </w:rPr>
        <w:t>увеличить количество самолётов бомбардировочной авиации;</w:t>
      </w:r>
    </w:p>
    <w:p w14:paraId="6FF5B906"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довести количество самолётов до размеров, превышающих наличие са</w:t>
      </w:r>
      <w:r w:rsidRPr="00441F34">
        <w:rPr>
          <w:rFonts w:ascii="Times New Roman" w:hAnsi="Times New Roman"/>
          <w:color w:val="0070C0"/>
          <w:sz w:val="16"/>
          <w:szCs w:val="16"/>
        </w:rPr>
        <w:softHyphen/>
        <w:t>молётных парков ближайших противни</w:t>
      </w:r>
      <w:r w:rsidRPr="00441F34">
        <w:rPr>
          <w:rFonts w:ascii="Times New Roman" w:hAnsi="Times New Roman"/>
          <w:color w:val="0070C0"/>
          <w:sz w:val="16"/>
          <w:szCs w:val="16"/>
        </w:rPr>
        <w:softHyphen/>
        <w:t>ков, вместе взятых.</w:t>
      </w:r>
    </w:p>
    <w:p w14:paraId="40C80727" w14:textId="77777777" w:rsidR="00292DF5" w:rsidRPr="00441F34" w:rsidRDefault="00292DF5" w:rsidP="00292DF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общее состояние советской авиации ещё не могло удовлетворить тре</w:t>
      </w:r>
      <w:r w:rsidRPr="00441F34">
        <w:rPr>
          <w:rFonts w:ascii="Times New Roman" w:hAnsi="Times New Roman"/>
          <w:color w:val="0070C0"/>
          <w:sz w:val="16"/>
          <w:szCs w:val="16"/>
        </w:rPr>
        <w:softHyphen/>
        <w:t>бованиям обороны государства. Матери</w:t>
      </w:r>
      <w:r w:rsidRPr="00441F34">
        <w:rPr>
          <w:rFonts w:ascii="Times New Roman" w:hAnsi="Times New Roman"/>
          <w:color w:val="0070C0"/>
          <w:sz w:val="16"/>
          <w:szCs w:val="16"/>
        </w:rPr>
        <w:softHyphen/>
        <w:t>ально-техническая база, несмотря на по</w:t>
      </w:r>
      <w:r w:rsidRPr="00441F34">
        <w:rPr>
          <w:rFonts w:ascii="Times New Roman" w:hAnsi="Times New Roman"/>
          <w:color w:val="0070C0"/>
          <w:sz w:val="16"/>
          <w:szCs w:val="16"/>
        </w:rPr>
        <w:softHyphen/>
        <w:t>пытки правительства её улучшить, про</w:t>
      </w:r>
      <w:r w:rsidRPr="00441F34">
        <w:rPr>
          <w:rFonts w:ascii="Times New Roman" w:hAnsi="Times New Roman"/>
          <w:color w:val="0070C0"/>
          <w:sz w:val="16"/>
          <w:szCs w:val="16"/>
        </w:rPr>
        <w:softHyphen/>
        <w:t>должала оставаться слабой, в силу чего невозможно было освоить массовое се</w:t>
      </w:r>
      <w:r w:rsidRPr="00441F34">
        <w:rPr>
          <w:rFonts w:ascii="Times New Roman" w:hAnsi="Times New Roman"/>
          <w:color w:val="0070C0"/>
          <w:sz w:val="16"/>
          <w:szCs w:val="16"/>
        </w:rPr>
        <w:softHyphen/>
        <w:t>рийное производство новых самолётов и моторов (24301).</w:t>
      </w:r>
    </w:p>
    <w:p w14:paraId="54C73344" w14:textId="77777777" w:rsidR="00292DF5" w:rsidRPr="00441F34" w:rsidRDefault="00292DF5" w:rsidP="00292DF5">
      <w:pPr>
        <w:spacing w:after="0" w:line="240" w:lineRule="auto"/>
        <w:jc w:val="both"/>
        <w:rPr>
          <w:rFonts w:ascii="Times New Roman" w:hAnsi="Times New Roman"/>
          <w:color w:val="0070C0"/>
          <w:sz w:val="16"/>
          <w:szCs w:val="16"/>
        </w:rPr>
      </w:pPr>
    </w:p>
    <w:bookmarkEnd w:id="40"/>
    <w:p w14:paraId="0C5C22BD" w14:textId="77777777" w:rsidR="007D1D6F" w:rsidRPr="00A259BD" w:rsidRDefault="007D1D6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г. Шестнадцатая конференция ВКП(б) в Резолюции о пятилетнем плане развития народного хозяйства отмечала: "Общая сумма бюджета на этот период составит 51 млрд. руб. против 19 млрд. руб. истекшего пятилетия (рост 166,7%) &lt;...&gt; Рост бюджета дает наряду с укреплением обороноспособности страны возможность увеличения финансирования народного хозяйства..." (18390).</w:t>
      </w:r>
    </w:p>
    <w:p w14:paraId="45AD5499" w14:textId="77777777" w:rsidR="007D1D6F" w:rsidRPr="00A259BD" w:rsidRDefault="007D1D6F" w:rsidP="009236E3">
      <w:pPr>
        <w:spacing w:after="0" w:line="240" w:lineRule="auto"/>
        <w:jc w:val="both"/>
        <w:rPr>
          <w:rFonts w:ascii="Times New Roman" w:hAnsi="Times New Roman"/>
          <w:color w:val="000000" w:themeColor="text1"/>
          <w:sz w:val="16"/>
          <w:szCs w:val="16"/>
        </w:rPr>
      </w:pPr>
    </w:p>
    <w:p w14:paraId="2593444E" w14:textId="77777777" w:rsidR="007D1D6F" w:rsidRPr="00A259BD" w:rsidRDefault="007D1D6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на </w:t>
      </w:r>
      <w:proofErr w:type="spellStart"/>
      <w:r w:rsidRPr="00A259BD">
        <w:rPr>
          <w:rFonts w:ascii="Times New Roman" w:hAnsi="Times New Roman"/>
          <w:color w:val="000000" w:themeColor="text1"/>
          <w:sz w:val="16"/>
          <w:szCs w:val="16"/>
        </w:rPr>
        <w:t>на</w:t>
      </w:r>
      <w:proofErr w:type="spellEnd"/>
      <w:r w:rsidRPr="00A259BD">
        <w:rPr>
          <w:rFonts w:ascii="Times New Roman" w:hAnsi="Times New Roman"/>
          <w:color w:val="000000" w:themeColor="text1"/>
          <w:sz w:val="16"/>
          <w:szCs w:val="16"/>
        </w:rPr>
        <w:t xml:space="preserve"> апрельском пленуме 1929 г. И.В.С. сказал: «</w:t>
      </w:r>
      <w:proofErr w:type="spellStart"/>
      <w:r w:rsidRPr="00A259BD">
        <w:rPr>
          <w:rFonts w:ascii="Times New Roman" w:hAnsi="Times New Roman"/>
          <w:color w:val="000000" w:themeColor="text1"/>
          <w:sz w:val="16"/>
          <w:szCs w:val="16"/>
        </w:rPr>
        <w:t>Шахтинцы</w:t>
      </w:r>
      <w:proofErr w:type="spellEnd"/>
      <w:r w:rsidRPr="00A259BD">
        <w:rPr>
          <w:rFonts w:ascii="Times New Roman" w:hAnsi="Times New Roman"/>
          <w:color w:val="000000" w:themeColor="text1"/>
          <w:sz w:val="16"/>
          <w:szCs w:val="16"/>
        </w:rPr>
        <w:t xml:space="preserve"> сидят теперь во всех отраслях нашей промышленности» и по всей стране начались поиски вредителей среди интеллигенции. Так, только за 1931 г. ОГПУ было осуждено 1152 инженера за «вредительство» (18666).</w:t>
      </w:r>
    </w:p>
    <w:p w14:paraId="1DB02C32" w14:textId="77777777" w:rsidR="007D1D6F" w:rsidRPr="00A259BD" w:rsidRDefault="007D1D6F" w:rsidP="009236E3">
      <w:pPr>
        <w:spacing w:after="0" w:line="240" w:lineRule="auto"/>
        <w:jc w:val="both"/>
        <w:rPr>
          <w:rFonts w:ascii="Times New Roman" w:hAnsi="Times New Roman"/>
          <w:color w:val="000000" w:themeColor="text1"/>
          <w:sz w:val="16"/>
          <w:szCs w:val="16"/>
        </w:rPr>
      </w:pPr>
    </w:p>
    <w:p w14:paraId="0A9C35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в Казани дефицитные товары было решено отпускать только членам Центральной рабочей кооперации, инвалидам и пенсионерам. К дефициту, помимо некоторых ненормируемых продуктов, а также хлопчатобумажной мануфактуры, суконно-шерстяных тканей, кожаных изделий, галош, были отнесены кровельное и сортовое железо, гвозди, хозяйственное мыло. Промтовары теперь нельзя было прийти и купить просто так, необходимо было получить ордер. Так, в ноябре 1930 года студентам Казанского университета было выдано 300 ордеров на покупку валяной обуви, 250 - на "ватные пиджаки", 75 - на пальто и 800 - на "мелкие вещи" (а всего в университете тогда обучалось более 2 тысяч студентов) (11566).</w:t>
      </w:r>
    </w:p>
    <w:p w14:paraId="25AC51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BD69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апреле 1929 проходили процессы ОГПУ над украинскими националистами - раскрыли "Союз освобождения Украины" и арестовали более 5 тыс. Под подозрением был и К.А.К. (70,219).</w:t>
      </w:r>
    </w:p>
    <w:p w14:paraId="239143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6E5D71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0A7A859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630C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г. во исполнение этого соглашения между Управлением Снабжения (УС) РККА и Амторгом в Амторг были командированы Г.Г. </w:t>
      </w:r>
      <w:proofErr w:type="spellStart"/>
      <w:r w:rsidRPr="00A259BD">
        <w:rPr>
          <w:rFonts w:ascii="Times New Roman" w:hAnsi="Times New Roman"/>
          <w:color w:val="000000" w:themeColor="text1"/>
          <w:sz w:val="16"/>
          <w:szCs w:val="16"/>
        </w:rPr>
        <w:t>Гобар</w:t>
      </w:r>
      <w:proofErr w:type="spellEnd"/>
      <w:r w:rsidRPr="00A259BD">
        <w:rPr>
          <w:rFonts w:ascii="Times New Roman" w:hAnsi="Times New Roman"/>
          <w:color w:val="000000" w:themeColor="text1"/>
          <w:sz w:val="16"/>
          <w:szCs w:val="16"/>
        </w:rPr>
        <w:t xml:space="preserve"> (в отдел слабых токов) и В.И. Бузанов (в химический отдел). К концу года при Амторге был создан аппарат ОВЗ в составе 6 человек (11507).</w:t>
      </w:r>
    </w:p>
    <w:p w14:paraId="07E567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B6B6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г. в Северный Афганистан была введена бригада Красной Армии, силы которой столкнулись с отрядами правительства </w:t>
      </w:r>
      <w:proofErr w:type="spellStart"/>
      <w:r w:rsidRPr="00A259BD">
        <w:rPr>
          <w:rFonts w:ascii="Times New Roman" w:hAnsi="Times New Roman"/>
          <w:color w:val="000000" w:themeColor="text1"/>
          <w:sz w:val="16"/>
          <w:szCs w:val="16"/>
        </w:rPr>
        <w:t>Бачаи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Сакао</w:t>
      </w:r>
      <w:proofErr w:type="spellEnd"/>
      <w:r w:rsidRPr="00A259BD">
        <w:rPr>
          <w:rFonts w:ascii="Times New Roman" w:hAnsi="Times New Roman"/>
          <w:color w:val="000000" w:themeColor="text1"/>
          <w:sz w:val="16"/>
          <w:szCs w:val="16"/>
        </w:rPr>
        <w:t>. Однако советское вмешательство оказалось непродолжительным. Аманулла не смог продолжать борьбу в таких условиях и предпочел в конце мая 1929 г. покинуть Афганистан, эмигрировав в Италию через территорию Британской Индии. С его отъездом присутствие советских войск в Афганистане теряло всякое правовое обоснование, и они были выведены (3871).</w:t>
      </w:r>
    </w:p>
    <w:p w14:paraId="2A8610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401A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1929 года в Берлин прибыл начальник разведывательного отдела генштаба генерал-лейтенант </w:t>
      </w:r>
      <w:proofErr w:type="spellStart"/>
      <w:r w:rsidRPr="00A259BD">
        <w:rPr>
          <w:rFonts w:ascii="Times New Roman" w:hAnsi="Times New Roman"/>
          <w:color w:val="000000" w:themeColor="text1"/>
          <w:sz w:val="16"/>
          <w:szCs w:val="16"/>
        </w:rPr>
        <w:t>Иванэ</w:t>
      </w:r>
      <w:proofErr w:type="spellEnd"/>
      <w:r w:rsidRPr="00A259BD">
        <w:rPr>
          <w:rFonts w:ascii="Times New Roman" w:hAnsi="Times New Roman"/>
          <w:color w:val="000000" w:themeColor="text1"/>
          <w:sz w:val="16"/>
          <w:szCs w:val="16"/>
        </w:rPr>
        <w:t xml:space="preserve"> Мацуи. После его приезда в столице Германии было созвано совещание японских военных атташе из Великобритании, Франции, Польши, Австрии, Италии, Советского Союза и Турции. Мацуи выступил с обстоятельным докладом о расширении шпионской и подрывной деятельности против Советского Союза. После этого на совещании обсуждались вопросы о способах, методах и организации диверсий, которые должны будут проводиться из европейских государств во время войны с Советским Союзом. Большое внимание было уделено положению русских белоэмигрантов в Европе с учётом их возможного использования в будущем. Обсуждался и вопрос об агентурно-разведывательной работе против СССР, проводимой японскими военными атташе в Европе. Советским агентам удалось сфотографировать как инструкцию японского генштаба от 6 октября 1927, так и записи, сделанные во время совещания военных атташе одним из его участников. Позднее эти документы были представлены советской стороной </w:t>
      </w:r>
      <w:r w:rsidRPr="00A259BD">
        <w:rPr>
          <w:rFonts w:ascii="Times New Roman" w:hAnsi="Times New Roman"/>
          <w:color w:val="000000" w:themeColor="text1"/>
          <w:sz w:val="16"/>
          <w:szCs w:val="16"/>
        </w:rPr>
        <w:lastRenderedPageBreak/>
        <w:t>в качестве вещественного доказательства на Токийском процессе над японскими военными преступниками (Горбунов Е.А. Схватка с Чёрным Драконом. Тайная война на Дальнем Востоке. М., 2002. С.48–49).</w:t>
      </w:r>
    </w:p>
    <w:p w14:paraId="5A4D8A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C5C2A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CCA8A0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1E93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 мае 1929 года самолет АНТ-4 “Страна Советов” летал в небе Таганрога. Здесь работали тогда выдающиеся советские авиаконструкторы: Андрей Николаевич Туполев и его талантливый ученик, наш земляк, Владимир </w:t>
      </w:r>
      <w:proofErr w:type="spellStart"/>
      <w:r w:rsidRPr="00A259BD">
        <w:rPr>
          <w:rFonts w:ascii="Times New Roman" w:hAnsi="Times New Roman"/>
          <w:color w:val="000000" w:themeColor="text1"/>
          <w:sz w:val="16"/>
          <w:szCs w:val="16"/>
        </w:rPr>
        <w:t>Mихайлович</w:t>
      </w:r>
      <w:proofErr w:type="spellEnd"/>
      <w:r w:rsidRPr="00A259BD">
        <w:rPr>
          <w:rFonts w:ascii="Times New Roman" w:hAnsi="Times New Roman"/>
          <w:color w:val="000000" w:themeColor="text1"/>
          <w:sz w:val="16"/>
          <w:szCs w:val="16"/>
        </w:rPr>
        <w:t xml:space="preserve"> Петляков (11642).</w:t>
      </w:r>
    </w:p>
    <w:p w14:paraId="2CFFF9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5AF6F3" w14:textId="77777777" w:rsidR="00DE062D" w:rsidRPr="00A259BD" w:rsidRDefault="00DE062D" w:rsidP="00DE062D">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3C0978D" w14:textId="77777777" w:rsidR="00DE062D" w:rsidRPr="00A259BD" w:rsidRDefault="00DE062D" w:rsidP="00DE062D">
      <w:pPr>
        <w:autoSpaceDE w:val="0"/>
        <w:autoSpaceDN w:val="0"/>
        <w:adjustRightInd w:val="0"/>
        <w:spacing w:after="0" w:line="240" w:lineRule="auto"/>
        <w:jc w:val="both"/>
        <w:rPr>
          <w:rFonts w:ascii="Times New Roman" w:hAnsi="Times New Roman"/>
          <w:iCs/>
          <w:color w:val="000000" w:themeColor="text1"/>
          <w:sz w:val="16"/>
          <w:szCs w:val="16"/>
        </w:rPr>
      </w:pPr>
    </w:p>
    <w:p w14:paraId="77633404" w14:textId="77777777" w:rsidR="00DE062D" w:rsidRPr="00441F34" w:rsidRDefault="00DE062D" w:rsidP="00DE062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К середине весны 1929 г. А.Ф. </w:t>
      </w:r>
      <w:proofErr w:type="spellStart"/>
      <w:r w:rsidRPr="00441F34">
        <w:rPr>
          <w:rFonts w:ascii="Times New Roman" w:hAnsi="Times New Roman"/>
          <w:color w:val="0070C0"/>
          <w:sz w:val="16"/>
          <w:szCs w:val="16"/>
        </w:rPr>
        <w:t>Толоконцев</w:t>
      </w:r>
      <w:proofErr w:type="spellEnd"/>
      <w:r w:rsidRPr="00441F34">
        <w:rPr>
          <w:rFonts w:ascii="Times New Roman" w:hAnsi="Times New Roman"/>
          <w:color w:val="0070C0"/>
          <w:sz w:val="16"/>
          <w:szCs w:val="16"/>
        </w:rPr>
        <w:t xml:space="preserve"> сменил пост руководителя ГВПУ на должность начальника Главного управления машиностроительной и металлообрабатывающей промышленности ВСНХ. Должность тоже важная, но не дающая такого влияния. Параллельно бывший глава </w:t>
      </w:r>
      <w:proofErr w:type="spellStart"/>
      <w:r w:rsidRPr="00441F34">
        <w:rPr>
          <w:rFonts w:ascii="Times New Roman" w:hAnsi="Times New Roman"/>
          <w:color w:val="0070C0"/>
          <w:sz w:val="16"/>
          <w:szCs w:val="16"/>
        </w:rPr>
        <w:t>военпрома</w:t>
      </w:r>
      <w:proofErr w:type="spellEnd"/>
      <w:r w:rsidRPr="00441F34">
        <w:rPr>
          <w:rFonts w:ascii="Times New Roman" w:hAnsi="Times New Roman"/>
          <w:color w:val="0070C0"/>
          <w:sz w:val="16"/>
          <w:szCs w:val="16"/>
        </w:rPr>
        <w:t xml:space="preserve"> стал менять свою позицию в отношении дела военных инженеров. Он больше не сомневался в факте существования «вредительской» организации и роли В. С. Михайлова в ней, но продолжал утверждать, что «ни РКП (в лице т. </w:t>
      </w:r>
      <w:proofErr w:type="spellStart"/>
      <w:r w:rsidRPr="00441F34">
        <w:rPr>
          <w:rFonts w:ascii="Times New Roman" w:hAnsi="Times New Roman"/>
          <w:color w:val="0070C0"/>
          <w:sz w:val="16"/>
          <w:szCs w:val="16"/>
        </w:rPr>
        <w:t>Павлуновского</w:t>
      </w:r>
      <w:proofErr w:type="spellEnd"/>
      <w:r w:rsidRPr="00441F34">
        <w:rPr>
          <w:rFonts w:ascii="Times New Roman" w:hAnsi="Times New Roman"/>
          <w:color w:val="0070C0"/>
          <w:sz w:val="16"/>
          <w:szCs w:val="16"/>
        </w:rPr>
        <w:t>), ни другие органы (ОГПУ), обнаружившие вредительскую организацию, не указали фактов неправильного направления средств»[45]. Другими словами, бывший начальник ГВПУ не считал ущерб, нанесенный «контрреволюционерами», существенным (23536).</w:t>
      </w:r>
    </w:p>
    <w:p w14:paraId="33CF884C" w14:textId="77777777" w:rsidR="00DE062D" w:rsidRPr="00441F34" w:rsidRDefault="00DE062D" w:rsidP="00DE062D">
      <w:pPr>
        <w:spacing w:after="0" w:line="240" w:lineRule="auto"/>
        <w:jc w:val="both"/>
        <w:rPr>
          <w:rFonts w:ascii="Times New Roman" w:hAnsi="Times New Roman"/>
          <w:color w:val="0070C0"/>
          <w:sz w:val="16"/>
          <w:szCs w:val="16"/>
        </w:rPr>
      </w:pPr>
    </w:p>
    <w:p w14:paraId="731D8953" w14:textId="4E60AD33"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F2A2D0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0EA4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1 мая 1929 завод Большевик изготовил первые 30 танков Т-18 МС-1, а в 1931 - 900 (3016,8).</w:t>
      </w:r>
    </w:p>
    <w:p w14:paraId="6CB9B6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9997D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E64191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240B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мая 1929 АНТ-9 был показан в Москве (70,178) на Красной площади около ВБ (346,42).</w:t>
      </w:r>
    </w:p>
    <w:p w14:paraId="7EDA46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6DDF8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мая 1929 на КП на Лобном месте поставили АНТ-9 (2628,2).</w:t>
      </w:r>
    </w:p>
    <w:p w14:paraId="5C974E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3AFC3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мая 1929 начался перелет 7 К-4 по маршруту Харьков-</w:t>
      </w:r>
      <w:proofErr w:type="spellStart"/>
      <w:r w:rsidRPr="00A259BD">
        <w:rPr>
          <w:rFonts w:ascii="Times New Roman" w:hAnsi="Times New Roman"/>
          <w:color w:val="000000" w:themeColor="text1"/>
          <w:sz w:val="16"/>
          <w:szCs w:val="16"/>
        </w:rPr>
        <w:t>Ростов</w:t>
      </w:r>
      <w:proofErr w:type="spellEnd"/>
      <w:r w:rsidRPr="00A259BD">
        <w:rPr>
          <w:rFonts w:ascii="Times New Roman" w:hAnsi="Times New Roman"/>
          <w:color w:val="000000" w:themeColor="text1"/>
          <w:sz w:val="16"/>
          <w:szCs w:val="16"/>
        </w:rPr>
        <w:t>-Сочи-Минводы-Тбилиси - первый в СССР массовый перелет пассажирских самолетов (70,148).</w:t>
      </w:r>
    </w:p>
    <w:p w14:paraId="78FE8A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10E5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К-4 стали поступать в Казахстан и Среднюю Азию. Первая машина, которую перегнали в Алма-Ату, называлась Подарок Украины Казахстану. Потом было больше 10 (70,149).</w:t>
      </w:r>
    </w:p>
    <w:p w14:paraId="1B45A1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4FF525" w14:textId="77777777" w:rsidR="00F402B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B7C7F01" w14:textId="77777777" w:rsidR="00F402B5" w:rsidRPr="00A259BD" w:rsidRDefault="00F402B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2213F27" w14:textId="77777777" w:rsidR="00F402B5" w:rsidRPr="00A259BD" w:rsidRDefault="00F402B5"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 мая</w:t>
      </w:r>
      <w:r w:rsidRPr="00A259BD">
        <w:rPr>
          <w:rFonts w:ascii="Times New Roman" w:hAnsi="Times New Roman"/>
          <w:color w:val="000000" w:themeColor="text1"/>
          <w:sz w:val="16"/>
          <w:szCs w:val="16"/>
        </w:rPr>
        <w:t xml:space="preserve"> в 1929 году завод "Большевик" изготовил 30 танков МС-1 (малый сопровождения) - первых советских крупносерийных танков. Представлял собой дальнейшее развитие танка "Русский Рено". Танк был маломощен, слабо вооружен и бронирован, но это был первый серийный танк республики! Всего было выпущено 950 машин (14878).</w:t>
      </w:r>
    </w:p>
    <w:p w14:paraId="70808352" w14:textId="77777777" w:rsidR="00F402B5" w:rsidRPr="00A259BD" w:rsidRDefault="00F402B5" w:rsidP="009236E3">
      <w:pPr>
        <w:spacing w:after="0" w:line="240" w:lineRule="auto"/>
        <w:jc w:val="both"/>
        <w:rPr>
          <w:rFonts w:ascii="Times New Roman" w:hAnsi="Times New Roman"/>
          <w:color w:val="000000" w:themeColor="text1"/>
          <w:sz w:val="16"/>
          <w:szCs w:val="16"/>
        </w:rPr>
      </w:pPr>
    </w:p>
    <w:p w14:paraId="0D3ADDE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2660676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B6B84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1 мая 1929 г. в 20-й </w:t>
      </w:r>
      <w:proofErr w:type="spellStart"/>
      <w:r w:rsidRPr="00A259BD">
        <w:rPr>
          <w:rFonts w:ascii="Times New Roman" w:hAnsi="Times New Roman"/>
          <w:color w:val="000000" w:themeColor="text1"/>
          <w:sz w:val="16"/>
          <w:szCs w:val="16"/>
        </w:rPr>
        <w:t>ао</w:t>
      </w:r>
      <w:proofErr w:type="spellEnd"/>
      <w:r w:rsidRPr="00A259BD">
        <w:rPr>
          <w:rFonts w:ascii="Times New Roman" w:hAnsi="Times New Roman"/>
          <w:color w:val="000000" w:themeColor="text1"/>
          <w:sz w:val="16"/>
          <w:szCs w:val="16"/>
        </w:rPr>
        <w:t xml:space="preserve"> значилось восемь самолетов, во 30-я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в Подмосковье - 19 (полный комплект) Р-3ЛД. Такие же машины получил 44-й </w:t>
      </w:r>
      <w:proofErr w:type="spellStart"/>
      <w:r w:rsidRPr="00A259BD">
        <w:rPr>
          <w:rFonts w:ascii="Times New Roman" w:hAnsi="Times New Roman"/>
          <w:color w:val="000000" w:themeColor="text1"/>
          <w:sz w:val="16"/>
          <w:szCs w:val="16"/>
        </w:rPr>
        <w:t>ао</w:t>
      </w:r>
      <w:proofErr w:type="spellEnd"/>
      <w:r w:rsidRPr="00A259BD">
        <w:rPr>
          <w:rFonts w:ascii="Times New Roman" w:hAnsi="Times New Roman"/>
          <w:color w:val="000000" w:themeColor="text1"/>
          <w:sz w:val="16"/>
          <w:szCs w:val="16"/>
        </w:rPr>
        <w:t xml:space="preserve"> в Закавказье. Р-ЗЛД также выделялся в качестве персональных самолетов командирам соединений. Несколько машин передали как учебно-тренировочные в 55-ю и 57-ю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Ленинградского округа - тогда они были единственными в ВВС РККА "тяжелыми" эскадрильями, вооруженными не одномоторными бомбардировщиками, а смесью французских двухмоторных ФГ-62 (Фарман F-62 "Голиаф") и немецких трехмоторных ЮГ-1 (Юнкере К.ЗОС). Первоочередному перевооружению подлежали части, летавшие ранее на Ю-21. Это объяснялось двумя причинами: во-первых, характеристики немецких разведчиков оставляли желать много лучшего, а во-вторых, там уже имели опыт эксплуатации цельнометаллических самолетов.</w:t>
      </w:r>
    </w:p>
    <w:p w14:paraId="46C80C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Опыт эксплуатации Р-ЗЛД сразу же выявил значительное число серьезных дефектов. В первую очередь столкнулись с недостаточной жесткостью шпангоутов передней части фюзеляжа. Основные жалобы были связаны с деформацией 1-го шпангоута и отрывом бортов его рамы в местах крепления башмаков подкоса шасси. Деформировались и другие шпангоуты. После 60 - 70 посадок выпадали заклепки, изгибались подкосы шасси. Вызывали нарекания плохая работа бомбосбрасывателей (для залпа восемью бомбами летнабу приходилось тянуть ручку двумя руками - такое требовалось усилие) и вибрация стрелкового прицела. Постоянно донимали течи радиаторов, масло- и </w:t>
      </w:r>
      <w:proofErr w:type="spellStart"/>
      <w:r w:rsidRPr="00A259BD">
        <w:rPr>
          <w:rFonts w:ascii="Times New Roman" w:hAnsi="Times New Roman"/>
          <w:color w:val="000000" w:themeColor="text1"/>
          <w:sz w:val="16"/>
          <w:szCs w:val="16"/>
        </w:rPr>
        <w:t>бензомагистра</w:t>
      </w:r>
      <w:proofErr w:type="spellEnd"/>
      <w:r w:rsidRPr="00A259BD">
        <w:rPr>
          <w:rFonts w:ascii="Times New Roman" w:hAnsi="Times New Roman"/>
          <w:color w:val="000000" w:themeColor="text1"/>
          <w:sz w:val="16"/>
          <w:szCs w:val="16"/>
        </w:rPr>
        <w:t xml:space="preserve">- лей, кранов. Уже с января 1929 г. завод № 39 начал переделку новеньких Р-ЗМ5 и Р-ЗЛД, полученных 30-й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и 20-м </w:t>
      </w:r>
      <w:proofErr w:type="spellStart"/>
      <w:r w:rsidRPr="00A259BD">
        <w:rPr>
          <w:rFonts w:ascii="Times New Roman" w:hAnsi="Times New Roman"/>
          <w:color w:val="000000" w:themeColor="text1"/>
          <w:sz w:val="16"/>
          <w:szCs w:val="16"/>
        </w:rPr>
        <w:t>ао</w:t>
      </w:r>
      <w:proofErr w:type="spellEnd"/>
      <w:r w:rsidRPr="00A259BD">
        <w:rPr>
          <w:rFonts w:ascii="Times New Roman" w:hAnsi="Times New Roman"/>
          <w:color w:val="000000" w:themeColor="text1"/>
          <w:sz w:val="16"/>
          <w:szCs w:val="16"/>
        </w:rPr>
        <w:t xml:space="preserve">. Усиливались распорками 1-й и 2-й шпангоуты; ставились новые, более прочные, ушки подвески карбюраторов; проводилась переделка масло- и </w:t>
      </w:r>
      <w:proofErr w:type="spellStart"/>
      <w:r w:rsidRPr="00A259BD">
        <w:rPr>
          <w:rFonts w:ascii="Times New Roman" w:hAnsi="Times New Roman"/>
          <w:color w:val="000000" w:themeColor="text1"/>
          <w:sz w:val="16"/>
          <w:szCs w:val="16"/>
        </w:rPr>
        <w:t>бензосистем</w:t>
      </w:r>
      <w:proofErr w:type="spellEnd"/>
      <w:r w:rsidRPr="00A259BD">
        <w:rPr>
          <w:rFonts w:ascii="Times New Roman" w:hAnsi="Times New Roman"/>
          <w:color w:val="000000" w:themeColor="text1"/>
          <w:sz w:val="16"/>
          <w:szCs w:val="16"/>
        </w:rPr>
        <w:t>. Решено было усилить все Р-ЗЛД, имевшиеся в ВВС. К декабрю небольшой завод захлебнулся поступающими из частей самолетами. Председатель Технико-эксплуатационной инспекции УВВС Смолин докладывал: "</w:t>
      </w:r>
      <w:proofErr w:type="spellStart"/>
      <w:r w:rsidRPr="00A259BD">
        <w:rPr>
          <w:rFonts w:ascii="Times New Roman" w:hAnsi="Times New Roman"/>
          <w:color w:val="000000" w:themeColor="text1"/>
          <w:sz w:val="16"/>
          <w:szCs w:val="16"/>
        </w:rPr>
        <w:t>Ремфонд</w:t>
      </w:r>
      <w:proofErr w:type="spellEnd"/>
      <w:r w:rsidRPr="00A259BD">
        <w:rPr>
          <w:rFonts w:ascii="Times New Roman" w:hAnsi="Times New Roman"/>
          <w:color w:val="000000" w:themeColor="text1"/>
          <w:sz w:val="16"/>
          <w:szCs w:val="16"/>
        </w:rPr>
        <w:t xml:space="preserve"> завода № 39... забит самолетами" и настаивал на четкой формулировке принципа отбора машин для модернизации. В конечном итоге решили переделывать только самолеты с явными признаками деформаций. На Р-ЗМ5 вообще меняли лишь магистрали и краны. От планов замены радиаторов </w:t>
      </w:r>
      <w:proofErr w:type="spellStart"/>
      <w:r w:rsidRPr="00A259BD">
        <w:rPr>
          <w:rFonts w:ascii="Times New Roman" w:hAnsi="Times New Roman"/>
          <w:color w:val="000000" w:themeColor="text1"/>
          <w:sz w:val="16"/>
          <w:szCs w:val="16"/>
        </w:rPr>
        <w:t>Ламблена</w:t>
      </w:r>
      <w:proofErr w:type="spellEnd"/>
      <w:r w:rsidRPr="00A259BD">
        <w:rPr>
          <w:rFonts w:ascii="Times New Roman" w:hAnsi="Times New Roman"/>
          <w:color w:val="000000" w:themeColor="text1"/>
          <w:sz w:val="16"/>
          <w:szCs w:val="16"/>
        </w:rPr>
        <w:t xml:space="preserve"> на лобовые сотовые (ЦАГИ сконструировал два варианта таких радиаторов для М-5) вообще отказались. Такую доработку выполнили на одной машине, эксплуатировавшейся потом в гражданской авиации. У нее два радиатора крепились примерно в том же месте, где и старые </w:t>
      </w:r>
      <w:proofErr w:type="spellStart"/>
      <w:r w:rsidRPr="00A259BD">
        <w:rPr>
          <w:rFonts w:ascii="Times New Roman" w:hAnsi="Times New Roman"/>
          <w:color w:val="000000" w:themeColor="text1"/>
          <w:sz w:val="16"/>
          <w:szCs w:val="16"/>
        </w:rPr>
        <w:t>Ламблена</w:t>
      </w:r>
      <w:proofErr w:type="spellEnd"/>
      <w:r w:rsidRPr="00A259BD">
        <w:rPr>
          <w:rFonts w:ascii="Times New Roman" w:hAnsi="Times New Roman"/>
          <w:color w:val="000000" w:themeColor="text1"/>
          <w:sz w:val="16"/>
          <w:szCs w:val="16"/>
        </w:rPr>
        <w:t>.</w:t>
      </w:r>
    </w:p>
    <w:p w14:paraId="038252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Мероприятия по усилению планера проводились и в других округах. Например, 44-й </w:t>
      </w:r>
      <w:proofErr w:type="spellStart"/>
      <w:r w:rsidRPr="00A259BD">
        <w:rPr>
          <w:rFonts w:ascii="Times New Roman" w:hAnsi="Times New Roman"/>
          <w:color w:val="000000" w:themeColor="text1"/>
          <w:sz w:val="16"/>
          <w:szCs w:val="16"/>
        </w:rPr>
        <w:t>ао</w:t>
      </w:r>
      <w:proofErr w:type="spellEnd"/>
      <w:r w:rsidRPr="00A259BD">
        <w:rPr>
          <w:rFonts w:ascii="Times New Roman" w:hAnsi="Times New Roman"/>
          <w:color w:val="000000" w:themeColor="text1"/>
          <w:sz w:val="16"/>
          <w:szCs w:val="16"/>
        </w:rPr>
        <w:t xml:space="preserve"> из-за многочисленных поломок практически потерял боеспособность, но мастерские авиасклада № 7 самостоятельно, по оригинальной схеме, доработали девять Р-ЗЛД, обеспечив их дальнейшую безотказную службу.</w:t>
      </w:r>
    </w:p>
    <w:p w14:paraId="399DBF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Конечно, как у всякой новой машины, у Р-ЗЛД хватало недостатков (11985).</w:t>
      </w:r>
    </w:p>
    <w:p w14:paraId="73D120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D9D2B4" w14:textId="77777777" w:rsidR="00F402B5" w:rsidRPr="00A259BD" w:rsidRDefault="00F402B5"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 мая</w:t>
      </w:r>
      <w:r w:rsidRPr="00A259BD">
        <w:rPr>
          <w:rFonts w:ascii="Times New Roman" w:hAnsi="Times New Roman"/>
          <w:color w:val="000000" w:themeColor="text1"/>
          <w:sz w:val="16"/>
          <w:szCs w:val="16"/>
        </w:rPr>
        <w:t xml:space="preserve"> в 1929 году начался перелет семи самолётов </w:t>
      </w:r>
      <w:hyperlink r:id="rId44" w:tgtFrame="_blank" w:history="1">
        <w:r w:rsidRPr="00A259BD">
          <w:rPr>
            <w:rFonts w:ascii="Times New Roman" w:hAnsi="Times New Roman"/>
            <w:color w:val="000000" w:themeColor="text1"/>
            <w:sz w:val="16"/>
            <w:szCs w:val="16"/>
          </w:rPr>
          <w:t xml:space="preserve">«К-4» </w:t>
        </w:r>
      </w:hyperlink>
      <w:r w:rsidRPr="00A259BD">
        <w:rPr>
          <w:rFonts w:ascii="Times New Roman" w:hAnsi="Times New Roman"/>
          <w:color w:val="000000" w:themeColor="text1"/>
          <w:sz w:val="16"/>
          <w:szCs w:val="16"/>
        </w:rPr>
        <w:t>по маршруту Харьков-</w:t>
      </w:r>
      <w:proofErr w:type="spellStart"/>
      <w:r w:rsidRPr="00A259BD">
        <w:rPr>
          <w:rFonts w:ascii="Times New Roman" w:hAnsi="Times New Roman"/>
          <w:color w:val="000000" w:themeColor="text1"/>
          <w:sz w:val="16"/>
          <w:szCs w:val="16"/>
        </w:rPr>
        <w:t>Ростов</w:t>
      </w:r>
      <w:proofErr w:type="spellEnd"/>
      <w:r w:rsidRPr="00A259BD">
        <w:rPr>
          <w:rFonts w:ascii="Times New Roman" w:hAnsi="Times New Roman"/>
          <w:color w:val="000000" w:themeColor="text1"/>
          <w:sz w:val="16"/>
          <w:szCs w:val="16"/>
        </w:rPr>
        <w:t>-Сочи-Минводы-Тбилиси - первый в СССР массовый перелет пассажирских самолетов. На снимке «К-4» над Харьковом (14878).</w:t>
      </w:r>
    </w:p>
    <w:p w14:paraId="17752061" w14:textId="77777777" w:rsidR="00F402B5" w:rsidRPr="00A259BD" w:rsidRDefault="00F402B5" w:rsidP="009236E3">
      <w:pPr>
        <w:spacing w:after="0" w:line="240" w:lineRule="auto"/>
        <w:jc w:val="both"/>
        <w:rPr>
          <w:rFonts w:ascii="Times New Roman" w:hAnsi="Times New Roman"/>
          <w:color w:val="000000" w:themeColor="text1"/>
          <w:sz w:val="16"/>
          <w:szCs w:val="16"/>
        </w:rPr>
      </w:pPr>
    </w:p>
    <w:p w14:paraId="0367ECAE" w14:textId="77777777" w:rsidR="00F402B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44EF6E9B" w14:textId="77777777" w:rsidR="00F402B5" w:rsidRPr="00A259BD" w:rsidRDefault="00F402B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730E45" w14:textId="77777777" w:rsidR="00F402B5" w:rsidRPr="00A259BD" w:rsidRDefault="00F402B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мая 1929 в ходе двухчасового боя отряд </w:t>
      </w:r>
      <w:proofErr w:type="spellStart"/>
      <w:r w:rsidRPr="00A259BD">
        <w:rPr>
          <w:rFonts w:ascii="Times New Roman" w:hAnsi="Times New Roman"/>
          <w:color w:val="000000" w:themeColor="text1"/>
          <w:sz w:val="16"/>
          <w:szCs w:val="16"/>
        </w:rPr>
        <w:t>И.Е.Петрова</w:t>
      </w:r>
      <w:proofErr w:type="spellEnd"/>
      <w:r w:rsidRPr="00A259BD">
        <w:rPr>
          <w:rFonts w:ascii="Times New Roman" w:hAnsi="Times New Roman"/>
          <w:color w:val="000000" w:themeColor="text1"/>
          <w:sz w:val="16"/>
          <w:szCs w:val="16"/>
        </w:rPr>
        <w:t xml:space="preserve"> разгромил в Туркмении трехтысячный конный отряд басмачей Ибрагим-Бека и полуторатысячный Сеид-Хуссейна (3398,166).</w:t>
      </w:r>
    </w:p>
    <w:p w14:paraId="48F73E5D" w14:textId="77777777" w:rsidR="00F402B5" w:rsidRPr="00A259BD" w:rsidRDefault="00F402B5" w:rsidP="009236E3">
      <w:pPr>
        <w:autoSpaceDE w:val="0"/>
        <w:autoSpaceDN w:val="0"/>
        <w:adjustRightInd w:val="0"/>
        <w:spacing w:after="0" w:line="240" w:lineRule="auto"/>
        <w:jc w:val="both"/>
        <w:rPr>
          <w:rFonts w:ascii="Times New Roman" w:hAnsi="Times New Roman"/>
          <w:color w:val="000000" w:themeColor="text1"/>
          <w:sz w:val="16"/>
          <w:szCs w:val="16"/>
        </w:rPr>
      </w:pPr>
    </w:p>
    <w:p w14:paraId="502052B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311598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A32704" w14:textId="77777777" w:rsidR="00F402B5" w:rsidRPr="00A259BD" w:rsidRDefault="00F402B5"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 мая</w:t>
      </w:r>
      <w:r w:rsidRPr="00A259BD">
        <w:rPr>
          <w:rFonts w:ascii="Times New Roman" w:hAnsi="Times New Roman"/>
          <w:color w:val="000000" w:themeColor="text1"/>
          <w:sz w:val="16"/>
          <w:szCs w:val="16"/>
        </w:rPr>
        <w:t xml:space="preserve"> в 1929 году в Берлине, Германия, в течение трех дней происходят столкновения между демонстрантами-коммунистами и полицией, в результате которых погибают 15 человек (14878).</w:t>
      </w:r>
    </w:p>
    <w:p w14:paraId="4D1CA20A" w14:textId="77777777" w:rsidR="00F402B5" w:rsidRPr="00A259BD" w:rsidRDefault="00F402B5" w:rsidP="009236E3">
      <w:pPr>
        <w:spacing w:after="0" w:line="240" w:lineRule="auto"/>
        <w:jc w:val="both"/>
        <w:rPr>
          <w:rFonts w:ascii="Times New Roman" w:hAnsi="Times New Roman"/>
          <w:color w:val="000000" w:themeColor="text1"/>
          <w:sz w:val="16"/>
          <w:szCs w:val="16"/>
        </w:rPr>
      </w:pPr>
    </w:p>
    <w:p w14:paraId="5E8145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мая 1929 в Берлине в ходе столкновений между демонстрантами-коммунистами и полицией погибло 15 чел. (3907,156).</w:t>
      </w:r>
    </w:p>
    <w:p w14:paraId="20525B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29091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мая 1929 была забастовка на предприятиях Англо-Иранской нефтяной компании в Иране (3960, 172).</w:t>
      </w:r>
    </w:p>
    <w:p w14:paraId="4F2FF5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EEEC0A" w14:textId="77777777" w:rsidR="00F402B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1E23192" w14:textId="77777777" w:rsidR="00F402B5" w:rsidRPr="00A259BD" w:rsidRDefault="00F402B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D948447" w14:textId="77777777" w:rsidR="00F402B5" w:rsidRPr="00A259BD" w:rsidRDefault="00F402B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мая в 1929 году первый полет немецкого </w:t>
      </w:r>
      <w:proofErr w:type="spellStart"/>
      <w:r w:rsidRPr="00A259BD">
        <w:rPr>
          <w:rFonts w:ascii="Times New Roman" w:hAnsi="Times New Roman"/>
          <w:color w:val="000000" w:themeColor="text1"/>
          <w:sz w:val="16"/>
          <w:szCs w:val="16"/>
        </w:rPr>
        <w:t>таранспортного</w:t>
      </w:r>
      <w:proofErr w:type="spellEnd"/>
      <w:r w:rsidRPr="00A259BD">
        <w:rPr>
          <w:rFonts w:ascii="Times New Roman" w:hAnsi="Times New Roman"/>
          <w:color w:val="000000" w:themeColor="text1"/>
          <w:sz w:val="16"/>
          <w:szCs w:val="16"/>
        </w:rPr>
        <w:t xml:space="preserve"> самолета </w:t>
      </w:r>
      <w:hyperlink r:id="rId45" w:tgtFrame="_blank" w:history="1">
        <w:r w:rsidRPr="00A259BD">
          <w:rPr>
            <w:rFonts w:ascii="Times New Roman" w:hAnsi="Times New Roman"/>
            <w:color w:val="000000" w:themeColor="text1"/>
            <w:sz w:val="16"/>
            <w:szCs w:val="16"/>
          </w:rPr>
          <w:t xml:space="preserve">«М.20b» </w:t>
        </w:r>
      </w:hyperlink>
      <w:r w:rsidRPr="00A259BD">
        <w:rPr>
          <w:rFonts w:ascii="Times New Roman" w:hAnsi="Times New Roman"/>
          <w:color w:val="000000" w:themeColor="text1"/>
          <w:sz w:val="16"/>
          <w:szCs w:val="16"/>
        </w:rPr>
        <w:t>(«D-1928», «</w:t>
      </w:r>
      <w:proofErr w:type="spellStart"/>
      <w:r w:rsidRPr="00A259BD">
        <w:rPr>
          <w:rFonts w:ascii="Times New Roman" w:hAnsi="Times New Roman"/>
          <w:color w:val="000000" w:themeColor="text1"/>
          <w:sz w:val="16"/>
          <w:szCs w:val="16"/>
        </w:rPr>
        <w:t>Rheinpfalz</w:t>
      </w:r>
      <w:proofErr w:type="spellEnd"/>
      <w:r w:rsidRPr="00A259BD">
        <w:rPr>
          <w:rFonts w:ascii="Times New Roman" w:hAnsi="Times New Roman"/>
          <w:color w:val="000000" w:themeColor="text1"/>
          <w:sz w:val="16"/>
          <w:szCs w:val="16"/>
        </w:rPr>
        <w:t xml:space="preserve">»). Передан «Deutsche Lufthansa» в июле 1930 года. 14 апреля 1931 года потерпел аварию близ </w:t>
      </w:r>
      <w:proofErr w:type="spellStart"/>
      <w:r w:rsidRPr="00A259BD">
        <w:rPr>
          <w:rFonts w:ascii="Times New Roman" w:hAnsi="Times New Roman"/>
          <w:color w:val="000000" w:themeColor="text1"/>
          <w:sz w:val="16"/>
          <w:szCs w:val="16"/>
        </w:rPr>
        <w:t>Рехлина</w:t>
      </w:r>
      <w:proofErr w:type="spellEnd"/>
      <w:r w:rsidRPr="00A259BD">
        <w:rPr>
          <w:rFonts w:ascii="Times New Roman" w:hAnsi="Times New Roman"/>
          <w:color w:val="000000" w:themeColor="text1"/>
          <w:sz w:val="16"/>
          <w:szCs w:val="16"/>
        </w:rPr>
        <w:t>. Погибли 2 члена экипажа (14879).</w:t>
      </w:r>
    </w:p>
    <w:p w14:paraId="75A39A9D" w14:textId="77777777" w:rsidR="00F402B5" w:rsidRPr="00A259BD" w:rsidRDefault="00F402B5" w:rsidP="009236E3">
      <w:pPr>
        <w:spacing w:after="0" w:line="240" w:lineRule="auto"/>
        <w:jc w:val="both"/>
        <w:rPr>
          <w:rFonts w:ascii="Times New Roman" w:hAnsi="Times New Roman"/>
          <w:color w:val="000000" w:themeColor="text1"/>
          <w:sz w:val="16"/>
          <w:szCs w:val="16"/>
        </w:rPr>
      </w:pPr>
    </w:p>
    <w:p w14:paraId="206F7EE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065611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4A1653" w14:textId="77777777" w:rsidR="00E15FE6" w:rsidRPr="00A259BD" w:rsidRDefault="00E15FE6"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3 мая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РЗ СТО СССР о плане эвакуации на 1929 г. (РГАЭ. Ф. 4372. Оп. 91. Д. 376. Л. 36?35) (12415).</w:t>
      </w:r>
    </w:p>
    <w:p w14:paraId="41477B3E" w14:textId="77777777" w:rsidR="00E15FE6" w:rsidRPr="00A259BD" w:rsidRDefault="00E15FE6" w:rsidP="009236E3">
      <w:pPr>
        <w:spacing w:after="0" w:line="240" w:lineRule="auto"/>
        <w:jc w:val="both"/>
        <w:rPr>
          <w:rFonts w:ascii="Times New Roman" w:hAnsi="Times New Roman"/>
          <w:color w:val="000000" w:themeColor="text1"/>
          <w:sz w:val="16"/>
          <w:szCs w:val="16"/>
          <w:u w:color="002060"/>
        </w:rPr>
      </w:pPr>
    </w:p>
    <w:p w14:paraId="6E4FD48F" w14:textId="77777777" w:rsidR="00E15FE6" w:rsidRPr="00A259BD" w:rsidRDefault="00E15FE6"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3 мая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Протокол заседания Политбюро ЦК ВКП(б) № 78. 2. О военной промышленности. (Политбюро... Т. 1. С. 686) (12416).</w:t>
      </w:r>
    </w:p>
    <w:p w14:paraId="079A6664" w14:textId="77777777" w:rsidR="00E15FE6" w:rsidRPr="00A259BD" w:rsidRDefault="00E15FE6" w:rsidP="009236E3">
      <w:pPr>
        <w:spacing w:after="0" w:line="240" w:lineRule="auto"/>
        <w:jc w:val="both"/>
        <w:rPr>
          <w:rFonts w:ascii="Times New Roman" w:hAnsi="Times New Roman"/>
          <w:color w:val="000000" w:themeColor="text1"/>
          <w:sz w:val="16"/>
          <w:szCs w:val="16"/>
          <w:u w:color="002060"/>
        </w:rPr>
      </w:pPr>
    </w:p>
    <w:p w14:paraId="4956C8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мая 1929 г. была подготовлена справка:</w:t>
      </w:r>
    </w:p>
    <w:p w14:paraId="214EC7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Совершенно секретно </w:t>
      </w:r>
    </w:p>
    <w:p w14:paraId="664492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Переговоры велись в Москве от 10 до 20 апреля 1929 г. С нашей стороны в переговорах участвовали: тт. Ксандров,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xml:space="preserve">, Урываев, </w:t>
      </w:r>
      <w:proofErr w:type="spellStart"/>
      <w:r w:rsidRPr="00A259BD">
        <w:rPr>
          <w:rFonts w:ascii="Times New Roman" w:hAnsi="Times New Roman"/>
          <w:color w:val="000000" w:themeColor="text1"/>
          <w:sz w:val="16"/>
          <w:szCs w:val="16"/>
        </w:rPr>
        <w:t>Будневич</w:t>
      </w:r>
      <w:proofErr w:type="spellEnd"/>
      <w:r w:rsidRPr="00A259BD">
        <w:rPr>
          <w:rFonts w:ascii="Times New Roman" w:hAnsi="Times New Roman"/>
          <w:color w:val="000000" w:themeColor="text1"/>
          <w:sz w:val="16"/>
          <w:szCs w:val="16"/>
        </w:rPr>
        <w:t xml:space="preserve">, Корзун и Иванов. Для обсуждения вопросов по специальностям привлекались тов. Оборин от </w:t>
      </w:r>
      <w:proofErr w:type="spellStart"/>
      <w:r w:rsidRPr="00A259BD">
        <w:rPr>
          <w:rFonts w:ascii="Times New Roman" w:hAnsi="Times New Roman"/>
          <w:color w:val="000000" w:themeColor="text1"/>
          <w:sz w:val="16"/>
          <w:szCs w:val="16"/>
        </w:rPr>
        <w:t>Главмашстроя</w:t>
      </w:r>
      <w:proofErr w:type="spellEnd"/>
      <w:r w:rsidRPr="00A259BD">
        <w:rPr>
          <w:rFonts w:ascii="Times New Roman" w:hAnsi="Times New Roman"/>
          <w:color w:val="000000" w:themeColor="text1"/>
          <w:sz w:val="16"/>
          <w:szCs w:val="16"/>
        </w:rPr>
        <w:t xml:space="preserve">, тов. </w:t>
      </w:r>
      <w:proofErr w:type="spellStart"/>
      <w:r w:rsidRPr="00A259BD">
        <w:rPr>
          <w:rFonts w:ascii="Times New Roman" w:hAnsi="Times New Roman"/>
          <w:color w:val="000000" w:themeColor="text1"/>
          <w:sz w:val="16"/>
          <w:szCs w:val="16"/>
        </w:rPr>
        <w:t>Hеймаер</w:t>
      </w:r>
      <w:proofErr w:type="spellEnd"/>
      <w:r w:rsidRPr="00A259BD">
        <w:rPr>
          <w:rFonts w:ascii="Times New Roman" w:hAnsi="Times New Roman"/>
          <w:color w:val="000000" w:themeColor="text1"/>
          <w:sz w:val="16"/>
          <w:szCs w:val="16"/>
        </w:rPr>
        <w:t xml:space="preserve"> от </w:t>
      </w:r>
      <w:proofErr w:type="spellStart"/>
      <w:r w:rsidRPr="00A259BD">
        <w:rPr>
          <w:rFonts w:ascii="Times New Roman" w:hAnsi="Times New Roman"/>
          <w:color w:val="000000" w:themeColor="text1"/>
          <w:sz w:val="16"/>
          <w:szCs w:val="16"/>
        </w:rPr>
        <w:t>Гомзы</w:t>
      </w:r>
      <w:proofErr w:type="spellEnd"/>
      <w:r w:rsidRPr="00A259BD">
        <w:rPr>
          <w:rFonts w:ascii="Times New Roman" w:hAnsi="Times New Roman"/>
          <w:color w:val="000000" w:themeColor="text1"/>
          <w:sz w:val="16"/>
          <w:szCs w:val="16"/>
        </w:rPr>
        <w:t xml:space="preserve">, тов. Григорович от </w:t>
      </w:r>
      <w:proofErr w:type="spellStart"/>
      <w:r w:rsidRPr="00A259BD">
        <w:rPr>
          <w:rFonts w:ascii="Times New Roman" w:hAnsi="Times New Roman"/>
          <w:color w:val="000000" w:themeColor="text1"/>
          <w:sz w:val="16"/>
          <w:szCs w:val="16"/>
        </w:rPr>
        <w:t>Hаучно</w:t>
      </w:r>
      <w:proofErr w:type="spellEnd"/>
      <w:r w:rsidRPr="00A259BD">
        <w:rPr>
          <w:rFonts w:ascii="Times New Roman" w:hAnsi="Times New Roman"/>
          <w:color w:val="000000" w:themeColor="text1"/>
          <w:sz w:val="16"/>
          <w:szCs w:val="16"/>
        </w:rPr>
        <w:t xml:space="preserve">-Технического Совета, Бутырин от </w:t>
      </w:r>
      <w:proofErr w:type="spellStart"/>
      <w:r w:rsidRPr="00A259BD">
        <w:rPr>
          <w:rFonts w:ascii="Times New Roman" w:hAnsi="Times New Roman"/>
          <w:color w:val="000000" w:themeColor="text1"/>
          <w:sz w:val="16"/>
          <w:szCs w:val="16"/>
        </w:rPr>
        <w:t>Главэлектро</w:t>
      </w:r>
      <w:proofErr w:type="spellEnd"/>
      <w:r w:rsidRPr="00A259BD">
        <w:rPr>
          <w:rFonts w:ascii="Times New Roman" w:hAnsi="Times New Roman"/>
          <w:color w:val="000000" w:themeColor="text1"/>
          <w:sz w:val="16"/>
          <w:szCs w:val="16"/>
        </w:rPr>
        <w:t xml:space="preserve">, тов. Пастухов от Орудийно-Арсенального треста и тт. Молодцов и Смирнов от АУ и </w:t>
      </w:r>
      <w:proofErr w:type="spellStart"/>
      <w:r w:rsidRPr="00A259BD">
        <w:rPr>
          <w:rFonts w:ascii="Times New Roman" w:hAnsi="Times New Roman"/>
          <w:color w:val="000000" w:themeColor="text1"/>
          <w:sz w:val="16"/>
          <w:szCs w:val="16"/>
        </w:rPr>
        <w:t>Hачальник</w:t>
      </w:r>
      <w:proofErr w:type="spellEnd"/>
      <w:r w:rsidRPr="00A259BD">
        <w:rPr>
          <w:rFonts w:ascii="Times New Roman" w:hAnsi="Times New Roman"/>
          <w:color w:val="000000" w:themeColor="text1"/>
          <w:sz w:val="16"/>
          <w:szCs w:val="16"/>
        </w:rPr>
        <w:t xml:space="preserve"> Снабжения РККА. В совещаниях по военным вопросам участвовал строго определенный круг лиц, по назначению тов. </w:t>
      </w:r>
      <w:proofErr w:type="spellStart"/>
      <w:r w:rsidRPr="00A259BD">
        <w:rPr>
          <w:rFonts w:ascii="Times New Roman" w:hAnsi="Times New Roman"/>
          <w:color w:val="000000" w:themeColor="text1"/>
          <w:sz w:val="16"/>
          <w:szCs w:val="16"/>
        </w:rPr>
        <w:t>Толоконцева</w:t>
      </w:r>
      <w:proofErr w:type="spellEnd"/>
      <w:r w:rsidRPr="00A259BD">
        <w:rPr>
          <w:rFonts w:ascii="Times New Roman" w:hAnsi="Times New Roman"/>
          <w:color w:val="000000" w:themeColor="text1"/>
          <w:sz w:val="16"/>
          <w:szCs w:val="16"/>
        </w:rPr>
        <w:t xml:space="preserve">. </w:t>
      </w:r>
    </w:p>
    <w:p w14:paraId="6FADBD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 стороны Круппа вели переговоры: проф. </w:t>
      </w:r>
      <w:proofErr w:type="spellStart"/>
      <w:r w:rsidRPr="00A259BD">
        <w:rPr>
          <w:rFonts w:ascii="Times New Roman" w:hAnsi="Times New Roman"/>
          <w:color w:val="000000" w:themeColor="text1"/>
          <w:sz w:val="16"/>
          <w:szCs w:val="16"/>
        </w:rPr>
        <w:t>Геренс</w:t>
      </w:r>
      <w:proofErr w:type="spellEnd"/>
      <w:r w:rsidRPr="00A259BD">
        <w:rPr>
          <w:rFonts w:ascii="Times New Roman" w:hAnsi="Times New Roman"/>
          <w:color w:val="000000" w:themeColor="text1"/>
          <w:sz w:val="16"/>
          <w:szCs w:val="16"/>
        </w:rPr>
        <w:t xml:space="preserve">, член </w:t>
      </w:r>
      <w:proofErr w:type="spellStart"/>
      <w:r w:rsidRPr="00A259BD">
        <w:rPr>
          <w:rFonts w:ascii="Times New Roman" w:hAnsi="Times New Roman"/>
          <w:color w:val="000000" w:themeColor="text1"/>
          <w:sz w:val="16"/>
          <w:szCs w:val="16"/>
        </w:rPr>
        <w:t>Директориума</w:t>
      </w:r>
      <w:proofErr w:type="spellEnd"/>
      <w:r w:rsidRPr="00A259BD">
        <w:rPr>
          <w:rFonts w:ascii="Times New Roman" w:hAnsi="Times New Roman"/>
          <w:color w:val="000000" w:themeColor="text1"/>
          <w:sz w:val="16"/>
          <w:szCs w:val="16"/>
        </w:rPr>
        <w:t xml:space="preserve"> Акционерного Общества Фридрих Крупп , глава делегации; д-р инженер </w:t>
      </w:r>
      <w:proofErr w:type="spellStart"/>
      <w:r w:rsidRPr="00A259BD">
        <w:rPr>
          <w:rFonts w:ascii="Times New Roman" w:hAnsi="Times New Roman"/>
          <w:color w:val="000000" w:themeColor="text1"/>
          <w:sz w:val="16"/>
          <w:szCs w:val="16"/>
        </w:rPr>
        <w:t>Грисман</w:t>
      </w:r>
      <w:proofErr w:type="spellEnd"/>
      <w:r w:rsidRPr="00A259BD">
        <w:rPr>
          <w:rFonts w:ascii="Times New Roman" w:hAnsi="Times New Roman"/>
          <w:color w:val="000000" w:themeColor="text1"/>
          <w:sz w:val="16"/>
          <w:szCs w:val="16"/>
        </w:rPr>
        <w:t xml:space="preserve"> - директор завода в Магдебурге Акционерного Общества Фридрих Крупп и </w:t>
      </w:r>
      <w:proofErr w:type="spellStart"/>
      <w:r w:rsidRPr="00A259BD">
        <w:rPr>
          <w:rFonts w:ascii="Times New Roman" w:hAnsi="Times New Roman"/>
          <w:color w:val="000000" w:themeColor="text1"/>
          <w:sz w:val="16"/>
          <w:szCs w:val="16"/>
        </w:rPr>
        <w:t>Бамбергер</w:t>
      </w:r>
      <w:proofErr w:type="spellEnd"/>
      <w:r w:rsidRPr="00A259BD">
        <w:rPr>
          <w:rFonts w:ascii="Times New Roman" w:hAnsi="Times New Roman"/>
          <w:color w:val="000000" w:themeColor="text1"/>
          <w:sz w:val="16"/>
          <w:szCs w:val="16"/>
        </w:rPr>
        <w:t xml:space="preserve"> - директор Восточного Отдела Акционерного Общества Фридрих Крупп . </w:t>
      </w:r>
    </w:p>
    <w:p w14:paraId="7738ED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Представители сторон имели ряд совещаний (протоколы и стенограммы велись систематически) по двум основным вопросам: о технической помощи в области мирной продукции (производство и обработка высокосортной стали, чугуна, специальные способы контроля над процессом производства) и о технической помощи в области специальной - военного производства. </w:t>
      </w:r>
    </w:p>
    <w:p w14:paraId="5DFD8B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Результаты переговоров могут быть представлены в следующих положениях: </w:t>
      </w:r>
    </w:p>
    <w:p w14:paraId="62E4E6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 Срок действия договора, со дня его подписания и утверждения, устанавливается на 10 лет; </w:t>
      </w:r>
    </w:p>
    <w:p w14:paraId="027C2C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II. Объектом договора является техническое содействие фирмы Крупп советской промышленности в области мирного и военного производств. Фирма Крупп передает Советской стороне весь накопленный ею опыт и знания во всех областях производства, которые являются ее специальностью или которые ей приходилось изучать. Для осуществления этого содействия фирма Крупп представляет возможность советской стороне изучать на своих заводах, лабораториях и полигонах как всю постановку работы фирмы Крупп в целом, так и отдельные вопросы по нашему выбору. Конструкторское Бюро фирмы в Эссене должно быть соответственно расширено для обслуживания советских требований. Если Советская сторона пожелает, Конструкторское Бюро будет организовано в СССР. Помимо указаний в области постановки новых в СССР методов производств, заимствованных у фирмы Круппа , фирма Круппа обязана давать указания и по вопросам технически правильной и рациональной организации производства вообще. Фирма Круппа по требованию Советской стороны обязана командировать к нам потребное количество инструкторов надлежащей квалификации и по нашим специальным требованиям. Советская сторона имеет право командировать во все учреждения Круппа , в том числе и в Конструкторское Бюро в Эссене, необходимое количество своих инженеров и работников. </w:t>
      </w:r>
    </w:p>
    <w:p w14:paraId="70BC58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III. Представители фирмы Круппа сделали, однако, следующие существенные оговорки в области специального военного производства. </w:t>
      </w:r>
    </w:p>
    <w:p w14:paraId="04A64C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Все, что фирма Круппа имела в области производства опыта и знаний до 1918 г., безоговорочно может быть "передано" нам для изучения и введения у себя. </w:t>
      </w:r>
    </w:p>
    <w:p w14:paraId="7ACD8C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Достижения периода времени от 1918 г. по день подписания договора могут быть нам "переданы" лишь с согласия Рейхсвера, хотя это согласие заранее обеспечено. </w:t>
      </w:r>
    </w:p>
    <w:p w14:paraId="3A957F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w:t>
      </w:r>
      <w:proofErr w:type="spellStart"/>
      <w:r w:rsidRPr="00A259BD">
        <w:rPr>
          <w:rFonts w:ascii="Times New Roman" w:hAnsi="Times New Roman"/>
          <w:color w:val="000000" w:themeColor="text1"/>
          <w:sz w:val="16"/>
          <w:szCs w:val="16"/>
        </w:rPr>
        <w:t>Hовые</w:t>
      </w:r>
      <w:proofErr w:type="spellEnd"/>
      <w:r w:rsidRPr="00A259BD">
        <w:rPr>
          <w:rFonts w:ascii="Times New Roman" w:hAnsi="Times New Roman"/>
          <w:color w:val="000000" w:themeColor="text1"/>
          <w:sz w:val="16"/>
          <w:szCs w:val="16"/>
        </w:rPr>
        <w:t xml:space="preserve"> конструкции и изобретения в течение действия договора "передаются" нам каждый раз с согласия германского правительства. </w:t>
      </w:r>
    </w:p>
    <w:p w14:paraId="145389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Все, что достигнуто фирмой Круппа совместно с фирмой </w:t>
      </w:r>
      <w:proofErr w:type="spellStart"/>
      <w:r w:rsidRPr="00A259BD">
        <w:rPr>
          <w:rFonts w:ascii="Times New Roman" w:hAnsi="Times New Roman"/>
          <w:color w:val="000000" w:themeColor="text1"/>
          <w:sz w:val="16"/>
          <w:szCs w:val="16"/>
        </w:rPr>
        <w:t>Бофорс</w:t>
      </w:r>
      <w:proofErr w:type="spellEnd"/>
      <w:r w:rsidRPr="00A259BD">
        <w:rPr>
          <w:rFonts w:ascii="Times New Roman" w:hAnsi="Times New Roman"/>
          <w:color w:val="000000" w:themeColor="text1"/>
          <w:sz w:val="16"/>
          <w:szCs w:val="16"/>
        </w:rPr>
        <w:t xml:space="preserve"> в Швеции, "передается" нам с согласия этой фирмы. Фирма Круппа предложила свое посредничество по установлению сотрудничества между советскими заводами и фирмой </w:t>
      </w:r>
      <w:proofErr w:type="spellStart"/>
      <w:r w:rsidRPr="00A259BD">
        <w:rPr>
          <w:rFonts w:ascii="Times New Roman" w:hAnsi="Times New Roman"/>
          <w:color w:val="000000" w:themeColor="text1"/>
          <w:sz w:val="16"/>
          <w:szCs w:val="16"/>
        </w:rPr>
        <w:t>Бофорс</w:t>
      </w:r>
      <w:proofErr w:type="spellEnd"/>
      <w:r w:rsidRPr="00A259BD">
        <w:rPr>
          <w:rFonts w:ascii="Times New Roman" w:hAnsi="Times New Roman"/>
          <w:color w:val="000000" w:themeColor="text1"/>
          <w:sz w:val="16"/>
          <w:szCs w:val="16"/>
        </w:rPr>
        <w:t xml:space="preserve">, если бы мы этого пожелали. </w:t>
      </w:r>
    </w:p>
    <w:p w14:paraId="63C715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IV. Содержание русского отдела в Конструкторском Бюро в Эссене, содержание советских сотрудников, которые будут командированы для работы у Круппа , и инженеров-конструкторов, которые будут командированы Круппом в СССР, должно отдельно, по себестоимости оплачиваться Советской стороной. Советской стороной в течение переговоров было выработано уточненное определение "Объема и характера технического содействия". Внесена существенная поправка о том, что советские инженеры вводятся в состав Конструкторского Бюро в Эссене, а не просто образуется - "русский отдел" при этом бюро. </w:t>
      </w:r>
    </w:p>
    <w:p w14:paraId="6792C6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VI. (...) Существенные разногласия выявились в вопросе о сроках и размерах платежей по обеим частям договора о техническом содействии. Представители фирмы Круппа , отказавшись от начального своего запроса - 2-х миллионов американских долларов, с уплатой из них в первые два года 1 500 000 американских долларов, сделали следующее заявление: советская машиностроительная промышленность уплачивает фирме Крупп 1 850 000 американских долларов нижеследующим образом: при подписании договора 500 тыс. американских долларов, через 6 месяцев - 125 тыс. долларов, через 9 месяцев - 100 тыс. Долларов</w:t>
      </w:r>
    </w:p>
    <w:p w14:paraId="04D4DA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ЦГАСА. Ф. 33987. Оп. 3. Д. 295. Л. 227. (11448).</w:t>
      </w:r>
    </w:p>
    <w:p w14:paraId="74C703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1E01AA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D6C52C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FAFDC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мая 1929 </w:t>
      </w:r>
      <w:proofErr w:type="spellStart"/>
      <w:r w:rsidRPr="00A259BD">
        <w:rPr>
          <w:rFonts w:ascii="Times New Roman" w:hAnsi="Times New Roman"/>
          <w:color w:val="000000" w:themeColor="text1"/>
          <w:sz w:val="16"/>
          <w:szCs w:val="16"/>
        </w:rPr>
        <w:t>М.М.Громов</w:t>
      </w:r>
      <w:proofErr w:type="spellEnd"/>
      <w:r w:rsidRPr="00A259BD">
        <w:rPr>
          <w:rFonts w:ascii="Times New Roman" w:hAnsi="Times New Roman"/>
          <w:color w:val="000000" w:themeColor="text1"/>
          <w:sz w:val="16"/>
          <w:szCs w:val="16"/>
        </w:rPr>
        <w:t xml:space="preserve"> поднял АНТ-9 в воздух (438,593).</w:t>
      </w:r>
    </w:p>
    <w:p w14:paraId="38AEF1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A60DD9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мая 1929 г. состоялся первый полет пассажирского самолета АНТ-9 (6395).</w:t>
      </w:r>
    </w:p>
    <w:p w14:paraId="61222AC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D0A361" w14:textId="77777777" w:rsidR="00F402B5" w:rsidRPr="00A259BD" w:rsidRDefault="00F402B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мая в 1929 году первый полет пассажирского самолета </w:t>
      </w:r>
      <w:hyperlink r:id="rId46" w:tgtFrame="_blank" w:history="1">
        <w:r w:rsidRPr="00A259BD">
          <w:rPr>
            <w:rFonts w:ascii="Times New Roman" w:hAnsi="Times New Roman"/>
            <w:color w:val="000000" w:themeColor="text1"/>
            <w:sz w:val="16"/>
            <w:szCs w:val="16"/>
          </w:rPr>
          <w:t xml:space="preserve">«АНТ-9», </w:t>
        </w:r>
      </w:hyperlink>
      <w:r w:rsidRPr="00A259BD">
        <w:rPr>
          <w:rFonts w:ascii="Times New Roman" w:hAnsi="Times New Roman"/>
          <w:color w:val="000000" w:themeColor="text1"/>
          <w:sz w:val="16"/>
          <w:szCs w:val="16"/>
        </w:rPr>
        <w:t xml:space="preserve">М.М. Громов. «АНТ-9» является первым советским многомоторным летательным аппаратом, специализирующимся на пассажирских перевозках. Разработками проекта занимались в ОКБ Туполева. Самолет представлял собой </w:t>
      </w:r>
      <w:proofErr w:type="spellStart"/>
      <w:r w:rsidRPr="00A259BD">
        <w:rPr>
          <w:rFonts w:ascii="Times New Roman" w:hAnsi="Times New Roman"/>
          <w:color w:val="000000" w:themeColor="text1"/>
          <w:sz w:val="16"/>
          <w:szCs w:val="16"/>
        </w:rPr>
        <w:t>верхнеплан</w:t>
      </w:r>
      <w:proofErr w:type="spellEnd"/>
      <w:r w:rsidRPr="00A259BD">
        <w:rPr>
          <w:rFonts w:ascii="Times New Roman" w:hAnsi="Times New Roman"/>
          <w:color w:val="000000" w:themeColor="text1"/>
          <w:sz w:val="16"/>
          <w:szCs w:val="16"/>
        </w:rPr>
        <w:t xml:space="preserve"> с консолями крыла от военного «АНТ-7» и мог принимать на борт до 9 пассажиров при двух членах экипажа. Максимальная скорость составляла 209 км/ч, а дальность с полной коммерческой нагрузкой - 1000 км. Всего было изготовлено 130 машин данной модели, которые работали на линиях авиакомпаний </w:t>
      </w:r>
      <w:proofErr w:type="spellStart"/>
      <w:r w:rsidRPr="00A259BD">
        <w:rPr>
          <w:rFonts w:ascii="Times New Roman" w:hAnsi="Times New Roman"/>
          <w:color w:val="000000" w:themeColor="text1"/>
          <w:sz w:val="16"/>
          <w:szCs w:val="16"/>
        </w:rPr>
        <w:t>Добролёт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Дерулюфт</w:t>
      </w:r>
      <w:proofErr w:type="spellEnd"/>
      <w:r w:rsidRPr="00A259BD">
        <w:rPr>
          <w:rFonts w:ascii="Times New Roman" w:hAnsi="Times New Roman"/>
          <w:color w:val="000000" w:themeColor="text1"/>
          <w:sz w:val="16"/>
          <w:szCs w:val="16"/>
        </w:rPr>
        <w:t xml:space="preserve">, потом на линиях Средней Азии и Закавказья. Участвовал в перелете по Европе - "Крылья Советов" в 1929 г. Входил в состав </w:t>
      </w:r>
      <w:proofErr w:type="spellStart"/>
      <w:r w:rsidRPr="00A259BD">
        <w:rPr>
          <w:rFonts w:ascii="Times New Roman" w:hAnsi="Times New Roman"/>
          <w:color w:val="000000" w:themeColor="text1"/>
          <w:sz w:val="16"/>
          <w:szCs w:val="16"/>
        </w:rPr>
        <w:t>агитэскадрильи</w:t>
      </w:r>
      <w:proofErr w:type="spellEnd"/>
      <w:r w:rsidRPr="00A259BD">
        <w:rPr>
          <w:rFonts w:ascii="Times New Roman" w:hAnsi="Times New Roman"/>
          <w:color w:val="000000" w:themeColor="text1"/>
          <w:sz w:val="16"/>
          <w:szCs w:val="16"/>
        </w:rPr>
        <w:t xml:space="preserve"> имени </w:t>
      </w:r>
      <w:proofErr w:type="spellStart"/>
      <w:r w:rsidRPr="00A259BD">
        <w:rPr>
          <w:rFonts w:ascii="Times New Roman" w:hAnsi="Times New Roman"/>
          <w:color w:val="000000" w:themeColor="text1"/>
          <w:sz w:val="16"/>
          <w:szCs w:val="16"/>
        </w:rPr>
        <w:t>М.Горького</w:t>
      </w:r>
      <w:proofErr w:type="spellEnd"/>
      <w:r w:rsidRPr="00A259BD">
        <w:rPr>
          <w:rFonts w:ascii="Times New Roman" w:hAnsi="Times New Roman"/>
          <w:color w:val="000000" w:themeColor="text1"/>
          <w:sz w:val="16"/>
          <w:szCs w:val="16"/>
        </w:rPr>
        <w:t xml:space="preserve"> - "Крокодил";</w:t>
      </w:r>
    </w:p>
    <w:p w14:paraId="3D18C72F" w14:textId="77777777" w:rsidR="00F402B5" w:rsidRPr="00A259BD" w:rsidRDefault="00F402B5" w:rsidP="009236E3">
      <w:pPr>
        <w:spacing w:after="0" w:line="240" w:lineRule="auto"/>
        <w:jc w:val="both"/>
        <w:rPr>
          <w:rFonts w:ascii="Times New Roman" w:hAnsi="Times New Roman"/>
          <w:color w:val="000000" w:themeColor="text1"/>
          <w:sz w:val="16"/>
          <w:szCs w:val="16"/>
        </w:rPr>
      </w:pPr>
    </w:p>
    <w:p w14:paraId="7A9E3528" w14:textId="77777777" w:rsidR="004B3E82" w:rsidRPr="00A259BD" w:rsidRDefault="004B3E82" w:rsidP="009236E3">
      <w:pPr>
        <w:pStyle w:val="ae"/>
        <w:shd w:val="clear" w:color="auto" w:fill="FFFFFF"/>
        <w:spacing w:before="0" w:after="0"/>
        <w:jc w:val="both"/>
        <w:textAlignment w:val="baseline"/>
        <w:rPr>
          <w:color w:val="000000" w:themeColor="text1"/>
          <w:sz w:val="16"/>
          <w:szCs w:val="16"/>
        </w:rPr>
      </w:pPr>
      <w:r w:rsidRPr="00A259BD">
        <w:rPr>
          <w:color w:val="000000" w:themeColor="text1"/>
          <w:sz w:val="16"/>
          <w:szCs w:val="16"/>
        </w:rPr>
        <w:t>5 мая 1929 года, впервые поднялся в воздух первый и единственный в довоенные годы крупносерийный советский авиалайнер АНТ-9 (ПС-9). С 1930 по 1935 год было выпущено ровно 100 таких машин, ставших первыми «рабочими лошадками» Аэрофлота. Они обслуживали многие маршруты, но больше всего их летало на Дальнем Востоке, в Сибири и Средней Азии. С этим самолетом связан первый в СССР случай воздушного терроризма. В 1938 году вооруженный пассажир, взяв экипаж в заложники, заставил его перелететь границу и совершить посадку в Иране. Машину иранцы вернули, а дальнейшая судьба угонщика — неизвестна.</w:t>
      </w:r>
    </w:p>
    <w:p w14:paraId="226A2CA1" w14:textId="77777777" w:rsidR="004B3E82" w:rsidRPr="00A259BD" w:rsidRDefault="004B3E82" w:rsidP="009236E3">
      <w:pPr>
        <w:pStyle w:val="ae"/>
        <w:shd w:val="clear" w:color="auto" w:fill="FFFFFF"/>
        <w:spacing w:before="0" w:after="0"/>
        <w:jc w:val="both"/>
        <w:textAlignment w:val="baseline"/>
        <w:rPr>
          <w:color w:val="000000" w:themeColor="text1"/>
          <w:sz w:val="16"/>
          <w:szCs w:val="16"/>
        </w:rPr>
      </w:pPr>
      <w:r w:rsidRPr="00A259BD">
        <w:rPr>
          <w:color w:val="000000" w:themeColor="text1"/>
          <w:sz w:val="16"/>
          <w:szCs w:val="16"/>
        </w:rPr>
        <w:t>До начала войны АНТ-9/ПС-9 возили пассажиров и грузы, а потом были мобилизованы и использовались как военные транспортники. Им приходилось летать к партизанам за линию фронта и забрасывать разведчиков-парашютистов во вражеский тыл. Последний из них списали по износу в 1944 году. К сожалению, ни одного музейного экземпляра АНТ-9 не сохранилось.  А на заставке — наиболее живописный представитель этого семейства, входивший в агитационную эскадрилью имени Максима Горького и декорированный под эмблему популярного сатирического журнала «Крокодил».</w:t>
      </w:r>
    </w:p>
    <w:p w14:paraId="5E3EE1F2" w14:textId="77777777" w:rsidR="004B3E82" w:rsidRPr="00A259BD" w:rsidRDefault="004B3E82" w:rsidP="009236E3">
      <w:pPr>
        <w:pStyle w:val="wp-caption-text"/>
        <w:shd w:val="clear" w:color="auto" w:fill="FFFFFF"/>
        <w:spacing w:before="0" w:beforeAutospacing="0" w:after="0" w:afterAutospacing="0"/>
        <w:jc w:val="both"/>
        <w:textAlignment w:val="baseline"/>
        <w:rPr>
          <w:color w:val="000000" w:themeColor="text1"/>
          <w:sz w:val="16"/>
          <w:szCs w:val="16"/>
        </w:rPr>
      </w:pPr>
      <w:r w:rsidRPr="00A259BD">
        <w:rPr>
          <w:rStyle w:val="a7"/>
          <w:b w:val="0"/>
          <w:color w:val="000000" w:themeColor="text1"/>
          <w:sz w:val="16"/>
          <w:szCs w:val="16"/>
          <w:bdr w:val="none" w:sz="0" w:space="0" w:color="auto" w:frame="1"/>
        </w:rPr>
        <w:t>Как это обычно бывало в Советском Союзе, пассажирский АНТ-9 создавался на базе военной машины — дальнего разведчика АНТ-7 (Р-6). От него авиалайнеру досталось крыло и хвостовое оперение (19189).</w:t>
      </w:r>
    </w:p>
    <w:p w14:paraId="2D6EE95E" w14:textId="77777777" w:rsidR="004B3E82" w:rsidRPr="00A259BD" w:rsidRDefault="004B3E82" w:rsidP="009236E3">
      <w:pPr>
        <w:pStyle w:val="ae"/>
        <w:shd w:val="clear" w:color="auto" w:fill="FFFFFF"/>
        <w:spacing w:before="0" w:after="0"/>
        <w:jc w:val="both"/>
        <w:textAlignment w:val="baseline"/>
        <w:rPr>
          <w:color w:val="000000" w:themeColor="text1"/>
          <w:sz w:val="16"/>
          <w:szCs w:val="16"/>
        </w:rPr>
      </w:pPr>
    </w:p>
    <w:p w14:paraId="12FB769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400741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7260E9" w14:textId="77777777" w:rsidR="00CD77B7" w:rsidRPr="00A259BD" w:rsidRDefault="00CD77B7"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мая 1929 г. начальник летной школы Астахов утвердил акт комиссии о допуске Г-5 к летным испытаниям. Самолет, пилотируемый конструктором, совершил более 20 полетов, после чего их пришлось прекратить по причине изношенности старенького двигателя.</w:t>
      </w:r>
    </w:p>
    <w:p w14:paraId="2EFC9A38" w14:textId="77777777" w:rsidR="00CD77B7" w:rsidRPr="00A259BD" w:rsidRDefault="00CD77B7"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1926 г. Грибовский совместно с летчиком Юмашевым (впоследствии - участником знаменитого перелета в Америку на АНТ-25) начинает строить свой первый самолет Г-4, задуманный как легкий, одноместный самолет связи. Г-4 представлял собой миниатюрный, подкосный высокоплан, снабженный двигателем Бристоль «</w:t>
      </w:r>
      <w:proofErr w:type="spellStart"/>
      <w:r w:rsidRPr="00A259BD">
        <w:rPr>
          <w:rFonts w:ascii="Times New Roman" w:hAnsi="Times New Roman"/>
          <w:color w:val="000000" w:themeColor="text1"/>
          <w:sz w:val="16"/>
          <w:szCs w:val="16"/>
        </w:rPr>
        <w:t>Черуб</w:t>
      </w:r>
      <w:proofErr w:type="spellEnd"/>
      <w:r w:rsidRPr="00A259BD">
        <w:rPr>
          <w:rFonts w:ascii="Times New Roman" w:hAnsi="Times New Roman"/>
          <w:color w:val="000000" w:themeColor="text1"/>
          <w:sz w:val="16"/>
          <w:szCs w:val="16"/>
        </w:rPr>
        <w:t>» мощностью в 30 л.с. Были изготовлены основные детали самолета, собран фюзеляж, но закончить его постройку не удалось.</w:t>
      </w:r>
    </w:p>
    <w:p w14:paraId="2BB52C70" w14:textId="77777777" w:rsidR="00CD77B7" w:rsidRPr="00A259BD" w:rsidRDefault="00CD77B7"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1927 г. школу «</w:t>
      </w:r>
      <w:proofErr w:type="spellStart"/>
      <w:r w:rsidRPr="00A259BD">
        <w:rPr>
          <w:rFonts w:ascii="Times New Roman" w:hAnsi="Times New Roman"/>
          <w:color w:val="000000" w:themeColor="text1"/>
          <w:sz w:val="16"/>
          <w:szCs w:val="16"/>
        </w:rPr>
        <w:t>Стрельбом</w:t>
      </w:r>
      <w:proofErr w:type="spellEnd"/>
      <w:r w:rsidRPr="00A259BD">
        <w:rPr>
          <w:rFonts w:ascii="Times New Roman" w:hAnsi="Times New Roman"/>
          <w:color w:val="000000" w:themeColor="text1"/>
          <w:sz w:val="16"/>
          <w:szCs w:val="16"/>
        </w:rPr>
        <w:t>» перевели в Оренбург, с ней уехал и Грибовский, а его коллега Юмашев получил назначение в Москву.</w:t>
      </w:r>
    </w:p>
    <w:p w14:paraId="60769336" w14:textId="77777777" w:rsidR="00CD77B7" w:rsidRPr="00A259BD" w:rsidRDefault="00CD77B7"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Освоившись на новом месте, Грибовский приступил к проектированию следующего спортивного самолета - Г-5. </w:t>
      </w:r>
    </w:p>
    <w:p w14:paraId="3FFA663E" w14:textId="77777777" w:rsidR="00CD77B7" w:rsidRPr="00A259BD" w:rsidRDefault="00CD77B7"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Г-5 представлял собой достаточно элегантный свободнонесущий моноплан спортивного назначения. При его создании конструктор использовал опыт постройки своих первых планеров.</w:t>
      </w:r>
    </w:p>
    <w:p w14:paraId="04313A62" w14:textId="77777777" w:rsidR="00CD77B7" w:rsidRPr="00A259BD" w:rsidRDefault="00CD77B7"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Силовая установка состояла из двухцилиндрового перевернутого V-образного мотора «</w:t>
      </w:r>
      <w:proofErr w:type="spellStart"/>
      <w:r w:rsidRPr="00A259BD">
        <w:rPr>
          <w:rFonts w:ascii="Times New Roman" w:hAnsi="Times New Roman"/>
          <w:color w:val="000000" w:themeColor="text1"/>
          <w:sz w:val="16"/>
          <w:szCs w:val="16"/>
        </w:rPr>
        <w:t>Блекберн</w:t>
      </w:r>
      <w:proofErr w:type="spellEnd"/>
      <w:r w:rsidRPr="00A259BD">
        <w:rPr>
          <w:rFonts w:ascii="Times New Roman" w:hAnsi="Times New Roman"/>
          <w:color w:val="000000" w:themeColor="text1"/>
          <w:sz w:val="16"/>
          <w:szCs w:val="16"/>
        </w:rPr>
        <w:t>» 18 ABC мощностью 18 л.с.</w:t>
      </w:r>
    </w:p>
    <w:p w14:paraId="6F997D9E" w14:textId="77777777" w:rsidR="00CD77B7" w:rsidRPr="00A259BD" w:rsidRDefault="00CD77B7"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Даже с таким слабеньким двигателем хорошая аэродинамика позволила получить на Г-5 неплохие скоростные показатели - 160 км/ч вместо 150 км/ч расчетных.</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05"/>
        <w:gridCol w:w="6617"/>
      </w:tblGrid>
      <w:tr w:rsidR="00A259BD" w:rsidRPr="00A259BD" w14:paraId="4F1BDC2E"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750331"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A08651D"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r w:rsidRPr="00A259BD">
              <w:rPr>
                <w:rFonts w:ascii="Times New Roman" w:hAnsi="Times New Roman"/>
                <w:color w:val="000000" w:themeColor="text1"/>
                <w:sz w:val="16"/>
                <w:szCs w:val="16"/>
                <w:lang w:val="uk-UA"/>
              </w:rPr>
              <w:t>Г-5</w:t>
            </w:r>
          </w:p>
        </w:tc>
      </w:tr>
      <w:tr w:rsidR="00A259BD" w:rsidRPr="00A259BD" w14:paraId="56DD9915"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DAB7F5"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Размах крыла, м</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3D03DBF"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9.00</w:t>
            </w:r>
          </w:p>
        </w:tc>
      </w:tr>
      <w:tr w:rsidR="00A259BD" w:rsidRPr="00A259BD" w14:paraId="0AAE7E00"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46AC86"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Длина </w:t>
            </w:r>
            <w:proofErr w:type="spellStart"/>
            <w:r w:rsidRPr="00A259BD">
              <w:rPr>
                <w:rFonts w:ascii="Times New Roman" w:hAnsi="Times New Roman"/>
                <w:color w:val="000000" w:themeColor="text1"/>
                <w:sz w:val="16"/>
                <w:szCs w:val="16"/>
              </w:rPr>
              <w:t>самолета,м</w:t>
            </w:r>
            <w:proofErr w:type="spellEnd"/>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85547C0"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5.10</w:t>
            </w:r>
          </w:p>
        </w:tc>
      </w:tr>
      <w:tr w:rsidR="00A259BD" w:rsidRPr="00A259BD" w14:paraId="13856D12"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3247308"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Высота </w:t>
            </w:r>
            <w:proofErr w:type="spellStart"/>
            <w:r w:rsidRPr="00A259BD">
              <w:rPr>
                <w:rFonts w:ascii="Times New Roman" w:hAnsi="Times New Roman"/>
                <w:color w:val="000000" w:themeColor="text1"/>
                <w:sz w:val="16"/>
                <w:szCs w:val="16"/>
              </w:rPr>
              <w:t>самолета,м</w:t>
            </w:r>
            <w:proofErr w:type="spellEnd"/>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85DDA1E"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r>
      <w:tr w:rsidR="00A259BD" w:rsidRPr="00A259BD" w14:paraId="27E78900"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0B5F98D"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крыла,м</w:t>
            </w:r>
            <w:r w:rsidRPr="00A259BD">
              <w:rPr>
                <w:rFonts w:ascii="Times New Roman" w:hAnsi="Times New Roman"/>
                <w:color w:val="000000" w:themeColor="text1"/>
                <w:sz w:val="16"/>
                <w:szCs w:val="16"/>
                <w:shd w:val="clear" w:color="auto" w:fill="F7FBFF"/>
              </w:rPr>
              <w:t>²</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0333790"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9.00</w:t>
            </w:r>
          </w:p>
        </w:tc>
      </w:tr>
      <w:tr w:rsidR="00A259BD" w:rsidRPr="00A259BD" w14:paraId="48C430E2"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87F8356"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Масса, кг</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EDE7F3D"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r>
      <w:tr w:rsidR="00A259BD" w:rsidRPr="00A259BD" w14:paraId="69FC4B96"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9943342"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пустого самолета</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57F26B2"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170</w:t>
            </w:r>
          </w:p>
        </w:tc>
      </w:tr>
      <w:tr w:rsidR="00A259BD" w:rsidRPr="00A259BD" w14:paraId="33F961FE"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EC99EE"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максимальная взлетная</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D9EA2C"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270</w:t>
            </w:r>
          </w:p>
        </w:tc>
      </w:tr>
      <w:tr w:rsidR="00A259BD" w:rsidRPr="00A259BD" w14:paraId="067FC678"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131161C"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Тип двигателя</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329D290"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1 ПД </w:t>
            </w:r>
            <w:proofErr w:type="spellStart"/>
            <w:r w:rsidRPr="00A259BD">
              <w:rPr>
                <w:rFonts w:ascii="Times New Roman" w:hAnsi="Times New Roman"/>
                <w:color w:val="000000" w:themeColor="text1"/>
                <w:sz w:val="16"/>
                <w:szCs w:val="16"/>
              </w:rPr>
              <w:t>Blackburn</w:t>
            </w:r>
            <w:proofErr w:type="spellEnd"/>
            <w:r w:rsidRPr="00A259BD">
              <w:rPr>
                <w:rFonts w:ascii="Times New Roman" w:hAnsi="Times New Roman"/>
                <w:color w:val="000000" w:themeColor="text1"/>
                <w:sz w:val="16"/>
                <w:szCs w:val="16"/>
              </w:rPr>
              <w:t xml:space="preserve"> 18 ABC</w:t>
            </w:r>
          </w:p>
        </w:tc>
      </w:tr>
      <w:tr w:rsidR="00A259BD" w:rsidRPr="00A259BD" w14:paraId="38B46C70"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ED949A"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Мощность, л.с.</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6ABBD4"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 х 18</w:t>
            </w:r>
          </w:p>
        </w:tc>
      </w:tr>
      <w:tr w:rsidR="00A259BD" w:rsidRPr="00A259BD" w14:paraId="71145E84"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CB0D5E8"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Максимальная скорость, км/ч</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70B2197"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130</w:t>
            </w:r>
          </w:p>
        </w:tc>
      </w:tr>
      <w:tr w:rsidR="00A259BD" w:rsidRPr="00A259BD" w14:paraId="34A91DB1"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57AE4CA"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Крейсерская скорость, км/ч</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A7F685"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105</w:t>
            </w:r>
          </w:p>
        </w:tc>
      </w:tr>
      <w:tr w:rsidR="00A259BD" w:rsidRPr="00A259BD" w14:paraId="6192D378"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6E4CCD1"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полета, ч</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2924CA3"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3</w:t>
            </w:r>
          </w:p>
        </w:tc>
      </w:tr>
      <w:tr w:rsidR="00A259BD" w:rsidRPr="00A259BD" w14:paraId="1DF770B3"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8C77CA8"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Скороподъемность, м/мин</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8061F9B"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r>
      <w:tr w:rsidR="00A259BD" w:rsidRPr="00A259BD" w14:paraId="2910747D"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8AB5261"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Практический потолок, м</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F84146E"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4500</w:t>
            </w:r>
          </w:p>
        </w:tc>
      </w:tr>
      <w:tr w:rsidR="00A259BD" w:rsidRPr="00A259BD" w14:paraId="112B5FB4"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519F8C"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Экипаж, чел</w:t>
            </w:r>
          </w:p>
        </w:tc>
        <w:tc>
          <w:tcPr>
            <w:tcW w:w="545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162AA49"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w:t>
            </w:r>
          </w:p>
        </w:tc>
      </w:tr>
    </w:tbl>
    <w:p w14:paraId="4803442C" w14:textId="77777777" w:rsidR="00CD77B7" w:rsidRPr="00A259BD" w:rsidRDefault="00CD77B7" w:rsidP="009236E3">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(12682).</w:t>
      </w:r>
    </w:p>
    <w:p w14:paraId="405B2646" w14:textId="77777777" w:rsidR="00CD77B7" w:rsidRPr="00A259BD" w:rsidRDefault="00CD77B7" w:rsidP="009236E3">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7234B1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мая 1929 Нач. Летной школы в Оренбурге Астахов утвердил акт комиссии о допуске Г-5 </w:t>
      </w:r>
      <w:proofErr w:type="spellStart"/>
      <w:r w:rsidRPr="00A259BD">
        <w:rPr>
          <w:rFonts w:ascii="Times New Roman" w:hAnsi="Times New Roman"/>
          <w:color w:val="000000" w:themeColor="text1"/>
          <w:sz w:val="16"/>
          <w:szCs w:val="16"/>
        </w:rPr>
        <w:t>В.К.Грибовского</w:t>
      </w:r>
      <w:proofErr w:type="spellEnd"/>
      <w:r w:rsidRPr="00A259BD">
        <w:rPr>
          <w:rFonts w:ascii="Times New Roman" w:hAnsi="Times New Roman"/>
          <w:color w:val="000000" w:themeColor="text1"/>
          <w:sz w:val="16"/>
          <w:szCs w:val="16"/>
        </w:rPr>
        <w:t xml:space="preserve"> к летным испытаниям. Пилотировал конструктор и выполнил более 20 полетов, пока не износился двигатель - Блэкберн 18 </w:t>
      </w:r>
      <w:proofErr w:type="spellStart"/>
      <w:r w:rsidRPr="00A259BD">
        <w:rPr>
          <w:rFonts w:ascii="Times New Roman" w:hAnsi="Times New Roman"/>
          <w:color w:val="000000" w:themeColor="text1"/>
          <w:sz w:val="16"/>
          <w:szCs w:val="16"/>
        </w:rPr>
        <w:t>нр</w:t>
      </w:r>
      <w:proofErr w:type="spellEnd"/>
      <w:r w:rsidRPr="00A259BD">
        <w:rPr>
          <w:rFonts w:ascii="Times New Roman" w:hAnsi="Times New Roman"/>
          <w:color w:val="000000" w:themeColor="text1"/>
          <w:sz w:val="16"/>
          <w:szCs w:val="16"/>
        </w:rPr>
        <w:t xml:space="preserve"> (9080).</w:t>
      </w:r>
    </w:p>
    <w:p w14:paraId="6A9B21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547EDB" w14:textId="77777777" w:rsidR="00F402B5" w:rsidRPr="00A259BD" w:rsidRDefault="00F402B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мая в 1929 году начальник летной школы Астахов утвердил акт комиссии о допуске легкого самолета </w:t>
      </w:r>
      <w:hyperlink r:id="rId47" w:tgtFrame="_blank" w:history="1">
        <w:r w:rsidRPr="00A259BD">
          <w:rPr>
            <w:rFonts w:ascii="Times New Roman" w:hAnsi="Times New Roman"/>
            <w:color w:val="000000" w:themeColor="text1"/>
            <w:sz w:val="16"/>
            <w:szCs w:val="16"/>
          </w:rPr>
          <w:t xml:space="preserve">«Г-5» </w:t>
        </w:r>
      </w:hyperlink>
      <w:r w:rsidRPr="00A259BD">
        <w:rPr>
          <w:rFonts w:ascii="Times New Roman" w:hAnsi="Times New Roman"/>
          <w:color w:val="000000" w:themeColor="text1"/>
          <w:sz w:val="16"/>
          <w:szCs w:val="16"/>
        </w:rPr>
        <w:t>к летным испытаниям. Самолет, пилотируемый конструктором, совершил более 20 полетов, после чего их пришлось прекратить по причине изношенности старенького двигателя. »Г-5» представлял собой достаточно элегантный свободнонесущий моноплан спортивного назначения. При его создании конструктор Грибовский использовал опыт постройки своих первых планеров. Силовая установка состояла из двухцилиндрового перевернутого V-образного мотора "</w:t>
      </w:r>
      <w:proofErr w:type="spellStart"/>
      <w:r w:rsidRPr="00A259BD">
        <w:rPr>
          <w:rFonts w:ascii="Times New Roman" w:hAnsi="Times New Roman"/>
          <w:color w:val="000000" w:themeColor="text1"/>
          <w:sz w:val="16"/>
          <w:szCs w:val="16"/>
        </w:rPr>
        <w:t>Блекберн</w:t>
      </w:r>
      <w:proofErr w:type="spellEnd"/>
      <w:r w:rsidRPr="00A259BD">
        <w:rPr>
          <w:rFonts w:ascii="Times New Roman" w:hAnsi="Times New Roman"/>
          <w:color w:val="000000" w:themeColor="text1"/>
          <w:sz w:val="16"/>
          <w:szCs w:val="16"/>
        </w:rPr>
        <w:t>" 18 «ABC» мощностью 18 л.с. Даже с таким слабеньким двигателем хорошая аэродинамика позволила получить на «Г-5» неплохие скоростные показатели - 160 км/ч вместо 150 км/ч расчетных (14883).</w:t>
      </w:r>
    </w:p>
    <w:p w14:paraId="30938AA6" w14:textId="77777777" w:rsidR="00F402B5" w:rsidRPr="00A259BD" w:rsidRDefault="00F402B5" w:rsidP="009236E3">
      <w:pPr>
        <w:spacing w:after="0" w:line="240" w:lineRule="auto"/>
        <w:jc w:val="both"/>
        <w:rPr>
          <w:rFonts w:ascii="Times New Roman" w:hAnsi="Times New Roman"/>
          <w:color w:val="000000" w:themeColor="text1"/>
          <w:sz w:val="16"/>
          <w:szCs w:val="16"/>
        </w:rPr>
      </w:pPr>
    </w:p>
    <w:p w14:paraId="6C2E30F8" w14:textId="77777777" w:rsidR="002F440B" w:rsidRPr="00A259BD" w:rsidRDefault="002F440B"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мая 1929 открылась воздушная почтовая линия Москва-Иркутск (4500 км), ставшая продолжением открытой в 1928 линии Москва-Новосибирск. Для ночных полетов были оборудованы участки Москва-Казань и Омск-Анжеро-Судженск. Летали на Фоккер Ц-4 (П-1) методом эстафеты за двое суток. Нерегулярно (438,598).</w:t>
      </w:r>
    </w:p>
    <w:p w14:paraId="43197B47" w14:textId="77777777" w:rsidR="002F440B" w:rsidRPr="00A259BD" w:rsidRDefault="002F440B" w:rsidP="009236E3">
      <w:pPr>
        <w:autoSpaceDE w:val="0"/>
        <w:autoSpaceDN w:val="0"/>
        <w:adjustRightInd w:val="0"/>
        <w:spacing w:after="0" w:line="240" w:lineRule="auto"/>
        <w:jc w:val="both"/>
        <w:rPr>
          <w:rFonts w:ascii="Times New Roman" w:hAnsi="Times New Roman"/>
          <w:color w:val="000000" w:themeColor="text1"/>
          <w:sz w:val="16"/>
          <w:szCs w:val="16"/>
        </w:rPr>
      </w:pPr>
    </w:p>
    <w:p w14:paraId="3AC6EC1F" w14:textId="77777777" w:rsidR="002F440B" w:rsidRPr="00A259BD" w:rsidRDefault="002F440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полночь 6 мая 1929 года пилот Борис Леонидович Цветков вылетел с Центрального аэродрома в Казань в пробный рейс с почтой, а 15 мая началась регулярная эксплуатация трассы Москва – Иркутск – Москва. В Новосибирске первая посадка была произведена 17 мая – рейс из Иркутска в Новосибирск выполнил опытный пилот Новосибирской аэростанции Иосиф Семенович Лапоногов. Продолжил эстафету на запад пилот Омской аэростанции Федор Николаевич Кононенко. Для открытия этой воздушной линии была выполнена огромная подготовительная работа. Трассу проектировали с учетом возможностей «Фоккера» С.IV. Поскольку его максимальная дальность полета составляла около 800 км, линию поделили на участки протяженностью, не превышающей этой величины. Помимо Москвы и Иркутска было организовано еще три базовых аэродрома – Свердловск, Омск и Красноярск, а также четыре промежуточных – Казань, Курган, Новосибирск и Нижнеудинск (21125).</w:t>
      </w:r>
    </w:p>
    <w:p w14:paraId="7C5D4044" w14:textId="77777777" w:rsidR="002F440B" w:rsidRPr="00A259BD" w:rsidRDefault="002F440B" w:rsidP="009236E3">
      <w:pPr>
        <w:spacing w:after="0" w:line="240" w:lineRule="auto"/>
        <w:jc w:val="both"/>
        <w:rPr>
          <w:rFonts w:ascii="Times New Roman" w:hAnsi="Times New Roman"/>
          <w:color w:val="000000" w:themeColor="text1"/>
          <w:sz w:val="16"/>
          <w:szCs w:val="16"/>
        </w:rPr>
      </w:pPr>
    </w:p>
    <w:p w14:paraId="60E9C33C" w14:textId="77777777" w:rsidR="008E7B07" w:rsidRPr="006B74EB" w:rsidRDefault="008E7B07" w:rsidP="008E7B07">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6 мая 1929 г. открылась </w:t>
      </w:r>
      <w:r w:rsidRPr="006B74EB">
        <w:rPr>
          <w:rFonts w:ascii="Times New Roman" w:hAnsi="Times New Roman"/>
          <w:color w:val="0070C0"/>
          <w:sz w:val="16"/>
          <w:szCs w:val="16"/>
        </w:rPr>
        <w:t>возду</w:t>
      </w:r>
      <w:r>
        <w:rPr>
          <w:rFonts w:ascii="Times New Roman" w:hAnsi="Times New Roman"/>
          <w:color w:val="0070C0"/>
          <w:sz w:val="16"/>
          <w:szCs w:val="16"/>
        </w:rPr>
        <w:t>ш</w:t>
      </w:r>
      <w:r w:rsidRPr="006B74EB">
        <w:rPr>
          <w:rFonts w:ascii="Times New Roman" w:hAnsi="Times New Roman"/>
          <w:color w:val="0070C0"/>
          <w:sz w:val="16"/>
          <w:szCs w:val="16"/>
        </w:rPr>
        <w:t xml:space="preserve">ная почтовая линия </w:t>
      </w:r>
      <w:proofErr w:type="spellStart"/>
      <w:r>
        <w:rPr>
          <w:rFonts w:ascii="Times New Roman" w:hAnsi="Times New Roman"/>
          <w:color w:val="0070C0"/>
          <w:sz w:val="16"/>
          <w:szCs w:val="16"/>
        </w:rPr>
        <w:t>М</w:t>
      </w:r>
      <w:r w:rsidRPr="006B74EB">
        <w:rPr>
          <w:rFonts w:ascii="Times New Roman" w:hAnsi="Times New Roman"/>
          <w:color w:val="0070C0"/>
          <w:sz w:val="16"/>
          <w:szCs w:val="16"/>
        </w:rPr>
        <w:t>ооква</w:t>
      </w:r>
      <w:proofErr w:type="spellEnd"/>
      <w:r w:rsidRPr="006B74EB">
        <w:rPr>
          <w:rFonts w:ascii="Times New Roman" w:hAnsi="Times New Roman"/>
          <w:color w:val="0070C0"/>
          <w:sz w:val="16"/>
          <w:szCs w:val="16"/>
        </w:rPr>
        <w:t>-Иркутск,</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самая </w:t>
      </w:r>
      <w:r>
        <w:rPr>
          <w:rFonts w:ascii="Times New Roman" w:hAnsi="Times New Roman"/>
          <w:color w:val="0070C0"/>
          <w:sz w:val="16"/>
          <w:szCs w:val="16"/>
        </w:rPr>
        <w:t>длинная</w:t>
      </w:r>
      <w:r w:rsidRPr="006B74EB">
        <w:rPr>
          <w:rFonts w:ascii="Times New Roman" w:hAnsi="Times New Roman"/>
          <w:color w:val="0070C0"/>
          <w:sz w:val="16"/>
          <w:szCs w:val="16"/>
        </w:rPr>
        <w:t xml:space="preserve"> в СССР /4500 км/,</w:t>
      </w:r>
      <w:r>
        <w:rPr>
          <w:rFonts w:ascii="Times New Roman" w:hAnsi="Times New Roman"/>
          <w:color w:val="0070C0"/>
          <w:sz w:val="16"/>
          <w:szCs w:val="16"/>
        </w:rPr>
        <w:t xml:space="preserve"> </w:t>
      </w:r>
      <w:r w:rsidRPr="006B74EB">
        <w:rPr>
          <w:rFonts w:ascii="Times New Roman" w:hAnsi="Times New Roman"/>
          <w:color w:val="0070C0"/>
          <w:sz w:val="16"/>
          <w:szCs w:val="16"/>
        </w:rPr>
        <w:t>став</w:t>
      </w:r>
      <w:r>
        <w:rPr>
          <w:rFonts w:ascii="Times New Roman" w:hAnsi="Times New Roman"/>
          <w:color w:val="0070C0"/>
          <w:sz w:val="16"/>
          <w:szCs w:val="16"/>
        </w:rPr>
        <w:t>ш</w:t>
      </w:r>
      <w:r w:rsidRPr="006B74EB">
        <w:rPr>
          <w:rFonts w:ascii="Times New Roman" w:hAnsi="Times New Roman"/>
          <w:color w:val="0070C0"/>
          <w:sz w:val="16"/>
          <w:szCs w:val="16"/>
        </w:rPr>
        <w:t>ая продолжением открытой в 1928 г</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Москва-Новосибирск. Участки </w:t>
      </w:r>
      <w:r>
        <w:rPr>
          <w:rFonts w:ascii="Times New Roman" w:hAnsi="Times New Roman"/>
          <w:color w:val="0070C0"/>
          <w:sz w:val="16"/>
          <w:szCs w:val="16"/>
        </w:rPr>
        <w:t>М</w:t>
      </w:r>
      <w:r w:rsidRPr="006B74EB">
        <w:rPr>
          <w:rFonts w:ascii="Times New Roman" w:hAnsi="Times New Roman"/>
          <w:color w:val="0070C0"/>
          <w:sz w:val="16"/>
          <w:szCs w:val="16"/>
        </w:rPr>
        <w:t>осква</w:t>
      </w:r>
      <w:r>
        <w:rPr>
          <w:rFonts w:ascii="Times New Roman" w:hAnsi="Times New Roman"/>
          <w:color w:val="0070C0"/>
          <w:sz w:val="16"/>
          <w:szCs w:val="16"/>
        </w:rPr>
        <w:t xml:space="preserve"> </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Казань ж Омск - </w:t>
      </w:r>
      <w:proofErr w:type="spellStart"/>
      <w:r w:rsidRPr="006B74EB">
        <w:rPr>
          <w:rFonts w:ascii="Times New Roman" w:hAnsi="Times New Roman"/>
          <w:color w:val="0070C0"/>
          <w:sz w:val="16"/>
          <w:szCs w:val="16"/>
        </w:rPr>
        <w:t>Анжеро</w:t>
      </w:r>
      <w:r>
        <w:rPr>
          <w:rFonts w:ascii="Times New Roman" w:hAnsi="Times New Roman"/>
          <w:color w:val="0070C0"/>
          <w:sz w:val="16"/>
          <w:szCs w:val="16"/>
        </w:rPr>
        <w:t>сужденск</w:t>
      </w:r>
      <w:proofErr w:type="spellEnd"/>
      <w:r w:rsidRPr="006B74EB">
        <w:rPr>
          <w:rFonts w:ascii="Times New Roman" w:hAnsi="Times New Roman"/>
          <w:color w:val="0070C0"/>
          <w:sz w:val="16"/>
          <w:szCs w:val="16"/>
        </w:rPr>
        <w:t xml:space="preserve"> были оборудованы для ночных полетов.</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Полеты начались на </w:t>
      </w:r>
      <w:r>
        <w:rPr>
          <w:rFonts w:ascii="Times New Roman" w:hAnsi="Times New Roman"/>
          <w:color w:val="0070C0"/>
          <w:sz w:val="16"/>
          <w:szCs w:val="16"/>
        </w:rPr>
        <w:t>но</w:t>
      </w:r>
      <w:r w:rsidRPr="006B74EB">
        <w:rPr>
          <w:rFonts w:ascii="Times New Roman" w:hAnsi="Times New Roman"/>
          <w:color w:val="0070C0"/>
          <w:sz w:val="16"/>
          <w:szCs w:val="16"/>
        </w:rPr>
        <w:t>вых самолетах Фоккер Ц-4 /П-1/ методом эстафеты к продолжа</w:t>
      </w:r>
      <w:r>
        <w:rPr>
          <w:rFonts w:ascii="Times New Roman" w:hAnsi="Times New Roman"/>
          <w:color w:val="0070C0"/>
          <w:sz w:val="16"/>
          <w:szCs w:val="16"/>
        </w:rPr>
        <w:t>лись</w:t>
      </w:r>
      <w:r w:rsidRPr="006B74EB">
        <w:rPr>
          <w:rFonts w:ascii="Times New Roman" w:hAnsi="Times New Roman"/>
          <w:color w:val="0070C0"/>
          <w:sz w:val="16"/>
          <w:szCs w:val="16"/>
        </w:rPr>
        <w:t xml:space="preserve"> около двух суток.</w:t>
      </w:r>
      <w:r>
        <w:rPr>
          <w:rFonts w:ascii="Times New Roman" w:hAnsi="Times New Roman"/>
          <w:color w:val="0070C0"/>
          <w:sz w:val="16"/>
          <w:szCs w:val="16"/>
        </w:rPr>
        <w:t xml:space="preserve"> Ж</w:t>
      </w:r>
      <w:r w:rsidRPr="006B74EB">
        <w:rPr>
          <w:rFonts w:ascii="Times New Roman" w:hAnsi="Times New Roman"/>
          <w:color w:val="0070C0"/>
          <w:sz w:val="16"/>
          <w:szCs w:val="16"/>
        </w:rPr>
        <w:t xml:space="preserve">ители Иркутска стали подучать московские </w:t>
      </w:r>
      <w:r>
        <w:rPr>
          <w:rFonts w:ascii="Times New Roman" w:hAnsi="Times New Roman"/>
          <w:color w:val="0070C0"/>
          <w:sz w:val="16"/>
          <w:szCs w:val="16"/>
        </w:rPr>
        <w:t xml:space="preserve">газеты на </w:t>
      </w:r>
      <w:r w:rsidRPr="006B74EB">
        <w:rPr>
          <w:rFonts w:ascii="Times New Roman" w:hAnsi="Times New Roman"/>
          <w:color w:val="0070C0"/>
          <w:sz w:val="16"/>
          <w:szCs w:val="16"/>
        </w:rPr>
        <w:t>4 дня раньше обычного.</w:t>
      </w:r>
      <w:r>
        <w:rPr>
          <w:rFonts w:ascii="Times New Roman" w:hAnsi="Times New Roman"/>
          <w:color w:val="0070C0"/>
          <w:sz w:val="16"/>
          <w:szCs w:val="16"/>
        </w:rPr>
        <w:t xml:space="preserve"> </w:t>
      </w:r>
      <w:r w:rsidRPr="006B74EB">
        <w:rPr>
          <w:rFonts w:ascii="Times New Roman" w:hAnsi="Times New Roman"/>
          <w:color w:val="0070C0"/>
          <w:sz w:val="16"/>
          <w:szCs w:val="16"/>
        </w:rPr>
        <w:t>Однако,</w:t>
      </w:r>
      <w:r>
        <w:rPr>
          <w:rFonts w:ascii="Times New Roman" w:hAnsi="Times New Roman"/>
          <w:color w:val="0070C0"/>
          <w:sz w:val="16"/>
          <w:szCs w:val="16"/>
        </w:rPr>
        <w:t xml:space="preserve"> </w:t>
      </w:r>
      <w:r w:rsidRPr="006B74EB">
        <w:rPr>
          <w:rFonts w:ascii="Times New Roman" w:hAnsi="Times New Roman"/>
          <w:color w:val="0070C0"/>
          <w:sz w:val="16"/>
          <w:szCs w:val="16"/>
        </w:rPr>
        <w:t>ввиду неподготовленности</w:t>
      </w:r>
      <w:r>
        <w:rPr>
          <w:rFonts w:ascii="Times New Roman" w:hAnsi="Times New Roman"/>
          <w:color w:val="0070C0"/>
          <w:sz w:val="16"/>
          <w:szCs w:val="16"/>
        </w:rPr>
        <w:t xml:space="preserve"> трассы  и </w:t>
      </w:r>
      <w:r w:rsidRPr="006B74EB">
        <w:rPr>
          <w:rFonts w:ascii="Times New Roman" w:hAnsi="Times New Roman"/>
          <w:color w:val="0070C0"/>
          <w:sz w:val="16"/>
          <w:szCs w:val="16"/>
        </w:rPr>
        <w:t>отсутствия радиотехнических средств на самолетах регу</w:t>
      </w:r>
      <w:r>
        <w:rPr>
          <w:rFonts w:ascii="Times New Roman" w:hAnsi="Times New Roman"/>
          <w:color w:val="0070C0"/>
          <w:sz w:val="16"/>
          <w:szCs w:val="16"/>
        </w:rPr>
        <w:t>лярность</w:t>
      </w:r>
      <w:r w:rsidRPr="006B74EB">
        <w:rPr>
          <w:rFonts w:ascii="Times New Roman" w:hAnsi="Times New Roman"/>
          <w:color w:val="0070C0"/>
          <w:sz w:val="16"/>
          <w:szCs w:val="16"/>
        </w:rPr>
        <w:t xml:space="preserve"> полетов бела невысока.</w:t>
      </w:r>
    </w:p>
    <w:p w14:paraId="02F3CE77" w14:textId="77777777" w:rsidR="008E7B07" w:rsidRDefault="008E7B07" w:rsidP="008E7B07">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w:t>
      </w:r>
      <w:r>
        <w:rPr>
          <w:rFonts w:ascii="Times New Roman" w:hAnsi="Times New Roman"/>
          <w:color w:val="0070C0"/>
          <w:sz w:val="16"/>
          <w:szCs w:val="16"/>
        </w:rPr>
        <w:t>«</w:t>
      </w:r>
      <w:proofErr w:type="spellStart"/>
      <w:r>
        <w:rPr>
          <w:rFonts w:ascii="Times New Roman" w:hAnsi="Times New Roman"/>
          <w:color w:val="0070C0"/>
          <w:sz w:val="16"/>
          <w:szCs w:val="16"/>
        </w:rPr>
        <w:t>Гр</w:t>
      </w:r>
      <w:r w:rsidRPr="006B74EB">
        <w:rPr>
          <w:rFonts w:ascii="Times New Roman" w:hAnsi="Times New Roman"/>
          <w:color w:val="0070C0"/>
          <w:sz w:val="16"/>
          <w:szCs w:val="16"/>
        </w:rPr>
        <w:t>а</w:t>
      </w:r>
      <w:r>
        <w:rPr>
          <w:rFonts w:ascii="Times New Roman" w:hAnsi="Times New Roman"/>
          <w:color w:val="0070C0"/>
          <w:sz w:val="16"/>
          <w:szCs w:val="16"/>
        </w:rPr>
        <w:t>ж</w:t>
      </w:r>
      <w:r w:rsidRPr="006B74EB">
        <w:rPr>
          <w:rFonts w:ascii="Times New Roman" w:hAnsi="Times New Roman"/>
          <w:color w:val="0070C0"/>
          <w:sz w:val="16"/>
          <w:szCs w:val="16"/>
        </w:rPr>
        <w:t>даиская</w:t>
      </w:r>
      <w:proofErr w:type="spellEnd"/>
      <w:r w:rsidRPr="006B74EB">
        <w:rPr>
          <w:rFonts w:ascii="Times New Roman" w:hAnsi="Times New Roman"/>
          <w:color w:val="0070C0"/>
          <w:sz w:val="16"/>
          <w:szCs w:val="16"/>
        </w:rPr>
        <w:t xml:space="preserve"> авиация»,</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1958 </w:t>
      </w:r>
      <w:r>
        <w:rPr>
          <w:rFonts w:ascii="Times New Roman" w:hAnsi="Times New Roman"/>
          <w:color w:val="0070C0"/>
          <w:sz w:val="16"/>
          <w:szCs w:val="16"/>
        </w:rPr>
        <w:t>№</w:t>
      </w:r>
      <w:r w:rsidRPr="006B74EB">
        <w:rPr>
          <w:rFonts w:ascii="Times New Roman" w:hAnsi="Times New Roman"/>
          <w:color w:val="0070C0"/>
          <w:sz w:val="16"/>
          <w:szCs w:val="16"/>
        </w:rPr>
        <w:t xml:space="preserve"> 2; «Известия </w:t>
      </w:r>
      <w:r>
        <w:rPr>
          <w:rFonts w:ascii="Times New Roman" w:hAnsi="Times New Roman"/>
          <w:color w:val="0070C0"/>
          <w:sz w:val="16"/>
          <w:szCs w:val="16"/>
        </w:rPr>
        <w:t>ЦИК</w:t>
      </w:r>
      <w:r w:rsidRPr="006B74EB">
        <w:rPr>
          <w:rFonts w:ascii="Times New Roman" w:hAnsi="Times New Roman"/>
          <w:color w:val="0070C0"/>
          <w:sz w:val="16"/>
          <w:szCs w:val="16"/>
        </w:rPr>
        <w:t xml:space="preserve"> СССР за май 1929 г./</w:t>
      </w:r>
      <w:r>
        <w:rPr>
          <w:rFonts w:ascii="Times New Roman" w:hAnsi="Times New Roman"/>
          <w:color w:val="0070C0"/>
          <w:sz w:val="16"/>
          <w:szCs w:val="16"/>
        </w:rPr>
        <w:t xml:space="preserve"> (23370).</w:t>
      </w:r>
    </w:p>
    <w:p w14:paraId="5E4465F9" w14:textId="77777777" w:rsidR="008E7B07" w:rsidRPr="006B74EB" w:rsidRDefault="008E7B07" w:rsidP="008E7B07">
      <w:pPr>
        <w:spacing w:after="0" w:line="240" w:lineRule="auto"/>
        <w:jc w:val="both"/>
        <w:rPr>
          <w:rFonts w:ascii="Times New Roman" w:hAnsi="Times New Roman"/>
          <w:color w:val="0070C0"/>
          <w:sz w:val="16"/>
          <w:szCs w:val="16"/>
        </w:rPr>
      </w:pPr>
    </w:p>
    <w:p w14:paraId="273ADC2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81C491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02DB6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мая 1929 разработанный и построенный весной 1929 на базе И-3 двухместный истребитель Н.Н.П. ДИ-2 выполнил первый полет (3410,14).</w:t>
      </w:r>
    </w:p>
    <w:p w14:paraId="44CF70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14EBE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EAAEF4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A997D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мая 1929 года </w:t>
      </w:r>
      <w:proofErr w:type="spellStart"/>
      <w:r w:rsidRPr="00A259BD">
        <w:rPr>
          <w:rFonts w:ascii="Times New Roman" w:hAnsi="Times New Roman"/>
          <w:color w:val="000000" w:themeColor="text1"/>
          <w:sz w:val="16"/>
          <w:szCs w:val="16"/>
        </w:rPr>
        <w:t>Загранотдел</w:t>
      </w:r>
      <w:proofErr w:type="spellEnd"/>
      <w:r w:rsidRPr="00A259BD">
        <w:rPr>
          <w:rFonts w:ascii="Times New Roman" w:hAnsi="Times New Roman"/>
          <w:color w:val="000000" w:themeColor="text1"/>
          <w:sz w:val="16"/>
          <w:szCs w:val="16"/>
        </w:rPr>
        <w:t xml:space="preserve"> УВВС дал задание № з408 на испытание самолета СПАД 61 с мотором </w:t>
      </w:r>
      <w:proofErr w:type="spellStart"/>
      <w:r w:rsidRPr="00A259BD">
        <w:rPr>
          <w:rFonts w:ascii="Times New Roman" w:hAnsi="Times New Roman"/>
          <w:color w:val="000000" w:themeColor="text1"/>
          <w:sz w:val="16"/>
          <w:szCs w:val="16"/>
        </w:rPr>
        <w:t>Лоррен</w:t>
      </w:r>
      <w:proofErr w:type="spellEnd"/>
      <w:r w:rsidRPr="00A259BD">
        <w:rPr>
          <w:rFonts w:ascii="Times New Roman" w:hAnsi="Times New Roman"/>
          <w:color w:val="000000" w:themeColor="text1"/>
          <w:sz w:val="16"/>
          <w:szCs w:val="16"/>
        </w:rPr>
        <w:t>-Дитрих 450 НР (6974).</w:t>
      </w:r>
    </w:p>
    <w:p w14:paraId="3B33A78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AE4F90" w14:textId="77777777" w:rsidR="00E15FE6"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52F34A3" w14:textId="77777777" w:rsidR="00E15FE6" w:rsidRPr="00A259BD" w:rsidRDefault="00E15FE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F03053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мая 1929 г. Постановление Постоянного мобилизационного совещания при Президиуме ВСНХ СССР о районных уполномоченных Президиума ВСНХ СССР по </w:t>
      </w:r>
      <w:proofErr w:type="spellStart"/>
      <w:r w:rsidRPr="00A259BD">
        <w:rPr>
          <w:rFonts w:ascii="Times New Roman" w:hAnsi="Times New Roman"/>
          <w:color w:val="000000" w:themeColor="text1"/>
          <w:sz w:val="16"/>
          <w:szCs w:val="16"/>
        </w:rPr>
        <w:t>мобподготовке</w:t>
      </w:r>
      <w:proofErr w:type="spellEnd"/>
      <w:r w:rsidRPr="00A259BD">
        <w:rPr>
          <w:rFonts w:ascii="Times New Roman" w:hAnsi="Times New Roman"/>
          <w:color w:val="000000" w:themeColor="text1"/>
          <w:sz w:val="16"/>
          <w:szCs w:val="16"/>
        </w:rPr>
        <w:t xml:space="preserve"> (РГАЭ. Ф. 3429. Оп. 6. Д. 193. Л. 23?22) (12417).</w:t>
      </w:r>
    </w:p>
    <w:p w14:paraId="31EBEB12" w14:textId="77777777" w:rsidR="00E15FE6" w:rsidRPr="00A259BD" w:rsidRDefault="00E15FE6" w:rsidP="009236E3">
      <w:pPr>
        <w:spacing w:after="0" w:line="240" w:lineRule="auto"/>
        <w:jc w:val="both"/>
        <w:rPr>
          <w:rFonts w:ascii="Times New Roman" w:hAnsi="Times New Roman"/>
          <w:color w:val="000000" w:themeColor="text1"/>
          <w:sz w:val="16"/>
          <w:szCs w:val="16"/>
        </w:rPr>
      </w:pPr>
    </w:p>
    <w:p w14:paraId="42A5CE28"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DE2AC5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BFAA7AD" w14:textId="77777777" w:rsidR="00F402B5" w:rsidRPr="00A259BD" w:rsidRDefault="00F402B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7 мая в 1929 году совершил первый вылет немецкий истребитель </w:t>
      </w:r>
      <w:hyperlink r:id="rId48" w:tgtFrame="_blank" w:history="1">
        <w:r w:rsidRPr="00A259BD">
          <w:rPr>
            <w:rFonts w:ascii="Times New Roman" w:hAnsi="Times New Roman"/>
            <w:color w:val="000000" w:themeColor="text1"/>
            <w:sz w:val="16"/>
            <w:szCs w:val="16"/>
          </w:rPr>
          <w:t xml:space="preserve">«HD-38». </w:t>
        </w:r>
      </w:hyperlink>
      <w:r w:rsidRPr="00A259BD">
        <w:rPr>
          <w:rFonts w:ascii="Times New Roman" w:hAnsi="Times New Roman"/>
          <w:color w:val="000000" w:themeColor="text1"/>
          <w:sz w:val="16"/>
          <w:szCs w:val="16"/>
        </w:rPr>
        <w:t xml:space="preserve">«HD-382 - дальнейшее развитие «HD-372 («ЦКБ И-7»), но с двигателем «BMW» «VI 7,3Z» мощностью 750 л.с. Конструкция подобна предшественнику, однако изменена конструкция шасси, а также предусмотрено корабельное базирование. Летные испытания закончились в 1931 в секретной летной школе в Липецке (СССР), после чего была закуплена партия из 12 машин, которым была вооружена одна эскадрилья. Снят с вооружения в 1934 году и передан в летную школу в </w:t>
      </w:r>
      <w:proofErr w:type="spellStart"/>
      <w:r w:rsidRPr="00A259BD">
        <w:rPr>
          <w:rFonts w:ascii="Times New Roman" w:hAnsi="Times New Roman"/>
          <w:color w:val="000000" w:themeColor="text1"/>
          <w:sz w:val="16"/>
          <w:szCs w:val="16"/>
        </w:rPr>
        <w:t>Schleissheim</w:t>
      </w:r>
      <w:proofErr w:type="spellEnd"/>
      <w:r w:rsidRPr="00A259BD">
        <w:rPr>
          <w:rFonts w:ascii="Times New Roman" w:hAnsi="Times New Roman"/>
          <w:color w:val="000000" w:themeColor="text1"/>
          <w:sz w:val="16"/>
          <w:szCs w:val="16"/>
        </w:rPr>
        <w:t xml:space="preserve"> (14884).</w:t>
      </w:r>
    </w:p>
    <w:p w14:paraId="49FF6D7E" w14:textId="77777777" w:rsidR="00F402B5" w:rsidRPr="00A259BD" w:rsidRDefault="00F402B5" w:rsidP="009236E3">
      <w:pPr>
        <w:spacing w:after="0" w:line="240" w:lineRule="auto"/>
        <w:jc w:val="both"/>
        <w:rPr>
          <w:rFonts w:ascii="Times New Roman" w:hAnsi="Times New Roman"/>
          <w:color w:val="000000" w:themeColor="text1"/>
          <w:sz w:val="16"/>
          <w:szCs w:val="16"/>
        </w:rPr>
      </w:pPr>
    </w:p>
    <w:p w14:paraId="13AC9360" w14:textId="77777777" w:rsidR="00B80FFF" w:rsidRPr="00A259BD" w:rsidRDefault="00B80FFF" w:rsidP="009236E3">
      <w:pPr>
        <w:spacing w:after="0" w:line="240" w:lineRule="auto"/>
        <w:jc w:val="both"/>
        <w:rPr>
          <w:rFonts w:ascii="Times New Roman" w:hAnsi="Times New Roman"/>
          <w:color w:val="000000" w:themeColor="text1"/>
          <w:sz w:val="16"/>
          <w:szCs w:val="16"/>
        </w:rPr>
      </w:pPr>
      <w:bookmarkStart w:id="42" w:name="_Hlk75784268"/>
      <w:r w:rsidRPr="00A259BD">
        <w:rPr>
          <w:rFonts w:ascii="Times New Roman" w:hAnsi="Times New Roman"/>
          <w:color w:val="000000" w:themeColor="text1"/>
          <w:sz w:val="16"/>
          <w:szCs w:val="16"/>
        </w:rPr>
        <w:t>7 мая 1929 - Рольф Старки, главный летчик-испытатель компании "</w:t>
      </w:r>
      <w:proofErr w:type="spellStart"/>
      <w:r w:rsidRPr="00A259BD">
        <w:rPr>
          <w:rFonts w:ascii="Times New Roman" w:hAnsi="Times New Roman"/>
          <w:color w:val="000000" w:themeColor="text1"/>
          <w:sz w:val="16"/>
          <w:szCs w:val="16"/>
        </w:rPr>
        <w:t>Heinkel</w:t>
      </w:r>
      <w:proofErr w:type="spellEnd"/>
      <w:r w:rsidRPr="00A259BD">
        <w:rPr>
          <w:rFonts w:ascii="Times New Roman" w:hAnsi="Times New Roman"/>
          <w:color w:val="000000" w:themeColor="text1"/>
          <w:sz w:val="16"/>
          <w:szCs w:val="16"/>
        </w:rPr>
        <w:t>", установил на HD 38 мировой рекорд скорости для гидросамолетов - на 100-км маршруте с грузом 100 кг он достиг средней скорости 259,5 км/ч. Новый самолет HD 43 конструктивно повторял HD 38, но его массу уменьшили на 306 кг, за счет чего удалось довести максимальную скорость до 322 км/ч (22510).</w:t>
      </w:r>
    </w:p>
    <w:p w14:paraId="5E9E83A5" w14:textId="77777777" w:rsidR="00B80FFF" w:rsidRPr="00A259BD" w:rsidRDefault="00B80FFF" w:rsidP="009236E3">
      <w:pPr>
        <w:spacing w:after="0" w:line="240" w:lineRule="auto"/>
        <w:jc w:val="both"/>
        <w:rPr>
          <w:rFonts w:ascii="Times New Roman" w:hAnsi="Times New Roman"/>
          <w:color w:val="000000" w:themeColor="text1"/>
          <w:sz w:val="16"/>
          <w:szCs w:val="16"/>
        </w:rPr>
      </w:pPr>
    </w:p>
    <w:bookmarkEnd w:id="42"/>
    <w:p w14:paraId="671845D9" w14:textId="5BE26028" w:rsidR="00F402B5" w:rsidRPr="00A259BD" w:rsidRDefault="00F402B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мая в 1929 году первый полет первого однодвигательного варианта </w:t>
      </w:r>
      <w:hyperlink r:id="rId49" w:tgtFrame="_blank" w:history="1">
        <w:r w:rsidRPr="00A259BD">
          <w:rPr>
            <w:rFonts w:ascii="Times New Roman" w:hAnsi="Times New Roman"/>
            <w:color w:val="000000" w:themeColor="text1"/>
            <w:sz w:val="16"/>
            <w:szCs w:val="16"/>
          </w:rPr>
          <w:t xml:space="preserve">«Do.K1» </w:t>
        </w:r>
      </w:hyperlink>
      <w:r w:rsidRPr="00A259BD">
        <w:rPr>
          <w:rFonts w:ascii="Times New Roman" w:hAnsi="Times New Roman"/>
          <w:color w:val="000000" w:themeColor="text1"/>
          <w:sz w:val="16"/>
          <w:szCs w:val="16"/>
        </w:rPr>
        <w:t>германского 8-ми местного пассажирского самолета «</w:t>
      </w:r>
      <w:proofErr w:type="spellStart"/>
      <w:r w:rsidRPr="00A259BD">
        <w:rPr>
          <w:rFonts w:ascii="Times New Roman" w:hAnsi="Times New Roman"/>
          <w:color w:val="000000" w:themeColor="text1"/>
          <w:sz w:val="16"/>
          <w:szCs w:val="16"/>
        </w:rPr>
        <w:t>Dornier</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Do.K</w:t>
      </w:r>
      <w:proofErr w:type="spellEnd"/>
      <w:r w:rsidRPr="00A259BD">
        <w:rPr>
          <w:rFonts w:ascii="Times New Roman" w:hAnsi="Times New Roman"/>
          <w:color w:val="000000" w:themeColor="text1"/>
          <w:sz w:val="16"/>
          <w:szCs w:val="16"/>
        </w:rPr>
        <w:t>». Это был высокоплан оборудованный двигателем «Bristol» «</w:t>
      </w:r>
      <w:proofErr w:type="spellStart"/>
      <w:r w:rsidRPr="00A259BD">
        <w:rPr>
          <w:rFonts w:ascii="Times New Roman" w:hAnsi="Times New Roman"/>
          <w:color w:val="000000" w:themeColor="text1"/>
          <w:sz w:val="16"/>
          <w:szCs w:val="16"/>
        </w:rPr>
        <w:t>Jupiter</w:t>
      </w:r>
      <w:proofErr w:type="spellEnd"/>
      <w:r w:rsidRPr="00A259BD">
        <w:rPr>
          <w:rFonts w:ascii="Times New Roman" w:hAnsi="Times New Roman"/>
          <w:color w:val="000000" w:themeColor="text1"/>
          <w:sz w:val="16"/>
          <w:szCs w:val="16"/>
        </w:rPr>
        <w:t xml:space="preserve"> VI» (производимый по лицензии фирмой Siemens) с четырехлопастным деревянным пропеллером </w:t>
      </w:r>
      <w:proofErr w:type="spellStart"/>
      <w:r w:rsidRPr="00A259BD">
        <w:rPr>
          <w:rFonts w:ascii="Times New Roman" w:hAnsi="Times New Roman"/>
          <w:color w:val="000000" w:themeColor="text1"/>
          <w:sz w:val="16"/>
          <w:szCs w:val="16"/>
        </w:rPr>
        <w:t>Dornier</w:t>
      </w:r>
      <w:proofErr w:type="spellEnd"/>
      <w:r w:rsidRPr="00A259BD">
        <w:rPr>
          <w:rFonts w:ascii="Times New Roman" w:hAnsi="Times New Roman"/>
          <w:color w:val="000000" w:themeColor="text1"/>
          <w:sz w:val="16"/>
          <w:szCs w:val="16"/>
        </w:rPr>
        <w:t>. Размах крыльев самолета составлял 20.6 метра, а его длина - 15.3 м. Максимальная скорость полета самолета - 190 км/ч (14884).</w:t>
      </w:r>
    </w:p>
    <w:p w14:paraId="293C9630" w14:textId="77777777" w:rsidR="00F402B5" w:rsidRPr="00A259BD" w:rsidRDefault="00F402B5" w:rsidP="009236E3">
      <w:pPr>
        <w:spacing w:after="0" w:line="240" w:lineRule="auto"/>
        <w:jc w:val="both"/>
        <w:rPr>
          <w:rFonts w:ascii="Times New Roman" w:hAnsi="Times New Roman"/>
          <w:color w:val="000000" w:themeColor="text1"/>
          <w:sz w:val="16"/>
          <w:szCs w:val="16"/>
        </w:rPr>
      </w:pPr>
    </w:p>
    <w:p w14:paraId="145A68B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мая 1929 в Чикаго глава американской мафии Аль Капоне лично застрелил своих партнеров, киллеров </w:t>
      </w:r>
      <w:proofErr w:type="spellStart"/>
      <w:r w:rsidRPr="00A259BD">
        <w:rPr>
          <w:rFonts w:ascii="Times New Roman" w:hAnsi="Times New Roman"/>
          <w:color w:val="000000" w:themeColor="text1"/>
          <w:sz w:val="16"/>
          <w:szCs w:val="16"/>
        </w:rPr>
        <w:t>Ангельми</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Скализе</w:t>
      </w:r>
      <w:proofErr w:type="spellEnd"/>
      <w:r w:rsidRPr="00A259BD">
        <w:rPr>
          <w:rFonts w:ascii="Times New Roman" w:hAnsi="Times New Roman"/>
          <w:color w:val="000000" w:themeColor="text1"/>
          <w:sz w:val="16"/>
          <w:szCs w:val="16"/>
        </w:rPr>
        <w:t xml:space="preserve"> (4962).</w:t>
      </w:r>
    </w:p>
    <w:p w14:paraId="6B6ED2B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96D22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60A19E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C91BC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мая 1929 состоялось совещание при Совете ГА, которое определило сроки начала серийного производства АНТ-9 (2341,116).</w:t>
      </w:r>
    </w:p>
    <w:p w14:paraId="5E0853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06D3D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мая 1929 года государственный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направляет в заводскую </w:t>
      </w:r>
      <w:proofErr w:type="spellStart"/>
      <w:r w:rsidRPr="00A259BD">
        <w:rPr>
          <w:rFonts w:ascii="Times New Roman" w:hAnsi="Times New Roman"/>
          <w:color w:val="000000" w:themeColor="text1"/>
          <w:sz w:val="16"/>
          <w:szCs w:val="16"/>
        </w:rPr>
        <w:t>Авиасекцию</w:t>
      </w:r>
      <w:proofErr w:type="spellEnd"/>
      <w:r w:rsidRPr="00A259BD">
        <w:rPr>
          <w:rFonts w:ascii="Times New Roman" w:hAnsi="Times New Roman"/>
          <w:color w:val="000000" w:themeColor="text1"/>
          <w:sz w:val="16"/>
          <w:szCs w:val="16"/>
        </w:rPr>
        <w:t xml:space="preserve"> ОСОАВИАХИМа з-да № 22 ука</w:t>
      </w:r>
      <w:r w:rsidRPr="00A259BD">
        <w:rPr>
          <w:rFonts w:ascii="Times New Roman" w:hAnsi="Times New Roman"/>
          <w:color w:val="000000" w:themeColor="text1"/>
          <w:sz w:val="16"/>
          <w:szCs w:val="16"/>
        </w:rPr>
        <w:softHyphen/>
        <w:t xml:space="preserve">зание, подписанное “Главным конструктором, инженером” </w:t>
      </w:r>
      <w:proofErr w:type="spellStart"/>
      <w:r w:rsidRPr="00A259BD">
        <w:rPr>
          <w:rFonts w:ascii="Times New Roman" w:hAnsi="Times New Roman"/>
          <w:color w:val="000000" w:themeColor="text1"/>
          <w:sz w:val="16"/>
          <w:szCs w:val="16"/>
        </w:rPr>
        <w:t>П.Ришаром</w:t>
      </w:r>
      <w:proofErr w:type="spellEnd"/>
      <w:r w:rsidRPr="00A259BD">
        <w:rPr>
          <w:rFonts w:ascii="Times New Roman" w:hAnsi="Times New Roman"/>
          <w:color w:val="000000" w:themeColor="text1"/>
          <w:sz w:val="16"/>
          <w:szCs w:val="16"/>
        </w:rPr>
        <w:t>:</w:t>
      </w:r>
    </w:p>
    <w:p w14:paraId="79D932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“Настоящим ОПО-4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сообщает, что с его стороны не встречается препятствий к предоставлению инженеру Камову возможно</w:t>
      </w:r>
      <w:r w:rsidRPr="00A259BD">
        <w:rPr>
          <w:rFonts w:ascii="Times New Roman" w:hAnsi="Times New Roman"/>
          <w:color w:val="000000" w:themeColor="text1"/>
          <w:sz w:val="16"/>
          <w:szCs w:val="16"/>
        </w:rPr>
        <w:softHyphen/>
        <w:t>сти вести наблюдение над постройкой его опытного вертолета не более двух раз в неделю по 4 часа, всего не более 32 часов в месяц, причем этим разрешением Инженер Камов сможет воспользоваться не раньше 20 мая” (10224,24).</w:t>
      </w:r>
    </w:p>
    <w:p w14:paraId="1C700D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1CF9D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мая 1929 началось применение авиации для борьбы с вредителями лесов. Первое опыление было в </w:t>
      </w:r>
      <w:proofErr w:type="spellStart"/>
      <w:r w:rsidRPr="00A259BD">
        <w:rPr>
          <w:rFonts w:ascii="Times New Roman" w:hAnsi="Times New Roman"/>
          <w:color w:val="000000" w:themeColor="text1"/>
          <w:sz w:val="16"/>
          <w:szCs w:val="16"/>
        </w:rPr>
        <w:t>Култукском</w:t>
      </w:r>
      <w:proofErr w:type="spellEnd"/>
      <w:r w:rsidRPr="00A259BD">
        <w:rPr>
          <w:rFonts w:ascii="Times New Roman" w:hAnsi="Times New Roman"/>
          <w:color w:val="000000" w:themeColor="text1"/>
          <w:sz w:val="16"/>
          <w:szCs w:val="16"/>
        </w:rPr>
        <w:t xml:space="preserve"> лесничестве в Сибири (271,115).</w:t>
      </w:r>
    </w:p>
    <w:p w14:paraId="64D5C6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22115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мая 1929 впервые в СССР проведено опрыскивание лесов и полей ядохимикатами (4962).</w:t>
      </w:r>
    </w:p>
    <w:p w14:paraId="4E00C70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E0DBEC" w14:textId="77777777" w:rsidR="00393640" w:rsidRPr="00A259BD" w:rsidRDefault="0039364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мая в 1929 году впервые в СССР проведено опрыскивание лесов и полей ядохимикатами, лётчик </w:t>
      </w:r>
      <w:proofErr w:type="spellStart"/>
      <w:r w:rsidRPr="00A259BD">
        <w:rPr>
          <w:rFonts w:ascii="Times New Roman" w:hAnsi="Times New Roman"/>
          <w:color w:val="000000" w:themeColor="text1"/>
          <w:sz w:val="16"/>
          <w:szCs w:val="16"/>
        </w:rPr>
        <w:t>С.В.Лялин</w:t>
      </w:r>
      <w:proofErr w:type="spellEnd"/>
      <w:r w:rsidRPr="00A259BD">
        <w:rPr>
          <w:rFonts w:ascii="Times New Roman" w:hAnsi="Times New Roman"/>
          <w:color w:val="000000" w:themeColor="text1"/>
          <w:sz w:val="16"/>
          <w:szCs w:val="16"/>
        </w:rPr>
        <w:t xml:space="preserve"> на «J-13» (14885).</w:t>
      </w:r>
    </w:p>
    <w:p w14:paraId="6361A7ED" w14:textId="77777777" w:rsidR="00393640" w:rsidRPr="00A259BD" w:rsidRDefault="00393640" w:rsidP="009236E3">
      <w:pPr>
        <w:spacing w:after="0" w:line="240" w:lineRule="auto"/>
        <w:jc w:val="both"/>
        <w:rPr>
          <w:rFonts w:ascii="Times New Roman" w:hAnsi="Times New Roman"/>
          <w:color w:val="000000" w:themeColor="text1"/>
          <w:sz w:val="16"/>
          <w:szCs w:val="16"/>
        </w:rPr>
      </w:pPr>
    </w:p>
    <w:p w14:paraId="34741BF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561D00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475D189" w14:textId="77777777" w:rsidR="00E15FE6" w:rsidRPr="00A259BD" w:rsidRDefault="00E15FE6" w:rsidP="009236E3">
      <w:pPr>
        <w:pStyle w:val="ae"/>
        <w:spacing w:before="0" w:after="0"/>
        <w:jc w:val="both"/>
        <w:rPr>
          <w:color w:val="000000" w:themeColor="text1"/>
          <w:sz w:val="16"/>
          <w:szCs w:val="16"/>
        </w:rPr>
      </w:pPr>
      <w:r w:rsidRPr="00A259BD">
        <w:rPr>
          <w:color w:val="000000" w:themeColor="text1"/>
          <w:sz w:val="16"/>
          <w:szCs w:val="16"/>
        </w:rPr>
        <w:t xml:space="preserve">8 мая 1929 проектно-конструкторское бюро завода переименовано в бюро новых конструкций и стандартизации. Заведующим </w:t>
      </w:r>
      <w:proofErr w:type="spellStart"/>
      <w:r w:rsidRPr="00A259BD">
        <w:rPr>
          <w:color w:val="000000" w:themeColor="text1"/>
          <w:sz w:val="16"/>
          <w:szCs w:val="16"/>
        </w:rPr>
        <w:t>БНКиС</w:t>
      </w:r>
      <w:proofErr w:type="spellEnd"/>
      <w:r w:rsidRPr="00A259BD">
        <w:rPr>
          <w:color w:val="000000" w:themeColor="text1"/>
          <w:sz w:val="16"/>
          <w:szCs w:val="16"/>
        </w:rPr>
        <w:t xml:space="preserve"> назначен инженер В.Г. Федоров, работавший до этого заведующим ПКБ.</w:t>
      </w:r>
    </w:p>
    <w:p w14:paraId="66F47BCA" w14:textId="77777777" w:rsidR="00E15FE6" w:rsidRPr="00A259BD" w:rsidRDefault="00E15FE6" w:rsidP="009236E3">
      <w:pPr>
        <w:pStyle w:val="ae"/>
        <w:spacing w:before="0" w:after="0"/>
        <w:jc w:val="both"/>
        <w:rPr>
          <w:color w:val="000000" w:themeColor="text1"/>
          <w:sz w:val="16"/>
          <w:szCs w:val="16"/>
        </w:rPr>
      </w:pPr>
      <w:r w:rsidRPr="00A259BD">
        <w:rPr>
          <w:color w:val="000000" w:themeColor="text1"/>
          <w:sz w:val="16"/>
          <w:szCs w:val="16"/>
        </w:rPr>
        <w:t>На вооружение Красной Армии принят танковый пулемет системы Дегтярева калибра 7,62 мм. Принятием на вооружение пулемета ДТ было завершено создание комплекса унифицированных пулеметов калибра.7,62 мм конструкции Дегтярева. Таким образом, за три года все виды войск Красной Армии были вооружены, пулеметами системы Дегтярева, разработанными проектным бюро и выпущенными на заводе. Дегтярев совместно со Шпагиным начинает работу по созданию крупнокалиберного пулемета. В.А. Дегтярев приглашается на большие маневры Красной Армии. Состоялась его встреча с К.Е. Ворошиловым.</w:t>
      </w:r>
    </w:p>
    <w:p w14:paraId="4C3DDA82" w14:textId="77777777" w:rsidR="00E15FE6" w:rsidRPr="00A259BD" w:rsidRDefault="00E15FE6" w:rsidP="009236E3">
      <w:pPr>
        <w:pStyle w:val="ae"/>
        <w:spacing w:before="0" w:after="0"/>
        <w:jc w:val="both"/>
        <w:rPr>
          <w:color w:val="000000" w:themeColor="text1"/>
          <w:sz w:val="16"/>
          <w:szCs w:val="16"/>
        </w:rPr>
      </w:pPr>
      <w:r w:rsidRPr="00A259BD">
        <w:rPr>
          <w:color w:val="000000" w:themeColor="text1"/>
          <w:sz w:val="16"/>
          <w:szCs w:val="16"/>
        </w:rPr>
        <w:t>В период китайского конфликта в Манчжурии ручной пулемет Дегтярева получил боевое крещение и зарекомендовал себя как мощное, выносливое и простое в употреблении оружие. Завод получает дополнительные задания по выпуску пулеметов.</w:t>
      </w:r>
    </w:p>
    <w:p w14:paraId="7BF49D2B" w14:textId="77777777" w:rsidR="00E15FE6" w:rsidRPr="00A259BD" w:rsidRDefault="00E15FE6" w:rsidP="009236E3">
      <w:pPr>
        <w:pStyle w:val="ae"/>
        <w:spacing w:before="0" w:after="0"/>
        <w:jc w:val="both"/>
        <w:rPr>
          <w:color w:val="000000" w:themeColor="text1"/>
          <w:sz w:val="16"/>
          <w:szCs w:val="16"/>
        </w:rPr>
      </w:pPr>
      <w:r w:rsidRPr="00A259BD">
        <w:rPr>
          <w:color w:val="000000" w:themeColor="text1"/>
          <w:sz w:val="16"/>
          <w:szCs w:val="16"/>
        </w:rPr>
        <w:t>Внедряя все новые и новые виды стрелкового вооружения и модернизируя существующие, проектно-конструкторское бюро напряженно работало над целым рядом вопросов по оснащению Красной Армии необходимыми видами вооружения.</w:t>
      </w:r>
    </w:p>
    <w:p w14:paraId="723E62B2" w14:textId="77777777" w:rsidR="00E15FE6" w:rsidRPr="00A259BD" w:rsidRDefault="00E15FE6" w:rsidP="009236E3">
      <w:pPr>
        <w:pStyle w:val="ae"/>
        <w:spacing w:before="0" w:after="0"/>
        <w:jc w:val="both"/>
        <w:rPr>
          <w:color w:val="000000" w:themeColor="text1"/>
          <w:sz w:val="16"/>
          <w:szCs w:val="16"/>
        </w:rPr>
      </w:pPr>
      <w:r w:rsidRPr="00A259BD">
        <w:rPr>
          <w:color w:val="000000" w:themeColor="text1"/>
          <w:sz w:val="16"/>
          <w:szCs w:val="16"/>
        </w:rPr>
        <w:t xml:space="preserve">Около 90 видов образцов стрелкового вооружения было разработано </w:t>
      </w:r>
      <w:proofErr w:type="spellStart"/>
      <w:r w:rsidRPr="00A259BD">
        <w:rPr>
          <w:color w:val="000000" w:themeColor="text1"/>
          <w:sz w:val="16"/>
          <w:szCs w:val="16"/>
        </w:rPr>
        <w:t>проекгно</w:t>
      </w:r>
      <w:proofErr w:type="spellEnd"/>
      <w:r w:rsidRPr="00A259BD">
        <w:rPr>
          <w:color w:val="000000" w:themeColor="text1"/>
          <w:sz w:val="16"/>
          <w:szCs w:val="16"/>
        </w:rPr>
        <w:t>-конструкторским бюро к этому времени.</w:t>
      </w:r>
    </w:p>
    <w:p w14:paraId="5E5D2C0A" w14:textId="77777777" w:rsidR="00E15FE6" w:rsidRPr="00A259BD" w:rsidRDefault="00E15FE6" w:rsidP="009236E3">
      <w:pPr>
        <w:pStyle w:val="ae"/>
        <w:spacing w:before="0" w:after="0"/>
        <w:jc w:val="both"/>
        <w:rPr>
          <w:color w:val="000000" w:themeColor="text1"/>
          <w:sz w:val="16"/>
          <w:szCs w:val="16"/>
        </w:rPr>
      </w:pPr>
      <w:r w:rsidRPr="00A259BD">
        <w:rPr>
          <w:color w:val="000000" w:themeColor="text1"/>
          <w:sz w:val="16"/>
          <w:szCs w:val="16"/>
        </w:rPr>
        <w:t xml:space="preserve">Из маленького коллектива, организованного инженером Федоровым, </w:t>
      </w:r>
      <w:proofErr w:type="spellStart"/>
      <w:r w:rsidRPr="00A259BD">
        <w:rPr>
          <w:color w:val="000000" w:themeColor="text1"/>
          <w:sz w:val="16"/>
          <w:szCs w:val="16"/>
        </w:rPr>
        <w:t>проекшо-конструкгорское</w:t>
      </w:r>
      <w:proofErr w:type="spellEnd"/>
      <w:r w:rsidRPr="00A259BD">
        <w:rPr>
          <w:color w:val="000000" w:themeColor="text1"/>
          <w:sz w:val="16"/>
          <w:szCs w:val="16"/>
        </w:rPr>
        <w:t xml:space="preserve"> бюро превратилось в мощный коллектив с окончательно оформленным проектным бюро, научно-исследовательским бюро, самостоятельной испытательной станцией, музеем образцов оружия, фотолабораторией и специальной библиотекой.</w:t>
      </w:r>
    </w:p>
    <w:p w14:paraId="376F72B2"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В А Дегтярев создает образец облегченного станкового пулемета. Пулемет сконструирован по типу пулемета ДП. Характерной особенностью является воздушное охлаждение и ленточное питание, разработанное Г.С. Шпагиным.</w:t>
      </w:r>
    </w:p>
    <w:p w14:paraId="498FE23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ВА Дегтярев разрабатывает крупнокалиберный пулемет (12,7 мм). При его создании использовалось все положительное от пулемета ДП. Питание осуществляется из магазина барабанного типа на 30 патронов;</w:t>
      </w:r>
    </w:p>
    <w:p w14:paraId="2FE54F3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С.Г. Симонов представил образец автоматической винтовки. Начиная с 30-х годов соревнования по созданию автоматической винтовки проходили в основном между тульским конструктором Ф.В. Токаревым и ковровским изобретателем СП Симоновым.</w:t>
      </w:r>
    </w:p>
    <w:p w14:paraId="0B1D9E0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Заказ Реввоенсовета на опытную партию винтовок Дегтярева. Этой винтовке было присвоено наименование «7,62-мм самозарядная винтовка Дегтярева образца 1930 года», ее войсковые испытания намечены в Московской Пролетарской стрелковой дивизии в 1933 году.</w:t>
      </w:r>
    </w:p>
    <w:p w14:paraId="0A44DF6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начала года введены в эксплуатацию корпуса «Д» и «Е», они выполнены в духе конструктивизма, по архитектуре фасадов чувствуется влияние новой художественной философии.</w:t>
      </w:r>
    </w:p>
    <w:p w14:paraId="0F3ADF8A" w14:textId="77777777" w:rsidR="00E15FE6" w:rsidRPr="00A259BD" w:rsidRDefault="00E15FE6" w:rsidP="009236E3">
      <w:pPr>
        <w:pStyle w:val="ae"/>
        <w:spacing w:before="0" w:after="0"/>
        <w:jc w:val="both"/>
        <w:rPr>
          <w:color w:val="000000" w:themeColor="text1"/>
          <w:sz w:val="16"/>
          <w:szCs w:val="16"/>
        </w:rPr>
      </w:pPr>
      <w:r w:rsidRPr="00A259BD">
        <w:rPr>
          <w:color w:val="000000" w:themeColor="text1"/>
          <w:sz w:val="16"/>
          <w:szCs w:val="16"/>
        </w:rPr>
        <w:t>Завод к 1930 году по площадям вырос вдвое.</w:t>
      </w:r>
    </w:p>
    <w:p w14:paraId="609E6D4C" w14:textId="77777777" w:rsidR="00E15FE6" w:rsidRPr="00A259BD" w:rsidRDefault="00E15FE6" w:rsidP="009236E3">
      <w:pPr>
        <w:pStyle w:val="ae"/>
        <w:spacing w:before="0" w:after="0"/>
        <w:jc w:val="both"/>
        <w:rPr>
          <w:color w:val="000000" w:themeColor="text1"/>
          <w:sz w:val="16"/>
          <w:szCs w:val="16"/>
        </w:rPr>
      </w:pPr>
      <w:r w:rsidRPr="00A259BD">
        <w:rPr>
          <w:color w:val="000000" w:themeColor="text1"/>
          <w:sz w:val="16"/>
          <w:szCs w:val="16"/>
        </w:rPr>
        <w:t>В непосредственной близости от корпусов «А» и «Б» был построен корпус «В», имевший Ш-образную форму плана и в своем внешнем облике сочетавший элементы конструктивизма и романтизма (12221).</w:t>
      </w:r>
    </w:p>
    <w:p w14:paraId="38D3F758" w14:textId="77777777" w:rsidR="00E15FE6" w:rsidRPr="00A259BD" w:rsidRDefault="00E15FE6" w:rsidP="009236E3">
      <w:pPr>
        <w:pStyle w:val="ae"/>
        <w:spacing w:before="0" w:after="0"/>
        <w:jc w:val="both"/>
        <w:rPr>
          <w:color w:val="000000" w:themeColor="text1"/>
          <w:sz w:val="16"/>
          <w:szCs w:val="16"/>
        </w:rPr>
      </w:pPr>
    </w:p>
    <w:p w14:paraId="36C4B2AD" w14:textId="77777777" w:rsidR="00E15FE6" w:rsidRPr="00A259BD" w:rsidRDefault="00E15FE6" w:rsidP="009236E3">
      <w:pPr>
        <w:pStyle w:val="rtejustify"/>
        <w:spacing w:before="0" w:after="0"/>
        <w:rPr>
          <w:color w:val="000000" w:themeColor="text1"/>
          <w:sz w:val="16"/>
          <w:szCs w:val="16"/>
        </w:rPr>
      </w:pPr>
      <w:r w:rsidRPr="00A259BD">
        <w:rPr>
          <w:rStyle w:val="af0"/>
          <w:i w:val="0"/>
          <w:color w:val="000000" w:themeColor="text1"/>
          <w:sz w:val="16"/>
          <w:szCs w:val="16"/>
        </w:rPr>
        <w:t xml:space="preserve">8 мая </w:t>
      </w:r>
      <w:r w:rsidRPr="00A259BD">
        <w:rPr>
          <w:color w:val="000000" w:themeColor="text1"/>
          <w:sz w:val="16"/>
          <w:szCs w:val="16"/>
        </w:rPr>
        <w:t>1929 г</w:t>
      </w:r>
      <w:r w:rsidRPr="00A259BD">
        <w:rPr>
          <w:rStyle w:val="af0"/>
          <w:i w:val="0"/>
          <w:color w:val="000000" w:themeColor="text1"/>
          <w:sz w:val="16"/>
          <w:szCs w:val="16"/>
        </w:rPr>
        <w:t>. Протокол Реввоенсовета № 24.</w:t>
      </w:r>
      <w:r w:rsidRPr="00A259BD">
        <w:rPr>
          <w:color w:val="000000" w:themeColor="text1"/>
          <w:sz w:val="16"/>
          <w:szCs w:val="16"/>
        </w:rPr>
        <w:t xml:space="preserve"> 1. Система артиллерийского вооружения РККА. (Шапошников). 2. О 203</w:t>
      </w:r>
      <w:r w:rsidRPr="00A259BD">
        <w:rPr>
          <w:color w:val="000000" w:themeColor="text1"/>
          <w:sz w:val="16"/>
          <w:szCs w:val="16"/>
        </w:rPr>
        <w:noBreakHyphen/>
        <w:t>мм гаубице системы Шнейдера. (</w:t>
      </w:r>
      <w:proofErr w:type="spellStart"/>
      <w:r w:rsidRPr="00A259BD">
        <w:rPr>
          <w:color w:val="000000" w:themeColor="text1"/>
          <w:sz w:val="16"/>
          <w:szCs w:val="16"/>
        </w:rPr>
        <w:t>Гарф</w:t>
      </w:r>
      <w:proofErr w:type="spellEnd"/>
      <w:r w:rsidRPr="00A259BD">
        <w:rPr>
          <w:color w:val="000000" w:themeColor="text1"/>
          <w:sz w:val="16"/>
          <w:szCs w:val="16"/>
        </w:rPr>
        <w:t>). 6. О введении на вооружение зенитной установки системы Иванова. (Шапошников). (РГВА. Ф. 4. Оп. 18. Д. 15. Л. 155, 156) (12342).</w:t>
      </w:r>
    </w:p>
    <w:p w14:paraId="33076A2B" w14:textId="77777777" w:rsidR="00E15FE6" w:rsidRPr="00A259BD" w:rsidRDefault="00E15FE6" w:rsidP="009236E3">
      <w:pPr>
        <w:pStyle w:val="rtejustify"/>
        <w:spacing w:before="0" w:after="0"/>
        <w:rPr>
          <w:color w:val="000000" w:themeColor="text1"/>
          <w:sz w:val="16"/>
          <w:szCs w:val="16"/>
        </w:rPr>
      </w:pPr>
    </w:p>
    <w:p w14:paraId="3E80CC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мая 1929 г. было подготовлено письмо:</w:t>
      </w:r>
    </w:p>
    <w:p w14:paraId="6E3FFA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Совершенно секретно </w:t>
      </w:r>
    </w:p>
    <w:p w14:paraId="277CAD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Член Президиума и </w:t>
      </w:r>
      <w:proofErr w:type="spellStart"/>
      <w:r w:rsidRPr="00A259BD">
        <w:rPr>
          <w:rFonts w:ascii="Times New Roman" w:hAnsi="Times New Roman"/>
          <w:color w:val="000000" w:themeColor="text1"/>
          <w:sz w:val="16"/>
          <w:szCs w:val="16"/>
        </w:rPr>
        <w:t>Hачальник</w:t>
      </w:r>
      <w:proofErr w:type="spellEnd"/>
      <w:r w:rsidRPr="00A259BD">
        <w:rPr>
          <w:rFonts w:ascii="Times New Roman" w:hAnsi="Times New Roman"/>
          <w:color w:val="000000" w:themeColor="text1"/>
          <w:sz w:val="16"/>
          <w:szCs w:val="16"/>
        </w:rPr>
        <w:t xml:space="preserve"> Военно-промышленного Управления. </w:t>
      </w:r>
    </w:p>
    <w:p w14:paraId="7514ED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Климент Ефремович! </w:t>
      </w:r>
    </w:p>
    <w:p w14:paraId="3EE2AA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Сегодня получена от Круппа телеграмма, что он согласен на наши условия, которые мы им предложили здесь в Москве. Просят нашего согласия прислать [им снова] в Москву. Для окончания переговоров и подписания договоров, мы им подтвердили согласие на их приезд. Как теперь быть с </w:t>
      </w:r>
      <w:proofErr w:type="spellStart"/>
      <w:r w:rsidRPr="00A259BD">
        <w:rPr>
          <w:rFonts w:ascii="Times New Roman" w:hAnsi="Times New Roman"/>
          <w:color w:val="000000" w:themeColor="text1"/>
          <w:sz w:val="16"/>
          <w:szCs w:val="16"/>
        </w:rPr>
        <w:t>Рейнметаллом</w:t>
      </w:r>
      <w:proofErr w:type="spellEnd"/>
      <w:r w:rsidRPr="00A259BD">
        <w:rPr>
          <w:rFonts w:ascii="Times New Roman" w:hAnsi="Times New Roman"/>
          <w:color w:val="000000" w:themeColor="text1"/>
          <w:sz w:val="16"/>
          <w:szCs w:val="16"/>
        </w:rPr>
        <w:t xml:space="preserve">? До окончания дела с Круппом воздержаться от приглашения его в Москву для переговоров. </w:t>
      </w:r>
    </w:p>
    <w:p w14:paraId="18C525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Подпись неразборчива. Видимо, </w:t>
      </w:r>
      <w:proofErr w:type="spellStart"/>
      <w:r w:rsidRPr="00A259BD">
        <w:rPr>
          <w:rFonts w:ascii="Times New Roman" w:hAnsi="Times New Roman"/>
          <w:color w:val="000000" w:themeColor="text1"/>
          <w:sz w:val="16"/>
          <w:szCs w:val="16"/>
        </w:rPr>
        <w:t>Толоконцев</w:t>
      </w:r>
      <w:proofErr w:type="spellEnd"/>
    </w:p>
    <w:p w14:paraId="5E4B47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ЦГАСА. Ф. 33987 Оп. 3. Д. 216. Л. 21б. Рукописный подлинник (11448).</w:t>
      </w:r>
    </w:p>
    <w:p w14:paraId="090BE2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ECA029" w14:textId="77777777" w:rsidR="00393640"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BC913A5" w14:textId="77777777" w:rsidR="00393640" w:rsidRPr="00A259BD" w:rsidRDefault="0039364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C03771C" w14:textId="77777777" w:rsidR="00393640" w:rsidRPr="00A259BD" w:rsidRDefault="0039364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мая 1929 г. рекорд 11930 м, а рекорд 13157 м, 4 июня 1930 г. были установлены А. </w:t>
      </w:r>
      <w:proofErr w:type="spellStart"/>
      <w:r w:rsidRPr="00A259BD">
        <w:rPr>
          <w:rFonts w:ascii="Times New Roman" w:hAnsi="Times New Roman"/>
          <w:color w:val="000000" w:themeColor="text1"/>
          <w:sz w:val="16"/>
          <w:szCs w:val="16"/>
        </w:rPr>
        <w:t>Соучеком</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lang w:val="en-US"/>
        </w:rPr>
        <w:t>ApolloSoucek</w:t>
      </w:r>
      <w:proofErr w:type="spellEnd"/>
      <w:r w:rsidRPr="00A259BD">
        <w:rPr>
          <w:rFonts w:ascii="Times New Roman" w:hAnsi="Times New Roman"/>
          <w:color w:val="000000" w:themeColor="text1"/>
          <w:sz w:val="16"/>
          <w:szCs w:val="16"/>
        </w:rPr>
        <w:t>) на аме</w:t>
      </w:r>
      <w:r w:rsidRPr="00A259BD">
        <w:rPr>
          <w:rFonts w:ascii="Times New Roman" w:hAnsi="Times New Roman"/>
          <w:color w:val="000000" w:themeColor="text1"/>
          <w:sz w:val="16"/>
          <w:szCs w:val="16"/>
        </w:rPr>
        <w:softHyphen/>
        <w:t xml:space="preserve">риканском самолёте Райт </w:t>
      </w:r>
      <w:r w:rsidRPr="00A259BD">
        <w:rPr>
          <w:rFonts w:ascii="Times New Roman" w:hAnsi="Times New Roman"/>
          <w:color w:val="000000" w:themeColor="text1"/>
          <w:sz w:val="16"/>
          <w:szCs w:val="16"/>
          <w:lang w:val="en-US"/>
        </w:rPr>
        <w:t>F</w:t>
      </w:r>
      <w:r w:rsidRPr="00A259BD">
        <w:rPr>
          <w:rFonts w:ascii="Times New Roman" w:hAnsi="Times New Roman"/>
          <w:color w:val="000000" w:themeColor="text1"/>
          <w:sz w:val="16"/>
          <w:szCs w:val="16"/>
        </w:rPr>
        <w:t>3</w:t>
      </w:r>
      <w:r w:rsidRPr="00A259BD">
        <w:rPr>
          <w:rFonts w:ascii="Times New Roman" w:hAnsi="Times New Roman"/>
          <w:color w:val="000000" w:themeColor="text1"/>
          <w:sz w:val="16"/>
          <w:szCs w:val="16"/>
          <w:lang w:val="en-US"/>
        </w:rPr>
        <w:t>W</w:t>
      </w:r>
      <w:r w:rsidRPr="00A259BD">
        <w:rPr>
          <w:rFonts w:ascii="Times New Roman" w:hAnsi="Times New Roman"/>
          <w:color w:val="000000" w:themeColor="text1"/>
          <w:sz w:val="16"/>
          <w:szCs w:val="16"/>
        </w:rPr>
        <w:t>-1 «Апач».</w:t>
      </w:r>
    </w:p>
    <w:p w14:paraId="1BFD42AB" w14:textId="77777777" w:rsidR="00393640" w:rsidRPr="00A259BD" w:rsidRDefault="0039364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Этот одноместный биплан проектиро</w:t>
      </w:r>
      <w:r w:rsidRPr="00A259BD">
        <w:rPr>
          <w:rFonts w:ascii="Times New Roman" w:hAnsi="Times New Roman"/>
          <w:color w:val="000000" w:themeColor="text1"/>
          <w:sz w:val="16"/>
          <w:szCs w:val="16"/>
        </w:rPr>
        <w:softHyphen/>
        <w:t>вался как лёгкий палубный истребитель. Самолёт использовался для испытаний двигателя Пратт &amp; Уитни «</w:t>
      </w:r>
      <w:proofErr w:type="spellStart"/>
      <w:r w:rsidRPr="00A259BD">
        <w:rPr>
          <w:rFonts w:ascii="Times New Roman" w:hAnsi="Times New Roman"/>
          <w:color w:val="000000" w:themeColor="text1"/>
          <w:sz w:val="16"/>
          <w:szCs w:val="16"/>
        </w:rPr>
        <w:t>Уосп</w:t>
      </w:r>
      <w:proofErr w:type="spellEnd"/>
      <w:r w:rsidRPr="00A259BD">
        <w:rPr>
          <w:rFonts w:ascii="Times New Roman" w:hAnsi="Times New Roman"/>
          <w:color w:val="000000" w:themeColor="text1"/>
          <w:sz w:val="16"/>
          <w:szCs w:val="16"/>
        </w:rPr>
        <w:t>» мощностью 420 л.с. со встроенным приводным центробежным на</w:t>
      </w:r>
      <w:r w:rsidRPr="00A259BD">
        <w:rPr>
          <w:rFonts w:ascii="Times New Roman" w:hAnsi="Times New Roman"/>
          <w:color w:val="000000" w:themeColor="text1"/>
          <w:sz w:val="16"/>
          <w:szCs w:val="16"/>
        </w:rPr>
        <w:softHyphen/>
        <w:t xml:space="preserve">гнетателем (третий рекорд был установлен с мотором мощностью 450 л.с.). После первого рекордного полёта лётчика К. Чемпиона (С.С. </w:t>
      </w:r>
      <w:r w:rsidRPr="00A259BD">
        <w:rPr>
          <w:rFonts w:ascii="Times New Roman" w:hAnsi="Times New Roman"/>
          <w:color w:val="000000" w:themeColor="text1"/>
          <w:sz w:val="16"/>
          <w:szCs w:val="16"/>
          <w:lang w:val="en-US"/>
        </w:rPr>
        <w:t>Champion</w:t>
      </w:r>
      <w:r w:rsidRPr="00A259BD">
        <w:rPr>
          <w:rFonts w:ascii="Times New Roman" w:hAnsi="Times New Roman"/>
          <w:color w:val="000000" w:themeColor="text1"/>
          <w:sz w:val="16"/>
          <w:szCs w:val="16"/>
        </w:rPr>
        <w:t xml:space="preserve">) - 11710 м в июле 1927, конструкцию </w:t>
      </w:r>
      <w:r w:rsidRPr="00A259BD">
        <w:rPr>
          <w:rFonts w:ascii="Times New Roman" w:hAnsi="Times New Roman"/>
          <w:color w:val="000000" w:themeColor="text1"/>
          <w:sz w:val="16"/>
          <w:szCs w:val="16"/>
          <w:lang w:val="en-US"/>
        </w:rPr>
        <w:t>F</w:t>
      </w:r>
      <w:r w:rsidRPr="00A259BD">
        <w:rPr>
          <w:rFonts w:ascii="Times New Roman" w:hAnsi="Times New Roman"/>
          <w:color w:val="000000" w:themeColor="text1"/>
          <w:sz w:val="16"/>
          <w:szCs w:val="16"/>
        </w:rPr>
        <w:t>3</w:t>
      </w:r>
      <w:r w:rsidRPr="00A259BD">
        <w:rPr>
          <w:rFonts w:ascii="Times New Roman" w:hAnsi="Times New Roman"/>
          <w:color w:val="000000" w:themeColor="text1"/>
          <w:sz w:val="16"/>
          <w:szCs w:val="16"/>
          <w:lang w:val="en-US"/>
        </w:rPr>
        <w:t>W</w:t>
      </w:r>
      <w:r w:rsidRPr="00A259BD">
        <w:rPr>
          <w:rFonts w:ascii="Times New Roman" w:hAnsi="Times New Roman"/>
          <w:color w:val="000000" w:themeColor="text1"/>
          <w:sz w:val="16"/>
          <w:szCs w:val="16"/>
        </w:rPr>
        <w:t>-1 доработали. Центр тяжести был смещён вперёд, крылья для экономии веса не окрашивались, а только покрывались лаком, установили дру</w:t>
      </w:r>
      <w:r w:rsidRPr="00A259BD">
        <w:rPr>
          <w:rFonts w:ascii="Times New Roman" w:hAnsi="Times New Roman"/>
          <w:color w:val="000000" w:themeColor="text1"/>
          <w:sz w:val="16"/>
          <w:szCs w:val="16"/>
        </w:rPr>
        <w:softHyphen/>
        <w:t>гой двигатель «</w:t>
      </w:r>
      <w:proofErr w:type="spellStart"/>
      <w:r w:rsidRPr="00A259BD">
        <w:rPr>
          <w:rFonts w:ascii="Times New Roman" w:hAnsi="Times New Roman"/>
          <w:color w:val="000000" w:themeColor="text1"/>
          <w:sz w:val="16"/>
          <w:szCs w:val="16"/>
        </w:rPr>
        <w:t>Уосп</w:t>
      </w:r>
      <w:proofErr w:type="spellEnd"/>
      <w:r w:rsidRPr="00A259BD">
        <w:rPr>
          <w:rFonts w:ascii="Times New Roman" w:hAnsi="Times New Roman"/>
          <w:color w:val="000000" w:themeColor="text1"/>
          <w:sz w:val="16"/>
          <w:szCs w:val="16"/>
        </w:rPr>
        <w:t>» с более совершенным нагнетателем и специальным карбюратором.</w:t>
      </w:r>
    </w:p>
    <w:p w14:paraId="5DF35743" w14:textId="77777777" w:rsidR="00393640" w:rsidRPr="00A259BD" w:rsidRDefault="0039364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Кабина обогревалась выхлопными газами. На случай потери сознания имелось устрой</w:t>
      </w:r>
      <w:r w:rsidRPr="00A259BD">
        <w:rPr>
          <w:rFonts w:ascii="Times New Roman" w:hAnsi="Times New Roman"/>
          <w:color w:val="000000" w:themeColor="text1"/>
          <w:sz w:val="16"/>
          <w:szCs w:val="16"/>
        </w:rPr>
        <w:softHyphen/>
        <w:t>ство, прекращавшее подачу топлива и вы</w:t>
      </w:r>
      <w:r w:rsidRPr="00A259BD">
        <w:rPr>
          <w:rFonts w:ascii="Times New Roman" w:hAnsi="Times New Roman"/>
          <w:color w:val="000000" w:themeColor="text1"/>
          <w:sz w:val="16"/>
          <w:szCs w:val="16"/>
        </w:rPr>
        <w:softHyphen/>
        <w:t>ключавшее нагнетатель.</w:t>
      </w:r>
    </w:p>
    <w:p w14:paraId="5B678792" w14:textId="77777777" w:rsidR="00393640" w:rsidRPr="00A259BD" w:rsidRDefault="0039364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Высотная экипировка </w:t>
      </w:r>
      <w:proofErr w:type="spellStart"/>
      <w:r w:rsidRPr="00A259BD">
        <w:rPr>
          <w:rFonts w:ascii="Times New Roman" w:hAnsi="Times New Roman"/>
          <w:color w:val="000000" w:themeColor="text1"/>
          <w:sz w:val="16"/>
          <w:szCs w:val="16"/>
        </w:rPr>
        <w:t>Соучека</w:t>
      </w:r>
      <w:proofErr w:type="spellEnd"/>
      <w:r w:rsidRPr="00A259BD">
        <w:rPr>
          <w:rFonts w:ascii="Times New Roman" w:hAnsi="Times New Roman"/>
          <w:color w:val="000000" w:themeColor="text1"/>
          <w:sz w:val="16"/>
          <w:szCs w:val="16"/>
        </w:rPr>
        <w:t xml:space="preserve"> помимо тёплой одежды включала очки с электро</w:t>
      </w:r>
      <w:r w:rsidRPr="00A259BD">
        <w:rPr>
          <w:rFonts w:ascii="Times New Roman" w:hAnsi="Times New Roman"/>
          <w:color w:val="000000" w:themeColor="text1"/>
          <w:sz w:val="16"/>
          <w:szCs w:val="16"/>
        </w:rPr>
        <w:softHyphen/>
        <w:t>подогревом, а дыхательное оборудование было усовершенствовано, чтобы кислород подавался в лёгкие под давлением. Давление создавалось сжатием кислородного шлан</w:t>
      </w:r>
      <w:r w:rsidRPr="00A259BD">
        <w:rPr>
          <w:rFonts w:ascii="Times New Roman" w:hAnsi="Times New Roman"/>
          <w:color w:val="000000" w:themeColor="text1"/>
          <w:sz w:val="16"/>
          <w:szCs w:val="16"/>
        </w:rPr>
        <w:softHyphen/>
        <w:t>га: «С опытом я понял, что на 40000 футов [12 км] или выше давление воздуха намно</w:t>
      </w:r>
      <w:r w:rsidRPr="00A259BD">
        <w:rPr>
          <w:rFonts w:ascii="Times New Roman" w:hAnsi="Times New Roman"/>
          <w:color w:val="000000" w:themeColor="text1"/>
          <w:sz w:val="16"/>
          <w:szCs w:val="16"/>
        </w:rPr>
        <w:softHyphen/>
        <w:t>го меньше, чем давление в лёгких пилота, в результате чего, когда кислород из обыч</w:t>
      </w:r>
      <w:r w:rsidRPr="00A259BD">
        <w:rPr>
          <w:rFonts w:ascii="Times New Roman" w:hAnsi="Times New Roman"/>
          <w:color w:val="000000" w:themeColor="text1"/>
          <w:sz w:val="16"/>
          <w:szCs w:val="16"/>
        </w:rPr>
        <w:softHyphen/>
        <w:t xml:space="preserve">ного кислородного устройства подаётся в рот, давление в легких стремится </w:t>
      </w:r>
      <w:r w:rsidRPr="00A259BD">
        <w:rPr>
          <w:rFonts w:ascii="Times New Roman" w:hAnsi="Times New Roman"/>
          <w:color w:val="000000" w:themeColor="text1"/>
          <w:sz w:val="16"/>
          <w:szCs w:val="16"/>
        </w:rPr>
        <w:lastRenderedPageBreak/>
        <w:t>вытолкнуть его обратно. Тогда, не так давно, я удлинил дыхательную трубку на пару футов и затем пришил нижнюю часть к ручке управления самолётом. Это преследовало цель создать в трубке давление, равное давлению в моих лёгких, так, чтобы поступающий кислород, вместо того, чтобы быть вытолкнутым обрат</w:t>
      </w:r>
      <w:r w:rsidRPr="00A259BD">
        <w:rPr>
          <w:rFonts w:ascii="Times New Roman" w:hAnsi="Times New Roman"/>
          <w:color w:val="000000" w:themeColor="text1"/>
          <w:sz w:val="16"/>
          <w:szCs w:val="16"/>
        </w:rPr>
        <w:softHyphen/>
        <w:t>но ко рту, должным образом поступал в лёг</w:t>
      </w:r>
      <w:r w:rsidRPr="00A259BD">
        <w:rPr>
          <w:rFonts w:ascii="Times New Roman" w:hAnsi="Times New Roman"/>
          <w:color w:val="000000" w:themeColor="text1"/>
          <w:sz w:val="16"/>
          <w:szCs w:val="16"/>
        </w:rPr>
        <w:softHyphen/>
        <w:t>кие».</w:t>
      </w:r>
    </w:p>
    <w:p w14:paraId="2DC8CAE6" w14:textId="77777777" w:rsidR="00393640" w:rsidRPr="00A259BD" w:rsidRDefault="0039364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Однако, не став исключением, полёты </w:t>
      </w:r>
      <w:proofErr w:type="spellStart"/>
      <w:r w:rsidRPr="00A259BD">
        <w:rPr>
          <w:rFonts w:ascii="Times New Roman" w:hAnsi="Times New Roman"/>
          <w:color w:val="000000" w:themeColor="text1"/>
          <w:sz w:val="16"/>
          <w:szCs w:val="16"/>
        </w:rPr>
        <w:t>Соучека</w:t>
      </w:r>
      <w:proofErr w:type="spellEnd"/>
      <w:r w:rsidRPr="00A259BD">
        <w:rPr>
          <w:rFonts w:ascii="Times New Roman" w:hAnsi="Times New Roman"/>
          <w:color w:val="000000" w:themeColor="text1"/>
          <w:sz w:val="16"/>
          <w:szCs w:val="16"/>
        </w:rPr>
        <w:t>, всё же, сопровождались непри</w:t>
      </w:r>
      <w:r w:rsidRPr="00A259BD">
        <w:rPr>
          <w:rFonts w:ascii="Times New Roman" w:hAnsi="Times New Roman"/>
          <w:color w:val="000000" w:themeColor="text1"/>
          <w:sz w:val="16"/>
          <w:szCs w:val="16"/>
        </w:rPr>
        <w:softHyphen/>
        <w:t>ятными сюрпризами: «Эта трубка должна была довольно</w:t>
      </w:r>
      <w:r w:rsidRPr="00A259BD">
        <w:rPr>
          <w:rStyle w:val="aff5"/>
          <w:rFonts w:ascii="Times New Roman" w:eastAsia="Arial Unicode MS" w:hAnsi="Times New Roman" w:cs="Times New Roman"/>
          <w:i w:val="0"/>
          <w:color w:val="000000" w:themeColor="text1"/>
        </w:rPr>
        <w:t xml:space="preserve"> часто</w:t>
      </w:r>
      <w:r w:rsidRPr="00A259BD">
        <w:rPr>
          <w:rFonts w:ascii="Times New Roman" w:hAnsi="Times New Roman"/>
          <w:color w:val="000000" w:themeColor="text1"/>
          <w:sz w:val="16"/>
          <w:szCs w:val="16"/>
        </w:rPr>
        <w:t xml:space="preserve"> открываться, чтобы дать выйти ядовитому воздуху. Несколько недель назад во время испытательного по</w:t>
      </w:r>
      <w:r w:rsidRPr="00A259BD">
        <w:rPr>
          <w:rFonts w:ascii="Times New Roman" w:hAnsi="Times New Roman"/>
          <w:color w:val="000000" w:themeColor="text1"/>
          <w:sz w:val="16"/>
          <w:szCs w:val="16"/>
        </w:rPr>
        <w:softHyphen/>
        <w:t xml:space="preserve">лёта на высоте около 35000 </w:t>
      </w:r>
      <w:proofErr w:type="spellStart"/>
      <w:r w:rsidRPr="00A259BD">
        <w:rPr>
          <w:rFonts w:ascii="Times New Roman" w:hAnsi="Times New Roman"/>
          <w:color w:val="000000" w:themeColor="text1"/>
          <w:sz w:val="16"/>
          <w:szCs w:val="16"/>
        </w:rPr>
        <w:t>фт</w:t>
      </w:r>
      <w:proofErr w:type="spellEnd"/>
      <w:r w:rsidRPr="00A259BD">
        <w:rPr>
          <w:rFonts w:ascii="Times New Roman" w:hAnsi="Times New Roman"/>
          <w:color w:val="000000" w:themeColor="text1"/>
          <w:sz w:val="16"/>
          <w:szCs w:val="16"/>
        </w:rPr>
        <w:t xml:space="preserve"> [10700 м] я забыл сжать трубку, из-за чего почти сразу же мне стало очень трудно дышать. Давле</w:t>
      </w:r>
      <w:r w:rsidRPr="00A259BD">
        <w:rPr>
          <w:rFonts w:ascii="Times New Roman" w:hAnsi="Times New Roman"/>
          <w:color w:val="000000" w:themeColor="text1"/>
          <w:sz w:val="16"/>
          <w:szCs w:val="16"/>
        </w:rPr>
        <w:softHyphen/>
        <w:t>ние в трубке стало настолько сильным, что из-за него поток, фактически, выдувался у кончиков рта, и я почувствовал, что он за</w:t>
      </w:r>
      <w:r w:rsidRPr="00A259BD">
        <w:rPr>
          <w:rFonts w:ascii="Times New Roman" w:hAnsi="Times New Roman"/>
          <w:color w:val="000000" w:themeColor="text1"/>
          <w:sz w:val="16"/>
          <w:szCs w:val="16"/>
        </w:rPr>
        <w:softHyphen/>
        <w:t>мёрз! Конечно, я разжал трубку, но она не открывалась. Внутренние части смёрзлись, когда она была сжата. Тем не менее, я как-то умудрился качанием и ударами добиться, что она вновь заработала». Подобная ситуация повторилась в рекордном полёте 4 июня 1930 г. Тогда лёд, образовавшийся в трубке кислородного аппарата, перекрыл подачу кислорода. Лётчику пришлось рас</w:t>
      </w:r>
      <w:r w:rsidRPr="00A259BD">
        <w:rPr>
          <w:rFonts w:ascii="Times New Roman" w:hAnsi="Times New Roman"/>
          <w:color w:val="000000" w:themeColor="text1"/>
          <w:sz w:val="16"/>
          <w:szCs w:val="16"/>
        </w:rPr>
        <w:softHyphen/>
        <w:t xml:space="preserve">калывать его ударами трубки о фюзеляж и затем вытряхивать осколки. В полете 8 мая 1929 г. </w:t>
      </w:r>
      <w:proofErr w:type="spellStart"/>
      <w:r w:rsidRPr="00A259BD">
        <w:rPr>
          <w:rFonts w:ascii="Times New Roman" w:hAnsi="Times New Roman"/>
          <w:color w:val="000000" w:themeColor="text1"/>
          <w:sz w:val="16"/>
          <w:szCs w:val="16"/>
        </w:rPr>
        <w:t>Соучек</w:t>
      </w:r>
      <w:proofErr w:type="spellEnd"/>
      <w:r w:rsidRPr="00A259BD">
        <w:rPr>
          <w:rFonts w:ascii="Times New Roman" w:hAnsi="Times New Roman"/>
          <w:color w:val="000000" w:themeColor="text1"/>
          <w:sz w:val="16"/>
          <w:szCs w:val="16"/>
        </w:rPr>
        <w:t xml:space="preserve"> столкнулся и с другой проблемой. Ему пришлось прилагать боль</w:t>
      </w:r>
      <w:r w:rsidRPr="00A259BD">
        <w:rPr>
          <w:rFonts w:ascii="Times New Roman" w:hAnsi="Times New Roman"/>
          <w:color w:val="000000" w:themeColor="text1"/>
          <w:sz w:val="16"/>
          <w:szCs w:val="16"/>
        </w:rPr>
        <w:softHyphen/>
        <w:t>шие усилия для управления самолётом – на большой высоте замёрзло масло, которым были смазаны тяги (15842).</w:t>
      </w:r>
    </w:p>
    <w:p w14:paraId="0B1CB1C0" w14:textId="77777777" w:rsidR="00393640" w:rsidRPr="00A259BD" w:rsidRDefault="00393640" w:rsidP="009236E3">
      <w:pPr>
        <w:spacing w:after="0" w:line="240" w:lineRule="auto"/>
        <w:jc w:val="both"/>
        <w:rPr>
          <w:rFonts w:ascii="Times New Roman" w:hAnsi="Times New Roman"/>
          <w:color w:val="000000" w:themeColor="text1"/>
          <w:sz w:val="16"/>
          <w:szCs w:val="16"/>
        </w:rPr>
      </w:pPr>
    </w:p>
    <w:p w14:paraId="66DBBE35" w14:textId="77777777" w:rsidR="00393640" w:rsidRPr="00A259BD" w:rsidRDefault="0039364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мая в 1929 году последний (из 25) легкий транспортный самолет «Boeing» «Model 95» («NС-426Е») передан заказчику: 20 машин было поставлено авиакомпании «БАТ», одна - авиакомпании "</w:t>
      </w:r>
      <w:proofErr w:type="spellStart"/>
      <w:r w:rsidRPr="00A259BD">
        <w:rPr>
          <w:rFonts w:ascii="Times New Roman" w:hAnsi="Times New Roman"/>
          <w:color w:val="000000" w:themeColor="text1"/>
          <w:sz w:val="16"/>
          <w:szCs w:val="16"/>
        </w:rPr>
        <w:t>Нейшнл</w:t>
      </w:r>
      <w:proofErr w:type="spellEnd"/>
      <w:r w:rsidRPr="00A259BD">
        <w:rPr>
          <w:rFonts w:ascii="Times New Roman" w:hAnsi="Times New Roman"/>
          <w:color w:val="000000" w:themeColor="text1"/>
          <w:sz w:val="16"/>
          <w:szCs w:val="16"/>
        </w:rPr>
        <w:t xml:space="preserve"> Эйр Транспорт", также принадлежавшей фирме «Боинг» и вошедшей в «Юнайтед Эйр Транспорт» (ЮЭТ), и еще четыре - авиакомпании «Вестерн Эйр Экспресс» (14885).</w:t>
      </w:r>
    </w:p>
    <w:p w14:paraId="171CDE95" w14:textId="77777777" w:rsidR="00393640" w:rsidRPr="00A259BD" w:rsidRDefault="00393640" w:rsidP="009236E3">
      <w:pPr>
        <w:spacing w:after="0" w:line="240" w:lineRule="auto"/>
        <w:jc w:val="both"/>
        <w:rPr>
          <w:rFonts w:ascii="Times New Roman" w:hAnsi="Times New Roman"/>
          <w:color w:val="000000" w:themeColor="text1"/>
          <w:sz w:val="16"/>
          <w:szCs w:val="16"/>
        </w:rPr>
      </w:pPr>
    </w:p>
    <w:p w14:paraId="4993C01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43DE50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8875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мая 1929 Дир. завода 25 Горшков и Пом. </w:t>
      </w:r>
      <w:proofErr w:type="spellStart"/>
      <w:r w:rsidRPr="00A259BD">
        <w:rPr>
          <w:rFonts w:ascii="Times New Roman" w:hAnsi="Times New Roman"/>
          <w:color w:val="000000" w:themeColor="text1"/>
          <w:sz w:val="16"/>
          <w:szCs w:val="16"/>
        </w:rPr>
        <w:t>дир</w:t>
      </w:r>
      <w:proofErr w:type="spellEnd"/>
      <w:r w:rsidRPr="00A259BD">
        <w:rPr>
          <w:rFonts w:ascii="Times New Roman" w:hAnsi="Times New Roman"/>
          <w:color w:val="000000" w:themeColor="text1"/>
          <w:sz w:val="16"/>
          <w:szCs w:val="16"/>
        </w:rPr>
        <w:t xml:space="preserve">.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Н.Н.П. направили в Техотдел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письмо N 761сс</w:t>
      </w:r>
    </w:p>
    <w:p w14:paraId="2F1319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дополнение к ранее посланным материалам завод 25 доводит до в/сведения, что в представленном пятилетнем плане опытного строительства им предусматривались в частности следующие работы:</w:t>
      </w:r>
    </w:p>
    <w:p w14:paraId="0ACE33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группа:</w:t>
      </w:r>
    </w:p>
    <w:p w14:paraId="23960F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Р-5 - предполагалось провести модернизацию его в двух направлениях: по линии большего приспособления этого самолета для бомбометания, в частности тяжелых до 500 кг бомб по линии металлизации конструкции самолета, вплоть до постройки сварного из труб фюзеляжа и хвостового оперения. Предполагается в конечном счете получить вполне современный грузоподъемный дневной бомбардировщик с одним мотором.</w:t>
      </w:r>
    </w:p>
    <w:p w14:paraId="4ED952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И-3 - модернизация этого самолета должна состоять из устранения дефектов, отмеченных в результате эксплуатации в частях. Возможна, конечно, установка другого мотора. Конструкцию в основном предполагается сохранить.</w:t>
      </w:r>
    </w:p>
    <w:p w14:paraId="024018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ТБ-2. Здесь предполагается учесть все те стороны положительные и отрицательные, кои выявятся при летных испытаниях 1 экз. ТБ-2 2М-17.</w:t>
      </w:r>
    </w:p>
    <w:p w14:paraId="6FEA72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и 5. У-2 П-2. Предусматривается учет результатов эксплуатац2ии и возможность постановки другого мотора.</w:t>
      </w:r>
    </w:p>
    <w:p w14:paraId="10496A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группа:</w:t>
      </w:r>
    </w:p>
    <w:p w14:paraId="6B9297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У-2 на поплавках в целях получения стандартного школьного самолета, как сухопутного, так и морского. Пример заграницы подтверждает жизненность этого.</w:t>
      </w:r>
    </w:p>
    <w:p w14:paraId="71DB69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И-3 на поплавках выявился желанием иметь истребитель на поплавках для защиты морских баз, в том случае если вблизи нет земных аэродромов.</w:t>
      </w:r>
    </w:p>
    <w:p w14:paraId="0967ED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Одноместный торпедоносец предполагается для защиты баз и станций.</w:t>
      </w:r>
    </w:p>
    <w:p w14:paraId="7308D0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группа:</w:t>
      </w:r>
    </w:p>
    <w:p w14:paraId="342F3F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Легкий разведчик предполагается сделать средней величины между Р-5 и П-2 под нагрузку не боле6е 750-755 кг. Предполагается получить быстроходную маневренную машину.</w:t>
      </w:r>
    </w:p>
    <w:p w14:paraId="1395B4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По аналогии с Д-2 и И-3 предполагается использовать И-6 и развивать его в двухместный истребитель, высокоманевренный и весьма пригодный для защиты опорных пунктов.</w:t>
      </w:r>
    </w:p>
    <w:p w14:paraId="7146C2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По одноместному истребителю с мотором водяного охлаждения предполагается построить современный самолет с качествами, лучшими, чем у И-3</w:t>
      </w:r>
    </w:p>
    <w:p w14:paraId="429A6C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Этот самолет д. явиться дальнейшим развитием</w:t>
      </w:r>
    </w:p>
    <w:p w14:paraId="394456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и 5 группы - достаточно полно выявлены в наших докладах...</w:t>
      </w:r>
    </w:p>
    <w:p w14:paraId="0DA583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имеющимся у нас сведениям представленный нами план расходится в некоторых пунктах с таковым, разрабатываемым в настоящее время в ВВС." (2365).</w:t>
      </w:r>
    </w:p>
    <w:p w14:paraId="21A5D1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69B7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мая 1929 г. в письме в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Николай Николаевич в числе успешно выполняемых плановых работ отметил “И-3 на поплавках”. Однако в дейст</w:t>
      </w:r>
      <w:r w:rsidRPr="00A259BD">
        <w:rPr>
          <w:rFonts w:ascii="Times New Roman" w:hAnsi="Times New Roman"/>
          <w:color w:val="000000" w:themeColor="text1"/>
          <w:sz w:val="16"/>
          <w:szCs w:val="16"/>
        </w:rPr>
        <w:softHyphen/>
        <w:t>вительности проектирование проводилось медленными темпами, минимальным числом конструкторов. Поли</w:t>
      </w:r>
      <w:r w:rsidRPr="00A259BD">
        <w:rPr>
          <w:rFonts w:ascii="Times New Roman" w:hAnsi="Times New Roman"/>
          <w:color w:val="000000" w:themeColor="text1"/>
          <w:sz w:val="16"/>
          <w:szCs w:val="16"/>
        </w:rPr>
        <w:softHyphen/>
        <w:t>карпов, занимаясь созданием нового семейства перспек</w:t>
      </w:r>
      <w:r w:rsidRPr="00A259BD">
        <w:rPr>
          <w:rFonts w:ascii="Times New Roman" w:hAnsi="Times New Roman"/>
          <w:color w:val="000000" w:themeColor="text1"/>
          <w:sz w:val="16"/>
          <w:szCs w:val="16"/>
        </w:rPr>
        <w:softHyphen/>
        <w:t>тивных истребителей, не считал это задание достаточно приоритетным. Все же к сентябрю 1929 г. предваритель</w:t>
      </w:r>
      <w:r w:rsidRPr="00A259BD">
        <w:rPr>
          <w:rFonts w:ascii="Times New Roman" w:hAnsi="Times New Roman"/>
          <w:color w:val="000000" w:themeColor="text1"/>
          <w:sz w:val="16"/>
          <w:szCs w:val="16"/>
        </w:rPr>
        <w:softHyphen/>
        <w:t>ный эскизный проект был завершен. После отстранения Николая Николаевича от активной конструкторской де</w:t>
      </w:r>
      <w:r w:rsidRPr="00A259BD">
        <w:rPr>
          <w:rFonts w:ascii="Times New Roman" w:hAnsi="Times New Roman"/>
          <w:color w:val="000000" w:themeColor="text1"/>
          <w:sz w:val="16"/>
          <w:szCs w:val="16"/>
        </w:rPr>
        <w:softHyphen/>
        <w:t>ятельности в октябре 1929 г. все работы над ним прекра</w:t>
      </w:r>
      <w:r w:rsidRPr="00A259BD">
        <w:rPr>
          <w:rFonts w:ascii="Times New Roman" w:hAnsi="Times New Roman"/>
          <w:color w:val="000000" w:themeColor="text1"/>
          <w:sz w:val="16"/>
          <w:szCs w:val="16"/>
        </w:rPr>
        <w:softHyphen/>
        <w:t>тились (10667).</w:t>
      </w:r>
    </w:p>
    <w:p w14:paraId="7FB1D20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Предварительный план опытного строительства сухопутных самолетов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515"/>
        <w:gridCol w:w="3014"/>
        <w:gridCol w:w="2285"/>
        <w:gridCol w:w="2419"/>
      </w:tblGrid>
      <w:tr w:rsidR="00A259BD" w:rsidRPr="00A259BD" w14:paraId="4AA403E2" w14:textId="77777777">
        <w:trPr>
          <w:trHeight w:val="538"/>
        </w:trPr>
        <w:tc>
          <w:tcPr>
            <w:tcW w:w="2515" w:type="dxa"/>
            <w:tcBorders>
              <w:top w:val="single" w:sz="12" w:space="0" w:color="auto"/>
            </w:tcBorders>
          </w:tcPr>
          <w:p w14:paraId="63D2AA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Обозначение самолета</w:t>
            </w:r>
          </w:p>
        </w:tc>
        <w:tc>
          <w:tcPr>
            <w:tcW w:w="3014" w:type="dxa"/>
            <w:tcBorders>
              <w:top w:val="single" w:sz="12" w:space="0" w:color="auto"/>
            </w:tcBorders>
          </w:tcPr>
          <w:p w14:paraId="23E6185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Разрабатывающая организация</w:t>
            </w:r>
          </w:p>
        </w:tc>
        <w:tc>
          <w:tcPr>
            <w:tcW w:w="2285" w:type="dxa"/>
            <w:tcBorders>
              <w:top w:val="single" w:sz="12" w:space="0" w:color="auto"/>
            </w:tcBorders>
          </w:tcPr>
          <w:p w14:paraId="4D4002F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Месяц и год &lt; проектирования</w:t>
            </w:r>
          </w:p>
        </w:tc>
        <w:tc>
          <w:tcPr>
            <w:tcW w:w="2419" w:type="dxa"/>
            <w:tcBorders>
              <w:top w:val="single" w:sz="12" w:space="0" w:color="auto"/>
            </w:tcBorders>
          </w:tcPr>
          <w:p w14:paraId="2BBE9D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экончания</w:t>
            </w:r>
            <w:proofErr w:type="spellEnd"/>
            <w:r w:rsidRPr="00A259BD">
              <w:rPr>
                <w:rFonts w:ascii="Times New Roman" w:hAnsi="Times New Roman"/>
                <w:color w:val="000000" w:themeColor="text1"/>
                <w:sz w:val="16"/>
                <w:szCs w:val="16"/>
              </w:rPr>
              <w:t xml:space="preserve"> постройки</w:t>
            </w:r>
          </w:p>
        </w:tc>
      </w:tr>
      <w:tr w:rsidR="00A259BD" w:rsidRPr="00A259BD" w14:paraId="6D99813D" w14:textId="77777777">
        <w:trPr>
          <w:trHeight w:val="259"/>
        </w:trPr>
        <w:tc>
          <w:tcPr>
            <w:tcW w:w="2515" w:type="dxa"/>
          </w:tcPr>
          <w:p w14:paraId="1135C8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И4-Юп7</w:t>
            </w:r>
          </w:p>
        </w:tc>
        <w:tc>
          <w:tcPr>
            <w:tcW w:w="3014" w:type="dxa"/>
          </w:tcPr>
          <w:p w14:paraId="574E10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2285" w:type="dxa"/>
          </w:tcPr>
          <w:p w14:paraId="68E9BAE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май 1929 г.</w:t>
            </w:r>
          </w:p>
        </w:tc>
        <w:tc>
          <w:tcPr>
            <w:tcW w:w="2419" w:type="dxa"/>
          </w:tcPr>
          <w:p w14:paraId="69B55C0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октябрь 1929 г.</w:t>
            </w:r>
          </w:p>
        </w:tc>
      </w:tr>
      <w:tr w:rsidR="00A259BD" w:rsidRPr="00A259BD" w14:paraId="2F189591" w14:textId="77777777">
        <w:trPr>
          <w:trHeight w:val="240"/>
        </w:trPr>
        <w:tc>
          <w:tcPr>
            <w:tcW w:w="2515" w:type="dxa"/>
          </w:tcPr>
          <w:p w14:paraId="3500008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И5-Юп7</w:t>
            </w:r>
          </w:p>
        </w:tc>
        <w:tc>
          <w:tcPr>
            <w:tcW w:w="3014" w:type="dxa"/>
          </w:tcPr>
          <w:p w14:paraId="5C217FE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2285" w:type="dxa"/>
          </w:tcPr>
          <w:p w14:paraId="0C33BB1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ноябрь 1929 г.</w:t>
            </w:r>
          </w:p>
        </w:tc>
        <w:tc>
          <w:tcPr>
            <w:tcW w:w="2419" w:type="dxa"/>
          </w:tcPr>
          <w:p w14:paraId="379D78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сентябрь 1930 г.</w:t>
            </w:r>
          </w:p>
        </w:tc>
      </w:tr>
      <w:tr w:rsidR="00A259BD" w:rsidRPr="00A259BD" w14:paraId="4F3B6DDB" w14:textId="77777777">
        <w:trPr>
          <w:trHeight w:val="230"/>
        </w:trPr>
        <w:tc>
          <w:tcPr>
            <w:tcW w:w="2515" w:type="dxa"/>
          </w:tcPr>
          <w:p w14:paraId="5D2EA42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И6-Юпб</w:t>
            </w:r>
          </w:p>
        </w:tc>
        <w:tc>
          <w:tcPr>
            <w:tcW w:w="3014" w:type="dxa"/>
          </w:tcPr>
          <w:p w14:paraId="615B78A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25</w:t>
            </w:r>
          </w:p>
        </w:tc>
        <w:tc>
          <w:tcPr>
            <w:tcW w:w="2285" w:type="dxa"/>
          </w:tcPr>
          <w:p w14:paraId="0D2F8E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август 1929 г.</w:t>
            </w:r>
          </w:p>
        </w:tc>
        <w:tc>
          <w:tcPr>
            <w:tcW w:w="2419" w:type="dxa"/>
          </w:tcPr>
          <w:p w14:paraId="7489382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август 1929 г.</w:t>
            </w:r>
          </w:p>
        </w:tc>
      </w:tr>
      <w:tr w:rsidR="00A259BD" w:rsidRPr="00A259BD" w14:paraId="44CEDF34" w14:textId="77777777">
        <w:trPr>
          <w:trHeight w:val="250"/>
        </w:trPr>
        <w:tc>
          <w:tcPr>
            <w:tcW w:w="2515" w:type="dxa"/>
          </w:tcPr>
          <w:p w14:paraId="35F24D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И7-БМВ6</w:t>
            </w:r>
          </w:p>
        </w:tc>
        <w:tc>
          <w:tcPr>
            <w:tcW w:w="3014" w:type="dxa"/>
          </w:tcPr>
          <w:p w14:paraId="2BA6BE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25</w:t>
            </w:r>
          </w:p>
        </w:tc>
        <w:tc>
          <w:tcPr>
            <w:tcW w:w="2285" w:type="dxa"/>
          </w:tcPr>
          <w:p w14:paraId="36DA80F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сентябрь 1929 г.</w:t>
            </w:r>
          </w:p>
        </w:tc>
        <w:tc>
          <w:tcPr>
            <w:tcW w:w="2419" w:type="dxa"/>
          </w:tcPr>
          <w:p w14:paraId="77925B8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февраль 1931 г.</w:t>
            </w:r>
          </w:p>
        </w:tc>
      </w:tr>
      <w:tr w:rsidR="00A259BD" w:rsidRPr="00A259BD" w14:paraId="456F5EB4" w14:textId="77777777">
        <w:trPr>
          <w:trHeight w:val="240"/>
        </w:trPr>
        <w:tc>
          <w:tcPr>
            <w:tcW w:w="2515" w:type="dxa"/>
          </w:tcPr>
          <w:p w14:paraId="4F55A3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И8-Юп7</w:t>
            </w:r>
          </w:p>
        </w:tc>
        <w:tc>
          <w:tcPr>
            <w:tcW w:w="3014" w:type="dxa"/>
          </w:tcPr>
          <w:p w14:paraId="236F89D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2285" w:type="dxa"/>
          </w:tcPr>
          <w:p w14:paraId="090823D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август 1929 г.</w:t>
            </w:r>
          </w:p>
        </w:tc>
        <w:tc>
          <w:tcPr>
            <w:tcW w:w="2419" w:type="dxa"/>
          </w:tcPr>
          <w:p w14:paraId="18530EE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апрель 1930 г.</w:t>
            </w:r>
          </w:p>
        </w:tc>
      </w:tr>
      <w:tr w:rsidR="00A259BD" w:rsidRPr="00A259BD" w14:paraId="12BC885D" w14:textId="77777777">
        <w:trPr>
          <w:trHeight w:val="240"/>
        </w:trPr>
        <w:tc>
          <w:tcPr>
            <w:tcW w:w="2515" w:type="dxa"/>
          </w:tcPr>
          <w:p w14:paraId="5C90EE5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И9-500/700</w:t>
            </w:r>
          </w:p>
        </w:tc>
        <w:tc>
          <w:tcPr>
            <w:tcW w:w="3014" w:type="dxa"/>
          </w:tcPr>
          <w:p w14:paraId="3F1550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2285" w:type="dxa"/>
          </w:tcPr>
          <w:p w14:paraId="2FCBD10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июль 1930 г.</w:t>
            </w:r>
          </w:p>
        </w:tc>
        <w:tc>
          <w:tcPr>
            <w:tcW w:w="2419" w:type="dxa"/>
          </w:tcPr>
          <w:p w14:paraId="391FC4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февраль 1931 г.</w:t>
            </w:r>
          </w:p>
        </w:tc>
      </w:tr>
      <w:tr w:rsidR="00A259BD" w:rsidRPr="00A259BD" w14:paraId="6A2D3D8C" w14:textId="77777777">
        <w:trPr>
          <w:trHeight w:val="240"/>
        </w:trPr>
        <w:tc>
          <w:tcPr>
            <w:tcW w:w="2515" w:type="dxa"/>
          </w:tcPr>
          <w:p w14:paraId="65C81F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Д2-БМВ6</w:t>
            </w:r>
          </w:p>
        </w:tc>
        <w:tc>
          <w:tcPr>
            <w:tcW w:w="3014" w:type="dxa"/>
          </w:tcPr>
          <w:p w14:paraId="4961789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25</w:t>
            </w:r>
          </w:p>
        </w:tc>
        <w:tc>
          <w:tcPr>
            <w:tcW w:w="2285" w:type="dxa"/>
          </w:tcPr>
          <w:p w14:paraId="3B5CE26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419" w:type="dxa"/>
          </w:tcPr>
          <w:p w14:paraId="756621D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март 1929 г.</w:t>
            </w:r>
          </w:p>
        </w:tc>
      </w:tr>
      <w:tr w:rsidR="00A259BD" w:rsidRPr="00A259BD" w14:paraId="499FEA38" w14:textId="77777777">
        <w:trPr>
          <w:trHeight w:val="240"/>
        </w:trPr>
        <w:tc>
          <w:tcPr>
            <w:tcW w:w="2515" w:type="dxa"/>
          </w:tcPr>
          <w:p w14:paraId="649F1B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НД2-БМВ6</w:t>
            </w:r>
          </w:p>
        </w:tc>
        <w:tc>
          <w:tcPr>
            <w:tcW w:w="3014" w:type="dxa"/>
          </w:tcPr>
          <w:p w14:paraId="46E41A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25</w:t>
            </w:r>
          </w:p>
        </w:tc>
        <w:tc>
          <w:tcPr>
            <w:tcW w:w="2285" w:type="dxa"/>
          </w:tcPr>
          <w:p w14:paraId="37E2DE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январь 1930 г.</w:t>
            </w:r>
          </w:p>
        </w:tc>
        <w:tc>
          <w:tcPr>
            <w:tcW w:w="2419" w:type="dxa"/>
          </w:tcPr>
          <w:p w14:paraId="157877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июль 1930 г.</w:t>
            </w:r>
          </w:p>
        </w:tc>
      </w:tr>
      <w:tr w:rsidR="00A259BD" w:rsidRPr="00A259BD" w14:paraId="6E9C3063" w14:textId="77777777">
        <w:trPr>
          <w:trHeight w:val="298"/>
        </w:trPr>
        <w:tc>
          <w:tcPr>
            <w:tcW w:w="2515" w:type="dxa"/>
            <w:tcBorders>
              <w:bottom w:val="single" w:sz="12" w:space="0" w:color="auto"/>
            </w:tcBorders>
          </w:tcPr>
          <w:p w14:paraId="16E940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ИК1-2БМВ6 или “</w:t>
            </w:r>
            <w:proofErr w:type="spellStart"/>
            <w:r w:rsidRPr="00A259BD">
              <w:rPr>
                <w:rFonts w:ascii="Times New Roman" w:hAnsi="Times New Roman"/>
                <w:color w:val="000000" w:themeColor="text1"/>
                <w:sz w:val="16"/>
                <w:szCs w:val="16"/>
              </w:rPr>
              <w:t>Испано</w:t>
            </w:r>
            <w:proofErr w:type="spellEnd"/>
            <w:r w:rsidRPr="00A259BD">
              <w:rPr>
                <w:rFonts w:ascii="Times New Roman" w:hAnsi="Times New Roman"/>
                <w:color w:val="000000" w:themeColor="text1"/>
                <w:sz w:val="16"/>
                <w:szCs w:val="16"/>
              </w:rPr>
              <w:t>”</w:t>
            </w:r>
          </w:p>
        </w:tc>
        <w:tc>
          <w:tcPr>
            <w:tcW w:w="3014" w:type="dxa"/>
            <w:tcBorders>
              <w:bottom w:val="single" w:sz="12" w:space="0" w:color="auto"/>
            </w:tcBorders>
          </w:tcPr>
          <w:p w14:paraId="0D69FB9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25</w:t>
            </w:r>
          </w:p>
        </w:tc>
        <w:tc>
          <w:tcPr>
            <w:tcW w:w="2285" w:type="dxa"/>
            <w:tcBorders>
              <w:bottom w:val="single" w:sz="12" w:space="0" w:color="auto"/>
            </w:tcBorders>
          </w:tcPr>
          <w:p w14:paraId="35E55D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ноябрь 1930 г.</w:t>
            </w:r>
          </w:p>
        </w:tc>
        <w:tc>
          <w:tcPr>
            <w:tcW w:w="2419" w:type="dxa"/>
            <w:tcBorders>
              <w:bottom w:val="single" w:sz="12" w:space="0" w:color="auto"/>
            </w:tcBorders>
          </w:tcPr>
          <w:p w14:paraId="3B4C06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июнь 1931 г.</w:t>
            </w:r>
          </w:p>
        </w:tc>
      </w:tr>
    </w:tbl>
    <w:p w14:paraId="78F93E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(10667).</w:t>
      </w:r>
    </w:p>
    <w:p w14:paraId="0CE63E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Трехлетний план опытного строительства завода № 25 </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243"/>
        <w:gridCol w:w="2371"/>
        <w:gridCol w:w="1766"/>
        <w:gridCol w:w="1862"/>
      </w:tblGrid>
      <w:tr w:rsidR="00A259BD" w:rsidRPr="00A259BD" w14:paraId="55009100" w14:textId="77777777">
        <w:trPr>
          <w:trHeight w:val="528"/>
        </w:trPr>
        <w:tc>
          <w:tcPr>
            <w:tcW w:w="4243" w:type="dxa"/>
            <w:tcBorders>
              <w:top w:val="single" w:sz="12" w:space="0" w:color="auto"/>
            </w:tcBorders>
          </w:tcPr>
          <w:p w14:paraId="77F0E68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Тип самолета</w:t>
            </w:r>
          </w:p>
        </w:tc>
        <w:tc>
          <w:tcPr>
            <w:tcW w:w="2371" w:type="dxa"/>
            <w:tcBorders>
              <w:top w:val="single" w:sz="12" w:space="0" w:color="auto"/>
            </w:tcBorders>
          </w:tcPr>
          <w:p w14:paraId="6FC827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Обозначение</w:t>
            </w:r>
          </w:p>
        </w:tc>
        <w:tc>
          <w:tcPr>
            <w:tcW w:w="1766" w:type="dxa"/>
            <w:tcBorders>
              <w:top w:val="single" w:sz="12" w:space="0" w:color="auto"/>
            </w:tcBorders>
          </w:tcPr>
          <w:p w14:paraId="6CB07E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Дата начала проектирования</w:t>
            </w:r>
          </w:p>
        </w:tc>
        <w:tc>
          <w:tcPr>
            <w:tcW w:w="1862" w:type="dxa"/>
            <w:tcBorders>
              <w:top w:val="single" w:sz="12" w:space="0" w:color="auto"/>
            </w:tcBorders>
          </w:tcPr>
          <w:p w14:paraId="49E443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Дата начала постройки</w:t>
            </w:r>
          </w:p>
        </w:tc>
      </w:tr>
      <w:tr w:rsidR="00A259BD" w:rsidRPr="00A259BD" w14:paraId="3157374E" w14:textId="77777777">
        <w:trPr>
          <w:trHeight w:val="288"/>
        </w:trPr>
        <w:tc>
          <w:tcPr>
            <w:tcW w:w="4243" w:type="dxa"/>
          </w:tcPr>
          <w:p w14:paraId="11C794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Одноместный деревянный истребитель</w:t>
            </w:r>
          </w:p>
        </w:tc>
        <w:tc>
          <w:tcPr>
            <w:tcW w:w="2371" w:type="dxa"/>
          </w:tcPr>
          <w:p w14:paraId="30A63F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И-6 с Юп7 или “</w:t>
            </w:r>
            <w:proofErr w:type="spellStart"/>
            <w:r w:rsidRPr="00A259BD">
              <w:rPr>
                <w:rFonts w:ascii="Times New Roman" w:hAnsi="Times New Roman"/>
                <w:color w:val="000000" w:themeColor="text1"/>
                <w:sz w:val="16"/>
                <w:szCs w:val="16"/>
              </w:rPr>
              <w:t>Хорнет</w:t>
            </w:r>
            <w:proofErr w:type="spellEnd"/>
            <w:r w:rsidRPr="00A259BD">
              <w:rPr>
                <w:rFonts w:ascii="Times New Roman" w:hAnsi="Times New Roman"/>
                <w:color w:val="000000" w:themeColor="text1"/>
                <w:sz w:val="16"/>
                <w:szCs w:val="16"/>
              </w:rPr>
              <w:t>”</w:t>
            </w:r>
          </w:p>
        </w:tc>
        <w:tc>
          <w:tcPr>
            <w:tcW w:w="1766" w:type="dxa"/>
          </w:tcPr>
          <w:p w14:paraId="74E280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w:t>
            </w:r>
          </w:p>
        </w:tc>
        <w:tc>
          <w:tcPr>
            <w:tcW w:w="1862" w:type="dxa"/>
          </w:tcPr>
          <w:p w14:paraId="305E6B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месяца после получения мотора</w:t>
            </w:r>
          </w:p>
        </w:tc>
      </w:tr>
      <w:tr w:rsidR="00A259BD" w:rsidRPr="00A259BD" w14:paraId="0852DD5C" w14:textId="77777777">
        <w:trPr>
          <w:trHeight w:val="240"/>
        </w:trPr>
        <w:tc>
          <w:tcPr>
            <w:tcW w:w="4243" w:type="dxa"/>
          </w:tcPr>
          <w:p w14:paraId="79F16D6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Одноместный деревянный истребитель</w:t>
            </w:r>
          </w:p>
        </w:tc>
        <w:tc>
          <w:tcPr>
            <w:tcW w:w="2371" w:type="dxa"/>
          </w:tcPr>
          <w:p w14:paraId="3DFFAA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И-7М-17</w:t>
            </w:r>
          </w:p>
        </w:tc>
        <w:tc>
          <w:tcPr>
            <w:tcW w:w="1766" w:type="dxa"/>
          </w:tcPr>
          <w:p w14:paraId="142A36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1.6.1929</w:t>
            </w:r>
          </w:p>
        </w:tc>
        <w:tc>
          <w:tcPr>
            <w:tcW w:w="1862" w:type="dxa"/>
          </w:tcPr>
          <w:p w14:paraId="328A8D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1.6.1930</w:t>
            </w:r>
          </w:p>
        </w:tc>
      </w:tr>
      <w:tr w:rsidR="00A259BD" w:rsidRPr="00A259BD" w14:paraId="11FAD7A2" w14:textId="77777777">
        <w:trPr>
          <w:trHeight w:val="240"/>
        </w:trPr>
        <w:tc>
          <w:tcPr>
            <w:tcW w:w="4243" w:type="dxa"/>
          </w:tcPr>
          <w:p w14:paraId="6E02C2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Одноместный истребитель со сварным фюзеляжем</w:t>
            </w:r>
          </w:p>
        </w:tc>
        <w:tc>
          <w:tcPr>
            <w:tcW w:w="2371" w:type="dxa"/>
          </w:tcPr>
          <w:p w14:paraId="7AED800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И-7бисМ-17</w:t>
            </w:r>
          </w:p>
        </w:tc>
        <w:tc>
          <w:tcPr>
            <w:tcW w:w="1766" w:type="dxa"/>
          </w:tcPr>
          <w:p w14:paraId="04561F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1.6.1929</w:t>
            </w:r>
          </w:p>
        </w:tc>
        <w:tc>
          <w:tcPr>
            <w:tcW w:w="1862" w:type="dxa"/>
          </w:tcPr>
          <w:p w14:paraId="77018F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1.7.1930</w:t>
            </w:r>
          </w:p>
        </w:tc>
      </w:tr>
      <w:tr w:rsidR="00A259BD" w:rsidRPr="00A259BD" w14:paraId="26DD01AB" w14:textId="77777777">
        <w:trPr>
          <w:trHeight w:val="240"/>
        </w:trPr>
        <w:tc>
          <w:tcPr>
            <w:tcW w:w="4243" w:type="dxa"/>
          </w:tcPr>
          <w:p w14:paraId="5F2F0A3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Двухместный деревянный истребитель</w:t>
            </w:r>
          </w:p>
        </w:tc>
        <w:tc>
          <w:tcPr>
            <w:tcW w:w="2371" w:type="dxa"/>
          </w:tcPr>
          <w:p w14:paraId="2AA89C5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Д-2 БМВ-У1</w:t>
            </w:r>
          </w:p>
        </w:tc>
        <w:tc>
          <w:tcPr>
            <w:tcW w:w="1766" w:type="dxa"/>
          </w:tcPr>
          <w:p w14:paraId="2182180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w:t>
            </w:r>
          </w:p>
        </w:tc>
        <w:tc>
          <w:tcPr>
            <w:tcW w:w="1862" w:type="dxa"/>
          </w:tcPr>
          <w:p w14:paraId="16DFE8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1.10.1930</w:t>
            </w:r>
          </w:p>
        </w:tc>
      </w:tr>
      <w:tr w:rsidR="00A259BD" w:rsidRPr="00A259BD" w14:paraId="7F4F6854" w14:textId="77777777">
        <w:trPr>
          <w:trHeight w:val="240"/>
        </w:trPr>
        <w:tc>
          <w:tcPr>
            <w:tcW w:w="4243" w:type="dxa"/>
          </w:tcPr>
          <w:p w14:paraId="0795B59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Двухместный ночной деревянный истребитель</w:t>
            </w:r>
          </w:p>
        </w:tc>
        <w:tc>
          <w:tcPr>
            <w:tcW w:w="2371" w:type="dxa"/>
          </w:tcPr>
          <w:p w14:paraId="156546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НД-2 БМВ-У1</w:t>
            </w:r>
          </w:p>
        </w:tc>
        <w:tc>
          <w:tcPr>
            <w:tcW w:w="1766" w:type="dxa"/>
          </w:tcPr>
          <w:p w14:paraId="6951E0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1.10.1929</w:t>
            </w:r>
          </w:p>
        </w:tc>
        <w:tc>
          <w:tcPr>
            <w:tcW w:w="1862" w:type="dxa"/>
          </w:tcPr>
          <w:p w14:paraId="052534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43363B70" w14:textId="77777777">
        <w:trPr>
          <w:trHeight w:val="240"/>
        </w:trPr>
        <w:tc>
          <w:tcPr>
            <w:tcW w:w="4243" w:type="dxa"/>
          </w:tcPr>
          <w:p w14:paraId="2462516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Крейсерский истребитель</w:t>
            </w:r>
          </w:p>
        </w:tc>
        <w:tc>
          <w:tcPr>
            <w:tcW w:w="2371" w:type="dxa"/>
          </w:tcPr>
          <w:p w14:paraId="6AD8E19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ИК-1 2БМВ6, ИК-1 2ЮпУП</w:t>
            </w:r>
          </w:p>
        </w:tc>
        <w:tc>
          <w:tcPr>
            <w:tcW w:w="1766" w:type="dxa"/>
          </w:tcPr>
          <w:p w14:paraId="1D5402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1.8.1929</w:t>
            </w:r>
          </w:p>
        </w:tc>
        <w:tc>
          <w:tcPr>
            <w:tcW w:w="1862" w:type="dxa"/>
          </w:tcPr>
          <w:p w14:paraId="3AF77AF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1.8.1930</w:t>
            </w:r>
          </w:p>
        </w:tc>
      </w:tr>
      <w:tr w:rsidR="00A259BD" w:rsidRPr="00A259BD" w14:paraId="17D48DB2" w14:textId="77777777">
        <w:trPr>
          <w:trHeight w:val="259"/>
        </w:trPr>
        <w:tc>
          <w:tcPr>
            <w:tcW w:w="4243" w:type="dxa"/>
            <w:tcBorders>
              <w:bottom w:val="single" w:sz="12" w:space="0" w:color="auto"/>
            </w:tcBorders>
          </w:tcPr>
          <w:p w14:paraId="1293176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Пассажирский (измененный фюзеляж ИК-1)</w:t>
            </w:r>
          </w:p>
        </w:tc>
        <w:tc>
          <w:tcPr>
            <w:tcW w:w="2371" w:type="dxa"/>
            <w:tcBorders>
              <w:bottom w:val="single" w:sz="12" w:space="0" w:color="auto"/>
            </w:tcBorders>
          </w:tcPr>
          <w:p w14:paraId="2FF46F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Г-1</w:t>
            </w:r>
          </w:p>
        </w:tc>
        <w:tc>
          <w:tcPr>
            <w:tcW w:w="1766" w:type="dxa"/>
            <w:tcBorders>
              <w:bottom w:val="single" w:sz="12" w:space="0" w:color="auto"/>
            </w:tcBorders>
          </w:tcPr>
          <w:p w14:paraId="4F6B3E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1.8.1929</w:t>
            </w:r>
          </w:p>
        </w:tc>
        <w:tc>
          <w:tcPr>
            <w:tcW w:w="1862" w:type="dxa"/>
            <w:tcBorders>
              <w:bottom w:val="single" w:sz="12" w:space="0" w:color="auto"/>
            </w:tcBorders>
          </w:tcPr>
          <w:p w14:paraId="60437B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1.10.1930</w:t>
            </w:r>
          </w:p>
        </w:tc>
      </w:tr>
    </w:tbl>
    <w:p w14:paraId="504CB5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(10667).</w:t>
      </w:r>
    </w:p>
    <w:p w14:paraId="29E2FA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AFF67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108FB68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45B58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мая 1929 вышло постановление ЦК ВКП(б) "О социалистическом соревновании фабрик и заводов" (1857,56).</w:t>
      </w:r>
    </w:p>
    <w:p w14:paraId="6F65BE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5137B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мая 1929 ЦК ВКП(б) принял первое постановление о начале социалистического соревнования (4962).</w:t>
      </w:r>
    </w:p>
    <w:p w14:paraId="1FD2150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7CBEC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9 мая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Политбюро ЦК ВКП (б) утвердило проект постановления ЦК ВКП (б) «О социалистическом соревновании фабрик и заводов» (12265).</w:t>
      </w:r>
    </w:p>
    <w:p w14:paraId="21B0867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0C23E58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828C1B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9C24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мая 1929 УВВС, скрывшееся под маской ВТО "</w:t>
      </w:r>
      <w:proofErr w:type="spellStart"/>
      <w:r w:rsidRPr="00A259BD">
        <w:rPr>
          <w:rFonts w:ascii="Times New Roman" w:hAnsi="Times New Roman"/>
          <w:color w:val="000000" w:themeColor="text1"/>
          <w:sz w:val="16"/>
          <w:szCs w:val="16"/>
        </w:rPr>
        <w:t>Металлоимпорт</w:t>
      </w:r>
      <w:proofErr w:type="spellEnd"/>
      <w:r w:rsidRPr="00A259BD">
        <w:rPr>
          <w:rFonts w:ascii="Times New Roman" w:hAnsi="Times New Roman"/>
          <w:color w:val="000000" w:themeColor="text1"/>
          <w:sz w:val="16"/>
          <w:szCs w:val="16"/>
        </w:rPr>
        <w:t>", заключило с Хейнкелем договор о приобретении двух катапульт К-3 и шести ЛЛ HD.55 (1083,6).</w:t>
      </w:r>
    </w:p>
    <w:p w14:paraId="37409E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0183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мая 1929 г. </w:t>
      </w:r>
      <w:proofErr w:type="spellStart"/>
      <w:r w:rsidRPr="00A259BD">
        <w:rPr>
          <w:rFonts w:ascii="Times New Roman" w:hAnsi="Times New Roman"/>
          <w:color w:val="000000" w:themeColor="text1"/>
          <w:sz w:val="16"/>
          <w:szCs w:val="16"/>
        </w:rPr>
        <w:t>gосле</w:t>
      </w:r>
      <w:proofErr w:type="spellEnd"/>
      <w:r w:rsidRPr="00A259BD">
        <w:rPr>
          <w:rFonts w:ascii="Times New Roman" w:hAnsi="Times New Roman"/>
          <w:color w:val="000000" w:themeColor="text1"/>
          <w:sz w:val="16"/>
          <w:szCs w:val="16"/>
        </w:rPr>
        <w:t xml:space="preserve"> ряда взаимных согласова</w:t>
      </w:r>
      <w:r w:rsidRPr="00A259BD">
        <w:rPr>
          <w:rFonts w:ascii="Times New Roman" w:hAnsi="Times New Roman"/>
          <w:color w:val="000000" w:themeColor="text1"/>
          <w:sz w:val="16"/>
          <w:szCs w:val="16"/>
        </w:rPr>
        <w:softHyphen/>
        <w:t>ний советское внешне</w:t>
      </w:r>
      <w:r w:rsidRPr="00A259BD">
        <w:rPr>
          <w:rFonts w:ascii="Times New Roman" w:hAnsi="Times New Roman"/>
          <w:color w:val="000000" w:themeColor="text1"/>
          <w:sz w:val="16"/>
          <w:szCs w:val="16"/>
        </w:rPr>
        <w:softHyphen/>
        <w:t>торговое объединение “</w:t>
      </w:r>
      <w:proofErr w:type="spellStart"/>
      <w:r w:rsidRPr="00A259BD">
        <w:rPr>
          <w:rFonts w:ascii="Times New Roman" w:hAnsi="Times New Roman"/>
          <w:color w:val="000000" w:themeColor="text1"/>
          <w:sz w:val="16"/>
          <w:szCs w:val="16"/>
        </w:rPr>
        <w:t>Металлоимпорт</w:t>
      </w:r>
      <w:proofErr w:type="spellEnd"/>
      <w:r w:rsidRPr="00A259BD">
        <w:rPr>
          <w:rFonts w:ascii="Times New Roman" w:hAnsi="Times New Roman"/>
          <w:color w:val="000000" w:themeColor="text1"/>
          <w:sz w:val="16"/>
          <w:szCs w:val="16"/>
        </w:rPr>
        <w:t>” (представляющее интересы Управления ВВС РККА) и фирма Хейнкеля заключили официальный договор о приобретении двух пнев</w:t>
      </w:r>
      <w:r w:rsidRPr="00A259BD">
        <w:rPr>
          <w:rFonts w:ascii="Times New Roman" w:hAnsi="Times New Roman"/>
          <w:color w:val="000000" w:themeColor="text1"/>
          <w:sz w:val="16"/>
          <w:szCs w:val="16"/>
        </w:rPr>
        <w:softHyphen/>
        <w:t>матических катапульт типа К-3 и ше</w:t>
      </w:r>
      <w:r w:rsidRPr="00A259BD">
        <w:rPr>
          <w:rFonts w:ascii="Times New Roman" w:hAnsi="Times New Roman"/>
          <w:color w:val="000000" w:themeColor="text1"/>
          <w:sz w:val="16"/>
          <w:szCs w:val="16"/>
        </w:rPr>
        <w:softHyphen/>
        <w:t>сти самолетов типа НD.55. Характе</w:t>
      </w:r>
      <w:r w:rsidRPr="00A259BD">
        <w:rPr>
          <w:rFonts w:ascii="Times New Roman" w:hAnsi="Times New Roman"/>
          <w:color w:val="000000" w:themeColor="text1"/>
          <w:sz w:val="16"/>
          <w:szCs w:val="16"/>
        </w:rPr>
        <w:softHyphen/>
        <w:t>ристики катапульты были уточнены: вес 18 т, длина 19 м, способность вра</w:t>
      </w:r>
      <w:r w:rsidRPr="00A259BD">
        <w:rPr>
          <w:rFonts w:ascii="Times New Roman" w:hAnsi="Times New Roman"/>
          <w:color w:val="000000" w:themeColor="text1"/>
          <w:sz w:val="16"/>
          <w:szCs w:val="16"/>
        </w:rPr>
        <w:softHyphen/>
        <w:t>щения на 360° (11107).</w:t>
      </w:r>
    </w:p>
    <w:p w14:paraId="6618434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DA984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мая 1929 г. После ряда встреч и согласований советское внешнеторговое объедине</w:t>
      </w:r>
      <w:r w:rsidRPr="00A259BD">
        <w:rPr>
          <w:rFonts w:ascii="Times New Roman" w:hAnsi="Times New Roman"/>
          <w:color w:val="000000" w:themeColor="text1"/>
          <w:sz w:val="16"/>
          <w:szCs w:val="16"/>
        </w:rPr>
        <w:softHyphen/>
        <w:t>ние «</w:t>
      </w:r>
      <w:proofErr w:type="spellStart"/>
      <w:r w:rsidRPr="00A259BD">
        <w:rPr>
          <w:rFonts w:ascii="Times New Roman" w:hAnsi="Times New Roman"/>
          <w:color w:val="000000" w:themeColor="text1"/>
          <w:sz w:val="16"/>
          <w:szCs w:val="16"/>
        </w:rPr>
        <w:t>Металлоимпорт</w:t>
      </w:r>
      <w:proofErr w:type="spellEnd"/>
      <w:r w:rsidRPr="00A259BD">
        <w:rPr>
          <w:rFonts w:ascii="Times New Roman" w:hAnsi="Times New Roman"/>
          <w:color w:val="000000" w:themeColor="text1"/>
          <w:sz w:val="16"/>
          <w:szCs w:val="16"/>
        </w:rPr>
        <w:t>» (представляющее инте</w:t>
      </w:r>
      <w:r w:rsidRPr="00A259BD">
        <w:rPr>
          <w:rFonts w:ascii="Times New Roman" w:hAnsi="Times New Roman"/>
          <w:color w:val="000000" w:themeColor="text1"/>
          <w:sz w:val="16"/>
          <w:szCs w:val="16"/>
        </w:rPr>
        <w:softHyphen/>
        <w:t>ресы Управления ВВС РККА) и фирма Хейн</w:t>
      </w:r>
      <w:r w:rsidRPr="00A259BD">
        <w:rPr>
          <w:rFonts w:ascii="Times New Roman" w:hAnsi="Times New Roman"/>
          <w:color w:val="000000" w:themeColor="text1"/>
          <w:sz w:val="16"/>
          <w:szCs w:val="16"/>
        </w:rPr>
        <w:softHyphen/>
        <w:t>келя заключили официальный договор о прио</w:t>
      </w:r>
      <w:r w:rsidRPr="00A259BD">
        <w:rPr>
          <w:rFonts w:ascii="Times New Roman" w:hAnsi="Times New Roman"/>
          <w:color w:val="000000" w:themeColor="text1"/>
          <w:sz w:val="16"/>
          <w:szCs w:val="16"/>
        </w:rPr>
        <w:softHyphen/>
        <w:t>бретении двух пневматических катапульт типа К-3 и шести самолетов типа Нй.55. В отноше</w:t>
      </w:r>
      <w:r w:rsidRPr="00A259BD">
        <w:rPr>
          <w:rFonts w:ascii="Times New Roman" w:hAnsi="Times New Roman"/>
          <w:color w:val="000000" w:themeColor="text1"/>
          <w:sz w:val="16"/>
          <w:szCs w:val="16"/>
        </w:rPr>
        <w:softHyphen/>
        <w:t>нии катапульты указывались ее уточненные ха</w:t>
      </w:r>
      <w:r w:rsidRPr="00A259BD">
        <w:rPr>
          <w:rFonts w:ascii="Times New Roman" w:hAnsi="Times New Roman"/>
          <w:color w:val="000000" w:themeColor="text1"/>
          <w:sz w:val="16"/>
          <w:szCs w:val="16"/>
        </w:rPr>
        <w:softHyphen/>
        <w:t>рактеристики: вес 18 тонн, длина 19 м, способ</w:t>
      </w:r>
      <w:r w:rsidRPr="00A259BD">
        <w:rPr>
          <w:rFonts w:ascii="Times New Roman" w:hAnsi="Times New Roman"/>
          <w:color w:val="000000" w:themeColor="text1"/>
          <w:sz w:val="16"/>
          <w:szCs w:val="16"/>
        </w:rPr>
        <w:softHyphen/>
        <w:t>ность вращения на 360°.</w:t>
      </w:r>
    </w:p>
    <w:p w14:paraId="1C106AD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 НО.55 был выполнен в течение не</w:t>
      </w:r>
      <w:r w:rsidRPr="00A259BD">
        <w:rPr>
          <w:rFonts w:ascii="Times New Roman" w:hAnsi="Times New Roman"/>
          <w:color w:val="000000" w:themeColor="text1"/>
          <w:sz w:val="16"/>
          <w:szCs w:val="16"/>
        </w:rPr>
        <w:softHyphen/>
        <w:t>скольких недель и немедленно выслан для рас</w:t>
      </w:r>
      <w:r w:rsidRPr="00A259BD">
        <w:rPr>
          <w:rFonts w:ascii="Times New Roman" w:hAnsi="Times New Roman"/>
          <w:color w:val="000000" w:themeColor="text1"/>
          <w:sz w:val="16"/>
          <w:szCs w:val="16"/>
        </w:rPr>
        <w:softHyphen/>
        <w:t>смотрения в советское полпредство в Берлине. Летающая лодка Нй.55 не являлась абсолют</w:t>
      </w:r>
      <w:r w:rsidRPr="00A259BD">
        <w:rPr>
          <w:rFonts w:ascii="Times New Roman" w:hAnsi="Times New Roman"/>
          <w:color w:val="000000" w:themeColor="text1"/>
          <w:sz w:val="16"/>
          <w:szCs w:val="16"/>
        </w:rPr>
        <w:softHyphen/>
        <w:t>но новым типом — ее спроектировали на ос-</w:t>
      </w:r>
      <w:proofErr w:type="spellStart"/>
      <w:r w:rsidRPr="00A259BD">
        <w:rPr>
          <w:rFonts w:ascii="Times New Roman" w:hAnsi="Times New Roman"/>
          <w:color w:val="000000" w:themeColor="text1"/>
          <w:sz w:val="16"/>
          <w:szCs w:val="16"/>
        </w:rPr>
        <w:t>юве</w:t>
      </w:r>
      <w:proofErr w:type="spellEnd"/>
      <w:r w:rsidRPr="00A259BD">
        <w:rPr>
          <w:rFonts w:ascii="Times New Roman" w:hAnsi="Times New Roman"/>
          <w:color w:val="000000" w:themeColor="text1"/>
          <w:sz w:val="16"/>
          <w:szCs w:val="16"/>
        </w:rPr>
        <w:t xml:space="preserve"> более</w:t>
      </w:r>
      <w:r w:rsidRPr="00A259BD">
        <w:rPr>
          <w:rStyle w:val="9pt"/>
          <w:rFonts w:ascii="Times New Roman" w:hAnsi="Times New Roman" w:cs="Times New Roman"/>
          <w:b w:val="0"/>
          <w:i w:val="0"/>
          <w:color w:val="000000" w:themeColor="text1"/>
          <w:sz w:val="16"/>
          <w:szCs w:val="16"/>
        </w:rPr>
        <w:t xml:space="preserve"> раннего</w:t>
      </w:r>
      <w:r w:rsidRPr="00A259BD">
        <w:rPr>
          <w:rFonts w:ascii="Times New Roman" w:hAnsi="Times New Roman"/>
          <w:color w:val="000000" w:themeColor="text1"/>
          <w:sz w:val="16"/>
          <w:szCs w:val="16"/>
        </w:rPr>
        <w:t xml:space="preserve"> почтового биплана НО. 15, специально построенного для обслуживания трансатлантических линий. НО.55 представ</w:t>
      </w:r>
      <w:r w:rsidRPr="00A259BD">
        <w:rPr>
          <w:rFonts w:ascii="Times New Roman" w:hAnsi="Times New Roman"/>
          <w:color w:val="000000" w:themeColor="text1"/>
          <w:sz w:val="16"/>
          <w:szCs w:val="16"/>
        </w:rPr>
        <w:softHyphen/>
        <w:t>лял собой цельнодеревянный биплан, крылья л хвостовое оперение которого обтягивались "</w:t>
      </w:r>
      <w:proofErr w:type="spellStart"/>
      <w:r w:rsidRPr="00A259BD">
        <w:rPr>
          <w:rFonts w:ascii="Times New Roman" w:hAnsi="Times New Roman"/>
          <w:color w:val="000000" w:themeColor="text1"/>
          <w:sz w:val="16"/>
          <w:szCs w:val="16"/>
        </w:rPr>
        <w:t>олотном</w:t>
      </w:r>
      <w:proofErr w:type="spellEnd"/>
      <w:r w:rsidRPr="00A259BD">
        <w:rPr>
          <w:rFonts w:ascii="Times New Roman" w:hAnsi="Times New Roman"/>
          <w:color w:val="000000" w:themeColor="text1"/>
          <w:sz w:val="16"/>
          <w:szCs w:val="16"/>
        </w:rPr>
        <w:t>. Коробка крыльев могла склады</w:t>
      </w:r>
      <w:r w:rsidRPr="00A259BD">
        <w:rPr>
          <w:rFonts w:ascii="Times New Roman" w:hAnsi="Times New Roman"/>
          <w:color w:val="000000" w:themeColor="text1"/>
          <w:sz w:val="16"/>
          <w:szCs w:val="16"/>
        </w:rPr>
        <w:softHyphen/>
        <w:t xml:space="preserve">ваться для более компактного хранения на </w:t>
      </w:r>
      <w:proofErr w:type="spellStart"/>
      <w:r w:rsidRPr="00A259BD">
        <w:rPr>
          <w:rFonts w:ascii="Times New Roman" w:hAnsi="Times New Roman"/>
          <w:color w:val="000000" w:themeColor="text1"/>
          <w:sz w:val="16"/>
          <w:szCs w:val="16"/>
        </w:rPr>
        <w:t>ко</w:t>
      </w:r>
      <w:r w:rsidRPr="00A259BD">
        <w:rPr>
          <w:rFonts w:ascii="Times New Roman" w:hAnsi="Times New Roman"/>
          <w:color w:val="000000" w:themeColor="text1"/>
          <w:sz w:val="16"/>
          <w:szCs w:val="16"/>
        </w:rPr>
        <w:softHyphen/>
        <w:t>боле</w:t>
      </w:r>
      <w:proofErr w:type="spellEnd"/>
      <w:r w:rsidRPr="00A259BD">
        <w:rPr>
          <w:rFonts w:ascii="Times New Roman" w:hAnsi="Times New Roman"/>
          <w:color w:val="000000" w:themeColor="text1"/>
          <w:sz w:val="16"/>
          <w:szCs w:val="16"/>
        </w:rPr>
        <w:t>. Силовая установка состояла из звездообразного двигателя «Сименс» 5К20 (</w:t>
      </w:r>
      <w:proofErr w:type="spellStart"/>
      <w:r w:rsidRPr="00A259BD">
        <w:rPr>
          <w:rFonts w:ascii="Times New Roman" w:hAnsi="Times New Roman"/>
          <w:color w:val="000000" w:themeColor="text1"/>
          <w:sz w:val="16"/>
          <w:szCs w:val="16"/>
        </w:rPr>
        <w:t>лицензионнный</w:t>
      </w:r>
      <w:proofErr w:type="spellEnd"/>
      <w:r w:rsidRPr="00A259BD">
        <w:rPr>
          <w:rFonts w:ascii="Times New Roman" w:hAnsi="Times New Roman"/>
          <w:color w:val="000000" w:themeColor="text1"/>
          <w:sz w:val="16"/>
          <w:szCs w:val="16"/>
        </w:rPr>
        <w:t xml:space="preserve"> Бристоль «Юпитер» VI) с тянущим воз</w:t>
      </w:r>
      <w:r w:rsidRPr="00A259BD">
        <w:rPr>
          <w:rFonts w:ascii="Times New Roman" w:hAnsi="Times New Roman"/>
          <w:color w:val="000000" w:themeColor="text1"/>
          <w:sz w:val="16"/>
          <w:szCs w:val="16"/>
        </w:rPr>
        <w:softHyphen/>
        <w:t>душным винтом. Экипаж — два человека:</w:t>
      </w:r>
      <w:r w:rsidRPr="00A259BD">
        <w:rPr>
          <w:rStyle w:val="7pt"/>
          <w:rFonts w:ascii="Times New Roman" w:hAnsi="Times New Roman" w:cs="Times New Roman"/>
          <w:color w:val="000000" w:themeColor="text1"/>
          <w:sz w:val="16"/>
          <w:szCs w:val="16"/>
        </w:rPr>
        <w:t xml:space="preserve"> пи</w:t>
      </w:r>
      <w:r w:rsidRPr="00A259BD">
        <w:rPr>
          <w:rStyle w:val="7pt"/>
          <w:rFonts w:ascii="Times New Roman" w:hAnsi="Times New Roman" w:cs="Times New Roman"/>
          <w:color w:val="000000" w:themeColor="text1"/>
          <w:sz w:val="16"/>
          <w:szCs w:val="16"/>
        </w:rPr>
        <w:softHyphen/>
        <w:t>чуг</w:t>
      </w:r>
      <w:r w:rsidRPr="00A259BD">
        <w:rPr>
          <w:rFonts w:ascii="Times New Roman" w:hAnsi="Times New Roman"/>
          <w:color w:val="000000" w:themeColor="text1"/>
          <w:sz w:val="16"/>
          <w:szCs w:val="16"/>
        </w:rPr>
        <w:t xml:space="preserve"> и кормовой стрелок. Вооружение первона</w:t>
      </w:r>
      <w:r w:rsidRPr="00A259BD">
        <w:rPr>
          <w:rFonts w:ascii="Times New Roman" w:hAnsi="Times New Roman"/>
          <w:color w:val="000000" w:themeColor="text1"/>
          <w:sz w:val="16"/>
          <w:szCs w:val="16"/>
        </w:rPr>
        <w:softHyphen/>
        <w:t>чально не оговаривалась, предполагалось, что его установка состоится по прибытии самолетов в Советский Союз (12301).</w:t>
      </w:r>
    </w:p>
    <w:p w14:paraId="3CE01A97" w14:textId="77777777" w:rsidR="00E15FE6" w:rsidRPr="00A259BD" w:rsidRDefault="00E15FE6" w:rsidP="009236E3">
      <w:pPr>
        <w:spacing w:after="0" w:line="240" w:lineRule="auto"/>
        <w:jc w:val="both"/>
        <w:rPr>
          <w:rFonts w:ascii="Times New Roman" w:hAnsi="Times New Roman"/>
          <w:color w:val="000000" w:themeColor="text1"/>
          <w:sz w:val="16"/>
          <w:szCs w:val="16"/>
        </w:rPr>
      </w:pPr>
    </w:p>
    <w:p w14:paraId="7C68F42F" w14:textId="77777777" w:rsidR="00E15FE6"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16CAD67" w14:textId="77777777" w:rsidR="00E15FE6" w:rsidRPr="00A259BD" w:rsidRDefault="00E15FE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452BD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мая 1929 г. — Справка ГВПУ «Основные показатели по военной промышленности за четыре года»</w:t>
      </w:r>
    </w:p>
    <w:p w14:paraId="75AFFF1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Справка ГВПУ «Основные показатели по военной промышленности за четыре года»¹*</w:t>
      </w:r>
    </w:p>
    <w:p w14:paraId="7BDA1EB2"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10 мая 1929 г.</w:t>
      </w:r>
    </w:p>
    <w:p w14:paraId="79D890E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56"/>
        <w:gridCol w:w="791"/>
        <w:gridCol w:w="791"/>
        <w:gridCol w:w="791"/>
        <w:gridCol w:w="893"/>
      </w:tblGrid>
      <w:tr w:rsidR="00A259BD" w:rsidRPr="00A259BD" w14:paraId="0D92360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43C63C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Наименование показателей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BE1F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8AE6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8627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5509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1928/29 г.</w:t>
            </w:r>
          </w:p>
        </w:tc>
      </w:tr>
      <w:tr w:rsidR="00A259BD" w:rsidRPr="00A259BD" w14:paraId="0C59D895"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D30989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I. Производство</w:t>
            </w:r>
          </w:p>
        </w:tc>
      </w:tr>
      <w:tr w:rsidR="00A259BD" w:rsidRPr="00A259BD" w14:paraId="59182CE9"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DD680C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в ценах соответствующего года (в млн. руб.)</w:t>
            </w:r>
          </w:p>
        </w:tc>
      </w:tr>
      <w:tr w:rsidR="00A259BD" w:rsidRPr="00A259BD" w14:paraId="7030CEB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F7FCAF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Валовая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A949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422E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CBA6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81F9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365,8</w:t>
            </w:r>
          </w:p>
        </w:tc>
      </w:tr>
      <w:tr w:rsidR="00A259BD" w:rsidRPr="00A259BD" w14:paraId="4A37690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B76A9F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Товарная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3CCE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7FDF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72DA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FEEC2"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323,3</w:t>
            </w:r>
          </w:p>
        </w:tc>
      </w:tr>
      <w:tr w:rsidR="00A259BD" w:rsidRPr="00A259BD" w14:paraId="507E000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AC6437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Товарная продукция 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6C5A2"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8A16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5E10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6FB9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204,2</w:t>
            </w:r>
          </w:p>
        </w:tc>
      </w:tr>
      <w:tr w:rsidR="00A259BD" w:rsidRPr="00A259BD" w14:paraId="7408DD1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CD50822"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Товарная продукция 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5BB2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A510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2CB9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A129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119,1</w:t>
            </w:r>
          </w:p>
        </w:tc>
      </w:tr>
      <w:tr w:rsidR="00A259BD" w:rsidRPr="00A259BD" w14:paraId="60C03B04"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3167CD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в ценах 1926/27 г.</w:t>
            </w:r>
          </w:p>
        </w:tc>
      </w:tr>
      <w:tr w:rsidR="00A259BD" w:rsidRPr="00A259BD" w14:paraId="2917D0C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9A4EC6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Валовая продукция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E377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2700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F8A7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ECDB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419,8</w:t>
            </w:r>
          </w:p>
        </w:tc>
      </w:tr>
      <w:tr w:rsidR="00A259BD" w:rsidRPr="00A259BD" w14:paraId="2CA534E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1B2666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Динамика (в процентах)</w:t>
            </w:r>
          </w:p>
          <w:p w14:paraId="0410132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77BC8C4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F2F7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39AD3C8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45F6EAE4"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E185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127,1</w:t>
            </w:r>
          </w:p>
          <w:p w14:paraId="4819014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0252A65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3E4C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171,2</w:t>
            </w:r>
          </w:p>
          <w:p w14:paraId="712D186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138,7</w:t>
            </w:r>
          </w:p>
          <w:p w14:paraId="6A0D7A3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73BC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241,8</w:t>
            </w:r>
          </w:p>
          <w:p w14:paraId="705CC49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190,3</w:t>
            </w:r>
          </w:p>
          <w:p w14:paraId="31EEAE6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137,2</w:t>
            </w:r>
          </w:p>
        </w:tc>
      </w:tr>
      <w:tr w:rsidR="00A259BD" w:rsidRPr="00A259BD" w14:paraId="44437C7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8EC58F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Товарная продукция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CDE2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37EB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2338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FF9E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370,9</w:t>
            </w:r>
          </w:p>
        </w:tc>
      </w:tr>
      <w:tr w:rsidR="00A259BD" w:rsidRPr="00A259BD" w14:paraId="5E676A8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C0AE82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Динамика (в процентах)</w:t>
            </w:r>
          </w:p>
          <w:p w14:paraId="7979E55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0BA2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1DD38D1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57D89A6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81C3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125,9</w:t>
            </w:r>
          </w:p>
          <w:p w14:paraId="6B501A3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7B098EF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E400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171,7</w:t>
            </w:r>
          </w:p>
          <w:p w14:paraId="75AAD2C2"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136,4</w:t>
            </w:r>
          </w:p>
          <w:p w14:paraId="35645F9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46BF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248,1</w:t>
            </w:r>
          </w:p>
          <w:p w14:paraId="329FA8F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196,8</w:t>
            </w:r>
          </w:p>
          <w:p w14:paraId="322206B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144,5</w:t>
            </w:r>
          </w:p>
        </w:tc>
      </w:tr>
      <w:tr w:rsidR="00A259BD" w:rsidRPr="00A259BD" w14:paraId="30A0A065"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06F6A2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Товарная продукция военная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94114"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251F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039D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6D7C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235,5</w:t>
            </w:r>
          </w:p>
        </w:tc>
      </w:tr>
      <w:tr w:rsidR="00A259BD" w:rsidRPr="00A259BD" w14:paraId="08D7F4C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D3617E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Динамика (в процентах)</w:t>
            </w:r>
          </w:p>
          <w:p w14:paraId="3F3F271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BB66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46229DA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3908290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9CA7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125</w:t>
            </w:r>
          </w:p>
          <w:p w14:paraId="3D789BB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56FB3BB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F7D3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167</w:t>
            </w:r>
          </w:p>
          <w:p w14:paraId="5BE4036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133,6</w:t>
            </w:r>
          </w:p>
          <w:p w14:paraId="556408B2"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E72E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223.8 170,1</w:t>
            </w:r>
          </w:p>
          <w:p w14:paraId="347BB4E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133.9</w:t>
            </w:r>
          </w:p>
        </w:tc>
      </w:tr>
      <w:tr w:rsidR="00A259BD" w:rsidRPr="00A259BD" w14:paraId="4451D1C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FD687F4"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Товарная продукция мирная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A79A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ABA1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2C35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C2A5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135,4</w:t>
            </w:r>
          </w:p>
        </w:tc>
      </w:tr>
      <w:tr w:rsidR="00A259BD" w:rsidRPr="00A259BD" w14:paraId="59F8136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1E9AEA4"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Динамика (в процентах)</w:t>
            </w:r>
          </w:p>
          <w:p w14:paraId="4CDD79E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679A993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3B37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1038745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60D4B3A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C08E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128</w:t>
            </w:r>
          </w:p>
          <w:p w14:paraId="11EE182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762062C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A86B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182,3</w:t>
            </w:r>
          </w:p>
          <w:p w14:paraId="1E8F289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142,6</w:t>
            </w:r>
          </w:p>
          <w:p w14:paraId="7516253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DA2F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305,6</w:t>
            </w:r>
          </w:p>
          <w:p w14:paraId="5380BEC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238.8</w:t>
            </w:r>
          </w:p>
          <w:p w14:paraId="0D24DB2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167.9</w:t>
            </w:r>
          </w:p>
        </w:tc>
      </w:tr>
      <w:tr w:rsidR="00A259BD" w:rsidRPr="00A259BD" w14:paraId="76BA2A07"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D0C2A2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II. Труд</w:t>
            </w:r>
          </w:p>
        </w:tc>
      </w:tr>
      <w:tr w:rsidR="00A259BD" w:rsidRPr="00A259BD" w14:paraId="66CBFB7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EEB452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количество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8D7B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75 147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751B4"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76 214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64D4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86 686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F299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98 710</w:t>
            </w:r>
          </w:p>
        </w:tc>
      </w:tr>
      <w:tr w:rsidR="00A259BD" w:rsidRPr="00A259BD" w14:paraId="1D72E6D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A7B147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динамика (в процентах)</w:t>
            </w:r>
          </w:p>
          <w:p w14:paraId="1ECD0C5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3B5E7FA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3152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155F9F4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106E81B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4482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101,4</w:t>
            </w:r>
          </w:p>
          <w:p w14:paraId="5A00590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5A654F1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9145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115,3</w:t>
            </w:r>
          </w:p>
          <w:p w14:paraId="3AAEB47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113,7</w:t>
            </w:r>
          </w:p>
          <w:p w14:paraId="5B4DDEC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8057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131,3</w:t>
            </w:r>
          </w:p>
          <w:p w14:paraId="12A71854"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129,5</w:t>
            </w:r>
          </w:p>
          <w:p w14:paraId="2F5CFD6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113,9</w:t>
            </w:r>
          </w:p>
        </w:tc>
      </w:tr>
      <w:tr w:rsidR="00A259BD" w:rsidRPr="00A259BD" w14:paraId="3A7284E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C0E67F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количество 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79932"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CCF8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363D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AD0A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16 560</w:t>
            </w:r>
          </w:p>
        </w:tc>
      </w:tr>
      <w:tr w:rsidR="00A259BD" w:rsidRPr="00A259BD" w14:paraId="3B1B1F1B"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662939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динамика (в процентах)</w:t>
            </w:r>
          </w:p>
          <w:p w14:paraId="1EC44492"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6A876A8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EC6E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19F1BAE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699B023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18FF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100,9</w:t>
            </w:r>
          </w:p>
          <w:p w14:paraId="08EDAEB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2155234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68752"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106.5</w:t>
            </w:r>
          </w:p>
          <w:p w14:paraId="78F247A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105.5</w:t>
            </w:r>
          </w:p>
          <w:p w14:paraId="01B3BCF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52DC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118</w:t>
            </w:r>
          </w:p>
          <w:p w14:paraId="2F99907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116,8</w:t>
            </w:r>
          </w:p>
          <w:p w14:paraId="31483B6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110,8</w:t>
            </w:r>
          </w:p>
        </w:tc>
      </w:tr>
      <w:tr w:rsidR="00A259BD" w:rsidRPr="00A259BD" w14:paraId="0FD96B2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A8515F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процентное отношение служащих к рабочим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97A2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1066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0B45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3CD5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16,8</w:t>
            </w:r>
          </w:p>
        </w:tc>
      </w:tr>
      <w:tr w:rsidR="00A259BD" w:rsidRPr="00A259BD" w14:paraId="6E46CDA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2EFB9B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среднемесячная зарплата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55EF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59</w:t>
            </w:r>
            <w:r w:rsidRPr="00A259BD">
              <w:rPr>
                <w:rFonts w:ascii="Times New Roman" w:hAnsi="Times New Roman"/>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8819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67</w:t>
            </w:r>
            <w:r w:rsidRPr="00A259BD">
              <w:rPr>
                <w:rFonts w:ascii="Times New Roman" w:hAnsi="Times New Roman"/>
                <w:color w:val="000000" w:themeColor="text1"/>
                <w:sz w:val="16"/>
                <w:szCs w:val="16"/>
              </w:rPr>
              <w:noBreakHyphen/>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F8A1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w:t>
            </w:r>
            <w:r w:rsidRPr="00A259BD">
              <w:rPr>
                <w:rFonts w:ascii="Times New Roman" w:hAnsi="Times New Roman"/>
                <w:color w:val="000000" w:themeColor="text1"/>
                <w:sz w:val="16"/>
                <w:szCs w:val="16"/>
              </w:rPr>
              <w:noBreakHyphen/>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17C34"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w:t>
            </w:r>
            <w:r w:rsidRPr="00A259BD">
              <w:rPr>
                <w:rFonts w:ascii="Times New Roman" w:hAnsi="Times New Roman"/>
                <w:color w:val="000000" w:themeColor="text1"/>
                <w:sz w:val="16"/>
                <w:szCs w:val="16"/>
              </w:rPr>
              <w:noBreakHyphen/>
              <w:t>50</w:t>
            </w:r>
          </w:p>
        </w:tc>
      </w:tr>
      <w:tr w:rsidR="00A259BD" w:rsidRPr="00A259BD" w14:paraId="17A01A8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D4C55B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динамика (в процентах)</w:t>
            </w:r>
          </w:p>
          <w:p w14:paraId="6480087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1ED2B58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A90C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22E1C804"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4AC2F62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91E1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113,8</w:t>
            </w:r>
          </w:p>
          <w:p w14:paraId="3FB32FF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5844F77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77CE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131</w:t>
            </w:r>
          </w:p>
          <w:p w14:paraId="2DDFABD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115,1</w:t>
            </w:r>
          </w:p>
          <w:p w14:paraId="78D055F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E85B2"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144,3</w:t>
            </w:r>
          </w:p>
          <w:p w14:paraId="6FDBFAD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126,7</w:t>
            </w:r>
          </w:p>
          <w:p w14:paraId="6534049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110,2</w:t>
            </w:r>
          </w:p>
        </w:tc>
      </w:tr>
      <w:tr w:rsidR="00A259BD" w:rsidRPr="00A259BD" w14:paraId="04B3926A"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425629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выработка на 1 рабочего в ценах 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3F64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w:t>
            </w:r>
            <w:r w:rsidRPr="00A259BD">
              <w:rPr>
                <w:rFonts w:ascii="Times New Roman" w:hAnsi="Times New Roman"/>
                <w:color w:val="000000" w:themeColor="text1"/>
                <w:sz w:val="16"/>
                <w:szCs w:val="16"/>
              </w:rPr>
              <w:noBreakHyphen/>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BB6E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242</w:t>
            </w:r>
            <w:r w:rsidRPr="00A259BD">
              <w:rPr>
                <w:rFonts w:ascii="Times New Roman" w:hAnsi="Times New Roman"/>
                <w:color w:val="000000" w:themeColor="text1"/>
                <w:sz w:val="16"/>
                <w:szCs w:val="16"/>
              </w:rPr>
              <w:noBreakHyphen/>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526E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294</w:t>
            </w:r>
            <w:r w:rsidRPr="00A259BD">
              <w:rPr>
                <w:rFonts w:ascii="Times New Roman" w:hAnsi="Times New Roman"/>
                <w:color w:val="000000" w:themeColor="text1"/>
                <w:sz w:val="16"/>
                <w:szCs w:val="16"/>
              </w:rPr>
              <w:noBreakHyphen/>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1EAA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352</w:t>
            </w:r>
            <w:r w:rsidRPr="00A259BD">
              <w:rPr>
                <w:rFonts w:ascii="Times New Roman" w:hAnsi="Times New Roman"/>
                <w:color w:val="000000" w:themeColor="text1"/>
                <w:sz w:val="16"/>
                <w:szCs w:val="16"/>
              </w:rPr>
              <w:noBreakHyphen/>
              <w:t>10</w:t>
            </w:r>
          </w:p>
        </w:tc>
      </w:tr>
      <w:tr w:rsidR="00A259BD" w:rsidRPr="00A259BD" w14:paraId="2D32E8D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804912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динамика (в процентах)</w:t>
            </w:r>
          </w:p>
          <w:p w14:paraId="624131D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7A214F6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F335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7592BC8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195721A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27D0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125,2</w:t>
            </w:r>
          </w:p>
          <w:p w14:paraId="60723C7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1986AEC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B99F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151,7</w:t>
            </w:r>
          </w:p>
          <w:p w14:paraId="0F7EE09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121,2</w:t>
            </w:r>
          </w:p>
          <w:p w14:paraId="1179DED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7830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181,6</w:t>
            </w:r>
          </w:p>
          <w:p w14:paraId="1D19721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145</w:t>
            </w:r>
          </w:p>
          <w:p w14:paraId="743B979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119,7</w:t>
            </w:r>
          </w:p>
        </w:tc>
      </w:tr>
      <w:tr w:rsidR="00A259BD" w:rsidRPr="00A259BD" w14:paraId="3D93FC3D"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51ABB6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III. Себестоимость и цены (в процентах)</w:t>
            </w:r>
          </w:p>
        </w:tc>
      </w:tr>
      <w:tr w:rsidR="00A259BD" w:rsidRPr="00A259BD" w14:paraId="5364AAB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140953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Снижение себестоимости по годам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A204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4F27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6EC04"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92A3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9,5</w:t>
            </w:r>
          </w:p>
        </w:tc>
      </w:tr>
      <w:tr w:rsidR="00A259BD" w:rsidRPr="00A259BD" w14:paraId="135F44CA"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7F5ED32"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Снижение себестоимости за 3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9724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1E2D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80BC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98C1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22,6</w:t>
            </w:r>
          </w:p>
        </w:tc>
      </w:tr>
      <w:tr w:rsidR="00A259BD" w:rsidRPr="00A259BD" w14:paraId="3BD7805A"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8DEC05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Снижение отпускных цен по годам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5A3F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03D2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7F09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6AE4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w:t>
            </w:r>
          </w:p>
        </w:tc>
      </w:tr>
      <w:tr w:rsidR="00A259BD" w:rsidRPr="00A259BD" w14:paraId="3BF663A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563D1E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Снижение отпускных цен за 3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7DF7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47E3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B07C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64A8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14,2</w:t>
            </w:r>
          </w:p>
        </w:tc>
      </w:tr>
      <w:tr w:rsidR="00A259BD" w:rsidRPr="00A259BD" w14:paraId="1536D791"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65AD1F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IV. Результаты</w:t>
            </w:r>
          </w:p>
        </w:tc>
      </w:tr>
      <w:tr w:rsidR="00A259BD" w:rsidRPr="00A259BD" w14:paraId="55E95DE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3F8848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Убыток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036D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5624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7F4C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6CFA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1C0F89BA"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4C4937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Прибыль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A956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146A4"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FAEF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8D63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w:t>
            </w:r>
          </w:p>
        </w:tc>
      </w:tr>
      <w:tr w:rsidR="00A259BD" w:rsidRPr="00A259BD" w14:paraId="42B8BCA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B235474"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Процентное отношение к себестоимости товарной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B9C3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5AF8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C4A1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3A2C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w:t>
            </w:r>
          </w:p>
        </w:tc>
      </w:tr>
      <w:tr w:rsidR="00A259BD" w:rsidRPr="00A259BD" w14:paraId="495817F9"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442B39E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V. Основные фонды</w:t>
            </w:r>
          </w:p>
        </w:tc>
      </w:tr>
      <w:tr w:rsidR="00A259BD" w:rsidRPr="00A259BD" w14:paraId="1D434CA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39C7DE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Основной капитал на начало и конец года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5F31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B5E5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03202"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B6C3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676,5</w:t>
            </w:r>
          </w:p>
        </w:tc>
      </w:tr>
      <w:tr w:rsidR="00A259BD" w:rsidRPr="00A259BD" w14:paraId="6D7E0EE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9DF7D6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Динамика (в процентах)</w:t>
            </w:r>
          </w:p>
          <w:p w14:paraId="4DD9B14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3371DB3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477B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0AA1AF6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77D2C8E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3030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111,7</w:t>
            </w:r>
          </w:p>
          <w:p w14:paraId="13477EE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38DC44A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2813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130,2</w:t>
            </w:r>
          </w:p>
          <w:p w14:paraId="1365522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115,7</w:t>
            </w:r>
          </w:p>
          <w:p w14:paraId="310CD31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C0DE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r>
      <w:tr w:rsidR="00A259BD" w:rsidRPr="00A259BD" w14:paraId="6E5318C3"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80E0E9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VI. Затраты на капитальное строительство</w:t>
            </w:r>
          </w:p>
        </w:tc>
      </w:tr>
      <w:tr w:rsidR="00A259BD" w:rsidRPr="00A259BD" w14:paraId="346570BB"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4E9E37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8BC3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9CF0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8A7E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DE05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152,6</w:t>
            </w:r>
          </w:p>
        </w:tc>
      </w:tr>
      <w:tr w:rsidR="00A259BD" w:rsidRPr="00A259BD" w14:paraId="0CDCC5E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2A2961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Динамика (в процентах)</w:t>
            </w:r>
          </w:p>
          <w:p w14:paraId="2263E5B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6D715C2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90B8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776B045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5F926B7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0FFB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168,2</w:t>
            </w:r>
          </w:p>
          <w:p w14:paraId="65CE8FE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40747AB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5D0B2"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296,1</w:t>
            </w:r>
          </w:p>
          <w:p w14:paraId="4174184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175,8</w:t>
            </w:r>
          </w:p>
          <w:p w14:paraId="1DD5216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0628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498.8 293,4</w:t>
            </w:r>
          </w:p>
          <w:p w14:paraId="3680F8F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166.8</w:t>
            </w:r>
          </w:p>
        </w:tc>
      </w:tr>
      <w:tr w:rsidR="00A259BD" w:rsidRPr="00A259BD" w14:paraId="270830C4"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C9FCC3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Основное промышленное строительство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90E8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00B24"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84EB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0152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133,6</w:t>
            </w:r>
          </w:p>
        </w:tc>
      </w:tr>
      <w:tr w:rsidR="00A259BD" w:rsidRPr="00A259BD" w14:paraId="3F59979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043A0A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Динамика (в процентах)</w:t>
            </w:r>
          </w:p>
          <w:p w14:paraId="3D76EB2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162811C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E187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5B3E6B8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04AFADA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68FF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150,3</w:t>
            </w:r>
          </w:p>
          <w:p w14:paraId="2AED4FC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6D1A010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60F7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256,3</w:t>
            </w:r>
          </w:p>
          <w:p w14:paraId="12ABD20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170,5</w:t>
            </w:r>
          </w:p>
          <w:p w14:paraId="64A5E854"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ED3C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467,1</w:t>
            </w:r>
          </w:p>
          <w:p w14:paraId="589F5D6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310,7</w:t>
            </w:r>
          </w:p>
          <w:p w14:paraId="74CEDF4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182,3</w:t>
            </w:r>
          </w:p>
        </w:tc>
      </w:tr>
      <w:tr w:rsidR="00A259BD" w:rsidRPr="00A259BD" w14:paraId="3E50DD6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B19573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Жилстроительство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2DCC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B859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0FBD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B8A2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w:t>
            </w:r>
          </w:p>
        </w:tc>
      </w:tr>
      <w:tr w:rsidR="00A259BD" w:rsidRPr="00A259BD" w14:paraId="5F8DB3ED"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F4A9854"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Динамика (в процентах)</w:t>
            </w:r>
          </w:p>
          <w:p w14:paraId="2BC2952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62E19DD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1075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7F32697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4C04FF8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BBD4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282,6</w:t>
            </w:r>
          </w:p>
          <w:p w14:paraId="0129217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21F58F9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2B15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569.5</w:t>
            </w:r>
          </w:p>
          <w:p w14:paraId="6AAACE0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201.5</w:t>
            </w:r>
          </w:p>
          <w:p w14:paraId="35AFD71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B4554"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739,1</w:t>
            </w:r>
          </w:p>
          <w:p w14:paraId="37FF754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261,5</w:t>
            </w:r>
          </w:p>
          <w:p w14:paraId="5E43868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129,8</w:t>
            </w:r>
          </w:p>
        </w:tc>
      </w:tr>
      <w:tr w:rsidR="00A259BD" w:rsidRPr="00A259BD" w14:paraId="5AB11495"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5A3C69B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VII. Финансирование капитального строительства</w:t>
            </w:r>
          </w:p>
        </w:tc>
      </w:tr>
      <w:tr w:rsidR="00A259BD" w:rsidRPr="00A259BD" w14:paraId="0FF5C02D"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66F765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чужие средства (дотации, ссуды;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AC14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51E4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66134"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BED9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82,3</w:t>
            </w:r>
          </w:p>
        </w:tc>
      </w:tr>
      <w:tr w:rsidR="00A259BD" w:rsidRPr="00A259BD" w14:paraId="34426DC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1DA326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динамика (в процентах)</w:t>
            </w:r>
          </w:p>
          <w:p w14:paraId="0ACD3C4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7E8EC1A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88E5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6E699BE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648F209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2573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129,7</w:t>
            </w:r>
          </w:p>
          <w:p w14:paraId="433987D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111D244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5F4E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181</w:t>
            </w:r>
          </w:p>
          <w:p w14:paraId="4D917A2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139,6</w:t>
            </w:r>
          </w:p>
          <w:p w14:paraId="61089032"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0C06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274,3</w:t>
            </w:r>
          </w:p>
          <w:p w14:paraId="6C3315D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211,6</w:t>
            </w:r>
          </w:p>
          <w:p w14:paraId="7EDB0B0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151,5</w:t>
            </w:r>
          </w:p>
        </w:tc>
      </w:tr>
      <w:tr w:rsidR="00A259BD" w:rsidRPr="00A259BD" w14:paraId="5E45FBB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37B00C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собственные средства: амортизация, прибыль, материалы, переходящие платежи и пр.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8B73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8ACF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F60B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ED534"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70,3</w:t>
            </w:r>
          </w:p>
        </w:tc>
      </w:tr>
      <w:tr w:rsidR="00A259BD" w:rsidRPr="00A259BD" w14:paraId="0423AB5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DD579F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динамика (в процентах)</w:t>
            </w:r>
          </w:p>
          <w:p w14:paraId="41B3AE5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2534751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C7DE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0AF791A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569BF2C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ED70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2F4CDE1F"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p w14:paraId="32F2214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38EB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53B6C7D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284,7</w:t>
            </w:r>
          </w:p>
          <w:p w14:paraId="261E4AC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7271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401411D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536,6</w:t>
            </w:r>
          </w:p>
          <w:p w14:paraId="5CFD7FF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189</w:t>
            </w:r>
          </w:p>
        </w:tc>
      </w:tr>
      <w:tr w:rsidR="00A259BD" w:rsidRPr="00A259BD" w14:paraId="68827653"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770ABF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VIII. Коммерческо-финансовая деятельность</w:t>
            </w:r>
          </w:p>
        </w:tc>
      </w:tr>
      <w:tr w:rsidR="00A259BD" w:rsidRPr="00A259BD" w14:paraId="5AE5ADE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0024C8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оборотные средства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FCDD6"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8541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268,2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F164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586E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233,2</w:t>
            </w:r>
          </w:p>
        </w:tc>
      </w:tr>
      <w:tr w:rsidR="00A259BD" w:rsidRPr="00A259BD" w14:paraId="06F330D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84D4A2A"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собственные оборотные средства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2FF88"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1C8D1"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1CD8B"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7429D"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114,2</w:t>
            </w:r>
          </w:p>
        </w:tc>
      </w:tr>
      <w:tr w:rsidR="00A259BD" w:rsidRPr="00A259BD" w14:paraId="7F9A3B8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AA57D9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чужие оборотные средства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03A15"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14039"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9A9A3"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DD7B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119</w:t>
            </w:r>
          </w:p>
        </w:tc>
      </w:tr>
      <w:tr w:rsidR="00A259BD" w:rsidRPr="00A259BD" w14:paraId="038B055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AE9DFF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Оборачиваемость в месяцах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0E1D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3CA6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94D4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57D0C"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9,1</w:t>
            </w:r>
          </w:p>
        </w:tc>
      </w:tr>
    </w:tbl>
    <w:p w14:paraId="07577A46" w14:textId="77777777" w:rsidR="00E15FE6" w:rsidRPr="00A259BD" w:rsidRDefault="00E15FE6" w:rsidP="009236E3">
      <w:pPr>
        <w:pStyle w:val="rteright"/>
        <w:spacing w:before="0" w:after="0"/>
        <w:jc w:val="both"/>
        <w:rPr>
          <w:color w:val="000000" w:themeColor="text1"/>
          <w:sz w:val="16"/>
          <w:szCs w:val="16"/>
        </w:rPr>
      </w:pPr>
      <w:r w:rsidRPr="00A259BD">
        <w:rPr>
          <w:rStyle w:val="af0"/>
          <w:i w:val="0"/>
          <w:color w:val="000000" w:themeColor="text1"/>
          <w:sz w:val="16"/>
          <w:szCs w:val="16"/>
        </w:rPr>
        <w:t xml:space="preserve">Зам. начальника ГВПУ </w:t>
      </w:r>
      <w:proofErr w:type="spellStart"/>
      <w:r w:rsidRPr="00A259BD">
        <w:rPr>
          <w:rStyle w:val="af0"/>
          <w:i w:val="0"/>
          <w:color w:val="000000" w:themeColor="text1"/>
          <w:sz w:val="16"/>
          <w:szCs w:val="16"/>
        </w:rPr>
        <w:t>Будневич</w:t>
      </w:r>
      <w:proofErr w:type="spellEnd"/>
    </w:p>
    <w:p w14:paraId="41FA8959" w14:textId="77777777" w:rsidR="00E15FE6" w:rsidRPr="00A259BD" w:rsidRDefault="00E15FE6"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Примечание</w:t>
      </w:r>
      <w:r w:rsidRPr="00A259BD">
        <w:rPr>
          <w:color w:val="000000" w:themeColor="text1"/>
          <w:sz w:val="16"/>
          <w:szCs w:val="16"/>
        </w:rPr>
        <w:t>:</w:t>
      </w:r>
    </w:p>
    <w:p w14:paraId="437404D5" w14:textId="77777777" w:rsidR="00E15FE6" w:rsidRPr="00A259BD" w:rsidRDefault="00E15FE6"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Составлена к докладу ГВПУ ВСНХ СССР в РЗ СТО СССР (13 мая) о состоянии военной промышленности.</w:t>
      </w:r>
    </w:p>
    <w:p w14:paraId="54EA2FA0"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РГАЭ. Ф. 4372. Оп. 91. Д. 528. Л. 44—41. Подлинник.</w:t>
      </w:r>
    </w:p>
    <w:p w14:paraId="3731FB92"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ГА РФ. Ф. Р-5446. Оп. 55. Д. 1844. Л. 6—9. Подлинник.</w:t>
      </w:r>
    </w:p>
    <w:p w14:paraId="138CDFD7"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4372. Оп. 91. Д. 528. Л. 44—41. Подлинник.; ГА РФ. Ф. Р-5446. Оп. 55. Д. 1844. Л. 6—9. Подлинник. </w:t>
      </w:r>
    </w:p>
    <w:p w14:paraId="1E73FFBE" w14:textId="77777777" w:rsidR="00E15FE6" w:rsidRPr="00A259BD" w:rsidRDefault="00E15FE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320-322 (12452).</w:t>
      </w:r>
    </w:p>
    <w:p w14:paraId="6326DE2F" w14:textId="77777777" w:rsidR="00E15FE6" w:rsidRPr="00A259BD" w:rsidRDefault="00E15FE6" w:rsidP="009236E3">
      <w:pPr>
        <w:spacing w:after="0" w:line="240" w:lineRule="auto"/>
        <w:jc w:val="both"/>
        <w:rPr>
          <w:rFonts w:ascii="Times New Roman" w:hAnsi="Times New Roman"/>
          <w:color w:val="000000" w:themeColor="text1"/>
          <w:sz w:val="16"/>
          <w:szCs w:val="16"/>
        </w:rPr>
      </w:pPr>
    </w:p>
    <w:p w14:paraId="652699D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14E80AF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F8B0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10 мая 1929 10-й авиаотряд под Москвой закончил переучивание и сдал старые Р-1. К лету новые машины получил еще целый ряд эскадрилий и отрядов, в частности, 20-й </w:t>
      </w:r>
      <w:proofErr w:type="spellStart"/>
      <w:r w:rsidRPr="00A259BD">
        <w:rPr>
          <w:rFonts w:ascii="Times New Roman" w:hAnsi="Times New Roman"/>
          <w:color w:val="000000" w:themeColor="text1"/>
          <w:sz w:val="16"/>
          <w:szCs w:val="16"/>
        </w:rPr>
        <w:t>ао</w:t>
      </w:r>
      <w:proofErr w:type="spellEnd"/>
      <w:r w:rsidRPr="00A259BD">
        <w:rPr>
          <w:rFonts w:ascii="Times New Roman" w:hAnsi="Times New Roman"/>
          <w:color w:val="000000" w:themeColor="text1"/>
          <w:sz w:val="16"/>
          <w:szCs w:val="16"/>
        </w:rPr>
        <w:t xml:space="preserve"> и 30-я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в Подмосковье. На 1 мая 1929 г. в первом значилось восемь самолетов, во второй - 19 (полный комплект). Такие же машины получил 44-й </w:t>
      </w:r>
      <w:proofErr w:type="spellStart"/>
      <w:r w:rsidRPr="00A259BD">
        <w:rPr>
          <w:rFonts w:ascii="Times New Roman" w:hAnsi="Times New Roman"/>
          <w:color w:val="000000" w:themeColor="text1"/>
          <w:sz w:val="16"/>
          <w:szCs w:val="16"/>
        </w:rPr>
        <w:t>ао</w:t>
      </w:r>
      <w:proofErr w:type="spellEnd"/>
      <w:r w:rsidRPr="00A259BD">
        <w:rPr>
          <w:rFonts w:ascii="Times New Roman" w:hAnsi="Times New Roman"/>
          <w:color w:val="000000" w:themeColor="text1"/>
          <w:sz w:val="16"/>
          <w:szCs w:val="16"/>
        </w:rPr>
        <w:t xml:space="preserve"> в Закавказье. Р-ЗЛД также выделялся в качестве персональных самолетов командирам соединений. Несколько машин передали как учебно-тренировочные в 55-ю и 57-ю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Ленинградского округа - тогда они были единственными в ВВС РККА "тяжелыми" эскадрильями, вооруженными не одномоторными бомбардировщиками, а смесью французских двухмоторных ФГ-62 (Фарман F-62 "Голиаф") и немецких трехмоторных ЮГ-1 (Юнкере К.ЗОС). Первоочередному перевооружению подлежали части, летавшие ранее на Ю-21. Это объяснялось двумя причинами: во-первых, характеристики немецких разведчиков оставляли желать много лучшего, а во-вторых, там уже имели опыт эксплуатации цельнометаллических самолетов.</w:t>
      </w:r>
    </w:p>
    <w:p w14:paraId="73A51A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Опыт эксплуатации Р-ЗЛД сразу же выявил значительное число серьезных дефектов. В первую очередь столкнулись с недостаточной жесткостью шпангоутов передней части фюзеляжа. Основные жалобы были связаны с деформацией 1-го шпангоута и отрывом бортов его рамы в местах крепления башмаков подкоса шасси. Деформировались и другие шпангоуты. После 60 - 70 посадок выпадали заклепки, изгибались подкосы шасси. Вызывали нарекания плохая работа бомбосбрасывателей (для залпа восемью бомбами летнабу приходилось тянуть ручку двумя руками - такое требовалось усилие) и вибрация стрелкового прицела. Постоянно донимали течи радиаторов, масло- и </w:t>
      </w:r>
      <w:proofErr w:type="spellStart"/>
      <w:r w:rsidRPr="00A259BD">
        <w:rPr>
          <w:rFonts w:ascii="Times New Roman" w:hAnsi="Times New Roman"/>
          <w:color w:val="000000" w:themeColor="text1"/>
          <w:sz w:val="16"/>
          <w:szCs w:val="16"/>
        </w:rPr>
        <w:t>бензомагистра</w:t>
      </w:r>
      <w:proofErr w:type="spellEnd"/>
      <w:r w:rsidRPr="00A259BD">
        <w:rPr>
          <w:rFonts w:ascii="Times New Roman" w:hAnsi="Times New Roman"/>
          <w:color w:val="000000" w:themeColor="text1"/>
          <w:sz w:val="16"/>
          <w:szCs w:val="16"/>
        </w:rPr>
        <w:t xml:space="preserve">- лей, кранов. Уже с января 1929 г. завод № 39 начал переделку новеньких Р-ЗМ5 и Р-ЗЛД, полученных 30-й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и 20-м </w:t>
      </w:r>
      <w:proofErr w:type="spellStart"/>
      <w:r w:rsidRPr="00A259BD">
        <w:rPr>
          <w:rFonts w:ascii="Times New Roman" w:hAnsi="Times New Roman"/>
          <w:color w:val="000000" w:themeColor="text1"/>
          <w:sz w:val="16"/>
          <w:szCs w:val="16"/>
        </w:rPr>
        <w:t>ао</w:t>
      </w:r>
      <w:proofErr w:type="spellEnd"/>
      <w:r w:rsidRPr="00A259BD">
        <w:rPr>
          <w:rFonts w:ascii="Times New Roman" w:hAnsi="Times New Roman"/>
          <w:color w:val="000000" w:themeColor="text1"/>
          <w:sz w:val="16"/>
          <w:szCs w:val="16"/>
        </w:rPr>
        <w:t xml:space="preserve">. Усиливались распорками 1-й и 2-й шпангоуты; ставились новые, более прочные, ушки подвески карбюраторов; проводилась переделка масло- и </w:t>
      </w:r>
      <w:proofErr w:type="spellStart"/>
      <w:r w:rsidRPr="00A259BD">
        <w:rPr>
          <w:rFonts w:ascii="Times New Roman" w:hAnsi="Times New Roman"/>
          <w:color w:val="000000" w:themeColor="text1"/>
          <w:sz w:val="16"/>
          <w:szCs w:val="16"/>
        </w:rPr>
        <w:t>бензосистем</w:t>
      </w:r>
      <w:proofErr w:type="spellEnd"/>
      <w:r w:rsidRPr="00A259BD">
        <w:rPr>
          <w:rFonts w:ascii="Times New Roman" w:hAnsi="Times New Roman"/>
          <w:color w:val="000000" w:themeColor="text1"/>
          <w:sz w:val="16"/>
          <w:szCs w:val="16"/>
        </w:rPr>
        <w:t>. Решено было усилить все Р-ЗЛД, имевшиеся в ВВС. К декабрю небольшой завод захлебнулся поступающими из частей самолетами. Председатель Технико-эксплуатационной инспекции УВВС Смолин докладывал: "</w:t>
      </w:r>
      <w:proofErr w:type="spellStart"/>
      <w:r w:rsidRPr="00A259BD">
        <w:rPr>
          <w:rFonts w:ascii="Times New Roman" w:hAnsi="Times New Roman"/>
          <w:color w:val="000000" w:themeColor="text1"/>
          <w:sz w:val="16"/>
          <w:szCs w:val="16"/>
        </w:rPr>
        <w:t>Ремфонд</w:t>
      </w:r>
      <w:proofErr w:type="spellEnd"/>
      <w:r w:rsidRPr="00A259BD">
        <w:rPr>
          <w:rFonts w:ascii="Times New Roman" w:hAnsi="Times New Roman"/>
          <w:color w:val="000000" w:themeColor="text1"/>
          <w:sz w:val="16"/>
          <w:szCs w:val="16"/>
        </w:rPr>
        <w:t xml:space="preserve"> завода № 39... забит самолетами" и настаивал на четкой формулировке принципа отбора машин для модернизации. В конечном итоге решили переделывать только самолеты с явными признаками деформаций. На Р-ЗМ5 вообще меняли лишь магистрали и краны. От планов замены радиаторов </w:t>
      </w:r>
      <w:proofErr w:type="spellStart"/>
      <w:r w:rsidRPr="00A259BD">
        <w:rPr>
          <w:rFonts w:ascii="Times New Roman" w:hAnsi="Times New Roman"/>
          <w:color w:val="000000" w:themeColor="text1"/>
          <w:sz w:val="16"/>
          <w:szCs w:val="16"/>
        </w:rPr>
        <w:t>Ламблена</w:t>
      </w:r>
      <w:proofErr w:type="spellEnd"/>
      <w:r w:rsidRPr="00A259BD">
        <w:rPr>
          <w:rFonts w:ascii="Times New Roman" w:hAnsi="Times New Roman"/>
          <w:color w:val="000000" w:themeColor="text1"/>
          <w:sz w:val="16"/>
          <w:szCs w:val="16"/>
        </w:rPr>
        <w:t xml:space="preserve"> на лобовые сотовые (ЦАГИ сконструировал два варианта таких радиаторов для М-5) вообще отказались. Такую доработку выполнили на одной машине, эксплуатировавшейся потом в гражданской авиации. У нее два радиатора крепились примерно в том же месте, где и старые </w:t>
      </w:r>
      <w:proofErr w:type="spellStart"/>
      <w:r w:rsidRPr="00A259BD">
        <w:rPr>
          <w:rFonts w:ascii="Times New Roman" w:hAnsi="Times New Roman"/>
          <w:color w:val="000000" w:themeColor="text1"/>
          <w:sz w:val="16"/>
          <w:szCs w:val="16"/>
        </w:rPr>
        <w:t>Ламблена</w:t>
      </w:r>
      <w:proofErr w:type="spellEnd"/>
      <w:r w:rsidRPr="00A259BD">
        <w:rPr>
          <w:rFonts w:ascii="Times New Roman" w:hAnsi="Times New Roman"/>
          <w:color w:val="000000" w:themeColor="text1"/>
          <w:sz w:val="16"/>
          <w:szCs w:val="16"/>
        </w:rPr>
        <w:t>.</w:t>
      </w:r>
    </w:p>
    <w:p w14:paraId="1FF748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Мероприятия по усилению планера проводились и в других округах. Например, 44-й </w:t>
      </w:r>
      <w:proofErr w:type="spellStart"/>
      <w:r w:rsidRPr="00A259BD">
        <w:rPr>
          <w:rFonts w:ascii="Times New Roman" w:hAnsi="Times New Roman"/>
          <w:color w:val="000000" w:themeColor="text1"/>
          <w:sz w:val="16"/>
          <w:szCs w:val="16"/>
        </w:rPr>
        <w:t>ао</w:t>
      </w:r>
      <w:proofErr w:type="spellEnd"/>
      <w:r w:rsidRPr="00A259BD">
        <w:rPr>
          <w:rFonts w:ascii="Times New Roman" w:hAnsi="Times New Roman"/>
          <w:color w:val="000000" w:themeColor="text1"/>
          <w:sz w:val="16"/>
          <w:szCs w:val="16"/>
        </w:rPr>
        <w:t xml:space="preserve"> из-за многочисленных поломок практически потерял боеспособность, но мастерские авиасклада № 7 самостоятельно, по оригинальной схеме, доработали девять Р-ЗЛД, обеспечив их дальнейшую безотказную службу.</w:t>
      </w:r>
    </w:p>
    <w:p w14:paraId="6C986A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Конечно, как у всякой новой машины, у Р-ЗЛД хватало недостатков (11985).</w:t>
      </w:r>
    </w:p>
    <w:p w14:paraId="2E2DD7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FB4083B"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8AC938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121A0DF" w14:textId="77777777" w:rsidR="008A272E" w:rsidRPr="00A259BD" w:rsidRDefault="008A27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мая 1929 года первый регулярный пассажирский поезд прошёл по </w:t>
      </w:r>
      <w:proofErr w:type="spellStart"/>
      <w:r w:rsidRPr="00A259BD">
        <w:rPr>
          <w:rFonts w:ascii="Times New Roman" w:hAnsi="Times New Roman"/>
          <w:color w:val="000000" w:themeColor="text1"/>
          <w:sz w:val="16"/>
          <w:szCs w:val="16"/>
        </w:rPr>
        <w:t>Турксибу</w:t>
      </w:r>
      <w:proofErr w:type="spellEnd"/>
      <w:r w:rsidRPr="00A259BD">
        <w:rPr>
          <w:rFonts w:ascii="Times New Roman" w:hAnsi="Times New Roman"/>
          <w:color w:val="000000" w:themeColor="text1"/>
          <w:sz w:val="16"/>
          <w:szCs w:val="16"/>
        </w:rPr>
        <w:t xml:space="preserve"> от Семипалатинска до </w:t>
      </w:r>
      <w:proofErr w:type="spellStart"/>
      <w:r w:rsidRPr="00A259BD">
        <w:rPr>
          <w:rFonts w:ascii="Times New Roman" w:hAnsi="Times New Roman"/>
          <w:color w:val="000000" w:themeColor="text1"/>
          <w:sz w:val="16"/>
          <w:szCs w:val="16"/>
        </w:rPr>
        <w:t>Сергиополя</w:t>
      </w:r>
      <w:proofErr w:type="spellEnd"/>
      <w:r w:rsidRPr="00A259BD">
        <w:rPr>
          <w:rFonts w:ascii="Times New Roman" w:hAnsi="Times New Roman"/>
          <w:color w:val="000000" w:themeColor="text1"/>
          <w:sz w:val="16"/>
          <w:szCs w:val="16"/>
        </w:rPr>
        <w:t xml:space="preserve"> (Аягуза).</w:t>
      </w:r>
    </w:p>
    <w:p w14:paraId="422558CA" w14:textId="77777777" w:rsidR="008A272E" w:rsidRPr="00A259BD" w:rsidRDefault="008A27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Фактически смычка </w:t>
      </w:r>
      <w:proofErr w:type="spellStart"/>
      <w:r w:rsidRPr="00A259BD">
        <w:rPr>
          <w:rFonts w:ascii="Times New Roman" w:hAnsi="Times New Roman"/>
          <w:color w:val="000000" w:themeColor="text1"/>
          <w:sz w:val="16"/>
          <w:szCs w:val="16"/>
        </w:rPr>
        <w:t>Турксиба</w:t>
      </w:r>
      <w:proofErr w:type="spellEnd"/>
      <w:r w:rsidRPr="00A259BD">
        <w:rPr>
          <w:rFonts w:ascii="Times New Roman" w:hAnsi="Times New Roman"/>
          <w:color w:val="000000" w:themeColor="text1"/>
          <w:sz w:val="16"/>
          <w:szCs w:val="16"/>
        </w:rPr>
        <w:t xml:space="preserve"> произошла 21 апреля 1930 года. «Серебряный» костыль на месте стыковки рельсов — станции </w:t>
      </w:r>
      <w:proofErr w:type="spellStart"/>
      <w:r w:rsidRPr="00A259BD">
        <w:rPr>
          <w:rFonts w:ascii="Times New Roman" w:hAnsi="Times New Roman"/>
          <w:color w:val="000000" w:themeColor="text1"/>
          <w:sz w:val="16"/>
          <w:szCs w:val="16"/>
        </w:rPr>
        <w:t>Огыз</w:t>
      </w:r>
      <w:proofErr w:type="spellEnd"/>
      <w:r w:rsidRPr="00A259BD">
        <w:rPr>
          <w:rFonts w:ascii="Times New Roman" w:hAnsi="Times New Roman"/>
          <w:color w:val="000000" w:themeColor="text1"/>
          <w:sz w:val="16"/>
          <w:szCs w:val="16"/>
        </w:rPr>
        <w:t>-Корган (переименованной по этому поводу в Айна-Булак — «Зеркальный Ручей») — забит в 12 часов дня 28 апреля 1930 года, на 8 месяцев раньше срока. После митинга по случаю открытия, на станции Айна-Булак был заложен памятник Ленину.</w:t>
      </w:r>
    </w:p>
    <w:p w14:paraId="2DCC05B1" w14:textId="77777777" w:rsidR="008A272E" w:rsidRPr="00A259BD" w:rsidRDefault="008A27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 мая 1930 года </w:t>
      </w:r>
      <w:proofErr w:type="spellStart"/>
      <w:r w:rsidRPr="00A259BD">
        <w:rPr>
          <w:rFonts w:ascii="Times New Roman" w:hAnsi="Times New Roman"/>
          <w:color w:val="000000" w:themeColor="text1"/>
          <w:sz w:val="16"/>
          <w:szCs w:val="16"/>
        </w:rPr>
        <w:t>Турксиб</w:t>
      </w:r>
      <w:proofErr w:type="spellEnd"/>
      <w:r w:rsidRPr="00A259BD">
        <w:rPr>
          <w:rFonts w:ascii="Times New Roman" w:hAnsi="Times New Roman"/>
          <w:color w:val="000000" w:themeColor="text1"/>
          <w:sz w:val="16"/>
          <w:szCs w:val="16"/>
        </w:rPr>
        <w:t xml:space="preserve"> был введён во временную эксплуатацию, а с 1 января 1931 года - в постоянную. И с того момента </w:t>
      </w:r>
      <w:proofErr w:type="spellStart"/>
      <w:r w:rsidRPr="00A259BD">
        <w:rPr>
          <w:rFonts w:ascii="Times New Roman" w:hAnsi="Times New Roman"/>
          <w:color w:val="000000" w:themeColor="text1"/>
          <w:sz w:val="16"/>
          <w:szCs w:val="16"/>
        </w:rPr>
        <w:t>Турксиб</w:t>
      </w:r>
      <w:proofErr w:type="spellEnd"/>
      <w:r w:rsidRPr="00A259BD">
        <w:rPr>
          <w:rFonts w:ascii="Times New Roman" w:hAnsi="Times New Roman"/>
          <w:color w:val="000000" w:themeColor="text1"/>
          <w:sz w:val="16"/>
          <w:szCs w:val="16"/>
        </w:rPr>
        <w:t xml:space="preserve"> стал функционировать в составе единой железнодорожной сети бывшего СССР (21167)</w:t>
      </w:r>
    </w:p>
    <w:p w14:paraId="070315A5" w14:textId="77777777" w:rsidR="008A272E" w:rsidRPr="00A259BD" w:rsidRDefault="008A272E" w:rsidP="009236E3">
      <w:pPr>
        <w:spacing w:after="0" w:line="240" w:lineRule="auto"/>
        <w:jc w:val="both"/>
        <w:rPr>
          <w:rFonts w:ascii="Times New Roman" w:hAnsi="Times New Roman"/>
          <w:color w:val="000000" w:themeColor="text1"/>
          <w:sz w:val="16"/>
          <w:szCs w:val="16"/>
        </w:rPr>
      </w:pPr>
    </w:p>
    <w:p w14:paraId="7FA38E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10 по 18 мая 1929 в Москве шел 14-й Всероссийский съезд Советов, который утвердил первый пятилетний план развития РСФСР (1348,148).</w:t>
      </w:r>
    </w:p>
    <w:p w14:paraId="408DB9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808CA5B"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447D37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2872303" w14:textId="77777777" w:rsidR="00393640" w:rsidRPr="00A259BD" w:rsidRDefault="0039364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мая в 1929 году впервые взлетел американский экспериментальный самолет </w:t>
      </w:r>
      <w:hyperlink r:id="rId50" w:tgtFrame="_blank" w:history="1">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Avion</w:t>
        </w:r>
        <w:proofErr w:type="spellEnd"/>
        <w:r w:rsidRPr="00A259BD">
          <w:rPr>
            <w:rFonts w:ascii="Times New Roman" w:hAnsi="Times New Roman"/>
            <w:color w:val="000000" w:themeColor="text1"/>
            <w:sz w:val="16"/>
            <w:szCs w:val="16"/>
          </w:rPr>
          <w:t>» «Model 1» «</w:t>
        </w:r>
        <w:proofErr w:type="spellStart"/>
        <w:r w:rsidRPr="00A259BD">
          <w:rPr>
            <w:rFonts w:ascii="Times New Roman" w:hAnsi="Times New Roman"/>
            <w:color w:val="000000" w:themeColor="text1"/>
            <w:sz w:val="16"/>
            <w:szCs w:val="16"/>
          </w:rPr>
          <w:t>Flying</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Wing</w:t>
        </w:r>
        <w:proofErr w:type="spellEnd"/>
        <w:r w:rsidRPr="00A259BD">
          <w:rPr>
            <w:rFonts w:ascii="Times New Roman" w:hAnsi="Times New Roman"/>
            <w:color w:val="000000" w:themeColor="text1"/>
            <w:sz w:val="16"/>
            <w:szCs w:val="16"/>
          </w:rPr>
          <w:t xml:space="preserve">». </w:t>
        </w:r>
      </w:hyperlink>
      <w:r w:rsidRPr="00A259BD">
        <w:rPr>
          <w:rFonts w:ascii="Times New Roman" w:hAnsi="Times New Roman"/>
          <w:color w:val="000000" w:themeColor="text1"/>
          <w:sz w:val="16"/>
          <w:szCs w:val="16"/>
        </w:rPr>
        <w:t>Самолет был спроектирован под четырехцилиндровый 90-сильный двигатель «</w:t>
      </w:r>
      <w:proofErr w:type="spellStart"/>
      <w:r w:rsidRPr="00A259BD">
        <w:rPr>
          <w:rFonts w:ascii="Times New Roman" w:hAnsi="Times New Roman"/>
          <w:color w:val="000000" w:themeColor="text1"/>
          <w:sz w:val="16"/>
          <w:szCs w:val="16"/>
        </w:rPr>
        <w:t>Менаско</w:t>
      </w:r>
      <w:proofErr w:type="spellEnd"/>
      <w:r w:rsidRPr="00A259BD">
        <w:rPr>
          <w:rFonts w:ascii="Times New Roman" w:hAnsi="Times New Roman"/>
          <w:color w:val="000000" w:themeColor="text1"/>
          <w:sz w:val="16"/>
          <w:szCs w:val="16"/>
        </w:rPr>
        <w:t xml:space="preserve">» «А-4», соединенный длинным валом с двухлопастным металлическим толкающим винтом. Открытая кабина пилота находилась слева от плоскости симметрии самолета. В ходе летных испытаний, в которых участвовали летчики Эдди </w:t>
      </w:r>
      <w:proofErr w:type="spellStart"/>
      <w:r w:rsidRPr="00A259BD">
        <w:rPr>
          <w:rFonts w:ascii="Times New Roman" w:hAnsi="Times New Roman"/>
          <w:color w:val="000000" w:themeColor="text1"/>
          <w:sz w:val="16"/>
          <w:szCs w:val="16"/>
        </w:rPr>
        <w:t>Белланд</w:t>
      </w:r>
      <w:proofErr w:type="spellEnd"/>
      <w:r w:rsidRPr="00A259BD">
        <w:rPr>
          <w:rFonts w:ascii="Times New Roman" w:hAnsi="Times New Roman"/>
          <w:color w:val="000000" w:themeColor="text1"/>
          <w:sz w:val="16"/>
          <w:szCs w:val="16"/>
        </w:rPr>
        <w:t>, совершивший первый полет, и Джон Мейерс, в конструкцию самолета вносились изменения. Так, толкающий винт был заменен на тянущий, экипаж увеличен до двух человек, а вместо «А-4» установлен 95-сильный двигатель "</w:t>
      </w:r>
      <w:proofErr w:type="spellStart"/>
      <w:r w:rsidRPr="00A259BD">
        <w:rPr>
          <w:rFonts w:ascii="Times New Roman" w:hAnsi="Times New Roman"/>
          <w:color w:val="000000" w:themeColor="text1"/>
          <w:sz w:val="16"/>
          <w:szCs w:val="16"/>
        </w:rPr>
        <w:t>Керрис</w:t>
      </w:r>
      <w:proofErr w:type="spellEnd"/>
      <w:r w:rsidRPr="00A259BD">
        <w:rPr>
          <w:rFonts w:ascii="Times New Roman" w:hAnsi="Times New Roman"/>
          <w:color w:val="000000" w:themeColor="text1"/>
          <w:sz w:val="16"/>
          <w:szCs w:val="16"/>
        </w:rPr>
        <w:t>". По отзывам летчиков, самолет был устойчив и легко управляем. «</w:t>
      </w:r>
      <w:proofErr w:type="spellStart"/>
      <w:r w:rsidRPr="00A259BD">
        <w:rPr>
          <w:rFonts w:ascii="Times New Roman" w:hAnsi="Times New Roman"/>
          <w:color w:val="000000" w:themeColor="text1"/>
          <w:sz w:val="16"/>
          <w:szCs w:val="16"/>
        </w:rPr>
        <w:t>Flying</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Wing</w:t>
      </w:r>
      <w:proofErr w:type="spellEnd"/>
      <w:r w:rsidRPr="00A259BD">
        <w:rPr>
          <w:rFonts w:ascii="Times New Roman" w:hAnsi="Times New Roman"/>
          <w:color w:val="000000" w:themeColor="text1"/>
          <w:sz w:val="16"/>
          <w:szCs w:val="16"/>
        </w:rPr>
        <w:t>», не имевший коммерческого успеха, серийно не выпускался (14887).</w:t>
      </w:r>
    </w:p>
    <w:p w14:paraId="45571430" w14:textId="77777777" w:rsidR="00393640" w:rsidRPr="00A259BD" w:rsidRDefault="00393640" w:rsidP="009236E3">
      <w:pPr>
        <w:spacing w:after="0" w:line="240" w:lineRule="auto"/>
        <w:jc w:val="both"/>
        <w:rPr>
          <w:rFonts w:ascii="Times New Roman" w:hAnsi="Times New Roman"/>
          <w:color w:val="000000" w:themeColor="text1"/>
          <w:sz w:val="16"/>
          <w:szCs w:val="16"/>
        </w:rPr>
      </w:pPr>
    </w:p>
    <w:p w14:paraId="38AE571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10 мая 1929 в тюрьму по политическим мотивам посажен будущий вождь Северной Кореи Ким Ир Сен (4962).</w:t>
      </w:r>
    </w:p>
    <w:p w14:paraId="134F1B0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CC3B3F" w14:textId="77777777" w:rsidR="00393640" w:rsidRPr="00A259BD" w:rsidRDefault="0039364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мая в 1929 году в тюрьму по политическим мотивам посажен будущий вождь Северной Кореи Ким Ир Сен (14887).</w:t>
      </w:r>
    </w:p>
    <w:p w14:paraId="2209D514" w14:textId="77777777" w:rsidR="00393640" w:rsidRPr="00A259BD" w:rsidRDefault="00393640" w:rsidP="009236E3">
      <w:pPr>
        <w:spacing w:after="0" w:line="240" w:lineRule="auto"/>
        <w:jc w:val="both"/>
        <w:rPr>
          <w:rFonts w:ascii="Times New Roman" w:hAnsi="Times New Roman"/>
          <w:color w:val="000000" w:themeColor="text1"/>
          <w:sz w:val="16"/>
          <w:szCs w:val="16"/>
        </w:rPr>
      </w:pPr>
    </w:p>
    <w:p w14:paraId="6E401709"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BC0AC0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93866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мая 1929 во Львове создана организация писателей Западной Украины - “</w:t>
      </w:r>
      <w:proofErr w:type="spellStart"/>
      <w:r w:rsidRPr="00A259BD">
        <w:rPr>
          <w:rFonts w:ascii="Times New Roman" w:hAnsi="Times New Roman"/>
          <w:color w:val="000000" w:themeColor="text1"/>
          <w:sz w:val="16"/>
          <w:szCs w:val="16"/>
        </w:rPr>
        <w:t>Гроно</w:t>
      </w:r>
      <w:proofErr w:type="spellEnd"/>
      <w:r w:rsidRPr="00A259BD">
        <w:rPr>
          <w:rFonts w:ascii="Times New Roman" w:hAnsi="Times New Roman"/>
          <w:color w:val="000000" w:themeColor="text1"/>
          <w:sz w:val="16"/>
          <w:szCs w:val="16"/>
        </w:rPr>
        <w:t>” (4962).</w:t>
      </w:r>
    </w:p>
    <w:p w14:paraId="4B9796F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87B6D6"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1E7DE43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EA80B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и 23 мая 1929-го с принятием же постановлений Политбюро “Об использовании труда уголовных арестантов” и постановления Политбюро “Об использовании труда уголовно-заключенных” от 27 июня того же года (оформленного одноименным постановлением СНК СССР от 11 июля) ОГПУ приступило к организации новых лагерей (7560).</w:t>
      </w:r>
    </w:p>
    <w:p w14:paraId="6FC7AC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2E7E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мая 1929 года Политбюро ЦК ВКП (б) приняло постановление, официально дававшее старт коренному преобразованию пенитенциарной системы. Документ требовал “перейти на систему массового использования за плату труда уголовных арестантов, имеющих приговор не менее 3-лет, в районе Ухты, Индиго и т.д.. (9042). Для выработки решений по конкретным областям использования труда заключенных предлагалось образовать комиссию в составе </w:t>
      </w:r>
      <w:proofErr w:type="spellStart"/>
      <w:r w:rsidRPr="00A259BD">
        <w:rPr>
          <w:rFonts w:ascii="Times New Roman" w:hAnsi="Times New Roman"/>
          <w:color w:val="000000" w:themeColor="text1"/>
          <w:sz w:val="16"/>
          <w:szCs w:val="16"/>
        </w:rPr>
        <w:t>Н.М.Янсона</w:t>
      </w:r>
      <w:proofErr w:type="spellEnd"/>
      <w:r w:rsidRPr="00A259BD">
        <w:rPr>
          <w:rFonts w:ascii="Times New Roman" w:hAnsi="Times New Roman"/>
          <w:color w:val="000000" w:themeColor="text1"/>
          <w:sz w:val="16"/>
          <w:szCs w:val="16"/>
        </w:rPr>
        <w:t xml:space="preserve"> (Нарком юстиции РСФСР), </w:t>
      </w:r>
      <w:proofErr w:type="spellStart"/>
      <w:r w:rsidRPr="00A259BD">
        <w:rPr>
          <w:rFonts w:ascii="Times New Roman" w:hAnsi="Times New Roman"/>
          <w:color w:val="000000" w:themeColor="text1"/>
          <w:sz w:val="16"/>
          <w:szCs w:val="16"/>
        </w:rPr>
        <w:t>Г.Г.Ягоды</w:t>
      </w:r>
      <w:proofErr w:type="spellEnd"/>
      <w:r w:rsidRPr="00A259BD">
        <w:rPr>
          <w:rFonts w:ascii="Times New Roman" w:hAnsi="Times New Roman"/>
          <w:color w:val="000000" w:themeColor="text1"/>
          <w:sz w:val="16"/>
          <w:szCs w:val="16"/>
        </w:rPr>
        <w:t xml:space="preserve"> - зам </w:t>
      </w:r>
      <w:proofErr w:type="spellStart"/>
      <w:r w:rsidRPr="00A259BD">
        <w:rPr>
          <w:rFonts w:ascii="Times New Roman" w:hAnsi="Times New Roman"/>
          <w:color w:val="000000" w:themeColor="text1"/>
          <w:sz w:val="16"/>
          <w:szCs w:val="16"/>
        </w:rPr>
        <w:t>пред.ОГПУ</w:t>
      </w:r>
      <w:proofErr w:type="spellEnd"/>
      <w:r w:rsidRPr="00A259BD">
        <w:rPr>
          <w:rFonts w:ascii="Times New Roman" w:hAnsi="Times New Roman"/>
          <w:color w:val="000000" w:themeColor="text1"/>
          <w:sz w:val="16"/>
          <w:szCs w:val="16"/>
        </w:rPr>
        <w:t xml:space="preserve">, Прокурора РСФСР </w:t>
      </w:r>
      <w:proofErr w:type="spellStart"/>
      <w:r w:rsidRPr="00A259BD">
        <w:rPr>
          <w:rFonts w:ascii="Times New Roman" w:hAnsi="Times New Roman"/>
          <w:color w:val="000000" w:themeColor="text1"/>
          <w:sz w:val="16"/>
          <w:szCs w:val="16"/>
        </w:rPr>
        <w:t>Н.В.Крыленко</w:t>
      </w:r>
      <w:proofErr w:type="spellEnd"/>
      <w:r w:rsidRPr="00A259BD">
        <w:rPr>
          <w:rFonts w:ascii="Times New Roman" w:hAnsi="Times New Roman"/>
          <w:color w:val="000000" w:themeColor="text1"/>
          <w:sz w:val="16"/>
          <w:szCs w:val="16"/>
        </w:rPr>
        <w:t xml:space="preserve">, Наркома внутренних дел РСФСР В.Н. Толмачева и Наркома труда СССР </w:t>
      </w:r>
      <w:proofErr w:type="spellStart"/>
      <w:r w:rsidRPr="00A259BD">
        <w:rPr>
          <w:rFonts w:ascii="Times New Roman" w:hAnsi="Times New Roman"/>
          <w:color w:val="000000" w:themeColor="text1"/>
          <w:sz w:val="16"/>
          <w:szCs w:val="16"/>
        </w:rPr>
        <w:t>Н.А.Угланова</w:t>
      </w:r>
      <w:proofErr w:type="spellEnd"/>
      <w:r w:rsidRPr="00A259BD">
        <w:rPr>
          <w:rFonts w:ascii="Times New Roman" w:hAnsi="Times New Roman"/>
          <w:color w:val="000000" w:themeColor="text1"/>
          <w:sz w:val="16"/>
          <w:szCs w:val="16"/>
        </w:rPr>
        <w:t xml:space="preserve"> (9043).</w:t>
      </w:r>
    </w:p>
    <w:p w14:paraId="44B147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08B580" w14:textId="77777777" w:rsidR="00BD730A"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4927E49D" w14:textId="77777777" w:rsidR="00BD730A" w:rsidRPr="00A259BD" w:rsidRDefault="00BD730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A7A3135" w14:textId="77777777" w:rsidR="00BD730A" w:rsidRPr="00A259BD" w:rsidRDefault="00BD730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мая в 1929 году пилот </w:t>
      </w:r>
      <w:proofErr w:type="spellStart"/>
      <w:r w:rsidRPr="00A259BD">
        <w:rPr>
          <w:rFonts w:ascii="Times New Roman" w:hAnsi="Times New Roman"/>
          <w:color w:val="000000" w:themeColor="text1"/>
          <w:sz w:val="16"/>
          <w:szCs w:val="16"/>
        </w:rPr>
        <w:t>Питкерн</w:t>
      </w:r>
      <w:proofErr w:type="spellEnd"/>
      <w:r w:rsidRPr="00A259BD">
        <w:rPr>
          <w:rFonts w:ascii="Times New Roman" w:hAnsi="Times New Roman"/>
          <w:color w:val="000000" w:themeColor="text1"/>
          <w:sz w:val="16"/>
          <w:szCs w:val="16"/>
        </w:rPr>
        <w:t xml:space="preserve"> предпринял на автожире </w:t>
      </w:r>
      <w:hyperlink r:id="rId51" w:tgtFrame="_blank" w:history="1">
        <w:r w:rsidRPr="00A259BD">
          <w:rPr>
            <w:rFonts w:ascii="Times New Roman" w:hAnsi="Times New Roman"/>
            <w:color w:val="000000" w:themeColor="text1"/>
            <w:sz w:val="16"/>
            <w:szCs w:val="16"/>
          </w:rPr>
          <w:t xml:space="preserve">«C-8W» </w:t>
        </w:r>
      </w:hyperlink>
      <w:r w:rsidRPr="00A259BD">
        <w:rPr>
          <w:rFonts w:ascii="Times New Roman" w:hAnsi="Times New Roman"/>
          <w:color w:val="000000" w:themeColor="text1"/>
          <w:sz w:val="16"/>
          <w:szCs w:val="16"/>
        </w:rPr>
        <w:t xml:space="preserve">перелет из </w:t>
      </w:r>
      <w:proofErr w:type="spellStart"/>
      <w:r w:rsidRPr="00A259BD">
        <w:rPr>
          <w:rFonts w:ascii="Times New Roman" w:hAnsi="Times New Roman"/>
          <w:color w:val="000000" w:themeColor="text1"/>
          <w:sz w:val="16"/>
          <w:szCs w:val="16"/>
        </w:rPr>
        <w:t>Питкерн</w:t>
      </w:r>
      <w:proofErr w:type="spellEnd"/>
      <w:r w:rsidRPr="00A259BD">
        <w:rPr>
          <w:rFonts w:ascii="Times New Roman" w:hAnsi="Times New Roman"/>
          <w:color w:val="000000" w:themeColor="text1"/>
          <w:sz w:val="16"/>
          <w:szCs w:val="16"/>
        </w:rPr>
        <w:t xml:space="preserve"> Филд (Пенсильвания) в </w:t>
      </w:r>
      <w:proofErr w:type="spellStart"/>
      <w:r w:rsidRPr="00A259BD">
        <w:rPr>
          <w:rFonts w:ascii="Times New Roman" w:hAnsi="Times New Roman"/>
          <w:color w:val="000000" w:themeColor="text1"/>
          <w:sz w:val="16"/>
          <w:szCs w:val="16"/>
        </w:rPr>
        <w:t>Ленгли</w:t>
      </w:r>
      <w:proofErr w:type="spellEnd"/>
      <w:r w:rsidRPr="00A259BD">
        <w:rPr>
          <w:rFonts w:ascii="Times New Roman" w:hAnsi="Times New Roman"/>
          <w:color w:val="000000" w:themeColor="text1"/>
          <w:sz w:val="16"/>
          <w:szCs w:val="16"/>
        </w:rPr>
        <w:t xml:space="preserve"> Филд (Вирджиния). Это был первый перелет автожира за океаном (14887).</w:t>
      </w:r>
    </w:p>
    <w:p w14:paraId="5CBE6D62" w14:textId="77777777" w:rsidR="00BD730A" w:rsidRPr="00A259BD" w:rsidRDefault="00BD730A" w:rsidP="009236E3">
      <w:pPr>
        <w:spacing w:after="0" w:line="240" w:lineRule="auto"/>
        <w:jc w:val="both"/>
        <w:rPr>
          <w:rFonts w:ascii="Times New Roman" w:hAnsi="Times New Roman"/>
          <w:color w:val="000000" w:themeColor="text1"/>
          <w:sz w:val="16"/>
          <w:szCs w:val="16"/>
        </w:rPr>
      </w:pPr>
    </w:p>
    <w:p w14:paraId="10772C1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6E3EA0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0F7F4D" w14:textId="77777777" w:rsidR="00E5389F" w:rsidRPr="00A259BD" w:rsidRDefault="00E5389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мая 1929 заведующий техническим отделом завода № 43 Дмитрий Людвигович Томашевич с письмом за подписью Начальника ВВС округа с просьбой о срочном рассмотрении чертежей доработки сидения «Фоккеров» ДХI под парашют Ирвин и припиской, что переделка одной машины на заводе № 43 санкционирована им лично. На подготовку ответа специалистам НИИ ВВС понадобилось меньше двух недель. По их мнению, летчик ростом 176 см без подушки на сидении и с подушкой парашюта занимал совершенно нормальное положение. Зимой они рекомендовали убирать еще и подушку парашюта. Причиной неустойчивой посадки пилота они считали заводскую укладку «Ирвина», при этом отмечалось, что после нескольких </w:t>
      </w:r>
      <w:proofErr w:type="spellStart"/>
      <w:r w:rsidRPr="00A259BD">
        <w:rPr>
          <w:rFonts w:ascii="Times New Roman" w:hAnsi="Times New Roman"/>
          <w:color w:val="000000" w:themeColor="text1"/>
          <w:sz w:val="16"/>
          <w:szCs w:val="16"/>
        </w:rPr>
        <w:t>переукладок</w:t>
      </w:r>
      <w:proofErr w:type="spellEnd"/>
      <w:r w:rsidRPr="00A259BD">
        <w:rPr>
          <w:rFonts w:ascii="Times New Roman" w:hAnsi="Times New Roman"/>
          <w:color w:val="000000" w:themeColor="text1"/>
          <w:sz w:val="16"/>
          <w:szCs w:val="16"/>
        </w:rPr>
        <w:t xml:space="preserve"> парашют приобретает более плоскую форму. В ремнях проблем военная наука тоже не увидела, предлагать только их «аккуратно застегивать». Переделку сидений НИИ ВВС посчитал нерациональной (23030).</w:t>
      </w:r>
    </w:p>
    <w:p w14:paraId="5D937D12" w14:textId="77777777" w:rsidR="00E5389F" w:rsidRPr="00A259BD" w:rsidRDefault="00E5389F" w:rsidP="009236E3">
      <w:pPr>
        <w:spacing w:after="0" w:line="240" w:lineRule="auto"/>
        <w:jc w:val="both"/>
        <w:rPr>
          <w:rFonts w:ascii="Times New Roman" w:hAnsi="Times New Roman"/>
          <w:color w:val="000000" w:themeColor="text1"/>
          <w:sz w:val="16"/>
          <w:szCs w:val="16"/>
        </w:rPr>
      </w:pPr>
    </w:p>
    <w:p w14:paraId="309660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мая 1929 года гл. инспектор ГВФ В.А. </w:t>
      </w:r>
      <w:proofErr w:type="spellStart"/>
      <w:r w:rsidRPr="00A259BD">
        <w:rPr>
          <w:rFonts w:ascii="Times New Roman" w:hAnsi="Times New Roman"/>
          <w:color w:val="000000" w:themeColor="text1"/>
          <w:sz w:val="16"/>
          <w:szCs w:val="16"/>
        </w:rPr>
        <w:t>Зарзар</w:t>
      </w:r>
      <w:proofErr w:type="spellEnd"/>
      <w:r w:rsidRPr="00A259BD">
        <w:rPr>
          <w:rFonts w:ascii="Times New Roman" w:hAnsi="Times New Roman"/>
          <w:color w:val="000000" w:themeColor="text1"/>
          <w:sz w:val="16"/>
          <w:szCs w:val="16"/>
        </w:rPr>
        <w:t xml:space="preserve"> писал письмо № И/314 на завод № 22 Малахову</w:t>
      </w:r>
    </w:p>
    <w:p w14:paraId="140099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 КТ/248/8/5</w:t>
      </w:r>
    </w:p>
    <w:p w14:paraId="761F6A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Сообщаю, что окраска самолета должна быть серебристого цвета. Опознавательные знаки должны быть нанесены следующие: URSS-300.</w:t>
      </w:r>
    </w:p>
    <w:p w14:paraId="2E478A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Опознавательные знаки изображаются черными буквами и цифрами на плоскостях и фюзеляже следующим образом: на нижней правой плоскости внизу и на верхней левой плоскости сверху, вершинами букв к головной части самолета наносятся буквы латинского алфавита URSS; на левой нижней плоскости снизу и на правой верхней плоскости сверху, вершинами цифр к головной части самолета, наносятся цифры "300" со знаком "тире" перед ними.</w:t>
      </w:r>
    </w:p>
    <w:p w14:paraId="099B09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Равным образом, буквы и цифры в виде : URSS-300 наносятся с обоих сторон фюзеляжа.</w:t>
      </w:r>
    </w:p>
    <w:p w14:paraId="1BBFE2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букв на плоскостях и фюзеляже должна быть равна 4/5 минимального поперечника крыльев или фюзеляжа; ширина букв должна быть равна 2/3 их высоты, а толщина линий, составляющих букву или цифру – 1/6 их высоты; ширина знака "тире" должна равняться ширине одной из букв; знак "тире" на плоскостях самолета должен быть помещен перед двумя первыми цифрами.</w:t>
      </w:r>
    </w:p>
    <w:p w14:paraId="2B65FB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на боковых головных поверхностях фюзеляжа должно быть нанесено:</w:t>
      </w:r>
    </w:p>
    <w:p w14:paraId="026697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ОСОАВИАХИМ СССР</w:t>
      </w:r>
    </w:p>
    <w:p w14:paraId="34CA5F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"СТРАНА СОВЕТОВ"</w:t>
      </w:r>
    </w:p>
    <w:p w14:paraId="52B89D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Причем последняя надпись, т.е. "Осоавиахима СССР" и "Страна Советов" должна быть нанесена буквами русского алфавита; вместе с тем надпись "Страна Советов" должна быть нанесена художественной прописью (7783, 125).</w:t>
      </w:r>
    </w:p>
    <w:p w14:paraId="0F7FCD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E9A45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2518D4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DA656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мая 1929 г. был спущен головной корабль-</w:t>
      </w:r>
      <w:proofErr w:type="spellStart"/>
      <w:r w:rsidRPr="00A259BD">
        <w:rPr>
          <w:rFonts w:ascii="Times New Roman" w:hAnsi="Times New Roman"/>
          <w:color w:val="000000" w:themeColor="text1"/>
          <w:sz w:val="16"/>
          <w:szCs w:val="16"/>
        </w:rPr>
        <w:t>строжевик</w:t>
      </w:r>
      <w:proofErr w:type="spellEnd"/>
      <w:r w:rsidRPr="00A259BD">
        <w:rPr>
          <w:rFonts w:ascii="Times New Roman" w:hAnsi="Times New Roman"/>
          <w:color w:val="000000" w:themeColor="text1"/>
          <w:sz w:val="16"/>
          <w:szCs w:val="16"/>
        </w:rPr>
        <w:t xml:space="preserve"> николаевского завода "Ураган" (3898).</w:t>
      </w:r>
    </w:p>
    <w:p w14:paraId="4146E3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81AE2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50424F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B0A83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мая 1929 в </w:t>
      </w:r>
      <w:proofErr w:type="spellStart"/>
      <w:r w:rsidRPr="00A259BD">
        <w:rPr>
          <w:rFonts w:ascii="Times New Roman" w:hAnsi="Times New Roman"/>
          <w:color w:val="000000" w:themeColor="text1"/>
          <w:sz w:val="16"/>
          <w:szCs w:val="16"/>
        </w:rPr>
        <w:t>Казанипостановлением</w:t>
      </w:r>
      <w:proofErr w:type="spellEnd"/>
      <w:r w:rsidRPr="00A259BD">
        <w:rPr>
          <w:rFonts w:ascii="Times New Roman" w:hAnsi="Times New Roman"/>
          <w:color w:val="000000" w:themeColor="text1"/>
          <w:sz w:val="16"/>
          <w:szCs w:val="16"/>
        </w:rPr>
        <w:t xml:space="preserve"> горсовета норма отпуска хлеба по розовым книжкам была снижена до 300 г. При этом в 1-ю категорию из 2-й были переведены слесари, плотники, столяры, рабочие учреждений, шоферы, кучера, полотеры, судомойки, рабочие, находящиеся на выборных должностях, оперативный состав работников ОГПУ, работники милиции, </w:t>
      </w:r>
      <w:proofErr w:type="spellStart"/>
      <w:r w:rsidRPr="00A259BD">
        <w:rPr>
          <w:rFonts w:ascii="Times New Roman" w:hAnsi="Times New Roman"/>
          <w:color w:val="000000" w:themeColor="text1"/>
          <w:sz w:val="16"/>
          <w:szCs w:val="16"/>
        </w:rPr>
        <w:t>угро</w:t>
      </w:r>
      <w:proofErr w:type="spellEnd"/>
      <w:r w:rsidRPr="00A259BD">
        <w:rPr>
          <w:rFonts w:ascii="Times New Roman" w:hAnsi="Times New Roman"/>
          <w:color w:val="000000" w:themeColor="text1"/>
          <w:sz w:val="16"/>
          <w:szCs w:val="16"/>
        </w:rPr>
        <w:t xml:space="preserve"> и другие. Нормирование продовольствия было сопряжено с криминалом: карточки подделывали, воровали, ими спекулировали. Газеты пестрели заметками о злоупотреблениях с хлебными карточками, как и с другими дефицитными продуктами. Так, в марте-апреле вся Казань бурно обсуждала растрату 40 тысяч рублей в казанских магазинах. Нередки были случаи подделки врачебных рецептов, по которым отдельным категориям населения выдавали дефицитные продукты - например, манная крупа выдавалась только больным детям по рецепту врача (11566).</w:t>
      </w:r>
    </w:p>
    <w:p w14:paraId="4D5DDD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188D58"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9F3292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07FBD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мая 1929 состоялся первый международный конгресс по санитарной авиации в Париже (274).</w:t>
      </w:r>
    </w:p>
    <w:p w14:paraId="7F865D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C91C4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E4F6AA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7BB30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мая 1929 вышло постановление ЦК ВКП(б), определяющее основное направление в строительстве воздушного флота "Считать, что важнейшей задачей на ближайшие годы в строительстве Красной авиации является скорейшее доведение ее качества до уровня передовых буржуазных стран, и всеми силами следует насаждать, культивировать и развивать свои советские научно-конструкторские силы, особенно в </w:t>
      </w:r>
      <w:proofErr w:type="spellStart"/>
      <w:r w:rsidRPr="00A259BD">
        <w:rPr>
          <w:rFonts w:ascii="Times New Roman" w:hAnsi="Times New Roman"/>
          <w:color w:val="000000" w:themeColor="text1"/>
          <w:sz w:val="16"/>
          <w:szCs w:val="16"/>
        </w:rPr>
        <w:t>моторострении</w:t>
      </w:r>
      <w:proofErr w:type="spellEnd"/>
      <w:r w:rsidRPr="00A259BD">
        <w:rPr>
          <w:rFonts w:ascii="Times New Roman" w:hAnsi="Times New Roman"/>
          <w:color w:val="000000" w:themeColor="text1"/>
          <w:sz w:val="16"/>
          <w:szCs w:val="16"/>
        </w:rPr>
        <w:t>" (442,71).</w:t>
      </w:r>
    </w:p>
    <w:p w14:paraId="133BDD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AA26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мая 1929 начались регулярные полеты по маршруту Иркутск (аэродром </w:t>
      </w:r>
      <w:proofErr w:type="spellStart"/>
      <w:r w:rsidRPr="00A259BD">
        <w:rPr>
          <w:rFonts w:ascii="Times New Roman" w:hAnsi="Times New Roman"/>
          <w:color w:val="000000" w:themeColor="text1"/>
          <w:sz w:val="16"/>
          <w:szCs w:val="16"/>
        </w:rPr>
        <w:t>Боково</w:t>
      </w:r>
      <w:proofErr w:type="spellEnd"/>
      <w:r w:rsidRPr="00A259BD">
        <w:rPr>
          <w:rFonts w:ascii="Times New Roman" w:hAnsi="Times New Roman"/>
          <w:color w:val="000000" w:themeColor="text1"/>
          <w:sz w:val="16"/>
          <w:szCs w:val="16"/>
        </w:rPr>
        <w:t>) - Красноярск - Москва на Фоккерах C-IV почтово-пассажирским рейсами (всего 1 пассажир) (1113).</w:t>
      </w:r>
    </w:p>
    <w:p w14:paraId="6C8420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DF37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мая 1929 начались полеты первой в СССР авиахимической экспедиции по борьбе с лесными вредителями. Летал </w:t>
      </w:r>
      <w:proofErr w:type="spellStart"/>
      <w:r w:rsidRPr="00A259BD">
        <w:rPr>
          <w:rFonts w:ascii="Times New Roman" w:hAnsi="Times New Roman"/>
          <w:color w:val="000000" w:themeColor="text1"/>
          <w:sz w:val="16"/>
          <w:szCs w:val="16"/>
        </w:rPr>
        <w:t>С.В.Лялин</w:t>
      </w:r>
      <w:proofErr w:type="spellEnd"/>
      <w:r w:rsidRPr="00A259BD">
        <w:rPr>
          <w:rFonts w:ascii="Times New Roman" w:hAnsi="Times New Roman"/>
          <w:color w:val="000000" w:themeColor="text1"/>
          <w:sz w:val="16"/>
          <w:szCs w:val="16"/>
        </w:rPr>
        <w:t xml:space="preserve"> на Юнкерс-13 опыляя кедровый лес на берегах Байкала. К концу июня обработал 1500 га и гибель гусениц достигла 98% (438,595).</w:t>
      </w:r>
    </w:p>
    <w:p w14:paraId="454FA6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C269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мая 1929 в ГДЛ был создан отдел электрических и жидкостных реактивных двигателей под руководством </w:t>
      </w:r>
      <w:proofErr w:type="spellStart"/>
      <w:r w:rsidRPr="00A259BD">
        <w:rPr>
          <w:rFonts w:ascii="Times New Roman" w:hAnsi="Times New Roman"/>
          <w:color w:val="000000" w:themeColor="text1"/>
          <w:sz w:val="16"/>
          <w:szCs w:val="16"/>
        </w:rPr>
        <w:t>В.П.Глушко</w:t>
      </w:r>
      <w:proofErr w:type="spellEnd"/>
      <w:r w:rsidRPr="00A259BD">
        <w:rPr>
          <w:rFonts w:ascii="Times New Roman" w:hAnsi="Times New Roman"/>
          <w:color w:val="000000" w:themeColor="text1"/>
          <w:sz w:val="16"/>
          <w:szCs w:val="16"/>
        </w:rPr>
        <w:t xml:space="preserve"> (1136,265).</w:t>
      </w:r>
    </w:p>
    <w:p w14:paraId="0C5134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5C090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мая 1929 г. в ГДЛ было создано подразделение ракетных двигателей - дата основания НПО Энергомаш им. </w:t>
      </w:r>
      <w:proofErr w:type="spellStart"/>
      <w:r w:rsidRPr="00A259BD">
        <w:rPr>
          <w:rFonts w:ascii="Times New Roman" w:hAnsi="Times New Roman"/>
          <w:color w:val="000000" w:themeColor="text1"/>
          <w:sz w:val="16"/>
          <w:szCs w:val="16"/>
        </w:rPr>
        <w:t>В.П.Глушко</w:t>
      </w:r>
      <w:proofErr w:type="spellEnd"/>
      <w:r w:rsidRPr="00A259BD">
        <w:rPr>
          <w:rFonts w:ascii="Times New Roman" w:hAnsi="Times New Roman"/>
          <w:color w:val="000000" w:themeColor="text1"/>
          <w:sz w:val="16"/>
          <w:szCs w:val="16"/>
        </w:rPr>
        <w:t xml:space="preserve"> (6395).</w:t>
      </w:r>
    </w:p>
    <w:p w14:paraId="3FD25E6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7B821D"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15 мая 1929 г.</w:t>
      </w:r>
      <w:r w:rsidRPr="00A259BD">
        <w:rPr>
          <w:color w:val="000000" w:themeColor="text1"/>
          <w:sz w:val="16"/>
          <w:szCs w:val="16"/>
        </w:rPr>
        <w:t>  - Газодинамическая лаборатория Военно-научно-исследовательского комитета при Реввоенсовете СССР, Ленинград</w:t>
      </w:r>
    </w:p>
    <w:p w14:paraId="113B41F8"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1930 г.</w:t>
      </w:r>
      <w:r w:rsidRPr="00A259BD">
        <w:rPr>
          <w:color w:val="000000" w:themeColor="text1"/>
          <w:sz w:val="16"/>
          <w:szCs w:val="16"/>
        </w:rPr>
        <w:t xml:space="preserve"> - Газодинамическая лаборатория Технического штаба начальника вооружений РККА</w:t>
      </w:r>
    </w:p>
    <w:p w14:paraId="295E79BF"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lastRenderedPageBreak/>
        <w:t>1932г.</w:t>
      </w:r>
      <w:r w:rsidRPr="00A259BD">
        <w:rPr>
          <w:color w:val="000000" w:themeColor="text1"/>
          <w:sz w:val="16"/>
          <w:szCs w:val="16"/>
        </w:rPr>
        <w:t xml:space="preserve"> - Газодинамическая лаборатория Управления военных изобретений начальника вооружений РККА</w:t>
      </w:r>
    </w:p>
    <w:p w14:paraId="28716623"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21 сентября 1933г</w:t>
      </w:r>
      <w:r w:rsidRPr="00A259BD">
        <w:rPr>
          <w:color w:val="000000" w:themeColor="text1"/>
          <w:sz w:val="16"/>
          <w:szCs w:val="16"/>
        </w:rPr>
        <w:t xml:space="preserve"> - Ленинградское отделение РНИИ РККА</w:t>
      </w:r>
    </w:p>
    <w:p w14:paraId="216806B6"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31 октября 1933г</w:t>
      </w:r>
      <w:r w:rsidRPr="00A259BD">
        <w:rPr>
          <w:color w:val="000000" w:themeColor="text1"/>
          <w:sz w:val="16"/>
          <w:szCs w:val="16"/>
        </w:rPr>
        <w:t xml:space="preserve"> - Ленинградское отделение РНИИ Наркомата тяжелой промышленности</w:t>
      </w:r>
    </w:p>
    <w:p w14:paraId="2ED63E39"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3 января 1934г</w:t>
      </w:r>
      <w:r w:rsidRPr="00A259BD">
        <w:rPr>
          <w:color w:val="000000" w:themeColor="text1"/>
          <w:sz w:val="16"/>
          <w:szCs w:val="16"/>
        </w:rPr>
        <w:t xml:space="preserve"> - Реактивный научно-исследовательский институт НКТП, Москва </w:t>
      </w:r>
    </w:p>
    <w:p w14:paraId="6C1DDCD5"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2 января 1937г</w:t>
      </w:r>
      <w:r w:rsidRPr="00A259BD">
        <w:rPr>
          <w:color w:val="000000" w:themeColor="text1"/>
          <w:sz w:val="16"/>
          <w:szCs w:val="16"/>
        </w:rPr>
        <w:t xml:space="preserve"> - НИИ №3 Наркомата оборонной промышленности</w:t>
      </w:r>
    </w:p>
    <w:p w14:paraId="50ADC632"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Сентябрь 1939г</w:t>
      </w:r>
      <w:r w:rsidRPr="00A259BD">
        <w:rPr>
          <w:color w:val="000000" w:themeColor="text1"/>
          <w:sz w:val="16"/>
          <w:szCs w:val="16"/>
        </w:rPr>
        <w:t xml:space="preserve"> - Спецгруппа 4-го Спецотдела НКВД при авиамоторостроительном заводе №82 Наркомата авиационной промышленности, Тушино Московской области</w:t>
      </w:r>
    </w:p>
    <w:p w14:paraId="35995EE1"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Лето 1940г</w:t>
      </w:r>
      <w:r w:rsidRPr="00A259BD">
        <w:rPr>
          <w:color w:val="000000" w:themeColor="text1"/>
          <w:sz w:val="16"/>
          <w:szCs w:val="16"/>
        </w:rPr>
        <w:t xml:space="preserve"> - Спецгруппа ОКБ 4-го Спецотдела НКВД при авиазаводе №27 (затем №16) НКАП, Казань</w:t>
      </w:r>
    </w:p>
    <w:p w14:paraId="57D9BB19"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1941г</w:t>
      </w:r>
      <w:r w:rsidRPr="00A259BD">
        <w:rPr>
          <w:color w:val="000000" w:themeColor="text1"/>
          <w:sz w:val="16"/>
          <w:szCs w:val="16"/>
        </w:rPr>
        <w:t xml:space="preserve"> - Конструкторское бюро ОКБ 4-го Спецотдела НКВД при авиазаводе №16 НКАП</w:t>
      </w:r>
    </w:p>
    <w:p w14:paraId="56EB945C"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Август 1944г</w:t>
      </w:r>
      <w:r w:rsidRPr="00A259BD">
        <w:rPr>
          <w:color w:val="000000" w:themeColor="text1"/>
          <w:sz w:val="16"/>
          <w:szCs w:val="16"/>
        </w:rPr>
        <w:t xml:space="preserve"> - ОКБ-СД (</w:t>
      </w:r>
      <w:proofErr w:type="spellStart"/>
      <w:r w:rsidRPr="00A259BD">
        <w:rPr>
          <w:color w:val="000000" w:themeColor="text1"/>
          <w:sz w:val="16"/>
          <w:szCs w:val="16"/>
        </w:rPr>
        <w:t>спецдвигателей</w:t>
      </w:r>
      <w:proofErr w:type="spellEnd"/>
      <w:r w:rsidRPr="00A259BD">
        <w:rPr>
          <w:color w:val="000000" w:themeColor="text1"/>
          <w:sz w:val="16"/>
          <w:szCs w:val="16"/>
        </w:rPr>
        <w:t>) НКАП</w:t>
      </w:r>
    </w:p>
    <w:p w14:paraId="26A764F1"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3 июля 1946г</w:t>
      </w:r>
      <w:r w:rsidRPr="00A259BD">
        <w:rPr>
          <w:color w:val="000000" w:themeColor="text1"/>
          <w:sz w:val="16"/>
          <w:szCs w:val="16"/>
        </w:rPr>
        <w:t xml:space="preserve"> - ОКБ завода №456 Министерства авиационной промышленности, Химки, Московской области</w:t>
      </w:r>
    </w:p>
    <w:p w14:paraId="7ED82B04"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7 декабря 1950г</w:t>
      </w:r>
      <w:r w:rsidRPr="00A259BD">
        <w:rPr>
          <w:color w:val="000000" w:themeColor="text1"/>
          <w:sz w:val="16"/>
          <w:szCs w:val="16"/>
        </w:rPr>
        <w:t xml:space="preserve"> - ОКБ-456 Министерства вооружений</w:t>
      </w:r>
    </w:p>
    <w:p w14:paraId="45F744DE"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Апрель 1953г</w:t>
      </w:r>
      <w:r w:rsidRPr="00A259BD">
        <w:rPr>
          <w:color w:val="000000" w:themeColor="text1"/>
          <w:sz w:val="16"/>
          <w:szCs w:val="16"/>
        </w:rPr>
        <w:t xml:space="preserve"> - ОКБ-456 Министерства оборонной промышленности</w:t>
      </w:r>
    </w:p>
    <w:p w14:paraId="3A19E1C6"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Декабрь 1957г</w:t>
      </w:r>
      <w:r w:rsidRPr="00A259BD">
        <w:rPr>
          <w:color w:val="000000" w:themeColor="text1"/>
          <w:sz w:val="16"/>
          <w:szCs w:val="16"/>
        </w:rPr>
        <w:t xml:space="preserve"> - ОКБ-456 Государственного комитета оборонной техники</w:t>
      </w:r>
    </w:p>
    <w:p w14:paraId="0DF73CB4"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Март 1965г</w:t>
      </w:r>
      <w:r w:rsidRPr="00A259BD">
        <w:rPr>
          <w:color w:val="000000" w:themeColor="text1"/>
          <w:sz w:val="16"/>
          <w:szCs w:val="16"/>
        </w:rPr>
        <w:t xml:space="preserve"> - ОКБ-456 Министерства общего машиностроения</w:t>
      </w:r>
    </w:p>
    <w:p w14:paraId="60E07BB6"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1 января 1967г</w:t>
      </w:r>
      <w:r w:rsidRPr="00A259BD">
        <w:rPr>
          <w:color w:val="000000" w:themeColor="text1"/>
          <w:sz w:val="16"/>
          <w:szCs w:val="16"/>
        </w:rPr>
        <w:t xml:space="preserve"> - КБ ЭНЕРГОМАШ МОМ</w:t>
      </w:r>
    </w:p>
    <w:p w14:paraId="1EF6E969"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22 мая 1974г</w:t>
      </w:r>
      <w:r w:rsidRPr="00A259BD">
        <w:rPr>
          <w:color w:val="000000" w:themeColor="text1"/>
          <w:sz w:val="16"/>
          <w:szCs w:val="16"/>
        </w:rPr>
        <w:t xml:space="preserve"> КБ ЭНЕРГОМАШ НПО “Энергия” МОМ</w:t>
      </w:r>
    </w:p>
    <w:p w14:paraId="01651107"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19 января 1990г</w:t>
      </w:r>
      <w:r w:rsidRPr="00A259BD">
        <w:rPr>
          <w:color w:val="000000" w:themeColor="text1"/>
          <w:sz w:val="16"/>
          <w:szCs w:val="16"/>
        </w:rPr>
        <w:t xml:space="preserve"> - НПО ЭНЕРГОМАШ МОМ</w:t>
      </w:r>
    </w:p>
    <w:p w14:paraId="1D4AEFA5"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15 мая 1991г</w:t>
      </w:r>
      <w:r w:rsidRPr="00A259BD">
        <w:rPr>
          <w:color w:val="000000" w:themeColor="text1"/>
          <w:sz w:val="16"/>
          <w:szCs w:val="16"/>
        </w:rPr>
        <w:t xml:space="preserve"> - НПО ЭНЕРГОМАШ имени академика </w:t>
      </w:r>
      <w:proofErr w:type="spellStart"/>
      <w:r w:rsidRPr="00A259BD">
        <w:rPr>
          <w:color w:val="000000" w:themeColor="text1"/>
          <w:sz w:val="16"/>
          <w:szCs w:val="16"/>
        </w:rPr>
        <w:t>В.П.Глушко</w:t>
      </w:r>
      <w:proofErr w:type="spellEnd"/>
      <w:r w:rsidRPr="00A259BD">
        <w:rPr>
          <w:color w:val="000000" w:themeColor="text1"/>
          <w:sz w:val="16"/>
          <w:szCs w:val="16"/>
        </w:rPr>
        <w:t xml:space="preserve"> МОМ</w:t>
      </w:r>
    </w:p>
    <w:p w14:paraId="5ED845F6"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20 ноября 1991г</w:t>
      </w:r>
      <w:r w:rsidRPr="00A259BD">
        <w:rPr>
          <w:color w:val="000000" w:themeColor="text1"/>
          <w:sz w:val="16"/>
          <w:szCs w:val="16"/>
        </w:rPr>
        <w:t xml:space="preserve"> - НПО ЭНЕРГОМАШ имени академика </w:t>
      </w:r>
      <w:proofErr w:type="spellStart"/>
      <w:r w:rsidRPr="00A259BD">
        <w:rPr>
          <w:color w:val="000000" w:themeColor="text1"/>
          <w:sz w:val="16"/>
          <w:szCs w:val="16"/>
        </w:rPr>
        <w:t>В.П.Глушко</w:t>
      </w:r>
      <w:proofErr w:type="spellEnd"/>
      <w:r w:rsidRPr="00A259BD">
        <w:rPr>
          <w:color w:val="000000" w:themeColor="text1"/>
          <w:sz w:val="16"/>
          <w:szCs w:val="16"/>
        </w:rPr>
        <w:t xml:space="preserve"> Департамента общего машиностроения Министерства промышленности</w:t>
      </w:r>
    </w:p>
    <w:p w14:paraId="2A00DC7A"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17 ноября 1992г</w:t>
      </w:r>
      <w:r w:rsidRPr="00A259BD">
        <w:rPr>
          <w:color w:val="000000" w:themeColor="text1"/>
          <w:sz w:val="16"/>
          <w:szCs w:val="16"/>
        </w:rPr>
        <w:t xml:space="preserve"> - НПО ЭНЕРГОМАШ имени академика </w:t>
      </w:r>
      <w:proofErr w:type="spellStart"/>
      <w:r w:rsidRPr="00A259BD">
        <w:rPr>
          <w:color w:val="000000" w:themeColor="text1"/>
          <w:sz w:val="16"/>
          <w:szCs w:val="16"/>
        </w:rPr>
        <w:t>В.П.Глушко</w:t>
      </w:r>
      <w:proofErr w:type="spellEnd"/>
      <w:r w:rsidRPr="00A259BD">
        <w:rPr>
          <w:color w:val="000000" w:themeColor="text1"/>
          <w:sz w:val="16"/>
          <w:szCs w:val="16"/>
        </w:rPr>
        <w:t xml:space="preserve"> Государственного комитета по оборонным отраслям промышленности</w:t>
      </w:r>
    </w:p>
    <w:p w14:paraId="7E16F7E7"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1 октября 1994г</w:t>
      </w:r>
      <w:r w:rsidRPr="00A259BD">
        <w:rPr>
          <w:color w:val="000000" w:themeColor="text1"/>
          <w:sz w:val="16"/>
          <w:szCs w:val="16"/>
        </w:rPr>
        <w:t xml:space="preserve"> - НПО ЭНЕРГОМАШ имени академика </w:t>
      </w:r>
      <w:proofErr w:type="spellStart"/>
      <w:r w:rsidRPr="00A259BD">
        <w:rPr>
          <w:color w:val="000000" w:themeColor="text1"/>
          <w:sz w:val="16"/>
          <w:szCs w:val="16"/>
        </w:rPr>
        <w:t>В.П.Глушко</w:t>
      </w:r>
      <w:proofErr w:type="spellEnd"/>
      <w:r w:rsidRPr="00A259BD">
        <w:rPr>
          <w:color w:val="000000" w:themeColor="text1"/>
          <w:sz w:val="16"/>
          <w:szCs w:val="16"/>
        </w:rPr>
        <w:t xml:space="preserve"> Российского космического агентства</w:t>
      </w:r>
    </w:p>
    <w:p w14:paraId="523152FA"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22 октября 1997г</w:t>
      </w:r>
      <w:r w:rsidRPr="00A259BD">
        <w:rPr>
          <w:color w:val="000000" w:themeColor="text1"/>
          <w:sz w:val="16"/>
          <w:szCs w:val="16"/>
        </w:rPr>
        <w:t xml:space="preserve"> - Федеральное государственное унитарное предприятие НПО ЭНЕРГОМАШ имени академика </w:t>
      </w:r>
      <w:proofErr w:type="spellStart"/>
      <w:r w:rsidRPr="00A259BD">
        <w:rPr>
          <w:color w:val="000000" w:themeColor="text1"/>
          <w:sz w:val="16"/>
          <w:szCs w:val="16"/>
        </w:rPr>
        <w:t>В.П.Глушко</w:t>
      </w:r>
      <w:proofErr w:type="spellEnd"/>
      <w:r w:rsidRPr="00A259BD">
        <w:rPr>
          <w:color w:val="000000" w:themeColor="text1"/>
          <w:sz w:val="16"/>
          <w:szCs w:val="16"/>
        </w:rPr>
        <w:t xml:space="preserve"> РКА</w:t>
      </w:r>
    </w:p>
    <w:p w14:paraId="4949169D" w14:textId="77777777" w:rsidR="008456F2" w:rsidRPr="00A259BD" w:rsidRDefault="008456F2" w:rsidP="009236E3">
      <w:pPr>
        <w:pStyle w:val="ae"/>
        <w:shd w:val="clear" w:color="auto" w:fill="FFFFFF"/>
        <w:spacing w:before="0" w:after="0"/>
        <w:jc w:val="both"/>
        <w:rPr>
          <w:color w:val="000000" w:themeColor="text1"/>
          <w:sz w:val="16"/>
          <w:szCs w:val="16"/>
        </w:rPr>
      </w:pPr>
      <w:r w:rsidRPr="00A259BD">
        <w:rPr>
          <w:rStyle w:val="a7"/>
          <w:b w:val="0"/>
          <w:color w:val="000000" w:themeColor="text1"/>
          <w:sz w:val="16"/>
          <w:szCs w:val="16"/>
        </w:rPr>
        <w:t>16 марта 1998г</w:t>
      </w:r>
      <w:r w:rsidRPr="00A259BD">
        <w:rPr>
          <w:color w:val="000000" w:themeColor="text1"/>
          <w:sz w:val="16"/>
          <w:szCs w:val="16"/>
        </w:rPr>
        <w:t xml:space="preserve"> - Открытое акционерное общество НПО ЭНЕРГОМАШ имени академика </w:t>
      </w:r>
      <w:proofErr w:type="spellStart"/>
      <w:r w:rsidRPr="00A259BD">
        <w:rPr>
          <w:color w:val="000000" w:themeColor="text1"/>
          <w:sz w:val="16"/>
          <w:szCs w:val="16"/>
        </w:rPr>
        <w:t>В.П.Глушко</w:t>
      </w:r>
      <w:proofErr w:type="spellEnd"/>
      <w:r w:rsidRPr="00A259BD">
        <w:rPr>
          <w:color w:val="000000" w:themeColor="text1"/>
          <w:sz w:val="16"/>
          <w:szCs w:val="16"/>
        </w:rPr>
        <w:t xml:space="preserve"> (12236).</w:t>
      </w:r>
    </w:p>
    <w:p w14:paraId="13F55E0E" w14:textId="77777777" w:rsidR="008456F2" w:rsidRPr="00A259BD" w:rsidRDefault="008456F2" w:rsidP="009236E3">
      <w:pPr>
        <w:pStyle w:val="ae"/>
        <w:shd w:val="clear" w:color="auto" w:fill="FFFFFF"/>
        <w:spacing w:before="0" w:after="0"/>
        <w:jc w:val="both"/>
        <w:rPr>
          <w:color w:val="000000" w:themeColor="text1"/>
          <w:sz w:val="16"/>
          <w:szCs w:val="16"/>
        </w:rPr>
      </w:pPr>
    </w:p>
    <w:p w14:paraId="4725EA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мая 1929 г. в ГДЛ организована группа по разработке РД. Ее руководитель- В.П. Глушко. За три года создано семейство опытных ракетных моторов (ОРМ), в т.ч. ОРМ-47- первый ЖРД, предназначенный для установки на самолет. В конце 1932 г.- проект баллистической ракеты РЛА-100. В 1934 г. группа вошла в РНИИ. По 1938 г. создано более 70 ЖРД. 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 В 1941 г. ГДЛ эвакуировалась в Казань на завод № 16. ОКБ-16сб НКАП в Казани вновь образовалось 1.11.1944 г. выделением в самостоятельное ОКБ из состава ОКБ-16 НКАП (приказ НКАП № 656сс от 11.11.1944 г.). Далее называлось ОКБ-СД, ОКБ-16-2. 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МАП.3 Передислокация продолжалась до 12.1946 г. (10776).</w:t>
      </w:r>
    </w:p>
    <w:p w14:paraId="14A0DD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6FA3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мая 1929 г. в ГДЛ организована группа по разработке РД под руководством В.П. Глушко. За три года создано семейство опытных ракетных моторов (ОРМ), в т.ч. ОРМ-47 - первый ЖРД, предназначенный для установки на самолет. В конце 1932 г. - проект баллистической ракеты РЛА-100. В 1934 г. группа вошла в РНИИ. По 1938 г. создано более 70 ЖРД.</w:t>
      </w:r>
    </w:p>
    <w:p w14:paraId="27E9A2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490C6A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1941 г. ГДЛ эвакуировалась в Казань на завод № 16. ОКБ-16сб НКАП в Казани вновь образовалось 1.11.1944 г.</w:t>
      </w:r>
      <w:r w:rsidRPr="00A259BD">
        <w:rPr>
          <w:rFonts w:ascii="Times New Roman" w:hAnsi="Times New Roman"/>
          <w:color w:val="000000" w:themeColor="text1"/>
          <w:sz w:val="16"/>
          <w:szCs w:val="16"/>
        </w:rPr>
        <w:tab/>
        <w:t>выделением в самостоятельное ОКБ из состава ОКБ-16 НКАП (приказ НКАП № 656сс от 11.11.1944 г.). Далее называлось ОКБ-СД, ОКБ-16-2.</w:t>
      </w:r>
    </w:p>
    <w:p w14:paraId="7C5B0A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w:t>
      </w:r>
      <w:r w:rsidRPr="00A259BD">
        <w:rPr>
          <w:rFonts w:ascii="Times New Roman" w:hAnsi="Times New Roman"/>
          <w:color w:val="000000" w:themeColor="text1"/>
          <w:sz w:val="16"/>
          <w:szCs w:val="16"/>
          <w:vertAlign w:val="superscript"/>
        </w:rPr>
        <w:t xml:space="preserve">3 </w:t>
      </w:r>
      <w:r w:rsidRPr="00A259BD">
        <w:rPr>
          <w:rFonts w:ascii="Times New Roman" w:hAnsi="Times New Roman"/>
          <w:color w:val="000000" w:themeColor="text1"/>
          <w:sz w:val="16"/>
          <w:szCs w:val="16"/>
        </w:rPr>
        <w:t>Передислокация продолжалась до 12.1946 г.</w:t>
      </w:r>
    </w:p>
    <w:p w14:paraId="4BABA7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134A8F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2E73BE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A259BD">
        <w:rPr>
          <w:rFonts w:ascii="Times New Roman" w:hAnsi="Times New Roman"/>
          <w:color w:val="000000" w:themeColor="text1"/>
          <w:sz w:val="16"/>
          <w:szCs w:val="16"/>
          <w:lang w:val="en-US"/>
        </w:rPr>
        <w:t>MB</w:t>
      </w:r>
      <w:r w:rsidRPr="00A259BD">
        <w:rPr>
          <w:rFonts w:ascii="Times New Roman" w:hAnsi="Times New Roman"/>
          <w:color w:val="000000" w:themeColor="text1"/>
          <w:sz w:val="16"/>
          <w:szCs w:val="16"/>
        </w:rPr>
        <w:t>.</w:t>
      </w:r>
    </w:p>
    <w:p w14:paraId="29676B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соответствии с пост. СМ № 4730-2046(7)сс от 25.11.1950 г. и приказами МАП/МВ № 947ссов/712с от 7.12.50 г. и № 969с от 16.12.1950 г. завод № 456 МАП и ОКБ-456 МАП переданы в систему </w:t>
      </w:r>
      <w:r w:rsidRPr="00A259BD">
        <w:rPr>
          <w:rFonts w:ascii="Times New Roman" w:hAnsi="Times New Roman"/>
          <w:color w:val="000000" w:themeColor="text1"/>
          <w:sz w:val="16"/>
          <w:szCs w:val="16"/>
          <w:lang w:val="en-US"/>
        </w:rPr>
        <w:t>MB</w:t>
      </w:r>
      <w:r w:rsidRPr="00A259BD">
        <w:rPr>
          <w:rFonts w:ascii="Times New Roman" w:hAnsi="Times New Roman"/>
          <w:color w:val="000000" w:themeColor="text1"/>
          <w:sz w:val="16"/>
          <w:szCs w:val="16"/>
        </w:rPr>
        <w:t xml:space="preserve"> СССР в 7ГУ (специальное). С 04.1953 г.- в системе МОП, с 12.1957 г.- в ГКОТ.</w:t>
      </w:r>
    </w:p>
    <w:p w14:paraId="7F953B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27.10.1954 г. завод № 456 влит в состав ОКБ-456 в качестве опытного завода.</w:t>
      </w:r>
    </w:p>
    <w:p w14:paraId="1B161B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ОКБ-456 перешел после ликвидации в 12.1958 г. ОКБ-3 Д.Д. Севрук с частью сотрудников.</w:t>
      </w:r>
    </w:p>
    <w:p w14:paraId="3A20E8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конца 1950-х  г. началось формирование филиалов ОКБ. 20.03.1958 г. образован Приморский филиал № 1. Тогда же созданы базы при заводе № 19 в Перми для </w:t>
      </w:r>
      <w:proofErr w:type="spellStart"/>
      <w:r w:rsidRPr="00A259BD">
        <w:rPr>
          <w:rFonts w:ascii="Times New Roman" w:hAnsi="Times New Roman"/>
          <w:color w:val="000000" w:themeColor="text1"/>
          <w:sz w:val="16"/>
          <w:szCs w:val="16"/>
        </w:rPr>
        <w:t>производетва</w:t>
      </w:r>
      <w:proofErr w:type="spellEnd"/>
      <w:r w:rsidRPr="00A259BD">
        <w:rPr>
          <w:rFonts w:ascii="Times New Roman" w:hAnsi="Times New Roman"/>
          <w:color w:val="000000" w:themeColor="text1"/>
          <w:sz w:val="16"/>
          <w:szCs w:val="16"/>
        </w:rPr>
        <w:t xml:space="preserve">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1B96A0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Позднее, 7.06.1983 г. вновь организован Омский филиал № 3 на ПО «Полет» для сопровождения серии РД-170 и РД-171.</w:t>
      </w:r>
    </w:p>
    <w:p w14:paraId="7C992F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2.06.1962 г. на базе части ОКБ-456 и Института двигателей ГКАЭ создано самостоятельное ОКБ «Заря» в ведении ГКАЭ.</w:t>
      </w:r>
    </w:p>
    <w:p w14:paraId="1BBF9D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03.1965 г. ОКБ-456 ГКАТ передано в подчинение 2ГУ </w:t>
      </w:r>
      <w:r w:rsidRPr="00A259BD">
        <w:rPr>
          <w:rFonts w:ascii="Times New Roman" w:hAnsi="Times New Roman"/>
          <w:color w:val="000000" w:themeColor="text1"/>
          <w:sz w:val="16"/>
          <w:szCs w:val="16"/>
          <w:lang w:val="en-US"/>
        </w:rPr>
        <w:t>MOM</w:t>
      </w:r>
      <w:r w:rsidRPr="00A259BD">
        <w:rPr>
          <w:rFonts w:ascii="Times New Roman" w:hAnsi="Times New Roman"/>
          <w:color w:val="000000" w:themeColor="text1"/>
          <w:sz w:val="16"/>
          <w:szCs w:val="16"/>
        </w:rPr>
        <w:t xml:space="preserve"> и по приказу от 6.03.1966 г. преобразовано с 1.01.1967 г. в КБЭМ.</w:t>
      </w:r>
    </w:p>
    <w:p w14:paraId="20FA24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375105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середины 1950-х  г. начались работы по </w:t>
      </w:r>
      <w:proofErr w:type="spellStart"/>
      <w:r w:rsidRPr="00A259BD">
        <w:rPr>
          <w:rFonts w:ascii="Times New Roman" w:hAnsi="Times New Roman"/>
          <w:color w:val="000000" w:themeColor="text1"/>
          <w:sz w:val="16"/>
          <w:szCs w:val="16"/>
        </w:rPr>
        <w:t>фторной</w:t>
      </w:r>
      <w:proofErr w:type="spellEnd"/>
      <w:r w:rsidRPr="00A259BD">
        <w:rPr>
          <w:rFonts w:ascii="Times New Roman" w:hAnsi="Times New Roman"/>
          <w:color w:val="000000" w:themeColor="text1"/>
          <w:sz w:val="16"/>
          <w:szCs w:val="16"/>
        </w:rPr>
        <w:t xml:space="preserve"> тематике, с конца 1950-х  г.- по созданию ЯРД.</w:t>
      </w:r>
    </w:p>
    <w:p w14:paraId="3A3FAA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1960-е  г. в ОКБ в инициативном порядке разрабатывалась серия мощных РН- «ракетных летательных аппаратов: </w:t>
      </w:r>
      <w:r w:rsidRPr="00A259BD">
        <w:rPr>
          <w:rFonts w:ascii="Times New Roman" w:hAnsi="Times New Roman"/>
          <w:color w:val="000000" w:themeColor="text1"/>
          <w:sz w:val="16"/>
          <w:szCs w:val="16"/>
          <w:lang w:val="en-US"/>
        </w:rPr>
        <w:t>PJIA</w:t>
      </w:r>
      <w:r w:rsidRPr="00A259BD">
        <w:rPr>
          <w:rFonts w:ascii="Times New Roman" w:hAnsi="Times New Roman"/>
          <w:color w:val="000000" w:themeColor="text1"/>
          <w:sz w:val="16"/>
          <w:szCs w:val="16"/>
        </w:rPr>
        <w:t xml:space="preserve">-110 «Гроза» грузоподъемностью 20т; </w:t>
      </w:r>
      <w:r w:rsidRPr="00A259BD">
        <w:rPr>
          <w:rFonts w:ascii="Times New Roman" w:hAnsi="Times New Roman"/>
          <w:color w:val="000000" w:themeColor="text1"/>
          <w:sz w:val="16"/>
          <w:szCs w:val="16"/>
          <w:lang w:val="en-US"/>
        </w:rPr>
        <w:t>PJIA</w:t>
      </w:r>
      <w:r w:rsidRPr="00A259BD">
        <w:rPr>
          <w:rFonts w:ascii="Times New Roman" w:hAnsi="Times New Roman"/>
          <w:color w:val="000000" w:themeColor="text1"/>
          <w:sz w:val="16"/>
          <w:szCs w:val="16"/>
        </w:rPr>
        <w:t xml:space="preserve">-120 - 100т; </w:t>
      </w:r>
      <w:r w:rsidRPr="00A259BD">
        <w:rPr>
          <w:rFonts w:ascii="Times New Roman" w:hAnsi="Times New Roman"/>
          <w:color w:val="000000" w:themeColor="text1"/>
          <w:sz w:val="16"/>
          <w:szCs w:val="16"/>
          <w:lang w:val="en-US"/>
        </w:rPr>
        <w:t>PJIA</w:t>
      </w:r>
      <w:r w:rsidRPr="00A259BD">
        <w:rPr>
          <w:rFonts w:ascii="Times New Roman" w:hAnsi="Times New Roman"/>
          <w:color w:val="000000" w:themeColor="text1"/>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3779B1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1970-е  г. создан стенд для испытаний двигателя блока А РН «Энергия».</w:t>
      </w:r>
    </w:p>
    <w:p w14:paraId="529675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713725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Ген. конструктор (07.1946-74 г.)- академик (1958 г.) В.П. Глушко {2.09.1908-10.01.1989}, (1974-91 г.)- В.П. </w:t>
      </w:r>
      <w:proofErr w:type="spellStart"/>
      <w:r w:rsidRPr="00A259BD">
        <w:rPr>
          <w:rFonts w:ascii="Times New Roman" w:hAnsi="Times New Roman"/>
          <w:color w:val="000000" w:themeColor="text1"/>
          <w:sz w:val="16"/>
          <w:szCs w:val="16"/>
        </w:rPr>
        <w:t>Радовский</w:t>
      </w:r>
      <w:proofErr w:type="spellEnd"/>
      <w:r w:rsidRPr="00A259BD">
        <w:rPr>
          <w:rFonts w:ascii="Times New Roman" w:hAnsi="Times New Roman"/>
          <w:color w:val="000000" w:themeColor="text1"/>
          <w:sz w:val="16"/>
          <w:szCs w:val="16"/>
        </w:rPr>
        <w:t>, (1992-2005 г.-)- Б.И. Каторгин {13.10.1934-}.</w:t>
      </w:r>
    </w:p>
    <w:p w14:paraId="6B9E95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1-й зам. ген. конструктора (2000 г.)- В.К. Чванов. 1-й зам. гл. конструктора (1946-52 г.)- Д.Д. Севрук. Зам. гл. конструктора (1946 г.-)-  Г.С. </w:t>
      </w:r>
      <w:proofErr w:type="spellStart"/>
      <w:r w:rsidRPr="00A259BD">
        <w:rPr>
          <w:rFonts w:ascii="Times New Roman" w:hAnsi="Times New Roman"/>
          <w:color w:val="000000" w:themeColor="text1"/>
          <w:sz w:val="16"/>
          <w:szCs w:val="16"/>
        </w:rPr>
        <w:t>Жирицкий</w:t>
      </w:r>
      <w:proofErr w:type="spellEnd"/>
      <w:r w:rsidRPr="00A259BD">
        <w:rPr>
          <w:rFonts w:ascii="Times New Roman" w:hAnsi="Times New Roman"/>
          <w:color w:val="000000" w:themeColor="text1"/>
          <w:sz w:val="16"/>
          <w:szCs w:val="16"/>
        </w:rPr>
        <w:t>, (-24.10.1960 г.)-  Г.Ф. Фирсов (погиб в катастрофе Р-16); по производству (-1951 г.)- Н.С. Шнякин.</w:t>
      </w:r>
    </w:p>
    <w:p w14:paraId="3DD72E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 (1974 г.)- В.П. </w:t>
      </w:r>
      <w:proofErr w:type="spellStart"/>
      <w:r w:rsidRPr="00A259BD">
        <w:rPr>
          <w:rFonts w:ascii="Times New Roman" w:hAnsi="Times New Roman"/>
          <w:color w:val="000000" w:themeColor="text1"/>
          <w:sz w:val="16"/>
          <w:szCs w:val="16"/>
        </w:rPr>
        <w:t>Радовский</w:t>
      </w:r>
      <w:proofErr w:type="spellEnd"/>
      <w:r w:rsidRPr="00A259BD">
        <w:rPr>
          <w:rFonts w:ascii="Times New Roman" w:hAnsi="Times New Roman"/>
          <w:color w:val="000000" w:themeColor="text1"/>
          <w:sz w:val="16"/>
          <w:szCs w:val="16"/>
        </w:rPr>
        <w:t>. Директор (-2000-02 г.-&gt; В.К. Чванов.</w:t>
      </w:r>
    </w:p>
    <w:p w14:paraId="032824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1-й зам. начальника (1974 г.)- С.П. Богдановский. 1-й зам. директора, гендиректора (2000 г.)- В.К. Чванов. Зам. гендиректора (2000 г.)- С.А. </w:t>
      </w:r>
      <w:proofErr w:type="spellStart"/>
      <w:r w:rsidRPr="00A259BD">
        <w:rPr>
          <w:rFonts w:ascii="Times New Roman" w:hAnsi="Times New Roman"/>
          <w:color w:val="000000" w:themeColor="text1"/>
          <w:sz w:val="16"/>
          <w:szCs w:val="16"/>
        </w:rPr>
        <w:t>Лизгунов</w:t>
      </w:r>
      <w:proofErr w:type="spellEnd"/>
      <w:r w:rsidRPr="00A259BD">
        <w:rPr>
          <w:rFonts w:ascii="Times New Roman" w:hAnsi="Times New Roman"/>
          <w:color w:val="000000" w:themeColor="text1"/>
          <w:sz w:val="16"/>
          <w:szCs w:val="16"/>
        </w:rPr>
        <w:t>, (2000 г.)- С.С. Головченко, (2000 г.)- Н.А. Пирогов, (2000 г.)- Д.В. Пахомов.</w:t>
      </w:r>
    </w:p>
    <w:p w14:paraId="361221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Исполнительный директор (2000 г.)- С.А. </w:t>
      </w:r>
      <w:proofErr w:type="spellStart"/>
      <w:r w:rsidRPr="00A259BD">
        <w:rPr>
          <w:rFonts w:ascii="Times New Roman" w:hAnsi="Times New Roman"/>
          <w:color w:val="000000" w:themeColor="text1"/>
          <w:sz w:val="16"/>
          <w:szCs w:val="16"/>
        </w:rPr>
        <w:t>Лизгунов</w:t>
      </w:r>
      <w:proofErr w:type="spellEnd"/>
      <w:r w:rsidRPr="00A259BD">
        <w:rPr>
          <w:rFonts w:ascii="Times New Roman" w:hAnsi="Times New Roman"/>
          <w:color w:val="000000" w:themeColor="text1"/>
          <w:sz w:val="16"/>
          <w:szCs w:val="16"/>
        </w:rPr>
        <w:t>.</w:t>
      </w:r>
    </w:p>
    <w:p w14:paraId="70AABC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конструкторы: (1974-91 г.)- В.П. </w:t>
      </w:r>
      <w:proofErr w:type="spellStart"/>
      <w:r w:rsidRPr="00A259BD">
        <w:rPr>
          <w:rFonts w:ascii="Times New Roman" w:hAnsi="Times New Roman"/>
          <w:color w:val="000000" w:themeColor="text1"/>
          <w:sz w:val="16"/>
          <w:szCs w:val="16"/>
        </w:rPr>
        <w:t>Радовский</w:t>
      </w:r>
      <w:proofErr w:type="spellEnd"/>
      <w:r w:rsidRPr="00A259BD">
        <w:rPr>
          <w:rFonts w:ascii="Times New Roman" w:hAnsi="Times New Roman"/>
          <w:color w:val="000000" w:themeColor="text1"/>
          <w:sz w:val="16"/>
          <w:szCs w:val="16"/>
        </w:rPr>
        <w:t xml:space="preserve"> (РД-170).</w:t>
      </w:r>
    </w:p>
    <w:p w14:paraId="610BDD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Ведущий конструктор - А.С. Назаров.</w:t>
      </w:r>
    </w:p>
    <w:p w14:paraId="1F3560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начальника отдела (1979 г.)- И.А. Клепиков (МД-185).</w:t>
      </w:r>
    </w:p>
    <w:p w14:paraId="5DC53C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Создано: ЖРД:</w:t>
      </w:r>
      <w:r w:rsidRPr="00A259BD">
        <w:rPr>
          <w:rFonts w:ascii="Times New Roman" w:hAnsi="Times New Roman"/>
          <w:color w:val="000000" w:themeColor="text1"/>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w:t>
      </w:r>
      <w:r w:rsidRPr="00A259BD">
        <w:rPr>
          <w:rFonts w:ascii="Times New Roman" w:hAnsi="Times New Roman"/>
          <w:color w:val="000000" w:themeColor="text1"/>
          <w:sz w:val="16"/>
          <w:szCs w:val="16"/>
        </w:rPr>
        <w:lastRenderedPageBreak/>
        <w:t xml:space="preserve">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proofErr w:type="spellStart"/>
      <w:r w:rsidRPr="00A259BD">
        <w:rPr>
          <w:rFonts w:ascii="Times New Roman" w:hAnsi="Times New Roman"/>
          <w:color w:val="000000" w:themeColor="text1"/>
          <w:sz w:val="16"/>
          <w:szCs w:val="16"/>
          <w:lang w:val="en-US"/>
        </w:rPr>
        <w:t>AtlasIIIA</w:t>
      </w:r>
      <w:proofErr w:type="spellEnd"/>
      <w:r w:rsidRPr="00A259BD">
        <w:rPr>
          <w:rFonts w:ascii="Times New Roman" w:hAnsi="Times New Roman"/>
          <w:color w:val="000000" w:themeColor="text1"/>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A259BD">
        <w:rPr>
          <w:rFonts w:ascii="Times New Roman" w:hAnsi="Times New Roman"/>
          <w:color w:val="000000" w:themeColor="text1"/>
          <w:sz w:val="16"/>
          <w:szCs w:val="16"/>
          <w:vertAlign w:val="superscript"/>
        </w:rPr>
        <w:t>50</w:t>
      </w:r>
    </w:p>
    <w:p w14:paraId="72BDB7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Приморский филиал № 1 ОКБ-456, НПО «Энергия», ОАО «Приморский НТЦ» РКК «Энергия» /188910  г. Приморск Ленинградской обл. тел. 75-331/</w:t>
      </w:r>
    </w:p>
    <w:p w14:paraId="73352D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w:t>
      </w:r>
      <w:proofErr w:type="spellStart"/>
      <w:r w:rsidRPr="00A259BD">
        <w:rPr>
          <w:rFonts w:ascii="Times New Roman" w:hAnsi="Times New Roman"/>
          <w:color w:val="000000" w:themeColor="text1"/>
          <w:sz w:val="16"/>
          <w:szCs w:val="16"/>
        </w:rPr>
        <w:t>фторная</w:t>
      </w:r>
      <w:proofErr w:type="spellEnd"/>
      <w:r w:rsidRPr="00A259BD">
        <w:rPr>
          <w:rFonts w:ascii="Times New Roman" w:hAnsi="Times New Roman"/>
          <w:color w:val="000000" w:themeColor="text1"/>
          <w:sz w:val="16"/>
          <w:szCs w:val="16"/>
        </w:rPr>
        <w:t xml:space="preserve"> тематика). С 1991 г. в качестве филиала входит в НПО «Энергия». С 1994 г.- ОАО «Приморский НТЦ» в составе ОАО «РКК «Энергия» (и на 2004 г.).</w:t>
      </w:r>
    </w:p>
    <w:p w14:paraId="5A15A7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1970-е  г. создан стенд для огневых испытаний объединенной двигательной установки ОК «Буран».</w:t>
      </w:r>
    </w:p>
    <w:p w14:paraId="0BB562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48957E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Директор (1958 г.-)- Е.Н. Кузьмин, (2002 г.)- С.К. Петров.</w:t>
      </w:r>
    </w:p>
    <w:p w14:paraId="2A34F1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конструктор (2002 г.)- С.М. Андрюшкин.</w:t>
      </w:r>
    </w:p>
    <w:p w14:paraId="4C1023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1-й зам. Директора (2002 г.)- Ю.В. Сидельников.</w:t>
      </w:r>
      <w:r w:rsidRPr="00A259BD">
        <w:rPr>
          <w:rFonts w:ascii="Times New Roman" w:hAnsi="Times New Roman"/>
          <w:color w:val="000000" w:themeColor="text1"/>
          <w:sz w:val="16"/>
          <w:szCs w:val="16"/>
          <w:vertAlign w:val="superscript"/>
        </w:rPr>
        <w:t>69</w:t>
      </w:r>
    </w:p>
    <w:p w14:paraId="224177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НПО «Энергомаш» (НПОЭМ), ФГУП, ОАО «НПО «Энергомаш» им. академика В.П. Глушко» ФКА /141400  г. Химки-1 Московской обл. ул. Бурденко, 1 тел. 777-27-27/</w:t>
      </w:r>
    </w:p>
    <w:p w14:paraId="44906F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74037A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1996 г. заключен контракт на поставку 50 РД-180 в США.</w:t>
      </w:r>
    </w:p>
    <w:p w14:paraId="447CD8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0487C1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Направления работ (2005 г.): теоретические исследования в области создания ЖРД; разработка мощных ЖРД на низко- и высококипящих компонентах топлива, </w:t>
      </w:r>
      <w:proofErr w:type="spellStart"/>
      <w:r w:rsidRPr="00A259BD">
        <w:rPr>
          <w:rFonts w:ascii="Times New Roman" w:hAnsi="Times New Roman"/>
          <w:color w:val="000000" w:themeColor="text1"/>
          <w:sz w:val="16"/>
          <w:szCs w:val="16"/>
        </w:rPr>
        <w:t>трехкопонентных</w:t>
      </w:r>
      <w:proofErr w:type="spellEnd"/>
      <w:r w:rsidRPr="00A259BD">
        <w:rPr>
          <w:rFonts w:ascii="Times New Roman" w:hAnsi="Times New Roman"/>
          <w:color w:val="000000" w:themeColor="text1"/>
          <w:sz w:val="16"/>
          <w:szCs w:val="16"/>
        </w:rPr>
        <w:t xml:space="preserve"> ЖРД; экспериментальная отработка конструкций ЖРД и их систем.</w:t>
      </w:r>
    </w:p>
    <w:p w14:paraId="670C18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w:t>
      </w:r>
      <w:proofErr w:type="spellStart"/>
      <w:r w:rsidRPr="00A259BD">
        <w:rPr>
          <w:rFonts w:ascii="Times New Roman" w:hAnsi="Times New Roman"/>
          <w:color w:val="000000" w:themeColor="text1"/>
          <w:sz w:val="16"/>
          <w:szCs w:val="16"/>
        </w:rPr>
        <w:t>Амрос</w:t>
      </w:r>
      <w:proofErr w:type="spellEnd"/>
      <w:r w:rsidRPr="00A259BD">
        <w:rPr>
          <w:rFonts w:ascii="Times New Roman" w:hAnsi="Times New Roman"/>
          <w:color w:val="000000" w:themeColor="text1"/>
          <w:sz w:val="16"/>
          <w:szCs w:val="16"/>
        </w:rPr>
        <w:t>». Площадь территории- 136 га.</w:t>
      </w:r>
    </w:p>
    <w:p w14:paraId="5622FE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Гендиректор (1974-89 г.)- академик В.П. Глушко {2.09.1908-10.01.1989}, (1991-2005 г.)- Б.И. Каторгин, (2005- 08 г.-)- Н.А. Пирогов.</w:t>
      </w:r>
    </w:p>
    <w:p w14:paraId="177EC6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Ген. Конструктор (1974-89 г.)- В.П. Глушко, (1991-2005 г.-)- Б.И. Каторгин.</w:t>
      </w:r>
    </w:p>
    <w:p w14:paraId="759378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1-й зам. гендиректора (2002 г.)- В.К. Чванов, (2007 г.)- Д. Пахомов. Зам. гендиректора (2002 г.)- С.С. Головченко, (2002 г.)- Н.В. Акимов, (2002 г.)- Н.А. Пирогов, (2002 г.)-  Г. Г. Деркач.</w:t>
      </w:r>
    </w:p>
    <w:p w14:paraId="35721F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Исполнительный директор (2002 г.)- С.А. </w:t>
      </w:r>
      <w:proofErr w:type="spellStart"/>
      <w:r w:rsidRPr="00A259BD">
        <w:rPr>
          <w:rFonts w:ascii="Times New Roman" w:hAnsi="Times New Roman"/>
          <w:color w:val="000000" w:themeColor="text1"/>
          <w:sz w:val="16"/>
          <w:szCs w:val="16"/>
        </w:rPr>
        <w:t>Лизгунов</w:t>
      </w:r>
      <w:proofErr w:type="spellEnd"/>
      <w:r w:rsidRPr="00A259BD">
        <w:rPr>
          <w:rFonts w:ascii="Times New Roman" w:hAnsi="Times New Roman"/>
          <w:color w:val="000000" w:themeColor="text1"/>
          <w:sz w:val="16"/>
          <w:szCs w:val="16"/>
        </w:rPr>
        <w:t xml:space="preserve">. Директор по стратегическому развитию (2002 г.)- Н.А. Пирогов. Директор по зарубежному производству (2002 г.)-  Г. Г. Деркач. Директор испытательного комплекса (2002 г.)- Н.В. Акимов. Начальник ОНТИ (2002 г.)- </w:t>
      </w:r>
      <w:r w:rsidRPr="00A259BD">
        <w:rPr>
          <w:rFonts w:ascii="Times New Roman" w:hAnsi="Times New Roman"/>
          <w:color w:val="000000" w:themeColor="text1"/>
          <w:sz w:val="16"/>
          <w:szCs w:val="16"/>
          <w:lang w:val="en-US"/>
        </w:rPr>
        <w:t>B</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C</w:t>
      </w:r>
      <w:r w:rsidRPr="00A259BD">
        <w:rPr>
          <w:rFonts w:ascii="Times New Roman" w:hAnsi="Times New Roman"/>
          <w:color w:val="000000" w:themeColor="text1"/>
          <w:sz w:val="16"/>
          <w:szCs w:val="16"/>
        </w:rPr>
        <w:t>. Судаков.</w:t>
      </w:r>
    </w:p>
    <w:p w14:paraId="762F97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Руководитель ЦОС (2007 г.)- Ю. Короткое.</w:t>
      </w:r>
    </w:p>
    <w:p w14:paraId="1AD296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 «РД-</w:t>
      </w:r>
      <w:proofErr w:type="spellStart"/>
      <w:r w:rsidRPr="00A259BD">
        <w:rPr>
          <w:rFonts w:ascii="Times New Roman" w:hAnsi="Times New Roman"/>
          <w:color w:val="000000" w:themeColor="text1"/>
          <w:sz w:val="16"/>
          <w:szCs w:val="16"/>
        </w:rPr>
        <w:t>Амрос</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lang w:val="en-US"/>
        </w:rPr>
        <w:t>RDAmrossLLC</w:t>
      </w:r>
      <w:proofErr w:type="spellEnd"/>
      <w:r w:rsidRPr="00A259BD">
        <w:rPr>
          <w:rFonts w:ascii="Times New Roman" w:hAnsi="Times New Roman"/>
          <w:color w:val="000000" w:themeColor="text1"/>
          <w:sz w:val="16"/>
          <w:szCs w:val="16"/>
        </w:rPr>
        <w:t>")</w:t>
      </w:r>
    </w:p>
    <w:p w14:paraId="1BF330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Совместное предприятие, учрежденное НПО «Энергомаш» и "</w:t>
      </w:r>
      <w:r w:rsidRPr="00A259BD">
        <w:rPr>
          <w:rFonts w:ascii="Times New Roman" w:hAnsi="Times New Roman"/>
          <w:color w:val="000000" w:themeColor="text1"/>
          <w:sz w:val="16"/>
          <w:szCs w:val="16"/>
          <w:lang w:val="en-US"/>
        </w:rPr>
        <w:t>Pratt</w:t>
      </w:r>
      <w:r w:rsidRPr="00A259BD">
        <w:rPr>
          <w:rFonts w:ascii="Times New Roman" w:hAnsi="Times New Roman"/>
          <w:color w:val="000000" w:themeColor="text1"/>
          <w:sz w:val="16"/>
          <w:szCs w:val="16"/>
        </w:rPr>
        <w:t>&amp;</w:t>
      </w:r>
      <w:r w:rsidRPr="00A259BD">
        <w:rPr>
          <w:rFonts w:ascii="Times New Roman" w:hAnsi="Times New Roman"/>
          <w:color w:val="000000" w:themeColor="text1"/>
          <w:sz w:val="16"/>
          <w:szCs w:val="16"/>
          <w:lang w:val="en-US"/>
        </w:rPr>
        <w:t>Whitney</w:t>
      </w:r>
      <w:r w:rsidRPr="00A259BD">
        <w:rPr>
          <w:rFonts w:ascii="Times New Roman" w:hAnsi="Times New Roman"/>
          <w:color w:val="000000" w:themeColor="text1"/>
          <w:sz w:val="16"/>
          <w:szCs w:val="16"/>
        </w:rPr>
        <w:t>" в 1997 г.</w:t>
      </w:r>
    </w:p>
    <w:p w14:paraId="5B8EBA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Расположено на территории НПО. Производство ЖРД РД-180 для </w:t>
      </w:r>
      <w:proofErr w:type="spellStart"/>
      <w:r w:rsidRPr="00A259BD">
        <w:rPr>
          <w:rFonts w:ascii="Times New Roman" w:hAnsi="Times New Roman"/>
          <w:color w:val="000000" w:themeColor="text1"/>
          <w:sz w:val="16"/>
          <w:szCs w:val="16"/>
        </w:rPr>
        <w:t>компани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lang w:val="en-US"/>
        </w:rPr>
        <w:t>LockheedMartin</w:t>
      </w:r>
      <w:proofErr w:type="spellEnd"/>
      <w:r w:rsidRPr="00A259BD">
        <w:rPr>
          <w:rFonts w:ascii="Times New Roman" w:hAnsi="Times New Roman"/>
          <w:color w:val="000000" w:themeColor="text1"/>
          <w:sz w:val="16"/>
          <w:szCs w:val="16"/>
        </w:rPr>
        <w:t>" (2007 г.) (11982).</w:t>
      </w:r>
    </w:p>
    <w:p w14:paraId="0D846469" w14:textId="77777777" w:rsidR="00B61327" w:rsidRPr="00A259BD" w:rsidRDefault="00B61327" w:rsidP="009236E3">
      <w:pPr>
        <w:autoSpaceDE w:val="0"/>
        <w:autoSpaceDN w:val="0"/>
        <w:adjustRightInd w:val="0"/>
        <w:spacing w:after="0" w:line="240" w:lineRule="auto"/>
        <w:jc w:val="both"/>
        <w:rPr>
          <w:rFonts w:ascii="Times New Roman" w:hAnsi="Times New Roman"/>
          <w:color w:val="000000" w:themeColor="text1"/>
          <w:sz w:val="16"/>
          <w:szCs w:val="16"/>
        </w:rPr>
      </w:pPr>
    </w:p>
    <w:p w14:paraId="2B0CC1E6" w14:textId="77777777" w:rsidR="00B61327" w:rsidRPr="00A259BD" w:rsidRDefault="00B6132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мая в 1929 году в ленинградской Газодинамической лаборатории создано подразделение по разработке электрических и жидкостных ракет и ракетных двигателей под руководством </w:t>
      </w:r>
      <w:proofErr w:type="spellStart"/>
      <w:r w:rsidRPr="00A259BD">
        <w:rPr>
          <w:rFonts w:ascii="Times New Roman" w:hAnsi="Times New Roman"/>
          <w:color w:val="000000" w:themeColor="text1"/>
          <w:sz w:val="16"/>
          <w:szCs w:val="16"/>
        </w:rPr>
        <w:t>В.П.Глушко</w:t>
      </w:r>
      <w:proofErr w:type="spellEnd"/>
      <w:r w:rsidRPr="00A259BD">
        <w:rPr>
          <w:rFonts w:ascii="Times New Roman" w:hAnsi="Times New Roman"/>
          <w:color w:val="000000" w:themeColor="text1"/>
          <w:sz w:val="16"/>
          <w:szCs w:val="16"/>
        </w:rPr>
        <w:t xml:space="preserve">. Это дата основания НПО "Энергомаш" имени академика </w:t>
      </w:r>
      <w:proofErr w:type="spellStart"/>
      <w:r w:rsidRPr="00A259BD">
        <w:rPr>
          <w:rFonts w:ascii="Times New Roman" w:hAnsi="Times New Roman"/>
          <w:color w:val="000000" w:themeColor="text1"/>
          <w:sz w:val="16"/>
          <w:szCs w:val="16"/>
        </w:rPr>
        <w:t>В.П.Глушко</w:t>
      </w:r>
      <w:proofErr w:type="spellEnd"/>
      <w:r w:rsidRPr="00A259BD">
        <w:rPr>
          <w:rFonts w:ascii="Times New Roman" w:hAnsi="Times New Roman"/>
          <w:color w:val="000000" w:themeColor="text1"/>
          <w:sz w:val="16"/>
          <w:szCs w:val="16"/>
        </w:rPr>
        <w:t xml:space="preserve">. В 1933 г. группа вошла в состав Реактивного научно-исследовательского института, а в 1941 г. была реорганизована в опытно-конструкторское бюро. С 1946 г. местом нахождения ОКБ является город Химки Московской области. В 1990 г. предприятие переименовано в НПО "Энергомаш". Ныне ОАО "НПО "Энергомаш" имени академика </w:t>
      </w:r>
      <w:proofErr w:type="spellStart"/>
      <w:r w:rsidRPr="00A259BD">
        <w:rPr>
          <w:rFonts w:ascii="Times New Roman" w:hAnsi="Times New Roman"/>
          <w:color w:val="000000" w:themeColor="text1"/>
          <w:sz w:val="16"/>
          <w:szCs w:val="16"/>
        </w:rPr>
        <w:t>В.П.Глушко</w:t>
      </w:r>
      <w:proofErr w:type="spellEnd"/>
      <w:r w:rsidRPr="00A259BD">
        <w:rPr>
          <w:rFonts w:ascii="Times New Roman" w:hAnsi="Times New Roman"/>
          <w:color w:val="000000" w:themeColor="text1"/>
          <w:sz w:val="16"/>
          <w:szCs w:val="16"/>
        </w:rPr>
        <w:t>" является ведущим российским предприятием по разработке жидкостных ракетных двигателей большой мощности для ракет-носителей, обеспечивающих выполнение национальных космических программ (14892).</w:t>
      </w:r>
    </w:p>
    <w:p w14:paraId="23775F69" w14:textId="77777777" w:rsidR="00B61327" w:rsidRPr="00A259BD" w:rsidRDefault="00B61327" w:rsidP="009236E3">
      <w:pPr>
        <w:spacing w:after="0" w:line="240" w:lineRule="auto"/>
        <w:jc w:val="both"/>
        <w:rPr>
          <w:rFonts w:ascii="Times New Roman" w:hAnsi="Times New Roman"/>
          <w:color w:val="000000" w:themeColor="text1"/>
          <w:sz w:val="16"/>
          <w:szCs w:val="16"/>
        </w:rPr>
      </w:pPr>
    </w:p>
    <w:p w14:paraId="3594043B" w14:textId="77777777" w:rsidR="004B3E82" w:rsidRPr="00A259BD" w:rsidRDefault="004B3E8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К 15 маю 1929 г. относится начало экспериментальных работ по реализации идей </w:t>
      </w:r>
      <w:proofErr w:type="spellStart"/>
      <w:r w:rsidRPr="00A259BD">
        <w:rPr>
          <w:rFonts w:ascii="Times New Roman" w:eastAsia="Times New Roman" w:hAnsi="Times New Roman"/>
          <w:color w:val="000000" w:themeColor="text1"/>
          <w:sz w:val="16"/>
          <w:szCs w:val="16"/>
          <w:lang w:eastAsia="ru-RU"/>
        </w:rPr>
        <w:t>ЦиолковскоговВ</w:t>
      </w:r>
      <w:proofErr w:type="spellEnd"/>
      <w:r w:rsidRPr="00A259BD">
        <w:rPr>
          <w:rFonts w:ascii="Times New Roman" w:eastAsia="Times New Roman" w:hAnsi="Times New Roman"/>
          <w:color w:val="000000" w:themeColor="text1"/>
          <w:sz w:val="16"/>
          <w:szCs w:val="16"/>
          <w:lang w:eastAsia="ru-RU"/>
        </w:rPr>
        <w:t xml:space="preserve"> СССР, когда в </w:t>
      </w:r>
      <w:proofErr w:type="spellStart"/>
      <w:r w:rsidRPr="00A259BD">
        <w:rPr>
          <w:rFonts w:ascii="Times New Roman" w:eastAsia="Times New Roman" w:hAnsi="Times New Roman"/>
          <w:color w:val="000000" w:themeColor="text1"/>
          <w:sz w:val="16"/>
          <w:szCs w:val="16"/>
          <w:lang w:eastAsia="ru-RU"/>
        </w:rPr>
        <w:t>соста</w:t>
      </w:r>
      <w:proofErr w:type="spellEnd"/>
      <w:r w:rsidRPr="00A259BD">
        <w:rPr>
          <w:rFonts w:ascii="Times New Roman" w:eastAsia="Times New Roman" w:hAnsi="Times New Roman"/>
          <w:color w:val="000000" w:themeColor="text1"/>
          <w:sz w:val="16"/>
          <w:szCs w:val="16"/>
          <w:lang w:eastAsia="ru-RU"/>
        </w:rPr>
        <w:t xml:space="preserve"> </w:t>
      </w:r>
      <w:proofErr w:type="spellStart"/>
      <w:r w:rsidRPr="00A259BD">
        <w:rPr>
          <w:rFonts w:ascii="Times New Roman" w:eastAsia="Times New Roman" w:hAnsi="Times New Roman"/>
          <w:color w:val="000000" w:themeColor="text1"/>
          <w:sz w:val="16"/>
          <w:szCs w:val="16"/>
          <w:lang w:eastAsia="ru-RU"/>
        </w:rPr>
        <w:t>ве</w:t>
      </w:r>
      <w:proofErr w:type="spellEnd"/>
      <w:r w:rsidRPr="00A259BD">
        <w:rPr>
          <w:rFonts w:ascii="Times New Roman" w:eastAsia="Times New Roman" w:hAnsi="Times New Roman"/>
          <w:color w:val="000000" w:themeColor="text1"/>
          <w:sz w:val="16"/>
          <w:szCs w:val="16"/>
          <w:lang w:eastAsia="ru-RU"/>
        </w:rPr>
        <w:t xml:space="preserve"> Газодинамической лаборатории в Ленинграде было создано и приступило к практической деятельности первое опытно-кон </w:t>
      </w:r>
      <w:proofErr w:type="spellStart"/>
      <w:r w:rsidRPr="00A259BD">
        <w:rPr>
          <w:rFonts w:ascii="Times New Roman" w:eastAsia="Times New Roman" w:hAnsi="Times New Roman"/>
          <w:color w:val="000000" w:themeColor="text1"/>
          <w:sz w:val="16"/>
          <w:szCs w:val="16"/>
          <w:lang w:eastAsia="ru-RU"/>
        </w:rPr>
        <w:t>структорское</w:t>
      </w:r>
      <w:proofErr w:type="spellEnd"/>
      <w:r w:rsidRPr="00A259BD">
        <w:rPr>
          <w:rFonts w:ascii="Times New Roman" w:eastAsia="Times New Roman" w:hAnsi="Times New Roman"/>
          <w:color w:val="000000" w:themeColor="text1"/>
          <w:sz w:val="16"/>
          <w:szCs w:val="16"/>
          <w:lang w:eastAsia="ru-RU"/>
        </w:rPr>
        <w:t xml:space="preserve"> подразделение для разработки ракет и </w:t>
      </w:r>
      <w:proofErr w:type="spellStart"/>
      <w:r w:rsidRPr="00A259BD">
        <w:rPr>
          <w:rFonts w:ascii="Times New Roman" w:eastAsia="Times New Roman" w:hAnsi="Times New Roman"/>
          <w:color w:val="000000" w:themeColor="text1"/>
          <w:sz w:val="16"/>
          <w:szCs w:val="16"/>
          <w:lang w:eastAsia="ru-RU"/>
        </w:rPr>
        <w:t>электри</w:t>
      </w:r>
      <w:proofErr w:type="spellEnd"/>
      <w:r w:rsidRPr="00A259BD">
        <w:rPr>
          <w:rFonts w:ascii="Times New Roman" w:eastAsia="Times New Roman" w:hAnsi="Times New Roman"/>
          <w:color w:val="000000" w:themeColor="text1"/>
          <w:sz w:val="16"/>
          <w:szCs w:val="16"/>
          <w:lang w:eastAsia="ru-RU"/>
        </w:rPr>
        <w:t xml:space="preserve"> </w:t>
      </w:r>
      <w:proofErr w:type="spellStart"/>
      <w:r w:rsidRPr="00A259BD">
        <w:rPr>
          <w:rFonts w:ascii="Times New Roman" w:eastAsia="Times New Roman" w:hAnsi="Times New Roman"/>
          <w:color w:val="000000" w:themeColor="text1"/>
          <w:sz w:val="16"/>
          <w:szCs w:val="16"/>
          <w:lang w:eastAsia="ru-RU"/>
        </w:rPr>
        <w:t>ческих</w:t>
      </w:r>
      <w:proofErr w:type="spellEnd"/>
      <w:r w:rsidRPr="00A259BD">
        <w:rPr>
          <w:rFonts w:ascii="Times New Roman" w:eastAsia="Times New Roman" w:hAnsi="Times New Roman"/>
          <w:color w:val="000000" w:themeColor="text1"/>
          <w:sz w:val="16"/>
          <w:szCs w:val="16"/>
          <w:lang w:eastAsia="ru-RU"/>
        </w:rPr>
        <w:t xml:space="preserve"> и жидкостных ракетных двигателей к ним. Руководил подразделением В.П. Глушко. В этом подразделении в 30-х гг. было создано семейство опытных ЖРД с тягой от 60 до| 300 кгс, работавших на различных жидких окислителях и го </w:t>
      </w:r>
      <w:proofErr w:type="spellStart"/>
      <w:r w:rsidRPr="00A259BD">
        <w:rPr>
          <w:rFonts w:ascii="Times New Roman" w:eastAsia="Times New Roman" w:hAnsi="Times New Roman"/>
          <w:color w:val="000000" w:themeColor="text1"/>
          <w:sz w:val="16"/>
          <w:szCs w:val="16"/>
          <w:lang w:eastAsia="ru-RU"/>
        </w:rPr>
        <w:t>рючих</w:t>
      </w:r>
      <w:proofErr w:type="spellEnd"/>
      <w:r w:rsidRPr="00A259BD">
        <w:rPr>
          <w:rFonts w:ascii="Times New Roman" w:eastAsia="Times New Roman" w:hAnsi="Times New Roman"/>
          <w:color w:val="000000" w:themeColor="text1"/>
          <w:sz w:val="16"/>
          <w:szCs w:val="16"/>
          <w:lang w:eastAsia="ru-RU"/>
        </w:rPr>
        <w:t xml:space="preserve">. Двигатели имели обозначение ОРМ (опытный ракет </w:t>
      </w:r>
      <w:proofErr w:type="spellStart"/>
      <w:r w:rsidRPr="00A259BD">
        <w:rPr>
          <w:rFonts w:ascii="Times New Roman" w:eastAsia="Times New Roman" w:hAnsi="Times New Roman"/>
          <w:color w:val="000000" w:themeColor="text1"/>
          <w:sz w:val="16"/>
          <w:szCs w:val="16"/>
          <w:lang w:eastAsia="ru-RU"/>
        </w:rPr>
        <w:t>ный</w:t>
      </w:r>
      <w:proofErr w:type="spellEnd"/>
      <w:r w:rsidRPr="00A259BD">
        <w:rPr>
          <w:rFonts w:ascii="Times New Roman" w:eastAsia="Times New Roman" w:hAnsi="Times New Roman"/>
          <w:color w:val="000000" w:themeColor="text1"/>
          <w:sz w:val="16"/>
          <w:szCs w:val="16"/>
          <w:lang w:eastAsia="ru-RU"/>
        </w:rPr>
        <w:t xml:space="preserve"> мотор). I Первый советский экспериментальный ЖРД ОРМ-1 был разработан и построен в 1930—1931 гг. Топливо двигателя — </w:t>
      </w:r>
      <w:proofErr w:type="spellStart"/>
      <w:r w:rsidRPr="00A259BD">
        <w:rPr>
          <w:rFonts w:ascii="Times New Roman" w:eastAsia="Times New Roman" w:hAnsi="Times New Roman"/>
          <w:color w:val="000000" w:themeColor="text1"/>
          <w:sz w:val="16"/>
          <w:szCs w:val="16"/>
          <w:lang w:eastAsia="ru-RU"/>
        </w:rPr>
        <w:t>четырехокись</w:t>
      </w:r>
      <w:proofErr w:type="spellEnd"/>
      <w:r w:rsidRPr="00A259BD">
        <w:rPr>
          <w:rFonts w:ascii="Times New Roman" w:eastAsia="Times New Roman" w:hAnsi="Times New Roman"/>
          <w:color w:val="000000" w:themeColor="text1"/>
          <w:sz w:val="16"/>
          <w:szCs w:val="16"/>
          <w:lang w:eastAsia="ru-RU"/>
        </w:rPr>
        <w:t xml:space="preserve"> азота и толуол или жидкий кислород и бензин.</w:t>
      </w:r>
    </w:p>
    <w:p w14:paraId="0A73110C" w14:textId="77777777" w:rsidR="004B3E82" w:rsidRPr="00A259BD" w:rsidRDefault="004B3E8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При испытании на кислородном топливе ОРМ-1 развивал тягу до 20 кгс.</w:t>
      </w:r>
    </w:p>
    <w:p w14:paraId="7B61A304" w14:textId="77777777" w:rsidR="004B3E82" w:rsidRPr="00A259BD" w:rsidRDefault="004B3E8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период 1930—1933 г. в ГДЛ была создана серия ЖРД от ОРМ-1 Д° ОРМ-52. Наиболее мощный ЖРД ОРМ-52 работал на азотной кислоте и керосине и развивал тягу до 250...300 кгс при давлении в камере сгорания 2... 2,5 МПа.</w:t>
      </w:r>
    </w:p>
    <w:p w14:paraId="6BB7D05A" w14:textId="77777777" w:rsidR="004B3E82" w:rsidRPr="00A259BD" w:rsidRDefault="004B3E8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ГДЛ были впервые успешно решены многие </w:t>
      </w:r>
      <w:proofErr w:type="spellStart"/>
      <w:r w:rsidRPr="00A259BD">
        <w:rPr>
          <w:rFonts w:ascii="Times New Roman" w:eastAsia="Times New Roman" w:hAnsi="Times New Roman"/>
          <w:color w:val="000000" w:themeColor="text1"/>
          <w:sz w:val="16"/>
          <w:szCs w:val="16"/>
          <w:lang w:eastAsia="ru-RU"/>
        </w:rPr>
        <w:t>практичес</w:t>
      </w:r>
      <w:proofErr w:type="spellEnd"/>
      <w:r w:rsidRPr="00A259BD">
        <w:rPr>
          <w:rFonts w:ascii="Times New Roman" w:eastAsia="Times New Roman" w:hAnsi="Times New Roman"/>
          <w:color w:val="000000" w:themeColor="text1"/>
          <w:sz w:val="16"/>
          <w:szCs w:val="16"/>
          <w:lang w:eastAsia="ru-RU"/>
        </w:rPr>
        <w:t xml:space="preserve"> кие вопросы создания ЖРД, определены дальнейшие пути раз вития (19686).</w:t>
      </w:r>
    </w:p>
    <w:p w14:paraId="05C10F4D" w14:textId="77777777" w:rsidR="004B3E82" w:rsidRPr="00A259BD" w:rsidRDefault="004B3E8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BBB2127" w14:textId="77777777" w:rsidR="00B14E97" w:rsidRDefault="00B14E97" w:rsidP="00B14E97">
      <w:pPr>
        <w:spacing w:after="0" w:line="240" w:lineRule="auto"/>
        <w:jc w:val="both"/>
        <w:rPr>
          <w:rFonts w:ascii="Times New Roman" w:hAnsi="Times New Roman"/>
          <w:color w:val="0070C0"/>
          <w:sz w:val="16"/>
          <w:szCs w:val="16"/>
        </w:rPr>
      </w:pPr>
      <w:r>
        <w:rPr>
          <w:rFonts w:ascii="Times New Roman" w:hAnsi="Times New Roman"/>
          <w:color w:val="0070C0"/>
          <w:sz w:val="16"/>
          <w:szCs w:val="16"/>
        </w:rPr>
        <w:t>15 мая 1929 г. в</w:t>
      </w:r>
      <w:r w:rsidRPr="006B74EB">
        <w:rPr>
          <w:rFonts w:ascii="Times New Roman" w:hAnsi="Times New Roman"/>
          <w:color w:val="0070C0"/>
          <w:sz w:val="16"/>
          <w:szCs w:val="16"/>
        </w:rPr>
        <w:t xml:space="preserve"> Ленинграде в составе газодинамической лаборатории откр</w:t>
      </w:r>
      <w:r>
        <w:rPr>
          <w:rFonts w:ascii="Times New Roman" w:hAnsi="Times New Roman"/>
          <w:color w:val="0070C0"/>
          <w:sz w:val="16"/>
          <w:szCs w:val="16"/>
        </w:rPr>
        <w:t>ылось</w:t>
      </w:r>
      <w:r w:rsidRPr="006B74EB">
        <w:rPr>
          <w:rFonts w:ascii="Times New Roman" w:hAnsi="Times New Roman"/>
          <w:color w:val="0070C0"/>
          <w:sz w:val="16"/>
          <w:szCs w:val="16"/>
        </w:rPr>
        <w:t xml:space="preserve"> первое в СССР опытное конструкторское бюро для разработки</w:t>
      </w:r>
      <w:r>
        <w:rPr>
          <w:rFonts w:ascii="Times New Roman" w:hAnsi="Times New Roman"/>
          <w:color w:val="0070C0"/>
          <w:sz w:val="16"/>
          <w:szCs w:val="16"/>
        </w:rPr>
        <w:t xml:space="preserve"> электрических и</w:t>
      </w:r>
      <w:r w:rsidRPr="006B74EB">
        <w:rPr>
          <w:rFonts w:ascii="Times New Roman" w:hAnsi="Times New Roman"/>
          <w:color w:val="0070C0"/>
          <w:sz w:val="16"/>
          <w:szCs w:val="16"/>
        </w:rPr>
        <w:t xml:space="preserve"> ракетных двигателей.</w:t>
      </w:r>
      <w:r>
        <w:rPr>
          <w:rFonts w:ascii="Times New Roman" w:hAnsi="Times New Roman"/>
          <w:color w:val="0070C0"/>
          <w:sz w:val="16"/>
          <w:szCs w:val="16"/>
        </w:rPr>
        <w:t xml:space="preserve"> Т</w:t>
      </w:r>
      <w:r w:rsidRPr="006B74EB">
        <w:rPr>
          <w:rFonts w:ascii="Times New Roman" w:hAnsi="Times New Roman"/>
          <w:color w:val="0070C0"/>
          <w:sz w:val="16"/>
          <w:szCs w:val="16"/>
        </w:rPr>
        <w:t xml:space="preserve">ам были созданы первые </w:t>
      </w:r>
      <w:proofErr w:type="spellStart"/>
      <w:r>
        <w:rPr>
          <w:rFonts w:ascii="Times New Roman" w:hAnsi="Times New Roman"/>
          <w:color w:val="0070C0"/>
          <w:sz w:val="16"/>
          <w:szCs w:val="16"/>
        </w:rPr>
        <w:t>жидкостно</w:t>
      </w:r>
      <w:proofErr w:type="spellEnd"/>
      <w:r>
        <w:rPr>
          <w:rFonts w:ascii="Times New Roman" w:hAnsi="Times New Roman"/>
          <w:color w:val="0070C0"/>
          <w:sz w:val="16"/>
          <w:szCs w:val="16"/>
        </w:rPr>
        <w:t>-</w:t>
      </w:r>
      <w:r w:rsidRPr="006B74EB">
        <w:rPr>
          <w:rFonts w:ascii="Times New Roman" w:hAnsi="Times New Roman"/>
          <w:color w:val="0070C0"/>
          <w:sz w:val="16"/>
          <w:szCs w:val="16"/>
        </w:rPr>
        <w:t>-реактивные двигател</w:t>
      </w:r>
      <w:r>
        <w:rPr>
          <w:rFonts w:ascii="Times New Roman" w:hAnsi="Times New Roman"/>
          <w:color w:val="0070C0"/>
          <w:sz w:val="16"/>
          <w:szCs w:val="16"/>
        </w:rPr>
        <w:t>и. прототипы</w:t>
      </w:r>
      <w:r w:rsidRPr="006B74EB">
        <w:rPr>
          <w:rFonts w:ascii="Times New Roman" w:hAnsi="Times New Roman"/>
          <w:color w:val="0070C0"/>
          <w:sz w:val="16"/>
          <w:szCs w:val="16"/>
        </w:rPr>
        <w:t>. п</w:t>
      </w:r>
      <w:r>
        <w:rPr>
          <w:rFonts w:ascii="Times New Roman" w:hAnsi="Times New Roman"/>
          <w:color w:val="0070C0"/>
          <w:sz w:val="16"/>
          <w:szCs w:val="16"/>
        </w:rPr>
        <w:t>о</w:t>
      </w:r>
      <w:r w:rsidRPr="006B74EB">
        <w:rPr>
          <w:rFonts w:ascii="Times New Roman" w:hAnsi="Times New Roman"/>
          <w:color w:val="0070C0"/>
          <w:sz w:val="16"/>
          <w:szCs w:val="16"/>
        </w:rPr>
        <w:t>следующих геофи</w:t>
      </w:r>
      <w:r>
        <w:rPr>
          <w:rFonts w:ascii="Times New Roman" w:hAnsi="Times New Roman"/>
          <w:color w:val="0070C0"/>
          <w:sz w:val="16"/>
          <w:szCs w:val="16"/>
        </w:rPr>
        <w:t xml:space="preserve">зических и </w:t>
      </w:r>
      <w:proofErr w:type="spellStart"/>
      <w:r w:rsidRPr="006B74EB">
        <w:rPr>
          <w:rFonts w:ascii="Times New Roman" w:hAnsi="Times New Roman"/>
          <w:color w:val="0070C0"/>
          <w:sz w:val="16"/>
          <w:szCs w:val="16"/>
        </w:rPr>
        <w:t>космлчееких</w:t>
      </w:r>
      <w:proofErr w:type="spellEnd"/>
      <w:r w:rsidRPr="006B74EB">
        <w:rPr>
          <w:rFonts w:ascii="Times New Roman" w:hAnsi="Times New Roman"/>
          <w:color w:val="0070C0"/>
          <w:sz w:val="16"/>
          <w:szCs w:val="16"/>
        </w:rPr>
        <w:t xml:space="preserve"> ракет</w:t>
      </w:r>
      <w:r>
        <w:rPr>
          <w:rFonts w:ascii="Times New Roman" w:hAnsi="Times New Roman"/>
          <w:color w:val="0070C0"/>
          <w:sz w:val="16"/>
          <w:szCs w:val="16"/>
        </w:rPr>
        <w:t xml:space="preserve">, в </w:t>
      </w:r>
      <w:proofErr w:type="spellStart"/>
      <w:r>
        <w:rPr>
          <w:rFonts w:ascii="Times New Roman" w:hAnsi="Times New Roman"/>
          <w:color w:val="0070C0"/>
          <w:sz w:val="16"/>
          <w:szCs w:val="16"/>
        </w:rPr>
        <w:t>с</w:t>
      </w:r>
      <w:r w:rsidRPr="006B74EB">
        <w:rPr>
          <w:rFonts w:ascii="Times New Roman" w:hAnsi="Times New Roman"/>
          <w:color w:val="0070C0"/>
          <w:sz w:val="16"/>
          <w:szCs w:val="16"/>
        </w:rPr>
        <w:t>о</w:t>
      </w:r>
      <w:r>
        <w:rPr>
          <w:rFonts w:ascii="Times New Roman" w:hAnsi="Times New Roman"/>
          <w:color w:val="0070C0"/>
          <w:sz w:val="16"/>
          <w:szCs w:val="16"/>
        </w:rPr>
        <w:t>з</w:t>
      </w:r>
      <w:r w:rsidRPr="006B74EB">
        <w:rPr>
          <w:rFonts w:ascii="Times New Roman" w:hAnsi="Times New Roman"/>
          <w:color w:val="0070C0"/>
          <w:sz w:val="16"/>
          <w:szCs w:val="16"/>
        </w:rPr>
        <w:t>данн</w:t>
      </w:r>
      <w:proofErr w:type="spellEnd"/>
      <w:r w:rsidRPr="006B74EB">
        <w:rPr>
          <w:rFonts w:ascii="Times New Roman" w:hAnsi="Times New Roman"/>
          <w:color w:val="0070C0"/>
          <w:sz w:val="16"/>
          <w:szCs w:val="16"/>
        </w:rPr>
        <w:t xml:space="preserve"> и подготовлены первы</w:t>
      </w:r>
      <w:r>
        <w:rPr>
          <w:rFonts w:ascii="Times New Roman" w:hAnsi="Times New Roman"/>
          <w:color w:val="0070C0"/>
          <w:sz w:val="16"/>
          <w:szCs w:val="16"/>
        </w:rPr>
        <w:t>х</w:t>
      </w:r>
      <w:r w:rsidRPr="006B74EB">
        <w:rPr>
          <w:rFonts w:ascii="Times New Roman" w:hAnsi="Times New Roman"/>
          <w:color w:val="0070C0"/>
          <w:sz w:val="16"/>
          <w:szCs w:val="16"/>
        </w:rPr>
        <w:t xml:space="preserve"> к</w:t>
      </w:r>
      <w:r>
        <w:rPr>
          <w:rFonts w:ascii="Times New Roman" w:hAnsi="Times New Roman"/>
          <w:color w:val="0070C0"/>
          <w:sz w:val="16"/>
          <w:szCs w:val="16"/>
        </w:rPr>
        <w:t>а</w:t>
      </w:r>
      <w:r w:rsidRPr="006B74EB">
        <w:rPr>
          <w:rFonts w:ascii="Times New Roman" w:hAnsi="Times New Roman"/>
          <w:color w:val="0070C0"/>
          <w:sz w:val="16"/>
          <w:szCs w:val="16"/>
        </w:rPr>
        <w:t>д</w:t>
      </w:r>
      <w:r>
        <w:rPr>
          <w:rFonts w:ascii="Times New Roman" w:hAnsi="Times New Roman"/>
          <w:color w:val="0070C0"/>
          <w:sz w:val="16"/>
          <w:szCs w:val="16"/>
        </w:rPr>
        <w:t xml:space="preserve">ров </w:t>
      </w:r>
      <w:proofErr w:type="spellStart"/>
      <w:r w:rsidRPr="006B74EB">
        <w:rPr>
          <w:rFonts w:ascii="Times New Roman" w:hAnsi="Times New Roman"/>
          <w:color w:val="0070C0"/>
          <w:sz w:val="16"/>
          <w:szCs w:val="16"/>
        </w:rPr>
        <w:t>рцетостроителей</w:t>
      </w:r>
      <w:proofErr w:type="spellEnd"/>
      <w:r w:rsidRPr="006B74EB">
        <w:rPr>
          <w:rFonts w:ascii="Times New Roman" w:hAnsi="Times New Roman"/>
          <w:color w:val="0070C0"/>
          <w:sz w:val="16"/>
          <w:szCs w:val="16"/>
        </w:rPr>
        <w:t>.</w:t>
      </w:r>
    </w:p>
    <w:p w14:paraId="74F3942E" w14:textId="77777777" w:rsidR="00B14E97" w:rsidRDefault="00B14E97" w:rsidP="00B14E97">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/по материалам Центрально</w:t>
      </w:r>
      <w:r>
        <w:rPr>
          <w:rFonts w:ascii="Times New Roman" w:hAnsi="Times New Roman"/>
          <w:color w:val="0070C0"/>
          <w:sz w:val="16"/>
          <w:szCs w:val="16"/>
        </w:rPr>
        <w:t xml:space="preserve">го дома </w:t>
      </w:r>
      <w:r w:rsidRPr="006B74EB">
        <w:rPr>
          <w:rFonts w:ascii="Times New Roman" w:hAnsi="Times New Roman"/>
          <w:color w:val="0070C0"/>
          <w:sz w:val="16"/>
          <w:szCs w:val="16"/>
        </w:rPr>
        <w:t xml:space="preserve">авиации </w:t>
      </w:r>
      <w:r>
        <w:rPr>
          <w:rFonts w:ascii="Times New Roman" w:hAnsi="Times New Roman"/>
          <w:color w:val="0070C0"/>
          <w:sz w:val="16"/>
          <w:szCs w:val="16"/>
        </w:rPr>
        <w:t xml:space="preserve">и </w:t>
      </w:r>
      <w:r w:rsidRPr="006B74EB">
        <w:rPr>
          <w:rFonts w:ascii="Times New Roman" w:hAnsi="Times New Roman"/>
          <w:color w:val="0070C0"/>
          <w:sz w:val="16"/>
          <w:szCs w:val="16"/>
        </w:rPr>
        <w:t xml:space="preserve">космонавтики/ </w:t>
      </w:r>
      <w:r>
        <w:rPr>
          <w:rFonts w:ascii="Times New Roman" w:hAnsi="Times New Roman"/>
          <w:color w:val="0070C0"/>
          <w:sz w:val="16"/>
          <w:szCs w:val="16"/>
        </w:rPr>
        <w:t>(23370)</w:t>
      </w:r>
      <w:r w:rsidRPr="006B74EB">
        <w:rPr>
          <w:rFonts w:ascii="Times New Roman" w:hAnsi="Times New Roman"/>
          <w:color w:val="0070C0"/>
          <w:sz w:val="16"/>
          <w:szCs w:val="16"/>
        </w:rPr>
        <w:t>.</w:t>
      </w:r>
    </w:p>
    <w:p w14:paraId="3F889FB3" w14:textId="77777777" w:rsidR="00B14E97" w:rsidRDefault="00B14E97" w:rsidP="00B14E97">
      <w:pPr>
        <w:spacing w:after="0" w:line="240" w:lineRule="auto"/>
        <w:jc w:val="both"/>
        <w:rPr>
          <w:rFonts w:ascii="Times New Roman" w:hAnsi="Times New Roman"/>
          <w:color w:val="0070C0"/>
          <w:sz w:val="16"/>
          <w:szCs w:val="16"/>
        </w:rPr>
      </w:pPr>
    </w:p>
    <w:p w14:paraId="5A74A129" w14:textId="77777777" w:rsidR="004B3E82" w:rsidRPr="00A259BD" w:rsidRDefault="004B3E82"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мая 1929 г. начался первый регулярный полет по трассе "Москва - Иркутск - Москва". Одновременно из Москвы и из Иркутска, навстречу друг другу, вылетели самолеты "Фоккер Ц-4" с грузом почты. Посадка в Новосибирске была произведена 17 мая, рейс из Иркутска в Новосибирск выполнил опытный пилот Новосибирской аэростанции Иосиф Семенович Лапоногов. Продолжил эстафету на запад пилот Омской аэростанции Федор Николаевич Кононенко. Май 1929 г. считается официальной датой рождения Западно-Сибирского управления гражданской авиации. (Новосибирск : энциклопедия. - С. 337) (11702).</w:t>
      </w:r>
    </w:p>
    <w:p w14:paraId="475797D5" w14:textId="77777777" w:rsidR="004B3E82" w:rsidRPr="00A259BD" w:rsidRDefault="004B3E82" w:rsidP="009236E3">
      <w:pPr>
        <w:autoSpaceDE w:val="0"/>
        <w:autoSpaceDN w:val="0"/>
        <w:adjustRightInd w:val="0"/>
        <w:spacing w:after="0" w:line="240" w:lineRule="auto"/>
        <w:jc w:val="both"/>
        <w:rPr>
          <w:rFonts w:ascii="Times New Roman" w:hAnsi="Times New Roman"/>
          <w:color w:val="000000" w:themeColor="text1"/>
          <w:sz w:val="16"/>
          <w:szCs w:val="16"/>
        </w:rPr>
      </w:pPr>
    </w:p>
    <w:p w14:paraId="2F099EC2" w14:textId="77777777" w:rsidR="00104558" w:rsidRPr="00A259BD" w:rsidRDefault="0010455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shd w:val="clear" w:color="auto" w:fill="FFFFFF"/>
        </w:rPr>
        <w:t xml:space="preserve">15 мая 1929 был совершен первый рейс на почтовой сибирской магистрали Иркутск – Москва. В Иркутск прибыли пилоты Е. А. </w:t>
      </w:r>
      <w:proofErr w:type="spellStart"/>
      <w:r w:rsidRPr="00A259BD">
        <w:rPr>
          <w:rFonts w:ascii="Times New Roman" w:hAnsi="Times New Roman"/>
          <w:color w:val="000000" w:themeColor="text1"/>
          <w:sz w:val="16"/>
          <w:szCs w:val="16"/>
          <w:shd w:val="clear" w:color="auto" w:fill="FFFFFF"/>
        </w:rPr>
        <w:t>Ардазиани</w:t>
      </w:r>
      <w:proofErr w:type="spellEnd"/>
      <w:r w:rsidRPr="00A259BD">
        <w:rPr>
          <w:rFonts w:ascii="Times New Roman" w:hAnsi="Times New Roman"/>
          <w:color w:val="000000" w:themeColor="text1"/>
          <w:sz w:val="16"/>
          <w:szCs w:val="16"/>
          <w:shd w:val="clear" w:color="auto" w:fill="FFFFFF"/>
        </w:rPr>
        <w:t xml:space="preserve">, А. В. </w:t>
      </w:r>
      <w:proofErr w:type="spellStart"/>
      <w:r w:rsidRPr="00A259BD">
        <w:rPr>
          <w:rFonts w:ascii="Times New Roman" w:hAnsi="Times New Roman"/>
          <w:color w:val="000000" w:themeColor="text1"/>
          <w:sz w:val="16"/>
          <w:szCs w:val="16"/>
          <w:shd w:val="clear" w:color="auto" w:fill="FFFFFF"/>
        </w:rPr>
        <w:t>Мансветов</w:t>
      </w:r>
      <w:proofErr w:type="spellEnd"/>
      <w:r w:rsidRPr="00A259BD">
        <w:rPr>
          <w:rFonts w:ascii="Times New Roman" w:hAnsi="Times New Roman"/>
          <w:color w:val="000000" w:themeColor="text1"/>
          <w:sz w:val="16"/>
          <w:szCs w:val="16"/>
          <w:shd w:val="clear" w:color="auto" w:fill="FFFFFF"/>
        </w:rPr>
        <w:t>, И. С. Лапоногов и три самолета для полетов на участке Иркутск – Красноярск (21429).</w:t>
      </w:r>
    </w:p>
    <w:p w14:paraId="1F1C3D0A" w14:textId="77777777" w:rsidR="00104558" w:rsidRPr="00A259BD" w:rsidRDefault="00104558" w:rsidP="009236E3">
      <w:pPr>
        <w:spacing w:after="0" w:line="240" w:lineRule="auto"/>
        <w:jc w:val="both"/>
        <w:rPr>
          <w:rFonts w:ascii="Times New Roman" w:hAnsi="Times New Roman"/>
          <w:color w:val="000000" w:themeColor="text1"/>
          <w:sz w:val="16"/>
          <w:szCs w:val="16"/>
        </w:rPr>
      </w:pPr>
    </w:p>
    <w:p w14:paraId="364CB0AE" w14:textId="77777777" w:rsidR="00B14E97" w:rsidRPr="006B74EB" w:rsidRDefault="00B14E97" w:rsidP="00B14E97">
      <w:pPr>
        <w:spacing w:after="0" w:line="240" w:lineRule="auto"/>
        <w:jc w:val="both"/>
        <w:rPr>
          <w:rFonts w:ascii="Times New Roman" w:hAnsi="Times New Roman"/>
          <w:color w:val="0070C0"/>
          <w:sz w:val="16"/>
          <w:szCs w:val="16"/>
        </w:rPr>
      </w:pPr>
      <w:bookmarkStart w:id="43" w:name="_Hlk125567604"/>
      <w:r>
        <w:rPr>
          <w:rFonts w:ascii="Times New Roman" w:hAnsi="Times New Roman"/>
          <w:color w:val="0070C0"/>
          <w:sz w:val="16"/>
          <w:szCs w:val="16"/>
        </w:rPr>
        <w:t xml:space="preserve">15 мая 1929 г. </w:t>
      </w:r>
      <w:bookmarkEnd w:id="43"/>
      <w:r>
        <w:rPr>
          <w:rFonts w:ascii="Times New Roman" w:hAnsi="Times New Roman"/>
          <w:color w:val="0070C0"/>
          <w:sz w:val="16"/>
          <w:szCs w:val="16"/>
        </w:rPr>
        <w:t>нача</w:t>
      </w:r>
      <w:r w:rsidRPr="006B74EB">
        <w:rPr>
          <w:rFonts w:ascii="Times New Roman" w:hAnsi="Times New Roman"/>
          <w:color w:val="0070C0"/>
          <w:sz w:val="16"/>
          <w:szCs w:val="16"/>
        </w:rPr>
        <w:t>лись полети п</w:t>
      </w:r>
      <w:r>
        <w:rPr>
          <w:rFonts w:ascii="Times New Roman" w:hAnsi="Times New Roman"/>
          <w:color w:val="0070C0"/>
          <w:sz w:val="16"/>
          <w:szCs w:val="16"/>
        </w:rPr>
        <w:t>е</w:t>
      </w:r>
      <w:r w:rsidRPr="006B74EB">
        <w:rPr>
          <w:rFonts w:ascii="Times New Roman" w:hAnsi="Times New Roman"/>
          <w:color w:val="0070C0"/>
          <w:sz w:val="16"/>
          <w:szCs w:val="16"/>
        </w:rPr>
        <w:t>р</w:t>
      </w:r>
      <w:r>
        <w:rPr>
          <w:rFonts w:ascii="Times New Roman" w:hAnsi="Times New Roman"/>
          <w:color w:val="0070C0"/>
          <w:sz w:val="16"/>
          <w:szCs w:val="16"/>
        </w:rPr>
        <w:t>в</w:t>
      </w:r>
      <w:r w:rsidRPr="006B74EB">
        <w:rPr>
          <w:rFonts w:ascii="Times New Roman" w:hAnsi="Times New Roman"/>
          <w:color w:val="0070C0"/>
          <w:sz w:val="16"/>
          <w:szCs w:val="16"/>
        </w:rPr>
        <w:t>ой в СССР а</w:t>
      </w:r>
      <w:r>
        <w:rPr>
          <w:rFonts w:ascii="Times New Roman" w:hAnsi="Times New Roman"/>
          <w:color w:val="0070C0"/>
          <w:sz w:val="16"/>
          <w:szCs w:val="16"/>
        </w:rPr>
        <w:t>в</w:t>
      </w:r>
      <w:r w:rsidRPr="006B74EB">
        <w:rPr>
          <w:rFonts w:ascii="Times New Roman" w:hAnsi="Times New Roman"/>
          <w:color w:val="0070C0"/>
          <w:sz w:val="16"/>
          <w:szCs w:val="16"/>
        </w:rPr>
        <w:t>и</w:t>
      </w:r>
      <w:r>
        <w:rPr>
          <w:rFonts w:ascii="Times New Roman" w:hAnsi="Times New Roman"/>
          <w:color w:val="0070C0"/>
          <w:sz w:val="16"/>
          <w:szCs w:val="16"/>
        </w:rPr>
        <w:t>а</w:t>
      </w:r>
      <w:r w:rsidRPr="006B74EB">
        <w:rPr>
          <w:rFonts w:ascii="Times New Roman" w:hAnsi="Times New Roman"/>
          <w:color w:val="0070C0"/>
          <w:sz w:val="16"/>
          <w:szCs w:val="16"/>
        </w:rPr>
        <w:t>х</w:t>
      </w:r>
      <w:r>
        <w:rPr>
          <w:rFonts w:ascii="Times New Roman" w:hAnsi="Times New Roman"/>
          <w:color w:val="0070C0"/>
          <w:sz w:val="16"/>
          <w:szCs w:val="16"/>
        </w:rPr>
        <w:t>и</w:t>
      </w:r>
      <w:r w:rsidRPr="006B74EB">
        <w:rPr>
          <w:rFonts w:ascii="Times New Roman" w:hAnsi="Times New Roman"/>
          <w:color w:val="0070C0"/>
          <w:sz w:val="16"/>
          <w:szCs w:val="16"/>
        </w:rPr>
        <w:t>м</w:t>
      </w:r>
      <w:r>
        <w:rPr>
          <w:rFonts w:ascii="Times New Roman" w:hAnsi="Times New Roman"/>
          <w:color w:val="0070C0"/>
          <w:sz w:val="16"/>
          <w:szCs w:val="16"/>
        </w:rPr>
        <w:t>и</w:t>
      </w:r>
      <w:r w:rsidRPr="006B74EB">
        <w:rPr>
          <w:rFonts w:ascii="Times New Roman" w:hAnsi="Times New Roman"/>
          <w:color w:val="0070C0"/>
          <w:sz w:val="16"/>
          <w:szCs w:val="16"/>
        </w:rPr>
        <w:t>че</w:t>
      </w:r>
      <w:r>
        <w:rPr>
          <w:rFonts w:ascii="Times New Roman" w:hAnsi="Times New Roman"/>
          <w:color w:val="0070C0"/>
          <w:sz w:val="16"/>
          <w:szCs w:val="16"/>
        </w:rPr>
        <w:t>ск</w:t>
      </w:r>
      <w:r w:rsidRPr="006B74EB">
        <w:rPr>
          <w:rFonts w:ascii="Times New Roman" w:hAnsi="Times New Roman"/>
          <w:color w:val="0070C0"/>
          <w:sz w:val="16"/>
          <w:szCs w:val="16"/>
        </w:rPr>
        <w:t xml:space="preserve">ой </w:t>
      </w:r>
      <w:r>
        <w:rPr>
          <w:rFonts w:ascii="Times New Roman" w:hAnsi="Times New Roman"/>
          <w:color w:val="0070C0"/>
          <w:sz w:val="16"/>
          <w:szCs w:val="16"/>
        </w:rPr>
        <w:t>экспедиции по</w:t>
      </w:r>
      <w:r w:rsidRPr="006B74EB">
        <w:rPr>
          <w:rFonts w:ascii="Times New Roman" w:hAnsi="Times New Roman"/>
          <w:color w:val="0070C0"/>
          <w:sz w:val="16"/>
          <w:szCs w:val="16"/>
        </w:rPr>
        <w:t xml:space="preserve"> борьбе с лесными вредителями. Летчик Добролета </w:t>
      </w:r>
      <w:proofErr w:type="spellStart"/>
      <w:r w:rsidRPr="006B74EB">
        <w:rPr>
          <w:rFonts w:ascii="Times New Roman" w:hAnsi="Times New Roman"/>
          <w:color w:val="0070C0"/>
          <w:sz w:val="16"/>
          <w:szCs w:val="16"/>
        </w:rPr>
        <w:t>С.В.Лял</w:t>
      </w:r>
      <w:r>
        <w:rPr>
          <w:rFonts w:ascii="Times New Roman" w:hAnsi="Times New Roman"/>
          <w:color w:val="0070C0"/>
          <w:sz w:val="16"/>
          <w:szCs w:val="16"/>
        </w:rPr>
        <w:t>ин</w:t>
      </w:r>
      <w:proofErr w:type="spellEnd"/>
      <w:r w:rsidRPr="006B74EB">
        <w:rPr>
          <w:rFonts w:ascii="Times New Roman" w:hAnsi="Times New Roman"/>
          <w:color w:val="0070C0"/>
          <w:sz w:val="16"/>
          <w:szCs w:val="16"/>
        </w:rPr>
        <w:t xml:space="preserve"> на с</w:t>
      </w:r>
      <w:r>
        <w:rPr>
          <w:rFonts w:ascii="Times New Roman" w:hAnsi="Times New Roman"/>
          <w:color w:val="0070C0"/>
          <w:sz w:val="16"/>
          <w:szCs w:val="16"/>
        </w:rPr>
        <w:t>амолете Юн</w:t>
      </w:r>
      <w:r w:rsidRPr="006B74EB">
        <w:rPr>
          <w:rFonts w:ascii="Times New Roman" w:hAnsi="Times New Roman"/>
          <w:color w:val="0070C0"/>
          <w:sz w:val="16"/>
          <w:szCs w:val="16"/>
        </w:rPr>
        <w:t>керс-13 опылял кедровый лес на берегу Байкала,</w:t>
      </w:r>
      <w:r>
        <w:rPr>
          <w:rFonts w:ascii="Times New Roman" w:hAnsi="Times New Roman"/>
          <w:color w:val="0070C0"/>
          <w:sz w:val="16"/>
          <w:szCs w:val="16"/>
        </w:rPr>
        <w:t xml:space="preserve"> </w:t>
      </w:r>
      <w:r w:rsidRPr="006B74EB">
        <w:rPr>
          <w:rFonts w:ascii="Times New Roman" w:hAnsi="Times New Roman"/>
          <w:color w:val="0070C0"/>
          <w:sz w:val="16"/>
          <w:szCs w:val="16"/>
        </w:rPr>
        <w:t>заражен</w:t>
      </w:r>
      <w:r>
        <w:rPr>
          <w:rFonts w:ascii="Times New Roman" w:hAnsi="Times New Roman"/>
          <w:color w:val="0070C0"/>
          <w:sz w:val="16"/>
          <w:szCs w:val="16"/>
        </w:rPr>
        <w:t>ный шелко</w:t>
      </w:r>
      <w:r w:rsidRPr="006B74EB">
        <w:rPr>
          <w:rFonts w:ascii="Times New Roman" w:hAnsi="Times New Roman"/>
          <w:color w:val="0070C0"/>
          <w:sz w:val="16"/>
          <w:szCs w:val="16"/>
        </w:rPr>
        <w:t>прядом.</w:t>
      </w:r>
      <w:r>
        <w:rPr>
          <w:rFonts w:ascii="Times New Roman" w:hAnsi="Times New Roman"/>
          <w:color w:val="0070C0"/>
          <w:sz w:val="16"/>
          <w:szCs w:val="16"/>
        </w:rPr>
        <w:t xml:space="preserve"> </w:t>
      </w:r>
      <w:r w:rsidRPr="006B74EB">
        <w:rPr>
          <w:rFonts w:ascii="Times New Roman" w:hAnsi="Times New Roman"/>
          <w:color w:val="0070C0"/>
          <w:sz w:val="16"/>
          <w:szCs w:val="16"/>
        </w:rPr>
        <w:t>К концу июня было опылено 1500 гектаров заражен</w:t>
      </w:r>
      <w:r>
        <w:rPr>
          <w:rFonts w:ascii="Times New Roman" w:hAnsi="Times New Roman"/>
          <w:color w:val="0070C0"/>
          <w:sz w:val="16"/>
          <w:szCs w:val="16"/>
        </w:rPr>
        <w:t xml:space="preserve">ного </w:t>
      </w:r>
      <w:proofErr w:type="spellStart"/>
      <w:r>
        <w:rPr>
          <w:rFonts w:ascii="Times New Roman" w:hAnsi="Times New Roman"/>
          <w:color w:val="0070C0"/>
          <w:sz w:val="16"/>
          <w:szCs w:val="16"/>
        </w:rPr>
        <w:t>л</w:t>
      </w:r>
      <w:r w:rsidRPr="006B74EB">
        <w:rPr>
          <w:rFonts w:ascii="Times New Roman" w:hAnsi="Times New Roman"/>
          <w:color w:val="0070C0"/>
          <w:sz w:val="16"/>
          <w:szCs w:val="16"/>
        </w:rPr>
        <w:t>jeca</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С</w:t>
      </w:r>
      <w:r w:rsidRPr="006B74EB">
        <w:rPr>
          <w:rFonts w:ascii="Times New Roman" w:hAnsi="Times New Roman"/>
          <w:color w:val="0070C0"/>
          <w:sz w:val="16"/>
          <w:szCs w:val="16"/>
        </w:rPr>
        <w:t>мертность гусениц достигала 98%.</w:t>
      </w:r>
      <w:r>
        <w:rPr>
          <w:rFonts w:ascii="Times New Roman" w:hAnsi="Times New Roman"/>
          <w:color w:val="0070C0"/>
          <w:sz w:val="16"/>
          <w:szCs w:val="16"/>
        </w:rPr>
        <w:t xml:space="preserve"> </w:t>
      </w:r>
      <w:r w:rsidRPr="006B74EB">
        <w:rPr>
          <w:rFonts w:ascii="Times New Roman" w:hAnsi="Times New Roman"/>
          <w:color w:val="0070C0"/>
          <w:sz w:val="16"/>
          <w:szCs w:val="16"/>
        </w:rPr>
        <w:t>Опыт опыления с само</w:t>
      </w:r>
      <w:r>
        <w:rPr>
          <w:rFonts w:ascii="Times New Roman" w:hAnsi="Times New Roman"/>
          <w:color w:val="0070C0"/>
          <w:sz w:val="16"/>
          <w:szCs w:val="16"/>
        </w:rPr>
        <w:t>лета</w:t>
      </w:r>
      <w:r w:rsidRPr="006B74EB">
        <w:rPr>
          <w:rFonts w:ascii="Times New Roman" w:hAnsi="Times New Roman"/>
          <w:color w:val="0070C0"/>
          <w:sz w:val="16"/>
          <w:szCs w:val="16"/>
        </w:rPr>
        <w:t xml:space="preserve"> оказался высокопроизводительным и эффективным, был повторен </w:t>
      </w:r>
      <w:r>
        <w:rPr>
          <w:rFonts w:ascii="Times New Roman" w:hAnsi="Times New Roman"/>
          <w:color w:val="0070C0"/>
          <w:sz w:val="16"/>
          <w:szCs w:val="16"/>
        </w:rPr>
        <w:t>в последующие</w:t>
      </w:r>
      <w:r w:rsidRPr="006B74EB">
        <w:rPr>
          <w:rFonts w:ascii="Times New Roman" w:hAnsi="Times New Roman"/>
          <w:color w:val="0070C0"/>
          <w:sz w:val="16"/>
          <w:szCs w:val="16"/>
        </w:rPr>
        <w:t xml:space="preserve"> годы в более </w:t>
      </w:r>
      <w:r>
        <w:rPr>
          <w:rFonts w:ascii="Times New Roman" w:hAnsi="Times New Roman"/>
          <w:color w:val="0070C0"/>
          <w:sz w:val="16"/>
          <w:szCs w:val="16"/>
        </w:rPr>
        <w:t>ш</w:t>
      </w:r>
      <w:r w:rsidRPr="006B74EB">
        <w:rPr>
          <w:rFonts w:ascii="Times New Roman" w:hAnsi="Times New Roman"/>
          <w:color w:val="0070C0"/>
          <w:sz w:val="16"/>
          <w:szCs w:val="16"/>
        </w:rPr>
        <w:t>ироких мас</w:t>
      </w:r>
      <w:r>
        <w:rPr>
          <w:rFonts w:ascii="Times New Roman" w:hAnsi="Times New Roman"/>
          <w:color w:val="0070C0"/>
          <w:sz w:val="16"/>
          <w:szCs w:val="16"/>
        </w:rPr>
        <w:t>ш</w:t>
      </w:r>
      <w:r w:rsidRPr="006B74EB">
        <w:rPr>
          <w:rFonts w:ascii="Times New Roman" w:hAnsi="Times New Roman"/>
          <w:color w:val="0070C0"/>
          <w:sz w:val="16"/>
          <w:szCs w:val="16"/>
        </w:rPr>
        <w:t>табах.</w:t>
      </w:r>
    </w:p>
    <w:p w14:paraId="3722DA94" w14:textId="77777777" w:rsidR="00B14E97" w:rsidRDefault="00B14E97" w:rsidP="00B14E97">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w:t>
      </w:r>
      <w:r>
        <w:rPr>
          <w:rFonts w:ascii="Times New Roman" w:hAnsi="Times New Roman"/>
          <w:color w:val="0070C0"/>
          <w:sz w:val="16"/>
          <w:szCs w:val="16"/>
        </w:rPr>
        <w:t>Ави</w:t>
      </w:r>
      <w:r w:rsidRPr="006B74EB">
        <w:rPr>
          <w:rFonts w:ascii="Times New Roman" w:hAnsi="Times New Roman"/>
          <w:color w:val="0070C0"/>
          <w:sz w:val="16"/>
          <w:szCs w:val="16"/>
        </w:rPr>
        <w:t>ац</w:t>
      </w:r>
      <w:r>
        <w:rPr>
          <w:rFonts w:ascii="Times New Roman" w:hAnsi="Times New Roman"/>
          <w:color w:val="0070C0"/>
          <w:sz w:val="16"/>
          <w:szCs w:val="16"/>
        </w:rPr>
        <w:t>и</w:t>
      </w:r>
      <w:r w:rsidRPr="006B74EB">
        <w:rPr>
          <w:rFonts w:ascii="Times New Roman" w:hAnsi="Times New Roman"/>
          <w:color w:val="0070C0"/>
          <w:sz w:val="16"/>
          <w:szCs w:val="16"/>
        </w:rPr>
        <w:t xml:space="preserve">я и химия», 1929 № </w:t>
      </w:r>
      <w:r>
        <w:rPr>
          <w:rFonts w:ascii="Times New Roman" w:hAnsi="Times New Roman"/>
          <w:color w:val="0070C0"/>
          <w:sz w:val="16"/>
          <w:szCs w:val="16"/>
        </w:rPr>
        <w:t>10</w:t>
      </w:r>
      <w:r w:rsidRPr="006B74EB">
        <w:rPr>
          <w:rFonts w:ascii="Times New Roman" w:hAnsi="Times New Roman"/>
          <w:color w:val="0070C0"/>
          <w:sz w:val="16"/>
          <w:szCs w:val="16"/>
        </w:rPr>
        <w:t>/</w:t>
      </w:r>
      <w:r>
        <w:rPr>
          <w:rFonts w:ascii="Times New Roman" w:hAnsi="Times New Roman"/>
          <w:color w:val="0070C0"/>
          <w:sz w:val="16"/>
          <w:szCs w:val="16"/>
        </w:rPr>
        <w:t xml:space="preserve"> (23370).</w:t>
      </w:r>
    </w:p>
    <w:p w14:paraId="4F2831A9" w14:textId="77777777" w:rsidR="00B14E97" w:rsidRPr="006B74EB" w:rsidRDefault="00B14E97" w:rsidP="00B14E97">
      <w:pPr>
        <w:spacing w:after="0" w:line="240" w:lineRule="auto"/>
        <w:jc w:val="both"/>
        <w:rPr>
          <w:rFonts w:ascii="Times New Roman" w:hAnsi="Times New Roman"/>
          <w:color w:val="0070C0"/>
          <w:sz w:val="16"/>
          <w:szCs w:val="16"/>
        </w:rPr>
      </w:pPr>
    </w:p>
    <w:p w14:paraId="06689C7A"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76479C7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44B024F"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15 мая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ЦИК и СНК утвердили «Положение о постоянных комиссиях содействия государственному кредиту и сберегательному делу» (12265).</w:t>
      </w:r>
    </w:p>
    <w:p w14:paraId="3CA472A2"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0BCE73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мая 1929 г. состоялось первое заседание комиссии по выработке решений по конкретным областям использования труда заключенных. Выступления участников выявили наличие разногласий по вопросу о принадлежности создаваемой системы: на право руководства претендовали НКВД и ОГПУ. Последнее одержало верх, как ведомство, имевшее опыт создания и эксплуатации лагерей. На заседании стороны обсудили вопросы, связанные с практическим применением труда осужденных в сельском хозяйстве, на мелиоративных работах и дорожном строительстве (9043).</w:t>
      </w:r>
    </w:p>
    <w:p w14:paraId="0A3EC1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48EF63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lastRenderedPageBreak/>
        <w:t>За рубежом:</w:t>
      </w:r>
    </w:p>
    <w:p w14:paraId="1B87AB3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EC028A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мая 1929 из-за пожара в рентгеновском кабинете клиники в Кливленде (Огайо, США) 121 человек отравился ядовитыми газами (4962).</w:t>
      </w:r>
    </w:p>
    <w:p w14:paraId="6CE4A06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EA746D" w14:textId="77777777" w:rsidR="00B61327" w:rsidRPr="00A259BD" w:rsidRDefault="00B6132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мая в 1929 году пилот Паулин Пэрис на </w:t>
      </w:r>
      <w:hyperlink r:id="rId52" w:tgtFrame="_blank" w:history="1">
        <w:r w:rsidRPr="00A259BD">
          <w:rPr>
            <w:rFonts w:ascii="Times New Roman" w:hAnsi="Times New Roman"/>
            <w:color w:val="000000" w:themeColor="text1"/>
            <w:sz w:val="16"/>
            <w:szCs w:val="16"/>
          </w:rPr>
          <w:t xml:space="preserve">«CAMS 53-2» </w:t>
        </w:r>
      </w:hyperlink>
      <w:r w:rsidRPr="00A259BD">
        <w:rPr>
          <w:rFonts w:ascii="Times New Roman" w:hAnsi="Times New Roman"/>
          <w:color w:val="000000" w:themeColor="text1"/>
          <w:sz w:val="16"/>
          <w:szCs w:val="16"/>
        </w:rPr>
        <w:t>побил свой собственный рекорд высоты для тяжелых летающих лодок достигнув отметки 4827 метра (14892).</w:t>
      </w:r>
    </w:p>
    <w:p w14:paraId="52812761" w14:textId="77777777" w:rsidR="00B61327" w:rsidRPr="00A259BD" w:rsidRDefault="00B61327" w:rsidP="009236E3">
      <w:pPr>
        <w:spacing w:after="0" w:line="240" w:lineRule="auto"/>
        <w:jc w:val="both"/>
        <w:rPr>
          <w:rFonts w:ascii="Times New Roman" w:hAnsi="Times New Roman"/>
          <w:color w:val="000000" w:themeColor="text1"/>
          <w:sz w:val="16"/>
          <w:szCs w:val="16"/>
        </w:rPr>
      </w:pPr>
    </w:p>
    <w:p w14:paraId="3FD08D6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ECD881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DEB25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середине мая 1929 РОМ-1 подготовили к полетам, затем, после облета, перегнали в Севастополь. 17 июня 1929 г. помощник начальника ВВС Красной армии Я.И. Алкснис издал приказ о проведении государственных испытаний РОМ-1, Р0М-2 и МР-5. Одновременно для опре</w:t>
      </w:r>
      <w:r w:rsidRPr="00A259BD">
        <w:rPr>
          <w:rFonts w:ascii="Times New Roman" w:hAnsi="Times New Roman"/>
          <w:color w:val="000000" w:themeColor="text1"/>
          <w:sz w:val="16"/>
          <w:szCs w:val="16"/>
        </w:rPr>
        <w:softHyphen/>
        <w:t>деления дальнейшей судьбы этих самолетов организовали комиссию под председатель</w:t>
      </w:r>
      <w:r w:rsidRPr="00A259BD">
        <w:rPr>
          <w:rFonts w:ascii="Times New Roman" w:hAnsi="Times New Roman"/>
          <w:color w:val="000000" w:themeColor="text1"/>
          <w:sz w:val="16"/>
          <w:szCs w:val="16"/>
        </w:rPr>
        <w:softHyphen/>
        <w:t xml:space="preserve">ством начальника ВВС Черного моря В.К. Лаврова. В состав комиссии вошли постоянный член НТК Н.М. Тулупов и </w:t>
      </w:r>
      <w:proofErr w:type="spellStart"/>
      <w:r w:rsidRPr="00A259BD">
        <w:rPr>
          <w:rFonts w:ascii="Times New Roman" w:hAnsi="Times New Roman"/>
          <w:color w:val="000000" w:themeColor="text1"/>
          <w:sz w:val="16"/>
          <w:szCs w:val="16"/>
        </w:rPr>
        <w:t>инженерК.Н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Ганулич</w:t>
      </w:r>
      <w:proofErr w:type="spellEnd"/>
      <w:r w:rsidRPr="00A259BD">
        <w:rPr>
          <w:rFonts w:ascii="Times New Roman" w:hAnsi="Times New Roman"/>
          <w:color w:val="000000" w:themeColor="text1"/>
          <w:sz w:val="16"/>
          <w:szCs w:val="16"/>
        </w:rPr>
        <w:t xml:space="preserve"> (11978).</w:t>
      </w:r>
    </w:p>
    <w:p w14:paraId="710CD0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9AC6C8" w14:textId="77777777" w:rsidR="008456F2" w:rsidRPr="00A259BD" w:rsidRDefault="008456F2"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В середине мая 1929 РОМ-1 под</w:t>
      </w:r>
      <w:r w:rsidRPr="00A259BD">
        <w:rPr>
          <w:rFonts w:ascii="Times New Roman" w:cs="Times New Roman"/>
          <w:color w:val="000000" w:themeColor="text1"/>
          <w:sz w:val="16"/>
          <w:szCs w:val="16"/>
        </w:rPr>
        <w:softHyphen/>
        <w:t>готовили к полетам, затем, после облета, перегнали в Севастополь. 17 июня 1929 г. помощник начальника ВВС Красной Армии Я.И. Алкснис издал приказ о проведении государ</w:t>
      </w:r>
      <w:r w:rsidRPr="00A259BD">
        <w:rPr>
          <w:rFonts w:ascii="Times New Roman" w:cs="Times New Roman"/>
          <w:color w:val="000000" w:themeColor="text1"/>
          <w:sz w:val="16"/>
          <w:szCs w:val="16"/>
        </w:rPr>
        <w:softHyphen/>
        <w:t>ственных испытаний РОМ-1, РОМ-2 и МР-5 (12609).</w:t>
      </w:r>
    </w:p>
    <w:p w14:paraId="33C8B34F" w14:textId="77777777" w:rsidR="008456F2" w:rsidRPr="00A259BD" w:rsidRDefault="008456F2" w:rsidP="009236E3">
      <w:pPr>
        <w:pStyle w:val="45"/>
        <w:shd w:val="clear" w:color="auto" w:fill="auto"/>
        <w:spacing w:before="0" w:line="240" w:lineRule="auto"/>
        <w:jc w:val="both"/>
        <w:rPr>
          <w:rFonts w:ascii="Times New Roman" w:cs="Times New Roman"/>
          <w:color w:val="000000" w:themeColor="text1"/>
          <w:sz w:val="16"/>
          <w:szCs w:val="16"/>
        </w:rPr>
      </w:pPr>
    </w:p>
    <w:p w14:paraId="3593B09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DE9A6D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7B2126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16 по 28 мая 1929 в НИИ ВВС проходили испытания пассажирского самолета АНТ9 с тремя моторами “ТИТАН” 230 л.с.</w:t>
      </w:r>
    </w:p>
    <w:p w14:paraId="55787E7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испытаний пассажирского самолета АНТ9 с тремя моторами “ТИТАН” 230 л.с.</w:t>
      </w:r>
    </w:p>
    <w:p w14:paraId="0A976F0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Постройки АГОС ЦАГИ</w:t>
      </w:r>
    </w:p>
    <w:p w14:paraId="6E8BE97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Начало испытания 16 мая 1929 года</w:t>
      </w:r>
    </w:p>
    <w:p w14:paraId="0888465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 испытаний 28 мая 1929 года</w:t>
      </w:r>
    </w:p>
    <w:p w14:paraId="6EFFFFE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Самолет АНТ9 </w:t>
      </w:r>
      <w:proofErr w:type="spellStart"/>
      <w:r w:rsidRPr="00A259BD">
        <w:rPr>
          <w:rFonts w:ascii="Times New Roman" w:hAnsi="Times New Roman"/>
          <w:color w:val="000000" w:themeColor="text1"/>
          <w:sz w:val="16"/>
          <w:szCs w:val="16"/>
        </w:rPr>
        <w:t>кольчугаллюминиевой</w:t>
      </w:r>
      <w:proofErr w:type="spellEnd"/>
      <w:r w:rsidRPr="00A259BD">
        <w:rPr>
          <w:rFonts w:ascii="Times New Roman" w:hAnsi="Times New Roman"/>
          <w:color w:val="000000" w:themeColor="text1"/>
          <w:sz w:val="16"/>
          <w:szCs w:val="16"/>
        </w:rPr>
        <w:t xml:space="preserve"> конструкции, свободнонесущий моноплан с высокопоставленным на уровне верха фюзеляжа крылом.</w:t>
      </w:r>
    </w:p>
    <w:p w14:paraId="6E08270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Кабина пилота спереди вся застеклена, с боков открыта. Управление штурвальное двойное.</w:t>
      </w:r>
    </w:p>
    <w:p w14:paraId="49CD9AF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6FBFFAA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3300E17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может быть вполне рекомендован к использованию на воздушных линиях (6972).</w:t>
      </w:r>
    </w:p>
    <w:p w14:paraId="43D58C2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6FC2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мая 1929 начались и 28 мая 1929 закончились гос. испытания АНТ-9 в НИИ ВВС (522,4).</w:t>
      </w:r>
    </w:p>
    <w:p w14:paraId="448ABF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9E94A2A" w14:textId="77777777" w:rsidR="00B61327" w:rsidRPr="00A259BD" w:rsidRDefault="00B61327"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16 мая</w:t>
      </w:r>
      <w:r w:rsidRPr="00A259BD">
        <w:rPr>
          <w:rFonts w:ascii="Times New Roman" w:hAnsi="Times New Roman"/>
          <w:color w:val="000000" w:themeColor="text1"/>
          <w:sz w:val="16"/>
          <w:szCs w:val="16"/>
        </w:rPr>
        <w:t xml:space="preserve"> в 1929 году начались государственные испытания </w:t>
      </w:r>
      <w:hyperlink r:id="rId53" w:tgtFrame="_blank" w:history="1">
        <w:r w:rsidRPr="00A259BD">
          <w:rPr>
            <w:rFonts w:ascii="Times New Roman" w:hAnsi="Times New Roman"/>
            <w:color w:val="000000" w:themeColor="text1"/>
            <w:sz w:val="16"/>
            <w:szCs w:val="16"/>
          </w:rPr>
          <w:t xml:space="preserve">«АНТ-9» </w:t>
        </w:r>
      </w:hyperlink>
      <w:r w:rsidRPr="00A259BD">
        <w:rPr>
          <w:rFonts w:ascii="Times New Roman" w:hAnsi="Times New Roman"/>
          <w:color w:val="000000" w:themeColor="text1"/>
          <w:sz w:val="16"/>
          <w:szCs w:val="16"/>
        </w:rPr>
        <w:t xml:space="preserve">в НИИ ВВС. Машину пилотировал Громов, летнабом у него был инженер </w:t>
      </w:r>
      <w:proofErr w:type="spellStart"/>
      <w:r w:rsidRPr="00A259BD">
        <w:rPr>
          <w:rFonts w:ascii="Times New Roman" w:hAnsi="Times New Roman"/>
          <w:color w:val="000000" w:themeColor="text1"/>
          <w:sz w:val="16"/>
          <w:szCs w:val="16"/>
        </w:rPr>
        <w:t>Стоман</w:t>
      </w:r>
      <w:proofErr w:type="spellEnd"/>
      <w:r w:rsidRPr="00A259BD">
        <w:rPr>
          <w:rFonts w:ascii="Times New Roman" w:hAnsi="Times New Roman"/>
          <w:color w:val="000000" w:themeColor="text1"/>
          <w:sz w:val="16"/>
          <w:szCs w:val="16"/>
        </w:rPr>
        <w:t>. Испытания шли до 28 мая. Отзыв НИИ был вполне положительным. Отмечалось, что самолет устойчив, усилия на органах управления небольшие, тенденций к сваливанию и самопроизвольным разворотам нет. Хотя по своим данным «АНТ-9» не полностью соответствовал техническому заданию (не выполнялись требования по скороподъемности выше 1500 м, практическому потолку и дистанции разбега), общая оценка в отчете НИИ звучала так: "Как по скоростям, так и по скороподъемности самолет «АНТ-9» представляет собой очень хороший пассажирский самолет и в некоторых качествах имеет несомненное преимущество перед лучшими заграничными аналогичными по мощности самолетами". На снимке «АНТ-9» на Красной площади (14893).</w:t>
      </w:r>
    </w:p>
    <w:p w14:paraId="25CEE4B5" w14:textId="77777777" w:rsidR="00B61327" w:rsidRPr="00A259BD" w:rsidRDefault="00B61327" w:rsidP="009236E3">
      <w:pPr>
        <w:spacing w:after="0" w:line="240" w:lineRule="auto"/>
        <w:jc w:val="both"/>
        <w:rPr>
          <w:rFonts w:ascii="Times New Roman" w:hAnsi="Times New Roman"/>
          <w:color w:val="000000" w:themeColor="text1"/>
          <w:sz w:val="16"/>
          <w:szCs w:val="16"/>
        </w:rPr>
      </w:pPr>
    </w:p>
    <w:p w14:paraId="0D28B7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мая 1929 1 секция НТК УВВС (журнал 20с) утвердила результаты испытаний 2-го экз. П-2 М-6 Н.Н.П., изготовленного на заводе 25ю Машина поступила на гос. испытания в НИИ ВВС во второй половине февраля 1929 (2371).</w:t>
      </w:r>
    </w:p>
    <w:p w14:paraId="6E05B8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8B1A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мая 1929 г. в протоколе заседания Правления </w:t>
      </w:r>
      <w:proofErr w:type="spellStart"/>
      <w:r w:rsidRPr="00A259BD">
        <w:rPr>
          <w:rFonts w:ascii="Times New Roman" w:hAnsi="Times New Roman"/>
          <w:color w:val="000000" w:themeColor="text1"/>
          <w:sz w:val="16"/>
          <w:szCs w:val="16"/>
        </w:rPr>
        <w:t>Авиа</w:t>
      </w:r>
      <w:r w:rsidRPr="00A259BD">
        <w:rPr>
          <w:rFonts w:ascii="Times New Roman" w:hAnsi="Times New Roman"/>
          <w:color w:val="000000" w:themeColor="text1"/>
          <w:sz w:val="16"/>
          <w:szCs w:val="16"/>
        </w:rPr>
        <w:softHyphen/>
        <w:t>треста</w:t>
      </w:r>
      <w:proofErr w:type="spellEnd"/>
      <w:r w:rsidRPr="00A259BD">
        <w:rPr>
          <w:rFonts w:ascii="Times New Roman" w:hAnsi="Times New Roman"/>
          <w:color w:val="000000" w:themeColor="text1"/>
          <w:sz w:val="16"/>
          <w:szCs w:val="16"/>
        </w:rPr>
        <w:t xml:space="preserve"> заводу № 23 предписывалось предъявить к 1 ию</w:t>
      </w:r>
      <w:r w:rsidRPr="00A259BD">
        <w:rPr>
          <w:rFonts w:ascii="Times New Roman" w:hAnsi="Times New Roman"/>
          <w:color w:val="000000" w:themeColor="text1"/>
          <w:sz w:val="16"/>
          <w:szCs w:val="16"/>
        </w:rPr>
        <w:softHyphen/>
        <w:t>ня 58 У-1, 20 МУ-1 и только четыре У-2, а также сдать 46 И-2бис и 8 И-2. Всего за 1928/1929 операционный год удалось пост</w:t>
      </w:r>
      <w:r w:rsidRPr="00A259BD">
        <w:rPr>
          <w:rFonts w:ascii="Times New Roman" w:hAnsi="Times New Roman"/>
          <w:color w:val="000000" w:themeColor="text1"/>
          <w:sz w:val="16"/>
          <w:szCs w:val="16"/>
        </w:rPr>
        <w:softHyphen/>
        <w:t>роить 25 У-2, из которых 19 сдали заказчику. Первый се</w:t>
      </w:r>
      <w:r w:rsidRPr="00A259BD">
        <w:rPr>
          <w:rFonts w:ascii="Times New Roman" w:hAnsi="Times New Roman"/>
          <w:color w:val="000000" w:themeColor="text1"/>
          <w:sz w:val="16"/>
          <w:szCs w:val="16"/>
        </w:rPr>
        <w:softHyphen/>
        <w:t>рийный У-2 имел заводской номер 2257 (10667). За 1929/1930 г. предполагалось выпустить 70 У-2. За</w:t>
      </w:r>
      <w:r w:rsidRPr="00A259BD">
        <w:rPr>
          <w:rFonts w:ascii="Times New Roman" w:hAnsi="Times New Roman"/>
          <w:color w:val="000000" w:themeColor="text1"/>
          <w:sz w:val="16"/>
          <w:szCs w:val="16"/>
        </w:rPr>
        <w:softHyphen/>
        <w:t>тем план увеличили до 100 экземпляров, в число кото</w:t>
      </w:r>
      <w:r w:rsidRPr="00A259BD">
        <w:rPr>
          <w:rFonts w:ascii="Times New Roman" w:hAnsi="Times New Roman"/>
          <w:color w:val="000000" w:themeColor="text1"/>
          <w:sz w:val="16"/>
          <w:szCs w:val="16"/>
        </w:rPr>
        <w:softHyphen/>
        <w:t>рых включили недодел за предыдущий операционный год и еще 10 машин для Добролета. Для массового производства У-2 был заново пере</w:t>
      </w:r>
      <w:r w:rsidRPr="00A259BD">
        <w:rPr>
          <w:rFonts w:ascii="Times New Roman" w:hAnsi="Times New Roman"/>
          <w:color w:val="000000" w:themeColor="text1"/>
          <w:sz w:val="16"/>
          <w:szCs w:val="16"/>
        </w:rPr>
        <w:softHyphen/>
        <w:t>считан, доработаны с учетом опыта эксплуатации неко</w:t>
      </w:r>
      <w:r w:rsidRPr="00A259BD">
        <w:rPr>
          <w:rFonts w:ascii="Times New Roman" w:hAnsi="Times New Roman"/>
          <w:color w:val="000000" w:themeColor="text1"/>
          <w:sz w:val="16"/>
          <w:szCs w:val="16"/>
        </w:rPr>
        <w:softHyphen/>
        <w:t xml:space="preserve">торые узлы и агрегаты. От небольшого </w:t>
      </w:r>
      <w:proofErr w:type="spellStart"/>
      <w:r w:rsidRPr="00A259BD">
        <w:rPr>
          <w:rFonts w:ascii="Times New Roman" w:hAnsi="Times New Roman"/>
          <w:color w:val="000000" w:themeColor="text1"/>
          <w:sz w:val="16"/>
          <w:szCs w:val="16"/>
        </w:rPr>
        <w:t>заголовника</w:t>
      </w:r>
      <w:proofErr w:type="spellEnd"/>
      <w:r w:rsidRPr="00A259BD">
        <w:rPr>
          <w:rFonts w:ascii="Times New Roman" w:hAnsi="Times New Roman"/>
          <w:color w:val="000000" w:themeColor="text1"/>
          <w:sz w:val="16"/>
          <w:szCs w:val="16"/>
        </w:rPr>
        <w:t xml:space="preserve"> задней кабины отказались, иной стала конструкция но</w:t>
      </w:r>
      <w:r w:rsidRPr="00A259BD">
        <w:rPr>
          <w:rFonts w:ascii="Times New Roman" w:hAnsi="Times New Roman"/>
          <w:color w:val="000000" w:themeColor="text1"/>
          <w:sz w:val="16"/>
          <w:szCs w:val="16"/>
        </w:rPr>
        <w:softHyphen/>
        <w:t>совой части фюзеляжа и капота двигателя. Самолет приобрел свой известный по многочисленным фото</w:t>
      </w:r>
      <w:r w:rsidRPr="00A259BD">
        <w:rPr>
          <w:rFonts w:ascii="Times New Roman" w:hAnsi="Times New Roman"/>
          <w:color w:val="000000" w:themeColor="text1"/>
          <w:sz w:val="16"/>
          <w:szCs w:val="16"/>
        </w:rPr>
        <w:softHyphen/>
        <w:t>снимкам и кинофильмам вид. Эти работы выполнялись молодыми инженерами завода № 23 Розановым и Мос</w:t>
      </w:r>
      <w:r w:rsidRPr="00A259BD">
        <w:rPr>
          <w:rFonts w:ascii="Times New Roman" w:hAnsi="Times New Roman"/>
          <w:color w:val="000000" w:themeColor="text1"/>
          <w:sz w:val="16"/>
          <w:szCs w:val="16"/>
        </w:rPr>
        <w:softHyphen/>
        <w:t xml:space="preserve">калевым под общим руководством </w:t>
      </w:r>
      <w:proofErr w:type="spellStart"/>
      <w:r w:rsidRPr="00A259BD">
        <w:rPr>
          <w:rFonts w:ascii="Times New Roman" w:hAnsi="Times New Roman"/>
          <w:color w:val="000000" w:themeColor="text1"/>
          <w:sz w:val="16"/>
          <w:szCs w:val="16"/>
        </w:rPr>
        <w:t>Н.Н.Поликарпова</w:t>
      </w:r>
      <w:proofErr w:type="spellEnd"/>
      <w:r w:rsidRPr="00A259BD">
        <w:rPr>
          <w:rFonts w:ascii="Times New Roman" w:hAnsi="Times New Roman"/>
          <w:color w:val="000000" w:themeColor="text1"/>
          <w:sz w:val="16"/>
          <w:szCs w:val="16"/>
        </w:rPr>
        <w:t>. После проведения испытаний У-2 был немедленно вне</w:t>
      </w:r>
      <w:r w:rsidRPr="00A259BD">
        <w:rPr>
          <w:rFonts w:ascii="Times New Roman" w:hAnsi="Times New Roman"/>
          <w:color w:val="000000" w:themeColor="text1"/>
          <w:sz w:val="16"/>
          <w:szCs w:val="16"/>
        </w:rPr>
        <w:softHyphen/>
        <w:t>дрен в массовое производство (10667). С годами предпринимались попытки улучшить лет</w:t>
      </w:r>
      <w:r w:rsidRPr="00A259BD">
        <w:rPr>
          <w:rFonts w:ascii="Times New Roman" w:hAnsi="Times New Roman"/>
          <w:color w:val="000000" w:themeColor="text1"/>
          <w:sz w:val="16"/>
          <w:szCs w:val="16"/>
        </w:rPr>
        <w:softHyphen/>
        <w:t xml:space="preserve">ные характеристики У-2. В 1935 г. завод № 23 выпустил на испытания построенный под руководством </w:t>
      </w:r>
      <w:proofErr w:type="spellStart"/>
      <w:r w:rsidRPr="00A259BD">
        <w:rPr>
          <w:rFonts w:ascii="Times New Roman" w:hAnsi="Times New Roman"/>
          <w:color w:val="000000" w:themeColor="text1"/>
          <w:sz w:val="16"/>
          <w:szCs w:val="16"/>
        </w:rPr>
        <w:t>Н.Г.Ми-хельсона</w:t>
      </w:r>
      <w:proofErr w:type="spellEnd"/>
      <w:r w:rsidRPr="00A259BD">
        <w:rPr>
          <w:rFonts w:ascii="Times New Roman" w:hAnsi="Times New Roman"/>
          <w:color w:val="000000" w:themeColor="text1"/>
          <w:sz w:val="16"/>
          <w:szCs w:val="16"/>
        </w:rPr>
        <w:t xml:space="preserve"> самолет, названный в документации “У-2 экс</w:t>
      </w:r>
      <w:r w:rsidRPr="00A259BD">
        <w:rPr>
          <w:rFonts w:ascii="Times New Roman" w:hAnsi="Times New Roman"/>
          <w:color w:val="000000" w:themeColor="text1"/>
          <w:sz w:val="16"/>
          <w:szCs w:val="16"/>
        </w:rPr>
        <w:softHyphen/>
        <w:t>периментальный”. Его основные отличия заключались в использовании симметричного профиля крыла, изме</w:t>
      </w:r>
      <w:r w:rsidRPr="00A259BD">
        <w:rPr>
          <w:rFonts w:ascii="Times New Roman" w:hAnsi="Times New Roman"/>
          <w:color w:val="000000" w:themeColor="text1"/>
          <w:sz w:val="16"/>
          <w:szCs w:val="16"/>
        </w:rPr>
        <w:softHyphen/>
        <w:t>ненной топливной системы, допускавшей длительный перевернутый полет, посадочных щитков, установлен</w:t>
      </w:r>
      <w:r w:rsidRPr="00A259BD">
        <w:rPr>
          <w:rFonts w:ascii="Times New Roman" w:hAnsi="Times New Roman"/>
          <w:color w:val="000000" w:themeColor="text1"/>
          <w:sz w:val="16"/>
          <w:szCs w:val="16"/>
        </w:rPr>
        <w:softHyphen/>
        <w:t>ных на нижнем крыле. В 1935 г. самолет участвовал во Всесоюзном перелете легких машин и показал там хоро</w:t>
      </w:r>
      <w:r w:rsidRPr="00A259BD">
        <w:rPr>
          <w:rFonts w:ascii="Times New Roman" w:hAnsi="Times New Roman"/>
          <w:color w:val="000000" w:themeColor="text1"/>
          <w:sz w:val="16"/>
          <w:szCs w:val="16"/>
        </w:rPr>
        <w:softHyphen/>
        <w:t>шие качества. Темпы выпуска У-2 в 1930-1933 гг. непрерывно воз</w:t>
      </w:r>
      <w:r w:rsidRPr="00A259BD">
        <w:rPr>
          <w:rFonts w:ascii="Times New Roman" w:hAnsi="Times New Roman"/>
          <w:color w:val="000000" w:themeColor="text1"/>
          <w:sz w:val="16"/>
          <w:szCs w:val="16"/>
        </w:rPr>
        <w:softHyphen/>
        <w:t>растали). За 1933 г. удалось построить 1381 машину это</w:t>
      </w:r>
      <w:r w:rsidRPr="00A259BD">
        <w:rPr>
          <w:rFonts w:ascii="Times New Roman" w:hAnsi="Times New Roman"/>
          <w:color w:val="000000" w:themeColor="text1"/>
          <w:sz w:val="16"/>
          <w:szCs w:val="16"/>
        </w:rPr>
        <w:softHyphen/>
        <w:t>го типа, а в 1938 г. был достигнут максимальный годовой темп в предвоенный период — 2016 самолетов. С конца 1939 г. завод № 23 высвобождался для выпу</w:t>
      </w:r>
      <w:r w:rsidRPr="00A259BD">
        <w:rPr>
          <w:rFonts w:ascii="Times New Roman" w:hAnsi="Times New Roman"/>
          <w:color w:val="000000" w:themeColor="text1"/>
          <w:sz w:val="16"/>
          <w:szCs w:val="16"/>
        </w:rPr>
        <w:softHyphen/>
        <w:t>ска боевой техники, а производство У-2 передавалось на другой ленинградский авиационный завод — № 387. Од</w:t>
      </w:r>
      <w:r w:rsidRPr="00A259BD">
        <w:rPr>
          <w:rFonts w:ascii="Times New Roman" w:hAnsi="Times New Roman"/>
          <w:color w:val="000000" w:themeColor="text1"/>
          <w:sz w:val="16"/>
          <w:szCs w:val="16"/>
        </w:rPr>
        <w:softHyphen/>
        <w:t>нако в 1940-1941 гг. завод № 23 успел построить еще около десятка У-2. Завод № 387 располагался вблизи Корпусного аэро</w:t>
      </w:r>
      <w:r w:rsidRPr="00A259BD">
        <w:rPr>
          <w:rFonts w:ascii="Times New Roman" w:hAnsi="Times New Roman"/>
          <w:color w:val="000000" w:themeColor="text1"/>
          <w:sz w:val="16"/>
          <w:szCs w:val="16"/>
        </w:rPr>
        <w:softHyphen/>
        <w:t>дрома. В 1940 г. он выпустил 50 У-2. В 1941 г. этот завод был эвакуирован в Казань, где постройка У-2 в различных модификациях осуществлялась до 1953 г. В 1943 г. к производству У-2 подключились заводы № 464 в Долгопрудном и № 471 в Шумерле. (10667).</w:t>
      </w:r>
    </w:p>
    <w:p w14:paraId="2F7202D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E2CD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мая 1929 в докладе начштаба РККА </w:t>
      </w:r>
      <w:proofErr w:type="spellStart"/>
      <w:r w:rsidRPr="00A259BD">
        <w:rPr>
          <w:rFonts w:ascii="Times New Roman" w:hAnsi="Times New Roman"/>
          <w:color w:val="000000" w:themeColor="text1"/>
          <w:sz w:val="16"/>
          <w:szCs w:val="16"/>
        </w:rPr>
        <w:t>Б.М.Шапошникова</w:t>
      </w:r>
      <w:proofErr w:type="spellEnd"/>
      <w:r w:rsidRPr="00A259BD">
        <w:rPr>
          <w:rFonts w:ascii="Times New Roman" w:hAnsi="Times New Roman"/>
          <w:color w:val="000000" w:themeColor="text1"/>
          <w:sz w:val="16"/>
          <w:szCs w:val="16"/>
        </w:rPr>
        <w:t xml:space="preserve"> на заседании РВС отмечалось, что темп опытного строительства и НИР в области авиамоторостроения, </w:t>
      </w:r>
      <w:proofErr w:type="spellStart"/>
      <w:r w:rsidRPr="00A259BD">
        <w:rPr>
          <w:rFonts w:ascii="Times New Roman" w:hAnsi="Times New Roman"/>
          <w:color w:val="000000" w:themeColor="text1"/>
          <w:sz w:val="16"/>
          <w:szCs w:val="16"/>
        </w:rPr>
        <w:t>гитдросамолетостроения</w:t>
      </w:r>
      <w:proofErr w:type="spellEnd"/>
      <w:r w:rsidRPr="00A259BD">
        <w:rPr>
          <w:rFonts w:ascii="Times New Roman" w:hAnsi="Times New Roman"/>
          <w:color w:val="000000" w:themeColor="text1"/>
          <w:sz w:val="16"/>
          <w:szCs w:val="16"/>
        </w:rPr>
        <w:t>, авиационного вооружения, фото- и радиооборудования, а также авиационных топлив - не обеспечивают потребности ВВС. Несколько лучше в самолетостроении, но сроки проектирования и перехода к серийному производству - недопустимо велики" (66,150).</w:t>
      </w:r>
    </w:p>
    <w:p w14:paraId="6EE0CC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Докладывал и </w:t>
      </w:r>
      <w:proofErr w:type="spellStart"/>
      <w:r w:rsidRPr="00A259BD">
        <w:rPr>
          <w:rFonts w:ascii="Times New Roman" w:hAnsi="Times New Roman"/>
          <w:color w:val="000000" w:themeColor="text1"/>
          <w:sz w:val="16"/>
          <w:szCs w:val="16"/>
        </w:rPr>
        <w:t>П.И.Баранов</w:t>
      </w:r>
      <w:proofErr w:type="spellEnd"/>
      <w:r w:rsidRPr="00A259BD">
        <w:rPr>
          <w:rFonts w:ascii="Times New Roman" w:hAnsi="Times New Roman"/>
          <w:color w:val="000000" w:themeColor="text1"/>
          <w:sz w:val="16"/>
          <w:szCs w:val="16"/>
        </w:rPr>
        <w:t xml:space="preserve"> как начальник ВВС и было принято постановление о развитии научно-технической базы военной авиации (373,78).</w:t>
      </w:r>
    </w:p>
    <w:p w14:paraId="411427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Пожалуй поздновато, ведь Д.П.Г. и Н.Н.П. с основными сотрудниками уже сидели, хотя это могло инициировать КБ-ВТ</w:t>
      </w:r>
    </w:p>
    <w:p w14:paraId="3D4975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30FFD1" w14:textId="77777777" w:rsidR="004B3E82" w:rsidRPr="00A259BD" w:rsidRDefault="004B3E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мая 1929 г. один из разработчиков тягача НАМИ для работы по снежному аэродрому – А. С. Кузин доложил соратникам ход работ. В этой связи в протоколе № 76 коллегии НАМИ было зафиксировано решение о необходимости просить ВВС указать, что должен эксплуатироваться тягач «по снежной целине, по снежному твёрдому грунту, или осеннему бездорожью или же летней дороге», так как предварительные опыты показали, что «при работе в тяжёлых зимних условиях тягач может быть неудовлетворительным» (18640).</w:t>
      </w:r>
    </w:p>
    <w:p w14:paraId="60D2C639" w14:textId="77777777" w:rsidR="004B3E82" w:rsidRPr="00A259BD" w:rsidRDefault="004B3E82" w:rsidP="009236E3">
      <w:pPr>
        <w:spacing w:after="0" w:line="240" w:lineRule="auto"/>
        <w:jc w:val="both"/>
        <w:rPr>
          <w:rFonts w:ascii="Times New Roman" w:hAnsi="Times New Roman"/>
          <w:color w:val="000000" w:themeColor="text1"/>
          <w:sz w:val="16"/>
          <w:szCs w:val="16"/>
        </w:rPr>
      </w:pPr>
    </w:p>
    <w:p w14:paraId="110B559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AE0713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64AE51"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16 мая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Политбюро ЦК ВКП (б) приняло постановление о положении строительного дела в текущем строительном сезоне, обратив особое внимание на создание постоянных кадров строительных рабочих, увеличение производства стройматериалов и улучшение организации строительных работ; одобрило план кредитования промышленности на III квартал 1928/29 г., предложив увеличить ассигнования ВСНХ для ускорения строительства Сталинградского тракторного завода (12265).</w:t>
      </w:r>
    </w:p>
    <w:p w14:paraId="248010CD"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СНК принял постановление «Об образовании при ВСНХ СССР Междуведомственного совета по техническому образованию» (12265).</w:t>
      </w:r>
    </w:p>
    <w:p w14:paraId="601144DD"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118BBB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мая 1929 г. на совещании вы</w:t>
      </w:r>
      <w:r w:rsidRPr="00A259BD">
        <w:rPr>
          <w:rFonts w:ascii="Times New Roman" w:hAnsi="Times New Roman"/>
          <w:color w:val="000000" w:themeColor="text1"/>
          <w:sz w:val="16"/>
          <w:szCs w:val="16"/>
        </w:rPr>
        <w:softHyphen/>
        <w:t>сших морских начальников был одобрен эскизный проект телеуправляемого катера, который разрабатывался кораблестроительной секцией НТК под ру</w:t>
      </w:r>
      <w:r w:rsidRPr="00A259BD">
        <w:rPr>
          <w:rFonts w:ascii="Times New Roman" w:hAnsi="Times New Roman"/>
          <w:color w:val="000000" w:themeColor="text1"/>
          <w:sz w:val="16"/>
          <w:szCs w:val="16"/>
        </w:rPr>
        <w:softHyphen/>
        <w:t>ководством Ю. А. Шиманского. Отметив недостаточ</w:t>
      </w:r>
      <w:r w:rsidRPr="00A259BD">
        <w:rPr>
          <w:rFonts w:ascii="Times New Roman" w:hAnsi="Times New Roman"/>
          <w:color w:val="000000" w:themeColor="text1"/>
          <w:sz w:val="16"/>
          <w:szCs w:val="16"/>
        </w:rPr>
        <w:softHyphen/>
        <w:t>ную скорость (30 уз), совещание все же утвердило постройку двух катеров по этому проекту (3898).</w:t>
      </w:r>
    </w:p>
    <w:p w14:paraId="38A73E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1B877B"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22921F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0A02D7" w14:textId="77777777" w:rsidR="00B61327" w:rsidRPr="00A259BD" w:rsidRDefault="00B61327"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16 мая</w:t>
      </w:r>
      <w:r w:rsidRPr="00A259BD">
        <w:rPr>
          <w:rFonts w:ascii="Times New Roman" w:hAnsi="Times New Roman"/>
          <w:color w:val="000000" w:themeColor="text1"/>
          <w:sz w:val="16"/>
          <w:szCs w:val="16"/>
        </w:rPr>
        <w:t xml:space="preserve"> в 1929 году впервые поднялся в воздух </w:t>
      </w:r>
      <w:hyperlink r:id="rId54" w:tgtFrame="_blank" w:history="1">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Fairey</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Fleetwing</w:t>
        </w:r>
        <w:proofErr w:type="spellEnd"/>
        <w:r w:rsidRPr="00A259BD">
          <w:rPr>
            <w:rFonts w:ascii="Times New Roman" w:hAnsi="Times New Roman"/>
            <w:color w:val="000000" w:themeColor="text1"/>
            <w:sz w:val="16"/>
            <w:szCs w:val="16"/>
          </w:rPr>
          <w:t xml:space="preserve">» </w:t>
        </w:r>
      </w:hyperlink>
      <w:r w:rsidRPr="00A259BD">
        <w:rPr>
          <w:rFonts w:ascii="Times New Roman" w:hAnsi="Times New Roman"/>
          <w:color w:val="000000" w:themeColor="text1"/>
          <w:sz w:val="16"/>
          <w:szCs w:val="16"/>
        </w:rPr>
        <w:t>- двухместный истребитель-разведчик, разработанный «</w:t>
      </w:r>
      <w:proofErr w:type="spellStart"/>
      <w:r w:rsidRPr="00A259BD">
        <w:rPr>
          <w:rFonts w:ascii="Times New Roman" w:hAnsi="Times New Roman"/>
          <w:color w:val="000000" w:themeColor="text1"/>
          <w:sz w:val="16"/>
          <w:szCs w:val="16"/>
        </w:rPr>
        <w:t>Marcel</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Lobel</w:t>
      </w:r>
      <w:proofErr w:type="spellEnd"/>
      <w:r w:rsidRPr="00A259BD">
        <w:rPr>
          <w:rFonts w:ascii="Times New Roman" w:hAnsi="Times New Roman"/>
          <w:color w:val="000000" w:themeColor="text1"/>
          <w:sz w:val="16"/>
          <w:szCs w:val="16"/>
        </w:rPr>
        <w:t>». На нем стоял двигатель «Rolls-Royce» «F.XI» («</w:t>
      </w:r>
      <w:proofErr w:type="spellStart"/>
      <w:r w:rsidRPr="00A259BD">
        <w:rPr>
          <w:rFonts w:ascii="Times New Roman" w:hAnsi="Times New Roman"/>
          <w:color w:val="000000" w:themeColor="text1"/>
          <w:sz w:val="16"/>
          <w:szCs w:val="16"/>
        </w:rPr>
        <w:t>Kestrel</w:t>
      </w:r>
      <w:proofErr w:type="spellEnd"/>
      <w:r w:rsidRPr="00A259BD">
        <w:rPr>
          <w:rFonts w:ascii="Times New Roman" w:hAnsi="Times New Roman"/>
          <w:color w:val="000000" w:themeColor="text1"/>
          <w:sz w:val="16"/>
          <w:szCs w:val="16"/>
        </w:rPr>
        <w:t xml:space="preserve"> I») мощностью 480 л.с. Перед комплексными испытаниями в июне 1929 года двигатель заменили на более мощный – «Rolls-Royce» «</w:t>
      </w:r>
      <w:proofErr w:type="spellStart"/>
      <w:r w:rsidRPr="00A259BD">
        <w:rPr>
          <w:rFonts w:ascii="Times New Roman" w:hAnsi="Times New Roman"/>
          <w:color w:val="000000" w:themeColor="text1"/>
          <w:sz w:val="16"/>
          <w:szCs w:val="16"/>
        </w:rPr>
        <w:t>Kestrel</w:t>
      </w:r>
      <w:proofErr w:type="spellEnd"/>
      <w:r w:rsidRPr="00A259BD">
        <w:rPr>
          <w:rFonts w:ascii="Times New Roman" w:hAnsi="Times New Roman"/>
          <w:color w:val="000000" w:themeColor="text1"/>
          <w:sz w:val="16"/>
          <w:szCs w:val="16"/>
        </w:rPr>
        <w:t xml:space="preserve"> IIMS» (630 л.с.). Машина смешанной конструкции. Вооружение состояло из одного синхронизированного 7.7-мм пулемета «</w:t>
      </w:r>
      <w:proofErr w:type="spellStart"/>
      <w:r w:rsidRPr="00A259BD">
        <w:rPr>
          <w:rFonts w:ascii="Times New Roman" w:hAnsi="Times New Roman"/>
          <w:color w:val="000000" w:themeColor="text1"/>
          <w:sz w:val="16"/>
          <w:szCs w:val="16"/>
        </w:rPr>
        <w:t>Vickers</w:t>
      </w:r>
      <w:proofErr w:type="spellEnd"/>
      <w:r w:rsidRPr="00A259BD">
        <w:rPr>
          <w:rFonts w:ascii="Times New Roman" w:hAnsi="Times New Roman"/>
          <w:color w:val="000000" w:themeColor="text1"/>
          <w:sz w:val="16"/>
          <w:szCs w:val="16"/>
        </w:rPr>
        <w:t xml:space="preserve">» и одного 7.7-мм пулемета </w:t>
      </w:r>
      <w:proofErr w:type="spellStart"/>
      <w:r w:rsidRPr="00A259BD">
        <w:rPr>
          <w:rFonts w:ascii="Times New Roman" w:hAnsi="Times New Roman"/>
          <w:color w:val="000000" w:themeColor="text1"/>
          <w:sz w:val="16"/>
          <w:szCs w:val="16"/>
        </w:rPr>
        <w:t>Lewis</w:t>
      </w:r>
      <w:proofErr w:type="spellEnd"/>
      <w:r w:rsidRPr="00A259BD">
        <w:rPr>
          <w:rFonts w:ascii="Times New Roman" w:hAnsi="Times New Roman"/>
          <w:color w:val="000000" w:themeColor="text1"/>
          <w:sz w:val="16"/>
          <w:szCs w:val="16"/>
        </w:rPr>
        <w:t xml:space="preserve"> </w:t>
      </w:r>
      <w:r w:rsidRPr="00A259BD">
        <w:rPr>
          <w:rFonts w:ascii="Times New Roman" w:hAnsi="Times New Roman"/>
          <w:color w:val="000000" w:themeColor="text1"/>
          <w:sz w:val="16"/>
          <w:szCs w:val="16"/>
        </w:rPr>
        <w:lastRenderedPageBreak/>
        <w:t>на задней хвостовой турели. В ноябре 1930 года на базе RNAS самолет испытали на поплавках. После испытаний было решено поставить двигатель «</w:t>
      </w:r>
      <w:proofErr w:type="spellStart"/>
      <w:r w:rsidRPr="00A259BD">
        <w:rPr>
          <w:rFonts w:ascii="Times New Roman" w:hAnsi="Times New Roman"/>
          <w:color w:val="000000" w:themeColor="text1"/>
          <w:sz w:val="16"/>
          <w:szCs w:val="16"/>
        </w:rPr>
        <w:t>Hawker</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Osprey</w:t>
      </w:r>
      <w:proofErr w:type="spellEnd"/>
      <w:r w:rsidRPr="00A259BD">
        <w:rPr>
          <w:rFonts w:ascii="Times New Roman" w:hAnsi="Times New Roman"/>
          <w:color w:val="000000" w:themeColor="text1"/>
          <w:sz w:val="16"/>
          <w:szCs w:val="16"/>
        </w:rPr>
        <w:t>», но дальнейшие работы по самолету прекратили (14893).</w:t>
      </w:r>
    </w:p>
    <w:p w14:paraId="0E1BBC5D" w14:textId="77777777" w:rsidR="00B61327" w:rsidRPr="00A259BD" w:rsidRDefault="00B61327" w:rsidP="009236E3">
      <w:pPr>
        <w:spacing w:after="0" w:line="240" w:lineRule="auto"/>
        <w:jc w:val="both"/>
        <w:rPr>
          <w:rFonts w:ascii="Times New Roman" w:hAnsi="Times New Roman"/>
          <w:color w:val="000000" w:themeColor="text1"/>
          <w:sz w:val="16"/>
          <w:szCs w:val="16"/>
        </w:rPr>
      </w:pPr>
    </w:p>
    <w:p w14:paraId="54CE1B9C" w14:textId="77777777" w:rsidR="00824206" w:rsidRPr="00A259BD" w:rsidRDefault="0082420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мая 1929 на первой церемонии вручения премии Оскар первая в истории награда за выдающийся фильм (позже переименованный в «лучший фильм») получает фильм на авиационную тематику, немой фильм 1927 года « Крылья» о двух летчиках-истребителях в Первой мировой войне (20806).</w:t>
      </w:r>
    </w:p>
    <w:p w14:paraId="020606AB" w14:textId="77777777" w:rsidR="00824206" w:rsidRPr="00A259BD" w:rsidRDefault="00824206" w:rsidP="009236E3">
      <w:pPr>
        <w:spacing w:after="0" w:line="240" w:lineRule="auto"/>
        <w:jc w:val="both"/>
        <w:rPr>
          <w:rFonts w:ascii="Times New Roman" w:hAnsi="Times New Roman"/>
          <w:color w:val="000000" w:themeColor="text1"/>
          <w:sz w:val="16"/>
          <w:szCs w:val="16"/>
        </w:rPr>
      </w:pPr>
    </w:p>
    <w:p w14:paraId="5915EF7C" w14:textId="77777777" w:rsidR="00B61327" w:rsidRPr="00A259BD" w:rsidRDefault="00B61327"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16 мая</w:t>
      </w:r>
      <w:r w:rsidRPr="00A259BD">
        <w:rPr>
          <w:rFonts w:ascii="Times New Roman" w:hAnsi="Times New Roman"/>
          <w:color w:val="000000" w:themeColor="text1"/>
          <w:sz w:val="16"/>
          <w:szCs w:val="16"/>
        </w:rPr>
        <w:t xml:space="preserve"> в 1929 году Впервые проходит церемония вручения наград Американской академии киноискусств. Вручаемые призы стали называться «Оскарами» только с 1931, а тогда приз за лучшую женскую роль получила Джанет Гейнор, за мужскую — Эмиль </w:t>
      </w:r>
      <w:proofErr w:type="spellStart"/>
      <w:r w:rsidRPr="00A259BD">
        <w:rPr>
          <w:rFonts w:ascii="Times New Roman" w:hAnsi="Times New Roman"/>
          <w:color w:val="000000" w:themeColor="text1"/>
          <w:sz w:val="16"/>
          <w:szCs w:val="16"/>
        </w:rPr>
        <w:t>Яннингс</w:t>
      </w:r>
      <w:proofErr w:type="spellEnd"/>
      <w:r w:rsidRPr="00A259BD">
        <w:rPr>
          <w:rFonts w:ascii="Times New Roman" w:hAnsi="Times New Roman"/>
          <w:color w:val="000000" w:themeColor="text1"/>
          <w:sz w:val="16"/>
          <w:szCs w:val="16"/>
        </w:rPr>
        <w:t xml:space="preserve">, а «Крылья» режиссера Уильяма </w:t>
      </w:r>
      <w:proofErr w:type="spellStart"/>
      <w:r w:rsidRPr="00A259BD">
        <w:rPr>
          <w:rFonts w:ascii="Times New Roman" w:hAnsi="Times New Roman"/>
          <w:color w:val="000000" w:themeColor="text1"/>
          <w:sz w:val="16"/>
          <w:szCs w:val="16"/>
        </w:rPr>
        <w:t>Уэллмана</w:t>
      </w:r>
      <w:proofErr w:type="spellEnd"/>
      <w:r w:rsidRPr="00A259BD">
        <w:rPr>
          <w:rFonts w:ascii="Times New Roman" w:hAnsi="Times New Roman"/>
          <w:color w:val="000000" w:themeColor="text1"/>
          <w:sz w:val="16"/>
          <w:szCs w:val="16"/>
        </w:rPr>
        <w:t xml:space="preserve"> стали фильмом-победителем. В этом немом фильме рассказывалось о влюбленных в одну женщину (ее играла Клара </w:t>
      </w:r>
      <w:proofErr w:type="spellStart"/>
      <w:r w:rsidRPr="00A259BD">
        <w:rPr>
          <w:rFonts w:ascii="Times New Roman" w:hAnsi="Times New Roman"/>
          <w:color w:val="000000" w:themeColor="text1"/>
          <w:sz w:val="16"/>
          <w:szCs w:val="16"/>
        </w:rPr>
        <w:t>Боу</w:t>
      </w:r>
      <w:proofErr w:type="spellEnd"/>
      <w:r w:rsidRPr="00A259BD">
        <w:rPr>
          <w:rFonts w:ascii="Times New Roman" w:hAnsi="Times New Roman"/>
          <w:color w:val="000000" w:themeColor="text1"/>
          <w:sz w:val="16"/>
          <w:szCs w:val="16"/>
        </w:rPr>
        <w:t>) двух американских летчиках во время первой мировой войны (14893).</w:t>
      </w:r>
    </w:p>
    <w:p w14:paraId="39914EA0" w14:textId="77777777" w:rsidR="00B61327" w:rsidRPr="00A259BD" w:rsidRDefault="00B61327" w:rsidP="009236E3">
      <w:pPr>
        <w:spacing w:after="0" w:line="240" w:lineRule="auto"/>
        <w:jc w:val="both"/>
        <w:rPr>
          <w:rFonts w:ascii="Times New Roman" w:hAnsi="Times New Roman"/>
          <w:color w:val="000000" w:themeColor="text1"/>
          <w:sz w:val="16"/>
          <w:szCs w:val="16"/>
        </w:rPr>
      </w:pPr>
    </w:p>
    <w:p w14:paraId="16821D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мая 1929 прошло первое вручение премий Американской Академии Киноискусства - будущих Оскаров (3263,245).</w:t>
      </w:r>
    </w:p>
    <w:p w14:paraId="18A530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431F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мая 1929 в Греции был восстановлен сенат (3907,156).</w:t>
      </w:r>
    </w:p>
    <w:p w14:paraId="6E1C72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46B164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B4181A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1876F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мая 1929 в НИИ ВВС закончились испытания П-2 М-6, которые проходили с 1 апреля 1929 (6957).</w:t>
      </w:r>
    </w:p>
    <w:p w14:paraId="449855D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Самолет П-2 второй экземпляр по конструкции всех своих основных частей не отличается от первого экземпляра. Изменения внесенные в него коснулись главным образом второстепенных элементов основных частей (например шасси). Все изменения произведены на основании постановлений НИИ и НТК, выраженных в протоколах НИИ от 11 августа 1928 года, одного протокола без даты (в августе 1928 года), завода № 25 от 24 сентября 1928 года 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от 3 октября 1928 года.</w:t>
      </w:r>
    </w:p>
    <w:p w14:paraId="2321115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П-2 М-6 проходил испытания в НИИ с 1 апреля 1929 года по 17 мая 1929 года</w:t>
      </w:r>
    </w:p>
    <w:p w14:paraId="46A2E4F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Вед. летчик – Анисимов (6957).</w:t>
      </w:r>
    </w:p>
    <w:p w14:paraId="7237821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86B7CC" w14:textId="77777777" w:rsidR="00E14E2F" w:rsidRPr="00A259BD" w:rsidRDefault="00E14E2F"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17 мая</w:t>
      </w:r>
      <w:r w:rsidRPr="00A259BD">
        <w:rPr>
          <w:rFonts w:ascii="Times New Roman" w:hAnsi="Times New Roman"/>
          <w:color w:val="000000" w:themeColor="text1"/>
          <w:sz w:val="16"/>
          <w:szCs w:val="16"/>
        </w:rPr>
        <w:t xml:space="preserve"> в 1929 году в Новосибирске приземлился первый самолёт, выполнявший рейс по маршруту Москва – Новосибирск (14894).</w:t>
      </w:r>
    </w:p>
    <w:p w14:paraId="0945E84D" w14:textId="77777777" w:rsidR="00E14E2F" w:rsidRPr="00A259BD" w:rsidRDefault="00E14E2F" w:rsidP="009236E3">
      <w:pPr>
        <w:spacing w:after="0" w:line="240" w:lineRule="auto"/>
        <w:jc w:val="both"/>
        <w:rPr>
          <w:rFonts w:ascii="Times New Roman" w:hAnsi="Times New Roman"/>
          <w:color w:val="000000" w:themeColor="text1"/>
          <w:sz w:val="16"/>
          <w:szCs w:val="16"/>
        </w:rPr>
      </w:pPr>
    </w:p>
    <w:p w14:paraId="59ED879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878BAB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A9F3A0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мая 1929 в Монреале канадский пилот К. </w:t>
      </w:r>
      <w:proofErr w:type="spellStart"/>
      <w:r w:rsidRPr="00A259BD">
        <w:rPr>
          <w:rFonts w:ascii="Times New Roman" w:hAnsi="Times New Roman"/>
          <w:color w:val="000000" w:themeColor="text1"/>
          <w:sz w:val="16"/>
          <w:szCs w:val="16"/>
        </w:rPr>
        <w:t>Колдвел</w:t>
      </w:r>
      <w:proofErr w:type="spellEnd"/>
      <w:r w:rsidRPr="00A259BD">
        <w:rPr>
          <w:rFonts w:ascii="Times New Roman" w:hAnsi="Times New Roman"/>
          <w:color w:val="000000" w:themeColor="text1"/>
          <w:sz w:val="16"/>
          <w:szCs w:val="16"/>
        </w:rPr>
        <w:t xml:space="preserve"> впервые в Канаде использовал парашют для спасения (4962).</w:t>
      </w:r>
    </w:p>
    <w:p w14:paraId="6980C4B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07EC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ночь на 17 мая 1930 года Макс Валье и его помощники испытывали новый двигатель, который предполагали продемонстрировать в заезде во время предстоящей Недели авиации, которая должна была проводиться в Берлине с 25 по 31 мая. Программа Недели авиации включала публичные лекции, показ документальных фильмов, небольшие полеты над городом и организацию выставки на одной из центральных площадей Берлина.</w:t>
      </w:r>
    </w:p>
    <w:p w14:paraId="270088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Были проведены два пробных заезда с соплом, имеющим диаметр критического сечения 28 мм. Валье настоял еще на одной поездке с соплом диаметром 40 мм и с повышенным давлением в камере сгорания для получения тяги в 100 кг.</w:t>
      </w:r>
    </w:p>
    <w:p w14:paraId="5A8B44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 время нового испытания давление в камере сгорания достигло 7 атмосфер, горение в двигателе стало крайне неравномерным. Затем он взорвался. Зазубренный кусочек стали рассек Валье аорту. Истекая кровью, изобретатель умер, прежде чем кто-либо смог оказать ему помощь.</w:t>
      </w:r>
    </w:p>
    <w:p w14:paraId="2BE133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Газеты подробно описали эту трагедию. В заголовках так и значилось: “Первая жертва межпланетных сообщений”.</w:t>
      </w:r>
    </w:p>
    <w:p w14:paraId="7985C1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После смерти Валье начатые им работы над ракетным автомобилем были продолжены с разрешения доктора </w:t>
      </w:r>
      <w:proofErr w:type="spellStart"/>
      <w:r w:rsidRPr="00A259BD">
        <w:rPr>
          <w:rFonts w:ascii="Times New Roman" w:hAnsi="Times New Roman"/>
          <w:color w:val="000000" w:themeColor="text1"/>
          <w:sz w:val="16"/>
          <w:szCs w:val="16"/>
        </w:rPr>
        <w:t>Хейланда</w:t>
      </w:r>
      <w:proofErr w:type="spellEnd"/>
      <w:r w:rsidRPr="00A259BD">
        <w:rPr>
          <w:rFonts w:ascii="Times New Roman" w:hAnsi="Times New Roman"/>
          <w:color w:val="000000" w:themeColor="text1"/>
          <w:sz w:val="16"/>
          <w:szCs w:val="16"/>
        </w:rPr>
        <w:t xml:space="preserve"> главным инженером его предприятия Питчем, который построил для этой автомашины новый ракетный двигатель. Говорят, что двигатель охлаждался непосредственно топливом и весил 18 кг, обеспечивая тягу в 160 кг. Два публичных испытания машины были проведены 11 апреля и 3 мая 1931 года (11688).</w:t>
      </w:r>
    </w:p>
    <w:p w14:paraId="1B6BEF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6D4454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мая 1929 в Филадельфии впервые арестован глава американской мафии Аль Капоне, которому было предъявлено обвинение в хранении незаконного пистолета (4962).</w:t>
      </w:r>
    </w:p>
    <w:p w14:paraId="6871CC0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AD9E61" w14:textId="77777777" w:rsidR="00E14E2F" w:rsidRPr="00A259BD" w:rsidRDefault="00E14E2F"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17 мая</w:t>
      </w:r>
      <w:r w:rsidRPr="00A259BD">
        <w:rPr>
          <w:rFonts w:ascii="Times New Roman" w:hAnsi="Times New Roman"/>
          <w:color w:val="000000" w:themeColor="text1"/>
          <w:sz w:val="16"/>
          <w:szCs w:val="16"/>
        </w:rPr>
        <w:t xml:space="preserve"> в 1929 году после долгих розысков в Филадельфии схватывается глава торговцев контрабандными спиртными напитками Аль Капоне, которому предъявляется обвинение в незаконном хранении пистолета (14894).</w:t>
      </w:r>
    </w:p>
    <w:p w14:paraId="4FA1EE04" w14:textId="77777777" w:rsidR="00E14E2F" w:rsidRPr="00A259BD" w:rsidRDefault="00E14E2F" w:rsidP="009236E3">
      <w:pPr>
        <w:spacing w:after="0" w:line="240" w:lineRule="auto"/>
        <w:jc w:val="both"/>
        <w:rPr>
          <w:rFonts w:ascii="Times New Roman" w:hAnsi="Times New Roman"/>
          <w:color w:val="000000" w:themeColor="text1"/>
          <w:sz w:val="16"/>
          <w:szCs w:val="16"/>
        </w:rPr>
      </w:pPr>
    </w:p>
    <w:p w14:paraId="1234F6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мая 1929 в Филадельфии был схвачен Аль-Капоне (3481).</w:t>
      </w:r>
    </w:p>
    <w:p w14:paraId="14D51D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E03CF4" w14:textId="77777777" w:rsidR="008456F2"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B8F44F2" w14:textId="77777777" w:rsidR="008456F2" w:rsidRPr="00A259BD" w:rsidRDefault="008456F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54A566"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позднее 18 мая 1929 г. — Справка ГВПУ об основных направлениях работы военной промышленности</w:t>
      </w:r>
    </w:p>
    <w:p w14:paraId="5459F758"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Справка ГВПУ об основных направлениях работы военной промышленности</w:t>
      </w:r>
    </w:p>
    <w:p w14:paraId="1A72DB24"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Не позднее 18 мая 1929 г.</w:t>
      </w:r>
      <w:r w:rsidRPr="00A259BD">
        <w:rPr>
          <w:rFonts w:ascii="Times New Roman" w:hAnsi="Times New Roman"/>
          <w:color w:val="000000" w:themeColor="text1"/>
          <w:sz w:val="16"/>
          <w:szCs w:val="16"/>
        </w:rPr>
        <w:t>¹*</w:t>
      </w:r>
    </w:p>
    <w:p w14:paraId="434DA455"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14A629D2" w14:textId="77777777" w:rsidR="008456F2" w:rsidRPr="00A259BD" w:rsidRDefault="008456F2" w:rsidP="009236E3">
      <w:pPr>
        <w:pStyle w:val="rtejustify"/>
        <w:spacing w:before="0" w:after="0"/>
        <w:rPr>
          <w:color w:val="000000" w:themeColor="text1"/>
          <w:sz w:val="16"/>
          <w:szCs w:val="16"/>
        </w:rPr>
      </w:pPr>
      <w:r w:rsidRPr="00A259BD">
        <w:rPr>
          <w:color w:val="000000" w:themeColor="text1"/>
          <w:sz w:val="16"/>
          <w:szCs w:val="16"/>
        </w:rPr>
        <w:t>1. С ноября 1928 г. ГВПУ ввиду крайней медленности в работе трестов по проверке мобилизационных мощностей образовало ряд комиссий под руководством специалистов ГВПУ с участием представителей трестов и заводов, которые путем выезда на места проверяют и уточняют мобилизационные мощности предприятий.</w:t>
      </w:r>
    </w:p>
    <w:p w14:paraId="459F2811" w14:textId="77777777" w:rsidR="008456F2" w:rsidRPr="00A259BD" w:rsidRDefault="008456F2" w:rsidP="009236E3">
      <w:pPr>
        <w:pStyle w:val="rtejustify"/>
        <w:spacing w:before="0" w:after="0"/>
        <w:rPr>
          <w:color w:val="000000" w:themeColor="text1"/>
          <w:sz w:val="16"/>
          <w:szCs w:val="16"/>
        </w:rPr>
      </w:pPr>
      <w:r w:rsidRPr="00A259BD">
        <w:rPr>
          <w:color w:val="000000" w:themeColor="text1"/>
          <w:sz w:val="16"/>
          <w:szCs w:val="16"/>
        </w:rPr>
        <w:t>2. Ведется работа по изменению технологических процессов с целью решительного повышения производственных мощностей предприятий наиболее экономным путем. Вопросы не только текущей рационализации, но и коренной технической реконструкции.</w:t>
      </w:r>
    </w:p>
    <w:p w14:paraId="05D0F8A9" w14:textId="77777777" w:rsidR="008456F2" w:rsidRPr="00A259BD" w:rsidRDefault="008456F2" w:rsidP="009236E3">
      <w:pPr>
        <w:pStyle w:val="rtejustify"/>
        <w:spacing w:before="0" w:after="0"/>
        <w:rPr>
          <w:color w:val="000000" w:themeColor="text1"/>
          <w:sz w:val="16"/>
          <w:szCs w:val="16"/>
        </w:rPr>
      </w:pPr>
      <w:r w:rsidRPr="00A259BD">
        <w:rPr>
          <w:color w:val="000000" w:themeColor="text1"/>
          <w:sz w:val="16"/>
          <w:szCs w:val="16"/>
        </w:rPr>
        <w:t xml:space="preserve">3. Ведутся работы по </w:t>
      </w:r>
      <w:proofErr w:type="spellStart"/>
      <w:r w:rsidRPr="00A259BD">
        <w:rPr>
          <w:color w:val="000000" w:themeColor="text1"/>
          <w:sz w:val="16"/>
          <w:szCs w:val="16"/>
        </w:rPr>
        <w:t>суррогатированию</w:t>
      </w:r>
      <w:proofErr w:type="spellEnd"/>
      <w:r w:rsidRPr="00A259BD">
        <w:rPr>
          <w:color w:val="000000" w:themeColor="text1"/>
          <w:sz w:val="16"/>
          <w:szCs w:val="16"/>
        </w:rPr>
        <w:t xml:space="preserve"> в целях замены дорогостоящих металлов и продуктов по химической группе более дешевыми и, что самое главное, внутреннего производства.</w:t>
      </w:r>
    </w:p>
    <w:p w14:paraId="3CE00EC3" w14:textId="77777777" w:rsidR="008456F2" w:rsidRPr="00A259BD" w:rsidRDefault="008456F2" w:rsidP="009236E3">
      <w:pPr>
        <w:pStyle w:val="rtejustify"/>
        <w:spacing w:before="0" w:after="0"/>
        <w:rPr>
          <w:color w:val="000000" w:themeColor="text1"/>
          <w:sz w:val="16"/>
          <w:szCs w:val="16"/>
        </w:rPr>
      </w:pPr>
      <w:r w:rsidRPr="00A259BD">
        <w:rPr>
          <w:color w:val="000000" w:themeColor="text1"/>
          <w:sz w:val="16"/>
          <w:szCs w:val="16"/>
        </w:rPr>
        <w:t xml:space="preserve">4. Разработан план насаждения иностранной технической помощи по целому ряду ответственнейших военных производств. Кроме заключенных уже договоров, список которых прилагается, получено принципиальное согласие фирмы «Крупп» по широкой техпомощи (квалифицированные стали для военного дела и мирных нужд, передача достижений по военной технике, а также образование специально военного конструкторского бюро и т. д.). Ведутся переговоры о техпомощи для улучшения патронного производства (бронебойные патроны, трассирующие, зажигательные). Также ведутся переговоры о покупке патента на </w:t>
      </w:r>
      <w:proofErr w:type="spellStart"/>
      <w:r w:rsidRPr="00A259BD">
        <w:rPr>
          <w:color w:val="000000" w:themeColor="text1"/>
          <w:sz w:val="16"/>
          <w:szCs w:val="16"/>
        </w:rPr>
        <w:t>металлич</w:t>
      </w:r>
      <w:proofErr w:type="spellEnd"/>
      <w:r w:rsidRPr="00A259BD">
        <w:rPr>
          <w:color w:val="000000" w:themeColor="text1"/>
          <w:sz w:val="16"/>
          <w:szCs w:val="16"/>
        </w:rPr>
        <w:t>[</w:t>
      </w:r>
      <w:proofErr w:type="spellStart"/>
      <w:r w:rsidRPr="00A259BD">
        <w:rPr>
          <w:color w:val="000000" w:themeColor="text1"/>
          <w:sz w:val="16"/>
          <w:szCs w:val="16"/>
        </w:rPr>
        <w:t>еский</w:t>
      </w:r>
      <w:proofErr w:type="spellEnd"/>
      <w:r w:rsidRPr="00A259BD">
        <w:rPr>
          <w:color w:val="000000" w:themeColor="text1"/>
          <w:sz w:val="16"/>
          <w:szCs w:val="16"/>
        </w:rPr>
        <w:t>] пропеллер с изменяющимся углом атаки. Кроме приглашенных иностранных специалистов, ведутся переговоры с рядом специалистов и квалифицированных рабочих в Америке.</w:t>
      </w:r>
    </w:p>
    <w:p w14:paraId="7AA31E7C" w14:textId="77777777" w:rsidR="008456F2" w:rsidRPr="00A259BD" w:rsidRDefault="008456F2" w:rsidP="009236E3">
      <w:pPr>
        <w:pStyle w:val="rtejustify"/>
        <w:spacing w:before="0" w:after="0"/>
        <w:rPr>
          <w:color w:val="000000" w:themeColor="text1"/>
          <w:sz w:val="16"/>
          <w:szCs w:val="16"/>
        </w:rPr>
      </w:pPr>
      <w:r w:rsidRPr="00A259BD">
        <w:rPr>
          <w:color w:val="000000" w:themeColor="text1"/>
          <w:sz w:val="16"/>
          <w:szCs w:val="16"/>
        </w:rPr>
        <w:t>5. Подготовляется усиление конструкторских кадров на почве объединения конструкторских органов военной промышленности и НКВМ.</w:t>
      </w:r>
    </w:p>
    <w:p w14:paraId="5ED57E78" w14:textId="77777777" w:rsidR="008456F2" w:rsidRPr="00A259BD" w:rsidRDefault="008456F2" w:rsidP="009236E3">
      <w:pPr>
        <w:pStyle w:val="rtejustify"/>
        <w:spacing w:before="0" w:after="0"/>
        <w:rPr>
          <w:color w:val="000000" w:themeColor="text1"/>
          <w:sz w:val="16"/>
          <w:szCs w:val="16"/>
        </w:rPr>
      </w:pPr>
      <w:r w:rsidRPr="00A259BD">
        <w:rPr>
          <w:color w:val="000000" w:themeColor="text1"/>
          <w:sz w:val="16"/>
          <w:szCs w:val="16"/>
        </w:rPr>
        <w:t>6. С 3 ноября 1928 г. работает специально образованная комиссия по дальнейшему расширению мирных производств.</w:t>
      </w:r>
    </w:p>
    <w:p w14:paraId="3F61B283" w14:textId="77777777" w:rsidR="008456F2" w:rsidRPr="00A259BD" w:rsidRDefault="008456F2"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Примечание</w:t>
      </w:r>
      <w:r w:rsidRPr="00A259BD">
        <w:rPr>
          <w:color w:val="000000" w:themeColor="text1"/>
          <w:sz w:val="16"/>
          <w:szCs w:val="16"/>
        </w:rPr>
        <w:t>:</w:t>
      </w:r>
    </w:p>
    <w:p w14:paraId="220A1B2A" w14:textId="77777777" w:rsidR="008456F2" w:rsidRPr="00A259BD" w:rsidRDefault="008456F2" w:rsidP="009236E3">
      <w:pPr>
        <w:pStyle w:val="ae"/>
        <w:spacing w:before="0" w:after="0"/>
        <w:jc w:val="both"/>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Датируется по входящему штампу.</w:t>
      </w:r>
    </w:p>
    <w:p w14:paraId="78C0F059" w14:textId="77777777" w:rsidR="008456F2" w:rsidRPr="00A259BD" w:rsidRDefault="008456F2" w:rsidP="009236E3">
      <w:pPr>
        <w:pStyle w:val="ae"/>
        <w:spacing w:before="0" w:after="0"/>
        <w:jc w:val="both"/>
        <w:rPr>
          <w:color w:val="000000" w:themeColor="text1"/>
          <w:sz w:val="16"/>
          <w:szCs w:val="16"/>
        </w:rPr>
      </w:pPr>
      <w:r w:rsidRPr="00A259BD">
        <w:rPr>
          <w:color w:val="000000" w:themeColor="text1"/>
          <w:sz w:val="16"/>
          <w:szCs w:val="16"/>
        </w:rPr>
        <w:t>РГАЭ. Ф. 4372. Оп. 91. Д. 528. Л. 47. Копия.</w:t>
      </w:r>
    </w:p>
    <w:p w14:paraId="1CD17B39"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4372. Оп. 91. Д. 528. Л. 47. Копия. </w:t>
      </w:r>
    </w:p>
    <w:p w14:paraId="2B70FAF9"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323 (12453).</w:t>
      </w:r>
    </w:p>
    <w:p w14:paraId="2858DDF4" w14:textId="77777777" w:rsidR="008456F2" w:rsidRPr="00A259BD" w:rsidRDefault="008456F2" w:rsidP="009236E3">
      <w:pPr>
        <w:spacing w:after="0" w:line="240" w:lineRule="auto"/>
        <w:jc w:val="both"/>
        <w:rPr>
          <w:rFonts w:ascii="Times New Roman" w:hAnsi="Times New Roman"/>
          <w:color w:val="000000" w:themeColor="text1"/>
          <w:sz w:val="16"/>
          <w:szCs w:val="16"/>
        </w:rPr>
      </w:pPr>
    </w:p>
    <w:p w14:paraId="744795A8"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мая 1929 г. Постановление Постоянного мобилизационного совещания при Президиуме ВСНХ СССР о контроле за ходом капитального строительства оборонного значения (РГАЭ. Ф. 3429. Оп. 16. Д. 3. Л. 5?6; Ф. 3429. Оп. 6. Д. 193. Л. 36?35) (12417).</w:t>
      </w:r>
    </w:p>
    <w:p w14:paraId="79453AD3" w14:textId="77777777" w:rsidR="008456F2" w:rsidRPr="00A259BD" w:rsidRDefault="008456F2" w:rsidP="009236E3">
      <w:pPr>
        <w:spacing w:after="0" w:line="240" w:lineRule="auto"/>
        <w:jc w:val="both"/>
        <w:rPr>
          <w:rFonts w:ascii="Times New Roman" w:hAnsi="Times New Roman"/>
          <w:color w:val="000000" w:themeColor="text1"/>
          <w:sz w:val="16"/>
          <w:szCs w:val="16"/>
        </w:rPr>
      </w:pPr>
    </w:p>
    <w:p w14:paraId="6FEEA6F6"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мая 1929 г. Протокол заседания Постоянного мобилизационного совещания при Президиуме ВСНХ СССР. 1. Вопросы организации пассивной воздушной обороны промышленности. 2. О контроле за ходом капитальных работ оборонного значения. 3. О подготовке рабочих для удовлетворения </w:t>
      </w:r>
      <w:proofErr w:type="spellStart"/>
      <w:r w:rsidRPr="00A259BD">
        <w:rPr>
          <w:rFonts w:ascii="Times New Roman" w:hAnsi="Times New Roman"/>
          <w:color w:val="000000" w:themeColor="text1"/>
          <w:sz w:val="16"/>
          <w:szCs w:val="16"/>
        </w:rPr>
        <w:t>мобпотребностей</w:t>
      </w:r>
      <w:proofErr w:type="spellEnd"/>
      <w:r w:rsidRPr="00A259BD">
        <w:rPr>
          <w:rFonts w:ascii="Times New Roman" w:hAnsi="Times New Roman"/>
          <w:color w:val="000000" w:themeColor="text1"/>
          <w:sz w:val="16"/>
          <w:szCs w:val="16"/>
        </w:rPr>
        <w:t xml:space="preserve"> военных заводов. 4. О переходе заводов военной промышленности на </w:t>
      </w:r>
      <w:proofErr w:type="spellStart"/>
      <w:r w:rsidRPr="00A259BD">
        <w:rPr>
          <w:rFonts w:ascii="Times New Roman" w:hAnsi="Times New Roman"/>
          <w:color w:val="000000" w:themeColor="text1"/>
          <w:sz w:val="16"/>
          <w:szCs w:val="16"/>
        </w:rPr>
        <w:t>парафинистые</w:t>
      </w:r>
      <w:proofErr w:type="spellEnd"/>
      <w:r w:rsidRPr="00A259BD">
        <w:rPr>
          <w:rFonts w:ascii="Times New Roman" w:hAnsi="Times New Roman"/>
          <w:color w:val="000000" w:themeColor="text1"/>
          <w:sz w:val="16"/>
          <w:szCs w:val="16"/>
        </w:rPr>
        <w:t xml:space="preserve"> мазуты. 5. О распределении 10?миллионного фонда на </w:t>
      </w:r>
      <w:proofErr w:type="spellStart"/>
      <w:r w:rsidRPr="00A259BD">
        <w:rPr>
          <w:rFonts w:ascii="Times New Roman" w:hAnsi="Times New Roman"/>
          <w:color w:val="000000" w:themeColor="text1"/>
          <w:sz w:val="16"/>
          <w:szCs w:val="16"/>
        </w:rPr>
        <w:t>мобзапасы</w:t>
      </w:r>
      <w:proofErr w:type="spellEnd"/>
      <w:r w:rsidRPr="00A259BD">
        <w:rPr>
          <w:rFonts w:ascii="Times New Roman" w:hAnsi="Times New Roman"/>
          <w:color w:val="000000" w:themeColor="text1"/>
          <w:sz w:val="16"/>
          <w:szCs w:val="16"/>
        </w:rPr>
        <w:t xml:space="preserve">. 6. О возмещении сумм, израсходованных трестами военной промышленности из оборотного фонда 1927/28 г. на </w:t>
      </w:r>
      <w:proofErr w:type="spellStart"/>
      <w:r w:rsidRPr="00A259BD">
        <w:rPr>
          <w:rFonts w:ascii="Times New Roman" w:hAnsi="Times New Roman"/>
          <w:color w:val="000000" w:themeColor="text1"/>
          <w:sz w:val="16"/>
          <w:szCs w:val="16"/>
        </w:rPr>
        <w:t>мобзапасы</w:t>
      </w:r>
      <w:proofErr w:type="spellEnd"/>
      <w:r w:rsidRPr="00A259BD">
        <w:rPr>
          <w:rFonts w:ascii="Times New Roman" w:hAnsi="Times New Roman"/>
          <w:color w:val="000000" w:themeColor="text1"/>
          <w:sz w:val="16"/>
          <w:szCs w:val="16"/>
        </w:rPr>
        <w:t xml:space="preserve"> (РГАЭ. Ф. 3429. Оп. 16. Д. 3. Л. 3?4 об.) (12417).</w:t>
      </w:r>
    </w:p>
    <w:p w14:paraId="31882461" w14:textId="77777777" w:rsidR="008456F2" w:rsidRPr="00A259BD" w:rsidRDefault="008456F2" w:rsidP="009236E3">
      <w:pPr>
        <w:spacing w:after="0" w:line="240" w:lineRule="auto"/>
        <w:jc w:val="both"/>
        <w:rPr>
          <w:rFonts w:ascii="Times New Roman" w:hAnsi="Times New Roman"/>
          <w:color w:val="000000" w:themeColor="text1"/>
          <w:sz w:val="16"/>
          <w:szCs w:val="16"/>
        </w:rPr>
      </w:pPr>
    </w:p>
    <w:p w14:paraId="4EE85E33"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позднее 18 мая 1929 г. — Справка ГВПУ о заключении договоров иностранной технической помощи</w:t>
      </w:r>
    </w:p>
    <w:p w14:paraId="4372B6E0"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Справка ГВПУ о заключении договоров иностранной технической помощи</w:t>
      </w:r>
    </w:p>
    <w:p w14:paraId="22DE7BE1"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позднее 18 мая 1929 г.¹*</w:t>
      </w:r>
    </w:p>
    <w:p w14:paraId="4C432BAC"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Совершенно секретно.</w:t>
      </w:r>
    </w:p>
    <w:p w14:paraId="47EF4385"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Орудийно-арсенальный трест</w:t>
      </w:r>
    </w:p>
    <w:p w14:paraId="40FE1D95" w14:textId="77777777" w:rsidR="008456F2" w:rsidRPr="00A259BD" w:rsidRDefault="008456F2"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Фольмер</w:t>
      </w:r>
      <w:proofErr w:type="spellEnd"/>
      <w:r w:rsidRPr="00A259BD">
        <w:rPr>
          <w:rFonts w:ascii="Times New Roman" w:hAnsi="Times New Roman"/>
          <w:color w:val="000000" w:themeColor="text1"/>
          <w:sz w:val="16"/>
          <w:szCs w:val="16"/>
        </w:rPr>
        <w:t> — известный германский военный конструктор. Проект танка на двух кодах и скоростях: на гусенице (25 км) и колесах (50 км).</w:t>
      </w:r>
    </w:p>
    <w:p w14:paraId="6FC1B5EB"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Отто </w:t>
      </w:r>
      <w:proofErr w:type="spellStart"/>
      <w:r w:rsidRPr="00A259BD">
        <w:rPr>
          <w:rFonts w:ascii="Times New Roman" w:hAnsi="Times New Roman"/>
          <w:color w:val="000000" w:themeColor="text1"/>
          <w:sz w:val="16"/>
          <w:szCs w:val="16"/>
        </w:rPr>
        <w:t>Шмитц</w:t>
      </w:r>
      <w:proofErr w:type="spellEnd"/>
      <w:r w:rsidRPr="00A259BD">
        <w:rPr>
          <w:rFonts w:ascii="Times New Roman" w:hAnsi="Times New Roman"/>
          <w:color w:val="000000" w:themeColor="text1"/>
          <w:sz w:val="16"/>
          <w:szCs w:val="16"/>
        </w:rPr>
        <w:t> — известный германский военный конструктор. Проект батальонной пушки.</w:t>
      </w:r>
    </w:p>
    <w:p w14:paraId="756CDB93"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Оружейно-пулеметный трест</w:t>
      </w:r>
    </w:p>
    <w:p w14:paraId="6C30831F"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«Вальтер» (Германия). Нарезка стволов. Воронение оружия.</w:t>
      </w:r>
    </w:p>
    <w:p w14:paraId="1C232BAF"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Патронно-трубочный трест</w:t>
      </w:r>
    </w:p>
    <w:p w14:paraId="0C4F8FF3"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«Гирш </w:t>
      </w:r>
      <w:proofErr w:type="spellStart"/>
      <w:r w:rsidRPr="00A259BD">
        <w:rPr>
          <w:rFonts w:ascii="Times New Roman" w:hAnsi="Times New Roman"/>
          <w:color w:val="000000" w:themeColor="text1"/>
          <w:sz w:val="16"/>
          <w:szCs w:val="16"/>
        </w:rPr>
        <w:t>Кунферверке</w:t>
      </w:r>
      <w:proofErr w:type="spellEnd"/>
      <w:r w:rsidRPr="00A259BD">
        <w:rPr>
          <w:rFonts w:ascii="Times New Roman" w:hAnsi="Times New Roman"/>
          <w:color w:val="000000" w:themeColor="text1"/>
          <w:sz w:val="16"/>
          <w:szCs w:val="16"/>
        </w:rPr>
        <w:t>». Завод плакировочных металлов — взамен употребления латуни в патронном производстве.</w:t>
      </w:r>
    </w:p>
    <w:p w14:paraId="635219AB"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Военно-химический трест</w:t>
      </w:r>
    </w:p>
    <w:p w14:paraId="5FAF9E65" w14:textId="77777777" w:rsidR="008456F2" w:rsidRPr="00A259BD" w:rsidRDefault="008456F2" w:rsidP="009236E3">
      <w:pPr>
        <w:pStyle w:val="ae"/>
        <w:spacing w:before="0" w:after="0"/>
        <w:jc w:val="both"/>
        <w:rPr>
          <w:color w:val="000000" w:themeColor="text1"/>
          <w:sz w:val="16"/>
          <w:szCs w:val="16"/>
        </w:rPr>
      </w:pPr>
      <w:r w:rsidRPr="00A259BD">
        <w:rPr>
          <w:color w:val="000000" w:themeColor="text1"/>
          <w:sz w:val="16"/>
          <w:szCs w:val="16"/>
        </w:rPr>
        <w:t>«</w:t>
      </w:r>
      <w:proofErr w:type="spellStart"/>
      <w:r w:rsidRPr="00A259BD">
        <w:rPr>
          <w:color w:val="000000" w:themeColor="text1"/>
          <w:sz w:val="16"/>
          <w:szCs w:val="16"/>
        </w:rPr>
        <w:t>Брежа</w:t>
      </w:r>
      <w:proofErr w:type="spellEnd"/>
      <w:r w:rsidRPr="00A259BD">
        <w:rPr>
          <w:color w:val="000000" w:themeColor="text1"/>
          <w:sz w:val="16"/>
          <w:szCs w:val="16"/>
        </w:rPr>
        <w:t>» (Франция). Улавливание спиртоэфирных паров в пороховом производстве.</w:t>
      </w:r>
    </w:p>
    <w:p w14:paraId="6F5C6A65" w14:textId="77777777" w:rsidR="008456F2" w:rsidRPr="00A259BD" w:rsidRDefault="008456F2" w:rsidP="009236E3">
      <w:pPr>
        <w:pStyle w:val="ae"/>
        <w:spacing w:before="0" w:after="0"/>
        <w:jc w:val="both"/>
        <w:rPr>
          <w:color w:val="000000" w:themeColor="text1"/>
          <w:sz w:val="16"/>
          <w:szCs w:val="16"/>
        </w:rPr>
      </w:pPr>
      <w:r w:rsidRPr="00A259BD">
        <w:rPr>
          <w:color w:val="000000" w:themeColor="text1"/>
          <w:sz w:val="16"/>
          <w:szCs w:val="16"/>
        </w:rPr>
        <w:t>«</w:t>
      </w:r>
      <w:proofErr w:type="spellStart"/>
      <w:r w:rsidRPr="00A259BD">
        <w:rPr>
          <w:color w:val="000000" w:themeColor="text1"/>
          <w:sz w:val="16"/>
          <w:szCs w:val="16"/>
        </w:rPr>
        <w:t>Паулинг</w:t>
      </w:r>
      <w:proofErr w:type="spellEnd"/>
      <w:r w:rsidRPr="00A259BD">
        <w:rPr>
          <w:color w:val="000000" w:themeColor="text1"/>
          <w:sz w:val="16"/>
          <w:szCs w:val="16"/>
        </w:rPr>
        <w:t>» (Германия). Проект и постройка азотного завода (взамен импорта селитры).</w:t>
      </w:r>
    </w:p>
    <w:p w14:paraId="476A9F80" w14:textId="77777777" w:rsidR="008456F2" w:rsidRPr="00A259BD" w:rsidRDefault="008456F2" w:rsidP="009236E3">
      <w:pPr>
        <w:pStyle w:val="ae"/>
        <w:spacing w:before="0" w:after="0"/>
        <w:jc w:val="both"/>
        <w:rPr>
          <w:color w:val="000000" w:themeColor="text1"/>
          <w:sz w:val="16"/>
          <w:szCs w:val="16"/>
        </w:rPr>
      </w:pPr>
      <w:r w:rsidRPr="00A259BD">
        <w:rPr>
          <w:color w:val="000000" w:themeColor="text1"/>
          <w:sz w:val="16"/>
          <w:szCs w:val="16"/>
        </w:rPr>
        <w:t>«</w:t>
      </w:r>
      <w:proofErr w:type="spellStart"/>
      <w:r w:rsidRPr="00A259BD">
        <w:rPr>
          <w:color w:val="000000" w:themeColor="text1"/>
          <w:sz w:val="16"/>
          <w:szCs w:val="16"/>
        </w:rPr>
        <w:t>Шюмьер</w:t>
      </w:r>
      <w:proofErr w:type="spellEnd"/>
      <w:r w:rsidRPr="00A259BD">
        <w:rPr>
          <w:color w:val="000000" w:themeColor="text1"/>
          <w:sz w:val="16"/>
          <w:szCs w:val="16"/>
        </w:rPr>
        <w:t>» (Франция). Производство кинофотопленки на пороховых заводах.</w:t>
      </w:r>
    </w:p>
    <w:p w14:paraId="6075C03F" w14:textId="77777777" w:rsidR="008456F2" w:rsidRPr="00A259BD" w:rsidRDefault="008456F2" w:rsidP="009236E3">
      <w:pPr>
        <w:pStyle w:val="ae"/>
        <w:spacing w:before="0" w:after="0"/>
        <w:jc w:val="both"/>
        <w:rPr>
          <w:color w:val="000000" w:themeColor="text1"/>
          <w:sz w:val="16"/>
          <w:szCs w:val="16"/>
        </w:rPr>
      </w:pPr>
      <w:r w:rsidRPr="00A259BD">
        <w:rPr>
          <w:color w:val="000000" w:themeColor="text1"/>
          <w:sz w:val="16"/>
          <w:szCs w:val="16"/>
        </w:rPr>
        <w:t>«</w:t>
      </w:r>
      <w:proofErr w:type="spellStart"/>
      <w:r w:rsidRPr="00A259BD">
        <w:rPr>
          <w:color w:val="000000" w:themeColor="text1"/>
          <w:sz w:val="16"/>
          <w:szCs w:val="16"/>
        </w:rPr>
        <w:t>Петролифер</w:t>
      </w:r>
      <w:proofErr w:type="spellEnd"/>
      <w:r w:rsidRPr="00A259BD">
        <w:rPr>
          <w:color w:val="000000" w:themeColor="text1"/>
          <w:sz w:val="16"/>
          <w:szCs w:val="16"/>
        </w:rPr>
        <w:t>» (Франция). Активированный уголь для противогазов и для мирных целей (сахарное и спиртовое производство).</w:t>
      </w:r>
    </w:p>
    <w:p w14:paraId="205D2D6B" w14:textId="77777777" w:rsidR="008456F2" w:rsidRPr="00A259BD" w:rsidRDefault="008456F2" w:rsidP="009236E3">
      <w:pPr>
        <w:pStyle w:val="ae"/>
        <w:spacing w:before="0" w:after="0"/>
        <w:jc w:val="both"/>
        <w:rPr>
          <w:color w:val="000000" w:themeColor="text1"/>
          <w:sz w:val="16"/>
          <w:szCs w:val="16"/>
        </w:rPr>
      </w:pPr>
      <w:r w:rsidRPr="00A259BD">
        <w:rPr>
          <w:color w:val="000000" w:themeColor="text1"/>
          <w:sz w:val="16"/>
          <w:szCs w:val="16"/>
        </w:rPr>
        <w:t xml:space="preserve">«Стик </w:t>
      </w:r>
      <w:proofErr w:type="spellStart"/>
      <w:r w:rsidRPr="00A259BD">
        <w:rPr>
          <w:color w:val="000000" w:themeColor="text1"/>
          <w:sz w:val="16"/>
          <w:szCs w:val="16"/>
        </w:rPr>
        <w:t>Обур</w:t>
      </w:r>
      <w:proofErr w:type="spellEnd"/>
      <w:r w:rsidRPr="00A259BD">
        <w:rPr>
          <w:color w:val="000000" w:themeColor="text1"/>
          <w:sz w:val="16"/>
          <w:szCs w:val="16"/>
        </w:rPr>
        <w:t>» (Франция—Бельгия). Искусственный шелк на пороховых заводах.</w:t>
      </w:r>
    </w:p>
    <w:p w14:paraId="31A4375E" w14:textId="77777777" w:rsidR="00E14E2F" w:rsidRPr="00A259BD" w:rsidRDefault="00E14E2F" w:rsidP="009236E3">
      <w:pPr>
        <w:pStyle w:val="ae"/>
        <w:spacing w:before="0" w:after="0"/>
        <w:jc w:val="both"/>
        <w:rPr>
          <w:color w:val="000000" w:themeColor="text1"/>
          <w:sz w:val="16"/>
          <w:szCs w:val="16"/>
        </w:rPr>
      </w:pPr>
      <w:r w:rsidRPr="00A259BD">
        <w:rPr>
          <w:rStyle w:val="a7"/>
          <w:b w:val="0"/>
          <w:bCs w:val="0"/>
          <w:color w:val="000000" w:themeColor="text1"/>
          <w:sz w:val="16"/>
          <w:szCs w:val="16"/>
        </w:rPr>
        <w:t>Авиационный трест</w:t>
      </w:r>
    </w:p>
    <w:p w14:paraId="03ECCE4B" w14:textId="77777777" w:rsidR="008456F2" w:rsidRPr="00A259BD" w:rsidRDefault="008456F2" w:rsidP="009236E3">
      <w:pPr>
        <w:pStyle w:val="ae"/>
        <w:spacing w:before="0" w:after="0"/>
        <w:jc w:val="both"/>
        <w:rPr>
          <w:color w:val="000000" w:themeColor="text1"/>
          <w:sz w:val="16"/>
          <w:szCs w:val="16"/>
        </w:rPr>
      </w:pPr>
      <w:r w:rsidRPr="00A259BD">
        <w:rPr>
          <w:color w:val="000000" w:themeColor="text1"/>
          <w:sz w:val="16"/>
          <w:szCs w:val="16"/>
        </w:rPr>
        <w:t>«БМВ» («</w:t>
      </w:r>
      <w:proofErr w:type="spellStart"/>
      <w:r w:rsidRPr="00A259BD">
        <w:rPr>
          <w:color w:val="000000" w:themeColor="text1"/>
          <w:sz w:val="16"/>
          <w:szCs w:val="16"/>
        </w:rPr>
        <w:t>Байрише</w:t>
      </w:r>
      <w:proofErr w:type="spellEnd"/>
      <w:r w:rsidRPr="00A259BD">
        <w:rPr>
          <w:color w:val="000000" w:themeColor="text1"/>
          <w:sz w:val="16"/>
          <w:szCs w:val="16"/>
        </w:rPr>
        <w:t xml:space="preserve"> </w:t>
      </w:r>
      <w:proofErr w:type="spellStart"/>
      <w:r w:rsidRPr="00A259BD">
        <w:rPr>
          <w:color w:val="000000" w:themeColor="text1"/>
          <w:sz w:val="16"/>
          <w:szCs w:val="16"/>
        </w:rPr>
        <w:t>Моторен</w:t>
      </w:r>
      <w:proofErr w:type="spellEnd"/>
      <w:r w:rsidRPr="00A259BD">
        <w:rPr>
          <w:color w:val="000000" w:themeColor="text1"/>
          <w:sz w:val="16"/>
          <w:szCs w:val="16"/>
        </w:rPr>
        <w:t xml:space="preserve"> Верке», Германия). Мотор «БМВ</w:t>
      </w:r>
      <w:r w:rsidRPr="00A259BD">
        <w:rPr>
          <w:color w:val="000000" w:themeColor="text1"/>
          <w:sz w:val="16"/>
          <w:szCs w:val="16"/>
        </w:rPr>
        <w:noBreakHyphen/>
        <w:t>VI».</w:t>
      </w:r>
    </w:p>
    <w:p w14:paraId="2EB2CF1D" w14:textId="77777777" w:rsidR="008456F2" w:rsidRPr="00A259BD" w:rsidRDefault="008456F2" w:rsidP="009236E3">
      <w:pPr>
        <w:pStyle w:val="ae"/>
        <w:spacing w:before="0" w:after="0"/>
        <w:jc w:val="both"/>
        <w:rPr>
          <w:color w:val="000000" w:themeColor="text1"/>
          <w:sz w:val="16"/>
          <w:szCs w:val="16"/>
        </w:rPr>
      </w:pPr>
      <w:r w:rsidRPr="00A259BD">
        <w:rPr>
          <w:color w:val="000000" w:themeColor="text1"/>
          <w:sz w:val="16"/>
          <w:szCs w:val="16"/>
        </w:rPr>
        <w:t>«Гном и Рон» (Франция). Мотор «Юпитер» с воздушным охлаждением.</w:t>
      </w:r>
    </w:p>
    <w:p w14:paraId="1CC06A66" w14:textId="77777777" w:rsidR="008456F2" w:rsidRPr="00A259BD" w:rsidRDefault="008456F2" w:rsidP="009236E3">
      <w:pPr>
        <w:pStyle w:val="ae"/>
        <w:spacing w:before="0" w:after="0"/>
        <w:jc w:val="both"/>
        <w:rPr>
          <w:color w:val="000000" w:themeColor="text1"/>
          <w:sz w:val="16"/>
          <w:szCs w:val="16"/>
        </w:rPr>
      </w:pPr>
      <w:r w:rsidRPr="00A259BD">
        <w:rPr>
          <w:color w:val="000000" w:themeColor="text1"/>
          <w:sz w:val="16"/>
          <w:szCs w:val="16"/>
        </w:rPr>
        <w:t>«</w:t>
      </w:r>
      <w:proofErr w:type="spellStart"/>
      <w:r w:rsidRPr="00A259BD">
        <w:rPr>
          <w:color w:val="000000" w:themeColor="text1"/>
          <w:sz w:val="16"/>
          <w:szCs w:val="16"/>
        </w:rPr>
        <w:t>Сентилла</w:t>
      </w:r>
      <w:proofErr w:type="spellEnd"/>
      <w:r w:rsidRPr="00A259BD">
        <w:rPr>
          <w:color w:val="000000" w:themeColor="text1"/>
          <w:sz w:val="16"/>
          <w:szCs w:val="16"/>
        </w:rPr>
        <w:t>» (Италия). Магнето для авиа, авто.</w:t>
      </w:r>
    </w:p>
    <w:p w14:paraId="1CBE7CE2" w14:textId="77777777" w:rsidR="008456F2" w:rsidRPr="00A259BD" w:rsidRDefault="008456F2"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Примечание:</w:t>
      </w:r>
    </w:p>
    <w:p w14:paraId="52C9BBEC" w14:textId="77777777" w:rsidR="008456F2" w:rsidRPr="00A259BD" w:rsidRDefault="008456F2" w:rsidP="009236E3">
      <w:pPr>
        <w:pStyle w:val="ae"/>
        <w:spacing w:before="0" w:after="0"/>
        <w:jc w:val="both"/>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Датируется по входящему штампу.</w:t>
      </w:r>
    </w:p>
    <w:p w14:paraId="203B3410" w14:textId="77777777" w:rsidR="008456F2" w:rsidRPr="00A259BD" w:rsidRDefault="008456F2" w:rsidP="009236E3">
      <w:pPr>
        <w:pStyle w:val="ae"/>
        <w:spacing w:before="0" w:after="0"/>
        <w:jc w:val="both"/>
        <w:rPr>
          <w:color w:val="000000" w:themeColor="text1"/>
          <w:sz w:val="16"/>
          <w:szCs w:val="16"/>
        </w:rPr>
      </w:pPr>
      <w:r w:rsidRPr="00A259BD">
        <w:rPr>
          <w:color w:val="000000" w:themeColor="text1"/>
          <w:sz w:val="16"/>
          <w:szCs w:val="16"/>
        </w:rPr>
        <w:t>РГАЭ. Ф. 4372. Оп. 91. Д. 528. Л. 46. Копия.</w:t>
      </w:r>
    </w:p>
    <w:p w14:paraId="1A490FCC"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4372. Оп. 91. Д. 528. Л. 46. Копия. </w:t>
      </w:r>
    </w:p>
    <w:p w14:paraId="7FEFD19C"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323-324 (12454).</w:t>
      </w:r>
    </w:p>
    <w:p w14:paraId="2E4938F8" w14:textId="77777777" w:rsidR="008456F2" w:rsidRPr="00A259BD" w:rsidRDefault="008456F2" w:rsidP="009236E3">
      <w:pPr>
        <w:spacing w:after="0" w:line="240" w:lineRule="auto"/>
        <w:jc w:val="both"/>
        <w:rPr>
          <w:rFonts w:ascii="Times New Roman" w:hAnsi="Times New Roman"/>
          <w:color w:val="000000" w:themeColor="text1"/>
          <w:sz w:val="16"/>
          <w:szCs w:val="16"/>
        </w:rPr>
      </w:pPr>
    </w:p>
    <w:p w14:paraId="4A1B6021"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1743AA4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E758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Между 18 и 24 мая 1929. Из протокола заседания Политбюро N 81, особая папка, 1929 г. </w:t>
      </w:r>
    </w:p>
    <w:p w14:paraId="5B374A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Вопрос Наркомфина </w:t>
      </w:r>
    </w:p>
    <w:p w14:paraId="7336A2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Отвергнуть предложение Наркомфина о переходе с серебра на никель (для изготовления монет) как необоснованное и прекратить обсуждение этого вопроса где бы то ни было (11652). </w:t>
      </w:r>
    </w:p>
    <w:p w14:paraId="120438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E63B62"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18 мая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ЦИК и СНК приняли постановление «О порядке размещения на работу лиц, окончивших высшие учебные заведения и техникумы» (12265).</w:t>
      </w:r>
    </w:p>
    <w:p w14:paraId="09810C73"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36C75632" w14:textId="77777777" w:rsidR="001D6576" w:rsidRPr="00A259BD" w:rsidRDefault="001D6576"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color w:val="000000" w:themeColor="text1"/>
          <w:sz w:val="16"/>
          <w:szCs w:val="16"/>
        </w:rPr>
        <w:t xml:space="preserve">18 мая </w:t>
      </w:r>
      <w:bookmarkStart w:id="44" w:name="YANDEX_16"/>
      <w:bookmarkEnd w:id="44"/>
      <w:r w:rsidRPr="00A259BD">
        <w:rPr>
          <w:rStyle w:val="highlight"/>
          <w:rFonts w:ascii="Times New Roman" w:hAnsi="Times New Roman"/>
          <w:color w:val="000000" w:themeColor="text1"/>
          <w:sz w:val="16"/>
          <w:szCs w:val="16"/>
        </w:rPr>
        <w:t> 1929 </w:t>
      </w:r>
      <w:r w:rsidRPr="00A259BD">
        <w:rPr>
          <w:rFonts w:ascii="Times New Roman" w:hAnsi="Times New Roman"/>
          <w:color w:val="000000" w:themeColor="text1"/>
          <w:sz w:val="16"/>
          <w:szCs w:val="16"/>
        </w:rPr>
        <w:t xml:space="preserve"> г. было издано постановление ЦИК и СНК СССР «О порядке размещения на работу лиц, окончивших вузы и техникумы». Предусматривалось распределение специалистов по планам, составляемым наркоматами труда СССР и союзных республик на основе заявок учреждений, организаций и предприятий. Инструкция о применении этого постановления была введена в действие постановлением </w:t>
      </w:r>
      <w:proofErr w:type="spellStart"/>
      <w:r w:rsidRPr="00A259BD">
        <w:rPr>
          <w:rFonts w:ascii="Times New Roman" w:hAnsi="Times New Roman"/>
          <w:color w:val="000000" w:themeColor="text1"/>
          <w:sz w:val="16"/>
          <w:szCs w:val="16"/>
        </w:rPr>
        <w:t>Наркомтруда</w:t>
      </w:r>
      <w:proofErr w:type="spellEnd"/>
      <w:r w:rsidRPr="00A259BD">
        <w:rPr>
          <w:rFonts w:ascii="Times New Roman" w:hAnsi="Times New Roman"/>
          <w:color w:val="000000" w:themeColor="text1"/>
          <w:sz w:val="16"/>
          <w:szCs w:val="16"/>
        </w:rPr>
        <w:t xml:space="preserve"> СССР от 1 августа </w:t>
      </w:r>
      <w:bookmarkStart w:id="45" w:name="YANDEX_17"/>
      <w:bookmarkEnd w:id="45"/>
      <w:r w:rsidRPr="00A259BD">
        <w:rPr>
          <w:rStyle w:val="highlight"/>
          <w:rFonts w:ascii="Times New Roman" w:hAnsi="Times New Roman"/>
          <w:color w:val="000000" w:themeColor="text1"/>
          <w:sz w:val="16"/>
          <w:szCs w:val="16"/>
        </w:rPr>
        <w:t> 1929 </w:t>
      </w:r>
      <w:r w:rsidRPr="00A259BD">
        <w:rPr>
          <w:rFonts w:ascii="Times New Roman" w:hAnsi="Times New Roman"/>
          <w:color w:val="000000" w:themeColor="text1"/>
          <w:sz w:val="16"/>
          <w:szCs w:val="16"/>
        </w:rPr>
        <w:t xml:space="preserve"> г. Однако сведения о потребности в специалистах и об оканчивающих учебные заведения </w:t>
      </w:r>
      <w:proofErr w:type="spellStart"/>
      <w:r w:rsidRPr="00A259BD">
        <w:rPr>
          <w:rFonts w:ascii="Times New Roman" w:hAnsi="Times New Roman"/>
          <w:color w:val="000000" w:themeColor="text1"/>
          <w:sz w:val="16"/>
          <w:szCs w:val="16"/>
        </w:rPr>
        <w:t>Наркомтрудом</w:t>
      </w:r>
      <w:proofErr w:type="spellEnd"/>
      <w:r w:rsidRPr="00A259BD">
        <w:rPr>
          <w:rFonts w:ascii="Times New Roman" w:hAnsi="Times New Roman"/>
          <w:color w:val="000000" w:themeColor="text1"/>
          <w:sz w:val="16"/>
          <w:szCs w:val="16"/>
        </w:rPr>
        <w:t xml:space="preserve"> не были получены в срок, в результате чего в </w:t>
      </w:r>
      <w:bookmarkStart w:id="46" w:name="YANDEX_18"/>
      <w:bookmarkEnd w:id="46"/>
      <w:r w:rsidRPr="00A259BD">
        <w:rPr>
          <w:rStyle w:val="highlight"/>
          <w:rFonts w:ascii="Times New Roman" w:hAnsi="Times New Roman"/>
          <w:color w:val="000000" w:themeColor="text1"/>
          <w:sz w:val="16"/>
          <w:szCs w:val="16"/>
        </w:rPr>
        <w:t> 1929 </w:t>
      </w:r>
      <w:r w:rsidRPr="00A259BD">
        <w:rPr>
          <w:rFonts w:ascii="Times New Roman" w:hAnsi="Times New Roman"/>
          <w:color w:val="000000" w:themeColor="text1"/>
          <w:sz w:val="16"/>
          <w:szCs w:val="16"/>
        </w:rPr>
        <w:t xml:space="preserve"> г. постановление ЦИК и СНК СССР частично не было выполнено (ЦГАОР СССР, ф. 5515, </w:t>
      </w:r>
      <w:proofErr w:type="spellStart"/>
      <w:r w:rsidRPr="00A259BD">
        <w:rPr>
          <w:rFonts w:ascii="Times New Roman" w:hAnsi="Times New Roman"/>
          <w:color w:val="000000" w:themeColor="text1"/>
          <w:sz w:val="16"/>
          <w:szCs w:val="16"/>
        </w:rPr>
        <w:t>on</w:t>
      </w:r>
      <w:proofErr w:type="spellEnd"/>
      <w:r w:rsidRPr="00A259BD">
        <w:rPr>
          <w:rFonts w:ascii="Times New Roman" w:hAnsi="Times New Roman"/>
          <w:color w:val="000000" w:themeColor="text1"/>
          <w:sz w:val="16"/>
          <w:szCs w:val="16"/>
        </w:rPr>
        <w:t xml:space="preserve">. 1, д. 238, л. 102; СЗ, </w:t>
      </w:r>
      <w:bookmarkStart w:id="47" w:name="YANDEX_19"/>
      <w:bookmarkEnd w:id="47"/>
      <w:r w:rsidRPr="00A259BD">
        <w:rPr>
          <w:rStyle w:val="highlight"/>
          <w:rFonts w:ascii="Times New Roman" w:hAnsi="Times New Roman"/>
          <w:color w:val="000000" w:themeColor="text1"/>
          <w:sz w:val="16"/>
          <w:szCs w:val="16"/>
        </w:rPr>
        <w:t> 1929 </w:t>
      </w:r>
      <w:r w:rsidRPr="00A259BD">
        <w:rPr>
          <w:rFonts w:ascii="Times New Roman" w:hAnsi="Times New Roman"/>
          <w:color w:val="000000" w:themeColor="text1"/>
          <w:sz w:val="16"/>
          <w:szCs w:val="16"/>
        </w:rPr>
        <w:t>, № 34, ст. 298) (17228).</w:t>
      </w:r>
    </w:p>
    <w:p w14:paraId="18427B68" w14:textId="77777777" w:rsidR="001D6576" w:rsidRPr="00A259BD" w:rsidRDefault="001D657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8503F2" w14:textId="77777777" w:rsidR="00E14E2F"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EF5397A" w14:textId="77777777" w:rsidR="00E14E2F" w:rsidRPr="00A259BD" w:rsidRDefault="00E14E2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0AAB9A3" w14:textId="77777777" w:rsidR="00E14E2F" w:rsidRPr="00A259BD" w:rsidRDefault="00E14E2F"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19 мая</w:t>
      </w:r>
      <w:r w:rsidRPr="00A259BD">
        <w:rPr>
          <w:rFonts w:ascii="Times New Roman" w:hAnsi="Times New Roman"/>
          <w:color w:val="000000" w:themeColor="text1"/>
          <w:sz w:val="16"/>
          <w:szCs w:val="16"/>
        </w:rPr>
        <w:t xml:space="preserve"> в 1929 году немецкий гонщик Отто </w:t>
      </w:r>
      <w:proofErr w:type="spellStart"/>
      <w:r w:rsidRPr="00A259BD">
        <w:rPr>
          <w:rFonts w:ascii="Times New Roman" w:hAnsi="Times New Roman"/>
          <w:color w:val="000000" w:themeColor="text1"/>
          <w:sz w:val="16"/>
          <w:szCs w:val="16"/>
        </w:rPr>
        <w:t>Люрс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O.Luhrs</w:t>
      </w:r>
      <w:proofErr w:type="spellEnd"/>
      <w:r w:rsidRPr="00A259BD">
        <w:rPr>
          <w:rFonts w:ascii="Times New Roman" w:hAnsi="Times New Roman"/>
          <w:color w:val="000000" w:themeColor="text1"/>
          <w:sz w:val="16"/>
          <w:szCs w:val="16"/>
        </w:rPr>
        <w:t>) в присутствии 10 000 зрителей совершил заезд на мотоцикле «Opel» «</w:t>
      </w:r>
      <w:proofErr w:type="spellStart"/>
      <w:r w:rsidRPr="00A259BD">
        <w:rPr>
          <w:rFonts w:ascii="Times New Roman" w:hAnsi="Times New Roman"/>
          <w:color w:val="000000" w:themeColor="text1"/>
          <w:sz w:val="16"/>
          <w:szCs w:val="16"/>
        </w:rPr>
        <w:t>Motorclub</w:t>
      </w:r>
      <w:proofErr w:type="spellEnd"/>
      <w:r w:rsidRPr="00A259BD">
        <w:rPr>
          <w:rFonts w:ascii="Times New Roman" w:hAnsi="Times New Roman"/>
          <w:color w:val="000000" w:themeColor="text1"/>
          <w:sz w:val="16"/>
          <w:szCs w:val="16"/>
        </w:rPr>
        <w:t xml:space="preserve"> SS», который был оснащен 14-ю пороховыми ракетами (14896).</w:t>
      </w:r>
    </w:p>
    <w:p w14:paraId="60A08485" w14:textId="77777777" w:rsidR="00E14E2F" w:rsidRPr="00A259BD" w:rsidRDefault="00E14E2F" w:rsidP="009236E3">
      <w:pPr>
        <w:spacing w:after="0" w:line="240" w:lineRule="auto"/>
        <w:jc w:val="both"/>
        <w:rPr>
          <w:rFonts w:ascii="Times New Roman" w:hAnsi="Times New Roman"/>
          <w:color w:val="000000" w:themeColor="text1"/>
          <w:sz w:val="16"/>
          <w:szCs w:val="16"/>
        </w:rPr>
      </w:pPr>
    </w:p>
    <w:p w14:paraId="0908C82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0F3078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673FEC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мая 1929 в НИИ ВВС закончились испытания самолета И-3 БМВ VI Z, которые проходили с 5 апреля 1929.</w:t>
      </w:r>
    </w:p>
    <w:p w14:paraId="5B0248D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из дневника прохождения испытания самолета И-3 БМВ VI Z</w:t>
      </w:r>
    </w:p>
    <w:p w14:paraId="01B09E6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апреля 1929 года – самолет получен с завода № 25. Произведен пробный полет.</w:t>
      </w:r>
    </w:p>
    <w:p w14:paraId="6FB9571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апреля 1929 года – два полета на устойчивость и скороподъемность</w:t>
      </w:r>
    </w:p>
    <w:p w14:paraId="344E00D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апреля 1929 года – полет для испытания скорости на мерном километре и 3 полета для испытания на посадку</w:t>
      </w:r>
    </w:p>
    <w:p w14:paraId="2F841F6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апреля 1929 года – самолет переставлен с лыж на колеса</w:t>
      </w:r>
    </w:p>
    <w:p w14:paraId="7AB4F18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апреля 1929 года – полет на потолок</w:t>
      </w:r>
    </w:p>
    <w:p w14:paraId="0AA2BCB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мая 1929 года – пробный полет на потолок</w:t>
      </w:r>
    </w:p>
    <w:p w14:paraId="202E3E8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мая 1929 года – полет на управляемость и фигуры</w:t>
      </w:r>
    </w:p>
    <w:p w14:paraId="2922760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мая 1929 года – полет на </w:t>
      </w:r>
      <w:proofErr w:type="spellStart"/>
      <w:r w:rsidRPr="00A259BD">
        <w:rPr>
          <w:rFonts w:ascii="Times New Roman" w:hAnsi="Times New Roman"/>
          <w:color w:val="000000" w:themeColor="text1"/>
          <w:sz w:val="16"/>
          <w:szCs w:val="16"/>
        </w:rPr>
        <w:t>фотобазисе</w:t>
      </w:r>
      <w:proofErr w:type="spellEnd"/>
      <w:r w:rsidRPr="00A259BD">
        <w:rPr>
          <w:rFonts w:ascii="Times New Roman" w:hAnsi="Times New Roman"/>
          <w:color w:val="000000" w:themeColor="text1"/>
          <w:sz w:val="16"/>
          <w:szCs w:val="16"/>
        </w:rPr>
        <w:t xml:space="preserve"> на 2000 м, полет на управляемость на 1000 м</w:t>
      </w:r>
    </w:p>
    <w:p w14:paraId="2A17877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мая 1929 года – полет для определения крейсерской скорости и запаса горючего</w:t>
      </w:r>
    </w:p>
    <w:p w14:paraId="63B5E48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мая 1929 года – полет на управляемость по высотам. Полет на перегрузки и полет для определения наименьшего угла планирования и три полета для определения времени и длины разбега и пробега.</w:t>
      </w:r>
    </w:p>
    <w:p w14:paraId="540C331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мая 1929 года – два полета на штопор по особой программе.</w:t>
      </w:r>
    </w:p>
    <w:p w14:paraId="7311718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мая 1929 года – полет на штопор по особой программе.</w:t>
      </w:r>
    </w:p>
    <w:p w14:paraId="7F3CC59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мая 1929 года – полет на штопор и полет для определения пробега с остановленным винтом (6979).</w:t>
      </w:r>
    </w:p>
    <w:p w14:paraId="59744C2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9B47F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мая 1929 в НИИ ВВС закончились испытания самолета И3-БМВVI, второго экз., которые проходили с 5 апреля 1929.</w:t>
      </w:r>
    </w:p>
    <w:p w14:paraId="2924C4F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Объяснительная записка по второму летному экземпляру самолета И3-БМВVIZ</w:t>
      </w:r>
    </w:p>
    <w:p w14:paraId="02A529B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спроектирован и построен согласно техническим требованиям УВВС от 2 августа 1926 года, дополнения к ним от 7 сентября 1926 года и постановления Президиума НК УВВС от 4 ноября 1927 года.</w:t>
      </w:r>
    </w:p>
    <w:p w14:paraId="153D761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период заводских летных испытаний были проделаны все фигуры.</w:t>
      </w:r>
    </w:p>
    <w:p w14:paraId="71E7534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летный экземпляр самолета И3 в отношении конструкции и примененных материалов идентичен первому летному экземпляру и имеет лишь следующие отличия:</w:t>
      </w:r>
    </w:p>
    <w:p w14:paraId="52739BBF"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Вместо мотора БМВVI поставлен мотор БМВVIZ.</w:t>
      </w:r>
    </w:p>
    <w:p w14:paraId="382AC215"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Емкость главного бензинового бака увеличена на 50 кг за счет увеличения соответствующего отсека фюзеляжа.</w:t>
      </w:r>
    </w:p>
    <w:p w14:paraId="5B64755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7F6A96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прибыл в НИИ на испытание 14 марта 1928 года, а 13 апреля 1928 года сдан на ГАЗ № 1.</w:t>
      </w:r>
    </w:p>
    <w:p w14:paraId="0CCCC41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Основным недочетом самолета выявилась неустойчивость пути и еще 38 дефектов.</w:t>
      </w:r>
    </w:p>
    <w:p w14:paraId="268C1FC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апреля 1928 года на Президиуме НТК ВВС отмечено, что без устранения основного недостатка – неустойчивости пути, самолет не может быть допущен к серийной постройке.</w:t>
      </w:r>
    </w:p>
    <w:p w14:paraId="68AC7C5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НИИ и конструктор самолета Поликарпов требовали, требовали прежде чем решать вопрос о серийной постройке самолета, </w:t>
      </w:r>
      <w:proofErr w:type="spellStart"/>
      <w:r w:rsidRPr="00A259BD">
        <w:rPr>
          <w:rFonts w:ascii="Times New Roman" w:hAnsi="Times New Roman"/>
          <w:color w:val="000000" w:themeColor="text1"/>
          <w:sz w:val="16"/>
          <w:szCs w:val="16"/>
        </w:rPr>
        <w:t>доиспытать</w:t>
      </w:r>
      <w:proofErr w:type="spellEnd"/>
      <w:r w:rsidRPr="00A259BD">
        <w:rPr>
          <w:rFonts w:ascii="Times New Roman" w:hAnsi="Times New Roman"/>
          <w:color w:val="000000" w:themeColor="text1"/>
          <w:sz w:val="16"/>
          <w:szCs w:val="16"/>
        </w:rPr>
        <w:t xml:space="preserve"> его в НИИ. Но в силу категорического заявления представителя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решено было передать самолет на завод немедленно. На этом испытание самолета в НИИ было закончено и 13 апреля 1928 года он был передан на завод.</w:t>
      </w:r>
    </w:p>
    <w:p w14:paraId="3C2C293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Прохождение испытаний второго экземпляра самолета И3 БМВ VI</w:t>
      </w:r>
    </w:p>
    <w:p w14:paraId="05371C7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прибыл в октябре 1928 года. До 13 ноября 1928 года было окончательно выявлено, что и на втором опытном экземпляре И3 не хватает руля глубины.</w:t>
      </w:r>
    </w:p>
    <w:p w14:paraId="2E4C057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17 по 21 ноября 1928 года производилась установка новых рулей и испытание действия его. Испытания показали, что посадка на три точки при новом руле возможна.</w:t>
      </w:r>
    </w:p>
    <w:p w14:paraId="357B0A0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21 ноября 1928 года произошла порча мотора и 7 декабря 1928 года самолет был сдан на завод № 25 для исправления мотора.</w:t>
      </w:r>
    </w:p>
    <w:p w14:paraId="4C3BF61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Вновь самолет прибыл в НИИ 5 апреля 1929 года и по 20 мая 1929 года находился в НИИ на испытании. Испытание закончено не было, так как 20 мая произошла авария самолета (6976).</w:t>
      </w:r>
    </w:p>
    <w:p w14:paraId="335DE5B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4291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мая 1929 завод 25 в лице Дир. Горшкова и Пом. </w:t>
      </w:r>
      <w:proofErr w:type="spellStart"/>
      <w:r w:rsidRPr="00A259BD">
        <w:rPr>
          <w:rFonts w:ascii="Times New Roman" w:hAnsi="Times New Roman"/>
          <w:color w:val="000000" w:themeColor="text1"/>
          <w:sz w:val="16"/>
          <w:szCs w:val="16"/>
        </w:rPr>
        <w:t>дир</w:t>
      </w:r>
      <w:proofErr w:type="spellEnd"/>
      <w:r w:rsidRPr="00A259BD">
        <w:rPr>
          <w:rFonts w:ascii="Times New Roman" w:hAnsi="Times New Roman"/>
          <w:color w:val="000000" w:themeColor="text1"/>
          <w:sz w:val="16"/>
          <w:szCs w:val="16"/>
        </w:rPr>
        <w:t xml:space="preserve">.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Н.Н.П. писали письмо в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с прилагаемым проектом пятилетнего плана...</w:t>
      </w:r>
    </w:p>
    <w:p w14:paraId="78CAE9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Группа</w:t>
      </w:r>
    </w:p>
    <w:p w14:paraId="1B74E4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Штурмовик - Предлагается разработать самолет, могущий помогать пехоте при атаке или же самостоятельно атаковать земные цели.</w:t>
      </w:r>
    </w:p>
    <w:p w14:paraId="6E6C06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Предполагается снабдить его вооружение мелкими бомбами и достаточным количеством пулеметов. Самолет этот предполагается выстроить специально для этой цели, а не приспосабливать имеющийся. Будет проработана специальная схема самолета, даны соответствующие ЛД и полностью учтены те </w:t>
      </w:r>
      <w:proofErr w:type="spellStart"/>
      <w:r w:rsidRPr="00A259BD">
        <w:rPr>
          <w:rFonts w:ascii="Times New Roman" w:hAnsi="Times New Roman"/>
          <w:color w:val="000000" w:themeColor="text1"/>
          <w:sz w:val="16"/>
          <w:szCs w:val="16"/>
        </w:rPr>
        <w:t>м.б.</w:t>
      </w:r>
      <w:proofErr w:type="spellEnd"/>
      <w:r w:rsidRPr="00A259BD">
        <w:rPr>
          <w:rFonts w:ascii="Times New Roman" w:hAnsi="Times New Roman"/>
          <w:color w:val="000000" w:themeColor="text1"/>
          <w:sz w:val="16"/>
          <w:szCs w:val="16"/>
        </w:rPr>
        <w:t xml:space="preserve"> небольшие к тому времени данные по боевому применению такого рода самолетов, кои накопятся в ВВС..." (2365).</w:t>
      </w:r>
    </w:p>
    <w:p w14:paraId="413FAC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A32B3E" w14:textId="77777777" w:rsidR="007A3FA3" w:rsidRPr="006B74EB" w:rsidRDefault="007A3FA3" w:rsidP="007A3FA3">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20 </w:t>
      </w:r>
      <w:r w:rsidRPr="006B74EB">
        <w:rPr>
          <w:rFonts w:ascii="Times New Roman" w:hAnsi="Times New Roman"/>
          <w:color w:val="0070C0"/>
          <w:sz w:val="16"/>
          <w:szCs w:val="16"/>
        </w:rPr>
        <w:t>м</w:t>
      </w:r>
      <w:r>
        <w:rPr>
          <w:rFonts w:ascii="Times New Roman" w:hAnsi="Times New Roman"/>
          <w:color w:val="0070C0"/>
          <w:sz w:val="16"/>
          <w:szCs w:val="16"/>
        </w:rPr>
        <w:t>а</w:t>
      </w:r>
      <w:r w:rsidRPr="006B74EB">
        <w:rPr>
          <w:rFonts w:ascii="Times New Roman" w:hAnsi="Times New Roman"/>
          <w:color w:val="0070C0"/>
          <w:sz w:val="16"/>
          <w:szCs w:val="16"/>
        </w:rPr>
        <w:t>я</w:t>
      </w:r>
      <w:r>
        <w:rPr>
          <w:rFonts w:ascii="Times New Roman" w:hAnsi="Times New Roman"/>
          <w:color w:val="0070C0"/>
          <w:sz w:val="16"/>
          <w:szCs w:val="16"/>
        </w:rPr>
        <w:t xml:space="preserve"> 1929 г</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начальник ВВС </w:t>
      </w:r>
      <w:proofErr w:type="spellStart"/>
      <w:r w:rsidRPr="006B74EB">
        <w:rPr>
          <w:rFonts w:ascii="Times New Roman" w:hAnsi="Times New Roman"/>
          <w:color w:val="0070C0"/>
          <w:sz w:val="16"/>
          <w:szCs w:val="16"/>
        </w:rPr>
        <w:t>П.И.Баранов</w:t>
      </w:r>
      <w:proofErr w:type="spellEnd"/>
      <w:r w:rsidRPr="006B74EB">
        <w:rPr>
          <w:rFonts w:ascii="Times New Roman" w:hAnsi="Times New Roman"/>
          <w:color w:val="0070C0"/>
          <w:sz w:val="16"/>
          <w:szCs w:val="16"/>
        </w:rPr>
        <w:t xml:space="preserve"> в докладе реввоенсовету </w:t>
      </w:r>
      <w:proofErr w:type="spellStart"/>
      <w:r w:rsidRPr="006B74EB">
        <w:rPr>
          <w:rFonts w:ascii="Times New Roman" w:hAnsi="Times New Roman"/>
          <w:color w:val="0070C0"/>
          <w:sz w:val="16"/>
          <w:szCs w:val="16"/>
        </w:rPr>
        <w:t>зая</w:t>
      </w:r>
      <w:r>
        <w:rPr>
          <w:rFonts w:ascii="Times New Roman" w:hAnsi="Times New Roman"/>
          <w:color w:val="0070C0"/>
          <w:sz w:val="16"/>
          <w:szCs w:val="16"/>
        </w:rPr>
        <w:t>явил</w:t>
      </w:r>
      <w:proofErr w:type="spellEnd"/>
      <w:r>
        <w:rPr>
          <w:rFonts w:ascii="Times New Roman" w:hAnsi="Times New Roman"/>
          <w:color w:val="0070C0"/>
          <w:sz w:val="16"/>
          <w:szCs w:val="16"/>
        </w:rPr>
        <w:t>: «По</w:t>
      </w:r>
      <w:r w:rsidRPr="006B74EB">
        <w:rPr>
          <w:rFonts w:ascii="Times New Roman" w:hAnsi="Times New Roman"/>
          <w:color w:val="0070C0"/>
          <w:sz w:val="16"/>
          <w:szCs w:val="16"/>
        </w:rPr>
        <w:t xml:space="preserve"> моторам за последнее пятилетие было</w:t>
      </w:r>
      <w:r>
        <w:rPr>
          <w:rFonts w:ascii="Times New Roman" w:hAnsi="Times New Roman"/>
          <w:color w:val="0070C0"/>
          <w:sz w:val="16"/>
          <w:szCs w:val="16"/>
        </w:rPr>
        <w:t xml:space="preserve"> </w:t>
      </w:r>
      <w:r w:rsidRPr="006B74EB">
        <w:rPr>
          <w:rFonts w:ascii="Times New Roman" w:hAnsi="Times New Roman"/>
          <w:color w:val="0070C0"/>
          <w:sz w:val="16"/>
          <w:szCs w:val="16"/>
        </w:rPr>
        <w:t>запроектировано 40 мо</w:t>
      </w:r>
      <w:r>
        <w:rPr>
          <w:rFonts w:ascii="Times New Roman" w:hAnsi="Times New Roman"/>
          <w:color w:val="0070C0"/>
          <w:sz w:val="16"/>
          <w:szCs w:val="16"/>
        </w:rPr>
        <w:t>торов и на</w:t>
      </w:r>
      <w:r w:rsidRPr="006B74EB">
        <w:rPr>
          <w:rFonts w:ascii="Times New Roman" w:hAnsi="Times New Roman"/>
          <w:color w:val="0070C0"/>
          <w:sz w:val="16"/>
          <w:szCs w:val="16"/>
        </w:rPr>
        <w:t xml:space="preserve">чато постройкой </w:t>
      </w:r>
      <w:r>
        <w:rPr>
          <w:rFonts w:ascii="Times New Roman" w:hAnsi="Times New Roman"/>
          <w:color w:val="0070C0"/>
          <w:sz w:val="16"/>
          <w:szCs w:val="16"/>
        </w:rPr>
        <w:t>1</w:t>
      </w:r>
      <w:r w:rsidRPr="006B74EB">
        <w:rPr>
          <w:rFonts w:ascii="Times New Roman" w:hAnsi="Times New Roman"/>
          <w:color w:val="0070C0"/>
          <w:sz w:val="16"/>
          <w:szCs w:val="16"/>
        </w:rPr>
        <w:t>7,</w:t>
      </w:r>
      <w:r>
        <w:rPr>
          <w:rFonts w:ascii="Times New Roman" w:hAnsi="Times New Roman"/>
          <w:color w:val="0070C0"/>
          <w:sz w:val="16"/>
          <w:szCs w:val="16"/>
        </w:rPr>
        <w:t xml:space="preserve"> закончен и принят на </w:t>
      </w:r>
      <w:r w:rsidRPr="006B74EB">
        <w:rPr>
          <w:rFonts w:ascii="Times New Roman" w:hAnsi="Times New Roman"/>
          <w:color w:val="0070C0"/>
          <w:sz w:val="16"/>
          <w:szCs w:val="16"/>
        </w:rPr>
        <w:t>снабжение одни</w:t>
      </w:r>
      <w:r>
        <w:rPr>
          <w:rFonts w:ascii="Times New Roman" w:hAnsi="Times New Roman"/>
          <w:color w:val="0070C0"/>
          <w:sz w:val="16"/>
          <w:szCs w:val="16"/>
        </w:rPr>
        <w:t>»</w:t>
      </w:r>
      <w:r w:rsidRPr="006B74EB">
        <w:rPr>
          <w:rFonts w:ascii="Times New Roman" w:hAnsi="Times New Roman"/>
          <w:color w:val="0070C0"/>
          <w:sz w:val="16"/>
          <w:szCs w:val="16"/>
        </w:rPr>
        <w:t>.</w:t>
      </w:r>
    </w:p>
    <w:p w14:paraId="3CBEA5B1" w14:textId="77777777" w:rsidR="007A3FA3" w:rsidRDefault="007A3FA3" w:rsidP="007A3FA3">
      <w:pPr>
        <w:spacing w:after="0" w:line="240" w:lineRule="auto"/>
        <w:jc w:val="both"/>
        <w:rPr>
          <w:rFonts w:ascii="Times New Roman" w:hAnsi="Times New Roman"/>
          <w:color w:val="0070C0"/>
          <w:sz w:val="16"/>
          <w:szCs w:val="16"/>
        </w:rPr>
      </w:pPr>
      <w:r>
        <w:rPr>
          <w:rFonts w:ascii="Times New Roman" w:hAnsi="Times New Roman"/>
          <w:color w:val="0070C0"/>
          <w:sz w:val="16"/>
          <w:szCs w:val="16"/>
        </w:rPr>
        <w:t>/ЦГАСА, ф. 4, оп. 2, д. 289, л. 236/ (23370).</w:t>
      </w:r>
    </w:p>
    <w:p w14:paraId="78E74BAB" w14:textId="77777777" w:rsidR="007A3FA3" w:rsidRDefault="007A3FA3" w:rsidP="007A3FA3">
      <w:pPr>
        <w:spacing w:after="0" w:line="240" w:lineRule="auto"/>
        <w:jc w:val="both"/>
        <w:rPr>
          <w:rFonts w:ascii="Times New Roman" w:hAnsi="Times New Roman"/>
          <w:color w:val="0070C0"/>
          <w:sz w:val="16"/>
          <w:szCs w:val="16"/>
        </w:rPr>
      </w:pPr>
    </w:p>
    <w:p w14:paraId="42BD7B96"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7A3B14A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793A7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20-28 мая 1929 на 5 съезде Советов был утвержден 1-й пятилетний план (1348,198).</w:t>
      </w:r>
    </w:p>
    <w:p w14:paraId="069478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8DCF2F9" w14:textId="77777777" w:rsidR="00E14E2F" w:rsidRPr="00A259BD" w:rsidRDefault="00E14E2F"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20 мая</w:t>
      </w:r>
      <w:r w:rsidRPr="00A259BD">
        <w:rPr>
          <w:rFonts w:ascii="Times New Roman" w:hAnsi="Times New Roman"/>
          <w:color w:val="000000" w:themeColor="text1"/>
          <w:sz w:val="16"/>
          <w:szCs w:val="16"/>
        </w:rPr>
        <w:t xml:space="preserve"> в 1929 году начинает свою работу V съезд Советов СССР, который утвердит первый пятилетний план и возьмет курс на коллективизацию сельского хозяйства (14897).</w:t>
      </w:r>
    </w:p>
    <w:p w14:paraId="1F61FA39" w14:textId="77777777" w:rsidR="00E14E2F" w:rsidRPr="00A259BD" w:rsidRDefault="00E14E2F" w:rsidP="009236E3">
      <w:pPr>
        <w:spacing w:after="0" w:line="240" w:lineRule="auto"/>
        <w:jc w:val="both"/>
        <w:rPr>
          <w:rFonts w:ascii="Times New Roman" w:hAnsi="Times New Roman"/>
          <w:color w:val="000000" w:themeColor="text1"/>
          <w:sz w:val="16"/>
          <w:szCs w:val="16"/>
        </w:rPr>
      </w:pPr>
    </w:p>
    <w:p w14:paraId="50BD6AF5" w14:textId="77777777" w:rsidR="00824206" w:rsidRPr="00A259BD" w:rsidRDefault="00824206"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48" w:name="_Hlk91316551"/>
      <w:r w:rsidRPr="00A259BD">
        <w:rPr>
          <w:rFonts w:ascii="Times New Roman" w:eastAsia="Times New Roman" w:hAnsi="Times New Roman"/>
          <w:color w:val="000000" w:themeColor="text1"/>
          <w:sz w:val="16"/>
          <w:szCs w:val="16"/>
          <w:lang w:eastAsia="ru-RU"/>
        </w:rPr>
        <w:t>20-28 мая 1929 г. прошел Пятый съезд Советов. В нарушение традиции Третьего и Четвертого съездов Советов, на которых заслушивались доклады НКВМ о состоянии обороны Союза, высшее партийное руководство решило исключить этот вопрос из повестки (Протокол № 81 заседания Политбюро ЦК ВКП(б) от 23-05.1929 // РГА СПИ. Ф. 17. Оп. 3. Д- 741. Л. 6; Бюллетень № 1. Заседание первое, 20.05.1929 г. с. 4-5. // 5-й Съезд Советов: Стенографический отчет. М., 1929). Докладчики (Рыков, Кржижановский, Куйбышев) не проронили ни слова о том, какие оборонные задачи предстоит решать в связи с осуществлением пятилетнего плана. Как бы в подтверждение того, что время открытых дебатов закончилось, в постановление съезда было внесено декларативное "поручение" правительству "принять при исполнении пятилетнего плана конкретные меры, гарантирующие развитие тех отраслей народного хозяйства, которые неразрывно связаны с обороноспособностью страны" (О пятилетнем плане развития народного хозяйства: Постановления. С. 10 // Там же.) (22725).</w:t>
      </w:r>
    </w:p>
    <w:bookmarkEnd w:id="48"/>
    <w:p w14:paraId="0DBD2222" w14:textId="77777777" w:rsidR="00824206" w:rsidRPr="00A259BD" w:rsidRDefault="00824206" w:rsidP="009236E3">
      <w:pPr>
        <w:spacing w:after="0" w:line="240" w:lineRule="auto"/>
        <w:jc w:val="both"/>
        <w:rPr>
          <w:rFonts w:ascii="Times New Roman" w:hAnsi="Times New Roman"/>
          <w:color w:val="000000" w:themeColor="text1"/>
          <w:sz w:val="16"/>
          <w:szCs w:val="16"/>
        </w:rPr>
      </w:pPr>
    </w:p>
    <w:p w14:paraId="0CC9264A"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BCEA69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7C12D71" w14:textId="77777777" w:rsidR="006F3970" w:rsidRPr="00A259BD" w:rsidRDefault="006F397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мая 1929 Перуанской «авиационная отрасль армии и перуанскими флота» </w:t>
      </w:r>
      <w:proofErr w:type="spellStart"/>
      <w:r w:rsidRPr="00A259BD">
        <w:rPr>
          <w:rFonts w:ascii="Times New Roman" w:hAnsi="Times New Roman"/>
          <w:color w:val="000000" w:themeColor="text1"/>
          <w:sz w:val="16"/>
          <w:szCs w:val="16"/>
        </w:rPr>
        <w:t>Военно</w:t>
      </w:r>
      <w:proofErr w:type="spellEnd"/>
      <w:r w:rsidRPr="00A259BD">
        <w:rPr>
          <w:rFonts w:ascii="Times New Roman" w:hAnsi="Times New Roman"/>
          <w:color w:val="000000" w:themeColor="text1"/>
          <w:sz w:val="16"/>
          <w:szCs w:val="16"/>
        </w:rPr>
        <w:t xml:space="preserve"> - морской авиационный корпус объединены в перуанском авиационном корпусе, предвестнике перуанских ВВС (20806).</w:t>
      </w:r>
    </w:p>
    <w:p w14:paraId="38F8FD07" w14:textId="77777777" w:rsidR="006F3970" w:rsidRPr="00A259BD" w:rsidRDefault="006F3970" w:rsidP="009236E3">
      <w:pPr>
        <w:spacing w:after="0" w:line="240" w:lineRule="auto"/>
        <w:jc w:val="both"/>
        <w:rPr>
          <w:rFonts w:ascii="Times New Roman" w:hAnsi="Times New Roman"/>
          <w:color w:val="000000" w:themeColor="text1"/>
          <w:sz w:val="16"/>
          <w:szCs w:val="16"/>
        </w:rPr>
      </w:pPr>
    </w:p>
    <w:p w14:paraId="61D9FA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мая 1929 Япония вывела войска с </w:t>
      </w:r>
      <w:proofErr w:type="spellStart"/>
      <w:r w:rsidRPr="00A259BD">
        <w:rPr>
          <w:rFonts w:ascii="Times New Roman" w:hAnsi="Times New Roman"/>
          <w:color w:val="000000" w:themeColor="text1"/>
          <w:sz w:val="16"/>
          <w:szCs w:val="16"/>
        </w:rPr>
        <w:t>Шаньдунского</w:t>
      </w:r>
      <w:proofErr w:type="spellEnd"/>
      <w:r w:rsidRPr="00A259BD">
        <w:rPr>
          <w:rFonts w:ascii="Times New Roman" w:hAnsi="Times New Roman"/>
          <w:color w:val="000000" w:themeColor="text1"/>
          <w:sz w:val="16"/>
          <w:szCs w:val="16"/>
        </w:rPr>
        <w:t xml:space="preserve"> п/о в Китае (3907,156).</w:t>
      </w:r>
    </w:p>
    <w:p w14:paraId="026CB0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B59BE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82B8DE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9F051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мая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по рассмотрению и утверждению 3-х летнего плана опытного строительства:</w:t>
      </w:r>
    </w:p>
    <w:p w14:paraId="136FBE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 1. Принять заявление представителей УВВС, что 5-ти летний план по опытному строительству будет поставлен на утверждение РВС только в сентябре. Представленный материал считать как трехлетку 1928/1931 (2351,193):</w:t>
      </w:r>
    </w:p>
    <w:p w14:paraId="40FA64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Трехлетний план опытного строительства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2109"/>
        <w:gridCol w:w="2012"/>
        <w:gridCol w:w="1751"/>
        <w:gridCol w:w="1641"/>
      </w:tblGrid>
      <w:tr w:rsidR="00A259BD" w:rsidRPr="00A259BD" w14:paraId="4C8CAD49" w14:textId="77777777">
        <w:tc>
          <w:tcPr>
            <w:tcW w:w="2943" w:type="dxa"/>
          </w:tcPr>
          <w:p w14:paraId="60FEB1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N п/п Наименование</w:t>
            </w:r>
          </w:p>
        </w:tc>
        <w:tc>
          <w:tcPr>
            <w:tcW w:w="2109" w:type="dxa"/>
          </w:tcPr>
          <w:p w14:paraId="25FA35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Марка</w:t>
            </w:r>
          </w:p>
        </w:tc>
        <w:tc>
          <w:tcPr>
            <w:tcW w:w="2012" w:type="dxa"/>
          </w:tcPr>
          <w:p w14:paraId="0AF608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Начало</w:t>
            </w:r>
          </w:p>
        </w:tc>
        <w:tc>
          <w:tcPr>
            <w:tcW w:w="1751" w:type="dxa"/>
          </w:tcPr>
          <w:p w14:paraId="1BADE5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w:t>
            </w:r>
          </w:p>
        </w:tc>
        <w:tc>
          <w:tcPr>
            <w:tcW w:w="1641" w:type="dxa"/>
          </w:tcPr>
          <w:p w14:paraId="793A4C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Предъявл</w:t>
            </w:r>
            <w:proofErr w:type="spellEnd"/>
            <w:r w:rsidRPr="00A259BD">
              <w:rPr>
                <w:rFonts w:ascii="Times New Roman" w:hAnsi="Times New Roman"/>
                <w:color w:val="000000" w:themeColor="text1"/>
                <w:sz w:val="16"/>
                <w:szCs w:val="16"/>
              </w:rPr>
              <w:t>. НИИ</w:t>
            </w:r>
          </w:p>
        </w:tc>
      </w:tr>
      <w:tr w:rsidR="00A259BD" w:rsidRPr="00A259BD" w14:paraId="44C90CA1" w14:textId="77777777">
        <w:tc>
          <w:tcPr>
            <w:tcW w:w="2943" w:type="dxa"/>
          </w:tcPr>
          <w:p w14:paraId="4BE0A8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09" w:type="dxa"/>
          </w:tcPr>
          <w:p w14:paraId="04B109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16B4B0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2CE23A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w:t>
            </w:r>
          </w:p>
        </w:tc>
        <w:tc>
          <w:tcPr>
            <w:tcW w:w="1641" w:type="dxa"/>
          </w:tcPr>
          <w:p w14:paraId="7DEE94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202E056" w14:textId="77777777">
        <w:tc>
          <w:tcPr>
            <w:tcW w:w="2943" w:type="dxa"/>
          </w:tcPr>
          <w:p w14:paraId="6FF647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Сухопутные самолеты</w:t>
            </w:r>
          </w:p>
        </w:tc>
        <w:tc>
          <w:tcPr>
            <w:tcW w:w="2109" w:type="dxa"/>
          </w:tcPr>
          <w:p w14:paraId="561040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4889F7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6FE061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0E0DC9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1BFB5BE" w14:textId="77777777">
        <w:tc>
          <w:tcPr>
            <w:tcW w:w="2943" w:type="dxa"/>
          </w:tcPr>
          <w:p w14:paraId="036525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Одном. истребитель деревянный</w:t>
            </w:r>
          </w:p>
        </w:tc>
        <w:tc>
          <w:tcPr>
            <w:tcW w:w="2109" w:type="dxa"/>
          </w:tcPr>
          <w:p w14:paraId="5A5E51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Хорнет</w:t>
            </w:r>
            <w:proofErr w:type="spellEnd"/>
            <w:r w:rsidRPr="00A259BD">
              <w:rPr>
                <w:rFonts w:ascii="Times New Roman" w:hAnsi="Times New Roman"/>
                <w:color w:val="000000" w:themeColor="text1"/>
                <w:sz w:val="16"/>
                <w:szCs w:val="16"/>
              </w:rPr>
              <w:t>, И-6</w:t>
            </w:r>
          </w:p>
        </w:tc>
        <w:tc>
          <w:tcPr>
            <w:tcW w:w="2012" w:type="dxa"/>
          </w:tcPr>
          <w:p w14:paraId="6F70A1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w:t>
            </w:r>
          </w:p>
        </w:tc>
        <w:tc>
          <w:tcPr>
            <w:tcW w:w="1751" w:type="dxa"/>
          </w:tcPr>
          <w:p w14:paraId="4EDD9B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мес.</w:t>
            </w:r>
          </w:p>
        </w:tc>
        <w:tc>
          <w:tcPr>
            <w:tcW w:w="1641" w:type="dxa"/>
          </w:tcPr>
          <w:p w14:paraId="26B390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BE6182A" w14:textId="77777777">
        <w:tc>
          <w:tcPr>
            <w:tcW w:w="2943" w:type="dxa"/>
          </w:tcPr>
          <w:p w14:paraId="42AC2A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09" w:type="dxa"/>
          </w:tcPr>
          <w:p w14:paraId="61ECAF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Ю-VI</w:t>
            </w:r>
          </w:p>
        </w:tc>
        <w:tc>
          <w:tcPr>
            <w:tcW w:w="2012" w:type="dxa"/>
          </w:tcPr>
          <w:p w14:paraId="501B0D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38D484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п/п мот.</w:t>
            </w:r>
          </w:p>
        </w:tc>
        <w:tc>
          <w:tcPr>
            <w:tcW w:w="1641" w:type="dxa"/>
          </w:tcPr>
          <w:p w14:paraId="4BEE31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B5BD9D1" w14:textId="77777777">
        <w:tc>
          <w:tcPr>
            <w:tcW w:w="2943" w:type="dxa"/>
          </w:tcPr>
          <w:p w14:paraId="1539B7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Одном. истребитель деревянный</w:t>
            </w:r>
          </w:p>
        </w:tc>
        <w:tc>
          <w:tcPr>
            <w:tcW w:w="2109" w:type="dxa"/>
          </w:tcPr>
          <w:p w14:paraId="624C5A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И-7, М-17</w:t>
            </w:r>
          </w:p>
        </w:tc>
        <w:tc>
          <w:tcPr>
            <w:tcW w:w="2012" w:type="dxa"/>
          </w:tcPr>
          <w:p w14:paraId="262B9C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01.06.29</w:t>
            </w:r>
          </w:p>
        </w:tc>
        <w:tc>
          <w:tcPr>
            <w:tcW w:w="1751" w:type="dxa"/>
          </w:tcPr>
          <w:p w14:paraId="723110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01.05.30</w:t>
            </w:r>
          </w:p>
        </w:tc>
        <w:tc>
          <w:tcPr>
            <w:tcW w:w="1641" w:type="dxa"/>
          </w:tcPr>
          <w:p w14:paraId="5F43E9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3E1231E" w14:textId="77777777">
        <w:tc>
          <w:tcPr>
            <w:tcW w:w="2943" w:type="dxa"/>
          </w:tcPr>
          <w:p w14:paraId="1DC002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Одном. истребитель </w:t>
            </w:r>
            <w:proofErr w:type="spellStart"/>
            <w:r w:rsidRPr="00A259BD">
              <w:rPr>
                <w:rFonts w:ascii="Times New Roman" w:hAnsi="Times New Roman"/>
                <w:color w:val="000000" w:themeColor="text1"/>
                <w:sz w:val="16"/>
                <w:szCs w:val="16"/>
              </w:rPr>
              <w:t>сварн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фюз</w:t>
            </w:r>
            <w:proofErr w:type="spellEnd"/>
            <w:r w:rsidRPr="00A259BD">
              <w:rPr>
                <w:rFonts w:ascii="Times New Roman" w:hAnsi="Times New Roman"/>
                <w:color w:val="000000" w:themeColor="text1"/>
                <w:sz w:val="16"/>
                <w:szCs w:val="16"/>
              </w:rPr>
              <w:t>.</w:t>
            </w:r>
          </w:p>
        </w:tc>
        <w:tc>
          <w:tcPr>
            <w:tcW w:w="2109" w:type="dxa"/>
          </w:tcPr>
          <w:p w14:paraId="6A320D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И-7бис, М-17</w:t>
            </w:r>
          </w:p>
        </w:tc>
        <w:tc>
          <w:tcPr>
            <w:tcW w:w="2012" w:type="dxa"/>
          </w:tcPr>
          <w:p w14:paraId="1D4232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01.06.29</w:t>
            </w:r>
          </w:p>
        </w:tc>
        <w:tc>
          <w:tcPr>
            <w:tcW w:w="1751" w:type="dxa"/>
          </w:tcPr>
          <w:p w14:paraId="0F8634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01.07.30</w:t>
            </w:r>
          </w:p>
        </w:tc>
        <w:tc>
          <w:tcPr>
            <w:tcW w:w="1641" w:type="dxa"/>
          </w:tcPr>
          <w:p w14:paraId="2A98D2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E286CC3" w14:textId="77777777">
        <w:tc>
          <w:tcPr>
            <w:tcW w:w="2943" w:type="dxa"/>
          </w:tcPr>
          <w:p w14:paraId="2F0D1F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w:t>
            </w:r>
            <w:proofErr w:type="spellStart"/>
            <w:r w:rsidRPr="00A259BD">
              <w:rPr>
                <w:rFonts w:ascii="Times New Roman" w:hAnsi="Times New Roman"/>
                <w:color w:val="000000" w:themeColor="text1"/>
                <w:sz w:val="16"/>
                <w:szCs w:val="16"/>
              </w:rPr>
              <w:t>Двухм</w:t>
            </w:r>
            <w:proofErr w:type="spellEnd"/>
            <w:r w:rsidRPr="00A259BD">
              <w:rPr>
                <w:rFonts w:ascii="Times New Roman" w:hAnsi="Times New Roman"/>
                <w:color w:val="000000" w:themeColor="text1"/>
                <w:sz w:val="16"/>
                <w:szCs w:val="16"/>
              </w:rPr>
              <w:t>. истребитель деревянный</w:t>
            </w:r>
          </w:p>
        </w:tc>
        <w:tc>
          <w:tcPr>
            <w:tcW w:w="2109" w:type="dxa"/>
          </w:tcPr>
          <w:p w14:paraId="25749C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Д-2 БМВ-6</w:t>
            </w:r>
          </w:p>
        </w:tc>
        <w:tc>
          <w:tcPr>
            <w:tcW w:w="2012" w:type="dxa"/>
          </w:tcPr>
          <w:p w14:paraId="05A710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w:t>
            </w:r>
          </w:p>
        </w:tc>
        <w:tc>
          <w:tcPr>
            <w:tcW w:w="1751" w:type="dxa"/>
          </w:tcPr>
          <w:p w14:paraId="75360C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358158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04951A7" w14:textId="77777777">
        <w:tc>
          <w:tcPr>
            <w:tcW w:w="2943" w:type="dxa"/>
          </w:tcPr>
          <w:p w14:paraId="2FE141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w:t>
            </w:r>
            <w:proofErr w:type="spellStart"/>
            <w:r w:rsidRPr="00A259BD">
              <w:rPr>
                <w:rFonts w:ascii="Times New Roman" w:hAnsi="Times New Roman"/>
                <w:color w:val="000000" w:themeColor="text1"/>
                <w:sz w:val="16"/>
                <w:szCs w:val="16"/>
              </w:rPr>
              <w:t>Двухм</w:t>
            </w:r>
            <w:proofErr w:type="spellEnd"/>
            <w:r w:rsidRPr="00A259BD">
              <w:rPr>
                <w:rFonts w:ascii="Times New Roman" w:hAnsi="Times New Roman"/>
                <w:color w:val="000000" w:themeColor="text1"/>
                <w:sz w:val="16"/>
                <w:szCs w:val="16"/>
              </w:rPr>
              <w:t>. истребитель ночной</w:t>
            </w:r>
          </w:p>
        </w:tc>
        <w:tc>
          <w:tcPr>
            <w:tcW w:w="2109" w:type="dxa"/>
          </w:tcPr>
          <w:p w14:paraId="6F9771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НД-2 БМВ-6</w:t>
            </w:r>
          </w:p>
        </w:tc>
        <w:tc>
          <w:tcPr>
            <w:tcW w:w="2012" w:type="dxa"/>
          </w:tcPr>
          <w:p w14:paraId="1FF492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01.10.29</w:t>
            </w:r>
          </w:p>
        </w:tc>
        <w:tc>
          <w:tcPr>
            <w:tcW w:w="1751" w:type="dxa"/>
          </w:tcPr>
          <w:p w14:paraId="04B241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01.10.30</w:t>
            </w:r>
          </w:p>
        </w:tc>
        <w:tc>
          <w:tcPr>
            <w:tcW w:w="1641" w:type="dxa"/>
          </w:tcPr>
          <w:p w14:paraId="4578A4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2C1C357" w14:textId="77777777">
        <w:tc>
          <w:tcPr>
            <w:tcW w:w="2943" w:type="dxa"/>
          </w:tcPr>
          <w:p w14:paraId="57CE3B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Крейсерский истребитель</w:t>
            </w:r>
          </w:p>
        </w:tc>
        <w:tc>
          <w:tcPr>
            <w:tcW w:w="2109" w:type="dxa"/>
          </w:tcPr>
          <w:p w14:paraId="1DDCC4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ИК-1 2БМВ-6</w:t>
            </w:r>
          </w:p>
        </w:tc>
        <w:tc>
          <w:tcPr>
            <w:tcW w:w="2012" w:type="dxa"/>
          </w:tcPr>
          <w:p w14:paraId="39632D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01.08.29</w:t>
            </w:r>
          </w:p>
        </w:tc>
        <w:tc>
          <w:tcPr>
            <w:tcW w:w="1751" w:type="dxa"/>
          </w:tcPr>
          <w:p w14:paraId="2CDAAF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01.08.30</w:t>
            </w:r>
          </w:p>
        </w:tc>
        <w:tc>
          <w:tcPr>
            <w:tcW w:w="1641" w:type="dxa"/>
          </w:tcPr>
          <w:p w14:paraId="5C8B30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C342796" w14:textId="77777777">
        <w:tc>
          <w:tcPr>
            <w:tcW w:w="2943" w:type="dxa"/>
          </w:tcPr>
          <w:p w14:paraId="3E6FD5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09" w:type="dxa"/>
          </w:tcPr>
          <w:p w14:paraId="6363EA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0B1A40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2Ю-VII</w:t>
            </w:r>
          </w:p>
        </w:tc>
        <w:tc>
          <w:tcPr>
            <w:tcW w:w="1751" w:type="dxa"/>
          </w:tcPr>
          <w:p w14:paraId="0930A9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2AE0C6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2412A00" w14:textId="77777777">
        <w:tc>
          <w:tcPr>
            <w:tcW w:w="2943" w:type="dxa"/>
          </w:tcPr>
          <w:p w14:paraId="47DF55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Пассажирский (изм. фюзеляж)</w:t>
            </w:r>
          </w:p>
        </w:tc>
        <w:tc>
          <w:tcPr>
            <w:tcW w:w="2109" w:type="dxa"/>
          </w:tcPr>
          <w:p w14:paraId="5DDDD9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Г-1 2БМВ-6</w:t>
            </w:r>
          </w:p>
        </w:tc>
        <w:tc>
          <w:tcPr>
            <w:tcW w:w="2012" w:type="dxa"/>
          </w:tcPr>
          <w:p w14:paraId="22FB0E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01.08.29</w:t>
            </w:r>
          </w:p>
        </w:tc>
        <w:tc>
          <w:tcPr>
            <w:tcW w:w="1751" w:type="dxa"/>
          </w:tcPr>
          <w:p w14:paraId="1470FE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01.10.30</w:t>
            </w:r>
          </w:p>
        </w:tc>
        <w:tc>
          <w:tcPr>
            <w:tcW w:w="1641" w:type="dxa"/>
          </w:tcPr>
          <w:p w14:paraId="4DF02E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08FE949" w14:textId="77777777">
        <w:tc>
          <w:tcPr>
            <w:tcW w:w="2943" w:type="dxa"/>
          </w:tcPr>
          <w:p w14:paraId="68F4F1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09" w:type="dxa"/>
          </w:tcPr>
          <w:p w14:paraId="17D642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ИК-1 2Ю-VII</w:t>
            </w:r>
          </w:p>
        </w:tc>
        <w:tc>
          <w:tcPr>
            <w:tcW w:w="2012" w:type="dxa"/>
          </w:tcPr>
          <w:p w14:paraId="11BCC7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124D7B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4184D9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74160E7" w14:textId="77777777">
        <w:tc>
          <w:tcPr>
            <w:tcW w:w="2943" w:type="dxa"/>
          </w:tcPr>
          <w:p w14:paraId="4BF558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Армейский разведчик 1-й экз.</w:t>
            </w:r>
          </w:p>
        </w:tc>
        <w:tc>
          <w:tcPr>
            <w:tcW w:w="2109" w:type="dxa"/>
          </w:tcPr>
          <w:p w14:paraId="1E4B75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Р-5 БМВ-6</w:t>
            </w:r>
          </w:p>
        </w:tc>
        <w:tc>
          <w:tcPr>
            <w:tcW w:w="2012" w:type="dxa"/>
          </w:tcPr>
          <w:p w14:paraId="4FF2EB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35481A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20.05.29</w:t>
            </w:r>
          </w:p>
        </w:tc>
        <w:tc>
          <w:tcPr>
            <w:tcW w:w="1641" w:type="dxa"/>
          </w:tcPr>
          <w:p w14:paraId="2A1FF6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2879B1F" w14:textId="77777777">
        <w:tc>
          <w:tcPr>
            <w:tcW w:w="2943" w:type="dxa"/>
          </w:tcPr>
          <w:p w14:paraId="122F38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2-й</w:t>
            </w:r>
          </w:p>
        </w:tc>
        <w:tc>
          <w:tcPr>
            <w:tcW w:w="2109" w:type="dxa"/>
          </w:tcPr>
          <w:p w14:paraId="38A354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6CEFD9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48721E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5D0E8E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30.05.29</w:t>
            </w:r>
          </w:p>
        </w:tc>
      </w:tr>
      <w:tr w:rsidR="00A259BD" w:rsidRPr="00A259BD" w14:paraId="78DA0547" w14:textId="77777777">
        <w:tc>
          <w:tcPr>
            <w:tcW w:w="2943" w:type="dxa"/>
          </w:tcPr>
          <w:p w14:paraId="7756A4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3-й</w:t>
            </w:r>
          </w:p>
        </w:tc>
        <w:tc>
          <w:tcPr>
            <w:tcW w:w="2109" w:type="dxa"/>
          </w:tcPr>
          <w:p w14:paraId="51E995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0910C2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62FAC0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48C998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25.07.29</w:t>
            </w:r>
          </w:p>
        </w:tc>
      </w:tr>
      <w:tr w:rsidR="00A259BD" w:rsidRPr="00A259BD" w14:paraId="0935E364" w14:textId="77777777">
        <w:tc>
          <w:tcPr>
            <w:tcW w:w="2943" w:type="dxa"/>
          </w:tcPr>
          <w:p w14:paraId="5F0972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4-й</w:t>
            </w:r>
          </w:p>
        </w:tc>
        <w:tc>
          <w:tcPr>
            <w:tcW w:w="2109" w:type="dxa"/>
          </w:tcPr>
          <w:p w14:paraId="087E30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6C184F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7BAD1F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3BB0D0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20.08.29</w:t>
            </w:r>
          </w:p>
        </w:tc>
      </w:tr>
      <w:tr w:rsidR="00A259BD" w:rsidRPr="00A259BD" w14:paraId="0EBE0F3C" w14:textId="77777777">
        <w:tc>
          <w:tcPr>
            <w:tcW w:w="2943" w:type="dxa"/>
          </w:tcPr>
          <w:p w14:paraId="73612C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w:t>
            </w:r>
            <w:proofErr w:type="spellStart"/>
            <w:r w:rsidRPr="00A259BD">
              <w:rPr>
                <w:rFonts w:ascii="Times New Roman" w:hAnsi="Times New Roman"/>
                <w:color w:val="000000" w:themeColor="text1"/>
                <w:sz w:val="16"/>
                <w:szCs w:val="16"/>
              </w:rPr>
              <w:t>Каваллерерийский</w:t>
            </w:r>
            <w:proofErr w:type="spellEnd"/>
            <w:r w:rsidRPr="00A259BD">
              <w:rPr>
                <w:rFonts w:ascii="Times New Roman" w:hAnsi="Times New Roman"/>
                <w:color w:val="000000" w:themeColor="text1"/>
                <w:sz w:val="16"/>
                <w:szCs w:val="16"/>
              </w:rPr>
              <w:t>, д/связи</w:t>
            </w:r>
          </w:p>
        </w:tc>
        <w:tc>
          <w:tcPr>
            <w:tcW w:w="2109" w:type="dxa"/>
          </w:tcPr>
          <w:p w14:paraId="720354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КС-1 65НР</w:t>
            </w:r>
          </w:p>
        </w:tc>
        <w:tc>
          <w:tcPr>
            <w:tcW w:w="2012" w:type="dxa"/>
          </w:tcPr>
          <w:p w14:paraId="04BB9B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01.04.30</w:t>
            </w:r>
          </w:p>
        </w:tc>
        <w:tc>
          <w:tcPr>
            <w:tcW w:w="1751" w:type="dxa"/>
          </w:tcPr>
          <w:p w14:paraId="2C562D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01.03.31</w:t>
            </w:r>
          </w:p>
        </w:tc>
        <w:tc>
          <w:tcPr>
            <w:tcW w:w="1641" w:type="dxa"/>
          </w:tcPr>
          <w:p w14:paraId="012F4D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FD7744B" w14:textId="77777777">
        <w:tc>
          <w:tcPr>
            <w:tcW w:w="2943" w:type="dxa"/>
          </w:tcPr>
          <w:p w14:paraId="2C5B26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w:t>
            </w:r>
            <w:proofErr w:type="spellStart"/>
            <w:r w:rsidRPr="00A259BD">
              <w:rPr>
                <w:rFonts w:ascii="Times New Roman" w:hAnsi="Times New Roman"/>
                <w:color w:val="000000" w:themeColor="text1"/>
                <w:sz w:val="16"/>
                <w:szCs w:val="16"/>
              </w:rPr>
              <w:t>Трехместн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двухмот</w:t>
            </w:r>
            <w:proofErr w:type="spellEnd"/>
            <w:r w:rsidRPr="00A259BD">
              <w:rPr>
                <w:rFonts w:ascii="Times New Roman" w:hAnsi="Times New Roman"/>
                <w:color w:val="000000" w:themeColor="text1"/>
                <w:sz w:val="16"/>
                <w:szCs w:val="16"/>
              </w:rPr>
              <w:t>. Р-</w:t>
            </w:r>
            <w:proofErr w:type="spellStart"/>
            <w:r w:rsidRPr="00A259BD">
              <w:rPr>
                <w:rFonts w:ascii="Times New Roman" w:hAnsi="Times New Roman"/>
                <w:color w:val="000000" w:themeColor="text1"/>
                <w:sz w:val="16"/>
                <w:szCs w:val="16"/>
              </w:rPr>
              <w:t>коррект</w:t>
            </w:r>
            <w:proofErr w:type="spellEnd"/>
            <w:r w:rsidRPr="00A259BD">
              <w:rPr>
                <w:rFonts w:ascii="Times New Roman" w:hAnsi="Times New Roman"/>
                <w:color w:val="000000" w:themeColor="text1"/>
                <w:sz w:val="16"/>
                <w:szCs w:val="16"/>
              </w:rPr>
              <w:t>.</w:t>
            </w:r>
          </w:p>
        </w:tc>
        <w:tc>
          <w:tcPr>
            <w:tcW w:w="2109" w:type="dxa"/>
          </w:tcPr>
          <w:p w14:paraId="3FDECA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КРК-1 2М-15</w:t>
            </w:r>
          </w:p>
        </w:tc>
        <w:tc>
          <w:tcPr>
            <w:tcW w:w="2012" w:type="dxa"/>
          </w:tcPr>
          <w:p w14:paraId="6118F0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01.10.30</w:t>
            </w:r>
          </w:p>
        </w:tc>
        <w:tc>
          <w:tcPr>
            <w:tcW w:w="1751" w:type="dxa"/>
          </w:tcPr>
          <w:p w14:paraId="14DB35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01.10.31</w:t>
            </w:r>
          </w:p>
        </w:tc>
        <w:tc>
          <w:tcPr>
            <w:tcW w:w="1641" w:type="dxa"/>
          </w:tcPr>
          <w:p w14:paraId="388E22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0F4C537" w14:textId="77777777">
        <w:tc>
          <w:tcPr>
            <w:tcW w:w="2943" w:type="dxa"/>
          </w:tcPr>
          <w:p w14:paraId="47952D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Тяж. бомб. деревянный, 1-й экз.</w:t>
            </w:r>
          </w:p>
        </w:tc>
        <w:tc>
          <w:tcPr>
            <w:tcW w:w="2109" w:type="dxa"/>
          </w:tcPr>
          <w:p w14:paraId="410323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ТБ-2 2БМВ-6</w:t>
            </w:r>
          </w:p>
        </w:tc>
        <w:tc>
          <w:tcPr>
            <w:tcW w:w="2012" w:type="dxa"/>
          </w:tcPr>
          <w:p w14:paraId="3086BA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w:t>
            </w:r>
          </w:p>
        </w:tc>
        <w:tc>
          <w:tcPr>
            <w:tcW w:w="1751" w:type="dxa"/>
          </w:tcPr>
          <w:p w14:paraId="3BBA2E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01.09.29</w:t>
            </w:r>
          </w:p>
        </w:tc>
        <w:tc>
          <w:tcPr>
            <w:tcW w:w="1641" w:type="dxa"/>
          </w:tcPr>
          <w:p w14:paraId="7097F7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60BF83C" w14:textId="77777777">
        <w:tc>
          <w:tcPr>
            <w:tcW w:w="2943" w:type="dxa"/>
          </w:tcPr>
          <w:p w14:paraId="193E91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2-й</w:t>
            </w:r>
          </w:p>
        </w:tc>
        <w:tc>
          <w:tcPr>
            <w:tcW w:w="2109" w:type="dxa"/>
          </w:tcPr>
          <w:p w14:paraId="1069F9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4CA0BD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751" w:type="dxa"/>
          </w:tcPr>
          <w:p w14:paraId="4D9019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01.01.31</w:t>
            </w:r>
          </w:p>
        </w:tc>
        <w:tc>
          <w:tcPr>
            <w:tcW w:w="1641" w:type="dxa"/>
          </w:tcPr>
          <w:p w14:paraId="2C2582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33E23BF" w14:textId="77777777">
        <w:tc>
          <w:tcPr>
            <w:tcW w:w="2943" w:type="dxa"/>
          </w:tcPr>
          <w:p w14:paraId="043EF5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Тяж. бомб. деревянный</w:t>
            </w:r>
          </w:p>
        </w:tc>
        <w:tc>
          <w:tcPr>
            <w:tcW w:w="2109" w:type="dxa"/>
          </w:tcPr>
          <w:p w14:paraId="7E50C8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ТБ-4 2х400НР</w:t>
            </w:r>
          </w:p>
        </w:tc>
        <w:tc>
          <w:tcPr>
            <w:tcW w:w="2012" w:type="dxa"/>
          </w:tcPr>
          <w:p w14:paraId="7C21A6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01.05.30</w:t>
            </w:r>
          </w:p>
        </w:tc>
        <w:tc>
          <w:tcPr>
            <w:tcW w:w="1751" w:type="dxa"/>
          </w:tcPr>
          <w:p w14:paraId="320770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281A9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630F31C" w14:textId="77777777">
        <w:tc>
          <w:tcPr>
            <w:tcW w:w="2943" w:type="dxa"/>
          </w:tcPr>
          <w:p w14:paraId="21EE24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Установка У-2 на поплавки</w:t>
            </w:r>
          </w:p>
        </w:tc>
        <w:tc>
          <w:tcPr>
            <w:tcW w:w="2109" w:type="dxa"/>
          </w:tcPr>
          <w:p w14:paraId="480246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1A5D89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01.10.29</w:t>
            </w:r>
          </w:p>
        </w:tc>
        <w:tc>
          <w:tcPr>
            <w:tcW w:w="1751" w:type="dxa"/>
          </w:tcPr>
          <w:p w14:paraId="11673D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40AF75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8830EDF" w14:textId="77777777">
        <w:tc>
          <w:tcPr>
            <w:tcW w:w="2943" w:type="dxa"/>
          </w:tcPr>
          <w:p w14:paraId="3EEB46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Развитие У-2</w:t>
            </w:r>
          </w:p>
        </w:tc>
        <w:tc>
          <w:tcPr>
            <w:tcW w:w="2109" w:type="dxa"/>
          </w:tcPr>
          <w:p w14:paraId="62EE02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5FCFCC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01.10.29</w:t>
            </w:r>
          </w:p>
        </w:tc>
        <w:tc>
          <w:tcPr>
            <w:tcW w:w="1751" w:type="dxa"/>
          </w:tcPr>
          <w:p w14:paraId="41D34F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2A895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55010BB" w14:textId="77777777">
        <w:tc>
          <w:tcPr>
            <w:tcW w:w="2943" w:type="dxa"/>
          </w:tcPr>
          <w:p w14:paraId="56DE78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Развитие П-2</w:t>
            </w:r>
          </w:p>
        </w:tc>
        <w:tc>
          <w:tcPr>
            <w:tcW w:w="2109" w:type="dxa"/>
          </w:tcPr>
          <w:p w14:paraId="2FD3BA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68B7FB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01.10.29</w:t>
            </w:r>
          </w:p>
        </w:tc>
        <w:tc>
          <w:tcPr>
            <w:tcW w:w="1751" w:type="dxa"/>
          </w:tcPr>
          <w:p w14:paraId="7549AD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2688B3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18D8DB8" w14:textId="77777777">
        <w:tc>
          <w:tcPr>
            <w:tcW w:w="2943" w:type="dxa"/>
          </w:tcPr>
          <w:p w14:paraId="4B9EC8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Развитие Р-5</w:t>
            </w:r>
          </w:p>
        </w:tc>
        <w:tc>
          <w:tcPr>
            <w:tcW w:w="2109" w:type="dxa"/>
          </w:tcPr>
          <w:p w14:paraId="257606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3BDCFF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01.05.30</w:t>
            </w:r>
          </w:p>
        </w:tc>
        <w:tc>
          <w:tcPr>
            <w:tcW w:w="1751" w:type="dxa"/>
          </w:tcPr>
          <w:p w14:paraId="2845CC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8CD93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6515AEC" w14:textId="77777777">
        <w:tc>
          <w:tcPr>
            <w:tcW w:w="2943" w:type="dxa"/>
          </w:tcPr>
          <w:p w14:paraId="4E8285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Почтовый самолет</w:t>
            </w:r>
          </w:p>
        </w:tc>
        <w:tc>
          <w:tcPr>
            <w:tcW w:w="2109" w:type="dxa"/>
          </w:tcPr>
          <w:p w14:paraId="003894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15A5E7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01.01.30</w:t>
            </w:r>
          </w:p>
        </w:tc>
        <w:tc>
          <w:tcPr>
            <w:tcW w:w="1751" w:type="dxa"/>
          </w:tcPr>
          <w:p w14:paraId="18BBE7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7BB914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4FB7F44" w14:textId="77777777">
        <w:tc>
          <w:tcPr>
            <w:tcW w:w="2943" w:type="dxa"/>
          </w:tcPr>
          <w:p w14:paraId="7A19B3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Для борьбы с вредителями</w:t>
            </w:r>
          </w:p>
        </w:tc>
        <w:tc>
          <w:tcPr>
            <w:tcW w:w="2109" w:type="dxa"/>
          </w:tcPr>
          <w:p w14:paraId="47129A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2FCE7A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01.10.30</w:t>
            </w:r>
          </w:p>
        </w:tc>
        <w:tc>
          <w:tcPr>
            <w:tcW w:w="1751" w:type="dxa"/>
          </w:tcPr>
          <w:p w14:paraId="1F49B1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93A19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01.04.30</w:t>
            </w:r>
          </w:p>
        </w:tc>
      </w:tr>
      <w:tr w:rsidR="00A259BD" w:rsidRPr="00A259BD" w14:paraId="01ABE473" w14:textId="77777777">
        <w:tc>
          <w:tcPr>
            <w:tcW w:w="2943" w:type="dxa"/>
          </w:tcPr>
          <w:p w14:paraId="6F4E58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Санитарный</w:t>
            </w:r>
          </w:p>
        </w:tc>
        <w:tc>
          <w:tcPr>
            <w:tcW w:w="2109" w:type="dxa"/>
          </w:tcPr>
          <w:p w14:paraId="2BADB4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41FC0E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01.10.30</w:t>
            </w:r>
          </w:p>
        </w:tc>
        <w:tc>
          <w:tcPr>
            <w:tcW w:w="1751" w:type="dxa"/>
          </w:tcPr>
          <w:p w14:paraId="7DD775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4DD1B8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01.07.31</w:t>
            </w:r>
          </w:p>
        </w:tc>
      </w:tr>
      <w:tr w:rsidR="00A259BD" w:rsidRPr="00A259BD" w14:paraId="3A251413" w14:textId="77777777">
        <w:tc>
          <w:tcPr>
            <w:tcW w:w="2943" w:type="dxa"/>
          </w:tcPr>
          <w:p w14:paraId="3A67BD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Морское самолетостроение</w:t>
            </w:r>
          </w:p>
        </w:tc>
        <w:tc>
          <w:tcPr>
            <w:tcW w:w="2109" w:type="dxa"/>
          </w:tcPr>
          <w:p w14:paraId="38EE4F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296B90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1E9A0D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70F1F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018B72C" w14:textId="77777777">
        <w:tc>
          <w:tcPr>
            <w:tcW w:w="2943" w:type="dxa"/>
          </w:tcPr>
          <w:p w14:paraId="3B7FE4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РОМ 2БМВ-6</w:t>
            </w:r>
          </w:p>
        </w:tc>
        <w:tc>
          <w:tcPr>
            <w:tcW w:w="2109" w:type="dxa"/>
          </w:tcPr>
          <w:p w14:paraId="347D87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РОМ-2</w:t>
            </w:r>
          </w:p>
        </w:tc>
        <w:tc>
          <w:tcPr>
            <w:tcW w:w="2012" w:type="dxa"/>
          </w:tcPr>
          <w:p w14:paraId="4EC31C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10.1928</w:t>
            </w:r>
          </w:p>
        </w:tc>
        <w:tc>
          <w:tcPr>
            <w:tcW w:w="1751" w:type="dxa"/>
          </w:tcPr>
          <w:p w14:paraId="2E18ED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0D4AF7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15.06.29</w:t>
            </w:r>
          </w:p>
        </w:tc>
      </w:tr>
      <w:tr w:rsidR="00A259BD" w:rsidRPr="00A259BD" w14:paraId="06FC9D4E" w14:textId="77777777">
        <w:tc>
          <w:tcPr>
            <w:tcW w:w="2943" w:type="dxa"/>
          </w:tcPr>
          <w:p w14:paraId="1F37DC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РОМ 2450/600</w:t>
            </w:r>
          </w:p>
        </w:tc>
        <w:tc>
          <w:tcPr>
            <w:tcW w:w="2109" w:type="dxa"/>
          </w:tcPr>
          <w:p w14:paraId="3D0149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РОМ-3</w:t>
            </w:r>
          </w:p>
        </w:tc>
        <w:tc>
          <w:tcPr>
            <w:tcW w:w="2012" w:type="dxa"/>
          </w:tcPr>
          <w:p w14:paraId="75659E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08.1928</w:t>
            </w:r>
          </w:p>
        </w:tc>
        <w:tc>
          <w:tcPr>
            <w:tcW w:w="1751" w:type="dxa"/>
          </w:tcPr>
          <w:p w14:paraId="566C86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C6919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07.1930</w:t>
            </w:r>
          </w:p>
        </w:tc>
      </w:tr>
      <w:tr w:rsidR="00A259BD" w:rsidRPr="00A259BD" w14:paraId="252D5FC8" w14:textId="77777777">
        <w:tc>
          <w:tcPr>
            <w:tcW w:w="2943" w:type="dxa"/>
          </w:tcPr>
          <w:p w14:paraId="242B76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Морской разведчик</w:t>
            </w:r>
          </w:p>
        </w:tc>
        <w:tc>
          <w:tcPr>
            <w:tcW w:w="2109" w:type="dxa"/>
          </w:tcPr>
          <w:p w14:paraId="326468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МР-5</w:t>
            </w:r>
          </w:p>
        </w:tc>
        <w:tc>
          <w:tcPr>
            <w:tcW w:w="2012" w:type="dxa"/>
          </w:tcPr>
          <w:p w14:paraId="511AAA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751" w:type="dxa"/>
          </w:tcPr>
          <w:p w14:paraId="070855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5B9D5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15.06.29</w:t>
            </w:r>
          </w:p>
        </w:tc>
      </w:tr>
      <w:tr w:rsidR="00A259BD" w:rsidRPr="00A259BD" w14:paraId="79B58363" w14:textId="77777777">
        <w:tc>
          <w:tcPr>
            <w:tcW w:w="2943" w:type="dxa"/>
          </w:tcPr>
          <w:p w14:paraId="58C03C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БМВ-6</w:t>
            </w:r>
          </w:p>
        </w:tc>
        <w:tc>
          <w:tcPr>
            <w:tcW w:w="2109" w:type="dxa"/>
          </w:tcPr>
          <w:p w14:paraId="61CB66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5332CD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5F0C9A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01822A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DB31207" w14:textId="77777777">
        <w:tc>
          <w:tcPr>
            <w:tcW w:w="2943" w:type="dxa"/>
          </w:tcPr>
          <w:p w14:paraId="437E5D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Морской разведчик Р</w:t>
            </w:r>
          </w:p>
        </w:tc>
        <w:tc>
          <w:tcPr>
            <w:tcW w:w="2109" w:type="dxa"/>
          </w:tcPr>
          <w:p w14:paraId="61C7C3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МР-5</w:t>
            </w:r>
          </w:p>
        </w:tc>
        <w:tc>
          <w:tcPr>
            <w:tcW w:w="2012" w:type="dxa"/>
          </w:tcPr>
          <w:p w14:paraId="47A709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751" w:type="dxa"/>
          </w:tcPr>
          <w:p w14:paraId="6E3707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501842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01.06.30</w:t>
            </w:r>
          </w:p>
        </w:tc>
      </w:tr>
      <w:tr w:rsidR="00A259BD" w:rsidRPr="00A259BD" w14:paraId="60CD859F" w14:textId="77777777">
        <w:tc>
          <w:tcPr>
            <w:tcW w:w="2943" w:type="dxa"/>
          </w:tcPr>
          <w:p w14:paraId="69C782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Морской разведчик</w:t>
            </w:r>
          </w:p>
        </w:tc>
        <w:tc>
          <w:tcPr>
            <w:tcW w:w="2109" w:type="dxa"/>
          </w:tcPr>
          <w:p w14:paraId="25F531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МР-6</w:t>
            </w:r>
          </w:p>
        </w:tc>
        <w:tc>
          <w:tcPr>
            <w:tcW w:w="2012" w:type="dxa"/>
          </w:tcPr>
          <w:p w14:paraId="4A724E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01.06.29</w:t>
            </w:r>
          </w:p>
        </w:tc>
        <w:tc>
          <w:tcPr>
            <w:tcW w:w="1751" w:type="dxa"/>
          </w:tcPr>
          <w:p w14:paraId="1E465F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0CCE48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01.05.30</w:t>
            </w:r>
          </w:p>
        </w:tc>
      </w:tr>
      <w:tr w:rsidR="00A259BD" w:rsidRPr="00A259BD" w14:paraId="698A6CE1" w14:textId="77777777">
        <w:tc>
          <w:tcPr>
            <w:tcW w:w="2943" w:type="dxa"/>
          </w:tcPr>
          <w:p w14:paraId="478C07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450/600</w:t>
            </w:r>
          </w:p>
        </w:tc>
        <w:tc>
          <w:tcPr>
            <w:tcW w:w="2109" w:type="dxa"/>
          </w:tcPr>
          <w:p w14:paraId="621A7B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2CFEDA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4802AD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29D849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942B28C" w14:textId="77777777">
        <w:tc>
          <w:tcPr>
            <w:tcW w:w="2943" w:type="dxa"/>
          </w:tcPr>
          <w:p w14:paraId="7E7FD8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ТОМ 2БМВ-6</w:t>
            </w:r>
          </w:p>
        </w:tc>
        <w:tc>
          <w:tcPr>
            <w:tcW w:w="2109" w:type="dxa"/>
          </w:tcPr>
          <w:p w14:paraId="09A505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ТОМ-1</w:t>
            </w:r>
          </w:p>
        </w:tc>
        <w:tc>
          <w:tcPr>
            <w:tcW w:w="2012" w:type="dxa"/>
          </w:tcPr>
          <w:p w14:paraId="1ACE08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751" w:type="dxa"/>
          </w:tcPr>
          <w:p w14:paraId="6D18CD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B83C5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01.03.30</w:t>
            </w:r>
          </w:p>
        </w:tc>
      </w:tr>
      <w:tr w:rsidR="00A259BD" w:rsidRPr="00A259BD" w14:paraId="591BF0CE" w14:textId="77777777">
        <w:tc>
          <w:tcPr>
            <w:tcW w:w="2943" w:type="dxa"/>
          </w:tcPr>
          <w:p w14:paraId="4EC869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ТОМ 2 450/600</w:t>
            </w:r>
          </w:p>
        </w:tc>
        <w:tc>
          <w:tcPr>
            <w:tcW w:w="2109" w:type="dxa"/>
          </w:tcPr>
          <w:p w14:paraId="798C8E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ТОМ-2</w:t>
            </w:r>
          </w:p>
        </w:tc>
        <w:tc>
          <w:tcPr>
            <w:tcW w:w="2012" w:type="dxa"/>
          </w:tcPr>
          <w:p w14:paraId="20535D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01.04.30</w:t>
            </w:r>
          </w:p>
        </w:tc>
        <w:tc>
          <w:tcPr>
            <w:tcW w:w="1751" w:type="dxa"/>
          </w:tcPr>
          <w:p w14:paraId="3924D4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54F514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01.04.31</w:t>
            </w:r>
          </w:p>
        </w:tc>
      </w:tr>
      <w:tr w:rsidR="00A259BD" w:rsidRPr="00A259BD" w14:paraId="2C6D3CA6" w14:textId="77777777">
        <w:tc>
          <w:tcPr>
            <w:tcW w:w="2943" w:type="dxa"/>
          </w:tcPr>
          <w:p w14:paraId="1FF1FC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8. ТОМ 2 450/600</w:t>
            </w:r>
          </w:p>
        </w:tc>
        <w:tc>
          <w:tcPr>
            <w:tcW w:w="2109" w:type="dxa"/>
          </w:tcPr>
          <w:p w14:paraId="217783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ТОМ-2а</w:t>
            </w:r>
          </w:p>
        </w:tc>
        <w:tc>
          <w:tcPr>
            <w:tcW w:w="2012" w:type="dxa"/>
          </w:tcPr>
          <w:p w14:paraId="010F66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01.07.29</w:t>
            </w:r>
          </w:p>
        </w:tc>
        <w:tc>
          <w:tcPr>
            <w:tcW w:w="1751" w:type="dxa"/>
          </w:tcPr>
          <w:p w14:paraId="46DC95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7517E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01.10.30</w:t>
            </w:r>
          </w:p>
        </w:tc>
      </w:tr>
      <w:tr w:rsidR="00A259BD" w:rsidRPr="00A259BD" w14:paraId="13F2E2B3" w14:textId="77777777">
        <w:tc>
          <w:tcPr>
            <w:tcW w:w="2943" w:type="dxa"/>
          </w:tcPr>
          <w:p w14:paraId="75BC86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w:t>
            </w:r>
            <w:proofErr w:type="spellStart"/>
            <w:r w:rsidRPr="00A259BD">
              <w:rPr>
                <w:rFonts w:ascii="Times New Roman" w:hAnsi="Times New Roman"/>
                <w:color w:val="000000" w:themeColor="text1"/>
                <w:sz w:val="16"/>
                <w:szCs w:val="16"/>
              </w:rPr>
              <w:t>Катапультн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2109" w:type="dxa"/>
          </w:tcPr>
          <w:p w14:paraId="5C844A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5A24AC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01.07.30</w:t>
            </w:r>
          </w:p>
        </w:tc>
        <w:tc>
          <w:tcPr>
            <w:tcW w:w="1751" w:type="dxa"/>
          </w:tcPr>
          <w:p w14:paraId="4BF1A3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01BC2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01.01732</w:t>
            </w:r>
          </w:p>
        </w:tc>
      </w:tr>
      <w:tr w:rsidR="00A259BD" w:rsidRPr="00A259BD" w14:paraId="587E777E" w14:textId="77777777">
        <w:tc>
          <w:tcPr>
            <w:tcW w:w="2943" w:type="dxa"/>
          </w:tcPr>
          <w:p w14:paraId="67EFB2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МИК 480/600</w:t>
            </w:r>
          </w:p>
        </w:tc>
        <w:tc>
          <w:tcPr>
            <w:tcW w:w="2109" w:type="dxa"/>
          </w:tcPr>
          <w:p w14:paraId="71AAA6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3AD4BC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0E4F97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E7A64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F3BF034" w14:textId="77777777">
        <w:tc>
          <w:tcPr>
            <w:tcW w:w="2943" w:type="dxa"/>
          </w:tcPr>
          <w:p w14:paraId="06BAFA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ТОМ 600/800</w:t>
            </w:r>
          </w:p>
        </w:tc>
        <w:tc>
          <w:tcPr>
            <w:tcW w:w="2109" w:type="dxa"/>
          </w:tcPr>
          <w:p w14:paraId="4E31CF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ТОМ-3</w:t>
            </w:r>
          </w:p>
        </w:tc>
        <w:tc>
          <w:tcPr>
            <w:tcW w:w="2012" w:type="dxa"/>
          </w:tcPr>
          <w:p w14:paraId="67F5D7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01.07.31</w:t>
            </w:r>
          </w:p>
        </w:tc>
        <w:tc>
          <w:tcPr>
            <w:tcW w:w="1751" w:type="dxa"/>
          </w:tcPr>
          <w:p w14:paraId="5D4AEF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EDF15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01.10.32</w:t>
            </w:r>
          </w:p>
        </w:tc>
      </w:tr>
      <w:tr w:rsidR="00A259BD" w:rsidRPr="00A259BD" w14:paraId="2428877E" w14:textId="77777777">
        <w:tc>
          <w:tcPr>
            <w:tcW w:w="2943" w:type="dxa"/>
          </w:tcPr>
          <w:p w14:paraId="697AF6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Учебный самолет</w:t>
            </w:r>
          </w:p>
        </w:tc>
        <w:tc>
          <w:tcPr>
            <w:tcW w:w="2109" w:type="dxa"/>
          </w:tcPr>
          <w:p w14:paraId="2D3F02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МУ-2</w:t>
            </w:r>
          </w:p>
        </w:tc>
        <w:tc>
          <w:tcPr>
            <w:tcW w:w="2012" w:type="dxa"/>
          </w:tcPr>
          <w:p w14:paraId="653EB4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751" w:type="dxa"/>
          </w:tcPr>
          <w:p w14:paraId="318DE5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2BA997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01.08.29</w:t>
            </w:r>
          </w:p>
        </w:tc>
      </w:tr>
      <w:tr w:rsidR="00A259BD" w:rsidRPr="00A259BD" w14:paraId="07E55D91" w14:textId="77777777">
        <w:tc>
          <w:tcPr>
            <w:tcW w:w="2943" w:type="dxa"/>
          </w:tcPr>
          <w:p w14:paraId="41E2C3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09" w:type="dxa"/>
          </w:tcPr>
          <w:p w14:paraId="3368EC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М-11</w:t>
            </w:r>
          </w:p>
        </w:tc>
        <w:tc>
          <w:tcPr>
            <w:tcW w:w="2012" w:type="dxa"/>
          </w:tcPr>
          <w:p w14:paraId="5B46CA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45C2AB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583BC4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E5C876A" w14:textId="77777777">
        <w:tc>
          <w:tcPr>
            <w:tcW w:w="2943" w:type="dxa"/>
          </w:tcPr>
          <w:p w14:paraId="054336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Учебный самолет</w:t>
            </w:r>
          </w:p>
        </w:tc>
        <w:tc>
          <w:tcPr>
            <w:tcW w:w="2109" w:type="dxa"/>
          </w:tcPr>
          <w:p w14:paraId="7E9385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МУ-2</w:t>
            </w:r>
          </w:p>
        </w:tc>
        <w:tc>
          <w:tcPr>
            <w:tcW w:w="2012" w:type="dxa"/>
          </w:tcPr>
          <w:p w14:paraId="7C7EC0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15.12.29</w:t>
            </w:r>
          </w:p>
        </w:tc>
        <w:tc>
          <w:tcPr>
            <w:tcW w:w="1751" w:type="dxa"/>
          </w:tcPr>
          <w:p w14:paraId="25A296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964E2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01.07.30</w:t>
            </w:r>
          </w:p>
        </w:tc>
      </w:tr>
      <w:tr w:rsidR="00A259BD" w:rsidRPr="00A259BD" w14:paraId="60AFC049" w14:textId="77777777">
        <w:tc>
          <w:tcPr>
            <w:tcW w:w="2943" w:type="dxa"/>
          </w:tcPr>
          <w:p w14:paraId="1EC3E4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09" w:type="dxa"/>
          </w:tcPr>
          <w:p w14:paraId="5C1901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М-11</w:t>
            </w:r>
          </w:p>
        </w:tc>
        <w:tc>
          <w:tcPr>
            <w:tcW w:w="2012" w:type="dxa"/>
          </w:tcPr>
          <w:p w14:paraId="464B70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572996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718399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513CAAE" w14:textId="77777777">
        <w:tc>
          <w:tcPr>
            <w:tcW w:w="2943" w:type="dxa"/>
          </w:tcPr>
          <w:p w14:paraId="51708B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Морской связи</w:t>
            </w:r>
          </w:p>
        </w:tc>
        <w:tc>
          <w:tcPr>
            <w:tcW w:w="2109" w:type="dxa"/>
          </w:tcPr>
          <w:p w14:paraId="65A6BB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2М-11</w:t>
            </w:r>
          </w:p>
        </w:tc>
        <w:tc>
          <w:tcPr>
            <w:tcW w:w="2012" w:type="dxa"/>
          </w:tcPr>
          <w:p w14:paraId="4861B9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01.04.30</w:t>
            </w:r>
          </w:p>
        </w:tc>
        <w:tc>
          <w:tcPr>
            <w:tcW w:w="1751" w:type="dxa"/>
          </w:tcPr>
          <w:p w14:paraId="6810D2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86DBD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01.04.31</w:t>
            </w:r>
          </w:p>
        </w:tc>
      </w:tr>
      <w:tr w:rsidR="00A259BD" w:rsidRPr="00A259BD" w14:paraId="402EFBB9" w14:textId="77777777">
        <w:tc>
          <w:tcPr>
            <w:tcW w:w="2943" w:type="dxa"/>
          </w:tcPr>
          <w:p w14:paraId="73534D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(амфибия)</w:t>
            </w:r>
          </w:p>
        </w:tc>
        <w:tc>
          <w:tcPr>
            <w:tcW w:w="2109" w:type="dxa"/>
          </w:tcPr>
          <w:p w14:paraId="5DD8B9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5E59C5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34E94B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74F6EE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A259BD" w14:paraId="41E82F85" w14:textId="77777777">
        <w:tc>
          <w:tcPr>
            <w:tcW w:w="2943" w:type="dxa"/>
          </w:tcPr>
          <w:p w14:paraId="657BCD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Морской пассаж.</w:t>
            </w:r>
          </w:p>
        </w:tc>
        <w:tc>
          <w:tcPr>
            <w:tcW w:w="2109" w:type="dxa"/>
          </w:tcPr>
          <w:p w14:paraId="599083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2х450</w:t>
            </w:r>
          </w:p>
        </w:tc>
        <w:tc>
          <w:tcPr>
            <w:tcW w:w="2012" w:type="dxa"/>
          </w:tcPr>
          <w:p w14:paraId="181F4B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01.08.29</w:t>
            </w:r>
          </w:p>
        </w:tc>
        <w:tc>
          <w:tcPr>
            <w:tcW w:w="1751" w:type="dxa"/>
          </w:tcPr>
          <w:p w14:paraId="039645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36F3CC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01.08.30 (2351,80) (2340,81)</w:t>
            </w:r>
          </w:p>
        </w:tc>
      </w:tr>
    </w:tbl>
    <w:p w14:paraId="0373D38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D862C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мая 1929 Пред. НТК Дубенский писал письмо № 106сс/</w:t>
      </w:r>
      <w:proofErr w:type="spellStart"/>
      <w:r w:rsidRPr="00A259BD">
        <w:rPr>
          <w:rFonts w:ascii="Times New Roman" w:hAnsi="Times New Roman"/>
          <w:color w:val="000000" w:themeColor="text1"/>
          <w:sz w:val="16"/>
          <w:szCs w:val="16"/>
        </w:rPr>
        <w:t>нтк</w:t>
      </w:r>
      <w:proofErr w:type="spellEnd"/>
      <w:r w:rsidRPr="00A259BD">
        <w:rPr>
          <w:rFonts w:ascii="Times New Roman" w:hAnsi="Times New Roman"/>
          <w:color w:val="000000" w:themeColor="text1"/>
          <w:sz w:val="16"/>
          <w:szCs w:val="16"/>
        </w:rPr>
        <w:t xml:space="preserve"> в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Михайлову, НИМИ Гиттису, НТУ ВСНХ Свердлову, ЦАГИ Чаплыгину, ГВПУ Урываеву:</w:t>
      </w:r>
    </w:p>
    <w:p w14:paraId="6F61F6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Препровождаю при сем проект постановления РВС по вопросу опытного самолетостроения ВВС РККА для сведения.</w:t>
      </w:r>
    </w:p>
    <w:p w14:paraId="1C37CE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Упомянутое на 5 листах (551).</w:t>
      </w:r>
    </w:p>
    <w:p w14:paraId="240182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065051"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244332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6C39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мая 1929 вышло постановление СНК, определившее признаки кулацких хозяйств - наличие машин с двигателями, использование наемного труда и т.п. (3908,328).</w:t>
      </w:r>
    </w:p>
    <w:p w14:paraId="3BF777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C124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мая 1929 г. в Постановлении СНК СССР "О признаках кулацких хозяйств, в которых должен применяться кодекс законов о труде" были сформулированы признаки кулацкого хозяйства. Кулацкими считались те крестьянские хозяйства, которые подпадали хотя бы под один из следующих показателей:</w:t>
      </w:r>
    </w:p>
    <w:p w14:paraId="4FA60F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если хозяйство систематически применяет наемный труд для с/х работ или в кустарных промыслах и предприятиях - за исключением случаев применения наемного труда в тех пределах, в которых оно, согласно законодательству о выборах в Советы, не влечет за собой лишения избирательных прав; </w:t>
      </w:r>
    </w:p>
    <w:p w14:paraId="30B8D5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если в хозяйстве имеется мельница, маслобойня, крупорушка, просорушка, льночесалка, </w:t>
      </w:r>
      <w:proofErr w:type="spellStart"/>
      <w:r w:rsidRPr="00A259BD">
        <w:rPr>
          <w:rFonts w:ascii="Times New Roman" w:hAnsi="Times New Roman"/>
          <w:color w:val="000000" w:themeColor="text1"/>
          <w:sz w:val="16"/>
          <w:szCs w:val="16"/>
        </w:rPr>
        <w:t>шерстобитка</w:t>
      </w:r>
      <w:proofErr w:type="spellEnd"/>
      <w:r w:rsidRPr="00A259BD">
        <w:rPr>
          <w:rFonts w:ascii="Times New Roman" w:hAnsi="Times New Roman"/>
          <w:color w:val="000000" w:themeColor="text1"/>
          <w:sz w:val="16"/>
          <w:szCs w:val="16"/>
        </w:rPr>
        <w:t xml:space="preserve">, терочное заведение, картофельная, плодовая или овощная сушилка или другое промышленное предприятие - при условии применения в этих предприятиях механического двигателя, а также если в хозяйстве имеется водяная или ветряная мельница с двумя или более поставами; </w:t>
      </w:r>
    </w:p>
    <w:p w14:paraId="3DE3B2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если хозяйство систематически сдает внаем сложные с/х машины с механическими двигателями; </w:t>
      </w:r>
    </w:p>
    <w:p w14:paraId="6339E2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если хозяйство сдает внаем постоянно или на сезон отдельные оборудованные помещения под жилье или предприятие; </w:t>
      </w:r>
    </w:p>
    <w:p w14:paraId="3EB0F4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если члены хозяйства занимаются торговлей, ростовщичеством, коммерческим посредничеством или имеют другие нетрудовые доходы (в том числе служители культа) (9711).</w:t>
      </w:r>
    </w:p>
    <w:p w14:paraId="25AC17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11E1C2" w14:textId="77777777" w:rsidR="00E14E2F"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70EAA85" w14:textId="77777777" w:rsidR="00E14E2F" w:rsidRPr="00A259BD" w:rsidRDefault="00E14E2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8B05807" w14:textId="77777777" w:rsidR="00E14E2F" w:rsidRPr="00A259BD" w:rsidRDefault="00E14E2F"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21 мая</w:t>
      </w:r>
      <w:r w:rsidRPr="00A259BD">
        <w:rPr>
          <w:rFonts w:ascii="Times New Roman" w:hAnsi="Times New Roman"/>
          <w:color w:val="000000" w:themeColor="text1"/>
          <w:sz w:val="16"/>
          <w:szCs w:val="16"/>
        </w:rPr>
        <w:t xml:space="preserve"> в 1929 году впервые взлетел самолет </w:t>
      </w:r>
      <w:hyperlink r:id="rId55" w:tgtFrame="_blank" w:history="1">
        <w:r w:rsidRPr="00A259BD">
          <w:rPr>
            <w:rFonts w:ascii="Times New Roman" w:hAnsi="Times New Roman"/>
            <w:color w:val="000000" w:themeColor="text1"/>
            <w:sz w:val="16"/>
            <w:szCs w:val="16"/>
          </w:rPr>
          <w:t xml:space="preserve">«HM-8». </w:t>
        </w:r>
      </w:hyperlink>
      <w:r w:rsidRPr="00A259BD">
        <w:rPr>
          <w:rFonts w:ascii="Times New Roman" w:hAnsi="Times New Roman"/>
          <w:color w:val="000000" w:themeColor="text1"/>
          <w:sz w:val="16"/>
          <w:szCs w:val="16"/>
        </w:rPr>
        <w:t xml:space="preserve">Этот самолет привлек внимание заказчиков своей простотой в сборке. Первоначально сам Французский конструктор Анри </w:t>
      </w:r>
      <w:proofErr w:type="spellStart"/>
      <w:r w:rsidRPr="00A259BD">
        <w:rPr>
          <w:rFonts w:ascii="Times New Roman" w:hAnsi="Times New Roman"/>
          <w:color w:val="000000" w:themeColor="text1"/>
          <w:sz w:val="16"/>
          <w:szCs w:val="16"/>
        </w:rPr>
        <w:t>Минье</w:t>
      </w:r>
      <w:proofErr w:type="spellEnd"/>
      <w:r w:rsidRPr="00A259BD">
        <w:rPr>
          <w:rFonts w:ascii="Times New Roman" w:hAnsi="Times New Roman"/>
          <w:color w:val="000000" w:themeColor="text1"/>
          <w:sz w:val="16"/>
          <w:szCs w:val="16"/>
        </w:rPr>
        <w:t xml:space="preserve"> занимался постройкой самолетов, а затем в 1931 году опубликовал подробную спецификацию по строительству «HM-8 (14898).</w:t>
      </w:r>
    </w:p>
    <w:p w14:paraId="002DE8BA" w14:textId="77777777" w:rsidR="00E14E2F" w:rsidRPr="00A259BD" w:rsidRDefault="00E14E2F" w:rsidP="009236E3">
      <w:pPr>
        <w:spacing w:after="0" w:line="240" w:lineRule="auto"/>
        <w:jc w:val="both"/>
        <w:rPr>
          <w:rFonts w:ascii="Times New Roman" w:hAnsi="Times New Roman"/>
          <w:color w:val="000000" w:themeColor="text1"/>
          <w:sz w:val="16"/>
          <w:szCs w:val="16"/>
        </w:rPr>
      </w:pPr>
    </w:p>
    <w:p w14:paraId="1BB4FAF2" w14:textId="77777777" w:rsidR="00C631BD" w:rsidRPr="00A259BD" w:rsidRDefault="00C631B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мая 1929 - Впервые взлетел самолет HM-8. Этот самолет привлек внимание заказчиков своей простотой в сборке. Первоначально сам Французский конструктор Анри </w:t>
      </w:r>
      <w:proofErr w:type="spellStart"/>
      <w:r w:rsidRPr="00A259BD">
        <w:rPr>
          <w:rFonts w:ascii="Times New Roman" w:hAnsi="Times New Roman"/>
          <w:color w:val="000000" w:themeColor="text1"/>
          <w:sz w:val="16"/>
          <w:szCs w:val="16"/>
        </w:rPr>
        <w:t>Минье</w:t>
      </w:r>
      <w:proofErr w:type="spellEnd"/>
      <w:r w:rsidRPr="00A259BD">
        <w:rPr>
          <w:rFonts w:ascii="Times New Roman" w:hAnsi="Times New Roman"/>
          <w:color w:val="000000" w:themeColor="text1"/>
          <w:sz w:val="16"/>
          <w:szCs w:val="16"/>
        </w:rPr>
        <w:t xml:space="preserve"> занимался постройкой самолетов, а затем в 1931 году опубликовал подробную спецификацию по строительству HM-8. После удачного HM-8 </w:t>
      </w:r>
      <w:proofErr w:type="spellStart"/>
      <w:r w:rsidRPr="00A259BD">
        <w:rPr>
          <w:rFonts w:ascii="Times New Roman" w:hAnsi="Times New Roman"/>
          <w:color w:val="000000" w:themeColor="text1"/>
          <w:sz w:val="16"/>
          <w:szCs w:val="16"/>
        </w:rPr>
        <w:t>Минье</w:t>
      </w:r>
      <w:proofErr w:type="spellEnd"/>
      <w:r w:rsidRPr="00A259BD">
        <w:rPr>
          <w:rFonts w:ascii="Times New Roman" w:hAnsi="Times New Roman"/>
          <w:color w:val="000000" w:themeColor="text1"/>
          <w:sz w:val="16"/>
          <w:szCs w:val="16"/>
        </w:rPr>
        <w:t xml:space="preserve"> выпускает еще две опытные модели - HM-9 с поворотным крылом и HM-10 со складывающимися крыльями. А впереди его ждет главное событие жизни - разработка так называемой "формулы </w:t>
      </w:r>
      <w:proofErr w:type="spellStart"/>
      <w:r w:rsidRPr="00A259BD">
        <w:rPr>
          <w:rFonts w:ascii="Times New Roman" w:hAnsi="Times New Roman"/>
          <w:color w:val="000000" w:themeColor="text1"/>
          <w:sz w:val="16"/>
          <w:szCs w:val="16"/>
        </w:rPr>
        <w:t>Минье</w:t>
      </w:r>
      <w:proofErr w:type="spellEnd"/>
      <w:r w:rsidRPr="00A259BD">
        <w:rPr>
          <w:rFonts w:ascii="Times New Roman" w:hAnsi="Times New Roman"/>
          <w:color w:val="000000" w:themeColor="text1"/>
          <w:sz w:val="16"/>
          <w:szCs w:val="16"/>
        </w:rPr>
        <w:t>" и строительство самого известного самолета - "Летающей блохи" (22495).</w:t>
      </w:r>
    </w:p>
    <w:p w14:paraId="090BD049" w14:textId="77777777" w:rsidR="00C631BD" w:rsidRPr="00A259BD" w:rsidRDefault="00C631BD" w:rsidP="009236E3">
      <w:pPr>
        <w:spacing w:after="0" w:line="240" w:lineRule="auto"/>
        <w:jc w:val="both"/>
        <w:rPr>
          <w:rFonts w:ascii="Times New Roman" w:hAnsi="Times New Roman"/>
          <w:color w:val="000000" w:themeColor="text1"/>
          <w:sz w:val="16"/>
          <w:szCs w:val="16"/>
        </w:rPr>
      </w:pPr>
    </w:p>
    <w:p w14:paraId="7C45D56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E1996B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B86D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мая 1929 УВВС направило письмо N 106сс в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НАМИ, НТУ ВСНХ, ЦАГИ и ГВПУ с проектом постановления РВС по вопросам опытного строительства ВВС (351).</w:t>
      </w:r>
    </w:p>
    <w:p w14:paraId="7C5F2A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Перспективные самолеты (по плану УВВС на 1929 - 1933) (исходя из тактических требований, разработанных 4 секцией НТК УВВС)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1682"/>
        <w:gridCol w:w="2126"/>
        <w:gridCol w:w="1648"/>
        <w:gridCol w:w="3561"/>
      </w:tblGrid>
      <w:tr w:rsidR="00A259BD" w:rsidRPr="00A259BD" w14:paraId="50DAB768" w14:textId="77777777">
        <w:tc>
          <w:tcPr>
            <w:tcW w:w="2254" w:type="dxa"/>
          </w:tcPr>
          <w:p w14:paraId="69F4B3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Сухопутные самолеты:</w:t>
            </w:r>
          </w:p>
        </w:tc>
        <w:tc>
          <w:tcPr>
            <w:tcW w:w="1682" w:type="dxa"/>
          </w:tcPr>
          <w:p w14:paraId="6B9F6C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E0C1E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20B0A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CB182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6651837" w14:textId="77777777">
        <w:tc>
          <w:tcPr>
            <w:tcW w:w="2254" w:type="dxa"/>
          </w:tcPr>
          <w:p w14:paraId="71BAF5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основных типов, сводящиеся в 5 основных групп):</w:t>
            </w:r>
          </w:p>
        </w:tc>
        <w:tc>
          <w:tcPr>
            <w:tcW w:w="1682" w:type="dxa"/>
          </w:tcPr>
          <w:p w14:paraId="2C5CF5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53779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C3815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E90DC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6B16F8A" w14:textId="77777777">
        <w:tc>
          <w:tcPr>
            <w:tcW w:w="2254" w:type="dxa"/>
          </w:tcPr>
          <w:p w14:paraId="0F5ECE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334FE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314CC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истребители</w:t>
            </w:r>
          </w:p>
        </w:tc>
        <w:tc>
          <w:tcPr>
            <w:tcW w:w="1648" w:type="dxa"/>
          </w:tcPr>
          <w:p w14:paraId="2FE598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60F5E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63F82E6" w14:textId="77777777">
        <w:tc>
          <w:tcPr>
            <w:tcW w:w="2254" w:type="dxa"/>
          </w:tcPr>
          <w:p w14:paraId="4010F1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51CEC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1ABE1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разведчики</w:t>
            </w:r>
          </w:p>
        </w:tc>
        <w:tc>
          <w:tcPr>
            <w:tcW w:w="1648" w:type="dxa"/>
          </w:tcPr>
          <w:p w14:paraId="5A06E8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612B1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30DB7D3" w14:textId="77777777">
        <w:tc>
          <w:tcPr>
            <w:tcW w:w="2254" w:type="dxa"/>
          </w:tcPr>
          <w:p w14:paraId="6D8D69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521AD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80241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бомбардировщики</w:t>
            </w:r>
          </w:p>
        </w:tc>
        <w:tc>
          <w:tcPr>
            <w:tcW w:w="1648" w:type="dxa"/>
          </w:tcPr>
          <w:p w14:paraId="699041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E2CAD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5B29A55" w14:textId="77777777">
        <w:tc>
          <w:tcPr>
            <w:tcW w:w="2254" w:type="dxa"/>
          </w:tcPr>
          <w:p w14:paraId="70521E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96EB0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663E1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войсковые самолеты</w:t>
            </w:r>
          </w:p>
        </w:tc>
        <w:tc>
          <w:tcPr>
            <w:tcW w:w="1648" w:type="dxa"/>
          </w:tcPr>
          <w:p w14:paraId="00D92B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66B19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02ECFC3" w14:textId="77777777">
        <w:tc>
          <w:tcPr>
            <w:tcW w:w="2254" w:type="dxa"/>
          </w:tcPr>
          <w:p w14:paraId="5FD7AE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0465B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63B7D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специального назначения</w:t>
            </w:r>
          </w:p>
        </w:tc>
        <w:tc>
          <w:tcPr>
            <w:tcW w:w="1648" w:type="dxa"/>
          </w:tcPr>
          <w:p w14:paraId="434363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B5B14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7BEBBA9" w14:textId="77777777">
        <w:tc>
          <w:tcPr>
            <w:tcW w:w="2254" w:type="dxa"/>
          </w:tcPr>
          <w:p w14:paraId="5EE554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предполагалась постройка 34 моделей</w:t>
            </w:r>
          </w:p>
        </w:tc>
        <w:tc>
          <w:tcPr>
            <w:tcW w:w="1682" w:type="dxa"/>
          </w:tcPr>
          <w:p w14:paraId="1EE53C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B4B34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F3B3F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F10EF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3EBC301" w14:textId="77777777">
        <w:tc>
          <w:tcPr>
            <w:tcW w:w="2254" w:type="dxa"/>
          </w:tcPr>
          <w:p w14:paraId="4B3214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B4FA8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A013D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истребители</w:t>
            </w:r>
          </w:p>
        </w:tc>
        <w:tc>
          <w:tcPr>
            <w:tcW w:w="1648" w:type="dxa"/>
          </w:tcPr>
          <w:p w14:paraId="3C8F04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5A487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A5E26D9" w14:textId="77777777">
        <w:tc>
          <w:tcPr>
            <w:tcW w:w="2254" w:type="dxa"/>
          </w:tcPr>
          <w:p w14:paraId="26A4BA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893C9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8967C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одноместные</w:t>
            </w:r>
          </w:p>
        </w:tc>
        <w:tc>
          <w:tcPr>
            <w:tcW w:w="1648" w:type="dxa"/>
          </w:tcPr>
          <w:p w14:paraId="403611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55BB5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98EE548" w14:textId="77777777">
        <w:tc>
          <w:tcPr>
            <w:tcW w:w="2254" w:type="dxa"/>
          </w:tcPr>
          <w:p w14:paraId="69053B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8B77B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20306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92DA1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 мотором воздушного охлаждения</w:t>
            </w:r>
          </w:p>
        </w:tc>
        <w:tc>
          <w:tcPr>
            <w:tcW w:w="3561" w:type="dxa"/>
          </w:tcPr>
          <w:p w14:paraId="76A881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B146557" w14:textId="77777777">
        <w:tc>
          <w:tcPr>
            <w:tcW w:w="2254" w:type="dxa"/>
          </w:tcPr>
          <w:p w14:paraId="39FEBB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C5B79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C3FED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B9736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31296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И6-Юп7 деревянный легкий типа "жокей" (зав. 25)</w:t>
            </w:r>
          </w:p>
        </w:tc>
      </w:tr>
      <w:tr w:rsidR="00A259BD" w:rsidRPr="00A259BD" w14:paraId="2603173B" w14:textId="77777777">
        <w:tc>
          <w:tcPr>
            <w:tcW w:w="2254" w:type="dxa"/>
          </w:tcPr>
          <w:p w14:paraId="68809F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98377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3848D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F3B20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A6815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И4-Юп7 металлический на основе серийного И4 (ЦАГИ)</w:t>
            </w:r>
          </w:p>
        </w:tc>
      </w:tr>
      <w:tr w:rsidR="00A259BD" w:rsidRPr="00A259BD" w14:paraId="3F7D775F" w14:textId="77777777">
        <w:tc>
          <w:tcPr>
            <w:tcW w:w="2254" w:type="dxa"/>
          </w:tcPr>
          <w:p w14:paraId="5F9EFF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1A9E1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D4FA7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3CDB5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5A895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И5-Юп7 подобный И6, но смешанной конструкции (ЦАГИ)</w:t>
            </w:r>
          </w:p>
        </w:tc>
      </w:tr>
      <w:tr w:rsidR="00A259BD" w:rsidRPr="00A259BD" w14:paraId="6616F24F" w14:textId="77777777">
        <w:tc>
          <w:tcPr>
            <w:tcW w:w="2254" w:type="dxa"/>
          </w:tcPr>
          <w:p w14:paraId="4B593F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9EF39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987AA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49A82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6953B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И3-Юп7 металлический моноплан, модифицированный серийный И4-Юп-6 с качествами,</w:t>
            </w:r>
          </w:p>
        </w:tc>
      </w:tr>
      <w:tr w:rsidR="00A259BD" w:rsidRPr="00A259BD" w14:paraId="1C8A1DAC" w14:textId="77777777">
        <w:tc>
          <w:tcPr>
            <w:tcW w:w="2254" w:type="dxa"/>
          </w:tcPr>
          <w:p w14:paraId="195AB5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7FAE2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EDDEB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2A1C9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3CB62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 у И5 (ЦАГИ)</w:t>
            </w:r>
          </w:p>
        </w:tc>
      </w:tr>
      <w:tr w:rsidR="00A259BD" w:rsidRPr="00A259BD" w14:paraId="22938264" w14:textId="77777777">
        <w:tc>
          <w:tcPr>
            <w:tcW w:w="2254" w:type="dxa"/>
          </w:tcPr>
          <w:p w14:paraId="79A121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595F4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4BF15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19CED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C51A0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И10-М37 развитие И6 под более мощный 500/600 л.с. и высотный мотор с ВИШ (зав. 25)</w:t>
            </w:r>
          </w:p>
        </w:tc>
      </w:tr>
      <w:tr w:rsidR="00A259BD" w:rsidRPr="00A259BD" w14:paraId="44AFDEFC" w14:textId="77777777">
        <w:tc>
          <w:tcPr>
            <w:tcW w:w="2254" w:type="dxa"/>
          </w:tcPr>
          <w:p w14:paraId="0FFDF1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C2A48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D1B3A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89651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9C990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И11-М37 подобный И10 вариант металлической конструкции (ЦАГИ)</w:t>
            </w:r>
          </w:p>
        </w:tc>
      </w:tr>
      <w:tr w:rsidR="00A259BD" w:rsidRPr="00A259BD" w14:paraId="38F696EF" w14:textId="77777777">
        <w:tc>
          <w:tcPr>
            <w:tcW w:w="2254" w:type="dxa"/>
          </w:tcPr>
          <w:p w14:paraId="2A0A4D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Основной самолет группу - И4-Юп-7</w:t>
            </w:r>
          </w:p>
        </w:tc>
        <w:tc>
          <w:tcPr>
            <w:tcW w:w="1682" w:type="dxa"/>
          </w:tcPr>
          <w:p w14:paraId="684EED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6E8CD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C2980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F2491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518729E" w14:textId="77777777">
        <w:tc>
          <w:tcPr>
            <w:tcW w:w="2254" w:type="dxa"/>
          </w:tcPr>
          <w:p w14:paraId="670922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46CDE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FAC95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B0245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 мотором водяного охлаждения</w:t>
            </w:r>
          </w:p>
        </w:tc>
        <w:tc>
          <w:tcPr>
            <w:tcW w:w="3561" w:type="dxa"/>
          </w:tcPr>
          <w:p w14:paraId="0120DF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EBEC5AA" w14:textId="77777777">
        <w:tc>
          <w:tcPr>
            <w:tcW w:w="2254" w:type="dxa"/>
          </w:tcPr>
          <w:p w14:paraId="75F213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2D993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FFF95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B13FE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92A16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и 8. И7-БМВ6 развитие серийного И3-БМВ-6 путем облегчения (Зав. 25)</w:t>
            </w:r>
          </w:p>
        </w:tc>
      </w:tr>
      <w:tr w:rsidR="00A259BD" w:rsidRPr="00A259BD" w14:paraId="2E2C1CA0" w14:textId="77777777">
        <w:tc>
          <w:tcPr>
            <w:tcW w:w="2254" w:type="dxa"/>
          </w:tcPr>
          <w:p w14:paraId="47B1C1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95490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C2695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F3DFB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7DE17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И9-М34 смешанной конструкции с ВИШ (Зав. 25)</w:t>
            </w:r>
          </w:p>
        </w:tc>
      </w:tr>
      <w:tr w:rsidR="00A259BD" w:rsidRPr="00A259BD" w14:paraId="62107DC0" w14:textId="77777777">
        <w:tc>
          <w:tcPr>
            <w:tcW w:w="2254" w:type="dxa"/>
          </w:tcPr>
          <w:p w14:paraId="6D52E2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FCBAB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36FBB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08523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EB6B3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И12-М34 подобный И9, но металлической конструкции (ЦАГИ)</w:t>
            </w:r>
          </w:p>
        </w:tc>
      </w:tr>
      <w:tr w:rsidR="00A259BD" w:rsidRPr="00A259BD" w14:paraId="3DA8CBB5" w14:textId="77777777">
        <w:tc>
          <w:tcPr>
            <w:tcW w:w="2254" w:type="dxa"/>
          </w:tcPr>
          <w:p w14:paraId="2DB529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A0821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4FEC6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двухместные</w:t>
            </w:r>
          </w:p>
        </w:tc>
        <w:tc>
          <w:tcPr>
            <w:tcW w:w="1648" w:type="dxa"/>
          </w:tcPr>
          <w:p w14:paraId="7D0B37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2673D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4A359ED" w14:textId="77777777">
        <w:tc>
          <w:tcPr>
            <w:tcW w:w="2254" w:type="dxa"/>
          </w:tcPr>
          <w:p w14:paraId="0F9BB2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3281A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49ADA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3C276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65A63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Д2-БМВ6 опытный двухместный деревянной конструкции по ТТТ 1928/1929 (Зав. 25)</w:t>
            </w:r>
          </w:p>
        </w:tc>
      </w:tr>
      <w:tr w:rsidR="00A259BD" w:rsidRPr="00A259BD" w14:paraId="0F3193E5" w14:textId="77777777">
        <w:tc>
          <w:tcPr>
            <w:tcW w:w="2254" w:type="dxa"/>
          </w:tcPr>
          <w:p w14:paraId="39BDC3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FF636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3A0FD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22D36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B8883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Д2-БМВ6 модифицированный вариант Д2-БМВ-6 применительно к заданиям ночного</w:t>
            </w:r>
          </w:p>
        </w:tc>
      </w:tr>
      <w:tr w:rsidR="00A259BD" w:rsidRPr="00A259BD" w14:paraId="56FAFE16" w14:textId="77777777">
        <w:tc>
          <w:tcPr>
            <w:tcW w:w="2254" w:type="dxa"/>
          </w:tcPr>
          <w:p w14:paraId="7C0363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9017F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98197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BA066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3985B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истребителя путем увеличения метража крыльев и введения разрезного крыла для снижения </w:t>
            </w:r>
          </w:p>
        </w:tc>
      </w:tr>
      <w:tr w:rsidR="00A259BD" w:rsidRPr="00A259BD" w14:paraId="09777595" w14:textId="77777777">
        <w:tc>
          <w:tcPr>
            <w:tcW w:w="2254" w:type="dxa"/>
          </w:tcPr>
          <w:p w14:paraId="75F281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36CB6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C9013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E5ADA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E7B40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посадочной скорости (Зав. 25)</w:t>
            </w:r>
          </w:p>
        </w:tc>
      </w:tr>
      <w:tr w:rsidR="00A259BD" w:rsidRPr="00A259BD" w14:paraId="4219F41E" w14:textId="77777777">
        <w:tc>
          <w:tcPr>
            <w:tcW w:w="2254" w:type="dxa"/>
          </w:tcPr>
          <w:p w14:paraId="46E69D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83E0F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FE5E2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13857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98D70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НД3-М32 или М34 дальнейшее развитие Д2 под более мощный и высотный мотор и ВИШ </w:t>
            </w:r>
          </w:p>
        </w:tc>
      </w:tr>
      <w:tr w:rsidR="00A259BD" w:rsidRPr="00A259BD" w14:paraId="02D716A2" w14:textId="77777777">
        <w:tc>
          <w:tcPr>
            <w:tcW w:w="2254" w:type="dxa"/>
          </w:tcPr>
          <w:p w14:paraId="78B6FA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EC5B3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18199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3D90E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90152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r>
      <w:tr w:rsidR="00A259BD" w:rsidRPr="00A259BD" w14:paraId="27C3B941" w14:textId="77777777">
        <w:tc>
          <w:tcPr>
            <w:tcW w:w="2254" w:type="dxa"/>
          </w:tcPr>
          <w:p w14:paraId="108BF1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3C58B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C883B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многоместные</w:t>
            </w:r>
          </w:p>
        </w:tc>
        <w:tc>
          <w:tcPr>
            <w:tcW w:w="1648" w:type="dxa"/>
          </w:tcPr>
          <w:p w14:paraId="015D9B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F2ACB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45D7806" w14:textId="77777777">
        <w:tc>
          <w:tcPr>
            <w:tcW w:w="2254" w:type="dxa"/>
          </w:tcPr>
          <w:p w14:paraId="1AA6CC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C09CF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F625F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BF71A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1C742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и 15. ИК1-2ВМВ6 крейсерский двухмоторный многоместный истребитель большой </w:t>
            </w:r>
          </w:p>
        </w:tc>
      </w:tr>
      <w:tr w:rsidR="00A259BD" w:rsidRPr="00A259BD" w14:paraId="10634B26" w14:textId="77777777">
        <w:tc>
          <w:tcPr>
            <w:tcW w:w="2254" w:type="dxa"/>
          </w:tcPr>
          <w:p w14:paraId="60D240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CF572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F3AD0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E603B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CCF86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огневой мощи. ЛД и ТТ в зависимости от испытаний крейсерского разведчика Р6-2БМВ-6 </w:t>
            </w:r>
          </w:p>
        </w:tc>
      </w:tr>
      <w:tr w:rsidR="00A259BD" w:rsidRPr="00A259BD" w14:paraId="2E95AAFB" w14:textId="77777777">
        <w:tc>
          <w:tcPr>
            <w:tcW w:w="2254" w:type="dxa"/>
          </w:tcPr>
          <w:p w14:paraId="4C46B9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04F4A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CF6FE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A804A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6CA01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(август-сентябрь 1929). Дальнейшее развитие под более мощные и высотные М32 или М34 в </w:t>
            </w:r>
          </w:p>
        </w:tc>
      </w:tr>
      <w:tr w:rsidR="00A259BD" w:rsidRPr="00A259BD" w14:paraId="7E4A82A6" w14:textId="77777777">
        <w:tc>
          <w:tcPr>
            <w:tcW w:w="2254" w:type="dxa"/>
          </w:tcPr>
          <w:p w14:paraId="3ECD1F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E3779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131E0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16E93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A10B7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ВИШ (Зав. 25) </w:t>
            </w:r>
          </w:p>
        </w:tc>
      </w:tr>
      <w:tr w:rsidR="00A259BD" w:rsidRPr="00A259BD" w14:paraId="2561FE01" w14:textId="77777777">
        <w:tc>
          <w:tcPr>
            <w:tcW w:w="2254" w:type="dxa"/>
          </w:tcPr>
          <w:p w14:paraId="0B8304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C5E04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DDC8C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разведчики</w:t>
            </w:r>
          </w:p>
        </w:tc>
        <w:tc>
          <w:tcPr>
            <w:tcW w:w="1648" w:type="dxa"/>
          </w:tcPr>
          <w:p w14:paraId="10FE99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24CBF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0768063" w14:textId="77777777">
        <w:tc>
          <w:tcPr>
            <w:tcW w:w="2254" w:type="dxa"/>
          </w:tcPr>
          <w:p w14:paraId="3B5A42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0A311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AEEE5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армейские</w:t>
            </w:r>
          </w:p>
        </w:tc>
        <w:tc>
          <w:tcPr>
            <w:tcW w:w="1648" w:type="dxa"/>
          </w:tcPr>
          <w:p w14:paraId="19F3AF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4976E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A09CB19" w14:textId="77777777">
        <w:tc>
          <w:tcPr>
            <w:tcW w:w="2254" w:type="dxa"/>
          </w:tcPr>
          <w:p w14:paraId="4D281A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69427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CCE86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A08C1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CF1F9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Р5-БМВ6 армейский разведчик, он же ЛБ, построенный по требованиям 1927/1928 (Зав. 25)</w:t>
            </w:r>
          </w:p>
        </w:tc>
      </w:tr>
      <w:tr w:rsidR="00A259BD" w:rsidRPr="00A259BD" w14:paraId="240312BB" w14:textId="77777777">
        <w:tc>
          <w:tcPr>
            <w:tcW w:w="2254" w:type="dxa"/>
          </w:tcPr>
          <w:p w14:paraId="44C167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AB82E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6EF81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D5ABE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D3F64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Р7-БМВ6 металлический (ЦАГИ)</w:t>
            </w:r>
          </w:p>
        </w:tc>
      </w:tr>
      <w:tr w:rsidR="00A259BD" w:rsidRPr="00A259BD" w14:paraId="41D6A006" w14:textId="77777777">
        <w:tc>
          <w:tcPr>
            <w:tcW w:w="2254" w:type="dxa"/>
          </w:tcPr>
          <w:p w14:paraId="24F25E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12FD5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318CD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9848F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D7162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Р7-М30 металлический (ЦАГИ)</w:t>
            </w:r>
          </w:p>
        </w:tc>
      </w:tr>
      <w:tr w:rsidR="00A259BD" w:rsidRPr="00A259BD" w14:paraId="6A077143" w14:textId="77777777">
        <w:tc>
          <w:tcPr>
            <w:tcW w:w="2254" w:type="dxa"/>
          </w:tcPr>
          <w:p w14:paraId="61C5E4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FD989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78A89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8C3FF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233D8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 Р8-М33 дальнейшее развитие Р7 под более мощный и высотный мотор (М33) с ВИШ </w:t>
            </w:r>
          </w:p>
        </w:tc>
      </w:tr>
      <w:tr w:rsidR="00A259BD" w:rsidRPr="00A259BD" w14:paraId="11684CA5" w14:textId="77777777">
        <w:tc>
          <w:tcPr>
            <w:tcW w:w="2254" w:type="dxa"/>
          </w:tcPr>
          <w:p w14:paraId="3A9101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7F6C7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13F76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AA07D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A0AF5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r>
      <w:tr w:rsidR="00A259BD" w:rsidRPr="00A259BD" w14:paraId="73AA642C" w14:textId="77777777">
        <w:tc>
          <w:tcPr>
            <w:tcW w:w="2254" w:type="dxa"/>
          </w:tcPr>
          <w:p w14:paraId="695103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408A9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B5681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0A733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9671C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Р9-М33 подобный самолету Р8-М33 вариант смешанной конструкции (Зав. 25)</w:t>
            </w:r>
          </w:p>
        </w:tc>
      </w:tr>
      <w:tr w:rsidR="00A259BD" w:rsidRPr="00A259BD" w14:paraId="3E7AFE19" w14:textId="77777777">
        <w:tc>
          <w:tcPr>
            <w:tcW w:w="2254" w:type="dxa"/>
          </w:tcPr>
          <w:p w14:paraId="6AD1E3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10FDE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крейсерские</w:t>
            </w:r>
          </w:p>
        </w:tc>
        <w:tc>
          <w:tcPr>
            <w:tcW w:w="2126" w:type="dxa"/>
          </w:tcPr>
          <w:p w14:paraId="28CF8E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D8E57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8C451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ACAB6D0" w14:textId="77777777">
        <w:tc>
          <w:tcPr>
            <w:tcW w:w="2254" w:type="dxa"/>
          </w:tcPr>
          <w:p w14:paraId="0F72E2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56E8E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D6E7E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2FFA0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3B751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22, 23. Р6-2БМВ6 дальний крейсерский многоместный двухмоторный металлический </w:t>
            </w:r>
          </w:p>
        </w:tc>
      </w:tr>
      <w:tr w:rsidR="00A259BD" w:rsidRPr="00A259BD" w14:paraId="33EF3B9F" w14:textId="77777777">
        <w:tc>
          <w:tcPr>
            <w:tcW w:w="2254" w:type="dxa"/>
          </w:tcPr>
          <w:p w14:paraId="6DD415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C3710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790F8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FA8FD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111D3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разведчик (он же самолет воздушного боя) по техническим требованиям 1927/1928. </w:t>
            </w:r>
          </w:p>
        </w:tc>
      </w:tr>
      <w:tr w:rsidR="00A259BD" w:rsidRPr="00A259BD" w14:paraId="405FF859" w14:textId="77777777">
        <w:tc>
          <w:tcPr>
            <w:tcW w:w="2254" w:type="dxa"/>
          </w:tcPr>
          <w:p w14:paraId="7BCF0E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16F89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F065A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1C364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FF5B6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Дальнейшее развитие после получения результатов испытаний Р6 под моторы М33 </w:t>
            </w:r>
          </w:p>
        </w:tc>
      </w:tr>
      <w:tr w:rsidR="00A259BD" w:rsidRPr="00A259BD" w14:paraId="22516CD1" w14:textId="77777777">
        <w:tc>
          <w:tcPr>
            <w:tcW w:w="2254" w:type="dxa"/>
          </w:tcPr>
          <w:p w14:paraId="3CC74D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4FD48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3C34F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6C733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30E2F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(или М34) (ЦАГИ)</w:t>
            </w:r>
          </w:p>
        </w:tc>
      </w:tr>
      <w:tr w:rsidR="00A259BD" w:rsidRPr="00A259BD" w14:paraId="2CC4C730" w14:textId="77777777">
        <w:tc>
          <w:tcPr>
            <w:tcW w:w="2254" w:type="dxa"/>
          </w:tcPr>
          <w:p w14:paraId="28C85F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A16A9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26AB5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2B3CD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6D963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НР-500/700 л.с. ночной разведчик, приспособление Р5 или Р7 под задания ночного </w:t>
            </w:r>
          </w:p>
        </w:tc>
      </w:tr>
      <w:tr w:rsidR="00A259BD" w:rsidRPr="00A259BD" w14:paraId="41EE15C2" w14:textId="77777777">
        <w:tc>
          <w:tcPr>
            <w:tcW w:w="2254" w:type="dxa"/>
          </w:tcPr>
          <w:p w14:paraId="141A5A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207EC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5080B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0B64D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CD8BD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разведчика (Зав. 25)</w:t>
            </w:r>
          </w:p>
        </w:tc>
      </w:tr>
      <w:tr w:rsidR="00A259BD" w:rsidRPr="00A259BD" w14:paraId="0F7B87E7" w14:textId="77777777">
        <w:tc>
          <w:tcPr>
            <w:tcW w:w="2254" w:type="dxa"/>
          </w:tcPr>
          <w:p w14:paraId="65C58D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6CE0D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войсковые самолеты</w:t>
            </w:r>
          </w:p>
        </w:tc>
        <w:tc>
          <w:tcPr>
            <w:tcW w:w="2126" w:type="dxa"/>
          </w:tcPr>
          <w:p w14:paraId="09FAB8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27F96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3B91C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ADFC45F" w14:textId="77777777">
        <w:tc>
          <w:tcPr>
            <w:tcW w:w="2254" w:type="dxa"/>
          </w:tcPr>
          <w:p w14:paraId="111965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65070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70AE2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79339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6197D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КРК1-1 м.300/400 НР двухмоторный, трехместный корпусной разведчик-корректировщик </w:t>
            </w:r>
          </w:p>
        </w:tc>
      </w:tr>
      <w:tr w:rsidR="00A259BD" w:rsidRPr="00A259BD" w14:paraId="6B72E9B4" w14:textId="77777777">
        <w:tc>
          <w:tcPr>
            <w:tcW w:w="2254" w:type="dxa"/>
          </w:tcPr>
          <w:p w14:paraId="257D70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8514E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23EE9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29F76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A946E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r>
      <w:tr w:rsidR="00A259BD" w:rsidRPr="00A259BD" w14:paraId="6ED6A27E" w14:textId="77777777">
        <w:tc>
          <w:tcPr>
            <w:tcW w:w="2254" w:type="dxa"/>
          </w:tcPr>
          <w:p w14:paraId="327C90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FC657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специального назначения</w:t>
            </w:r>
          </w:p>
        </w:tc>
        <w:tc>
          <w:tcPr>
            <w:tcW w:w="2126" w:type="dxa"/>
          </w:tcPr>
          <w:p w14:paraId="27053A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E9F38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D50C6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5442B42" w14:textId="77777777">
        <w:tc>
          <w:tcPr>
            <w:tcW w:w="2254" w:type="dxa"/>
          </w:tcPr>
          <w:p w14:paraId="3B24AB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8CB34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6A378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8545A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717C0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ХБ-М30 химический боевик для химического действия разбрызгиванием в оперативной и </w:t>
            </w:r>
          </w:p>
        </w:tc>
      </w:tr>
      <w:tr w:rsidR="00A259BD" w:rsidRPr="00A259BD" w14:paraId="2AF4C3D0" w14:textId="77777777">
        <w:tc>
          <w:tcPr>
            <w:tcW w:w="2254" w:type="dxa"/>
          </w:tcPr>
          <w:p w14:paraId="633C6A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FE0D7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FAAE7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A788A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D532D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тактической зонах и маскировка </w:t>
            </w:r>
            <w:proofErr w:type="spellStart"/>
            <w:r w:rsidRPr="00A259BD">
              <w:rPr>
                <w:rFonts w:ascii="Times New Roman" w:hAnsi="Times New Roman"/>
                <w:color w:val="000000" w:themeColor="text1"/>
                <w:sz w:val="16"/>
                <w:szCs w:val="16"/>
              </w:rPr>
              <w:t>химвеществами</w:t>
            </w:r>
            <w:proofErr w:type="spellEnd"/>
            <w:r w:rsidRPr="00A259BD">
              <w:rPr>
                <w:rFonts w:ascii="Times New Roman" w:hAnsi="Times New Roman"/>
                <w:color w:val="000000" w:themeColor="text1"/>
                <w:sz w:val="16"/>
                <w:szCs w:val="16"/>
              </w:rPr>
              <w:t xml:space="preserve"> поля боя. Может быть приспособлен либо </w:t>
            </w:r>
          </w:p>
        </w:tc>
      </w:tr>
      <w:tr w:rsidR="00A259BD" w:rsidRPr="00A259BD" w14:paraId="33973C6E" w14:textId="77777777">
        <w:tc>
          <w:tcPr>
            <w:tcW w:w="2254" w:type="dxa"/>
          </w:tcPr>
          <w:p w14:paraId="0B08C5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A9DD3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3D68D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90104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7214D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Р3-М5 либо Р7-БМВ6 (ЦАГИ)</w:t>
            </w:r>
          </w:p>
        </w:tc>
      </w:tr>
      <w:tr w:rsidR="00A259BD" w:rsidRPr="00A259BD" w14:paraId="284F980F" w14:textId="77777777">
        <w:tc>
          <w:tcPr>
            <w:tcW w:w="2254" w:type="dxa"/>
          </w:tcPr>
          <w:p w14:paraId="4BF60F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9CF65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485FD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3687C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A7728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КС1-65/80 НР самолет для связи кавалерии двухместный, металлический со складными </w:t>
            </w:r>
          </w:p>
        </w:tc>
      </w:tr>
      <w:tr w:rsidR="00A259BD" w:rsidRPr="00A259BD" w14:paraId="23466D5D" w14:textId="77777777">
        <w:tc>
          <w:tcPr>
            <w:tcW w:w="2254" w:type="dxa"/>
          </w:tcPr>
          <w:p w14:paraId="108940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C7C72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D425A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59574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1AADF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крыльями (ЦАГИ)</w:t>
            </w:r>
          </w:p>
        </w:tc>
      </w:tr>
      <w:tr w:rsidR="00A259BD" w:rsidRPr="00A259BD" w14:paraId="57392FC6" w14:textId="77777777">
        <w:tc>
          <w:tcPr>
            <w:tcW w:w="2254" w:type="dxa"/>
          </w:tcPr>
          <w:p w14:paraId="5FDE46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D3337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бомбардировщики</w:t>
            </w:r>
          </w:p>
        </w:tc>
        <w:tc>
          <w:tcPr>
            <w:tcW w:w="2126" w:type="dxa"/>
          </w:tcPr>
          <w:p w14:paraId="60D484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3DECB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530AB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345AE99" w14:textId="77777777">
        <w:tc>
          <w:tcPr>
            <w:tcW w:w="2254" w:type="dxa"/>
          </w:tcPr>
          <w:p w14:paraId="47EAAF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14948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37BCA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F042B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E0C27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28. ТБ-2-2БМВ6 деревянный, строящийся применительно к требованиям 1927/1928 </w:t>
            </w:r>
          </w:p>
        </w:tc>
      </w:tr>
      <w:tr w:rsidR="00A259BD" w:rsidRPr="00A259BD" w14:paraId="1B811E42" w14:textId="77777777">
        <w:tc>
          <w:tcPr>
            <w:tcW w:w="2254" w:type="dxa"/>
          </w:tcPr>
          <w:p w14:paraId="7347F1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A031E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4BEAA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199FD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BAF9F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параллельно ТБ-1 (Зав. 25)</w:t>
            </w:r>
          </w:p>
        </w:tc>
      </w:tr>
      <w:tr w:rsidR="00A259BD" w:rsidRPr="00A259BD" w14:paraId="0B42A63F" w14:textId="77777777">
        <w:tc>
          <w:tcPr>
            <w:tcW w:w="2254" w:type="dxa"/>
          </w:tcPr>
          <w:p w14:paraId="437286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B9C8D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FE553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BCDE7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52B5A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ТБ-3-2000/2400 НР металлический 4-х моторный ТБ, строящийся по заданию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с </w:t>
            </w:r>
          </w:p>
        </w:tc>
      </w:tr>
      <w:tr w:rsidR="00A259BD" w:rsidRPr="00A259BD" w14:paraId="0C182F59" w14:textId="77777777">
        <w:tc>
          <w:tcPr>
            <w:tcW w:w="2254" w:type="dxa"/>
          </w:tcPr>
          <w:p w14:paraId="16F07A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2AABC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B1192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C2726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505D7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предусмотрением</w:t>
            </w:r>
            <w:proofErr w:type="spellEnd"/>
            <w:r w:rsidRPr="00A259BD">
              <w:rPr>
                <w:rFonts w:ascii="Times New Roman" w:hAnsi="Times New Roman"/>
                <w:color w:val="000000" w:themeColor="text1"/>
                <w:sz w:val="16"/>
                <w:szCs w:val="16"/>
              </w:rPr>
              <w:t xml:space="preserve"> требований УВВС (ЦАГИ)</w:t>
            </w:r>
          </w:p>
        </w:tc>
      </w:tr>
      <w:tr w:rsidR="00A259BD" w:rsidRPr="00A259BD" w14:paraId="6BC4B947" w14:textId="77777777">
        <w:tc>
          <w:tcPr>
            <w:tcW w:w="2254" w:type="dxa"/>
          </w:tcPr>
          <w:p w14:paraId="16DD15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A7EF0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2D163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5E93E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01975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ТБ4-4 М39 или М40 дальнейшее развитие ТБ2 под моторы 700/840 и 750/900 путем </w:t>
            </w:r>
          </w:p>
        </w:tc>
      </w:tr>
      <w:tr w:rsidR="00A259BD" w:rsidRPr="00A259BD" w14:paraId="50760EB0" w14:textId="77777777">
        <w:tc>
          <w:tcPr>
            <w:tcW w:w="2254" w:type="dxa"/>
          </w:tcPr>
          <w:p w14:paraId="7504B8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128E6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90FFD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58504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B0BD8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увеличения сбрасываемого груза до 3000 кг (ЦАГИ)</w:t>
            </w:r>
          </w:p>
        </w:tc>
      </w:tr>
      <w:tr w:rsidR="00A259BD" w:rsidRPr="00A259BD" w14:paraId="31082870" w14:textId="77777777">
        <w:tc>
          <w:tcPr>
            <w:tcW w:w="2254" w:type="dxa"/>
          </w:tcPr>
          <w:p w14:paraId="5C1E54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2998E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80DC0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298AF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680AA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ТБ5-4 М35 то же под моторы мощностью 1250/1500 НР с доведением массы </w:t>
            </w:r>
          </w:p>
        </w:tc>
      </w:tr>
      <w:tr w:rsidR="00A259BD" w:rsidRPr="00A259BD" w14:paraId="6AD2E1C8" w14:textId="77777777">
        <w:tc>
          <w:tcPr>
            <w:tcW w:w="2254" w:type="dxa"/>
          </w:tcPr>
          <w:p w14:paraId="21040C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35702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C1980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951F6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86376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сбрасываемого груза до 5000 кг (ЦАГИ)</w:t>
            </w:r>
          </w:p>
        </w:tc>
      </w:tr>
      <w:tr w:rsidR="00A259BD" w:rsidRPr="00A259BD" w14:paraId="266A110F" w14:textId="77777777">
        <w:tc>
          <w:tcPr>
            <w:tcW w:w="2254" w:type="dxa"/>
          </w:tcPr>
          <w:p w14:paraId="372CA1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62A6E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4E2A4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5DBFA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322BA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32. Т-БМВ6 или М30 сухопутный одномоторный ближнего действия и торпедоносец по типу </w:t>
            </w:r>
          </w:p>
        </w:tc>
      </w:tr>
      <w:tr w:rsidR="00A259BD" w:rsidRPr="00A259BD" w14:paraId="68A23AF3" w14:textId="77777777">
        <w:tc>
          <w:tcPr>
            <w:tcW w:w="2254" w:type="dxa"/>
          </w:tcPr>
          <w:p w14:paraId="4E1D22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EC8F3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E44E4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40E9A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F52DA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английских </w:t>
            </w:r>
            <w:proofErr w:type="spellStart"/>
            <w:r w:rsidRPr="00A259BD">
              <w:rPr>
                <w:rFonts w:ascii="Times New Roman" w:hAnsi="Times New Roman"/>
                <w:color w:val="000000" w:themeColor="text1"/>
                <w:sz w:val="16"/>
                <w:szCs w:val="16"/>
              </w:rPr>
              <w:t>Блэкбери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Х.Пэйдж</w:t>
            </w:r>
            <w:proofErr w:type="spellEnd"/>
            <w:r w:rsidRPr="00A259BD">
              <w:rPr>
                <w:rFonts w:ascii="Times New Roman" w:hAnsi="Times New Roman"/>
                <w:color w:val="000000" w:themeColor="text1"/>
                <w:sz w:val="16"/>
                <w:szCs w:val="16"/>
              </w:rPr>
              <w:t xml:space="preserve"> и др. Может быть приспособлен Р5 или Р7 путем изменения </w:t>
            </w:r>
          </w:p>
        </w:tc>
      </w:tr>
      <w:tr w:rsidR="00A259BD" w:rsidRPr="00A259BD" w14:paraId="2DE31837" w14:textId="77777777">
        <w:tc>
          <w:tcPr>
            <w:tcW w:w="2254" w:type="dxa"/>
          </w:tcPr>
          <w:p w14:paraId="32BC7C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3F1ED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31E06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1FF30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60737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конструкции шасси (Зав. 25)</w:t>
            </w:r>
          </w:p>
        </w:tc>
      </w:tr>
      <w:tr w:rsidR="00A259BD" w:rsidRPr="00A259BD" w14:paraId="14701878" w14:textId="77777777">
        <w:tc>
          <w:tcPr>
            <w:tcW w:w="2254" w:type="dxa"/>
          </w:tcPr>
          <w:p w14:paraId="7C24C9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A4E48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приспособление самолетов для штурмовиков</w:t>
            </w:r>
          </w:p>
        </w:tc>
        <w:tc>
          <w:tcPr>
            <w:tcW w:w="2126" w:type="dxa"/>
          </w:tcPr>
          <w:p w14:paraId="183030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BB469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3371D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8D1816A" w14:textId="77777777">
        <w:tc>
          <w:tcPr>
            <w:tcW w:w="2254" w:type="dxa"/>
          </w:tcPr>
          <w:p w14:paraId="2B6766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8D2F0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F5774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92BCD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070F7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33. ШЛ400/600 НР легкий штурмовой металлический самолет путем приспособления Р3-М5 </w:t>
            </w:r>
          </w:p>
        </w:tc>
      </w:tr>
      <w:tr w:rsidR="00A259BD" w:rsidRPr="00A259BD" w14:paraId="6B396469" w14:textId="77777777">
        <w:tc>
          <w:tcPr>
            <w:tcW w:w="2254" w:type="dxa"/>
          </w:tcPr>
          <w:p w14:paraId="785EB7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4BCC8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96498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335F4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7F7DF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или Р7-БМВ6 (ЦАГИ)</w:t>
            </w:r>
          </w:p>
        </w:tc>
      </w:tr>
      <w:tr w:rsidR="00A259BD" w:rsidRPr="00A259BD" w14:paraId="64DA5664" w14:textId="77777777">
        <w:tc>
          <w:tcPr>
            <w:tcW w:w="2254" w:type="dxa"/>
          </w:tcPr>
          <w:p w14:paraId="13CE10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36177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D349F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6CBC0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19324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34. ШТ-2БМВ6 тяжелый штурмовой металлический самолет путем приспособления одного </w:t>
            </w:r>
          </w:p>
        </w:tc>
      </w:tr>
      <w:tr w:rsidR="00A259BD" w:rsidRPr="00A259BD" w14:paraId="34FFD97D" w14:textId="77777777">
        <w:tc>
          <w:tcPr>
            <w:tcW w:w="2254" w:type="dxa"/>
          </w:tcPr>
          <w:p w14:paraId="273134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5B66F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2E268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2D03F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A2DAA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серийных ТБ1-2БМВ6 (ЦАГИ)</w:t>
            </w:r>
          </w:p>
        </w:tc>
      </w:tr>
      <w:tr w:rsidR="00A259BD" w:rsidRPr="00A259BD" w14:paraId="3DBCE64F" w14:textId="77777777">
        <w:tc>
          <w:tcPr>
            <w:tcW w:w="2254" w:type="dxa"/>
          </w:tcPr>
          <w:p w14:paraId="564773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Морские самолеты:</w:t>
            </w:r>
          </w:p>
        </w:tc>
        <w:tc>
          <w:tcPr>
            <w:tcW w:w="1682" w:type="dxa"/>
          </w:tcPr>
          <w:p w14:paraId="0E143B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9469E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534F6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BE43B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FCF58B9" w14:textId="77777777">
        <w:tc>
          <w:tcPr>
            <w:tcW w:w="2254" w:type="dxa"/>
          </w:tcPr>
          <w:p w14:paraId="12DC3A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5BFAC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54F9D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Плохо удовлетворяют тактическим требованиям</w:t>
            </w:r>
          </w:p>
        </w:tc>
        <w:tc>
          <w:tcPr>
            <w:tcW w:w="1648" w:type="dxa"/>
          </w:tcPr>
          <w:p w14:paraId="1A47A9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A404C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F6CB5B0" w14:textId="77777777">
        <w:tc>
          <w:tcPr>
            <w:tcW w:w="2254" w:type="dxa"/>
          </w:tcPr>
          <w:p w14:paraId="708B7B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20F17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810F6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DBA58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0EAEC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МК1-морской крейсер , для которого была снижена полезная нагрузка с 1500 до 955 за счет </w:t>
            </w:r>
          </w:p>
        </w:tc>
      </w:tr>
      <w:tr w:rsidR="00A259BD" w:rsidRPr="00A259BD" w14:paraId="69525BE2" w14:textId="77777777">
        <w:tc>
          <w:tcPr>
            <w:tcW w:w="2254" w:type="dxa"/>
          </w:tcPr>
          <w:p w14:paraId="5882D3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E04B9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64246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7A9B0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3D3A4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уменьшения продолжительности полета с 7 до 6 часов и снижения числа пулеметов с 12 до 6</w:t>
            </w:r>
          </w:p>
        </w:tc>
      </w:tr>
      <w:tr w:rsidR="00A259BD" w:rsidRPr="00A259BD" w14:paraId="59A83A35" w14:textId="77777777">
        <w:tc>
          <w:tcPr>
            <w:tcW w:w="2254" w:type="dxa"/>
          </w:tcPr>
          <w:p w14:paraId="179BE5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2BAE8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77E9C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F4E98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54240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МК-2 развитие МК-1 с мотором М-35 в 1250 для доведения нагрузки до 1500 кг</w:t>
            </w:r>
          </w:p>
        </w:tc>
      </w:tr>
      <w:tr w:rsidR="00A259BD" w:rsidRPr="00A259BD" w14:paraId="585E9E26" w14:textId="77777777">
        <w:tc>
          <w:tcPr>
            <w:tcW w:w="2254" w:type="dxa"/>
          </w:tcPr>
          <w:p w14:paraId="25CDE4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6BE86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647FC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29FB0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34C12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МР-7 развитие МР5 с мотором БМВ6</w:t>
            </w:r>
          </w:p>
        </w:tc>
      </w:tr>
      <w:tr w:rsidR="00A259BD" w:rsidRPr="00A259BD" w14:paraId="2D195BE0" w14:textId="77777777">
        <w:tc>
          <w:tcPr>
            <w:tcW w:w="2254" w:type="dxa"/>
          </w:tcPr>
          <w:p w14:paraId="40E605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370B6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60B1F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3BE31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287C1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РОМ-4 развитие РОМ-2</w:t>
            </w:r>
          </w:p>
        </w:tc>
      </w:tr>
      <w:tr w:rsidR="00A259BD" w:rsidRPr="00A259BD" w14:paraId="4660F3E0" w14:textId="77777777">
        <w:tc>
          <w:tcPr>
            <w:tcW w:w="2254" w:type="dxa"/>
          </w:tcPr>
          <w:p w14:paraId="40E65A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028AF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3E133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189BD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C29B0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АЛ - амфибия легкая путем применения лодочного самолета КР-11</w:t>
            </w:r>
          </w:p>
        </w:tc>
      </w:tr>
      <w:tr w:rsidR="00A259BD" w:rsidRPr="00A259BD" w14:paraId="089F0473" w14:textId="77777777">
        <w:tc>
          <w:tcPr>
            <w:tcW w:w="2254" w:type="dxa"/>
          </w:tcPr>
          <w:p w14:paraId="1078A2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EFB34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62ACE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33294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6662B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КР-2 катапультный разведчик и улучшение МР1 с мотором М38</w:t>
            </w:r>
          </w:p>
        </w:tc>
      </w:tr>
      <w:tr w:rsidR="00A259BD" w:rsidRPr="00A259BD" w14:paraId="455C3FF4" w14:textId="77777777">
        <w:tc>
          <w:tcPr>
            <w:tcW w:w="2254" w:type="dxa"/>
          </w:tcPr>
          <w:p w14:paraId="577A5F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CABEC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AAB5F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B7AF9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7C395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w:t>
            </w:r>
          </w:p>
        </w:tc>
      </w:tr>
      <w:tr w:rsidR="00A259BD" w:rsidRPr="00A259BD" w14:paraId="7FAF4BC4" w14:textId="77777777">
        <w:tc>
          <w:tcPr>
            <w:tcW w:w="2254" w:type="dxa"/>
          </w:tcPr>
          <w:p w14:paraId="7F0E41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0FBED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BD940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89387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EB062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w:t>
            </w:r>
          </w:p>
        </w:tc>
      </w:tr>
      <w:tr w:rsidR="00A259BD" w:rsidRPr="00A259BD" w14:paraId="6ED27E68" w14:textId="77777777">
        <w:tc>
          <w:tcPr>
            <w:tcW w:w="2254" w:type="dxa"/>
          </w:tcPr>
          <w:p w14:paraId="02FA88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05473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2D7CC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BC699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CF49A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ТОМ 2</w:t>
            </w:r>
          </w:p>
        </w:tc>
      </w:tr>
      <w:tr w:rsidR="00A259BD" w:rsidRPr="00A259BD" w14:paraId="6A60F432" w14:textId="77777777">
        <w:tc>
          <w:tcPr>
            <w:tcW w:w="2254" w:type="dxa"/>
          </w:tcPr>
          <w:p w14:paraId="1C4844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B770C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136CF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ED3F1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3EDF1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ТБОМ</w:t>
            </w:r>
          </w:p>
        </w:tc>
      </w:tr>
      <w:tr w:rsidR="00A259BD" w:rsidRPr="00A259BD" w14:paraId="01D4AE78" w14:textId="77777777">
        <w:tc>
          <w:tcPr>
            <w:tcW w:w="2254" w:type="dxa"/>
          </w:tcPr>
          <w:p w14:paraId="248516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0A9F7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37BAE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AEAA5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6EE5F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ЭР1-ЦАГИ</w:t>
            </w:r>
          </w:p>
        </w:tc>
      </w:tr>
      <w:tr w:rsidR="00A259BD" w:rsidRPr="00A259BD" w14:paraId="493169D6" w14:textId="77777777">
        <w:tc>
          <w:tcPr>
            <w:tcW w:w="2254" w:type="dxa"/>
          </w:tcPr>
          <w:p w14:paraId="5735E9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A5C8C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B92AB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4D99A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B063B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КР1-Юп-6 строится и ЛТД гарантированы фирмой Хейнкель</w:t>
            </w:r>
          </w:p>
        </w:tc>
      </w:tr>
      <w:tr w:rsidR="00A259BD" w:rsidRPr="00A259BD" w14:paraId="3196AA6B" w14:textId="77777777">
        <w:tc>
          <w:tcPr>
            <w:tcW w:w="2254" w:type="dxa"/>
          </w:tcPr>
          <w:p w14:paraId="07B617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FA9AA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AF1CD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95328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65262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МУ-2</w:t>
            </w:r>
          </w:p>
        </w:tc>
      </w:tr>
      <w:tr w:rsidR="00A259BD" w:rsidRPr="00A259BD" w14:paraId="66254483" w14:textId="77777777">
        <w:tc>
          <w:tcPr>
            <w:tcW w:w="2254" w:type="dxa"/>
          </w:tcPr>
          <w:p w14:paraId="7C1494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CA127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D64F6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56168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4E8E8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МУ-3 с мотором М-11 как развитие МУ-2</w:t>
            </w:r>
          </w:p>
        </w:tc>
      </w:tr>
      <w:tr w:rsidR="00A259BD" w:rsidRPr="00A259BD" w14:paraId="4B428A57" w14:textId="77777777">
        <w:tc>
          <w:tcPr>
            <w:tcW w:w="2254" w:type="dxa"/>
          </w:tcPr>
          <w:p w14:paraId="3EC254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03700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91593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Основной тип - разведчик открытого моря лодочного типа с двумя моторами</w:t>
            </w:r>
          </w:p>
        </w:tc>
        <w:tc>
          <w:tcPr>
            <w:tcW w:w="1648" w:type="dxa"/>
          </w:tcPr>
          <w:p w14:paraId="6BD7CD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0F467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0BD16EE" w14:textId="77777777">
        <w:tc>
          <w:tcPr>
            <w:tcW w:w="2254" w:type="dxa"/>
          </w:tcPr>
          <w:p w14:paraId="52C216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AEFBA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9C78A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70AC5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34DF5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1/РОМ-2 с 2БМВ6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w:t>
            </w:r>
          </w:p>
        </w:tc>
      </w:tr>
      <w:tr w:rsidR="00A259BD" w:rsidRPr="00A259BD" w14:paraId="3CC8131E" w14:textId="77777777">
        <w:tc>
          <w:tcPr>
            <w:tcW w:w="2254" w:type="dxa"/>
          </w:tcPr>
          <w:p w14:paraId="212594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9ADD6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D1DBC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8D22F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2680D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2/РОМ-3-2БМВ6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w:t>
            </w:r>
          </w:p>
        </w:tc>
      </w:tr>
      <w:tr w:rsidR="00A259BD" w:rsidRPr="00A259BD" w14:paraId="7B1717AB" w14:textId="77777777">
        <w:tc>
          <w:tcPr>
            <w:tcW w:w="2254" w:type="dxa"/>
          </w:tcPr>
          <w:p w14:paraId="629236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E3CB7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A586C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D57F8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2F639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3.3а/ экспериментальный самолет ЦАГИ - ЭР1 усовершенствованный РОМ-2 с БМВ6 (?)</w:t>
            </w:r>
          </w:p>
        </w:tc>
      </w:tr>
      <w:tr w:rsidR="00A259BD" w:rsidRPr="00A259BD" w14:paraId="3C9A2BE1" w14:textId="77777777">
        <w:tc>
          <w:tcPr>
            <w:tcW w:w="2254" w:type="dxa"/>
          </w:tcPr>
          <w:p w14:paraId="3FF3FE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E734B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8251D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2EBD4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C4560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РОМ4-2М34Р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w:t>
            </w:r>
          </w:p>
        </w:tc>
      </w:tr>
      <w:tr w:rsidR="00A259BD" w:rsidRPr="00A259BD" w14:paraId="7E075B8C" w14:textId="77777777">
        <w:tc>
          <w:tcPr>
            <w:tcW w:w="2254" w:type="dxa"/>
          </w:tcPr>
          <w:p w14:paraId="019233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0D16A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CE680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Основной тип - разведчик базовый лодочного типа одномоторный</w:t>
            </w:r>
          </w:p>
        </w:tc>
        <w:tc>
          <w:tcPr>
            <w:tcW w:w="1648" w:type="dxa"/>
          </w:tcPr>
          <w:p w14:paraId="11E462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192F6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1477F87" w14:textId="77777777">
        <w:tc>
          <w:tcPr>
            <w:tcW w:w="2254" w:type="dxa"/>
          </w:tcPr>
          <w:p w14:paraId="7B4FFB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67F9D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8C8C2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8D14A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0289E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1/МР5-БМВ6 проходит заводские испытания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w:t>
            </w:r>
          </w:p>
        </w:tc>
      </w:tr>
      <w:tr w:rsidR="00A259BD" w:rsidRPr="00A259BD" w14:paraId="510E269A" w14:textId="77777777">
        <w:tc>
          <w:tcPr>
            <w:tcW w:w="2254" w:type="dxa"/>
          </w:tcPr>
          <w:p w14:paraId="6EF43D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AEB20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95BB7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E8E72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9BEA0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2/МР6-БМВ6 строится по инициативе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дублирует МР5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w:t>
            </w:r>
          </w:p>
        </w:tc>
      </w:tr>
      <w:tr w:rsidR="00A259BD" w:rsidRPr="00A259BD" w14:paraId="21260A3C" w14:textId="77777777">
        <w:tc>
          <w:tcPr>
            <w:tcW w:w="2254" w:type="dxa"/>
          </w:tcPr>
          <w:p w14:paraId="26EBB7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BF1C6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564A2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0C2B3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86837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3/МР7-БМВ6 развитие МР5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w:t>
            </w:r>
          </w:p>
        </w:tc>
      </w:tr>
      <w:tr w:rsidR="00A259BD" w:rsidRPr="00A259BD" w14:paraId="16E819F4" w14:textId="77777777">
        <w:tc>
          <w:tcPr>
            <w:tcW w:w="2254" w:type="dxa"/>
          </w:tcPr>
          <w:p w14:paraId="4B6366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F5B75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2A916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Основной тип - торпедоносец открытого моря ТОМ двухмоторный</w:t>
            </w:r>
          </w:p>
        </w:tc>
        <w:tc>
          <w:tcPr>
            <w:tcW w:w="1648" w:type="dxa"/>
          </w:tcPr>
          <w:p w14:paraId="1BE26F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8E2FB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A2F6E5F" w14:textId="77777777">
        <w:tc>
          <w:tcPr>
            <w:tcW w:w="2254" w:type="dxa"/>
          </w:tcPr>
          <w:p w14:paraId="613871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D65DB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7A419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D823B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8218D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1/ТОМ-2-2БМВ6 поплавковый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w:t>
            </w:r>
          </w:p>
        </w:tc>
      </w:tr>
      <w:tr w:rsidR="00A259BD" w:rsidRPr="00A259BD" w14:paraId="05D08AF4" w14:textId="77777777">
        <w:tc>
          <w:tcPr>
            <w:tcW w:w="2254" w:type="dxa"/>
          </w:tcPr>
          <w:p w14:paraId="68AA0E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EF646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909DC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A603E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95751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2/ТОМ-3-2БМВ6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w:t>
            </w:r>
          </w:p>
        </w:tc>
      </w:tr>
      <w:tr w:rsidR="00A259BD" w:rsidRPr="00A259BD" w14:paraId="524F7E62" w14:textId="77777777">
        <w:tc>
          <w:tcPr>
            <w:tcW w:w="2254" w:type="dxa"/>
          </w:tcPr>
          <w:p w14:paraId="2C6F60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7E707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51755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Основной тип - торпедоносец, бомбардировщик открытого моря лодочного типа ТБОМ</w:t>
            </w:r>
          </w:p>
        </w:tc>
        <w:tc>
          <w:tcPr>
            <w:tcW w:w="1648" w:type="dxa"/>
          </w:tcPr>
          <w:p w14:paraId="6B4A0C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2C2B2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D1724FA" w14:textId="77777777">
        <w:tc>
          <w:tcPr>
            <w:tcW w:w="2254" w:type="dxa"/>
          </w:tcPr>
          <w:p w14:paraId="4EB056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DEA07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63FFD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FF293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8082F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/Экспериментальный лодочный самолет ЦАГИ/АНТ с 3 моторами БМВ6, переходный к </w:t>
            </w:r>
          </w:p>
        </w:tc>
      </w:tr>
      <w:tr w:rsidR="00A259BD" w:rsidRPr="00A259BD" w14:paraId="0048F68E" w14:textId="77777777">
        <w:tc>
          <w:tcPr>
            <w:tcW w:w="2254" w:type="dxa"/>
          </w:tcPr>
          <w:p w14:paraId="1BF252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A4958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AE399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88329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AC986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ТБОМ (?)</w:t>
            </w:r>
          </w:p>
        </w:tc>
      </w:tr>
      <w:tr w:rsidR="00A259BD" w:rsidRPr="00A259BD" w14:paraId="28F9E110" w14:textId="77777777">
        <w:tc>
          <w:tcPr>
            <w:tcW w:w="2254" w:type="dxa"/>
          </w:tcPr>
          <w:p w14:paraId="0A2766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498D5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63337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5D2B8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008B4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2/ТБОМ торпедоносец бомбардировщик открытого моря лодочного типа с 3 М33 (?)</w:t>
            </w:r>
          </w:p>
        </w:tc>
      </w:tr>
      <w:tr w:rsidR="00A259BD" w:rsidRPr="00A259BD" w14:paraId="33F17F9C" w14:textId="77777777">
        <w:tc>
          <w:tcPr>
            <w:tcW w:w="2254" w:type="dxa"/>
          </w:tcPr>
          <w:p w14:paraId="153BFC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95864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F0E37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Основной тип - морской крейсер МК</w:t>
            </w:r>
          </w:p>
        </w:tc>
        <w:tc>
          <w:tcPr>
            <w:tcW w:w="1648" w:type="dxa"/>
          </w:tcPr>
          <w:p w14:paraId="2F60A2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954C4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B400C3A" w14:textId="77777777">
        <w:tc>
          <w:tcPr>
            <w:tcW w:w="2254" w:type="dxa"/>
          </w:tcPr>
          <w:p w14:paraId="52B964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D5370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50091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1D8DA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73870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1/МК1-3М33 лодочная машина с 3 моторами М33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w:t>
            </w:r>
          </w:p>
        </w:tc>
      </w:tr>
      <w:tr w:rsidR="00A259BD" w:rsidRPr="00A259BD" w14:paraId="0D8F6D53" w14:textId="77777777">
        <w:tc>
          <w:tcPr>
            <w:tcW w:w="2254" w:type="dxa"/>
          </w:tcPr>
          <w:p w14:paraId="6321FC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9DA65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A710B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DCFCA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7867D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2/МК2-2М35 лодочная машина с 3 моторами М35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w:t>
            </w:r>
          </w:p>
        </w:tc>
      </w:tr>
      <w:tr w:rsidR="00A259BD" w:rsidRPr="00A259BD" w14:paraId="03D39FC6" w14:textId="77777777">
        <w:tc>
          <w:tcPr>
            <w:tcW w:w="2254" w:type="dxa"/>
          </w:tcPr>
          <w:p w14:paraId="5261D4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E11F5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20AFC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Основной тип - катапультный разведчик КР</w:t>
            </w:r>
          </w:p>
        </w:tc>
        <w:tc>
          <w:tcPr>
            <w:tcW w:w="1648" w:type="dxa"/>
          </w:tcPr>
          <w:p w14:paraId="5A74C2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C4B67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5A9A5EC" w14:textId="77777777">
        <w:tc>
          <w:tcPr>
            <w:tcW w:w="2254" w:type="dxa"/>
          </w:tcPr>
          <w:p w14:paraId="68A534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4D4C2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13834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43F08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1264E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1/КР-Юп-6 заказывается по лицензии (Хейнкель)</w:t>
            </w:r>
          </w:p>
        </w:tc>
      </w:tr>
      <w:tr w:rsidR="00A259BD" w:rsidRPr="00A259BD" w14:paraId="6650F21D" w14:textId="77777777">
        <w:tc>
          <w:tcPr>
            <w:tcW w:w="2254" w:type="dxa"/>
          </w:tcPr>
          <w:p w14:paraId="384F49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4BF68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E161B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12617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D580F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2/КР2 развитие типа 1 за счет снижения веса конструкции и установки более мощного </w:t>
            </w:r>
          </w:p>
        </w:tc>
      </w:tr>
      <w:tr w:rsidR="00A259BD" w:rsidRPr="00A259BD" w14:paraId="3BB20AA3" w14:textId="77777777">
        <w:tc>
          <w:tcPr>
            <w:tcW w:w="2254" w:type="dxa"/>
          </w:tcPr>
          <w:p w14:paraId="4A6532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745BA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91B7C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E7D44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6C0C0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мотора М38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w:t>
            </w:r>
          </w:p>
        </w:tc>
      </w:tr>
      <w:tr w:rsidR="00A259BD" w:rsidRPr="00A259BD" w14:paraId="51FB8E06" w14:textId="77777777">
        <w:tc>
          <w:tcPr>
            <w:tcW w:w="2254" w:type="dxa"/>
          </w:tcPr>
          <w:p w14:paraId="384EDA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424C8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23509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Основной тип - амфибия</w:t>
            </w:r>
          </w:p>
        </w:tc>
        <w:tc>
          <w:tcPr>
            <w:tcW w:w="1648" w:type="dxa"/>
          </w:tcPr>
          <w:p w14:paraId="57CC41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202D6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E06EA5B" w14:textId="77777777">
        <w:tc>
          <w:tcPr>
            <w:tcW w:w="2254" w:type="dxa"/>
          </w:tcPr>
          <w:p w14:paraId="3A844C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0833F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623E7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A6B48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0D31C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А/АЛ-М37 амфибия легкая одномоторная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w:t>
            </w:r>
          </w:p>
        </w:tc>
      </w:tr>
      <w:tr w:rsidR="00A259BD" w:rsidRPr="00A259BD" w14:paraId="0D00D84A" w14:textId="77777777">
        <w:tc>
          <w:tcPr>
            <w:tcW w:w="2254" w:type="dxa"/>
          </w:tcPr>
          <w:p w14:paraId="5A5975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4EAA0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81463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1490B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A4465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2/АТ-3М34р амфибия тяжелая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w:t>
            </w:r>
          </w:p>
        </w:tc>
      </w:tr>
      <w:tr w:rsidR="00A259BD" w:rsidRPr="00A259BD" w14:paraId="06DA589C" w14:textId="77777777">
        <w:tc>
          <w:tcPr>
            <w:tcW w:w="2254" w:type="dxa"/>
          </w:tcPr>
          <w:p w14:paraId="747638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65B66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B7525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Основной тип - учебный самолет АУ</w:t>
            </w:r>
          </w:p>
        </w:tc>
        <w:tc>
          <w:tcPr>
            <w:tcW w:w="1648" w:type="dxa"/>
          </w:tcPr>
          <w:p w14:paraId="48366C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AE5A4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753150D" w14:textId="77777777">
        <w:tc>
          <w:tcPr>
            <w:tcW w:w="2254" w:type="dxa"/>
          </w:tcPr>
          <w:p w14:paraId="0185FE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C8D36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07084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78B6F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B4B00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1/МУ2-М11 лодочного типа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w:t>
            </w:r>
          </w:p>
        </w:tc>
      </w:tr>
      <w:tr w:rsidR="00A259BD" w:rsidRPr="00A259BD" w14:paraId="4928F516" w14:textId="77777777">
        <w:tc>
          <w:tcPr>
            <w:tcW w:w="2254" w:type="dxa"/>
          </w:tcPr>
          <w:p w14:paraId="795B93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9385D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26499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86496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5DEA3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2/МУ3-мотор 120/150 л.с. развитие МУ2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w:t>
            </w:r>
          </w:p>
        </w:tc>
      </w:tr>
    </w:tbl>
    <w:p w14:paraId="434F20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Нет Ш-2, который отвергли ВВС, но принял Осоавиахим (63,163), НТК спорил с ЦАГИ по И5, завод 25 - опытный и на его базе был развернут ОСС ЦКБ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(228,73), не видно У2, не видно АНТ-9.</w:t>
      </w:r>
    </w:p>
    <w:p w14:paraId="4DB155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мая 1929 вышло второе постановления РВС по подготовке Пятилетнего плану опытного строительства ВВС на 1928/1929 - 1932/1933 (1025,2).</w:t>
      </w:r>
    </w:p>
    <w:p w14:paraId="271C07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95DF5F1" w14:textId="77777777" w:rsidR="008456F2" w:rsidRPr="00A259BD" w:rsidRDefault="008456F2" w:rsidP="009236E3">
      <w:pPr>
        <w:pStyle w:val="rtejustify"/>
        <w:spacing w:before="0" w:after="0"/>
        <w:rPr>
          <w:color w:val="000000" w:themeColor="text1"/>
          <w:sz w:val="16"/>
          <w:szCs w:val="16"/>
        </w:rPr>
      </w:pPr>
      <w:r w:rsidRPr="00A259BD">
        <w:rPr>
          <w:rStyle w:val="af0"/>
          <w:i w:val="0"/>
          <w:color w:val="000000" w:themeColor="text1"/>
          <w:sz w:val="16"/>
          <w:szCs w:val="16"/>
        </w:rPr>
        <w:t xml:space="preserve">22 мая </w:t>
      </w:r>
      <w:r w:rsidRPr="00A259BD">
        <w:rPr>
          <w:color w:val="000000" w:themeColor="text1"/>
          <w:sz w:val="16"/>
          <w:szCs w:val="16"/>
        </w:rPr>
        <w:t>1929 г</w:t>
      </w:r>
      <w:r w:rsidRPr="00A259BD">
        <w:rPr>
          <w:rStyle w:val="af0"/>
          <w:i w:val="0"/>
          <w:color w:val="000000" w:themeColor="text1"/>
          <w:sz w:val="16"/>
          <w:szCs w:val="16"/>
        </w:rPr>
        <w:t>. Протокол Реввоенсовета № 25.</w:t>
      </w:r>
      <w:r w:rsidRPr="00A259BD">
        <w:rPr>
          <w:color w:val="000000" w:themeColor="text1"/>
          <w:sz w:val="16"/>
          <w:szCs w:val="16"/>
        </w:rPr>
        <w:t xml:space="preserve"> 1. Об опытном строительстве в авиации. (Баранов). О системе артиллерийского вооружения РККА. (Шапошников). 4. О заказе 60</w:t>
      </w:r>
      <w:r w:rsidRPr="00A259BD">
        <w:rPr>
          <w:color w:val="000000" w:themeColor="text1"/>
          <w:sz w:val="16"/>
          <w:szCs w:val="16"/>
        </w:rPr>
        <w:noBreakHyphen/>
        <w:t>мм гаубицы. (</w:t>
      </w:r>
      <w:proofErr w:type="spellStart"/>
      <w:r w:rsidRPr="00A259BD">
        <w:rPr>
          <w:color w:val="000000" w:themeColor="text1"/>
          <w:sz w:val="16"/>
          <w:szCs w:val="16"/>
        </w:rPr>
        <w:t>Гарф</w:t>
      </w:r>
      <w:proofErr w:type="spellEnd"/>
      <w:r w:rsidRPr="00A259BD">
        <w:rPr>
          <w:color w:val="000000" w:themeColor="text1"/>
          <w:sz w:val="16"/>
          <w:szCs w:val="16"/>
        </w:rPr>
        <w:t>). (РГВА. Ф. 4. Оп. 18. Д. 15. Л. 158</w:t>
      </w:r>
      <w:r w:rsidRPr="00A259BD">
        <w:rPr>
          <w:color w:val="000000" w:themeColor="text1"/>
          <w:sz w:val="16"/>
          <w:szCs w:val="16"/>
        </w:rPr>
        <w:noBreakHyphen/>
        <w:t>164) (12342).</w:t>
      </w:r>
    </w:p>
    <w:p w14:paraId="24B116D0" w14:textId="77777777" w:rsidR="008456F2" w:rsidRPr="00A259BD" w:rsidRDefault="008456F2" w:rsidP="009236E3">
      <w:pPr>
        <w:pStyle w:val="rtejustify"/>
        <w:spacing w:before="0" w:after="0"/>
        <w:rPr>
          <w:color w:val="000000" w:themeColor="text1"/>
          <w:sz w:val="16"/>
          <w:szCs w:val="16"/>
        </w:rPr>
      </w:pPr>
    </w:p>
    <w:p w14:paraId="38C4F1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мая 1929 года согласно выписке из протокола № 25 заседания Реввоенсовета</w:t>
      </w:r>
    </w:p>
    <w:p w14:paraId="767436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Слушали: 1. Об опытном строительстве в авиации.</w:t>
      </w:r>
    </w:p>
    <w:p w14:paraId="6369D1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w:t>
      </w:r>
    </w:p>
    <w:p w14:paraId="6DA134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w:t>
      </w:r>
    </w:p>
    <w:p w14:paraId="5C652C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Наличная материальная база опытного строительства ВВС – слабо развитые производственные возможности научных институтов и конструкторских бюро, опытных заводов и мастерских, отставание металлургической базы и недостаточность кредитов, отпускаемых на опытное строительство – не обеспечивает необходимый темп опытного строительства. Вследствие этого в настоящее время:</w:t>
      </w:r>
    </w:p>
    <w:p w14:paraId="3075F5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в области авиационного моторостроения (находящегося в особо тяжелом положении) и </w:t>
      </w:r>
      <w:proofErr w:type="spellStart"/>
      <w:r w:rsidRPr="00A259BD">
        <w:rPr>
          <w:rFonts w:ascii="Times New Roman" w:hAnsi="Times New Roman"/>
          <w:color w:val="000000" w:themeColor="text1"/>
          <w:sz w:val="16"/>
          <w:szCs w:val="16"/>
        </w:rPr>
        <w:t>гидросамолетостроения</w:t>
      </w:r>
      <w:proofErr w:type="spellEnd"/>
      <w:r w:rsidRPr="00A259BD">
        <w:rPr>
          <w:rFonts w:ascii="Times New Roman" w:hAnsi="Times New Roman"/>
          <w:color w:val="000000" w:themeColor="text1"/>
          <w:sz w:val="16"/>
          <w:szCs w:val="16"/>
        </w:rPr>
        <w:t xml:space="preserve"> – мы имеем большое отставание от заграничных достижений;</w:t>
      </w:r>
    </w:p>
    <w:p w14:paraId="385E78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не обеспечен надлежащей проработкой вопроса топлива, ставший весьма срочным и важным в связи с повышением в современных авиационных моторах степени сжатия;</w:t>
      </w:r>
    </w:p>
    <w:p w14:paraId="1B4125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опытное строительство по фото, радио, точным приборам и артиллерийскому вооружению частью слабо, а частью совершенно не обеспечено лабораториями, конструкторскими бюро и опытными мастерскими;</w:t>
      </w:r>
    </w:p>
    <w:p w14:paraId="2D410F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работы по воздухоплаванию и дирижаблестроению находятся в зачаточном состоянии, а в части постройки новых образцов производятся лишь первые опыты.</w:t>
      </w:r>
    </w:p>
    <w:p w14:paraId="34017B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Дальнейший рост ВВС и развитие опытного строительства УВВС затрудняются также:</w:t>
      </w:r>
    </w:p>
    <w:p w14:paraId="37F3E8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малочисленностью личного состава НТК с НИИ УВВС, который, вследствие этого не в состоянии осуществить необходимого наблюдения и руководства по опытному строительству;</w:t>
      </w:r>
    </w:p>
    <w:p w14:paraId="2325D2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отсутствием достаточно точного регламента взаимоотношений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с научными институтами и НТК УВВС.</w:t>
      </w:r>
    </w:p>
    <w:p w14:paraId="7D1625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w:t>
      </w:r>
    </w:p>
    <w:p w14:paraId="559CE3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РВС считает первоочередной и важнейшей задачей довести в наикратчайший срок объем и темп опытного строительства и научно-исследовательских работ по моторам, самолетам, вооружению, приборам оборудования самолетов и вопросам изыскания топлива до необходимых размеров, для устранения существующего разрыва между достижениями заграничной и нашей авиационной техники и дальнейшего развития техники Красного воздушного флота в соответствии с требованиями интересов обороны страны.</w:t>
      </w:r>
    </w:p>
    <w:p w14:paraId="7EC209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этих целях РВС постановляет:</w:t>
      </w:r>
    </w:p>
    <w:p w14:paraId="7501F2F9"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Подтвердить к неуклонному руководству и исполнению, что постановка заданий промышленности и институтам по опытному строительству для ВВС, определение типов опытных образцов самолетов, моторов, вооружения и приборов, оборудования самолетов, установление технических и тактических требований к опытным образцам остаются полностью за УВВС.</w:t>
      </w:r>
    </w:p>
    <w:p w14:paraId="66D32C92"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Утвердить представленный УВВС план по опытному </w:t>
      </w:r>
      <w:proofErr w:type="spellStart"/>
      <w:r w:rsidRPr="00A259BD">
        <w:rPr>
          <w:rFonts w:ascii="Times New Roman" w:hAnsi="Times New Roman"/>
          <w:color w:val="000000" w:themeColor="text1"/>
          <w:sz w:val="16"/>
          <w:szCs w:val="16"/>
        </w:rPr>
        <w:t>самолето</w:t>
      </w:r>
      <w:proofErr w:type="spellEnd"/>
      <w:r w:rsidRPr="00A259BD">
        <w:rPr>
          <w:rFonts w:ascii="Times New Roman" w:hAnsi="Times New Roman"/>
          <w:color w:val="000000" w:themeColor="text1"/>
          <w:sz w:val="16"/>
          <w:szCs w:val="16"/>
        </w:rPr>
        <w:t xml:space="preserve"> и моторостроению на ближайшее трехлетие и обязать УВВС разработать пятилетний план опытного строительства по самолетам, моторам, вооружению, оборудованию и снаряжению самолетов и представить таковой в трехмесячный срок на утверждение РВС, причем этот план должен предусмотреть устранение разрыва в наших достижениях от достижений заграничной техники.</w:t>
      </w:r>
    </w:p>
    <w:p w14:paraId="4E61CF74"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Обязать органы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(ВОХИМУ, АУ, ВТУ и др.), ведающие в той или другой части научно-исследовательскими работами и опытным строительством предметов специального снабжения, снаряжения и вооружения ВВС, оказывать НТУ ВВС полное содействие предоставлением сведений и материалов для разработки в срок пятилетнего плана опытного строительства по всем отраслям опытного строительства УВВС.</w:t>
      </w:r>
    </w:p>
    <w:p w14:paraId="19607CFE"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Увеличить состав НТУ и НИИ УВВС специалистами, создав возможность фактического руководства научно-исследовательскими и практическими работами по пятилетнему плану опытного строительства и осуществления надлежащего наблюдения и контроля за его выполнением, для чего поручить ГУРККА в двухнедельный срок рассмотреть новые штаты и положение НТК УВВС и НИИ. Обязать УВВС разработать пятилетний план развития научно-испытательного института (НИИ) до размеров полного удовлетворения потребностей ВВС и представить его на утверждение РВС в трехмесячный срок.</w:t>
      </w:r>
    </w:p>
    <w:p w14:paraId="25A7EC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III.</w:t>
      </w:r>
    </w:p>
    <w:p w14:paraId="362F58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РВС постановляет просить Президиум ВСНХ:</w:t>
      </w:r>
    </w:p>
    <w:p w14:paraId="5163146B"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Подтвердить </w:t>
      </w:r>
      <w:proofErr w:type="spellStart"/>
      <w:r w:rsidRPr="00A259BD">
        <w:rPr>
          <w:rFonts w:ascii="Times New Roman" w:hAnsi="Times New Roman"/>
          <w:color w:val="000000" w:themeColor="text1"/>
          <w:sz w:val="16"/>
          <w:szCs w:val="16"/>
        </w:rPr>
        <w:t>п.п</w:t>
      </w:r>
      <w:proofErr w:type="spellEnd"/>
      <w:r w:rsidRPr="00A259BD">
        <w:rPr>
          <w:rFonts w:ascii="Times New Roman" w:hAnsi="Times New Roman"/>
          <w:color w:val="000000" w:themeColor="text1"/>
          <w:sz w:val="16"/>
          <w:szCs w:val="16"/>
        </w:rPr>
        <w:t>. 1 и 2 предыдущего раздела в отношении принятия к исполнению и руководству соответствующими органами ВСНХ.</w:t>
      </w:r>
    </w:p>
    <w:p w14:paraId="6113389E"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Ввиду сохранения за УВВС прав и обязанностей наблюдения и контроля за осуществлением опытных образцов всех предметов специального снабжения и вооружения воздушного флота по утвержденному пятилетнему плану во всех стадиях их исследования, проектирования, производства и испытания, обязать все организации, ведущие научно-исследовательские работы и опытное строительство по предметам специального снабжения и вооружения ВВС, обеспечить своевременное и полное представление УВВС необходимых для этой цели материалов.</w:t>
      </w:r>
    </w:p>
    <w:p w14:paraId="396FE6E2"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Обеспечить осуществление пятилетнего плана своевременным отпуском средств на опытное строительство, отпуская эти средства для органов ВСНХ по смете Президиума ВСНХ с тем, чтобы расходование их происходило по плану, предварительно согласованному между УВВС, ГВПУ и НТУ ВСНХ.</w:t>
      </w:r>
    </w:p>
    <w:p w14:paraId="14F92BA5"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Максимально обеспечить институтам отпуск средств на их развитие и выполнение работ, связанных с пятилетним планом опытного строительства ВВС. В частности, обратить особое внимание на разрешение институтами проблем советских моторов, а также вопросов топлива и смазочных.</w:t>
      </w:r>
    </w:p>
    <w:p w14:paraId="360C0D9E"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текущем году из смет ВСНХ максимально обеспечить отпуском средств строительство опытного завода НАМИ по производству образцов авиационных и автомобильных моторов и оборудование лабораторий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и постройку теплого ангара ЦАГИ.</w:t>
      </w:r>
    </w:p>
    <w:p w14:paraId="0773347A"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Возложить на НАМИ основную работу по выполнению пятилетнего плана опытного моторостроения ВВС в части создания новых типов моторов как с водяным, так и с воздушным охлаждением. В исполнение чего обязать НАМИ разработать план своего развития в соответствии с задачами и пятилетним планом опытного строительства ВВС и представить его на утверждение соответствующих инстанций в возможно короткий срок.</w:t>
      </w:r>
    </w:p>
    <w:p w14:paraId="69B0EA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Обязать НТУ ВСНХ взять под особое наблюдение осуществление развития НАМИ с таким расчетом, чтобы институт в целом по плану развития мог приступить к работе в период ближайших двух лет, для чего наряду с прочими мерами обеспечить своевременное получение институтом импортного оборудования и новейших образцов моторов для их исследования, а также принять меры к пополнению НАМИ конструкторским кадром. Одновременно институту ни в коем случае не снижать и не ослаблять темпа работ, ведущихся в данное время.</w:t>
      </w:r>
    </w:p>
    <w:p w14:paraId="431314EF"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Развить при ЦАГИ опытное строительство по самолетам смешанных и сварных конструкций.</w:t>
      </w:r>
    </w:p>
    <w:p w14:paraId="4E16F4F5"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НТУ ВСНХ и ЦАГИ принять меры к скорейшему окончанию оборудования аэродинамической трубы, гидроканала и высотной камеры. ЦАГИ добиться более интенсивного использования всех новых лабораторий института.</w:t>
      </w:r>
    </w:p>
    <w:p w14:paraId="61C03691"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Обеспечить внеочередное выполнение заводами заказов институтов на те изделия, которые не могут быть выполнены в мастерских институтов.</w:t>
      </w:r>
    </w:p>
    <w:p w14:paraId="25FA312B"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Выделить из серийного производства опытное строительство самолетов и моторов и сосредоточить его в кратчайший срок на заводах специально для этой цели предназначенных и оборудованных, с пропускной способностью, обеспечивающей выполнение плана опытного строительства ВВС и возможность осуществления самолетов и моторов как военной, так и гражданской авиации.</w:t>
      </w:r>
    </w:p>
    <w:p w14:paraId="0A3D05F5"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Разрешить ВПУ (по линии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и НТУ ВСНХ (по линии НАМИ) на основании опыта по самолетостроению, привлечение высококвалифицированных заграничных специалистов для разрешения конструкторских и производственных задач в области моторостроения.</w:t>
      </w:r>
    </w:p>
    <w:p w14:paraId="621A387B"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Обязать ВПУ и НТУ, совместно с УВВС, разработать необходимые мероприятия по максимальному сокращению сроков и упрощению способов внедрения опытных конструкций самолетов и моторов в серийное производство как в текущих годовых, так и в мобилизационных планах и представить эти мероприятия на рассмотрение и утверждение Президиума ВСНХ и РВСС в трехмесячный срок.</w:t>
      </w:r>
    </w:p>
    <w:p w14:paraId="22F5B488"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Сохранить опытное моторостроение в </w:t>
      </w:r>
      <w:proofErr w:type="spellStart"/>
      <w:r w:rsidRPr="00A259BD">
        <w:rPr>
          <w:rFonts w:ascii="Times New Roman" w:hAnsi="Times New Roman"/>
          <w:color w:val="000000" w:themeColor="text1"/>
          <w:sz w:val="16"/>
          <w:szCs w:val="16"/>
        </w:rPr>
        <w:t>Авиатресте</w:t>
      </w:r>
      <w:proofErr w:type="spellEnd"/>
      <w:r w:rsidRPr="00A259BD">
        <w:rPr>
          <w:rFonts w:ascii="Times New Roman" w:hAnsi="Times New Roman"/>
          <w:color w:val="000000" w:themeColor="text1"/>
          <w:sz w:val="16"/>
          <w:szCs w:val="16"/>
        </w:rPr>
        <w:t xml:space="preserve"> в части проектирования и постройки опытных образцов моторов и развития уже осуществленных конструкций в целях достижения облегчения этих конструкций, повышения их мощности и приспособления опытных конструкций моторов для изготовления серии.</w:t>
      </w:r>
    </w:p>
    <w:p w14:paraId="471B83D2"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Предложить ВПУ в трехмесячный срок представить в Президиум ВСНХ заявку заданий металлургической промышленности на постановку производства высокосортных сталей (труб, поковок и т.п.), легких сплавов, алюминия и материалов для приборов зажигания. Президиуму ВСНХ рассмотреть эту заявку и обеспечить необходимыми средствами ее исполнение, допустив, в случае надобности, привлечение иностранной помощи.</w:t>
      </w:r>
    </w:p>
    <w:p w14:paraId="059CF4E5"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Просить Президиум ВСНХ разработать и представить в РВСС соображения о порядке постановки работ по опытному строительству дирижаблестроения и воздухоплавания и план развития этих работ.</w:t>
      </w:r>
    </w:p>
    <w:p w14:paraId="716BB45A"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Обязать </w:t>
      </w:r>
      <w:proofErr w:type="spellStart"/>
      <w:r w:rsidRPr="00A259BD">
        <w:rPr>
          <w:rFonts w:ascii="Times New Roman" w:hAnsi="Times New Roman"/>
          <w:color w:val="000000" w:themeColor="text1"/>
          <w:sz w:val="16"/>
          <w:szCs w:val="16"/>
        </w:rPr>
        <w:t>Вохимтрест</w:t>
      </w:r>
      <w:proofErr w:type="spellEnd"/>
      <w:r w:rsidRPr="00A259BD">
        <w:rPr>
          <w:rFonts w:ascii="Times New Roman" w:hAnsi="Times New Roman"/>
          <w:color w:val="000000" w:themeColor="text1"/>
          <w:sz w:val="16"/>
          <w:szCs w:val="16"/>
        </w:rPr>
        <w:t>, по согласованию с АУ, в наикратчайший срок оборудовать специальный цех при одном из заводов для разработки пиротехнического опытного производства для нужд ВВС.</w:t>
      </w:r>
    </w:p>
    <w:p w14:paraId="4BF2E59E"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Обязать трест точной механики создать опытную мастерскую или цех для конструктивной и лабораторной разработки аэронавигационных и других точных приборов для ВВС.</w:t>
      </w:r>
    </w:p>
    <w:p w14:paraId="405FC13B"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Обязать трест слабых токов развернуть работу военного отдела и центральной своей лаборатории до пределов, обеспечивающих полностью потребность в авиационных рациях по пятилетнему плану опытного строительства ВВС (3545, 46-48).</w:t>
      </w:r>
    </w:p>
    <w:p w14:paraId="3822FFC4" w14:textId="77777777" w:rsidR="007A3FA3" w:rsidRDefault="007A3FA3" w:rsidP="007A3FA3">
      <w:pPr>
        <w:spacing w:after="0" w:line="240" w:lineRule="auto"/>
        <w:jc w:val="both"/>
        <w:rPr>
          <w:rFonts w:ascii="Times New Roman" w:hAnsi="Times New Roman"/>
          <w:color w:val="0070C0"/>
          <w:sz w:val="16"/>
          <w:szCs w:val="16"/>
        </w:rPr>
      </w:pPr>
    </w:p>
    <w:p w14:paraId="3B83B86C" w14:textId="65EFB5EC" w:rsidR="007A3FA3" w:rsidRPr="006B74EB" w:rsidRDefault="007A3FA3" w:rsidP="007A3FA3">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22 мая 1929 г. вышло </w:t>
      </w:r>
      <w:r w:rsidRPr="006B74EB">
        <w:rPr>
          <w:rFonts w:ascii="Times New Roman" w:hAnsi="Times New Roman"/>
          <w:color w:val="0070C0"/>
          <w:sz w:val="16"/>
          <w:szCs w:val="16"/>
        </w:rPr>
        <w:t>Постановление РВС СССР об опытном строительстве в авиации:</w:t>
      </w:r>
    </w:p>
    <w:p w14:paraId="4746E738" w14:textId="77777777" w:rsidR="007A3FA3" w:rsidRPr="006B74EB" w:rsidRDefault="007A3FA3" w:rsidP="007A3FA3">
      <w:pPr>
        <w:spacing w:after="0" w:line="240" w:lineRule="auto"/>
        <w:jc w:val="both"/>
        <w:rPr>
          <w:rFonts w:ascii="Times New Roman" w:hAnsi="Times New Roman"/>
          <w:color w:val="0070C0"/>
          <w:sz w:val="16"/>
          <w:szCs w:val="16"/>
        </w:rPr>
      </w:pPr>
      <w:r>
        <w:rPr>
          <w:rFonts w:ascii="Times New Roman" w:hAnsi="Times New Roman"/>
          <w:color w:val="0070C0"/>
          <w:sz w:val="16"/>
          <w:szCs w:val="16"/>
        </w:rPr>
        <w:t>1. Расширить</w:t>
      </w:r>
      <w:r w:rsidRPr="006B74EB">
        <w:rPr>
          <w:rFonts w:ascii="Times New Roman" w:hAnsi="Times New Roman"/>
          <w:color w:val="0070C0"/>
          <w:sz w:val="16"/>
          <w:szCs w:val="16"/>
        </w:rPr>
        <w:t xml:space="preserve"> состав НТК и НИИ ВВС специалистами,</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создав возможность </w:t>
      </w:r>
      <w:r>
        <w:rPr>
          <w:rFonts w:ascii="Times New Roman" w:hAnsi="Times New Roman"/>
          <w:color w:val="0070C0"/>
          <w:sz w:val="16"/>
          <w:szCs w:val="16"/>
        </w:rPr>
        <w:t>практического</w:t>
      </w:r>
      <w:r w:rsidRPr="006B74EB">
        <w:rPr>
          <w:rFonts w:ascii="Times New Roman" w:hAnsi="Times New Roman"/>
          <w:color w:val="0070C0"/>
          <w:sz w:val="16"/>
          <w:szCs w:val="16"/>
        </w:rPr>
        <w:t xml:space="preserve"> руководства научно-исследовательской и практической </w:t>
      </w:r>
      <w:r>
        <w:rPr>
          <w:rFonts w:ascii="Times New Roman" w:hAnsi="Times New Roman"/>
          <w:color w:val="0070C0"/>
          <w:sz w:val="16"/>
          <w:szCs w:val="16"/>
        </w:rPr>
        <w:t>работами</w:t>
      </w:r>
      <w:r w:rsidRPr="006B74EB">
        <w:rPr>
          <w:rFonts w:ascii="Times New Roman" w:hAnsi="Times New Roman"/>
          <w:color w:val="0070C0"/>
          <w:sz w:val="16"/>
          <w:szCs w:val="16"/>
        </w:rPr>
        <w:t xml:space="preserve"> по </w:t>
      </w:r>
      <w:r>
        <w:rPr>
          <w:rFonts w:ascii="Times New Roman" w:hAnsi="Times New Roman"/>
          <w:color w:val="0070C0"/>
          <w:sz w:val="16"/>
          <w:szCs w:val="16"/>
        </w:rPr>
        <w:t>пя</w:t>
      </w:r>
      <w:r w:rsidRPr="006B74EB">
        <w:rPr>
          <w:rFonts w:ascii="Times New Roman" w:hAnsi="Times New Roman"/>
          <w:color w:val="0070C0"/>
          <w:sz w:val="16"/>
          <w:szCs w:val="16"/>
        </w:rPr>
        <w:t>тилетне</w:t>
      </w:r>
      <w:r>
        <w:rPr>
          <w:rFonts w:ascii="Times New Roman" w:hAnsi="Times New Roman"/>
          <w:color w:val="0070C0"/>
          <w:sz w:val="16"/>
          <w:szCs w:val="16"/>
        </w:rPr>
        <w:t>м</w:t>
      </w:r>
      <w:r w:rsidRPr="006B74EB">
        <w:rPr>
          <w:rFonts w:ascii="Times New Roman" w:hAnsi="Times New Roman"/>
          <w:color w:val="0070C0"/>
          <w:sz w:val="16"/>
          <w:szCs w:val="16"/>
        </w:rPr>
        <w:t>у плану опытного строительства и осуществ</w:t>
      </w:r>
      <w:r>
        <w:rPr>
          <w:rFonts w:ascii="Times New Roman" w:hAnsi="Times New Roman"/>
          <w:color w:val="0070C0"/>
          <w:sz w:val="16"/>
          <w:szCs w:val="16"/>
        </w:rPr>
        <w:t>л</w:t>
      </w:r>
      <w:r w:rsidRPr="006B74EB">
        <w:rPr>
          <w:rFonts w:ascii="Times New Roman" w:hAnsi="Times New Roman"/>
          <w:color w:val="0070C0"/>
          <w:sz w:val="16"/>
          <w:szCs w:val="16"/>
        </w:rPr>
        <w:t>е</w:t>
      </w:r>
      <w:r>
        <w:rPr>
          <w:rFonts w:ascii="Times New Roman" w:hAnsi="Times New Roman"/>
          <w:color w:val="0070C0"/>
          <w:sz w:val="16"/>
          <w:szCs w:val="16"/>
        </w:rPr>
        <w:t>нию надежно</w:t>
      </w:r>
      <w:r w:rsidRPr="006B74EB">
        <w:rPr>
          <w:rFonts w:ascii="Times New Roman" w:hAnsi="Times New Roman"/>
          <w:color w:val="0070C0"/>
          <w:sz w:val="16"/>
          <w:szCs w:val="16"/>
        </w:rPr>
        <w:t>го контроля за его выполнением.</w:t>
      </w:r>
    </w:p>
    <w:p w14:paraId="06211CF9" w14:textId="77777777" w:rsidR="007A3FA3" w:rsidRPr="006B74EB" w:rsidRDefault="007A3FA3" w:rsidP="007A3FA3">
      <w:pPr>
        <w:spacing w:after="0" w:line="240" w:lineRule="auto"/>
        <w:jc w:val="both"/>
        <w:rPr>
          <w:rFonts w:ascii="Times New Roman" w:hAnsi="Times New Roman"/>
          <w:color w:val="0070C0"/>
          <w:sz w:val="16"/>
          <w:szCs w:val="16"/>
        </w:rPr>
      </w:pPr>
      <w:bookmarkStart w:id="49" w:name="bookmark12"/>
      <w:r>
        <w:rPr>
          <w:rFonts w:ascii="Times New Roman" w:hAnsi="Times New Roman"/>
          <w:color w:val="0070C0"/>
          <w:sz w:val="16"/>
          <w:szCs w:val="16"/>
        </w:rPr>
        <w:t>2. В</w:t>
      </w:r>
      <w:bookmarkEnd w:id="49"/>
      <w:r w:rsidRPr="006B74EB">
        <w:rPr>
          <w:rFonts w:ascii="Times New Roman" w:hAnsi="Times New Roman"/>
          <w:color w:val="0070C0"/>
          <w:sz w:val="16"/>
          <w:szCs w:val="16"/>
        </w:rPr>
        <w:t xml:space="preserve"> области моторостроения и </w:t>
      </w:r>
      <w:proofErr w:type="spellStart"/>
      <w:r w:rsidRPr="006B74EB">
        <w:rPr>
          <w:rFonts w:ascii="Times New Roman" w:hAnsi="Times New Roman"/>
          <w:color w:val="0070C0"/>
          <w:sz w:val="16"/>
          <w:szCs w:val="16"/>
        </w:rPr>
        <w:t>гидросимолетостросния</w:t>
      </w:r>
      <w:proofErr w:type="spellEnd"/>
      <w:r w:rsidRPr="006B74EB">
        <w:rPr>
          <w:rFonts w:ascii="Times New Roman" w:hAnsi="Times New Roman"/>
          <w:color w:val="0070C0"/>
          <w:sz w:val="16"/>
          <w:szCs w:val="16"/>
        </w:rPr>
        <w:t xml:space="preserve"> м</w:t>
      </w:r>
      <w:r>
        <w:rPr>
          <w:rFonts w:ascii="Times New Roman" w:hAnsi="Times New Roman"/>
          <w:color w:val="0070C0"/>
          <w:sz w:val="16"/>
          <w:szCs w:val="16"/>
        </w:rPr>
        <w:t>ы</w:t>
      </w:r>
      <w:r w:rsidRPr="006B74EB">
        <w:rPr>
          <w:rFonts w:ascii="Times New Roman" w:hAnsi="Times New Roman"/>
          <w:color w:val="0070C0"/>
          <w:sz w:val="16"/>
          <w:szCs w:val="16"/>
        </w:rPr>
        <w:t xml:space="preserve"> имеем</w:t>
      </w:r>
      <w:r>
        <w:rPr>
          <w:rFonts w:ascii="Times New Roman" w:hAnsi="Times New Roman"/>
          <w:color w:val="0070C0"/>
          <w:sz w:val="16"/>
          <w:szCs w:val="16"/>
        </w:rPr>
        <w:t xml:space="preserve"> сильное</w:t>
      </w:r>
      <w:r w:rsidRPr="006B74EB">
        <w:rPr>
          <w:rFonts w:ascii="Times New Roman" w:hAnsi="Times New Roman"/>
          <w:color w:val="0070C0"/>
          <w:sz w:val="16"/>
          <w:szCs w:val="16"/>
        </w:rPr>
        <w:t xml:space="preserve"> отставание от заграничных достижений.</w:t>
      </w:r>
    </w:p>
    <w:p w14:paraId="3F6136D4" w14:textId="77777777" w:rsidR="007A3FA3" w:rsidRPr="006B74EB" w:rsidRDefault="007A3FA3" w:rsidP="007A3FA3">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3.</w:t>
      </w:r>
      <w:r>
        <w:rPr>
          <w:rFonts w:ascii="Times New Roman" w:hAnsi="Times New Roman"/>
          <w:color w:val="0070C0"/>
          <w:sz w:val="16"/>
          <w:szCs w:val="16"/>
        </w:rPr>
        <w:t xml:space="preserve"> Р</w:t>
      </w:r>
      <w:r w:rsidRPr="006B74EB">
        <w:rPr>
          <w:rFonts w:ascii="Times New Roman" w:hAnsi="Times New Roman"/>
          <w:color w:val="0070C0"/>
          <w:sz w:val="16"/>
          <w:szCs w:val="16"/>
        </w:rPr>
        <w:t xml:space="preserve">азвернуть при </w:t>
      </w:r>
      <w:r>
        <w:rPr>
          <w:rFonts w:ascii="Times New Roman" w:hAnsi="Times New Roman"/>
          <w:color w:val="0070C0"/>
          <w:sz w:val="16"/>
          <w:szCs w:val="16"/>
        </w:rPr>
        <w:t>Ц</w:t>
      </w:r>
      <w:r w:rsidRPr="006B74EB">
        <w:rPr>
          <w:rFonts w:ascii="Times New Roman" w:hAnsi="Times New Roman"/>
          <w:color w:val="0070C0"/>
          <w:sz w:val="16"/>
          <w:szCs w:val="16"/>
        </w:rPr>
        <w:t>АГ</w:t>
      </w:r>
      <w:r>
        <w:rPr>
          <w:rFonts w:ascii="Times New Roman" w:hAnsi="Times New Roman"/>
          <w:color w:val="0070C0"/>
          <w:sz w:val="16"/>
          <w:szCs w:val="16"/>
        </w:rPr>
        <w:t>И</w:t>
      </w:r>
      <w:r w:rsidRPr="006B74EB">
        <w:rPr>
          <w:rFonts w:ascii="Times New Roman" w:hAnsi="Times New Roman"/>
          <w:color w:val="0070C0"/>
          <w:sz w:val="16"/>
          <w:szCs w:val="16"/>
        </w:rPr>
        <w:t xml:space="preserve"> опытное строительство по самолетам </w:t>
      </w:r>
      <w:r>
        <w:rPr>
          <w:rFonts w:ascii="Times New Roman" w:hAnsi="Times New Roman"/>
          <w:color w:val="0070C0"/>
          <w:sz w:val="16"/>
          <w:szCs w:val="16"/>
        </w:rPr>
        <w:t xml:space="preserve">смешанных и </w:t>
      </w:r>
      <w:r w:rsidRPr="006B74EB">
        <w:rPr>
          <w:rFonts w:ascii="Times New Roman" w:hAnsi="Times New Roman"/>
          <w:color w:val="0070C0"/>
          <w:sz w:val="16"/>
          <w:szCs w:val="16"/>
        </w:rPr>
        <w:t>сварных конструкций»</w:t>
      </w:r>
    </w:p>
    <w:p w14:paraId="0F81299A" w14:textId="77777777" w:rsidR="007A3FA3" w:rsidRDefault="007A3FA3" w:rsidP="007A3FA3">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/ЦГАСА,</w:t>
      </w:r>
      <w:r>
        <w:rPr>
          <w:rFonts w:ascii="Times New Roman" w:hAnsi="Times New Roman"/>
          <w:color w:val="0070C0"/>
          <w:sz w:val="16"/>
          <w:szCs w:val="16"/>
        </w:rPr>
        <w:t xml:space="preserve"> </w:t>
      </w:r>
      <w:r w:rsidRPr="006B74EB">
        <w:rPr>
          <w:rFonts w:ascii="Times New Roman" w:hAnsi="Times New Roman"/>
          <w:color w:val="0070C0"/>
          <w:sz w:val="16"/>
          <w:szCs w:val="16"/>
        </w:rPr>
        <w:t>ф</w:t>
      </w:r>
      <w:r>
        <w:rPr>
          <w:rFonts w:ascii="Times New Roman" w:hAnsi="Times New Roman"/>
          <w:color w:val="0070C0"/>
          <w:sz w:val="16"/>
          <w:szCs w:val="16"/>
        </w:rPr>
        <w:t xml:space="preserve">. </w:t>
      </w:r>
      <w:r w:rsidRPr="006B74EB">
        <w:rPr>
          <w:rFonts w:ascii="Times New Roman" w:hAnsi="Times New Roman"/>
          <w:color w:val="0070C0"/>
          <w:sz w:val="16"/>
          <w:szCs w:val="16"/>
        </w:rPr>
        <w:t>4,</w:t>
      </w:r>
      <w:r>
        <w:rPr>
          <w:rFonts w:ascii="Times New Roman" w:hAnsi="Times New Roman"/>
          <w:color w:val="0070C0"/>
          <w:sz w:val="16"/>
          <w:szCs w:val="16"/>
        </w:rPr>
        <w:t xml:space="preserve"> </w:t>
      </w:r>
      <w:r w:rsidRPr="006B74EB">
        <w:rPr>
          <w:rFonts w:ascii="Times New Roman" w:hAnsi="Times New Roman"/>
          <w:color w:val="0070C0"/>
          <w:sz w:val="16"/>
          <w:szCs w:val="16"/>
        </w:rPr>
        <w:t>оп.</w:t>
      </w:r>
      <w:r>
        <w:rPr>
          <w:rFonts w:ascii="Times New Roman" w:hAnsi="Times New Roman"/>
          <w:color w:val="0070C0"/>
          <w:sz w:val="16"/>
          <w:szCs w:val="16"/>
        </w:rPr>
        <w:t xml:space="preserve"> </w:t>
      </w:r>
      <w:r w:rsidRPr="006B74EB">
        <w:rPr>
          <w:rFonts w:ascii="Times New Roman" w:hAnsi="Times New Roman"/>
          <w:color w:val="0070C0"/>
          <w:sz w:val="16"/>
          <w:szCs w:val="16"/>
        </w:rPr>
        <w:t>2,</w:t>
      </w:r>
      <w:r>
        <w:rPr>
          <w:rFonts w:ascii="Times New Roman" w:hAnsi="Times New Roman"/>
          <w:color w:val="0070C0"/>
          <w:sz w:val="16"/>
          <w:szCs w:val="16"/>
        </w:rPr>
        <w:t xml:space="preserve"> д</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229,</w:t>
      </w:r>
      <w:r>
        <w:rPr>
          <w:rFonts w:ascii="Times New Roman" w:hAnsi="Times New Roman"/>
          <w:color w:val="0070C0"/>
          <w:sz w:val="16"/>
          <w:szCs w:val="16"/>
        </w:rPr>
        <w:t xml:space="preserve"> д. </w:t>
      </w:r>
      <w:r w:rsidRPr="006B74EB">
        <w:rPr>
          <w:rFonts w:ascii="Times New Roman" w:hAnsi="Times New Roman"/>
          <w:color w:val="0070C0"/>
          <w:sz w:val="16"/>
          <w:szCs w:val="16"/>
        </w:rPr>
        <w:t>268,</w:t>
      </w:r>
      <w:r>
        <w:rPr>
          <w:rFonts w:ascii="Times New Roman" w:hAnsi="Times New Roman"/>
          <w:color w:val="0070C0"/>
          <w:sz w:val="16"/>
          <w:szCs w:val="16"/>
        </w:rPr>
        <w:t xml:space="preserve"> </w:t>
      </w:r>
      <w:r w:rsidRPr="006B74EB">
        <w:rPr>
          <w:rFonts w:ascii="Times New Roman" w:hAnsi="Times New Roman"/>
          <w:color w:val="0070C0"/>
          <w:sz w:val="16"/>
          <w:szCs w:val="16"/>
        </w:rPr>
        <w:t>271/</w:t>
      </w:r>
      <w:r>
        <w:rPr>
          <w:rFonts w:ascii="Times New Roman" w:hAnsi="Times New Roman"/>
          <w:color w:val="0070C0"/>
          <w:sz w:val="16"/>
          <w:szCs w:val="16"/>
        </w:rPr>
        <w:t xml:space="preserve"> (23370).</w:t>
      </w:r>
    </w:p>
    <w:p w14:paraId="3484BE50" w14:textId="77777777" w:rsidR="00F547C5" w:rsidRPr="00A259BD" w:rsidRDefault="00F547C5" w:rsidP="007A3FA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385E0A5"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мая 1929 после предъявления законченного проекта для осмотра технической комиссией под председательством </w:t>
      </w:r>
      <w:proofErr w:type="spellStart"/>
      <w:r w:rsidRPr="00A259BD">
        <w:rPr>
          <w:rFonts w:ascii="Times New Roman" w:hAnsi="Times New Roman"/>
          <w:color w:val="000000" w:themeColor="text1"/>
          <w:sz w:val="16"/>
          <w:szCs w:val="16"/>
        </w:rPr>
        <w:t>Б.Н.Юрьева</w:t>
      </w:r>
      <w:proofErr w:type="spellEnd"/>
      <w:r w:rsidRPr="00A259BD">
        <w:rPr>
          <w:rFonts w:ascii="Times New Roman" w:hAnsi="Times New Roman"/>
          <w:color w:val="000000" w:themeColor="text1"/>
          <w:sz w:val="16"/>
          <w:szCs w:val="16"/>
        </w:rPr>
        <w:t xml:space="preserve"> был заключен договор между ЦС Осоавиахима и </w:t>
      </w:r>
      <w:proofErr w:type="spellStart"/>
      <w:r w:rsidRPr="00A259BD">
        <w:rPr>
          <w:rFonts w:ascii="Times New Roman" w:hAnsi="Times New Roman"/>
          <w:color w:val="000000" w:themeColor="text1"/>
          <w:sz w:val="16"/>
          <w:szCs w:val="16"/>
        </w:rPr>
        <w:t>Н.И.Камовым</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Н.К.Скржинским</w:t>
      </w:r>
      <w:proofErr w:type="spellEnd"/>
      <w:r w:rsidRPr="00A259BD">
        <w:rPr>
          <w:rFonts w:ascii="Times New Roman" w:hAnsi="Times New Roman"/>
          <w:color w:val="000000" w:themeColor="text1"/>
          <w:sz w:val="16"/>
          <w:szCs w:val="16"/>
        </w:rPr>
        <w:t>. На постройку вертолета выделили 3 месяца (8320,16).</w:t>
      </w:r>
    </w:p>
    <w:p w14:paraId="22081520"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B1F37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мая 1929 года между ЦС Союза ОСОАВИАХИМ СССР и конст</w:t>
      </w:r>
      <w:r w:rsidRPr="00A259BD">
        <w:rPr>
          <w:rFonts w:ascii="Times New Roman" w:hAnsi="Times New Roman"/>
          <w:color w:val="000000" w:themeColor="text1"/>
          <w:sz w:val="16"/>
          <w:szCs w:val="16"/>
        </w:rPr>
        <w:softHyphen/>
        <w:t>рукторской группой КАСКР было заключено “Соглашение”, в котором оговаривалось:</w:t>
      </w:r>
    </w:p>
    <w:p w14:paraId="67ABAE4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“ОСОАВИАХИМ” принимает на себя оказание содействия пост</w:t>
      </w:r>
      <w:r w:rsidRPr="00A259BD">
        <w:rPr>
          <w:rFonts w:ascii="Times New Roman" w:hAnsi="Times New Roman"/>
          <w:color w:val="000000" w:themeColor="text1"/>
          <w:sz w:val="16"/>
          <w:szCs w:val="16"/>
        </w:rPr>
        <w:softHyphen/>
        <w:t xml:space="preserve">ройке опытного самолета “Вертолет” (КАСКР-1) по проекту инженеров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Камова и </w:t>
      </w:r>
      <w:proofErr w:type="spellStart"/>
      <w:r w:rsidRPr="00A259BD">
        <w:rPr>
          <w:rFonts w:ascii="Times New Roman" w:hAnsi="Times New Roman"/>
          <w:color w:val="000000" w:themeColor="text1"/>
          <w:sz w:val="16"/>
          <w:szCs w:val="16"/>
        </w:rPr>
        <w:t>Скржинского</w:t>
      </w:r>
      <w:proofErr w:type="spellEnd"/>
      <w:r w:rsidRPr="00A259BD">
        <w:rPr>
          <w:rFonts w:ascii="Times New Roman" w:hAnsi="Times New Roman"/>
          <w:color w:val="000000" w:themeColor="text1"/>
          <w:sz w:val="16"/>
          <w:szCs w:val="16"/>
        </w:rPr>
        <w:t>, для чего:</w:t>
      </w:r>
    </w:p>
    <w:p w14:paraId="4048A8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Предоставляет необходимые средства на постройку и материалы по смете, приложенной к настоящему соглашению.</w:t>
      </w:r>
    </w:p>
    <w:p w14:paraId="3E7E2C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Обеспечивает постройку указанного самолета в мастерских завода № 39 как силами указанного завода, так и лицами, приглашенными на ра</w:t>
      </w:r>
      <w:r w:rsidRPr="00A259BD">
        <w:rPr>
          <w:rFonts w:ascii="Times New Roman" w:hAnsi="Times New Roman"/>
          <w:color w:val="000000" w:themeColor="text1"/>
          <w:sz w:val="16"/>
          <w:szCs w:val="16"/>
        </w:rPr>
        <w:softHyphen/>
        <w:t xml:space="preserve">боты по постройке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Камовым и </w:t>
      </w:r>
      <w:proofErr w:type="spellStart"/>
      <w:r w:rsidRPr="00A259BD">
        <w:rPr>
          <w:rFonts w:ascii="Times New Roman" w:hAnsi="Times New Roman"/>
          <w:color w:val="000000" w:themeColor="text1"/>
          <w:sz w:val="16"/>
          <w:szCs w:val="16"/>
        </w:rPr>
        <w:t>Скржинским</w:t>
      </w:r>
      <w:proofErr w:type="spellEnd"/>
      <w:r w:rsidRPr="00A259BD">
        <w:rPr>
          <w:rFonts w:ascii="Times New Roman" w:hAnsi="Times New Roman"/>
          <w:color w:val="000000" w:themeColor="text1"/>
          <w:sz w:val="16"/>
          <w:szCs w:val="16"/>
        </w:rPr>
        <w:t>, в пределах сметы и дого</w:t>
      </w:r>
      <w:r w:rsidRPr="00A259BD">
        <w:rPr>
          <w:rFonts w:ascii="Times New Roman" w:hAnsi="Times New Roman"/>
          <w:color w:val="000000" w:themeColor="text1"/>
          <w:sz w:val="16"/>
          <w:szCs w:val="16"/>
        </w:rPr>
        <w:softHyphen/>
        <w:t>вора, заключенного между “ОСОАВИАХИМОМ” И “ПРОМВОЗДУХОМ”.</w:t>
      </w:r>
    </w:p>
    <w:p w14:paraId="0971D2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Стоимость всей постройки указанного “Вертолета”, включая стои</w:t>
      </w:r>
      <w:r w:rsidRPr="00A259BD">
        <w:rPr>
          <w:rFonts w:ascii="Times New Roman" w:hAnsi="Times New Roman"/>
          <w:color w:val="000000" w:themeColor="text1"/>
          <w:sz w:val="16"/>
          <w:szCs w:val="16"/>
        </w:rPr>
        <w:softHyphen/>
        <w:t>мость чертежей, заказов заводу № 39 и всех прочих работ и материалов не должна превышать 8500 рублей...</w:t>
      </w:r>
    </w:p>
    <w:p w14:paraId="6EA65B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На производство всех других работ “ОСОАВИАХИМ” выдает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Камову и </w:t>
      </w:r>
      <w:proofErr w:type="spellStart"/>
      <w:r w:rsidRPr="00A259BD">
        <w:rPr>
          <w:rFonts w:ascii="Times New Roman" w:hAnsi="Times New Roman"/>
          <w:color w:val="000000" w:themeColor="text1"/>
          <w:sz w:val="16"/>
          <w:szCs w:val="16"/>
        </w:rPr>
        <w:t>Скржинскому</w:t>
      </w:r>
      <w:proofErr w:type="spellEnd"/>
      <w:r w:rsidRPr="00A259BD">
        <w:rPr>
          <w:rFonts w:ascii="Times New Roman" w:hAnsi="Times New Roman"/>
          <w:color w:val="000000" w:themeColor="text1"/>
          <w:sz w:val="16"/>
          <w:szCs w:val="16"/>
        </w:rPr>
        <w:t xml:space="preserve"> аванс в размере 500 рублей.</w:t>
      </w:r>
    </w:p>
    <w:p w14:paraId="7F117B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Срок выполнения всех работ определяется в 3 месяца со дня под</w:t>
      </w:r>
      <w:r w:rsidRPr="00A259BD">
        <w:rPr>
          <w:rFonts w:ascii="Times New Roman" w:hAnsi="Times New Roman"/>
          <w:color w:val="000000" w:themeColor="text1"/>
          <w:sz w:val="16"/>
          <w:szCs w:val="16"/>
        </w:rPr>
        <w:softHyphen/>
        <w:t>писания настоящего договора.</w:t>
      </w:r>
    </w:p>
    <w:p w14:paraId="5CBF495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Камов и </w:t>
      </w:r>
      <w:proofErr w:type="spellStart"/>
      <w:r w:rsidRPr="00A259BD">
        <w:rPr>
          <w:rFonts w:ascii="Times New Roman" w:hAnsi="Times New Roman"/>
          <w:color w:val="000000" w:themeColor="text1"/>
          <w:sz w:val="16"/>
          <w:szCs w:val="16"/>
        </w:rPr>
        <w:t>Скржинский</w:t>
      </w:r>
      <w:proofErr w:type="spellEnd"/>
      <w:r w:rsidRPr="00A259BD">
        <w:rPr>
          <w:rFonts w:ascii="Times New Roman" w:hAnsi="Times New Roman"/>
          <w:color w:val="000000" w:themeColor="text1"/>
          <w:sz w:val="16"/>
          <w:szCs w:val="16"/>
        </w:rPr>
        <w:t xml:space="preserve"> не ответственны за промедление, произведенное заводом № 39, если таковое произошло не вследствие по</w:t>
      </w:r>
      <w:r w:rsidRPr="00A259BD">
        <w:rPr>
          <w:rFonts w:ascii="Times New Roman" w:hAnsi="Times New Roman"/>
          <w:color w:val="000000" w:themeColor="text1"/>
          <w:sz w:val="16"/>
          <w:szCs w:val="16"/>
        </w:rPr>
        <w:softHyphen/>
        <w:t>здней дачи заказа или материала, а также в случае отсутствия возможно</w:t>
      </w:r>
      <w:r w:rsidRPr="00A259BD">
        <w:rPr>
          <w:rFonts w:ascii="Times New Roman" w:hAnsi="Times New Roman"/>
          <w:color w:val="000000" w:themeColor="text1"/>
          <w:sz w:val="16"/>
          <w:szCs w:val="16"/>
        </w:rPr>
        <w:softHyphen/>
        <w:t>сти приобрести своевременно те или иные материалы.</w:t>
      </w:r>
    </w:p>
    <w:p w14:paraId="316C6CD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Поскольку конструкция является опытной, конструктора не несут ответственности за результат испытаний в случае, если отрицательный результат произойдет не по вине конструкторов, или же, если вследст</w:t>
      </w:r>
      <w:r w:rsidRPr="00A259BD">
        <w:rPr>
          <w:rFonts w:ascii="Times New Roman" w:hAnsi="Times New Roman"/>
          <w:color w:val="000000" w:themeColor="text1"/>
          <w:sz w:val="16"/>
          <w:szCs w:val="16"/>
        </w:rPr>
        <w:softHyphen/>
        <w:t>вие новизны схемы они не могли быть предусмотрены.</w:t>
      </w:r>
    </w:p>
    <w:p w14:paraId="2798215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Авторские права на “Вертолет” (КАСКР-1) сохраняются за инже</w:t>
      </w:r>
      <w:r w:rsidRPr="00A259BD">
        <w:rPr>
          <w:rFonts w:ascii="Times New Roman" w:hAnsi="Times New Roman"/>
          <w:color w:val="000000" w:themeColor="text1"/>
          <w:sz w:val="16"/>
          <w:szCs w:val="16"/>
        </w:rPr>
        <w:softHyphen/>
        <w:t xml:space="preserve">нерами Камовым и </w:t>
      </w:r>
      <w:proofErr w:type="spellStart"/>
      <w:r w:rsidRPr="00A259BD">
        <w:rPr>
          <w:rFonts w:ascii="Times New Roman" w:hAnsi="Times New Roman"/>
          <w:color w:val="000000" w:themeColor="text1"/>
          <w:sz w:val="16"/>
          <w:szCs w:val="16"/>
        </w:rPr>
        <w:t>Скржинским</w:t>
      </w:r>
      <w:proofErr w:type="spellEnd"/>
      <w:r w:rsidRPr="00A259BD">
        <w:rPr>
          <w:rFonts w:ascii="Times New Roman" w:hAnsi="Times New Roman"/>
          <w:color w:val="000000" w:themeColor="text1"/>
          <w:sz w:val="16"/>
          <w:szCs w:val="16"/>
        </w:rPr>
        <w:t>...”</w:t>
      </w:r>
    </w:p>
    <w:p w14:paraId="1244BB8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Трудоемкость постройки автожира была определена в 4246 часов, це</w:t>
      </w:r>
      <w:r w:rsidRPr="00A259BD">
        <w:rPr>
          <w:rFonts w:ascii="Times New Roman" w:hAnsi="Times New Roman"/>
          <w:color w:val="000000" w:themeColor="text1"/>
          <w:sz w:val="16"/>
          <w:szCs w:val="16"/>
        </w:rPr>
        <w:softHyphen/>
        <w:t>на — 8500 рублей, срок постройки — 22 августа 1929 года (10224,24).</w:t>
      </w:r>
    </w:p>
    <w:p w14:paraId="71DB4CE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2368AF" w14:textId="77777777" w:rsidR="004B3E82" w:rsidRPr="00A259BD" w:rsidRDefault="004B3E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мая 1929 года из Центрального совета Осоавиахима СССР и РСФСР за Исходящим № 194/9 от в наркомат иностранных дел СССР: «Настоящим сообщаем, что в число участников Международных планерных состязаний 1929 года в Крыму предложено пригласить планерные организации следующих стран: 1. Германии, 2. Франции. 3. САСШ [в современной терминологии – США], 4. Италии, 5. Польши, 6. Швеции, 7. Норвегии, 8. Швейцарии, 9. Австрии, 10. Чехословакии.</w:t>
      </w:r>
    </w:p>
    <w:p w14:paraId="3A73BECB" w14:textId="77777777" w:rsidR="004B3E82" w:rsidRPr="00A259BD" w:rsidRDefault="004B3E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ЦС Осоавиахима просит оказать содействие в посылке приглашений и материалов об этих состязаниях через посредство наших полномочных или торговых представительств» (18092).</w:t>
      </w:r>
    </w:p>
    <w:p w14:paraId="056B3496" w14:textId="77777777" w:rsidR="004B3E82" w:rsidRPr="00A259BD" w:rsidRDefault="004B3E82" w:rsidP="009236E3">
      <w:pPr>
        <w:spacing w:after="0" w:line="240" w:lineRule="auto"/>
        <w:jc w:val="both"/>
        <w:rPr>
          <w:rFonts w:ascii="Times New Roman" w:hAnsi="Times New Roman"/>
          <w:color w:val="000000" w:themeColor="text1"/>
          <w:sz w:val="16"/>
          <w:szCs w:val="16"/>
        </w:rPr>
      </w:pPr>
    </w:p>
    <w:p w14:paraId="7CCD12D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259A73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70B7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мая 1929 Реввоенсовет рассмотрел и утвердил разработанную ГАУ систему </w:t>
      </w:r>
      <w:proofErr w:type="spellStart"/>
      <w:r w:rsidRPr="00A259BD">
        <w:rPr>
          <w:rFonts w:ascii="Times New Roman" w:hAnsi="Times New Roman"/>
          <w:color w:val="000000" w:themeColor="text1"/>
          <w:sz w:val="16"/>
          <w:szCs w:val="16"/>
        </w:rPr>
        <w:t>артвооружения</w:t>
      </w:r>
      <w:proofErr w:type="spellEnd"/>
      <w:r w:rsidRPr="00A259BD">
        <w:rPr>
          <w:rFonts w:ascii="Times New Roman" w:hAnsi="Times New Roman"/>
          <w:color w:val="000000" w:themeColor="text1"/>
          <w:sz w:val="16"/>
          <w:szCs w:val="16"/>
        </w:rPr>
        <w:t xml:space="preserve"> на 1929-1932 (1073,29).</w:t>
      </w:r>
    </w:p>
    <w:p w14:paraId="1339D7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11AE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мая 1929 года Реввоенсоветом была утверждена система </w:t>
      </w:r>
      <w:proofErr w:type="spellStart"/>
      <w:r w:rsidRPr="00A259BD">
        <w:rPr>
          <w:rFonts w:ascii="Times New Roman" w:hAnsi="Times New Roman"/>
          <w:color w:val="000000" w:themeColor="text1"/>
          <w:sz w:val="16"/>
          <w:szCs w:val="16"/>
        </w:rPr>
        <w:t>артвооружения</w:t>
      </w:r>
      <w:proofErr w:type="spellEnd"/>
      <w:r w:rsidRPr="00A259BD">
        <w:rPr>
          <w:rFonts w:ascii="Times New Roman" w:hAnsi="Times New Roman"/>
          <w:color w:val="000000" w:themeColor="text1"/>
          <w:sz w:val="16"/>
          <w:szCs w:val="16"/>
        </w:rPr>
        <w:t xml:space="preserve"> на 1929 - 1932 годы, предусматривающую создание следующих видов артиллерии: противотанковой, батальонной, полковой, дивизионной, корпусной, зенитной и резерва главного командования. Затем Совет Труда и Обороны СНК принял постановление «О системе артиллерийского вооружения РККА на вторую пятилетку. Утверждённая партией и правительством программа перевооружения Красной Армии была претворена в жизнь, и уже в 1933 году на вооружение армии появились танковая, противотанковая и авиационная артиллерия, более чем в 6 раз вырос объём боеприпасов, резко расширился объём работ по созданию новых и совершенствованию существующих боеприпасов. Соответственно вырос объём полигонных испытаний (12071).</w:t>
      </w:r>
    </w:p>
    <w:p w14:paraId="1A5B7A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76CD91" w14:textId="77777777" w:rsidR="00C631BD" w:rsidRPr="00A259BD" w:rsidRDefault="00C631B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мая 1929 г. на заседании РВС СССР система артиллерийского вооружения, представленная Б. М. Шапошниковым, была утверждена. После этого ВНИК при РВС СССР, Мобилизационно-плановое управление (МПУ) Высшего совета народного хозяйства (ВСНХ), Научный совет РККА и АУ УС РККА совместно со Штабом РККА в срок до 1 июля 1929 г. должны были представить план, устанавливающий очередность конструирования отдельных систем, в срок до 1 октября представить техническо-производственные требования к системам в целом по таким направлениям, как качество материалов, требования к живучести системы, стандартизация отдельных систем, простота конструкции, </w:t>
      </w:r>
      <w:proofErr w:type="spellStart"/>
      <w:r w:rsidRPr="00A259BD">
        <w:rPr>
          <w:rFonts w:ascii="Times New Roman" w:hAnsi="Times New Roman"/>
          <w:color w:val="000000" w:themeColor="text1"/>
          <w:sz w:val="16"/>
          <w:szCs w:val="16"/>
        </w:rPr>
        <w:t>суррогатирование</w:t>
      </w:r>
      <w:proofErr w:type="spellEnd"/>
      <w:r w:rsidRPr="00A259BD">
        <w:rPr>
          <w:rFonts w:ascii="Times New Roman" w:hAnsi="Times New Roman"/>
          <w:color w:val="000000" w:themeColor="text1"/>
          <w:sz w:val="16"/>
          <w:szCs w:val="16"/>
        </w:rPr>
        <w:t xml:space="preserve"> и т. д., в срок до 1 января 1930 г. – представить ориентировочные сроки готовности проектов и опытных образцов, а также план заказов новых систем, с учетом имеющейся в наличии материальной части.154 (20074)</w:t>
      </w:r>
    </w:p>
    <w:p w14:paraId="30B913CF" w14:textId="77777777" w:rsidR="00C631BD" w:rsidRPr="00A259BD" w:rsidRDefault="00C631BD" w:rsidP="009236E3">
      <w:pPr>
        <w:spacing w:after="0" w:line="240" w:lineRule="auto"/>
        <w:jc w:val="both"/>
        <w:rPr>
          <w:rFonts w:ascii="Times New Roman" w:hAnsi="Times New Roman"/>
          <w:color w:val="000000" w:themeColor="text1"/>
          <w:sz w:val="16"/>
          <w:szCs w:val="16"/>
        </w:rPr>
      </w:pPr>
    </w:p>
    <w:p w14:paraId="4739C7C3" w14:textId="77777777" w:rsidR="00C631BD" w:rsidRPr="00A259BD" w:rsidRDefault="00C631BD"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мая 1929 г. РВС СССР утвердил разработанный Штабом РККА проект системы артиллерийского и пехотного вооружения Красной Армии, которая являлась планом развития артиллерийского вооружения на ближайшие пять лет.464 Также предполагалось проведение НИР и ОКР по созданию перспективных опытных образцов.465 </w:t>
      </w:r>
    </w:p>
    <w:p w14:paraId="0EB15C55" w14:textId="77777777" w:rsidR="00C631BD" w:rsidRPr="00A259BD" w:rsidRDefault="00C631BD"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Перед профильными научно-исследовательскими институтами и предприятиями военной промышленности были поставлены конкретные задачи по реализации принятой системы, определены векторы поиска для конструкторской мысли. Выполнение новой системы вооружения предполагало значительную организационную перестройку в системе подготовки кадров для оборонной промышленности. Все это, в итоге, свидетельствовало о начале планомерной работы по созданию новой артиллерии для РККА с опорой на научно-производственную инфраструктуру, способную соответствовать современным вызовам. </w:t>
      </w:r>
    </w:p>
    <w:p w14:paraId="452FF036" w14:textId="77777777" w:rsidR="00C631BD" w:rsidRPr="00A259BD" w:rsidRDefault="00C631BD"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Выполнение задач, стоящих в данный период перед промышленностью страны, и военной в том числе, предъявляло высокие требования к деятельности заводов по всем составляющим производства. Однако соответствовать этим требованиям удавалось не всегда и зачастую с большим трудом. Характерной чертой для производственной деятельности предприятий советской оборонной промышленности в конце 1920 – начале 1930 гг. был невысокий уровень опытно-конструкторской базы, когда на заводах не всегда имелись необходимые для проведения опытных работ производственные площади, оборудование и специалисты соответствующей квалификации. Тем более что экономический фактор также был не в пользу НИР, стоимость которых превышала сметную в несколько раз.466 </w:t>
      </w:r>
    </w:p>
    <w:p w14:paraId="5B1F1E75" w14:textId="77777777" w:rsidR="00C631BD" w:rsidRPr="00A259BD" w:rsidRDefault="00C631BD" w:rsidP="009236E3">
      <w:pPr>
        <w:spacing w:after="0" w:line="240" w:lineRule="auto"/>
        <w:jc w:val="both"/>
        <w:rPr>
          <w:rFonts w:ascii="Times New Roman" w:eastAsia="TimesNewRomanPSMT" w:hAnsi="Times New Roman"/>
          <w:color w:val="000000" w:themeColor="text1"/>
          <w:sz w:val="16"/>
          <w:szCs w:val="16"/>
        </w:rPr>
      </w:pPr>
      <w:r w:rsidRPr="00A259BD">
        <w:rPr>
          <w:rFonts w:ascii="Times New Roman" w:hAnsi="Times New Roman"/>
          <w:color w:val="000000" w:themeColor="text1"/>
          <w:sz w:val="16"/>
          <w:szCs w:val="16"/>
        </w:rPr>
        <w:t xml:space="preserve">Как сообщал в сентябре 1929 г. В. В. Куйбышеву заместитель председателя Госплана СССР И. С. </w:t>
      </w:r>
      <w:proofErr w:type="spellStart"/>
      <w:r w:rsidRPr="00A259BD">
        <w:rPr>
          <w:rFonts w:ascii="Times New Roman" w:hAnsi="Times New Roman"/>
          <w:color w:val="000000" w:themeColor="text1"/>
          <w:sz w:val="16"/>
          <w:szCs w:val="16"/>
        </w:rPr>
        <w:t>Уншлихт</w:t>
      </w:r>
      <w:proofErr w:type="spellEnd"/>
      <w:r w:rsidRPr="00A259BD">
        <w:rPr>
          <w:rFonts w:ascii="Times New Roman" w:hAnsi="Times New Roman"/>
          <w:color w:val="000000" w:themeColor="text1"/>
          <w:sz w:val="16"/>
          <w:szCs w:val="16"/>
        </w:rPr>
        <w:t>, «состояние наших конструкторских организаций на сегодняшний день не может обеспечить требуемых сроков конструирования и производства новых систем артиллерийского вооружения для РККА».467 (20074).</w:t>
      </w:r>
    </w:p>
    <w:p w14:paraId="53E05C59" w14:textId="77777777" w:rsidR="00C631BD" w:rsidRPr="00A259BD" w:rsidRDefault="00C631BD" w:rsidP="009236E3">
      <w:pPr>
        <w:spacing w:after="0" w:line="240" w:lineRule="auto"/>
        <w:jc w:val="both"/>
        <w:rPr>
          <w:rFonts w:ascii="Times New Roman" w:eastAsia="TimesNewRomanPSMT" w:hAnsi="Times New Roman"/>
          <w:color w:val="000000" w:themeColor="text1"/>
          <w:sz w:val="16"/>
          <w:szCs w:val="16"/>
        </w:rPr>
      </w:pPr>
    </w:p>
    <w:p w14:paraId="6143A71C" w14:textId="77777777" w:rsidR="00C631BD" w:rsidRPr="00A259BD" w:rsidRDefault="00C631B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Параллельно с этим, и в продолжение уже начатой работы по реализации системы артиллерийского вооружения, утвержденной 22 мая 1929 г., была проведена межведомственная работа по формированию требований к новым системам минометов, в которой принимали участие представители НТК АУ и ВОХИМУ, АНИИ, а также ряда оборонных предприятий, среди которых были заводы «Красный Путиловец», «Большевик» (г. Ленинград), завод №8 им. Калинина (г. Москва) и др. На итоговом заседании, которое состоялось 22 июня 1930 г. под председательством помощника начальника АУ РККА Е. Ф. </w:t>
      </w:r>
      <w:proofErr w:type="spellStart"/>
      <w:r w:rsidRPr="00A259BD">
        <w:rPr>
          <w:rFonts w:ascii="Times New Roman" w:hAnsi="Times New Roman"/>
          <w:color w:val="000000" w:themeColor="text1"/>
          <w:sz w:val="16"/>
          <w:szCs w:val="16"/>
        </w:rPr>
        <w:t>Казиницкого</w:t>
      </w:r>
      <w:proofErr w:type="spellEnd"/>
      <w:r w:rsidRPr="00A259BD">
        <w:rPr>
          <w:rFonts w:ascii="Times New Roman" w:hAnsi="Times New Roman"/>
          <w:color w:val="000000" w:themeColor="text1"/>
          <w:sz w:val="16"/>
          <w:szCs w:val="16"/>
        </w:rPr>
        <w:t xml:space="preserve">, были утверждены ТТТ к минометам основных калибров: 76-мм, 152-мм и 203-мм и боеприпасам к ним (следует отметить, что системы калибра 122 мм в перечне требований отсутствовали). Относительно боеприпасов присутствовавший на совещании В. И. </w:t>
      </w:r>
      <w:proofErr w:type="spellStart"/>
      <w:r w:rsidRPr="00A259BD">
        <w:rPr>
          <w:rFonts w:ascii="Times New Roman" w:hAnsi="Times New Roman"/>
          <w:color w:val="000000" w:themeColor="text1"/>
          <w:sz w:val="16"/>
          <w:szCs w:val="16"/>
        </w:rPr>
        <w:t>Рдултовский</w:t>
      </w:r>
      <w:proofErr w:type="spellEnd"/>
      <w:r w:rsidRPr="00A259BD">
        <w:rPr>
          <w:rFonts w:ascii="Times New Roman" w:hAnsi="Times New Roman"/>
          <w:color w:val="000000" w:themeColor="text1"/>
          <w:sz w:val="16"/>
          <w:szCs w:val="16"/>
        </w:rPr>
        <w:t xml:space="preserve"> выдвинул предположение о том, что корпус мины к новым минометам должен быть стальной сварной, по форме длинный со стабилизатором, с использованием взрывателя безопасного типа двойного действия, аналогичного трофейному «китайскому». Проектирование 155-мм миномета было поручено заводу «Красный Путиловец», проектирование 76-мм и 203-мм минометов – Центральному конструкторскому бюро Государственного Всесоюзного орудийно-оружейно-пулеметного объединения (ГВООПО) ВСНХ, кроме этого, проект 76-мм системы должен был представить конструктор Л. В. </w:t>
      </w:r>
      <w:proofErr w:type="spellStart"/>
      <w:r w:rsidRPr="00A259BD">
        <w:rPr>
          <w:rFonts w:ascii="Times New Roman" w:hAnsi="Times New Roman"/>
          <w:color w:val="000000" w:themeColor="text1"/>
          <w:sz w:val="16"/>
          <w:szCs w:val="16"/>
        </w:rPr>
        <w:t>Курчевский</w:t>
      </w:r>
      <w:proofErr w:type="spellEnd"/>
      <w:r w:rsidRPr="00A259BD">
        <w:rPr>
          <w:rFonts w:ascii="Times New Roman" w:hAnsi="Times New Roman"/>
          <w:color w:val="000000" w:themeColor="text1"/>
          <w:sz w:val="16"/>
          <w:szCs w:val="16"/>
        </w:rPr>
        <w:t xml:space="preserve">. Также было принято решение о </w:t>
      </w:r>
      <w:proofErr w:type="spellStart"/>
      <w:r w:rsidRPr="00A259BD">
        <w:rPr>
          <w:rFonts w:ascii="Times New Roman" w:hAnsi="Times New Roman"/>
          <w:color w:val="000000" w:themeColor="text1"/>
          <w:sz w:val="16"/>
          <w:szCs w:val="16"/>
        </w:rPr>
        <w:t>ходатайствовании</w:t>
      </w:r>
      <w:proofErr w:type="spellEnd"/>
      <w:r w:rsidRPr="00A259BD">
        <w:rPr>
          <w:rFonts w:ascii="Times New Roman" w:hAnsi="Times New Roman"/>
          <w:color w:val="000000" w:themeColor="text1"/>
          <w:sz w:val="16"/>
          <w:szCs w:val="16"/>
        </w:rPr>
        <w:t xml:space="preserve"> перед Начальником Вооружений РККА Н. А. Ефимовым о проведении конкурса на лучшую конструкцию миномета.173 (20074).</w:t>
      </w:r>
    </w:p>
    <w:p w14:paraId="7B6EC2C5" w14:textId="77777777" w:rsidR="00C631BD" w:rsidRPr="00A259BD" w:rsidRDefault="00C631BD" w:rsidP="009236E3">
      <w:pPr>
        <w:spacing w:after="0" w:line="240" w:lineRule="auto"/>
        <w:jc w:val="both"/>
        <w:rPr>
          <w:rFonts w:ascii="Times New Roman" w:hAnsi="Times New Roman"/>
          <w:color w:val="000000" w:themeColor="text1"/>
          <w:sz w:val="16"/>
          <w:szCs w:val="16"/>
        </w:rPr>
      </w:pPr>
    </w:p>
    <w:p w14:paraId="4285FA0E"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22 мая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V съезд Советов принял постановление «По отчету правительства СССР» (12265).</w:t>
      </w:r>
    </w:p>
    <w:p w14:paraId="28D6CFA4"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53E89746" w14:textId="77777777" w:rsidR="003E5FF9"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1D004A53" w14:textId="77777777" w:rsidR="003E5FF9" w:rsidRPr="00A259BD" w:rsidRDefault="003E5FF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30093A" w14:textId="77777777" w:rsidR="003E5FF9" w:rsidRPr="00A259BD" w:rsidRDefault="003E5FF9"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22 мая</w:t>
      </w:r>
      <w:r w:rsidRPr="00A259BD">
        <w:rPr>
          <w:rFonts w:ascii="Times New Roman" w:hAnsi="Times New Roman"/>
          <w:color w:val="000000" w:themeColor="text1"/>
          <w:sz w:val="16"/>
          <w:szCs w:val="16"/>
        </w:rPr>
        <w:t xml:space="preserve"> в 1929 году Реввоенсовет СССР утвердил систему артиллерийского и пехотного вооружения Красной Армии на первую пятилетку (14899).</w:t>
      </w:r>
    </w:p>
    <w:p w14:paraId="60DEBCF3" w14:textId="77777777" w:rsidR="003E5FF9" w:rsidRPr="00A259BD" w:rsidRDefault="003E5FF9" w:rsidP="009236E3">
      <w:pPr>
        <w:spacing w:after="0" w:line="240" w:lineRule="auto"/>
        <w:jc w:val="both"/>
        <w:rPr>
          <w:rFonts w:ascii="Times New Roman" w:hAnsi="Times New Roman"/>
          <w:color w:val="000000" w:themeColor="text1"/>
          <w:sz w:val="16"/>
          <w:szCs w:val="16"/>
        </w:rPr>
      </w:pPr>
    </w:p>
    <w:p w14:paraId="5C03B00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Cs/>
          <w:color w:val="000000" w:themeColor="text1"/>
          <w:sz w:val="16"/>
          <w:szCs w:val="16"/>
        </w:rPr>
        <w:t xml:space="preserve">Жизнь и внутренняя </w:t>
      </w:r>
      <w:proofErr w:type="spellStart"/>
      <w:r w:rsidRPr="00A259BD">
        <w:rPr>
          <w:rFonts w:ascii="Times New Roman" w:hAnsi="Times New Roman"/>
          <w:iCs/>
          <w:color w:val="000000" w:themeColor="text1"/>
          <w:sz w:val="16"/>
          <w:szCs w:val="16"/>
        </w:rPr>
        <w:t>полтика</w:t>
      </w:r>
      <w:proofErr w:type="spellEnd"/>
      <w:r w:rsidRPr="00A259BD">
        <w:rPr>
          <w:rFonts w:ascii="Times New Roman" w:hAnsi="Times New Roman"/>
          <w:iCs/>
          <w:color w:val="000000" w:themeColor="text1"/>
          <w:sz w:val="16"/>
          <w:szCs w:val="16"/>
        </w:rPr>
        <w:t>:</w:t>
      </w:r>
    </w:p>
    <w:p w14:paraId="1485297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3950F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мая 1929 года Коллегия ОГПУ постановила расстрелять участников контрреволюционных организаций на железнодорожном транспорте: Фон Манн Н.К. и Величко А.Ф. и в золотоплатиновой промышленности вредителя - </w:t>
      </w:r>
      <w:proofErr w:type="spellStart"/>
      <w:r w:rsidRPr="00A259BD">
        <w:rPr>
          <w:rFonts w:ascii="Times New Roman" w:hAnsi="Times New Roman"/>
          <w:color w:val="000000" w:themeColor="text1"/>
          <w:sz w:val="16"/>
          <w:szCs w:val="16"/>
        </w:rPr>
        <w:t>Палынского</w:t>
      </w:r>
      <w:proofErr w:type="spellEnd"/>
      <w:r w:rsidRPr="00A259BD">
        <w:rPr>
          <w:rFonts w:ascii="Times New Roman" w:hAnsi="Times New Roman"/>
          <w:color w:val="000000" w:themeColor="text1"/>
          <w:sz w:val="16"/>
          <w:szCs w:val="16"/>
        </w:rPr>
        <w:t xml:space="preserve"> П.А., приговор приведен в исполнение (11248).</w:t>
      </w:r>
    </w:p>
    <w:p w14:paraId="188DF2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89F6C6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70DBEE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623C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мая 1929 Эмир </w:t>
      </w:r>
      <w:proofErr w:type="spellStart"/>
      <w:r w:rsidRPr="00A259BD">
        <w:rPr>
          <w:rFonts w:ascii="Times New Roman" w:hAnsi="Times New Roman"/>
          <w:color w:val="000000" w:themeColor="text1"/>
          <w:sz w:val="16"/>
          <w:szCs w:val="16"/>
        </w:rPr>
        <w:t>Амманула</w:t>
      </w:r>
      <w:proofErr w:type="spellEnd"/>
      <w:r w:rsidRPr="00A259BD">
        <w:rPr>
          <w:rFonts w:ascii="Times New Roman" w:hAnsi="Times New Roman"/>
          <w:color w:val="000000" w:themeColor="text1"/>
          <w:sz w:val="16"/>
          <w:szCs w:val="16"/>
        </w:rPr>
        <w:t xml:space="preserve"> покинул Афганистан и 15 октября королем стал Надир-хан (3907,156).</w:t>
      </w:r>
    </w:p>
    <w:p w14:paraId="44CA03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E61D2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AF9C5D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27FD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мая 1929 в ОПО-4 был осмотрен макет ТОМ (</w:t>
      </w:r>
      <w:proofErr w:type="spellStart"/>
      <w:r w:rsidRPr="00A259BD">
        <w:rPr>
          <w:rFonts w:ascii="Times New Roman" w:hAnsi="Times New Roman"/>
          <w:color w:val="000000" w:themeColor="text1"/>
          <w:sz w:val="16"/>
          <w:szCs w:val="16"/>
        </w:rPr>
        <w:t>П.Ришара</w:t>
      </w:r>
      <w:proofErr w:type="spellEnd"/>
      <w:r w:rsidRPr="00A259BD">
        <w:rPr>
          <w:rFonts w:ascii="Times New Roman" w:hAnsi="Times New Roman"/>
          <w:color w:val="000000" w:themeColor="text1"/>
          <w:sz w:val="16"/>
          <w:szCs w:val="16"/>
        </w:rPr>
        <w:t>). При осмотре комиссия сделала ряд замечаний и указала на необходимость введения изменений:</w:t>
      </w:r>
    </w:p>
    <w:p w14:paraId="083ED2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Башенная установка</w:t>
      </w:r>
    </w:p>
    <w:p w14:paraId="6D2B7A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Управление поворотом башни перенести на ноги</w:t>
      </w:r>
    </w:p>
    <w:p w14:paraId="380230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Обеспечить возможность смещения пулемета по дуге в стороны (из угла в угол)</w:t>
      </w:r>
    </w:p>
    <w:p w14:paraId="46FB57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Обтекатель сидения поднять на 80 мм</w:t>
      </w:r>
    </w:p>
    <w:p w14:paraId="335849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Поднять планку, находящуюся перед глазами стрелка, на 30-40 мм</w:t>
      </w:r>
    </w:p>
    <w:p w14:paraId="5D0E4D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Кабина летчиков</w:t>
      </w:r>
    </w:p>
    <w:p w14:paraId="08AFE8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Штурвал управления с-том сдвинуть влево на 40-50 мм и опустить на 20-30 мм</w:t>
      </w:r>
    </w:p>
    <w:p w14:paraId="5F6661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Штурвал управления стабилизатором поднять на 50 мм</w:t>
      </w:r>
    </w:p>
    <w:p w14:paraId="75BAA5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Рычаги управления радиаторами перенести на левую стенку, в указанные комиссией места</w:t>
      </w:r>
    </w:p>
    <w:p w14:paraId="145A39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Рукоятки жиклеров сделать правыми</w:t>
      </w:r>
    </w:p>
    <w:p w14:paraId="645E32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Уширить сидение пилота на 50 мм (к левому борту) и изменить его спинку следуя указаниям</w:t>
      </w:r>
    </w:p>
    <w:p w14:paraId="0CD4BF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Карман перенести на правую стенку</w:t>
      </w:r>
    </w:p>
    <w:p w14:paraId="58C1D4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Подлокотники опустить на 30 мм</w:t>
      </w:r>
    </w:p>
    <w:p w14:paraId="1EEFF9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Уширить правое сидение на 30 мм</w:t>
      </w:r>
    </w:p>
    <w:p w14:paraId="773B89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кабина переднего стрелка</w:t>
      </w:r>
    </w:p>
    <w:p w14:paraId="42183E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Поставить ограничители для пулеметов... (2363,314).</w:t>
      </w:r>
    </w:p>
    <w:p w14:paraId="3711B7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C7812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мая 1929 г. Дир. З-да № 25 Горшков и Пом. Директора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Н.Н.П. писали письмо № 890,с в Техотдел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w:t>
      </w:r>
    </w:p>
    <w:p w14:paraId="29B1EC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Согласно постановления Правления от 26.1У. 29 г. (протокол № 49 п. 15), работы по </w:t>
      </w:r>
      <w:proofErr w:type="spellStart"/>
      <w:r w:rsidRPr="00A259BD">
        <w:rPr>
          <w:rFonts w:ascii="Times New Roman" w:hAnsi="Times New Roman"/>
          <w:color w:val="000000" w:themeColor="text1"/>
          <w:sz w:val="16"/>
          <w:szCs w:val="16"/>
        </w:rPr>
        <w:t>мотооу</w:t>
      </w:r>
      <w:proofErr w:type="spellEnd"/>
      <w:r w:rsidRPr="00A259BD">
        <w:rPr>
          <w:rFonts w:ascii="Times New Roman" w:hAnsi="Times New Roman"/>
          <w:color w:val="000000" w:themeColor="text1"/>
          <w:sz w:val="16"/>
          <w:szCs w:val="16"/>
        </w:rPr>
        <w:t xml:space="preserve"> М-65 заканчиваются </w:t>
      </w:r>
      <w:proofErr w:type="spellStart"/>
      <w:r w:rsidRPr="00A259BD">
        <w:rPr>
          <w:rFonts w:ascii="Times New Roman" w:hAnsi="Times New Roman"/>
          <w:color w:val="000000" w:themeColor="text1"/>
          <w:sz w:val="16"/>
          <w:szCs w:val="16"/>
        </w:rPr>
        <w:t>задводом</w:t>
      </w:r>
      <w:proofErr w:type="spellEnd"/>
      <w:r w:rsidRPr="00A259BD">
        <w:rPr>
          <w:rFonts w:ascii="Times New Roman" w:hAnsi="Times New Roman"/>
          <w:color w:val="000000" w:themeColor="text1"/>
          <w:sz w:val="16"/>
          <w:szCs w:val="16"/>
        </w:rPr>
        <w:t xml:space="preserve"> № 29 1.У1.с.г. и мотор передается на испытание ОСОАВИАХИМА. Вследствие того, что на самолет</w:t>
      </w:r>
      <w:r w:rsidRPr="00A259BD">
        <w:rPr>
          <w:rFonts w:ascii="Times New Roman" w:hAnsi="Times New Roman"/>
          <w:color w:val="000000" w:themeColor="text1"/>
          <w:sz w:val="16"/>
          <w:szCs w:val="16"/>
          <w:vertAlign w:val="superscript"/>
        </w:rPr>
        <w:t>:</w:t>
      </w:r>
      <w:r w:rsidRPr="00A259BD">
        <w:rPr>
          <w:rFonts w:ascii="Times New Roman" w:hAnsi="Times New Roman"/>
          <w:color w:val="000000" w:themeColor="text1"/>
          <w:sz w:val="16"/>
          <w:szCs w:val="16"/>
        </w:rPr>
        <w:t xml:space="preserve"> КС-М65 необходимо ставить мотор М65, </w:t>
      </w:r>
      <w:proofErr w:type="spellStart"/>
      <w:r w:rsidRPr="00A259BD">
        <w:rPr>
          <w:rFonts w:ascii="Times New Roman" w:hAnsi="Times New Roman"/>
          <w:color w:val="000000" w:themeColor="text1"/>
          <w:sz w:val="16"/>
          <w:szCs w:val="16"/>
        </w:rPr>
        <w:t>прсим</w:t>
      </w:r>
      <w:proofErr w:type="spellEnd"/>
      <w:r w:rsidRPr="00A259BD">
        <w:rPr>
          <w:rFonts w:ascii="Times New Roman" w:hAnsi="Times New Roman"/>
          <w:color w:val="000000" w:themeColor="text1"/>
          <w:sz w:val="16"/>
          <w:szCs w:val="16"/>
        </w:rPr>
        <w:t xml:space="preserve"> не от</w:t>
      </w:r>
      <w:r w:rsidRPr="00A259BD">
        <w:rPr>
          <w:rFonts w:ascii="Times New Roman" w:hAnsi="Times New Roman"/>
          <w:color w:val="000000" w:themeColor="text1"/>
          <w:sz w:val="16"/>
          <w:szCs w:val="16"/>
        </w:rPr>
        <w:softHyphen/>
        <w:t xml:space="preserve">казать в обеспечении нас 2-мя..моторами - одним боевым, а другим </w:t>
      </w:r>
      <w:proofErr w:type="spellStart"/>
      <w:r w:rsidRPr="00A259BD">
        <w:rPr>
          <w:rFonts w:ascii="Times New Roman" w:hAnsi="Times New Roman"/>
          <w:color w:val="000000" w:themeColor="text1"/>
          <w:sz w:val="16"/>
          <w:szCs w:val="16"/>
        </w:rPr>
        <w:t>запасым</w:t>
      </w:r>
      <w:proofErr w:type="spellEnd"/>
      <w:r w:rsidRPr="00A259BD">
        <w:rPr>
          <w:rFonts w:ascii="Times New Roman" w:hAnsi="Times New Roman"/>
          <w:color w:val="000000" w:themeColor="text1"/>
          <w:sz w:val="16"/>
          <w:szCs w:val="16"/>
        </w:rPr>
        <w:t>, выслав один из них 1 апреля 1930 г. в адрес н/завода (2329,249).</w:t>
      </w:r>
    </w:p>
    <w:p w14:paraId="29BBEA8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221125"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мая 1929 года РЗ СТО утвердил (</w:t>
      </w:r>
      <w:proofErr w:type="spellStart"/>
      <w:r w:rsidRPr="00A259BD">
        <w:rPr>
          <w:rFonts w:ascii="Times New Roman" w:hAnsi="Times New Roman"/>
          <w:color w:val="000000" w:themeColor="text1"/>
          <w:sz w:val="16"/>
          <w:szCs w:val="16"/>
        </w:rPr>
        <w:t>прот</w:t>
      </w:r>
      <w:proofErr w:type="spellEnd"/>
      <w:r w:rsidRPr="00A259BD">
        <w:rPr>
          <w:rFonts w:ascii="Times New Roman" w:hAnsi="Times New Roman"/>
          <w:color w:val="000000" w:themeColor="text1"/>
          <w:sz w:val="16"/>
          <w:szCs w:val="16"/>
        </w:rPr>
        <w:t>. № 35, п. 1, параграф 3 от) на конец пятилетия заявку НКВМ в 6865 самолетов и 8010 моторов на год ведения войны для промышленности (3545, 4).</w:t>
      </w:r>
    </w:p>
    <w:p w14:paraId="1AF87DD4"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9FFE92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99FA34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46CF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мая 1929 на полигоне завода 8 впервые было проведено испытание безоткатного артиллерийского орудия - ДРП </w:t>
      </w:r>
      <w:proofErr w:type="spellStart"/>
      <w:r w:rsidRPr="00A259BD">
        <w:rPr>
          <w:rFonts w:ascii="Times New Roman" w:hAnsi="Times New Roman"/>
          <w:color w:val="000000" w:themeColor="text1"/>
          <w:sz w:val="16"/>
          <w:szCs w:val="16"/>
        </w:rPr>
        <w:t>Л.В.Курчевского</w:t>
      </w:r>
      <w:proofErr w:type="spellEnd"/>
      <w:r w:rsidRPr="00A259BD">
        <w:rPr>
          <w:rFonts w:ascii="Times New Roman" w:hAnsi="Times New Roman"/>
          <w:color w:val="000000" w:themeColor="text1"/>
          <w:sz w:val="16"/>
          <w:szCs w:val="16"/>
        </w:rPr>
        <w:t xml:space="preserve"> (2528).</w:t>
      </w:r>
    </w:p>
    <w:p w14:paraId="439907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CDC826" w14:textId="77777777" w:rsidR="00023B0E" w:rsidRPr="00A259BD" w:rsidRDefault="00023B0E"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23 мая</w:t>
      </w:r>
      <w:r w:rsidRPr="00A259BD">
        <w:rPr>
          <w:rFonts w:ascii="Times New Roman" w:hAnsi="Times New Roman"/>
          <w:color w:val="000000" w:themeColor="text1"/>
          <w:sz w:val="16"/>
          <w:szCs w:val="16"/>
        </w:rPr>
        <w:t xml:space="preserve"> в 1929 году проведены испытания динамо-реактивной пушки </w:t>
      </w:r>
      <w:proofErr w:type="spellStart"/>
      <w:r w:rsidRPr="00A259BD">
        <w:rPr>
          <w:rFonts w:ascii="Times New Roman" w:hAnsi="Times New Roman"/>
          <w:color w:val="000000" w:themeColor="text1"/>
          <w:sz w:val="16"/>
          <w:szCs w:val="16"/>
        </w:rPr>
        <w:t>Л.В.Курчевского</w:t>
      </w:r>
      <w:proofErr w:type="spellEnd"/>
      <w:r w:rsidRPr="00A259BD">
        <w:rPr>
          <w:rFonts w:ascii="Times New Roman" w:hAnsi="Times New Roman"/>
          <w:color w:val="000000" w:themeColor="text1"/>
          <w:sz w:val="16"/>
          <w:szCs w:val="16"/>
        </w:rPr>
        <w:t xml:space="preserve">. Роль </w:t>
      </w:r>
      <w:proofErr w:type="spellStart"/>
      <w:r w:rsidRPr="00A259BD">
        <w:rPr>
          <w:rFonts w:ascii="Times New Roman" w:hAnsi="Times New Roman"/>
          <w:color w:val="000000" w:themeColor="text1"/>
          <w:sz w:val="16"/>
          <w:szCs w:val="16"/>
        </w:rPr>
        <w:t>Курчевского</w:t>
      </w:r>
      <w:proofErr w:type="spellEnd"/>
      <w:r w:rsidRPr="00A259BD">
        <w:rPr>
          <w:rFonts w:ascii="Times New Roman" w:hAnsi="Times New Roman"/>
          <w:color w:val="000000" w:themeColor="text1"/>
          <w:sz w:val="16"/>
          <w:szCs w:val="16"/>
        </w:rPr>
        <w:t xml:space="preserve"> в развитии нашей авиации - неоднозначна. Достаточно сказать, что в советских энциклопедиях о нем - ни слова. Талантливый изобретатель, один из основоположников авиационного ракетного оружия, </w:t>
      </w:r>
      <w:proofErr w:type="spellStart"/>
      <w:r w:rsidRPr="00A259BD">
        <w:rPr>
          <w:rFonts w:ascii="Times New Roman" w:hAnsi="Times New Roman"/>
          <w:color w:val="000000" w:themeColor="text1"/>
          <w:sz w:val="16"/>
          <w:szCs w:val="16"/>
        </w:rPr>
        <w:t>Курчевский</w:t>
      </w:r>
      <w:proofErr w:type="spellEnd"/>
      <w:r w:rsidRPr="00A259BD">
        <w:rPr>
          <w:rFonts w:ascii="Times New Roman" w:hAnsi="Times New Roman"/>
          <w:color w:val="000000" w:themeColor="text1"/>
          <w:sz w:val="16"/>
          <w:szCs w:val="16"/>
        </w:rPr>
        <w:t xml:space="preserve"> был склонен к аферам, растратам, его ДРП на испытаниях показали скандально низкие результаты. </w:t>
      </w:r>
      <w:proofErr w:type="spellStart"/>
      <w:r w:rsidRPr="00A259BD">
        <w:rPr>
          <w:rFonts w:ascii="Times New Roman" w:hAnsi="Times New Roman"/>
          <w:color w:val="000000" w:themeColor="text1"/>
          <w:sz w:val="16"/>
          <w:szCs w:val="16"/>
        </w:rPr>
        <w:t>Курчевский</w:t>
      </w:r>
      <w:proofErr w:type="spellEnd"/>
      <w:r w:rsidRPr="00A259BD">
        <w:rPr>
          <w:rFonts w:ascii="Times New Roman" w:hAnsi="Times New Roman"/>
          <w:color w:val="000000" w:themeColor="text1"/>
          <w:sz w:val="16"/>
          <w:szCs w:val="16"/>
        </w:rPr>
        <w:t xml:space="preserve"> сумел затормозить развитие ствольной авиационной артиллерии. Репрессирован и погиб вместе со своим покровителем - маршалом Тухачевским (14900).</w:t>
      </w:r>
    </w:p>
    <w:p w14:paraId="518430DF" w14:textId="77777777" w:rsidR="00023B0E" w:rsidRPr="00A259BD" w:rsidRDefault="00023B0E" w:rsidP="009236E3">
      <w:pPr>
        <w:spacing w:after="0" w:line="240" w:lineRule="auto"/>
        <w:jc w:val="both"/>
        <w:rPr>
          <w:rFonts w:ascii="Times New Roman" w:hAnsi="Times New Roman"/>
          <w:color w:val="000000" w:themeColor="text1"/>
          <w:sz w:val="16"/>
          <w:szCs w:val="16"/>
        </w:rPr>
      </w:pPr>
    </w:p>
    <w:p w14:paraId="5753B766"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23 мая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 xml:space="preserve">Политбюро ЦК ВКП (б) назначило постоянную комиссию по содействию автомобилизации страны; одобрило договор </w:t>
      </w:r>
      <w:proofErr w:type="spellStart"/>
      <w:r w:rsidRPr="00A259BD">
        <w:rPr>
          <w:rFonts w:ascii="Times New Roman" w:hAnsi="Times New Roman"/>
          <w:color w:val="000000" w:themeColor="text1"/>
          <w:sz w:val="16"/>
          <w:szCs w:val="16"/>
        </w:rPr>
        <w:t>Главконцескома</w:t>
      </w:r>
      <w:proofErr w:type="spellEnd"/>
      <w:r w:rsidRPr="00A259BD">
        <w:rPr>
          <w:rFonts w:ascii="Times New Roman" w:hAnsi="Times New Roman"/>
          <w:color w:val="000000" w:themeColor="text1"/>
          <w:sz w:val="16"/>
          <w:szCs w:val="16"/>
        </w:rPr>
        <w:t xml:space="preserve"> с американским гражданином Брандтом о техническом содействии в реконструкции московского завода «АМО» (12265).</w:t>
      </w:r>
    </w:p>
    <w:p w14:paraId="41AF9C78"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09128E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мая 1929 года была завершена сборка первого </w:t>
      </w:r>
      <w:proofErr w:type="spellStart"/>
      <w:r w:rsidRPr="00A259BD">
        <w:rPr>
          <w:rFonts w:ascii="Times New Roman" w:hAnsi="Times New Roman"/>
          <w:color w:val="000000" w:themeColor="text1"/>
          <w:sz w:val="16"/>
          <w:szCs w:val="16"/>
        </w:rPr>
        <w:t>дизеля“Зульцер</w:t>
      </w:r>
      <w:proofErr w:type="spellEnd"/>
      <w:r w:rsidRPr="00A259BD">
        <w:rPr>
          <w:rFonts w:ascii="Times New Roman" w:hAnsi="Times New Roman"/>
          <w:color w:val="000000" w:themeColor="text1"/>
          <w:sz w:val="16"/>
          <w:szCs w:val="16"/>
        </w:rPr>
        <w:t>” на ХПЗ. Его выпуск для работников завода стал серьезным экзаменом профессиональной зрелости. Они его блестяще выдержали! Дизели “пошли” — совхозы, элеваторы, другие предприятия, начали по</w:t>
      </w:r>
      <w:r w:rsidRPr="00A259BD">
        <w:rPr>
          <w:rFonts w:ascii="Times New Roman" w:hAnsi="Times New Roman"/>
          <w:color w:val="000000" w:themeColor="text1"/>
          <w:sz w:val="16"/>
          <w:szCs w:val="16"/>
        </w:rPr>
        <w:softHyphen/>
        <w:t>лучать надежные двигатели, собранные руками советских рабочих. За выдающуюся трудовую победу ЦИК УССР наградил завод Почет</w:t>
      </w:r>
      <w:r w:rsidRPr="00A259BD">
        <w:rPr>
          <w:rFonts w:ascii="Times New Roman" w:hAnsi="Times New Roman"/>
          <w:color w:val="000000" w:themeColor="text1"/>
          <w:sz w:val="16"/>
          <w:szCs w:val="16"/>
        </w:rPr>
        <w:softHyphen/>
        <w:t>ной грамотой. Многие рабочие и специалисты ХПЗ были премированы. С началом выпуска дизеля изготовили значки-жетоны “Первый Союз</w:t>
      </w:r>
      <w:r w:rsidRPr="00A259BD">
        <w:rPr>
          <w:rFonts w:ascii="Times New Roman" w:hAnsi="Times New Roman"/>
          <w:color w:val="000000" w:themeColor="text1"/>
          <w:sz w:val="16"/>
          <w:szCs w:val="16"/>
        </w:rPr>
        <w:softHyphen/>
        <w:t xml:space="preserve">ный </w:t>
      </w:r>
      <w:proofErr w:type="spellStart"/>
      <w:r w:rsidRPr="00A259BD">
        <w:rPr>
          <w:rFonts w:ascii="Times New Roman" w:hAnsi="Times New Roman"/>
          <w:color w:val="000000" w:themeColor="text1"/>
          <w:sz w:val="16"/>
          <w:szCs w:val="16"/>
        </w:rPr>
        <w:t>Зульцер</w:t>
      </w:r>
      <w:proofErr w:type="spellEnd"/>
      <w:r w:rsidRPr="00A259BD">
        <w:rPr>
          <w:rFonts w:ascii="Times New Roman" w:hAnsi="Times New Roman"/>
          <w:color w:val="000000" w:themeColor="text1"/>
          <w:sz w:val="16"/>
          <w:szCs w:val="16"/>
        </w:rPr>
        <w:t xml:space="preserve">”. Один из них работники завода вручили председателю СНК УССР </w:t>
      </w:r>
      <w:proofErr w:type="spellStart"/>
      <w:r w:rsidRPr="00A259BD">
        <w:rPr>
          <w:rFonts w:ascii="Times New Roman" w:hAnsi="Times New Roman"/>
          <w:color w:val="000000" w:themeColor="text1"/>
          <w:sz w:val="16"/>
          <w:szCs w:val="16"/>
        </w:rPr>
        <w:t>В.Я.Чубарю.Но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паровозостроители</w:t>
      </w:r>
      <w:proofErr w:type="spellEnd"/>
      <w:r w:rsidRPr="00A259BD">
        <w:rPr>
          <w:rFonts w:ascii="Times New Roman" w:hAnsi="Times New Roman"/>
          <w:color w:val="000000" w:themeColor="text1"/>
          <w:sz w:val="16"/>
          <w:szCs w:val="16"/>
        </w:rPr>
        <w:t xml:space="preserve"> не остановились на достигнутом. Лицензион</w:t>
      </w:r>
      <w:r w:rsidRPr="00A259BD">
        <w:rPr>
          <w:rFonts w:ascii="Times New Roman" w:hAnsi="Times New Roman"/>
          <w:color w:val="000000" w:themeColor="text1"/>
          <w:sz w:val="16"/>
          <w:szCs w:val="16"/>
        </w:rPr>
        <w:softHyphen/>
        <w:t>ный договор с фирмой “</w:t>
      </w:r>
      <w:proofErr w:type="spellStart"/>
      <w:r w:rsidRPr="00A259BD">
        <w:rPr>
          <w:rFonts w:ascii="Times New Roman" w:hAnsi="Times New Roman"/>
          <w:color w:val="000000" w:themeColor="text1"/>
          <w:sz w:val="16"/>
          <w:szCs w:val="16"/>
        </w:rPr>
        <w:t>Зульцер</w:t>
      </w:r>
      <w:proofErr w:type="spellEnd"/>
      <w:r w:rsidRPr="00A259BD">
        <w:rPr>
          <w:rFonts w:ascii="Times New Roman" w:hAnsi="Times New Roman"/>
          <w:color w:val="000000" w:themeColor="text1"/>
          <w:sz w:val="16"/>
          <w:szCs w:val="16"/>
        </w:rPr>
        <w:t xml:space="preserve">” позволял некоторым нашим заводам проектировать собственные конструкции машин. Используя это право Харьковские </w:t>
      </w:r>
      <w:proofErr w:type="spellStart"/>
      <w:r w:rsidRPr="00A259BD">
        <w:rPr>
          <w:rFonts w:ascii="Times New Roman" w:hAnsi="Times New Roman"/>
          <w:color w:val="000000" w:themeColor="text1"/>
          <w:sz w:val="16"/>
          <w:szCs w:val="16"/>
        </w:rPr>
        <w:t>паровозостроители</w:t>
      </w:r>
      <w:proofErr w:type="spellEnd"/>
      <w:r w:rsidRPr="00A259BD">
        <w:rPr>
          <w:rFonts w:ascii="Times New Roman" w:hAnsi="Times New Roman"/>
          <w:color w:val="000000" w:themeColor="text1"/>
          <w:sz w:val="16"/>
          <w:szCs w:val="16"/>
        </w:rPr>
        <w:t xml:space="preserve"> со временем наладили выпуск двигате</w:t>
      </w:r>
      <w:r w:rsidRPr="00A259BD">
        <w:rPr>
          <w:rFonts w:ascii="Times New Roman" w:hAnsi="Times New Roman"/>
          <w:color w:val="000000" w:themeColor="text1"/>
          <w:sz w:val="16"/>
          <w:szCs w:val="16"/>
        </w:rPr>
        <w:softHyphen/>
        <w:t>лей РК718 С47 мощностью до 1200 л.с. для грузовых теплоходов морского плавания. Пролетарский лозунг “Прочь зависимость от капитализма!” претворялся в жизнь. Изготавливались также вспомогательные судовые дизели типа “</w:t>
      </w:r>
      <w:proofErr w:type="spellStart"/>
      <w:r w:rsidRPr="00A259BD">
        <w:rPr>
          <w:rFonts w:ascii="Times New Roman" w:hAnsi="Times New Roman"/>
          <w:color w:val="000000" w:themeColor="text1"/>
          <w:sz w:val="16"/>
          <w:szCs w:val="16"/>
        </w:rPr>
        <w:t>Зульцер</w:t>
      </w:r>
      <w:proofErr w:type="spellEnd"/>
      <w:r w:rsidRPr="00A259BD">
        <w:rPr>
          <w:rFonts w:ascii="Times New Roman" w:hAnsi="Times New Roman"/>
          <w:color w:val="000000" w:themeColor="text1"/>
          <w:sz w:val="16"/>
          <w:szCs w:val="16"/>
        </w:rPr>
        <w:t>” мощностью от 100 до 300 л.с. Главные и вспомога</w:t>
      </w:r>
      <w:r w:rsidRPr="00A259BD">
        <w:rPr>
          <w:rFonts w:ascii="Times New Roman" w:hAnsi="Times New Roman"/>
          <w:color w:val="000000" w:themeColor="text1"/>
          <w:sz w:val="16"/>
          <w:szCs w:val="16"/>
        </w:rPr>
        <w:softHyphen/>
        <w:t>тельные дизели устанавливались на судах Черноморского и Азовского пароходства (11504).</w:t>
      </w:r>
    </w:p>
    <w:p w14:paraId="27EABA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0B4538" w14:textId="77777777" w:rsidR="008456F2" w:rsidRPr="00A259BD" w:rsidRDefault="008456F2"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23 мая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Протокол заседания Политбюро ЦК ВКП(б) № 81. 17. О состоянии и перспективах цветной металлургии (ПБ от 14 февраля 1929 г., пр. № 64, п. 4) (Рудзутак). (Политбюро... Т. 1. С. 693) (12416).</w:t>
      </w:r>
    </w:p>
    <w:p w14:paraId="126B5DA6" w14:textId="77777777" w:rsidR="008456F2" w:rsidRPr="00A259BD" w:rsidRDefault="008456F2" w:rsidP="009236E3">
      <w:pPr>
        <w:spacing w:after="0" w:line="240" w:lineRule="auto"/>
        <w:jc w:val="both"/>
        <w:rPr>
          <w:rFonts w:ascii="Times New Roman" w:hAnsi="Times New Roman"/>
          <w:color w:val="000000" w:themeColor="text1"/>
          <w:sz w:val="16"/>
          <w:szCs w:val="16"/>
          <w:u w:color="002060"/>
        </w:rPr>
      </w:pPr>
    </w:p>
    <w:p w14:paraId="3BF456C9"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7B240A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67F6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мая 1929 г. вышло Постановление ПБ ЦК ВКП(б) организацию новых лагерей ОГПУ, где также содержалось предложение о выделении необходимых средств (9042) Так было положено начало созданию системы. В области исправительной ее функция заключалось в том, чтобы заменить тюремные методы “ методами вне тюремного воздействия на преступника путем организации работ в лагерях в достаточно изолированных по своему географическому положению местностях с соблюдением соответствующего (сурового) режима (9042).</w:t>
      </w:r>
    </w:p>
    <w:p w14:paraId="3B6E3B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EE53876" w14:textId="77777777" w:rsidR="003E5FF9" w:rsidRPr="00A259BD" w:rsidRDefault="003E5FF9"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23 мая</w:t>
      </w:r>
      <w:r w:rsidRPr="00A259BD">
        <w:rPr>
          <w:rFonts w:ascii="Times New Roman" w:hAnsi="Times New Roman"/>
          <w:color w:val="000000" w:themeColor="text1"/>
          <w:sz w:val="16"/>
          <w:szCs w:val="16"/>
        </w:rPr>
        <w:t xml:space="preserve"> в 1929 году в докладе «Пятилетний план развития народного хозяйства Союза ССР» на V съезде Советов СССР в Москве </w:t>
      </w:r>
      <w:proofErr w:type="spellStart"/>
      <w:r w:rsidRPr="00A259BD">
        <w:rPr>
          <w:rFonts w:ascii="Times New Roman" w:hAnsi="Times New Roman"/>
          <w:color w:val="000000" w:themeColor="text1"/>
          <w:sz w:val="16"/>
          <w:szCs w:val="16"/>
        </w:rPr>
        <w:t>Г.М.Кржижановский</w:t>
      </w:r>
      <w:proofErr w:type="spellEnd"/>
      <w:r w:rsidRPr="00A259BD">
        <w:rPr>
          <w:rFonts w:ascii="Times New Roman" w:hAnsi="Times New Roman"/>
          <w:color w:val="000000" w:themeColor="text1"/>
          <w:sz w:val="16"/>
          <w:szCs w:val="16"/>
        </w:rPr>
        <w:t>, подчеркивая значение радио в культурном строительстве, сказал: «Сеть радио предполагается мощно развить. Радио должно быть проведено в 50% рабочих квартир. Надо стремиться к тому, чтобы по крайней мере треть крестьянских дворов имела возможность слушать радио. Это огромная программа. Но если вспомнить, какие надежды Владимир Ильич возлагал на радио, то жалеть здесь средств не приходится» («Правда», 1929, 1 июня) (14900).</w:t>
      </w:r>
    </w:p>
    <w:p w14:paraId="0AB3D1A6" w14:textId="77777777" w:rsidR="003E5FF9" w:rsidRPr="00A259BD" w:rsidRDefault="003E5FF9" w:rsidP="009236E3">
      <w:pPr>
        <w:spacing w:after="0" w:line="240" w:lineRule="auto"/>
        <w:jc w:val="both"/>
        <w:rPr>
          <w:rFonts w:ascii="Times New Roman" w:hAnsi="Times New Roman"/>
          <w:color w:val="000000" w:themeColor="text1"/>
          <w:sz w:val="16"/>
          <w:szCs w:val="16"/>
        </w:rPr>
      </w:pPr>
    </w:p>
    <w:p w14:paraId="2F7E8B6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4B777F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2F2ABA" w14:textId="77777777" w:rsidR="00991A24" w:rsidRPr="00A259BD" w:rsidRDefault="00991A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мая 1929 - Установлен мировой рекорд высоты полёта среди сухопутных самолетов, истребитель LGL-324 (Разработчик: </w:t>
      </w:r>
      <w:proofErr w:type="spellStart"/>
      <w:r w:rsidRPr="00A259BD">
        <w:rPr>
          <w:rFonts w:ascii="Times New Roman" w:hAnsi="Times New Roman"/>
          <w:color w:val="000000" w:themeColor="text1"/>
          <w:sz w:val="16"/>
          <w:szCs w:val="16"/>
        </w:rPr>
        <w:t>Loire-Gourdou-Lesseurre</w:t>
      </w:r>
      <w:proofErr w:type="spellEnd"/>
      <w:r w:rsidRPr="00A259BD">
        <w:rPr>
          <w:rFonts w:ascii="Times New Roman" w:hAnsi="Times New Roman"/>
          <w:color w:val="000000" w:themeColor="text1"/>
          <w:sz w:val="16"/>
          <w:szCs w:val="16"/>
        </w:rPr>
        <w:t>, Франция) поднялся с полезной нагрузкой в 500 кг на высоту 9600 м.</w:t>
      </w:r>
    </w:p>
    <w:p w14:paraId="46870500" w14:textId="77777777" w:rsidR="00991A24" w:rsidRPr="00A259BD" w:rsidRDefault="00991A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LGL-324 представлял собой стандартный истребитель LGL-32 который был изменен для установки звездообразного двигателя </w:t>
      </w:r>
      <w:proofErr w:type="spellStart"/>
      <w:r w:rsidRPr="00A259BD">
        <w:rPr>
          <w:rFonts w:ascii="Times New Roman" w:hAnsi="Times New Roman"/>
          <w:color w:val="000000" w:themeColor="text1"/>
          <w:sz w:val="16"/>
          <w:szCs w:val="16"/>
        </w:rPr>
        <w:t>Jupiter</w:t>
      </w:r>
      <w:proofErr w:type="spellEnd"/>
      <w:r w:rsidRPr="00A259BD">
        <w:rPr>
          <w:rFonts w:ascii="Times New Roman" w:hAnsi="Times New Roman"/>
          <w:color w:val="000000" w:themeColor="text1"/>
          <w:sz w:val="16"/>
          <w:szCs w:val="16"/>
        </w:rPr>
        <w:t xml:space="preserve"> VII мощностью 500 л.с. с турбонагнетателем для полетов на больших высотах (22493).</w:t>
      </w:r>
    </w:p>
    <w:p w14:paraId="44D7AC43" w14:textId="77777777" w:rsidR="00991A24" w:rsidRPr="00A259BD" w:rsidRDefault="00991A24" w:rsidP="009236E3">
      <w:pPr>
        <w:spacing w:after="0" w:line="240" w:lineRule="auto"/>
        <w:jc w:val="both"/>
        <w:rPr>
          <w:rFonts w:ascii="Times New Roman" w:hAnsi="Times New Roman"/>
          <w:color w:val="000000" w:themeColor="text1"/>
          <w:sz w:val="16"/>
          <w:szCs w:val="16"/>
        </w:rPr>
      </w:pPr>
    </w:p>
    <w:p w14:paraId="2D820E6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мая 1929 бывший король Афганистана Аманулла-хан вторично отрекся от престола и покинул страну (4963 ).</w:t>
      </w:r>
    </w:p>
    <w:p w14:paraId="716E7C4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A3606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4B52AF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3D91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мая 1929 ? писал письмо РЗ Сю. 415 в ВСНХ СССР тов. Урываеву </w:t>
      </w:r>
    </w:p>
    <w:p w14:paraId="4606CA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Копия: Председателю Оренбургского Исполкома на № 119/</w:t>
      </w:r>
      <w:proofErr w:type="spellStart"/>
      <w:r w:rsidRPr="00A259BD">
        <w:rPr>
          <w:rFonts w:ascii="Times New Roman" w:hAnsi="Times New Roman"/>
          <w:color w:val="000000" w:themeColor="text1"/>
          <w:sz w:val="16"/>
          <w:szCs w:val="16"/>
        </w:rPr>
        <w:t>ссм</w:t>
      </w:r>
      <w:proofErr w:type="spellEnd"/>
    </w:p>
    <w:p w14:paraId="0D9E49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поручению Пред. СНК СССР и СТО т. </w:t>
      </w:r>
      <w:proofErr w:type="spellStart"/>
      <w:r w:rsidRPr="00A259BD">
        <w:rPr>
          <w:rFonts w:ascii="Times New Roman" w:hAnsi="Times New Roman"/>
          <w:color w:val="000000" w:themeColor="text1"/>
          <w:sz w:val="16"/>
          <w:szCs w:val="16"/>
        </w:rPr>
        <w:t>Рукова</w:t>
      </w:r>
      <w:proofErr w:type="spellEnd"/>
      <w:r w:rsidRPr="00A259BD">
        <w:rPr>
          <w:rFonts w:ascii="Times New Roman" w:hAnsi="Times New Roman"/>
          <w:color w:val="000000" w:themeColor="text1"/>
          <w:sz w:val="16"/>
          <w:szCs w:val="16"/>
        </w:rPr>
        <w:t xml:space="preserve"> препровождается докладная записка Председателя  Оренбургского Окружного Исполнительного Комитета по вопросу “о постройке ремонтно-строительного авиационного завода в г. </w:t>
      </w:r>
      <w:proofErr w:type="spellStart"/>
      <w:r w:rsidRPr="00A259BD">
        <w:rPr>
          <w:rFonts w:ascii="Times New Roman" w:hAnsi="Times New Roman"/>
          <w:color w:val="000000" w:themeColor="text1"/>
          <w:sz w:val="16"/>
          <w:szCs w:val="16"/>
        </w:rPr>
        <w:t>Ореннбурге</w:t>
      </w:r>
      <w:proofErr w:type="spellEnd"/>
      <w:r w:rsidRPr="00A259BD">
        <w:rPr>
          <w:rFonts w:ascii="Times New Roman" w:hAnsi="Times New Roman"/>
          <w:color w:val="000000" w:themeColor="text1"/>
          <w:sz w:val="16"/>
          <w:szCs w:val="16"/>
        </w:rPr>
        <w:t>” - для учета, как одного из вариантов, в плане развития авиапромышленности.</w:t>
      </w:r>
    </w:p>
    <w:p w14:paraId="0C7E39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Докладная записка от 14 мая 1929 (3770).</w:t>
      </w:r>
    </w:p>
    <w:p w14:paraId="616596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1512377" w14:textId="77777777" w:rsidR="00527C17" w:rsidRPr="00A259BD" w:rsidRDefault="00527C17"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0CA58CE" w14:textId="77777777" w:rsidR="00527C17" w:rsidRPr="00A259BD" w:rsidRDefault="00527C1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4FAFC8" w14:textId="77777777" w:rsidR="00B90673" w:rsidRPr="00A259BD" w:rsidRDefault="00B90673"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24 мая 1929 года на "Большевик" пришло письмо от </w:t>
      </w:r>
      <w:proofErr w:type="spellStart"/>
      <w:r w:rsidRPr="00A259BD">
        <w:rPr>
          <w:rFonts w:ascii="Times New Roman" w:eastAsia="Times New Roman" w:hAnsi="Times New Roman"/>
          <w:color w:val="000000" w:themeColor="text1"/>
          <w:sz w:val="16"/>
          <w:szCs w:val="16"/>
          <w:lang w:eastAsia="ru-RU"/>
        </w:rPr>
        <w:t>Шукалова</w:t>
      </w:r>
      <w:proofErr w:type="spellEnd"/>
      <w:r w:rsidRPr="00A259BD">
        <w:rPr>
          <w:rFonts w:ascii="Times New Roman" w:eastAsia="Times New Roman" w:hAnsi="Times New Roman"/>
          <w:color w:val="000000" w:themeColor="text1"/>
          <w:sz w:val="16"/>
          <w:szCs w:val="16"/>
          <w:lang w:eastAsia="ru-RU"/>
        </w:rPr>
        <w:t>, в котором он сообщал, что теперь индекс Т-18 бис присваивался танку третьей производственной серии. Что же касается разработки ГКБ ОАТ, то она получила индекс Т-20. Одновременно требования к танку ужесточили. мощность мотора вырастала до 60 л.с., а максимальная скорость поднималась до 22 км/ч. В качестве вооружения предполагалась "37-мм пушка обр.1929 года" (на самом деле это будущая Б-3) и пулемет ДТ (20852).</w:t>
      </w:r>
    </w:p>
    <w:p w14:paraId="7517832A" w14:textId="77777777" w:rsidR="00B90673" w:rsidRPr="00A259BD" w:rsidRDefault="00B90673"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DBDC91B" w14:textId="77777777" w:rsidR="00527C17" w:rsidRPr="00A259BD" w:rsidRDefault="00527C1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мая 1929 состоялось заключение договора с американской фирмой «Брандт» о технической помощи в реконструкции завода АМО. План реконструкции предусматривал расширение завода под выпуск 25 000 грузовиков, автобусов и тяжелых легковых автомобилей в год (17494).</w:t>
      </w:r>
    </w:p>
    <w:p w14:paraId="14D8C470" w14:textId="77777777" w:rsidR="00527C17" w:rsidRPr="00A259BD" w:rsidRDefault="00527C17" w:rsidP="009236E3">
      <w:pPr>
        <w:spacing w:after="0" w:line="240" w:lineRule="auto"/>
        <w:jc w:val="both"/>
        <w:rPr>
          <w:rFonts w:ascii="Times New Roman" w:hAnsi="Times New Roman"/>
          <w:color w:val="000000" w:themeColor="text1"/>
          <w:sz w:val="16"/>
          <w:szCs w:val="16"/>
        </w:rPr>
      </w:pPr>
    </w:p>
    <w:p w14:paraId="5AF4B5EE" w14:textId="77777777" w:rsidR="004B3E82" w:rsidRPr="00A259BD" w:rsidRDefault="004B3E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мая 1929 г. на совещании при </w:t>
      </w:r>
      <w:proofErr w:type="spellStart"/>
      <w:r w:rsidRPr="00A259BD">
        <w:rPr>
          <w:rFonts w:ascii="Times New Roman" w:hAnsi="Times New Roman"/>
          <w:color w:val="000000" w:themeColor="text1"/>
          <w:sz w:val="16"/>
          <w:szCs w:val="16"/>
        </w:rPr>
        <w:t>Главэлектро</w:t>
      </w:r>
      <w:proofErr w:type="spellEnd"/>
      <w:r w:rsidRPr="00A259BD">
        <w:rPr>
          <w:rFonts w:ascii="Times New Roman" w:hAnsi="Times New Roman"/>
          <w:color w:val="000000" w:themeColor="text1"/>
          <w:sz w:val="16"/>
          <w:szCs w:val="16"/>
        </w:rPr>
        <w:t xml:space="preserve"> ВСНХ, где обсуждался в целом ход выполнения электропромышленностью военных и специальных программ был поднят вопрос о сложном положении с выполнением заказов УВМС. Было решено усилить ЭТЗСТ кадрами, знакомыми с военно-морским </w:t>
      </w:r>
      <w:proofErr w:type="spellStart"/>
      <w:r w:rsidRPr="00A259BD">
        <w:rPr>
          <w:rFonts w:ascii="Times New Roman" w:hAnsi="Times New Roman"/>
          <w:color w:val="000000" w:themeColor="text1"/>
          <w:sz w:val="16"/>
          <w:szCs w:val="16"/>
        </w:rPr>
        <w:t>радиостроительством</w:t>
      </w:r>
      <w:proofErr w:type="spellEnd"/>
      <w:r w:rsidRPr="00A259BD">
        <w:rPr>
          <w:rFonts w:ascii="Times New Roman" w:hAnsi="Times New Roman"/>
          <w:color w:val="000000" w:themeColor="text1"/>
          <w:sz w:val="16"/>
          <w:szCs w:val="16"/>
        </w:rPr>
        <w:t xml:space="preserve">, используя возможности ВСНХ и УВМС. А для более детального урегулирования всех спорных вопросов 30 мая 1929 г. при правлении треста было собрано отдельное совещание из представителей </w:t>
      </w:r>
      <w:proofErr w:type="spellStart"/>
      <w:r w:rsidRPr="00A259BD">
        <w:rPr>
          <w:rFonts w:ascii="Times New Roman" w:hAnsi="Times New Roman"/>
          <w:color w:val="000000" w:themeColor="text1"/>
          <w:sz w:val="16"/>
          <w:szCs w:val="16"/>
        </w:rPr>
        <w:t>Главэлектро</w:t>
      </w:r>
      <w:proofErr w:type="spellEnd"/>
      <w:r w:rsidRPr="00A259BD">
        <w:rPr>
          <w:rFonts w:ascii="Times New Roman" w:hAnsi="Times New Roman"/>
          <w:color w:val="000000" w:themeColor="text1"/>
          <w:sz w:val="16"/>
          <w:szCs w:val="16"/>
        </w:rPr>
        <w:t>, ЭТЗСТ и УВМС3. Результатом всех этих совещаний стало решение о реорганизации завода им. Коминтерна в «</w:t>
      </w:r>
      <w:proofErr w:type="spellStart"/>
      <w:r w:rsidRPr="00A259BD">
        <w:rPr>
          <w:rFonts w:ascii="Times New Roman" w:hAnsi="Times New Roman"/>
          <w:color w:val="000000" w:themeColor="text1"/>
          <w:sz w:val="16"/>
          <w:szCs w:val="16"/>
        </w:rPr>
        <w:t>опытово</w:t>
      </w:r>
      <w:proofErr w:type="spellEnd"/>
      <w:r w:rsidRPr="00A259BD">
        <w:rPr>
          <w:rFonts w:ascii="Times New Roman" w:hAnsi="Times New Roman"/>
          <w:color w:val="000000" w:themeColor="text1"/>
          <w:sz w:val="16"/>
          <w:szCs w:val="16"/>
        </w:rPr>
        <w:t xml:space="preserve">-монтажный завод морской связи». С этой целью Морской отдел треста полностью переводился в распоряжение заводоуправления. В течение двух лет завод им. Коминтерна должен был полностью перейти на работы по военно-морской тематике, завершив разработку и оформление радиосредств первой системы </w:t>
      </w:r>
      <w:proofErr w:type="spellStart"/>
      <w:r w:rsidRPr="00A259BD">
        <w:rPr>
          <w:rFonts w:ascii="Times New Roman" w:hAnsi="Times New Roman"/>
          <w:color w:val="000000" w:themeColor="text1"/>
          <w:sz w:val="16"/>
          <w:szCs w:val="16"/>
        </w:rPr>
        <w:t>радиовооружения</w:t>
      </w:r>
      <w:proofErr w:type="spellEnd"/>
      <w:r w:rsidRPr="00A259BD">
        <w:rPr>
          <w:rFonts w:ascii="Times New Roman" w:hAnsi="Times New Roman"/>
          <w:color w:val="000000" w:themeColor="text1"/>
          <w:sz w:val="16"/>
          <w:szCs w:val="16"/>
        </w:rPr>
        <w:t xml:space="preserve"> сухопутных и военно-воздушных сил. В качестве основных задач перед предприятием ставились:</w:t>
      </w:r>
    </w:p>
    <w:p w14:paraId="78F462F8" w14:textId="77777777" w:rsidR="004B3E82" w:rsidRPr="00A259BD" w:rsidRDefault="004B3E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лабораторные проработки и расчет новых типов установок по военно-морской связи;</w:t>
      </w:r>
    </w:p>
    <w:p w14:paraId="5285B96E" w14:textId="77777777" w:rsidR="004B3E82" w:rsidRPr="00A259BD" w:rsidRDefault="004B3E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конструктивное их оформление;</w:t>
      </w:r>
    </w:p>
    <w:p w14:paraId="6F279C2E" w14:textId="77777777" w:rsidR="004B3E82" w:rsidRPr="00A259BD" w:rsidRDefault="004B3E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изготовление и испытание образцов;</w:t>
      </w:r>
    </w:p>
    <w:p w14:paraId="5D9F8E24" w14:textId="77777777" w:rsidR="004B3E82" w:rsidRPr="00A259BD" w:rsidRDefault="004B3E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изготовление рабочих чертежей и составление спецификаций для передачи производства серий на другие заводы;</w:t>
      </w:r>
    </w:p>
    <w:p w14:paraId="4D1CD79D" w14:textId="77777777" w:rsidR="004B3E82" w:rsidRPr="00A259BD" w:rsidRDefault="004B3E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монтаж и сдача всех военно-морских установок на месте.</w:t>
      </w:r>
    </w:p>
    <w:p w14:paraId="66888863" w14:textId="77777777" w:rsidR="004B3E82" w:rsidRPr="00A259BD" w:rsidRDefault="004B3E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Проведена реорганизация была в соответствии с приказом по ЭТЗСТ № 272 от 31 мая 1929 г. (18297).</w:t>
      </w:r>
    </w:p>
    <w:p w14:paraId="1EE51C74" w14:textId="77777777" w:rsidR="004B3E82" w:rsidRPr="00A259BD" w:rsidRDefault="004B3E82" w:rsidP="009236E3">
      <w:pPr>
        <w:spacing w:after="0" w:line="240" w:lineRule="auto"/>
        <w:jc w:val="both"/>
        <w:rPr>
          <w:rFonts w:ascii="Times New Roman" w:hAnsi="Times New Roman"/>
          <w:color w:val="000000" w:themeColor="text1"/>
          <w:sz w:val="16"/>
          <w:szCs w:val="16"/>
        </w:rPr>
      </w:pPr>
    </w:p>
    <w:p w14:paraId="5681437D"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806F8D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E850F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мая 1929 года “Правда” писала “ОГПУ раскрыты контрреволюционные организации на железнодорожном транспорте и в золотоплатиновой промышленности Союза поставившие себе цель свержения советской власти при помощи иностранной интервенции и восстановление в стране капиталистического строя. Своей цели они добивались путем вредительства дезорганизации этих отраслей народного хозяйства” (11248).</w:t>
      </w:r>
    </w:p>
    <w:p w14:paraId="51A4C8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B67AF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мая 1929 года Ягода опубликовал в газете “Известия” краткое коммюнике ОГПУ о расстреле </w:t>
      </w:r>
      <w:proofErr w:type="spellStart"/>
      <w:r w:rsidRPr="00A259BD">
        <w:rPr>
          <w:rFonts w:ascii="Times New Roman" w:hAnsi="Times New Roman"/>
          <w:color w:val="000000" w:themeColor="text1"/>
          <w:sz w:val="16"/>
          <w:szCs w:val="16"/>
        </w:rPr>
        <w:t>Пальчинского</w:t>
      </w:r>
      <w:proofErr w:type="spellEnd"/>
      <w:r w:rsidRPr="00A259BD">
        <w:rPr>
          <w:rFonts w:ascii="Times New Roman" w:hAnsi="Times New Roman"/>
          <w:color w:val="000000" w:themeColor="text1"/>
          <w:sz w:val="16"/>
          <w:szCs w:val="16"/>
        </w:rPr>
        <w:t>, фон Мекка и Величко за крупное вредительство и осуждении еще многих дру</w:t>
      </w:r>
      <w:r w:rsidRPr="00A259BD">
        <w:rPr>
          <w:rFonts w:ascii="Times New Roman" w:hAnsi="Times New Roman"/>
          <w:color w:val="000000" w:themeColor="text1"/>
          <w:sz w:val="16"/>
          <w:szCs w:val="16"/>
        </w:rPr>
        <w:softHyphen/>
        <w:t>гих лиц, не названных в этом “коммюнике” (11504).</w:t>
      </w:r>
    </w:p>
    <w:p w14:paraId="289924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25FE6E" w14:textId="77777777" w:rsidR="00023B0E" w:rsidRPr="00A259BD" w:rsidRDefault="00023B0E"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24 мая</w:t>
      </w:r>
      <w:r w:rsidRPr="00A259BD">
        <w:rPr>
          <w:rFonts w:ascii="Times New Roman" w:hAnsi="Times New Roman"/>
          <w:color w:val="000000" w:themeColor="text1"/>
          <w:sz w:val="16"/>
          <w:szCs w:val="16"/>
        </w:rPr>
        <w:t xml:space="preserve"> в 1929 году опубликовано коммюнике ОГПУ (</w:t>
      </w:r>
      <w:proofErr w:type="spellStart"/>
      <w:r w:rsidRPr="00A259BD">
        <w:rPr>
          <w:rFonts w:ascii="Times New Roman" w:hAnsi="Times New Roman"/>
          <w:color w:val="000000" w:themeColor="text1"/>
          <w:sz w:val="16"/>
          <w:szCs w:val="16"/>
        </w:rPr>
        <w:t>Г.Г.Ягода</w:t>
      </w:r>
      <w:proofErr w:type="spellEnd"/>
      <w:r w:rsidRPr="00A259BD">
        <w:rPr>
          <w:rFonts w:ascii="Times New Roman" w:hAnsi="Times New Roman"/>
          <w:color w:val="000000" w:themeColor="text1"/>
          <w:sz w:val="16"/>
          <w:szCs w:val="16"/>
        </w:rPr>
        <w:t xml:space="preserve">) о расстреле (по приговору коллегии ОГПУ) инженеров </w:t>
      </w:r>
      <w:proofErr w:type="spellStart"/>
      <w:r w:rsidRPr="00A259BD">
        <w:rPr>
          <w:rFonts w:ascii="Times New Roman" w:hAnsi="Times New Roman"/>
          <w:color w:val="000000" w:themeColor="text1"/>
          <w:sz w:val="16"/>
          <w:szCs w:val="16"/>
        </w:rPr>
        <w:t>П.И.Пальчинского</w:t>
      </w:r>
      <w:proofErr w:type="spellEnd"/>
      <w:r w:rsidRPr="00A259BD">
        <w:rPr>
          <w:rFonts w:ascii="Times New Roman" w:hAnsi="Times New Roman"/>
          <w:color w:val="000000" w:themeColor="text1"/>
          <w:sz w:val="16"/>
          <w:szCs w:val="16"/>
        </w:rPr>
        <w:t xml:space="preserve">, Н.К. фон-Мекка и </w:t>
      </w:r>
      <w:proofErr w:type="spellStart"/>
      <w:r w:rsidRPr="00A259BD">
        <w:rPr>
          <w:rFonts w:ascii="Times New Roman" w:hAnsi="Times New Roman"/>
          <w:color w:val="000000" w:themeColor="text1"/>
          <w:sz w:val="16"/>
          <w:szCs w:val="16"/>
        </w:rPr>
        <w:t>А.Ф.Величко</w:t>
      </w:r>
      <w:proofErr w:type="spellEnd"/>
      <w:r w:rsidRPr="00A259BD">
        <w:rPr>
          <w:rFonts w:ascii="Times New Roman" w:hAnsi="Times New Roman"/>
          <w:color w:val="000000" w:themeColor="text1"/>
          <w:sz w:val="16"/>
          <w:szCs w:val="16"/>
        </w:rPr>
        <w:t xml:space="preserve"> по делу о вредительстве в золото-платиновой промышленности. </w:t>
      </w:r>
      <w:proofErr w:type="spellStart"/>
      <w:r w:rsidRPr="00A259BD">
        <w:rPr>
          <w:rFonts w:ascii="Times New Roman" w:hAnsi="Times New Roman"/>
          <w:color w:val="000000" w:themeColor="text1"/>
          <w:sz w:val="16"/>
          <w:szCs w:val="16"/>
        </w:rPr>
        <w:t>П.И.Пальчинский</w:t>
      </w:r>
      <w:proofErr w:type="spellEnd"/>
      <w:r w:rsidRPr="00A259BD">
        <w:rPr>
          <w:rFonts w:ascii="Times New Roman" w:hAnsi="Times New Roman"/>
          <w:color w:val="000000" w:themeColor="text1"/>
          <w:sz w:val="16"/>
          <w:szCs w:val="16"/>
        </w:rPr>
        <w:t xml:space="preserve"> в годы 1-й мировой войны был товарищем председателя Военно-промышленного комитета, трижды арестовывался (1917, 1918, 1922), в 1922 предназначался ГПУ к высылке за границу. На момент четвертого ареста – профессор Горного института. На процессе «Промпартии» посмертно объявлен ее руководителем (14901).</w:t>
      </w:r>
    </w:p>
    <w:p w14:paraId="4A9E84A6" w14:textId="77777777" w:rsidR="00023B0E" w:rsidRPr="00A259BD" w:rsidRDefault="00023B0E" w:rsidP="009236E3">
      <w:pPr>
        <w:spacing w:after="0" w:line="240" w:lineRule="auto"/>
        <w:jc w:val="both"/>
        <w:rPr>
          <w:rFonts w:ascii="Times New Roman" w:hAnsi="Times New Roman"/>
          <w:color w:val="000000" w:themeColor="text1"/>
          <w:sz w:val="16"/>
          <w:szCs w:val="16"/>
        </w:rPr>
      </w:pPr>
    </w:p>
    <w:p w14:paraId="3E53A11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958699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FD89F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мая 1929 Жир. завода 25 Горшков и Пом. </w:t>
      </w:r>
      <w:proofErr w:type="spellStart"/>
      <w:r w:rsidRPr="00A259BD">
        <w:rPr>
          <w:rFonts w:ascii="Times New Roman" w:hAnsi="Times New Roman"/>
          <w:color w:val="000000" w:themeColor="text1"/>
          <w:sz w:val="16"/>
          <w:szCs w:val="16"/>
        </w:rPr>
        <w:t>дир</w:t>
      </w:r>
      <w:proofErr w:type="spellEnd"/>
      <w:r w:rsidRPr="00A259BD">
        <w:rPr>
          <w:rFonts w:ascii="Times New Roman" w:hAnsi="Times New Roman"/>
          <w:color w:val="000000" w:themeColor="text1"/>
          <w:sz w:val="16"/>
          <w:szCs w:val="16"/>
        </w:rPr>
        <w:t xml:space="preserve">.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Н.Н.П. писал в Техотдел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письмо N 890с с просьбой предоставить 2 мотора М65 - боевым и запасным для самолета КС-М65, выслав первый в апреле 1930 в адрес завода (2339,249).</w:t>
      </w:r>
    </w:p>
    <w:p w14:paraId="747D07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B83FBB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115BDF9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9E5E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25 мая и 1 июня 1929. Из протокола заседания Политбюро N82, особая папка, 1929 г.</w:t>
      </w:r>
    </w:p>
    <w:p w14:paraId="32ACA2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Вопрос т. Лозовского </w:t>
      </w:r>
    </w:p>
    <w:p w14:paraId="23E60A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Принять предложение т. Лозовского о разрешении Международному комитету пропаганды и Союзу сельхозрабочих СССР посылки 5000 руб. бастующим сельхозрабочим Чехословакии (11652).</w:t>
      </w:r>
    </w:p>
    <w:p w14:paraId="4B3F81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5B72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25 мая и 1 июня 1929. Из протокола заседания Политбюро N82, особая папка, 1929 г.</w:t>
      </w:r>
    </w:p>
    <w:p w14:paraId="7539AB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съезде поляков, проживающих за пределами Польши </w:t>
      </w:r>
    </w:p>
    <w:p w14:paraId="40773E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Признать желательным принять участие в созываемом в Варшаве съезде поляков, живущих за пределами Польши. </w:t>
      </w:r>
    </w:p>
    <w:p w14:paraId="39B5E9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Обеспечить безусловно надежный состав делегации от поляков, проживающих в СССР. </w:t>
      </w:r>
    </w:p>
    <w:p w14:paraId="12DC35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Провести соответствующую агитационную кампанию и созвать конференцию делегатов в СССР для выработки специальной декларации с опубликованием этой декларации. Коммунистической фракции делегации не создавать. Встрече нашей делегации с зарубежными поляками придать более широкий характер встречи живущих в СССР и в Польше поляков-рабочих и крестьян, не превращая ее в перекличку только коммунистов. </w:t>
      </w:r>
    </w:p>
    <w:p w14:paraId="24FDCB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Создать комиссию по руководству подготовкой и проведением выборов делегатов, а также их деятельностью в Варшаве в составе тт. Криницкого, </w:t>
      </w:r>
      <w:proofErr w:type="spellStart"/>
      <w:r w:rsidRPr="00A259BD">
        <w:rPr>
          <w:rFonts w:ascii="Times New Roman" w:hAnsi="Times New Roman"/>
          <w:color w:val="000000" w:themeColor="text1"/>
          <w:sz w:val="16"/>
          <w:szCs w:val="16"/>
        </w:rPr>
        <w:t>Пурмана</w:t>
      </w:r>
      <w:proofErr w:type="spellEnd"/>
      <w:r w:rsidRPr="00A259BD">
        <w:rPr>
          <w:rFonts w:ascii="Times New Roman" w:hAnsi="Times New Roman"/>
          <w:color w:val="000000" w:themeColor="text1"/>
          <w:sz w:val="16"/>
          <w:szCs w:val="16"/>
        </w:rPr>
        <w:t>, Неймана, Попова и Бубнова (11652).</w:t>
      </w:r>
    </w:p>
    <w:p w14:paraId="37773F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77D99F" w14:textId="77777777" w:rsidR="00CB2815" w:rsidRPr="00A259BD" w:rsidRDefault="00CB281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5E49F99" w14:textId="77777777" w:rsidR="00CB2815" w:rsidRPr="00A259BD" w:rsidRDefault="00CB281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EFC924" w14:textId="77777777" w:rsidR="00B90673" w:rsidRPr="00A259BD" w:rsidRDefault="00B9067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25 мая 1929 испанская правительственная авиакомпания CLASSA официально принимает на себя все права, обязанности, флот и персонал Iberia и других авиакомпаний, которые объединились в нее (20806).</w:t>
      </w:r>
    </w:p>
    <w:p w14:paraId="2C042499" w14:textId="77777777" w:rsidR="00B90673" w:rsidRPr="00A259BD" w:rsidRDefault="00B90673" w:rsidP="009236E3">
      <w:pPr>
        <w:spacing w:after="0" w:line="240" w:lineRule="auto"/>
        <w:jc w:val="both"/>
        <w:rPr>
          <w:rFonts w:ascii="Times New Roman" w:hAnsi="Times New Roman"/>
          <w:color w:val="000000" w:themeColor="text1"/>
          <w:sz w:val="16"/>
          <w:szCs w:val="16"/>
        </w:rPr>
      </w:pPr>
    </w:p>
    <w:p w14:paraId="74CC432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B3922B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3A9FA7B" w14:textId="77777777" w:rsidR="00143F13" w:rsidRPr="00A259BD" w:rsidRDefault="00143F13"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bookmarkStart w:id="50" w:name="_Hlk75784539"/>
      <w:r w:rsidRPr="00A259BD">
        <w:rPr>
          <w:rFonts w:ascii="Times New Roman" w:eastAsia="Times New Roman" w:hAnsi="Times New Roman"/>
          <w:color w:val="000000" w:themeColor="text1"/>
          <w:sz w:val="16"/>
          <w:szCs w:val="16"/>
          <w:lang w:eastAsia="ru-RU"/>
        </w:rPr>
        <w:t xml:space="preserve">26 мая 1929 на торжественном открытии летней навигации Гражданского воздушного флота, которое состоялось на Центральном аэродроме имени М.В. Фрунзе И.С. </w:t>
      </w:r>
      <w:proofErr w:type="spellStart"/>
      <w:r w:rsidRPr="00A259BD">
        <w:rPr>
          <w:rFonts w:ascii="Times New Roman" w:eastAsia="Times New Roman" w:hAnsi="Times New Roman"/>
          <w:color w:val="000000" w:themeColor="text1"/>
          <w:sz w:val="16"/>
          <w:szCs w:val="16"/>
          <w:lang w:eastAsia="ru-RU"/>
        </w:rPr>
        <w:t>Уншлихтом</w:t>
      </w:r>
      <w:proofErr w:type="spellEnd"/>
      <w:r w:rsidRPr="00A259BD">
        <w:rPr>
          <w:rFonts w:ascii="Times New Roman" w:eastAsia="Times New Roman" w:hAnsi="Times New Roman"/>
          <w:color w:val="000000" w:themeColor="text1"/>
          <w:sz w:val="16"/>
          <w:szCs w:val="16"/>
          <w:lang w:eastAsia="ru-RU"/>
        </w:rPr>
        <w:t xml:space="preserve"> было официально заявлено о запланированном перелете экипажа Шестакова, Болотова, Стерлигова и </w:t>
      </w:r>
      <w:proofErr w:type="spellStart"/>
      <w:r w:rsidRPr="00A259BD">
        <w:rPr>
          <w:rFonts w:ascii="Times New Roman" w:eastAsia="Times New Roman" w:hAnsi="Times New Roman"/>
          <w:color w:val="000000" w:themeColor="text1"/>
          <w:sz w:val="16"/>
          <w:szCs w:val="16"/>
          <w:lang w:eastAsia="ru-RU"/>
        </w:rPr>
        <w:t>Фуфаева</w:t>
      </w:r>
      <w:proofErr w:type="spellEnd"/>
      <w:r w:rsidRPr="00A259BD">
        <w:rPr>
          <w:rFonts w:ascii="Times New Roman" w:eastAsia="Times New Roman" w:hAnsi="Times New Roman"/>
          <w:color w:val="000000" w:themeColor="text1"/>
          <w:sz w:val="16"/>
          <w:szCs w:val="16"/>
          <w:lang w:eastAsia="ru-RU"/>
        </w:rPr>
        <w:t xml:space="preserve"> в Нью-Йорк на АНТ-9.</w:t>
      </w:r>
    </w:p>
    <w:p w14:paraId="2AFAE4A7" w14:textId="77777777" w:rsidR="00143F13" w:rsidRPr="00A259BD" w:rsidRDefault="00143F13"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Ранее Начальник Военно-воздушных сил СССР П.И. Баранов охарактеризовал Очередной авиационный сезон как «исключительно интересный».</w:t>
      </w:r>
    </w:p>
    <w:p w14:paraId="76229555" w14:textId="77777777" w:rsidR="00143F13" w:rsidRPr="00A259BD" w:rsidRDefault="00143F13"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Как ни странно, начал он презентацию с объявления внутрисоюзных авиационных соревнований – перелетов командиров авиационных бригад, командиров авиационных эскадрилий и перелета инструкторов авиационных школ.</w:t>
      </w:r>
    </w:p>
    <w:p w14:paraId="27C7E6B3" w14:textId="77777777" w:rsidR="00143F13" w:rsidRPr="00A259BD" w:rsidRDefault="00143F13"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Кроме того, он рассказал о намеченных «перелетах самолетов тяжелых эскадрилий, ряде скоростных перелетов на истребителях и разведчиках новых конструкций, </w:t>
      </w:r>
      <w:proofErr w:type="spellStart"/>
      <w:r w:rsidRPr="00A259BD">
        <w:rPr>
          <w:rFonts w:ascii="Times New Roman" w:eastAsia="Times New Roman" w:hAnsi="Times New Roman"/>
          <w:color w:val="000000" w:themeColor="text1"/>
          <w:sz w:val="16"/>
          <w:szCs w:val="16"/>
          <w:lang w:eastAsia="ru-RU"/>
        </w:rPr>
        <w:t>междуокружных</w:t>
      </w:r>
      <w:proofErr w:type="spellEnd"/>
      <w:r w:rsidRPr="00A259BD">
        <w:rPr>
          <w:rFonts w:ascii="Times New Roman" w:eastAsia="Times New Roman" w:hAnsi="Times New Roman"/>
          <w:color w:val="000000" w:themeColor="text1"/>
          <w:sz w:val="16"/>
          <w:szCs w:val="16"/>
          <w:lang w:eastAsia="ru-RU"/>
        </w:rPr>
        <w:t xml:space="preserve"> перелетах и состязании истребителей».</w:t>
      </w:r>
    </w:p>
    <w:p w14:paraId="3AEA2E94" w14:textId="77777777" w:rsidR="00143F13" w:rsidRPr="00A259BD" w:rsidRDefault="00143F13"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Объявил он также и о перелете самолета «</w:t>
      </w:r>
      <w:proofErr w:type="spellStart"/>
      <w:r w:rsidRPr="00A259BD">
        <w:rPr>
          <w:rFonts w:ascii="Times New Roman" w:eastAsia="Times New Roman" w:hAnsi="Times New Roman"/>
          <w:color w:val="000000" w:themeColor="text1"/>
          <w:sz w:val="16"/>
          <w:szCs w:val="16"/>
          <w:lang w:eastAsia="ru-RU"/>
        </w:rPr>
        <w:t>Укрвоздухпути</w:t>
      </w:r>
      <w:proofErr w:type="spellEnd"/>
      <w:r w:rsidRPr="00A259BD">
        <w:rPr>
          <w:rFonts w:ascii="Times New Roman" w:eastAsia="Times New Roman" w:hAnsi="Times New Roman"/>
          <w:color w:val="000000" w:themeColor="text1"/>
          <w:sz w:val="16"/>
          <w:szCs w:val="16"/>
          <w:lang w:eastAsia="ru-RU"/>
        </w:rPr>
        <w:t>» К-4 по маршруту Харьков – Москва – Иркутск – Москва – Харьков, общей протяженностью 10720 км.</w:t>
      </w:r>
    </w:p>
    <w:p w14:paraId="4509BD88" w14:textId="77777777" w:rsidR="00143F13" w:rsidRPr="00A259BD" w:rsidRDefault="00143F13"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И лишь затем П.И. Баранов поведал о заграничном перелете. Его предполагалось совершить на новом 3-моторном пассажирском самолете АНТ-9, который был продемонстрирован трудящимся во время первомайских торжеств на Красной площади (21249).</w:t>
      </w:r>
    </w:p>
    <w:p w14:paraId="21B8D51D" w14:textId="77777777" w:rsidR="00143F13" w:rsidRPr="00A259BD" w:rsidRDefault="00143F13"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bookmarkEnd w:id="50"/>
    <w:p w14:paraId="39F557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мая 1929 была произведена первая в СССР доставка самолетом живой рыбы из одного моря в другое. Летчик </w:t>
      </w:r>
      <w:proofErr w:type="spellStart"/>
      <w:r w:rsidRPr="00A259BD">
        <w:rPr>
          <w:rFonts w:ascii="Times New Roman" w:hAnsi="Times New Roman"/>
          <w:color w:val="000000" w:themeColor="text1"/>
          <w:sz w:val="16"/>
          <w:szCs w:val="16"/>
        </w:rPr>
        <w:t>И.К.Поляков</w:t>
      </w:r>
      <w:proofErr w:type="spellEnd"/>
      <w:r w:rsidRPr="00A259BD">
        <w:rPr>
          <w:rFonts w:ascii="Times New Roman" w:hAnsi="Times New Roman"/>
          <w:color w:val="000000" w:themeColor="text1"/>
          <w:sz w:val="16"/>
          <w:szCs w:val="16"/>
        </w:rPr>
        <w:t xml:space="preserve"> на Юнкерс-13 перевез 87 тыс. мальков из Каспийского в Аральское (438,595).</w:t>
      </w:r>
    </w:p>
    <w:p w14:paraId="141EB9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E39F1E" w14:textId="78B25EA9" w:rsidR="007A3FA3" w:rsidRPr="006B74EB" w:rsidRDefault="007A3FA3" w:rsidP="007A3FA3">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26 </w:t>
      </w:r>
      <w:r w:rsidRPr="006B74EB">
        <w:rPr>
          <w:rFonts w:ascii="Times New Roman" w:hAnsi="Times New Roman"/>
          <w:color w:val="0070C0"/>
          <w:sz w:val="16"/>
          <w:szCs w:val="16"/>
        </w:rPr>
        <w:t>мая</w:t>
      </w:r>
      <w:r>
        <w:rPr>
          <w:rFonts w:ascii="Times New Roman" w:hAnsi="Times New Roman"/>
          <w:color w:val="0070C0"/>
          <w:sz w:val="16"/>
          <w:szCs w:val="16"/>
        </w:rPr>
        <w:t xml:space="preserve"> 1929 г. п</w:t>
      </w:r>
      <w:r w:rsidRPr="006B74EB">
        <w:rPr>
          <w:rFonts w:ascii="Times New Roman" w:hAnsi="Times New Roman"/>
          <w:color w:val="0070C0"/>
          <w:sz w:val="16"/>
          <w:szCs w:val="16"/>
        </w:rPr>
        <w:t xml:space="preserve">роизведена первая в СССР опытная перевозка самолетом </w:t>
      </w:r>
      <w:r>
        <w:rPr>
          <w:rFonts w:ascii="Times New Roman" w:hAnsi="Times New Roman"/>
          <w:color w:val="0070C0"/>
          <w:sz w:val="16"/>
          <w:szCs w:val="16"/>
        </w:rPr>
        <w:t>жи</w:t>
      </w:r>
      <w:r w:rsidRPr="006B74EB">
        <w:rPr>
          <w:rFonts w:ascii="Times New Roman" w:hAnsi="Times New Roman"/>
          <w:color w:val="0070C0"/>
          <w:sz w:val="16"/>
          <w:szCs w:val="16"/>
        </w:rPr>
        <w:t xml:space="preserve">вой рыбы из одного моря в другое с целью разведения ее на новом доте. Летчик Добролета </w:t>
      </w:r>
      <w:proofErr w:type="spellStart"/>
      <w:r w:rsidRPr="006B74EB">
        <w:rPr>
          <w:rFonts w:ascii="Times New Roman" w:hAnsi="Times New Roman"/>
          <w:color w:val="0070C0"/>
          <w:sz w:val="16"/>
          <w:szCs w:val="16"/>
        </w:rPr>
        <w:t>И</w:t>
      </w:r>
      <w:r>
        <w:rPr>
          <w:rFonts w:ascii="Times New Roman" w:hAnsi="Times New Roman"/>
          <w:color w:val="0070C0"/>
          <w:sz w:val="16"/>
          <w:szCs w:val="16"/>
        </w:rPr>
        <w:t>.</w:t>
      </w:r>
      <w:r w:rsidRPr="006B74EB">
        <w:rPr>
          <w:rFonts w:ascii="Times New Roman" w:hAnsi="Times New Roman"/>
          <w:color w:val="0070C0"/>
          <w:sz w:val="16"/>
          <w:szCs w:val="16"/>
        </w:rPr>
        <w:t>К</w:t>
      </w:r>
      <w:r>
        <w:rPr>
          <w:rFonts w:ascii="Times New Roman" w:hAnsi="Times New Roman"/>
          <w:color w:val="0070C0"/>
          <w:sz w:val="16"/>
          <w:szCs w:val="16"/>
        </w:rPr>
        <w:t>.</w:t>
      </w:r>
      <w:r w:rsidRPr="006B74EB">
        <w:rPr>
          <w:rFonts w:ascii="Times New Roman" w:hAnsi="Times New Roman"/>
          <w:color w:val="0070C0"/>
          <w:sz w:val="16"/>
          <w:szCs w:val="16"/>
        </w:rPr>
        <w:t>Поляков</w:t>
      </w:r>
      <w:proofErr w:type="spellEnd"/>
      <w:r w:rsidRPr="006B74EB">
        <w:rPr>
          <w:rFonts w:ascii="Times New Roman" w:hAnsi="Times New Roman"/>
          <w:color w:val="0070C0"/>
          <w:sz w:val="16"/>
          <w:szCs w:val="16"/>
        </w:rPr>
        <w:t xml:space="preserve"> на самолете </w:t>
      </w:r>
      <w:r>
        <w:rPr>
          <w:rFonts w:ascii="Times New Roman" w:hAnsi="Times New Roman"/>
          <w:color w:val="0070C0"/>
          <w:sz w:val="16"/>
          <w:szCs w:val="16"/>
        </w:rPr>
        <w:t>Юн</w:t>
      </w:r>
      <w:r w:rsidRPr="006B74EB">
        <w:rPr>
          <w:rFonts w:ascii="Times New Roman" w:hAnsi="Times New Roman"/>
          <w:color w:val="0070C0"/>
          <w:sz w:val="16"/>
          <w:szCs w:val="16"/>
        </w:rPr>
        <w:t>керс-13 в один день доставил</w:t>
      </w:r>
      <w:r>
        <w:rPr>
          <w:rFonts w:ascii="Times New Roman" w:hAnsi="Times New Roman"/>
          <w:color w:val="0070C0"/>
          <w:sz w:val="16"/>
          <w:szCs w:val="16"/>
        </w:rPr>
        <w:t xml:space="preserve"> с</w:t>
      </w:r>
      <w:r w:rsidRPr="006B74EB">
        <w:rPr>
          <w:rFonts w:ascii="Times New Roman" w:hAnsi="Times New Roman"/>
          <w:color w:val="0070C0"/>
          <w:sz w:val="16"/>
          <w:szCs w:val="16"/>
        </w:rPr>
        <w:t xml:space="preserve"> Каспийского моря в Аральское большую партию /87 тысяч/ мальков ценной породы рыб,</w:t>
      </w:r>
      <w:r>
        <w:rPr>
          <w:rFonts w:ascii="Times New Roman" w:hAnsi="Times New Roman"/>
          <w:color w:val="0070C0"/>
          <w:sz w:val="16"/>
          <w:szCs w:val="16"/>
        </w:rPr>
        <w:t xml:space="preserve"> </w:t>
      </w:r>
      <w:r w:rsidRPr="006B74EB">
        <w:rPr>
          <w:rFonts w:ascii="Times New Roman" w:hAnsi="Times New Roman"/>
          <w:color w:val="0070C0"/>
          <w:sz w:val="16"/>
          <w:szCs w:val="16"/>
        </w:rPr>
        <w:t>что другим транспортом невозможно било бы сделать</w:t>
      </w:r>
      <w:r>
        <w:rPr>
          <w:rFonts w:ascii="Times New Roman" w:hAnsi="Times New Roman"/>
          <w:color w:val="0070C0"/>
          <w:sz w:val="16"/>
          <w:szCs w:val="16"/>
        </w:rPr>
        <w:t>.</w:t>
      </w:r>
      <w:r w:rsidRPr="006B74EB">
        <w:rPr>
          <w:rFonts w:ascii="Times New Roman" w:hAnsi="Times New Roman"/>
          <w:color w:val="0070C0"/>
          <w:sz w:val="16"/>
          <w:szCs w:val="16"/>
        </w:rPr>
        <w:t xml:space="preserve"> Опыт оказался удачным.</w:t>
      </w:r>
      <w:r>
        <w:rPr>
          <w:rFonts w:ascii="Times New Roman" w:hAnsi="Times New Roman"/>
          <w:color w:val="0070C0"/>
          <w:sz w:val="16"/>
          <w:szCs w:val="16"/>
        </w:rPr>
        <w:t xml:space="preserve"> </w:t>
      </w:r>
      <w:r w:rsidRPr="006B74EB">
        <w:rPr>
          <w:rFonts w:ascii="Times New Roman" w:hAnsi="Times New Roman"/>
          <w:color w:val="0070C0"/>
          <w:sz w:val="16"/>
          <w:szCs w:val="16"/>
        </w:rPr>
        <w:t>В следующем году перевози</w:t>
      </w:r>
      <w:r>
        <w:rPr>
          <w:rFonts w:ascii="Times New Roman" w:hAnsi="Times New Roman"/>
          <w:color w:val="0070C0"/>
          <w:sz w:val="16"/>
          <w:szCs w:val="16"/>
        </w:rPr>
        <w:t>лась</w:t>
      </w:r>
      <w:r w:rsidRPr="006B74EB">
        <w:rPr>
          <w:rFonts w:ascii="Times New Roman" w:hAnsi="Times New Roman"/>
          <w:color w:val="0070C0"/>
          <w:sz w:val="16"/>
          <w:szCs w:val="16"/>
        </w:rPr>
        <w:t xml:space="preserve"> живая икра.</w:t>
      </w:r>
      <w:r>
        <w:rPr>
          <w:rFonts w:ascii="Times New Roman" w:hAnsi="Times New Roman"/>
          <w:color w:val="0070C0"/>
          <w:sz w:val="16"/>
          <w:szCs w:val="16"/>
        </w:rPr>
        <w:t xml:space="preserve"> </w:t>
      </w:r>
      <w:r w:rsidRPr="006B74EB">
        <w:rPr>
          <w:rFonts w:ascii="Times New Roman" w:hAnsi="Times New Roman"/>
          <w:color w:val="0070C0"/>
          <w:sz w:val="16"/>
          <w:szCs w:val="16"/>
        </w:rPr>
        <w:t>Опыт Полякова нашел широкое применение.</w:t>
      </w:r>
    </w:p>
    <w:p w14:paraId="245C348A" w14:textId="77777777" w:rsidR="007A3FA3" w:rsidRDefault="007A3FA3" w:rsidP="007A3FA3">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/А. Гольдман. Гражданская авиация, 1932, стр. 103/</w:t>
      </w:r>
      <w:r>
        <w:rPr>
          <w:rFonts w:ascii="Times New Roman" w:hAnsi="Times New Roman"/>
          <w:color w:val="0070C0"/>
          <w:sz w:val="16"/>
          <w:szCs w:val="16"/>
        </w:rPr>
        <w:t xml:space="preserve"> (23370).</w:t>
      </w:r>
    </w:p>
    <w:p w14:paraId="00586888" w14:textId="77777777" w:rsidR="007A3FA3" w:rsidRPr="006B74EB" w:rsidRDefault="007A3FA3" w:rsidP="007A3FA3">
      <w:pPr>
        <w:spacing w:after="0" w:line="240" w:lineRule="auto"/>
        <w:jc w:val="both"/>
        <w:rPr>
          <w:rFonts w:ascii="Times New Roman" w:hAnsi="Times New Roman"/>
          <w:color w:val="0070C0"/>
          <w:sz w:val="16"/>
          <w:szCs w:val="16"/>
        </w:rPr>
      </w:pPr>
    </w:p>
    <w:p w14:paraId="79C641F7"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45DDA74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36817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мая 1929 года Центральное радио провело первый опыт трансляции с московского стадиона “Динамо” футбольного матча между командами РСФСР и Украины. Передачу вели три комментатора, среди них Вадим Синявский, ставший в дальнейшем самым популярным спортивным комментатором. В ноябре </w:t>
      </w:r>
      <w:proofErr w:type="spellStart"/>
      <w:r w:rsidRPr="00A259BD">
        <w:rPr>
          <w:rFonts w:ascii="Times New Roman" w:hAnsi="Times New Roman"/>
          <w:color w:val="000000" w:themeColor="text1"/>
          <w:sz w:val="16"/>
          <w:szCs w:val="16"/>
        </w:rPr>
        <w:t>Мос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ковское</w:t>
      </w:r>
      <w:proofErr w:type="spellEnd"/>
      <w:r w:rsidRPr="00A259BD">
        <w:rPr>
          <w:rFonts w:ascii="Times New Roman" w:hAnsi="Times New Roman"/>
          <w:color w:val="000000" w:themeColor="text1"/>
          <w:sz w:val="16"/>
          <w:szCs w:val="16"/>
        </w:rPr>
        <w:t xml:space="preserve"> радио начало вещание на иностранных языках для зарубежных слушателей. Первые передачи проводились на немецком языке, затем – на французском и английском языках (11223).</w:t>
      </w:r>
    </w:p>
    <w:p w14:paraId="2B5A84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8FB981" w14:textId="77777777" w:rsidR="00023B0E" w:rsidRPr="00A259BD" w:rsidRDefault="00023B0E"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26 мая</w:t>
      </w:r>
      <w:r w:rsidRPr="00A259BD">
        <w:rPr>
          <w:rFonts w:ascii="Times New Roman" w:hAnsi="Times New Roman"/>
          <w:color w:val="000000" w:themeColor="text1"/>
          <w:sz w:val="16"/>
          <w:szCs w:val="16"/>
        </w:rPr>
        <w:t xml:space="preserve"> в 1929 году Центральное радио провело первый опыт трансляции с московского стадиона «Динамо» спортивного праздника и футбольного матча между командами РСФСР и Украины. Волнующие слова: «Мы ведем наш репортаж со стадиона «Динамо»... прозвучали перед началом матча сборных РСФСР и Украины. Передачу вели три комментатора, среди них Вадим </w:t>
      </w:r>
      <w:proofErr w:type="spellStart"/>
      <w:r w:rsidRPr="00A259BD">
        <w:rPr>
          <w:rFonts w:ascii="Times New Roman" w:hAnsi="Times New Roman"/>
          <w:color w:val="000000" w:themeColor="text1"/>
          <w:sz w:val="16"/>
          <w:szCs w:val="16"/>
        </w:rPr>
        <w:t>C.Синявский</w:t>
      </w:r>
      <w:proofErr w:type="spellEnd"/>
      <w:r w:rsidRPr="00A259BD">
        <w:rPr>
          <w:rFonts w:ascii="Times New Roman" w:hAnsi="Times New Roman"/>
          <w:color w:val="000000" w:themeColor="text1"/>
          <w:sz w:val="16"/>
          <w:szCs w:val="16"/>
        </w:rPr>
        <w:t>. 16 июля того же года 22-летнего Синявского зачислили в штат радиокомитета на должность инструктора физкультурного вещания (14903).</w:t>
      </w:r>
    </w:p>
    <w:p w14:paraId="06CC5D30" w14:textId="77777777" w:rsidR="00023B0E" w:rsidRPr="00A259BD" w:rsidRDefault="00023B0E" w:rsidP="009236E3">
      <w:pPr>
        <w:spacing w:after="0" w:line="240" w:lineRule="auto"/>
        <w:jc w:val="both"/>
        <w:rPr>
          <w:rFonts w:ascii="Times New Roman" w:hAnsi="Times New Roman"/>
          <w:color w:val="000000" w:themeColor="text1"/>
          <w:sz w:val="16"/>
          <w:szCs w:val="16"/>
        </w:rPr>
      </w:pPr>
    </w:p>
    <w:p w14:paraId="691FAD50" w14:textId="77777777" w:rsidR="00023B0E"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F48BCB6" w14:textId="77777777" w:rsidR="00023B0E" w:rsidRPr="00A259BD" w:rsidRDefault="00023B0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7C8C7A" w14:textId="77777777" w:rsidR="00023B0E" w:rsidRPr="00A259BD" w:rsidRDefault="00023B0E"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26 мая</w:t>
      </w:r>
      <w:r w:rsidRPr="00A259BD">
        <w:rPr>
          <w:rFonts w:ascii="Times New Roman" w:hAnsi="Times New Roman"/>
          <w:color w:val="000000" w:themeColor="text1"/>
          <w:sz w:val="16"/>
          <w:szCs w:val="16"/>
        </w:rPr>
        <w:t xml:space="preserve"> в 1929 году абсолютный мировой рекорд высоты полета - 12 739 м, пилот </w:t>
      </w:r>
      <w:proofErr w:type="spellStart"/>
      <w:r w:rsidRPr="00A259BD">
        <w:rPr>
          <w:rFonts w:ascii="Times New Roman" w:hAnsi="Times New Roman"/>
          <w:color w:val="000000" w:themeColor="text1"/>
          <w:sz w:val="16"/>
          <w:szCs w:val="16"/>
        </w:rPr>
        <w:t>В.Нойенхофен</w:t>
      </w:r>
      <w:proofErr w:type="spellEnd"/>
      <w:r w:rsidRPr="00A259BD">
        <w:rPr>
          <w:rFonts w:ascii="Times New Roman" w:hAnsi="Times New Roman"/>
          <w:color w:val="000000" w:themeColor="text1"/>
          <w:sz w:val="16"/>
          <w:szCs w:val="16"/>
        </w:rPr>
        <w:t xml:space="preserve"> (Германия) на самолете </w:t>
      </w:r>
      <w:hyperlink r:id="rId56" w:tgtFrame="_blank" w:history="1">
        <w:r w:rsidRPr="00A259BD">
          <w:rPr>
            <w:rFonts w:ascii="Times New Roman" w:hAnsi="Times New Roman"/>
            <w:color w:val="000000" w:themeColor="text1"/>
            <w:sz w:val="16"/>
            <w:szCs w:val="16"/>
          </w:rPr>
          <w:t>«Юнкерс» «W-37».</w:t>
        </w:r>
      </w:hyperlink>
    </w:p>
    <w:p w14:paraId="5925EF9F" w14:textId="77777777" w:rsidR="00023B0E" w:rsidRPr="00A259BD" w:rsidRDefault="00023B0E" w:rsidP="009236E3">
      <w:pPr>
        <w:spacing w:after="0" w:line="240" w:lineRule="auto"/>
        <w:jc w:val="both"/>
        <w:rPr>
          <w:rFonts w:ascii="Times New Roman" w:hAnsi="Times New Roman"/>
          <w:color w:val="000000" w:themeColor="text1"/>
          <w:sz w:val="16"/>
          <w:szCs w:val="16"/>
        </w:rPr>
      </w:pPr>
    </w:p>
    <w:p w14:paraId="1F6695A8" w14:textId="77777777" w:rsidR="00023B0E" w:rsidRPr="00A259BD" w:rsidRDefault="00023B0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мая 1929 г. немецкий летчик В. </w:t>
      </w:r>
      <w:proofErr w:type="spellStart"/>
      <w:r w:rsidRPr="00A259BD">
        <w:rPr>
          <w:rFonts w:ascii="Times New Roman" w:hAnsi="Times New Roman"/>
          <w:color w:val="000000" w:themeColor="text1"/>
          <w:sz w:val="16"/>
          <w:szCs w:val="16"/>
        </w:rPr>
        <w:t>Нойенхофен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lang w:val="en-US"/>
        </w:rPr>
        <w:t>FriedrichW</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lang w:val="en-US"/>
        </w:rPr>
        <w:t>Neuenhofen</w:t>
      </w:r>
      <w:proofErr w:type="spellEnd"/>
      <w:r w:rsidRPr="00A259BD">
        <w:rPr>
          <w:rFonts w:ascii="Times New Roman" w:hAnsi="Times New Roman"/>
          <w:color w:val="000000" w:themeColor="text1"/>
          <w:sz w:val="16"/>
          <w:szCs w:val="16"/>
        </w:rPr>
        <w:t>) поднялся на высоту 12739 м. Его самолёт Юн</w:t>
      </w:r>
      <w:r w:rsidRPr="00A259BD">
        <w:rPr>
          <w:rFonts w:ascii="Times New Roman" w:hAnsi="Times New Roman"/>
          <w:color w:val="000000" w:themeColor="text1"/>
          <w:sz w:val="16"/>
          <w:szCs w:val="16"/>
        </w:rPr>
        <w:softHyphen/>
        <w:t xml:space="preserve">кере </w:t>
      </w:r>
      <w:r w:rsidRPr="00A259BD">
        <w:rPr>
          <w:rFonts w:ascii="Times New Roman" w:hAnsi="Times New Roman"/>
          <w:color w:val="000000" w:themeColor="text1"/>
          <w:sz w:val="16"/>
          <w:szCs w:val="16"/>
          <w:lang w:val="en-US"/>
        </w:rPr>
        <w:t>W</w:t>
      </w:r>
      <w:r w:rsidRPr="00A259BD">
        <w:rPr>
          <w:rFonts w:ascii="Times New Roman" w:hAnsi="Times New Roman"/>
          <w:color w:val="000000" w:themeColor="text1"/>
          <w:sz w:val="16"/>
          <w:szCs w:val="16"/>
        </w:rPr>
        <w:t xml:space="preserve"> 34 сильно отличался от небольших одно- или двухместных бипланов, которым принадлежали предыдущие достижения. Это был металлический транспортный свободнонесущий низкоплан с гофрированной дю</w:t>
      </w:r>
      <w:r w:rsidRPr="00A259BD">
        <w:rPr>
          <w:rFonts w:ascii="Times New Roman" w:hAnsi="Times New Roman"/>
          <w:color w:val="000000" w:themeColor="text1"/>
          <w:sz w:val="16"/>
          <w:szCs w:val="16"/>
        </w:rPr>
        <w:softHyphen/>
        <w:t>ралюминиевой обшивкой, рассчитанный на перевозку шести пассажиров и экипаж из двух человек.</w:t>
      </w:r>
    </w:p>
    <w:p w14:paraId="3D882147" w14:textId="77777777" w:rsidR="00023B0E" w:rsidRPr="00A259BD" w:rsidRDefault="00023B0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рекордном </w:t>
      </w:r>
      <w:r w:rsidRPr="00A259BD">
        <w:rPr>
          <w:rFonts w:ascii="Times New Roman" w:hAnsi="Times New Roman"/>
          <w:color w:val="000000" w:themeColor="text1"/>
          <w:sz w:val="16"/>
          <w:szCs w:val="16"/>
          <w:lang w:val="en-US"/>
        </w:rPr>
        <w:t>W</w:t>
      </w:r>
      <w:r w:rsidRPr="00A259BD">
        <w:rPr>
          <w:rFonts w:ascii="Times New Roman" w:hAnsi="Times New Roman"/>
          <w:color w:val="000000" w:themeColor="text1"/>
          <w:sz w:val="16"/>
          <w:szCs w:val="16"/>
        </w:rPr>
        <w:t xml:space="preserve"> 34 </w:t>
      </w:r>
      <w:proofErr w:type="spellStart"/>
      <w:r w:rsidRPr="00A259BD">
        <w:rPr>
          <w:rFonts w:ascii="Times New Roman" w:hAnsi="Times New Roman"/>
          <w:color w:val="000000" w:themeColor="text1"/>
          <w:sz w:val="16"/>
          <w:szCs w:val="16"/>
        </w:rPr>
        <w:t>Ье</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ЬЗе</w:t>
      </w:r>
      <w:proofErr w:type="spellEnd"/>
      <w:r w:rsidRPr="00A259BD">
        <w:rPr>
          <w:rFonts w:ascii="Times New Roman" w:hAnsi="Times New Roman"/>
          <w:color w:val="000000" w:themeColor="text1"/>
          <w:sz w:val="16"/>
          <w:szCs w:val="16"/>
        </w:rPr>
        <w:t xml:space="preserve"> был установ</w:t>
      </w:r>
      <w:r w:rsidRPr="00A259BD">
        <w:rPr>
          <w:rFonts w:ascii="Times New Roman" w:hAnsi="Times New Roman"/>
          <w:color w:val="000000" w:themeColor="text1"/>
          <w:sz w:val="16"/>
          <w:szCs w:val="16"/>
        </w:rPr>
        <w:softHyphen/>
        <w:t>лен английский двигатель Бристоль «Юпитер» VII мощностью 400 л.с. с нагнетателем и вы</w:t>
      </w:r>
      <w:r w:rsidRPr="00A259BD">
        <w:rPr>
          <w:rFonts w:ascii="Times New Roman" w:hAnsi="Times New Roman"/>
          <w:color w:val="000000" w:themeColor="text1"/>
          <w:sz w:val="16"/>
          <w:szCs w:val="16"/>
        </w:rPr>
        <w:softHyphen/>
        <w:t>сотным карбюратором. Вместо металличе</w:t>
      </w:r>
      <w:r w:rsidRPr="00A259BD">
        <w:rPr>
          <w:rFonts w:ascii="Times New Roman" w:hAnsi="Times New Roman"/>
          <w:color w:val="000000" w:themeColor="text1"/>
          <w:sz w:val="16"/>
          <w:szCs w:val="16"/>
        </w:rPr>
        <w:softHyphen/>
        <w:t>ского винта самолёт получил более лёгкий деревянный винт фирмы «Бристоль». Размах крыла увеличили с 17,75 до 20,35 м, а вес самолёта снизили, в том числе, за счёт от</w:t>
      </w:r>
      <w:r w:rsidRPr="00A259BD">
        <w:rPr>
          <w:rFonts w:ascii="Times New Roman" w:hAnsi="Times New Roman"/>
          <w:color w:val="000000" w:themeColor="text1"/>
          <w:sz w:val="16"/>
          <w:szCs w:val="16"/>
        </w:rPr>
        <w:softHyphen/>
        <w:t>каза от амортизации на стойках шасси и замены обычной окраски только лаковым покрытием.</w:t>
      </w:r>
    </w:p>
    <w:p w14:paraId="2A717311" w14:textId="77777777" w:rsidR="00023B0E" w:rsidRPr="00A259BD" w:rsidRDefault="00023B0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Открытая кабина </w:t>
      </w:r>
      <w:r w:rsidRPr="00A259BD">
        <w:rPr>
          <w:rFonts w:ascii="Times New Roman" w:hAnsi="Times New Roman"/>
          <w:color w:val="000000" w:themeColor="text1"/>
          <w:sz w:val="16"/>
          <w:szCs w:val="16"/>
          <w:lang w:val="en-US"/>
        </w:rPr>
        <w:t>W</w:t>
      </w:r>
      <w:r w:rsidRPr="00A259BD">
        <w:rPr>
          <w:rFonts w:ascii="Times New Roman" w:hAnsi="Times New Roman"/>
          <w:color w:val="000000" w:themeColor="text1"/>
          <w:sz w:val="16"/>
          <w:szCs w:val="16"/>
        </w:rPr>
        <w:t xml:space="preserve"> 34 не отаплива</w:t>
      </w:r>
      <w:r w:rsidRPr="00A259BD">
        <w:rPr>
          <w:rFonts w:ascii="Times New Roman" w:hAnsi="Times New Roman"/>
          <w:color w:val="000000" w:themeColor="text1"/>
          <w:sz w:val="16"/>
          <w:szCs w:val="16"/>
        </w:rPr>
        <w:softHyphen/>
        <w:t xml:space="preserve">лась. Лётчик был одет в тёплый костюм без электроподогрева и обходился без очков, так как справиться с их обледенением не удавалось. </w:t>
      </w:r>
      <w:proofErr w:type="spellStart"/>
      <w:r w:rsidRPr="00A259BD">
        <w:rPr>
          <w:rFonts w:ascii="Times New Roman" w:hAnsi="Times New Roman"/>
          <w:color w:val="000000" w:themeColor="text1"/>
          <w:sz w:val="16"/>
          <w:szCs w:val="16"/>
        </w:rPr>
        <w:t>Нойенхофен</w:t>
      </w:r>
      <w:proofErr w:type="spellEnd"/>
      <w:r w:rsidRPr="00A259BD">
        <w:rPr>
          <w:rFonts w:ascii="Times New Roman" w:hAnsi="Times New Roman"/>
          <w:color w:val="000000" w:themeColor="text1"/>
          <w:sz w:val="16"/>
          <w:szCs w:val="16"/>
        </w:rPr>
        <w:t xml:space="preserve">, как и </w:t>
      </w:r>
      <w:proofErr w:type="spellStart"/>
      <w:r w:rsidRPr="00A259BD">
        <w:rPr>
          <w:rFonts w:ascii="Times New Roman" w:hAnsi="Times New Roman"/>
          <w:color w:val="000000" w:themeColor="text1"/>
          <w:sz w:val="16"/>
          <w:szCs w:val="16"/>
        </w:rPr>
        <w:t>Соучек</w:t>
      </w:r>
      <w:proofErr w:type="spellEnd"/>
      <w:r w:rsidRPr="00A259BD">
        <w:rPr>
          <w:rFonts w:ascii="Times New Roman" w:hAnsi="Times New Roman"/>
          <w:color w:val="000000" w:themeColor="text1"/>
          <w:sz w:val="16"/>
          <w:szCs w:val="16"/>
        </w:rPr>
        <w:t>, ис</w:t>
      </w:r>
      <w:r w:rsidRPr="00A259BD">
        <w:rPr>
          <w:rFonts w:ascii="Times New Roman" w:hAnsi="Times New Roman"/>
          <w:color w:val="000000" w:themeColor="text1"/>
          <w:sz w:val="16"/>
          <w:szCs w:val="16"/>
        </w:rPr>
        <w:softHyphen/>
        <w:t>пользовал дыхательную трубку с мундшту</w:t>
      </w:r>
      <w:r w:rsidRPr="00A259BD">
        <w:rPr>
          <w:rFonts w:ascii="Times New Roman" w:hAnsi="Times New Roman"/>
          <w:color w:val="000000" w:themeColor="text1"/>
          <w:sz w:val="16"/>
          <w:szCs w:val="16"/>
        </w:rPr>
        <w:softHyphen/>
        <w:t>ком. Несмотря на появление ещё в начале 1900-х годов кислородных масок, примене</w:t>
      </w:r>
      <w:r w:rsidRPr="00A259BD">
        <w:rPr>
          <w:rFonts w:ascii="Times New Roman" w:hAnsi="Times New Roman"/>
          <w:color w:val="000000" w:themeColor="text1"/>
          <w:sz w:val="16"/>
          <w:szCs w:val="16"/>
        </w:rPr>
        <w:softHyphen/>
        <w:t>ние, казалось бы, устаревших трубок в 20-е всё ещё продолжалось. Это было связано с тем, что некоторые важные вопросы, свя</w:t>
      </w:r>
      <w:r w:rsidRPr="00A259BD">
        <w:rPr>
          <w:rFonts w:ascii="Times New Roman" w:hAnsi="Times New Roman"/>
          <w:color w:val="000000" w:themeColor="text1"/>
          <w:sz w:val="16"/>
          <w:szCs w:val="16"/>
        </w:rPr>
        <w:softHyphen/>
        <w:t>занные с использованием масок, в то вре</w:t>
      </w:r>
      <w:r w:rsidRPr="00A259BD">
        <w:rPr>
          <w:rFonts w:ascii="Times New Roman" w:hAnsi="Times New Roman"/>
          <w:color w:val="000000" w:themeColor="text1"/>
          <w:sz w:val="16"/>
          <w:szCs w:val="16"/>
        </w:rPr>
        <w:softHyphen/>
        <w:t>мя ещё не были окончательно решены. Так, проблему представляло скопление в маске углекислого газа, выдыхаемого лётчиком, а замерзание воды, содержащейся во влаж</w:t>
      </w:r>
      <w:r w:rsidRPr="00A259BD">
        <w:rPr>
          <w:rFonts w:ascii="Times New Roman" w:hAnsi="Times New Roman"/>
          <w:color w:val="000000" w:themeColor="text1"/>
          <w:sz w:val="16"/>
          <w:szCs w:val="16"/>
        </w:rPr>
        <w:softHyphen/>
        <w:t>ном выдыхаемом воздухе, могло привести к забиванию льдом клапанов и трубок. Из-за этого частью авиаторов кислородные мас</w:t>
      </w:r>
      <w:r w:rsidRPr="00A259BD">
        <w:rPr>
          <w:rFonts w:ascii="Times New Roman" w:hAnsi="Times New Roman"/>
          <w:color w:val="000000" w:themeColor="text1"/>
          <w:sz w:val="16"/>
          <w:szCs w:val="16"/>
        </w:rPr>
        <w:softHyphen/>
        <w:t>ки считались неудобными и даже опасными. Естественно, что использование трубок с мундштуками также доставляло различные неудобства, связанные с дыханием через рот и необходимостью длительно держать трубку зубами. Кроме того, даже наличие приспособлений, препятствующих вдыханию атмосферного воздуха, всё равно не избавило летчиков от возможности засасывания воздуха через нос, а это приводило к гипоксии.</w:t>
      </w:r>
    </w:p>
    <w:p w14:paraId="5D581795" w14:textId="77777777" w:rsidR="00023B0E" w:rsidRPr="00A259BD" w:rsidRDefault="00023B0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Рекордному полёту на </w:t>
      </w:r>
      <w:r w:rsidRPr="00A259BD">
        <w:rPr>
          <w:rFonts w:ascii="Times New Roman" w:hAnsi="Times New Roman"/>
          <w:color w:val="000000" w:themeColor="text1"/>
          <w:sz w:val="16"/>
          <w:szCs w:val="16"/>
          <w:lang w:val="en-US"/>
        </w:rPr>
        <w:t>W</w:t>
      </w:r>
      <w:r w:rsidRPr="00A259BD">
        <w:rPr>
          <w:rFonts w:ascii="Times New Roman" w:hAnsi="Times New Roman"/>
          <w:color w:val="000000" w:themeColor="text1"/>
          <w:sz w:val="16"/>
          <w:szCs w:val="16"/>
        </w:rPr>
        <w:t xml:space="preserve"> 34, длившемуся 1 час 24 минуты, предшествовала</w:t>
      </w:r>
      <w:r w:rsidRPr="00A259BD">
        <w:rPr>
          <w:rStyle w:val="aff8"/>
          <w:rFonts w:ascii="Times New Roman" w:hAnsi="Times New Roman" w:cs="Times New Roman"/>
          <w:b w:val="0"/>
          <w:color w:val="000000" w:themeColor="text1"/>
          <w:spacing w:val="0"/>
          <w:sz w:val="16"/>
          <w:szCs w:val="16"/>
        </w:rPr>
        <w:t xml:space="preserve"> тщательная </w:t>
      </w:r>
      <w:r w:rsidRPr="00A259BD">
        <w:rPr>
          <w:rFonts w:ascii="Times New Roman" w:hAnsi="Times New Roman"/>
          <w:color w:val="000000" w:themeColor="text1"/>
          <w:sz w:val="16"/>
          <w:szCs w:val="16"/>
        </w:rPr>
        <w:t>подготовительная работа, в том числе, установленные в конце 1928 г. рекорды</w:t>
      </w:r>
      <w:r w:rsidRPr="00A259BD">
        <w:rPr>
          <w:rStyle w:val="aff8"/>
          <w:rFonts w:ascii="Times New Roman" w:hAnsi="Times New Roman" w:cs="Times New Roman"/>
          <w:b w:val="0"/>
          <w:color w:val="000000" w:themeColor="text1"/>
          <w:spacing w:val="0"/>
          <w:sz w:val="16"/>
          <w:szCs w:val="16"/>
        </w:rPr>
        <w:t xml:space="preserve"> высоты с </w:t>
      </w:r>
      <w:r w:rsidRPr="00A259BD">
        <w:rPr>
          <w:rFonts w:ascii="Times New Roman" w:hAnsi="Times New Roman"/>
          <w:color w:val="000000" w:themeColor="text1"/>
          <w:sz w:val="16"/>
          <w:szCs w:val="16"/>
        </w:rPr>
        <w:t>нагрузкой (9190 м с нагрузкой 500 кг и 7970 м с нагрузкой 1000 кг). Во время подготовки было опробовано кислородное оборудование, определены места его установки и рас</w:t>
      </w:r>
      <w:r w:rsidRPr="00A259BD">
        <w:rPr>
          <w:rFonts w:ascii="Times New Roman" w:hAnsi="Times New Roman"/>
          <w:color w:val="000000" w:themeColor="text1"/>
          <w:sz w:val="16"/>
          <w:szCs w:val="16"/>
        </w:rPr>
        <w:softHyphen/>
        <w:t xml:space="preserve">положения проводки, испытывались разные сорта топлива и масла. Некоторые полёты проходили с механиком на борту [1, с. 39]. Однажды </w:t>
      </w:r>
      <w:proofErr w:type="spellStart"/>
      <w:r w:rsidRPr="00A259BD">
        <w:rPr>
          <w:rFonts w:ascii="Times New Roman" w:hAnsi="Times New Roman"/>
          <w:color w:val="000000" w:themeColor="text1"/>
          <w:sz w:val="16"/>
          <w:szCs w:val="16"/>
        </w:rPr>
        <w:t>Нойенхофен</w:t>
      </w:r>
      <w:proofErr w:type="spellEnd"/>
      <w:r w:rsidRPr="00A259BD">
        <w:rPr>
          <w:rFonts w:ascii="Times New Roman" w:hAnsi="Times New Roman"/>
          <w:color w:val="000000" w:themeColor="text1"/>
          <w:sz w:val="16"/>
          <w:szCs w:val="16"/>
        </w:rPr>
        <w:t xml:space="preserve"> потерял сознание из-за утечки в кислородном шланге. Летчика спасло предусмотренное на этот случай устройст</w:t>
      </w:r>
      <w:r w:rsidRPr="00A259BD">
        <w:rPr>
          <w:rFonts w:ascii="Times New Roman" w:hAnsi="Times New Roman"/>
          <w:color w:val="000000" w:themeColor="text1"/>
          <w:sz w:val="16"/>
          <w:szCs w:val="16"/>
        </w:rPr>
        <w:softHyphen/>
        <w:t xml:space="preserve">во, автоматически убиравшее газ - после снижения на несколько километров </w:t>
      </w:r>
      <w:proofErr w:type="spellStart"/>
      <w:r w:rsidRPr="00A259BD">
        <w:rPr>
          <w:rFonts w:ascii="Times New Roman" w:hAnsi="Times New Roman"/>
          <w:color w:val="000000" w:themeColor="text1"/>
          <w:sz w:val="16"/>
          <w:szCs w:val="16"/>
        </w:rPr>
        <w:t>Нойенхофен</w:t>
      </w:r>
      <w:proofErr w:type="spellEnd"/>
      <w:r w:rsidRPr="00A259BD">
        <w:rPr>
          <w:rFonts w:ascii="Times New Roman" w:hAnsi="Times New Roman"/>
          <w:color w:val="000000" w:themeColor="text1"/>
          <w:sz w:val="16"/>
          <w:szCs w:val="16"/>
        </w:rPr>
        <w:t xml:space="preserve"> пришел в себя (15842).</w:t>
      </w:r>
    </w:p>
    <w:p w14:paraId="178DA91D" w14:textId="77777777" w:rsidR="00023B0E" w:rsidRPr="00A259BD" w:rsidRDefault="00023B0E" w:rsidP="009236E3">
      <w:pPr>
        <w:spacing w:after="0" w:line="240" w:lineRule="auto"/>
        <w:jc w:val="both"/>
        <w:rPr>
          <w:rFonts w:ascii="Times New Roman" w:hAnsi="Times New Roman"/>
          <w:color w:val="000000" w:themeColor="text1"/>
          <w:sz w:val="16"/>
          <w:szCs w:val="16"/>
        </w:rPr>
      </w:pPr>
    </w:p>
    <w:p w14:paraId="2D11AEC6" w14:textId="77777777" w:rsidR="00CF6091" w:rsidRPr="00A259BD" w:rsidRDefault="00CF609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мая 1929 на самолете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W 34 </w:t>
      </w:r>
      <w:proofErr w:type="spellStart"/>
      <w:r w:rsidRPr="00A259BD">
        <w:rPr>
          <w:rFonts w:ascii="Times New Roman" w:hAnsi="Times New Roman"/>
          <w:color w:val="000000" w:themeColor="text1"/>
          <w:sz w:val="16"/>
          <w:szCs w:val="16"/>
        </w:rPr>
        <w:t>be</w:t>
      </w:r>
      <w:proofErr w:type="spellEnd"/>
      <w:r w:rsidRPr="00A259BD">
        <w:rPr>
          <w:rFonts w:ascii="Times New Roman" w:hAnsi="Times New Roman"/>
          <w:color w:val="000000" w:themeColor="text1"/>
          <w:sz w:val="16"/>
          <w:szCs w:val="16"/>
        </w:rPr>
        <w:t xml:space="preserve"> / b3e (регистрационный D-1119) Фридрих В. </w:t>
      </w:r>
      <w:proofErr w:type="spellStart"/>
      <w:r w:rsidRPr="00A259BD">
        <w:rPr>
          <w:rFonts w:ascii="Times New Roman" w:hAnsi="Times New Roman"/>
          <w:color w:val="000000" w:themeColor="text1"/>
          <w:sz w:val="16"/>
          <w:szCs w:val="16"/>
        </w:rPr>
        <w:t>Нойенхофен</w:t>
      </w:r>
      <w:proofErr w:type="spellEnd"/>
      <w:r w:rsidRPr="00A259BD">
        <w:rPr>
          <w:rFonts w:ascii="Times New Roman" w:hAnsi="Times New Roman"/>
          <w:color w:val="000000" w:themeColor="text1"/>
          <w:sz w:val="16"/>
          <w:szCs w:val="16"/>
        </w:rPr>
        <w:t xml:space="preserve"> устанавливает новый мировой рекорд высоты, достигнув 12739 метров (41 794 фута) (20806).</w:t>
      </w:r>
    </w:p>
    <w:p w14:paraId="1A6ABD58" w14:textId="77777777" w:rsidR="00CF6091" w:rsidRPr="00A259BD" w:rsidRDefault="00CF6091" w:rsidP="009236E3">
      <w:pPr>
        <w:spacing w:after="0" w:line="240" w:lineRule="auto"/>
        <w:jc w:val="both"/>
        <w:rPr>
          <w:rFonts w:ascii="Times New Roman" w:hAnsi="Times New Roman"/>
          <w:color w:val="000000" w:themeColor="text1"/>
          <w:sz w:val="16"/>
          <w:szCs w:val="16"/>
        </w:rPr>
      </w:pPr>
    </w:p>
    <w:p w14:paraId="0BEEA387" w14:textId="77777777" w:rsidR="00CF6091" w:rsidRPr="00A259BD" w:rsidRDefault="00CF609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мая 1929 - Абсолютный мировой рекорд высоты полёта - 12 739 м; В. </w:t>
      </w:r>
      <w:proofErr w:type="spellStart"/>
      <w:r w:rsidRPr="00A259BD">
        <w:rPr>
          <w:rFonts w:ascii="Times New Roman" w:hAnsi="Times New Roman"/>
          <w:color w:val="000000" w:themeColor="text1"/>
          <w:sz w:val="16"/>
          <w:szCs w:val="16"/>
        </w:rPr>
        <w:t>Нойенхофен</w:t>
      </w:r>
      <w:proofErr w:type="spellEnd"/>
      <w:r w:rsidRPr="00A259BD">
        <w:rPr>
          <w:rFonts w:ascii="Times New Roman" w:hAnsi="Times New Roman"/>
          <w:color w:val="000000" w:themeColor="text1"/>
          <w:sz w:val="16"/>
          <w:szCs w:val="16"/>
        </w:rPr>
        <w:t xml:space="preserve"> (Германия) на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W-34L, оснащенном модифицированным 420-сильным двигателем Bristol </w:t>
      </w:r>
      <w:proofErr w:type="spellStart"/>
      <w:r w:rsidRPr="00A259BD">
        <w:rPr>
          <w:rFonts w:ascii="Times New Roman" w:hAnsi="Times New Roman"/>
          <w:color w:val="000000" w:themeColor="text1"/>
          <w:sz w:val="16"/>
          <w:szCs w:val="16"/>
        </w:rPr>
        <w:t>Jupiter</w:t>
      </w:r>
      <w:proofErr w:type="spellEnd"/>
      <w:r w:rsidRPr="00A259BD">
        <w:rPr>
          <w:rFonts w:ascii="Times New Roman" w:hAnsi="Times New Roman"/>
          <w:color w:val="000000" w:themeColor="text1"/>
          <w:sz w:val="16"/>
          <w:szCs w:val="16"/>
        </w:rPr>
        <w:t xml:space="preserve"> (22489).</w:t>
      </w:r>
    </w:p>
    <w:p w14:paraId="5D041B41" w14:textId="77777777" w:rsidR="00CF6091" w:rsidRPr="00A259BD" w:rsidRDefault="00CF6091" w:rsidP="009236E3">
      <w:pPr>
        <w:pStyle w:val="article-renderblock"/>
        <w:shd w:val="clear" w:color="auto" w:fill="FFFFFF"/>
        <w:spacing w:before="0" w:beforeAutospacing="0" w:after="0" w:afterAutospacing="0"/>
        <w:jc w:val="both"/>
        <w:rPr>
          <w:color w:val="000000" w:themeColor="text1"/>
          <w:sz w:val="16"/>
          <w:szCs w:val="16"/>
        </w:rPr>
      </w:pPr>
    </w:p>
    <w:p w14:paraId="309D8C4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71BA2B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3D0F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мая 1929 года появилось решение РС СТО (выписка из протокола № 35 Распорядительного заседания СТО):</w:t>
      </w:r>
    </w:p>
    <w:p w14:paraId="4385D2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мероприятиях по развитию отстающих отраслей промышленности:</w:t>
      </w:r>
    </w:p>
    <w:p w14:paraId="7FE801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w:t>
      </w:r>
      <w:proofErr w:type="spellStart"/>
      <w:r w:rsidRPr="00A259BD">
        <w:rPr>
          <w:rFonts w:ascii="Times New Roman" w:hAnsi="Times New Roman"/>
          <w:color w:val="000000" w:themeColor="text1"/>
          <w:sz w:val="16"/>
          <w:szCs w:val="16"/>
        </w:rPr>
        <w:t>самолето</w:t>
      </w:r>
      <w:proofErr w:type="spellEnd"/>
      <w:r w:rsidRPr="00A259BD">
        <w:rPr>
          <w:rFonts w:ascii="Times New Roman" w:hAnsi="Times New Roman"/>
          <w:color w:val="000000" w:themeColor="text1"/>
          <w:sz w:val="16"/>
          <w:szCs w:val="16"/>
        </w:rPr>
        <w:t xml:space="preserve"> и моторостроение,</w:t>
      </w:r>
    </w:p>
    <w:p w14:paraId="028CEA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производство искусственного волокна.</w:t>
      </w:r>
    </w:p>
    <w:p w14:paraId="7315B9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Вн</w:t>
      </w:r>
      <w:proofErr w:type="spellEnd"/>
      <w:r w:rsidRPr="00A259BD">
        <w:rPr>
          <w:rFonts w:ascii="Times New Roman" w:hAnsi="Times New Roman"/>
          <w:color w:val="000000" w:themeColor="text1"/>
          <w:sz w:val="16"/>
          <w:szCs w:val="16"/>
        </w:rPr>
        <w:t>. ВСНХ д. № 415</w:t>
      </w:r>
    </w:p>
    <w:p w14:paraId="2389FF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а) перенести на очередное заседание РЗ СТО;</w:t>
      </w:r>
    </w:p>
    <w:p w14:paraId="001808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отложить на месяц (3545, 5).</w:t>
      </w:r>
    </w:p>
    <w:p w14:paraId="350E00C4" w14:textId="4E07422E"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49645A" w14:textId="77777777" w:rsidR="00CF6091" w:rsidRPr="00A259BD" w:rsidRDefault="00CF6091"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B9B8106" w14:textId="77777777" w:rsidR="00CF6091" w:rsidRPr="00A259BD" w:rsidRDefault="00CF609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84CE929" w14:textId="77777777" w:rsidR="00CF6091" w:rsidRPr="00A259BD" w:rsidRDefault="00CF6091" w:rsidP="009236E3">
      <w:pPr>
        <w:pStyle w:val="article-renderblock"/>
        <w:shd w:val="clear" w:color="auto" w:fill="FFFFFF"/>
        <w:spacing w:before="0" w:beforeAutospacing="0" w:after="0" w:afterAutospacing="0"/>
        <w:jc w:val="both"/>
        <w:rPr>
          <w:color w:val="000000" w:themeColor="text1"/>
          <w:sz w:val="16"/>
          <w:szCs w:val="16"/>
        </w:rPr>
      </w:pPr>
      <w:r w:rsidRPr="00A259BD">
        <w:rPr>
          <w:color w:val="000000" w:themeColor="text1"/>
          <w:sz w:val="16"/>
          <w:szCs w:val="16"/>
        </w:rPr>
        <w:t xml:space="preserve">27-30 мая 1929 на "Большевике" побывал П.С. Озеров, председатель 7-й секции </w:t>
      </w:r>
      <w:proofErr w:type="spellStart"/>
      <w:r w:rsidRPr="00A259BD">
        <w:rPr>
          <w:color w:val="000000" w:themeColor="text1"/>
          <w:sz w:val="16"/>
          <w:szCs w:val="16"/>
        </w:rPr>
        <w:t>Арткома</w:t>
      </w:r>
      <w:proofErr w:type="spellEnd"/>
      <w:r w:rsidRPr="00A259BD">
        <w:rPr>
          <w:color w:val="000000" w:themeColor="text1"/>
          <w:sz w:val="16"/>
          <w:szCs w:val="16"/>
        </w:rPr>
        <w:t xml:space="preserve"> Артиллерийского Управления и как результат спецификацию по танку Т-19 переиграли. Мощность двигателя увеличили до 90 лошадиных сил, а число пулеметов увеличили до 2. Это привело к тому, что готовность общих видов машины теперь ожидалась не ранее 1 ноября 1929 года, а рабочих чертежей мотора - к 1 февраля 1930 года. Неизвестно, как выглядел Т-19 изначально, но после всех изменений машина претерпела метаморфозы. Второй пулемет был нужен для того, чтобы установить его в корпусе. Экипаж танка вырос до 3 человек, из них 2 находилось в отделении управления. Внесенные изменения отлично стыковались новыми требованиями по системе танкового вооружения Красной Армии, утвержденными 17-18 июля 1929 года. Согласно им, малый танк имел боевую массу 7-7,5 тонн, скорость до 25-30 км/ч, экипаж из 3 человек и вооружение в виде 1 пушки калибра 37 мм и </w:t>
      </w:r>
      <w:r w:rsidRPr="00A259BD">
        <w:rPr>
          <w:color w:val="000000" w:themeColor="text1"/>
          <w:sz w:val="16"/>
          <w:szCs w:val="16"/>
        </w:rPr>
        <w:lastRenderedPageBreak/>
        <w:t>2 пулеметов. В дальнейшем работы курировались Озеровым, который, после образования УММ КА (Управление Механизации и Моторизации Красной Армии), стал начальником НТК УММ КА (Научно-Технической Комиссии).</w:t>
      </w:r>
    </w:p>
    <w:p w14:paraId="6999BE2E" w14:textId="77777777" w:rsidR="00CF6091" w:rsidRPr="00A259BD" w:rsidRDefault="00CF6091" w:rsidP="009236E3">
      <w:pPr>
        <w:pStyle w:val="article-renderblock"/>
        <w:shd w:val="clear" w:color="auto" w:fill="FFFFFF"/>
        <w:spacing w:before="0" w:beforeAutospacing="0" w:after="0" w:afterAutospacing="0"/>
        <w:jc w:val="both"/>
        <w:rPr>
          <w:color w:val="000000" w:themeColor="text1"/>
          <w:sz w:val="16"/>
          <w:szCs w:val="16"/>
        </w:rPr>
      </w:pPr>
      <w:r w:rsidRPr="00A259BD">
        <w:rPr>
          <w:color w:val="000000" w:themeColor="text1"/>
          <w:sz w:val="16"/>
          <w:szCs w:val="16"/>
        </w:rPr>
        <w:t xml:space="preserve">Самое интересно, что и на этом военные не остановились. По ряду причин работы по Т-19 затянулись, но к 15 февраля 1930 года, когда "Большевик" закончил первый этап разработки, стало ясно, что масса танка приближается к 8 тоннам. На это 9 февраля пришло письмо за подписью К.Б. Калиновского, одного из ключевых людей в советских танковых войсках и на тот момент ВРИД начальника УММ КА Он назвал превышение массы недопустимым, заодно выкатив измененные требования. Теперь скорость 25 км/ч была средней, а максимальной - 30 км/ч. А еще к Т-19 должны были цепляться надувные поплавки, благодаря чему обеспечивалась плавучесть. Это товарищ Калиновский явно подсмотрел у немцев, которые с 1929 года на ТЕКО под Казанью испытывали свои средние танки </w:t>
      </w:r>
      <w:proofErr w:type="spellStart"/>
      <w:r w:rsidRPr="00A259BD">
        <w:rPr>
          <w:color w:val="000000" w:themeColor="text1"/>
          <w:sz w:val="16"/>
          <w:szCs w:val="16"/>
        </w:rPr>
        <w:t>Großtraktor</w:t>
      </w:r>
      <w:proofErr w:type="spellEnd"/>
      <w:r w:rsidRPr="00A259BD">
        <w:rPr>
          <w:color w:val="000000" w:themeColor="text1"/>
          <w:sz w:val="16"/>
          <w:szCs w:val="16"/>
        </w:rPr>
        <w:t xml:space="preserve">. Причем на плаву Т-19 должен был развивать скорость не менее 5-6 км/ч (20842). </w:t>
      </w:r>
    </w:p>
    <w:p w14:paraId="4A21E751" w14:textId="77777777" w:rsidR="00CF6091" w:rsidRPr="00A259BD" w:rsidRDefault="00CF6091" w:rsidP="009236E3">
      <w:pPr>
        <w:pStyle w:val="article-renderblock"/>
        <w:shd w:val="clear" w:color="auto" w:fill="FFFFFF"/>
        <w:spacing w:before="0" w:beforeAutospacing="0" w:after="0" w:afterAutospacing="0"/>
        <w:jc w:val="both"/>
        <w:rPr>
          <w:color w:val="000000" w:themeColor="text1"/>
          <w:sz w:val="16"/>
          <w:szCs w:val="16"/>
        </w:rPr>
      </w:pPr>
    </w:p>
    <w:p w14:paraId="0782C5D1" w14:textId="0DD886B0" w:rsidR="00CF6091" w:rsidRPr="00A259BD" w:rsidRDefault="00CF6091" w:rsidP="009236E3">
      <w:pPr>
        <w:autoSpaceDE w:val="0"/>
        <w:autoSpaceDN w:val="0"/>
        <w:adjustRightInd w:val="0"/>
        <w:spacing w:after="0" w:line="240" w:lineRule="auto"/>
        <w:jc w:val="both"/>
        <w:rPr>
          <w:rFonts w:ascii="Times New Roman" w:hAnsi="Times New Roman"/>
          <w:i/>
          <w:iCs/>
          <w:color w:val="000000" w:themeColor="text1"/>
          <w:sz w:val="16"/>
          <w:szCs w:val="16"/>
        </w:rPr>
      </w:pPr>
      <w:r w:rsidRPr="00A259BD">
        <w:rPr>
          <w:rFonts w:ascii="Times New Roman" w:hAnsi="Times New Roman"/>
          <w:i/>
          <w:iCs/>
          <w:color w:val="000000" w:themeColor="text1"/>
          <w:sz w:val="16"/>
          <w:szCs w:val="16"/>
        </w:rPr>
        <w:t>Армия:</w:t>
      </w:r>
    </w:p>
    <w:p w14:paraId="6E99C33A" w14:textId="77777777" w:rsidR="00CF6091" w:rsidRPr="00A259BD" w:rsidRDefault="00CF6091"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5286A7AB" w14:textId="77777777" w:rsidR="00CF6091" w:rsidRPr="00A259BD" w:rsidRDefault="00CF6091"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51" w:name="_Hlk83625253"/>
      <w:r w:rsidRPr="00A259BD">
        <w:rPr>
          <w:rFonts w:ascii="Times New Roman" w:eastAsia="Times New Roman" w:hAnsi="Times New Roman"/>
          <w:color w:val="000000" w:themeColor="text1"/>
          <w:sz w:val="16"/>
          <w:szCs w:val="16"/>
          <w:lang w:eastAsia="ru-RU"/>
        </w:rPr>
        <w:t>27 мая 1929 г. состоялось заседание РЗ СТО</w:t>
      </w:r>
    </w:p>
    <w:p w14:paraId="12DB2A0F" w14:textId="77777777" w:rsidR="00CF6091" w:rsidRPr="00A259BD" w:rsidRDefault="00CF6091"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Протокол № 35 от 27 мая 1929 г.:</w:t>
      </w:r>
    </w:p>
    <w:p w14:paraId="7CE93A3E" w14:textId="77777777" w:rsidR="00CF6091" w:rsidRPr="00A259BD" w:rsidRDefault="00CF6091"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О строительстве РККА на второй период пятилетки и о пятилетнем плане специальной подготовки страны к обороне (постановление P3 СТО от 27.5.1929 г. к протоколу P3 СТО № 35 от 27.5.1929 г. по п. 1) (21567).</w:t>
      </w:r>
    </w:p>
    <w:p w14:paraId="1A6C5097" w14:textId="77777777" w:rsidR="00CF6091" w:rsidRPr="00A259BD" w:rsidRDefault="00CF6091" w:rsidP="009236E3">
      <w:pPr>
        <w:pStyle w:val="article-renderblock"/>
        <w:shd w:val="clear" w:color="auto" w:fill="FFFFFF"/>
        <w:spacing w:before="0" w:beforeAutospacing="0" w:after="0" w:afterAutospacing="0"/>
        <w:jc w:val="both"/>
        <w:rPr>
          <w:color w:val="000000" w:themeColor="text1"/>
          <w:sz w:val="16"/>
          <w:szCs w:val="16"/>
        </w:rPr>
      </w:pPr>
    </w:p>
    <w:bookmarkEnd w:id="51"/>
    <w:p w14:paraId="00A442FC" w14:textId="77777777" w:rsidR="00CF6091" w:rsidRPr="00A259BD" w:rsidRDefault="00CF6091"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27 мая 1929 г., Распорядительное заседание утвердило предложения НКВМ об увеличении к 1933 г. армии мирного времени до 630 500 человек и установило необходимость готовиться к ее развертыванию в 3,5-миллионную армию в случае войны. Мобилизационная заявка (потребность в предметах боевого снаряжения на первый год войны) была исчислена в 6 млрд. винтовочных патронов и 84 млн снарядов, 1500 танков и 6865 самолетов. Намеченный уровень развертывания РККА означал крупный сдвиг в численности, боевом и материально-техническом оснащении РККА военного времени (Предложения Штаба в марте 1928 г. ограничивались развертыванием армии в 3 млн 400 тыс. человек, а единогласное решение </w:t>
      </w:r>
      <w:proofErr w:type="spellStart"/>
      <w:r w:rsidRPr="00A259BD">
        <w:rPr>
          <w:rFonts w:ascii="Times New Roman" w:eastAsia="Times New Roman" w:hAnsi="Times New Roman"/>
          <w:color w:val="000000" w:themeColor="text1"/>
          <w:sz w:val="16"/>
          <w:szCs w:val="16"/>
          <w:lang w:eastAsia="ru-RU"/>
        </w:rPr>
        <w:t>Правитсльственнной</w:t>
      </w:r>
      <w:proofErr w:type="spellEnd"/>
      <w:r w:rsidRPr="00A259BD">
        <w:rPr>
          <w:rFonts w:ascii="Times New Roman" w:eastAsia="Times New Roman" w:hAnsi="Times New Roman"/>
          <w:color w:val="000000" w:themeColor="text1"/>
          <w:sz w:val="16"/>
          <w:szCs w:val="16"/>
          <w:lang w:eastAsia="ru-RU"/>
        </w:rPr>
        <w:t xml:space="preserve"> комиссии 5 мая 1928 г. - 3 266 тыс. человек на конец пятилетия). При этом размеры заявки НКВМ на первый год войны были увеличены в большей пропорции, нежели планируемая численность личного состава. Особенно это проявилось при расчете производства артиллерийских снарядов, что означало повышение наступательной способности РККА и признание приоритетности развития артиллерии (что предлагалось Штабом и марте-апреле и октябре 1928 г.).</w:t>
      </w:r>
    </w:p>
    <w:p w14:paraId="38AA5B5E" w14:textId="77777777" w:rsidR="00CF6091" w:rsidRPr="00A259BD" w:rsidRDefault="00CF6091"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Явное отсутствие единства взглядов на оборонные аспекты пятилетнего плана, с одной стороны, и волюнтаристское решение РЗ СТО об удовлетворении новой заявки военного ведомства по развертыванию сил военного времени - с другой, указывали на необходимость вмешательства в оборонное планирование со стороны высшей советской инстанции - Политбюро ЦК ВКП(б) (22725).</w:t>
      </w:r>
    </w:p>
    <w:p w14:paraId="7A800A3A" w14:textId="77777777" w:rsidR="00CF6091" w:rsidRPr="00A259BD" w:rsidRDefault="00CF6091" w:rsidP="009236E3">
      <w:pPr>
        <w:pStyle w:val="article-renderblock"/>
        <w:shd w:val="clear" w:color="auto" w:fill="FFFFFF"/>
        <w:spacing w:before="0" w:beforeAutospacing="0" w:after="0" w:afterAutospacing="0"/>
        <w:jc w:val="both"/>
        <w:rPr>
          <w:color w:val="000000" w:themeColor="text1"/>
          <w:sz w:val="16"/>
          <w:szCs w:val="16"/>
        </w:rPr>
      </w:pPr>
    </w:p>
    <w:p w14:paraId="7540215D"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84CE32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B3E88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мая 1929 в Москве у здания Малого театра открыт памятник драматургу А. Островскому (4962).</w:t>
      </w:r>
    </w:p>
    <w:p w14:paraId="28EC38D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4D7A22" w14:textId="77777777" w:rsidR="00D4411F"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7C531EA6" w14:textId="77777777" w:rsidR="00D4411F" w:rsidRPr="00A259BD" w:rsidRDefault="00D4411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BCBBE44" w14:textId="77777777" w:rsidR="00D4411F" w:rsidRPr="00A259BD" w:rsidRDefault="00D4411F" w:rsidP="009236E3">
      <w:pPr>
        <w:pStyle w:val="a3"/>
        <w:rPr>
          <w:color w:val="000000" w:themeColor="text1"/>
          <w:lang w:val="ru-RU"/>
        </w:rPr>
      </w:pPr>
      <w:r w:rsidRPr="00A259BD">
        <w:rPr>
          <w:color w:val="000000" w:themeColor="text1"/>
          <w:lang w:val="ru-RU"/>
        </w:rPr>
        <w:t>27 мая 1929 г. в Харбине произвели обыск в советском консульстве и арестовали 39 советских граждан, а некоторых даже убили. Президент Китая Чан Кайши лично прибыл в Пекин и отдал приказ о передислокации китайских войск на границу для подготовки к войне. Еще до начала вооруженного конфликта не</w:t>
      </w:r>
      <w:r w:rsidRPr="00A259BD">
        <w:rPr>
          <w:color w:val="000000" w:themeColor="text1"/>
          <w:lang w:val="ru-RU"/>
        </w:rPr>
        <w:softHyphen/>
        <w:t xml:space="preserve">кий пилот-любитель Фэн Юн, состоящий в «особых отношениях» с Чжан </w:t>
      </w:r>
      <w:proofErr w:type="spellStart"/>
      <w:r w:rsidRPr="00A259BD">
        <w:rPr>
          <w:color w:val="000000" w:themeColor="text1"/>
          <w:lang w:val="ru-RU"/>
        </w:rPr>
        <w:t>Сюэляном</w:t>
      </w:r>
      <w:proofErr w:type="spellEnd"/>
      <w:r w:rsidRPr="00A259BD">
        <w:rPr>
          <w:color w:val="000000" w:themeColor="text1"/>
          <w:lang w:val="ru-RU"/>
        </w:rPr>
        <w:t xml:space="preserve"> (ви</w:t>
      </w:r>
      <w:r w:rsidRPr="00A259BD">
        <w:rPr>
          <w:color w:val="000000" w:themeColor="text1"/>
          <w:lang w:val="ru-RU"/>
        </w:rPr>
        <w:softHyphen/>
        <w:t>димо, просто приятель), на своем самолёте однажды слетал в район советско-китайской границы, вероятно, на разведку (15820).</w:t>
      </w:r>
    </w:p>
    <w:p w14:paraId="724F0932" w14:textId="77777777" w:rsidR="00D4411F" w:rsidRPr="00A259BD" w:rsidRDefault="00D4411F" w:rsidP="009236E3">
      <w:pPr>
        <w:pStyle w:val="a3"/>
        <w:rPr>
          <w:color w:val="000000" w:themeColor="text1"/>
          <w:lang w:val="ru-RU"/>
        </w:rPr>
      </w:pPr>
    </w:p>
    <w:p w14:paraId="5D20C2D7"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4CDF9FB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9FF72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мая 1929 отряд китайской полиции ворвался в наше консульство в Харбине (1348,242).</w:t>
      </w:r>
    </w:p>
    <w:p w14:paraId="17D64B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08BC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мая 1929 п Линдберг женился на Анне Спенсер </w:t>
      </w:r>
      <w:proofErr w:type="spellStart"/>
      <w:r w:rsidRPr="00A259BD">
        <w:rPr>
          <w:rFonts w:ascii="Times New Roman" w:hAnsi="Times New Roman"/>
          <w:color w:val="000000" w:themeColor="text1"/>
          <w:sz w:val="16"/>
          <w:szCs w:val="16"/>
        </w:rPr>
        <w:t>Мурро</w:t>
      </w:r>
      <w:proofErr w:type="spellEnd"/>
      <w:r w:rsidRPr="00A259BD">
        <w:rPr>
          <w:rFonts w:ascii="Times New Roman" w:hAnsi="Times New Roman"/>
          <w:color w:val="000000" w:themeColor="text1"/>
          <w:sz w:val="16"/>
          <w:szCs w:val="16"/>
        </w:rPr>
        <w:t xml:space="preserve"> (2100).</w:t>
      </w:r>
    </w:p>
    <w:p w14:paraId="514206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D073B5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97C7BA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7A0AA0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мая 1929 в НИИ ВВС закончились испытания пассажирского самолета АНТ9 с тремя моторами “ТИТАН” 230 л.с., которые проходили с 16 мая 1929.</w:t>
      </w:r>
    </w:p>
    <w:p w14:paraId="79A7D21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испытаний пассажирского самолета АНТ9 с тремя моторами “ТИТАН” 230 л.с.</w:t>
      </w:r>
    </w:p>
    <w:p w14:paraId="3634A13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Постройки АГОС ЦАГИ</w:t>
      </w:r>
    </w:p>
    <w:p w14:paraId="1C1A80F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Начало испытания 16 мая 1929 года</w:t>
      </w:r>
    </w:p>
    <w:p w14:paraId="3FD3765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 испытаний 28 мая 1929 года</w:t>
      </w:r>
    </w:p>
    <w:p w14:paraId="2E6F372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Самолет АНТ9 </w:t>
      </w:r>
      <w:proofErr w:type="spellStart"/>
      <w:r w:rsidRPr="00A259BD">
        <w:rPr>
          <w:rFonts w:ascii="Times New Roman" w:hAnsi="Times New Roman"/>
          <w:color w:val="000000" w:themeColor="text1"/>
          <w:sz w:val="16"/>
          <w:szCs w:val="16"/>
        </w:rPr>
        <w:t>кольчугаллюминиевой</w:t>
      </w:r>
      <w:proofErr w:type="spellEnd"/>
      <w:r w:rsidRPr="00A259BD">
        <w:rPr>
          <w:rFonts w:ascii="Times New Roman" w:hAnsi="Times New Roman"/>
          <w:color w:val="000000" w:themeColor="text1"/>
          <w:sz w:val="16"/>
          <w:szCs w:val="16"/>
        </w:rPr>
        <w:t xml:space="preserve"> конструкции, свободнонесущий моноплан с высокопоставленным на уровне верха фюзеляжа крылом.</w:t>
      </w:r>
    </w:p>
    <w:p w14:paraId="7BA2B2D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Кабина пилота спереди вся застеклена, с боков открыта. Управление штурвальное двойное.</w:t>
      </w:r>
    </w:p>
    <w:p w14:paraId="2BB3073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0E28BC9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4BD7F77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может быть вполне рекомендован к использованию на воздушных линиях (6972).</w:t>
      </w:r>
    </w:p>
    <w:p w14:paraId="373DB82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CE3F74" w14:textId="77777777" w:rsidR="004B1BEB" w:rsidRPr="00A259BD" w:rsidRDefault="004B1BEB"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28 мая</w:t>
      </w:r>
      <w:r w:rsidRPr="00A259BD">
        <w:rPr>
          <w:rFonts w:ascii="Times New Roman" w:hAnsi="Times New Roman"/>
          <w:color w:val="000000" w:themeColor="text1"/>
          <w:sz w:val="16"/>
          <w:szCs w:val="16"/>
        </w:rPr>
        <w:t xml:space="preserve"> в 1929 году завершились (с 16 мая) государственные испытания в НИИ ВВС самолета </w:t>
      </w:r>
      <w:hyperlink r:id="rId57" w:tgtFrame="_blank" w:history="1">
        <w:r w:rsidRPr="00A259BD">
          <w:rPr>
            <w:rFonts w:ascii="Times New Roman" w:hAnsi="Times New Roman"/>
            <w:color w:val="000000" w:themeColor="text1"/>
            <w:sz w:val="16"/>
            <w:szCs w:val="16"/>
          </w:rPr>
          <w:t xml:space="preserve">«АНТ-9». </w:t>
        </w:r>
      </w:hyperlink>
      <w:r w:rsidRPr="00A259BD">
        <w:rPr>
          <w:rFonts w:ascii="Times New Roman" w:hAnsi="Times New Roman"/>
          <w:color w:val="000000" w:themeColor="text1"/>
          <w:sz w:val="16"/>
          <w:szCs w:val="16"/>
        </w:rPr>
        <w:t xml:space="preserve">Машину пилотировал тот же Громов, а за летнаба у него был инженер </w:t>
      </w:r>
      <w:proofErr w:type="spellStart"/>
      <w:r w:rsidRPr="00A259BD">
        <w:rPr>
          <w:rFonts w:ascii="Times New Roman" w:hAnsi="Times New Roman"/>
          <w:color w:val="000000" w:themeColor="text1"/>
          <w:sz w:val="16"/>
          <w:szCs w:val="16"/>
        </w:rPr>
        <w:t>Стоман</w:t>
      </w:r>
      <w:proofErr w:type="spellEnd"/>
      <w:r w:rsidRPr="00A259BD">
        <w:rPr>
          <w:rFonts w:ascii="Times New Roman" w:hAnsi="Times New Roman"/>
          <w:color w:val="000000" w:themeColor="text1"/>
          <w:sz w:val="16"/>
          <w:szCs w:val="16"/>
        </w:rPr>
        <w:t>. Отзыв НИИ был вполне положительным (14905).</w:t>
      </w:r>
    </w:p>
    <w:p w14:paraId="64652113" w14:textId="77777777" w:rsidR="004B1BEB" w:rsidRPr="00A259BD" w:rsidRDefault="004B1BEB" w:rsidP="009236E3">
      <w:pPr>
        <w:spacing w:after="0" w:line="240" w:lineRule="auto"/>
        <w:jc w:val="both"/>
        <w:rPr>
          <w:rFonts w:ascii="Times New Roman" w:hAnsi="Times New Roman"/>
          <w:color w:val="000000" w:themeColor="text1"/>
          <w:sz w:val="16"/>
          <w:szCs w:val="16"/>
        </w:rPr>
      </w:pPr>
    </w:p>
    <w:p w14:paraId="16B2D1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28 мая 1929 состоялось совещание представителей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ЦАГИ, завода 22 и Инспекции ГВФ, которое определило сроки сдачи чертежей АНТ-9 в производство (2341,116).</w:t>
      </w:r>
    </w:p>
    <w:p w14:paraId="6511C3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94B42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4D124F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68348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мая 1929 года советская миссия закупок вооружения подписала с фирмой Виккерс контракт на поставку 15 машин легкий танк "Виккерс E" в двухбашенном варианте, первый танк должен был быть поставлен советской стороне 22 октября 1930 года, а последний - 4 июля 1931 года. Первые доставленные в СССР танки Виккерс - известные под обозначением В-26 - послужили основой для постройки модернизированного варианта танка, названного ТММ-1 (позже появился танк ТММ-2, несколько отличавшийся от ТММ-1) (3862).</w:t>
      </w:r>
    </w:p>
    <w:p w14:paraId="358DE2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4880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мая 1929 года советская миссия закупок вооружения подписала с английской фирмой Виккерс контракт на поставку 15 легких танков "Виккерс E" в двухбашенном варианте (была приобретена и лицензия), первый танк должен был быть поставлен советской стороне 22 октября 1930 года, а последний - 4 июля 1931 года. Первые доставленные в СССР танки "Виккерс" (известные под обозначением В-26) послужили основой для постройки модернизированного варианта танка, названного ТММ-1 (позже танк ТММ-2). 13 февраля 1931 года РВС СССР постановил принять на вооружение Красной Армии танк "</w:t>
      </w:r>
      <w:proofErr w:type="spellStart"/>
      <w:r w:rsidRPr="00A259BD">
        <w:rPr>
          <w:rFonts w:ascii="Times New Roman" w:hAnsi="Times New Roman"/>
          <w:color w:val="000000" w:themeColor="text1"/>
          <w:sz w:val="16"/>
          <w:szCs w:val="16"/>
        </w:rPr>
        <w:t>Викерс</w:t>
      </w:r>
      <w:proofErr w:type="spellEnd"/>
      <w:r w:rsidRPr="00A259BD">
        <w:rPr>
          <w:rFonts w:ascii="Times New Roman" w:hAnsi="Times New Roman"/>
          <w:color w:val="000000" w:themeColor="text1"/>
          <w:sz w:val="16"/>
          <w:szCs w:val="16"/>
        </w:rPr>
        <w:t xml:space="preserve"> Е" под обозначением Т-26 и рекомендовал начать серийный выпуск этой машины. На первых танках Т-26 устанавливались импортируемые английские двигатели </w:t>
      </w:r>
      <w:proofErr w:type="spellStart"/>
      <w:r w:rsidRPr="00A259BD">
        <w:rPr>
          <w:rFonts w:ascii="Times New Roman" w:hAnsi="Times New Roman"/>
          <w:color w:val="000000" w:themeColor="text1"/>
          <w:sz w:val="16"/>
          <w:szCs w:val="16"/>
        </w:rPr>
        <w:t>Armstrong-Siddeley</w:t>
      </w:r>
      <w:proofErr w:type="spellEnd"/>
      <w:r w:rsidRPr="00A259BD">
        <w:rPr>
          <w:rFonts w:ascii="Times New Roman" w:hAnsi="Times New Roman"/>
          <w:color w:val="000000" w:themeColor="text1"/>
          <w:sz w:val="16"/>
          <w:szCs w:val="16"/>
        </w:rPr>
        <w:t xml:space="preserve"> (11553). </w:t>
      </w:r>
    </w:p>
    <w:p w14:paraId="3B7F7A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497B1EB" w14:textId="77777777" w:rsidR="004B1BEB" w:rsidRPr="00A259BD" w:rsidRDefault="004B1BEB" w:rsidP="009236E3">
      <w:pPr>
        <w:spacing w:after="0" w:line="240" w:lineRule="auto"/>
        <w:jc w:val="both"/>
        <w:rPr>
          <w:rStyle w:val="af0"/>
          <w:rFonts w:ascii="Times New Roman" w:hAnsi="Times New Roman"/>
          <w:i w:val="0"/>
          <w:color w:val="000000" w:themeColor="text1"/>
          <w:sz w:val="16"/>
          <w:szCs w:val="16"/>
        </w:rPr>
      </w:pPr>
      <w:r w:rsidRPr="00A259BD">
        <w:rPr>
          <w:rFonts w:ascii="Times New Roman" w:hAnsi="Times New Roman"/>
          <w:bCs/>
          <w:color w:val="000000" w:themeColor="text1"/>
          <w:sz w:val="16"/>
          <w:szCs w:val="16"/>
        </w:rPr>
        <w:t xml:space="preserve">28 мая 1929 г. — Доклад начальника Технического управления ВМС РККА Н. И. Власьева начальнику ВМС РККА Р. А. </w:t>
      </w:r>
      <w:proofErr w:type="spellStart"/>
      <w:r w:rsidRPr="00A259BD">
        <w:rPr>
          <w:rFonts w:ascii="Times New Roman" w:hAnsi="Times New Roman"/>
          <w:bCs/>
          <w:color w:val="000000" w:themeColor="text1"/>
          <w:sz w:val="16"/>
          <w:szCs w:val="16"/>
        </w:rPr>
        <w:t>Муклевичу</w:t>
      </w:r>
      <w:proofErr w:type="spellEnd"/>
      <w:r w:rsidRPr="00A259BD">
        <w:rPr>
          <w:rFonts w:ascii="Times New Roman" w:hAnsi="Times New Roman"/>
          <w:bCs/>
          <w:color w:val="000000" w:themeColor="text1"/>
          <w:sz w:val="16"/>
          <w:szCs w:val="16"/>
        </w:rPr>
        <w:t xml:space="preserve"> «О проекте подлодок I и II очереди»</w:t>
      </w:r>
    </w:p>
    <w:p w14:paraId="6A913FDD"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614BE3AA" w14:textId="77777777" w:rsidR="008456F2" w:rsidRPr="00A259BD" w:rsidRDefault="008456F2" w:rsidP="009236E3">
      <w:pPr>
        <w:pStyle w:val="rtejustify"/>
        <w:spacing w:before="0" w:after="0"/>
        <w:rPr>
          <w:color w:val="000000" w:themeColor="text1"/>
          <w:sz w:val="16"/>
          <w:szCs w:val="16"/>
        </w:rPr>
      </w:pPr>
      <w:r w:rsidRPr="00A259BD">
        <w:rPr>
          <w:color w:val="000000" w:themeColor="text1"/>
          <w:sz w:val="16"/>
          <w:szCs w:val="16"/>
        </w:rPr>
        <w:t>Докладываю:</w:t>
      </w:r>
    </w:p>
    <w:p w14:paraId="3769DD8E" w14:textId="77777777" w:rsidR="008456F2" w:rsidRPr="00A259BD" w:rsidRDefault="008456F2" w:rsidP="009236E3">
      <w:pPr>
        <w:pStyle w:val="rtejustify"/>
        <w:spacing w:before="0" w:after="0"/>
        <w:rPr>
          <w:color w:val="000000" w:themeColor="text1"/>
          <w:sz w:val="16"/>
          <w:szCs w:val="16"/>
        </w:rPr>
      </w:pPr>
      <w:r w:rsidRPr="00A259BD">
        <w:rPr>
          <w:color w:val="000000" w:themeColor="text1"/>
          <w:sz w:val="16"/>
          <w:szCs w:val="16"/>
        </w:rPr>
        <w:t>а) анализ присланных чертежей итальянских подлодок, входящих в строй в 1929 г., показал, что строящиеся наши подлодки не хуже, а в некоторых отношениях и лучше итальянских. В свою очередь, проектируя свои подлодки, итальянцы обладали полностью немецким опытом мировой войны, так как в состав их флота было включено после 1918 г. до десятка различных германских подлодок;</w:t>
      </w:r>
    </w:p>
    <w:p w14:paraId="73656088" w14:textId="77777777" w:rsidR="008456F2" w:rsidRPr="00A259BD" w:rsidRDefault="008456F2" w:rsidP="009236E3">
      <w:pPr>
        <w:pStyle w:val="rtejustify"/>
        <w:spacing w:before="0" w:after="0"/>
        <w:rPr>
          <w:color w:val="000000" w:themeColor="text1"/>
          <w:sz w:val="16"/>
          <w:szCs w:val="16"/>
        </w:rPr>
      </w:pPr>
      <w:r w:rsidRPr="00A259BD">
        <w:rPr>
          <w:color w:val="000000" w:themeColor="text1"/>
          <w:sz w:val="16"/>
          <w:szCs w:val="16"/>
        </w:rPr>
        <w:lastRenderedPageBreak/>
        <w:t>б) во время проектирования НТКМ подлодки в 1926 г. был использован полностью, и как оказывается вполне добросовестно, опыт именно итальянских построек, так как другого не имелось;</w:t>
      </w:r>
    </w:p>
    <w:p w14:paraId="13353A58" w14:textId="77777777" w:rsidR="008456F2" w:rsidRPr="00A259BD" w:rsidRDefault="008456F2" w:rsidP="009236E3">
      <w:pPr>
        <w:pStyle w:val="rtejustify"/>
        <w:spacing w:before="0" w:after="0"/>
        <w:rPr>
          <w:color w:val="000000" w:themeColor="text1"/>
          <w:sz w:val="16"/>
          <w:szCs w:val="16"/>
        </w:rPr>
      </w:pPr>
      <w:r w:rsidRPr="00A259BD">
        <w:rPr>
          <w:color w:val="000000" w:themeColor="text1"/>
          <w:sz w:val="16"/>
          <w:szCs w:val="16"/>
        </w:rPr>
        <w:t xml:space="preserve">в) я удивлен, с какой легкостью (если не сказать более) НТКМ, ходатайствовавшее и получившее по секции под[водного] </w:t>
      </w:r>
      <w:proofErr w:type="spellStart"/>
      <w:r w:rsidRPr="00A259BD">
        <w:rPr>
          <w:color w:val="000000" w:themeColor="text1"/>
          <w:sz w:val="16"/>
          <w:szCs w:val="16"/>
        </w:rPr>
        <w:t>пла</w:t>
      </w:r>
      <w:proofErr w:type="spellEnd"/>
      <w:r w:rsidRPr="00A259BD">
        <w:rPr>
          <w:color w:val="000000" w:themeColor="text1"/>
          <w:sz w:val="16"/>
          <w:szCs w:val="16"/>
        </w:rPr>
        <w:t>[</w:t>
      </w:r>
      <w:proofErr w:type="spellStart"/>
      <w:r w:rsidRPr="00A259BD">
        <w:rPr>
          <w:color w:val="000000" w:themeColor="text1"/>
          <w:sz w:val="16"/>
          <w:szCs w:val="16"/>
        </w:rPr>
        <w:t>вания</w:t>
      </w:r>
      <w:proofErr w:type="spellEnd"/>
      <w:r w:rsidRPr="00A259BD">
        <w:rPr>
          <w:color w:val="000000" w:themeColor="text1"/>
          <w:sz w:val="16"/>
          <w:szCs w:val="16"/>
        </w:rPr>
        <w:t>] значительные по тому времени награды за успешное выполнение проекта (дело о наградных оказалось, по наведенной мною справке, сданным I Управлением в архив в марте сего 1929 г.), охаивает свою собственную работу под влиянием агитации с флота, который сам настаивал на многом и даже большем, что теперь опорочивает.</w:t>
      </w:r>
    </w:p>
    <w:p w14:paraId="7C0BFC09" w14:textId="77777777" w:rsidR="008456F2" w:rsidRPr="00A259BD" w:rsidRDefault="008456F2" w:rsidP="009236E3">
      <w:pPr>
        <w:pStyle w:val="rtejustify"/>
        <w:spacing w:before="0" w:after="0"/>
        <w:rPr>
          <w:color w:val="000000" w:themeColor="text1"/>
          <w:sz w:val="16"/>
          <w:szCs w:val="16"/>
        </w:rPr>
      </w:pPr>
      <w:r w:rsidRPr="00A259BD">
        <w:rPr>
          <w:color w:val="000000" w:themeColor="text1"/>
          <w:sz w:val="16"/>
          <w:szCs w:val="16"/>
        </w:rPr>
        <w:t xml:space="preserve">Проект был изготовлен и выпущен в работу с такими же подробностями, как это было принято и для довоенной, и военной практики </w:t>
      </w:r>
      <w:proofErr w:type="spellStart"/>
      <w:r w:rsidRPr="00A259BD">
        <w:rPr>
          <w:color w:val="000000" w:themeColor="text1"/>
          <w:sz w:val="16"/>
          <w:szCs w:val="16"/>
        </w:rPr>
        <w:t>Балтвода</w:t>
      </w:r>
      <w:proofErr w:type="spellEnd"/>
      <w:r w:rsidRPr="00A259BD">
        <w:rPr>
          <w:color w:val="000000" w:themeColor="text1"/>
          <w:sz w:val="16"/>
          <w:szCs w:val="16"/>
        </w:rPr>
        <w:t xml:space="preserve">, и тогда сомнений не внушало. Но тогда у </w:t>
      </w:r>
      <w:proofErr w:type="spellStart"/>
      <w:r w:rsidRPr="00A259BD">
        <w:rPr>
          <w:color w:val="000000" w:themeColor="text1"/>
          <w:sz w:val="16"/>
          <w:szCs w:val="16"/>
        </w:rPr>
        <w:t>Балтвода</w:t>
      </w:r>
      <w:proofErr w:type="spellEnd"/>
      <w:r w:rsidRPr="00A259BD">
        <w:rPr>
          <w:color w:val="000000" w:themeColor="text1"/>
          <w:sz w:val="16"/>
          <w:szCs w:val="16"/>
        </w:rPr>
        <w:t xml:space="preserve"> было мощное, крепко спаянное Техническо-проектировочное бюро, имевшее во главе «шефом» творца наших подлодок «Барсов» профессора </w:t>
      </w:r>
      <w:hyperlink r:id="rId58" w:history="1">
        <w:r w:rsidRPr="00A259BD">
          <w:rPr>
            <w:color w:val="000000" w:themeColor="text1"/>
            <w:sz w:val="16"/>
            <w:szCs w:val="16"/>
          </w:rPr>
          <w:t>И. Г. Бубнова</w:t>
        </w:r>
      </w:hyperlink>
      <w:r w:rsidRPr="00A259BD">
        <w:rPr>
          <w:color w:val="000000" w:themeColor="text1"/>
          <w:sz w:val="16"/>
          <w:szCs w:val="16"/>
        </w:rPr>
        <w:t xml:space="preserve">, а теперь приходиться бороться с бесталанной администрацией </w:t>
      </w:r>
      <w:proofErr w:type="spellStart"/>
      <w:r w:rsidRPr="00A259BD">
        <w:rPr>
          <w:color w:val="000000" w:themeColor="text1"/>
          <w:sz w:val="16"/>
          <w:szCs w:val="16"/>
        </w:rPr>
        <w:t>Балтвода</w:t>
      </w:r>
      <w:proofErr w:type="spellEnd"/>
      <w:r w:rsidRPr="00A259BD">
        <w:rPr>
          <w:color w:val="000000" w:themeColor="text1"/>
          <w:sz w:val="16"/>
          <w:szCs w:val="16"/>
        </w:rPr>
        <w:t xml:space="preserve"> за каждого чертежника;</w:t>
      </w:r>
    </w:p>
    <w:p w14:paraId="72D0DCB4" w14:textId="77777777" w:rsidR="008456F2" w:rsidRPr="00A259BD" w:rsidRDefault="008456F2" w:rsidP="009236E3">
      <w:pPr>
        <w:pStyle w:val="rtejustify"/>
        <w:spacing w:before="0" w:after="0"/>
        <w:rPr>
          <w:color w:val="000000" w:themeColor="text1"/>
          <w:sz w:val="16"/>
          <w:szCs w:val="16"/>
        </w:rPr>
      </w:pPr>
      <w:r w:rsidRPr="00A259BD">
        <w:rPr>
          <w:color w:val="000000" w:themeColor="text1"/>
          <w:sz w:val="16"/>
          <w:szCs w:val="16"/>
        </w:rPr>
        <w:t>г) выводы из рассмотрения проектов итальянских Техническое управление посылает НТКМ, заводам и действующим флотам для приведения их в равновесие по отношению к достоинствам подлодок I очереди;</w:t>
      </w:r>
    </w:p>
    <w:p w14:paraId="51AFD3E9" w14:textId="77777777" w:rsidR="008456F2" w:rsidRPr="00A259BD" w:rsidRDefault="008456F2" w:rsidP="009236E3">
      <w:pPr>
        <w:pStyle w:val="rtejustify"/>
        <w:spacing w:before="0" w:after="0"/>
        <w:rPr>
          <w:color w:val="000000" w:themeColor="text1"/>
          <w:sz w:val="16"/>
          <w:szCs w:val="16"/>
        </w:rPr>
      </w:pPr>
      <w:r w:rsidRPr="00A259BD">
        <w:rPr>
          <w:color w:val="000000" w:themeColor="text1"/>
          <w:sz w:val="16"/>
          <w:szCs w:val="16"/>
        </w:rPr>
        <w:t>д) я считаю с полной ответственностью, что опыт итальянский и японский, построенный на грандиозном германском боевом опыте мировой войны, не мог дать неудовлетворительных результатов и может и для нас служить удовлетворительным образцом.</w:t>
      </w:r>
    </w:p>
    <w:p w14:paraId="6161687C" w14:textId="77777777" w:rsidR="008456F2" w:rsidRPr="00A259BD" w:rsidRDefault="008456F2" w:rsidP="009236E3">
      <w:pPr>
        <w:pStyle w:val="rtejustify"/>
        <w:spacing w:before="0" w:after="0"/>
        <w:rPr>
          <w:color w:val="000000" w:themeColor="text1"/>
          <w:sz w:val="16"/>
          <w:szCs w:val="16"/>
        </w:rPr>
      </w:pPr>
      <w:r w:rsidRPr="00A259BD">
        <w:rPr>
          <w:color w:val="000000" w:themeColor="text1"/>
          <w:sz w:val="16"/>
          <w:szCs w:val="16"/>
        </w:rPr>
        <w:t>С другой стороны, нам не известно, что предпринято и англичанами после того, как они изучили не только свой, но и немецкий опыт мировой войны. Все-таки на «Л-55» многое слишком просто трактовано.</w:t>
      </w:r>
    </w:p>
    <w:p w14:paraId="70F24AE4" w14:textId="77777777" w:rsidR="008456F2" w:rsidRPr="00A259BD" w:rsidRDefault="008456F2" w:rsidP="009236E3">
      <w:pPr>
        <w:pStyle w:val="rtejustify"/>
        <w:spacing w:before="0" w:after="0"/>
        <w:rPr>
          <w:color w:val="000000" w:themeColor="text1"/>
          <w:sz w:val="16"/>
          <w:szCs w:val="16"/>
        </w:rPr>
      </w:pPr>
      <w:r w:rsidRPr="00A259BD">
        <w:rPr>
          <w:color w:val="000000" w:themeColor="text1"/>
          <w:sz w:val="16"/>
          <w:szCs w:val="16"/>
        </w:rPr>
        <w:t>Основной вопрос это — вентиляция аккумуляторной батареи. У итальянцев он везде повторяется таким, каким принят нами для I очереди (а также американским флотом, итальянским, японским и немецким): вентиляция отдельных элементов плюс вентиляция аккумуляторных ям, не ограничиваясь вентиляцией только аккумуляторных ям, что делаем мы на II очереди в подражание англичанам.</w:t>
      </w:r>
    </w:p>
    <w:p w14:paraId="1A2FF19C" w14:textId="77777777" w:rsidR="008456F2" w:rsidRPr="00A259BD" w:rsidRDefault="008456F2" w:rsidP="009236E3">
      <w:pPr>
        <w:pStyle w:val="rtejustify"/>
        <w:spacing w:before="0" w:after="0"/>
        <w:rPr>
          <w:color w:val="000000" w:themeColor="text1"/>
          <w:sz w:val="16"/>
          <w:szCs w:val="16"/>
        </w:rPr>
      </w:pPr>
      <w:r w:rsidRPr="00A259BD">
        <w:rPr>
          <w:color w:val="000000" w:themeColor="text1"/>
          <w:sz w:val="16"/>
          <w:szCs w:val="16"/>
        </w:rPr>
        <w:t>Мы выигрываем в удобстве размещения команды — это факт, но не проигрываем ли в безопасности обращения с аккумуляторной батареей — это вопрос;</w:t>
      </w:r>
    </w:p>
    <w:p w14:paraId="3C54ACFD" w14:textId="77777777" w:rsidR="008456F2" w:rsidRPr="00A259BD" w:rsidRDefault="008456F2" w:rsidP="009236E3">
      <w:pPr>
        <w:pStyle w:val="rtejustify"/>
        <w:spacing w:before="0" w:after="0"/>
        <w:rPr>
          <w:color w:val="000000" w:themeColor="text1"/>
          <w:sz w:val="16"/>
          <w:szCs w:val="16"/>
        </w:rPr>
      </w:pPr>
      <w:r w:rsidRPr="00A259BD">
        <w:rPr>
          <w:color w:val="000000" w:themeColor="text1"/>
          <w:sz w:val="16"/>
          <w:szCs w:val="16"/>
        </w:rPr>
        <w:t>е) мною запрошено IV Управление Штаба РККА¹* о присылке проектов самых последних итальянских подлодок типа «</w:t>
      </w:r>
      <w:proofErr w:type="spellStart"/>
      <w:r w:rsidRPr="00A259BD">
        <w:rPr>
          <w:color w:val="000000" w:themeColor="text1"/>
          <w:sz w:val="16"/>
          <w:szCs w:val="16"/>
        </w:rPr>
        <w:t>Шквало</w:t>
      </w:r>
      <w:proofErr w:type="spellEnd"/>
      <w:r w:rsidRPr="00A259BD">
        <w:rPr>
          <w:color w:val="000000" w:themeColor="text1"/>
          <w:sz w:val="16"/>
          <w:szCs w:val="16"/>
        </w:rPr>
        <w:t>» (только приступлено к постройке).</w:t>
      </w:r>
    </w:p>
    <w:p w14:paraId="177D2C0C" w14:textId="77777777" w:rsidR="008456F2" w:rsidRPr="00A259BD" w:rsidRDefault="008456F2" w:rsidP="009236E3">
      <w:pPr>
        <w:pStyle w:val="ae"/>
        <w:spacing w:before="0" w:after="0"/>
        <w:jc w:val="both"/>
        <w:rPr>
          <w:color w:val="000000" w:themeColor="text1"/>
          <w:sz w:val="16"/>
          <w:szCs w:val="16"/>
        </w:rPr>
      </w:pPr>
      <w:proofErr w:type="spellStart"/>
      <w:r w:rsidRPr="00A259BD">
        <w:rPr>
          <w:rStyle w:val="af0"/>
          <w:i w:val="0"/>
          <w:color w:val="000000" w:themeColor="text1"/>
          <w:sz w:val="16"/>
          <w:szCs w:val="16"/>
        </w:rPr>
        <w:t>Намортехупр</w:t>
      </w:r>
      <w:proofErr w:type="spellEnd"/>
      <w:r w:rsidRPr="00A259BD">
        <w:rPr>
          <w:rStyle w:val="af0"/>
          <w:i w:val="0"/>
          <w:color w:val="000000" w:themeColor="text1"/>
          <w:sz w:val="16"/>
          <w:szCs w:val="16"/>
        </w:rPr>
        <w:t xml:space="preserve"> </w:t>
      </w:r>
      <w:hyperlink r:id="rId59" w:history="1">
        <w:r w:rsidRPr="00A259BD">
          <w:rPr>
            <w:rStyle w:val="af0"/>
            <w:i w:val="0"/>
            <w:color w:val="000000" w:themeColor="text1"/>
            <w:sz w:val="16"/>
            <w:szCs w:val="16"/>
          </w:rPr>
          <w:t>Власьев</w:t>
        </w:r>
      </w:hyperlink>
    </w:p>
    <w:p w14:paraId="380F7C6F" w14:textId="77777777" w:rsidR="008456F2" w:rsidRPr="00A259BD" w:rsidRDefault="008456F2"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Примечание:</w:t>
      </w:r>
    </w:p>
    <w:p w14:paraId="45259161" w14:textId="77777777" w:rsidR="008456F2" w:rsidRPr="00A259BD" w:rsidRDefault="008456F2" w:rsidP="009236E3">
      <w:pPr>
        <w:pStyle w:val="rtejustify"/>
        <w:spacing w:before="0" w:after="0"/>
        <w:rPr>
          <w:color w:val="000000" w:themeColor="text1"/>
          <w:sz w:val="16"/>
          <w:szCs w:val="16"/>
        </w:rPr>
      </w:pPr>
      <w:r w:rsidRPr="00A259BD">
        <w:rPr>
          <w:color w:val="000000" w:themeColor="text1"/>
          <w:sz w:val="16"/>
          <w:szCs w:val="16"/>
        </w:rPr>
        <w:t>1* </w:t>
      </w:r>
      <w:r w:rsidRPr="00A259BD">
        <w:rPr>
          <w:rStyle w:val="af0"/>
          <w:i w:val="0"/>
          <w:color w:val="000000" w:themeColor="text1"/>
          <w:sz w:val="16"/>
          <w:szCs w:val="16"/>
        </w:rPr>
        <w:t>IV Управление штаба РККА.</w:t>
      </w:r>
      <w:r w:rsidRPr="00A259BD">
        <w:rPr>
          <w:color w:val="000000" w:themeColor="text1"/>
          <w:sz w:val="16"/>
          <w:szCs w:val="16"/>
        </w:rPr>
        <w:t xml:space="preserve"> С сентября 1926 г. Разведывательное управление (</w:t>
      </w:r>
      <w:proofErr w:type="spellStart"/>
      <w:r w:rsidRPr="00A259BD">
        <w:rPr>
          <w:color w:val="000000" w:themeColor="text1"/>
          <w:sz w:val="16"/>
          <w:szCs w:val="16"/>
        </w:rPr>
        <w:t>Разведупр</w:t>
      </w:r>
      <w:proofErr w:type="spellEnd"/>
      <w:r w:rsidRPr="00A259BD">
        <w:rPr>
          <w:color w:val="000000" w:themeColor="text1"/>
          <w:sz w:val="16"/>
          <w:szCs w:val="16"/>
        </w:rPr>
        <w:t>) стало именоваться IV Управлением Штаба РККА. Одним из приоритетных направлений деятельности IV Управления во второй половине 20</w:t>
      </w:r>
      <w:r w:rsidRPr="00A259BD">
        <w:rPr>
          <w:color w:val="000000" w:themeColor="text1"/>
          <w:sz w:val="16"/>
          <w:szCs w:val="16"/>
        </w:rPr>
        <w:noBreakHyphen/>
        <w:t>х гг. была военно-техническая разведка. Помимо агентурной разведки, задания в военно-технической области выполняли созданные в конце 20</w:t>
      </w:r>
      <w:r w:rsidRPr="00A259BD">
        <w:rPr>
          <w:color w:val="000000" w:themeColor="text1"/>
          <w:sz w:val="16"/>
          <w:szCs w:val="16"/>
        </w:rPr>
        <w:noBreakHyphen/>
        <w:t>х гг. инженерные отделы торговых представительств СССР за рубежом. Наряду с закупками всего необходимого для РККА (от новейшей военной техники до предметов культурно-бытового назначения), им предписывалось «собирать, проверять, систематизировать и изучать все материалы о новых научно-технических усовершенствованиях и достижениях, как применяемых, так и могущих быть примененными для военных целей и обороны страны». Осознание высшим военным руководством необходимости этого вида разведки было подтверждено выделением IV Управлению в 1930 г. дополнительных кредитов на ее ведение. Кроме того, заинтересованные учреждения должны были выделять деньги военной разведке на приобретение конкретных технических материалов и образцов. В 1930</w:t>
      </w:r>
      <w:r w:rsidRPr="00A259BD">
        <w:rPr>
          <w:color w:val="000000" w:themeColor="text1"/>
          <w:sz w:val="16"/>
          <w:szCs w:val="16"/>
        </w:rPr>
        <w:noBreakHyphen/>
        <w:t>1934 гг. структура центрального аппарата военной разведки существенно не менялась.</w:t>
      </w:r>
    </w:p>
    <w:p w14:paraId="4D471506" w14:textId="77777777" w:rsidR="008456F2" w:rsidRPr="00A259BD" w:rsidRDefault="008456F2" w:rsidP="009236E3">
      <w:pPr>
        <w:pStyle w:val="ae"/>
        <w:spacing w:before="0" w:after="0"/>
        <w:jc w:val="both"/>
        <w:rPr>
          <w:color w:val="000000" w:themeColor="text1"/>
          <w:sz w:val="16"/>
          <w:szCs w:val="16"/>
        </w:rPr>
      </w:pPr>
      <w:r w:rsidRPr="00A259BD">
        <w:rPr>
          <w:color w:val="000000" w:themeColor="text1"/>
          <w:sz w:val="16"/>
          <w:szCs w:val="16"/>
        </w:rPr>
        <w:t>РГАВМФ. Ф. р-360. Оп. 2. Д. 688. Л. 62—62об. Подлинник.</w:t>
      </w:r>
    </w:p>
    <w:p w14:paraId="3AFE5867"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РГАВМФ. Ф. р-360. Оп. 2. Д. 688. Л. 62—62 об. Подлинник. </w:t>
      </w:r>
    </w:p>
    <w:p w14:paraId="4A923D5C"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324-325 (12455).</w:t>
      </w:r>
    </w:p>
    <w:p w14:paraId="6748D95F" w14:textId="77777777" w:rsidR="008456F2" w:rsidRPr="00A259BD" w:rsidRDefault="008456F2" w:rsidP="009236E3">
      <w:pPr>
        <w:spacing w:after="0" w:line="240" w:lineRule="auto"/>
        <w:jc w:val="both"/>
        <w:rPr>
          <w:rFonts w:ascii="Times New Roman" w:hAnsi="Times New Roman"/>
          <w:color w:val="000000" w:themeColor="text1"/>
          <w:sz w:val="16"/>
          <w:szCs w:val="16"/>
        </w:rPr>
      </w:pPr>
    </w:p>
    <w:p w14:paraId="70C80161" w14:textId="77777777" w:rsidR="004B1BEB"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43E9C758" w14:textId="77777777" w:rsidR="004B1BEB" w:rsidRPr="00A259BD" w:rsidRDefault="004B1BE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A916464" w14:textId="77777777" w:rsidR="004B1BEB" w:rsidRPr="00A259BD" w:rsidRDefault="004B1BEB"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28 мая</w:t>
      </w:r>
      <w:r w:rsidRPr="00A259BD">
        <w:rPr>
          <w:rFonts w:ascii="Times New Roman" w:hAnsi="Times New Roman"/>
          <w:color w:val="000000" w:themeColor="text1"/>
          <w:sz w:val="16"/>
          <w:szCs w:val="16"/>
        </w:rPr>
        <w:t xml:space="preserve"> в 1929 году в Москве начал свою работу Пятый Съезд Советов СССР, на котором был принят первый 5-летний план (14905).</w:t>
      </w:r>
    </w:p>
    <w:p w14:paraId="36C53FF9" w14:textId="77777777" w:rsidR="004B1BEB" w:rsidRPr="00A259BD" w:rsidRDefault="004B1BEB" w:rsidP="009236E3">
      <w:pPr>
        <w:spacing w:after="0" w:line="240" w:lineRule="auto"/>
        <w:jc w:val="both"/>
        <w:rPr>
          <w:rFonts w:ascii="Times New Roman" w:hAnsi="Times New Roman"/>
          <w:color w:val="000000" w:themeColor="text1"/>
          <w:sz w:val="16"/>
          <w:szCs w:val="16"/>
        </w:rPr>
      </w:pPr>
    </w:p>
    <w:p w14:paraId="4833FFC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DE9859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2B5A5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мая 1929 г. Советским правительством было принято постановление «О приступе к постройке тракторного завода на Урале», конкретно – в г. Челябинске…. И уже 16 октября 1929 г. Э.И. Гуревич переходит на работу в Государственный институт по проектированию металлических заводов (Гипромез), где началось проектирование Челябинского тракторного завода (ЧТЗ). Это была одна из крупнейших строек – первенцев «сталинских пятилеток». На страницах газет появились необычные названия: </w:t>
      </w:r>
      <w:proofErr w:type="spellStart"/>
      <w:r w:rsidRPr="00A259BD">
        <w:rPr>
          <w:rFonts w:ascii="Times New Roman" w:hAnsi="Times New Roman"/>
          <w:color w:val="000000" w:themeColor="text1"/>
          <w:sz w:val="16"/>
          <w:szCs w:val="16"/>
        </w:rPr>
        <w:t>Днепрострой</w:t>
      </w:r>
      <w:proofErr w:type="spellEnd"/>
      <w:r w:rsidRPr="00A259BD">
        <w:rPr>
          <w:rFonts w:ascii="Times New Roman" w:hAnsi="Times New Roman"/>
          <w:color w:val="000000" w:themeColor="text1"/>
          <w:sz w:val="16"/>
          <w:szCs w:val="16"/>
        </w:rPr>
        <w:t xml:space="preserve">, Магнитострой, </w:t>
      </w:r>
      <w:proofErr w:type="spellStart"/>
      <w:r w:rsidRPr="00A259BD">
        <w:rPr>
          <w:rFonts w:ascii="Times New Roman" w:hAnsi="Times New Roman"/>
          <w:color w:val="000000" w:themeColor="text1"/>
          <w:sz w:val="16"/>
          <w:szCs w:val="16"/>
        </w:rPr>
        <w:t>Тракторострой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Челябтракторострой</w:t>
      </w:r>
      <w:proofErr w:type="spellEnd"/>
      <w:r w:rsidRPr="00A259BD">
        <w:rPr>
          <w:rFonts w:ascii="Times New Roman" w:hAnsi="Times New Roman"/>
          <w:color w:val="000000" w:themeColor="text1"/>
          <w:sz w:val="16"/>
          <w:szCs w:val="16"/>
        </w:rPr>
        <w:t xml:space="preserve"> (ЧТС) – это будущий ЧТЗ. С него началась новая история бывшего уездного города (60 тыс. жителей, двухэтажные деревянные, изредка каменные, дома, мусульманское кладбище на пересечении центральных улиц – Уфимской и Южного бульвара; эти улицы в советское время стали называться Рабоче-крестьянская и улица Спартака, позже переименованы в улицу Кирова и проспект Ленина). На том же перекрестке, наискосок от кладбища, когда-то был челябинский острог (остановочный пункт знаменитого Владимирского тракта, как стрела устремленного в Сибирь), потом на его месте воздвигли не что иное, как обком партии, теперь там банк. Летом была выбрана площадка для строительства завода в 7 км к востоку от Челябинска, юго-западнее озера Первого, и глубокой осенью 1929 г. на пустыре за болотом появились первые деревянные колышки. Район между городом и будущим заводом, впоследствии названный Тракторозаводским, был поделен на участки. Выросли сначала палатки, за ними барачные поселки 2-го участка для потянувшихся на стройку вчерашних крестьян из окрестных русских, башкирских и татарских деревень, демобилизованных красноармейцев, «подкулачников», «раскулаченных» и просто безработных из других мест. Позже, уже в конце войны, вдоль бараков были устроены из бракованных чугунных плит неширокие «тротуары», вернее, дорожки, что придавало топким </w:t>
      </w:r>
      <w:proofErr w:type="spellStart"/>
      <w:r w:rsidRPr="00A259BD">
        <w:rPr>
          <w:rFonts w:ascii="Times New Roman" w:hAnsi="Times New Roman"/>
          <w:color w:val="000000" w:themeColor="text1"/>
          <w:sz w:val="16"/>
          <w:szCs w:val="16"/>
        </w:rPr>
        <w:t>незамощенным</w:t>
      </w:r>
      <w:proofErr w:type="spellEnd"/>
      <w:r w:rsidRPr="00A259BD">
        <w:rPr>
          <w:rFonts w:ascii="Times New Roman" w:hAnsi="Times New Roman"/>
          <w:color w:val="000000" w:themeColor="text1"/>
          <w:sz w:val="16"/>
          <w:szCs w:val="16"/>
        </w:rPr>
        <w:t xml:space="preserve"> улицам (если можно их так назвать) уникальный колорит (эти бараки и эти «тротуары» дожили даже до 60-х – 70-х годов). Ближе к городу, на 7-м участке, начали строить шлакоблочные дома для инженерно-технических работников (ИТР) и кирпичные – для приглашенных иностранных рабочих и специалистов (такие дома, с паровым отоплением и прочими удобствами, в просторечии называли «дома </w:t>
      </w:r>
      <w:proofErr w:type="spellStart"/>
      <w:r w:rsidRPr="00A259BD">
        <w:rPr>
          <w:rFonts w:ascii="Times New Roman" w:hAnsi="Times New Roman"/>
          <w:color w:val="000000" w:themeColor="text1"/>
          <w:sz w:val="16"/>
          <w:szCs w:val="16"/>
        </w:rPr>
        <w:t>Инорса</w:t>
      </w:r>
      <w:proofErr w:type="spellEnd"/>
      <w:r w:rsidRPr="00A259BD">
        <w:rPr>
          <w:rFonts w:ascii="Times New Roman" w:hAnsi="Times New Roman"/>
          <w:color w:val="000000" w:themeColor="text1"/>
          <w:sz w:val="16"/>
          <w:szCs w:val="16"/>
        </w:rPr>
        <w:t>»). Забегая вперед, скажем, что почти все сами «</w:t>
      </w:r>
      <w:proofErr w:type="spellStart"/>
      <w:r w:rsidRPr="00A259BD">
        <w:rPr>
          <w:rFonts w:ascii="Times New Roman" w:hAnsi="Times New Roman"/>
          <w:color w:val="000000" w:themeColor="text1"/>
          <w:sz w:val="16"/>
          <w:szCs w:val="16"/>
        </w:rPr>
        <w:t>инорсы</w:t>
      </w:r>
      <w:proofErr w:type="spellEnd"/>
      <w:r w:rsidRPr="00A259BD">
        <w:rPr>
          <w:rFonts w:ascii="Times New Roman" w:hAnsi="Times New Roman"/>
          <w:color w:val="000000" w:themeColor="text1"/>
          <w:sz w:val="16"/>
          <w:szCs w:val="16"/>
        </w:rPr>
        <w:t>», среди которых было много немецких и австрийских коммунистов, бежавших от Гитлера, через несколько лет были репрессированы, многие из них расстреляны…Тем временем в здание ленинградского Гипромеза – дом № 76 на набережной Фонтанки – внесли (вернее сказать, втащили) доставленный на пароходе из США (тогда говорили и писали «САСШ») трактор фирмы «Катерпиллер», разобрали его на части и стали изучать. Многое из полученной таким образом информации потом очень пригодилось; но гораздо больше новшеств предстояло в ближайшем будущем советским инженерам изобрести и производить самим…. До 1930 г. в СССР практически не существовало собственных тракторных заводов. Тракторы в Союзе были только колесные типа ФП (Фордзон-Путиловец), работавшие на лигроине, выпускались они серийно Путиловским заводом в Ленинграде. Да еще несколько заводов производили небольшие партии слабосильных (25 и 48 л. с.) тракторов [13], в том числе Харьковский паровозостроительный им. Коминтерна выпускал гусеничные тракторы типа «Коммунар». В короткое время (всего лишь за 50 дней!) при участии Э.И. Гуревича, А.Ю. Божко и других ленинградских инженеров был разработан эскизный проект ЧТЗ.  (11811).</w:t>
      </w:r>
    </w:p>
    <w:p w14:paraId="1D9079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954F53"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мая 1929 г. СНК СССР принял Постановление «О приступе к постройке тракторного завода на Урале». Для строительства нового завода в Челябинске была создана организация «</w:t>
      </w:r>
      <w:proofErr w:type="spellStart"/>
      <w:r w:rsidRPr="00A259BD">
        <w:rPr>
          <w:rFonts w:ascii="Times New Roman" w:hAnsi="Times New Roman"/>
          <w:color w:val="000000" w:themeColor="text1"/>
          <w:sz w:val="16"/>
          <w:szCs w:val="16"/>
        </w:rPr>
        <w:t>Челябтракторстрой</w:t>
      </w:r>
      <w:proofErr w:type="spellEnd"/>
      <w:r w:rsidRPr="00A259BD">
        <w:rPr>
          <w:rFonts w:ascii="Times New Roman" w:hAnsi="Times New Roman"/>
          <w:color w:val="000000" w:themeColor="text1"/>
          <w:sz w:val="16"/>
          <w:szCs w:val="16"/>
        </w:rPr>
        <w:t>» (ЧТС).</w:t>
      </w:r>
    </w:p>
    <w:p w14:paraId="5D110934"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изначально проектировался как универсальный, способный в случае необходимости менять объекты производства, что определило создание развитого инструментального и литейного производства, формирование широкого парка станочного оборудования и привлечение большого количества как специалистов (в том числе из-за рубежа), так и неквалифицированной рабочей силы с обучением и подготовкой кадров на месте. В проекты корпусов заранее закладывались просторные участки с широкими пролетами, межцеховые магистрали. Параллельно строительству завода возводилось жилье и необходимые объекты инфраструктуры (12258).</w:t>
      </w:r>
    </w:p>
    <w:p w14:paraId="719AF8DD" w14:textId="77777777" w:rsidR="008456F2" w:rsidRPr="00A259BD" w:rsidRDefault="008456F2" w:rsidP="009236E3">
      <w:pPr>
        <w:spacing w:after="0" w:line="240" w:lineRule="auto"/>
        <w:jc w:val="both"/>
        <w:rPr>
          <w:rFonts w:ascii="Times New Roman" w:hAnsi="Times New Roman"/>
          <w:color w:val="000000" w:themeColor="text1"/>
          <w:sz w:val="16"/>
          <w:szCs w:val="16"/>
        </w:rPr>
      </w:pPr>
    </w:p>
    <w:p w14:paraId="614A227B"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29 мая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СНК принял постановление «О приступе к постройке тракторного завода на Урале» (12265).</w:t>
      </w:r>
    </w:p>
    <w:p w14:paraId="7419AD9C"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18262D37"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мая 1929 г. Протокол заседания Президиума ВСНХ СССР. 516. Об организации Южного судостроительного треста (РГАЭ. Ф. 3429. Оп. 1. Д. 5162. Л. 90 об.) (12417).</w:t>
      </w:r>
    </w:p>
    <w:p w14:paraId="0BA14E0E" w14:textId="77777777" w:rsidR="008456F2" w:rsidRPr="00A259BD" w:rsidRDefault="008456F2" w:rsidP="009236E3">
      <w:pPr>
        <w:spacing w:after="0" w:line="240" w:lineRule="auto"/>
        <w:jc w:val="both"/>
        <w:rPr>
          <w:rFonts w:ascii="Times New Roman" w:hAnsi="Times New Roman"/>
          <w:color w:val="000000" w:themeColor="text1"/>
          <w:sz w:val="16"/>
          <w:szCs w:val="16"/>
        </w:rPr>
      </w:pPr>
    </w:p>
    <w:p w14:paraId="463C35F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EEF3E7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3D21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мая 1929 состоялось совещание при совете по ГА (протокол 3) по вопросу о введении в серию самолетов АНТ-9 и утвердили сроки, согласованные на совещании 28 мая 1929 представителей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ЦАГИ, завода 22 и Инспекции ГВФ (2341,116).</w:t>
      </w:r>
    </w:p>
    <w:p w14:paraId="433F8C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ПРОТОКОЛ № 3</w:t>
      </w:r>
    </w:p>
    <w:p w14:paraId="780E5A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совещания </w:t>
      </w:r>
      <w:proofErr w:type="spellStart"/>
      <w:r w:rsidRPr="00A259BD">
        <w:rPr>
          <w:rFonts w:ascii="Times New Roman" w:hAnsi="Times New Roman"/>
          <w:color w:val="000000" w:themeColor="text1"/>
          <w:sz w:val="16"/>
          <w:szCs w:val="16"/>
        </w:rPr>
        <w:t>присоветз</w:t>
      </w:r>
      <w:proofErr w:type="spellEnd"/>
      <w:r w:rsidRPr="00A259BD">
        <w:rPr>
          <w:rFonts w:ascii="Times New Roman" w:hAnsi="Times New Roman"/>
          <w:color w:val="000000" w:themeColor="text1"/>
          <w:sz w:val="16"/>
          <w:szCs w:val="16"/>
        </w:rPr>
        <w:t xml:space="preserve"> по </w:t>
      </w:r>
      <w:r w:rsidRPr="00A259BD">
        <w:rPr>
          <w:rFonts w:ascii="Times New Roman" w:hAnsi="Times New Roman"/>
          <w:smallCaps/>
          <w:color w:val="000000" w:themeColor="text1"/>
          <w:sz w:val="16"/>
          <w:szCs w:val="16"/>
        </w:rPr>
        <w:t xml:space="preserve">гражданской авиации по вопросу </w:t>
      </w:r>
      <w:proofErr w:type="spellStart"/>
      <w:r w:rsidRPr="00A259BD">
        <w:rPr>
          <w:rFonts w:ascii="Times New Roman" w:hAnsi="Times New Roman"/>
          <w:smallCaps/>
          <w:color w:val="000000" w:themeColor="text1"/>
          <w:sz w:val="16"/>
          <w:szCs w:val="16"/>
        </w:rPr>
        <w:t>овведении</w:t>
      </w:r>
      <w:proofErr w:type="spellEnd"/>
      <w:r w:rsidRPr="00A259BD">
        <w:rPr>
          <w:rFonts w:ascii="Times New Roman" w:hAnsi="Times New Roman"/>
          <w:smallCaps/>
          <w:color w:val="000000" w:themeColor="text1"/>
          <w:sz w:val="16"/>
          <w:szCs w:val="16"/>
        </w:rPr>
        <w:t xml:space="preserve"> в</w:t>
      </w:r>
      <w:r w:rsidRPr="00A259BD">
        <w:rPr>
          <w:rFonts w:ascii="Times New Roman" w:hAnsi="Times New Roman"/>
          <w:color w:val="000000" w:themeColor="text1"/>
          <w:sz w:val="16"/>
          <w:szCs w:val="16"/>
        </w:rPr>
        <w:t xml:space="preserve"> серию самолетов АНТ-9</w:t>
      </w:r>
    </w:p>
    <w:p w14:paraId="59BF65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мая 1929 г.</w:t>
      </w:r>
    </w:p>
    <w:p w14:paraId="1E95D0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Присутствовали: Зам. Пред. Совета по ГА т. Алкснис Я.И.</w:t>
      </w:r>
    </w:p>
    <w:p w14:paraId="7468462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Главн</w:t>
      </w:r>
      <w:proofErr w:type="spellEnd"/>
      <w:r w:rsidRPr="00A259BD">
        <w:rPr>
          <w:rFonts w:ascii="Times New Roman" w:hAnsi="Times New Roman"/>
          <w:color w:val="000000" w:themeColor="text1"/>
          <w:sz w:val="16"/>
          <w:szCs w:val="16"/>
        </w:rPr>
        <w:t xml:space="preserve">. Инспектор ГВФ т. </w:t>
      </w:r>
      <w:proofErr w:type="spellStart"/>
      <w:r w:rsidRPr="00A259BD">
        <w:rPr>
          <w:rFonts w:ascii="Times New Roman" w:hAnsi="Times New Roman"/>
          <w:color w:val="000000" w:themeColor="text1"/>
          <w:sz w:val="16"/>
          <w:szCs w:val="16"/>
        </w:rPr>
        <w:t>Зарзар</w:t>
      </w:r>
      <w:proofErr w:type="spellEnd"/>
      <w:r w:rsidRPr="00A259BD">
        <w:rPr>
          <w:rFonts w:ascii="Times New Roman" w:hAnsi="Times New Roman"/>
          <w:color w:val="000000" w:themeColor="text1"/>
          <w:sz w:val="16"/>
          <w:szCs w:val="16"/>
        </w:rPr>
        <w:t xml:space="preserve"> В.А.</w:t>
      </w:r>
    </w:p>
    <w:p w14:paraId="5F58E88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ЦАГИ -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Озеров, </w:t>
      </w:r>
      <w:proofErr w:type="spellStart"/>
      <w:r w:rsidRPr="00A259BD">
        <w:rPr>
          <w:rFonts w:ascii="Times New Roman" w:hAnsi="Times New Roman"/>
          <w:color w:val="000000" w:themeColor="text1"/>
          <w:sz w:val="16"/>
          <w:szCs w:val="16"/>
        </w:rPr>
        <w:t>Погосский</w:t>
      </w:r>
      <w:proofErr w:type="spellEnd"/>
      <w:r w:rsidRPr="00A259BD">
        <w:rPr>
          <w:rFonts w:ascii="Times New Roman" w:hAnsi="Times New Roman"/>
          <w:color w:val="000000" w:themeColor="text1"/>
          <w:sz w:val="16"/>
          <w:szCs w:val="16"/>
        </w:rPr>
        <w:t xml:space="preserve"> И.И., </w:t>
      </w:r>
      <w:proofErr w:type="spellStart"/>
      <w:r w:rsidRPr="00A259BD">
        <w:rPr>
          <w:rFonts w:ascii="Times New Roman" w:hAnsi="Times New Roman"/>
          <w:color w:val="000000" w:themeColor="text1"/>
          <w:sz w:val="16"/>
          <w:szCs w:val="16"/>
        </w:rPr>
        <w:t>Погосский</w:t>
      </w:r>
      <w:proofErr w:type="spellEnd"/>
      <w:r w:rsidRPr="00A259BD">
        <w:rPr>
          <w:rFonts w:ascii="Times New Roman" w:hAnsi="Times New Roman"/>
          <w:color w:val="000000" w:themeColor="text1"/>
          <w:sz w:val="16"/>
          <w:szCs w:val="16"/>
        </w:rPr>
        <w:t xml:space="preserve"> Е.И., Архангельский, Чернышев, Инюшин</w:t>
      </w:r>
    </w:p>
    <w:p w14:paraId="70DCE46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lastRenderedPageBreak/>
        <w:t>Авиатрест</w:t>
      </w:r>
      <w:proofErr w:type="spellEnd"/>
      <w:r w:rsidRPr="00A259BD">
        <w:rPr>
          <w:rFonts w:ascii="Times New Roman" w:hAnsi="Times New Roman"/>
          <w:color w:val="000000" w:themeColor="text1"/>
          <w:sz w:val="16"/>
          <w:szCs w:val="16"/>
        </w:rPr>
        <w:t xml:space="preserve"> - т. </w:t>
      </w:r>
      <w:proofErr w:type="spellStart"/>
      <w:r w:rsidRPr="00A259BD">
        <w:rPr>
          <w:rFonts w:ascii="Times New Roman" w:hAnsi="Times New Roman"/>
          <w:color w:val="000000" w:themeColor="text1"/>
          <w:sz w:val="16"/>
          <w:szCs w:val="16"/>
        </w:rPr>
        <w:t>Окромешко</w:t>
      </w:r>
      <w:proofErr w:type="spellEnd"/>
      <w:r w:rsidRPr="00A259BD">
        <w:rPr>
          <w:rFonts w:ascii="Times New Roman" w:hAnsi="Times New Roman"/>
          <w:color w:val="000000" w:themeColor="text1"/>
          <w:sz w:val="16"/>
          <w:szCs w:val="16"/>
        </w:rPr>
        <w:t xml:space="preserve"> Н.В.</w:t>
      </w:r>
    </w:p>
    <w:p w14:paraId="6532EB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Инспектор ГВФ т. Ангелов</w:t>
      </w:r>
    </w:p>
    <w:p w14:paraId="6D8A344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Председатель - </w:t>
      </w:r>
      <w:proofErr w:type="spellStart"/>
      <w:r w:rsidRPr="00A259BD">
        <w:rPr>
          <w:rFonts w:ascii="Times New Roman" w:hAnsi="Times New Roman"/>
          <w:color w:val="000000" w:themeColor="text1"/>
          <w:sz w:val="16"/>
          <w:szCs w:val="16"/>
        </w:rPr>
        <w:t>Я.И.Алкснис</w:t>
      </w:r>
      <w:proofErr w:type="spellEnd"/>
    </w:p>
    <w:p w14:paraId="6A0495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Секретарь - </w:t>
      </w:r>
      <w:proofErr w:type="spellStart"/>
      <w:r w:rsidRPr="00A259BD">
        <w:rPr>
          <w:rFonts w:ascii="Times New Roman" w:hAnsi="Times New Roman"/>
          <w:color w:val="000000" w:themeColor="text1"/>
          <w:sz w:val="16"/>
          <w:szCs w:val="16"/>
        </w:rPr>
        <w:t>А.Д.Ангелов</w:t>
      </w:r>
      <w:proofErr w:type="spellEnd"/>
    </w:p>
    <w:p w14:paraId="4CF01B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w:t>
      </w:r>
    </w:p>
    <w:p w14:paraId="326708D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Утвердить сроки </w:t>
      </w:r>
      <w:proofErr w:type="spellStart"/>
      <w:r w:rsidRPr="00A259BD">
        <w:rPr>
          <w:rFonts w:ascii="Times New Roman" w:hAnsi="Times New Roman"/>
          <w:color w:val="000000" w:themeColor="text1"/>
          <w:sz w:val="16"/>
          <w:szCs w:val="16"/>
        </w:rPr>
        <w:t>сдачт</w:t>
      </w:r>
      <w:proofErr w:type="spellEnd"/>
      <w:r w:rsidRPr="00A259BD">
        <w:rPr>
          <w:rFonts w:ascii="Times New Roman" w:hAnsi="Times New Roman"/>
          <w:color w:val="000000" w:themeColor="text1"/>
          <w:sz w:val="16"/>
          <w:szCs w:val="16"/>
        </w:rPr>
        <w:t xml:space="preserve"> чертежей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самолетов "АНТ-9", согласно протоколу совещания представителей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ЦАГИ, </w:t>
      </w:r>
      <w:proofErr w:type="spellStart"/>
      <w:r w:rsidRPr="00A259BD">
        <w:rPr>
          <w:rFonts w:ascii="Times New Roman" w:hAnsi="Times New Roman"/>
          <w:color w:val="000000" w:themeColor="text1"/>
          <w:sz w:val="16"/>
          <w:szCs w:val="16"/>
        </w:rPr>
        <w:t>аавода</w:t>
      </w:r>
      <w:proofErr w:type="spellEnd"/>
      <w:r w:rsidRPr="00A259BD">
        <w:rPr>
          <w:rFonts w:ascii="Times New Roman" w:hAnsi="Times New Roman"/>
          <w:color w:val="000000" w:themeColor="text1"/>
          <w:sz w:val="16"/>
          <w:szCs w:val="16"/>
        </w:rPr>
        <w:t xml:space="preserve"> и Инспекции ГВФ от 28 мая 1929 г. и согласно прилагаемой планировке сроков сдачи.</w:t>
      </w:r>
    </w:p>
    <w:p w14:paraId="35CA44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w:t>
      </w:r>
      <w:proofErr w:type="spellStart"/>
      <w:r w:rsidRPr="00A259BD">
        <w:rPr>
          <w:rFonts w:ascii="Times New Roman" w:hAnsi="Times New Roman"/>
          <w:color w:val="000000" w:themeColor="text1"/>
          <w:sz w:val="16"/>
          <w:szCs w:val="16"/>
        </w:rPr>
        <w:t>Исхлдя</w:t>
      </w:r>
      <w:proofErr w:type="spellEnd"/>
      <w:r w:rsidRPr="00A259BD">
        <w:rPr>
          <w:rFonts w:ascii="Times New Roman" w:hAnsi="Times New Roman"/>
          <w:color w:val="000000" w:themeColor="text1"/>
          <w:sz w:val="16"/>
          <w:szCs w:val="16"/>
        </w:rPr>
        <w:t xml:space="preserve"> из </w:t>
      </w:r>
      <w:proofErr w:type="spellStart"/>
      <w:r w:rsidRPr="00A259BD">
        <w:rPr>
          <w:rFonts w:ascii="Times New Roman" w:hAnsi="Times New Roman"/>
          <w:color w:val="000000" w:themeColor="text1"/>
          <w:sz w:val="16"/>
          <w:szCs w:val="16"/>
        </w:rPr>
        <w:t>заявленния</w:t>
      </w:r>
      <w:proofErr w:type="spellEnd"/>
      <w:r w:rsidRPr="00A259BD">
        <w:rPr>
          <w:rFonts w:ascii="Times New Roman" w:hAnsi="Times New Roman"/>
          <w:color w:val="000000" w:themeColor="text1"/>
          <w:sz w:val="16"/>
          <w:szCs w:val="16"/>
        </w:rPr>
        <w:t xml:space="preserve"> представителя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о готовности приступить к серийному производству этой машины в сроки, установленные на совещании при Совете по гр. авиации от 8 мая 1929 г. и, принимая во внимание вызов рабочих и специалистов ЦАГИ 22-му авиазаводу о производстве этих самолетов в порядке социалистического соревнования, обратиться через представителей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и ЦАГИ к партийный и профсоюзным организациям 22-го завода и ЦАГИ с этим вопросом и оформить к 15 июня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в отношении количества самолетов в сторону увеличения, а сроков выпуска в сторону уменьшения.</w:t>
      </w:r>
    </w:p>
    <w:p w14:paraId="2BB183D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w:t>
      </w:r>
      <w:proofErr w:type="spellStart"/>
      <w:r w:rsidRPr="00A259BD">
        <w:rPr>
          <w:rFonts w:ascii="Times New Roman" w:hAnsi="Times New Roman"/>
          <w:color w:val="000000" w:themeColor="text1"/>
          <w:sz w:val="16"/>
          <w:szCs w:val="16"/>
        </w:rPr>
        <w:t>Проситъ</w:t>
      </w:r>
      <w:proofErr w:type="spellEnd"/>
      <w:r w:rsidRPr="00A259BD">
        <w:rPr>
          <w:rFonts w:ascii="Times New Roman" w:hAnsi="Times New Roman"/>
          <w:color w:val="000000" w:themeColor="text1"/>
          <w:sz w:val="16"/>
          <w:szCs w:val="16"/>
        </w:rPr>
        <w:t xml:space="preserve"> представителя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соответственно с плановыми сроками </w:t>
      </w:r>
      <w:proofErr w:type="spellStart"/>
      <w:r w:rsidRPr="00A259BD">
        <w:rPr>
          <w:rFonts w:ascii="Times New Roman" w:hAnsi="Times New Roman"/>
          <w:color w:val="000000" w:themeColor="text1"/>
          <w:sz w:val="16"/>
          <w:szCs w:val="16"/>
        </w:rPr>
        <w:t>серийноро</w:t>
      </w:r>
      <w:proofErr w:type="spellEnd"/>
      <w:r w:rsidRPr="00A259BD">
        <w:rPr>
          <w:rFonts w:ascii="Times New Roman" w:hAnsi="Times New Roman"/>
          <w:color w:val="000000" w:themeColor="text1"/>
          <w:sz w:val="16"/>
          <w:szCs w:val="16"/>
        </w:rPr>
        <w:t xml:space="preserve"> выпуска самолетов "АНТ-9” изготовить пр... эту машину между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и заказчиками не позднее 10 июня.</w:t>
      </w:r>
    </w:p>
    <w:p w14:paraId="541AA2B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w:t>
      </w:r>
      <w:proofErr w:type="spellStart"/>
      <w:r w:rsidRPr="00A259BD">
        <w:rPr>
          <w:rFonts w:ascii="Times New Roman" w:hAnsi="Times New Roman"/>
          <w:color w:val="000000" w:themeColor="text1"/>
          <w:sz w:val="16"/>
          <w:szCs w:val="16"/>
        </w:rPr>
        <w:t>Цредложить</w:t>
      </w:r>
      <w:proofErr w:type="spellEnd"/>
      <w:r w:rsidRPr="00A259BD">
        <w:rPr>
          <w:rFonts w:ascii="Times New Roman" w:hAnsi="Times New Roman"/>
          <w:color w:val="000000" w:themeColor="text1"/>
          <w:sz w:val="16"/>
          <w:szCs w:val="16"/>
        </w:rPr>
        <w:t xml:space="preserve"> НТК и НИИ представить в ЦАГИ результаты испытания АНТ-9 и заключение по ним с первой серией винтов не позднее 8 нюня с момента возвращения машины из перелета в Одессу и заграницу испытания продолжить с друг ими, имеющимися в ЦАГИ винтами (2341,116).</w:t>
      </w:r>
    </w:p>
    <w:p w14:paraId="1CE062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25238F" w14:textId="77777777" w:rsidR="008456F2"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6D212A6" w14:textId="77777777" w:rsidR="008456F2" w:rsidRPr="00A259BD" w:rsidRDefault="008456F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4221AC9" w14:textId="77777777" w:rsidR="004B1BEB" w:rsidRPr="00A259BD" w:rsidRDefault="004B1BEB"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bCs/>
          <w:iCs/>
          <w:color w:val="000000" w:themeColor="text1"/>
          <w:sz w:val="16"/>
          <w:szCs w:val="16"/>
        </w:rPr>
        <w:t>30 мая 1929 г.</w:t>
      </w:r>
      <w:r w:rsidRPr="00A259BD">
        <w:rPr>
          <w:rFonts w:ascii="Times New Roman" w:hAnsi="Times New Roman"/>
          <w:color w:val="000000" w:themeColor="text1"/>
          <w:sz w:val="16"/>
          <w:szCs w:val="16"/>
        </w:rPr>
        <w:t xml:space="preserve"> Очередной допрос профессора </w:t>
      </w:r>
      <w:proofErr w:type="spellStart"/>
      <w:r w:rsidRPr="00A259BD">
        <w:rPr>
          <w:rFonts w:ascii="Times New Roman" w:hAnsi="Times New Roman"/>
          <w:color w:val="000000" w:themeColor="text1"/>
          <w:sz w:val="16"/>
          <w:szCs w:val="16"/>
        </w:rPr>
        <w:t>Е.И.Шпитальского</w:t>
      </w:r>
      <w:proofErr w:type="spellEnd"/>
      <w:r w:rsidRPr="00A259BD">
        <w:rPr>
          <w:rFonts w:ascii="Times New Roman" w:hAnsi="Times New Roman"/>
          <w:color w:val="000000" w:themeColor="text1"/>
          <w:sz w:val="16"/>
          <w:szCs w:val="16"/>
        </w:rPr>
        <w:t xml:space="preserve">, арестованного по обвинению во вредительстве. </w:t>
      </w:r>
      <w:r w:rsidRPr="00A259BD">
        <w:rPr>
          <w:rFonts w:ascii="Times New Roman" w:hAnsi="Times New Roman"/>
          <w:iCs/>
          <w:color w:val="000000" w:themeColor="text1"/>
          <w:sz w:val="16"/>
          <w:szCs w:val="16"/>
        </w:rPr>
        <w:t xml:space="preserve">«Арестованный </w:t>
      </w:r>
      <w:proofErr w:type="spellStart"/>
      <w:r w:rsidRPr="00A259BD">
        <w:rPr>
          <w:rFonts w:ascii="Times New Roman" w:hAnsi="Times New Roman"/>
          <w:iCs/>
          <w:color w:val="000000" w:themeColor="text1"/>
          <w:sz w:val="16"/>
          <w:szCs w:val="16"/>
        </w:rPr>
        <w:t>Шпитальский</w:t>
      </w:r>
      <w:proofErr w:type="spellEnd"/>
      <w:r w:rsidRPr="00A259BD">
        <w:rPr>
          <w:rFonts w:ascii="Times New Roman" w:hAnsi="Times New Roman"/>
          <w:iCs/>
          <w:color w:val="000000" w:themeColor="text1"/>
          <w:sz w:val="16"/>
          <w:szCs w:val="16"/>
        </w:rPr>
        <w:t xml:space="preserve"> показал: …Наш подход к работе носил характер использования положения для поддержания наших лабораторий, а также для проведения тех мер и предложений, которые нам лично могли принести материальные выгоды… Потребность Красной Армии была для нас объектом, на котором мы рассчитывали создать для себя блага в смысле обеспечения научной деятельности… В то же время нами не принимались меры к тому, чтобы хотя бы просто скопировать какой-либо из наиболее целесообразных и дешевых иностранных противогазов. Такой же подход был у нас по существу и к другим вопросам. В частности, по отношению к моим работам и их планам не было проявлено такой твердости, как в организации их так и при рассмотрении программ, которые диктовались бы исключительно практической целью скорейшего разрешения основных производственных вопросов.»</w:t>
      </w:r>
      <w:r w:rsidRPr="00A259BD">
        <w:rPr>
          <w:rFonts w:ascii="Times New Roman" w:hAnsi="Times New Roman"/>
          <w:color w:val="000000" w:themeColor="text1"/>
          <w:sz w:val="16"/>
          <w:szCs w:val="16"/>
        </w:rPr>
        <w:t xml:space="preserve"> За эти «деяния» профессор получил смертный приговор, который был заменен на 10-летнее заключение с отбытием срока на рабочем месте в «шарашке». Вновь обретенный з/к до самой смерти 23 ноября 1931 г. продолжал работы по созданию химического оружия в нынешнем </w:t>
      </w:r>
      <w:proofErr w:type="spellStart"/>
      <w:r w:rsidRPr="00A259BD">
        <w:rPr>
          <w:rFonts w:ascii="Times New Roman" w:hAnsi="Times New Roman"/>
          <w:color w:val="000000" w:themeColor="text1"/>
          <w:sz w:val="16"/>
          <w:szCs w:val="16"/>
        </w:rPr>
        <w:t>ГСНИИОХТе</w:t>
      </w:r>
      <w:proofErr w:type="spellEnd"/>
      <w:r w:rsidRPr="00A259BD">
        <w:rPr>
          <w:rFonts w:ascii="Times New Roman" w:hAnsi="Times New Roman"/>
          <w:color w:val="000000" w:themeColor="text1"/>
          <w:sz w:val="16"/>
          <w:szCs w:val="16"/>
        </w:rPr>
        <w:t>. Его последний подарок Родине — начало работы опытного сектора завода (1931). Использование заключенных практиковалось в этом институте вплоть до «оттепели» (17133).</w:t>
      </w:r>
    </w:p>
    <w:p w14:paraId="7B6A587F" w14:textId="77777777" w:rsidR="004B1BEB" w:rsidRPr="00A259BD" w:rsidRDefault="004B1BEB" w:rsidP="009236E3">
      <w:pPr>
        <w:shd w:val="clear" w:color="auto" w:fill="FFFFFF"/>
        <w:spacing w:after="0" w:line="240" w:lineRule="auto"/>
        <w:jc w:val="both"/>
        <w:rPr>
          <w:rFonts w:ascii="Times New Roman" w:hAnsi="Times New Roman"/>
          <w:color w:val="000000" w:themeColor="text1"/>
          <w:sz w:val="16"/>
          <w:szCs w:val="16"/>
        </w:rPr>
      </w:pPr>
    </w:p>
    <w:p w14:paraId="39D20B47" w14:textId="77777777" w:rsidR="008456F2" w:rsidRPr="00A259BD" w:rsidRDefault="008456F2"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30 мая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xml:space="preserve">. Протокол заседания Политбюро ЦК ВКП(б) № 82. 10. О состоянии и перспективах цветной металлургии (ПБ от 23 мая 1929 г., пр. № 81, п. 17) (Гулин, </w:t>
      </w:r>
      <w:proofErr w:type="spellStart"/>
      <w:r w:rsidRPr="00A259BD">
        <w:rPr>
          <w:rFonts w:ascii="Times New Roman" w:hAnsi="Times New Roman"/>
          <w:color w:val="000000" w:themeColor="text1"/>
          <w:sz w:val="16"/>
          <w:szCs w:val="16"/>
          <w:u w:color="002060"/>
        </w:rPr>
        <w:t>Савцов</w:t>
      </w:r>
      <w:proofErr w:type="spellEnd"/>
      <w:r w:rsidRPr="00A259BD">
        <w:rPr>
          <w:rFonts w:ascii="Times New Roman" w:hAnsi="Times New Roman"/>
          <w:color w:val="000000" w:themeColor="text1"/>
          <w:sz w:val="16"/>
          <w:szCs w:val="16"/>
          <w:u w:color="002060"/>
        </w:rPr>
        <w:t>, Майзель, Куйбышев, Лепсе, Шварц, Луцук). (Политбюро... Т. 1. С. 695) (12416).</w:t>
      </w:r>
    </w:p>
    <w:p w14:paraId="4A078878" w14:textId="77777777" w:rsidR="008456F2" w:rsidRPr="00A259BD" w:rsidRDefault="008456F2" w:rsidP="009236E3">
      <w:pPr>
        <w:spacing w:after="0" w:line="240" w:lineRule="auto"/>
        <w:jc w:val="both"/>
        <w:rPr>
          <w:rFonts w:ascii="Times New Roman" w:hAnsi="Times New Roman"/>
          <w:color w:val="000000" w:themeColor="text1"/>
          <w:sz w:val="16"/>
          <w:szCs w:val="16"/>
          <w:u w:color="002060"/>
        </w:rPr>
      </w:pPr>
    </w:p>
    <w:p w14:paraId="1E0B5018" w14:textId="77777777" w:rsidR="004B3E82" w:rsidRPr="00A259BD" w:rsidRDefault="004B3E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мая 1929 г. при правлении треста было собрано отдельное совещание из представителей </w:t>
      </w:r>
      <w:proofErr w:type="spellStart"/>
      <w:r w:rsidRPr="00A259BD">
        <w:rPr>
          <w:rFonts w:ascii="Times New Roman" w:hAnsi="Times New Roman"/>
          <w:color w:val="000000" w:themeColor="text1"/>
          <w:sz w:val="16"/>
          <w:szCs w:val="16"/>
        </w:rPr>
        <w:t>Главэлектро</w:t>
      </w:r>
      <w:proofErr w:type="spellEnd"/>
      <w:r w:rsidRPr="00A259BD">
        <w:rPr>
          <w:rFonts w:ascii="Times New Roman" w:hAnsi="Times New Roman"/>
          <w:color w:val="000000" w:themeColor="text1"/>
          <w:sz w:val="16"/>
          <w:szCs w:val="16"/>
        </w:rPr>
        <w:t>, ЭТЗСТ и УВМС3. Результатом всех этих совещаний стало решение о реорганизации завода им. Коминтерна в «</w:t>
      </w:r>
      <w:proofErr w:type="spellStart"/>
      <w:r w:rsidRPr="00A259BD">
        <w:rPr>
          <w:rFonts w:ascii="Times New Roman" w:hAnsi="Times New Roman"/>
          <w:color w:val="000000" w:themeColor="text1"/>
          <w:sz w:val="16"/>
          <w:szCs w:val="16"/>
        </w:rPr>
        <w:t>опытово</w:t>
      </w:r>
      <w:proofErr w:type="spellEnd"/>
      <w:r w:rsidRPr="00A259BD">
        <w:rPr>
          <w:rFonts w:ascii="Times New Roman" w:hAnsi="Times New Roman"/>
          <w:color w:val="000000" w:themeColor="text1"/>
          <w:sz w:val="16"/>
          <w:szCs w:val="16"/>
        </w:rPr>
        <w:t xml:space="preserve">-монтажный завод морской связи». С этой целью Морской отдел треста полностью переводился в распоряжение заводоуправления. В течение двух лет завод им. Коминтерна должен был полностью перейти на работы по военно-морской тематике, завершив разработку и оформление радиосредств первой системы </w:t>
      </w:r>
      <w:proofErr w:type="spellStart"/>
      <w:r w:rsidRPr="00A259BD">
        <w:rPr>
          <w:rFonts w:ascii="Times New Roman" w:hAnsi="Times New Roman"/>
          <w:color w:val="000000" w:themeColor="text1"/>
          <w:sz w:val="16"/>
          <w:szCs w:val="16"/>
        </w:rPr>
        <w:t>радиовооружения</w:t>
      </w:r>
      <w:proofErr w:type="spellEnd"/>
      <w:r w:rsidRPr="00A259BD">
        <w:rPr>
          <w:rFonts w:ascii="Times New Roman" w:hAnsi="Times New Roman"/>
          <w:color w:val="000000" w:themeColor="text1"/>
          <w:sz w:val="16"/>
          <w:szCs w:val="16"/>
        </w:rPr>
        <w:t xml:space="preserve"> сухопутных и военно-воздушных сил. В качестве основных задач перед предприятием ставились:</w:t>
      </w:r>
    </w:p>
    <w:p w14:paraId="330C5CCC" w14:textId="77777777" w:rsidR="004B3E82" w:rsidRPr="00A259BD" w:rsidRDefault="004B3E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лабораторные проработки и расчет новых типов установок по военно-морской связи;</w:t>
      </w:r>
    </w:p>
    <w:p w14:paraId="7C50BACC" w14:textId="77777777" w:rsidR="004B3E82" w:rsidRPr="00A259BD" w:rsidRDefault="004B3E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конструктивное их оформление;</w:t>
      </w:r>
    </w:p>
    <w:p w14:paraId="401B2942" w14:textId="77777777" w:rsidR="004B3E82" w:rsidRPr="00A259BD" w:rsidRDefault="004B3E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изготовление и испытание образцов;</w:t>
      </w:r>
    </w:p>
    <w:p w14:paraId="6D0A9A45" w14:textId="77777777" w:rsidR="004B3E82" w:rsidRPr="00A259BD" w:rsidRDefault="004B3E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изготовление рабочих чертежей и составление спецификаций для передачи производства серий на другие заводы;</w:t>
      </w:r>
    </w:p>
    <w:p w14:paraId="4ACD4C57" w14:textId="77777777" w:rsidR="004B3E82" w:rsidRPr="00A259BD" w:rsidRDefault="004B3E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монтаж и сдача всех военно-морских установок на месте.</w:t>
      </w:r>
    </w:p>
    <w:p w14:paraId="40F68870" w14:textId="77777777" w:rsidR="004B3E82" w:rsidRPr="00A259BD" w:rsidRDefault="004B3E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Проведена реорганизация была в соответствии с приказом по ЭТЗСТ № 272 от 31 мая 1929 г. (18297).</w:t>
      </w:r>
    </w:p>
    <w:p w14:paraId="4CDCFA91" w14:textId="77777777" w:rsidR="004B3E82" w:rsidRPr="00A259BD" w:rsidRDefault="004B3E82" w:rsidP="009236E3">
      <w:pPr>
        <w:spacing w:after="0" w:line="240" w:lineRule="auto"/>
        <w:jc w:val="both"/>
        <w:rPr>
          <w:rFonts w:ascii="Times New Roman" w:hAnsi="Times New Roman"/>
          <w:color w:val="000000" w:themeColor="text1"/>
          <w:sz w:val="16"/>
          <w:szCs w:val="16"/>
        </w:rPr>
      </w:pPr>
    </w:p>
    <w:p w14:paraId="54856A4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D4A612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A661B1" w14:textId="77777777" w:rsidR="000601DE" w:rsidRPr="00A259BD" w:rsidRDefault="000601D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мая 1929 Логан Филд открыт в Балтиморе, штат Мэриленд (20806).</w:t>
      </w:r>
    </w:p>
    <w:p w14:paraId="1EFE71AF" w14:textId="77777777" w:rsidR="000601DE" w:rsidRPr="00A259BD" w:rsidRDefault="000601DE" w:rsidP="009236E3">
      <w:pPr>
        <w:spacing w:after="0" w:line="240" w:lineRule="auto"/>
        <w:jc w:val="both"/>
        <w:rPr>
          <w:rFonts w:ascii="Times New Roman" w:hAnsi="Times New Roman"/>
          <w:color w:val="000000" w:themeColor="text1"/>
          <w:sz w:val="16"/>
          <w:szCs w:val="16"/>
        </w:rPr>
      </w:pPr>
    </w:p>
    <w:p w14:paraId="497E2D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мая 1929 лейбористы победили на выборах в Великобритании (3481), впервые проводившихся на основе всеобщего равного права голоса (3907,156).</w:t>
      </w:r>
    </w:p>
    <w:p w14:paraId="089306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662CE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9D5DE8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C6D2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мая 1929 года член Совета по гражданской авиации и гл. инспектор ГВФ В.А. </w:t>
      </w:r>
      <w:proofErr w:type="spellStart"/>
      <w:r w:rsidRPr="00A259BD">
        <w:rPr>
          <w:rFonts w:ascii="Times New Roman" w:hAnsi="Times New Roman"/>
          <w:color w:val="000000" w:themeColor="text1"/>
          <w:sz w:val="16"/>
          <w:szCs w:val="16"/>
        </w:rPr>
        <w:t>Зарзар</w:t>
      </w:r>
      <w:proofErr w:type="spellEnd"/>
      <w:r w:rsidRPr="00A259BD">
        <w:rPr>
          <w:rFonts w:ascii="Times New Roman" w:hAnsi="Times New Roman"/>
          <w:color w:val="000000" w:themeColor="text1"/>
          <w:sz w:val="16"/>
          <w:szCs w:val="16"/>
        </w:rPr>
        <w:t xml:space="preserve"> писал письмо № И/370 в НКПС – Центральное управление морского транспорта</w:t>
      </w:r>
    </w:p>
    <w:p w14:paraId="029418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Согласно постановления СТО от 5 апреля 1929 года пр. № 12/410 с Союзом Осоавиахима летом 1929 года организуется перелет Москва-Нью-Йорк. Непосредственное руководство подготовкой и осуществлением перелета возложено на начальника ВВС.</w:t>
      </w:r>
    </w:p>
    <w:p w14:paraId="06787F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57B9B2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Прошу о даче распоряжений портовым властям Хабаровска, Владивостока и Петропавловска о приемке на товаро-пассажирские пароходы бензина и масла (нужного для перелета в Америку) для перевозки последних по базам (Петропавловск, Командорские и Алеутские острова) (7783, 169).</w:t>
      </w:r>
    </w:p>
    <w:p w14:paraId="0A111C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76AE9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D1434F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B41A3DA" w14:textId="77777777" w:rsidR="008456F2" w:rsidRPr="00A259BD" w:rsidRDefault="008456F2"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31 мая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РЗ СТО СССР о мероприятиях по упорядочению капитального строительства военной промышленности (РГАЭ. Ф. 2097. Оп. 1. Д. 986. Л. 12?11; ГА РФ. Ф. Р?8418. Оп. 3. Д. 55. Л. 1?3) (12415).</w:t>
      </w:r>
    </w:p>
    <w:p w14:paraId="5037C925" w14:textId="77777777" w:rsidR="008456F2" w:rsidRPr="00A259BD" w:rsidRDefault="008456F2" w:rsidP="009236E3">
      <w:pPr>
        <w:spacing w:after="0" w:line="240" w:lineRule="auto"/>
        <w:jc w:val="both"/>
        <w:rPr>
          <w:rFonts w:ascii="Times New Roman" w:hAnsi="Times New Roman"/>
          <w:color w:val="000000" w:themeColor="text1"/>
          <w:sz w:val="16"/>
          <w:szCs w:val="16"/>
          <w:u w:color="002060"/>
        </w:rPr>
      </w:pPr>
    </w:p>
    <w:p w14:paraId="072C80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мая 1929 Форд Мотор Ко. подписал с СССР в лице ВСНХ и Амторга соглашение о сотрудничестве в строительстве Нижегородского автозавода. Стоимость контракта - 30 млн. долл. (3447). В январе 1932 вышли первые автомобили (3398,198).</w:t>
      </w:r>
    </w:p>
    <w:p w14:paraId="5148F7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74D97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31-го мая 1929 года Форд обязался начать поставки комплектующих частей для сборки "Форд-А", "Форд-АА" и "Форд-</w:t>
      </w:r>
      <w:proofErr w:type="spellStart"/>
      <w:r w:rsidRPr="00A259BD">
        <w:rPr>
          <w:rFonts w:ascii="Times New Roman" w:hAnsi="Times New Roman"/>
          <w:color w:val="000000" w:themeColor="text1"/>
          <w:sz w:val="16"/>
          <w:szCs w:val="16"/>
        </w:rPr>
        <w:t>Тимкен</w:t>
      </w:r>
      <w:proofErr w:type="spellEnd"/>
      <w:r w:rsidRPr="00A259BD">
        <w:rPr>
          <w:rFonts w:ascii="Times New Roman" w:hAnsi="Times New Roman"/>
          <w:color w:val="000000" w:themeColor="text1"/>
          <w:sz w:val="16"/>
          <w:szCs w:val="16"/>
        </w:rPr>
        <w:t>" (3862).</w:t>
      </w:r>
    </w:p>
    <w:p w14:paraId="76A84B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Практически сразу после подписания соглашения с </w:t>
      </w:r>
      <w:proofErr w:type="spellStart"/>
      <w:r w:rsidRPr="00A259BD">
        <w:rPr>
          <w:rFonts w:ascii="Times New Roman" w:hAnsi="Times New Roman"/>
          <w:color w:val="000000" w:themeColor="text1"/>
          <w:sz w:val="16"/>
          <w:szCs w:val="16"/>
        </w:rPr>
        <w:t>Г.Фордом</w:t>
      </w:r>
      <w:proofErr w:type="spellEnd"/>
      <w:r w:rsidRPr="00A259BD">
        <w:rPr>
          <w:rFonts w:ascii="Times New Roman" w:hAnsi="Times New Roman"/>
          <w:color w:val="000000" w:themeColor="text1"/>
          <w:sz w:val="16"/>
          <w:szCs w:val="16"/>
        </w:rPr>
        <w:t xml:space="preserve"> начались первые опыты с конструированием легкого бронеавтомобиля на шасси "Форд-А" по заданию УММА РККА. В результате этих опытов, КБ во главе с </w:t>
      </w:r>
      <w:proofErr w:type="spellStart"/>
      <w:r w:rsidRPr="00A259BD">
        <w:rPr>
          <w:rFonts w:ascii="Times New Roman" w:hAnsi="Times New Roman"/>
          <w:color w:val="000000" w:themeColor="text1"/>
          <w:sz w:val="16"/>
          <w:szCs w:val="16"/>
        </w:rPr>
        <w:t>Н.И.Дыренковым</w:t>
      </w:r>
      <w:proofErr w:type="spellEnd"/>
      <w:r w:rsidRPr="00A259BD">
        <w:rPr>
          <w:rFonts w:ascii="Times New Roman" w:hAnsi="Times New Roman"/>
          <w:color w:val="000000" w:themeColor="text1"/>
          <w:sz w:val="16"/>
          <w:szCs w:val="16"/>
        </w:rPr>
        <w:t xml:space="preserve"> были сконструированы бронеавтомобили Д-8 и Д-12 (3862).</w:t>
      </w:r>
    </w:p>
    <w:p w14:paraId="315310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C1D7F5B" w14:textId="77777777" w:rsidR="00644E86" w:rsidRPr="00A259BD" w:rsidRDefault="00644E8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мая 1929 г. ВСНХ СССР и американская фирма "Ford Motor Company" заключили соглашение о технической помощи при организации и налаживании массового производства легковых автомобилей типа "Ford-А" и грузовых автомобилей типа "Ford-АА". Технологическое и строительное проектирование велось в Америке в основном силами отечественных инженеров при тесном сотрудничестве с фирмой "Ford Motor Company". Архитектурно-строительный проект разрабатывался фирмой "Austin K".</w:t>
      </w:r>
    </w:p>
    <w:p w14:paraId="02AB9FD4" w14:textId="77777777" w:rsidR="00644E86" w:rsidRPr="00A259BD" w:rsidRDefault="00644E8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мая 1930 г. под Нижним Новгородом был заложен первый камень в фундамент будущего автомобильного завода. Благодаря удачному проекту, умелому руководству, личной ответственности каждого участника завод был построен за 18 месяцев.</w:t>
      </w:r>
    </w:p>
    <w:p w14:paraId="0D1F2C5C" w14:textId="77777777" w:rsidR="00644E86" w:rsidRPr="00A259BD" w:rsidRDefault="00644E8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января 1932 г. автозавод вступил в строй действующих.</w:t>
      </w:r>
    </w:p>
    <w:p w14:paraId="7FF57C91" w14:textId="77777777" w:rsidR="00644E86" w:rsidRPr="00A259BD" w:rsidRDefault="00644E8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января 1932 г. с конвейера сошел первый автомобиль - грузовик НАЗ-АА (21167).</w:t>
      </w:r>
    </w:p>
    <w:p w14:paraId="07B8D1E3" w14:textId="77777777" w:rsidR="00644E86" w:rsidRPr="00A259BD" w:rsidRDefault="00644E86" w:rsidP="009236E3">
      <w:pPr>
        <w:spacing w:after="0" w:line="240" w:lineRule="auto"/>
        <w:jc w:val="both"/>
        <w:rPr>
          <w:rFonts w:ascii="Times New Roman" w:hAnsi="Times New Roman"/>
          <w:color w:val="000000" w:themeColor="text1"/>
          <w:sz w:val="16"/>
          <w:szCs w:val="16"/>
        </w:rPr>
      </w:pPr>
    </w:p>
    <w:p w14:paraId="5AB496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мая 1929 года был подписан контракт между "Форд Мотор Компани", Наркоматом национальной экономики СССР и торговой корпорацией "Амторг" на оснащение производственных мощностей в Нижнем Новгороде для производства легковых автомобилей "Форд-А" и грузовых "Форд-АА", а также контракт на поставку американских комплектующих в Россию в течение четырех лет и обучение советского технического персонала. Впоследствии ГАЗ-АА послужил для российских инженеров основой в создании великого множества моделей трехосного грузовика ГАЗ-ААА, самосвала ГАЗ-410, автобуса ГАЗ-0330, автомобиля "скорой помощи" ГАЗ-55 и многих других. Элементы ГАЗ-А были использованы при создании знаменитой "Эмки" (ГАЗ-М1), седанов и пикапов ГАЗ-415, шестицилиндрового ГАЗ-11 </w:t>
      </w:r>
      <w:r w:rsidRPr="00A259BD">
        <w:rPr>
          <w:rFonts w:ascii="Times New Roman" w:hAnsi="Times New Roman"/>
          <w:color w:val="000000" w:themeColor="text1"/>
          <w:sz w:val="16"/>
          <w:szCs w:val="16"/>
        </w:rPr>
        <w:lastRenderedPageBreak/>
        <w:t>и полноприводного ГАЗ-61, известного своей исключительной проходимостью. Данный контракт был особенно важен для производства советской бронетанковой техники - американские двигатели Форд-АА и советские аналоги ГАЗ-АА и ГАЗ-М (более поздние ГАЗ-11) устанавливались на значительном количестве типов советских танков: Т-37, Т-38, Т-30, Т-40 (9366).</w:t>
      </w:r>
    </w:p>
    <w:p w14:paraId="5CECF6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C778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мая 1929 года в США выехала правительственная комиссия для закупки автомобильного завода. Выбор пал на компанию Форда. Компания Форда обязалась оказывать СССР техническую помощь и консультации в строительстве автозавода; в организации производства легковых и грузовых автомашин; разрешался и доступ на американские заводы советских специалистов и практикантов в количестве 50 человек ежегодно. В качестве базовых моделей для производства на новом заводе были определены легковой автомобиль "Форд-А" и полуторатонный грузовик "Форд-АА", к тому времени уже широко известные в разных странах и хорошо себя зарекомендовавшие. Ждать вступления в строй основного завода не стали. В десяти километрах от Нижнего, в Канавине, на заводе "Гудок Октября" установили сборочный конвейер. По договору с Фордом из США через Мурманск поступали сюда узлы и детали. 1 февраля 1930 года в автосборочном цехе смонтировали первые 10 грузовиков "Форд-АА", а в конце 1931 года наладили выпуск трехосок "Форд-</w:t>
      </w:r>
      <w:proofErr w:type="spellStart"/>
      <w:r w:rsidRPr="00A259BD">
        <w:rPr>
          <w:rFonts w:ascii="Times New Roman" w:hAnsi="Times New Roman"/>
          <w:color w:val="000000" w:themeColor="text1"/>
          <w:sz w:val="16"/>
          <w:szCs w:val="16"/>
        </w:rPr>
        <w:t>Тимкен</w:t>
      </w:r>
      <w:proofErr w:type="spellEnd"/>
      <w:r w:rsidRPr="00A259BD">
        <w:rPr>
          <w:rFonts w:ascii="Times New Roman" w:hAnsi="Times New Roman"/>
          <w:color w:val="000000" w:themeColor="text1"/>
          <w:sz w:val="16"/>
          <w:szCs w:val="16"/>
        </w:rPr>
        <w:t>" (9648).</w:t>
      </w:r>
    </w:p>
    <w:p w14:paraId="446460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C63D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мая 1929 года после длительных переговоров было подписано соглашение между ВСНХ СССР и американской фирмой “Форд”, предусматривавшее технические консультации и помощь </w:t>
      </w:r>
      <w:proofErr w:type="spellStart"/>
      <w:r w:rsidRPr="00A259BD">
        <w:rPr>
          <w:rFonts w:ascii="Times New Roman" w:hAnsi="Times New Roman"/>
          <w:color w:val="000000" w:themeColor="text1"/>
          <w:sz w:val="16"/>
          <w:szCs w:val="16"/>
        </w:rPr>
        <w:t>Автострою</w:t>
      </w:r>
      <w:proofErr w:type="spellEnd"/>
      <w:r w:rsidRPr="00A259BD">
        <w:rPr>
          <w:rFonts w:ascii="Times New Roman" w:hAnsi="Times New Roman"/>
          <w:color w:val="000000" w:themeColor="text1"/>
          <w:sz w:val="16"/>
          <w:szCs w:val="16"/>
        </w:rPr>
        <w:t xml:space="preserve"> в строительство крупного автозавода полного цикла по производству автомобилей в Нижнем Новгороде и автосборочного завода в Москве, а также закупку у Форда автомобильных деталей для сборки машин в СССР на сумму, соответствующую стоимости 74 тысяч полных машинокомплектов, в течение 4-х лет. Этому событию предшествовала целая серия сравнительных испытаний и автопробегов, в которых приняли участие автомобили различных марок как европейских, так и американских фирм. Выбор в пользу модели А фирмы Форд был сделан по причине наилучшего сочетания хороших технических характеристик, неприхотливости, простоте в эксплуатации, низкой стоимости и технологичности в массовом производстве, наличия </w:t>
      </w:r>
      <w:proofErr w:type="spellStart"/>
      <w:r w:rsidRPr="00A259BD">
        <w:rPr>
          <w:rFonts w:ascii="Times New Roman" w:hAnsi="Times New Roman"/>
          <w:color w:val="000000" w:themeColor="text1"/>
          <w:sz w:val="16"/>
          <w:szCs w:val="16"/>
        </w:rPr>
        <w:t>высокоунифицированного</w:t>
      </w:r>
      <w:proofErr w:type="spellEnd"/>
      <w:r w:rsidRPr="00A259BD">
        <w:rPr>
          <w:rFonts w:ascii="Times New Roman" w:hAnsi="Times New Roman"/>
          <w:color w:val="000000" w:themeColor="text1"/>
          <w:sz w:val="16"/>
          <w:szCs w:val="16"/>
        </w:rPr>
        <w:t xml:space="preserve"> модельного ряда, включающего легковую и грузовую версии автомобиля, а также выгодности представленных фирмой условий контракта и наличия у неё наиболее передового опыта организации поточно-массового производства автомобилей (10766).</w:t>
      </w:r>
    </w:p>
    <w:p w14:paraId="254267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79CD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мая 1929 года было заключено соглашение между правительством СССР и Генри Фордом, согласно которому последний дол</w:t>
      </w:r>
      <w:r w:rsidRPr="00A259BD">
        <w:rPr>
          <w:rFonts w:ascii="Times New Roman" w:hAnsi="Times New Roman"/>
          <w:color w:val="000000" w:themeColor="text1"/>
          <w:sz w:val="16"/>
          <w:szCs w:val="16"/>
        </w:rPr>
        <w:softHyphen/>
        <w:t>жен был начать поставки в Советский Союз 72 тысяч ком</w:t>
      </w:r>
      <w:r w:rsidRPr="00A259BD">
        <w:rPr>
          <w:rFonts w:ascii="Times New Roman" w:hAnsi="Times New Roman"/>
          <w:color w:val="000000" w:themeColor="text1"/>
          <w:sz w:val="16"/>
          <w:szCs w:val="16"/>
        </w:rPr>
        <w:softHyphen/>
        <w:t>плектов для сборки легковых машин “Форд-А” и грузови</w:t>
      </w:r>
      <w:r w:rsidRPr="00A259BD">
        <w:rPr>
          <w:rFonts w:ascii="Times New Roman" w:hAnsi="Times New Roman"/>
          <w:color w:val="000000" w:themeColor="text1"/>
          <w:sz w:val="16"/>
          <w:szCs w:val="16"/>
        </w:rPr>
        <w:softHyphen/>
        <w:t>ков “Форд-АА”. Кроме того, фирма “Форд Мотор Компа-ни” финансировала строительство в Нижнем Новгороде современного автомобильного завода для выпуска 100 тысяч автомобилей в год, а также должна была оказывать тех</w:t>
      </w:r>
      <w:r w:rsidRPr="00A259BD">
        <w:rPr>
          <w:rFonts w:ascii="Times New Roman" w:hAnsi="Times New Roman"/>
          <w:color w:val="000000" w:themeColor="text1"/>
          <w:sz w:val="16"/>
          <w:szCs w:val="16"/>
        </w:rPr>
        <w:softHyphen/>
        <w:t>ническую помощь в течение девяти лет (11284).</w:t>
      </w:r>
    </w:p>
    <w:p w14:paraId="7ED9E3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0438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мая 1929 г. был подписан Договор с Форд Мотор сроком на 9 лет. Им предусматривалось строительство в Советском Союзе одного или нескольких заводов по выпуску моделей А и АА при условии предоставления американцами всей необходимой проектной и технической документации, лицензий и патентов, в том числе и на те усовершенствования и новинки, которые могли появиться на протяжении действия договора. Для консультирования и наблюдения за ходом строительства, установкой оборудования и пуском завода компания присылала своих специалистов и принимала до 50 советских стажеров в год для изучения производства. Советская сторона обязалась погасить расходы компании, связанные с техническим содействием (стоимость изготовления чертежей и документации, оплата труда фордовских специалистов в СССР), и приобрести у компании в течение четырех лет 72 000 комплектов авточастей (кроме шин) для сборки и ремонта автомобилей. Договор подписали Генри Форд, вице-президент компании </w:t>
      </w:r>
      <w:proofErr w:type="spellStart"/>
      <w:r w:rsidRPr="00A259BD">
        <w:rPr>
          <w:rFonts w:ascii="Times New Roman" w:hAnsi="Times New Roman"/>
          <w:color w:val="000000" w:themeColor="text1"/>
          <w:sz w:val="16"/>
          <w:szCs w:val="16"/>
        </w:rPr>
        <w:t>П.Е.Мартин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В.И.Межлаук</w:t>
      </w:r>
      <w:proofErr w:type="spellEnd"/>
      <w:r w:rsidRPr="00A259BD">
        <w:rPr>
          <w:rFonts w:ascii="Times New Roman" w:hAnsi="Times New Roman"/>
          <w:color w:val="000000" w:themeColor="text1"/>
          <w:sz w:val="16"/>
          <w:szCs w:val="16"/>
        </w:rPr>
        <w:t xml:space="preserve"> и председатель Амторга </w:t>
      </w:r>
      <w:proofErr w:type="spellStart"/>
      <w:r w:rsidRPr="00A259BD">
        <w:rPr>
          <w:rFonts w:ascii="Times New Roman" w:hAnsi="Times New Roman"/>
          <w:color w:val="000000" w:themeColor="text1"/>
          <w:sz w:val="16"/>
          <w:szCs w:val="16"/>
        </w:rPr>
        <w:t>С.Г.Брон</w:t>
      </w:r>
      <w:proofErr w:type="spellEnd"/>
      <w:r w:rsidRPr="00A259BD">
        <w:rPr>
          <w:rFonts w:ascii="Times New Roman" w:hAnsi="Times New Roman"/>
          <w:color w:val="000000" w:themeColor="text1"/>
          <w:sz w:val="16"/>
          <w:szCs w:val="16"/>
        </w:rPr>
        <w:t xml:space="preserve"> (11506).</w:t>
      </w:r>
    </w:p>
    <w:p w14:paraId="24E97C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C68ED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мая 1929 г. в г. Дирборне (США) между Г. Фордом и делегацией ВСНХ СССР был подписан договор. Советская сторона получала от компании техническую помощь при строительстве и пуске нового завода, право на изготовление моделей “Форд” и возможность обучения в США специалистов. Был установлен девятилетний срок технического сотрудничества. В качестве оплаты советская сторона давала обязательство приобрести в течение четырех лет 72 тыс. комплектов деталей, из которых до начала пуска нового завода должны были собираться легковые автомобили “Форд-А” и грузовики “Форд-АА”. Для этого в Нижнем Новгороде был переоборудован завод “Гудок Октября”. Первые машины были выпущены уже в феврале 1930 г.</w:t>
      </w:r>
    </w:p>
    <w:p w14:paraId="50789D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Одновременно быстрыми темпами шло строительство первого завода по массовому производству грузовых автомобилей. Торжественная церемония закладки первого камня состоялась 2 мая 1930 г. Уже в ноябре 1931 г. большая часть корпусов была готова для монтажа и отладки оборудования. Первые грузовики НГАЗ-АА (впоследствии знаменитая “Полуторка” ГАЗ_АА1 4х2, двигатель 4 </w:t>
      </w:r>
      <w:proofErr w:type="spellStart"/>
      <w:r w:rsidRPr="00A259BD">
        <w:rPr>
          <w:rFonts w:ascii="Times New Roman" w:hAnsi="Times New Roman"/>
          <w:color w:val="000000" w:themeColor="text1"/>
          <w:sz w:val="16"/>
          <w:szCs w:val="16"/>
        </w:rPr>
        <w:t>цил</w:t>
      </w:r>
      <w:proofErr w:type="spellEnd"/>
      <w:r w:rsidRPr="00A259BD">
        <w:rPr>
          <w:rFonts w:ascii="Times New Roman" w:hAnsi="Times New Roman"/>
          <w:color w:val="000000" w:themeColor="text1"/>
          <w:sz w:val="16"/>
          <w:szCs w:val="16"/>
        </w:rPr>
        <w:t>., 3,28 л, 40 л.с.; после модернизации в 1938 году ГАЗ-ММ, 50 л.с.) сошли с конвейера 29 января 1932 г.10 В апреле начался их массовый выпуск. В конце года завод стал выпускать легковые ГАЗ-А (серийное производство). Одно из крупнейших в Европе предприятий по производству автомобилей – Горьковский автомобильный завод – выросло за 19 месяцев (12060).</w:t>
      </w:r>
    </w:p>
    <w:p w14:paraId="3E4F8A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C9378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мая 1929 г. в Дирборне (США) между Г. Фордом и делегацией ВСНХ СССР был подписан договор. Советская сторона получала по нему от "Форд мотор </w:t>
      </w:r>
      <w:proofErr w:type="spellStart"/>
      <w:r w:rsidRPr="00A259BD">
        <w:rPr>
          <w:rFonts w:ascii="Times New Roman" w:hAnsi="Times New Roman"/>
          <w:color w:val="000000" w:themeColor="text1"/>
          <w:sz w:val="16"/>
          <w:szCs w:val="16"/>
        </w:rPr>
        <w:t>компани</w:t>
      </w:r>
      <w:proofErr w:type="spellEnd"/>
      <w:r w:rsidRPr="00A259BD">
        <w:rPr>
          <w:rFonts w:ascii="Times New Roman" w:hAnsi="Times New Roman"/>
          <w:color w:val="000000" w:themeColor="text1"/>
          <w:sz w:val="16"/>
          <w:szCs w:val="16"/>
        </w:rPr>
        <w:t>" техническую помощь при постройке и пуске нового завода, право на изготовление у себя моделей "Форд" и обучение в США специалистов. Срок технического сотрудничества был определен девятью годами. В качестве оплаты советская сторона бралась приобрести в течение четырех лет 72 тыс. комплектов деталей, из которых в СССР будут до начала пуска нового завода собираться легковые автомобили "Форд-А" и грузовики "Форд-АА" на общую сумму 72 млн. руб. Этот договор оказался выгодным со всех сторон. И прежде всего он дал возможность сразу же начать монтаж машин. Для этого в Нижнем Новгороде был переоборудован завод "Гудок Октября", которому предстояло собирать ежегодно по 12 тыс. автомобилей из фордовских деталей (12098).</w:t>
      </w:r>
    </w:p>
    <w:p w14:paraId="108884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586FD1" w14:textId="77777777" w:rsidR="00E31436" w:rsidRPr="00A259BD" w:rsidRDefault="00E31436" w:rsidP="009236E3">
      <w:pPr>
        <w:widowControl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мая </w:t>
      </w:r>
      <w:smartTag w:uri="urn:schemas-microsoft-com:office:smarttags" w:element="metricconverter">
        <w:smartTagPr>
          <w:attr w:name="ProductID" w:val="1929 г"/>
        </w:smartTagPr>
        <w:r w:rsidRPr="00A259BD">
          <w:rPr>
            <w:rFonts w:ascii="Times New Roman" w:hAnsi="Times New Roman"/>
            <w:color w:val="000000" w:themeColor="text1"/>
            <w:sz w:val="16"/>
            <w:szCs w:val="16"/>
          </w:rPr>
          <w:t>1929 г</w:t>
        </w:r>
      </w:smartTag>
      <w:r w:rsidRPr="00A259BD">
        <w:rPr>
          <w:rFonts w:ascii="Times New Roman" w:hAnsi="Times New Roman"/>
          <w:color w:val="000000" w:themeColor="text1"/>
          <w:sz w:val="16"/>
          <w:szCs w:val="16"/>
        </w:rPr>
        <w:t xml:space="preserve">. в США выехала правительственная комиссия во главе с заместителем председателя ВСНХ В.И. </w:t>
      </w:r>
      <w:proofErr w:type="spellStart"/>
      <w:r w:rsidRPr="00A259BD">
        <w:rPr>
          <w:rFonts w:ascii="Times New Roman" w:hAnsi="Times New Roman"/>
          <w:color w:val="000000" w:themeColor="text1"/>
          <w:sz w:val="16"/>
          <w:szCs w:val="16"/>
        </w:rPr>
        <w:t>Межлауком</w:t>
      </w:r>
      <w:proofErr w:type="spellEnd"/>
      <w:r w:rsidRPr="00A259BD">
        <w:rPr>
          <w:rFonts w:ascii="Times New Roman" w:hAnsi="Times New Roman"/>
          <w:color w:val="000000" w:themeColor="text1"/>
          <w:sz w:val="16"/>
          <w:szCs w:val="16"/>
        </w:rPr>
        <w:t xml:space="preserve">. Акционерное общество в США «Остин и Кº» приняло участие в разработке технического проекта и рабочих чертежей архитектурно-строительной части завода. Для реализации намеченных планов президиум ВСНХ СССР образовал комиссию в составе председателя – начальника </w:t>
      </w:r>
      <w:proofErr w:type="spellStart"/>
      <w:r w:rsidRPr="00A259BD">
        <w:rPr>
          <w:rFonts w:ascii="Times New Roman" w:hAnsi="Times New Roman"/>
          <w:color w:val="000000" w:themeColor="text1"/>
          <w:sz w:val="16"/>
          <w:szCs w:val="16"/>
        </w:rPr>
        <w:t>Автостроя</w:t>
      </w:r>
      <w:proofErr w:type="spellEnd"/>
      <w:r w:rsidRPr="00A259BD">
        <w:rPr>
          <w:rFonts w:ascii="Times New Roman" w:hAnsi="Times New Roman"/>
          <w:color w:val="000000" w:themeColor="text1"/>
          <w:sz w:val="16"/>
          <w:szCs w:val="16"/>
        </w:rPr>
        <w:t xml:space="preserve"> С.С. </w:t>
      </w:r>
      <w:proofErr w:type="spellStart"/>
      <w:r w:rsidRPr="00A259BD">
        <w:rPr>
          <w:rFonts w:ascii="Times New Roman" w:hAnsi="Times New Roman"/>
          <w:color w:val="000000" w:themeColor="text1"/>
          <w:sz w:val="16"/>
          <w:szCs w:val="16"/>
        </w:rPr>
        <w:t>Дыбеца</w:t>
      </w:r>
      <w:proofErr w:type="spellEnd"/>
      <w:r w:rsidRPr="00A259BD">
        <w:rPr>
          <w:rFonts w:ascii="Times New Roman" w:hAnsi="Times New Roman"/>
          <w:color w:val="000000" w:themeColor="text1"/>
          <w:sz w:val="16"/>
          <w:szCs w:val="16"/>
        </w:rPr>
        <w:t xml:space="preserve">, членов – главного инженера </w:t>
      </w:r>
      <w:proofErr w:type="spellStart"/>
      <w:r w:rsidRPr="00A259BD">
        <w:rPr>
          <w:rFonts w:ascii="Times New Roman" w:hAnsi="Times New Roman"/>
          <w:color w:val="000000" w:themeColor="text1"/>
          <w:sz w:val="16"/>
          <w:szCs w:val="16"/>
        </w:rPr>
        <w:t>Автостроя</w:t>
      </w:r>
      <w:proofErr w:type="spellEnd"/>
      <w:r w:rsidRPr="00A259BD">
        <w:rPr>
          <w:rFonts w:ascii="Times New Roman" w:hAnsi="Times New Roman"/>
          <w:color w:val="000000" w:themeColor="text1"/>
          <w:sz w:val="16"/>
          <w:szCs w:val="16"/>
        </w:rPr>
        <w:t xml:space="preserve"> А.А. Исааковича, его помощника Л.А. </w:t>
      </w:r>
      <w:proofErr w:type="spellStart"/>
      <w:r w:rsidRPr="00A259BD">
        <w:rPr>
          <w:rFonts w:ascii="Times New Roman" w:hAnsi="Times New Roman"/>
          <w:color w:val="000000" w:themeColor="text1"/>
          <w:sz w:val="16"/>
          <w:szCs w:val="16"/>
        </w:rPr>
        <w:t>Мертца</w:t>
      </w:r>
      <w:proofErr w:type="spellEnd"/>
      <w:r w:rsidRPr="00A259BD">
        <w:rPr>
          <w:rFonts w:ascii="Times New Roman" w:hAnsi="Times New Roman"/>
          <w:color w:val="000000" w:themeColor="text1"/>
          <w:sz w:val="16"/>
          <w:szCs w:val="16"/>
        </w:rPr>
        <w:t xml:space="preserve"> и других специалистов. Комиссия в сложной обстановке проводила в США напряженную работу по выполнению договоров, решая многочисленные и разносторонние вопросы по проектированию и строительству нижегородского автозавода, подбору и закупке оборудования. Все работы по проектированию и выдаче заданий возглавлял Л.А. </w:t>
      </w:r>
      <w:proofErr w:type="spellStart"/>
      <w:r w:rsidRPr="00A259BD">
        <w:rPr>
          <w:rFonts w:ascii="Times New Roman" w:hAnsi="Times New Roman"/>
          <w:color w:val="000000" w:themeColor="text1"/>
          <w:sz w:val="16"/>
          <w:szCs w:val="16"/>
        </w:rPr>
        <w:t>Мертц</w:t>
      </w:r>
      <w:proofErr w:type="spellEnd"/>
      <w:r w:rsidRPr="00A259BD">
        <w:rPr>
          <w:rFonts w:ascii="Times New Roman" w:hAnsi="Times New Roman"/>
          <w:color w:val="000000" w:themeColor="text1"/>
          <w:sz w:val="16"/>
          <w:szCs w:val="16"/>
        </w:rPr>
        <w:t xml:space="preserve">. В результате энергичной, напряженной и настойчивой работы советские специалисты в США успешно справились с задачей по технологическому проектированию в установленные сроки. К началу </w:t>
      </w:r>
      <w:smartTag w:uri="urn:schemas-microsoft-com:office:smarttags" w:element="metricconverter">
        <w:smartTagPr>
          <w:attr w:name="ProductID" w:val="1930 г"/>
        </w:smartTagPr>
        <w:r w:rsidRPr="00A259BD">
          <w:rPr>
            <w:rFonts w:ascii="Times New Roman" w:hAnsi="Times New Roman"/>
            <w:color w:val="000000" w:themeColor="text1"/>
            <w:sz w:val="16"/>
            <w:szCs w:val="16"/>
          </w:rPr>
          <w:t>1930 г</w:t>
        </w:r>
      </w:smartTag>
      <w:r w:rsidRPr="00A259BD">
        <w:rPr>
          <w:rFonts w:ascii="Times New Roman" w:hAnsi="Times New Roman"/>
          <w:color w:val="000000" w:themeColor="text1"/>
          <w:sz w:val="16"/>
          <w:szCs w:val="16"/>
        </w:rPr>
        <w:t>. были выданы необходимые задания на архитектурно-строительное проектирование фирме «Остин и Кº» (15218).</w:t>
      </w:r>
    </w:p>
    <w:p w14:paraId="3BC6911F" w14:textId="77777777" w:rsidR="00E31436" w:rsidRPr="00A259BD" w:rsidRDefault="00E31436" w:rsidP="009236E3">
      <w:pPr>
        <w:widowControl w:val="0"/>
        <w:spacing w:after="0" w:line="240" w:lineRule="auto"/>
        <w:jc w:val="both"/>
        <w:rPr>
          <w:rFonts w:ascii="Times New Roman" w:hAnsi="Times New Roman"/>
          <w:color w:val="000000" w:themeColor="text1"/>
          <w:sz w:val="16"/>
          <w:szCs w:val="16"/>
        </w:rPr>
      </w:pPr>
    </w:p>
    <w:p w14:paraId="4BBA3731" w14:textId="77777777" w:rsidR="00E31436" w:rsidRPr="00A259BD" w:rsidRDefault="00E3143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мая </w:t>
      </w:r>
      <w:smartTag w:uri="urn:schemas-microsoft-com:office:smarttags" w:element="metricconverter">
        <w:smartTagPr>
          <w:attr w:name="ProductID" w:val="1929 г"/>
        </w:smartTagPr>
        <w:r w:rsidRPr="00A259BD">
          <w:rPr>
            <w:rFonts w:ascii="Times New Roman" w:hAnsi="Times New Roman"/>
            <w:color w:val="000000" w:themeColor="text1"/>
            <w:sz w:val="16"/>
            <w:szCs w:val="16"/>
          </w:rPr>
          <w:t>1929 г</w:t>
        </w:r>
      </w:smartTag>
      <w:r w:rsidRPr="00A259BD">
        <w:rPr>
          <w:rFonts w:ascii="Times New Roman" w:hAnsi="Times New Roman"/>
          <w:color w:val="000000" w:themeColor="text1"/>
          <w:sz w:val="16"/>
          <w:szCs w:val="16"/>
        </w:rPr>
        <w:t xml:space="preserve">. в США выехала правительственная комиссия во главе с заместителем председателя ВСНХ В.И. </w:t>
      </w:r>
      <w:proofErr w:type="spellStart"/>
      <w:r w:rsidRPr="00A259BD">
        <w:rPr>
          <w:rFonts w:ascii="Times New Roman" w:hAnsi="Times New Roman"/>
          <w:color w:val="000000" w:themeColor="text1"/>
          <w:sz w:val="16"/>
          <w:szCs w:val="16"/>
        </w:rPr>
        <w:t>Межлауком</w:t>
      </w:r>
      <w:proofErr w:type="spellEnd"/>
      <w:r w:rsidRPr="00A259BD">
        <w:rPr>
          <w:rFonts w:ascii="Times New Roman" w:hAnsi="Times New Roman"/>
          <w:color w:val="000000" w:themeColor="text1"/>
          <w:sz w:val="16"/>
          <w:szCs w:val="16"/>
        </w:rPr>
        <w:t xml:space="preserve">. Акционерное общество в США «Остин и Кº» приняло участие в разработке технического проекта и рабочих чертежей архитектурно-строительной части завода. Для реализации намеченных планов президиум ВСНХ СССР образовал комиссию в составе председателя – начальника </w:t>
      </w:r>
      <w:proofErr w:type="spellStart"/>
      <w:r w:rsidRPr="00A259BD">
        <w:rPr>
          <w:rFonts w:ascii="Times New Roman" w:hAnsi="Times New Roman"/>
          <w:color w:val="000000" w:themeColor="text1"/>
          <w:sz w:val="16"/>
          <w:szCs w:val="16"/>
        </w:rPr>
        <w:t>Автостроя</w:t>
      </w:r>
      <w:proofErr w:type="spellEnd"/>
      <w:r w:rsidRPr="00A259BD">
        <w:rPr>
          <w:rFonts w:ascii="Times New Roman" w:hAnsi="Times New Roman"/>
          <w:color w:val="000000" w:themeColor="text1"/>
          <w:sz w:val="16"/>
          <w:szCs w:val="16"/>
        </w:rPr>
        <w:t xml:space="preserve"> С.С. </w:t>
      </w:r>
      <w:proofErr w:type="spellStart"/>
      <w:r w:rsidRPr="00A259BD">
        <w:rPr>
          <w:rFonts w:ascii="Times New Roman" w:hAnsi="Times New Roman"/>
          <w:color w:val="000000" w:themeColor="text1"/>
          <w:sz w:val="16"/>
          <w:szCs w:val="16"/>
        </w:rPr>
        <w:t>Дыбеца</w:t>
      </w:r>
      <w:proofErr w:type="spellEnd"/>
      <w:r w:rsidRPr="00A259BD">
        <w:rPr>
          <w:rFonts w:ascii="Times New Roman" w:hAnsi="Times New Roman"/>
          <w:color w:val="000000" w:themeColor="text1"/>
          <w:sz w:val="16"/>
          <w:szCs w:val="16"/>
        </w:rPr>
        <w:t xml:space="preserve">, членов – главного инженера </w:t>
      </w:r>
      <w:proofErr w:type="spellStart"/>
      <w:r w:rsidRPr="00A259BD">
        <w:rPr>
          <w:rFonts w:ascii="Times New Roman" w:hAnsi="Times New Roman"/>
          <w:color w:val="000000" w:themeColor="text1"/>
          <w:sz w:val="16"/>
          <w:szCs w:val="16"/>
        </w:rPr>
        <w:t>Автостроя</w:t>
      </w:r>
      <w:proofErr w:type="spellEnd"/>
      <w:r w:rsidRPr="00A259BD">
        <w:rPr>
          <w:rFonts w:ascii="Times New Roman" w:hAnsi="Times New Roman"/>
          <w:color w:val="000000" w:themeColor="text1"/>
          <w:sz w:val="16"/>
          <w:szCs w:val="16"/>
        </w:rPr>
        <w:t xml:space="preserve"> А.А. Исааковича, его помощника Л.А. </w:t>
      </w:r>
      <w:proofErr w:type="spellStart"/>
      <w:r w:rsidRPr="00A259BD">
        <w:rPr>
          <w:rFonts w:ascii="Times New Roman" w:hAnsi="Times New Roman"/>
          <w:color w:val="000000" w:themeColor="text1"/>
          <w:sz w:val="16"/>
          <w:szCs w:val="16"/>
        </w:rPr>
        <w:t>Мертца</w:t>
      </w:r>
      <w:proofErr w:type="spellEnd"/>
      <w:r w:rsidRPr="00A259BD">
        <w:rPr>
          <w:rFonts w:ascii="Times New Roman" w:hAnsi="Times New Roman"/>
          <w:color w:val="000000" w:themeColor="text1"/>
          <w:sz w:val="16"/>
          <w:szCs w:val="16"/>
        </w:rPr>
        <w:t xml:space="preserve"> и других специалистов. Комиссия в сложной обстановке проводила в США напряженную работу по выполнению договоров, решая многочисленные и разносторонние вопросы по проектированию и строительству нижегородского автозавода, подбору и закупке оборудования.</w:t>
      </w:r>
    </w:p>
    <w:p w14:paraId="41E41FFA" w14:textId="77777777" w:rsidR="00E31436" w:rsidRPr="00A259BD" w:rsidRDefault="00E3143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Все работы по проектированию и выдаче заданий возглавлял Л.А. </w:t>
      </w:r>
      <w:proofErr w:type="spellStart"/>
      <w:r w:rsidRPr="00A259BD">
        <w:rPr>
          <w:rFonts w:ascii="Times New Roman" w:hAnsi="Times New Roman"/>
          <w:color w:val="000000" w:themeColor="text1"/>
          <w:sz w:val="16"/>
          <w:szCs w:val="16"/>
        </w:rPr>
        <w:t>Мертц</w:t>
      </w:r>
      <w:proofErr w:type="spellEnd"/>
      <w:r w:rsidRPr="00A259BD">
        <w:rPr>
          <w:rFonts w:ascii="Times New Roman" w:hAnsi="Times New Roman"/>
          <w:color w:val="000000" w:themeColor="text1"/>
          <w:sz w:val="16"/>
          <w:szCs w:val="16"/>
        </w:rPr>
        <w:t xml:space="preserve">. В результате энергичной, напряженной и настойчивой работы советские специалисты в США успешно справились с задачей по технологическому проектированию в установленные сроки. К началу </w:t>
      </w:r>
      <w:smartTag w:uri="urn:schemas-microsoft-com:office:smarttags" w:element="metricconverter">
        <w:smartTagPr>
          <w:attr w:name="ProductID" w:val="1930 г"/>
        </w:smartTagPr>
        <w:r w:rsidRPr="00A259BD">
          <w:rPr>
            <w:rFonts w:ascii="Times New Roman" w:hAnsi="Times New Roman"/>
            <w:color w:val="000000" w:themeColor="text1"/>
            <w:sz w:val="16"/>
            <w:szCs w:val="16"/>
          </w:rPr>
          <w:t>1930 г</w:t>
        </w:r>
      </w:smartTag>
      <w:r w:rsidRPr="00A259BD">
        <w:rPr>
          <w:rFonts w:ascii="Times New Roman" w:hAnsi="Times New Roman"/>
          <w:color w:val="000000" w:themeColor="text1"/>
          <w:sz w:val="16"/>
          <w:szCs w:val="16"/>
        </w:rPr>
        <w:t>. были выданы необходимые задания на архитектурно-строительное проектирование фирме «Остин и Кº» (15218).</w:t>
      </w:r>
    </w:p>
    <w:p w14:paraId="67AB971B" w14:textId="77777777" w:rsidR="00E31436" w:rsidRPr="00A259BD" w:rsidRDefault="00E31436" w:rsidP="009236E3">
      <w:pPr>
        <w:spacing w:after="0" w:line="240" w:lineRule="auto"/>
        <w:jc w:val="both"/>
        <w:rPr>
          <w:rFonts w:ascii="Times New Roman" w:hAnsi="Times New Roman"/>
          <w:color w:val="000000" w:themeColor="text1"/>
          <w:sz w:val="16"/>
          <w:szCs w:val="16"/>
        </w:rPr>
      </w:pPr>
    </w:p>
    <w:p w14:paraId="3CD0C61E" w14:textId="77777777" w:rsidR="00246DDD" w:rsidRPr="00A259BD" w:rsidRDefault="00246DD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31 мая 1929 г. на основании приказа Правления треста № 275 проводились мероприятия по реорганизации завода им. Коминтерна. В соответствии с этим приказом была создана лабораторная база работ по военно-морской те</w:t>
      </w:r>
      <w:r w:rsidRPr="00A259BD">
        <w:rPr>
          <w:rFonts w:ascii="Times New Roman" w:hAnsi="Times New Roman"/>
          <w:color w:val="000000" w:themeColor="text1"/>
          <w:sz w:val="16"/>
          <w:szCs w:val="16"/>
        </w:rPr>
        <w:softHyphen/>
        <w:t>матике, для чего Морской отдел, имевший статус «отдела ЦРЛ при заводе им. Коминтерна», полностью перешел в ведение заводоуправления. Заводу стави</w:t>
      </w:r>
      <w:r w:rsidRPr="00A259BD">
        <w:rPr>
          <w:rFonts w:ascii="Times New Roman" w:hAnsi="Times New Roman"/>
          <w:color w:val="000000" w:themeColor="text1"/>
          <w:sz w:val="16"/>
          <w:szCs w:val="16"/>
        </w:rPr>
        <w:softHyphen/>
        <w:t>лась задача в течение двух лет полностью перейти на работы по военно- морской тематике. Лабораторию на заводе им. Коминтерна после переезда отдела А.Т. Уг</w:t>
      </w:r>
      <w:r w:rsidRPr="00A259BD">
        <w:rPr>
          <w:rFonts w:ascii="Times New Roman" w:hAnsi="Times New Roman"/>
          <w:color w:val="000000" w:themeColor="text1"/>
          <w:sz w:val="16"/>
          <w:szCs w:val="16"/>
        </w:rPr>
        <w:softHyphen/>
        <w:t>лова в Нижний Новгород возглавил А.Г. Шмидт. О широте научных и произ</w:t>
      </w:r>
      <w:r w:rsidRPr="00A259BD">
        <w:rPr>
          <w:rFonts w:ascii="Times New Roman" w:hAnsi="Times New Roman"/>
          <w:color w:val="000000" w:themeColor="text1"/>
          <w:sz w:val="16"/>
          <w:szCs w:val="16"/>
        </w:rPr>
        <w:softHyphen/>
        <w:t>водственных задач, стоящих перед лабораторией, дает представление план ее работы на 1929/1930 хозяйственный год. План предусматривал работы по раз</w:t>
      </w:r>
      <w:r w:rsidRPr="00A259BD">
        <w:rPr>
          <w:rFonts w:ascii="Times New Roman" w:hAnsi="Times New Roman"/>
          <w:color w:val="000000" w:themeColor="text1"/>
          <w:sz w:val="16"/>
          <w:szCs w:val="16"/>
        </w:rPr>
        <w:softHyphen/>
        <w:t>работке радиостанций различной мощности и различного волнового диапазо</w:t>
      </w:r>
      <w:r w:rsidRPr="00A259BD">
        <w:rPr>
          <w:rFonts w:ascii="Times New Roman" w:hAnsi="Times New Roman"/>
          <w:color w:val="000000" w:themeColor="text1"/>
          <w:sz w:val="16"/>
          <w:szCs w:val="16"/>
        </w:rPr>
        <w:softHyphen/>
        <w:t>на, в т.ч. и коротковолнового, специального приемника, радиопеленгаторов для ВМФ, радиомаяков различного назначения. В плане проведения исследо</w:t>
      </w:r>
      <w:r w:rsidRPr="00A259BD">
        <w:rPr>
          <w:rFonts w:ascii="Times New Roman" w:hAnsi="Times New Roman"/>
          <w:color w:val="000000" w:themeColor="text1"/>
          <w:sz w:val="16"/>
          <w:szCs w:val="16"/>
        </w:rPr>
        <w:softHyphen/>
        <w:t>вательских работ проводилось изучение в области специальных антенн, схем на основе кварца, инфракрасных лучей (ИК-лучей), гидроакустики, изоляци</w:t>
      </w:r>
      <w:r w:rsidRPr="00A259BD">
        <w:rPr>
          <w:rFonts w:ascii="Times New Roman" w:hAnsi="Times New Roman"/>
          <w:color w:val="000000" w:themeColor="text1"/>
          <w:sz w:val="16"/>
          <w:szCs w:val="16"/>
        </w:rPr>
        <w:softHyphen/>
        <w:t>онных материалов. После перехода предприятий и НИУ бывшего ЭТЗСТ в состав ВЭО в начале 1930 г. началась новая страница в совместной истории завода им. Ко</w:t>
      </w:r>
      <w:r w:rsidRPr="00A259BD">
        <w:rPr>
          <w:rFonts w:ascii="Times New Roman" w:hAnsi="Times New Roman"/>
          <w:color w:val="000000" w:themeColor="text1"/>
          <w:sz w:val="16"/>
          <w:szCs w:val="16"/>
        </w:rPr>
        <w:softHyphen/>
        <w:t>минтерна и ЦРЛ (19098).</w:t>
      </w:r>
    </w:p>
    <w:p w14:paraId="304D4889" w14:textId="77777777" w:rsidR="00246DDD" w:rsidRPr="00A259BD" w:rsidRDefault="00246DDD" w:rsidP="009236E3">
      <w:pPr>
        <w:spacing w:after="0" w:line="240" w:lineRule="auto"/>
        <w:jc w:val="both"/>
        <w:rPr>
          <w:rFonts w:ascii="Times New Roman" w:hAnsi="Times New Roman"/>
          <w:color w:val="000000" w:themeColor="text1"/>
          <w:sz w:val="16"/>
          <w:szCs w:val="16"/>
        </w:rPr>
      </w:pPr>
    </w:p>
    <w:p w14:paraId="1FE48F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мая 1929 г. вышел приказ Правления треста № 275 по реорганизации завода им. Коминтерна. В соответствии с этим приказом была создана лабораторная база работ по военно-морской те </w:t>
      </w:r>
      <w:proofErr w:type="spellStart"/>
      <w:r w:rsidRPr="00A259BD">
        <w:rPr>
          <w:rFonts w:ascii="Times New Roman" w:hAnsi="Times New Roman"/>
          <w:color w:val="000000" w:themeColor="text1"/>
          <w:sz w:val="16"/>
          <w:szCs w:val="16"/>
        </w:rPr>
        <w:t>матике</w:t>
      </w:r>
      <w:proofErr w:type="spellEnd"/>
      <w:r w:rsidRPr="00A259BD">
        <w:rPr>
          <w:rFonts w:ascii="Times New Roman" w:hAnsi="Times New Roman"/>
          <w:color w:val="000000" w:themeColor="text1"/>
          <w:sz w:val="16"/>
          <w:szCs w:val="16"/>
        </w:rPr>
        <w:t xml:space="preserve">, для чего Морской отдел, имевший статус «отдела ЦРЛ при заводе им. Коминтерна», полностью перешел в ведение заводоуправления. Заводу </w:t>
      </w:r>
      <w:proofErr w:type="spellStart"/>
      <w:r w:rsidRPr="00A259BD">
        <w:rPr>
          <w:rFonts w:ascii="Times New Roman" w:hAnsi="Times New Roman"/>
          <w:color w:val="000000" w:themeColor="text1"/>
          <w:sz w:val="16"/>
          <w:szCs w:val="16"/>
        </w:rPr>
        <w:t>стави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лась</w:t>
      </w:r>
      <w:proofErr w:type="spellEnd"/>
      <w:r w:rsidRPr="00A259BD">
        <w:rPr>
          <w:rFonts w:ascii="Times New Roman" w:hAnsi="Times New Roman"/>
          <w:color w:val="000000" w:themeColor="text1"/>
          <w:sz w:val="16"/>
          <w:szCs w:val="16"/>
        </w:rPr>
        <w:t xml:space="preserve"> задача в течение двух лет полностью перейти на работы по </w:t>
      </w:r>
      <w:proofErr w:type="spellStart"/>
      <w:r w:rsidRPr="00A259BD">
        <w:rPr>
          <w:rFonts w:ascii="Times New Roman" w:hAnsi="Times New Roman"/>
          <w:color w:val="000000" w:themeColor="text1"/>
          <w:sz w:val="16"/>
          <w:szCs w:val="16"/>
        </w:rPr>
        <w:t>военно</w:t>
      </w:r>
      <w:proofErr w:type="spellEnd"/>
      <w:r w:rsidRPr="00A259BD">
        <w:rPr>
          <w:rFonts w:ascii="Times New Roman" w:hAnsi="Times New Roman"/>
          <w:color w:val="000000" w:themeColor="text1"/>
          <w:sz w:val="16"/>
          <w:szCs w:val="16"/>
        </w:rPr>
        <w:t xml:space="preserve"> морской тематике (ЦГА СПб., ф.478, оп. 1, д. 4, л. 24.). В целом направление работ по </w:t>
      </w:r>
      <w:proofErr w:type="spellStart"/>
      <w:r w:rsidRPr="00A259BD">
        <w:rPr>
          <w:rFonts w:ascii="Times New Roman" w:hAnsi="Times New Roman"/>
          <w:color w:val="000000" w:themeColor="text1"/>
          <w:sz w:val="16"/>
          <w:szCs w:val="16"/>
        </w:rPr>
        <w:t>радиовооружению</w:t>
      </w:r>
      <w:proofErr w:type="spellEnd"/>
      <w:r w:rsidRPr="00A259BD">
        <w:rPr>
          <w:rFonts w:ascii="Times New Roman" w:hAnsi="Times New Roman"/>
          <w:color w:val="000000" w:themeColor="text1"/>
          <w:sz w:val="16"/>
          <w:szCs w:val="16"/>
        </w:rPr>
        <w:t xml:space="preserve"> флота возглавил Ак сель Иванович Берг, который в 1927 г. был назначен председателем секции связи НТК УВМС РККА. Он добился создания при секции научно испытательного полигона связи. Полигону была передана хорошо оснащенная радиолаборатория Военно-морского </w:t>
      </w:r>
      <w:r w:rsidRPr="00A259BD">
        <w:rPr>
          <w:rFonts w:ascii="Times New Roman" w:hAnsi="Times New Roman"/>
          <w:color w:val="000000" w:themeColor="text1"/>
          <w:sz w:val="16"/>
          <w:szCs w:val="16"/>
        </w:rPr>
        <w:lastRenderedPageBreak/>
        <w:t xml:space="preserve">инженерного училища, в свое время </w:t>
      </w:r>
      <w:proofErr w:type="spellStart"/>
      <w:r w:rsidRPr="00A259BD">
        <w:rPr>
          <w:rFonts w:ascii="Times New Roman" w:hAnsi="Times New Roman"/>
          <w:color w:val="000000" w:themeColor="text1"/>
          <w:sz w:val="16"/>
          <w:szCs w:val="16"/>
        </w:rPr>
        <w:t>соз</w:t>
      </w:r>
      <w:proofErr w:type="spellEnd"/>
      <w:r w:rsidRPr="00A259BD">
        <w:rPr>
          <w:rFonts w:ascii="Times New Roman" w:hAnsi="Times New Roman"/>
          <w:color w:val="000000" w:themeColor="text1"/>
          <w:sz w:val="16"/>
          <w:szCs w:val="16"/>
        </w:rPr>
        <w:t xml:space="preserve"> данная Бергом. Начальником полигона был назначен Г.А. </w:t>
      </w:r>
      <w:proofErr w:type="spellStart"/>
      <w:r w:rsidRPr="00A259BD">
        <w:rPr>
          <w:rFonts w:ascii="Times New Roman" w:hAnsi="Times New Roman"/>
          <w:color w:val="000000" w:themeColor="text1"/>
          <w:sz w:val="16"/>
          <w:szCs w:val="16"/>
        </w:rPr>
        <w:t>Положинцев</w:t>
      </w:r>
      <w:proofErr w:type="spellEnd"/>
      <w:r w:rsidRPr="00A259BD">
        <w:rPr>
          <w:rFonts w:ascii="Times New Roman" w:hAnsi="Times New Roman"/>
          <w:color w:val="000000" w:themeColor="text1"/>
          <w:sz w:val="16"/>
          <w:szCs w:val="16"/>
        </w:rPr>
        <w:t xml:space="preserve">, к </w:t>
      </w:r>
      <w:proofErr w:type="spellStart"/>
      <w:r w:rsidRPr="00A259BD">
        <w:rPr>
          <w:rFonts w:ascii="Times New Roman" w:hAnsi="Times New Roman"/>
          <w:color w:val="000000" w:themeColor="text1"/>
          <w:sz w:val="16"/>
          <w:szCs w:val="16"/>
        </w:rPr>
        <w:t>ра</w:t>
      </w:r>
      <w:proofErr w:type="spellEnd"/>
      <w:r w:rsidRPr="00A259BD">
        <w:rPr>
          <w:rFonts w:ascii="Times New Roman" w:hAnsi="Times New Roman"/>
          <w:color w:val="000000" w:themeColor="text1"/>
          <w:sz w:val="16"/>
          <w:szCs w:val="16"/>
        </w:rPr>
        <w:t xml:space="preserve"> боте были привлечены молодые специалисты связи А.И. Пустовалов, </w:t>
      </w:r>
      <w:proofErr w:type="spellStart"/>
      <w:r w:rsidRPr="00A259BD">
        <w:rPr>
          <w:rFonts w:ascii="Times New Roman" w:hAnsi="Times New Roman"/>
          <w:color w:val="000000" w:themeColor="text1"/>
          <w:sz w:val="16"/>
          <w:szCs w:val="16"/>
        </w:rPr>
        <w:t>И.В.Бренев</w:t>
      </w:r>
      <w:proofErr w:type="spellEnd"/>
      <w:r w:rsidRPr="00A259BD">
        <w:rPr>
          <w:rFonts w:ascii="Times New Roman" w:hAnsi="Times New Roman"/>
          <w:color w:val="000000" w:themeColor="text1"/>
          <w:sz w:val="16"/>
          <w:szCs w:val="16"/>
        </w:rPr>
        <w:t xml:space="preserve">, Г.А. Остроумов, а также высококвалифицированные специалисты ЭТЗСТ Н.Н. </w:t>
      </w:r>
      <w:proofErr w:type="spellStart"/>
      <w:r w:rsidRPr="00A259BD">
        <w:rPr>
          <w:rFonts w:ascii="Times New Roman" w:hAnsi="Times New Roman"/>
          <w:color w:val="000000" w:themeColor="text1"/>
          <w:sz w:val="16"/>
          <w:szCs w:val="16"/>
        </w:rPr>
        <w:t>Циклинский</w:t>
      </w:r>
      <w:proofErr w:type="spellEnd"/>
      <w:r w:rsidRPr="00A259BD">
        <w:rPr>
          <w:rFonts w:ascii="Times New Roman" w:hAnsi="Times New Roman"/>
          <w:color w:val="000000" w:themeColor="text1"/>
          <w:sz w:val="16"/>
          <w:szCs w:val="16"/>
        </w:rPr>
        <w:t xml:space="preserve"> (после перехода в ЦРЛ М.А. Бонч-Бруевича </w:t>
      </w:r>
      <w:proofErr w:type="spellStart"/>
      <w:r w:rsidRPr="00A259BD">
        <w:rPr>
          <w:rFonts w:ascii="Times New Roman" w:hAnsi="Times New Roman"/>
          <w:color w:val="000000" w:themeColor="text1"/>
          <w:sz w:val="16"/>
          <w:szCs w:val="16"/>
        </w:rPr>
        <w:t>возгла</w:t>
      </w:r>
      <w:proofErr w:type="spellEnd"/>
      <w:r w:rsidRPr="00A259BD">
        <w:rPr>
          <w:rFonts w:ascii="Times New Roman" w:hAnsi="Times New Roman"/>
          <w:color w:val="000000" w:themeColor="text1"/>
          <w:sz w:val="16"/>
          <w:szCs w:val="16"/>
        </w:rPr>
        <w:t xml:space="preserve"> вил в целом направление конструирования флотских радиостанций), С.И. </w:t>
      </w:r>
      <w:proofErr w:type="spellStart"/>
      <w:r w:rsidRPr="00A259BD">
        <w:rPr>
          <w:rFonts w:ascii="Times New Roman" w:hAnsi="Times New Roman"/>
          <w:color w:val="000000" w:themeColor="text1"/>
          <w:sz w:val="16"/>
          <w:szCs w:val="16"/>
        </w:rPr>
        <w:t>Зи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литинкевич</w:t>
      </w:r>
      <w:proofErr w:type="spellEnd"/>
      <w:r w:rsidRPr="00A259BD">
        <w:rPr>
          <w:rFonts w:ascii="Times New Roman" w:hAnsi="Times New Roman"/>
          <w:color w:val="000000" w:themeColor="text1"/>
          <w:sz w:val="16"/>
          <w:szCs w:val="16"/>
        </w:rPr>
        <w:t xml:space="preserve">, Г.А. </w:t>
      </w:r>
      <w:proofErr w:type="spellStart"/>
      <w:r w:rsidRPr="00A259BD">
        <w:rPr>
          <w:rFonts w:ascii="Times New Roman" w:hAnsi="Times New Roman"/>
          <w:color w:val="000000" w:themeColor="text1"/>
          <w:sz w:val="16"/>
          <w:szCs w:val="16"/>
        </w:rPr>
        <w:t>Зейтленок</w:t>
      </w:r>
      <w:proofErr w:type="spellEnd"/>
      <w:r w:rsidRPr="00A259BD">
        <w:rPr>
          <w:rFonts w:ascii="Times New Roman" w:hAnsi="Times New Roman"/>
          <w:color w:val="000000" w:themeColor="text1"/>
          <w:sz w:val="16"/>
          <w:szCs w:val="16"/>
        </w:rPr>
        <w:t xml:space="preserve">, В.А. Гуров, М.П. Старик, И.С. </w:t>
      </w:r>
      <w:proofErr w:type="spellStart"/>
      <w:r w:rsidRPr="00A259BD">
        <w:rPr>
          <w:rFonts w:ascii="Times New Roman" w:hAnsi="Times New Roman"/>
          <w:color w:val="000000" w:themeColor="text1"/>
          <w:sz w:val="16"/>
          <w:szCs w:val="16"/>
        </w:rPr>
        <w:t>Кукес</w:t>
      </w:r>
      <w:proofErr w:type="spellEnd"/>
      <w:r w:rsidRPr="00A259BD">
        <w:rPr>
          <w:rFonts w:ascii="Times New Roman" w:hAnsi="Times New Roman"/>
          <w:color w:val="000000" w:themeColor="text1"/>
          <w:sz w:val="16"/>
          <w:szCs w:val="16"/>
        </w:rPr>
        <w:t xml:space="preserve">. Созданная под руководством А.И. Берга первая система </w:t>
      </w:r>
      <w:proofErr w:type="spellStart"/>
      <w:r w:rsidRPr="00A259BD">
        <w:rPr>
          <w:rFonts w:ascii="Times New Roman" w:hAnsi="Times New Roman"/>
          <w:color w:val="000000" w:themeColor="text1"/>
          <w:sz w:val="16"/>
          <w:szCs w:val="16"/>
        </w:rPr>
        <w:t>радиовооружения</w:t>
      </w:r>
      <w:proofErr w:type="spellEnd"/>
      <w:r w:rsidRPr="00A259BD">
        <w:rPr>
          <w:rFonts w:ascii="Times New Roman" w:hAnsi="Times New Roman"/>
          <w:color w:val="000000" w:themeColor="text1"/>
          <w:sz w:val="16"/>
          <w:szCs w:val="16"/>
        </w:rPr>
        <w:t xml:space="preserve"> флота «БЛОКАДА-1» знаменовала собой конец старой искровой радиотехники и пе </w:t>
      </w:r>
      <w:proofErr w:type="spellStart"/>
      <w:r w:rsidRPr="00A259BD">
        <w:rPr>
          <w:rFonts w:ascii="Times New Roman" w:hAnsi="Times New Roman"/>
          <w:color w:val="000000" w:themeColor="text1"/>
          <w:sz w:val="16"/>
          <w:szCs w:val="16"/>
        </w:rPr>
        <w:t>реход</w:t>
      </w:r>
      <w:proofErr w:type="spellEnd"/>
      <w:r w:rsidRPr="00A259BD">
        <w:rPr>
          <w:rFonts w:ascii="Times New Roman" w:hAnsi="Times New Roman"/>
          <w:color w:val="000000" w:themeColor="text1"/>
          <w:sz w:val="16"/>
          <w:szCs w:val="16"/>
        </w:rPr>
        <w:t xml:space="preserve"> на ламповые передатчики и приемники, обеспечивающие более надеж </w:t>
      </w:r>
      <w:proofErr w:type="spellStart"/>
      <w:r w:rsidRPr="00A259BD">
        <w:rPr>
          <w:rFonts w:ascii="Times New Roman" w:hAnsi="Times New Roman"/>
          <w:color w:val="000000" w:themeColor="text1"/>
          <w:sz w:val="16"/>
          <w:szCs w:val="16"/>
        </w:rPr>
        <w:t>ную</w:t>
      </w:r>
      <w:proofErr w:type="spellEnd"/>
      <w:r w:rsidRPr="00A259BD">
        <w:rPr>
          <w:rFonts w:ascii="Times New Roman" w:hAnsi="Times New Roman"/>
          <w:color w:val="000000" w:themeColor="text1"/>
          <w:sz w:val="16"/>
          <w:szCs w:val="16"/>
        </w:rPr>
        <w:t xml:space="preserve"> радиосвязь (Морозов И.Д. Моряк и ученый, адмирал и академик // Петербургский журнал </w:t>
      </w:r>
      <w:proofErr w:type="spellStart"/>
      <w:r w:rsidRPr="00A259BD">
        <w:rPr>
          <w:rFonts w:ascii="Times New Roman" w:hAnsi="Times New Roman"/>
          <w:color w:val="000000" w:themeColor="text1"/>
          <w:sz w:val="16"/>
          <w:szCs w:val="16"/>
        </w:rPr>
        <w:t>электрони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ки</w:t>
      </w:r>
      <w:proofErr w:type="spellEnd"/>
      <w:r w:rsidRPr="00A259BD">
        <w:rPr>
          <w:rFonts w:ascii="Times New Roman" w:hAnsi="Times New Roman"/>
          <w:color w:val="000000" w:themeColor="text1"/>
          <w:sz w:val="16"/>
          <w:szCs w:val="16"/>
        </w:rPr>
        <w:t xml:space="preserve">. – 1993. - № 3. - С. 76.). После принятия решения о развертывании ЦВИРЛ и переориентации за вода им. Коминтерна на изготовление радиосредств для ВМФ структура </w:t>
      </w:r>
      <w:proofErr w:type="spellStart"/>
      <w:r w:rsidRPr="00A259BD">
        <w:rPr>
          <w:rFonts w:ascii="Times New Roman" w:hAnsi="Times New Roman"/>
          <w:color w:val="000000" w:themeColor="text1"/>
          <w:sz w:val="16"/>
          <w:szCs w:val="16"/>
        </w:rPr>
        <w:t>зака</w:t>
      </w:r>
      <w:proofErr w:type="spellEnd"/>
      <w:r w:rsidRPr="00A259BD">
        <w:rPr>
          <w:rFonts w:ascii="Times New Roman" w:hAnsi="Times New Roman"/>
          <w:color w:val="000000" w:themeColor="text1"/>
          <w:sz w:val="16"/>
          <w:szCs w:val="16"/>
        </w:rPr>
        <w:t xml:space="preserve"> зов для завода существенно изменилась. В течение 1929-1930 гг. предприятие завершило изготовление радиостанций, предусмотренных программой 1928/1929 хозяйственного года. Ведущее место в структуре разработок занимает морская тематика. Из прежней «сухопутной» тематики остаются: вагонные радиостанции типа 1ВФ (ЦГА СПб., ф. 945, оп. 3, д. 146, л. 53.), приемники различного назначения типа 44ПА, 45ПА, 46ПД, 47ПД (ЦГА СПб., ф. 945, оп. 3, д. 146, л. 39.), ар </w:t>
      </w:r>
      <w:proofErr w:type="spellStart"/>
      <w:r w:rsidRPr="00A259BD">
        <w:rPr>
          <w:rFonts w:ascii="Times New Roman" w:hAnsi="Times New Roman"/>
          <w:color w:val="000000" w:themeColor="text1"/>
          <w:sz w:val="16"/>
          <w:szCs w:val="16"/>
        </w:rPr>
        <w:t>тиллерийские</w:t>
      </w:r>
      <w:proofErr w:type="spellEnd"/>
      <w:r w:rsidRPr="00A259BD">
        <w:rPr>
          <w:rFonts w:ascii="Times New Roman" w:hAnsi="Times New Roman"/>
          <w:color w:val="000000" w:themeColor="text1"/>
          <w:sz w:val="16"/>
          <w:szCs w:val="16"/>
        </w:rPr>
        <w:t xml:space="preserve"> радиостанции 31ДП (ГОРА4) (ЦГА СПб., ф. 945, оп. 3, д. 146, л. 32.). Лабораторию на заводе им. Коминтерна после переезда отдела А.Т. </w:t>
      </w:r>
      <w:proofErr w:type="spellStart"/>
      <w:r w:rsidRPr="00A259BD">
        <w:rPr>
          <w:rFonts w:ascii="Times New Roman" w:hAnsi="Times New Roman"/>
          <w:color w:val="000000" w:themeColor="text1"/>
          <w:sz w:val="16"/>
          <w:szCs w:val="16"/>
        </w:rPr>
        <w:t>Уг</w:t>
      </w:r>
      <w:proofErr w:type="spellEnd"/>
      <w:r w:rsidRPr="00A259BD">
        <w:rPr>
          <w:rFonts w:ascii="Times New Roman" w:hAnsi="Times New Roman"/>
          <w:color w:val="000000" w:themeColor="text1"/>
          <w:sz w:val="16"/>
          <w:szCs w:val="16"/>
        </w:rPr>
        <w:t xml:space="preserve"> лова в Нижний Новгород возглавил А.Г. Шмидт. О широте научных и </w:t>
      </w:r>
      <w:proofErr w:type="spellStart"/>
      <w:r w:rsidRPr="00A259BD">
        <w:rPr>
          <w:rFonts w:ascii="Times New Roman" w:hAnsi="Times New Roman"/>
          <w:color w:val="000000" w:themeColor="text1"/>
          <w:sz w:val="16"/>
          <w:szCs w:val="16"/>
        </w:rPr>
        <w:t>произ</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водственных</w:t>
      </w:r>
      <w:proofErr w:type="spellEnd"/>
      <w:r w:rsidRPr="00A259BD">
        <w:rPr>
          <w:rFonts w:ascii="Times New Roman" w:hAnsi="Times New Roman"/>
          <w:color w:val="000000" w:themeColor="text1"/>
          <w:sz w:val="16"/>
          <w:szCs w:val="16"/>
        </w:rPr>
        <w:t xml:space="preserve"> задач, стоящих перед лабораторией, дает представление план ее работы на 1929/1930 хозяйственный год. План предусматривал работы по раз работке радиостанций различной мощности и различного волнового </w:t>
      </w:r>
      <w:proofErr w:type="spellStart"/>
      <w:r w:rsidRPr="00A259BD">
        <w:rPr>
          <w:rFonts w:ascii="Times New Roman" w:hAnsi="Times New Roman"/>
          <w:color w:val="000000" w:themeColor="text1"/>
          <w:sz w:val="16"/>
          <w:szCs w:val="16"/>
        </w:rPr>
        <w:t>диапазо</w:t>
      </w:r>
      <w:proofErr w:type="spellEnd"/>
      <w:r w:rsidRPr="00A259BD">
        <w:rPr>
          <w:rFonts w:ascii="Times New Roman" w:hAnsi="Times New Roman"/>
          <w:color w:val="000000" w:themeColor="text1"/>
          <w:sz w:val="16"/>
          <w:szCs w:val="16"/>
        </w:rPr>
        <w:t xml:space="preserve"> на, в т.ч. и коротковолнового, специального приемника, радиопеленгаторов для ВМФ, радиомаяков различного назначения. В плане проведения </w:t>
      </w:r>
      <w:proofErr w:type="spellStart"/>
      <w:r w:rsidRPr="00A259BD">
        <w:rPr>
          <w:rFonts w:ascii="Times New Roman" w:hAnsi="Times New Roman"/>
          <w:color w:val="000000" w:themeColor="text1"/>
          <w:sz w:val="16"/>
          <w:szCs w:val="16"/>
        </w:rPr>
        <w:t>исследо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вательских</w:t>
      </w:r>
      <w:proofErr w:type="spellEnd"/>
      <w:r w:rsidRPr="00A259BD">
        <w:rPr>
          <w:rFonts w:ascii="Times New Roman" w:hAnsi="Times New Roman"/>
          <w:color w:val="000000" w:themeColor="text1"/>
          <w:sz w:val="16"/>
          <w:szCs w:val="16"/>
        </w:rPr>
        <w:t xml:space="preserve"> работ проводилось изучение в области специальных антенн, схем на основе кварца, инфракрасных лучей (ИК-лучей), гидроакустики, </w:t>
      </w:r>
      <w:proofErr w:type="spellStart"/>
      <w:r w:rsidRPr="00A259BD">
        <w:rPr>
          <w:rFonts w:ascii="Times New Roman" w:hAnsi="Times New Roman"/>
          <w:color w:val="000000" w:themeColor="text1"/>
          <w:sz w:val="16"/>
          <w:szCs w:val="16"/>
        </w:rPr>
        <w:t>изоляци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онных</w:t>
      </w:r>
      <w:proofErr w:type="spellEnd"/>
      <w:r w:rsidRPr="00A259BD">
        <w:rPr>
          <w:rFonts w:ascii="Times New Roman" w:hAnsi="Times New Roman"/>
          <w:color w:val="000000" w:themeColor="text1"/>
          <w:sz w:val="16"/>
          <w:szCs w:val="16"/>
        </w:rPr>
        <w:t xml:space="preserve"> материалов (ЦГА СПб., ф. 945, оп. 3, д. 112, л. 12.) (11870).</w:t>
      </w:r>
    </w:p>
    <w:p w14:paraId="1E578D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E1CA29" w14:textId="77777777" w:rsidR="00E31436"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4154ADB" w14:textId="77777777" w:rsidR="00E31436" w:rsidRPr="00A259BD" w:rsidRDefault="00E3143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E583BC" w14:textId="77777777" w:rsidR="004B1BEB" w:rsidRPr="00A259BD" w:rsidRDefault="004B1BEB"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31 мая</w:t>
      </w:r>
      <w:r w:rsidRPr="00A259BD">
        <w:rPr>
          <w:rFonts w:ascii="Times New Roman" w:hAnsi="Times New Roman"/>
          <w:color w:val="000000" w:themeColor="text1"/>
          <w:sz w:val="16"/>
          <w:szCs w:val="16"/>
        </w:rPr>
        <w:t xml:space="preserve"> в 1929 году был подписан договор с американской компанией «Форд» о технической помощи Советскому Союзу в строительстве автозаводов сроком на 9 лет. Для строительства основного завода (полного цикла) был избран город Нижний Новгород (будущий Горьковский автозавод; ГАЗ) (14908).</w:t>
      </w:r>
    </w:p>
    <w:p w14:paraId="12FB846A" w14:textId="77777777" w:rsidR="004B1BEB" w:rsidRPr="00A259BD" w:rsidRDefault="004B1BEB" w:rsidP="009236E3">
      <w:pPr>
        <w:spacing w:after="0" w:line="240" w:lineRule="auto"/>
        <w:jc w:val="both"/>
        <w:rPr>
          <w:rFonts w:ascii="Times New Roman" w:hAnsi="Times New Roman"/>
          <w:color w:val="000000" w:themeColor="text1"/>
          <w:sz w:val="16"/>
          <w:szCs w:val="16"/>
        </w:rPr>
      </w:pPr>
    </w:p>
    <w:p w14:paraId="56138410" w14:textId="77777777" w:rsidR="004B1BEB" w:rsidRPr="00A259BD" w:rsidRDefault="004B1BEB" w:rsidP="009236E3">
      <w:pPr>
        <w:widowControl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мая </w:t>
      </w:r>
      <w:smartTag w:uri="urn:schemas-microsoft-com:office:smarttags" w:element="metricconverter">
        <w:smartTagPr>
          <w:attr w:name="ProductID" w:val="1929 г"/>
        </w:smartTagPr>
        <w:r w:rsidRPr="00A259BD">
          <w:rPr>
            <w:rFonts w:ascii="Times New Roman" w:hAnsi="Times New Roman"/>
            <w:color w:val="000000" w:themeColor="text1"/>
            <w:sz w:val="16"/>
            <w:szCs w:val="16"/>
          </w:rPr>
          <w:t>1929 г</w:t>
        </w:r>
      </w:smartTag>
      <w:r w:rsidRPr="00A259BD">
        <w:rPr>
          <w:rFonts w:ascii="Times New Roman" w:hAnsi="Times New Roman"/>
          <w:color w:val="000000" w:themeColor="text1"/>
          <w:sz w:val="16"/>
          <w:szCs w:val="16"/>
        </w:rPr>
        <w:t xml:space="preserve">. в г. Дирборне (США) между Г. Фордом и делегацией ВСНХ СССР был подписан договор. Советская сторона получала от компании техническую помощь при строительстве и пуске нового завода, право на изготовление моделей «Форд» и возможность обучения в США специалистов. Был установлен </w:t>
      </w:r>
      <w:proofErr w:type="spellStart"/>
      <w:r w:rsidRPr="00A259BD">
        <w:rPr>
          <w:rFonts w:ascii="Times New Roman" w:hAnsi="Times New Roman"/>
          <w:color w:val="000000" w:themeColor="text1"/>
          <w:sz w:val="16"/>
          <w:szCs w:val="16"/>
        </w:rPr>
        <w:t>девятилетный</w:t>
      </w:r>
      <w:proofErr w:type="spellEnd"/>
      <w:r w:rsidRPr="00A259BD">
        <w:rPr>
          <w:rFonts w:ascii="Times New Roman" w:hAnsi="Times New Roman"/>
          <w:color w:val="000000" w:themeColor="text1"/>
          <w:sz w:val="16"/>
          <w:szCs w:val="16"/>
        </w:rPr>
        <w:t xml:space="preserve"> срок технического сотрудничества. Разрешался доступ на заводы компании советских специалистов в количестве 50 человек ежегодно (Горьковский автомобильный / </w:t>
      </w:r>
      <w:proofErr w:type="spellStart"/>
      <w:r w:rsidRPr="00A259BD">
        <w:rPr>
          <w:rFonts w:ascii="Times New Roman" w:hAnsi="Times New Roman"/>
          <w:color w:val="000000" w:themeColor="text1"/>
          <w:sz w:val="16"/>
          <w:szCs w:val="16"/>
        </w:rPr>
        <w:t>редкол</w:t>
      </w:r>
      <w:proofErr w:type="spellEnd"/>
      <w:r w:rsidRPr="00A259BD">
        <w:rPr>
          <w:rFonts w:ascii="Times New Roman" w:hAnsi="Times New Roman"/>
          <w:color w:val="000000" w:themeColor="text1"/>
          <w:sz w:val="16"/>
          <w:szCs w:val="16"/>
        </w:rPr>
        <w:t xml:space="preserve">.: И.И. Киселев, В.Я. Доброхотов, А.В. Новиков и др. / науч. ред. В.Я. Доброхотов. – М.: Мысль, 1981. – С. 11.). В качество оплаты советская сторона давала обязательство приобрести в течение четырех лет 72 тыс. комплектов деталей, из которых до начала пуска нового завода должны были собираться легковые автомобили «Форд-А» и грузовики «Форд-АА». Договор с Фордом оказался выгодным для обеих сторон. Он дал возможность сразу же начать сборку машин. Для этого в Нижнем Новгороде был переоборудован завод «Гудок Октября». На нем предстояло собирать ежегодно по 12 тыс. автомобилей из фордовских деталей. Первые машины были выпущены уже в феврале </w:t>
      </w:r>
      <w:smartTag w:uri="urn:schemas-microsoft-com:office:smarttags" w:element="metricconverter">
        <w:smartTagPr>
          <w:attr w:name="ProductID" w:val="1930 г"/>
        </w:smartTagPr>
        <w:r w:rsidRPr="00A259BD">
          <w:rPr>
            <w:rFonts w:ascii="Times New Roman" w:hAnsi="Times New Roman"/>
            <w:color w:val="000000" w:themeColor="text1"/>
            <w:sz w:val="16"/>
            <w:szCs w:val="16"/>
          </w:rPr>
          <w:t>1930 г</w:t>
        </w:r>
      </w:smartTag>
      <w:r w:rsidRPr="00A259BD">
        <w:rPr>
          <w:rFonts w:ascii="Times New Roman" w:hAnsi="Times New Roman"/>
          <w:color w:val="000000" w:themeColor="text1"/>
          <w:sz w:val="16"/>
          <w:szCs w:val="16"/>
        </w:rPr>
        <w:t xml:space="preserve"> (15218).</w:t>
      </w:r>
    </w:p>
    <w:p w14:paraId="45BE446F" w14:textId="77777777" w:rsidR="004B1BEB" w:rsidRPr="00A259BD" w:rsidRDefault="004B1BEB" w:rsidP="009236E3">
      <w:pPr>
        <w:widowControl w:val="0"/>
        <w:spacing w:after="0" w:line="240" w:lineRule="auto"/>
        <w:jc w:val="both"/>
        <w:rPr>
          <w:rFonts w:ascii="Times New Roman" w:hAnsi="Times New Roman"/>
          <w:color w:val="000000" w:themeColor="text1"/>
          <w:sz w:val="16"/>
          <w:szCs w:val="16"/>
        </w:rPr>
      </w:pPr>
    </w:p>
    <w:p w14:paraId="2F54425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E830D8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4A9E3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мая 1929 НТК УВВС получил от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материалы по основной военной нагрузке ТОМ-1 (</w:t>
      </w:r>
      <w:proofErr w:type="spellStart"/>
      <w:r w:rsidRPr="00A259BD">
        <w:rPr>
          <w:rFonts w:ascii="Times New Roman" w:hAnsi="Times New Roman"/>
          <w:color w:val="000000" w:themeColor="text1"/>
          <w:sz w:val="16"/>
          <w:szCs w:val="16"/>
        </w:rPr>
        <w:t>П.Ришара</w:t>
      </w:r>
      <w:proofErr w:type="spellEnd"/>
      <w:r w:rsidRPr="00A259BD">
        <w:rPr>
          <w:rFonts w:ascii="Times New Roman" w:hAnsi="Times New Roman"/>
          <w:color w:val="000000" w:themeColor="text1"/>
          <w:sz w:val="16"/>
          <w:szCs w:val="16"/>
        </w:rPr>
        <w:t xml:space="preserve">). Комиссия в составе представителей НКТ,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ОПО-4 и завода запротоколировала требования размера и типа бомб и торпед, соответствующего назначению машины и выдвинула ряд пожеланий по нагрузке...(2363).</w:t>
      </w:r>
    </w:p>
    <w:p w14:paraId="54811D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5CF5A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148E62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4B241F6"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был принят «оптимальный вариант» пятилетнего плана развития народного хозяйства СССР на 1928/29–1932/33 гг., в рамках которого существовали также пятилетние планы для отдельных отраслей оборонной промышленности, в частности самолетостроения. Запланированные темпы роста авиационной промышленности даны в таблице.</w:t>
      </w:r>
    </w:p>
    <w:p w14:paraId="45991B09"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Сравнительные потребности авиации в мирное и военное время, по первому пятилетнему плану.</w:t>
      </w:r>
    </w:p>
    <w:tbl>
      <w:tblPr>
        <w:tblW w:w="5000" w:type="pct"/>
        <w:jc w:val="center"/>
        <w:tblBorders>
          <w:top w:val="single" w:sz="6" w:space="0" w:color="666666"/>
          <w:left w:val="single" w:sz="6" w:space="0" w:color="666666"/>
          <w:bottom w:val="single" w:sz="6" w:space="0" w:color="666666"/>
          <w:right w:val="single" w:sz="6" w:space="0" w:color="666666"/>
          <w:insideH w:val="single" w:sz="6" w:space="0" w:color="666666"/>
          <w:insideV w:val="single" w:sz="6" w:space="0" w:color="666666"/>
        </w:tblBorders>
        <w:tblCellMar>
          <w:top w:w="15" w:type="dxa"/>
          <w:left w:w="15" w:type="dxa"/>
          <w:bottom w:w="15" w:type="dxa"/>
          <w:right w:w="15" w:type="dxa"/>
        </w:tblCellMar>
        <w:tblLook w:val="04A0" w:firstRow="1" w:lastRow="0" w:firstColumn="1" w:lastColumn="0" w:noHBand="0" w:noVBand="1"/>
      </w:tblPr>
      <w:tblGrid>
        <w:gridCol w:w="1151"/>
        <w:gridCol w:w="3178"/>
        <w:gridCol w:w="3255"/>
        <w:gridCol w:w="3738"/>
      </w:tblGrid>
      <w:tr w:rsidR="00A259BD" w:rsidRPr="00A259BD" w14:paraId="4E626C75" w14:textId="77777777" w:rsidTr="00261E4C">
        <w:trPr>
          <w:jc w:val="center"/>
        </w:trPr>
        <w:tc>
          <w:tcPr>
            <w:tcW w:w="0" w:type="auto"/>
            <w:shd w:val="clear" w:color="auto" w:fill="auto"/>
            <w:tcMar>
              <w:top w:w="75" w:type="dxa"/>
              <w:left w:w="75" w:type="dxa"/>
              <w:bottom w:w="75" w:type="dxa"/>
              <w:right w:w="75" w:type="dxa"/>
            </w:tcMar>
            <w:hideMark/>
          </w:tcPr>
          <w:p w14:paraId="1DAF099B"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smallCaps/>
                <w:color w:val="000000" w:themeColor="text1"/>
                <w:sz w:val="16"/>
                <w:szCs w:val="16"/>
              </w:rPr>
              <w:t xml:space="preserve">Годы </w:t>
            </w:r>
          </w:p>
        </w:tc>
        <w:tc>
          <w:tcPr>
            <w:tcW w:w="0" w:type="auto"/>
            <w:shd w:val="clear" w:color="auto" w:fill="auto"/>
            <w:tcMar>
              <w:top w:w="75" w:type="dxa"/>
              <w:left w:w="75" w:type="dxa"/>
              <w:bottom w:w="75" w:type="dxa"/>
              <w:right w:w="75" w:type="dxa"/>
            </w:tcMar>
            <w:hideMark/>
          </w:tcPr>
          <w:p w14:paraId="5F1030E9"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Самолеты, мирное время</w:t>
            </w:r>
          </w:p>
        </w:tc>
        <w:tc>
          <w:tcPr>
            <w:tcW w:w="0" w:type="auto"/>
            <w:shd w:val="clear" w:color="auto" w:fill="auto"/>
            <w:tcMar>
              <w:top w:w="75" w:type="dxa"/>
              <w:left w:w="75" w:type="dxa"/>
              <w:bottom w:w="75" w:type="dxa"/>
              <w:right w:w="75" w:type="dxa"/>
            </w:tcMar>
            <w:hideMark/>
          </w:tcPr>
          <w:p w14:paraId="0B313DEE"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Самолеты, военное время</w:t>
            </w:r>
          </w:p>
        </w:tc>
        <w:tc>
          <w:tcPr>
            <w:tcW w:w="0" w:type="auto"/>
            <w:shd w:val="clear" w:color="auto" w:fill="auto"/>
            <w:tcMar>
              <w:top w:w="75" w:type="dxa"/>
              <w:left w:w="75" w:type="dxa"/>
              <w:bottom w:w="75" w:type="dxa"/>
              <w:right w:w="75" w:type="dxa"/>
            </w:tcMar>
            <w:hideMark/>
          </w:tcPr>
          <w:p w14:paraId="7B217A6C"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Мобилизацией, заявка НКВМ</w:t>
            </w:r>
          </w:p>
        </w:tc>
      </w:tr>
      <w:tr w:rsidR="00A259BD" w:rsidRPr="00A259BD" w14:paraId="0683B343" w14:textId="77777777" w:rsidTr="00261E4C">
        <w:trPr>
          <w:jc w:val="center"/>
        </w:trPr>
        <w:tc>
          <w:tcPr>
            <w:tcW w:w="0" w:type="auto"/>
            <w:shd w:val="clear" w:color="auto" w:fill="auto"/>
            <w:tcMar>
              <w:top w:w="75" w:type="dxa"/>
              <w:left w:w="75" w:type="dxa"/>
              <w:bottom w:w="75" w:type="dxa"/>
              <w:right w:w="75" w:type="dxa"/>
            </w:tcMar>
            <w:hideMark/>
          </w:tcPr>
          <w:p w14:paraId="30E79BA6"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1928/29</w:t>
            </w:r>
          </w:p>
        </w:tc>
        <w:tc>
          <w:tcPr>
            <w:tcW w:w="0" w:type="auto"/>
            <w:shd w:val="clear" w:color="auto" w:fill="auto"/>
            <w:tcMar>
              <w:top w:w="75" w:type="dxa"/>
              <w:left w:w="75" w:type="dxa"/>
              <w:bottom w:w="75" w:type="dxa"/>
              <w:right w:w="75" w:type="dxa"/>
            </w:tcMar>
            <w:hideMark/>
          </w:tcPr>
          <w:p w14:paraId="404AEC4C"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w:t>
            </w:r>
          </w:p>
        </w:tc>
        <w:tc>
          <w:tcPr>
            <w:tcW w:w="0" w:type="auto"/>
            <w:shd w:val="clear" w:color="auto" w:fill="auto"/>
            <w:tcMar>
              <w:top w:w="75" w:type="dxa"/>
              <w:left w:w="75" w:type="dxa"/>
              <w:bottom w:w="75" w:type="dxa"/>
              <w:right w:w="75" w:type="dxa"/>
            </w:tcMar>
            <w:hideMark/>
          </w:tcPr>
          <w:p w14:paraId="1557F3E8"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1980</w:t>
            </w:r>
          </w:p>
        </w:tc>
        <w:tc>
          <w:tcPr>
            <w:tcW w:w="0" w:type="auto"/>
            <w:shd w:val="clear" w:color="auto" w:fill="auto"/>
            <w:tcMar>
              <w:top w:w="75" w:type="dxa"/>
              <w:left w:w="75" w:type="dxa"/>
              <w:bottom w:w="75" w:type="dxa"/>
              <w:right w:w="75" w:type="dxa"/>
            </w:tcMar>
            <w:hideMark/>
          </w:tcPr>
          <w:p w14:paraId="6A34CC04"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w:t>
            </w:r>
          </w:p>
        </w:tc>
      </w:tr>
      <w:tr w:rsidR="00A259BD" w:rsidRPr="00A259BD" w14:paraId="321A2488" w14:textId="77777777" w:rsidTr="00261E4C">
        <w:trPr>
          <w:jc w:val="center"/>
        </w:trPr>
        <w:tc>
          <w:tcPr>
            <w:tcW w:w="0" w:type="auto"/>
            <w:shd w:val="clear" w:color="auto" w:fill="auto"/>
            <w:tcMar>
              <w:top w:w="75" w:type="dxa"/>
              <w:left w:w="75" w:type="dxa"/>
              <w:bottom w:w="75" w:type="dxa"/>
              <w:right w:w="75" w:type="dxa"/>
            </w:tcMar>
            <w:hideMark/>
          </w:tcPr>
          <w:p w14:paraId="0580C3D8"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w:t>
            </w:r>
          </w:p>
        </w:tc>
        <w:tc>
          <w:tcPr>
            <w:tcW w:w="0" w:type="auto"/>
            <w:shd w:val="clear" w:color="auto" w:fill="auto"/>
            <w:tcMar>
              <w:top w:w="75" w:type="dxa"/>
              <w:left w:w="75" w:type="dxa"/>
              <w:bottom w:w="75" w:type="dxa"/>
              <w:right w:w="75" w:type="dxa"/>
            </w:tcMar>
            <w:hideMark/>
          </w:tcPr>
          <w:p w14:paraId="37E5F948"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1357</w:t>
            </w:r>
          </w:p>
        </w:tc>
        <w:tc>
          <w:tcPr>
            <w:tcW w:w="0" w:type="auto"/>
            <w:shd w:val="clear" w:color="auto" w:fill="auto"/>
            <w:tcMar>
              <w:top w:w="75" w:type="dxa"/>
              <w:left w:w="75" w:type="dxa"/>
              <w:bottom w:w="75" w:type="dxa"/>
              <w:right w:w="75" w:type="dxa"/>
            </w:tcMar>
            <w:hideMark/>
          </w:tcPr>
          <w:p w14:paraId="0C990165"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2474</w:t>
            </w:r>
          </w:p>
        </w:tc>
        <w:tc>
          <w:tcPr>
            <w:tcW w:w="0" w:type="auto"/>
            <w:shd w:val="clear" w:color="auto" w:fill="auto"/>
            <w:tcMar>
              <w:top w:w="75" w:type="dxa"/>
              <w:left w:w="75" w:type="dxa"/>
              <w:bottom w:w="75" w:type="dxa"/>
              <w:right w:w="75" w:type="dxa"/>
            </w:tcMar>
            <w:hideMark/>
          </w:tcPr>
          <w:p w14:paraId="64D7490B"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w:t>
            </w:r>
          </w:p>
        </w:tc>
      </w:tr>
      <w:tr w:rsidR="00A259BD" w:rsidRPr="00A259BD" w14:paraId="1B6C248C" w14:textId="77777777" w:rsidTr="00261E4C">
        <w:trPr>
          <w:jc w:val="center"/>
        </w:trPr>
        <w:tc>
          <w:tcPr>
            <w:tcW w:w="0" w:type="auto"/>
            <w:shd w:val="clear" w:color="auto" w:fill="auto"/>
            <w:tcMar>
              <w:top w:w="75" w:type="dxa"/>
              <w:left w:w="75" w:type="dxa"/>
              <w:bottom w:w="75" w:type="dxa"/>
              <w:right w:w="75" w:type="dxa"/>
            </w:tcMar>
            <w:hideMark/>
          </w:tcPr>
          <w:p w14:paraId="2FF840B6"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w:t>
            </w:r>
          </w:p>
        </w:tc>
        <w:tc>
          <w:tcPr>
            <w:tcW w:w="0" w:type="auto"/>
            <w:shd w:val="clear" w:color="auto" w:fill="auto"/>
            <w:tcMar>
              <w:top w:w="75" w:type="dxa"/>
              <w:left w:w="75" w:type="dxa"/>
              <w:bottom w:w="75" w:type="dxa"/>
              <w:right w:w="75" w:type="dxa"/>
            </w:tcMar>
            <w:hideMark/>
          </w:tcPr>
          <w:p w14:paraId="61D74EA5"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1357</w:t>
            </w:r>
          </w:p>
        </w:tc>
        <w:tc>
          <w:tcPr>
            <w:tcW w:w="0" w:type="auto"/>
            <w:shd w:val="clear" w:color="auto" w:fill="auto"/>
            <w:tcMar>
              <w:top w:w="75" w:type="dxa"/>
              <w:left w:w="75" w:type="dxa"/>
              <w:bottom w:w="75" w:type="dxa"/>
              <w:right w:w="75" w:type="dxa"/>
            </w:tcMar>
            <w:hideMark/>
          </w:tcPr>
          <w:p w14:paraId="1BF1098D"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3003</w:t>
            </w:r>
          </w:p>
        </w:tc>
        <w:tc>
          <w:tcPr>
            <w:tcW w:w="0" w:type="auto"/>
            <w:shd w:val="clear" w:color="auto" w:fill="auto"/>
            <w:tcMar>
              <w:top w:w="75" w:type="dxa"/>
              <w:left w:w="75" w:type="dxa"/>
              <w:bottom w:w="75" w:type="dxa"/>
              <w:right w:w="75" w:type="dxa"/>
            </w:tcMar>
            <w:hideMark/>
          </w:tcPr>
          <w:p w14:paraId="0908387F"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4350</w:t>
            </w:r>
          </w:p>
        </w:tc>
      </w:tr>
      <w:tr w:rsidR="00A259BD" w:rsidRPr="00A259BD" w14:paraId="3ACE7A35" w14:textId="77777777" w:rsidTr="00261E4C">
        <w:trPr>
          <w:jc w:val="center"/>
        </w:trPr>
        <w:tc>
          <w:tcPr>
            <w:tcW w:w="0" w:type="auto"/>
            <w:shd w:val="clear" w:color="auto" w:fill="auto"/>
            <w:tcMar>
              <w:top w:w="75" w:type="dxa"/>
              <w:left w:w="75" w:type="dxa"/>
              <w:bottom w:w="75" w:type="dxa"/>
              <w:right w:w="75" w:type="dxa"/>
            </w:tcMar>
            <w:hideMark/>
          </w:tcPr>
          <w:p w14:paraId="1EC2E27B"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w:t>
            </w:r>
          </w:p>
        </w:tc>
        <w:tc>
          <w:tcPr>
            <w:tcW w:w="0" w:type="auto"/>
            <w:shd w:val="clear" w:color="auto" w:fill="auto"/>
            <w:tcMar>
              <w:top w:w="75" w:type="dxa"/>
              <w:left w:w="75" w:type="dxa"/>
              <w:bottom w:w="75" w:type="dxa"/>
              <w:right w:w="75" w:type="dxa"/>
            </w:tcMar>
            <w:hideMark/>
          </w:tcPr>
          <w:p w14:paraId="3577576F"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1609</w:t>
            </w:r>
          </w:p>
        </w:tc>
        <w:tc>
          <w:tcPr>
            <w:tcW w:w="0" w:type="auto"/>
            <w:shd w:val="clear" w:color="auto" w:fill="auto"/>
            <w:tcMar>
              <w:top w:w="75" w:type="dxa"/>
              <w:left w:w="75" w:type="dxa"/>
              <w:bottom w:w="75" w:type="dxa"/>
              <w:right w:w="75" w:type="dxa"/>
            </w:tcMar>
            <w:hideMark/>
          </w:tcPr>
          <w:p w14:paraId="3E62137E"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4875</w:t>
            </w:r>
          </w:p>
        </w:tc>
        <w:tc>
          <w:tcPr>
            <w:tcW w:w="0" w:type="auto"/>
            <w:shd w:val="clear" w:color="auto" w:fill="auto"/>
            <w:tcMar>
              <w:top w:w="75" w:type="dxa"/>
              <w:left w:w="75" w:type="dxa"/>
              <w:bottom w:w="75" w:type="dxa"/>
              <w:right w:w="75" w:type="dxa"/>
            </w:tcMar>
            <w:hideMark/>
          </w:tcPr>
          <w:p w14:paraId="53929E44"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4710</w:t>
            </w:r>
          </w:p>
        </w:tc>
      </w:tr>
      <w:tr w:rsidR="00A259BD" w:rsidRPr="00A259BD" w14:paraId="2E21F09F" w14:textId="77777777" w:rsidTr="00261E4C">
        <w:trPr>
          <w:jc w:val="center"/>
        </w:trPr>
        <w:tc>
          <w:tcPr>
            <w:tcW w:w="0" w:type="auto"/>
            <w:shd w:val="clear" w:color="auto" w:fill="auto"/>
            <w:tcMar>
              <w:top w:w="75" w:type="dxa"/>
              <w:left w:w="75" w:type="dxa"/>
              <w:bottom w:w="75" w:type="dxa"/>
              <w:right w:w="75" w:type="dxa"/>
            </w:tcMar>
            <w:hideMark/>
          </w:tcPr>
          <w:p w14:paraId="1E33257D"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w:t>
            </w:r>
          </w:p>
        </w:tc>
        <w:tc>
          <w:tcPr>
            <w:tcW w:w="0" w:type="auto"/>
            <w:shd w:val="clear" w:color="auto" w:fill="auto"/>
            <w:tcMar>
              <w:top w:w="75" w:type="dxa"/>
              <w:left w:w="75" w:type="dxa"/>
              <w:bottom w:w="75" w:type="dxa"/>
              <w:right w:w="75" w:type="dxa"/>
            </w:tcMar>
            <w:hideMark/>
          </w:tcPr>
          <w:p w14:paraId="2B31E4E8"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2611</w:t>
            </w:r>
          </w:p>
        </w:tc>
        <w:tc>
          <w:tcPr>
            <w:tcW w:w="0" w:type="auto"/>
            <w:shd w:val="clear" w:color="auto" w:fill="auto"/>
            <w:tcMar>
              <w:top w:w="75" w:type="dxa"/>
              <w:left w:w="75" w:type="dxa"/>
              <w:bottom w:w="75" w:type="dxa"/>
              <w:right w:w="75" w:type="dxa"/>
            </w:tcMar>
            <w:hideMark/>
          </w:tcPr>
          <w:p w14:paraId="34277079"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7098</w:t>
            </w:r>
          </w:p>
        </w:tc>
        <w:tc>
          <w:tcPr>
            <w:tcW w:w="0" w:type="auto"/>
            <w:shd w:val="clear" w:color="auto" w:fill="auto"/>
            <w:tcMar>
              <w:top w:w="75" w:type="dxa"/>
              <w:left w:w="75" w:type="dxa"/>
              <w:bottom w:w="75" w:type="dxa"/>
              <w:right w:w="75" w:type="dxa"/>
            </w:tcMar>
            <w:hideMark/>
          </w:tcPr>
          <w:p w14:paraId="6812A3C7"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6865</w:t>
            </w:r>
          </w:p>
        </w:tc>
      </w:tr>
    </w:tbl>
    <w:p w14:paraId="6718C9BE"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РГАЭ. Ф.4372. Оп.91. Д.223. Л.58об., 57об. (17208)</w:t>
      </w:r>
    </w:p>
    <w:p w14:paraId="3D0070E4" w14:textId="77777777" w:rsidR="00721C26" w:rsidRPr="00A259BD" w:rsidRDefault="00721C26" w:rsidP="009236E3">
      <w:pPr>
        <w:autoSpaceDE w:val="0"/>
        <w:autoSpaceDN w:val="0"/>
        <w:adjustRightInd w:val="0"/>
        <w:spacing w:after="0" w:line="240" w:lineRule="auto"/>
        <w:jc w:val="both"/>
        <w:rPr>
          <w:rFonts w:ascii="Times New Roman" w:hAnsi="Times New Roman"/>
          <w:color w:val="000000" w:themeColor="text1"/>
          <w:sz w:val="16"/>
          <w:szCs w:val="16"/>
        </w:rPr>
      </w:pPr>
    </w:p>
    <w:p w14:paraId="54F79F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начались полеты на АНТ-9 (71,180). Было сделано 66 трехмоторных и 60 двухмоторных. Первый полет состоялся 5 мая 1929 (237,157).</w:t>
      </w:r>
    </w:p>
    <w:p w14:paraId="3AB8D9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Испытания вел </w:t>
      </w:r>
      <w:proofErr w:type="spellStart"/>
      <w:r w:rsidRPr="00A259BD">
        <w:rPr>
          <w:rFonts w:ascii="Times New Roman" w:hAnsi="Times New Roman"/>
          <w:color w:val="000000" w:themeColor="text1"/>
          <w:sz w:val="16"/>
          <w:szCs w:val="16"/>
        </w:rPr>
        <w:t>М.М.Громов</w:t>
      </w:r>
      <w:proofErr w:type="spellEnd"/>
      <w:r w:rsidRPr="00A259BD">
        <w:rPr>
          <w:rFonts w:ascii="Times New Roman" w:hAnsi="Times New Roman"/>
          <w:color w:val="000000" w:themeColor="text1"/>
          <w:sz w:val="16"/>
          <w:szCs w:val="16"/>
        </w:rPr>
        <w:t xml:space="preserve"> и завершил в июне (346,42).</w:t>
      </w:r>
    </w:p>
    <w:p w14:paraId="608B3E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EEF2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1928 же чертежи АНТ-9 передали на завод 22 (346,43).</w:t>
      </w:r>
    </w:p>
    <w:p w14:paraId="61D4E3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4892723" w14:textId="77777777" w:rsidR="00DE062D" w:rsidRPr="00441F34" w:rsidRDefault="00DE062D" w:rsidP="00DE062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мае 1929 г. се</w:t>
      </w:r>
      <w:r w:rsidRPr="00441F34">
        <w:rPr>
          <w:rFonts w:ascii="Times New Roman" w:hAnsi="Times New Roman"/>
          <w:color w:val="0070C0"/>
          <w:sz w:val="16"/>
          <w:szCs w:val="16"/>
        </w:rPr>
        <w:softHyphen/>
        <w:t>рийные чертежи АНТ-9 передали заводу №22. С планером самолета никаких труднос</w:t>
      </w:r>
      <w:r w:rsidRPr="00441F34">
        <w:rPr>
          <w:rFonts w:ascii="Times New Roman" w:hAnsi="Times New Roman"/>
          <w:color w:val="0070C0"/>
          <w:sz w:val="16"/>
          <w:szCs w:val="16"/>
        </w:rPr>
        <w:softHyphen/>
        <w:t xml:space="preserve">тей не возникло. Они появились из-за двигателей. Импортных «Титанов» для серийных самолетов не было. Вместо них решили использовать имевшиеся в небольшом количестве двигатели </w:t>
      </w:r>
      <w:proofErr w:type="spellStart"/>
      <w:r w:rsidRPr="00441F34">
        <w:rPr>
          <w:rFonts w:ascii="Times New Roman" w:hAnsi="Times New Roman"/>
          <w:color w:val="0070C0"/>
          <w:sz w:val="16"/>
          <w:szCs w:val="16"/>
        </w:rPr>
        <w:t>Wright</w:t>
      </w:r>
      <w:proofErr w:type="spellEnd"/>
      <w:r w:rsidRPr="00441F34">
        <w:rPr>
          <w:rFonts w:ascii="Times New Roman" w:hAnsi="Times New Roman"/>
          <w:color w:val="0070C0"/>
          <w:sz w:val="16"/>
          <w:szCs w:val="16"/>
        </w:rPr>
        <w:t xml:space="preserve"> J—6 </w:t>
      </w:r>
      <w:proofErr w:type="spellStart"/>
      <w:r w:rsidRPr="00441F34">
        <w:rPr>
          <w:rFonts w:ascii="Times New Roman" w:hAnsi="Times New Roman"/>
          <w:color w:val="0070C0"/>
          <w:sz w:val="16"/>
          <w:szCs w:val="16"/>
        </w:rPr>
        <w:t>Whirlwind</w:t>
      </w:r>
      <w:proofErr w:type="spellEnd"/>
      <w:r w:rsidRPr="00441F34">
        <w:rPr>
          <w:rFonts w:ascii="Times New Roman" w:hAnsi="Times New Roman"/>
          <w:color w:val="0070C0"/>
          <w:sz w:val="16"/>
          <w:szCs w:val="16"/>
        </w:rPr>
        <w:t xml:space="preserve"> с металлическими трехло</w:t>
      </w:r>
      <w:r w:rsidRPr="00441F34">
        <w:rPr>
          <w:rFonts w:ascii="Times New Roman" w:hAnsi="Times New Roman"/>
          <w:color w:val="0070C0"/>
          <w:sz w:val="16"/>
          <w:szCs w:val="16"/>
        </w:rPr>
        <w:softHyphen/>
        <w:t>пастными винтами изменяемого шага. В начале августа 1930 г. их и поставили на опытную машину. Испытания проводил М.М. Громов. Скорость повысилась с 209 до 230,5 км/ч, потолок возрос до 4500 м. Самолет мог продолжать полет при одном остановившемся моторе. Ес</w:t>
      </w:r>
      <w:r w:rsidRPr="00441F34">
        <w:rPr>
          <w:rFonts w:ascii="Times New Roman" w:hAnsi="Times New Roman"/>
          <w:color w:val="0070C0"/>
          <w:sz w:val="16"/>
          <w:szCs w:val="16"/>
        </w:rPr>
        <w:softHyphen/>
        <w:t>ли это был средний — на высоте 1200 м, если один из крайних — на высоте 200 м.</w:t>
      </w:r>
    </w:p>
    <w:p w14:paraId="5CAF517D" w14:textId="77777777" w:rsidR="00DE062D" w:rsidRPr="00441F34" w:rsidRDefault="00DE062D" w:rsidP="00DE062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 двигателями </w:t>
      </w:r>
      <w:proofErr w:type="spellStart"/>
      <w:r w:rsidRPr="00441F34">
        <w:rPr>
          <w:rFonts w:ascii="Times New Roman" w:hAnsi="Times New Roman"/>
          <w:color w:val="0070C0"/>
          <w:sz w:val="16"/>
          <w:szCs w:val="16"/>
        </w:rPr>
        <w:t>Wright</w:t>
      </w:r>
      <w:proofErr w:type="spellEnd"/>
      <w:r w:rsidRPr="00441F34">
        <w:rPr>
          <w:rFonts w:ascii="Times New Roman" w:hAnsi="Times New Roman"/>
          <w:color w:val="0070C0"/>
          <w:sz w:val="16"/>
          <w:szCs w:val="16"/>
        </w:rPr>
        <w:t xml:space="preserve"> завод №22 по</w:t>
      </w:r>
      <w:r w:rsidRPr="00441F34">
        <w:rPr>
          <w:rFonts w:ascii="Times New Roman" w:hAnsi="Times New Roman"/>
          <w:color w:val="0070C0"/>
          <w:sz w:val="16"/>
          <w:szCs w:val="16"/>
        </w:rPr>
        <w:softHyphen/>
        <w:t>строил небольшую серию. Несколько таких самолетов использовались в ВВС в качестве штабных. Две машины экс</w:t>
      </w:r>
      <w:r w:rsidRPr="00441F34">
        <w:rPr>
          <w:rFonts w:ascii="Times New Roman" w:hAnsi="Times New Roman"/>
          <w:color w:val="0070C0"/>
          <w:sz w:val="16"/>
          <w:szCs w:val="16"/>
        </w:rPr>
        <w:softHyphen/>
        <w:t xml:space="preserve">плуатировались обществом </w:t>
      </w:r>
      <w:proofErr w:type="spellStart"/>
      <w:r w:rsidRPr="00441F34">
        <w:rPr>
          <w:rFonts w:ascii="Times New Roman" w:hAnsi="Times New Roman"/>
          <w:color w:val="0070C0"/>
          <w:sz w:val="16"/>
          <w:szCs w:val="16"/>
        </w:rPr>
        <w:t>Deruluft</w:t>
      </w:r>
      <w:proofErr w:type="spellEnd"/>
      <w:r w:rsidRPr="00441F34">
        <w:rPr>
          <w:rFonts w:ascii="Times New Roman" w:hAnsi="Times New Roman"/>
          <w:color w:val="0070C0"/>
          <w:sz w:val="16"/>
          <w:szCs w:val="16"/>
        </w:rPr>
        <w:t xml:space="preserve"> на линии Москва — Кенигсберг — Берлин. Крылья «</w:t>
      </w:r>
      <w:proofErr w:type="spellStart"/>
      <w:r w:rsidRPr="00441F34">
        <w:rPr>
          <w:rFonts w:ascii="Times New Roman" w:hAnsi="Times New Roman"/>
          <w:color w:val="0070C0"/>
          <w:sz w:val="16"/>
          <w:szCs w:val="16"/>
        </w:rPr>
        <w:t>дерулюфтовских</w:t>
      </w:r>
      <w:proofErr w:type="spellEnd"/>
      <w:r w:rsidRPr="00441F34">
        <w:rPr>
          <w:rFonts w:ascii="Times New Roman" w:hAnsi="Times New Roman"/>
          <w:color w:val="0070C0"/>
          <w:sz w:val="16"/>
          <w:szCs w:val="16"/>
        </w:rPr>
        <w:t>» АНТ—9 по</w:t>
      </w:r>
      <w:r w:rsidRPr="00441F34">
        <w:rPr>
          <w:rFonts w:ascii="Times New Roman" w:hAnsi="Times New Roman"/>
          <w:color w:val="0070C0"/>
          <w:sz w:val="16"/>
          <w:szCs w:val="16"/>
        </w:rPr>
        <w:softHyphen/>
        <w:t>верх гофра обтянули полотном, а колеса шасси закрыли обтекателями, что не</w:t>
      </w:r>
      <w:r w:rsidRPr="00441F34">
        <w:rPr>
          <w:rFonts w:ascii="Times New Roman" w:hAnsi="Times New Roman"/>
          <w:color w:val="0070C0"/>
          <w:sz w:val="16"/>
          <w:szCs w:val="16"/>
        </w:rPr>
        <w:softHyphen/>
        <w:t>сколько повысило крейсерскую ско</w:t>
      </w:r>
      <w:r w:rsidRPr="00441F34">
        <w:rPr>
          <w:rFonts w:ascii="Times New Roman" w:hAnsi="Times New Roman"/>
          <w:color w:val="0070C0"/>
          <w:sz w:val="16"/>
          <w:szCs w:val="16"/>
        </w:rPr>
        <w:softHyphen/>
        <w:t>рость.</w:t>
      </w:r>
    </w:p>
    <w:p w14:paraId="4CD61834" w14:textId="77777777" w:rsidR="00DE062D" w:rsidRPr="00441F34" w:rsidRDefault="00DE062D" w:rsidP="00DE062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Так как запас двигателей </w:t>
      </w:r>
      <w:proofErr w:type="spellStart"/>
      <w:r w:rsidRPr="00441F34">
        <w:rPr>
          <w:rFonts w:ascii="Times New Roman" w:hAnsi="Times New Roman"/>
          <w:color w:val="0070C0"/>
          <w:sz w:val="16"/>
          <w:szCs w:val="16"/>
        </w:rPr>
        <w:t>Wright</w:t>
      </w:r>
      <w:proofErr w:type="spellEnd"/>
      <w:r w:rsidRPr="00441F34">
        <w:rPr>
          <w:rFonts w:ascii="Times New Roman" w:hAnsi="Times New Roman"/>
          <w:color w:val="0070C0"/>
          <w:sz w:val="16"/>
          <w:szCs w:val="16"/>
        </w:rPr>
        <w:t xml:space="preserve"> кон</w:t>
      </w:r>
      <w:r w:rsidRPr="00441F34">
        <w:rPr>
          <w:rFonts w:ascii="Times New Roman" w:hAnsi="Times New Roman"/>
          <w:color w:val="0070C0"/>
          <w:sz w:val="16"/>
          <w:szCs w:val="16"/>
        </w:rPr>
        <w:softHyphen/>
        <w:t>чался, стали готовиться к переходу на оте</w:t>
      </w:r>
      <w:r w:rsidRPr="00441F34">
        <w:rPr>
          <w:rFonts w:ascii="Times New Roman" w:hAnsi="Times New Roman"/>
          <w:color w:val="0070C0"/>
          <w:sz w:val="16"/>
          <w:szCs w:val="16"/>
        </w:rPr>
        <w:softHyphen/>
        <w:t>чественные М—26. Испытания самолета с этими моторами показали ухудшение летных характеристик и от них отказались.</w:t>
      </w:r>
    </w:p>
    <w:p w14:paraId="4C6B5D07" w14:textId="77777777" w:rsidR="00DE062D" w:rsidRPr="00441F34" w:rsidRDefault="00DE062D" w:rsidP="00DE062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1931 г. Реввоенсовет предложил посмотреть вариант установки трех дви</w:t>
      </w:r>
      <w:r w:rsidRPr="00441F34">
        <w:rPr>
          <w:rFonts w:ascii="Times New Roman" w:hAnsi="Times New Roman"/>
          <w:color w:val="0070C0"/>
          <w:sz w:val="16"/>
          <w:szCs w:val="16"/>
        </w:rPr>
        <w:softHyphen/>
        <w:t>гателей М—22. По расчету скорость должна была достигнуть 245,5 км/ч, по</w:t>
      </w:r>
      <w:r w:rsidRPr="00441F34">
        <w:rPr>
          <w:rFonts w:ascii="Times New Roman" w:hAnsi="Times New Roman"/>
          <w:color w:val="0070C0"/>
          <w:sz w:val="16"/>
          <w:szCs w:val="16"/>
        </w:rPr>
        <w:softHyphen/>
        <w:t>толок — 5500 м. Документы, в которых объяснялась бы причина отказа от этих двигателей, пока не найдены (23474).</w:t>
      </w:r>
    </w:p>
    <w:p w14:paraId="4DDCC316" w14:textId="77777777" w:rsidR="00DE062D" w:rsidRPr="00441F34" w:rsidRDefault="00DE062D" w:rsidP="00DE062D">
      <w:pPr>
        <w:spacing w:after="0" w:line="240" w:lineRule="auto"/>
        <w:jc w:val="both"/>
        <w:rPr>
          <w:rFonts w:ascii="Times New Roman" w:hAnsi="Times New Roman"/>
          <w:color w:val="0070C0"/>
          <w:sz w:val="16"/>
          <w:szCs w:val="16"/>
        </w:rPr>
      </w:pPr>
    </w:p>
    <w:p w14:paraId="3F22E0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Н.Н.П. получил задание на деревянный истребитель И-6 (191,18).</w:t>
      </w:r>
    </w:p>
    <w:p w14:paraId="380831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6D4EE4" w14:textId="77777777" w:rsidR="008456F2" w:rsidRPr="00A259BD" w:rsidRDefault="008456F2"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в НИИ ВВС проходили гос. испытания образцового АНТ-9 Крылья Советов (2341,117).</w:t>
      </w:r>
    </w:p>
    <w:p w14:paraId="55783A5F" w14:textId="77777777" w:rsidR="008456F2" w:rsidRPr="00A259BD" w:rsidRDefault="008456F2" w:rsidP="009236E3">
      <w:pPr>
        <w:autoSpaceDE w:val="0"/>
        <w:autoSpaceDN w:val="0"/>
        <w:adjustRightInd w:val="0"/>
        <w:spacing w:after="0" w:line="240" w:lineRule="auto"/>
        <w:jc w:val="both"/>
        <w:rPr>
          <w:rFonts w:ascii="Times New Roman" w:hAnsi="Times New Roman"/>
          <w:color w:val="000000" w:themeColor="text1"/>
          <w:sz w:val="16"/>
          <w:szCs w:val="16"/>
        </w:rPr>
      </w:pPr>
    </w:p>
    <w:p w14:paraId="00643B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мае 1929 г. Поликарпов получил задание на деревянный истребитель И-6, т.к. Туполев, используя свой авторитет, всё-таки добился передачи заказа на И-5 руководимому им АГОС ЦАГИ. Выполненный им проект во многом повторял первоначальный облик И-5, но предусматривал более современный мотор "Юпитер" VIII. Однако в то время в СССР этого двигателя не имелось, и поэтому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решил изготовить опытный образец истребителя с мотором "Юпитер" IV или "Юпитер" VI, а потом произвести перерасчёт характеристик. По прикидкам конструктора, И-6 должен был по основным лётным данным соответствовать требованиям к И-5.</w:t>
      </w:r>
    </w:p>
    <w:p w14:paraId="204CB5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Нетрудно понять, что появление И-6 обесценило бы конструкцию Сухого, тем более, что последний столкнулся с немалыми трудностями при работе с заданием, которое фактически было написано по готовому проекту Поликарпова (являвшегося также членом НТК УВВС) и существенно отличалось по своему творческому </w:t>
      </w:r>
      <w:r w:rsidRPr="00A259BD">
        <w:rPr>
          <w:rFonts w:ascii="Times New Roman" w:hAnsi="Times New Roman"/>
          <w:color w:val="000000" w:themeColor="text1"/>
          <w:sz w:val="16"/>
          <w:szCs w:val="16"/>
        </w:rPr>
        <w:lastRenderedPageBreak/>
        <w:t>почерку. И-5, хотя и получил в АГОС ЦАГИ фирменное обозначение АНТ-12, долго оставался "в загоне". В итоге Туполев от И-5 отказался, и эту работу передали "вредителям" из ОКБ ВТ.</w:t>
      </w:r>
    </w:p>
    <w:p w14:paraId="39D291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И-5 и И-6 проектировались под один и тот же мотор Бристоль "Юпитер", но разных модификаций. В СССР его в вариантах 9Aq ("Юпитер" VI, </w:t>
      </w:r>
      <w:proofErr w:type="spellStart"/>
      <w:r w:rsidRPr="00A259BD">
        <w:rPr>
          <w:rFonts w:ascii="Times New Roman" w:hAnsi="Times New Roman"/>
          <w:color w:val="000000" w:themeColor="text1"/>
          <w:sz w:val="16"/>
          <w:szCs w:val="16"/>
        </w:rPr>
        <w:t>низковысотный</w:t>
      </w:r>
      <w:proofErr w:type="spellEnd"/>
      <w:r w:rsidRPr="00A259BD">
        <w:rPr>
          <w:rFonts w:ascii="Times New Roman" w:hAnsi="Times New Roman"/>
          <w:color w:val="000000" w:themeColor="text1"/>
          <w:sz w:val="16"/>
          <w:szCs w:val="16"/>
        </w:rPr>
        <w:t>, 480 л.с.) и 9As ("Юпитер" VII, высотный, 490 л.с.) поставляла в основном французская фирма "Гном-Рон", выпускавшая этот двигатель по лицензии. Поступали из Германии также другие варианты "Юпитера", делавшиеся там фирмой "Сименс". С конца 1930 г. несколько доработанный французскими конструкторами метрический вариант "шестерки", Гном-Рон 9Aq (480 л.с.), выпускался на заводе в Запорожье под маркой М-22 (11997).</w:t>
      </w:r>
    </w:p>
    <w:p w14:paraId="5E2697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94BBCF" w14:textId="77777777" w:rsidR="00BA5B15" w:rsidRPr="00A259BD" w:rsidRDefault="00BA5B15"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В мае 1929 г. начальник Воздушных сил Черного моря В.К. Лавров предложил поставить И-4 на поплавки и вооружить ими крупные боевые корабли, обеспечив им собственное прикрытие с воздуха. Поплавковый вариант заказали АГОС. Там спроектировали металлические поплавки длиной 6,42 м и шириной 0,77 м. Опытный их комплект даже изготовили в августе 1931 г., но на самолет они не устанавливались. Впоследствии НТК УВВС признал, что мореходность поплавкового И-4 не позволила бы ему взлетать при более-менее существенном волнении. Работу после этого прекратили (19100).</w:t>
      </w:r>
    </w:p>
    <w:p w14:paraId="29F5BB62" w14:textId="77777777" w:rsidR="00BA5B15" w:rsidRPr="00A259BD" w:rsidRDefault="00BA5B15" w:rsidP="009236E3">
      <w:pPr>
        <w:pStyle w:val="a8"/>
        <w:jc w:val="both"/>
        <w:rPr>
          <w:rFonts w:ascii="Times New Roman" w:hAnsi="Times New Roman" w:cs="Times New Roman"/>
          <w:color w:val="000000" w:themeColor="text1"/>
        </w:rPr>
      </w:pPr>
    </w:p>
    <w:p w14:paraId="532267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мае 1929 в Инспекция ГВФ предложила ЦАГИ требования к пассажирскому гидросамолету с тремя двигателями по 300 </w:t>
      </w:r>
      <w:proofErr w:type="spellStart"/>
      <w:r w:rsidRPr="00A259BD">
        <w:rPr>
          <w:rFonts w:ascii="Times New Roman" w:hAnsi="Times New Roman"/>
          <w:color w:val="000000" w:themeColor="text1"/>
          <w:sz w:val="16"/>
          <w:szCs w:val="16"/>
        </w:rPr>
        <w:t>нр</w:t>
      </w:r>
      <w:proofErr w:type="spellEnd"/>
      <w:r w:rsidRPr="00A259BD">
        <w:rPr>
          <w:rFonts w:ascii="Times New Roman" w:hAnsi="Times New Roman"/>
          <w:color w:val="000000" w:themeColor="text1"/>
          <w:sz w:val="16"/>
          <w:szCs w:val="16"/>
        </w:rPr>
        <w:t xml:space="preserve"> (Гном-Рон Титан или Райт J6). В июле появился проект (6472, 31).</w:t>
      </w:r>
    </w:p>
    <w:p w14:paraId="69E9B5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F60F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мае 1929 начальник ВС Черного Моря </w:t>
      </w:r>
      <w:proofErr w:type="spellStart"/>
      <w:r w:rsidRPr="00A259BD">
        <w:rPr>
          <w:rFonts w:ascii="Times New Roman" w:hAnsi="Times New Roman"/>
          <w:color w:val="000000" w:themeColor="text1"/>
          <w:sz w:val="16"/>
          <w:szCs w:val="16"/>
        </w:rPr>
        <w:t>В.К.Лавров</w:t>
      </w:r>
      <w:proofErr w:type="spellEnd"/>
      <w:r w:rsidRPr="00A259BD">
        <w:rPr>
          <w:rFonts w:ascii="Times New Roman" w:hAnsi="Times New Roman"/>
          <w:color w:val="000000" w:themeColor="text1"/>
          <w:sz w:val="16"/>
          <w:szCs w:val="16"/>
        </w:rPr>
        <w:t xml:space="preserve"> предложил поставить И-4 на поплавки (1060,53).</w:t>
      </w:r>
    </w:p>
    <w:p w14:paraId="0BB60F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8FF8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22 завод предъявил второй головной серийный И-4 и первый головной серийный ТБ-1 А.Н.Т. (2371).</w:t>
      </w:r>
    </w:p>
    <w:p w14:paraId="483F60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A74D2C" w14:textId="77777777" w:rsidR="00D72087" w:rsidRPr="00A259BD" w:rsidRDefault="00D72087" w:rsidP="009236E3">
      <w:pPr>
        <w:spacing w:after="0" w:line="240" w:lineRule="auto"/>
        <w:jc w:val="both"/>
        <w:rPr>
          <w:rFonts w:ascii="Times New Roman" w:hAnsi="Times New Roman"/>
          <w:color w:val="000000" w:themeColor="text1"/>
          <w:sz w:val="16"/>
          <w:szCs w:val="16"/>
        </w:rPr>
      </w:pPr>
      <w:bookmarkStart w:id="52" w:name="_Hlk77844484"/>
      <w:r w:rsidRPr="00A259BD">
        <w:rPr>
          <w:rFonts w:ascii="Times New Roman" w:hAnsi="Times New Roman"/>
          <w:color w:val="000000" w:themeColor="text1"/>
          <w:sz w:val="16"/>
          <w:szCs w:val="16"/>
        </w:rPr>
        <w:t>В мае 1929 года самолеты К-4 стали поступать в Казахстан и Среднюю Азию. Первый из этих самолетов получил название «Подарок Украины Казахстану». Таким образом, можно предположить, что полноценное начало санитарной авиации в Казахстане было положено в мае 1929 года.</w:t>
      </w:r>
    </w:p>
    <w:p w14:paraId="4D4864FA" w14:textId="77777777" w:rsidR="00D72087" w:rsidRPr="00A259BD" w:rsidRDefault="00D720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общей сложности в среднеазиатский регион СССР поступило более десятка К-4 (сколько из них санитарных не известно). Всего их было выпущено 22 самолета различных модификаций. Самолеты К-4 интенсивно использовались для пассажирских перевозок, доставки необходимых приборов топографам и геодезистам, оказания срочной медицинской помощи чабанам и геологам, обеспечения строительства </w:t>
      </w:r>
      <w:proofErr w:type="spellStart"/>
      <w:r w:rsidRPr="00A259BD">
        <w:rPr>
          <w:rFonts w:ascii="Times New Roman" w:hAnsi="Times New Roman"/>
          <w:color w:val="000000" w:themeColor="text1"/>
          <w:sz w:val="16"/>
          <w:szCs w:val="16"/>
        </w:rPr>
        <w:t>Турксиба</w:t>
      </w:r>
      <w:proofErr w:type="spellEnd"/>
      <w:r w:rsidRPr="00A259BD">
        <w:rPr>
          <w:rFonts w:ascii="Times New Roman" w:hAnsi="Times New Roman"/>
          <w:color w:val="000000" w:themeColor="text1"/>
          <w:sz w:val="16"/>
          <w:szCs w:val="16"/>
        </w:rPr>
        <w:t xml:space="preserve"> (21371).</w:t>
      </w:r>
    </w:p>
    <w:bookmarkEnd w:id="52"/>
    <w:p w14:paraId="6D56BC69" w14:textId="77777777" w:rsidR="00D72087" w:rsidRPr="00A259BD" w:rsidRDefault="00D72087" w:rsidP="009236E3">
      <w:pPr>
        <w:spacing w:after="0" w:line="240" w:lineRule="auto"/>
        <w:jc w:val="both"/>
        <w:rPr>
          <w:rFonts w:ascii="Times New Roman" w:hAnsi="Times New Roman"/>
          <w:color w:val="000000" w:themeColor="text1"/>
          <w:sz w:val="16"/>
          <w:szCs w:val="16"/>
        </w:rPr>
      </w:pPr>
    </w:p>
    <w:p w14:paraId="426FF860"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года самолет СПАД 61 (В1епо1-5РАО 61), спроектированный в 1925 году, поступил в СССР, его испытания прове</w:t>
      </w:r>
      <w:r w:rsidRPr="00A259BD">
        <w:rPr>
          <w:rFonts w:ascii="Times New Roman" w:hAnsi="Times New Roman"/>
          <w:color w:val="000000" w:themeColor="text1"/>
          <w:sz w:val="16"/>
          <w:szCs w:val="16"/>
        </w:rPr>
        <w:softHyphen/>
        <w:t xml:space="preserve">ли в Н И </w:t>
      </w:r>
      <w:proofErr w:type="spellStart"/>
      <w:r w:rsidRPr="00A259BD">
        <w:rPr>
          <w:rFonts w:ascii="Times New Roman" w:hAnsi="Times New Roman"/>
          <w:color w:val="000000" w:themeColor="text1"/>
          <w:sz w:val="16"/>
          <w:szCs w:val="16"/>
        </w:rPr>
        <w:t>И</w:t>
      </w:r>
      <w:proofErr w:type="spellEnd"/>
      <w:r w:rsidRPr="00A259BD">
        <w:rPr>
          <w:rFonts w:ascii="Times New Roman" w:hAnsi="Times New Roman"/>
          <w:color w:val="000000" w:themeColor="text1"/>
          <w:sz w:val="16"/>
          <w:szCs w:val="16"/>
        </w:rPr>
        <w:t xml:space="preserve"> ВВС в период с 13 июня по 6 авгу</w:t>
      </w:r>
      <w:r w:rsidRPr="00A259BD">
        <w:rPr>
          <w:rFonts w:ascii="Times New Roman" w:hAnsi="Times New Roman"/>
          <w:color w:val="000000" w:themeColor="text1"/>
          <w:sz w:val="16"/>
          <w:szCs w:val="16"/>
        </w:rPr>
        <w:softHyphen/>
        <w:t>ста 1929 года. В заключении, последовавшем после полетов, указывалось, что:</w:t>
      </w:r>
    </w:p>
    <w:p w14:paraId="5C98450D" w14:textId="77777777" w:rsidR="008456F2" w:rsidRPr="00A259BD" w:rsidRDefault="008456F2" w:rsidP="009236E3">
      <w:pPr>
        <w:tabs>
          <w:tab w:val="left" w:pos="48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r w:rsidRPr="00A259BD">
        <w:rPr>
          <w:rFonts w:ascii="Times New Roman" w:hAnsi="Times New Roman"/>
          <w:color w:val="000000" w:themeColor="text1"/>
          <w:sz w:val="16"/>
          <w:szCs w:val="16"/>
        </w:rPr>
        <w:tab/>
        <w:t>По своим летным данным самолет СПАД 61 не может быть отнесен к категории современных истребителей.</w:t>
      </w:r>
    </w:p>
    <w:p w14:paraId="589DFD2E" w14:textId="77777777" w:rsidR="008456F2" w:rsidRPr="00A259BD" w:rsidRDefault="008456F2" w:rsidP="009236E3">
      <w:pPr>
        <w:tabs>
          <w:tab w:val="left" w:pos="423"/>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r w:rsidRPr="00A259BD">
        <w:rPr>
          <w:rFonts w:ascii="Times New Roman" w:hAnsi="Times New Roman"/>
          <w:color w:val="000000" w:themeColor="text1"/>
          <w:sz w:val="16"/>
          <w:szCs w:val="16"/>
        </w:rPr>
        <w:tab/>
        <w:t>В эксплуатации самолет является опа</w:t>
      </w:r>
      <w:r w:rsidRPr="00A259BD">
        <w:rPr>
          <w:rFonts w:ascii="Times New Roman" w:hAnsi="Times New Roman"/>
          <w:color w:val="000000" w:themeColor="text1"/>
          <w:sz w:val="16"/>
          <w:szCs w:val="16"/>
        </w:rPr>
        <w:softHyphen/>
        <w:t>сным, особенно на штопоре и пикировании.</w:t>
      </w:r>
    </w:p>
    <w:p w14:paraId="4006B869" w14:textId="77777777" w:rsidR="008456F2" w:rsidRPr="00A259BD" w:rsidRDefault="008456F2" w:rsidP="009236E3">
      <w:pPr>
        <w:tabs>
          <w:tab w:val="left" w:pos="38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r w:rsidRPr="00A259BD">
        <w:rPr>
          <w:rFonts w:ascii="Times New Roman" w:hAnsi="Times New Roman"/>
          <w:color w:val="000000" w:themeColor="text1"/>
          <w:sz w:val="16"/>
          <w:szCs w:val="16"/>
        </w:rPr>
        <w:tab/>
        <w:t>Для использования в воздушном флоте СССР самолет интереса не представляет (12295).</w:t>
      </w:r>
    </w:p>
    <w:p w14:paraId="5CDD60CB" w14:textId="77777777" w:rsidR="008456F2" w:rsidRPr="00A259BD" w:rsidRDefault="008456F2" w:rsidP="009236E3">
      <w:pPr>
        <w:spacing w:after="0" w:line="240" w:lineRule="auto"/>
        <w:jc w:val="both"/>
        <w:rPr>
          <w:rFonts w:ascii="Times New Roman" w:hAnsi="Times New Roman"/>
          <w:color w:val="000000" w:themeColor="text1"/>
          <w:sz w:val="16"/>
          <w:szCs w:val="16"/>
        </w:rPr>
      </w:pPr>
    </w:p>
    <w:p w14:paraId="33D744F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были подготовлены Сведения о выполнении заданий Отдела применения НИИ за апрель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1872"/>
        <w:gridCol w:w="2806"/>
        <w:gridCol w:w="2410"/>
      </w:tblGrid>
      <w:tr w:rsidR="00A259BD" w:rsidRPr="00A259BD" w14:paraId="7C776AAB" w14:textId="77777777">
        <w:tc>
          <w:tcPr>
            <w:tcW w:w="3510" w:type="dxa"/>
          </w:tcPr>
          <w:p w14:paraId="647E26F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Наименование задания</w:t>
            </w:r>
          </w:p>
        </w:tc>
        <w:tc>
          <w:tcPr>
            <w:tcW w:w="1872" w:type="dxa"/>
          </w:tcPr>
          <w:p w14:paraId="56AA1DD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Когда дано задание</w:t>
            </w:r>
          </w:p>
        </w:tc>
        <w:tc>
          <w:tcPr>
            <w:tcW w:w="2806" w:type="dxa"/>
          </w:tcPr>
          <w:p w14:paraId="57476C7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Срок выполнения</w:t>
            </w:r>
          </w:p>
        </w:tc>
        <w:tc>
          <w:tcPr>
            <w:tcW w:w="2410" w:type="dxa"/>
          </w:tcPr>
          <w:p w14:paraId="6A19D7C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каком состоянии находится задание </w:t>
            </w:r>
          </w:p>
        </w:tc>
      </w:tr>
      <w:tr w:rsidR="00A259BD" w:rsidRPr="00A259BD" w14:paraId="0CA9C4F0" w14:textId="77777777">
        <w:tc>
          <w:tcPr>
            <w:tcW w:w="3510" w:type="dxa"/>
          </w:tcPr>
          <w:p w14:paraId="0C44149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Р-V БМВ</w:t>
            </w:r>
          </w:p>
        </w:tc>
        <w:tc>
          <w:tcPr>
            <w:tcW w:w="1872" w:type="dxa"/>
          </w:tcPr>
          <w:p w14:paraId="2AD7937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2B42150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212E6A1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не получен с завода</w:t>
            </w:r>
          </w:p>
        </w:tc>
      </w:tr>
      <w:tr w:rsidR="00A259BD" w:rsidRPr="00A259BD" w14:paraId="30763434" w14:textId="77777777">
        <w:tc>
          <w:tcPr>
            <w:tcW w:w="3510" w:type="dxa"/>
          </w:tcPr>
          <w:p w14:paraId="67F4DBF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Р-III БМВ VI</w:t>
            </w:r>
          </w:p>
        </w:tc>
        <w:tc>
          <w:tcPr>
            <w:tcW w:w="1872" w:type="dxa"/>
          </w:tcPr>
          <w:p w14:paraId="37A7761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2E69FE4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Выполнено</w:t>
            </w:r>
          </w:p>
        </w:tc>
        <w:tc>
          <w:tcPr>
            <w:tcW w:w="2410" w:type="dxa"/>
          </w:tcPr>
          <w:p w14:paraId="334D1D9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r>
      <w:tr w:rsidR="00A259BD" w:rsidRPr="00A259BD" w14:paraId="34C93CA5" w14:textId="77777777">
        <w:tc>
          <w:tcPr>
            <w:tcW w:w="3510" w:type="dxa"/>
          </w:tcPr>
          <w:p w14:paraId="41BD87C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И-3</w:t>
            </w:r>
          </w:p>
        </w:tc>
        <w:tc>
          <w:tcPr>
            <w:tcW w:w="1872" w:type="dxa"/>
          </w:tcPr>
          <w:p w14:paraId="1F0DE14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7288961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процессе выполнения </w:t>
            </w:r>
          </w:p>
        </w:tc>
        <w:tc>
          <w:tcPr>
            <w:tcW w:w="2410" w:type="dxa"/>
          </w:tcPr>
          <w:p w14:paraId="7CF3EC9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tc>
      </w:tr>
      <w:tr w:rsidR="00A259BD" w:rsidRPr="00A259BD" w14:paraId="5CFFD814" w14:textId="77777777">
        <w:tc>
          <w:tcPr>
            <w:tcW w:w="3510" w:type="dxa"/>
          </w:tcPr>
          <w:p w14:paraId="2728584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И IV Ю-VI</w:t>
            </w:r>
          </w:p>
        </w:tc>
        <w:tc>
          <w:tcPr>
            <w:tcW w:w="1872" w:type="dxa"/>
          </w:tcPr>
          <w:p w14:paraId="51CFDA4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2DF50BD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Выполнено</w:t>
            </w:r>
          </w:p>
        </w:tc>
        <w:tc>
          <w:tcPr>
            <w:tcW w:w="2410" w:type="dxa"/>
          </w:tcPr>
          <w:p w14:paraId="2CD4063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r>
      <w:tr w:rsidR="00A259BD" w:rsidRPr="00A259BD" w14:paraId="3F6FF9CB" w14:textId="77777777">
        <w:tc>
          <w:tcPr>
            <w:tcW w:w="3510" w:type="dxa"/>
          </w:tcPr>
          <w:p w14:paraId="5E115E8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Авиа “ВН-33”</w:t>
            </w:r>
          </w:p>
        </w:tc>
        <w:tc>
          <w:tcPr>
            <w:tcW w:w="1872" w:type="dxa"/>
          </w:tcPr>
          <w:p w14:paraId="5B63D35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1FAF348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начато</w:t>
            </w:r>
          </w:p>
        </w:tc>
        <w:tc>
          <w:tcPr>
            <w:tcW w:w="2410" w:type="dxa"/>
          </w:tcPr>
          <w:p w14:paraId="1F7DFD6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AD3EFF5" w14:textId="77777777">
        <w:tc>
          <w:tcPr>
            <w:tcW w:w="3510" w:type="dxa"/>
          </w:tcPr>
          <w:p w14:paraId="45CEA74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Испытание самолета БРЕГЕ 19 В-2 </w:t>
            </w:r>
            <w:proofErr w:type="spellStart"/>
            <w:r w:rsidRPr="00A259BD">
              <w:rPr>
                <w:rFonts w:ascii="Times New Roman" w:hAnsi="Times New Roman"/>
                <w:color w:val="000000" w:themeColor="text1"/>
                <w:sz w:val="16"/>
                <w:szCs w:val="16"/>
              </w:rPr>
              <w:t>Лоррен</w:t>
            </w:r>
            <w:proofErr w:type="spellEnd"/>
            <w:r w:rsidRPr="00A259BD">
              <w:rPr>
                <w:rFonts w:ascii="Times New Roman" w:hAnsi="Times New Roman"/>
                <w:color w:val="000000" w:themeColor="text1"/>
                <w:sz w:val="16"/>
                <w:szCs w:val="16"/>
              </w:rPr>
              <w:t xml:space="preserve"> Дитрих</w:t>
            </w:r>
          </w:p>
        </w:tc>
        <w:tc>
          <w:tcPr>
            <w:tcW w:w="1872" w:type="dxa"/>
          </w:tcPr>
          <w:p w14:paraId="23F33F8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45D912D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испытанию будет приступлено в порядке очереди</w:t>
            </w:r>
          </w:p>
        </w:tc>
        <w:tc>
          <w:tcPr>
            <w:tcW w:w="2410" w:type="dxa"/>
          </w:tcPr>
          <w:p w14:paraId="33B53C3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A466D43" w14:textId="77777777">
        <w:tc>
          <w:tcPr>
            <w:tcW w:w="3510" w:type="dxa"/>
          </w:tcPr>
          <w:p w14:paraId="3FA96C0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БРЕГЕ 19 В-2 Испано-</w:t>
            </w:r>
            <w:proofErr w:type="spellStart"/>
            <w:r w:rsidRPr="00A259BD">
              <w:rPr>
                <w:rFonts w:ascii="Times New Roman" w:hAnsi="Times New Roman"/>
                <w:color w:val="000000" w:themeColor="text1"/>
                <w:sz w:val="16"/>
                <w:szCs w:val="16"/>
              </w:rPr>
              <w:t>Сюиза</w:t>
            </w:r>
            <w:proofErr w:type="spellEnd"/>
          </w:p>
        </w:tc>
        <w:tc>
          <w:tcPr>
            <w:tcW w:w="1872" w:type="dxa"/>
          </w:tcPr>
          <w:p w14:paraId="61A1790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0AAD7F8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находится в сборке</w:t>
            </w:r>
          </w:p>
        </w:tc>
        <w:tc>
          <w:tcPr>
            <w:tcW w:w="2410" w:type="dxa"/>
          </w:tcPr>
          <w:p w14:paraId="3D0314E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8F4F95B" w14:textId="77777777">
        <w:tc>
          <w:tcPr>
            <w:tcW w:w="3510" w:type="dxa"/>
          </w:tcPr>
          <w:p w14:paraId="3ADA80C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Р-1 № 3454 на 2 потолка:</w:t>
            </w:r>
          </w:p>
          <w:p w14:paraId="6B8B192C"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rPr>
              <w:tab/>
              <w:t>на лыжах</w:t>
            </w:r>
          </w:p>
          <w:p w14:paraId="5251A6BE"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rPr>
              <w:tab/>
              <w:t>на колесах</w:t>
            </w:r>
          </w:p>
        </w:tc>
        <w:tc>
          <w:tcPr>
            <w:tcW w:w="1872" w:type="dxa"/>
          </w:tcPr>
          <w:p w14:paraId="2176A74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5FFD44D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Задание не выполнялось</w:t>
            </w:r>
          </w:p>
        </w:tc>
        <w:tc>
          <w:tcPr>
            <w:tcW w:w="2410" w:type="dxa"/>
          </w:tcPr>
          <w:p w14:paraId="124695F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290EE7D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(6953, 31-33).</w:t>
      </w:r>
    </w:p>
    <w:p w14:paraId="3BE1A78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E5DB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была подготовлена выписка из плана опытного строительства УВВС лит. по работам ЦАГИ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A259BD" w:rsidRPr="00A259BD" w14:paraId="5A74F302" w14:textId="77777777">
        <w:tc>
          <w:tcPr>
            <w:tcW w:w="2818" w:type="dxa"/>
          </w:tcPr>
          <w:p w14:paraId="3F13A9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сухопутные самолеты</w:t>
            </w:r>
          </w:p>
        </w:tc>
        <w:tc>
          <w:tcPr>
            <w:tcW w:w="2818" w:type="dxa"/>
          </w:tcPr>
          <w:p w14:paraId="706A9A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44A3C9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9113D59" w14:textId="77777777">
        <w:tc>
          <w:tcPr>
            <w:tcW w:w="2818" w:type="dxa"/>
          </w:tcPr>
          <w:p w14:paraId="539B7B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0EE0AD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 </w:t>
            </w:r>
            <w:proofErr w:type="spellStart"/>
            <w:r w:rsidRPr="00A259BD">
              <w:rPr>
                <w:rFonts w:ascii="Times New Roman" w:hAnsi="Times New Roman"/>
                <w:color w:val="000000" w:themeColor="text1"/>
                <w:sz w:val="16"/>
                <w:szCs w:val="16"/>
              </w:rPr>
              <w:t>Проектир</w:t>
            </w:r>
            <w:proofErr w:type="spellEnd"/>
            <w:r w:rsidRPr="00A259BD">
              <w:rPr>
                <w:rFonts w:ascii="Times New Roman" w:hAnsi="Times New Roman"/>
                <w:color w:val="000000" w:themeColor="text1"/>
                <w:sz w:val="16"/>
                <w:szCs w:val="16"/>
              </w:rPr>
              <w:t>.</w:t>
            </w:r>
          </w:p>
        </w:tc>
        <w:tc>
          <w:tcPr>
            <w:tcW w:w="2818" w:type="dxa"/>
          </w:tcPr>
          <w:p w14:paraId="5C5FFA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Конец </w:t>
            </w:r>
            <w:proofErr w:type="spellStart"/>
            <w:r w:rsidRPr="00A259BD">
              <w:rPr>
                <w:rFonts w:ascii="Times New Roman" w:hAnsi="Times New Roman"/>
                <w:color w:val="000000" w:themeColor="text1"/>
                <w:sz w:val="16"/>
                <w:szCs w:val="16"/>
              </w:rPr>
              <w:t>постр</w:t>
            </w:r>
            <w:proofErr w:type="spellEnd"/>
            <w:r w:rsidRPr="00A259BD">
              <w:rPr>
                <w:rFonts w:ascii="Times New Roman" w:hAnsi="Times New Roman"/>
                <w:color w:val="000000" w:themeColor="text1"/>
                <w:sz w:val="16"/>
                <w:szCs w:val="16"/>
              </w:rPr>
              <w:t>.</w:t>
            </w:r>
          </w:p>
        </w:tc>
      </w:tr>
      <w:tr w:rsidR="00A259BD" w:rsidRPr="00A259BD" w14:paraId="027339ED" w14:textId="77777777">
        <w:tc>
          <w:tcPr>
            <w:tcW w:w="2818" w:type="dxa"/>
          </w:tcPr>
          <w:p w14:paraId="556B6B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 2 И-4 Юп-7 металлический</w:t>
            </w:r>
          </w:p>
        </w:tc>
        <w:tc>
          <w:tcPr>
            <w:tcW w:w="2818" w:type="dxa"/>
          </w:tcPr>
          <w:p w14:paraId="14F7BF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01.01.29</w:t>
            </w:r>
          </w:p>
        </w:tc>
        <w:tc>
          <w:tcPr>
            <w:tcW w:w="2818" w:type="dxa"/>
          </w:tcPr>
          <w:p w14:paraId="7F83E8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01.10.29</w:t>
            </w:r>
          </w:p>
        </w:tc>
      </w:tr>
      <w:tr w:rsidR="00A259BD" w:rsidRPr="00A259BD" w14:paraId="38A44B23" w14:textId="77777777">
        <w:tc>
          <w:tcPr>
            <w:tcW w:w="2818" w:type="dxa"/>
          </w:tcPr>
          <w:p w14:paraId="1981E0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 3 И-5 Юп-7 смешанный</w:t>
            </w:r>
          </w:p>
        </w:tc>
        <w:tc>
          <w:tcPr>
            <w:tcW w:w="2818" w:type="dxa"/>
          </w:tcPr>
          <w:p w14:paraId="269D29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01.04.29</w:t>
            </w:r>
          </w:p>
        </w:tc>
        <w:tc>
          <w:tcPr>
            <w:tcW w:w="2818" w:type="dxa"/>
          </w:tcPr>
          <w:p w14:paraId="764463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01.10.30</w:t>
            </w:r>
          </w:p>
        </w:tc>
      </w:tr>
      <w:tr w:rsidR="00A259BD" w:rsidRPr="00A259BD" w14:paraId="767B1EF0" w14:textId="77777777">
        <w:tc>
          <w:tcPr>
            <w:tcW w:w="2818" w:type="dxa"/>
          </w:tcPr>
          <w:p w14:paraId="11E356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 4 И-8 Юп-7 моноплан</w:t>
            </w:r>
          </w:p>
        </w:tc>
        <w:tc>
          <w:tcPr>
            <w:tcW w:w="2818" w:type="dxa"/>
          </w:tcPr>
          <w:p w14:paraId="598035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01.06.29</w:t>
            </w:r>
          </w:p>
        </w:tc>
        <w:tc>
          <w:tcPr>
            <w:tcW w:w="2818" w:type="dxa"/>
          </w:tcPr>
          <w:p w14:paraId="269D2A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01.05.30</w:t>
            </w:r>
          </w:p>
        </w:tc>
      </w:tr>
      <w:tr w:rsidR="00A259BD" w:rsidRPr="00A259BD" w14:paraId="68285CBC" w14:textId="77777777">
        <w:tc>
          <w:tcPr>
            <w:tcW w:w="2818" w:type="dxa"/>
          </w:tcPr>
          <w:p w14:paraId="6C5ED3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 6 И-9-500/700 металлический</w:t>
            </w:r>
          </w:p>
        </w:tc>
        <w:tc>
          <w:tcPr>
            <w:tcW w:w="2818" w:type="dxa"/>
          </w:tcPr>
          <w:p w14:paraId="0CD928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01.03.30</w:t>
            </w:r>
          </w:p>
        </w:tc>
        <w:tc>
          <w:tcPr>
            <w:tcW w:w="2818" w:type="dxa"/>
          </w:tcPr>
          <w:p w14:paraId="01F9D3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01.04.31</w:t>
            </w:r>
          </w:p>
        </w:tc>
      </w:tr>
      <w:tr w:rsidR="00A259BD" w:rsidRPr="00A259BD" w14:paraId="5BA5346E" w14:textId="77777777">
        <w:tc>
          <w:tcPr>
            <w:tcW w:w="2818" w:type="dxa"/>
          </w:tcPr>
          <w:p w14:paraId="6F7A99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 14 Р-7 БМВ-6 металлический</w:t>
            </w:r>
          </w:p>
        </w:tc>
        <w:tc>
          <w:tcPr>
            <w:tcW w:w="2818" w:type="dxa"/>
          </w:tcPr>
          <w:p w14:paraId="4D560D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01.10.28</w:t>
            </w:r>
          </w:p>
        </w:tc>
        <w:tc>
          <w:tcPr>
            <w:tcW w:w="2818" w:type="dxa"/>
          </w:tcPr>
          <w:p w14:paraId="795F64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01.07.29</w:t>
            </w:r>
          </w:p>
        </w:tc>
      </w:tr>
      <w:tr w:rsidR="00A259BD" w:rsidRPr="00A259BD" w14:paraId="6B92039B" w14:textId="77777777">
        <w:tc>
          <w:tcPr>
            <w:tcW w:w="2818" w:type="dxa"/>
          </w:tcPr>
          <w:p w14:paraId="6BD951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 16 Р-6 2БМВ-6</w:t>
            </w:r>
          </w:p>
        </w:tc>
        <w:tc>
          <w:tcPr>
            <w:tcW w:w="2818" w:type="dxa"/>
          </w:tcPr>
          <w:p w14:paraId="0B0C16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01.06.29</w:t>
            </w:r>
          </w:p>
        </w:tc>
        <w:tc>
          <w:tcPr>
            <w:tcW w:w="2818" w:type="dxa"/>
          </w:tcPr>
          <w:p w14:paraId="69D355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01.08.31</w:t>
            </w:r>
          </w:p>
        </w:tc>
      </w:tr>
      <w:tr w:rsidR="00A259BD" w:rsidRPr="00A259BD" w14:paraId="7145DDEE" w14:textId="77777777">
        <w:tc>
          <w:tcPr>
            <w:tcW w:w="2818" w:type="dxa"/>
          </w:tcPr>
          <w:p w14:paraId="5BA148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 17 ХБ-300 </w:t>
            </w:r>
            <w:proofErr w:type="spellStart"/>
            <w:r w:rsidRPr="00A259BD">
              <w:rPr>
                <w:rFonts w:ascii="Times New Roman" w:hAnsi="Times New Roman"/>
                <w:color w:val="000000" w:themeColor="text1"/>
                <w:sz w:val="16"/>
                <w:szCs w:val="16"/>
              </w:rPr>
              <w:t>нр</w:t>
            </w:r>
            <w:proofErr w:type="spellEnd"/>
          </w:p>
        </w:tc>
        <w:tc>
          <w:tcPr>
            <w:tcW w:w="2818" w:type="dxa"/>
          </w:tcPr>
          <w:p w14:paraId="55792F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01.10.30</w:t>
            </w:r>
          </w:p>
        </w:tc>
        <w:tc>
          <w:tcPr>
            <w:tcW w:w="2818" w:type="dxa"/>
          </w:tcPr>
          <w:p w14:paraId="250FFC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01.08.31</w:t>
            </w:r>
          </w:p>
        </w:tc>
      </w:tr>
      <w:tr w:rsidR="00A259BD" w:rsidRPr="00A259BD" w14:paraId="4D79DCDA" w14:textId="77777777">
        <w:tc>
          <w:tcPr>
            <w:tcW w:w="2818" w:type="dxa"/>
          </w:tcPr>
          <w:p w14:paraId="205FF7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(нем действ. бронированный)</w:t>
            </w:r>
          </w:p>
        </w:tc>
        <w:tc>
          <w:tcPr>
            <w:tcW w:w="2818" w:type="dxa"/>
          </w:tcPr>
          <w:p w14:paraId="1CB1AB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670BDF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388476E" w14:textId="77777777">
        <w:tc>
          <w:tcPr>
            <w:tcW w:w="2818" w:type="dxa"/>
          </w:tcPr>
          <w:p w14:paraId="571A88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 20 ТБ-3 2000/2400 металл.</w:t>
            </w:r>
          </w:p>
        </w:tc>
        <w:tc>
          <w:tcPr>
            <w:tcW w:w="2818" w:type="dxa"/>
          </w:tcPr>
          <w:p w14:paraId="2FE76F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01.10.28</w:t>
            </w:r>
          </w:p>
        </w:tc>
        <w:tc>
          <w:tcPr>
            <w:tcW w:w="2818" w:type="dxa"/>
          </w:tcPr>
          <w:p w14:paraId="5CBFC2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01.07.30</w:t>
            </w:r>
          </w:p>
        </w:tc>
      </w:tr>
      <w:tr w:rsidR="00A259BD" w:rsidRPr="00A259BD" w14:paraId="3768F389" w14:textId="77777777">
        <w:tc>
          <w:tcPr>
            <w:tcW w:w="2818" w:type="dxa"/>
          </w:tcPr>
          <w:p w14:paraId="5E292B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Морские самолеты</w:t>
            </w:r>
          </w:p>
        </w:tc>
        <w:tc>
          <w:tcPr>
            <w:tcW w:w="2818" w:type="dxa"/>
          </w:tcPr>
          <w:p w14:paraId="6C65F8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EF851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8945A6D" w14:textId="77777777">
        <w:tc>
          <w:tcPr>
            <w:tcW w:w="2818" w:type="dxa"/>
          </w:tcPr>
          <w:p w14:paraId="505392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 12 АНТ-8 БМВ-6 эксп. </w:t>
            </w:r>
            <w:proofErr w:type="spellStart"/>
            <w:r w:rsidRPr="00A259BD">
              <w:rPr>
                <w:rFonts w:ascii="Times New Roman" w:hAnsi="Times New Roman"/>
                <w:color w:val="000000" w:themeColor="text1"/>
                <w:sz w:val="16"/>
                <w:szCs w:val="16"/>
              </w:rPr>
              <w:t>лод</w:t>
            </w:r>
            <w:proofErr w:type="spellEnd"/>
            <w:r w:rsidRPr="00A259BD">
              <w:rPr>
                <w:rFonts w:ascii="Times New Roman" w:hAnsi="Times New Roman"/>
                <w:color w:val="000000" w:themeColor="text1"/>
                <w:sz w:val="16"/>
                <w:szCs w:val="16"/>
              </w:rPr>
              <w:t>. Р</w:t>
            </w:r>
          </w:p>
        </w:tc>
        <w:tc>
          <w:tcPr>
            <w:tcW w:w="2818" w:type="dxa"/>
          </w:tcPr>
          <w:p w14:paraId="312280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01.03.29</w:t>
            </w:r>
          </w:p>
        </w:tc>
        <w:tc>
          <w:tcPr>
            <w:tcW w:w="2818" w:type="dxa"/>
          </w:tcPr>
          <w:p w14:paraId="13B241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01.11.29</w:t>
            </w:r>
          </w:p>
        </w:tc>
      </w:tr>
      <w:tr w:rsidR="00046B82" w:rsidRPr="00A259BD" w14:paraId="76A5880A" w14:textId="77777777">
        <w:tc>
          <w:tcPr>
            <w:tcW w:w="2818" w:type="dxa"/>
          </w:tcPr>
          <w:p w14:paraId="2E5DDD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 13 Т БОМ 3х450/600, </w:t>
            </w:r>
            <w:proofErr w:type="spellStart"/>
            <w:r w:rsidRPr="00A259BD">
              <w:rPr>
                <w:rFonts w:ascii="Times New Roman" w:hAnsi="Times New Roman"/>
                <w:color w:val="000000" w:themeColor="text1"/>
                <w:sz w:val="16"/>
                <w:szCs w:val="16"/>
              </w:rPr>
              <w:t>разв</w:t>
            </w:r>
            <w:proofErr w:type="spellEnd"/>
            <w:r w:rsidRPr="00A259BD">
              <w:rPr>
                <w:rFonts w:ascii="Times New Roman" w:hAnsi="Times New Roman"/>
                <w:color w:val="000000" w:themeColor="text1"/>
                <w:sz w:val="16"/>
                <w:szCs w:val="16"/>
              </w:rPr>
              <w:t>. АНТ-8</w:t>
            </w:r>
          </w:p>
        </w:tc>
        <w:tc>
          <w:tcPr>
            <w:tcW w:w="2818" w:type="dxa"/>
          </w:tcPr>
          <w:p w14:paraId="6205FE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01.02.30</w:t>
            </w:r>
          </w:p>
        </w:tc>
        <w:tc>
          <w:tcPr>
            <w:tcW w:w="2818" w:type="dxa"/>
          </w:tcPr>
          <w:p w14:paraId="1AF651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01.01.31 (2365,83)</w:t>
            </w:r>
          </w:p>
        </w:tc>
      </w:tr>
    </w:tbl>
    <w:p w14:paraId="4760D4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C80F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маю 1929 г. опытное моторостроение несколько расширилось, но коллективов все-таки было немного, и они были немногочисленными. Проектированием двигателей для авиации занимались в НАМИ, Цен</w:t>
      </w:r>
      <w:r w:rsidRPr="00A259BD">
        <w:rPr>
          <w:rFonts w:ascii="Times New Roman" w:hAnsi="Times New Roman"/>
          <w:color w:val="000000" w:themeColor="text1"/>
          <w:sz w:val="16"/>
          <w:szCs w:val="16"/>
        </w:rPr>
        <w:softHyphen/>
        <w:t>тральном аэрогидродинамическом институте (ЦАГИ), где в 1926 г. ор</w:t>
      </w:r>
      <w:r w:rsidRPr="00A259BD">
        <w:rPr>
          <w:rFonts w:ascii="Times New Roman" w:hAnsi="Times New Roman"/>
          <w:color w:val="000000" w:themeColor="text1"/>
          <w:sz w:val="16"/>
          <w:szCs w:val="16"/>
        </w:rPr>
        <w:softHyphen/>
        <w:t>ганизовали Винтомоторный отдел (ВМО, им первоначально руководил Б.С. Стечкин), на заводах № 24 (объединившем «Икар» и «Мотор») в Москве и № 29 в Запорожье, а также на ленинградском «Большевике». На заводе № 24 новыми авиамоторами занимались всего 20 человек, в НАМИ — 30, на «Большевике» — 15 (плюс 30 рабочих). «Большевик» был единственным предприятием, оборудовавшим специальную опытную мастерскую. 17 ноября 1929 г. правительственная комиссия под предсе</w:t>
      </w:r>
      <w:r w:rsidRPr="00A259BD">
        <w:rPr>
          <w:rFonts w:ascii="Times New Roman" w:hAnsi="Times New Roman"/>
          <w:color w:val="000000" w:themeColor="text1"/>
          <w:sz w:val="16"/>
          <w:szCs w:val="16"/>
        </w:rPr>
        <w:softHyphen/>
        <w:t xml:space="preserve">дательством В.С. </w:t>
      </w:r>
      <w:proofErr w:type="spellStart"/>
      <w:r w:rsidRPr="00A259BD">
        <w:rPr>
          <w:rFonts w:ascii="Times New Roman" w:hAnsi="Times New Roman"/>
          <w:color w:val="000000" w:themeColor="text1"/>
          <w:sz w:val="16"/>
          <w:szCs w:val="16"/>
        </w:rPr>
        <w:t>Уншлихта</w:t>
      </w:r>
      <w:proofErr w:type="spellEnd"/>
      <w:r w:rsidRPr="00A259BD">
        <w:rPr>
          <w:rFonts w:ascii="Times New Roman" w:hAnsi="Times New Roman"/>
          <w:color w:val="000000" w:themeColor="text1"/>
          <w:sz w:val="16"/>
          <w:szCs w:val="16"/>
        </w:rPr>
        <w:t xml:space="preserve"> предложила создать конструкторские бюро на всех моторных заводах «для сопровождения серийного производства и усовершенствования». В ноябре 1930 г. более-менее полноценное бюро имелось только на заводе № 24 — 38 человек; две небольшие группы находились на заводах № 26 (11 человек) и на заводе № 29 (шесть). В сочетании с амбициозными планами это приводило к систематиче</w:t>
      </w:r>
      <w:r w:rsidRPr="00A259BD">
        <w:rPr>
          <w:rFonts w:ascii="Times New Roman" w:hAnsi="Times New Roman"/>
          <w:color w:val="000000" w:themeColor="text1"/>
          <w:sz w:val="16"/>
          <w:szCs w:val="16"/>
        </w:rPr>
        <w:softHyphen/>
        <w:t>ским сверхурочным работам конструкторов. На создание новых типов авиационных двигателей СССР тратил в 10-15 раз меньше денег, чем правительства США и Великобритании. С учетом затрат частных фирм этих стран соотношение выглядело еще более удручающим. Соответ</w:t>
      </w:r>
      <w:r w:rsidRPr="00A259BD">
        <w:rPr>
          <w:rFonts w:ascii="Times New Roman" w:hAnsi="Times New Roman"/>
          <w:color w:val="000000" w:themeColor="text1"/>
          <w:sz w:val="16"/>
          <w:szCs w:val="16"/>
        </w:rPr>
        <w:softHyphen/>
        <w:t>ственными были и результаты работы (11852).</w:t>
      </w:r>
    </w:p>
    <w:p w14:paraId="5E1303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8342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мая 1929 заработала авиалиния Алма-Ата-Семипалатинск протяженностью 1100 км (3015,8).</w:t>
      </w:r>
    </w:p>
    <w:p w14:paraId="389918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46041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мая 1929 открылась регулярная почтовая линия Москва-Иркутск протяженностью 4700 км через Казань-Свердловск-Омск-Новосибирск-Красноярск. Рейсы проводили с 1 мая по 31 октября через день (3015,3).</w:t>
      </w:r>
    </w:p>
    <w:p w14:paraId="5BCD2A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DB23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мае 1929 </w:t>
      </w:r>
      <w:proofErr w:type="spellStart"/>
      <w:r w:rsidRPr="00A259BD">
        <w:rPr>
          <w:rFonts w:ascii="Times New Roman" w:hAnsi="Times New Roman"/>
          <w:color w:val="000000" w:themeColor="text1"/>
          <w:sz w:val="16"/>
          <w:szCs w:val="16"/>
        </w:rPr>
        <w:t>Комсеверпуть</w:t>
      </w:r>
      <w:proofErr w:type="spellEnd"/>
      <w:r w:rsidRPr="00A259BD">
        <w:rPr>
          <w:rFonts w:ascii="Times New Roman" w:hAnsi="Times New Roman"/>
          <w:color w:val="000000" w:themeColor="text1"/>
          <w:sz w:val="16"/>
          <w:szCs w:val="16"/>
        </w:rPr>
        <w:t xml:space="preserve"> заинтересовался возможностью использования самолетов для ледовой разведки в Арктике. персональным поручением НКОП К.Е.В. передали один Дорнье Валь с ЧМ и назвали </w:t>
      </w:r>
      <w:proofErr w:type="spellStart"/>
      <w:r w:rsidRPr="00A259BD">
        <w:rPr>
          <w:rFonts w:ascii="Times New Roman" w:hAnsi="Times New Roman"/>
          <w:color w:val="000000" w:themeColor="text1"/>
          <w:sz w:val="16"/>
          <w:szCs w:val="16"/>
        </w:rPr>
        <w:t>Комсевпуть</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Б.Г.Чухновский</w:t>
      </w:r>
      <w:proofErr w:type="spellEnd"/>
      <w:r w:rsidRPr="00A259BD">
        <w:rPr>
          <w:rFonts w:ascii="Times New Roman" w:hAnsi="Times New Roman"/>
          <w:color w:val="000000" w:themeColor="text1"/>
          <w:sz w:val="16"/>
          <w:szCs w:val="16"/>
        </w:rPr>
        <w:t xml:space="preserve"> перегнал машину из Севастополя на Новую Землю и начал разведку в Карском море. В одном из полетов машина совершила вынужденную посадку в открытом море, но ее подобрал проходящий пароход и доставил в Диксон (2543,13).</w:t>
      </w:r>
    </w:p>
    <w:p w14:paraId="39DBC9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FDA1D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самолеты начали применяться для борьбы с вредителями лесов в Сибири (7375).</w:t>
      </w:r>
    </w:p>
    <w:p w14:paraId="2DADC1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F7A6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мае 1929 по предложению </w:t>
      </w:r>
      <w:proofErr w:type="spellStart"/>
      <w:r w:rsidRPr="00A259BD">
        <w:rPr>
          <w:rFonts w:ascii="Times New Roman" w:hAnsi="Times New Roman"/>
          <w:color w:val="000000" w:themeColor="text1"/>
          <w:sz w:val="16"/>
          <w:szCs w:val="16"/>
        </w:rPr>
        <w:t>В.П.Глушко</w:t>
      </w:r>
      <w:proofErr w:type="spellEnd"/>
      <w:r w:rsidRPr="00A259BD">
        <w:rPr>
          <w:rFonts w:ascii="Times New Roman" w:hAnsi="Times New Roman"/>
          <w:color w:val="000000" w:themeColor="text1"/>
          <w:sz w:val="16"/>
          <w:szCs w:val="16"/>
        </w:rPr>
        <w:t xml:space="preserve"> в ГДЛ РККА организуется подразделение по разработке электрических и жидкостных ракетных двигателей (224,191).</w:t>
      </w:r>
    </w:p>
    <w:p w14:paraId="20C51B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4BD9C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г. на собрании научно-технического комитета Управления ВВС была предложена установка вдоль бортов лодки четырех бомбодержателей ДЕР-13 для подвески на каждом по одной 250-кг авиабомбе. Предполагаемые выгоды и необходимые переделки подсчитали. Требовалось произвести усиления корпуса - по прикидкам могли в год модернизировать подобным образом по 3-4 лодки. В результате в 1930 г. переоборудовали один ДВ с подвеской 4x250 кг. На 6 самолетах в этот период стояли Дер-</w:t>
      </w:r>
      <w:proofErr w:type="spellStart"/>
      <w:r w:rsidRPr="00A259BD">
        <w:rPr>
          <w:rFonts w:ascii="Times New Roman" w:hAnsi="Times New Roman"/>
          <w:color w:val="000000" w:themeColor="text1"/>
          <w:sz w:val="16"/>
          <w:szCs w:val="16"/>
        </w:rPr>
        <w:t>Збис</w:t>
      </w:r>
      <w:proofErr w:type="spellEnd"/>
      <w:r w:rsidRPr="00A259BD">
        <w:rPr>
          <w:rFonts w:ascii="Times New Roman" w:hAnsi="Times New Roman"/>
          <w:color w:val="000000" w:themeColor="text1"/>
          <w:sz w:val="16"/>
          <w:szCs w:val="16"/>
        </w:rPr>
        <w:t xml:space="preserve"> (4x82), на двух самолетах грузоподъемность указывалась 4x82+4x82 (дополнительные Дер-</w:t>
      </w:r>
      <w:proofErr w:type="spellStart"/>
      <w:r w:rsidRPr="00A259BD">
        <w:rPr>
          <w:rFonts w:ascii="Times New Roman" w:hAnsi="Times New Roman"/>
          <w:color w:val="000000" w:themeColor="text1"/>
          <w:sz w:val="16"/>
          <w:szCs w:val="16"/>
        </w:rPr>
        <w:t>Збис</w:t>
      </w:r>
      <w:proofErr w:type="spellEnd"/>
      <w:r w:rsidRPr="00A259BD">
        <w:rPr>
          <w:rFonts w:ascii="Times New Roman" w:hAnsi="Times New Roman"/>
          <w:color w:val="000000" w:themeColor="text1"/>
          <w:sz w:val="16"/>
          <w:szCs w:val="16"/>
        </w:rPr>
        <w:t>, Дер-4 или Дер-6 на жабрах), на остальных - (2х250+4х82)=828 кг. Впрочем, тогдашнее увлечение ростом массы бомб на борту мало учитывало эффективность их применения против морских целей с горизонтального полета. Но лишь в середин 1930-х бомбометание с пикирования показало свою эффективность (11961).</w:t>
      </w:r>
    </w:p>
    <w:p w14:paraId="392022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76509A" w14:textId="77777777" w:rsidR="00DE062D" w:rsidRPr="00441F34" w:rsidRDefault="00DE062D" w:rsidP="00DE062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мае 1929 года акционерное общество «</w:t>
      </w:r>
      <w:proofErr w:type="spellStart"/>
      <w:r w:rsidRPr="00441F34">
        <w:rPr>
          <w:rFonts w:ascii="Times New Roman" w:hAnsi="Times New Roman"/>
          <w:color w:val="0070C0"/>
          <w:sz w:val="16"/>
          <w:szCs w:val="16"/>
        </w:rPr>
        <w:t>Комсеверопуть</w:t>
      </w:r>
      <w:proofErr w:type="spellEnd"/>
      <w:r w:rsidRPr="00441F34">
        <w:rPr>
          <w:rFonts w:ascii="Times New Roman" w:hAnsi="Times New Roman"/>
          <w:color w:val="0070C0"/>
          <w:sz w:val="16"/>
          <w:szCs w:val="16"/>
        </w:rPr>
        <w:t>» заинтересовалось возможностью исполь</w:t>
      </w:r>
      <w:r w:rsidRPr="00441F34">
        <w:rPr>
          <w:rFonts w:ascii="Times New Roman" w:hAnsi="Times New Roman"/>
          <w:color w:val="0070C0"/>
          <w:sz w:val="16"/>
          <w:szCs w:val="16"/>
        </w:rPr>
        <w:softHyphen/>
        <w:t>зования самолета Дорнье Валь для ледовой разведки, обеспе</w:t>
      </w:r>
      <w:r w:rsidRPr="00441F34">
        <w:rPr>
          <w:rFonts w:ascii="Times New Roman" w:hAnsi="Times New Roman"/>
          <w:color w:val="0070C0"/>
          <w:sz w:val="16"/>
          <w:szCs w:val="16"/>
        </w:rPr>
        <w:softHyphen/>
        <w:t>чивающей поиск оптимальных путей продвижения караванов судов. В связи с этим правление общества попросило ВВС уступить одну из машин, причем его просьбу поддержал писатель Максим Горький. В феврале следующего года руководство «</w:t>
      </w:r>
      <w:proofErr w:type="spellStart"/>
      <w:r w:rsidRPr="00441F34">
        <w:rPr>
          <w:rFonts w:ascii="Times New Roman" w:hAnsi="Times New Roman"/>
          <w:color w:val="0070C0"/>
          <w:sz w:val="16"/>
          <w:szCs w:val="16"/>
        </w:rPr>
        <w:t>Комсеверопути</w:t>
      </w:r>
      <w:proofErr w:type="spellEnd"/>
      <w:r w:rsidRPr="00441F34">
        <w:rPr>
          <w:rFonts w:ascii="Times New Roman" w:hAnsi="Times New Roman"/>
          <w:color w:val="0070C0"/>
          <w:sz w:val="16"/>
          <w:szCs w:val="16"/>
        </w:rPr>
        <w:t xml:space="preserve">» заказало в Италии еще две машины с моторами BMW.VI. По предложению Бориса </w:t>
      </w:r>
      <w:proofErr w:type="spellStart"/>
      <w:r w:rsidRPr="00441F34">
        <w:rPr>
          <w:rFonts w:ascii="Times New Roman" w:hAnsi="Times New Roman"/>
          <w:color w:val="0070C0"/>
          <w:sz w:val="16"/>
          <w:szCs w:val="16"/>
        </w:rPr>
        <w:t>Чухновского</w:t>
      </w:r>
      <w:proofErr w:type="spellEnd"/>
      <w:r w:rsidRPr="00441F34">
        <w:rPr>
          <w:rFonts w:ascii="Times New Roman" w:hAnsi="Times New Roman"/>
          <w:color w:val="0070C0"/>
          <w:sz w:val="16"/>
          <w:szCs w:val="16"/>
        </w:rPr>
        <w:t xml:space="preserve"> были внесены некоторые конструктивные изменения для работы в условиях Крайнего севера. Так, на заводе усилили днище лодки, изменили конструкцию бензо</w:t>
      </w:r>
      <w:r w:rsidRPr="00441F34">
        <w:rPr>
          <w:rFonts w:ascii="Times New Roman" w:hAnsi="Times New Roman"/>
          <w:color w:val="0070C0"/>
          <w:sz w:val="16"/>
          <w:szCs w:val="16"/>
        </w:rPr>
        <w:softHyphen/>
        <w:t>провода и спроектировали систему аварийного слива топлива (23908).</w:t>
      </w:r>
    </w:p>
    <w:p w14:paraId="62FF0E0B" w14:textId="77777777" w:rsidR="00DE062D" w:rsidRPr="00441F34" w:rsidRDefault="00DE062D" w:rsidP="00DE062D">
      <w:pPr>
        <w:spacing w:after="0" w:line="240" w:lineRule="auto"/>
        <w:jc w:val="both"/>
        <w:rPr>
          <w:rFonts w:ascii="Times New Roman" w:hAnsi="Times New Roman"/>
          <w:color w:val="0070C0"/>
          <w:sz w:val="16"/>
          <w:szCs w:val="16"/>
        </w:rPr>
      </w:pPr>
    </w:p>
    <w:p w14:paraId="2F2B39CD" w14:textId="77777777" w:rsidR="004E2561" w:rsidRPr="00A259BD" w:rsidRDefault="004E256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мае 1929 правление </w:t>
      </w:r>
      <w:proofErr w:type="spellStart"/>
      <w:r w:rsidRPr="00A259BD">
        <w:rPr>
          <w:rFonts w:ascii="Times New Roman" w:hAnsi="Times New Roman"/>
          <w:color w:val="000000" w:themeColor="text1"/>
          <w:sz w:val="16"/>
          <w:szCs w:val="16"/>
        </w:rPr>
        <w:t>Авиа</w:t>
      </w:r>
      <w:r w:rsidRPr="00A259BD">
        <w:rPr>
          <w:rFonts w:ascii="Times New Roman" w:hAnsi="Times New Roman"/>
          <w:color w:val="000000" w:themeColor="text1"/>
          <w:sz w:val="16"/>
          <w:szCs w:val="16"/>
        </w:rPr>
        <w:softHyphen/>
        <w:t>треста</w:t>
      </w:r>
      <w:proofErr w:type="spellEnd"/>
      <w:r w:rsidRPr="00A259BD">
        <w:rPr>
          <w:rFonts w:ascii="Times New Roman" w:hAnsi="Times New Roman"/>
          <w:color w:val="000000" w:themeColor="text1"/>
          <w:sz w:val="16"/>
          <w:szCs w:val="16"/>
        </w:rPr>
        <w:t xml:space="preserve"> принимает от УВВС заказ на изготовление 30 санитарных аэросаней НАМИ. Выпуск двух го</w:t>
      </w:r>
      <w:r w:rsidRPr="00A259BD">
        <w:rPr>
          <w:rFonts w:ascii="Times New Roman" w:hAnsi="Times New Roman"/>
          <w:color w:val="000000" w:themeColor="text1"/>
          <w:sz w:val="16"/>
          <w:szCs w:val="16"/>
        </w:rPr>
        <w:softHyphen/>
        <w:t>ловных машин предусматривался в ноябре. Они были поставлены на серийное производство на заводе «Пропеллер» (22518).</w:t>
      </w:r>
    </w:p>
    <w:p w14:paraId="285538C7" w14:textId="77777777" w:rsidR="004E2561" w:rsidRPr="00A259BD" w:rsidRDefault="004E2561" w:rsidP="009236E3">
      <w:pPr>
        <w:spacing w:after="0" w:line="240" w:lineRule="auto"/>
        <w:jc w:val="both"/>
        <w:rPr>
          <w:rFonts w:ascii="Times New Roman" w:hAnsi="Times New Roman"/>
          <w:color w:val="000000" w:themeColor="text1"/>
          <w:sz w:val="16"/>
          <w:szCs w:val="16"/>
        </w:rPr>
      </w:pPr>
    </w:p>
    <w:p w14:paraId="20D4E3D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235BD2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2A70373"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мае 1929 г. съезд Советов одобрил то, что было названо «оптимальным вариантом» пятилетнего плана развития народного хозяйства СССР на 1928/29–1932/33 гг. Одновременно был отвергнут более сбалансированный план — так называемый «отправной вариант». Несмотря на заявленную общую оборонную направленность плана, он не содержал отдельного долгосрочного плана развития оборонной промышленности. Судя по выступлениям наркома обороны Ворошилова, военные были недовольны планом. Летом 1929 г. вопрос об обороне, Красной Армии и оборонной промышленности оказался предметом обсуждения в политическом руководстве страны. </w:t>
      </w:r>
    </w:p>
    <w:p w14:paraId="5C3C0AAC" w14:textId="77777777" w:rsidR="00721C26" w:rsidRPr="00A259BD" w:rsidRDefault="00721C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Хотя особый «оборонный пятилетний план» так и не был принят, представление об общей структуре такого плана можно составить, ознакомившись с отчётом военных по поводу окончательного варианта пятилетнего плана. Этот отчёт содержит детальную критику «отправного варианта» пятилетнего плана и может служить показателем взглядов военных в начале 1929 г. Существовал перечень плановых позиций, по которым промышленности надлежало достигнуть особых, мобилизационных целей. К примеру, в 1928 г. правительство сформулировало мобилизационную задачу на первые три года планового периода. Таким образом, промышленный рост в 1928/29 и 1929/30 гг. имел целью достижение определённого оборонного потенциала в соответствии с мобилизационным планом на конец 1931 г. (17208).</w:t>
      </w:r>
    </w:p>
    <w:p w14:paraId="067255A9" w14:textId="77777777" w:rsidR="00721C26" w:rsidRPr="00A259BD" w:rsidRDefault="00721C26" w:rsidP="009236E3">
      <w:pPr>
        <w:spacing w:after="0" w:line="240" w:lineRule="auto"/>
        <w:jc w:val="both"/>
        <w:rPr>
          <w:rFonts w:ascii="Times New Roman" w:hAnsi="Times New Roman"/>
          <w:color w:val="000000" w:themeColor="text1"/>
          <w:sz w:val="16"/>
          <w:szCs w:val="16"/>
        </w:rPr>
      </w:pPr>
    </w:p>
    <w:p w14:paraId="6B4CF175" w14:textId="77777777" w:rsidR="00410640" w:rsidRPr="00A259BD" w:rsidRDefault="00410640" w:rsidP="009236E3">
      <w:pPr>
        <w:spacing w:after="0" w:line="240" w:lineRule="auto"/>
        <w:jc w:val="both"/>
        <w:rPr>
          <w:rFonts w:ascii="Times New Roman" w:hAnsi="Times New Roman"/>
          <w:color w:val="000000" w:themeColor="text1"/>
          <w:sz w:val="16"/>
          <w:szCs w:val="16"/>
        </w:rPr>
      </w:pPr>
      <w:r w:rsidRPr="00A259BD">
        <w:rPr>
          <w:rStyle w:val="a60"/>
          <w:rFonts w:ascii="Times New Roman" w:hAnsi="Times New Roman"/>
          <w:color w:val="000000" w:themeColor="text1"/>
          <w:sz w:val="16"/>
          <w:szCs w:val="16"/>
        </w:rPr>
        <w:t>В мае 1929 г. V Всесоюзный съезд Советов принял первый пятилетний план в его оптимальном варианте. И хотя этот акт был давно предрешен в сталинском руководстве, сам по себе он ознаменовал важную веху: план становился “законом жиз</w:t>
      </w:r>
      <w:r w:rsidRPr="00A259BD">
        <w:rPr>
          <w:rStyle w:val="a60"/>
          <w:rFonts w:ascii="Times New Roman" w:hAnsi="Times New Roman"/>
          <w:color w:val="000000" w:themeColor="text1"/>
          <w:sz w:val="16"/>
          <w:szCs w:val="16"/>
        </w:rPr>
        <w:softHyphen/>
        <w:t>ни советского общества”. Утверждалась установка “план - лю</w:t>
      </w:r>
      <w:r w:rsidRPr="00A259BD">
        <w:rPr>
          <w:rStyle w:val="a60"/>
          <w:rFonts w:ascii="Times New Roman" w:hAnsi="Times New Roman"/>
          <w:color w:val="000000" w:themeColor="text1"/>
          <w:sz w:val="16"/>
          <w:szCs w:val="16"/>
        </w:rPr>
        <w:softHyphen/>
        <w:t>бой ценой”. В соответствии с переходом к директивному цент</w:t>
      </w:r>
      <w:r w:rsidRPr="00A259BD">
        <w:rPr>
          <w:rStyle w:val="a60"/>
          <w:rFonts w:ascii="Times New Roman" w:hAnsi="Times New Roman"/>
          <w:color w:val="000000" w:themeColor="text1"/>
          <w:sz w:val="16"/>
          <w:szCs w:val="16"/>
        </w:rPr>
        <w:softHyphen/>
        <w:t>рализованному планированию перестраивается вся система уп</w:t>
      </w:r>
      <w:r w:rsidRPr="00A259BD">
        <w:rPr>
          <w:rStyle w:val="a60"/>
          <w:rFonts w:ascii="Times New Roman" w:hAnsi="Times New Roman"/>
          <w:color w:val="000000" w:themeColor="text1"/>
          <w:sz w:val="16"/>
          <w:szCs w:val="16"/>
        </w:rPr>
        <w:softHyphen/>
        <w:t>равления народным хозяйством. В громадной степени возрас</w:t>
      </w:r>
      <w:r w:rsidRPr="00A259BD">
        <w:rPr>
          <w:rStyle w:val="a60"/>
          <w:rFonts w:ascii="Times New Roman" w:hAnsi="Times New Roman"/>
          <w:color w:val="000000" w:themeColor="text1"/>
          <w:sz w:val="16"/>
          <w:szCs w:val="16"/>
        </w:rPr>
        <w:softHyphen/>
        <w:t xml:space="preserve">тает роль Госплана. Госплан должен </w:t>
      </w:r>
      <w:r w:rsidRPr="00A259BD">
        <w:rPr>
          <w:rStyle w:val="a60"/>
          <w:rFonts w:ascii="Times New Roman" w:hAnsi="Times New Roman"/>
          <w:iCs/>
          <w:color w:val="000000" w:themeColor="text1"/>
          <w:sz w:val="16"/>
          <w:szCs w:val="16"/>
        </w:rPr>
        <w:t>был разрабатывать схе</w:t>
      </w:r>
      <w:r w:rsidRPr="00A259BD">
        <w:rPr>
          <w:rStyle w:val="a60"/>
          <w:rFonts w:ascii="Times New Roman" w:hAnsi="Times New Roman"/>
          <w:iCs/>
          <w:color w:val="000000" w:themeColor="text1"/>
          <w:sz w:val="16"/>
          <w:szCs w:val="16"/>
        </w:rPr>
        <w:softHyphen/>
        <w:t>му распределения необходимой продукции, соблюдать необ</w:t>
      </w:r>
      <w:r w:rsidRPr="00A259BD">
        <w:rPr>
          <w:rStyle w:val="a60"/>
          <w:rFonts w:ascii="Times New Roman" w:hAnsi="Times New Roman"/>
          <w:iCs/>
          <w:color w:val="000000" w:themeColor="text1"/>
          <w:sz w:val="16"/>
          <w:szCs w:val="16"/>
        </w:rPr>
        <w:softHyphen/>
        <w:t>ходимые пропорции между интересами развития всего народ</w:t>
      </w:r>
      <w:r w:rsidRPr="00A259BD">
        <w:rPr>
          <w:rStyle w:val="a60"/>
          <w:rFonts w:ascii="Times New Roman" w:hAnsi="Times New Roman"/>
          <w:iCs/>
          <w:color w:val="000000" w:themeColor="text1"/>
          <w:sz w:val="16"/>
          <w:szCs w:val="16"/>
        </w:rPr>
        <w:softHyphen/>
        <w:t xml:space="preserve">ного хозяйства, мобилизационными возможностями страны, затратами, капиталовложениями и нуждами потребления. </w:t>
      </w:r>
      <w:r w:rsidRPr="00A259BD">
        <w:rPr>
          <w:rStyle w:val="a60"/>
          <w:rFonts w:ascii="Times New Roman" w:hAnsi="Times New Roman"/>
          <w:color w:val="000000" w:themeColor="text1"/>
          <w:sz w:val="16"/>
          <w:szCs w:val="16"/>
        </w:rPr>
        <w:t>Но по мере того, как возрастал ажиотаж в стране, связанный с ускорением темпов индустриализации, в план вносились кор</w:t>
      </w:r>
      <w:r w:rsidRPr="00A259BD">
        <w:rPr>
          <w:rStyle w:val="a60"/>
          <w:rFonts w:ascii="Times New Roman" w:hAnsi="Times New Roman"/>
          <w:color w:val="000000" w:themeColor="text1"/>
          <w:sz w:val="16"/>
          <w:szCs w:val="16"/>
        </w:rPr>
        <w:softHyphen/>
        <w:t>ректировки в сторону по</w:t>
      </w:r>
      <w:r w:rsidRPr="00A259BD">
        <w:rPr>
          <w:rStyle w:val="92"/>
          <w:rFonts w:ascii="Times New Roman" w:hAnsi="Times New Roman"/>
          <w:color w:val="000000" w:themeColor="text1"/>
          <w:sz w:val="16"/>
          <w:szCs w:val="16"/>
        </w:rPr>
        <w:t>вышения заданий, в результате чего отправные контрольные цифры превращались в оптималь</w:t>
      </w:r>
      <w:r w:rsidRPr="00A259BD">
        <w:rPr>
          <w:rStyle w:val="92"/>
          <w:rFonts w:ascii="Times New Roman" w:hAnsi="Times New Roman"/>
          <w:color w:val="000000" w:themeColor="text1"/>
          <w:sz w:val="16"/>
          <w:szCs w:val="16"/>
        </w:rPr>
        <w:softHyphen/>
        <w:t>ные, а затем и вовсе нереальные. Скептические настроения относительно нагнетания плановых цифр становились опасны</w:t>
      </w:r>
      <w:r w:rsidRPr="00A259BD">
        <w:rPr>
          <w:rStyle w:val="92"/>
          <w:rFonts w:ascii="Times New Roman" w:hAnsi="Times New Roman"/>
          <w:color w:val="000000" w:themeColor="text1"/>
          <w:sz w:val="16"/>
          <w:szCs w:val="16"/>
        </w:rPr>
        <w:softHyphen/>
        <w:t>ми. Сторонники разумного планирования не только обвиня</w:t>
      </w:r>
      <w:r w:rsidRPr="00A259BD">
        <w:rPr>
          <w:rStyle w:val="92"/>
          <w:rFonts w:ascii="Times New Roman" w:hAnsi="Times New Roman"/>
          <w:color w:val="000000" w:themeColor="text1"/>
          <w:sz w:val="16"/>
          <w:szCs w:val="16"/>
        </w:rPr>
        <w:softHyphen/>
        <w:t>лись в правом уклоне, но и оказывались в рядах “ретрогра</w:t>
      </w:r>
      <w:r w:rsidRPr="00A259BD">
        <w:rPr>
          <w:rStyle w:val="92"/>
          <w:rFonts w:ascii="Times New Roman" w:hAnsi="Times New Roman"/>
          <w:color w:val="000000" w:themeColor="text1"/>
          <w:sz w:val="16"/>
          <w:szCs w:val="16"/>
        </w:rPr>
        <w:softHyphen/>
        <w:t>дов”, “вредителей” и “врагов народа”. “Вредительской” была объявлена “теория затухающей кривой”, согласно которой наибольшие капиталовложения в развитие экономики долж</w:t>
      </w:r>
      <w:r w:rsidRPr="00A259BD">
        <w:rPr>
          <w:rStyle w:val="92"/>
          <w:rFonts w:ascii="Times New Roman" w:hAnsi="Times New Roman"/>
          <w:color w:val="000000" w:themeColor="text1"/>
          <w:sz w:val="16"/>
          <w:szCs w:val="16"/>
        </w:rPr>
        <w:softHyphen/>
        <w:t>ны были прийтись на первые годы пятилетки, после чего от них следовало ожидать отдачи, уменьшая вкладываемые средства (17200).</w:t>
      </w:r>
    </w:p>
    <w:p w14:paraId="01D81722" w14:textId="77777777" w:rsidR="00410640" w:rsidRPr="00A259BD" w:rsidRDefault="00410640" w:rsidP="009236E3">
      <w:pPr>
        <w:spacing w:after="0" w:line="240" w:lineRule="auto"/>
        <w:jc w:val="both"/>
        <w:rPr>
          <w:rFonts w:ascii="Times New Roman" w:hAnsi="Times New Roman"/>
          <w:color w:val="000000" w:themeColor="text1"/>
          <w:sz w:val="16"/>
          <w:szCs w:val="16"/>
        </w:rPr>
      </w:pPr>
    </w:p>
    <w:p w14:paraId="59FC30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мае 1929 делегация во главе с зам. нач. ГУВП ВСНХ </w:t>
      </w:r>
      <w:proofErr w:type="spellStart"/>
      <w:r w:rsidRPr="00A259BD">
        <w:rPr>
          <w:rFonts w:ascii="Times New Roman" w:hAnsi="Times New Roman"/>
          <w:color w:val="000000" w:themeColor="text1"/>
          <w:sz w:val="16"/>
          <w:szCs w:val="16"/>
        </w:rPr>
        <w:t>Будневичем</w:t>
      </w:r>
      <w:proofErr w:type="spellEnd"/>
      <w:r w:rsidRPr="00A259BD">
        <w:rPr>
          <w:rFonts w:ascii="Times New Roman" w:hAnsi="Times New Roman"/>
          <w:color w:val="000000" w:themeColor="text1"/>
          <w:sz w:val="16"/>
          <w:szCs w:val="16"/>
        </w:rPr>
        <w:t xml:space="preserve"> побывала в Германии для заключения договоров о тех. помощи и в официальном отчете докладывала, что командование Рейхсвера "зондировало вопрос о широком военно-политическом сотрудничестве, вплоть до унификации вооружений". </w:t>
      </w:r>
      <w:proofErr w:type="spellStart"/>
      <w:r w:rsidRPr="00A259BD">
        <w:rPr>
          <w:rFonts w:ascii="Times New Roman" w:hAnsi="Times New Roman"/>
          <w:color w:val="000000" w:themeColor="text1"/>
          <w:sz w:val="16"/>
          <w:szCs w:val="16"/>
        </w:rPr>
        <w:t>Рейнметалл</w:t>
      </w:r>
      <w:proofErr w:type="spellEnd"/>
      <w:r w:rsidRPr="00A259BD">
        <w:rPr>
          <w:rFonts w:ascii="Times New Roman" w:hAnsi="Times New Roman"/>
          <w:color w:val="000000" w:themeColor="text1"/>
          <w:sz w:val="16"/>
          <w:szCs w:val="16"/>
        </w:rPr>
        <w:t xml:space="preserve"> согласилась передать опыт в производстве порохов, взрывателей, дистанционных трубок, специальных сортов сталей. Парафировали соглашения о тех. помощи и с Крупном, Цейсом, Юнкерсом, Менделем (Австрия) (1566,76).</w:t>
      </w:r>
    </w:p>
    <w:p w14:paraId="3ACED4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C0EE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РВС утвердил "Систему артиллерийского вооружения на первую пятилетку" (359,88).</w:t>
      </w:r>
    </w:p>
    <w:p w14:paraId="2394EF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A89B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мае 1929 РВС утвердил Систему </w:t>
      </w:r>
      <w:proofErr w:type="spellStart"/>
      <w:r w:rsidRPr="00A259BD">
        <w:rPr>
          <w:rFonts w:ascii="Times New Roman" w:hAnsi="Times New Roman"/>
          <w:color w:val="000000" w:themeColor="text1"/>
          <w:sz w:val="16"/>
          <w:szCs w:val="16"/>
        </w:rPr>
        <w:t>артвооружения</w:t>
      </w:r>
      <w:proofErr w:type="spellEnd"/>
      <w:r w:rsidRPr="00A259BD">
        <w:rPr>
          <w:rFonts w:ascii="Times New Roman" w:hAnsi="Times New Roman"/>
          <w:color w:val="000000" w:themeColor="text1"/>
          <w:sz w:val="16"/>
          <w:szCs w:val="16"/>
        </w:rPr>
        <w:t xml:space="preserve"> на 1929-1932 годы (3848,44).</w:t>
      </w:r>
    </w:p>
    <w:p w14:paraId="16742D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2126C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мае 1929 г. РВС разработал 5-летнюю программу артиллерийского перевооружения РККА. Она предусматривала увеличение огневой мощи, дальнобойности, скорострельное и меткости орудий, создание крупных артиллерийских конструкторских бюро (КБ), заложены </w:t>
      </w:r>
      <w:proofErr w:type="spellStart"/>
      <w:r w:rsidRPr="00A259BD">
        <w:rPr>
          <w:rFonts w:ascii="Times New Roman" w:hAnsi="Times New Roman"/>
          <w:color w:val="000000" w:themeColor="text1"/>
          <w:sz w:val="16"/>
          <w:szCs w:val="16"/>
        </w:rPr>
        <w:t>артзаводы</w:t>
      </w:r>
      <w:proofErr w:type="spellEnd"/>
      <w:r w:rsidRPr="00A259BD">
        <w:rPr>
          <w:rFonts w:ascii="Times New Roman" w:hAnsi="Times New Roman"/>
          <w:color w:val="000000" w:themeColor="text1"/>
          <w:sz w:val="16"/>
          <w:szCs w:val="16"/>
        </w:rPr>
        <w:t xml:space="preserve"> (Советские Вооруженные Силы. С. 188.) (11784).</w:t>
      </w:r>
    </w:p>
    <w:p w14:paraId="17D4C7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A5F1FA" w14:textId="77777777" w:rsidR="004E2561" w:rsidRPr="00A259BD" w:rsidRDefault="004E256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мае 1929 г. Изготовление опытного образца батальонной мортиры (вар. 1) КБ АК было закончено, 30 июня на </w:t>
      </w:r>
      <w:proofErr w:type="spellStart"/>
      <w:r w:rsidRPr="00A259BD">
        <w:rPr>
          <w:rFonts w:ascii="Times New Roman" w:hAnsi="Times New Roman"/>
          <w:color w:val="000000" w:themeColor="text1"/>
          <w:sz w:val="16"/>
          <w:szCs w:val="16"/>
        </w:rPr>
        <w:t>НИАПе</w:t>
      </w:r>
      <w:proofErr w:type="spellEnd"/>
      <w:r w:rsidRPr="00A259BD">
        <w:rPr>
          <w:rFonts w:ascii="Times New Roman" w:hAnsi="Times New Roman"/>
          <w:color w:val="000000" w:themeColor="text1"/>
          <w:sz w:val="16"/>
          <w:szCs w:val="16"/>
        </w:rPr>
        <w:t xml:space="preserve"> было проведено его заводское испытание, после чего система была направлена на завод для мелких исправлений.133 Фугасные надульные мины к 76-мм батальонной мортире (вар. 1) были начаты изготовлением на заводе №7 и в декабре 1929 г. часть партии была отправлена на НИАП, однако в конце декабря поступило распоряжение о приостановке производства ввиду внесения изменений в чертеж (были скорректированы хвост мины и способ крепления крыльев).134 (20074).</w:t>
      </w:r>
    </w:p>
    <w:p w14:paraId="2140D02D" w14:textId="77777777" w:rsidR="004E2561" w:rsidRPr="00A259BD" w:rsidRDefault="004E2561" w:rsidP="009236E3">
      <w:pPr>
        <w:spacing w:after="0" w:line="240" w:lineRule="auto"/>
        <w:jc w:val="both"/>
        <w:rPr>
          <w:rFonts w:ascii="Times New Roman" w:hAnsi="Times New Roman"/>
          <w:color w:val="000000" w:themeColor="text1"/>
          <w:sz w:val="16"/>
          <w:szCs w:val="16"/>
        </w:rPr>
      </w:pPr>
    </w:p>
    <w:p w14:paraId="4E7F0558" w14:textId="77777777" w:rsidR="004E2561" w:rsidRPr="00A259BD" w:rsidRDefault="004E2561" w:rsidP="009236E3">
      <w:pPr>
        <w:pStyle w:val="article-renderblock"/>
        <w:shd w:val="clear" w:color="auto" w:fill="FFFFFF"/>
        <w:spacing w:before="0" w:beforeAutospacing="0" w:after="0" w:afterAutospacing="0"/>
        <w:jc w:val="both"/>
        <w:rPr>
          <w:color w:val="000000" w:themeColor="text1"/>
          <w:sz w:val="16"/>
          <w:szCs w:val="16"/>
        </w:rPr>
      </w:pPr>
      <w:r w:rsidRPr="00A259BD">
        <w:rPr>
          <w:color w:val="000000" w:themeColor="text1"/>
          <w:sz w:val="16"/>
          <w:szCs w:val="16"/>
        </w:rPr>
        <w:t>В мае 1929 года Т-18бис переименовали в Т-20. А Т-19 уже выглядел совсем другим танком. Боевая масса возрастала до 7 тонн, кроме того, танк должен был получить улучшенную башню с кормовой нишей под радиостанцию, плюс новую 37-мм пушку разработки завода "Большевик". Данное орудие получило обозначение Б-3. В качестве силовой установки предусматривался мотор мощностью 75 лошадиных сил, работы по которому на "Большевике" начали с конца 1928 года.</w:t>
      </w:r>
    </w:p>
    <w:p w14:paraId="79FCE73E" w14:textId="77777777" w:rsidR="004E2561" w:rsidRPr="00A259BD" w:rsidRDefault="004E2561" w:rsidP="009236E3">
      <w:pPr>
        <w:pStyle w:val="article-renderblock"/>
        <w:shd w:val="clear" w:color="auto" w:fill="FFFFFF"/>
        <w:spacing w:before="0" w:beforeAutospacing="0" w:after="0" w:afterAutospacing="0"/>
        <w:jc w:val="both"/>
        <w:rPr>
          <w:color w:val="000000" w:themeColor="text1"/>
          <w:sz w:val="16"/>
          <w:szCs w:val="16"/>
        </w:rPr>
      </w:pPr>
      <w:r w:rsidRPr="00A259BD">
        <w:rPr>
          <w:color w:val="000000" w:themeColor="text1"/>
          <w:sz w:val="16"/>
          <w:szCs w:val="16"/>
        </w:rPr>
        <w:t xml:space="preserve">Ведущим инженером по Т-19 стал конструктор Г.С. </w:t>
      </w:r>
      <w:proofErr w:type="spellStart"/>
      <w:r w:rsidRPr="00A259BD">
        <w:rPr>
          <w:color w:val="000000" w:themeColor="text1"/>
          <w:sz w:val="16"/>
          <w:szCs w:val="16"/>
        </w:rPr>
        <w:t>Прахье</w:t>
      </w:r>
      <w:proofErr w:type="spellEnd"/>
      <w:r w:rsidRPr="00A259BD">
        <w:rPr>
          <w:color w:val="000000" w:themeColor="text1"/>
          <w:sz w:val="16"/>
          <w:szCs w:val="16"/>
        </w:rPr>
        <w:t xml:space="preserve">, до того Григорий Соломонович являлся одним из главных участников создания Т-18. Периодически создателями Т-19 указывают ГКБ ОАТ, но это не так. В лучшем случае </w:t>
      </w:r>
      <w:proofErr w:type="spellStart"/>
      <w:r w:rsidRPr="00A259BD">
        <w:rPr>
          <w:color w:val="000000" w:themeColor="text1"/>
          <w:sz w:val="16"/>
          <w:szCs w:val="16"/>
        </w:rPr>
        <w:t>Шукалов</w:t>
      </w:r>
      <w:proofErr w:type="spellEnd"/>
      <w:r w:rsidRPr="00A259BD">
        <w:rPr>
          <w:color w:val="000000" w:themeColor="text1"/>
          <w:sz w:val="16"/>
          <w:szCs w:val="16"/>
        </w:rPr>
        <w:t xml:space="preserve"> и В.И. Заславский принимали участие в данной машине как один из надзорных органов (да и в справке по деятельности ГКБ ОАТ данный танк не значился). Не имел к этому танку отношение и С.А. Гинзбург, впервые он появляется в переписке по данной машине только в 1930 году, да и то как представитель НТК УММ КА. Следует отметить, что требования по Т-19 постоянно росли (20842).</w:t>
      </w:r>
    </w:p>
    <w:p w14:paraId="76403366" w14:textId="77777777" w:rsidR="004E2561" w:rsidRPr="00A259BD" w:rsidRDefault="004E2561" w:rsidP="009236E3">
      <w:pPr>
        <w:pStyle w:val="article-renderblock"/>
        <w:shd w:val="clear" w:color="auto" w:fill="FFFFFF"/>
        <w:spacing w:before="0" w:beforeAutospacing="0" w:after="0" w:afterAutospacing="0"/>
        <w:jc w:val="both"/>
        <w:rPr>
          <w:color w:val="000000" w:themeColor="text1"/>
          <w:sz w:val="16"/>
          <w:szCs w:val="16"/>
        </w:rPr>
      </w:pPr>
    </w:p>
    <w:p w14:paraId="58F7CE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г. для закупок оборудования, а также составления плана реконструкции АМО был заключен договор с американской проектной организацией Брандта. Он предусматривал реконструкцию завода на выпуск 25 тыс. грузовиков в год при затратах валюты около 7 млн. руб. Договор предусматривал, что к 30 июня 1930 г. все цеха и завод в целом вступят в строй. Однако лишь в ноябре 1929 г. Брандт представил, и то лишь предварительный, проект реконструкции. Он имел много недостатков, и в начале лета 1930 г. договор пришлось расторгнуть. Вопрос о дальнейшей судьбе реконструкции АМО обсуждало 25 января 1930 г. правительство страны, поручив ВСНХ СССР определить сумму дополнительных ассигнований на реконструкцию. В США и Германию выехала большая группа советских специалистов для закупки оборудования, а в Москве велись доработки проекта и параллельно с ним строительные работы. Пока шло строительство, АМО продолжал вплоть до 1931 г. выпуск грузовиков модели Ф-15. Параллельно в 1930-1931 гг. шла сборка из американских узлов "Автокаров", которым был дан индекс АМО-2. Когда 25 октября 1931 г. из ворот реконструированного завода вышли первые 27 грузовиков, изготовленных полностью из своих деталей, они получили индекс АМО-3, хотя по конструкции незначительно отличались от АМО-2. О масштабах проделанной работы можно судить по образному сравнению директора завода И. А. Лихачева: "...если считать по затраченному капиталу, то можно сказать, что мы к пуговице пришивали пальто. Если основной капитал составлял 8 миллионов рублей, то вновь реконструированный... завод стоит сегодня 87 миллионов рублей". Оценивая успехи инженеров и рабочих АМО, один из американских специалистов, работавших в СССР, Тэйлор писал: "За два года вы построили оборудованный по последнему слову техники завод, который смело может стать в ряд с крупнейшими автомобильными заводами Америки" (12098).</w:t>
      </w:r>
    </w:p>
    <w:p w14:paraId="35AAAB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839C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мае 1929 г. мастерская по изготовлению радиодеталей в ведении губернского Совета общества друзей радио, созданная 14 июня 1927, была преобразована в фабрику «Радиодеталь». В 01.1931 г. фабрика передана в </w:t>
      </w:r>
      <w:proofErr w:type="spellStart"/>
      <w:r w:rsidRPr="00A259BD">
        <w:rPr>
          <w:rFonts w:ascii="Times New Roman" w:hAnsi="Times New Roman"/>
          <w:color w:val="000000" w:themeColor="text1"/>
          <w:sz w:val="16"/>
          <w:szCs w:val="16"/>
        </w:rPr>
        <w:t>НКПиТ</w:t>
      </w:r>
      <w:proofErr w:type="spellEnd"/>
      <w:r w:rsidRPr="00A259BD">
        <w:rPr>
          <w:rFonts w:ascii="Times New Roman" w:hAnsi="Times New Roman"/>
          <w:color w:val="000000" w:themeColor="text1"/>
          <w:sz w:val="16"/>
          <w:szCs w:val="16"/>
        </w:rPr>
        <w:t xml:space="preserve"> и преобразована в ГС завод № 7. Производство электроакустических устройств. В 1931 г. разработан первый радиоприемник прямого усиления. В 1934г. разработан и внедрен в производство 30-ваттный динамик, в 1935г.- рупорный уличный громкоговоритель, в 1936г. разработан и внедрен первый микрофон ДМК. Выпускались также приборы, шкалы. Далее- в ведении НКЭП.</w:t>
      </w:r>
    </w:p>
    <w:p w14:paraId="272281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10.1941 г. завод в течение суток был эвакуирован в Пермь на завод № 629. На новом месте начат выпуск бумажных конденсаторов для полевых телефонов.</w:t>
      </w:r>
    </w:p>
    <w:p w14:paraId="71D73A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02.1941 г. на месте эвакуированного завода группой вернувшихся специалистов началось восстановление производства, (далее- это Тульский радиозавод).</w:t>
      </w:r>
    </w:p>
    <w:p w14:paraId="68E82A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(1927г.)- 37 чел., (1929г.)- 74 чел.</w:t>
      </w:r>
      <w:r w:rsidRPr="00A259BD">
        <w:rPr>
          <w:rFonts w:ascii="Times New Roman" w:hAnsi="Times New Roman"/>
          <w:color w:val="000000" w:themeColor="text1"/>
          <w:sz w:val="16"/>
          <w:szCs w:val="16"/>
          <w:vertAlign w:val="superscript"/>
        </w:rPr>
        <w:t>101</w:t>
      </w:r>
    </w:p>
    <w:p w14:paraId="2DB838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Создано:</w:t>
      </w:r>
      <w:r w:rsidRPr="00A259BD">
        <w:rPr>
          <w:rFonts w:ascii="Times New Roman" w:hAnsi="Times New Roman"/>
          <w:color w:val="000000" w:themeColor="text1"/>
          <w:sz w:val="16"/>
          <w:szCs w:val="16"/>
        </w:rPr>
        <w:t xml:space="preserve"> радиоприемники: прямого усиления (1932), Т-35 (1936); динамик (1934); рупорный уличный громкоговоритель (1935); микрофоны: динамический ДМК (1936).</w:t>
      </w:r>
    </w:p>
    <w:p w14:paraId="0F653A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Производство:</w:t>
      </w:r>
      <w:r w:rsidRPr="00A259BD">
        <w:rPr>
          <w:rFonts w:ascii="Times New Roman" w:hAnsi="Times New Roman"/>
          <w:color w:val="000000" w:themeColor="text1"/>
          <w:sz w:val="16"/>
          <w:szCs w:val="16"/>
        </w:rPr>
        <w:t xml:space="preserve"> рупорный уличный громкоговоритель (1935-45); микрофоны: динамический ДМК (1936-); радиоприемники: Т-37 (1938-) (11982).</w:t>
      </w:r>
    </w:p>
    <w:p w14:paraId="397E14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Тульский радиозавод, Тульский завод «Октава» МПСС, ОАО «Октава»</w:t>
      </w:r>
    </w:p>
    <w:p w14:paraId="34D4FF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 г. Тула ул. Каминского, 24 тел. 20-00-04, 36-01-77/</w:t>
      </w:r>
    </w:p>
    <w:p w14:paraId="6A5AF9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02.1941 г. на месте эвакуированного ГС завода № 7 НКЭП группой вернувшихся специалистов началось восстановление производства, и создан Тульский радиозавод. С 05.1941 г. начат выпуск миноискателей, рупорных динамиков, с 06.1941 г. - динамических микрофонов, затем - трансляционных громкоговорителей на пьезоэлементах.</w:t>
      </w:r>
    </w:p>
    <w:p w14:paraId="3F24F3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1943г. завод- в ведении НКЭП. В 1946г. получил название Тульский завод «Октава».</w:t>
      </w:r>
    </w:p>
    <w:p w14:paraId="079525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1954-56г. проведена реконструкция завода, он стал специализированным предприятием по производству электроакустики (микрофонов, динамиков, телефонов). В 1961 г. начат 2-й этап реконструкции завода, освоение выпуска измерительных приборов для акустических измерений. В 1980-е г. освоено производство электретных микрофонов.</w:t>
      </w:r>
    </w:p>
    <w:p w14:paraId="7FBA9F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1990-е г. завод преобразован в ОАО «Октава». Освоено производство миниатюрных электроакустических преобразователей для слуховых аппаратов (одна из 4 фирм в мире).</w:t>
      </w:r>
    </w:p>
    <w:p w14:paraId="35987E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решению правительства № 22-р от 9.01,2004г. и Указу Президента РФ № 1009 от 4.08.2004г. вошло в число стратегических оборонных предприятий.</w:t>
      </w:r>
    </w:p>
    <w:p w14:paraId="364B52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(2005г.): электроакустические преобразователи (микрофоны, телефоны, гарнитуры, </w:t>
      </w:r>
      <w:proofErr w:type="spellStart"/>
      <w:r w:rsidRPr="00A259BD">
        <w:rPr>
          <w:rFonts w:ascii="Times New Roman" w:hAnsi="Times New Roman"/>
          <w:color w:val="000000" w:themeColor="text1"/>
          <w:sz w:val="16"/>
          <w:szCs w:val="16"/>
        </w:rPr>
        <w:t>сейсмодатчики</w:t>
      </w:r>
      <w:proofErr w:type="spellEnd"/>
      <w:r w:rsidRPr="00A259BD">
        <w:rPr>
          <w:rFonts w:ascii="Times New Roman" w:hAnsi="Times New Roman"/>
          <w:color w:val="000000" w:themeColor="text1"/>
          <w:sz w:val="16"/>
          <w:szCs w:val="16"/>
        </w:rPr>
        <w:t xml:space="preserve">); освоение выпуска </w:t>
      </w:r>
      <w:proofErr w:type="spellStart"/>
      <w:r w:rsidRPr="00A259BD">
        <w:rPr>
          <w:rFonts w:ascii="Times New Roman" w:hAnsi="Times New Roman"/>
          <w:color w:val="000000" w:themeColor="text1"/>
          <w:sz w:val="16"/>
          <w:szCs w:val="16"/>
        </w:rPr>
        <w:t>внутриушного</w:t>
      </w:r>
      <w:proofErr w:type="spellEnd"/>
      <w:r w:rsidRPr="00A259BD">
        <w:rPr>
          <w:rFonts w:ascii="Times New Roman" w:hAnsi="Times New Roman"/>
          <w:color w:val="000000" w:themeColor="text1"/>
          <w:sz w:val="16"/>
          <w:szCs w:val="16"/>
        </w:rPr>
        <w:t xml:space="preserve"> слухового аппарата В-01.</w:t>
      </w:r>
    </w:p>
    <w:p w14:paraId="02B9F4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(2007г.)- 1200 чел.</w:t>
      </w:r>
    </w:p>
    <w:p w14:paraId="32F3B2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(1941 г.-)- К.А. Глазков, (1967г.)- С.М. Шалашников, (1980-е)- М.А. </w:t>
      </w:r>
      <w:proofErr w:type="spellStart"/>
      <w:r w:rsidRPr="00A259BD">
        <w:rPr>
          <w:rFonts w:ascii="Times New Roman" w:hAnsi="Times New Roman"/>
          <w:color w:val="000000" w:themeColor="text1"/>
          <w:sz w:val="16"/>
          <w:szCs w:val="16"/>
        </w:rPr>
        <w:t>Макжанов</w:t>
      </w:r>
      <w:proofErr w:type="spellEnd"/>
      <w:r w:rsidRPr="00A259BD">
        <w:rPr>
          <w:rFonts w:ascii="Times New Roman" w:hAnsi="Times New Roman"/>
          <w:color w:val="000000" w:themeColor="text1"/>
          <w:sz w:val="16"/>
          <w:szCs w:val="16"/>
        </w:rPr>
        <w:t>. Гендиректор (1990- е)- Г.И. Ульянов, (2007г.)- С.Н. Беляев.</w:t>
      </w:r>
    </w:p>
    <w:p w14:paraId="4A0663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Технический директор (2007г.)- В.В. Кузьменко. Коммерческий директор (2007г.)- А.В. Мосин.</w:t>
      </w:r>
    </w:p>
    <w:p w14:paraId="721B74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инженер (1942-45г.-)- А.И. Верба.</w:t>
      </w:r>
    </w:p>
    <w:p w14:paraId="225EDC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 отдела сбыта (2007г.)- Н.Ю. Ермакова.</w:t>
      </w:r>
    </w:p>
    <w:p w14:paraId="2C2FF7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Создано:</w:t>
      </w:r>
      <w:r w:rsidRPr="00A259BD">
        <w:rPr>
          <w:rFonts w:ascii="Times New Roman" w:hAnsi="Times New Roman"/>
          <w:color w:val="000000" w:themeColor="text1"/>
          <w:sz w:val="16"/>
          <w:szCs w:val="16"/>
        </w:rPr>
        <w:t xml:space="preserve"> пьезоэлектрический громкоговоритель (1943); телефон миниатюрный ТМ-2 для Кремлевского Дворца съездов (1961); микрофоны: динамические МДО-1, МД-45 (1961).</w:t>
      </w:r>
    </w:p>
    <w:p w14:paraId="4742E3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Производство:</w:t>
      </w:r>
      <w:r w:rsidRPr="00A259BD">
        <w:rPr>
          <w:rFonts w:ascii="Times New Roman" w:hAnsi="Times New Roman"/>
          <w:color w:val="000000" w:themeColor="text1"/>
          <w:sz w:val="16"/>
          <w:szCs w:val="16"/>
        </w:rPr>
        <w:t xml:space="preserve"> громкоговорители: пьезоэлектрический РТР-3 (1943-), Р-10 (1944-), мощный 100-ваттный (1948-);</w:t>
      </w:r>
      <w:r w:rsidRPr="00A259BD">
        <w:rPr>
          <w:rFonts w:ascii="Times New Roman" w:hAnsi="Times New Roman"/>
          <w:iCs/>
          <w:color w:val="000000" w:themeColor="text1"/>
          <w:sz w:val="16"/>
          <w:szCs w:val="16"/>
        </w:rPr>
        <w:t xml:space="preserve"> микрофоны:</w:t>
      </w:r>
      <w:r w:rsidRPr="00A259BD">
        <w:rPr>
          <w:rFonts w:ascii="Times New Roman" w:hAnsi="Times New Roman"/>
          <w:color w:val="000000" w:themeColor="text1"/>
          <w:sz w:val="16"/>
          <w:szCs w:val="16"/>
        </w:rPr>
        <w:t xml:space="preserve"> угольный (1949-), СДМ (1949-), ДЭМШ, ленточные МЛ-16 (1966), -51 (1960-е), -52 (2007), - 53 (2007), -16, -19, динамические МДО-1, МД-45 (1961-), -66 (1968), -186 (2007), -200, -205 (2007), -282, -47, -64А, -78А (2007), -80М (2007), -85А (2007), -87А (2007), -380 (2007), </w:t>
      </w:r>
      <w:proofErr w:type="spellStart"/>
      <w:r w:rsidRPr="00A259BD">
        <w:rPr>
          <w:rFonts w:ascii="Times New Roman" w:hAnsi="Times New Roman"/>
          <w:color w:val="000000" w:themeColor="text1"/>
          <w:sz w:val="16"/>
          <w:szCs w:val="16"/>
        </w:rPr>
        <w:t>шумостойкий</w:t>
      </w:r>
      <w:proofErr w:type="spellEnd"/>
      <w:r w:rsidRPr="00A259BD">
        <w:rPr>
          <w:rFonts w:ascii="Times New Roman" w:hAnsi="Times New Roman"/>
          <w:color w:val="000000" w:themeColor="text1"/>
          <w:sz w:val="16"/>
          <w:szCs w:val="16"/>
        </w:rPr>
        <w:t xml:space="preserve"> МДМ, ламповые МКЛ-100 (2007), МКЛ-319А (2007), МКЛ-4000 (2007), МКЛ-5000 (2004-07-), конденсаторные МК-13 (1968), -319 (2007), -219 (1994-2007-), -220 (2007), -100, -101 (2004-), -102 (2005-), -103 (2007), -104 (2007), -105 (2007), -011 (2007), -012 (2007), конденсаторные </w:t>
      </w:r>
      <w:proofErr w:type="spellStart"/>
      <w:r w:rsidRPr="00A259BD">
        <w:rPr>
          <w:rFonts w:ascii="Times New Roman" w:hAnsi="Times New Roman"/>
          <w:color w:val="000000" w:themeColor="text1"/>
          <w:sz w:val="16"/>
          <w:szCs w:val="16"/>
        </w:rPr>
        <w:t>элекгретные</w:t>
      </w:r>
      <w:proofErr w:type="spellEnd"/>
      <w:r w:rsidRPr="00A259BD">
        <w:rPr>
          <w:rFonts w:ascii="Times New Roman" w:hAnsi="Times New Roman"/>
          <w:color w:val="000000" w:themeColor="text1"/>
          <w:sz w:val="16"/>
          <w:szCs w:val="16"/>
        </w:rPr>
        <w:t xml:space="preserve"> МКЭ-2 (2007), -3, -9, -15А (2007), -204У (2007); стереофоническая микрофонная система МДС-200; микрофонно-телефонные гарнитуры ТМГ-4, ТМГ-5, ТМГ-8 (1970-е), ГБШ (1990-е) ;</w:t>
      </w:r>
      <w:r w:rsidRPr="00A259BD">
        <w:rPr>
          <w:rFonts w:ascii="Times New Roman" w:hAnsi="Times New Roman"/>
          <w:iCs/>
          <w:color w:val="000000" w:themeColor="text1"/>
          <w:sz w:val="16"/>
          <w:szCs w:val="16"/>
        </w:rPr>
        <w:t xml:space="preserve"> телефоны:</w:t>
      </w:r>
      <w:r w:rsidRPr="00A259BD">
        <w:rPr>
          <w:rFonts w:ascii="Times New Roman" w:hAnsi="Times New Roman"/>
          <w:color w:val="000000" w:themeColor="text1"/>
          <w:sz w:val="16"/>
          <w:szCs w:val="16"/>
        </w:rPr>
        <w:t xml:space="preserve"> электромагнитный капсюльный (1949-), малогабаритный для аппаратуры синхронного перевода (1957-), миниатюрные ТМ-2 (1961-), ТМ-4 (1966), головные ТГ-9 (1968), ТА-56М; слуховые аппараты У-03 (1993-), У-ОЗА (2005);</w:t>
      </w:r>
      <w:r w:rsidRPr="00A259BD">
        <w:rPr>
          <w:rFonts w:ascii="Times New Roman" w:hAnsi="Times New Roman"/>
          <w:color w:val="000000" w:themeColor="text1"/>
          <w:sz w:val="16"/>
          <w:szCs w:val="16"/>
          <w:vertAlign w:val="superscript"/>
        </w:rPr>
        <w:t>101</w:t>
      </w:r>
      <w:r w:rsidRPr="00A259BD">
        <w:rPr>
          <w:rFonts w:ascii="Times New Roman" w:hAnsi="Times New Roman"/>
          <w:color w:val="000000" w:themeColor="text1"/>
          <w:sz w:val="16"/>
          <w:szCs w:val="16"/>
        </w:rPr>
        <w:t xml:space="preserve"> репродукторы: ТГМ-0,25 (1948-), ДГС-0,25, ПГР-3 (1951-), «Тула» (1949-); радиоприемник «Тула» (1950-); электрофон «Октава» (11982).</w:t>
      </w:r>
    </w:p>
    <w:p w14:paraId="7569F16C" w14:textId="77777777" w:rsidR="00765F63" w:rsidRPr="00A259BD" w:rsidRDefault="00765F63" w:rsidP="009236E3">
      <w:pPr>
        <w:spacing w:after="0" w:line="240" w:lineRule="auto"/>
        <w:jc w:val="both"/>
        <w:rPr>
          <w:rFonts w:ascii="Times New Roman" w:hAnsi="Times New Roman"/>
          <w:color w:val="000000" w:themeColor="text1"/>
          <w:sz w:val="16"/>
          <w:szCs w:val="16"/>
        </w:rPr>
      </w:pPr>
    </w:p>
    <w:p w14:paraId="6F08FFE7" w14:textId="27013C10"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года МСНХ принял решение: "Часовую фабрику "</w:t>
      </w:r>
      <w:proofErr w:type="spellStart"/>
      <w:r w:rsidRPr="00A259BD">
        <w:rPr>
          <w:rFonts w:ascii="Times New Roman" w:hAnsi="Times New Roman"/>
          <w:color w:val="000000" w:themeColor="text1"/>
          <w:sz w:val="16"/>
          <w:szCs w:val="16"/>
        </w:rPr>
        <w:t>Дюбер</w:t>
      </w:r>
      <w:proofErr w:type="spellEnd"/>
      <w:r w:rsidRPr="00A259BD">
        <w:rPr>
          <w:rFonts w:ascii="Times New Roman" w:hAnsi="Times New Roman"/>
          <w:color w:val="000000" w:themeColor="text1"/>
          <w:sz w:val="16"/>
          <w:szCs w:val="16"/>
        </w:rPr>
        <w:t>" по производству карманных часов считать целесообразным разместить в новом корпусе завода "Геофизика", будущем 1 МЧЗ, а часовую фабрику "</w:t>
      </w:r>
      <w:proofErr w:type="spellStart"/>
      <w:r w:rsidRPr="00A259BD">
        <w:rPr>
          <w:rFonts w:ascii="Times New Roman" w:hAnsi="Times New Roman"/>
          <w:color w:val="000000" w:themeColor="text1"/>
          <w:sz w:val="16"/>
          <w:szCs w:val="16"/>
        </w:rPr>
        <w:t>Ансония</w:t>
      </w:r>
      <w:proofErr w:type="spellEnd"/>
      <w:r w:rsidRPr="00A259BD">
        <w:rPr>
          <w:rFonts w:ascii="Times New Roman" w:hAnsi="Times New Roman"/>
          <w:color w:val="000000" w:themeColor="text1"/>
          <w:sz w:val="16"/>
          <w:szCs w:val="16"/>
        </w:rPr>
        <w:t>" по производству крупногабаритных часов и будильников разместить на заводе "МЭМЗ". При этом недостающие для размещения фабрик корпуса должны быть возведены в текущем строительном сезоне.</w:t>
      </w:r>
    </w:p>
    <w:p w14:paraId="474E240C" w14:textId="77777777" w:rsidR="008456F2" w:rsidRPr="00A259BD" w:rsidRDefault="008456F2"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Точмеху</w:t>
      </w:r>
      <w:proofErr w:type="spellEnd"/>
      <w:r w:rsidRPr="00A259BD">
        <w:rPr>
          <w:rFonts w:ascii="Times New Roman" w:hAnsi="Times New Roman"/>
          <w:color w:val="000000" w:themeColor="text1"/>
          <w:sz w:val="16"/>
          <w:szCs w:val="16"/>
        </w:rPr>
        <w:t xml:space="preserve"> срочно поручалось:</w:t>
      </w:r>
    </w:p>
    <w:p w14:paraId="1BC9C631"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разработать проект подлежащих к постройке зданий; </w:t>
      </w:r>
    </w:p>
    <w:p w14:paraId="26C4F382"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поставить вопрос перед соответствующими инстанциями о передаче тресту завода "Электролампа" для размещения производств, вытесняемых с завода МЭМЗ изделий; </w:t>
      </w:r>
    </w:p>
    <w:p w14:paraId="6CBE946C" w14:textId="77777777" w:rsidR="008456F2" w:rsidRPr="00A259BD" w:rsidRDefault="00845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отделу </w:t>
      </w:r>
      <w:proofErr w:type="spellStart"/>
      <w:r w:rsidRPr="00A259BD">
        <w:rPr>
          <w:rFonts w:ascii="Times New Roman" w:hAnsi="Times New Roman"/>
          <w:color w:val="000000" w:themeColor="text1"/>
          <w:sz w:val="16"/>
          <w:szCs w:val="16"/>
        </w:rPr>
        <w:t>металлопрома</w:t>
      </w:r>
      <w:proofErr w:type="spellEnd"/>
      <w:r w:rsidRPr="00A259BD">
        <w:rPr>
          <w:rFonts w:ascii="Times New Roman" w:hAnsi="Times New Roman"/>
          <w:color w:val="000000" w:themeColor="text1"/>
          <w:sz w:val="16"/>
          <w:szCs w:val="16"/>
        </w:rPr>
        <w:t xml:space="preserve"> поручалось представить в президиум МСНХ расчеты для выделения дополнительных ассигнований на капитальное строительство часовых фабрик в 1929-1930 годах (12237).</w:t>
      </w:r>
    </w:p>
    <w:p w14:paraId="6650D709" w14:textId="77777777" w:rsidR="008456F2" w:rsidRPr="00A259BD" w:rsidRDefault="008456F2" w:rsidP="009236E3">
      <w:pPr>
        <w:spacing w:after="0" w:line="240" w:lineRule="auto"/>
        <w:jc w:val="both"/>
        <w:rPr>
          <w:rFonts w:ascii="Times New Roman" w:hAnsi="Times New Roman"/>
          <w:color w:val="000000" w:themeColor="text1"/>
          <w:sz w:val="16"/>
          <w:szCs w:val="16"/>
        </w:rPr>
      </w:pPr>
    </w:p>
    <w:p w14:paraId="2652C30F" w14:textId="77777777" w:rsidR="00DE062D" w:rsidRPr="00441F34" w:rsidRDefault="00DE062D" w:rsidP="00DE062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мае 1929 года постановление Политбюро ЦК ВКП(б) для морской погранохраны Дальневосточного края планировало построить 3 больших, 8 средних и 13 малых сторожевых судов. Кроме того, погранчастям из состава ВМС пере</w:t>
      </w:r>
      <w:r w:rsidRPr="00441F34">
        <w:rPr>
          <w:rFonts w:ascii="Times New Roman" w:hAnsi="Times New Roman"/>
          <w:color w:val="0070C0"/>
          <w:sz w:val="16"/>
          <w:szCs w:val="16"/>
        </w:rPr>
        <w:softHyphen/>
        <w:t>дали СКР «Воровский» и «Красный вымпел». Правда, позже программу пересмотрели, сохранив в ней лишь два типа судов - дизельного стороже</w:t>
      </w:r>
      <w:r w:rsidRPr="00441F34">
        <w:rPr>
          <w:rFonts w:ascii="Times New Roman" w:hAnsi="Times New Roman"/>
          <w:color w:val="0070C0"/>
          <w:sz w:val="16"/>
          <w:szCs w:val="16"/>
        </w:rPr>
        <w:softHyphen/>
        <w:t>вика в 850 т и катера в 50 т (последний в конце концов превратился в малый охотник MO-IV) (23383).</w:t>
      </w:r>
    </w:p>
    <w:p w14:paraId="5011EB1E" w14:textId="77777777" w:rsidR="00DE062D" w:rsidRPr="00441F34" w:rsidRDefault="00DE062D" w:rsidP="00DE062D">
      <w:pPr>
        <w:spacing w:after="0" w:line="240" w:lineRule="auto"/>
        <w:jc w:val="both"/>
        <w:rPr>
          <w:rFonts w:ascii="Times New Roman" w:hAnsi="Times New Roman"/>
          <w:color w:val="0070C0"/>
          <w:sz w:val="16"/>
          <w:szCs w:val="16"/>
        </w:rPr>
      </w:pPr>
    </w:p>
    <w:p w14:paraId="4656726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7D6E9B3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46BFF1" w14:textId="77777777" w:rsidR="00BA5B15" w:rsidRPr="00A259BD" w:rsidRDefault="00BA5B1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г. Начальник ВВС П.И. Баранов в своей статье «К летнему сезону», ставя задачи по боевой подготовке, говорит о технической подготовке личного состава и работе авиапарков следующее: «занятия нужно поставить в связь с условиями и обстановкой боевого применения, нужно понять, что необходима не канцелярия, исправно ведущая делопроизводство, а (…) служба, обеспечивающая командиру целесообразное применение ВВС, увязанное с общей оперативной и тактической обстановкой, задачами и целями земного командования. Недостаточная подготовленность авиапарков к маневрированию, слабая приспособленность к изменяющимся условиям работы определяется не недостатками организации, а недостатками подготовленности части личного состава. Численное увеличение самолетного и моторного парка, введение на снабжение новейших образцов самолетов, моторов и предметов оборудования и вооружения, удвоение налета в прошлом [1928- м] году по сравнению с предыдущим со всей остротой поставили вопрос технической службы. Постановка технической службы определяет возможность достаточно интенсивной летной работы и надежность материальной части. Командиры частей зимой нынешнего года получили необходимые знания для руководства технической службой. Летный состав имел возможность изучить материальную часть и мотор. Техническим составом большинство частей укомплектовано полностью. Все это позволяет поставить задачу овладения техникой и надлежащего и умелого руководства этой стороной работы со стороны технического и командного состава» (19566).</w:t>
      </w:r>
    </w:p>
    <w:p w14:paraId="103E445D" w14:textId="77777777" w:rsidR="00BA5B15" w:rsidRPr="00A259BD" w:rsidRDefault="00BA5B15" w:rsidP="009236E3">
      <w:pPr>
        <w:spacing w:after="0" w:line="240" w:lineRule="auto"/>
        <w:jc w:val="both"/>
        <w:rPr>
          <w:rFonts w:ascii="Times New Roman" w:hAnsi="Times New Roman"/>
          <w:color w:val="000000" w:themeColor="text1"/>
          <w:sz w:val="16"/>
          <w:szCs w:val="16"/>
        </w:rPr>
      </w:pPr>
    </w:p>
    <w:p w14:paraId="3FD16606" w14:textId="77777777" w:rsidR="00BA5B15" w:rsidRPr="00A259BD" w:rsidRDefault="00BA5B1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г. «Вестник воздушного флота» сделал обзор деятельности некоторых авиационных школ:</w:t>
      </w:r>
    </w:p>
    <w:p w14:paraId="5F43BD88" w14:textId="77777777" w:rsidR="00BA5B15" w:rsidRPr="00A259BD" w:rsidRDefault="00BA5B1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Военно-техническая школа ВВС: в январе окончился увеличенный набор кандидатов в эту школу, что связано с переходом на 1,5-годичный курс обучения. Пока сохраняется и годичный и 1,5-годичный курс обучения. </w:t>
      </w:r>
    </w:p>
    <w:p w14:paraId="44CB03F1" w14:textId="77777777" w:rsidR="00BA5B15" w:rsidRPr="00A259BD" w:rsidRDefault="00BA5B1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Объединенная школа летчиков – авиатехников. Школа после январского приема получила значительную загрузку и развернула свою учебную работу во вполне оборудованных классах и лабораториях. </w:t>
      </w:r>
    </w:p>
    <w:p w14:paraId="3B62FFDB" w14:textId="77777777" w:rsidR="00BA5B15" w:rsidRPr="00A259BD" w:rsidRDefault="00BA5B1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Летные школы: Основным вопросом летных школ в настоящее время является переход на уплотненную нагрузку летного инструктора, что дает удешевление стоимости подготовки летчика. </w:t>
      </w:r>
    </w:p>
    <w:p w14:paraId="5FFE3D16" w14:textId="77777777" w:rsidR="00BA5B15" w:rsidRPr="00A259BD" w:rsidRDefault="00BA5B1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Военная школа спецслужб ВВС. Школа готовится к июньскому набору, проводя «вербовку» на московских заводах. К этому же сроку будет произведен  выпуск метеорологов, техников по приборам и фотолаборантов. </w:t>
      </w:r>
    </w:p>
    <w:p w14:paraId="377A6E9A" w14:textId="77777777" w:rsidR="00BA5B15" w:rsidRPr="00A259BD" w:rsidRDefault="00BA5B1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Гражданские авиашколы: В Пензенской и Харьковской летных школах произведены самостоятельные вылеты обучающихся.</w:t>
      </w:r>
    </w:p>
    <w:p w14:paraId="6EF1DC37" w14:textId="77777777" w:rsidR="00BA5B15" w:rsidRPr="00A259BD" w:rsidRDefault="00BA5B1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Ленинградская теоретическая школа (бывшая Егорьевская) в 1929 г. вела теоретическую подготовку курсантов – будущих летчиков, которая заключалась в изучении моторов самолетов, теории полета, метеорологии, слесарного и стрелкового дела, организации ВВС, политических и общеобразовательных дисциплин (19566).</w:t>
      </w:r>
    </w:p>
    <w:p w14:paraId="4F9A14C1" w14:textId="77777777" w:rsidR="00BA5B15" w:rsidRPr="00A259BD" w:rsidRDefault="00BA5B15" w:rsidP="009236E3">
      <w:pPr>
        <w:spacing w:after="0" w:line="240" w:lineRule="auto"/>
        <w:jc w:val="both"/>
        <w:rPr>
          <w:rFonts w:ascii="Times New Roman" w:hAnsi="Times New Roman"/>
          <w:color w:val="000000" w:themeColor="text1"/>
          <w:sz w:val="16"/>
          <w:szCs w:val="16"/>
        </w:rPr>
      </w:pPr>
    </w:p>
    <w:p w14:paraId="651B03CE" w14:textId="77777777" w:rsidR="00BA5B15" w:rsidRPr="00A259BD" w:rsidRDefault="00BA5B1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г. РЗ СТО утвердило предложения НКВМ об уве</w:t>
      </w:r>
      <w:r w:rsidRPr="00A259BD">
        <w:rPr>
          <w:rFonts w:ascii="Times New Roman" w:hAnsi="Times New Roman"/>
          <w:color w:val="000000" w:themeColor="text1"/>
          <w:sz w:val="16"/>
          <w:szCs w:val="16"/>
        </w:rPr>
        <w:softHyphen/>
        <w:t>личении численности и вооружений до 1933 г., что означало еще один поворот в сторону военизации пятилетки. Представленные предложения должны были быть вынесены на заседание Полит</w:t>
      </w:r>
      <w:r w:rsidRPr="00A259BD">
        <w:rPr>
          <w:rFonts w:ascii="Times New Roman" w:hAnsi="Times New Roman"/>
          <w:color w:val="000000" w:themeColor="text1"/>
          <w:sz w:val="16"/>
          <w:szCs w:val="16"/>
        </w:rPr>
        <w:softHyphen/>
        <w:t>бюро, т.е. к лету 1929 г. обсуждение всех вопросов оборонного строительства в пятилетке вышло на самый высший уровень. В основу заседания ПБ ложился анализ военно-промышленной ра</w:t>
      </w:r>
      <w:r w:rsidRPr="00A259BD">
        <w:rPr>
          <w:rFonts w:ascii="Times New Roman" w:hAnsi="Times New Roman"/>
          <w:color w:val="000000" w:themeColor="text1"/>
          <w:sz w:val="16"/>
          <w:szCs w:val="16"/>
        </w:rPr>
        <w:softHyphen/>
        <w:t xml:space="preserve">боты за два года. Для подготовки </w:t>
      </w:r>
      <w:r w:rsidRPr="00A259BD">
        <w:rPr>
          <w:rFonts w:ascii="Times New Roman" w:hAnsi="Times New Roman"/>
          <w:color w:val="000000" w:themeColor="text1"/>
          <w:sz w:val="16"/>
          <w:szCs w:val="16"/>
        </w:rPr>
        <w:lastRenderedPageBreak/>
        <w:t>докладов были сформированы две комиссии: одна о состоянии обороны страны, другая - о сос</w:t>
      </w:r>
      <w:r w:rsidRPr="00A259BD">
        <w:rPr>
          <w:rFonts w:ascii="Times New Roman" w:hAnsi="Times New Roman"/>
          <w:color w:val="000000" w:themeColor="text1"/>
          <w:sz w:val="16"/>
          <w:szCs w:val="16"/>
        </w:rPr>
        <w:softHyphen/>
        <w:t>тоянии военной промышленности. Достижения в области обороны были опубликованы в печати. Подготовка доклада о военной про</w:t>
      </w:r>
      <w:r w:rsidRPr="00A259BD">
        <w:rPr>
          <w:rFonts w:ascii="Times New Roman" w:hAnsi="Times New Roman"/>
          <w:color w:val="000000" w:themeColor="text1"/>
          <w:sz w:val="16"/>
          <w:szCs w:val="16"/>
        </w:rPr>
        <w:softHyphen/>
        <w:t xml:space="preserve">мышленности носила принципиально иной характер. Сюда были собраны все критические стрелы в адрес руководителей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вплоть до письма начальника ВМС P.A. </w:t>
      </w:r>
      <w:proofErr w:type="spellStart"/>
      <w:r w:rsidRPr="00A259BD">
        <w:rPr>
          <w:rFonts w:ascii="Times New Roman" w:hAnsi="Times New Roman"/>
          <w:color w:val="000000" w:themeColor="text1"/>
          <w:sz w:val="16"/>
          <w:szCs w:val="16"/>
        </w:rPr>
        <w:t>Муклевича</w:t>
      </w:r>
      <w:proofErr w:type="spellEnd"/>
      <w:r w:rsidRPr="00A259BD">
        <w:rPr>
          <w:rFonts w:ascii="Times New Roman" w:hAnsi="Times New Roman"/>
          <w:color w:val="000000" w:themeColor="text1"/>
          <w:sz w:val="16"/>
          <w:szCs w:val="16"/>
        </w:rPr>
        <w:t xml:space="preserve"> о плачевном состоянии флота и превращении страны в провинциальную мор</w:t>
      </w:r>
      <w:r w:rsidRPr="00A259BD">
        <w:rPr>
          <w:rFonts w:ascii="Times New Roman" w:hAnsi="Times New Roman"/>
          <w:color w:val="000000" w:themeColor="text1"/>
          <w:sz w:val="16"/>
          <w:szCs w:val="16"/>
        </w:rPr>
        <w:softHyphen/>
        <w:t>скую державу, отстающую даже от “лимитрофов”. Накануне засе</w:t>
      </w:r>
      <w:r w:rsidRPr="00A259BD">
        <w:rPr>
          <w:rFonts w:ascii="Times New Roman" w:hAnsi="Times New Roman"/>
          <w:color w:val="000000" w:themeColor="text1"/>
          <w:sz w:val="16"/>
          <w:szCs w:val="16"/>
        </w:rPr>
        <w:softHyphen/>
        <w:t xml:space="preserve">дания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xml:space="preserve"> и Томский были выведены из состава РЗ СТО (18393).</w:t>
      </w:r>
    </w:p>
    <w:p w14:paraId="586DF1EB" w14:textId="77777777" w:rsidR="00BA5B15" w:rsidRPr="00A259BD" w:rsidRDefault="00BA5B15" w:rsidP="009236E3">
      <w:pPr>
        <w:spacing w:after="0" w:line="240" w:lineRule="auto"/>
        <w:jc w:val="both"/>
        <w:rPr>
          <w:rFonts w:ascii="Times New Roman" w:hAnsi="Times New Roman"/>
          <w:color w:val="000000" w:themeColor="text1"/>
          <w:sz w:val="16"/>
          <w:szCs w:val="16"/>
        </w:rPr>
      </w:pPr>
    </w:p>
    <w:p w14:paraId="0CE696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мае 1929 г. в </w:t>
      </w:r>
      <w:proofErr w:type="spellStart"/>
      <w:r w:rsidRPr="00A259BD">
        <w:rPr>
          <w:rFonts w:ascii="Times New Roman" w:hAnsi="Times New Roman"/>
          <w:color w:val="000000" w:themeColor="text1"/>
          <w:sz w:val="16"/>
          <w:szCs w:val="16"/>
        </w:rPr>
        <w:t>москве</w:t>
      </w:r>
      <w:proofErr w:type="spellEnd"/>
      <w:r w:rsidRPr="00A259BD">
        <w:rPr>
          <w:rFonts w:ascii="Times New Roman" w:hAnsi="Times New Roman"/>
          <w:color w:val="000000" w:themeColor="text1"/>
          <w:sz w:val="16"/>
          <w:szCs w:val="16"/>
        </w:rPr>
        <w:t xml:space="preserve"> было заключено соглашение, в соответствии с которым в казанскую танковую школу было поставлено шесть танков </w:t>
      </w:r>
      <w:proofErr w:type="spellStart"/>
      <w:r w:rsidRPr="00A259BD">
        <w:rPr>
          <w:rFonts w:ascii="Times New Roman" w:hAnsi="Times New Roman"/>
          <w:color w:val="000000" w:themeColor="text1"/>
          <w:sz w:val="16"/>
          <w:szCs w:val="16"/>
        </w:rPr>
        <w:t>Круппаю</w:t>
      </w:r>
      <w:proofErr w:type="spellEnd"/>
      <w:r w:rsidRPr="00A259BD">
        <w:rPr>
          <w:rFonts w:ascii="Times New Roman" w:hAnsi="Times New Roman"/>
          <w:color w:val="000000" w:themeColor="text1"/>
          <w:sz w:val="16"/>
          <w:szCs w:val="16"/>
        </w:rPr>
        <w:t xml:space="preserve"> В мае 1930 г. в школу прибыли еще четыре легких танка (два танка фирмы «Даймлер-Бенц» и два английских танка фирмы «Карден-Ллойд») (11784).</w:t>
      </w:r>
    </w:p>
    <w:p w14:paraId="05255C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639EA6"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59C9ED9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2ABB4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мае 1929 г. V Всесоюзный съезд Советов утвердил первый 5-летний план развития народного хозяйства. В мае 1929 г. РВС разработал 5-летнюю программу артиллерийского перевооружения РККА. Она предусматривала увеличение огневой мощи, дальнобойности, скорострельное и меткости орудий, создание крупных артиллерийских конструкторских бюро (КБ), заложены </w:t>
      </w:r>
      <w:proofErr w:type="spellStart"/>
      <w:r w:rsidRPr="00A259BD">
        <w:rPr>
          <w:rFonts w:ascii="Times New Roman" w:hAnsi="Times New Roman"/>
          <w:color w:val="000000" w:themeColor="text1"/>
          <w:sz w:val="16"/>
          <w:szCs w:val="16"/>
        </w:rPr>
        <w:t>артзаводы</w:t>
      </w:r>
      <w:proofErr w:type="spellEnd"/>
      <w:r w:rsidRPr="00A259BD">
        <w:rPr>
          <w:rFonts w:ascii="Times New Roman" w:hAnsi="Times New Roman"/>
          <w:color w:val="000000" w:themeColor="text1"/>
          <w:sz w:val="16"/>
          <w:szCs w:val="16"/>
        </w:rPr>
        <w:t xml:space="preserve"> (Советские Вооруженные Силы. С. 188.) (11784).</w:t>
      </w:r>
    </w:p>
    <w:p w14:paraId="0034E6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8844B76" w14:textId="77777777" w:rsidR="00BA5B15" w:rsidRPr="00A259BD" w:rsidRDefault="00BA5B1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г. V Всесоюзный съезд Советов принял первый пятилетний план в его оптимальном варианте. И хотя этот акт был давно предрешен в сталинском руководстве, сам по себе он ознаменовал важную веху: план становился “законом жиз</w:t>
      </w:r>
      <w:r w:rsidRPr="00A259BD">
        <w:rPr>
          <w:rFonts w:ascii="Times New Roman" w:hAnsi="Times New Roman"/>
          <w:color w:val="000000" w:themeColor="text1"/>
          <w:sz w:val="16"/>
          <w:szCs w:val="16"/>
        </w:rPr>
        <w:softHyphen/>
        <w:t>ни советского общества”. Утверждалась установка “план - лю</w:t>
      </w:r>
      <w:r w:rsidRPr="00A259BD">
        <w:rPr>
          <w:rFonts w:ascii="Times New Roman" w:hAnsi="Times New Roman"/>
          <w:color w:val="000000" w:themeColor="text1"/>
          <w:sz w:val="16"/>
          <w:szCs w:val="16"/>
        </w:rPr>
        <w:softHyphen/>
        <w:t>бой ценой”. В соответствии с переходом к директивному цент</w:t>
      </w:r>
      <w:r w:rsidRPr="00A259BD">
        <w:rPr>
          <w:rFonts w:ascii="Times New Roman" w:hAnsi="Times New Roman"/>
          <w:color w:val="000000" w:themeColor="text1"/>
          <w:sz w:val="16"/>
          <w:szCs w:val="16"/>
        </w:rPr>
        <w:softHyphen/>
        <w:t>рализованному планированию перестраивается вся система уп</w:t>
      </w:r>
      <w:r w:rsidRPr="00A259BD">
        <w:rPr>
          <w:rFonts w:ascii="Times New Roman" w:hAnsi="Times New Roman"/>
          <w:color w:val="000000" w:themeColor="text1"/>
          <w:sz w:val="16"/>
          <w:szCs w:val="16"/>
        </w:rPr>
        <w:softHyphen/>
        <w:t>равления народным хозяйством. В громадной степени возрас</w:t>
      </w:r>
      <w:r w:rsidRPr="00A259BD">
        <w:rPr>
          <w:rFonts w:ascii="Times New Roman" w:hAnsi="Times New Roman"/>
          <w:color w:val="000000" w:themeColor="text1"/>
          <w:sz w:val="16"/>
          <w:szCs w:val="16"/>
        </w:rPr>
        <w:softHyphen/>
        <w:t>тает роль Госплана. Госплан должен был разрабатывать схе</w:t>
      </w:r>
      <w:r w:rsidRPr="00A259BD">
        <w:rPr>
          <w:rFonts w:ascii="Times New Roman" w:hAnsi="Times New Roman"/>
          <w:color w:val="000000" w:themeColor="text1"/>
          <w:sz w:val="16"/>
          <w:szCs w:val="16"/>
        </w:rPr>
        <w:softHyphen/>
        <w:t>му распределения необходимой продукции, соблюдать необ</w:t>
      </w:r>
      <w:r w:rsidRPr="00A259BD">
        <w:rPr>
          <w:rFonts w:ascii="Times New Roman" w:hAnsi="Times New Roman"/>
          <w:color w:val="000000" w:themeColor="text1"/>
          <w:sz w:val="16"/>
          <w:szCs w:val="16"/>
        </w:rPr>
        <w:softHyphen/>
        <w:t>ходимые пропорции между интересами развития всего народ</w:t>
      </w:r>
      <w:r w:rsidRPr="00A259BD">
        <w:rPr>
          <w:rFonts w:ascii="Times New Roman" w:hAnsi="Times New Roman"/>
          <w:color w:val="000000" w:themeColor="text1"/>
          <w:sz w:val="16"/>
          <w:szCs w:val="16"/>
        </w:rPr>
        <w:softHyphen/>
        <w:t>ного хозяйства, мобилизационными возможностями страны, затратами, капиталовложениями и нуждами потребления. Но по мере того, как возрастал ажиотаж в стране, связанный с ускорением темпов индустриализации, в план вносились кор</w:t>
      </w:r>
      <w:r w:rsidRPr="00A259BD">
        <w:rPr>
          <w:rFonts w:ascii="Times New Roman" w:hAnsi="Times New Roman"/>
          <w:color w:val="000000" w:themeColor="text1"/>
          <w:sz w:val="16"/>
          <w:szCs w:val="16"/>
        </w:rPr>
        <w:softHyphen/>
        <w:t>ректировки в сторону повышения заданий, в результате чего отправные контрольные цифры превращались в оптималь</w:t>
      </w:r>
      <w:r w:rsidRPr="00A259BD">
        <w:rPr>
          <w:rFonts w:ascii="Times New Roman" w:hAnsi="Times New Roman"/>
          <w:color w:val="000000" w:themeColor="text1"/>
          <w:sz w:val="16"/>
          <w:szCs w:val="16"/>
        </w:rPr>
        <w:softHyphen/>
        <w:t>ные, а затем и вовсе нереальные. Скептические настроения относительно нагнетания плановых цифр становились опасны</w:t>
      </w:r>
      <w:r w:rsidRPr="00A259BD">
        <w:rPr>
          <w:rFonts w:ascii="Times New Roman" w:hAnsi="Times New Roman"/>
          <w:color w:val="000000" w:themeColor="text1"/>
          <w:sz w:val="16"/>
          <w:szCs w:val="16"/>
        </w:rPr>
        <w:softHyphen/>
        <w:t>ми. Сторонники разумного планирования не только обвиня</w:t>
      </w:r>
      <w:r w:rsidRPr="00A259BD">
        <w:rPr>
          <w:rFonts w:ascii="Times New Roman" w:hAnsi="Times New Roman"/>
          <w:color w:val="000000" w:themeColor="text1"/>
          <w:sz w:val="16"/>
          <w:szCs w:val="16"/>
        </w:rPr>
        <w:softHyphen/>
        <w:t>лись в правом уклоне, но и оказывались в рядах “ретрогра</w:t>
      </w:r>
      <w:r w:rsidRPr="00A259BD">
        <w:rPr>
          <w:rFonts w:ascii="Times New Roman" w:hAnsi="Times New Roman"/>
          <w:color w:val="000000" w:themeColor="text1"/>
          <w:sz w:val="16"/>
          <w:szCs w:val="16"/>
        </w:rPr>
        <w:softHyphen/>
        <w:t>дов”, “вредителей” и “врагов народа”. “Вредительской” была объявлена “теория затухающей кривой”, согласно которой наибольшие капиталовложения в развитие экономики долж</w:t>
      </w:r>
      <w:r w:rsidRPr="00A259BD">
        <w:rPr>
          <w:rFonts w:ascii="Times New Roman" w:hAnsi="Times New Roman"/>
          <w:color w:val="000000" w:themeColor="text1"/>
          <w:sz w:val="16"/>
          <w:szCs w:val="16"/>
        </w:rPr>
        <w:softHyphen/>
        <w:t>ны были прийтись на первые годы пятилетки, после чего от них следовало ожидать отдачи, уменьшая вкладываемые средства (18393).</w:t>
      </w:r>
    </w:p>
    <w:p w14:paraId="564F91D5" w14:textId="77777777" w:rsidR="00BA5B15" w:rsidRPr="00A259BD" w:rsidRDefault="00BA5B15" w:rsidP="009236E3">
      <w:pPr>
        <w:spacing w:after="0" w:line="240" w:lineRule="auto"/>
        <w:jc w:val="both"/>
        <w:rPr>
          <w:rFonts w:ascii="Times New Roman" w:hAnsi="Times New Roman"/>
          <w:color w:val="000000" w:themeColor="text1"/>
          <w:sz w:val="16"/>
          <w:szCs w:val="16"/>
        </w:rPr>
      </w:pPr>
    </w:p>
    <w:p w14:paraId="459A87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года обвинительное заключение о контрреволюционной вредительской организации в НКПС и на железных дорогах СССР было подготовлено. Одновременно было вынесено решение и о вредительстве в золотоплатиновой промышленности, о чем Ягода и Прокофьев доложили Сталину еще 9 июня 1928 года (11248).</w:t>
      </w:r>
    </w:p>
    <w:p w14:paraId="54581E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A0D2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г. Амторгом был подписан контракт с Ford Motor Co. на налаживание и оснащение мощностей по производству автомобилей и закупку оборудования - стоимость контракта 30 млн. долл. (9366).</w:t>
      </w:r>
    </w:p>
    <w:p w14:paraId="5BAB7F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41A7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мае 1929 ЦК партии издаёт постановление “О социалистическом соревновании фабрик и заводов”, после чего собственно “ударническое движение” и стартует по полной программе, “превращаясь в основную форму социалистического соревнования за повышение производительности труда, за укрепление трудовой и производственной дисциплины”. Правда, уже здесь проявилась одна из отличительных особенностей любой советской “общественной инициативы” — широкое, раздольное использование административного ресурса. В ударные бригады поголовно загоняли комсомольцев и массово — членов партии (например, в ноябре 1929 партячейка механического цеха Балтийского завода обязала всех коммунистов цеха вступить в бригады). Однако тогда механизм ещё не был отработан, а народ — ещё не слишком запуган </w:t>
      </w:r>
      <w:proofErr w:type="spellStart"/>
      <w:r w:rsidRPr="00A259BD">
        <w:rPr>
          <w:rFonts w:ascii="Times New Roman" w:hAnsi="Times New Roman"/>
          <w:color w:val="000000" w:themeColor="text1"/>
          <w:sz w:val="16"/>
          <w:szCs w:val="16"/>
        </w:rPr>
        <w:t>респрессиями</w:t>
      </w:r>
      <w:proofErr w:type="spellEnd"/>
      <w:r w:rsidRPr="00A259BD">
        <w:rPr>
          <w:rFonts w:ascii="Times New Roman" w:hAnsi="Times New Roman"/>
          <w:color w:val="000000" w:themeColor="text1"/>
          <w:sz w:val="16"/>
          <w:szCs w:val="16"/>
        </w:rPr>
        <w:t xml:space="preserve">, так что первый блин вышел комом: выступавшие на состоявшемся в декабре 1929 первом Всесоюзном съезде ударных бригад активисты откровенно признавали, что основная партийная масса не втянулась в социалистическое соревнование, не понимая его значения и “своих обязанностей как членов партии в этом революционном походе”. Правда, часто многое зависело от рвения самих </w:t>
      </w:r>
      <w:proofErr w:type="spellStart"/>
      <w:r w:rsidRPr="00A259BD">
        <w:rPr>
          <w:rFonts w:ascii="Times New Roman" w:hAnsi="Times New Roman"/>
          <w:color w:val="000000" w:themeColor="text1"/>
          <w:sz w:val="16"/>
          <w:szCs w:val="16"/>
        </w:rPr>
        <w:t>партактивистов</w:t>
      </w:r>
      <w:proofErr w:type="spellEnd"/>
      <w:r w:rsidRPr="00A259BD">
        <w:rPr>
          <w:rFonts w:ascii="Times New Roman" w:hAnsi="Times New Roman"/>
          <w:color w:val="000000" w:themeColor="text1"/>
          <w:sz w:val="16"/>
          <w:szCs w:val="16"/>
        </w:rPr>
        <w:t>. Например, в тогдашней Ивановской промышленной области на фабрике “</w:t>
      </w:r>
      <w:proofErr w:type="spellStart"/>
      <w:r w:rsidRPr="00A259BD">
        <w:rPr>
          <w:rFonts w:ascii="Times New Roman" w:hAnsi="Times New Roman"/>
          <w:color w:val="000000" w:themeColor="text1"/>
          <w:sz w:val="16"/>
          <w:szCs w:val="16"/>
        </w:rPr>
        <w:t>Тульма</w:t>
      </w:r>
      <w:proofErr w:type="spellEnd"/>
      <w:r w:rsidRPr="00A259BD">
        <w:rPr>
          <w:rFonts w:ascii="Times New Roman" w:hAnsi="Times New Roman"/>
          <w:color w:val="000000" w:themeColor="text1"/>
          <w:sz w:val="16"/>
          <w:szCs w:val="16"/>
        </w:rPr>
        <w:t>” решили не миндальничать да лимонничать, а взять быка за рога: организовали “промышленно-трудовой полк”. Всё предприятие превратилось в воинскую часть, разбитую по батальонам, ротам, взводам; руководители цехов и отделов стали командирами. Рабочие, входившие в “полк”, обязаны были являться на работу в любое время по распоряжению командиров. Аналогичное решение провели в жизнь на Урале (Нижне-Салдинский металлургический завод) и в нескольких других местностях. Естественно, что сами рабочие не выказывали особой удовлетворённости происходящим, сравнивали “большевицкий социализм” с николаевской казармой — но, не имея рычагов прямого влияния на администрацию, могли лишь саботировать работу (чем не пренебрегали) (11562).</w:t>
      </w:r>
    </w:p>
    <w:p w14:paraId="3ACAFE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89CEB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мае 1929 г. Форд просил Кана передать русским, что готов помочь им в развертывании производства тракторов всем чем может. </w:t>
      </w:r>
    </w:p>
    <w:p w14:paraId="56F3A0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Индустриализация России выгодна Форд Мотор, подчеркнул глава компании, поскольку создает высокий спрос на всевозможные поставки. Передавая эти слова босса руководителю британского отделения компании, в ведении которого был тракторный завод в Корке, </w:t>
      </w:r>
      <w:proofErr w:type="spellStart"/>
      <w:r w:rsidRPr="00A259BD">
        <w:rPr>
          <w:rFonts w:ascii="Times New Roman" w:hAnsi="Times New Roman"/>
          <w:color w:val="000000" w:themeColor="text1"/>
          <w:sz w:val="16"/>
          <w:szCs w:val="16"/>
        </w:rPr>
        <w:t>Ч.Соренсен</w:t>
      </w:r>
      <w:proofErr w:type="spellEnd"/>
      <w:r w:rsidRPr="00A259BD">
        <w:rPr>
          <w:rFonts w:ascii="Times New Roman" w:hAnsi="Times New Roman"/>
          <w:color w:val="000000" w:themeColor="text1"/>
          <w:sz w:val="16"/>
          <w:szCs w:val="16"/>
        </w:rPr>
        <w:t xml:space="preserve"> предложил тому оказать всемерное содействие русским.</w:t>
      </w:r>
    </w:p>
    <w:p w14:paraId="5B54E1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Сотрудничество с Фордом в области закупки тракторов так и не наладилось, ибо советские заказчики продолжали требовать поставок в кредит, на что компания больше не соглашалась, хотя и старалась скрупулезно выполнять все взятые на себя обязательства. Зато Генри Форд буквально покорил умы и сердца россиян, став лет на десять их кумиром.</w:t>
      </w:r>
    </w:p>
    <w:p w14:paraId="626913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Хотя социально-культурная основа восприятия образа Форда в СССР и США была разной, в обоих случаях речь шла о заметном феномене массовой культуры. В Советском Союзе Форда-капиталиста затмил Форд — индустриальный гений, организатор-практик, человек действия, у которого необходимо было научиться самым передовым приемам производства, чтобы, соединив их с “преимуществами системы социализма”, подняться выше капитализма, победить его. </w:t>
      </w:r>
    </w:p>
    <w:p w14:paraId="741295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Наряду с индустриализацией и электрификацией в обиход вошли новые модные слова — фордизм и </w:t>
      </w:r>
      <w:proofErr w:type="spellStart"/>
      <w:r w:rsidRPr="00A259BD">
        <w:rPr>
          <w:rFonts w:ascii="Times New Roman" w:hAnsi="Times New Roman"/>
          <w:color w:val="000000" w:themeColor="text1"/>
          <w:sz w:val="16"/>
          <w:szCs w:val="16"/>
        </w:rPr>
        <w:t>фордизация</w:t>
      </w:r>
      <w:proofErr w:type="spellEnd"/>
    </w:p>
    <w:p w14:paraId="080885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 </w:t>
      </w:r>
      <w:proofErr w:type="spellStart"/>
      <w:r w:rsidRPr="00A259BD">
        <w:rPr>
          <w:rFonts w:ascii="Times New Roman" w:hAnsi="Times New Roman"/>
          <w:color w:val="000000" w:themeColor="text1"/>
          <w:sz w:val="16"/>
          <w:szCs w:val="16"/>
        </w:rPr>
        <w:t>фордизацией</w:t>
      </w:r>
      <w:proofErr w:type="spellEnd"/>
      <w:r w:rsidRPr="00A259BD">
        <w:rPr>
          <w:rFonts w:ascii="Times New Roman" w:hAnsi="Times New Roman"/>
          <w:color w:val="000000" w:themeColor="text1"/>
          <w:sz w:val="16"/>
          <w:szCs w:val="16"/>
        </w:rPr>
        <w:t xml:space="preserve"> понималось не только создание современной автомобильной и тракторной промышленности, но и борьба за технический прогресс во всем народном хозяйстве, полный разрыв с работой по старинке. О дореволюционном техническом и организаторском опыте вовсе не вспоминали, а западноевропейский казался недостаточным для такой огромной страны, как СССР; размах же массового производства в США завораживал массовое сознание.</w:t>
      </w:r>
    </w:p>
    <w:p w14:paraId="49EDBF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Выпускалось множество брошюр и статей, в которых доказывалась необходимость автомобилизации страны. Приводились данные о вопиющем отставании СССР по числу автомашин даже от Индии и Китая. Говорилось и о том, что советские рабочие и крестьяне могут и должны пользоваться личными и кооперативными автомобилями, а в Европе и Америке есть не только дорогие “буржуазные”, но и дешевые “народные” машины. Отмечалось, что автомобиль сделал дороги, а не дороги — автомобиль26. </w:t>
      </w:r>
    </w:p>
    <w:p w14:paraId="40C709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Задорные лозунги Остапа Бендера “Автомобиль не роскошь, а средство передвижения” или “Автопробегом — по бездорожью и разгильдяйству” полностью отвечали духу времени.</w:t>
      </w:r>
    </w:p>
    <w:p w14:paraId="2EC15A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Принципы Форда легко воспринимались советской массовой культурой, чему немало способствовали американские средства пропаганды — документальные фильмы, красочные плакаты, демонстрация техники — не в виде застывших экспонатов, а в действии, на доступных для широкого обозрения площадках (11506).</w:t>
      </w:r>
    </w:p>
    <w:p w14:paraId="4AC5AA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2E3235" w14:textId="77777777" w:rsidR="00AD381B" w:rsidRPr="00A259BD" w:rsidRDefault="00AD38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года образовали управление строительством «</w:t>
      </w:r>
      <w:proofErr w:type="spellStart"/>
      <w:r w:rsidRPr="00A259BD">
        <w:rPr>
          <w:rFonts w:ascii="Times New Roman" w:hAnsi="Times New Roman"/>
          <w:color w:val="000000" w:themeColor="text1"/>
          <w:sz w:val="16"/>
          <w:szCs w:val="16"/>
        </w:rPr>
        <w:t>Шарикоподшипникстрой</w:t>
      </w:r>
      <w:proofErr w:type="spellEnd"/>
      <w:r w:rsidRPr="00A259BD">
        <w:rPr>
          <w:rFonts w:ascii="Times New Roman" w:hAnsi="Times New Roman"/>
          <w:color w:val="000000" w:themeColor="text1"/>
          <w:sz w:val="16"/>
          <w:szCs w:val="16"/>
        </w:rPr>
        <w:t xml:space="preserve">» во главе с опытным хозяйственником И.Р. </w:t>
      </w:r>
      <w:proofErr w:type="spellStart"/>
      <w:r w:rsidRPr="00A259BD">
        <w:rPr>
          <w:rFonts w:ascii="Times New Roman" w:hAnsi="Times New Roman"/>
          <w:color w:val="000000" w:themeColor="text1"/>
          <w:sz w:val="16"/>
          <w:szCs w:val="16"/>
        </w:rPr>
        <w:t>Вишневецким</w:t>
      </w:r>
      <w:proofErr w:type="spellEnd"/>
      <w:r w:rsidRPr="00A259BD">
        <w:rPr>
          <w:rFonts w:ascii="Times New Roman" w:hAnsi="Times New Roman"/>
          <w:color w:val="000000" w:themeColor="text1"/>
          <w:sz w:val="16"/>
          <w:szCs w:val="16"/>
        </w:rPr>
        <w:t xml:space="preserve">. А 29 июля 1929 года ВСНХ утвердил задание для будущего завода. Его проектная мощность первоначально была определена в 11 миллионов 300 тысяч подшипников в год. </w:t>
      </w:r>
    </w:p>
    <w:p w14:paraId="3348DC71" w14:textId="77777777" w:rsidR="00AD381B" w:rsidRPr="00A259BD" w:rsidRDefault="00AD38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Однако в мае 1930 года был подписан договор с филиалом ФИАТА фирмой РИВ (Италия) о техпомощи в постройке завода. 18 августа 1930 года он был принят за основу. Причем проектная мощность завода определялась уже в 24 миллиона подшипников в год. </w:t>
      </w:r>
    </w:p>
    <w:p w14:paraId="0D3DB5F1" w14:textId="77777777" w:rsidR="00AD381B" w:rsidRPr="00A259BD" w:rsidRDefault="00AD38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ноября 1930 года начальником теперь уже </w:t>
      </w:r>
      <w:proofErr w:type="spellStart"/>
      <w:r w:rsidRPr="00A259BD">
        <w:rPr>
          <w:rFonts w:ascii="Times New Roman" w:hAnsi="Times New Roman"/>
          <w:color w:val="000000" w:themeColor="text1"/>
          <w:sz w:val="16"/>
          <w:szCs w:val="16"/>
        </w:rPr>
        <w:t>Господшипникстроя</w:t>
      </w:r>
      <w:proofErr w:type="spellEnd"/>
      <w:r w:rsidRPr="00A259BD">
        <w:rPr>
          <w:rFonts w:ascii="Times New Roman" w:hAnsi="Times New Roman"/>
          <w:color w:val="000000" w:themeColor="text1"/>
          <w:sz w:val="16"/>
          <w:szCs w:val="16"/>
        </w:rPr>
        <w:t xml:space="preserve"> был назначен Андрей Михайлович Бодров, ставший затем и директором 1-ГПЗ. 10 ноября 1930 года был заложен первый камень завода, а в начале 1931 года - первые цеха (механосборочный, инструментальный и кузнечный). В июле начало поступать оборудование, закупленное в США, Италии и Германии. </w:t>
      </w:r>
    </w:p>
    <w:p w14:paraId="13799EB1" w14:textId="77777777" w:rsidR="00AD381B" w:rsidRPr="00A259BD" w:rsidRDefault="00AD38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в это время московские заводы готовили кадры для 1-ГПЗ. Единственным в стране подшипниковым заводом тогда был небольшой механический заводик Торгового Дома «Шварцкопф», «</w:t>
      </w:r>
      <w:proofErr w:type="spellStart"/>
      <w:r w:rsidRPr="00A259BD">
        <w:rPr>
          <w:rFonts w:ascii="Times New Roman" w:hAnsi="Times New Roman"/>
          <w:color w:val="000000" w:themeColor="text1"/>
          <w:sz w:val="16"/>
          <w:szCs w:val="16"/>
        </w:rPr>
        <w:t>Дзирне</w:t>
      </w:r>
      <w:proofErr w:type="spellEnd"/>
      <w:r w:rsidRPr="00A259BD">
        <w:rPr>
          <w:rFonts w:ascii="Times New Roman" w:hAnsi="Times New Roman"/>
          <w:color w:val="000000" w:themeColor="text1"/>
          <w:sz w:val="16"/>
          <w:szCs w:val="16"/>
        </w:rPr>
        <w:t>» и «</w:t>
      </w:r>
      <w:proofErr w:type="spellStart"/>
      <w:r w:rsidRPr="00A259BD">
        <w:rPr>
          <w:rFonts w:ascii="Times New Roman" w:hAnsi="Times New Roman"/>
          <w:color w:val="000000" w:themeColor="text1"/>
          <w:sz w:val="16"/>
          <w:szCs w:val="16"/>
        </w:rPr>
        <w:t>Кольпак</w:t>
      </w:r>
      <w:proofErr w:type="spellEnd"/>
      <w:r w:rsidRPr="00A259BD">
        <w:rPr>
          <w:rFonts w:ascii="Times New Roman" w:hAnsi="Times New Roman"/>
          <w:color w:val="000000" w:themeColor="text1"/>
          <w:sz w:val="16"/>
          <w:szCs w:val="16"/>
        </w:rPr>
        <w:t xml:space="preserve">», основанный еще в 1898 году и к началу 1-й мировой войны насчитывавший всего 108 рабочих. В 1916 году шведская фирма перестроила предприятие, и после гражданской войны, в апреле 1923 года фирма СКФ заключила концессионный договор. В 1931 году эта концессия прекратила существование и завод был преобразован в «Шарикоподшипник». Именно на нем (ныне 2-ГПЗ) в начале 30-х годов обучались 1139 человек для 1-ГПЗ. </w:t>
      </w:r>
    </w:p>
    <w:p w14:paraId="3BC9B25C" w14:textId="77777777" w:rsidR="00AD381B" w:rsidRPr="00A259BD" w:rsidRDefault="00AD38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января 1932 года на 1-ГПЗ были собраны первые 10 подшипников типа «203». Первая партия подшипников была направлена в Царицын (Волгоград). К 1940 году 1-ГПЗ выпускал уже 41 036 тысяч подшипников в год (90% всех подшипников, производимых в СССР). А еще в 1936 году завод освоил производство небольших, но точных подшипников для приборов и гигантских четырехрядных подшипников свыше 1 метра в диаметре (17224).</w:t>
      </w:r>
    </w:p>
    <w:p w14:paraId="43CC46E4" w14:textId="77777777" w:rsidR="00AD381B" w:rsidRPr="00A259BD" w:rsidRDefault="00AD381B" w:rsidP="009236E3">
      <w:pPr>
        <w:spacing w:after="0" w:line="240" w:lineRule="auto"/>
        <w:jc w:val="both"/>
        <w:rPr>
          <w:rFonts w:ascii="Times New Roman" w:hAnsi="Times New Roman"/>
          <w:color w:val="000000" w:themeColor="text1"/>
          <w:sz w:val="16"/>
          <w:szCs w:val="16"/>
        </w:rPr>
      </w:pPr>
    </w:p>
    <w:p w14:paraId="0EC8800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CE384C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2FB3279" w14:textId="77777777" w:rsidR="00DE062D" w:rsidRPr="00441F34" w:rsidRDefault="00DE062D" w:rsidP="00DE062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мае 1929 г. известный немецкий кинорежиссёр Фриц Ланг (</w:t>
      </w:r>
      <w:proofErr w:type="spellStart"/>
      <w:r w:rsidRPr="00441F34">
        <w:rPr>
          <w:rFonts w:ascii="Times New Roman" w:hAnsi="Times New Roman"/>
          <w:color w:val="0070C0"/>
          <w:sz w:val="16"/>
          <w:szCs w:val="16"/>
        </w:rPr>
        <w:t>Fritz</w:t>
      </w:r>
      <w:proofErr w:type="spellEnd"/>
      <w:r w:rsidRPr="00441F34">
        <w:rPr>
          <w:rFonts w:ascii="Times New Roman" w:hAnsi="Times New Roman"/>
          <w:color w:val="0070C0"/>
          <w:sz w:val="16"/>
          <w:szCs w:val="16"/>
        </w:rPr>
        <w:t xml:space="preserve"> Lang; 1890–1976), работавший в берлинской кинокомпании UFA (</w:t>
      </w:r>
      <w:proofErr w:type="spellStart"/>
      <w:r w:rsidRPr="00441F34">
        <w:rPr>
          <w:rFonts w:ascii="Times New Roman" w:hAnsi="Times New Roman"/>
          <w:color w:val="0070C0"/>
          <w:sz w:val="16"/>
          <w:szCs w:val="16"/>
        </w:rPr>
        <w:t>Universum</w:t>
      </w:r>
      <w:proofErr w:type="spellEnd"/>
      <w:r w:rsidRPr="00441F34">
        <w:rPr>
          <w:rFonts w:ascii="Times New Roman" w:hAnsi="Times New Roman"/>
          <w:color w:val="0070C0"/>
          <w:sz w:val="16"/>
          <w:szCs w:val="16"/>
        </w:rPr>
        <w:t xml:space="preserve"> Film AG), по рекомендации Макса </w:t>
      </w:r>
      <w:proofErr w:type="spellStart"/>
      <w:r w:rsidRPr="00441F34">
        <w:rPr>
          <w:rFonts w:ascii="Times New Roman" w:hAnsi="Times New Roman"/>
          <w:color w:val="0070C0"/>
          <w:sz w:val="16"/>
          <w:szCs w:val="16"/>
        </w:rPr>
        <w:t>Вальера</w:t>
      </w:r>
      <w:proofErr w:type="spellEnd"/>
      <w:r w:rsidRPr="00441F34">
        <w:rPr>
          <w:rFonts w:ascii="Times New Roman" w:hAnsi="Times New Roman"/>
          <w:color w:val="0070C0"/>
          <w:sz w:val="16"/>
          <w:szCs w:val="16"/>
        </w:rPr>
        <w:t xml:space="preserve"> обратился к </w:t>
      </w:r>
      <w:proofErr w:type="spellStart"/>
      <w:r w:rsidRPr="00441F34">
        <w:rPr>
          <w:rFonts w:ascii="Times New Roman" w:hAnsi="Times New Roman"/>
          <w:color w:val="0070C0"/>
          <w:sz w:val="16"/>
          <w:szCs w:val="16"/>
        </w:rPr>
        <w:t>Оберту</w:t>
      </w:r>
      <w:proofErr w:type="spellEnd"/>
      <w:r w:rsidRPr="00441F34">
        <w:rPr>
          <w:rFonts w:ascii="Times New Roman" w:hAnsi="Times New Roman"/>
          <w:color w:val="0070C0"/>
          <w:sz w:val="16"/>
          <w:szCs w:val="16"/>
        </w:rPr>
        <w:t xml:space="preserve"> с заманчивым предложением. Жена Ланга, писательница и  сценаристка </w:t>
      </w:r>
      <w:proofErr w:type="spellStart"/>
      <w:r w:rsidRPr="00441F34">
        <w:rPr>
          <w:rFonts w:ascii="Times New Roman" w:hAnsi="Times New Roman"/>
          <w:color w:val="0070C0"/>
          <w:sz w:val="16"/>
          <w:szCs w:val="16"/>
        </w:rPr>
        <w:t>Теа</w:t>
      </w:r>
      <w:proofErr w:type="spellEnd"/>
      <w:r w:rsidRPr="00441F34">
        <w:rPr>
          <w:rFonts w:ascii="Times New Roman" w:hAnsi="Times New Roman"/>
          <w:color w:val="0070C0"/>
          <w:sz w:val="16"/>
          <w:szCs w:val="16"/>
        </w:rPr>
        <w:t xml:space="preserve"> фон </w:t>
      </w:r>
      <w:proofErr w:type="spellStart"/>
      <w:r w:rsidRPr="00441F34">
        <w:rPr>
          <w:rFonts w:ascii="Times New Roman" w:hAnsi="Times New Roman"/>
          <w:color w:val="0070C0"/>
          <w:sz w:val="16"/>
          <w:szCs w:val="16"/>
        </w:rPr>
        <w:t>Харбоу</w:t>
      </w:r>
      <w:proofErr w:type="spellEnd"/>
      <w:r w:rsidRPr="00441F34">
        <w:rPr>
          <w:rFonts w:ascii="Times New Roman" w:hAnsi="Times New Roman"/>
          <w:color w:val="0070C0"/>
          <w:sz w:val="16"/>
          <w:szCs w:val="16"/>
        </w:rPr>
        <w:t xml:space="preserve"> (1888–1954), в  предыдущем году опубликовала фантастический роман «Женщина на Луне» (Die </w:t>
      </w:r>
      <w:proofErr w:type="spellStart"/>
      <w:r w:rsidRPr="00441F34">
        <w:rPr>
          <w:rFonts w:ascii="Times New Roman" w:hAnsi="Times New Roman"/>
          <w:color w:val="0070C0"/>
          <w:sz w:val="16"/>
          <w:szCs w:val="16"/>
        </w:rPr>
        <w:t>Frau</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im</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Mond</w:t>
      </w:r>
      <w:proofErr w:type="spellEnd"/>
      <w:r w:rsidRPr="00441F34">
        <w:rPr>
          <w:rFonts w:ascii="Times New Roman" w:hAnsi="Times New Roman"/>
          <w:color w:val="0070C0"/>
          <w:sz w:val="16"/>
          <w:szCs w:val="16"/>
        </w:rPr>
        <w:t xml:space="preserve">). Ланг решил снять по нему фильм. Однако для большей убедительности будущей ленты он хотел, чтобы сюжет, макет ракеты, декорации «лунных сцен» консультировал специалист. </w:t>
      </w:r>
      <w:proofErr w:type="spellStart"/>
      <w:r w:rsidRPr="00441F34">
        <w:rPr>
          <w:rFonts w:ascii="Times New Roman" w:hAnsi="Times New Roman"/>
          <w:color w:val="0070C0"/>
          <w:sz w:val="16"/>
          <w:szCs w:val="16"/>
        </w:rPr>
        <w:t>Оберт</w:t>
      </w:r>
      <w:proofErr w:type="spellEnd"/>
      <w:r w:rsidRPr="00441F34">
        <w:rPr>
          <w:rFonts w:ascii="Times New Roman" w:hAnsi="Times New Roman"/>
          <w:color w:val="0070C0"/>
          <w:sz w:val="16"/>
          <w:szCs w:val="16"/>
        </w:rPr>
        <w:t xml:space="preserve"> согласился. Уже в июле он приехал в Берлин, в кинокомпанию, и  для начала представил Лангу и  его помощникам рисунки, изображавшие «настоящую» лунную ракету. </w:t>
      </w:r>
      <w:proofErr w:type="spellStart"/>
      <w:r w:rsidRPr="00441F34">
        <w:rPr>
          <w:rFonts w:ascii="Times New Roman" w:hAnsi="Times New Roman"/>
          <w:color w:val="0070C0"/>
          <w:sz w:val="16"/>
          <w:szCs w:val="16"/>
        </w:rPr>
        <w:t>Оберт</w:t>
      </w:r>
      <w:proofErr w:type="spellEnd"/>
      <w:r w:rsidRPr="00441F34">
        <w:rPr>
          <w:rFonts w:ascii="Times New Roman" w:hAnsi="Times New Roman"/>
          <w:color w:val="0070C0"/>
          <w:sz w:val="16"/>
          <w:szCs w:val="16"/>
        </w:rPr>
        <w:t xml:space="preserve"> стремился к тому, чтобы всё, что касается ракеты, выглядело на экране максимально правдоподобно. Поэтому он начертил траекторию полёта от Земли к Луне, схему маневрирования ракеты на лунной орбите, описал и нарисовал процесс торможения двигателями при посадке... В  это время журналист Вилли Лей подал руководству УФА идею: пусть </w:t>
      </w:r>
      <w:proofErr w:type="spellStart"/>
      <w:r w:rsidRPr="00441F34">
        <w:rPr>
          <w:rFonts w:ascii="Times New Roman" w:hAnsi="Times New Roman"/>
          <w:color w:val="0070C0"/>
          <w:sz w:val="16"/>
          <w:szCs w:val="16"/>
        </w:rPr>
        <w:t>Оберт</w:t>
      </w:r>
      <w:proofErr w:type="spellEnd"/>
      <w:r w:rsidRPr="00441F34">
        <w:rPr>
          <w:rFonts w:ascii="Times New Roman" w:hAnsi="Times New Roman"/>
          <w:color w:val="0070C0"/>
          <w:sz w:val="16"/>
          <w:szCs w:val="16"/>
        </w:rPr>
        <w:t xml:space="preserve"> построит настоящую ракету и  запустит её перед премьерой фильма. Запуск, снятый на кинопленку, можно будет показать в кинотеатрах по всей Германии и за её пределами, так что ролик станет отличной рекламой для фильма! Идея понравилась всем: Лангу, отделу рекламы, дирекции кинокомпании и даже </w:t>
      </w:r>
      <w:proofErr w:type="spellStart"/>
      <w:r w:rsidRPr="00441F34">
        <w:rPr>
          <w:rFonts w:ascii="Times New Roman" w:hAnsi="Times New Roman"/>
          <w:color w:val="0070C0"/>
          <w:sz w:val="16"/>
          <w:szCs w:val="16"/>
        </w:rPr>
        <w:t>Оберту</w:t>
      </w:r>
      <w:proofErr w:type="spellEnd"/>
      <w:r w:rsidRPr="00441F34">
        <w:rPr>
          <w:rFonts w:ascii="Times New Roman" w:hAnsi="Times New Roman"/>
          <w:color w:val="0070C0"/>
          <w:sz w:val="16"/>
          <w:szCs w:val="16"/>
        </w:rPr>
        <w:t xml:space="preserve">. В результате он получил 10 тысяч марок для закупки материалов и оплаты работ: 5 тысяч Ланг выделил из личных средств, киностудия — еще столько же. Но съемки уже шли полным ходом, требовалось сделать ракету как можно быстрее. Поэтому </w:t>
      </w:r>
      <w:proofErr w:type="spellStart"/>
      <w:r w:rsidRPr="00441F34">
        <w:rPr>
          <w:rFonts w:ascii="Times New Roman" w:hAnsi="Times New Roman"/>
          <w:color w:val="0070C0"/>
          <w:sz w:val="16"/>
          <w:szCs w:val="16"/>
        </w:rPr>
        <w:t>Оберт</w:t>
      </w:r>
      <w:proofErr w:type="spellEnd"/>
      <w:r w:rsidRPr="00441F34">
        <w:rPr>
          <w:rFonts w:ascii="Times New Roman" w:hAnsi="Times New Roman"/>
          <w:color w:val="0070C0"/>
          <w:sz w:val="16"/>
          <w:szCs w:val="16"/>
        </w:rPr>
        <w:t xml:space="preserve"> — по рекомендации Лея — взял себе в  помощники 35-летнего Рудольфа </w:t>
      </w:r>
      <w:proofErr w:type="spellStart"/>
      <w:r w:rsidRPr="00441F34">
        <w:rPr>
          <w:rFonts w:ascii="Times New Roman" w:hAnsi="Times New Roman"/>
          <w:color w:val="0070C0"/>
          <w:sz w:val="16"/>
          <w:szCs w:val="16"/>
        </w:rPr>
        <w:t>Небеля</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Rudolf</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Nebel</w:t>
      </w:r>
      <w:proofErr w:type="spellEnd"/>
      <w:r w:rsidRPr="00441F34">
        <w:rPr>
          <w:rFonts w:ascii="Times New Roman" w:hAnsi="Times New Roman"/>
          <w:color w:val="0070C0"/>
          <w:sz w:val="16"/>
          <w:szCs w:val="16"/>
        </w:rPr>
        <w:t xml:space="preserve">), владельца фирмы пиротехники, и  22-летнего механика Клауса Риделя. </w:t>
      </w:r>
      <w:proofErr w:type="spellStart"/>
      <w:r w:rsidRPr="00441F34">
        <w:rPr>
          <w:rFonts w:ascii="Times New Roman" w:hAnsi="Times New Roman"/>
          <w:color w:val="0070C0"/>
          <w:sz w:val="16"/>
          <w:szCs w:val="16"/>
        </w:rPr>
        <w:t>Небель</w:t>
      </w:r>
      <w:proofErr w:type="spellEnd"/>
      <w:r w:rsidRPr="00441F34">
        <w:rPr>
          <w:rFonts w:ascii="Times New Roman" w:hAnsi="Times New Roman"/>
          <w:color w:val="0070C0"/>
          <w:sz w:val="16"/>
          <w:szCs w:val="16"/>
        </w:rPr>
        <w:t xml:space="preserve"> и Ридель, как и Лей, были членами Общества межпланетных плаваний, учрежденного летом 1927 г. Рекламный отдел компании УФА хотел, чтобы ракета была высотой не меньше 13 м! </w:t>
      </w:r>
      <w:proofErr w:type="spellStart"/>
      <w:r w:rsidRPr="00441F34">
        <w:rPr>
          <w:rFonts w:ascii="Times New Roman" w:hAnsi="Times New Roman"/>
          <w:color w:val="0070C0"/>
          <w:sz w:val="16"/>
          <w:szCs w:val="16"/>
        </w:rPr>
        <w:t>Оберт</w:t>
      </w:r>
      <w:proofErr w:type="spellEnd"/>
      <w:r w:rsidRPr="00441F34">
        <w:rPr>
          <w:rFonts w:ascii="Times New Roman" w:hAnsi="Times New Roman"/>
          <w:color w:val="0070C0"/>
          <w:sz w:val="16"/>
          <w:szCs w:val="16"/>
        </w:rPr>
        <w:t xml:space="preserve"> и </w:t>
      </w:r>
      <w:proofErr w:type="spellStart"/>
      <w:r w:rsidRPr="00441F34">
        <w:rPr>
          <w:rFonts w:ascii="Times New Roman" w:hAnsi="Times New Roman"/>
          <w:color w:val="0070C0"/>
          <w:sz w:val="16"/>
          <w:szCs w:val="16"/>
        </w:rPr>
        <w:t>Небель</w:t>
      </w:r>
      <w:proofErr w:type="spellEnd"/>
      <w:r w:rsidRPr="00441F34">
        <w:rPr>
          <w:rFonts w:ascii="Times New Roman" w:hAnsi="Times New Roman"/>
          <w:color w:val="0070C0"/>
          <w:sz w:val="16"/>
          <w:szCs w:val="16"/>
        </w:rPr>
        <w:t xml:space="preserve"> объяснили руководству кинокомпании, что это невозможно. В  итоге стороны согласовали компромиссный вариант: построить двухметровую ракету с 16-литровым запасом топлива (бензин + жидкий кислород). По расчётам </w:t>
      </w:r>
      <w:proofErr w:type="spellStart"/>
      <w:r w:rsidRPr="00441F34">
        <w:rPr>
          <w:rFonts w:ascii="Times New Roman" w:hAnsi="Times New Roman"/>
          <w:color w:val="0070C0"/>
          <w:sz w:val="16"/>
          <w:szCs w:val="16"/>
        </w:rPr>
        <w:t>Оберта</w:t>
      </w:r>
      <w:proofErr w:type="spellEnd"/>
      <w:r w:rsidRPr="00441F34">
        <w:rPr>
          <w:rFonts w:ascii="Times New Roman" w:hAnsi="Times New Roman"/>
          <w:color w:val="0070C0"/>
          <w:sz w:val="16"/>
          <w:szCs w:val="16"/>
        </w:rPr>
        <w:t xml:space="preserve">, она могла бы взлететь на высоту 35–40 км. Рекламщики увеличили цифру до 70 км и разослали </w:t>
      </w:r>
      <w:proofErr w:type="spellStart"/>
      <w:r w:rsidRPr="00441F34">
        <w:rPr>
          <w:rFonts w:ascii="Times New Roman" w:hAnsi="Times New Roman"/>
          <w:color w:val="0070C0"/>
          <w:sz w:val="16"/>
          <w:szCs w:val="16"/>
        </w:rPr>
        <w:t>сответствующие</w:t>
      </w:r>
      <w:proofErr w:type="spellEnd"/>
      <w:r w:rsidRPr="00441F34">
        <w:rPr>
          <w:rFonts w:ascii="Times New Roman" w:hAnsi="Times New Roman"/>
          <w:color w:val="0070C0"/>
          <w:sz w:val="16"/>
          <w:szCs w:val="16"/>
        </w:rPr>
        <w:t xml:space="preserve"> анонсы в информагентства и редакции газет. Было заранее указано место старта — остров </w:t>
      </w:r>
      <w:proofErr w:type="spellStart"/>
      <w:r w:rsidRPr="00441F34">
        <w:rPr>
          <w:rFonts w:ascii="Times New Roman" w:hAnsi="Times New Roman"/>
          <w:color w:val="0070C0"/>
          <w:sz w:val="16"/>
          <w:szCs w:val="16"/>
        </w:rPr>
        <w:t>Грейфсвальдер</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Ойе</w:t>
      </w:r>
      <w:proofErr w:type="spellEnd"/>
      <w:r w:rsidRPr="00441F34">
        <w:rPr>
          <w:rFonts w:ascii="Times New Roman" w:hAnsi="Times New Roman"/>
          <w:color w:val="0070C0"/>
          <w:sz w:val="16"/>
          <w:szCs w:val="16"/>
        </w:rPr>
        <w:t xml:space="preserve"> в Балтийском море. Запуск назначили на 19 октября 1929 г. (23372).</w:t>
      </w:r>
    </w:p>
    <w:p w14:paraId="19CC1145" w14:textId="77777777" w:rsidR="00DE062D" w:rsidRPr="00441F34" w:rsidRDefault="00DE062D" w:rsidP="00DE062D">
      <w:pPr>
        <w:spacing w:after="0" w:line="240" w:lineRule="auto"/>
        <w:jc w:val="both"/>
        <w:rPr>
          <w:rFonts w:ascii="Times New Roman" w:hAnsi="Times New Roman"/>
          <w:color w:val="0070C0"/>
          <w:sz w:val="16"/>
          <w:szCs w:val="16"/>
        </w:rPr>
      </w:pPr>
    </w:p>
    <w:p w14:paraId="7F6974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убит один из руководителей "</w:t>
      </w:r>
      <w:proofErr w:type="spellStart"/>
      <w:r w:rsidRPr="00A259BD">
        <w:rPr>
          <w:rFonts w:ascii="Times New Roman" w:hAnsi="Times New Roman"/>
          <w:color w:val="000000" w:themeColor="text1"/>
          <w:sz w:val="16"/>
          <w:szCs w:val="16"/>
        </w:rPr>
        <w:t>Ихвана</w:t>
      </w:r>
      <w:proofErr w:type="spellEnd"/>
      <w:r w:rsidRPr="00A259BD">
        <w:rPr>
          <w:rFonts w:ascii="Times New Roman" w:hAnsi="Times New Roman"/>
          <w:color w:val="000000" w:themeColor="text1"/>
          <w:sz w:val="16"/>
          <w:szCs w:val="16"/>
        </w:rPr>
        <w:t xml:space="preserve">" Ибн </w:t>
      </w:r>
      <w:proofErr w:type="spellStart"/>
      <w:r w:rsidRPr="00A259BD">
        <w:rPr>
          <w:rFonts w:ascii="Times New Roman" w:hAnsi="Times New Roman"/>
          <w:color w:val="000000" w:themeColor="text1"/>
          <w:sz w:val="16"/>
          <w:szCs w:val="16"/>
        </w:rPr>
        <w:t>Хитлаун</w:t>
      </w:r>
      <w:proofErr w:type="spellEnd"/>
      <w:r w:rsidRPr="00A259BD">
        <w:rPr>
          <w:rFonts w:ascii="Times New Roman" w:hAnsi="Times New Roman"/>
          <w:color w:val="000000" w:themeColor="text1"/>
          <w:sz w:val="16"/>
          <w:szCs w:val="16"/>
        </w:rPr>
        <w:t xml:space="preserve">. В качестве возмездия </w:t>
      </w:r>
      <w:proofErr w:type="spellStart"/>
      <w:r w:rsidRPr="00A259BD">
        <w:rPr>
          <w:rFonts w:ascii="Times New Roman" w:hAnsi="Times New Roman"/>
          <w:color w:val="000000" w:themeColor="text1"/>
          <w:sz w:val="16"/>
          <w:szCs w:val="16"/>
        </w:rPr>
        <w:t>ихваны</w:t>
      </w:r>
      <w:proofErr w:type="spellEnd"/>
      <w:r w:rsidRPr="00A259BD">
        <w:rPr>
          <w:rFonts w:ascii="Times New Roman" w:hAnsi="Times New Roman"/>
          <w:color w:val="000000" w:themeColor="text1"/>
          <w:sz w:val="16"/>
          <w:szCs w:val="16"/>
        </w:rPr>
        <w:t xml:space="preserve"> уничтожили его убийцу, Фахда, сына одного из губернаторов Ибн Сауда, и перерезали путь между столицей Ибн Сауда </w:t>
      </w:r>
      <w:proofErr w:type="spellStart"/>
      <w:r w:rsidRPr="00A259BD">
        <w:rPr>
          <w:rFonts w:ascii="Times New Roman" w:hAnsi="Times New Roman"/>
          <w:color w:val="000000" w:themeColor="text1"/>
          <w:sz w:val="16"/>
          <w:szCs w:val="16"/>
        </w:rPr>
        <w:t>г.Эр</w:t>
      </w:r>
      <w:proofErr w:type="spellEnd"/>
      <w:r w:rsidRPr="00A259BD">
        <w:rPr>
          <w:rFonts w:ascii="Times New Roman" w:hAnsi="Times New Roman"/>
          <w:color w:val="000000" w:themeColor="text1"/>
          <w:sz w:val="16"/>
          <w:szCs w:val="16"/>
        </w:rPr>
        <w:t>-Рияд и Персидским заливом (7558).</w:t>
      </w:r>
    </w:p>
    <w:p w14:paraId="0BADD5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6D27923"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37DF66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2629A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 1929 г. советская делегация во главе с заместителем началь</w:t>
      </w:r>
      <w:r w:rsidRPr="00A259BD">
        <w:rPr>
          <w:rFonts w:ascii="Times New Roman" w:hAnsi="Times New Roman"/>
          <w:color w:val="000000" w:themeColor="text1"/>
          <w:sz w:val="16"/>
          <w:szCs w:val="16"/>
        </w:rPr>
        <w:softHyphen/>
        <w:t xml:space="preserve">ника ГУВП ВСНХ СССР </w:t>
      </w:r>
      <w:proofErr w:type="spellStart"/>
      <w:r w:rsidRPr="00A259BD">
        <w:rPr>
          <w:rFonts w:ascii="Times New Roman" w:hAnsi="Times New Roman"/>
          <w:color w:val="000000" w:themeColor="text1"/>
          <w:sz w:val="16"/>
          <w:szCs w:val="16"/>
        </w:rPr>
        <w:t>Будневичем</w:t>
      </w:r>
      <w:proofErr w:type="spellEnd"/>
      <w:r w:rsidRPr="00A259BD">
        <w:rPr>
          <w:rFonts w:ascii="Times New Roman" w:hAnsi="Times New Roman"/>
          <w:color w:val="000000" w:themeColor="text1"/>
          <w:sz w:val="16"/>
          <w:szCs w:val="16"/>
        </w:rPr>
        <w:t xml:space="preserve"> побывала в Германии и Ав</w:t>
      </w:r>
      <w:r w:rsidRPr="00A259BD">
        <w:rPr>
          <w:rFonts w:ascii="Times New Roman" w:hAnsi="Times New Roman"/>
          <w:color w:val="000000" w:themeColor="text1"/>
          <w:sz w:val="16"/>
          <w:szCs w:val="16"/>
        </w:rPr>
        <w:softHyphen/>
        <w:t>стрии с целью заключения договоров о технической помощи в деле организации военно-промышленных производств. В офици</w:t>
      </w:r>
      <w:r w:rsidRPr="00A259BD">
        <w:rPr>
          <w:rFonts w:ascii="Times New Roman" w:hAnsi="Times New Roman"/>
          <w:color w:val="000000" w:themeColor="text1"/>
          <w:sz w:val="16"/>
          <w:szCs w:val="16"/>
        </w:rPr>
        <w:softHyphen/>
        <w:t>альном отчете о результатах командировки, между прочим, сооб</w:t>
      </w:r>
      <w:r w:rsidRPr="00A259BD">
        <w:rPr>
          <w:rFonts w:ascii="Times New Roman" w:hAnsi="Times New Roman"/>
          <w:color w:val="000000" w:themeColor="text1"/>
          <w:sz w:val="16"/>
          <w:szCs w:val="16"/>
        </w:rPr>
        <w:softHyphen/>
        <w:t xml:space="preserve">щалось о том, что командованием </w:t>
      </w:r>
      <w:proofErr w:type="spellStart"/>
      <w:r w:rsidRPr="00A259BD">
        <w:rPr>
          <w:rFonts w:ascii="Times New Roman" w:hAnsi="Times New Roman"/>
          <w:color w:val="000000" w:themeColor="text1"/>
          <w:sz w:val="16"/>
          <w:szCs w:val="16"/>
        </w:rPr>
        <w:t>Рейсхвера</w:t>
      </w:r>
      <w:proofErr w:type="spellEnd"/>
      <w:r w:rsidRPr="00A259BD">
        <w:rPr>
          <w:rFonts w:ascii="Times New Roman" w:hAnsi="Times New Roman"/>
          <w:color w:val="000000" w:themeColor="text1"/>
          <w:sz w:val="16"/>
          <w:szCs w:val="16"/>
        </w:rPr>
        <w:t xml:space="preserve"> “зондировался воп</w:t>
      </w:r>
      <w:r w:rsidRPr="00A259BD">
        <w:rPr>
          <w:rFonts w:ascii="Times New Roman" w:hAnsi="Times New Roman"/>
          <w:color w:val="000000" w:themeColor="text1"/>
          <w:sz w:val="16"/>
          <w:szCs w:val="16"/>
        </w:rPr>
        <w:softHyphen/>
        <w:t>рос о широком военно-техническом сотрудничестве между Гер</w:t>
      </w:r>
      <w:r w:rsidRPr="00A259BD">
        <w:rPr>
          <w:rFonts w:ascii="Times New Roman" w:hAnsi="Times New Roman"/>
          <w:color w:val="000000" w:themeColor="text1"/>
          <w:sz w:val="16"/>
          <w:szCs w:val="16"/>
        </w:rPr>
        <w:softHyphen/>
        <w:t>манией и СССР, вплоть до унификации вооружений” (ГАРФ ф.8418, оп. 12, д. 440, л. 41). Глав</w:t>
      </w:r>
      <w:r w:rsidRPr="00A259BD">
        <w:rPr>
          <w:rFonts w:ascii="Times New Roman" w:hAnsi="Times New Roman"/>
          <w:color w:val="000000" w:themeColor="text1"/>
          <w:sz w:val="16"/>
          <w:szCs w:val="16"/>
        </w:rPr>
        <w:softHyphen/>
        <w:t xml:space="preserve">ная Администрация фирмы </w:t>
      </w:r>
      <w:proofErr w:type="spellStart"/>
      <w:r w:rsidRPr="00A259BD">
        <w:rPr>
          <w:rFonts w:ascii="Times New Roman" w:hAnsi="Times New Roman"/>
          <w:color w:val="000000" w:themeColor="text1"/>
          <w:sz w:val="16"/>
          <w:szCs w:val="16"/>
        </w:rPr>
        <w:t>Рейнметалл</w:t>
      </w:r>
      <w:proofErr w:type="spellEnd"/>
      <w:r w:rsidRPr="00A259BD">
        <w:rPr>
          <w:rFonts w:ascii="Times New Roman" w:hAnsi="Times New Roman"/>
          <w:color w:val="000000" w:themeColor="text1"/>
          <w:sz w:val="16"/>
          <w:szCs w:val="16"/>
        </w:rPr>
        <w:t xml:space="preserve"> (генеральный подрядчик </w:t>
      </w:r>
      <w:proofErr w:type="spellStart"/>
      <w:r w:rsidRPr="00A259BD">
        <w:rPr>
          <w:rFonts w:ascii="Times New Roman" w:hAnsi="Times New Roman"/>
          <w:color w:val="000000" w:themeColor="text1"/>
          <w:sz w:val="16"/>
          <w:szCs w:val="16"/>
        </w:rPr>
        <w:t>Рейсхвера</w:t>
      </w:r>
      <w:proofErr w:type="spellEnd"/>
      <w:r w:rsidRPr="00A259BD">
        <w:rPr>
          <w:rFonts w:ascii="Times New Roman" w:hAnsi="Times New Roman"/>
          <w:color w:val="000000" w:themeColor="text1"/>
          <w:sz w:val="16"/>
          <w:szCs w:val="16"/>
        </w:rPr>
        <w:t>) согласилась передать СССР свой опыт по производ</w:t>
      </w:r>
      <w:r w:rsidRPr="00A259BD">
        <w:rPr>
          <w:rFonts w:ascii="Times New Roman" w:hAnsi="Times New Roman"/>
          <w:color w:val="000000" w:themeColor="text1"/>
          <w:sz w:val="16"/>
          <w:szCs w:val="16"/>
        </w:rPr>
        <w:softHyphen/>
        <w:t>ству порохов, взрывателей, дистанционных трубок и специаль</w:t>
      </w:r>
      <w:r w:rsidRPr="00A259BD">
        <w:rPr>
          <w:rFonts w:ascii="Times New Roman" w:hAnsi="Times New Roman"/>
          <w:color w:val="000000" w:themeColor="text1"/>
          <w:sz w:val="16"/>
          <w:szCs w:val="16"/>
        </w:rPr>
        <w:softHyphen/>
        <w:t>ных сортов сталей. Советская делегация проявила большой инте</w:t>
      </w:r>
      <w:r w:rsidRPr="00A259BD">
        <w:rPr>
          <w:rFonts w:ascii="Times New Roman" w:hAnsi="Times New Roman"/>
          <w:color w:val="000000" w:themeColor="text1"/>
          <w:sz w:val="16"/>
          <w:szCs w:val="16"/>
        </w:rPr>
        <w:softHyphen/>
        <w:t>рес к решению немцами проблем удешевления производства во</w:t>
      </w:r>
      <w:r w:rsidRPr="00A259BD">
        <w:rPr>
          <w:rFonts w:ascii="Times New Roman" w:hAnsi="Times New Roman"/>
          <w:color w:val="000000" w:themeColor="text1"/>
          <w:sz w:val="16"/>
          <w:szCs w:val="16"/>
        </w:rPr>
        <w:softHyphen/>
        <w:t>енной продукции, а именно: стандартизации, взаимозаменяемости и универсальности систем вооружения ” (ГАРФ ф.8418, оп. 12, д. 2, л. 65).</w:t>
      </w:r>
    </w:p>
    <w:p w14:paraId="5BC3373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Советская делегация (при посредничестве посла СССР в Гер</w:t>
      </w:r>
      <w:r w:rsidRPr="00A259BD">
        <w:rPr>
          <w:rFonts w:ascii="Times New Roman" w:hAnsi="Times New Roman"/>
          <w:color w:val="000000" w:themeColor="text1"/>
          <w:sz w:val="16"/>
          <w:szCs w:val="16"/>
        </w:rPr>
        <w:softHyphen/>
        <w:t xml:space="preserve">мании </w:t>
      </w:r>
      <w:proofErr w:type="spellStart"/>
      <w:r w:rsidRPr="00A259BD">
        <w:rPr>
          <w:rFonts w:ascii="Times New Roman" w:hAnsi="Times New Roman"/>
          <w:color w:val="000000" w:themeColor="text1"/>
          <w:sz w:val="16"/>
          <w:szCs w:val="16"/>
        </w:rPr>
        <w:t>Н.И.Крестинского</w:t>
      </w:r>
      <w:proofErr w:type="spellEnd"/>
      <w:r w:rsidRPr="00A259BD">
        <w:rPr>
          <w:rFonts w:ascii="Times New Roman" w:hAnsi="Times New Roman"/>
          <w:color w:val="000000" w:themeColor="text1"/>
          <w:sz w:val="16"/>
          <w:szCs w:val="16"/>
        </w:rPr>
        <w:t xml:space="preserve"> и военного атташе советского посольст</w:t>
      </w:r>
      <w:r w:rsidRPr="00A259BD">
        <w:rPr>
          <w:rFonts w:ascii="Times New Roman" w:hAnsi="Times New Roman"/>
          <w:color w:val="000000" w:themeColor="text1"/>
          <w:sz w:val="16"/>
          <w:szCs w:val="16"/>
        </w:rPr>
        <w:softHyphen/>
        <w:t xml:space="preserve">ва </w:t>
      </w:r>
      <w:proofErr w:type="spellStart"/>
      <w:r w:rsidRPr="00A259BD">
        <w:rPr>
          <w:rFonts w:ascii="Times New Roman" w:hAnsi="Times New Roman"/>
          <w:color w:val="000000" w:themeColor="text1"/>
          <w:sz w:val="16"/>
          <w:szCs w:val="16"/>
        </w:rPr>
        <w:t>В.К.Путны</w:t>
      </w:r>
      <w:proofErr w:type="spellEnd"/>
      <w:r w:rsidRPr="00A259BD">
        <w:rPr>
          <w:rFonts w:ascii="Times New Roman" w:hAnsi="Times New Roman"/>
          <w:color w:val="000000" w:themeColor="text1"/>
          <w:sz w:val="16"/>
          <w:szCs w:val="16"/>
        </w:rPr>
        <w:t>) парафировала соглашение о технической помощи с фирмами Круппа, Цейса и Юнкерса, причем Крупп, ссылаясь на условия Версальского мира, предложил для выполнения совет</w:t>
      </w:r>
      <w:r w:rsidRPr="00A259BD">
        <w:rPr>
          <w:rFonts w:ascii="Times New Roman" w:hAnsi="Times New Roman"/>
          <w:color w:val="000000" w:themeColor="text1"/>
          <w:sz w:val="16"/>
          <w:szCs w:val="16"/>
        </w:rPr>
        <w:softHyphen/>
        <w:t xml:space="preserve">ских заказов использовать дочернюю кампанию концерна Круп-па в Швеции (фирма </w:t>
      </w:r>
      <w:proofErr w:type="spellStart"/>
      <w:r w:rsidRPr="00A259BD">
        <w:rPr>
          <w:rFonts w:ascii="Times New Roman" w:hAnsi="Times New Roman"/>
          <w:color w:val="000000" w:themeColor="text1"/>
          <w:sz w:val="16"/>
          <w:szCs w:val="16"/>
        </w:rPr>
        <w:t>Бофорс</w:t>
      </w:r>
      <w:proofErr w:type="spellEnd"/>
      <w:r w:rsidRPr="00A259BD">
        <w:rPr>
          <w:rFonts w:ascii="Times New Roman" w:hAnsi="Times New Roman"/>
          <w:color w:val="000000" w:themeColor="text1"/>
          <w:sz w:val="16"/>
          <w:szCs w:val="16"/>
        </w:rPr>
        <w:t>). В Австрии советская делегация ос</w:t>
      </w:r>
      <w:r w:rsidRPr="00A259BD">
        <w:rPr>
          <w:rFonts w:ascii="Times New Roman" w:hAnsi="Times New Roman"/>
          <w:color w:val="000000" w:themeColor="text1"/>
          <w:sz w:val="16"/>
          <w:szCs w:val="16"/>
        </w:rPr>
        <w:softHyphen/>
        <w:t>матривала патронные заводы, входившие в международный кар</w:t>
      </w:r>
      <w:r w:rsidRPr="00A259BD">
        <w:rPr>
          <w:rFonts w:ascii="Times New Roman" w:hAnsi="Times New Roman"/>
          <w:color w:val="000000" w:themeColor="text1"/>
          <w:sz w:val="16"/>
          <w:szCs w:val="16"/>
        </w:rPr>
        <w:softHyphen/>
        <w:t>тель Манделя. В отчете о результатах переговоров с австрийцами отмечалось, что “производимые ими патроны в два раза превы</w:t>
      </w:r>
      <w:r w:rsidRPr="00A259BD">
        <w:rPr>
          <w:rFonts w:ascii="Times New Roman" w:hAnsi="Times New Roman"/>
          <w:color w:val="000000" w:themeColor="text1"/>
          <w:sz w:val="16"/>
          <w:szCs w:val="16"/>
        </w:rPr>
        <w:softHyphen/>
        <w:t>шают наши по дальности стрельбы и в гораздо меньшей степени приводят к выгоранию ствола”, а культура производства “несрав</w:t>
      </w:r>
      <w:r w:rsidRPr="00A259BD">
        <w:rPr>
          <w:rFonts w:ascii="Times New Roman" w:hAnsi="Times New Roman"/>
          <w:color w:val="000000" w:themeColor="text1"/>
          <w:sz w:val="16"/>
          <w:szCs w:val="16"/>
        </w:rPr>
        <w:softHyphen/>
        <w:t>нимо выше нашей” (РГАЭ ф. 7515, оп. 11, д. 153, л. 417).</w:t>
      </w:r>
    </w:p>
    <w:p w14:paraId="6B2A809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93F67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F6457A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78382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мая 1929 по февраль 1930 г. эскизное проектирование торпедоносца-лидера велось в НТК под руководством УВМС Ю. А. Шиманского. Первый вариант эскизно-40 уз, четыре 100-мм орудия, три </w:t>
      </w:r>
      <w:proofErr w:type="spellStart"/>
      <w:r w:rsidRPr="00A259BD">
        <w:rPr>
          <w:rFonts w:ascii="Times New Roman" w:hAnsi="Times New Roman"/>
          <w:color w:val="000000" w:themeColor="text1"/>
          <w:sz w:val="16"/>
          <w:szCs w:val="16"/>
        </w:rPr>
        <w:t>трехтрубньис</w:t>
      </w:r>
      <w:proofErr w:type="spellEnd"/>
      <w:r w:rsidRPr="00A259BD">
        <w:rPr>
          <w:rFonts w:ascii="Times New Roman" w:hAnsi="Times New Roman"/>
          <w:color w:val="000000" w:themeColor="text1"/>
          <w:sz w:val="16"/>
          <w:szCs w:val="16"/>
        </w:rPr>
        <w:t xml:space="preserve"> аппарата) был одобрен командованием РККФ в начале 1930 г. (3898).</w:t>
      </w:r>
    </w:p>
    <w:p w14:paraId="5B370F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FD16C2" w14:textId="77777777" w:rsidR="00DE062D" w:rsidRPr="00A259BD" w:rsidRDefault="00DE062D" w:rsidP="00DE062D">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F5EC7C6" w14:textId="77777777" w:rsidR="00DE062D" w:rsidRPr="00A259BD" w:rsidRDefault="00DE062D" w:rsidP="00DE062D">
      <w:pPr>
        <w:autoSpaceDE w:val="0"/>
        <w:autoSpaceDN w:val="0"/>
        <w:adjustRightInd w:val="0"/>
        <w:spacing w:after="0" w:line="240" w:lineRule="auto"/>
        <w:jc w:val="both"/>
        <w:rPr>
          <w:rFonts w:ascii="Times New Roman" w:hAnsi="Times New Roman"/>
          <w:iCs/>
          <w:color w:val="000000" w:themeColor="text1"/>
          <w:sz w:val="16"/>
          <w:szCs w:val="16"/>
        </w:rPr>
      </w:pPr>
    </w:p>
    <w:p w14:paraId="1B1FF8AF" w14:textId="77777777" w:rsidR="00DE062D" w:rsidRPr="00441F34" w:rsidRDefault="00DE062D" w:rsidP="00DE062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мае-июне 1929 г. М.М. Громов провел государственные испытания пер</w:t>
      </w:r>
      <w:r w:rsidRPr="00441F34">
        <w:rPr>
          <w:rFonts w:ascii="Times New Roman" w:hAnsi="Times New Roman"/>
          <w:color w:val="0070C0"/>
          <w:sz w:val="16"/>
          <w:szCs w:val="16"/>
        </w:rPr>
        <w:softHyphen/>
        <w:t xml:space="preserve">вого опытного АНТ—9 с тремя моторами </w:t>
      </w:r>
      <w:proofErr w:type="spellStart"/>
      <w:r w:rsidRPr="00441F34">
        <w:rPr>
          <w:rFonts w:ascii="Times New Roman" w:hAnsi="Times New Roman"/>
          <w:color w:val="0070C0"/>
          <w:sz w:val="16"/>
          <w:szCs w:val="16"/>
        </w:rPr>
        <w:t>Gnome</w:t>
      </w:r>
      <w:proofErr w:type="spellEnd"/>
      <w:r w:rsidRPr="00441F34">
        <w:rPr>
          <w:rFonts w:ascii="Times New Roman" w:hAnsi="Times New Roman"/>
          <w:color w:val="0070C0"/>
          <w:sz w:val="16"/>
          <w:szCs w:val="16"/>
        </w:rPr>
        <w:t>—</w:t>
      </w:r>
      <w:proofErr w:type="spellStart"/>
      <w:r w:rsidRPr="00441F34">
        <w:rPr>
          <w:rFonts w:ascii="Times New Roman" w:hAnsi="Times New Roman"/>
          <w:color w:val="0070C0"/>
          <w:sz w:val="16"/>
          <w:szCs w:val="16"/>
        </w:rPr>
        <w:t>Rhone</w:t>
      </w:r>
      <w:proofErr w:type="spellEnd"/>
      <w:r w:rsidRPr="00441F34">
        <w:rPr>
          <w:rFonts w:ascii="Times New Roman" w:hAnsi="Times New Roman"/>
          <w:color w:val="0070C0"/>
          <w:sz w:val="16"/>
          <w:szCs w:val="16"/>
        </w:rPr>
        <w:t xml:space="preserve"> Titan 5Ва. Они подтвер</w:t>
      </w:r>
      <w:r w:rsidRPr="00441F34">
        <w:rPr>
          <w:rFonts w:ascii="Times New Roman" w:hAnsi="Times New Roman"/>
          <w:color w:val="0070C0"/>
          <w:sz w:val="16"/>
          <w:szCs w:val="16"/>
        </w:rPr>
        <w:softHyphen/>
        <w:t>дили хорошие эксплуатационные харак</w:t>
      </w:r>
      <w:r w:rsidRPr="00441F34">
        <w:rPr>
          <w:rFonts w:ascii="Times New Roman" w:hAnsi="Times New Roman"/>
          <w:color w:val="0070C0"/>
          <w:sz w:val="16"/>
          <w:szCs w:val="16"/>
        </w:rPr>
        <w:softHyphen/>
        <w:t>теристики машины и ее надежность. Самолет не уступал новейшим иност</w:t>
      </w:r>
      <w:r w:rsidRPr="00441F34">
        <w:rPr>
          <w:rFonts w:ascii="Times New Roman" w:hAnsi="Times New Roman"/>
          <w:color w:val="0070C0"/>
          <w:sz w:val="16"/>
          <w:szCs w:val="16"/>
        </w:rPr>
        <w:softHyphen/>
        <w:t xml:space="preserve">ранным машинам своего класса. </w:t>
      </w:r>
    </w:p>
    <w:p w14:paraId="3494250C" w14:textId="77777777" w:rsidR="00DE062D" w:rsidRPr="00441F34" w:rsidRDefault="00DE062D" w:rsidP="00DE062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А.Н. Туполев был совершенно уверен в отличных качествах машины, поэтому в начале испытаний, после нескольких пер</w:t>
      </w:r>
      <w:r w:rsidRPr="00441F34">
        <w:rPr>
          <w:rFonts w:ascii="Times New Roman" w:hAnsi="Times New Roman"/>
          <w:color w:val="0070C0"/>
          <w:sz w:val="16"/>
          <w:szCs w:val="16"/>
        </w:rPr>
        <w:softHyphen/>
        <w:t>вых полетов, появившись на аэродроме со всей семьей, попросил Громова пока</w:t>
      </w:r>
      <w:r w:rsidRPr="00441F34">
        <w:rPr>
          <w:rFonts w:ascii="Times New Roman" w:hAnsi="Times New Roman"/>
          <w:color w:val="0070C0"/>
          <w:sz w:val="16"/>
          <w:szCs w:val="16"/>
        </w:rPr>
        <w:softHyphen/>
        <w:t>зать им Москву с высоты. Как вспоми</w:t>
      </w:r>
      <w:r w:rsidRPr="00441F34">
        <w:rPr>
          <w:rFonts w:ascii="Times New Roman" w:hAnsi="Times New Roman"/>
          <w:color w:val="0070C0"/>
          <w:sz w:val="16"/>
          <w:szCs w:val="16"/>
        </w:rPr>
        <w:softHyphen/>
        <w:t>нал потом Громов, этот поступок был воспринят всеми, как проявление дове</w:t>
      </w:r>
      <w:r w:rsidRPr="00441F34">
        <w:rPr>
          <w:rFonts w:ascii="Times New Roman" w:hAnsi="Times New Roman"/>
          <w:color w:val="0070C0"/>
          <w:sz w:val="16"/>
          <w:szCs w:val="16"/>
        </w:rPr>
        <w:softHyphen/>
        <w:t>рия к коллективу и пример высокой от</w:t>
      </w:r>
      <w:r w:rsidRPr="00441F34">
        <w:rPr>
          <w:rFonts w:ascii="Times New Roman" w:hAnsi="Times New Roman"/>
          <w:color w:val="0070C0"/>
          <w:sz w:val="16"/>
          <w:szCs w:val="16"/>
        </w:rPr>
        <w:softHyphen/>
        <w:t>ветственности за свое дело.</w:t>
      </w:r>
    </w:p>
    <w:p w14:paraId="325DFE2C" w14:textId="77777777" w:rsidR="00DE062D" w:rsidRPr="00441F34" w:rsidRDefault="00DE062D" w:rsidP="00DE062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Строился серийно с 1929 года.</w:t>
      </w:r>
    </w:p>
    <w:p w14:paraId="5AECBC65" w14:textId="77777777" w:rsidR="00DE062D" w:rsidRPr="00441F34" w:rsidRDefault="00DE062D" w:rsidP="00DE062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Построено 66 самолетов в различных модификациях. ПС—9 широко использовался в ГВФ с 1933 по 1943 год.</w:t>
      </w:r>
    </w:p>
    <w:p w14:paraId="4704436F" w14:textId="77777777" w:rsidR="00DE062D" w:rsidRPr="00441F34" w:rsidRDefault="00DE062D" w:rsidP="00DE062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Срок службы цельнометаллических самолетов АНТ—9 примерно в три раза превышал аналогичный показатель пассажирских само</w:t>
      </w:r>
      <w:r w:rsidRPr="00441F34">
        <w:rPr>
          <w:rFonts w:ascii="Times New Roman" w:hAnsi="Times New Roman"/>
          <w:color w:val="0070C0"/>
          <w:sz w:val="16"/>
          <w:szCs w:val="16"/>
        </w:rPr>
        <w:softHyphen/>
        <w:t>летов деревянной конструкции (типа К—5) (23474).</w:t>
      </w:r>
    </w:p>
    <w:p w14:paraId="099BE3E0" w14:textId="77777777" w:rsidR="00DE062D" w:rsidRPr="00441F34" w:rsidRDefault="00DE062D" w:rsidP="00DE062D">
      <w:pPr>
        <w:spacing w:after="0" w:line="240" w:lineRule="auto"/>
        <w:jc w:val="both"/>
        <w:rPr>
          <w:rFonts w:ascii="Times New Roman" w:hAnsi="Times New Roman"/>
          <w:color w:val="0070C0"/>
          <w:sz w:val="16"/>
          <w:szCs w:val="16"/>
        </w:rPr>
      </w:pPr>
    </w:p>
    <w:p w14:paraId="6A5ECB8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1B3F86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04D5D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Весной 1929 самолет АНТ-4 № 601 (по другим дан</w:t>
      </w:r>
      <w:r w:rsidRPr="00A259BD">
        <w:rPr>
          <w:rFonts w:ascii="Times New Roman" w:hAnsi="Times New Roman"/>
          <w:color w:val="000000" w:themeColor="text1"/>
          <w:sz w:val="16"/>
          <w:szCs w:val="16"/>
        </w:rPr>
        <w:softHyphen/>
        <w:t>ным — № 603), предназначенный для перелета в США получил бортовое обозначение 11В55-300 и гражданское название АНТ-4 “Страна Советов”. На носовой части фюзе</w:t>
      </w:r>
      <w:r w:rsidRPr="00A259BD">
        <w:rPr>
          <w:rFonts w:ascii="Times New Roman" w:hAnsi="Times New Roman"/>
          <w:color w:val="000000" w:themeColor="text1"/>
          <w:sz w:val="16"/>
          <w:szCs w:val="16"/>
        </w:rPr>
        <w:softHyphen/>
        <w:t>ляжа нанесли надписи: “Осоавиахим СССР” и “Страна Советов”. Поплавки отправили в Хабаровск, а второй комплект колесного шасси - в американский Сиэтл. Ресурс дви</w:t>
      </w:r>
      <w:r w:rsidRPr="00A259BD">
        <w:rPr>
          <w:rFonts w:ascii="Times New Roman" w:hAnsi="Times New Roman"/>
          <w:color w:val="000000" w:themeColor="text1"/>
          <w:sz w:val="16"/>
          <w:szCs w:val="16"/>
        </w:rPr>
        <w:softHyphen/>
        <w:t>гателей не превышал 60 ч, поэтому запас</w:t>
      </w:r>
      <w:r w:rsidRPr="00A259BD">
        <w:rPr>
          <w:rFonts w:ascii="Times New Roman" w:hAnsi="Times New Roman"/>
          <w:color w:val="000000" w:themeColor="text1"/>
          <w:sz w:val="16"/>
          <w:szCs w:val="16"/>
        </w:rPr>
        <w:softHyphen/>
        <w:t>ные моторы отправили в несколько пунктов на территории СССР и на Тихоокеанском по</w:t>
      </w:r>
      <w:r w:rsidRPr="00A259BD">
        <w:rPr>
          <w:rFonts w:ascii="Times New Roman" w:hAnsi="Times New Roman"/>
          <w:color w:val="000000" w:themeColor="text1"/>
          <w:sz w:val="16"/>
          <w:szCs w:val="16"/>
        </w:rPr>
        <w:softHyphen/>
        <w:t>бережье США. В комплект морского обору</w:t>
      </w:r>
      <w:r w:rsidRPr="00A259BD">
        <w:rPr>
          <w:rFonts w:ascii="Times New Roman" w:hAnsi="Times New Roman"/>
          <w:color w:val="000000" w:themeColor="text1"/>
          <w:sz w:val="16"/>
          <w:szCs w:val="16"/>
        </w:rPr>
        <w:softHyphen/>
        <w:t>дования самолета включили спасательные жилеты и надувную шлюпку. Для обеспече</w:t>
      </w:r>
      <w:r w:rsidRPr="00A259BD">
        <w:rPr>
          <w:rFonts w:ascii="Times New Roman" w:hAnsi="Times New Roman"/>
          <w:color w:val="000000" w:themeColor="text1"/>
          <w:sz w:val="16"/>
          <w:szCs w:val="16"/>
        </w:rPr>
        <w:softHyphen/>
        <w:t xml:space="preserve">ния возможных спасательных операций с разрешения американцев к о. </w:t>
      </w:r>
      <w:proofErr w:type="spellStart"/>
      <w:r w:rsidRPr="00A259BD">
        <w:rPr>
          <w:rFonts w:ascii="Times New Roman" w:hAnsi="Times New Roman"/>
          <w:color w:val="000000" w:themeColor="text1"/>
          <w:sz w:val="16"/>
          <w:szCs w:val="16"/>
        </w:rPr>
        <w:t>Атту</w:t>
      </w:r>
      <w:proofErr w:type="spellEnd"/>
      <w:r w:rsidRPr="00A259BD">
        <w:rPr>
          <w:rFonts w:ascii="Times New Roman" w:hAnsi="Times New Roman"/>
          <w:color w:val="000000" w:themeColor="text1"/>
          <w:sz w:val="16"/>
          <w:szCs w:val="16"/>
        </w:rPr>
        <w:t xml:space="preserve"> направи</w:t>
      </w:r>
      <w:r w:rsidRPr="00A259BD">
        <w:rPr>
          <w:rFonts w:ascii="Times New Roman" w:hAnsi="Times New Roman"/>
          <w:color w:val="000000" w:themeColor="text1"/>
          <w:sz w:val="16"/>
          <w:szCs w:val="16"/>
        </w:rPr>
        <w:softHyphen/>
        <w:t>ли корабль “Красный вымпел” (11286).</w:t>
      </w:r>
    </w:p>
    <w:p w14:paraId="331798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4106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Весной 1929 года Центральный аэрогидродинамический институт организовал в Таганроге базу для морских и летных испытаний самолета АНТ-4. Этот самолет под названием “Страна Советов” в том же году совершил выдающийся сверхдальний перелет из Москвы в г. </w:t>
      </w:r>
      <w:proofErr w:type="spellStart"/>
      <w:r w:rsidRPr="00A259BD">
        <w:rPr>
          <w:rFonts w:ascii="Times New Roman" w:hAnsi="Times New Roman"/>
          <w:color w:val="000000" w:themeColor="text1"/>
          <w:sz w:val="16"/>
          <w:szCs w:val="16"/>
        </w:rPr>
        <w:t>Сиэттл</w:t>
      </w:r>
      <w:proofErr w:type="spellEnd"/>
      <w:r w:rsidRPr="00A259BD">
        <w:rPr>
          <w:rFonts w:ascii="Times New Roman" w:hAnsi="Times New Roman"/>
          <w:color w:val="000000" w:themeColor="text1"/>
          <w:sz w:val="16"/>
          <w:szCs w:val="16"/>
        </w:rPr>
        <w:t xml:space="preserve"> (США). Об этом перелете отважного экипажа под командованием Семена Шестакова писала тогда печать всего мира.</w:t>
      </w:r>
    </w:p>
    <w:p w14:paraId="78A7A7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апреле — мае 1929 года этот самолет летал в небе Таганрога. Здесь работали тогда выдающиеся советские авиаконструкторы: Андрей Николаевич Туполев и его талантливый ученик, наш земляк, Владимир </w:t>
      </w:r>
      <w:proofErr w:type="spellStart"/>
      <w:r w:rsidRPr="00A259BD">
        <w:rPr>
          <w:rFonts w:ascii="Times New Roman" w:hAnsi="Times New Roman"/>
          <w:color w:val="000000" w:themeColor="text1"/>
          <w:sz w:val="16"/>
          <w:szCs w:val="16"/>
        </w:rPr>
        <w:t>Mихайлович</w:t>
      </w:r>
      <w:proofErr w:type="spellEnd"/>
      <w:r w:rsidRPr="00A259BD">
        <w:rPr>
          <w:rFonts w:ascii="Times New Roman" w:hAnsi="Times New Roman"/>
          <w:color w:val="000000" w:themeColor="text1"/>
          <w:sz w:val="16"/>
          <w:szCs w:val="16"/>
        </w:rPr>
        <w:t xml:space="preserve"> Петляков (11642).</w:t>
      </w:r>
    </w:p>
    <w:p w14:paraId="52C44F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66DA9B5" w14:textId="77777777" w:rsidR="00DE062D" w:rsidRPr="00441F34" w:rsidRDefault="00DE062D" w:rsidP="00DE062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весны 1929 года Н.Н.П. слал военным запросы по проблеме размещения электро- и светотехнического оборудования на ТБ2-2М17, но только 16 октября на заводе № 25 состоялось совещание «по вопросу о размещении осветительного оборудования на самолете ТБ2-2М17». При этом даже в начале марта три</w:t>
      </w:r>
      <w:r w:rsidRPr="00441F34">
        <w:rPr>
          <w:rFonts w:ascii="Times New Roman" w:hAnsi="Times New Roman"/>
          <w:color w:val="0070C0"/>
          <w:sz w:val="16"/>
          <w:szCs w:val="16"/>
        </w:rPr>
        <w:softHyphen/>
        <w:t>дцатого года военные не могли определиться, какую из двух предложенных заводом № 25 схем электрооборудования выбрать (23344).</w:t>
      </w:r>
    </w:p>
    <w:p w14:paraId="28145CCC" w14:textId="77777777" w:rsidR="00DE062D" w:rsidRPr="00441F34" w:rsidRDefault="00DE062D" w:rsidP="00DE062D">
      <w:pPr>
        <w:spacing w:after="0" w:line="240" w:lineRule="auto"/>
        <w:jc w:val="both"/>
        <w:rPr>
          <w:rFonts w:ascii="Times New Roman" w:hAnsi="Times New Roman"/>
          <w:color w:val="0070C0"/>
          <w:sz w:val="16"/>
          <w:szCs w:val="16"/>
        </w:rPr>
      </w:pPr>
    </w:p>
    <w:p w14:paraId="501D1F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Весной 1929 г. испытания стали проводить и на вто</w:t>
      </w:r>
      <w:r w:rsidRPr="00A259BD">
        <w:rPr>
          <w:rFonts w:ascii="Times New Roman" w:hAnsi="Times New Roman"/>
          <w:color w:val="000000" w:themeColor="text1"/>
          <w:sz w:val="16"/>
          <w:szCs w:val="16"/>
        </w:rPr>
        <w:softHyphen/>
        <w:t>ром экземпляре П-2. 10 августа 1929 г. на самолете уста</w:t>
      </w:r>
      <w:r w:rsidRPr="00A259BD">
        <w:rPr>
          <w:rFonts w:ascii="Times New Roman" w:hAnsi="Times New Roman"/>
          <w:color w:val="000000" w:themeColor="text1"/>
          <w:sz w:val="16"/>
          <w:szCs w:val="16"/>
        </w:rPr>
        <w:softHyphen/>
        <w:t xml:space="preserve">новили увеличенный по площади руль высоты. Летчик-испытатель </w:t>
      </w:r>
      <w:proofErr w:type="spellStart"/>
      <w:r w:rsidRPr="00A259BD">
        <w:rPr>
          <w:rFonts w:ascii="Times New Roman" w:hAnsi="Times New Roman"/>
          <w:color w:val="000000" w:themeColor="text1"/>
          <w:sz w:val="16"/>
          <w:szCs w:val="16"/>
        </w:rPr>
        <w:t>Б.Л.Бухгольц</w:t>
      </w:r>
      <w:proofErr w:type="spellEnd"/>
      <w:r w:rsidRPr="00A259BD">
        <w:rPr>
          <w:rFonts w:ascii="Times New Roman" w:hAnsi="Times New Roman"/>
          <w:color w:val="000000" w:themeColor="text1"/>
          <w:sz w:val="16"/>
          <w:szCs w:val="16"/>
        </w:rPr>
        <w:t xml:space="preserve"> поднял машину в воз</w:t>
      </w:r>
      <w:r w:rsidRPr="00A259BD">
        <w:rPr>
          <w:rFonts w:ascii="Times New Roman" w:hAnsi="Times New Roman"/>
          <w:color w:val="000000" w:themeColor="text1"/>
          <w:sz w:val="16"/>
          <w:szCs w:val="16"/>
        </w:rPr>
        <w:softHyphen/>
        <w:t>дух. Он отметил, что штопорные свойства улучшились. Приходилось прилагать большие усилия, чтобы удер</w:t>
      </w:r>
      <w:r w:rsidRPr="00A259BD">
        <w:rPr>
          <w:rFonts w:ascii="Times New Roman" w:hAnsi="Times New Roman"/>
          <w:color w:val="000000" w:themeColor="text1"/>
          <w:sz w:val="16"/>
          <w:szCs w:val="16"/>
        </w:rPr>
        <w:softHyphen/>
        <w:t>жать самолет в штопоре. Завершив этот цикл испыта</w:t>
      </w:r>
      <w:r w:rsidRPr="00A259BD">
        <w:rPr>
          <w:rFonts w:ascii="Times New Roman" w:hAnsi="Times New Roman"/>
          <w:color w:val="000000" w:themeColor="text1"/>
          <w:sz w:val="16"/>
          <w:szCs w:val="16"/>
        </w:rPr>
        <w:softHyphen/>
        <w:t>ний, Бухгольц ввел П-2 в иммельман. Но внезапно последовал резкий удар и сильная перегрузка прижала летчика к правому борту. Машина стала падать. Бух</w:t>
      </w:r>
      <w:r w:rsidRPr="00A259BD">
        <w:rPr>
          <w:rFonts w:ascii="Times New Roman" w:hAnsi="Times New Roman"/>
          <w:color w:val="000000" w:themeColor="text1"/>
          <w:sz w:val="16"/>
          <w:szCs w:val="16"/>
        </w:rPr>
        <w:softHyphen/>
        <w:t>гольц покинул П-2 и спасся на парашюте. Об этом со</w:t>
      </w:r>
      <w:r w:rsidRPr="00A259BD">
        <w:rPr>
          <w:rFonts w:ascii="Times New Roman" w:hAnsi="Times New Roman"/>
          <w:color w:val="000000" w:themeColor="text1"/>
          <w:sz w:val="16"/>
          <w:szCs w:val="16"/>
        </w:rPr>
        <w:softHyphen/>
        <w:t>бытии он так писал в письме жене:</w:t>
      </w:r>
    </w:p>
    <w:p w14:paraId="084D476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субботу я, как обыкновенно, летал и, возвращаясь после выполнения полета на посадку, на высоте 1200 м потерял в воздухе крыло и самолет с ужасающей скоро</w:t>
      </w:r>
      <w:r w:rsidRPr="00A259BD">
        <w:rPr>
          <w:rFonts w:ascii="Times New Roman" w:hAnsi="Times New Roman"/>
          <w:color w:val="000000" w:themeColor="text1"/>
          <w:sz w:val="16"/>
          <w:szCs w:val="16"/>
        </w:rPr>
        <w:softHyphen/>
        <w:t>стью стал падать неуправляемым комком. Пришлось прибегнуть к парашюту, которым я и воспользовался... Самолет упал на аэродроме и разбился, как я еще не ра</w:t>
      </w:r>
      <w:r w:rsidRPr="00A259BD">
        <w:rPr>
          <w:rFonts w:ascii="Times New Roman" w:hAnsi="Times New Roman"/>
          <w:color w:val="000000" w:themeColor="text1"/>
          <w:sz w:val="16"/>
          <w:szCs w:val="16"/>
        </w:rPr>
        <w:softHyphen/>
        <w:t>зу не видел, - все, даже мотор, разлетелось на мелкие ку</w:t>
      </w:r>
      <w:r w:rsidRPr="00A259BD">
        <w:rPr>
          <w:rFonts w:ascii="Times New Roman" w:hAnsi="Times New Roman"/>
          <w:color w:val="000000" w:themeColor="text1"/>
          <w:sz w:val="16"/>
          <w:szCs w:val="16"/>
        </w:rPr>
        <w:softHyphen/>
        <w:t xml:space="preserve">сочки, сам же благополучно спустился и повис на деревьях сада при клубе “Авиаработник” против дома </w:t>
      </w:r>
      <w:proofErr w:type="spellStart"/>
      <w:r w:rsidRPr="00A259BD">
        <w:rPr>
          <w:rFonts w:ascii="Times New Roman" w:hAnsi="Times New Roman"/>
          <w:color w:val="000000" w:themeColor="text1"/>
          <w:sz w:val="16"/>
          <w:szCs w:val="16"/>
        </w:rPr>
        <w:t>Сытниковых</w:t>
      </w:r>
      <w:proofErr w:type="spellEnd"/>
      <w:r w:rsidRPr="00A259BD">
        <w:rPr>
          <w:rFonts w:ascii="Times New Roman" w:hAnsi="Times New Roman"/>
          <w:color w:val="000000" w:themeColor="text1"/>
          <w:sz w:val="16"/>
          <w:szCs w:val="16"/>
        </w:rPr>
        <w:t xml:space="preserve"> - там, где мы смотрели картину, по</w:t>
      </w:r>
      <w:r w:rsidRPr="00A259BD">
        <w:rPr>
          <w:rFonts w:ascii="Times New Roman" w:hAnsi="Times New Roman"/>
          <w:color w:val="000000" w:themeColor="text1"/>
          <w:sz w:val="16"/>
          <w:szCs w:val="16"/>
        </w:rPr>
        <w:softHyphen/>
        <w:t>мнишь? Вечером немного выпили, и сейчас все в поряд</w:t>
      </w:r>
      <w:r w:rsidRPr="00A259BD">
        <w:rPr>
          <w:rFonts w:ascii="Times New Roman" w:hAnsi="Times New Roman"/>
          <w:color w:val="000000" w:themeColor="text1"/>
          <w:sz w:val="16"/>
          <w:szCs w:val="16"/>
        </w:rPr>
        <w:softHyphen/>
        <w:t>ке, и чувствую себя хорошо. Боялся нервного шока, но его нет и в помине. "</w:t>
      </w:r>
      <w:proofErr w:type="spellStart"/>
      <w:r w:rsidRPr="00A259BD">
        <w:rPr>
          <w:rFonts w:ascii="Times New Roman" w:hAnsi="Times New Roman"/>
          <w:color w:val="000000" w:themeColor="text1"/>
          <w:sz w:val="16"/>
          <w:szCs w:val="16"/>
        </w:rPr>
        <w:t>Unkrant</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vergeht</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nicht</w:t>
      </w:r>
      <w:proofErr w:type="spellEnd"/>
      <w:r w:rsidRPr="00A259BD">
        <w:rPr>
          <w:rFonts w:ascii="Times New Roman" w:hAnsi="Times New Roman"/>
          <w:color w:val="000000" w:themeColor="text1"/>
          <w:sz w:val="16"/>
          <w:szCs w:val="16"/>
        </w:rPr>
        <w:t>!" (“Мы не больны!”) Радуюсь жизни”. Специально созданная комиссия, проанализировав показания летчика и обломки самолета, выяснила, что при энергичном вводе П-2 в иммельман сломался узел крепления нижнего крыла, облегченный по сравнению с 2У-БЗ, но не проходивший статические испытания. По</w:t>
      </w:r>
      <w:r w:rsidRPr="00A259BD">
        <w:rPr>
          <w:rFonts w:ascii="Times New Roman" w:hAnsi="Times New Roman"/>
          <w:color w:val="000000" w:themeColor="text1"/>
          <w:sz w:val="16"/>
          <w:szCs w:val="16"/>
        </w:rPr>
        <w:softHyphen/>
        <w:t xml:space="preserve">сле этого начал разрушаться лонжерон нижнего левого крыла, крыло оторвалось, ударило по фюзеляжу, ломая его хвостовую часть. Потом оторвалась </w:t>
      </w:r>
      <w:r w:rsidRPr="00A259BD">
        <w:rPr>
          <w:rFonts w:ascii="Times New Roman" w:hAnsi="Times New Roman"/>
          <w:color w:val="000000" w:themeColor="text1"/>
          <w:sz w:val="16"/>
          <w:szCs w:val="16"/>
        </w:rPr>
        <w:lastRenderedPageBreak/>
        <w:t>левая консоль верхнего крыла. По результатам анализа причин аварии было приня</w:t>
      </w:r>
      <w:r w:rsidRPr="00A259BD">
        <w:rPr>
          <w:rFonts w:ascii="Times New Roman" w:hAnsi="Times New Roman"/>
          <w:color w:val="000000" w:themeColor="text1"/>
          <w:sz w:val="16"/>
          <w:szCs w:val="16"/>
        </w:rPr>
        <w:softHyphen/>
        <w:t>то решение продолжить постройку П-2, а головной се</w:t>
      </w:r>
      <w:r w:rsidRPr="00A259BD">
        <w:rPr>
          <w:rFonts w:ascii="Times New Roman" w:hAnsi="Times New Roman"/>
          <w:color w:val="000000" w:themeColor="text1"/>
          <w:sz w:val="16"/>
          <w:szCs w:val="16"/>
        </w:rPr>
        <w:softHyphen/>
        <w:t>рийный экземпляр испытать в Ленинграде с узлами крепления нижнего крыла от истребителя И-3 (10667,91).</w:t>
      </w:r>
    </w:p>
    <w:p w14:paraId="17B97A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AD08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Весной 1929 г. Д-2 с двигателем БМВ-6 построили на московском заводе № 25. За</w:t>
      </w:r>
      <w:r w:rsidRPr="00A259BD">
        <w:rPr>
          <w:rFonts w:ascii="Times New Roman" w:hAnsi="Times New Roman"/>
          <w:color w:val="000000" w:themeColor="text1"/>
          <w:sz w:val="16"/>
          <w:szCs w:val="16"/>
        </w:rPr>
        <w:softHyphen/>
        <w:t>водские испытания велись с 15 марта по июль 1929 г. Самолет облетывал Б. Л. Бухгольц; по его мнению, Д-2 не уступал но свои характеристикам большинству зару</w:t>
      </w:r>
      <w:r w:rsidRPr="00A259BD">
        <w:rPr>
          <w:rFonts w:ascii="Times New Roman" w:hAnsi="Times New Roman"/>
          <w:color w:val="000000" w:themeColor="text1"/>
          <w:sz w:val="16"/>
          <w:szCs w:val="16"/>
        </w:rPr>
        <w:softHyphen/>
        <w:t>бежных одноместных истребителей, а при установке более мощного вооружения мог бы стать более эффективным, чем одноме</w:t>
      </w:r>
      <w:r w:rsidRPr="00A259BD">
        <w:rPr>
          <w:rFonts w:ascii="Times New Roman" w:hAnsi="Times New Roman"/>
          <w:color w:val="000000" w:themeColor="text1"/>
          <w:sz w:val="16"/>
          <w:szCs w:val="16"/>
        </w:rPr>
        <w:softHyphen/>
        <w:t>стные машины. Вместе с тем Бухгольц от</w:t>
      </w:r>
      <w:r w:rsidRPr="00A259BD">
        <w:rPr>
          <w:rFonts w:ascii="Times New Roman" w:hAnsi="Times New Roman"/>
          <w:color w:val="000000" w:themeColor="text1"/>
          <w:sz w:val="16"/>
          <w:szCs w:val="16"/>
        </w:rPr>
        <w:softHyphen/>
        <w:t>мечал, что Д-2 по причине значительной задней центровки имеет неудовлетвори</w:t>
      </w:r>
      <w:r w:rsidRPr="00A259BD">
        <w:rPr>
          <w:rFonts w:ascii="Times New Roman" w:hAnsi="Times New Roman"/>
          <w:color w:val="000000" w:themeColor="text1"/>
          <w:sz w:val="16"/>
          <w:szCs w:val="16"/>
        </w:rPr>
        <w:softHyphen/>
        <w:t>тельные характеристики штопора. После проведенных испытаний самолет длительное время - практически в течение года - оставался невостребованным и ни</w:t>
      </w:r>
      <w:r w:rsidRPr="00A259BD">
        <w:rPr>
          <w:rFonts w:ascii="Times New Roman" w:hAnsi="Times New Roman"/>
          <w:color w:val="000000" w:themeColor="text1"/>
          <w:sz w:val="16"/>
          <w:szCs w:val="16"/>
        </w:rPr>
        <w:softHyphen/>
        <w:t>каким переделкам не подвергался. За это время арестовали Поликарпова, а авиаза</w:t>
      </w:r>
      <w:r w:rsidRPr="00A259BD">
        <w:rPr>
          <w:rFonts w:ascii="Times New Roman" w:hAnsi="Times New Roman"/>
          <w:color w:val="000000" w:themeColor="text1"/>
          <w:sz w:val="16"/>
          <w:szCs w:val="16"/>
        </w:rPr>
        <w:softHyphen/>
        <w:t>вод № 25 включили в состав авиазавода № 39 (11134).</w:t>
      </w:r>
    </w:p>
    <w:p w14:paraId="262ADCE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6966AE" w14:textId="77777777" w:rsidR="00B52D72" w:rsidRPr="00A259BD" w:rsidRDefault="00B52D7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Весной 1929 года на за</w:t>
      </w:r>
      <w:r w:rsidRPr="00A259BD">
        <w:rPr>
          <w:rFonts w:ascii="Times New Roman" w:hAnsi="Times New Roman"/>
          <w:color w:val="000000" w:themeColor="text1"/>
          <w:sz w:val="16"/>
          <w:szCs w:val="16"/>
        </w:rPr>
        <w:softHyphen/>
        <w:t>воде №25 в Москве построили Д-2 с двигателем БМВ-6. Это был самолет, конструктив</w:t>
      </w:r>
      <w:r w:rsidRPr="00A259BD">
        <w:rPr>
          <w:rFonts w:ascii="Times New Roman" w:hAnsi="Times New Roman"/>
          <w:color w:val="000000" w:themeColor="text1"/>
          <w:sz w:val="16"/>
          <w:szCs w:val="16"/>
        </w:rPr>
        <w:softHyphen/>
        <w:t>но повторяющий одноместный истребитель И-3. Конструкция смешанная, фюзеляж - деревянный монокок, крылья деревянные с полотняной обшивкой, хвостовое оперение и элероны дюралевые, обшиты полотном. Вооружение состояло из двух синхронных пулеметов ПВ-1 и одного-двух пулеметов ДА на кормовой оборонительной установке. Его за</w:t>
      </w:r>
      <w:r w:rsidRPr="00A259BD">
        <w:rPr>
          <w:rFonts w:ascii="Times New Roman" w:hAnsi="Times New Roman"/>
          <w:color w:val="000000" w:themeColor="text1"/>
          <w:sz w:val="16"/>
          <w:szCs w:val="16"/>
        </w:rPr>
        <w:softHyphen/>
        <w:t>водские испытания велись с 15 марта по июль 1929 года. Летал Бенедикт Бухгольц, который считал, что Д-2 не уступает по своим харак</w:t>
      </w:r>
      <w:r w:rsidRPr="00A259BD">
        <w:rPr>
          <w:rFonts w:ascii="Times New Roman" w:hAnsi="Times New Roman"/>
          <w:color w:val="000000" w:themeColor="text1"/>
          <w:sz w:val="16"/>
          <w:szCs w:val="16"/>
        </w:rPr>
        <w:softHyphen/>
        <w:t>теристикам большинству зарубежных одно</w:t>
      </w:r>
      <w:r w:rsidRPr="00A259BD">
        <w:rPr>
          <w:rFonts w:ascii="Times New Roman" w:hAnsi="Times New Roman"/>
          <w:color w:val="000000" w:themeColor="text1"/>
          <w:sz w:val="16"/>
          <w:szCs w:val="16"/>
        </w:rPr>
        <w:softHyphen/>
        <w:t>местных истребителей, а при установке мощ</w:t>
      </w:r>
      <w:r w:rsidRPr="00A259BD">
        <w:rPr>
          <w:rFonts w:ascii="Times New Roman" w:hAnsi="Times New Roman"/>
          <w:color w:val="000000" w:themeColor="text1"/>
          <w:sz w:val="16"/>
          <w:szCs w:val="16"/>
        </w:rPr>
        <w:softHyphen/>
        <w:t>ного вооружения может стать более эффек</w:t>
      </w:r>
      <w:r w:rsidRPr="00A259BD">
        <w:rPr>
          <w:rFonts w:ascii="Times New Roman" w:hAnsi="Times New Roman"/>
          <w:color w:val="000000" w:themeColor="text1"/>
          <w:sz w:val="16"/>
          <w:szCs w:val="16"/>
        </w:rPr>
        <w:softHyphen/>
        <w:t>тивным, чем одноместные машины. Однов</w:t>
      </w:r>
      <w:r w:rsidRPr="00A259BD">
        <w:rPr>
          <w:rFonts w:ascii="Times New Roman" w:hAnsi="Times New Roman"/>
          <w:color w:val="000000" w:themeColor="text1"/>
          <w:sz w:val="16"/>
          <w:szCs w:val="16"/>
        </w:rPr>
        <w:softHyphen/>
        <w:t>ременно, Бухгольц указывал, что Д-2 по при</w:t>
      </w:r>
      <w:r w:rsidRPr="00A259BD">
        <w:rPr>
          <w:rFonts w:ascii="Times New Roman" w:hAnsi="Times New Roman"/>
          <w:color w:val="000000" w:themeColor="text1"/>
          <w:sz w:val="16"/>
          <w:szCs w:val="16"/>
        </w:rPr>
        <w:softHyphen/>
        <w:t>чине значительной задней центровки имеет неудовлетворительные характеристики што</w:t>
      </w:r>
      <w:r w:rsidRPr="00A259BD">
        <w:rPr>
          <w:rFonts w:ascii="Times New Roman" w:hAnsi="Times New Roman"/>
          <w:color w:val="000000" w:themeColor="text1"/>
          <w:sz w:val="16"/>
          <w:szCs w:val="16"/>
        </w:rPr>
        <w:softHyphen/>
        <w:t>пора (12295).</w:t>
      </w:r>
    </w:p>
    <w:p w14:paraId="4794F61B" w14:textId="77777777" w:rsidR="00B52D72" w:rsidRPr="00A259BD" w:rsidRDefault="00B52D72" w:rsidP="009236E3">
      <w:pPr>
        <w:spacing w:after="0" w:line="240" w:lineRule="auto"/>
        <w:jc w:val="both"/>
        <w:rPr>
          <w:rFonts w:ascii="Times New Roman" w:hAnsi="Times New Roman"/>
          <w:color w:val="000000" w:themeColor="text1"/>
          <w:sz w:val="16"/>
          <w:szCs w:val="16"/>
        </w:rPr>
      </w:pPr>
    </w:p>
    <w:p w14:paraId="38B23B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Весной 1929 началось проектирование АНТ-23 (И-12). ВИ - </w:t>
      </w:r>
      <w:proofErr w:type="spellStart"/>
      <w:r w:rsidRPr="00A259BD">
        <w:rPr>
          <w:rFonts w:ascii="Times New Roman" w:hAnsi="Times New Roman"/>
          <w:color w:val="000000" w:themeColor="text1"/>
          <w:sz w:val="16"/>
          <w:szCs w:val="16"/>
        </w:rPr>
        <w:t>В.Н.Чернышев</w:t>
      </w:r>
      <w:proofErr w:type="spellEnd"/>
      <w:r w:rsidRPr="00A259BD">
        <w:rPr>
          <w:rFonts w:ascii="Times New Roman" w:hAnsi="Times New Roman"/>
          <w:color w:val="000000" w:themeColor="text1"/>
          <w:sz w:val="16"/>
          <w:szCs w:val="16"/>
        </w:rPr>
        <w:t xml:space="preserve"> (2072,70).</w:t>
      </w:r>
    </w:p>
    <w:p w14:paraId="28B1F6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EEF9DA" w14:textId="77777777" w:rsidR="00765F63" w:rsidRPr="00A259BD" w:rsidRDefault="00765F63" w:rsidP="009236E3">
      <w:pPr>
        <w:spacing w:after="0" w:line="240" w:lineRule="auto"/>
        <w:jc w:val="both"/>
        <w:rPr>
          <w:rFonts w:ascii="Times New Roman" w:hAnsi="Times New Roman"/>
          <w:color w:val="000000" w:themeColor="text1"/>
          <w:sz w:val="16"/>
          <w:szCs w:val="16"/>
        </w:rPr>
      </w:pPr>
      <w:bookmarkStart w:id="53" w:name="_Hlk75784663"/>
      <w:r w:rsidRPr="00A259BD">
        <w:rPr>
          <w:rFonts w:ascii="Times New Roman" w:hAnsi="Times New Roman"/>
          <w:color w:val="000000" w:themeColor="text1"/>
          <w:sz w:val="16"/>
          <w:szCs w:val="16"/>
        </w:rPr>
        <w:t xml:space="preserve">Весной 1929 г. началось проектирование самолета АНТ-23 (И-12). </w:t>
      </w:r>
    </w:p>
    <w:p w14:paraId="4EF3F40A" w14:textId="77777777" w:rsidR="00765F63" w:rsidRPr="00A259BD" w:rsidRDefault="00765F6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Проектировался в АГОС ЦАГИ по инициативе и под непосредственным руководством начальника бригады Виктора Николаевича Чернышова для перехвата бомбардировщиков противника на высотах до 5000 м и на значительном удалении от базы. Поскольку ожидалось резкое повышение живучести самолетов этого класса (внедрялись цельнометаллические конструкции и многомоторные силовые установки уже были внедрены, обсуждались внедрение бронирования, проектирования баков и наддува их инертным газом, а также установка огнетушителей) Чернышовым был поднят вопрос о создании в АГОС специального самолета-перехватчика, вооруженного двумя 76-мм динамо-реактивными пушками АПК-4 конструкции Леонида Васильевича </w:t>
      </w:r>
      <w:proofErr w:type="spellStart"/>
      <w:r w:rsidRPr="00A259BD">
        <w:rPr>
          <w:rFonts w:ascii="Times New Roman" w:hAnsi="Times New Roman"/>
          <w:color w:val="000000" w:themeColor="text1"/>
          <w:sz w:val="16"/>
          <w:szCs w:val="16"/>
        </w:rPr>
        <w:t>Курчевского</w:t>
      </w:r>
      <w:proofErr w:type="spellEnd"/>
      <w:r w:rsidRPr="00A259BD">
        <w:rPr>
          <w:rFonts w:ascii="Times New Roman" w:hAnsi="Times New Roman"/>
          <w:color w:val="000000" w:themeColor="text1"/>
          <w:sz w:val="16"/>
          <w:szCs w:val="16"/>
        </w:rPr>
        <w:t>.</w:t>
      </w:r>
    </w:p>
    <w:p w14:paraId="7FE60749" w14:textId="77777777" w:rsidR="00765F63" w:rsidRPr="00A259BD" w:rsidRDefault="00765F6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обеспечения установки пушечного вооружения при достаточно высоких летных данных (прежде всего, дальность и скорость) было рассмотрено много вариантов компоновок и силовых установок: одномоторная или двухмоторная с двигателями Бристоль «Юпитер» VI (импортный повышенной по сравнению с серийным советским М-22 мощностью), Пратт-Уитни «</w:t>
      </w:r>
      <w:proofErr w:type="spellStart"/>
      <w:r w:rsidRPr="00A259BD">
        <w:rPr>
          <w:rFonts w:ascii="Times New Roman" w:hAnsi="Times New Roman"/>
          <w:color w:val="000000" w:themeColor="text1"/>
          <w:sz w:val="16"/>
          <w:szCs w:val="16"/>
        </w:rPr>
        <w:t>Хорнет</w:t>
      </w:r>
      <w:proofErr w:type="spellEnd"/>
      <w:r w:rsidRPr="00A259BD">
        <w:rPr>
          <w:rFonts w:ascii="Times New Roman" w:hAnsi="Times New Roman"/>
          <w:color w:val="000000" w:themeColor="text1"/>
          <w:sz w:val="16"/>
          <w:szCs w:val="16"/>
        </w:rPr>
        <w:t>» (США), а также М-29 и М-34 (оба – отечественные);  одномоторна и двухмоторная; обычная компоновка с размещением одного мотора в носу самолета; двухбалочная одномоторная компоновка с толкающим винтом и размещением пушек в носовой части, а мотора – в хвостовой; обычная двухмоторная компоновка с размещением силовой установки на крыле; двухбалочная двухмоторная компоновка с тянущим и толкающим винтами и размещением пушек на крыле, а моторов – в носовой и хвостовой частях гондолы фюзеляжа. Проект был представлен НТК УВВС 25.10.30 г. в нескольких вариантах (одноместный и двухместный со всеми этими вариантами силовой установки). Предварительным ТТТ ВВС удовлетворял только вариант с М-29, но не было уверенности в возможности запуска этого мотора в серию и АГОС было поручено проработать вариант с 2 Ю-VI (23136).</w:t>
      </w:r>
    </w:p>
    <w:p w14:paraId="36B26BB0" w14:textId="77777777" w:rsidR="00765F63" w:rsidRPr="00A259BD" w:rsidRDefault="00765F63" w:rsidP="009236E3">
      <w:pPr>
        <w:spacing w:after="0" w:line="240" w:lineRule="auto"/>
        <w:jc w:val="both"/>
        <w:rPr>
          <w:rFonts w:ascii="Times New Roman" w:hAnsi="Times New Roman"/>
          <w:color w:val="000000" w:themeColor="text1"/>
          <w:sz w:val="16"/>
          <w:szCs w:val="16"/>
          <w:lang w:eastAsia="ru-RU" w:bidi="ru-RU"/>
        </w:rPr>
      </w:pPr>
    </w:p>
    <w:bookmarkEnd w:id="53"/>
    <w:p w14:paraId="4E429D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Весной 1929 на базе И-3 был разработан и построен двухместный истребитель Н.Н.П. ДИ-2 (3410,14).</w:t>
      </w:r>
    </w:p>
    <w:p w14:paraId="6C9FF8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F2166F" w14:textId="77777777" w:rsidR="00765F63" w:rsidRPr="00A259BD" w:rsidRDefault="00765F63" w:rsidP="009236E3">
      <w:pPr>
        <w:spacing w:after="0" w:line="240" w:lineRule="auto"/>
        <w:jc w:val="both"/>
        <w:rPr>
          <w:rFonts w:ascii="Times New Roman" w:hAnsi="Times New Roman"/>
          <w:color w:val="000000" w:themeColor="text1"/>
          <w:sz w:val="16"/>
          <w:szCs w:val="16"/>
          <w:lang w:eastAsia="ru-RU" w:bidi="ru-RU"/>
        </w:rPr>
      </w:pPr>
      <w:r w:rsidRPr="00A259BD">
        <w:rPr>
          <w:rFonts w:ascii="Times New Roman" w:hAnsi="Times New Roman"/>
          <w:color w:val="000000" w:themeColor="text1"/>
          <w:sz w:val="16"/>
          <w:szCs w:val="16"/>
          <w:lang w:eastAsia="ru-RU" w:bidi="ru-RU"/>
        </w:rPr>
        <w:t>Весна 1929 г. началась с ремонта РОМ-1 под руковод</w:t>
      </w:r>
      <w:r w:rsidRPr="00A259BD">
        <w:rPr>
          <w:rFonts w:ascii="Times New Roman" w:hAnsi="Times New Roman"/>
          <w:color w:val="000000" w:themeColor="text1"/>
          <w:sz w:val="16"/>
          <w:szCs w:val="16"/>
          <w:lang w:eastAsia="ru-RU" w:bidi="ru-RU"/>
        </w:rPr>
        <w:softHyphen/>
        <w:t>ством прибывшего из Москвы П.Д. Самсонова - посколь</w:t>
      </w:r>
      <w:r w:rsidRPr="00A259BD">
        <w:rPr>
          <w:rFonts w:ascii="Times New Roman" w:hAnsi="Times New Roman"/>
          <w:color w:val="000000" w:themeColor="text1"/>
          <w:sz w:val="16"/>
          <w:szCs w:val="16"/>
          <w:lang w:eastAsia="ru-RU" w:bidi="ru-RU"/>
        </w:rPr>
        <w:softHyphen/>
        <w:t>ку подходящего по размеру ангара на заводе пока не бы</w:t>
      </w:r>
      <w:r w:rsidRPr="00A259BD">
        <w:rPr>
          <w:rFonts w:ascii="Times New Roman" w:hAnsi="Times New Roman"/>
          <w:color w:val="000000" w:themeColor="text1"/>
          <w:sz w:val="16"/>
          <w:szCs w:val="16"/>
          <w:lang w:eastAsia="ru-RU" w:bidi="ru-RU"/>
        </w:rPr>
        <w:softHyphen/>
        <w:t>ло, гидросамолет провел зиму на открытом воздухе, с соответствующими негативными последствиями для его конструкции (20325).</w:t>
      </w:r>
    </w:p>
    <w:p w14:paraId="77A00523" w14:textId="77777777" w:rsidR="00765F63" w:rsidRPr="00A259BD" w:rsidRDefault="00765F63" w:rsidP="009236E3">
      <w:pPr>
        <w:autoSpaceDE w:val="0"/>
        <w:autoSpaceDN w:val="0"/>
        <w:adjustRightInd w:val="0"/>
        <w:spacing w:after="0" w:line="240" w:lineRule="auto"/>
        <w:jc w:val="both"/>
        <w:rPr>
          <w:rFonts w:ascii="Times New Roman" w:hAnsi="Times New Roman"/>
          <w:color w:val="000000" w:themeColor="text1"/>
          <w:sz w:val="16"/>
          <w:szCs w:val="16"/>
        </w:rPr>
      </w:pPr>
    </w:p>
    <w:p w14:paraId="501EAC37" w14:textId="170360AA"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Весной 1929 ОПО-3 вместе со всей тематикой передали </w:t>
      </w:r>
      <w:proofErr w:type="spellStart"/>
      <w:r w:rsidRPr="00A259BD">
        <w:rPr>
          <w:rFonts w:ascii="Times New Roman" w:hAnsi="Times New Roman"/>
          <w:color w:val="000000" w:themeColor="text1"/>
          <w:sz w:val="16"/>
          <w:szCs w:val="16"/>
        </w:rPr>
        <w:t>П.Э.Ришару</w:t>
      </w:r>
      <w:proofErr w:type="spellEnd"/>
      <w:r w:rsidRPr="00A259BD">
        <w:rPr>
          <w:rFonts w:ascii="Times New Roman" w:hAnsi="Times New Roman"/>
          <w:color w:val="000000" w:themeColor="text1"/>
          <w:sz w:val="16"/>
          <w:szCs w:val="16"/>
        </w:rPr>
        <w:t xml:space="preserve"> и он стал называться ОПО-4 (92,378).</w:t>
      </w:r>
    </w:p>
    <w:p w14:paraId="43C192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есть испытания лодок Д.П.Г. завершал уже Ришар. ГПУ заботилось - пригласил, то есть не просто сажал - искал пути.</w:t>
      </w:r>
    </w:p>
    <w:p w14:paraId="741733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другим данным это произошло в начале 1929</w:t>
      </w:r>
    </w:p>
    <w:p w14:paraId="392160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Весной 1929 закончили серийное производство Р-3 сделав 79 и заменил его в серии Р-5 (80,182). Сделали 7000 (66,150).</w:t>
      </w:r>
    </w:p>
    <w:p w14:paraId="5090EA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8987A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Весной 1929 года значительную часть сотруд</w:t>
      </w:r>
      <w:r w:rsidRPr="00A259BD">
        <w:rPr>
          <w:rFonts w:ascii="Times New Roman" w:hAnsi="Times New Roman"/>
          <w:color w:val="000000" w:themeColor="text1"/>
          <w:sz w:val="16"/>
          <w:szCs w:val="16"/>
        </w:rPr>
        <w:softHyphen/>
        <w:t>ников ОПО-3 перевели в ОПО-4, который возгла</w:t>
      </w:r>
      <w:r w:rsidRPr="00A259BD">
        <w:rPr>
          <w:rFonts w:ascii="Times New Roman" w:hAnsi="Times New Roman"/>
          <w:color w:val="000000" w:themeColor="text1"/>
          <w:sz w:val="16"/>
          <w:szCs w:val="16"/>
        </w:rPr>
        <w:softHyphen/>
        <w:t xml:space="preserve">вил французский конструктор Поль </w:t>
      </w:r>
      <w:proofErr w:type="spellStart"/>
      <w:r w:rsidRPr="00A259BD">
        <w:rPr>
          <w:rFonts w:ascii="Times New Roman" w:hAnsi="Times New Roman"/>
          <w:color w:val="000000" w:themeColor="text1"/>
          <w:sz w:val="16"/>
          <w:szCs w:val="16"/>
        </w:rPr>
        <w:t>Эмэ</w:t>
      </w:r>
      <w:proofErr w:type="spellEnd"/>
      <w:r w:rsidRPr="00A259BD">
        <w:rPr>
          <w:rFonts w:ascii="Times New Roman" w:hAnsi="Times New Roman"/>
          <w:color w:val="000000" w:themeColor="text1"/>
          <w:sz w:val="16"/>
          <w:szCs w:val="16"/>
        </w:rPr>
        <w:t xml:space="preserve"> Ришар, разрабатывавший торпедоносец открытого моря ТОМ-1, напоминавший поплавковый вариант ТБ-1. Но эта организация просуществовала не</w:t>
      </w:r>
      <w:r w:rsidRPr="00A259BD">
        <w:rPr>
          <w:rFonts w:ascii="Times New Roman" w:hAnsi="Times New Roman"/>
          <w:color w:val="000000" w:themeColor="text1"/>
          <w:sz w:val="16"/>
          <w:szCs w:val="16"/>
        </w:rPr>
        <w:softHyphen/>
        <w:t>долго и весной 1930 года была расформирована (11160).</w:t>
      </w:r>
    </w:p>
    <w:p w14:paraId="5125362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9C64DF" w14:textId="77777777" w:rsidR="00B52D72" w:rsidRPr="00A259BD" w:rsidRDefault="00B52D7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Весной 1929 года два чехословацких ВН-33 (зав. №1004 и №1005) поступили в СССР для про</w:t>
      </w:r>
      <w:r w:rsidRPr="00A259BD">
        <w:rPr>
          <w:rFonts w:ascii="Times New Roman" w:hAnsi="Times New Roman"/>
          <w:color w:val="000000" w:themeColor="text1"/>
          <w:sz w:val="16"/>
          <w:szCs w:val="16"/>
        </w:rPr>
        <w:softHyphen/>
        <w:t>ведения тестирования. Са</w:t>
      </w:r>
      <w:r w:rsidRPr="00A259BD">
        <w:rPr>
          <w:rFonts w:ascii="Times New Roman" w:hAnsi="Times New Roman"/>
          <w:color w:val="000000" w:themeColor="text1"/>
          <w:sz w:val="16"/>
          <w:szCs w:val="16"/>
        </w:rPr>
        <w:softHyphen/>
        <w:t>молеты прибыли без вооружения, поэтому их оснастили отечественными пулеметами ПВ- 1 калибра 7,62 мм. С некоторыми перерыва</w:t>
      </w:r>
      <w:r w:rsidRPr="00A259BD">
        <w:rPr>
          <w:rFonts w:ascii="Times New Roman" w:hAnsi="Times New Roman"/>
          <w:color w:val="000000" w:themeColor="text1"/>
          <w:sz w:val="16"/>
          <w:szCs w:val="16"/>
        </w:rPr>
        <w:softHyphen/>
        <w:t xml:space="preserve">ми оба экземпляра в течение года </w:t>
      </w:r>
      <w:proofErr w:type="spellStart"/>
      <w:r w:rsidRPr="00A259BD">
        <w:rPr>
          <w:rFonts w:ascii="Times New Roman" w:hAnsi="Times New Roman"/>
          <w:color w:val="000000" w:themeColor="text1"/>
          <w:sz w:val="16"/>
          <w:szCs w:val="16"/>
        </w:rPr>
        <w:t>испытыва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лись</w:t>
      </w:r>
      <w:proofErr w:type="spellEnd"/>
      <w:r w:rsidRPr="00A259BD">
        <w:rPr>
          <w:rFonts w:ascii="Times New Roman" w:hAnsi="Times New Roman"/>
          <w:color w:val="000000" w:themeColor="text1"/>
          <w:sz w:val="16"/>
          <w:szCs w:val="16"/>
        </w:rPr>
        <w:t xml:space="preserve"> в НИИ ВВС, однако восторга не вызва</w:t>
      </w:r>
      <w:r w:rsidRPr="00A259BD">
        <w:rPr>
          <w:rFonts w:ascii="Times New Roman" w:hAnsi="Times New Roman"/>
          <w:color w:val="000000" w:themeColor="text1"/>
          <w:sz w:val="16"/>
          <w:szCs w:val="16"/>
        </w:rPr>
        <w:softHyphen/>
        <w:t>ли, в частности имелись сомнения в доста</w:t>
      </w:r>
      <w:r w:rsidRPr="00A259BD">
        <w:rPr>
          <w:rFonts w:ascii="Times New Roman" w:hAnsi="Times New Roman"/>
          <w:color w:val="000000" w:themeColor="text1"/>
          <w:sz w:val="16"/>
          <w:szCs w:val="16"/>
        </w:rPr>
        <w:softHyphen/>
        <w:t>точной прочности самолетов. Несмотря на то, что летчики высоко оценивали устойчи</w:t>
      </w:r>
      <w:r w:rsidRPr="00A259BD">
        <w:rPr>
          <w:rFonts w:ascii="Times New Roman" w:hAnsi="Times New Roman"/>
          <w:color w:val="000000" w:themeColor="text1"/>
          <w:sz w:val="16"/>
          <w:szCs w:val="16"/>
        </w:rPr>
        <w:softHyphen/>
        <w:t>вость и маневренность ВН-33, приобретение его для оснащения ВВС не состоялось.</w:t>
      </w:r>
    </w:p>
    <w:p w14:paraId="59D6708A" w14:textId="77777777" w:rsidR="00B52D72" w:rsidRPr="00A259BD" w:rsidRDefault="00B52D7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Чехословацкий истребитель ВН-33 был спроектирован на фирме «Авиа» в 1926- 27 годах под английский звездообразный двигатель Бристоль «Юпитер». Считается, что именно для этого самолета Чехослова</w:t>
      </w:r>
      <w:r w:rsidRPr="00A259BD">
        <w:rPr>
          <w:rFonts w:ascii="Times New Roman" w:hAnsi="Times New Roman"/>
          <w:color w:val="000000" w:themeColor="text1"/>
          <w:sz w:val="16"/>
          <w:szCs w:val="16"/>
        </w:rPr>
        <w:softHyphen/>
        <w:t>кия приобрела лицензию для производства «Юпитера» - сначала на фирме «Вальтер» ос</w:t>
      </w:r>
      <w:r w:rsidRPr="00A259BD">
        <w:rPr>
          <w:rFonts w:ascii="Times New Roman" w:hAnsi="Times New Roman"/>
          <w:color w:val="000000" w:themeColor="text1"/>
          <w:sz w:val="16"/>
          <w:szCs w:val="16"/>
        </w:rPr>
        <w:softHyphen/>
        <w:t>воили производство модели VI, а позднее мо</w:t>
      </w:r>
      <w:r w:rsidRPr="00A259BD">
        <w:rPr>
          <w:rFonts w:ascii="Times New Roman" w:hAnsi="Times New Roman"/>
          <w:color w:val="000000" w:themeColor="text1"/>
          <w:sz w:val="16"/>
          <w:szCs w:val="16"/>
        </w:rPr>
        <w:softHyphen/>
        <w:t>дели — VIII. ВН-33 относился к стандартным бипланам смешанной конструкции, поэтому вполне соответствовал возможностям совет</w:t>
      </w:r>
      <w:r w:rsidRPr="00A259BD">
        <w:rPr>
          <w:rFonts w:ascii="Times New Roman" w:hAnsi="Times New Roman"/>
          <w:color w:val="000000" w:themeColor="text1"/>
          <w:sz w:val="16"/>
          <w:szCs w:val="16"/>
        </w:rPr>
        <w:softHyphen/>
        <w:t>ской авиапромышленности.</w:t>
      </w:r>
    </w:p>
    <w:p w14:paraId="12A83A73" w14:textId="77777777" w:rsidR="00B52D72" w:rsidRPr="00A259BD" w:rsidRDefault="00B52D72" w:rsidP="009236E3">
      <w:pPr>
        <w:pStyle w:val="65"/>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данные самолетов СПАД 61, ВН-33, СР.20</w:t>
      </w:r>
    </w:p>
    <w:tbl>
      <w:tblPr>
        <w:tblW w:w="0" w:type="auto"/>
        <w:tblLayout w:type="fixed"/>
        <w:tblCellMar>
          <w:left w:w="10" w:type="dxa"/>
          <w:right w:w="10" w:type="dxa"/>
        </w:tblCellMar>
        <w:tblLook w:val="0000" w:firstRow="0" w:lastRow="0" w:firstColumn="0" w:lastColumn="0" w:noHBand="0" w:noVBand="0"/>
      </w:tblPr>
      <w:tblGrid>
        <w:gridCol w:w="3143"/>
        <w:gridCol w:w="1469"/>
        <w:gridCol w:w="1469"/>
        <w:gridCol w:w="1483"/>
      </w:tblGrid>
      <w:tr w:rsidR="00A259BD" w:rsidRPr="00A259BD" w14:paraId="459F4270" w14:textId="77777777" w:rsidTr="005704B1">
        <w:trPr>
          <w:trHeight w:val="252"/>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5AD6F8DC" w14:textId="77777777" w:rsidR="00B52D72" w:rsidRPr="00A259BD" w:rsidRDefault="00B52D72" w:rsidP="009236E3">
            <w:pPr>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0415FAC6"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СПАД 61</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5A423227"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ВН-33</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88AF329"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СК.20</w:t>
            </w:r>
          </w:p>
        </w:tc>
      </w:tr>
      <w:tr w:rsidR="00A259BD" w:rsidRPr="00A259BD" w14:paraId="793A142A" w14:textId="77777777" w:rsidTr="005704B1">
        <w:trPr>
          <w:trHeight w:val="241"/>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09C494AA"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Размах крыла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5587E64B"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9,61</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599AAF59"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8,90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1E45DCF3"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9,8</w:t>
            </w:r>
          </w:p>
        </w:tc>
      </w:tr>
      <w:tr w:rsidR="00A259BD" w:rsidRPr="00A259BD" w14:paraId="2C415CF4"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442490CF"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Длина(м)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49D43149"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6,6</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C73A06C"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7,04</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ADE4672"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6,7</w:t>
            </w:r>
          </w:p>
        </w:tc>
      </w:tr>
      <w:tr w:rsidR="00A259BD" w:rsidRPr="00A259BD" w14:paraId="17EFFA8F"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6297D8CD"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76651A58"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3,15</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1FB09510"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2,79</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4533A4A"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2,72</w:t>
            </w:r>
          </w:p>
        </w:tc>
      </w:tr>
      <w:tr w:rsidR="00A259BD" w:rsidRPr="00A259BD" w14:paraId="47C1D979"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6C6BF2F9"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Плошадь</w:t>
            </w:r>
            <w:proofErr w:type="spellEnd"/>
            <w:r w:rsidRPr="00A259BD">
              <w:rPr>
                <w:rFonts w:ascii="Times New Roman" w:hAnsi="Times New Roman"/>
                <w:color w:val="000000" w:themeColor="text1"/>
                <w:sz w:val="16"/>
                <w:szCs w:val="16"/>
              </w:rPr>
              <w:t xml:space="preserve"> крыла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04552F0D"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52FAAB1C"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22,20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75834382"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25,88</w:t>
            </w:r>
          </w:p>
        </w:tc>
      </w:tr>
      <w:tr w:rsidR="00A259BD" w:rsidRPr="00A259BD" w14:paraId="3345F56B"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72C0CB8C"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 пустого (кг)</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94DBCD5"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1078</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65224B3"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853</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7856C163"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940</w:t>
            </w:r>
          </w:p>
        </w:tc>
      </w:tr>
      <w:tr w:rsidR="00A259BD" w:rsidRPr="00A259BD" w14:paraId="688B363E"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1DE4C67E"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Взлетный вес (кг)</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C9F8139"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1573</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3E2D636A"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1280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6E4BAF26"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1360</w:t>
            </w:r>
          </w:p>
        </w:tc>
      </w:tr>
      <w:tr w:rsidR="00A259BD" w:rsidRPr="00A259BD" w14:paraId="2CE48207"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3FACE907"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Максимальная скорость (км/ч)</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77478B9"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232</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7A484079"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285</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40DE580B"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258</w:t>
            </w:r>
          </w:p>
        </w:tc>
      </w:tr>
      <w:tr w:rsidR="00A259BD" w:rsidRPr="00A259BD" w14:paraId="74A79965" w14:textId="77777777" w:rsidTr="005704B1">
        <w:trPr>
          <w:trHeight w:val="241"/>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555D0CD3"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Полетное время (ч.)</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DC1E306"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422F5E5B"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E43A898"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w:t>
            </w:r>
          </w:p>
        </w:tc>
      </w:tr>
      <w:tr w:rsidR="00A259BD" w:rsidRPr="00A259BD" w14:paraId="1BBC2CBA"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5CB4B126"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набора 5000 м (мин/сек)</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1AFCE995"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16,13</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7399A662"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6890F2B6"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w:t>
            </w:r>
          </w:p>
        </w:tc>
      </w:tr>
      <w:tr w:rsidR="00A259BD" w:rsidRPr="00A259BD" w14:paraId="54A05D7C" w14:textId="77777777" w:rsidTr="005704B1">
        <w:trPr>
          <w:trHeight w:val="256"/>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1D0C91AC"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Практический потолок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063D2C82"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6790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73E13377"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7800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1805DEF" w14:textId="77777777" w:rsidR="00B52D72" w:rsidRPr="00A259BD" w:rsidRDefault="00B52D72" w:rsidP="009236E3">
            <w:pPr>
              <w:pStyle w:val="13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7500</w:t>
            </w:r>
          </w:p>
        </w:tc>
      </w:tr>
    </w:tbl>
    <w:p w14:paraId="272F38B6" w14:textId="77777777" w:rsidR="00B52D72" w:rsidRPr="00A259BD" w:rsidRDefault="00B52D7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(12295).</w:t>
      </w:r>
    </w:p>
    <w:p w14:paraId="599F6FB6" w14:textId="77777777" w:rsidR="00B52D72" w:rsidRPr="00A259BD" w:rsidRDefault="00B52D72" w:rsidP="009236E3">
      <w:pPr>
        <w:spacing w:after="0" w:line="240" w:lineRule="auto"/>
        <w:jc w:val="both"/>
        <w:rPr>
          <w:rFonts w:ascii="Times New Roman" w:hAnsi="Times New Roman"/>
          <w:color w:val="000000" w:themeColor="text1"/>
          <w:sz w:val="16"/>
          <w:szCs w:val="16"/>
        </w:rPr>
      </w:pPr>
    </w:p>
    <w:p w14:paraId="548D91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Весной 1929 в ЦАГИ начались исследования минеральных красок и лаков, применяемых в авиастроении. Эта работа была связано с тем, что традиционные лаки второго покрытия плохо держались на металлических поверхностях ТБ-1 (2452).</w:t>
      </w:r>
    </w:p>
    <w:p w14:paraId="56231D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2685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Весной 1929 Добролет выделил для переброски сельди-молоди один самолет и доставил воздушным путем из Средней Азии в район Астрахани икру, а затем назад уже оплодотворенную икру на о </w:t>
      </w:r>
      <w:proofErr w:type="spellStart"/>
      <w:r w:rsidRPr="00A259BD">
        <w:rPr>
          <w:rFonts w:ascii="Times New Roman" w:hAnsi="Times New Roman"/>
          <w:color w:val="000000" w:themeColor="text1"/>
          <w:sz w:val="16"/>
          <w:szCs w:val="16"/>
        </w:rPr>
        <w:t>Акмак-Ата</w:t>
      </w:r>
      <w:proofErr w:type="spellEnd"/>
      <w:r w:rsidRPr="00A259BD">
        <w:rPr>
          <w:rFonts w:ascii="Times New Roman" w:hAnsi="Times New Roman"/>
          <w:color w:val="000000" w:themeColor="text1"/>
          <w:sz w:val="16"/>
          <w:szCs w:val="16"/>
        </w:rPr>
        <w:t xml:space="preserve"> на Аральском море, где выпустили 100 тыс. мальков (3015,20).</w:t>
      </w:r>
    </w:p>
    <w:p w14:paraId="0CCC46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AB2F1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93B3E2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BCD5D5" w14:textId="77777777" w:rsidR="00483C4A" w:rsidRPr="00A259BD" w:rsidRDefault="00483C4A" w:rsidP="009236E3">
      <w:pPr>
        <w:spacing w:after="0" w:line="240" w:lineRule="auto"/>
        <w:jc w:val="both"/>
        <w:rPr>
          <w:rFonts w:ascii="Times New Roman" w:hAnsi="Times New Roman"/>
          <w:color w:val="000000" w:themeColor="text1"/>
          <w:sz w:val="16"/>
          <w:szCs w:val="16"/>
          <w:lang w:eastAsia="ru-RU" w:bidi="ru-RU"/>
        </w:rPr>
      </w:pPr>
      <w:r w:rsidRPr="00A259BD">
        <w:rPr>
          <w:rFonts w:ascii="Times New Roman" w:hAnsi="Times New Roman"/>
          <w:color w:val="000000" w:themeColor="text1"/>
          <w:sz w:val="16"/>
          <w:szCs w:val="16"/>
          <w:lang w:eastAsia="ru-RU" w:bidi="ru-RU"/>
        </w:rPr>
        <w:t>Весной 1929 г. правительство приняло ряд постановлений об усилении РККА и изменении пятилетне</w:t>
      </w:r>
      <w:r w:rsidRPr="00A259BD">
        <w:rPr>
          <w:rFonts w:ascii="Times New Roman" w:hAnsi="Times New Roman"/>
          <w:color w:val="000000" w:themeColor="text1"/>
          <w:sz w:val="16"/>
          <w:szCs w:val="16"/>
          <w:lang w:eastAsia="ru-RU" w:bidi="ru-RU"/>
        </w:rPr>
        <w:softHyphen/>
        <w:t>го плана военных заказов (ГАРФ. Ф. 8418. Оп. 3. Д. 48. Л. 1. Выписка из протокола № 32 РЗ СТО 16.04.1929 «Об усилении артиллерии РККА и изменении пятилет</w:t>
      </w:r>
      <w:r w:rsidRPr="00A259BD">
        <w:rPr>
          <w:rFonts w:ascii="Times New Roman" w:hAnsi="Times New Roman"/>
          <w:color w:val="000000" w:themeColor="text1"/>
          <w:sz w:val="16"/>
          <w:szCs w:val="16"/>
          <w:lang w:eastAsia="ru-RU" w:bidi="ru-RU"/>
        </w:rPr>
        <w:softHyphen/>
        <w:t>него плана заказов по артиллерии»; Д. 76. Л. 1—2. Постановление РЗ СТО «О строительстве РККА на второй период пятилетки и о пятилет</w:t>
      </w:r>
      <w:r w:rsidRPr="00A259BD">
        <w:rPr>
          <w:rFonts w:ascii="Times New Roman" w:hAnsi="Times New Roman"/>
          <w:color w:val="000000" w:themeColor="text1"/>
          <w:sz w:val="16"/>
          <w:szCs w:val="16"/>
          <w:lang w:eastAsia="ru-RU" w:bidi="ru-RU"/>
        </w:rPr>
        <w:softHyphen/>
        <w:t xml:space="preserve">ием плане специальной подготовки страны к обороне», 27.05.1929). Был принят «новый </w:t>
      </w:r>
      <w:r w:rsidRPr="00A259BD">
        <w:rPr>
          <w:rFonts w:ascii="Times New Roman" w:hAnsi="Times New Roman"/>
          <w:color w:val="000000" w:themeColor="text1"/>
          <w:sz w:val="16"/>
          <w:szCs w:val="16"/>
          <w:lang w:eastAsia="ru-RU" w:bidi="ru-RU"/>
        </w:rPr>
        <w:lastRenderedPageBreak/>
        <w:t xml:space="preserve">пятилетний план строительства РККА», что привело к пересмотру </w:t>
      </w:r>
      <w:proofErr w:type="spellStart"/>
      <w:r w:rsidRPr="00A259BD">
        <w:rPr>
          <w:rFonts w:ascii="Times New Roman" w:hAnsi="Times New Roman"/>
          <w:color w:val="000000" w:themeColor="text1"/>
          <w:sz w:val="16"/>
          <w:szCs w:val="16"/>
          <w:lang w:eastAsia="ru-RU" w:bidi="ru-RU"/>
        </w:rPr>
        <w:t>мобзаяв</w:t>
      </w:r>
      <w:r w:rsidRPr="00A259BD">
        <w:rPr>
          <w:rFonts w:ascii="Times New Roman" w:hAnsi="Times New Roman"/>
          <w:color w:val="000000" w:themeColor="text1"/>
          <w:sz w:val="16"/>
          <w:szCs w:val="16"/>
          <w:lang w:eastAsia="ru-RU" w:bidi="ru-RU"/>
        </w:rPr>
        <w:softHyphen/>
        <w:t>ки</w:t>
      </w:r>
      <w:proofErr w:type="spellEnd"/>
      <w:r w:rsidRPr="00A259BD">
        <w:rPr>
          <w:rFonts w:ascii="Times New Roman" w:hAnsi="Times New Roman"/>
          <w:color w:val="000000" w:themeColor="text1"/>
          <w:sz w:val="16"/>
          <w:szCs w:val="16"/>
          <w:lang w:eastAsia="ru-RU" w:bidi="ru-RU"/>
        </w:rPr>
        <w:t xml:space="preserve"> и плана военных заказов. Промышленности предлагалось, исходя из новой заявки НКВМ на пятилетие, «разработать опе</w:t>
      </w:r>
      <w:r w:rsidRPr="00A259BD">
        <w:rPr>
          <w:rFonts w:ascii="Times New Roman" w:hAnsi="Times New Roman"/>
          <w:color w:val="000000" w:themeColor="text1"/>
          <w:sz w:val="16"/>
          <w:szCs w:val="16"/>
          <w:lang w:eastAsia="ru-RU" w:bidi="ru-RU"/>
        </w:rPr>
        <w:softHyphen/>
        <w:t>рационные планы (капстроительство, размеры и источники фи</w:t>
      </w:r>
      <w:r w:rsidRPr="00A259BD">
        <w:rPr>
          <w:rFonts w:ascii="Times New Roman" w:hAnsi="Times New Roman"/>
          <w:color w:val="000000" w:themeColor="text1"/>
          <w:sz w:val="16"/>
          <w:szCs w:val="16"/>
          <w:lang w:eastAsia="ru-RU" w:bidi="ru-RU"/>
        </w:rPr>
        <w:softHyphen/>
        <w:t>нансирования и т. д.) обеспечения строительства и потребнос</w:t>
      </w:r>
      <w:r w:rsidRPr="00A259BD">
        <w:rPr>
          <w:rFonts w:ascii="Times New Roman" w:hAnsi="Times New Roman"/>
          <w:color w:val="000000" w:themeColor="text1"/>
          <w:sz w:val="16"/>
          <w:szCs w:val="16"/>
          <w:lang w:eastAsia="ru-RU" w:bidi="ru-RU"/>
        </w:rPr>
        <w:softHyphen/>
        <w:t>тей РККА в течение пятилетия» (Там же. Д. 76. Л. 1—2 Постановление РЗ СТО «О строительстве РККА на второй период пятилетки и о пятилетием плане специальной подготовки страны к обороне», 27.05.1929). В меньшей степени изменениям в силу интервенций «сверху» были подвержены го</w:t>
      </w:r>
      <w:r w:rsidRPr="00A259BD">
        <w:rPr>
          <w:rFonts w:ascii="Times New Roman" w:hAnsi="Times New Roman"/>
          <w:color w:val="000000" w:themeColor="text1"/>
          <w:sz w:val="16"/>
          <w:szCs w:val="16"/>
          <w:lang w:eastAsia="ru-RU" w:bidi="ru-RU"/>
        </w:rPr>
        <w:softHyphen/>
        <w:t>довые программы и договоры. Но и в течение года интервенции могли быть настолько масштабны, что в сумме требовали пересмотра плана того или иного экономического агента и даже оборонного бюджета страны в целом. В частности, решения об увеличении военных поставок, принятые КО в 1932 г., превыси</w:t>
      </w:r>
      <w:r w:rsidRPr="00A259BD">
        <w:rPr>
          <w:rFonts w:ascii="Times New Roman" w:hAnsi="Times New Roman"/>
          <w:color w:val="000000" w:themeColor="text1"/>
          <w:sz w:val="16"/>
          <w:szCs w:val="16"/>
          <w:lang w:eastAsia="ru-RU" w:bidi="ru-RU"/>
        </w:rPr>
        <w:softHyphen/>
        <w:t>ли запланированный на 1933 г. военный бюджет. Поставленный в тупик нарком обороны К.Е. Ворошилов обратился к главе НКТП С. Орджоникидзе за советом: «Что делать?» (Там же. Д. 76. Л. 1—2 Постановление РЗ СТО «О строительстве РККА на второй период пятилетки и о пятилетием плане специальной подготовки страны к обороне», 27.05.1929). В резуль</w:t>
      </w:r>
      <w:r w:rsidRPr="00A259BD">
        <w:rPr>
          <w:rFonts w:ascii="Times New Roman" w:hAnsi="Times New Roman"/>
          <w:color w:val="000000" w:themeColor="text1"/>
          <w:sz w:val="16"/>
          <w:szCs w:val="16"/>
          <w:lang w:eastAsia="ru-RU" w:bidi="ru-RU"/>
        </w:rPr>
        <w:softHyphen/>
        <w:t>тате новых правительственных заданий квартальные планы 3-го главка НКОП и годовой план на 1937 г. изменялись не</w:t>
      </w:r>
      <w:r w:rsidRPr="00A259BD">
        <w:rPr>
          <w:rFonts w:ascii="Times New Roman" w:hAnsi="Times New Roman"/>
          <w:color w:val="000000" w:themeColor="text1"/>
          <w:sz w:val="16"/>
          <w:szCs w:val="16"/>
          <w:lang w:eastAsia="ru-RU" w:bidi="ru-RU"/>
        </w:rPr>
        <w:softHyphen/>
        <w:t xml:space="preserve">сколько раз (РГАЭ. Ф. 7515. </w:t>
      </w:r>
      <w:r w:rsidRPr="00A259BD">
        <w:rPr>
          <w:rFonts w:ascii="Times New Roman" w:hAnsi="Times New Roman"/>
          <w:color w:val="000000" w:themeColor="text1"/>
          <w:sz w:val="16"/>
          <w:szCs w:val="16"/>
          <w:lang w:val="en-US" w:bidi="en-US"/>
        </w:rPr>
        <w:t>On</w:t>
      </w:r>
      <w:r w:rsidRPr="00A259BD">
        <w:rPr>
          <w:rFonts w:ascii="Times New Roman" w:hAnsi="Times New Roman"/>
          <w:color w:val="000000" w:themeColor="text1"/>
          <w:sz w:val="16"/>
          <w:szCs w:val="16"/>
          <w:lang w:bidi="en-US"/>
        </w:rPr>
        <w:t xml:space="preserve">. </w:t>
      </w:r>
      <w:r w:rsidRPr="00A259BD">
        <w:rPr>
          <w:rFonts w:ascii="Times New Roman" w:hAnsi="Times New Roman"/>
          <w:color w:val="000000" w:themeColor="text1"/>
          <w:sz w:val="16"/>
          <w:szCs w:val="16"/>
          <w:lang w:eastAsia="ru-RU" w:bidi="ru-RU"/>
        </w:rPr>
        <w:t xml:space="preserve">1. Д. 156. Л. 196—199. Письмо начальника 3-го главка НКОП Б.Л. Ванникова и начальника 6-го отдела </w:t>
      </w:r>
      <w:proofErr w:type="spellStart"/>
      <w:r w:rsidRPr="00A259BD">
        <w:rPr>
          <w:rFonts w:ascii="Times New Roman" w:hAnsi="Times New Roman"/>
          <w:color w:val="000000" w:themeColor="text1"/>
          <w:sz w:val="16"/>
          <w:szCs w:val="16"/>
          <w:lang w:eastAsia="ru-RU" w:bidi="ru-RU"/>
        </w:rPr>
        <w:t>Шаранина</w:t>
      </w:r>
      <w:proofErr w:type="spellEnd"/>
      <w:r w:rsidRPr="00A259BD">
        <w:rPr>
          <w:rFonts w:ascii="Times New Roman" w:hAnsi="Times New Roman"/>
          <w:color w:val="000000" w:themeColor="text1"/>
          <w:sz w:val="16"/>
          <w:szCs w:val="16"/>
          <w:lang w:eastAsia="ru-RU" w:bidi="ru-RU"/>
        </w:rPr>
        <w:t xml:space="preserve"> на имя начальника планового управления НКОП «По вопросу об увели</w:t>
      </w:r>
      <w:r w:rsidRPr="00A259BD">
        <w:rPr>
          <w:rFonts w:ascii="Times New Roman" w:hAnsi="Times New Roman"/>
          <w:color w:val="000000" w:themeColor="text1"/>
          <w:sz w:val="16"/>
          <w:szCs w:val="16"/>
          <w:lang w:eastAsia="ru-RU" w:bidi="ru-RU"/>
        </w:rPr>
        <w:softHyphen/>
        <w:t xml:space="preserve">чении лимитов, по количеству и фондам зарплаты работающих на 3 квартал с. г.» от 26.07.1937; Л. 200. Письмо начальника 3-го главка Б.Л. Ванникова и начальника 6-го отдела </w:t>
      </w:r>
      <w:proofErr w:type="spellStart"/>
      <w:r w:rsidRPr="00A259BD">
        <w:rPr>
          <w:rFonts w:ascii="Times New Roman" w:hAnsi="Times New Roman"/>
          <w:color w:val="000000" w:themeColor="text1"/>
          <w:sz w:val="16"/>
          <w:szCs w:val="16"/>
          <w:lang w:eastAsia="ru-RU" w:bidi="ru-RU"/>
        </w:rPr>
        <w:t>Шаранина</w:t>
      </w:r>
      <w:proofErr w:type="spellEnd"/>
      <w:r w:rsidRPr="00A259BD">
        <w:rPr>
          <w:rFonts w:ascii="Times New Roman" w:hAnsi="Times New Roman"/>
          <w:color w:val="000000" w:themeColor="text1"/>
          <w:sz w:val="16"/>
          <w:szCs w:val="16"/>
          <w:lang w:eastAsia="ru-RU" w:bidi="ru-RU"/>
        </w:rPr>
        <w:t xml:space="preserve"> на имя начальника планового управления НКОП Левина от 27.07.1937; Л. 301. Письмо на</w:t>
      </w:r>
      <w:r w:rsidRPr="00A259BD">
        <w:rPr>
          <w:rFonts w:ascii="Times New Roman" w:hAnsi="Times New Roman"/>
          <w:color w:val="000000" w:themeColor="text1"/>
          <w:sz w:val="16"/>
          <w:szCs w:val="16"/>
          <w:lang w:eastAsia="ru-RU" w:bidi="ru-RU"/>
        </w:rPr>
        <w:softHyphen/>
        <w:t>чальника планового управления НКОП Хавина на имя начальника 3-го главка Б.Л. Ванникова «по вопросу об утверждении плана на 4 квартал» от 15.1 1.1937 и т. д.). Окончательный вариант годового плана главка был утвержден только 22 декабря 1937 г., т. е. за десять дней до конца планового периода (Там же. Л. 332. Письмо начальника планового управления НКОП на имя начальника 3-го главка НКОП Б.Л. Ванникова от 22.12.1937). План по капстроительству завода им. Молотова НКВ на 1939 г. менялся пять раз (</w:t>
      </w:r>
      <w:r w:rsidRPr="00A259BD">
        <w:rPr>
          <w:rFonts w:ascii="Times New Roman" w:hAnsi="Times New Roman"/>
          <w:color w:val="000000" w:themeColor="text1"/>
          <w:sz w:val="16"/>
          <w:szCs w:val="16"/>
          <w:lang w:val="en-US" w:bidi="en-US"/>
        </w:rPr>
        <w:t>Hoover</w:t>
      </w:r>
      <w:r w:rsidRPr="00A259BD">
        <w:rPr>
          <w:rFonts w:ascii="Times New Roman" w:hAnsi="Times New Roman"/>
          <w:color w:val="000000" w:themeColor="text1"/>
          <w:sz w:val="16"/>
          <w:szCs w:val="16"/>
          <w:lang w:eastAsia="ru-RU" w:bidi="ru-RU"/>
        </w:rPr>
        <w:t>/РГАНИ. Ф. 6. Оп. 2. Д. 250. Л. 31. Информация уполно</w:t>
      </w:r>
      <w:r w:rsidRPr="00A259BD">
        <w:rPr>
          <w:rFonts w:ascii="Times New Roman" w:hAnsi="Times New Roman"/>
          <w:color w:val="000000" w:themeColor="text1"/>
          <w:sz w:val="16"/>
          <w:szCs w:val="16"/>
          <w:lang w:eastAsia="ru-RU" w:bidi="ru-RU"/>
        </w:rPr>
        <w:softHyphen/>
        <w:t>моченного КПК при ЦК ВКП(б) по Хабаровскому краю на имя предсе</w:t>
      </w:r>
      <w:r w:rsidRPr="00A259BD">
        <w:rPr>
          <w:rFonts w:ascii="Times New Roman" w:hAnsi="Times New Roman"/>
          <w:color w:val="000000" w:themeColor="text1"/>
          <w:sz w:val="16"/>
          <w:szCs w:val="16"/>
          <w:lang w:eastAsia="ru-RU" w:bidi="ru-RU"/>
        </w:rPr>
        <w:softHyphen/>
        <w:t>дателя КПК при ЦК ВКП(б) А.А. Андреева от 21.11.1939 «О руководстве и помощи заводу им. Молотова со стороны Наркомата вооружения и главка») и т. д. (22647).</w:t>
      </w:r>
    </w:p>
    <w:p w14:paraId="5A6418CE" w14:textId="77777777" w:rsidR="00483C4A" w:rsidRPr="00A259BD" w:rsidRDefault="00483C4A" w:rsidP="009236E3">
      <w:pPr>
        <w:spacing w:after="0" w:line="240" w:lineRule="auto"/>
        <w:jc w:val="both"/>
        <w:rPr>
          <w:rFonts w:ascii="Times New Roman" w:hAnsi="Times New Roman"/>
          <w:color w:val="000000" w:themeColor="text1"/>
          <w:sz w:val="16"/>
          <w:szCs w:val="16"/>
        </w:rPr>
      </w:pPr>
    </w:p>
    <w:p w14:paraId="1BB5CAAA" w14:textId="77777777" w:rsidR="00483C4A" w:rsidRPr="00A259BD" w:rsidRDefault="00483C4A"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Весной 1929 года в переписке появились два варианта модернизации Т-18. Первый танк, получивший обозначение Т-20, представлял собой улучшенный Т-18 с мотором мощностью 60 лошадиных сил и скоростью не менее 22 км/ч. Данная машина разрабатывалась силами ГКБ ОАТ под руководством С.П. </w:t>
      </w:r>
      <w:proofErr w:type="spellStart"/>
      <w:r w:rsidRPr="00A259BD">
        <w:rPr>
          <w:rFonts w:ascii="Times New Roman" w:eastAsia="Times New Roman" w:hAnsi="Times New Roman"/>
          <w:color w:val="000000" w:themeColor="text1"/>
          <w:sz w:val="16"/>
          <w:szCs w:val="16"/>
          <w:lang w:eastAsia="ru-RU"/>
        </w:rPr>
        <w:t>Шукалова</w:t>
      </w:r>
      <w:proofErr w:type="spellEnd"/>
      <w:r w:rsidRPr="00A259BD">
        <w:rPr>
          <w:rFonts w:ascii="Times New Roman" w:eastAsia="Times New Roman" w:hAnsi="Times New Roman"/>
          <w:color w:val="000000" w:themeColor="text1"/>
          <w:sz w:val="16"/>
          <w:szCs w:val="16"/>
          <w:lang w:eastAsia="ru-RU"/>
        </w:rPr>
        <w:t xml:space="preserve"> и В.И. Заславского. Второй танк, получивший обозначение Т-19, являлся фактически новым танком на базе Т-18. Экипаж вырастал до 3 человек (из них двое в корпусе), по изначальной спецификации мотор имел мощность не менее 75 лошадиных сил, а скорость - не менее 25 км/ч. Данный танк разрабатывался заводом "Большевик". Позже мощность мотора для Т-19 определили в 90 л.с., а дальше она выросла до 100 л.с. Судя по тому, какой танк сопровождения был прописан в системе вооружения Красной Армии, принятой 17-18 июня 1929 года, военные ставили именно на Т-19. Требовался танк массой 7-7,5 тонн, скорость 25-30 км/ч, экипаж 3 человека. Прорабатывался и вопрос получения колесно-гусеничного танка, массой 8 тонн и скоростью на колесах не менее 45 км/ч. Это было результатом знакомства с KH-60 и общением с Йозефом </w:t>
      </w:r>
      <w:proofErr w:type="spellStart"/>
      <w:r w:rsidRPr="00A259BD">
        <w:rPr>
          <w:rFonts w:ascii="Times New Roman" w:eastAsia="Times New Roman" w:hAnsi="Times New Roman"/>
          <w:color w:val="000000" w:themeColor="text1"/>
          <w:sz w:val="16"/>
          <w:szCs w:val="16"/>
          <w:lang w:eastAsia="ru-RU"/>
        </w:rPr>
        <w:t>Фольмером</w:t>
      </w:r>
      <w:proofErr w:type="spellEnd"/>
      <w:r w:rsidRPr="00A259BD">
        <w:rPr>
          <w:rFonts w:ascii="Times New Roman" w:eastAsia="Times New Roman" w:hAnsi="Times New Roman"/>
          <w:color w:val="000000" w:themeColor="text1"/>
          <w:sz w:val="16"/>
          <w:szCs w:val="16"/>
          <w:lang w:eastAsia="ru-RU"/>
        </w:rPr>
        <w:t>. Также на базе Т-19 (изначально на Т-18) предполагалось целое семейство самоходных артиллерийских установок. Но одно дело требования, а другое реальность. На Всесоюзных маневрах, которые прошли под Бобруйском в сентябре 1929 года, выявился ряд недостатков Т-18. Еще больше расстраивала ситуация вокруг перспективных танков, работа по которым явно затягивалась.</w:t>
      </w:r>
    </w:p>
    <w:p w14:paraId="282CA976" w14:textId="77777777" w:rsidR="00483C4A" w:rsidRPr="00A259BD" w:rsidRDefault="00483C4A"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Параллельно шла работа по Т-19. Этот танк выглядел более перспективно, но его разработку сильно затянули, да и ходовая часть не особо подходила для танков с более-менее высокой маневренностью (20740).</w:t>
      </w:r>
    </w:p>
    <w:p w14:paraId="546DD534" w14:textId="77777777" w:rsidR="00483C4A" w:rsidRPr="00A259BD" w:rsidRDefault="00483C4A"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0CD51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Весной 1929 г. в Казань на Каму из Германии прибыло 6 танков: 2 больших “трактора” “Даймлер-Бенц”, 2 больших трактора “Крупп”, 2 больших трактора “</w:t>
      </w:r>
      <w:proofErr w:type="spellStart"/>
      <w:r w:rsidRPr="00A259BD">
        <w:rPr>
          <w:rFonts w:ascii="Times New Roman" w:hAnsi="Times New Roman"/>
          <w:color w:val="000000" w:themeColor="text1"/>
          <w:sz w:val="16"/>
          <w:szCs w:val="16"/>
        </w:rPr>
        <w:t>Рейнметалл</w:t>
      </w:r>
      <w:proofErr w:type="spellEnd"/>
      <w:r w:rsidRPr="00A259BD">
        <w:rPr>
          <w:rFonts w:ascii="Times New Roman" w:hAnsi="Times New Roman"/>
          <w:color w:val="000000" w:themeColor="text1"/>
          <w:sz w:val="16"/>
          <w:szCs w:val="16"/>
        </w:rPr>
        <w:t>”. По общей компоновке и внешнему виду эти “тракто</w:t>
      </w:r>
      <w:r w:rsidRPr="00A259BD">
        <w:rPr>
          <w:rFonts w:ascii="Times New Roman" w:hAnsi="Times New Roman"/>
          <w:color w:val="000000" w:themeColor="text1"/>
          <w:sz w:val="16"/>
          <w:szCs w:val="16"/>
        </w:rPr>
        <w:softHyphen/>
        <w:t>ра” были в целом подобны друг другу, так как создавались по единому заданию, но имели разное внутреннее устрой</w:t>
      </w:r>
      <w:r w:rsidRPr="00A259BD">
        <w:rPr>
          <w:rFonts w:ascii="Times New Roman" w:hAnsi="Times New Roman"/>
          <w:color w:val="000000" w:themeColor="text1"/>
          <w:sz w:val="16"/>
          <w:szCs w:val="16"/>
        </w:rPr>
        <w:softHyphen/>
        <w:t>ство, разные двигатели (ВМ\У мощностью 250 л.с. или Ва1т1ег-Вепг мощностью 265 л.с.), разный тип подвески, различную установку вооружения. Кроме того, машина фирмы “Даймлер-Бенц” могла плавать. В 1930—31 гг. материально-техническое обеспечение школы дополнили 2 “легких трактора” “Крупп” и 2 “легких трактора” “</w:t>
      </w:r>
      <w:proofErr w:type="spellStart"/>
      <w:r w:rsidRPr="00A259BD">
        <w:rPr>
          <w:rFonts w:ascii="Times New Roman" w:hAnsi="Times New Roman"/>
          <w:color w:val="000000" w:themeColor="text1"/>
          <w:sz w:val="16"/>
          <w:szCs w:val="16"/>
        </w:rPr>
        <w:t>Рейнметалл</w:t>
      </w:r>
      <w:proofErr w:type="spellEnd"/>
      <w:r w:rsidRPr="00A259BD">
        <w:rPr>
          <w:rFonts w:ascii="Times New Roman" w:hAnsi="Times New Roman"/>
          <w:color w:val="000000" w:themeColor="text1"/>
          <w:sz w:val="16"/>
          <w:szCs w:val="16"/>
        </w:rPr>
        <w:t>”. Тогда же начала свою работу специальная Техническая Комиссия (“ТЕКО”) по обмену научно-технической ин</w:t>
      </w:r>
      <w:r w:rsidRPr="00A259BD">
        <w:rPr>
          <w:rFonts w:ascii="Times New Roman" w:hAnsi="Times New Roman"/>
          <w:color w:val="000000" w:themeColor="text1"/>
          <w:sz w:val="16"/>
          <w:szCs w:val="16"/>
        </w:rPr>
        <w:softHyphen/>
        <w:t>формацией в области танкостроения, в работе которой принимали участие и представители ГКБ ОАТ. Наибольший интерес у советских конструкторов вызва</w:t>
      </w:r>
      <w:r w:rsidRPr="00A259BD">
        <w:rPr>
          <w:rFonts w:ascii="Times New Roman" w:hAnsi="Times New Roman"/>
          <w:color w:val="000000" w:themeColor="text1"/>
          <w:sz w:val="16"/>
          <w:szCs w:val="16"/>
        </w:rPr>
        <w:softHyphen/>
        <w:t>ли большие “тракторы” фирмы “</w:t>
      </w:r>
      <w:proofErr w:type="spellStart"/>
      <w:r w:rsidRPr="00A259BD">
        <w:rPr>
          <w:rFonts w:ascii="Times New Roman" w:hAnsi="Times New Roman"/>
          <w:color w:val="000000" w:themeColor="text1"/>
          <w:sz w:val="16"/>
          <w:szCs w:val="16"/>
        </w:rPr>
        <w:t>Рейнметалл</w:t>
      </w:r>
      <w:proofErr w:type="spellEnd"/>
      <w:r w:rsidRPr="00A259BD">
        <w:rPr>
          <w:rFonts w:ascii="Times New Roman" w:hAnsi="Times New Roman"/>
          <w:color w:val="000000" w:themeColor="text1"/>
          <w:sz w:val="16"/>
          <w:szCs w:val="16"/>
        </w:rPr>
        <w:t>” и “Крупп”, которые имели наиболее удачную подвеску. Самым внимательным образом изучали наши специалисты двигатель “Даймлер-Бенц” и водоходные приспособления одноимен</w:t>
      </w:r>
      <w:r w:rsidRPr="00A259BD">
        <w:rPr>
          <w:rFonts w:ascii="Times New Roman" w:hAnsi="Times New Roman"/>
          <w:color w:val="000000" w:themeColor="text1"/>
          <w:sz w:val="16"/>
          <w:szCs w:val="16"/>
        </w:rPr>
        <w:softHyphen/>
        <w:t>ного танка. Не менее тщательно изучалось вооружение танков, в частности спаренная установка пушки и пулемета, конст</w:t>
      </w:r>
      <w:r w:rsidRPr="00A259BD">
        <w:rPr>
          <w:rFonts w:ascii="Times New Roman" w:hAnsi="Times New Roman"/>
          <w:color w:val="000000" w:themeColor="text1"/>
          <w:sz w:val="16"/>
          <w:szCs w:val="16"/>
        </w:rPr>
        <w:softHyphen/>
        <w:t xml:space="preserve">рукция </w:t>
      </w:r>
      <w:proofErr w:type="spellStart"/>
      <w:r w:rsidRPr="00A259BD">
        <w:rPr>
          <w:rFonts w:ascii="Times New Roman" w:hAnsi="Times New Roman"/>
          <w:color w:val="000000" w:themeColor="text1"/>
          <w:sz w:val="16"/>
          <w:szCs w:val="16"/>
        </w:rPr>
        <w:t>боеукладки</w:t>
      </w:r>
      <w:proofErr w:type="spellEnd"/>
      <w:r w:rsidRPr="00A259BD">
        <w:rPr>
          <w:rFonts w:ascii="Times New Roman" w:hAnsi="Times New Roman"/>
          <w:color w:val="000000" w:themeColor="text1"/>
          <w:sz w:val="16"/>
          <w:szCs w:val="16"/>
        </w:rPr>
        <w:t>. Именно после окончания работы “ТЕКО” в 1932 г. были пересмотрены требования к воору</w:t>
      </w:r>
      <w:r w:rsidRPr="00A259BD">
        <w:rPr>
          <w:rFonts w:ascii="Times New Roman" w:hAnsi="Times New Roman"/>
          <w:color w:val="000000" w:themeColor="text1"/>
          <w:sz w:val="16"/>
          <w:szCs w:val="16"/>
        </w:rPr>
        <w:softHyphen/>
        <w:t>жению отечественного маневренного танка в сторону уве</w:t>
      </w:r>
      <w:r w:rsidRPr="00A259BD">
        <w:rPr>
          <w:rFonts w:ascii="Times New Roman" w:hAnsi="Times New Roman"/>
          <w:color w:val="000000" w:themeColor="text1"/>
          <w:sz w:val="16"/>
          <w:szCs w:val="16"/>
        </w:rPr>
        <w:softHyphen/>
        <w:t>личения калибра его орудия. Несмотря на то что конструкция немецких “тракторов” была далека от совершенства, каждый из них представлял собой маленькую лабораторию, снабженную самыми по</w:t>
      </w:r>
      <w:r w:rsidRPr="00A259BD">
        <w:rPr>
          <w:rFonts w:ascii="Times New Roman" w:hAnsi="Times New Roman"/>
          <w:color w:val="000000" w:themeColor="text1"/>
          <w:sz w:val="16"/>
          <w:szCs w:val="16"/>
        </w:rPr>
        <w:softHyphen/>
        <w:t>следними достижениями техники, что позволило нашим танкостроителям перенять ряд важных конструкторских и технологических особенностей немецких боевых машин. Так, освоение сварки в серийном производстве Т-26 и Т-28 не было бы возможно без консультаций с немецкими представителями. Спаренная установка пушки и пулемета в башне Т-26 была во многом заимствована у немецких боевых машин. Первые отечественные танковые прицелы и радиостанции также создавались под влиянием “под</w:t>
      </w:r>
      <w:r w:rsidRPr="00A259BD">
        <w:rPr>
          <w:rFonts w:ascii="Times New Roman" w:hAnsi="Times New Roman"/>
          <w:color w:val="000000" w:themeColor="text1"/>
          <w:sz w:val="16"/>
          <w:szCs w:val="16"/>
        </w:rPr>
        <w:softHyphen/>
        <w:t>смотренных” в “Каме”. Однако к 1931 г. сотрудничество с немцами, по мнению руководства РККА, подошло к своему логическому завер</w:t>
      </w:r>
      <w:r w:rsidRPr="00A259BD">
        <w:rPr>
          <w:rFonts w:ascii="Times New Roman" w:hAnsi="Times New Roman"/>
          <w:color w:val="000000" w:themeColor="text1"/>
          <w:sz w:val="16"/>
          <w:szCs w:val="16"/>
        </w:rPr>
        <w:softHyphen/>
        <w:t>шению. Несмотря на то что Великобритания однозначно показала курс на моторизацию армии и продемонстриро</w:t>
      </w:r>
      <w:r w:rsidRPr="00A259BD">
        <w:rPr>
          <w:rFonts w:ascii="Times New Roman" w:hAnsi="Times New Roman"/>
          <w:color w:val="000000" w:themeColor="text1"/>
          <w:sz w:val="16"/>
          <w:szCs w:val="16"/>
        </w:rPr>
        <w:softHyphen/>
        <w:t>вала ряд новейших образцов бронетанковой техники, Гер</w:t>
      </w:r>
      <w:r w:rsidRPr="00A259BD">
        <w:rPr>
          <w:rFonts w:ascii="Times New Roman" w:hAnsi="Times New Roman"/>
          <w:color w:val="000000" w:themeColor="text1"/>
          <w:sz w:val="16"/>
          <w:szCs w:val="16"/>
        </w:rPr>
        <w:softHyphen/>
        <w:t>мания не торопилась в данном вопросе, и в школе сохраня</w:t>
      </w:r>
      <w:r w:rsidRPr="00A259BD">
        <w:rPr>
          <w:rFonts w:ascii="Times New Roman" w:hAnsi="Times New Roman"/>
          <w:color w:val="000000" w:themeColor="text1"/>
          <w:sz w:val="16"/>
          <w:szCs w:val="16"/>
        </w:rPr>
        <w:softHyphen/>
        <w:t>лась матчасть, построенная в середине 1920-х и доставлен</w:t>
      </w:r>
      <w:r w:rsidRPr="00A259BD">
        <w:rPr>
          <w:rFonts w:ascii="Times New Roman" w:hAnsi="Times New Roman"/>
          <w:color w:val="000000" w:themeColor="text1"/>
          <w:sz w:val="16"/>
          <w:szCs w:val="16"/>
        </w:rPr>
        <w:softHyphen/>
        <w:t>ная в 1929-м. Более того, переговоры в ноябре 1931 г. К. Во</w:t>
      </w:r>
      <w:r w:rsidRPr="00A259BD">
        <w:rPr>
          <w:rFonts w:ascii="Times New Roman" w:hAnsi="Times New Roman"/>
          <w:color w:val="000000" w:themeColor="text1"/>
          <w:sz w:val="16"/>
          <w:szCs w:val="16"/>
        </w:rPr>
        <w:softHyphen/>
        <w:t>рошилова с генералом Адамом показали, что последний стоит на позиции вспомогательной роли танков в грядущей войне и потому в 1932 г. новых типов немецких танков ожи</w:t>
      </w:r>
      <w:r w:rsidRPr="00A259BD">
        <w:rPr>
          <w:rFonts w:ascii="Times New Roman" w:hAnsi="Times New Roman"/>
          <w:color w:val="000000" w:themeColor="text1"/>
          <w:sz w:val="16"/>
          <w:szCs w:val="16"/>
        </w:rPr>
        <w:softHyphen/>
        <w:t>дать не приходилось. Более того, в марте 1932 г. немецкое руководство попросило доставить в “Каму” закупленные СССР в Великобритании и САСШ танки “Виккерс” и “Кристи” для их совместного изучения (10733,126).</w:t>
      </w:r>
    </w:p>
    <w:p w14:paraId="3FCE2F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0A83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Весной 1929 года из Германии прибыли 10 танков начались практические занятия в казанской школе. В целях конспирации в документах они именовались “тракторами”: 2 больших трактора “Даймлер-Бенц”, 2 больших и 2 лёгких трактора “Крупп”, 2 больших и 2 лёгких трактора “</w:t>
      </w:r>
      <w:proofErr w:type="spellStart"/>
      <w:r w:rsidRPr="00A259BD">
        <w:rPr>
          <w:rFonts w:ascii="Times New Roman" w:hAnsi="Times New Roman"/>
          <w:color w:val="000000" w:themeColor="text1"/>
          <w:sz w:val="16"/>
          <w:szCs w:val="16"/>
        </w:rPr>
        <w:t>Рейнметалл</w:t>
      </w:r>
      <w:proofErr w:type="spellEnd"/>
      <w:r w:rsidRPr="00A259BD">
        <w:rPr>
          <w:rFonts w:ascii="Times New Roman" w:hAnsi="Times New Roman"/>
          <w:color w:val="000000" w:themeColor="text1"/>
          <w:sz w:val="16"/>
          <w:szCs w:val="16"/>
        </w:rPr>
        <w:t xml:space="preserve">”. Сначала в течение 4 месяцев был обучен преподавательский состав, после чего началась подготовка немецких и советских курсантов. </w:t>
      </w:r>
    </w:p>
    <w:p w14:paraId="0250CE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Вплоть до закрытия в 1933 году школа успела сделать три выпуска немецких слушателей: в 1929/30 учебном году — 10, в 1931/32-11 и в 1933-м — 9 человек. </w:t>
      </w:r>
    </w:p>
    <w:p w14:paraId="711497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нашей стороны в школе прошли обучение 65 человек начсостава танковых и мотомеханизированных частей РККА. Большинство из них были строевыми командирами и преподавателями бронетанковых вузов, меньшая часть представляла инженерный состав.</w:t>
      </w:r>
    </w:p>
    <w:p w14:paraId="3E12BF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Начальником казанской танковой школы был офицер рейхсвера — в 1929 году этот пост занимал подполковник </w:t>
      </w:r>
      <w:proofErr w:type="spellStart"/>
      <w:r w:rsidRPr="00A259BD">
        <w:rPr>
          <w:rFonts w:ascii="Times New Roman" w:hAnsi="Times New Roman"/>
          <w:color w:val="000000" w:themeColor="text1"/>
          <w:sz w:val="16"/>
          <w:szCs w:val="16"/>
        </w:rPr>
        <w:t>В.Мальбрандт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Malbrandt</w:t>
      </w:r>
      <w:proofErr w:type="spellEnd"/>
      <w:r w:rsidRPr="00A259BD">
        <w:rPr>
          <w:rFonts w:ascii="Times New Roman" w:hAnsi="Times New Roman"/>
          <w:color w:val="000000" w:themeColor="text1"/>
          <w:sz w:val="16"/>
          <w:szCs w:val="16"/>
        </w:rPr>
        <w:t xml:space="preserve">), в честь которого, кстати, проект и получил кодовое название “Кама” (Казань + </w:t>
      </w:r>
      <w:proofErr w:type="spellStart"/>
      <w:r w:rsidRPr="00A259BD">
        <w:rPr>
          <w:rFonts w:ascii="Times New Roman" w:hAnsi="Times New Roman"/>
          <w:color w:val="000000" w:themeColor="text1"/>
          <w:sz w:val="16"/>
          <w:szCs w:val="16"/>
        </w:rPr>
        <w:t>Мальбрандт</w:t>
      </w:r>
      <w:proofErr w:type="spellEnd"/>
      <w:r w:rsidRPr="00A259BD">
        <w:rPr>
          <w:rFonts w:ascii="Times New Roman" w:hAnsi="Times New Roman"/>
          <w:color w:val="000000" w:themeColor="text1"/>
          <w:sz w:val="16"/>
          <w:szCs w:val="16"/>
        </w:rPr>
        <w:t xml:space="preserve">). В 1929-1932 гг. эту должность занимал Людвиг Риттер фон </w:t>
      </w:r>
      <w:proofErr w:type="spellStart"/>
      <w:r w:rsidRPr="00A259BD">
        <w:rPr>
          <w:rFonts w:ascii="Times New Roman" w:hAnsi="Times New Roman"/>
          <w:color w:val="000000" w:themeColor="text1"/>
          <w:sz w:val="16"/>
          <w:szCs w:val="16"/>
        </w:rPr>
        <w:t>Радльмайер</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Radlmayer</w:t>
      </w:r>
      <w:proofErr w:type="spellEnd"/>
      <w:r w:rsidRPr="00A259BD">
        <w:rPr>
          <w:rFonts w:ascii="Times New Roman" w:hAnsi="Times New Roman"/>
          <w:color w:val="000000" w:themeColor="text1"/>
          <w:sz w:val="16"/>
          <w:szCs w:val="16"/>
        </w:rPr>
        <w:t>), в 1932-1933 гг. — полковник Йозеф Харпе (</w:t>
      </w:r>
      <w:proofErr w:type="spellStart"/>
      <w:r w:rsidRPr="00A259BD">
        <w:rPr>
          <w:rFonts w:ascii="Times New Roman" w:hAnsi="Times New Roman"/>
          <w:color w:val="000000" w:themeColor="text1"/>
          <w:sz w:val="16"/>
          <w:szCs w:val="16"/>
        </w:rPr>
        <w:t>Josef</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Harpe</w:t>
      </w:r>
      <w:proofErr w:type="spellEnd"/>
      <w:r w:rsidRPr="00A259BD">
        <w:rPr>
          <w:rFonts w:ascii="Times New Roman" w:hAnsi="Times New Roman"/>
          <w:color w:val="000000" w:themeColor="text1"/>
          <w:sz w:val="16"/>
          <w:szCs w:val="16"/>
        </w:rPr>
        <w:t>).</w:t>
      </w:r>
    </w:p>
    <w:p w14:paraId="7054BC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Преподавали в школе немцы, мы предоставляли только вспомогательный персонал, труд которого оплачивался немцами. Материальная база немецкая, доставлена в школу за немецкий счёт. Немцы несли все расходы, а они были немалые: в 1929 году затраты германской стороны составили 1,5 млн марок, в 1930 году — 1,24 млн марок. Мы оплачивали только содержание советских курсантов, потраченные ими горючее и боеприпасы, а также случившиеся по их вине серьёзные поломки (11208).</w:t>
      </w:r>
    </w:p>
    <w:p w14:paraId="7DD6B1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6483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Весной 1929 г. советское правительство объявило о строительстве автозавода на 100 000 машин в год без привлечения иностранного капитала, но при зарубежном техническом содействии, и в качестве партнера была избрана компания Форда, согласившаяся на такое сотрудничество.</w:t>
      </w:r>
    </w:p>
    <w:p w14:paraId="1B156C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Договор с Форд Мотор был подписан 31 мая 1929 г. сроком на 9 лет</w:t>
      </w:r>
    </w:p>
    <w:p w14:paraId="1FF775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Им предусматривалось строительство в Советском Союзе одного или нескольких заводов по выпуску моделей А и АА при условии предоставления американцами всей необходимой проектной и технической документации, лицензий и патентов, в том числе и на те усовершенствования и новинки, которые могли появиться на протяжении действия договора. Для консультирования и наблюдения за ходом строительства, установкой оборудования и пуском завода компания присылала своих специалистов и принимала до 50 советских стажеров в год для изучения производства.</w:t>
      </w:r>
    </w:p>
    <w:p w14:paraId="736B45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Советская сторона обязалась погасить расходы компании, связанные с техническим содействием (стоимость изготовления чертежей и документации, оплата труда фордовских специалистов в СССР), и приобрести у компании в течение четырех лет 72 000 комплектов авточастей (кроме шин) для сборки и ремонта автомобилей. Договор подписали Генри Форд, вице-президент компании </w:t>
      </w:r>
      <w:proofErr w:type="spellStart"/>
      <w:r w:rsidRPr="00A259BD">
        <w:rPr>
          <w:rFonts w:ascii="Times New Roman" w:hAnsi="Times New Roman"/>
          <w:color w:val="000000" w:themeColor="text1"/>
          <w:sz w:val="16"/>
          <w:szCs w:val="16"/>
        </w:rPr>
        <w:t>П.Е.Мартин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В.И.Межлаук</w:t>
      </w:r>
      <w:proofErr w:type="spellEnd"/>
      <w:r w:rsidRPr="00A259BD">
        <w:rPr>
          <w:rFonts w:ascii="Times New Roman" w:hAnsi="Times New Roman"/>
          <w:color w:val="000000" w:themeColor="text1"/>
          <w:sz w:val="16"/>
          <w:szCs w:val="16"/>
        </w:rPr>
        <w:t xml:space="preserve"> и председатель Амторга </w:t>
      </w:r>
      <w:proofErr w:type="spellStart"/>
      <w:r w:rsidRPr="00A259BD">
        <w:rPr>
          <w:rFonts w:ascii="Times New Roman" w:hAnsi="Times New Roman"/>
          <w:color w:val="000000" w:themeColor="text1"/>
          <w:sz w:val="16"/>
          <w:szCs w:val="16"/>
        </w:rPr>
        <w:t>С.Г.Брон</w:t>
      </w:r>
      <w:proofErr w:type="spellEnd"/>
      <w:r w:rsidRPr="00A259BD">
        <w:rPr>
          <w:rFonts w:ascii="Times New Roman" w:hAnsi="Times New Roman"/>
          <w:color w:val="000000" w:themeColor="text1"/>
          <w:sz w:val="16"/>
          <w:szCs w:val="16"/>
        </w:rPr>
        <w:t xml:space="preserve"> (11506).</w:t>
      </w:r>
    </w:p>
    <w:p w14:paraId="754687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BEB0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Весной 1929 г. «Автодор» провел конкурс проектов маломощных аэросаней, пригод</w:t>
      </w:r>
      <w:r w:rsidRPr="00A259BD">
        <w:rPr>
          <w:rFonts w:ascii="Times New Roman" w:hAnsi="Times New Roman"/>
          <w:color w:val="000000" w:themeColor="text1"/>
          <w:sz w:val="16"/>
          <w:szCs w:val="16"/>
        </w:rPr>
        <w:softHyphen/>
        <w:t>ных для изготовления низовыми ячейками со слабой материальной базой. По условиям конкурса особо оговаривалось использова</w:t>
      </w:r>
      <w:r w:rsidRPr="00A259BD">
        <w:rPr>
          <w:rFonts w:ascii="Times New Roman" w:hAnsi="Times New Roman"/>
          <w:color w:val="000000" w:themeColor="text1"/>
          <w:sz w:val="16"/>
          <w:szCs w:val="16"/>
        </w:rPr>
        <w:softHyphen/>
        <w:t>ние дерева как основного материала для изготовления корпуса. На конкурс было представлено 15 кон</w:t>
      </w:r>
      <w:r w:rsidRPr="00A259BD">
        <w:rPr>
          <w:rFonts w:ascii="Times New Roman" w:hAnsi="Times New Roman"/>
          <w:color w:val="000000" w:themeColor="text1"/>
          <w:sz w:val="16"/>
          <w:szCs w:val="16"/>
        </w:rPr>
        <w:softHyphen/>
        <w:t xml:space="preserve">струкций: Шишкина и </w:t>
      </w:r>
      <w:proofErr w:type="spellStart"/>
      <w:r w:rsidRPr="00A259BD">
        <w:rPr>
          <w:rFonts w:ascii="Times New Roman" w:hAnsi="Times New Roman"/>
          <w:color w:val="000000" w:themeColor="text1"/>
          <w:sz w:val="16"/>
          <w:szCs w:val="16"/>
        </w:rPr>
        <w:t>Валединского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Сме-калова</w:t>
      </w:r>
      <w:proofErr w:type="spellEnd"/>
      <w:r w:rsidRPr="00A259BD">
        <w:rPr>
          <w:rFonts w:ascii="Times New Roman" w:hAnsi="Times New Roman"/>
          <w:color w:val="000000" w:themeColor="text1"/>
          <w:sz w:val="16"/>
          <w:szCs w:val="16"/>
        </w:rPr>
        <w:t xml:space="preserve">, ВАМБ (В. Цветкова, А. Скворцова, М. Веселовского, Б. Белянина), Зотова, </w:t>
      </w:r>
      <w:proofErr w:type="spellStart"/>
      <w:r w:rsidRPr="00A259BD">
        <w:rPr>
          <w:rFonts w:ascii="Times New Roman" w:hAnsi="Times New Roman"/>
          <w:color w:val="000000" w:themeColor="text1"/>
          <w:sz w:val="16"/>
          <w:szCs w:val="16"/>
        </w:rPr>
        <w:t>Жарныльского</w:t>
      </w:r>
      <w:proofErr w:type="spellEnd"/>
      <w:r w:rsidRPr="00A259BD">
        <w:rPr>
          <w:rFonts w:ascii="Times New Roman" w:hAnsi="Times New Roman"/>
          <w:color w:val="000000" w:themeColor="text1"/>
          <w:sz w:val="16"/>
          <w:szCs w:val="16"/>
        </w:rPr>
        <w:t>, Распопова, Торопова, Вер-</w:t>
      </w:r>
      <w:proofErr w:type="spellStart"/>
      <w:r w:rsidRPr="00A259BD">
        <w:rPr>
          <w:rFonts w:ascii="Times New Roman" w:hAnsi="Times New Roman"/>
          <w:color w:val="000000" w:themeColor="text1"/>
          <w:sz w:val="16"/>
          <w:szCs w:val="16"/>
        </w:rPr>
        <w:t>зилова</w:t>
      </w:r>
      <w:proofErr w:type="spellEnd"/>
      <w:r w:rsidRPr="00A259BD">
        <w:rPr>
          <w:rFonts w:ascii="Times New Roman" w:hAnsi="Times New Roman"/>
          <w:color w:val="000000" w:themeColor="text1"/>
          <w:sz w:val="16"/>
          <w:szCs w:val="16"/>
        </w:rPr>
        <w:t>, Елагина, Алексеева, Селезнева, Ро</w:t>
      </w:r>
      <w:r w:rsidRPr="00A259BD">
        <w:rPr>
          <w:rFonts w:ascii="Times New Roman" w:hAnsi="Times New Roman"/>
          <w:color w:val="000000" w:themeColor="text1"/>
          <w:sz w:val="16"/>
          <w:szCs w:val="16"/>
        </w:rPr>
        <w:softHyphen/>
        <w:t xml:space="preserve">занова и </w:t>
      </w:r>
      <w:proofErr w:type="spellStart"/>
      <w:r w:rsidRPr="00A259BD">
        <w:rPr>
          <w:rFonts w:ascii="Times New Roman" w:hAnsi="Times New Roman"/>
          <w:color w:val="000000" w:themeColor="text1"/>
          <w:sz w:val="16"/>
          <w:szCs w:val="16"/>
        </w:rPr>
        <w:t>Ивенсена</w:t>
      </w:r>
      <w:proofErr w:type="spellEnd"/>
      <w:r w:rsidRPr="00A259BD">
        <w:rPr>
          <w:rFonts w:ascii="Times New Roman" w:hAnsi="Times New Roman"/>
          <w:color w:val="000000" w:themeColor="text1"/>
          <w:sz w:val="16"/>
          <w:szCs w:val="16"/>
        </w:rPr>
        <w:t xml:space="preserve">, Маслова, Ширева и </w:t>
      </w:r>
      <w:proofErr w:type="spellStart"/>
      <w:r w:rsidRPr="00A259BD">
        <w:rPr>
          <w:rFonts w:ascii="Times New Roman" w:hAnsi="Times New Roman"/>
          <w:color w:val="000000" w:themeColor="text1"/>
          <w:sz w:val="16"/>
          <w:szCs w:val="16"/>
        </w:rPr>
        <w:t>Гартвига</w:t>
      </w:r>
      <w:proofErr w:type="spellEnd"/>
      <w:r w:rsidRPr="00A259BD">
        <w:rPr>
          <w:rFonts w:ascii="Times New Roman" w:hAnsi="Times New Roman"/>
          <w:color w:val="000000" w:themeColor="text1"/>
          <w:sz w:val="16"/>
          <w:szCs w:val="16"/>
        </w:rPr>
        <w:t>. Самой технически совершенной конст</w:t>
      </w:r>
      <w:r w:rsidRPr="00A259BD">
        <w:rPr>
          <w:rFonts w:ascii="Times New Roman" w:hAnsi="Times New Roman"/>
          <w:color w:val="000000" w:themeColor="text1"/>
          <w:sz w:val="16"/>
          <w:szCs w:val="16"/>
        </w:rPr>
        <w:softHyphen/>
        <w:t>рукцией из них, безусловно, являлись аэро</w:t>
      </w:r>
      <w:r w:rsidRPr="00A259BD">
        <w:rPr>
          <w:rFonts w:ascii="Times New Roman" w:hAnsi="Times New Roman"/>
          <w:color w:val="000000" w:themeColor="text1"/>
          <w:sz w:val="16"/>
          <w:szCs w:val="16"/>
        </w:rPr>
        <w:softHyphen/>
        <w:t>сани Ф.М. Маслова, выпущенные в двух эк</w:t>
      </w:r>
      <w:r w:rsidRPr="00A259BD">
        <w:rPr>
          <w:rFonts w:ascii="Times New Roman" w:hAnsi="Times New Roman"/>
          <w:color w:val="000000" w:themeColor="text1"/>
          <w:sz w:val="16"/>
          <w:szCs w:val="16"/>
        </w:rPr>
        <w:softHyphen/>
        <w:t>земплярах на военном складе №94 СибВО при поддержке местных отделений «</w:t>
      </w:r>
      <w:proofErr w:type="spellStart"/>
      <w:r w:rsidRPr="00A259BD">
        <w:rPr>
          <w:rFonts w:ascii="Times New Roman" w:hAnsi="Times New Roman"/>
          <w:color w:val="000000" w:themeColor="text1"/>
          <w:sz w:val="16"/>
          <w:szCs w:val="16"/>
        </w:rPr>
        <w:t>Осоа-виахима</w:t>
      </w:r>
      <w:proofErr w:type="spellEnd"/>
      <w:r w:rsidRPr="00A259BD">
        <w:rPr>
          <w:rFonts w:ascii="Times New Roman" w:hAnsi="Times New Roman"/>
          <w:color w:val="000000" w:themeColor="text1"/>
          <w:sz w:val="16"/>
          <w:szCs w:val="16"/>
        </w:rPr>
        <w:t>», «Автодора» и всемерном содей</w:t>
      </w:r>
      <w:r w:rsidRPr="00A259BD">
        <w:rPr>
          <w:rFonts w:ascii="Times New Roman" w:hAnsi="Times New Roman"/>
          <w:color w:val="000000" w:themeColor="text1"/>
          <w:sz w:val="16"/>
          <w:szCs w:val="16"/>
        </w:rPr>
        <w:softHyphen/>
        <w:t>ствии руководства округа в лице его коман</w:t>
      </w:r>
      <w:r w:rsidRPr="00A259BD">
        <w:rPr>
          <w:rFonts w:ascii="Times New Roman" w:hAnsi="Times New Roman"/>
          <w:color w:val="000000" w:themeColor="text1"/>
          <w:sz w:val="16"/>
          <w:szCs w:val="16"/>
        </w:rPr>
        <w:softHyphen/>
        <w:t>дующего т. Куйбышева. Аэросани, имевшие незначительные внешние отличия, получи</w:t>
      </w:r>
      <w:r w:rsidRPr="00A259BD">
        <w:rPr>
          <w:rFonts w:ascii="Times New Roman" w:hAnsi="Times New Roman"/>
          <w:color w:val="000000" w:themeColor="text1"/>
          <w:sz w:val="16"/>
          <w:szCs w:val="16"/>
        </w:rPr>
        <w:softHyphen/>
        <w:t>ли и собственные имена - М-1 «</w:t>
      </w:r>
      <w:proofErr w:type="spellStart"/>
      <w:r w:rsidRPr="00A259BD">
        <w:rPr>
          <w:rFonts w:ascii="Times New Roman" w:hAnsi="Times New Roman"/>
          <w:color w:val="000000" w:themeColor="text1"/>
          <w:sz w:val="16"/>
          <w:szCs w:val="16"/>
        </w:rPr>
        <w:t>Автодоро-вец</w:t>
      </w:r>
      <w:proofErr w:type="spellEnd"/>
      <w:r w:rsidRPr="00A259BD">
        <w:rPr>
          <w:rFonts w:ascii="Times New Roman" w:hAnsi="Times New Roman"/>
          <w:color w:val="000000" w:themeColor="text1"/>
          <w:sz w:val="16"/>
          <w:szCs w:val="16"/>
        </w:rPr>
        <w:t>» и М-2 «</w:t>
      </w:r>
      <w:proofErr w:type="spellStart"/>
      <w:r w:rsidRPr="00A259BD">
        <w:rPr>
          <w:rFonts w:ascii="Times New Roman" w:hAnsi="Times New Roman"/>
          <w:color w:val="000000" w:themeColor="text1"/>
          <w:sz w:val="16"/>
          <w:szCs w:val="16"/>
        </w:rPr>
        <w:t>Осоавиахимовец</w:t>
      </w:r>
      <w:proofErr w:type="spellEnd"/>
      <w:r w:rsidRPr="00A259BD">
        <w:rPr>
          <w:rFonts w:ascii="Times New Roman" w:hAnsi="Times New Roman"/>
          <w:color w:val="000000" w:themeColor="text1"/>
          <w:sz w:val="16"/>
          <w:szCs w:val="16"/>
        </w:rPr>
        <w:t>». Каркас аэросаней Ф.М. Маслова был выполнен из дерева (причем материалом для шпангоутов послужили спинки венских сту</w:t>
      </w:r>
      <w:r w:rsidRPr="00A259BD">
        <w:rPr>
          <w:rFonts w:ascii="Times New Roman" w:hAnsi="Times New Roman"/>
          <w:color w:val="000000" w:themeColor="text1"/>
          <w:sz w:val="16"/>
          <w:szCs w:val="16"/>
        </w:rPr>
        <w:softHyphen/>
        <w:t>льев), а обшивка - из гофрированного коль</w:t>
      </w:r>
      <w:r w:rsidRPr="00A259BD">
        <w:rPr>
          <w:rFonts w:ascii="Times New Roman" w:hAnsi="Times New Roman"/>
          <w:color w:val="000000" w:themeColor="text1"/>
          <w:sz w:val="16"/>
          <w:szCs w:val="16"/>
        </w:rPr>
        <w:softHyphen/>
        <w:t>чугалюминия. Аэросани М-1 и М-2, оснащав</w:t>
      </w:r>
      <w:r w:rsidRPr="00A259BD">
        <w:rPr>
          <w:rFonts w:ascii="Times New Roman" w:hAnsi="Times New Roman"/>
          <w:color w:val="000000" w:themeColor="text1"/>
          <w:sz w:val="16"/>
          <w:szCs w:val="16"/>
        </w:rPr>
        <w:softHyphen/>
        <w:t>шиеся мотоциклетными моторами, облада</w:t>
      </w:r>
      <w:r w:rsidRPr="00A259BD">
        <w:rPr>
          <w:rFonts w:ascii="Times New Roman" w:hAnsi="Times New Roman"/>
          <w:color w:val="000000" w:themeColor="text1"/>
          <w:sz w:val="16"/>
          <w:szCs w:val="16"/>
        </w:rPr>
        <w:softHyphen/>
        <w:t>ли высокими эксплуатационными парамет</w:t>
      </w:r>
      <w:r w:rsidRPr="00A259BD">
        <w:rPr>
          <w:rFonts w:ascii="Times New Roman" w:hAnsi="Times New Roman"/>
          <w:color w:val="000000" w:themeColor="text1"/>
          <w:sz w:val="16"/>
          <w:szCs w:val="16"/>
        </w:rPr>
        <w:softHyphen/>
        <w:t>рами, в частности, надежностью, что под</w:t>
      </w:r>
      <w:r w:rsidRPr="00A259BD">
        <w:rPr>
          <w:rFonts w:ascii="Times New Roman" w:hAnsi="Times New Roman"/>
          <w:color w:val="000000" w:themeColor="text1"/>
          <w:sz w:val="16"/>
          <w:szCs w:val="16"/>
        </w:rPr>
        <w:softHyphen/>
        <w:t>твердилось в ходе успешного проведения пробега Омск - Новосибирск. В дальнейшем они участвовали в различных смотрах и ма</w:t>
      </w:r>
      <w:r w:rsidRPr="00A259BD">
        <w:rPr>
          <w:rFonts w:ascii="Times New Roman" w:hAnsi="Times New Roman"/>
          <w:color w:val="000000" w:themeColor="text1"/>
          <w:sz w:val="16"/>
          <w:szCs w:val="16"/>
        </w:rPr>
        <w:softHyphen/>
        <w:t>неврах. В 1934 г. во время очередных ма</w:t>
      </w:r>
      <w:r w:rsidRPr="00A259BD">
        <w:rPr>
          <w:rFonts w:ascii="Times New Roman" w:hAnsi="Times New Roman"/>
          <w:color w:val="000000" w:themeColor="text1"/>
          <w:sz w:val="16"/>
          <w:szCs w:val="16"/>
        </w:rPr>
        <w:softHyphen/>
        <w:t>невров аэросани М-1 сгорели, но вторая машина находилась в эксплуатации по край</w:t>
      </w:r>
      <w:r w:rsidRPr="00A259BD">
        <w:rPr>
          <w:rFonts w:ascii="Times New Roman" w:hAnsi="Times New Roman"/>
          <w:color w:val="000000" w:themeColor="text1"/>
          <w:sz w:val="16"/>
          <w:szCs w:val="16"/>
        </w:rPr>
        <w:softHyphen/>
        <w:t xml:space="preserve">ней мере до 1936 г. Несмотря </w:t>
      </w:r>
      <w:r w:rsidRPr="00A259BD">
        <w:rPr>
          <w:rFonts w:ascii="Times New Roman" w:hAnsi="Times New Roman"/>
          <w:color w:val="000000" w:themeColor="text1"/>
          <w:sz w:val="16"/>
          <w:szCs w:val="16"/>
        </w:rPr>
        <w:lastRenderedPageBreak/>
        <w:t>на ряд положительных ка</w:t>
      </w:r>
      <w:r w:rsidRPr="00A259BD">
        <w:rPr>
          <w:rFonts w:ascii="Times New Roman" w:hAnsi="Times New Roman"/>
          <w:color w:val="000000" w:themeColor="text1"/>
          <w:sz w:val="16"/>
          <w:szCs w:val="16"/>
        </w:rPr>
        <w:softHyphen/>
        <w:t>честв, аэросани Маслова были удостоены лишь поощрительной премии, так как не соответствовали условиям конкурса, т.е. были непригодны к постройке силами ни</w:t>
      </w:r>
      <w:r w:rsidRPr="00A259BD">
        <w:rPr>
          <w:rFonts w:ascii="Times New Roman" w:hAnsi="Times New Roman"/>
          <w:color w:val="000000" w:themeColor="text1"/>
          <w:sz w:val="16"/>
          <w:szCs w:val="16"/>
        </w:rPr>
        <w:softHyphen/>
        <w:t>зовых ячеек и требовали применения де</w:t>
      </w:r>
      <w:r w:rsidRPr="00A259BD">
        <w:rPr>
          <w:rFonts w:ascii="Times New Roman" w:hAnsi="Times New Roman"/>
          <w:color w:val="000000" w:themeColor="text1"/>
          <w:sz w:val="16"/>
          <w:szCs w:val="16"/>
        </w:rPr>
        <w:softHyphen/>
        <w:t xml:space="preserve">фицитных материалов. В 1938 г. Ф.М. </w:t>
      </w:r>
      <w:proofErr w:type="spellStart"/>
      <w:r w:rsidRPr="00A259BD">
        <w:rPr>
          <w:rFonts w:ascii="Times New Roman" w:hAnsi="Times New Roman"/>
          <w:color w:val="000000" w:themeColor="text1"/>
          <w:sz w:val="16"/>
          <w:szCs w:val="16"/>
        </w:rPr>
        <w:t>Мас</w:t>
      </w:r>
      <w:proofErr w:type="spellEnd"/>
      <w:r w:rsidRPr="00A259BD">
        <w:rPr>
          <w:rFonts w:ascii="Times New Roman" w:hAnsi="Times New Roman"/>
          <w:color w:val="000000" w:themeColor="text1"/>
          <w:sz w:val="16"/>
          <w:szCs w:val="16"/>
        </w:rPr>
        <w:t>-лов построил еще одни аэросани с мото</w:t>
      </w:r>
      <w:r w:rsidRPr="00A259BD">
        <w:rPr>
          <w:rFonts w:ascii="Times New Roman" w:hAnsi="Times New Roman"/>
          <w:color w:val="000000" w:themeColor="text1"/>
          <w:sz w:val="16"/>
          <w:szCs w:val="16"/>
        </w:rPr>
        <w:softHyphen/>
        <w:t>циклетным мотором, отличавшиеся от пре</w:t>
      </w:r>
      <w:r w:rsidRPr="00A259BD">
        <w:rPr>
          <w:rFonts w:ascii="Times New Roman" w:hAnsi="Times New Roman"/>
          <w:color w:val="000000" w:themeColor="text1"/>
          <w:sz w:val="16"/>
          <w:szCs w:val="16"/>
        </w:rPr>
        <w:softHyphen/>
        <w:t>дыдущих моделей габаритами и архитектурой корпуса, в частности, наличием зак</w:t>
      </w:r>
      <w:r w:rsidRPr="00A259BD">
        <w:rPr>
          <w:rFonts w:ascii="Times New Roman" w:hAnsi="Times New Roman"/>
          <w:color w:val="000000" w:themeColor="text1"/>
          <w:sz w:val="16"/>
          <w:szCs w:val="16"/>
        </w:rPr>
        <w:softHyphen/>
        <w:t>рытой кабины. Поощрительной премией также были отмечены аэросани П.Ф. Торопова пост</w:t>
      </w:r>
      <w:r w:rsidRPr="00A259BD">
        <w:rPr>
          <w:rFonts w:ascii="Times New Roman" w:hAnsi="Times New Roman"/>
          <w:color w:val="000000" w:themeColor="text1"/>
          <w:sz w:val="16"/>
          <w:szCs w:val="16"/>
        </w:rPr>
        <w:softHyphen/>
        <w:t>ройки общества «Динамо» Иваново-Возне-</w:t>
      </w:r>
      <w:proofErr w:type="spellStart"/>
      <w:r w:rsidRPr="00A259BD">
        <w:rPr>
          <w:rFonts w:ascii="Times New Roman" w:hAnsi="Times New Roman"/>
          <w:color w:val="000000" w:themeColor="text1"/>
          <w:sz w:val="16"/>
          <w:szCs w:val="16"/>
        </w:rPr>
        <w:t>сенска</w:t>
      </w:r>
      <w:proofErr w:type="spellEnd"/>
      <w:r w:rsidRPr="00A259BD">
        <w:rPr>
          <w:rFonts w:ascii="Times New Roman" w:hAnsi="Times New Roman"/>
          <w:color w:val="000000" w:themeColor="text1"/>
          <w:sz w:val="16"/>
          <w:szCs w:val="16"/>
        </w:rPr>
        <w:t xml:space="preserve"> и ВАМБ, собранные в Нижнем Нов</w:t>
      </w:r>
      <w:r w:rsidRPr="00A259BD">
        <w:rPr>
          <w:rFonts w:ascii="Times New Roman" w:hAnsi="Times New Roman"/>
          <w:color w:val="000000" w:themeColor="text1"/>
          <w:sz w:val="16"/>
          <w:szCs w:val="16"/>
        </w:rPr>
        <w:softHyphen/>
        <w:t>городе. Условиям конкурса наиболее полно от</w:t>
      </w:r>
      <w:r w:rsidRPr="00A259BD">
        <w:rPr>
          <w:rFonts w:ascii="Times New Roman" w:hAnsi="Times New Roman"/>
          <w:color w:val="000000" w:themeColor="text1"/>
          <w:sz w:val="16"/>
          <w:szCs w:val="16"/>
        </w:rPr>
        <w:softHyphen/>
        <w:t xml:space="preserve">вечали конструкции аэросаней Шишкина и </w:t>
      </w:r>
      <w:proofErr w:type="spellStart"/>
      <w:r w:rsidRPr="00A259BD">
        <w:rPr>
          <w:rFonts w:ascii="Times New Roman" w:hAnsi="Times New Roman"/>
          <w:color w:val="000000" w:themeColor="text1"/>
          <w:sz w:val="16"/>
          <w:szCs w:val="16"/>
        </w:rPr>
        <w:t>Валединского</w:t>
      </w:r>
      <w:proofErr w:type="spellEnd"/>
      <w:r w:rsidRPr="00A259BD">
        <w:rPr>
          <w:rFonts w:ascii="Times New Roman" w:hAnsi="Times New Roman"/>
          <w:color w:val="000000" w:themeColor="text1"/>
          <w:sz w:val="16"/>
          <w:szCs w:val="16"/>
        </w:rPr>
        <w:t>, удостоенные первой премии, и Распопова, получившие вторую премию. Остальные конструкции по различным при</w:t>
      </w:r>
      <w:r w:rsidRPr="00A259BD">
        <w:rPr>
          <w:rFonts w:ascii="Times New Roman" w:hAnsi="Times New Roman"/>
          <w:color w:val="000000" w:themeColor="text1"/>
          <w:sz w:val="16"/>
          <w:szCs w:val="16"/>
        </w:rPr>
        <w:softHyphen/>
        <w:t>чинам не получили положительных оценок комиссии. Результаты конкурса 1929 г. ши</w:t>
      </w:r>
      <w:r w:rsidRPr="00A259BD">
        <w:rPr>
          <w:rFonts w:ascii="Times New Roman" w:hAnsi="Times New Roman"/>
          <w:color w:val="000000" w:themeColor="text1"/>
          <w:sz w:val="16"/>
          <w:szCs w:val="16"/>
        </w:rPr>
        <w:softHyphen/>
        <w:t>роко освещались в прессе, а чертежи аэро</w:t>
      </w:r>
      <w:r w:rsidRPr="00A259BD">
        <w:rPr>
          <w:rFonts w:ascii="Times New Roman" w:hAnsi="Times New Roman"/>
          <w:color w:val="000000" w:themeColor="text1"/>
          <w:sz w:val="16"/>
          <w:szCs w:val="16"/>
        </w:rPr>
        <w:softHyphen/>
        <w:t xml:space="preserve">саней Шишкина и </w:t>
      </w:r>
      <w:proofErr w:type="spellStart"/>
      <w:r w:rsidRPr="00A259BD">
        <w:rPr>
          <w:rFonts w:ascii="Times New Roman" w:hAnsi="Times New Roman"/>
          <w:color w:val="000000" w:themeColor="text1"/>
          <w:sz w:val="16"/>
          <w:szCs w:val="16"/>
        </w:rPr>
        <w:t>Валединского</w:t>
      </w:r>
      <w:proofErr w:type="spellEnd"/>
      <w:r w:rsidRPr="00A259BD">
        <w:rPr>
          <w:rFonts w:ascii="Times New Roman" w:hAnsi="Times New Roman"/>
          <w:color w:val="000000" w:themeColor="text1"/>
          <w:sz w:val="16"/>
          <w:szCs w:val="16"/>
        </w:rPr>
        <w:t xml:space="preserve"> были изда</w:t>
      </w:r>
      <w:r w:rsidRPr="00A259BD">
        <w:rPr>
          <w:rFonts w:ascii="Times New Roman" w:hAnsi="Times New Roman"/>
          <w:color w:val="000000" w:themeColor="text1"/>
          <w:sz w:val="16"/>
          <w:szCs w:val="16"/>
        </w:rPr>
        <w:softHyphen/>
        <w:t>ны «Автодором» для рассылки в регионы по цене 15 рублей за комплект (11855).</w:t>
      </w:r>
    </w:p>
    <w:p w14:paraId="077DAFD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D0BF32" w14:textId="77777777" w:rsidR="00BA5B15" w:rsidRPr="00A259BD" w:rsidRDefault="00BA5B1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shd w:val="clear" w:color="auto" w:fill="FFFFFF"/>
        </w:rPr>
        <w:t xml:space="preserve">Весной 1929 г., побывав вновь на немецких заводах </w:t>
      </w:r>
      <w:proofErr w:type="spellStart"/>
      <w:r w:rsidRPr="00A259BD">
        <w:rPr>
          <w:rFonts w:ascii="Times New Roman" w:hAnsi="Times New Roman"/>
          <w:color w:val="000000" w:themeColor="text1"/>
          <w:sz w:val="16"/>
          <w:szCs w:val="16"/>
          <w:shd w:val="clear" w:color="auto" w:fill="FFFFFF"/>
        </w:rPr>
        <w:t>познакомишись</w:t>
      </w:r>
      <w:proofErr w:type="spellEnd"/>
      <w:r w:rsidRPr="00A259BD">
        <w:rPr>
          <w:rFonts w:ascii="Times New Roman" w:hAnsi="Times New Roman"/>
          <w:color w:val="000000" w:themeColor="text1"/>
          <w:sz w:val="16"/>
          <w:szCs w:val="16"/>
          <w:shd w:val="clear" w:color="auto" w:fill="FFFFFF"/>
        </w:rPr>
        <w:t xml:space="preserve"> с новинками мирового </w:t>
      </w:r>
      <w:proofErr w:type="spellStart"/>
      <w:r w:rsidRPr="00A259BD">
        <w:rPr>
          <w:rFonts w:ascii="Times New Roman" w:hAnsi="Times New Roman"/>
          <w:color w:val="000000" w:themeColor="text1"/>
          <w:sz w:val="16"/>
          <w:szCs w:val="16"/>
          <w:shd w:val="clear" w:color="auto" w:fill="FFFFFF"/>
        </w:rPr>
        <w:t>мотостроения</w:t>
      </w:r>
      <w:proofErr w:type="spellEnd"/>
      <w:r w:rsidRPr="00A259BD">
        <w:rPr>
          <w:rFonts w:ascii="Times New Roman" w:hAnsi="Times New Roman"/>
          <w:color w:val="000000" w:themeColor="text1"/>
          <w:sz w:val="16"/>
          <w:szCs w:val="16"/>
          <w:shd w:val="clear" w:color="auto" w:fill="FFFFFF"/>
        </w:rPr>
        <w:t xml:space="preserve">; высокопрофессиональными и дисциплинированными кадрами, да и вообще развивающейся после первой мировой экономикой Германии; Можаров говорил: - «Больно вспоминаются затерянные в пространстве, потонувшие в грязи Ижевск и пьяные песни, ножевые драки; хочется крикнуть родной земле: стальная воля к культуре и стройке-отныне лозунг твой!..» «…поточная система сборки на фирмах ДКВ и </w:t>
      </w:r>
      <w:proofErr w:type="spellStart"/>
      <w:r w:rsidRPr="00A259BD">
        <w:rPr>
          <w:rFonts w:ascii="Times New Roman" w:hAnsi="Times New Roman"/>
          <w:color w:val="000000" w:themeColor="text1"/>
          <w:sz w:val="16"/>
          <w:szCs w:val="16"/>
          <w:shd w:val="clear" w:color="auto" w:fill="FFFFFF"/>
        </w:rPr>
        <w:t>Вандерер</w:t>
      </w:r>
      <w:proofErr w:type="spellEnd"/>
      <w:r w:rsidRPr="00A259BD">
        <w:rPr>
          <w:rFonts w:ascii="Times New Roman" w:hAnsi="Times New Roman"/>
          <w:color w:val="000000" w:themeColor="text1"/>
          <w:sz w:val="16"/>
          <w:szCs w:val="16"/>
          <w:shd w:val="clear" w:color="auto" w:fill="FFFFFF"/>
        </w:rPr>
        <w:t xml:space="preserve"> -это апофеоз труда и человеческого гения. Понятно, почему столь поразительна дешевизна германской продукции. Нам с нашей расхлябанностью до этого далеко. Правда, по гигиене и некоторому оборудованию и мы не позади…». Месяц он трудился на заводе «</w:t>
      </w:r>
      <w:proofErr w:type="spellStart"/>
      <w:r w:rsidRPr="00A259BD">
        <w:rPr>
          <w:rFonts w:ascii="Times New Roman" w:hAnsi="Times New Roman"/>
          <w:color w:val="000000" w:themeColor="text1"/>
          <w:sz w:val="16"/>
          <w:szCs w:val="16"/>
          <w:shd w:val="clear" w:color="auto" w:fill="FFFFFF"/>
        </w:rPr>
        <w:t>Байроме-Моторенборне</w:t>
      </w:r>
      <w:proofErr w:type="spellEnd"/>
      <w:r w:rsidRPr="00A259BD">
        <w:rPr>
          <w:rFonts w:ascii="Times New Roman" w:hAnsi="Times New Roman"/>
          <w:color w:val="000000" w:themeColor="text1"/>
          <w:sz w:val="16"/>
          <w:szCs w:val="16"/>
          <w:shd w:val="clear" w:color="auto" w:fill="FFFFFF"/>
        </w:rPr>
        <w:t>» (BMW), столь хорошо знал свое дело, что предложил 17 замечаний по мотоциклам, и особенно по BMW R-16 и его коляске (ее кузов, подвеска на 2 полуэллиптических рессорах). Фирма учла несколько замечаний, в итоге премировала Можарова мотоциклом! и контейнером запчастей.</w:t>
      </w:r>
    </w:p>
    <w:p w14:paraId="1243E26B" w14:textId="77777777" w:rsidR="00BA5B15" w:rsidRPr="00A259BD" w:rsidRDefault="00BA5B15"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hAnsi="Times New Roman"/>
          <w:color w:val="000000" w:themeColor="text1"/>
          <w:sz w:val="16"/>
          <w:szCs w:val="16"/>
          <w:shd w:val="clear" w:color="auto" w:fill="FFFFFF"/>
        </w:rPr>
        <w:t>По весне 1929 г. в мастерской «</w:t>
      </w:r>
      <w:proofErr w:type="spellStart"/>
      <w:r w:rsidRPr="00A259BD">
        <w:rPr>
          <w:rFonts w:ascii="Times New Roman" w:hAnsi="Times New Roman"/>
          <w:color w:val="000000" w:themeColor="text1"/>
          <w:sz w:val="16"/>
          <w:szCs w:val="16"/>
          <w:shd w:val="clear" w:color="auto" w:fill="FFFFFF"/>
        </w:rPr>
        <w:t>Мотосекции</w:t>
      </w:r>
      <w:proofErr w:type="spellEnd"/>
      <w:r w:rsidRPr="00A259BD">
        <w:rPr>
          <w:rFonts w:ascii="Times New Roman" w:hAnsi="Times New Roman"/>
          <w:color w:val="000000" w:themeColor="text1"/>
          <w:sz w:val="16"/>
          <w:szCs w:val="16"/>
          <w:shd w:val="clear" w:color="auto" w:fill="FFFFFF"/>
        </w:rPr>
        <w:t xml:space="preserve"> Отдела Оздоровления» лучшие умельцы, взращенные на вековых традициях оружейников, начали лепить из стали, жести и немецких моторов целую стайку своих </w:t>
      </w:r>
      <w:proofErr w:type="spellStart"/>
      <w:r w:rsidRPr="00A259BD">
        <w:rPr>
          <w:rFonts w:ascii="Times New Roman" w:hAnsi="Times New Roman"/>
          <w:color w:val="000000" w:themeColor="text1"/>
          <w:sz w:val="16"/>
          <w:szCs w:val="16"/>
          <w:shd w:val="clear" w:color="auto" w:fill="FFFFFF"/>
        </w:rPr>
        <w:t>Ижей</w:t>
      </w:r>
      <w:proofErr w:type="spellEnd"/>
      <w:r w:rsidRPr="00A259BD">
        <w:rPr>
          <w:rFonts w:ascii="Times New Roman" w:hAnsi="Times New Roman"/>
          <w:color w:val="000000" w:themeColor="text1"/>
          <w:sz w:val="16"/>
          <w:szCs w:val="16"/>
          <w:shd w:val="clear" w:color="auto" w:fill="FFFFFF"/>
        </w:rPr>
        <w:t xml:space="preserve"> (названных так по реке Иж). Уже 17 сентября из ворот мастерской выкатили №1, собранный бригадой Иосифа Шадрина. Можаров говорил на митинге:« — То, что сделали мы, для педантичного немца было бы безумием. Но это безумие кончится победой советского мотоцикла. Конструктивно независимая машина создана нами всего за восемь месяцев, вдвое быстрее, чем создают в Берлине…» (19148).</w:t>
      </w:r>
    </w:p>
    <w:p w14:paraId="5151E315" w14:textId="77777777" w:rsidR="00BA5B15" w:rsidRPr="00A259BD" w:rsidRDefault="00BA5B15" w:rsidP="009236E3">
      <w:pPr>
        <w:spacing w:after="0" w:line="240" w:lineRule="auto"/>
        <w:jc w:val="both"/>
        <w:rPr>
          <w:rFonts w:ascii="Times New Roman" w:eastAsia="Times New Roman" w:hAnsi="Times New Roman"/>
          <w:color w:val="000000" w:themeColor="text1"/>
          <w:sz w:val="16"/>
          <w:szCs w:val="16"/>
          <w:lang w:eastAsia="ru-RU"/>
        </w:rPr>
      </w:pPr>
    </w:p>
    <w:p w14:paraId="4D819005" w14:textId="77777777" w:rsidR="00BA5B15" w:rsidRPr="00A259BD" w:rsidRDefault="00BA5B1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Весной 1929 г. «Автодор» провел конкурс проектов маломощных аэросаней, пригодных для изготовления низовыми ячейками со слабой материальной базой. По условиям конкурса особо оговаривалось использование дерева как основного материала для изготовления корпуса. На конкурс было представлено 17 конструкций, 15 из которых были реализованы на практике и проверены в эксплуатации. Самой технически совершенной конструкцией из них, безусловно, являлись аэросани Ф. М. Маслова, выпущенные в двух экземплярах на военном складе № 94 Сибирского Военного Округа при поддержке местных отделений «Осоавиахима», «Автодора» и всемерном содействии руководства округа в лице его командующего т. Куйбышева. Аэросани, имевшие незначительные внешние отличия, получили и собственные имена — М-1 «</w:t>
      </w:r>
      <w:proofErr w:type="spellStart"/>
      <w:r w:rsidRPr="00A259BD">
        <w:rPr>
          <w:rFonts w:ascii="Times New Roman" w:hAnsi="Times New Roman"/>
          <w:color w:val="000000" w:themeColor="text1"/>
          <w:sz w:val="16"/>
          <w:szCs w:val="16"/>
        </w:rPr>
        <w:t>Автодоровец</w:t>
      </w:r>
      <w:proofErr w:type="spellEnd"/>
      <w:r w:rsidRPr="00A259BD">
        <w:rPr>
          <w:rFonts w:ascii="Times New Roman" w:hAnsi="Times New Roman"/>
          <w:color w:val="000000" w:themeColor="text1"/>
          <w:sz w:val="16"/>
          <w:szCs w:val="16"/>
        </w:rPr>
        <w:t>» и М-2 «</w:t>
      </w:r>
      <w:proofErr w:type="spellStart"/>
      <w:r w:rsidRPr="00A259BD">
        <w:rPr>
          <w:rFonts w:ascii="Times New Roman" w:hAnsi="Times New Roman"/>
          <w:color w:val="000000" w:themeColor="text1"/>
          <w:sz w:val="16"/>
          <w:szCs w:val="16"/>
        </w:rPr>
        <w:t>Осоавиахимовец</w:t>
      </w:r>
      <w:proofErr w:type="spellEnd"/>
      <w:r w:rsidRPr="00A259BD">
        <w:rPr>
          <w:rFonts w:ascii="Times New Roman" w:hAnsi="Times New Roman"/>
          <w:color w:val="000000" w:themeColor="text1"/>
          <w:sz w:val="16"/>
          <w:szCs w:val="16"/>
        </w:rPr>
        <w:t>». Каркас аэросаней Ф. М. Маслова был выполнен из дерева (причем материалом для шпангоутов послужили спинки венских стульев), а обшивка — из гофрированного кольчугалюминия. Аэросани М-1 и М-2, оснащавшиеся мотоциклетными моторами, обладали высокими эксплуатационными параметрами, в частности, надежностью, что подтвердилось в ходе успешного проведения пробега Омск — Новосибирск. В дальнейшем они участвовали в различных смотрах и маневрах (19776).</w:t>
      </w:r>
    </w:p>
    <w:p w14:paraId="7E7EDF29" w14:textId="77777777" w:rsidR="00BA5B15" w:rsidRPr="00A259BD" w:rsidRDefault="00BA5B15" w:rsidP="009236E3">
      <w:pPr>
        <w:spacing w:after="0" w:line="240" w:lineRule="auto"/>
        <w:jc w:val="both"/>
        <w:rPr>
          <w:rFonts w:ascii="Times New Roman" w:hAnsi="Times New Roman"/>
          <w:color w:val="000000" w:themeColor="text1"/>
          <w:sz w:val="16"/>
          <w:szCs w:val="16"/>
        </w:rPr>
      </w:pPr>
    </w:p>
    <w:p w14:paraId="644435CF" w14:textId="77777777" w:rsidR="007937A8" w:rsidRPr="00A259BD" w:rsidRDefault="007937A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Весной 1929 года на ХВЗ был сдан в эксплуатацию новый корпус на 1500 квадратных метров, введены дополнительные площади в монтажном корпусе. Парк оборудования пополнился отечественным и импортным оборудованием — </w:t>
      </w:r>
      <w:proofErr w:type="spellStart"/>
      <w:r w:rsidRPr="00A259BD">
        <w:rPr>
          <w:rFonts w:ascii="Times New Roman" w:hAnsi="Times New Roman"/>
          <w:color w:val="000000" w:themeColor="text1"/>
          <w:sz w:val="16"/>
          <w:szCs w:val="16"/>
        </w:rPr>
        <w:t>одношпиндель-ными</w:t>
      </w:r>
      <w:proofErr w:type="spellEnd"/>
      <w:r w:rsidRPr="00A259BD">
        <w:rPr>
          <w:rFonts w:ascii="Times New Roman" w:hAnsi="Times New Roman"/>
          <w:color w:val="000000" w:themeColor="text1"/>
          <w:sz w:val="16"/>
          <w:szCs w:val="16"/>
        </w:rPr>
        <w:t xml:space="preserve"> и многошпиндельными автоматами точения, автоматами для высадки и обработки ниппелей, ковочной двухдюймовой машиной, токарными и фрезерными станками, оборудованием для производства цепей, конвейерной ванной для никелирования, прессами для холодной штамповки и другим (18074).</w:t>
      </w:r>
    </w:p>
    <w:p w14:paraId="27D1213D" w14:textId="77777777" w:rsidR="007937A8" w:rsidRPr="00A259BD" w:rsidRDefault="007937A8" w:rsidP="009236E3">
      <w:pPr>
        <w:spacing w:after="0" w:line="240" w:lineRule="auto"/>
        <w:jc w:val="both"/>
        <w:rPr>
          <w:rFonts w:ascii="Times New Roman" w:eastAsia="Times New Roman" w:hAnsi="Times New Roman"/>
          <w:color w:val="000000" w:themeColor="text1"/>
          <w:sz w:val="16"/>
          <w:szCs w:val="16"/>
          <w:lang w:eastAsia="ru-RU"/>
        </w:rPr>
      </w:pPr>
    </w:p>
    <w:p w14:paraId="1CF4EF3D"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7B8AB4F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34DAF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Весной 1929 года появились донесения ОГПУ о локальном голоде в деревнях. Страдало в основном бедняцкое население. “Продовольственные затруднения” охватили Ленинградскую область (особенно Псковский, Новгородский, </w:t>
      </w:r>
      <w:proofErr w:type="spellStart"/>
      <w:r w:rsidRPr="00A259BD">
        <w:rPr>
          <w:rFonts w:ascii="Times New Roman" w:hAnsi="Times New Roman"/>
          <w:color w:val="000000" w:themeColor="text1"/>
          <w:sz w:val="16"/>
          <w:szCs w:val="16"/>
        </w:rPr>
        <w:t>Великолуцкий</w:t>
      </w:r>
      <w:proofErr w:type="spellEnd"/>
      <w:r w:rsidRPr="00A259BD">
        <w:rPr>
          <w:rFonts w:ascii="Times New Roman" w:hAnsi="Times New Roman"/>
          <w:color w:val="000000" w:themeColor="text1"/>
          <w:sz w:val="16"/>
          <w:szCs w:val="16"/>
        </w:rPr>
        <w:t xml:space="preserve"> уезды), ряд губерний Центрального региона (Ярославскую, Калужскую, Тверскую, Нижегородскую, Иваново-Вознесенскую, Владимирскую, Рязанскую, Тульскую), Смоленскую губернию, южные округа Украины (Кременчугский, </w:t>
      </w:r>
      <w:proofErr w:type="spellStart"/>
      <w:r w:rsidRPr="00A259BD">
        <w:rPr>
          <w:rFonts w:ascii="Times New Roman" w:hAnsi="Times New Roman"/>
          <w:color w:val="000000" w:themeColor="text1"/>
          <w:sz w:val="16"/>
          <w:szCs w:val="16"/>
        </w:rPr>
        <w:t>Запо¬рожский</w:t>
      </w:r>
      <w:proofErr w:type="spellEnd"/>
      <w:r w:rsidRPr="00A259BD">
        <w:rPr>
          <w:rFonts w:ascii="Times New Roman" w:hAnsi="Times New Roman"/>
          <w:color w:val="000000" w:themeColor="text1"/>
          <w:sz w:val="16"/>
          <w:szCs w:val="16"/>
        </w:rPr>
        <w:t xml:space="preserve">, Мариупольский, Одесский, Криворожский, Подольский и другие), ряд округов Дальневосточного края (Сретенский, Читинский, Хабаровский, частично Владивостокский и другие). В пищу употреблялись суррогаты хлеба. В муку добавляли толченые клеверные головки и сушеную березовую кору, отруби, жмыхи, мякину, овес, отруби, вику, пареный лук. Желудочные заболевания стали принимать массовый характер, начались опухания. Сводки ОГПУ отмечали и случаи голодной смерти, усиление эпидемии сыпного тифа. Семена интенсивно проедались и сев находился под угрозой срыва, распространялся убой и распродажа скота. Усиливалось отходничество, нищенство, воровство, стихийное </w:t>
      </w:r>
      <w:proofErr w:type="spellStart"/>
      <w:r w:rsidRPr="00A259BD">
        <w:rPr>
          <w:rFonts w:ascii="Times New Roman" w:hAnsi="Times New Roman"/>
          <w:color w:val="000000" w:themeColor="text1"/>
          <w:sz w:val="16"/>
          <w:szCs w:val="16"/>
        </w:rPr>
        <w:t>переселенчество</w:t>
      </w:r>
      <w:proofErr w:type="spellEnd"/>
      <w:r w:rsidRPr="00A259BD">
        <w:rPr>
          <w:rFonts w:ascii="Times New Roman" w:hAnsi="Times New Roman"/>
          <w:color w:val="000000" w:themeColor="text1"/>
          <w:sz w:val="16"/>
          <w:szCs w:val="16"/>
        </w:rPr>
        <w:t xml:space="preserve"> в более благополучные районы. Государственная помощь голодающей деревне была совершенно недостаточной.</w:t>
      </w:r>
    </w:p>
    <w:p w14:paraId="2640F2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Социальная обстановка в деревне накалялась. Беднота и бедствовавшее середнячество озлоблялись на “любимчиков” советской власти — городских рабочих. Середняки злились на бедноту, среди которой государство раздавало дармовой хлеб. Все вместе они косо смотрели на зажиточных, которые наживались на трудностях, скупали скот, заключали кабальные сделки под хлебные ссуды. Усиливались </w:t>
      </w:r>
      <w:proofErr w:type="spellStart"/>
      <w:r w:rsidRPr="00A259BD">
        <w:rPr>
          <w:rFonts w:ascii="Times New Roman" w:hAnsi="Times New Roman"/>
          <w:color w:val="000000" w:themeColor="text1"/>
          <w:sz w:val="16"/>
          <w:szCs w:val="16"/>
        </w:rPr>
        <w:t>комбедовские</w:t>
      </w:r>
      <w:proofErr w:type="spellEnd"/>
      <w:r w:rsidRPr="00A259BD">
        <w:rPr>
          <w:rFonts w:ascii="Times New Roman" w:hAnsi="Times New Roman"/>
          <w:color w:val="000000" w:themeColor="text1"/>
          <w:sz w:val="16"/>
          <w:szCs w:val="16"/>
        </w:rPr>
        <w:t xml:space="preserve"> настроения. Крестьяне резко выступали на сельских сходах, толпами собирались у райисполкомов с требованиями дать хлеб, допустить свободную торговлю и разрешить посылать людей для закупок в хлебные места. Увеличивалось количество ходоков “за правдой”, избиений должностных лиц низового советского аппарата, членов комиссий по распределению хлеба, а также взломов и поджогов амбаров, краж хлеба, демонстративных выходов из кооперативов. Появились листовки. В одной из таких, сочиненной под “народную поэзию”, крестьянин жаловался:</w:t>
      </w:r>
    </w:p>
    <w:p w14:paraId="24AE24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Ты устань-проснись, Владимир, встань-проснись, Ильич.</w:t>
      </w:r>
    </w:p>
    <w:p w14:paraId="47C54B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Посмотри-ка на невзгоду, какова лежит,</w:t>
      </w:r>
    </w:p>
    <w:p w14:paraId="76F5B2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Какова легла на шею крестьянина-середняка...</w:t>
      </w:r>
    </w:p>
    <w:p w14:paraId="4AE0B7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кооперации товару совершенно нет для нас.</w:t>
      </w:r>
    </w:p>
    <w:p w14:paraId="29EBB1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спичек и бумаги, табаку, конфект,</w:t>
      </w:r>
    </w:p>
    <w:p w14:paraId="51FB5C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 ни сахару, ни масла, нет ни ситца, ни сукна,</w:t>
      </w:r>
    </w:p>
    <w:p w14:paraId="332811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Загрузила всю Россию водочка одна </w:t>
      </w:r>
    </w:p>
    <w:p w14:paraId="233E4B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План заготовок 1928/29 года не был выполнен. По сравнению с прошлым годом, в целом зерновых заготовили немногим меньше, но доля продовольственных хлебов, пшеницы и ржи, в них уменьшилась на 20%46. Это предвещало большие трудности, если учесть быстрый рост состоявших на государственном снабжении плановых потребителей, сокращение частной патентованной торговли, разорение крестьянского хлебного рынка, а также принявшие лавинный характер крестьянские десанты в города.</w:t>
      </w:r>
    </w:p>
    <w:p w14:paraId="27EC93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этих условиях зимой 1928/29 года Политбюро приступило к официальному оформлению всесоюзной карточной системы на хлеб. Фактически хлебные карточки уже существовали в регионах в течение всего 1928 года, и это решение Центра лишь служило унификации региональных карточных систем и узаконивало действия местных руководителей по регулированию снабжения. Как стало уже привычным в практике Политбюро, “наведение порядка” началось со столиц. 6 декабря 1928 года Советам крупных промышленных центров было разрешено ввести карточки на хлеб. Постановление предлагало ленинградским властям первыми апробировать решение Политбюро. Цели карточной системы были точно сформулированы: обеспечение потребления рабочих и служащих за счет сокращения расхода хлеба для снабжения “непролетарского населения”, особенно крестьян. Городская торговля пока не была полностью закрыта для сельских жителей. Власть оставляла приезжим возможность покупать хлеб по повышенным ценам, но покупка нормировалась (11578).</w:t>
      </w:r>
    </w:p>
    <w:p w14:paraId="39D29A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F8CDAA4" w14:textId="77777777" w:rsidR="00BA5B15" w:rsidRPr="00A259BD" w:rsidRDefault="00BA5B1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Весной 1929 года появились донесения ОГПУ о локальном голоде в деревнях. Страдало в основном бедняцкое население. «Продовольственные затруднения» охватили Ленинградскую область (особенно Псковский, Новгородский, </w:t>
      </w:r>
      <w:proofErr w:type="spellStart"/>
      <w:r w:rsidRPr="00A259BD">
        <w:rPr>
          <w:rFonts w:ascii="Times New Roman" w:hAnsi="Times New Roman"/>
          <w:color w:val="000000" w:themeColor="text1"/>
          <w:sz w:val="16"/>
          <w:szCs w:val="16"/>
        </w:rPr>
        <w:t>Великолуцкий</w:t>
      </w:r>
      <w:proofErr w:type="spellEnd"/>
      <w:r w:rsidRPr="00A259BD">
        <w:rPr>
          <w:rFonts w:ascii="Times New Roman" w:hAnsi="Times New Roman"/>
          <w:color w:val="000000" w:themeColor="text1"/>
          <w:sz w:val="16"/>
          <w:szCs w:val="16"/>
        </w:rPr>
        <w:t xml:space="preserve"> уезды), ряд губерний Центрального региона (Ярославскую, Калужскую, Тверскую, Нижегородскую, Иваново-Вознесенскую, Владимирскую, Рязанскую, Тульскую), Смоленскую губернию, южные округа Украины (Кременчугский, Запорожский, Мариупольский, Одесский, Криворожский, Подольский и другие), ряд округов Дальневосточного края (Сретенский, Читинский, Хабаровский, частично Владивостокский и другие). В пищу употреблялись суррогаты хлеба. В муку добавляли толченые клеверные головки и сушеную березовую кору, отруби, жмыхи, мякину, овес, отруби, вику, пареный лук. Желудочные заболевания стали принимать массовый характер, начались опухания. Сводки ОГПУ отмечали и случаи голодной смерти, усиление эпидемии сыпного тифа. Семена интенсивно проедались и сев находился под угрозой срыва, распространялся убой и распродажа скота. Усиливалось отходничество, нищенство, воровство, стихийное </w:t>
      </w:r>
      <w:proofErr w:type="spellStart"/>
      <w:r w:rsidRPr="00A259BD">
        <w:rPr>
          <w:rFonts w:ascii="Times New Roman" w:hAnsi="Times New Roman"/>
          <w:color w:val="000000" w:themeColor="text1"/>
          <w:sz w:val="16"/>
          <w:szCs w:val="16"/>
        </w:rPr>
        <w:t>переселенчество</w:t>
      </w:r>
      <w:proofErr w:type="spellEnd"/>
      <w:r w:rsidRPr="00A259BD">
        <w:rPr>
          <w:rFonts w:ascii="Times New Roman" w:hAnsi="Times New Roman"/>
          <w:color w:val="000000" w:themeColor="text1"/>
          <w:sz w:val="16"/>
          <w:szCs w:val="16"/>
        </w:rPr>
        <w:t xml:space="preserve"> в более благополучные районы. Государственная помощь голодающей деревне была совершенно недостаточной (18416).</w:t>
      </w:r>
    </w:p>
    <w:p w14:paraId="39ACC029" w14:textId="77777777" w:rsidR="00BA5B15" w:rsidRPr="00A259BD" w:rsidRDefault="00BA5B15" w:rsidP="009236E3">
      <w:pPr>
        <w:spacing w:after="0" w:line="240" w:lineRule="auto"/>
        <w:jc w:val="both"/>
        <w:rPr>
          <w:rFonts w:ascii="Times New Roman" w:hAnsi="Times New Roman"/>
          <w:color w:val="000000" w:themeColor="text1"/>
          <w:sz w:val="16"/>
          <w:szCs w:val="16"/>
        </w:rPr>
      </w:pPr>
    </w:p>
    <w:p w14:paraId="3354C5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весны 1929 года в Казани также стали ощущаться перебои с мясом и жирами. В июле 1930-го в стране были введены карточки на мясо, но получили их только 14 миллионов жителей России. К тому же мясо часто заменяли воблой, рыбой, консервами. В стране хронически наблюдались очереди за керосином - он был топливом для примусов, на которых готовила еду вся страна. Спичек выдавали лишь по два коробка в руки. Даже по карточкам весьма недостаточно и нерегулярно снабжались </w:t>
      </w:r>
      <w:r w:rsidRPr="00A259BD">
        <w:rPr>
          <w:rFonts w:ascii="Times New Roman" w:hAnsi="Times New Roman"/>
          <w:color w:val="000000" w:themeColor="text1"/>
          <w:sz w:val="16"/>
          <w:szCs w:val="16"/>
        </w:rPr>
        <w:lastRenderedPageBreak/>
        <w:t xml:space="preserve">служащие и учащиеся - учителя, врачи, студенты. В Казани интеллигенция в массе своей, несмотря на норму, получала в начале 1930-х всего по 100 г хлеба. Даже хлебный паек не гарантировался. А крупа, сахар выдавались врачам и учителям нерегулярно - 2-3 раза в год по 400-500 г. Осенью 1932 года казанское студенчество вообще было снято с централизованного снабжения, и университету пришлось организовать собственную столовую, овощи для нее выращивали на земельных участках </w:t>
      </w:r>
      <w:proofErr w:type="spellStart"/>
      <w:r w:rsidRPr="00A259BD">
        <w:rPr>
          <w:rFonts w:ascii="Times New Roman" w:hAnsi="Times New Roman"/>
          <w:color w:val="000000" w:themeColor="text1"/>
          <w:sz w:val="16"/>
          <w:szCs w:val="16"/>
        </w:rPr>
        <w:t>Галактионовского</w:t>
      </w:r>
      <w:proofErr w:type="spellEnd"/>
      <w:r w:rsidRPr="00A259BD">
        <w:rPr>
          <w:rFonts w:ascii="Times New Roman" w:hAnsi="Times New Roman"/>
          <w:color w:val="000000" w:themeColor="text1"/>
          <w:sz w:val="16"/>
          <w:szCs w:val="16"/>
        </w:rPr>
        <w:t xml:space="preserve"> совхоза. В ноябре 1932-го при Казанском университете был организован </w:t>
      </w:r>
      <w:proofErr w:type="spellStart"/>
      <w:r w:rsidRPr="00A259BD">
        <w:rPr>
          <w:rFonts w:ascii="Times New Roman" w:hAnsi="Times New Roman"/>
          <w:color w:val="000000" w:themeColor="text1"/>
          <w:sz w:val="16"/>
          <w:szCs w:val="16"/>
        </w:rPr>
        <w:t>продуктово</w:t>
      </w:r>
      <w:proofErr w:type="spellEnd"/>
      <w:r w:rsidRPr="00A259BD">
        <w:rPr>
          <w:rFonts w:ascii="Times New Roman" w:hAnsi="Times New Roman"/>
          <w:color w:val="000000" w:themeColor="text1"/>
          <w:sz w:val="16"/>
          <w:szCs w:val="16"/>
        </w:rPr>
        <w:t>-промтоварный магазин, где студенты получали хлеб (11566).</w:t>
      </w:r>
    </w:p>
    <w:p w14:paraId="5617791B" w14:textId="4D187B2A"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F39DC6A" w14:textId="5F111D86" w:rsidR="00483C4A" w:rsidRPr="00A259BD" w:rsidRDefault="00483C4A" w:rsidP="009236E3">
      <w:pPr>
        <w:autoSpaceDE w:val="0"/>
        <w:autoSpaceDN w:val="0"/>
        <w:adjustRightInd w:val="0"/>
        <w:spacing w:after="0" w:line="240" w:lineRule="auto"/>
        <w:jc w:val="both"/>
        <w:rPr>
          <w:rFonts w:ascii="Times New Roman" w:hAnsi="Times New Roman"/>
          <w:i/>
          <w:iCs/>
          <w:color w:val="000000" w:themeColor="text1"/>
          <w:sz w:val="16"/>
          <w:szCs w:val="16"/>
        </w:rPr>
      </w:pPr>
      <w:r w:rsidRPr="00A259BD">
        <w:rPr>
          <w:rFonts w:ascii="Times New Roman" w:hAnsi="Times New Roman"/>
          <w:i/>
          <w:iCs/>
          <w:color w:val="000000" w:themeColor="text1"/>
          <w:sz w:val="16"/>
          <w:szCs w:val="16"/>
        </w:rPr>
        <w:t>За рубежом:</w:t>
      </w:r>
    </w:p>
    <w:p w14:paraId="3801735E" w14:textId="77777777" w:rsidR="00483C4A" w:rsidRPr="00A259BD" w:rsidRDefault="00483C4A"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20AC5C9E" w14:textId="77777777" w:rsidR="00483C4A" w:rsidRPr="00A259BD" w:rsidRDefault="00483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Весна 1929 года первый полет </w:t>
      </w:r>
      <w:proofErr w:type="spellStart"/>
      <w:r w:rsidRPr="00A259BD">
        <w:rPr>
          <w:rFonts w:ascii="Times New Roman" w:hAnsi="Times New Roman"/>
          <w:color w:val="000000" w:themeColor="text1"/>
          <w:sz w:val="16"/>
          <w:szCs w:val="16"/>
        </w:rPr>
        <w:t>Levasseur</w:t>
      </w:r>
      <w:proofErr w:type="spellEnd"/>
      <w:r w:rsidRPr="00A259BD">
        <w:rPr>
          <w:rFonts w:ascii="Times New Roman" w:hAnsi="Times New Roman"/>
          <w:color w:val="000000" w:themeColor="text1"/>
          <w:sz w:val="16"/>
          <w:szCs w:val="16"/>
        </w:rPr>
        <w:t xml:space="preserve"> PL.10 (20806). </w:t>
      </w:r>
    </w:p>
    <w:p w14:paraId="0F69D079" w14:textId="77777777" w:rsidR="00483C4A" w:rsidRPr="00A259BD" w:rsidRDefault="00483C4A" w:rsidP="009236E3">
      <w:pPr>
        <w:spacing w:after="0" w:line="240" w:lineRule="auto"/>
        <w:jc w:val="both"/>
        <w:rPr>
          <w:rFonts w:ascii="Times New Roman" w:hAnsi="Times New Roman"/>
          <w:color w:val="000000" w:themeColor="text1"/>
          <w:sz w:val="16"/>
          <w:szCs w:val="16"/>
        </w:rPr>
      </w:pPr>
    </w:p>
    <w:p w14:paraId="5D8DD94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5D6264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8855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лету 1929 был готов модифицированный Хейнкель HD-37, названный HD-43, но прибыл в Москву для испытаний в конце 1929 (1795,25).</w:t>
      </w:r>
    </w:p>
    <w:p w14:paraId="40388D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48D7594" w14:textId="77777777" w:rsidR="00822803"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1E4945E" w14:textId="77777777" w:rsidR="00822803" w:rsidRPr="00A259BD" w:rsidRDefault="0082280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1CBFAD" w14:textId="77777777" w:rsidR="00822803" w:rsidRPr="00A259BD" w:rsidRDefault="00822803" w:rsidP="009236E3">
      <w:pPr>
        <w:pStyle w:val="a3"/>
        <w:rPr>
          <w:color w:val="000000" w:themeColor="text1"/>
          <w:lang w:val="ru-RU"/>
        </w:rPr>
      </w:pPr>
      <w:r w:rsidRPr="00A259BD">
        <w:rPr>
          <w:color w:val="000000" w:themeColor="text1"/>
          <w:lang w:val="ru-RU"/>
        </w:rPr>
        <w:t>К лету 1929 г. в Ижевске началась построй</w:t>
      </w:r>
      <w:r w:rsidRPr="00A259BD">
        <w:rPr>
          <w:color w:val="000000" w:themeColor="text1"/>
          <w:lang w:val="ru-RU"/>
        </w:rPr>
        <w:softHyphen/>
        <w:t>ка всех шести мотоциклов (от Иж-1 до Иж-6), а к изготовлению легких мотоциклов с ориги</w:t>
      </w:r>
      <w:r w:rsidRPr="00A259BD">
        <w:rPr>
          <w:color w:val="000000" w:themeColor="text1"/>
          <w:lang w:val="ru-RU"/>
        </w:rPr>
        <w:softHyphen/>
        <w:t>нальными моторами 350 см</w:t>
      </w:r>
      <w:r w:rsidRPr="00A259BD">
        <w:rPr>
          <w:color w:val="000000" w:themeColor="text1"/>
          <w:vertAlign w:val="superscript"/>
          <w:lang w:val="ru-RU"/>
        </w:rPr>
        <w:t>3</w:t>
      </w:r>
      <w:r w:rsidRPr="00A259BD">
        <w:rPr>
          <w:color w:val="000000" w:themeColor="text1"/>
          <w:lang w:val="ru-RU"/>
        </w:rPr>
        <w:t xml:space="preserve"> так и не приступали.</w:t>
      </w:r>
    </w:p>
    <w:p w14:paraId="6EF22E68" w14:textId="77777777" w:rsidR="00822803" w:rsidRPr="00A259BD" w:rsidRDefault="00822803" w:rsidP="009236E3">
      <w:pPr>
        <w:pStyle w:val="a3"/>
        <w:rPr>
          <w:color w:val="000000" w:themeColor="text1"/>
          <w:lang w:val="ru-RU"/>
        </w:rPr>
      </w:pPr>
      <w:r w:rsidRPr="00A259BD">
        <w:rPr>
          <w:color w:val="000000" w:themeColor="text1"/>
          <w:lang w:val="ru-RU"/>
        </w:rPr>
        <w:t xml:space="preserve">Результаты </w:t>
      </w:r>
      <w:proofErr w:type="spellStart"/>
      <w:r w:rsidRPr="00A259BD">
        <w:rPr>
          <w:color w:val="000000" w:themeColor="text1"/>
          <w:lang w:val="ru-RU"/>
        </w:rPr>
        <w:t>пробеговых</w:t>
      </w:r>
      <w:proofErr w:type="spellEnd"/>
      <w:r w:rsidRPr="00A259BD">
        <w:rPr>
          <w:color w:val="000000" w:themeColor="text1"/>
          <w:lang w:val="ru-RU"/>
        </w:rPr>
        <w:t xml:space="preserve"> и лабораторных испытаний иностранных мо</w:t>
      </w:r>
      <w:r w:rsidRPr="00A259BD">
        <w:rPr>
          <w:color w:val="000000" w:themeColor="text1"/>
          <w:lang w:val="ru-RU"/>
        </w:rPr>
        <w:softHyphen/>
        <w:t xml:space="preserve">тоциклов, а также работ по первым </w:t>
      </w:r>
      <w:proofErr w:type="spellStart"/>
      <w:r w:rsidRPr="00A259BD">
        <w:rPr>
          <w:color w:val="000000" w:themeColor="text1"/>
          <w:lang w:val="ru-RU"/>
        </w:rPr>
        <w:t>ИЖам</w:t>
      </w:r>
      <w:proofErr w:type="spellEnd"/>
      <w:r w:rsidRPr="00A259BD">
        <w:rPr>
          <w:color w:val="000000" w:themeColor="text1"/>
          <w:lang w:val="ru-RU"/>
        </w:rPr>
        <w:t xml:space="preserve"> должны были создать необхо</w:t>
      </w:r>
      <w:r w:rsidRPr="00A259BD">
        <w:rPr>
          <w:color w:val="000000" w:themeColor="text1"/>
          <w:lang w:val="ru-RU"/>
        </w:rPr>
        <w:softHyphen/>
        <w:t>димые условия для создания отечественного серийного мотоцикла. Од</w:t>
      </w:r>
      <w:r w:rsidRPr="00A259BD">
        <w:rPr>
          <w:color w:val="000000" w:themeColor="text1"/>
          <w:lang w:val="ru-RU"/>
        </w:rPr>
        <w:softHyphen/>
        <w:t>нако позиции сторонников приобретения техники за рубежом (</w:t>
      </w:r>
      <w:proofErr w:type="spellStart"/>
      <w:r w:rsidRPr="00A259BD">
        <w:rPr>
          <w:color w:val="000000" w:themeColor="text1"/>
          <w:lang w:val="ru-RU"/>
        </w:rPr>
        <w:t>нетолько</w:t>
      </w:r>
      <w:proofErr w:type="spellEnd"/>
      <w:r w:rsidRPr="00A259BD">
        <w:rPr>
          <w:color w:val="000000" w:themeColor="text1"/>
          <w:lang w:val="ru-RU"/>
        </w:rPr>
        <w:t xml:space="preserve"> мотоциклов или моторных пил, но и паровозов и другой продукции) ока</w:t>
      </w:r>
      <w:r w:rsidRPr="00A259BD">
        <w:rPr>
          <w:color w:val="000000" w:themeColor="text1"/>
          <w:lang w:val="ru-RU"/>
        </w:rPr>
        <w:softHyphen/>
        <w:t>зались достаточно сильны (15753).</w:t>
      </w:r>
    </w:p>
    <w:p w14:paraId="5BEB2E76" w14:textId="77777777" w:rsidR="00822803" w:rsidRPr="00A259BD" w:rsidRDefault="00822803" w:rsidP="009236E3">
      <w:pPr>
        <w:pStyle w:val="aff0"/>
        <w:shd w:val="clear" w:color="auto" w:fill="auto"/>
        <w:spacing w:line="240" w:lineRule="auto"/>
        <w:rPr>
          <w:rFonts w:ascii="Times New Roman" w:hAnsi="Times New Roman" w:cs="Times New Roman"/>
          <w:i w:val="0"/>
          <w:color w:val="000000" w:themeColor="text1"/>
          <w:sz w:val="16"/>
          <w:szCs w:val="16"/>
        </w:rPr>
      </w:pPr>
      <w:r w:rsidRPr="00A259BD">
        <w:rPr>
          <w:rFonts w:ascii="Times New Roman" w:hAnsi="Times New Roman" w:cs="Times New Roman"/>
          <w:i w:val="0"/>
          <w:color w:val="000000" w:themeColor="text1"/>
          <w:sz w:val="16"/>
          <w:szCs w:val="16"/>
        </w:rPr>
        <w:t>Основные характеристики первых мотоциклов Ижстальзавода</w:t>
      </w:r>
    </w:p>
    <w:tbl>
      <w:tblPr>
        <w:tblW w:w="0" w:type="auto"/>
        <w:tblInd w:w="5" w:type="dxa"/>
        <w:tblLayout w:type="fixed"/>
        <w:tblCellMar>
          <w:left w:w="0" w:type="dxa"/>
          <w:right w:w="0" w:type="dxa"/>
        </w:tblCellMar>
        <w:tblLook w:val="0000" w:firstRow="0" w:lastRow="0" w:firstColumn="0" w:lastColumn="0" w:noHBand="0" w:noVBand="0"/>
      </w:tblPr>
      <w:tblGrid>
        <w:gridCol w:w="2174"/>
        <w:gridCol w:w="1646"/>
        <w:gridCol w:w="1646"/>
        <w:gridCol w:w="1642"/>
        <w:gridCol w:w="1646"/>
        <w:gridCol w:w="1656"/>
      </w:tblGrid>
      <w:tr w:rsidR="00A259BD" w:rsidRPr="00A259BD" w14:paraId="4FA4C987" w14:textId="77777777" w:rsidTr="00261E4C">
        <w:trPr>
          <w:trHeight w:val="25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6862473F" w14:textId="77777777" w:rsidR="00822803" w:rsidRPr="00A259BD" w:rsidRDefault="00822803" w:rsidP="009236E3">
            <w:pPr>
              <w:pStyle w:val="144"/>
              <w:shd w:val="clear" w:color="auto" w:fill="auto"/>
              <w:spacing w:line="240" w:lineRule="auto"/>
              <w:jc w:val="both"/>
              <w:rPr>
                <w:rFonts w:ascii="Times New Roman" w:hAnsi="Times New Roman" w:cs="Times New Roman"/>
                <w:b w:val="0"/>
                <w:color w:val="000000" w:themeColor="text1"/>
              </w:rPr>
            </w:pPr>
            <w:r w:rsidRPr="00A259BD">
              <w:rPr>
                <w:rFonts w:ascii="Times New Roman" w:hAnsi="Times New Roman" w:cs="Times New Roman"/>
                <w:b w:val="0"/>
                <w:color w:val="000000" w:themeColor="text1"/>
              </w:rPr>
              <w:t>Марка</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1D5428AF" w14:textId="77777777" w:rsidR="00822803" w:rsidRPr="00A259BD" w:rsidRDefault="00822803" w:rsidP="009236E3">
            <w:pPr>
              <w:pStyle w:val="144"/>
              <w:shd w:val="clear" w:color="auto" w:fill="auto"/>
              <w:spacing w:line="240" w:lineRule="auto"/>
              <w:jc w:val="both"/>
              <w:rPr>
                <w:rFonts w:ascii="Times New Roman" w:hAnsi="Times New Roman" w:cs="Times New Roman"/>
                <w:b w:val="0"/>
                <w:color w:val="000000" w:themeColor="text1"/>
              </w:rPr>
            </w:pPr>
            <w:r w:rsidRPr="00A259BD">
              <w:rPr>
                <w:rFonts w:ascii="Times New Roman" w:hAnsi="Times New Roman" w:cs="Times New Roman"/>
                <w:b w:val="0"/>
                <w:color w:val="000000" w:themeColor="text1"/>
              </w:rPr>
              <w:t>ИЖ-2</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40A99186" w14:textId="77777777" w:rsidR="00822803" w:rsidRPr="00A259BD" w:rsidRDefault="00822803" w:rsidP="009236E3">
            <w:pPr>
              <w:pStyle w:val="144"/>
              <w:shd w:val="clear" w:color="auto" w:fill="auto"/>
              <w:spacing w:line="240" w:lineRule="auto"/>
              <w:jc w:val="both"/>
              <w:rPr>
                <w:rFonts w:ascii="Times New Roman" w:hAnsi="Times New Roman" w:cs="Times New Roman"/>
                <w:b w:val="0"/>
                <w:color w:val="000000" w:themeColor="text1"/>
              </w:rPr>
            </w:pPr>
            <w:r w:rsidRPr="00A259BD">
              <w:rPr>
                <w:rFonts w:ascii="Times New Roman" w:hAnsi="Times New Roman" w:cs="Times New Roman"/>
                <w:b w:val="0"/>
                <w:color w:val="000000" w:themeColor="text1"/>
              </w:rPr>
              <w:t>ИЖ-3</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44409440" w14:textId="77777777" w:rsidR="00822803" w:rsidRPr="00A259BD" w:rsidRDefault="00822803" w:rsidP="009236E3">
            <w:pPr>
              <w:pStyle w:val="144"/>
              <w:shd w:val="clear" w:color="auto" w:fill="auto"/>
              <w:spacing w:line="240" w:lineRule="auto"/>
              <w:jc w:val="both"/>
              <w:rPr>
                <w:rFonts w:ascii="Times New Roman" w:hAnsi="Times New Roman" w:cs="Times New Roman"/>
                <w:b w:val="0"/>
                <w:color w:val="000000" w:themeColor="text1"/>
              </w:rPr>
            </w:pPr>
            <w:r w:rsidRPr="00A259BD">
              <w:rPr>
                <w:rFonts w:ascii="Times New Roman" w:hAnsi="Times New Roman" w:cs="Times New Roman"/>
                <w:b w:val="0"/>
                <w:color w:val="000000" w:themeColor="text1"/>
              </w:rPr>
              <w:t>ИЖ-4</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C843B88" w14:textId="77777777" w:rsidR="00822803" w:rsidRPr="00A259BD" w:rsidRDefault="00822803" w:rsidP="009236E3">
            <w:pPr>
              <w:pStyle w:val="144"/>
              <w:shd w:val="clear" w:color="auto" w:fill="auto"/>
              <w:spacing w:line="240" w:lineRule="auto"/>
              <w:jc w:val="both"/>
              <w:rPr>
                <w:rFonts w:ascii="Times New Roman" w:hAnsi="Times New Roman" w:cs="Times New Roman"/>
                <w:b w:val="0"/>
                <w:color w:val="000000" w:themeColor="text1"/>
              </w:rPr>
            </w:pPr>
            <w:r w:rsidRPr="00A259BD">
              <w:rPr>
                <w:rFonts w:ascii="Times New Roman" w:hAnsi="Times New Roman" w:cs="Times New Roman"/>
                <w:b w:val="0"/>
                <w:color w:val="000000" w:themeColor="text1"/>
              </w:rPr>
              <w:t>ИЖ-5</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7ECB9E7" w14:textId="77777777" w:rsidR="00822803" w:rsidRPr="00A259BD" w:rsidRDefault="00822803" w:rsidP="009236E3">
            <w:pPr>
              <w:pStyle w:val="144"/>
              <w:shd w:val="clear" w:color="auto" w:fill="auto"/>
              <w:spacing w:line="240" w:lineRule="auto"/>
              <w:jc w:val="both"/>
              <w:rPr>
                <w:rFonts w:ascii="Times New Roman" w:hAnsi="Times New Roman" w:cs="Times New Roman"/>
                <w:b w:val="0"/>
                <w:color w:val="000000" w:themeColor="text1"/>
              </w:rPr>
            </w:pPr>
            <w:r w:rsidRPr="00A259BD">
              <w:rPr>
                <w:rFonts w:ascii="Times New Roman" w:hAnsi="Times New Roman" w:cs="Times New Roman"/>
                <w:b w:val="0"/>
                <w:color w:val="000000" w:themeColor="text1"/>
              </w:rPr>
              <w:t>ИЖ-6</w:t>
            </w:r>
          </w:p>
        </w:tc>
      </w:tr>
      <w:tr w:rsidR="00A259BD" w:rsidRPr="00A259BD" w14:paraId="469C08AF"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7FD42E8F"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Тип двигателя</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0A0B2115"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У2,4Т</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6800E34A"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У2,4Т</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051C84B9"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1.2Т</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21C63D5"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1,4Т</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062EA5D1"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1,4Т</w:t>
            </w:r>
          </w:p>
        </w:tc>
      </w:tr>
      <w:tr w:rsidR="00A259BD" w:rsidRPr="00A259BD" w14:paraId="09D9B556"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6B05FF88"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Рабочий объем, см</w:t>
            </w:r>
            <w:r w:rsidRPr="00A259BD">
              <w:rPr>
                <w:rFonts w:ascii="Times New Roman" w:hAnsi="Times New Roman" w:cs="Times New Roman"/>
                <w:color w:val="000000" w:themeColor="text1"/>
                <w:vertAlign w:val="superscript"/>
              </w:rPr>
              <w:t>8</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6028FC11" w14:textId="77777777" w:rsidR="00822803" w:rsidRPr="00A259BD" w:rsidRDefault="00822803" w:rsidP="009236E3">
            <w:pPr>
              <w:spacing w:after="0" w:line="240" w:lineRule="auto"/>
              <w:jc w:val="both"/>
              <w:rPr>
                <w:rFonts w:ascii="Times New Roman" w:hAnsi="Times New Roman"/>
                <w:color w:val="000000" w:themeColor="text1"/>
                <w:sz w:val="16"/>
                <w:szCs w:val="16"/>
              </w:rPr>
            </w:pP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1F5AF52A" w14:textId="77777777" w:rsidR="00822803" w:rsidRPr="00A259BD" w:rsidRDefault="00822803" w:rsidP="009236E3">
            <w:pPr>
              <w:spacing w:after="0" w:line="240" w:lineRule="auto"/>
              <w:jc w:val="both"/>
              <w:rPr>
                <w:rFonts w:ascii="Times New Roman" w:hAnsi="Times New Roman"/>
                <w:color w:val="000000" w:themeColor="text1"/>
                <w:sz w:val="16"/>
                <w:szCs w:val="16"/>
              </w:rPr>
            </w:pP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7F7C0FB1"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200</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5572E56C"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400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33D83E45"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500</w:t>
            </w:r>
          </w:p>
        </w:tc>
      </w:tr>
      <w:tr w:rsidR="00A259BD" w:rsidRPr="00A259BD" w14:paraId="24359BF5" w14:textId="77777777" w:rsidTr="00261E4C">
        <w:trPr>
          <w:trHeight w:val="427"/>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000E56AC"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Максимальная мощность, л.с. мощность</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411FC154"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24</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A4879DF"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Нет данных</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49785CFE"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Нет данных</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9945537"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Нет данных</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3A95E9C2"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Нет данных</w:t>
            </w:r>
          </w:p>
        </w:tc>
      </w:tr>
      <w:tr w:rsidR="00A259BD" w:rsidRPr="00A259BD" w14:paraId="24F7A38A"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37ACCFBC"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 xml:space="preserve">Зажит </w:t>
            </w:r>
            <w:proofErr w:type="spellStart"/>
            <w:r w:rsidRPr="00A259BD">
              <w:rPr>
                <w:rFonts w:ascii="Times New Roman" w:hAnsi="Times New Roman" w:cs="Times New Roman"/>
                <w:color w:val="000000" w:themeColor="text1"/>
              </w:rPr>
              <w:t>ание</w:t>
            </w:r>
            <w:proofErr w:type="spellEnd"/>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BAA2EF1"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Магнето</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4AD7D6FA"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Магнето</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555EFF5F"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Магнето</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877D573"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Магнето</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684472DE"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 Магнето</w:t>
            </w:r>
          </w:p>
        </w:tc>
      </w:tr>
      <w:tr w:rsidR="00A259BD" w:rsidRPr="00A259BD" w14:paraId="61F7CC0C" w14:textId="77777777" w:rsidTr="00261E4C">
        <w:trPr>
          <w:trHeight w:val="235"/>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4B49A665"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Сцепление</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6381528C"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Сухое</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348A73D" w14:textId="77777777" w:rsidR="00822803" w:rsidRPr="00A259BD" w:rsidRDefault="00822803" w:rsidP="009236E3">
            <w:pPr>
              <w:pStyle w:val="641"/>
              <w:shd w:val="clear" w:color="auto" w:fill="auto"/>
              <w:spacing w:line="240" w:lineRule="auto"/>
              <w:jc w:val="both"/>
              <w:rPr>
                <w:rFonts w:ascii="Times New Roman" w:hAnsi="Times New Roman" w:cs="Times New Roman"/>
                <w:color w:val="000000" w:themeColor="text1"/>
                <w:sz w:val="16"/>
                <w:szCs w:val="16"/>
              </w:rPr>
            </w:pPr>
            <w:r w:rsidRPr="00A259BD">
              <w:rPr>
                <w:rFonts w:ascii="Times New Roman" w:hAnsi="Times New Roman" w:cs="Times New Roman"/>
                <w:noProof w:val="0"/>
                <w:color w:val="000000" w:themeColor="text1"/>
                <w:sz w:val="16"/>
                <w:szCs w:val="16"/>
              </w:rPr>
              <w:t>-</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4544BBF5"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Сухое</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8EB75F3" w14:textId="77777777" w:rsidR="00822803" w:rsidRPr="00A259BD" w:rsidRDefault="00822803" w:rsidP="009236E3">
            <w:pPr>
              <w:pStyle w:val="651"/>
              <w:shd w:val="clear" w:color="auto" w:fill="auto"/>
              <w:spacing w:line="240" w:lineRule="auto"/>
              <w:jc w:val="both"/>
              <w:rPr>
                <w:rFonts w:ascii="Times New Roman" w:hAnsi="Times New Roman" w:cs="Times New Roman"/>
                <w:color w:val="000000" w:themeColor="text1"/>
                <w:sz w:val="16"/>
                <w:szCs w:val="16"/>
              </w:rPr>
            </w:pPr>
            <w:r w:rsidRPr="00A259BD">
              <w:rPr>
                <w:rFonts w:ascii="Times New Roman" w:hAnsi="Times New Roman" w:cs="Times New Roman"/>
                <w:noProof w:val="0"/>
                <w:color w:val="000000" w:themeColor="text1"/>
                <w:sz w:val="16"/>
                <w:szCs w:val="16"/>
              </w:rPr>
              <w:t>-</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C18E435" w14:textId="77777777" w:rsidR="00822803" w:rsidRPr="00A259BD" w:rsidRDefault="00822803" w:rsidP="009236E3">
            <w:pPr>
              <w:pStyle w:val="641"/>
              <w:shd w:val="clear" w:color="auto" w:fill="auto"/>
              <w:spacing w:line="240" w:lineRule="auto"/>
              <w:jc w:val="both"/>
              <w:rPr>
                <w:rFonts w:ascii="Times New Roman" w:hAnsi="Times New Roman" w:cs="Times New Roman"/>
                <w:color w:val="000000" w:themeColor="text1"/>
                <w:sz w:val="16"/>
                <w:szCs w:val="16"/>
              </w:rPr>
            </w:pPr>
            <w:r w:rsidRPr="00A259BD">
              <w:rPr>
                <w:rFonts w:ascii="Times New Roman" w:hAnsi="Times New Roman" w:cs="Times New Roman"/>
                <w:noProof w:val="0"/>
                <w:color w:val="000000" w:themeColor="text1"/>
                <w:sz w:val="16"/>
                <w:szCs w:val="16"/>
              </w:rPr>
              <w:t>-</w:t>
            </w:r>
          </w:p>
        </w:tc>
      </w:tr>
      <w:tr w:rsidR="00A259BD" w:rsidRPr="00A259BD" w14:paraId="266F3B00"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7A5BDFDE"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Кол-во передач</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1A83CFD"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3</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1E387AC6" w14:textId="77777777" w:rsidR="00822803" w:rsidRPr="00A259BD" w:rsidRDefault="00822803" w:rsidP="009236E3">
            <w:pPr>
              <w:pStyle w:val="144"/>
              <w:shd w:val="clear" w:color="auto" w:fill="auto"/>
              <w:spacing w:line="240" w:lineRule="auto"/>
              <w:jc w:val="both"/>
              <w:rPr>
                <w:rFonts w:ascii="Times New Roman" w:hAnsi="Times New Roman" w:cs="Times New Roman"/>
                <w:b w:val="0"/>
                <w:color w:val="000000" w:themeColor="text1"/>
              </w:rPr>
            </w:pPr>
            <w:r w:rsidRPr="00A259BD">
              <w:rPr>
                <w:rFonts w:ascii="Times New Roman" w:hAnsi="Times New Roman" w:cs="Times New Roman"/>
                <w:b w:val="0"/>
                <w:color w:val="000000" w:themeColor="text1"/>
              </w:rPr>
              <w:t>3</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77CAAEA1"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2</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59A593D" w14:textId="77777777" w:rsidR="00822803" w:rsidRPr="00A259BD" w:rsidRDefault="00822803" w:rsidP="009236E3">
            <w:pPr>
              <w:pStyle w:val="144"/>
              <w:shd w:val="clear" w:color="auto" w:fill="auto"/>
              <w:spacing w:line="240" w:lineRule="auto"/>
              <w:jc w:val="both"/>
              <w:rPr>
                <w:rFonts w:ascii="Times New Roman" w:hAnsi="Times New Roman" w:cs="Times New Roman"/>
                <w:b w:val="0"/>
                <w:color w:val="000000" w:themeColor="text1"/>
              </w:rPr>
            </w:pPr>
            <w:r w:rsidRPr="00A259BD">
              <w:rPr>
                <w:rFonts w:ascii="Times New Roman" w:hAnsi="Times New Roman" w:cs="Times New Roman"/>
                <w:b w:val="0"/>
                <w:color w:val="000000" w:themeColor="text1"/>
              </w:rPr>
              <w:t>3</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D5E51A6" w14:textId="77777777" w:rsidR="00822803" w:rsidRPr="00A259BD" w:rsidRDefault="00822803" w:rsidP="009236E3">
            <w:pPr>
              <w:pStyle w:val="580"/>
              <w:shd w:val="clear" w:color="auto" w:fill="auto"/>
              <w:spacing w:line="240" w:lineRule="auto"/>
              <w:jc w:val="both"/>
              <w:rPr>
                <w:rFonts w:ascii="Times New Roman" w:hAnsi="Times New Roman" w:cs="Times New Roman"/>
                <w:i w:val="0"/>
                <w:color w:val="000000" w:themeColor="text1"/>
                <w:sz w:val="16"/>
                <w:szCs w:val="16"/>
              </w:rPr>
            </w:pPr>
            <w:r w:rsidRPr="00A259BD">
              <w:rPr>
                <w:rFonts w:ascii="Times New Roman" w:hAnsi="Times New Roman" w:cs="Times New Roman"/>
                <w:i w:val="0"/>
                <w:color w:val="000000" w:themeColor="text1"/>
                <w:sz w:val="16"/>
                <w:szCs w:val="16"/>
              </w:rPr>
              <w:t>Нет данных</w:t>
            </w:r>
          </w:p>
        </w:tc>
      </w:tr>
      <w:tr w:rsidR="00A259BD" w:rsidRPr="00A259BD" w14:paraId="00DCCF11"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143745D8"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Трансмиссия</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77F36F4"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Карданный вал</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566BED0E"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Цепь</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057217B1"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Карданный вал</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0503A078"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Цепь</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72FD3C9"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Карданный вал</w:t>
            </w:r>
          </w:p>
        </w:tc>
      </w:tr>
      <w:tr w:rsidR="00A259BD" w:rsidRPr="00A259BD" w14:paraId="1A20A747" w14:textId="77777777" w:rsidTr="00261E4C">
        <w:trPr>
          <w:trHeight w:val="235"/>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32007B32"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Style w:val="89pt"/>
                <w:rFonts w:ascii="Times New Roman" w:eastAsia="Calibri" w:hAnsi="Times New Roman" w:cs="Times New Roman"/>
                <w:color w:val="000000" w:themeColor="text1"/>
                <w:sz w:val="16"/>
                <w:szCs w:val="16"/>
              </w:rPr>
              <w:t>Передняя</w:t>
            </w:r>
            <w:r w:rsidRPr="00A259BD">
              <w:rPr>
                <w:rFonts w:ascii="Times New Roman" w:hAnsi="Times New Roman" w:cs="Times New Roman"/>
                <w:color w:val="000000" w:themeColor="text1"/>
              </w:rPr>
              <w:t xml:space="preserve"> вилка </w:t>
            </w:r>
            <w:r w:rsidRPr="00A259BD">
              <w:rPr>
                <w:rFonts w:ascii="Times New Roman" w:hAnsi="Times New Roman" w:cs="Times New Roman"/>
                <w:color w:val="000000" w:themeColor="text1"/>
                <w:vertAlign w:val="subscript"/>
              </w:rPr>
              <w:t>:</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5782F399"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Маятниковая</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55C81008"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proofErr w:type="spellStart"/>
            <w:r w:rsidRPr="00A259BD">
              <w:rPr>
                <w:rFonts w:ascii="Times New Roman" w:hAnsi="Times New Roman" w:cs="Times New Roman"/>
                <w:color w:val="000000" w:themeColor="text1"/>
              </w:rPr>
              <w:t>Паралделограмная</w:t>
            </w:r>
            <w:proofErr w:type="spellEnd"/>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771BE429"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proofErr w:type="spellStart"/>
            <w:r w:rsidRPr="00A259BD">
              <w:rPr>
                <w:rFonts w:ascii="Times New Roman" w:hAnsi="Times New Roman" w:cs="Times New Roman"/>
                <w:color w:val="000000" w:themeColor="text1"/>
              </w:rPr>
              <w:t>Параллелограмная</w:t>
            </w:r>
            <w:proofErr w:type="spellEnd"/>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040CF042"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Маятниковая</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F69D516"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Маятниковая</w:t>
            </w:r>
          </w:p>
        </w:tc>
      </w:tr>
      <w:tr w:rsidR="00A259BD" w:rsidRPr="00A259BD" w14:paraId="6F0BD60B"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71BE130D"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Задняя подвеска</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3EDC5C5"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Жесткая</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3C8EDB5"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Жесткая</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7E541C1B"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Жесткая</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BC7329D"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Жесткая</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23EDA626"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Нет данных</w:t>
            </w:r>
          </w:p>
        </w:tc>
      </w:tr>
      <w:tr w:rsidR="00A259BD" w:rsidRPr="00A259BD" w14:paraId="5B6F0C72" w14:textId="77777777" w:rsidTr="00261E4C">
        <w:trPr>
          <w:trHeight w:val="235"/>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341F66D2"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Размер шин, дюймы</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3B865D3"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4x27</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442719D5"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3,25x26</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2B16D37A"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3,0x26</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5BBB3A8" w14:textId="77777777" w:rsidR="00822803" w:rsidRPr="00A259BD" w:rsidRDefault="00822803" w:rsidP="009236E3">
            <w:pPr>
              <w:spacing w:after="0" w:line="240" w:lineRule="auto"/>
              <w:jc w:val="both"/>
              <w:rPr>
                <w:rFonts w:ascii="Times New Roman" w:hAnsi="Times New Roman"/>
                <w:color w:val="000000" w:themeColor="text1"/>
                <w:sz w:val="16"/>
                <w:szCs w:val="16"/>
              </w:rPr>
            </w:pP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2CE800AF"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Нет данных</w:t>
            </w:r>
          </w:p>
        </w:tc>
      </w:tr>
      <w:tr w:rsidR="00A259BD" w:rsidRPr="00A259BD" w14:paraId="0B58A942"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4E3D4735"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База</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1FE19545"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1400</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C2849D1"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1300</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20A490EC"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1100</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645877D6"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1300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30FA3F3C"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proofErr w:type="spellStart"/>
            <w:r w:rsidRPr="00A259BD">
              <w:rPr>
                <w:rFonts w:ascii="Times New Roman" w:hAnsi="Times New Roman" w:cs="Times New Roman"/>
                <w:color w:val="000000" w:themeColor="text1"/>
              </w:rPr>
              <w:t>Нетданных</w:t>
            </w:r>
            <w:proofErr w:type="spellEnd"/>
          </w:p>
        </w:tc>
      </w:tr>
      <w:tr w:rsidR="00A259BD" w:rsidRPr="00A259BD" w14:paraId="101B2AA0" w14:textId="77777777" w:rsidTr="00261E4C">
        <w:trPr>
          <w:trHeight w:val="235"/>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6361EEE3" w14:textId="77777777" w:rsidR="00822803" w:rsidRPr="00A259BD" w:rsidRDefault="00822803" w:rsidP="009236E3">
            <w:pPr>
              <w:pStyle w:val="a3"/>
              <w:rPr>
                <w:color w:val="000000" w:themeColor="text1"/>
              </w:rPr>
            </w:pPr>
            <w:proofErr w:type="spellStart"/>
            <w:r w:rsidRPr="00A259BD">
              <w:rPr>
                <w:color w:val="000000" w:themeColor="text1"/>
              </w:rPr>
              <w:t>Дорожный</w:t>
            </w:r>
            <w:proofErr w:type="spellEnd"/>
            <w:r w:rsidRPr="00A259BD">
              <w:rPr>
                <w:color w:val="000000" w:themeColor="text1"/>
              </w:rPr>
              <w:t xml:space="preserve"> </w:t>
            </w:r>
            <w:proofErr w:type="spellStart"/>
            <w:r w:rsidRPr="00A259BD">
              <w:rPr>
                <w:color w:val="000000" w:themeColor="text1"/>
              </w:rPr>
              <w:t>просвет</w:t>
            </w:r>
            <w:proofErr w:type="spellEnd"/>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F167739"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300</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5BE889BE"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180</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02F9152B" w14:textId="77777777" w:rsidR="00822803" w:rsidRPr="00A259BD" w:rsidRDefault="00822803" w:rsidP="009236E3">
            <w:pPr>
              <w:pStyle w:val="153"/>
              <w:shd w:val="clear" w:color="auto" w:fill="auto"/>
              <w:spacing w:line="240" w:lineRule="auto"/>
              <w:rPr>
                <w:rFonts w:ascii="Times New Roman" w:hAnsi="Times New Roman" w:cs="Times New Roman"/>
                <w:i w:val="0"/>
                <w:color w:val="000000" w:themeColor="text1"/>
                <w:sz w:val="16"/>
                <w:szCs w:val="16"/>
              </w:rPr>
            </w:pPr>
            <w:r w:rsidRPr="00A259BD">
              <w:rPr>
                <w:rFonts w:ascii="Times New Roman" w:hAnsi="Times New Roman" w:cs="Times New Roman"/>
                <w:i w:val="0"/>
                <w:color w:val="000000" w:themeColor="text1"/>
                <w:sz w:val="16"/>
                <w:szCs w:val="16"/>
              </w:rPr>
              <w:t>: 1оо</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8ADCF9D"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130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2F028E55"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proofErr w:type="spellStart"/>
            <w:r w:rsidRPr="00A259BD">
              <w:rPr>
                <w:rFonts w:ascii="Times New Roman" w:hAnsi="Times New Roman" w:cs="Times New Roman"/>
                <w:color w:val="000000" w:themeColor="text1"/>
              </w:rPr>
              <w:t>Нетданных</w:t>
            </w:r>
            <w:proofErr w:type="spellEnd"/>
          </w:p>
        </w:tc>
      </w:tr>
      <w:tr w:rsidR="00A259BD" w:rsidRPr="00A259BD" w14:paraId="38E71A69" w14:textId="77777777" w:rsidTr="00261E4C">
        <w:trPr>
          <w:trHeight w:val="245"/>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7D3EE422"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Максимальная скорость, км/ч</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0C2EC67"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65</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00F41598"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proofErr w:type="spellStart"/>
            <w:r w:rsidRPr="00A259BD">
              <w:rPr>
                <w:rFonts w:ascii="Times New Roman" w:hAnsi="Times New Roman" w:cs="Times New Roman"/>
                <w:color w:val="000000" w:themeColor="text1"/>
              </w:rPr>
              <w:t>Нетданных</w:t>
            </w:r>
            <w:proofErr w:type="spellEnd"/>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2EED2A88"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proofErr w:type="spellStart"/>
            <w:r w:rsidRPr="00A259BD">
              <w:rPr>
                <w:rFonts w:ascii="Times New Roman" w:hAnsi="Times New Roman" w:cs="Times New Roman"/>
                <w:color w:val="000000" w:themeColor="text1"/>
              </w:rPr>
              <w:t>Нетданных</w:t>
            </w:r>
            <w:proofErr w:type="spellEnd"/>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5B8573BB"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proofErr w:type="spellStart"/>
            <w:r w:rsidRPr="00A259BD">
              <w:rPr>
                <w:rFonts w:ascii="Times New Roman" w:hAnsi="Times New Roman" w:cs="Times New Roman"/>
                <w:color w:val="000000" w:themeColor="text1"/>
              </w:rPr>
              <w:t>Нетданных</w:t>
            </w:r>
            <w:proofErr w:type="spellEnd"/>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29B5A77C"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Нет данных</w:t>
            </w:r>
          </w:p>
        </w:tc>
      </w:tr>
      <w:tr w:rsidR="00A259BD" w:rsidRPr="00A259BD" w14:paraId="2FD0147D" w14:textId="77777777" w:rsidTr="00261E4C">
        <w:trPr>
          <w:trHeight w:val="235"/>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14ED0A3C"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Ёмкость бензобака, я л ;</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64AE5C56"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23</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10194675" w14:textId="77777777" w:rsidR="00822803" w:rsidRPr="00A259BD" w:rsidRDefault="00822803" w:rsidP="009236E3">
            <w:pPr>
              <w:spacing w:after="0" w:line="240" w:lineRule="auto"/>
              <w:jc w:val="both"/>
              <w:rPr>
                <w:rFonts w:ascii="Times New Roman" w:hAnsi="Times New Roman"/>
                <w:color w:val="000000" w:themeColor="text1"/>
                <w:sz w:val="16"/>
                <w:szCs w:val="16"/>
              </w:rPr>
            </w:pP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34B0A99B"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10</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8677480"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proofErr w:type="spellStart"/>
            <w:r w:rsidRPr="00A259BD">
              <w:rPr>
                <w:rFonts w:ascii="Times New Roman" w:hAnsi="Times New Roman" w:cs="Times New Roman"/>
                <w:color w:val="000000" w:themeColor="text1"/>
              </w:rPr>
              <w:t>Нетданных</w:t>
            </w:r>
            <w:proofErr w:type="spellEnd"/>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33ED407F"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Нет данных -</w:t>
            </w:r>
          </w:p>
        </w:tc>
      </w:tr>
      <w:tr w:rsidR="00A259BD" w:rsidRPr="00A259BD" w14:paraId="407986C1" w14:textId="77777777" w:rsidTr="00261E4C">
        <w:trPr>
          <w:trHeight w:val="25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5CAEDCC5"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Емкость маслобака,</w:t>
            </w:r>
            <w:r w:rsidRPr="00A259BD">
              <w:rPr>
                <w:rStyle w:val="87pt1"/>
                <w:rFonts w:ascii="Times New Roman" w:eastAsia="Calibri" w:hAnsi="Times New Roman" w:cs="Times New Roman"/>
                <w:i w:val="0"/>
                <w:color w:val="000000" w:themeColor="text1"/>
                <w:sz w:val="16"/>
                <w:szCs w:val="16"/>
              </w:rPr>
              <w:t xml:space="preserve"> л</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B5857D8"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4</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472ED0FC"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Нет данных</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6A143361"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Нет данных</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403F64B"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Нет данных</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470C5DDB" w14:textId="77777777" w:rsidR="00822803" w:rsidRPr="00A259BD" w:rsidRDefault="00822803" w:rsidP="009236E3">
            <w:pPr>
              <w:pStyle w:val="80"/>
              <w:shd w:val="clear" w:color="auto" w:fill="auto"/>
              <w:spacing w:line="240" w:lineRule="auto"/>
              <w:jc w:val="both"/>
              <w:rPr>
                <w:rFonts w:ascii="Times New Roman" w:hAnsi="Times New Roman" w:cs="Times New Roman"/>
                <w:color w:val="000000" w:themeColor="text1"/>
              </w:rPr>
            </w:pPr>
            <w:r w:rsidRPr="00A259BD">
              <w:rPr>
                <w:rFonts w:ascii="Times New Roman" w:hAnsi="Times New Roman" w:cs="Times New Roman"/>
                <w:color w:val="000000" w:themeColor="text1"/>
              </w:rPr>
              <w:t>Нет данных</w:t>
            </w:r>
          </w:p>
        </w:tc>
      </w:tr>
    </w:tbl>
    <w:p w14:paraId="11337F0B" w14:textId="77777777" w:rsidR="00822803" w:rsidRPr="00A259BD" w:rsidRDefault="00822803" w:rsidP="009236E3">
      <w:pPr>
        <w:pStyle w:val="aff0"/>
        <w:shd w:val="clear" w:color="auto" w:fill="auto"/>
        <w:spacing w:line="240" w:lineRule="auto"/>
        <w:rPr>
          <w:rFonts w:ascii="Times New Roman" w:hAnsi="Times New Roman" w:cs="Times New Roman"/>
          <w:i w:val="0"/>
          <w:color w:val="000000" w:themeColor="text1"/>
          <w:sz w:val="16"/>
          <w:szCs w:val="16"/>
        </w:rPr>
      </w:pPr>
      <w:r w:rsidRPr="00A259BD">
        <w:rPr>
          <w:rFonts w:ascii="Times New Roman" w:hAnsi="Times New Roman" w:cs="Times New Roman"/>
          <w:i w:val="0"/>
          <w:color w:val="000000" w:themeColor="text1"/>
          <w:sz w:val="16"/>
          <w:szCs w:val="16"/>
        </w:rPr>
        <w:t>(15753).</w:t>
      </w:r>
    </w:p>
    <w:p w14:paraId="7F9D962B" w14:textId="77777777" w:rsidR="00822803" w:rsidRPr="00A259BD" w:rsidRDefault="00822803" w:rsidP="009236E3">
      <w:pPr>
        <w:pStyle w:val="105"/>
        <w:shd w:val="clear" w:color="auto" w:fill="auto"/>
        <w:spacing w:line="240" w:lineRule="auto"/>
        <w:jc w:val="both"/>
        <w:rPr>
          <w:rFonts w:ascii="Times New Roman" w:hAnsi="Times New Roman" w:cs="Times New Roman"/>
          <w:i w:val="0"/>
          <w:color w:val="000000" w:themeColor="text1"/>
          <w:sz w:val="16"/>
          <w:szCs w:val="16"/>
        </w:rPr>
      </w:pPr>
    </w:p>
    <w:p w14:paraId="5B96F34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8FF7D7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7C87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 июня 1929 г. официально в планах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началось проектирование истребителя И-7. 20 августа ди</w:t>
      </w:r>
      <w:r w:rsidRPr="00A259BD">
        <w:rPr>
          <w:rFonts w:ascii="Times New Roman" w:hAnsi="Times New Roman"/>
          <w:color w:val="000000" w:themeColor="text1"/>
          <w:sz w:val="16"/>
          <w:szCs w:val="16"/>
        </w:rPr>
        <w:softHyphen/>
        <w:t>ректор завода № 25 Горшков и его помощник по техни</w:t>
      </w:r>
      <w:r w:rsidRPr="00A259BD">
        <w:rPr>
          <w:rFonts w:ascii="Times New Roman" w:hAnsi="Times New Roman"/>
          <w:color w:val="000000" w:themeColor="text1"/>
          <w:sz w:val="16"/>
          <w:szCs w:val="16"/>
        </w:rPr>
        <w:softHyphen/>
        <w:t xml:space="preserve">ческой части Поликарпов направили в Технический отдел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письмо о ходе работ по И-7: “Согласно утвержденного трехлетнего плана опытного строитель</w:t>
      </w:r>
      <w:r w:rsidRPr="00A259BD">
        <w:rPr>
          <w:rFonts w:ascii="Times New Roman" w:hAnsi="Times New Roman"/>
          <w:color w:val="000000" w:themeColor="text1"/>
          <w:sz w:val="16"/>
          <w:szCs w:val="16"/>
        </w:rPr>
        <w:softHyphen/>
        <w:t>ства для завода № 25, с 1.У1.29 г. должны быть начаты работы по самолету И7-М17 (1 и 2 экз.), с 1.УШ.29 г. -крейсерский истребитель ИК-2М17, с 1.Х.29 г. - двухме</w:t>
      </w:r>
      <w:r w:rsidRPr="00A259BD">
        <w:rPr>
          <w:rFonts w:ascii="Times New Roman" w:hAnsi="Times New Roman"/>
          <w:color w:val="000000" w:themeColor="text1"/>
          <w:sz w:val="16"/>
          <w:szCs w:val="16"/>
        </w:rPr>
        <w:softHyphen/>
        <w:t>стный ночной истребитель НД2-М17. Однако до сих пор нет ни Технических требований, ни каких-либо других руководящих материалов по этим самолетам, ни от Правления Треста, ни от ВВС не поступало, вследствие чего работа по ИК-2М17, НД2-М17 не производится, а работа по И7-М17 ведется заводом применительно к об</w:t>
      </w:r>
      <w:r w:rsidRPr="00A259BD">
        <w:rPr>
          <w:rFonts w:ascii="Times New Roman" w:hAnsi="Times New Roman"/>
          <w:color w:val="000000" w:themeColor="text1"/>
          <w:sz w:val="16"/>
          <w:szCs w:val="16"/>
        </w:rPr>
        <w:softHyphen/>
        <w:t xml:space="preserve">щим Техническим требованиям ВВС к одноместным </w:t>
      </w:r>
      <w:proofErr w:type="spellStart"/>
      <w:r w:rsidRPr="00A259BD">
        <w:rPr>
          <w:rFonts w:ascii="Times New Roman" w:hAnsi="Times New Roman"/>
          <w:color w:val="000000" w:themeColor="text1"/>
          <w:sz w:val="16"/>
          <w:szCs w:val="16"/>
        </w:rPr>
        <w:t>ис-требителям</w:t>
      </w:r>
      <w:proofErr w:type="spellEnd"/>
      <w:r w:rsidRPr="00A259BD">
        <w:rPr>
          <w:rFonts w:ascii="Times New Roman" w:hAnsi="Times New Roman"/>
          <w:color w:val="000000" w:themeColor="text1"/>
          <w:sz w:val="16"/>
          <w:szCs w:val="16"/>
        </w:rPr>
        <w:t>. Во избежание дальнейших задержек, про</w:t>
      </w:r>
      <w:r w:rsidRPr="00A259BD">
        <w:rPr>
          <w:rFonts w:ascii="Times New Roman" w:hAnsi="Times New Roman"/>
          <w:color w:val="000000" w:themeColor="text1"/>
          <w:sz w:val="16"/>
          <w:szCs w:val="16"/>
        </w:rPr>
        <w:softHyphen/>
        <w:t>сим об ускорении высылки заданий и Технических тре</w:t>
      </w:r>
      <w:r w:rsidRPr="00A259BD">
        <w:rPr>
          <w:rFonts w:ascii="Times New Roman" w:hAnsi="Times New Roman"/>
          <w:color w:val="000000" w:themeColor="text1"/>
          <w:sz w:val="16"/>
          <w:szCs w:val="16"/>
        </w:rPr>
        <w:softHyphen/>
        <w:t>бований на указанные самолеты” (10667).</w:t>
      </w:r>
    </w:p>
    <w:p w14:paraId="206295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1F022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1 июня 1929 г. почти все чертежи мотора Юпитер прибыли в Запорожье; приемку их осуществлял в Париже инженер завода № 29 С.Н. Осипов. На заводе обработку документации вел Технический отдел во главе с инженером Пивоваром. Отдел формировали специально для работы по «Юпитеру» с сентября 1928 г. К январю 1930 г. в его штате насчитывалось 39 человек. К 15 декабря французские чертежи скопировали, переведя их к оте</w:t>
      </w:r>
      <w:r w:rsidRPr="00A259BD">
        <w:rPr>
          <w:rFonts w:ascii="Times New Roman" w:hAnsi="Times New Roman"/>
          <w:color w:val="000000" w:themeColor="text1"/>
          <w:sz w:val="16"/>
          <w:szCs w:val="16"/>
        </w:rPr>
        <w:softHyphen/>
        <w:t>чественным стандартам. Еще с сентября приступили к проектированию оснастки и приспособлений. Примерно четверть таких чертежей прибыла из Франции в готовом виде, остальные предстояло сделать самостоятель</w:t>
      </w:r>
      <w:r w:rsidRPr="00A259BD">
        <w:rPr>
          <w:rFonts w:ascii="Times New Roman" w:hAnsi="Times New Roman"/>
          <w:color w:val="000000" w:themeColor="text1"/>
          <w:sz w:val="16"/>
          <w:szCs w:val="16"/>
        </w:rPr>
        <w:softHyphen/>
        <w:t>но. В Запорожье в общей сложности спроектировали 367 приспособлений. К 1 января 1930 г. завершили разработку «операционных ведомостей» (технологических карт). Помощь в подготовке производства оказывали другие предприятия. Часть инструмента сделали на заводе № 26 в Рыбинске, приспособления изготавливали на заводе № 24 в Москве. Кое-какой инструмент хотели заказать за границей, но запоздали со сроками выдачи заказов и ограни</w:t>
      </w:r>
      <w:r w:rsidRPr="00A259BD">
        <w:rPr>
          <w:rFonts w:ascii="Times New Roman" w:hAnsi="Times New Roman"/>
          <w:color w:val="000000" w:themeColor="text1"/>
          <w:sz w:val="16"/>
          <w:szCs w:val="16"/>
        </w:rPr>
        <w:softHyphen/>
        <w:t>чились изготовлением его в СССР. Для первых серий моторов во Франции закупили свечи, карбюраторы, бензонасосы, магнето, детали механизма газораспределения. Комплектую</w:t>
      </w:r>
      <w:r w:rsidRPr="00A259BD">
        <w:rPr>
          <w:rFonts w:ascii="Times New Roman" w:hAnsi="Times New Roman"/>
          <w:color w:val="000000" w:themeColor="text1"/>
          <w:sz w:val="16"/>
          <w:szCs w:val="16"/>
        </w:rPr>
        <w:softHyphen/>
        <w:t>щие поступали через фирму «Гном-Рон», которая за это получала 5% ко</w:t>
      </w:r>
      <w:r w:rsidRPr="00A259BD">
        <w:rPr>
          <w:rFonts w:ascii="Times New Roman" w:hAnsi="Times New Roman"/>
          <w:color w:val="000000" w:themeColor="text1"/>
          <w:sz w:val="16"/>
          <w:szCs w:val="16"/>
        </w:rPr>
        <w:softHyphen/>
        <w:t>миссионных. На первые 10 двигателей приобрели также поковки и отлив</w:t>
      </w:r>
      <w:r w:rsidRPr="00A259BD">
        <w:rPr>
          <w:rFonts w:ascii="Times New Roman" w:hAnsi="Times New Roman"/>
          <w:color w:val="000000" w:themeColor="text1"/>
          <w:sz w:val="16"/>
          <w:szCs w:val="16"/>
        </w:rPr>
        <w:softHyphen/>
        <w:t>ки. Задержка с освоением их изготовления в Советском Союзе привела к заказу еще одной партии поковок, которую отправили морем из Гавра в Ревель (Таллин) 8 марта 1930 г. Советский двигатель, обозначенный М-22, первоначально должен был соответствовать французской модели 9А(1 мощностью 420 л.с., но с уси</w:t>
      </w:r>
      <w:r w:rsidRPr="00A259BD">
        <w:rPr>
          <w:rFonts w:ascii="Times New Roman" w:hAnsi="Times New Roman"/>
          <w:color w:val="000000" w:themeColor="text1"/>
          <w:sz w:val="16"/>
          <w:szCs w:val="16"/>
        </w:rPr>
        <w:softHyphen/>
        <w:t xml:space="preserve">ленным коленчатым валом. Но постепенно в ходе подготовки производства его приблизили к 9А^ в 480 л.с. Поскольку в СССР система допусков и посадок отличалась, то моторы из Запорожья оказались </w:t>
      </w:r>
      <w:proofErr w:type="spellStart"/>
      <w:r w:rsidRPr="00A259BD">
        <w:rPr>
          <w:rFonts w:ascii="Times New Roman" w:hAnsi="Times New Roman"/>
          <w:color w:val="000000" w:themeColor="text1"/>
          <w:sz w:val="16"/>
          <w:szCs w:val="16"/>
        </w:rPr>
        <w:t>невзаимозаменяе</w:t>
      </w:r>
      <w:r w:rsidRPr="00A259BD">
        <w:rPr>
          <w:rFonts w:ascii="Times New Roman" w:hAnsi="Times New Roman"/>
          <w:color w:val="000000" w:themeColor="text1"/>
          <w:sz w:val="16"/>
          <w:szCs w:val="16"/>
        </w:rPr>
        <w:softHyphen/>
        <w:t>мы</w:t>
      </w:r>
      <w:proofErr w:type="spellEnd"/>
      <w:r w:rsidRPr="00A259BD">
        <w:rPr>
          <w:rFonts w:ascii="Times New Roman" w:hAnsi="Times New Roman"/>
          <w:color w:val="000000" w:themeColor="text1"/>
          <w:sz w:val="16"/>
          <w:szCs w:val="16"/>
        </w:rPr>
        <w:t xml:space="preserve"> ни с французскими, ни с немецкими «Юпитерами». В декабре 1930 г., с опозданием на три месяца против плана, завод вы</w:t>
      </w:r>
      <w:r w:rsidRPr="00A259BD">
        <w:rPr>
          <w:rFonts w:ascii="Times New Roman" w:hAnsi="Times New Roman"/>
          <w:color w:val="000000" w:themeColor="text1"/>
          <w:sz w:val="16"/>
          <w:szCs w:val="16"/>
        </w:rPr>
        <w:softHyphen/>
        <w:t>ставил на испытания первый десяток М-22 (серия «А»). На испытаниях достигли максимальной мощности 567 л.с. Всего за 1930 г. изготовили 25 моторов со значительной долей импортных деталей. Вторая серия (серия «Б»), тоже из 10 моторов, сдавалась уже в апреле 1931 г. Все отливки уже были отечественными. Советское литье имело худшее качество, чем импортное. В Запорожье лили из другого сплава, более мягкого, и не сразу подобрали подходящую технологию. Поначалу много отливок браковали из-за трещин. На серии «Б» ввели стальные заглушки коленвала, изменили материалы некоторых деталей. Моторы серий «А» и «Б» отличались повышенной степенью сжатия (6,55-6,58). Межремонтный ресурс для них определили в 50 часов. Только на третьей серии (серии «В») из 40 двигателей удалось достичь ресурса 100 часов. На этой серии ввели фиксированные вкладыши глав</w:t>
      </w:r>
      <w:r w:rsidRPr="00A259BD">
        <w:rPr>
          <w:rFonts w:ascii="Times New Roman" w:hAnsi="Times New Roman"/>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Серию «В» завершили в августе 1931 г., а сдавали в сентябре.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A259BD">
        <w:rPr>
          <w:rFonts w:ascii="Times New Roman" w:hAnsi="Times New Roman"/>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A259BD">
        <w:rPr>
          <w:rFonts w:ascii="Times New Roman" w:hAnsi="Times New Roman"/>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A259BD">
        <w:rPr>
          <w:rFonts w:ascii="Times New Roman" w:hAnsi="Times New Roman"/>
          <w:color w:val="000000" w:themeColor="text1"/>
          <w:sz w:val="16"/>
          <w:szCs w:val="16"/>
        </w:rPr>
        <w:softHyphen/>
        <w:t>ловине 30-х годов (11852).</w:t>
      </w:r>
    </w:p>
    <w:p w14:paraId="1DA1CC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2BADDD" w14:textId="77777777" w:rsidR="00822803"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DB9D4D6" w14:textId="77777777" w:rsidR="00822803" w:rsidRPr="00A259BD" w:rsidRDefault="0082280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26D3EE" w14:textId="77777777" w:rsidR="00822803" w:rsidRPr="00A259BD" w:rsidRDefault="00822803"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lastRenderedPageBreak/>
        <w:t>1 июня</w:t>
      </w:r>
      <w:r w:rsidRPr="00A259BD">
        <w:rPr>
          <w:rFonts w:ascii="Times New Roman" w:hAnsi="Times New Roman"/>
          <w:color w:val="000000" w:themeColor="text1"/>
          <w:sz w:val="16"/>
          <w:szCs w:val="16"/>
        </w:rPr>
        <w:t xml:space="preserve"> в 1929 году спуск на воду СКР-1 серии "Тайфун" на Северной верфи (14909).</w:t>
      </w:r>
    </w:p>
    <w:p w14:paraId="559D4885" w14:textId="77777777" w:rsidR="00822803" w:rsidRPr="00A259BD" w:rsidRDefault="00822803" w:rsidP="009236E3">
      <w:pPr>
        <w:spacing w:after="0" w:line="240" w:lineRule="auto"/>
        <w:jc w:val="both"/>
        <w:rPr>
          <w:rFonts w:ascii="Times New Roman" w:hAnsi="Times New Roman"/>
          <w:color w:val="000000" w:themeColor="text1"/>
          <w:sz w:val="16"/>
          <w:szCs w:val="16"/>
        </w:rPr>
      </w:pPr>
    </w:p>
    <w:p w14:paraId="1542B4E0" w14:textId="77777777" w:rsidR="00483C4A" w:rsidRPr="00A259BD" w:rsidRDefault="00483C4A"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B21A302" w14:textId="77777777" w:rsidR="00483C4A" w:rsidRPr="00A259BD" w:rsidRDefault="00483C4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4B134A" w14:textId="77777777" w:rsidR="00483C4A" w:rsidRPr="00A259BD" w:rsidRDefault="00483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июня 1929 в Советской России объявлен библиотечный поход, призванный способствовать оживлению деятельности библиотек, привлечению в них крестьян, рабочих и молодежи. Началась культурно-просветительская кампания с двумя основными лозунгами: «Ни одного, обучившегося грамоте, вне библиотеки!» и «Книгу – в массы!» К этому сроку как раз ожидали первых результатов культпохода против неграмотности – появление многотысячной армии людей, обученных чтению. Но были ли готовы библиотеки принять эти огромные массы в качестве своих новых читателей? Иначе все достижения по ликвидации неграмотности будут сведены на нет.</w:t>
      </w:r>
    </w:p>
    <w:p w14:paraId="082FABE4" w14:textId="77777777" w:rsidR="00483C4A" w:rsidRPr="00A259BD" w:rsidRDefault="00483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Недостатков в библиотечном хозяйстве было достаточно: от малого количества библиотек и книг до разрушающихся зданий. Все это требовало немедленного исправления. А в то время, когда «кадры решали всё», увеличение числа образованных, квалифицированных специалистов – от рабочего и крестьянина до ученого – было жизненно необходимо государству, – и оно взяло инициативу на себя: последовали специальное постановление и затем Обращение </w:t>
      </w:r>
      <w:proofErr w:type="spellStart"/>
      <w:r w:rsidRPr="00A259BD">
        <w:rPr>
          <w:rFonts w:ascii="Times New Roman" w:hAnsi="Times New Roman"/>
          <w:color w:val="000000" w:themeColor="text1"/>
          <w:sz w:val="16"/>
          <w:szCs w:val="16"/>
        </w:rPr>
        <w:t>Главполитпросвета</w:t>
      </w:r>
      <w:proofErr w:type="spellEnd"/>
      <w:r w:rsidRPr="00A259BD">
        <w:rPr>
          <w:rFonts w:ascii="Times New Roman" w:hAnsi="Times New Roman"/>
          <w:color w:val="000000" w:themeColor="text1"/>
          <w:sz w:val="16"/>
          <w:szCs w:val="16"/>
        </w:rPr>
        <w:t xml:space="preserve"> Наркомпроса РСФСР ко всем партийным, комсомольским, профсоюзным, советским, кооперативным, общественным организациям и читательскому активу библиотек о развертывании библиотечного похода. В октябре ЦК ВКП(б) принял постановление «Об улучшении библиотечной работы» , в котором предлагалось решительно перестроить библиотечную работу в соответствии с возрастающим ее политическим значением, превратить библиотеки в культурные центры, развивать массовые формы работы, – таким образом, ЦК поддержал библиотечный поход (21168).</w:t>
      </w:r>
    </w:p>
    <w:p w14:paraId="27E21189" w14:textId="77777777" w:rsidR="00483C4A" w:rsidRPr="00A259BD" w:rsidRDefault="00483C4A" w:rsidP="009236E3">
      <w:pPr>
        <w:spacing w:after="0" w:line="240" w:lineRule="auto"/>
        <w:jc w:val="both"/>
        <w:rPr>
          <w:rFonts w:ascii="Times New Roman" w:hAnsi="Times New Roman"/>
          <w:color w:val="000000" w:themeColor="text1"/>
          <w:sz w:val="16"/>
          <w:szCs w:val="16"/>
        </w:rPr>
      </w:pPr>
    </w:p>
    <w:p w14:paraId="0DF40849"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5EE968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D12D51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июня 1929 союз актеров Голливуда призвал к всеобщей забастовке, требуя установить 48-часовую рабочую неделю для актеров (4962).</w:t>
      </w:r>
    </w:p>
    <w:p w14:paraId="26850DA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6A5C2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05ED1E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A7AD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июня 1929 появился проект РОМ, который подписали </w:t>
      </w:r>
      <w:proofErr w:type="spellStart"/>
      <w:r w:rsidRPr="00A259BD">
        <w:rPr>
          <w:rFonts w:ascii="Times New Roman" w:hAnsi="Times New Roman"/>
          <w:color w:val="000000" w:themeColor="text1"/>
          <w:sz w:val="16"/>
          <w:szCs w:val="16"/>
        </w:rPr>
        <w:t>П.Э.Ришар</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Д.М.Хомский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С.А.Лавочкин</w:t>
      </w:r>
      <w:proofErr w:type="spellEnd"/>
      <w:r w:rsidRPr="00A259BD">
        <w:rPr>
          <w:rFonts w:ascii="Times New Roman" w:hAnsi="Times New Roman"/>
          <w:color w:val="000000" w:themeColor="text1"/>
          <w:sz w:val="16"/>
          <w:szCs w:val="16"/>
        </w:rPr>
        <w:t xml:space="preserve"> (78,33).</w:t>
      </w:r>
    </w:p>
    <w:p w14:paraId="2BC6B9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D7987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4701894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FCB7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июня 1929 года при первой попытке произвести сцепку в воздухе. Летчик А. </w:t>
      </w:r>
      <w:proofErr w:type="spellStart"/>
      <w:r w:rsidRPr="00A259BD">
        <w:rPr>
          <w:rFonts w:ascii="Times New Roman" w:hAnsi="Times New Roman"/>
          <w:color w:val="000000" w:themeColor="text1"/>
          <w:sz w:val="16"/>
          <w:szCs w:val="16"/>
        </w:rPr>
        <w:t>Гортон</w:t>
      </w:r>
      <w:proofErr w:type="spellEnd"/>
      <w:r w:rsidRPr="00A259BD">
        <w:rPr>
          <w:rFonts w:ascii="Times New Roman" w:hAnsi="Times New Roman"/>
          <w:color w:val="000000" w:themeColor="text1"/>
          <w:sz w:val="16"/>
          <w:szCs w:val="16"/>
        </w:rPr>
        <w:t xml:space="preserve"> сделал пятнадцать заходов, но ему удалось только четырежды коснуться перекладины трапеции и всего лишь один раз кратковременно повиснуть на ней. Завихрение воздуха под оболочкой оказалось более сильным, нежели предполагалось, и медленное приближение к перекладине сзади было невозможно. </w:t>
      </w:r>
      <w:proofErr w:type="spellStart"/>
      <w:r w:rsidRPr="00A259BD">
        <w:rPr>
          <w:rFonts w:ascii="Times New Roman" w:hAnsi="Times New Roman"/>
          <w:color w:val="000000" w:themeColor="text1"/>
          <w:sz w:val="16"/>
          <w:szCs w:val="16"/>
        </w:rPr>
        <w:t>Гортон</w:t>
      </w:r>
      <w:proofErr w:type="spellEnd"/>
      <w:r w:rsidRPr="00A259BD">
        <w:rPr>
          <w:rFonts w:ascii="Times New Roman" w:hAnsi="Times New Roman"/>
          <w:color w:val="000000" w:themeColor="text1"/>
          <w:sz w:val="16"/>
          <w:szCs w:val="16"/>
        </w:rPr>
        <w:t xml:space="preserve"> придумал новый способ подхода к перекладине. Он начинал подлет к дирижаблю сзади сбоку, поднимался со скольжением в сторону воздушного корабля и приближался с избытком потребной мощности двигателя, при которой самолет не мог уже легко провалиться вниз, едва крюк оказывался над перекладиной (11324).</w:t>
      </w:r>
    </w:p>
    <w:p w14:paraId="1A0DE0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1628E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июня 1929 был разрешен спор Чили, Перу и Боливии в отношении района Арика-</w:t>
      </w:r>
      <w:proofErr w:type="spellStart"/>
      <w:r w:rsidRPr="00A259BD">
        <w:rPr>
          <w:rFonts w:ascii="Times New Roman" w:hAnsi="Times New Roman"/>
          <w:color w:val="000000" w:themeColor="text1"/>
          <w:sz w:val="16"/>
          <w:szCs w:val="16"/>
        </w:rPr>
        <w:t>Такна</w:t>
      </w:r>
      <w:proofErr w:type="spellEnd"/>
      <w:r w:rsidRPr="00A259BD">
        <w:rPr>
          <w:rFonts w:ascii="Times New Roman" w:hAnsi="Times New Roman"/>
          <w:color w:val="000000" w:themeColor="text1"/>
          <w:sz w:val="16"/>
          <w:szCs w:val="16"/>
        </w:rPr>
        <w:t>. Арику получили Чили, Такну - Перу, а Боливия - право эксплуатации ж/д (3907,156).</w:t>
      </w:r>
    </w:p>
    <w:p w14:paraId="5CF790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771B5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4618DB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8556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июня 1929 состоялось первое руление Ш-1 на воде, которое выполнил л </w:t>
      </w:r>
      <w:proofErr w:type="spellStart"/>
      <w:r w:rsidRPr="00A259BD">
        <w:rPr>
          <w:rFonts w:ascii="Times New Roman" w:hAnsi="Times New Roman"/>
          <w:color w:val="000000" w:themeColor="text1"/>
          <w:sz w:val="16"/>
          <w:szCs w:val="16"/>
        </w:rPr>
        <w:t>Л.И.Гикса</w:t>
      </w:r>
      <w:proofErr w:type="spellEnd"/>
      <w:r w:rsidRPr="00A259BD">
        <w:rPr>
          <w:rFonts w:ascii="Times New Roman" w:hAnsi="Times New Roman"/>
          <w:color w:val="000000" w:themeColor="text1"/>
          <w:sz w:val="16"/>
          <w:szCs w:val="16"/>
        </w:rPr>
        <w:t xml:space="preserve">. Первый полет - 21 июня тоже был в Ленинграде, но летал </w:t>
      </w:r>
      <w:proofErr w:type="spellStart"/>
      <w:r w:rsidRPr="00A259BD">
        <w:rPr>
          <w:rFonts w:ascii="Times New Roman" w:hAnsi="Times New Roman"/>
          <w:color w:val="000000" w:themeColor="text1"/>
          <w:sz w:val="16"/>
          <w:szCs w:val="16"/>
        </w:rPr>
        <w:t>Б.В.Глаголев</w:t>
      </w:r>
      <w:proofErr w:type="spellEnd"/>
      <w:r w:rsidRPr="00A259BD">
        <w:rPr>
          <w:rFonts w:ascii="Times New Roman" w:hAnsi="Times New Roman"/>
          <w:color w:val="000000" w:themeColor="text1"/>
          <w:sz w:val="16"/>
          <w:szCs w:val="16"/>
        </w:rPr>
        <w:t xml:space="preserve"> (92,380). 4 июня 1929 взлететь не смог, т.к. на боковых поплавках не было реданов. Кроме того пришлось поплавки раздвинуть (7621, 33).</w:t>
      </w:r>
    </w:p>
    <w:p w14:paraId="7F5B1E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AC7932" w14:textId="77777777" w:rsidR="00FF4128" w:rsidRPr="00A259BD" w:rsidRDefault="00FF41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4 июня</w:t>
      </w:r>
      <w:r w:rsidRPr="00A259BD">
        <w:rPr>
          <w:rFonts w:ascii="Times New Roman" w:hAnsi="Times New Roman"/>
          <w:color w:val="000000" w:themeColor="text1"/>
          <w:sz w:val="16"/>
          <w:szCs w:val="16"/>
        </w:rPr>
        <w:t xml:space="preserve"> в 1929 году в Ленинградском гребном порту начались первые рулежки летающей лодки «Ш-1» конструктора Шаврова по воде. 21 июня впервые взлетели с воды. В начале июля летчик </w:t>
      </w:r>
      <w:proofErr w:type="spellStart"/>
      <w:r w:rsidRPr="00A259BD">
        <w:rPr>
          <w:rFonts w:ascii="Times New Roman" w:hAnsi="Times New Roman"/>
          <w:color w:val="000000" w:themeColor="text1"/>
          <w:sz w:val="16"/>
          <w:szCs w:val="16"/>
        </w:rPr>
        <w:t>Б.Глаголев</w:t>
      </w:r>
      <w:proofErr w:type="spellEnd"/>
      <w:r w:rsidRPr="00A259BD">
        <w:rPr>
          <w:rFonts w:ascii="Times New Roman" w:hAnsi="Times New Roman"/>
          <w:color w:val="000000" w:themeColor="text1"/>
          <w:sz w:val="16"/>
          <w:szCs w:val="16"/>
        </w:rPr>
        <w:t xml:space="preserve"> провел все испытания «Ш-1» как летающей лодки. Затем на самолет установили подъемное шасси и костыль, и 6 августа впервые у нас в стране были проведены летные испытания самолета-амфибии: «Ш-1» взлетела с воды, села на сушу и проделала обратный путь (14912).</w:t>
      </w:r>
    </w:p>
    <w:p w14:paraId="24B25566" w14:textId="77777777" w:rsidR="00FF4128" w:rsidRPr="00A259BD" w:rsidRDefault="00FF4128" w:rsidP="009236E3">
      <w:pPr>
        <w:spacing w:after="0" w:line="240" w:lineRule="auto"/>
        <w:jc w:val="both"/>
        <w:rPr>
          <w:rFonts w:ascii="Times New Roman" w:hAnsi="Times New Roman"/>
          <w:color w:val="000000" w:themeColor="text1"/>
          <w:sz w:val="16"/>
          <w:szCs w:val="16"/>
        </w:rPr>
      </w:pPr>
    </w:p>
    <w:p w14:paraId="6882E28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03A136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079B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июня 1929 И-4бис передали на эксплуатационно-тактические испытания, но Романовский разбил машину (346,21).</w:t>
      </w:r>
    </w:p>
    <w:p w14:paraId="71DECC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233C3B" w14:textId="77777777" w:rsidR="00DE062D" w:rsidRPr="00441F34" w:rsidRDefault="00DE062D" w:rsidP="00DE062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 июня 1929 г. И—4 бис передали на эксплуатационно-тактические испыта</w:t>
      </w:r>
      <w:r w:rsidRPr="00441F34">
        <w:rPr>
          <w:rFonts w:ascii="Times New Roman" w:hAnsi="Times New Roman"/>
          <w:color w:val="0070C0"/>
          <w:sz w:val="16"/>
          <w:szCs w:val="16"/>
        </w:rPr>
        <w:softHyphen/>
        <w:t>ния. Закончились они не совсем удачно — командир 70-го авиационного отряда (АО) Романовский разбил машину (23474).</w:t>
      </w:r>
    </w:p>
    <w:p w14:paraId="56CA5FE6" w14:textId="77777777" w:rsidR="00DE062D" w:rsidRPr="00441F34" w:rsidRDefault="00DE062D" w:rsidP="00DE062D">
      <w:pPr>
        <w:spacing w:after="0" w:line="240" w:lineRule="auto"/>
        <w:jc w:val="both"/>
        <w:rPr>
          <w:rFonts w:ascii="Times New Roman" w:hAnsi="Times New Roman"/>
          <w:color w:val="0070C0"/>
          <w:sz w:val="16"/>
          <w:szCs w:val="16"/>
        </w:rPr>
      </w:pPr>
    </w:p>
    <w:p w14:paraId="0B654E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июня 1929 ЦАГИ заключил договор с НТК ВВС на проектирование и строительство МДР-2 АНТ-8 (1017,212).</w:t>
      </w:r>
    </w:p>
    <w:p w14:paraId="488E55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849F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июня 1929 Уполномоченный НК ВМФ при НКТ писал письмо Нач. </w:t>
      </w:r>
      <w:proofErr w:type="spellStart"/>
      <w:r w:rsidRPr="00A259BD">
        <w:rPr>
          <w:rFonts w:ascii="Times New Roman" w:hAnsi="Times New Roman"/>
          <w:color w:val="000000" w:themeColor="text1"/>
          <w:sz w:val="16"/>
          <w:szCs w:val="16"/>
        </w:rPr>
        <w:t>Загранотдела</w:t>
      </w:r>
      <w:proofErr w:type="spellEnd"/>
      <w:r w:rsidRPr="00A259BD">
        <w:rPr>
          <w:rFonts w:ascii="Times New Roman" w:hAnsi="Times New Roman"/>
          <w:color w:val="000000" w:themeColor="text1"/>
          <w:sz w:val="16"/>
          <w:szCs w:val="16"/>
        </w:rPr>
        <w:t xml:space="preserve"> УВВС РККА Фельдману и в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Михайлову письмо N 15Д/1106с в дополнение к письму от 30 апреля N 15Д/848с по котировкам, полученным от фирмы Кертис:</w:t>
      </w:r>
    </w:p>
    <w:p w14:paraId="55EC8E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Самолеты</w:t>
      </w:r>
    </w:p>
    <w:p w14:paraId="6F1522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Кондор-бомбовоз с 2хКокверер - 103500 дол.</w:t>
      </w:r>
    </w:p>
    <w:p w14:paraId="18DFA0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w:t>
      </w:r>
      <w:proofErr w:type="spellStart"/>
      <w:r w:rsidRPr="00A259BD">
        <w:rPr>
          <w:rFonts w:ascii="Times New Roman" w:hAnsi="Times New Roman"/>
          <w:color w:val="000000" w:themeColor="text1"/>
          <w:sz w:val="16"/>
          <w:szCs w:val="16"/>
        </w:rPr>
        <w:t>Хаук</w:t>
      </w:r>
      <w:proofErr w:type="spellEnd"/>
      <w:r w:rsidRPr="00A259BD">
        <w:rPr>
          <w:rFonts w:ascii="Times New Roman" w:hAnsi="Times New Roman"/>
          <w:color w:val="000000" w:themeColor="text1"/>
          <w:sz w:val="16"/>
          <w:szCs w:val="16"/>
        </w:rPr>
        <w:t xml:space="preserve"> - морской истребитель с Д-12 - 28375</w:t>
      </w:r>
    </w:p>
    <w:p w14:paraId="56252E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Фалкон с </w:t>
      </w:r>
      <w:proofErr w:type="spellStart"/>
      <w:r w:rsidRPr="00A259BD">
        <w:rPr>
          <w:rFonts w:ascii="Times New Roman" w:hAnsi="Times New Roman"/>
          <w:color w:val="000000" w:themeColor="text1"/>
          <w:sz w:val="16"/>
          <w:szCs w:val="16"/>
        </w:rPr>
        <w:t>Кокверер</w:t>
      </w:r>
      <w:proofErr w:type="spellEnd"/>
      <w:r w:rsidRPr="00A259BD">
        <w:rPr>
          <w:rFonts w:ascii="Times New Roman" w:hAnsi="Times New Roman"/>
          <w:color w:val="000000" w:themeColor="text1"/>
          <w:sz w:val="16"/>
          <w:szCs w:val="16"/>
        </w:rPr>
        <w:t xml:space="preserve"> - 28375</w:t>
      </w:r>
    </w:p>
    <w:p w14:paraId="6B7889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w:t>
      </w:r>
      <w:proofErr w:type="spellStart"/>
      <w:r w:rsidRPr="00A259BD">
        <w:rPr>
          <w:rFonts w:ascii="Times New Roman" w:hAnsi="Times New Roman"/>
          <w:color w:val="000000" w:themeColor="text1"/>
          <w:sz w:val="16"/>
          <w:szCs w:val="16"/>
        </w:rPr>
        <w:t>Хаук</w:t>
      </w:r>
      <w:proofErr w:type="spellEnd"/>
      <w:r w:rsidRPr="00A259BD">
        <w:rPr>
          <w:rFonts w:ascii="Times New Roman" w:hAnsi="Times New Roman"/>
          <w:color w:val="000000" w:themeColor="text1"/>
          <w:sz w:val="16"/>
          <w:szCs w:val="16"/>
        </w:rPr>
        <w:t xml:space="preserve"> тренировочный сухопутный с </w:t>
      </w:r>
      <w:proofErr w:type="spellStart"/>
      <w:r w:rsidRPr="00A259BD">
        <w:rPr>
          <w:rFonts w:ascii="Times New Roman" w:hAnsi="Times New Roman"/>
          <w:color w:val="000000" w:themeColor="text1"/>
          <w:sz w:val="16"/>
          <w:szCs w:val="16"/>
        </w:rPr>
        <w:t>Кокверер</w:t>
      </w:r>
      <w:proofErr w:type="spellEnd"/>
      <w:r w:rsidRPr="00A259BD">
        <w:rPr>
          <w:rFonts w:ascii="Times New Roman" w:hAnsi="Times New Roman"/>
          <w:color w:val="000000" w:themeColor="text1"/>
          <w:sz w:val="16"/>
          <w:szCs w:val="16"/>
        </w:rPr>
        <w:t xml:space="preserve"> - 25655</w:t>
      </w:r>
    </w:p>
    <w:p w14:paraId="0A46AE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Фалкон разведчик с Д-12 - 25680</w:t>
      </w:r>
    </w:p>
    <w:p w14:paraId="54A534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Тренировочный с </w:t>
      </w:r>
      <w:proofErr w:type="spellStart"/>
      <w:r w:rsidRPr="00A259BD">
        <w:rPr>
          <w:rFonts w:ascii="Times New Roman" w:hAnsi="Times New Roman"/>
          <w:color w:val="000000" w:themeColor="text1"/>
          <w:sz w:val="16"/>
          <w:szCs w:val="16"/>
        </w:rPr>
        <w:t>Челенджер</w:t>
      </w:r>
      <w:proofErr w:type="spellEnd"/>
      <w:r w:rsidRPr="00A259BD">
        <w:rPr>
          <w:rFonts w:ascii="Times New Roman" w:hAnsi="Times New Roman"/>
          <w:color w:val="000000" w:themeColor="text1"/>
          <w:sz w:val="16"/>
          <w:szCs w:val="16"/>
        </w:rPr>
        <w:t xml:space="preserve"> - 9700</w:t>
      </w:r>
    </w:p>
    <w:p w14:paraId="60D8CA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Без боевых приспособлений и военного оборудования</w:t>
      </w:r>
    </w:p>
    <w:p w14:paraId="77EFDE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Моторы</w:t>
      </w:r>
    </w:p>
    <w:p w14:paraId="483483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w:t>
      </w:r>
      <w:proofErr w:type="spellStart"/>
      <w:r w:rsidRPr="00A259BD">
        <w:rPr>
          <w:rFonts w:ascii="Times New Roman" w:hAnsi="Times New Roman"/>
          <w:color w:val="000000" w:themeColor="text1"/>
          <w:sz w:val="16"/>
          <w:szCs w:val="16"/>
        </w:rPr>
        <w:t>Кокверер</w:t>
      </w:r>
      <w:proofErr w:type="spellEnd"/>
      <w:r w:rsidRPr="00A259BD">
        <w:rPr>
          <w:rFonts w:ascii="Times New Roman" w:hAnsi="Times New Roman"/>
          <w:color w:val="000000" w:themeColor="text1"/>
          <w:sz w:val="16"/>
          <w:szCs w:val="16"/>
        </w:rPr>
        <w:t xml:space="preserve"> с прямой передачей - 10834</w:t>
      </w:r>
    </w:p>
    <w:p w14:paraId="21A728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w:t>
      </w:r>
      <w:proofErr w:type="spellStart"/>
      <w:r w:rsidRPr="00A259BD">
        <w:rPr>
          <w:rFonts w:ascii="Times New Roman" w:hAnsi="Times New Roman"/>
          <w:color w:val="000000" w:themeColor="text1"/>
          <w:sz w:val="16"/>
          <w:szCs w:val="16"/>
        </w:rPr>
        <w:t>Кокверер</w:t>
      </w:r>
      <w:proofErr w:type="spellEnd"/>
      <w:r w:rsidRPr="00A259BD">
        <w:rPr>
          <w:rFonts w:ascii="Times New Roman" w:hAnsi="Times New Roman"/>
          <w:color w:val="000000" w:themeColor="text1"/>
          <w:sz w:val="16"/>
          <w:szCs w:val="16"/>
        </w:rPr>
        <w:t xml:space="preserve"> с редуктором - 12085</w:t>
      </w:r>
    </w:p>
    <w:p w14:paraId="24D777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w:t>
      </w:r>
      <w:proofErr w:type="spellStart"/>
      <w:r w:rsidRPr="00A259BD">
        <w:rPr>
          <w:rFonts w:ascii="Times New Roman" w:hAnsi="Times New Roman"/>
          <w:color w:val="000000" w:themeColor="text1"/>
          <w:sz w:val="16"/>
          <w:szCs w:val="16"/>
        </w:rPr>
        <w:t>Челенджер</w:t>
      </w:r>
      <w:proofErr w:type="spellEnd"/>
      <w:r w:rsidRPr="00A259BD">
        <w:rPr>
          <w:rFonts w:ascii="Times New Roman" w:hAnsi="Times New Roman"/>
          <w:color w:val="000000" w:themeColor="text1"/>
          <w:sz w:val="16"/>
          <w:szCs w:val="16"/>
        </w:rPr>
        <w:t xml:space="preserve"> - 3093</w:t>
      </w:r>
    </w:p>
    <w:p w14:paraId="78FF4C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Д-12 - 8083...(2365).</w:t>
      </w:r>
    </w:p>
    <w:p w14:paraId="7537B9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C9D3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июня 1929 года гл. инспектор ГВФ В.А. </w:t>
      </w:r>
      <w:proofErr w:type="spellStart"/>
      <w:r w:rsidRPr="00A259BD">
        <w:rPr>
          <w:rFonts w:ascii="Times New Roman" w:hAnsi="Times New Roman"/>
          <w:color w:val="000000" w:themeColor="text1"/>
          <w:sz w:val="16"/>
          <w:szCs w:val="16"/>
        </w:rPr>
        <w:t>Зарзар</w:t>
      </w:r>
      <w:proofErr w:type="spellEnd"/>
      <w:r w:rsidRPr="00A259BD">
        <w:rPr>
          <w:rFonts w:ascii="Times New Roman" w:hAnsi="Times New Roman"/>
          <w:color w:val="000000" w:themeColor="text1"/>
          <w:sz w:val="16"/>
          <w:szCs w:val="16"/>
        </w:rPr>
        <w:t xml:space="preserve"> писал письмо № И/386 в Осоавиахима Сазонову В.А.</w:t>
      </w:r>
    </w:p>
    <w:p w14:paraId="5ACAFD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Предъявителя сего Павлова С.С. надлежит командировать в Ленинград для сопровождения и отправки грузов, направляемых через Гамбург в Америку для распределения по базам запчастей для обеспечения перелета Шестакова (7783, 208).</w:t>
      </w:r>
    </w:p>
    <w:p w14:paraId="386252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F13027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07518E6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ED1E2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июня 1929 в ходе подготовки к массовой коллективизации приняли решение о создании МТС (1348,199).</w:t>
      </w:r>
    </w:p>
    <w:p w14:paraId="34EE59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6DB294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июня 1929 в СССР принято решение о создании машинно-тракторных станций (МТС) (4962).</w:t>
      </w:r>
    </w:p>
    <w:p w14:paraId="10CB75A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6DD1AC" w14:textId="77777777" w:rsidR="00FF4128" w:rsidRPr="00A259BD" w:rsidRDefault="00FF41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5 июня</w:t>
      </w:r>
      <w:r w:rsidRPr="00A259BD">
        <w:rPr>
          <w:rFonts w:ascii="Times New Roman" w:hAnsi="Times New Roman"/>
          <w:color w:val="000000" w:themeColor="text1"/>
          <w:sz w:val="16"/>
          <w:szCs w:val="16"/>
        </w:rPr>
        <w:t xml:space="preserve"> в 1929 году Совет труда и обороны (был такой орган экономической власти с 1923 по 1936 год) постановил создать в сельских районах </w:t>
      </w:r>
      <w:proofErr w:type="spellStart"/>
      <w:r w:rsidRPr="00A259BD">
        <w:rPr>
          <w:rFonts w:ascii="Times New Roman" w:hAnsi="Times New Roman"/>
          <w:color w:val="000000" w:themeColor="text1"/>
          <w:sz w:val="16"/>
          <w:szCs w:val="16"/>
        </w:rPr>
        <w:t>машино</w:t>
      </w:r>
      <w:proofErr w:type="spellEnd"/>
      <w:r w:rsidRPr="00A259BD">
        <w:rPr>
          <w:rFonts w:ascii="Times New Roman" w:hAnsi="Times New Roman"/>
          <w:color w:val="000000" w:themeColor="text1"/>
          <w:sz w:val="16"/>
          <w:szCs w:val="16"/>
        </w:rPr>
        <w:t>-тракторные станции - МТС. На бумаге идея выглядела гладко: при сплошной коллективизации невозможно будет обеспечить все колхозы сельскохозяйственными машинами. Их нужно сосредоточить в МТС, где они будут действовать без простоев, под управлением обученного персонала, и вовремя проходить техническое обслуживание и ремонт (14913).</w:t>
      </w:r>
    </w:p>
    <w:p w14:paraId="5811A84C" w14:textId="77777777" w:rsidR="00FF4128" w:rsidRPr="00A259BD" w:rsidRDefault="00FF4128" w:rsidP="009236E3">
      <w:pPr>
        <w:spacing w:after="0" w:line="240" w:lineRule="auto"/>
        <w:jc w:val="both"/>
        <w:rPr>
          <w:rFonts w:ascii="Times New Roman" w:hAnsi="Times New Roman"/>
          <w:color w:val="000000" w:themeColor="text1"/>
          <w:sz w:val="16"/>
          <w:szCs w:val="16"/>
        </w:rPr>
      </w:pPr>
    </w:p>
    <w:p w14:paraId="38724C45" w14:textId="77777777" w:rsidR="00FF4128"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lastRenderedPageBreak/>
        <w:t>За рубежом:</w:t>
      </w:r>
    </w:p>
    <w:p w14:paraId="13E4B2AF" w14:textId="77777777" w:rsidR="00FF4128" w:rsidRPr="00A259BD" w:rsidRDefault="00FF412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7A79F38" w14:textId="77777777" w:rsidR="00FF4128" w:rsidRPr="00A259BD" w:rsidRDefault="00FF41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июня 1929 перелёт стартовал из Таранто, и уже 8-го эскадра </w:t>
      </w: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xml:space="preserve"> летела над Чёрным морем к Одессе, главной цели экспедиции. </w:t>
      </w: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xml:space="preserve"> был взволнован: «Солнце ещё низко и его отблески на воде слепят глаза, словно серебряная и золотая вышивка по шёлку горо</w:t>
      </w:r>
      <w:r w:rsidRPr="00A259BD">
        <w:rPr>
          <w:rFonts w:ascii="Times New Roman" w:hAnsi="Times New Roman"/>
          <w:color w:val="000000" w:themeColor="text1"/>
          <w:sz w:val="16"/>
          <w:szCs w:val="16"/>
        </w:rPr>
        <w:softHyphen/>
        <w:t>хового цвета. &lt;...&gt; Мы еще никогда не вдыхали воздух, что наполняет теперь наши легкие, и берега, к которым мы причалим через несколько часов, так же далеки от наших, как миф. Сознание того, что мы летим в Россию, производило на нас странное впечатление. Казалось, что мы вступаем в чертоги легендарной тайны. Именно нам, фашистам, пред</w:t>
      </w:r>
      <w:r w:rsidRPr="00A259BD">
        <w:rPr>
          <w:rFonts w:ascii="Times New Roman" w:hAnsi="Times New Roman"/>
          <w:color w:val="000000" w:themeColor="text1"/>
          <w:sz w:val="16"/>
          <w:szCs w:val="16"/>
        </w:rPr>
        <w:softHyphen/>
        <w:t xml:space="preserve">стояло перейти границу с той другой Европой, которая так же далека от нас, как полюс от западной цивилизации. Поэт </w:t>
      </w:r>
      <w:proofErr w:type="spellStart"/>
      <w:r w:rsidRPr="00A259BD">
        <w:rPr>
          <w:rFonts w:ascii="Times New Roman" w:hAnsi="Times New Roman"/>
          <w:color w:val="000000" w:themeColor="text1"/>
          <w:sz w:val="16"/>
          <w:szCs w:val="16"/>
        </w:rPr>
        <w:t>Ориани</w:t>
      </w:r>
      <w:proofErr w:type="spellEnd"/>
      <w:r w:rsidRPr="00A259BD">
        <w:rPr>
          <w:rFonts w:ascii="Times New Roman" w:hAnsi="Times New Roman"/>
          <w:color w:val="000000" w:themeColor="text1"/>
          <w:sz w:val="16"/>
          <w:szCs w:val="16"/>
        </w:rPr>
        <w:t xml:space="preserve"> говорил, что только с холодным сердцем можно вос</w:t>
      </w:r>
      <w:r w:rsidRPr="00A259BD">
        <w:rPr>
          <w:rFonts w:ascii="Times New Roman" w:hAnsi="Times New Roman"/>
          <w:color w:val="000000" w:themeColor="text1"/>
          <w:sz w:val="16"/>
          <w:szCs w:val="16"/>
        </w:rPr>
        <w:softHyphen/>
        <w:t>торжествовать надо льдом Полюса. Да, сердце имеет свою географию. Эта наша скачка над облаками позволит закрасить лакуны несоизмеримо большие, нежели те, что были на старинных картах, где на огромном белом поле была надпись "неизвестная земля". Что ж, тем лучше. Мы весело движемся вперёд во имя дуче».</w:t>
      </w:r>
    </w:p>
    <w:p w14:paraId="0493F14D" w14:textId="77777777" w:rsidR="00FF4128" w:rsidRPr="00A259BD" w:rsidRDefault="00FF41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распоряжению советских властей эскадра должна была всё время держаться не менее чем в 20 км от берега. И вот «в глубине залива появляется равнинная ширь больше</w:t>
      </w:r>
      <w:r w:rsidRPr="00A259BD">
        <w:rPr>
          <w:rFonts w:ascii="Times New Roman" w:hAnsi="Times New Roman"/>
          <w:color w:val="000000" w:themeColor="text1"/>
          <w:sz w:val="16"/>
          <w:szCs w:val="16"/>
        </w:rPr>
        <w:softHyphen/>
        <w:t>вистского мегаполиса. Большие прямые артерии, очень просторные, поднимаются перпен</w:t>
      </w:r>
      <w:r w:rsidRPr="00A259BD">
        <w:rPr>
          <w:rFonts w:ascii="Times New Roman" w:hAnsi="Times New Roman"/>
          <w:color w:val="000000" w:themeColor="text1"/>
          <w:sz w:val="16"/>
          <w:szCs w:val="16"/>
        </w:rPr>
        <w:softHyphen/>
        <w:t>дикуляром от моря и образуют прямой угол с теми, что бегут параллельно берегу».</w:t>
      </w:r>
    </w:p>
    <w:p w14:paraId="3A9CD52A" w14:textId="77777777" w:rsidR="00FF4128" w:rsidRPr="00A259BD" w:rsidRDefault="00FF41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Самолёты приводнились в </w:t>
      </w:r>
      <w:proofErr w:type="spellStart"/>
      <w:r w:rsidRPr="00A259BD">
        <w:rPr>
          <w:rFonts w:ascii="Times New Roman" w:hAnsi="Times New Roman"/>
          <w:color w:val="000000" w:themeColor="text1"/>
          <w:sz w:val="16"/>
          <w:szCs w:val="16"/>
        </w:rPr>
        <w:t>Хаджибейском</w:t>
      </w:r>
      <w:proofErr w:type="spellEnd"/>
      <w:r w:rsidRPr="00A259BD">
        <w:rPr>
          <w:rFonts w:ascii="Times New Roman" w:hAnsi="Times New Roman"/>
          <w:color w:val="000000" w:themeColor="text1"/>
          <w:sz w:val="16"/>
          <w:szCs w:val="16"/>
        </w:rPr>
        <w:t xml:space="preserve"> лимане близ Одессы. Здесь эскадру встретили представители итальянского посольства в Москве во главе с князем Черутти, который пред</w:t>
      </w:r>
      <w:r w:rsidRPr="00A259BD">
        <w:rPr>
          <w:rFonts w:ascii="Times New Roman" w:hAnsi="Times New Roman"/>
          <w:color w:val="000000" w:themeColor="text1"/>
          <w:sz w:val="16"/>
          <w:szCs w:val="16"/>
        </w:rPr>
        <w:softHyphen/>
        <w:t xml:space="preserve">ставил </w:t>
      </w: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xml:space="preserve"> Петру Ионовичу Баранову (1892-1933), бывшему в то время начальником Военно-воздушных сил Рабоче-крестьянской Красной Армии, членом Революционного во</w:t>
      </w:r>
      <w:r w:rsidRPr="00A259BD">
        <w:rPr>
          <w:rFonts w:ascii="Times New Roman" w:hAnsi="Times New Roman"/>
          <w:color w:val="000000" w:themeColor="text1"/>
          <w:sz w:val="16"/>
          <w:szCs w:val="16"/>
        </w:rPr>
        <w:softHyphen/>
        <w:t xml:space="preserve">енного совета и кандидатом в члены ЦК ВКП(б). </w:t>
      </w: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xml:space="preserve"> он показался типичным революционером: «Он был именно таким, как я представлял генералов большевистской революции: ему нет ещё сорока лет, он высокий, худой, с сухим лицом и широким лбом, на который спускается прядь русых волос. Всё это придает ему авторитетный вид командира. У него корректные и изысканные манеры, спокойные и гордые глаза, никакого смущения, когда он искренне подает мне правую руку. Рядом с ним начальник гражданской авиации </w:t>
      </w:r>
      <w:proofErr w:type="spellStart"/>
      <w:r w:rsidRPr="00A259BD">
        <w:rPr>
          <w:rFonts w:ascii="Times New Roman" w:hAnsi="Times New Roman"/>
          <w:color w:val="000000" w:themeColor="text1"/>
          <w:sz w:val="16"/>
          <w:szCs w:val="16"/>
        </w:rPr>
        <w:t>Зарзар</w:t>
      </w:r>
      <w:proofErr w:type="spellEnd"/>
      <w:r w:rsidRPr="00A259BD">
        <w:rPr>
          <w:rStyle w:val="4b"/>
          <w:rFonts w:ascii="Times New Roman" w:eastAsia="Arial Unicode MS" w:hAnsi="Times New Roman" w:cs="Times New Roman"/>
          <w:b w:val="0"/>
          <w:i w:val="0"/>
          <w:color w:val="000000" w:themeColor="text1"/>
          <w:sz w:val="16"/>
          <w:szCs w:val="16"/>
        </w:rPr>
        <w:t xml:space="preserve"> и </w:t>
      </w:r>
      <w:r w:rsidRPr="00A259BD">
        <w:rPr>
          <w:rFonts w:ascii="Times New Roman" w:hAnsi="Times New Roman"/>
          <w:color w:val="000000" w:themeColor="text1"/>
          <w:sz w:val="16"/>
          <w:szCs w:val="16"/>
        </w:rPr>
        <w:t>Алкснис, заместитель Баранова. Затем мне представили командующего воздушными сила</w:t>
      </w:r>
      <w:r w:rsidRPr="00A259BD">
        <w:rPr>
          <w:rFonts w:ascii="Times New Roman" w:hAnsi="Times New Roman"/>
          <w:color w:val="000000" w:themeColor="text1"/>
          <w:sz w:val="16"/>
          <w:szCs w:val="16"/>
        </w:rPr>
        <w:softHyphen/>
        <w:t>ми на Чёрном море, генерала Лаврова».</w:t>
      </w:r>
    </w:p>
    <w:p w14:paraId="2DAA7CF5" w14:textId="77777777" w:rsidR="00FF4128" w:rsidRPr="00A259BD" w:rsidRDefault="00FF4128" w:rsidP="009236E3">
      <w:pPr>
        <w:pStyle w:val="48"/>
        <w:shd w:val="clear" w:color="auto" w:fill="auto"/>
        <w:spacing w:line="240" w:lineRule="auto"/>
        <w:jc w:val="both"/>
        <w:rPr>
          <w:rFonts w:ascii="Times New Roman" w:hAnsi="Times New Roman" w:cs="Times New Roman"/>
          <w:i w:val="0"/>
          <w:color w:val="000000" w:themeColor="text1"/>
          <w:sz w:val="16"/>
          <w:szCs w:val="16"/>
        </w:rPr>
      </w:pPr>
      <w:r w:rsidRPr="00A259BD">
        <w:rPr>
          <w:rFonts w:ascii="Times New Roman" w:hAnsi="Times New Roman" w:cs="Times New Roman"/>
          <w:i w:val="0"/>
          <w:color w:val="000000" w:themeColor="text1"/>
          <w:sz w:val="16"/>
          <w:szCs w:val="16"/>
        </w:rPr>
        <w:t>После приводнения всей эскадры на берегу начался торжественный смотр войск Крас</w:t>
      </w:r>
      <w:r w:rsidRPr="00A259BD">
        <w:rPr>
          <w:rFonts w:ascii="Times New Roman" w:hAnsi="Times New Roman" w:cs="Times New Roman"/>
          <w:i w:val="0"/>
          <w:color w:val="000000" w:themeColor="text1"/>
          <w:sz w:val="16"/>
          <w:szCs w:val="16"/>
        </w:rPr>
        <w:softHyphen/>
        <w:t>ной Армии: «Нам воздают воинские почести два полка слушателей Военно-воздушной академии и один пехотный полк. Это красивые солдаты, очень молодые, с типично славян</w:t>
      </w:r>
      <w:r w:rsidRPr="00A259BD">
        <w:rPr>
          <w:rFonts w:ascii="Times New Roman" w:hAnsi="Times New Roman" w:cs="Times New Roman"/>
          <w:i w:val="0"/>
          <w:color w:val="000000" w:themeColor="text1"/>
          <w:sz w:val="16"/>
          <w:szCs w:val="16"/>
        </w:rPr>
        <w:softHyphen/>
        <w:t>скими лицами, почти все блондины со светлыми глазами. Они несколько безголосые, как</w:t>
      </w:r>
      <w:r w:rsidRPr="00A259BD">
        <w:rPr>
          <w:rStyle w:val="4b"/>
          <w:rFonts w:ascii="Times New Roman" w:eastAsia="Arial Unicode MS" w:hAnsi="Times New Roman" w:cs="Times New Roman"/>
          <w:b w:val="0"/>
          <w:color w:val="000000" w:themeColor="text1"/>
          <w:sz w:val="16"/>
          <w:szCs w:val="16"/>
        </w:rPr>
        <w:t xml:space="preserve"> и </w:t>
      </w:r>
      <w:r w:rsidRPr="00A259BD">
        <w:rPr>
          <w:rFonts w:ascii="Times New Roman" w:hAnsi="Times New Roman" w:cs="Times New Roman"/>
          <w:i w:val="0"/>
          <w:color w:val="000000" w:themeColor="text1"/>
          <w:sz w:val="16"/>
          <w:szCs w:val="16"/>
        </w:rPr>
        <w:t>вся их раса, но у них хорошие манеры и они выполняют с пре</w:t>
      </w:r>
      <w:r w:rsidRPr="00A259BD">
        <w:rPr>
          <w:rFonts w:ascii="Times New Roman" w:hAnsi="Times New Roman" w:cs="Times New Roman"/>
          <w:i w:val="0"/>
          <w:color w:val="000000" w:themeColor="text1"/>
          <w:sz w:val="16"/>
          <w:szCs w:val="16"/>
        </w:rPr>
        <w:softHyphen/>
        <w:t>красной дисциплиной приказы офицеров».</w:t>
      </w:r>
    </w:p>
    <w:p w14:paraId="00888E89" w14:textId="77777777" w:rsidR="00FF4128" w:rsidRPr="00A259BD" w:rsidRDefault="00FF4128"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xml:space="preserve"> не чувствует ника</w:t>
      </w:r>
      <w:r w:rsidRPr="00A259BD">
        <w:rPr>
          <w:rFonts w:ascii="Times New Roman" w:hAnsi="Times New Roman"/>
          <w:color w:val="000000" w:themeColor="text1"/>
          <w:sz w:val="16"/>
          <w:szCs w:val="16"/>
        </w:rPr>
        <w:softHyphen/>
        <w:t>кого дискомфорта: «Кто исто</w:t>
      </w:r>
      <w:r w:rsidRPr="00A259BD">
        <w:rPr>
          <w:rFonts w:ascii="Times New Roman" w:hAnsi="Times New Roman"/>
          <w:color w:val="000000" w:themeColor="text1"/>
          <w:sz w:val="16"/>
          <w:szCs w:val="16"/>
        </w:rPr>
        <w:softHyphen/>
        <w:t>во исповедует политическую веру, уважает и веру других, когда, прежде всего, борется за нее. Этим советским офи</w:t>
      </w:r>
      <w:r w:rsidRPr="00A259BD">
        <w:rPr>
          <w:rFonts w:ascii="Times New Roman" w:hAnsi="Times New Roman"/>
          <w:color w:val="000000" w:themeColor="text1"/>
          <w:sz w:val="16"/>
          <w:szCs w:val="16"/>
        </w:rPr>
        <w:softHyphen/>
        <w:t>церам не занимать рыцарско</w:t>
      </w:r>
      <w:r w:rsidRPr="00A259BD">
        <w:rPr>
          <w:rFonts w:ascii="Times New Roman" w:hAnsi="Times New Roman"/>
          <w:color w:val="000000" w:themeColor="text1"/>
          <w:sz w:val="16"/>
          <w:szCs w:val="16"/>
        </w:rPr>
        <w:softHyphen/>
        <w:t>го духа. Они тоже чувствуют, что наша страсть искренна. Ненавистна только риторика скептиков. Между фашизмом и большевизмом есть точка соприкосновения: антипатия, даже идиосинкразия по отно</w:t>
      </w:r>
      <w:r w:rsidRPr="00A259BD">
        <w:rPr>
          <w:rFonts w:ascii="Times New Roman" w:hAnsi="Times New Roman"/>
          <w:color w:val="000000" w:themeColor="text1"/>
          <w:sz w:val="16"/>
          <w:szCs w:val="16"/>
        </w:rPr>
        <w:softHyphen/>
        <w:t>шению к западным демокра</w:t>
      </w:r>
      <w:r w:rsidRPr="00A259BD">
        <w:rPr>
          <w:rFonts w:ascii="Times New Roman" w:hAnsi="Times New Roman"/>
          <w:color w:val="000000" w:themeColor="text1"/>
          <w:sz w:val="16"/>
          <w:szCs w:val="16"/>
        </w:rPr>
        <w:softHyphen/>
        <w:t>тиям, до костей пропитанным ложью и фальшью, со всем их тщеславным превосходством…</w:t>
      </w:r>
    </w:p>
    <w:p w14:paraId="11D0D4D8" w14:textId="77777777" w:rsidR="00FF4128" w:rsidRPr="00A259BD" w:rsidRDefault="00FF41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Мы не можем не быть рады, что созерцаем панорамы, запрещённые другим западным людям. Для нас важнее те прочные и конкретные проявления дружбы и политической симпатии, которые нам выразили». Военный оркестр исполнил гимн СССР, Интернационал. «Эта музыка уже играла на площадях мира как песня - вызов на баррикады и сигнал атаки для толп революционеров. Я уже слышал, как её распевали во всю глотку мятежные крестьяне области </w:t>
      </w:r>
      <w:proofErr w:type="spellStart"/>
      <w:r w:rsidRPr="00A259BD">
        <w:rPr>
          <w:rFonts w:ascii="Times New Roman" w:hAnsi="Times New Roman"/>
          <w:color w:val="000000" w:themeColor="text1"/>
          <w:sz w:val="16"/>
          <w:szCs w:val="16"/>
        </w:rPr>
        <w:t>Эмилья</w:t>
      </w:r>
      <w:proofErr w:type="spellEnd"/>
      <w:r w:rsidRPr="00A259BD">
        <w:rPr>
          <w:rFonts w:ascii="Times New Roman" w:hAnsi="Times New Roman"/>
          <w:color w:val="000000" w:themeColor="text1"/>
          <w:sz w:val="16"/>
          <w:szCs w:val="16"/>
        </w:rPr>
        <w:t>-Романья на бурных послевоенных митингах. Но сегодня в этом было что-то мистическое, музыка сменила ха</w:t>
      </w:r>
      <w:r w:rsidRPr="00A259BD">
        <w:rPr>
          <w:rFonts w:ascii="Times New Roman" w:hAnsi="Times New Roman"/>
          <w:color w:val="000000" w:themeColor="text1"/>
          <w:sz w:val="16"/>
          <w:szCs w:val="16"/>
        </w:rPr>
        <w:softHyphen/>
        <w:t>рактер. &lt;...&gt; Это яркое выражение воли и мощи русской нации».</w:t>
      </w:r>
    </w:p>
    <w:p w14:paraId="1382295B" w14:textId="77777777" w:rsidR="00FF4128" w:rsidRPr="00A259BD" w:rsidRDefault="00FF41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Русский флаг </w:t>
      </w: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xml:space="preserve"> описывает так: «огромное красное полотнище, в центре которого нарисован золотом земной шар, обрамленный серпом и молотом, которые, кажется, обни</w:t>
      </w:r>
      <w:r w:rsidRPr="00A259BD">
        <w:rPr>
          <w:rFonts w:ascii="Times New Roman" w:hAnsi="Times New Roman"/>
          <w:color w:val="000000" w:themeColor="text1"/>
          <w:sz w:val="16"/>
          <w:szCs w:val="16"/>
        </w:rPr>
        <w:softHyphen/>
        <w:t xml:space="preserve">мают его». Посол Италии подсказал ему русское приветствие, и </w:t>
      </w: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собравшись с ду</w:t>
      </w:r>
      <w:r w:rsidRPr="00A259BD">
        <w:rPr>
          <w:rFonts w:ascii="Times New Roman" w:hAnsi="Times New Roman"/>
          <w:color w:val="000000" w:themeColor="text1"/>
          <w:sz w:val="16"/>
          <w:szCs w:val="16"/>
        </w:rPr>
        <w:softHyphen/>
        <w:t>хом, крикнул: «</w:t>
      </w:r>
      <w:proofErr w:type="spellStart"/>
      <w:r w:rsidRPr="00A259BD">
        <w:rPr>
          <w:rFonts w:ascii="Times New Roman" w:hAnsi="Times New Roman"/>
          <w:color w:val="000000" w:themeColor="text1"/>
          <w:sz w:val="16"/>
          <w:szCs w:val="16"/>
        </w:rPr>
        <w:t>Здоруво</w:t>
      </w:r>
      <w:proofErr w:type="spellEnd"/>
      <w:r w:rsidRPr="00A259BD">
        <w:rPr>
          <w:rFonts w:ascii="Times New Roman" w:hAnsi="Times New Roman"/>
          <w:color w:val="000000" w:themeColor="text1"/>
          <w:sz w:val="16"/>
          <w:szCs w:val="16"/>
        </w:rPr>
        <w:t>!» Восторженная толпа прокричала то же</w:t>
      </w:r>
      <w:r w:rsidRPr="00A259BD">
        <w:rPr>
          <w:rStyle w:val="aff5"/>
          <w:rFonts w:ascii="Times New Roman" w:eastAsia="Arial Unicode MS" w:hAnsi="Times New Roman" w:cs="Times New Roman"/>
          <w:i w:val="0"/>
          <w:color w:val="000000" w:themeColor="text1"/>
        </w:rPr>
        <w:t xml:space="preserve"> самое, после чего</w:t>
      </w:r>
      <w:r w:rsidRPr="00A259BD">
        <w:rPr>
          <w:rFonts w:ascii="Times New Roman" w:hAnsi="Times New Roman"/>
          <w:color w:val="000000" w:themeColor="text1"/>
          <w:sz w:val="16"/>
          <w:szCs w:val="16"/>
        </w:rPr>
        <w:t xml:space="preserve"> оркестр заиграл «Королевский марш», гимн Италии. «Наш гимн разносится по водам ослепительно искрящегося озера, достигает лежащих выше холмов и теряется в бескрайних далях боль</w:t>
      </w:r>
      <w:r w:rsidRPr="00A259BD">
        <w:rPr>
          <w:rFonts w:ascii="Times New Roman" w:hAnsi="Times New Roman"/>
          <w:color w:val="000000" w:themeColor="text1"/>
          <w:sz w:val="16"/>
          <w:szCs w:val="16"/>
        </w:rPr>
        <w:softHyphen/>
        <w:t>шевистской России. Ни одно из ранее пережитых впечатлений, даже в трагические военные дни, не возносило мою душу столь высоко».</w:t>
      </w:r>
    </w:p>
    <w:p w14:paraId="03794099" w14:textId="77777777" w:rsidR="00FF4128" w:rsidRPr="00A259BD" w:rsidRDefault="00FF41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После смотра войск </w:t>
      </w: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xml:space="preserve"> побеседовал с русскими офицерами о своем перелёте. По его мнению, у советских офицеров «ноги как у циркуля» и «холодный и решительный взгляд. Изредка глаза моих собеседников приобретают отсутствующее, рассеянное и непонят</w:t>
      </w:r>
      <w:r w:rsidRPr="00A259BD">
        <w:rPr>
          <w:rFonts w:ascii="Times New Roman" w:hAnsi="Times New Roman"/>
          <w:color w:val="000000" w:themeColor="text1"/>
          <w:sz w:val="16"/>
          <w:szCs w:val="16"/>
        </w:rPr>
        <w:softHyphen/>
        <w:t>ное выражение, которое так характерно для славян и составляет на западе три четверти привлекательности русских женщин». Тем временем, экипажи эскадры разместились в авто</w:t>
      </w:r>
      <w:r w:rsidRPr="00A259BD">
        <w:rPr>
          <w:rFonts w:ascii="Times New Roman" w:hAnsi="Times New Roman"/>
          <w:color w:val="000000" w:themeColor="text1"/>
          <w:sz w:val="16"/>
          <w:szCs w:val="16"/>
        </w:rPr>
        <w:softHyphen/>
        <w:t xml:space="preserve">мобилях и автобусах для отправления в Одессу. </w:t>
      </w: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xml:space="preserve"> отправился в путь вместе с Бара</w:t>
      </w:r>
      <w:r w:rsidRPr="00A259BD">
        <w:rPr>
          <w:rFonts w:ascii="Times New Roman" w:hAnsi="Times New Roman"/>
          <w:color w:val="000000" w:themeColor="text1"/>
          <w:sz w:val="16"/>
          <w:szCs w:val="16"/>
        </w:rPr>
        <w:softHyphen/>
        <w:t>новым и тремя офицерами, говорящими по-итальянски. «Таким образом, я один с четырьмя русскими. Но в этом нет никакого неудобства, так как между нами уже установились те сер</w:t>
      </w:r>
      <w:r w:rsidRPr="00A259BD">
        <w:rPr>
          <w:rFonts w:ascii="Times New Roman" w:hAnsi="Times New Roman"/>
          <w:color w:val="000000" w:themeColor="text1"/>
          <w:sz w:val="16"/>
          <w:szCs w:val="16"/>
        </w:rPr>
        <w:softHyphen/>
        <w:t xml:space="preserve">дечные отношения, которые охотно обходятся без церемоний». По сторонам дороги </w:t>
      </w:r>
      <w:proofErr w:type="spellStart"/>
      <w:r w:rsidRPr="00A259BD">
        <w:rPr>
          <w:rFonts w:ascii="Times New Roman" w:hAnsi="Times New Roman"/>
          <w:color w:val="000000" w:themeColor="text1"/>
          <w:sz w:val="16"/>
          <w:szCs w:val="16"/>
        </w:rPr>
        <w:t>Баль</w:t>
      </w:r>
      <w:r w:rsidRPr="00A259BD">
        <w:rPr>
          <w:rFonts w:ascii="Times New Roman" w:hAnsi="Times New Roman"/>
          <w:color w:val="000000" w:themeColor="text1"/>
          <w:sz w:val="16"/>
          <w:szCs w:val="16"/>
        </w:rPr>
        <w:softHyphen/>
        <w:t>бо</w:t>
      </w:r>
      <w:proofErr w:type="spellEnd"/>
      <w:r w:rsidRPr="00A259BD">
        <w:rPr>
          <w:rFonts w:ascii="Times New Roman" w:hAnsi="Times New Roman"/>
          <w:color w:val="000000" w:themeColor="text1"/>
          <w:sz w:val="16"/>
          <w:szCs w:val="16"/>
        </w:rPr>
        <w:t xml:space="preserve"> видит отряды красногвардейцев (вероятно, </w:t>
      </w: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xml:space="preserve"> называет так сотрудников милиции), которые сдерживают натиск толпы. «Вначале я решил, что население было к нам враждебно и что эта охрана была продиктована опасениями каких-либо враждебных демонстраций». Но скоро он понял, что люди смотрели на гостей с равнодушием и нередко с симпатией. По дороге </w:t>
      </w: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xml:space="preserve"> внимательно разглядывает офицеров и толпы жителей по сторонам дороги и размышляет о русском менталитете: «Одиннадцать лет безжалостной борьбы придали стальную твёрдость этим вооружённым порождениям революции. Возвы</w:t>
      </w:r>
      <w:r w:rsidRPr="00A259BD">
        <w:rPr>
          <w:rFonts w:ascii="Times New Roman" w:hAnsi="Times New Roman"/>
          <w:color w:val="000000" w:themeColor="text1"/>
          <w:sz w:val="16"/>
          <w:szCs w:val="16"/>
        </w:rPr>
        <w:softHyphen/>
        <w:t>шенный слог отличает их речь, когда тема затрагивает революцию. Они уважают свою веру, воспринимают всё очень серьезно и не шутят на этот предмет. Эта торжественная серьёзность объединяет весь народ. Поверхностному наблю</w:t>
      </w:r>
      <w:r w:rsidRPr="00A259BD">
        <w:rPr>
          <w:rFonts w:ascii="Times New Roman" w:hAnsi="Times New Roman"/>
          <w:color w:val="000000" w:themeColor="text1"/>
          <w:sz w:val="16"/>
          <w:szCs w:val="16"/>
        </w:rPr>
        <w:softHyphen/>
        <w:t>дателю могло бы показаться, что причиной этому страх. Пре</w:t>
      </w:r>
      <w:r w:rsidRPr="00A259BD">
        <w:rPr>
          <w:rFonts w:ascii="Times New Roman" w:hAnsi="Times New Roman"/>
          <w:color w:val="000000" w:themeColor="text1"/>
          <w:sz w:val="16"/>
          <w:szCs w:val="16"/>
        </w:rPr>
        <w:softHyphen/>
        <w:t>валирующее состояние народа -благоговейная пассивность, где проскальзывает также тень суеверного ужаса, но это всего лишь дополняет святое почте</w:t>
      </w:r>
      <w:r w:rsidRPr="00A259BD">
        <w:rPr>
          <w:rFonts w:ascii="Times New Roman" w:hAnsi="Times New Roman"/>
          <w:color w:val="000000" w:themeColor="text1"/>
          <w:sz w:val="16"/>
          <w:szCs w:val="16"/>
        </w:rPr>
        <w:softHyphen/>
        <w:t>ние, которое все испытывают к новой власти и её словам. Играют свою роль и знамени</w:t>
      </w:r>
      <w:r w:rsidRPr="00A259BD">
        <w:rPr>
          <w:rFonts w:ascii="Times New Roman" w:hAnsi="Times New Roman"/>
          <w:color w:val="000000" w:themeColor="text1"/>
          <w:sz w:val="16"/>
          <w:szCs w:val="16"/>
        </w:rPr>
        <w:softHyphen/>
        <w:t>тый славянский пессимизм, ста</w:t>
      </w:r>
      <w:r w:rsidRPr="00A259BD">
        <w:rPr>
          <w:rFonts w:ascii="Times New Roman" w:hAnsi="Times New Roman"/>
          <w:color w:val="000000" w:themeColor="text1"/>
          <w:sz w:val="16"/>
          <w:szCs w:val="16"/>
        </w:rPr>
        <w:softHyphen/>
        <w:t>ринный фатализм, мистическое смирение».</w:t>
      </w:r>
    </w:p>
    <w:p w14:paraId="5DAFCFB6" w14:textId="77777777" w:rsidR="00FF4128" w:rsidRPr="00A259BD" w:rsidRDefault="00FF41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Путь до города пролегал через поля: «Огороды окружены низкими, построенными без извести стенами, за которыми разгибает спину крестьянин, в белой рубахе и шапке, нере</w:t>
      </w:r>
      <w:r w:rsidRPr="00A259BD">
        <w:rPr>
          <w:rFonts w:ascii="Times New Roman" w:hAnsi="Times New Roman"/>
          <w:color w:val="000000" w:themeColor="text1"/>
          <w:sz w:val="16"/>
          <w:szCs w:val="16"/>
        </w:rPr>
        <w:softHyphen/>
        <w:t>дко бородатый, который при нашем появлении прерывает работу и замирает. Никто нас не приветствует и никто не смеётся».</w:t>
      </w:r>
    </w:p>
    <w:p w14:paraId="3CC05C0F" w14:textId="77777777" w:rsidR="00FF4128" w:rsidRPr="00A259BD" w:rsidRDefault="00FF41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дороге </w:t>
      </w: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xml:space="preserve"> расспрашивает своих попутчиков об истории Одессы: «Здесь были Врангель и Деникин. Со всей России выходцы из аристократии и буржуазии подались на юг и сделали из Одессы вторую столицу империи. Это было их последнее контрреволюци</w:t>
      </w:r>
      <w:r w:rsidRPr="00A259BD">
        <w:rPr>
          <w:rFonts w:ascii="Times New Roman" w:hAnsi="Times New Roman"/>
          <w:color w:val="000000" w:themeColor="text1"/>
          <w:sz w:val="16"/>
          <w:szCs w:val="16"/>
        </w:rPr>
        <w:softHyphen/>
        <w:t>онное убежище. Одесса подвергалась бомбардировкам с моря и с суши на протяжении четырех лет гражданской войны. Население города, очень разнообразное, с большой примесью еврейского и немецкого элементов, конечно, не особенно горячо болело за прежнюю власть, но и не слишком загорелось коммунистической пропагандой».</w:t>
      </w:r>
    </w:p>
    <w:p w14:paraId="3A989300" w14:textId="77777777" w:rsidR="00FF4128" w:rsidRPr="00A259BD" w:rsidRDefault="00FF41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Одессе прибывшие попали в атмосферу субботнего отдыха. «Магазины в основном закрыты. Редко можно видеть на вывесках имена владельцев: почти все принадлежат госу</w:t>
      </w:r>
      <w:r w:rsidRPr="00A259BD">
        <w:rPr>
          <w:rFonts w:ascii="Times New Roman" w:hAnsi="Times New Roman"/>
          <w:color w:val="000000" w:themeColor="text1"/>
          <w:sz w:val="16"/>
          <w:szCs w:val="16"/>
        </w:rPr>
        <w:softHyphen/>
        <w:t xml:space="preserve">дарству». Но особенно </w:t>
      </w: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прозило</w:t>
      </w:r>
      <w:proofErr w:type="spellEnd"/>
      <w:r w:rsidRPr="00A259BD">
        <w:rPr>
          <w:rFonts w:ascii="Times New Roman" w:hAnsi="Times New Roman"/>
          <w:color w:val="000000" w:themeColor="text1"/>
          <w:sz w:val="16"/>
          <w:szCs w:val="16"/>
        </w:rPr>
        <w:t xml:space="preserve"> огромное количество руин старых вилл и оград в зарослях крапивы на окраинах города: следы недавней гражданской войны (15842).</w:t>
      </w:r>
    </w:p>
    <w:p w14:paraId="0A4C41E4" w14:textId="77777777" w:rsidR="00FF4128" w:rsidRPr="00A259BD" w:rsidRDefault="00FF4128" w:rsidP="009236E3">
      <w:pPr>
        <w:spacing w:after="0" w:line="240" w:lineRule="auto"/>
        <w:jc w:val="both"/>
        <w:rPr>
          <w:rFonts w:ascii="Times New Roman" w:hAnsi="Times New Roman"/>
          <w:color w:val="000000" w:themeColor="text1"/>
          <w:sz w:val="16"/>
          <w:szCs w:val="16"/>
        </w:rPr>
      </w:pPr>
    </w:p>
    <w:p w14:paraId="2A8887F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2D4FB2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B3DA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6 по 12 июня 1929 </w:t>
      </w:r>
      <w:proofErr w:type="spellStart"/>
      <w:r w:rsidRPr="00A259BD">
        <w:rPr>
          <w:rFonts w:ascii="Times New Roman" w:hAnsi="Times New Roman"/>
          <w:color w:val="000000" w:themeColor="text1"/>
          <w:sz w:val="16"/>
          <w:szCs w:val="16"/>
        </w:rPr>
        <w:t>М.М.Громов</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И.В.Михеев</w:t>
      </w:r>
      <w:proofErr w:type="spellEnd"/>
      <w:r w:rsidRPr="00A259BD">
        <w:rPr>
          <w:rFonts w:ascii="Times New Roman" w:hAnsi="Times New Roman"/>
          <w:color w:val="000000" w:themeColor="text1"/>
          <w:sz w:val="16"/>
          <w:szCs w:val="16"/>
        </w:rPr>
        <w:t xml:space="preserve"> на АНТ-9 КС выполнили перелет Москва-Севастополь-Москва (272,373). Москва-Одесса прошли без посадки - 1300 км за 7:20 (438,593). Далее слетали в Севастополь, Киев и назад в Москву встречать итальянские гидросамолеты, совершающие перелет Италия-Одесса-Италия (1017,216). При перелете из Одессы в Киев садились на вынужденную, т.к. из-за </w:t>
      </w:r>
      <w:proofErr w:type="spellStart"/>
      <w:r w:rsidRPr="00A259BD">
        <w:rPr>
          <w:rFonts w:ascii="Times New Roman" w:hAnsi="Times New Roman"/>
          <w:color w:val="000000" w:themeColor="text1"/>
          <w:sz w:val="16"/>
          <w:szCs w:val="16"/>
        </w:rPr>
        <w:t>доджя</w:t>
      </w:r>
      <w:proofErr w:type="spellEnd"/>
      <w:r w:rsidRPr="00A259BD">
        <w:rPr>
          <w:rFonts w:ascii="Times New Roman" w:hAnsi="Times New Roman"/>
          <w:color w:val="000000" w:themeColor="text1"/>
          <w:sz w:val="16"/>
          <w:szCs w:val="16"/>
        </w:rPr>
        <w:t xml:space="preserve"> отклеилось полотно, которыми были обклеены винты. Срезали и полетели дальше (6478, 13).</w:t>
      </w:r>
    </w:p>
    <w:p w14:paraId="41D786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4B88BE" w14:textId="77777777" w:rsidR="00FF4128" w:rsidRPr="00A259BD" w:rsidRDefault="00FF41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6 июня</w:t>
      </w:r>
      <w:r w:rsidRPr="00A259BD">
        <w:rPr>
          <w:rFonts w:ascii="Times New Roman" w:hAnsi="Times New Roman"/>
          <w:color w:val="000000" w:themeColor="text1"/>
          <w:sz w:val="16"/>
          <w:szCs w:val="16"/>
        </w:rPr>
        <w:t xml:space="preserve"> в 1929 году </w:t>
      </w:r>
      <w:proofErr w:type="spellStart"/>
      <w:r w:rsidRPr="00A259BD">
        <w:rPr>
          <w:rFonts w:ascii="Times New Roman" w:hAnsi="Times New Roman"/>
          <w:color w:val="000000" w:themeColor="text1"/>
          <w:sz w:val="16"/>
          <w:szCs w:val="16"/>
        </w:rPr>
        <w:t>М.М.Громов</w:t>
      </w:r>
      <w:proofErr w:type="spellEnd"/>
      <w:r w:rsidRPr="00A259BD">
        <w:rPr>
          <w:rFonts w:ascii="Times New Roman" w:hAnsi="Times New Roman"/>
          <w:color w:val="000000" w:themeColor="text1"/>
          <w:sz w:val="16"/>
          <w:szCs w:val="16"/>
        </w:rPr>
        <w:t xml:space="preserve"> со вторым пилотом Михеевым, штурманом Спириным и механиками Русаковым и Монаховым на «АНТ-9» отправились в Одессу. Это была своего рода репетиция перед большим рейдом по столицам Европы, запланированным на июль. Появление «АНТ-9» в Одессе входило в программу встречи находившейся там с визитом вежливости группы итальянских летчиков, прибывших на летающих лодках «S.55». Итальянцы познакомились с туполевским </w:t>
      </w:r>
      <w:proofErr w:type="spellStart"/>
      <w:r w:rsidRPr="00A259BD">
        <w:rPr>
          <w:rFonts w:ascii="Times New Roman" w:hAnsi="Times New Roman"/>
          <w:color w:val="000000" w:themeColor="text1"/>
          <w:sz w:val="16"/>
          <w:szCs w:val="16"/>
        </w:rPr>
        <w:t>трехмоторником</w:t>
      </w:r>
      <w:proofErr w:type="spellEnd"/>
      <w:r w:rsidRPr="00A259BD">
        <w:rPr>
          <w:rFonts w:ascii="Times New Roman" w:hAnsi="Times New Roman"/>
          <w:color w:val="000000" w:themeColor="text1"/>
          <w:sz w:val="16"/>
          <w:szCs w:val="16"/>
        </w:rPr>
        <w:t xml:space="preserve"> и дали ему высокую оценку. Начальник штаба итальянских ВВС де </w:t>
      </w:r>
      <w:proofErr w:type="spellStart"/>
      <w:r w:rsidRPr="00A259BD">
        <w:rPr>
          <w:rFonts w:ascii="Times New Roman" w:hAnsi="Times New Roman"/>
          <w:color w:val="000000" w:themeColor="text1"/>
          <w:sz w:val="16"/>
          <w:szCs w:val="16"/>
        </w:rPr>
        <w:t>Пинедо</w:t>
      </w:r>
      <w:proofErr w:type="spellEnd"/>
      <w:r w:rsidRPr="00A259BD">
        <w:rPr>
          <w:rFonts w:ascii="Times New Roman" w:hAnsi="Times New Roman"/>
          <w:color w:val="000000" w:themeColor="text1"/>
          <w:sz w:val="16"/>
          <w:szCs w:val="16"/>
        </w:rPr>
        <w:t xml:space="preserve"> даже немного полетал на советской машине (14914).</w:t>
      </w:r>
    </w:p>
    <w:p w14:paraId="60C98F67" w14:textId="77777777" w:rsidR="00FF4128" w:rsidRPr="00A259BD" w:rsidRDefault="00FF4128" w:rsidP="009236E3">
      <w:pPr>
        <w:spacing w:after="0" w:line="240" w:lineRule="auto"/>
        <w:jc w:val="both"/>
        <w:rPr>
          <w:rFonts w:ascii="Times New Roman" w:hAnsi="Times New Roman"/>
          <w:color w:val="000000" w:themeColor="text1"/>
          <w:sz w:val="16"/>
          <w:szCs w:val="16"/>
        </w:rPr>
      </w:pPr>
    </w:p>
    <w:p w14:paraId="0F079D4A" w14:textId="77777777" w:rsidR="002D64FC" w:rsidRPr="00A259BD" w:rsidRDefault="002D64FC"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6 июня 1929 из Москвы в Одессу, в рамках подготовки к европейскому перелету, вылетел самолет АНТ-9. Стартовав из Москвы в 3 часа 15 минут самолет под управлением М.М. Громова и второго пилота И.В. Михеева с механиками В.П. Русановым и Монаховым, </w:t>
      </w:r>
      <w:proofErr w:type="spellStart"/>
      <w:r w:rsidRPr="00A259BD">
        <w:rPr>
          <w:rFonts w:ascii="Times New Roman" w:eastAsia="Times New Roman" w:hAnsi="Times New Roman"/>
          <w:color w:val="000000" w:themeColor="text1"/>
          <w:sz w:val="16"/>
          <w:szCs w:val="16"/>
          <w:lang w:eastAsia="ru-RU"/>
        </w:rPr>
        <w:t>аэронавигатором</w:t>
      </w:r>
      <w:proofErr w:type="spellEnd"/>
      <w:r w:rsidRPr="00A259BD">
        <w:rPr>
          <w:rFonts w:ascii="Times New Roman" w:eastAsia="Times New Roman" w:hAnsi="Times New Roman"/>
          <w:color w:val="000000" w:themeColor="text1"/>
          <w:sz w:val="16"/>
          <w:szCs w:val="16"/>
          <w:lang w:eastAsia="ru-RU"/>
        </w:rPr>
        <w:t xml:space="preserve"> И.Т. Спириным, имея на борту представителя ВВС Э.Г. </w:t>
      </w:r>
      <w:proofErr w:type="spellStart"/>
      <w:r w:rsidRPr="00A259BD">
        <w:rPr>
          <w:rFonts w:ascii="Times New Roman" w:eastAsia="Times New Roman" w:hAnsi="Times New Roman"/>
          <w:color w:val="000000" w:themeColor="text1"/>
          <w:sz w:val="16"/>
          <w:szCs w:val="16"/>
          <w:lang w:eastAsia="ru-RU"/>
        </w:rPr>
        <w:t>Биддера</w:t>
      </w:r>
      <w:proofErr w:type="spellEnd"/>
      <w:r w:rsidRPr="00A259BD">
        <w:rPr>
          <w:rFonts w:ascii="Times New Roman" w:eastAsia="Times New Roman" w:hAnsi="Times New Roman"/>
          <w:color w:val="000000" w:themeColor="text1"/>
          <w:sz w:val="16"/>
          <w:szCs w:val="16"/>
          <w:lang w:eastAsia="ru-RU"/>
        </w:rPr>
        <w:t xml:space="preserve">, представителя печати М.М. Кобелева, инженера ЦАГИ И.И. </w:t>
      </w:r>
      <w:proofErr w:type="spellStart"/>
      <w:r w:rsidRPr="00A259BD">
        <w:rPr>
          <w:rFonts w:ascii="Times New Roman" w:eastAsia="Times New Roman" w:hAnsi="Times New Roman"/>
          <w:color w:val="000000" w:themeColor="text1"/>
          <w:sz w:val="16"/>
          <w:szCs w:val="16"/>
          <w:lang w:eastAsia="ru-RU"/>
        </w:rPr>
        <w:t>Погосского</w:t>
      </w:r>
      <w:proofErr w:type="spellEnd"/>
      <w:r w:rsidRPr="00A259BD">
        <w:rPr>
          <w:rFonts w:ascii="Times New Roman" w:eastAsia="Times New Roman" w:hAnsi="Times New Roman"/>
          <w:color w:val="000000" w:themeColor="text1"/>
          <w:sz w:val="16"/>
          <w:szCs w:val="16"/>
          <w:lang w:eastAsia="ru-RU"/>
        </w:rPr>
        <w:t xml:space="preserve"> и В.А. </w:t>
      </w:r>
      <w:proofErr w:type="spellStart"/>
      <w:r w:rsidRPr="00A259BD">
        <w:rPr>
          <w:rFonts w:ascii="Times New Roman" w:eastAsia="Times New Roman" w:hAnsi="Times New Roman"/>
          <w:color w:val="000000" w:themeColor="text1"/>
          <w:sz w:val="16"/>
          <w:szCs w:val="16"/>
          <w:lang w:eastAsia="ru-RU"/>
        </w:rPr>
        <w:t>Зарзара</w:t>
      </w:r>
      <w:proofErr w:type="spellEnd"/>
      <w:r w:rsidRPr="00A259BD">
        <w:rPr>
          <w:rFonts w:ascii="Times New Roman" w:eastAsia="Times New Roman" w:hAnsi="Times New Roman"/>
          <w:color w:val="000000" w:themeColor="text1"/>
          <w:sz w:val="16"/>
          <w:szCs w:val="16"/>
          <w:lang w:eastAsia="ru-RU"/>
        </w:rPr>
        <w:t>, прошел без посадки 1300 километров за 7 часов 20 минут (21249).</w:t>
      </w:r>
    </w:p>
    <w:p w14:paraId="3229E14C" w14:textId="77777777" w:rsidR="002D64FC" w:rsidRPr="00A259BD" w:rsidRDefault="002D64FC"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274D101B" w14:textId="77777777" w:rsidR="0075498C" w:rsidRPr="006B74EB" w:rsidRDefault="0075498C" w:rsidP="0075498C">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6-12 июня</w:t>
      </w:r>
      <w:r>
        <w:rPr>
          <w:rFonts w:ascii="Times New Roman" w:hAnsi="Times New Roman"/>
          <w:color w:val="0070C0"/>
          <w:sz w:val="16"/>
          <w:szCs w:val="16"/>
        </w:rPr>
        <w:t xml:space="preserve"> 1929 г</w:t>
      </w:r>
      <w:r w:rsidRPr="006B74EB">
        <w:rPr>
          <w:rFonts w:ascii="Times New Roman" w:hAnsi="Times New Roman"/>
          <w:color w:val="0070C0"/>
          <w:sz w:val="16"/>
          <w:szCs w:val="16"/>
        </w:rPr>
        <w:t xml:space="preserve">. </w:t>
      </w:r>
      <w:r>
        <w:rPr>
          <w:rFonts w:ascii="Times New Roman" w:hAnsi="Times New Roman"/>
          <w:color w:val="0070C0"/>
          <w:sz w:val="16"/>
          <w:szCs w:val="16"/>
        </w:rPr>
        <w:t>л</w:t>
      </w:r>
      <w:r w:rsidRPr="006B74EB">
        <w:rPr>
          <w:rFonts w:ascii="Times New Roman" w:hAnsi="Times New Roman"/>
          <w:color w:val="0070C0"/>
          <w:sz w:val="16"/>
          <w:szCs w:val="16"/>
        </w:rPr>
        <w:t xml:space="preserve">етчики—испытатели </w:t>
      </w:r>
      <w:proofErr w:type="spellStart"/>
      <w:r>
        <w:rPr>
          <w:rFonts w:ascii="Times New Roman" w:hAnsi="Times New Roman"/>
          <w:color w:val="0070C0"/>
          <w:sz w:val="16"/>
          <w:szCs w:val="16"/>
        </w:rPr>
        <w:t>М</w:t>
      </w:r>
      <w:r w:rsidRPr="006B74EB">
        <w:rPr>
          <w:rFonts w:ascii="Times New Roman" w:hAnsi="Times New Roman"/>
          <w:color w:val="0070C0"/>
          <w:sz w:val="16"/>
          <w:szCs w:val="16"/>
        </w:rPr>
        <w:t>.</w:t>
      </w:r>
      <w:r>
        <w:rPr>
          <w:rFonts w:ascii="Times New Roman" w:hAnsi="Times New Roman"/>
          <w:color w:val="0070C0"/>
          <w:sz w:val="16"/>
          <w:szCs w:val="16"/>
        </w:rPr>
        <w:t>М</w:t>
      </w:r>
      <w:r w:rsidRPr="006B74EB">
        <w:rPr>
          <w:rFonts w:ascii="Times New Roman" w:hAnsi="Times New Roman"/>
          <w:color w:val="0070C0"/>
          <w:sz w:val="16"/>
          <w:szCs w:val="16"/>
        </w:rPr>
        <w:t>.</w:t>
      </w:r>
      <w:r>
        <w:rPr>
          <w:rFonts w:ascii="Times New Roman" w:hAnsi="Times New Roman"/>
          <w:color w:val="0070C0"/>
          <w:sz w:val="16"/>
          <w:szCs w:val="16"/>
        </w:rPr>
        <w:t>Г</w:t>
      </w:r>
      <w:r w:rsidRPr="006B74EB">
        <w:rPr>
          <w:rFonts w:ascii="Times New Roman" w:hAnsi="Times New Roman"/>
          <w:color w:val="0070C0"/>
          <w:sz w:val="16"/>
          <w:szCs w:val="16"/>
        </w:rPr>
        <w:t>ромов</w:t>
      </w:r>
      <w:proofErr w:type="spellEnd"/>
      <w:r w:rsidRPr="006B74EB">
        <w:rPr>
          <w:rFonts w:ascii="Times New Roman" w:hAnsi="Times New Roman"/>
          <w:color w:val="0070C0"/>
          <w:sz w:val="16"/>
          <w:szCs w:val="16"/>
        </w:rPr>
        <w:t xml:space="preserve"> и </w:t>
      </w:r>
      <w:proofErr w:type="spellStart"/>
      <w:r w:rsidRPr="006B74EB">
        <w:rPr>
          <w:rFonts w:ascii="Times New Roman" w:hAnsi="Times New Roman"/>
          <w:color w:val="0070C0"/>
          <w:sz w:val="16"/>
          <w:szCs w:val="16"/>
        </w:rPr>
        <w:t>И</w:t>
      </w:r>
      <w:r>
        <w:rPr>
          <w:rFonts w:ascii="Times New Roman" w:hAnsi="Times New Roman"/>
          <w:color w:val="0070C0"/>
          <w:sz w:val="16"/>
          <w:szCs w:val="16"/>
        </w:rPr>
        <w:t>.</w:t>
      </w:r>
      <w:r w:rsidRPr="006B74EB">
        <w:rPr>
          <w:rFonts w:ascii="Times New Roman" w:hAnsi="Times New Roman"/>
          <w:color w:val="0070C0"/>
          <w:sz w:val="16"/>
          <w:szCs w:val="16"/>
        </w:rPr>
        <w:t>В</w:t>
      </w:r>
      <w:r>
        <w:rPr>
          <w:rFonts w:ascii="Times New Roman" w:hAnsi="Times New Roman"/>
          <w:color w:val="0070C0"/>
          <w:sz w:val="16"/>
          <w:szCs w:val="16"/>
        </w:rPr>
        <w:t>.</w:t>
      </w:r>
      <w:r w:rsidRPr="006B74EB">
        <w:rPr>
          <w:rFonts w:ascii="Times New Roman" w:hAnsi="Times New Roman"/>
          <w:color w:val="0070C0"/>
          <w:sz w:val="16"/>
          <w:szCs w:val="16"/>
        </w:rPr>
        <w:t>Михеев</w:t>
      </w:r>
      <w:proofErr w:type="spellEnd"/>
      <w:r w:rsidRPr="006B74EB">
        <w:rPr>
          <w:rFonts w:ascii="Times New Roman" w:hAnsi="Times New Roman"/>
          <w:color w:val="0070C0"/>
          <w:sz w:val="16"/>
          <w:szCs w:val="16"/>
        </w:rPr>
        <w:t xml:space="preserve"> на ож</w:t>
      </w:r>
      <w:r w:rsidRPr="006B74EB">
        <w:rPr>
          <w:rFonts w:ascii="Times New Roman" w:hAnsi="Times New Roman"/>
          <w:color w:val="0070C0"/>
          <w:sz w:val="16"/>
          <w:szCs w:val="16"/>
        </w:rPr>
        <w:softHyphen/>
        <w:t xml:space="preserve">жете АНТ-9 </w:t>
      </w:r>
      <w:r>
        <w:rPr>
          <w:rFonts w:ascii="Times New Roman" w:hAnsi="Times New Roman"/>
          <w:color w:val="0070C0"/>
          <w:sz w:val="16"/>
          <w:szCs w:val="16"/>
        </w:rPr>
        <w:t>с</w:t>
      </w:r>
      <w:r w:rsidRPr="006B74EB">
        <w:rPr>
          <w:rFonts w:ascii="Times New Roman" w:hAnsi="Times New Roman"/>
          <w:color w:val="0070C0"/>
          <w:sz w:val="16"/>
          <w:szCs w:val="16"/>
        </w:rPr>
        <w:t xml:space="preserve"> 12 пассажирами совершили перелет Москва-Одес</w:t>
      </w:r>
      <w:r>
        <w:rPr>
          <w:rFonts w:ascii="Times New Roman" w:hAnsi="Times New Roman"/>
          <w:color w:val="0070C0"/>
          <w:sz w:val="16"/>
          <w:szCs w:val="16"/>
        </w:rPr>
        <w:t>са</w:t>
      </w:r>
      <w:r w:rsidRPr="006B74EB">
        <w:rPr>
          <w:rFonts w:ascii="Times New Roman" w:hAnsi="Times New Roman"/>
          <w:color w:val="0070C0"/>
          <w:sz w:val="16"/>
          <w:szCs w:val="16"/>
        </w:rPr>
        <w:t>-</w:t>
      </w:r>
      <w:r>
        <w:rPr>
          <w:rFonts w:ascii="Times New Roman" w:hAnsi="Times New Roman"/>
          <w:color w:val="0070C0"/>
          <w:sz w:val="16"/>
          <w:szCs w:val="16"/>
        </w:rPr>
        <w:t>Севастополь</w:t>
      </w:r>
      <w:r w:rsidRPr="006B74EB">
        <w:rPr>
          <w:rFonts w:ascii="Times New Roman" w:hAnsi="Times New Roman"/>
          <w:color w:val="0070C0"/>
          <w:sz w:val="16"/>
          <w:szCs w:val="16"/>
        </w:rPr>
        <w:t>-Одесса—Москва</w:t>
      </w:r>
      <w:r>
        <w:rPr>
          <w:rFonts w:ascii="Times New Roman" w:hAnsi="Times New Roman"/>
          <w:color w:val="0070C0"/>
          <w:sz w:val="16"/>
          <w:szCs w:val="16"/>
        </w:rPr>
        <w:t>,</w:t>
      </w:r>
      <w:r w:rsidRPr="006B74EB">
        <w:rPr>
          <w:rFonts w:ascii="Times New Roman" w:hAnsi="Times New Roman"/>
          <w:color w:val="0070C0"/>
          <w:sz w:val="16"/>
          <w:szCs w:val="16"/>
        </w:rPr>
        <w:t xml:space="preserve"> причем расстояние </w:t>
      </w:r>
      <w:r>
        <w:rPr>
          <w:rFonts w:ascii="Times New Roman" w:hAnsi="Times New Roman"/>
          <w:color w:val="0070C0"/>
          <w:sz w:val="16"/>
          <w:szCs w:val="16"/>
        </w:rPr>
        <w:t>М</w:t>
      </w:r>
      <w:r w:rsidRPr="006B74EB">
        <w:rPr>
          <w:rFonts w:ascii="Times New Roman" w:hAnsi="Times New Roman"/>
          <w:color w:val="0070C0"/>
          <w:sz w:val="16"/>
          <w:szCs w:val="16"/>
        </w:rPr>
        <w:t xml:space="preserve">осква-Одесса /1300 км/ </w:t>
      </w:r>
      <w:proofErr w:type="spellStart"/>
      <w:r>
        <w:rPr>
          <w:rFonts w:ascii="Times New Roman" w:hAnsi="Times New Roman"/>
          <w:color w:val="0070C0"/>
          <w:sz w:val="16"/>
          <w:szCs w:val="16"/>
        </w:rPr>
        <w:t>п</w:t>
      </w:r>
      <w:r w:rsidRPr="006B74EB">
        <w:rPr>
          <w:rFonts w:ascii="Times New Roman" w:hAnsi="Times New Roman"/>
          <w:color w:val="0070C0"/>
          <w:sz w:val="16"/>
          <w:szCs w:val="16"/>
        </w:rPr>
        <w:t>ролетелж</w:t>
      </w:r>
      <w:proofErr w:type="spellEnd"/>
      <w:r w:rsidRPr="006B74EB">
        <w:rPr>
          <w:rFonts w:ascii="Times New Roman" w:hAnsi="Times New Roman"/>
          <w:color w:val="0070C0"/>
          <w:sz w:val="16"/>
          <w:szCs w:val="16"/>
        </w:rPr>
        <w:t xml:space="preserve"> без посадки за 7 ч</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20 минут со средней скоростью 172 км/час. </w:t>
      </w:r>
      <w:r>
        <w:rPr>
          <w:rFonts w:ascii="Times New Roman" w:hAnsi="Times New Roman"/>
          <w:color w:val="0070C0"/>
          <w:sz w:val="16"/>
          <w:szCs w:val="16"/>
        </w:rPr>
        <w:t>Этот</w:t>
      </w:r>
      <w:r w:rsidRPr="006B74EB">
        <w:rPr>
          <w:rFonts w:ascii="Times New Roman" w:hAnsi="Times New Roman"/>
          <w:color w:val="0070C0"/>
          <w:sz w:val="16"/>
          <w:szCs w:val="16"/>
        </w:rPr>
        <w:t xml:space="preserve"> перелет был заключительным в серии технических испытаний </w:t>
      </w:r>
      <w:proofErr w:type="spellStart"/>
      <w:r w:rsidRPr="006B74EB">
        <w:rPr>
          <w:rFonts w:ascii="Times New Roman" w:hAnsi="Times New Roman"/>
          <w:color w:val="0070C0"/>
          <w:sz w:val="16"/>
          <w:szCs w:val="16"/>
        </w:rPr>
        <w:t>ca</w:t>
      </w:r>
      <w:r>
        <w:rPr>
          <w:rFonts w:ascii="Times New Roman" w:hAnsi="Times New Roman"/>
          <w:color w:val="0070C0"/>
          <w:sz w:val="16"/>
          <w:szCs w:val="16"/>
        </w:rPr>
        <w:t>молета</w:t>
      </w:r>
      <w:proofErr w:type="spellEnd"/>
      <w:r>
        <w:rPr>
          <w:rFonts w:ascii="Times New Roman" w:hAnsi="Times New Roman"/>
          <w:color w:val="0070C0"/>
          <w:sz w:val="16"/>
          <w:szCs w:val="16"/>
        </w:rPr>
        <w:t>,</w:t>
      </w:r>
      <w:r w:rsidRPr="006B74EB">
        <w:rPr>
          <w:rFonts w:ascii="Times New Roman" w:hAnsi="Times New Roman"/>
          <w:color w:val="0070C0"/>
          <w:sz w:val="16"/>
          <w:szCs w:val="16"/>
        </w:rPr>
        <w:t xml:space="preserve"> показавшим высокие качества последнего.</w:t>
      </w:r>
    </w:p>
    <w:p w14:paraId="526F9E92" w14:textId="77777777" w:rsidR="0075498C" w:rsidRDefault="0075498C" w:rsidP="0075498C">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/«Красная звезда</w:t>
      </w:r>
      <w:r>
        <w:rPr>
          <w:rFonts w:ascii="Times New Roman" w:hAnsi="Times New Roman"/>
          <w:color w:val="0070C0"/>
          <w:sz w:val="16"/>
          <w:szCs w:val="16"/>
        </w:rPr>
        <w:t>»</w:t>
      </w:r>
      <w:r w:rsidRPr="006B74EB">
        <w:rPr>
          <w:rFonts w:ascii="Times New Roman" w:hAnsi="Times New Roman"/>
          <w:color w:val="0070C0"/>
          <w:sz w:val="16"/>
          <w:szCs w:val="16"/>
        </w:rPr>
        <w:t xml:space="preserve"> за 14 июня 1929 </w:t>
      </w:r>
      <w:r>
        <w:rPr>
          <w:rFonts w:ascii="Times New Roman" w:hAnsi="Times New Roman"/>
          <w:color w:val="0070C0"/>
          <w:sz w:val="16"/>
          <w:szCs w:val="16"/>
        </w:rPr>
        <w:t>г</w:t>
      </w:r>
      <w:r w:rsidRPr="006B74EB">
        <w:rPr>
          <w:rFonts w:ascii="Times New Roman" w:hAnsi="Times New Roman"/>
          <w:color w:val="0070C0"/>
          <w:sz w:val="16"/>
          <w:szCs w:val="16"/>
        </w:rPr>
        <w:t>./</w:t>
      </w:r>
      <w:r>
        <w:rPr>
          <w:rFonts w:ascii="Times New Roman" w:hAnsi="Times New Roman"/>
          <w:color w:val="0070C0"/>
          <w:sz w:val="16"/>
          <w:szCs w:val="16"/>
        </w:rPr>
        <w:t xml:space="preserve"> (23370).</w:t>
      </w:r>
    </w:p>
    <w:p w14:paraId="1F231AD0" w14:textId="77777777" w:rsidR="0075498C" w:rsidRPr="006B74EB" w:rsidRDefault="0075498C" w:rsidP="0075498C">
      <w:pPr>
        <w:spacing w:after="0" w:line="240" w:lineRule="auto"/>
        <w:jc w:val="both"/>
        <w:rPr>
          <w:rFonts w:ascii="Times New Roman" w:hAnsi="Times New Roman"/>
          <w:color w:val="0070C0"/>
          <w:sz w:val="16"/>
          <w:szCs w:val="16"/>
        </w:rPr>
      </w:pPr>
    </w:p>
    <w:p w14:paraId="5BE3D4C5" w14:textId="77777777" w:rsidR="00DE062D" w:rsidRPr="00441F34" w:rsidRDefault="00DE062D" w:rsidP="00DE062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6 по 12 июня 1929 г. экипаж в составе М.М. Громова, И.В. Михеева, И.Т. Спи</w:t>
      </w:r>
      <w:r w:rsidRPr="00441F34">
        <w:rPr>
          <w:rFonts w:ascii="Times New Roman" w:hAnsi="Times New Roman"/>
          <w:color w:val="0070C0"/>
          <w:sz w:val="16"/>
          <w:szCs w:val="16"/>
        </w:rPr>
        <w:softHyphen/>
        <w:t>рина совершил на АНТ-9 перелет Москва — Одес</w:t>
      </w:r>
      <w:r w:rsidRPr="00441F34">
        <w:rPr>
          <w:rFonts w:ascii="Times New Roman" w:hAnsi="Times New Roman"/>
          <w:color w:val="0070C0"/>
          <w:sz w:val="16"/>
          <w:szCs w:val="16"/>
        </w:rPr>
        <w:softHyphen/>
        <w:t xml:space="preserve">са — Севастополь — Одесса — Киев — Москва протяженностью более 4000 км. На одном из участков маршрута за с моторами «Титан», штурвалом АНТ—9 сидел начальник авиакомпании </w:t>
      </w:r>
      <w:proofErr w:type="spellStart"/>
      <w:r w:rsidRPr="00441F34">
        <w:rPr>
          <w:rFonts w:ascii="Times New Roman" w:hAnsi="Times New Roman"/>
          <w:color w:val="0070C0"/>
          <w:sz w:val="16"/>
          <w:szCs w:val="16"/>
        </w:rPr>
        <w:t>Deruluft</w:t>
      </w:r>
      <w:proofErr w:type="spellEnd"/>
      <w:r w:rsidRPr="00441F34">
        <w:rPr>
          <w:rFonts w:ascii="Times New Roman" w:hAnsi="Times New Roman"/>
          <w:color w:val="0070C0"/>
          <w:sz w:val="16"/>
          <w:szCs w:val="16"/>
        </w:rPr>
        <w:t xml:space="preserve"> недо, давший высокую оценку самолету (23474).</w:t>
      </w:r>
    </w:p>
    <w:p w14:paraId="4E66808D" w14:textId="77777777" w:rsidR="00DE062D" w:rsidRPr="00441F34" w:rsidRDefault="00DE062D" w:rsidP="00DE062D">
      <w:pPr>
        <w:spacing w:after="0" w:line="240" w:lineRule="auto"/>
        <w:jc w:val="both"/>
        <w:rPr>
          <w:rFonts w:ascii="Times New Roman" w:hAnsi="Times New Roman"/>
          <w:color w:val="0070C0"/>
          <w:sz w:val="16"/>
          <w:szCs w:val="16"/>
        </w:rPr>
      </w:pPr>
    </w:p>
    <w:p w14:paraId="2F8F4CF8" w14:textId="77777777" w:rsidR="00077238"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78884D0" w14:textId="77777777" w:rsidR="00077238" w:rsidRPr="00A259BD"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5BD450" w14:textId="77777777" w:rsidR="00FF4128" w:rsidRPr="00A259BD" w:rsidRDefault="00FF4128" w:rsidP="009236E3">
      <w:pPr>
        <w:pStyle w:val="1010"/>
        <w:shd w:val="clear" w:color="auto" w:fill="auto"/>
        <w:spacing w:line="240" w:lineRule="auto"/>
        <w:ind w:firstLine="0"/>
        <w:rPr>
          <w:rFonts w:ascii="Times New Roman" w:hAnsi="Times New Roman" w:cs="Times New Roman"/>
          <w:i w:val="0"/>
          <w:color w:val="000000" w:themeColor="text1"/>
          <w:sz w:val="16"/>
          <w:szCs w:val="16"/>
        </w:rPr>
      </w:pPr>
      <w:r w:rsidRPr="00A259BD">
        <w:rPr>
          <w:rStyle w:val="1030"/>
          <w:rFonts w:ascii="Times New Roman" w:eastAsia="Arial Unicode MS" w:hAnsi="Times New Roman" w:cs="Times New Roman"/>
          <w:i w:val="0"/>
          <w:iCs w:val="0"/>
          <w:color w:val="000000" w:themeColor="text1"/>
          <w:sz w:val="16"/>
          <w:szCs w:val="16"/>
        </w:rPr>
        <w:t xml:space="preserve">6 июня 1930 г. в отчете о заграничной командировке, поданном начальником Управления механизации и моторизации РККА И,А. </w:t>
      </w:r>
      <w:proofErr w:type="spellStart"/>
      <w:r w:rsidRPr="00A259BD">
        <w:rPr>
          <w:rStyle w:val="1030"/>
          <w:rFonts w:ascii="Times New Roman" w:eastAsia="Arial Unicode MS" w:hAnsi="Times New Roman" w:cs="Times New Roman"/>
          <w:i w:val="0"/>
          <w:iCs w:val="0"/>
          <w:color w:val="000000" w:themeColor="text1"/>
          <w:sz w:val="16"/>
          <w:szCs w:val="16"/>
        </w:rPr>
        <w:t>Халепским</w:t>
      </w:r>
      <w:proofErr w:type="spellEnd"/>
      <w:r w:rsidRPr="00A259BD">
        <w:rPr>
          <w:rStyle w:val="1030"/>
          <w:rFonts w:ascii="Times New Roman" w:eastAsia="Arial Unicode MS" w:hAnsi="Times New Roman" w:cs="Times New Roman"/>
          <w:i w:val="0"/>
          <w:iCs w:val="0"/>
          <w:color w:val="000000" w:themeColor="text1"/>
          <w:sz w:val="16"/>
          <w:szCs w:val="16"/>
        </w:rPr>
        <w:t xml:space="preserve"> в Ревво</w:t>
      </w:r>
      <w:r w:rsidRPr="00A259BD">
        <w:rPr>
          <w:rStyle w:val="1030"/>
          <w:rFonts w:ascii="Times New Roman" w:eastAsia="Arial Unicode MS" w:hAnsi="Times New Roman" w:cs="Times New Roman"/>
          <w:i w:val="0"/>
          <w:iCs w:val="0"/>
          <w:color w:val="000000" w:themeColor="text1"/>
          <w:sz w:val="16"/>
          <w:szCs w:val="16"/>
        </w:rPr>
        <w:softHyphen/>
        <w:t>енсовет СССР, упоминалась закупка в Англии следующих образцов:</w:t>
      </w:r>
      <w:r w:rsidRPr="00A259BD">
        <w:rPr>
          <w:rFonts w:ascii="Times New Roman" w:hAnsi="Times New Roman" w:cs="Times New Roman"/>
          <w:i w:val="0"/>
          <w:color w:val="000000" w:themeColor="text1"/>
          <w:sz w:val="16"/>
          <w:szCs w:val="16"/>
        </w:rPr>
        <w:t xml:space="preserve"> «а) фирма «Виккерс». Согласно утвержденной программе ко</w:t>
      </w:r>
      <w:r w:rsidRPr="00A259BD">
        <w:rPr>
          <w:rFonts w:ascii="Times New Roman" w:hAnsi="Times New Roman" w:cs="Times New Roman"/>
          <w:i w:val="0"/>
          <w:color w:val="000000" w:themeColor="text1"/>
          <w:sz w:val="16"/>
          <w:szCs w:val="16"/>
        </w:rPr>
        <w:softHyphen/>
        <w:t>миссии надлежало купить образцы танкетки, малого танка, танка «</w:t>
      </w:r>
      <w:proofErr w:type="spellStart"/>
      <w:r w:rsidRPr="00A259BD">
        <w:rPr>
          <w:rFonts w:ascii="Times New Roman" w:hAnsi="Times New Roman" w:cs="Times New Roman"/>
          <w:i w:val="0"/>
          <w:color w:val="000000" w:themeColor="text1"/>
          <w:sz w:val="16"/>
          <w:szCs w:val="16"/>
        </w:rPr>
        <w:t>Мидиум</w:t>
      </w:r>
      <w:proofErr w:type="spellEnd"/>
      <w:r w:rsidRPr="00A259BD">
        <w:rPr>
          <w:rFonts w:ascii="Times New Roman" w:hAnsi="Times New Roman" w:cs="Times New Roman"/>
          <w:i w:val="0"/>
          <w:color w:val="000000" w:themeColor="text1"/>
          <w:sz w:val="16"/>
          <w:szCs w:val="16"/>
        </w:rPr>
        <w:t>» и большого танка... «</w:t>
      </w:r>
      <w:proofErr w:type="spellStart"/>
      <w:r w:rsidRPr="00A259BD">
        <w:rPr>
          <w:rFonts w:ascii="Times New Roman" w:hAnsi="Times New Roman" w:cs="Times New Roman"/>
          <w:i w:val="0"/>
          <w:color w:val="000000" w:themeColor="text1"/>
          <w:sz w:val="16"/>
          <w:szCs w:val="16"/>
        </w:rPr>
        <w:t>Мидум</w:t>
      </w:r>
      <w:proofErr w:type="spellEnd"/>
      <w:r w:rsidRPr="00A259BD">
        <w:rPr>
          <w:rFonts w:ascii="Times New Roman" w:hAnsi="Times New Roman" w:cs="Times New Roman"/>
          <w:i w:val="0"/>
          <w:color w:val="000000" w:themeColor="text1"/>
          <w:sz w:val="16"/>
          <w:szCs w:val="16"/>
        </w:rPr>
        <w:t>» танков закуплено 15. Сроки поставки: в октябре - 1, в ноябре - 2, в декабре -2, в январе -2, в феврале -2, в марте -2, в апреле -2, в мае -2... Броня «Виккерса» тоньше, чем пред</w:t>
      </w:r>
      <w:r w:rsidRPr="00A259BD">
        <w:rPr>
          <w:rFonts w:ascii="Times New Roman" w:hAnsi="Times New Roman" w:cs="Times New Roman"/>
          <w:i w:val="0"/>
          <w:color w:val="000000" w:themeColor="text1"/>
          <w:sz w:val="16"/>
          <w:szCs w:val="16"/>
        </w:rPr>
        <w:softHyphen/>
        <w:t xml:space="preserve">усмотрено нашей системой вооружения... Испытываемые нами танки были взяты из механизированной бригады британской армии... В танке </w:t>
      </w:r>
      <w:r w:rsidRPr="00A259BD">
        <w:rPr>
          <w:rStyle w:val="1015"/>
          <w:rFonts w:ascii="Times New Roman" w:eastAsia="Arial Unicode MS" w:hAnsi="Times New Roman" w:cs="Times New Roman"/>
          <w:b w:val="0"/>
          <w:i w:val="0"/>
          <w:iCs w:val="0"/>
          <w:color w:val="000000" w:themeColor="text1"/>
          <w:sz w:val="16"/>
          <w:szCs w:val="16"/>
        </w:rPr>
        <w:t>«Медиум»</w:t>
      </w:r>
      <w:r w:rsidRPr="00A259BD">
        <w:rPr>
          <w:rFonts w:ascii="Times New Roman" w:hAnsi="Times New Roman" w:cs="Times New Roman"/>
          <w:i w:val="0"/>
          <w:color w:val="000000" w:themeColor="text1"/>
          <w:sz w:val="16"/>
          <w:szCs w:val="16"/>
        </w:rPr>
        <w:t xml:space="preserve"> по договору обязаны установить 47-миллиметровую полуав</w:t>
      </w:r>
      <w:r w:rsidRPr="00A259BD">
        <w:rPr>
          <w:rFonts w:ascii="Times New Roman" w:hAnsi="Times New Roman" w:cs="Times New Roman"/>
          <w:i w:val="0"/>
          <w:color w:val="000000" w:themeColor="text1"/>
          <w:sz w:val="16"/>
          <w:szCs w:val="16"/>
        </w:rPr>
        <w:softHyphen/>
        <w:t>томатическую пушку и радиоустановку. Установка вооружения и радио</w:t>
      </w:r>
      <w:r w:rsidRPr="00A259BD">
        <w:rPr>
          <w:rFonts w:ascii="Times New Roman" w:hAnsi="Times New Roman" w:cs="Times New Roman"/>
          <w:i w:val="0"/>
          <w:color w:val="000000" w:themeColor="text1"/>
          <w:sz w:val="16"/>
          <w:szCs w:val="16"/>
        </w:rPr>
        <w:softHyphen/>
        <w:t xml:space="preserve">установки оплачиваются </w:t>
      </w:r>
      <w:proofErr w:type="spellStart"/>
      <w:r w:rsidRPr="00A259BD">
        <w:rPr>
          <w:rFonts w:ascii="Times New Roman" w:hAnsi="Times New Roman" w:cs="Times New Roman"/>
          <w:i w:val="0"/>
          <w:color w:val="000000" w:themeColor="text1"/>
          <w:sz w:val="16"/>
          <w:szCs w:val="16"/>
        </w:rPr>
        <w:t>осЪбо</w:t>
      </w:r>
      <w:proofErr w:type="spellEnd"/>
      <w:r w:rsidRPr="00A259BD">
        <w:rPr>
          <w:rFonts w:ascii="Times New Roman" w:hAnsi="Times New Roman" w:cs="Times New Roman"/>
          <w:i w:val="0"/>
          <w:color w:val="000000" w:themeColor="text1"/>
          <w:sz w:val="16"/>
          <w:szCs w:val="16"/>
        </w:rPr>
        <w:t>».</w:t>
      </w:r>
      <w:r w:rsidRPr="00A259BD">
        <w:rPr>
          <w:rStyle w:val="1030"/>
          <w:rFonts w:ascii="Times New Roman" w:eastAsia="Arial Unicode MS" w:hAnsi="Times New Roman" w:cs="Times New Roman"/>
          <w:i w:val="0"/>
          <w:iCs w:val="0"/>
          <w:color w:val="000000" w:themeColor="text1"/>
          <w:sz w:val="16"/>
          <w:szCs w:val="16"/>
        </w:rPr>
        <w:t xml:space="preserve"> Далее </w:t>
      </w:r>
      <w:proofErr w:type="spellStart"/>
      <w:r w:rsidRPr="00A259BD">
        <w:rPr>
          <w:rStyle w:val="1030"/>
          <w:rFonts w:ascii="Times New Roman" w:eastAsia="Arial Unicode MS" w:hAnsi="Times New Roman" w:cs="Times New Roman"/>
          <w:i w:val="0"/>
          <w:iCs w:val="0"/>
          <w:color w:val="000000" w:themeColor="text1"/>
          <w:sz w:val="16"/>
          <w:szCs w:val="16"/>
        </w:rPr>
        <w:t>Халепский</w:t>
      </w:r>
      <w:proofErr w:type="spellEnd"/>
      <w:r w:rsidRPr="00A259BD">
        <w:rPr>
          <w:rStyle w:val="1030"/>
          <w:rFonts w:ascii="Times New Roman" w:eastAsia="Arial Unicode MS" w:hAnsi="Times New Roman" w:cs="Times New Roman"/>
          <w:i w:val="0"/>
          <w:iCs w:val="0"/>
          <w:color w:val="000000" w:themeColor="text1"/>
          <w:sz w:val="16"/>
          <w:szCs w:val="16"/>
        </w:rPr>
        <w:t xml:space="preserve"> приводит свое мнение по</w:t>
      </w:r>
      <w:r w:rsidRPr="00A259BD">
        <w:rPr>
          <w:rFonts w:ascii="Times New Roman" w:hAnsi="Times New Roman" w:cs="Times New Roman"/>
          <w:i w:val="0"/>
          <w:color w:val="000000" w:themeColor="text1"/>
          <w:sz w:val="16"/>
          <w:szCs w:val="16"/>
        </w:rPr>
        <w:t xml:space="preserve"> «реализации образцов и технической помощи по танкам»:</w:t>
      </w:r>
    </w:p>
    <w:p w14:paraId="4CECD61B" w14:textId="77777777" w:rsidR="00FF4128" w:rsidRPr="00A259BD" w:rsidRDefault="00FF4128" w:rsidP="009236E3">
      <w:pPr>
        <w:pStyle w:val="1010"/>
        <w:shd w:val="clear" w:color="auto" w:fill="auto"/>
        <w:spacing w:line="240" w:lineRule="auto"/>
        <w:ind w:firstLine="0"/>
        <w:rPr>
          <w:rFonts w:ascii="Times New Roman" w:hAnsi="Times New Roman" w:cs="Times New Roman"/>
          <w:i w:val="0"/>
          <w:color w:val="000000" w:themeColor="text1"/>
          <w:sz w:val="16"/>
          <w:szCs w:val="16"/>
        </w:rPr>
      </w:pPr>
      <w:r w:rsidRPr="00A259BD">
        <w:rPr>
          <w:rFonts w:ascii="Times New Roman" w:hAnsi="Times New Roman" w:cs="Times New Roman"/>
          <w:i w:val="0"/>
          <w:color w:val="000000" w:themeColor="text1"/>
          <w:sz w:val="16"/>
          <w:szCs w:val="16"/>
        </w:rPr>
        <w:t>«Танк «</w:t>
      </w:r>
      <w:proofErr w:type="spellStart"/>
      <w:r w:rsidRPr="00A259BD">
        <w:rPr>
          <w:rFonts w:ascii="Times New Roman" w:hAnsi="Times New Roman" w:cs="Times New Roman"/>
          <w:i w:val="0"/>
          <w:color w:val="000000" w:themeColor="text1"/>
          <w:sz w:val="16"/>
          <w:szCs w:val="16"/>
        </w:rPr>
        <w:t>Мидиум</w:t>
      </w:r>
      <w:proofErr w:type="spellEnd"/>
      <w:r w:rsidRPr="00A259BD">
        <w:rPr>
          <w:rFonts w:ascii="Times New Roman" w:hAnsi="Times New Roman" w:cs="Times New Roman"/>
          <w:i w:val="0"/>
          <w:color w:val="000000" w:themeColor="text1"/>
          <w:sz w:val="16"/>
          <w:szCs w:val="16"/>
        </w:rPr>
        <w:t>» 12-тонный Виккерса.</w:t>
      </w:r>
    </w:p>
    <w:p w14:paraId="34DEA9DE" w14:textId="77777777" w:rsidR="00FF4128" w:rsidRPr="00A259BD" w:rsidRDefault="00FF4128" w:rsidP="009236E3">
      <w:pPr>
        <w:pStyle w:val="1010"/>
        <w:shd w:val="clear" w:color="auto" w:fill="auto"/>
        <w:spacing w:line="240" w:lineRule="auto"/>
        <w:ind w:firstLine="0"/>
        <w:rPr>
          <w:rFonts w:ascii="Times New Roman" w:hAnsi="Times New Roman" w:cs="Times New Roman"/>
          <w:i w:val="0"/>
          <w:color w:val="000000" w:themeColor="text1"/>
          <w:sz w:val="16"/>
          <w:szCs w:val="16"/>
        </w:rPr>
      </w:pPr>
      <w:r w:rsidRPr="00A259BD">
        <w:rPr>
          <w:rFonts w:ascii="Times New Roman" w:hAnsi="Times New Roman" w:cs="Times New Roman"/>
          <w:i w:val="0"/>
          <w:color w:val="000000" w:themeColor="text1"/>
          <w:sz w:val="16"/>
          <w:szCs w:val="16"/>
        </w:rPr>
        <w:t>В настоящее время со средним танком, с точки зрения отечествен</w:t>
      </w:r>
      <w:r w:rsidRPr="00A259BD">
        <w:rPr>
          <w:rFonts w:ascii="Times New Roman" w:hAnsi="Times New Roman" w:cs="Times New Roman"/>
          <w:i w:val="0"/>
          <w:color w:val="000000" w:themeColor="text1"/>
          <w:sz w:val="16"/>
          <w:szCs w:val="16"/>
        </w:rPr>
        <w:softHyphen/>
        <w:t xml:space="preserve">ного производства, положение обстоит наиболее катастрофически. До сих пор опытный образец не закончен и не испытан. Харьковский па- </w:t>
      </w:r>
      <w:proofErr w:type="spellStart"/>
      <w:r w:rsidRPr="00A259BD">
        <w:rPr>
          <w:rFonts w:ascii="Times New Roman" w:hAnsi="Times New Roman" w:cs="Times New Roman"/>
          <w:i w:val="0"/>
          <w:color w:val="000000" w:themeColor="text1"/>
          <w:sz w:val="16"/>
          <w:szCs w:val="16"/>
        </w:rPr>
        <w:t>ровозо</w:t>
      </w:r>
      <w:proofErr w:type="spellEnd"/>
      <w:r w:rsidRPr="00A259BD">
        <w:rPr>
          <w:rFonts w:ascii="Times New Roman" w:hAnsi="Times New Roman" w:cs="Times New Roman"/>
          <w:i w:val="0"/>
          <w:color w:val="000000" w:themeColor="text1"/>
          <w:sz w:val="16"/>
          <w:szCs w:val="16"/>
        </w:rPr>
        <w:t>-строительный завод пока не подготовлен с точки зрения обо</w:t>
      </w:r>
      <w:r w:rsidRPr="00A259BD">
        <w:rPr>
          <w:rFonts w:ascii="Times New Roman" w:hAnsi="Times New Roman" w:cs="Times New Roman"/>
          <w:i w:val="0"/>
          <w:color w:val="000000" w:themeColor="text1"/>
          <w:sz w:val="16"/>
          <w:szCs w:val="16"/>
        </w:rPr>
        <w:softHyphen/>
        <w:t>рудования и проработки технологического процесса для того, чтобы выполнить намечаемую программу 1930-31 года в 300 шт. В связи с этим, необходимо себя перестраховать танком Виккерса, но при этом нужно иметь в виду следующее обстоятельство: танк Виккерса средний в 12 тонн не предусмотрен по системе вооружения. В этом отношении у нас принципиальные разногласия с британской армией, что мне удалось выяснить, будучи в Англии.</w:t>
      </w:r>
    </w:p>
    <w:p w14:paraId="5D277E3E" w14:textId="77777777" w:rsidR="00FF4128" w:rsidRPr="00A259BD" w:rsidRDefault="00FF4128" w:rsidP="009236E3">
      <w:pPr>
        <w:pStyle w:val="1010"/>
        <w:shd w:val="clear" w:color="auto" w:fill="auto"/>
        <w:spacing w:line="240" w:lineRule="auto"/>
        <w:ind w:firstLine="0"/>
        <w:rPr>
          <w:rFonts w:ascii="Times New Roman" w:hAnsi="Times New Roman" w:cs="Times New Roman"/>
          <w:i w:val="0"/>
          <w:color w:val="000000" w:themeColor="text1"/>
          <w:sz w:val="16"/>
          <w:szCs w:val="16"/>
        </w:rPr>
      </w:pPr>
      <w:r w:rsidRPr="00A259BD">
        <w:rPr>
          <w:rFonts w:ascii="Times New Roman" w:hAnsi="Times New Roman" w:cs="Times New Roman"/>
          <w:i w:val="0"/>
          <w:color w:val="000000" w:themeColor="text1"/>
          <w:sz w:val="16"/>
          <w:szCs w:val="16"/>
        </w:rPr>
        <w:t>Англичане в вопросе среднего танка имеют принципиальную установку добиться максималь</w:t>
      </w:r>
      <w:r w:rsidRPr="00A259BD">
        <w:rPr>
          <w:rFonts w:ascii="Times New Roman" w:hAnsi="Times New Roman" w:cs="Times New Roman"/>
          <w:i w:val="0"/>
          <w:color w:val="000000" w:themeColor="text1"/>
          <w:sz w:val="16"/>
          <w:szCs w:val="16"/>
        </w:rPr>
        <w:softHyphen/>
        <w:t>ной его маневренности. Поэтому они вынуждены были за счет облегчения брони и сокращения базы дать танку своей конструкции скорость в 24 кило</w:t>
      </w:r>
      <w:r w:rsidRPr="00A259BD">
        <w:rPr>
          <w:rFonts w:ascii="Times New Roman" w:hAnsi="Times New Roman" w:cs="Times New Roman"/>
          <w:i w:val="0"/>
          <w:color w:val="000000" w:themeColor="text1"/>
          <w:sz w:val="16"/>
          <w:szCs w:val="16"/>
        </w:rPr>
        <w:softHyphen/>
        <w:t>метра, имея при этом максимальный вес в 12 тонн.</w:t>
      </w:r>
    </w:p>
    <w:p w14:paraId="4F22ED22" w14:textId="77777777" w:rsidR="00FF4128" w:rsidRPr="00A259BD" w:rsidRDefault="00FF4128" w:rsidP="009236E3">
      <w:pPr>
        <w:pStyle w:val="1010"/>
        <w:shd w:val="clear" w:color="auto" w:fill="auto"/>
        <w:spacing w:line="240" w:lineRule="auto"/>
        <w:ind w:firstLine="0"/>
        <w:rPr>
          <w:rFonts w:ascii="Times New Roman" w:hAnsi="Times New Roman" w:cs="Times New Roman"/>
          <w:i w:val="0"/>
          <w:color w:val="000000" w:themeColor="text1"/>
          <w:sz w:val="16"/>
          <w:szCs w:val="16"/>
        </w:rPr>
      </w:pPr>
      <w:r w:rsidRPr="00A259BD">
        <w:rPr>
          <w:rFonts w:ascii="Times New Roman" w:hAnsi="Times New Roman" w:cs="Times New Roman"/>
          <w:i w:val="0"/>
          <w:color w:val="000000" w:themeColor="text1"/>
          <w:sz w:val="16"/>
          <w:szCs w:val="16"/>
        </w:rPr>
        <w:t>Не отвергая существующего строящегося об</w:t>
      </w:r>
      <w:r w:rsidRPr="00A259BD">
        <w:rPr>
          <w:rFonts w:ascii="Times New Roman" w:hAnsi="Times New Roman" w:cs="Times New Roman"/>
          <w:i w:val="0"/>
          <w:color w:val="000000" w:themeColor="text1"/>
          <w:sz w:val="16"/>
          <w:szCs w:val="16"/>
        </w:rPr>
        <w:softHyphen/>
        <w:t>разца Т-12, полагал бы перестраховать себя об</w:t>
      </w:r>
      <w:r w:rsidRPr="00A259BD">
        <w:rPr>
          <w:rFonts w:ascii="Times New Roman" w:hAnsi="Times New Roman" w:cs="Times New Roman"/>
          <w:i w:val="0"/>
          <w:color w:val="000000" w:themeColor="text1"/>
          <w:sz w:val="16"/>
          <w:szCs w:val="16"/>
        </w:rPr>
        <w:softHyphen/>
        <w:t>разцом Виккерса, имея в виду его производство на Харьковском заводе- там же, где строятся Т-18.</w:t>
      </w:r>
    </w:p>
    <w:p w14:paraId="09F01EAD" w14:textId="77777777" w:rsidR="00FF4128" w:rsidRPr="00A259BD" w:rsidRDefault="00FF4128" w:rsidP="009236E3">
      <w:pPr>
        <w:pStyle w:val="1010"/>
        <w:shd w:val="clear" w:color="auto" w:fill="auto"/>
        <w:spacing w:line="240" w:lineRule="auto"/>
        <w:ind w:firstLine="0"/>
        <w:rPr>
          <w:rFonts w:ascii="Times New Roman" w:hAnsi="Times New Roman" w:cs="Times New Roman"/>
          <w:i w:val="0"/>
          <w:color w:val="000000" w:themeColor="text1"/>
          <w:sz w:val="16"/>
          <w:szCs w:val="16"/>
        </w:rPr>
      </w:pPr>
      <w:r w:rsidRPr="00A259BD">
        <w:rPr>
          <w:rFonts w:ascii="Times New Roman" w:hAnsi="Times New Roman" w:cs="Times New Roman"/>
          <w:i w:val="0"/>
          <w:color w:val="000000" w:themeColor="text1"/>
          <w:sz w:val="16"/>
          <w:szCs w:val="16"/>
        </w:rPr>
        <w:t>Что же касается вопроса о моторе, то мотор может быть куплен в Англии или использован тот, что проектируется для танка Т-19. В случае же, если мотор Т-19 отечественного производства оправдает себя на деле, то мотор Т-19 можно будет использовать для танка Т-19.</w:t>
      </w:r>
    </w:p>
    <w:p w14:paraId="5BD586D9" w14:textId="77777777" w:rsidR="00FF4128" w:rsidRPr="00A259BD" w:rsidRDefault="00FF4128" w:rsidP="009236E3">
      <w:pPr>
        <w:pStyle w:val="1010"/>
        <w:shd w:val="clear" w:color="auto" w:fill="auto"/>
        <w:spacing w:line="240" w:lineRule="auto"/>
        <w:ind w:firstLine="0"/>
        <w:rPr>
          <w:rFonts w:ascii="Times New Roman" w:hAnsi="Times New Roman" w:cs="Times New Roman"/>
          <w:i w:val="0"/>
          <w:color w:val="000000" w:themeColor="text1"/>
          <w:sz w:val="16"/>
          <w:szCs w:val="16"/>
        </w:rPr>
      </w:pPr>
      <w:r w:rsidRPr="00A259BD">
        <w:rPr>
          <w:rFonts w:ascii="Times New Roman" w:hAnsi="Times New Roman" w:cs="Times New Roman"/>
          <w:i w:val="0"/>
          <w:color w:val="000000" w:themeColor="text1"/>
          <w:sz w:val="16"/>
          <w:szCs w:val="16"/>
        </w:rPr>
        <w:t xml:space="preserve">Если конструкция танка Т-12 целиком себя оправдает, тогда от танка Т-12 </w:t>
      </w:r>
      <w:proofErr w:type="spellStart"/>
      <w:r w:rsidRPr="00A259BD">
        <w:rPr>
          <w:rFonts w:ascii="Times New Roman" w:hAnsi="Times New Roman" w:cs="Times New Roman"/>
          <w:i w:val="0"/>
          <w:color w:val="000000" w:themeColor="text1"/>
          <w:sz w:val="16"/>
          <w:szCs w:val="16"/>
        </w:rPr>
        <w:t>Викерса</w:t>
      </w:r>
      <w:proofErr w:type="spellEnd"/>
      <w:r w:rsidRPr="00A259BD">
        <w:rPr>
          <w:rFonts w:ascii="Times New Roman" w:hAnsi="Times New Roman" w:cs="Times New Roman"/>
          <w:i w:val="0"/>
          <w:color w:val="000000" w:themeColor="text1"/>
          <w:sz w:val="16"/>
          <w:szCs w:val="16"/>
        </w:rPr>
        <w:t xml:space="preserve"> следует использовать отдельные агрегаты для усовершенствования конструкции отечественного производства.</w:t>
      </w:r>
    </w:p>
    <w:p w14:paraId="29A30EEC" w14:textId="77777777" w:rsidR="00FF4128" w:rsidRPr="00A259BD" w:rsidRDefault="00FF4128" w:rsidP="009236E3">
      <w:pPr>
        <w:pStyle w:val="1010"/>
        <w:shd w:val="clear" w:color="auto" w:fill="auto"/>
        <w:spacing w:line="240" w:lineRule="auto"/>
        <w:ind w:firstLine="0"/>
        <w:rPr>
          <w:rFonts w:ascii="Times New Roman" w:hAnsi="Times New Roman" w:cs="Times New Roman"/>
          <w:i w:val="0"/>
          <w:color w:val="000000" w:themeColor="text1"/>
          <w:sz w:val="16"/>
          <w:szCs w:val="16"/>
        </w:rPr>
      </w:pPr>
      <w:r w:rsidRPr="00A259BD">
        <w:rPr>
          <w:rFonts w:ascii="Times New Roman" w:hAnsi="Times New Roman" w:cs="Times New Roman"/>
          <w:i w:val="0"/>
          <w:color w:val="000000" w:themeColor="text1"/>
          <w:sz w:val="16"/>
          <w:szCs w:val="16"/>
        </w:rPr>
        <w:t>При этом нужно иметь в виду следующее обстоятельство: если по системе вооружения будет введен Революционным Военным Советом дополнительно 12-тонный танк, то производственную базу малого и так называемого среднего легкого 12-тонного танка нужно иметь на Челя</w:t>
      </w:r>
      <w:r w:rsidRPr="00A259BD">
        <w:rPr>
          <w:rFonts w:ascii="Times New Roman" w:hAnsi="Times New Roman" w:cs="Times New Roman"/>
          <w:i w:val="0"/>
          <w:color w:val="000000" w:themeColor="text1"/>
          <w:sz w:val="16"/>
          <w:szCs w:val="16"/>
        </w:rPr>
        <w:softHyphen/>
        <w:t>бинском тракторном заводе; тем более, что моторы для того и другого танка будут едиными. По этому вопросу я имел совещание с т. Осинским, который в принципе против этого не возражает»</w:t>
      </w:r>
      <w:r w:rsidRPr="00A259BD">
        <w:rPr>
          <w:rStyle w:val="1030"/>
          <w:rFonts w:ascii="Times New Roman" w:eastAsia="Arial Unicode MS" w:hAnsi="Times New Roman" w:cs="Times New Roman"/>
          <w:i w:val="0"/>
          <w:iCs w:val="0"/>
          <w:color w:val="000000" w:themeColor="text1"/>
          <w:sz w:val="16"/>
          <w:szCs w:val="16"/>
        </w:rPr>
        <w:t>(имеется в виду заместитель председателя ВСНХ В.В, Оболенский-Осинский) (15744).</w:t>
      </w:r>
    </w:p>
    <w:p w14:paraId="6F803046" w14:textId="77777777" w:rsidR="00FF4128" w:rsidRPr="00A259BD" w:rsidRDefault="00FF4128" w:rsidP="009236E3">
      <w:pPr>
        <w:pStyle w:val="a3"/>
        <w:rPr>
          <w:rStyle w:val="1030"/>
          <w:rFonts w:ascii="Times New Roman" w:eastAsia="Arial Unicode MS" w:hAnsi="Times New Roman" w:cs="Times New Roman"/>
          <w:iCs/>
          <w:color w:val="000000" w:themeColor="text1"/>
          <w:sz w:val="16"/>
          <w:szCs w:val="16"/>
          <w:lang w:val="ru-RU"/>
        </w:rPr>
      </w:pPr>
    </w:p>
    <w:p w14:paraId="23C8E4A5" w14:textId="77777777" w:rsidR="00FF4128" w:rsidRPr="00A259BD" w:rsidRDefault="00FF4128" w:rsidP="009236E3">
      <w:pPr>
        <w:pStyle w:val="a3"/>
        <w:rPr>
          <w:color w:val="000000" w:themeColor="text1"/>
          <w:lang w:val="ru-RU"/>
        </w:rPr>
      </w:pPr>
      <w:r w:rsidRPr="00A259BD">
        <w:rPr>
          <w:rStyle w:val="1030"/>
          <w:rFonts w:ascii="Times New Roman" w:eastAsia="Arial Unicode MS" w:hAnsi="Times New Roman" w:cs="Times New Roman"/>
          <w:iCs/>
          <w:color w:val="000000" w:themeColor="text1"/>
          <w:sz w:val="16"/>
          <w:szCs w:val="16"/>
          <w:lang w:val="ru-RU"/>
        </w:rPr>
        <w:t xml:space="preserve">6 июня 1930 г. </w:t>
      </w:r>
      <w:r w:rsidRPr="00A259BD">
        <w:rPr>
          <w:color w:val="000000" w:themeColor="text1"/>
          <w:lang w:val="ru-RU"/>
        </w:rPr>
        <w:t>на совместном совещании представителей научно-тех</w:t>
      </w:r>
      <w:r w:rsidRPr="00A259BD">
        <w:rPr>
          <w:color w:val="000000" w:themeColor="text1"/>
          <w:lang w:val="ru-RU"/>
        </w:rPr>
        <w:softHyphen/>
        <w:t>нических комитетов АУ и УММ обсуждался вопрос установки отечествен</w:t>
      </w:r>
      <w:r w:rsidRPr="00A259BD">
        <w:rPr>
          <w:color w:val="000000" w:themeColor="text1"/>
          <w:lang w:val="ru-RU"/>
        </w:rPr>
        <w:softHyphen/>
        <w:t>ных образцов вооружения на закупленные за рубежом танки, в том чис</w:t>
      </w:r>
      <w:r w:rsidRPr="00A259BD">
        <w:rPr>
          <w:color w:val="000000" w:themeColor="text1"/>
          <w:lang w:val="ru-RU"/>
        </w:rPr>
        <w:softHyphen/>
        <w:t>ле -</w:t>
      </w:r>
      <w:r w:rsidRPr="00A259BD">
        <w:rPr>
          <w:rStyle w:val="291"/>
          <w:rFonts w:ascii="Times New Roman" w:hAnsi="Times New Roman" w:cs="Times New Roman"/>
          <w:i w:val="0"/>
          <w:color w:val="000000" w:themeColor="text1"/>
          <w:sz w:val="16"/>
          <w:szCs w:val="16"/>
          <w:lang w:val="ru-RU"/>
        </w:rPr>
        <w:t xml:space="preserve"> «45-мм танковой пушки в башне 12-тонного танка» (15744).</w:t>
      </w:r>
    </w:p>
    <w:p w14:paraId="6CF8411D" w14:textId="77777777" w:rsidR="00FF4128" w:rsidRPr="00A259BD" w:rsidRDefault="00FF4128" w:rsidP="009236E3">
      <w:pPr>
        <w:pStyle w:val="1010"/>
        <w:shd w:val="clear" w:color="auto" w:fill="auto"/>
        <w:spacing w:line="240" w:lineRule="auto"/>
        <w:ind w:firstLine="0"/>
        <w:rPr>
          <w:rStyle w:val="1030"/>
          <w:rFonts w:ascii="Times New Roman" w:eastAsia="Arial Unicode MS" w:hAnsi="Times New Roman" w:cs="Times New Roman"/>
          <w:i w:val="0"/>
          <w:iCs w:val="0"/>
          <w:color w:val="000000" w:themeColor="text1"/>
          <w:sz w:val="16"/>
          <w:szCs w:val="16"/>
        </w:rPr>
      </w:pPr>
    </w:p>
    <w:p w14:paraId="0AE6F810" w14:textId="77777777" w:rsidR="00077238" w:rsidRPr="00A259BD" w:rsidRDefault="0007723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июня 1929 г. Выписка из протокола заседания Президиума ВСНХ СССР о работе </w:t>
      </w:r>
      <w:proofErr w:type="spellStart"/>
      <w:r w:rsidRPr="00A259BD">
        <w:rPr>
          <w:rFonts w:ascii="Times New Roman" w:hAnsi="Times New Roman"/>
          <w:color w:val="000000" w:themeColor="text1"/>
          <w:sz w:val="16"/>
          <w:szCs w:val="16"/>
        </w:rPr>
        <w:t>моборганов</w:t>
      </w:r>
      <w:proofErr w:type="spellEnd"/>
      <w:r w:rsidRPr="00A259BD">
        <w:rPr>
          <w:rFonts w:ascii="Times New Roman" w:hAnsi="Times New Roman"/>
          <w:color w:val="000000" w:themeColor="text1"/>
          <w:sz w:val="16"/>
          <w:szCs w:val="16"/>
        </w:rPr>
        <w:t xml:space="preserve"> (РГАЭ. Ф. 3429. Оп. 16. Д. 2. Л. 156?155) (12417).</w:t>
      </w:r>
    </w:p>
    <w:p w14:paraId="59C74179" w14:textId="77777777" w:rsidR="00077238" w:rsidRPr="00A259BD" w:rsidRDefault="00077238" w:rsidP="009236E3">
      <w:pPr>
        <w:spacing w:after="0" w:line="240" w:lineRule="auto"/>
        <w:jc w:val="both"/>
        <w:rPr>
          <w:rFonts w:ascii="Times New Roman" w:hAnsi="Times New Roman"/>
          <w:color w:val="000000" w:themeColor="text1"/>
          <w:sz w:val="16"/>
          <w:szCs w:val="16"/>
        </w:rPr>
      </w:pPr>
    </w:p>
    <w:p w14:paraId="4C27999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63D3A5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A29F141"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начале июня 1929 г. завод №1 сдал головной серийный истребитель И-3 зав. №3820, построенный по типу 2-го опытного образца без доработок по оперению (как ГО, так и ВО), с покупным двигателем немецкого производства BMW VI (фактическая мощность на взлете 600 л.с., номинальная полетная 480 л.с.) и английскими пулеметами Виккерс Mk.2 калибра 7,69 мм (вероятно, трофейными из старых запасов).</w:t>
      </w:r>
    </w:p>
    <w:p w14:paraId="161929C6"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10 июня 1929 г. НИИ ВВС получил Задание НТК №2196/с на испытания головного серийного самолета И-3 БМВVI.</w:t>
      </w:r>
    </w:p>
    <w:p w14:paraId="5E645EA1"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 июня 1929 г. НИИ ВВС начал испытания головного серийного самолета И-3.</w:t>
      </w:r>
    </w:p>
    <w:p w14:paraId="4B8F2E30"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концу июня 1929 г. НИИ ВВС выполнил программу испытаний головного серийного самолета И-3 на 20%.</w:t>
      </w:r>
    </w:p>
    <w:p w14:paraId="4EEBD043"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8 июля (по др. данным по 13 июля или по 8 августа) 1929 г испытания головного серийного самолета И-3 БМВVI в НИИ ВВС закончены, и отмечено, что «Самолет И-3 №3820 серийной постройки завода № 1 им. </w:t>
      </w:r>
      <w:proofErr w:type="spellStart"/>
      <w:r w:rsidRPr="00441F34">
        <w:rPr>
          <w:rFonts w:ascii="Times New Roman" w:hAnsi="Times New Roman"/>
          <w:color w:val="0070C0"/>
          <w:sz w:val="16"/>
          <w:szCs w:val="16"/>
        </w:rPr>
        <w:t>Авиахима</w:t>
      </w:r>
      <w:proofErr w:type="spellEnd"/>
      <w:r w:rsidRPr="00441F34">
        <w:rPr>
          <w:rFonts w:ascii="Times New Roman" w:hAnsi="Times New Roman"/>
          <w:color w:val="0070C0"/>
          <w:sz w:val="16"/>
          <w:szCs w:val="16"/>
        </w:rPr>
        <w:t xml:space="preserve"> идентичен с ранее испытанными самолетами в НИИ», т.е. мер по улучшению курсовой устойчивости не предпринято, и сделано заключение:</w:t>
      </w:r>
    </w:p>
    <w:p w14:paraId="47A17899"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основании проведенных испытаний НИИ считает:</w:t>
      </w:r>
    </w:p>
    <w:p w14:paraId="189C72C1"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Учитывая наличие изготовленной на заводе серии самолетов И3-БМВVI, а также трудность и значительную задержку по времени выпуска серии, в случае требования устранения всех недочетов, построенная серия может быть принята при условии устранения основных недостатков.</w:t>
      </w:r>
    </w:p>
    <w:p w14:paraId="44EB228A"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p w14:paraId="0B98EC77"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 НИИ считает, что самолет И3-БМВVI не может быть значительно улучшен в дальнейших сериях, что вызывает сомнение в целесообразности широкого введения этого типа на снабжение строевых частей ВВС на далекий срок».</w:t>
      </w:r>
    </w:p>
    <w:p w14:paraId="04B44D07"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То есть оценка самолету И-3 серийной постройки дана была неудовлетворительная.</w:t>
      </w:r>
    </w:p>
    <w:p w14:paraId="13FBB713"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Тем не менее, с учетом готовности УВВС принимать самолеты И-3 до устранения всех недостатков, в июне 1929 г., пока испытания головного самолета были еще далеки от завершения, </w:t>
      </w:r>
      <w:proofErr w:type="spellStart"/>
      <w:r w:rsidRPr="00441F34">
        <w:rPr>
          <w:rFonts w:ascii="Times New Roman" w:hAnsi="Times New Roman"/>
          <w:color w:val="0070C0"/>
          <w:sz w:val="16"/>
          <w:szCs w:val="16"/>
        </w:rPr>
        <w:t>Авиатрест</w:t>
      </w:r>
      <w:proofErr w:type="spellEnd"/>
      <w:r w:rsidRPr="00441F34">
        <w:rPr>
          <w:rFonts w:ascii="Times New Roman" w:hAnsi="Times New Roman"/>
          <w:color w:val="0070C0"/>
          <w:sz w:val="16"/>
          <w:szCs w:val="16"/>
        </w:rPr>
        <w:t xml:space="preserve"> предъявил к сдаче всю их первую серию из 39 самолетов И-3 (не включая сданный в НИИ ВВС). По конструкции и комплектации остальные самолеты соответствовали головному и ни один дефект на них устранен не был. Заведующий ОСС Поликарпов вопрос этот не контролировал и устранению конструктивных дефектов внимания не уделял (24887).</w:t>
      </w:r>
    </w:p>
    <w:p w14:paraId="3AAB09DA" w14:textId="77777777" w:rsidR="00D41EFC" w:rsidRPr="00441F34" w:rsidRDefault="00D41EFC" w:rsidP="00D41EFC">
      <w:pPr>
        <w:spacing w:after="0" w:line="240" w:lineRule="auto"/>
        <w:jc w:val="both"/>
        <w:rPr>
          <w:rFonts w:ascii="Times New Roman" w:hAnsi="Times New Roman"/>
          <w:color w:val="0070C0"/>
          <w:sz w:val="16"/>
          <w:szCs w:val="16"/>
        </w:rPr>
      </w:pPr>
    </w:p>
    <w:p w14:paraId="15F4AD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началу июня 1929 г. на заводских испытаниях опытного Р5-БМВУ1 удалось достичь максимальной скорости 227 км/ч у земли и 222 км/ч на высоте 3000 м. Разбег занимал 12 секунд (10667).</w:t>
      </w:r>
    </w:p>
    <w:p w14:paraId="66BE09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8B624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54719D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3B6F5D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начале июня 1929 г. на </w:t>
      </w:r>
      <w:proofErr w:type="spellStart"/>
      <w:r w:rsidRPr="00A259BD">
        <w:rPr>
          <w:rFonts w:ascii="Times New Roman" w:hAnsi="Times New Roman"/>
          <w:color w:val="000000" w:themeColor="text1"/>
          <w:sz w:val="16"/>
          <w:szCs w:val="16"/>
        </w:rPr>
        <w:t>ИОЗе</w:t>
      </w:r>
      <w:proofErr w:type="spellEnd"/>
      <w:r w:rsidRPr="00A259BD">
        <w:rPr>
          <w:rFonts w:ascii="Times New Roman" w:hAnsi="Times New Roman"/>
          <w:color w:val="000000" w:themeColor="text1"/>
          <w:sz w:val="16"/>
          <w:szCs w:val="16"/>
        </w:rPr>
        <w:t xml:space="preserve"> нарастал темп изготовления экспериментальных мотоциклов. Тем не менее стало ясно, что за</w:t>
      </w:r>
      <w:r w:rsidRPr="00A259BD">
        <w:rPr>
          <w:rFonts w:ascii="Times New Roman" w:hAnsi="Times New Roman"/>
          <w:color w:val="000000" w:themeColor="text1"/>
          <w:sz w:val="16"/>
          <w:szCs w:val="16"/>
        </w:rPr>
        <w:softHyphen/>
        <w:t>вершить изготовление всей партии строившихся мотоциклов в Ижевске удастся лишь в сентябре. В связи с этой задержкой, АВ</w:t>
      </w:r>
      <w:r w:rsidRPr="00A259BD">
        <w:rPr>
          <w:rFonts w:ascii="Times New Roman" w:hAnsi="Times New Roman"/>
          <w:color w:val="000000" w:themeColor="text1"/>
          <w:sz w:val="16"/>
          <w:szCs w:val="16"/>
        </w:rPr>
        <w:softHyphen/>
        <w:t xml:space="preserve">ТОДОР решил провести внеплановый </w:t>
      </w:r>
      <w:proofErr w:type="spellStart"/>
      <w:r w:rsidRPr="00A259BD">
        <w:rPr>
          <w:rFonts w:ascii="Times New Roman" w:hAnsi="Times New Roman"/>
          <w:color w:val="000000" w:themeColor="text1"/>
          <w:sz w:val="16"/>
          <w:szCs w:val="16"/>
        </w:rPr>
        <w:t>автомотопробег</w:t>
      </w:r>
      <w:proofErr w:type="spellEnd"/>
      <w:r w:rsidRPr="00A259BD">
        <w:rPr>
          <w:rFonts w:ascii="Times New Roman" w:hAnsi="Times New Roman"/>
          <w:color w:val="000000" w:themeColor="text1"/>
          <w:sz w:val="16"/>
          <w:szCs w:val="16"/>
        </w:rPr>
        <w:t xml:space="preserve"> 22-24 июня по маршруту Москва-Нижний-Новгород-Москва протяжённостью 828 км [3.71, 3.72]. В пробеге принимали участие около 30 мотоци</w:t>
      </w:r>
      <w:r w:rsidRPr="00A259BD">
        <w:rPr>
          <w:rFonts w:ascii="Times New Roman" w:hAnsi="Times New Roman"/>
          <w:color w:val="000000" w:themeColor="text1"/>
          <w:sz w:val="16"/>
          <w:szCs w:val="16"/>
        </w:rPr>
        <w:softHyphen/>
        <w:t xml:space="preserve">клов (иномарки и три любительские конструкции - все с рамой Э.Г. </w:t>
      </w:r>
      <w:proofErr w:type="spellStart"/>
      <w:r w:rsidRPr="00A259BD">
        <w:rPr>
          <w:rFonts w:ascii="Times New Roman" w:hAnsi="Times New Roman"/>
          <w:color w:val="000000" w:themeColor="text1"/>
          <w:sz w:val="16"/>
          <w:szCs w:val="16"/>
        </w:rPr>
        <w:t>Мауэра</w:t>
      </w:r>
      <w:proofErr w:type="spellEnd"/>
      <w:r w:rsidRPr="00A259BD">
        <w:rPr>
          <w:rFonts w:ascii="Times New Roman" w:hAnsi="Times New Roman"/>
          <w:color w:val="000000" w:themeColor="text1"/>
          <w:sz w:val="16"/>
          <w:szCs w:val="16"/>
        </w:rPr>
        <w:t>, из которых один - с двигателем, доработанным Н. То</w:t>
      </w:r>
      <w:r w:rsidRPr="00A259BD">
        <w:rPr>
          <w:rFonts w:ascii="Times New Roman" w:hAnsi="Times New Roman"/>
          <w:color w:val="000000" w:themeColor="text1"/>
          <w:sz w:val="16"/>
          <w:szCs w:val="16"/>
        </w:rPr>
        <w:softHyphen/>
        <w:t>каревым), а также легковые машины и грузовики. В этом пробеге предполагалось провести “техническое испытание марок и типов машин, намеченных к производству в Советском Союзе” [3.73]. Об этом пробеге никаких сведений в прессе не появилось, так как ме</w:t>
      </w:r>
      <w:r w:rsidRPr="00A259BD">
        <w:rPr>
          <w:rFonts w:ascii="Times New Roman" w:hAnsi="Times New Roman"/>
          <w:color w:val="000000" w:themeColor="text1"/>
          <w:sz w:val="16"/>
          <w:szCs w:val="16"/>
        </w:rPr>
        <w:softHyphen/>
        <w:t>роприятие не произвело должного впечатления ни на мотолюбите</w:t>
      </w:r>
      <w:r w:rsidRPr="00A259BD">
        <w:rPr>
          <w:rFonts w:ascii="Times New Roman" w:hAnsi="Times New Roman"/>
          <w:color w:val="000000" w:themeColor="text1"/>
          <w:sz w:val="16"/>
          <w:szCs w:val="16"/>
        </w:rPr>
        <w:softHyphen/>
        <w:t>лей, ни на ведомства, заинтересованные в появлении отечествен</w:t>
      </w:r>
      <w:r w:rsidRPr="00A259BD">
        <w:rPr>
          <w:rFonts w:ascii="Times New Roman" w:hAnsi="Times New Roman"/>
          <w:color w:val="000000" w:themeColor="text1"/>
          <w:sz w:val="16"/>
          <w:szCs w:val="16"/>
        </w:rPr>
        <w:softHyphen/>
        <w:t>ных мотоциклов, поэтому общественность страны ожидала прове</w:t>
      </w:r>
      <w:r w:rsidRPr="00A259BD">
        <w:rPr>
          <w:rFonts w:ascii="Times New Roman" w:hAnsi="Times New Roman"/>
          <w:color w:val="000000" w:themeColor="text1"/>
          <w:sz w:val="16"/>
          <w:szCs w:val="16"/>
        </w:rPr>
        <w:softHyphen/>
        <w:t>дение Первого Всесоюзного пробега советских мотоциклов (11429).</w:t>
      </w:r>
    </w:p>
    <w:p w14:paraId="1D03184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21BC1C" w14:textId="77777777" w:rsidR="002D64FC" w:rsidRPr="00A259BD" w:rsidRDefault="002D64FC"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F3A4AD2" w14:textId="77777777" w:rsidR="002D64FC" w:rsidRPr="00A259BD" w:rsidRDefault="002D64F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8308F6" w14:textId="77777777" w:rsidR="002D64FC" w:rsidRPr="00A259BD" w:rsidRDefault="002D64F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июня 1929 года Министр рейхсвера при</w:t>
      </w:r>
      <w:r w:rsidRPr="00A259BD">
        <w:rPr>
          <w:rFonts w:ascii="Times New Roman" w:hAnsi="Times New Roman"/>
          <w:color w:val="000000" w:themeColor="text1"/>
          <w:sz w:val="16"/>
          <w:szCs w:val="16"/>
        </w:rPr>
        <w:softHyphen/>
        <w:t>нял решение возложить на начальника отдела баллистики Уп</w:t>
      </w:r>
      <w:r w:rsidRPr="00A259BD">
        <w:rPr>
          <w:rFonts w:ascii="Times New Roman" w:hAnsi="Times New Roman"/>
          <w:color w:val="000000" w:themeColor="text1"/>
          <w:sz w:val="16"/>
          <w:szCs w:val="16"/>
        </w:rPr>
        <w:softHyphen/>
        <w:t>равления вооружений сухопутных войск Германии полковника Карла Эмиля Беккера (</w:t>
      </w:r>
      <w:proofErr w:type="spellStart"/>
      <w:r w:rsidRPr="00A259BD">
        <w:rPr>
          <w:rFonts w:ascii="Times New Roman" w:hAnsi="Times New Roman"/>
          <w:color w:val="000000" w:themeColor="text1"/>
          <w:sz w:val="16"/>
          <w:szCs w:val="16"/>
        </w:rPr>
        <w:t>Karl</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Emil</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Becker</w:t>
      </w:r>
      <w:proofErr w:type="spellEnd"/>
      <w:r w:rsidRPr="00A259BD">
        <w:rPr>
          <w:rFonts w:ascii="Times New Roman" w:hAnsi="Times New Roman"/>
          <w:color w:val="000000" w:themeColor="text1"/>
          <w:sz w:val="16"/>
          <w:szCs w:val="16"/>
        </w:rPr>
        <w:t>) ответственность за разработку ракет и отдал ему секретный приказ об определе</w:t>
      </w:r>
      <w:r w:rsidRPr="00A259BD">
        <w:rPr>
          <w:rFonts w:ascii="Times New Roman" w:hAnsi="Times New Roman"/>
          <w:color w:val="000000" w:themeColor="text1"/>
          <w:sz w:val="16"/>
          <w:szCs w:val="16"/>
        </w:rPr>
        <w:softHyphen/>
        <w:t>нии возможности увеличения дальности стрельбы артилле</w:t>
      </w:r>
      <w:r w:rsidRPr="00A259BD">
        <w:rPr>
          <w:rFonts w:ascii="Times New Roman" w:hAnsi="Times New Roman"/>
          <w:color w:val="000000" w:themeColor="text1"/>
          <w:sz w:val="16"/>
          <w:szCs w:val="16"/>
        </w:rPr>
        <w:softHyphen/>
        <w:t>рийских систем, включая использование ракетных двигателей в военных целях.</w:t>
      </w:r>
    </w:p>
    <w:p w14:paraId="52FB8BA6" w14:textId="77777777" w:rsidR="002D64FC" w:rsidRPr="00A259BD" w:rsidRDefault="002D64F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Беккер способствовал форсированному приведению в действие приказа. Через неделю в недрах руководимого им отдела сфор</w:t>
      </w:r>
      <w:r w:rsidRPr="00A259BD">
        <w:rPr>
          <w:rFonts w:ascii="Times New Roman" w:hAnsi="Times New Roman"/>
          <w:color w:val="000000" w:themeColor="text1"/>
          <w:sz w:val="16"/>
          <w:szCs w:val="16"/>
        </w:rPr>
        <w:softHyphen/>
        <w:t>мировалась секретная группа. Долго искали человека, который мог бы возглавить выполнение поставленной задачи. Наконец, весной 1930 года на должность руководителя группы назначи</w:t>
      </w:r>
      <w:r w:rsidRPr="00A259BD">
        <w:rPr>
          <w:rFonts w:ascii="Times New Roman" w:hAnsi="Times New Roman"/>
          <w:color w:val="000000" w:themeColor="text1"/>
          <w:sz w:val="16"/>
          <w:szCs w:val="16"/>
        </w:rPr>
        <w:softHyphen/>
        <w:t xml:space="preserve">ли 35-летнего военного инженера Вальтера Роберта </w:t>
      </w:r>
      <w:proofErr w:type="spellStart"/>
      <w:r w:rsidRPr="00A259BD">
        <w:rPr>
          <w:rFonts w:ascii="Times New Roman" w:hAnsi="Times New Roman"/>
          <w:color w:val="000000" w:themeColor="text1"/>
          <w:sz w:val="16"/>
          <w:szCs w:val="16"/>
        </w:rPr>
        <w:t>Дорнберге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Walter</w:t>
      </w:r>
      <w:proofErr w:type="spellEnd"/>
      <w:r w:rsidRPr="00A259BD">
        <w:rPr>
          <w:rFonts w:ascii="Times New Roman" w:hAnsi="Times New Roman"/>
          <w:color w:val="000000" w:themeColor="text1"/>
          <w:sz w:val="16"/>
          <w:szCs w:val="16"/>
        </w:rPr>
        <w:t xml:space="preserve"> Robert </w:t>
      </w:r>
      <w:proofErr w:type="spellStart"/>
      <w:r w:rsidRPr="00A259BD">
        <w:rPr>
          <w:rFonts w:ascii="Times New Roman" w:hAnsi="Times New Roman"/>
          <w:color w:val="000000" w:themeColor="text1"/>
          <w:sz w:val="16"/>
          <w:szCs w:val="16"/>
        </w:rPr>
        <w:t>Domberger</w:t>
      </w:r>
      <w:proofErr w:type="spellEnd"/>
      <w:r w:rsidRPr="00A259BD">
        <w:rPr>
          <w:rFonts w:ascii="Times New Roman" w:hAnsi="Times New Roman"/>
          <w:color w:val="000000" w:themeColor="text1"/>
          <w:sz w:val="16"/>
          <w:szCs w:val="16"/>
        </w:rPr>
        <w:t>).</w:t>
      </w:r>
    </w:p>
    <w:p w14:paraId="172947AF" w14:textId="77777777" w:rsidR="002D64FC" w:rsidRPr="00A259BD" w:rsidRDefault="002D64F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детального и тщательного изучения архива Управ</w:t>
      </w:r>
      <w:r w:rsidRPr="00A259BD">
        <w:rPr>
          <w:rFonts w:ascii="Times New Roman" w:hAnsi="Times New Roman"/>
          <w:color w:val="000000" w:themeColor="text1"/>
          <w:sz w:val="16"/>
          <w:szCs w:val="16"/>
        </w:rPr>
        <w:softHyphen/>
        <w:t xml:space="preserve">ления вооружений, с одобрения Беккера, </w:t>
      </w:r>
      <w:proofErr w:type="spellStart"/>
      <w:r w:rsidRPr="00A259BD">
        <w:rPr>
          <w:rFonts w:ascii="Times New Roman" w:hAnsi="Times New Roman"/>
          <w:color w:val="000000" w:themeColor="text1"/>
          <w:sz w:val="16"/>
          <w:szCs w:val="16"/>
        </w:rPr>
        <w:t>Дорнбергер</w:t>
      </w:r>
      <w:proofErr w:type="spellEnd"/>
      <w:r w:rsidRPr="00A259BD">
        <w:rPr>
          <w:rFonts w:ascii="Times New Roman" w:hAnsi="Times New Roman"/>
          <w:color w:val="000000" w:themeColor="text1"/>
          <w:sz w:val="16"/>
          <w:szCs w:val="16"/>
        </w:rPr>
        <w:t xml:space="preserve"> поста</w:t>
      </w:r>
      <w:r w:rsidRPr="00A259BD">
        <w:rPr>
          <w:rFonts w:ascii="Times New Roman" w:hAnsi="Times New Roman"/>
          <w:color w:val="000000" w:themeColor="text1"/>
          <w:sz w:val="16"/>
          <w:szCs w:val="16"/>
        </w:rPr>
        <w:softHyphen/>
        <w:t>вил перед собой в качестве ближайшей цели создание ракеты, которая могла бы покрыть вдвое большее расстояние, чем сна</w:t>
      </w:r>
      <w:r w:rsidRPr="00A259BD">
        <w:rPr>
          <w:rFonts w:ascii="Times New Roman" w:hAnsi="Times New Roman"/>
          <w:color w:val="000000" w:themeColor="text1"/>
          <w:sz w:val="16"/>
          <w:szCs w:val="16"/>
        </w:rPr>
        <w:softHyphen/>
        <w:t xml:space="preserve">ряд, выпущенный из </w:t>
      </w:r>
      <w:proofErr w:type="spellStart"/>
      <w:r w:rsidRPr="00A259BD">
        <w:rPr>
          <w:rFonts w:ascii="Times New Roman" w:hAnsi="Times New Roman"/>
          <w:color w:val="000000" w:themeColor="text1"/>
          <w:sz w:val="16"/>
          <w:szCs w:val="16"/>
        </w:rPr>
        <w:t>крупповского</w:t>
      </w:r>
      <w:proofErr w:type="spellEnd"/>
      <w:r w:rsidRPr="00A259BD">
        <w:rPr>
          <w:rFonts w:ascii="Times New Roman" w:hAnsi="Times New Roman"/>
          <w:color w:val="000000" w:themeColor="text1"/>
          <w:sz w:val="16"/>
          <w:szCs w:val="16"/>
        </w:rPr>
        <w:t xml:space="preserve"> сверхдальнобойного ору</w:t>
      </w:r>
      <w:r w:rsidRPr="00A259BD">
        <w:rPr>
          <w:rFonts w:ascii="Times New Roman" w:hAnsi="Times New Roman"/>
          <w:color w:val="000000" w:themeColor="text1"/>
          <w:sz w:val="16"/>
          <w:szCs w:val="16"/>
        </w:rPr>
        <w:softHyphen/>
        <w:t>дия «</w:t>
      </w:r>
      <w:proofErr w:type="spellStart"/>
      <w:r w:rsidRPr="00A259BD">
        <w:rPr>
          <w:rFonts w:ascii="Times New Roman" w:hAnsi="Times New Roman"/>
          <w:color w:val="000000" w:themeColor="text1"/>
          <w:sz w:val="16"/>
          <w:szCs w:val="16"/>
        </w:rPr>
        <w:t>Колоссаль</w:t>
      </w:r>
      <w:proofErr w:type="spellEnd"/>
      <w:r w:rsidRPr="00A259BD">
        <w:rPr>
          <w:rFonts w:ascii="Times New Roman" w:hAnsi="Times New Roman"/>
          <w:color w:val="000000" w:themeColor="text1"/>
          <w:sz w:val="16"/>
          <w:szCs w:val="16"/>
        </w:rPr>
        <w:t>», которое во время 1-й мировой войны обстре</w:t>
      </w:r>
      <w:r w:rsidRPr="00A259BD">
        <w:rPr>
          <w:rFonts w:ascii="Times New Roman" w:hAnsi="Times New Roman"/>
          <w:color w:val="000000" w:themeColor="text1"/>
          <w:sz w:val="16"/>
          <w:szCs w:val="16"/>
        </w:rPr>
        <w:softHyphen/>
        <w:t xml:space="preserve">ливало Париж. Дальность стрельбы этой </w:t>
      </w:r>
      <w:proofErr w:type="spellStart"/>
      <w:r w:rsidRPr="00A259BD">
        <w:rPr>
          <w:rFonts w:ascii="Times New Roman" w:hAnsi="Times New Roman"/>
          <w:color w:val="000000" w:themeColor="text1"/>
          <w:sz w:val="16"/>
          <w:szCs w:val="16"/>
        </w:rPr>
        <w:t>суперпушки</w:t>
      </w:r>
      <w:proofErr w:type="spellEnd"/>
      <w:r w:rsidRPr="00A259BD">
        <w:rPr>
          <w:rFonts w:ascii="Times New Roman" w:hAnsi="Times New Roman"/>
          <w:color w:val="000000" w:themeColor="text1"/>
          <w:sz w:val="16"/>
          <w:szCs w:val="16"/>
        </w:rPr>
        <w:t xml:space="preserve"> внушала уважение —до 120 километров, но точность была невысока, живучесть ствола была крайне низкой, а массивная конструк</w:t>
      </w:r>
      <w:r w:rsidRPr="00A259BD">
        <w:rPr>
          <w:rFonts w:ascii="Times New Roman" w:hAnsi="Times New Roman"/>
          <w:color w:val="000000" w:themeColor="text1"/>
          <w:sz w:val="16"/>
          <w:szCs w:val="16"/>
        </w:rPr>
        <w:softHyphen/>
        <w:t>ция полностью исключала какую-либо маневренность.</w:t>
      </w:r>
    </w:p>
    <w:p w14:paraId="25AFB907" w14:textId="77777777" w:rsidR="002D64FC" w:rsidRPr="00A259BD" w:rsidRDefault="002D64F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lang w:eastAsia="ru-RU" w:bidi="ru-RU"/>
        </w:rPr>
        <w:t xml:space="preserve">Вальтер </w:t>
      </w:r>
      <w:proofErr w:type="spellStart"/>
      <w:r w:rsidRPr="00A259BD">
        <w:rPr>
          <w:rFonts w:ascii="Times New Roman" w:hAnsi="Times New Roman"/>
          <w:color w:val="000000" w:themeColor="text1"/>
          <w:sz w:val="16"/>
          <w:szCs w:val="16"/>
          <w:lang w:eastAsia="ru-RU" w:bidi="ru-RU"/>
        </w:rPr>
        <w:t>Дорнбергер</w:t>
      </w:r>
      <w:proofErr w:type="spellEnd"/>
      <w:r w:rsidRPr="00A259BD">
        <w:rPr>
          <w:rFonts w:ascii="Times New Roman" w:hAnsi="Times New Roman"/>
          <w:color w:val="000000" w:themeColor="text1"/>
          <w:sz w:val="16"/>
          <w:szCs w:val="16"/>
          <w:lang w:eastAsia="ru-RU" w:bidi="ru-RU"/>
        </w:rPr>
        <w:t xml:space="preserve"> начал с организации экспери</w:t>
      </w:r>
      <w:r w:rsidRPr="00A259BD">
        <w:rPr>
          <w:rFonts w:ascii="Times New Roman" w:hAnsi="Times New Roman"/>
          <w:color w:val="000000" w:themeColor="text1"/>
          <w:sz w:val="16"/>
          <w:szCs w:val="16"/>
          <w:lang w:eastAsia="ru-RU" w:bidi="ru-RU"/>
        </w:rPr>
        <w:softHyphen/>
        <w:t>ментальной лаборатории по созданию жидкостных ре</w:t>
      </w:r>
      <w:r w:rsidRPr="00A259BD">
        <w:rPr>
          <w:rFonts w:ascii="Times New Roman" w:hAnsi="Times New Roman"/>
          <w:color w:val="000000" w:themeColor="text1"/>
          <w:sz w:val="16"/>
          <w:szCs w:val="16"/>
          <w:lang w:eastAsia="ru-RU" w:bidi="ru-RU"/>
        </w:rPr>
        <w:softHyphen/>
        <w:t>активных двигателей для баллисти</w:t>
      </w:r>
      <w:r w:rsidRPr="00A259BD">
        <w:rPr>
          <w:rFonts w:ascii="Times New Roman" w:hAnsi="Times New Roman"/>
          <w:color w:val="000000" w:themeColor="text1"/>
          <w:sz w:val="16"/>
          <w:szCs w:val="16"/>
          <w:lang w:eastAsia="ru-RU" w:bidi="ru-RU"/>
        </w:rPr>
        <w:softHyphen/>
        <w:t>ческих ракет</w:t>
      </w:r>
      <w:r w:rsidRPr="00A259BD">
        <w:rPr>
          <w:rFonts w:ascii="Times New Roman" w:hAnsi="Times New Roman"/>
          <w:color w:val="000000" w:themeColor="text1"/>
          <w:sz w:val="16"/>
          <w:szCs w:val="16"/>
        </w:rPr>
        <w:t xml:space="preserve"> (22798).</w:t>
      </w:r>
    </w:p>
    <w:p w14:paraId="6159FAB6" w14:textId="77777777" w:rsidR="002D64FC" w:rsidRPr="00A259BD" w:rsidRDefault="002D64FC"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1AC7DC80" w14:textId="77777777" w:rsidR="0072351A" w:rsidRPr="00A259BD" w:rsidRDefault="0072351A"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0062D985" w14:textId="77777777" w:rsidR="0072351A" w:rsidRPr="00A259BD" w:rsidRDefault="0072351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B3F6D93"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июня 1929 г.</w:t>
      </w:r>
    </w:p>
    <w:p w14:paraId="7B5B8B53"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w:t>
      </w:r>
    </w:p>
    <w:p w14:paraId="01FCDF2D"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РЕВОЛЮЦИОННОГО ВОЕННОГО СОВЕТА СОЮЗА СОВЕТСКИХ СОЦИАЛИСТИЧЕСКИХ РЕСПУБЛИК28 №144</w:t>
      </w:r>
    </w:p>
    <w:p w14:paraId="5D0A63BD"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июня 1929 г. г. Москва</w:t>
      </w:r>
    </w:p>
    <w:p w14:paraId="72A131CF"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присвоении 11 авиационной бригаде наименования: «11 авиабригада Потребкооперация».</w:t>
      </w:r>
    </w:p>
    <w:p w14:paraId="2D00D57A"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связи с сосредоточением в 11 авиационной бригаде всех военных самолетов, построенных на средства фонда потребительских коопераций «Наш ответ Чемберлену», присвоить означенной бригаде наименование:</w:t>
      </w:r>
    </w:p>
    <w:p w14:paraId="140A65CA"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авиабригада Потребкооперация».</w:t>
      </w:r>
    </w:p>
    <w:p w14:paraId="6DEFC042"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Народный Комиссар по Военным и Морским Делам и Председатель РВС СССР Ворошилов (18518).</w:t>
      </w:r>
    </w:p>
    <w:p w14:paraId="21AFA7ED" w14:textId="77777777" w:rsidR="0072351A" w:rsidRPr="00A259BD" w:rsidRDefault="0072351A" w:rsidP="009236E3">
      <w:pPr>
        <w:spacing w:after="0" w:line="240" w:lineRule="auto"/>
        <w:jc w:val="both"/>
        <w:rPr>
          <w:rFonts w:ascii="Times New Roman" w:hAnsi="Times New Roman"/>
          <w:color w:val="000000" w:themeColor="text1"/>
          <w:sz w:val="16"/>
          <w:szCs w:val="16"/>
        </w:rPr>
      </w:pPr>
    </w:p>
    <w:p w14:paraId="6ACA03FD" w14:textId="77777777" w:rsidR="00077238"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6307F965" w14:textId="77777777" w:rsidR="00077238" w:rsidRPr="00A259BD"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F77487" w14:textId="77777777" w:rsidR="00077238" w:rsidRPr="00A259BD" w:rsidRDefault="00077238"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7 июня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ЦИК и СНК СССР об установлении минимальных норм брони подростков для предприятий, находящихся на территории Дальневосточного края (СЗ. 1929. № 39. Ст. 337) (12415).</w:t>
      </w:r>
    </w:p>
    <w:p w14:paraId="073E3AE9" w14:textId="77777777" w:rsidR="00077238" w:rsidRPr="00A259BD" w:rsidRDefault="00077238" w:rsidP="009236E3">
      <w:pPr>
        <w:spacing w:after="0" w:line="240" w:lineRule="auto"/>
        <w:jc w:val="both"/>
        <w:rPr>
          <w:rFonts w:ascii="Times New Roman" w:hAnsi="Times New Roman"/>
          <w:color w:val="000000" w:themeColor="text1"/>
          <w:sz w:val="16"/>
          <w:szCs w:val="16"/>
          <w:u w:color="002060"/>
        </w:rPr>
      </w:pPr>
    </w:p>
    <w:p w14:paraId="7966A447"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1B93B5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275D7D" w14:textId="77777777" w:rsidR="00510796" w:rsidRPr="00A259BD" w:rsidRDefault="00510796" w:rsidP="009236E3">
      <w:pPr>
        <w:spacing w:after="0" w:line="240" w:lineRule="auto"/>
        <w:jc w:val="both"/>
        <w:rPr>
          <w:rFonts w:ascii="Times New Roman" w:hAnsi="Times New Roman"/>
          <w:bCs/>
          <w:color w:val="000000" w:themeColor="text1"/>
          <w:sz w:val="16"/>
          <w:szCs w:val="16"/>
        </w:rPr>
      </w:pPr>
      <w:r w:rsidRPr="00A259BD">
        <w:rPr>
          <w:rFonts w:ascii="Times New Roman" w:hAnsi="Times New Roman"/>
          <w:bCs/>
          <w:color w:val="000000" w:themeColor="text1"/>
          <w:sz w:val="16"/>
          <w:szCs w:val="16"/>
        </w:rPr>
        <w:t>7 июня</w:t>
      </w:r>
      <w:r w:rsidRPr="00A259BD">
        <w:rPr>
          <w:rFonts w:ascii="Times New Roman" w:hAnsi="Times New Roman"/>
          <w:color w:val="000000" w:themeColor="text1"/>
          <w:sz w:val="16"/>
          <w:szCs w:val="16"/>
        </w:rPr>
        <w:t xml:space="preserve"> в 1929 году в соответствии с </w:t>
      </w:r>
      <w:proofErr w:type="spellStart"/>
      <w:r w:rsidRPr="00A259BD">
        <w:rPr>
          <w:rFonts w:ascii="Times New Roman" w:hAnsi="Times New Roman"/>
          <w:color w:val="000000" w:themeColor="text1"/>
          <w:sz w:val="16"/>
          <w:szCs w:val="16"/>
        </w:rPr>
        <w:t>Латеранскими</w:t>
      </w:r>
      <w:proofErr w:type="spellEnd"/>
      <w:r w:rsidRPr="00A259BD">
        <w:rPr>
          <w:rFonts w:ascii="Times New Roman" w:hAnsi="Times New Roman"/>
          <w:color w:val="000000" w:themeColor="text1"/>
          <w:sz w:val="16"/>
          <w:szCs w:val="16"/>
        </w:rPr>
        <w:t xml:space="preserve"> соглашениями образуется государство Ватикан. Ватикан - государство-город, раскинувшееся на холме Монте-</w:t>
      </w:r>
      <w:proofErr w:type="spellStart"/>
      <w:r w:rsidRPr="00A259BD">
        <w:rPr>
          <w:rFonts w:ascii="Times New Roman" w:hAnsi="Times New Roman"/>
          <w:color w:val="000000" w:themeColor="text1"/>
          <w:sz w:val="16"/>
          <w:szCs w:val="16"/>
        </w:rPr>
        <w:t>Ватикано</w:t>
      </w:r>
      <w:proofErr w:type="spellEnd"/>
      <w:r w:rsidRPr="00A259BD">
        <w:rPr>
          <w:rFonts w:ascii="Times New Roman" w:hAnsi="Times New Roman"/>
          <w:color w:val="000000" w:themeColor="text1"/>
          <w:sz w:val="16"/>
          <w:szCs w:val="16"/>
        </w:rPr>
        <w:t xml:space="preserve"> в западной части Рима, резиденция главы католической церкви Папы Римского, международный центр римско-католической церкви. Ватикан был образован как самостоятельное государство в 1929 году в соответствии с </w:t>
      </w:r>
      <w:proofErr w:type="spellStart"/>
      <w:r w:rsidRPr="00A259BD">
        <w:rPr>
          <w:rFonts w:ascii="Times New Roman" w:hAnsi="Times New Roman"/>
          <w:color w:val="000000" w:themeColor="text1"/>
          <w:sz w:val="16"/>
          <w:szCs w:val="16"/>
        </w:rPr>
        <w:t>Латеранскими</w:t>
      </w:r>
      <w:proofErr w:type="spellEnd"/>
      <w:r w:rsidRPr="00A259BD">
        <w:rPr>
          <w:rFonts w:ascii="Times New Roman" w:hAnsi="Times New Roman"/>
          <w:color w:val="000000" w:themeColor="text1"/>
          <w:sz w:val="16"/>
          <w:szCs w:val="16"/>
        </w:rPr>
        <w:t xml:space="preserve"> соглашениями между итальянским правительством и папским престолом. Ватикан - абсолютная теократическая монархия, глава которой Папа Римский избирается тайным голосованием пожизненно коллегией кардиналов, назначаемых, в свою очередь пожизненно, Папой. Избрание Папы проводится собранием коллегии кардиналов моложе 80 лет - конклавом из числа кардиналов - тайным голосованием. Для избрания необходимо получить не менее двух третей голосов. Конституцию заменяют Конституционные акты государства-города Ватикана от 7 июня 1929 года и «Апостольская конституция» от 15 августа 1967 года, содержащая реформу папской курии, которая вступила в силу 1 марта 1968 года. Высшими консультативными органами являются Вселенский собор римско-католической церкви, Коллегия кардиналов и Епископский синод. Административное управление осуществляет Римская курия, состоящая из девяти конгрегаций (духовных ведомств), трех трибуналов, папских комиссий и иных ведомств. Армия Ватикана - корпус швейцарских гвардейцев.</w:t>
      </w:r>
    </w:p>
    <w:p w14:paraId="033A643F" w14:textId="77777777" w:rsidR="00510796" w:rsidRPr="00A259BD" w:rsidRDefault="0051079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После военной реформы папы Павла VI в 1970 году гвардия осталась единственным в Ватикане вооруженным подразделением, которое сохранило военные функции. Сегодня гвардия Ватикана - самая маленькая армия в мире (117 гвардейцев). Все они являются действующими офицерами швейцарской армии. Гвардейцы стоят на посту у ворот Ватикана в старинных костюмах, созданных по эскизам Микеланджело в XVI веке. Вооружены средневековыми алебардами и шпагами, а также пистолетами. Ватикан представляет собой грандиозный архитектурный комплекс, средоточие храмов, дворцов и крепостных сооружений, окруженных садами. Торжественным входом в Ватикан служит обрамленная колоннадами площадь Святого Петра. Колоннады ведут к собору Святого Петра - крупнейшему католическому храму мира. За собором располагается обширный дворцовый ансамбль XV-XVI веков: капелла Николая V, вилла Борджиа, Сикстинская капелла (с фресками Микеланджело и Боттичелли), Лоджии и </w:t>
      </w:r>
      <w:proofErr w:type="spellStart"/>
      <w:r w:rsidRPr="00A259BD">
        <w:rPr>
          <w:rFonts w:ascii="Times New Roman" w:hAnsi="Times New Roman"/>
          <w:color w:val="000000" w:themeColor="text1"/>
          <w:sz w:val="16"/>
          <w:szCs w:val="16"/>
        </w:rPr>
        <w:t>Станцы</w:t>
      </w:r>
      <w:proofErr w:type="spellEnd"/>
      <w:r w:rsidRPr="00A259BD">
        <w:rPr>
          <w:rFonts w:ascii="Times New Roman" w:hAnsi="Times New Roman"/>
          <w:color w:val="000000" w:themeColor="text1"/>
          <w:sz w:val="16"/>
          <w:szCs w:val="16"/>
        </w:rPr>
        <w:t>, расписанные Рафаэлем и его учениками, величественные дворы Бельведера и Сан-</w:t>
      </w:r>
      <w:proofErr w:type="spellStart"/>
      <w:r w:rsidRPr="00A259BD">
        <w:rPr>
          <w:rFonts w:ascii="Times New Roman" w:hAnsi="Times New Roman"/>
          <w:color w:val="000000" w:themeColor="text1"/>
          <w:sz w:val="16"/>
          <w:szCs w:val="16"/>
        </w:rPr>
        <w:t>Дамаццо</w:t>
      </w:r>
      <w:proofErr w:type="spellEnd"/>
      <w:r w:rsidRPr="00A259BD">
        <w:rPr>
          <w:rFonts w:ascii="Times New Roman" w:hAnsi="Times New Roman"/>
          <w:color w:val="000000" w:themeColor="text1"/>
          <w:sz w:val="16"/>
          <w:szCs w:val="16"/>
        </w:rPr>
        <w:t>. Во дворцах Ватикана находятся всемирно известные музеи античной скульптуры, а в садах - казино Пия V и здание Ватиканской пинакотеки, где собраны произведения итальянской живописи XIV-XVII веков (14915).</w:t>
      </w:r>
    </w:p>
    <w:p w14:paraId="72248493" w14:textId="77777777" w:rsidR="00510796" w:rsidRPr="00A259BD" w:rsidRDefault="00510796" w:rsidP="009236E3">
      <w:pPr>
        <w:spacing w:after="0" w:line="240" w:lineRule="auto"/>
        <w:jc w:val="both"/>
        <w:rPr>
          <w:rFonts w:ascii="Times New Roman" w:hAnsi="Times New Roman"/>
          <w:color w:val="000000" w:themeColor="text1"/>
          <w:sz w:val="16"/>
          <w:szCs w:val="16"/>
        </w:rPr>
      </w:pPr>
    </w:p>
    <w:p w14:paraId="7DFEE460" w14:textId="77777777" w:rsidR="00510796" w:rsidRPr="00A259BD" w:rsidRDefault="00510796"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7 июня</w:t>
      </w:r>
      <w:r w:rsidRPr="00A259BD">
        <w:rPr>
          <w:rFonts w:ascii="Times New Roman" w:hAnsi="Times New Roman"/>
          <w:color w:val="000000" w:themeColor="text1"/>
          <w:sz w:val="16"/>
          <w:szCs w:val="16"/>
        </w:rPr>
        <w:t xml:space="preserve"> в 1929 году комитет Янга по германским репарациям рекомендует осуществлять выплаты ежегодно до 1998 одному из международных банков, рассматривая как обеспечение германские железные дороги (14915).</w:t>
      </w:r>
    </w:p>
    <w:p w14:paraId="368C3A13" w14:textId="77777777" w:rsidR="00510796" w:rsidRPr="00A259BD" w:rsidRDefault="00510796" w:rsidP="009236E3">
      <w:pPr>
        <w:spacing w:after="0" w:line="240" w:lineRule="auto"/>
        <w:jc w:val="both"/>
        <w:rPr>
          <w:rFonts w:ascii="Times New Roman" w:hAnsi="Times New Roman"/>
          <w:color w:val="000000" w:themeColor="text1"/>
          <w:sz w:val="16"/>
          <w:szCs w:val="16"/>
        </w:rPr>
      </w:pPr>
    </w:p>
    <w:p w14:paraId="3C9CC6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июня 1929 международная конференция экспертов в Париже одобрила план Янга - международное соглашение о порядке взимания репарационных платежей с Германии (3186) - до 1988 (3907,156).</w:t>
      </w:r>
    </w:p>
    <w:p w14:paraId="6584FB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A0E0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июня 1929 в соответствии с </w:t>
      </w:r>
      <w:proofErr w:type="spellStart"/>
      <w:r w:rsidRPr="00A259BD">
        <w:rPr>
          <w:rFonts w:ascii="Times New Roman" w:hAnsi="Times New Roman"/>
          <w:color w:val="000000" w:themeColor="text1"/>
          <w:sz w:val="16"/>
          <w:szCs w:val="16"/>
        </w:rPr>
        <w:t>Латеранскими</w:t>
      </w:r>
      <w:proofErr w:type="spellEnd"/>
      <w:r w:rsidRPr="00A259BD">
        <w:rPr>
          <w:rFonts w:ascii="Times New Roman" w:hAnsi="Times New Roman"/>
          <w:color w:val="000000" w:themeColor="text1"/>
          <w:sz w:val="16"/>
          <w:szCs w:val="16"/>
        </w:rPr>
        <w:t xml:space="preserve"> соглашениями было образовано государство Ватикан (3263,305).</w:t>
      </w:r>
    </w:p>
    <w:p w14:paraId="6BE448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FD0EE2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D4CF25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FA83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июня 1929 в Одессу прибыла итальянская эскадрилья из 35 самолетов Савойя-55 в рамках кругового перелета Таранто-Афины-Константинополь-Варна-Одесса во главе с г </w:t>
      </w:r>
      <w:proofErr w:type="spellStart"/>
      <w:r w:rsidRPr="00A259BD">
        <w:rPr>
          <w:rFonts w:ascii="Times New Roman" w:hAnsi="Times New Roman"/>
          <w:color w:val="000000" w:themeColor="text1"/>
          <w:sz w:val="16"/>
          <w:szCs w:val="16"/>
        </w:rPr>
        <w:t>И.Бальбо</w:t>
      </w:r>
      <w:proofErr w:type="spellEnd"/>
      <w:r w:rsidRPr="00A259BD">
        <w:rPr>
          <w:rFonts w:ascii="Times New Roman" w:hAnsi="Times New Roman"/>
          <w:color w:val="000000" w:themeColor="text1"/>
          <w:sz w:val="16"/>
          <w:szCs w:val="16"/>
        </w:rPr>
        <w:t xml:space="preserve">. Садились в </w:t>
      </w:r>
      <w:proofErr w:type="spellStart"/>
      <w:r w:rsidRPr="00A259BD">
        <w:rPr>
          <w:rFonts w:ascii="Times New Roman" w:hAnsi="Times New Roman"/>
          <w:color w:val="000000" w:themeColor="text1"/>
          <w:sz w:val="16"/>
          <w:szCs w:val="16"/>
        </w:rPr>
        <w:t>Хаджибеевском</w:t>
      </w:r>
      <w:proofErr w:type="spellEnd"/>
      <w:r w:rsidRPr="00A259BD">
        <w:rPr>
          <w:rFonts w:ascii="Times New Roman" w:hAnsi="Times New Roman"/>
          <w:color w:val="000000" w:themeColor="text1"/>
          <w:sz w:val="16"/>
          <w:szCs w:val="16"/>
        </w:rPr>
        <w:t xml:space="preserve"> лимане. Встречал П.И.Б. (438,596).</w:t>
      </w:r>
    </w:p>
    <w:p w14:paraId="248046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2C0233" w14:textId="77777777" w:rsidR="00E118F4"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7B5D3DE8" w14:textId="77777777" w:rsidR="00E118F4" w:rsidRPr="00A259BD" w:rsidRDefault="00E118F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1CF640" w14:textId="77777777" w:rsidR="00E118F4" w:rsidRPr="00A259BD" w:rsidRDefault="00E118F4" w:rsidP="009236E3">
      <w:pPr>
        <w:spacing w:after="0" w:line="240" w:lineRule="auto"/>
        <w:jc w:val="both"/>
        <w:rPr>
          <w:rStyle w:val="75pt"/>
          <w:rFonts w:ascii="Times New Roman" w:hAnsi="Times New Roman" w:cs="Times New Roman"/>
          <w:color w:val="000000" w:themeColor="text1"/>
          <w:sz w:val="16"/>
          <w:szCs w:val="16"/>
        </w:rPr>
      </w:pPr>
      <w:r w:rsidRPr="00A259BD">
        <w:rPr>
          <w:rFonts w:ascii="Times New Roman" w:hAnsi="Times New Roman"/>
          <w:color w:val="000000" w:themeColor="text1"/>
          <w:sz w:val="16"/>
          <w:szCs w:val="16"/>
        </w:rPr>
        <w:t xml:space="preserve">8 июня 1929 г. в «Известиях», № 130 сообщалось: «Сегодня утром в Одессу прилетела итальянская воздушная эскадрилья, в состав которой входят 30 бомбовозов типа "Савойя 55", а также три военных и два гражданских гидроплана. Посадка была совершена на </w:t>
      </w:r>
      <w:proofErr w:type="spellStart"/>
      <w:r w:rsidRPr="00A259BD">
        <w:rPr>
          <w:rFonts w:ascii="Times New Roman" w:hAnsi="Times New Roman"/>
          <w:color w:val="000000" w:themeColor="text1"/>
          <w:sz w:val="16"/>
          <w:szCs w:val="16"/>
        </w:rPr>
        <w:t>Хаджибеевском</w:t>
      </w:r>
      <w:proofErr w:type="spellEnd"/>
      <w:r w:rsidRPr="00A259BD">
        <w:rPr>
          <w:rFonts w:ascii="Times New Roman" w:hAnsi="Times New Roman"/>
          <w:color w:val="000000" w:themeColor="text1"/>
          <w:sz w:val="16"/>
          <w:szCs w:val="16"/>
        </w:rPr>
        <w:t xml:space="preserve"> лимане. Эскадрилью встречали нач. воздушных сил РККА Баранов, зам. нач. воздушных сил РККА тов. Алкснис, агент НКИД тов. </w:t>
      </w:r>
      <w:proofErr w:type="spellStart"/>
      <w:r w:rsidRPr="00A259BD">
        <w:rPr>
          <w:rFonts w:ascii="Times New Roman" w:hAnsi="Times New Roman"/>
          <w:color w:val="000000" w:themeColor="text1"/>
          <w:sz w:val="16"/>
          <w:szCs w:val="16"/>
        </w:rPr>
        <w:t>Добродицкий</w:t>
      </w:r>
      <w:proofErr w:type="spellEnd"/>
      <w:r w:rsidRPr="00A259BD">
        <w:rPr>
          <w:rFonts w:ascii="Times New Roman" w:hAnsi="Times New Roman"/>
          <w:color w:val="000000" w:themeColor="text1"/>
          <w:sz w:val="16"/>
          <w:szCs w:val="16"/>
        </w:rPr>
        <w:t xml:space="preserve">, пред. окрисполкома тов. </w:t>
      </w:r>
      <w:proofErr w:type="spellStart"/>
      <w:r w:rsidRPr="00A259BD">
        <w:rPr>
          <w:rFonts w:ascii="Times New Roman" w:hAnsi="Times New Roman"/>
          <w:color w:val="000000" w:themeColor="text1"/>
          <w:sz w:val="16"/>
          <w:szCs w:val="16"/>
        </w:rPr>
        <w:t>Трилисский</w:t>
      </w:r>
      <w:proofErr w:type="spellEnd"/>
      <w:r w:rsidRPr="00A259BD">
        <w:rPr>
          <w:rFonts w:ascii="Times New Roman" w:hAnsi="Times New Roman"/>
          <w:color w:val="000000" w:themeColor="text1"/>
          <w:sz w:val="16"/>
          <w:szCs w:val="16"/>
        </w:rPr>
        <w:t xml:space="preserve">, председатели городских организаций, нач. воздушных сил Чёрного моря тов. Лавров, а также итальянский посол г. Черутти, итальянский ген. консул г. </w:t>
      </w:r>
      <w:proofErr w:type="spellStart"/>
      <w:r w:rsidRPr="00A259BD">
        <w:rPr>
          <w:rFonts w:ascii="Times New Roman" w:hAnsi="Times New Roman"/>
          <w:color w:val="000000" w:themeColor="text1"/>
          <w:sz w:val="16"/>
          <w:szCs w:val="16"/>
        </w:rPr>
        <w:t>Мериано</w:t>
      </w:r>
      <w:proofErr w:type="spellEnd"/>
      <w:r w:rsidRPr="00A259BD">
        <w:rPr>
          <w:rFonts w:ascii="Times New Roman" w:hAnsi="Times New Roman"/>
          <w:color w:val="000000" w:themeColor="text1"/>
          <w:sz w:val="16"/>
          <w:szCs w:val="16"/>
        </w:rPr>
        <w:t xml:space="preserve"> и др. Среди прибывших на самолётах - итальянский вице-министр авиации ген. </w:t>
      </w: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зам. начштаба воздушного флота ген. Де-</w:t>
      </w:r>
      <w:proofErr w:type="spellStart"/>
      <w:r w:rsidRPr="00A259BD">
        <w:rPr>
          <w:rFonts w:ascii="Times New Roman" w:hAnsi="Times New Roman"/>
          <w:color w:val="000000" w:themeColor="text1"/>
          <w:sz w:val="16"/>
          <w:szCs w:val="16"/>
        </w:rPr>
        <w:t>Пинедо</w:t>
      </w:r>
      <w:proofErr w:type="spellEnd"/>
      <w:r w:rsidRPr="00A259BD">
        <w:rPr>
          <w:rFonts w:ascii="Times New Roman" w:hAnsi="Times New Roman"/>
          <w:color w:val="000000" w:themeColor="text1"/>
          <w:sz w:val="16"/>
          <w:szCs w:val="16"/>
        </w:rPr>
        <w:t xml:space="preserve">, зам. нач. главного морского штаба адмирал </w:t>
      </w:r>
      <w:proofErr w:type="spellStart"/>
      <w:r w:rsidRPr="00A259BD">
        <w:rPr>
          <w:rFonts w:ascii="Times New Roman" w:hAnsi="Times New Roman"/>
          <w:color w:val="000000" w:themeColor="text1"/>
          <w:sz w:val="16"/>
          <w:szCs w:val="16"/>
        </w:rPr>
        <w:t>Бернотти</w:t>
      </w:r>
      <w:proofErr w:type="spellEnd"/>
      <w:r w:rsidRPr="00A259BD">
        <w:rPr>
          <w:rFonts w:ascii="Times New Roman" w:hAnsi="Times New Roman"/>
          <w:color w:val="000000" w:themeColor="text1"/>
          <w:sz w:val="16"/>
          <w:szCs w:val="16"/>
        </w:rPr>
        <w:t>, нач. метеорологи</w:t>
      </w:r>
      <w:r w:rsidRPr="00A259BD">
        <w:rPr>
          <w:rFonts w:ascii="Times New Roman" w:hAnsi="Times New Roman"/>
          <w:color w:val="000000" w:themeColor="text1"/>
          <w:sz w:val="16"/>
          <w:szCs w:val="16"/>
        </w:rPr>
        <w:softHyphen/>
        <w:t xml:space="preserve">ческого отдела министерства авиации проф. </w:t>
      </w:r>
      <w:proofErr w:type="spellStart"/>
      <w:r w:rsidRPr="00A259BD">
        <w:rPr>
          <w:rFonts w:ascii="Times New Roman" w:hAnsi="Times New Roman"/>
          <w:color w:val="000000" w:themeColor="text1"/>
          <w:sz w:val="16"/>
          <w:szCs w:val="16"/>
        </w:rPr>
        <w:t>Эредия</w:t>
      </w:r>
      <w:proofErr w:type="spellEnd"/>
      <w:r w:rsidRPr="00A259BD">
        <w:rPr>
          <w:rFonts w:ascii="Times New Roman" w:hAnsi="Times New Roman"/>
          <w:color w:val="000000" w:themeColor="text1"/>
          <w:sz w:val="16"/>
          <w:szCs w:val="16"/>
        </w:rPr>
        <w:t xml:space="preserve">, депутат </w:t>
      </w:r>
      <w:proofErr w:type="spellStart"/>
      <w:r w:rsidRPr="00A259BD">
        <w:rPr>
          <w:rFonts w:ascii="Times New Roman" w:hAnsi="Times New Roman"/>
          <w:color w:val="000000" w:themeColor="text1"/>
          <w:sz w:val="16"/>
          <w:szCs w:val="16"/>
        </w:rPr>
        <w:t>Полдерелли</w:t>
      </w:r>
      <w:proofErr w:type="spellEnd"/>
      <w:r w:rsidRPr="00A259BD">
        <w:rPr>
          <w:rFonts w:ascii="Times New Roman" w:hAnsi="Times New Roman"/>
          <w:color w:val="000000" w:themeColor="text1"/>
          <w:sz w:val="16"/>
          <w:szCs w:val="16"/>
        </w:rPr>
        <w:t xml:space="preserve"> и др. На самолётах прибыли 11 ита</w:t>
      </w:r>
      <w:r w:rsidRPr="00A259BD">
        <w:rPr>
          <w:rFonts w:ascii="Times New Roman" w:hAnsi="Times New Roman"/>
          <w:color w:val="000000" w:themeColor="text1"/>
          <w:sz w:val="16"/>
          <w:szCs w:val="16"/>
        </w:rPr>
        <w:softHyphen/>
        <w:t>льянских журналистов и кинооперато</w:t>
      </w:r>
      <w:r w:rsidRPr="00A259BD">
        <w:rPr>
          <w:rFonts w:ascii="Times New Roman" w:hAnsi="Times New Roman"/>
          <w:color w:val="000000" w:themeColor="text1"/>
          <w:sz w:val="16"/>
          <w:szCs w:val="16"/>
        </w:rPr>
        <w:softHyphen/>
        <w:t>ры. Эскадрилья совершает круговой перелёт на 5.000 километров. Ею уже покрыт четырьмя этапами мар</w:t>
      </w:r>
      <w:r w:rsidRPr="00A259BD">
        <w:rPr>
          <w:rFonts w:ascii="Times New Roman" w:hAnsi="Times New Roman"/>
          <w:color w:val="000000" w:themeColor="text1"/>
          <w:sz w:val="16"/>
          <w:szCs w:val="16"/>
        </w:rPr>
        <w:softHyphen/>
        <w:t>шрут Таранто - Афины - Констан</w:t>
      </w:r>
      <w:r w:rsidRPr="00A259BD">
        <w:rPr>
          <w:rFonts w:ascii="Times New Roman" w:hAnsi="Times New Roman"/>
          <w:color w:val="000000" w:themeColor="text1"/>
          <w:sz w:val="16"/>
          <w:szCs w:val="16"/>
        </w:rPr>
        <w:softHyphen/>
        <w:t xml:space="preserve">тинополь - Варна - Одесса. После двухдневного пребывания в Одессе эскадрилья вылетает в понедельник, в 6 час. утра, в Констанцу, а затем на Константинополь - Афины - Таранто - </w:t>
      </w:r>
      <w:proofErr w:type="spellStart"/>
      <w:r w:rsidRPr="00A259BD">
        <w:rPr>
          <w:rFonts w:ascii="Times New Roman" w:hAnsi="Times New Roman"/>
          <w:color w:val="000000" w:themeColor="text1"/>
          <w:sz w:val="16"/>
          <w:szCs w:val="16"/>
        </w:rPr>
        <w:t>Орбетелло</w:t>
      </w:r>
      <w:proofErr w:type="spellEnd"/>
      <w:r w:rsidRPr="00A259BD">
        <w:rPr>
          <w:rFonts w:ascii="Times New Roman" w:hAnsi="Times New Roman"/>
          <w:color w:val="000000" w:themeColor="text1"/>
          <w:sz w:val="16"/>
          <w:szCs w:val="16"/>
        </w:rPr>
        <w:t>. Почти одновременно с эскадрильей в одесский порт прибыли совершающие параллельный морской переход два итальянских истребителя "</w:t>
      </w:r>
      <w:proofErr w:type="spellStart"/>
      <w:r w:rsidRPr="00A259BD">
        <w:rPr>
          <w:rFonts w:ascii="Times New Roman" w:hAnsi="Times New Roman"/>
          <w:color w:val="000000" w:themeColor="text1"/>
          <w:sz w:val="16"/>
          <w:szCs w:val="16"/>
        </w:rPr>
        <w:t>Монзанбано</w:t>
      </w:r>
      <w:proofErr w:type="spellEnd"/>
      <w:r w:rsidRPr="00A259BD">
        <w:rPr>
          <w:rFonts w:ascii="Times New Roman" w:hAnsi="Times New Roman"/>
          <w:color w:val="000000" w:themeColor="text1"/>
          <w:sz w:val="16"/>
          <w:szCs w:val="16"/>
        </w:rPr>
        <w:t>" и "</w:t>
      </w:r>
      <w:proofErr w:type="spellStart"/>
      <w:r w:rsidRPr="00A259BD">
        <w:rPr>
          <w:rFonts w:ascii="Times New Roman" w:hAnsi="Times New Roman"/>
          <w:color w:val="000000" w:themeColor="text1"/>
          <w:sz w:val="16"/>
          <w:szCs w:val="16"/>
        </w:rPr>
        <w:t>Палестро</w:t>
      </w:r>
      <w:proofErr w:type="spellEnd"/>
      <w:r w:rsidRPr="00A259BD">
        <w:rPr>
          <w:rFonts w:ascii="Times New Roman" w:hAnsi="Times New Roman"/>
          <w:color w:val="000000" w:themeColor="text1"/>
          <w:sz w:val="16"/>
          <w:szCs w:val="16"/>
        </w:rPr>
        <w:t xml:space="preserve">". Участники перелёта ознакомятся с достопримечательностями </w:t>
      </w:r>
      <w:r w:rsidRPr="00A259BD">
        <w:rPr>
          <w:rStyle w:val="75pt"/>
          <w:rFonts w:ascii="Times New Roman" w:hAnsi="Times New Roman" w:cs="Times New Roman"/>
          <w:color w:val="000000" w:themeColor="text1"/>
          <w:sz w:val="16"/>
          <w:szCs w:val="16"/>
        </w:rPr>
        <w:t>города, осмотрят музеи» (15843).</w:t>
      </w:r>
    </w:p>
    <w:p w14:paraId="491FD096" w14:textId="77777777" w:rsidR="00E118F4" w:rsidRPr="00A259BD" w:rsidRDefault="00E118F4" w:rsidP="009236E3">
      <w:pPr>
        <w:spacing w:after="0" w:line="240" w:lineRule="auto"/>
        <w:jc w:val="both"/>
        <w:rPr>
          <w:rStyle w:val="75pt"/>
          <w:rFonts w:ascii="Times New Roman" w:hAnsi="Times New Roman" w:cs="Times New Roman"/>
          <w:color w:val="000000" w:themeColor="text1"/>
          <w:sz w:val="16"/>
          <w:szCs w:val="16"/>
        </w:rPr>
      </w:pPr>
    </w:p>
    <w:p w14:paraId="4C55D027" w14:textId="77777777" w:rsidR="0075498C" w:rsidRPr="006B74EB" w:rsidRDefault="0075498C" w:rsidP="0075498C">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 xml:space="preserve">8 </w:t>
      </w:r>
      <w:r>
        <w:rPr>
          <w:rFonts w:ascii="Times New Roman" w:hAnsi="Times New Roman"/>
          <w:color w:val="0070C0"/>
          <w:sz w:val="16"/>
          <w:szCs w:val="16"/>
        </w:rPr>
        <w:t>и</w:t>
      </w:r>
      <w:r w:rsidRPr="006B74EB">
        <w:rPr>
          <w:rFonts w:ascii="Times New Roman" w:hAnsi="Times New Roman"/>
          <w:color w:val="0070C0"/>
          <w:sz w:val="16"/>
          <w:szCs w:val="16"/>
        </w:rPr>
        <w:t>ю</w:t>
      </w:r>
      <w:r>
        <w:rPr>
          <w:rFonts w:ascii="Times New Roman" w:hAnsi="Times New Roman"/>
          <w:color w:val="0070C0"/>
          <w:sz w:val="16"/>
          <w:szCs w:val="16"/>
        </w:rPr>
        <w:t>н</w:t>
      </w:r>
      <w:r w:rsidRPr="006B74EB">
        <w:rPr>
          <w:rFonts w:ascii="Times New Roman" w:hAnsi="Times New Roman"/>
          <w:color w:val="0070C0"/>
          <w:sz w:val="16"/>
          <w:szCs w:val="16"/>
        </w:rPr>
        <w:t>я</w:t>
      </w:r>
      <w:r>
        <w:rPr>
          <w:rFonts w:ascii="Times New Roman" w:hAnsi="Times New Roman"/>
          <w:color w:val="0070C0"/>
          <w:sz w:val="16"/>
          <w:szCs w:val="16"/>
        </w:rPr>
        <w:t xml:space="preserve"> 1929 г</w:t>
      </w:r>
      <w:r w:rsidRPr="006B74EB">
        <w:rPr>
          <w:rFonts w:ascii="Times New Roman" w:hAnsi="Times New Roman"/>
          <w:color w:val="0070C0"/>
          <w:sz w:val="16"/>
          <w:szCs w:val="16"/>
        </w:rPr>
        <w:t>.</w:t>
      </w:r>
      <w:r>
        <w:rPr>
          <w:rFonts w:ascii="Times New Roman" w:hAnsi="Times New Roman"/>
          <w:color w:val="0070C0"/>
          <w:sz w:val="16"/>
          <w:szCs w:val="16"/>
        </w:rPr>
        <w:t xml:space="preserve"> в</w:t>
      </w:r>
      <w:r w:rsidRPr="006B74EB">
        <w:rPr>
          <w:rFonts w:ascii="Times New Roman" w:hAnsi="Times New Roman"/>
          <w:color w:val="0070C0"/>
          <w:sz w:val="16"/>
          <w:szCs w:val="16"/>
        </w:rPr>
        <w:t xml:space="preserve"> Одессу прибыла итальянская </w:t>
      </w:r>
      <w:proofErr w:type="spellStart"/>
      <w:r w:rsidRPr="006B74EB">
        <w:rPr>
          <w:rFonts w:ascii="Times New Roman" w:hAnsi="Times New Roman"/>
          <w:color w:val="0070C0"/>
          <w:sz w:val="16"/>
          <w:szCs w:val="16"/>
        </w:rPr>
        <w:t>эскадрилия</w:t>
      </w:r>
      <w:proofErr w:type="spellEnd"/>
      <w:r w:rsidRPr="006B74EB">
        <w:rPr>
          <w:rFonts w:ascii="Times New Roman" w:hAnsi="Times New Roman"/>
          <w:color w:val="0070C0"/>
          <w:sz w:val="16"/>
          <w:szCs w:val="16"/>
        </w:rPr>
        <w:t xml:space="preserve"> в составе 35</w:t>
      </w:r>
      <w:r>
        <w:rPr>
          <w:rFonts w:ascii="Times New Roman" w:hAnsi="Times New Roman"/>
          <w:color w:val="0070C0"/>
          <w:sz w:val="16"/>
          <w:szCs w:val="16"/>
        </w:rPr>
        <w:t xml:space="preserve"> само</w:t>
      </w:r>
      <w:r w:rsidRPr="006B74EB">
        <w:rPr>
          <w:rFonts w:ascii="Times New Roman" w:hAnsi="Times New Roman"/>
          <w:color w:val="0070C0"/>
          <w:sz w:val="16"/>
          <w:szCs w:val="16"/>
        </w:rPr>
        <w:t>летов Савойя-55 во главе с вице-министром авиации гене</w:t>
      </w:r>
      <w:r>
        <w:rPr>
          <w:rFonts w:ascii="Times New Roman" w:hAnsi="Times New Roman"/>
          <w:color w:val="0070C0"/>
          <w:sz w:val="16"/>
          <w:szCs w:val="16"/>
        </w:rPr>
        <w:t xml:space="preserve">ралом </w:t>
      </w:r>
      <w:r w:rsidRPr="006B74EB">
        <w:rPr>
          <w:rFonts w:ascii="Times New Roman" w:hAnsi="Times New Roman"/>
          <w:color w:val="0070C0"/>
          <w:sz w:val="16"/>
          <w:szCs w:val="16"/>
        </w:rPr>
        <w:t xml:space="preserve">И. </w:t>
      </w:r>
      <w:proofErr w:type="spellStart"/>
      <w:r w:rsidRPr="006B74EB">
        <w:rPr>
          <w:rFonts w:ascii="Times New Roman" w:hAnsi="Times New Roman"/>
          <w:color w:val="0070C0"/>
          <w:sz w:val="16"/>
          <w:szCs w:val="16"/>
        </w:rPr>
        <w:t>Бадьбо</w:t>
      </w:r>
      <w:proofErr w:type="spellEnd"/>
      <w:r w:rsidRPr="006B74EB">
        <w:rPr>
          <w:rFonts w:ascii="Times New Roman" w:hAnsi="Times New Roman"/>
          <w:color w:val="0070C0"/>
          <w:sz w:val="16"/>
          <w:szCs w:val="16"/>
        </w:rPr>
        <w:t xml:space="preserve">, совершавшая круговой перелет по </w:t>
      </w:r>
      <w:proofErr w:type="spellStart"/>
      <w:r w:rsidRPr="006B74EB">
        <w:rPr>
          <w:rFonts w:ascii="Times New Roman" w:hAnsi="Times New Roman"/>
          <w:color w:val="0070C0"/>
          <w:sz w:val="16"/>
          <w:szCs w:val="16"/>
        </w:rPr>
        <w:t>марзруту</w:t>
      </w:r>
      <w:proofErr w:type="spellEnd"/>
      <w:r w:rsidRPr="006B74EB">
        <w:rPr>
          <w:rFonts w:ascii="Times New Roman" w:hAnsi="Times New Roman"/>
          <w:color w:val="0070C0"/>
          <w:sz w:val="16"/>
          <w:szCs w:val="16"/>
        </w:rPr>
        <w:t xml:space="preserve"> </w:t>
      </w:r>
      <w:proofErr w:type="spellStart"/>
      <w:r w:rsidRPr="006B74EB">
        <w:rPr>
          <w:rFonts w:ascii="Times New Roman" w:hAnsi="Times New Roman"/>
          <w:color w:val="0070C0"/>
          <w:sz w:val="16"/>
          <w:szCs w:val="16"/>
        </w:rPr>
        <w:t>Торе</w:t>
      </w:r>
      <w:r>
        <w:rPr>
          <w:rFonts w:ascii="Times New Roman" w:hAnsi="Times New Roman"/>
          <w:color w:val="0070C0"/>
          <w:sz w:val="16"/>
          <w:szCs w:val="16"/>
        </w:rPr>
        <w:t>н</w:t>
      </w:r>
      <w:r w:rsidRPr="006B74EB">
        <w:rPr>
          <w:rFonts w:ascii="Times New Roman" w:hAnsi="Times New Roman"/>
          <w:color w:val="0070C0"/>
          <w:sz w:val="16"/>
          <w:szCs w:val="16"/>
        </w:rPr>
        <w:t>то</w:t>
      </w:r>
      <w:proofErr w:type="spellEnd"/>
      <w:r>
        <w:rPr>
          <w:rFonts w:ascii="Times New Roman" w:hAnsi="Times New Roman"/>
          <w:color w:val="0070C0"/>
          <w:sz w:val="16"/>
          <w:szCs w:val="16"/>
        </w:rPr>
        <w:t>-Афины-</w:t>
      </w:r>
      <w:proofErr w:type="spellStart"/>
      <w:r w:rsidRPr="006B74EB">
        <w:rPr>
          <w:rFonts w:ascii="Times New Roman" w:hAnsi="Times New Roman"/>
          <w:color w:val="0070C0"/>
          <w:sz w:val="16"/>
          <w:szCs w:val="16"/>
        </w:rPr>
        <w:t>Констаитжнополь</w:t>
      </w:r>
      <w:proofErr w:type="spellEnd"/>
      <w:r w:rsidRPr="006B74EB">
        <w:rPr>
          <w:rFonts w:ascii="Times New Roman" w:hAnsi="Times New Roman"/>
          <w:color w:val="0070C0"/>
          <w:sz w:val="16"/>
          <w:szCs w:val="16"/>
        </w:rPr>
        <w:t>-Варна-Одесса и обратно.</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Посадка была </w:t>
      </w:r>
      <w:proofErr w:type="spellStart"/>
      <w:r w:rsidRPr="006B74EB">
        <w:rPr>
          <w:rFonts w:ascii="Times New Roman" w:hAnsi="Times New Roman"/>
          <w:color w:val="0070C0"/>
          <w:sz w:val="16"/>
          <w:szCs w:val="16"/>
        </w:rPr>
        <w:t>орган</w:t>
      </w:r>
      <w:r>
        <w:rPr>
          <w:rFonts w:ascii="Times New Roman" w:hAnsi="Times New Roman"/>
          <w:color w:val="0070C0"/>
          <w:sz w:val="16"/>
          <w:szCs w:val="16"/>
        </w:rPr>
        <w:t>низована</w:t>
      </w:r>
      <w:proofErr w:type="spellEnd"/>
      <w:r>
        <w:rPr>
          <w:rFonts w:ascii="Times New Roman" w:hAnsi="Times New Roman"/>
          <w:color w:val="0070C0"/>
          <w:sz w:val="16"/>
          <w:szCs w:val="16"/>
        </w:rPr>
        <w:t xml:space="preserve"> </w:t>
      </w:r>
      <w:proofErr w:type="spellStart"/>
      <w:r w:rsidRPr="006B74EB">
        <w:rPr>
          <w:rFonts w:ascii="Times New Roman" w:hAnsi="Times New Roman"/>
          <w:color w:val="0070C0"/>
          <w:sz w:val="16"/>
          <w:szCs w:val="16"/>
        </w:rPr>
        <w:t>иа</w:t>
      </w:r>
      <w:proofErr w:type="spellEnd"/>
      <w:r w:rsidRPr="006B74EB">
        <w:rPr>
          <w:rFonts w:ascii="Times New Roman" w:hAnsi="Times New Roman"/>
          <w:color w:val="0070C0"/>
          <w:sz w:val="16"/>
          <w:szCs w:val="16"/>
        </w:rPr>
        <w:t xml:space="preserve"> </w:t>
      </w:r>
      <w:proofErr w:type="spellStart"/>
      <w:r w:rsidRPr="006B74EB">
        <w:rPr>
          <w:rFonts w:ascii="Times New Roman" w:hAnsi="Times New Roman"/>
          <w:color w:val="0070C0"/>
          <w:sz w:val="16"/>
          <w:szCs w:val="16"/>
        </w:rPr>
        <w:t>Ход</w:t>
      </w:r>
      <w:r>
        <w:rPr>
          <w:rFonts w:ascii="Times New Roman" w:hAnsi="Times New Roman"/>
          <w:color w:val="0070C0"/>
          <w:sz w:val="16"/>
          <w:szCs w:val="16"/>
        </w:rPr>
        <w:t>ж</w:t>
      </w:r>
      <w:r w:rsidRPr="006B74EB">
        <w:rPr>
          <w:rFonts w:ascii="Times New Roman" w:hAnsi="Times New Roman"/>
          <w:color w:val="0070C0"/>
          <w:sz w:val="16"/>
          <w:szCs w:val="16"/>
        </w:rPr>
        <w:t>ибеевском</w:t>
      </w:r>
      <w:proofErr w:type="spellEnd"/>
      <w:r w:rsidRPr="006B74EB">
        <w:rPr>
          <w:rFonts w:ascii="Times New Roman" w:hAnsi="Times New Roman"/>
          <w:color w:val="0070C0"/>
          <w:sz w:val="16"/>
          <w:szCs w:val="16"/>
        </w:rPr>
        <w:t xml:space="preserve"> лимане</w:t>
      </w:r>
      <w:r>
        <w:rPr>
          <w:rFonts w:ascii="Times New Roman" w:hAnsi="Times New Roman"/>
          <w:color w:val="0070C0"/>
          <w:sz w:val="16"/>
          <w:szCs w:val="16"/>
        </w:rPr>
        <w:t>. П</w:t>
      </w:r>
      <w:r w:rsidRPr="006B74EB">
        <w:rPr>
          <w:rFonts w:ascii="Times New Roman" w:hAnsi="Times New Roman"/>
          <w:color w:val="0070C0"/>
          <w:sz w:val="16"/>
          <w:szCs w:val="16"/>
        </w:rPr>
        <w:t xml:space="preserve">риемом гостей руководили высшие </w:t>
      </w:r>
      <w:r>
        <w:rPr>
          <w:rFonts w:ascii="Times New Roman" w:hAnsi="Times New Roman"/>
          <w:color w:val="0070C0"/>
          <w:sz w:val="16"/>
          <w:szCs w:val="16"/>
        </w:rPr>
        <w:t>представители</w:t>
      </w:r>
      <w:r w:rsidRPr="006B74EB">
        <w:rPr>
          <w:rFonts w:ascii="Times New Roman" w:hAnsi="Times New Roman"/>
          <w:color w:val="0070C0"/>
          <w:sz w:val="16"/>
          <w:szCs w:val="16"/>
        </w:rPr>
        <w:t xml:space="preserve"> ВВС во главе с их начальником </w:t>
      </w:r>
      <w:proofErr w:type="spellStart"/>
      <w:r w:rsidRPr="006B74EB">
        <w:rPr>
          <w:rFonts w:ascii="Times New Roman" w:hAnsi="Times New Roman"/>
          <w:color w:val="0070C0"/>
          <w:sz w:val="16"/>
          <w:szCs w:val="16"/>
        </w:rPr>
        <w:t>П.И.Барановым</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За от</w:t>
      </w:r>
      <w:r>
        <w:rPr>
          <w:rFonts w:ascii="Times New Roman" w:hAnsi="Times New Roman"/>
          <w:color w:val="0070C0"/>
          <w:sz w:val="16"/>
          <w:szCs w:val="16"/>
        </w:rPr>
        <w:t xml:space="preserve">личную </w:t>
      </w:r>
      <w:r w:rsidRPr="006B74EB">
        <w:rPr>
          <w:rFonts w:ascii="Times New Roman" w:hAnsi="Times New Roman"/>
          <w:color w:val="0070C0"/>
          <w:sz w:val="16"/>
          <w:szCs w:val="16"/>
        </w:rPr>
        <w:t>организацию приема и провод</w:t>
      </w:r>
      <w:r>
        <w:rPr>
          <w:rFonts w:ascii="Times New Roman" w:hAnsi="Times New Roman"/>
          <w:color w:val="0070C0"/>
          <w:sz w:val="16"/>
          <w:szCs w:val="16"/>
        </w:rPr>
        <w:t xml:space="preserve">ов </w:t>
      </w:r>
      <w:proofErr w:type="spellStart"/>
      <w:r w:rsidRPr="006B74EB">
        <w:rPr>
          <w:rFonts w:ascii="Times New Roman" w:hAnsi="Times New Roman"/>
          <w:color w:val="0070C0"/>
          <w:sz w:val="16"/>
          <w:szCs w:val="16"/>
        </w:rPr>
        <w:t>з</w:t>
      </w:r>
      <w:r>
        <w:rPr>
          <w:rFonts w:ascii="Times New Roman" w:hAnsi="Times New Roman"/>
          <w:color w:val="0070C0"/>
          <w:sz w:val="16"/>
          <w:szCs w:val="16"/>
        </w:rPr>
        <w:t>с</w:t>
      </w:r>
      <w:r w:rsidRPr="006B74EB">
        <w:rPr>
          <w:rFonts w:ascii="Times New Roman" w:hAnsi="Times New Roman"/>
          <w:color w:val="0070C0"/>
          <w:sz w:val="16"/>
          <w:szCs w:val="16"/>
        </w:rPr>
        <w:t>кадрил</w:t>
      </w:r>
      <w:r>
        <w:rPr>
          <w:rFonts w:ascii="Times New Roman" w:hAnsi="Times New Roman"/>
          <w:color w:val="0070C0"/>
          <w:sz w:val="16"/>
          <w:szCs w:val="16"/>
        </w:rPr>
        <w:t>ьи</w:t>
      </w:r>
      <w:proofErr w:type="spellEnd"/>
      <w:r w:rsidRPr="006B74EB">
        <w:rPr>
          <w:rFonts w:ascii="Times New Roman" w:hAnsi="Times New Roman"/>
          <w:color w:val="0070C0"/>
          <w:sz w:val="16"/>
          <w:szCs w:val="16"/>
        </w:rPr>
        <w:t xml:space="preserve"> командование ВВС </w:t>
      </w:r>
      <w:r>
        <w:rPr>
          <w:rFonts w:ascii="Times New Roman" w:hAnsi="Times New Roman"/>
          <w:color w:val="0070C0"/>
          <w:sz w:val="16"/>
          <w:szCs w:val="16"/>
        </w:rPr>
        <w:t>получило</w:t>
      </w:r>
      <w:r w:rsidRPr="006B74EB">
        <w:rPr>
          <w:rFonts w:ascii="Times New Roman" w:hAnsi="Times New Roman"/>
          <w:color w:val="0070C0"/>
          <w:sz w:val="16"/>
          <w:szCs w:val="16"/>
        </w:rPr>
        <w:t xml:space="preserve"> благодарность от итальянского правительства.</w:t>
      </w:r>
    </w:p>
    <w:p w14:paraId="131F344C" w14:textId="77777777" w:rsidR="0075498C" w:rsidRDefault="0075498C" w:rsidP="0075498C">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w:t>
      </w:r>
      <w:r>
        <w:rPr>
          <w:rFonts w:ascii="Times New Roman" w:hAnsi="Times New Roman"/>
          <w:color w:val="0070C0"/>
          <w:sz w:val="16"/>
          <w:szCs w:val="16"/>
        </w:rPr>
        <w:t>«</w:t>
      </w:r>
      <w:r w:rsidRPr="006B74EB">
        <w:rPr>
          <w:rFonts w:ascii="Times New Roman" w:hAnsi="Times New Roman"/>
          <w:color w:val="0070C0"/>
          <w:sz w:val="16"/>
          <w:szCs w:val="16"/>
        </w:rPr>
        <w:t>Красная звезда</w:t>
      </w:r>
      <w:r>
        <w:rPr>
          <w:rFonts w:ascii="Times New Roman" w:hAnsi="Times New Roman"/>
          <w:color w:val="0070C0"/>
          <w:sz w:val="16"/>
          <w:szCs w:val="16"/>
        </w:rPr>
        <w:t>»</w:t>
      </w:r>
      <w:r w:rsidRPr="006B74EB">
        <w:rPr>
          <w:rFonts w:ascii="Times New Roman" w:hAnsi="Times New Roman"/>
          <w:color w:val="0070C0"/>
          <w:sz w:val="16"/>
          <w:szCs w:val="16"/>
        </w:rPr>
        <w:t xml:space="preserve"> за 9 и 12 июня 1929 г</w:t>
      </w:r>
      <w:r>
        <w:rPr>
          <w:rFonts w:ascii="Times New Roman" w:hAnsi="Times New Roman"/>
          <w:color w:val="0070C0"/>
          <w:sz w:val="16"/>
          <w:szCs w:val="16"/>
        </w:rPr>
        <w:t>.</w:t>
      </w:r>
      <w:r w:rsidRPr="006B74EB">
        <w:rPr>
          <w:rFonts w:ascii="Times New Roman" w:hAnsi="Times New Roman"/>
          <w:color w:val="0070C0"/>
          <w:sz w:val="16"/>
          <w:szCs w:val="16"/>
        </w:rPr>
        <w:t>/</w:t>
      </w:r>
      <w:r>
        <w:rPr>
          <w:rFonts w:ascii="Times New Roman" w:hAnsi="Times New Roman"/>
          <w:color w:val="0070C0"/>
          <w:sz w:val="16"/>
          <w:szCs w:val="16"/>
        </w:rPr>
        <w:t xml:space="preserve"> (23370).</w:t>
      </w:r>
    </w:p>
    <w:p w14:paraId="2F261011" w14:textId="77777777" w:rsidR="0075498C" w:rsidRDefault="0075498C" w:rsidP="0075498C">
      <w:pPr>
        <w:spacing w:after="0" w:line="240" w:lineRule="auto"/>
        <w:jc w:val="both"/>
        <w:rPr>
          <w:rFonts w:ascii="Times New Roman" w:hAnsi="Times New Roman"/>
          <w:color w:val="0070C0"/>
          <w:sz w:val="16"/>
          <w:szCs w:val="16"/>
        </w:rPr>
      </w:pPr>
    </w:p>
    <w:p w14:paraId="6491F470"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4E5B66B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81831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июня 1929 Троцкий, находившийся в Турции, подал прошение на въезд в Англию для прохождения там лечения (4962).</w:t>
      </w:r>
    </w:p>
    <w:p w14:paraId="3A8F74D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82CB6E" w14:textId="77777777" w:rsidR="00E118F4"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30C2F495" w14:textId="77777777" w:rsidR="00E118F4" w:rsidRPr="00A259BD" w:rsidRDefault="00E118F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22DC5C1" w14:textId="77777777" w:rsidR="00E118F4" w:rsidRPr="00A259BD" w:rsidRDefault="00E118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w:t>
      </w:r>
      <w:r w:rsidRPr="00A259BD">
        <w:rPr>
          <w:rStyle w:val="75pt"/>
          <w:rFonts w:ascii="Times New Roman" w:hAnsi="Times New Roman" w:cs="Times New Roman"/>
          <w:color w:val="000000" w:themeColor="text1"/>
          <w:sz w:val="16"/>
          <w:szCs w:val="16"/>
        </w:rPr>
        <w:t xml:space="preserve"> июня</w:t>
      </w:r>
      <w:r w:rsidRPr="00A259BD">
        <w:rPr>
          <w:rFonts w:ascii="Times New Roman" w:hAnsi="Times New Roman"/>
          <w:color w:val="000000" w:themeColor="text1"/>
          <w:sz w:val="16"/>
          <w:szCs w:val="16"/>
        </w:rPr>
        <w:t xml:space="preserve"> 1929</w:t>
      </w:r>
      <w:r w:rsidRPr="00A259BD">
        <w:rPr>
          <w:rStyle w:val="75pt"/>
          <w:rFonts w:ascii="Times New Roman" w:hAnsi="Times New Roman" w:cs="Times New Roman"/>
          <w:color w:val="000000" w:themeColor="text1"/>
          <w:sz w:val="16"/>
          <w:szCs w:val="16"/>
        </w:rPr>
        <w:t xml:space="preserve"> г. был заметка из «Правды»,</w:t>
      </w:r>
      <w:r w:rsidRPr="00A259BD">
        <w:rPr>
          <w:rFonts w:ascii="Times New Roman" w:hAnsi="Times New Roman"/>
          <w:color w:val="000000" w:themeColor="text1"/>
          <w:sz w:val="16"/>
          <w:szCs w:val="16"/>
        </w:rPr>
        <w:t xml:space="preserve"> № 130): «Одес</w:t>
      </w:r>
      <w:r w:rsidRPr="00A259BD">
        <w:rPr>
          <w:rFonts w:ascii="Times New Roman" w:hAnsi="Times New Roman"/>
          <w:color w:val="000000" w:themeColor="text1"/>
          <w:sz w:val="16"/>
          <w:szCs w:val="16"/>
        </w:rPr>
        <w:softHyphen/>
        <w:t xml:space="preserve">са, 8 июня. Сегодня между 11 и 12 час. в Одессу прилетела и благополучно спустилась </w:t>
      </w:r>
      <w:r w:rsidRPr="00A259BD">
        <w:rPr>
          <w:rStyle w:val="9pt"/>
          <w:rFonts w:ascii="Times New Roman" w:hAnsi="Times New Roman" w:cs="Times New Roman"/>
          <w:b w:val="0"/>
          <w:i w:val="0"/>
          <w:color w:val="000000" w:themeColor="text1"/>
          <w:sz w:val="16"/>
          <w:szCs w:val="16"/>
        </w:rPr>
        <w:t xml:space="preserve">на </w:t>
      </w:r>
      <w:proofErr w:type="spellStart"/>
      <w:r w:rsidRPr="00A259BD">
        <w:rPr>
          <w:rStyle w:val="9pt"/>
          <w:rFonts w:ascii="Times New Roman" w:hAnsi="Times New Roman" w:cs="Times New Roman"/>
          <w:b w:val="0"/>
          <w:i w:val="0"/>
          <w:color w:val="000000" w:themeColor="text1"/>
          <w:sz w:val="16"/>
          <w:szCs w:val="16"/>
        </w:rPr>
        <w:t>Хаджибеевском</w:t>
      </w:r>
      <w:proofErr w:type="spellEnd"/>
      <w:r w:rsidRPr="00A259BD">
        <w:rPr>
          <w:rStyle w:val="9pt"/>
          <w:rFonts w:ascii="Times New Roman" w:hAnsi="Times New Roman" w:cs="Times New Roman"/>
          <w:b w:val="0"/>
          <w:i w:val="0"/>
          <w:color w:val="000000" w:themeColor="text1"/>
          <w:sz w:val="16"/>
          <w:szCs w:val="16"/>
        </w:rPr>
        <w:t xml:space="preserve"> лимане итальянская эскадрилья в составе пяти отрядов, в общем 30 самолётов-бомбовозов. Вместе с эскадрильей прилетели ещё три обыкновенных военных и </w:t>
      </w:r>
      <w:r w:rsidRPr="00A259BD">
        <w:rPr>
          <w:rFonts w:ascii="Times New Roman" w:hAnsi="Times New Roman"/>
          <w:color w:val="000000" w:themeColor="text1"/>
          <w:sz w:val="16"/>
          <w:szCs w:val="16"/>
        </w:rPr>
        <w:t>два гражданских гидроплана. Все 30 самолётов и гидропланов совершают теперь круговой перелёт по маршруту Таранто - Афины - Константинополь - Варна - Одесса. Здесь ита</w:t>
      </w:r>
      <w:r w:rsidRPr="00A259BD">
        <w:rPr>
          <w:rFonts w:ascii="Times New Roman" w:hAnsi="Times New Roman"/>
          <w:color w:val="000000" w:themeColor="text1"/>
          <w:sz w:val="16"/>
          <w:szCs w:val="16"/>
        </w:rPr>
        <w:softHyphen/>
        <w:t xml:space="preserve">льянцы пробудут два дня, и 10 июня, в 6 ч. утра, вылетят обратно по маршруту Одесса - Константинополь - Варна - Афины - Таранто. Одновременно в одесский порт прибыло два итальянских истребителя </w:t>
      </w:r>
      <w:proofErr w:type="spellStart"/>
      <w:r w:rsidRPr="00A259BD">
        <w:rPr>
          <w:rFonts w:ascii="Times New Roman" w:hAnsi="Times New Roman"/>
          <w:color w:val="000000" w:themeColor="text1"/>
          <w:sz w:val="16"/>
          <w:szCs w:val="16"/>
        </w:rPr>
        <w:t>Монзанбано</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Палестро</w:t>
      </w:r>
      <w:proofErr w:type="spellEnd"/>
      <w:r w:rsidRPr="00A259BD">
        <w:rPr>
          <w:rFonts w:ascii="Times New Roman" w:hAnsi="Times New Roman"/>
          <w:color w:val="000000" w:themeColor="text1"/>
          <w:sz w:val="16"/>
          <w:szCs w:val="16"/>
        </w:rPr>
        <w:t>, сопровождающие самолёты на всём пути их следования. На эскадрилье в числе других прибыли: итальянский вице-министр ави</w:t>
      </w:r>
      <w:r w:rsidRPr="00A259BD">
        <w:rPr>
          <w:rFonts w:ascii="Times New Roman" w:hAnsi="Times New Roman"/>
          <w:color w:val="000000" w:themeColor="text1"/>
          <w:sz w:val="16"/>
          <w:szCs w:val="16"/>
        </w:rPr>
        <w:softHyphen/>
        <w:t xml:space="preserve">ации ген. </w:t>
      </w: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зам. нач. штаба воздушных сил Италии ген. Франческо-де-</w:t>
      </w:r>
      <w:proofErr w:type="spellStart"/>
      <w:r w:rsidRPr="00A259BD">
        <w:rPr>
          <w:rFonts w:ascii="Times New Roman" w:hAnsi="Times New Roman"/>
          <w:color w:val="000000" w:themeColor="text1"/>
          <w:sz w:val="16"/>
          <w:szCs w:val="16"/>
        </w:rPr>
        <w:t>Пинедо</w:t>
      </w:r>
      <w:proofErr w:type="spellEnd"/>
      <w:r w:rsidRPr="00A259BD">
        <w:rPr>
          <w:rFonts w:ascii="Times New Roman" w:hAnsi="Times New Roman"/>
          <w:color w:val="000000" w:themeColor="text1"/>
          <w:sz w:val="16"/>
          <w:szCs w:val="16"/>
        </w:rPr>
        <w:t xml:space="preserve">, зам. начальника главного морского штаба адмирал - </w:t>
      </w:r>
      <w:proofErr w:type="spellStart"/>
      <w:r w:rsidRPr="00A259BD">
        <w:rPr>
          <w:rFonts w:ascii="Times New Roman" w:hAnsi="Times New Roman"/>
          <w:color w:val="000000" w:themeColor="text1"/>
          <w:sz w:val="16"/>
          <w:szCs w:val="16"/>
        </w:rPr>
        <w:t>Верноти</w:t>
      </w:r>
      <w:proofErr w:type="spellEnd"/>
      <w:r w:rsidRPr="00A259BD">
        <w:rPr>
          <w:rFonts w:ascii="Times New Roman" w:hAnsi="Times New Roman"/>
          <w:color w:val="000000" w:themeColor="text1"/>
          <w:sz w:val="16"/>
          <w:szCs w:val="16"/>
        </w:rPr>
        <w:t xml:space="preserve">, начальник метеорологического отдела министерства авиации - проф. </w:t>
      </w:r>
      <w:proofErr w:type="spellStart"/>
      <w:r w:rsidRPr="00A259BD">
        <w:rPr>
          <w:rFonts w:ascii="Times New Roman" w:hAnsi="Times New Roman"/>
          <w:color w:val="000000" w:themeColor="text1"/>
          <w:sz w:val="16"/>
          <w:szCs w:val="16"/>
        </w:rPr>
        <w:t>Эредия</w:t>
      </w:r>
      <w:proofErr w:type="spellEnd"/>
      <w:r w:rsidRPr="00A259BD">
        <w:rPr>
          <w:rFonts w:ascii="Times New Roman" w:hAnsi="Times New Roman"/>
          <w:color w:val="000000" w:themeColor="text1"/>
          <w:sz w:val="16"/>
          <w:szCs w:val="16"/>
        </w:rPr>
        <w:t xml:space="preserve">, депутат парламента </w:t>
      </w:r>
      <w:proofErr w:type="spellStart"/>
      <w:r w:rsidRPr="00A259BD">
        <w:rPr>
          <w:rFonts w:ascii="Times New Roman" w:hAnsi="Times New Roman"/>
          <w:color w:val="000000" w:themeColor="text1"/>
          <w:sz w:val="16"/>
          <w:szCs w:val="16"/>
        </w:rPr>
        <w:t>Польверели</w:t>
      </w:r>
      <w:proofErr w:type="spellEnd"/>
      <w:r w:rsidRPr="00A259BD">
        <w:rPr>
          <w:rFonts w:ascii="Times New Roman" w:hAnsi="Times New Roman"/>
          <w:color w:val="000000" w:themeColor="text1"/>
          <w:sz w:val="16"/>
          <w:szCs w:val="16"/>
        </w:rPr>
        <w:t xml:space="preserve">, адмирал </w:t>
      </w:r>
      <w:proofErr w:type="spellStart"/>
      <w:r w:rsidRPr="00A259BD">
        <w:rPr>
          <w:rFonts w:ascii="Times New Roman" w:hAnsi="Times New Roman"/>
          <w:color w:val="000000" w:themeColor="text1"/>
          <w:sz w:val="16"/>
          <w:szCs w:val="16"/>
        </w:rPr>
        <w:t>Мирайя</w:t>
      </w:r>
      <w:proofErr w:type="spellEnd"/>
      <w:r w:rsidRPr="00A259BD">
        <w:rPr>
          <w:rFonts w:ascii="Times New Roman" w:hAnsi="Times New Roman"/>
          <w:color w:val="000000" w:themeColor="text1"/>
          <w:sz w:val="16"/>
          <w:szCs w:val="16"/>
        </w:rPr>
        <w:t>, 11 корреспондентов крупнейших итальянских газет и два кинооператора» (15843).</w:t>
      </w:r>
    </w:p>
    <w:p w14:paraId="71085DD8" w14:textId="77777777" w:rsidR="00E118F4" w:rsidRPr="00A259BD" w:rsidRDefault="00E118F4" w:rsidP="009236E3">
      <w:pPr>
        <w:spacing w:after="0" w:line="240" w:lineRule="auto"/>
        <w:jc w:val="both"/>
        <w:rPr>
          <w:rFonts w:ascii="Times New Roman" w:hAnsi="Times New Roman"/>
          <w:color w:val="000000" w:themeColor="text1"/>
          <w:sz w:val="16"/>
          <w:szCs w:val="16"/>
        </w:rPr>
      </w:pPr>
    </w:p>
    <w:p w14:paraId="6905146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2ED048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D420C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июня 1929 года НИИ ВВС получил Задание НТК № 2196/с на испытания первого серийного самолета И-3 БМВVI (6980).</w:t>
      </w:r>
    </w:p>
    <w:p w14:paraId="39F9B1A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3FDE98"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10 июня 1929 г. НИИ ВВС получил Задание НТК №2196/с на испытания головного серийного самолета И-3 БМВVI.</w:t>
      </w:r>
    </w:p>
    <w:p w14:paraId="6C4B4196"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 июня 1929 г. НИИ ВВС начал испытания головного серийного самолета И-3.</w:t>
      </w:r>
    </w:p>
    <w:p w14:paraId="1E200590"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концу июня 1929 г. НИИ ВВС выполнил программу испытаний головного серийного самолета И-3 на 20%.</w:t>
      </w:r>
    </w:p>
    <w:p w14:paraId="4D8238B5"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8 июля (по др. данным по 13 июля или по 8 августа) 1929 г испытания головного серийного самолета И-3 БМВVI в НИИ ВВС закончены, и отмечено, что «Самолет И-3 №3820 серийной постройки завода № 1 им. </w:t>
      </w:r>
      <w:proofErr w:type="spellStart"/>
      <w:r w:rsidRPr="00441F34">
        <w:rPr>
          <w:rFonts w:ascii="Times New Roman" w:hAnsi="Times New Roman"/>
          <w:color w:val="0070C0"/>
          <w:sz w:val="16"/>
          <w:szCs w:val="16"/>
        </w:rPr>
        <w:t>Авиахима</w:t>
      </w:r>
      <w:proofErr w:type="spellEnd"/>
      <w:r w:rsidRPr="00441F34">
        <w:rPr>
          <w:rFonts w:ascii="Times New Roman" w:hAnsi="Times New Roman"/>
          <w:color w:val="0070C0"/>
          <w:sz w:val="16"/>
          <w:szCs w:val="16"/>
        </w:rPr>
        <w:t xml:space="preserve"> идентичен с ранее испытанными самолетами в НИИ», т.е. мер по улучшению курсовой устойчивости не предпринято, и сделано заключение:</w:t>
      </w:r>
    </w:p>
    <w:p w14:paraId="17C657F7"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основании проведенных испытаний НИИ считает:</w:t>
      </w:r>
    </w:p>
    <w:p w14:paraId="2F295AE6"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Учитывая наличие изготовленной на заводе серии самолетов И3-БМВVI, а также трудность и значительную задержку по времени выпуска серии, в случае требования устранения всех недочетов, построенная серия может быть принята при условии устранения основных недостатков.</w:t>
      </w:r>
    </w:p>
    <w:p w14:paraId="6090FDEC"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p w14:paraId="356A34CE"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 НИИ считает, что самолет И3-БМВVI не может быть значительно улучшен в дальнейших сериях, что вызывает сомнение в целесообразности широкого введения этого типа на снабжение строевых частей ВВС на далекий срок».</w:t>
      </w:r>
    </w:p>
    <w:p w14:paraId="46789628"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То есть оценка самолету И-3 серийной постройки дана была неудовлетворительная.</w:t>
      </w:r>
    </w:p>
    <w:p w14:paraId="1B2555C6"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Тем не менее, с учетом готовности УВВС принимать самолеты И-3 до устранения всех недостатков, в июне 1929 г., пока испытания головного самолета были еще далеки от завершения, </w:t>
      </w:r>
      <w:proofErr w:type="spellStart"/>
      <w:r w:rsidRPr="00441F34">
        <w:rPr>
          <w:rFonts w:ascii="Times New Roman" w:hAnsi="Times New Roman"/>
          <w:color w:val="0070C0"/>
          <w:sz w:val="16"/>
          <w:szCs w:val="16"/>
        </w:rPr>
        <w:t>Авиатрест</w:t>
      </w:r>
      <w:proofErr w:type="spellEnd"/>
      <w:r w:rsidRPr="00441F34">
        <w:rPr>
          <w:rFonts w:ascii="Times New Roman" w:hAnsi="Times New Roman"/>
          <w:color w:val="0070C0"/>
          <w:sz w:val="16"/>
          <w:szCs w:val="16"/>
        </w:rPr>
        <w:t xml:space="preserve"> предъявил к сдаче всю их первую серию из 39 самолетов И-3 (не включая сданный в НИИ ВВС). По конструкции и комплектации остальные самолеты соответствовали головному и ни один дефект на них устранен не был. Заведующий ОСС Поликарпов вопрос этот не контролировал и устранению конструктивных дефектов внимания не уделял (24887).</w:t>
      </w:r>
    </w:p>
    <w:p w14:paraId="02584D39" w14:textId="77777777" w:rsidR="00D41EFC" w:rsidRPr="00441F34" w:rsidRDefault="00D41EFC" w:rsidP="00D41EFC">
      <w:pPr>
        <w:spacing w:after="0" w:line="240" w:lineRule="auto"/>
        <w:jc w:val="both"/>
        <w:rPr>
          <w:rFonts w:ascii="Times New Roman" w:hAnsi="Times New Roman"/>
          <w:color w:val="0070C0"/>
          <w:sz w:val="16"/>
          <w:szCs w:val="16"/>
        </w:rPr>
      </w:pPr>
    </w:p>
    <w:p w14:paraId="3B2067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июня 1929 началось строительство сухопутной аэростанции в Иркутске в виде аэровокзала, ангара (сохранился до сих пор) и казармы ВОХР (1113).</w:t>
      </w:r>
    </w:p>
    <w:p w14:paraId="6536FB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544299" w14:textId="77777777" w:rsidR="00E118F4" w:rsidRPr="00A259BD" w:rsidRDefault="00E118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10 июня</w:t>
      </w:r>
      <w:r w:rsidRPr="00A259BD">
        <w:rPr>
          <w:rFonts w:ascii="Times New Roman" w:hAnsi="Times New Roman"/>
          <w:color w:val="000000" w:themeColor="text1"/>
          <w:sz w:val="16"/>
          <w:szCs w:val="16"/>
        </w:rPr>
        <w:t xml:space="preserve"> в 1929 году начато строительство Иркутского аэропорта и ремонтных мастерских (14918).</w:t>
      </w:r>
    </w:p>
    <w:p w14:paraId="008B97D7" w14:textId="77777777" w:rsidR="00E118F4" w:rsidRPr="00A259BD" w:rsidRDefault="00E118F4" w:rsidP="009236E3">
      <w:pPr>
        <w:spacing w:after="0" w:line="240" w:lineRule="auto"/>
        <w:jc w:val="both"/>
        <w:rPr>
          <w:rFonts w:ascii="Times New Roman" w:hAnsi="Times New Roman"/>
          <w:color w:val="000000" w:themeColor="text1"/>
          <w:sz w:val="16"/>
          <w:szCs w:val="16"/>
        </w:rPr>
      </w:pPr>
    </w:p>
    <w:p w14:paraId="0C9B7030" w14:textId="77777777" w:rsidR="001413AB" w:rsidRPr="00A259BD" w:rsidRDefault="001413AB"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bookmarkStart w:id="54" w:name="_Hlk75784930"/>
      <w:r w:rsidRPr="00A259BD">
        <w:rPr>
          <w:rFonts w:ascii="Times New Roman" w:eastAsia="Times New Roman" w:hAnsi="Times New Roman"/>
          <w:color w:val="000000" w:themeColor="text1"/>
          <w:sz w:val="16"/>
          <w:szCs w:val="16"/>
          <w:lang w:eastAsia="ru-RU"/>
        </w:rPr>
        <w:t xml:space="preserve">10 июня 1929 АНТ-9 совершил перелет Одесса – Севастополь, где забрали А.Н. Туполева. 11 июня – перелет Севастополь – Одесса. Здесь, приняв на борт П.И. Баранова, продолжили полет через </w:t>
      </w:r>
      <w:proofErr w:type="spellStart"/>
      <w:r w:rsidRPr="00A259BD">
        <w:rPr>
          <w:rFonts w:ascii="Times New Roman" w:eastAsia="Times New Roman" w:hAnsi="Times New Roman"/>
          <w:color w:val="000000" w:themeColor="text1"/>
          <w:sz w:val="16"/>
          <w:szCs w:val="16"/>
          <w:lang w:eastAsia="ru-RU"/>
        </w:rPr>
        <w:t>Зиновьевск</w:t>
      </w:r>
      <w:proofErr w:type="spellEnd"/>
      <w:r w:rsidRPr="00A259BD">
        <w:rPr>
          <w:rFonts w:ascii="Times New Roman" w:eastAsia="Times New Roman" w:hAnsi="Times New Roman"/>
          <w:color w:val="000000" w:themeColor="text1"/>
          <w:sz w:val="16"/>
          <w:szCs w:val="16"/>
          <w:lang w:eastAsia="ru-RU"/>
        </w:rPr>
        <w:t xml:space="preserve"> в Киев. 12-го – Киев – Москва. Самолет пролетел более четырех с половиной тысяч километров и пробыл в воздухе 26 часов. На этом летные испытания посчитали законченными. Машина была вполне готова к совершению большого перелета по Западной Европе (21249).</w:t>
      </w:r>
    </w:p>
    <w:p w14:paraId="422BA9E5" w14:textId="77777777" w:rsidR="001413AB" w:rsidRPr="00A259BD" w:rsidRDefault="001413AB" w:rsidP="009236E3">
      <w:pPr>
        <w:spacing w:after="0" w:line="240" w:lineRule="auto"/>
        <w:jc w:val="both"/>
        <w:rPr>
          <w:rFonts w:ascii="Times New Roman" w:hAnsi="Times New Roman"/>
          <w:color w:val="000000" w:themeColor="text1"/>
          <w:sz w:val="16"/>
          <w:szCs w:val="16"/>
        </w:rPr>
      </w:pPr>
    </w:p>
    <w:bookmarkEnd w:id="54"/>
    <w:p w14:paraId="064CC5B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A48955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D968D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июня 1929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предъявил НИИ ВВС на гос. испытания переработанный Р-5 БМВ-6. Опять недостатки, подтвердившиеся на войсковых испытаниях (1028,83).</w:t>
      </w:r>
    </w:p>
    <w:p w14:paraId="73C5D0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D3467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11 июня по 19 июля 1929 проводились дополнительные испытания самолета РV БМВ6.</w:t>
      </w:r>
    </w:p>
    <w:p w14:paraId="7243695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Летчики Писаренко и Шарапов (6916).</w:t>
      </w:r>
    </w:p>
    <w:p w14:paraId="1F2D498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дополнительных испытаний самолета РV БМВ6</w:t>
      </w:r>
    </w:p>
    <w:p w14:paraId="276BBEB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Начало испытаний 11 июня 1929 года</w:t>
      </w:r>
    </w:p>
    <w:p w14:paraId="6B7FCB5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 продолжались 32 рабочих дня</w:t>
      </w:r>
    </w:p>
    <w:p w14:paraId="20A9B60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июня 1929 года - испытание самолета РV БМВ6 на управляемость и на определение горизонтальных скоростей по мерному километру.</w:t>
      </w:r>
    </w:p>
    <w:p w14:paraId="29B9258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 Писаренко(6916).</w:t>
      </w:r>
    </w:p>
    <w:p w14:paraId="3EE07C1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июля 1929 года в НИИ ВВС проводилось испытание самолета РV БМВ6 на определение горизонтальных скоростей по мерному километру.</w:t>
      </w:r>
    </w:p>
    <w:p w14:paraId="45062B7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 Шарапов (6916).</w:t>
      </w:r>
    </w:p>
    <w:p w14:paraId="18BF5B2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Произведено до 40 полетов по различным заданиям в течение 15 дней</w:t>
      </w:r>
    </w:p>
    <w:p w14:paraId="001829C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 испытаний 19 июля 1929 года</w:t>
      </w:r>
    </w:p>
    <w:p w14:paraId="3A08806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вновь предъявлен НИИ после перестановки мотора и винта и исправления дефектов, обнаруженных НИИ при предыдущих испытаниях (производимых с 19 сентября до 5 ноября 1928 года) (6916).</w:t>
      </w:r>
    </w:p>
    <w:p w14:paraId="7331DA1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88651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С11 июня по 19 июля 1929 в НИИ ВВС проходили испытания самолета РV БМВ VI.</w:t>
      </w:r>
    </w:p>
    <w:p w14:paraId="3D9B212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дополнительных испытаний самолета РV БМВ VI</w:t>
      </w:r>
    </w:p>
    <w:p w14:paraId="0353FAC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Начало испытания 11 июня 1929 года</w:t>
      </w:r>
    </w:p>
    <w:p w14:paraId="47C7CEA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течение 15 летных дней произведено 40 полетов по различным заданиям.</w:t>
      </w:r>
    </w:p>
    <w:p w14:paraId="574F9EE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 испытаний 19 июля 1929 года</w:t>
      </w:r>
    </w:p>
    <w:p w14:paraId="24900AA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вновь предъявлен НИИ после перестановки мотора и винта и исправления дефектов, обнаруженных НИИ при предыдущих испытаниях (производимых НИИ с 19 сентября 1928 года по 5 ноября 1928 года).</w:t>
      </w:r>
    </w:p>
    <w:p w14:paraId="44F4FFA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0601A8B5"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объеме произведенных испытаний самолет Р-5 БМВ VI с карбюратором БМВ показал удовлетворительные результаты (6990).</w:t>
      </w:r>
    </w:p>
    <w:p w14:paraId="08B1C9DA"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9956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июня 1929 г. доработанный Р-5 передали на испы</w:t>
      </w:r>
      <w:r w:rsidRPr="00A259BD">
        <w:rPr>
          <w:rFonts w:ascii="Times New Roman" w:hAnsi="Times New Roman"/>
          <w:color w:val="000000" w:themeColor="text1"/>
          <w:sz w:val="16"/>
          <w:szCs w:val="16"/>
        </w:rPr>
        <w:softHyphen/>
        <w:t>тания в НИИ ВВС, где на нем сразу же выполнили полет. В этот же день в воздух поднялся второй экземпляр Р-5. В июле 1929 г. был готов и третий. В НИИ ВВС самолет достиг несколько меньшей максимальной скорости, чем на заводских испытаниях: у земли 207 км/ч, на высоте 3000 м-217 км/ч. Испытания Р-5 закончились беспосадочным переле</w:t>
      </w:r>
      <w:r w:rsidRPr="00A259BD">
        <w:rPr>
          <w:rFonts w:ascii="Times New Roman" w:hAnsi="Times New Roman"/>
          <w:color w:val="000000" w:themeColor="text1"/>
          <w:sz w:val="16"/>
          <w:szCs w:val="16"/>
        </w:rPr>
        <w:softHyphen/>
        <w:t>том из Москвы в Севастополь. 21 июля 1929 г. в 2 часа 32 минуты самолет, который пилотировал старший лет</w:t>
      </w:r>
      <w:r w:rsidRPr="00A259BD">
        <w:rPr>
          <w:rFonts w:ascii="Times New Roman" w:hAnsi="Times New Roman"/>
          <w:color w:val="000000" w:themeColor="text1"/>
          <w:sz w:val="16"/>
          <w:szCs w:val="16"/>
        </w:rPr>
        <w:softHyphen/>
        <w:t xml:space="preserve">чик НИИ ВВС </w:t>
      </w:r>
      <w:proofErr w:type="spellStart"/>
      <w:r w:rsidRPr="00A259BD">
        <w:rPr>
          <w:rFonts w:ascii="Times New Roman" w:hAnsi="Times New Roman"/>
          <w:color w:val="000000" w:themeColor="text1"/>
          <w:sz w:val="16"/>
          <w:szCs w:val="16"/>
        </w:rPr>
        <w:t>В.П.Писаренко</w:t>
      </w:r>
      <w:proofErr w:type="spellEnd"/>
      <w:r w:rsidRPr="00A259BD">
        <w:rPr>
          <w:rFonts w:ascii="Times New Roman" w:hAnsi="Times New Roman"/>
          <w:color w:val="000000" w:themeColor="text1"/>
          <w:sz w:val="16"/>
          <w:szCs w:val="16"/>
        </w:rPr>
        <w:t>, с пассажиром - замести</w:t>
      </w:r>
      <w:r w:rsidRPr="00A259BD">
        <w:rPr>
          <w:rFonts w:ascii="Times New Roman" w:hAnsi="Times New Roman"/>
          <w:color w:val="000000" w:themeColor="text1"/>
          <w:sz w:val="16"/>
          <w:szCs w:val="16"/>
        </w:rPr>
        <w:softHyphen/>
        <w:t xml:space="preserve">телем начальника ВВС </w:t>
      </w:r>
      <w:proofErr w:type="spellStart"/>
      <w:r w:rsidRPr="00A259BD">
        <w:rPr>
          <w:rFonts w:ascii="Times New Roman" w:hAnsi="Times New Roman"/>
          <w:color w:val="000000" w:themeColor="text1"/>
          <w:sz w:val="16"/>
          <w:szCs w:val="16"/>
        </w:rPr>
        <w:t>Я.И.Алкснисом</w:t>
      </w:r>
      <w:proofErr w:type="spellEnd"/>
      <w:r w:rsidRPr="00A259BD">
        <w:rPr>
          <w:rFonts w:ascii="Times New Roman" w:hAnsi="Times New Roman"/>
          <w:color w:val="000000" w:themeColor="text1"/>
          <w:sz w:val="16"/>
          <w:szCs w:val="16"/>
        </w:rPr>
        <w:t xml:space="preserve"> - поднялся в воздух с Центрального аэродрома. В 8 часов утра, про</w:t>
      </w:r>
      <w:r w:rsidRPr="00A259BD">
        <w:rPr>
          <w:rFonts w:ascii="Times New Roman" w:hAnsi="Times New Roman"/>
          <w:color w:val="000000" w:themeColor="text1"/>
          <w:sz w:val="16"/>
          <w:szCs w:val="16"/>
        </w:rPr>
        <w:softHyphen/>
        <w:t>летев около 1500 км, Р-5 приземлился близ Севастополя. Этот перелет подтвердил хорошие летные качества ма</w:t>
      </w:r>
      <w:r w:rsidRPr="00A259BD">
        <w:rPr>
          <w:rFonts w:ascii="Times New Roman" w:hAnsi="Times New Roman"/>
          <w:color w:val="000000" w:themeColor="text1"/>
          <w:sz w:val="16"/>
          <w:szCs w:val="16"/>
        </w:rPr>
        <w:softHyphen/>
        <w:t>шины и повысил интерес ВВС к Р-5 (10667).</w:t>
      </w:r>
    </w:p>
    <w:p w14:paraId="408946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64EC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июня 1929 г. первый Р-5 приступил к дополнительным испытаниям в НИИ ВВС. Общий вывод о машине был благожелателен: "По сравнению с предыдущими испытаниями... летные качества ее улучшились...". Максимальная скорость чуть упала, а потолок возрос. "Самолет очень летуч и скорость теряет медленно", - отметил Писаренко. Устойчивость машины оценивалась как хорошая. Некоторая ее потеря ("виляние", как тогда писали) начиналась лишь со скорости 270 км/ч, достигаемой только на пикировании. Тенденция к сваливанию не проявлялась. Самолет входил в штопор неохотно, правда, выходил из него с запаздыванием, но это сочли допустимым. Взлет и посадка давались просто, хотя садиться было немного сложнее, чем на Р-1. Обзор из кабин нареканий не вызывал. Вообще участникам испытаний машина понравилась.</w:t>
      </w:r>
    </w:p>
    <w:p w14:paraId="53D9D9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Р-5 сравнивали с импортными самолетами Фоккер CVE, Бреге </w:t>
      </w:r>
      <w:proofErr w:type="spellStart"/>
      <w:r w:rsidRPr="00A259BD">
        <w:rPr>
          <w:rFonts w:ascii="Times New Roman" w:hAnsi="Times New Roman"/>
          <w:color w:val="000000" w:themeColor="text1"/>
          <w:sz w:val="16"/>
          <w:szCs w:val="16"/>
        </w:rPr>
        <w:t>Br</w:t>
      </w:r>
      <w:proofErr w:type="spellEnd"/>
      <w:r w:rsidRPr="00A259BD">
        <w:rPr>
          <w:rFonts w:ascii="Times New Roman" w:hAnsi="Times New Roman"/>
          <w:color w:val="000000" w:themeColor="text1"/>
          <w:sz w:val="16"/>
          <w:szCs w:val="16"/>
        </w:rPr>
        <w:t xml:space="preserve"> 19В2 и отечественным Р-ЗЛД. Превосходя все их по взлетному весу и скорости, он продемонстрировал хорошую маневренность и неплохую скороподъемность.</w:t>
      </w:r>
    </w:p>
    <w:p w14:paraId="67709C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Конечно, выявили и недостатки. Опять отметили тенденцию к капотированию на посадке. Выхлопные газы попадали в открытые кабины. Разбалтывались панели капота. Отсутствовал дренаж для слива скопившейся в фюзеляже воды, что могло привести к быстрому загниванию древесины. Управление в кабине летнаба оказалось неудобным (слишком высоко подняли педали), к тому же там стоял лишь макет приборной доски.</w:t>
      </w:r>
    </w:p>
    <w:p w14:paraId="662D1D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Затем на первом Р-5 начали отрабатывать программу эксплуатационных испытаний в 84-м отряде в Смоленске. Машиной остались довольны, хотя помучились с постоянной течью радиатора. В амортизаторах шасси резиновые пластины из-за низкого качества быстро сминались и смещались относительно друг друга. Однако за время испытаний произошла лишь одна существенная поломка - 21 сентября в воздухе оторвался зализ киля.</w:t>
      </w:r>
    </w:p>
    <w:p w14:paraId="6BC011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Одновременно в НИИ ВВС проводили облет второй машины. В целом она соответствовала предыдущей, но имела французский карбюратор Зенит 60DC вместо BMW. Вооружение смонтировали полностью, радиостанция все еще отсутствовала, а вместо фотоаппарата стоял макет. Костыль сделали слишком жестким, и он почти не амортизировал, что позже привело к быстрому изнашиванию его пятки (11936).</w:t>
      </w:r>
    </w:p>
    <w:p w14:paraId="427E7B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59F1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июня 1929 г. первый опытный образец Р-5 приступил к дополнительным испытаниям в НИИ ВВС. Общий вывод испытателей был благожелателен: "По сравнению с предыдущими испытаниями данной машины летные качества ее улучшились..." После переделок максимальная скорость чуть-чуть упала, а потолок возрос. "Самолет очень летуч и скорость теряет медленно", - отметил испытатель Писаренко. Устойчивость машины в целом оценивалась как хорошая. Некоторая ее потеря ("виляние", как тогда писали) начиналась лишь со скорости 270 км/ч, достигавшейся на пикировании. Тенденция к сваливанию не проявлялась. Самолет входил в </w:t>
      </w:r>
      <w:r w:rsidRPr="00A259BD">
        <w:rPr>
          <w:rFonts w:ascii="Times New Roman" w:hAnsi="Times New Roman"/>
          <w:color w:val="000000" w:themeColor="text1"/>
          <w:sz w:val="16"/>
          <w:szCs w:val="16"/>
        </w:rPr>
        <w:lastRenderedPageBreak/>
        <w:t xml:space="preserve">штопор неохотно, правда, выходил из него с запаздыванием, но это сочли малосущественным. Взлет и поездка давались просто, хотя садиться было немного сложнее, чем на Р-1. Обзор из кабин Р-5 нареканий не вызывал. Вообще и пилотам, и </w:t>
      </w:r>
      <w:proofErr w:type="spellStart"/>
      <w:r w:rsidRPr="00A259BD">
        <w:rPr>
          <w:rFonts w:ascii="Times New Roman" w:hAnsi="Times New Roman"/>
          <w:color w:val="000000" w:themeColor="text1"/>
          <w:sz w:val="16"/>
          <w:szCs w:val="16"/>
        </w:rPr>
        <w:t>легнабам</w:t>
      </w:r>
      <w:proofErr w:type="spellEnd"/>
      <w:r w:rsidRPr="00A259BD">
        <w:rPr>
          <w:rFonts w:ascii="Times New Roman" w:hAnsi="Times New Roman"/>
          <w:color w:val="000000" w:themeColor="text1"/>
          <w:sz w:val="16"/>
          <w:szCs w:val="16"/>
        </w:rPr>
        <w:t>, участвовавшим в испытаниях, машина понравилась.</w:t>
      </w:r>
    </w:p>
    <w:p w14:paraId="5A94D0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Участвовавший в облете командир учебной эскадрильи Военно-воздушной академии Логинов писал: "Общее впечатление о летных качествах самолета очень хорошее, в воздухе самолет прощает довольно грубые ошибки в управлении, управление... мягкое и не требует усилий". Такая "покладистость" машины была очень важна для бурно разраставшихся ВВС РККА, в которых служило много летчиков с совсем небольшим опытом.</w:t>
      </w:r>
    </w:p>
    <w:p w14:paraId="1A1042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Р-5 сравнивали с импортными самолетами подобного назначения (Фоккер CVE, Бреге </w:t>
      </w:r>
      <w:proofErr w:type="spellStart"/>
      <w:r w:rsidRPr="00A259BD">
        <w:rPr>
          <w:rFonts w:ascii="Times New Roman" w:hAnsi="Times New Roman"/>
          <w:color w:val="000000" w:themeColor="text1"/>
          <w:sz w:val="16"/>
          <w:szCs w:val="16"/>
        </w:rPr>
        <w:t>Br</w:t>
      </w:r>
      <w:proofErr w:type="spellEnd"/>
      <w:r w:rsidRPr="00A259BD">
        <w:rPr>
          <w:rFonts w:ascii="Times New Roman" w:hAnsi="Times New Roman"/>
          <w:color w:val="000000" w:themeColor="text1"/>
          <w:sz w:val="16"/>
          <w:szCs w:val="16"/>
        </w:rPr>
        <w:t xml:space="preserve"> 19В2) и отечественным Р-ЗЛД конструкции А.Н. Туполева. Значительно превосходя все их по взлетному весу, он продемонстрирован хорошую маневренность и очень неплохую скороподъемность. По скорости советский разведчик выигрывал (хотя и ненамного) у всех этих машин. Учебный бой против французского </w:t>
      </w:r>
      <w:proofErr w:type="spellStart"/>
      <w:r w:rsidRPr="00A259BD">
        <w:rPr>
          <w:rFonts w:ascii="Times New Roman" w:hAnsi="Times New Roman"/>
          <w:color w:val="000000" w:themeColor="text1"/>
          <w:sz w:val="16"/>
          <w:szCs w:val="16"/>
        </w:rPr>
        <w:t>Br</w:t>
      </w:r>
      <w:proofErr w:type="spellEnd"/>
      <w:r w:rsidRPr="00A259BD">
        <w:rPr>
          <w:rFonts w:ascii="Times New Roman" w:hAnsi="Times New Roman"/>
          <w:color w:val="000000" w:themeColor="text1"/>
          <w:sz w:val="16"/>
          <w:szCs w:val="16"/>
        </w:rPr>
        <w:t xml:space="preserve"> 19В2 Писаренко с блеском выиграл.</w:t>
      </w:r>
    </w:p>
    <w:p w14:paraId="7CD12D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Конечно, при испытаниях выявили и недостатки. Опять отметили тенденцию к капотированию на посадке. Выхлопные газы попадали в открытые кабины. Разбалтывались от вибраций панели капота. Не предусмотрели дренажа для слива дождевой воды из фюзеляжа - это могло привести к быстрому загниванию отсыревшей древесины. Второе </w:t>
      </w:r>
      <w:proofErr w:type="spellStart"/>
      <w:r w:rsidRPr="00A259BD">
        <w:rPr>
          <w:rFonts w:ascii="Times New Roman" w:hAnsi="Times New Roman"/>
          <w:color w:val="000000" w:themeColor="text1"/>
          <w:sz w:val="16"/>
          <w:szCs w:val="16"/>
        </w:rPr>
        <w:t>уп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равление</w:t>
      </w:r>
      <w:proofErr w:type="spellEnd"/>
      <w:r w:rsidRPr="00A259BD">
        <w:rPr>
          <w:rFonts w:ascii="Times New Roman" w:hAnsi="Times New Roman"/>
          <w:color w:val="000000" w:themeColor="text1"/>
          <w:sz w:val="16"/>
          <w:szCs w:val="16"/>
        </w:rPr>
        <w:t xml:space="preserve"> в кабине летнаба оказалось неудобным - слишком высоко подняли педали, а приборная доска в задней кабине была лишь макетом.</w:t>
      </w:r>
    </w:p>
    <w:p w14:paraId="7FD357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После этого первый Р-5 начал отрабатывать </w:t>
      </w:r>
      <w:proofErr w:type="spellStart"/>
      <w:r w:rsidRPr="00A259BD">
        <w:rPr>
          <w:rFonts w:ascii="Times New Roman" w:hAnsi="Times New Roman"/>
          <w:color w:val="000000" w:themeColor="text1"/>
          <w:sz w:val="16"/>
          <w:szCs w:val="16"/>
        </w:rPr>
        <w:t>програм</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му</w:t>
      </w:r>
      <w:proofErr w:type="spellEnd"/>
      <w:r w:rsidRPr="00A259BD">
        <w:rPr>
          <w:rFonts w:ascii="Times New Roman" w:hAnsi="Times New Roman"/>
          <w:color w:val="000000" w:themeColor="text1"/>
          <w:sz w:val="16"/>
          <w:szCs w:val="16"/>
        </w:rPr>
        <w:t xml:space="preserve"> тактико-эксплуатационных испытаний в 84-м </w:t>
      </w:r>
      <w:proofErr w:type="spellStart"/>
      <w:r w:rsidRPr="00A259BD">
        <w:rPr>
          <w:rFonts w:ascii="Times New Roman" w:hAnsi="Times New Roman"/>
          <w:color w:val="000000" w:themeColor="text1"/>
          <w:sz w:val="16"/>
          <w:szCs w:val="16"/>
        </w:rPr>
        <w:t>офяде</w:t>
      </w:r>
      <w:proofErr w:type="spellEnd"/>
      <w:r w:rsidRPr="00A259BD">
        <w:rPr>
          <w:rFonts w:ascii="Times New Roman" w:hAnsi="Times New Roman"/>
          <w:color w:val="000000" w:themeColor="text1"/>
          <w:sz w:val="16"/>
          <w:szCs w:val="16"/>
        </w:rPr>
        <w:t xml:space="preserve"> 6-й авиабригады в Смоленске. Там он налетал 67 ч 47 мин (52 полета). Машиной остались довольны, хотя тоже </w:t>
      </w:r>
      <w:proofErr w:type="spellStart"/>
      <w:r w:rsidRPr="00A259BD">
        <w:rPr>
          <w:rFonts w:ascii="Times New Roman" w:hAnsi="Times New Roman"/>
          <w:color w:val="000000" w:themeColor="text1"/>
          <w:sz w:val="16"/>
          <w:szCs w:val="16"/>
        </w:rPr>
        <w:t>пому</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чались</w:t>
      </w:r>
      <w:proofErr w:type="spellEnd"/>
      <w:r w:rsidRPr="00A259BD">
        <w:rPr>
          <w:rFonts w:ascii="Times New Roman" w:hAnsi="Times New Roman"/>
          <w:color w:val="000000" w:themeColor="text1"/>
          <w:sz w:val="16"/>
          <w:szCs w:val="16"/>
        </w:rPr>
        <w:t xml:space="preserve"> с постоянной </w:t>
      </w:r>
      <w:proofErr w:type="spellStart"/>
      <w:r w:rsidRPr="00A259BD">
        <w:rPr>
          <w:rFonts w:ascii="Times New Roman" w:hAnsi="Times New Roman"/>
          <w:color w:val="000000" w:themeColor="text1"/>
          <w:sz w:val="16"/>
          <w:szCs w:val="16"/>
        </w:rPr>
        <w:t>течыо</w:t>
      </w:r>
      <w:proofErr w:type="spellEnd"/>
      <w:r w:rsidRPr="00A259BD">
        <w:rPr>
          <w:rFonts w:ascii="Times New Roman" w:hAnsi="Times New Roman"/>
          <w:color w:val="000000" w:themeColor="text1"/>
          <w:sz w:val="16"/>
          <w:szCs w:val="16"/>
        </w:rPr>
        <w:t xml:space="preserve"> радиатора. При эксплуатационных испытаниях выявились дефекты амортизаторов шасси, которые представляли собой резиновые пластинчатые буфера. Пластины </w:t>
      </w:r>
      <w:proofErr w:type="spellStart"/>
      <w:r w:rsidRPr="00A259BD">
        <w:rPr>
          <w:rFonts w:ascii="Times New Roman" w:hAnsi="Times New Roman"/>
          <w:color w:val="000000" w:themeColor="text1"/>
          <w:sz w:val="16"/>
          <w:szCs w:val="16"/>
        </w:rPr>
        <w:t>бысфо</w:t>
      </w:r>
      <w:proofErr w:type="spellEnd"/>
      <w:r w:rsidRPr="00A259BD">
        <w:rPr>
          <w:rFonts w:ascii="Times New Roman" w:hAnsi="Times New Roman"/>
          <w:color w:val="000000" w:themeColor="text1"/>
          <w:sz w:val="16"/>
          <w:szCs w:val="16"/>
        </w:rPr>
        <w:t xml:space="preserve"> сминались и смешались относительно друг друга. Причиной являлось низкое качество отечественной резины. Экипажи 84-го отряда (а на машине полетали </w:t>
      </w:r>
      <w:proofErr w:type="spellStart"/>
      <w:r w:rsidRPr="00A259BD">
        <w:rPr>
          <w:rFonts w:ascii="Times New Roman" w:hAnsi="Times New Roman"/>
          <w:color w:val="000000" w:themeColor="text1"/>
          <w:sz w:val="16"/>
          <w:szCs w:val="16"/>
        </w:rPr>
        <w:t>пягь</w:t>
      </w:r>
      <w:proofErr w:type="spellEnd"/>
      <w:r w:rsidRPr="00A259BD">
        <w:rPr>
          <w:rFonts w:ascii="Times New Roman" w:hAnsi="Times New Roman"/>
          <w:color w:val="000000" w:themeColor="text1"/>
          <w:sz w:val="16"/>
          <w:szCs w:val="16"/>
        </w:rPr>
        <w:t xml:space="preserve">-шесть разных экипажей) высказали еще ряд замечаний о размещении приборов, неудачном управлении во второй кабине, необходимости третьей подножки для влезания в кабину летнаба. Но в целом за время испытаний произошла лишь одна существенная поломка - 21 сентября в воздухе оторвался </w:t>
      </w:r>
      <w:proofErr w:type="spellStart"/>
      <w:r w:rsidRPr="00A259BD">
        <w:rPr>
          <w:rFonts w:ascii="Times New Roman" w:hAnsi="Times New Roman"/>
          <w:color w:val="000000" w:themeColor="text1"/>
          <w:sz w:val="16"/>
          <w:szCs w:val="16"/>
        </w:rPr>
        <w:t>шиток</w:t>
      </w:r>
      <w:proofErr w:type="spellEnd"/>
      <w:r w:rsidRPr="00A259BD">
        <w:rPr>
          <w:rFonts w:ascii="Times New Roman" w:hAnsi="Times New Roman"/>
          <w:color w:val="000000" w:themeColor="text1"/>
          <w:sz w:val="16"/>
          <w:szCs w:val="16"/>
        </w:rPr>
        <w:t xml:space="preserve"> (зализ) киля.</w:t>
      </w:r>
    </w:p>
    <w:p w14:paraId="69E359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Одновременно с этим в НИИ ВВС проводили облет второй машины.</w:t>
      </w:r>
    </w:p>
    <w:p w14:paraId="51F346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самолет заказывался одновременно с первым. В целом он соответствовал предыдущему, но имел французский карбюратор Зенит 60DC (вместо "родного" типа BMW). Вооружение смонтировали полностью, но радиостанция отсутствовала, а вместо фотоаппарата стоял макет.</w:t>
      </w:r>
    </w:p>
    <w:p w14:paraId="7CDC70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Костыль ужесточили так, что он почти не амортизировал. Это потом привело к тому, что начала быстро изнашиваться его пятка (12034).</w:t>
      </w:r>
    </w:p>
    <w:p w14:paraId="2FE531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B3ACF1" w14:textId="77777777" w:rsidR="001413AB" w:rsidRPr="00A259BD" w:rsidRDefault="001413AB" w:rsidP="009236E3">
      <w:pPr>
        <w:spacing w:after="0" w:line="240" w:lineRule="auto"/>
        <w:jc w:val="both"/>
        <w:rPr>
          <w:rFonts w:ascii="Times New Roman" w:hAnsi="Times New Roman"/>
          <w:color w:val="000000" w:themeColor="text1"/>
          <w:sz w:val="16"/>
          <w:szCs w:val="16"/>
          <w:lang w:eastAsia="ru-RU" w:bidi="ru-RU"/>
        </w:rPr>
      </w:pPr>
      <w:r w:rsidRPr="00A259BD">
        <w:rPr>
          <w:rFonts w:ascii="Times New Roman" w:hAnsi="Times New Roman"/>
          <w:color w:val="000000" w:themeColor="text1"/>
          <w:sz w:val="16"/>
          <w:szCs w:val="16"/>
          <w:lang w:eastAsia="ru-RU" w:bidi="ru-RU"/>
        </w:rPr>
        <w:t xml:space="preserve">11 июня 1929 г. после прибытия в Таганрог летчика </w:t>
      </w:r>
      <w:proofErr w:type="spellStart"/>
      <w:r w:rsidRPr="00A259BD">
        <w:rPr>
          <w:rFonts w:ascii="Times New Roman" w:hAnsi="Times New Roman"/>
          <w:color w:val="000000" w:themeColor="text1"/>
          <w:sz w:val="16"/>
          <w:szCs w:val="16"/>
          <w:lang w:eastAsia="ru-RU" w:bidi="ru-RU"/>
        </w:rPr>
        <w:t>Рыбальчука</w:t>
      </w:r>
      <w:proofErr w:type="spellEnd"/>
      <w:r w:rsidRPr="00A259BD">
        <w:rPr>
          <w:rFonts w:ascii="Times New Roman" w:hAnsi="Times New Roman"/>
          <w:color w:val="000000" w:themeColor="text1"/>
          <w:sz w:val="16"/>
          <w:szCs w:val="16"/>
          <w:lang w:eastAsia="ru-RU" w:bidi="ru-RU"/>
        </w:rPr>
        <w:t xml:space="preserve"> в Таганроге на заводе № 31 начали подготовку самолета РОМ к облету и последующе</w:t>
      </w:r>
      <w:r w:rsidRPr="00A259BD">
        <w:rPr>
          <w:rFonts w:ascii="Times New Roman" w:hAnsi="Times New Roman"/>
          <w:color w:val="000000" w:themeColor="text1"/>
          <w:sz w:val="16"/>
          <w:szCs w:val="16"/>
          <w:lang w:eastAsia="ru-RU" w:bidi="ru-RU"/>
        </w:rPr>
        <w:softHyphen/>
        <w:t>му перегону в Севастополь. При этом 13 ию</w:t>
      </w:r>
      <w:r w:rsidRPr="00A259BD">
        <w:rPr>
          <w:rFonts w:ascii="Times New Roman" w:hAnsi="Times New Roman"/>
          <w:color w:val="000000" w:themeColor="text1"/>
          <w:sz w:val="16"/>
          <w:szCs w:val="16"/>
          <w:lang w:eastAsia="ru-RU" w:bidi="ru-RU"/>
        </w:rPr>
        <w:softHyphen/>
        <w:t>ня случилось трагикомическое происшествие, к счастью, закончившееся вполне благополучно. Как отмечено в до</w:t>
      </w:r>
      <w:r w:rsidRPr="00A259BD">
        <w:rPr>
          <w:rFonts w:ascii="Times New Roman" w:hAnsi="Times New Roman"/>
          <w:color w:val="000000" w:themeColor="text1"/>
          <w:sz w:val="16"/>
          <w:szCs w:val="16"/>
          <w:lang w:eastAsia="ru-RU" w:bidi="ru-RU"/>
        </w:rPr>
        <w:softHyphen/>
        <w:t>кументах: «При отходе самолета в море находившийся в передней кабине самолета механик завода Смирнов взду</w:t>
      </w:r>
      <w:r w:rsidRPr="00A259BD">
        <w:rPr>
          <w:rFonts w:ascii="Times New Roman" w:hAnsi="Times New Roman"/>
          <w:color w:val="000000" w:themeColor="text1"/>
          <w:sz w:val="16"/>
          <w:szCs w:val="16"/>
          <w:lang w:eastAsia="ru-RU" w:bidi="ru-RU"/>
        </w:rPr>
        <w:softHyphen/>
        <w:t>мал протереть забрызганное стекло козырька пилота и по</w:t>
      </w:r>
      <w:r w:rsidRPr="00A259BD">
        <w:rPr>
          <w:rFonts w:ascii="Times New Roman" w:hAnsi="Times New Roman"/>
          <w:color w:val="000000" w:themeColor="text1"/>
          <w:sz w:val="16"/>
          <w:szCs w:val="16"/>
          <w:lang w:eastAsia="ru-RU" w:bidi="ru-RU"/>
        </w:rPr>
        <w:softHyphen/>
        <w:t>пал головой под винт. Рулежка была прекращена. Меха</w:t>
      </w:r>
      <w:r w:rsidRPr="00A259BD">
        <w:rPr>
          <w:rFonts w:ascii="Times New Roman" w:hAnsi="Times New Roman"/>
          <w:color w:val="000000" w:themeColor="text1"/>
          <w:sz w:val="16"/>
          <w:szCs w:val="16"/>
          <w:lang w:eastAsia="ru-RU" w:bidi="ru-RU"/>
        </w:rPr>
        <w:softHyphen/>
        <w:t>ник, получивший незначительные ссадины, был доставлен на берег и сам отправился за получением медицинской по</w:t>
      </w:r>
      <w:r w:rsidRPr="00A259BD">
        <w:rPr>
          <w:rFonts w:ascii="Times New Roman" w:hAnsi="Times New Roman"/>
          <w:color w:val="000000" w:themeColor="text1"/>
          <w:sz w:val="16"/>
          <w:szCs w:val="16"/>
          <w:lang w:eastAsia="ru-RU" w:bidi="ru-RU"/>
        </w:rPr>
        <w:softHyphen/>
        <w:t>мощи. На винте оказалась сорванной концевая полотня</w:t>
      </w:r>
      <w:r w:rsidRPr="00A259BD">
        <w:rPr>
          <w:rFonts w:ascii="Times New Roman" w:hAnsi="Times New Roman"/>
          <w:color w:val="000000" w:themeColor="text1"/>
          <w:sz w:val="16"/>
          <w:szCs w:val="16"/>
          <w:lang w:eastAsia="ru-RU" w:bidi="ru-RU"/>
        </w:rPr>
        <w:softHyphen/>
        <w:t>ная обшивка лопасти» (20325).</w:t>
      </w:r>
    </w:p>
    <w:p w14:paraId="70FE970E" w14:textId="77777777" w:rsidR="001413AB" w:rsidRPr="00A259BD" w:rsidRDefault="001413AB" w:rsidP="009236E3">
      <w:pPr>
        <w:spacing w:after="0" w:line="240" w:lineRule="auto"/>
        <w:jc w:val="both"/>
        <w:rPr>
          <w:rFonts w:ascii="Times New Roman" w:hAnsi="Times New Roman"/>
          <w:color w:val="000000" w:themeColor="text1"/>
          <w:sz w:val="16"/>
          <w:szCs w:val="16"/>
          <w:lang w:eastAsia="ru-RU" w:bidi="ru-RU"/>
        </w:rPr>
      </w:pPr>
    </w:p>
    <w:p w14:paraId="439F1467" w14:textId="77777777" w:rsidR="00041BB5" w:rsidRPr="006B74EB" w:rsidRDefault="00041BB5" w:rsidP="00041BB5">
      <w:pPr>
        <w:spacing w:after="0" w:line="240" w:lineRule="auto"/>
        <w:jc w:val="both"/>
        <w:rPr>
          <w:rFonts w:ascii="Times New Roman" w:hAnsi="Times New Roman"/>
          <w:color w:val="0070C0"/>
          <w:sz w:val="16"/>
          <w:szCs w:val="16"/>
        </w:rPr>
      </w:pPr>
      <w:r>
        <w:rPr>
          <w:rFonts w:ascii="Times New Roman" w:hAnsi="Times New Roman"/>
          <w:color w:val="0070C0"/>
          <w:sz w:val="16"/>
          <w:szCs w:val="16"/>
        </w:rPr>
        <w:t>11 июня 1929 г. в</w:t>
      </w:r>
      <w:r w:rsidRPr="006B74EB">
        <w:rPr>
          <w:rFonts w:ascii="Times New Roman" w:hAnsi="Times New Roman"/>
          <w:color w:val="0070C0"/>
          <w:sz w:val="16"/>
          <w:szCs w:val="16"/>
        </w:rPr>
        <w:t xml:space="preserve"> лаборатории факультет</w:t>
      </w:r>
      <w:r>
        <w:rPr>
          <w:rFonts w:ascii="Times New Roman" w:hAnsi="Times New Roman"/>
          <w:color w:val="0070C0"/>
          <w:sz w:val="16"/>
          <w:szCs w:val="16"/>
        </w:rPr>
        <w:t>а</w:t>
      </w:r>
      <w:r w:rsidRPr="006B74EB">
        <w:rPr>
          <w:rFonts w:ascii="Times New Roman" w:hAnsi="Times New Roman"/>
          <w:color w:val="0070C0"/>
          <w:sz w:val="16"/>
          <w:szCs w:val="16"/>
        </w:rPr>
        <w:t xml:space="preserve"> воздушных сообщений Ленин</w:t>
      </w:r>
      <w:r>
        <w:rPr>
          <w:rFonts w:ascii="Times New Roman" w:hAnsi="Times New Roman"/>
          <w:color w:val="0070C0"/>
          <w:sz w:val="16"/>
          <w:szCs w:val="16"/>
        </w:rPr>
        <w:t>градского</w:t>
      </w:r>
      <w:r w:rsidRPr="006B74EB">
        <w:rPr>
          <w:rFonts w:ascii="Times New Roman" w:hAnsi="Times New Roman"/>
          <w:color w:val="0070C0"/>
          <w:sz w:val="16"/>
          <w:szCs w:val="16"/>
        </w:rPr>
        <w:t xml:space="preserve"> института путей сообщения начались опыты по о</w:t>
      </w:r>
      <w:r>
        <w:rPr>
          <w:rFonts w:ascii="Times New Roman" w:hAnsi="Times New Roman"/>
          <w:color w:val="0070C0"/>
          <w:sz w:val="16"/>
          <w:szCs w:val="16"/>
        </w:rPr>
        <w:t>с</w:t>
      </w:r>
      <w:r w:rsidRPr="006B74EB">
        <w:rPr>
          <w:rFonts w:ascii="Times New Roman" w:hAnsi="Times New Roman"/>
          <w:color w:val="0070C0"/>
          <w:sz w:val="16"/>
          <w:szCs w:val="16"/>
        </w:rPr>
        <w:t>уществле</w:t>
      </w:r>
      <w:r>
        <w:rPr>
          <w:rFonts w:ascii="Times New Roman" w:hAnsi="Times New Roman"/>
          <w:color w:val="0070C0"/>
          <w:sz w:val="16"/>
          <w:szCs w:val="16"/>
        </w:rPr>
        <w:t xml:space="preserve">нию в </w:t>
      </w:r>
      <w:r w:rsidRPr="006B74EB">
        <w:rPr>
          <w:rFonts w:ascii="Times New Roman" w:hAnsi="Times New Roman"/>
          <w:color w:val="0070C0"/>
          <w:sz w:val="16"/>
          <w:szCs w:val="16"/>
        </w:rPr>
        <w:t xml:space="preserve">авиации </w:t>
      </w:r>
      <w:proofErr w:type="spellStart"/>
      <w:r w:rsidRPr="006B74EB">
        <w:rPr>
          <w:rFonts w:ascii="Times New Roman" w:hAnsi="Times New Roman"/>
          <w:color w:val="0070C0"/>
          <w:sz w:val="16"/>
          <w:szCs w:val="16"/>
        </w:rPr>
        <w:t>принчипа</w:t>
      </w:r>
      <w:proofErr w:type="spellEnd"/>
      <w:r w:rsidRPr="006B74EB">
        <w:rPr>
          <w:rFonts w:ascii="Times New Roman" w:hAnsi="Times New Roman"/>
          <w:color w:val="0070C0"/>
          <w:sz w:val="16"/>
          <w:szCs w:val="16"/>
        </w:rPr>
        <w:t xml:space="preserve"> “бесконечного“ полета,</w:t>
      </w:r>
      <w:r>
        <w:rPr>
          <w:rFonts w:ascii="Times New Roman" w:hAnsi="Times New Roman"/>
          <w:color w:val="0070C0"/>
          <w:sz w:val="16"/>
          <w:szCs w:val="16"/>
        </w:rPr>
        <w:t xml:space="preserve"> </w:t>
      </w:r>
      <w:r w:rsidRPr="006B74EB">
        <w:rPr>
          <w:rFonts w:ascii="Times New Roman" w:hAnsi="Times New Roman"/>
          <w:color w:val="0070C0"/>
          <w:sz w:val="16"/>
          <w:szCs w:val="16"/>
        </w:rPr>
        <w:t>т.е. полета без запа</w:t>
      </w:r>
      <w:r>
        <w:rPr>
          <w:rFonts w:ascii="Times New Roman" w:hAnsi="Times New Roman"/>
          <w:color w:val="0070C0"/>
          <w:sz w:val="16"/>
          <w:szCs w:val="16"/>
        </w:rPr>
        <w:t>сов</w:t>
      </w:r>
      <w:r w:rsidRPr="006B74EB">
        <w:rPr>
          <w:rFonts w:ascii="Times New Roman" w:hAnsi="Times New Roman"/>
          <w:color w:val="0070C0"/>
          <w:sz w:val="16"/>
          <w:szCs w:val="16"/>
        </w:rPr>
        <w:t xml:space="preserve"> гор</w:t>
      </w:r>
      <w:r>
        <w:rPr>
          <w:rFonts w:ascii="Times New Roman" w:hAnsi="Times New Roman"/>
          <w:color w:val="0070C0"/>
          <w:sz w:val="16"/>
          <w:szCs w:val="16"/>
        </w:rPr>
        <w:t>ю</w:t>
      </w:r>
      <w:r w:rsidRPr="006B74EB">
        <w:rPr>
          <w:rFonts w:ascii="Times New Roman" w:hAnsi="Times New Roman"/>
          <w:color w:val="0070C0"/>
          <w:sz w:val="16"/>
          <w:szCs w:val="16"/>
        </w:rPr>
        <w:t>чего.</w:t>
      </w:r>
      <w:r>
        <w:rPr>
          <w:rFonts w:ascii="Times New Roman" w:hAnsi="Times New Roman"/>
          <w:color w:val="0070C0"/>
          <w:sz w:val="16"/>
          <w:szCs w:val="16"/>
        </w:rPr>
        <w:t xml:space="preserve"> Р</w:t>
      </w:r>
      <w:r w:rsidRPr="006B74EB">
        <w:rPr>
          <w:rFonts w:ascii="Times New Roman" w:hAnsi="Times New Roman"/>
          <w:color w:val="0070C0"/>
          <w:sz w:val="16"/>
          <w:szCs w:val="16"/>
        </w:rPr>
        <w:t>уководитель опытов проф.</w:t>
      </w:r>
      <w:r>
        <w:rPr>
          <w:rFonts w:ascii="Times New Roman" w:hAnsi="Times New Roman"/>
          <w:color w:val="0070C0"/>
          <w:sz w:val="16"/>
          <w:szCs w:val="16"/>
        </w:rPr>
        <w:t xml:space="preserve"> </w:t>
      </w:r>
      <w:proofErr w:type="spellStart"/>
      <w:r>
        <w:rPr>
          <w:rFonts w:ascii="Times New Roman" w:hAnsi="Times New Roman"/>
          <w:color w:val="0070C0"/>
          <w:sz w:val="16"/>
          <w:szCs w:val="16"/>
        </w:rPr>
        <w:t>И</w:t>
      </w:r>
      <w:r w:rsidRPr="006B74EB">
        <w:rPr>
          <w:rFonts w:ascii="Times New Roman" w:hAnsi="Times New Roman"/>
          <w:color w:val="0070C0"/>
          <w:sz w:val="16"/>
          <w:szCs w:val="16"/>
        </w:rPr>
        <w:t>.А.Рынин</w:t>
      </w:r>
      <w:proofErr w:type="spellEnd"/>
      <w:r w:rsidRPr="006B74EB">
        <w:rPr>
          <w:rFonts w:ascii="Times New Roman" w:hAnsi="Times New Roman"/>
          <w:color w:val="0070C0"/>
          <w:sz w:val="16"/>
          <w:szCs w:val="16"/>
        </w:rPr>
        <w:t xml:space="preserve"> полагал осуще</w:t>
      </w:r>
      <w:r>
        <w:rPr>
          <w:rFonts w:ascii="Times New Roman" w:hAnsi="Times New Roman"/>
          <w:color w:val="0070C0"/>
          <w:sz w:val="16"/>
          <w:szCs w:val="16"/>
        </w:rPr>
        <w:t>ствить</w:t>
      </w:r>
      <w:r w:rsidRPr="006B74EB">
        <w:rPr>
          <w:rFonts w:ascii="Times New Roman" w:hAnsi="Times New Roman"/>
          <w:color w:val="0070C0"/>
          <w:sz w:val="16"/>
          <w:szCs w:val="16"/>
        </w:rPr>
        <w:t xml:space="preserve"> этот принцип путем образования на больших высотах /порядка </w:t>
      </w:r>
      <w:r>
        <w:rPr>
          <w:rFonts w:ascii="Times New Roman" w:hAnsi="Times New Roman"/>
          <w:color w:val="0070C0"/>
          <w:sz w:val="16"/>
          <w:szCs w:val="16"/>
        </w:rPr>
        <w:t>несколько</w:t>
      </w:r>
      <w:r w:rsidRPr="006B74EB">
        <w:rPr>
          <w:rFonts w:ascii="Times New Roman" w:hAnsi="Times New Roman"/>
          <w:color w:val="0070C0"/>
          <w:sz w:val="16"/>
          <w:szCs w:val="16"/>
        </w:rPr>
        <w:t xml:space="preserve"> десятков километров/ гремучего газа,</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который мог бы заменить </w:t>
      </w:r>
      <w:r>
        <w:rPr>
          <w:rFonts w:ascii="Times New Roman" w:hAnsi="Times New Roman"/>
          <w:color w:val="0070C0"/>
          <w:sz w:val="16"/>
          <w:szCs w:val="16"/>
        </w:rPr>
        <w:t>пары</w:t>
      </w:r>
      <w:r w:rsidRPr="006B74EB">
        <w:rPr>
          <w:rFonts w:ascii="Times New Roman" w:hAnsi="Times New Roman"/>
          <w:color w:val="0070C0"/>
          <w:sz w:val="16"/>
          <w:szCs w:val="16"/>
        </w:rPr>
        <w:t xml:space="preserve"> б</w:t>
      </w:r>
      <w:r>
        <w:rPr>
          <w:rFonts w:ascii="Times New Roman" w:hAnsi="Times New Roman"/>
          <w:color w:val="0070C0"/>
          <w:sz w:val="16"/>
          <w:szCs w:val="16"/>
        </w:rPr>
        <w:t>ен</w:t>
      </w:r>
      <w:r w:rsidRPr="006B74EB">
        <w:rPr>
          <w:rFonts w:ascii="Times New Roman" w:hAnsi="Times New Roman"/>
          <w:color w:val="0070C0"/>
          <w:sz w:val="16"/>
          <w:szCs w:val="16"/>
        </w:rPr>
        <w:t>з</w:t>
      </w:r>
      <w:r>
        <w:rPr>
          <w:rFonts w:ascii="Times New Roman" w:hAnsi="Times New Roman"/>
          <w:color w:val="0070C0"/>
          <w:sz w:val="16"/>
          <w:szCs w:val="16"/>
        </w:rPr>
        <w:t>ин</w:t>
      </w:r>
      <w:r w:rsidRPr="006B74EB">
        <w:rPr>
          <w:rFonts w:ascii="Times New Roman" w:hAnsi="Times New Roman"/>
          <w:color w:val="0070C0"/>
          <w:sz w:val="16"/>
          <w:szCs w:val="16"/>
        </w:rPr>
        <w:t>а.</w:t>
      </w:r>
      <w:r>
        <w:rPr>
          <w:rFonts w:ascii="Times New Roman" w:hAnsi="Times New Roman"/>
          <w:color w:val="0070C0"/>
          <w:sz w:val="16"/>
          <w:szCs w:val="16"/>
        </w:rPr>
        <w:t xml:space="preserve"> Д</w:t>
      </w:r>
      <w:r w:rsidRPr="006B74EB">
        <w:rPr>
          <w:rFonts w:ascii="Times New Roman" w:hAnsi="Times New Roman"/>
          <w:color w:val="0070C0"/>
          <w:sz w:val="16"/>
          <w:szCs w:val="16"/>
        </w:rPr>
        <w:t xml:space="preserve">ля </w:t>
      </w:r>
      <w:r>
        <w:rPr>
          <w:rFonts w:ascii="Times New Roman" w:hAnsi="Times New Roman"/>
          <w:color w:val="0070C0"/>
          <w:sz w:val="16"/>
          <w:szCs w:val="16"/>
        </w:rPr>
        <w:t>э</w:t>
      </w:r>
      <w:r w:rsidRPr="006B74EB">
        <w:rPr>
          <w:rFonts w:ascii="Times New Roman" w:hAnsi="Times New Roman"/>
          <w:color w:val="0070C0"/>
          <w:sz w:val="16"/>
          <w:szCs w:val="16"/>
        </w:rPr>
        <w:t xml:space="preserve">того предполагалось снабдить мотор </w:t>
      </w:r>
      <w:proofErr w:type="spellStart"/>
      <w:r w:rsidRPr="006B74EB">
        <w:rPr>
          <w:rFonts w:ascii="Times New Roman" w:hAnsi="Times New Roman"/>
          <w:color w:val="0070C0"/>
          <w:sz w:val="16"/>
          <w:szCs w:val="16"/>
        </w:rPr>
        <w:t>турбокомпре</w:t>
      </w:r>
      <w:r>
        <w:rPr>
          <w:rFonts w:ascii="Times New Roman" w:hAnsi="Times New Roman"/>
          <w:color w:val="0070C0"/>
          <w:sz w:val="16"/>
          <w:szCs w:val="16"/>
        </w:rPr>
        <w:t>ссо</w:t>
      </w:r>
      <w:r w:rsidRPr="006B74EB">
        <w:rPr>
          <w:rFonts w:ascii="Times New Roman" w:hAnsi="Times New Roman"/>
          <w:color w:val="0070C0"/>
          <w:sz w:val="16"/>
          <w:szCs w:val="16"/>
        </w:rPr>
        <w:t>po</w:t>
      </w:r>
      <w:r>
        <w:rPr>
          <w:rFonts w:ascii="Times New Roman" w:hAnsi="Times New Roman"/>
          <w:color w:val="0070C0"/>
          <w:sz w:val="16"/>
          <w:szCs w:val="16"/>
        </w:rPr>
        <w:t>м</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который забирал бы разреженную смесь кислорода с водородом</w:t>
      </w:r>
      <w:r>
        <w:rPr>
          <w:rFonts w:ascii="Times New Roman" w:hAnsi="Times New Roman"/>
          <w:color w:val="0070C0"/>
          <w:sz w:val="16"/>
          <w:szCs w:val="16"/>
        </w:rPr>
        <w:t xml:space="preserve"> и сжимал ее</w:t>
      </w:r>
      <w:r w:rsidRPr="006B74EB">
        <w:rPr>
          <w:rFonts w:ascii="Times New Roman" w:hAnsi="Times New Roman"/>
          <w:color w:val="0070C0"/>
          <w:sz w:val="16"/>
          <w:szCs w:val="16"/>
        </w:rPr>
        <w:t xml:space="preserve"> до</w:t>
      </w:r>
      <w:r>
        <w:rPr>
          <w:rFonts w:ascii="Times New Roman" w:hAnsi="Times New Roman"/>
          <w:color w:val="0070C0"/>
          <w:sz w:val="16"/>
          <w:szCs w:val="16"/>
        </w:rPr>
        <w:t xml:space="preserve"> определенной </w:t>
      </w:r>
      <w:r w:rsidRPr="006B74EB">
        <w:rPr>
          <w:rFonts w:ascii="Times New Roman" w:hAnsi="Times New Roman"/>
          <w:color w:val="0070C0"/>
          <w:sz w:val="16"/>
          <w:szCs w:val="16"/>
        </w:rPr>
        <w:t>плотности, приготовляя из нее горю</w:t>
      </w:r>
      <w:r>
        <w:rPr>
          <w:rFonts w:ascii="Times New Roman" w:hAnsi="Times New Roman"/>
          <w:color w:val="0070C0"/>
          <w:sz w:val="16"/>
          <w:szCs w:val="16"/>
        </w:rPr>
        <w:t>чее для</w:t>
      </w:r>
      <w:r w:rsidRPr="006B74EB">
        <w:rPr>
          <w:rFonts w:ascii="Times New Roman" w:hAnsi="Times New Roman"/>
          <w:color w:val="0070C0"/>
          <w:sz w:val="16"/>
          <w:szCs w:val="16"/>
        </w:rPr>
        <w:t xml:space="preserve"> мотора</w:t>
      </w:r>
      <w:r>
        <w:rPr>
          <w:rFonts w:ascii="Times New Roman" w:hAnsi="Times New Roman"/>
          <w:color w:val="0070C0"/>
          <w:sz w:val="16"/>
          <w:szCs w:val="16"/>
        </w:rPr>
        <w:t>. Д</w:t>
      </w:r>
      <w:r w:rsidRPr="006B74EB">
        <w:rPr>
          <w:rFonts w:ascii="Times New Roman" w:hAnsi="Times New Roman"/>
          <w:color w:val="0070C0"/>
          <w:sz w:val="16"/>
          <w:szCs w:val="16"/>
        </w:rPr>
        <w:t>ля доставки самолета на большие высоты проектиро</w:t>
      </w:r>
      <w:r>
        <w:rPr>
          <w:rFonts w:ascii="Times New Roman" w:hAnsi="Times New Roman"/>
          <w:color w:val="0070C0"/>
          <w:sz w:val="16"/>
          <w:szCs w:val="16"/>
        </w:rPr>
        <w:t xml:space="preserve">вались </w:t>
      </w:r>
      <w:r w:rsidRPr="006B74EB">
        <w:rPr>
          <w:rFonts w:ascii="Times New Roman" w:hAnsi="Times New Roman"/>
          <w:color w:val="0070C0"/>
          <w:sz w:val="16"/>
          <w:szCs w:val="16"/>
        </w:rPr>
        <w:t>катапульты,</w:t>
      </w:r>
      <w:r>
        <w:rPr>
          <w:rFonts w:ascii="Times New Roman" w:hAnsi="Times New Roman"/>
          <w:color w:val="0070C0"/>
          <w:sz w:val="16"/>
          <w:szCs w:val="16"/>
        </w:rPr>
        <w:t xml:space="preserve"> </w:t>
      </w:r>
      <w:r w:rsidRPr="006B74EB">
        <w:rPr>
          <w:rFonts w:ascii="Times New Roman" w:hAnsi="Times New Roman"/>
          <w:color w:val="0070C0"/>
          <w:sz w:val="16"/>
          <w:szCs w:val="16"/>
        </w:rPr>
        <w:t>ракеты.</w:t>
      </w:r>
      <w:r>
        <w:rPr>
          <w:rFonts w:ascii="Times New Roman" w:hAnsi="Times New Roman"/>
          <w:color w:val="0070C0"/>
          <w:sz w:val="16"/>
          <w:szCs w:val="16"/>
        </w:rPr>
        <w:t xml:space="preserve"> </w:t>
      </w:r>
      <w:r w:rsidRPr="006B74EB">
        <w:rPr>
          <w:rFonts w:ascii="Times New Roman" w:hAnsi="Times New Roman"/>
          <w:color w:val="0070C0"/>
          <w:sz w:val="16"/>
          <w:szCs w:val="16"/>
        </w:rPr>
        <w:t>При состоянии техники того времени по</w:t>
      </w:r>
      <w:r>
        <w:rPr>
          <w:rFonts w:ascii="Times New Roman" w:hAnsi="Times New Roman"/>
          <w:color w:val="0070C0"/>
          <w:sz w:val="16"/>
          <w:szCs w:val="16"/>
        </w:rPr>
        <w:t>добные</w:t>
      </w:r>
      <w:r w:rsidRPr="006B74EB">
        <w:rPr>
          <w:rFonts w:ascii="Times New Roman" w:hAnsi="Times New Roman"/>
          <w:color w:val="0070C0"/>
          <w:sz w:val="16"/>
          <w:szCs w:val="16"/>
        </w:rPr>
        <w:t xml:space="preserve"> опыты не могли увенчаться успехом и имели скорее теорети</w:t>
      </w:r>
      <w:r>
        <w:rPr>
          <w:rFonts w:ascii="Times New Roman" w:hAnsi="Times New Roman"/>
          <w:color w:val="0070C0"/>
          <w:sz w:val="16"/>
          <w:szCs w:val="16"/>
        </w:rPr>
        <w:t>ческ</w:t>
      </w:r>
      <w:r w:rsidRPr="006B74EB">
        <w:rPr>
          <w:rFonts w:ascii="Times New Roman" w:hAnsi="Times New Roman"/>
          <w:color w:val="0070C0"/>
          <w:sz w:val="16"/>
          <w:szCs w:val="16"/>
        </w:rPr>
        <w:t>ий характер.</w:t>
      </w:r>
    </w:p>
    <w:p w14:paraId="48DE8B02" w14:textId="77777777" w:rsidR="00041BB5" w:rsidRDefault="00041BB5" w:rsidP="00041BB5">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/«Красная звезда</w:t>
      </w:r>
      <w:r>
        <w:rPr>
          <w:rFonts w:ascii="Times New Roman" w:hAnsi="Times New Roman"/>
          <w:color w:val="0070C0"/>
          <w:sz w:val="16"/>
          <w:szCs w:val="16"/>
        </w:rPr>
        <w:t>»</w:t>
      </w:r>
      <w:r w:rsidRPr="006B74EB">
        <w:rPr>
          <w:rFonts w:ascii="Times New Roman" w:hAnsi="Times New Roman"/>
          <w:color w:val="0070C0"/>
          <w:sz w:val="16"/>
          <w:szCs w:val="16"/>
        </w:rPr>
        <w:t xml:space="preserve"> за 12 июня 1929 г./</w:t>
      </w:r>
      <w:r>
        <w:rPr>
          <w:rFonts w:ascii="Times New Roman" w:hAnsi="Times New Roman"/>
          <w:color w:val="0070C0"/>
          <w:sz w:val="16"/>
          <w:szCs w:val="16"/>
        </w:rPr>
        <w:t xml:space="preserve"> (23370).</w:t>
      </w:r>
    </w:p>
    <w:p w14:paraId="1C87B288" w14:textId="77777777" w:rsidR="00041BB5" w:rsidRPr="006B74EB" w:rsidRDefault="00041BB5" w:rsidP="00041BB5">
      <w:pPr>
        <w:spacing w:after="0" w:line="240" w:lineRule="auto"/>
        <w:jc w:val="both"/>
        <w:rPr>
          <w:rFonts w:ascii="Times New Roman" w:hAnsi="Times New Roman"/>
          <w:color w:val="0070C0"/>
          <w:sz w:val="16"/>
          <w:szCs w:val="16"/>
        </w:rPr>
      </w:pPr>
    </w:p>
    <w:p w14:paraId="06A704A3" w14:textId="77777777" w:rsidR="00E118F4" w:rsidRPr="00A259BD" w:rsidRDefault="00E118F4"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июня 1929 г. </w:t>
      </w:r>
      <w:proofErr w:type="spellStart"/>
      <w:r w:rsidRPr="00A259BD">
        <w:rPr>
          <w:rFonts w:ascii="Times New Roman" w:hAnsi="Times New Roman"/>
          <w:color w:val="000000" w:themeColor="text1"/>
          <w:sz w:val="16"/>
          <w:szCs w:val="16"/>
        </w:rPr>
        <w:t>Н.И.Тихомиров</w:t>
      </w:r>
      <w:proofErr w:type="spellEnd"/>
      <w:r w:rsidRPr="00A259BD">
        <w:rPr>
          <w:rFonts w:ascii="Times New Roman" w:hAnsi="Times New Roman"/>
          <w:color w:val="000000" w:themeColor="text1"/>
          <w:sz w:val="16"/>
          <w:szCs w:val="16"/>
        </w:rPr>
        <w:t xml:space="preserve"> подал заявление в Отдел Военных изобретений Комитета по делам изобретений на выдачу патента «Способ изготовления прессованного бездымного пороха на твердых растворителях», а 3 июля 1929 г. между </w:t>
      </w:r>
      <w:proofErr w:type="spellStart"/>
      <w:r w:rsidRPr="00A259BD">
        <w:rPr>
          <w:rFonts w:ascii="Times New Roman" w:hAnsi="Times New Roman"/>
          <w:color w:val="000000" w:themeColor="text1"/>
          <w:sz w:val="16"/>
          <w:szCs w:val="16"/>
        </w:rPr>
        <w:t>Н.И.Тихомировым</w:t>
      </w:r>
      <w:proofErr w:type="spellEnd"/>
      <w:r w:rsidRPr="00A259BD">
        <w:rPr>
          <w:rFonts w:ascii="Times New Roman" w:hAnsi="Times New Roman"/>
          <w:color w:val="000000" w:themeColor="text1"/>
          <w:sz w:val="16"/>
          <w:szCs w:val="16"/>
        </w:rPr>
        <w:t xml:space="preserve"> и Народным Комиссариатом Военно-Морских Сил РККА заключается договор о безвозмездной передаче прав на это и другие его изобретения. Постановление IV секция Комитета по делам изобретений от 29 января 1930 г. о выдаче этого патента Народному Комиссариату Военно-Морских Сил РККА (действительный изобретатель </w:t>
      </w:r>
      <w:proofErr w:type="spellStart"/>
      <w:r w:rsidRPr="00A259BD">
        <w:rPr>
          <w:rFonts w:ascii="Times New Roman" w:hAnsi="Times New Roman"/>
          <w:color w:val="000000" w:themeColor="text1"/>
          <w:sz w:val="16"/>
          <w:szCs w:val="16"/>
        </w:rPr>
        <w:t>Н.И.Тихомиров</w:t>
      </w:r>
      <w:proofErr w:type="spellEnd"/>
      <w:r w:rsidRPr="00A259BD">
        <w:rPr>
          <w:rFonts w:ascii="Times New Roman" w:hAnsi="Times New Roman"/>
          <w:color w:val="000000" w:themeColor="text1"/>
          <w:sz w:val="16"/>
          <w:szCs w:val="16"/>
        </w:rPr>
        <w:t xml:space="preserve">). Подписано оно было экспертами </w:t>
      </w:r>
      <w:proofErr w:type="spellStart"/>
      <w:r w:rsidRPr="00A259BD">
        <w:rPr>
          <w:rFonts w:ascii="Times New Roman" w:hAnsi="Times New Roman"/>
          <w:color w:val="000000" w:themeColor="text1"/>
          <w:sz w:val="16"/>
          <w:szCs w:val="16"/>
        </w:rPr>
        <w:t>И.П.Граве</w:t>
      </w:r>
      <w:proofErr w:type="spellEnd"/>
      <w:r w:rsidRPr="00A259BD">
        <w:rPr>
          <w:rFonts w:ascii="Times New Roman" w:hAnsi="Times New Roman"/>
          <w:color w:val="000000" w:themeColor="text1"/>
          <w:sz w:val="16"/>
          <w:szCs w:val="16"/>
        </w:rPr>
        <w:t xml:space="preserve"> и Солониным25. Патент за № 384 выдан 20 июня 1930 г. Порохом ПТП были отработаны все основные виды реактивного вооружения, начиная с 1928 по 1939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xml:space="preserve"> (15252).</w:t>
      </w:r>
    </w:p>
    <w:p w14:paraId="50699E5B" w14:textId="77777777" w:rsidR="00E118F4" w:rsidRPr="00A259BD" w:rsidRDefault="00E118F4" w:rsidP="009236E3">
      <w:pPr>
        <w:shd w:val="clear" w:color="auto" w:fill="FFFFFF"/>
        <w:spacing w:after="0" w:line="240" w:lineRule="auto"/>
        <w:jc w:val="both"/>
        <w:rPr>
          <w:rFonts w:ascii="Times New Roman" w:hAnsi="Times New Roman"/>
          <w:color w:val="000000" w:themeColor="text1"/>
          <w:sz w:val="16"/>
          <w:szCs w:val="16"/>
        </w:rPr>
      </w:pPr>
    </w:p>
    <w:p w14:paraId="7EECEB49" w14:textId="77777777" w:rsidR="00077238"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20B54BE" w14:textId="77777777" w:rsidR="00077238" w:rsidRPr="00A259BD"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7BED55D" w14:textId="77777777" w:rsidR="00077238" w:rsidRPr="00A259BD" w:rsidRDefault="0007723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июня 1929 г. Постановление Постоянного мобилизационного совещания при Президиуме ВСНХ СССР об учете нужд обороны в контрольных цифрах 1929/30 г. (РГАЭ. Ф. 3429. Оп. 6. Д. 193. Л. 64?61) (12417).</w:t>
      </w:r>
    </w:p>
    <w:p w14:paraId="1F0C308C" w14:textId="77777777" w:rsidR="00077238" w:rsidRPr="00A259BD" w:rsidRDefault="00077238" w:rsidP="009236E3">
      <w:pPr>
        <w:spacing w:after="0" w:line="240" w:lineRule="auto"/>
        <w:jc w:val="both"/>
        <w:rPr>
          <w:rFonts w:ascii="Times New Roman" w:hAnsi="Times New Roman"/>
          <w:color w:val="000000" w:themeColor="text1"/>
          <w:sz w:val="16"/>
          <w:szCs w:val="16"/>
        </w:rPr>
      </w:pPr>
    </w:p>
    <w:p w14:paraId="31AF2395" w14:textId="77777777" w:rsidR="00077238" w:rsidRPr="00A259BD" w:rsidRDefault="0007723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июня 1929 г. Протокол заседания Постоянного мобилизационного совещания при Президиуме ВСНХ СССР. 1. О производстве магнето и патрубков на заводе № 12. 2. Задание по оборонной части контрольных цифр 1929/30 г. 3. О выполнении </w:t>
      </w:r>
      <w:proofErr w:type="spellStart"/>
      <w:r w:rsidRPr="00A259BD">
        <w:rPr>
          <w:rFonts w:ascii="Times New Roman" w:hAnsi="Times New Roman"/>
          <w:color w:val="000000" w:themeColor="text1"/>
          <w:sz w:val="16"/>
          <w:szCs w:val="16"/>
        </w:rPr>
        <w:t>Главхимом</w:t>
      </w:r>
      <w:proofErr w:type="spellEnd"/>
      <w:r w:rsidRPr="00A259BD">
        <w:rPr>
          <w:rFonts w:ascii="Times New Roman" w:hAnsi="Times New Roman"/>
          <w:color w:val="000000" w:themeColor="text1"/>
          <w:sz w:val="16"/>
          <w:szCs w:val="16"/>
        </w:rPr>
        <w:t xml:space="preserve"> задания по азотному строительству и постановления Президиума ВСНХ СССР от 7 марта 1929 г. 4. Об обеспечении </w:t>
      </w:r>
      <w:proofErr w:type="spellStart"/>
      <w:r w:rsidRPr="00A259BD">
        <w:rPr>
          <w:rFonts w:ascii="Times New Roman" w:hAnsi="Times New Roman"/>
          <w:color w:val="000000" w:themeColor="text1"/>
          <w:sz w:val="16"/>
          <w:szCs w:val="16"/>
        </w:rPr>
        <w:t>Вокистреста</w:t>
      </w:r>
      <w:proofErr w:type="spellEnd"/>
      <w:r w:rsidRPr="00A259BD">
        <w:rPr>
          <w:rFonts w:ascii="Times New Roman" w:hAnsi="Times New Roman"/>
          <w:color w:val="000000" w:themeColor="text1"/>
          <w:sz w:val="16"/>
          <w:szCs w:val="16"/>
        </w:rPr>
        <w:t xml:space="preserve"> строительными материалами. 5. Проект строительных правил и норм для проектирования и возведения жилых домов при заводах и фабриках СССР на военное время. 6. Об ассигновании средств на организацию общежития для слушателей военно-промышленного отделения при ВТА в Ленинграде и ВВ Сил. 7. О выполнении постановления ПМС от 19 марта 1929 г. 8. О проработке второго эшелона </w:t>
      </w:r>
      <w:proofErr w:type="spellStart"/>
      <w:r w:rsidRPr="00A259BD">
        <w:rPr>
          <w:rFonts w:ascii="Times New Roman" w:hAnsi="Times New Roman"/>
          <w:color w:val="000000" w:themeColor="text1"/>
          <w:sz w:val="16"/>
          <w:szCs w:val="16"/>
        </w:rPr>
        <w:t>промфинплана</w:t>
      </w:r>
      <w:proofErr w:type="spellEnd"/>
      <w:r w:rsidRPr="00A259BD">
        <w:rPr>
          <w:rFonts w:ascii="Times New Roman" w:hAnsi="Times New Roman"/>
          <w:color w:val="000000" w:themeColor="text1"/>
          <w:sz w:val="16"/>
          <w:szCs w:val="16"/>
        </w:rPr>
        <w:t xml:space="preserve"> на первый период войны (РГАЭ. Ф. 3429. Оп. 16. Д. 3. Л. 11?11 об.) (12417).</w:t>
      </w:r>
    </w:p>
    <w:p w14:paraId="26F4D1DD" w14:textId="77777777" w:rsidR="00077238" w:rsidRPr="00A259BD" w:rsidRDefault="00077238" w:rsidP="009236E3">
      <w:pPr>
        <w:spacing w:after="0" w:line="240" w:lineRule="auto"/>
        <w:jc w:val="both"/>
        <w:rPr>
          <w:rFonts w:ascii="Times New Roman" w:hAnsi="Times New Roman"/>
          <w:color w:val="000000" w:themeColor="text1"/>
          <w:sz w:val="16"/>
          <w:szCs w:val="16"/>
        </w:rPr>
      </w:pPr>
    </w:p>
    <w:p w14:paraId="1923D0BF" w14:textId="3DFD1162" w:rsidR="00E118F4" w:rsidRPr="00A259BD" w:rsidRDefault="00E118F4" w:rsidP="009236E3">
      <w:pPr>
        <w:autoSpaceDE w:val="0"/>
        <w:autoSpaceDN w:val="0"/>
        <w:adjustRightInd w:val="0"/>
        <w:spacing w:after="0" w:line="240" w:lineRule="auto"/>
        <w:jc w:val="both"/>
        <w:rPr>
          <w:rFonts w:ascii="Times New Roman" w:hAnsi="Times New Roman"/>
          <w:i/>
          <w:color w:val="000000" w:themeColor="text1"/>
          <w:sz w:val="16"/>
          <w:szCs w:val="16"/>
        </w:rPr>
      </w:pPr>
      <w:r w:rsidRPr="00A259BD">
        <w:rPr>
          <w:rFonts w:ascii="Times New Roman" w:hAnsi="Times New Roman"/>
          <w:i/>
          <w:color w:val="000000" w:themeColor="text1"/>
          <w:sz w:val="16"/>
          <w:szCs w:val="16"/>
        </w:rPr>
        <w:t>Жизнь и внутрен</w:t>
      </w:r>
      <w:r w:rsidR="001413AB" w:rsidRPr="00A259BD">
        <w:rPr>
          <w:rFonts w:ascii="Times New Roman" w:hAnsi="Times New Roman"/>
          <w:i/>
          <w:color w:val="000000" w:themeColor="text1"/>
          <w:sz w:val="16"/>
          <w:szCs w:val="16"/>
        </w:rPr>
        <w:t>н</w:t>
      </w:r>
      <w:r w:rsidRPr="00A259BD">
        <w:rPr>
          <w:rFonts w:ascii="Times New Roman" w:hAnsi="Times New Roman"/>
          <w:i/>
          <w:color w:val="000000" w:themeColor="text1"/>
          <w:sz w:val="16"/>
          <w:szCs w:val="16"/>
        </w:rPr>
        <w:t>яя политика:</w:t>
      </w:r>
    </w:p>
    <w:p w14:paraId="0E0BF17A" w14:textId="77777777" w:rsidR="00E118F4" w:rsidRPr="00A259BD" w:rsidRDefault="00E118F4" w:rsidP="009236E3">
      <w:pPr>
        <w:autoSpaceDE w:val="0"/>
        <w:autoSpaceDN w:val="0"/>
        <w:adjustRightInd w:val="0"/>
        <w:spacing w:after="0" w:line="240" w:lineRule="auto"/>
        <w:jc w:val="both"/>
        <w:rPr>
          <w:rFonts w:ascii="Times New Roman" w:hAnsi="Times New Roman"/>
          <w:i/>
          <w:color w:val="000000" w:themeColor="text1"/>
          <w:sz w:val="16"/>
          <w:szCs w:val="16"/>
        </w:rPr>
      </w:pPr>
    </w:p>
    <w:p w14:paraId="7B3B90BC" w14:textId="77777777" w:rsidR="00E118F4" w:rsidRPr="00A259BD" w:rsidRDefault="00E118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июня 1929 г. в выпуске «Правды» № 131 сообщалось об аварии одного итальян</w:t>
      </w:r>
      <w:r w:rsidRPr="00A259BD">
        <w:rPr>
          <w:rFonts w:ascii="Times New Roman" w:hAnsi="Times New Roman"/>
          <w:color w:val="000000" w:themeColor="text1"/>
          <w:sz w:val="16"/>
          <w:szCs w:val="16"/>
        </w:rPr>
        <w:softHyphen/>
        <w:t>ского гидросамолёта: «Одесса, 10 июня (ТАСС). По пути в Одессу один из итальянских ги</w:t>
      </w:r>
      <w:r w:rsidRPr="00A259BD">
        <w:rPr>
          <w:rFonts w:ascii="Times New Roman" w:hAnsi="Times New Roman"/>
          <w:color w:val="000000" w:themeColor="text1"/>
          <w:sz w:val="16"/>
          <w:szCs w:val="16"/>
        </w:rPr>
        <w:softHyphen/>
        <w:t>дропланов потерпел аварию и совершил вынужденную посадку на Днестровском лимане. На помощь гидроплану из Одессы вышел итальянский контрминоносец, который доставил гидроплан на буксире в Одессу» (15843).</w:t>
      </w:r>
    </w:p>
    <w:p w14:paraId="372C7E13" w14:textId="77777777" w:rsidR="00E118F4" w:rsidRPr="00A259BD" w:rsidRDefault="00E118F4" w:rsidP="009236E3">
      <w:pPr>
        <w:spacing w:after="0" w:line="240" w:lineRule="auto"/>
        <w:jc w:val="both"/>
        <w:rPr>
          <w:rFonts w:ascii="Times New Roman" w:hAnsi="Times New Roman"/>
          <w:color w:val="000000" w:themeColor="text1"/>
          <w:sz w:val="16"/>
          <w:szCs w:val="16"/>
        </w:rPr>
      </w:pPr>
    </w:p>
    <w:p w14:paraId="3C924F7C" w14:textId="77777777" w:rsidR="008C5053" w:rsidRPr="00A259BD" w:rsidRDefault="008C5053"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4001C6A" w14:textId="77777777" w:rsidR="008C5053" w:rsidRPr="00A259BD" w:rsidRDefault="008C505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E606E8" w14:textId="77777777" w:rsidR="001413AB" w:rsidRPr="00A259BD" w:rsidRDefault="001413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июня 1929 г. первый полет </w:t>
      </w:r>
      <w:proofErr w:type="spellStart"/>
      <w:r w:rsidRPr="00A259BD">
        <w:rPr>
          <w:rFonts w:ascii="Times New Roman" w:hAnsi="Times New Roman"/>
          <w:color w:val="000000" w:themeColor="text1"/>
          <w:sz w:val="16"/>
          <w:szCs w:val="16"/>
        </w:rPr>
        <w:t>Vickers</w:t>
      </w:r>
      <w:proofErr w:type="spellEnd"/>
      <w:r w:rsidRPr="00A259BD">
        <w:rPr>
          <w:rFonts w:ascii="Times New Roman" w:hAnsi="Times New Roman"/>
          <w:color w:val="000000" w:themeColor="text1"/>
          <w:sz w:val="16"/>
          <w:szCs w:val="16"/>
        </w:rPr>
        <w:t xml:space="preserve"> Type 143 (20806).</w:t>
      </w:r>
    </w:p>
    <w:p w14:paraId="03A3CD06" w14:textId="77777777" w:rsidR="001413AB" w:rsidRPr="00A259BD" w:rsidRDefault="001413AB" w:rsidP="009236E3">
      <w:pPr>
        <w:spacing w:after="0" w:line="240" w:lineRule="auto"/>
        <w:jc w:val="both"/>
        <w:rPr>
          <w:rFonts w:ascii="Times New Roman" w:hAnsi="Times New Roman"/>
          <w:color w:val="000000" w:themeColor="text1"/>
          <w:sz w:val="16"/>
          <w:szCs w:val="16"/>
        </w:rPr>
      </w:pPr>
    </w:p>
    <w:p w14:paraId="40ED697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EF37D1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E123E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июня 1929 Чл.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Макаровский и Зав. техотделом </w:t>
      </w:r>
      <w:proofErr w:type="spellStart"/>
      <w:r w:rsidRPr="00A259BD">
        <w:rPr>
          <w:rFonts w:ascii="Times New Roman" w:hAnsi="Times New Roman"/>
          <w:color w:val="000000" w:themeColor="text1"/>
          <w:sz w:val="16"/>
          <w:szCs w:val="16"/>
        </w:rPr>
        <w:t>Окромешко</w:t>
      </w:r>
      <w:proofErr w:type="spellEnd"/>
      <w:r w:rsidRPr="00A259BD">
        <w:rPr>
          <w:rFonts w:ascii="Times New Roman" w:hAnsi="Times New Roman"/>
          <w:color w:val="000000" w:themeColor="text1"/>
          <w:sz w:val="16"/>
          <w:szCs w:val="16"/>
        </w:rPr>
        <w:t xml:space="preserve"> писали письмо N 163/4174 на завод 25 О трехлетнем плане опытного строительства по морскому самолетостроению:</w:t>
      </w:r>
    </w:p>
    <w:p w14:paraId="6CEF1E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связи с необходимостью разработки плана работ завода 25 по винтам и лыжам сообщаем нижеследующий 3-х летний план опытного строительства по морскому самолетостроению, принятый Правлением на заседании 21 мая 1929: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A259BD" w:rsidRPr="00A259BD" w14:paraId="7BB12810" w14:textId="77777777">
        <w:tc>
          <w:tcPr>
            <w:tcW w:w="2254" w:type="dxa"/>
          </w:tcPr>
          <w:p w14:paraId="2C5F94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РОМ 2БМВ-6</w:t>
            </w:r>
          </w:p>
        </w:tc>
        <w:tc>
          <w:tcPr>
            <w:tcW w:w="2254" w:type="dxa"/>
          </w:tcPr>
          <w:p w14:paraId="69CD5D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РОМ-2</w:t>
            </w:r>
          </w:p>
        </w:tc>
        <w:tc>
          <w:tcPr>
            <w:tcW w:w="2254" w:type="dxa"/>
          </w:tcPr>
          <w:p w14:paraId="069763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10.1928</w:t>
            </w:r>
          </w:p>
        </w:tc>
        <w:tc>
          <w:tcPr>
            <w:tcW w:w="2254" w:type="dxa"/>
          </w:tcPr>
          <w:p w14:paraId="78D0C2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15.06.29</w:t>
            </w:r>
          </w:p>
        </w:tc>
      </w:tr>
      <w:tr w:rsidR="00A259BD" w:rsidRPr="00A259BD" w14:paraId="7EE9B956" w14:textId="77777777">
        <w:tc>
          <w:tcPr>
            <w:tcW w:w="2254" w:type="dxa"/>
          </w:tcPr>
          <w:p w14:paraId="565AE8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РОМ 2450/600</w:t>
            </w:r>
          </w:p>
        </w:tc>
        <w:tc>
          <w:tcPr>
            <w:tcW w:w="2254" w:type="dxa"/>
          </w:tcPr>
          <w:p w14:paraId="789AEA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РОМ-3</w:t>
            </w:r>
          </w:p>
        </w:tc>
        <w:tc>
          <w:tcPr>
            <w:tcW w:w="2254" w:type="dxa"/>
          </w:tcPr>
          <w:p w14:paraId="6A2379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08.1928</w:t>
            </w:r>
          </w:p>
        </w:tc>
        <w:tc>
          <w:tcPr>
            <w:tcW w:w="2254" w:type="dxa"/>
          </w:tcPr>
          <w:p w14:paraId="6E02DD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07.1930</w:t>
            </w:r>
          </w:p>
        </w:tc>
      </w:tr>
      <w:tr w:rsidR="00A259BD" w:rsidRPr="00A259BD" w14:paraId="0045CF87" w14:textId="77777777">
        <w:tc>
          <w:tcPr>
            <w:tcW w:w="2254" w:type="dxa"/>
          </w:tcPr>
          <w:p w14:paraId="677818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Морской разведчик</w:t>
            </w:r>
          </w:p>
        </w:tc>
        <w:tc>
          <w:tcPr>
            <w:tcW w:w="2254" w:type="dxa"/>
          </w:tcPr>
          <w:p w14:paraId="055A1E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МР-5</w:t>
            </w:r>
          </w:p>
        </w:tc>
        <w:tc>
          <w:tcPr>
            <w:tcW w:w="2254" w:type="dxa"/>
          </w:tcPr>
          <w:p w14:paraId="6D566F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254" w:type="dxa"/>
          </w:tcPr>
          <w:p w14:paraId="280C70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15.06.29</w:t>
            </w:r>
          </w:p>
        </w:tc>
      </w:tr>
      <w:tr w:rsidR="00A259BD" w:rsidRPr="00A259BD" w14:paraId="501C1F7B" w14:textId="77777777">
        <w:tc>
          <w:tcPr>
            <w:tcW w:w="2254" w:type="dxa"/>
          </w:tcPr>
          <w:p w14:paraId="113711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БМВ-6</w:t>
            </w:r>
          </w:p>
        </w:tc>
        <w:tc>
          <w:tcPr>
            <w:tcW w:w="2254" w:type="dxa"/>
          </w:tcPr>
          <w:p w14:paraId="08A3B8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BF52F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81F9E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074EC41" w14:textId="77777777">
        <w:tc>
          <w:tcPr>
            <w:tcW w:w="2254" w:type="dxa"/>
          </w:tcPr>
          <w:p w14:paraId="61F08B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Морской разведчик Р</w:t>
            </w:r>
          </w:p>
        </w:tc>
        <w:tc>
          <w:tcPr>
            <w:tcW w:w="2254" w:type="dxa"/>
          </w:tcPr>
          <w:p w14:paraId="641705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МР-5</w:t>
            </w:r>
          </w:p>
        </w:tc>
        <w:tc>
          <w:tcPr>
            <w:tcW w:w="2254" w:type="dxa"/>
          </w:tcPr>
          <w:p w14:paraId="624DF5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254" w:type="dxa"/>
          </w:tcPr>
          <w:p w14:paraId="63D514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01.06.30</w:t>
            </w:r>
          </w:p>
        </w:tc>
      </w:tr>
      <w:tr w:rsidR="00A259BD" w:rsidRPr="00A259BD" w14:paraId="389984E9" w14:textId="77777777">
        <w:tc>
          <w:tcPr>
            <w:tcW w:w="2254" w:type="dxa"/>
          </w:tcPr>
          <w:p w14:paraId="209839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Морской разведчик</w:t>
            </w:r>
          </w:p>
        </w:tc>
        <w:tc>
          <w:tcPr>
            <w:tcW w:w="2254" w:type="dxa"/>
          </w:tcPr>
          <w:p w14:paraId="0AE3C7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МР-6</w:t>
            </w:r>
          </w:p>
        </w:tc>
        <w:tc>
          <w:tcPr>
            <w:tcW w:w="2254" w:type="dxa"/>
          </w:tcPr>
          <w:p w14:paraId="5F6BA4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01.06.29</w:t>
            </w:r>
          </w:p>
        </w:tc>
        <w:tc>
          <w:tcPr>
            <w:tcW w:w="2254" w:type="dxa"/>
          </w:tcPr>
          <w:p w14:paraId="3F8A52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01.05.30</w:t>
            </w:r>
          </w:p>
        </w:tc>
      </w:tr>
      <w:tr w:rsidR="00A259BD" w:rsidRPr="00A259BD" w14:paraId="31A8A612" w14:textId="77777777">
        <w:tc>
          <w:tcPr>
            <w:tcW w:w="2254" w:type="dxa"/>
          </w:tcPr>
          <w:p w14:paraId="748CA0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450/600</w:t>
            </w:r>
          </w:p>
        </w:tc>
        <w:tc>
          <w:tcPr>
            <w:tcW w:w="2254" w:type="dxa"/>
          </w:tcPr>
          <w:p w14:paraId="5207A7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AAB10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FA756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F193BF2" w14:textId="77777777">
        <w:tc>
          <w:tcPr>
            <w:tcW w:w="2254" w:type="dxa"/>
          </w:tcPr>
          <w:p w14:paraId="2DF7BF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ТОМ 2БМВ-6</w:t>
            </w:r>
          </w:p>
        </w:tc>
        <w:tc>
          <w:tcPr>
            <w:tcW w:w="2254" w:type="dxa"/>
          </w:tcPr>
          <w:p w14:paraId="146E1B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ТОМ-1</w:t>
            </w:r>
          </w:p>
        </w:tc>
        <w:tc>
          <w:tcPr>
            <w:tcW w:w="2254" w:type="dxa"/>
          </w:tcPr>
          <w:p w14:paraId="5F2F79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254" w:type="dxa"/>
          </w:tcPr>
          <w:p w14:paraId="3B5D8D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01.03.30</w:t>
            </w:r>
          </w:p>
        </w:tc>
      </w:tr>
      <w:tr w:rsidR="00A259BD" w:rsidRPr="00A259BD" w14:paraId="350D9D77" w14:textId="77777777">
        <w:tc>
          <w:tcPr>
            <w:tcW w:w="2254" w:type="dxa"/>
          </w:tcPr>
          <w:p w14:paraId="561D7D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ТОМ 2 450/600</w:t>
            </w:r>
          </w:p>
        </w:tc>
        <w:tc>
          <w:tcPr>
            <w:tcW w:w="2254" w:type="dxa"/>
          </w:tcPr>
          <w:p w14:paraId="446EB3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ТОМ-2</w:t>
            </w:r>
          </w:p>
        </w:tc>
        <w:tc>
          <w:tcPr>
            <w:tcW w:w="2254" w:type="dxa"/>
          </w:tcPr>
          <w:p w14:paraId="65EED3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01.04.30</w:t>
            </w:r>
          </w:p>
        </w:tc>
        <w:tc>
          <w:tcPr>
            <w:tcW w:w="2254" w:type="dxa"/>
          </w:tcPr>
          <w:p w14:paraId="162C1A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01.04.31</w:t>
            </w:r>
          </w:p>
        </w:tc>
      </w:tr>
      <w:tr w:rsidR="00A259BD" w:rsidRPr="00A259BD" w14:paraId="5871E7D5" w14:textId="77777777">
        <w:tc>
          <w:tcPr>
            <w:tcW w:w="2254" w:type="dxa"/>
          </w:tcPr>
          <w:p w14:paraId="665EBA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ТОМ 2 450/600</w:t>
            </w:r>
          </w:p>
        </w:tc>
        <w:tc>
          <w:tcPr>
            <w:tcW w:w="2254" w:type="dxa"/>
          </w:tcPr>
          <w:p w14:paraId="5B2178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ТОМ-2а</w:t>
            </w:r>
          </w:p>
        </w:tc>
        <w:tc>
          <w:tcPr>
            <w:tcW w:w="2254" w:type="dxa"/>
          </w:tcPr>
          <w:p w14:paraId="2E0D2F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01.07.29</w:t>
            </w:r>
          </w:p>
        </w:tc>
        <w:tc>
          <w:tcPr>
            <w:tcW w:w="2254" w:type="dxa"/>
          </w:tcPr>
          <w:p w14:paraId="4AE89A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01.10.30</w:t>
            </w:r>
          </w:p>
        </w:tc>
      </w:tr>
      <w:tr w:rsidR="00A259BD" w:rsidRPr="00A259BD" w14:paraId="378CB3BE" w14:textId="77777777">
        <w:tc>
          <w:tcPr>
            <w:tcW w:w="2254" w:type="dxa"/>
          </w:tcPr>
          <w:p w14:paraId="24D7AF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w:t>
            </w:r>
            <w:proofErr w:type="spellStart"/>
            <w:r w:rsidRPr="00A259BD">
              <w:rPr>
                <w:rFonts w:ascii="Times New Roman" w:hAnsi="Times New Roman"/>
                <w:color w:val="000000" w:themeColor="text1"/>
                <w:sz w:val="16"/>
                <w:szCs w:val="16"/>
              </w:rPr>
              <w:t>Катапультн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2254" w:type="dxa"/>
          </w:tcPr>
          <w:p w14:paraId="017EE6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C68C5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01.07.30</w:t>
            </w:r>
          </w:p>
        </w:tc>
        <w:tc>
          <w:tcPr>
            <w:tcW w:w="2254" w:type="dxa"/>
          </w:tcPr>
          <w:p w14:paraId="5A6D8B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01.01732</w:t>
            </w:r>
          </w:p>
        </w:tc>
      </w:tr>
      <w:tr w:rsidR="00A259BD" w:rsidRPr="00A259BD" w14:paraId="26D614C3" w14:textId="77777777">
        <w:tc>
          <w:tcPr>
            <w:tcW w:w="2254" w:type="dxa"/>
          </w:tcPr>
          <w:p w14:paraId="2BD853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МИК 480/600</w:t>
            </w:r>
          </w:p>
        </w:tc>
        <w:tc>
          <w:tcPr>
            <w:tcW w:w="2254" w:type="dxa"/>
          </w:tcPr>
          <w:p w14:paraId="2507EF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C8D1B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C6C03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B61892E" w14:textId="77777777">
        <w:tc>
          <w:tcPr>
            <w:tcW w:w="2254" w:type="dxa"/>
          </w:tcPr>
          <w:p w14:paraId="7DE73B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10. ТОМ 600/800</w:t>
            </w:r>
          </w:p>
        </w:tc>
        <w:tc>
          <w:tcPr>
            <w:tcW w:w="2254" w:type="dxa"/>
          </w:tcPr>
          <w:p w14:paraId="2AE491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ТОМ-3</w:t>
            </w:r>
          </w:p>
        </w:tc>
        <w:tc>
          <w:tcPr>
            <w:tcW w:w="2254" w:type="dxa"/>
          </w:tcPr>
          <w:p w14:paraId="1DB655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01.07.31</w:t>
            </w:r>
          </w:p>
        </w:tc>
        <w:tc>
          <w:tcPr>
            <w:tcW w:w="2254" w:type="dxa"/>
          </w:tcPr>
          <w:p w14:paraId="76EA73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01.10.32</w:t>
            </w:r>
          </w:p>
        </w:tc>
      </w:tr>
      <w:tr w:rsidR="00A259BD" w:rsidRPr="00A259BD" w14:paraId="4F56AAE8" w14:textId="77777777">
        <w:tc>
          <w:tcPr>
            <w:tcW w:w="2254" w:type="dxa"/>
          </w:tcPr>
          <w:p w14:paraId="07D860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Учебный самолет</w:t>
            </w:r>
          </w:p>
        </w:tc>
        <w:tc>
          <w:tcPr>
            <w:tcW w:w="2254" w:type="dxa"/>
          </w:tcPr>
          <w:p w14:paraId="12E907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МУ-2</w:t>
            </w:r>
          </w:p>
        </w:tc>
        <w:tc>
          <w:tcPr>
            <w:tcW w:w="2254" w:type="dxa"/>
          </w:tcPr>
          <w:p w14:paraId="10C5DF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254" w:type="dxa"/>
          </w:tcPr>
          <w:p w14:paraId="121875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01.08.29</w:t>
            </w:r>
          </w:p>
        </w:tc>
      </w:tr>
      <w:tr w:rsidR="00A259BD" w:rsidRPr="00A259BD" w14:paraId="61C8AF2D" w14:textId="77777777">
        <w:tc>
          <w:tcPr>
            <w:tcW w:w="2254" w:type="dxa"/>
          </w:tcPr>
          <w:p w14:paraId="4AE768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2AAFA7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М-11</w:t>
            </w:r>
          </w:p>
        </w:tc>
        <w:tc>
          <w:tcPr>
            <w:tcW w:w="2254" w:type="dxa"/>
          </w:tcPr>
          <w:p w14:paraId="2FC54D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F37FB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1C0F339" w14:textId="77777777">
        <w:tc>
          <w:tcPr>
            <w:tcW w:w="2254" w:type="dxa"/>
          </w:tcPr>
          <w:p w14:paraId="6AF549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Учебный самолет</w:t>
            </w:r>
          </w:p>
        </w:tc>
        <w:tc>
          <w:tcPr>
            <w:tcW w:w="2254" w:type="dxa"/>
          </w:tcPr>
          <w:p w14:paraId="5F1B6D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МУ-2</w:t>
            </w:r>
          </w:p>
        </w:tc>
        <w:tc>
          <w:tcPr>
            <w:tcW w:w="2254" w:type="dxa"/>
          </w:tcPr>
          <w:p w14:paraId="3A3EA9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15.12.29</w:t>
            </w:r>
          </w:p>
        </w:tc>
        <w:tc>
          <w:tcPr>
            <w:tcW w:w="2254" w:type="dxa"/>
          </w:tcPr>
          <w:p w14:paraId="10EA26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01.07.30</w:t>
            </w:r>
          </w:p>
        </w:tc>
      </w:tr>
      <w:tr w:rsidR="00A259BD" w:rsidRPr="00A259BD" w14:paraId="6367235C" w14:textId="77777777">
        <w:tc>
          <w:tcPr>
            <w:tcW w:w="2254" w:type="dxa"/>
          </w:tcPr>
          <w:p w14:paraId="623F72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71F2D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М-11</w:t>
            </w:r>
          </w:p>
        </w:tc>
        <w:tc>
          <w:tcPr>
            <w:tcW w:w="2254" w:type="dxa"/>
          </w:tcPr>
          <w:p w14:paraId="4228BD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005A3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C355A97" w14:textId="77777777">
        <w:tc>
          <w:tcPr>
            <w:tcW w:w="2254" w:type="dxa"/>
          </w:tcPr>
          <w:p w14:paraId="06C465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Морской связи</w:t>
            </w:r>
          </w:p>
        </w:tc>
        <w:tc>
          <w:tcPr>
            <w:tcW w:w="2254" w:type="dxa"/>
          </w:tcPr>
          <w:p w14:paraId="378519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2М-11</w:t>
            </w:r>
          </w:p>
        </w:tc>
        <w:tc>
          <w:tcPr>
            <w:tcW w:w="2254" w:type="dxa"/>
          </w:tcPr>
          <w:p w14:paraId="0841FF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01.04.30</w:t>
            </w:r>
          </w:p>
        </w:tc>
        <w:tc>
          <w:tcPr>
            <w:tcW w:w="2254" w:type="dxa"/>
          </w:tcPr>
          <w:p w14:paraId="66F4E6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01.04.31</w:t>
            </w:r>
          </w:p>
        </w:tc>
      </w:tr>
      <w:tr w:rsidR="00A259BD" w:rsidRPr="00A259BD" w14:paraId="45CBFD14" w14:textId="77777777">
        <w:tc>
          <w:tcPr>
            <w:tcW w:w="2254" w:type="dxa"/>
          </w:tcPr>
          <w:p w14:paraId="05E13B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(амфибия)</w:t>
            </w:r>
          </w:p>
        </w:tc>
        <w:tc>
          <w:tcPr>
            <w:tcW w:w="2254" w:type="dxa"/>
          </w:tcPr>
          <w:p w14:paraId="2CB5A0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EE3F4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A3A33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A259BD" w14:paraId="0EC6BD77" w14:textId="77777777">
        <w:tc>
          <w:tcPr>
            <w:tcW w:w="2254" w:type="dxa"/>
          </w:tcPr>
          <w:p w14:paraId="3DB8CD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Морской пассаж.</w:t>
            </w:r>
          </w:p>
        </w:tc>
        <w:tc>
          <w:tcPr>
            <w:tcW w:w="2254" w:type="dxa"/>
          </w:tcPr>
          <w:p w14:paraId="75A7A4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2х450</w:t>
            </w:r>
          </w:p>
        </w:tc>
        <w:tc>
          <w:tcPr>
            <w:tcW w:w="2254" w:type="dxa"/>
          </w:tcPr>
          <w:p w14:paraId="3B5384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01.08.29</w:t>
            </w:r>
          </w:p>
        </w:tc>
        <w:tc>
          <w:tcPr>
            <w:tcW w:w="2254" w:type="dxa"/>
          </w:tcPr>
          <w:p w14:paraId="0E19CC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01.08.30 (2351,80)</w:t>
            </w:r>
          </w:p>
        </w:tc>
      </w:tr>
    </w:tbl>
    <w:p w14:paraId="795F40D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47644D" w14:textId="77777777" w:rsidR="00E118F4" w:rsidRPr="00A259BD" w:rsidRDefault="00E118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12 июня</w:t>
      </w:r>
      <w:r w:rsidRPr="00A259BD">
        <w:rPr>
          <w:rFonts w:ascii="Times New Roman" w:hAnsi="Times New Roman"/>
          <w:color w:val="000000" w:themeColor="text1"/>
          <w:sz w:val="16"/>
          <w:szCs w:val="16"/>
        </w:rPr>
        <w:t xml:space="preserve"> в 1929 году успешное окончание скоростного испытательного перелета (начался 6 июня) нового пассажирского самолета </w:t>
      </w:r>
      <w:hyperlink r:id="rId60" w:tgtFrame="_blank" w:history="1">
        <w:r w:rsidRPr="00A259BD">
          <w:rPr>
            <w:rFonts w:ascii="Times New Roman" w:hAnsi="Times New Roman"/>
            <w:color w:val="000000" w:themeColor="text1"/>
            <w:sz w:val="16"/>
            <w:szCs w:val="16"/>
          </w:rPr>
          <w:t xml:space="preserve">«АНТ-9» «Крылья Советов» </w:t>
        </w:r>
      </w:hyperlink>
      <w:r w:rsidRPr="00A259BD">
        <w:rPr>
          <w:rFonts w:ascii="Times New Roman" w:hAnsi="Times New Roman"/>
          <w:color w:val="000000" w:themeColor="text1"/>
          <w:sz w:val="16"/>
          <w:szCs w:val="16"/>
        </w:rPr>
        <w:t xml:space="preserve">конструкции </w:t>
      </w:r>
      <w:proofErr w:type="spellStart"/>
      <w:r w:rsidRPr="00A259BD">
        <w:rPr>
          <w:rFonts w:ascii="Times New Roman" w:hAnsi="Times New Roman"/>
          <w:color w:val="000000" w:themeColor="text1"/>
          <w:sz w:val="16"/>
          <w:szCs w:val="16"/>
        </w:rPr>
        <w:t>А.Н.Туполева</w:t>
      </w:r>
      <w:proofErr w:type="spellEnd"/>
      <w:r w:rsidRPr="00A259BD">
        <w:rPr>
          <w:rFonts w:ascii="Times New Roman" w:hAnsi="Times New Roman"/>
          <w:color w:val="000000" w:themeColor="text1"/>
          <w:sz w:val="16"/>
          <w:szCs w:val="16"/>
        </w:rPr>
        <w:t xml:space="preserve">, экипаж </w:t>
      </w:r>
      <w:proofErr w:type="spellStart"/>
      <w:r w:rsidRPr="00A259BD">
        <w:rPr>
          <w:rFonts w:ascii="Times New Roman" w:hAnsi="Times New Roman"/>
          <w:color w:val="000000" w:themeColor="text1"/>
          <w:sz w:val="16"/>
          <w:szCs w:val="16"/>
        </w:rPr>
        <w:t>М.М.Громов</w:t>
      </w:r>
      <w:proofErr w:type="spellEnd"/>
      <w:r w:rsidRPr="00A259BD">
        <w:rPr>
          <w:rFonts w:ascii="Times New Roman" w:hAnsi="Times New Roman"/>
          <w:color w:val="000000" w:themeColor="text1"/>
          <w:sz w:val="16"/>
          <w:szCs w:val="16"/>
        </w:rPr>
        <w:t xml:space="preserve"> со вторым пилотом </w:t>
      </w:r>
      <w:proofErr w:type="spellStart"/>
      <w:r w:rsidRPr="00A259BD">
        <w:rPr>
          <w:rFonts w:ascii="Times New Roman" w:hAnsi="Times New Roman"/>
          <w:color w:val="000000" w:themeColor="text1"/>
          <w:sz w:val="16"/>
          <w:szCs w:val="16"/>
        </w:rPr>
        <w:t>И.В.Михеевым</w:t>
      </w:r>
      <w:proofErr w:type="spellEnd"/>
      <w:r w:rsidRPr="00A259BD">
        <w:rPr>
          <w:rFonts w:ascii="Times New Roman" w:hAnsi="Times New Roman"/>
          <w:color w:val="000000" w:themeColor="text1"/>
          <w:sz w:val="16"/>
          <w:szCs w:val="16"/>
        </w:rPr>
        <w:t xml:space="preserve">, штурманом </w:t>
      </w:r>
      <w:proofErr w:type="spellStart"/>
      <w:r w:rsidRPr="00A259BD">
        <w:rPr>
          <w:rFonts w:ascii="Times New Roman" w:hAnsi="Times New Roman"/>
          <w:color w:val="000000" w:themeColor="text1"/>
          <w:sz w:val="16"/>
          <w:szCs w:val="16"/>
        </w:rPr>
        <w:t>И.Т.Спириным</w:t>
      </w:r>
      <w:proofErr w:type="spellEnd"/>
      <w:r w:rsidRPr="00A259BD">
        <w:rPr>
          <w:rFonts w:ascii="Times New Roman" w:hAnsi="Times New Roman"/>
          <w:color w:val="000000" w:themeColor="text1"/>
          <w:sz w:val="16"/>
          <w:szCs w:val="16"/>
        </w:rPr>
        <w:t xml:space="preserve"> и механиками </w:t>
      </w:r>
      <w:proofErr w:type="spellStart"/>
      <w:r w:rsidRPr="00A259BD">
        <w:rPr>
          <w:rFonts w:ascii="Times New Roman" w:hAnsi="Times New Roman"/>
          <w:color w:val="000000" w:themeColor="text1"/>
          <w:sz w:val="16"/>
          <w:szCs w:val="16"/>
        </w:rPr>
        <w:t>В.П.Русаковым</w:t>
      </w:r>
      <w:proofErr w:type="spellEnd"/>
      <w:r w:rsidRPr="00A259BD">
        <w:rPr>
          <w:rFonts w:ascii="Times New Roman" w:hAnsi="Times New Roman"/>
          <w:color w:val="000000" w:themeColor="text1"/>
          <w:sz w:val="16"/>
          <w:szCs w:val="16"/>
        </w:rPr>
        <w:t xml:space="preserve"> и Монаховым в Одессу. Это была своего рода репетиция перед большим рейдом по столицам Европы, запланированным на июль. Появление «АНТ-9» в Одессе входило в программу встречи находившейся там с визитом вежливости группы итальянских летчиков, прибывших на летающих лодках «S.55». Итальянцы познакомились с туполевским </w:t>
      </w:r>
      <w:proofErr w:type="spellStart"/>
      <w:r w:rsidRPr="00A259BD">
        <w:rPr>
          <w:rFonts w:ascii="Times New Roman" w:hAnsi="Times New Roman"/>
          <w:color w:val="000000" w:themeColor="text1"/>
          <w:sz w:val="16"/>
          <w:szCs w:val="16"/>
        </w:rPr>
        <w:t>трехмоторником</w:t>
      </w:r>
      <w:proofErr w:type="spellEnd"/>
      <w:r w:rsidRPr="00A259BD">
        <w:rPr>
          <w:rFonts w:ascii="Times New Roman" w:hAnsi="Times New Roman"/>
          <w:color w:val="000000" w:themeColor="text1"/>
          <w:sz w:val="16"/>
          <w:szCs w:val="16"/>
        </w:rPr>
        <w:t xml:space="preserve"> и дали ему высокую оценку. Начальник штаба итальянских ВВС де </w:t>
      </w:r>
      <w:proofErr w:type="spellStart"/>
      <w:r w:rsidRPr="00A259BD">
        <w:rPr>
          <w:rFonts w:ascii="Times New Roman" w:hAnsi="Times New Roman"/>
          <w:color w:val="000000" w:themeColor="text1"/>
          <w:sz w:val="16"/>
          <w:szCs w:val="16"/>
        </w:rPr>
        <w:t>Пинедо</w:t>
      </w:r>
      <w:proofErr w:type="spellEnd"/>
      <w:r w:rsidRPr="00A259BD">
        <w:rPr>
          <w:rFonts w:ascii="Times New Roman" w:hAnsi="Times New Roman"/>
          <w:color w:val="000000" w:themeColor="text1"/>
          <w:sz w:val="16"/>
          <w:szCs w:val="16"/>
        </w:rPr>
        <w:t xml:space="preserve"> даже немного полетал на советской машине (14920).</w:t>
      </w:r>
    </w:p>
    <w:p w14:paraId="0BDFC2E8" w14:textId="77777777" w:rsidR="00E118F4" w:rsidRPr="00A259BD" w:rsidRDefault="00E118F4" w:rsidP="009236E3">
      <w:pPr>
        <w:spacing w:after="0" w:line="240" w:lineRule="auto"/>
        <w:jc w:val="both"/>
        <w:rPr>
          <w:rFonts w:ascii="Times New Roman" w:hAnsi="Times New Roman"/>
          <w:color w:val="000000" w:themeColor="text1"/>
          <w:sz w:val="16"/>
          <w:szCs w:val="16"/>
        </w:rPr>
      </w:pPr>
    </w:p>
    <w:p w14:paraId="2244E519" w14:textId="77777777" w:rsidR="00077238"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815A701" w14:textId="77777777" w:rsidR="00077238" w:rsidRPr="00A259BD"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1B4B0AD" w14:textId="77777777" w:rsidR="00077238" w:rsidRPr="00A259BD" w:rsidRDefault="00077238" w:rsidP="009236E3">
      <w:pPr>
        <w:pStyle w:val="rtejustify"/>
        <w:spacing w:before="0" w:after="0"/>
        <w:rPr>
          <w:color w:val="000000" w:themeColor="text1"/>
          <w:sz w:val="16"/>
          <w:szCs w:val="16"/>
        </w:rPr>
      </w:pPr>
      <w:r w:rsidRPr="00A259BD">
        <w:rPr>
          <w:rStyle w:val="af0"/>
          <w:i w:val="0"/>
          <w:color w:val="000000" w:themeColor="text1"/>
          <w:sz w:val="16"/>
          <w:szCs w:val="16"/>
        </w:rPr>
        <w:t>12 июня 1929 г. Протокол Реввоенсовета № 27.</w:t>
      </w:r>
      <w:r w:rsidRPr="00A259BD">
        <w:rPr>
          <w:color w:val="000000" w:themeColor="text1"/>
          <w:sz w:val="16"/>
          <w:szCs w:val="16"/>
        </w:rPr>
        <w:t xml:space="preserve"> 2. О заказе опытного образца 122</w:t>
      </w:r>
      <w:r w:rsidRPr="00A259BD">
        <w:rPr>
          <w:color w:val="000000" w:themeColor="text1"/>
          <w:sz w:val="16"/>
          <w:szCs w:val="16"/>
        </w:rPr>
        <w:noBreakHyphen/>
        <w:t>мм корпусной пушки. (Кулик). (РГВА. Ф. 4. Оп. 18. Д. 15. Л. 178) (12342).</w:t>
      </w:r>
    </w:p>
    <w:p w14:paraId="0BEA9220" w14:textId="77777777" w:rsidR="00077238" w:rsidRPr="00A259BD" w:rsidRDefault="00077238" w:rsidP="009236E3">
      <w:pPr>
        <w:pStyle w:val="rtejustify"/>
        <w:spacing w:before="0" w:after="0"/>
        <w:rPr>
          <w:color w:val="000000" w:themeColor="text1"/>
          <w:sz w:val="16"/>
          <w:szCs w:val="16"/>
        </w:rPr>
      </w:pPr>
    </w:p>
    <w:p w14:paraId="40F48EB9" w14:textId="77777777" w:rsidR="00077238" w:rsidRPr="00A259BD" w:rsidRDefault="0007723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июня 1929 года Центральный исполнительный комитет и Совет народных комиссаров СССР приняли постановление о создании в Ленинграде Опытного алюминиевого завода (ОАЗ). С этой целью в сентябре того же года началось переоснащение бывшего снарядного завода на Выборгской стороне. 12 октября 1929 года решением Высшего совета народного хозяйства (ВСНХ) для организации строительства алюминиевых заводов было учреждено управление «</w:t>
      </w:r>
      <w:proofErr w:type="spellStart"/>
      <w:r w:rsidRPr="00A259BD">
        <w:rPr>
          <w:rFonts w:ascii="Times New Roman" w:hAnsi="Times New Roman"/>
          <w:color w:val="000000" w:themeColor="text1"/>
          <w:sz w:val="16"/>
          <w:szCs w:val="16"/>
        </w:rPr>
        <w:t>Алюминстрой</w:t>
      </w:r>
      <w:proofErr w:type="spellEnd"/>
      <w:r w:rsidRPr="00A259BD">
        <w:rPr>
          <w:rFonts w:ascii="Times New Roman" w:hAnsi="Times New Roman"/>
          <w:color w:val="000000" w:themeColor="text1"/>
          <w:sz w:val="16"/>
          <w:szCs w:val="16"/>
        </w:rPr>
        <w:t>». Его главным инженером был назначен специалист по металлургии алюминия Евгений Жуковский.</w:t>
      </w:r>
    </w:p>
    <w:p w14:paraId="0114296A" w14:textId="77777777" w:rsidR="00077238" w:rsidRPr="00A259BD" w:rsidRDefault="0007723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Организация производства на Опытном заводе потребовала разработки нового современного электролизера. Завод, сооруженный под руководством Федотьева, всего за полгода был оснащен 20 электролизными ваннами различных конструкций, рассчитанных на силу тока 6000 А. Некоторые ванны были созданы по моделям иностранных фирм, другие сконструированы отечественными инженерами. Лучшей посчитали французскую электролитическую ванну, которая стала прототипом отечественного промышленного электролизера. В задачу Опытного завода входило не только производство алюминия в промышленных масштабах, но и подготовка квалифицированных рабочих и инженерно-технического персонала (12225).</w:t>
      </w:r>
    </w:p>
    <w:p w14:paraId="7D85865F" w14:textId="77777777" w:rsidR="00077238" w:rsidRPr="00A259BD" w:rsidRDefault="00077238" w:rsidP="009236E3">
      <w:pPr>
        <w:spacing w:after="0" w:line="240" w:lineRule="auto"/>
        <w:jc w:val="both"/>
        <w:rPr>
          <w:rFonts w:ascii="Times New Roman" w:hAnsi="Times New Roman"/>
          <w:color w:val="000000" w:themeColor="text1"/>
          <w:sz w:val="16"/>
          <w:szCs w:val="16"/>
        </w:rPr>
      </w:pPr>
    </w:p>
    <w:p w14:paraId="0680D39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74113A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69BCD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13 июня по 13 июля 1929 в НИИ ВВС проходили испытания первого серийного самолета И-3 БМВ VI № 3820</w:t>
      </w:r>
    </w:p>
    <w:p w14:paraId="1224AD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Задание НТК от 10 июня 1929 года № 2196/с</w:t>
      </w:r>
    </w:p>
    <w:p w14:paraId="2427D9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Начало испытания 13 июня 1929 года</w:t>
      </w:r>
    </w:p>
    <w:p w14:paraId="27C871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 испытания 8 августа 1929 года</w:t>
      </w:r>
    </w:p>
    <w:p w14:paraId="4FA9F3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Самолет И-3 № 3820 серийной постройки завода № 1 им. </w:t>
      </w:r>
      <w:proofErr w:type="spellStart"/>
      <w:r w:rsidRPr="00A259BD">
        <w:rPr>
          <w:rFonts w:ascii="Times New Roman" w:hAnsi="Times New Roman"/>
          <w:color w:val="000000" w:themeColor="text1"/>
          <w:sz w:val="16"/>
          <w:szCs w:val="16"/>
        </w:rPr>
        <w:t>Авиахима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идентиченс</w:t>
      </w:r>
      <w:proofErr w:type="spellEnd"/>
      <w:r w:rsidRPr="00A259BD">
        <w:rPr>
          <w:rFonts w:ascii="Times New Roman" w:hAnsi="Times New Roman"/>
          <w:color w:val="000000" w:themeColor="text1"/>
          <w:sz w:val="16"/>
          <w:szCs w:val="16"/>
        </w:rPr>
        <w:t xml:space="preserve"> ранее испытанными самолетами в НИИ.</w:t>
      </w:r>
    </w:p>
    <w:p w14:paraId="4601C5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4D1470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основании проведенных испытаний НИИ считает:</w:t>
      </w:r>
    </w:p>
    <w:p w14:paraId="241F05FF"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Учитывая наличие изготовленной на заводе серии самолетов И3-БМВVI, а также трудность и значительную задержку по времени выпуска серии, в случае требования устранения всех недочетов, построенная серия может быть принята.</w:t>
      </w:r>
    </w:p>
    <w:p w14:paraId="5535D7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НИИ считает, что самолет И3-БМВVI не может быть значительно улучшен в дальнейших сериях, что вызывает сомнение в целесообразности широкого введения этого типа на снабжение строевых частей ВВС на далекий срок (6994).</w:t>
      </w:r>
    </w:p>
    <w:p w14:paraId="0D8E08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F0FCA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13 июня по 8 июля 1929 в НИИ ВВС проходили испытания первого серийного самолета И-3 БМВVI.</w:t>
      </w:r>
    </w:p>
    <w:p w14:paraId="6419073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испытания первого серийного самолета И-3 БМВVI</w:t>
      </w:r>
    </w:p>
    <w:p w14:paraId="2F3637C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Задание НТК от 10 июня 1929 года № 2196/с</w:t>
      </w:r>
    </w:p>
    <w:p w14:paraId="4E057CC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Начало испытания 13 июня 1929 года</w:t>
      </w:r>
    </w:p>
    <w:p w14:paraId="4390580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 испытания 8 июля 1929 года</w:t>
      </w:r>
    </w:p>
    <w:p w14:paraId="138CC7F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И-3 № 3820 серийной постройки завода № 1 идентичен с ранее испытанными самолетами в НИИ.</w:t>
      </w:r>
    </w:p>
    <w:p w14:paraId="1ADF87D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самолете установлен мотор БМВVI № 16231 480/600 НР</w:t>
      </w:r>
    </w:p>
    <w:p w14:paraId="0C6B701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10B8F20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Учитывая наличие изготовленной на заводе серии самолетов И3-БМВVI, а также трудность и значительную задержку по времени выпуска серии в случае требования устранения всех недочетов, построенная серия может быть принята при условии устранения основных недостатков (6980).</w:t>
      </w:r>
    </w:p>
    <w:p w14:paraId="222A138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37AA52"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 июня 1929 г. НИИ ВВС начал испытания головного серийного самолета И-3.</w:t>
      </w:r>
    </w:p>
    <w:p w14:paraId="308DFB22"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концу июня 1929 г. НИИ ВВС выполнил программу испытаний головного серийного самолета И-3 на 20%.</w:t>
      </w:r>
    </w:p>
    <w:p w14:paraId="51E81E0B"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8 июля (по др. данным по 13 июля или по 8 августа) 1929 г испытания головного серийного самолета И-3 БМВVI в НИИ ВВС закончены, и отмечено, что «Самолет И-3 №3820 серийной постройки завода № 1 им. </w:t>
      </w:r>
      <w:proofErr w:type="spellStart"/>
      <w:r w:rsidRPr="00441F34">
        <w:rPr>
          <w:rFonts w:ascii="Times New Roman" w:hAnsi="Times New Roman"/>
          <w:color w:val="0070C0"/>
          <w:sz w:val="16"/>
          <w:szCs w:val="16"/>
        </w:rPr>
        <w:t>Авиахима</w:t>
      </w:r>
      <w:proofErr w:type="spellEnd"/>
      <w:r w:rsidRPr="00441F34">
        <w:rPr>
          <w:rFonts w:ascii="Times New Roman" w:hAnsi="Times New Roman"/>
          <w:color w:val="0070C0"/>
          <w:sz w:val="16"/>
          <w:szCs w:val="16"/>
        </w:rPr>
        <w:t xml:space="preserve"> идентичен с ранее испытанными самолетами в НИИ», т.е. мер по улучшению курсовой устойчивости не предпринято, и сделано заключение:</w:t>
      </w:r>
    </w:p>
    <w:p w14:paraId="50D56BE7"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основании проведенных испытаний НИИ считает:</w:t>
      </w:r>
    </w:p>
    <w:p w14:paraId="269969F1"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Учитывая наличие изготовленной на заводе серии самолетов И3-БМВVI, а также трудность и значительную задержку по времени выпуска серии, в случае требования устранения всех недочетов, построенная серия может быть принята при условии устранения основных недостатков.</w:t>
      </w:r>
    </w:p>
    <w:p w14:paraId="6682010A"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p w14:paraId="246EC935"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 НИИ считает, что самолет И3-БМВVI не может быть значительно улучшен в дальнейших сериях, что вызывает сомнение в целесообразности широкого введения этого типа на снабжение строевых частей ВВС на далекий срок».</w:t>
      </w:r>
    </w:p>
    <w:p w14:paraId="4929B14C"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То есть оценка самолету И-3 серийной постройки дана была неудовлетворительная.</w:t>
      </w:r>
    </w:p>
    <w:p w14:paraId="5F838F8B" w14:textId="77777777" w:rsidR="00D41EFC" w:rsidRPr="00441F34" w:rsidRDefault="00D41EFC" w:rsidP="00D41EF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Тем не менее, с учетом готовности УВВС принимать самолеты И-3 до устранения всех недостатков, в июне 1929 г., пока испытания головного самолета были еще далеки от завершения, </w:t>
      </w:r>
      <w:proofErr w:type="spellStart"/>
      <w:r w:rsidRPr="00441F34">
        <w:rPr>
          <w:rFonts w:ascii="Times New Roman" w:hAnsi="Times New Roman"/>
          <w:color w:val="0070C0"/>
          <w:sz w:val="16"/>
          <w:szCs w:val="16"/>
        </w:rPr>
        <w:t>Авиатрест</w:t>
      </w:r>
      <w:proofErr w:type="spellEnd"/>
      <w:r w:rsidRPr="00441F34">
        <w:rPr>
          <w:rFonts w:ascii="Times New Roman" w:hAnsi="Times New Roman"/>
          <w:color w:val="0070C0"/>
          <w:sz w:val="16"/>
          <w:szCs w:val="16"/>
        </w:rPr>
        <w:t xml:space="preserve"> предъявил к сдаче всю их первую серию из 39 самолетов И-3 (не включая сданный в НИИ ВВС). По конструкции и комплектации остальные самолеты соответствовали головному и ни один дефект на них устранен не был. Заведующий ОСС Поликарпов вопрос этот не контролировал и устранению конструктивных дефектов внимания не уделял (24887).</w:t>
      </w:r>
    </w:p>
    <w:p w14:paraId="5526A6A7" w14:textId="77777777" w:rsidR="00D41EFC" w:rsidRPr="00441F34" w:rsidRDefault="00D41EFC" w:rsidP="00D41EFC">
      <w:pPr>
        <w:spacing w:after="0" w:line="240" w:lineRule="auto"/>
        <w:jc w:val="both"/>
        <w:rPr>
          <w:rFonts w:ascii="Times New Roman" w:hAnsi="Times New Roman"/>
          <w:color w:val="0070C0"/>
          <w:sz w:val="16"/>
          <w:szCs w:val="16"/>
        </w:rPr>
      </w:pPr>
    </w:p>
    <w:p w14:paraId="433B9D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июня 1929 года был подготовлен Перечень вооружения и основного оборудования самолетов, строящихся по пятилетнему плану опытного строительства.</w:t>
      </w:r>
    </w:p>
    <w:p w14:paraId="611221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И6-Юп VII.</w:t>
      </w:r>
    </w:p>
    <w:p w14:paraId="0FA993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Пулеметная установка для стрельбы через винт на 2 пулемета. Съемная пулеметная установка на крыльях. Аэронавигационное оборудование. Вспомогательное оборудование. Фотоустановка. Радиоустановка. Съемное электрооборудование7</w:t>
      </w:r>
    </w:p>
    <w:p w14:paraId="7780A7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И4-Юп VII.</w:t>
      </w:r>
    </w:p>
    <w:p w14:paraId="1DA003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И6-Юп VII.</w:t>
      </w:r>
    </w:p>
    <w:p w14:paraId="1EC28C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И5-Юп VII.</w:t>
      </w:r>
    </w:p>
    <w:p w14:paraId="288F7E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w:t>
      </w:r>
    </w:p>
    <w:p w14:paraId="23ECA0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вариант: четыре пулемета для стрельбы через винт, из коих 2 пулемета съемные. Для этого варианта установки на крыльях не делается.</w:t>
      </w:r>
    </w:p>
    <w:p w14:paraId="47DD8E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И8-Юп VII.</w:t>
      </w:r>
    </w:p>
    <w:p w14:paraId="19BFFD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И4-Юп VII.</w:t>
      </w:r>
    </w:p>
    <w:p w14:paraId="756439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И10-М-37</w:t>
      </w:r>
    </w:p>
    <w:p w14:paraId="210294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И5-Юп VII.</w:t>
      </w:r>
    </w:p>
    <w:p w14:paraId="7AFE23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И11-М37</w:t>
      </w:r>
    </w:p>
    <w:p w14:paraId="02B262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И5-Юп VII, добавляется бомбардировочное оборудование для дистанционных бомб.</w:t>
      </w:r>
    </w:p>
    <w:p w14:paraId="108414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И7-БМВ VI.</w:t>
      </w:r>
    </w:p>
    <w:p w14:paraId="36032E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И6-Юп VII.</w:t>
      </w:r>
    </w:p>
    <w:p w14:paraId="33187F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И7-М30.</w:t>
      </w:r>
    </w:p>
    <w:p w14:paraId="4DE45B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И6-Юп VII.</w:t>
      </w:r>
    </w:p>
    <w:p w14:paraId="4C8840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И9-М32.</w:t>
      </w:r>
    </w:p>
    <w:p w14:paraId="221B73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И5Юп VII.</w:t>
      </w:r>
    </w:p>
    <w:p w14:paraId="122060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И12-М34.</w:t>
      </w:r>
    </w:p>
    <w:p w14:paraId="7F296F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И5-Юп VII.</w:t>
      </w:r>
    </w:p>
    <w:p w14:paraId="73B45E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Д2-БМВ VI.</w:t>
      </w:r>
    </w:p>
    <w:p w14:paraId="699195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Пулеметная установка для стрельбы через......</w:t>
      </w:r>
    </w:p>
    <w:p w14:paraId="111768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Д3-М32.</w:t>
      </w:r>
    </w:p>
    <w:p w14:paraId="4A0E15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Д2-БМВ VI.</w:t>
      </w:r>
    </w:p>
    <w:p w14:paraId="196C40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ИК1-2БМВ VI.</w:t>
      </w:r>
    </w:p>
    <w:p w14:paraId="68FBDD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пулеметная установка для стрельбы под хвост, бомбардировочное оборудование для дистанционных бомб, установка для подкрыльных факелов и светящих бомб, аэронавигационное оборудование, вспомогательное оборудование, фотоустановка, радиоустановка и съемное электрооборудование.</w:t>
      </w:r>
    </w:p>
    <w:p w14:paraId="216613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ИК1-2М34.</w:t>
      </w:r>
    </w:p>
    <w:p w14:paraId="63FFC8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ИК1-2БМВ VI.</w:t>
      </w:r>
    </w:p>
    <w:p w14:paraId="66B4A6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Р5-БМВ VI.</w:t>
      </w:r>
    </w:p>
    <w:p w14:paraId="3B68B1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Пулеметная установка для стрельбы через винт на один пулемет, одна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бомбардировочное оборудование для средних бомб, установка для подкрыльных факелов и светящих бомб, аэронавигационное оборудование, вспомогательное оборудование, фотоустановка, радиоустановка, съемное электрооборудование.</w:t>
      </w:r>
    </w:p>
    <w:p w14:paraId="3A5CF5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Р7-БМВ VI.</w:t>
      </w:r>
    </w:p>
    <w:p w14:paraId="1B3B39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Пулеметная установка для стрельбы через винт на 2 пулемета, одна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бомбардировочное оборудование для средних бомб, установка для подкрыльных факелов и светящих бомб, аэронавигационное оборудование, вспомогательное оборудование, фотоустановка, радиоустановка, съемное электрооборудование.</w:t>
      </w:r>
    </w:p>
    <w:p w14:paraId="4A1CBB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Р7-М30.</w:t>
      </w:r>
    </w:p>
    <w:p w14:paraId="4B5F99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Р7-БМВ VI.</w:t>
      </w:r>
    </w:p>
    <w:p w14:paraId="2D87EE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Р8-М33.</w:t>
      </w:r>
    </w:p>
    <w:p w14:paraId="52DBE0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Пулеметная установка для стрельбы через винт на 2 пулемета, одна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установка для подкрыльных факелов и светящих бомб, аэронавигационное оборудование, вспомогательное оборудование, фотоустановка, радиоустановка, съемное электрооборудование.</w:t>
      </w:r>
    </w:p>
    <w:p w14:paraId="58443C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Р9-И33.</w:t>
      </w:r>
    </w:p>
    <w:p w14:paraId="4CD3C7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Р8-М33.</w:t>
      </w:r>
    </w:p>
    <w:p w14:paraId="7396E1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НР-М30.</w:t>
      </w:r>
    </w:p>
    <w:p w14:paraId="7E62B9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Р8-М33, но электрооборудование несъемное, установка для подкрыльных факелов и светящих бомб.</w:t>
      </w:r>
    </w:p>
    <w:p w14:paraId="2C8230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Р6-2БМВ VI.</w:t>
      </w:r>
    </w:p>
    <w:p w14:paraId="197B37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пулеметная установка для стрельбы под хвост, бомбардировочное....</w:t>
      </w:r>
    </w:p>
    <w:p w14:paraId="270A01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Р6-М34(2).</w:t>
      </w:r>
    </w:p>
    <w:p w14:paraId="45D543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Р6-2БМВ VI.</w:t>
      </w:r>
    </w:p>
    <w:p w14:paraId="2199D1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КРК1-2М26.</w:t>
      </w:r>
    </w:p>
    <w:p w14:paraId="24FE4F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Две пулеметные </w:t>
      </w:r>
      <w:proofErr w:type="spellStart"/>
      <w:r w:rsidRPr="00A259BD">
        <w:rPr>
          <w:rFonts w:ascii="Times New Roman" w:hAnsi="Times New Roman"/>
          <w:color w:val="000000" w:themeColor="text1"/>
          <w:sz w:val="16"/>
          <w:szCs w:val="16"/>
        </w:rPr>
        <w:t>турельные</w:t>
      </w:r>
      <w:proofErr w:type="spellEnd"/>
      <w:r w:rsidRPr="00A259BD">
        <w:rPr>
          <w:rFonts w:ascii="Times New Roman" w:hAnsi="Times New Roman"/>
          <w:color w:val="000000" w:themeColor="text1"/>
          <w:sz w:val="16"/>
          <w:szCs w:val="16"/>
        </w:rPr>
        <w:t xml:space="preserve"> установки, пулеметная установка для стрельбы под хвост, бомбардировочное оборудование для средних бомб, установка для пристрелочных бомб, установка для подкрыльных факелов и светящих бомб, аэронавигационное оборудование, вспомогательное оборудование, фотоустановка, радиоустановка, съемное электрооборудование.</w:t>
      </w:r>
    </w:p>
    <w:p w14:paraId="4B42C9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ХБ-М30.</w:t>
      </w:r>
    </w:p>
    <w:p w14:paraId="5C28F7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Пулеметная установка для стрельбы через винт на 1 пулемет, одна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бомбодержатели для химических бомб, установки для приборов ВАП, и приборов специального назначения, аэронавигационное оборудование, вспомогательное оборудование, фотоустановка, радиоустановка, съемное электрооборудование, легкая броня и герметическая кабина.</w:t>
      </w:r>
    </w:p>
    <w:p w14:paraId="2AA917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КС1-65/80 НР.</w:t>
      </w:r>
    </w:p>
    <w:p w14:paraId="3401AE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 пулеметная установка для стрельбы через винт на один пулемет, аэронавигационное оборудование, вспомогательное оборудование, прибор для сбрасывания </w:t>
      </w:r>
      <w:proofErr w:type="spellStart"/>
      <w:r w:rsidRPr="00A259BD">
        <w:rPr>
          <w:rFonts w:ascii="Times New Roman" w:hAnsi="Times New Roman"/>
          <w:color w:val="000000" w:themeColor="text1"/>
          <w:sz w:val="16"/>
          <w:szCs w:val="16"/>
        </w:rPr>
        <w:t>подхватывателя</w:t>
      </w:r>
      <w:proofErr w:type="spellEnd"/>
      <w:r w:rsidRPr="00A259BD">
        <w:rPr>
          <w:rFonts w:ascii="Times New Roman" w:hAnsi="Times New Roman"/>
          <w:color w:val="000000" w:themeColor="text1"/>
          <w:sz w:val="16"/>
          <w:szCs w:val="16"/>
        </w:rPr>
        <w:t xml:space="preserve"> пакетов до 3-х кг.</w:t>
      </w:r>
    </w:p>
    <w:p w14:paraId="3F818E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ТБ2-2 БМВ VI.</w:t>
      </w:r>
    </w:p>
    <w:p w14:paraId="684ADA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Две пулеметные </w:t>
      </w:r>
      <w:proofErr w:type="spellStart"/>
      <w:r w:rsidRPr="00A259BD">
        <w:rPr>
          <w:rFonts w:ascii="Times New Roman" w:hAnsi="Times New Roman"/>
          <w:color w:val="000000" w:themeColor="text1"/>
          <w:sz w:val="16"/>
          <w:szCs w:val="16"/>
        </w:rPr>
        <w:t>турельные</w:t>
      </w:r>
      <w:proofErr w:type="spellEnd"/>
      <w:r w:rsidRPr="00A259BD">
        <w:rPr>
          <w:rFonts w:ascii="Times New Roman" w:hAnsi="Times New Roman"/>
          <w:color w:val="000000" w:themeColor="text1"/>
          <w:sz w:val="16"/>
          <w:szCs w:val="16"/>
        </w:rPr>
        <w:t xml:space="preserve"> установки, прицепные кабины для обстрела задней полусферы, бомбардировочное оборудование для средних бомб, бомбардировочное оборудование для тяжелых бомб, установка для пристрелочных бомб, установка для подкрыльных факелов и светящих бомб, аэронавигационное оборудование, вспомогательное оборудование, фотоустановка, радиоустановка, съемное электрооборудование.</w:t>
      </w:r>
    </w:p>
    <w:p w14:paraId="1AABBE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ТБ3-2000/2400.</w:t>
      </w:r>
    </w:p>
    <w:p w14:paraId="49B35D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 же, что ТБ2-2БМВ VI), добавляется оборудование для возки специальных грузов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w:t>
      </w:r>
    </w:p>
    <w:p w14:paraId="01070A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ТБ4-4М39.</w:t>
      </w:r>
    </w:p>
    <w:p w14:paraId="062FA3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 же, что (ТБ2-2000-2400), но добавляется одна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за счет прицепных кабин).</w:t>
      </w:r>
    </w:p>
    <w:p w14:paraId="6C8FC8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ТБ5-4М35.</w:t>
      </w:r>
    </w:p>
    <w:p w14:paraId="630D94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 же, что ТБ3-2000-2400), но три пулеметных </w:t>
      </w:r>
      <w:proofErr w:type="spellStart"/>
      <w:r w:rsidRPr="00A259BD">
        <w:rPr>
          <w:rFonts w:ascii="Times New Roman" w:hAnsi="Times New Roman"/>
          <w:color w:val="000000" w:themeColor="text1"/>
          <w:sz w:val="16"/>
          <w:szCs w:val="16"/>
        </w:rPr>
        <w:t>турельных</w:t>
      </w:r>
      <w:proofErr w:type="spellEnd"/>
      <w:r w:rsidRPr="00A259BD">
        <w:rPr>
          <w:rFonts w:ascii="Times New Roman" w:hAnsi="Times New Roman"/>
          <w:color w:val="000000" w:themeColor="text1"/>
          <w:sz w:val="16"/>
          <w:szCs w:val="16"/>
        </w:rPr>
        <w:t xml:space="preserve"> установки, пулеметная установка для стрельбы под хвост.</w:t>
      </w:r>
    </w:p>
    <w:p w14:paraId="1B0629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ШЛ-400/600.</w:t>
      </w:r>
    </w:p>
    <w:p w14:paraId="567C4F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Пулеметная установка для стрельбы через винт на 2 пулемета. Съемная пулеметная установка на крыльях самолета на 4 пулемета, одна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бомбодержатели и кассеты для мелкокалиберных бомб, установка для подкрыльных факелов и светящих бомб, аэронавигационное оборудование, вспомогательное оборудование, фотоустановка, съемное электрооборудование.</w:t>
      </w:r>
    </w:p>
    <w:p w14:paraId="7A12A1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ШТ-2 БМВ VI.</w:t>
      </w:r>
    </w:p>
    <w:p w14:paraId="37C859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съемная пулеметная установка на крыльях самолета, бомбодержатели и кассеты для большого количества мелкокалиберных бомб, установка для подкрыльных факелов, аэронавигационное оборудование, вспомогательное оборудование, фотоустановка, радиоустановка, съемное электрооборудование.</w:t>
      </w:r>
    </w:p>
    <w:p w14:paraId="1C168C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РОМ2-2БМВ VI.</w:t>
      </w:r>
    </w:p>
    <w:p w14:paraId="280BA2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Две пулеметные </w:t>
      </w:r>
      <w:proofErr w:type="spellStart"/>
      <w:r w:rsidRPr="00A259BD">
        <w:rPr>
          <w:rFonts w:ascii="Times New Roman" w:hAnsi="Times New Roman"/>
          <w:color w:val="000000" w:themeColor="text1"/>
          <w:sz w:val="16"/>
          <w:szCs w:val="16"/>
        </w:rPr>
        <w:t>турельные</w:t>
      </w:r>
      <w:proofErr w:type="spellEnd"/>
      <w:r w:rsidRPr="00A259BD">
        <w:rPr>
          <w:rFonts w:ascii="Times New Roman" w:hAnsi="Times New Roman"/>
          <w:color w:val="000000" w:themeColor="text1"/>
          <w:sz w:val="16"/>
          <w:szCs w:val="16"/>
        </w:rPr>
        <w:t xml:space="preserve"> установки, бомбардировочное оборудование для средних бомб, бомбардировочное оборудование для тяжелых бомб, установка для пристрелочных бомб, установка для подкрыльных факелов и светящих бомб, аэронавигационное оборудование, вспомогательное оборудование, фотоустановка, радиоустановка, съемное электрооборудование, морское оборудование.МР5-БМВ VI.</w:t>
      </w:r>
    </w:p>
    <w:p w14:paraId="615EB1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Две пулеметных </w:t>
      </w:r>
      <w:proofErr w:type="spellStart"/>
      <w:r w:rsidRPr="00A259BD">
        <w:rPr>
          <w:rFonts w:ascii="Times New Roman" w:hAnsi="Times New Roman"/>
          <w:color w:val="000000" w:themeColor="text1"/>
          <w:sz w:val="16"/>
          <w:szCs w:val="16"/>
        </w:rPr>
        <w:t>турельных</w:t>
      </w:r>
      <w:proofErr w:type="spellEnd"/>
      <w:r w:rsidRPr="00A259BD">
        <w:rPr>
          <w:rFonts w:ascii="Times New Roman" w:hAnsi="Times New Roman"/>
          <w:color w:val="000000" w:themeColor="text1"/>
          <w:sz w:val="16"/>
          <w:szCs w:val="16"/>
        </w:rPr>
        <w:t xml:space="preserve"> установки, бомбардировочное оборудование для средних бомб, аэронавигационное оборудование, вспомогательное оборудование, фотоустановка, радиоустановка, съемное электрооборудование, морское оборудование.</w:t>
      </w:r>
    </w:p>
    <w:p w14:paraId="08C69E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МР6-БМВ VI.</w:t>
      </w:r>
    </w:p>
    <w:p w14:paraId="46C778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МР5-БМВ VI.</w:t>
      </w:r>
    </w:p>
    <w:p w14:paraId="6D6A09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ТОМ2-2БМВ VI.</w:t>
      </w:r>
    </w:p>
    <w:p w14:paraId="17F4B8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Две пулеметные </w:t>
      </w:r>
      <w:proofErr w:type="spellStart"/>
      <w:r w:rsidRPr="00A259BD">
        <w:rPr>
          <w:rFonts w:ascii="Times New Roman" w:hAnsi="Times New Roman"/>
          <w:color w:val="000000" w:themeColor="text1"/>
          <w:sz w:val="16"/>
          <w:szCs w:val="16"/>
        </w:rPr>
        <w:t>турельные</w:t>
      </w:r>
      <w:proofErr w:type="spellEnd"/>
      <w:r w:rsidRPr="00A259BD">
        <w:rPr>
          <w:rFonts w:ascii="Times New Roman" w:hAnsi="Times New Roman"/>
          <w:color w:val="000000" w:themeColor="text1"/>
          <w:sz w:val="16"/>
          <w:szCs w:val="16"/>
        </w:rPr>
        <w:t xml:space="preserve"> установки, пулеметная установка для стрельбы под хвост, бомбардировочное оборудование для тяжелых бомб, установка для пристрелочных бомб, установка для подкрыльных факелов и светящих бомб, оборудование для специальных грузов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аэронавигационное оборудование, вспомогательное оборудование, фотоустановка, радиоустановка, съемное электрооборудование, морское оборудование, аварийное приспособление.</w:t>
      </w:r>
    </w:p>
    <w:p w14:paraId="2256F0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ТО3-БМВ VI.</w:t>
      </w:r>
    </w:p>
    <w:p w14:paraId="7C505F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бомбардировочное оборудование для тяжелых бомб, установка для пристрелочных бомб.....</w:t>
      </w:r>
    </w:p>
    <w:p w14:paraId="327070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КР1-Юп VI.</w:t>
      </w:r>
    </w:p>
    <w:p w14:paraId="1EA3A0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Пулеметная установка для стрельбы через винт на два пулемета,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аэронавигационное оборудование, вспомогательное оборудование, радиоустановка, съемное оборудование, морское оборудование.</w:t>
      </w:r>
    </w:p>
    <w:p w14:paraId="065B5F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МУ2-М11.</w:t>
      </w:r>
    </w:p>
    <w:p w14:paraId="7A6DE1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Нормальное оборудование учебного самолета.</w:t>
      </w:r>
    </w:p>
    <w:p w14:paraId="646D91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МУ3-М11.</w:t>
      </w:r>
    </w:p>
    <w:p w14:paraId="5A86D2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МУ2-М11.</w:t>
      </w:r>
    </w:p>
    <w:p w14:paraId="01449E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ЭР1-2БМВ VI.</w:t>
      </w:r>
    </w:p>
    <w:p w14:paraId="408C35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РОМ3-2БМВ VI.</w:t>
      </w:r>
    </w:p>
    <w:p w14:paraId="5DDBF7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ТБОМ1-3М33.</w:t>
      </w:r>
    </w:p>
    <w:p w14:paraId="5ABCB0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 же, что Эр1-2БМВ VI, добавляется прицепные кабины для обстрела задней полусферы, оборудование для специальных грузов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w:t>
      </w:r>
    </w:p>
    <w:p w14:paraId="13BBF0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РОМ3-2БМВ VI.</w:t>
      </w:r>
    </w:p>
    <w:p w14:paraId="2C181D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РОМ-2БМВ VI.</w:t>
      </w:r>
    </w:p>
    <w:p w14:paraId="34376F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РОМ4-3М34.</w:t>
      </w:r>
    </w:p>
    <w:p w14:paraId="4DCCED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РОМ2-2БМВ VI.</w:t>
      </w:r>
    </w:p>
    <w:p w14:paraId="49ACEB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МР7-БМВ VI (7,3).</w:t>
      </w:r>
    </w:p>
    <w:p w14:paraId="09C201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МР5-БМВ VI.</w:t>
      </w:r>
    </w:p>
    <w:p w14:paraId="72B5EE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КР2-М38.</w:t>
      </w:r>
    </w:p>
    <w:p w14:paraId="487A5C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Пулеметная установка для стрельбы через винт на 2 пулемета,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аэронавигационное оборудование, вспомогательное оборудование, фотоустановка, радиоустановка, морское оборудование.</w:t>
      </w:r>
    </w:p>
    <w:p w14:paraId="194392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АЛ-М37.</w:t>
      </w:r>
    </w:p>
    <w:p w14:paraId="50657B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аэронавигационное оборудование, вспомогательное оборудование, фотоустановка, радиоустановка, съемное электрооборудование, речное оборудование.</w:t>
      </w:r>
    </w:p>
    <w:p w14:paraId="604A5F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АТ-2М34.</w:t>
      </w:r>
    </w:p>
    <w:p w14:paraId="203232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 же, что АЛ-М37, но две пулеметных </w:t>
      </w:r>
      <w:proofErr w:type="spellStart"/>
      <w:r w:rsidRPr="00A259BD">
        <w:rPr>
          <w:rFonts w:ascii="Times New Roman" w:hAnsi="Times New Roman"/>
          <w:color w:val="000000" w:themeColor="text1"/>
          <w:sz w:val="16"/>
          <w:szCs w:val="16"/>
        </w:rPr>
        <w:t>турельных</w:t>
      </w:r>
      <w:proofErr w:type="spellEnd"/>
      <w:r w:rsidRPr="00A259BD">
        <w:rPr>
          <w:rFonts w:ascii="Times New Roman" w:hAnsi="Times New Roman"/>
          <w:color w:val="000000" w:themeColor="text1"/>
          <w:sz w:val="16"/>
          <w:szCs w:val="16"/>
        </w:rPr>
        <w:t xml:space="preserve"> установки, морское оборудование.</w:t>
      </w:r>
    </w:p>
    <w:p w14:paraId="40B68A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МК1-2М33.</w:t>
      </w:r>
    </w:p>
    <w:p w14:paraId="35F27E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Две пулеметные </w:t>
      </w:r>
      <w:proofErr w:type="spellStart"/>
      <w:r w:rsidRPr="00A259BD">
        <w:rPr>
          <w:rFonts w:ascii="Times New Roman" w:hAnsi="Times New Roman"/>
          <w:color w:val="000000" w:themeColor="text1"/>
          <w:sz w:val="16"/>
          <w:szCs w:val="16"/>
        </w:rPr>
        <w:t>турельные</w:t>
      </w:r>
      <w:proofErr w:type="spellEnd"/>
      <w:r w:rsidRPr="00A259BD">
        <w:rPr>
          <w:rFonts w:ascii="Times New Roman" w:hAnsi="Times New Roman"/>
          <w:color w:val="000000" w:themeColor="text1"/>
          <w:sz w:val="16"/>
          <w:szCs w:val="16"/>
        </w:rPr>
        <w:t xml:space="preserve"> установки, прицепные кабины для обстрела задней полусферы, бомбардировочное оборудование для тяжелых бомб, установка для подкрыльных факелов и светящих бомб, аэронавигационное оборудование, вспомогательное оборудование, фотоустановка....</w:t>
      </w:r>
    </w:p>
    <w:p w14:paraId="32E0D1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МК2-2М35.</w:t>
      </w:r>
    </w:p>
    <w:p w14:paraId="75CD68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МК1-3М33.</w:t>
      </w:r>
    </w:p>
    <w:p w14:paraId="642C16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ПР7-БМВ VI.</w:t>
      </w:r>
    </w:p>
    <w:p w14:paraId="0A779F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Р7-БМВ VI.</w:t>
      </w:r>
    </w:p>
    <w:p w14:paraId="2A201D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ПИ3-БМВ VI.</w:t>
      </w:r>
    </w:p>
    <w:p w14:paraId="2D228F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И6-Юп VI.</w:t>
      </w:r>
    </w:p>
    <w:p w14:paraId="21F508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ПИ4-Юп VI.</w:t>
      </w:r>
    </w:p>
    <w:p w14:paraId="504CE3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И4-Юп VI (2364,155).</w:t>
      </w:r>
    </w:p>
    <w:p w14:paraId="30CAB5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709726" w14:textId="05A09149" w:rsidR="00FC5414" w:rsidRPr="00A259BD" w:rsidRDefault="00FC5414" w:rsidP="009236E3">
      <w:pPr>
        <w:spacing w:after="0" w:line="240" w:lineRule="auto"/>
        <w:jc w:val="both"/>
        <w:rPr>
          <w:rFonts w:ascii="Times New Roman" w:hAnsi="Times New Roman"/>
          <w:color w:val="000000" w:themeColor="text1"/>
          <w:sz w:val="16"/>
          <w:szCs w:val="16"/>
          <w:lang w:eastAsia="ru-RU" w:bidi="ru-RU"/>
        </w:rPr>
      </w:pPr>
      <w:r w:rsidRPr="00A259BD">
        <w:rPr>
          <w:rFonts w:ascii="Times New Roman" w:hAnsi="Times New Roman"/>
          <w:color w:val="000000" w:themeColor="text1"/>
          <w:sz w:val="16"/>
          <w:szCs w:val="16"/>
          <w:lang w:eastAsia="ru-RU" w:bidi="ru-RU"/>
        </w:rPr>
        <w:t>13 ию</w:t>
      </w:r>
      <w:r w:rsidRPr="00A259BD">
        <w:rPr>
          <w:rFonts w:ascii="Times New Roman" w:hAnsi="Times New Roman"/>
          <w:color w:val="000000" w:themeColor="text1"/>
          <w:sz w:val="16"/>
          <w:szCs w:val="16"/>
          <w:lang w:eastAsia="ru-RU" w:bidi="ru-RU"/>
        </w:rPr>
        <w:softHyphen/>
        <w:t>ня 1929 в Таганроге на заводе № 31 случилось трагикомическое происшествие, к счастью, закончившееся вполне благополучно. Как отмечено в до</w:t>
      </w:r>
      <w:r w:rsidRPr="00A259BD">
        <w:rPr>
          <w:rFonts w:ascii="Times New Roman" w:hAnsi="Times New Roman"/>
          <w:color w:val="000000" w:themeColor="text1"/>
          <w:sz w:val="16"/>
          <w:szCs w:val="16"/>
          <w:lang w:eastAsia="ru-RU" w:bidi="ru-RU"/>
        </w:rPr>
        <w:softHyphen/>
        <w:t>кументах: «При отходе самолета (РОМ) в море находившийся в передней кабине самолета механик завода Смирнов взду</w:t>
      </w:r>
      <w:r w:rsidRPr="00A259BD">
        <w:rPr>
          <w:rFonts w:ascii="Times New Roman" w:hAnsi="Times New Roman"/>
          <w:color w:val="000000" w:themeColor="text1"/>
          <w:sz w:val="16"/>
          <w:szCs w:val="16"/>
          <w:lang w:eastAsia="ru-RU" w:bidi="ru-RU"/>
        </w:rPr>
        <w:softHyphen/>
        <w:t>мал протереть забрызганное стекло козырька пилота и по</w:t>
      </w:r>
      <w:r w:rsidRPr="00A259BD">
        <w:rPr>
          <w:rFonts w:ascii="Times New Roman" w:hAnsi="Times New Roman"/>
          <w:color w:val="000000" w:themeColor="text1"/>
          <w:sz w:val="16"/>
          <w:szCs w:val="16"/>
          <w:lang w:eastAsia="ru-RU" w:bidi="ru-RU"/>
        </w:rPr>
        <w:softHyphen/>
        <w:t>пал головой под винт. Рулежка была прекращена. Меха</w:t>
      </w:r>
      <w:r w:rsidRPr="00A259BD">
        <w:rPr>
          <w:rFonts w:ascii="Times New Roman" w:hAnsi="Times New Roman"/>
          <w:color w:val="000000" w:themeColor="text1"/>
          <w:sz w:val="16"/>
          <w:szCs w:val="16"/>
          <w:lang w:eastAsia="ru-RU" w:bidi="ru-RU"/>
        </w:rPr>
        <w:softHyphen/>
        <w:t>ник, получивший незначительные ссадины, был доставлен на берег и сам отправился за получением медицинской по</w:t>
      </w:r>
      <w:r w:rsidRPr="00A259BD">
        <w:rPr>
          <w:rFonts w:ascii="Times New Roman" w:hAnsi="Times New Roman"/>
          <w:color w:val="000000" w:themeColor="text1"/>
          <w:sz w:val="16"/>
          <w:szCs w:val="16"/>
          <w:lang w:eastAsia="ru-RU" w:bidi="ru-RU"/>
        </w:rPr>
        <w:softHyphen/>
        <w:t>мощи. На винте оказалась сорванной концевая полотня</w:t>
      </w:r>
      <w:r w:rsidRPr="00A259BD">
        <w:rPr>
          <w:rFonts w:ascii="Times New Roman" w:hAnsi="Times New Roman"/>
          <w:color w:val="000000" w:themeColor="text1"/>
          <w:sz w:val="16"/>
          <w:szCs w:val="16"/>
          <w:lang w:eastAsia="ru-RU" w:bidi="ru-RU"/>
        </w:rPr>
        <w:softHyphen/>
        <w:t>ная обшивка лопасти» (20325).</w:t>
      </w:r>
    </w:p>
    <w:p w14:paraId="2C637CAD" w14:textId="77777777" w:rsidR="00FC5414" w:rsidRPr="00A259BD" w:rsidRDefault="00FC5414" w:rsidP="009236E3">
      <w:pPr>
        <w:spacing w:after="0" w:line="240" w:lineRule="auto"/>
        <w:jc w:val="both"/>
        <w:rPr>
          <w:rFonts w:ascii="Times New Roman" w:hAnsi="Times New Roman"/>
          <w:color w:val="000000" w:themeColor="text1"/>
          <w:sz w:val="16"/>
          <w:szCs w:val="16"/>
        </w:rPr>
      </w:pPr>
    </w:p>
    <w:p w14:paraId="6BB37D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июня 1929 летчик </w:t>
      </w:r>
      <w:proofErr w:type="spellStart"/>
      <w:r w:rsidRPr="00A259BD">
        <w:rPr>
          <w:rFonts w:ascii="Times New Roman" w:hAnsi="Times New Roman"/>
          <w:color w:val="000000" w:themeColor="text1"/>
          <w:sz w:val="16"/>
          <w:szCs w:val="16"/>
        </w:rPr>
        <w:t>Дерулюфта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А.П.Бобков</w:t>
      </w:r>
      <w:proofErr w:type="spellEnd"/>
      <w:r w:rsidRPr="00A259BD">
        <w:rPr>
          <w:rFonts w:ascii="Times New Roman" w:hAnsi="Times New Roman"/>
          <w:color w:val="000000" w:themeColor="text1"/>
          <w:sz w:val="16"/>
          <w:szCs w:val="16"/>
        </w:rPr>
        <w:t xml:space="preserve"> доставил в Москву 2000 однодневных цыплят, вылупившихся в тот же день в Лондоне (438,596).</w:t>
      </w:r>
    </w:p>
    <w:p w14:paraId="5FE091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8E42274" w14:textId="77777777" w:rsidR="002B4539" w:rsidRDefault="002B4539" w:rsidP="002B4539">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 xml:space="preserve">13 июня </w:t>
      </w:r>
      <w:r>
        <w:rPr>
          <w:rFonts w:ascii="Times New Roman" w:hAnsi="Times New Roman"/>
          <w:color w:val="0070C0"/>
          <w:sz w:val="16"/>
          <w:szCs w:val="16"/>
        </w:rPr>
        <w:t>1929 г</w:t>
      </w:r>
      <w:r w:rsidRPr="006B74EB">
        <w:rPr>
          <w:rFonts w:ascii="Times New Roman" w:hAnsi="Times New Roman"/>
          <w:color w:val="0070C0"/>
          <w:sz w:val="16"/>
          <w:szCs w:val="16"/>
        </w:rPr>
        <w:t>.</w:t>
      </w:r>
      <w:r>
        <w:rPr>
          <w:rFonts w:ascii="Times New Roman" w:hAnsi="Times New Roman"/>
          <w:color w:val="0070C0"/>
          <w:sz w:val="16"/>
          <w:szCs w:val="16"/>
        </w:rPr>
        <w:t xml:space="preserve"> ле</w:t>
      </w:r>
      <w:r w:rsidRPr="006B74EB">
        <w:rPr>
          <w:rFonts w:ascii="Times New Roman" w:hAnsi="Times New Roman"/>
          <w:color w:val="0070C0"/>
          <w:sz w:val="16"/>
          <w:szCs w:val="16"/>
        </w:rPr>
        <w:t xml:space="preserve">тчик </w:t>
      </w:r>
      <w:proofErr w:type="spellStart"/>
      <w:r w:rsidRPr="006B74EB">
        <w:rPr>
          <w:rFonts w:ascii="Times New Roman" w:hAnsi="Times New Roman"/>
          <w:color w:val="0070C0"/>
          <w:sz w:val="16"/>
          <w:szCs w:val="16"/>
        </w:rPr>
        <w:t>Дерул</w:t>
      </w:r>
      <w:r>
        <w:rPr>
          <w:rFonts w:ascii="Times New Roman" w:hAnsi="Times New Roman"/>
          <w:color w:val="0070C0"/>
          <w:sz w:val="16"/>
          <w:szCs w:val="16"/>
        </w:rPr>
        <w:t>ю</w:t>
      </w:r>
      <w:r w:rsidRPr="006B74EB">
        <w:rPr>
          <w:rFonts w:ascii="Times New Roman" w:hAnsi="Times New Roman"/>
          <w:color w:val="0070C0"/>
          <w:sz w:val="16"/>
          <w:szCs w:val="16"/>
        </w:rPr>
        <w:t>фта</w:t>
      </w:r>
      <w:proofErr w:type="spellEnd"/>
      <w:r w:rsidRPr="006B74EB">
        <w:rPr>
          <w:rFonts w:ascii="Times New Roman" w:hAnsi="Times New Roman"/>
          <w:color w:val="0070C0"/>
          <w:sz w:val="16"/>
          <w:szCs w:val="16"/>
        </w:rPr>
        <w:t xml:space="preserve"> Александр Петрович Бобков на самолете </w:t>
      </w:r>
      <w:r>
        <w:rPr>
          <w:rFonts w:ascii="Times New Roman" w:hAnsi="Times New Roman"/>
          <w:color w:val="0070C0"/>
          <w:sz w:val="16"/>
          <w:szCs w:val="16"/>
        </w:rPr>
        <w:t xml:space="preserve">Дорнье «Комета» </w:t>
      </w:r>
      <w:proofErr w:type="spellStart"/>
      <w:r>
        <w:rPr>
          <w:rFonts w:ascii="Times New Roman" w:hAnsi="Times New Roman"/>
          <w:color w:val="0070C0"/>
          <w:sz w:val="16"/>
          <w:szCs w:val="16"/>
        </w:rPr>
        <w:t>доста</w:t>
      </w:r>
      <w:r w:rsidRPr="006B74EB">
        <w:rPr>
          <w:rFonts w:ascii="Times New Roman" w:hAnsi="Times New Roman"/>
          <w:color w:val="0070C0"/>
          <w:sz w:val="16"/>
          <w:szCs w:val="16"/>
        </w:rPr>
        <w:t>авил</w:t>
      </w:r>
      <w:proofErr w:type="spellEnd"/>
      <w:r w:rsidRPr="006B74EB">
        <w:rPr>
          <w:rFonts w:ascii="Times New Roman" w:hAnsi="Times New Roman"/>
          <w:color w:val="0070C0"/>
          <w:sz w:val="16"/>
          <w:szCs w:val="16"/>
        </w:rPr>
        <w:t xml:space="preserve"> из Берлина в Москву партию </w:t>
      </w:r>
      <w:proofErr w:type="spellStart"/>
      <w:r w:rsidRPr="006B74EB">
        <w:rPr>
          <w:rFonts w:ascii="Times New Roman" w:hAnsi="Times New Roman"/>
          <w:color w:val="0070C0"/>
          <w:sz w:val="16"/>
          <w:szCs w:val="16"/>
        </w:rPr>
        <w:t>однодневных</w:t>
      </w:r>
      <w:r>
        <w:rPr>
          <w:rFonts w:ascii="Times New Roman" w:hAnsi="Times New Roman"/>
          <w:color w:val="0070C0"/>
          <w:sz w:val="16"/>
          <w:szCs w:val="16"/>
        </w:rPr>
        <w:t>цыплят</w:t>
      </w:r>
      <w:proofErr w:type="spellEnd"/>
      <w:r w:rsidRPr="006B74EB">
        <w:rPr>
          <w:rFonts w:ascii="Times New Roman" w:hAnsi="Times New Roman"/>
          <w:color w:val="0070C0"/>
          <w:sz w:val="16"/>
          <w:szCs w:val="16"/>
        </w:rPr>
        <w:t xml:space="preserve"> /2000 штук/,</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вылупившихся утром в Лондоне и перевезенных </w:t>
      </w:r>
      <w:r>
        <w:rPr>
          <w:rFonts w:ascii="Times New Roman" w:hAnsi="Times New Roman"/>
          <w:color w:val="0070C0"/>
          <w:sz w:val="16"/>
          <w:szCs w:val="16"/>
        </w:rPr>
        <w:t xml:space="preserve">оттуда </w:t>
      </w:r>
      <w:proofErr w:type="spellStart"/>
      <w:r>
        <w:rPr>
          <w:rFonts w:ascii="Times New Roman" w:hAnsi="Times New Roman"/>
          <w:color w:val="0070C0"/>
          <w:sz w:val="16"/>
          <w:szCs w:val="16"/>
        </w:rPr>
        <w:t>в</w:t>
      </w:r>
      <w:r w:rsidRPr="006B74EB">
        <w:rPr>
          <w:rFonts w:ascii="Times New Roman" w:hAnsi="Times New Roman"/>
          <w:color w:val="0070C0"/>
          <w:sz w:val="16"/>
          <w:szCs w:val="16"/>
        </w:rPr>
        <w:t>в</w:t>
      </w:r>
      <w:proofErr w:type="spellEnd"/>
      <w:r w:rsidRPr="006B74EB">
        <w:rPr>
          <w:rFonts w:ascii="Times New Roman" w:hAnsi="Times New Roman"/>
          <w:color w:val="0070C0"/>
          <w:sz w:val="16"/>
          <w:szCs w:val="16"/>
        </w:rPr>
        <w:t xml:space="preserve"> Берлин так</w:t>
      </w:r>
      <w:r>
        <w:rPr>
          <w:rFonts w:ascii="Times New Roman" w:hAnsi="Times New Roman"/>
          <w:color w:val="0070C0"/>
          <w:sz w:val="16"/>
          <w:szCs w:val="16"/>
        </w:rPr>
        <w:t>ж</w:t>
      </w:r>
      <w:r w:rsidRPr="006B74EB">
        <w:rPr>
          <w:rFonts w:ascii="Times New Roman" w:hAnsi="Times New Roman"/>
          <w:color w:val="0070C0"/>
          <w:sz w:val="16"/>
          <w:szCs w:val="16"/>
        </w:rPr>
        <w:t>е на самолете.</w:t>
      </w:r>
      <w:r>
        <w:rPr>
          <w:rFonts w:ascii="Times New Roman" w:hAnsi="Times New Roman"/>
          <w:color w:val="0070C0"/>
          <w:sz w:val="16"/>
          <w:szCs w:val="16"/>
        </w:rPr>
        <w:t xml:space="preserve"> П</w:t>
      </w:r>
      <w:r w:rsidRPr="006B74EB">
        <w:rPr>
          <w:rFonts w:ascii="Times New Roman" w:hAnsi="Times New Roman"/>
          <w:color w:val="0070C0"/>
          <w:sz w:val="16"/>
          <w:szCs w:val="16"/>
        </w:rPr>
        <w:t>ородистые цыплята были заку</w:t>
      </w:r>
      <w:r>
        <w:rPr>
          <w:rFonts w:ascii="Times New Roman" w:hAnsi="Times New Roman"/>
          <w:color w:val="0070C0"/>
          <w:sz w:val="16"/>
          <w:szCs w:val="16"/>
        </w:rPr>
        <w:t xml:space="preserve">плены </w:t>
      </w:r>
      <w:proofErr w:type="spellStart"/>
      <w:r>
        <w:rPr>
          <w:rFonts w:ascii="Times New Roman" w:hAnsi="Times New Roman"/>
          <w:color w:val="0070C0"/>
          <w:sz w:val="16"/>
          <w:szCs w:val="16"/>
        </w:rPr>
        <w:t>Н</w:t>
      </w:r>
      <w:r w:rsidRPr="006B74EB">
        <w:rPr>
          <w:rFonts w:ascii="Times New Roman" w:hAnsi="Times New Roman"/>
          <w:color w:val="0070C0"/>
          <w:sz w:val="16"/>
          <w:szCs w:val="16"/>
        </w:rPr>
        <w:t>ар</w:t>
      </w:r>
      <w:r>
        <w:rPr>
          <w:rFonts w:ascii="Times New Roman" w:hAnsi="Times New Roman"/>
          <w:color w:val="0070C0"/>
          <w:sz w:val="16"/>
          <w:szCs w:val="16"/>
        </w:rPr>
        <w:t>к</w:t>
      </w:r>
      <w:r w:rsidRPr="006B74EB">
        <w:rPr>
          <w:rFonts w:ascii="Times New Roman" w:hAnsi="Times New Roman"/>
          <w:color w:val="0070C0"/>
          <w:sz w:val="16"/>
          <w:szCs w:val="16"/>
        </w:rPr>
        <w:t>оиземом</w:t>
      </w:r>
      <w:proofErr w:type="spellEnd"/>
      <w:r w:rsidRPr="006B74EB">
        <w:rPr>
          <w:rFonts w:ascii="Times New Roman" w:hAnsi="Times New Roman"/>
          <w:color w:val="0070C0"/>
          <w:sz w:val="16"/>
          <w:szCs w:val="16"/>
        </w:rPr>
        <w:t xml:space="preserve"> СССР для разведения в совхозах</w:t>
      </w:r>
      <w:r>
        <w:rPr>
          <w:rFonts w:ascii="Times New Roman" w:hAnsi="Times New Roman"/>
          <w:color w:val="0070C0"/>
          <w:sz w:val="16"/>
          <w:szCs w:val="16"/>
        </w:rPr>
        <w:t>.</w:t>
      </w:r>
    </w:p>
    <w:p w14:paraId="330A81C0" w14:textId="77777777" w:rsidR="002B4539" w:rsidRDefault="002B4539" w:rsidP="002B4539">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/«Красная звезда</w:t>
      </w:r>
      <w:r>
        <w:rPr>
          <w:rFonts w:ascii="Times New Roman" w:hAnsi="Times New Roman"/>
          <w:color w:val="0070C0"/>
          <w:sz w:val="16"/>
          <w:szCs w:val="16"/>
        </w:rPr>
        <w:t>»</w:t>
      </w:r>
      <w:r w:rsidRPr="006B74EB">
        <w:rPr>
          <w:rFonts w:ascii="Times New Roman" w:hAnsi="Times New Roman"/>
          <w:color w:val="0070C0"/>
          <w:sz w:val="16"/>
          <w:szCs w:val="16"/>
        </w:rPr>
        <w:t xml:space="preserve"> за 14 июня 1929 г</w:t>
      </w:r>
      <w:r>
        <w:rPr>
          <w:rFonts w:ascii="Times New Roman" w:hAnsi="Times New Roman"/>
          <w:color w:val="0070C0"/>
          <w:sz w:val="16"/>
          <w:szCs w:val="16"/>
        </w:rPr>
        <w:t>.</w:t>
      </w:r>
      <w:r w:rsidRPr="006B74EB">
        <w:rPr>
          <w:rFonts w:ascii="Times New Roman" w:hAnsi="Times New Roman"/>
          <w:color w:val="0070C0"/>
          <w:sz w:val="16"/>
          <w:szCs w:val="16"/>
        </w:rPr>
        <w:t xml:space="preserve">/ </w:t>
      </w:r>
      <w:r>
        <w:rPr>
          <w:rFonts w:ascii="Times New Roman" w:hAnsi="Times New Roman"/>
          <w:color w:val="0070C0"/>
          <w:sz w:val="16"/>
          <w:szCs w:val="16"/>
        </w:rPr>
        <w:t xml:space="preserve"> (23370).</w:t>
      </w:r>
    </w:p>
    <w:p w14:paraId="352072C6" w14:textId="77777777" w:rsidR="002B4539" w:rsidRPr="006B74EB" w:rsidRDefault="002B4539" w:rsidP="002B4539">
      <w:pPr>
        <w:spacing w:after="0" w:line="240" w:lineRule="auto"/>
        <w:jc w:val="both"/>
        <w:rPr>
          <w:rFonts w:ascii="Times New Roman" w:hAnsi="Times New Roman"/>
          <w:color w:val="0070C0"/>
          <w:sz w:val="16"/>
          <w:szCs w:val="16"/>
        </w:rPr>
      </w:pPr>
    </w:p>
    <w:p w14:paraId="454903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июня 1929 г. Туполев в ЦАГИ приступил к строительству нового глиссирующего дюралевого катера АНТ-5, вооруженного двумя 533-ми торпедами. Постройка его затянулась из-за отсутствия 533-мм торпед и надежных двигателей. Первоначально планировалось поставить те же моторы “Райт-Тайфун”. Был вариант и собственными моторами ГМ-13, но довести их до ума не удалось.| В конце концов, на катер установили итальянские авиационные моторы </w:t>
      </w:r>
      <w:proofErr w:type="spellStart"/>
      <w:r w:rsidRPr="00A259BD">
        <w:rPr>
          <w:rFonts w:ascii="Times New Roman" w:hAnsi="Times New Roman"/>
          <w:color w:val="000000" w:themeColor="text1"/>
          <w:sz w:val="16"/>
          <w:szCs w:val="16"/>
        </w:rPr>
        <w:t>моторы</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Изотто-Фраскиви</w:t>
      </w:r>
      <w:proofErr w:type="spellEnd"/>
      <w:r w:rsidRPr="00A259BD">
        <w:rPr>
          <w:rFonts w:ascii="Times New Roman" w:hAnsi="Times New Roman"/>
          <w:color w:val="000000" w:themeColor="text1"/>
          <w:sz w:val="16"/>
          <w:szCs w:val="16"/>
        </w:rPr>
        <w:t>” А 550-1000 (мощностью 1000 л.с.) (10675).</w:t>
      </w:r>
    </w:p>
    <w:p w14:paraId="1D24EA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C51A8CC" w14:textId="77777777" w:rsidR="00E118F4" w:rsidRPr="00A259BD" w:rsidRDefault="00E118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июня 1929 г. Туполев в ЦАГИ приступил к строительству нового глиссирующего дюралевого катера АНТ-5, вооруженного двумя 533-мм торпедами. Однако постройка его затянулась из-за отсутствия 533-мм торпед и надежных двигателей. Первоначально планировалось установить те же моторы «Райт-Тайфун». Был вариант и с отечественными моторами ГМ-13, но довести их до ума не удалось. В конце концов на катер установили итальянские авиационные моторы «</w:t>
      </w:r>
      <w:proofErr w:type="spellStart"/>
      <w:r w:rsidRPr="00A259BD">
        <w:rPr>
          <w:rFonts w:ascii="Times New Roman" w:hAnsi="Times New Roman"/>
          <w:color w:val="000000" w:themeColor="text1"/>
          <w:sz w:val="16"/>
          <w:szCs w:val="16"/>
        </w:rPr>
        <w:t>Изотто-Фраскини</w:t>
      </w:r>
      <w:proofErr w:type="spellEnd"/>
      <w:r w:rsidRPr="00A259BD">
        <w:rPr>
          <w:rFonts w:ascii="Times New Roman" w:hAnsi="Times New Roman"/>
          <w:color w:val="000000" w:themeColor="text1"/>
          <w:sz w:val="16"/>
          <w:szCs w:val="16"/>
        </w:rPr>
        <w:t>» А 550—1000 (мощностью в 1000 л. с.) Таким образом, 15 февраля 1933 г. катер АНТ-5 был закончен постройкой и отправлен из Москвы по железной дороге в Севастополь.</w:t>
      </w:r>
    </w:p>
    <w:p w14:paraId="53C57585" w14:textId="77777777" w:rsidR="00E118F4" w:rsidRPr="00A259BD" w:rsidRDefault="00E118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апреля по ноябрь 1933 г. катер прошел заводские испытания в Севастополе, а с 22 ноября по декабрь — государственные испытания. Испытания АНТ-5 привели начальство буквально в восторг — катер с торпедами развивал скорость 58 узлов, а без торпед — 65,3 узла. О таких скоростях не могли и мечтать катера других стран.</w:t>
      </w:r>
    </w:p>
    <w:p w14:paraId="593A603B" w14:textId="77777777" w:rsidR="00E118F4" w:rsidRPr="00A259BD" w:rsidRDefault="00E118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им. Марта, начиная с V серии (первые четыре серии — это катера Ш-4), перешел на производство Г-5 (так назывались серийные катера АНТ-5). Позже Г-5 стали строить и на заводе № 532 в Керчи, а с началом войны завод № 532 эвакуировали в Тюмень, и там на заводе № 639 также приступили к строительству катеров типа Г-5. Всего был построен 321 серийный катер Г-5 девяти серий (с VI по XII, включая Х1бис).</w:t>
      </w:r>
    </w:p>
    <w:p w14:paraId="2F8AAD5F" w14:textId="77777777" w:rsidR="00E118F4" w:rsidRPr="00A259BD" w:rsidRDefault="00E118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Торпедное вооружение у всех серий было одинаково: две 533-мм торпеды в желобковых аппаратах. А вот пулеметное вооружение постоянно менялось. Так, катера VI—IX серий имели по два 7,62-мм авиационных пулемета ДА. Следующие серии имели по два 7,62-мм авиационных пулеметов ШКАС, отличавшихся большей скорострельностью.</w:t>
      </w:r>
    </w:p>
    <w:p w14:paraId="7629EB9A" w14:textId="77777777" w:rsidR="00E118F4" w:rsidRPr="00A259BD" w:rsidRDefault="00E118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1941 г. катера стали оснащать одним-двумя 12,7-мм пулеметами ДШК. Кроме того, силами флотских умельцев были созданы импровизированные ординарные и спаренные 20-мм установки авиационных пушек ШВАК.</w:t>
      </w:r>
    </w:p>
    <w:p w14:paraId="414067D5" w14:textId="77777777" w:rsidR="00E118F4" w:rsidRPr="00A259BD" w:rsidRDefault="00E118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Водоизмещение катеров Г-5 колебалось от 14,91 т (VI серии) до 19,94 т (XI серии). Большинство катеров имело по два отечественных бензиновых двигателя ГАМ-34БП и БС мощностью 850 л. с. каждый. 25 катеров IX серии были оснащены итальянскими двигателями «</w:t>
      </w:r>
      <w:proofErr w:type="spellStart"/>
      <w:r w:rsidRPr="00A259BD">
        <w:rPr>
          <w:rFonts w:ascii="Times New Roman" w:hAnsi="Times New Roman"/>
          <w:color w:val="000000" w:themeColor="text1"/>
          <w:sz w:val="16"/>
          <w:szCs w:val="16"/>
        </w:rPr>
        <w:t>Изотто-Фраскини</w:t>
      </w:r>
      <w:proofErr w:type="spellEnd"/>
      <w:r w:rsidRPr="00A259BD">
        <w:rPr>
          <w:rFonts w:ascii="Times New Roman" w:hAnsi="Times New Roman"/>
          <w:color w:val="000000" w:themeColor="text1"/>
          <w:sz w:val="16"/>
          <w:szCs w:val="16"/>
        </w:rPr>
        <w:t>» А 550—1000. 40 катеров серии Х1бис оснащены форсированными двигателями ГАМ-34Ф мощностью по 1000 л. с. А в ходе войны катера снабжались двумя американскими двигателями «Паккард» мощностью по 1150 л.с.</w:t>
      </w:r>
    </w:p>
    <w:p w14:paraId="5EDC3E01" w14:textId="77777777" w:rsidR="00E118F4" w:rsidRPr="00A259BD" w:rsidRDefault="00E118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хода катеров составляла от 45 до 52 узлов. А стоимость постройки — от 475 тыс. руб. (первые серии) до 620 тыс. руб. (начиная с XI серии).</w:t>
      </w:r>
    </w:p>
    <w:p w14:paraId="42438E38" w14:textId="77777777" w:rsidR="00E118F4" w:rsidRPr="00A259BD" w:rsidRDefault="00E118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 работали эти двигатели ГАМ-34, пусть даже теоретически, можно понять из следующего документа: «Правила ухода и обслуживания катера Г-5». Полный ход достигался при 1900 об./мин. двигателя. Но работать при скорости 1900 об/мин. можно было не более 20 мин., а при скорости 1800 об/мин. — не более 1 часа. Причем полный ход можно было развивать только в боевых условиях. А «пользоваться самым полным ходом при 1800—1900 об/мин. в условиях боевой подготовки запрещается».</w:t>
      </w:r>
    </w:p>
    <w:p w14:paraId="34B3DCBA" w14:textId="77777777" w:rsidR="00E118F4" w:rsidRPr="00A259BD" w:rsidRDefault="00E118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24, изготавливавший двигатели ГАМ-34, давал им гарантию лишь на 150 часов работы двигателя, далее должна была производиться полная переборка двигателя и ремонт (15117).</w:t>
      </w:r>
    </w:p>
    <w:p w14:paraId="73279200" w14:textId="77777777" w:rsidR="00E118F4" w:rsidRPr="00A259BD" w:rsidRDefault="00E118F4" w:rsidP="009236E3">
      <w:pPr>
        <w:spacing w:after="0" w:line="240" w:lineRule="auto"/>
        <w:jc w:val="both"/>
        <w:rPr>
          <w:rFonts w:ascii="Times New Roman" w:hAnsi="Times New Roman"/>
          <w:color w:val="000000" w:themeColor="text1"/>
          <w:sz w:val="16"/>
          <w:szCs w:val="16"/>
        </w:rPr>
      </w:pPr>
    </w:p>
    <w:p w14:paraId="50190050" w14:textId="77777777" w:rsidR="00E118F4" w:rsidRPr="00A259BD" w:rsidRDefault="00E118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июня 1929 г. Протокол ПБ № 84 п.3: О перелетах в Западную Европу (Ворошилов). Решено разрешить РВС организацию перелета самолета «АНТ-9» в Западную Европу (15889).</w:t>
      </w:r>
    </w:p>
    <w:p w14:paraId="6A2DCFB5" w14:textId="77777777" w:rsidR="00E118F4" w:rsidRPr="00A259BD" w:rsidRDefault="00E118F4" w:rsidP="009236E3">
      <w:pPr>
        <w:spacing w:after="0" w:line="240" w:lineRule="auto"/>
        <w:jc w:val="both"/>
        <w:rPr>
          <w:rFonts w:ascii="Times New Roman" w:hAnsi="Times New Roman"/>
          <w:color w:val="000000" w:themeColor="text1"/>
          <w:sz w:val="16"/>
          <w:szCs w:val="16"/>
        </w:rPr>
      </w:pPr>
    </w:p>
    <w:p w14:paraId="7A863A0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A6C1DB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0BDD2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13 июня 1929 от столичного Дворца Труда стартовал пробег по маршруту Москва-Киев-Одесса-Севастополь-Харьков-Москва. Его организовала </w:t>
      </w:r>
      <w:proofErr w:type="spellStart"/>
      <w:r w:rsidRPr="00A259BD">
        <w:rPr>
          <w:rFonts w:ascii="Times New Roman" w:hAnsi="Times New Roman"/>
          <w:color w:val="000000" w:themeColor="text1"/>
          <w:sz w:val="16"/>
          <w:szCs w:val="16"/>
        </w:rPr>
        <w:t>мотосекция</w:t>
      </w:r>
      <w:proofErr w:type="spellEnd"/>
      <w:r w:rsidRPr="00A259BD">
        <w:rPr>
          <w:rFonts w:ascii="Times New Roman" w:hAnsi="Times New Roman"/>
          <w:color w:val="000000" w:themeColor="text1"/>
          <w:sz w:val="16"/>
          <w:szCs w:val="16"/>
        </w:rPr>
        <w:t xml:space="preserve"> клуба </w:t>
      </w:r>
      <w:proofErr w:type="spellStart"/>
      <w:r w:rsidRPr="00A259BD">
        <w:rPr>
          <w:rFonts w:ascii="Times New Roman" w:hAnsi="Times New Roman"/>
          <w:color w:val="000000" w:themeColor="text1"/>
          <w:sz w:val="16"/>
          <w:szCs w:val="16"/>
        </w:rPr>
        <w:t>совторгслужащих</w:t>
      </w:r>
      <w:proofErr w:type="spellEnd"/>
      <w:r w:rsidRPr="00A259BD">
        <w:rPr>
          <w:rFonts w:ascii="Times New Roman" w:hAnsi="Times New Roman"/>
          <w:color w:val="000000" w:themeColor="text1"/>
          <w:sz w:val="16"/>
          <w:szCs w:val="16"/>
        </w:rPr>
        <w:t xml:space="preserve"> [3.70] (11429).</w:t>
      </w:r>
    </w:p>
    <w:p w14:paraId="3D49CEB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8CDFBB" w14:textId="77777777" w:rsidR="00077238" w:rsidRPr="00A259BD" w:rsidRDefault="00077238"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13 июня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Протокол заседания Политбюро ЦК ВКП(б) № 84. Опросом членов ПБ от 10 июня 1929 г. 38. О Михайлове. (Политбюро... Т. 1. С. 699) (12416).</w:t>
      </w:r>
    </w:p>
    <w:p w14:paraId="5E6FF62D" w14:textId="77777777" w:rsidR="00077238" w:rsidRPr="00A259BD" w:rsidRDefault="00077238" w:rsidP="009236E3">
      <w:pPr>
        <w:spacing w:after="0" w:line="240" w:lineRule="auto"/>
        <w:jc w:val="both"/>
        <w:rPr>
          <w:rFonts w:ascii="Times New Roman" w:hAnsi="Times New Roman"/>
          <w:color w:val="000000" w:themeColor="text1"/>
          <w:sz w:val="16"/>
          <w:szCs w:val="16"/>
          <w:u w:color="002060"/>
        </w:rPr>
      </w:pPr>
    </w:p>
    <w:p w14:paraId="0844161C" w14:textId="77777777" w:rsidR="00E118F4" w:rsidRPr="00A259BD" w:rsidRDefault="00E118F4" w:rsidP="009236E3">
      <w:pPr>
        <w:spacing w:after="0" w:line="240" w:lineRule="auto"/>
        <w:jc w:val="both"/>
        <w:rPr>
          <w:rFonts w:ascii="Times New Roman" w:hAnsi="Times New Roman"/>
          <w:iCs/>
          <w:color w:val="000000" w:themeColor="text1"/>
          <w:sz w:val="16"/>
          <w:szCs w:val="16"/>
        </w:rPr>
      </w:pPr>
      <w:r w:rsidRPr="00A259BD">
        <w:rPr>
          <w:rFonts w:ascii="Times New Roman" w:hAnsi="Times New Roman"/>
          <w:color w:val="000000" w:themeColor="text1"/>
          <w:sz w:val="16"/>
          <w:szCs w:val="16"/>
        </w:rPr>
        <w:t xml:space="preserve">13 июня 1929 г. Протокол ПБ № 84 п.33: О сдаче в концессию Американской алюминиевой компании постройки и эксплуатации алюминиевого завода на </w:t>
      </w:r>
      <w:proofErr w:type="spellStart"/>
      <w:r w:rsidRPr="00A259BD">
        <w:rPr>
          <w:rFonts w:ascii="Times New Roman" w:hAnsi="Times New Roman"/>
          <w:color w:val="000000" w:themeColor="text1"/>
          <w:sz w:val="16"/>
          <w:szCs w:val="16"/>
        </w:rPr>
        <w:t>Днепрострое</w:t>
      </w:r>
      <w:proofErr w:type="spellEnd"/>
      <w:r w:rsidRPr="00A259BD">
        <w:rPr>
          <w:rFonts w:ascii="Times New Roman" w:hAnsi="Times New Roman"/>
          <w:color w:val="000000" w:themeColor="text1"/>
          <w:sz w:val="16"/>
          <w:szCs w:val="16"/>
        </w:rPr>
        <w:t xml:space="preserve"> (ПБ от 27-5-1929, протокол № 82, п.36). Решено утвердить решение СТО от 7-6-1929 (15866).</w:t>
      </w:r>
    </w:p>
    <w:p w14:paraId="3710EA04" w14:textId="77777777" w:rsidR="00E118F4" w:rsidRPr="00A259BD" w:rsidRDefault="00E118F4" w:rsidP="009236E3">
      <w:pPr>
        <w:spacing w:after="0" w:line="240" w:lineRule="auto"/>
        <w:jc w:val="both"/>
        <w:rPr>
          <w:rFonts w:ascii="Times New Roman" w:hAnsi="Times New Roman"/>
          <w:iCs/>
          <w:color w:val="000000" w:themeColor="text1"/>
          <w:sz w:val="16"/>
          <w:szCs w:val="16"/>
        </w:rPr>
      </w:pPr>
    </w:p>
    <w:p w14:paraId="1EEE7DFC" w14:textId="77777777" w:rsidR="00077238" w:rsidRPr="00A259BD"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Cs/>
          <w:color w:val="000000" w:themeColor="text1"/>
          <w:sz w:val="16"/>
          <w:szCs w:val="16"/>
        </w:rPr>
        <w:t xml:space="preserve">Жизнь и </w:t>
      </w:r>
      <w:proofErr w:type="spellStart"/>
      <w:r w:rsidRPr="00A259BD">
        <w:rPr>
          <w:rFonts w:ascii="Times New Roman" w:hAnsi="Times New Roman"/>
          <w:iCs/>
          <w:color w:val="000000" w:themeColor="text1"/>
          <w:sz w:val="16"/>
          <w:szCs w:val="16"/>
        </w:rPr>
        <w:t>внутреняя</w:t>
      </w:r>
      <w:proofErr w:type="spellEnd"/>
      <w:r w:rsidRPr="00A259BD">
        <w:rPr>
          <w:rFonts w:ascii="Times New Roman" w:hAnsi="Times New Roman"/>
          <w:iCs/>
          <w:color w:val="000000" w:themeColor="text1"/>
          <w:sz w:val="16"/>
          <w:szCs w:val="16"/>
        </w:rPr>
        <w:t xml:space="preserve"> политика:</w:t>
      </w:r>
    </w:p>
    <w:p w14:paraId="3E6400EB" w14:textId="77777777" w:rsidR="00077238" w:rsidRPr="00A259BD"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D83FF14" w14:textId="77777777" w:rsidR="00077238" w:rsidRPr="00A259BD" w:rsidRDefault="00077238"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13 июня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 xml:space="preserve">Политбюро ЦК ВКП (б) одобрило проект решения СНК о выпуске третьего займа индустриализации; предложило расширить производство промкоопераций товаров для крестьянского рынка на 11%; одобрило проект решения СТО о нецелесообразности сдачи в концессию строительства Тихвинского и </w:t>
      </w:r>
      <w:proofErr w:type="spellStart"/>
      <w:r w:rsidRPr="00A259BD">
        <w:rPr>
          <w:rFonts w:ascii="Times New Roman" w:hAnsi="Times New Roman"/>
          <w:color w:val="000000" w:themeColor="text1"/>
          <w:sz w:val="16"/>
          <w:szCs w:val="16"/>
        </w:rPr>
        <w:t>Днепронского</w:t>
      </w:r>
      <w:proofErr w:type="spellEnd"/>
      <w:r w:rsidRPr="00A259BD">
        <w:rPr>
          <w:rFonts w:ascii="Times New Roman" w:hAnsi="Times New Roman"/>
          <w:color w:val="000000" w:themeColor="text1"/>
          <w:sz w:val="16"/>
          <w:szCs w:val="16"/>
        </w:rPr>
        <w:t xml:space="preserve"> алюминиевых заводов Американской алюминиевой компании (12265).</w:t>
      </w:r>
    </w:p>
    <w:p w14:paraId="6BDD7595" w14:textId="77777777" w:rsidR="00077238" w:rsidRPr="00A259BD" w:rsidRDefault="00077238" w:rsidP="009236E3">
      <w:pPr>
        <w:pStyle w:val="ae"/>
        <w:spacing w:before="0" w:after="0"/>
        <w:jc w:val="both"/>
        <w:rPr>
          <w:rStyle w:val="a7"/>
          <w:b w:val="0"/>
          <w:color w:val="000000" w:themeColor="text1"/>
          <w:sz w:val="16"/>
          <w:szCs w:val="16"/>
        </w:rPr>
      </w:pPr>
    </w:p>
    <w:p w14:paraId="29F4D4B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3091F0A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9CA5E5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июня 1929 советские отряды перешли границу с Китаем с целью защиты русских специалистов (4962).</w:t>
      </w:r>
    </w:p>
    <w:p w14:paraId="1392B68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714157" w14:textId="77777777" w:rsidR="00D003A3"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9E4A0D0" w14:textId="77777777" w:rsidR="00D003A3" w:rsidRPr="00A259BD" w:rsidRDefault="00D003A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2FA2F4B" w14:textId="77777777" w:rsidR="00D003A3" w:rsidRPr="00A259BD" w:rsidRDefault="00D003A3"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13 июня</w:t>
      </w:r>
      <w:r w:rsidRPr="00A259BD">
        <w:rPr>
          <w:rFonts w:ascii="Times New Roman" w:hAnsi="Times New Roman"/>
          <w:color w:val="000000" w:themeColor="text1"/>
          <w:sz w:val="16"/>
          <w:szCs w:val="16"/>
        </w:rPr>
        <w:t xml:space="preserve"> в 1929 году французский транспортный самолет </w:t>
      </w:r>
      <w:hyperlink r:id="rId61" w:tgtFrame="_blank" w:history="1">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Bernard</w:t>
        </w:r>
        <w:proofErr w:type="spellEnd"/>
        <w:r w:rsidRPr="00A259BD">
          <w:rPr>
            <w:rFonts w:ascii="Times New Roman" w:hAnsi="Times New Roman"/>
            <w:color w:val="000000" w:themeColor="text1"/>
            <w:sz w:val="16"/>
            <w:szCs w:val="16"/>
          </w:rPr>
          <w:t xml:space="preserve">» «191GR» </w:t>
        </w:r>
      </w:hyperlink>
      <w:r w:rsidRPr="00A259BD">
        <w:rPr>
          <w:rFonts w:ascii="Times New Roman" w:hAnsi="Times New Roman"/>
          <w:color w:val="000000" w:themeColor="text1"/>
          <w:sz w:val="16"/>
          <w:szCs w:val="16"/>
        </w:rPr>
        <w:t xml:space="preserve">№2 носивший собственное имя </w:t>
      </w:r>
      <w:hyperlink r:id="rId62" w:tgtFrame="_blank" w:history="1">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Oiseau</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Canari</w:t>
        </w:r>
        <w:proofErr w:type="spellEnd"/>
        <w:r w:rsidRPr="00A259BD">
          <w:rPr>
            <w:rFonts w:ascii="Times New Roman" w:hAnsi="Times New Roman"/>
            <w:color w:val="000000" w:themeColor="text1"/>
            <w:sz w:val="16"/>
            <w:szCs w:val="16"/>
          </w:rPr>
          <w:t xml:space="preserve">" </w:t>
        </w:r>
      </w:hyperlink>
      <w:r w:rsidRPr="00A259BD">
        <w:rPr>
          <w:rFonts w:ascii="Times New Roman" w:hAnsi="Times New Roman"/>
          <w:color w:val="000000" w:themeColor="text1"/>
          <w:sz w:val="16"/>
          <w:szCs w:val="16"/>
        </w:rPr>
        <w:t xml:space="preserve">(канарейка), совершил первый перелет через Северную Атлантику, пилот военный летчик Жан </w:t>
      </w:r>
      <w:proofErr w:type="spellStart"/>
      <w:r w:rsidRPr="00A259BD">
        <w:rPr>
          <w:rFonts w:ascii="Times New Roman" w:hAnsi="Times New Roman"/>
          <w:color w:val="000000" w:themeColor="text1"/>
          <w:sz w:val="16"/>
          <w:szCs w:val="16"/>
        </w:rPr>
        <w:t>Ассолант</w:t>
      </w:r>
      <w:proofErr w:type="spellEnd"/>
      <w:r w:rsidRPr="00A259BD">
        <w:rPr>
          <w:rFonts w:ascii="Times New Roman" w:hAnsi="Times New Roman"/>
          <w:color w:val="000000" w:themeColor="text1"/>
          <w:sz w:val="16"/>
          <w:szCs w:val="16"/>
        </w:rPr>
        <w:t>. Этот полет длился 29 часов 52 минуты (14921).</w:t>
      </w:r>
    </w:p>
    <w:p w14:paraId="42F52105" w14:textId="77777777" w:rsidR="00D003A3" w:rsidRPr="00A259BD" w:rsidRDefault="00D003A3" w:rsidP="009236E3">
      <w:pPr>
        <w:spacing w:after="0" w:line="240" w:lineRule="auto"/>
        <w:jc w:val="both"/>
        <w:rPr>
          <w:rFonts w:ascii="Times New Roman" w:hAnsi="Times New Roman"/>
          <w:color w:val="000000" w:themeColor="text1"/>
          <w:sz w:val="16"/>
          <w:szCs w:val="16"/>
        </w:rPr>
      </w:pPr>
    </w:p>
    <w:p w14:paraId="0172C67D" w14:textId="77777777" w:rsidR="00FC5414" w:rsidRPr="00A259BD" w:rsidRDefault="00FC5414" w:rsidP="009236E3">
      <w:pPr>
        <w:spacing w:after="0" w:line="240" w:lineRule="auto"/>
        <w:jc w:val="both"/>
        <w:rPr>
          <w:rFonts w:ascii="Times New Roman" w:hAnsi="Times New Roman"/>
          <w:color w:val="000000" w:themeColor="text1"/>
          <w:sz w:val="16"/>
          <w:szCs w:val="16"/>
        </w:rPr>
      </w:pPr>
      <w:bookmarkStart w:id="55" w:name="_Hlk75785091"/>
      <w:r w:rsidRPr="00A259BD">
        <w:rPr>
          <w:rFonts w:ascii="Times New Roman" w:hAnsi="Times New Roman"/>
          <w:color w:val="000000" w:themeColor="text1"/>
          <w:sz w:val="16"/>
          <w:szCs w:val="16"/>
        </w:rPr>
        <w:t xml:space="preserve">13 июня 1929 - Французский транспортный самолет </w:t>
      </w:r>
      <w:proofErr w:type="spellStart"/>
      <w:r w:rsidRPr="00A259BD">
        <w:rPr>
          <w:rFonts w:ascii="Times New Roman" w:hAnsi="Times New Roman"/>
          <w:color w:val="000000" w:themeColor="text1"/>
          <w:sz w:val="16"/>
          <w:szCs w:val="16"/>
        </w:rPr>
        <w:t>Bernard</w:t>
      </w:r>
      <w:proofErr w:type="spellEnd"/>
      <w:r w:rsidRPr="00A259BD">
        <w:rPr>
          <w:rFonts w:ascii="Times New Roman" w:hAnsi="Times New Roman"/>
          <w:color w:val="000000" w:themeColor="text1"/>
          <w:sz w:val="16"/>
          <w:szCs w:val="16"/>
        </w:rPr>
        <w:t xml:space="preserve"> 191GR №2 носивший собственное имя "</w:t>
      </w:r>
      <w:proofErr w:type="spellStart"/>
      <w:r w:rsidRPr="00A259BD">
        <w:rPr>
          <w:rFonts w:ascii="Times New Roman" w:hAnsi="Times New Roman"/>
          <w:color w:val="000000" w:themeColor="text1"/>
          <w:sz w:val="16"/>
          <w:szCs w:val="16"/>
        </w:rPr>
        <w:t>Oiseau</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Canari</w:t>
      </w:r>
      <w:proofErr w:type="spellEnd"/>
      <w:r w:rsidRPr="00A259BD">
        <w:rPr>
          <w:rFonts w:ascii="Times New Roman" w:hAnsi="Times New Roman"/>
          <w:color w:val="000000" w:themeColor="text1"/>
          <w:sz w:val="16"/>
          <w:szCs w:val="16"/>
        </w:rPr>
        <w:t xml:space="preserve">" (канарейка), совершил первый перелет через Северную Атлантику, пилот военный летчик Жан </w:t>
      </w:r>
      <w:proofErr w:type="spellStart"/>
      <w:r w:rsidRPr="00A259BD">
        <w:rPr>
          <w:rFonts w:ascii="Times New Roman" w:hAnsi="Times New Roman"/>
          <w:color w:val="000000" w:themeColor="text1"/>
          <w:sz w:val="16"/>
          <w:szCs w:val="16"/>
        </w:rPr>
        <w:t>Ассолант</w:t>
      </w:r>
      <w:proofErr w:type="spellEnd"/>
      <w:r w:rsidRPr="00A259BD">
        <w:rPr>
          <w:rFonts w:ascii="Times New Roman" w:hAnsi="Times New Roman"/>
          <w:color w:val="000000" w:themeColor="text1"/>
          <w:sz w:val="16"/>
          <w:szCs w:val="16"/>
        </w:rPr>
        <w:t>. Этот полет длился 29 часов 52 минуты. Это был первый, на французском самолете и с французским экипажем, перелет через Северную Атлантику (22462).</w:t>
      </w:r>
    </w:p>
    <w:p w14:paraId="2B355625" w14:textId="77777777" w:rsidR="00FC5414" w:rsidRPr="00A259BD" w:rsidRDefault="00FC5414" w:rsidP="009236E3">
      <w:pPr>
        <w:spacing w:after="0" w:line="240" w:lineRule="auto"/>
        <w:jc w:val="both"/>
        <w:rPr>
          <w:rFonts w:ascii="Times New Roman" w:hAnsi="Times New Roman"/>
          <w:color w:val="000000" w:themeColor="text1"/>
          <w:sz w:val="16"/>
          <w:szCs w:val="16"/>
        </w:rPr>
      </w:pPr>
    </w:p>
    <w:bookmarkEnd w:id="55"/>
    <w:p w14:paraId="38368DC7" w14:textId="77777777" w:rsidR="00FC5414" w:rsidRPr="00A259BD" w:rsidRDefault="00FC541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июня 1929 Береговая охрана Соединенных Штатов создает возможность "слежения за воздушным движением" вдоль побережья континентальной части Соединенных Штатов, используя сеть радиостанций береговой охраны (20806).</w:t>
      </w:r>
    </w:p>
    <w:p w14:paraId="1FE9E373" w14:textId="77777777" w:rsidR="00FC5414" w:rsidRPr="00A259BD" w:rsidRDefault="00FC5414" w:rsidP="009236E3">
      <w:pPr>
        <w:spacing w:after="0" w:line="240" w:lineRule="auto"/>
        <w:jc w:val="both"/>
        <w:rPr>
          <w:rFonts w:ascii="Times New Roman" w:hAnsi="Times New Roman"/>
          <w:color w:val="000000" w:themeColor="text1"/>
          <w:sz w:val="16"/>
          <w:szCs w:val="16"/>
        </w:rPr>
      </w:pPr>
    </w:p>
    <w:p w14:paraId="51008F5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D86C96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E855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июня 1929 была подготовлена справка "Сведения об опытных работах, новых конструкциях и установках производства за май 1929: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3475"/>
        <w:gridCol w:w="2903"/>
        <w:gridCol w:w="1917"/>
      </w:tblGrid>
      <w:tr w:rsidR="00A259BD" w:rsidRPr="00A259BD" w14:paraId="2D7A2EB9" w14:textId="77777777">
        <w:tc>
          <w:tcPr>
            <w:tcW w:w="1878" w:type="dxa"/>
          </w:tcPr>
          <w:p w14:paraId="2A24B9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Содержание заказа</w:t>
            </w:r>
          </w:p>
        </w:tc>
        <w:tc>
          <w:tcPr>
            <w:tcW w:w="3475" w:type="dxa"/>
          </w:tcPr>
          <w:p w14:paraId="5DDA73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Краткий перечень</w:t>
            </w:r>
          </w:p>
        </w:tc>
        <w:tc>
          <w:tcPr>
            <w:tcW w:w="2903" w:type="dxa"/>
          </w:tcPr>
          <w:p w14:paraId="209531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Препятствия</w:t>
            </w:r>
          </w:p>
        </w:tc>
        <w:tc>
          <w:tcPr>
            <w:tcW w:w="1917" w:type="dxa"/>
          </w:tcPr>
          <w:p w14:paraId="16A0AF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Предположения</w:t>
            </w:r>
          </w:p>
        </w:tc>
      </w:tr>
      <w:tr w:rsidR="00A259BD" w:rsidRPr="00A259BD" w14:paraId="3AE2BD84" w14:textId="77777777">
        <w:tc>
          <w:tcPr>
            <w:tcW w:w="1878" w:type="dxa"/>
          </w:tcPr>
          <w:p w14:paraId="435F4B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39EF5E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мер и работ</w:t>
            </w:r>
          </w:p>
        </w:tc>
        <w:tc>
          <w:tcPr>
            <w:tcW w:w="2903" w:type="dxa"/>
          </w:tcPr>
          <w:p w14:paraId="2EFA7B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5A52F0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22E3958" w14:textId="77777777">
        <w:tc>
          <w:tcPr>
            <w:tcW w:w="1878" w:type="dxa"/>
          </w:tcPr>
          <w:p w14:paraId="278D53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П-2 М-6</w:t>
            </w:r>
          </w:p>
        </w:tc>
        <w:tc>
          <w:tcPr>
            <w:tcW w:w="3475" w:type="dxa"/>
          </w:tcPr>
          <w:p w14:paraId="73CB70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Заводские летные испытания</w:t>
            </w:r>
          </w:p>
        </w:tc>
        <w:tc>
          <w:tcPr>
            <w:tcW w:w="2903" w:type="dxa"/>
          </w:tcPr>
          <w:p w14:paraId="5E9F8A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298FF1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E1B55E1" w14:textId="77777777">
        <w:tc>
          <w:tcPr>
            <w:tcW w:w="1878" w:type="dxa"/>
          </w:tcPr>
          <w:p w14:paraId="125AAE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Д-2 БМВ-6</w:t>
            </w:r>
          </w:p>
        </w:tc>
        <w:tc>
          <w:tcPr>
            <w:tcW w:w="3475" w:type="dxa"/>
          </w:tcPr>
          <w:p w14:paraId="3BEFB8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Заводские летные испытания</w:t>
            </w:r>
          </w:p>
        </w:tc>
        <w:tc>
          <w:tcPr>
            <w:tcW w:w="2903" w:type="dxa"/>
          </w:tcPr>
          <w:p w14:paraId="7687AB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4DD6A2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1ECFFD4" w14:textId="77777777">
        <w:tc>
          <w:tcPr>
            <w:tcW w:w="1878" w:type="dxa"/>
          </w:tcPr>
          <w:p w14:paraId="39BA70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Стат. испытания</w:t>
            </w:r>
          </w:p>
        </w:tc>
        <w:tc>
          <w:tcPr>
            <w:tcW w:w="3475" w:type="dxa"/>
          </w:tcPr>
          <w:p w14:paraId="40770D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Изготовление деталей шасси</w:t>
            </w:r>
          </w:p>
        </w:tc>
        <w:tc>
          <w:tcPr>
            <w:tcW w:w="2903" w:type="dxa"/>
          </w:tcPr>
          <w:p w14:paraId="3241C8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Медленная работа</w:t>
            </w:r>
          </w:p>
        </w:tc>
        <w:tc>
          <w:tcPr>
            <w:tcW w:w="1917" w:type="dxa"/>
          </w:tcPr>
          <w:p w14:paraId="20AC02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E5D637A" w14:textId="77777777">
        <w:tc>
          <w:tcPr>
            <w:tcW w:w="1878" w:type="dxa"/>
          </w:tcPr>
          <w:p w14:paraId="7C1F23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51AAB4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903" w:type="dxa"/>
          </w:tcPr>
          <w:p w14:paraId="1CD0BF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завода 1</w:t>
            </w:r>
          </w:p>
        </w:tc>
        <w:tc>
          <w:tcPr>
            <w:tcW w:w="1917" w:type="dxa"/>
          </w:tcPr>
          <w:p w14:paraId="0F5D03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3D979CF" w14:textId="77777777">
        <w:tc>
          <w:tcPr>
            <w:tcW w:w="1878" w:type="dxa"/>
          </w:tcPr>
          <w:p w14:paraId="5FBE2E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ТБ-2</w:t>
            </w:r>
          </w:p>
        </w:tc>
        <w:tc>
          <w:tcPr>
            <w:tcW w:w="3475" w:type="dxa"/>
          </w:tcPr>
          <w:p w14:paraId="1E16C6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Изготовление </w:t>
            </w:r>
            <w:proofErr w:type="spellStart"/>
            <w:r w:rsidRPr="00A259BD">
              <w:rPr>
                <w:rFonts w:ascii="Times New Roman" w:hAnsi="Times New Roman"/>
                <w:color w:val="000000" w:themeColor="text1"/>
                <w:sz w:val="16"/>
                <w:szCs w:val="16"/>
              </w:rPr>
              <w:t>контрподкосов</w:t>
            </w:r>
            <w:proofErr w:type="spellEnd"/>
          </w:p>
        </w:tc>
        <w:tc>
          <w:tcPr>
            <w:tcW w:w="2903" w:type="dxa"/>
          </w:tcPr>
          <w:p w14:paraId="6ABE1D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1A7D4C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C85CB16" w14:textId="77777777">
        <w:tc>
          <w:tcPr>
            <w:tcW w:w="1878" w:type="dxa"/>
          </w:tcPr>
          <w:p w14:paraId="5922E3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ТБ-2</w:t>
            </w:r>
          </w:p>
        </w:tc>
        <w:tc>
          <w:tcPr>
            <w:tcW w:w="3475" w:type="dxa"/>
          </w:tcPr>
          <w:p w14:paraId="2A8EB9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Сборка фюзеляжа, металлических элеронов</w:t>
            </w:r>
          </w:p>
        </w:tc>
        <w:tc>
          <w:tcPr>
            <w:tcW w:w="2903" w:type="dxa"/>
          </w:tcPr>
          <w:p w14:paraId="407E1B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40F39A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1F92258" w14:textId="77777777">
        <w:tc>
          <w:tcPr>
            <w:tcW w:w="1878" w:type="dxa"/>
          </w:tcPr>
          <w:p w14:paraId="13CD02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3AE2FD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ручное и ножное управление, изготовление</w:t>
            </w:r>
          </w:p>
        </w:tc>
        <w:tc>
          <w:tcPr>
            <w:tcW w:w="2903" w:type="dxa"/>
          </w:tcPr>
          <w:p w14:paraId="3135DB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7A42DB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5E8714D" w14:textId="77777777">
        <w:tc>
          <w:tcPr>
            <w:tcW w:w="1878" w:type="dxa"/>
          </w:tcPr>
          <w:p w14:paraId="7DA776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1C75AD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шасси. Установка моторной установки</w:t>
            </w:r>
          </w:p>
        </w:tc>
        <w:tc>
          <w:tcPr>
            <w:tcW w:w="2903" w:type="dxa"/>
          </w:tcPr>
          <w:p w14:paraId="699C32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283FE2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89CA15F" w14:textId="77777777">
        <w:tc>
          <w:tcPr>
            <w:tcW w:w="1878" w:type="dxa"/>
          </w:tcPr>
          <w:p w14:paraId="314F58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Р-5 (первый)</w:t>
            </w:r>
          </w:p>
        </w:tc>
        <w:tc>
          <w:tcPr>
            <w:tcW w:w="3475" w:type="dxa"/>
          </w:tcPr>
          <w:p w14:paraId="4BF038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Мелкие доделки</w:t>
            </w:r>
          </w:p>
        </w:tc>
        <w:tc>
          <w:tcPr>
            <w:tcW w:w="2903" w:type="dxa"/>
          </w:tcPr>
          <w:p w14:paraId="59A2C6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54A13C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4A288E0" w14:textId="77777777">
        <w:tc>
          <w:tcPr>
            <w:tcW w:w="1878" w:type="dxa"/>
          </w:tcPr>
          <w:p w14:paraId="3BE7A3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Р-5 (второй)</w:t>
            </w:r>
          </w:p>
        </w:tc>
        <w:tc>
          <w:tcPr>
            <w:tcW w:w="3475" w:type="dxa"/>
          </w:tcPr>
          <w:p w14:paraId="407999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Общая сборка на аэродроме. Мелкие </w:t>
            </w:r>
          </w:p>
        </w:tc>
        <w:tc>
          <w:tcPr>
            <w:tcW w:w="2903" w:type="dxa"/>
          </w:tcPr>
          <w:p w14:paraId="140008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606318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FC7A832" w14:textId="77777777">
        <w:tc>
          <w:tcPr>
            <w:tcW w:w="1878" w:type="dxa"/>
          </w:tcPr>
          <w:p w14:paraId="7A69EB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4C6DAD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детали</w:t>
            </w:r>
          </w:p>
        </w:tc>
        <w:tc>
          <w:tcPr>
            <w:tcW w:w="2903" w:type="dxa"/>
          </w:tcPr>
          <w:p w14:paraId="26A1F1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2DB124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55C3785" w14:textId="77777777">
        <w:tc>
          <w:tcPr>
            <w:tcW w:w="1878" w:type="dxa"/>
          </w:tcPr>
          <w:p w14:paraId="298C92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Р-5 (третий)</w:t>
            </w:r>
          </w:p>
        </w:tc>
        <w:tc>
          <w:tcPr>
            <w:tcW w:w="3475" w:type="dxa"/>
          </w:tcPr>
          <w:p w14:paraId="10D4A1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Изготовление металлических элеронов,</w:t>
            </w:r>
          </w:p>
        </w:tc>
        <w:tc>
          <w:tcPr>
            <w:tcW w:w="2903" w:type="dxa"/>
          </w:tcPr>
          <w:p w14:paraId="4840F7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7F51EF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июля</w:t>
            </w:r>
          </w:p>
        </w:tc>
      </w:tr>
      <w:tr w:rsidR="00A259BD" w:rsidRPr="00A259BD" w14:paraId="584B8BC2" w14:textId="77777777">
        <w:tc>
          <w:tcPr>
            <w:tcW w:w="1878" w:type="dxa"/>
          </w:tcPr>
          <w:p w14:paraId="3DCA9E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213E65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крыльев, радиаторов, сборка крыльев,</w:t>
            </w:r>
          </w:p>
        </w:tc>
        <w:tc>
          <w:tcPr>
            <w:tcW w:w="2903" w:type="dxa"/>
          </w:tcPr>
          <w:p w14:paraId="71D41C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714AA9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1C9A07B" w14:textId="77777777">
        <w:tc>
          <w:tcPr>
            <w:tcW w:w="1878" w:type="dxa"/>
          </w:tcPr>
          <w:p w14:paraId="653D82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03C02C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сборка оперения, установка узлов</w:t>
            </w:r>
          </w:p>
        </w:tc>
        <w:tc>
          <w:tcPr>
            <w:tcW w:w="2903" w:type="dxa"/>
          </w:tcPr>
          <w:p w14:paraId="7E6F02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03CB1A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B80D5A7" w14:textId="77777777">
        <w:tc>
          <w:tcPr>
            <w:tcW w:w="1878" w:type="dxa"/>
          </w:tcPr>
          <w:p w14:paraId="4F1E4A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581082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фюзеляжа, установка шасси и моторной</w:t>
            </w:r>
          </w:p>
        </w:tc>
        <w:tc>
          <w:tcPr>
            <w:tcW w:w="2903" w:type="dxa"/>
          </w:tcPr>
          <w:p w14:paraId="0C7406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5A2514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B91516F" w14:textId="77777777">
        <w:tc>
          <w:tcPr>
            <w:tcW w:w="1878" w:type="dxa"/>
          </w:tcPr>
          <w:p w14:paraId="789147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78821E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установки</w:t>
            </w:r>
          </w:p>
        </w:tc>
        <w:tc>
          <w:tcPr>
            <w:tcW w:w="2903" w:type="dxa"/>
          </w:tcPr>
          <w:p w14:paraId="32E388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5DFA04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6F4D210" w14:textId="77777777">
        <w:tc>
          <w:tcPr>
            <w:tcW w:w="1878" w:type="dxa"/>
          </w:tcPr>
          <w:p w14:paraId="70EDF6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Р-5 (четвертый)</w:t>
            </w:r>
          </w:p>
        </w:tc>
        <w:tc>
          <w:tcPr>
            <w:tcW w:w="3475" w:type="dxa"/>
          </w:tcPr>
          <w:p w14:paraId="740AEB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Изготовление шасси, сборка остова</w:t>
            </w:r>
          </w:p>
        </w:tc>
        <w:tc>
          <w:tcPr>
            <w:tcW w:w="2903" w:type="dxa"/>
          </w:tcPr>
          <w:p w14:paraId="61F699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4C781C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августа (2368,122)</w:t>
            </w:r>
          </w:p>
        </w:tc>
      </w:tr>
      <w:tr w:rsidR="00046B82" w:rsidRPr="00A259BD" w14:paraId="2D81D910" w14:textId="77777777">
        <w:tc>
          <w:tcPr>
            <w:tcW w:w="1878" w:type="dxa"/>
          </w:tcPr>
          <w:p w14:paraId="692B8C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46B9D8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фюзеляжа, оперения</w:t>
            </w:r>
          </w:p>
        </w:tc>
        <w:tc>
          <w:tcPr>
            <w:tcW w:w="2903" w:type="dxa"/>
          </w:tcPr>
          <w:p w14:paraId="62B0A3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2D8A4B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6970F7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C2AF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июня 1929 Президиумом ВСНХ был получен План развития ГВФ:</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879"/>
        <w:gridCol w:w="1389"/>
        <w:gridCol w:w="814"/>
        <w:gridCol w:w="814"/>
        <w:gridCol w:w="814"/>
        <w:gridCol w:w="1312"/>
        <w:gridCol w:w="1486"/>
        <w:gridCol w:w="1137"/>
      </w:tblGrid>
      <w:tr w:rsidR="00A259BD" w:rsidRPr="00A259BD" w14:paraId="12503EA0" w14:textId="77777777">
        <w:tc>
          <w:tcPr>
            <w:tcW w:w="1526" w:type="dxa"/>
          </w:tcPr>
          <w:p w14:paraId="20D0AC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Наименование</w:t>
            </w:r>
          </w:p>
        </w:tc>
        <w:tc>
          <w:tcPr>
            <w:tcW w:w="879" w:type="dxa"/>
          </w:tcPr>
          <w:p w14:paraId="006A5A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0B290D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Фактическая потребность</w:t>
            </w:r>
          </w:p>
        </w:tc>
        <w:tc>
          <w:tcPr>
            <w:tcW w:w="814" w:type="dxa"/>
          </w:tcPr>
          <w:p w14:paraId="40EF7B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3E644B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289FD3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168525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Фактическая потребность</w:t>
            </w:r>
          </w:p>
        </w:tc>
        <w:tc>
          <w:tcPr>
            <w:tcW w:w="1486" w:type="dxa"/>
          </w:tcPr>
          <w:p w14:paraId="0CFFF4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257ED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12A74A5" w14:textId="77777777">
        <w:tc>
          <w:tcPr>
            <w:tcW w:w="1526" w:type="dxa"/>
          </w:tcPr>
          <w:p w14:paraId="2B7F2E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491C75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63E4FA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1928-29</w:t>
            </w:r>
          </w:p>
        </w:tc>
        <w:tc>
          <w:tcPr>
            <w:tcW w:w="814" w:type="dxa"/>
          </w:tcPr>
          <w:p w14:paraId="6270FF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23F3D2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5BED01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2E5827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1929-30</w:t>
            </w:r>
          </w:p>
        </w:tc>
        <w:tc>
          <w:tcPr>
            <w:tcW w:w="1486" w:type="dxa"/>
          </w:tcPr>
          <w:p w14:paraId="06E34C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8FD86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31B3E4C" w14:textId="77777777">
        <w:tc>
          <w:tcPr>
            <w:tcW w:w="1526" w:type="dxa"/>
          </w:tcPr>
          <w:p w14:paraId="24C99A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653B37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Деру-</w:t>
            </w:r>
          </w:p>
        </w:tc>
        <w:tc>
          <w:tcPr>
            <w:tcW w:w="1389" w:type="dxa"/>
          </w:tcPr>
          <w:p w14:paraId="2BD72F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Добро-</w:t>
            </w:r>
          </w:p>
        </w:tc>
        <w:tc>
          <w:tcPr>
            <w:tcW w:w="814" w:type="dxa"/>
          </w:tcPr>
          <w:p w14:paraId="7947E3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Укр-</w:t>
            </w:r>
          </w:p>
        </w:tc>
        <w:tc>
          <w:tcPr>
            <w:tcW w:w="814" w:type="dxa"/>
          </w:tcPr>
          <w:p w14:paraId="55ECB7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814" w:type="dxa"/>
          </w:tcPr>
          <w:p w14:paraId="75380B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Деру-</w:t>
            </w:r>
          </w:p>
        </w:tc>
        <w:tc>
          <w:tcPr>
            <w:tcW w:w="1312" w:type="dxa"/>
          </w:tcPr>
          <w:p w14:paraId="02269E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Добро-</w:t>
            </w:r>
          </w:p>
        </w:tc>
        <w:tc>
          <w:tcPr>
            <w:tcW w:w="1486" w:type="dxa"/>
          </w:tcPr>
          <w:p w14:paraId="1E97F2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Укр-</w:t>
            </w:r>
          </w:p>
        </w:tc>
        <w:tc>
          <w:tcPr>
            <w:tcW w:w="1137" w:type="dxa"/>
          </w:tcPr>
          <w:p w14:paraId="464654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r>
      <w:tr w:rsidR="00A259BD" w:rsidRPr="00A259BD" w14:paraId="5AF55545" w14:textId="77777777">
        <w:tc>
          <w:tcPr>
            <w:tcW w:w="1526" w:type="dxa"/>
          </w:tcPr>
          <w:p w14:paraId="1731A6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66D416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люфт</w:t>
            </w:r>
          </w:p>
        </w:tc>
        <w:tc>
          <w:tcPr>
            <w:tcW w:w="1389" w:type="dxa"/>
          </w:tcPr>
          <w:p w14:paraId="716113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w:t>
            </w:r>
          </w:p>
        </w:tc>
        <w:tc>
          <w:tcPr>
            <w:tcW w:w="814" w:type="dxa"/>
          </w:tcPr>
          <w:p w14:paraId="342896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воздух</w:t>
            </w:r>
          </w:p>
        </w:tc>
        <w:tc>
          <w:tcPr>
            <w:tcW w:w="814" w:type="dxa"/>
          </w:tcPr>
          <w:p w14:paraId="143516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53BBFE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люфт</w:t>
            </w:r>
          </w:p>
        </w:tc>
        <w:tc>
          <w:tcPr>
            <w:tcW w:w="1312" w:type="dxa"/>
          </w:tcPr>
          <w:p w14:paraId="6E1B53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w:t>
            </w:r>
          </w:p>
        </w:tc>
        <w:tc>
          <w:tcPr>
            <w:tcW w:w="1486" w:type="dxa"/>
          </w:tcPr>
          <w:p w14:paraId="295250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воздух</w:t>
            </w:r>
          </w:p>
        </w:tc>
        <w:tc>
          <w:tcPr>
            <w:tcW w:w="1137" w:type="dxa"/>
          </w:tcPr>
          <w:p w14:paraId="55E205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0008022" w14:textId="77777777">
        <w:tc>
          <w:tcPr>
            <w:tcW w:w="1526" w:type="dxa"/>
          </w:tcPr>
          <w:p w14:paraId="10D51B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Пассажирский одномоторный</w:t>
            </w:r>
          </w:p>
        </w:tc>
        <w:tc>
          <w:tcPr>
            <w:tcW w:w="879" w:type="dxa"/>
          </w:tcPr>
          <w:p w14:paraId="5A9272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3F31A9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6F4C8F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6729A3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4361E2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1D42BB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42D77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F47C9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5F54CC6" w14:textId="77777777">
        <w:tc>
          <w:tcPr>
            <w:tcW w:w="1526" w:type="dxa"/>
          </w:tcPr>
          <w:p w14:paraId="2E4050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Ю Ф-13</w:t>
            </w:r>
          </w:p>
        </w:tc>
        <w:tc>
          <w:tcPr>
            <w:tcW w:w="879" w:type="dxa"/>
          </w:tcPr>
          <w:p w14:paraId="74678D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439EF4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814" w:type="dxa"/>
          </w:tcPr>
          <w:p w14:paraId="4425EC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7DEB04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814" w:type="dxa"/>
          </w:tcPr>
          <w:p w14:paraId="3C2727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12" w:type="dxa"/>
          </w:tcPr>
          <w:p w14:paraId="451B56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486" w:type="dxa"/>
          </w:tcPr>
          <w:p w14:paraId="44CB34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7" w:type="dxa"/>
          </w:tcPr>
          <w:p w14:paraId="42B35C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5D435624" w14:textId="77777777">
        <w:tc>
          <w:tcPr>
            <w:tcW w:w="1526" w:type="dxa"/>
          </w:tcPr>
          <w:p w14:paraId="5E8F42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Ю УУ-33</w:t>
            </w:r>
          </w:p>
        </w:tc>
        <w:tc>
          <w:tcPr>
            <w:tcW w:w="879" w:type="dxa"/>
          </w:tcPr>
          <w:p w14:paraId="38EEDC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3E81E5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814" w:type="dxa"/>
          </w:tcPr>
          <w:p w14:paraId="18602E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3CDE91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814" w:type="dxa"/>
          </w:tcPr>
          <w:p w14:paraId="418F29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12" w:type="dxa"/>
          </w:tcPr>
          <w:p w14:paraId="2C2A6A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486" w:type="dxa"/>
          </w:tcPr>
          <w:p w14:paraId="7241A6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7" w:type="dxa"/>
          </w:tcPr>
          <w:p w14:paraId="5B977A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1880221A" w14:textId="77777777">
        <w:tc>
          <w:tcPr>
            <w:tcW w:w="1526" w:type="dxa"/>
          </w:tcPr>
          <w:p w14:paraId="7B4C94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К-4</w:t>
            </w:r>
          </w:p>
        </w:tc>
        <w:tc>
          <w:tcPr>
            <w:tcW w:w="879" w:type="dxa"/>
          </w:tcPr>
          <w:p w14:paraId="43EA8C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18156C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814" w:type="dxa"/>
          </w:tcPr>
          <w:p w14:paraId="08DDD3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w:t>
            </w:r>
          </w:p>
        </w:tc>
        <w:tc>
          <w:tcPr>
            <w:tcW w:w="814" w:type="dxa"/>
          </w:tcPr>
          <w:p w14:paraId="411842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w:t>
            </w:r>
          </w:p>
        </w:tc>
        <w:tc>
          <w:tcPr>
            <w:tcW w:w="814" w:type="dxa"/>
          </w:tcPr>
          <w:p w14:paraId="5AC2D2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12" w:type="dxa"/>
          </w:tcPr>
          <w:p w14:paraId="7F0A73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1486" w:type="dxa"/>
          </w:tcPr>
          <w:p w14:paraId="4EF2FB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7" w:type="dxa"/>
          </w:tcPr>
          <w:p w14:paraId="5AA21E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r>
      <w:tr w:rsidR="00A259BD" w:rsidRPr="00A259BD" w14:paraId="6C5AD72A" w14:textId="77777777">
        <w:tc>
          <w:tcPr>
            <w:tcW w:w="1526" w:type="dxa"/>
          </w:tcPr>
          <w:p w14:paraId="06A902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К-5</w:t>
            </w:r>
          </w:p>
        </w:tc>
        <w:tc>
          <w:tcPr>
            <w:tcW w:w="879" w:type="dxa"/>
          </w:tcPr>
          <w:p w14:paraId="1CE33D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54C408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7F9165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07F39E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280E17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12" w:type="dxa"/>
          </w:tcPr>
          <w:p w14:paraId="3FAA02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c>
          <w:tcPr>
            <w:tcW w:w="1486" w:type="dxa"/>
          </w:tcPr>
          <w:p w14:paraId="7823E6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tc>
        <w:tc>
          <w:tcPr>
            <w:tcW w:w="1137" w:type="dxa"/>
          </w:tcPr>
          <w:p w14:paraId="144313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w:t>
            </w:r>
          </w:p>
        </w:tc>
      </w:tr>
      <w:tr w:rsidR="00A259BD" w:rsidRPr="00A259BD" w14:paraId="65D27DEA" w14:textId="77777777">
        <w:tc>
          <w:tcPr>
            <w:tcW w:w="1526" w:type="dxa"/>
          </w:tcPr>
          <w:p w14:paraId="73FD5B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Пассажирский многомоторный</w:t>
            </w:r>
          </w:p>
        </w:tc>
        <w:tc>
          <w:tcPr>
            <w:tcW w:w="879" w:type="dxa"/>
          </w:tcPr>
          <w:p w14:paraId="59AFC1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469CE3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0BC4B2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13F37C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7F0891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06CC70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6C06D0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C7A95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2B6E741" w14:textId="77777777">
        <w:tc>
          <w:tcPr>
            <w:tcW w:w="1526" w:type="dxa"/>
          </w:tcPr>
          <w:p w14:paraId="573578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АНТ-9</w:t>
            </w:r>
          </w:p>
        </w:tc>
        <w:tc>
          <w:tcPr>
            <w:tcW w:w="879" w:type="dxa"/>
          </w:tcPr>
          <w:p w14:paraId="394ADF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085B60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814" w:type="dxa"/>
          </w:tcPr>
          <w:p w14:paraId="348FB8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08B069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814" w:type="dxa"/>
          </w:tcPr>
          <w:p w14:paraId="72BC2C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312" w:type="dxa"/>
          </w:tcPr>
          <w:p w14:paraId="380C13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486" w:type="dxa"/>
          </w:tcPr>
          <w:p w14:paraId="424347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7" w:type="dxa"/>
          </w:tcPr>
          <w:p w14:paraId="2A0A28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tc>
      </w:tr>
      <w:tr w:rsidR="00A259BD" w:rsidRPr="00A259BD" w14:paraId="618FB90E" w14:textId="77777777">
        <w:tc>
          <w:tcPr>
            <w:tcW w:w="1526" w:type="dxa"/>
          </w:tcPr>
          <w:p w14:paraId="1DD297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Гидросамолет</w:t>
            </w:r>
          </w:p>
        </w:tc>
        <w:tc>
          <w:tcPr>
            <w:tcW w:w="879" w:type="dxa"/>
          </w:tcPr>
          <w:p w14:paraId="3316A8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075C80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02C5B1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753D3F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49BC66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12" w:type="dxa"/>
          </w:tcPr>
          <w:p w14:paraId="5BBE08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486" w:type="dxa"/>
          </w:tcPr>
          <w:p w14:paraId="245CA8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137" w:type="dxa"/>
          </w:tcPr>
          <w:p w14:paraId="11B180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46D3EB6" w14:textId="77777777">
        <w:tc>
          <w:tcPr>
            <w:tcW w:w="1526" w:type="dxa"/>
          </w:tcPr>
          <w:p w14:paraId="61BB45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Почтовый</w:t>
            </w:r>
          </w:p>
        </w:tc>
        <w:tc>
          <w:tcPr>
            <w:tcW w:w="879" w:type="dxa"/>
          </w:tcPr>
          <w:p w14:paraId="68640D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6172D7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0DD09B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16DBB9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066AF0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4F9B3B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113CBA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1CD84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C3DF8D3" w14:textId="77777777">
        <w:tc>
          <w:tcPr>
            <w:tcW w:w="1526" w:type="dxa"/>
          </w:tcPr>
          <w:p w14:paraId="0E0B9E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Фоккер С-4</w:t>
            </w:r>
          </w:p>
        </w:tc>
        <w:tc>
          <w:tcPr>
            <w:tcW w:w="879" w:type="dxa"/>
          </w:tcPr>
          <w:p w14:paraId="6ECB06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1389" w:type="dxa"/>
          </w:tcPr>
          <w:p w14:paraId="7DC95E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312E8D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814" w:type="dxa"/>
          </w:tcPr>
          <w:p w14:paraId="61EB1D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13E1AB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12" w:type="dxa"/>
          </w:tcPr>
          <w:p w14:paraId="538DF7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486" w:type="dxa"/>
          </w:tcPr>
          <w:p w14:paraId="086900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7" w:type="dxa"/>
          </w:tcPr>
          <w:p w14:paraId="3F4F32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C7C7787" w14:textId="77777777">
        <w:tc>
          <w:tcPr>
            <w:tcW w:w="1526" w:type="dxa"/>
          </w:tcPr>
          <w:p w14:paraId="507F93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АНТ-3</w:t>
            </w:r>
          </w:p>
        </w:tc>
        <w:tc>
          <w:tcPr>
            <w:tcW w:w="879" w:type="dxa"/>
          </w:tcPr>
          <w:p w14:paraId="49557D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6FC638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814" w:type="dxa"/>
          </w:tcPr>
          <w:p w14:paraId="228546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6E00FB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814" w:type="dxa"/>
          </w:tcPr>
          <w:p w14:paraId="36C8C1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12" w:type="dxa"/>
          </w:tcPr>
          <w:p w14:paraId="4EB58B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486" w:type="dxa"/>
          </w:tcPr>
          <w:p w14:paraId="25B562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7" w:type="dxa"/>
          </w:tcPr>
          <w:p w14:paraId="3A8146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729AAC95" w14:textId="77777777">
        <w:tc>
          <w:tcPr>
            <w:tcW w:w="1526" w:type="dxa"/>
          </w:tcPr>
          <w:p w14:paraId="1E0223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К-6</w:t>
            </w:r>
          </w:p>
        </w:tc>
        <w:tc>
          <w:tcPr>
            <w:tcW w:w="879" w:type="dxa"/>
          </w:tcPr>
          <w:p w14:paraId="5319AF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1B6840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096DE2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57A969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194B28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12" w:type="dxa"/>
          </w:tcPr>
          <w:p w14:paraId="736219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w:t>
            </w:r>
          </w:p>
        </w:tc>
        <w:tc>
          <w:tcPr>
            <w:tcW w:w="1486" w:type="dxa"/>
          </w:tcPr>
          <w:p w14:paraId="158796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7" w:type="dxa"/>
          </w:tcPr>
          <w:p w14:paraId="0DA449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w:t>
            </w:r>
          </w:p>
        </w:tc>
      </w:tr>
      <w:tr w:rsidR="00A259BD" w:rsidRPr="00A259BD" w14:paraId="6857323E" w14:textId="77777777">
        <w:tc>
          <w:tcPr>
            <w:tcW w:w="1526" w:type="dxa"/>
          </w:tcPr>
          <w:p w14:paraId="32DBC0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Скоростной</w:t>
            </w:r>
          </w:p>
        </w:tc>
        <w:tc>
          <w:tcPr>
            <w:tcW w:w="879" w:type="dxa"/>
          </w:tcPr>
          <w:p w14:paraId="3383F9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68FE8B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082795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719A99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52F740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312" w:type="dxa"/>
          </w:tcPr>
          <w:p w14:paraId="726C13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486" w:type="dxa"/>
          </w:tcPr>
          <w:p w14:paraId="373CF9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137" w:type="dxa"/>
          </w:tcPr>
          <w:p w14:paraId="3932AE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F6CC72E" w14:textId="77777777">
        <w:tc>
          <w:tcPr>
            <w:tcW w:w="1526" w:type="dxa"/>
          </w:tcPr>
          <w:p w14:paraId="742F71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Аэрофотосъемочный</w:t>
            </w:r>
          </w:p>
        </w:tc>
        <w:tc>
          <w:tcPr>
            <w:tcW w:w="879" w:type="dxa"/>
          </w:tcPr>
          <w:p w14:paraId="5B199B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00637D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03E369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4662BD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550FA5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545B64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512C8D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53578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8CE8ABC" w14:textId="77777777">
        <w:tc>
          <w:tcPr>
            <w:tcW w:w="1526" w:type="dxa"/>
          </w:tcPr>
          <w:p w14:paraId="6B221A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К-4</w:t>
            </w:r>
          </w:p>
        </w:tc>
        <w:tc>
          <w:tcPr>
            <w:tcW w:w="879" w:type="dxa"/>
          </w:tcPr>
          <w:p w14:paraId="1661BA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3E3E0A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814" w:type="dxa"/>
          </w:tcPr>
          <w:p w14:paraId="6D3291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814" w:type="dxa"/>
          </w:tcPr>
          <w:p w14:paraId="47FB38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814" w:type="dxa"/>
          </w:tcPr>
          <w:p w14:paraId="0BB1FC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12" w:type="dxa"/>
          </w:tcPr>
          <w:p w14:paraId="4633A1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w:t>
            </w:r>
          </w:p>
        </w:tc>
        <w:tc>
          <w:tcPr>
            <w:tcW w:w="1486" w:type="dxa"/>
          </w:tcPr>
          <w:p w14:paraId="45C07B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137" w:type="dxa"/>
          </w:tcPr>
          <w:p w14:paraId="044792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w:t>
            </w:r>
          </w:p>
        </w:tc>
      </w:tr>
      <w:tr w:rsidR="00A259BD" w:rsidRPr="00A259BD" w14:paraId="6745D15B" w14:textId="77777777">
        <w:tc>
          <w:tcPr>
            <w:tcW w:w="1526" w:type="dxa"/>
          </w:tcPr>
          <w:p w14:paraId="36AD21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Двухмоторный</w:t>
            </w:r>
          </w:p>
        </w:tc>
        <w:tc>
          <w:tcPr>
            <w:tcW w:w="879" w:type="dxa"/>
          </w:tcPr>
          <w:p w14:paraId="2AF543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1E26BE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4F6CBB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1950A5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45F99A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312" w:type="dxa"/>
          </w:tcPr>
          <w:p w14:paraId="13A396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486" w:type="dxa"/>
          </w:tcPr>
          <w:p w14:paraId="05D2DA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137" w:type="dxa"/>
          </w:tcPr>
          <w:p w14:paraId="05213D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28694A7" w14:textId="77777777">
        <w:tc>
          <w:tcPr>
            <w:tcW w:w="1526" w:type="dxa"/>
          </w:tcPr>
          <w:p w14:paraId="7C7D6C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Борьба с вредителями с/х</w:t>
            </w:r>
          </w:p>
        </w:tc>
        <w:tc>
          <w:tcPr>
            <w:tcW w:w="879" w:type="dxa"/>
          </w:tcPr>
          <w:p w14:paraId="72BEC9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1C42CE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49F874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5B9BB7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7FEA4C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5A882C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3532EF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E22A7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863F7C0" w14:textId="77777777">
        <w:tc>
          <w:tcPr>
            <w:tcW w:w="1526" w:type="dxa"/>
          </w:tcPr>
          <w:p w14:paraId="50017C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У-2</w:t>
            </w:r>
          </w:p>
        </w:tc>
        <w:tc>
          <w:tcPr>
            <w:tcW w:w="879" w:type="dxa"/>
          </w:tcPr>
          <w:p w14:paraId="640666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649627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814" w:type="dxa"/>
          </w:tcPr>
          <w:p w14:paraId="6F8075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2E174E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814" w:type="dxa"/>
          </w:tcPr>
          <w:p w14:paraId="4F241D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12" w:type="dxa"/>
          </w:tcPr>
          <w:p w14:paraId="3796C5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1486" w:type="dxa"/>
          </w:tcPr>
          <w:p w14:paraId="2E2BCB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7" w:type="dxa"/>
          </w:tcPr>
          <w:p w14:paraId="61244B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r>
      <w:tr w:rsidR="00A259BD" w:rsidRPr="00A259BD" w14:paraId="3AA35536" w14:textId="77777777">
        <w:tc>
          <w:tcPr>
            <w:tcW w:w="1526" w:type="dxa"/>
          </w:tcPr>
          <w:p w14:paraId="3E245F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Р-1</w:t>
            </w:r>
          </w:p>
        </w:tc>
        <w:tc>
          <w:tcPr>
            <w:tcW w:w="879" w:type="dxa"/>
          </w:tcPr>
          <w:p w14:paraId="147A7B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39E4B2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814" w:type="dxa"/>
          </w:tcPr>
          <w:p w14:paraId="15AF96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0C2F11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814" w:type="dxa"/>
          </w:tcPr>
          <w:p w14:paraId="04BCBF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12" w:type="dxa"/>
          </w:tcPr>
          <w:p w14:paraId="58055B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486" w:type="dxa"/>
          </w:tcPr>
          <w:p w14:paraId="6099D0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7" w:type="dxa"/>
          </w:tcPr>
          <w:p w14:paraId="07E015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227D7FDD" w14:textId="77777777">
        <w:tc>
          <w:tcPr>
            <w:tcW w:w="1526" w:type="dxa"/>
          </w:tcPr>
          <w:p w14:paraId="2708C5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Различного применения</w:t>
            </w:r>
          </w:p>
        </w:tc>
        <w:tc>
          <w:tcPr>
            <w:tcW w:w="879" w:type="dxa"/>
          </w:tcPr>
          <w:p w14:paraId="1681DB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0EBDF5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28704B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77204A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2CE674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201ECA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5847DC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7E25F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C1DCAFC" w14:textId="77777777">
        <w:tc>
          <w:tcPr>
            <w:tcW w:w="1526" w:type="dxa"/>
          </w:tcPr>
          <w:p w14:paraId="439EF9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АНТ-9</w:t>
            </w:r>
          </w:p>
        </w:tc>
        <w:tc>
          <w:tcPr>
            <w:tcW w:w="879" w:type="dxa"/>
          </w:tcPr>
          <w:p w14:paraId="44C767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30C7AE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778387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0BE562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79F8EA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12" w:type="dxa"/>
          </w:tcPr>
          <w:p w14:paraId="5D3CC8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486" w:type="dxa"/>
          </w:tcPr>
          <w:p w14:paraId="7FD605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7" w:type="dxa"/>
          </w:tcPr>
          <w:p w14:paraId="50AA9B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7AB210DA" w14:textId="77777777">
        <w:tc>
          <w:tcPr>
            <w:tcW w:w="1526" w:type="dxa"/>
          </w:tcPr>
          <w:p w14:paraId="5E00F4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Гидросамолет</w:t>
            </w:r>
          </w:p>
        </w:tc>
        <w:tc>
          <w:tcPr>
            <w:tcW w:w="879" w:type="dxa"/>
          </w:tcPr>
          <w:p w14:paraId="65BCFC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1E3DD6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(УУ-33)</w:t>
            </w:r>
          </w:p>
        </w:tc>
        <w:tc>
          <w:tcPr>
            <w:tcW w:w="814" w:type="dxa"/>
          </w:tcPr>
          <w:p w14:paraId="454863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814" w:type="dxa"/>
          </w:tcPr>
          <w:p w14:paraId="052F04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77CC3D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312" w:type="dxa"/>
          </w:tcPr>
          <w:p w14:paraId="716D93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486" w:type="dxa"/>
          </w:tcPr>
          <w:p w14:paraId="13B26F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137" w:type="dxa"/>
          </w:tcPr>
          <w:p w14:paraId="3F6758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F4494D1" w14:textId="77777777">
        <w:tc>
          <w:tcPr>
            <w:tcW w:w="1526" w:type="dxa"/>
          </w:tcPr>
          <w:p w14:paraId="1C3D67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Учебный для школ</w:t>
            </w:r>
          </w:p>
        </w:tc>
        <w:tc>
          <w:tcPr>
            <w:tcW w:w="879" w:type="dxa"/>
          </w:tcPr>
          <w:p w14:paraId="7AB72C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602796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69D568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3B189F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3A996C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2AEB8F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9DAD9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BD256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A9F3001" w14:textId="77777777">
        <w:tc>
          <w:tcPr>
            <w:tcW w:w="1526" w:type="dxa"/>
          </w:tcPr>
          <w:p w14:paraId="650E0A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У-2</w:t>
            </w:r>
          </w:p>
        </w:tc>
        <w:tc>
          <w:tcPr>
            <w:tcW w:w="879" w:type="dxa"/>
          </w:tcPr>
          <w:p w14:paraId="66B635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77372C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1ABBE2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34F940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592D0A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12" w:type="dxa"/>
          </w:tcPr>
          <w:p w14:paraId="300913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1486" w:type="dxa"/>
          </w:tcPr>
          <w:p w14:paraId="673ACA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137" w:type="dxa"/>
          </w:tcPr>
          <w:p w14:paraId="556D3B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tc>
      </w:tr>
      <w:tr w:rsidR="00A259BD" w:rsidRPr="00A259BD" w14:paraId="073E1882" w14:textId="77777777">
        <w:tc>
          <w:tcPr>
            <w:tcW w:w="1526" w:type="dxa"/>
          </w:tcPr>
          <w:p w14:paraId="28018D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879" w:type="dxa"/>
          </w:tcPr>
          <w:p w14:paraId="5EA119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656A2E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w:t>
            </w:r>
          </w:p>
        </w:tc>
        <w:tc>
          <w:tcPr>
            <w:tcW w:w="814" w:type="dxa"/>
          </w:tcPr>
          <w:p w14:paraId="3593DC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w:t>
            </w:r>
          </w:p>
        </w:tc>
        <w:tc>
          <w:tcPr>
            <w:tcW w:w="814" w:type="dxa"/>
          </w:tcPr>
          <w:p w14:paraId="046F9D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w:t>
            </w:r>
          </w:p>
        </w:tc>
        <w:tc>
          <w:tcPr>
            <w:tcW w:w="814" w:type="dxa"/>
          </w:tcPr>
          <w:p w14:paraId="490578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312" w:type="dxa"/>
          </w:tcPr>
          <w:p w14:paraId="71EB79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w:t>
            </w:r>
          </w:p>
        </w:tc>
        <w:tc>
          <w:tcPr>
            <w:tcW w:w="1486" w:type="dxa"/>
          </w:tcPr>
          <w:p w14:paraId="71AF37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w:t>
            </w:r>
          </w:p>
        </w:tc>
        <w:tc>
          <w:tcPr>
            <w:tcW w:w="1137" w:type="dxa"/>
          </w:tcPr>
          <w:p w14:paraId="69F215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96</w:t>
            </w:r>
          </w:p>
        </w:tc>
      </w:tr>
      <w:tr w:rsidR="00A259BD" w:rsidRPr="00A259BD" w14:paraId="344B3454" w14:textId="77777777">
        <w:tc>
          <w:tcPr>
            <w:tcW w:w="1526" w:type="dxa"/>
          </w:tcPr>
          <w:p w14:paraId="743ED6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Моторы</w:t>
            </w:r>
          </w:p>
        </w:tc>
        <w:tc>
          <w:tcPr>
            <w:tcW w:w="879" w:type="dxa"/>
          </w:tcPr>
          <w:p w14:paraId="29B595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3626D2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0A5340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36F0EE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53F953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1EF7C5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26754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12BB1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5D397AA" w14:textId="77777777">
        <w:tc>
          <w:tcPr>
            <w:tcW w:w="1526" w:type="dxa"/>
          </w:tcPr>
          <w:p w14:paraId="44233A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400-500</w:t>
            </w:r>
          </w:p>
        </w:tc>
        <w:tc>
          <w:tcPr>
            <w:tcW w:w="879" w:type="dxa"/>
          </w:tcPr>
          <w:p w14:paraId="167FA5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3A0605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w:t>
            </w:r>
          </w:p>
        </w:tc>
        <w:tc>
          <w:tcPr>
            <w:tcW w:w="814" w:type="dxa"/>
          </w:tcPr>
          <w:p w14:paraId="1408F2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365805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w:t>
            </w:r>
          </w:p>
        </w:tc>
        <w:tc>
          <w:tcPr>
            <w:tcW w:w="814" w:type="dxa"/>
          </w:tcPr>
          <w:p w14:paraId="69DAED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12" w:type="dxa"/>
          </w:tcPr>
          <w:p w14:paraId="0EE1FF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w:t>
            </w:r>
          </w:p>
        </w:tc>
        <w:tc>
          <w:tcPr>
            <w:tcW w:w="1486" w:type="dxa"/>
          </w:tcPr>
          <w:p w14:paraId="0F0F1C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64</w:t>
            </w:r>
          </w:p>
        </w:tc>
        <w:tc>
          <w:tcPr>
            <w:tcW w:w="1137" w:type="dxa"/>
          </w:tcPr>
          <w:p w14:paraId="51CA38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112</w:t>
            </w:r>
          </w:p>
        </w:tc>
      </w:tr>
      <w:tr w:rsidR="00A259BD" w:rsidRPr="00A259BD" w14:paraId="65E41085" w14:textId="77777777">
        <w:tc>
          <w:tcPr>
            <w:tcW w:w="1526" w:type="dxa"/>
          </w:tcPr>
          <w:p w14:paraId="316E47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200-300</w:t>
            </w:r>
          </w:p>
        </w:tc>
        <w:tc>
          <w:tcPr>
            <w:tcW w:w="879" w:type="dxa"/>
          </w:tcPr>
          <w:p w14:paraId="6EA78B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2C8FF0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w:t>
            </w:r>
          </w:p>
        </w:tc>
        <w:tc>
          <w:tcPr>
            <w:tcW w:w="814" w:type="dxa"/>
          </w:tcPr>
          <w:p w14:paraId="2904CE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814" w:type="dxa"/>
          </w:tcPr>
          <w:p w14:paraId="387D0A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tc>
        <w:tc>
          <w:tcPr>
            <w:tcW w:w="814" w:type="dxa"/>
          </w:tcPr>
          <w:p w14:paraId="301312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w:t>
            </w:r>
          </w:p>
        </w:tc>
        <w:tc>
          <w:tcPr>
            <w:tcW w:w="1312" w:type="dxa"/>
          </w:tcPr>
          <w:p w14:paraId="66A7E7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w:t>
            </w:r>
          </w:p>
        </w:tc>
        <w:tc>
          <w:tcPr>
            <w:tcW w:w="1486" w:type="dxa"/>
          </w:tcPr>
          <w:p w14:paraId="527243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1137" w:type="dxa"/>
          </w:tcPr>
          <w:p w14:paraId="048B0F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102</w:t>
            </w:r>
          </w:p>
        </w:tc>
      </w:tr>
      <w:tr w:rsidR="00A259BD" w:rsidRPr="00A259BD" w14:paraId="4B7CCA97" w14:textId="77777777">
        <w:tc>
          <w:tcPr>
            <w:tcW w:w="1526" w:type="dxa"/>
          </w:tcPr>
          <w:p w14:paraId="795AA7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90-200</w:t>
            </w:r>
          </w:p>
        </w:tc>
        <w:tc>
          <w:tcPr>
            <w:tcW w:w="879" w:type="dxa"/>
          </w:tcPr>
          <w:p w14:paraId="25D94D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1C8657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814" w:type="dxa"/>
          </w:tcPr>
          <w:p w14:paraId="68E88D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14" w:type="dxa"/>
          </w:tcPr>
          <w:p w14:paraId="3C957F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814" w:type="dxa"/>
          </w:tcPr>
          <w:p w14:paraId="4E5816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12" w:type="dxa"/>
          </w:tcPr>
          <w:p w14:paraId="24531B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1486" w:type="dxa"/>
          </w:tcPr>
          <w:p w14:paraId="2346BC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1137" w:type="dxa"/>
          </w:tcPr>
          <w:p w14:paraId="6BC6FA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w:t>
            </w:r>
          </w:p>
        </w:tc>
      </w:tr>
      <w:tr w:rsidR="00A259BD" w:rsidRPr="00A259BD" w14:paraId="1ED2AF41" w14:textId="77777777">
        <w:tc>
          <w:tcPr>
            <w:tcW w:w="1526" w:type="dxa"/>
          </w:tcPr>
          <w:p w14:paraId="0D74D7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879" w:type="dxa"/>
          </w:tcPr>
          <w:p w14:paraId="567473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389" w:type="dxa"/>
          </w:tcPr>
          <w:p w14:paraId="4C8576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91</w:t>
            </w:r>
          </w:p>
        </w:tc>
        <w:tc>
          <w:tcPr>
            <w:tcW w:w="814" w:type="dxa"/>
          </w:tcPr>
          <w:p w14:paraId="37200C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814" w:type="dxa"/>
          </w:tcPr>
          <w:p w14:paraId="638B87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113</w:t>
            </w:r>
          </w:p>
        </w:tc>
        <w:tc>
          <w:tcPr>
            <w:tcW w:w="814" w:type="dxa"/>
          </w:tcPr>
          <w:p w14:paraId="7AD82C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w:t>
            </w:r>
          </w:p>
        </w:tc>
        <w:tc>
          <w:tcPr>
            <w:tcW w:w="1312" w:type="dxa"/>
          </w:tcPr>
          <w:p w14:paraId="52312A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151</w:t>
            </w:r>
          </w:p>
        </w:tc>
        <w:tc>
          <w:tcPr>
            <w:tcW w:w="1486" w:type="dxa"/>
          </w:tcPr>
          <w:p w14:paraId="433893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72</w:t>
            </w:r>
          </w:p>
        </w:tc>
        <w:tc>
          <w:tcPr>
            <w:tcW w:w="1137" w:type="dxa"/>
          </w:tcPr>
          <w:p w14:paraId="6C83FE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241 (2341,169)</w:t>
            </w:r>
          </w:p>
        </w:tc>
      </w:tr>
    </w:tbl>
    <w:p w14:paraId="139A0D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Он был подписан Гл. инспектором ГВФ </w:t>
      </w:r>
      <w:proofErr w:type="spellStart"/>
      <w:r w:rsidRPr="00A259BD">
        <w:rPr>
          <w:rFonts w:ascii="Times New Roman" w:hAnsi="Times New Roman"/>
          <w:color w:val="000000" w:themeColor="text1"/>
          <w:sz w:val="16"/>
          <w:szCs w:val="16"/>
        </w:rPr>
        <w:t>Зарзаром</w:t>
      </w:r>
      <w:proofErr w:type="spellEnd"/>
      <w:r w:rsidRPr="00A259BD">
        <w:rPr>
          <w:rFonts w:ascii="Times New Roman" w:hAnsi="Times New Roman"/>
          <w:color w:val="000000" w:themeColor="text1"/>
          <w:sz w:val="16"/>
          <w:szCs w:val="16"/>
        </w:rPr>
        <w:t xml:space="preserve"> и имел N И/151с. Есть данные и на 1930/31, 1931/32 и 1932/33 (2364,97).</w:t>
      </w:r>
    </w:p>
    <w:p w14:paraId="180BA7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224AF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июня 1929 Выписка из журнала № 28с заседания Президиума НТК УВВС РККА:</w:t>
      </w:r>
    </w:p>
    <w:p w14:paraId="247E62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 </w:t>
      </w:r>
      <w:r w:rsidRPr="00A259BD">
        <w:rPr>
          <w:rFonts w:ascii="Times New Roman" w:hAnsi="Times New Roman"/>
          <w:smallCaps/>
          <w:color w:val="000000" w:themeColor="text1"/>
          <w:sz w:val="16"/>
          <w:szCs w:val="16"/>
        </w:rPr>
        <w:t xml:space="preserve">отчет </w:t>
      </w:r>
      <w:r w:rsidRPr="00A259BD">
        <w:rPr>
          <w:rFonts w:ascii="Times New Roman" w:hAnsi="Times New Roman"/>
          <w:color w:val="000000" w:themeColor="text1"/>
          <w:sz w:val="16"/>
          <w:szCs w:val="16"/>
        </w:rPr>
        <w:t>комиссии по топливу.</w:t>
      </w:r>
    </w:p>
    <w:p w14:paraId="1F8295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докладчик - </w:t>
      </w:r>
      <w:proofErr w:type="spellStart"/>
      <w:r w:rsidRPr="00A259BD">
        <w:rPr>
          <w:rFonts w:ascii="Times New Roman" w:hAnsi="Times New Roman"/>
          <w:color w:val="000000" w:themeColor="text1"/>
          <w:sz w:val="16"/>
          <w:szCs w:val="16"/>
        </w:rPr>
        <w:t>Мариамов</w:t>
      </w:r>
      <w:proofErr w:type="spellEnd"/>
    </w:p>
    <w:p w14:paraId="6FB6165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Постоянный Член НТК т. </w:t>
      </w:r>
      <w:proofErr w:type="spellStart"/>
      <w:r w:rsidRPr="00A259BD">
        <w:rPr>
          <w:rFonts w:ascii="Times New Roman" w:hAnsi="Times New Roman"/>
          <w:color w:val="000000" w:themeColor="text1"/>
          <w:sz w:val="16"/>
          <w:szCs w:val="16"/>
        </w:rPr>
        <w:t>Мариамов</w:t>
      </w:r>
      <w:proofErr w:type="spellEnd"/>
      <w:r w:rsidRPr="00A259BD">
        <w:rPr>
          <w:rFonts w:ascii="Times New Roman" w:hAnsi="Times New Roman"/>
          <w:color w:val="000000" w:themeColor="text1"/>
          <w:sz w:val="16"/>
          <w:szCs w:val="16"/>
        </w:rPr>
        <w:t xml:space="preserve"> доложил, что так как подробный отчет о работе комиссии заслушан на заседании моторкой секции и будет приложен к журналу заседания </w:t>
      </w:r>
      <w:proofErr w:type="spellStart"/>
      <w:r w:rsidRPr="00A259BD">
        <w:rPr>
          <w:rFonts w:ascii="Times New Roman" w:hAnsi="Times New Roman"/>
          <w:color w:val="000000" w:themeColor="text1"/>
          <w:sz w:val="16"/>
          <w:szCs w:val="16"/>
        </w:rPr>
        <w:t>прездиума</w:t>
      </w:r>
      <w:proofErr w:type="spellEnd"/>
      <w:r w:rsidRPr="00A259BD">
        <w:rPr>
          <w:rFonts w:ascii="Times New Roman" w:hAnsi="Times New Roman"/>
          <w:color w:val="000000" w:themeColor="text1"/>
          <w:sz w:val="16"/>
          <w:szCs w:val="16"/>
        </w:rPr>
        <w:t xml:space="preserve"> в настоящем докладе он сделает лишь основные выводы:</w:t>
      </w:r>
    </w:p>
    <w:p w14:paraId="378332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1.По Коксобензолу</w:t>
      </w:r>
    </w:p>
    <w:p w14:paraId="3F2C12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Комиссия считает вполне реальным снабжение ВВС </w:t>
      </w:r>
      <w:proofErr w:type="spellStart"/>
      <w:r w:rsidRPr="00A259BD">
        <w:rPr>
          <w:rFonts w:ascii="Times New Roman" w:hAnsi="Times New Roman"/>
          <w:color w:val="000000" w:themeColor="text1"/>
          <w:sz w:val="16"/>
          <w:szCs w:val="16"/>
        </w:rPr>
        <w:t>бензольныим</w:t>
      </w:r>
      <w:proofErr w:type="spellEnd"/>
      <w:r w:rsidRPr="00A259BD">
        <w:rPr>
          <w:rFonts w:ascii="Times New Roman" w:hAnsi="Times New Roman"/>
          <w:color w:val="000000" w:themeColor="text1"/>
          <w:sz w:val="16"/>
          <w:szCs w:val="16"/>
        </w:rPr>
        <w:t xml:space="preserve"> топливом </w:t>
      </w:r>
      <w:proofErr w:type="spellStart"/>
      <w:r w:rsidRPr="00A259BD">
        <w:rPr>
          <w:rFonts w:ascii="Times New Roman" w:hAnsi="Times New Roman"/>
          <w:color w:val="000000" w:themeColor="text1"/>
          <w:sz w:val="16"/>
          <w:szCs w:val="16"/>
        </w:rPr>
        <w:t>каменно</w:t>
      </w:r>
      <w:proofErr w:type="spellEnd"/>
      <w:r w:rsidRPr="00A259BD">
        <w:rPr>
          <w:rFonts w:ascii="Times New Roman" w:hAnsi="Times New Roman"/>
          <w:color w:val="000000" w:themeColor="text1"/>
          <w:sz w:val="16"/>
          <w:szCs w:val="16"/>
        </w:rPr>
        <w:t xml:space="preserve"> угольного происхождения, удовлетворяющим нашим </w:t>
      </w:r>
      <w:proofErr w:type="spellStart"/>
      <w:r w:rsidRPr="00A259BD">
        <w:rPr>
          <w:rFonts w:ascii="Times New Roman" w:hAnsi="Times New Roman"/>
          <w:color w:val="000000" w:themeColor="text1"/>
          <w:sz w:val="16"/>
          <w:szCs w:val="16"/>
        </w:rPr>
        <w:t>техтребованиям</w:t>
      </w:r>
      <w:proofErr w:type="spellEnd"/>
      <w:r w:rsidRPr="00A259BD">
        <w:rPr>
          <w:rFonts w:ascii="Times New Roman" w:hAnsi="Times New Roman"/>
          <w:color w:val="000000" w:themeColor="text1"/>
          <w:sz w:val="16"/>
          <w:szCs w:val="16"/>
        </w:rPr>
        <w:t>.</w:t>
      </w:r>
    </w:p>
    <w:p w14:paraId="18CF84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Основные разногласия с представителями Коксобензола были по следующим пунктам </w:t>
      </w:r>
      <w:proofErr w:type="spellStart"/>
      <w:r w:rsidRPr="00A259BD">
        <w:rPr>
          <w:rFonts w:ascii="Times New Roman" w:hAnsi="Times New Roman"/>
          <w:color w:val="000000" w:themeColor="text1"/>
          <w:sz w:val="16"/>
          <w:szCs w:val="16"/>
        </w:rPr>
        <w:t>техтребований</w:t>
      </w:r>
      <w:proofErr w:type="spellEnd"/>
      <w:r w:rsidRPr="00A259BD">
        <w:rPr>
          <w:rFonts w:ascii="Times New Roman" w:hAnsi="Times New Roman"/>
          <w:color w:val="000000" w:themeColor="text1"/>
          <w:sz w:val="16"/>
          <w:szCs w:val="16"/>
        </w:rPr>
        <w:t xml:space="preserve">: о допусках в кривой разгонки, и пробе с серной кислотой. Ввиду того, что завод взял на себя обязательство изучить возможность удовлетворения поставленных нами </w:t>
      </w:r>
      <w:proofErr w:type="spellStart"/>
      <w:r w:rsidRPr="00A259BD">
        <w:rPr>
          <w:rFonts w:ascii="Times New Roman" w:hAnsi="Times New Roman"/>
          <w:color w:val="000000" w:themeColor="text1"/>
          <w:sz w:val="16"/>
          <w:szCs w:val="16"/>
        </w:rPr>
        <w:t>техтребований</w:t>
      </w:r>
      <w:proofErr w:type="spellEnd"/>
      <w:r w:rsidRPr="00A259BD">
        <w:rPr>
          <w:rFonts w:ascii="Times New Roman" w:hAnsi="Times New Roman"/>
          <w:color w:val="000000" w:themeColor="text1"/>
          <w:sz w:val="16"/>
          <w:szCs w:val="16"/>
        </w:rPr>
        <w:t xml:space="preserve"> в 3-х недельный срок “ </w:t>
      </w:r>
      <w:proofErr w:type="spellStart"/>
      <w:r w:rsidRPr="00A259BD">
        <w:rPr>
          <w:rFonts w:ascii="Times New Roman" w:hAnsi="Times New Roman"/>
          <w:color w:val="000000" w:themeColor="text1"/>
          <w:sz w:val="16"/>
          <w:szCs w:val="16"/>
        </w:rPr>
        <w:t>необход</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шо</w:t>
      </w:r>
      <w:proofErr w:type="spellEnd"/>
      <w:r w:rsidRPr="00A259BD">
        <w:rPr>
          <w:rFonts w:ascii="Times New Roman" w:hAnsi="Times New Roman"/>
          <w:color w:val="000000" w:themeColor="text1"/>
          <w:sz w:val="16"/>
          <w:szCs w:val="16"/>
        </w:rPr>
        <w:t xml:space="preserve"> срочно получить результаты заводских испытаний Коксобензола для окончательного составления </w:t>
      </w:r>
      <w:proofErr w:type="spellStart"/>
      <w:r w:rsidRPr="00A259BD">
        <w:rPr>
          <w:rFonts w:ascii="Times New Roman" w:hAnsi="Times New Roman"/>
          <w:color w:val="000000" w:themeColor="text1"/>
          <w:sz w:val="16"/>
          <w:szCs w:val="16"/>
        </w:rPr>
        <w:t>техтребований</w:t>
      </w:r>
      <w:proofErr w:type="spellEnd"/>
      <w:r w:rsidRPr="00A259BD">
        <w:rPr>
          <w:rFonts w:ascii="Times New Roman" w:hAnsi="Times New Roman"/>
          <w:color w:val="000000" w:themeColor="text1"/>
          <w:sz w:val="16"/>
          <w:szCs w:val="16"/>
        </w:rPr>
        <w:t>,</w:t>
      </w:r>
    </w:p>
    <w:p w14:paraId="6C29A2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Комиссия считает, что представители Коксобензола делая неоднократно заявления о невозможности лучшей очистки от серы в действительности не сделали ни одной попытки в этом направлении. Между тем на месте Комиссия убедилась в том, что возможность лучшей очистки продукта имеется и ряд таких предложений были не совместном заседании комиссии с представителе завода приняты.</w:t>
      </w:r>
    </w:p>
    <w:p w14:paraId="14519E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отношении лучшей </w:t>
      </w:r>
      <w:proofErr w:type="spellStart"/>
      <w:r w:rsidRPr="00A259BD">
        <w:rPr>
          <w:rFonts w:ascii="Times New Roman" w:hAnsi="Times New Roman"/>
          <w:color w:val="000000" w:themeColor="text1"/>
          <w:sz w:val="16"/>
          <w:szCs w:val="16"/>
        </w:rPr>
        <w:t>очйстки</w:t>
      </w:r>
      <w:proofErr w:type="spellEnd"/>
      <w:r w:rsidRPr="00A259BD">
        <w:rPr>
          <w:rFonts w:ascii="Times New Roman" w:hAnsi="Times New Roman"/>
          <w:color w:val="000000" w:themeColor="text1"/>
          <w:sz w:val="16"/>
          <w:szCs w:val="16"/>
        </w:rPr>
        <w:t xml:space="preserve"> от серы комиссия остается на старом решении - требовать содержания серы </w:t>
      </w:r>
      <w:proofErr w:type="spellStart"/>
      <w:r w:rsidRPr="00A259BD">
        <w:rPr>
          <w:rFonts w:ascii="Times New Roman" w:hAnsi="Times New Roman"/>
          <w:color w:val="000000" w:themeColor="text1"/>
          <w:sz w:val="16"/>
          <w:szCs w:val="16"/>
        </w:rPr>
        <w:t>яе</w:t>
      </w:r>
      <w:proofErr w:type="spellEnd"/>
      <w:r w:rsidRPr="00A259BD">
        <w:rPr>
          <w:rFonts w:ascii="Times New Roman" w:hAnsi="Times New Roman"/>
          <w:color w:val="000000" w:themeColor="text1"/>
          <w:sz w:val="16"/>
          <w:szCs w:val="16"/>
        </w:rPr>
        <w:t xml:space="preserve"> более 0,1%.. Но для текущего снабжения Управление Специального Снабжения должно руководствоваться следующим постановлением комиссии, </w:t>
      </w:r>
      <w:proofErr w:type="spellStart"/>
      <w:r w:rsidRPr="00A259BD">
        <w:rPr>
          <w:rFonts w:ascii="Times New Roman" w:hAnsi="Times New Roman"/>
          <w:color w:val="000000" w:themeColor="text1"/>
          <w:sz w:val="16"/>
          <w:szCs w:val="16"/>
        </w:rPr>
        <w:t>согла</w:t>
      </w:r>
      <w:proofErr w:type="spellEnd"/>
      <w:r w:rsidRPr="00A259BD">
        <w:rPr>
          <w:rFonts w:ascii="Times New Roman" w:hAnsi="Times New Roman"/>
          <w:color w:val="000000" w:themeColor="text1"/>
          <w:sz w:val="16"/>
          <w:szCs w:val="16"/>
        </w:rPr>
        <w:t xml:space="preserve"> ванным с представителями Коксобензола:</w:t>
      </w:r>
    </w:p>
    <w:p w14:paraId="1A312FC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получения результатов изучения на заводе методов лучшей очистки бензольного топлива, но не позднее 1 октября допустить в виде исключения на снабжение бензольное топливо с держа наем серы не выше 0,35%.</w:t>
      </w:r>
    </w:p>
    <w:p w14:paraId="6C03C5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Коксобензольный завод недостаточно готов к нормальному снабжению ВВС бензольным топливом.</w:t>
      </w:r>
    </w:p>
    <w:p w14:paraId="67CC27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того, чтобы Коксобензол был в состоянии давать ВВС без особых затруднений стабильный продукт и в нужном количестве нужно дооборудовать завод мерниками для промежуточных фракций и дополнительной емкостью для готового продукта, с учетом </w:t>
      </w:r>
      <w:proofErr w:type="spellStart"/>
      <w:r w:rsidRPr="00A259BD">
        <w:rPr>
          <w:rFonts w:ascii="Times New Roman" w:hAnsi="Times New Roman"/>
          <w:color w:val="000000" w:themeColor="text1"/>
          <w:sz w:val="16"/>
          <w:szCs w:val="16"/>
        </w:rPr>
        <w:t>мобпотребности</w:t>
      </w:r>
      <w:proofErr w:type="spellEnd"/>
      <w:r w:rsidRPr="00A259BD">
        <w:rPr>
          <w:rFonts w:ascii="Times New Roman" w:hAnsi="Times New Roman"/>
          <w:color w:val="000000" w:themeColor="text1"/>
          <w:sz w:val="16"/>
          <w:szCs w:val="16"/>
        </w:rPr>
        <w:t xml:space="preserve"> и условий текущего снабжения топливом по плану Управления Специального Снабжения ВВС.</w:t>
      </w:r>
    </w:p>
    <w:p w14:paraId="1E13573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 По Грознефти</w:t>
      </w:r>
    </w:p>
    <w:p w14:paraId="67051E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 Принятые комиссией изменения </w:t>
      </w:r>
      <w:proofErr w:type="spellStart"/>
      <w:r w:rsidRPr="00A259BD">
        <w:rPr>
          <w:rFonts w:ascii="Times New Roman" w:hAnsi="Times New Roman"/>
          <w:color w:val="000000" w:themeColor="text1"/>
          <w:sz w:val="16"/>
          <w:szCs w:val="16"/>
        </w:rPr>
        <w:t>техтребований</w:t>
      </w:r>
      <w:proofErr w:type="spellEnd"/>
      <w:r w:rsidRPr="00A259BD">
        <w:rPr>
          <w:rFonts w:ascii="Times New Roman" w:hAnsi="Times New Roman"/>
          <w:color w:val="000000" w:themeColor="text1"/>
          <w:sz w:val="16"/>
          <w:szCs w:val="16"/>
        </w:rPr>
        <w:t xml:space="preserve"> на грозненский авиабензин не меняют сколько </w:t>
      </w:r>
      <w:proofErr w:type="spellStart"/>
      <w:r w:rsidRPr="00A259BD">
        <w:rPr>
          <w:rFonts w:ascii="Times New Roman" w:hAnsi="Times New Roman"/>
          <w:color w:val="000000" w:themeColor="text1"/>
          <w:sz w:val="16"/>
          <w:szCs w:val="16"/>
        </w:rPr>
        <w:t>нибудь</w:t>
      </w:r>
      <w:proofErr w:type="spellEnd"/>
      <w:r w:rsidRPr="00A259BD">
        <w:rPr>
          <w:rFonts w:ascii="Times New Roman" w:hAnsi="Times New Roman"/>
          <w:color w:val="000000" w:themeColor="text1"/>
          <w:sz w:val="16"/>
          <w:szCs w:val="16"/>
        </w:rPr>
        <w:t xml:space="preserve"> значительно основных свойств этого топлива, но все же несколько улучшили его.</w:t>
      </w:r>
    </w:p>
    <w:p w14:paraId="4A65D4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Возможность дальнейшего улучшения грозненского авиабензины возможно лишь при серьезном изучении узких фракций авиабензина и установления усовершенствованной колонки, допускающей. выключением отдельных вредных фракций, улучшать качество с-всей продукции.</w:t>
      </w:r>
    </w:p>
    <w:p w14:paraId="3F92C0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 По Азнефти</w:t>
      </w:r>
    </w:p>
    <w:p w14:paraId="7BF287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По целому ряду предварительных данных бакинский бензин 1-го сорта может быть использован, самостоятельно или в смеси как авиационное топливо.</w:t>
      </w:r>
    </w:p>
    <w:p w14:paraId="224985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Как средне товарный бакинский бензин, так и индивидуальные бензины отдельных районов должны быть тщательно изучены, имея целью как задачу 1-й очереди снабжение этим бензином Среднеазиатского и Закавказских округов.</w:t>
      </w:r>
    </w:p>
    <w:p w14:paraId="799075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Большой интерес для нас представляет бензольное топливо нефтяного происхождения.</w:t>
      </w:r>
    </w:p>
    <w:p w14:paraId="3609AC7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Помимо того, что это топливо лишено основных недостатков бензольного топлива нефтяного происхождения /не содержит почти вовсе серы и замерзает лишь при очень низкой температуре/ - оно дает еще ряд преимуществ чисто снабженческих /а/ иметь дело одним поставщиком - </w:t>
      </w:r>
      <w:proofErr w:type="spellStart"/>
      <w:r w:rsidRPr="00A259BD">
        <w:rPr>
          <w:rFonts w:ascii="Times New Roman" w:hAnsi="Times New Roman"/>
          <w:color w:val="000000" w:themeColor="text1"/>
          <w:sz w:val="16"/>
          <w:szCs w:val="16"/>
        </w:rPr>
        <w:t>Нефтесиндикатом</w:t>
      </w:r>
      <w:proofErr w:type="spellEnd"/>
      <w:r w:rsidRPr="00A259BD">
        <w:rPr>
          <w:rFonts w:ascii="Times New Roman" w:hAnsi="Times New Roman"/>
          <w:color w:val="000000" w:themeColor="text1"/>
          <w:sz w:val="16"/>
          <w:szCs w:val="16"/>
        </w:rPr>
        <w:t xml:space="preserve">, б/ удобство смешения, в/ </w:t>
      </w:r>
      <w:proofErr w:type="spellStart"/>
      <w:r w:rsidRPr="00A259BD">
        <w:rPr>
          <w:rFonts w:ascii="Times New Roman" w:hAnsi="Times New Roman"/>
          <w:color w:val="000000" w:themeColor="text1"/>
          <w:sz w:val="16"/>
          <w:szCs w:val="16"/>
        </w:rPr>
        <w:t>дешевизва</w:t>
      </w:r>
      <w:proofErr w:type="spellEnd"/>
      <w:r w:rsidRPr="00A259BD">
        <w:rPr>
          <w:rFonts w:ascii="Times New Roman" w:hAnsi="Times New Roman"/>
          <w:color w:val="000000" w:themeColor="text1"/>
          <w:sz w:val="16"/>
          <w:szCs w:val="16"/>
        </w:rPr>
        <w:t xml:space="preserve"> и др./. Известные сомнения вызывают влияние </w:t>
      </w:r>
      <w:proofErr w:type="spellStart"/>
      <w:r w:rsidRPr="00A259BD">
        <w:rPr>
          <w:rFonts w:ascii="Times New Roman" w:hAnsi="Times New Roman"/>
          <w:color w:val="000000" w:themeColor="text1"/>
          <w:sz w:val="16"/>
          <w:szCs w:val="16"/>
        </w:rPr>
        <w:t>непределенных</w:t>
      </w:r>
      <w:proofErr w:type="spellEnd"/>
      <w:r w:rsidRPr="00A259BD">
        <w:rPr>
          <w:rFonts w:ascii="Times New Roman" w:hAnsi="Times New Roman"/>
          <w:color w:val="000000" w:themeColor="text1"/>
          <w:sz w:val="16"/>
          <w:szCs w:val="16"/>
        </w:rPr>
        <w:t xml:space="preserve"> остатков, содержащихся в этом топливе. Комиссия предлагает это топливо во изучить в лабораториях /на испаряемость и </w:t>
      </w:r>
      <w:proofErr w:type="spellStart"/>
      <w:r w:rsidRPr="00A259BD">
        <w:rPr>
          <w:rFonts w:ascii="Times New Roman" w:hAnsi="Times New Roman"/>
          <w:color w:val="000000" w:themeColor="text1"/>
          <w:sz w:val="16"/>
          <w:szCs w:val="16"/>
        </w:rPr>
        <w:t>антидетонируют</w:t>
      </w:r>
      <w:proofErr w:type="spellEnd"/>
      <w:r w:rsidRPr="00A259BD">
        <w:rPr>
          <w:rFonts w:ascii="Times New Roman" w:hAnsi="Times New Roman"/>
          <w:color w:val="000000" w:themeColor="text1"/>
          <w:sz w:val="16"/>
          <w:szCs w:val="16"/>
        </w:rPr>
        <w:t xml:space="preserve"> свойства/ на двигателе для окончательного суждения о принят этого топлива на снабжение, особо необходимо отметить то обстоятельство, что на </w:t>
      </w:r>
      <w:proofErr w:type="spellStart"/>
      <w:r w:rsidRPr="00A259BD">
        <w:rPr>
          <w:rFonts w:ascii="Times New Roman" w:hAnsi="Times New Roman"/>
          <w:color w:val="000000" w:themeColor="text1"/>
          <w:sz w:val="16"/>
          <w:szCs w:val="16"/>
        </w:rPr>
        <w:t>пирогенизационных</w:t>
      </w:r>
      <w:proofErr w:type="spellEnd"/>
      <w:r w:rsidRPr="00A259BD">
        <w:rPr>
          <w:rFonts w:ascii="Times New Roman" w:hAnsi="Times New Roman"/>
          <w:color w:val="000000" w:themeColor="text1"/>
          <w:sz w:val="16"/>
          <w:szCs w:val="16"/>
        </w:rPr>
        <w:t xml:space="preserve"> заводах бензольное топливо, отвечающее нашим </w:t>
      </w:r>
      <w:proofErr w:type="spellStart"/>
      <w:r w:rsidRPr="00A259BD">
        <w:rPr>
          <w:rFonts w:ascii="Times New Roman" w:hAnsi="Times New Roman"/>
          <w:color w:val="000000" w:themeColor="text1"/>
          <w:sz w:val="16"/>
          <w:szCs w:val="16"/>
        </w:rPr>
        <w:t>техтребованиям</w:t>
      </w:r>
      <w:proofErr w:type="spellEnd"/>
      <w:r w:rsidRPr="00A259BD">
        <w:rPr>
          <w:rFonts w:ascii="Times New Roman" w:hAnsi="Times New Roman"/>
          <w:color w:val="000000" w:themeColor="text1"/>
          <w:sz w:val="16"/>
          <w:szCs w:val="16"/>
        </w:rPr>
        <w:t>, может быть изготовлено 4 раза больше, чем чистый толуол.</w:t>
      </w:r>
    </w:p>
    <w:p w14:paraId="2C2A2C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1У. О крекинг бензине.</w:t>
      </w:r>
    </w:p>
    <w:p w14:paraId="68F1212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Комиссия убедилась, несмотря на уверения </w:t>
      </w:r>
      <w:proofErr w:type="spellStart"/>
      <w:r w:rsidRPr="00A259BD">
        <w:rPr>
          <w:rFonts w:ascii="Times New Roman" w:hAnsi="Times New Roman"/>
          <w:color w:val="000000" w:themeColor="text1"/>
          <w:sz w:val="16"/>
          <w:szCs w:val="16"/>
        </w:rPr>
        <w:t>Нефтесиндиката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Главгортопа</w:t>
      </w:r>
      <w:proofErr w:type="spellEnd"/>
      <w:r w:rsidRPr="00A259BD">
        <w:rPr>
          <w:rFonts w:ascii="Times New Roman" w:hAnsi="Times New Roman"/>
          <w:color w:val="000000" w:themeColor="text1"/>
          <w:sz w:val="16"/>
          <w:szCs w:val="16"/>
        </w:rPr>
        <w:t xml:space="preserve"> в том, что вопрос об использовании крекинг-</w:t>
      </w:r>
      <w:proofErr w:type="spellStart"/>
      <w:r w:rsidRPr="00A259BD">
        <w:rPr>
          <w:rFonts w:ascii="Times New Roman" w:hAnsi="Times New Roman"/>
          <w:color w:val="000000" w:themeColor="text1"/>
          <w:sz w:val="16"/>
          <w:szCs w:val="16"/>
        </w:rPr>
        <w:t>бегзина</w:t>
      </w:r>
      <w:proofErr w:type="spellEnd"/>
      <w:r w:rsidRPr="00A259BD">
        <w:rPr>
          <w:rFonts w:ascii="Times New Roman" w:hAnsi="Times New Roman"/>
          <w:color w:val="000000" w:themeColor="text1"/>
          <w:sz w:val="16"/>
          <w:szCs w:val="16"/>
        </w:rPr>
        <w:t xml:space="preserve"> с установок </w:t>
      </w:r>
      <w:proofErr w:type="spellStart"/>
      <w:r w:rsidRPr="00A259BD">
        <w:rPr>
          <w:rFonts w:ascii="Times New Roman" w:hAnsi="Times New Roman"/>
          <w:color w:val="000000" w:themeColor="text1"/>
          <w:sz w:val="16"/>
          <w:szCs w:val="16"/>
        </w:rPr>
        <w:t>Викерса</w:t>
      </w:r>
      <w:proofErr w:type="spellEnd"/>
      <w:r w:rsidRPr="00A259BD">
        <w:rPr>
          <w:rFonts w:ascii="Times New Roman" w:hAnsi="Times New Roman"/>
          <w:color w:val="000000" w:themeColor="text1"/>
          <w:sz w:val="16"/>
          <w:szCs w:val="16"/>
        </w:rPr>
        <w:t xml:space="preserve"> является по крайней мере на ближай</w:t>
      </w:r>
      <w:r w:rsidRPr="00A259BD">
        <w:rPr>
          <w:rFonts w:ascii="Times New Roman" w:hAnsi="Times New Roman"/>
          <w:color w:val="000000" w:themeColor="text1"/>
          <w:sz w:val="16"/>
          <w:szCs w:val="16"/>
        </w:rPr>
        <w:softHyphen/>
        <w:t>шие 1-2 года не реальным.</w:t>
      </w:r>
    </w:p>
    <w:p w14:paraId="059146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Это подтвердили представители Азнефти и Грознефти /см. протокол совещания в Грозном и Баку/.</w:t>
      </w:r>
    </w:p>
    <w:p w14:paraId="314126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Заслуживает внимания предложение о крекинг бензине в паровой фазе, по опытам и исследованиям, произведенным дирек</w:t>
      </w:r>
      <w:r w:rsidRPr="00A259BD">
        <w:rPr>
          <w:rFonts w:ascii="Times New Roman" w:hAnsi="Times New Roman"/>
          <w:color w:val="000000" w:themeColor="text1"/>
          <w:sz w:val="16"/>
          <w:szCs w:val="16"/>
        </w:rPr>
        <w:softHyphen/>
        <w:t xml:space="preserve">тором </w:t>
      </w:r>
      <w:proofErr w:type="spellStart"/>
      <w:r w:rsidRPr="00A259BD">
        <w:rPr>
          <w:rFonts w:ascii="Times New Roman" w:hAnsi="Times New Roman"/>
          <w:color w:val="000000" w:themeColor="text1"/>
          <w:sz w:val="16"/>
          <w:szCs w:val="16"/>
        </w:rPr>
        <w:t>толуольного</w:t>
      </w:r>
      <w:proofErr w:type="spellEnd"/>
      <w:r w:rsidRPr="00A259BD">
        <w:rPr>
          <w:rFonts w:ascii="Times New Roman" w:hAnsi="Times New Roman"/>
          <w:color w:val="000000" w:themeColor="text1"/>
          <w:sz w:val="16"/>
          <w:szCs w:val="16"/>
        </w:rPr>
        <w:t xml:space="preserve"> завода в г. Баку профессором </w:t>
      </w:r>
      <w:proofErr w:type="spellStart"/>
      <w:r w:rsidRPr="00A259BD">
        <w:rPr>
          <w:rFonts w:ascii="Times New Roman" w:hAnsi="Times New Roman"/>
          <w:color w:val="000000" w:themeColor="text1"/>
          <w:sz w:val="16"/>
          <w:szCs w:val="16"/>
        </w:rPr>
        <w:t>В.Ф.Герром</w:t>
      </w:r>
      <w:proofErr w:type="spellEnd"/>
      <w:r w:rsidRPr="00A259BD">
        <w:rPr>
          <w:rFonts w:ascii="Times New Roman" w:hAnsi="Times New Roman"/>
          <w:color w:val="000000" w:themeColor="text1"/>
          <w:sz w:val="16"/>
          <w:szCs w:val="16"/>
        </w:rPr>
        <w:t xml:space="preserve"> крекинг-бензин в паровой фазе представляет для нас большой инте</w:t>
      </w:r>
      <w:r w:rsidRPr="00A259BD">
        <w:rPr>
          <w:rFonts w:ascii="Times New Roman" w:hAnsi="Times New Roman"/>
          <w:color w:val="000000" w:themeColor="text1"/>
          <w:sz w:val="16"/>
          <w:szCs w:val="16"/>
        </w:rPr>
        <w:softHyphen/>
        <w:t>рес, как топливо, содержащее 40-50% ароматических углеводородов и следовательно, обладающее высокими антидетонирующим свойствами, как самостоятельное топливо, так и в смесях с бензинами прямой перегонки.</w:t>
      </w:r>
    </w:p>
    <w:p w14:paraId="2B632C4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Постройка завода для </w:t>
      </w:r>
      <w:proofErr w:type="spellStart"/>
      <w:r w:rsidRPr="00A259BD">
        <w:rPr>
          <w:rFonts w:ascii="Times New Roman" w:hAnsi="Times New Roman"/>
          <w:color w:val="000000" w:themeColor="text1"/>
          <w:sz w:val="16"/>
          <w:szCs w:val="16"/>
        </w:rPr>
        <w:t>парофазного</w:t>
      </w:r>
      <w:proofErr w:type="spellEnd"/>
      <w:r w:rsidRPr="00A259BD">
        <w:rPr>
          <w:rFonts w:ascii="Times New Roman" w:hAnsi="Times New Roman"/>
          <w:color w:val="000000" w:themeColor="text1"/>
          <w:sz w:val="16"/>
          <w:szCs w:val="16"/>
        </w:rPr>
        <w:t xml:space="preserve">- крекинга ввиду </w:t>
      </w:r>
      <w:proofErr w:type="spellStart"/>
      <w:r w:rsidRPr="00A259BD">
        <w:rPr>
          <w:rFonts w:ascii="Times New Roman" w:hAnsi="Times New Roman"/>
          <w:color w:val="000000" w:themeColor="text1"/>
          <w:sz w:val="16"/>
          <w:szCs w:val="16"/>
        </w:rPr>
        <w:t>значительнего</w:t>
      </w:r>
      <w:proofErr w:type="spellEnd"/>
      <w:r w:rsidRPr="00A259BD">
        <w:rPr>
          <w:rFonts w:ascii="Times New Roman" w:hAnsi="Times New Roman"/>
          <w:color w:val="000000" w:themeColor="text1"/>
          <w:sz w:val="16"/>
          <w:szCs w:val="16"/>
        </w:rPr>
        <w:t xml:space="preserve"> количества выхода газа /20-30%/ будет экономически </w:t>
      </w:r>
      <w:proofErr w:type="spellStart"/>
      <w:r w:rsidRPr="00A259BD">
        <w:rPr>
          <w:rFonts w:ascii="Times New Roman" w:hAnsi="Times New Roman"/>
          <w:color w:val="000000" w:themeColor="text1"/>
          <w:sz w:val="16"/>
          <w:szCs w:val="16"/>
        </w:rPr>
        <w:t>целеесообразно</w:t>
      </w:r>
      <w:proofErr w:type="spellEnd"/>
      <w:r w:rsidRPr="00A259BD">
        <w:rPr>
          <w:rFonts w:ascii="Times New Roman" w:hAnsi="Times New Roman"/>
          <w:color w:val="000000" w:themeColor="text1"/>
          <w:sz w:val="16"/>
          <w:szCs w:val="16"/>
        </w:rPr>
        <w:t xml:space="preserve"> в одном из промышленных районов, где газ может быть использован коммунальным хозяйством.</w:t>
      </w:r>
    </w:p>
    <w:p w14:paraId="16A73B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Вместе с тем такое расположение завода может представить -ряд преимуществ снабженческих и мобилизационных .</w:t>
      </w:r>
    </w:p>
    <w:p w14:paraId="2895DF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 О хранении топлива.</w:t>
      </w:r>
    </w:p>
    <w:p w14:paraId="18AB12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Вопрос о стабильности авиационного топлива при хранении и транспорте имеет для нас существенное значение. Комиссией этот вопрос поставлен перед поставщиками. Руководство изучением этого вопроса взял на себя Грозненский исследовательский Институт. Необходимо обеспечить активное участие УСС УВВС /</w:t>
      </w:r>
      <w:proofErr w:type="spellStart"/>
      <w:r w:rsidRPr="00A259BD">
        <w:rPr>
          <w:rFonts w:ascii="Times New Roman" w:hAnsi="Times New Roman"/>
          <w:color w:val="000000" w:themeColor="text1"/>
          <w:sz w:val="16"/>
          <w:szCs w:val="16"/>
        </w:rPr>
        <w:t>военприемки</w:t>
      </w:r>
      <w:proofErr w:type="spellEnd"/>
      <w:r w:rsidRPr="00A259BD">
        <w:rPr>
          <w:rFonts w:ascii="Times New Roman" w:hAnsi="Times New Roman"/>
          <w:color w:val="000000" w:themeColor="text1"/>
          <w:sz w:val="16"/>
          <w:szCs w:val="16"/>
        </w:rPr>
        <w:t>/ и НКПС в собирании материалов и выработке практических мер улучшения порядка хранения и транспортирования топлива. Вопрос этот может быть правильно разрешен при участии всех заинтересованных организаций.</w:t>
      </w:r>
    </w:p>
    <w:p w14:paraId="75F767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У1. О программах работ местных </w:t>
      </w:r>
      <w:proofErr w:type="spellStart"/>
      <w:r w:rsidRPr="00A259BD">
        <w:rPr>
          <w:rFonts w:ascii="Times New Roman" w:hAnsi="Times New Roman"/>
          <w:color w:val="000000" w:themeColor="text1"/>
          <w:sz w:val="16"/>
          <w:szCs w:val="16"/>
        </w:rPr>
        <w:t>лаборраторий</w:t>
      </w:r>
      <w:proofErr w:type="spellEnd"/>
      <w:r w:rsidRPr="00A259BD">
        <w:rPr>
          <w:rFonts w:ascii="Times New Roman" w:hAnsi="Times New Roman"/>
          <w:color w:val="000000" w:themeColor="text1"/>
          <w:sz w:val="16"/>
          <w:szCs w:val="16"/>
        </w:rPr>
        <w:t xml:space="preserve"> и исследовательских институтов по улучшению авиатоплива</w:t>
      </w:r>
    </w:p>
    <w:p w14:paraId="2F4AD4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Нами разработаны, совместно с представителями местных институтов и лабораторий обширные программы работ по изучению авиатоплив. Оборудование институтов и состав научных сотрудников вполне обеспечивают как серьезность, так и глубину разработки намеченных программ, так и соответствующий темп и размах работ /особенно с осени текущего года, когда центр. Лаборатория Коксобензола и </w:t>
      </w:r>
      <w:proofErr w:type="spellStart"/>
      <w:r w:rsidRPr="00A259BD">
        <w:rPr>
          <w:rFonts w:ascii="Times New Roman" w:hAnsi="Times New Roman"/>
          <w:color w:val="000000" w:themeColor="text1"/>
          <w:sz w:val="16"/>
          <w:szCs w:val="16"/>
        </w:rPr>
        <w:t>Исследовательсткий</w:t>
      </w:r>
      <w:proofErr w:type="spellEnd"/>
      <w:r w:rsidRPr="00A259BD">
        <w:rPr>
          <w:rFonts w:ascii="Times New Roman" w:hAnsi="Times New Roman"/>
          <w:color w:val="000000" w:themeColor="text1"/>
          <w:sz w:val="16"/>
          <w:szCs w:val="16"/>
        </w:rPr>
        <w:t xml:space="preserve"> институт Грознефти перейдут в новое помещение/.</w:t>
      </w:r>
    </w:p>
    <w:p w14:paraId="64B69B7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 обстоятельство, что исследовательские институты, теснейшим образом связанные с </w:t>
      </w:r>
      <w:proofErr w:type="spellStart"/>
      <w:r w:rsidRPr="00A259BD">
        <w:rPr>
          <w:rFonts w:ascii="Times New Roman" w:hAnsi="Times New Roman"/>
          <w:color w:val="000000" w:themeColor="text1"/>
          <w:sz w:val="16"/>
          <w:szCs w:val="16"/>
        </w:rPr>
        <w:t>производствевом</w:t>
      </w:r>
      <w:proofErr w:type="spellEnd"/>
      <w:r w:rsidRPr="00A259BD">
        <w:rPr>
          <w:rFonts w:ascii="Times New Roman" w:hAnsi="Times New Roman"/>
          <w:color w:val="000000" w:themeColor="text1"/>
          <w:sz w:val="16"/>
          <w:szCs w:val="16"/>
        </w:rPr>
        <w:t xml:space="preserve"> и учитывающие все его нужды и возможности, займутся непосредственно работой по изучению и улучшению отдельных видов авиационного топлива - гарантируют максимальный успех дела.</w:t>
      </w:r>
    </w:p>
    <w:p w14:paraId="4C7717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непосредственно р::бс</w:t>
      </w:r>
    </w:p>
    <w:p w14:paraId="0FD7BD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результатах совместной работы комиссии с представителями убедиться в исключительной важности непосредственной связи поставщика авиатоплива и его местных лабораторий и институтов с потребителем - УВВС и центральными институтами, изучающими авиатопливо. Эта связь должна быть укреплена и закреплена.</w:t>
      </w:r>
    </w:p>
    <w:p w14:paraId="629B33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заключение необходимо указать на большое вникание к работам комиссии со стороны представителей Коксобензола как в институтах и лабораториях, так и на заводах и в Правлениях трестов и всемерное содействие последних в выполнении порученного нам дела.</w:t>
      </w:r>
    </w:p>
    <w:p w14:paraId="7713B77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Постановлено:</w:t>
      </w:r>
    </w:p>
    <w:p w14:paraId="4A7388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Постановление 1 Секции от 12 июня 1929 г. за № 24/с по докладу топливной </w:t>
      </w:r>
      <w:proofErr w:type="spellStart"/>
      <w:r w:rsidRPr="00A259BD">
        <w:rPr>
          <w:rFonts w:ascii="Times New Roman" w:hAnsi="Times New Roman"/>
          <w:color w:val="000000" w:themeColor="text1"/>
          <w:sz w:val="16"/>
          <w:szCs w:val="16"/>
        </w:rPr>
        <w:t>Комисси</w:t>
      </w:r>
      <w:proofErr w:type="spellEnd"/>
      <w:r w:rsidRPr="00A259BD">
        <w:rPr>
          <w:rFonts w:ascii="Times New Roman" w:hAnsi="Times New Roman"/>
          <w:color w:val="000000" w:themeColor="text1"/>
          <w:sz w:val="16"/>
          <w:szCs w:val="16"/>
        </w:rPr>
        <w:t xml:space="preserve"> утвердить. Общее направление работ комиссии считать правильным.</w:t>
      </w:r>
    </w:p>
    <w:p w14:paraId="4D5A08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.Отметить исключительную </w:t>
      </w:r>
      <w:proofErr w:type="spellStart"/>
      <w:r w:rsidRPr="00A259BD">
        <w:rPr>
          <w:rFonts w:ascii="Times New Roman" w:hAnsi="Times New Roman"/>
          <w:color w:val="000000" w:themeColor="text1"/>
          <w:sz w:val="16"/>
          <w:szCs w:val="16"/>
        </w:rPr>
        <w:t>важнкость</w:t>
      </w:r>
      <w:proofErr w:type="spellEnd"/>
      <w:r w:rsidRPr="00A259BD">
        <w:rPr>
          <w:rFonts w:ascii="Times New Roman" w:hAnsi="Times New Roman"/>
          <w:color w:val="000000" w:themeColor="text1"/>
          <w:sz w:val="16"/>
          <w:szCs w:val="16"/>
        </w:rPr>
        <w:t xml:space="preserve"> задачи установления непосредственно деловой связи между потребителем топлива УВВС и производством - заводами, правлениями трестов и их лабораториями и исследовательскими институтами.</w:t>
      </w:r>
    </w:p>
    <w:p w14:paraId="120DAC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Считать </w:t>
      </w:r>
      <w:proofErr w:type="spellStart"/>
      <w:r w:rsidRPr="00A259BD">
        <w:rPr>
          <w:rFonts w:ascii="Times New Roman" w:hAnsi="Times New Roman"/>
          <w:color w:val="000000" w:themeColor="text1"/>
          <w:sz w:val="16"/>
          <w:szCs w:val="16"/>
        </w:rPr>
        <w:t>неозходимым</w:t>
      </w:r>
      <w:proofErr w:type="spellEnd"/>
      <w:r w:rsidRPr="00A259BD">
        <w:rPr>
          <w:rFonts w:ascii="Times New Roman" w:hAnsi="Times New Roman"/>
          <w:color w:val="000000" w:themeColor="text1"/>
          <w:sz w:val="16"/>
          <w:szCs w:val="16"/>
        </w:rPr>
        <w:t xml:space="preserve"> эту связь и в дальнейшем систематически поддерживать, для чего поручить 1 Секции наметить конкретные мероприятия по налаживанию связи и постоянной взаимной информации и обмене опытом лабораторий и исследовательских институтов на местах с НТК и центральными институтами, занимающимися изучением авиационного топлива /НАМИ, ЦАГИ, ГИНРИИ/.</w:t>
      </w:r>
    </w:p>
    <w:p w14:paraId="31A817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Одобряя в общем программу работ местных институтов по изучению авиационного топлива, поручить I Секция обсудить. Эти программы на топливном совещании с участием московских </w:t>
      </w:r>
      <w:proofErr w:type="spellStart"/>
      <w:r w:rsidRPr="00A259BD">
        <w:rPr>
          <w:rFonts w:ascii="Times New Roman" w:hAnsi="Times New Roman"/>
          <w:color w:val="000000" w:themeColor="text1"/>
          <w:sz w:val="16"/>
          <w:szCs w:val="16"/>
        </w:rPr>
        <w:t>инстиутутов</w:t>
      </w:r>
      <w:proofErr w:type="spellEnd"/>
      <w:r w:rsidRPr="00A259BD">
        <w:rPr>
          <w:rFonts w:ascii="Times New Roman" w:hAnsi="Times New Roman"/>
          <w:color w:val="000000" w:themeColor="text1"/>
          <w:sz w:val="16"/>
          <w:szCs w:val="16"/>
        </w:rPr>
        <w:t xml:space="preserve"> для более тщательного согласования намеченных программ с общим планом работ по топливу.</w:t>
      </w:r>
    </w:p>
    <w:p w14:paraId="189242C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Принимая во внимание острое положение со снабжением ВВС авиационным топливом, просить Коксобензол срочно прислать результаты опытов завода по получению бензольного топлива.</w:t>
      </w:r>
    </w:p>
    <w:p w14:paraId="3E19B9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В связи с необходимостью принят ряд ответственных решений по линии промышленности для осуществления всех намеченных в постановлении 1 Секции от 12 июня 1929 № 24 мероприятий, считать желательным доклад комиссии УВВС поставить на заседание </w:t>
      </w:r>
      <w:proofErr w:type="spellStart"/>
      <w:r w:rsidRPr="00A259BD">
        <w:rPr>
          <w:rFonts w:ascii="Times New Roman" w:hAnsi="Times New Roman"/>
          <w:color w:val="000000" w:themeColor="text1"/>
          <w:sz w:val="16"/>
          <w:szCs w:val="16"/>
        </w:rPr>
        <w:t>комисси</w:t>
      </w:r>
      <w:proofErr w:type="spellEnd"/>
      <w:r w:rsidRPr="00A259BD">
        <w:rPr>
          <w:rFonts w:ascii="Times New Roman" w:hAnsi="Times New Roman"/>
          <w:color w:val="000000" w:themeColor="text1"/>
          <w:sz w:val="16"/>
          <w:szCs w:val="16"/>
        </w:rPr>
        <w:t xml:space="preserve"> по топливу при ВСНХ.</w:t>
      </w:r>
    </w:p>
    <w:p w14:paraId="7BE55D2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В виду имеющихся сведений о высоком % содержания </w:t>
      </w:r>
      <w:proofErr w:type="spellStart"/>
      <w:r w:rsidRPr="00A259BD">
        <w:rPr>
          <w:rFonts w:ascii="Times New Roman" w:hAnsi="Times New Roman"/>
          <w:color w:val="000000" w:themeColor="text1"/>
          <w:sz w:val="16"/>
          <w:szCs w:val="16"/>
        </w:rPr>
        <w:t>ароматиков</w:t>
      </w:r>
      <w:proofErr w:type="spellEnd"/>
      <w:r w:rsidRPr="00A259BD">
        <w:rPr>
          <w:rFonts w:ascii="Times New Roman" w:hAnsi="Times New Roman"/>
          <w:color w:val="000000" w:themeColor="text1"/>
          <w:sz w:val="16"/>
          <w:szCs w:val="16"/>
        </w:rPr>
        <w:t xml:space="preserve"> в бензине, полученном из уральской нефти, предложить 1 Секции установить связь с организациями, ведущими изыскательские работы по нефти и получить от них исчерпывающие сведения (351).</w:t>
      </w:r>
    </w:p>
    <w:p w14:paraId="2932F6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1772E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59FB14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60D4D2" w14:textId="77777777" w:rsidR="00077238" w:rsidRPr="00A259BD" w:rsidRDefault="00077238" w:rsidP="009236E3">
      <w:pPr>
        <w:pStyle w:val="ae"/>
        <w:spacing w:before="0" w:after="0"/>
        <w:jc w:val="both"/>
        <w:rPr>
          <w:color w:val="000000" w:themeColor="text1"/>
          <w:sz w:val="16"/>
          <w:szCs w:val="16"/>
        </w:rPr>
      </w:pPr>
      <w:r w:rsidRPr="00A259BD">
        <w:rPr>
          <w:rStyle w:val="a7"/>
          <w:b w:val="0"/>
          <w:color w:val="000000" w:themeColor="text1"/>
          <w:sz w:val="16"/>
          <w:szCs w:val="16"/>
        </w:rPr>
        <w:t xml:space="preserve">14 июня </w:t>
      </w:r>
      <w:r w:rsidRPr="00A259BD">
        <w:rPr>
          <w:rStyle w:val="a7"/>
          <w:b w:val="0"/>
          <w:bCs w:val="0"/>
          <w:color w:val="000000" w:themeColor="text1"/>
          <w:sz w:val="16"/>
          <w:szCs w:val="16"/>
        </w:rPr>
        <w:t>1929 год</w:t>
      </w:r>
      <w:r w:rsidRPr="00A259BD">
        <w:rPr>
          <w:rStyle w:val="a7"/>
          <w:b w:val="0"/>
          <w:bCs w:val="0"/>
          <w:color w:val="000000" w:themeColor="text1"/>
          <w:sz w:val="16"/>
          <w:szCs w:val="16"/>
          <w:lang w:val="en-US"/>
        </w:rPr>
        <w:t>a</w:t>
      </w:r>
      <w:r w:rsidRPr="00A259BD">
        <w:rPr>
          <w:color w:val="000000" w:themeColor="text1"/>
          <w:sz w:val="16"/>
          <w:szCs w:val="16"/>
        </w:rPr>
        <w:t>СТО принял постановление «Об утверждении типового положения о государственном управлении по постройке нового завода черной металлургии, состоящем на государственном бюджете и находящемся в ведении ВСНХ СССР» (12265).</w:t>
      </w:r>
    </w:p>
    <w:p w14:paraId="1FD168F0" w14:textId="77777777" w:rsidR="00077238" w:rsidRPr="00A259BD" w:rsidRDefault="00077238" w:rsidP="009236E3">
      <w:pPr>
        <w:pStyle w:val="ae"/>
        <w:spacing w:before="0" w:after="0"/>
        <w:jc w:val="both"/>
        <w:rPr>
          <w:color w:val="000000" w:themeColor="text1"/>
          <w:sz w:val="16"/>
          <w:szCs w:val="16"/>
        </w:rPr>
      </w:pPr>
      <w:r w:rsidRPr="00A259BD">
        <w:rPr>
          <w:color w:val="000000" w:themeColor="text1"/>
          <w:sz w:val="16"/>
          <w:szCs w:val="16"/>
        </w:rPr>
        <w:t> </w:t>
      </w:r>
    </w:p>
    <w:p w14:paraId="3FB381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июня 1929 г. на завод Красное Сормово, расположенный в глубине страны, вдали от морей и океанов, приходит задание на постройку подводной лодки с припиской «…для освоения производства и создания строительной базы с доведением строительства до 20 подлодок на случай войны». [158 — Там же, Д. 88, Л. 6.] (11741).</w:t>
      </w:r>
    </w:p>
    <w:p w14:paraId="64705C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935524"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июня 1929</w:t>
      </w:r>
    </w:p>
    <w:p w14:paraId="40361042"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Показания </w:t>
      </w:r>
      <w:proofErr w:type="spellStart"/>
      <w:r w:rsidRPr="00A259BD">
        <w:rPr>
          <w:rFonts w:ascii="Times New Roman" w:hAnsi="Times New Roman"/>
          <w:color w:val="000000" w:themeColor="text1"/>
          <w:sz w:val="16"/>
          <w:szCs w:val="16"/>
        </w:rPr>
        <w:t>Белоножкина</w:t>
      </w:r>
      <w:proofErr w:type="spellEnd"/>
      <w:r w:rsidRPr="00A259BD">
        <w:rPr>
          <w:rFonts w:ascii="Times New Roman" w:hAnsi="Times New Roman"/>
          <w:color w:val="000000" w:themeColor="text1"/>
          <w:sz w:val="16"/>
          <w:szCs w:val="16"/>
        </w:rPr>
        <w:t xml:space="preserve"> Александра Ивановича от 14/VI-29 года.</w:t>
      </w:r>
    </w:p>
    <w:p w14:paraId="751A8712"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5BCA83D"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Подтверждая мои показания, данные 13/VI-29 года, развиваю их далее по заводам ГОМЗЫ. Планы расширения и реконструкции разрабатывались отдельными заводами по общим директивам правления ГОМЗЫ, в котором главными руководителями были в то время, 1921-1924 г., Сергей Александрович ХРЕННИКОВ, до перехода его в </w:t>
      </w:r>
      <w:proofErr w:type="spellStart"/>
      <w:r w:rsidRPr="00A259BD">
        <w:rPr>
          <w:rFonts w:ascii="Times New Roman" w:hAnsi="Times New Roman"/>
          <w:color w:val="000000" w:themeColor="text1"/>
          <w:sz w:val="16"/>
          <w:szCs w:val="16"/>
        </w:rPr>
        <w:t>Главметалл</w:t>
      </w:r>
      <w:proofErr w:type="spellEnd"/>
      <w:r w:rsidRPr="00A259BD">
        <w:rPr>
          <w:rFonts w:ascii="Times New Roman" w:hAnsi="Times New Roman"/>
          <w:color w:val="000000" w:themeColor="text1"/>
          <w:sz w:val="16"/>
          <w:szCs w:val="16"/>
        </w:rPr>
        <w:t xml:space="preserve">, Карл Францевич НЕЙМАЕР, Виктор Александрович ТИХОМИРОВ, Бронислав </w:t>
      </w:r>
      <w:proofErr w:type="spellStart"/>
      <w:r w:rsidRPr="00A259BD">
        <w:rPr>
          <w:rFonts w:ascii="Times New Roman" w:hAnsi="Times New Roman"/>
          <w:color w:val="000000" w:themeColor="text1"/>
          <w:sz w:val="16"/>
          <w:szCs w:val="16"/>
        </w:rPr>
        <w:t>Сигизмундович</w:t>
      </w:r>
      <w:proofErr w:type="spellEnd"/>
      <w:r w:rsidRPr="00A259BD">
        <w:rPr>
          <w:rFonts w:ascii="Times New Roman" w:hAnsi="Times New Roman"/>
          <w:color w:val="000000" w:themeColor="text1"/>
          <w:sz w:val="16"/>
          <w:szCs w:val="16"/>
        </w:rPr>
        <w:t xml:space="preserve"> МАЛАХОВСКИЙ - каждый по своей специальности. Планы реконструкции заводов, одобренные правлением, поступали, далее, на рассмотрение Машиностроительного отдела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xml:space="preserve">, во главе которого был тогда Н. М. КУТСКИЙ. Он докладывал планы Коллегии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где они окончательно утверждались, после чего начиналось проведение их в жизнь.</w:t>
      </w:r>
    </w:p>
    <w:p w14:paraId="018EF8D1"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том, что программа реконструкции и расширения заводов ГОМЗЫ не была увязана с программой развертывания всей нашей промышленности, отмечено мною раньше. По этой причине реконструкция каждого из крупных заводов ГОМЗЫ шла по линии наиболее приемлемой для него, но в ущерб государственным интересам, и в этом заключается главная вредительская работа указанных лиц. Привожу ряд примеров, подтверждающих такое вредительское отношение.</w:t>
      </w:r>
    </w:p>
    <w:p w14:paraId="64EC166E"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Коломенский завод, который по праву всей своей предыдущей работы должен был стать одним из наших крупнейших паровозостроительных заводов и соответственно и расширяться, направлен был по тракторостроению, не будучи для этого совершенно подготовленным, в результате чего получились миллионные убытки, а темп изготовления тракторов был сорван. Мало того, ранее должного и всестороннего испытания трактора типа «Коломенец» стали на Брянском заводе подготавливаться к производству его, затратили большие средства на переоборудование мастерских, изготовили целую серию моделей и пр., и все это пришлось бросить, так как трактор оказался в работе непригодным, дорогим, и производство его принуждены были приостановить. Внедрение производства тракторов в Паровозный отдел </w:t>
      </w:r>
      <w:proofErr w:type="spellStart"/>
      <w:r w:rsidRPr="00A259BD">
        <w:rPr>
          <w:rFonts w:ascii="Times New Roman" w:hAnsi="Times New Roman"/>
          <w:color w:val="000000" w:themeColor="text1"/>
          <w:sz w:val="16"/>
          <w:szCs w:val="16"/>
        </w:rPr>
        <w:t>Коломзавода</w:t>
      </w:r>
      <w:proofErr w:type="spellEnd"/>
      <w:r w:rsidRPr="00A259BD">
        <w:rPr>
          <w:rFonts w:ascii="Times New Roman" w:hAnsi="Times New Roman"/>
          <w:color w:val="000000" w:themeColor="text1"/>
          <w:sz w:val="16"/>
          <w:szCs w:val="16"/>
        </w:rPr>
        <w:t xml:space="preserve"> принесло громадный ущерб паровозному делу, так как совершенно разладило работу этого отдела и в сильнейшей степени расстроило оборудование его.</w:t>
      </w:r>
    </w:p>
    <w:p w14:paraId="5025761E"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этому же времени относится заключение договора с немецкой фирмой МАН на право изготовления специального типа дизелей и приступил к составлению проекта широкой реорганизации всего дизельного дела на заводе с постройкой новой крупной мастерской для выполнения программы, детально непродуманной и </w:t>
      </w:r>
      <w:proofErr w:type="spellStart"/>
      <w:r w:rsidRPr="00A259BD">
        <w:rPr>
          <w:rFonts w:ascii="Times New Roman" w:hAnsi="Times New Roman"/>
          <w:color w:val="000000" w:themeColor="text1"/>
          <w:sz w:val="16"/>
          <w:szCs w:val="16"/>
        </w:rPr>
        <w:t>неувязанной</w:t>
      </w:r>
      <w:proofErr w:type="spellEnd"/>
      <w:r w:rsidRPr="00A259BD">
        <w:rPr>
          <w:rFonts w:ascii="Times New Roman" w:hAnsi="Times New Roman"/>
          <w:color w:val="000000" w:themeColor="text1"/>
          <w:sz w:val="16"/>
          <w:szCs w:val="16"/>
        </w:rPr>
        <w:t xml:space="preserve"> с программой дизелестроения, исходя из потребностей всей страны.</w:t>
      </w:r>
    </w:p>
    <w:p w14:paraId="48314161"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Таким образом, составленная программа утверждалась </w:t>
      </w:r>
      <w:proofErr w:type="spellStart"/>
      <w:r w:rsidRPr="00A259BD">
        <w:rPr>
          <w:rFonts w:ascii="Times New Roman" w:hAnsi="Times New Roman"/>
          <w:color w:val="000000" w:themeColor="text1"/>
          <w:sz w:val="16"/>
          <w:szCs w:val="16"/>
        </w:rPr>
        <w:t>Главметаллом</w:t>
      </w:r>
      <w:proofErr w:type="spellEnd"/>
      <w:r w:rsidRPr="00A259BD">
        <w:rPr>
          <w:rFonts w:ascii="Times New Roman" w:hAnsi="Times New Roman"/>
          <w:color w:val="000000" w:themeColor="text1"/>
          <w:sz w:val="16"/>
          <w:szCs w:val="16"/>
        </w:rPr>
        <w:t xml:space="preserve"> по представлению Машиностроительного его отдела, и затрачивались миллионы на постройку мастерской и на приобретение дорогого заграничного оборудования. Главными руководителями всего это были: С. А. ХРЕННИКОВ, В. А. ТИХОМИРОВ, [К]. Ф. НЕЙМАЕР, и Н. М. КУТСКИЙ, которые, благодаря своей </w:t>
      </w:r>
      <w:proofErr w:type="spellStart"/>
      <w:r w:rsidRPr="00A259BD">
        <w:rPr>
          <w:rFonts w:ascii="Times New Roman" w:hAnsi="Times New Roman"/>
          <w:color w:val="000000" w:themeColor="text1"/>
          <w:sz w:val="16"/>
          <w:szCs w:val="16"/>
        </w:rPr>
        <w:t>контр-революционности</w:t>
      </w:r>
      <w:proofErr w:type="spellEnd"/>
      <w:r w:rsidRPr="00A259BD">
        <w:rPr>
          <w:rFonts w:ascii="Times New Roman" w:hAnsi="Times New Roman"/>
          <w:color w:val="000000" w:themeColor="text1"/>
          <w:sz w:val="16"/>
          <w:szCs w:val="16"/>
        </w:rPr>
        <w:t>, будучи идейно связаны, вели вредительскую работу как по срыву тракторного дела, так и по затрате громадных сумм на постройку крупнейших мастерских, не могущих оправдать свое существование в ближайшие годы.</w:t>
      </w:r>
    </w:p>
    <w:p w14:paraId="24A5EFF8"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Брянский завод. Этот завод пережил и переживает и по настоящее время тяжелые последствия неправильного подхода к начатию производства большегрузных товарных вагонов. Не было составлено продуманного производственного плана, так как сперва намечен был максимальный выпуск в 3500 вагонов, а затем увеличен до 6000 м.3 в год.</w:t>
      </w:r>
    </w:p>
    <w:p w14:paraId="0CF3CCBF"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Вследствие этого вся разработка производственного процесса подвергалась постоянным изменениям, что влияло на выпуск вагонов и удорожало стоимость. Помимо этого не было увязки между пропускной способностью отдельных мастерских завода, и намеченное частичное их расширение и переоборудование оказались недостаточными, и пришлось затратить намного больше средств, чем вначале предполагалось. Благодаря непродуманности некоторых производственных процессов, часть дорогого заграничного оборудования не могла быть использована, и прошлось раздать ее по другим заводам ГОМЗЫ (радиальные станки фирмы </w:t>
      </w:r>
      <w:proofErr w:type="spellStart"/>
      <w:r w:rsidRPr="00A259BD">
        <w:rPr>
          <w:rFonts w:ascii="Times New Roman" w:hAnsi="Times New Roman"/>
          <w:color w:val="000000" w:themeColor="text1"/>
          <w:sz w:val="16"/>
          <w:szCs w:val="16"/>
        </w:rPr>
        <w:t>Коллет</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Энгельгард</w:t>
      </w:r>
      <w:proofErr w:type="spellEnd"/>
      <w:r w:rsidRPr="00A259BD">
        <w:rPr>
          <w:rFonts w:ascii="Times New Roman" w:hAnsi="Times New Roman"/>
          <w:color w:val="000000" w:themeColor="text1"/>
          <w:sz w:val="16"/>
          <w:szCs w:val="16"/>
        </w:rPr>
        <w:t>).</w:t>
      </w:r>
    </w:p>
    <w:p w14:paraId="00027217"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этой вредительской работе главными участниками являются: С. А. ХРЕННИКОВ, который умышленно передал разработку чертежей большегрузного вагона малоопытному вагонному бюро Сормовского завода, результатом чего явилась сложная и дорогая конструкция в отдельных деталях вагона. Затем, при его участии производство вагонов распылилось по трем заводам ГОМЗЫ - Сормовскому, Тверскому и Брянскому, что вызвало много лишних расходов без пользы для дела. Участие в этом деле принимали член Правления ГОМЗЫ К. Ф. НЕЙМАЕР и инженер Б. С. МАЛАХОВСКИЙ.</w:t>
      </w:r>
    </w:p>
    <w:p w14:paraId="78DF8065"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Сормовский завод. Расширение Судостроительного отдела заводом было намечено не в зависимости от фактически возможной пропускной способности верфи, а на основе предварительной наметки потребности в судах </w:t>
      </w:r>
      <w:proofErr w:type="spellStart"/>
      <w:r w:rsidRPr="00A259BD">
        <w:rPr>
          <w:rFonts w:ascii="Times New Roman" w:hAnsi="Times New Roman"/>
          <w:color w:val="000000" w:themeColor="text1"/>
          <w:sz w:val="16"/>
          <w:szCs w:val="16"/>
        </w:rPr>
        <w:t>Главконефтью</w:t>
      </w:r>
      <w:proofErr w:type="spellEnd"/>
      <w:r w:rsidRPr="00A259BD">
        <w:rPr>
          <w:rFonts w:ascii="Times New Roman" w:hAnsi="Times New Roman"/>
          <w:color w:val="000000" w:themeColor="text1"/>
          <w:sz w:val="16"/>
          <w:szCs w:val="16"/>
        </w:rPr>
        <w:t xml:space="preserve"> и НКПС. Размах был взят без всякого основания, так как предполагалось выпускать с верфи в год до 100 судов и чуть ли не 30 различных типов. Простой подсчет показывает, что нет ни средств, ни времени для выполнения ежегодно такой программы. А посему проект расширения, который требовал для своего выполнения затраты десятков миллионов рублей[,] является неправильным и практически несостоятельным. Помимо этого, недостаточно солидная техническая разработка самого проекта, по которому предвиделось сооружение специальной эст[а]</w:t>
      </w:r>
      <w:proofErr w:type="spellStart"/>
      <w:r w:rsidRPr="00A259BD">
        <w:rPr>
          <w:rFonts w:ascii="Times New Roman" w:hAnsi="Times New Roman"/>
          <w:color w:val="000000" w:themeColor="text1"/>
          <w:sz w:val="16"/>
          <w:szCs w:val="16"/>
        </w:rPr>
        <w:t>кады</w:t>
      </w:r>
      <w:proofErr w:type="spellEnd"/>
      <w:r w:rsidRPr="00A259BD">
        <w:rPr>
          <w:rFonts w:ascii="Times New Roman" w:hAnsi="Times New Roman"/>
          <w:color w:val="000000" w:themeColor="text1"/>
          <w:sz w:val="16"/>
          <w:szCs w:val="16"/>
        </w:rPr>
        <w:t xml:space="preserve"> для обслуживания </w:t>
      </w:r>
      <w:proofErr w:type="spellStart"/>
      <w:r w:rsidRPr="00A259BD">
        <w:rPr>
          <w:rFonts w:ascii="Times New Roman" w:hAnsi="Times New Roman"/>
          <w:color w:val="000000" w:themeColor="text1"/>
          <w:sz w:val="16"/>
          <w:szCs w:val="16"/>
        </w:rPr>
        <w:t>судокорпусов</w:t>
      </w:r>
      <w:proofErr w:type="spellEnd"/>
      <w:r w:rsidRPr="00A259BD">
        <w:rPr>
          <w:rFonts w:ascii="Times New Roman" w:hAnsi="Times New Roman"/>
          <w:color w:val="000000" w:themeColor="text1"/>
          <w:sz w:val="16"/>
          <w:szCs w:val="16"/>
        </w:rPr>
        <w:t xml:space="preserve"> в яме, повлекло за собою бесполезную затрату сотен тысяч рублей, так как при более детальной проработке проекта от устройства эст[а]</w:t>
      </w:r>
      <w:proofErr w:type="spellStart"/>
      <w:r w:rsidRPr="00A259BD">
        <w:rPr>
          <w:rFonts w:ascii="Times New Roman" w:hAnsi="Times New Roman"/>
          <w:color w:val="000000" w:themeColor="text1"/>
          <w:sz w:val="16"/>
          <w:szCs w:val="16"/>
        </w:rPr>
        <w:t>кады</w:t>
      </w:r>
      <w:proofErr w:type="spellEnd"/>
      <w:r w:rsidRPr="00A259BD">
        <w:rPr>
          <w:rFonts w:ascii="Times New Roman" w:hAnsi="Times New Roman"/>
          <w:color w:val="000000" w:themeColor="text1"/>
          <w:sz w:val="16"/>
          <w:szCs w:val="16"/>
        </w:rPr>
        <w:t xml:space="preserve"> прошлось отказаться и заняться разрушением уже построенной.</w:t>
      </w:r>
    </w:p>
    <w:p w14:paraId="314D8AB2"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Далее, была намечена широкая реконструкция паровозного отдела вне увязки с фактической потребностью страны в новых паровозах и без детальной оценки размера нагрузки и других паровозных заводов. Программа была явно преувеличена и предвидела затраты понапрасну крупных средств.</w:t>
      </w:r>
    </w:p>
    <w:p w14:paraId="06CE9493"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этим спроектировано было создание нового металлургического завода, не на территории старого, а на новом месте, что повлекло к затрате многих миллионов рублей. Между тем, неправильная установка объема производств по двум основным отделам - Судостроительному и Паровозному - создала представление о необходимости большого объема производства, чем на самом деле нужно было и весь план реконструкции Металлургического отдела должен бы был быть иным.</w:t>
      </w:r>
    </w:p>
    <w:p w14:paraId="3E2690F0"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Таким образом, был поставлен под удар весь намеченный план реконструкции Сормовского завода, и </w:t>
      </w:r>
      <w:proofErr w:type="spellStart"/>
      <w:r w:rsidRPr="00A259BD">
        <w:rPr>
          <w:rFonts w:ascii="Times New Roman" w:hAnsi="Times New Roman"/>
          <w:color w:val="000000" w:themeColor="text1"/>
          <w:sz w:val="16"/>
          <w:szCs w:val="16"/>
        </w:rPr>
        <w:t>намечения</w:t>
      </w:r>
      <w:proofErr w:type="spellEnd"/>
      <w:r w:rsidRPr="00A259BD">
        <w:rPr>
          <w:rFonts w:ascii="Times New Roman" w:hAnsi="Times New Roman"/>
          <w:color w:val="000000" w:themeColor="text1"/>
          <w:sz w:val="16"/>
          <w:szCs w:val="16"/>
        </w:rPr>
        <w:t xml:space="preserve"> правительства будут сорваны. Ничем иным, как вредительством этого назвать нельзя, и вдохновителями] и виновными его являются те же лица: С. А. ХРЕННИКОВ, Н. М. КУТСКИЙ, К. Ф. НЕЙМАЕР и В. И. ЖДАНОВ, поскольку вопрос о создании крупного металлургического отдела не мог быть решен без его участия.</w:t>
      </w:r>
    </w:p>
    <w:p w14:paraId="6893103E"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Записано собственноручно.</w:t>
      </w:r>
    </w:p>
    <w:p w14:paraId="6CE2F82E" w14:textId="77777777" w:rsidR="0072351A" w:rsidRPr="00A259BD" w:rsidRDefault="0072351A"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Белоножкин</w:t>
      </w:r>
      <w:proofErr w:type="spellEnd"/>
      <w:r w:rsidRPr="00A259BD">
        <w:rPr>
          <w:rFonts w:ascii="Times New Roman" w:hAnsi="Times New Roman"/>
          <w:color w:val="000000" w:themeColor="text1"/>
          <w:sz w:val="16"/>
          <w:szCs w:val="16"/>
        </w:rPr>
        <w:t>.</w:t>
      </w:r>
    </w:p>
    <w:p w14:paraId="5A57FEDC"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ПОКАЗАНИЯ</w:t>
      </w:r>
    </w:p>
    <w:p w14:paraId="7CD92B64"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БЕЛОНОЖКИНА Александра Ивановича.</w:t>
      </w:r>
    </w:p>
    <w:p w14:paraId="326283A1"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Продолжаю свои показания.</w:t>
      </w:r>
    </w:p>
    <w:p w14:paraId="08608B56"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Деятельность С. А. ХРЕННИКОВА, К. Ф. НЕЙМАЕРА и В. А. ТИХОМИРОВА до 1912 года, когда он перешел на Харьковский паровозный завод, проходила в объединении Сормово-Коломна, в котором и я служил директором Коломенского завода. К моменту революции С. А. ХРЕННИКОВ занимал должность директора Сормовских заводов, а К. Ф. НЕЙМАЕР был инженером при правлении этих же заводов. Н. М. КУТСКИЙ был директором завода быв. </w:t>
      </w:r>
      <w:proofErr w:type="spellStart"/>
      <w:r w:rsidRPr="00A259BD">
        <w:rPr>
          <w:rFonts w:ascii="Times New Roman" w:hAnsi="Times New Roman"/>
          <w:color w:val="000000" w:themeColor="text1"/>
          <w:sz w:val="16"/>
          <w:szCs w:val="16"/>
        </w:rPr>
        <w:t>Бромлей</w:t>
      </w:r>
      <w:proofErr w:type="spellEnd"/>
      <w:r w:rsidRPr="00A259BD">
        <w:rPr>
          <w:rFonts w:ascii="Times New Roman" w:hAnsi="Times New Roman"/>
          <w:color w:val="000000" w:themeColor="text1"/>
          <w:sz w:val="16"/>
          <w:szCs w:val="16"/>
        </w:rPr>
        <w:t xml:space="preserve">. Какую должность занимал В. И. ЖДАНОВ - не знаю, так как впервые с ним познакомился, когда он уже был заведующим] отделом Черной </w:t>
      </w:r>
      <w:proofErr w:type="spellStart"/>
      <w:r w:rsidRPr="00A259BD">
        <w:rPr>
          <w:rFonts w:ascii="Times New Roman" w:hAnsi="Times New Roman"/>
          <w:color w:val="000000" w:themeColor="text1"/>
          <w:sz w:val="16"/>
          <w:szCs w:val="16"/>
        </w:rPr>
        <w:t>Металлургиии</w:t>
      </w:r>
      <w:proofErr w:type="spellEnd"/>
      <w:r w:rsidRPr="00A259BD">
        <w:rPr>
          <w:rFonts w:ascii="Times New Roman" w:hAnsi="Times New Roman"/>
          <w:color w:val="000000" w:themeColor="text1"/>
          <w:sz w:val="16"/>
          <w:szCs w:val="16"/>
        </w:rPr>
        <w:t xml:space="preserve"> при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Лично я покинул объединение в 1916 году, когда перешел на службу в Т-во </w:t>
      </w:r>
      <w:proofErr w:type="spellStart"/>
      <w:r w:rsidRPr="00A259BD">
        <w:rPr>
          <w:rFonts w:ascii="Times New Roman" w:hAnsi="Times New Roman"/>
          <w:color w:val="000000" w:themeColor="text1"/>
          <w:sz w:val="16"/>
          <w:szCs w:val="16"/>
        </w:rPr>
        <w:t>Бр</w:t>
      </w:r>
      <w:proofErr w:type="spellEnd"/>
      <w:r w:rsidRPr="00A259BD">
        <w:rPr>
          <w:rFonts w:ascii="Times New Roman" w:hAnsi="Times New Roman"/>
          <w:color w:val="000000" w:themeColor="text1"/>
          <w:sz w:val="16"/>
          <w:szCs w:val="16"/>
        </w:rPr>
        <w:t>. Нобель.</w:t>
      </w:r>
    </w:p>
    <w:p w14:paraId="7ACE1F88"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Объединенные заводы Сормово-Коломна принадлежали A/О и во главе их в качестве директора-распорядителя был А. П. МЕЩЕРСКИЙ. Объединение финансировалось бывшим Международным Банком, который был заинтересован и в заводе быв. </w:t>
      </w:r>
      <w:proofErr w:type="spellStart"/>
      <w:r w:rsidRPr="00A259BD">
        <w:rPr>
          <w:rFonts w:ascii="Times New Roman" w:hAnsi="Times New Roman"/>
          <w:color w:val="000000" w:themeColor="text1"/>
          <w:sz w:val="16"/>
          <w:szCs w:val="16"/>
        </w:rPr>
        <w:t>Бромлей</w:t>
      </w:r>
      <w:proofErr w:type="spellEnd"/>
      <w:r w:rsidRPr="00A259BD">
        <w:rPr>
          <w:rFonts w:ascii="Times New Roman" w:hAnsi="Times New Roman"/>
          <w:color w:val="000000" w:themeColor="text1"/>
          <w:sz w:val="16"/>
          <w:szCs w:val="16"/>
        </w:rPr>
        <w:t>.</w:t>
      </w:r>
    </w:p>
    <w:p w14:paraId="509C9493"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После революции С. А. ХРЕННИКОВ и К. Ф. НЕЙМАЕР продолжали служить в объединении тех же заводов, переименованных в ГОМЗЫ. Н. М. КУТСКИЙ поступил на службу в </w:t>
      </w:r>
      <w:proofErr w:type="spellStart"/>
      <w:r w:rsidRPr="00A259BD">
        <w:rPr>
          <w:rFonts w:ascii="Times New Roman" w:hAnsi="Times New Roman"/>
          <w:color w:val="000000" w:themeColor="text1"/>
          <w:sz w:val="16"/>
          <w:szCs w:val="16"/>
        </w:rPr>
        <w:t>Главметалл</w:t>
      </w:r>
      <w:proofErr w:type="spellEnd"/>
      <w:r w:rsidRPr="00A259BD">
        <w:rPr>
          <w:rFonts w:ascii="Times New Roman" w:hAnsi="Times New Roman"/>
          <w:color w:val="000000" w:themeColor="text1"/>
          <w:sz w:val="16"/>
          <w:szCs w:val="16"/>
        </w:rPr>
        <w:t xml:space="preserve"> на должность зав. Отделом Машиностроения. Лично я занял место члена Технического Совета при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в каковой должности оставался до расформирования его в [19]24—25 году.</w:t>
      </w:r>
    </w:p>
    <w:p w14:paraId="21FCA219"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Первые годы после революции прошли в налаживании работ на заводах, после их остановки, вызванной гражданской войной. Затем постепенно начинается работа по реконструкции их. Все мы, призванные для этой работы, работая при капиталистическом строе много лет, впитали в себя, естественно, весь уклад и строй его и революцию встретили враждебно. Идеология осталась прежняя, т. е. сохранились мысли о возможности возврата к старому режиму и строю. С такой политической установкой эта группа лиц, в том числе и я, после национализации заводов приступила к работе, стремясь сохранить установив [</w:t>
      </w:r>
      <w:proofErr w:type="spellStart"/>
      <w:r w:rsidRPr="00A259BD">
        <w:rPr>
          <w:rFonts w:ascii="Times New Roman" w:hAnsi="Times New Roman"/>
          <w:color w:val="000000" w:themeColor="text1"/>
          <w:sz w:val="16"/>
          <w:szCs w:val="16"/>
        </w:rPr>
        <w:t>шиеся</w:t>
      </w:r>
      <w:proofErr w:type="spellEnd"/>
      <w:r w:rsidRPr="00A259BD">
        <w:rPr>
          <w:rFonts w:ascii="Times New Roman" w:hAnsi="Times New Roman"/>
          <w:color w:val="000000" w:themeColor="text1"/>
          <w:sz w:val="16"/>
          <w:szCs w:val="16"/>
        </w:rPr>
        <w:t>] на заводах производства и сами заводы для бывш. владельцев. Ответственные места в Правлении трестов и на заводах заняли бывш. служащие Объединения Сормово-Коломна и таким образом создалась возможность проведения определенной линии в вопросах реконструкции заводов. Идеологически понимая друг друга и не отрешившись от прежнего понимания интересов капиталистической промышленности, работа их в основе не была направлена к укреплению социалистического строя, а велась так, как она была направлена в каждом предприятии и заводе к моменту революции. Это подтверждается приведенными ранее в моих показаниях фактами по реконструкции отдельных заводов ГОМЗЫ и их производства.</w:t>
      </w:r>
    </w:p>
    <w:p w14:paraId="73E352A0"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Вместо того, чтобы решительно и смело порвать с прошлым и взять твердую линию на широкую индустриализацию страны и соответственно с этим вести все дело по организации нашей металлопромышленности, они не только сами вели сознательно производства на отдельных заводах к срыву, но, пользуясь определенным положением и влиянием, вносили подобное вредительство в отдельную отрасль промышленности.</w:t>
      </w:r>
    </w:p>
    <w:p w14:paraId="72E5B125"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результате получился тот хаос в металлопромышленности, когда каждый трест и завод шел и идет куда-то, но общей, правильно установленной линии нет. Это привело к разрыву между работой наших металлообрабатывающих и металлургических заводов, создало увеличенную продукцию одних и недостаточную других - при затрате громадных капиталов на переоборудование и реконструкцию отдельных производств. В конечном итоге получился металлический голод, финансовое обессиление и невыполнение твердых директив Правительства по развертыванию основных отраслей металлопромышленности, являющийся фундаментом для широкой индустриализации страны.</w:t>
      </w:r>
    </w:p>
    <w:p w14:paraId="70C9BD5E"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Записано собственноручно - проф. БЕЛОНОЖКИН</w:t>
      </w:r>
    </w:p>
    <w:p w14:paraId="0672B2C4"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16/VI-29 года.</w:t>
      </w:r>
    </w:p>
    <w:p w14:paraId="7940C72A"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 353. Л. 22-34. Машинописные копии того времени. На Л. 24, 29, 33 вверху слева - делопроизводственные пометы машинисток. На Л. 32 после машинописной подписи А. И. </w:t>
      </w:r>
      <w:proofErr w:type="spellStart"/>
      <w:r w:rsidRPr="00A259BD">
        <w:rPr>
          <w:rFonts w:ascii="Times New Roman" w:hAnsi="Times New Roman"/>
          <w:color w:val="000000" w:themeColor="text1"/>
          <w:sz w:val="16"/>
          <w:szCs w:val="16"/>
        </w:rPr>
        <w:t>Белоножкина</w:t>
      </w:r>
      <w:proofErr w:type="spellEnd"/>
      <w:r w:rsidRPr="00A259BD">
        <w:rPr>
          <w:rFonts w:ascii="Times New Roman" w:hAnsi="Times New Roman"/>
          <w:color w:val="000000" w:themeColor="text1"/>
          <w:sz w:val="16"/>
          <w:szCs w:val="16"/>
        </w:rPr>
        <w:t xml:space="preserve"> напечатано «ВЕРНО:» (заверяющая подпись отсутствует) (18338).</w:t>
      </w:r>
    </w:p>
    <w:p w14:paraId="45259EC7" w14:textId="77777777" w:rsidR="0072351A" w:rsidRPr="00A259BD" w:rsidRDefault="0072351A" w:rsidP="009236E3">
      <w:pPr>
        <w:spacing w:after="0" w:line="240" w:lineRule="auto"/>
        <w:jc w:val="both"/>
        <w:rPr>
          <w:rFonts w:ascii="Times New Roman" w:hAnsi="Times New Roman"/>
          <w:color w:val="000000" w:themeColor="text1"/>
          <w:sz w:val="16"/>
          <w:szCs w:val="16"/>
        </w:rPr>
      </w:pPr>
    </w:p>
    <w:p w14:paraId="452950DA" w14:textId="77777777" w:rsidR="00B45B3E" w:rsidRPr="00A259BD" w:rsidRDefault="00B45B3E"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D0F87D8" w14:textId="77777777" w:rsidR="00B45B3E" w:rsidRPr="00A259BD" w:rsidRDefault="00B45B3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6C4C14" w14:textId="77777777" w:rsidR="00B45B3E" w:rsidRPr="00A259BD" w:rsidRDefault="00B45B3E"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14 июня 1929 г.</w:t>
      </w:r>
      <w:r w:rsidRPr="00A259BD">
        <w:rPr>
          <w:rFonts w:ascii="Times New Roman" w:eastAsia="Times New Roman" w:hAnsi="Times New Roman"/>
          <w:color w:val="000000" w:themeColor="text1"/>
          <w:sz w:val="16"/>
          <w:szCs w:val="16"/>
          <w:lang w:eastAsia="ru-RU"/>
        </w:rPr>
        <w:t xml:space="preserve"> газета "Буффало курьер экспресс" сообщала</w:t>
      </w:r>
      <w:r w:rsidRPr="00A259BD">
        <w:rPr>
          <w:rFonts w:ascii="Times New Roman" w:hAnsi="Times New Roman"/>
          <w:color w:val="000000" w:themeColor="text1"/>
          <w:sz w:val="16"/>
          <w:szCs w:val="16"/>
          <w:shd w:val="clear" w:color="auto" w:fill="FFFFFF"/>
        </w:rPr>
        <w:t xml:space="preserve">, что </w:t>
      </w:r>
      <w:proofErr w:type="spellStart"/>
      <w:r w:rsidRPr="00A259BD">
        <w:rPr>
          <w:rFonts w:ascii="Times New Roman" w:hAnsi="Times New Roman"/>
          <w:color w:val="000000" w:themeColor="text1"/>
          <w:sz w:val="16"/>
          <w:szCs w:val="16"/>
          <w:shd w:val="clear" w:color="auto" w:fill="FFFFFF"/>
        </w:rPr>
        <w:t>Минов</w:t>
      </w:r>
      <w:proofErr w:type="spellEnd"/>
      <w:r w:rsidRPr="00A259BD">
        <w:rPr>
          <w:rFonts w:ascii="Times New Roman" w:hAnsi="Times New Roman"/>
          <w:color w:val="000000" w:themeColor="text1"/>
          <w:sz w:val="16"/>
          <w:szCs w:val="16"/>
          <w:shd w:val="clear" w:color="auto" w:fill="FFFFFF"/>
        </w:rPr>
        <w:t xml:space="preserve"> совершил парашютный прыжок с аэроплана (один из трех) и в заключение </w:t>
      </w:r>
      <w:proofErr w:type="spellStart"/>
      <w:r w:rsidRPr="00A259BD">
        <w:rPr>
          <w:rFonts w:ascii="Times New Roman" w:hAnsi="Times New Roman"/>
          <w:color w:val="000000" w:themeColor="text1"/>
          <w:sz w:val="16"/>
          <w:szCs w:val="16"/>
          <w:shd w:val="clear" w:color="auto" w:fill="FFFFFF"/>
        </w:rPr>
        <w:t>написала:"По</w:t>
      </w:r>
      <w:proofErr w:type="spellEnd"/>
      <w:r w:rsidRPr="00A259BD">
        <w:rPr>
          <w:rFonts w:ascii="Times New Roman" w:hAnsi="Times New Roman"/>
          <w:color w:val="000000" w:themeColor="text1"/>
          <w:sz w:val="16"/>
          <w:szCs w:val="16"/>
          <w:shd w:val="clear" w:color="auto" w:fill="FFFFFF"/>
        </w:rPr>
        <w:t xml:space="preserve"> нашему мнению, он (</w:t>
      </w:r>
      <w:proofErr w:type="spellStart"/>
      <w:r w:rsidRPr="00A259BD">
        <w:rPr>
          <w:rFonts w:ascii="Times New Roman" w:hAnsi="Times New Roman"/>
          <w:color w:val="000000" w:themeColor="text1"/>
          <w:sz w:val="16"/>
          <w:szCs w:val="16"/>
          <w:shd w:val="clear" w:color="auto" w:fill="FFFFFF"/>
        </w:rPr>
        <w:t>Л.Минов</w:t>
      </w:r>
      <w:proofErr w:type="spellEnd"/>
      <w:r w:rsidRPr="00A259BD">
        <w:rPr>
          <w:rFonts w:ascii="Times New Roman" w:hAnsi="Times New Roman"/>
          <w:color w:val="000000" w:themeColor="text1"/>
          <w:sz w:val="16"/>
          <w:szCs w:val="16"/>
          <w:shd w:val="clear" w:color="auto" w:fill="FFFFFF"/>
        </w:rPr>
        <w:t>) вполне квалифицирован для преподавания употребления парашютов Ирвинга, а также для их инспекции, ухода и содержания" (21400).</w:t>
      </w:r>
    </w:p>
    <w:p w14:paraId="30AF4D18" w14:textId="77777777" w:rsidR="00B45B3E" w:rsidRPr="00A259BD" w:rsidRDefault="00B45B3E" w:rsidP="009236E3">
      <w:pPr>
        <w:spacing w:after="0" w:line="240" w:lineRule="auto"/>
        <w:jc w:val="both"/>
        <w:rPr>
          <w:rFonts w:ascii="Times New Roman" w:hAnsi="Times New Roman"/>
          <w:color w:val="000000" w:themeColor="text1"/>
          <w:sz w:val="16"/>
          <w:szCs w:val="16"/>
          <w:shd w:val="clear" w:color="auto" w:fill="FFFFFF"/>
        </w:rPr>
      </w:pPr>
    </w:p>
    <w:p w14:paraId="4F49105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104772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35AF6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июня 1929 была закончена сборка МР-5 (2339).</w:t>
      </w:r>
    </w:p>
    <w:p w14:paraId="33A3A1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7399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июня (июля - 505,90) 1929 вышло постановление Политбюро ЦК ВКП(б) - О состоянии обороны СССР - "одним из важнейших результатов истекшего пятилетия следует признать создание КВФ" (66,138). - задача - "скорейшее доведение количественного уровня до передовых буржуазных стран"</w:t>
      </w:r>
    </w:p>
    <w:p w14:paraId="18D870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Программа перевооружения армии </w:t>
      </w:r>
      <w:proofErr w:type="spellStart"/>
      <w:r w:rsidRPr="00A259BD">
        <w:rPr>
          <w:rFonts w:ascii="Times New Roman" w:hAnsi="Times New Roman"/>
          <w:color w:val="000000" w:themeColor="text1"/>
          <w:sz w:val="16"/>
          <w:szCs w:val="16"/>
        </w:rPr>
        <w:t>М.Н.Тухачевского</w:t>
      </w:r>
      <w:proofErr w:type="spellEnd"/>
    </w:p>
    <w:p w14:paraId="426969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постановлении ЦК ВКП (б) от 15 июня 1929 "О состоянии обороны СССР" говорилось "Считать...важнейшей задачей на ближайшие годы в строительстве красной авиации...скорейшее доведение ее качества до уровня передовых буржуазных стран, и всеми силами...насаждать, культивировать и развивать свои, советские научно-конструкторские силы, в особенности в моторостроении" (24,52).</w:t>
      </w:r>
    </w:p>
    <w:p w14:paraId="610EF2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другим данным это было 15 июля.</w:t>
      </w:r>
    </w:p>
    <w:p w14:paraId="156850A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DEB33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июня 1929 В.Б.Ш. выступал на совещании в АН по аэрофотосъемке с сообщением о потребных типах самолетов (1076,915).</w:t>
      </w:r>
    </w:p>
    <w:p w14:paraId="2331A8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1F38A7" w14:textId="77777777" w:rsidR="00077238"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FCD246E" w14:textId="77777777" w:rsidR="00077238" w:rsidRPr="00A259BD"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BFB478F" w14:textId="77777777" w:rsidR="00077238" w:rsidRPr="00A259BD" w:rsidRDefault="00077238"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Не позднее 15 июня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РЗ СТО СССР о состоянии военной промышленности (капитальное строительство и мобилизационная готовность) (ГА РФ. Ф. Р?8418. Оп. 3. Д. 55. Л. 76?76 об.) (12415).</w:t>
      </w:r>
    </w:p>
    <w:p w14:paraId="11F50A40" w14:textId="77777777" w:rsidR="00077238" w:rsidRPr="00A259BD" w:rsidRDefault="00077238" w:rsidP="009236E3">
      <w:pPr>
        <w:spacing w:after="0" w:line="240" w:lineRule="auto"/>
        <w:jc w:val="both"/>
        <w:rPr>
          <w:rFonts w:ascii="Times New Roman" w:hAnsi="Times New Roman"/>
          <w:color w:val="000000" w:themeColor="text1"/>
          <w:sz w:val="16"/>
          <w:szCs w:val="16"/>
          <w:u w:color="002060"/>
        </w:rPr>
      </w:pPr>
    </w:p>
    <w:p w14:paraId="0096EFC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397A47F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26B2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15 июня по 15 ноября 1929 в казанской танковой школе прошла обучение группа переменного состава, в которую входило 10 немецких и 10 советских курсантов. Учебная программа Казанской школы включала теоретический курс, прикладную часть и технические занятия. В рамках теоретического курса слушатели изучали типы танков и их общее устройство, конструкцию моторов, виды оружия и боеприпасов, тактику боевых действий танковых войск и вопросы взаимодействия, особенности материально-технического обеспечения (подвоза) на поле боя. Прикладная часть включала обучение езде по ровной и пересеченной местности и в различных условиях (днем, ночью с использованием фар и без них, при использовании дымов), форсирование водных преград по дну, обучение стрельбе и проведение боевых стрельб, отработку действий в составе подразделений (до роты включительно), способы взаимодействия с другими родами войск, вопросы управления в бою и на марше. На технических занятиях слушатели получали практику технического обслуживания и ремонта танков. Школа состояла из четырех основных подразделений: учебные классы, испытательное отделение, технический отдел, бухгалтерия. Основные участки в начальный период работы танковой школы возглавляли капитан X. </w:t>
      </w:r>
      <w:proofErr w:type="spellStart"/>
      <w:r w:rsidRPr="00A259BD">
        <w:rPr>
          <w:rFonts w:ascii="Times New Roman" w:hAnsi="Times New Roman"/>
          <w:color w:val="000000" w:themeColor="text1"/>
          <w:sz w:val="16"/>
          <w:szCs w:val="16"/>
        </w:rPr>
        <w:t>Пирнер</w:t>
      </w:r>
      <w:proofErr w:type="spellEnd"/>
      <w:r w:rsidRPr="00A259BD">
        <w:rPr>
          <w:rFonts w:ascii="Times New Roman" w:hAnsi="Times New Roman"/>
          <w:color w:val="000000" w:themeColor="text1"/>
          <w:sz w:val="16"/>
          <w:szCs w:val="16"/>
        </w:rPr>
        <w:t xml:space="preserve"> (испытательное отделение), капитан Фр. </w:t>
      </w:r>
      <w:proofErr w:type="spellStart"/>
      <w:r w:rsidRPr="00A259BD">
        <w:rPr>
          <w:rFonts w:ascii="Times New Roman" w:hAnsi="Times New Roman"/>
          <w:color w:val="000000" w:themeColor="text1"/>
          <w:sz w:val="16"/>
          <w:szCs w:val="16"/>
        </w:rPr>
        <w:t>Кюн</w:t>
      </w:r>
      <w:proofErr w:type="spellEnd"/>
      <w:r w:rsidRPr="00A259BD">
        <w:rPr>
          <w:rFonts w:ascii="Times New Roman" w:hAnsi="Times New Roman"/>
          <w:color w:val="000000" w:themeColor="text1"/>
          <w:sz w:val="16"/>
          <w:szCs w:val="16"/>
        </w:rPr>
        <w:t xml:space="preserve"> (учебные курсы) и лейтенант </w:t>
      </w:r>
      <w:proofErr w:type="spellStart"/>
      <w:r w:rsidRPr="00A259BD">
        <w:rPr>
          <w:rFonts w:ascii="Times New Roman" w:hAnsi="Times New Roman"/>
          <w:color w:val="000000" w:themeColor="text1"/>
          <w:sz w:val="16"/>
          <w:szCs w:val="16"/>
        </w:rPr>
        <w:t>Бернарди</w:t>
      </w:r>
      <w:proofErr w:type="spellEnd"/>
      <w:r w:rsidRPr="00A259BD">
        <w:rPr>
          <w:rFonts w:ascii="Times New Roman" w:hAnsi="Times New Roman"/>
          <w:color w:val="000000" w:themeColor="text1"/>
          <w:sz w:val="16"/>
          <w:szCs w:val="16"/>
        </w:rPr>
        <w:t xml:space="preserve"> (переводчик). На постоянной основе в Казани работали инженеры фирм «Крупп»,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xml:space="preserve">», «Даймлер-Бенц», разрабатывавших первые немецкие танки. Материальной базой сначала служили шесть танков, поставленные «Крупном» по соглашению, заключенному в Москве в мае 1929г. В мае 1930 г. в школу прибыли еще четыре легких танка (два танка фирмы «Даймлер-Бенц» и два английских танка фирмы «Карден-Ллойд»). Начальником танковой школы был немец: в 1929 г. — подполковник В. </w:t>
      </w:r>
      <w:proofErr w:type="spellStart"/>
      <w:r w:rsidRPr="00A259BD">
        <w:rPr>
          <w:rFonts w:ascii="Times New Roman" w:hAnsi="Times New Roman"/>
          <w:color w:val="000000" w:themeColor="text1"/>
          <w:sz w:val="16"/>
          <w:szCs w:val="16"/>
        </w:rPr>
        <w:t>Мальбрандт</w:t>
      </w:r>
      <w:proofErr w:type="spellEnd"/>
      <w:r w:rsidRPr="00A259BD">
        <w:rPr>
          <w:rFonts w:ascii="Times New Roman" w:hAnsi="Times New Roman"/>
          <w:color w:val="000000" w:themeColor="text1"/>
          <w:sz w:val="16"/>
          <w:szCs w:val="16"/>
        </w:rPr>
        <w:t xml:space="preserve"> (директор </w:t>
      </w:r>
      <w:proofErr w:type="spellStart"/>
      <w:r w:rsidRPr="00A259BD">
        <w:rPr>
          <w:rFonts w:ascii="Times New Roman" w:hAnsi="Times New Roman"/>
          <w:color w:val="000000" w:themeColor="text1"/>
          <w:sz w:val="16"/>
          <w:szCs w:val="16"/>
        </w:rPr>
        <w:t>Маркарт</w:t>
      </w:r>
      <w:proofErr w:type="spellEnd"/>
      <w:r w:rsidRPr="00A259BD">
        <w:rPr>
          <w:rFonts w:ascii="Times New Roman" w:hAnsi="Times New Roman"/>
          <w:color w:val="000000" w:themeColor="text1"/>
          <w:sz w:val="16"/>
          <w:szCs w:val="16"/>
        </w:rPr>
        <w:t xml:space="preserve">), в 1929 — 1932гг. — Л. Риттер фон </w:t>
      </w:r>
      <w:proofErr w:type="spellStart"/>
      <w:r w:rsidRPr="00A259BD">
        <w:rPr>
          <w:rFonts w:ascii="Times New Roman" w:hAnsi="Times New Roman"/>
          <w:color w:val="000000" w:themeColor="text1"/>
          <w:sz w:val="16"/>
          <w:szCs w:val="16"/>
        </w:rPr>
        <w:t>Радльмайер</w:t>
      </w:r>
      <w:proofErr w:type="spellEnd"/>
      <w:r w:rsidRPr="00A259BD">
        <w:rPr>
          <w:rFonts w:ascii="Times New Roman" w:hAnsi="Times New Roman"/>
          <w:color w:val="000000" w:themeColor="text1"/>
          <w:sz w:val="16"/>
          <w:szCs w:val="16"/>
        </w:rPr>
        <w:t xml:space="preserve"> (директор </w:t>
      </w:r>
      <w:proofErr w:type="spellStart"/>
      <w:r w:rsidRPr="00A259BD">
        <w:rPr>
          <w:rFonts w:ascii="Times New Roman" w:hAnsi="Times New Roman"/>
          <w:color w:val="000000" w:themeColor="text1"/>
          <w:sz w:val="16"/>
          <w:szCs w:val="16"/>
        </w:rPr>
        <w:t>Раабе</w:t>
      </w:r>
      <w:proofErr w:type="spellEnd"/>
      <w:r w:rsidRPr="00A259BD">
        <w:rPr>
          <w:rFonts w:ascii="Times New Roman" w:hAnsi="Times New Roman"/>
          <w:color w:val="000000" w:themeColor="text1"/>
          <w:sz w:val="16"/>
          <w:szCs w:val="16"/>
        </w:rPr>
        <w:t>), в 1932 — 1933гг. — полковник И. Харпе (директор Хаккер) (</w:t>
      </w:r>
      <w:proofErr w:type="spellStart"/>
      <w:r w:rsidRPr="00A259BD">
        <w:rPr>
          <w:rFonts w:ascii="Times New Roman" w:hAnsi="Times New Roman"/>
          <w:color w:val="000000" w:themeColor="text1"/>
          <w:sz w:val="16"/>
          <w:szCs w:val="16"/>
        </w:rPr>
        <w:t>Walter</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Nehring</w:t>
      </w:r>
      <w:proofErr w:type="spellEnd"/>
      <w:r w:rsidRPr="00A259BD">
        <w:rPr>
          <w:rFonts w:ascii="Times New Roman" w:hAnsi="Times New Roman"/>
          <w:color w:val="000000" w:themeColor="text1"/>
          <w:sz w:val="16"/>
          <w:szCs w:val="16"/>
        </w:rPr>
        <w:t xml:space="preserve">. Die </w:t>
      </w:r>
      <w:proofErr w:type="spellStart"/>
      <w:r w:rsidRPr="00A259BD">
        <w:rPr>
          <w:rFonts w:ascii="Times New Roman" w:hAnsi="Times New Roman"/>
          <w:color w:val="000000" w:themeColor="text1"/>
          <w:sz w:val="16"/>
          <w:szCs w:val="16"/>
        </w:rPr>
        <w:t>Geschichte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der</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deutschen</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Panzerwaffe</w:t>
      </w:r>
      <w:proofErr w:type="spellEnd"/>
      <w:r w:rsidRPr="00A259BD">
        <w:rPr>
          <w:rFonts w:ascii="Times New Roman" w:hAnsi="Times New Roman"/>
          <w:color w:val="000000" w:themeColor="text1"/>
          <w:sz w:val="16"/>
          <w:szCs w:val="16"/>
        </w:rPr>
        <w:t xml:space="preserve"> 1916 </w:t>
      </w:r>
      <w:proofErr w:type="spellStart"/>
      <w:r w:rsidRPr="00A259BD">
        <w:rPr>
          <w:rFonts w:ascii="Times New Roman" w:hAnsi="Times New Roman"/>
          <w:color w:val="000000" w:themeColor="text1"/>
          <w:sz w:val="16"/>
          <w:szCs w:val="16"/>
        </w:rPr>
        <w:t>bis</w:t>
      </w:r>
      <w:proofErr w:type="spellEnd"/>
      <w:r w:rsidRPr="00A259BD">
        <w:rPr>
          <w:rFonts w:ascii="Times New Roman" w:hAnsi="Times New Roman"/>
          <w:color w:val="000000" w:themeColor="text1"/>
          <w:sz w:val="16"/>
          <w:szCs w:val="16"/>
        </w:rPr>
        <w:t xml:space="preserve"> 1945 Berlin, 1969. S. 11.). Он подчиняйся руководству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в лице руководителя «Центра Москва» и ВИКО Лит-</w:t>
      </w:r>
      <w:proofErr w:type="spellStart"/>
      <w:r w:rsidRPr="00A259BD">
        <w:rPr>
          <w:rFonts w:ascii="Times New Roman" w:hAnsi="Times New Roman"/>
          <w:color w:val="000000" w:themeColor="text1"/>
          <w:sz w:val="16"/>
          <w:szCs w:val="16"/>
        </w:rPr>
        <w:t>Томзена</w:t>
      </w:r>
      <w:proofErr w:type="spellEnd"/>
      <w:r w:rsidRPr="00A259BD">
        <w:rPr>
          <w:rFonts w:ascii="Times New Roman" w:hAnsi="Times New Roman"/>
          <w:color w:val="000000" w:themeColor="text1"/>
          <w:sz w:val="16"/>
          <w:szCs w:val="16"/>
        </w:rPr>
        <w:t xml:space="preserve"> и руководил административно-хозяйственной, учебно-строевой жизнью школы. В распоряжение начальника школы был выделен штатный помощник — комбриг Ерошенко, подчинявшийся советским инстанциям. В его функции входило оказание помощи немцам при решении всех текущих задач, а также урегулирование вопросов, связанных с работой и учебой в школе советского персонала. Затраты на 1929 г для немецкой стороны составили 1,5 млн. м., в 1930 г. — 1. 24 млн. м. Занятия в танковой школе проходили планомерно в соответствии с учебной программой. Одновременно на курсах школы обучалось не более 12 немцев. Учеба продолжалась довольно долго. Два года в летнее время в России проходила практическая подготовка танкистов и одну зиму в Берлине — теоретические занятия. Каждый немецкий курсант осваивал навыки и механика-водителя, и командира танка, и радиста, и наводчика орудия. В 1929/30 гг. курсы закончили 10 немецких офицеров, в 1931/32 гг. — 11 и в 1933 г. — 9, то есть всего 30 человек. Некоторые из выпускников «Казани» стали впоследствии генералами, воевали на восточном фронте в годы второй мировой войны. Это В. </w:t>
      </w:r>
      <w:proofErr w:type="spellStart"/>
      <w:r w:rsidRPr="00A259BD">
        <w:rPr>
          <w:rFonts w:ascii="Times New Roman" w:hAnsi="Times New Roman"/>
          <w:color w:val="000000" w:themeColor="text1"/>
          <w:sz w:val="16"/>
          <w:szCs w:val="16"/>
        </w:rPr>
        <w:t>Томале</w:t>
      </w:r>
      <w:proofErr w:type="spellEnd"/>
      <w:r w:rsidRPr="00A259BD">
        <w:rPr>
          <w:rFonts w:ascii="Times New Roman" w:hAnsi="Times New Roman"/>
          <w:color w:val="000000" w:themeColor="text1"/>
          <w:sz w:val="16"/>
          <w:szCs w:val="16"/>
        </w:rPr>
        <w:t xml:space="preserve">, Фр. </w:t>
      </w:r>
      <w:proofErr w:type="spellStart"/>
      <w:r w:rsidRPr="00A259BD">
        <w:rPr>
          <w:rFonts w:ascii="Times New Roman" w:hAnsi="Times New Roman"/>
          <w:color w:val="000000" w:themeColor="text1"/>
          <w:sz w:val="16"/>
          <w:szCs w:val="16"/>
        </w:rPr>
        <w:t>Кюн</w:t>
      </w:r>
      <w:proofErr w:type="spellEnd"/>
      <w:r w:rsidRPr="00A259BD">
        <w:rPr>
          <w:rFonts w:ascii="Times New Roman" w:hAnsi="Times New Roman"/>
          <w:color w:val="000000" w:themeColor="text1"/>
          <w:sz w:val="16"/>
          <w:szCs w:val="16"/>
        </w:rPr>
        <w:t xml:space="preserve">, начальники школы Л. Р. фон </w:t>
      </w:r>
      <w:proofErr w:type="spellStart"/>
      <w:r w:rsidRPr="00A259BD">
        <w:rPr>
          <w:rFonts w:ascii="Times New Roman" w:hAnsi="Times New Roman"/>
          <w:color w:val="000000" w:themeColor="text1"/>
          <w:sz w:val="16"/>
          <w:szCs w:val="16"/>
        </w:rPr>
        <w:t>Радльмайер</w:t>
      </w:r>
      <w:proofErr w:type="spellEnd"/>
      <w:r w:rsidRPr="00A259BD">
        <w:rPr>
          <w:rFonts w:ascii="Times New Roman" w:hAnsi="Times New Roman"/>
          <w:color w:val="000000" w:themeColor="text1"/>
          <w:sz w:val="16"/>
          <w:szCs w:val="16"/>
        </w:rPr>
        <w:t xml:space="preserve">, Ю. Харпе. За этот же период (1929 — 1931 гг. ) на курсах ТЕКО прошло обучение 65 советских офицеров. Это были строевые командиры танковых и мотомеханизированных частей РККА, преподаватели бронетанковых вузов и инженеры (танкисты, артиллеристы, радисты). В отличие от немецких курсантов их состав менялся ежегодно. Москва, учитывая важность непосредственного соприкосновения с иностранным опытом, старалась пропустить через школу максимальное количество курсантов. Так, летом 1932 г. на тактических занятиях с использованием трех танковых взводов РККА участвовало 100 человек. Тогда в Казани с инспекцией находился куратор школы, начальник инспекции № 6 генерал О. Лутц, его сопровождал знаменитый впоследствии X. Гудериан. В мае 1933 г. Гудериан в составе делегации </w:t>
      </w:r>
      <w:proofErr w:type="spellStart"/>
      <w:r w:rsidRPr="00A259BD">
        <w:rPr>
          <w:rFonts w:ascii="Times New Roman" w:hAnsi="Times New Roman"/>
          <w:color w:val="000000" w:themeColor="text1"/>
          <w:sz w:val="16"/>
          <w:szCs w:val="16"/>
        </w:rPr>
        <w:t>Боккельберга</w:t>
      </w:r>
      <w:proofErr w:type="spellEnd"/>
      <w:r w:rsidRPr="00A259BD">
        <w:rPr>
          <w:rFonts w:ascii="Times New Roman" w:hAnsi="Times New Roman"/>
          <w:color w:val="000000" w:themeColor="text1"/>
          <w:sz w:val="16"/>
          <w:szCs w:val="16"/>
        </w:rPr>
        <w:t xml:space="preserve"> вторично посетил СССР. Он осматривал тракторное и танковое производство в Харькове. Для проведения строевых и тактических занятий и одновременно испытания техники в распоряжение ТЕКО была выделена рота в составе двух взводов танкеток Т-27 и одного взвода танков МС-1. Немцам было предложено в порядке компенсации привезти из Германии новый 3-тонный танк и 8-колесную плавающую бронемашину, что и было сделано (11784).</w:t>
      </w:r>
    </w:p>
    <w:p w14:paraId="1E980F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84B2E4" w14:textId="77777777" w:rsidR="005B30EF"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FCFB5A2" w14:textId="77777777" w:rsidR="005B30EF" w:rsidRPr="00A259BD" w:rsidRDefault="005B30E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E77FBC4" w14:textId="77777777" w:rsidR="005B30EF" w:rsidRPr="00A259BD" w:rsidRDefault="005B30EF"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15 июня</w:t>
      </w:r>
      <w:r w:rsidRPr="00A259BD">
        <w:rPr>
          <w:rFonts w:ascii="Times New Roman" w:hAnsi="Times New Roman"/>
          <w:color w:val="000000" w:themeColor="text1"/>
          <w:sz w:val="16"/>
          <w:szCs w:val="16"/>
        </w:rPr>
        <w:t xml:space="preserve"> в 1929 году впервые поднялась в воздух дальняя летающая лодка </w:t>
      </w:r>
      <w:hyperlink r:id="rId63" w:tgtFrame="_blank" w:history="1">
        <w:r w:rsidRPr="00A259BD">
          <w:rPr>
            <w:rFonts w:ascii="Times New Roman" w:hAnsi="Times New Roman"/>
            <w:color w:val="000000" w:themeColor="text1"/>
            <w:sz w:val="16"/>
            <w:szCs w:val="16"/>
          </w:rPr>
          <w:t>«Ca.87» «</w:t>
        </w:r>
        <w:proofErr w:type="spellStart"/>
        <w:r w:rsidRPr="00A259BD">
          <w:rPr>
            <w:rFonts w:ascii="Times New Roman" w:hAnsi="Times New Roman"/>
            <w:color w:val="000000" w:themeColor="text1"/>
            <w:sz w:val="16"/>
            <w:szCs w:val="16"/>
          </w:rPr>
          <w:t>Polonia</w:t>
        </w:r>
        <w:proofErr w:type="spellEnd"/>
        <w:r w:rsidRPr="00A259BD">
          <w:rPr>
            <w:rFonts w:ascii="Times New Roman" w:hAnsi="Times New Roman"/>
            <w:color w:val="000000" w:themeColor="text1"/>
            <w:sz w:val="16"/>
            <w:szCs w:val="16"/>
          </w:rPr>
          <w:t xml:space="preserve">». </w:t>
        </w:r>
      </w:hyperlink>
      <w:r w:rsidRPr="00A259BD">
        <w:rPr>
          <w:rFonts w:ascii="Times New Roman" w:hAnsi="Times New Roman"/>
          <w:color w:val="000000" w:themeColor="text1"/>
          <w:sz w:val="16"/>
          <w:szCs w:val="16"/>
        </w:rPr>
        <w:t xml:space="preserve">В 1927 году среди польских эмигрантов в США родилась идея об организации польского перелета через Атлантику. В итоге лично итальянский инженер </w:t>
      </w:r>
      <w:proofErr w:type="spellStart"/>
      <w:r w:rsidRPr="00A259BD">
        <w:rPr>
          <w:rFonts w:ascii="Times New Roman" w:hAnsi="Times New Roman"/>
          <w:color w:val="000000" w:themeColor="text1"/>
          <w:sz w:val="16"/>
          <w:szCs w:val="16"/>
        </w:rPr>
        <w:t>Капрони</w:t>
      </w:r>
      <w:proofErr w:type="spellEnd"/>
      <w:r w:rsidRPr="00A259BD">
        <w:rPr>
          <w:rFonts w:ascii="Times New Roman" w:hAnsi="Times New Roman"/>
          <w:color w:val="000000" w:themeColor="text1"/>
          <w:sz w:val="16"/>
          <w:szCs w:val="16"/>
        </w:rPr>
        <w:t xml:space="preserve"> передал один ночной бомбардировщик «Ca-73ter» («Ca-82»), на базе которого и решили построить трансатлантический самолет «Ca-87». Прежде всего самолет переделали для возможной посадки на воду. Однако новые двигатели «</w:t>
      </w:r>
      <w:proofErr w:type="spellStart"/>
      <w:r w:rsidRPr="00A259BD">
        <w:rPr>
          <w:rFonts w:ascii="Times New Roman" w:hAnsi="Times New Roman"/>
          <w:color w:val="000000" w:themeColor="text1"/>
          <w:sz w:val="16"/>
          <w:szCs w:val="16"/>
        </w:rPr>
        <w:t>Isotta</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Fraschini</w:t>
      </w:r>
      <w:proofErr w:type="spellEnd"/>
      <w:r w:rsidRPr="00A259BD">
        <w:rPr>
          <w:rFonts w:ascii="Times New Roman" w:hAnsi="Times New Roman"/>
          <w:color w:val="000000" w:themeColor="text1"/>
          <w:sz w:val="16"/>
          <w:szCs w:val="16"/>
        </w:rPr>
        <w:t>» работали с перебоями и сразу после взлета от дальнейшего пути отказались. Самолет вернули итальянской фирме, где его переоборудовали в бомбардировщик (14923).</w:t>
      </w:r>
    </w:p>
    <w:p w14:paraId="1C0267F8" w14:textId="77777777" w:rsidR="005B30EF" w:rsidRPr="00A259BD" w:rsidRDefault="005B30EF" w:rsidP="009236E3">
      <w:pPr>
        <w:spacing w:after="0" w:line="240" w:lineRule="auto"/>
        <w:jc w:val="both"/>
        <w:rPr>
          <w:rFonts w:ascii="Times New Roman" w:hAnsi="Times New Roman"/>
          <w:color w:val="000000" w:themeColor="text1"/>
          <w:sz w:val="16"/>
          <w:szCs w:val="16"/>
        </w:rPr>
      </w:pPr>
    </w:p>
    <w:p w14:paraId="235B5FC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376F2A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468B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июня 1929 г. помощник начальника ВВС Красной армии Я.И. Алкснис издал приказ о проведении государственных испытаний РОМ-1, РОМ-2 и МР-5. Одновременно для опре</w:t>
      </w:r>
      <w:r w:rsidRPr="00A259BD">
        <w:rPr>
          <w:rFonts w:ascii="Times New Roman" w:hAnsi="Times New Roman"/>
          <w:color w:val="000000" w:themeColor="text1"/>
          <w:sz w:val="16"/>
          <w:szCs w:val="16"/>
        </w:rPr>
        <w:softHyphen/>
        <w:t>деления дальнейшей судьбы этих самолетов организовали комиссию под председатель</w:t>
      </w:r>
      <w:r w:rsidRPr="00A259BD">
        <w:rPr>
          <w:rFonts w:ascii="Times New Roman" w:hAnsi="Times New Roman"/>
          <w:color w:val="000000" w:themeColor="text1"/>
          <w:sz w:val="16"/>
          <w:szCs w:val="16"/>
        </w:rPr>
        <w:softHyphen/>
        <w:t xml:space="preserve">ством начальника ВВС Черного моря В.К. Лаврова. В состав комиссии вошли постоянный член НТК Н.М. Тулупов и инженер К.Н. </w:t>
      </w:r>
      <w:proofErr w:type="spellStart"/>
      <w:r w:rsidRPr="00A259BD">
        <w:rPr>
          <w:rFonts w:ascii="Times New Roman" w:hAnsi="Times New Roman"/>
          <w:color w:val="000000" w:themeColor="text1"/>
          <w:sz w:val="16"/>
          <w:szCs w:val="16"/>
        </w:rPr>
        <w:t>Ганулич</w:t>
      </w:r>
      <w:proofErr w:type="spellEnd"/>
      <w:r w:rsidRPr="00A259BD">
        <w:rPr>
          <w:rFonts w:ascii="Times New Roman" w:hAnsi="Times New Roman"/>
          <w:color w:val="000000" w:themeColor="text1"/>
          <w:sz w:val="16"/>
          <w:szCs w:val="16"/>
        </w:rPr>
        <w:t xml:space="preserve"> (11978).</w:t>
      </w:r>
    </w:p>
    <w:p w14:paraId="7E66D5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121848" w14:textId="77777777" w:rsidR="00077238" w:rsidRPr="00A259BD" w:rsidRDefault="00077238"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17 июня 1929 г. помощник начальника ВВС Красной Армии Я.И. Алкснис издал приказ о проведении государ</w:t>
      </w:r>
      <w:r w:rsidRPr="00A259BD">
        <w:rPr>
          <w:rFonts w:ascii="Times New Roman" w:cs="Times New Roman"/>
          <w:color w:val="000000" w:themeColor="text1"/>
          <w:sz w:val="16"/>
          <w:szCs w:val="16"/>
        </w:rPr>
        <w:softHyphen/>
        <w:t>ственных испытаний РОМ-1, РОМ-2 и МР-5 (12609).</w:t>
      </w:r>
    </w:p>
    <w:p w14:paraId="333A613E" w14:textId="77777777" w:rsidR="00077238" w:rsidRPr="00A259BD" w:rsidRDefault="00077238" w:rsidP="009236E3">
      <w:pPr>
        <w:pStyle w:val="45"/>
        <w:shd w:val="clear" w:color="auto" w:fill="auto"/>
        <w:spacing w:before="0" w:line="240" w:lineRule="auto"/>
        <w:jc w:val="both"/>
        <w:rPr>
          <w:rFonts w:ascii="Times New Roman" w:cs="Times New Roman"/>
          <w:color w:val="000000" w:themeColor="text1"/>
          <w:sz w:val="16"/>
          <w:szCs w:val="16"/>
        </w:rPr>
      </w:pPr>
    </w:p>
    <w:p w14:paraId="61B14E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июня 1929 состоялось техническое совещание руководителей групп отдела АГОС по АНТ-8 (1077,154).</w:t>
      </w:r>
    </w:p>
    <w:p w14:paraId="6A13FF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3B2D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июня 1929 завод 25 с письмом N 918с выслал в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сметные соображения по трехлетнему плану опытного строительства по запросу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от 4 июня 1929. Согласно 3-х летнего плана заводу 25 надлежало начать проектирование новых самолетов:</w:t>
      </w:r>
    </w:p>
    <w:p w14:paraId="2557E6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 июня 1929 - И-17 М-17Э и У-2 на поплавках</w:t>
      </w:r>
    </w:p>
    <w:p w14:paraId="383AAF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 августа 1929 - ИК-1 2М-17</w:t>
      </w:r>
    </w:p>
    <w:p w14:paraId="3E6CBE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 октября 1929 - НД-2 М-17Э (2365).</w:t>
      </w:r>
    </w:p>
    <w:p w14:paraId="6CE6B2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6B9D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июня 1929 </w:t>
      </w:r>
      <w:proofErr w:type="spellStart"/>
      <w:r w:rsidRPr="00A259BD">
        <w:rPr>
          <w:rFonts w:ascii="Times New Roman" w:hAnsi="Times New Roman"/>
          <w:color w:val="000000" w:themeColor="text1"/>
          <w:sz w:val="16"/>
          <w:szCs w:val="16"/>
        </w:rPr>
        <w:t>Н.И.Камов</w:t>
      </w:r>
      <w:proofErr w:type="spellEnd"/>
      <w:r w:rsidRPr="00A259BD">
        <w:rPr>
          <w:rFonts w:ascii="Times New Roman" w:hAnsi="Times New Roman"/>
          <w:color w:val="000000" w:themeColor="text1"/>
          <w:sz w:val="16"/>
          <w:szCs w:val="16"/>
        </w:rPr>
        <w:t xml:space="preserve"> писал </w:t>
      </w:r>
      <w:proofErr w:type="spellStart"/>
      <w:r w:rsidRPr="00A259BD">
        <w:rPr>
          <w:rFonts w:ascii="Times New Roman" w:hAnsi="Times New Roman"/>
          <w:color w:val="000000" w:themeColor="text1"/>
          <w:sz w:val="16"/>
          <w:szCs w:val="16"/>
        </w:rPr>
        <w:t>П.И.Баранову</w:t>
      </w:r>
      <w:proofErr w:type="spellEnd"/>
      <w:r w:rsidRPr="00A259BD">
        <w:rPr>
          <w:rFonts w:ascii="Times New Roman" w:hAnsi="Times New Roman"/>
          <w:color w:val="000000" w:themeColor="text1"/>
          <w:sz w:val="16"/>
          <w:szCs w:val="16"/>
        </w:rPr>
        <w:t xml:space="preserve">, что он и </w:t>
      </w:r>
      <w:proofErr w:type="spellStart"/>
      <w:r w:rsidRPr="00A259BD">
        <w:rPr>
          <w:rFonts w:ascii="Times New Roman" w:hAnsi="Times New Roman"/>
          <w:color w:val="000000" w:themeColor="text1"/>
          <w:sz w:val="16"/>
          <w:szCs w:val="16"/>
        </w:rPr>
        <w:t>Скржинский</w:t>
      </w:r>
      <w:proofErr w:type="spellEnd"/>
      <w:r w:rsidRPr="00A259BD">
        <w:rPr>
          <w:rFonts w:ascii="Times New Roman" w:hAnsi="Times New Roman"/>
          <w:color w:val="000000" w:themeColor="text1"/>
          <w:sz w:val="16"/>
          <w:szCs w:val="16"/>
        </w:rPr>
        <w:t>: “считали необходимым закончить испытания (КАСКР-1) в текущем году... иначе смысл всех наших работ пропадает. Отложить на год испытания равносильно тому, что поставить крест на всей нашей работе.</w:t>
      </w:r>
    </w:p>
    <w:p w14:paraId="608B91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Тогда зачем было ломать головы и сидеть по 15 часов ежедневно?...Мы хотели бы Вам еще напомнить... что результаты исследований могут быть и неудовлетворительными, и мы должны будем еще в этом году исправить все могущие быть в первой конструкции ошибки.” (8320,19).</w:t>
      </w:r>
    </w:p>
    <w:p w14:paraId="655B49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28424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июня 1929 года Камов пишет Баранову:</w:t>
      </w:r>
    </w:p>
    <w:p w14:paraId="75848D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“Уважаемый Петр Ионович! Плачевное состояние хода работ по пост</w:t>
      </w:r>
      <w:r w:rsidRPr="00A259BD">
        <w:rPr>
          <w:rFonts w:ascii="Times New Roman" w:hAnsi="Times New Roman"/>
          <w:color w:val="000000" w:themeColor="text1"/>
          <w:sz w:val="16"/>
          <w:szCs w:val="16"/>
        </w:rPr>
        <w:softHyphen/>
        <w:t>ройке вертолета заставляет нас снова обратиться к Вам за советом и по</w:t>
      </w:r>
      <w:r w:rsidRPr="00A259BD">
        <w:rPr>
          <w:rFonts w:ascii="Times New Roman" w:hAnsi="Times New Roman"/>
          <w:color w:val="000000" w:themeColor="text1"/>
          <w:sz w:val="16"/>
          <w:szCs w:val="16"/>
        </w:rPr>
        <w:softHyphen/>
        <w:t>мощью. Дело в том, что когда мы начали проектировать осенью прошлого года машину (1 ноября), то мы представляли программу работ так:</w:t>
      </w:r>
    </w:p>
    <w:p w14:paraId="792594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ноября 1928 г. — 1 мая 1929 г. — Проектирование.</w:t>
      </w:r>
    </w:p>
    <w:p w14:paraId="31C9860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апреля 1929 г. — 15 июля 1929 г. — Постройка.</w:t>
      </w:r>
    </w:p>
    <w:p w14:paraId="1B26F4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июля 1929 г. — 15 сентября 1929 г. — Испытания.</w:t>
      </w:r>
    </w:p>
    <w:p w14:paraId="4078598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 мы считали необходимым закончить испытания в текущем году. Иначе смысл всех наших работ пропадает. Отложить на год испыта</w:t>
      </w:r>
      <w:r w:rsidRPr="00A259BD">
        <w:rPr>
          <w:rFonts w:ascii="Times New Roman" w:hAnsi="Times New Roman"/>
          <w:color w:val="000000" w:themeColor="text1"/>
          <w:sz w:val="16"/>
          <w:szCs w:val="16"/>
        </w:rPr>
        <w:softHyphen/>
        <w:t>ния равносильно тому, чтобы поставить крест над всей нашей рабо</w:t>
      </w:r>
      <w:r w:rsidRPr="00A259BD">
        <w:rPr>
          <w:rFonts w:ascii="Times New Roman" w:hAnsi="Times New Roman"/>
          <w:color w:val="000000" w:themeColor="text1"/>
          <w:sz w:val="16"/>
          <w:szCs w:val="16"/>
        </w:rPr>
        <w:softHyphen/>
        <w:t>той. Тогда зачем было ломать головы и сидеть по 15 часов ежедневно? Охота работать пропадет окончательно, если мы убедимся, что пост</w:t>
      </w:r>
      <w:r w:rsidRPr="00A259BD">
        <w:rPr>
          <w:rFonts w:ascii="Times New Roman" w:hAnsi="Times New Roman"/>
          <w:color w:val="000000" w:themeColor="text1"/>
          <w:sz w:val="16"/>
          <w:szCs w:val="16"/>
        </w:rPr>
        <w:softHyphen/>
        <w:t xml:space="preserve">ройку на заводе № 39 добрые люди затянут на 3 месяца. А дело идет к этому. Еще неделю тому назад я был доволен развившемуся темпу, благодаря нашим настойчивым просьбам и внимательному отношению </w:t>
      </w:r>
      <w:proofErr w:type="spellStart"/>
      <w:r w:rsidRPr="00A259BD">
        <w:rPr>
          <w:rFonts w:ascii="Times New Roman" w:hAnsi="Times New Roman"/>
          <w:color w:val="000000" w:themeColor="text1"/>
          <w:sz w:val="16"/>
          <w:szCs w:val="16"/>
        </w:rPr>
        <w:t>дир</w:t>
      </w:r>
      <w:proofErr w:type="spellEnd"/>
      <w:r w:rsidRPr="00A259BD">
        <w:rPr>
          <w:rFonts w:ascii="Times New Roman" w:hAnsi="Times New Roman"/>
          <w:color w:val="000000" w:themeColor="text1"/>
          <w:sz w:val="16"/>
          <w:szCs w:val="16"/>
        </w:rPr>
        <w:t>. зав. тов. Евстигнеева. Три дня тому назад возвратившийся из от</w:t>
      </w:r>
      <w:r w:rsidRPr="00A259BD">
        <w:rPr>
          <w:rFonts w:ascii="Times New Roman" w:hAnsi="Times New Roman"/>
          <w:color w:val="000000" w:themeColor="text1"/>
          <w:sz w:val="16"/>
          <w:szCs w:val="16"/>
        </w:rPr>
        <w:softHyphen/>
        <w:t>пуска тов. Орловский объявил, что ввиду того, что наша машина не входит в план работ по военным заказам, ее изготовление не является срочным и ввиду некоторых внутренних неувязок работы временно при</w:t>
      </w:r>
      <w:r w:rsidRPr="00A259BD">
        <w:rPr>
          <w:rFonts w:ascii="Times New Roman" w:hAnsi="Times New Roman"/>
          <w:color w:val="000000" w:themeColor="text1"/>
          <w:sz w:val="16"/>
          <w:szCs w:val="16"/>
        </w:rPr>
        <w:softHyphen/>
        <w:t>останавливаются...</w:t>
      </w:r>
    </w:p>
    <w:p w14:paraId="640EE1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...очень просим Бас помочь нам сделать так, чтобы через месяц мы мог</w:t>
      </w:r>
      <w:r w:rsidRPr="00A259BD">
        <w:rPr>
          <w:rFonts w:ascii="Times New Roman" w:hAnsi="Times New Roman"/>
          <w:color w:val="000000" w:themeColor="text1"/>
          <w:sz w:val="16"/>
          <w:szCs w:val="16"/>
        </w:rPr>
        <w:softHyphen/>
        <w:t>ли бы иметь машину...” (10224,26).</w:t>
      </w:r>
    </w:p>
    <w:p w14:paraId="29E880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92E48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9560B9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506DB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июня 1929 г. Пермскому заводу был выдан заказ на разработку рабочих чертежей 122-мм нарезной пушки на изготовление одной пушки с двумя стволами, передком и ствольной повозкой (3861).</w:t>
      </w:r>
    </w:p>
    <w:p w14:paraId="632EC3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1665E6" w14:textId="77777777" w:rsidR="00077238" w:rsidRPr="00A259BD" w:rsidRDefault="0007723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июня 1929 г. Пермскому орудийному заводу — ПОЗ (впоследствии: «Мотовилихинский машиностроительный завод» (ММЗ), «Машиностроительный завод имени </w:t>
      </w:r>
      <w:proofErr w:type="spellStart"/>
      <w:r w:rsidRPr="00A259BD">
        <w:rPr>
          <w:rFonts w:ascii="Times New Roman" w:hAnsi="Times New Roman"/>
          <w:color w:val="000000" w:themeColor="text1"/>
          <w:sz w:val="16"/>
          <w:szCs w:val="16"/>
        </w:rPr>
        <w:t>В.М.Молотова</w:t>
      </w:r>
      <w:proofErr w:type="spellEnd"/>
      <w:r w:rsidRPr="00A259BD">
        <w:rPr>
          <w:rFonts w:ascii="Times New Roman" w:hAnsi="Times New Roman"/>
          <w:color w:val="000000" w:themeColor="text1"/>
          <w:sz w:val="16"/>
          <w:szCs w:val="16"/>
        </w:rPr>
        <w:t xml:space="preserve">» (МЗМ), завод № 172 им. </w:t>
      </w:r>
      <w:proofErr w:type="spellStart"/>
      <w:r w:rsidRPr="00A259BD">
        <w:rPr>
          <w:rFonts w:ascii="Times New Roman" w:hAnsi="Times New Roman"/>
          <w:color w:val="000000" w:themeColor="text1"/>
          <w:sz w:val="16"/>
          <w:szCs w:val="16"/>
        </w:rPr>
        <w:t>В.М.Молотова</w:t>
      </w:r>
      <w:proofErr w:type="spellEnd"/>
      <w:r w:rsidRPr="00A259BD">
        <w:rPr>
          <w:rFonts w:ascii="Times New Roman" w:hAnsi="Times New Roman"/>
          <w:color w:val="000000" w:themeColor="text1"/>
          <w:sz w:val="16"/>
          <w:szCs w:val="16"/>
        </w:rPr>
        <w:t xml:space="preserve">, «Пермский машиностроительный завод им. </w:t>
      </w:r>
      <w:proofErr w:type="spellStart"/>
      <w:r w:rsidRPr="00A259BD">
        <w:rPr>
          <w:rFonts w:ascii="Times New Roman" w:hAnsi="Times New Roman"/>
          <w:color w:val="000000" w:themeColor="text1"/>
          <w:sz w:val="16"/>
          <w:szCs w:val="16"/>
        </w:rPr>
        <w:t>В.И.Ленина</w:t>
      </w:r>
      <w:proofErr w:type="spellEnd"/>
      <w:r w:rsidRPr="00A259BD">
        <w:rPr>
          <w:rFonts w:ascii="Times New Roman" w:hAnsi="Times New Roman"/>
          <w:color w:val="000000" w:themeColor="text1"/>
          <w:sz w:val="16"/>
          <w:szCs w:val="16"/>
        </w:rPr>
        <w:t>», ОАО «Мотовилихинские заводы» (МЗ)) был выдан заказ на разработку рабочих чертежей и изготовление опытного образца 122-мм корпусной пушки. Новая 122-мм корпусная пушка предназначалась для контрбатарейной борьбы, для нарушения управления войсками противника, подавления его тылов, препятствуя подходу резервов, подвозу боеприпасов, продовольствия и т.д. Однако проектирование, вероятно, осуществлено не было. По какой причине - неизвестно. Скорее всего виной тому отсутствие квалифицированных кадров и послевоенная разруха.</w:t>
      </w:r>
    </w:p>
    <w:p w14:paraId="3A4FE10D" w14:textId="77777777" w:rsidR="00077238" w:rsidRPr="00A259BD" w:rsidRDefault="0007723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результате проектирование 122-мм корпусной пушки было поручено Главному конструкторскому бюро Орудийно-арсенального треста — ГКБ ОАТ в Москве под руководством </w:t>
      </w:r>
      <w:proofErr w:type="spellStart"/>
      <w:r w:rsidRPr="00A259BD">
        <w:rPr>
          <w:rFonts w:ascii="Times New Roman" w:hAnsi="Times New Roman"/>
          <w:color w:val="000000" w:themeColor="text1"/>
          <w:sz w:val="16"/>
          <w:szCs w:val="16"/>
        </w:rPr>
        <w:t>С.П.Шукалова</w:t>
      </w:r>
      <w:proofErr w:type="spellEnd"/>
      <w:r w:rsidRPr="00A259BD">
        <w:rPr>
          <w:rFonts w:ascii="Times New Roman" w:hAnsi="Times New Roman"/>
          <w:color w:val="000000" w:themeColor="text1"/>
          <w:sz w:val="16"/>
          <w:szCs w:val="16"/>
        </w:rPr>
        <w:t xml:space="preserve"> (до 1926 г. - Московское техническое танковое бюро). ГКБ ОАТ входило в состав Главного военно-промышленного управления (ГВПУ) Высшего совета народного хозяйства (ВСНХ). </w:t>
      </w:r>
    </w:p>
    <w:p w14:paraId="257987EA" w14:textId="77777777" w:rsidR="00077238" w:rsidRPr="00A259BD" w:rsidRDefault="0007723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ГКБ ОАТ занималось проектированием и внедрением в производство первых отечественных танков: МС-1 (1925 - 1927 гг.), манёвренного танка Т-12 (проектирование в 1928 г.). Вместе с тем в КБ ОАТ велись отдельные работы по </w:t>
      </w:r>
      <w:proofErr w:type="spellStart"/>
      <w:r w:rsidRPr="00A259BD">
        <w:rPr>
          <w:rFonts w:ascii="Times New Roman" w:hAnsi="Times New Roman"/>
          <w:color w:val="000000" w:themeColor="text1"/>
          <w:sz w:val="16"/>
          <w:szCs w:val="16"/>
        </w:rPr>
        <w:t>артеллирийской</w:t>
      </w:r>
      <w:proofErr w:type="spellEnd"/>
      <w:r w:rsidRPr="00A259BD">
        <w:rPr>
          <w:rFonts w:ascii="Times New Roman" w:hAnsi="Times New Roman"/>
          <w:color w:val="000000" w:themeColor="text1"/>
          <w:sz w:val="16"/>
          <w:szCs w:val="16"/>
        </w:rPr>
        <w:t xml:space="preserve"> тематике, например, специалисты КБ принимали участие в устранении недостатков в </w:t>
      </w:r>
      <w:hyperlink r:id="rId64" w:anchor="p16253" w:tgtFrame="_blank" w:history="1">
        <w:r w:rsidRPr="00A259BD">
          <w:rPr>
            <w:rFonts w:ascii="Times New Roman" w:hAnsi="Times New Roman"/>
            <w:color w:val="000000" w:themeColor="text1"/>
            <w:sz w:val="16"/>
            <w:szCs w:val="16"/>
          </w:rPr>
          <w:t>76,2-мм короткой пушке обр. 1913/25 гг.</w:t>
        </w:r>
      </w:hyperlink>
    </w:p>
    <w:p w14:paraId="425FEDD4" w14:textId="77777777" w:rsidR="00077238" w:rsidRPr="00A259BD" w:rsidRDefault="0007723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Рассказывает генерал-майор инженерно-технической службы </w:t>
      </w:r>
      <w:proofErr w:type="spellStart"/>
      <w:r w:rsidRPr="00A259BD">
        <w:rPr>
          <w:rFonts w:ascii="Times New Roman" w:hAnsi="Times New Roman"/>
          <w:color w:val="000000" w:themeColor="text1"/>
          <w:sz w:val="16"/>
          <w:szCs w:val="16"/>
        </w:rPr>
        <w:t>H.Комаров</w:t>
      </w:r>
      <w:proofErr w:type="spellEnd"/>
      <w:r w:rsidRPr="00A259BD">
        <w:rPr>
          <w:rFonts w:ascii="Times New Roman" w:hAnsi="Times New Roman"/>
          <w:color w:val="000000" w:themeColor="text1"/>
          <w:sz w:val="16"/>
          <w:szCs w:val="16"/>
        </w:rPr>
        <w:t>, участник работ:</w:t>
      </w:r>
    </w:p>
    <w:p w14:paraId="7533C557" w14:textId="77777777" w:rsidR="00077238" w:rsidRPr="00A259BD" w:rsidRDefault="0007723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«Проектирование этой пушки поручили конструкторскому бюро Всесоюзного орудийно-арсенального объединения. B рабочую группу, возглавляемую </w:t>
      </w:r>
      <w:proofErr w:type="spellStart"/>
      <w:r w:rsidRPr="00A259BD">
        <w:rPr>
          <w:rFonts w:ascii="Times New Roman" w:hAnsi="Times New Roman"/>
          <w:color w:val="000000" w:themeColor="text1"/>
          <w:sz w:val="16"/>
          <w:szCs w:val="16"/>
        </w:rPr>
        <w:t>C.Шукаловым</w:t>
      </w:r>
      <w:proofErr w:type="spellEnd"/>
      <w:r w:rsidRPr="00A259BD">
        <w:rPr>
          <w:rFonts w:ascii="Times New Roman" w:hAnsi="Times New Roman"/>
          <w:color w:val="000000" w:themeColor="text1"/>
          <w:sz w:val="16"/>
          <w:szCs w:val="16"/>
        </w:rPr>
        <w:t xml:space="preserve">, вошли </w:t>
      </w:r>
      <w:proofErr w:type="spellStart"/>
      <w:r w:rsidRPr="00A259BD">
        <w:rPr>
          <w:rFonts w:ascii="Times New Roman" w:hAnsi="Times New Roman"/>
          <w:color w:val="000000" w:themeColor="text1"/>
          <w:sz w:val="16"/>
          <w:szCs w:val="16"/>
        </w:rPr>
        <w:t>C.Ананьев</w:t>
      </w:r>
      <w:proofErr w:type="spellEnd"/>
      <w:r w:rsidRPr="00A259BD">
        <w:rPr>
          <w:rFonts w:ascii="Times New Roman" w:hAnsi="Times New Roman"/>
          <w:color w:val="000000" w:themeColor="text1"/>
          <w:sz w:val="16"/>
          <w:szCs w:val="16"/>
        </w:rPr>
        <w:t xml:space="preserve">, B. Дроздов, </w:t>
      </w:r>
      <w:proofErr w:type="spellStart"/>
      <w:r w:rsidRPr="00A259BD">
        <w:rPr>
          <w:rFonts w:ascii="Times New Roman" w:hAnsi="Times New Roman"/>
          <w:color w:val="000000" w:themeColor="text1"/>
          <w:sz w:val="16"/>
          <w:szCs w:val="16"/>
        </w:rPr>
        <w:t>Г.Водохлебов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Б.Марков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C.Рыковсков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H.Торбин</w:t>
      </w:r>
      <w:proofErr w:type="spellEnd"/>
      <w:r w:rsidRPr="00A259BD">
        <w:rPr>
          <w:rFonts w:ascii="Times New Roman" w:hAnsi="Times New Roman"/>
          <w:color w:val="000000" w:themeColor="text1"/>
          <w:sz w:val="16"/>
          <w:szCs w:val="16"/>
        </w:rPr>
        <w:t xml:space="preserve"> и я. Проект сделали быстро и сразу отправили чертежи на 172-й завод для изготовления опытного образца. Но тут выяснилось, что проект сделан без учета оборудования завода, и пришлось переделывать рабочие чертежи применительно к технологическим возможностям завода.</w:t>
      </w:r>
    </w:p>
    <w:p w14:paraId="5E2686F3" w14:textId="77777777" w:rsidR="00077238" w:rsidRPr="00A259BD" w:rsidRDefault="0007723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мощности снаряда и дальности стрельбы пушка превосходила все зарубежные орудия этого класса. Правда, она вышла несколько тяжелее их, но большой вес не сказывался на ее боевых качествах, поскольку она была рассчитана на механическую тягу.</w:t>
      </w:r>
    </w:p>
    <w:p w14:paraId="07140B4C" w14:textId="77777777" w:rsidR="00077238" w:rsidRPr="00A259BD" w:rsidRDefault="0007723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 старых артиллерийских систем A-19 (такой индекс орудие получило позднее) отличалась несколькими новшествами. Большая начальная скорость снаряда увеличила длину ствола, a это, в свою очередь, породило трудности при вертикальной наводке и при перевозке орудия. Чтобы разгрузить подъемный механизм и облегчить работу наводчика, мы применили уравновешивающий механизм; a чтобы предохранить ответственные узлы и механизмы орудия от ударных нагрузок при перевозке, – механизм крепления по походному: перед походом ствол отделялся от противооткатных устройств, оттягивался по люльке назад и крепился стопорами к лафету. Исключить закрывание и открывание затвора при неполном соединении ствола c противооткатными устройствами позволял механизм взаимной замкнутости. Впервые на орудиях такого крупного калибра были применены раздвижные станины и вращающийся верхний станок, обеспечившие увеличение угла горизонтального обстрела; </w:t>
      </w:r>
      <w:proofErr w:type="spellStart"/>
      <w:r w:rsidRPr="00A259BD">
        <w:rPr>
          <w:rFonts w:ascii="Times New Roman" w:hAnsi="Times New Roman"/>
          <w:color w:val="000000" w:themeColor="text1"/>
          <w:sz w:val="16"/>
          <w:szCs w:val="16"/>
        </w:rPr>
        <w:t>подрессоривание</w:t>
      </w:r>
      <w:proofErr w:type="spellEnd"/>
      <w:r w:rsidRPr="00A259BD">
        <w:rPr>
          <w:rFonts w:ascii="Times New Roman" w:hAnsi="Times New Roman"/>
          <w:color w:val="000000" w:themeColor="text1"/>
          <w:sz w:val="16"/>
          <w:szCs w:val="16"/>
        </w:rPr>
        <w:t xml:space="preserve"> и металлические колеса c резиновой ошиновкой обода, позволившие перевозить орудие по шоссе со скоростью до 20 км/час» (12302).</w:t>
      </w:r>
    </w:p>
    <w:p w14:paraId="27020F1E" w14:textId="77777777" w:rsidR="00077238" w:rsidRPr="00A259BD" w:rsidRDefault="00077238" w:rsidP="009236E3">
      <w:pPr>
        <w:spacing w:after="0" w:line="240" w:lineRule="auto"/>
        <w:jc w:val="both"/>
        <w:rPr>
          <w:rFonts w:ascii="Times New Roman" w:hAnsi="Times New Roman"/>
          <w:color w:val="000000" w:themeColor="text1"/>
          <w:sz w:val="16"/>
          <w:szCs w:val="16"/>
        </w:rPr>
      </w:pPr>
    </w:p>
    <w:p w14:paraId="150AC7B2"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июня 1929 г. в связи с неприемлемыми условиями ВСНХ (В. В. Куйбышев) отказался от привлечения «Круппа» к содействию в создании и усовершенствовании артсистем вооружения, ограничившись заключением с ним договора о технической помощи по специальным сталям. С советской стороны договор подписала «</w:t>
      </w:r>
      <w:proofErr w:type="spellStart"/>
      <w:r w:rsidRPr="00A259BD">
        <w:rPr>
          <w:rFonts w:ascii="Times New Roman" w:hAnsi="Times New Roman"/>
          <w:color w:val="000000" w:themeColor="text1"/>
          <w:sz w:val="16"/>
          <w:szCs w:val="16"/>
        </w:rPr>
        <w:t>Гомза</w:t>
      </w:r>
      <w:proofErr w:type="spellEnd"/>
      <w:r w:rsidRPr="00A259BD">
        <w:rPr>
          <w:rFonts w:ascii="Times New Roman" w:hAnsi="Times New Roman"/>
          <w:color w:val="000000" w:themeColor="text1"/>
          <w:sz w:val="16"/>
          <w:szCs w:val="16"/>
        </w:rPr>
        <w:t>» (Государственное объединение машиностроительных заводов). Согласно договору «Крупп» за 1,15 млн. американских долларов, которые выплачивались по частям вплоть до 1939 г., обязался давать специалистам «</w:t>
      </w:r>
      <w:proofErr w:type="spellStart"/>
      <w:r w:rsidRPr="00A259BD">
        <w:rPr>
          <w:rFonts w:ascii="Times New Roman" w:hAnsi="Times New Roman"/>
          <w:color w:val="000000" w:themeColor="text1"/>
          <w:sz w:val="16"/>
          <w:szCs w:val="16"/>
        </w:rPr>
        <w:t>Гомзы</w:t>
      </w:r>
      <w:proofErr w:type="spellEnd"/>
      <w:r w:rsidRPr="00A259BD">
        <w:rPr>
          <w:rFonts w:ascii="Times New Roman" w:hAnsi="Times New Roman"/>
          <w:color w:val="000000" w:themeColor="text1"/>
          <w:sz w:val="16"/>
          <w:szCs w:val="16"/>
        </w:rPr>
        <w:t>» подробные наставления на своих заводах и в лабораториях относительно методов и способов производства специальных марок сталей. «</w:t>
      </w:r>
      <w:proofErr w:type="spellStart"/>
      <w:r w:rsidRPr="00A259BD">
        <w:rPr>
          <w:rFonts w:ascii="Times New Roman" w:hAnsi="Times New Roman"/>
          <w:color w:val="000000" w:themeColor="text1"/>
          <w:sz w:val="16"/>
          <w:szCs w:val="16"/>
        </w:rPr>
        <w:t>Гомза</w:t>
      </w:r>
      <w:proofErr w:type="spellEnd"/>
      <w:r w:rsidRPr="00A259BD">
        <w:rPr>
          <w:rFonts w:ascii="Times New Roman" w:hAnsi="Times New Roman"/>
          <w:color w:val="000000" w:themeColor="text1"/>
          <w:sz w:val="16"/>
          <w:szCs w:val="16"/>
        </w:rPr>
        <w:t>» получала право ежегодно направлять на фирму для обучения до 30 инженеров. В результате к середине 30-х годов практику прошло более 100 человек. Одним из практикантов был И. Ф. Тевосян, впоследствии нарком черной металлургии, а затем судостроения СССР. В 1939–1940 гг. после подписания пакта «Молотова — Риббентропа» он вновь, уже будучи наркомом, активно участвовал в налаживании военно-промышленного сотрудничества СССР с Германией. Сталелитейный завод «Крупна» в Эссене неоднократно посещали высокопоставленные офицеры РККА (в сентябре 1931 г. — М. Е. Симонов, в апреле 1932 г. — П. Н. Лунев, в сентябре 1932 г. — М. Н. Тухачевский) (18265).</w:t>
      </w:r>
    </w:p>
    <w:p w14:paraId="599BAA50" w14:textId="77777777" w:rsidR="0072351A" w:rsidRPr="00A259BD" w:rsidRDefault="0072351A" w:rsidP="009236E3">
      <w:pPr>
        <w:spacing w:after="0" w:line="240" w:lineRule="auto"/>
        <w:jc w:val="both"/>
        <w:rPr>
          <w:rFonts w:ascii="Times New Roman" w:hAnsi="Times New Roman"/>
          <w:color w:val="000000" w:themeColor="text1"/>
          <w:sz w:val="16"/>
          <w:szCs w:val="16"/>
        </w:rPr>
      </w:pPr>
    </w:p>
    <w:p w14:paraId="43E1B72C" w14:textId="77777777" w:rsidR="00107F31"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lastRenderedPageBreak/>
        <w:t>Другие оборонные отрасли:</w:t>
      </w:r>
    </w:p>
    <w:p w14:paraId="453CF358" w14:textId="77777777" w:rsidR="00107F31" w:rsidRPr="00A259BD" w:rsidRDefault="00107F3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504113" w14:textId="77777777" w:rsidR="00107F31" w:rsidRPr="00A259BD" w:rsidRDefault="00107F31" w:rsidP="009236E3">
      <w:pPr>
        <w:pStyle w:val="1010"/>
        <w:shd w:val="clear" w:color="auto" w:fill="auto"/>
        <w:spacing w:line="240" w:lineRule="auto"/>
        <w:ind w:firstLine="0"/>
        <w:rPr>
          <w:rFonts w:ascii="Times New Roman" w:hAnsi="Times New Roman" w:cs="Times New Roman"/>
          <w:i w:val="0"/>
          <w:color w:val="000000" w:themeColor="text1"/>
          <w:sz w:val="16"/>
          <w:szCs w:val="16"/>
        </w:rPr>
      </w:pPr>
      <w:r w:rsidRPr="00A259BD">
        <w:rPr>
          <w:rStyle w:val="1031"/>
          <w:rFonts w:ascii="Times New Roman" w:eastAsia="Arial Unicode MS" w:hAnsi="Times New Roman" w:cs="Times New Roman"/>
          <w:i w:val="0"/>
          <w:iCs w:val="0"/>
          <w:color w:val="000000" w:themeColor="text1"/>
          <w:sz w:val="16"/>
          <w:szCs w:val="16"/>
        </w:rPr>
        <w:t xml:space="preserve">17-18 июня 1929 г. к протоколу заседания РВС СССР приложен доклад заместителя начальника Штаба РККА В.К. </w:t>
      </w:r>
      <w:proofErr w:type="spellStart"/>
      <w:r w:rsidRPr="00A259BD">
        <w:rPr>
          <w:rStyle w:val="1031"/>
          <w:rFonts w:ascii="Times New Roman" w:eastAsia="Arial Unicode MS" w:hAnsi="Times New Roman" w:cs="Times New Roman"/>
          <w:i w:val="0"/>
          <w:iCs w:val="0"/>
          <w:color w:val="000000" w:themeColor="text1"/>
          <w:sz w:val="16"/>
          <w:szCs w:val="16"/>
        </w:rPr>
        <w:t>Триандафилова</w:t>
      </w:r>
      <w:proofErr w:type="spellEnd"/>
      <w:r w:rsidRPr="00A259BD">
        <w:rPr>
          <w:rStyle w:val="1031"/>
          <w:rFonts w:ascii="Times New Roman" w:eastAsia="Arial Unicode MS" w:hAnsi="Times New Roman" w:cs="Times New Roman"/>
          <w:i w:val="0"/>
          <w:iCs w:val="0"/>
          <w:color w:val="000000" w:themeColor="text1"/>
          <w:sz w:val="16"/>
          <w:szCs w:val="16"/>
        </w:rPr>
        <w:t xml:space="preserve"> по «системе </w:t>
      </w:r>
      <w:proofErr w:type="spellStart"/>
      <w:r w:rsidRPr="00A259BD">
        <w:rPr>
          <w:rStyle w:val="1031"/>
          <w:rFonts w:ascii="Times New Roman" w:eastAsia="Arial Unicode MS" w:hAnsi="Times New Roman" w:cs="Times New Roman"/>
          <w:i w:val="0"/>
          <w:iCs w:val="0"/>
          <w:color w:val="000000" w:themeColor="text1"/>
          <w:sz w:val="16"/>
          <w:szCs w:val="16"/>
        </w:rPr>
        <w:t>танкотрактороавтоброневооружения</w:t>
      </w:r>
      <w:proofErr w:type="spellEnd"/>
      <w:r w:rsidRPr="00A259BD">
        <w:rPr>
          <w:rStyle w:val="1031"/>
          <w:rFonts w:ascii="Times New Roman" w:eastAsia="Arial Unicode MS" w:hAnsi="Times New Roman" w:cs="Times New Roman"/>
          <w:i w:val="0"/>
          <w:iCs w:val="0"/>
          <w:color w:val="000000" w:themeColor="text1"/>
          <w:sz w:val="16"/>
          <w:szCs w:val="16"/>
        </w:rPr>
        <w:t xml:space="preserve"> РККА», в которой</w:t>
      </w:r>
      <w:r w:rsidRPr="00A259BD">
        <w:rPr>
          <w:rStyle w:val="109"/>
          <w:rFonts w:ascii="Times New Roman" w:eastAsia="Arial Unicode MS" w:hAnsi="Times New Roman" w:cs="Times New Roman"/>
          <w:b w:val="0"/>
          <w:i w:val="0"/>
          <w:iCs w:val="0"/>
          <w:color w:val="000000" w:themeColor="text1"/>
          <w:spacing w:val="0"/>
          <w:sz w:val="16"/>
          <w:szCs w:val="16"/>
        </w:rPr>
        <w:t xml:space="preserve"> был </w:t>
      </w:r>
      <w:r w:rsidRPr="00A259BD">
        <w:rPr>
          <w:rStyle w:val="1031"/>
          <w:rFonts w:ascii="Times New Roman" w:eastAsia="Arial Unicode MS" w:hAnsi="Times New Roman" w:cs="Times New Roman"/>
          <w:i w:val="0"/>
          <w:iCs w:val="0"/>
          <w:color w:val="000000" w:themeColor="text1"/>
          <w:sz w:val="16"/>
          <w:szCs w:val="16"/>
        </w:rPr>
        <w:t>включен:</w:t>
      </w:r>
      <w:r w:rsidRPr="00A259BD">
        <w:rPr>
          <w:rFonts w:ascii="Times New Roman" w:hAnsi="Times New Roman" w:cs="Times New Roman"/>
          <w:i w:val="0"/>
          <w:color w:val="000000" w:themeColor="text1"/>
          <w:sz w:val="16"/>
          <w:szCs w:val="16"/>
        </w:rPr>
        <w:t xml:space="preserve"> «Средний танк. Назначение - прорыв укрепленной</w:t>
      </w:r>
      <w:r w:rsidRPr="00A259BD">
        <w:rPr>
          <w:rStyle w:val="107"/>
          <w:rFonts w:ascii="Times New Roman" w:eastAsia="Arial Unicode MS" w:hAnsi="Times New Roman" w:cs="Times New Roman"/>
          <w:b w:val="0"/>
          <w:color w:val="000000" w:themeColor="text1"/>
          <w:sz w:val="16"/>
          <w:szCs w:val="16"/>
        </w:rPr>
        <w:t xml:space="preserve"> полосы в </w:t>
      </w:r>
      <w:proofErr w:type="spellStart"/>
      <w:r w:rsidRPr="00A259BD">
        <w:rPr>
          <w:rStyle w:val="107"/>
          <w:rFonts w:ascii="Times New Roman" w:eastAsia="Arial Unicode MS" w:hAnsi="Times New Roman" w:cs="Times New Roman"/>
          <w:b w:val="0"/>
          <w:color w:val="000000" w:themeColor="text1"/>
          <w:sz w:val="16"/>
          <w:szCs w:val="16"/>
        </w:rPr>
        <w:t>усл</w:t>
      </w:r>
      <w:r w:rsidRPr="00A259BD">
        <w:rPr>
          <w:rFonts w:ascii="Times New Roman" w:hAnsi="Times New Roman" w:cs="Times New Roman"/>
          <w:i w:val="0"/>
          <w:color w:val="000000" w:themeColor="text1"/>
          <w:sz w:val="16"/>
          <w:szCs w:val="16"/>
        </w:rPr>
        <w:t>виях</w:t>
      </w:r>
      <w:proofErr w:type="spellEnd"/>
      <w:r w:rsidRPr="00A259BD">
        <w:rPr>
          <w:rFonts w:ascii="Times New Roman" w:hAnsi="Times New Roman" w:cs="Times New Roman"/>
          <w:i w:val="0"/>
          <w:color w:val="000000" w:themeColor="text1"/>
          <w:sz w:val="16"/>
          <w:szCs w:val="16"/>
        </w:rPr>
        <w:t xml:space="preserve"> как маневренных, так и позиционных. Вес не более 15-16 т. Скорость 25-30 км. Толщина брони должна гарантировать от пробивания 37 мм снарядом (при начальной скорости 700 м/с) на 1750 м. Вооружение - одна 45-мм пушка и три одновременно действующих пулемета. Боекомплект не менее: 100 снарядов и 5.000 патронов. Число команды</w:t>
      </w:r>
      <w:r w:rsidRPr="00A259BD">
        <w:rPr>
          <w:rStyle w:val="1031"/>
          <w:rFonts w:ascii="Times New Roman" w:eastAsia="Arial Unicode MS" w:hAnsi="Times New Roman" w:cs="Times New Roman"/>
          <w:i w:val="0"/>
          <w:iCs w:val="0"/>
          <w:color w:val="000000" w:themeColor="text1"/>
          <w:sz w:val="16"/>
          <w:szCs w:val="16"/>
        </w:rPr>
        <w:t xml:space="preserve"> ,4-5</w:t>
      </w:r>
      <w:r w:rsidRPr="00A259BD">
        <w:rPr>
          <w:rFonts w:ascii="Times New Roman" w:hAnsi="Times New Roman" w:cs="Times New Roman"/>
          <w:i w:val="0"/>
          <w:color w:val="000000" w:themeColor="text1"/>
          <w:sz w:val="16"/>
          <w:szCs w:val="16"/>
        </w:rPr>
        <w:t xml:space="preserve"> человек. Радиус действия 200 км.</w:t>
      </w:r>
      <w:r w:rsidRPr="00A259BD">
        <w:rPr>
          <w:rStyle w:val="1016"/>
          <w:rFonts w:ascii="Times New Roman" w:eastAsia="Arial Unicode MS" w:hAnsi="Times New Roman" w:cs="Times New Roman"/>
          <w:b w:val="0"/>
          <w:color w:val="000000" w:themeColor="text1"/>
          <w:sz w:val="16"/>
          <w:szCs w:val="16"/>
        </w:rPr>
        <w:t xml:space="preserve"> Ширина пере</w:t>
      </w:r>
      <w:r w:rsidRPr="00A259BD">
        <w:rPr>
          <w:rFonts w:ascii="Times New Roman" w:hAnsi="Times New Roman" w:cs="Times New Roman"/>
          <w:i w:val="0"/>
          <w:color w:val="000000" w:themeColor="text1"/>
          <w:sz w:val="16"/>
          <w:szCs w:val="16"/>
        </w:rPr>
        <w:t>крываемого препятствия не менее 2,5 м. Высота [стенки]</w:t>
      </w:r>
      <w:r w:rsidRPr="00A259BD">
        <w:rPr>
          <w:rStyle w:val="1016"/>
          <w:rFonts w:ascii="Times New Roman" w:eastAsia="Arial Unicode MS" w:hAnsi="Times New Roman" w:cs="Times New Roman"/>
          <w:b w:val="0"/>
          <w:color w:val="000000" w:themeColor="text1"/>
          <w:sz w:val="16"/>
          <w:szCs w:val="16"/>
        </w:rPr>
        <w:t xml:space="preserve"> - 1 м, </w:t>
      </w:r>
      <w:r w:rsidRPr="00A259BD">
        <w:rPr>
          <w:rStyle w:val="291"/>
          <w:rFonts w:ascii="Times New Roman" w:hAnsi="Times New Roman" w:cs="Times New Roman"/>
          <w:color w:val="000000" w:themeColor="text1"/>
          <w:sz w:val="16"/>
          <w:szCs w:val="16"/>
        </w:rPr>
        <w:t>брода не менее 1,3 м. Диаметр сваливаемого дерева-30 см».</w:t>
      </w:r>
      <w:r w:rsidRPr="00A259BD">
        <w:rPr>
          <w:rFonts w:ascii="Times New Roman" w:hAnsi="Times New Roman" w:cs="Times New Roman"/>
          <w:i w:val="0"/>
          <w:color w:val="000000" w:themeColor="text1"/>
          <w:sz w:val="16"/>
          <w:szCs w:val="16"/>
        </w:rPr>
        <w:t xml:space="preserve"> Нетрудно увидеть, что в основе лежат данные именно «Виккерс Медиум», но с по</w:t>
      </w:r>
      <w:r w:rsidRPr="00A259BD">
        <w:rPr>
          <w:rFonts w:ascii="Times New Roman" w:hAnsi="Times New Roman" w:cs="Times New Roman"/>
          <w:i w:val="0"/>
          <w:color w:val="000000" w:themeColor="text1"/>
          <w:sz w:val="16"/>
          <w:szCs w:val="16"/>
        </w:rPr>
        <w:softHyphen/>
        <w:t>правкой на появление скорострельных противотанковых пушек (15744).</w:t>
      </w:r>
    </w:p>
    <w:p w14:paraId="77DD4207" w14:textId="77777777" w:rsidR="00107F31" w:rsidRPr="00A259BD" w:rsidRDefault="00107F31" w:rsidP="009236E3">
      <w:pPr>
        <w:pStyle w:val="1010"/>
        <w:shd w:val="clear" w:color="auto" w:fill="auto"/>
        <w:spacing w:line="240" w:lineRule="auto"/>
        <w:ind w:firstLine="0"/>
        <w:rPr>
          <w:rFonts w:ascii="Times New Roman" w:hAnsi="Times New Roman" w:cs="Times New Roman"/>
          <w:i w:val="0"/>
          <w:color w:val="000000" w:themeColor="text1"/>
          <w:sz w:val="16"/>
          <w:szCs w:val="16"/>
        </w:rPr>
      </w:pPr>
    </w:p>
    <w:p w14:paraId="7E3AF55C" w14:textId="77777777" w:rsidR="00107F31"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6E3BD23" w14:textId="77777777" w:rsidR="00107F31" w:rsidRPr="00A259BD" w:rsidRDefault="00107F3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A8C1819" w14:textId="77777777" w:rsidR="000B66D7" w:rsidRPr="00A259BD" w:rsidRDefault="000B66D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июня 1929 Delta Air Lines начинает обслуживание пассажиров (как Delta Air Service). Первый рейс из Далласа, штат Техас, в Джексон, штат Миссисипи, с остановками в Шривпорте и Монро, штат Луизиана (20806).</w:t>
      </w:r>
    </w:p>
    <w:p w14:paraId="2B854CA7" w14:textId="77777777" w:rsidR="000B66D7" w:rsidRPr="00A259BD" w:rsidRDefault="000B66D7" w:rsidP="009236E3">
      <w:pPr>
        <w:spacing w:after="0" w:line="240" w:lineRule="auto"/>
        <w:jc w:val="both"/>
        <w:rPr>
          <w:rFonts w:ascii="Times New Roman" w:hAnsi="Times New Roman"/>
          <w:color w:val="000000" w:themeColor="text1"/>
          <w:sz w:val="16"/>
          <w:szCs w:val="16"/>
        </w:rPr>
      </w:pPr>
    </w:p>
    <w:p w14:paraId="33DA66C7" w14:textId="77777777" w:rsidR="000B66D7" w:rsidRPr="00A259BD" w:rsidRDefault="000B66D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июня 1929 самолет </w:t>
      </w:r>
      <w:proofErr w:type="spellStart"/>
      <w:r w:rsidRPr="00A259BD">
        <w:rPr>
          <w:rFonts w:ascii="Times New Roman" w:hAnsi="Times New Roman"/>
          <w:color w:val="000000" w:themeColor="text1"/>
          <w:sz w:val="16"/>
          <w:szCs w:val="16"/>
        </w:rPr>
        <w:t>Handley</w:t>
      </w:r>
      <w:proofErr w:type="spellEnd"/>
      <w:r w:rsidRPr="00A259BD">
        <w:rPr>
          <w:rFonts w:ascii="Times New Roman" w:hAnsi="Times New Roman"/>
          <w:color w:val="000000" w:themeColor="text1"/>
          <w:sz w:val="16"/>
          <w:szCs w:val="16"/>
        </w:rPr>
        <w:t xml:space="preserve"> Page W.10 Город Оттава ( G-EBMT ) компании Imperial Airways пострадал от отказа двигателя в проливе Ла-Манш близ </w:t>
      </w:r>
      <w:proofErr w:type="spellStart"/>
      <w:r w:rsidRPr="00A259BD">
        <w:rPr>
          <w:rFonts w:ascii="Times New Roman" w:hAnsi="Times New Roman"/>
          <w:color w:val="000000" w:themeColor="text1"/>
          <w:sz w:val="16"/>
          <w:szCs w:val="16"/>
        </w:rPr>
        <w:t>Дандженесса</w:t>
      </w:r>
      <w:proofErr w:type="spellEnd"/>
      <w:r w:rsidRPr="00A259BD">
        <w:rPr>
          <w:rFonts w:ascii="Times New Roman" w:hAnsi="Times New Roman"/>
          <w:color w:val="000000" w:themeColor="text1"/>
          <w:sz w:val="16"/>
          <w:szCs w:val="16"/>
        </w:rPr>
        <w:t>, Англия . Семь из 13 человек на борту погибают; Бельгийский рыболовный траулер Габи спасает шесть оставшихся в живых, все из которых получили ранения (20806).</w:t>
      </w:r>
    </w:p>
    <w:p w14:paraId="5CA5BE67" w14:textId="77777777" w:rsidR="000B66D7" w:rsidRPr="00A259BD" w:rsidRDefault="000B66D7" w:rsidP="009236E3">
      <w:pPr>
        <w:spacing w:after="0" w:line="240" w:lineRule="auto"/>
        <w:jc w:val="both"/>
        <w:rPr>
          <w:rFonts w:ascii="Times New Roman" w:hAnsi="Times New Roman"/>
          <w:color w:val="000000" w:themeColor="text1"/>
          <w:sz w:val="16"/>
          <w:szCs w:val="16"/>
        </w:rPr>
      </w:pPr>
    </w:p>
    <w:p w14:paraId="5D8654A6" w14:textId="77777777" w:rsidR="000B66D7" w:rsidRPr="00A259BD" w:rsidRDefault="000B66D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июня 1929 - Открылись линии американской компании Delta Air Service на 6-местном моноплане Travel Air S-6000-B. Сегодня эта компания называется Delta </w:t>
      </w:r>
      <w:proofErr w:type="spellStart"/>
      <w:r w:rsidRPr="00A259BD">
        <w:rPr>
          <w:rFonts w:ascii="Times New Roman" w:hAnsi="Times New Roman"/>
          <w:color w:val="000000" w:themeColor="text1"/>
          <w:sz w:val="16"/>
          <w:szCs w:val="16"/>
        </w:rPr>
        <w:t>AirLines</w:t>
      </w:r>
      <w:proofErr w:type="spellEnd"/>
      <w:r w:rsidRPr="00A259BD">
        <w:rPr>
          <w:rFonts w:ascii="Times New Roman" w:hAnsi="Times New Roman"/>
          <w:color w:val="000000" w:themeColor="text1"/>
          <w:sz w:val="16"/>
          <w:szCs w:val="16"/>
        </w:rPr>
        <w:t>. Пилот J. D. "</w:t>
      </w:r>
      <w:proofErr w:type="spellStart"/>
      <w:r w:rsidRPr="00A259BD">
        <w:rPr>
          <w:rFonts w:ascii="Times New Roman" w:hAnsi="Times New Roman"/>
          <w:color w:val="000000" w:themeColor="text1"/>
          <w:sz w:val="16"/>
          <w:szCs w:val="16"/>
        </w:rPr>
        <w:t>Johnny</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Howe</w:t>
      </w:r>
      <w:proofErr w:type="spellEnd"/>
      <w:r w:rsidRPr="00A259BD">
        <w:rPr>
          <w:rFonts w:ascii="Times New Roman" w:hAnsi="Times New Roman"/>
          <w:color w:val="000000" w:themeColor="text1"/>
          <w:sz w:val="16"/>
          <w:szCs w:val="16"/>
        </w:rPr>
        <w:t>. Самолет вылетел из Далласа, штат Техас, в 8 часов утра 17 июня 1929 года. Сделал запланированные остановки в Шривпорте и Монро, штат Луизиана, прежде чем приземлиться в Джексоне, штат Миссисипи. Полет в 427 миль занял 5 часов и включал получасовую остановку на обед в Монро (22458).</w:t>
      </w:r>
    </w:p>
    <w:p w14:paraId="056A5F57" w14:textId="77777777" w:rsidR="000B66D7" w:rsidRPr="00A259BD" w:rsidRDefault="000B66D7" w:rsidP="009236E3">
      <w:pPr>
        <w:spacing w:after="0" w:line="240" w:lineRule="auto"/>
        <w:jc w:val="both"/>
        <w:rPr>
          <w:rFonts w:ascii="Times New Roman" w:hAnsi="Times New Roman"/>
          <w:color w:val="000000" w:themeColor="text1"/>
          <w:sz w:val="16"/>
          <w:szCs w:val="16"/>
        </w:rPr>
      </w:pPr>
    </w:p>
    <w:p w14:paraId="59DBC526" w14:textId="77777777" w:rsidR="00107F31" w:rsidRPr="00A259BD" w:rsidRDefault="00107F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17 июня</w:t>
      </w:r>
      <w:r w:rsidRPr="00A259BD">
        <w:rPr>
          <w:rFonts w:ascii="Times New Roman" w:hAnsi="Times New Roman"/>
          <w:color w:val="000000" w:themeColor="text1"/>
          <w:sz w:val="16"/>
          <w:szCs w:val="16"/>
        </w:rPr>
        <w:t xml:space="preserve"> в 1929 году в Турцию прибыла первая партия (8 экземпляров) чехословацких легких разведчиков-бомбардировщиков </w:t>
      </w:r>
      <w:hyperlink r:id="rId65" w:tgtFrame="_blank" w:history="1">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Letov</w:t>
        </w:r>
        <w:proofErr w:type="spellEnd"/>
        <w:r w:rsidRPr="00A259BD">
          <w:rPr>
            <w:rFonts w:ascii="Times New Roman" w:hAnsi="Times New Roman"/>
            <w:color w:val="000000" w:themeColor="text1"/>
            <w:sz w:val="16"/>
            <w:szCs w:val="16"/>
          </w:rPr>
          <w:t xml:space="preserve">» «S-16», </w:t>
        </w:r>
      </w:hyperlink>
      <w:r w:rsidRPr="00A259BD">
        <w:rPr>
          <w:rFonts w:ascii="Times New Roman" w:hAnsi="Times New Roman"/>
          <w:color w:val="000000" w:themeColor="text1"/>
          <w:sz w:val="16"/>
          <w:szCs w:val="16"/>
        </w:rPr>
        <w:t>вторая прибудет в течении 1930 года. Первоначально предполагалось использовать их как учебные бомбардировщики, но отзывы об этих самолётах оказались весьма благожелательными и в 1930 году десять «S-16» перевели в 24-ю разведывательную эскадрилью. В первой линии чехословацкие самолёты продержались до 1940 года, пока их не заменили на британские бомбардировщики «Bristol» «</w:t>
      </w:r>
      <w:proofErr w:type="spellStart"/>
      <w:r w:rsidRPr="00A259BD">
        <w:rPr>
          <w:rFonts w:ascii="Times New Roman" w:hAnsi="Times New Roman"/>
          <w:color w:val="000000" w:themeColor="text1"/>
          <w:sz w:val="16"/>
          <w:szCs w:val="16"/>
        </w:rPr>
        <w:t>Blenheim</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Mk.I</w:t>
      </w:r>
      <w:proofErr w:type="spellEnd"/>
      <w:r w:rsidRPr="00A259BD">
        <w:rPr>
          <w:rFonts w:ascii="Times New Roman" w:hAnsi="Times New Roman"/>
          <w:color w:val="000000" w:themeColor="text1"/>
          <w:sz w:val="16"/>
          <w:szCs w:val="16"/>
        </w:rPr>
        <w:t>» (14925).</w:t>
      </w:r>
    </w:p>
    <w:p w14:paraId="5F27300C" w14:textId="77777777" w:rsidR="00107F31" w:rsidRPr="00A259BD" w:rsidRDefault="00107F31" w:rsidP="009236E3">
      <w:pPr>
        <w:spacing w:after="0" w:line="240" w:lineRule="auto"/>
        <w:jc w:val="both"/>
        <w:rPr>
          <w:rFonts w:ascii="Times New Roman" w:hAnsi="Times New Roman"/>
          <w:color w:val="000000" w:themeColor="text1"/>
          <w:sz w:val="16"/>
          <w:szCs w:val="16"/>
        </w:rPr>
      </w:pPr>
    </w:p>
    <w:p w14:paraId="7D6B361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507FD1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E85D7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июня 1929 г., с отставанием от плана на 2 месяца второй Р-5 </w:t>
      </w:r>
      <w:proofErr w:type="spellStart"/>
      <w:r w:rsidRPr="00A259BD">
        <w:rPr>
          <w:rFonts w:ascii="Times New Roman" w:hAnsi="Times New Roman"/>
          <w:color w:val="000000" w:themeColor="text1"/>
          <w:sz w:val="16"/>
          <w:szCs w:val="16"/>
        </w:rPr>
        <w:t>предьявили</w:t>
      </w:r>
      <w:proofErr w:type="spellEnd"/>
      <w:r w:rsidRPr="00A259BD">
        <w:rPr>
          <w:rFonts w:ascii="Times New Roman" w:hAnsi="Times New Roman"/>
          <w:color w:val="000000" w:themeColor="text1"/>
          <w:sz w:val="16"/>
          <w:szCs w:val="16"/>
        </w:rPr>
        <w:t xml:space="preserve"> военной приемке. Самолет не приняли, потребовав пристрелки пулеметов, что задержало испытания еще почти на месяц. Лишь 11 июля второй Р-5 совершил в НИИ ВВС первый полет. В ходе его разрушился левый распредвал мотора, пришлось срочно садиться. Уже на земле обнаружили, что вдобавок раздуло маслобак из-за отсутствия дренажа.</w:t>
      </w:r>
    </w:p>
    <w:p w14:paraId="1FA2F8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июля летные испытания возобновились, и они шли до 29 августа. Полеты оставили вполне положительное впечатление у летчиков В.О. Писаренко и B.C. </w:t>
      </w:r>
      <w:proofErr w:type="spellStart"/>
      <w:r w:rsidRPr="00A259BD">
        <w:rPr>
          <w:rFonts w:ascii="Times New Roman" w:hAnsi="Times New Roman"/>
          <w:color w:val="000000" w:themeColor="text1"/>
          <w:sz w:val="16"/>
          <w:szCs w:val="16"/>
        </w:rPr>
        <w:t>Волко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войнова</w:t>
      </w:r>
      <w:proofErr w:type="spellEnd"/>
      <w:r w:rsidRPr="00A259BD">
        <w:rPr>
          <w:rFonts w:ascii="Times New Roman" w:hAnsi="Times New Roman"/>
          <w:color w:val="000000" w:themeColor="text1"/>
          <w:sz w:val="16"/>
          <w:szCs w:val="16"/>
        </w:rPr>
        <w:t xml:space="preserve">, которые дали очень благоприятное заключение. Несмотря на некоторое увеличение веса, переделка </w:t>
      </w:r>
      <w:proofErr w:type="spellStart"/>
      <w:r w:rsidRPr="00A259BD">
        <w:rPr>
          <w:rFonts w:ascii="Times New Roman" w:hAnsi="Times New Roman"/>
          <w:color w:val="000000" w:themeColor="text1"/>
          <w:sz w:val="16"/>
          <w:szCs w:val="16"/>
        </w:rPr>
        <w:t>мотоустановки</w:t>
      </w:r>
      <w:proofErr w:type="spellEnd"/>
      <w:r w:rsidRPr="00A259BD">
        <w:rPr>
          <w:rFonts w:ascii="Times New Roman" w:hAnsi="Times New Roman"/>
          <w:color w:val="000000" w:themeColor="text1"/>
          <w:sz w:val="16"/>
          <w:szCs w:val="16"/>
        </w:rPr>
        <w:t xml:space="preserve"> принесла свои результаты. В отчете записали: "...летные качества значительно повысились и полностью удовлетворяют предъявленным техническим требованиям". Правда, пробег остался слишком большим.</w:t>
      </w:r>
    </w:p>
    <w:p w14:paraId="4A3656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самолет испытывали в двух вариантах: как разведчик и как легкий бомбардировщик, причем бомбовая нагрузка доходила до 800 кг - намного больше, чем предусматривалось заданием (250-300 кг). Под фюзеляжем поставили балки для бомб калибром до 250 кг, скопированные с французского образца (потом их приняли на вооружение под обозначением Дер-13). Значительное увеличение нагрузки не прошло бесследно, появились деформации нижнего крыла. Поэтому предложили усилить передний лонжерон и поставить бобышки в местах установки бомбодержателей.</w:t>
      </w:r>
    </w:p>
    <w:p w14:paraId="21A80C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образец унаследовал часть дефектов первого. Испытатели отметили склонность к капотированию, запаздывание с выходом из штопора, потерю устойчивости на пикировании, разбалтывание панелей капота, течь радиатора. Изношенную пятку костыля пришлось дважды менять.</w:t>
      </w:r>
    </w:p>
    <w:p w14:paraId="46E538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Испытания завершились перелетом Москва-Севастополь-Москва. Для этого машину оснастили дополнительным баком на 161 кг бензина. Экипаж состоял из Писаренко и заместителя начальника УВВС Я.И. Алксниса. Не следует переоценивать роль последнего: тогда Алкснис был лишь поспешно обученным любителем. Так что основную работу делал, конечно, Писаренко. Между Тарусой и Алексином пришлось сделать вынужденную посадку - потек радиатор. Долив три ведра воды из речки, полетели дальше. Перелет завершился благополучно. </w:t>
      </w:r>
    </w:p>
    <w:p w14:paraId="62C11E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Эталонами для серии должны были стать третий и четвертый Р-5 (11936).</w:t>
      </w:r>
    </w:p>
    <w:p w14:paraId="25B1D7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2963B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июня 1929 г., запаздывая на два месяца против плана, второй Р-5 предъявили военной приемке, но приемку отклонили, потребовав пристрелки пулеметов. </w:t>
      </w:r>
    </w:p>
    <w:p w14:paraId="48856B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Это задержало испытания еще почти на месяц. У завода своего тира не было. После длительной переписки 10 июля Р-5 все-таки приняли в НИИ ВВС без пристрелки. На следующий день его уже выпустили в воздух. Но летчику Писаренко не повезло. В полете разрушился левый распределительный вал мотора, пришлось срочно садиться. Уже на земле обнаружили, что вдобавок раздуло маслобак из-за отсутствия в нем дренажа.</w:t>
      </w:r>
    </w:p>
    <w:p w14:paraId="4180CC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самолет заказывался одновременно с первым. В целом он соответствовал предыдущему, но имел французский карбюратор Зенит 60DC (вместо "родного" типа BMW). Вооружение смонтировали полностью, но радиостанция отсутствовала, а вместо фотоаппарата стоял макет. Костыль ужесточили так, что он почти не амортизировал. Это потом привело к тому, что начала быстро изнашиваться его пятка.</w:t>
      </w:r>
    </w:p>
    <w:p w14:paraId="053ABF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Пока ждали новый мотор, решили заняться вооружением. Сотрудники НИИ 16 июля повезли самолет на Кунцевский полигон. Отстрел передней установки закончился неудачей. Пулемет трясся, лен </w:t>
      </w:r>
      <w:proofErr w:type="spellStart"/>
      <w:r w:rsidRPr="00A259BD">
        <w:rPr>
          <w:rFonts w:ascii="Times New Roman" w:hAnsi="Times New Roman"/>
          <w:color w:val="000000" w:themeColor="text1"/>
          <w:sz w:val="16"/>
          <w:szCs w:val="16"/>
        </w:rPr>
        <w:t>гу</w:t>
      </w:r>
      <w:proofErr w:type="spellEnd"/>
      <w:r w:rsidRPr="00A259BD">
        <w:rPr>
          <w:rFonts w:ascii="Times New Roman" w:hAnsi="Times New Roman"/>
          <w:color w:val="000000" w:themeColor="text1"/>
          <w:sz w:val="16"/>
          <w:szCs w:val="16"/>
        </w:rPr>
        <w:t xml:space="preserve"> захлестывало в приемном рукаве. Причиной оказалась недостаточная жесткость заднего кронштейна крепления. Попытки "</w:t>
      </w:r>
      <w:proofErr w:type="spellStart"/>
      <w:r w:rsidRPr="00A259BD">
        <w:rPr>
          <w:rFonts w:ascii="Times New Roman" w:hAnsi="Times New Roman"/>
          <w:color w:val="000000" w:themeColor="text1"/>
          <w:sz w:val="16"/>
          <w:szCs w:val="16"/>
        </w:rPr>
        <w:t>подтянугь</w:t>
      </w:r>
      <w:proofErr w:type="spellEnd"/>
      <w:r w:rsidRPr="00A259BD">
        <w:rPr>
          <w:rFonts w:ascii="Times New Roman" w:hAnsi="Times New Roman"/>
          <w:color w:val="000000" w:themeColor="text1"/>
          <w:sz w:val="16"/>
          <w:szCs w:val="16"/>
        </w:rPr>
        <w:t>" и "поджать" ничего не дали. Кронштейн надо было переделывать (12034).</w:t>
      </w:r>
    </w:p>
    <w:p w14:paraId="39C715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56DC5B" w14:textId="77777777" w:rsidR="00116D19" w:rsidRPr="006B74EB" w:rsidRDefault="00116D19" w:rsidP="00116D19">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 xml:space="preserve">18 </w:t>
      </w:r>
      <w:r>
        <w:rPr>
          <w:rFonts w:ascii="Times New Roman" w:hAnsi="Times New Roman"/>
          <w:color w:val="0070C0"/>
          <w:sz w:val="16"/>
          <w:szCs w:val="16"/>
        </w:rPr>
        <w:t>ию</w:t>
      </w:r>
      <w:r w:rsidRPr="006B74EB">
        <w:rPr>
          <w:rFonts w:ascii="Times New Roman" w:hAnsi="Times New Roman"/>
          <w:color w:val="0070C0"/>
          <w:sz w:val="16"/>
          <w:szCs w:val="16"/>
        </w:rPr>
        <w:t>ня</w:t>
      </w:r>
      <w:r>
        <w:rPr>
          <w:rFonts w:ascii="Times New Roman" w:hAnsi="Times New Roman"/>
          <w:color w:val="0070C0"/>
          <w:sz w:val="16"/>
          <w:szCs w:val="16"/>
        </w:rPr>
        <w:t xml:space="preserve"> 1929 г.</w:t>
      </w:r>
      <w:r w:rsidRPr="006B74EB">
        <w:rPr>
          <w:rFonts w:ascii="Times New Roman" w:hAnsi="Times New Roman"/>
          <w:color w:val="0070C0"/>
          <w:sz w:val="16"/>
          <w:szCs w:val="16"/>
        </w:rPr>
        <w:t xml:space="preserve"> командир звена авиашколы Михайлов</w:t>
      </w:r>
      <w:r>
        <w:rPr>
          <w:rFonts w:ascii="Times New Roman" w:hAnsi="Times New Roman"/>
          <w:color w:val="0070C0"/>
          <w:sz w:val="16"/>
          <w:szCs w:val="16"/>
        </w:rPr>
        <w:t>е</w:t>
      </w:r>
      <w:r w:rsidRPr="006B74EB">
        <w:rPr>
          <w:rFonts w:ascii="Times New Roman" w:hAnsi="Times New Roman"/>
          <w:color w:val="0070C0"/>
          <w:sz w:val="16"/>
          <w:szCs w:val="16"/>
        </w:rPr>
        <w:t xml:space="preserve"> во время пробного</w:t>
      </w:r>
      <w:r>
        <w:rPr>
          <w:rFonts w:ascii="Times New Roman" w:hAnsi="Times New Roman"/>
          <w:color w:val="0070C0"/>
          <w:sz w:val="16"/>
          <w:szCs w:val="16"/>
        </w:rPr>
        <w:t xml:space="preserve"> полета д</w:t>
      </w:r>
      <w:r w:rsidRPr="006B74EB">
        <w:rPr>
          <w:rFonts w:ascii="Times New Roman" w:hAnsi="Times New Roman"/>
          <w:color w:val="0070C0"/>
          <w:sz w:val="16"/>
          <w:szCs w:val="16"/>
        </w:rPr>
        <w:t>елал переворот через крыло</w:t>
      </w:r>
      <w:r>
        <w:rPr>
          <w:rFonts w:ascii="Times New Roman" w:hAnsi="Times New Roman"/>
          <w:color w:val="0070C0"/>
          <w:sz w:val="16"/>
          <w:szCs w:val="16"/>
        </w:rPr>
        <w:t>. В</w:t>
      </w:r>
      <w:r w:rsidRPr="006B74EB">
        <w:rPr>
          <w:rFonts w:ascii="Times New Roman" w:hAnsi="Times New Roman"/>
          <w:color w:val="0070C0"/>
          <w:sz w:val="16"/>
          <w:szCs w:val="16"/>
        </w:rPr>
        <w:t xml:space="preserve"> положении самолета</w:t>
      </w:r>
      <w:r>
        <w:rPr>
          <w:rFonts w:ascii="Times New Roman" w:hAnsi="Times New Roman"/>
          <w:color w:val="0070C0"/>
          <w:sz w:val="16"/>
          <w:szCs w:val="16"/>
        </w:rPr>
        <w:t xml:space="preserve"> вверх </w:t>
      </w:r>
      <w:r w:rsidRPr="006B74EB">
        <w:rPr>
          <w:rFonts w:ascii="Times New Roman" w:hAnsi="Times New Roman"/>
          <w:color w:val="0070C0"/>
          <w:sz w:val="16"/>
          <w:szCs w:val="16"/>
        </w:rPr>
        <w:t>колесами отскочили педали вследстви</w:t>
      </w:r>
      <w:r>
        <w:rPr>
          <w:rFonts w:ascii="Times New Roman" w:hAnsi="Times New Roman"/>
          <w:color w:val="0070C0"/>
          <w:sz w:val="16"/>
          <w:szCs w:val="16"/>
        </w:rPr>
        <w:t>е</w:t>
      </w:r>
      <w:r w:rsidRPr="006B74EB">
        <w:rPr>
          <w:rFonts w:ascii="Times New Roman" w:hAnsi="Times New Roman"/>
          <w:color w:val="0070C0"/>
          <w:sz w:val="16"/>
          <w:szCs w:val="16"/>
        </w:rPr>
        <w:t xml:space="preserve"> поломки,</w:t>
      </w:r>
      <w:r>
        <w:rPr>
          <w:rFonts w:ascii="Times New Roman" w:hAnsi="Times New Roman"/>
          <w:color w:val="0070C0"/>
          <w:sz w:val="16"/>
          <w:szCs w:val="16"/>
        </w:rPr>
        <w:t xml:space="preserve"> </w:t>
      </w:r>
      <w:r w:rsidRPr="006B74EB">
        <w:rPr>
          <w:rFonts w:ascii="Times New Roman" w:hAnsi="Times New Roman"/>
          <w:color w:val="0070C0"/>
          <w:sz w:val="16"/>
          <w:szCs w:val="16"/>
        </w:rPr>
        <w:t>и самолет, бу</w:t>
      </w:r>
      <w:r>
        <w:rPr>
          <w:rFonts w:ascii="Times New Roman" w:hAnsi="Times New Roman"/>
          <w:color w:val="0070C0"/>
          <w:sz w:val="16"/>
          <w:szCs w:val="16"/>
        </w:rPr>
        <w:t>дучи</w:t>
      </w:r>
      <w:r w:rsidRPr="006B74EB">
        <w:rPr>
          <w:rFonts w:ascii="Times New Roman" w:hAnsi="Times New Roman"/>
          <w:color w:val="0070C0"/>
          <w:sz w:val="16"/>
          <w:szCs w:val="16"/>
        </w:rPr>
        <w:t xml:space="preserve"> </w:t>
      </w:r>
      <w:r>
        <w:rPr>
          <w:rFonts w:ascii="Times New Roman" w:hAnsi="Times New Roman"/>
          <w:color w:val="0070C0"/>
          <w:sz w:val="16"/>
          <w:szCs w:val="16"/>
        </w:rPr>
        <w:t>н</w:t>
      </w:r>
      <w:r w:rsidRPr="006B74EB">
        <w:rPr>
          <w:rFonts w:ascii="Times New Roman" w:hAnsi="Times New Roman"/>
          <w:color w:val="0070C0"/>
          <w:sz w:val="16"/>
          <w:szCs w:val="16"/>
        </w:rPr>
        <w:t>еуправляемым, перешел в штопор.</w:t>
      </w:r>
      <w:r>
        <w:rPr>
          <w:rFonts w:ascii="Times New Roman" w:hAnsi="Times New Roman"/>
          <w:color w:val="0070C0"/>
          <w:sz w:val="16"/>
          <w:szCs w:val="16"/>
        </w:rPr>
        <w:t xml:space="preserve"> Л</w:t>
      </w:r>
      <w:r w:rsidRPr="006B74EB">
        <w:rPr>
          <w:rFonts w:ascii="Times New Roman" w:hAnsi="Times New Roman"/>
          <w:color w:val="0070C0"/>
          <w:sz w:val="16"/>
          <w:szCs w:val="16"/>
        </w:rPr>
        <w:t>етчик не растерялся, достал</w:t>
      </w:r>
      <w:r>
        <w:rPr>
          <w:rFonts w:ascii="Times New Roman" w:hAnsi="Times New Roman"/>
          <w:color w:val="0070C0"/>
          <w:sz w:val="16"/>
          <w:szCs w:val="16"/>
        </w:rPr>
        <w:t xml:space="preserve"> тросы </w:t>
      </w:r>
      <w:r w:rsidRPr="006B74EB">
        <w:rPr>
          <w:rFonts w:ascii="Times New Roman" w:hAnsi="Times New Roman"/>
          <w:color w:val="0070C0"/>
          <w:sz w:val="16"/>
          <w:szCs w:val="16"/>
        </w:rPr>
        <w:t>руля поворота и,</w:t>
      </w:r>
      <w:r>
        <w:rPr>
          <w:rFonts w:ascii="Times New Roman" w:hAnsi="Times New Roman"/>
          <w:color w:val="0070C0"/>
          <w:sz w:val="16"/>
          <w:szCs w:val="16"/>
        </w:rPr>
        <w:t xml:space="preserve"> </w:t>
      </w:r>
      <w:r w:rsidRPr="006B74EB">
        <w:rPr>
          <w:rFonts w:ascii="Times New Roman" w:hAnsi="Times New Roman"/>
          <w:color w:val="0070C0"/>
          <w:sz w:val="16"/>
          <w:szCs w:val="16"/>
        </w:rPr>
        <w:t>управляя ими,</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благополучно приземлился на </w:t>
      </w:r>
      <w:proofErr w:type="spellStart"/>
      <w:r>
        <w:rPr>
          <w:rFonts w:ascii="Times New Roman" w:hAnsi="Times New Roman"/>
          <w:color w:val="0070C0"/>
          <w:sz w:val="16"/>
          <w:szCs w:val="16"/>
        </w:rPr>
        <w:t>старте</w:t>
      </w:r>
      <w:r w:rsidRPr="006B74EB">
        <w:rPr>
          <w:rFonts w:ascii="Times New Roman" w:hAnsi="Times New Roman"/>
          <w:color w:val="0070C0"/>
          <w:sz w:val="16"/>
          <w:szCs w:val="16"/>
        </w:rPr>
        <w:t>,за</w:t>
      </w:r>
      <w:proofErr w:type="spellEnd"/>
      <w:r w:rsidRPr="006B74EB">
        <w:rPr>
          <w:rFonts w:ascii="Times New Roman" w:hAnsi="Times New Roman"/>
          <w:color w:val="0070C0"/>
          <w:sz w:val="16"/>
          <w:szCs w:val="16"/>
        </w:rPr>
        <w:t xml:space="preserve"> что был награжден месячным окладом.</w:t>
      </w:r>
    </w:p>
    <w:p w14:paraId="7F507BED" w14:textId="77777777" w:rsidR="00116D19" w:rsidRDefault="00116D19" w:rsidP="00116D19">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/«Красная звезда</w:t>
      </w:r>
      <w:r>
        <w:rPr>
          <w:rFonts w:ascii="Times New Roman" w:hAnsi="Times New Roman"/>
          <w:color w:val="0070C0"/>
          <w:sz w:val="16"/>
          <w:szCs w:val="16"/>
        </w:rPr>
        <w:t>»</w:t>
      </w:r>
      <w:r w:rsidRPr="006B74EB">
        <w:rPr>
          <w:rFonts w:ascii="Times New Roman" w:hAnsi="Times New Roman"/>
          <w:color w:val="0070C0"/>
          <w:sz w:val="16"/>
          <w:szCs w:val="16"/>
        </w:rPr>
        <w:t xml:space="preserve"> за 18 июня 1929 г./</w:t>
      </w:r>
      <w:r>
        <w:rPr>
          <w:rFonts w:ascii="Times New Roman" w:hAnsi="Times New Roman"/>
          <w:color w:val="0070C0"/>
          <w:sz w:val="16"/>
          <w:szCs w:val="16"/>
        </w:rPr>
        <w:t xml:space="preserve"> (23370).</w:t>
      </w:r>
    </w:p>
    <w:p w14:paraId="4DAF3061" w14:textId="77777777" w:rsidR="00116D19" w:rsidRDefault="00116D19" w:rsidP="00116D19">
      <w:pPr>
        <w:spacing w:after="0" w:line="240" w:lineRule="auto"/>
        <w:jc w:val="both"/>
        <w:rPr>
          <w:rFonts w:ascii="Times New Roman" w:hAnsi="Times New Roman"/>
          <w:color w:val="0070C0"/>
          <w:sz w:val="16"/>
          <w:szCs w:val="16"/>
        </w:rPr>
      </w:pPr>
    </w:p>
    <w:p w14:paraId="636AC38F" w14:textId="77777777" w:rsidR="00727A5A" w:rsidRPr="00A259BD" w:rsidRDefault="00727A5A"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1DD3B1D" w14:textId="77777777" w:rsidR="00727A5A" w:rsidRPr="00A259BD" w:rsidRDefault="00727A5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771FE3" w14:textId="77777777" w:rsidR="00727A5A" w:rsidRPr="00A259BD" w:rsidRDefault="00727A5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июня 1929 г. были утверждены ТТТ на проектирование 122-мм полковой мортиры и 152-мм дивизионной мортиры (в первой редакции). Баллистическое решение для них надлежало предоставить в 10-дневный и 20- </w:t>
      </w:r>
      <w:proofErr w:type="spellStart"/>
      <w:r w:rsidRPr="00A259BD">
        <w:rPr>
          <w:rFonts w:ascii="Times New Roman" w:hAnsi="Times New Roman"/>
          <w:color w:val="000000" w:themeColor="text1"/>
          <w:sz w:val="16"/>
          <w:szCs w:val="16"/>
        </w:rPr>
        <w:t>дневный</w:t>
      </w:r>
      <w:proofErr w:type="spellEnd"/>
      <w:r w:rsidRPr="00A259BD">
        <w:rPr>
          <w:rFonts w:ascii="Times New Roman" w:hAnsi="Times New Roman"/>
          <w:color w:val="000000" w:themeColor="text1"/>
          <w:sz w:val="16"/>
          <w:szCs w:val="16"/>
        </w:rPr>
        <w:t xml:space="preserve"> срок соответственно, работа по этим проектам велась одновременно в КБ АК (которое к этому времени именовалось КБ Научно-технического комитета (НТК) АУ), КБ ОАТ и ВТА. Срок предоставления проекта 122-мм мортиры был указан к 1 марта 1930 г., 152-мм мортиры – к 1 июня 1930 г.155 17 июля были утверждены ТТТ к проекту 203-мм корпусной мортиры со сроком представления к 1 февраля 1930 г.156 Баллистическое решение и чертеж канала ствола 122-мм полковой мортиры осуществлялось КБ НТК АУ, проектирование – параллельно КБ НТК АУ, КБ ОАТ и ВТА, изготовление опытного образца было поручено заводу «Красный Путиловец».157 Баллистическое решение и чертеж канала ствола 152-мм дивизионной мортиры осуществлялось КБ НТК АУ, проектирование – КБ НКТ АУ и КБ ОАТ, изготовление опытного образца - заводом «Красный Путиловец».158 Баллистическое решение и чертеж канала ствола 203-мм корпусной мортиры выполнялись заводом «Красный Путиловец», проектирование – параллельно КБ завода «Красный Путиловец» и Мотовилихинского машиностроительного завода, изготовление опытного образца - заводом «Красный Путиловец».159 (20074)</w:t>
      </w:r>
    </w:p>
    <w:p w14:paraId="340F27C0" w14:textId="77777777" w:rsidR="00727A5A" w:rsidRPr="00A259BD" w:rsidRDefault="00727A5A" w:rsidP="009236E3">
      <w:pPr>
        <w:spacing w:after="0" w:line="240" w:lineRule="auto"/>
        <w:jc w:val="both"/>
        <w:rPr>
          <w:rFonts w:ascii="Times New Roman" w:hAnsi="Times New Roman"/>
          <w:color w:val="000000" w:themeColor="text1"/>
          <w:sz w:val="16"/>
          <w:szCs w:val="16"/>
        </w:rPr>
      </w:pPr>
    </w:p>
    <w:p w14:paraId="258131AE" w14:textId="77777777" w:rsidR="0072351A" w:rsidRPr="00A259BD" w:rsidRDefault="0072351A"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685BB2A1" w14:textId="77777777" w:rsidR="0072351A" w:rsidRPr="00A259BD" w:rsidRDefault="0072351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6B91245" w14:textId="77777777" w:rsidR="00727A5A" w:rsidRPr="00A259BD" w:rsidRDefault="00727A5A" w:rsidP="009236E3">
      <w:pPr>
        <w:spacing w:after="0" w:line="240" w:lineRule="auto"/>
        <w:jc w:val="both"/>
        <w:rPr>
          <w:rFonts w:ascii="Times New Roman" w:hAnsi="Times New Roman"/>
          <w:color w:val="000000" w:themeColor="text1"/>
          <w:sz w:val="16"/>
          <w:szCs w:val="16"/>
        </w:rPr>
      </w:pPr>
      <w:bookmarkStart w:id="56" w:name="_Hlk75785321"/>
      <w:r w:rsidRPr="00A259BD">
        <w:rPr>
          <w:rFonts w:ascii="Times New Roman" w:hAnsi="Times New Roman"/>
          <w:color w:val="000000" w:themeColor="text1"/>
          <w:sz w:val="16"/>
          <w:szCs w:val="16"/>
        </w:rPr>
        <w:t>18 июля 1929 года СНК СССР принял постановление "О мероприятиях к усилению работы производственных совещаний и использованию инициативы рабочих и служащих в деле улучшения производства". Постоянно действующие производственные совещания (ПДПС) - выборный совещательный орган из числа наиболее квалифицированных и опытных работников, наделенный правом вырабатывать для администрации свои рекомендации и предложения по производственным вопросам. В стране насчитывалось свыше 142 тыс. ПДПС. В их составе было более 6 млн. человек, из которых свыше 63 процентов — рабочие. Ежегодно члены ПДПС вносили почти 2,5 млн. предложений и рекомендаций по улучшению хозяйственной деятельности (21168).</w:t>
      </w:r>
    </w:p>
    <w:p w14:paraId="24FE98F7" w14:textId="77777777" w:rsidR="00727A5A" w:rsidRPr="00A259BD" w:rsidRDefault="00727A5A" w:rsidP="009236E3">
      <w:pPr>
        <w:spacing w:after="0" w:line="240" w:lineRule="auto"/>
        <w:jc w:val="both"/>
        <w:rPr>
          <w:rFonts w:ascii="Times New Roman" w:hAnsi="Times New Roman"/>
          <w:color w:val="000000" w:themeColor="text1"/>
          <w:sz w:val="16"/>
          <w:szCs w:val="16"/>
        </w:rPr>
      </w:pPr>
    </w:p>
    <w:bookmarkEnd w:id="56"/>
    <w:p w14:paraId="20E0C333"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18 июня 1929. Газета "Вечерняя Москва" сообщала: "За последнее время правления некоторых дорог Московского узла возбудили перед НКПС вопрос об упразднении в пригородных поездах вагонов для курящих. Необходимость такой меры вызывается тем, что вагоны для некурящих постоянно переполнены, а вагоны для курящих идут почти пустые. Объясняется это тем, что даже курящие пассажиры не желают размещаться в вагонах, наполненных табачным дымом" (18726).</w:t>
      </w:r>
    </w:p>
    <w:p w14:paraId="69AD46E7" w14:textId="77777777" w:rsidR="0072351A" w:rsidRPr="00A259BD" w:rsidRDefault="0072351A" w:rsidP="009236E3">
      <w:pPr>
        <w:spacing w:after="0" w:line="240" w:lineRule="auto"/>
        <w:jc w:val="both"/>
        <w:rPr>
          <w:rFonts w:ascii="Times New Roman" w:hAnsi="Times New Roman"/>
          <w:color w:val="000000" w:themeColor="text1"/>
          <w:sz w:val="16"/>
          <w:szCs w:val="16"/>
        </w:rPr>
      </w:pPr>
    </w:p>
    <w:p w14:paraId="378601C8" w14:textId="77777777" w:rsidR="00107F31"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AFF24C8" w14:textId="77777777" w:rsidR="00107F31" w:rsidRPr="00A259BD" w:rsidRDefault="00107F3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32DF4E" w14:textId="77777777" w:rsidR="00107F31" w:rsidRPr="00A259BD" w:rsidRDefault="00107F31" w:rsidP="009236E3">
      <w:pPr>
        <w:spacing w:after="0" w:line="240" w:lineRule="auto"/>
        <w:jc w:val="both"/>
        <w:rPr>
          <w:rFonts w:ascii="Times New Roman" w:hAnsi="Times New Roman"/>
          <w:bCs/>
          <w:color w:val="000000" w:themeColor="text1"/>
          <w:sz w:val="16"/>
          <w:szCs w:val="16"/>
        </w:rPr>
      </w:pPr>
      <w:r w:rsidRPr="00A259BD">
        <w:rPr>
          <w:rFonts w:ascii="Times New Roman" w:hAnsi="Times New Roman"/>
          <w:bCs/>
          <w:color w:val="000000" w:themeColor="text1"/>
          <w:sz w:val="16"/>
          <w:szCs w:val="16"/>
        </w:rPr>
        <w:t>18 июня</w:t>
      </w:r>
      <w:r w:rsidRPr="00A259BD">
        <w:rPr>
          <w:rFonts w:ascii="Times New Roman" w:hAnsi="Times New Roman"/>
          <w:color w:val="000000" w:themeColor="text1"/>
          <w:sz w:val="16"/>
          <w:szCs w:val="16"/>
        </w:rPr>
        <w:t xml:space="preserve"> в 1929 году впервые облетан прототип «BM-4e» с двигателем «</w:t>
      </w:r>
      <w:proofErr w:type="spellStart"/>
      <w:r w:rsidRPr="00A259BD">
        <w:rPr>
          <w:rFonts w:ascii="Times New Roman" w:hAnsi="Times New Roman"/>
          <w:color w:val="000000" w:themeColor="text1"/>
          <w:sz w:val="16"/>
          <w:szCs w:val="16"/>
        </w:rPr>
        <w:t>Peterlot</w:t>
      </w:r>
      <w:proofErr w:type="spellEnd"/>
      <w:r w:rsidRPr="00A259BD">
        <w:rPr>
          <w:rFonts w:ascii="Times New Roman" w:hAnsi="Times New Roman"/>
          <w:color w:val="000000" w:themeColor="text1"/>
          <w:sz w:val="16"/>
          <w:szCs w:val="16"/>
        </w:rPr>
        <w:t xml:space="preserve">» польского УТС </w:t>
      </w:r>
      <w:hyperlink r:id="rId66" w:tgtFrame="_blank" w:history="1">
        <w:r w:rsidRPr="00A259BD">
          <w:rPr>
            <w:rFonts w:ascii="Times New Roman" w:hAnsi="Times New Roman"/>
            <w:color w:val="000000" w:themeColor="text1"/>
            <w:sz w:val="16"/>
            <w:szCs w:val="16"/>
          </w:rPr>
          <w:t>«ВМ-4».</w:t>
        </w:r>
      </w:hyperlink>
    </w:p>
    <w:p w14:paraId="4FAD7439" w14:textId="77777777" w:rsidR="00107F31" w:rsidRPr="00A259BD" w:rsidRDefault="00107F31" w:rsidP="009236E3">
      <w:pPr>
        <w:spacing w:after="0" w:line="240" w:lineRule="auto"/>
        <w:jc w:val="both"/>
        <w:rPr>
          <w:rFonts w:ascii="Times New Roman" w:hAnsi="Times New Roman"/>
          <w:bCs/>
          <w:color w:val="000000" w:themeColor="text1"/>
          <w:sz w:val="16"/>
          <w:szCs w:val="16"/>
        </w:rPr>
      </w:pPr>
    </w:p>
    <w:p w14:paraId="560E3E27" w14:textId="77777777" w:rsidR="00D47779" w:rsidRPr="00A259BD" w:rsidRDefault="00D47779" w:rsidP="009236E3">
      <w:pPr>
        <w:autoSpaceDE w:val="0"/>
        <w:autoSpaceDN w:val="0"/>
        <w:adjustRightInd w:val="0"/>
        <w:spacing w:after="0" w:line="240" w:lineRule="auto"/>
        <w:jc w:val="both"/>
        <w:rPr>
          <w:rFonts w:ascii="Times New Roman" w:hAnsi="Times New Roman"/>
          <w:iCs/>
          <w:color w:val="000000" w:themeColor="text1"/>
          <w:sz w:val="16"/>
          <w:szCs w:val="16"/>
        </w:rPr>
      </w:pPr>
      <w:bookmarkStart w:id="57" w:name="_Hlk75785445"/>
      <w:r w:rsidRPr="00A259BD">
        <w:rPr>
          <w:rFonts w:ascii="Times New Roman" w:hAnsi="Times New Roman"/>
          <w:i/>
          <w:iCs/>
          <w:color w:val="000000" w:themeColor="text1"/>
          <w:sz w:val="16"/>
          <w:szCs w:val="16"/>
        </w:rPr>
        <w:t>Авиапромышленность:</w:t>
      </w:r>
    </w:p>
    <w:p w14:paraId="7B73523B" w14:textId="77777777" w:rsidR="00D47779" w:rsidRPr="00A259BD" w:rsidRDefault="00D4777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C158D48" w14:textId="77777777" w:rsidR="00D47779" w:rsidRPr="00A259BD" w:rsidRDefault="00D477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июня 1929 г.</w:t>
      </w:r>
    </w:p>
    <w:p w14:paraId="01D9B822" w14:textId="77777777" w:rsidR="00D47779" w:rsidRPr="00A259BD" w:rsidRDefault="00D477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ДОКЛАДНАЯ ЗАПИСКА СОТРУДНИКА II ЗАПАДНОГО ОТДЕЛА НКИД СССР Н.Я. РАЙВИДА В КОЛЛЕГИЮ НКИД СССР О ПЕРЕЛЕТЕ САМОЛЕТА С НАУЧНОЙ ЭКСПЕДИЦИЕЙ ЧЕРЕЗ АРКТИЧЕСКИЕ РАЙОНЫ1</w:t>
      </w:r>
    </w:p>
    <w:p w14:paraId="1879B3F1" w14:textId="77777777" w:rsidR="00D47779" w:rsidRPr="00A259BD" w:rsidRDefault="00D477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июня 1929 г.</w:t>
      </w:r>
    </w:p>
    <w:p w14:paraId="0FF8D1E3" w14:textId="77777777" w:rsidR="00D47779" w:rsidRPr="00A259BD" w:rsidRDefault="00D477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Секретно</w:t>
      </w:r>
    </w:p>
    <w:p w14:paraId="5798B7D2" w14:textId="77777777" w:rsidR="00D47779" w:rsidRPr="00A259BD" w:rsidRDefault="00D477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Докладная записка</w:t>
      </w:r>
    </w:p>
    <w:p w14:paraId="18D0E2A3" w14:textId="77777777" w:rsidR="00D47779" w:rsidRPr="00A259BD" w:rsidRDefault="00D477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Постановления последнего заседания Совета «</w:t>
      </w:r>
      <w:proofErr w:type="spellStart"/>
      <w:r w:rsidRPr="00A259BD">
        <w:rPr>
          <w:rFonts w:ascii="Times New Roman" w:hAnsi="Times New Roman"/>
          <w:color w:val="000000" w:themeColor="text1"/>
          <w:sz w:val="16"/>
          <w:szCs w:val="16"/>
        </w:rPr>
        <w:t>Аэроарктик</w:t>
      </w:r>
      <w:proofErr w:type="spellEnd"/>
      <w:r w:rsidRPr="00A259BD">
        <w:rPr>
          <w:rFonts w:ascii="Times New Roman" w:hAnsi="Times New Roman"/>
          <w:color w:val="000000" w:themeColor="text1"/>
          <w:sz w:val="16"/>
          <w:szCs w:val="16"/>
        </w:rPr>
        <w:t xml:space="preserve">» (13—14 мая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вносят существенные изменения в организацию арктического перелета. Прежде всего, база экспедиции переносится из СССР в Норвегию. «</w:t>
      </w:r>
      <w:proofErr w:type="spellStart"/>
      <w:r w:rsidRPr="00A259BD">
        <w:rPr>
          <w:rFonts w:ascii="Times New Roman" w:hAnsi="Times New Roman"/>
          <w:color w:val="000000" w:themeColor="text1"/>
          <w:sz w:val="16"/>
          <w:szCs w:val="16"/>
        </w:rPr>
        <w:t>Аэроарктик</w:t>
      </w:r>
      <w:proofErr w:type="spellEnd"/>
      <w:r w:rsidRPr="00A259BD">
        <w:rPr>
          <w:rFonts w:ascii="Times New Roman" w:hAnsi="Times New Roman"/>
          <w:color w:val="000000" w:themeColor="text1"/>
          <w:sz w:val="16"/>
          <w:szCs w:val="16"/>
        </w:rPr>
        <w:t>» объясняет эту меру техническими и финансовыми соображениями. Далее, монопольное право информации о перелете предоставлено агентству Херст (прежде предполагалось, что вся информация будет сосредоточена в руках Херста и Вольфа. Но, по последним сведениям, все права скуплены Херстом).</w:t>
      </w:r>
    </w:p>
    <w:p w14:paraId="2093378C" w14:textId="77777777" w:rsidR="00D47779" w:rsidRPr="00A259BD" w:rsidRDefault="00D477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Вследствие этого у участников экспедиции предполагается отбирать подписку о том, что они не будут делать никаких заявлений и не будут ничего писать о перелете в течение срока с 1 января 1930 г. и по истечении 8 недель после окончания экспедиции. Необходимо решить вопрос о том, допустимо ли, чтобы наши ученые давали такого рода подписку. Отдел Центральной Европы считал бы, что следует оставить за советскими участниками перелета право информации по окончании перелета, согласившись на отказ от информации во время самого перелета. Вместе с тем, подлежит решению основной вопрос о согласии СССР на разрешение перелета через советскую территорию.</w:t>
      </w:r>
    </w:p>
    <w:p w14:paraId="4AC6AF67" w14:textId="77777777" w:rsidR="00D47779" w:rsidRPr="00A259BD" w:rsidRDefault="00D477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 РАЙ ВИД</w:t>
      </w:r>
    </w:p>
    <w:p w14:paraId="4343EF70" w14:textId="77777777" w:rsidR="00D47779" w:rsidRPr="00A259BD" w:rsidRDefault="00D477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АВП РФ. Ф. 027а. On. 1. П. 11. Д. 60. Л. 266. Подлинник.</w:t>
      </w:r>
    </w:p>
    <w:p w14:paraId="2045808B" w14:textId="77777777" w:rsidR="00D47779" w:rsidRPr="00A259BD" w:rsidRDefault="00D477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'Записка разослана </w:t>
      </w:r>
      <w:proofErr w:type="spellStart"/>
      <w:r w:rsidRPr="00A259BD">
        <w:rPr>
          <w:rFonts w:ascii="Times New Roman" w:hAnsi="Times New Roman"/>
          <w:color w:val="000000" w:themeColor="text1"/>
          <w:sz w:val="16"/>
          <w:szCs w:val="16"/>
        </w:rPr>
        <w:t>Стомонякову</w:t>
      </w:r>
      <w:proofErr w:type="spellEnd"/>
      <w:r w:rsidRPr="00A259BD">
        <w:rPr>
          <w:rFonts w:ascii="Times New Roman" w:hAnsi="Times New Roman"/>
          <w:color w:val="000000" w:themeColor="text1"/>
          <w:sz w:val="16"/>
          <w:szCs w:val="16"/>
        </w:rPr>
        <w:t>, Карахану, Ротштейну, Канторовичу (20784).</w:t>
      </w:r>
    </w:p>
    <w:p w14:paraId="25611AB5" w14:textId="77777777" w:rsidR="00D47779" w:rsidRPr="00A259BD" w:rsidRDefault="00D47779" w:rsidP="009236E3">
      <w:pPr>
        <w:spacing w:after="0" w:line="240" w:lineRule="auto"/>
        <w:jc w:val="both"/>
        <w:rPr>
          <w:rFonts w:ascii="Times New Roman" w:hAnsi="Times New Roman"/>
          <w:color w:val="000000" w:themeColor="text1"/>
          <w:sz w:val="16"/>
          <w:szCs w:val="16"/>
        </w:rPr>
      </w:pPr>
    </w:p>
    <w:bookmarkEnd w:id="57"/>
    <w:p w14:paraId="4C509416" w14:textId="77777777" w:rsidR="00077238"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A4DE09D" w14:textId="77777777" w:rsidR="00077238" w:rsidRPr="00A259BD"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8AED1F6" w14:textId="77777777" w:rsidR="00077238" w:rsidRPr="00A259BD" w:rsidRDefault="00077238" w:rsidP="009236E3">
      <w:pPr>
        <w:pStyle w:val="rtejustify"/>
        <w:spacing w:before="0" w:after="0"/>
        <w:rPr>
          <w:color w:val="000000" w:themeColor="text1"/>
          <w:sz w:val="16"/>
          <w:szCs w:val="16"/>
        </w:rPr>
      </w:pPr>
      <w:r w:rsidRPr="00A259BD">
        <w:rPr>
          <w:rStyle w:val="af0"/>
          <w:i w:val="0"/>
          <w:color w:val="000000" w:themeColor="text1"/>
          <w:sz w:val="16"/>
          <w:szCs w:val="16"/>
        </w:rPr>
        <w:t xml:space="preserve">19 июня </w:t>
      </w:r>
      <w:r w:rsidRPr="00A259BD">
        <w:rPr>
          <w:color w:val="000000" w:themeColor="text1"/>
          <w:sz w:val="16"/>
          <w:szCs w:val="16"/>
        </w:rPr>
        <w:t>1929 г</w:t>
      </w:r>
      <w:r w:rsidRPr="00A259BD">
        <w:rPr>
          <w:rStyle w:val="af0"/>
          <w:i w:val="0"/>
          <w:color w:val="000000" w:themeColor="text1"/>
          <w:sz w:val="16"/>
          <w:szCs w:val="16"/>
        </w:rPr>
        <w:t>. Протокол Реввоенсовета № 28.</w:t>
      </w:r>
      <w:r w:rsidRPr="00A259BD">
        <w:rPr>
          <w:color w:val="000000" w:themeColor="text1"/>
          <w:sz w:val="16"/>
          <w:szCs w:val="16"/>
        </w:rPr>
        <w:t xml:space="preserve"> 3. О заказе </w:t>
      </w:r>
      <w:proofErr w:type="spellStart"/>
      <w:r w:rsidRPr="00A259BD">
        <w:rPr>
          <w:color w:val="000000" w:themeColor="text1"/>
          <w:sz w:val="16"/>
          <w:szCs w:val="16"/>
        </w:rPr>
        <w:t>винпатронов</w:t>
      </w:r>
      <w:proofErr w:type="spellEnd"/>
      <w:r w:rsidRPr="00A259BD">
        <w:rPr>
          <w:color w:val="000000" w:themeColor="text1"/>
          <w:sz w:val="16"/>
          <w:szCs w:val="16"/>
        </w:rPr>
        <w:t xml:space="preserve"> в виде элементов патронов. (</w:t>
      </w:r>
      <w:proofErr w:type="spellStart"/>
      <w:r w:rsidRPr="00A259BD">
        <w:rPr>
          <w:color w:val="000000" w:themeColor="text1"/>
          <w:sz w:val="16"/>
          <w:szCs w:val="16"/>
        </w:rPr>
        <w:t>Гарф</w:t>
      </w:r>
      <w:proofErr w:type="spellEnd"/>
      <w:r w:rsidRPr="00A259BD">
        <w:rPr>
          <w:color w:val="000000" w:themeColor="text1"/>
          <w:sz w:val="16"/>
          <w:szCs w:val="16"/>
        </w:rPr>
        <w:t>). 7. О постройке плавучей батареи для реки Днепра. (</w:t>
      </w:r>
      <w:proofErr w:type="spellStart"/>
      <w:r w:rsidRPr="00A259BD">
        <w:rPr>
          <w:color w:val="000000" w:themeColor="text1"/>
          <w:sz w:val="16"/>
          <w:szCs w:val="16"/>
        </w:rPr>
        <w:t>Дуплицкий</w:t>
      </w:r>
      <w:proofErr w:type="spellEnd"/>
      <w:r w:rsidRPr="00A259BD">
        <w:rPr>
          <w:color w:val="000000" w:themeColor="text1"/>
          <w:sz w:val="16"/>
          <w:szCs w:val="16"/>
        </w:rPr>
        <w:t>, Власьев). (РГВА. Ф. 4. Оп. 18. Д. 15. Л. 187) (12342).</w:t>
      </w:r>
    </w:p>
    <w:p w14:paraId="55B9858F" w14:textId="77777777" w:rsidR="00077238" w:rsidRPr="00A259BD" w:rsidRDefault="00077238" w:rsidP="009236E3">
      <w:pPr>
        <w:pStyle w:val="rtejustify"/>
        <w:spacing w:before="0" w:after="0"/>
        <w:rPr>
          <w:color w:val="000000" w:themeColor="text1"/>
          <w:sz w:val="16"/>
          <w:szCs w:val="16"/>
        </w:rPr>
      </w:pPr>
    </w:p>
    <w:p w14:paraId="4945ABD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0DD6E3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D9B5B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июня 1929 года в НИИ ВВС проводилось испытание самолета РV БМВ6 на управляемость и на определение горизонтальных скоростей по мерному километру.</w:t>
      </w:r>
    </w:p>
    <w:p w14:paraId="501C9B0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 Писаренко (6916).</w:t>
      </w:r>
    </w:p>
    <w:p w14:paraId="7475015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2A8A9C" w14:textId="77777777" w:rsidR="00D47779" w:rsidRPr="00A259BD" w:rsidRDefault="00D47779" w:rsidP="009236E3">
      <w:pPr>
        <w:spacing w:after="0" w:line="240" w:lineRule="auto"/>
        <w:jc w:val="both"/>
        <w:rPr>
          <w:rFonts w:ascii="Times New Roman" w:hAnsi="Times New Roman"/>
          <w:color w:val="000000" w:themeColor="text1"/>
          <w:sz w:val="16"/>
          <w:szCs w:val="16"/>
          <w:lang w:eastAsia="ru-RU" w:bidi="ru-RU"/>
        </w:rPr>
      </w:pPr>
      <w:bookmarkStart w:id="58" w:name="_Hlk75785535"/>
      <w:r w:rsidRPr="00A259BD">
        <w:rPr>
          <w:rFonts w:ascii="Times New Roman" w:hAnsi="Times New Roman"/>
          <w:color w:val="000000" w:themeColor="text1"/>
          <w:sz w:val="16"/>
          <w:szCs w:val="16"/>
          <w:lang w:eastAsia="ru-RU" w:bidi="ru-RU"/>
        </w:rPr>
        <w:t>20 июня 1929 г. после облета, рано утром, са</w:t>
      </w:r>
      <w:r w:rsidRPr="00A259BD">
        <w:rPr>
          <w:rFonts w:ascii="Times New Roman" w:hAnsi="Times New Roman"/>
          <w:color w:val="000000" w:themeColor="text1"/>
          <w:sz w:val="16"/>
          <w:szCs w:val="16"/>
          <w:lang w:eastAsia="ru-RU" w:bidi="ru-RU"/>
        </w:rPr>
        <w:softHyphen/>
        <w:t>молет РОМ-1 вылетел из Таганрога в Севастополь под уп</w:t>
      </w:r>
      <w:r w:rsidRPr="00A259BD">
        <w:rPr>
          <w:rFonts w:ascii="Times New Roman" w:hAnsi="Times New Roman"/>
          <w:color w:val="000000" w:themeColor="text1"/>
          <w:sz w:val="16"/>
          <w:szCs w:val="16"/>
          <w:lang w:eastAsia="ru-RU" w:bidi="ru-RU"/>
        </w:rPr>
        <w:softHyphen/>
        <w:t xml:space="preserve">равлением </w:t>
      </w:r>
      <w:proofErr w:type="spellStart"/>
      <w:r w:rsidRPr="00A259BD">
        <w:rPr>
          <w:rFonts w:ascii="Times New Roman" w:hAnsi="Times New Roman"/>
          <w:color w:val="000000" w:themeColor="text1"/>
          <w:sz w:val="16"/>
          <w:szCs w:val="16"/>
          <w:lang w:eastAsia="ru-RU" w:bidi="ru-RU"/>
        </w:rPr>
        <w:t>военморлета</w:t>
      </w:r>
      <w:proofErr w:type="spellEnd"/>
      <w:r w:rsidRPr="00A259BD">
        <w:rPr>
          <w:rFonts w:ascii="Times New Roman" w:hAnsi="Times New Roman"/>
          <w:color w:val="000000" w:themeColor="text1"/>
          <w:sz w:val="16"/>
          <w:szCs w:val="16"/>
          <w:lang w:eastAsia="ru-RU" w:bidi="ru-RU"/>
        </w:rPr>
        <w:t xml:space="preserve"> </w:t>
      </w:r>
      <w:proofErr w:type="spellStart"/>
      <w:r w:rsidRPr="00A259BD">
        <w:rPr>
          <w:rFonts w:ascii="Times New Roman" w:hAnsi="Times New Roman"/>
          <w:color w:val="000000" w:themeColor="text1"/>
          <w:sz w:val="16"/>
          <w:szCs w:val="16"/>
          <w:lang w:eastAsia="ru-RU" w:bidi="ru-RU"/>
        </w:rPr>
        <w:t>Рыбальчука</w:t>
      </w:r>
      <w:proofErr w:type="spellEnd"/>
      <w:r w:rsidRPr="00A259BD">
        <w:rPr>
          <w:rFonts w:ascii="Times New Roman" w:hAnsi="Times New Roman"/>
          <w:color w:val="000000" w:themeColor="text1"/>
          <w:sz w:val="16"/>
          <w:szCs w:val="16"/>
          <w:lang w:eastAsia="ru-RU" w:bidi="ru-RU"/>
        </w:rPr>
        <w:t xml:space="preserve"> для окончания ис</w:t>
      </w:r>
      <w:r w:rsidRPr="00A259BD">
        <w:rPr>
          <w:rFonts w:ascii="Times New Roman" w:hAnsi="Times New Roman"/>
          <w:color w:val="000000" w:themeColor="text1"/>
          <w:sz w:val="16"/>
          <w:szCs w:val="16"/>
          <w:lang w:eastAsia="ru-RU" w:bidi="ru-RU"/>
        </w:rPr>
        <w:softHyphen/>
        <w:t>пытаний и передачи в распоряжение ВВС (20325).</w:t>
      </w:r>
    </w:p>
    <w:p w14:paraId="061449A2" w14:textId="77777777" w:rsidR="00D47779" w:rsidRPr="00A259BD" w:rsidRDefault="00D47779" w:rsidP="009236E3">
      <w:pPr>
        <w:spacing w:after="0" w:line="240" w:lineRule="auto"/>
        <w:jc w:val="both"/>
        <w:rPr>
          <w:rFonts w:ascii="Times New Roman" w:hAnsi="Times New Roman"/>
          <w:color w:val="000000" w:themeColor="text1"/>
          <w:sz w:val="16"/>
          <w:szCs w:val="16"/>
        </w:rPr>
      </w:pPr>
    </w:p>
    <w:bookmarkEnd w:id="58"/>
    <w:p w14:paraId="47C12240" w14:textId="77777777" w:rsidR="00077238"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74BBB34" w14:textId="77777777" w:rsidR="00077238" w:rsidRPr="00A259BD"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599E73" w14:textId="77777777" w:rsidR="00077238" w:rsidRPr="00A259BD" w:rsidRDefault="00077238"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20 июня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Протокол заседания Политбюро ЦК ВКП(б) № 85. Решения ПБ от 17 июня 1929 г. 38. О состоянии обороны страны и о работе РЗ СТО (ПБ от 28 августа 1928 г., пр. № 39, п. 26 и от 23 марта 1928 г., пр. № 16, п. 17). (Политбюро... Т. 1. С. 701) (12416).</w:t>
      </w:r>
    </w:p>
    <w:p w14:paraId="7C204C1C" w14:textId="77777777" w:rsidR="00077238" w:rsidRPr="00A259BD" w:rsidRDefault="00077238" w:rsidP="009236E3">
      <w:pPr>
        <w:spacing w:after="0" w:line="240" w:lineRule="auto"/>
        <w:jc w:val="both"/>
        <w:rPr>
          <w:rFonts w:ascii="Times New Roman" w:hAnsi="Times New Roman"/>
          <w:color w:val="000000" w:themeColor="text1"/>
          <w:sz w:val="16"/>
          <w:szCs w:val="16"/>
          <w:u w:color="002060"/>
        </w:rPr>
      </w:pPr>
    </w:p>
    <w:p w14:paraId="7E14C00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D19033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9E75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июня 1929 состоялись первые пробежки Ш-1 (прообраз Ш-2 с Вальтер 85 </w:t>
      </w:r>
      <w:proofErr w:type="spellStart"/>
      <w:r w:rsidRPr="00A259BD">
        <w:rPr>
          <w:rFonts w:ascii="Times New Roman" w:hAnsi="Times New Roman"/>
          <w:color w:val="000000" w:themeColor="text1"/>
          <w:sz w:val="16"/>
          <w:szCs w:val="16"/>
        </w:rPr>
        <w:t>нр</w:t>
      </w:r>
      <w:proofErr w:type="spellEnd"/>
      <w:r w:rsidRPr="00A259BD">
        <w:rPr>
          <w:rFonts w:ascii="Times New Roman" w:hAnsi="Times New Roman"/>
          <w:color w:val="000000" w:themeColor="text1"/>
          <w:sz w:val="16"/>
          <w:szCs w:val="16"/>
        </w:rPr>
        <w:t xml:space="preserve">) по воде и подъем </w:t>
      </w:r>
      <w:proofErr w:type="spellStart"/>
      <w:r w:rsidRPr="00A259BD">
        <w:rPr>
          <w:rFonts w:ascii="Times New Roman" w:hAnsi="Times New Roman"/>
          <w:color w:val="000000" w:themeColor="text1"/>
          <w:sz w:val="16"/>
          <w:szCs w:val="16"/>
        </w:rPr>
        <w:t>Б.В.Глаголевым</w:t>
      </w:r>
      <w:proofErr w:type="spellEnd"/>
      <w:r w:rsidRPr="00A259BD">
        <w:rPr>
          <w:rFonts w:ascii="Times New Roman" w:hAnsi="Times New Roman"/>
          <w:color w:val="000000" w:themeColor="text1"/>
          <w:sz w:val="16"/>
          <w:szCs w:val="16"/>
        </w:rPr>
        <w:t xml:space="preserve"> (99,146).</w:t>
      </w:r>
    </w:p>
    <w:p w14:paraId="31034C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другим данным, пробежки были еще в начале месяца, а в этот день - первый полет.</w:t>
      </w:r>
    </w:p>
    <w:p w14:paraId="66A2055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B452D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июня 1929 г. состоялся первый полет самолета-амфибии Ш-1 </w:t>
      </w:r>
      <w:proofErr w:type="spellStart"/>
      <w:r w:rsidRPr="00A259BD">
        <w:rPr>
          <w:rFonts w:ascii="Times New Roman" w:hAnsi="Times New Roman"/>
          <w:color w:val="000000" w:themeColor="text1"/>
          <w:sz w:val="16"/>
          <w:szCs w:val="16"/>
        </w:rPr>
        <w:t>В.Б.Шаврова</w:t>
      </w:r>
      <w:proofErr w:type="spellEnd"/>
      <w:r w:rsidRPr="00A259BD">
        <w:rPr>
          <w:rFonts w:ascii="Times New Roman" w:hAnsi="Times New Roman"/>
          <w:color w:val="000000" w:themeColor="text1"/>
          <w:sz w:val="16"/>
          <w:szCs w:val="16"/>
        </w:rPr>
        <w:t xml:space="preserve"> (6395).</w:t>
      </w:r>
    </w:p>
    <w:p w14:paraId="50DAF9B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2506B1" w14:textId="77777777" w:rsidR="00207FB1" w:rsidRPr="006B74EB" w:rsidRDefault="00207FB1" w:rsidP="00207FB1">
      <w:pPr>
        <w:spacing w:after="0" w:line="240" w:lineRule="auto"/>
        <w:jc w:val="both"/>
        <w:rPr>
          <w:rFonts w:ascii="Times New Roman" w:hAnsi="Times New Roman"/>
          <w:color w:val="0070C0"/>
          <w:sz w:val="16"/>
          <w:szCs w:val="16"/>
        </w:rPr>
      </w:pPr>
      <w:r>
        <w:rPr>
          <w:rFonts w:ascii="Times New Roman" w:hAnsi="Times New Roman"/>
          <w:color w:val="0070C0"/>
          <w:sz w:val="16"/>
          <w:szCs w:val="16"/>
        </w:rPr>
        <w:t>21 июня 1929 г. в</w:t>
      </w:r>
      <w:r w:rsidRPr="006B74EB">
        <w:rPr>
          <w:rFonts w:ascii="Times New Roman" w:hAnsi="Times New Roman"/>
          <w:color w:val="0070C0"/>
          <w:sz w:val="16"/>
          <w:szCs w:val="16"/>
        </w:rPr>
        <w:t xml:space="preserve"> Ленинграде состоялось испытание первой советской</w:t>
      </w:r>
      <w:r>
        <w:rPr>
          <w:rFonts w:ascii="Times New Roman" w:hAnsi="Times New Roman"/>
          <w:color w:val="0070C0"/>
          <w:sz w:val="16"/>
          <w:szCs w:val="16"/>
        </w:rPr>
        <w:t xml:space="preserve"> амфибии</w:t>
      </w:r>
      <w:r w:rsidRPr="006B74EB">
        <w:rPr>
          <w:rFonts w:ascii="Times New Roman" w:hAnsi="Times New Roman"/>
          <w:color w:val="0070C0"/>
          <w:sz w:val="16"/>
          <w:szCs w:val="16"/>
        </w:rPr>
        <w:t xml:space="preserve"> конструкции инженера Вадима Борисовича Шаврова </w:t>
      </w:r>
      <w:r>
        <w:rPr>
          <w:rFonts w:ascii="Times New Roman" w:hAnsi="Times New Roman"/>
          <w:color w:val="0070C0"/>
          <w:sz w:val="16"/>
          <w:szCs w:val="16"/>
        </w:rPr>
        <w:t xml:space="preserve">- </w:t>
      </w:r>
      <w:proofErr w:type="spellStart"/>
      <w:r>
        <w:rPr>
          <w:rFonts w:ascii="Times New Roman" w:hAnsi="Times New Roman"/>
          <w:color w:val="0070C0"/>
          <w:sz w:val="16"/>
          <w:szCs w:val="16"/>
        </w:rPr>
        <w:t>двух</w:t>
      </w:r>
      <w:r w:rsidRPr="006B74EB">
        <w:rPr>
          <w:rFonts w:ascii="Times New Roman" w:hAnsi="Times New Roman"/>
          <w:color w:val="0070C0"/>
          <w:sz w:val="16"/>
          <w:szCs w:val="16"/>
        </w:rPr>
        <w:t>местнып</w:t>
      </w:r>
      <w:proofErr w:type="spellEnd"/>
      <w:r w:rsidRPr="006B74EB">
        <w:rPr>
          <w:rFonts w:ascii="Times New Roman" w:hAnsi="Times New Roman"/>
          <w:color w:val="0070C0"/>
          <w:sz w:val="16"/>
          <w:szCs w:val="16"/>
        </w:rPr>
        <w:t xml:space="preserve"> полутораплан типа парасоль с мотором Вальтер 85 л.с., </w:t>
      </w:r>
      <w:r>
        <w:rPr>
          <w:rFonts w:ascii="Times New Roman" w:hAnsi="Times New Roman"/>
          <w:color w:val="0070C0"/>
          <w:sz w:val="16"/>
          <w:szCs w:val="16"/>
        </w:rPr>
        <w:t>по</w:t>
      </w:r>
      <w:r w:rsidRPr="006B74EB">
        <w:rPr>
          <w:rFonts w:ascii="Times New Roman" w:hAnsi="Times New Roman"/>
          <w:color w:val="0070C0"/>
          <w:sz w:val="16"/>
          <w:szCs w:val="16"/>
        </w:rPr>
        <w:t>строенный в основном силами самого конструктора.</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Испытывался на </w:t>
      </w:r>
      <w:r>
        <w:rPr>
          <w:rFonts w:ascii="Times New Roman" w:hAnsi="Times New Roman"/>
          <w:color w:val="0070C0"/>
          <w:sz w:val="16"/>
          <w:szCs w:val="16"/>
        </w:rPr>
        <w:t>Н</w:t>
      </w:r>
      <w:r w:rsidRPr="006B74EB">
        <w:rPr>
          <w:rFonts w:ascii="Times New Roman" w:hAnsi="Times New Roman"/>
          <w:color w:val="0070C0"/>
          <w:sz w:val="16"/>
          <w:szCs w:val="16"/>
        </w:rPr>
        <w:t xml:space="preserve">еве как гидросамолет, а 3-го июля испытывался в Петергофе ухе как </w:t>
      </w:r>
      <w:r>
        <w:rPr>
          <w:rFonts w:ascii="Times New Roman" w:hAnsi="Times New Roman"/>
          <w:color w:val="0070C0"/>
          <w:sz w:val="16"/>
          <w:szCs w:val="16"/>
        </w:rPr>
        <w:t>амфибия</w:t>
      </w:r>
      <w:r w:rsidRPr="006B74EB">
        <w:rPr>
          <w:rFonts w:ascii="Times New Roman" w:hAnsi="Times New Roman"/>
          <w:color w:val="0070C0"/>
          <w:sz w:val="16"/>
          <w:szCs w:val="16"/>
        </w:rPr>
        <w:t xml:space="preserve">. </w:t>
      </w:r>
      <w:r>
        <w:rPr>
          <w:rFonts w:ascii="Times New Roman" w:hAnsi="Times New Roman"/>
          <w:color w:val="0070C0"/>
          <w:sz w:val="16"/>
          <w:szCs w:val="16"/>
        </w:rPr>
        <w:t>С</w:t>
      </w:r>
      <w:r w:rsidRPr="006B74EB">
        <w:rPr>
          <w:rFonts w:ascii="Times New Roman" w:hAnsi="Times New Roman"/>
          <w:color w:val="0070C0"/>
          <w:sz w:val="16"/>
          <w:szCs w:val="16"/>
        </w:rPr>
        <w:t>ерийно самолет не отроился, так как конструктор готов</w:t>
      </w:r>
      <w:r>
        <w:rPr>
          <w:rFonts w:ascii="Times New Roman" w:hAnsi="Times New Roman"/>
          <w:color w:val="0070C0"/>
          <w:sz w:val="16"/>
          <w:szCs w:val="16"/>
        </w:rPr>
        <w:t>ил</w:t>
      </w:r>
      <w:r w:rsidRPr="006B74EB">
        <w:rPr>
          <w:rFonts w:ascii="Times New Roman" w:hAnsi="Times New Roman"/>
          <w:color w:val="0070C0"/>
          <w:sz w:val="16"/>
          <w:szCs w:val="16"/>
        </w:rPr>
        <w:t xml:space="preserve"> </w:t>
      </w:r>
      <w:r>
        <w:rPr>
          <w:rFonts w:ascii="Times New Roman" w:hAnsi="Times New Roman"/>
          <w:color w:val="0070C0"/>
          <w:sz w:val="16"/>
          <w:szCs w:val="16"/>
        </w:rPr>
        <w:t>более</w:t>
      </w:r>
      <w:r w:rsidRPr="006B74EB">
        <w:rPr>
          <w:rFonts w:ascii="Times New Roman" w:hAnsi="Times New Roman"/>
          <w:color w:val="0070C0"/>
          <w:sz w:val="16"/>
          <w:szCs w:val="16"/>
        </w:rPr>
        <w:t xml:space="preserve"> совершенную амфибию </w:t>
      </w:r>
      <w:r>
        <w:rPr>
          <w:rFonts w:ascii="Times New Roman" w:hAnsi="Times New Roman"/>
          <w:color w:val="0070C0"/>
          <w:sz w:val="16"/>
          <w:szCs w:val="16"/>
        </w:rPr>
        <w:t>Ш</w:t>
      </w:r>
      <w:r w:rsidRPr="006B74EB">
        <w:rPr>
          <w:rFonts w:ascii="Times New Roman" w:hAnsi="Times New Roman"/>
          <w:color w:val="0070C0"/>
          <w:sz w:val="16"/>
          <w:szCs w:val="16"/>
        </w:rPr>
        <w:t xml:space="preserve">-2 под мотор </w:t>
      </w:r>
      <w:r>
        <w:rPr>
          <w:rFonts w:ascii="Times New Roman" w:hAnsi="Times New Roman"/>
          <w:color w:val="0070C0"/>
          <w:sz w:val="16"/>
          <w:szCs w:val="16"/>
        </w:rPr>
        <w:t>М</w:t>
      </w:r>
      <w:r w:rsidRPr="006B74EB">
        <w:rPr>
          <w:rFonts w:ascii="Times New Roman" w:hAnsi="Times New Roman"/>
          <w:color w:val="0070C0"/>
          <w:sz w:val="16"/>
          <w:szCs w:val="16"/>
        </w:rPr>
        <w:t xml:space="preserve">-11 </w:t>
      </w:r>
      <w:r>
        <w:rPr>
          <w:rFonts w:ascii="Times New Roman" w:hAnsi="Times New Roman"/>
          <w:color w:val="0070C0"/>
          <w:sz w:val="16"/>
          <w:szCs w:val="16"/>
        </w:rPr>
        <w:t xml:space="preserve">в </w:t>
      </w:r>
      <w:r w:rsidRPr="006B74EB">
        <w:rPr>
          <w:rFonts w:ascii="Times New Roman" w:hAnsi="Times New Roman"/>
          <w:color w:val="0070C0"/>
          <w:sz w:val="16"/>
          <w:szCs w:val="16"/>
        </w:rPr>
        <w:t>100 л.с.</w:t>
      </w:r>
    </w:p>
    <w:p w14:paraId="2F7E69E0" w14:textId="77777777" w:rsidR="00207FB1" w:rsidRDefault="00207FB1" w:rsidP="00207FB1">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 xml:space="preserve">/ВВФ,1929 </w:t>
      </w:r>
      <w:r>
        <w:rPr>
          <w:rFonts w:ascii="Times New Roman" w:hAnsi="Times New Roman"/>
          <w:color w:val="0070C0"/>
          <w:sz w:val="16"/>
          <w:szCs w:val="16"/>
        </w:rPr>
        <w:t>№</w:t>
      </w:r>
      <w:r w:rsidRPr="006B74EB">
        <w:rPr>
          <w:rFonts w:ascii="Times New Roman" w:hAnsi="Times New Roman"/>
          <w:color w:val="0070C0"/>
          <w:sz w:val="16"/>
          <w:szCs w:val="16"/>
        </w:rPr>
        <w:t xml:space="preserve"> 11;</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материалы </w:t>
      </w:r>
      <w:proofErr w:type="spellStart"/>
      <w:r w:rsidRPr="006B74EB">
        <w:rPr>
          <w:rFonts w:ascii="Times New Roman" w:hAnsi="Times New Roman"/>
          <w:color w:val="0070C0"/>
          <w:sz w:val="16"/>
          <w:szCs w:val="16"/>
        </w:rPr>
        <w:t>В.Б.Шаврова</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(23370)</w:t>
      </w:r>
      <w:r w:rsidRPr="006B74EB">
        <w:rPr>
          <w:rFonts w:ascii="Times New Roman" w:hAnsi="Times New Roman"/>
          <w:color w:val="0070C0"/>
          <w:sz w:val="16"/>
          <w:szCs w:val="16"/>
        </w:rPr>
        <w:t>.</w:t>
      </w:r>
    </w:p>
    <w:p w14:paraId="1FB08B59" w14:textId="77777777" w:rsidR="00207FB1" w:rsidRDefault="00207FB1" w:rsidP="00207FB1">
      <w:pPr>
        <w:spacing w:after="0" w:line="240" w:lineRule="auto"/>
        <w:jc w:val="both"/>
        <w:rPr>
          <w:rFonts w:ascii="Times New Roman" w:hAnsi="Times New Roman"/>
          <w:color w:val="0070C0"/>
          <w:sz w:val="16"/>
          <w:szCs w:val="16"/>
        </w:rPr>
      </w:pPr>
    </w:p>
    <w:p w14:paraId="7BA9D13D" w14:textId="77777777" w:rsidR="00107F31" w:rsidRPr="00A259BD" w:rsidRDefault="00107F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21 июня</w:t>
      </w:r>
      <w:r w:rsidRPr="00A259BD">
        <w:rPr>
          <w:rFonts w:ascii="Times New Roman" w:hAnsi="Times New Roman"/>
          <w:color w:val="000000" w:themeColor="text1"/>
          <w:sz w:val="16"/>
          <w:szCs w:val="16"/>
        </w:rPr>
        <w:t xml:space="preserve"> в 1929 году летчик </w:t>
      </w:r>
      <w:proofErr w:type="spellStart"/>
      <w:r w:rsidRPr="00A259BD">
        <w:rPr>
          <w:rFonts w:ascii="Times New Roman" w:hAnsi="Times New Roman"/>
          <w:color w:val="000000" w:themeColor="text1"/>
          <w:sz w:val="16"/>
          <w:szCs w:val="16"/>
        </w:rPr>
        <w:t>Б.В.Глаголев</w:t>
      </w:r>
      <w:proofErr w:type="spellEnd"/>
      <w:r w:rsidRPr="00A259BD">
        <w:rPr>
          <w:rFonts w:ascii="Times New Roman" w:hAnsi="Times New Roman"/>
          <w:color w:val="000000" w:themeColor="text1"/>
          <w:sz w:val="16"/>
          <w:szCs w:val="16"/>
        </w:rPr>
        <w:t xml:space="preserve"> выполнил первый полет на самолете </w:t>
      </w:r>
      <w:hyperlink r:id="rId67" w:tgtFrame="_blank" w:history="1">
        <w:r w:rsidRPr="00A259BD">
          <w:rPr>
            <w:rFonts w:ascii="Times New Roman" w:hAnsi="Times New Roman"/>
            <w:color w:val="000000" w:themeColor="text1"/>
            <w:sz w:val="16"/>
            <w:szCs w:val="16"/>
          </w:rPr>
          <w:t xml:space="preserve">«Ш-1», </w:t>
        </w:r>
      </w:hyperlink>
      <w:r w:rsidRPr="00A259BD">
        <w:rPr>
          <w:rFonts w:ascii="Times New Roman" w:hAnsi="Times New Roman"/>
          <w:color w:val="000000" w:themeColor="text1"/>
          <w:sz w:val="16"/>
          <w:szCs w:val="16"/>
        </w:rPr>
        <w:t>а затем и все полеты по программе заводских испытаний. По результатам государственных испытаний, проведенных в сентябре 1929 года был сделан вывод о необходимости установки более мощного двигателя (14929).</w:t>
      </w:r>
    </w:p>
    <w:p w14:paraId="3CCD1E7A" w14:textId="77777777" w:rsidR="00107F31" w:rsidRPr="00A259BD" w:rsidRDefault="00107F31" w:rsidP="009236E3">
      <w:pPr>
        <w:spacing w:after="0" w:line="240" w:lineRule="auto"/>
        <w:jc w:val="both"/>
        <w:rPr>
          <w:rFonts w:ascii="Times New Roman" w:hAnsi="Times New Roman"/>
          <w:color w:val="000000" w:themeColor="text1"/>
          <w:sz w:val="16"/>
          <w:szCs w:val="16"/>
        </w:rPr>
      </w:pPr>
    </w:p>
    <w:p w14:paraId="2416F7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июня 1929 Чл. Правления Одоевский и Зав. Техотделом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Окромешко</w:t>
      </w:r>
      <w:proofErr w:type="spellEnd"/>
      <w:r w:rsidRPr="00A259BD">
        <w:rPr>
          <w:rFonts w:ascii="Times New Roman" w:hAnsi="Times New Roman"/>
          <w:color w:val="000000" w:themeColor="text1"/>
          <w:sz w:val="16"/>
          <w:szCs w:val="16"/>
        </w:rPr>
        <w:t xml:space="preserve"> писали письмо N 182/4417 на завод 28 в ОПО-4 (копия Пом. пред. НТК УВВС Харламову):</w:t>
      </w:r>
    </w:p>
    <w:p w14:paraId="2033FA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"Принятым Правлением планом работ ОПО-4 предусмотрено начало в июле 1929 проектирования самолета ТОМ-2а под три мотора по 600 </w:t>
      </w:r>
      <w:proofErr w:type="spellStart"/>
      <w:r w:rsidRPr="00A259BD">
        <w:rPr>
          <w:rFonts w:ascii="Times New Roman" w:hAnsi="Times New Roman"/>
          <w:color w:val="000000" w:themeColor="text1"/>
          <w:sz w:val="16"/>
          <w:szCs w:val="16"/>
        </w:rPr>
        <w:t>нр</w:t>
      </w:r>
      <w:proofErr w:type="spellEnd"/>
      <w:r w:rsidRPr="00A259BD">
        <w:rPr>
          <w:rFonts w:ascii="Times New Roman" w:hAnsi="Times New Roman"/>
          <w:color w:val="000000" w:themeColor="text1"/>
          <w:sz w:val="16"/>
          <w:szCs w:val="16"/>
        </w:rPr>
        <w:t>.</w:t>
      </w:r>
    </w:p>
    <w:p w14:paraId="051DE1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Поскольку указанный самолет по плану УВВС за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не значится, то по согласованию с НТК УВВС предложение на этот самолет с изложением его </w:t>
      </w:r>
      <w:proofErr w:type="spellStart"/>
      <w:r w:rsidRPr="00A259BD">
        <w:rPr>
          <w:rFonts w:ascii="Times New Roman" w:hAnsi="Times New Roman"/>
          <w:color w:val="000000" w:themeColor="text1"/>
          <w:sz w:val="16"/>
          <w:szCs w:val="16"/>
        </w:rPr>
        <w:t>техданных</w:t>
      </w:r>
      <w:proofErr w:type="spellEnd"/>
      <w:r w:rsidRPr="00A259BD">
        <w:rPr>
          <w:rFonts w:ascii="Times New Roman" w:hAnsi="Times New Roman"/>
          <w:color w:val="000000" w:themeColor="text1"/>
          <w:sz w:val="16"/>
          <w:szCs w:val="16"/>
        </w:rPr>
        <w:t xml:space="preserve"> должно исходить от Треста.</w:t>
      </w:r>
    </w:p>
    <w:p w14:paraId="6667C0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Ввиду вышеизложенного препровождаю при сем для ориентировки разработанные НТК </w:t>
      </w:r>
      <w:proofErr w:type="spellStart"/>
      <w:r w:rsidRPr="00A259BD">
        <w:rPr>
          <w:rFonts w:ascii="Times New Roman" w:hAnsi="Times New Roman"/>
          <w:color w:val="000000" w:themeColor="text1"/>
          <w:sz w:val="16"/>
          <w:szCs w:val="16"/>
        </w:rPr>
        <w:t>техтребования</w:t>
      </w:r>
      <w:proofErr w:type="spellEnd"/>
      <w:r w:rsidRPr="00A259BD">
        <w:rPr>
          <w:rFonts w:ascii="Times New Roman" w:hAnsi="Times New Roman"/>
          <w:color w:val="000000" w:themeColor="text1"/>
          <w:sz w:val="16"/>
          <w:szCs w:val="16"/>
        </w:rPr>
        <w:t xml:space="preserve"> к морскому бомбардировщику-торпедоносцу тяжелого типа МТБ-1. Правление предлагает рассматривать их только как ориентировочный материал, а требования как минимальные разработать предложение ОПО-4 на поручаемый ему самолет ТОМ-2а.</w:t>
      </w:r>
    </w:p>
    <w:p w14:paraId="3554BF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предложении должны быть приведены все данные относительно летных и прочих качеств, нагрузок и вооружения с-та в объеме, применительно к </w:t>
      </w:r>
      <w:proofErr w:type="spellStart"/>
      <w:r w:rsidRPr="00A259BD">
        <w:rPr>
          <w:rFonts w:ascii="Times New Roman" w:hAnsi="Times New Roman"/>
          <w:color w:val="000000" w:themeColor="text1"/>
          <w:sz w:val="16"/>
          <w:szCs w:val="16"/>
        </w:rPr>
        <w:t>техтребованиям</w:t>
      </w:r>
      <w:proofErr w:type="spellEnd"/>
      <w:r w:rsidRPr="00A259BD">
        <w:rPr>
          <w:rFonts w:ascii="Times New Roman" w:hAnsi="Times New Roman"/>
          <w:color w:val="000000" w:themeColor="text1"/>
          <w:sz w:val="16"/>
          <w:szCs w:val="16"/>
        </w:rPr>
        <w:t xml:space="preserve"> НТК, чтобы можно было иметь исчерпывающие суждения о </w:t>
      </w:r>
      <w:proofErr w:type="spellStart"/>
      <w:r w:rsidRPr="00A259BD">
        <w:rPr>
          <w:rFonts w:ascii="Times New Roman" w:hAnsi="Times New Roman"/>
          <w:color w:val="000000" w:themeColor="text1"/>
          <w:sz w:val="16"/>
          <w:szCs w:val="16"/>
        </w:rPr>
        <w:t>лектных</w:t>
      </w:r>
      <w:proofErr w:type="spellEnd"/>
      <w:r w:rsidRPr="00A259BD">
        <w:rPr>
          <w:rFonts w:ascii="Times New Roman" w:hAnsi="Times New Roman"/>
          <w:color w:val="000000" w:themeColor="text1"/>
          <w:sz w:val="16"/>
          <w:szCs w:val="16"/>
        </w:rPr>
        <w:t xml:space="preserve"> и тактических данных предлагаемого с-та.</w:t>
      </w:r>
    </w:p>
    <w:p w14:paraId="0F422B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Данное предложение по его разработке представьте в 2-х экз. в Правление Треста для направления в НТК УВВС (2363,211).</w:t>
      </w:r>
    </w:p>
    <w:p w14:paraId="787F02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9E98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июня 1929 на Р-5 был выполнен перелет Москва-Севастополь - 1300 км за 5 ч 30 м ЛВ (271,115).</w:t>
      </w:r>
    </w:p>
    <w:p w14:paraId="4E4899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24422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июня 1929 года член Совета по ГА и гл. инспектор ГВФ В.А. </w:t>
      </w:r>
      <w:proofErr w:type="spellStart"/>
      <w:r w:rsidRPr="00A259BD">
        <w:rPr>
          <w:rFonts w:ascii="Times New Roman" w:hAnsi="Times New Roman"/>
          <w:color w:val="000000" w:themeColor="text1"/>
          <w:sz w:val="16"/>
          <w:szCs w:val="16"/>
        </w:rPr>
        <w:t>Зарзар</w:t>
      </w:r>
      <w:proofErr w:type="spellEnd"/>
      <w:r w:rsidRPr="00A259BD">
        <w:rPr>
          <w:rFonts w:ascii="Times New Roman" w:hAnsi="Times New Roman"/>
          <w:color w:val="000000" w:themeColor="text1"/>
          <w:sz w:val="16"/>
          <w:szCs w:val="16"/>
        </w:rPr>
        <w:t xml:space="preserve"> писал письмо № И/457 в НКИД Клявину</w:t>
      </w:r>
    </w:p>
    <w:p w14:paraId="1AD975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Сообщаю Вам состав участников перелета в Западную Европу на "АНТ-9":</w:t>
      </w:r>
    </w:p>
    <w:p w14:paraId="2376DFC0"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Зарзар</w:t>
      </w:r>
      <w:proofErr w:type="spellEnd"/>
      <w:r w:rsidRPr="00A259BD">
        <w:rPr>
          <w:rFonts w:ascii="Times New Roman" w:hAnsi="Times New Roman"/>
          <w:color w:val="000000" w:themeColor="text1"/>
          <w:sz w:val="16"/>
          <w:szCs w:val="16"/>
        </w:rPr>
        <w:t xml:space="preserve"> В.А., гл. инспектор ГВФ</w:t>
      </w:r>
    </w:p>
    <w:p w14:paraId="22728020"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Ксандров В.Н., председатель правления Всесоюзного общества "Добролет"</w:t>
      </w:r>
    </w:p>
    <w:p w14:paraId="1DAA0805"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Клевцов П.А. – зам. генерального секретаря Союза обществ "Осоавиахим"</w:t>
      </w:r>
    </w:p>
    <w:p w14:paraId="1F026ABB"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Громов М.М. – пилот самолета АНТ-9</w:t>
      </w:r>
    </w:p>
    <w:p w14:paraId="3AC54347"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Русаков В.П. – бортмеханик самолета АНТ-9</w:t>
      </w:r>
    </w:p>
    <w:p w14:paraId="3CB2CF3D"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Архангельский А.А. – инженер ЦАГИ</w:t>
      </w:r>
    </w:p>
    <w:p w14:paraId="32C525D6"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Кольцов М.Е. – корреспондент газет "Правда" и "Красная звезда"</w:t>
      </w:r>
    </w:p>
    <w:p w14:paraId="504951F1"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Ефимов Б.Е., корреспондент газет "Известия ЦИК" и "Красная звезда"</w:t>
      </w:r>
    </w:p>
    <w:p w14:paraId="27D9642B"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Гарри А.Н. - корреспондент газеты "Известия ЦИК"</w:t>
      </w:r>
    </w:p>
    <w:p w14:paraId="59E48263"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Бобрышев И.Т. - корреспондент газеты "Комсомольская Правда"</w:t>
      </w:r>
    </w:p>
    <w:p w14:paraId="2E6AF5B8"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Гофман К.Б. - корреспондент ТАСС (7769, 169).</w:t>
      </w:r>
    </w:p>
    <w:p w14:paraId="586160F2"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AD0FA3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2E1C8CD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854D5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июня 1929 г. в приказе РВС СССР от о введении в действие Полевого устава РККА 1929 года (ПУ-29) говорилось: «Средства химического нападения, указания на которые имеются в Полевом уставе, будут применяться Рабоче-Крестьянской Красной Армией лишь в том случае, если наши классовые противники применят их первыми» (11784).</w:t>
      </w:r>
    </w:p>
    <w:p w14:paraId="09913ED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2495EC"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июня 1929 г. </w:t>
      </w:r>
      <w:proofErr w:type="spellStart"/>
      <w:r w:rsidRPr="00A259BD">
        <w:rPr>
          <w:rFonts w:ascii="Times New Roman" w:hAnsi="Times New Roman"/>
          <w:color w:val="000000" w:themeColor="text1"/>
          <w:sz w:val="16"/>
          <w:szCs w:val="16"/>
        </w:rPr>
        <w:t>выщел</w:t>
      </w:r>
      <w:proofErr w:type="spellEnd"/>
      <w:r w:rsidRPr="00A259BD">
        <w:rPr>
          <w:rFonts w:ascii="Times New Roman" w:hAnsi="Times New Roman"/>
          <w:color w:val="000000" w:themeColor="text1"/>
          <w:sz w:val="16"/>
          <w:szCs w:val="16"/>
        </w:rPr>
        <w:t xml:space="preserve"> приказ РВС СССР № 153 «О введении в действие Наставления Артиллерии и ВВС РККА. Служба самолетов артиллерии и стрельба с воздушным наблюдением» (19566).</w:t>
      </w:r>
    </w:p>
    <w:p w14:paraId="2A985414" w14:textId="77777777" w:rsidR="0072351A" w:rsidRPr="00A259BD" w:rsidRDefault="0072351A" w:rsidP="009236E3">
      <w:pPr>
        <w:spacing w:after="0" w:line="240" w:lineRule="auto"/>
        <w:jc w:val="both"/>
        <w:rPr>
          <w:rFonts w:ascii="Times New Roman" w:hAnsi="Times New Roman"/>
          <w:color w:val="000000" w:themeColor="text1"/>
          <w:sz w:val="16"/>
          <w:szCs w:val="16"/>
        </w:rPr>
      </w:pPr>
    </w:p>
    <w:p w14:paraId="30DE58D6" w14:textId="77777777" w:rsidR="00107F31"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D02CDDA" w14:textId="77777777" w:rsidR="00107F31" w:rsidRPr="00A259BD" w:rsidRDefault="00107F3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A0024E" w14:textId="77777777" w:rsidR="00107F31" w:rsidRPr="00A259BD" w:rsidRDefault="00107F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21 июня</w:t>
      </w:r>
      <w:r w:rsidRPr="00A259BD">
        <w:rPr>
          <w:rFonts w:ascii="Times New Roman" w:hAnsi="Times New Roman"/>
          <w:color w:val="000000" w:themeColor="text1"/>
          <w:sz w:val="16"/>
          <w:szCs w:val="16"/>
        </w:rPr>
        <w:t xml:space="preserve"> в 1929 году взлетел первый прототип самолета </w:t>
      </w:r>
      <w:hyperlink r:id="rId68" w:tgtFrame="_blank" w:history="1">
        <w:r w:rsidRPr="00A259BD">
          <w:rPr>
            <w:rFonts w:ascii="Times New Roman" w:hAnsi="Times New Roman"/>
            <w:color w:val="000000" w:themeColor="text1"/>
            <w:sz w:val="16"/>
            <w:szCs w:val="16"/>
          </w:rPr>
          <w:t xml:space="preserve">«XF2U-1». </w:t>
        </w:r>
      </w:hyperlink>
      <w:r w:rsidRPr="00A259BD">
        <w:rPr>
          <w:rFonts w:ascii="Times New Roman" w:hAnsi="Times New Roman"/>
          <w:color w:val="000000" w:themeColor="text1"/>
          <w:sz w:val="16"/>
          <w:szCs w:val="16"/>
        </w:rPr>
        <w:t>Это был двухместный двухстоечный биплан, смешанной конструкции, оснащенный двигателем «Pratt &amp; Whitney» «R-1340C» «</w:t>
      </w:r>
      <w:proofErr w:type="spellStart"/>
      <w:r w:rsidRPr="00A259BD">
        <w:rPr>
          <w:rFonts w:ascii="Times New Roman" w:hAnsi="Times New Roman"/>
          <w:color w:val="000000" w:themeColor="text1"/>
          <w:sz w:val="16"/>
          <w:szCs w:val="16"/>
        </w:rPr>
        <w:t>Wasp</w:t>
      </w:r>
      <w:proofErr w:type="spellEnd"/>
      <w:r w:rsidRPr="00A259BD">
        <w:rPr>
          <w:rFonts w:ascii="Times New Roman" w:hAnsi="Times New Roman"/>
          <w:color w:val="000000" w:themeColor="text1"/>
          <w:sz w:val="16"/>
          <w:szCs w:val="16"/>
        </w:rPr>
        <w:t>» мощностью 450 л.с. Вооружение самолета состояло из двух передних 7.62-мм пулеметов, установленных над верхней центральной секцией крыла, и двух таких же пулеметов, в задней кабине на подвижной турели (14929).</w:t>
      </w:r>
    </w:p>
    <w:p w14:paraId="48854992" w14:textId="77777777" w:rsidR="00107F31" w:rsidRPr="00A259BD" w:rsidRDefault="00107F31" w:rsidP="009236E3">
      <w:pPr>
        <w:spacing w:after="0" w:line="240" w:lineRule="auto"/>
        <w:jc w:val="both"/>
        <w:rPr>
          <w:rFonts w:ascii="Times New Roman" w:hAnsi="Times New Roman"/>
          <w:color w:val="000000" w:themeColor="text1"/>
          <w:sz w:val="16"/>
          <w:szCs w:val="16"/>
        </w:rPr>
      </w:pPr>
    </w:p>
    <w:p w14:paraId="6C052F3C" w14:textId="77777777" w:rsidR="00D47779" w:rsidRPr="00A259BD" w:rsidRDefault="00D477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июня 1929 г. первый полет </w:t>
      </w:r>
      <w:proofErr w:type="spellStart"/>
      <w:r w:rsidRPr="00A259BD">
        <w:rPr>
          <w:rFonts w:ascii="Times New Roman" w:hAnsi="Times New Roman"/>
          <w:color w:val="000000" w:themeColor="text1"/>
          <w:sz w:val="16"/>
          <w:szCs w:val="16"/>
        </w:rPr>
        <w:t>Vought</w:t>
      </w:r>
      <w:proofErr w:type="spellEnd"/>
      <w:r w:rsidRPr="00A259BD">
        <w:rPr>
          <w:rFonts w:ascii="Times New Roman" w:hAnsi="Times New Roman"/>
          <w:color w:val="000000" w:themeColor="text1"/>
          <w:sz w:val="16"/>
          <w:szCs w:val="16"/>
        </w:rPr>
        <w:t xml:space="preserve"> XF2U-1 (20806).</w:t>
      </w:r>
    </w:p>
    <w:p w14:paraId="1DF1FE0B" w14:textId="77777777" w:rsidR="00D47779" w:rsidRPr="00A259BD" w:rsidRDefault="00D47779" w:rsidP="009236E3">
      <w:pPr>
        <w:spacing w:after="0" w:line="240" w:lineRule="auto"/>
        <w:jc w:val="both"/>
        <w:rPr>
          <w:rFonts w:ascii="Times New Roman" w:hAnsi="Times New Roman"/>
          <w:color w:val="000000" w:themeColor="text1"/>
          <w:sz w:val="16"/>
          <w:szCs w:val="16"/>
        </w:rPr>
      </w:pPr>
    </w:p>
    <w:p w14:paraId="67ABBF8A" w14:textId="77777777" w:rsidR="00D47779" w:rsidRPr="00A259BD" w:rsidRDefault="00D477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июня 1929 - Взлетел первый прототип самолета </w:t>
      </w:r>
      <w:proofErr w:type="spellStart"/>
      <w:r w:rsidRPr="00A259BD">
        <w:rPr>
          <w:rFonts w:ascii="Times New Roman" w:hAnsi="Times New Roman"/>
          <w:color w:val="000000" w:themeColor="text1"/>
          <w:sz w:val="16"/>
          <w:szCs w:val="16"/>
        </w:rPr>
        <w:t>Vought</w:t>
      </w:r>
      <w:proofErr w:type="spellEnd"/>
      <w:r w:rsidRPr="00A259BD">
        <w:rPr>
          <w:rFonts w:ascii="Times New Roman" w:hAnsi="Times New Roman"/>
          <w:color w:val="000000" w:themeColor="text1"/>
          <w:sz w:val="16"/>
          <w:szCs w:val="16"/>
        </w:rPr>
        <w:t xml:space="preserve"> XF2U-1. Это был двухместный двухстоечный биплан, смешанной конструкции, оснащенный двигателем Pratt &amp; Whitney R-1340C </w:t>
      </w:r>
      <w:proofErr w:type="spellStart"/>
      <w:r w:rsidRPr="00A259BD">
        <w:rPr>
          <w:rFonts w:ascii="Times New Roman" w:hAnsi="Times New Roman"/>
          <w:color w:val="000000" w:themeColor="text1"/>
          <w:sz w:val="16"/>
          <w:szCs w:val="16"/>
        </w:rPr>
        <w:t>Wasp</w:t>
      </w:r>
      <w:proofErr w:type="spellEnd"/>
      <w:r w:rsidRPr="00A259BD">
        <w:rPr>
          <w:rFonts w:ascii="Times New Roman" w:hAnsi="Times New Roman"/>
          <w:color w:val="000000" w:themeColor="text1"/>
          <w:sz w:val="16"/>
          <w:szCs w:val="16"/>
        </w:rPr>
        <w:t xml:space="preserve"> мощностью 450 л.с. Вооружение самолета состояло из двух передних 7.62-мм пулеметов, установленных над верхней центральной секцией крыла, и двух таких же пулеметов, в задней кабине на подвижной турели.  XF2U-1 прошел успешно все стадии испытания, после чего был передан для испытаний в </w:t>
      </w:r>
      <w:proofErr w:type="spellStart"/>
      <w:r w:rsidRPr="00A259BD">
        <w:rPr>
          <w:rFonts w:ascii="Times New Roman" w:hAnsi="Times New Roman"/>
          <w:color w:val="000000" w:themeColor="text1"/>
          <w:sz w:val="16"/>
          <w:szCs w:val="16"/>
        </w:rPr>
        <w:t>Naval</w:t>
      </w:r>
      <w:proofErr w:type="spellEnd"/>
      <w:r w:rsidRPr="00A259BD">
        <w:rPr>
          <w:rFonts w:ascii="Times New Roman" w:hAnsi="Times New Roman"/>
          <w:color w:val="000000" w:themeColor="text1"/>
          <w:sz w:val="16"/>
          <w:szCs w:val="16"/>
        </w:rPr>
        <w:t xml:space="preserve"> Aircraft Factory в феврале 1930 года. Утерян в результате аварии 6 марта 1931 года (22454).</w:t>
      </w:r>
    </w:p>
    <w:p w14:paraId="42DFFF47" w14:textId="77777777" w:rsidR="00D47779" w:rsidRPr="00A259BD" w:rsidRDefault="00D47779" w:rsidP="009236E3">
      <w:pPr>
        <w:spacing w:after="0" w:line="240" w:lineRule="auto"/>
        <w:jc w:val="both"/>
        <w:rPr>
          <w:rFonts w:ascii="Times New Roman" w:hAnsi="Times New Roman"/>
          <w:color w:val="000000" w:themeColor="text1"/>
          <w:sz w:val="16"/>
          <w:szCs w:val="16"/>
        </w:rPr>
      </w:pPr>
    </w:p>
    <w:p w14:paraId="69234169" w14:textId="77777777" w:rsidR="00D47779" w:rsidRPr="00A259BD" w:rsidRDefault="00D477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июня 1929 экипаж испанских ВВС во главе с пилотом майором Рамоном Франко, братом будущего испанского диктатора Франсиско Франко, вылетает из Лос-</w:t>
      </w:r>
      <w:proofErr w:type="spellStart"/>
      <w:r w:rsidRPr="00A259BD">
        <w:rPr>
          <w:rFonts w:ascii="Times New Roman" w:hAnsi="Times New Roman"/>
          <w:color w:val="000000" w:themeColor="text1"/>
          <w:sz w:val="16"/>
          <w:szCs w:val="16"/>
        </w:rPr>
        <w:t>Алькасарес</w:t>
      </w:r>
      <w:proofErr w:type="spellEnd"/>
      <w:r w:rsidRPr="00A259BD">
        <w:rPr>
          <w:rFonts w:ascii="Times New Roman" w:hAnsi="Times New Roman"/>
          <w:color w:val="000000" w:themeColor="text1"/>
          <w:sz w:val="16"/>
          <w:szCs w:val="16"/>
        </w:rPr>
        <w:t xml:space="preserve">, Испания , на летающей лодке </w:t>
      </w:r>
      <w:proofErr w:type="spellStart"/>
      <w:r w:rsidRPr="00A259BD">
        <w:rPr>
          <w:rFonts w:ascii="Times New Roman" w:hAnsi="Times New Roman"/>
          <w:color w:val="000000" w:themeColor="text1"/>
          <w:sz w:val="16"/>
          <w:szCs w:val="16"/>
        </w:rPr>
        <w:t>Dornier</w:t>
      </w:r>
      <w:proofErr w:type="spellEnd"/>
      <w:r w:rsidRPr="00A259BD">
        <w:rPr>
          <w:rFonts w:ascii="Times New Roman" w:hAnsi="Times New Roman"/>
          <w:color w:val="000000" w:themeColor="text1"/>
          <w:sz w:val="16"/>
          <w:szCs w:val="16"/>
        </w:rPr>
        <w:t xml:space="preserve"> Do J </w:t>
      </w:r>
      <w:proofErr w:type="spellStart"/>
      <w:r w:rsidRPr="00A259BD">
        <w:rPr>
          <w:rFonts w:ascii="Times New Roman" w:hAnsi="Times New Roman"/>
          <w:color w:val="000000" w:themeColor="text1"/>
          <w:sz w:val="16"/>
          <w:szCs w:val="16"/>
        </w:rPr>
        <w:t>Wal</w:t>
      </w:r>
      <w:proofErr w:type="spellEnd"/>
      <w:r w:rsidRPr="00A259BD">
        <w:rPr>
          <w:rFonts w:ascii="Times New Roman" w:hAnsi="Times New Roman"/>
          <w:color w:val="000000" w:themeColor="text1"/>
          <w:sz w:val="16"/>
          <w:szCs w:val="16"/>
        </w:rPr>
        <w:t xml:space="preserve"> («Кит») </w:t>
      </w:r>
      <w:proofErr w:type="spellStart"/>
      <w:r w:rsidRPr="00A259BD">
        <w:rPr>
          <w:rFonts w:ascii="Times New Roman" w:hAnsi="Times New Roman"/>
          <w:color w:val="000000" w:themeColor="text1"/>
          <w:sz w:val="16"/>
          <w:szCs w:val="16"/>
        </w:rPr>
        <w:t>Numancia</w:t>
      </w:r>
      <w:proofErr w:type="spellEnd"/>
      <w:r w:rsidRPr="00A259BD">
        <w:rPr>
          <w:rFonts w:ascii="Times New Roman" w:hAnsi="Times New Roman"/>
          <w:color w:val="000000" w:themeColor="text1"/>
          <w:sz w:val="16"/>
          <w:szCs w:val="16"/>
        </w:rPr>
        <w:t>, чтобы попытаться полететь на запад вокруг земного шара, намереваясь начать ночной перелет до своей первой остановки на Азорских островах. У них закончились топливо и они вынуждены приземлиться в северной части Атлантического океана 22 июня, где они дрейфовали, пока не были подобраны авианосцем HMS Eagle 29 июня (20806).</w:t>
      </w:r>
    </w:p>
    <w:p w14:paraId="08914FFC" w14:textId="77777777" w:rsidR="00D47779" w:rsidRPr="00A259BD" w:rsidRDefault="00D47779" w:rsidP="009236E3">
      <w:pPr>
        <w:spacing w:after="0" w:line="240" w:lineRule="auto"/>
        <w:jc w:val="both"/>
        <w:rPr>
          <w:rFonts w:ascii="Times New Roman" w:hAnsi="Times New Roman"/>
          <w:color w:val="000000" w:themeColor="text1"/>
          <w:sz w:val="16"/>
          <w:szCs w:val="16"/>
        </w:rPr>
      </w:pPr>
    </w:p>
    <w:p w14:paraId="3C643AB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C2D155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89847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июня 1929 первый серийный ТБ-1 № 603 (то есть третья серийная), предназначающийся для перелета в США, вывезли на аэродром. Пробный полет совершили 14 июля. Моторы перегревались. Дело в том, что полетный вес у рекордной машины был существенно больше, чем у опытного образца. В ЦАГИ срочно спроектировали и изготовили радиаторы увеличенной площади. Через пять дней их уже смонтировали на "Стране Советов".</w:t>
      </w:r>
    </w:p>
    <w:p w14:paraId="24EBA5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Экипаж состоял из командира С.А. </w:t>
      </w:r>
      <w:proofErr w:type="spellStart"/>
      <w:r w:rsidRPr="00A259BD">
        <w:rPr>
          <w:rFonts w:ascii="Times New Roman" w:hAnsi="Times New Roman"/>
          <w:color w:val="000000" w:themeColor="text1"/>
          <w:sz w:val="16"/>
          <w:szCs w:val="16"/>
        </w:rPr>
        <w:t>Ше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стакова</w:t>
      </w:r>
      <w:proofErr w:type="spellEnd"/>
      <w:r w:rsidRPr="00A259BD">
        <w:rPr>
          <w:rFonts w:ascii="Times New Roman" w:hAnsi="Times New Roman"/>
          <w:color w:val="000000" w:themeColor="text1"/>
          <w:sz w:val="16"/>
          <w:szCs w:val="16"/>
        </w:rPr>
        <w:t xml:space="preserve"> (тогда личного пилота начальника УВВС), второго пилота Ф.Е. Болотова, штурмана Б.В. Стерлигова и бортмеханика Д.В. </w:t>
      </w:r>
      <w:proofErr w:type="spellStart"/>
      <w:r w:rsidRPr="00A259BD">
        <w:rPr>
          <w:rFonts w:ascii="Times New Roman" w:hAnsi="Times New Roman"/>
          <w:color w:val="000000" w:themeColor="text1"/>
          <w:sz w:val="16"/>
          <w:szCs w:val="16"/>
        </w:rPr>
        <w:t>Фуфаева</w:t>
      </w:r>
      <w:proofErr w:type="spellEnd"/>
      <w:r w:rsidRPr="00A259BD">
        <w:rPr>
          <w:rFonts w:ascii="Times New Roman" w:hAnsi="Times New Roman"/>
          <w:color w:val="000000" w:themeColor="text1"/>
          <w:sz w:val="16"/>
          <w:szCs w:val="16"/>
        </w:rPr>
        <w:t>. От ЦАГИ подготовкой перелета занимался В.М. Петляков. Самолет должен был пролететь почти всю страну, на Дальнем Востоке сменить колеса на поплавки и продолжить путь вдоль побережья Тихого океана. Океан собирались пересечь в самом узком месте - через Берингов пролив. Далее маршрут лежал вдоль восточного побережья Северной Америки, после чего планировалось пересечь США от океана до океана.</w:t>
      </w:r>
    </w:p>
    <w:p w14:paraId="7F25EF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Рассматривались и два альтернативных варианта: через Европу и Северную Атлантику и через Западную Африку и Южную Америку, но их сочли более сложными. Предлагался даже проект кругосветного перелета, при котором Берингов пролив пересекался в обратную сторону (с Аляски). Основным аргументом за выбранный маршрут было прохождение большей его части над территорией СССР, что облегчало подготовку.</w:t>
      </w:r>
    </w:p>
    <w:p w14:paraId="6D724B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расчетные точки перелета завезли горючее и запасные части. Надо сказать, что из-за высокой по тем временам степени сжатия двигатели BMW VI работали не на чистом бензине, а на бензин- бензольной смеси, являвшейся в то время редкостью; бензол импортировали из Германии (12001).</w:t>
      </w:r>
    </w:p>
    <w:p w14:paraId="54D14A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C291E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июня 1929 состоялось совещание при Совете по ГА по вопросу организации заказов на самолеты и моторы на 1929-30 годы для ГА под председательством Зам. пред. Совета Я.И.А.:</w:t>
      </w:r>
    </w:p>
    <w:p w14:paraId="507522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Приняли к сведению отклонение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от ранее принятых обязательств по АНТ-9</w:t>
      </w:r>
    </w:p>
    <w:p w14:paraId="38BEBA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Просили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до 1 июля дать ответ о возможности поставки для ГА М-11</w:t>
      </w:r>
    </w:p>
    <w:p w14:paraId="08123B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Обсудили вопрос о заказе пассажирской многомоторной лодки и решили отложить до утверждения ее проекта</w:t>
      </w:r>
    </w:p>
    <w:p w14:paraId="3E78A1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Приняли к сведению заявление </w:t>
      </w:r>
      <w:proofErr w:type="spellStart"/>
      <w:r w:rsidRPr="00A259BD">
        <w:rPr>
          <w:rFonts w:ascii="Times New Roman" w:hAnsi="Times New Roman"/>
          <w:color w:val="000000" w:themeColor="text1"/>
          <w:sz w:val="16"/>
          <w:szCs w:val="16"/>
        </w:rPr>
        <w:t>Укрвоздухпути</w:t>
      </w:r>
      <w:proofErr w:type="spellEnd"/>
      <w:r w:rsidRPr="00A259BD">
        <w:rPr>
          <w:rFonts w:ascii="Times New Roman" w:hAnsi="Times New Roman"/>
          <w:color w:val="000000" w:themeColor="text1"/>
          <w:sz w:val="16"/>
          <w:szCs w:val="16"/>
        </w:rPr>
        <w:t>, что общество может принять заказ на 64 машины:</w:t>
      </w:r>
    </w:p>
    <w:p w14:paraId="34CF16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К-4 Л-5 - 24</w:t>
      </w:r>
    </w:p>
    <w:p w14:paraId="07A3D4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К-5 ЮП-6 480 </w:t>
      </w:r>
      <w:proofErr w:type="spellStart"/>
      <w:r w:rsidRPr="00A259BD">
        <w:rPr>
          <w:rFonts w:ascii="Times New Roman" w:hAnsi="Times New Roman"/>
          <w:color w:val="000000" w:themeColor="text1"/>
          <w:sz w:val="16"/>
          <w:szCs w:val="16"/>
        </w:rPr>
        <w:t>нр</w:t>
      </w:r>
      <w:proofErr w:type="spellEnd"/>
      <w:r w:rsidRPr="00A259BD">
        <w:rPr>
          <w:rFonts w:ascii="Times New Roman" w:hAnsi="Times New Roman"/>
          <w:color w:val="000000" w:themeColor="text1"/>
          <w:sz w:val="16"/>
          <w:szCs w:val="16"/>
        </w:rPr>
        <w:t xml:space="preserve"> - 25</w:t>
      </w:r>
    </w:p>
    <w:p w14:paraId="330B3E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К-6 ЮП-6 480 </w:t>
      </w:r>
      <w:proofErr w:type="spellStart"/>
      <w:r w:rsidRPr="00A259BD">
        <w:rPr>
          <w:rFonts w:ascii="Times New Roman" w:hAnsi="Times New Roman"/>
          <w:color w:val="000000" w:themeColor="text1"/>
          <w:sz w:val="16"/>
          <w:szCs w:val="16"/>
        </w:rPr>
        <w:t>нр</w:t>
      </w:r>
      <w:proofErr w:type="spellEnd"/>
      <w:r w:rsidRPr="00A259BD">
        <w:rPr>
          <w:rFonts w:ascii="Times New Roman" w:hAnsi="Times New Roman"/>
          <w:color w:val="000000" w:themeColor="text1"/>
          <w:sz w:val="16"/>
          <w:szCs w:val="16"/>
        </w:rPr>
        <w:t xml:space="preserve"> - 15 (2341,114).</w:t>
      </w:r>
    </w:p>
    <w:p w14:paraId="517457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Принимая во внимание, что со стороны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намечается отклонение от ранее принятых решений по вопросу серийного выпуска самолетов типа АНТ-9, просить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и ЦАГИ окончательно уточнить все связанные с выпуском этой машины технические вопросы и на основании этого дать </w:t>
      </w:r>
      <w:proofErr w:type="spellStart"/>
      <w:r w:rsidRPr="00A259BD">
        <w:rPr>
          <w:rFonts w:ascii="Times New Roman" w:hAnsi="Times New Roman"/>
          <w:color w:val="000000" w:themeColor="text1"/>
          <w:sz w:val="16"/>
          <w:szCs w:val="16"/>
        </w:rPr>
        <w:t>окочательное</w:t>
      </w:r>
      <w:proofErr w:type="spellEnd"/>
      <w:r w:rsidRPr="00A259BD">
        <w:rPr>
          <w:rFonts w:ascii="Times New Roman" w:hAnsi="Times New Roman"/>
          <w:color w:val="000000" w:themeColor="text1"/>
          <w:sz w:val="16"/>
          <w:szCs w:val="16"/>
        </w:rPr>
        <w:t xml:space="preserve"> дать окончательное предложение о сроках и условиях поставки в письменном виде.</w:t>
      </w:r>
    </w:p>
    <w:p w14:paraId="7757131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Просить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в 1 июля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дать окончательный ответ о возможности поставки им для нужд ГА учебных моторов типа М-11.</w:t>
      </w:r>
    </w:p>
    <w:p w14:paraId="6284A8A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связи с этим просить также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дать свои предложения о сроках и условиях поставки самолетов типа У-2 в количестве, соответствующем числу моторов, которые могут быть выполнены в гражданской авиации.</w:t>
      </w:r>
    </w:p>
    <w:p w14:paraId="16480C2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Обсуждение вопроса о заказе пассажирской многомоторной лодки отложить до утверждения проектов, представляемых на этот гидросамолет.</w:t>
      </w:r>
    </w:p>
    <w:p w14:paraId="65061D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Принять к сведению заявление Председателя Правления о-ва </w:t>
      </w: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 xml:space="preserve"> т. Касьяненко, что Обществом общая программа по самолетостроению на 1929-30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xml:space="preserve"> может быть принята на 64 самолета конструкции Калинина. По типам эта программа выполняется в следующем виде:</w:t>
      </w:r>
    </w:p>
    <w:p w14:paraId="36A8F3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К-4 с Л-5 - 24</w:t>
      </w:r>
    </w:p>
    <w:p w14:paraId="0A8EAB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К-5 с ЮП1У 480 </w:t>
      </w:r>
      <w:proofErr w:type="spellStart"/>
      <w:r w:rsidRPr="00A259BD">
        <w:rPr>
          <w:rFonts w:ascii="Times New Roman" w:hAnsi="Times New Roman"/>
          <w:color w:val="000000" w:themeColor="text1"/>
          <w:sz w:val="16"/>
          <w:szCs w:val="16"/>
        </w:rPr>
        <w:t>нр</w:t>
      </w:r>
      <w:proofErr w:type="spellEnd"/>
      <w:r w:rsidRPr="00A259BD">
        <w:rPr>
          <w:rFonts w:ascii="Times New Roman" w:hAnsi="Times New Roman"/>
          <w:color w:val="000000" w:themeColor="text1"/>
          <w:sz w:val="16"/>
          <w:szCs w:val="16"/>
        </w:rPr>
        <w:t xml:space="preserve"> - 25</w:t>
      </w:r>
    </w:p>
    <w:p w14:paraId="1E4EB6F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К-6 с ЮП1У 480 </w:t>
      </w:r>
      <w:proofErr w:type="spellStart"/>
      <w:r w:rsidRPr="00A259BD">
        <w:rPr>
          <w:rFonts w:ascii="Times New Roman" w:hAnsi="Times New Roman"/>
          <w:color w:val="000000" w:themeColor="text1"/>
          <w:sz w:val="16"/>
          <w:szCs w:val="16"/>
        </w:rPr>
        <w:t>нр</w:t>
      </w:r>
      <w:proofErr w:type="spellEnd"/>
      <w:r w:rsidRPr="00A259BD">
        <w:rPr>
          <w:rFonts w:ascii="Times New Roman" w:hAnsi="Times New Roman"/>
          <w:color w:val="000000" w:themeColor="text1"/>
          <w:sz w:val="16"/>
          <w:szCs w:val="16"/>
        </w:rPr>
        <w:t xml:space="preserve"> - 15</w:t>
      </w:r>
    </w:p>
    <w:p w14:paraId="4CCDDD3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С согласия представителей "</w:t>
      </w:r>
      <w:proofErr w:type="spellStart"/>
      <w:r w:rsidRPr="00A259BD">
        <w:rPr>
          <w:rFonts w:ascii="Times New Roman" w:hAnsi="Times New Roman"/>
          <w:color w:val="000000" w:themeColor="text1"/>
          <w:sz w:val="16"/>
          <w:szCs w:val="16"/>
        </w:rPr>
        <w:t>Укрвоздухпути</w:t>
      </w:r>
      <w:proofErr w:type="spellEnd"/>
      <w:r w:rsidRPr="00A259BD">
        <w:rPr>
          <w:rFonts w:ascii="Times New Roman" w:hAnsi="Times New Roman"/>
          <w:color w:val="000000" w:themeColor="text1"/>
          <w:sz w:val="16"/>
          <w:szCs w:val="16"/>
        </w:rPr>
        <w:t xml:space="preserve">" установить нижеследующие окончательные сроки </w:t>
      </w:r>
      <w:proofErr w:type="spellStart"/>
      <w:r w:rsidRPr="00A259BD">
        <w:rPr>
          <w:rFonts w:ascii="Times New Roman" w:hAnsi="Times New Roman"/>
          <w:color w:val="000000" w:themeColor="text1"/>
          <w:sz w:val="16"/>
          <w:szCs w:val="16"/>
        </w:rPr>
        <w:t>постаки</w:t>
      </w:r>
      <w:proofErr w:type="spellEnd"/>
      <w:r w:rsidRPr="00A259BD">
        <w:rPr>
          <w:rFonts w:ascii="Times New Roman" w:hAnsi="Times New Roman"/>
          <w:color w:val="000000" w:themeColor="text1"/>
          <w:sz w:val="16"/>
          <w:szCs w:val="16"/>
        </w:rPr>
        <w:t xml:space="preserve"> указанных самолетов:</w:t>
      </w:r>
    </w:p>
    <w:p w14:paraId="10ACB6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24 самолета типа "К-4" не </w:t>
      </w:r>
      <w:proofErr w:type="spellStart"/>
      <w:r w:rsidRPr="00A259BD">
        <w:rPr>
          <w:rFonts w:ascii="Times New Roman" w:hAnsi="Times New Roman"/>
          <w:color w:val="000000" w:themeColor="text1"/>
          <w:sz w:val="16"/>
          <w:szCs w:val="16"/>
        </w:rPr>
        <w:t>повднее</w:t>
      </w:r>
      <w:proofErr w:type="spellEnd"/>
      <w:r w:rsidRPr="00A259BD">
        <w:rPr>
          <w:rFonts w:ascii="Times New Roman" w:hAnsi="Times New Roman"/>
          <w:color w:val="000000" w:themeColor="text1"/>
          <w:sz w:val="16"/>
          <w:szCs w:val="16"/>
        </w:rPr>
        <w:t xml:space="preserve"> 1 апреля 1930 г.</w:t>
      </w:r>
    </w:p>
    <w:p w14:paraId="4CD256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25 самолетов типа "К-5" выполняются в два срока:</w:t>
      </w:r>
    </w:p>
    <w:p w14:paraId="3C58535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см.. не позднее 1 мая 1930 г., из которых 5 самолетов представляются "Добролету"; остальные 15 самолетов - к 1 октября 1930 г.</w:t>
      </w:r>
    </w:p>
    <w:p w14:paraId="2381B6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15 самолетов типа "К-6” выполняются также в два срока: </w:t>
      </w:r>
    </w:p>
    <w:p w14:paraId="42413A0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самолетов не позднее 1 августа и остальные 10 само</w:t>
      </w:r>
      <w:r w:rsidRPr="00A259BD">
        <w:rPr>
          <w:rFonts w:ascii="Times New Roman" w:hAnsi="Times New Roman"/>
          <w:color w:val="000000" w:themeColor="text1"/>
          <w:sz w:val="16"/>
          <w:szCs w:val="16"/>
        </w:rPr>
        <w:softHyphen/>
        <w:t>летов не позднее октября 1930 г.</w:t>
      </w:r>
    </w:p>
    <w:p w14:paraId="5B5D3A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Отметить необходимость твердого проведения этой программы в указанные сроки, в особенности в отношении самолетов типа “К-4", которыми линии </w:t>
      </w:r>
      <w:proofErr w:type="spellStart"/>
      <w:r w:rsidRPr="00A259BD">
        <w:rPr>
          <w:rFonts w:ascii="Times New Roman" w:hAnsi="Times New Roman"/>
          <w:color w:val="000000" w:themeColor="text1"/>
          <w:sz w:val="16"/>
          <w:szCs w:val="16"/>
        </w:rPr>
        <w:t>долкни</w:t>
      </w:r>
      <w:proofErr w:type="spellEnd"/>
      <w:r w:rsidRPr="00A259BD">
        <w:rPr>
          <w:rFonts w:ascii="Times New Roman" w:hAnsi="Times New Roman"/>
          <w:color w:val="000000" w:themeColor="text1"/>
          <w:sz w:val="16"/>
          <w:szCs w:val="16"/>
        </w:rPr>
        <w:t xml:space="preserve"> боль обеспечены к началу летного сезона.</w:t>
      </w:r>
    </w:p>
    <w:p w14:paraId="22AB4C8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В пределах эти общих сроков </w:t>
      </w:r>
      <w:proofErr w:type="spellStart"/>
      <w:r w:rsidRPr="00A259BD">
        <w:rPr>
          <w:rFonts w:ascii="Times New Roman" w:hAnsi="Times New Roman"/>
          <w:color w:val="000000" w:themeColor="text1"/>
          <w:sz w:val="16"/>
          <w:szCs w:val="16"/>
        </w:rPr>
        <w:t>вылолнения</w:t>
      </w:r>
      <w:proofErr w:type="spellEnd"/>
      <w:r w:rsidRPr="00A259BD">
        <w:rPr>
          <w:rFonts w:ascii="Times New Roman" w:hAnsi="Times New Roman"/>
          <w:color w:val="000000" w:themeColor="text1"/>
          <w:sz w:val="16"/>
          <w:szCs w:val="16"/>
        </w:rPr>
        <w:t xml:space="preserve"> принятой программы, сроки поставки устанавливаются по согласованию между обществами “Добролет” и “</w:t>
      </w: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”...(2341,114).</w:t>
      </w:r>
    </w:p>
    <w:p w14:paraId="20A39F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По уточнении всех вопросов с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в отношении "АНТ-9"" и "У-2", а также и в отношении моторов к ним... Инспекции гр. в. флота совместно с обществами уточнить контингенты на 1929-30 г. и выяснить в </w:t>
      </w:r>
      <w:proofErr w:type="spellStart"/>
      <w:r w:rsidRPr="00A259BD">
        <w:rPr>
          <w:rFonts w:ascii="Times New Roman" w:hAnsi="Times New Roman"/>
          <w:color w:val="000000" w:themeColor="text1"/>
          <w:sz w:val="16"/>
          <w:szCs w:val="16"/>
        </w:rPr>
        <w:t>Наркомторге</w:t>
      </w:r>
      <w:proofErr w:type="spellEnd"/>
      <w:r w:rsidRPr="00A259BD">
        <w:rPr>
          <w:rFonts w:ascii="Times New Roman" w:hAnsi="Times New Roman"/>
          <w:color w:val="000000" w:themeColor="text1"/>
          <w:sz w:val="16"/>
          <w:szCs w:val="16"/>
        </w:rPr>
        <w:t xml:space="preserve"> реальные сведения о суммах </w:t>
      </w:r>
      <w:proofErr w:type="spellStart"/>
      <w:r w:rsidRPr="00A259BD">
        <w:rPr>
          <w:rFonts w:ascii="Times New Roman" w:hAnsi="Times New Roman"/>
          <w:color w:val="000000" w:themeColor="text1"/>
          <w:sz w:val="16"/>
          <w:szCs w:val="16"/>
        </w:rPr>
        <w:t>валютних</w:t>
      </w:r>
      <w:proofErr w:type="spellEnd"/>
      <w:r w:rsidRPr="00A259BD">
        <w:rPr>
          <w:rFonts w:ascii="Times New Roman" w:hAnsi="Times New Roman"/>
          <w:color w:val="000000" w:themeColor="text1"/>
          <w:sz w:val="16"/>
          <w:szCs w:val="16"/>
        </w:rPr>
        <w:t xml:space="preserve"> контингентов для гражданской авиации.</w:t>
      </w:r>
    </w:p>
    <w:p w14:paraId="401C5E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На заказываемые о-ву "</w:t>
      </w: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 самолеты "Добролет” поставляет моторы по своим контингентам.</w:t>
      </w:r>
    </w:p>
    <w:p w14:paraId="1B5F40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Признать необходимым войти в Правительство с ходатайством об отпуске средств авансирования заказов на самолеты по проектировке будущего 1929-30 г.</w:t>
      </w:r>
    </w:p>
    <w:p w14:paraId="302FFFF6" w14:textId="719F3B61"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При составлении сметы на 1929-30 г. обществам предусмотреть необходимые суммы для авансирования строительной программы </w:t>
      </w:r>
      <w:proofErr w:type="spellStart"/>
      <w:r w:rsidRPr="00A259BD">
        <w:rPr>
          <w:rFonts w:ascii="Times New Roman" w:hAnsi="Times New Roman"/>
          <w:color w:val="000000" w:themeColor="text1"/>
          <w:sz w:val="16"/>
          <w:szCs w:val="16"/>
        </w:rPr>
        <w:t>саолетостроения</w:t>
      </w:r>
      <w:proofErr w:type="spellEnd"/>
      <w:r w:rsidRPr="00A259BD">
        <w:rPr>
          <w:rFonts w:ascii="Times New Roman" w:hAnsi="Times New Roman"/>
          <w:color w:val="000000" w:themeColor="text1"/>
          <w:sz w:val="16"/>
          <w:szCs w:val="16"/>
        </w:rPr>
        <w:t xml:space="preserve"> на 1930-31 г. (2341,114).</w:t>
      </w:r>
    </w:p>
    <w:p w14:paraId="3C7B42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5FAE80" w14:textId="77777777" w:rsidR="00E80D07" w:rsidRPr="00A259BD" w:rsidRDefault="00E80D0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22-24 июня 1929 по маршруту Москва - Нижний Новгород - Мос</w:t>
      </w:r>
      <w:r w:rsidRPr="00A259BD">
        <w:rPr>
          <w:rFonts w:ascii="Times New Roman" w:hAnsi="Times New Roman"/>
          <w:color w:val="000000" w:themeColor="text1"/>
          <w:sz w:val="16"/>
          <w:szCs w:val="16"/>
        </w:rPr>
        <w:softHyphen/>
        <w:t>ква (около 800 км) состоялся ав</w:t>
      </w:r>
      <w:r w:rsidRPr="00A259BD">
        <w:rPr>
          <w:rFonts w:ascii="Times New Roman" w:hAnsi="Times New Roman"/>
          <w:color w:val="000000" w:themeColor="text1"/>
          <w:sz w:val="16"/>
          <w:szCs w:val="16"/>
        </w:rPr>
        <w:softHyphen/>
        <w:t>топробег. В нем участвовали 18 легковых автомобилей, 3 грузо</w:t>
      </w:r>
      <w:r w:rsidRPr="00A259BD">
        <w:rPr>
          <w:rFonts w:ascii="Times New Roman" w:hAnsi="Times New Roman"/>
          <w:color w:val="000000" w:themeColor="text1"/>
          <w:sz w:val="16"/>
          <w:szCs w:val="16"/>
        </w:rPr>
        <w:softHyphen/>
        <w:t>вых, 21 мотоцикл (из них пять с ко</w:t>
      </w:r>
      <w:r w:rsidRPr="00A259BD">
        <w:rPr>
          <w:rFonts w:ascii="Times New Roman" w:hAnsi="Times New Roman"/>
          <w:color w:val="000000" w:themeColor="text1"/>
          <w:sz w:val="16"/>
          <w:szCs w:val="16"/>
        </w:rPr>
        <w:softHyphen/>
        <w:t>лясками). Пробег имел скоростной характер - автомобили должны были показать возможно более высокую скорость, допустимую на данной дороге, с учетом их дина</w:t>
      </w:r>
      <w:r w:rsidRPr="00A259BD">
        <w:rPr>
          <w:rFonts w:ascii="Times New Roman" w:hAnsi="Times New Roman"/>
          <w:color w:val="000000" w:themeColor="text1"/>
          <w:sz w:val="16"/>
          <w:szCs w:val="16"/>
        </w:rPr>
        <w:softHyphen/>
        <w:t>мических качеств, прочности и эко</w:t>
      </w:r>
      <w:r w:rsidRPr="00A259BD">
        <w:rPr>
          <w:rFonts w:ascii="Times New Roman" w:hAnsi="Times New Roman"/>
          <w:color w:val="000000" w:themeColor="text1"/>
          <w:sz w:val="16"/>
          <w:szCs w:val="16"/>
        </w:rPr>
        <w:softHyphen/>
        <w:t>номичности. Между собой конку</w:t>
      </w:r>
      <w:r w:rsidRPr="00A259BD">
        <w:rPr>
          <w:rFonts w:ascii="Times New Roman" w:hAnsi="Times New Roman"/>
          <w:color w:val="000000" w:themeColor="text1"/>
          <w:sz w:val="16"/>
          <w:szCs w:val="16"/>
        </w:rPr>
        <w:softHyphen/>
        <w:t>рировали Бьюик, Форд, Шевроле, НАМИ-1.</w:t>
      </w:r>
    </w:p>
    <w:p w14:paraId="53B633EC" w14:textId="77777777" w:rsidR="00E80D07" w:rsidRPr="00A259BD" w:rsidRDefault="00E80D0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Лучшие результаты показали автомобили Форд и были признаны наиболее удовлетворяющими предъявленным требованиям (22518).</w:t>
      </w:r>
    </w:p>
    <w:p w14:paraId="0FF2D342" w14:textId="77777777" w:rsidR="00E80D07" w:rsidRPr="00A259BD" w:rsidRDefault="00E80D07" w:rsidP="009236E3">
      <w:pPr>
        <w:spacing w:after="0" w:line="240" w:lineRule="auto"/>
        <w:jc w:val="both"/>
        <w:rPr>
          <w:rFonts w:ascii="Times New Roman" w:hAnsi="Times New Roman"/>
          <w:color w:val="000000" w:themeColor="text1"/>
          <w:sz w:val="16"/>
          <w:szCs w:val="16"/>
        </w:rPr>
      </w:pPr>
    </w:p>
    <w:p w14:paraId="5FBCBD6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6BB09B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70572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22-24 июня 1929 состоялся мотопробег по маршруту Москва-Нижний-Новгород-Москва протяжённостью 828 км [3.71, 3.72]. АВТОДОР решил не ждать завершение постройки всех мотоциклов в Ижевске. В пробеге принимали участие около 30 мотоци</w:t>
      </w:r>
      <w:r w:rsidRPr="00A259BD">
        <w:rPr>
          <w:rFonts w:ascii="Times New Roman" w:hAnsi="Times New Roman"/>
          <w:color w:val="000000" w:themeColor="text1"/>
          <w:sz w:val="16"/>
          <w:szCs w:val="16"/>
        </w:rPr>
        <w:softHyphen/>
        <w:t xml:space="preserve">клов (иномарки и три любительские конструкции - все с рамой Э.Г. </w:t>
      </w:r>
      <w:proofErr w:type="spellStart"/>
      <w:r w:rsidRPr="00A259BD">
        <w:rPr>
          <w:rFonts w:ascii="Times New Roman" w:hAnsi="Times New Roman"/>
          <w:color w:val="000000" w:themeColor="text1"/>
          <w:sz w:val="16"/>
          <w:szCs w:val="16"/>
        </w:rPr>
        <w:t>Мауэра</w:t>
      </w:r>
      <w:proofErr w:type="spellEnd"/>
      <w:r w:rsidRPr="00A259BD">
        <w:rPr>
          <w:rFonts w:ascii="Times New Roman" w:hAnsi="Times New Roman"/>
          <w:color w:val="000000" w:themeColor="text1"/>
          <w:sz w:val="16"/>
          <w:szCs w:val="16"/>
        </w:rPr>
        <w:t>, из которых один - с двигателем, доработанным Н. То</w:t>
      </w:r>
      <w:r w:rsidRPr="00A259BD">
        <w:rPr>
          <w:rFonts w:ascii="Times New Roman" w:hAnsi="Times New Roman"/>
          <w:color w:val="000000" w:themeColor="text1"/>
          <w:sz w:val="16"/>
          <w:szCs w:val="16"/>
        </w:rPr>
        <w:softHyphen/>
        <w:t>каревым), а также легковые машины и грузовики. В этом пробеге предполагалось провести “техническое испытание марок и типов машин, намеченных к производству в Советском Союзе” [3.73]. Об этом пробеге никаких сведений в прессе не появилось, так как ме</w:t>
      </w:r>
      <w:r w:rsidRPr="00A259BD">
        <w:rPr>
          <w:rFonts w:ascii="Times New Roman" w:hAnsi="Times New Roman"/>
          <w:color w:val="000000" w:themeColor="text1"/>
          <w:sz w:val="16"/>
          <w:szCs w:val="16"/>
        </w:rPr>
        <w:softHyphen/>
        <w:t>роприятие не произвело должного впечатления ни на мотолюбите</w:t>
      </w:r>
      <w:r w:rsidRPr="00A259BD">
        <w:rPr>
          <w:rFonts w:ascii="Times New Roman" w:hAnsi="Times New Roman"/>
          <w:color w:val="000000" w:themeColor="text1"/>
          <w:sz w:val="16"/>
          <w:szCs w:val="16"/>
        </w:rPr>
        <w:softHyphen/>
        <w:t>лей, ни на ведомства, заинтересованные в появлении отечествен</w:t>
      </w:r>
      <w:r w:rsidRPr="00A259BD">
        <w:rPr>
          <w:rFonts w:ascii="Times New Roman" w:hAnsi="Times New Roman"/>
          <w:color w:val="000000" w:themeColor="text1"/>
          <w:sz w:val="16"/>
          <w:szCs w:val="16"/>
        </w:rPr>
        <w:softHyphen/>
        <w:t>ных мотоциклов, поэтому общественность страны ожидала прове</w:t>
      </w:r>
      <w:r w:rsidRPr="00A259BD">
        <w:rPr>
          <w:rFonts w:ascii="Times New Roman" w:hAnsi="Times New Roman"/>
          <w:color w:val="000000" w:themeColor="text1"/>
          <w:sz w:val="16"/>
          <w:szCs w:val="16"/>
        </w:rPr>
        <w:softHyphen/>
        <w:t>дение Первого Всесоюзного пробега советских мотоциклов (11429).</w:t>
      </w:r>
    </w:p>
    <w:p w14:paraId="60CCF4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CB965B" w14:textId="77777777" w:rsidR="0090535A"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6A53F713" w14:textId="77777777" w:rsidR="0090535A" w:rsidRPr="00A259BD" w:rsidRDefault="0090535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23A81D3" w14:textId="77777777" w:rsidR="0090535A" w:rsidRPr="00A259BD" w:rsidRDefault="0090535A"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color w:val="000000" w:themeColor="text1"/>
          <w:sz w:val="16"/>
          <w:szCs w:val="16"/>
        </w:rPr>
        <w:t>23-24 июня 1929 г. на заседании Комиссии при Правлении Томской железной дороги по переводу главных Красноярских мастерских на 7-часовой рабочий день было принято постановление, в котором отмечалось, что "основными условиями перевода мастерских на 7-часовой рабочий день являются - не увеличение рабочей силы, рассчитанной для выполнения программы при 8-часовом рабочем дне, не увеличение себестоимости и сохранение достигнутого уровня зарплаты, не снижение, а наоборот, повышение качества продукции". Выполнение этих условий требовало повышения производительности труда не менее, чем на 12,5%. Для этого была разработана программа обследования производственных процессов с указанием цели обследования и сроков. Предполагалось проверить по цехам фактическое рабочее время производства работ, выявить прогулы, как по вине администрации, самих рабочих, так и по причине недостаточной организации снабжения материалами, инструментами и проч. Обследованию подлежали системы последовательности прохождения работы по цехам, равномерность загрузки работой, способы транспортировки материалов, полуфабрикатов, изделий, возможность ускорения и механизации внутрицехового транспорта, рациональность распланировки и использования оборудования, состояние моторов, расположение станков и прочего оборудования в отношении безопасности проходов между ними, подачи материалов. Планировалось введение разбивки работников на мелкие узкоспециальные бригады. Необходимо было разработать систему сдачи и приемки сдельных работ, пересмотреть правила внутреннего распорядка в целях уплотнения рабочего времени и т.д. В случае успешного выполнения названных мероприятий перевод мастерских на 7-часовой рабочий день первоначально предполагался с 1 января 1930 г. Однако ОК и Комиссия НКПС ЦК ж. д. ужесточили сроки: переходный период намечалось закончить к 1 октября 1929 г. Как свидетельствуют документы, переход на 7-часовой рабочий день стал главным вопросом повседневной работы партийных, хозяйственных, профсоюзных и комсомольских организаций мастерских, что, в итоге, и привело к успеху. Газета "Советская Сибирь" от 12 октября 1929 г. писала: "Только они довели простой паровозов в капитальном ремонте вместо 40 до 27 дней, а в результате соцсоревнования - до 23 дней". Результаты могли быть еще более ошеломляющими, если бы не ряд недоработок. Вот что сказано об этом в вышеназванной газете: "Специальная комиссия произвела обследование загрузки рабочего дня в кузнечном цехе. Оказалось, что только четыре часа затрачивается на производительную работу, а в некоторых группах только 1/2 и даже 1 час 16 мин. Это объясняется плохой организацией труда. Кузнецам очень долго приходится ждать растопки и нагрева печей, ожидать очередь под молот и т.д. К сожалению, в работу слабо вовлечены рационализаторы, стенгазета и рабочий клуб" (17230).</w:t>
      </w:r>
    </w:p>
    <w:p w14:paraId="0993410A" w14:textId="77777777" w:rsidR="0090535A" w:rsidRPr="00A259BD" w:rsidRDefault="0090535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1F04F4" w14:textId="77777777" w:rsidR="00D15DDA" w:rsidRPr="00A259BD" w:rsidRDefault="00D15DDA" w:rsidP="00D15DDA">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20DAC35" w14:textId="77777777" w:rsidR="00D15DDA" w:rsidRPr="00A259BD" w:rsidRDefault="00D15DDA" w:rsidP="00D15DDA">
      <w:pPr>
        <w:autoSpaceDE w:val="0"/>
        <w:autoSpaceDN w:val="0"/>
        <w:adjustRightInd w:val="0"/>
        <w:spacing w:after="0" w:line="240" w:lineRule="auto"/>
        <w:jc w:val="both"/>
        <w:rPr>
          <w:rFonts w:ascii="Times New Roman" w:hAnsi="Times New Roman"/>
          <w:iCs/>
          <w:color w:val="000000" w:themeColor="text1"/>
          <w:sz w:val="16"/>
          <w:szCs w:val="16"/>
        </w:rPr>
      </w:pPr>
    </w:p>
    <w:p w14:paraId="2CE2CC24" w14:textId="77777777" w:rsidR="00D15DDA" w:rsidRPr="00441F34" w:rsidRDefault="00D15DDA" w:rsidP="00D15D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 июня 1929 г. АЛКСНИС — ВОРОШИЛОВУ</w:t>
      </w:r>
    </w:p>
    <w:p w14:paraId="13BE41E5" w14:textId="77777777" w:rsidR="00D15DDA" w:rsidRPr="00441F34" w:rsidRDefault="00D15DDA" w:rsidP="00D15D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ДОКЛАД О переводе двух самолетов общества «Юнкере» через территорию СССР для персидской воздушной линии общества под управлением </w:t>
      </w:r>
      <w:proofErr w:type="spellStart"/>
      <w:r w:rsidRPr="00441F34">
        <w:rPr>
          <w:rFonts w:ascii="Times New Roman" w:hAnsi="Times New Roman"/>
          <w:color w:val="0070C0"/>
          <w:sz w:val="16"/>
          <w:szCs w:val="16"/>
        </w:rPr>
        <w:t>Гааль</w:t>
      </w:r>
      <w:proofErr w:type="spellEnd"/>
      <w:r w:rsidRPr="00441F34">
        <w:rPr>
          <w:rFonts w:ascii="Times New Roman" w:hAnsi="Times New Roman"/>
          <w:color w:val="0070C0"/>
          <w:sz w:val="16"/>
          <w:szCs w:val="16"/>
        </w:rPr>
        <w:t xml:space="preserve"> и </w:t>
      </w:r>
      <w:proofErr w:type="spellStart"/>
      <w:r w:rsidRPr="00441F34">
        <w:rPr>
          <w:rFonts w:ascii="Times New Roman" w:hAnsi="Times New Roman"/>
          <w:color w:val="0070C0"/>
          <w:sz w:val="16"/>
          <w:szCs w:val="16"/>
        </w:rPr>
        <w:t>Хэнишен</w:t>
      </w:r>
      <w:proofErr w:type="spellEnd"/>
      <w:r w:rsidRPr="00441F34">
        <w:rPr>
          <w:rFonts w:ascii="Times New Roman" w:hAnsi="Times New Roman"/>
          <w:color w:val="0070C0"/>
          <w:sz w:val="16"/>
          <w:szCs w:val="16"/>
        </w:rPr>
        <w:t>.</w:t>
      </w:r>
    </w:p>
    <w:p w14:paraId="04F2A63E" w14:textId="77777777" w:rsidR="00D15DDA" w:rsidRPr="00441F34" w:rsidRDefault="00D15DDA" w:rsidP="00D15D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Общество воздушных сообщен  </w:t>
      </w:r>
      <w:proofErr w:type="spellStart"/>
      <w:r w:rsidRPr="00441F34">
        <w:rPr>
          <w:rFonts w:ascii="Times New Roman" w:hAnsi="Times New Roman"/>
          <w:color w:val="0070C0"/>
          <w:sz w:val="16"/>
          <w:szCs w:val="16"/>
        </w:rPr>
        <w:t>ий</w:t>
      </w:r>
      <w:proofErr w:type="spellEnd"/>
      <w:r w:rsidRPr="00441F34">
        <w:rPr>
          <w:rFonts w:ascii="Times New Roman" w:hAnsi="Times New Roman"/>
          <w:color w:val="0070C0"/>
          <w:sz w:val="16"/>
          <w:szCs w:val="16"/>
        </w:rPr>
        <w:t xml:space="preserve"> «Юнкере» в Берлине обратилось с просьбой о разрешении перевода их двух самолетов типа «В-33» под управлением пилотов </w:t>
      </w:r>
      <w:proofErr w:type="spellStart"/>
      <w:r w:rsidRPr="00441F34">
        <w:rPr>
          <w:rFonts w:ascii="Times New Roman" w:hAnsi="Times New Roman"/>
          <w:color w:val="0070C0"/>
          <w:sz w:val="16"/>
          <w:szCs w:val="16"/>
        </w:rPr>
        <w:t>Гааль</w:t>
      </w:r>
      <w:proofErr w:type="spellEnd"/>
      <w:r w:rsidRPr="00441F34">
        <w:rPr>
          <w:rFonts w:ascii="Times New Roman" w:hAnsi="Times New Roman"/>
          <w:color w:val="0070C0"/>
          <w:sz w:val="16"/>
          <w:szCs w:val="16"/>
        </w:rPr>
        <w:t xml:space="preserve"> и </w:t>
      </w:r>
      <w:proofErr w:type="spellStart"/>
      <w:r w:rsidRPr="00441F34">
        <w:rPr>
          <w:rFonts w:ascii="Times New Roman" w:hAnsi="Times New Roman"/>
          <w:color w:val="0070C0"/>
          <w:sz w:val="16"/>
          <w:szCs w:val="16"/>
        </w:rPr>
        <w:t>Хэнишен</w:t>
      </w:r>
      <w:proofErr w:type="spellEnd"/>
      <w:r w:rsidRPr="00441F34">
        <w:rPr>
          <w:rFonts w:ascii="Times New Roman" w:hAnsi="Times New Roman"/>
          <w:color w:val="0070C0"/>
          <w:sz w:val="16"/>
          <w:szCs w:val="16"/>
        </w:rPr>
        <w:t xml:space="preserve"> через Москву и Баку в Тегеран для персидских линий по маршрутам: от Берлина до Москвы — о [</w:t>
      </w:r>
      <w:proofErr w:type="spellStart"/>
      <w:r w:rsidRPr="00441F34">
        <w:rPr>
          <w:rFonts w:ascii="Times New Roman" w:hAnsi="Times New Roman"/>
          <w:color w:val="0070C0"/>
          <w:sz w:val="16"/>
          <w:szCs w:val="16"/>
        </w:rPr>
        <w:t>бщест</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ва</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Дерулуфт</w:t>
      </w:r>
      <w:proofErr w:type="spellEnd"/>
      <w:r w:rsidRPr="00441F34">
        <w:rPr>
          <w:rFonts w:ascii="Times New Roman" w:hAnsi="Times New Roman"/>
          <w:color w:val="0070C0"/>
          <w:sz w:val="16"/>
          <w:szCs w:val="16"/>
        </w:rPr>
        <w:t>» и от Москвы до Тегерана — о [</w:t>
      </w:r>
      <w:proofErr w:type="spellStart"/>
      <w:r w:rsidRPr="00441F34">
        <w:rPr>
          <w:rFonts w:ascii="Times New Roman" w:hAnsi="Times New Roman"/>
          <w:color w:val="0070C0"/>
          <w:sz w:val="16"/>
          <w:szCs w:val="16"/>
        </w:rPr>
        <w:t>бщест</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ва</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Укрвоздухпуть</w:t>
      </w:r>
      <w:proofErr w:type="spellEnd"/>
      <w:r w:rsidRPr="00441F34">
        <w:rPr>
          <w:rFonts w:ascii="Times New Roman" w:hAnsi="Times New Roman"/>
          <w:color w:val="0070C0"/>
          <w:sz w:val="16"/>
          <w:szCs w:val="16"/>
        </w:rPr>
        <w:t>».</w:t>
      </w:r>
    </w:p>
    <w:p w14:paraId="6BE046E7" w14:textId="77777777" w:rsidR="00D15DDA" w:rsidRPr="00441F34" w:rsidRDefault="00D15DDA" w:rsidP="00D15D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Со стороны УВВС, Штаба РККА и ОГПУ возражений нет (23888).</w:t>
      </w:r>
    </w:p>
    <w:p w14:paraId="160CF678" w14:textId="77777777" w:rsidR="00D15DDA" w:rsidRPr="00441F34" w:rsidRDefault="00D15DDA" w:rsidP="00D15DDA">
      <w:pPr>
        <w:spacing w:after="0" w:line="240" w:lineRule="auto"/>
        <w:jc w:val="both"/>
        <w:rPr>
          <w:rFonts w:ascii="Times New Roman" w:hAnsi="Times New Roman"/>
          <w:color w:val="0070C0"/>
          <w:sz w:val="16"/>
          <w:szCs w:val="16"/>
        </w:rPr>
      </w:pPr>
    </w:p>
    <w:p w14:paraId="7132D7C0"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468BC6A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50CF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июня 1929 в </w:t>
      </w:r>
      <w:proofErr w:type="spellStart"/>
      <w:r w:rsidRPr="00A259BD">
        <w:rPr>
          <w:rFonts w:ascii="Times New Roman" w:hAnsi="Times New Roman"/>
          <w:color w:val="000000" w:themeColor="text1"/>
          <w:sz w:val="16"/>
          <w:szCs w:val="16"/>
        </w:rPr>
        <w:t>с.Малая</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Талинка</w:t>
      </w:r>
      <w:proofErr w:type="spellEnd"/>
      <w:r w:rsidRPr="00A259BD">
        <w:rPr>
          <w:rFonts w:ascii="Times New Roman" w:hAnsi="Times New Roman"/>
          <w:color w:val="000000" w:themeColor="text1"/>
          <w:sz w:val="16"/>
          <w:szCs w:val="16"/>
        </w:rPr>
        <w:t xml:space="preserve"> комиссия по хлебозаготовкам у местного священника </w:t>
      </w:r>
      <w:proofErr w:type="spellStart"/>
      <w:r w:rsidRPr="00A259BD">
        <w:rPr>
          <w:rFonts w:ascii="Times New Roman" w:hAnsi="Times New Roman"/>
          <w:color w:val="000000" w:themeColor="text1"/>
          <w:sz w:val="16"/>
          <w:szCs w:val="16"/>
        </w:rPr>
        <w:t>Мелитова</w:t>
      </w:r>
      <w:proofErr w:type="spellEnd"/>
      <w:r w:rsidRPr="00A259BD">
        <w:rPr>
          <w:rFonts w:ascii="Times New Roman" w:hAnsi="Times New Roman"/>
          <w:color w:val="000000" w:themeColor="text1"/>
          <w:sz w:val="16"/>
          <w:szCs w:val="16"/>
        </w:rPr>
        <w:t xml:space="preserve"> за невывоз хлеба изъяла корову. "Собравшаяся толпа, в которой преобладали женщины, корову возвратила от здания с/с во двор попа" (10687).</w:t>
      </w:r>
    </w:p>
    <w:p w14:paraId="663D20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221495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207972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83D7E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июня 1929 состоялось тех. совещание при заводе 25 по рассмотрению проекта ОПО-4. Отметили малую длину поплавков (10 м) для работы в ЧМ, что 3 чел. экипажа - недостаточно, идея опускающейся башни трудноразрешима. Осмотрели и макет (2363,302).</w:t>
      </w:r>
    </w:p>
    <w:p w14:paraId="4A2B6A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Протокол </w:t>
      </w:r>
      <w:r w:rsidRPr="00A259BD">
        <w:rPr>
          <w:rFonts w:ascii="Times New Roman" w:hAnsi="Times New Roman"/>
          <w:smallCaps/>
          <w:color w:val="000000" w:themeColor="text1"/>
          <w:sz w:val="16"/>
          <w:szCs w:val="16"/>
        </w:rPr>
        <w:t xml:space="preserve">технического совещания при заводе </w:t>
      </w:r>
      <w:r w:rsidRPr="00A259BD">
        <w:rPr>
          <w:rFonts w:ascii="Times New Roman" w:hAnsi="Times New Roman"/>
          <w:color w:val="000000" w:themeColor="text1"/>
          <w:sz w:val="16"/>
          <w:szCs w:val="16"/>
        </w:rPr>
        <w:t>№25</w:t>
      </w:r>
    </w:p>
    <w:p w14:paraId="7E9884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 25 ИЮНЯ 1929 г. </w:t>
      </w:r>
    </w:p>
    <w:p w14:paraId="3C1290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Присутствовали: тт. Поликарпов, </w:t>
      </w:r>
      <w:proofErr w:type="spellStart"/>
      <w:r w:rsidRPr="00A259BD">
        <w:rPr>
          <w:rFonts w:ascii="Times New Roman" w:hAnsi="Times New Roman"/>
          <w:color w:val="000000" w:themeColor="text1"/>
          <w:sz w:val="16"/>
          <w:szCs w:val="16"/>
        </w:rPr>
        <w:t>Гох</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Яровицкий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Кочеригин</w:t>
      </w:r>
      <w:proofErr w:type="spellEnd"/>
      <w:r w:rsidRPr="00A259BD">
        <w:rPr>
          <w:rFonts w:ascii="Times New Roman" w:hAnsi="Times New Roman"/>
          <w:color w:val="000000" w:themeColor="text1"/>
          <w:sz w:val="16"/>
          <w:szCs w:val="16"/>
        </w:rPr>
        <w:t>, Крылов</w:t>
      </w:r>
      <w:r w:rsidRPr="00A259BD">
        <w:rPr>
          <w:rFonts w:ascii="Times New Roman" w:hAnsi="Times New Roman"/>
          <w:smallCaps/>
          <w:color w:val="000000" w:themeColor="text1"/>
          <w:sz w:val="16"/>
          <w:szCs w:val="16"/>
        </w:rPr>
        <w:t xml:space="preserve">, </w:t>
      </w:r>
      <w:r w:rsidRPr="00A259BD">
        <w:rPr>
          <w:rFonts w:ascii="Times New Roman" w:hAnsi="Times New Roman"/>
          <w:color w:val="000000" w:themeColor="text1"/>
          <w:sz w:val="16"/>
          <w:szCs w:val="16"/>
        </w:rPr>
        <w:t xml:space="preserve">Ольховский, Яценко, </w:t>
      </w:r>
      <w:proofErr w:type="spellStart"/>
      <w:r w:rsidRPr="00A259BD">
        <w:rPr>
          <w:rFonts w:ascii="Times New Roman" w:hAnsi="Times New Roman"/>
          <w:color w:val="000000" w:themeColor="text1"/>
          <w:sz w:val="16"/>
          <w:szCs w:val="16"/>
        </w:rPr>
        <w:t>Зоншайн</w:t>
      </w:r>
      <w:proofErr w:type="spellEnd"/>
      <w:r w:rsidRPr="00A259BD">
        <w:rPr>
          <w:rFonts w:ascii="Times New Roman" w:hAnsi="Times New Roman"/>
          <w:color w:val="000000" w:themeColor="text1"/>
          <w:sz w:val="16"/>
          <w:szCs w:val="16"/>
        </w:rPr>
        <w:t xml:space="preserve">, Тихонравов, Колпаков, Савельев и </w:t>
      </w:r>
      <w:proofErr w:type="spellStart"/>
      <w:r w:rsidRPr="00A259BD">
        <w:rPr>
          <w:rFonts w:ascii="Times New Roman" w:hAnsi="Times New Roman"/>
          <w:color w:val="000000" w:themeColor="text1"/>
          <w:sz w:val="16"/>
          <w:szCs w:val="16"/>
        </w:rPr>
        <w:t>Рафаэлянц</w:t>
      </w:r>
      <w:proofErr w:type="spellEnd"/>
      <w:r w:rsidRPr="00A259BD">
        <w:rPr>
          <w:rFonts w:ascii="Times New Roman" w:hAnsi="Times New Roman"/>
          <w:color w:val="000000" w:themeColor="text1"/>
          <w:sz w:val="16"/>
          <w:szCs w:val="16"/>
        </w:rPr>
        <w:t>.</w:t>
      </w:r>
    </w:p>
    <w:p w14:paraId="2F4431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 о в е с т к а д н я:</w:t>
      </w:r>
    </w:p>
    <w:p w14:paraId="66283B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Рассмотрение проекта торпедоносца ОПО-4</w:t>
      </w:r>
    </w:p>
    <w:p w14:paraId="307993A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Общая схема самолета</w:t>
      </w:r>
    </w:p>
    <w:p w14:paraId="432180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Макет</w:t>
      </w:r>
    </w:p>
    <w:p w14:paraId="774E4F4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Крыло</w:t>
      </w:r>
    </w:p>
    <w:p w14:paraId="1243783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Фюзеляж</w:t>
      </w:r>
    </w:p>
    <w:p w14:paraId="416866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Хвостовое оперение.</w:t>
      </w:r>
    </w:p>
    <w:p w14:paraId="5D4220E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 почтового самолета</w:t>
      </w:r>
    </w:p>
    <w:p w14:paraId="4CF48F8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Рассмотрение проекта-торпедоносца ОПО - 4</w:t>
      </w:r>
    </w:p>
    <w:p w14:paraId="5D336A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Рассмотрено : Общая схема самолета.</w:t>
      </w:r>
    </w:p>
    <w:p w14:paraId="188070F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Постановлено:</w:t>
      </w:r>
    </w:p>
    <w:p w14:paraId="127AB1C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общей схеме самолета отметить следующее:</w:t>
      </w:r>
    </w:p>
    <w:p w14:paraId="08024D4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Малая длина поплавков /10м./ для работы в Черном море</w:t>
      </w:r>
    </w:p>
    <w:p w14:paraId="5B5A47B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принятой схеме центральная часть самолета сильно перегружается при посадке на волну на один поплавок.</w:t>
      </w:r>
    </w:p>
    <w:p w14:paraId="317D61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Обслуживание принятым количеством экипажа / 3 </w:t>
      </w:r>
      <w:proofErr w:type="spellStart"/>
      <w:r w:rsidRPr="00A259BD">
        <w:rPr>
          <w:rFonts w:ascii="Times New Roman" w:hAnsi="Times New Roman"/>
          <w:color w:val="000000" w:themeColor="text1"/>
          <w:sz w:val="16"/>
          <w:szCs w:val="16"/>
        </w:rPr>
        <w:t>челов</w:t>
      </w:r>
      <w:proofErr w:type="spellEnd"/>
      <w:r w:rsidRPr="00A259BD">
        <w:rPr>
          <w:rFonts w:ascii="Times New Roman" w:hAnsi="Times New Roman"/>
          <w:color w:val="000000" w:themeColor="text1"/>
          <w:sz w:val="16"/>
          <w:szCs w:val="16"/>
        </w:rPr>
        <w:t>./ самолета едва ли возможно, особенно, задним пулеметчиком</w:t>
      </w:r>
    </w:p>
    <w:p w14:paraId="320DF8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Идея опускающейся башни трудно разрешима.</w:t>
      </w:r>
    </w:p>
    <w:p w14:paraId="5CF478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Неясно управление самолетом при выключении одного мотора.</w:t>
      </w:r>
    </w:p>
    <w:p w14:paraId="29D206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Рассмотрено: Макет самолета.</w:t>
      </w:r>
    </w:p>
    <w:p w14:paraId="79411A3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Постановлено</w:t>
      </w:r>
    </w:p>
    <w:p w14:paraId="51988D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 макету самолета отметить следующее:</w:t>
      </w:r>
    </w:p>
    <w:p w14:paraId="647CEE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Управление баллонами с воздухом при запуске мотора при одном летчике невозможно...(2363,302).</w:t>
      </w:r>
    </w:p>
    <w:p w14:paraId="27DF9F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F3FF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июня 1929 состоялось заседание Техсовета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по рассмотрению проекта ТОМ-1 (</w:t>
      </w:r>
      <w:proofErr w:type="spellStart"/>
      <w:r w:rsidRPr="00A259BD">
        <w:rPr>
          <w:rFonts w:ascii="Times New Roman" w:hAnsi="Times New Roman"/>
          <w:color w:val="000000" w:themeColor="text1"/>
          <w:sz w:val="16"/>
          <w:szCs w:val="16"/>
        </w:rPr>
        <w:t>П.Ришара</w:t>
      </w:r>
      <w:proofErr w:type="spellEnd"/>
      <w:r w:rsidRPr="00A259BD">
        <w:rPr>
          <w:rFonts w:ascii="Times New Roman" w:hAnsi="Times New Roman"/>
          <w:color w:val="000000" w:themeColor="text1"/>
          <w:sz w:val="16"/>
          <w:szCs w:val="16"/>
        </w:rPr>
        <w:t>). Отметили, что на прошлом заседании (1 и 3 апреля 1929) решения так и не приняли. Опять критиковали (2363,239).</w:t>
      </w:r>
    </w:p>
    <w:p w14:paraId="539CAD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ПРОТОКОЛ</w:t>
      </w:r>
    </w:p>
    <w:p w14:paraId="3CC68F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ЗАСЕДАНИЯ ТЕХНИЧЕСКОГО СОВЕТА ПО РАССМОТРЕНИЮ ПРОЕКТА САМОЛЕТА ТОМ.</w:t>
      </w:r>
    </w:p>
    <w:p w14:paraId="2886FB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25-го Июня 1929 г.</w:t>
      </w:r>
    </w:p>
    <w:p w14:paraId="5D5AAE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На прошлом заседании мы не вынесли никакого решения по этой машине, так как некоторые вопросы нужно было уточнить, главным образом, расчеты. На данном совещании мы должны пересмотреть результаты получились по некоторым пунктам, которые вызывали сомнение. Может быть угодно будет </w:t>
      </w:r>
      <w:proofErr w:type="spellStart"/>
      <w:r w:rsidRPr="00A259BD">
        <w:rPr>
          <w:rFonts w:ascii="Times New Roman" w:hAnsi="Times New Roman"/>
          <w:color w:val="000000" w:themeColor="text1"/>
          <w:sz w:val="16"/>
          <w:szCs w:val="16"/>
        </w:rPr>
        <w:t>сказать,что</w:t>
      </w:r>
      <w:proofErr w:type="spellEnd"/>
      <w:r w:rsidRPr="00A259BD">
        <w:rPr>
          <w:rFonts w:ascii="Times New Roman" w:hAnsi="Times New Roman"/>
          <w:color w:val="000000" w:themeColor="text1"/>
          <w:sz w:val="16"/>
          <w:szCs w:val="16"/>
        </w:rPr>
        <w:t xml:space="preserve"> Вы сделали согласно постановления Техсовета от 1/П ....(Зачитывает ответ Ришара на запросы прошлого заседания).</w:t>
      </w:r>
    </w:p>
    <w:p w14:paraId="7ADF206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Здесь имеется полный ответ, данный по тем вопросам, которые были заданы на прошлом заседании. Перед тем как выслушать заключение по этой работе, которая проделана дополнительно, может быть есть какие-нибудь вопросы?</w:t>
      </w:r>
    </w:p>
    <w:p w14:paraId="5CEB500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Хорошо было-бы если сейчас на данном заседании нам был-бы дан общий вид машины. В смысле продольной устойчивости у нас этих материалов не имеется.</w:t>
      </w:r>
    </w:p>
    <w:p w14:paraId="4A6B29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первом аэродинамическом расчете, который был дан, этот вопрос выяснен.: У нас был сделан расчет устойчивости без целей, а сейчас мы сделали </w:t>
      </w:r>
      <w:proofErr w:type="spellStart"/>
      <w:r w:rsidRPr="00A259BD">
        <w:rPr>
          <w:rFonts w:ascii="Times New Roman" w:hAnsi="Times New Roman"/>
          <w:color w:val="000000" w:themeColor="text1"/>
          <w:sz w:val="16"/>
          <w:szCs w:val="16"/>
        </w:rPr>
        <w:t>испраления</w:t>
      </w:r>
      <w:proofErr w:type="spellEnd"/>
      <w:r w:rsidRPr="00A259BD">
        <w:rPr>
          <w:rFonts w:ascii="Times New Roman" w:hAnsi="Times New Roman"/>
          <w:color w:val="000000" w:themeColor="text1"/>
          <w:sz w:val="16"/>
          <w:szCs w:val="16"/>
        </w:rPr>
        <w:t xml:space="preserve"> и дослали дополнительно к расчету устойчивости. Что касается до общего влияния щелевых элеронов, то они должны только увеличить устойчивость. План-же расчета сейчас находится в ЦАГИ. По тем материалам, которые имеются по этому вопросу, влияние щелей увеличивает устойчивость.</w:t>
      </w:r>
    </w:p>
    <w:p w14:paraId="0C1BCD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Больше вопросов нет.? Слово предоставляется т. Поликарпову. </w:t>
      </w:r>
    </w:p>
    <w:p w14:paraId="21A999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(Поликарпов зачитывает заключение)</w:t>
      </w:r>
    </w:p>
    <w:p w14:paraId="0284DA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 эти вопросы, относятся к вопросу сопротивления материалов, из которого можно преподать целый урок. Вы не ожидаете, чтобы и. Ришар дал вам урок сопротивления материалов?</w:t>
      </w:r>
    </w:p>
    <w:p w14:paraId="3DADCA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Если урок ценный, мы его с удовольствием примем.</w:t>
      </w:r>
    </w:p>
    <w:p w14:paraId="4F2F868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Ришар считает, что если у Комиссии имеются возражения принципиального порядка в том, что Комиссия несогласна к с распределением нагрузки, схемой и т.п., то всецело пойдет на объяснения, но... (2363,239).</w:t>
      </w:r>
    </w:p>
    <w:p w14:paraId="6D4847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EADE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июня 1929 ГК-и Ришар, Пом. ГК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и Управделами писали в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письмо N 1/131с "О вооружении ТОМ-1" и в частности о том, что в конце мая НТК УВВС получил от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материалы по основной военной нагрузке ТОМ-1. Созванная комиссия с участием НТК,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ОПО-4 и завода запротоколировала требования размера и типа бомб и торпед.</w:t>
      </w:r>
    </w:p>
    <w:p w14:paraId="357128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мая с/г. НТК УВВС получил от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материалы по основной военной нагрузке самолета ТОМ-1. Созванная комиссия в составе представителем НТК,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ОПО-4 и завода № 22 протоколировала требования размера и типа бомб и торпед, </w:t>
      </w:r>
      <w:proofErr w:type="spellStart"/>
      <w:r w:rsidRPr="00A259BD">
        <w:rPr>
          <w:rFonts w:ascii="Times New Roman" w:hAnsi="Times New Roman"/>
          <w:color w:val="000000" w:themeColor="text1"/>
          <w:sz w:val="16"/>
          <w:szCs w:val="16"/>
        </w:rPr>
        <w:t>соотствующего</w:t>
      </w:r>
      <w:proofErr w:type="spellEnd"/>
      <w:r w:rsidRPr="00A259BD">
        <w:rPr>
          <w:rFonts w:ascii="Times New Roman" w:hAnsi="Times New Roman"/>
          <w:color w:val="000000" w:themeColor="text1"/>
          <w:sz w:val="16"/>
          <w:szCs w:val="16"/>
        </w:rPr>
        <w:t xml:space="preserve"> назначению машины, и выдвинула ряд пожелании по нагрузке.</w:t>
      </w:r>
    </w:p>
    <w:p w14:paraId="512A7B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заседании были выделены инженеры Савельев и Хомский, которым была поручена проработка вопроса для дачи конкретного задания ОПО-4. При участии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Калинина были рассмотрены чертежи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в результате чего выявилась недостаточность размеров для составления такого задания, </w:t>
      </w:r>
      <w:proofErr w:type="spellStart"/>
      <w:r w:rsidRPr="00A259BD">
        <w:rPr>
          <w:rFonts w:ascii="Times New Roman" w:hAnsi="Times New Roman"/>
          <w:color w:val="000000" w:themeColor="text1"/>
          <w:sz w:val="16"/>
          <w:szCs w:val="16"/>
        </w:rPr>
        <w:t>т.к.неясно</w:t>
      </w:r>
      <w:proofErr w:type="spellEnd"/>
      <w:r w:rsidRPr="00A259BD">
        <w:rPr>
          <w:rFonts w:ascii="Times New Roman" w:hAnsi="Times New Roman"/>
          <w:color w:val="000000" w:themeColor="text1"/>
          <w:sz w:val="16"/>
          <w:szCs w:val="16"/>
        </w:rPr>
        <w:t>: 1) 1) Можно ли изменить расстояние между ушками .крепления торпеды к фюзеляжу, что повлечет за собой изменения подвески балки.</w:t>
      </w:r>
    </w:p>
    <w:p w14:paraId="65E128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Размеры выноса ушков от низа фюзеляжа.</w:t>
      </w:r>
    </w:p>
    <w:p w14:paraId="09D635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Размер между верхней точкой механизма балки и низом фюзеляжа для решения основного вопроса о возможности вооружать с-т двумя торпедами</w:t>
      </w:r>
    </w:p>
    <w:p w14:paraId="79D049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Из чертежа балки, нельзя выявить ее конструкцию и в таком виде ...затронутому вопросу и задержка этой основной ... с-та повлечет за собой невыполнение сроков (2363).</w:t>
      </w:r>
    </w:p>
    <w:p w14:paraId="4698A6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3857D6" w14:textId="77777777" w:rsidR="00077238"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18E96B1" w14:textId="77777777" w:rsidR="00077238" w:rsidRPr="00A259BD"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637D7FF" w14:textId="77777777" w:rsidR="00077238" w:rsidRPr="00A259BD" w:rsidRDefault="0007723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июня 1929 г. Выписка из протокола заседания Президиума ВСНХ СССР о недостаточном темпе развертывания капитальных работ по обеспечению плана «С» (РГАЭ. Ф. 3429. Оп. 16. Д. 2. Л. 136?135) (12417).</w:t>
      </w:r>
    </w:p>
    <w:p w14:paraId="6766275A" w14:textId="77777777" w:rsidR="00077238" w:rsidRPr="00A259BD" w:rsidRDefault="00077238" w:rsidP="009236E3">
      <w:pPr>
        <w:spacing w:after="0" w:line="240" w:lineRule="auto"/>
        <w:jc w:val="both"/>
        <w:rPr>
          <w:rFonts w:ascii="Times New Roman" w:hAnsi="Times New Roman"/>
          <w:color w:val="000000" w:themeColor="text1"/>
          <w:sz w:val="16"/>
          <w:szCs w:val="16"/>
        </w:rPr>
      </w:pPr>
    </w:p>
    <w:p w14:paraId="5500A01B" w14:textId="77777777" w:rsidR="00107F31"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40B01AE" w14:textId="77777777" w:rsidR="00107F31" w:rsidRPr="00A259BD" w:rsidRDefault="00107F3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4C29D6" w14:textId="77777777" w:rsidR="00107F31" w:rsidRPr="00A259BD" w:rsidRDefault="00107F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25 июня</w:t>
      </w:r>
      <w:r w:rsidRPr="00A259BD">
        <w:rPr>
          <w:rFonts w:ascii="Times New Roman" w:hAnsi="Times New Roman"/>
          <w:color w:val="000000" w:themeColor="text1"/>
          <w:sz w:val="16"/>
          <w:szCs w:val="16"/>
        </w:rPr>
        <w:t xml:space="preserve"> в 1929 году завершился (начался 11 декабря 1928 года) перелет перуанских летчиков Карлоса Мартинеса де </w:t>
      </w:r>
      <w:proofErr w:type="spellStart"/>
      <w:r w:rsidRPr="00A259BD">
        <w:rPr>
          <w:rFonts w:ascii="Times New Roman" w:hAnsi="Times New Roman"/>
          <w:color w:val="000000" w:themeColor="text1"/>
          <w:sz w:val="16"/>
          <w:szCs w:val="16"/>
        </w:rPr>
        <w:t>Пинилло</w:t>
      </w:r>
      <w:proofErr w:type="spellEnd"/>
      <w:r w:rsidRPr="00A259BD">
        <w:rPr>
          <w:rFonts w:ascii="Times New Roman" w:hAnsi="Times New Roman"/>
          <w:color w:val="000000" w:themeColor="text1"/>
          <w:sz w:val="16"/>
          <w:szCs w:val="16"/>
        </w:rPr>
        <w:t xml:space="preserve"> и Карлоса </w:t>
      </w:r>
      <w:proofErr w:type="spellStart"/>
      <w:r w:rsidRPr="00A259BD">
        <w:rPr>
          <w:rFonts w:ascii="Times New Roman" w:hAnsi="Times New Roman"/>
          <w:color w:val="000000" w:themeColor="text1"/>
          <w:sz w:val="16"/>
          <w:szCs w:val="16"/>
        </w:rPr>
        <w:t>Сегарра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Ланфранко</w:t>
      </w:r>
      <w:proofErr w:type="spellEnd"/>
      <w:r w:rsidRPr="00A259BD">
        <w:rPr>
          <w:rFonts w:ascii="Times New Roman" w:hAnsi="Times New Roman"/>
          <w:color w:val="000000" w:themeColor="text1"/>
          <w:sz w:val="16"/>
          <w:szCs w:val="16"/>
        </w:rPr>
        <w:t xml:space="preserve"> вылетевших на </w:t>
      </w:r>
      <w:hyperlink r:id="rId69" w:tgtFrame="_blank" w:history="1">
        <w:r w:rsidRPr="00A259BD">
          <w:rPr>
            <w:rFonts w:ascii="Times New Roman" w:hAnsi="Times New Roman"/>
            <w:color w:val="000000" w:themeColor="text1"/>
            <w:sz w:val="16"/>
            <w:szCs w:val="16"/>
          </w:rPr>
          <w:t>«CH-200» «</w:t>
        </w:r>
        <w:proofErr w:type="spellStart"/>
        <w:r w:rsidRPr="00A259BD">
          <w:rPr>
            <w:rFonts w:ascii="Times New Roman" w:hAnsi="Times New Roman"/>
            <w:color w:val="000000" w:themeColor="text1"/>
            <w:sz w:val="16"/>
            <w:szCs w:val="16"/>
          </w:rPr>
          <w:t>Pacemaker</w:t>
        </w:r>
        <w:proofErr w:type="spellEnd"/>
        <w:r w:rsidRPr="00A259BD">
          <w:rPr>
            <w:rFonts w:ascii="Times New Roman" w:hAnsi="Times New Roman"/>
            <w:color w:val="000000" w:themeColor="text1"/>
            <w:sz w:val="16"/>
            <w:szCs w:val="16"/>
          </w:rPr>
          <w:t xml:space="preserve">» </w:t>
        </w:r>
      </w:hyperlink>
      <w:r w:rsidRPr="00A259BD">
        <w:rPr>
          <w:rFonts w:ascii="Times New Roman" w:hAnsi="Times New Roman"/>
          <w:color w:val="000000" w:themeColor="text1"/>
          <w:sz w:val="16"/>
          <w:szCs w:val="16"/>
        </w:rPr>
        <w:t>из Перу в тур по Латинской Америке. В течение этого полета они преодолели 20635 км за 157 часов 55 минут, посетив в пути 13 стран и 25 городов. «CH-200» «</w:t>
      </w:r>
      <w:proofErr w:type="spellStart"/>
      <w:r w:rsidRPr="00A259BD">
        <w:rPr>
          <w:rFonts w:ascii="Times New Roman" w:hAnsi="Times New Roman"/>
          <w:color w:val="000000" w:themeColor="text1"/>
          <w:sz w:val="16"/>
          <w:szCs w:val="16"/>
        </w:rPr>
        <w:t>Pacemaker</w:t>
      </w:r>
      <w:proofErr w:type="spellEnd"/>
      <w:r w:rsidRPr="00A259BD">
        <w:rPr>
          <w:rFonts w:ascii="Times New Roman" w:hAnsi="Times New Roman"/>
          <w:color w:val="000000" w:themeColor="text1"/>
          <w:sz w:val="16"/>
          <w:szCs w:val="16"/>
        </w:rPr>
        <w:t>» - самолет семейства «</w:t>
      </w:r>
      <w:proofErr w:type="spellStart"/>
      <w:r w:rsidRPr="00A259BD">
        <w:rPr>
          <w:rFonts w:ascii="Times New Roman" w:hAnsi="Times New Roman"/>
          <w:color w:val="000000" w:themeColor="text1"/>
          <w:sz w:val="16"/>
          <w:szCs w:val="16"/>
        </w:rPr>
        <w:t>Bellanca</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Pacemaker</w:t>
      </w:r>
      <w:proofErr w:type="spellEnd"/>
      <w:r w:rsidRPr="00A259BD">
        <w:rPr>
          <w:rFonts w:ascii="Times New Roman" w:hAnsi="Times New Roman"/>
          <w:color w:val="000000" w:themeColor="text1"/>
          <w:sz w:val="16"/>
          <w:szCs w:val="16"/>
        </w:rPr>
        <w:t>» построенный в 1928 году. Этот самолет был создан на базе «</w:t>
      </w:r>
      <w:proofErr w:type="spellStart"/>
      <w:r w:rsidRPr="00A259BD">
        <w:rPr>
          <w:rFonts w:ascii="Times New Roman" w:hAnsi="Times New Roman"/>
          <w:color w:val="000000" w:themeColor="text1"/>
          <w:sz w:val="16"/>
          <w:szCs w:val="16"/>
        </w:rPr>
        <w:t>Wright</w:t>
      </w:r>
      <w:proofErr w:type="spellEnd"/>
      <w:r w:rsidRPr="00A259BD">
        <w:rPr>
          <w:rFonts w:ascii="Times New Roman" w:hAnsi="Times New Roman"/>
          <w:color w:val="000000" w:themeColor="text1"/>
          <w:sz w:val="16"/>
          <w:szCs w:val="16"/>
        </w:rPr>
        <w:t>» «WB-2» и стал первым самолетом фирмы прошедшим сертификацию. Это был шестиместный высокоплан оснащенный двигателем «</w:t>
      </w:r>
      <w:proofErr w:type="spellStart"/>
      <w:r w:rsidRPr="00A259BD">
        <w:rPr>
          <w:rFonts w:ascii="Times New Roman" w:hAnsi="Times New Roman"/>
          <w:color w:val="000000" w:themeColor="text1"/>
          <w:sz w:val="16"/>
          <w:szCs w:val="16"/>
        </w:rPr>
        <w:t>Wright</w:t>
      </w:r>
      <w:proofErr w:type="spellEnd"/>
      <w:r w:rsidRPr="00A259BD">
        <w:rPr>
          <w:rFonts w:ascii="Times New Roman" w:hAnsi="Times New Roman"/>
          <w:color w:val="000000" w:themeColor="text1"/>
          <w:sz w:val="16"/>
          <w:szCs w:val="16"/>
        </w:rPr>
        <w:t>» «J-5» 220 л.с. После таких успехов «CH-200» конструкторы фирмы задумались над коммерческим вариантом самолета с более мощным двигателем. А в 1929 году появился «CH-300». Это был расчалочный высокоплан с двигателем «</w:t>
      </w:r>
      <w:proofErr w:type="spellStart"/>
      <w:r w:rsidRPr="00A259BD">
        <w:rPr>
          <w:rFonts w:ascii="Times New Roman" w:hAnsi="Times New Roman"/>
          <w:color w:val="000000" w:themeColor="text1"/>
          <w:sz w:val="16"/>
          <w:szCs w:val="16"/>
        </w:rPr>
        <w:t>Wright</w:t>
      </w:r>
      <w:proofErr w:type="spellEnd"/>
      <w:r w:rsidRPr="00A259BD">
        <w:rPr>
          <w:rFonts w:ascii="Times New Roman" w:hAnsi="Times New Roman"/>
          <w:color w:val="000000" w:themeColor="text1"/>
          <w:sz w:val="16"/>
          <w:szCs w:val="16"/>
        </w:rPr>
        <w:t>» «J-6» мощностью 220 л.с. и неубирающимися шасси (14933).</w:t>
      </w:r>
    </w:p>
    <w:p w14:paraId="55ED9E01" w14:textId="77777777" w:rsidR="00107F31" w:rsidRPr="00A259BD" w:rsidRDefault="00107F31" w:rsidP="009236E3">
      <w:pPr>
        <w:spacing w:after="0" w:line="240" w:lineRule="auto"/>
        <w:jc w:val="both"/>
        <w:rPr>
          <w:rFonts w:ascii="Times New Roman" w:hAnsi="Times New Roman"/>
          <w:color w:val="000000" w:themeColor="text1"/>
          <w:sz w:val="16"/>
          <w:szCs w:val="16"/>
        </w:rPr>
      </w:pPr>
    </w:p>
    <w:p w14:paraId="25B3426C" w14:textId="77777777" w:rsidR="00123C53" w:rsidRPr="00A259BD" w:rsidRDefault="00123C5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июня 1929 (начался 11 декабря 1928 года) - Завершился перелет перуанских летчиков Карлоса Мартинеса де </w:t>
      </w:r>
      <w:proofErr w:type="spellStart"/>
      <w:r w:rsidRPr="00A259BD">
        <w:rPr>
          <w:rFonts w:ascii="Times New Roman" w:hAnsi="Times New Roman"/>
          <w:color w:val="000000" w:themeColor="text1"/>
          <w:sz w:val="16"/>
          <w:szCs w:val="16"/>
        </w:rPr>
        <w:t>Пинилло</w:t>
      </w:r>
      <w:proofErr w:type="spellEnd"/>
      <w:r w:rsidRPr="00A259BD">
        <w:rPr>
          <w:rFonts w:ascii="Times New Roman" w:hAnsi="Times New Roman"/>
          <w:color w:val="000000" w:themeColor="text1"/>
          <w:sz w:val="16"/>
          <w:szCs w:val="16"/>
        </w:rPr>
        <w:t xml:space="preserve"> и Карлоса </w:t>
      </w:r>
      <w:proofErr w:type="spellStart"/>
      <w:r w:rsidRPr="00A259BD">
        <w:rPr>
          <w:rFonts w:ascii="Times New Roman" w:hAnsi="Times New Roman"/>
          <w:color w:val="000000" w:themeColor="text1"/>
          <w:sz w:val="16"/>
          <w:szCs w:val="16"/>
        </w:rPr>
        <w:t>Сегарра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Ланфранко</w:t>
      </w:r>
      <w:proofErr w:type="spellEnd"/>
      <w:r w:rsidRPr="00A259BD">
        <w:rPr>
          <w:rFonts w:ascii="Times New Roman" w:hAnsi="Times New Roman"/>
          <w:color w:val="000000" w:themeColor="text1"/>
          <w:sz w:val="16"/>
          <w:szCs w:val="16"/>
        </w:rPr>
        <w:t xml:space="preserve"> вылетевших на CH-200 </w:t>
      </w:r>
      <w:proofErr w:type="spellStart"/>
      <w:r w:rsidRPr="00A259BD">
        <w:rPr>
          <w:rFonts w:ascii="Times New Roman" w:hAnsi="Times New Roman"/>
          <w:color w:val="000000" w:themeColor="text1"/>
          <w:sz w:val="16"/>
          <w:szCs w:val="16"/>
        </w:rPr>
        <w:t>Pacemaker</w:t>
      </w:r>
      <w:proofErr w:type="spellEnd"/>
      <w:r w:rsidRPr="00A259BD">
        <w:rPr>
          <w:rFonts w:ascii="Times New Roman" w:hAnsi="Times New Roman"/>
          <w:color w:val="000000" w:themeColor="text1"/>
          <w:sz w:val="16"/>
          <w:szCs w:val="16"/>
        </w:rPr>
        <w:t xml:space="preserve"> из Перу в тур по Латинской Америке. В течение этого полёта они преодолели 20635 км за 157 часов 55 минут, посетив в пути 13 стран и 25 городов.</w:t>
      </w:r>
    </w:p>
    <w:p w14:paraId="6907E3FA" w14:textId="77777777" w:rsidR="00123C53" w:rsidRPr="00A259BD" w:rsidRDefault="00123C5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CH-200 </w:t>
      </w:r>
      <w:proofErr w:type="spellStart"/>
      <w:r w:rsidRPr="00A259BD">
        <w:rPr>
          <w:rFonts w:ascii="Times New Roman" w:hAnsi="Times New Roman"/>
          <w:color w:val="000000" w:themeColor="text1"/>
          <w:sz w:val="16"/>
          <w:szCs w:val="16"/>
        </w:rPr>
        <w:t>Pacemaker</w:t>
      </w:r>
      <w:proofErr w:type="spellEnd"/>
      <w:r w:rsidRPr="00A259BD">
        <w:rPr>
          <w:rFonts w:ascii="Times New Roman" w:hAnsi="Times New Roman"/>
          <w:color w:val="000000" w:themeColor="text1"/>
          <w:sz w:val="16"/>
          <w:szCs w:val="16"/>
        </w:rPr>
        <w:t xml:space="preserve"> - самолёт семейства </w:t>
      </w:r>
      <w:proofErr w:type="spellStart"/>
      <w:r w:rsidRPr="00A259BD">
        <w:rPr>
          <w:rFonts w:ascii="Times New Roman" w:hAnsi="Times New Roman"/>
          <w:color w:val="000000" w:themeColor="text1"/>
          <w:sz w:val="16"/>
          <w:szCs w:val="16"/>
        </w:rPr>
        <w:t>Bellanca</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Pacemaker</w:t>
      </w:r>
      <w:proofErr w:type="spellEnd"/>
      <w:r w:rsidRPr="00A259BD">
        <w:rPr>
          <w:rFonts w:ascii="Times New Roman" w:hAnsi="Times New Roman"/>
          <w:color w:val="000000" w:themeColor="text1"/>
          <w:sz w:val="16"/>
          <w:szCs w:val="16"/>
        </w:rPr>
        <w:t xml:space="preserve"> построенный в 1928 году. Этот самолёт был создан на базе </w:t>
      </w:r>
      <w:proofErr w:type="spellStart"/>
      <w:r w:rsidRPr="00A259BD">
        <w:rPr>
          <w:rFonts w:ascii="Times New Roman" w:hAnsi="Times New Roman"/>
          <w:color w:val="000000" w:themeColor="text1"/>
          <w:sz w:val="16"/>
          <w:szCs w:val="16"/>
        </w:rPr>
        <w:t>Wright</w:t>
      </w:r>
      <w:proofErr w:type="spellEnd"/>
      <w:r w:rsidRPr="00A259BD">
        <w:rPr>
          <w:rFonts w:ascii="Times New Roman" w:hAnsi="Times New Roman"/>
          <w:color w:val="000000" w:themeColor="text1"/>
          <w:sz w:val="16"/>
          <w:szCs w:val="16"/>
        </w:rPr>
        <w:t xml:space="preserve"> WB-2 и стал первым самолётом фирмы прошедшим сертификацию. Это был шестиместный высокоплан оснащённый двигателем </w:t>
      </w:r>
      <w:proofErr w:type="spellStart"/>
      <w:r w:rsidRPr="00A259BD">
        <w:rPr>
          <w:rFonts w:ascii="Times New Roman" w:hAnsi="Times New Roman"/>
          <w:color w:val="000000" w:themeColor="text1"/>
          <w:sz w:val="16"/>
          <w:szCs w:val="16"/>
        </w:rPr>
        <w:t>Wright</w:t>
      </w:r>
      <w:proofErr w:type="spellEnd"/>
      <w:r w:rsidRPr="00A259BD">
        <w:rPr>
          <w:rFonts w:ascii="Times New Roman" w:hAnsi="Times New Roman"/>
          <w:color w:val="000000" w:themeColor="text1"/>
          <w:sz w:val="16"/>
          <w:szCs w:val="16"/>
        </w:rPr>
        <w:t xml:space="preserve"> J-5 220 л.с. После таких успехов CH-200 конструкторы фирмы задумались над коммерческим вариантом самолёта с более мощным двигателем. А 1929 году появился CH-300. Это был расчалочный высокоплан с двигателем </w:t>
      </w:r>
      <w:proofErr w:type="spellStart"/>
      <w:r w:rsidRPr="00A259BD">
        <w:rPr>
          <w:rFonts w:ascii="Times New Roman" w:hAnsi="Times New Roman"/>
          <w:color w:val="000000" w:themeColor="text1"/>
          <w:sz w:val="16"/>
          <w:szCs w:val="16"/>
        </w:rPr>
        <w:t>Wright</w:t>
      </w:r>
      <w:proofErr w:type="spellEnd"/>
      <w:r w:rsidRPr="00A259BD">
        <w:rPr>
          <w:rFonts w:ascii="Times New Roman" w:hAnsi="Times New Roman"/>
          <w:color w:val="000000" w:themeColor="text1"/>
          <w:sz w:val="16"/>
          <w:szCs w:val="16"/>
        </w:rPr>
        <w:t xml:space="preserve"> J-6 мощностью 220 л.с. и неубирающимися шасси (22449).</w:t>
      </w:r>
    </w:p>
    <w:p w14:paraId="6EC1D73E" w14:textId="77777777" w:rsidR="00123C53" w:rsidRPr="00A259BD" w:rsidRDefault="00123C53" w:rsidP="009236E3">
      <w:pPr>
        <w:spacing w:after="0" w:line="240" w:lineRule="auto"/>
        <w:jc w:val="both"/>
        <w:rPr>
          <w:rFonts w:ascii="Times New Roman" w:hAnsi="Times New Roman"/>
          <w:color w:val="000000" w:themeColor="text1"/>
          <w:sz w:val="16"/>
          <w:szCs w:val="16"/>
        </w:rPr>
      </w:pPr>
    </w:p>
    <w:p w14:paraId="17D36D1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50D1EA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35E3D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июня 1929 года Приказом РВС СССР № 166/34 было введено новое положение об Институте, согласно которому он становился “техническим контрольным средством ВВС и имел своим назначением производство научно-испытательных работ по всем отраслям применения Военно- Воздушных Сил и по усовершенствованию их материальной части и вооружения”.</w:t>
      </w:r>
    </w:p>
    <w:p w14:paraId="516FAD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Подчинение Института осталось прежним. В эти годы Институтом руководили </w:t>
      </w:r>
      <w:proofErr w:type="spellStart"/>
      <w:r w:rsidRPr="00A259BD">
        <w:rPr>
          <w:rFonts w:ascii="Times New Roman" w:hAnsi="Times New Roman"/>
          <w:color w:val="000000" w:themeColor="text1"/>
          <w:sz w:val="16"/>
          <w:szCs w:val="16"/>
        </w:rPr>
        <w:t>В.С.Горшков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Зильберт</w:t>
      </w:r>
      <w:proofErr w:type="spellEnd"/>
      <w:r w:rsidRPr="00A259BD">
        <w:rPr>
          <w:rFonts w:ascii="Times New Roman" w:hAnsi="Times New Roman"/>
          <w:color w:val="000000" w:themeColor="text1"/>
          <w:sz w:val="16"/>
          <w:szCs w:val="16"/>
        </w:rPr>
        <w:t>, Бузанов.</w:t>
      </w:r>
    </w:p>
    <w:p w14:paraId="445711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обеспечения оперативности в руководстве работой всех подразделений у Начальника Института было три помощника :</w:t>
      </w:r>
      <w:proofErr w:type="spellStart"/>
      <w:r w:rsidRPr="00A259BD">
        <w:rPr>
          <w:rFonts w:ascii="Times New Roman" w:hAnsi="Times New Roman"/>
          <w:color w:val="000000" w:themeColor="text1"/>
          <w:sz w:val="16"/>
          <w:szCs w:val="16"/>
        </w:rPr>
        <w:t>А.К.Азуан</w:t>
      </w:r>
      <w:proofErr w:type="spellEnd"/>
      <w:r w:rsidRPr="00A259BD">
        <w:rPr>
          <w:rFonts w:ascii="Times New Roman" w:hAnsi="Times New Roman"/>
          <w:color w:val="000000" w:themeColor="text1"/>
          <w:sz w:val="16"/>
          <w:szCs w:val="16"/>
        </w:rPr>
        <w:t xml:space="preserve">, В.С. </w:t>
      </w:r>
      <w:proofErr w:type="spellStart"/>
      <w:r w:rsidRPr="00A259BD">
        <w:rPr>
          <w:rFonts w:ascii="Times New Roman" w:hAnsi="Times New Roman"/>
          <w:color w:val="000000" w:themeColor="text1"/>
          <w:sz w:val="16"/>
          <w:szCs w:val="16"/>
        </w:rPr>
        <w:t>Конарт</w:t>
      </w:r>
      <w:proofErr w:type="spellEnd"/>
      <w:r w:rsidRPr="00A259BD">
        <w:rPr>
          <w:rFonts w:ascii="Times New Roman" w:hAnsi="Times New Roman"/>
          <w:color w:val="000000" w:themeColor="text1"/>
          <w:sz w:val="16"/>
          <w:szCs w:val="16"/>
        </w:rPr>
        <w:t>, А.В. Панов. После этих преобразований Институт значительно расширился и состоял уже из 11 отделов:</w:t>
      </w:r>
    </w:p>
    <w:p w14:paraId="5B37CE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Первый отдел - применения. Начальником был назначен </w:t>
      </w:r>
      <w:proofErr w:type="spellStart"/>
      <w:r w:rsidRPr="00A259BD">
        <w:rPr>
          <w:rFonts w:ascii="Times New Roman" w:hAnsi="Times New Roman"/>
          <w:color w:val="000000" w:themeColor="text1"/>
          <w:sz w:val="16"/>
          <w:szCs w:val="16"/>
        </w:rPr>
        <w:t>К.И.Трунов</w:t>
      </w:r>
      <w:proofErr w:type="spellEnd"/>
      <w:r w:rsidRPr="00A259BD">
        <w:rPr>
          <w:rFonts w:ascii="Times New Roman" w:hAnsi="Times New Roman"/>
          <w:color w:val="000000" w:themeColor="text1"/>
          <w:sz w:val="16"/>
          <w:szCs w:val="16"/>
        </w:rPr>
        <w:t>. Как и раньше отдел применения проводил летные испытания авиационной техники и разрабатывал тактику ее применения в боевых условиях.</w:t>
      </w:r>
    </w:p>
    <w:p w14:paraId="06FB51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Второй отдел – воздушных испытаний. Нач. </w:t>
      </w:r>
      <w:proofErr w:type="spellStart"/>
      <w:r w:rsidRPr="00A259BD">
        <w:rPr>
          <w:rFonts w:ascii="Times New Roman" w:hAnsi="Times New Roman"/>
          <w:color w:val="000000" w:themeColor="text1"/>
          <w:sz w:val="16"/>
          <w:szCs w:val="16"/>
        </w:rPr>
        <w:t>отд</w:t>
      </w:r>
      <w:proofErr w:type="spellEnd"/>
      <w:r w:rsidRPr="00A259BD">
        <w:rPr>
          <w:rFonts w:ascii="Times New Roman" w:hAnsi="Times New Roman"/>
          <w:color w:val="000000" w:themeColor="text1"/>
          <w:sz w:val="16"/>
          <w:szCs w:val="16"/>
        </w:rPr>
        <w:t xml:space="preserve"> М.А. </w:t>
      </w:r>
      <w:proofErr w:type="spellStart"/>
      <w:r w:rsidRPr="00A259BD">
        <w:rPr>
          <w:rFonts w:ascii="Times New Roman" w:hAnsi="Times New Roman"/>
          <w:color w:val="000000" w:themeColor="text1"/>
          <w:sz w:val="16"/>
          <w:szCs w:val="16"/>
        </w:rPr>
        <w:t>Волковойнов</w:t>
      </w:r>
      <w:proofErr w:type="spellEnd"/>
      <w:r w:rsidRPr="00A259BD">
        <w:rPr>
          <w:rFonts w:ascii="Times New Roman" w:hAnsi="Times New Roman"/>
          <w:color w:val="000000" w:themeColor="text1"/>
          <w:sz w:val="16"/>
          <w:szCs w:val="16"/>
        </w:rPr>
        <w:t>. Отдел занимался испытанием самолетов и решал большой объем задач, связанных с опытным строительством и эксплуатацией этих объемов.</w:t>
      </w:r>
    </w:p>
    <w:p w14:paraId="7273C0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Третий отдел - вооружение</w:t>
      </w:r>
    </w:p>
    <w:p w14:paraId="5DB080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Четвертый отдел- аэронавигационный </w:t>
      </w:r>
      <w:proofErr w:type="spellStart"/>
      <w:r w:rsidRPr="00A259BD">
        <w:rPr>
          <w:rFonts w:ascii="Times New Roman" w:hAnsi="Times New Roman"/>
          <w:color w:val="000000" w:themeColor="text1"/>
          <w:sz w:val="16"/>
          <w:szCs w:val="16"/>
        </w:rPr>
        <w:t>нач.отд</w:t>
      </w:r>
      <w:proofErr w:type="spellEnd"/>
      <w:r w:rsidRPr="00A259BD">
        <w:rPr>
          <w:rFonts w:ascii="Times New Roman" w:hAnsi="Times New Roman"/>
          <w:color w:val="000000" w:themeColor="text1"/>
          <w:sz w:val="16"/>
          <w:szCs w:val="16"/>
        </w:rPr>
        <w:t xml:space="preserve">. Б.В. Стерлигов. Отдел производил испытание </w:t>
      </w:r>
      <w:proofErr w:type="spellStart"/>
      <w:r w:rsidRPr="00A259BD">
        <w:rPr>
          <w:rFonts w:ascii="Times New Roman" w:hAnsi="Times New Roman"/>
          <w:color w:val="000000" w:themeColor="text1"/>
          <w:sz w:val="16"/>
          <w:szCs w:val="16"/>
        </w:rPr>
        <w:t>аэронавига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ционного</w:t>
      </w:r>
      <w:proofErr w:type="spellEnd"/>
      <w:r w:rsidRPr="00A259BD">
        <w:rPr>
          <w:rFonts w:ascii="Times New Roman" w:hAnsi="Times New Roman"/>
          <w:color w:val="000000" w:themeColor="text1"/>
          <w:sz w:val="16"/>
          <w:szCs w:val="16"/>
        </w:rPr>
        <w:t xml:space="preserve"> оборудования самолетов, изучал вопросы аэронавигации.</w:t>
      </w:r>
    </w:p>
    <w:p w14:paraId="573F97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Пятый отдел- технический. Нач. отдела Б.Т. Горошенко. Здесь проводились практически все работы и исследования. Личный состав отдела занимался вопросами эксплуатации самолетов, рассматривал проекты изменений и доработок авиационной техники и парашютов, давал по ним заключения, проводил химический анализ материалов, топлив, масел по заданию других отделов Института. Создавались различные пособия и руководства.</w:t>
      </w:r>
    </w:p>
    <w:p w14:paraId="3DB26E9A" w14:textId="4984CD39"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Шестой отдел – винтомоторный нач.</w:t>
      </w:r>
      <w:r w:rsidR="00293C2D">
        <w:rPr>
          <w:rFonts w:ascii="Times New Roman" w:hAnsi="Times New Roman"/>
          <w:color w:val="000000" w:themeColor="text1"/>
          <w:sz w:val="16"/>
          <w:szCs w:val="16"/>
        </w:rPr>
        <w:t xml:space="preserve"> </w:t>
      </w:r>
      <w:r w:rsidRPr="00A259BD">
        <w:rPr>
          <w:rFonts w:ascii="Times New Roman" w:hAnsi="Times New Roman"/>
          <w:color w:val="000000" w:themeColor="text1"/>
          <w:sz w:val="16"/>
          <w:szCs w:val="16"/>
        </w:rPr>
        <w:t>отдела Яновский. Испытание авиадвигателей типа М-11,М-17,М-22, Исследовал и подбирал топливные смеси для новых двигателей , а с 1930 года возглавил все работы по авиационным горюче-смазочным материалам.</w:t>
      </w:r>
    </w:p>
    <w:p w14:paraId="0149D7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Седьмой отдел – радио. Начальник А.И. Коваленков. Отдел в составе 24 человек занимался испытанием самолетной и наземной радиоаппаратуры.</w:t>
      </w:r>
    </w:p>
    <w:p w14:paraId="08EE3C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Восьмой отдел – электротехнический. Начальник. Н.И. </w:t>
      </w:r>
      <w:proofErr w:type="spellStart"/>
      <w:r w:rsidRPr="00A259BD">
        <w:rPr>
          <w:rFonts w:ascii="Times New Roman" w:hAnsi="Times New Roman"/>
          <w:color w:val="000000" w:themeColor="text1"/>
          <w:sz w:val="16"/>
          <w:szCs w:val="16"/>
        </w:rPr>
        <w:t>Петров.Отдел</w:t>
      </w:r>
      <w:proofErr w:type="spellEnd"/>
      <w:r w:rsidRPr="00A259BD">
        <w:rPr>
          <w:rFonts w:ascii="Times New Roman" w:hAnsi="Times New Roman"/>
          <w:color w:val="000000" w:themeColor="text1"/>
          <w:sz w:val="16"/>
          <w:szCs w:val="16"/>
        </w:rPr>
        <w:t xml:space="preserve"> в составе 20 человек проводил испытание электрооборудования самолетов и светотехнического оборудования аэродромов.</w:t>
      </w:r>
    </w:p>
    <w:p w14:paraId="36856F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Девятый отдел- аэросъемочный (фототехнический).Начальник </w:t>
      </w:r>
      <w:proofErr w:type="spellStart"/>
      <w:r w:rsidRPr="00A259BD">
        <w:rPr>
          <w:rFonts w:ascii="Times New Roman" w:hAnsi="Times New Roman"/>
          <w:color w:val="000000" w:themeColor="text1"/>
          <w:sz w:val="16"/>
          <w:szCs w:val="16"/>
        </w:rPr>
        <w:t>Клепиков.Отдел</w:t>
      </w:r>
      <w:proofErr w:type="spellEnd"/>
      <w:r w:rsidRPr="00A259BD">
        <w:rPr>
          <w:rFonts w:ascii="Times New Roman" w:hAnsi="Times New Roman"/>
          <w:color w:val="000000" w:themeColor="text1"/>
          <w:sz w:val="16"/>
          <w:szCs w:val="16"/>
        </w:rPr>
        <w:t xml:space="preserve"> проводил испытание Фотооборудования самолетов и исследования </w:t>
      </w:r>
      <w:proofErr w:type="spellStart"/>
      <w:r w:rsidRPr="00A259BD">
        <w:rPr>
          <w:rFonts w:ascii="Times New Roman" w:hAnsi="Times New Roman"/>
          <w:color w:val="000000" w:themeColor="text1"/>
          <w:sz w:val="16"/>
          <w:szCs w:val="16"/>
        </w:rPr>
        <w:t>разлтчных</w:t>
      </w:r>
      <w:proofErr w:type="spellEnd"/>
      <w:r w:rsidRPr="00A259BD">
        <w:rPr>
          <w:rFonts w:ascii="Times New Roman" w:hAnsi="Times New Roman"/>
          <w:color w:val="000000" w:themeColor="text1"/>
          <w:sz w:val="16"/>
          <w:szCs w:val="16"/>
        </w:rPr>
        <w:t xml:space="preserve"> образцов фотоматериалов.</w:t>
      </w:r>
    </w:p>
    <w:p w14:paraId="382541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Десятый отдел – воздухоплавательный. Отдел возглавляемый </w:t>
      </w:r>
      <w:proofErr w:type="spellStart"/>
      <w:r w:rsidRPr="00A259BD">
        <w:rPr>
          <w:rFonts w:ascii="Times New Roman" w:hAnsi="Times New Roman"/>
          <w:color w:val="000000" w:themeColor="text1"/>
          <w:sz w:val="16"/>
          <w:szCs w:val="16"/>
        </w:rPr>
        <w:t>Д.В.Лагутиным</w:t>
      </w:r>
      <w:proofErr w:type="spellEnd"/>
      <w:r w:rsidRPr="00A259BD">
        <w:rPr>
          <w:rFonts w:ascii="Times New Roman" w:hAnsi="Times New Roman"/>
          <w:color w:val="000000" w:themeColor="text1"/>
          <w:sz w:val="16"/>
          <w:szCs w:val="16"/>
        </w:rPr>
        <w:t xml:space="preserve">, занимался испытанием Аэростатов, дирижаблей, лебедок, гондол, гондольных парашютов, снаряжения аэростатов, </w:t>
      </w:r>
      <w:proofErr w:type="spellStart"/>
      <w:r w:rsidRPr="00A259BD">
        <w:rPr>
          <w:rFonts w:ascii="Times New Roman" w:hAnsi="Times New Roman"/>
          <w:color w:val="000000" w:themeColor="text1"/>
          <w:sz w:val="16"/>
          <w:szCs w:val="16"/>
        </w:rPr>
        <w:t>воздухоплава</w:t>
      </w:r>
      <w:proofErr w:type="spellEnd"/>
      <w:r w:rsidRPr="00A259BD">
        <w:rPr>
          <w:rFonts w:ascii="Times New Roman" w:hAnsi="Times New Roman"/>
          <w:color w:val="000000" w:themeColor="text1"/>
          <w:sz w:val="16"/>
          <w:szCs w:val="16"/>
        </w:rPr>
        <w:t xml:space="preserve"> тельных материалов.</w:t>
      </w:r>
    </w:p>
    <w:p w14:paraId="086174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Одиннадцатый отдел- административно-технический и санитарной части. Занимался вопросами снабжения ремонта и обслуживания всех работ проводимых в Институте (11017).</w:t>
      </w:r>
    </w:p>
    <w:p w14:paraId="1DC335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4DAE0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июня 1929 года гл. инспектор ГВФ В.А. </w:t>
      </w:r>
      <w:proofErr w:type="spellStart"/>
      <w:r w:rsidRPr="00A259BD">
        <w:rPr>
          <w:rFonts w:ascii="Times New Roman" w:hAnsi="Times New Roman"/>
          <w:color w:val="000000" w:themeColor="text1"/>
          <w:sz w:val="16"/>
          <w:szCs w:val="16"/>
        </w:rPr>
        <w:t>Зарзар</w:t>
      </w:r>
      <w:proofErr w:type="spellEnd"/>
      <w:r w:rsidRPr="00A259BD">
        <w:rPr>
          <w:rFonts w:ascii="Times New Roman" w:hAnsi="Times New Roman"/>
          <w:color w:val="000000" w:themeColor="text1"/>
          <w:sz w:val="16"/>
          <w:szCs w:val="16"/>
        </w:rPr>
        <w:t xml:space="preserve"> писал письмо № И/474 в управление ВМС начальнику 1 отдела 1 управления</w:t>
      </w:r>
    </w:p>
    <w:p w14:paraId="3BE925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На Ваш запрос сообщаю, что на сторожевое судно "Красный вымпел", назначенное для сопровождения самолета "Страна Советов", командируется инспекцией ГВФ ст. летчик-наблюдатель Павлов С.С. в качестве руководителя и ст. механик </w:t>
      </w:r>
      <w:proofErr w:type="spellStart"/>
      <w:r w:rsidRPr="00A259BD">
        <w:rPr>
          <w:rFonts w:ascii="Times New Roman" w:hAnsi="Times New Roman"/>
          <w:color w:val="000000" w:themeColor="text1"/>
          <w:sz w:val="16"/>
          <w:szCs w:val="16"/>
        </w:rPr>
        <w:t>Первак</w:t>
      </w:r>
      <w:proofErr w:type="spellEnd"/>
      <w:r w:rsidRPr="00A259BD">
        <w:rPr>
          <w:rFonts w:ascii="Times New Roman" w:hAnsi="Times New Roman"/>
          <w:color w:val="000000" w:themeColor="text1"/>
          <w:sz w:val="16"/>
          <w:szCs w:val="16"/>
        </w:rPr>
        <w:t>.</w:t>
      </w:r>
    </w:p>
    <w:p w14:paraId="7A407C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………………………(7783, 245).</w:t>
      </w:r>
    </w:p>
    <w:p w14:paraId="16EAC8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8FF224" w14:textId="77777777" w:rsidR="0014787B" w:rsidRPr="006B74EB" w:rsidRDefault="0014787B" w:rsidP="0014787B">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26 </w:t>
      </w:r>
      <w:r w:rsidRPr="006B74EB">
        <w:rPr>
          <w:rFonts w:ascii="Times New Roman" w:hAnsi="Times New Roman"/>
          <w:color w:val="0070C0"/>
          <w:sz w:val="16"/>
          <w:szCs w:val="16"/>
        </w:rPr>
        <w:t xml:space="preserve">июня </w:t>
      </w:r>
      <w:r>
        <w:rPr>
          <w:rFonts w:ascii="Times New Roman" w:hAnsi="Times New Roman"/>
          <w:color w:val="0070C0"/>
          <w:sz w:val="16"/>
          <w:szCs w:val="16"/>
        </w:rPr>
        <w:t>1929 г. о</w:t>
      </w:r>
      <w:r w:rsidRPr="006B74EB">
        <w:rPr>
          <w:rFonts w:ascii="Times New Roman" w:hAnsi="Times New Roman"/>
          <w:color w:val="0070C0"/>
          <w:sz w:val="16"/>
          <w:szCs w:val="16"/>
        </w:rPr>
        <w:t xml:space="preserve">ткрылось Всесоюзное совещание работников гражданской </w:t>
      </w:r>
      <w:proofErr w:type="spellStart"/>
      <w:r w:rsidRPr="006B74EB">
        <w:rPr>
          <w:rFonts w:ascii="Times New Roman" w:hAnsi="Times New Roman"/>
          <w:color w:val="0070C0"/>
          <w:sz w:val="16"/>
          <w:szCs w:val="16"/>
        </w:rPr>
        <w:t>isiamui</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посвященное в основном вопросам авиационного образования.</w:t>
      </w:r>
    </w:p>
    <w:p w14:paraId="184949F7" w14:textId="77777777" w:rsidR="0014787B" w:rsidRPr="006B74EB" w:rsidRDefault="0014787B" w:rsidP="0014787B">
      <w:pPr>
        <w:spacing w:after="0" w:line="240" w:lineRule="auto"/>
        <w:jc w:val="both"/>
        <w:rPr>
          <w:rFonts w:ascii="Times New Roman" w:hAnsi="Times New Roman"/>
          <w:color w:val="0070C0"/>
          <w:sz w:val="16"/>
          <w:szCs w:val="16"/>
        </w:rPr>
      </w:pPr>
      <w:r>
        <w:rPr>
          <w:rFonts w:ascii="Times New Roman" w:hAnsi="Times New Roman"/>
          <w:color w:val="0070C0"/>
          <w:sz w:val="16"/>
          <w:szCs w:val="16"/>
        </w:rPr>
        <w:t>Докл</w:t>
      </w:r>
      <w:r w:rsidRPr="006B74EB">
        <w:rPr>
          <w:rFonts w:ascii="Times New Roman" w:hAnsi="Times New Roman"/>
          <w:color w:val="0070C0"/>
          <w:sz w:val="16"/>
          <w:szCs w:val="16"/>
        </w:rPr>
        <w:t xml:space="preserve">адчики Б. </w:t>
      </w:r>
      <w:proofErr w:type="spellStart"/>
      <w:r w:rsidRPr="006B74EB">
        <w:rPr>
          <w:rFonts w:ascii="Times New Roman" w:hAnsi="Times New Roman"/>
          <w:color w:val="0070C0"/>
          <w:sz w:val="16"/>
          <w:szCs w:val="16"/>
        </w:rPr>
        <w:t>Н.Юрьев</w:t>
      </w:r>
      <w:proofErr w:type="spellEnd"/>
      <w:r w:rsidRPr="006B74EB">
        <w:rPr>
          <w:rFonts w:ascii="Times New Roman" w:hAnsi="Times New Roman"/>
          <w:color w:val="0070C0"/>
          <w:sz w:val="16"/>
          <w:szCs w:val="16"/>
        </w:rPr>
        <w:t xml:space="preserve"> и </w:t>
      </w:r>
      <w:proofErr w:type="spellStart"/>
      <w:r w:rsidRPr="006B74EB">
        <w:rPr>
          <w:rFonts w:ascii="Times New Roman" w:hAnsi="Times New Roman"/>
          <w:color w:val="0070C0"/>
          <w:sz w:val="16"/>
          <w:szCs w:val="16"/>
        </w:rPr>
        <w:t>С.Г.Хорьков</w:t>
      </w:r>
      <w:proofErr w:type="spellEnd"/>
      <w:r w:rsidRPr="006B74EB">
        <w:rPr>
          <w:rFonts w:ascii="Times New Roman" w:hAnsi="Times New Roman"/>
          <w:color w:val="0070C0"/>
          <w:sz w:val="16"/>
          <w:szCs w:val="16"/>
        </w:rPr>
        <w:t xml:space="preserve"> предложили создание междуведомс</w:t>
      </w:r>
      <w:r w:rsidRPr="006B74EB">
        <w:rPr>
          <w:rFonts w:ascii="Times New Roman" w:hAnsi="Times New Roman"/>
          <w:color w:val="0070C0"/>
          <w:sz w:val="16"/>
          <w:szCs w:val="16"/>
        </w:rPr>
        <w:softHyphen/>
        <w:t xml:space="preserve">твенного центра по авиационному образованию, в обязанности </w:t>
      </w:r>
      <w:proofErr w:type="spellStart"/>
      <w:r w:rsidRPr="006B74EB">
        <w:rPr>
          <w:rFonts w:ascii="Times New Roman" w:hAnsi="Times New Roman"/>
          <w:color w:val="0070C0"/>
          <w:sz w:val="16"/>
          <w:szCs w:val="16"/>
        </w:rPr>
        <w:t>котоpo</w:t>
      </w:r>
      <w:r>
        <w:rPr>
          <w:rFonts w:ascii="Times New Roman" w:hAnsi="Times New Roman"/>
          <w:color w:val="0070C0"/>
          <w:sz w:val="16"/>
          <w:szCs w:val="16"/>
        </w:rPr>
        <w:t>го</w:t>
      </w:r>
      <w:proofErr w:type="spellEnd"/>
      <w:r w:rsidRPr="006B74EB">
        <w:rPr>
          <w:rFonts w:ascii="Times New Roman" w:hAnsi="Times New Roman"/>
          <w:color w:val="0070C0"/>
          <w:sz w:val="16"/>
          <w:szCs w:val="16"/>
        </w:rPr>
        <w:t xml:space="preserve"> входили бы: а/ разработка учебных программ для втузов, готовящих </w:t>
      </w:r>
      <w:proofErr w:type="spellStart"/>
      <w:r>
        <w:rPr>
          <w:rFonts w:ascii="Times New Roman" w:hAnsi="Times New Roman"/>
          <w:color w:val="0070C0"/>
          <w:sz w:val="16"/>
          <w:szCs w:val="16"/>
        </w:rPr>
        <w:t>авиа</w:t>
      </w:r>
      <w:r w:rsidRPr="006B74EB">
        <w:rPr>
          <w:rFonts w:ascii="Times New Roman" w:hAnsi="Times New Roman"/>
          <w:color w:val="0070C0"/>
          <w:sz w:val="16"/>
          <w:szCs w:val="16"/>
        </w:rPr>
        <w:t>ц</w:t>
      </w:r>
      <w:r>
        <w:rPr>
          <w:rFonts w:ascii="Times New Roman" w:hAnsi="Times New Roman"/>
          <w:color w:val="0070C0"/>
          <w:sz w:val="16"/>
          <w:szCs w:val="16"/>
        </w:rPr>
        <w:t>и</w:t>
      </w:r>
      <w:r w:rsidRPr="006B74EB">
        <w:rPr>
          <w:rFonts w:ascii="Times New Roman" w:hAnsi="Times New Roman"/>
          <w:color w:val="0070C0"/>
          <w:sz w:val="16"/>
          <w:szCs w:val="16"/>
        </w:rPr>
        <w:t>оиных</w:t>
      </w:r>
      <w:proofErr w:type="spellEnd"/>
      <w:r w:rsidRPr="006B74EB">
        <w:rPr>
          <w:rFonts w:ascii="Times New Roman" w:hAnsi="Times New Roman"/>
          <w:color w:val="0070C0"/>
          <w:sz w:val="16"/>
          <w:szCs w:val="16"/>
        </w:rPr>
        <w:t xml:space="preserve"> специалистов; б/ разработка планов выпуска специалистов </w:t>
      </w:r>
      <w:proofErr w:type="spellStart"/>
      <w:r>
        <w:rPr>
          <w:rFonts w:ascii="Times New Roman" w:hAnsi="Times New Roman"/>
          <w:color w:val="0070C0"/>
          <w:sz w:val="16"/>
          <w:szCs w:val="16"/>
        </w:rPr>
        <w:t>в</w:t>
      </w:r>
      <w:r w:rsidRPr="006B74EB">
        <w:rPr>
          <w:rFonts w:ascii="Times New Roman" w:hAnsi="Times New Roman"/>
          <w:color w:val="0070C0"/>
          <w:sz w:val="16"/>
          <w:szCs w:val="16"/>
        </w:rPr>
        <w:t>оздушиого</w:t>
      </w:r>
      <w:proofErr w:type="spellEnd"/>
      <w:r w:rsidRPr="006B74EB">
        <w:rPr>
          <w:rFonts w:ascii="Times New Roman" w:hAnsi="Times New Roman"/>
          <w:color w:val="0070C0"/>
          <w:sz w:val="16"/>
          <w:szCs w:val="16"/>
        </w:rPr>
        <w:t xml:space="preserve"> флота и распределения их по авиационным обществам и </w:t>
      </w:r>
      <w:r>
        <w:rPr>
          <w:rFonts w:ascii="Times New Roman" w:hAnsi="Times New Roman"/>
          <w:color w:val="0070C0"/>
          <w:sz w:val="16"/>
          <w:szCs w:val="16"/>
        </w:rPr>
        <w:t>п</w:t>
      </w:r>
      <w:r w:rsidRPr="006B74EB">
        <w:rPr>
          <w:rFonts w:ascii="Times New Roman" w:hAnsi="Times New Roman"/>
          <w:color w:val="0070C0"/>
          <w:sz w:val="16"/>
          <w:szCs w:val="16"/>
        </w:rPr>
        <w:t>ромы</w:t>
      </w:r>
      <w:r>
        <w:rPr>
          <w:rFonts w:ascii="Times New Roman" w:hAnsi="Times New Roman"/>
          <w:color w:val="0070C0"/>
          <w:sz w:val="16"/>
          <w:szCs w:val="16"/>
        </w:rPr>
        <w:t>ш</w:t>
      </w:r>
      <w:r w:rsidRPr="006B74EB">
        <w:rPr>
          <w:rFonts w:ascii="Times New Roman" w:hAnsi="Times New Roman"/>
          <w:color w:val="0070C0"/>
          <w:sz w:val="16"/>
          <w:szCs w:val="16"/>
        </w:rPr>
        <w:t>лен</w:t>
      </w:r>
      <w:r>
        <w:rPr>
          <w:rFonts w:ascii="Times New Roman" w:hAnsi="Times New Roman"/>
          <w:color w:val="0070C0"/>
          <w:sz w:val="16"/>
          <w:szCs w:val="16"/>
        </w:rPr>
        <w:t>н</w:t>
      </w:r>
      <w:r w:rsidRPr="006B74EB">
        <w:rPr>
          <w:rFonts w:ascii="Times New Roman" w:hAnsi="Times New Roman"/>
          <w:color w:val="0070C0"/>
          <w:sz w:val="16"/>
          <w:szCs w:val="16"/>
        </w:rPr>
        <w:t>ост</w:t>
      </w:r>
      <w:r>
        <w:rPr>
          <w:rFonts w:ascii="Times New Roman" w:hAnsi="Times New Roman"/>
          <w:color w:val="0070C0"/>
          <w:sz w:val="16"/>
          <w:szCs w:val="16"/>
        </w:rPr>
        <w:t>и</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ВВА,</w:t>
      </w:r>
      <w:r>
        <w:rPr>
          <w:rFonts w:ascii="Times New Roman" w:hAnsi="Times New Roman"/>
          <w:color w:val="0070C0"/>
          <w:sz w:val="16"/>
          <w:szCs w:val="16"/>
        </w:rPr>
        <w:t xml:space="preserve"> </w:t>
      </w:r>
      <w:r w:rsidRPr="006B74EB">
        <w:rPr>
          <w:rFonts w:ascii="Times New Roman" w:hAnsi="Times New Roman"/>
          <w:color w:val="0070C0"/>
          <w:sz w:val="16"/>
          <w:szCs w:val="16"/>
        </w:rPr>
        <w:t>как наиболее богатая научными силами,</w:t>
      </w:r>
      <w:r>
        <w:rPr>
          <w:rFonts w:ascii="Times New Roman" w:hAnsi="Times New Roman"/>
          <w:color w:val="0070C0"/>
          <w:sz w:val="16"/>
          <w:szCs w:val="16"/>
        </w:rPr>
        <w:t xml:space="preserve"> </w:t>
      </w:r>
      <w:r w:rsidRPr="006B74EB">
        <w:rPr>
          <w:rFonts w:ascii="Times New Roman" w:hAnsi="Times New Roman"/>
          <w:color w:val="0070C0"/>
          <w:sz w:val="16"/>
          <w:szCs w:val="16"/>
        </w:rPr>
        <w:t>дол</w:t>
      </w:r>
      <w:r>
        <w:rPr>
          <w:rFonts w:ascii="Times New Roman" w:hAnsi="Times New Roman"/>
          <w:color w:val="0070C0"/>
          <w:sz w:val="16"/>
          <w:szCs w:val="16"/>
        </w:rPr>
        <w:t>жна</w:t>
      </w:r>
      <w:r w:rsidRPr="006B74EB">
        <w:rPr>
          <w:rFonts w:ascii="Times New Roman" w:hAnsi="Times New Roman"/>
          <w:color w:val="0070C0"/>
          <w:sz w:val="16"/>
          <w:szCs w:val="16"/>
        </w:rPr>
        <w:t xml:space="preserve"> стать центром всей научной работы по авиации и готовить препо</w:t>
      </w:r>
      <w:r>
        <w:rPr>
          <w:rFonts w:ascii="Times New Roman" w:hAnsi="Times New Roman"/>
          <w:color w:val="0070C0"/>
          <w:sz w:val="16"/>
          <w:szCs w:val="16"/>
        </w:rPr>
        <w:t>дава</w:t>
      </w:r>
      <w:r w:rsidRPr="006B74EB">
        <w:rPr>
          <w:rFonts w:ascii="Times New Roman" w:hAnsi="Times New Roman"/>
          <w:color w:val="0070C0"/>
          <w:sz w:val="16"/>
          <w:szCs w:val="16"/>
        </w:rPr>
        <w:t>телей для втузов.</w:t>
      </w:r>
    </w:p>
    <w:p w14:paraId="4EA73802" w14:textId="77777777" w:rsidR="0014787B" w:rsidRDefault="0014787B" w:rsidP="0014787B">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w:t>
      </w:r>
      <w:r>
        <w:rPr>
          <w:rFonts w:ascii="Times New Roman" w:hAnsi="Times New Roman"/>
          <w:color w:val="0070C0"/>
          <w:sz w:val="16"/>
          <w:szCs w:val="16"/>
        </w:rPr>
        <w:t>«</w:t>
      </w:r>
      <w:r w:rsidRPr="006B74EB">
        <w:rPr>
          <w:rFonts w:ascii="Times New Roman" w:hAnsi="Times New Roman"/>
          <w:color w:val="0070C0"/>
          <w:sz w:val="16"/>
          <w:szCs w:val="16"/>
        </w:rPr>
        <w:t>Красная звезда</w:t>
      </w:r>
      <w:r>
        <w:rPr>
          <w:rFonts w:ascii="Times New Roman" w:hAnsi="Times New Roman"/>
          <w:color w:val="0070C0"/>
          <w:sz w:val="16"/>
          <w:szCs w:val="16"/>
        </w:rPr>
        <w:t>»</w:t>
      </w:r>
      <w:r w:rsidRPr="006B74EB">
        <w:rPr>
          <w:rFonts w:ascii="Times New Roman" w:hAnsi="Times New Roman"/>
          <w:color w:val="0070C0"/>
          <w:sz w:val="16"/>
          <w:szCs w:val="16"/>
        </w:rPr>
        <w:t xml:space="preserve"> за 28 нюня 1929 г./</w:t>
      </w:r>
      <w:r>
        <w:rPr>
          <w:rFonts w:ascii="Times New Roman" w:hAnsi="Times New Roman"/>
          <w:color w:val="0070C0"/>
          <w:sz w:val="16"/>
          <w:szCs w:val="16"/>
        </w:rPr>
        <w:t xml:space="preserve"> (23370).</w:t>
      </w:r>
    </w:p>
    <w:p w14:paraId="001C962C" w14:textId="77777777" w:rsidR="0014787B" w:rsidRPr="006B74EB" w:rsidRDefault="0014787B" w:rsidP="0014787B">
      <w:pPr>
        <w:spacing w:after="0" w:line="240" w:lineRule="auto"/>
        <w:jc w:val="both"/>
        <w:rPr>
          <w:rFonts w:ascii="Times New Roman" w:hAnsi="Times New Roman"/>
          <w:color w:val="0070C0"/>
          <w:sz w:val="16"/>
          <w:szCs w:val="16"/>
        </w:rPr>
      </w:pPr>
    </w:p>
    <w:p w14:paraId="482C6400" w14:textId="77777777" w:rsidR="00107F31"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A053DA6" w14:textId="77777777" w:rsidR="00107F31" w:rsidRPr="00A259BD" w:rsidRDefault="00107F3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61AE77D" w14:textId="77777777" w:rsidR="00107F31" w:rsidRPr="00A259BD" w:rsidRDefault="00107F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26 июня</w:t>
      </w:r>
      <w:r w:rsidRPr="00A259BD">
        <w:rPr>
          <w:rFonts w:ascii="Times New Roman" w:hAnsi="Times New Roman"/>
          <w:color w:val="000000" w:themeColor="text1"/>
          <w:sz w:val="16"/>
          <w:szCs w:val="16"/>
        </w:rPr>
        <w:t xml:space="preserve"> в 1929 году пуск первой бумагоделательной машины Кондопожской бумажной фабрики № 1 – первенца индустриализации Карелии (ныне – ОАО «Кондопога») (14934).</w:t>
      </w:r>
    </w:p>
    <w:p w14:paraId="312F8C9D" w14:textId="77777777" w:rsidR="00107F31" w:rsidRPr="00A259BD" w:rsidRDefault="00107F31" w:rsidP="009236E3">
      <w:pPr>
        <w:spacing w:after="0" w:line="240" w:lineRule="auto"/>
        <w:jc w:val="both"/>
        <w:rPr>
          <w:rFonts w:ascii="Times New Roman" w:hAnsi="Times New Roman"/>
          <w:color w:val="000000" w:themeColor="text1"/>
          <w:sz w:val="16"/>
          <w:szCs w:val="16"/>
        </w:rPr>
      </w:pPr>
    </w:p>
    <w:p w14:paraId="0832339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8F1BF1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3C6E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июня 1929 управделами ОПО-4 (Ришара) Раскин направили письмо N 12/134с в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по поводу представления эскизного проекта пассажирской ЛЛ, в котором ОПО-4 жаловалось на то, что ТТ были направлены Инспекцией ГВФ в ЦАГИ и </w:t>
      </w: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 xml:space="preserve"> 3 июня, т.е. на 3 недели раньше, чем ОПО-4, хотя работа велась на основе соревнования (2341,61).</w:t>
      </w:r>
    </w:p>
    <w:p w14:paraId="526092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F7BBB17" w14:textId="77777777" w:rsidR="004364B8" w:rsidRPr="00A259BD" w:rsidRDefault="004364B8"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27 июня 1929 завод Каучук предъявил НИИ ВВС два парашюта, названных НИИ-1. Представители НИИ ВВС их забраковали: ранцы скроили неправильно, тесьма их окантовки оказалась недостаточно плотной, да и следы перешивания полотнищ обнаружили. Но уже в конце июня на НИИ-1 совершили первый прыжок. До «Ирвина» по качеству ему оказалось далеко. Выполнив с огромным трудом обязательства по договору, от дальнейшей работы по парашютам «</w:t>
      </w:r>
      <w:proofErr w:type="spellStart"/>
      <w:r w:rsidRPr="00A259BD">
        <w:rPr>
          <w:rFonts w:ascii="Times New Roman" w:eastAsia="Times New Roman" w:hAnsi="Times New Roman"/>
          <w:color w:val="000000" w:themeColor="text1"/>
          <w:sz w:val="16"/>
          <w:szCs w:val="16"/>
          <w:lang w:eastAsia="ru-RU"/>
        </w:rPr>
        <w:t>Резинотрест</w:t>
      </w:r>
      <w:proofErr w:type="spellEnd"/>
      <w:r w:rsidRPr="00A259BD">
        <w:rPr>
          <w:rFonts w:ascii="Times New Roman" w:eastAsia="Times New Roman" w:hAnsi="Times New Roman"/>
          <w:color w:val="000000" w:themeColor="text1"/>
          <w:sz w:val="16"/>
          <w:szCs w:val="16"/>
          <w:lang w:eastAsia="ru-RU"/>
        </w:rPr>
        <w:t>» отказался (21505).</w:t>
      </w:r>
    </w:p>
    <w:p w14:paraId="38C523F8" w14:textId="77777777" w:rsidR="004364B8" w:rsidRPr="00A259BD" w:rsidRDefault="004364B8" w:rsidP="009236E3">
      <w:pPr>
        <w:spacing w:after="0" w:line="240" w:lineRule="auto"/>
        <w:jc w:val="both"/>
        <w:rPr>
          <w:rFonts w:ascii="Times New Roman" w:hAnsi="Times New Roman"/>
          <w:color w:val="000000" w:themeColor="text1"/>
          <w:sz w:val="16"/>
          <w:szCs w:val="16"/>
        </w:rPr>
      </w:pPr>
    </w:p>
    <w:p w14:paraId="5DEDCFD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июня 1929 моряки выдали официальный заказ на разработку катерного варианта мо</w:t>
      </w:r>
      <w:r w:rsidRPr="00A259BD">
        <w:rPr>
          <w:rFonts w:ascii="Times New Roman" w:hAnsi="Times New Roman"/>
          <w:color w:val="000000" w:themeColor="text1"/>
          <w:sz w:val="16"/>
          <w:szCs w:val="16"/>
        </w:rPr>
        <w:softHyphen/>
        <w:t>тора М-27, оснащенного реверс-муфтой (11852).</w:t>
      </w:r>
    </w:p>
    <w:p w14:paraId="074A67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83E6F8" w14:textId="77777777" w:rsidR="00077238"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B408950" w14:textId="77777777" w:rsidR="00077238" w:rsidRPr="00A259BD"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5E0BE5E" w14:textId="77777777" w:rsidR="00077238" w:rsidRPr="00A259BD" w:rsidRDefault="00077238"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27 июня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Протокол заседания Политбюро ЦК ВКП(б) № 86. 16. О проведении «недели обороны» в 1929 г. (Ворошилов, Криницкий). Решения ПБ от 25 июня 1929 г. П. 22. О докладе Ленинградского судостроительного треста. (Политбюро... Т. 1. С. 702, 703) (12416).</w:t>
      </w:r>
    </w:p>
    <w:p w14:paraId="49F4032D" w14:textId="77777777" w:rsidR="00077238" w:rsidRPr="00A259BD" w:rsidRDefault="00077238" w:rsidP="009236E3">
      <w:pPr>
        <w:spacing w:after="0" w:line="240" w:lineRule="auto"/>
        <w:jc w:val="both"/>
        <w:rPr>
          <w:rFonts w:ascii="Times New Roman" w:hAnsi="Times New Roman"/>
          <w:color w:val="000000" w:themeColor="text1"/>
          <w:sz w:val="16"/>
          <w:szCs w:val="16"/>
          <w:u w:color="002060"/>
        </w:rPr>
      </w:pPr>
    </w:p>
    <w:p w14:paraId="312AA5E6" w14:textId="77777777" w:rsidR="00107F31" w:rsidRPr="00A259BD" w:rsidRDefault="00107F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27 июня</w:t>
      </w:r>
      <w:r w:rsidRPr="00A259BD">
        <w:rPr>
          <w:rFonts w:ascii="Times New Roman" w:hAnsi="Times New Roman"/>
          <w:color w:val="000000" w:themeColor="text1"/>
          <w:sz w:val="16"/>
          <w:szCs w:val="16"/>
        </w:rPr>
        <w:t xml:space="preserve"> в 1929 году Политбюро постановило создать сеть исправительно-трудовых лагерей, подведомственную ОГПУ (14935).</w:t>
      </w:r>
    </w:p>
    <w:p w14:paraId="4C2B2625" w14:textId="77777777" w:rsidR="00107F31" w:rsidRPr="00A259BD" w:rsidRDefault="00107F31" w:rsidP="009236E3">
      <w:pPr>
        <w:spacing w:after="0" w:line="240" w:lineRule="auto"/>
        <w:jc w:val="both"/>
        <w:rPr>
          <w:rFonts w:ascii="Times New Roman" w:hAnsi="Times New Roman"/>
          <w:color w:val="000000" w:themeColor="text1"/>
          <w:sz w:val="16"/>
          <w:szCs w:val="16"/>
        </w:rPr>
      </w:pPr>
    </w:p>
    <w:p w14:paraId="2E633F1F" w14:textId="77777777" w:rsidR="00107F31" w:rsidRPr="00A259BD" w:rsidRDefault="00107F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27 июня</w:t>
      </w:r>
      <w:r w:rsidRPr="00A259BD">
        <w:rPr>
          <w:rFonts w:ascii="Times New Roman" w:hAnsi="Times New Roman"/>
          <w:color w:val="000000" w:themeColor="text1"/>
          <w:sz w:val="16"/>
          <w:szCs w:val="16"/>
        </w:rPr>
        <w:t xml:space="preserve"> в 1929 году советское правительство постановило перевести всех заключенных со сроком больше трех лет перевести из тюрем в трудовые лагеря (14935).</w:t>
      </w:r>
    </w:p>
    <w:p w14:paraId="30794E65" w14:textId="77777777" w:rsidR="00107F31" w:rsidRPr="00A259BD" w:rsidRDefault="00107F31" w:rsidP="009236E3">
      <w:pPr>
        <w:spacing w:after="0" w:line="240" w:lineRule="auto"/>
        <w:jc w:val="both"/>
        <w:rPr>
          <w:rFonts w:ascii="Times New Roman" w:hAnsi="Times New Roman"/>
          <w:color w:val="000000" w:themeColor="text1"/>
          <w:sz w:val="16"/>
          <w:szCs w:val="16"/>
        </w:rPr>
      </w:pPr>
    </w:p>
    <w:p w14:paraId="38C15321"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6B9EFC0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D3810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июня 1929 ПБ приняло решение о развертывании сети ИТЛ (3908,329).</w:t>
      </w:r>
    </w:p>
    <w:p w14:paraId="7AE899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67028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июня 1929 года вышло постановление, согласно которому все заключенные, приговоренные как минимум к трем годам лишения свободы, переводились на исправительные работы в лагерях с "целью освоения естественных природных богатств восточных и северных районов страны" (2804).</w:t>
      </w:r>
    </w:p>
    <w:p w14:paraId="32D9BE0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5CE8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июня 1929 года Постановление Политбюро предписало “именовать в дальнейшем концентрационные лагеря исправительно-трудовыми лагерями”. Таким образом, расхожее представление, будто на такое переименование пошли, чтобы избежать нежелательных аналогий с концлагерями нацистской Германии, ошибочно. Можно говорить лишь о том, что в качестве приоритетной ставилась задача “исправления трудом”, а не “концентрация” враждебных элементов в лагерях (7560).</w:t>
      </w:r>
    </w:p>
    <w:p w14:paraId="156229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D7DD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июня 1929 вышло Постановлением ВЦИК и СНК, согласно которому все заключенные, приговоренные как минимум к трем годам лишения свободы, переводились на исправительные работы в лагерях с "целью освоения естественных природных богатств восточных и северных районов страны". В </w:t>
      </w:r>
      <w:proofErr w:type="spellStart"/>
      <w:r w:rsidRPr="00A259BD">
        <w:rPr>
          <w:rFonts w:ascii="Times New Roman" w:hAnsi="Times New Roman"/>
          <w:color w:val="000000" w:themeColor="text1"/>
          <w:sz w:val="16"/>
          <w:szCs w:val="16"/>
        </w:rPr>
        <w:t>с.Оржевка</w:t>
      </w:r>
      <w:proofErr w:type="spellEnd"/>
      <w:r w:rsidRPr="00A259BD">
        <w:rPr>
          <w:rFonts w:ascii="Times New Roman" w:hAnsi="Times New Roman"/>
          <w:color w:val="000000" w:themeColor="text1"/>
          <w:sz w:val="16"/>
          <w:szCs w:val="16"/>
        </w:rPr>
        <w:t xml:space="preserve"> у сельсовета собралась "толпа женщин и часть мужчин", достигшая 700 человек, с требованием освободить священника </w:t>
      </w:r>
      <w:proofErr w:type="spellStart"/>
      <w:r w:rsidRPr="00A259BD">
        <w:rPr>
          <w:rFonts w:ascii="Times New Roman" w:hAnsi="Times New Roman"/>
          <w:color w:val="000000" w:themeColor="text1"/>
          <w:sz w:val="16"/>
          <w:szCs w:val="16"/>
        </w:rPr>
        <w:t>Е.Лаврова</w:t>
      </w:r>
      <w:proofErr w:type="spellEnd"/>
      <w:r w:rsidRPr="00A259BD">
        <w:rPr>
          <w:rFonts w:ascii="Times New Roman" w:hAnsi="Times New Roman"/>
          <w:color w:val="000000" w:themeColor="text1"/>
          <w:sz w:val="16"/>
          <w:szCs w:val="16"/>
        </w:rPr>
        <w:t xml:space="preserve">. Причем из толпы были слышны крики: "долой Советскую власть", "да здравствует свобода", "долой хлебозаготовки". Связь с городом была прервана на 15 минут (накинули на провода проволоку), "пытались учинить расправу". Узнав, что из </w:t>
      </w:r>
      <w:proofErr w:type="spellStart"/>
      <w:r w:rsidRPr="00A259BD">
        <w:rPr>
          <w:rFonts w:ascii="Times New Roman" w:hAnsi="Times New Roman"/>
          <w:color w:val="000000" w:themeColor="text1"/>
          <w:sz w:val="16"/>
          <w:szCs w:val="16"/>
        </w:rPr>
        <w:t>г.Кирсанов</w:t>
      </w:r>
      <w:proofErr w:type="spellEnd"/>
      <w:r w:rsidRPr="00A259BD">
        <w:rPr>
          <w:rFonts w:ascii="Times New Roman" w:hAnsi="Times New Roman"/>
          <w:color w:val="000000" w:themeColor="text1"/>
          <w:sz w:val="16"/>
          <w:szCs w:val="16"/>
        </w:rPr>
        <w:t xml:space="preserve"> выехал отряд милиции, толпа покинула сельсовет. Были арестованы священник, псаломщик, две монашки и несколько активных участников "бунта" (10687).</w:t>
      </w:r>
    </w:p>
    <w:p w14:paraId="014F85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AFB1AA"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93FA93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4B7BD8" w14:textId="77777777" w:rsidR="00107F31" w:rsidRPr="00A259BD" w:rsidRDefault="00107F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27 июня</w:t>
      </w:r>
      <w:r w:rsidRPr="00A259BD">
        <w:rPr>
          <w:rFonts w:ascii="Times New Roman" w:hAnsi="Times New Roman"/>
          <w:color w:val="000000" w:themeColor="text1"/>
          <w:sz w:val="16"/>
          <w:szCs w:val="16"/>
        </w:rPr>
        <w:t xml:space="preserve"> в 1929 году в нью-йоркских лабораториях Белла была продемонстрирована система передачи полноцветного телеизображения (14935).</w:t>
      </w:r>
    </w:p>
    <w:p w14:paraId="6CDAF7A4" w14:textId="77777777" w:rsidR="00107F31" w:rsidRPr="00A259BD" w:rsidRDefault="00107F31" w:rsidP="009236E3">
      <w:pPr>
        <w:spacing w:after="0" w:line="240" w:lineRule="auto"/>
        <w:jc w:val="both"/>
        <w:rPr>
          <w:rFonts w:ascii="Times New Roman" w:hAnsi="Times New Roman"/>
          <w:color w:val="000000" w:themeColor="text1"/>
          <w:sz w:val="16"/>
          <w:szCs w:val="16"/>
        </w:rPr>
      </w:pPr>
    </w:p>
    <w:p w14:paraId="275B37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июня 1929 германский парламент отменил Закон о защите республики (3907,156).</w:t>
      </w:r>
    </w:p>
    <w:p w14:paraId="7160A9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442C4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июня 1929 в Турции Кемаль начал борьбу с коммунистической пропагандой (3907,156).</w:t>
      </w:r>
    </w:p>
    <w:p w14:paraId="307355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AED67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июня 1929 в Нью-Йорке прошло первое представление цветного телевидения (4962).</w:t>
      </w:r>
    </w:p>
    <w:p w14:paraId="7567446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B86988" w14:textId="77777777" w:rsidR="00077238"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EB543C5" w14:textId="77777777" w:rsidR="00077238" w:rsidRPr="00A259BD" w:rsidRDefault="0007723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F5D3B3" w14:textId="77777777" w:rsidR="00107F31" w:rsidRPr="00A259BD" w:rsidRDefault="00107F31" w:rsidP="009236E3">
      <w:pPr>
        <w:pStyle w:val="1010"/>
        <w:shd w:val="clear" w:color="auto" w:fill="auto"/>
        <w:spacing w:line="240" w:lineRule="auto"/>
        <w:ind w:firstLine="0"/>
        <w:rPr>
          <w:rFonts w:ascii="Times New Roman" w:hAnsi="Times New Roman" w:cs="Times New Roman"/>
          <w:i w:val="0"/>
          <w:color w:val="000000" w:themeColor="text1"/>
          <w:sz w:val="16"/>
          <w:szCs w:val="16"/>
        </w:rPr>
      </w:pPr>
      <w:r w:rsidRPr="00A259BD">
        <w:rPr>
          <w:rStyle w:val="106"/>
          <w:rFonts w:ascii="Times New Roman" w:eastAsia="Arial Unicode MS" w:hAnsi="Times New Roman" w:cs="Times New Roman"/>
          <w:i w:val="0"/>
          <w:iCs w:val="0"/>
          <w:color w:val="000000" w:themeColor="text1"/>
          <w:sz w:val="16"/>
          <w:szCs w:val="16"/>
        </w:rPr>
        <w:t>28 июня 1929 г. на заседании ГВПУ ВСНХ СССР после изучения до</w:t>
      </w:r>
      <w:r w:rsidRPr="00A259BD">
        <w:rPr>
          <w:rStyle w:val="106"/>
          <w:rFonts w:ascii="Times New Roman" w:eastAsia="Arial Unicode MS" w:hAnsi="Times New Roman" w:cs="Times New Roman"/>
          <w:i w:val="0"/>
          <w:iCs w:val="0"/>
          <w:color w:val="000000" w:themeColor="text1"/>
          <w:sz w:val="16"/>
          <w:szCs w:val="16"/>
        </w:rPr>
        <w:softHyphen/>
        <w:t>клада (</w:t>
      </w:r>
      <w:r w:rsidRPr="00A259BD">
        <w:rPr>
          <w:rFonts w:ascii="Times New Roman" w:hAnsi="Times New Roman" w:cs="Times New Roman"/>
          <w:i w:val="0"/>
          <w:color w:val="000000" w:themeColor="text1"/>
          <w:sz w:val="16"/>
          <w:szCs w:val="16"/>
        </w:rPr>
        <w:t>ижевские заводы обследовала правительственная ко</w:t>
      </w:r>
      <w:r w:rsidRPr="00A259BD">
        <w:rPr>
          <w:rFonts w:ascii="Times New Roman" w:hAnsi="Times New Roman" w:cs="Times New Roman"/>
          <w:i w:val="0"/>
          <w:color w:val="000000" w:themeColor="text1"/>
          <w:sz w:val="16"/>
          <w:szCs w:val="16"/>
        </w:rPr>
        <w:softHyphen/>
        <w:t>миссия, которая представила в Главное военно-промышленное управ</w:t>
      </w:r>
      <w:r w:rsidRPr="00A259BD">
        <w:rPr>
          <w:rFonts w:ascii="Times New Roman" w:hAnsi="Times New Roman" w:cs="Times New Roman"/>
          <w:i w:val="0"/>
          <w:color w:val="000000" w:themeColor="text1"/>
          <w:sz w:val="16"/>
          <w:szCs w:val="16"/>
        </w:rPr>
        <w:softHyphen/>
        <w:t>ление ВСНХ доклад</w:t>
      </w:r>
      <w:r w:rsidRPr="00A259BD">
        <w:rPr>
          <w:rStyle w:val="64"/>
          <w:rFonts w:ascii="Times New Roman" w:hAnsi="Times New Roman" w:cs="Times New Roman"/>
          <w:color w:val="000000" w:themeColor="text1"/>
          <w:sz w:val="16"/>
          <w:szCs w:val="16"/>
        </w:rPr>
        <w:t xml:space="preserve"> «О постановке и перспективах развития мирных производств на заводах военной промышленности по материалам об</w:t>
      </w:r>
      <w:r w:rsidRPr="00A259BD">
        <w:rPr>
          <w:rFonts w:ascii="Times New Roman" w:hAnsi="Times New Roman" w:cs="Times New Roman"/>
          <w:i w:val="0"/>
          <w:color w:val="000000" w:themeColor="text1"/>
          <w:sz w:val="16"/>
          <w:szCs w:val="16"/>
        </w:rPr>
        <w:t>следования»</w:t>
      </w:r>
      <w:r w:rsidRPr="00A259BD">
        <w:rPr>
          <w:rStyle w:val="106"/>
          <w:rFonts w:ascii="Times New Roman" w:eastAsia="Arial Unicode MS" w:hAnsi="Times New Roman" w:cs="Times New Roman"/>
          <w:i w:val="0"/>
          <w:iCs w:val="0"/>
          <w:color w:val="000000" w:themeColor="text1"/>
          <w:sz w:val="16"/>
          <w:szCs w:val="16"/>
        </w:rPr>
        <w:t>) постановили:</w:t>
      </w:r>
      <w:r w:rsidRPr="00A259BD">
        <w:rPr>
          <w:rFonts w:ascii="Times New Roman" w:hAnsi="Times New Roman" w:cs="Times New Roman"/>
          <w:i w:val="0"/>
          <w:color w:val="000000" w:themeColor="text1"/>
          <w:sz w:val="16"/>
          <w:szCs w:val="16"/>
        </w:rPr>
        <w:t xml:space="preserve"> «...При</w:t>
      </w:r>
      <w:r w:rsidRPr="00A259BD">
        <w:rPr>
          <w:rFonts w:ascii="Times New Roman" w:hAnsi="Times New Roman" w:cs="Times New Roman"/>
          <w:i w:val="0"/>
          <w:color w:val="000000" w:themeColor="text1"/>
          <w:sz w:val="16"/>
          <w:szCs w:val="16"/>
        </w:rPr>
        <w:softHyphen/>
        <w:t>знать нецелесообразным организацию производст</w:t>
      </w:r>
      <w:r w:rsidRPr="00A259BD">
        <w:rPr>
          <w:rFonts w:ascii="Times New Roman" w:hAnsi="Times New Roman" w:cs="Times New Roman"/>
          <w:i w:val="0"/>
          <w:color w:val="000000" w:themeColor="text1"/>
          <w:sz w:val="16"/>
          <w:szCs w:val="16"/>
        </w:rPr>
        <w:softHyphen/>
        <w:t xml:space="preserve">ва мотоциклов на Ижевском заводе и предложить </w:t>
      </w:r>
      <w:proofErr w:type="spellStart"/>
      <w:r w:rsidRPr="00A259BD">
        <w:rPr>
          <w:rFonts w:ascii="Times New Roman" w:hAnsi="Times New Roman" w:cs="Times New Roman"/>
          <w:i w:val="0"/>
          <w:color w:val="000000" w:themeColor="text1"/>
          <w:sz w:val="16"/>
          <w:szCs w:val="16"/>
        </w:rPr>
        <w:t>РУЖу</w:t>
      </w:r>
      <w:proofErr w:type="spellEnd"/>
      <w:r w:rsidRPr="00A259BD">
        <w:rPr>
          <w:rFonts w:ascii="Times New Roman" w:hAnsi="Times New Roman" w:cs="Times New Roman"/>
          <w:i w:val="0"/>
          <w:color w:val="000000" w:themeColor="text1"/>
          <w:sz w:val="16"/>
          <w:szCs w:val="16"/>
        </w:rPr>
        <w:t xml:space="preserve"> прекратить подготовку это</w:t>
      </w:r>
      <w:r w:rsidRPr="00A259BD">
        <w:rPr>
          <w:rFonts w:ascii="Times New Roman" w:hAnsi="Times New Roman" w:cs="Times New Roman"/>
          <w:i w:val="0"/>
          <w:color w:val="000000" w:themeColor="text1"/>
          <w:sz w:val="16"/>
          <w:szCs w:val="16"/>
        </w:rPr>
        <w:softHyphen/>
        <w:t>го производства на указан</w:t>
      </w:r>
      <w:r w:rsidRPr="00A259BD">
        <w:rPr>
          <w:rFonts w:ascii="Times New Roman" w:hAnsi="Times New Roman" w:cs="Times New Roman"/>
          <w:i w:val="0"/>
          <w:color w:val="000000" w:themeColor="text1"/>
          <w:sz w:val="16"/>
          <w:szCs w:val="16"/>
        </w:rPr>
        <w:softHyphen/>
        <w:t>ном заводе. Поручить Ко</w:t>
      </w:r>
      <w:r w:rsidRPr="00A259BD">
        <w:rPr>
          <w:rFonts w:ascii="Times New Roman" w:hAnsi="Times New Roman" w:cs="Times New Roman"/>
          <w:i w:val="0"/>
          <w:color w:val="000000" w:themeColor="text1"/>
          <w:sz w:val="16"/>
          <w:szCs w:val="16"/>
        </w:rPr>
        <w:softHyphen/>
        <w:t>миссии проработать вопрос об использовании завода по линии мирных производств путем организации на нем среднего и мелкого станко</w:t>
      </w:r>
      <w:r w:rsidRPr="00A259BD">
        <w:rPr>
          <w:rFonts w:ascii="Times New Roman" w:hAnsi="Times New Roman" w:cs="Times New Roman"/>
          <w:i w:val="0"/>
          <w:color w:val="000000" w:themeColor="text1"/>
          <w:sz w:val="16"/>
          <w:szCs w:val="16"/>
        </w:rPr>
        <w:softHyphen/>
        <w:t>строения».</w:t>
      </w:r>
      <w:r w:rsidRPr="00A259BD">
        <w:rPr>
          <w:rStyle w:val="106"/>
          <w:rFonts w:ascii="Times New Roman" w:eastAsia="Arial Unicode MS" w:hAnsi="Times New Roman" w:cs="Times New Roman"/>
          <w:i w:val="0"/>
          <w:iCs w:val="0"/>
          <w:color w:val="000000" w:themeColor="text1"/>
          <w:sz w:val="16"/>
          <w:szCs w:val="16"/>
        </w:rPr>
        <w:t xml:space="preserve"> На завод напра</w:t>
      </w:r>
      <w:r w:rsidRPr="00A259BD">
        <w:rPr>
          <w:rStyle w:val="106"/>
          <w:rFonts w:ascii="Times New Roman" w:eastAsia="Arial Unicode MS" w:hAnsi="Times New Roman" w:cs="Times New Roman"/>
          <w:i w:val="0"/>
          <w:iCs w:val="0"/>
          <w:color w:val="000000" w:themeColor="text1"/>
          <w:sz w:val="16"/>
          <w:szCs w:val="16"/>
        </w:rPr>
        <w:softHyphen/>
        <w:t>вили соответствующую теле</w:t>
      </w:r>
      <w:r w:rsidRPr="00A259BD">
        <w:rPr>
          <w:rStyle w:val="106"/>
          <w:rFonts w:ascii="Times New Roman" w:eastAsia="Arial Unicode MS" w:hAnsi="Times New Roman" w:cs="Times New Roman"/>
          <w:i w:val="0"/>
          <w:iCs w:val="0"/>
          <w:color w:val="000000" w:themeColor="text1"/>
          <w:sz w:val="16"/>
          <w:szCs w:val="16"/>
        </w:rPr>
        <w:softHyphen/>
        <w:t>грамму.</w:t>
      </w:r>
    </w:p>
    <w:p w14:paraId="73C772E2" w14:textId="77777777" w:rsidR="00107F31" w:rsidRPr="00A259BD" w:rsidRDefault="00107F31" w:rsidP="009236E3">
      <w:pPr>
        <w:pStyle w:val="a3"/>
        <w:rPr>
          <w:color w:val="000000" w:themeColor="text1"/>
          <w:lang w:val="ru-RU"/>
        </w:rPr>
      </w:pPr>
      <w:r w:rsidRPr="00A259BD">
        <w:rPr>
          <w:color w:val="000000" w:themeColor="text1"/>
          <w:lang w:val="ru-RU"/>
        </w:rPr>
        <w:t xml:space="preserve">Руководители республики и </w:t>
      </w:r>
      <w:proofErr w:type="spellStart"/>
      <w:r w:rsidRPr="00A259BD">
        <w:rPr>
          <w:color w:val="000000" w:themeColor="text1"/>
          <w:lang w:val="ru-RU"/>
        </w:rPr>
        <w:t>Ижстальзавода</w:t>
      </w:r>
      <w:proofErr w:type="spellEnd"/>
      <w:r w:rsidRPr="00A259BD">
        <w:rPr>
          <w:color w:val="000000" w:themeColor="text1"/>
          <w:lang w:val="ru-RU"/>
        </w:rPr>
        <w:t xml:space="preserve"> попытались оспорить это решение. При этом отказ от организации выпуска отечественной продукции в пользу приобретения иностранной за золотые рубли пря</w:t>
      </w:r>
      <w:r w:rsidRPr="00A259BD">
        <w:rPr>
          <w:color w:val="000000" w:themeColor="text1"/>
          <w:lang w:val="ru-RU"/>
        </w:rPr>
        <w:softHyphen/>
        <w:t xml:space="preserve">мо назывался преступным. Так, шведская моторная пила стоила более 700 золотых рублей, а </w:t>
      </w:r>
      <w:proofErr w:type="spellStart"/>
      <w:r w:rsidRPr="00A259BD">
        <w:rPr>
          <w:color w:val="000000" w:themeColor="text1"/>
          <w:lang w:val="ru-RU"/>
        </w:rPr>
        <w:t>Ижстальзавод</w:t>
      </w:r>
      <w:proofErr w:type="spellEnd"/>
      <w:r w:rsidRPr="00A259BD">
        <w:rPr>
          <w:color w:val="000000" w:themeColor="text1"/>
          <w:lang w:val="ru-RU"/>
        </w:rPr>
        <w:t xml:space="preserve"> мог (разумеется, при идентичном качестве) производить отечественную версию минимум вдвое дешевле.</w:t>
      </w:r>
    </w:p>
    <w:p w14:paraId="458F47DB" w14:textId="77777777" w:rsidR="00107F31" w:rsidRPr="00A259BD" w:rsidRDefault="00107F31" w:rsidP="009236E3">
      <w:pPr>
        <w:pStyle w:val="a3"/>
        <w:rPr>
          <w:color w:val="000000" w:themeColor="text1"/>
          <w:lang w:val="ru-RU"/>
        </w:rPr>
      </w:pPr>
      <w:r w:rsidRPr="00A259BD">
        <w:rPr>
          <w:color w:val="000000" w:themeColor="text1"/>
          <w:lang w:val="ru-RU"/>
        </w:rPr>
        <w:t>Тем не менее, сборку опытных мотоциклов продолжили в надежде на то, что ситуацию удастся изменить по результатам пробега (15753).</w:t>
      </w:r>
    </w:p>
    <w:p w14:paraId="24C46ADC" w14:textId="77777777" w:rsidR="00107F31" w:rsidRPr="00A259BD" w:rsidRDefault="00107F31" w:rsidP="009236E3">
      <w:pPr>
        <w:pStyle w:val="a3"/>
        <w:rPr>
          <w:color w:val="000000" w:themeColor="text1"/>
          <w:lang w:val="ru-RU"/>
        </w:rPr>
      </w:pPr>
    </w:p>
    <w:p w14:paraId="1E444CA5" w14:textId="77777777" w:rsidR="0072351A" w:rsidRPr="00A259BD" w:rsidRDefault="0072351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28 июня 1929 г. Ответственные товарищи на заседании ГВПУ ВСНХ СССР после изучения доклада постановили: «По Ижевскому заводу признать нецелесообразным организацию производства мотоциклов на Ижевском заводе и предложить </w:t>
      </w:r>
      <w:proofErr w:type="spellStart"/>
      <w:r w:rsidRPr="00A259BD">
        <w:rPr>
          <w:rFonts w:ascii="Times New Roman" w:hAnsi="Times New Roman"/>
          <w:color w:val="000000" w:themeColor="text1"/>
          <w:sz w:val="16"/>
          <w:szCs w:val="16"/>
        </w:rPr>
        <w:t>РУЖу</w:t>
      </w:r>
      <w:proofErr w:type="spellEnd"/>
      <w:r w:rsidRPr="00A259BD">
        <w:rPr>
          <w:rFonts w:ascii="Times New Roman" w:hAnsi="Times New Roman"/>
          <w:color w:val="000000" w:themeColor="text1"/>
          <w:sz w:val="16"/>
          <w:szCs w:val="16"/>
        </w:rPr>
        <w:t xml:space="preserve"> прекратить подготовку этого производства на указанном заводе. Поручить Комиссии проработать вопрос об использовании завода по линии мирных производств путем организации на нем среднего и мелкого станкостроения». На завод была направлена телеграмма о срочном и полном прекращении работ по мотоциклам. Руководство региона и заводов попытались оспорить это решение. При этом отказ от организации выпуска отечественной продукции в пользу приобретения иностранной за золотые рубли прямо назывался преступным. Так, шведская моторная пила стоила более 700 золотых рублей, а </w:t>
      </w:r>
      <w:proofErr w:type="spellStart"/>
      <w:r w:rsidRPr="00A259BD">
        <w:rPr>
          <w:rFonts w:ascii="Times New Roman" w:hAnsi="Times New Roman"/>
          <w:color w:val="000000" w:themeColor="text1"/>
          <w:sz w:val="16"/>
          <w:szCs w:val="16"/>
        </w:rPr>
        <w:t>Ижстальзавод</w:t>
      </w:r>
      <w:proofErr w:type="spellEnd"/>
      <w:r w:rsidRPr="00A259BD">
        <w:rPr>
          <w:rFonts w:ascii="Times New Roman" w:hAnsi="Times New Roman"/>
          <w:color w:val="000000" w:themeColor="text1"/>
          <w:sz w:val="16"/>
          <w:szCs w:val="16"/>
        </w:rPr>
        <w:t xml:space="preserve"> мог, разумеется при идентичном качестве, производить отечественную версию минимум вдвое дешевле. На заводе просто проигнорировали указание и продолжили изготовление опытных мотоциклов в надежде на то, что очевидно неверное решение будет пересмотрено по результатам пробега, который планировалось провести осенью с участием ряда заинтересованных ведомств. Для совместного испытания иностранных и перспективных </w:t>
      </w:r>
      <w:r w:rsidRPr="00A259BD">
        <w:rPr>
          <w:rFonts w:ascii="Times New Roman" w:hAnsi="Times New Roman"/>
          <w:color w:val="000000" w:themeColor="text1"/>
          <w:sz w:val="16"/>
          <w:szCs w:val="16"/>
        </w:rPr>
        <w:lastRenderedPageBreak/>
        <w:t xml:space="preserve">отечественных мотоциклов «Автодором» при участии военных с 17 сентября по 20 октября был организован Всесоюзный пробег советских мотоциклов. Председателем комитета и командором пробега был М. К. Левандовский, представлявший интересы военных (ГУ РККА). Заместителями стали А. М. </w:t>
      </w:r>
      <w:proofErr w:type="spellStart"/>
      <w:r w:rsidRPr="00A259BD">
        <w:rPr>
          <w:rFonts w:ascii="Times New Roman" w:hAnsi="Times New Roman"/>
          <w:color w:val="000000" w:themeColor="text1"/>
          <w:sz w:val="16"/>
          <w:szCs w:val="16"/>
        </w:rPr>
        <w:t>Любович</w:t>
      </w:r>
      <w:proofErr w:type="spellEnd"/>
      <w:r w:rsidRPr="00A259BD">
        <w:rPr>
          <w:rFonts w:ascii="Times New Roman" w:hAnsi="Times New Roman"/>
          <w:color w:val="000000" w:themeColor="text1"/>
          <w:sz w:val="16"/>
          <w:szCs w:val="16"/>
        </w:rPr>
        <w:t xml:space="preserve"> от </w:t>
      </w:r>
      <w:proofErr w:type="spellStart"/>
      <w:r w:rsidRPr="00A259BD">
        <w:rPr>
          <w:rFonts w:ascii="Times New Roman" w:hAnsi="Times New Roman"/>
          <w:color w:val="000000" w:themeColor="text1"/>
          <w:sz w:val="16"/>
          <w:szCs w:val="16"/>
        </w:rPr>
        <w:t>НКПиТ</w:t>
      </w:r>
      <w:proofErr w:type="spellEnd"/>
      <w:r w:rsidRPr="00A259BD">
        <w:rPr>
          <w:rFonts w:ascii="Times New Roman" w:hAnsi="Times New Roman"/>
          <w:color w:val="000000" w:themeColor="text1"/>
          <w:sz w:val="16"/>
          <w:szCs w:val="16"/>
        </w:rPr>
        <w:t xml:space="preserve"> и Д. М. Соловей по линии общества «Автодор» (19776).</w:t>
      </w:r>
    </w:p>
    <w:p w14:paraId="3D3D1DCC" w14:textId="77777777" w:rsidR="0072351A" w:rsidRPr="00A259BD" w:rsidRDefault="0072351A" w:rsidP="009236E3">
      <w:pPr>
        <w:spacing w:after="0" w:line="240" w:lineRule="auto"/>
        <w:jc w:val="both"/>
        <w:rPr>
          <w:rFonts w:ascii="Times New Roman" w:hAnsi="Times New Roman"/>
          <w:color w:val="000000" w:themeColor="text1"/>
          <w:sz w:val="16"/>
          <w:szCs w:val="16"/>
        </w:rPr>
      </w:pPr>
    </w:p>
    <w:p w14:paraId="6CACFC5D" w14:textId="77777777" w:rsidR="00077238" w:rsidRPr="00A259BD" w:rsidRDefault="00077238"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28 июня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СНК СССР о разрешении Народному комиссариату по военным и морским делам передавать авиационное имущество обществам содействия развитию автомобилизма и улучшению дорог (СЗ. 1929. № 42. Ст. 376) (12415).</w:t>
      </w:r>
    </w:p>
    <w:p w14:paraId="435A7325" w14:textId="77777777" w:rsidR="00077238" w:rsidRPr="00A259BD" w:rsidRDefault="00077238" w:rsidP="009236E3">
      <w:pPr>
        <w:spacing w:after="0" w:line="240" w:lineRule="auto"/>
        <w:jc w:val="both"/>
        <w:rPr>
          <w:rFonts w:ascii="Times New Roman" w:hAnsi="Times New Roman"/>
          <w:color w:val="000000" w:themeColor="text1"/>
          <w:sz w:val="16"/>
          <w:szCs w:val="16"/>
          <w:u w:color="002060"/>
        </w:rPr>
      </w:pPr>
    </w:p>
    <w:p w14:paraId="000039E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3BAC04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6FC1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июня 1929 были введены твердые задания на хозяйства зажиточных крестьян. Отказ от задания карался уголовным наказанием, его невыполнение вело к уплате штрафа в пятикратном размере или продажа имущества с торгов (3908,329).</w:t>
      </w:r>
    </w:p>
    <w:p w14:paraId="305F6B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B372D7" w14:textId="77777777" w:rsidR="00107F31" w:rsidRPr="00A259BD" w:rsidRDefault="00107F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28 июня</w:t>
      </w:r>
      <w:r w:rsidRPr="00A259BD">
        <w:rPr>
          <w:rFonts w:ascii="Times New Roman" w:hAnsi="Times New Roman"/>
          <w:color w:val="000000" w:themeColor="text1"/>
          <w:sz w:val="16"/>
          <w:szCs w:val="16"/>
        </w:rPr>
        <w:t xml:space="preserve"> в 1929 году в соответствии с постановлением СНК «Об использовании труда уголовно-заключенных» было организовано Управление северных лагерей особого назначения (УСЕВЛОН). Местом временной дислокации управления был определен </w:t>
      </w:r>
      <w:proofErr w:type="spellStart"/>
      <w:r w:rsidRPr="00A259BD">
        <w:rPr>
          <w:rFonts w:ascii="Times New Roman" w:hAnsi="Times New Roman"/>
          <w:color w:val="000000" w:themeColor="text1"/>
          <w:sz w:val="16"/>
          <w:szCs w:val="16"/>
        </w:rPr>
        <w:t>Усть-Сысольск</w:t>
      </w:r>
      <w:proofErr w:type="spellEnd"/>
      <w:r w:rsidRPr="00A259BD">
        <w:rPr>
          <w:rFonts w:ascii="Times New Roman" w:hAnsi="Times New Roman"/>
          <w:color w:val="000000" w:themeColor="text1"/>
          <w:sz w:val="16"/>
          <w:szCs w:val="16"/>
        </w:rPr>
        <w:t xml:space="preserve"> (ныне Сыктывкар; в 1930 г. переведен в Котлас). К 1 октября 1929 г. в лагере было 9250 заключенных (14936).</w:t>
      </w:r>
    </w:p>
    <w:p w14:paraId="1A498085" w14:textId="77777777" w:rsidR="00107F31" w:rsidRPr="00A259BD" w:rsidRDefault="00107F31" w:rsidP="009236E3">
      <w:pPr>
        <w:spacing w:after="0" w:line="240" w:lineRule="auto"/>
        <w:jc w:val="both"/>
        <w:rPr>
          <w:rFonts w:ascii="Times New Roman" w:hAnsi="Times New Roman"/>
          <w:color w:val="000000" w:themeColor="text1"/>
          <w:sz w:val="16"/>
          <w:szCs w:val="16"/>
        </w:rPr>
      </w:pPr>
    </w:p>
    <w:p w14:paraId="10D41CB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45DC33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16D3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28 июня 1929 на основании постановления СНК СССР от 6 июня 1929-го “Об отпуске ОГПУ средств на организацию и содержание концентрационного лагеря в районе Олонца-Ухты” и приказа ОГПУ № 136/68 создается Управление Северных лагерей особого назначения (УСЕВЛОН) с центром в </w:t>
      </w:r>
      <w:proofErr w:type="spellStart"/>
      <w:r w:rsidRPr="00A259BD">
        <w:rPr>
          <w:rFonts w:ascii="Times New Roman" w:hAnsi="Times New Roman"/>
          <w:color w:val="000000" w:themeColor="text1"/>
          <w:sz w:val="16"/>
          <w:szCs w:val="16"/>
        </w:rPr>
        <w:t>Усть-Сысольске</w:t>
      </w:r>
      <w:proofErr w:type="spellEnd"/>
      <w:r w:rsidRPr="00A259BD">
        <w:rPr>
          <w:rFonts w:ascii="Times New Roman" w:hAnsi="Times New Roman"/>
          <w:color w:val="000000" w:themeColor="text1"/>
          <w:sz w:val="16"/>
          <w:szCs w:val="16"/>
        </w:rPr>
        <w:t xml:space="preserve"> (26 марта 1930-го переименованном в Сыктывкар) (7560).</w:t>
      </w:r>
    </w:p>
    <w:p w14:paraId="62C42E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435D5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2608C4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F33A9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29 июня по 20 августа 1929 в НИИ ВВС проходили испытания самолета СПАД 51 с мотором ЮПИТЕР VI.</w:t>
      </w:r>
    </w:p>
    <w:p w14:paraId="2A1AA94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испытаний самолета СПАД 51 с мотором ЮПИТЕР VI</w:t>
      </w:r>
    </w:p>
    <w:p w14:paraId="5BDD59D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Начало испытания 29 июня 1929 года</w:t>
      </w:r>
    </w:p>
    <w:p w14:paraId="55CC84C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 испытания 20 августа 1929 года</w:t>
      </w:r>
    </w:p>
    <w:p w14:paraId="220E301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Самолет СПАД 51 изготовлен во Франции фирмой “Товарищество </w:t>
      </w:r>
      <w:proofErr w:type="spellStart"/>
      <w:r w:rsidRPr="00A259BD">
        <w:rPr>
          <w:rFonts w:ascii="Times New Roman" w:hAnsi="Times New Roman"/>
          <w:color w:val="000000" w:themeColor="text1"/>
          <w:sz w:val="16"/>
          <w:szCs w:val="16"/>
        </w:rPr>
        <w:t>Блэрио-Аэронатик</w:t>
      </w:r>
      <w:proofErr w:type="spellEnd"/>
      <w:r w:rsidRPr="00A259BD">
        <w:rPr>
          <w:rFonts w:ascii="Times New Roman" w:hAnsi="Times New Roman"/>
          <w:color w:val="000000" w:themeColor="text1"/>
          <w:sz w:val="16"/>
          <w:szCs w:val="16"/>
        </w:rPr>
        <w:t>”.</w:t>
      </w:r>
    </w:p>
    <w:p w14:paraId="1558AB5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Назначение самолета: одноместный истребитель, биплан.</w:t>
      </w:r>
    </w:p>
    <w:p w14:paraId="05B2FF0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Конструкция смешанная.</w:t>
      </w:r>
    </w:p>
    <w:p w14:paraId="3EEE8D2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Общее выполнение самолета и его схема вполне идентичны с самолетом СПАД 61.</w:t>
      </w:r>
    </w:p>
    <w:p w14:paraId="60A8FFC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4E6A735A"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своим летным данным самолет СПАД 51, как боевой самолет, является достаточно сильным противником.</w:t>
      </w:r>
    </w:p>
    <w:p w14:paraId="64D824A7"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Ввиду ряда существенных недостатков, введение самолета на снабжение ВВС не рационально (6989).</w:t>
      </w:r>
    </w:p>
    <w:p w14:paraId="5302F628"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AA2E0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2B59A8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BF676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июня 1929 года (протоколом) дальнейшие работы по 122-мм пушки были переданы в Главное конструкторское бюро Орудийно-арсенального треста, причем в этих работах от КБ </w:t>
      </w:r>
      <w:proofErr w:type="spellStart"/>
      <w:r w:rsidRPr="00A259BD">
        <w:rPr>
          <w:rFonts w:ascii="Times New Roman" w:hAnsi="Times New Roman"/>
          <w:color w:val="000000" w:themeColor="text1"/>
          <w:sz w:val="16"/>
          <w:szCs w:val="16"/>
        </w:rPr>
        <w:t>Арткома</w:t>
      </w:r>
      <w:proofErr w:type="spellEnd"/>
      <w:r w:rsidRPr="00A259BD">
        <w:rPr>
          <w:rFonts w:ascii="Times New Roman" w:hAnsi="Times New Roman"/>
          <w:color w:val="000000" w:themeColor="text1"/>
          <w:sz w:val="16"/>
          <w:szCs w:val="16"/>
        </w:rPr>
        <w:t xml:space="preserve"> приняли самое активное участие его штатные сотрудники военные инженеры М. Я. </w:t>
      </w:r>
      <w:proofErr w:type="spellStart"/>
      <w:r w:rsidRPr="00A259BD">
        <w:rPr>
          <w:rFonts w:ascii="Times New Roman" w:hAnsi="Times New Roman"/>
          <w:color w:val="000000" w:themeColor="text1"/>
          <w:sz w:val="16"/>
          <w:szCs w:val="16"/>
        </w:rPr>
        <w:t>Крупчатников</w:t>
      </w:r>
      <w:proofErr w:type="spellEnd"/>
      <w:r w:rsidRPr="00A259BD">
        <w:rPr>
          <w:rFonts w:ascii="Times New Roman" w:hAnsi="Times New Roman"/>
          <w:color w:val="000000" w:themeColor="text1"/>
          <w:sz w:val="16"/>
          <w:szCs w:val="16"/>
        </w:rPr>
        <w:t xml:space="preserve"> и В. Н. Дроздов, и сотрудники завода № 172 (3861).</w:t>
      </w:r>
    </w:p>
    <w:p w14:paraId="2930BC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CD894C" w14:textId="77777777" w:rsidR="00CD567A" w:rsidRPr="00A259BD" w:rsidRDefault="00CD567A" w:rsidP="009236E3">
      <w:pPr>
        <w:pStyle w:val="ae"/>
        <w:shd w:val="clear" w:color="auto" w:fill="FFFFFF"/>
        <w:spacing w:before="0" w:after="0"/>
        <w:jc w:val="both"/>
        <w:rPr>
          <w:color w:val="000000" w:themeColor="text1"/>
          <w:sz w:val="16"/>
          <w:szCs w:val="16"/>
        </w:rPr>
      </w:pPr>
      <w:r w:rsidRPr="00A259BD">
        <w:rPr>
          <w:color w:val="000000" w:themeColor="text1"/>
          <w:sz w:val="16"/>
          <w:szCs w:val="16"/>
        </w:rPr>
        <w:t>На 29 июня 1929 года на Большевике в работе находилось 42 корпуса, из них 29 готовых. Также в работе было 30 двигателей, из них 8 готовых. Столько же — 8 штук — было готово и танков.</w:t>
      </w:r>
    </w:p>
    <w:p w14:paraId="61190C56" w14:textId="77777777" w:rsidR="00CD567A" w:rsidRPr="00A259BD" w:rsidRDefault="00CD567A" w:rsidP="009236E3">
      <w:pPr>
        <w:pStyle w:val="ae"/>
        <w:shd w:val="clear" w:color="auto" w:fill="FFFFFF"/>
        <w:spacing w:before="0" w:after="0"/>
        <w:jc w:val="both"/>
        <w:rPr>
          <w:color w:val="000000" w:themeColor="text1"/>
          <w:sz w:val="16"/>
          <w:szCs w:val="16"/>
        </w:rPr>
      </w:pPr>
      <w:r w:rsidRPr="00A259BD">
        <w:rPr>
          <w:color w:val="000000" w:themeColor="text1"/>
          <w:sz w:val="16"/>
          <w:szCs w:val="16"/>
        </w:rPr>
        <w:t xml:space="preserve">В это же время пришлось вносить очередное изменение в конструкцию машины. Выяснилось, что на рёбрах диска ведущих колёс почти всех выпущенных танков появились трещины. Было решено ставить на танки стальные литые ведущие колёса, поначалу их получили танки первой серии. Велись и опытные работы с Т-16. Вместо катков с </w:t>
      </w:r>
      <w:proofErr w:type="spellStart"/>
      <w:r w:rsidRPr="00A259BD">
        <w:rPr>
          <w:color w:val="000000" w:themeColor="text1"/>
          <w:sz w:val="16"/>
          <w:szCs w:val="16"/>
        </w:rPr>
        <w:t>обрезинкой</w:t>
      </w:r>
      <w:proofErr w:type="spellEnd"/>
      <w:r w:rsidRPr="00A259BD">
        <w:rPr>
          <w:color w:val="000000" w:themeColor="text1"/>
          <w:sz w:val="16"/>
          <w:szCs w:val="16"/>
        </w:rPr>
        <w:t xml:space="preserve"> он получил цельнометаллические катки.</w:t>
      </w:r>
    </w:p>
    <w:p w14:paraId="18FB3662" w14:textId="77777777" w:rsidR="00CD567A" w:rsidRPr="00A259BD" w:rsidRDefault="00CD567A" w:rsidP="009236E3">
      <w:pPr>
        <w:pStyle w:val="ae"/>
        <w:shd w:val="clear" w:color="auto" w:fill="FFFFFF"/>
        <w:spacing w:before="0" w:after="0"/>
        <w:jc w:val="both"/>
        <w:rPr>
          <w:color w:val="000000" w:themeColor="text1"/>
          <w:sz w:val="16"/>
          <w:szCs w:val="16"/>
        </w:rPr>
      </w:pPr>
      <w:r w:rsidRPr="00A259BD">
        <w:rPr>
          <w:color w:val="000000" w:themeColor="text1"/>
          <w:sz w:val="16"/>
          <w:szCs w:val="16"/>
        </w:rPr>
        <w:t>К 25 июля 1929 года на гарантийную обкатку вышел 21 танк второй серии. К 1 сентября число вышедших танков увеличилось до 40, 15 из них уже ушли с завода. К 23 сентября количество готовых танков достигло 50 штук. Полностью танки второй серии были сданы в ноябре 1929 года (17724)</w:t>
      </w:r>
    </w:p>
    <w:p w14:paraId="7861F9BB" w14:textId="77777777" w:rsidR="00CD567A" w:rsidRPr="00A259BD" w:rsidRDefault="00CD567A" w:rsidP="009236E3">
      <w:pPr>
        <w:spacing w:after="0" w:line="240" w:lineRule="auto"/>
        <w:jc w:val="both"/>
        <w:rPr>
          <w:rFonts w:ascii="Times New Roman" w:eastAsia="Times New Roman" w:hAnsi="Times New Roman"/>
          <w:color w:val="000000" w:themeColor="text1"/>
          <w:sz w:val="16"/>
          <w:szCs w:val="16"/>
          <w:lang w:eastAsia="ru-RU"/>
        </w:rPr>
      </w:pPr>
    </w:p>
    <w:p w14:paraId="61B67A9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08AA04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342D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29 июня и 4 июля 1929. Из протокола заседания Политбюро N 87, 1929 г.</w:t>
      </w:r>
    </w:p>
    <w:p w14:paraId="59B3C9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Мавзолее Ленина </w:t>
      </w:r>
    </w:p>
    <w:p w14:paraId="615407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Признать целесообразным приступить в этом году к постройке Мавзолея Ленина (11652).</w:t>
      </w:r>
    </w:p>
    <w:p w14:paraId="6FB7D4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4F3D94"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4CFA59F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5A34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июня 1929 Крестинский и </w:t>
      </w:r>
      <w:proofErr w:type="spellStart"/>
      <w:r w:rsidRPr="00A259BD">
        <w:rPr>
          <w:rFonts w:ascii="Times New Roman" w:hAnsi="Times New Roman"/>
          <w:color w:val="000000" w:themeColor="text1"/>
          <w:sz w:val="16"/>
          <w:szCs w:val="16"/>
        </w:rPr>
        <w:t>Путна</w:t>
      </w:r>
      <w:proofErr w:type="spellEnd"/>
      <w:r w:rsidRPr="00A259BD">
        <w:rPr>
          <w:rFonts w:ascii="Times New Roman" w:hAnsi="Times New Roman"/>
          <w:color w:val="000000" w:themeColor="text1"/>
          <w:sz w:val="16"/>
          <w:szCs w:val="16"/>
        </w:rPr>
        <w:t xml:space="preserve"> на обеде в полпредстве «для наших и немецких военных» и по личной просьбе </w:t>
      </w:r>
      <w:proofErr w:type="spellStart"/>
      <w:r w:rsidRPr="00A259BD">
        <w:rPr>
          <w:rFonts w:ascii="Times New Roman" w:hAnsi="Times New Roman"/>
          <w:color w:val="000000" w:themeColor="text1"/>
          <w:sz w:val="16"/>
          <w:szCs w:val="16"/>
        </w:rPr>
        <w:t>Муклевича</w:t>
      </w:r>
      <w:proofErr w:type="spellEnd"/>
      <w:r w:rsidRPr="00A259BD">
        <w:rPr>
          <w:rFonts w:ascii="Times New Roman" w:hAnsi="Times New Roman"/>
          <w:color w:val="000000" w:themeColor="text1"/>
          <w:sz w:val="16"/>
          <w:szCs w:val="16"/>
        </w:rPr>
        <w:t xml:space="preserve"> в беседе с адмиралом </w:t>
      </w:r>
      <w:proofErr w:type="spellStart"/>
      <w:r w:rsidRPr="00A259BD">
        <w:rPr>
          <w:rFonts w:ascii="Times New Roman" w:hAnsi="Times New Roman"/>
          <w:color w:val="000000" w:themeColor="text1"/>
          <w:sz w:val="16"/>
          <w:szCs w:val="16"/>
        </w:rPr>
        <w:t>Брутцером</w:t>
      </w:r>
      <w:proofErr w:type="spellEnd"/>
      <w:r w:rsidRPr="00A259BD">
        <w:rPr>
          <w:rFonts w:ascii="Times New Roman" w:hAnsi="Times New Roman"/>
          <w:color w:val="000000" w:themeColor="text1"/>
          <w:sz w:val="16"/>
          <w:szCs w:val="16"/>
        </w:rPr>
        <w:t>, заместителем командующего германских ВМС, подняли вопрос об установлении контактов с руководством германского флота и о поездке представителей советского ВМФ в Германию. Назывался руководитель делегации — командующий Черноморским флотом В. М. Орлов. Но когда немцы изъявили готовность разговаривать конкретно, РВС признал поездку несвоевременной. Подробно изложив в письме Ворошилову от 14 июля 1929 г. суть данного вопроса, Крестинский настойчиво рекомендовал наркому «решить вопрос о поездке положительно» и «договориться с немцами о сроке» (АВП РФ, ф. 0165, оп. 14, п. 157, д. 8, л. 59-61.) (11784).</w:t>
      </w:r>
    </w:p>
    <w:p w14:paraId="0EA359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9DA072" w14:textId="77777777" w:rsidR="007771FC" w:rsidRPr="00A259BD" w:rsidRDefault="007771F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июня 1929, в духе директив Политбюро Крестинский и </w:t>
      </w:r>
      <w:proofErr w:type="spellStart"/>
      <w:r w:rsidRPr="00A259BD">
        <w:rPr>
          <w:rFonts w:ascii="Times New Roman" w:hAnsi="Times New Roman"/>
          <w:color w:val="000000" w:themeColor="text1"/>
          <w:sz w:val="16"/>
          <w:szCs w:val="16"/>
        </w:rPr>
        <w:t>Путна</w:t>
      </w:r>
      <w:proofErr w:type="spellEnd"/>
      <w:r w:rsidRPr="00A259BD">
        <w:rPr>
          <w:rFonts w:ascii="Times New Roman" w:hAnsi="Times New Roman"/>
          <w:color w:val="000000" w:themeColor="text1"/>
          <w:sz w:val="16"/>
          <w:szCs w:val="16"/>
        </w:rPr>
        <w:t xml:space="preserve"> на обеде в полпредстве «для наших и немецких военных» и по личной просьбе </w:t>
      </w:r>
      <w:proofErr w:type="spellStart"/>
      <w:r w:rsidRPr="00A259BD">
        <w:rPr>
          <w:rFonts w:ascii="Times New Roman" w:hAnsi="Times New Roman"/>
          <w:color w:val="000000" w:themeColor="text1"/>
          <w:sz w:val="16"/>
          <w:szCs w:val="16"/>
        </w:rPr>
        <w:t>Муклевича</w:t>
      </w:r>
      <w:proofErr w:type="spellEnd"/>
      <w:r w:rsidRPr="00A259BD">
        <w:rPr>
          <w:rFonts w:ascii="Times New Roman" w:hAnsi="Times New Roman"/>
          <w:color w:val="000000" w:themeColor="text1"/>
          <w:sz w:val="16"/>
          <w:szCs w:val="16"/>
        </w:rPr>
        <w:t xml:space="preserve"> в беседе с адмиралом </w:t>
      </w:r>
      <w:proofErr w:type="spellStart"/>
      <w:r w:rsidRPr="00A259BD">
        <w:rPr>
          <w:rFonts w:ascii="Times New Roman" w:hAnsi="Times New Roman"/>
          <w:color w:val="000000" w:themeColor="text1"/>
          <w:sz w:val="16"/>
          <w:szCs w:val="16"/>
        </w:rPr>
        <w:t>Брутцером</w:t>
      </w:r>
      <w:proofErr w:type="spellEnd"/>
      <w:r w:rsidRPr="00A259BD">
        <w:rPr>
          <w:rFonts w:ascii="Times New Roman" w:hAnsi="Times New Roman"/>
          <w:color w:val="000000" w:themeColor="text1"/>
          <w:sz w:val="16"/>
          <w:szCs w:val="16"/>
        </w:rPr>
        <w:t>, заместителем командующего германских ВМС, подняли вопрос об установлении контактов с руководством германского флота и о поездке представителей советского ВМФ в Германию. Назывался руководитель делегации — командующий Черноморским флотом В. М. Орлов. Но когда немцы изъявили готовность разговаривать конкретно, РВС признал поездку несвоевременной. Подробно изложив в письме Ворошилову от 14 июля 1929 г. суть данного вопроса, Крестинский настойчиво рекомендовал наркому «решить вопрос о поездке положительно» и «договориться с немцами о сроке» (18265).</w:t>
      </w:r>
    </w:p>
    <w:p w14:paraId="59210E21" w14:textId="77777777" w:rsidR="007771FC" w:rsidRPr="00A259BD" w:rsidRDefault="007771FC" w:rsidP="009236E3">
      <w:pPr>
        <w:spacing w:after="0" w:line="240" w:lineRule="auto"/>
        <w:jc w:val="both"/>
        <w:rPr>
          <w:rFonts w:ascii="Times New Roman" w:hAnsi="Times New Roman"/>
          <w:color w:val="000000" w:themeColor="text1"/>
          <w:sz w:val="16"/>
          <w:szCs w:val="16"/>
        </w:rPr>
      </w:pPr>
    </w:p>
    <w:p w14:paraId="6427E439" w14:textId="77777777" w:rsidR="00107F31"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lang w:val="en-US"/>
        </w:rPr>
      </w:pPr>
      <w:r w:rsidRPr="00A259BD">
        <w:rPr>
          <w:rFonts w:ascii="Times New Roman" w:hAnsi="Times New Roman"/>
          <w:i/>
          <w:iCs/>
          <w:color w:val="000000" w:themeColor="text1"/>
          <w:sz w:val="16"/>
          <w:szCs w:val="16"/>
        </w:rPr>
        <w:t>За</w:t>
      </w:r>
      <w:r w:rsidRPr="00A259BD">
        <w:rPr>
          <w:rFonts w:ascii="Times New Roman" w:hAnsi="Times New Roman"/>
          <w:i/>
          <w:iCs/>
          <w:color w:val="000000" w:themeColor="text1"/>
          <w:sz w:val="16"/>
          <w:szCs w:val="16"/>
          <w:lang w:val="en-US"/>
        </w:rPr>
        <w:t xml:space="preserve"> </w:t>
      </w:r>
      <w:r w:rsidRPr="00A259BD">
        <w:rPr>
          <w:rFonts w:ascii="Times New Roman" w:hAnsi="Times New Roman"/>
          <w:i/>
          <w:iCs/>
          <w:color w:val="000000" w:themeColor="text1"/>
          <w:sz w:val="16"/>
          <w:szCs w:val="16"/>
        </w:rPr>
        <w:t>рубежом</w:t>
      </w:r>
      <w:r w:rsidRPr="00A259BD">
        <w:rPr>
          <w:rFonts w:ascii="Times New Roman" w:hAnsi="Times New Roman"/>
          <w:i/>
          <w:iCs/>
          <w:color w:val="000000" w:themeColor="text1"/>
          <w:sz w:val="16"/>
          <w:szCs w:val="16"/>
          <w:lang w:val="en-US"/>
        </w:rPr>
        <w:t>:</w:t>
      </w:r>
    </w:p>
    <w:p w14:paraId="696B4F8C" w14:textId="77777777" w:rsidR="00107F31" w:rsidRPr="00A259BD" w:rsidRDefault="00107F31" w:rsidP="009236E3">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1C0AC7AA" w14:textId="77777777" w:rsidR="00127CA7" w:rsidRPr="00A259BD" w:rsidRDefault="00127CA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lang w:val="en-US"/>
        </w:rPr>
        <w:t xml:space="preserve">29 </w:t>
      </w:r>
      <w:r w:rsidRPr="00A259BD">
        <w:rPr>
          <w:rFonts w:ascii="Times New Roman" w:hAnsi="Times New Roman"/>
          <w:color w:val="000000" w:themeColor="text1"/>
          <w:sz w:val="16"/>
          <w:szCs w:val="16"/>
        </w:rPr>
        <w:t>июня</w:t>
      </w:r>
      <w:r w:rsidRPr="00A259BD">
        <w:rPr>
          <w:rFonts w:ascii="Times New Roman" w:hAnsi="Times New Roman"/>
          <w:color w:val="000000" w:themeColor="text1"/>
          <w:sz w:val="16"/>
          <w:szCs w:val="16"/>
          <w:lang w:val="en-US"/>
        </w:rPr>
        <w:t xml:space="preserve"> 1929 Curtiss Airplane and Motor Company </w:t>
      </w:r>
      <w:r w:rsidRPr="00A259BD">
        <w:rPr>
          <w:rFonts w:ascii="Times New Roman" w:hAnsi="Times New Roman"/>
          <w:color w:val="000000" w:themeColor="text1"/>
          <w:sz w:val="16"/>
          <w:szCs w:val="16"/>
        </w:rPr>
        <w:t>и</w:t>
      </w:r>
      <w:r w:rsidRPr="00A259BD">
        <w:rPr>
          <w:rFonts w:ascii="Times New Roman" w:hAnsi="Times New Roman"/>
          <w:color w:val="000000" w:themeColor="text1"/>
          <w:sz w:val="16"/>
          <w:szCs w:val="16"/>
          <w:lang w:val="en-US"/>
        </w:rPr>
        <w:t xml:space="preserve"> Wright Aeronautical Corporation </w:t>
      </w:r>
      <w:r w:rsidRPr="00A259BD">
        <w:rPr>
          <w:rFonts w:ascii="Times New Roman" w:hAnsi="Times New Roman"/>
          <w:color w:val="000000" w:themeColor="text1"/>
          <w:sz w:val="16"/>
          <w:szCs w:val="16"/>
        </w:rPr>
        <w:t>сливаются</w:t>
      </w:r>
      <w:r w:rsidRPr="00A259BD">
        <w:rPr>
          <w:rFonts w:ascii="Times New Roman" w:hAnsi="Times New Roman"/>
          <w:color w:val="000000" w:themeColor="text1"/>
          <w:sz w:val="16"/>
          <w:szCs w:val="16"/>
          <w:lang w:val="en-US"/>
        </w:rPr>
        <w:t xml:space="preserve"> </w:t>
      </w:r>
      <w:r w:rsidRPr="00A259BD">
        <w:rPr>
          <w:rFonts w:ascii="Times New Roman" w:hAnsi="Times New Roman"/>
          <w:color w:val="000000" w:themeColor="text1"/>
          <w:sz w:val="16"/>
          <w:szCs w:val="16"/>
        </w:rPr>
        <w:t>в</w:t>
      </w:r>
      <w:r w:rsidRPr="00A259BD">
        <w:rPr>
          <w:rFonts w:ascii="Times New Roman" w:hAnsi="Times New Roman"/>
          <w:color w:val="000000" w:themeColor="text1"/>
          <w:sz w:val="16"/>
          <w:szCs w:val="16"/>
          <w:lang w:val="en-US"/>
        </w:rPr>
        <w:t xml:space="preserve"> Curtiss-Wright Corporation. </w:t>
      </w:r>
      <w:r w:rsidRPr="00A259BD">
        <w:rPr>
          <w:rFonts w:ascii="Times New Roman" w:hAnsi="Times New Roman"/>
          <w:color w:val="000000" w:themeColor="text1"/>
          <w:sz w:val="16"/>
          <w:szCs w:val="16"/>
        </w:rPr>
        <w:t xml:space="preserve">Новая корпорация строит легкие самолеты на заводе </w:t>
      </w:r>
      <w:proofErr w:type="spellStart"/>
      <w:r w:rsidRPr="00A259BD">
        <w:rPr>
          <w:rFonts w:ascii="Times New Roman" w:hAnsi="Times New Roman"/>
          <w:color w:val="000000" w:themeColor="text1"/>
          <w:sz w:val="16"/>
          <w:szCs w:val="16"/>
        </w:rPr>
        <w:t>Curtiss</w:t>
      </w:r>
      <w:proofErr w:type="spellEnd"/>
      <w:r w:rsidRPr="00A259BD">
        <w:rPr>
          <w:rFonts w:ascii="Times New Roman" w:hAnsi="Times New Roman"/>
          <w:color w:val="000000" w:themeColor="text1"/>
          <w:sz w:val="16"/>
          <w:szCs w:val="16"/>
        </w:rPr>
        <w:t xml:space="preserve"> в Буффало, Нью-Йорк; тяжелые самолеты и летающие лодки - на ее дочернем предприятии </w:t>
      </w:r>
      <w:proofErr w:type="spellStart"/>
      <w:r w:rsidRPr="00A259BD">
        <w:rPr>
          <w:rFonts w:ascii="Times New Roman" w:hAnsi="Times New Roman"/>
          <w:color w:val="000000" w:themeColor="text1"/>
          <w:sz w:val="16"/>
          <w:szCs w:val="16"/>
        </w:rPr>
        <w:t>Keystone</w:t>
      </w:r>
      <w:proofErr w:type="spellEnd"/>
      <w:r w:rsidRPr="00A259BD">
        <w:rPr>
          <w:rFonts w:ascii="Times New Roman" w:hAnsi="Times New Roman"/>
          <w:color w:val="000000" w:themeColor="text1"/>
          <w:sz w:val="16"/>
          <w:szCs w:val="16"/>
        </w:rPr>
        <w:t xml:space="preserve"> Aircraft Corporation в Бристоле, штат Пенсильвания; гражданские самолеты на дочернем предприятии </w:t>
      </w:r>
      <w:proofErr w:type="spellStart"/>
      <w:r w:rsidRPr="00A259BD">
        <w:rPr>
          <w:rFonts w:ascii="Times New Roman" w:hAnsi="Times New Roman"/>
          <w:color w:val="000000" w:themeColor="text1"/>
          <w:sz w:val="16"/>
          <w:szCs w:val="16"/>
        </w:rPr>
        <w:t>Curtiss-Robertson</w:t>
      </w:r>
      <w:proofErr w:type="spellEnd"/>
      <w:r w:rsidRPr="00A259BD">
        <w:rPr>
          <w:rFonts w:ascii="Times New Roman" w:hAnsi="Times New Roman"/>
          <w:color w:val="000000" w:themeColor="text1"/>
          <w:sz w:val="16"/>
          <w:szCs w:val="16"/>
        </w:rPr>
        <w:t xml:space="preserve"> в Сент-Луисе, штат Миссури; и авиационные двигатели </w:t>
      </w:r>
      <w:proofErr w:type="spellStart"/>
      <w:r w:rsidRPr="00A259BD">
        <w:rPr>
          <w:rFonts w:ascii="Times New Roman" w:hAnsi="Times New Roman"/>
          <w:color w:val="000000" w:themeColor="text1"/>
          <w:sz w:val="16"/>
          <w:szCs w:val="16"/>
        </w:rPr>
        <w:t>Curtiss</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Wright</w:t>
      </w:r>
      <w:proofErr w:type="spellEnd"/>
      <w:r w:rsidRPr="00A259BD">
        <w:rPr>
          <w:rFonts w:ascii="Times New Roman" w:hAnsi="Times New Roman"/>
          <w:color w:val="000000" w:themeColor="text1"/>
          <w:sz w:val="16"/>
          <w:szCs w:val="16"/>
        </w:rPr>
        <w:t xml:space="preserve"> на заводе </w:t>
      </w:r>
      <w:proofErr w:type="spellStart"/>
      <w:r w:rsidRPr="00A259BD">
        <w:rPr>
          <w:rFonts w:ascii="Times New Roman" w:hAnsi="Times New Roman"/>
          <w:color w:val="000000" w:themeColor="text1"/>
          <w:sz w:val="16"/>
          <w:szCs w:val="16"/>
        </w:rPr>
        <w:t>Wright</w:t>
      </w:r>
      <w:proofErr w:type="spellEnd"/>
      <w:r w:rsidRPr="00A259BD">
        <w:rPr>
          <w:rFonts w:ascii="Times New Roman" w:hAnsi="Times New Roman"/>
          <w:color w:val="000000" w:themeColor="text1"/>
          <w:sz w:val="16"/>
          <w:szCs w:val="16"/>
        </w:rPr>
        <w:t xml:space="preserve"> в Патерсоне, штат Нью-Джерси (20806).</w:t>
      </w:r>
    </w:p>
    <w:p w14:paraId="649A7635" w14:textId="77777777" w:rsidR="00127CA7" w:rsidRPr="00A259BD" w:rsidRDefault="00127CA7" w:rsidP="009236E3">
      <w:pPr>
        <w:spacing w:after="0" w:line="240" w:lineRule="auto"/>
        <w:jc w:val="both"/>
        <w:rPr>
          <w:rFonts w:ascii="Times New Roman" w:hAnsi="Times New Roman"/>
          <w:color w:val="000000" w:themeColor="text1"/>
          <w:sz w:val="16"/>
          <w:szCs w:val="16"/>
        </w:rPr>
      </w:pPr>
    </w:p>
    <w:p w14:paraId="54D79CD4" w14:textId="77777777" w:rsidR="00107F31" w:rsidRPr="00A259BD" w:rsidRDefault="00107F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29 июня</w:t>
      </w:r>
      <w:r w:rsidRPr="00A259BD">
        <w:rPr>
          <w:rFonts w:ascii="Times New Roman" w:hAnsi="Times New Roman"/>
          <w:color w:val="000000" w:themeColor="text1"/>
          <w:sz w:val="16"/>
          <w:szCs w:val="16"/>
        </w:rPr>
        <w:t xml:space="preserve"> в 1929 году на выставке «</w:t>
      </w:r>
      <w:proofErr w:type="spellStart"/>
      <w:r w:rsidRPr="00A259BD">
        <w:rPr>
          <w:rFonts w:ascii="Times New Roman" w:hAnsi="Times New Roman"/>
          <w:color w:val="000000" w:themeColor="text1"/>
          <w:sz w:val="16"/>
          <w:szCs w:val="16"/>
        </w:rPr>
        <w:t>Hendon</w:t>
      </w:r>
      <w:proofErr w:type="spellEnd"/>
      <w:r w:rsidRPr="00A259BD">
        <w:rPr>
          <w:rFonts w:ascii="Times New Roman" w:hAnsi="Times New Roman"/>
          <w:color w:val="000000" w:themeColor="text1"/>
          <w:sz w:val="16"/>
          <w:szCs w:val="16"/>
        </w:rPr>
        <w:t xml:space="preserve"> Display» под обозначением «New Type» «No.7». показан тяжелый ночной бомбардировщик </w:t>
      </w:r>
      <w:hyperlink r:id="rId70" w:tgtFrame="_blank" w:history="1">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Vickers</w:t>
        </w:r>
        <w:proofErr w:type="spellEnd"/>
        <w:r w:rsidRPr="00A259BD">
          <w:rPr>
            <w:rFonts w:ascii="Times New Roman" w:hAnsi="Times New Roman"/>
            <w:color w:val="000000" w:themeColor="text1"/>
            <w:sz w:val="16"/>
            <w:szCs w:val="16"/>
          </w:rPr>
          <w:t xml:space="preserve"> 150» «</w:t>
        </w:r>
        <w:proofErr w:type="spellStart"/>
        <w:r w:rsidRPr="00A259BD">
          <w:rPr>
            <w:rFonts w:ascii="Times New Roman" w:hAnsi="Times New Roman"/>
            <w:color w:val="000000" w:themeColor="text1"/>
            <w:sz w:val="16"/>
            <w:szCs w:val="16"/>
          </w:rPr>
          <w:t>Vanox</w:t>
        </w:r>
        <w:proofErr w:type="spellEnd"/>
        <w:r w:rsidRPr="00A259BD">
          <w:rPr>
            <w:rFonts w:ascii="Times New Roman" w:hAnsi="Times New Roman"/>
            <w:color w:val="000000" w:themeColor="text1"/>
            <w:sz w:val="16"/>
            <w:szCs w:val="16"/>
          </w:rPr>
          <w:t xml:space="preserve">». </w:t>
        </w:r>
      </w:hyperlink>
    </w:p>
    <w:p w14:paraId="6EA84B3A" w14:textId="77777777" w:rsidR="00107F31" w:rsidRPr="00A259BD" w:rsidRDefault="00107F31" w:rsidP="009236E3">
      <w:pPr>
        <w:spacing w:after="0" w:line="240" w:lineRule="auto"/>
        <w:jc w:val="both"/>
        <w:rPr>
          <w:rFonts w:ascii="Times New Roman" w:hAnsi="Times New Roman"/>
          <w:color w:val="000000" w:themeColor="text1"/>
          <w:sz w:val="16"/>
          <w:szCs w:val="16"/>
        </w:rPr>
      </w:pPr>
    </w:p>
    <w:p w14:paraId="495AE495" w14:textId="77777777" w:rsidR="00107F31"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F00135A" w14:textId="77777777" w:rsidR="00107F31" w:rsidRPr="00A259BD" w:rsidRDefault="00107F3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0F33AC4" w14:textId="77777777" w:rsidR="00107F31" w:rsidRPr="00A259BD" w:rsidRDefault="00107F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30 июня</w:t>
      </w:r>
      <w:r w:rsidRPr="00A259BD">
        <w:rPr>
          <w:rFonts w:ascii="Times New Roman" w:hAnsi="Times New Roman"/>
          <w:color w:val="000000" w:themeColor="text1"/>
          <w:sz w:val="16"/>
          <w:szCs w:val="16"/>
        </w:rPr>
        <w:t xml:space="preserve"> в 1929 году испытание первого в мире воздушного шара-прыгуна конструкции </w:t>
      </w:r>
      <w:proofErr w:type="spellStart"/>
      <w:r w:rsidRPr="00A259BD">
        <w:rPr>
          <w:rFonts w:ascii="Times New Roman" w:hAnsi="Times New Roman"/>
          <w:color w:val="000000" w:themeColor="text1"/>
          <w:sz w:val="16"/>
          <w:szCs w:val="16"/>
        </w:rPr>
        <w:t>Н.В.Фомина</w:t>
      </w:r>
      <w:proofErr w:type="spellEnd"/>
      <w:r w:rsidRPr="00A259BD">
        <w:rPr>
          <w:rFonts w:ascii="Times New Roman" w:hAnsi="Times New Roman"/>
          <w:color w:val="000000" w:themeColor="text1"/>
          <w:sz w:val="16"/>
          <w:szCs w:val="16"/>
        </w:rPr>
        <w:t xml:space="preserve"> (объем баллона - 110 куб. м, общий вес - 40 кг, прыжки - 30-40 м);</w:t>
      </w:r>
    </w:p>
    <w:p w14:paraId="0E22273B" w14:textId="77777777" w:rsidR="00107F31" w:rsidRPr="00A259BD" w:rsidRDefault="00107F31" w:rsidP="009236E3">
      <w:pPr>
        <w:spacing w:after="0" w:line="240" w:lineRule="auto"/>
        <w:jc w:val="both"/>
        <w:rPr>
          <w:rFonts w:ascii="Times New Roman" w:hAnsi="Times New Roman"/>
          <w:color w:val="000000" w:themeColor="text1"/>
          <w:sz w:val="16"/>
          <w:szCs w:val="16"/>
        </w:rPr>
      </w:pPr>
    </w:p>
    <w:p w14:paraId="4F47B47C" w14:textId="77777777" w:rsidR="00107F31"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CE3EB47" w14:textId="77777777" w:rsidR="00107F31" w:rsidRPr="00A259BD" w:rsidRDefault="00107F3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EC5C615" w14:textId="77777777" w:rsidR="00107F31" w:rsidRPr="00A259BD" w:rsidRDefault="00107F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30 июня</w:t>
      </w:r>
      <w:r w:rsidRPr="00A259BD">
        <w:rPr>
          <w:rFonts w:ascii="Times New Roman" w:hAnsi="Times New Roman"/>
          <w:color w:val="000000" w:themeColor="text1"/>
          <w:sz w:val="16"/>
          <w:szCs w:val="16"/>
        </w:rPr>
        <w:t xml:space="preserve"> в 1929 году в связи со строительством Магнитогорского металлургического комбината был заложен рабочий поселок (с 1931 г. город Магнитогорск) (14938).</w:t>
      </w:r>
    </w:p>
    <w:p w14:paraId="244CCB74" w14:textId="77777777" w:rsidR="00107F31" w:rsidRPr="00A259BD" w:rsidRDefault="00107F31" w:rsidP="009236E3">
      <w:pPr>
        <w:spacing w:after="0" w:line="240" w:lineRule="auto"/>
        <w:jc w:val="both"/>
        <w:rPr>
          <w:rFonts w:ascii="Times New Roman" w:hAnsi="Times New Roman"/>
          <w:color w:val="000000" w:themeColor="text1"/>
          <w:sz w:val="16"/>
          <w:szCs w:val="16"/>
        </w:rPr>
      </w:pPr>
    </w:p>
    <w:p w14:paraId="3125E0F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534CDB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C562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июня 1929 состоялись испытания первого шара прыгуна </w:t>
      </w:r>
      <w:proofErr w:type="spellStart"/>
      <w:r w:rsidRPr="00A259BD">
        <w:rPr>
          <w:rFonts w:ascii="Times New Roman" w:hAnsi="Times New Roman"/>
          <w:color w:val="000000" w:themeColor="text1"/>
          <w:sz w:val="16"/>
          <w:szCs w:val="16"/>
        </w:rPr>
        <w:t>Н.В.Фомина</w:t>
      </w:r>
      <w:proofErr w:type="spellEnd"/>
      <w:r w:rsidRPr="00A259BD">
        <w:rPr>
          <w:rFonts w:ascii="Times New Roman" w:hAnsi="Times New Roman"/>
          <w:color w:val="000000" w:themeColor="text1"/>
          <w:sz w:val="16"/>
          <w:szCs w:val="16"/>
        </w:rPr>
        <w:t xml:space="preserve"> (271,115).</w:t>
      </w:r>
    </w:p>
    <w:p w14:paraId="206F84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2DEC1B" w14:textId="77777777" w:rsidR="00127CA7" w:rsidRPr="00A259BD" w:rsidRDefault="00127CA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июня 1929 г. шар-прыгун в течение двух часов испытывался при ветре в 2,5 м/с пило</w:t>
      </w:r>
      <w:r w:rsidRPr="00A259BD">
        <w:rPr>
          <w:rFonts w:ascii="Times New Roman" w:hAnsi="Times New Roman"/>
          <w:color w:val="000000" w:themeColor="text1"/>
          <w:sz w:val="16"/>
          <w:szCs w:val="16"/>
        </w:rPr>
        <w:softHyphen/>
        <w:t xml:space="preserve">том-воздухоплавателем Н.Г. </w:t>
      </w:r>
      <w:proofErr w:type="spellStart"/>
      <w:r w:rsidRPr="00A259BD">
        <w:rPr>
          <w:rFonts w:ascii="Times New Roman" w:hAnsi="Times New Roman"/>
          <w:color w:val="000000" w:themeColor="text1"/>
          <w:sz w:val="16"/>
          <w:szCs w:val="16"/>
        </w:rPr>
        <w:t>Стобровским</w:t>
      </w:r>
      <w:proofErr w:type="spellEnd"/>
      <w:r w:rsidRPr="00A259BD">
        <w:rPr>
          <w:rFonts w:ascii="Times New Roman" w:hAnsi="Times New Roman"/>
          <w:color w:val="000000" w:themeColor="text1"/>
          <w:sz w:val="16"/>
          <w:szCs w:val="16"/>
        </w:rPr>
        <w:t xml:space="preserve"> на Центральном аэродроме в Москве. В ходе ис</w:t>
      </w:r>
      <w:r w:rsidRPr="00A259BD">
        <w:rPr>
          <w:rFonts w:ascii="Times New Roman" w:hAnsi="Times New Roman"/>
          <w:color w:val="000000" w:themeColor="text1"/>
          <w:sz w:val="16"/>
          <w:szCs w:val="16"/>
        </w:rPr>
        <w:softHyphen/>
        <w:t>пытаний крылья сняли из-за поломки одного из них. Удавались эффектные прыжки высотой 20-30 м, которые «даже для привычного к возду</w:t>
      </w:r>
      <w:r w:rsidRPr="00A259BD">
        <w:rPr>
          <w:rFonts w:ascii="Times New Roman" w:hAnsi="Times New Roman"/>
          <w:color w:val="000000" w:themeColor="text1"/>
          <w:sz w:val="16"/>
          <w:szCs w:val="16"/>
        </w:rPr>
        <w:softHyphen/>
        <w:t>ху пилота были приятны, и естественно, что для новичка доставили бы большое удовольствие».</w:t>
      </w:r>
    </w:p>
    <w:p w14:paraId="62C78BC5" w14:textId="77777777" w:rsidR="00127CA7" w:rsidRPr="00A259BD" w:rsidRDefault="00127CA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Шары-прыгуны. В середине 1920-х годов в США получили распространение так называ</w:t>
      </w:r>
      <w:r w:rsidRPr="00A259BD">
        <w:rPr>
          <w:rFonts w:ascii="Times New Roman" w:hAnsi="Times New Roman"/>
          <w:color w:val="000000" w:themeColor="text1"/>
          <w:sz w:val="16"/>
          <w:szCs w:val="16"/>
        </w:rPr>
        <w:softHyphen/>
        <w:t>емые шары-прыгуны — спортивные аэростаты минимального объёма, подъёмная сила которых не превышала веса одного человека, поднимав</w:t>
      </w:r>
      <w:r w:rsidRPr="00A259BD">
        <w:rPr>
          <w:rFonts w:ascii="Times New Roman" w:hAnsi="Times New Roman"/>
          <w:color w:val="000000" w:themeColor="text1"/>
          <w:sz w:val="16"/>
          <w:szCs w:val="16"/>
        </w:rPr>
        <w:softHyphen/>
        <w:t>шегося на подвешенной снизу петле. Отталкива</w:t>
      </w:r>
      <w:r w:rsidRPr="00A259BD">
        <w:rPr>
          <w:rFonts w:ascii="Times New Roman" w:hAnsi="Times New Roman"/>
          <w:color w:val="000000" w:themeColor="text1"/>
          <w:sz w:val="16"/>
          <w:szCs w:val="16"/>
        </w:rPr>
        <w:softHyphen/>
        <w:t>ясь ногами от земли, аэронавт выполнял на шаре «подскок» на высоту до 100 м.</w:t>
      </w:r>
    </w:p>
    <w:p w14:paraId="1C49EBBF" w14:textId="77777777" w:rsidR="00127CA7" w:rsidRPr="00A259BD" w:rsidRDefault="00127CA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Этими аэростатами заинтересовалась возду</w:t>
      </w:r>
      <w:r w:rsidRPr="00A259BD">
        <w:rPr>
          <w:rFonts w:ascii="Times New Roman" w:hAnsi="Times New Roman"/>
          <w:color w:val="000000" w:themeColor="text1"/>
          <w:sz w:val="16"/>
          <w:szCs w:val="16"/>
        </w:rPr>
        <w:softHyphen/>
        <w:t>хоплавательная секция Осоавиахима, так как они подходили для начального обучения пилотов, позволяли приучать новичков к воздуху, не пу</w:t>
      </w:r>
      <w:r w:rsidRPr="00A259BD">
        <w:rPr>
          <w:rFonts w:ascii="Times New Roman" w:hAnsi="Times New Roman"/>
          <w:color w:val="000000" w:themeColor="text1"/>
          <w:sz w:val="16"/>
          <w:szCs w:val="16"/>
        </w:rPr>
        <w:softHyphen/>
        <w:t>гая сразу большой высотой полёта, были про</w:t>
      </w:r>
      <w:r w:rsidRPr="00A259BD">
        <w:rPr>
          <w:rFonts w:ascii="Times New Roman" w:hAnsi="Times New Roman"/>
          <w:color w:val="000000" w:themeColor="text1"/>
          <w:sz w:val="16"/>
          <w:szCs w:val="16"/>
        </w:rPr>
        <w:softHyphen/>
        <w:t>сты в постройке, эксплуатации и обслуживании, и, главное, недороги. Их могли изготавливать воздухоплавательные кружки, получая «практи</w:t>
      </w:r>
      <w:r w:rsidRPr="00A259BD">
        <w:rPr>
          <w:rFonts w:ascii="Times New Roman" w:hAnsi="Times New Roman"/>
          <w:color w:val="000000" w:themeColor="text1"/>
          <w:sz w:val="16"/>
          <w:szCs w:val="16"/>
        </w:rPr>
        <w:softHyphen/>
        <w:t>ку примитивной лётной работы без затрат боль</w:t>
      </w:r>
      <w:r w:rsidRPr="00A259BD">
        <w:rPr>
          <w:rFonts w:ascii="Times New Roman" w:hAnsi="Times New Roman"/>
          <w:color w:val="000000" w:themeColor="text1"/>
          <w:sz w:val="16"/>
          <w:szCs w:val="16"/>
        </w:rPr>
        <w:softHyphen/>
        <w:t>ших средств, связанных с эксплуатацией сфери</w:t>
      </w:r>
      <w:r w:rsidRPr="00A259BD">
        <w:rPr>
          <w:rFonts w:ascii="Times New Roman" w:hAnsi="Times New Roman"/>
          <w:color w:val="000000" w:themeColor="text1"/>
          <w:sz w:val="16"/>
          <w:szCs w:val="16"/>
        </w:rPr>
        <w:softHyphen/>
        <w:t>ческого аэростата»59.</w:t>
      </w:r>
    </w:p>
    <w:p w14:paraId="5AE5B66F" w14:textId="77777777" w:rsidR="00127CA7" w:rsidRPr="00A259BD" w:rsidRDefault="00127CA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Первый советский шар-прыгун изготовили по проекту инженера Н.В. Фомина. Оболочка шара объёмом 110 м3 была выполнена из однослойной прорезиненной материи. Подвеска состояла из строп, прикреплённых к поясу и соединённых под аппендиксом особым кольцом, к которо</w:t>
      </w:r>
      <w:r w:rsidRPr="00A259BD">
        <w:rPr>
          <w:rFonts w:ascii="Times New Roman" w:hAnsi="Times New Roman"/>
          <w:color w:val="000000" w:themeColor="text1"/>
          <w:sz w:val="16"/>
          <w:szCs w:val="16"/>
        </w:rPr>
        <w:softHyphen/>
        <w:t>му крепился парашютный пояс пилота. Клапан и разрывное приспособление отсутствовали, их функции отчасти выполнял завязывавшийся при полётах аппендикс, который пилот мог развязать рывком за специальную верёвку. К поясу аэро</w:t>
      </w:r>
      <w:r w:rsidRPr="00A259BD">
        <w:rPr>
          <w:rFonts w:ascii="Times New Roman" w:hAnsi="Times New Roman"/>
          <w:color w:val="000000" w:themeColor="text1"/>
          <w:sz w:val="16"/>
          <w:szCs w:val="16"/>
        </w:rPr>
        <w:softHyphen/>
        <w:t>стата крепились два машущих крыла площадью по 1 м2, приводившиеся в движение силой рук и ног пилота. Вес системы без крыльев составля</w:t>
      </w:r>
      <w:r w:rsidRPr="00A259BD">
        <w:rPr>
          <w:rFonts w:ascii="Times New Roman" w:hAnsi="Times New Roman"/>
          <w:color w:val="000000" w:themeColor="text1"/>
          <w:sz w:val="16"/>
          <w:szCs w:val="16"/>
        </w:rPr>
        <w:softHyphen/>
        <w:t>ла 40 кг.</w:t>
      </w:r>
    </w:p>
    <w:p w14:paraId="39949512" w14:textId="77777777" w:rsidR="00127CA7" w:rsidRPr="00A259BD" w:rsidRDefault="00127CA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 показали, что шар следует обо</w:t>
      </w:r>
      <w:r w:rsidRPr="00A259BD">
        <w:rPr>
          <w:rFonts w:ascii="Times New Roman" w:hAnsi="Times New Roman"/>
          <w:color w:val="000000" w:themeColor="text1"/>
          <w:sz w:val="16"/>
          <w:szCs w:val="16"/>
        </w:rPr>
        <w:softHyphen/>
        <w:t>рудовать лёгким клапаном, разрывным приспо</w:t>
      </w:r>
      <w:r w:rsidRPr="00A259BD">
        <w:rPr>
          <w:rFonts w:ascii="Times New Roman" w:hAnsi="Times New Roman"/>
          <w:color w:val="000000" w:themeColor="text1"/>
          <w:sz w:val="16"/>
          <w:szCs w:val="16"/>
        </w:rPr>
        <w:softHyphen/>
        <w:t>соблением и гайдропом длиной 30 м. Требовала замены подвеска парашютного типа, сильно на</w:t>
      </w:r>
      <w:r w:rsidRPr="00A259BD">
        <w:rPr>
          <w:rFonts w:ascii="Times New Roman" w:hAnsi="Times New Roman"/>
          <w:color w:val="000000" w:themeColor="text1"/>
          <w:sz w:val="16"/>
          <w:szCs w:val="16"/>
        </w:rPr>
        <w:softHyphen/>
        <w:t>тиравшая ноги и плечи пилота и защемлявшая его мускулы. Во избежание отравления пилота газом подвесное кольцо следовало крепить на 2,5-3 м ниже аппендикса, оборудованного кара</w:t>
      </w:r>
      <w:r w:rsidRPr="00A259BD">
        <w:rPr>
          <w:rFonts w:ascii="Times New Roman" w:hAnsi="Times New Roman"/>
          <w:color w:val="000000" w:themeColor="text1"/>
          <w:sz w:val="16"/>
          <w:szCs w:val="16"/>
        </w:rPr>
        <w:softHyphen/>
        <w:t>бином для быстрого и безотказного развязыва</w:t>
      </w:r>
      <w:r w:rsidRPr="00A259BD">
        <w:rPr>
          <w:rFonts w:ascii="Times New Roman" w:hAnsi="Times New Roman"/>
          <w:color w:val="000000" w:themeColor="text1"/>
          <w:sz w:val="16"/>
          <w:szCs w:val="16"/>
        </w:rPr>
        <w:softHyphen/>
        <w:t>ния. Рекомендовалось по примеру спортсменов США установить горизонтальный пропеллер для торможения спуска. Внесение этих изменений в конструкцию аэростата-прыгуна сближало его со сферическим аэростатом обычного типа. Та</w:t>
      </w:r>
      <w:r w:rsidRPr="00A259BD">
        <w:rPr>
          <w:rFonts w:ascii="Times New Roman" w:hAnsi="Times New Roman"/>
          <w:color w:val="000000" w:themeColor="text1"/>
          <w:sz w:val="16"/>
          <w:szCs w:val="16"/>
        </w:rPr>
        <w:softHyphen/>
        <w:t>кие шары строили в «</w:t>
      </w:r>
      <w:proofErr w:type="spellStart"/>
      <w:r w:rsidRPr="00A259BD">
        <w:rPr>
          <w:rFonts w:ascii="Times New Roman" w:hAnsi="Times New Roman"/>
          <w:color w:val="000000" w:themeColor="text1"/>
          <w:sz w:val="16"/>
          <w:szCs w:val="16"/>
        </w:rPr>
        <w:t>Дирижаблестрое</w:t>
      </w:r>
      <w:proofErr w:type="spellEnd"/>
      <w:r w:rsidRPr="00A259BD">
        <w:rPr>
          <w:rFonts w:ascii="Times New Roman" w:hAnsi="Times New Roman"/>
          <w:color w:val="000000" w:themeColor="text1"/>
          <w:sz w:val="16"/>
          <w:szCs w:val="16"/>
        </w:rPr>
        <w:t>».</w:t>
      </w:r>
    </w:p>
    <w:p w14:paraId="142797BA" w14:textId="77777777" w:rsidR="00127CA7" w:rsidRPr="00A259BD" w:rsidRDefault="00127CA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Шар-прыгун «</w:t>
      </w:r>
      <w:proofErr w:type="spellStart"/>
      <w:r w:rsidRPr="00A259BD">
        <w:rPr>
          <w:rFonts w:ascii="Times New Roman" w:hAnsi="Times New Roman"/>
          <w:color w:val="000000" w:themeColor="text1"/>
          <w:sz w:val="16"/>
          <w:szCs w:val="16"/>
        </w:rPr>
        <w:t>Дирижаблестроя</w:t>
      </w:r>
      <w:proofErr w:type="spellEnd"/>
      <w:r w:rsidRPr="00A259BD">
        <w:rPr>
          <w:rFonts w:ascii="Times New Roman" w:hAnsi="Times New Roman"/>
          <w:color w:val="000000" w:themeColor="text1"/>
          <w:sz w:val="16"/>
          <w:szCs w:val="16"/>
        </w:rPr>
        <w:t>» представлял собой небольшой сферический аэростат, объём оболочки которого составлял 150 м3 при напол</w:t>
      </w:r>
      <w:r w:rsidRPr="00A259BD">
        <w:rPr>
          <w:rFonts w:ascii="Times New Roman" w:hAnsi="Times New Roman"/>
          <w:color w:val="000000" w:themeColor="text1"/>
          <w:sz w:val="16"/>
          <w:szCs w:val="16"/>
        </w:rPr>
        <w:softHyphen/>
        <w:t>нении водородом и 300 м3 — светильным газом. Пилот сидел на планочном стуле, снабжённом поясом и лямками для крепления на нём, а также стропами, крепившимися карабинами к стропам подвески аэростата.</w:t>
      </w:r>
    </w:p>
    <w:p w14:paraId="4DF47949" w14:textId="77777777" w:rsidR="00127CA7" w:rsidRPr="00A259BD" w:rsidRDefault="00127CA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Оболочка шара делалась из хлопчатобумаж</w:t>
      </w:r>
      <w:r w:rsidRPr="00A259BD">
        <w:rPr>
          <w:rFonts w:ascii="Times New Roman" w:hAnsi="Times New Roman"/>
          <w:color w:val="000000" w:themeColor="text1"/>
          <w:sz w:val="16"/>
          <w:szCs w:val="16"/>
        </w:rPr>
        <w:softHyphen/>
        <w:t>ной прорезиненной ткани. На неё наклеивали 6 или 8 лап подвесного такелажа, к которым кре</w:t>
      </w:r>
      <w:r w:rsidRPr="00A259BD">
        <w:rPr>
          <w:rFonts w:ascii="Times New Roman" w:hAnsi="Times New Roman"/>
          <w:color w:val="000000" w:themeColor="text1"/>
          <w:sz w:val="16"/>
          <w:szCs w:val="16"/>
        </w:rPr>
        <w:softHyphen/>
        <w:t>пились стропы подвески. В верхней части обо</w:t>
      </w:r>
      <w:r w:rsidRPr="00A259BD">
        <w:rPr>
          <w:rFonts w:ascii="Times New Roman" w:hAnsi="Times New Roman"/>
          <w:color w:val="000000" w:themeColor="text1"/>
          <w:sz w:val="16"/>
          <w:szCs w:val="16"/>
        </w:rPr>
        <w:softHyphen/>
        <w:t>лочки для удержания шара при наполнении и на старте имелось 5-6 малых лап (бивачных или поясных), сквозь петли которых продёргивались бивачные верёвки. К нижней части оболочки приклеивался и пришивался рукав аппендикса. В местах крепления аппендикса с помощью че</w:t>
      </w:r>
      <w:r w:rsidRPr="00A259BD">
        <w:rPr>
          <w:rFonts w:ascii="Times New Roman" w:hAnsi="Times New Roman"/>
          <w:color w:val="000000" w:themeColor="text1"/>
          <w:sz w:val="16"/>
          <w:szCs w:val="16"/>
        </w:rPr>
        <w:softHyphen/>
        <w:t>тырёх матерчатых шайб с верёвочными петлями устанавливали уздечку аппендикса, крепившую</w:t>
      </w:r>
      <w:r w:rsidRPr="00A259BD">
        <w:rPr>
          <w:rFonts w:ascii="Times New Roman" w:hAnsi="Times New Roman"/>
          <w:color w:val="000000" w:themeColor="text1"/>
          <w:sz w:val="16"/>
          <w:szCs w:val="16"/>
        </w:rPr>
        <w:softHyphen/>
        <w:t>ся другим концом на кольце в непосредственной близости от пилота. В полёте она поддерживала нормальное положение нижней части аэростата, обеспечивая сохранение газа в оболочке при по</w:t>
      </w:r>
      <w:r w:rsidRPr="00A259BD">
        <w:rPr>
          <w:rFonts w:ascii="Times New Roman" w:hAnsi="Times New Roman"/>
          <w:color w:val="000000" w:themeColor="text1"/>
          <w:sz w:val="16"/>
          <w:szCs w:val="16"/>
        </w:rPr>
        <w:softHyphen/>
        <w:t>рывах ветра или быстром снижении шара. При аварийном спуске пилот освобождал уздечку, и аэростат, образовав подобие парашюта, замед</w:t>
      </w:r>
      <w:r w:rsidRPr="00A259BD">
        <w:rPr>
          <w:rFonts w:ascii="Times New Roman" w:hAnsi="Times New Roman"/>
          <w:color w:val="000000" w:themeColor="text1"/>
          <w:sz w:val="16"/>
          <w:szCs w:val="16"/>
        </w:rPr>
        <w:softHyphen/>
        <w:t>лял падение.</w:t>
      </w:r>
    </w:p>
    <w:p w14:paraId="36DDC0A2" w14:textId="77777777" w:rsidR="00127CA7" w:rsidRPr="00A259BD" w:rsidRDefault="00127CA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Оболочка имела разрывное приспособление, площадь которого опытным путем выбрали при</w:t>
      </w:r>
      <w:r w:rsidRPr="00A259BD">
        <w:rPr>
          <w:rFonts w:ascii="Times New Roman" w:hAnsi="Times New Roman"/>
          <w:color w:val="000000" w:themeColor="text1"/>
          <w:sz w:val="16"/>
          <w:szCs w:val="16"/>
        </w:rPr>
        <w:softHyphen/>
        <w:t>мерно в два раза больше, чем у аэростатов с кор</w:t>
      </w:r>
      <w:r w:rsidRPr="00A259BD">
        <w:rPr>
          <w:rFonts w:ascii="Times New Roman" w:hAnsi="Times New Roman"/>
          <w:color w:val="000000" w:themeColor="text1"/>
          <w:sz w:val="16"/>
          <w:szCs w:val="16"/>
        </w:rPr>
        <w:softHyphen/>
        <w:t>зинами. На нижнюю часть оболочки наклеивался опознавательный знак, присвоенный аэростату Главной инспекцией ГВФ.</w:t>
      </w:r>
    </w:p>
    <w:p w14:paraId="7433DBE4" w14:textId="77777777" w:rsidR="00127CA7" w:rsidRPr="00A259BD" w:rsidRDefault="00127CA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Клапан упрощённой конструкции (вес 0,8-1,2 кг, диаметр открывающейся части 200-300 мм) при максимальном открытии про</w:t>
      </w:r>
      <w:r w:rsidRPr="00A259BD">
        <w:rPr>
          <w:rFonts w:ascii="Times New Roman" w:hAnsi="Times New Roman"/>
          <w:color w:val="000000" w:themeColor="text1"/>
          <w:sz w:val="16"/>
          <w:szCs w:val="16"/>
        </w:rPr>
        <w:softHyphen/>
        <w:t>пускал 0,4-0,6 м3 газа в секунду. Полётный вес аэростата составляла 150 кг (аэростат — 50 кг, пилот — 75 кг, снаряжение и приборы — 5 кг, по</w:t>
      </w:r>
      <w:r w:rsidRPr="00A259BD">
        <w:rPr>
          <w:rFonts w:ascii="Times New Roman" w:hAnsi="Times New Roman"/>
          <w:color w:val="000000" w:themeColor="text1"/>
          <w:sz w:val="16"/>
          <w:szCs w:val="16"/>
        </w:rPr>
        <w:softHyphen/>
        <w:t>лётный балласт — 20 кг).</w:t>
      </w:r>
    </w:p>
    <w:p w14:paraId="0487C041" w14:textId="77777777" w:rsidR="00127CA7" w:rsidRPr="00A259BD" w:rsidRDefault="00127CA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Аэростат имел настолько простую конструк</w:t>
      </w:r>
      <w:r w:rsidRPr="00A259BD">
        <w:rPr>
          <w:rFonts w:ascii="Times New Roman" w:hAnsi="Times New Roman"/>
          <w:color w:val="000000" w:themeColor="text1"/>
          <w:sz w:val="16"/>
          <w:szCs w:val="16"/>
        </w:rPr>
        <w:softHyphen/>
        <w:t>цию, что под руководством инструктора его мог самостоятельно построить кружок численностью от трёх человек. Только газовый клапан рекомен</w:t>
      </w:r>
      <w:r w:rsidRPr="00A259BD">
        <w:rPr>
          <w:rFonts w:ascii="Times New Roman" w:hAnsi="Times New Roman"/>
          <w:color w:val="000000" w:themeColor="text1"/>
          <w:sz w:val="16"/>
          <w:szCs w:val="16"/>
        </w:rPr>
        <w:softHyphen/>
        <w:t>довалось приобретать готовым или изготавли</w:t>
      </w:r>
      <w:r w:rsidRPr="00A259BD">
        <w:rPr>
          <w:rFonts w:ascii="Times New Roman" w:hAnsi="Times New Roman"/>
          <w:color w:val="000000" w:themeColor="text1"/>
          <w:sz w:val="16"/>
          <w:szCs w:val="16"/>
        </w:rPr>
        <w:softHyphen/>
        <w:t>вать в хорошей мастерской.</w:t>
      </w:r>
    </w:p>
    <w:p w14:paraId="66E72BFE" w14:textId="77777777" w:rsidR="00127CA7" w:rsidRPr="00A259BD" w:rsidRDefault="00127CA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выполнения прыжков (полётов с пере- </w:t>
      </w:r>
      <w:proofErr w:type="spellStart"/>
      <w:r w:rsidRPr="00A259BD">
        <w:rPr>
          <w:rFonts w:ascii="Times New Roman" w:hAnsi="Times New Roman"/>
          <w:color w:val="000000" w:themeColor="text1"/>
          <w:sz w:val="16"/>
          <w:szCs w:val="16"/>
        </w:rPr>
        <w:t>тяжелением</w:t>
      </w:r>
      <w:proofErr w:type="spellEnd"/>
      <w:r w:rsidRPr="00A259BD">
        <w:rPr>
          <w:rFonts w:ascii="Times New Roman" w:hAnsi="Times New Roman"/>
          <w:color w:val="000000" w:themeColor="text1"/>
          <w:sz w:val="16"/>
          <w:szCs w:val="16"/>
        </w:rPr>
        <w:t>) по направлению ветра выбиралась площадка, длина которой определялась рассто</w:t>
      </w:r>
      <w:r w:rsidRPr="00A259BD">
        <w:rPr>
          <w:rFonts w:ascii="Times New Roman" w:hAnsi="Times New Roman"/>
          <w:color w:val="000000" w:themeColor="text1"/>
          <w:sz w:val="16"/>
          <w:szCs w:val="16"/>
        </w:rPr>
        <w:softHyphen/>
        <w:t>янием, проходимым шаром при прыжке. Аэро</w:t>
      </w:r>
      <w:r w:rsidRPr="00A259BD">
        <w:rPr>
          <w:rFonts w:ascii="Times New Roman" w:hAnsi="Times New Roman"/>
          <w:color w:val="000000" w:themeColor="text1"/>
          <w:sz w:val="16"/>
          <w:szCs w:val="16"/>
        </w:rPr>
        <w:softHyphen/>
        <w:t>стат отводили на край площадки с подветренной стороны, где инструктор-пилот взвешивал его (определял путём загрузки или облегчения урав</w:t>
      </w:r>
      <w:r w:rsidRPr="00A259BD">
        <w:rPr>
          <w:rFonts w:ascii="Times New Roman" w:hAnsi="Times New Roman"/>
          <w:color w:val="000000" w:themeColor="text1"/>
          <w:sz w:val="16"/>
          <w:szCs w:val="16"/>
        </w:rPr>
        <w:softHyphen/>
        <w:t xml:space="preserve">новешенность шара у земли). </w:t>
      </w:r>
      <w:proofErr w:type="spellStart"/>
      <w:r w:rsidRPr="00A259BD">
        <w:rPr>
          <w:rFonts w:ascii="Times New Roman" w:hAnsi="Times New Roman"/>
          <w:color w:val="000000" w:themeColor="text1"/>
          <w:sz w:val="16"/>
          <w:szCs w:val="16"/>
        </w:rPr>
        <w:t>Перетяжелив</w:t>
      </w:r>
      <w:proofErr w:type="spellEnd"/>
      <w:r w:rsidRPr="00A259BD">
        <w:rPr>
          <w:rFonts w:ascii="Times New Roman" w:hAnsi="Times New Roman"/>
          <w:color w:val="000000" w:themeColor="text1"/>
          <w:sz w:val="16"/>
          <w:szCs w:val="16"/>
        </w:rPr>
        <w:t xml:space="preserve"> шар балластом в 3-5 кг, он создавал отрицательную сплавную силу, которую прыгун преодолевал силою мускулов тела и ног. Прыжок выполнял</w:t>
      </w:r>
      <w:r w:rsidRPr="00A259BD">
        <w:rPr>
          <w:rFonts w:ascii="Times New Roman" w:hAnsi="Times New Roman"/>
          <w:color w:val="000000" w:themeColor="text1"/>
          <w:sz w:val="16"/>
          <w:szCs w:val="16"/>
        </w:rPr>
        <w:softHyphen/>
        <w:t>ся с распущенными бивачными верёвками, по</w:t>
      </w:r>
      <w:r w:rsidRPr="00A259BD">
        <w:rPr>
          <w:rFonts w:ascii="Times New Roman" w:hAnsi="Times New Roman"/>
          <w:color w:val="000000" w:themeColor="text1"/>
          <w:sz w:val="16"/>
          <w:szCs w:val="16"/>
        </w:rPr>
        <w:softHyphen/>
        <w:t>могавшими наземной команде поймать шар. При совершении прыжков учитывалась метео</w:t>
      </w:r>
      <w:r w:rsidRPr="00A259BD">
        <w:rPr>
          <w:rFonts w:ascii="Times New Roman" w:hAnsi="Times New Roman"/>
          <w:color w:val="000000" w:themeColor="text1"/>
          <w:sz w:val="16"/>
          <w:szCs w:val="16"/>
        </w:rPr>
        <w:softHyphen/>
        <w:t>сводка или данные шаропилотных наблюдений (до высоты 200-250 м). Несмотря на кратковре</w:t>
      </w:r>
      <w:r w:rsidRPr="00A259BD">
        <w:rPr>
          <w:rFonts w:ascii="Times New Roman" w:hAnsi="Times New Roman"/>
          <w:color w:val="000000" w:themeColor="text1"/>
          <w:sz w:val="16"/>
          <w:szCs w:val="16"/>
        </w:rPr>
        <w:softHyphen/>
        <w:t>менность подлёта, снаряжение пилота включало анероид-высотомер до 1000 м, карту крупного масштаба, финский нож и свисток.</w:t>
      </w:r>
    </w:p>
    <w:p w14:paraId="4D8F99D2" w14:textId="77777777" w:rsidR="00127CA7" w:rsidRPr="00A259BD" w:rsidRDefault="00127CA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выполнения свободных полётов на ша</w:t>
      </w:r>
      <w:r w:rsidRPr="00A259BD">
        <w:rPr>
          <w:rFonts w:ascii="Times New Roman" w:hAnsi="Times New Roman"/>
          <w:color w:val="000000" w:themeColor="text1"/>
          <w:sz w:val="16"/>
          <w:szCs w:val="16"/>
        </w:rPr>
        <w:softHyphen/>
        <w:t>рах-прыгунах выбиралась стартовая площадка размером 50 х 50 м2 без строений и вне проводов высокого напряжения. Так как при полётах шары поднимались до 2000 м, то при старте бивачные верёвки выдёргивались. Посадку рекомендова</w:t>
      </w:r>
      <w:r w:rsidRPr="00A259BD">
        <w:rPr>
          <w:rFonts w:ascii="Times New Roman" w:hAnsi="Times New Roman"/>
          <w:color w:val="000000" w:themeColor="text1"/>
          <w:sz w:val="16"/>
          <w:szCs w:val="16"/>
        </w:rPr>
        <w:softHyphen/>
        <w:t>лось совершать при наличии не менее 4-5 кг бал</w:t>
      </w:r>
      <w:r w:rsidRPr="00A259BD">
        <w:rPr>
          <w:rFonts w:ascii="Times New Roman" w:hAnsi="Times New Roman"/>
          <w:color w:val="000000" w:themeColor="text1"/>
          <w:sz w:val="16"/>
          <w:szCs w:val="16"/>
        </w:rPr>
        <w:softHyphen/>
        <w:t>ласта.</w:t>
      </w:r>
    </w:p>
    <w:p w14:paraId="190CF25F" w14:textId="77777777" w:rsidR="00127CA7" w:rsidRPr="00A259BD" w:rsidRDefault="00127CA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Несмотря на сложность пилотирования аэро</w:t>
      </w:r>
      <w:r w:rsidRPr="00A259BD">
        <w:rPr>
          <w:rFonts w:ascii="Times New Roman" w:hAnsi="Times New Roman"/>
          <w:color w:val="000000" w:themeColor="text1"/>
          <w:sz w:val="16"/>
          <w:szCs w:val="16"/>
        </w:rPr>
        <w:softHyphen/>
        <w:t>статов-прыгунов, вызванную их чувствительно</w:t>
      </w:r>
      <w:r w:rsidRPr="00A259BD">
        <w:rPr>
          <w:rFonts w:ascii="Times New Roman" w:hAnsi="Times New Roman"/>
          <w:color w:val="000000" w:themeColor="text1"/>
          <w:sz w:val="16"/>
          <w:szCs w:val="16"/>
        </w:rPr>
        <w:softHyphen/>
        <w:t>стью к восходящим и нисходящим потокам воз</w:t>
      </w:r>
      <w:r w:rsidRPr="00A259BD">
        <w:rPr>
          <w:rFonts w:ascii="Times New Roman" w:hAnsi="Times New Roman"/>
          <w:color w:val="000000" w:themeColor="text1"/>
          <w:sz w:val="16"/>
          <w:szCs w:val="16"/>
        </w:rPr>
        <w:softHyphen/>
        <w:t>духа, советские воздухоплаватели совершили на них ряд замечательных полётов (20120).</w:t>
      </w:r>
    </w:p>
    <w:p w14:paraId="20BADB43" w14:textId="77777777" w:rsidR="00127CA7" w:rsidRPr="00A259BD" w:rsidRDefault="00127CA7" w:rsidP="009236E3">
      <w:pPr>
        <w:spacing w:after="0" w:line="240" w:lineRule="auto"/>
        <w:jc w:val="both"/>
        <w:rPr>
          <w:rFonts w:ascii="Times New Roman" w:hAnsi="Times New Roman"/>
          <w:color w:val="000000" w:themeColor="text1"/>
          <w:sz w:val="16"/>
          <w:szCs w:val="16"/>
        </w:rPr>
      </w:pPr>
    </w:p>
    <w:p w14:paraId="712D459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0D2F2D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7BB05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20-х числах июня 1929 ПТО ГВПУ писал письмо Нач. II Управления Штаба ВВС (копия Нач. УВВС 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на </w:t>
      </w:r>
      <w:proofErr w:type="spellStart"/>
      <w:r w:rsidRPr="00A259BD">
        <w:rPr>
          <w:rFonts w:ascii="Times New Roman" w:hAnsi="Times New Roman"/>
          <w:color w:val="000000" w:themeColor="text1"/>
          <w:sz w:val="16"/>
          <w:szCs w:val="16"/>
        </w:rPr>
        <w:t>вх</w:t>
      </w:r>
      <w:proofErr w:type="spellEnd"/>
      <w:r w:rsidRPr="00A259BD">
        <w:rPr>
          <w:rFonts w:ascii="Times New Roman" w:hAnsi="Times New Roman"/>
          <w:color w:val="000000" w:themeColor="text1"/>
          <w:sz w:val="16"/>
          <w:szCs w:val="16"/>
        </w:rPr>
        <w:t xml:space="preserve">. N 017885сс и ГВПУ сообщило, что полученный с N 017885сс пятилетний план воздухоплавательного имущества не </w:t>
      </w:r>
      <w:proofErr w:type="spellStart"/>
      <w:r w:rsidRPr="00A259BD">
        <w:rPr>
          <w:rFonts w:ascii="Times New Roman" w:hAnsi="Times New Roman"/>
          <w:color w:val="000000" w:themeColor="text1"/>
          <w:sz w:val="16"/>
          <w:szCs w:val="16"/>
        </w:rPr>
        <w:t>м.б.</w:t>
      </w:r>
      <w:proofErr w:type="spellEnd"/>
      <w:r w:rsidRPr="00A259BD">
        <w:rPr>
          <w:rFonts w:ascii="Times New Roman" w:hAnsi="Times New Roman"/>
          <w:color w:val="000000" w:themeColor="text1"/>
          <w:sz w:val="16"/>
          <w:szCs w:val="16"/>
        </w:rPr>
        <w:t xml:space="preserve"> принят для проработки 5 летнего плана АП, поскольку имеется уже другой план, согласованный УВВС в ГВПУ 4 апреля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(протокол N 9/4224с) и затем сношением УСС УВВС от 11 апреля N 1/0103...(2364,49).</w:t>
      </w:r>
    </w:p>
    <w:p w14:paraId="0CC4B4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52323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95C7A5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BCEFF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июня 1929 был готов АИР-3, который начали делать на 39 заводе в апреле 1929. Потом испытывался в инспекции ГА (209,19).</w:t>
      </w:r>
    </w:p>
    <w:p w14:paraId="7F250B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40E2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июня АИР-3 вышел из цеха (11981).</w:t>
      </w:r>
    </w:p>
    <w:p w14:paraId="1348A2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2167DB9" w14:textId="77777777" w:rsidR="00B96D62" w:rsidRPr="00A259BD" w:rsidRDefault="00B96D6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конце июня 1929 на парашюте НИИ-1 завода Каучук совершили первый прыжок. До «Ирвина» по качеству ему оказалось далеко. Выполнив с огромным трудом обязательства по договору, от дальнейшей работы по парашютам «</w:t>
      </w:r>
      <w:proofErr w:type="spellStart"/>
      <w:r w:rsidRPr="00A259BD">
        <w:rPr>
          <w:rFonts w:ascii="Times New Roman" w:eastAsia="Times New Roman" w:hAnsi="Times New Roman"/>
          <w:color w:val="000000" w:themeColor="text1"/>
          <w:sz w:val="16"/>
          <w:szCs w:val="16"/>
          <w:lang w:eastAsia="ru-RU"/>
        </w:rPr>
        <w:t>Резинотрест</w:t>
      </w:r>
      <w:proofErr w:type="spellEnd"/>
      <w:r w:rsidRPr="00A259BD">
        <w:rPr>
          <w:rFonts w:ascii="Times New Roman" w:eastAsia="Times New Roman" w:hAnsi="Times New Roman"/>
          <w:color w:val="000000" w:themeColor="text1"/>
          <w:sz w:val="16"/>
          <w:szCs w:val="16"/>
          <w:lang w:eastAsia="ru-RU"/>
        </w:rPr>
        <w:t>» отказался (21505).</w:t>
      </w:r>
    </w:p>
    <w:p w14:paraId="23E200FE" w14:textId="77777777" w:rsidR="00B96D62" w:rsidRPr="00A259BD" w:rsidRDefault="00B96D62" w:rsidP="009236E3">
      <w:pPr>
        <w:spacing w:after="0" w:line="240" w:lineRule="auto"/>
        <w:jc w:val="both"/>
        <w:rPr>
          <w:rFonts w:ascii="Times New Roman" w:hAnsi="Times New Roman"/>
          <w:color w:val="000000" w:themeColor="text1"/>
          <w:sz w:val="16"/>
          <w:szCs w:val="16"/>
        </w:rPr>
      </w:pPr>
    </w:p>
    <w:p w14:paraId="649ED4C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C56CEF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44C2350" w14:textId="77777777" w:rsidR="00B96D62" w:rsidRPr="00A259BD" w:rsidRDefault="00B96D6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К концу июня 1929 г. относятся первые сведения о постановке на Политбюро вопроса "О состоянии обороны СССР". В проекте постановления Политбюро ЦК ВКП(б), подготовленном тогда секретарем РЗ СТО Э. </w:t>
      </w:r>
      <w:proofErr w:type="spellStart"/>
      <w:r w:rsidRPr="00A259BD">
        <w:rPr>
          <w:rFonts w:ascii="Times New Roman" w:eastAsia="Times New Roman" w:hAnsi="Times New Roman"/>
          <w:color w:val="000000" w:themeColor="text1"/>
          <w:sz w:val="16"/>
          <w:szCs w:val="16"/>
          <w:lang w:eastAsia="ru-RU"/>
        </w:rPr>
        <w:t>Аппогой</w:t>
      </w:r>
      <w:proofErr w:type="spellEnd"/>
      <w:r w:rsidRPr="00A259BD">
        <w:rPr>
          <w:rFonts w:ascii="Times New Roman" w:eastAsia="Times New Roman" w:hAnsi="Times New Roman"/>
          <w:color w:val="000000" w:themeColor="text1"/>
          <w:sz w:val="16"/>
          <w:szCs w:val="16"/>
          <w:lang w:eastAsia="ru-RU"/>
        </w:rPr>
        <w:t>, принципиальный политический замысел, лежавший в основе правительственных решений в апреле - начале мая 1929 г., раскрывался следующим образом:</w:t>
      </w:r>
    </w:p>
    <w:p w14:paraId="07F3A6A2" w14:textId="77777777" w:rsidR="00B96D62" w:rsidRPr="00A259BD" w:rsidRDefault="00B96D6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"Политбюро считает, что осуществление намеченных планов </w:t>
      </w:r>
      <w:proofErr w:type="spellStart"/>
      <w:r w:rsidRPr="00A259BD">
        <w:rPr>
          <w:rFonts w:ascii="Times New Roman" w:eastAsia="Times New Roman" w:hAnsi="Times New Roman"/>
          <w:color w:val="000000" w:themeColor="text1"/>
          <w:sz w:val="16"/>
          <w:szCs w:val="16"/>
          <w:lang w:eastAsia="ru-RU"/>
        </w:rPr>
        <w:t>pеконструкции</w:t>
      </w:r>
      <w:proofErr w:type="spellEnd"/>
      <w:r w:rsidRPr="00A259BD">
        <w:rPr>
          <w:rFonts w:ascii="Times New Roman" w:eastAsia="Times New Roman" w:hAnsi="Times New Roman"/>
          <w:color w:val="000000" w:themeColor="text1"/>
          <w:sz w:val="16"/>
          <w:szCs w:val="16"/>
          <w:lang w:eastAsia="ru-RU"/>
        </w:rPr>
        <w:t xml:space="preserve"> Красной Армии, обеспечение ее в течение ближайших лет новейшими средствами ведения боя поставит ее на уровень лучших армий европейских государств. Подготовка всего народного хозяйства для удовлетворения потребностей войны, плановый переход всего народного хозяйства на военные рельсы, образование необходимых запасов, создание четкого аппарата, проводящего всю оборонную работу, документальное оформление всей работы в виде </w:t>
      </w:r>
      <w:proofErr w:type="spellStart"/>
      <w:r w:rsidRPr="00A259BD">
        <w:rPr>
          <w:rFonts w:ascii="Times New Roman" w:eastAsia="Times New Roman" w:hAnsi="Times New Roman"/>
          <w:color w:val="000000" w:themeColor="text1"/>
          <w:sz w:val="16"/>
          <w:szCs w:val="16"/>
          <w:lang w:eastAsia="ru-RU"/>
        </w:rPr>
        <w:t>мобплана</w:t>
      </w:r>
      <w:proofErr w:type="spellEnd"/>
      <w:r w:rsidRPr="00A259BD">
        <w:rPr>
          <w:rFonts w:ascii="Times New Roman" w:eastAsia="Times New Roman" w:hAnsi="Times New Roman"/>
          <w:color w:val="000000" w:themeColor="text1"/>
          <w:sz w:val="16"/>
          <w:szCs w:val="16"/>
          <w:lang w:eastAsia="ru-RU"/>
        </w:rPr>
        <w:t xml:space="preserve"> и т. д., и т. п. должны в течение ближайших 2 лет получить четкое оформление.</w:t>
      </w:r>
    </w:p>
    <w:p w14:paraId="294C3DEA" w14:textId="77777777" w:rsidR="00B96D62" w:rsidRPr="00A259BD" w:rsidRDefault="00B96D6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Этот новый этап по подготовке страны к обороне должен создать определенный и несомненный перевес над нашими вероятными западными противниками" (Постановление ПБ ЦК ВКП(б) по докладу т. Рудзутака (черновой проект т. </w:t>
      </w:r>
      <w:proofErr w:type="spellStart"/>
      <w:r w:rsidRPr="00A259BD">
        <w:rPr>
          <w:rFonts w:ascii="Times New Roman" w:eastAsia="Times New Roman" w:hAnsi="Times New Roman"/>
          <w:color w:val="000000" w:themeColor="text1"/>
          <w:sz w:val="16"/>
          <w:szCs w:val="16"/>
          <w:lang w:eastAsia="ru-RU"/>
        </w:rPr>
        <w:t>Аппоги</w:t>
      </w:r>
      <w:proofErr w:type="spellEnd"/>
      <w:r w:rsidRPr="00A259BD">
        <w:rPr>
          <w:rFonts w:ascii="Times New Roman" w:eastAsia="Times New Roman" w:hAnsi="Times New Roman"/>
          <w:color w:val="000000" w:themeColor="text1"/>
          <w:sz w:val="16"/>
          <w:szCs w:val="16"/>
          <w:lang w:eastAsia="ru-RU"/>
        </w:rPr>
        <w:t>) [ранее 25.06.1929] // РГВА. Ф. 4- Оп. 1. Д 907. Л. 89- Руководящий аппарат РЗ СТО предлагал, чтобы Политбюро, не входя в детали принятых па правительственном уровне решений, санкционировало их своим постановлением и тем самым повысило обязательность их выполнения ведомствами. Цитируемое заключение не вошло в окончательную редакцию проекта постановления (Проект Постановления ПБ ЦК ВКП(б) по докладу Рудзутака, б/д // Там же. Л. 101 -106).).</w:t>
      </w:r>
    </w:p>
    <w:p w14:paraId="6CF00229" w14:textId="77777777" w:rsidR="00B96D62" w:rsidRPr="00A259BD" w:rsidRDefault="00B96D6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другом проекте постановления Распорядительное заседание предлагало установить: "Учитывая силы вероятных противников и неизбежное участие в вооруженной борьбе против СССР техники крупнейших империалистических государств, Политбюро считает принятый РЗ СТО пятилетний план строительства вооруженных сил минимальным и поручает напрячь все силы и военного ведомства, и промышленности для его точного выполнения" (Первый проект постановления [Политбюро, не </w:t>
      </w:r>
      <w:r w:rsidRPr="00A259BD">
        <w:rPr>
          <w:rFonts w:ascii="Times New Roman" w:eastAsia="Times New Roman" w:hAnsi="Times New Roman"/>
          <w:color w:val="000000" w:themeColor="text1"/>
          <w:sz w:val="16"/>
          <w:szCs w:val="16"/>
          <w:lang w:eastAsia="ru-RU"/>
        </w:rPr>
        <w:lastRenderedPageBreak/>
        <w:t>позднее 25.06.1929] //</w:t>
      </w:r>
      <w:proofErr w:type="spellStart"/>
      <w:r w:rsidRPr="00A259BD">
        <w:rPr>
          <w:rFonts w:ascii="Times New Roman" w:eastAsia="Times New Roman" w:hAnsi="Times New Roman"/>
          <w:color w:val="000000" w:themeColor="text1"/>
          <w:sz w:val="16"/>
          <w:szCs w:val="16"/>
          <w:lang w:eastAsia="ru-RU"/>
        </w:rPr>
        <w:t>Тамже</w:t>
      </w:r>
      <w:proofErr w:type="spellEnd"/>
      <w:r w:rsidRPr="00A259BD">
        <w:rPr>
          <w:rFonts w:ascii="Times New Roman" w:eastAsia="Times New Roman" w:hAnsi="Times New Roman"/>
          <w:color w:val="000000" w:themeColor="text1"/>
          <w:sz w:val="16"/>
          <w:szCs w:val="16"/>
          <w:lang w:eastAsia="ru-RU"/>
        </w:rPr>
        <w:t xml:space="preserve">. Документ был направлен </w:t>
      </w:r>
      <w:proofErr w:type="spellStart"/>
      <w:r w:rsidRPr="00A259BD">
        <w:rPr>
          <w:rFonts w:ascii="Times New Roman" w:eastAsia="Times New Roman" w:hAnsi="Times New Roman"/>
          <w:color w:val="000000" w:themeColor="text1"/>
          <w:sz w:val="16"/>
          <w:szCs w:val="16"/>
          <w:lang w:eastAsia="ru-RU"/>
        </w:rPr>
        <w:t>Аппогой</w:t>
      </w:r>
      <w:proofErr w:type="spellEnd"/>
      <w:r w:rsidRPr="00A259BD">
        <w:rPr>
          <w:rFonts w:ascii="Times New Roman" w:eastAsia="Times New Roman" w:hAnsi="Times New Roman"/>
          <w:color w:val="000000" w:themeColor="text1"/>
          <w:sz w:val="16"/>
          <w:szCs w:val="16"/>
          <w:lang w:eastAsia="ru-RU"/>
        </w:rPr>
        <w:t xml:space="preserve"> Ворошилову 25 июня 1929 г. В тексте проекта имеются зачеркивания, пометы и дополнения, внесенные рукой управляющего делами наркомвоенмора </w:t>
      </w:r>
      <w:proofErr w:type="spellStart"/>
      <w:r w:rsidRPr="00A259BD">
        <w:rPr>
          <w:rFonts w:ascii="Times New Roman" w:eastAsia="Times New Roman" w:hAnsi="Times New Roman"/>
          <w:color w:val="000000" w:themeColor="text1"/>
          <w:sz w:val="16"/>
          <w:szCs w:val="16"/>
          <w:lang w:eastAsia="ru-RU"/>
        </w:rPr>
        <w:t>Литуновского</w:t>
      </w:r>
      <w:proofErr w:type="spellEnd"/>
      <w:r w:rsidRPr="00A259BD">
        <w:rPr>
          <w:rFonts w:ascii="Times New Roman" w:eastAsia="Times New Roman" w:hAnsi="Times New Roman"/>
          <w:color w:val="000000" w:themeColor="text1"/>
          <w:sz w:val="16"/>
          <w:szCs w:val="16"/>
          <w:lang w:eastAsia="ru-RU"/>
        </w:rPr>
        <w:t xml:space="preserve">. Отличия этого проекта от цитированного выше позволяют предположить, что к концу июня в результате . обмена мнениями между ЦК ВКП(б), СТО и НКВМ было решено объединить общие вопросы обороны и планы строительства РККА в рамках единого постановления Политбюро. 29 июня Секретариат ЦК ВКП(б) направил проект постановления в редакции, максимально близкой версии РЗ СТО, в качестве официального материала "к п. 1 нов. </w:t>
      </w:r>
      <w:proofErr w:type="spellStart"/>
      <w:r w:rsidRPr="00A259BD">
        <w:rPr>
          <w:rFonts w:ascii="Times New Roman" w:eastAsia="Times New Roman" w:hAnsi="Times New Roman"/>
          <w:color w:val="000000" w:themeColor="text1"/>
          <w:sz w:val="16"/>
          <w:szCs w:val="16"/>
          <w:lang w:eastAsia="ru-RU"/>
        </w:rPr>
        <w:t>зас</w:t>
      </w:r>
      <w:proofErr w:type="spellEnd"/>
      <w:r w:rsidRPr="00A259BD">
        <w:rPr>
          <w:rFonts w:ascii="Times New Roman" w:eastAsia="Times New Roman" w:hAnsi="Times New Roman"/>
          <w:color w:val="000000" w:themeColor="text1"/>
          <w:sz w:val="16"/>
          <w:szCs w:val="16"/>
          <w:lang w:eastAsia="ru-RU"/>
        </w:rPr>
        <w:t>. ПБ от 1. VII. 29"// Там же. Л. 70.).</w:t>
      </w:r>
    </w:p>
    <w:p w14:paraId="4E8FDC06" w14:textId="77777777" w:rsidR="00B96D62" w:rsidRPr="00A259BD" w:rsidRDefault="00B96D6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Постановка в Политбюро ЦК ВКП(б) проблем обороны, вызванная необходимостью дать четкие директивы о путях и масштабах подготовки страны к войне, была также связана с подведением итогов оборонной работы за два года, истекших после постановлений Политбюро весны 1927 г., и завершением "пятилетия планового строительства вооруженных сил", начатого военной реформой 1924-1925 гг. Первоначально предполагалось, что на Политбюро будет заслушан доклад фактического руководителя РЗ СТО Рудзутака "Об основных мероприятиях правительства по подготовке страны к обороне" и доклад Ворошилова о развитии вооруженных сил до конца пятилетки (Записка </w:t>
      </w:r>
      <w:proofErr w:type="spellStart"/>
      <w:r w:rsidRPr="00A259BD">
        <w:rPr>
          <w:rFonts w:ascii="Times New Roman" w:eastAsia="Times New Roman" w:hAnsi="Times New Roman"/>
          <w:color w:val="000000" w:themeColor="text1"/>
          <w:sz w:val="16"/>
          <w:szCs w:val="16"/>
          <w:lang w:eastAsia="ru-RU"/>
        </w:rPr>
        <w:t>Апноги</w:t>
      </w:r>
      <w:proofErr w:type="spellEnd"/>
      <w:r w:rsidRPr="00A259BD">
        <w:rPr>
          <w:rFonts w:ascii="Times New Roman" w:eastAsia="Times New Roman" w:hAnsi="Times New Roman"/>
          <w:color w:val="000000" w:themeColor="text1"/>
          <w:sz w:val="16"/>
          <w:szCs w:val="16"/>
          <w:lang w:eastAsia="ru-RU"/>
        </w:rPr>
        <w:t xml:space="preserve"> Ворошилову, 25.06.1929 (Там же. Л. 56).). Накануне обсуждения этот замысел был оставлен (22725).</w:t>
      </w:r>
    </w:p>
    <w:p w14:paraId="7FF8B934" w14:textId="77777777" w:rsidR="00B96D62" w:rsidRPr="00A259BD" w:rsidRDefault="00B96D62" w:rsidP="009236E3">
      <w:pPr>
        <w:spacing w:after="0" w:line="240" w:lineRule="auto"/>
        <w:jc w:val="both"/>
        <w:rPr>
          <w:rFonts w:ascii="Times New Roman" w:hAnsi="Times New Roman"/>
          <w:color w:val="000000" w:themeColor="text1"/>
          <w:sz w:val="16"/>
          <w:szCs w:val="16"/>
        </w:rPr>
      </w:pPr>
    </w:p>
    <w:p w14:paraId="694E6A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июня 1929 на КМК начались земляные работы под здание заводоуправления, работы по прокладке шоссейной дороги к станции, сооружению подземных железнодорожных путей от станции Кузнецк. Землекопы делали глубокие выемки на месте будущих угольных ям, </w:t>
      </w:r>
      <w:proofErr w:type="spellStart"/>
      <w:r w:rsidRPr="00A259BD">
        <w:rPr>
          <w:rFonts w:ascii="Times New Roman" w:hAnsi="Times New Roman"/>
          <w:color w:val="000000" w:themeColor="text1"/>
          <w:sz w:val="16"/>
          <w:szCs w:val="16"/>
        </w:rPr>
        <w:t>скрапного</w:t>
      </w:r>
      <w:proofErr w:type="spellEnd"/>
      <w:r w:rsidRPr="00A259BD">
        <w:rPr>
          <w:rFonts w:ascii="Times New Roman" w:hAnsi="Times New Roman"/>
          <w:color w:val="000000" w:themeColor="text1"/>
          <w:sz w:val="16"/>
          <w:szCs w:val="16"/>
        </w:rPr>
        <w:t xml:space="preserve"> и угольного двора, сортировочной станции. </w:t>
      </w:r>
    </w:p>
    <w:p w14:paraId="006A57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Вся работа выполнялась вручную, землю грабари отвозили на лошадях. Первая динамо-машина дала ток 3 августа. Этого хватало, чтобы осветить постройку заводоуправления. К концу года стройка имела уже 3 генератора общей мощностью свыше 50 кВт, которой хватало для всего строительного комплекса. 29 октября 1929 года строительная площадка получила связь по железной дороге с Транссибом – пришел первый состав с лесом. К зиме началось жилищное строительство. На Верхней колонии, недалеко от строительной площадки, строились дома для технического персонала. Возводились бараки и землянки для участников строительства. Помимо производственных зданий закладывались столовые, хлебопекарня, овощехранилище, </w:t>
      </w:r>
      <w:proofErr w:type="spellStart"/>
      <w:r w:rsidRPr="00A259BD">
        <w:rPr>
          <w:rFonts w:ascii="Times New Roman" w:hAnsi="Times New Roman"/>
          <w:color w:val="000000" w:themeColor="text1"/>
          <w:sz w:val="16"/>
          <w:szCs w:val="16"/>
        </w:rPr>
        <w:t>мясохранилище</w:t>
      </w:r>
      <w:proofErr w:type="spellEnd"/>
      <w:r w:rsidRPr="00A259BD">
        <w:rPr>
          <w:rFonts w:ascii="Times New Roman" w:hAnsi="Times New Roman"/>
          <w:color w:val="000000" w:themeColor="text1"/>
          <w:sz w:val="16"/>
          <w:szCs w:val="16"/>
        </w:rPr>
        <w:t xml:space="preserve">, ларьки, амбулатория, строилась баня. </w:t>
      </w:r>
    </w:p>
    <w:p w14:paraId="0A9984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стройке процветали различные формы ударничества и постановки “трудовых рекордов” (интересно, что строители КМК “соревновались” со строителями Магнитки). Так, бригада землекопов А.С. Филиппова на обратной засыпке траншеи главного водовода, идущего от водозабора на реке Томь до завода, установила мировой рекорд по перемещению земляного грунта вручную. Примечательно, что лопата бригадира затем стала одним из экспонатов Музея Октябрьской революции в Москве.</w:t>
      </w:r>
    </w:p>
    <w:p w14:paraId="3E7B38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Постепенно наращивались темпы промышленного строительства. Укладывались железнодорожные пути, и велось устройство веток к песчано-галечному и каменному карьеру. К январю 1930 года закончилось сооружение временной системы водоснабжения и были закончены гидрогеологические исследования. Тяжелый труд в кошмарных бытовых условиях стал источником вдохновения для советских писателей и поэтов. Как вспоминал Илья Эренбург, “люди строили завод в неслыханно трудных условиях, кажется, никто нигде так не строил, да и не будет строить”. </w:t>
      </w:r>
    </w:p>
    <w:p w14:paraId="18457D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1929 год на стройке была проведена планировка площадки, уложены подъездные пути, возведены кирпичный завод, технологический склад, 18 бараков и несколько каменных домов. Открылись столовая, школа, магазин. В 1930 году “</w:t>
      </w:r>
      <w:proofErr w:type="spellStart"/>
      <w:r w:rsidRPr="00A259BD">
        <w:rPr>
          <w:rFonts w:ascii="Times New Roman" w:hAnsi="Times New Roman"/>
          <w:color w:val="000000" w:themeColor="text1"/>
          <w:sz w:val="16"/>
          <w:szCs w:val="16"/>
        </w:rPr>
        <w:t>Кузнецкстрой</w:t>
      </w:r>
      <w:proofErr w:type="spellEnd"/>
      <w:r w:rsidRPr="00A259BD">
        <w:rPr>
          <w:rFonts w:ascii="Times New Roman" w:hAnsi="Times New Roman"/>
          <w:color w:val="000000" w:themeColor="text1"/>
          <w:sz w:val="16"/>
          <w:szCs w:val="16"/>
        </w:rPr>
        <w:t xml:space="preserve">” вступил в новый период: завершалось строительство подсобных цехов, развернулось сооружение двух доменных печей, мартеновского и прокатного цехов, коксохимического завода и электростанции. </w:t>
      </w:r>
    </w:p>
    <w:p w14:paraId="3CF966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Одновременно прокладывались шоссейные дороги, строились кирпичные заводы, и даже реконструкция Гурьевского металлургического завода, снабжавшего стройку металлоизделиями, огнеупорами и фасонным литьем тоже шла по единому графику. Тем не менее, определенное отставание от сроков все же произошло. В мае 1930 года руководителем “</w:t>
      </w:r>
      <w:proofErr w:type="spellStart"/>
      <w:r w:rsidRPr="00A259BD">
        <w:rPr>
          <w:rFonts w:ascii="Times New Roman" w:hAnsi="Times New Roman"/>
          <w:color w:val="000000" w:themeColor="text1"/>
          <w:sz w:val="16"/>
          <w:szCs w:val="16"/>
        </w:rPr>
        <w:t>Кузнецкстроя</w:t>
      </w:r>
      <w:proofErr w:type="spellEnd"/>
      <w:r w:rsidRPr="00A259BD">
        <w:rPr>
          <w:rFonts w:ascii="Times New Roman" w:hAnsi="Times New Roman"/>
          <w:color w:val="000000" w:themeColor="text1"/>
          <w:sz w:val="16"/>
          <w:szCs w:val="16"/>
        </w:rPr>
        <w:t xml:space="preserve">” была назначен партиец с </w:t>
      </w:r>
      <w:proofErr w:type="spellStart"/>
      <w:r w:rsidRPr="00A259BD">
        <w:rPr>
          <w:rFonts w:ascii="Times New Roman" w:hAnsi="Times New Roman"/>
          <w:color w:val="000000" w:themeColor="text1"/>
          <w:sz w:val="16"/>
          <w:szCs w:val="16"/>
        </w:rPr>
        <w:t>дореволюционнам</w:t>
      </w:r>
      <w:proofErr w:type="spellEnd"/>
      <w:r w:rsidRPr="00A259BD">
        <w:rPr>
          <w:rFonts w:ascii="Times New Roman" w:hAnsi="Times New Roman"/>
          <w:color w:val="000000" w:themeColor="text1"/>
          <w:sz w:val="16"/>
          <w:szCs w:val="16"/>
        </w:rPr>
        <w:t xml:space="preserve"> стажем, выпускник Политехнического института в Гренобле С.М. Франкфурт, любивший в печати, кстати, разоблачать “вредителей” и классовых врагов. Впрочем, его судьба не отличилась от истории </w:t>
      </w:r>
      <w:proofErr w:type="spellStart"/>
      <w:r w:rsidRPr="00A259BD">
        <w:rPr>
          <w:rFonts w:ascii="Times New Roman" w:hAnsi="Times New Roman"/>
          <w:color w:val="000000" w:themeColor="text1"/>
          <w:sz w:val="16"/>
          <w:szCs w:val="16"/>
        </w:rPr>
        <w:t>Колгушкина</w:t>
      </w:r>
      <w:proofErr w:type="spellEnd"/>
      <w:r w:rsidRPr="00A259BD">
        <w:rPr>
          <w:rFonts w:ascii="Times New Roman" w:hAnsi="Times New Roman"/>
          <w:color w:val="000000" w:themeColor="text1"/>
          <w:sz w:val="16"/>
          <w:szCs w:val="16"/>
        </w:rPr>
        <w:t xml:space="preserve">. В 1936 году Франкфурта обвинили в измене Родине, шпионаже и терроризме, после чего он был расстрелян. </w:t>
      </w:r>
    </w:p>
    <w:p w14:paraId="46EEEA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Заказы на изготовление крупных металлургических агрегатов были размещены в Германии, Англии, отчасти США и Франции. Земляные работы шли круглогодично. В 1931 году число рабочих “</w:t>
      </w:r>
      <w:proofErr w:type="spellStart"/>
      <w:r w:rsidRPr="00A259BD">
        <w:rPr>
          <w:rFonts w:ascii="Times New Roman" w:hAnsi="Times New Roman"/>
          <w:color w:val="000000" w:themeColor="text1"/>
          <w:sz w:val="16"/>
          <w:szCs w:val="16"/>
        </w:rPr>
        <w:t>Кузнецкстроя</w:t>
      </w:r>
      <w:proofErr w:type="spellEnd"/>
      <w:r w:rsidRPr="00A259BD">
        <w:rPr>
          <w:rFonts w:ascii="Times New Roman" w:hAnsi="Times New Roman"/>
          <w:color w:val="000000" w:themeColor="text1"/>
          <w:sz w:val="16"/>
          <w:szCs w:val="16"/>
        </w:rPr>
        <w:t xml:space="preserve">” выросло до 50 тысяч. Еще около 30 тысяч человек были на строительстве железных дорог и рудников. Естественно, что собрать такое количество людей одним только оргнабором было невозможно. По данным исследователя-краеведа Л.И. </w:t>
      </w:r>
      <w:proofErr w:type="spellStart"/>
      <w:r w:rsidRPr="00A259BD">
        <w:rPr>
          <w:rFonts w:ascii="Times New Roman" w:hAnsi="Times New Roman"/>
          <w:color w:val="000000" w:themeColor="text1"/>
          <w:sz w:val="16"/>
          <w:szCs w:val="16"/>
        </w:rPr>
        <w:t>Фойгт</w:t>
      </w:r>
      <w:proofErr w:type="spellEnd"/>
      <w:r w:rsidRPr="00A259BD">
        <w:rPr>
          <w:rFonts w:ascii="Times New Roman" w:hAnsi="Times New Roman"/>
          <w:color w:val="000000" w:themeColor="text1"/>
          <w:sz w:val="16"/>
          <w:szCs w:val="16"/>
        </w:rPr>
        <w:t xml:space="preserve">, до 62% строителей Кузнецкого комбината были раскулаченными крестьянами и заключенными (Л.И. </w:t>
      </w:r>
      <w:proofErr w:type="spellStart"/>
      <w:r w:rsidRPr="00A259BD">
        <w:rPr>
          <w:rFonts w:ascii="Times New Roman" w:hAnsi="Times New Roman"/>
          <w:color w:val="000000" w:themeColor="text1"/>
          <w:sz w:val="16"/>
          <w:szCs w:val="16"/>
        </w:rPr>
        <w:t>Фойгт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Сталинск</w:t>
      </w:r>
      <w:proofErr w:type="spellEnd"/>
      <w:r w:rsidRPr="00A259BD">
        <w:rPr>
          <w:rFonts w:ascii="Times New Roman" w:hAnsi="Times New Roman"/>
          <w:color w:val="000000" w:themeColor="text1"/>
          <w:sz w:val="16"/>
          <w:szCs w:val="16"/>
        </w:rPr>
        <w:t xml:space="preserve"> в годы репрессий. Новокузнецк. 1993-1995)</w:t>
      </w:r>
    </w:p>
    <w:p w14:paraId="56984E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1931 году стройка освоила </w:t>
      </w:r>
      <w:proofErr w:type="spellStart"/>
      <w:r w:rsidRPr="00A259BD">
        <w:rPr>
          <w:rFonts w:ascii="Times New Roman" w:hAnsi="Times New Roman"/>
          <w:color w:val="000000" w:themeColor="text1"/>
          <w:sz w:val="16"/>
          <w:szCs w:val="16"/>
        </w:rPr>
        <w:t>планово</w:t>
      </w:r>
      <w:proofErr w:type="spellEnd"/>
      <w:r w:rsidRPr="00A259BD">
        <w:rPr>
          <w:rFonts w:ascii="Times New Roman" w:hAnsi="Times New Roman"/>
          <w:color w:val="000000" w:themeColor="text1"/>
          <w:sz w:val="16"/>
          <w:szCs w:val="16"/>
        </w:rPr>
        <w:t xml:space="preserve"> до 150 млн. рублей (в 1930 году – только 50 млн. рублей). К концу года в строй были введены вспомогательные цеха - литейный и </w:t>
      </w:r>
      <w:proofErr w:type="spellStart"/>
      <w:r w:rsidRPr="00A259BD">
        <w:rPr>
          <w:rFonts w:ascii="Times New Roman" w:hAnsi="Times New Roman"/>
          <w:color w:val="000000" w:themeColor="text1"/>
          <w:sz w:val="16"/>
          <w:szCs w:val="16"/>
        </w:rPr>
        <w:t>шамото-динасовый</w:t>
      </w:r>
      <w:proofErr w:type="spellEnd"/>
      <w:r w:rsidRPr="00A259BD">
        <w:rPr>
          <w:rFonts w:ascii="Times New Roman" w:hAnsi="Times New Roman"/>
          <w:color w:val="000000" w:themeColor="text1"/>
          <w:sz w:val="16"/>
          <w:szCs w:val="16"/>
        </w:rPr>
        <w:t xml:space="preserve">. В феврале 1932 года заработала коксовая батарея и ТЭЦ. Первая доменная печь была запущена в конце марта 1932 года (первый чугун – 3 апреля). Советское руководство оценило высоко эти достижения (11539). </w:t>
      </w:r>
    </w:p>
    <w:p w14:paraId="2BF80C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F86CB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670B70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D2A40A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июне 1929 была подготовлена Объяснительная записка по второму летному экземпляру самолета И3-БМВVIZ</w:t>
      </w:r>
    </w:p>
    <w:p w14:paraId="48FE96C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спроектирован и построен согласно техническим требованиям УВВС от 2 августа 1926 года, дополнения к ним от 7 сентября 1926 года и постановления Президиума НК УВВС от 4 ноября 1927 года.</w:t>
      </w:r>
    </w:p>
    <w:p w14:paraId="69EB9A9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период заводских летных испытаний были проделаны все фигуры.</w:t>
      </w:r>
    </w:p>
    <w:p w14:paraId="0E96C9E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летный экземпляр самолета И3 в отношении конструкции и примененных материалов идентичен первому летному экземпляру и имеет лишь следующие отличия:</w:t>
      </w:r>
    </w:p>
    <w:p w14:paraId="49CC9974"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Вместо мотора БМВVI поставлен мотор БМВVIZ.</w:t>
      </w:r>
    </w:p>
    <w:p w14:paraId="4927DE9E"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Емкость главного бензинового бака увеличена на 50 кг за счет увеличения соответствующего отсека фюзеляжа.</w:t>
      </w:r>
    </w:p>
    <w:p w14:paraId="1994275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63B5390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прибыл в НИИ на испытание 14 марта 1928 года, а 13 апреля 1928 года сдан на ГАЗ № 1.</w:t>
      </w:r>
    </w:p>
    <w:p w14:paraId="3A5A6D6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Основным недочетом самолета выявилась неустойчивость пути и еще 38 дефектов.</w:t>
      </w:r>
    </w:p>
    <w:p w14:paraId="3A2405C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апреля 1928 года на Президиуме НТК ВВС отмечено, что без устранения основного недостатка – неустойчивости пути, самолет не может быть допущен к серийной постройке.</w:t>
      </w:r>
    </w:p>
    <w:p w14:paraId="12FE525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НИИ и конструктор самолета Поликарпов требовали, требовали прежде чем решать вопрос о серийной постройке самолета, </w:t>
      </w:r>
      <w:proofErr w:type="spellStart"/>
      <w:r w:rsidRPr="00A259BD">
        <w:rPr>
          <w:rFonts w:ascii="Times New Roman" w:hAnsi="Times New Roman"/>
          <w:color w:val="000000" w:themeColor="text1"/>
          <w:sz w:val="16"/>
          <w:szCs w:val="16"/>
        </w:rPr>
        <w:t>доиспытать</w:t>
      </w:r>
      <w:proofErr w:type="spellEnd"/>
      <w:r w:rsidRPr="00A259BD">
        <w:rPr>
          <w:rFonts w:ascii="Times New Roman" w:hAnsi="Times New Roman"/>
          <w:color w:val="000000" w:themeColor="text1"/>
          <w:sz w:val="16"/>
          <w:szCs w:val="16"/>
        </w:rPr>
        <w:t xml:space="preserve"> его в НИИ. Но в силу категорического заявления представителя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решено было передать самолет на завод немедленно. На этом испытание самолета в НИИ было закончено и 13 апреля 1928 года он был передан на завод.</w:t>
      </w:r>
    </w:p>
    <w:p w14:paraId="41A9FCD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Прохождение испытаний второго экземпляра самолета И3 БМВ VI</w:t>
      </w:r>
    </w:p>
    <w:p w14:paraId="3156B70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прибыл в октябре 1928 года. До 13 ноября 1928 года было окончательно выявлено, что и на втором опытном экземпляре И3 не хватает руля глубины.</w:t>
      </w:r>
    </w:p>
    <w:p w14:paraId="66B7597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17 по 21 ноября 1928 года производилась установка новых рулей и испытание действия его. Испытания показали, что посадка на три точки при новом руле возможна.</w:t>
      </w:r>
    </w:p>
    <w:p w14:paraId="22F0C5C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ноября 1928 года произошла порча мотора и 7 декабря 1928 года самолет был сдан на завод № 25 для исправления мотора.</w:t>
      </w:r>
    </w:p>
    <w:p w14:paraId="09DF89E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Вновь самолет прибыл в НИИ 5 апреля 1929 года и по 20 мая 1929 года находился в НИИ на испытании. Испытание закончено не было, так как 20 мая произошла авария самолета (6976).</w:t>
      </w:r>
    </w:p>
    <w:p w14:paraId="5FBA485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FB5A14" w14:textId="77777777" w:rsidR="00D15DDA" w:rsidRPr="00A259BD" w:rsidRDefault="00D15DDA" w:rsidP="00D15DDA">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июне 1929 Урываев предъявил УВВС установочную партию И-3 БМВ-6 (1028,81).</w:t>
      </w:r>
    </w:p>
    <w:p w14:paraId="0ABB6B90" w14:textId="77777777" w:rsidR="00D15DDA" w:rsidRPr="00A259BD" w:rsidRDefault="00D15DDA" w:rsidP="00D15DDA">
      <w:pPr>
        <w:autoSpaceDE w:val="0"/>
        <w:autoSpaceDN w:val="0"/>
        <w:adjustRightInd w:val="0"/>
        <w:spacing w:after="0" w:line="240" w:lineRule="auto"/>
        <w:jc w:val="both"/>
        <w:rPr>
          <w:rFonts w:ascii="Times New Roman" w:hAnsi="Times New Roman"/>
          <w:color w:val="000000" w:themeColor="text1"/>
          <w:sz w:val="16"/>
          <w:szCs w:val="16"/>
        </w:rPr>
      </w:pPr>
    </w:p>
    <w:p w14:paraId="08773C1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июне 1929 года самолет И-7 с металлическим фюзеляжем был начат проектированием под руководством немецкого инженера </w:t>
      </w:r>
      <w:proofErr w:type="spellStart"/>
      <w:r w:rsidRPr="00A259BD">
        <w:rPr>
          <w:rFonts w:ascii="Times New Roman" w:hAnsi="Times New Roman"/>
          <w:color w:val="000000" w:themeColor="text1"/>
          <w:sz w:val="16"/>
          <w:szCs w:val="16"/>
        </w:rPr>
        <w:t>Гоха</w:t>
      </w:r>
      <w:proofErr w:type="spellEnd"/>
      <w:r w:rsidRPr="00A259BD">
        <w:rPr>
          <w:rFonts w:ascii="Times New Roman" w:hAnsi="Times New Roman"/>
          <w:color w:val="000000" w:themeColor="text1"/>
          <w:sz w:val="16"/>
          <w:szCs w:val="16"/>
        </w:rPr>
        <w:t xml:space="preserve">. Проектировали до апреля 1930 года. После ухода с завода </w:t>
      </w:r>
      <w:proofErr w:type="spellStart"/>
      <w:r w:rsidRPr="00A259BD">
        <w:rPr>
          <w:rFonts w:ascii="Times New Roman" w:hAnsi="Times New Roman"/>
          <w:color w:val="000000" w:themeColor="text1"/>
          <w:sz w:val="16"/>
          <w:szCs w:val="16"/>
        </w:rPr>
        <w:t>Гоха</w:t>
      </w:r>
      <w:proofErr w:type="spellEnd"/>
      <w:r w:rsidRPr="00A259BD">
        <w:rPr>
          <w:rFonts w:ascii="Times New Roman" w:hAnsi="Times New Roman"/>
          <w:color w:val="000000" w:themeColor="text1"/>
          <w:sz w:val="16"/>
          <w:szCs w:val="16"/>
        </w:rPr>
        <w:t xml:space="preserve"> проект был забракован и конструктивная разработка начата заново. Схема самолета не менялась (6925).</w:t>
      </w:r>
    </w:p>
    <w:p w14:paraId="6149983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628A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июне 1929 г. производство </w:t>
      </w:r>
      <w:proofErr w:type="spellStart"/>
      <w:r w:rsidRPr="00A259BD">
        <w:rPr>
          <w:rFonts w:ascii="Times New Roman" w:hAnsi="Times New Roman"/>
          <w:color w:val="000000" w:themeColor="text1"/>
          <w:sz w:val="16"/>
          <w:szCs w:val="16"/>
        </w:rPr>
        <w:t>гофролиста</w:t>
      </w:r>
      <w:proofErr w:type="spellEnd"/>
      <w:r w:rsidRPr="00A259BD">
        <w:rPr>
          <w:rFonts w:ascii="Times New Roman" w:hAnsi="Times New Roman"/>
          <w:color w:val="000000" w:themeColor="text1"/>
          <w:sz w:val="16"/>
          <w:szCs w:val="16"/>
        </w:rPr>
        <w:t xml:space="preserve"> для ремонта Юг-1 освоили в мастерских склада № 17 ВВС Балтфлота, но делали его в полукустарных условиях и немного - только на заплатки. Лишь подняв общий уровень отечественной промышленности, удалось не только в полной мере наладить ремонт ЮГ-1, но и фактически строить их (3224,14).</w:t>
      </w:r>
    </w:p>
    <w:p w14:paraId="62745D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274BA67" w14:textId="77777777" w:rsidR="000721C0" w:rsidRPr="00A259BD" w:rsidRDefault="000721C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июне 1929 г. из сборочного цеха завода № 22 вывели металлический истребитель-биплан И-4 (АНТ-5). Это был первый и единственный советский истребитель с гофрированной обшивкой. Заводская машина оказалась тяжелее построенного ЦАГИ опытного образца, да и создающая немалое аэродинамическое сопротивление гофрированная обшивка была не лучшим решением для истребителя, поэтому летные качества самолета оказались невысокими — максимальная скорость у земли составляла всего 231 км/ч. Тем не менее, решение о серии не отменили и 1929-1931 гг. в Филях изготовили 177 И-4 с импортными моторами «Гном-Рон» (480 л. с). На последних серийных экземплярах устанавливали советский аналог «Гном-Рона» — М-22 (18303).</w:t>
      </w:r>
    </w:p>
    <w:p w14:paraId="231FCD19" w14:textId="77777777" w:rsidR="000721C0" w:rsidRPr="00A259BD" w:rsidRDefault="000721C0" w:rsidP="009236E3">
      <w:pPr>
        <w:spacing w:after="0" w:line="240" w:lineRule="auto"/>
        <w:jc w:val="both"/>
        <w:rPr>
          <w:rFonts w:ascii="Times New Roman" w:hAnsi="Times New Roman"/>
          <w:color w:val="000000" w:themeColor="text1"/>
          <w:sz w:val="16"/>
          <w:szCs w:val="16"/>
        </w:rPr>
      </w:pPr>
    </w:p>
    <w:p w14:paraId="4130F191" w14:textId="77777777" w:rsidR="00380FD1" w:rsidRPr="00441F34" w:rsidRDefault="00380FD1" w:rsidP="00380F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июне 1929 г. из сборочного цеха завода № 22 вывели металлический истребитель-биплан И-4 (АНТ-5). Это был первый и единственный советский истребитель с гофрированной обшивкой. Заводская машина оказалась тяжелее построенного ЦАГИ опытного образца, да и создающая немалое аэродинамическое сопротивление </w:t>
      </w:r>
      <w:r w:rsidRPr="00441F34">
        <w:rPr>
          <w:rFonts w:ascii="Times New Roman" w:hAnsi="Times New Roman"/>
          <w:color w:val="0070C0"/>
          <w:sz w:val="16"/>
          <w:szCs w:val="16"/>
        </w:rPr>
        <w:lastRenderedPageBreak/>
        <w:t>гофрированная обшивка была не лучшим решением для истребителя, поэтому летные качества самолета оказались невысокими — максимальная скорость у земли составляла всего 231 км/ч. Тем не менее, решение о серии не отменили и 1929-1931 гг. в Филях изготовили 177 И-4 с импортными моторами «Гном-Рон» (480 л. с.). На последних серийных экземплярах устанавливали советский аналог «Гном-Рона» — М-22 (23472).</w:t>
      </w:r>
    </w:p>
    <w:p w14:paraId="0DB00E56" w14:textId="77777777" w:rsidR="00380FD1" w:rsidRPr="00441F34" w:rsidRDefault="00380FD1" w:rsidP="00380FD1">
      <w:pPr>
        <w:spacing w:after="0" w:line="240" w:lineRule="auto"/>
        <w:jc w:val="both"/>
        <w:rPr>
          <w:rFonts w:ascii="Times New Roman" w:hAnsi="Times New Roman"/>
          <w:color w:val="0070C0"/>
          <w:sz w:val="16"/>
          <w:szCs w:val="16"/>
        </w:rPr>
      </w:pPr>
    </w:p>
    <w:p w14:paraId="3622B7BC" w14:textId="77777777" w:rsidR="00380FD1" w:rsidRPr="00441F34" w:rsidRDefault="00380FD1" w:rsidP="00380F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июня 1929 г. завод №22 начал сдачу серийных машин И-4, но из-за многочис</w:t>
      </w:r>
      <w:r w:rsidRPr="00441F34">
        <w:rPr>
          <w:rFonts w:ascii="Times New Roman" w:hAnsi="Times New Roman"/>
          <w:color w:val="0070C0"/>
          <w:sz w:val="16"/>
          <w:szCs w:val="16"/>
        </w:rPr>
        <w:softHyphen/>
        <w:t xml:space="preserve">ленных дефектов к октябрю сданы были только два самолета. Все первые машины имели двигатели GR 9Ad и вооружались пулеметами </w:t>
      </w:r>
      <w:proofErr w:type="spellStart"/>
      <w:r w:rsidRPr="00441F34">
        <w:rPr>
          <w:rFonts w:ascii="Times New Roman" w:hAnsi="Times New Roman"/>
          <w:color w:val="0070C0"/>
          <w:sz w:val="16"/>
          <w:szCs w:val="16"/>
        </w:rPr>
        <w:t>Vickers</w:t>
      </w:r>
      <w:proofErr w:type="spellEnd"/>
      <w:r w:rsidRPr="00441F34">
        <w:rPr>
          <w:rFonts w:ascii="Times New Roman" w:hAnsi="Times New Roman"/>
          <w:color w:val="0070C0"/>
          <w:sz w:val="16"/>
          <w:szCs w:val="16"/>
        </w:rPr>
        <w:t xml:space="preserve"> образца 1924 г. Из-за отсутствия культуры производства (от</w:t>
      </w:r>
      <w:r w:rsidRPr="00441F34">
        <w:rPr>
          <w:rFonts w:ascii="Times New Roman" w:hAnsi="Times New Roman"/>
          <w:color w:val="0070C0"/>
          <w:sz w:val="16"/>
          <w:szCs w:val="16"/>
        </w:rPr>
        <w:softHyphen/>
        <w:t>ступления от допусков, технологии и т.п.) первые серийные истребители оказыва</w:t>
      </w:r>
      <w:r w:rsidRPr="00441F34">
        <w:rPr>
          <w:rFonts w:ascii="Times New Roman" w:hAnsi="Times New Roman"/>
          <w:color w:val="0070C0"/>
          <w:sz w:val="16"/>
          <w:szCs w:val="16"/>
        </w:rPr>
        <w:softHyphen/>
        <w:t>лись несколько перетяжеленными, и их характеристики были ниже, чем у дубле</w:t>
      </w:r>
      <w:r w:rsidRPr="00441F34">
        <w:rPr>
          <w:rFonts w:ascii="Times New Roman" w:hAnsi="Times New Roman"/>
          <w:color w:val="0070C0"/>
          <w:sz w:val="16"/>
          <w:szCs w:val="16"/>
        </w:rPr>
        <w:softHyphen/>
        <w:t>ра, но все же оставались на приемлемом уровне.</w:t>
      </w:r>
    </w:p>
    <w:p w14:paraId="6CEF6D81" w14:textId="77777777" w:rsidR="00380FD1" w:rsidRPr="00441F34" w:rsidRDefault="00380FD1" w:rsidP="00380F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Первые серийные машины имели ряд производственных недоделок, которые приходилось исправлять уже в частях ВВС. Помимо завода №22 серийное про</w:t>
      </w:r>
      <w:r w:rsidRPr="00441F34">
        <w:rPr>
          <w:rFonts w:ascii="Times New Roman" w:hAnsi="Times New Roman"/>
          <w:color w:val="0070C0"/>
          <w:sz w:val="16"/>
          <w:szCs w:val="16"/>
        </w:rPr>
        <w:softHyphen/>
        <w:t>изводство И—4 шло и на заводе № 1 (23474).</w:t>
      </w:r>
    </w:p>
    <w:p w14:paraId="3848CF45" w14:textId="77777777" w:rsidR="00380FD1" w:rsidRPr="00441F34" w:rsidRDefault="00380FD1" w:rsidP="00380FD1">
      <w:pPr>
        <w:spacing w:after="0" w:line="240" w:lineRule="auto"/>
        <w:jc w:val="both"/>
        <w:rPr>
          <w:rFonts w:ascii="Times New Roman" w:hAnsi="Times New Roman"/>
          <w:color w:val="0070C0"/>
          <w:sz w:val="16"/>
          <w:szCs w:val="16"/>
        </w:rPr>
      </w:pPr>
    </w:p>
    <w:p w14:paraId="160BFD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июне 1929 проект самолета НD.55 был вы</w:t>
      </w:r>
      <w:r w:rsidRPr="00A259BD">
        <w:rPr>
          <w:rFonts w:ascii="Times New Roman" w:hAnsi="Times New Roman"/>
          <w:color w:val="000000" w:themeColor="text1"/>
          <w:sz w:val="16"/>
          <w:szCs w:val="16"/>
        </w:rPr>
        <w:softHyphen/>
        <w:t>полнен в течение нескольких недель и выслан для рассмотрения в совет</w:t>
      </w:r>
      <w:r w:rsidRPr="00A259BD">
        <w:rPr>
          <w:rFonts w:ascii="Times New Roman" w:hAnsi="Times New Roman"/>
          <w:color w:val="000000" w:themeColor="text1"/>
          <w:sz w:val="16"/>
          <w:szCs w:val="16"/>
        </w:rPr>
        <w:softHyphen/>
        <w:t>ское полпредство в Берлине. Летаю</w:t>
      </w:r>
      <w:r w:rsidRPr="00A259BD">
        <w:rPr>
          <w:rFonts w:ascii="Times New Roman" w:hAnsi="Times New Roman"/>
          <w:color w:val="000000" w:themeColor="text1"/>
          <w:sz w:val="16"/>
          <w:szCs w:val="16"/>
        </w:rPr>
        <w:softHyphen/>
        <w:t>щая лодка НD.55 не являлась абсо</w:t>
      </w:r>
      <w:r w:rsidRPr="00A259BD">
        <w:rPr>
          <w:rFonts w:ascii="Times New Roman" w:hAnsi="Times New Roman"/>
          <w:color w:val="000000" w:themeColor="text1"/>
          <w:sz w:val="16"/>
          <w:szCs w:val="16"/>
        </w:rPr>
        <w:softHyphen/>
        <w:t>лютно новым типом: ее спроектиро</w:t>
      </w:r>
      <w:r w:rsidRPr="00A259BD">
        <w:rPr>
          <w:rFonts w:ascii="Times New Roman" w:hAnsi="Times New Roman"/>
          <w:color w:val="000000" w:themeColor="text1"/>
          <w:sz w:val="16"/>
          <w:szCs w:val="16"/>
        </w:rPr>
        <w:softHyphen/>
        <w:t>вали на основе лодочного биплана НD.15 - почтового самолета, постро</w:t>
      </w:r>
      <w:r w:rsidRPr="00A259BD">
        <w:rPr>
          <w:rFonts w:ascii="Times New Roman" w:hAnsi="Times New Roman"/>
          <w:color w:val="000000" w:themeColor="text1"/>
          <w:sz w:val="16"/>
          <w:szCs w:val="16"/>
        </w:rPr>
        <w:softHyphen/>
        <w:t>енного для обслуживания трансат</w:t>
      </w:r>
      <w:r w:rsidRPr="00A259BD">
        <w:rPr>
          <w:rFonts w:ascii="Times New Roman" w:hAnsi="Times New Roman"/>
          <w:color w:val="000000" w:themeColor="text1"/>
          <w:sz w:val="16"/>
          <w:szCs w:val="16"/>
        </w:rPr>
        <w:softHyphen/>
        <w:t>лантических линий. НD.55 представ</w:t>
      </w:r>
      <w:r w:rsidRPr="00A259BD">
        <w:rPr>
          <w:rFonts w:ascii="Times New Roman" w:hAnsi="Times New Roman"/>
          <w:color w:val="000000" w:themeColor="text1"/>
          <w:sz w:val="16"/>
          <w:szCs w:val="16"/>
        </w:rPr>
        <w:softHyphen/>
        <w:t>лял собой цельнодеревянный би</w:t>
      </w:r>
      <w:r w:rsidRPr="00A259BD">
        <w:rPr>
          <w:rFonts w:ascii="Times New Roman" w:hAnsi="Times New Roman"/>
          <w:color w:val="000000" w:themeColor="text1"/>
          <w:sz w:val="16"/>
          <w:szCs w:val="16"/>
        </w:rPr>
        <w:softHyphen/>
        <w:t>план, крылья и хвостовое оперение которого обтягивались полотном. Коробка крыльев могла складываться для более компактного хранения на кораб</w:t>
      </w:r>
      <w:r w:rsidRPr="00A259BD">
        <w:rPr>
          <w:rFonts w:ascii="Times New Roman" w:hAnsi="Times New Roman"/>
          <w:color w:val="000000" w:themeColor="text1"/>
          <w:sz w:val="16"/>
          <w:szCs w:val="16"/>
        </w:rPr>
        <w:softHyphen/>
        <w:t>ле. Силовая установка состояла из звездообразного двига</w:t>
      </w:r>
      <w:r w:rsidRPr="00A259BD">
        <w:rPr>
          <w:rFonts w:ascii="Times New Roman" w:hAnsi="Times New Roman"/>
          <w:color w:val="000000" w:themeColor="text1"/>
          <w:sz w:val="16"/>
          <w:szCs w:val="16"/>
        </w:rPr>
        <w:softHyphen/>
        <w:t>теля “Сименс” Sh.20 (лицензионный Бристоль “Юпитер” VI) с тянущим воздушным винтом. Экипаж два человека: пилот и кормовой стрелок. Вооружение первоначально не оговаривалась, предполагалось, что его установка со</w:t>
      </w:r>
      <w:r w:rsidRPr="00A259BD">
        <w:rPr>
          <w:rFonts w:ascii="Times New Roman" w:hAnsi="Times New Roman"/>
          <w:color w:val="000000" w:themeColor="text1"/>
          <w:sz w:val="16"/>
          <w:szCs w:val="16"/>
        </w:rPr>
        <w:softHyphen/>
        <w:t>стоится по прибытии самолета в Советский Союз (11107).</w:t>
      </w:r>
    </w:p>
    <w:p w14:paraId="64F9405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26DD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июне 1929 начались испытания Ш-1 </w:t>
      </w:r>
      <w:proofErr w:type="spellStart"/>
      <w:r w:rsidRPr="00A259BD">
        <w:rPr>
          <w:rFonts w:ascii="Times New Roman" w:hAnsi="Times New Roman"/>
          <w:color w:val="000000" w:themeColor="text1"/>
          <w:sz w:val="16"/>
          <w:szCs w:val="16"/>
        </w:rPr>
        <w:t>В.Б.Шаврова</w:t>
      </w:r>
      <w:proofErr w:type="spellEnd"/>
      <w:r w:rsidRPr="00A259BD">
        <w:rPr>
          <w:rFonts w:ascii="Times New Roman" w:hAnsi="Times New Roman"/>
          <w:color w:val="000000" w:themeColor="text1"/>
          <w:sz w:val="16"/>
          <w:szCs w:val="16"/>
        </w:rPr>
        <w:t xml:space="preserve"> (271,115).</w:t>
      </w:r>
    </w:p>
    <w:p w14:paraId="730EDC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3B03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июне 1929 22 завод предъявил второй головной ТБ-1 А.Н.Т. (2371).</w:t>
      </w:r>
    </w:p>
    <w:p w14:paraId="1F0D34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A6BD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июня 1929 на 22 заводе началась серия И-4 (АНТ-5) на 22 заводе, но к осени сдали только 2, перетяжеленных (4338,17).</w:t>
      </w:r>
    </w:p>
    <w:p w14:paraId="0FB61B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37EE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июне 1929 г. Р-3 с БМВ-6 пытались сдать представителям 16-й авиабригады, дислоцировавшейся в Средней Азии, но столкнулись с категорическим отказом. Машину отправили в ремонт на завод № 39. Дальнейшая ее судьба неизвестна (11985).</w:t>
      </w:r>
    </w:p>
    <w:p w14:paraId="74BC00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5D43D5" w14:textId="77777777" w:rsidR="000721C0" w:rsidRPr="00A259BD" w:rsidRDefault="000721C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июне 1929 г. на аэродроме имени М.В. Фрунзе в торжественной обстановке представителям Военно-воздушных сил были вручены два самолета: «Безбожник» (Р-1) и «Кооперированный кустарь» от Союза обществ безбожников (атеистов) и от ячейки Осоавиахима </w:t>
      </w:r>
      <w:proofErr w:type="spellStart"/>
      <w:r w:rsidRPr="00A259BD">
        <w:rPr>
          <w:rFonts w:ascii="Times New Roman" w:hAnsi="Times New Roman"/>
          <w:color w:val="000000" w:themeColor="text1"/>
          <w:sz w:val="16"/>
          <w:szCs w:val="16"/>
        </w:rPr>
        <w:t>Всекопромсоюза</w:t>
      </w:r>
      <w:proofErr w:type="spellEnd"/>
      <w:r w:rsidRPr="00A259BD">
        <w:rPr>
          <w:rFonts w:ascii="Times New Roman" w:hAnsi="Times New Roman"/>
          <w:color w:val="000000" w:themeColor="text1"/>
          <w:sz w:val="16"/>
          <w:szCs w:val="16"/>
        </w:rPr>
        <w:t xml:space="preserve"> (18518).</w:t>
      </w:r>
    </w:p>
    <w:p w14:paraId="74002069" w14:textId="77777777" w:rsidR="000721C0" w:rsidRPr="00A259BD" w:rsidRDefault="000721C0" w:rsidP="009236E3">
      <w:pPr>
        <w:spacing w:after="0" w:line="240" w:lineRule="auto"/>
        <w:jc w:val="both"/>
        <w:rPr>
          <w:rFonts w:ascii="Times New Roman" w:hAnsi="Times New Roman"/>
          <w:color w:val="000000" w:themeColor="text1"/>
          <w:sz w:val="16"/>
          <w:szCs w:val="16"/>
        </w:rPr>
      </w:pPr>
    </w:p>
    <w:p w14:paraId="43E85A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июне 1929 для крейсера Червона Украина хотели заказать итальянскую </w:t>
      </w:r>
      <w:proofErr w:type="spellStart"/>
      <w:r w:rsidRPr="00A259BD">
        <w:rPr>
          <w:rFonts w:ascii="Times New Roman" w:hAnsi="Times New Roman"/>
          <w:color w:val="000000" w:themeColor="text1"/>
          <w:sz w:val="16"/>
          <w:szCs w:val="16"/>
        </w:rPr>
        <w:t>лл</w:t>
      </w:r>
      <w:proofErr w:type="spellEnd"/>
      <w:r w:rsidRPr="00A259BD">
        <w:rPr>
          <w:rFonts w:ascii="Times New Roman" w:hAnsi="Times New Roman"/>
          <w:color w:val="000000" w:themeColor="text1"/>
          <w:sz w:val="16"/>
          <w:szCs w:val="16"/>
        </w:rPr>
        <w:t xml:space="preserve"> S.57bis, но отдали предпочтение Хейнкелю HD.55 (2446,40).</w:t>
      </w:r>
    </w:p>
    <w:p w14:paraId="43F216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5C5D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июне 1929 Одессу с дружественным визитом посетила итальянская эскадра и с ней были и гидросамолеты (2446,41).</w:t>
      </w:r>
    </w:p>
    <w:p w14:paraId="2787B7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8AFF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июне 1929 ЦАГИ получил от Добролета требования к пассажирской лодке на базе АНТ-8 (7610, 32).</w:t>
      </w:r>
    </w:p>
    <w:p w14:paraId="1B6C6C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9909C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июня 1929 г. вопросами создания сварных конст</w:t>
      </w:r>
      <w:r w:rsidRPr="00A259BD">
        <w:rPr>
          <w:rFonts w:ascii="Times New Roman" w:hAnsi="Times New Roman"/>
          <w:color w:val="000000" w:themeColor="text1"/>
          <w:sz w:val="16"/>
          <w:szCs w:val="16"/>
        </w:rPr>
        <w:softHyphen/>
        <w:t>рукций на заводе № 25 стала заниматься группа под ру</w:t>
      </w:r>
      <w:r w:rsidRPr="00A259BD">
        <w:rPr>
          <w:rFonts w:ascii="Times New Roman" w:hAnsi="Times New Roman"/>
          <w:color w:val="000000" w:themeColor="text1"/>
          <w:sz w:val="16"/>
          <w:szCs w:val="16"/>
        </w:rPr>
        <w:softHyphen/>
        <w:t xml:space="preserve">ководством немецкого инженера </w:t>
      </w:r>
      <w:proofErr w:type="spellStart"/>
      <w:r w:rsidRPr="00A259BD">
        <w:rPr>
          <w:rFonts w:ascii="Times New Roman" w:hAnsi="Times New Roman"/>
          <w:color w:val="000000" w:themeColor="text1"/>
          <w:sz w:val="16"/>
          <w:szCs w:val="16"/>
        </w:rPr>
        <w:t>Гоха</w:t>
      </w:r>
      <w:proofErr w:type="spellEnd"/>
      <w:r w:rsidRPr="00A259BD">
        <w:rPr>
          <w:rFonts w:ascii="Times New Roman" w:hAnsi="Times New Roman"/>
          <w:color w:val="000000" w:themeColor="text1"/>
          <w:sz w:val="16"/>
          <w:szCs w:val="16"/>
        </w:rPr>
        <w:t>. Он энергично взялся за дело, довольно ревностно оберегая при этом свои знания, секреты и методы работы. Большое недо</w:t>
      </w:r>
      <w:r w:rsidRPr="00A259BD">
        <w:rPr>
          <w:rFonts w:ascii="Times New Roman" w:hAnsi="Times New Roman"/>
          <w:color w:val="000000" w:themeColor="text1"/>
          <w:sz w:val="16"/>
          <w:szCs w:val="16"/>
        </w:rPr>
        <w:softHyphen/>
        <w:t xml:space="preserve">умение конструкторов и технологов завода, привыкших к иным порядкам, вызвал приказ </w:t>
      </w:r>
      <w:proofErr w:type="spellStart"/>
      <w:r w:rsidRPr="00A259BD">
        <w:rPr>
          <w:rFonts w:ascii="Times New Roman" w:hAnsi="Times New Roman"/>
          <w:color w:val="000000" w:themeColor="text1"/>
          <w:sz w:val="16"/>
          <w:szCs w:val="16"/>
        </w:rPr>
        <w:t>Гоха</w:t>
      </w:r>
      <w:proofErr w:type="spellEnd"/>
      <w:r w:rsidRPr="00A259BD">
        <w:rPr>
          <w:rFonts w:ascii="Times New Roman" w:hAnsi="Times New Roman"/>
          <w:color w:val="000000" w:themeColor="text1"/>
          <w:sz w:val="16"/>
          <w:szCs w:val="16"/>
        </w:rPr>
        <w:t xml:space="preserve"> запретить доступ в помещение группы всем другим специалистам, вклю</w:t>
      </w:r>
      <w:r w:rsidRPr="00A259BD">
        <w:rPr>
          <w:rFonts w:ascii="Times New Roman" w:hAnsi="Times New Roman"/>
          <w:color w:val="000000" w:themeColor="text1"/>
          <w:sz w:val="16"/>
          <w:szCs w:val="16"/>
        </w:rPr>
        <w:softHyphen/>
        <w:t xml:space="preserve">чая и </w:t>
      </w:r>
      <w:proofErr w:type="spellStart"/>
      <w:r w:rsidRPr="00A259BD">
        <w:rPr>
          <w:rFonts w:ascii="Times New Roman" w:hAnsi="Times New Roman"/>
          <w:color w:val="000000" w:themeColor="text1"/>
          <w:sz w:val="16"/>
          <w:szCs w:val="16"/>
        </w:rPr>
        <w:t>Н.Н.Поликарпова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Гох</w:t>
      </w:r>
      <w:proofErr w:type="spellEnd"/>
      <w:r w:rsidRPr="00A259BD">
        <w:rPr>
          <w:rFonts w:ascii="Times New Roman" w:hAnsi="Times New Roman"/>
          <w:color w:val="000000" w:themeColor="text1"/>
          <w:sz w:val="16"/>
          <w:szCs w:val="16"/>
        </w:rPr>
        <w:t>, находясь на одном пред</w:t>
      </w:r>
      <w:r w:rsidRPr="00A259BD">
        <w:rPr>
          <w:rFonts w:ascii="Times New Roman" w:hAnsi="Times New Roman"/>
          <w:color w:val="000000" w:themeColor="text1"/>
          <w:sz w:val="16"/>
          <w:szCs w:val="16"/>
        </w:rPr>
        <w:softHyphen/>
        <w:t xml:space="preserve">приятии с главным конструктором, предпочитал вести переписку с ним через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Деятельность немец</w:t>
      </w:r>
      <w:r w:rsidRPr="00A259BD">
        <w:rPr>
          <w:rFonts w:ascii="Times New Roman" w:hAnsi="Times New Roman"/>
          <w:color w:val="000000" w:themeColor="text1"/>
          <w:sz w:val="16"/>
          <w:szCs w:val="16"/>
        </w:rPr>
        <w:softHyphen/>
        <w:t>кого специалиста продолжалась до апреля 1930 г., когда он, сдав работу и получив немалые деньги, убыл в Гер</w:t>
      </w:r>
      <w:r w:rsidRPr="00A259BD">
        <w:rPr>
          <w:rFonts w:ascii="Times New Roman" w:hAnsi="Times New Roman"/>
          <w:color w:val="000000" w:themeColor="text1"/>
          <w:sz w:val="16"/>
          <w:szCs w:val="16"/>
        </w:rPr>
        <w:softHyphen/>
        <w:t xml:space="preserve">манию. При детальном рассмотрении проект </w:t>
      </w:r>
      <w:proofErr w:type="spellStart"/>
      <w:r w:rsidRPr="00A259BD">
        <w:rPr>
          <w:rFonts w:ascii="Times New Roman" w:hAnsi="Times New Roman"/>
          <w:color w:val="000000" w:themeColor="text1"/>
          <w:sz w:val="16"/>
          <w:szCs w:val="16"/>
        </w:rPr>
        <w:t>Гоха</w:t>
      </w:r>
      <w:proofErr w:type="spellEnd"/>
      <w:r w:rsidRPr="00A259BD">
        <w:rPr>
          <w:rFonts w:ascii="Times New Roman" w:hAnsi="Times New Roman"/>
          <w:color w:val="000000" w:themeColor="text1"/>
          <w:sz w:val="16"/>
          <w:szCs w:val="16"/>
        </w:rPr>
        <w:t xml:space="preserve"> был забракован как не соответствующий ни техническим требованиям, ни замыслу машины, и разработка свар</w:t>
      </w:r>
      <w:r w:rsidRPr="00A259BD">
        <w:rPr>
          <w:rFonts w:ascii="Times New Roman" w:hAnsi="Times New Roman"/>
          <w:color w:val="000000" w:themeColor="text1"/>
          <w:sz w:val="16"/>
          <w:szCs w:val="16"/>
        </w:rPr>
        <w:softHyphen/>
        <w:t>ной конструкции была начата заново отечественными инженерами (10667).</w:t>
      </w:r>
    </w:p>
    <w:p w14:paraId="2BDA75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D6A9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июня 1929 г. несколько Р-1 нашли применение в НИИ ГВФ и других исследовательских организациях ГВФ (№№ 2827, 2986, 3135 и др.). В 1931 г. самолеты НИИ ГВФ имели бортовые номера СССР-33 (№ 3454) и СССР 312 (№3688). Однако летная служба Р-1 в ГВФ была недолгой: с 1932 г. их начали списывать. Последние три машины использовались до 1934 г. в воздушных перевозках на линиях Украинского и Кавказского отделений Аэро</w:t>
      </w:r>
      <w:r w:rsidRPr="00A259BD">
        <w:rPr>
          <w:rFonts w:ascii="Times New Roman" w:hAnsi="Times New Roman"/>
          <w:color w:val="000000" w:themeColor="text1"/>
          <w:sz w:val="16"/>
          <w:szCs w:val="16"/>
        </w:rPr>
        <w:softHyphen/>
        <w:t>флота (10667).</w:t>
      </w:r>
    </w:p>
    <w:p w14:paraId="242C30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4A7EC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июне 1929 были подготовлены Сведения о выполнении заданий Отдела применения НИИ за май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1842"/>
        <w:gridCol w:w="3119"/>
        <w:gridCol w:w="2694"/>
      </w:tblGrid>
      <w:tr w:rsidR="00A259BD" w:rsidRPr="00A259BD" w14:paraId="257DDC7C" w14:textId="77777777">
        <w:tc>
          <w:tcPr>
            <w:tcW w:w="3369" w:type="dxa"/>
          </w:tcPr>
          <w:p w14:paraId="1AEE15B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Наименование задания</w:t>
            </w:r>
          </w:p>
        </w:tc>
        <w:tc>
          <w:tcPr>
            <w:tcW w:w="1842" w:type="dxa"/>
          </w:tcPr>
          <w:p w14:paraId="3AC5137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Когда дано задание</w:t>
            </w:r>
          </w:p>
        </w:tc>
        <w:tc>
          <w:tcPr>
            <w:tcW w:w="3119" w:type="dxa"/>
          </w:tcPr>
          <w:p w14:paraId="3589406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Срок выполнения</w:t>
            </w:r>
          </w:p>
        </w:tc>
        <w:tc>
          <w:tcPr>
            <w:tcW w:w="2694" w:type="dxa"/>
          </w:tcPr>
          <w:p w14:paraId="6D77BC4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каком состоянии находится задание </w:t>
            </w:r>
          </w:p>
        </w:tc>
      </w:tr>
      <w:tr w:rsidR="00A259BD" w:rsidRPr="00A259BD" w14:paraId="52E417D5" w14:textId="77777777">
        <w:tc>
          <w:tcPr>
            <w:tcW w:w="3369" w:type="dxa"/>
          </w:tcPr>
          <w:p w14:paraId="688056F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Р-V БМВ</w:t>
            </w:r>
          </w:p>
        </w:tc>
        <w:tc>
          <w:tcPr>
            <w:tcW w:w="1842" w:type="dxa"/>
          </w:tcPr>
          <w:p w14:paraId="1E960ED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7DC4FDC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4" w:type="dxa"/>
          </w:tcPr>
          <w:p w14:paraId="09490F7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не получен с завода</w:t>
            </w:r>
          </w:p>
        </w:tc>
      </w:tr>
      <w:tr w:rsidR="00A259BD" w:rsidRPr="00A259BD" w14:paraId="3F1CF4CB" w14:textId="77777777">
        <w:tc>
          <w:tcPr>
            <w:tcW w:w="3369" w:type="dxa"/>
          </w:tcPr>
          <w:p w14:paraId="1373360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И-3</w:t>
            </w:r>
          </w:p>
        </w:tc>
        <w:tc>
          <w:tcPr>
            <w:tcW w:w="1842" w:type="dxa"/>
          </w:tcPr>
          <w:p w14:paraId="45EC506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15D48F0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4" w:type="dxa"/>
          </w:tcPr>
          <w:p w14:paraId="167FC7B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w:t>
            </w:r>
          </w:p>
        </w:tc>
      </w:tr>
      <w:tr w:rsidR="00A259BD" w:rsidRPr="00A259BD" w14:paraId="4FB7BE5D" w14:textId="77777777">
        <w:tc>
          <w:tcPr>
            <w:tcW w:w="3369" w:type="dxa"/>
          </w:tcPr>
          <w:p w14:paraId="54E7F69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Авиа “ВН-33”</w:t>
            </w:r>
          </w:p>
        </w:tc>
        <w:tc>
          <w:tcPr>
            <w:tcW w:w="1842" w:type="dxa"/>
          </w:tcPr>
          <w:p w14:paraId="61ED1AA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6024AA9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процессе испытания</w:t>
            </w:r>
          </w:p>
        </w:tc>
        <w:tc>
          <w:tcPr>
            <w:tcW w:w="2694" w:type="dxa"/>
          </w:tcPr>
          <w:p w14:paraId="79B27EC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w:t>
            </w:r>
          </w:p>
        </w:tc>
      </w:tr>
      <w:tr w:rsidR="00A259BD" w:rsidRPr="00A259BD" w14:paraId="5C0724E1" w14:textId="77777777">
        <w:tc>
          <w:tcPr>
            <w:tcW w:w="3369" w:type="dxa"/>
          </w:tcPr>
          <w:p w14:paraId="570ED6A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Испытание самолета БРЕГЕ 19 В-2 </w:t>
            </w:r>
            <w:proofErr w:type="spellStart"/>
            <w:r w:rsidRPr="00A259BD">
              <w:rPr>
                <w:rFonts w:ascii="Times New Roman" w:hAnsi="Times New Roman"/>
                <w:color w:val="000000" w:themeColor="text1"/>
                <w:sz w:val="16"/>
                <w:szCs w:val="16"/>
              </w:rPr>
              <w:t>Лоррен</w:t>
            </w:r>
            <w:proofErr w:type="spellEnd"/>
            <w:r w:rsidRPr="00A259BD">
              <w:rPr>
                <w:rFonts w:ascii="Times New Roman" w:hAnsi="Times New Roman"/>
                <w:color w:val="000000" w:themeColor="text1"/>
                <w:sz w:val="16"/>
                <w:szCs w:val="16"/>
              </w:rPr>
              <w:t xml:space="preserve"> Дитрих</w:t>
            </w:r>
          </w:p>
        </w:tc>
        <w:tc>
          <w:tcPr>
            <w:tcW w:w="1842" w:type="dxa"/>
          </w:tcPr>
          <w:p w14:paraId="6F4E32A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25F9933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не начато</w:t>
            </w:r>
          </w:p>
        </w:tc>
        <w:tc>
          <w:tcPr>
            <w:tcW w:w="2694" w:type="dxa"/>
          </w:tcPr>
          <w:p w14:paraId="7291BCD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28C3961" w14:textId="77777777">
        <w:tc>
          <w:tcPr>
            <w:tcW w:w="3369" w:type="dxa"/>
          </w:tcPr>
          <w:p w14:paraId="191EA76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БРЕГЕ 19 В-2 Испано-</w:t>
            </w:r>
            <w:proofErr w:type="spellStart"/>
            <w:r w:rsidRPr="00A259BD">
              <w:rPr>
                <w:rFonts w:ascii="Times New Roman" w:hAnsi="Times New Roman"/>
                <w:color w:val="000000" w:themeColor="text1"/>
                <w:sz w:val="16"/>
                <w:szCs w:val="16"/>
              </w:rPr>
              <w:t>Сюиза</w:t>
            </w:r>
            <w:proofErr w:type="spellEnd"/>
          </w:p>
        </w:tc>
        <w:tc>
          <w:tcPr>
            <w:tcW w:w="1842" w:type="dxa"/>
          </w:tcPr>
          <w:p w14:paraId="4807ED5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7328BF7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процессе испытания</w:t>
            </w:r>
          </w:p>
        </w:tc>
        <w:tc>
          <w:tcPr>
            <w:tcW w:w="2694" w:type="dxa"/>
          </w:tcPr>
          <w:p w14:paraId="7D459C5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w:t>
            </w:r>
          </w:p>
        </w:tc>
      </w:tr>
      <w:tr w:rsidR="00A259BD" w:rsidRPr="00A259BD" w14:paraId="0E02206C" w14:textId="77777777">
        <w:tc>
          <w:tcPr>
            <w:tcW w:w="3369" w:type="dxa"/>
          </w:tcPr>
          <w:p w14:paraId="088234D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Р-1 № 3454 на 2 потолка:</w:t>
            </w:r>
          </w:p>
          <w:p w14:paraId="0632575B"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rPr>
              <w:tab/>
              <w:t>на лыжах</w:t>
            </w:r>
          </w:p>
          <w:p w14:paraId="544DEE76"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rPr>
              <w:tab/>
              <w:t>на колесах</w:t>
            </w:r>
          </w:p>
        </w:tc>
        <w:tc>
          <w:tcPr>
            <w:tcW w:w="1842" w:type="dxa"/>
          </w:tcPr>
          <w:p w14:paraId="4CC20BB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4B4960E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4" w:type="dxa"/>
          </w:tcPr>
          <w:p w14:paraId="591822F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D785560" w14:textId="77777777">
        <w:tc>
          <w:tcPr>
            <w:tcW w:w="3369" w:type="dxa"/>
          </w:tcPr>
          <w:p w14:paraId="02A275A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П-2 М-6</w:t>
            </w:r>
          </w:p>
        </w:tc>
        <w:tc>
          <w:tcPr>
            <w:tcW w:w="1842" w:type="dxa"/>
          </w:tcPr>
          <w:p w14:paraId="2D89284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01DB92C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Выполнено</w:t>
            </w:r>
          </w:p>
        </w:tc>
        <w:tc>
          <w:tcPr>
            <w:tcW w:w="2694" w:type="dxa"/>
          </w:tcPr>
          <w:p w14:paraId="5F9B8CE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r>
    </w:tbl>
    <w:p w14:paraId="3C70393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(6953, 36-38).</w:t>
      </w:r>
    </w:p>
    <w:p w14:paraId="384FB7D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7F3D2C" w14:textId="77777777" w:rsidR="00070DCF" w:rsidRPr="00A259BD" w:rsidRDefault="00070DCF" w:rsidP="009236E3">
      <w:pPr>
        <w:spacing w:after="0" w:line="240" w:lineRule="auto"/>
        <w:jc w:val="both"/>
        <w:rPr>
          <w:rFonts w:ascii="Times New Roman" w:hAnsi="Times New Roman"/>
          <w:color w:val="000000" w:themeColor="text1"/>
          <w:sz w:val="16"/>
          <w:szCs w:val="16"/>
        </w:rPr>
      </w:pPr>
      <w:bookmarkStart w:id="59" w:name="_Hlk91317326"/>
      <w:r w:rsidRPr="00A259BD">
        <w:rPr>
          <w:rFonts w:ascii="Times New Roman" w:hAnsi="Times New Roman"/>
          <w:color w:val="000000" w:themeColor="text1"/>
          <w:sz w:val="16"/>
          <w:szCs w:val="16"/>
        </w:rPr>
        <w:t xml:space="preserve">В июне 1929 года в ЭРО НИИ ВВС была разработана «Инструкция к устройству жестко закрепленной антенны типа «Э.Р.О –W» на самолете ФДXI». W-образная антенна общей длиной около 8,9 метра из обычного витого или плетеного антенного канатика диаметром 1,5 или 2,0 мм в своей средней точке крепилась к задней кроме верхнего центроплана с помощью кронштейна из фанеры и проходного эбонитового изолятора. Передние веревочные растяжки с изолятором крепились на </w:t>
      </w:r>
      <w:proofErr w:type="spellStart"/>
      <w:r w:rsidRPr="00A259BD">
        <w:rPr>
          <w:rFonts w:ascii="Times New Roman" w:hAnsi="Times New Roman"/>
          <w:color w:val="000000" w:themeColor="text1"/>
          <w:sz w:val="16"/>
          <w:szCs w:val="16"/>
        </w:rPr>
        <w:t>законцовках</w:t>
      </w:r>
      <w:proofErr w:type="spellEnd"/>
      <w:r w:rsidRPr="00A259BD">
        <w:rPr>
          <w:rFonts w:ascii="Times New Roman" w:hAnsi="Times New Roman"/>
          <w:color w:val="000000" w:themeColor="text1"/>
          <w:sz w:val="16"/>
          <w:szCs w:val="16"/>
        </w:rPr>
        <w:t xml:space="preserve"> нижней поверхности верхнего крыла, задние, помимо изоляторов оснащенные резиновыми амортизаторами длиной 65 см и диаметром 10-12 мм – на подкосах стабилизатора. Для быстрой установки и демонтажа антенны, на концах растяжек имелись </w:t>
      </w:r>
      <w:proofErr w:type="spellStart"/>
      <w:r w:rsidRPr="00A259BD">
        <w:rPr>
          <w:rFonts w:ascii="Times New Roman" w:hAnsi="Times New Roman"/>
          <w:color w:val="000000" w:themeColor="text1"/>
          <w:sz w:val="16"/>
          <w:szCs w:val="16"/>
        </w:rPr>
        <w:t>карабинчики</w:t>
      </w:r>
      <w:proofErr w:type="spellEnd"/>
      <w:r w:rsidRPr="00A259BD">
        <w:rPr>
          <w:rFonts w:ascii="Times New Roman" w:hAnsi="Times New Roman"/>
          <w:color w:val="000000" w:themeColor="text1"/>
          <w:sz w:val="16"/>
          <w:szCs w:val="16"/>
        </w:rPr>
        <w:t>. Для контроля работы радиостанции предназначался амперметр, крепившийся на кронштейне с проходным изолятором средней точки антенны непосредственно перед пилотом. Сила тока в антенне при рабочей волне в 90 метров составляла от 0,75 до 0,90 ампер. Главный приходной эбонитовый изолятор укрепляется в верхней части фюзеляжа между стволами пулеметов над отсеком, где устанавливалась сама радиостанция. Устройство противовеса на нижнем крыле не требовалось. В ходе испытаний при данном типе антенны в ЭРО НИИ ВВС дальность двухсторонней связи между двумя самолетами ФДXI оборудованными рациями АД5/12 при параллельном полете составляла до 10-12 километров, при менее благоприятных положениях самолетов относительно друг друга он сокращалась до 5-6 км. Рекомендовалось работать на волнах не свыше 100 метров. В направлении хвоста самолета наблюдалась мертвая зона (23030).</w:t>
      </w:r>
    </w:p>
    <w:p w14:paraId="595A882A" w14:textId="77777777" w:rsidR="00070DCF" w:rsidRPr="00A259BD" w:rsidRDefault="00070DCF" w:rsidP="009236E3">
      <w:pPr>
        <w:spacing w:after="0" w:line="240" w:lineRule="auto"/>
        <w:jc w:val="both"/>
        <w:rPr>
          <w:rFonts w:ascii="Times New Roman" w:hAnsi="Times New Roman"/>
          <w:color w:val="000000" w:themeColor="text1"/>
          <w:sz w:val="16"/>
          <w:szCs w:val="16"/>
        </w:rPr>
      </w:pPr>
    </w:p>
    <w:bookmarkEnd w:id="59"/>
    <w:p w14:paraId="654C8A2C" w14:textId="77777777" w:rsidR="00107F31" w:rsidRPr="00A259BD" w:rsidRDefault="00107F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июне 1929 года производство </w:t>
      </w:r>
      <w:proofErr w:type="spellStart"/>
      <w:r w:rsidRPr="00A259BD">
        <w:rPr>
          <w:rFonts w:ascii="Times New Roman" w:hAnsi="Times New Roman"/>
          <w:color w:val="000000" w:themeColor="text1"/>
          <w:sz w:val="16"/>
          <w:szCs w:val="16"/>
        </w:rPr>
        <w:t>гофролиста</w:t>
      </w:r>
      <w:proofErr w:type="spellEnd"/>
      <w:r w:rsidRPr="00A259BD">
        <w:rPr>
          <w:rFonts w:ascii="Times New Roman" w:hAnsi="Times New Roman"/>
          <w:color w:val="000000" w:themeColor="text1"/>
          <w:sz w:val="16"/>
          <w:szCs w:val="16"/>
        </w:rPr>
        <w:t xml:space="preserve"> освоили в мастерских склада № 17 ВВС Балтфлота, но делали его в полукустарных условиях и немного — только на заплатки. Лишь подняв общий уровень отечественной промышленности, удалось не только в полной мере наладить ремонт ЮГ-1, но и фактически строить их (о чем речь пойдет ниже) (15479).</w:t>
      </w:r>
    </w:p>
    <w:p w14:paraId="445D965F" w14:textId="77777777" w:rsidR="00107F31" w:rsidRPr="00A259BD" w:rsidRDefault="00107F31" w:rsidP="009236E3">
      <w:pPr>
        <w:spacing w:after="0" w:line="240" w:lineRule="auto"/>
        <w:jc w:val="both"/>
        <w:rPr>
          <w:rFonts w:ascii="Times New Roman" w:hAnsi="Times New Roman"/>
          <w:color w:val="000000" w:themeColor="text1"/>
          <w:sz w:val="16"/>
          <w:szCs w:val="16"/>
        </w:rPr>
      </w:pPr>
    </w:p>
    <w:p w14:paraId="555E92E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83774D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2899D9D" w14:textId="77777777" w:rsidR="00E5267B" w:rsidRPr="00A259BD" w:rsidRDefault="00E5267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июне </w:t>
      </w:r>
      <w:r w:rsidRPr="00A259BD">
        <w:rPr>
          <w:rStyle w:val="highlight"/>
          <w:rFonts w:ascii="Times New Roman" w:hAnsi="Times New Roman"/>
          <w:color w:val="000000" w:themeColor="text1"/>
          <w:sz w:val="16"/>
          <w:szCs w:val="16"/>
        </w:rPr>
        <w:t> 1929 </w:t>
      </w:r>
      <w:r w:rsidRPr="00A259BD">
        <w:rPr>
          <w:rFonts w:ascii="Times New Roman" w:hAnsi="Times New Roman"/>
          <w:color w:val="000000" w:themeColor="text1"/>
          <w:sz w:val="16"/>
          <w:szCs w:val="16"/>
        </w:rPr>
        <w:t xml:space="preserve">-го между Круппом и СССР, который представляло ГОМЗ (Государственное объединение машиностроительных </w:t>
      </w:r>
      <w:r w:rsidRPr="00A259BD">
        <w:rPr>
          <w:rStyle w:val="highlight"/>
          <w:rFonts w:ascii="Times New Roman" w:hAnsi="Times New Roman"/>
          <w:color w:val="000000" w:themeColor="text1"/>
          <w:sz w:val="16"/>
          <w:szCs w:val="16"/>
        </w:rPr>
        <w:t> заводов </w:t>
      </w:r>
      <w:r w:rsidRPr="00A259BD">
        <w:rPr>
          <w:rFonts w:ascii="Times New Roman" w:hAnsi="Times New Roman"/>
          <w:color w:val="000000" w:themeColor="text1"/>
          <w:sz w:val="16"/>
          <w:szCs w:val="16"/>
        </w:rPr>
        <w:t xml:space="preserve">) был подписан договор о технической помощи. По нему фирме «Крупп» должны были выплатить 1,15 миллиона американских долларов, частями, до 1939 года. Крупп же обязывался присылать своих специалистов на заводы ГОМЗ для консультаций и технической поддержки, а также давать советским инженерно-техническим работникам подробные наставления на своих заводах и в лабораториях по производству специальных марок стали. Производство стали было одной из главных составляющих </w:t>
      </w:r>
      <w:r w:rsidRPr="00A259BD">
        <w:rPr>
          <w:rFonts w:ascii="Times New Roman" w:hAnsi="Times New Roman"/>
          <w:color w:val="000000" w:themeColor="text1"/>
          <w:sz w:val="16"/>
          <w:szCs w:val="16"/>
        </w:rPr>
        <w:lastRenderedPageBreak/>
        <w:t xml:space="preserve">военной промышленности. Разворачивая в конце 1920-х военное производство, СССР столкнулся с проблемой получения высококачественных сталей. Металлурги страны к этому времени освоили производство более 100 марок легированных сталей, количество металлургических заводов увеличилось в шесть раз, но в то же время около 4 миллионов тонн стали было закуплено за рубежом. Советское руководство тяжелой промышленностью выбрало ленинградский завод «Большевик» как основную базу, где будут изучаться </w:t>
      </w:r>
      <w:proofErr w:type="spellStart"/>
      <w:r w:rsidRPr="00A259BD">
        <w:rPr>
          <w:rFonts w:ascii="Times New Roman" w:hAnsi="Times New Roman"/>
          <w:color w:val="000000" w:themeColor="text1"/>
          <w:sz w:val="16"/>
          <w:szCs w:val="16"/>
        </w:rPr>
        <w:t>крупповские</w:t>
      </w:r>
      <w:proofErr w:type="spellEnd"/>
      <w:r w:rsidRPr="00A259BD">
        <w:rPr>
          <w:rFonts w:ascii="Times New Roman" w:hAnsi="Times New Roman"/>
          <w:color w:val="000000" w:themeColor="text1"/>
          <w:sz w:val="16"/>
          <w:szCs w:val="16"/>
        </w:rPr>
        <w:t xml:space="preserve"> методы в сталелитейном производстве. В первый год завод должен был принять двенадцать немецких специалистов  (17225).</w:t>
      </w:r>
    </w:p>
    <w:p w14:paraId="24707D82" w14:textId="77777777" w:rsidR="00E5267B" w:rsidRPr="00A259BD" w:rsidRDefault="00E5267B" w:rsidP="009236E3">
      <w:pPr>
        <w:spacing w:after="0" w:line="240" w:lineRule="auto"/>
        <w:jc w:val="both"/>
        <w:rPr>
          <w:rFonts w:ascii="Times New Roman" w:hAnsi="Times New Roman"/>
          <w:color w:val="000000" w:themeColor="text1"/>
          <w:sz w:val="16"/>
          <w:szCs w:val="16"/>
        </w:rPr>
      </w:pPr>
    </w:p>
    <w:p w14:paraId="0A8BA6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июне 1929 ГКБ ОАТ под руководством </w:t>
      </w:r>
      <w:proofErr w:type="spellStart"/>
      <w:r w:rsidRPr="00A259BD">
        <w:rPr>
          <w:rFonts w:ascii="Times New Roman" w:hAnsi="Times New Roman"/>
          <w:color w:val="000000" w:themeColor="text1"/>
          <w:sz w:val="16"/>
          <w:szCs w:val="16"/>
        </w:rPr>
        <w:t>Г.С.Прахье</w:t>
      </w:r>
      <w:proofErr w:type="spellEnd"/>
      <w:r w:rsidRPr="00A259BD">
        <w:rPr>
          <w:rFonts w:ascii="Times New Roman" w:hAnsi="Times New Roman"/>
          <w:color w:val="000000" w:themeColor="text1"/>
          <w:sz w:val="16"/>
          <w:szCs w:val="16"/>
        </w:rPr>
        <w:t xml:space="preserve"> на заводе Большевик был разработан танк Т-19 для замены МС-1 (9527,86).</w:t>
      </w:r>
    </w:p>
    <w:p w14:paraId="2A754C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16CBFD" w14:textId="77777777" w:rsidR="000721C0" w:rsidRPr="00A259BD" w:rsidRDefault="000721C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shd w:val="clear" w:color="auto" w:fill="FFFFFF"/>
        </w:rPr>
        <w:t>В июне 1929-го между Круппом и СССР, который представляло ГОМЗ (Государственное объединение машиностроительных заводов) был подписан договор о технической помощи. </w:t>
      </w:r>
      <w:r w:rsidRPr="00A259BD">
        <w:rPr>
          <w:rFonts w:ascii="Times New Roman" w:hAnsi="Times New Roman"/>
          <w:bCs/>
          <w:iCs/>
          <w:color w:val="000000" w:themeColor="text1"/>
          <w:sz w:val="16"/>
          <w:szCs w:val="16"/>
          <w:shd w:val="clear" w:color="auto" w:fill="FFFFFF"/>
        </w:rPr>
        <w:t>По нему фирме «Крупп» должны были выплатить 1,15 миллиона американских долларов, частями, до 1939 года.</w:t>
      </w:r>
    </w:p>
    <w:p w14:paraId="129C9975" w14:textId="77777777" w:rsidR="000721C0" w:rsidRPr="00A259BD" w:rsidRDefault="000721C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shd w:val="clear" w:color="auto" w:fill="FFFFFF"/>
        </w:rPr>
        <w:t>Крупп же обязывался присылать своих специалистов на заводы ГОМЗ для консультаций и технической поддержки, а также давать советским инженерно-техническим работникам подробные наставления на своих заводах и в лабораториях по производству специальных марок стали.</w:t>
      </w:r>
    </w:p>
    <w:p w14:paraId="1CB7CA63" w14:textId="77777777" w:rsidR="000721C0" w:rsidRPr="00A259BD" w:rsidRDefault="000721C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shd w:val="clear" w:color="auto" w:fill="FFFFFF"/>
        </w:rPr>
        <w:t xml:space="preserve">Советское руководство тяжелой промышленностью выбрало ленинградский завод «Большевик» как основную базу, где будут изучаться </w:t>
      </w:r>
      <w:proofErr w:type="spellStart"/>
      <w:r w:rsidRPr="00A259BD">
        <w:rPr>
          <w:rFonts w:ascii="Times New Roman" w:hAnsi="Times New Roman"/>
          <w:color w:val="000000" w:themeColor="text1"/>
          <w:sz w:val="16"/>
          <w:szCs w:val="16"/>
          <w:shd w:val="clear" w:color="auto" w:fill="FFFFFF"/>
        </w:rPr>
        <w:t>крупповские</w:t>
      </w:r>
      <w:proofErr w:type="spellEnd"/>
      <w:r w:rsidRPr="00A259BD">
        <w:rPr>
          <w:rFonts w:ascii="Times New Roman" w:hAnsi="Times New Roman"/>
          <w:color w:val="000000" w:themeColor="text1"/>
          <w:sz w:val="16"/>
          <w:szCs w:val="16"/>
          <w:shd w:val="clear" w:color="auto" w:fill="FFFFFF"/>
        </w:rPr>
        <w:t xml:space="preserve"> методы в сталелитейном производстве. В первый год завод должен был принять двенадцать немецких специалистов. Стоит отметить, в каких условиях находился завод в то время. </w:t>
      </w:r>
      <w:r w:rsidRPr="00A259BD">
        <w:rPr>
          <w:rFonts w:ascii="Times New Roman" w:hAnsi="Times New Roman"/>
          <w:bCs/>
          <w:iCs/>
          <w:color w:val="000000" w:themeColor="text1"/>
          <w:sz w:val="16"/>
          <w:szCs w:val="16"/>
          <w:shd w:val="clear" w:color="auto" w:fill="FFFFFF"/>
        </w:rPr>
        <w:t>Известный конструктор двигателей Микулин, прибыв сюда в 1927 году для контроля производства танковых моторов, был поражен тем, что рабочие могут делать такие сложные вещи, не имея порой даже простых измерительных приборов (18976).</w:t>
      </w:r>
    </w:p>
    <w:p w14:paraId="51DC0A3C" w14:textId="77777777" w:rsidR="000721C0" w:rsidRPr="00A259BD" w:rsidRDefault="000721C0" w:rsidP="009236E3">
      <w:pPr>
        <w:spacing w:after="0" w:line="240" w:lineRule="auto"/>
        <w:jc w:val="both"/>
        <w:rPr>
          <w:rFonts w:ascii="Times New Roman" w:hAnsi="Times New Roman"/>
          <w:color w:val="000000" w:themeColor="text1"/>
          <w:sz w:val="16"/>
          <w:szCs w:val="16"/>
        </w:rPr>
      </w:pPr>
    </w:p>
    <w:p w14:paraId="01818A93" w14:textId="77777777" w:rsidR="000721C0" w:rsidRPr="00A259BD" w:rsidRDefault="000721C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июне 1929 г. новый договор был заключен с французской фирмой «</w:t>
      </w:r>
      <w:proofErr w:type="spellStart"/>
      <w:r w:rsidRPr="00A259BD">
        <w:rPr>
          <w:rFonts w:ascii="Times New Roman" w:hAnsi="Times New Roman"/>
          <w:color w:val="000000" w:themeColor="text1"/>
          <w:sz w:val="16"/>
          <w:szCs w:val="16"/>
        </w:rPr>
        <w:t>Тесафи</w:t>
      </w:r>
      <w:proofErr w:type="spellEnd"/>
      <w:r w:rsidRPr="00A259BD">
        <w:rPr>
          <w:rFonts w:ascii="Times New Roman" w:hAnsi="Times New Roman"/>
          <w:color w:val="000000" w:themeColor="text1"/>
          <w:sz w:val="16"/>
          <w:szCs w:val="16"/>
        </w:rPr>
        <w:t xml:space="preserve">» (бывшей Французской генеральной радиотелеграфной компанией) это не был полноценный договор о технической помощи. Он предусматривал обмен технической документацией по новейшим радиоустановкам, обмен патентами и правами использования их, а также предоставлял сторонам право </w:t>
      </w:r>
      <w:proofErr w:type="spellStart"/>
      <w:r w:rsidRPr="00A259BD">
        <w:rPr>
          <w:rFonts w:ascii="Times New Roman" w:hAnsi="Times New Roman"/>
          <w:color w:val="000000" w:themeColor="text1"/>
          <w:sz w:val="16"/>
          <w:szCs w:val="16"/>
        </w:rPr>
        <w:t>команди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ровать</w:t>
      </w:r>
      <w:proofErr w:type="spellEnd"/>
      <w:r w:rsidRPr="00A259BD">
        <w:rPr>
          <w:rFonts w:ascii="Times New Roman" w:hAnsi="Times New Roman"/>
          <w:color w:val="000000" w:themeColor="text1"/>
          <w:sz w:val="16"/>
          <w:szCs w:val="16"/>
        </w:rPr>
        <w:t xml:space="preserve"> небольшое число своих специалистов на предприятия и в лаборатории партнеров. В результате от «</w:t>
      </w:r>
      <w:proofErr w:type="spellStart"/>
      <w:r w:rsidRPr="00A259BD">
        <w:rPr>
          <w:rFonts w:ascii="Times New Roman" w:hAnsi="Times New Roman"/>
          <w:color w:val="000000" w:themeColor="text1"/>
          <w:sz w:val="16"/>
          <w:szCs w:val="16"/>
        </w:rPr>
        <w:t>Тесафи</w:t>
      </w:r>
      <w:proofErr w:type="spellEnd"/>
      <w:r w:rsidRPr="00A259BD">
        <w:rPr>
          <w:rFonts w:ascii="Times New Roman" w:hAnsi="Times New Roman"/>
          <w:color w:val="000000" w:themeColor="text1"/>
          <w:sz w:val="16"/>
          <w:szCs w:val="16"/>
        </w:rPr>
        <w:t xml:space="preserve">» было получено большое количество материалов, хотя и содержащих в значительной степени всего лишь идеи новых разработок, тем не менее позволившие отечественной промышленности по некоторым направлениям радиотехники добиться большого и стремительного прогресса. Большую пользу принесли и командировки советских специалистов во Францию. Так, С.А. </w:t>
      </w:r>
      <w:proofErr w:type="spellStart"/>
      <w:r w:rsidRPr="00A259BD">
        <w:rPr>
          <w:rFonts w:ascii="Times New Roman" w:hAnsi="Times New Roman"/>
          <w:color w:val="000000" w:themeColor="text1"/>
          <w:sz w:val="16"/>
          <w:szCs w:val="16"/>
        </w:rPr>
        <w:t>Векшинскому</w:t>
      </w:r>
      <w:proofErr w:type="spellEnd"/>
      <w:r w:rsidRPr="00A259BD">
        <w:rPr>
          <w:rFonts w:ascii="Times New Roman" w:hAnsi="Times New Roman"/>
          <w:color w:val="000000" w:themeColor="text1"/>
          <w:sz w:val="16"/>
          <w:szCs w:val="16"/>
        </w:rPr>
        <w:t xml:space="preserve"> удалось изучить на предприятиях фирмы технологию производства усилительных ламп с бариевым катодом и внедрить ее на заводе «Светлана». Известная фирма «Филиппс» за информацию подобного рода требовала от советской стороны около 1 млн. долларов (18297).</w:t>
      </w:r>
    </w:p>
    <w:p w14:paraId="61ADD6A8" w14:textId="77777777" w:rsidR="000721C0" w:rsidRPr="00A259BD" w:rsidRDefault="000721C0" w:rsidP="009236E3">
      <w:pPr>
        <w:spacing w:after="0" w:line="240" w:lineRule="auto"/>
        <w:jc w:val="both"/>
        <w:rPr>
          <w:rFonts w:ascii="Times New Roman" w:hAnsi="Times New Roman"/>
          <w:color w:val="000000" w:themeColor="text1"/>
          <w:sz w:val="16"/>
          <w:szCs w:val="16"/>
        </w:rPr>
      </w:pPr>
    </w:p>
    <w:p w14:paraId="6510E025" w14:textId="77777777" w:rsidR="00CD77B7" w:rsidRPr="00A259BD" w:rsidRDefault="00CD77B7" w:rsidP="009236E3">
      <w:pPr>
        <w:spacing w:after="0" w:line="240" w:lineRule="auto"/>
        <w:jc w:val="both"/>
        <w:rPr>
          <w:rFonts w:ascii="Times New Roman" w:eastAsia="TimesNewRoman" w:hAnsi="Times New Roman"/>
          <w:color w:val="000000" w:themeColor="text1"/>
          <w:sz w:val="16"/>
          <w:szCs w:val="16"/>
        </w:rPr>
      </w:pPr>
      <w:r w:rsidRPr="00A259BD">
        <w:rPr>
          <w:rFonts w:ascii="Times New Roman" w:eastAsia="TimesNewRoman" w:hAnsi="Times New Roman"/>
          <w:color w:val="000000" w:themeColor="text1"/>
          <w:sz w:val="16"/>
          <w:szCs w:val="16"/>
        </w:rPr>
        <w:t>В июне 1929 г. ЭТЗСТ должен был заключить с «</w:t>
      </w:r>
      <w:proofErr w:type="spellStart"/>
      <w:r w:rsidRPr="00A259BD">
        <w:rPr>
          <w:rFonts w:ascii="Times New Roman" w:eastAsia="TimesNewRoman" w:hAnsi="Times New Roman"/>
          <w:color w:val="000000" w:themeColor="text1"/>
          <w:sz w:val="16"/>
          <w:szCs w:val="16"/>
        </w:rPr>
        <w:t>Тесафи</w:t>
      </w:r>
      <w:proofErr w:type="spellEnd"/>
      <w:r w:rsidRPr="00A259BD">
        <w:rPr>
          <w:rFonts w:ascii="Times New Roman" w:eastAsia="TimesNewRoman" w:hAnsi="Times New Roman"/>
          <w:color w:val="000000" w:themeColor="text1"/>
          <w:sz w:val="16"/>
          <w:szCs w:val="16"/>
        </w:rPr>
        <w:t>» новый договор. Как и в случае с «</w:t>
      </w:r>
      <w:proofErr w:type="spellStart"/>
      <w:r w:rsidRPr="00A259BD">
        <w:rPr>
          <w:rFonts w:ascii="Times New Roman" w:eastAsia="TimesNewRoman" w:hAnsi="Times New Roman"/>
          <w:color w:val="000000" w:themeColor="text1"/>
          <w:sz w:val="16"/>
          <w:szCs w:val="16"/>
        </w:rPr>
        <w:t>Радиокорпорейшен</w:t>
      </w:r>
      <w:proofErr w:type="spellEnd"/>
      <w:r w:rsidRPr="00A259BD">
        <w:rPr>
          <w:rFonts w:ascii="Times New Roman" w:eastAsia="TimesNewRoman" w:hAnsi="Times New Roman"/>
          <w:color w:val="000000" w:themeColor="text1"/>
          <w:sz w:val="16"/>
          <w:szCs w:val="16"/>
        </w:rPr>
        <w:t>» это не был полноценный договор о технической помощи. Он предусматривал обмен разнообразной технической документацией по новейшим радиоустановкам, обмен патентами и правами использования их, а также предоставлял сторонам право командировать небольшое число своих специалистов на предприятия и в лаборатории партнеров [Там же]. Несмотря на ограниченный характер договора и необходимость уплате фирмы в течение срока его действия более 120 тыс. долларов, ЭТЗСТ и сменившее его Всесоюзное электрослаботочное объединение (ВЭСО) извлекли из него несомненную пользу. От «</w:t>
      </w:r>
      <w:proofErr w:type="spellStart"/>
      <w:r w:rsidRPr="00A259BD">
        <w:rPr>
          <w:rFonts w:ascii="Times New Roman" w:eastAsia="TimesNewRoman" w:hAnsi="Times New Roman"/>
          <w:color w:val="000000" w:themeColor="text1"/>
          <w:sz w:val="16"/>
          <w:szCs w:val="16"/>
        </w:rPr>
        <w:t>Тесафи</w:t>
      </w:r>
      <w:proofErr w:type="spellEnd"/>
      <w:r w:rsidRPr="00A259BD">
        <w:rPr>
          <w:rFonts w:ascii="Times New Roman" w:eastAsia="TimesNewRoman" w:hAnsi="Times New Roman"/>
          <w:color w:val="000000" w:themeColor="text1"/>
          <w:sz w:val="16"/>
          <w:szCs w:val="16"/>
        </w:rPr>
        <w:t xml:space="preserve">» было получено большое количество материалов, хотя и содержащих в значительной степени всего лишь идеи новых разработок, тем не менее позволивших отечественной промышленности по некоторым направлениям радиотехники добиться большого и стремительного прогресса. Большую пользу принесли и командировки советских специалистов во Францию. Так, С. А. </w:t>
      </w:r>
      <w:proofErr w:type="spellStart"/>
      <w:r w:rsidRPr="00A259BD">
        <w:rPr>
          <w:rFonts w:ascii="Times New Roman" w:eastAsia="TimesNewRoman" w:hAnsi="Times New Roman"/>
          <w:color w:val="000000" w:themeColor="text1"/>
          <w:sz w:val="16"/>
          <w:szCs w:val="16"/>
        </w:rPr>
        <w:t>Векшинскому</w:t>
      </w:r>
      <w:proofErr w:type="spellEnd"/>
      <w:r w:rsidRPr="00A259BD">
        <w:rPr>
          <w:rFonts w:ascii="Times New Roman" w:eastAsia="TimesNewRoman" w:hAnsi="Times New Roman"/>
          <w:color w:val="000000" w:themeColor="text1"/>
          <w:sz w:val="16"/>
          <w:szCs w:val="16"/>
        </w:rPr>
        <w:t xml:space="preserve"> удалось изучить на предприятиях фирмы технологию производства нового типа электронных ламп и внедрить ее на заводе «Светлана». Известная фирма «Филиппс» за информацию подобного рода требовала от советской стороны около 1 млн долларов [Там же, л. 61] (12695).</w:t>
      </w:r>
    </w:p>
    <w:p w14:paraId="5373CD12" w14:textId="77777777" w:rsidR="00CD77B7" w:rsidRPr="00A259BD" w:rsidRDefault="00CD77B7" w:rsidP="009236E3">
      <w:pPr>
        <w:spacing w:after="0" w:line="240" w:lineRule="auto"/>
        <w:jc w:val="both"/>
        <w:rPr>
          <w:rFonts w:ascii="Times New Roman" w:eastAsia="TimesNewRoman" w:hAnsi="Times New Roman"/>
          <w:color w:val="000000" w:themeColor="text1"/>
          <w:sz w:val="16"/>
          <w:szCs w:val="16"/>
        </w:rPr>
      </w:pPr>
    </w:p>
    <w:p w14:paraId="1C8F1F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июне 1929 г. “Торгово-промышленная газета” писала, что следовало бы организовать специальную контору по фабрично-заводской архитектуре, которая должна заниматься только проектированием зданий на основе разработанных другими технологических процессов, и заключить договор о техническом содействии с одной из крупных американских архитектурных фирм. </w:t>
      </w:r>
      <w:proofErr w:type="spellStart"/>
      <w:r w:rsidRPr="00A259BD">
        <w:rPr>
          <w:rFonts w:ascii="Times New Roman" w:hAnsi="Times New Roman"/>
          <w:color w:val="000000" w:themeColor="text1"/>
          <w:sz w:val="16"/>
          <w:szCs w:val="16"/>
        </w:rPr>
        <w:t>Госпроектстрой</w:t>
      </w:r>
      <w:proofErr w:type="spellEnd"/>
      <w:r w:rsidRPr="00A259BD">
        <w:rPr>
          <w:rFonts w:ascii="Times New Roman" w:hAnsi="Times New Roman"/>
          <w:color w:val="000000" w:themeColor="text1"/>
          <w:sz w:val="16"/>
          <w:szCs w:val="16"/>
        </w:rPr>
        <w:t xml:space="preserve"> должен был стать “учебно-производственным предприятием, которое, воспринимая американский опыт в процессе своей производственной деятельности, одновременно передавало этот опыт возможно большему количеству стройорганизаций и молодых советских специалистов [...]. Наша задача — овладеть богатейшим американским техническим опытом в области строительства, научить этому опыту молодые кадры” (11596).</w:t>
      </w:r>
    </w:p>
    <w:p w14:paraId="39B39F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AE8EB1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148FD4D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CE5A6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июне 1929 г. первые самолеты Р-3ЛД поступили в Среднюю Азию. По плану ВВС РККА 1928 - 1929 гг. базировавшиеся в Ташкенте 35-й и 40-й </w:t>
      </w:r>
      <w:proofErr w:type="spellStart"/>
      <w:r w:rsidRPr="00A259BD">
        <w:rPr>
          <w:rFonts w:ascii="Times New Roman" w:hAnsi="Times New Roman"/>
          <w:color w:val="000000" w:themeColor="text1"/>
          <w:sz w:val="16"/>
          <w:szCs w:val="16"/>
        </w:rPr>
        <w:t>ао</w:t>
      </w:r>
      <w:proofErr w:type="spellEnd"/>
      <w:r w:rsidRPr="00A259BD">
        <w:rPr>
          <w:rFonts w:ascii="Times New Roman" w:hAnsi="Times New Roman"/>
          <w:color w:val="000000" w:themeColor="text1"/>
          <w:sz w:val="16"/>
          <w:szCs w:val="16"/>
        </w:rPr>
        <w:t xml:space="preserve">, укомплектованные Ю-21, подлежали первоочередному перевооружению. Каждый должен был получить по восемь Р-ЗЛД плюс четыре в резерв. Ими стали постепенно перевооружать 40-й отряд. После переучивания и прохождения программы боевой подготовки на Троицком полигоне экипажи постепенно приобретали боеготовность. В условиях Средней Азии не нужны были высокая скорость и большой потолок, куда важнее оказалась прочность (по запасам прочности Р-ЗЛД превосходил Р-1 почти в два раза), эксплуатационная надежность, дальность полета. У противника не имелось авиации, и даже крупные банды не всегда могли похвастаться хотя бы одним пулеметом. Главными врагами стали горы и пустыня, отсутствие оборудованных площадок, сильные ветры и большие расстояния. Самолеты разбивались в горах, совершали вынужденные посадки в песках, застигнутые ветром "афганцем". Уже к осени 1929 г., как и в других округах, выявился целый ряд дефектов новых самолетов. Разваливались подшипники элеронов, текли </w:t>
      </w:r>
      <w:proofErr w:type="spellStart"/>
      <w:r w:rsidRPr="00A259BD">
        <w:rPr>
          <w:rFonts w:ascii="Times New Roman" w:hAnsi="Times New Roman"/>
          <w:color w:val="000000" w:themeColor="text1"/>
          <w:sz w:val="16"/>
          <w:szCs w:val="16"/>
        </w:rPr>
        <w:t>бензокраны</w:t>
      </w:r>
      <w:proofErr w:type="spellEnd"/>
      <w:r w:rsidRPr="00A259BD">
        <w:rPr>
          <w:rFonts w:ascii="Times New Roman" w:hAnsi="Times New Roman"/>
          <w:color w:val="000000" w:themeColor="text1"/>
          <w:sz w:val="16"/>
          <w:szCs w:val="16"/>
        </w:rPr>
        <w:t xml:space="preserve">, трескались </w:t>
      </w:r>
      <w:proofErr w:type="spellStart"/>
      <w:r w:rsidRPr="00A259BD">
        <w:rPr>
          <w:rFonts w:ascii="Times New Roman" w:hAnsi="Times New Roman"/>
          <w:color w:val="000000" w:themeColor="text1"/>
          <w:sz w:val="16"/>
          <w:szCs w:val="16"/>
        </w:rPr>
        <w:t>моторамы</w:t>
      </w:r>
      <w:proofErr w:type="spellEnd"/>
      <w:r w:rsidRPr="00A259BD">
        <w:rPr>
          <w:rFonts w:ascii="Times New Roman" w:hAnsi="Times New Roman"/>
          <w:color w:val="000000" w:themeColor="text1"/>
          <w:sz w:val="16"/>
          <w:szCs w:val="16"/>
        </w:rPr>
        <w:t>. На неровных аэродромах колеса скручивались "восьмерками", лопались камеры и покрышки. Главные бензобаки в полете раскачивались, что через некоторое время приводило к усталостному разрушению трубки бензопровода. Подшипники меняли, рамы подваривали и усиливали стальными накладками, баки фиксировали фанерной крестовиной с суконной подкладкой (11985).</w:t>
      </w:r>
    </w:p>
    <w:p w14:paraId="4141DC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6AED465"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4C16D18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062A8C" w14:textId="77777777" w:rsidR="00070DCF" w:rsidRPr="00A259BD" w:rsidRDefault="00070DCF" w:rsidP="009236E3">
      <w:pPr>
        <w:spacing w:after="0" w:line="240" w:lineRule="auto"/>
        <w:jc w:val="both"/>
        <w:rPr>
          <w:rFonts w:ascii="Times New Roman" w:hAnsi="Times New Roman"/>
          <w:color w:val="000000" w:themeColor="text1"/>
          <w:sz w:val="16"/>
          <w:szCs w:val="16"/>
          <w:shd w:val="clear" w:color="auto" w:fill="FFFFFF"/>
        </w:rPr>
      </w:pPr>
      <w:bookmarkStart w:id="60" w:name="_Hlk79477058"/>
      <w:r w:rsidRPr="00A259BD">
        <w:rPr>
          <w:rFonts w:ascii="Times New Roman" w:hAnsi="Times New Roman"/>
          <w:color w:val="000000" w:themeColor="text1"/>
          <w:sz w:val="16"/>
          <w:szCs w:val="16"/>
          <w:shd w:val="clear" w:color="auto" w:fill="FFFFFF"/>
        </w:rPr>
        <w:t xml:space="preserve">В июне 1929 года главой правительства Литвы А. </w:t>
      </w:r>
      <w:proofErr w:type="spellStart"/>
      <w:r w:rsidRPr="00A259BD">
        <w:rPr>
          <w:rFonts w:ascii="Times New Roman" w:hAnsi="Times New Roman"/>
          <w:color w:val="000000" w:themeColor="text1"/>
          <w:sz w:val="16"/>
          <w:szCs w:val="16"/>
          <w:shd w:val="clear" w:color="auto" w:fill="FFFFFF"/>
        </w:rPr>
        <w:t>Вольдемарасом</w:t>
      </w:r>
      <w:proofErr w:type="spellEnd"/>
      <w:r w:rsidRPr="00A259BD">
        <w:rPr>
          <w:rFonts w:ascii="Times New Roman" w:hAnsi="Times New Roman"/>
          <w:color w:val="000000" w:themeColor="text1"/>
          <w:sz w:val="16"/>
          <w:szCs w:val="16"/>
          <w:shd w:val="clear" w:color="auto" w:fill="FFFFFF"/>
        </w:rPr>
        <w:t xml:space="preserve"> было инициировано предложение об организации визита эскадрильи ВВС Литвы в Москву. Однако в тот момент советское правительство было вынуждено отказать Литве, опасаясь, что польская сторона воспримет такой визит как провокацию. Спустя полгода политическая обстановка нормализовалась и литовские авиаторы получили из Москвы приглашение.</w:t>
      </w:r>
    </w:p>
    <w:p w14:paraId="049AF6DC" w14:textId="77777777" w:rsidR="00070DCF" w:rsidRPr="00A259BD" w:rsidRDefault="00070DC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shd w:val="clear" w:color="auto" w:fill="FFFFFF"/>
        </w:rPr>
        <w:t xml:space="preserve">Литовская эскадрилья под руководством Витаутаса </w:t>
      </w:r>
      <w:proofErr w:type="spellStart"/>
      <w:r w:rsidRPr="00A259BD">
        <w:rPr>
          <w:rFonts w:ascii="Times New Roman" w:hAnsi="Times New Roman"/>
          <w:color w:val="000000" w:themeColor="text1"/>
          <w:sz w:val="16"/>
          <w:szCs w:val="16"/>
          <w:shd w:val="clear" w:color="auto" w:fill="FFFFFF"/>
        </w:rPr>
        <w:t>Яблонкиса</w:t>
      </w:r>
      <w:proofErr w:type="spellEnd"/>
      <w:r w:rsidRPr="00A259BD">
        <w:rPr>
          <w:rFonts w:ascii="Times New Roman" w:hAnsi="Times New Roman"/>
          <w:color w:val="000000" w:themeColor="text1"/>
          <w:sz w:val="16"/>
          <w:szCs w:val="16"/>
          <w:shd w:val="clear" w:color="auto" w:fill="FFFFFF"/>
        </w:rPr>
        <w:t xml:space="preserve"> (</w:t>
      </w:r>
      <w:proofErr w:type="spellStart"/>
      <w:r w:rsidRPr="00A259BD">
        <w:rPr>
          <w:rFonts w:ascii="Times New Roman" w:hAnsi="Times New Roman"/>
          <w:color w:val="000000" w:themeColor="text1"/>
          <w:sz w:val="16"/>
          <w:szCs w:val="16"/>
          <w:shd w:val="clear" w:color="auto" w:fill="FFFFFF"/>
        </w:rPr>
        <w:t>Vytautas</w:t>
      </w:r>
      <w:proofErr w:type="spellEnd"/>
      <w:r w:rsidRPr="00A259BD">
        <w:rPr>
          <w:rFonts w:ascii="Times New Roman" w:hAnsi="Times New Roman"/>
          <w:color w:val="000000" w:themeColor="text1"/>
          <w:sz w:val="16"/>
          <w:szCs w:val="16"/>
          <w:shd w:val="clear" w:color="auto" w:fill="FFFFFF"/>
        </w:rPr>
        <w:t xml:space="preserve"> </w:t>
      </w:r>
      <w:proofErr w:type="spellStart"/>
      <w:r w:rsidRPr="00A259BD">
        <w:rPr>
          <w:rFonts w:ascii="Times New Roman" w:hAnsi="Times New Roman"/>
          <w:color w:val="000000" w:themeColor="text1"/>
          <w:sz w:val="16"/>
          <w:szCs w:val="16"/>
          <w:shd w:val="clear" w:color="auto" w:fill="FFFFFF"/>
        </w:rPr>
        <w:t>Jablonskis</w:t>
      </w:r>
      <w:proofErr w:type="spellEnd"/>
      <w:r w:rsidRPr="00A259BD">
        <w:rPr>
          <w:rFonts w:ascii="Times New Roman" w:hAnsi="Times New Roman"/>
          <w:color w:val="000000" w:themeColor="text1"/>
          <w:sz w:val="16"/>
          <w:szCs w:val="16"/>
          <w:shd w:val="clear" w:color="auto" w:fill="FFFFFF"/>
        </w:rPr>
        <w:t xml:space="preserve">) и Антанаса </w:t>
      </w:r>
      <w:proofErr w:type="spellStart"/>
      <w:r w:rsidRPr="00A259BD">
        <w:rPr>
          <w:rFonts w:ascii="Times New Roman" w:hAnsi="Times New Roman"/>
          <w:color w:val="000000" w:themeColor="text1"/>
          <w:sz w:val="16"/>
          <w:szCs w:val="16"/>
          <w:shd w:val="clear" w:color="auto" w:fill="FFFFFF"/>
        </w:rPr>
        <w:t>Густайтиса</w:t>
      </w:r>
      <w:proofErr w:type="spellEnd"/>
      <w:r w:rsidRPr="00A259BD">
        <w:rPr>
          <w:rFonts w:ascii="Times New Roman" w:hAnsi="Times New Roman"/>
          <w:color w:val="000000" w:themeColor="text1"/>
          <w:sz w:val="16"/>
          <w:szCs w:val="16"/>
          <w:shd w:val="clear" w:color="auto" w:fill="FFFFFF"/>
        </w:rPr>
        <w:t xml:space="preserve"> (</w:t>
      </w:r>
      <w:proofErr w:type="spellStart"/>
      <w:r w:rsidRPr="00A259BD">
        <w:rPr>
          <w:rFonts w:ascii="Times New Roman" w:hAnsi="Times New Roman"/>
          <w:color w:val="000000" w:themeColor="text1"/>
          <w:sz w:val="16"/>
          <w:szCs w:val="16"/>
          <w:shd w:val="clear" w:color="auto" w:fill="FFFFFF"/>
        </w:rPr>
        <w:t>Antanas</w:t>
      </w:r>
      <w:proofErr w:type="spellEnd"/>
      <w:r w:rsidRPr="00A259BD">
        <w:rPr>
          <w:rFonts w:ascii="Times New Roman" w:hAnsi="Times New Roman"/>
          <w:color w:val="000000" w:themeColor="text1"/>
          <w:sz w:val="16"/>
          <w:szCs w:val="16"/>
          <w:shd w:val="clear" w:color="auto" w:fill="FFFFFF"/>
        </w:rPr>
        <w:t xml:space="preserve"> </w:t>
      </w:r>
      <w:proofErr w:type="spellStart"/>
      <w:r w:rsidRPr="00A259BD">
        <w:rPr>
          <w:rFonts w:ascii="Times New Roman" w:hAnsi="Times New Roman"/>
          <w:color w:val="000000" w:themeColor="text1"/>
          <w:sz w:val="16"/>
          <w:szCs w:val="16"/>
          <w:shd w:val="clear" w:color="auto" w:fill="FFFFFF"/>
        </w:rPr>
        <w:t>Gustaitis</w:t>
      </w:r>
      <w:proofErr w:type="spellEnd"/>
      <w:r w:rsidRPr="00A259BD">
        <w:rPr>
          <w:rFonts w:ascii="Times New Roman" w:hAnsi="Times New Roman"/>
          <w:color w:val="000000" w:themeColor="text1"/>
          <w:sz w:val="16"/>
          <w:szCs w:val="16"/>
          <w:shd w:val="clear" w:color="auto" w:fill="FFFFFF"/>
        </w:rPr>
        <w:t>) на трех (вероятно) самолетах-разведчиках «</w:t>
      </w:r>
      <w:proofErr w:type="spellStart"/>
      <w:r w:rsidRPr="00A259BD">
        <w:rPr>
          <w:rFonts w:ascii="Times New Roman" w:hAnsi="Times New Roman"/>
          <w:color w:val="000000" w:themeColor="text1"/>
          <w:sz w:val="16"/>
          <w:szCs w:val="16"/>
          <w:shd w:val="clear" w:color="auto" w:fill="FFFFFF"/>
        </w:rPr>
        <w:t>Ансальдо</w:t>
      </w:r>
      <w:proofErr w:type="spellEnd"/>
      <w:r w:rsidRPr="00A259BD">
        <w:rPr>
          <w:rFonts w:ascii="Times New Roman" w:hAnsi="Times New Roman"/>
          <w:color w:val="000000" w:themeColor="text1"/>
          <w:sz w:val="16"/>
          <w:szCs w:val="16"/>
          <w:shd w:val="clear" w:color="auto" w:fill="FFFFFF"/>
        </w:rPr>
        <w:t>» A-120 (</w:t>
      </w:r>
      <w:proofErr w:type="spellStart"/>
      <w:r w:rsidRPr="00A259BD">
        <w:rPr>
          <w:rFonts w:ascii="Times New Roman" w:hAnsi="Times New Roman"/>
          <w:color w:val="000000" w:themeColor="text1"/>
          <w:sz w:val="16"/>
          <w:szCs w:val="16"/>
          <w:shd w:val="clear" w:color="auto" w:fill="FFFFFF"/>
        </w:rPr>
        <w:t>Ansaldo</w:t>
      </w:r>
      <w:proofErr w:type="spellEnd"/>
      <w:r w:rsidRPr="00A259BD">
        <w:rPr>
          <w:rFonts w:ascii="Times New Roman" w:hAnsi="Times New Roman"/>
          <w:color w:val="000000" w:themeColor="text1"/>
          <w:sz w:val="16"/>
          <w:szCs w:val="16"/>
          <w:shd w:val="clear" w:color="auto" w:fill="FFFFFF"/>
        </w:rPr>
        <w:t>) вылетела из Каунаса 18 августа и в тот же день приземлилась на аэродроме имени М.В. Фрунзе в Москве. В ходе пятидневного визита литовские летчики посетили управление ВВС РККА, инспекцию гражданского воздушного флота СССР, военно-воздушную академию и прочие авиационные учреждения. Естественно, были банкеты и «пункты» культурной программы. 22 августа гостей знакомили с организацией боевой подготовки ВВС РККА. Было продемонстрировано учебное бомбометание и высший пилотаж. В Каунас эскадрилья возвратилась 23 августа (21438).</w:t>
      </w:r>
    </w:p>
    <w:p w14:paraId="47FCF9AA" w14:textId="77777777" w:rsidR="00070DCF" w:rsidRPr="00A259BD" w:rsidRDefault="00070DCF" w:rsidP="009236E3">
      <w:pPr>
        <w:spacing w:after="0" w:line="240" w:lineRule="auto"/>
        <w:jc w:val="both"/>
        <w:rPr>
          <w:rFonts w:ascii="Times New Roman" w:hAnsi="Times New Roman"/>
          <w:color w:val="000000" w:themeColor="text1"/>
          <w:sz w:val="16"/>
          <w:szCs w:val="16"/>
        </w:rPr>
      </w:pPr>
    </w:p>
    <w:bookmarkEnd w:id="60"/>
    <w:p w14:paraId="55C70B17" w14:textId="77777777" w:rsidR="00452DC0" w:rsidRPr="00A259BD" w:rsidRDefault="00452DC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июне 1929 тридцать пять гидросамолетов </w:t>
      </w:r>
      <w:proofErr w:type="spellStart"/>
      <w:r w:rsidRPr="00A259BD">
        <w:rPr>
          <w:rFonts w:ascii="Times New Roman" w:hAnsi="Times New Roman"/>
          <w:color w:val="000000" w:themeColor="text1"/>
          <w:sz w:val="16"/>
          <w:szCs w:val="16"/>
        </w:rPr>
        <w:t>Regia</w:t>
      </w:r>
      <w:proofErr w:type="spellEnd"/>
      <w:r w:rsidRPr="00A259BD">
        <w:rPr>
          <w:rFonts w:ascii="Times New Roman" w:hAnsi="Times New Roman"/>
          <w:color w:val="000000" w:themeColor="text1"/>
          <w:sz w:val="16"/>
          <w:szCs w:val="16"/>
        </w:rPr>
        <w:t xml:space="preserve"> Aeronautica (Королевские ВВС Италии) - 32 </w:t>
      </w:r>
      <w:proofErr w:type="spellStart"/>
      <w:r w:rsidRPr="00A259BD">
        <w:rPr>
          <w:rFonts w:ascii="Times New Roman" w:hAnsi="Times New Roman"/>
          <w:color w:val="000000" w:themeColor="text1"/>
          <w:sz w:val="16"/>
          <w:szCs w:val="16"/>
        </w:rPr>
        <w:t>Savoia-Marchetti</w:t>
      </w:r>
      <w:proofErr w:type="spellEnd"/>
      <w:r w:rsidRPr="00A259BD">
        <w:rPr>
          <w:rFonts w:ascii="Times New Roman" w:hAnsi="Times New Roman"/>
          <w:color w:val="000000" w:themeColor="text1"/>
          <w:sz w:val="16"/>
          <w:szCs w:val="16"/>
        </w:rPr>
        <w:t xml:space="preserve"> S.55, два </w:t>
      </w:r>
      <w:proofErr w:type="spellStart"/>
      <w:r w:rsidRPr="00A259BD">
        <w:rPr>
          <w:rFonts w:ascii="Times New Roman" w:hAnsi="Times New Roman"/>
          <w:color w:val="000000" w:themeColor="text1"/>
          <w:sz w:val="16"/>
          <w:szCs w:val="16"/>
        </w:rPr>
        <w:t>Savoia-Marchetti</w:t>
      </w:r>
      <w:proofErr w:type="spellEnd"/>
      <w:r w:rsidRPr="00A259BD">
        <w:rPr>
          <w:rFonts w:ascii="Times New Roman" w:hAnsi="Times New Roman"/>
          <w:color w:val="000000" w:themeColor="text1"/>
          <w:sz w:val="16"/>
          <w:szCs w:val="16"/>
        </w:rPr>
        <w:t xml:space="preserve"> S.59 и один CANT 22 - под командованием генерала </w:t>
      </w:r>
      <w:proofErr w:type="spellStart"/>
      <w:r w:rsidRPr="00A259BD">
        <w:rPr>
          <w:rFonts w:ascii="Times New Roman" w:hAnsi="Times New Roman"/>
          <w:color w:val="000000" w:themeColor="text1"/>
          <w:sz w:val="16"/>
          <w:szCs w:val="16"/>
        </w:rPr>
        <w:t>Итало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xml:space="preserve"> и знаменитого итальянского авиатора </w:t>
      </w:r>
      <w:proofErr w:type="spellStart"/>
      <w:r w:rsidRPr="00A259BD">
        <w:rPr>
          <w:rFonts w:ascii="Times New Roman" w:hAnsi="Times New Roman"/>
          <w:color w:val="000000" w:themeColor="text1"/>
          <w:sz w:val="16"/>
          <w:szCs w:val="16"/>
        </w:rPr>
        <w:t>Франческо</w:t>
      </w:r>
      <w:proofErr w:type="spellEnd"/>
      <w:r w:rsidRPr="00A259BD">
        <w:rPr>
          <w:rFonts w:ascii="Times New Roman" w:hAnsi="Times New Roman"/>
          <w:color w:val="000000" w:themeColor="text1"/>
          <w:sz w:val="16"/>
          <w:szCs w:val="16"/>
        </w:rPr>
        <w:t xml:space="preserve"> де </w:t>
      </w:r>
      <w:proofErr w:type="spellStart"/>
      <w:r w:rsidRPr="00A259BD">
        <w:rPr>
          <w:rFonts w:ascii="Times New Roman" w:hAnsi="Times New Roman"/>
          <w:color w:val="000000" w:themeColor="text1"/>
          <w:sz w:val="16"/>
          <w:szCs w:val="16"/>
        </w:rPr>
        <w:t>Пинедо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пройдкт</w:t>
      </w:r>
      <w:proofErr w:type="spellEnd"/>
      <w:r w:rsidRPr="00A259BD">
        <w:rPr>
          <w:rFonts w:ascii="Times New Roman" w:hAnsi="Times New Roman"/>
          <w:color w:val="000000" w:themeColor="text1"/>
          <w:sz w:val="16"/>
          <w:szCs w:val="16"/>
        </w:rPr>
        <w:t xml:space="preserve"> 3300 миль (5 314 км) в групповом полет по Восточному Средиземноморью с остановками в Таранто, Италия; Афины, Греция; Стамбул, Турция; Варна, Болгария; Одесса в Советском Союзе и Констанца, Румыния . Полет предназначен для улучшения эксплуатационных навыков </w:t>
      </w:r>
      <w:proofErr w:type="spellStart"/>
      <w:r w:rsidRPr="00A259BD">
        <w:rPr>
          <w:rFonts w:ascii="Times New Roman" w:hAnsi="Times New Roman"/>
          <w:color w:val="000000" w:themeColor="text1"/>
          <w:sz w:val="16"/>
          <w:szCs w:val="16"/>
        </w:rPr>
        <w:t>Regia</w:t>
      </w:r>
      <w:proofErr w:type="spellEnd"/>
      <w:r w:rsidRPr="00A259BD">
        <w:rPr>
          <w:rFonts w:ascii="Times New Roman" w:hAnsi="Times New Roman"/>
          <w:color w:val="000000" w:themeColor="text1"/>
          <w:sz w:val="16"/>
          <w:szCs w:val="16"/>
        </w:rPr>
        <w:t xml:space="preserve"> Aeronautica экипажей и наземных членов экипажа, продемонстрировать итальянскую авиационную отрасль для потенциальных зарубежных покупателей итальянских самолетов, а также повышения престижа Бенито Муссолини и итальянского фашистского правительства (20806).</w:t>
      </w:r>
    </w:p>
    <w:p w14:paraId="500155AF" w14:textId="77777777" w:rsidR="00452DC0" w:rsidRPr="00A259BD" w:rsidRDefault="00452DC0" w:rsidP="009236E3">
      <w:pPr>
        <w:spacing w:after="0" w:line="240" w:lineRule="auto"/>
        <w:jc w:val="both"/>
        <w:rPr>
          <w:rFonts w:ascii="Times New Roman" w:hAnsi="Times New Roman"/>
          <w:color w:val="000000" w:themeColor="text1"/>
          <w:sz w:val="16"/>
          <w:szCs w:val="16"/>
        </w:rPr>
      </w:pPr>
    </w:p>
    <w:p w14:paraId="073A0F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июне 1929 г. вопрос о заходе кораблей Балтфлота Москва подняла вновь. Исходя из того, что «наилучший прием» советские суда могли ожидать в Вост. Пруссии, полпред рекомендовал устроить «встречу» обоих дивизионов советских кораблей в Пиллау (там будет «обеспечен теплый, даже может быть восторженный прием со стороны населения»). Параллельно, в духе директив Политбюро (В докладе «О сотрудничестве РККА и Рейхсвера» от 24 декабря 1928 г. Берзин рекомендовал принять предложения немецкой стороны и установлении контактов между руководителями обоих флотов, ограничив их личным знакомством руководителей и обсуждением вопросов общего характера. (РГВА, ф. 33987, оп. 3, д. 295, л. 71-78). В одном из проектов постановления Политбюро, готовившемся в Штабе РККА, "Об установлении контакта между РК КФ и германским флотом», рекомендовалось к установлению контакта между флотами «отнестись сдержанно, допустив контакт в единичных и выгодных для РККФ &lt;...&gt; случаях. Проникновение немцев в РККФ не допускать». (РГВА, ф. 33987,оп.3, д.329, л. 146-147).) Крестинский и </w:t>
      </w:r>
      <w:proofErr w:type="spellStart"/>
      <w:r w:rsidRPr="00A259BD">
        <w:rPr>
          <w:rFonts w:ascii="Times New Roman" w:hAnsi="Times New Roman"/>
          <w:color w:val="000000" w:themeColor="text1"/>
          <w:sz w:val="16"/>
          <w:szCs w:val="16"/>
        </w:rPr>
        <w:t>Путна</w:t>
      </w:r>
      <w:proofErr w:type="spellEnd"/>
      <w:r w:rsidRPr="00A259BD">
        <w:rPr>
          <w:rFonts w:ascii="Times New Roman" w:hAnsi="Times New Roman"/>
          <w:color w:val="000000" w:themeColor="text1"/>
          <w:sz w:val="16"/>
          <w:szCs w:val="16"/>
        </w:rPr>
        <w:t xml:space="preserve"> 29 июня, на обеде в полпредстве «для наших и немецких военных» и по личной просьбе </w:t>
      </w:r>
      <w:proofErr w:type="spellStart"/>
      <w:r w:rsidRPr="00A259BD">
        <w:rPr>
          <w:rFonts w:ascii="Times New Roman" w:hAnsi="Times New Roman"/>
          <w:color w:val="000000" w:themeColor="text1"/>
          <w:sz w:val="16"/>
          <w:szCs w:val="16"/>
        </w:rPr>
        <w:t>Муклевича</w:t>
      </w:r>
      <w:proofErr w:type="spellEnd"/>
      <w:r w:rsidRPr="00A259BD">
        <w:rPr>
          <w:rFonts w:ascii="Times New Roman" w:hAnsi="Times New Roman"/>
          <w:color w:val="000000" w:themeColor="text1"/>
          <w:sz w:val="16"/>
          <w:szCs w:val="16"/>
        </w:rPr>
        <w:t xml:space="preserve"> в беседе с адмиралом </w:t>
      </w:r>
      <w:proofErr w:type="spellStart"/>
      <w:r w:rsidRPr="00A259BD">
        <w:rPr>
          <w:rFonts w:ascii="Times New Roman" w:hAnsi="Times New Roman"/>
          <w:color w:val="000000" w:themeColor="text1"/>
          <w:sz w:val="16"/>
          <w:szCs w:val="16"/>
        </w:rPr>
        <w:t>Брутцером</w:t>
      </w:r>
      <w:proofErr w:type="spellEnd"/>
      <w:r w:rsidRPr="00A259BD">
        <w:rPr>
          <w:rFonts w:ascii="Times New Roman" w:hAnsi="Times New Roman"/>
          <w:color w:val="000000" w:themeColor="text1"/>
          <w:sz w:val="16"/>
          <w:szCs w:val="16"/>
        </w:rPr>
        <w:t>, заместителем командующего германских ВМС, подняли вопрос об установлении контактов с руководством германского флота и о поездке представителей советского ВМФ в Германию. Назывался руководитель делегации — командующий Черноморским флотом В. М. Орлов. Но когда немцы изъявили готовность разговаривать конкретно, РВС признал поездку несвоевременной. Подробно изложив в письме Ворошилову от 14 июля 1929 г. суть данного вопроса, Крестинский настойчиво рекомендовал наркому «решить вопрос о поездке положительно» и «договориться с немцами о сроке» (АВП РФ, ф. 0165, оп. 14, п. 157, д. 8, л. 59-61.) (11784).</w:t>
      </w:r>
    </w:p>
    <w:p w14:paraId="5962F9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057493" w14:textId="77777777" w:rsidR="000721C0" w:rsidRPr="00A259BD" w:rsidRDefault="000721C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июне 1929 г. вопрос о заходе кораблей Балтфлота Москва подняла вновь. Исходя из того, что «наилучший прием» советские суда могли ожидать в Вост. Пруссии, полпред рекомендовал устроить «встречу» обоих дивизионов советских кораблей в Пиллау (там будет «обеспечен теплый, даже может быть восторженный прием со стороны населения»).</w:t>
      </w:r>
    </w:p>
    <w:p w14:paraId="7D55F4AE" w14:textId="77777777" w:rsidR="000721C0" w:rsidRPr="00A259BD" w:rsidRDefault="000721C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Параллельно, в духе директив Политбюро Крестинский и </w:t>
      </w:r>
      <w:proofErr w:type="spellStart"/>
      <w:r w:rsidRPr="00A259BD">
        <w:rPr>
          <w:rFonts w:ascii="Times New Roman" w:hAnsi="Times New Roman"/>
          <w:color w:val="000000" w:themeColor="text1"/>
          <w:sz w:val="16"/>
          <w:szCs w:val="16"/>
        </w:rPr>
        <w:t>Путна</w:t>
      </w:r>
      <w:proofErr w:type="spellEnd"/>
      <w:r w:rsidRPr="00A259BD">
        <w:rPr>
          <w:rFonts w:ascii="Times New Roman" w:hAnsi="Times New Roman"/>
          <w:color w:val="000000" w:themeColor="text1"/>
          <w:sz w:val="16"/>
          <w:szCs w:val="16"/>
        </w:rPr>
        <w:t xml:space="preserve"> 29 июня, на обеде в полпредстве «для наших и немецких военных» и по личной просьбе </w:t>
      </w:r>
      <w:proofErr w:type="spellStart"/>
      <w:r w:rsidRPr="00A259BD">
        <w:rPr>
          <w:rFonts w:ascii="Times New Roman" w:hAnsi="Times New Roman"/>
          <w:color w:val="000000" w:themeColor="text1"/>
          <w:sz w:val="16"/>
          <w:szCs w:val="16"/>
        </w:rPr>
        <w:t>Муклевича</w:t>
      </w:r>
      <w:proofErr w:type="spellEnd"/>
      <w:r w:rsidRPr="00A259BD">
        <w:rPr>
          <w:rFonts w:ascii="Times New Roman" w:hAnsi="Times New Roman"/>
          <w:color w:val="000000" w:themeColor="text1"/>
          <w:sz w:val="16"/>
          <w:szCs w:val="16"/>
        </w:rPr>
        <w:t xml:space="preserve"> в беседе с адмиралом </w:t>
      </w:r>
      <w:proofErr w:type="spellStart"/>
      <w:r w:rsidRPr="00A259BD">
        <w:rPr>
          <w:rFonts w:ascii="Times New Roman" w:hAnsi="Times New Roman"/>
          <w:color w:val="000000" w:themeColor="text1"/>
          <w:sz w:val="16"/>
          <w:szCs w:val="16"/>
        </w:rPr>
        <w:t>Брутцером</w:t>
      </w:r>
      <w:proofErr w:type="spellEnd"/>
      <w:r w:rsidRPr="00A259BD">
        <w:rPr>
          <w:rFonts w:ascii="Times New Roman" w:hAnsi="Times New Roman"/>
          <w:color w:val="000000" w:themeColor="text1"/>
          <w:sz w:val="16"/>
          <w:szCs w:val="16"/>
        </w:rPr>
        <w:t>, заместителем командующего германских ВМС, подняли вопрос об установлении контактов с руководством германского флота и о поездке представителей советского ВМФ в Германию. Назывался руководитель делегации — командующий Черноморским флотом В. М. Орлов. Но когда немцы изъявили готовность разговаривать конкретно, РВС признал поездку несвоевременной. Подробно изложив в письме Ворошилову от 14 июля 1929 г. суть данного вопроса, Крестинский настойчиво рекомендовал наркому «решить вопрос о поездке положительно» и «договориться с немцами о сроке» (18265).</w:t>
      </w:r>
    </w:p>
    <w:p w14:paraId="6598A9C6" w14:textId="77777777" w:rsidR="000721C0" w:rsidRPr="00A259BD" w:rsidRDefault="000721C0" w:rsidP="009236E3">
      <w:pPr>
        <w:spacing w:after="0" w:line="240" w:lineRule="auto"/>
        <w:jc w:val="both"/>
        <w:rPr>
          <w:rFonts w:ascii="Times New Roman" w:hAnsi="Times New Roman"/>
          <w:color w:val="000000" w:themeColor="text1"/>
          <w:sz w:val="16"/>
          <w:szCs w:val="16"/>
        </w:rPr>
      </w:pPr>
    </w:p>
    <w:p w14:paraId="2CB606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июне 1929 г. стало известным намерении германских ВМС создать в СССР школу морской авиации. Берлинская фирма «</w:t>
      </w:r>
      <w:proofErr w:type="spellStart"/>
      <w:r w:rsidRPr="00A259BD">
        <w:rPr>
          <w:rFonts w:ascii="Times New Roman" w:hAnsi="Times New Roman"/>
          <w:color w:val="000000" w:themeColor="text1"/>
          <w:sz w:val="16"/>
          <w:szCs w:val="16"/>
        </w:rPr>
        <w:t>Рорбах</w:t>
      </w:r>
      <w:proofErr w:type="spellEnd"/>
      <w:r w:rsidRPr="00A259BD">
        <w:rPr>
          <w:rFonts w:ascii="Times New Roman" w:hAnsi="Times New Roman"/>
          <w:color w:val="000000" w:themeColor="text1"/>
          <w:sz w:val="16"/>
          <w:szCs w:val="16"/>
        </w:rPr>
        <w:t xml:space="preserve"> Металл-</w:t>
      </w:r>
      <w:proofErr w:type="spellStart"/>
      <w:r w:rsidRPr="00A259BD">
        <w:rPr>
          <w:rFonts w:ascii="Times New Roman" w:hAnsi="Times New Roman"/>
          <w:color w:val="000000" w:themeColor="text1"/>
          <w:sz w:val="16"/>
          <w:szCs w:val="16"/>
        </w:rPr>
        <w:t>Флюгцойгбау</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ГмбХ</w:t>
      </w:r>
      <w:proofErr w:type="spellEnd"/>
      <w:r w:rsidRPr="00A259BD">
        <w:rPr>
          <w:rFonts w:ascii="Times New Roman" w:hAnsi="Times New Roman"/>
          <w:color w:val="000000" w:themeColor="text1"/>
          <w:sz w:val="16"/>
          <w:szCs w:val="16"/>
        </w:rPr>
        <w:t xml:space="preserve">» намеревалась возвести на северном берегу Азовского моря советско-германский авиационный завод и проводить там на море и на суше необходимые испытания. Однако военный министр </w:t>
      </w:r>
      <w:proofErr w:type="spellStart"/>
      <w:r w:rsidRPr="00A259BD">
        <w:rPr>
          <w:rFonts w:ascii="Times New Roman" w:hAnsi="Times New Roman"/>
          <w:color w:val="000000" w:themeColor="text1"/>
          <w:sz w:val="16"/>
          <w:szCs w:val="16"/>
        </w:rPr>
        <w:t>Гренер</w:t>
      </w:r>
      <w:proofErr w:type="spellEnd"/>
      <w:r w:rsidRPr="00A259BD">
        <w:rPr>
          <w:rFonts w:ascii="Times New Roman" w:hAnsi="Times New Roman"/>
          <w:color w:val="000000" w:themeColor="text1"/>
          <w:sz w:val="16"/>
          <w:szCs w:val="16"/>
        </w:rPr>
        <w:t xml:space="preserve"> и МИД Германии энергично воспрепятствовали этой «самодеятельной» акции «</w:t>
      </w:r>
      <w:proofErr w:type="spellStart"/>
      <w:r w:rsidRPr="00A259BD">
        <w:rPr>
          <w:rFonts w:ascii="Times New Roman" w:hAnsi="Times New Roman"/>
          <w:color w:val="000000" w:themeColor="text1"/>
          <w:sz w:val="16"/>
          <w:szCs w:val="16"/>
        </w:rPr>
        <w:t>райхсмарине</w:t>
      </w:r>
      <w:proofErr w:type="spellEnd"/>
      <w:r w:rsidRPr="00A259BD">
        <w:rPr>
          <w:rFonts w:ascii="Times New Roman" w:hAnsi="Times New Roman"/>
          <w:color w:val="000000" w:themeColor="text1"/>
          <w:sz w:val="16"/>
          <w:szCs w:val="16"/>
        </w:rPr>
        <w:t xml:space="preserve">» (ADAP, Ser.B,Bd.XII.S.66.). Полпредство придавало этому большое политическое значение (АВП РФ, ф. 0165, </w:t>
      </w:r>
      <w:proofErr w:type="spellStart"/>
      <w:r w:rsidRPr="00A259BD">
        <w:rPr>
          <w:rFonts w:ascii="Times New Roman" w:hAnsi="Times New Roman"/>
          <w:color w:val="000000" w:themeColor="text1"/>
          <w:sz w:val="16"/>
          <w:szCs w:val="16"/>
        </w:rPr>
        <w:t>on</w:t>
      </w:r>
      <w:proofErr w:type="spellEnd"/>
      <w:r w:rsidRPr="00A259BD">
        <w:rPr>
          <w:rFonts w:ascii="Times New Roman" w:hAnsi="Times New Roman"/>
          <w:color w:val="000000" w:themeColor="text1"/>
          <w:sz w:val="16"/>
          <w:szCs w:val="16"/>
        </w:rPr>
        <w:t>. 14, п. 157, д. 8, л. 62—64.). Ведь таким образом в Германии расширялась бы база поддержки «</w:t>
      </w:r>
      <w:proofErr w:type="spellStart"/>
      <w:r w:rsidRPr="00A259BD">
        <w:rPr>
          <w:rFonts w:ascii="Times New Roman" w:hAnsi="Times New Roman"/>
          <w:color w:val="000000" w:themeColor="text1"/>
          <w:sz w:val="16"/>
          <w:szCs w:val="16"/>
        </w:rPr>
        <w:t>рапалльской</w:t>
      </w:r>
      <w:proofErr w:type="spellEnd"/>
      <w:r w:rsidRPr="00A259BD">
        <w:rPr>
          <w:rFonts w:ascii="Times New Roman" w:hAnsi="Times New Roman"/>
          <w:color w:val="000000" w:themeColor="text1"/>
          <w:sz w:val="16"/>
          <w:szCs w:val="16"/>
        </w:rPr>
        <w:t xml:space="preserve"> политики» (Поторапливая Ворошилова дать ориентирующие направления для беседы на обеде с </w:t>
      </w:r>
      <w:proofErr w:type="spellStart"/>
      <w:r w:rsidRPr="00A259BD">
        <w:rPr>
          <w:rFonts w:ascii="Times New Roman" w:hAnsi="Times New Roman"/>
          <w:color w:val="000000" w:themeColor="text1"/>
          <w:sz w:val="16"/>
          <w:szCs w:val="16"/>
        </w:rPr>
        <w:t>Рэдером</w:t>
      </w:r>
      <w:proofErr w:type="spellEnd"/>
      <w:r w:rsidRPr="00A259BD">
        <w:rPr>
          <w:rFonts w:ascii="Times New Roman" w:hAnsi="Times New Roman"/>
          <w:color w:val="000000" w:themeColor="text1"/>
          <w:sz w:val="16"/>
          <w:szCs w:val="16"/>
        </w:rPr>
        <w:t xml:space="preserve">, которая должна была состояться и состоялась 26 ноября 1929 г., Крестинский в письме от 16 ноября 1929 г. напоминал наркомвоенмору о его положительном решении вопроса «о сотрудничестве с немецкими военными и по флотской линии», а также о намерении Ворошилова «переговорить на эту тему с тов. Сталиным». Крестинский просил </w:t>
      </w:r>
      <w:proofErr w:type="spellStart"/>
      <w:r w:rsidRPr="00A259BD">
        <w:rPr>
          <w:rFonts w:ascii="Times New Roman" w:hAnsi="Times New Roman"/>
          <w:color w:val="000000" w:themeColor="text1"/>
          <w:sz w:val="16"/>
          <w:szCs w:val="16"/>
        </w:rPr>
        <w:t>написатьему</w:t>
      </w:r>
      <w:proofErr w:type="spellEnd"/>
      <w:r w:rsidRPr="00A259BD">
        <w:rPr>
          <w:rFonts w:ascii="Times New Roman" w:hAnsi="Times New Roman"/>
          <w:color w:val="000000" w:themeColor="text1"/>
          <w:sz w:val="16"/>
          <w:szCs w:val="16"/>
        </w:rPr>
        <w:t xml:space="preserve"> «пару слов» относительно того, что ответить шефу «</w:t>
      </w:r>
      <w:proofErr w:type="spellStart"/>
      <w:r w:rsidRPr="00A259BD">
        <w:rPr>
          <w:rFonts w:ascii="Times New Roman" w:hAnsi="Times New Roman"/>
          <w:color w:val="000000" w:themeColor="text1"/>
          <w:sz w:val="16"/>
          <w:szCs w:val="16"/>
        </w:rPr>
        <w:t>райхсмарине</w:t>
      </w:r>
      <w:proofErr w:type="spellEnd"/>
      <w:r w:rsidRPr="00A259BD">
        <w:rPr>
          <w:rFonts w:ascii="Times New Roman" w:hAnsi="Times New Roman"/>
          <w:color w:val="000000" w:themeColor="text1"/>
          <w:sz w:val="16"/>
          <w:szCs w:val="16"/>
        </w:rPr>
        <w:t xml:space="preserve">», если тот заговорит «о сотрудничестве и приезде наших моряков». Однако на обеде 26 ноября 1929 г. </w:t>
      </w:r>
      <w:proofErr w:type="spellStart"/>
      <w:r w:rsidRPr="00A259BD">
        <w:rPr>
          <w:rFonts w:ascii="Times New Roman" w:hAnsi="Times New Roman"/>
          <w:color w:val="000000" w:themeColor="text1"/>
          <w:sz w:val="16"/>
          <w:szCs w:val="16"/>
        </w:rPr>
        <w:t>Рэдер</w:t>
      </w:r>
      <w:proofErr w:type="spellEnd"/>
      <w:r w:rsidRPr="00A259BD">
        <w:rPr>
          <w:rFonts w:ascii="Times New Roman" w:hAnsi="Times New Roman"/>
          <w:color w:val="000000" w:themeColor="text1"/>
          <w:sz w:val="16"/>
          <w:szCs w:val="16"/>
        </w:rPr>
        <w:t xml:space="preserve"> данный вопрос не поднимал. (Там же, л. 63—64). Документы его были выправлены на имя Адамова. (John </w:t>
      </w:r>
      <w:proofErr w:type="spellStart"/>
      <w:r w:rsidRPr="00A259BD">
        <w:rPr>
          <w:rFonts w:ascii="Times New Roman" w:hAnsi="Times New Roman"/>
          <w:color w:val="000000" w:themeColor="text1"/>
          <w:sz w:val="16"/>
          <w:szCs w:val="16"/>
        </w:rPr>
        <w:t>Erickson</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Op</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cit</w:t>
      </w:r>
      <w:proofErr w:type="spellEnd"/>
      <w:r w:rsidRPr="00A259BD">
        <w:rPr>
          <w:rFonts w:ascii="Times New Roman" w:hAnsi="Times New Roman"/>
          <w:color w:val="000000" w:themeColor="text1"/>
          <w:sz w:val="16"/>
          <w:szCs w:val="16"/>
        </w:rPr>
        <w:t>., p. 713).) (11784).</w:t>
      </w:r>
    </w:p>
    <w:p w14:paraId="5E2F68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D705A8"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300E54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EBA1DE7" w14:textId="77777777" w:rsidR="00452DC0" w:rsidRPr="00A259BD" w:rsidRDefault="00452DC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июне 1929 г. с французской фирмой «</w:t>
      </w:r>
      <w:proofErr w:type="spellStart"/>
      <w:r w:rsidRPr="00A259BD">
        <w:rPr>
          <w:rFonts w:ascii="Times New Roman" w:hAnsi="Times New Roman"/>
          <w:color w:val="000000" w:themeColor="text1"/>
          <w:sz w:val="16"/>
          <w:szCs w:val="16"/>
        </w:rPr>
        <w:t>Тесафи</w:t>
      </w:r>
      <w:proofErr w:type="spellEnd"/>
      <w:r w:rsidRPr="00A259BD">
        <w:rPr>
          <w:rFonts w:ascii="Times New Roman" w:hAnsi="Times New Roman"/>
          <w:color w:val="000000" w:themeColor="text1"/>
          <w:sz w:val="16"/>
          <w:szCs w:val="16"/>
        </w:rPr>
        <w:t>» (бывшей Французской генеральной радиотелеграфной компанией) был заключен новый договор. Как и в случае с «</w:t>
      </w:r>
      <w:proofErr w:type="spellStart"/>
      <w:r w:rsidRPr="00A259BD">
        <w:rPr>
          <w:rFonts w:ascii="Times New Roman" w:hAnsi="Times New Roman"/>
          <w:color w:val="000000" w:themeColor="text1"/>
          <w:sz w:val="16"/>
          <w:szCs w:val="16"/>
        </w:rPr>
        <w:t>Радиокорпорейшн</w:t>
      </w:r>
      <w:proofErr w:type="spellEnd"/>
      <w:r w:rsidRPr="00A259BD">
        <w:rPr>
          <w:rFonts w:ascii="Times New Roman" w:hAnsi="Times New Roman"/>
          <w:color w:val="000000" w:themeColor="text1"/>
          <w:sz w:val="16"/>
          <w:szCs w:val="16"/>
        </w:rPr>
        <w:t>», это не был полноценный договор о технической помощи. Он предусматривал обмен технической документацией по новейшим радиоустановкам, обмен патентами и правами использования их, а также предоставлял сторонам право командировать небольшое число своих специалистов на предприятия и в лаборатории партнеров. В результате от «</w:t>
      </w:r>
      <w:proofErr w:type="spellStart"/>
      <w:r w:rsidRPr="00A259BD">
        <w:rPr>
          <w:rFonts w:ascii="Times New Roman" w:hAnsi="Times New Roman"/>
          <w:color w:val="000000" w:themeColor="text1"/>
          <w:sz w:val="16"/>
          <w:szCs w:val="16"/>
        </w:rPr>
        <w:t>Тесафи</w:t>
      </w:r>
      <w:proofErr w:type="spellEnd"/>
      <w:r w:rsidRPr="00A259BD">
        <w:rPr>
          <w:rFonts w:ascii="Times New Roman" w:hAnsi="Times New Roman"/>
          <w:color w:val="000000" w:themeColor="text1"/>
          <w:sz w:val="16"/>
          <w:szCs w:val="16"/>
        </w:rPr>
        <w:t xml:space="preserve">» было получено большое количество материалов, хотя и содержащих в значительной степени всего лишь идеи новых разработок, тем не менее, позволивших отечественной промышленности по некоторым направлениям радиотехники добиться большого и быстрого прогресса. Большую пользу принесли и командировки советских специалистов во Францию. Так, С. А. </w:t>
      </w:r>
      <w:proofErr w:type="spellStart"/>
      <w:r w:rsidRPr="00A259BD">
        <w:rPr>
          <w:rFonts w:ascii="Times New Roman" w:hAnsi="Times New Roman"/>
          <w:color w:val="000000" w:themeColor="text1"/>
          <w:sz w:val="16"/>
          <w:szCs w:val="16"/>
        </w:rPr>
        <w:t>Векшинскому</w:t>
      </w:r>
      <w:proofErr w:type="spellEnd"/>
      <w:r w:rsidRPr="00A259BD">
        <w:rPr>
          <w:rFonts w:ascii="Times New Roman" w:hAnsi="Times New Roman"/>
          <w:color w:val="000000" w:themeColor="text1"/>
          <w:sz w:val="16"/>
          <w:szCs w:val="16"/>
        </w:rPr>
        <w:t xml:space="preserve"> удалось изучить на предприятиях фирмы технологию производства усилительных ламп с бариевым катодом и внедрить ее на заводе «Светлана». Известная фирма «Филипс» за информацию подобного рода требовала от советской стороны около 1 млн </w:t>
      </w:r>
      <w:proofErr w:type="spellStart"/>
      <w:r w:rsidRPr="00A259BD">
        <w:rPr>
          <w:rFonts w:ascii="Times New Roman" w:hAnsi="Times New Roman"/>
          <w:color w:val="000000" w:themeColor="text1"/>
          <w:sz w:val="16"/>
          <w:szCs w:val="16"/>
        </w:rPr>
        <w:t>долл</w:t>
      </w:r>
      <w:proofErr w:type="spellEnd"/>
      <w:r w:rsidRPr="00A259BD">
        <w:rPr>
          <w:rFonts w:ascii="Times New Roman" w:hAnsi="Times New Roman"/>
          <w:color w:val="000000" w:themeColor="text1"/>
          <w:sz w:val="16"/>
          <w:szCs w:val="16"/>
        </w:rPr>
        <w:t xml:space="preserve"> (21526).</w:t>
      </w:r>
    </w:p>
    <w:p w14:paraId="451A326F" w14:textId="77777777" w:rsidR="00452DC0" w:rsidRPr="00A259BD" w:rsidRDefault="00452DC0" w:rsidP="009236E3">
      <w:pPr>
        <w:spacing w:after="0" w:line="240" w:lineRule="auto"/>
        <w:jc w:val="both"/>
        <w:rPr>
          <w:rFonts w:ascii="Times New Roman" w:hAnsi="Times New Roman"/>
          <w:color w:val="000000" w:themeColor="text1"/>
          <w:sz w:val="16"/>
          <w:szCs w:val="16"/>
        </w:rPr>
      </w:pPr>
    </w:p>
    <w:p w14:paraId="190DAE8F" w14:textId="77777777" w:rsidR="00452DC0" w:rsidRPr="00A259BD" w:rsidRDefault="00452DC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июне 1929 Фрэнк </w:t>
      </w:r>
      <w:proofErr w:type="spellStart"/>
      <w:r w:rsidRPr="00A259BD">
        <w:rPr>
          <w:rFonts w:ascii="Times New Roman" w:hAnsi="Times New Roman"/>
          <w:color w:val="000000" w:themeColor="text1"/>
          <w:sz w:val="16"/>
          <w:szCs w:val="16"/>
        </w:rPr>
        <w:t>Хоукс</w:t>
      </w:r>
      <w:proofErr w:type="spellEnd"/>
      <w:r w:rsidRPr="00A259BD">
        <w:rPr>
          <w:rFonts w:ascii="Times New Roman" w:hAnsi="Times New Roman"/>
          <w:color w:val="000000" w:themeColor="text1"/>
          <w:sz w:val="16"/>
          <w:szCs w:val="16"/>
        </w:rPr>
        <w:t xml:space="preserve"> устанавливает трансконтинентальный рекорд скорости полета над континентальной частью Соединенных Штатов, пролетев на Lockheed Air Express </w:t>
      </w:r>
      <w:proofErr w:type="spellStart"/>
      <w:r w:rsidRPr="00A259BD">
        <w:rPr>
          <w:rFonts w:ascii="Times New Roman" w:hAnsi="Times New Roman"/>
          <w:color w:val="000000" w:themeColor="text1"/>
          <w:sz w:val="16"/>
          <w:szCs w:val="16"/>
        </w:rPr>
        <w:t>Texaco</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Five</w:t>
      </w:r>
      <w:proofErr w:type="spellEnd"/>
      <w:r w:rsidRPr="00A259BD">
        <w:rPr>
          <w:rFonts w:ascii="Times New Roman" w:hAnsi="Times New Roman"/>
          <w:color w:val="000000" w:themeColor="text1"/>
          <w:sz w:val="16"/>
          <w:szCs w:val="16"/>
        </w:rPr>
        <w:t xml:space="preserve"> (регистрационный NR7955) через всю страну за 17 часов 38 минут (20806).</w:t>
      </w:r>
    </w:p>
    <w:p w14:paraId="3CEE5C72" w14:textId="77777777" w:rsidR="00452DC0" w:rsidRPr="00A259BD" w:rsidRDefault="00452DC0" w:rsidP="009236E3">
      <w:pPr>
        <w:spacing w:after="0" w:line="240" w:lineRule="auto"/>
        <w:jc w:val="both"/>
        <w:rPr>
          <w:rFonts w:ascii="Times New Roman" w:hAnsi="Times New Roman"/>
          <w:color w:val="000000" w:themeColor="text1"/>
          <w:sz w:val="16"/>
          <w:szCs w:val="16"/>
        </w:rPr>
      </w:pPr>
    </w:p>
    <w:p w14:paraId="3468E089" w14:textId="77777777" w:rsidR="000721C0" w:rsidRPr="00A259BD" w:rsidRDefault="000721C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июне 1929 года на Гаагской конференции по репарациям был принят «План Юнга», разработанный главой General Electric американским финансистом О. Юнгом. Сумма репараций уменьшалось до 112 млрд рейхсмарок, которые надлежало выплатить в течение 58,5 лет (18291).</w:t>
      </w:r>
    </w:p>
    <w:p w14:paraId="367AB865" w14:textId="77777777" w:rsidR="000721C0" w:rsidRPr="00A259BD" w:rsidRDefault="000721C0" w:rsidP="009236E3">
      <w:pPr>
        <w:spacing w:after="0" w:line="240" w:lineRule="auto"/>
        <w:jc w:val="both"/>
        <w:rPr>
          <w:rFonts w:ascii="Times New Roman" w:hAnsi="Times New Roman"/>
          <w:color w:val="000000" w:themeColor="text1"/>
          <w:sz w:val="16"/>
          <w:szCs w:val="16"/>
        </w:rPr>
      </w:pPr>
    </w:p>
    <w:p w14:paraId="1D00BF41" w14:textId="77777777" w:rsidR="000721C0" w:rsidRPr="00A259BD" w:rsidRDefault="000721C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июне 1929 г. был принят «план Юнга», который предусматривал выплату Германией репараций в размере 113,9 млрд. марок на протяжении 59 лет, причем в течение 37 лет по 2 млрд. марок. По Сравнению с «планом </w:t>
      </w:r>
      <w:proofErr w:type="spellStart"/>
      <w:r w:rsidRPr="00A259BD">
        <w:rPr>
          <w:rFonts w:ascii="Times New Roman" w:hAnsi="Times New Roman"/>
          <w:color w:val="000000" w:themeColor="text1"/>
          <w:sz w:val="16"/>
          <w:szCs w:val="16"/>
        </w:rPr>
        <w:t>Дауэса</w:t>
      </w:r>
      <w:proofErr w:type="spellEnd"/>
      <w:r w:rsidRPr="00A259BD">
        <w:rPr>
          <w:rFonts w:ascii="Times New Roman" w:hAnsi="Times New Roman"/>
          <w:color w:val="000000" w:themeColor="text1"/>
          <w:sz w:val="16"/>
          <w:szCs w:val="16"/>
        </w:rPr>
        <w:t>» размер ежегодных взносов был снижен на 20 %. Одновременно был решен вопрос о выводе союзных войск из Рейнской зоны, и 30 июня 1930 г. последние французские войска покинули Майнц (18265).</w:t>
      </w:r>
    </w:p>
    <w:p w14:paraId="40B5DBCF" w14:textId="77777777" w:rsidR="000721C0" w:rsidRPr="00A259BD" w:rsidRDefault="000721C0" w:rsidP="009236E3">
      <w:pPr>
        <w:spacing w:after="0" w:line="240" w:lineRule="auto"/>
        <w:jc w:val="both"/>
        <w:rPr>
          <w:rFonts w:ascii="Times New Roman" w:hAnsi="Times New Roman"/>
          <w:color w:val="000000" w:themeColor="text1"/>
          <w:sz w:val="16"/>
          <w:szCs w:val="16"/>
        </w:rPr>
      </w:pPr>
    </w:p>
    <w:p w14:paraId="1BBE5A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июне 1929г. был принят «план Юнга» предусматривал выплату Германией репараций в размере 113,9 млрд. марок на протяжении 59 лет, причем в течение 37 лет по 2 млрд. марок. По Сравнению с «планом </w:t>
      </w:r>
      <w:proofErr w:type="spellStart"/>
      <w:r w:rsidRPr="00A259BD">
        <w:rPr>
          <w:rFonts w:ascii="Times New Roman" w:hAnsi="Times New Roman"/>
          <w:color w:val="000000" w:themeColor="text1"/>
          <w:sz w:val="16"/>
          <w:szCs w:val="16"/>
        </w:rPr>
        <w:t>Дауэса</w:t>
      </w:r>
      <w:proofErr w:type="spellEnd"/>
      <w:r w:rsidRPr="00A259BD">
        <w:rPr>
          <w:rFonts w:ascii="Times New Roman" w:hAnsi="Times New Roman"/>
          <w:color w:val="000000" w:themeColor="text1"/>
          <w:sz w:val="16"/>
          <w:szCs w:val="16"/>
        </w:rPr>
        <w:t>» размер ежегодных взносов был снижен на 20% (План Юнга и Гаагская конференция 1929—1930 гг. Документы и материалы. М., 1931.). Одновременно был решен вопрос о выводе союзных войск из Рейнской зоны, и 30 июня 1930 г. последние французские войска покинули Майнц. «План Юнга» вступил в силу в июне 1930 г., но уже год спустя президент Германии Гинденбург обратился к президенту США Г. Гуверу с призывом о помощи ввиду невозможности уплаты очередного взноса. 20 июня 1931 г. Гувер выступил с предложением моратория на год всех платежей по репарациям и военным долгам. Все страны, включая Францию, вынуждены были принять «мораторий Гувера». Но уже в июне 1932 г., когда срок моратория истекал, в Лозанне открылась последняя конференция по репарационному вопросу, которая окончательно аннулировала репарации (Розанов Г. Л. Очерки новейшей истории Германии (1918—1933). М., 1957. С. 154.). Вслед за этим в 1932 — 1933 гг. все страны — европейские должники США отказались оплачивать Соединенным Штатам военные долги (11784).</w:t>
      </w:r>
    </w:p>
    <w:p w14:paraId="70AAA8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156699" w14:textId="77777777" w:rsidR="00380FD1" w:rsidRPr="00441F34" w:rsidRDefault="00380FD1" w:rsidP="00380F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июне 1929  г. </w:t>
      </w:r>
      <w:proofErr w:type="spellStart"/>
      <w:r w:rsidRPr="00441F34">
        <w:rPr>
          <w:rFonts w:ascii="Times New Roman" w:hAnsi="Times New Roman"/>
          <w:color w:val="0070C0"/>
          <w:sz w:val="16"/>
          <w:szCs w:val="16"/>
        </w:rPr>
        <w:t>Тилинг</w:t>
      </w:r>
      <w:proofErr w:type="spellEnd"/>
      <w:r w:rsidRPr="00441F34">
        <w:rPr>
          <w:rFonts w:ascii="Times New Roman" w:hAnsi="Times New Roman"/>
          <w:color w:val="0070C0"/>
          <w:sz w:val="16"/>
          <w:szCs w:val="16"/>
        </w:rPr>
        <w:t xml:space="preserve"> впервые осуществил несколько успешных пусков, во время которых его ракеты достигли высоты 1000 м. 13 марта 1931 г. он запустил ракету длиной 75 см, диаметром 6,5 см, которая взлетела на скорости 40 м/сек и за 11 секунд достигла высоты 1800 м (т. е. развила скорость около 165 м/сек). Затем она раскрыла крылья и плавно опустилась на землю (23372).</w:t>
      </w:r>
    </w:p>
    <w:p w14:paraId="2A0DBCEC" w14:textId="77777777" w:rsidR="00380FD1" w:rsidRPr="00441F34" w:rsidRDefault="00380FD1" w:rsidP="00380FD1">
      <w:pPr>
        <w:spacing w:after="0" w:line="240" w:lineRule="auto"/>
        <w:jc w:val="both"/>
        <w:rPr>
          <w:rFonts w:ascii="Times New Roman" w:hAnsi="Times New Roman"/>
          <w:color w:val="0070C0"/>
          <w:sz w:val="16"/>
          <w:szCs w:val="16"/>
        </w:rPr>
      </w:pPr>
    </w:p>
    <w:p w14:paraId="5E159CEF" w14:textId="77777777" w:rsidR="006A2CEC"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E325D8E" w14:textId="77777777" w:rsidR="006A2CEC" w:rsidRPr="00A259BD" w:rsidRDefault="006A2CE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D3BFD87" w14:textId="77777777" w:rsidR="006A2CEC" w:rsidRPr="00A259BD" w:rsidRDefault="006A2CEC"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 xml:space="preserve">В июне-июле 1929 г. На испытаниях МР-5 летал С.Т. </w:t>
      </w:r>
      <w:proofErr w:type="spellStart"/>
      <w:r w:rsidRPr="00A259BD">
        <w:rPr>
          <w:rFonts w:ascii="Times New Roman" w:cs="Times New Roman"/>
          <w:color w:val="000000" w:themeColor="text1"/>
          <w:sz w:val="16"/>
          <w:szCs w:val="16"/>
        </w:rPr>
        <w:t>Рыбальчук</w:t>
      </w:r>
      <w:proofErr w:type="spellEnd"/>
      <w:r w:rsidRPr="00A259BD">
        <w:rPr>
          <w:rFonts w:ascii="Times New Roman" w:cs="Times New Roman"/>
          <w:color w:val="000000" w:themeColor="text1"/>
          <w:sz w:val="16"/>
          <w:szCs w:val="16"/>
        </w:rPr>
        <w:t>. Он же перегнал самолет в сентябре в Севастополь. Испытания показали, что в воздухе самолет ведет себя хорошо, устойчив, однако взлет с воды оказался очень тяжел. На раз</w:t>
      </w:r>
      <w:r w:rsidRPr="00A259BD">
        <w:rPr>
          <w:rFonts w:ascii="Times New Roman" w:cs="Times New Roman"/>
          <w:color w:val="000000" w:themeColor="text1"/>
          <w:sz w:val="16"/>
          <w:szCs w:val="16"/>
        </w:rPr>
        <w:softHyphen/>
        <w:t>беге вокруг лодки стояла сплошная пелена брызг, взлетная дистанция была очень велика.</w:t>
      </w:r>
    </w:p>
    <w:p w14:paraId="317A2871" w14:textId="77777777" w:rsidR="006A2CEC" w:rsidRPr="00A259BD" w:rsidRDefault="006A2CEC"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Самолет являлся развитием одномоторных развед</w:t>
      </w:r>
      <w:r w:rsidRPr="00A259BD">
        <w:rPr>
          <w:rFonts w:ascii="Times New Roman" w:cs="Times New Roman"/>
          <w:color w:val="000000" w:themeColor="text1"/>
          <w:sz w:val="16"/>
          <w:szCs w:val="16"/>
        </w:rPr>
        <w:softHyphen/>
        <w:t>чиков МР-1 и МР-2, сразу получил обозначение МР-5. В.Б. Шавров в «</w:t>
      </w:r>
      <w:proofErr w:type="spellStart"/>
      <w:r w:rsidRPr="00A259BD">
        <w:rPr>
          <w:rFonts w:ascii="Times New Roman" w:cs="Times New Roman"/>
          <w:color w:val="000000" w:themeColor="text1"/>
          <w:sz w:val="16"/>
          <w:szCs w:val="16"/>
        </w:rPr>
        <w:t>Историиконструкций</w:t>
      </w:r>
      <w:proofErr w:type="spellEnd"/>
      <w:r w:rsidRPr="00A259BD">
        <w:rPr>
          <w:rFonts w:ascii="Times New Roman" w:cs="Times New Roman"/>
          <w:color w:val="000000" w:themeColor="text1"/>
          <w:sz w:val="16"/>
          <w:szCs w:val="16"/>
        </w:rPr>
        <w:t>...» определяет его также как МР-3, однако в ориги</w:t>
      </w:r>
      <w:r w:rsidRPr="00A259BD">
        <w:rPr>
          <w:rFonts w:ascii="Times New Roman" w:cs="Times New Roman"/>
          <w:color w:val="000000" w:themeColor="text1"/>
          <w:sz w:val="16"/>
          <w:szCs w:val="16"/>
        </w:rPr>
        <w:softHyphen/>
        <w:t>нальных документах название МР-3 (МР-</w:t>
      </w:r>
      <w:proofErr w:type="spellStart"/>
      <w:r w:rsidRPr="00A259BD">
        <w:rPr>
          <w:rFonts w:ascii="Times New Roman" w:cs="Times New Roman"/>
          <w:color w:val="000000" w:themeColor="text1"/>
          <w:sz w:val="16"/>
          <w:szCs w:val="16"/>
        </w:rPr>
        <w:t>Збис</w:t>
      </w:r>
      <w:proofErr w:type="spellEnd"/>
      <w:r w:rsidRPr="00A259BD">
        <w:rPr>
          <w:rFonts w:ascii="Times New Roman" w:cs="Times New Roman"/>
          <w:color w:val="000000" w:themeColor="text1"/>
          <w:sz w:val="16"/>
          <w:szCs w:val="16"/>
        </w:rPr>
        <w:t>) используется только для самолетов РОМ.</w:t>
      </w:r>
    </w:p>
    <w:p w14:paraId="366E4F64" w14:textId="77777777" w:rsidR="006A2CEC" w:rsidRPr="00A259BD" w:rsidRDefault="006A2CEC"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Морской разведчик МР-5 с дви</w:t>
      </w:r>
      <w:r w:rsidRPr="00A259BD">
        <w:rPr>
          <w:rFonts w:ascii="Times New Roman" w:cs="Times New Roman"/>
          <w:color w:val="000000" w:themeColor="text1"/>
          <w:sz w:val="16"/>
          <w:szCs w:val="16"/>
        </w:rPr>
        <w:softHyphen/>
        <w:t>гателем БМВ-У1 в 500/680 л.с. начал проектироваться в 1927 г., а построй</w:t>
      </w:r>
      <w:r w:rsidRPr="00A259BD">
        <w:rPr>
          <w:rFonts w:ascii="Times New Roman" w:cs="Times New Roman"/>
          <w:color w:val="000000" w:themeColor="text1"/>
          <w:sz w:val="16"/>
          <w:szCs w:val="16"/>
        </w:rPr>
        <w:softHyphen/>
        <w:t>ка его началась в 1928 г. Создание МР-5 совпало с переездом отдела морского самолетостроения в Мо</w:t>
      </w:r>
      <w:r w:rsidRPr="00A259BD">
        <w:rPr>
          <w:rFonts w:ascii="Times New Roman" w:cs="Times New Roman"/>
          <w:color w:val="000000" w:themeColor="text1"/>
          <w:sz w:val="16"/>
          <w:szCs w:val="16"/>
        </w:rPr>
        <w:softHyphen/>
        <w:t>скву, поэтому аппарату передались все неприятности этого смутного периода. Уже позднее в ОПО-3 от</w:t>
      </w:r>
      <w:r w:rsidRPr="00A259BD">
        <w:rPr>
          <w:rFonts w:ascii="Times New Roman" w:cs="Times New Roman"/>
          <w:color w:val="000000" w:themeColor="text1"/>
          <w:sz w:val="16"/>
          <w:szCs w:val="16"/>
        </w:rPr>
        <w:softHyphen/>
        <w:t xml:space="preserve">мечали, что работа по </w:t>
      </w:r>
      <w:proofErr w:type="spellStart"/>
      <w:r w:rsidRPr="00A259BD">
        <w:rPr>
          <w:rFonts w:ascii="Times New Roman" w:cs="Times New Roman"/>
          <w:color w:val="000000" w:themeColor="text1"/>
          <w:sz w:val="16"/>
          <w:szCs w:val="16"/>
        </w:rPr>
        <w:t>созданиюметром</w:t>
      </w:r>
      <w:proofErr w:type="spellEnd"/>
      <w:r w:rsidRPr="00A259BD">
        <w:rPr>
          <w:rFonts w:ascii="Times New Roman" w:cs="Times New Roman"/>
          <w:color w:val="000000" w:themeColor="text1"/>
          <w:sz w:val="16"/>
          <w:szCs w:val="16"/>
        </w:rPr>
        <w:t xml:space="preserve"> 3,18 м. Самолет был обору</w:t>
      </w:r>
      <w:r w:rsidRPr="00A259BD">
        <w:rPr>
          <w:rFonts w:ascii="Times New Roman" w:cs="Times New Roman"/>
          <w:color w:val="000000" w:themeColor="text1"/>
          <w:sz w:val="16"/>
          <w:szCs w:val="16"/>
        </w:rPr>
        <w:softHyphen/>
        <w:t>дован двумя турелями ТУР-5 и ТУР-6, под нижним крылом с каждой сторо</w:t>
      </w:r>
      <w:r w:rsidRPr="00A259BD">
        <w:rPr>
          <w:rFonts w:ascii="Times New Roman" w:cs="Times New Roman"/>
          <w:color w:val="000000" w:themeColor="text1"/>
          <w:sz w:val="16"/>
          <w:szCs w:val="16"/>
        </w:rPr>
        <w:softHyphen/>
        <w:t>ны монтировались по два держателя ДЕР-6, позволяющие подвешивать авиабомбы в двух комбинациях: 4x82 кг или 8x48 кг.</w:t>
      </w:r>
    </w:p>
    <w:p w14:paraId="40E88F16" w14:textId="77777777" w:rsidR="006A2CEC" w:rsidRPr="00A259BD" w:rsidRDefault="006A2CEC"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МР-5 достроили на авиазаводе №22 и летом 1929 г. доставили в Таганрог.</w:t>
      </w:r>
    </w:p>
    <w:p w14:paraId="34C61E14" w14:textId="77777777" w:rsidR="006A2CEC" w:rsidRPr="00A259BD" w:rsidRDefault="006A2CEC"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МР-5 сразу пошла нескладно. Не был утвержден эскизный проект, не про</w:t>
      </w:r>
      <w:r w:rsidRPr="00A259BD">
        <w:rPr>
          <w:rFonts w:ascii="Times New Roman" w:cs="Times New Roman"/>
          <w:color w:val="000000" w:themeColor="text1"/>
          <w:sz w:val="16"/>
          <w:szCs w:val="16"/>
        </w:rPr>
        <w:softHyphen/>
        <w:t>ведены продувки аэродинамической модели, тем не менее, разработка самолета велась полным ходом. После ареста Григоровича МР-5 в полуразобранном состоянии при</w:t>
      </w:r>
      <w:r w:rsidRPr="00A259BD">
        <w:rPr>
          <w:rFonts w:ascii="Times New Roman" w:cs="Times New Roman"/>
          <w:color w:val="000000" w:themeColor="text1"/>
          <w:sz w:val="16"/>
          <w:szCs w:val="16"/>
        </w:rPr>
        <w:softHyphen/>
        <w:t>нял конструктор Самсонов, который далее отвечал за его строительство и усовершенствования.</w:t>
      </w:r>
    </w:p>
    <w:p w14:paraId="2F7CAC00" w14:textId="77777777" w:rsidR="006A2CEC" w:rsidRPr="00A259BD" w:rsidRDefault="006A2CEC"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Новая летающая лодка была вы</w:t>
      </w:r>
      <w:r w:rsidRPr="00A259BD">
        <w:rPr>
          <w:rFonts w:ascii="Times New Roman" w:cs="Times New Roman"/>
          <w:color w:val="000000" w:themeColor="text1"/>
          <w:sz w:val="16"/>
          <w:szCs w:val="16"/>
        </w:rPr>
        <w:softHyphen/>
        <w:t>полнена по прежней, отработанной схеме — лодочного биплана с двига</w:t>
      </w:r>
      <w:r w:rsidRPr="00A259BD">
        <w:rPr>
          <w:rFonts w:ascii="Times New Roman" w:cs="Times New Roman"/>
          <w:color w:val="000000" w:themeColor="text1"/>
          <w:sz w:val="16"/>
          <w:szCs w:val="16"/>
        </w:rPr>
        <w:softHyphen/>
        <w:t>телем жидкостного охлаждения и тол</w:t>
      </w:r>
      <w:r w:rsidRPr="00A259BD">
        <w:rPr>
          <w:rFonts w:ascii="Times New Roman" w:cs="Times New Roman"/>
          <w:color w:val="000000" w:themeColor="text1"/>
          <w:sz w:val="16"/>
          <w:szCs w:val="16"/>
        </w:rPr>
        <w:softHyphen/>
        <w:t>кающим воздушным винтом. В пояс</w:t>
      </w:r>
      <w:r w:rsidRPr="00A259BD">
        <w:rPr>
          <w:rFonts w:ascii="Times New Roman" w:cs="Times New Roman"/>
          <w:color w:val="000000" w:themeColor="text1"/>
          <w:sz w:val="16"/>
          <w:szCs w:val="16"/>
        </w:rPr>
        <w:softHyphen/>
        <w:t xml:space="preserve">нительной записке к предъявленному на испытания самолету указывалось, что МР-5 «весь из </w:t>
      </w:r>
      <w:proofErr w:type="spellStart"/>
      <w:r w:rsidRPr="00A259BD">
        <w:rPr>
          <w:rFonts w:ascii="Times New Roman" w:cs="Times New Roman"/>
          <w:color w:val="000000" w:themeColor="text1"/>
          <w:sz w:val="16"/>
          <w:szCs w:val="16"/>
        </w:rPr>
        <w:t>кольчугоалюминия</w:t>
      </w:r>
      <w:proofErr w:type="spellEnd"/>
      <w:r w:rsidRPr="00A259BD">
        <w:rPr>
          <w:rFonts w:ascii="Times New Roman" w:cs="Times New Roman"/>
          <w:color w:val="000000" w:themeColor="text1"/>
          <w:sz w:val="16"/>
          <w:szCs w:val="16"/>
        </w:rPr>
        <w:t>, за исключением крыльев и боковых поплавков».</w:t>
      </w:r>
    </w:p>
    <w:p w14:paraId="5CDF4175" w14:textId="77777777" w:rsidR="006A2CEC" w:rsidRPr="00A259BD" w:rsidRDefault="006A2CEC"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Лодка-фюзеляж имела 7 водо</w:t>
      </w:r>
      <w:r w:rsidRPr="00A259BD">
        <w:rPr>
          <w:rFonts w:ascii="Times New Roman" w:cs="Times New Roman"/>
          <w:color w:val="000000" w:themeColor="text1"/>
          <w:sz w:val="16"/>
          <w:szCs w:val="16"/>
        </w:rPr>
        <w:softHyphen/>
        <w:t>непроницаемых отсеков, в носовой части устроено дополнительное водонепроницаемое дно. Для прохода внутри лодки были оборудо</w:t>
      </w:r>
      <w:r w:rsidRPr="00A259BD">
        <w:rPr>
          <w:rFonts w:ascii="Times New Roman" w:cs="Times New Roman"/>
          <w:color w:val="000000" w:themeColor="text1"/>
          <w:sz w:val="16"/>
          <w:szCs w:val="16"/>
        </w:rPr>
        <w:softHyphen/>
        <w:t>ваны круглые задраи</w:t>
      </w:r>
      <w:r w:rsidRPr="00A259BD">
        <w:rPr>
          <w:rFonts w:ascii="Times New Roman" w:cs="Times New Roman"/>
          <w:color w:val="000000" w:themeColor="text1"/>
          <w:sz w:val="16"/>
          <w:szCs w:val="16"/>
        </w:rPr>
        <w:softHyphen/>
        <w:t>ваемые люки, еще один такой люк находился в верхней палубе для вы</w:t>
      </w:r>
      <w:r w:rsidRPr="00A259BD">
        <w:rPr>
          <w:rFonts w:ascii="Times New Roman" w:cs="Times New Roman"/>
          <w:color w:val="000000" w:themeColor="text1"/>
          <w:sz w:val="16"/>
          <w:szCs w:val="16"/>
        </w:rPr>
        <w:softHyphen/>
        <w:t>емки бензиновых баков. Всего таких основных баков в лодке имелось два, общей емкостью 608 л, еще один бак — расходный, емкостью 64 л. Масляный бак раз</w:t>
      </w:r>
      <w:r w:rsidRPr="00A259BD">
        <w:rPr>
          <w:rFonts w:ascii="Times New Roman" w:cs="Times New Roman"/>
          <w:color w:val="000000" w:themeColor="text1"/>
          <w:sz w:val="16"/>
          <w:szCs w:val="16"/>
        </w:rPr>
        <w:softHyphen/>
        <w:t>местили под радиато</w:t>
      </w:r>
      <w:r w:rsidRPr="00A259BD">
        <w:rPr>
          <w:rFonts w:ascii="Times New Roman" w:cs="Times New Roman"/>
          <w:color w:val="000000" w:themeColor="text1"/>
          <w:sz w:val="16"/>
          <w:szCs w:val="16"/>
        </w:rPr>
        <w:softHyphen/>
        <w:t>ром охлаждения, что придало моторной гон</w:t>
      </w:r>
      <w:r w:rsidRPr="00A259BD">
        <w:rPr>
          <w:rFonts w:ascii="Times New Roman" w:cs="Times New Roman"/>
          <w:color w:val="000000" w:themeColor="text1"/>
          <w:sz w:val="16"/>
          <w:szCs w:val="16"/>
        </w:rPr>
        <w:softHyphen/>
        <w:t>доле в передней ниж</w:t>
      </w:r>
      <w:r w:rsidRPr="00A259BD">
        <w:rPr>
          <w:rFonts w:ascii="Times New Roman" w:cs="Times New Roman"/>
          <w:color w:val="000000" w:themeColor="text1"/>
          <w:sz w:val="16"/>
          <w:szCs w:val="16"/>
        </w:rPr>
        <w:softHyphen/>
        <w:t>ней части своеобраз</w:t>
      </w:r>
      <w:r w:rsidRPr="00A259BD">
        <w:rPr>
          <w:rFonts w:ascii="Times New Roman" w:cs="Times New Roman"/>
          <w:color w:val="000000" w:themeColor="text1"/>
          <w:sz w:val="16"/>
          <w:szCs w:val="16"/>
        </w:rPr>
        <w:softHyphen/>
        <w:t>ный «оттопыренный» вид. Двигатель БМВ-\/1 оснастили деревянным воздушным винтом.</w:t>
      </w:r>
    </w:p>
    <w:p w14:paraId="7BDF0DF3" w14:textId="77777777" w:rsidR="006A2CEC" w:rsidRPr="00A259BD" w:rsidRDefault="006A2CEC" w:rsidP="009236E3">
      <w:pPr>
        <w:pStyle w:val="90"/>
        <w:shd w:val="clear" w:color="auto" w:fill="auto"/>
        <w:tabs>
          <w:tab w:val="left" w:leader="dot" w:pos="2650"/>
        </w:tabs>
        <w:spacing w:line="240" w:lineRule="auto"/>
        <w:jc w:val="both"/>
        <w:rPr>
          <w:rFonts w:ascii="Times New Roman" w:hAnsi="Times New Roman" w:cs="Times New Roman"/>
          <w:color w:val="000000" w:themeColor="text1"/>
          <w:sz w:val="16"/>
          <w:szCs w:val="16"/>
        </w:rPr>
      </w:pPr>
      <w:r w:rsidRPr="00A259BD">
        <w:rPr>
          <w:rFonts w:ascii="Times New Roman" w:hAnsi="Times New Roman" w:cs="Times New Roman"/>
          <w:color w:val="000000" w:themeColor="text1"/>
          <w:sz w:val="16"/>
          <w:szCs w:val="16"/>
        </w:rPr>
        <w:t>Размах верхнего крыла (м)</w:t>
      </w:r>
      <w:r w:rsidRPr="00A259BD">
        <w:rPr>
          <w:rFonts w:ascii="Times New Roman" w:hAnsi="Times New Roman" w:cs="Times New Roman"/>
          <w:color w:val="000000" w:themeColor="text1"/>
          <w:sz w:val="16"/>
          <w:szCs w:val="16"/>
        </w:rPr>
        <w:tab/>
        <w:t>15,6</w:t>
      </w:r>
    </w:p>
    <w:p w14:paraId="37272B6C" w14:textId="77777777" w:rsidR="006A2CEC" w:rsidRPr="00A259BD" w:rsidRDefault="006A2CEC" w:rsidP="009236E3">
      <w:pPr>
        <w:pStyle w:val="90"/>
        <w:shd w:val="clear" w:color="auto" w:fill="auto"/>
        <w:tabs>
          <w:tab w:val="left" w:leader="dot" w:pos="2597"/>
        </w:tabs>
        <w:spacing w:line="240" w:lineRule="auto"/>
        <w:jc w:val="both"/>
        <w:rPr>
          <w:rFonts w:ascii="Times New Roman" w:hAnsi="Times New Roman" w:cs="Times New Roman"/>
          <w:color w:val="000000" w:themeColor="text1"/>
          <w:sz w:val="16"/>
          <w:szCs w:val="16"/>
        </w:rPr>
      </w:pPr>
      <w:r w:rsidRPr="00A259BD">
        <w:rPr>
          <w:rFonts w:ascii="Times New Roman" w:hAnsi="Times New Roman" w:cs="Times New Roman"/>
          <w:color w:val="000000" w:themeColor="text1"/>
          <w:sz w:val="16"/>
          <w:szCs w:val="16"/>
        </w:rPr>
        <w:t>Размах нижнего крыла (м)</w:t>
      </w:r>
      <w:r w:rsidRPr="00A259BD">
        <w:rPr>
          <w:rFonts w:ascii="Times New Roman" w:hAnsi="Times New Roman" w:cs="Times New Roman"/>
          <w:color w:val="000000" w:themeColor="text1"/>
          <w:sz w:val="16"/>
          <w:szCs w:val="16"/>
        </w:rPr>
        <w:tab/>
        <w:t>13,65</w:t>
      </w:r>
    </w:p>
    <w:p w14:paraId="74B9A9B8" w14:textId="77777777" w:rsidR="006A2CEC" w:rsidRPr="00A259BD" w:rsidRDefault="006A2CEC" w:rsidP="009236E3">
      <w:pPr>
        <w:pStyle w:val="90"/>
        <w:shd w:val="clear" w:color="auto" w:fill="auto"/>
        <w:tabs>
          <w:tab w:val="left" w:leader="dot" w:pos="2606"/>
        </w:tabs>
        <w:spacing w:line="240" w:lineRule="auto"/>
        <w:jc w:val="both"/>
        <w:rPr>
          <w:rFonts w:ascii="Times New Roman" w:hAnsi="Times New Roman" w:cs="Times New Roman"/>
          <w:color w:val="000000" w:themeColor="text1"/>
          <w:sz w:val="16"/>
          <w:szCs w:val="16"/>
        </w:rPr>
      </w:pPr>
      <w:r w:rsidRPr="00A259BD">
        <w:rPr>
          <w:rFonts w:ascii="Times New Roman" w:hAnsi="Times New Roman" w:cs="Times New Roman"/>
          <w:color w:val="000000" w:themeColor="text1"/>
          <w:sz w:val="16"/>
          <w:szCs w:val="16"/>
        </w:rPr>
        <w:t>Длина в линии полета (м)</w:t>
      </w:r>
      <w:r w:rsidRPr="00A259BD">
        <w:rPr>
          <w:rFonts w:ascii="Times New Roman" w:hAnsi="Times New Roman" w:cs="Times New Roman"/>
          <w:color w:val="000000" w:themeColor="text1"/>
          <w:sz w:val="16"/>
          <w:szCs w:val="16"/>
        </w:rPr>
        <w:tab/>
        <w:t>11,47</w:t>
      </w:r>
      <w:r w:rsidRPr="00A259BD">
        <w:rPr>
          <w:rStyle w:val="95pt"/>
          <w:rFonts w:ascii="Times New Roman" w:hAnsi="Times New Roman" w:cs="Times New Roman"/>
          <w:color w:val="000000" w:themeColor="text1"/>
          <w:sz w:val="16"/>
          <w:szCs w:val="16"/>
        </w:rPr>
        <w:t xml:space="preserve"> I</w:t>
      </w:r>
    </w:p>
    <w:p w14:paraId="11B0EFBB" w14:textId="77777777" w:rsidR="006A2CEC" w:rsidRPr="00A259BD" w:rsidRDefault="006A2CEC" w:rsidP="009236E3">
      <w:pPr>
        <w:pStyle w:val="90"/>
        <w:shd w:val="clear" w:color="auto" w:fill="auto"/>
        <w:tabs>
          <w:tab w:val="left" w:leader="dot" w:pos="2650"/>
        </w:tabs>
        <w:spacing w:line="240" w:lineRule="auto"/>
        <w:jc w:val="both"/>
        <w:rPr>
          <w:rFonts w:ascii="Times New Roman" w:hAnsi="Times New Roman" w:cs="Times New Roman"/>
          <w:color w:val="000000" w:themeColor="text1"/>
          <w:sz w:val="16"/>
          <w:szCs w:val="16"/>
        </w:rPr>
      </w:pPr>
      <w:r w:rsidRPr="00A259BD">
        <w:rPr>
          <w:rFonts w:ascii="Times New Roman" w:hAnsi="Times New Roman" w:cs="Times New Roman"/>
          <w:color w:val="000000" w:themeColor="text1"/>
          <w:sz w:val="16"/>
          <w:szCs w:val="16"/>
        </w:rPr>
        <w:t>Площадь крыльев (м</w:t>
      </w:r>
      <w:r w:rsidRPr="00A259BD">
        <w:rPr>
          <w:rFonts w:ascii="Times New Roman" w:hAnsi="Times New Roman" w:cs="Times New Roman"/>
          <w:color w:val="000000" w:themeColor="text1"/>
          <w:sz w:val="16"/>
          <w:szCs w:val="16"/>
          <w:vertAlign w:val="superscript"/>
        </w:rPr>
        <w:t>2</w:t>
      </w:r>
      <w:r w:rsidRPr="00A259BD">
        <w:rPr>
          <w:rFonts w:ascii="Times New Roman" w:hAnsi="Times New Roman" w:cs="Times New Roman"/>
          <w:color w:val="000000" w:themeColor="text1"/>
          <w:sz w:val="16"/>
          <w:szCs w:val="16"/>
        </w:rPr>
        <w:t>)</w:t>
      </w:r>
      <w:r w:rsidRPr="00A259BD">
        <w:rPr>
          <w:rFonts w:ascii="Times New Roman" w:hAnsi="Times New Roman" w:cs="Times New Roman"/>
          <w:color w:val="000000" w:themeColor="text1"/>
          <w:sz w:val="16"/>
          <w:szCs w:val="16"/>
        </w:rPr>
        <w:tab/>
        <w:t>53,0 ;</w:t>
      </w:r>
    </w:p>
    <w:p w14:paraId="4BE9A463" w14:textId="77777777" w:rsidR="006A2CEC" w:rsidRPr="00A259BD" w:rsidRDefault="006A2CEC" w:rsidP="009236E3">
      <w:pPr>
        <w:pStyle w:val="90"/>
        <w:shd w:val="clear" w:color="auto" w:fill="auto"/>
        <w:tabs>
          <w:tab w:val="left" w:leader="dot" w:pos="2650"/>
        </w:tabs>
        <w:spacing w:line="240" w:lineRule="auto"/>
        <w:jc w:val="both"/>
        <w:rPr>
          <w:rFonts w:ascii="Times New Roman" w:hAnsi="Times New Roman" w:cs="Times New Roman"/>
          <w:color w:val="000000" w:themeColor="text1"/>
          <w:sz w:val="16"/>
          <w:szCs w:val="16"/>
        </w:rPr>
      </w:pPr>
      <w:r w:rsidRPr="00A259BD">
        <w:rPr>
          <w:rFonts w:ascii="Times New Roman" w:hAnsi="Times New Roman" w:cs="Times New Roman"/>
          <w:color w:val="000000" w:themeColor="text1"/>
          <w:sz w:val="16"/>
          <w:szCs w:val="16"/>
        </w:rPr>
        <w:t>Вес пустого (кг)</w:t>
      </w:r>
      <w:r w:rsidRPr="00A259BD">
        <w:rPr>
          <w:rFonts w:ascii="Times New Roman" w:hAnsi="Times New Roman" w:cs="Times New Roman"/>
          <w:color w:val="000000" w:themeColor="text1"/>
          <w:sz w:val="16"/>
          <w:szCs w:val="16"/>
        </w:rPr>
        <w:tab/>
        <w:t>2226 I</w:t>
      </w:r>
    </w:p>
    <w:p w14:paraId="5D54406E" w14:textId="77777777" w:rsidR="006A2CEC" w:rsidRPr="00A259BD" w:rsidRDefault="006A2CEC" w:rsidP="009236E3">
      <w:pPr>
        <w:pStyle w:val="90"/>
        <w:shd w:val="clear" w:color="auto" w:fill="auto"/>
        <w:tabs>
          <w:tab w:val="left" w:leader="dot" w:pos="2650"/>
        </w:tabs>
        <w:spacing w:line="240" w:lineRule="auto"/>
        <w:jc w:val="both"/>
        <w:rPr>
          <w:rFonts w:ascii="Times New Roman" w:hAnsi="Times New Roman" w:cs="Times New Roman"/>
          <w:color w:val="000000" w:themeColor="text1"/>
          <w:sz w:val="16"/>
          <w:szCs w:val="16"/>
        </w:rPr>
      </w:pPr>
      <w:r w:rsidRPr="00A259BD">
        <w:rPr>
          <w:rFonts w:ascii="Times New Roman" w:hAnsi="Times New Roman" w:cs="Times New Roman"/>
          <w:color w:val="000000" w:themeColor="text1"/>
          <w:sz w:val="16"/>
          <w:szCs w:val="16"/>
        </w:rPr>
        <w:t>Полезная нагрузка (кг)</w:t>
      </w:r>
      <w:r w:rsidRPr="00A259BD">
        <w:rPr>
          <w:rFonts w:ascii="Times New Roman" w:hAnsi="Times New Roman" w:cs="Times New Roman"/>
          <w:color w:val="000000" w:themeColor="text1"/>
          <w:sz w:val="16"/>
          <w:szCs w:val="16"/>
        </w:rPr>
        <w:tab/>
        <w:t>1056 I</w:t>
      </w:r>
    </w:p>
    <w:p w14:paraId="0438AD55" w14:textId="77777777" w:rsidR="006A2CEC" w:rsidRPr="00A259BD" w:rsidRDefault="006A2CEC" w:rsidP="009236E3">
      <w:pPr>
        <w:pStyle w:val="90"/>
        <w:shd w:val="clear" w:color="auto" w:fill="auto"/>
        <w:tabs>
          <w:tab w:val="left" w:leader="dot" w:pos="2650"/>
        </w:tabs>
        <w:spacing w:line="240" w:lineRule="auto"/>
        <w:jc w:val="both"/>
        <w:rPr>
          <w:rFonts w:ascii="Times New Roman" w:hAnsi="Times New Roman" w:cs="Times New Roman"/>
          <w:color w:val="000000" w:themeColor="text1"/>
          <w:sz w:val="16"/>
          <w:szCs w:val="16"/>
        </w:rPr>
      </w:pPr>
      <w:r w:rsidRPr="00A259BD">
        <w:rPr>
          <w:rFonts w:ascii="Times New Roman" w:hAnsi="Times New Roman" w:cs="Times New Roman"/>
          <w:color w:val="000000" w:themeColor="text1"/>
          <w:sz w:val="16"/>
          <w:szCs w:val="16"/>
        </w:rPr>
        <w:t xml:space="preserve">Полетный вес (кг) </w:t>
      </w:r>
      <w:r w:rsidRPr="00A259BD">
        <w:rPr>
          <w:rFonts w:ascii="Times New Roman" w:hAnsi="Times New Roman" w:cs="Times New Roman"/>
          <w:color w:val="000000" w:themeColor="text1"/>
          <w:sz w:val="16"/>
          <w:szCs w:val="16"/>
        </w:rPr>
        <w:tab/>
        <w:t>3282 ;</w:t>
      </w:r>
    </w:p>
    <w:p w14:paraId="0D5E428A" w14:textId="77777777" w:rsidR="006A2CEC" w:rsidRPr="00A259BD" w:rsidRDefault="006A2CEC" w:rsidP="009236E3">
      <w:pPr>
        <w:pStyle w:val="90"/>
        <w:shd w:val="clear" w:color="auto" w:fill="auto"/>
        <w:spacing w:line="240" w:lineRule="auto"/>
        <w:jc w:val="both"/>
        <w:rPr>
          <w:rFonts w:ascii="Times New Roman" w:hAnsi="Times New Roman" w:cs="Times New Roman"/>
          <w:color w:val="000000" w:themeColor="text1"/>
          <w:sz w:val="16"/>
          <w:szCs w:val="16"/>
        </w:rPr>
      </w:pPr>
      <w:r w:rsidRPr="00A259BD">
        <w:rPr>
          <w:rFonts w:ascii="Times New Roman" w:hAnsi="Times New Roman" w:cs="Times New Roman"/>
          <w:color w:val="000000" w:themeColor="text1"/>
          <w:sz w:val="16"/>
          <w:szCs w:val="16"/>
        </w:rPr>
        <w:t xml:space="preserve">Скорость максимальная у земли (км/ч) </w:t>
      </w:r>
      <w:r w:rsidRPr="00A259BD">
        <w:rPr>
          <w:rFonts w:ascii="Times New Roman" w:hAnsi="Times New Roman" w:cs="Times New Roman"/>
          <w:color w:val="000000" w:themeColor="text1"/>
          <w:sz w:val="16"/>
          <w:szCs w:val="16"/>
        </w:rPr>
        <w:tab/>
        <w:t xml:space="preserve"> 190</w:t>
      </w:r>
    </w:p>
    <w:p w14:paraId="742B657F" w14:textId="77777777" w:rsidR="006A2CEC" w:rsidRPr="00A259BD" w:rsidRDefault="006A2CE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на высоте 1000 м (км/ч)</w:t>
      </w:r>
      <w:r w:rsidRPr="00A259BD">
        <w:rPr>
          <w:rFonts w:ascii="Times New Roman" w:hAnsi="Times New Roman"/>
          <w:color w:val="000000" w:themeColor="text1"/>
          <w:sz w:val="16"/>
          <w:szCs w:val="16"/>
        </w:rPr>
        <w:tab/>
        <w:t xml:space="preserve"> 193</w:t>
      </w:r>
    </w:p>
    <w:p w14:paraId="3FE1B046" w14:textId="77777777" w:rsidR="006A2CEC" w:rsidRPr="00A259BD" w:rsidRDefault="006A2CEC" w:rsidP="009236E3">
      <w:pPr>
        <w:tabs>
          <w:tab w:val="right" w:leader="dot" w:pos="3076"/>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Посадочная скорость (км/ч)</w:t>
      </w:r>
      <w:r w:rsidRPr="00A259BD">
        <w:rPr>
          <w:rFonts w:ascii="Times New Roman" w:hAnsi="Times New Roman"/>
          <w:color w:val="000000" w:themeColor="text1"/>
          <w:sz w:val="16"/>
          <w:szCs w:val="16"/>
        </w:rPr>
        <w:tab/>
        <w:t>95</w:t>
      </w:r>
    </w:p>
    <w:p w14:paraId="50344013" w14:textId="77777777" w:rsidR="006A2CEC" w:rsidRPr="00A259BD" w:rsidRDefault="006A2CEC" w:rsidP="009236E3">
      <w:pPr>
        <w:tabs>
          <w:tab w:val="left" w:leader="dot" w:pos="254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Время виража (сек)</w:t>
      </w:r>
      <w:r w:rsidRPr="00A259BD">
        <w:rPr>
          <w:rFonts w:ascii="Times New Roman" w:hAnsi="Times New Roman"/>
          <w:color w:val="000000" w:themeColor="text1"/>
          <w:sz w:val="16"/>
          <w:szCs w:val="16"/>
        </w:rPr>
        <w:tab/>
        <w:t>29-32</w:t>
      </w:r>
    </w:p>
    <w:p w14:paraId="7F8B0026" w14:textId="77777777" w:rsidR="006A2CEC" w:rsidRPr="00A259BD" w:rsidRDefault="006A2CEC" w:rsidP="009236E3">
      <w:pPr>
        <w:tabs>
          <w:tab w:val="right" w:leader="dot" w:pos="3076"/>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Практический потолок (м)</w:t>
      </w:r>
      <w:r w:rsidRPr="00A259BD">
        <w:rPr>
          <w:rFonts w:ascii="Times New Roman" w:hAnsi="Times New Roman"/>
          <w:color w:val="000000" w:themeColor="text1"/>
          <w:sz w:val="16"/>
          <w:szCs w:val="16"/>
        </w:rPr>
        <w:tab/>
        <w:t>4000</w:t>
      </w:r>
    </w:p>
    <w:p w14:paraId="1291BD8D" w14:textId="77777777" w:rsidR="006A2CEC" w:rsidRPr="00A259BD" w:rsidRDefault="006A2CE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набора максимального потолка (мин)</w:t>
      </w:r>
      <w:r w:rsidRPr="00A259BD">
        <w:rPr>
          <w:rFonts w:ascii="Times New Roman" w:hAnsi="Times New Roman"/>
          <w:color w:val="000000" w:themeColor="text1"/>
          <w:sz w:val="16"/>
          <w:szCs w:val="16"/>
        </w:rPr>
        <w:tab/>
        <w:t>68,5</w:t>
      </w:r>
    </w:p>
    <w:p w14:paraId="7C21748E" w14:textId="77777777" w:rsidR="006A2CEC" w:rsidRPr="00A259BD" w:rsidRDefault="006A2CEC" w:rsidP="009236E3">
      <w:pPr>
        <w:tabs>
          <w:tab w:val="right" w:leader="dot" w:pos="3076"/>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Радиус действия (км)</w:t>
      </w:r>
      <w:r w:rsidRPr="00A259BD">
        <w:rPr>
          <w:rFonts w:ascii="Times New Roman" w:hAnsi="Times New Roman"/>
          <w:color w:val="000000" w:themeColor="text1"/>
          <w:sz w:val="16"/>
          <w:szCs w:val="16"/>
        </w:rPr>
        <w:tab/>
        <w:t>525 (12609).</w:t>
      </w:r>
    </w:p>
    <w:p w14:paraId="2A815D7B" w14:textId="77777777" w:rsidR="006A2CEC" w:rsidRPr="00A259BD" w:rsidRDefault="006A2CEC" w:rsidP="009236E3">
      <w:pPr>
        <w:pStyle w:val="45"/>
        <w:shd w:val="clear" w:color="auto" w:fill="auto"/>
        <w:spacing w:before="0" w:line="240" w:lineRule="auto"/>
        <w:jc w:val="both"/>
        <w:rPr>
          <w:rFonts w:ascii="Times New Roman" w:cs="Times New Roman"/>
          <w:color w:val="000000" w:themeColor="text1"/>
          <w:sz w:val="16"/>
          <w:szCs w:val="16"/>
        </w:rPr>
      </w:pPr>
    </w:p>
    <w:p w14:paraId="3FEBEEC2" w14:textId="77777777" w:rsidR="005D09F4" w:rsidRPr="00A259BD" w:rsidRDefault="005D09F4"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9334F5C" w14:textId="77777777" w:rsidR="005D09F4" w:rsidRPr="00A259BD" w:rsidRDefault="005D09F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784FD2" w14:textId="77777777" w:rsidR="005D09F4" w:rsidRPr="00A259BD" w:rsidRDefault="005D09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первой половине 1929 г. по результатам обследования административно-технического персонала ленинградской электрослаботочной промышленности специальной правительственной комиссией было признано целесообразным подвергнуть дискриминационным ограничениям в деятельности (вплоть до увольнения) 24 специалиста правления ЭТЗСТ и заводоуправлений. Среди них были такие ключевые фигуры, как технические директора заводов им. Кулакова и им. Коминтерна, заведующий производством завода им. Козицкого, два заведующих отделами «Светланы», два заведующих отделами и семь инженеров различных отделов правления треста4. Все эти специалисты имели большой опыт производственной и административной деятельности еще с дореволюционных времен, а теперь оказались виновными за все технологические и производственные срывы, неизбежные и в нормальных условиях, а уже тем более во время проведения форсированной индустриализации (18297).</w:t>
      </w:r>
    </w:p>
    <w:p w14:paraId="429AE522" w14:textId="77777777" w:rsidR="005D09F4" w:rsidRPr="00A259BD" w:rsidRDefault="005D09F4" w:rsidP="009236E3">
      <w:pPr>
        <w:spacing w:after="0" w:line="240" w:lineRule="auto"/>
        <w:jc w:val="both"/>
        <w:rPr>
          <w:rFonts w:ascii="Times New Roman" w:hAnsi="Times New Roman"/>
          <w:color w:val="000000" w:themeColor="text1"/>
          <w:sz w:val="16"/>
          <w:szCs w:val="16"/>
        </w:rPr>
      </w:pPr>
    </w:p>
    <w:p w14:paraId="4B552BE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1D81517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1F56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первой половине 1929 г. началось  настоящее внедрение Р-3 в строевые части ВВС, когда в значительном количестве поступили Р-ЗЛД. Из всех частей, которые должны были переходить на эти машины, в НИИ ВВС откомандировали по три лучших экипажа. Первым полностью перевооружили на эти разведчики 10-й авиаотряд под Москвой. К 10 мая он закончил переучивание и сдал старые Р-1. К лету новые машины получил еще целый ряд эскадрилий и отрядов, в частности, 20-й </w:t>
      </w:r>
      <w:proofErr w:type="spellStart"/>
      <w:r w:rsidRPr="00A259BD">
        <w:rPr>
          <w:rFonts w:ascii="Times New Roman" w:hAnsi="Times New Roman"/>
          <w:color w:val="000000" w:themeColor="text1"/>
          <w:sz w:val="16"/>
          <w:szCs w:val="16"/>
        </w:rPr>
        <w:t>ао</w:t>
      </w:r>
      <w:proofErr w:type="spellEnd"/>
      <w:r w:rsidRPr="00A259BD">
        <w:rPr>
          <w:rFonts w:ascii="Times New Roman" w:hAnsi="Times New Roman"/>
          <w:color w:val="000000" w:themeColor="text1"/>
          <w:sz w:val="16"/>
          <w:szCs w:val="16"/>
        </w:rPr>
        <w:t xml:space="preserve"> и 30-я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в Подмосковье. На 1 мая 1929 г. в первом значилось восемь самолетов, во второй - 19 (полный комплект). Такие же машины получил 44-й </w:t>
      </w:r>
      <w:proofErr w:type="spellStart"/>
      <w:r w:rsidRPr="00A259BD">
        <w:rPr>
          <w:rFonts w:ascii="Times New Roman" w:hAnsi="Times New Roman"/>
          <w:color w:val="000000" w:themeColor="text1"/>
          <w:sz w:val="16"/>
          <w:szCs w:val="16"/>
        </w:rPr>
        <w:t>ао</w:t>
      </w:r>
      <w:proofErr w:type="spellEnd"/>
      <w:r w:rsidRPr="00A259BD">
        <w:rPr>
          <w:rFonts w:ascii="Times New Roman" w:hAnsi="Times New Roman"/>
          <w:color w:val="000000" w:themeColor="text1"/>
          <w:sz w:val="16"/>
          <w:szCs w:val="16"/>
        </w:rPr>
        <w:t xml:space="preserve"> в Закавказье. Р-ЗЛД также выделялся в качестве персональных самолетов командирам соединений. Несколько машин передали как учебно-тренировочные в 55-ю и 57-ю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Ленинградского округа - тогда они были единственными в ВВС РККА "тяжелыми" эскадрильями, вооруженными не одномоторными бомбардировщиками, а смесью французских двухмоторных ФГ-62 (Фарман F-62 "Голиаф") и немецких трехмоторных ЮГ-1 (Юнкере К.ЗОС). Первоочередному перевооружению подлежали части, летавшие ранее на Ю-21. Это объяснялось двумя причинами: во-первых, характеристики немецких разведчиков оставляли желать много лучшего, а во-вторых, там уже имели опыт эксплуатации цельнометаллических самолетов.</w:t>
      </w:r>
    </w:p>
    <w:p w14:paraId="1E4C8B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Опыт эксплуатации Р-ЗЛД сразу же выявил значительное число серьезных дефектов. В первую очередь столкнулись с недостаточной жесткостью шпангоутов передней части фюзеляжа. Основные жалобы были связаны с деформацией 1-го шпангоута и отрывом бортов его рамы в местах крепления башмаков подкоса шасси. Деформировались и другие шпангоуты. После 60 - 70 посадок выпадали заклепки, изгибались подкосы шасси. Вызывали нарекания плохая работа бомбосбрасывателей (для залпа восемью бомбами летнабу приходилось тянуть ручку двумя руками - такое требовалось усилие) и вибрация стрелкового прицела. Постоянно донимали течи радиаторов, масло- и </w:t>
      </w:r>
      <w:proofErr w:type="spellStart"/>
      <w:r w:rsidRPr="00A259BD">
        <w:rPr>
          <w:rFonts w:ascii="Times New Roman" w:hAnsi="Times New Roman"/>
          <w:color w:val="000000" w:themeColor="text1"/>
          <w:sz w:val="16"/>
          <w:szCs w:val="16"/>
        </w:rPr>
        <w:t>бензомагистра</w:t>
      </w:r>
      <w:proofErr w:type="spellEnd"/>
      <w:r w:rsidRPr="00A259BD">
        <w:rPr>
          <w:rFonts w:ascii="Times New Roman" w:hAnsi="Times New Roman"/>
          <w:color w:val="000000" w:themeColor="text1"/>
          <w:sz w:val="16"/>
          <w:szCs w:val="16"/>
        </w:rPr>
        <w:t xml:space="preserve">- лей, кранов. Уже с января 1929 г. завод № 39 начал переделку новеньких Р-ЗМ5 и Р-ЗЛД, полученных 30-й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и 20-м </w:t>
      </w:r>
      <w:proofErr w:type="spellStart"/>
      <w:r w:rsidRPr="00A259BD">
        <w:rPr>
          <w:rFonts w:ascii="Times New Roman" w:hAnsi="Times New Roman"/>
          <w:color w:val="000000" w:themeColor="text1"/>
          <w:sz w:val="16"/>
          <w:szCs w:val="16"/>
        </w:rPr>
        <w:t>ао</w:t>
      </w:r>
      <w:proofErr w:type="spellEnd"/>
      <w:r w:rsidRPr="00A259BD">
        <w:rPr>
          <w:rFonts w:ascii="Times New Roman" w:hAnsi="Times New Roman"/>
          <w:color w:val="000000" w:themeColor="text1"/>
          <w:sz w:val="16"/>
          <w:szCs w:val="16"/>
        </w:rPr>
        <w:t xml:space="preserve">. Усиливались распорками 1-й и 2-й шпангоуты; ставились новые, более прочные, ушки подвески карбюраторов; проводилась переделка масло- и </w:t>
      </w:r>
      <w:proofErr w:type="spellStart"/>
      <w:r w:rsidRPr="00A259BD">
        <w:rPr>
          <w:rFonts w:ascii="Times New Roman" w:hAnsi="Times New Roman"/>
          <w:color w:val="000000" w:themeColor="text1"/>
          <w:sz w:val="16"/>
          <w:szCs w:val="16"/>
        </w:rPr>
        <w:t>бензосистем</w:t>
      </w:r>
      <w:proofErr w:type="spellEnd"/>
      <w:r w:rsidRPr="00A259BD">
        <w:rPr>
          <w:rFonts w:ascii="Times New Roman" w:hAnsi="Times New Roman"/>
          <w:color w:val="000000" w:themeColor="text1"/>
          <w:sz w:val="16"/>
          <w:szCs w:val="16"/>
        </w:rPr>
        <w:t>. Решено было усилить все Р-ЗЛД, имевшиеся в ВВС. К декабрю небольшой завод захлебнулся поступающими из частей самолетами. Председатель Технико-эксплуатационной инспекции УВВС Смолин докладывал: "</w:t>
      </w:r>
      <w:proofErr w:type="spellStart"/>
      <w:r w:rsidRPr="00A259BD">
        <w:rPr>
          <w:rFonts w:ascii="Times New Roman" w:hAnsi="Times New Roman"/>
          <w:color w:val="000000" w:themeColor="text1"/>
          <w:sz w:val="16"/>
          <w:szCs w:val="16"/>
        </w:rPr>
        <w:t>Ремфонд</w:t>
      </w:r>
      <w:proofErr w:type="spellEnd"/>
      <w:r w:rsidRPr="00A259BD">
        <w:rPr>
          <w:rFonts w:ascii="Times New Roman" w:hAnsi="Times New Roman"/>
          <w:color w:val="000000" w:themeColor="text1"/>
          <w:sz w:val="16"/>
          <w:szCs w:val="16"/>
        </w:rPr>
        <w:t xml:space="preserve"> завода № 39... забит самолетами" и настаивал на четкой формулировке принципа отбора машин для модернизации. В конечном итоге решили переделывать только самолеты с явными признаками деформаций. На Р-ЗМ5 вообще меняли лишь магистрали и краны. От планов замены радиаторов </w:t>
      </w:r>
      <w:proofErr w:type="spellStart"/>
      <w:r w:rsidRPr="00A259BD">
        <w:rPr>
          <w:rFonts w:ascii="Times New Roman" w:hAnsi="Times New Roman"/>
          <w:color w:val="000000" w:themeColor="text1"/>
          <w:sz w:val="16"/>
          <w:szCs w:val="16"/>
        </w:rPr>
        <w:t>Ламблена</w:t>
      </w:r>
      <w:proofErr w:type="spellEnd"/>
      <w:r w:rsidRPr="00A259BD">
        <w:rPr>
          <w:rFonts w:ascii="Times New Roman" w:hAnsi="Times New Roman"/>
          <w:color w:val="000000" w:themeColor="text1"/>
          <w:sz w:val="16"/>
          <w:szCs w:val="16"/>
        </w:rPr>
        <w:t xml:space="preserve"> на лобовые сотовые (ЦАГИ сконструировал два варианта таких радиаторов для М-5) вообще отказались. Такую доработку выполнили на одной машине, эксплуатировавшейся потом в гражданской авиации. У нее два радиатора крепились примерно в том же месте, где и старые </w:t>
      </w:r>
      <w:proofErr w:type="spellStart"/>
      <w:r w:rsidRPr="00A259BD">
        <w:rPr>
          <w:rFonts w:ascii="Times New Roman" w:hAnsi="Times New Roman"/>
          <w:color w:val="000000" w:themeColor="text1"/>
          <w:sz w:val="16"/>
          <w:szCs w:val="16"/>
        </w:rPr>
        <w:t>Ламблена</w:t>
      </w:r>
      <w:proofErr w:type="spellEnd"/>
      <w:r w:rsidRPr="00A259BD">
        <w:rPr>
          <w:rFonts w:ascii="Times New Roman" w:hAnsi="Times New Roman"/>
          <w:color w:val="000000" w:themeColor="text1"/>
          <w:sz w:val="16"/>
          <w:szCs w:val="16"/>
        </w:rPr>
        <w:t>.</w:t>
      </w:r>
    </w:p>
    <w:p w14:paraId="798057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Мероприятия по усилению планера проводились и в других округах. Например, 44-й </w:t>
      </w:r>
      <w:proofErr w:type="spellStart"/>
      <w:r w:rsidRPr="00A259BD">
        <w:rPr>
          <w:rFonts w:ascii="Times New Roman" w:hAnsi="Times New Roman"/>
          <w:color w:val="000000" w:themeColor="text1"/>
          <w:sz w:val="16"/>
          <w:szCs w:val="16"/>
        </w:rPr>
        <w:t>ао</w:t>
      </w:r>
      <w:proofErr w:type="spellEnd"/>
      <w:r w:rsidRPr="00A259BD">
        <w:rPr>
          <w:rFonts w:ascii="Times New Roman" w:hAnsi="Times New Roman"/>
          <w:color w:val="000000" w:themeColor="text1"/>
          <w:sz w:val="16"/>
          <w:szCs w:val="16"/>
        </w:rPr>
        <w:t xml:space="preserve"> из-за многочисленных поломок практически потерял боеспособность, но мастерские авиасклада № 7 самостоятельно, по оригинальной схеме, доработали девять Р-ЗЛД, обеспечив их дальнейшую безотказную службу.</w:t>
      </w:r>
    </w:p>
    <w:p w14:paraId="4BA9D6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Конечно, как у всякой новой машины, у Р-ЗЛД хватало недостатков (11985).</w:t>
      </w:r>
    </w:p>
    <w:p w14:paraId="4D975A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684A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первой половине 1929 г. казанская танковая школа приступила к практическому обучению. На первых 4-месячных курсах, с 15 марта по 15 июля, необходимое обучение прошел постоянный состав, а затем, с 15 июня по 15 ноября, и первая группа переменного состава, в которую входило 10 немецких и 10 советских курсантов. Учебная программа Казанской школы включала теоретический курс, прикладную часть и технические занятия. В рамках теоретического курса слушатели изучали типы танков и их общее устройство, конструкцию моторов, виды оружия и боеприпасов, тактику боевых действий танковых войск и вопросы взаимодействия, особенности материально-технического обеспечения (подвоза) на поле боя. Прикладная часть включала обучение езде по ровной и пересеченной местности и в различных условиях (днем, ночью с использованием фар и без них, при использовании дымов), форсирование водных преград по дну, обучение стрельбе и проведение боевых стрельб, отработку действий в составе подразделений (до роты включительно), способы взаимодействия с другими родами войск, вопросы управления в бою и на марше. На технических занятиях слушатели получали практику технического обслуживания и ремонта танков. Школа состояла из четырех основных подразделений: учебные классы, испытательное отделение, технический отдел, бухгалтерия. Основные участки в начальный период работы танковой школы возглавляли капитан X. </w:t>
      </w:r>
      <w:proofErr w:type="spellStart"/>
      <w:r w:rsidRPr="00A259BD">
        <w:rPr>
          <w:rFonts w:ascii="Times New Roman" w:hAnsi="Times New Roman"/>
          <w:color w:val="000000" w:themeColor="text1"/>
          <w:sz w:val="16"/>
          <w:szCs w:val="16"/>
        </w:rPr>
        <w:t>Пирнер</w:t>
      </w:r>
      <w:proofErr w:type="spellEnd"/>
      <w:r w:rsidRPr="00A259BD">
        <w:rPr>
          <w:rFonts w:ascii="Times New Roman" w:hAnsi="Times New Roman"/>
          <w:color w:val="000000" w:themeColor="text1"/>
          <w:sz w:val="16"/>
          <w:szCs w:val="16"/>
        </w:rPr>
        <w:t xml:space="preserve"> (испытательное отделение), капитан Фр. </w:t>
      </w:r>
      <w:proofErr w:type="spellStart"/>
      <w:r w:rsidRPr="00A259BD">
        <w:rPr>
          <w:rFonts w:ascii="Times New Roman" w:hAnsi="Times New Roman"/>
          <w:color w:val="000000" w:themeColor="text1"/>
          <w:sz w:val="16"/>
          <w:szCs w:val="16"/>
        </w:rPr>
        <w:t>Кюн</w:t>
      </w:r>
      <w:proofErr w:type="spellEnd"/>
      <w:r w:rsidRPr="00A259BD">
        <w:rPr>
          <w:rFonts w:ascii="Times New Roman" w:hAnsi="Times New Roman"/>
          <w:color w:val="000000" w:themeColor="text1"/>
          <w:sz w:val="16"/>
          <w:szCs w:val="16"/>
        </w:rPr>
        <w:t xml:space="preserve"> (учебные курсы) и лейтенант </w:t>
      </w:r>
      <w:proofErr w:type="spellStart"/>
      <w:r w:rsidRPr="00A259BD">
        <w:rPr>
          <w:rFonts w:ascii="Times New Roman" w:hAnsi="Times New Roman"/>
          <w:color w:val="000000" w:themeColor="text1"/>
          <w:sz w:val="16"/>
          <w:szCs w:val="16"/>
        </w:rPr>
        <w:t>Бернарди</w:t>
      </w:r>
      <w:proofErr w:type="spellEnd"/>
      <w:r w:rsidRPr="00A259BD">
        <w:rPr>
          <w:rFonts w:ascii="Times New Roman" w:hAnsi="Times New Roman"/>
          <w:color w:val="000000" w:themeColor="text1"/>
          <w:sz w:val="16"/>
          <w:szCs w:val="16"/>
        </w:rPr>
        <w:t xml:space="preserve"> (переводчик). На постоянной основе в Казани работали инженеры фирм «Крупп»,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xml:space="preserve">», «Даймлер-Бенц», разрабатывавших первые немецкие танки. Материальной базой сначала служили шесть танков, поставленные «Крупном» по соглашению, заключенному в Москве в мае 1929г. В мае 1930 г. в школу прибыли еще четыре легких танка (два танка фирмы «Даймлер-Бенц» и два английских танка фирмы «Карден-Ллойд»). Начальником танковой школы был немец: в 1929 г. — подполковник В. </w:t>
      </w:r>
      <w:proofErr w:type="spellStart"/>
      <w:r w:rsidRPr="00A259BD">
        <w:rPr>
          <w:rFonts w:ascii="Times New Roman" w:hAnsi="Times New Roman"/>
          <w:color w:val="000000" w:themeColor="text1"/>
          <w:sz w:val="16"/>
          <w:szCs w:val="16"/>
        </w:rPr>
        <w:t>Мальбрандт</w:t>
      </w:r>
      <w:proofErr w:type="spellEnd"/>
      <w:r w:rsidRPr="00A259BD">
        <w:rPr>
          <w:rFonts w:ascii="Times New Roman" w:hAnsi="Times New Roman"/>
          <w:color w:val="000000" w:themeColor="text1"/>
          <w:sz w:val="16"/>
          <w:szCs w:val="16"/>
        </w:rPr>
        <w:t xml:space="preserve"> (директор </w:t>
      </w:r>
      <w:proofErr w:type="spellStart"/>
      <w:r w:rsidRPr="00A259BD">
        <w:rPr>
          <w:rFonts w:ascii="Times New Roman" w:hAnsi="Times New Roman"/>
          <w:color w:val="000000" w:themeColor="text1"/>
          <w:sz w:val="16"/>
          <w:szCs w:val="16"/>
        </w:rPr>
        <w:t>Маркарт</w:t>
      </w:r>
      <w:proofErr w:type="spellEnd"/>
      <w:r w:rsidRPr="00A259BD">
        <w:rPr>
          <w:rFonts w:ascii="Times New Roman" w:hAnsi="Times New Roman"/>
          <w:color w:val="000000" w:themeColor="text1"/>
          <w:sz w:val="16"/>
          <w:szCs w:val="16"/>
        </w:rPr>
        <w:t xml:space="preserve">), в 1929 — 1932гг. — Л. Риттер фон </w:t>
      </w:r>
      <w:proofErr w:type="spellStart"/>
      <w:r w:rsidRPr="00A259BD">
        <w:rPr>
          <w:rFonts w:ascii="Times New Roman" w:hAnsi="Times New Roman"/>
          <w:color w:val="000000" w:themeColor="text1"/>
          <w:sz w:val="16"/>
          <w:szCs w:val="16"/>
        </w:rPr>
        <w:t>Радльмайер</w:t>
      </w:r>
      <w:proofErr w:type="spellEnd"/>
      <w:r w:rsidRPr="00A259BD">
        <w:rPr>
          <w:rFonts w:ascii="Times New Roman" w:hAnsi="Times New Roman"/>
          <w:color w:val="000000" w:themeColor="text1"/>
          <w:sz w:val="16"/>
          <w:szCs w:val="16"/>
        </w:rPr>
        <w:t xml:space="preserve"> (директор </w:t>
      </w:r>
      <w:proofErr w:type="spellStart"/>
      <w:r w:rsidRPr="00A259BD">
        <w:rPr>
          <w:rFonts w:ascii="Times New Roman" w:hAnsi="Times New Roman"/>
          <w:color w:val="000000" w:themeColor="text1"/>
          <w:sz w:val="16"/>
          <w:szCs w:val="16"/>
        </w:rPr>
        <w:t>Раабе</w:t>
      </w:r>
      <w:proofErr w:type="spellEnd"/>
      <w:r w:rsidRPr="00A259BD">
        <w:rPr>
          <w:rFonts w:ascii="Times New Roman" w:hAnsi="Times New Roman"/>
          <w:color w:val="000000" w:themeColor="text1"/>
          <w:sz w:val="16"/>
          <w:szCs w:val="16"/>
        </w:rPr>
        <w:t>), в 1932 — 1933гг. — полковник И. Харпе (директор Хаккер) (</w:t>
      </w:r>
      <w:proofErr w:type="spellStart"/>
      <w:r w:rsidRPr="00A259BD">
        <w:rPr>
          <w:rFonts w:ascii="Times New Roman" w:hAnsi="Times New Roman"/>
          <w:color w:val="000000" w:themeColor="text1"/>
          <w:sz w:val="16"/>
          <w:szCs w:val="16"/>
        </w:rPr>
        <w:t>Walter</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Nehring</w:t>
      </w:r>
      <w:proofErr w:type="spellEnd"/>
      <w:r w:rsidRPr="00A259BD">
        <w:rPr>
          <w:rFonts w:ascii="Times New Roman" w:hAnsi="Times New Roman"/>
          <w:color w:val="000000" w:themeColor="text1"/>
          <w:sz w:val="16"/>
          <w:szCs w:val="16"/>
        </w:rPr>
        <w:t xml:space="preserve">. Die </w:t>
      </w:r>
      <w:proofErr w:type="spellStart"/>
      <w:r w:rsidRPr="00A259BD">
        <w:rPr>
          <w:rFonts w:ascii="Times New Roman" w:hAnsi="Times New Roman"/>
          <w:color w:val="000000" w:themeColor="text1"/>
          <w:sz w:val="16"/>
          <w:szCs w:val="16"/>
        </w:rPr>
        <w:t>Geschichte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der</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deutschen</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Panzerwaffe</w:t>
      </w:r>
      <w:proofErr w:type="spellEnd"/>
      <w:r w:rsidRPr="00A259BD">
        <w:rPr>
          <w:rFonts w:ascii="Times New Roman" w:hAnsi="Times New Roman"/>
          <w:color w:val="000000" w:themeColor="text1"/>
          <w:sz w:val="16"/>
          <w:szCs w:val="16"/>
        </w:rPr>
        <w:t xml:space="preserve"> 1916 </w:t>
      </w:r>
      <w:proofErr w:type="spellStart"/>
      <w:r w:rsidRPr="00A259BD">
        <w:rPr>
          <w:rFonts w:ascii="Times New Roman" w:hAnsi="Times New Roman"/>
          <w:color w:val="000000" w:themeColor="text1"/>
          <w:sz w:val="16"/>
          <w:szCs w:val="16"/>
        </w:rPr>
        <w:t>bis</w:t>
      </w:r>
      <w:proofErr w:type="spellEnd"/>
      <w:r w:rsidRPr="00A259BD">
        <w:rPr>
          <w:rFonts w:ascii="Times New Roman" w:hAnsi="Times New Roman"/>
          <w:color w:val="000000" w:themeColor="text1"/>
          <w:sz w:val="16"/>
          <w:szCs w:val="16"/>
        </w:rPr>
        <w:t xml:space="preserve"> 1945 Berlin, 1969. S. 11.). Он подчиняйся руководству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в лице руководителя «Центра Москва» и ВИКО Лит-</w:t>
      </w:r>
      <w:proofErr w:type="spellStart"/>
      <w:r w:rsidRPr="00A259BD">
        <w:rPr>
          <w:rFonts w:ascii="Times New Roman" w:hAnsi="Times New Roman"/>
          <w:color w:val="000000" w:themeColor="text1"/>
          <w:sz w:val="16"/>
          <w:szCs w:val="16"/>
        </w:rPr>
        <w:t>Томзена</w:t>
      </w:r>
      <w:proofErr w:type="spellEnd"/>
      <w:r w:rsidRPr="00A259BD">
        <w:rPr>
          <w:rFonts w:ascii="Times New Roman" w:hAnsi="Times New Roman"/>
          <w:color w:val="000000" w:themeColor="text1"/>
          <w:sz w:val="16"/>
          <w:szCs w:val="16"/>
        </w:rPr>
        <w:t xml:space="preserve"> и руководил административно-хозяйственной, учебно-строевой жизнью школы. В распоряжение начальника школы был выделен штатный помощник — комбриг Ерошенко, подчинявшийся советским инстанциям. В его функции входило оказание помощи немцам при решении всех текущих задач, а также урегулирование вопросов, связанных с работой и учебой в школе советского персонала. Затраты на 1929 г для немецкой стороны составили 1,5 млн. м., в 1930 г. — 1. 24 млн. м. Занятия в танковой школе проходили планомерно в соответствии с учебной программой. Одновременно на курсах школы обучалось не более 12 немцев. Учеба продолжалась довольно долго. Два года в летнее время в России проходила практическая подготовка танкистов и одну зиму в Берлине — теоретические занятия. Каждый немецкий курсант осваивал навыки и механика-водителя, и командира танка, и радиста, и наводчика орудия. В 1929/30 гг. курсы закончили 10 немецких офицеров, в 1931/32 гг. — 11 и в 1933 г. — 9, то есть всего 30 человек. Некоторые из выпускников «Казани» стали впоследствии генералами, воевали на восточном фронте в годы второй мировой войны. Это В. </w:t>
      </w:r>
      <w:proofErr w:type="spellStart"/>
      <w:r w:rsidRPr="00A259BD">
        <w:rPr>
          <w:rFonts w:ascii="Times New Roman" w:hAnsi="Times New Roman"/>
          <w:color w:val="000000" w:themeColor="text1"/>
          <w:sz w:val="16"/>
          <w:szCs w:val="16"/>
        </w:rPr>
        <w:t>Томале</w:t>
      </w:r>
      <w:proofErr w:type="spellEnd"/>
      <w:r w:rsidRPr="00A259BD">
        <w:rPr>
          <w:rFonts w:ascii="Times New Roman" w:hAnsi="Times New Roman"/>
          <w:color w:val="000000" w:themeColor="text1"/>
          <w:sz w:val="16"/>
          <w:szCs w:val="16"/>
        </w:rPr>
        <w:t xml:space="preserve">, Фр. </w:t>
      </w:r>
      <w:proofErr w:type="spellStart"/>
      <w:r w:rsidRPr="00A259BD">
        <w:rPr>
          <w:rFonts w:ascii="Times New Roman" w:hAnsi="Times New Roman"/>
          <w:color w:val="000000" w:themeColor="text1"/>
          <w:sz w:val="16"/>
          <w:szCs w:val="16"/>
        </w:rPr>
        <w:t>Кюн</w:t>
      </w:r>
      <w:proofErr w:type="spellEnd"/>
      <w:r w:rsidRPr="00A259BD">
        <w:rPr>
          <w:rFonts w:ascii="Times New Roman" w:hAnsi="Times New Roman"/>
          <w:color w:val="000000" w:themeColor="text1"/>
          <w:sz w:val="16"/>
          <w:szCs w:val="16"/>
        </w:rPr>
        <w:t xml:space="preserve">, начальники школы Л. Р. фон </w:t>
      </w:r>
      <w:proofErr w:type="spellStart"/>
      <w:r w:rsidRPr="00A259BD">
        <w:rPr>
          <w:rFonts w:ascii="Times New Roman" w:hAnsi="Times New Roman"/>
          <w:color w:val="000000" w:themeColor="text1"/>
          <w:sz w:val="16"/>
          <w:szCs w:val="16"/>
        </w:rPr>
        <w:t>Радльмайер</w:t>
      </w:r>
      <w:proofErr w:type="spellEnd"/>
      <w:r w:rsidRPr="00A259BD">
        <w:rPr>
          <w:rFonts w:ascii="Times New Roman" w:hAnsi="Times New Roman"/>
          <w:color w:val="000000" w:themeColor="text1"/>
          <w:sz w:val="16"/>
          <w:szCs w:val="16"/>
        </w:rPr>
        <w:t xml:space="preserve">, Ю. Харпе. За этот же период (1929 — 1931 гг. ) на курсах ТЕКО прошло обучение 65 советских офицеров. Это были строевые командиры танковых и мотомеханизированных частей РККА, преподаватели бронетанковых вузов и инженеры (танкисты, артиллеристы, радисты). В отличие от немецких курсантов их состав менялся ежегодно. Москва, учитывая важность непосредственного соприкосновения с иностранным опытом, старалась пропустить через школу максимальное количество курсантов. Так, летом 1932 г. на тактических занятиях с использованием трех танковых взводов РККА участвовало 100 человек. Тогда в Казани с инспекцией находился куратор школы, начальник инспекции № 6 генерал О. Лутц, его сопровождал знаменитый впоследствии X. Гудериан. В мае 1933 г. Гудериан в составе делегации </w:t>
      </w:r>
      <w:proofErr w:type="spellStart"/>
      <w:r w:rsidRPr="00A259BD">
        <w:rPr>
          <w:rFonts w:ascii="Times New Roman" w:hAnsi="Times New Roman"/>
          <w:color w:val="000000" w:themeColor="text1"/>
          <w:sz w:val="16"/>
          <w:szCs w:val="16"/>
        </w:rPr>
        <w:t>Боккельберга</w:t>
      </w:r>
      <w:proofErr w:type="spellEnd"/>
      <w:r w:rsidRPr="00A259BD">
        <w:rPr>
          <w:rFonts w:ascii="Times New Roman" w:hAnsi="Times New Roman"/>
          <w:color w:val="000000" w:themeColor="text1"/>
          <w:sz w:val="16"/>
          <w:szCs w:val="16"/>
        </w:rPr>
        <w:t xml:space="preserve"> вторично посетил СССР. Он осматривал тракторное и танковое производство в Харькове. Для проведения строевых и тактических занятий и одновременно испытания техники в распоряжение ТЕКО была выделена рота в составе двух взводов танкеток Т-27 и одного взвода танков МС-1. Немцам было предложено в порядке компенсации привезти из Германии новый 3-тонный танк и 8-колесную плавающую бронемашину, что и было сделано (11784).</w:t>
      </w:r>
    </w:p>
    <w:p w14:paraId="35F532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A1E328" w14:textId="77777777" w:rsidR="005D09F4" w:rsidRPr="00A259BD" w:rsidRDefault="005D09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первой половине 1929 г. танковая школа приступила к практическому обучению. На первых 4-месячных курсах, с 15 марта по 15 июля, необходимое обучение прошел постоянный состав, а затем, с 15 июня по 15 ноября, и первая группа переменного состава, в которую входило 10 немецких и 10 советских курсантов. Учебная программа Казанской школы включала теоретический курс, прикладную часть и технические занятия. В рамках теоретического курса слушатели изучали типы танков и их общее устройство, конструкцию моторов, виды оружия и боеприпасов, тактику боевых действий танковых войск и вопросы взаимодействия, особенности материально-технического обеспечения (подвоза) на поле боя. Прикладная часть включала обучение езде по ровной и пересеченной местности и в различных условиях (днем, ночью с использованием фар и без них, при использовании дымов), форсирование водных преград по дну, обучение стрельбе и проведение боевых стрельб, отработку действий в составе подразделений (до роты включительно), способы взаимодействия с другими родами войск, вопросы управления в бою и на марше. На технических занятиях слушатели получали практику технического обслуживания и ремонта танков.</w:t>
      </w:r>
    </w:p>
    <w:p w14:paraId="4F944062" w14:textId="77777777" w:rsidR="005D09F4" w:rsidRPr="00A259BD" w:rsidRDefault="005D09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Школа состояла из четырех основных подразделений: учебные классы, испытательное отделение, технический отдел, бухгалтерия. Основные участки в начальный период работы танковой школы возглавляли капитан X. </w:t>
      </w:r>
      <w:proofErr w:type="spellStart"/>
      <w:r w:rsidRPr="00A259BD">
        <w:rPr>
          <w:rFonts w:ascii="Times New Roman" w:hAnsi="Times New Roman"/>
          <w:color w:val="000000" w:themeColor="text1"/>
          <w:sz w:val="16"/>
          <w:szCs w:val="16"/>
        </w:rPr>
        <w:t>Пирнер</w:t>
      </w:r>
      <w:proofErr w:type="spellEnd"/>
      <w:r w:rsidRPr="00A259BD">
        <w:rPr>
          <w:rFonts w:ascii="Times New Roman" w:hAnsi="Times New Roman"/>
          <w:color w:val="000000" w:themeColor="text1"/>
          <w:sz w:val="16"/>
          <w:szCs w:val="16"/>
        </w:rPr>
        <w:t xml:space="preserve"> (испытательное отделение), капитан Фр. </w:t>
      </w:r>
      <w:proofErr w:type="spellStart"/>
      <w:r w:rsidRPr="00A259BD">
        <w:rPr>
          <w:rFonts w:ascii="Times New Roman" w:hAnsi="Times New Roman"/>
          <w:color w:val="000000" w:themeColor="text1"/>
          <w:sz w:val="16"/>
          <w:szCs w:val="16"/>
        </w:rPr>
        <w:t>Кюн</w:t>
      </w:r>
      <w:proofErr w:type="spellEnd"/>
      <w:r w:rsidRPr="00A259BD">
        <w:rPr>
          <w:rFonts w:ascii="Times New Roman" w:hAnsi="Times New Roman"/>
          <w:color w:val="000000" w:themeColor="text1"/>
          <w:sz w:val="16"/>
          <w:szCs w:val="16"/>
        </w:rPr>
        <w:t xml:space="preserve"> (учебные курсы) и лейтенант </w:t>
      </w:r>
      <w:proofErr w:type="spellStart"/>
      <w:r w:rsidRPr="00A259BD">
        <w:rPr>
          <w:rFonts w:ascii="Times New Roman" w:hAnsi="Times New Roman"/>
          <w:color w:val="000000" w:themeColor="text1"/>
          <w:sz w:val="16"/>
          <w:szCs w:val="16"/>
        </w:rPr>
        <w:t>Бернарди</w:t>
      </w:r>
      <w:proofErr w:type="spellEnd"/>
      <w:r w:rsidRPr="00A259BD">
        <w:rPr>
          <w:rFonts w:ascii="Times New Roman" w:hAnsi="Times New Roman"/>
          <w:color w:val="000000" w:themeColor="text1"/>
          <w:sz w:val="16"/>
          <w:szCs w:val="16"/>
        </w:rPr>
        <w:t xml:space="preserve"> (переводчик). На постоянной основе в Казани работали инженеры фирм «Крупп»,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xml:space="preserve">», «Даймлер-Бенц», разрабатывавших первые немецкие танки. Материальной базой </w:t>
      </w:r>
      <w:r w:rsidRPr="00A259BD">
        <w:rPr>
          <w:rFonts w:ascii="Times New Roman" w:hAnsi="Times New Roman"/>
          <w:color w:val="000000" w:themeColor="text1"/>
          <w:sz w:val="16"/>
          <w:szCs w:val="16"/>
        </w:rPr>
        <w:lastRenderedPageBreak/>
        <w:t>сначала служили шесть танков, поставленные «Крупном» по соглашению, заключенному в Москве в мае 1929 г. В мае 1930 г. в школу прибыли еще четыре легких танка (два танка фирмы «Даймлер-Бенц» и два английских танка фирмы «Карден-Ллойд»).</w:t>
      </w:r>
    </w:p>
    <w:p w14:paraId="0576DB0D" w14:textId="77777777" w:rsidR="005D09F4" w:rsidRPr="00A259BD" w:rsidRDefault="00000000" w:rsidP="009236E3">
      <w:pPr>
        <w:spacing w:after="0" w:line="240" w:lineRule="auto"/>
        <w:jc w:val="both"/>
        <w:rPr>
          <w:rFonts w:ascii="Times New Roman" w:hAnsi="Times New Roman"/>
          <w:color w:val="000000" w:themeColor="text1"/>
          <w:sz w:val="16"/>
          <w:szCs w:val="16"/>
        </w:rPr>
      </w:pPr>
      <w:hyperlink r:id="rId71" w:anchor="n_317" w:history="1">
        <w:r w:rsidR="005D09F4" w:rsidRPr="00A259BD">
          <w:rPr>
            <w:rStyle w:val="a5"/>
            <w:rFonts w:ascii="Times New Roman" w:hAnsi="Times New Roman"/>
            <w:color w:val="000000" w:themeColor="text1"/>
            <w:sz w:val="16"/>
            <w:szCs w:val="16"/>
          </w:rPr>
          <w:t xml:space="preserve">Начальником танковой школы был немец: в 1929 г. — подполковник В. </w:t>
        </w:r>
        <w:proofErr w:type="spellStart"/>
        <w:r w:rsidR="005D09F4" w:rsidRPr="00A259BD">
          <w:rPr>
            <w:rStyle w:val="a5"/>
            <w:rFonts w:ascii="Times New Roman" w:hAnsi="Times New Roman"/>
            <w:color w:val="000000" w:themeColor="text1"/>
            <w:sz w:val="16"/>
            <w:szCs w:val="16"/>
          </w:rPr>
          <w:t>Мальбрандт</w:t>
        </w:r>
        <w:proofErr w:type="spellEnd"/>
        <w:r w:rsidR="005D09F4" w:rsidRPr="00A259BD">
          <w:rPr>
            <w:rStyle w:val="a5"/>
            <w:rFonts w:ascii="Times New Roman" w:hAnsi="Times New Roman"/>
            <w:color w:val="000000" w:themeColor="text1"/>
            <w:sz w:val="16"/>
            <w:szCs w:val="16"/>
          </w:rPr>
          <w:t xml:space="preserve"> (директор </w:t>
        </w:r>
        <w:proofErr w:type="spellStart"/>
        <w:r w:rsidR="005D09F4" w:rsidRPr="00A259BD">
          <w:rPr>
            <w:rStyle w:val="a5"/>
            <w:rFonts w:ascii="Times New Roman" w:hAnsi="Times New Roman"/>
            <w:color w:val="000000" w:themeColor="text1"/>
            <w:sz w:val="16"/>
            <w:szCs w:val="16"/>
          </w:rPr>
          <w:t>Маркарт</w:t>
        </w:r>
        <w:proofErr w:type="spellEnd"/>
        <w:r w:rsidR="005D09F4" w:rsidRPr="00A259BD">
          <w:rPr>
            <w:rStyle w:val="a5"/>
            <w:rFonts w:ascii="Times New Roman" w:hAnsi="Times New Roman"/>
            <w:color w:val="000000" w:themeColor="text1"/>
            <w:sz w:val="16"/>
            <w:szCs w:val="16"/>
          </w:rPr>
          <w:t xml:space="preserve">), в 1929–1932 гг. — Л. Риттер фон </w:t>
        </w:r>
        <w:proofErr w:type="spellStart"/>
        <w:r w:rsidR="005D09F4" w:rsidRPr="00A259BD">
          <w:rPr>
            <w:rStyle w:val="a5"/>
            <w:rFonts w:ascii="Times New Roman" w:hAnsi="Times New Roman"/>
            <w:color w:val="000000" w:themeColor="text1"/>
            <w:sz w:val="16"/>
            <w:szCs w:val="16"/>
          </w:rPr>
          <w:t>Радльмайер</w:t>
        </w:r>
        <w:proofErr w:type="spellEnd"/>
        <w:r w:rsidR="005D09F4" w:rsidRPr="00A259BD">
          <w:rPr>
            <w:rStyle w:val="a5"/>
            <w:rFonts w:ascii="Times New Roman" w:hAnsi="Times New Roman"/>
            <w:color w:val="000000" w:themeColor="text1"/>
            <w:sz w:val="16"/>
            <w:szCs w:val="16"/>
          </w:rPr>
          <w:t xml:space="preserve"> (директор </w:t>
        </w:r>
        <w:proofErr w:type="spellStart"/>
        <w:r w:rsidR="005D09F4" w:rsidRPr="00A259BD">
          <w:rPr>
            <w:rStyle w:val="a5"/>
            <w:rFonts w:ascii="Times New Roman" w:hAnsi="Times New Roman"/>
            <w:color w:val="000000" w:themeColor="text1"/>
            <w:sz w:val="16"/>
            <w:szCs w:val="16"/>
          </w:rPr>
          <w:t>Раабе</w:t>
        </w:r>
        <w:proofErr w:type="spellEnd"/>
        <w:r w:rsidR="005D09F4" w:rsidRPr="00A259BD">
          <w:rPr>
            <w:rStyle w:val="a5"/>
            <w:rFonts w:ascii="Times New Roman" w:hAnsi="Times New Roman"/>
            <w:color w:val="000000" w:themeColor="text1"/>
            <w:sz w:val="16"/>
            <w:szCs w:val="16"/>
          </w:rPr>
          <w:t>), в 1932–1933 гг. — полковник И. Харпе (директор Хаккер)</w:t>
        </w:r>
      </w:hyperlink>
      <w:hyperlink r:id="rId72" w:anchor="n_318" w:history="1">
        <w:r w:rsidR="005D09F4" w:rsidRPr="00A259BD">
          <w:rPr>
            <w:rStyle w:val="a5"/>
            <w:rFonts w:ascii="Times New Roman" w:hAnsi="Times New Roman"/>
            <w:color w:val="000000" w:themeColor="text1"/>
            <w:sz w:val="16"/>
            <w:szCs w:val="16"/>
          </w:rPr>
          <w:t>[318]</w:t>
        </w:r>
      </w:hyperlink>
      <w:r w:rsidR="005D09F4" w:rsidRPr="00A259BD">
        <w:rPr>
          <w:rFonts w:ascii="Times New Roman" w:hAnsi="Times New Roman"/>
          <w:color w:val="000000" w:themeColor="text1"/>
          <w:sz w:val="16"/>
          <w:szCs w:val="16"/>
        </w:rPr>
        <w:t xml:space="preserve">. Он подчиняйся руководству </w:t>
      </w:r>
      <w:proofErr w:type="spellStart"/>
      <w:r w:rsidR="005D09F4" w:rsidRPr="00A259BD">
        <w:rPr>
          <w:rFonts w:ascii="Times New Roman" w:hAnsi="Times New Roman"/>
          <w:color w:val="000000" w:themeColor="text1"/>
          <w:sz w:val="16"/>
          <w:szCs w:val="16"/>
        </w:rPr>
        <w:t>райхсвера</w:t>
      </w:r>
      <w:proofErr w:type="spellEnd"/>
      <w:r w:rsidR="005D09F4" w:rsidRPr="00A259BD">
        <w:rPr>
          <w:rFonts w:ascii="Times New Roman" w:hAnsi="Times New Roman"/>
          <w:color w:val="000000" w:themeColor="text1"/>
          <w:sz w:val="16"/>
          <w:szCs w:val="16"/>
        </w:rPr>
        <w:t xml:space="preserve"> в лице руководителя «Центра Москва» и ВИКО Лит-</w:t>
      </w:r>
      <w:proofErr w:type="spellStart"/>
      <w:r w:rsidR="005D09F4" w:rsidRPr="00A259BD">
        <w:rPr>
          <w:rFonts w:ascii="Times New Roman" w:hAnsi="Times New Roman"/>
          <w:color w:val="000000" w:themeColor="text1"/>
          <w:sz w:val="16"/>
          <w:szCs w:val="16"/>
        </w:rPr>
        <w:t>Томзена</w:t>
      </w:r>
      <w:proofErr w:type="spellEnd"/>
      <w:r w:rsidR="005D09F4" w:rsidRPr="00A259BD">
        <w:rPr>
          <w:rFonts w:ascii="Times New Roman" w:hAnsi="Times New Roman"/>
          <w:color w:val="000000" w:themeColor="text1"/>
          <w:sz w:val="16"/>
          <w:szCs w:val="16"/>
        </w:rPr>
        <w:t xml:space="preserve"> и руководил административно-хозяйственной, учебно-строевой жизнью школы. В распоряжение начальника школы был выделен штатный помощник — комбриг Ерошенко, подчинявшийся советским инстанциям. В его функции входило оказание помощи немцам при решении всех текущих задач, а также урегулирование вопросов, связанных с работой и учебой в школе советского персонала. Затраты на 1929 г. для немецкой стороны составили 1,5 млн. м., в 1930 г. — 1,24 млн. м.</w:t>
      </w:r>
    </w:p>
    <w:p w14:paraId="3BBE4755" w14:textId="77777777" w:rsidR="005D09F4" w:rsidRPr="00A259BD" w:rsidRDefault="005D09F4" w:rsidP="009236E3">
      <w:pPr>
        <w:spacing w:after="0" w:line="240" w:lineRule="auto"/>
        <w:jc w:val="both"/>
        <w:rPr>
          <w:rStyle w:val="a5"/>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Занятия в танковой школе проходили планомерно в соответствии с учебной программой. Одновременно на курсах школы обучалось не более 12 немцев. Учеба продолжалась довольно долго. Два года в летнее время в России проходила практическая подготовка танкистов и одну зиму в Берлине — теоретические занятия. Каждый немецкий курсант осваивал навыки и механика-водителя, и командира танка, и радиста, и наводчика орудия. В 1929/30 гг. курсы закончили 10 немецких офицеров, в 1931/32 гг. — 11 и в 1933 г. — 9, то есть всего 30 человек. Некоторые из выпускников «Казани» стали впоследствии генералами, воевали на восточном фронте в годы второй мировой войны. Это В. </w:t>
      </w:r>
      <w:proofErr w:type="spellStart"/>
      <w:r w:rsidRPr="00A259BD">
        <w:rPr>
          <w:rFonts w:ascii="Times New Roman" w:hAnsi="Times New Roman"/>
          <w:color w:val="000000" w:themeColor="text1"/>
          <w:sz w:val="16"/>
          <w:szCs w:val="16"/>
        </w:rPr>
        <w:t>Томале</w:t>
      </w:r>
      <w:proofErr w:type="spellEnd"/>
      <w:r w:rsidRPr="00A259BD">
        <w:rPr>
          <w:rFonts w:ascii="Times New Roman" w:hAnsi="Times New Roman"/>
          <w:color w:val="000000" w:themeColor="text1"/>
          <w:sz w:val="16"/>
          <w:szCs w:val="16"/>
        </w:rPr>
        <w:t xml:space="preserve">, Фр. </w:t>
      </w:r>
      <w:proofErr w:type="spellStart"/>
      <w:r w:rsidRPr="00A259BD">
        <w:rPr>
          <w:rFonts w:ascii="Times New Roman" w:hAnsi="Times New Roman"/>
          <w:color w:val="000000" w:themeColor="text1"/>
          <w:sz w:val="16"/>
          <w:szCs w:val="16"/>
        </w:rPr>
        <w:t>Кюн</w:t>
      </w:r>
      <w:proofErr w:type="spellEnd"/>
      <w:r w:rsidRPr="00A259BD">
        <w:rPr>
          <w:rFonts w:ascii="Times New Roman" w:hAnsi="Times New Roman"/>
          <w:color w:val="000000" w:themeColor="text1"/>
          <w:sz w:val="16"/>
          <w:szCs w:val="16"/>
        </w:rPr>
        <w:t xml:space="preserve">, начальники школы Л. Р. фон </w:t>
      </w:r>
      <w:proofErr w:type="spellStart"/>
      <w:r w:rsidRPr="00A259BD">
        <w:rPr>
          <w:rFonts w:ascii="Times New Roman" w:hAnsi="Times New Roman"/>
          <w:color w:val="000000" w:themeColor="text1"/>
          <w:sz w:val="16"/>
          <w:szCs w:val="16"/>
        </w:rPr>
        <w:t>Радльмайер</w:t>
      </w:r>
      <w:proofErr w:type="spellEnd"/>
      <w:r w:rsidRPr="00A259BD">
        <w:rPr>
          <w:rFonts w:ascii="Times New Roman" w:hAnsi="Times New Roman"/>
          <w:color w:val="000000" w:themeColor="text1"/>
          <w:sz w:val="16"/>
          <w:szCs w:val="16"/>
        </w:rPr>
        <w:t>, Ю. Харпе (18265).</w:t>
      </w:r>
      <w:r w:rsidR="00497FC6" w:rsidRPr="00A259BD">
        <w:rPr>
          <w:rFonts w:ascii="Times New Roman" w:hAnsi="Times New Roman"/>
          <w:color w:val="000000" w:themeColor="text1"/>
          <w:sz w:val="16"/>
          <w:szCs w:val="16"/>
        </w:rPr>
        <w:fldChar w:fldCharType="begin"/>
      </w:r>
      <w:r w:rsidRPr="00A259BD">
        <w:rPr>
          <w:rFonts w:ascii="Times New Roman" w:hAnsi="Times New Roman"/>
          <w:color w:val="000000" w:themeColor="text1"/>
          <w:sz w:val="16"/>
          <w:szCs w:val="16"/>
        </w:rPr>
        <w:instrText xml:space="preserve"> HYPERLINK "http://www.e-reading.club/chapter.php/1005087/33/Gorlov_Sergey_-_Sovershenno_sekretno__Alyans_Moskva_-_Berlin_1920-1933_gg..html" \l "n_317" </w:instrText>
      </w:r>
      <w:r w:rsidR="00497FC6" w:rsidRPr="00A259BD">
        <w:rPr>
          <w:rFonts w:ascii="Times New Roman" w:hAnsi="Times New Roman"/>
          <w:color w:val="000000" w:themeColor="text1"/>
          <w:sz w:val="16"/>
          <w:szCs w:val="16"/>
        </w:rPr>
      </w:r>
      <w:r w:rsidR="00497FC6" w:rsidRPr="00A259BD">
        <w:rPr>
          <w:rFonts w:ascii="Times New Roman" w:hAnsi="Times New Roman"/>
          <w:color w:val="000000" w:themeColor="text1"/>
          <w:sz w:val="16"/>
          <w:szCs w:val="16"/>
        </w:rPr>
        <w:fldChar w:fldCharType="separate"/>
      </w:r>
    </w:p>
    <w:p w14:paraId="0DC357E8" w14:textId="77777777" w:rsidR="005D09F4" w:rsidRPr="00A259BD" w:rsidRDefault="00497FC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fldChar w:fldCharType="end"/>
      </w:r>
    </w:p>
    <w:p w14:paraId="1A10127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5A0EEA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87BE247" w14:textId="77777777" w:rsidR="00380FD1" w:rsidRPr="00441F34" w:rsidRDefault="00380FD1" w:rsidP="00380F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Летом 1928 один серийный самолет И-2бис был переоборудован мотором «Лорен-Дитрих», но в широкую эксплуатацию эта модификация внедрена не была, поскольку рост мощности был недостаточным для существенного повышения летных данных при ухудшении общей аэродинамики и весовых показателей самолета.</w:t>
      </w:r>
    </w:p>
    <w:p w14:paraId="23A4ADBD" w14:textId="77777777" w:rsidR="00380FD1" w:rsidRPr="00441F34" w:rsidRDefault="00380FD1" w:rsidP="00380FD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Модификация выполнялась с целью улучшения энергетических характеристик за счет роста мощности с 400 до 450 л.с. на номинальном полетном режиме. Поскольку этот мотор имел другую компоновку (три ряда по 4 цилиндра) и размеры, были переделаны все системы силовой установки (23560).</w:t>
      </w:r>
    </w:p>
    <w:p w14:paraId="7FA9ED5E" w14:textId="77777777" w:rsidR="00380FD1" w:rsidRPr="00441F34" w:rsidRDefault="00380FD1" w:rsidP="00380FD1">
      <w:pPr>
        <w:spacing w:after="0" w:line="240" w:lineRule="auto"/>
        <w:jc w:val="both"/>
        <w:rPr>
          <w:rFonts w:ascii="Times New Roman" w:hAnsi="Times New Roman"/>
          <w:color w:val="0070C0"/>
          <w:sz w:val="16"/>
          <w:szCs w:val="16"/>
        </w:rPr>
      </w:pPr>
    </w:p>
    <w:p w14:paraId="39F0D9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лета 1929 - началось серийное производство АНТ-4. Строился до 1932 и на вооружении состоял до 1936 (92,349).</w:t>
      </w:r>
    </w:p>
    <w:p w14:paraId="67D9E8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BF2F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Летом 1929 г. завод № 22 в Филях (бывшая концессия "Юнкере") выпустил первые серийные бомбардировщики ТБ-1. Отечественная промышленность еще не могла полностью обеспечить их комплектующими. Полуоси покупали в Америке, покрышки - в Англии, моторы и бомбардировочные прицелы - в Германии. Значительная часть приборов тоже имела иностранное происхождение. ВВС заказали несколько сотен ТБ-1. Это позволяло перейти к созданию соединений тяжелых бомбардировщиков. Ранее в нашей авиации имелись лишь одна-две тяжелые эскадрильи, укомплектованные импортной техникой, двухмоторными французскими деревянными "Голиафами" фирмы "Фар- ман" и трехмоторными немецкими Юнкере ЮГ-1. Теперь же начали формировать уже бригады тяжелых бомбардировщиков. Каждая такая бригада должна была состоять из трех эскадрилий. Эскадрилья включала три отряда по четыре самолета в каждом. Таким образом, вместе с машинами штаба полностью укомплектованная бригада могла располагать почти 40 бомбардировщиками (12024).</w:t>
      </w:r>
    </w:p>
    <w:p w14:paraId="1A8D28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65CC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Летом 1929 г. УВВС потребовало на третьем и четвертом Р-5 ликвидировать все недостатки, выявленные в ходе испытаний. Они были сформулированы в письме, отправленном из НИИ на завод 29 августа 1929 г. (12034)</w:t>
      </w:r>
    </w:p>
    <w:p w14:paraId="406DB8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C5EEC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Летом 1929 г. летчик Ширинкин облетал серийные И-3. Затем они поступили на вооружение 15-й авиабри</w:t>
      </w:r>
      <w:r w:rsidRPr="00A259BD">
        <w:rPr>
          <w:rFonts w:ascii="Times New Roman" w:hAnsi="Times New Roman"/>
          <w:color w:val="000000" w:themeColor="text1"/>
          <w:sz w:val="16"/>
          <w:szCs w:val="16"/>
        </w:rPr>
        <w:softHyphen/>
        <w:t>гады в Брянске, где проводились войсковые испытания И-3. По их результатам был сделан ряд предложений по улучшению летных и эксплуатационных характеристик машины. В частности, появились пожелания несколько увеличить высоту шасси, изменить приборное оборудо</w:t>
      </w:r>
      <w:r w:rsidRPr="00A259BD">
        <w:rPr>
          <w:rFonts w:ascii="Times New Roman" w:hAnsi="Times New Roman"/>
          <w:color w:val="000000" w:themeColor="text1"/>
          <w:sz w:val="16"/>
          <w:szCs w:val="16"/>
        </w:rPr>
        <w:softHyphen/>
        <w:t>вание, повысить эффективность горизонтального опе</w:t>
      </w:r>
      <w:r w:rsidRPr="00A259BD">
        <w:rPr>
          <w:rFonts w:ascii="Times New Roman" w:hAnsi="Times New Roman"/>
          <w:color w:val="000000" w:themeColor="text1"/>
          <w:sz w:val="16"/>
          <w:szCs w:val="16"/>
        </w:rPr>
        <w:softHyphen/>
        <w:t>рения. Наиболее сложным оказался вопрос с оперением. У части построенных И-3 заменили рули высоты на другие, с роговой компенсацией (чего не было на опыт</w:t>
      </w:r>
      <w:r w:rsidRPr="00A259BD">
        <w:rPr>
          <w:rFonts w:ascii="Times New Roman" w:hAnsi="Times New Roman"/>
          <w:color w:val="000000" w:themeColor="text1"/>
          <w:sz w:val="16"/>
          <w:szCs w:val="16"/>
        </w:rPr>
        <w:softHyphen/>
        <w:t>ной машине) и с увеличенным углом отклонения. Все остальные самолеты, в том числе и строящиеся на заво</w:t>
      </w:r>
      <w:r w:rsidRPr="00A259BD">
        <w:rPr>
          <w:rFonts w:ascii="Times New Roman" w:hAnsi="Times New Roman"/>
          <w:color w:val="000000" w:themeColor="text1"/>
          <w:sz w:val="16"/>
          <w:szCs w:val="16"/>
        </w:rPr>
        <w:softHyphen/>
        <w:t>дах, оснастили большим по площади и видоизменен</w:t>
      </w:r>
      <w:r w:rsidRPr="00A259BD">
        <w:rPr>
          <w:rFonts w:ascii="Times New Roman" w:hAnsi="Times New Roman"/>
          <w:color w:val="000000" w:themeColor="text1"/>
          <w:sz w:val="16"/>
          <w:szCs w:val="16"/>
        </w:rPr>
        <w:softHyphen/>
        <w:t>ным по форме новым стабилизатором, у которого рули высоты также были с роговой компенсацией. Это позво</w:t>
      </w:r>
      <w:r w:rsidRPr="00A259BD">
        <w:rPr>
          <w:rFonts w:ascii="Times New Roman" w:hAnsi="Times New Roman"/>
          <w:color w:val="000000" w:themeColor="text1"/>
          <w:sz w:val="16"/>
          <w:szCs w:val="16"/>
        </w:rPr>
        <w:softHyphen/>
        <w:t>лило сделать пилотирование И-3 более легким, прият</w:t>
      </w:r>
      <w:r w:rsidRPr="00A259BD">
        <w:rPr>
          <w:rFonts w:ascii="Times New Roman" w:hAnsi="Times New Roman"/>
          <w:color w:val="000000" w:themeColor="text1"/>
          <w:sz w:val="16"/>
          <w:szCs w:val="16"/>
        </w:rPr>
        <w:softHyphen/>
        <w:t>ным. Взлетный вес серийных машин достигал 1846 кг, доходя у отдельных машин до 1863 кг. Некоторое коли</w:t>
      </w:r>
      <w:r w:rsidRPr="00A259BD">
        <w:rPr>
          <w:rFonts w:ascii="Times New Roman" w:hAnsi="Times New Roman"/>
          <w:color w:val="000000" w:themeColor="text1"/>
          <w:sz w:val="16"/>
          <w:szCs w:val="16"/>
        </w:rPr>
        <w:softHyphen/>
        <w:t>чество серийных истребителей оснастили немецким скоростным винтом Гейне. С ним И-3 развивал у земли скорость 283 км/ч и 276 км/ч на высоте 3000 м. Число построенных самолетов месяц за месяцем воз</w:t>
      </w:r>
      <w:r w:rsidRPr="00A259BD">
        <w:rPr>
          <w:rFonts w:ascii="Times New Roman" w:hAnsi="Times New Roman"/>
          <w:color w:val="000000" w:themeColor="text1"/>
          <w:sz w:val="16"/>
          <w:szCs w:val="16"/>
        </w:rPr>
        <w:softHyphen/>
        <w:t>растало. В 1929/1930 операционном году завод № 1 дол</w:t>
      </w:r>
      <w:r w:rsidRPr="00A259BD">
        <w:rPr>
          <w:rFonts w:ascii="Times New Roman" w:hAnsi="Times New Roman"/>
          <w:color w:val="000000" w:themeColor="text1"/>
          <w:sz w:val="16"/>
          <w:szCs w:val="16"/>
        </w:rPr>
        <w:softHyphen/>
        <w:t>жен был выпустить 344 И-3 (включая недоделанные в прошлом операционном году. Реально оценить выпол</w:t>
      </w:r>
      <w:r w:rsidRPr="00A259BD">
        <w:rPr>
          <w:rFonts w:ascii="Times New Roman" w:hAnsi="Times New Roman"/>
          <w:color w:val="000000" w:themeColor="text1"/>
          <w:sz w:val="16"/>
          <w:szCs w:val="16"/>
        </w:rPr>
        <w:softHyphen/>
        <w:t>нение производственной программы довольно трудно, так как с 1930 г. планирование в авиапромышленности перешло с операционного на календарный год. За 1929 г. зачтена постройка 47 истребителей, за 1930 г. -250. Но в любом случае можно утверждать, что плано</w:t>
      </w:r>
      <w:r w:rsidRPr="00A259BD">
        <w:rPr>
          <w:rFonts w:ascii="Times New Roman" w:hAnsi="Times New Roman"/>
          <w:color w:val="000000" w:themeColor="text1"/>
          <w:sz w:val="16"/>
          <w:szCs w:val="16"/>
        </w:rPr>
        <w:softHyphen/>
        <w:t>вые показатели никогда не выполнялись. Всего до пре</w:t>
      </w:r>
      <w:r w:rsidRPr="00A259BD">
        <w:rPr>
          <w:rFonts w:ascii="Times New Roman" w:hAnsi="Times New Roman"/>
          <w:color w:val="000000" w:themeColor="text1"/>
          <w:sz w:val="16"/>
          <w:szCs w:val="16"/>
        </w:rPr>
        <w:softHyphen/>
        <w:t>кращения производства, последовавшего в 1931 г., ГАЗ № 1 выпустил 387 экземпляров И-3, ГАЗ № 25 еще 12. Таким образом, общее число построенных И-3 со</w:t>
      </w:r>
      <w:r w:rsidRPr="00A259BD">
        <w:rPr>
          <w:rFonts w:ascii="Times New Roman" w:hAnsi="Times New Roman"/>
          <w:color w:val="000000" w:themeColor="text1"/>
          <w:sz w:val="16"/>
          <w:szCs w:val="16"/>
        </w:rPr>
        <w:softHyphen/>
        <w:t>ставляло 399 машин (10667).</w:t>
      </w:r>
    </w:p>
    <w:p w14:paraId="70963B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393E40" w14:textId="77777777" w:rsidR="00722AA3" w:rsidRPr="00441F34" w:rsidRDefault="00722AA3" w:rsidP="00722AA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За лето 1929 года известный летчик — герой Гражданской войны </w:t>
      </w:r>
      <w:proofErr w:type="spellStart"/>
      <w:r w:rsidRPr="00441F34">
        <w:rPr>
          <w:rFonts w:ascii="Times New Roman" w:hAnsi="Times New Roman"/>
          <w:color w:val="0070C0"/>
          <w:sz w:val="16"/>
          <w:szCs w:val="16"/>
        </w:rPr>
        <w:t>Ширинеин</w:t>
      </w:r>
      <w:proofErr w:type="spellEnd"/>
      <w:r w:rsidRPr="00441F34">
        <w:rPr>
          <w:rFonts w:ascii="Times New Roman" w:hAnsi="Times New Roman"/>
          <w:color w:val="0070C0"/>
          <w:sz w:val="16"/>
          <w:szCs w:val="16"/>
        </w:rPr>
        <w:t> облетал 12 И-3. В августе эта дюжина поступила на вооружение 15-й авиабригады в Брянске. Помогать осваивать новую машину был направлен летчик-испытатель Бухгольц. До наступления холодов и ненастной погоды стремились налетать на И-3 как можно больше часов с целью выявления особенностей эксплуатации. В основном это освоение, приравненное к войсковым испытаниям, прошло нормально. В выводах по результатам проведенных испытаний предлагалось установить разрезные элероны, увеличить высоту шасси, изменить приборное оборудование, повысить эффективность хвостового оперения. Основным стало требование по оперению — его, как тогда выражались, не хватало, особенно на посадке. Выполнить это оказалось не просто, ибо на все самолеты выпуска 1929 года хвостовое оперение уже изготовили. Тем более, что И-3 прошел испытание в НИИ ВВС и был официально принят госприемкой. Причин столь трудноразрешимой ситуации было несколько. В частности, методика летных испытаний и оценки новых летательных аппаратов еще только отрабатывалась, а что касается самих испытателей, то они в большинстве своем привыкли летать на чем угодно. Всякий новый самолет, обладающий какими-либо достоинствами, ими воспринимался как некое откровение и акцента на отдельные недостатки не делалось (24302).</w:t>
      </w:r>
    </w:p>
    <w:p w14:paraId="041602EF" w14:textId="77777777" w:rsidR="00722AA3" w:rsidRPr="00441F34" w:rsidRDefault="00722AA3" w:rsidP="00722AA3">
      <w:pPr>
        <w:spacing w:after="0" w:line="240" w:lineRule="auto"/>
        <w:jc w:val="both"/>
        <w:rPr>
          <w:rFonts w:ascii="Times New Roman" w:hAnsi="Times New Roman"/>
          <w:color w:val="0070C0"/>
          <w:sz w:val="16"/>
          <w:szCs w:val="16"/>
        </w:rPr>
      </w:pPr>
    </w:p>
    <w:p w14:paraId="4E7B6B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Летом 1929 г. после утверждения эскизного проек</w:t>
      </w:r>
      <w:r w:rsidRPr="00A259BD">
        <w:rPr>
          <w:rFonts w:ascii="Times New Roman" w:hAnsi="Times New Roman"/>
          <w:color w:val="000000" w:themeColor="text1"/>
          <w:sz w:val="16"/>
          <w:szCs w:val="16"/>
        </w:rPr>
        <w:softHyphen/>
        <w:t>та на заводе №25 приступи</w:t>
      </w:r>
      <w:r w:rsidRPr="00A259BD">
        <w:rPr>
          <w:rFonts w:ascii="Times New Roman" w:hAnsi="Times New Roman"/>
          <w:color w:val="000000" w:themeColor="text1"/>
          <w:sz w:val="16"/>
          <w:szCs w:val="16"/>
        </w:rPr>
        <w:softHyphen/>
        <w:t>ли к постройке первого И-6 (всего зало</w:t>
      </w:r>
      <w:r w:rsidRPr="00A259BD">
        <w:rPr>
          <w:rFonts w:ascii="Times New Roman" w:hAnsi="Times New Roman"/>
          <w:color w:val="000000" w:themeColor="text1"/>
          <w:sz w:val="16"/>
          <w:szCs w:val="16"/>
        </w:rPr>
        <w:softHyphen/>
        <w:t>жили 4 экземпляра) с двигателем “Юпи</w:t>
      </w:r>
      <w:r w:rsidRPr="00A259BD">
        <w:rPr>
          <w:rFonts w:ascii="Times New Roman" w:hAnsi="Times New Roman"/>
          <w:color w:val="000000" w:themeColor="text1"/>
          <w:sz w:val="16"/>
          <w:szCs w:val="16"/>
        </w:rPr>
        <w:softHyphen/>
        <w:t>тер” VII мощностью 600 л.с. и с умень</w:t>
      </w:r>
      <w:r w:rsidRPr="00A259BD">
        <w:rPr>
          <w:rFonts w:ascii="Times New Roman" w:hAnsi="Times New Roman"/>
          <w:color w:val="000000" w:themeColor="text1"/>
          <w:sz w:val="16"/>
          <w:szCs w:val="16"/>
        </w:rPr>
        <w:softHyphen/>
        <w:t>шенной площадью крыльев (т.е. второй вариант эскизного проекта, но с разме</w:t>
      </w:r>
      <w:r w:rsidRPr="00A259BD">
        <w:rPr>
          <w:rFonts w:ascii="Times New Roman" w:hAnsi="Times New Roman"/>
          <w:color w:val="000000" w:themeColor="text1"/>
          <w:sz w:val="16"/>
          <w:szCs w:val="16"/>
        </w:rPr>
        <w:softHyphen/>
        <w:t>щением горизонтального оперения в районе продольной оси хвостовой части фюзеляжа) (10729).</w:t>
      </w:r>
    </w:p>
    <w:tbl>
      <w:tblPr>
        <w:tblW w:w="0" w:type="auto"/>
        <w:tblInd w:w="40" w:type="dxa"/>
        <w:tblLayout w:type="fixed"/>
        <w:tblCellMar>
          <w:left w:w="40" w:type="dxa"/>
          <w:right w:w="40" w:type="dxa"/>
        </w:tblCellMar>
        <w:tblLook w:val="0000" w:firstRow="0" w:lastRow="0" w:firstColumn="0" w:lastColumn="0" w:noHBand="0" w:noVBand="0"/>
      </w:tblPr>
      <w:tblGrid>
        <w:gridCol w:w="3389"/>
        <w:gridCol w:w="1200"/>
        <w:gridCol w:w="1392"/>
        <w:gridCol w:w="1594"/>
        <w:gridCol w:w="1594"/>
        <w:gridCol w:w="1363"/>
      </w:tblGrid>
      <w:tr w:rsidR="00A259BD" w:rsidRPr="00A259BD" w14:paraId="2A682920" w14:textId="77777777">
        <w:trPr>
          <w:trHeight w:val="538"/>
        </w:trPr>
        <w:tc>
          <w:tcPr>
            <w:tcW w:w="10532" w:type="dxa"/>
            <w:gridSpan w:val="6"/>
            <w:tcBorders>
              <w:top w:val="single" w:sz="6" w:space="0" w:color="auto"/>
              <w:left w:val="single" w:sz="6" w:space="0" w:color="auto"/>
              <w:bottom w:val="single" w:sz="6" w:space="0" w:color="auto"/>
              <w:right w:val="single" w:sz="6" w:space="0" w:color="auto"/>
            </w:tcBorders>
          </w:tcPr>
          <w:p w14:paraId="6FD070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Сравнительная таблица самолетов И-3, И-4, И-5, И-6, подготовленная в НИИ ВВС</w:t>
            </w:r>
          </w:p>
        </w:tc>
      </w:tr>
      <w:tr w:rsidR="00A259BD" w:rsidRPr="00A259BD" w14:paraId="3DDA79F4" w14:textId="77777777">
        <w:trPr>
          <w:trHeight w:val="278"/>
        </w:trPr>
        <w:tc>
          <w:tcPr>
            <w:tcW w:w="3389" w:type="dxa"/>
            <w:tcBorders>
              <w:top w:val="single" w:sz="6" w:space="0" w:color="auto"/>
              <w:left w:val="single" w:sz="6" w:space="0" w:color="auto"/>
              <w:bottom w:val="single" w:sz="6" w:space="0" w:color="auto"/>
              <w:right w:val="single" w:sz="6" w:space="0" w:color="auto"/>
            </w:tcBorders>
          </w:tcPr>
          <w:p w14:paraId="78FE684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52F403E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И-6</w:t>
            </w:r>
          </w:p>
        </w:tc>
        <w:tc>
          <w:tcPr>
            <w:tcW w:w="1392" w:type="dxa"/>
            <w:tcBorders>
              <w:top w:val="single" w:sz="6" w:space="0" w:color="auto"/>
              <w:left w:val="single" w:sz="6" w:space="0" w:color="auto"/>
              <w:bottom w:val="single" w:sz="6" w:space="0" w:color="auto"/>
              <w:right w:val="single" w:sz="6" w:space="0" w:color="auto"/>
            </w:tcBorders>
          </w:tcPr>
          <w:p w14:paraId="7645815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И-5</w:t>
            </w:r>
          </w:p>
        </w:tc>
        <w:tc>
          <w:tcPr>
            <w:tcW w:w="1594" w:type="dxa"/>
            <w:tcBorders>
              <w:top w:val="single" w:sz="6" w:space="0" w:color="auto"/>
              <w:left w:val="single" w:sz="6" w:space="0" w:color="auto"/>
              <w:bottom w:val="single" w:sz="6" w:space="0" w:color="auto"/>
              <w:right w:val="single" w:sz="6" w:space="0" w:color="auto"/>
            </w:tcBorders>
          </w:tcPr>
          <w:p w14:paraId="637ECB3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И-4 опытный</w:t>
            </w:r>
          </w:p>
        </w:tc>
        <w:tc>
          <w:tcPr>
            <w:tcW w:w="1594" w:type="dxa"/>
            <w:tcBorders>
              <w:top w:val="single" w:sz="6" w:space="0" w:color="auto"/>
              <w:left w:val="single" w:sz="6" w:space="0" w:color="auto"/>
              <w:bottom w:val="single" w:sz="6" w:space="0" w:color="auto"/>
              <w:right w:val="single" w:sz="6" w:space="0" w:color="auto"/>
            </w:tcBorders>
          </w:tcPr>
          <w:p w14:paraId="12466E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И-3</w:t>
            </w:r>
          </w:p>
        </w:tc>
        <w:tc>
          <w:tcPr>
            <w:tcW w:w="1363" w:type="dxa"/>
            <w:tcBorders>
              <w:top w:val="single" w:sz="6" w:space="0" w:color="auto"/>
              <w:left w:val="single" w:sz="6" w:space="0" w:color="auto"/>
              <w:bottom w:val="single" w:sz="6" w:space="0" w:color="auto"/>
              <w:right w:val="single" w:sz="6" w:space="0" w:color="auto"/>
            </w:tcBorders>
          </w:tcPr>
          <w:p w14:paraId="330ABB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И-6ТТТ</w:t>
            </w:r>
          </w:p>
        </w:tc>
      </w:tr>
      <w:tr w:rsidR="00A259BD" w:rsidRPr="00A259BD" w14:paraId="33CEBC90"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018563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 пустого, кг</w:t>
            </w:r>
          </w:p>
        </w:tc>
        <w:tc>
          <w:tcPr>
            <w:tcW w:w="1200" w:type="dxa"/>
            <w:tcBorders>
              <w:top w:val="single" w:sz="6" w:space="0" w:color="auto"/>
              <w:left w:val="single" w:sz="6" w:space="0" w:color="auto"/>
              <w:bottom w:val="single" w:sz="6" w:space="0" w:color="auto"/>
              <w:right w:val="single" w:sz="6" w:space="0" w:color="auto"/>
            </w:tcBorders>
          </w:tcPr>
          <w:p w14:paraId="75451C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1023</w:t>
            </w:r>
          </w:p>
        </w:tc>
        <w:tc>
          <w:tcPr>
            <w:tcW w:w="1392" w:type="dxa"/>
            <w:tcBorders>
              <w:top w:val="single" w:sz="6" w:space="0" w:color="auto"/>
              <w:left w:val="single" w:sz="6" w:space="0" w:color="auto"/>
              <w:bottom w:val="single" w:sz="6" w:space="0" w:color="auto"/>
              <w:right w:val="single" w:sz="6" w:space="0" w:color="auto"/>
            </w:tcBorders>
          </w:tcPr>
          <w:p w14:paraId="77633F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852</w:t>
            </w:r>
          </w:p>
        </w:tc>
        <w:tc>
          <w:tcPr>
            <w:tcW w:w="1594" w:type="dxa"/>
            <w:tcBorders>
              <w:top w:val="single" w:sz="6" w:space="0" w:color="auto"/>
              <w:left w:val="single" w:sz="6" w:space="0" w:color="auto"/>
              <w:bottom w:val="single" w:sz="6" w:space="0" w:color="auto"/>
              <w:right w:val="single" w:sz="6" w:space="0" w:color="auto"/>
            </w:tcBorders>
          </w:tcPr>
          <w:p w14:paraId="358DD7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921</w:t>
            </w:r>
          </w:p>
        </w:tc>
        <w:tc>
          <w:tcPr>
            <w:tcW w:w="1594" w:type="dxa"/>
            <w:tcBorders>
              <w:top w:val="single" w:sz="6" w:space="0" w:color="auto"/>
              <w:left w:val="single" w:sz="6" w:space="0" w:color="auto"/>
              <w:bottom w:val="single" w:sz="6" w:space="0" w:color="auto"/>
              <w:right w:val="single" w:sz="6" w:space="0" w:color="auto"/>
            </w:tcBorders>
          </w:tcPr>
          <w:p w14:paraId="1D8901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1420</w:t>
            </w:r>
          </w:p>
        </w:tc>
        <w:tc>
          <w:tcPr>
            <w:tcW w:w="1363" w:type="dxa"/>
            <w:tcBorders>
              <w:top w:val="single" w:sz="6" w:space="0" w:color="auto"/>
              <w:left w:val="single" w:sz="6" w:space="0" w:color="auto"/>
              <w:bottom w:val="single" w:sz="6" w:space="0" w:color="auto"/>
              <w:right w:val="single" w:sz="6" w:space="0" w:color="auto"/>
            </w:tcBorders>
          </w:tcPr>
          <w:p w14:paraId="2C181A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910</w:t>
            </w:r>
          </w:p>
        </w:tc>
      </w:tr>
      <w:tr w:rsidR="00A259BD" w:rsidRPr="00A259BD" w14:paraId="66A5C103"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1D24A37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Полетный вес, кг</w:t>
            </w:r>
          </w:p>
        </w:tc>
        <w:tc>
          <w:tcPr>
            <w:tcW w:w="1200" w:type="dxa"/>
            <w:tcBorders>
              <w:top w:val="single" w:sz="6" w:space="0" w:color="auto"/>
              <w:left w:val="single" w:sz="6" w:space="0" w:color="auto"/>
              <w:bottom w:val="single" w:sz="6" w:space="0" w:color="auto"/>
              <w:right w:val="single" w:sz="6" w:space="0" w:color="auto"/>
            </w:tcBorders>
          </w:tcPr>
          <w:p w14:paraId="219F43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1418</w:t>
            </w:r>
          </w:p>
        </w:tc>
        <w:tc>
          <w:tcPr>
            <w:tcW w:w="1392" w:type="dxa"/>
            <w:tcBorders>
              <w:top w:val="single" w:sz="6" w:space="0" w:color="auto"/>
              <w:left w:val="single" w:sz="6" w:space="0" w:color="auto"/>
              <w:bottom w:val="single" w:sz="6" w:space="0" w:color="auto"/>
              <w:right w:val="single" w:sz="6" w:space="0" w:color="auto"/>
            </w:tcBorders>
          </w:tcPr>
          <w:p w14:paraId="75DB2B9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1262</w:t>
            </w:r>
          </w:p>
        </w:tc>
        <w:tc>
          <w:tcPr>
            <w:tcW w:w="1594" w:type="dxa"/>
            <w:tcBorders>
              <w:top w:val="single" w:sz="6" w:space="0" w:color="auto"/>
              <w:left w:val="single" w:sz="6" w:space="0" w:color="auto"/>
              <w:bottom w:val="single" w:sz="6" w:space="0" w:color="auto"/>
              <w:right w:val="single" w:sz="6" w:space="0" w:color="auto"/>
            </w:tcBorders>
          </w:tcPr>
          <w:p w14:paraId="742568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1363</w:t>
            </w:r>
          </w:p>
        </w:tc>
        <w:tc>
          <w:tcPr>
            <w:tcW w:w="1594" w:type="dxa"/>
            <w:tcBorders>
              <w:top w:val="single" w:sz="6" w:space="0" w:color="auto"/>
              <w:left w:val="single" w:sz="6" w:space="0" w:color="auto"/>
              <w:bottom w:val="single" w:sz="6" w:space="0" w:color="auto"/>
              <w:right w:val="single" w:sz="6" w:space="0" w:color="auto"/>
            </w:tcBorders>
          </w:tcPr>
          <w:p w14:paraId="5A3710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1862,8</w:t>
            </w:r>
          </w:p>
        </w:tc>
        <w:tc>
          <w:tcPr>
            <w:tcW w:w="1363" w:type="dxa"/>
            <w:tcBorders>
              <w:top w:val="single" w:sz="6" w:space="0" w:color="auto"/>
              <w:left w:val="single" w:sz="6" w:space="0" w:color="auto"/>
              <w:bottom w:val="single" w:sz="6" w:space="0" w:color="auto"/>
              <w:right w:val="single" w:sz="6" w:space="0" w:color="auto"/>
            </w:tcBorders>
          </w:tcPr>
          <w:p w14:paraId="0D8C9E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1300</w:t>
            </w:r>
          </w:p>
        </w:tc>
      </w:tr>
      <w:tr w:rsidR="00A259BD" w:rsidRPr="00A259BD" w14:paraId="24649135" w14:textId="77777777">
        <w:trPr>
          <w:trHeight w:val="182"/>
        </w:trPr>
        <w:tc>
          <w:tcPr>
            <w:tcW w:w="3389" w:type="dxa"/>
            <w:tcBorders>
              <w:top w:val="single" w:sz="6" w:space="0" w:color="auto"/>
              <w:left w:val="single" w:sz="6" w:space="0" w:color="auto"/>
              <w:bottom w:val="single" w:sz="6" w:space="0" w:color="auto"/>
              <w:right w:val="single" w:sz="6" w:space="0" w:color="auto"/>
            </w:tcBorders>
          </w:tcPr>
          <w:p w14:paraId="7FEA89F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Мощность двигателя, л.с.</w:t>
            </w:r>
          </w:p>
        </w:tc>
        <w:tc>
          <w:tcPr>
            <w:tcW w:w="1200" w:type="dxa"/>
            <w:tcBorders>
              <w:top w:val="single" w:sz="6" w:space="0" w:color="auto"/>
              <w:left w:val="single" w:sz="6" w:space="0" w:color="auto"/>
              <w:bottom w:val="single" w:sz="6" w:space="0" w:color="auto"/>
              <w:right w:val="single" w:sz="6" w:space="0" w:color="auto"/>
            </w:tcBorders>
          </w:tcPr>
          <w:p w14:paraId="63BCE9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480</w:t>
            </w:r>
          </w:p>
        </w:tc>
        <w:tc>
          <w:tcPr>
            <w:tcW w:w="1392" w:type="dxa"/>
            <w:tcBorders>
              <w:top w:val="single" w:sz="6" w:space="0" w:color="auto"/>
              <w:left w:val="single" w:sz="6" w:space="0" w:color="auto"/>
              <w:bottom w:val="single" w:sz="6" w:space="0" w:color="auto"/>
              <w:right w:val="single" w:sz="6" w:space="0" w:color="auto"/>
            </w:tcBorders>
          </w:tcPr>
          <w:p w14:paraId="616178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480</w:t>
            </w:r>
          </w:p>
        </w:tc>
        <w:tc>
          <w:tcPr>
            <w:tcW w:w="1594" w:type="dxa"/>
            <w:tcBorders>
              <w:top w:val="single" w:sz="6" w:space="0" w:color="auto"/>
              <w:left w:val="single" w:sz="6" w:space="0" w:color="auto"/>
              <w:bottom w:val="single" w:sz="6" w:space="0" w:color="auto"/>
              <w:right w:val="single" w:sz="6" w:space="0" w:color="auto"/>
            </w:tcBorders>
          </w:tcPr>
          <w:p w14:paraId="734913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480</w:t>
            </w:r>
          </w:p>
        </w:tc>
        <w:tc>
          <w:tcPr>
            <w:tcW w:w="1594" w:type="dxa"/>
            <w:tcBorders>
              <w:top w:val="single" w:sz="6" w:space="0" w:color="auto"/>
              <w:left w:val="single" w:sz="6" w:space="0" w:color="auto"/>
              <w:bottom w:val="single" w:sz="6" w:space="0" w:color="auto"/>
              <w:right w:val="single" w:sz="6" w:space="0" w:color="auto"/>
            </w:tcBorders>
          </w:tcPr>
          <w:p w14:paraId="558871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500/730</w:t>
            </w:r>
          </w:p>
        </w:tc>
        <w:tc>
          <w:tcPr>
            <w:tcW w:w="1363" w:type="dxa"/>
            <w:tcBorders>
              <w:top w:val="single" w:sz="6" w:space="0" w:color="auto"/>
              <w:left w:val="single" w:sz="6" w:space="0" w:color="auto"/>
              <w:bottom w:val="single" w:sz="6" w:space="0" w:color="auto"/>
              <w:right w:val="single" w:sz="6" w:space="0" w:color="auto"/>
            </w:tcBorders>
          </w:tcPr>
          <w:p w14:paraId="6E7F4AC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480</w:t>
            </w:r>
          </w:p>
        </w:tc>
      </w:tr>
      <w:tr w:rsidR="00A259BD" w:rsidRPr="00A259BD" w14:paraId="668F060A"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41235AB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крыла, кв. м</w:t>
            </w:r>
          </w:p>
        </w:tc>
        <w:tc>
          <w:tcPr>
            <w:tcW w:w="1200" w:type="dxa"/>
            <w:tcBorders>
              <w:top w:val="single" w:sz="6" w:space="0" w:color="auto"/>
              <w:left w:val="single" w:sz="6" w:space="0" w:color="auto"/>
              <w:bottom w:val="single" w:sz="6" w:space="0" w:color="auto"/>
              <w:right w:val="single" w:sz="6" w:space="0" w:color="auto"/>
            </w:tcBorders>
          </w:tcPr>
          <w:p w14:paraId="045C35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21,6</w:t>
            </w:r>
          </w:p>
        </w:tc>
        <w:tc>
          <w:tcPr>
            <w:tcW w:w="1392" w:type="dxa"/>
            <w:tcBorders>
              <w:top w:val="single" w:sz="6" w:space="0" w:color="auto"/>
              <w:left w:val="single" w:sz="6" w:space="0" w:color="auto"/>
              <w:bottom w:val="single" w:sz="6" w:space="0" w:color="auto"/>
              <w:right w:val="single" w:sz="6" w:space="0" w:color="auto"/>
            </w:tcBorders>
          </w:tcPr>
          <w:p w14:paraId="606D6A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21,0</w:t>
            </w:r>
          </w:p>
        </w:tc>
        <w:tc>
          <w:tcPr>
            <w:tcW w:w="1594" w:type="dxa"/>
            <w:tcBorders>
              <w:top w:val="single" w:sz="6" w:space="0" w:color="auto"/>
              <w:left w:val="single" w:sz="6" w:space="0" w:color="auto"/>
              <w:bottom w:val="single" w:sz="6" w:space="0" w:color="auto"/>
              <w:right w:val="single" w:sz="6" w:space="0" w:color="auto"/>
            </w:tcBorders>
          </w:tcPr>
          <w:p w14:paraId="609E849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23,8</w:t>
            </w:r>
          </w:p>
        </w:tc>
        <w:tc>
          <w:tcPr>
            <w:tcW w:w="1594" w:type="dxa"/>
            <w:tcBorders>
              <w:top w:val="single" w:sz="6" w:space="0" w:color="auto"/>
              <w:left w:val="single" w:sz="6" w:space="0" w:color="auto"/>
              <w:bottom w:val="single" w:sz="6" w:space="0" w:color="auto"/>
              <w:right w:val="single" w:sz="6" w:space="0" w:color="auto"/>
            </w:tcBorders>
          </w:tcPr>
          <w:p w14:paraId="3C5139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27,8</w:t>
            </w:r>
          </w:p>
        </w:tc>
        <w:tc>
          <w:tcPr>
            <w:tcW w:w="1363" w:type="dxa"/>
            <w:tcBorders>
              <w:top w:val="single" w:sz="6" w:space="0" w:color="auto"/>
              <w:left w:val="single" w:sz="6" w:space="0" w:color="auto"/>
              <w:bottom w:val="single" w:sz="6" w:space="0" w:color="auto"/>
              <w:right w:val="single" w:sz="6" w:space="0" w:color="auto"/>
            </w:tcBorders>
          </w:tcPr>
          <w:p w14:paraId="131D4F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21,6</w:t>
            </w:r>
          </w:p>
        </w:tc>
      </w:tr>
      <w:tr w:rsidR="00A259BD" w:rsidRPr="00A259BD" w14:paraId="38DF9100"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17E7A58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Нагрузка на крыло, кг/кв. м</w:t>
            </w:r>
          </w:p>
        </w:tc>
        <w:tc>
          <w:tcPr>
            <w:tcW w:w="1200" w:type="dxa"/>
            <w:tcBorders>
              <w:top w:val="single" w:sz="6" w:space="0" w:color="auto"/>
              <w:left w:val="single" w:sz="6" w:space="0" w:color="auto"/>
              <w:bottom w:val="single" w:sz="6" w:space="0" w:color="auto"/>
              <w:right w:val="single" w:sz="6" w:space="0" w:color="auto"/>
            </w:tcBorders>
          </w:tcPr>
          <w:p w14:paraId="2CC5AA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65,7</w:t>
            </w:r>
          </w:p>
        </w:tc>
        <w:tc>
          <w:tcPr>
            <w:tcW w:w="1392" w:type="dxa"/>
            <w:tcBorders>
              <w:top w:val="single" w:sz="6" w:space="0" w:color="auto"/>
              <w:left w:val="single" w:sz="6" w:space="0" w:color="auto"/>
              <w:bottom w:val="single" w:sz="6" w:space="0" w:color="auto"/>
              <w:right w:val="single" w:sz="6" w:space="0" w:color="auto"/>
            </w:tcBorders>
          </w:tcPr>
          <w:p w14:paraId="36351E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w:t>
            </w:r>
          </w:p>
        </w:tc>
        <w:tc>
          <w:tcPr>
            <w:tcW w:w="1594" w:type="dxa"/>
            <w:tcBorders>
              <w:top w:val="single" w:sz="6" w:space="0" w:color="auto"/>
              <w:left w:val="single" w:sz="6" w:space="0" w:color="auto"/>
              <w:bottom w:val="single" w:sz="6" w:space="0" w:color="auto"/>
              <w:right w:val="single" w:sz="6" w:space="0" w:color="auto"/>
            </w:tcBorders>
          </w:tcPr>
          <w:p w14:paraId="2ECE0A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57,3</w:t>
            </w:r>
          </w:p>
        </w:tc>
        <w:tc>
          <w:tcPr>
            <w:tcW w:w="1594" w:type="dxa"/>
            <w:tcBorders>
              <w:top w:val="single" w:sz="6" w:space="0" w:color="auto"/>
              <w:left w:val="single" w:sz="6" w:space="0" w:color="auto"/>
              <w:bottom w:val="single" w:sz="6" w:space="0" w:color="auto"/>
              <w:right w:val="single" w:sz="6" w:space="0" w:color="auto"/>
            </w:tcBorders>
          </w:tcPr>
          <w:p w14:paraId="316CF2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66,8</w:t>
            </w:r>
          </w:p>
        </w:tc>
        <w:tc>
          <w:tcPr>
            <w:tcW w:w="1363" w:type="dxa"/>
            <w:tcBorders>
              <w:top w:val="single" w:sz="6" w:space="0" w:color="auto"/>
              <w:left w:val="single" w:sz="6" w:space="0" w:color="auto"/>
              <w:bottom w:val="single" w:sz="6" w:space="0" w:color="auto"/>
              <w:right w:val="single" w:sz="6" w:space="0" w:color="auto"/>
            </w:tcBorders>
          </w:tcPr>
          <w:p w14:paraId="3B9E09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4BEA541B" w14:textId="77777777">
        <w:trPr>
          <w:trHeight w:val="182"/>
        </w:trPr>
        <w:tc>
          <w:tcPr>
            <w:tcW w:w="3389" w:type="dxa"/>
            <w:tcBorders>
              <w:top w:val="single" w:sz="6" w:space="0" w:color="auto"/>
              <w:left w:val="single" w:sz="6" w:space="0" w:color="auto"/>
              <w:bottom w:val="single" w:sz="6" w:space="0" w:color="auto"/>
              <w:right w:val="single" w:sz="6" w:space="0" w:color="auto"/>
            </w:tcBorders>
          </w:tcPr>
          <w:p w14:paraId="73CA7F7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макс, у земли, км/ч</w:t>
            </w:r>
          </w:p>
        </w:tc>
        <w:tc>
          <w:tcPr>
            <w:tcW w:w="1200" w:type="dxa"/>
            <w:tcBorders>
              <w:top w:val="single" w:sz="6" w:space="0" w:color="auto"/>
              <w:left w:val="single" w:sz="6" w:space="0" w:color="auto"/>
              <w:bottom w:val="single" w:sz="6" w:space="0" w:color="auto"/>
              <w:right w:val="single" w:sz="6" w:space="0" w:color="auto"/>
            </w:tcBorders>
          </w:tcPr>
          <w:p w14:paraId="3A8A04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261</w:t>
            </w:r>
          </w:p>
        </w:tc>
        <w:tc>
          <w:tcPr>
            <w:tcW w:w="1392" w:type="dxa"/>
            <w:tcBorders>
              <w:top w:val="single" w:sz="6" w:space="0" w:color="auto"/>
              <w:left w:val="single" w:sz="6" w:space="0" w:color="auto"/>
              <w:bottom w:val="single" w:sz="6" w:space="0" w:color="auto"/>
              <w:right w:val="single" w:sz="6" w:space="0" w:color="auto"/>
            </w:tcBorders>
          </w:tcPr>
          <w:p w14:paraId="5BD99D6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268,3</w:t>
            </w:r>
          </w:p>
        </w:tc>
        <w:tc>
          <w:tcPr>
            <w:tcW w:w="1594" w:type="dxa"/>
            <w:tcBorders>
              <w:top w:val="single" w:sz="6" w:space="0" w:color="auto"/>
              <w:left w:val="single" w:sz="6" w:space="0" w:color="auto"/>
              <w:bottom w:val="single" w:sz="6" w:space="0" w:color="auto"/>
              <w:right w:val="single" w:sz="6" w:space="0" w:color="auto"/>
            </w:tcBorders>
          </w:tcPr>
          <w:p w14:paraId="467821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253,5</w:t>
            </w:r>
          </w:p>
        </w:tc>
        <w:tc>
          <w:tcPr>
            <w:tcW w:w="1594" w:type="dxa"/>
            <w:tcBorders>
              <w:top w:val="single" w:sz="6" w:space="0" w:color="auto"/>
              <w:left w:val="single" w:sz="6" w:space="0" w:color="auto"/>
              <w:bottom w:val="single" w:sz="6" w:space="0" w:color="auto"/>
              <w:right w:val="single" w:sz="6" w:space="0" w:color="auto"/>
            </w:tcBorders>
          </w:tcPr>
          <w:p w14:paraId="09BA73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283,0</w:t>
            </w:r>
          </w:p>
        </w:tc>
        <w:tc>
          <w:tcPr>
            <w:tcW w:w="1363" w:type="dxa"/>
            <w:tcBorders>
              <w:top w:val="single" w:sz="6" w:space="0" w:color="auto"/>
              <w:left w:val="single" w:sz="6" w:space="0" w:color="auto"/>
              <w:bottom w:val="single" w:sz="6" w:space="0" w:color="auto"/>
              <w:right w:val="single" w:sz="6" w:space="0" w:color="auto"/>
            </w:tcBorders>
          </w:tcPr>
          <w:p w14:paraId="50DD113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41834451"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77A963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на высоте 3000 м, км/ч</w:t>
            </w:r>
          </w:p>
        </w:tc>
        <w:tc>
          <w:tcPr>
            <w:tcW w:w="1200" w:type="dxa"/>
            <w:tcBorders>
              <w:top w:val="single" w:sz="6" w:space="0" w:color="auto"/>
              <w:left w:val="single" w:sz="6" w:space="0" w:color="auto"/>
              <w:bottom w:val="single" w:sz="6" w:space="0" w:color="auto"/>
              <w:right w:val="single" w:sz="6" w:space="0" w:color="auto"/>
            </w:tcBorders>
          </w:tcPr>
          <w:p w14:paraId="385E01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w:t>
            </w:r>
          </w:p>
        </w:tc>
        <w:tc>
          <w:tcPr>
            <w:tcW w:w="1392" w:type="dxa"/>
            <w:tcBorders>
              <w:top w:val="single" w:sz="6" w:space="0" w:color="auto"/>
              <w:left w:val="single" w:sz="6" w:space="0" w:color="auto"/>
              <w:bottom w:val="single" w:sz="6" w:space="0" w:color="auto"/>
              <w:right w:val="single" w:sz="6" w:space="0" w:color="auto"/>
            </w:tcBorders>
          </w:tcPr>
          <w:p w14:paraId="096A8D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258</w:t>
            </w:r>
          </w:p>
        </w:tc>
        <w:tc>
          <w:tcPr>
            <w:tcW w:w="1594" w:type="dxa"/>
            <w:tcBorders>
              <w:top w:val="single" w:sz="6" w:space="0" w:color="auto"/>
              <w:left w:val="single" w:sz="6" w:space="0" w:color="auto"/>
              <w:bottom w:val="single" w:sz="6" w:space="0" w:color="auto"/>
              <w:right w:val="single" w:sz="6" w:space="0" w:color="auto"/>
            </w:tcBorders>
          </w:tcPr>
          <w:p w14:paraId="57B57B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245</w:t>
            </w:r>
          </w:p>
        </w:tc>
        <w:tc>
          <w:tcPr>
            <w:tcW w:w="1594" w:type="dxa"/>
            <w:tcBorders>
              <w:top w:val="single" w:sz="6" w:space="0" w:color="auto"/>
              <w:left w:val="single" w:sz="6" w:space="0" w:color="auto"/>
              <w:bottom w:val="single" w:sz="6" w:space="0" w:color="auto"/>
              <w:right w:val="single" w:sz="6" w:space="0" w:color="auto"/>
            </w:tcBorders>
          </w:tcPr>
          <w:p w14:paraId="68479E3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276</w:t>
            </w:r>
          </w:p>
        </w:tc>
        <w:tc>
          <w:tcPr>
            <w:tcW w:w="1363" w:type="dxa"/>
            <w:tcBorders>
              <w:top w:val="single" w:sz="6" w:space="0" w:color="auto"/>
              <w:left w:val="single" w:sz="6" w:space="0" w:color="auto"/>
              <w:bottom w:val="single" w:sz="6" w:space="0" w:color="auto"/>
              <w:right w:val="single" w:sz="6" w:space="0" w:color="auto"/>
            </w:tcBorders>
          </w:tcPr>
          <w:p w14:paraId="1E8DD0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2B743080"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63E09E2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макс, на высоте 5000 м, км/ч</w:t>
            </w:r>
          </w:p>
        </w:tc>
        <w:tc>
          <w:tcPr>
            <w:tcW w:w="1200" w:type="dxa"/>
            <w:tcBorders>
              <w:top w:val="single" w:sz="6" w:space="0" w:color="auto"/>
              <w:left w:val="single" w:sz="6" w:space="0" w:color="auto"/>
              <w:bottom w:val="single" w:sz="6" w:space="0" w:color="auto"/>
              <w:right w:val="single" w:sz="6" w:space="0" w:color="auto"/>
            </w:tcBorders>
          </w:tcPr>
          <w:p w14:paraId="3B20505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241</w:t>
            </w:r>
          </w:p>
        </w:tc>
        <w:tc>
          <w:tcPr>
            <w:tcW w:w="1392" w:type="dxa"/>
            <w:tcBorders>
              <w:top w:val="single" w:sz="6" w:space="0" w:color="auto"/>
              <w:left w:val="single" w:sz="6" w:space="0" w:color="auto"/>
              <w:bottom w:val="single" w:sz="6" w:space="0" w:color="auto"/>
              <w:right w:val="single" w:sz="6" w:space="0" w:color="auto"/>
            </w:tcBorders>
          </w:tcPr>
          <w:p w14:paraId="61B775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252</w:t>
            </w:r>
          </w:p>
        </w:tc>
        <w:tc>
          <w:tcPr>
            <w:tcW w:w="1594" w:type="dxa"/>
            <w:tcBorders>
              <w:top w:val="single" w:sz="6" w:space="0" w:color="auto"/>
              <w:left w:val="single" w:sz="6" w:space="0" w:color="auto"/>
              <w:bottom w:val="single" w:sz="6" w:space="0" w:color="auto"/>
              <w:right w:val="single" w:sz="6" w:space="0" w:color="auto"/>
            </w:tcBorders>
          </w:tcPr>
          <w:p w14:paraId="5615EE3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234</w:t>
            </w:r>
          </w:p>
        </w:tc>
        <w:tc>
          <w:tcPr>
            <w:tcW w:w="1594" w:type="dxa"/>
            <w:tcBorders>
              <w:top w:val="single" w:sz="6" w:space="0" w:color="auto"/>
              <w:left w:val="single" w:sz="6" w:space="0" w:color="auto"/>
              <w:bottom w:val="single" w:sz="6" w:space="0" w:color="auto"/>
              <w:right w:val="single" w:sz="6" w:space="0" w:color="auto"/>
            </w:tcBorders>
          </w:tcPr>
          <w:p w14:paraId="2260DC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252</w:t>
            </w:r>
          </w:p>
        </w:tc>
        <w:tc>
          <w:tcPr>
            <w:tcW w:w="1363" w:type="dxa"/>
            <w:tcBorders>
              <w:top w:val="single" w:sz="6" w:space="0" w:color="auto"/>
              <w:left w:val="single" w:sz="6" w:space="0" w:color="auto"/>
              <w:bottom w:val="single" w:sz="6" w:space="0" w:color="auto"/>
              <w:right w:val="single" w:sz="6" w:space="0" w:color="auto"/>
            </w:tcBorders>
          </w:tcPr>
          <w:p w14:paraId="78E95B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5CADC19B"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237574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набора 5000 м, мин.</w:t>
            </w:r>
          </w:p>
        </w:tc>
        <w:tc>
          <w:tcPr>
            <w:tcW w:w="1200" w:type="dxa"/>
            <w:tcBorders>
              <w:top w:val="single" w:sz="6" w:space="0" w:color="auto"/>
              <w:left w:val="single" w:sz="6" w:space="0" w:color="auto"/>
              <w:bottom w:val="single" w:sz="6" w:space="0" w:color="auto"/>
              <w:right w:val="single" w:sz="6" w:space="0" w:color="auto"/>
            </w:tcBorders>
          </w:tcPr>
          <w:p w14:paraId="6C0C79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14,0</w:t>
            </w:r>
          </w:p>
        </w:tc>
        <w:tc>
          <w:tcPr>
            <w:tcW w:w="1392" w:type="dxa"/>
            <w:tcBorders>
              <w:top w:val="single" w:sz="6" w:space="0" w:color="auto"/>
              <w:left w:val="single" w:sz="6" w:space="0" w:color="auto"/>
              <w:bottom w:val="single" w:sz="6" w:space="0" w:color="auto"/>
              <w:right w:val="single" w:sz="6" w:space="0" w:color="auto"/>
            </w:tcBorders>
          </w:tcPr>
          <w:p w14:paraId="359D696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8,58</w:t>
            </w:r>
          </w:p>
        </w:tc>
        <w:tc>
          <w:tcPr>
            <w:tcW w:w="1594" w:type="dxa"/>
            <w:tcBorders>
              <w:top w:val="single" w:sz="6" w:space="0" w:color="auto"/>
              <w:left w:val="single" w:sz="6" w:space="0" w:color="auto"/>
              <w:bottom w:val="single" w:sz="6" w:space="0" w:color="auto"/>
              <w:right w:val="single" w:sz="6" w:space="0" w:color="auto"/>
            </w:tcBorders>
          </w:tcPr>
          <w:p w14:paraId="72E283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10,9</w:t>
            </w:r>
          </w:p>
        </w:tc>
        <w:tc>
          <w:tcPr>
            <w:tcW w:w="1594" w:type="dxa"/>
            <w:tcBorders>
              <w:top w:val="single" w:sz="6" w:space="0" w:color="auto"/>
              <w:left w:val="single" w:sz="6" w:space="0" w:color="auto"/>
              <w:bottom w:val="single" w:sz="6" w:space="0" w:color="auto"/>
              <w:right w:val="single" w:sz="6" w:space="0" w:color="auto"/>
            </w:tcBorders>
          </w:tcPr>
          <w:p w14:paraId="76E10C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10,20</w:t>
            </w:r>
          </w:p>
        </w:tc>
        <w:tc>
          <w:tcPr>
            <w:tcW w:w="1363" w:type="dxa"/>
            <w:tcBorders>
              <w:top w:val="single" w:sz="6" w:space="0" w:color="auto"/>
              <w:left w:val="single" w:sz="6" w:space="0" w:color="auto"/>
              <w:bottom w:val="single" w:sz="6" w:space="0" w:color="auto"/>
              <w:right w:val="single" w:sz="6" w:space="0" w:color="auto"/>
            </w:tcBorders>
          </w:tcPr>
          <w:p w14:paraId="32B81F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478AF391" w14:textId="77777777">
        <w:trPr>
          <w:trHeight w:val="182"/>
        </w:trPr>
        <w:tc>
          <w:tcPr>
            <w:tcW w:w="3389" w:type="dxa"/>
            <w:tcBorders>
              <w:top w:val="single" w:sz="6" w:space="0" w:color="auto"/>
              <w:left w:val="single" w:sz="6" w:space="0" w:color="auto"/>
              <w:bottom w:val="single" w:sz="6" w:space="0" w:color="auto"/>
              <w:right w:val="single" w:sz="6" w:space="0" w:color="auto"/>
            </w:tcBorders>
          </w:tcPr>
          <w:p w14:paraId="10E930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Практический потолок, м</w:t>
            </w:r>
          </w:p>
        </w:tc>
        <w:tc>
          <w:tcPr>
            <w:tcW w:w="1200" w:type="dxa"/>
            <w:tcBorders>
              <w:top w:val="single" w:sz="6" w:space="0" w:color="auto"/>
              <w:left w:val="single" w:sz="6" w:space="0" w:color="auto"/>
              <w:bottom w:val="single" w:sz="6" w:space="0" w:color="auto"/>
              <w:right w:val="single" w:sz="6" w:space="0" w:color="auto"/>
            </w:tcBorders>
          </w:tcPr>
          <w:p w14:paraId="5CF571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6860</w:t>
            </w:r>
          </w:p>
        </w:tc>
        <w:tc>
          <w:tcPr>
            <w:tcW w:w="1392" w:type="dxa"/>
            <w:tcBorders>
              <w:top w:val="single" w:sz="6" w:space="0" w:color="auto"/>
              <w:left w:val="single" w:sz="6" w:space="0" w:color="auto"/>
              <w:bottom w:val="single" w:sz="6" w:space="0" w:color="auto"/>
              <w:right w:val="single" w:sz="6" w:space="0" w:color="auto"/>
            </w:tcBorders>
          </w:tcPr>
          <w:p w14:paraId="4F1578B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8220</w:t>
            </w:r>
          </w:p>
        </w:tc>
        <w:tc>
          <w:tcPr>
            <w:tcW w:w="1594" w:type="dxa"/>
            <w:tcBorders>
              <w:top w:val="single" w:sz="6" w:space="0" w:color="auto"/>
              <w:left w:val="single" w:sz="6" w:space="0" w:color="auto"/>
              <w:bottom w:val="single" w:sz="6" w:space="0" w:color="auto"/>
              <w:right w:val="single" w:sz="6" w:space="0" w:color="auto"/>
            </w:tcBorders>
          </w:tcPr>
          <w:p w14:paraId="05C40F8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7650</w:t>
            </w:r>
          </w:p>
        </w:tc>
        <w:tc>
          <w:tcPr>
            <w:tcW w:w="1594" w:type="dxa"/>
            <w:tcBorders>
              <w:top w:val="single" w:sz="6" w:space="0" w:color="auto"/>
              <w:left w:val="single" w:sz="6" w:space="0" w:color="auto"/>
              <w:bottom w:val="single" w:sz="6" w:space="0" w:color="auto"/>
              <w:right w:val="single" w:sz="6" w:space="0" w:color="auto"/>
            </w:tcBorders>
          </w:tcPr>
          <w:p w14:paraId="4D9426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7100</w:t>
            </w:r>
          </w:p>
        </w:tc>
        <w:tc>
          <w:tcPr>
            <w:tcW w:w="1363" w:type="dxa"/>
            <w:tcBorders>
              <w:top w:val="single" w:sz="6" w:space="0" w:color="auto"/>
              <w:left w:val="single" w:sz="6" w:space="0" w:color="auto"/>
              <w:bottom w:val="single" w:sz="6" w:space="0" w:color="auto"/>
              <w:right w:val="single" w:sz="6" w:space="0" w:color="auto"/>
            </w:tcBorders>
          </w:tcPr>
          <w:p w14:paraId="479203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7500-8000</w:t>
            </w:r>
          </w:p>
        </w:tc>
      </w:tr>
      <w:tr w:rsidR="00A259BD" w:rsidRPr="00A259BD" w14:paraId="1682B785" w14:textId="77777777">
        <w:trPr>
          <w:trHeight w:val="298"/>
        </w:trPr>
        <w:tc>
          <w:tcPr>
            <w:tcW w:w="3389" w:type="dxa"/>
            <w:tcBorders>
              <w:top w:val="single" w:sz="6" w:space="0" w:color="auto"/>
              <w:left w:val="single" w:sz="6" w:space="0" w:color="auto"/>
              <w:bottom w:val="single" w:sz="6" w:space="0" w:color="auto"/>
              <w:right w:val="single" w:sz="6" w:space="0" w:color="auto"/>
            </w:tcBorders>
          </w:tcPr>
          <w:p w14:paraId="38AEDB3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виража, сек.</w:t>
            </w:r>
          </w:p>
        </w:tc>
        <w:tc>
          <w:tcPr>
            <w:tcW w:w="1200" w:type="dxa"/>
            <w:tcBorders>
              <w:top w:val="single" w:sz="6" w:space="0" w:color="auto"/>
              <w:left w:val="single" w:sz="6" w:space="0" w:color="auto"/>
              <w:bottom w:val="single" w:sz="6" w:space="0" w:color="auto"/>
              <w:right w:val="single" w:sz="6" w:space="0" w:color="auto"/>
            </w:tcBorders>
          </w:tcPr>
          <w:p w14:paraId="271CA9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w:t>
            </w:r>
          </w:p>
        </w:tc>
        <w:tc>
          <w:tcPr>
            <w:tcW w:w="1392" w:type="dxa"/>
            <w:tcBorders>
              <w:top w:val="single" w:sz="6" w:space="0" w:color="auto"/>
              <w:left w:val="single" w:sz="6" w:space="0" w:color="auto"/>
              <w:bottom w:val="single" w:sz="6" w:space="0" w:color="auto"/>
              <w:right w:val="single" w:sz="6" w:space="0" w:color="auto"/>
            </w:tcBorders>
          </w:tcPr>
          <w:p w14:paraId="1191B3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9,1-9,3</w:t>
            </w:r>
          </w:p>
        </w:tc>
        <w:tc>
          <w:tcPr>
            <w:tcW w:w="1594" w:type="dxa"/>
            <w:tcBorders>
              <w:top w:val="single" w:sz="6" w:space="0" w:color="auto"/>
              <w:left w:val="single" w:sz="6" w:space="0" w:color="auto"/>
              <w:bottom w:val="single" w:sz="6" w:space="0" w:color="auto"/>
              <w:right w:val="single" w:sz="6" w:space="0" w:color="auto"/>
            </w:tcBorders>
          </w:tcPr>
          <w:p w14:paraId="1DB164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11,5</w:t>
            </w:r>
          </w:p>
        </w:tc>
        <w:tc>
          <w:tcPr>
            <w:tcW w:w="1594" w:type="dxa"/>
            <w:tcBorders>
              <w:top w:val="single" w:sz="6" w:space="0" w:color="auto"/>
              <w:left w:val="single" w:sz="6" w:space="0" w:color="auto"/>
              <w:bottom w:val="single" w:sz="6" w:space="0" w:color="auto"/>
              <w:right w:val="single" w:sz="6" w:space="0" w:color="auto"/>
            </w:tcBorders>
          </w:tcPr>
          <w:p w14:paraId="396443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11,35</w:t>
            </w:r>
          </w:p>
        </w:tc>
        <w:tc>
          <w:tcPr>
            <w:tcW w:w="1363" w:type="dxa"/>
            <w:tcBorders>
              <w:top w:val="single" w:sz="6" w:space="0" w:color="auto"/>
              <w:left w:val="single" w:sz="6" w:space="0" w:color="auto"/>
              <w:bottom w:val="single" w:sz="6" w:space="0" w:color="auto"/>
              <w:right w:val="single" w:sz="6" w:space="0" w:color="auto"/>
            </w:tcBorders>
          </w:tcPr>
          <w:p w14:paraId="5691129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bl>
    <w:p w14:paraId="2FC7378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(10729).</w:t>
      </w:r>
    </w:p>
    <w:p w14:paraId="08AA9B4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12B23B" w14:textId="77777777" w:rsidR="006A2CEC" w:rsidRPr="00A259BD" w:rsidRDefault="006A2CE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w:t>
      </w:r>
      <w:r w:rsidRPr="00A259BD">
        <w:rPr>
          <w:rFonts w:ascii="Times New Roman" w:hAnsi="Times New Roman"/>
          <w:color w:val="000000" w:themeColor="text1"/>
          <w:sz w:val="16"/>
          <w:szCs w:val="16"/>
        </w:rPr>
        <w:softHyphen/>
        <w:t>том 1929 г. после утверждения эскизного проекта на заводе №25 приступили к по</w:t>
      </w:r>
      <w:r w:rsidRPr="00A259BD">
        <w:rPr>
          <w:rFonts w:ascii="Times New Roman" w:hAnsi="Times New Roman"/>
          <w:color w:val="000000" w:themeColor="text1"/>
          <w:sz w:val="16"/>
          <w:szCs w:val="16"/>
        </w:rPr>
        <w:softHyphen/>
        <w:t>стройке первого И-6 (всего было заложено 4 экземпляра). С октября 1929 г., после аре</w:t>
      </w:r>
      <w:r w:rsidRPr="00A259BD">
        <w:rPr>
          <w:rFonts w:ascii="Times New Roman" w:hAnsi="Times New Roman"/>
          <w:color w:val="000000" w:themeColor="text1"/>
          <w:sz w:val="16"/>
          <w:szCs w:val="16"/>
        </w:rPr>
        <w:softHyphen/>
        <w:t xml:space="preserve">ста Н.Н. Поликарпова работами руководил С.А. </w:t>
      </w:r>
      <w:proofErr w:type="spellStart"/>
      <w:r w:rsidRPr="00A259BD">
        <w:rPr>
          <w:rFonts w:ascii="Times New Roman" w:hAnsi="Times New Roman"/>
          <w:color w:val="000000" w:themeColor="text1"/>
          <w:sz w:val="16"/>
          <w:szCs w:val="16"/>
        </w:rPr>
        <w:t>Кочеригин</w:t>
      </w:r>
      <w:proofErr w:type="spellEnd"/>
      <w:r w:rsidRPr="00A259BD">
        <w:rPr>
          <w:rFonts w:ascii="Times New Roman" w:hAnsi="Times New Roman"/>
          <w:color w:val="000000" w:themeColor="text1"/>
          <w:sz w:val="16"/>
          <w:szCs w:val="16"/>
        </w:rPr>
        <w:t>, назначенный главным кон</w:t>
      </w:r>
      <w:r w:rsidRPr="00A259BD">
        <w:rPr>
          <w:rFonts w:ascii="Times New Roman" w:hAnsi="Times New Roman"/>
          <w:color w:val="000000" w:themeColor="text1"/>
          <w:sz w:val="16"/>
          <w:szCs w:val="16"/>
        </w:rPr>
        <w:softHyphen/>
        <w:t>структором авиазавода №25.</w:t>
      </w:r>
    </w:p>
    <w:p w14:paraId="2C4C3BF4" w14:textId="77777777" w:rsidR="006A2CEC" w:rsidRPr="00A259BD" w:rsidRDefault="006A2CE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Первый экземпляр И-6 имел уменьшен</w:t>
      </w:r>
      <w:r w:rsidRPr="00A259BD">
        <w:rPr>
          <w:rFonts w:ascii="Times New Roman" w:hAnsi="Times New Roman"/>
          <w:color w:val="000000" w:themeColor="text1"/>
          <w:sz w:val="16"/>
          <w:szCs w:val="16"/>
        </w:rPr>
        <w:softHyphen/>
        <w:t>ную площадь крыльев, т.е. строился по вто</w:t>
      </w:r>
      <w:r w:rsidRPr="00A259BD">
        <w:rPr>
          <w:rFonts w:ascii="Times New Roman" w:hAnsi="Times New Roman"/>
          <w:color w:val="000000" w:themeColor="text1"/>
          <w:sz w:val="16"/>
          <w:szCs w:val="16"/>
        </w:rPr>
        <w:softHyphen/>
        <w:t>рому варианту эскизного проекта. К допол</w:t>
      </w:r>
      <w:r w:rsidRPr="00A259BD">
        <w:rPr>
          <w:rFonts w:ascii="Times New Roman" w:hAnsi="Times New Roman"/>
          <w:color w:val="000000" w:themeColor="text1"/>
          <w:sz w:val="16"/>
          <w:szCs w:val="16"/>
        </w:rPr>
        <w:softHyphen/>
        <w:t>нительным отличиям следует отнести разме</w:t>
      </w:r>
      <w:r w:rsidRPr="00A259BD">
        <w:rPr>
          <w:rFonts w:ascii="Times New Roman" w:hAnsi="Times New Roman"/>
          <w:color w:val="000000" w:themeColor="text1"/>
          <w:sz w:val="16"/>
          <w:szCs w:val="16"/>
        </w:rPr>
        <w:softHyphen/>
        <w:t>щение горизонтального оперения в районе продольной оси хвостовой части фюзеляжа.</w:t>
      </w:r>
    </w:p>
    <w:p w14:paraId="03A4D42A" w14:textId="77777777" w:rsidR="006A2CEC" w:rsidRPr="00A259BD" w:rsidRDefault="006A2CE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И-6 представлял собой </w:t>
      </w:r>
      <w:proofErr w:type="spellStart"/>
      <w:r w:rsidRPr="00A259BD">
        <w:rPr>
          <w:rFonts w:ascii="Times New Roman" w:hAnsi="Times New Roman"/>
          <w:color w:val="000000" w:themeColor="text1"/>
          <w:sz w:val="16"/>
          <w:szCs w:val="16"/>
        </w:rPr>
        <w:t>полутороплан</w:t>
      </w:r>
      <w:proofErr w:type="spellEnd"/>
      <w:r w:rsidRPr="00A259BD">
        <w:rPr>
          <w:rFonts w:ascii="Times New Roman" w:hAnsi="Times New Roman"/>
          <w:color w:val="000000" w:themeColor="text1"/>
          <w:sz w:val="16"/>
          <w:szCs w:val="16"/>
        </w:rPr>
        <w:t xml:space="preserve"> сме</w:t>
      </w:r>
      <w:r w:rsidRPr="00A259BD">
        <w:rPr>
          <w:rFonts w:ascii="Times New Roman" w:hAnsi="Times New Roman"/>
          <w:color w:val="000000" w:themeColor="text1"/>
          <w:sz w:val="16"/>
          <w:szCs w:val="16"/>
        </w:rPr>
        <w:softHyphen/>
        <w:t>шанной конструкции. Фюзеляж — деревян</w:t>
      </w:r>
      <w:r w:rsidRPr="00A259BD">
        <w:rPr>
          <w:rFonts w:ascii="Times New Roman" w:hAnsi="Times New Roman"/>
          <w:color w:val="000000" w:themeColor="text1"/>
          <w:sz w:val="16"/>
          <w:szCs w:val="16"/>
        </w:rPr>
        <w:softHyphen/>
        <w:t xml:space="preserve">ный </w:t>
      </w:r>
      <w:proofErr w:type="spellStart"/>
      <w:r w:rsidRPr="00A259BD">
        <w:rPr>
          <w:rFonts w:ascii="Times New Roman" w:hAnsi="Times New Roman"/>
          <w:color w:val="000000" w:themeColor="text1"/>
          <w:sz w:val="16"/>
          <w:szCs w:val="16"/>
        </w:rPr>
        <w:t>полумонокок</w:t>
      </w:r>
      <w:proofErr w:type="spellEnd"/>
      <w:r w:rsidRPr="00A259BD">
        <w:rPr>
          <w:rFonts w:ascii="Times New Roman" w:hAnsi="Times New Roman"/>
          <w:color w:val="000000" w:themeColor="text1"/>
          <w:sz w:val="16"/>
          <w:szCs w:val="16"/>
        </w:rPr>
        <w:t>, выклеенный из шпона на специальной форме и затем собранный на подготовленном каркасе (все как у И-3). Двигатель закрыт дюралюминиевым капо</w:t>
      </w:r>
      <w:r w:rsidRPr="00A259BD">
        <w:rPr>
          <w:rFonts w:ascii="Times New Roman" w:hAnsi="Times New Roman"/>
          <w:color w:val="000000" w:themeColor="text1"/>
          <w:sz w:val="16"/>
          <w:szCs w:val="16"/>
        </w:rPr>
        <w:softHyphen/>
        <w:t>том с индивидуальными обтекателями каж</w:t>
      </w:r>
      <w:r w:rsidRPr="00A259BD">
        <w:rPr>
          <w:rFonts w:ascii="Times New Roman" w:hAnsi="Times New Roman"/>
          <w:color w:val="000000" w:themeColor="text1"/>
          <w:sz w:val="16"/>
          <w:szCs w:val="16"/>
        </w:rPr>
        <w:softHyphen/>
        <w:t>дого цилиндра. В отношении такого реше</w:t>
      </w:r>
      <w:r w:rsidRPr="00A259BD">
        <w:rPr>
          <w:rFonts w:ascii="Times New Roman" w:hAnsi="Times New Roman"/>
          <w:color w:val="000000" w:themeColor="text1"/>
          <w:sz w:val="16"/>
          <w:szCs w:val="16"/>
        </w:rPr>
        <w:softHyphen/>
        <w:t>ния техническая команда высказывалась от</w:t>
      </w:r>
      <w:r w:rsidRPr="00A259BD">
        <w:rPr>
          <w:rFonts w:ascii="Times New Roman" w:hAnsi="Times New Roman"/>
          <w:color w:val="000000" w:themeColor="text1"/>
          <w:sz w:val="16"/>
          <w:szCs w:val="16"/>
        </w:rPr>
        <w:softHyphen/>
        <w:t>рицательно - очень сложная конструкция, которую приходилось долго снимать при об</w:t>
      </w:r>
      <w:r w:rsidRPr="00A259BD">
        <w:rPr>
          <w:rFonts w:ascii="Times New Roman" w:hAnsi="Times New Roman"/>
          <w:color w:val="000000" w:themeColor="text1"/>
          <w:sz w:val="16"/>
          <w:szCs w:val="16"/>
        </w:rPr>
        <w:softHyphen/>
        <w:t>служивании. Топливный бак на 210 кг бензи</w:t>
      </w:r>
      <w:r w:rsidRPr="00A259BD">
        <w:rPr>
          <w:rFonts w:ascii="Times New Roman" w:hAnsi="Times New Roman"/>
          <w:color w:val="000000" w:themeColor="text1"/>
          <w:sz w:val="16"/>
          <w:szCs w:val="16"/>
        </w:rPr>
        <w:softHyphen/>
        <w:t>на в фюзеляже за двигателем.</w:t>
      </w:r>
    </w:p>
    <w:p w14:paraId="656BFE89" w14:textId="77777777" w:rsidR="006A2CEC" w:rsidRPr="00A259BD" w:rsidRDefault="006A2CE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Крылья деревянные, </w:t>
      </w:r>
      <w:proofErr w:type="spellStart"/>
      <w:r w:rsidRPr="00A259BD">
        <w:rPr>
          <w:rFonts w:ascii="Times New Roman" w:hAnsi="Times New Roman"/>
          <w:color w:val="000000" w:themeColor="text1"/>
          <w:sz w:val="16"/>
          <w:szCs w:val="16"/>
        </w:rPr>
        <w:t>двухлонжеронные</w:t>
      </w:r>
      <w:proofErr w:type="spellEnd"/>
      <w:r w:rsidRPr="00A259BD">
        <w:rPr>
          <w:rFonts w:ascii="Times New Roman" w:hAnsi="Times New Roman"/>
          <w:color w:val="000000" w:themeColor="text1"/>
          <w:sz w:val="16"/>
          <w:szCs w:val="16"/>
        </w:rPr>
        <w:t xml:space="preserve">, обтянуты полотном, с расположением </w:t>
      </w:r>
      <w:proofErr w:type="spellStart"/>
      <w:r w:rsidRPr="00A259BD">
        <w:rPr>
          <w:rFonts w:ascii="Times New Roman" w:hAnsi="Times New Roman"/>
          <w:color w:val="000000" w:themeColor="text1"/>
          <w:sz w:val="16"/>
          <w:szCs w:val="16"/>
        </w:rPr>
        <w:t>элеро</w:t>
      </w:r>
      <w:proofErr w:type="spellEnd"/>
      <w:r w:rsidRPr="00A259BD">
        <w:rPr>
          <w:rFonts w:ascii="Times New Roman" w:hAnsi="Times New Roman"/>
          <w:color w:val="000000" w:themeColor="text1"/>
          <w:sz w:val="16"/>
          <w:szCs w:val="16"/>
        </w:rPr>
        <w:t xml:space="preserve"> нов на верхней плоскости. Форма </w:t>
      </w:r>
      <w:proofErr w:type="spellStart"/>
      <w:r w:rsidRPr="00A259BD">
        <w:rPr>
          <w:rFonts w:ascii="Times New Roman" w:hAnsi="Times New Roman"/>
          <w:color w:val="000000" w:themeColor="text1"/>
          <w:sz w:val="16"/>
          <w:szCs w:val="16"/>
        </w:rPr>
        <w:t>законцо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вок</w:t>
      </w:r>
      <w:proofErr w:type="spellEnd"/>
      <w:r w:rsidRPr="00A259BD">
        <w:rPr>
          <w:rFonts w:ascii="Times New Roman" w:hAnsi="Times New Roman"/>
          <w:color w:val="000000" w:themeColor="text1"/>
          <w:sz w:val="16"/>
          <w:szCs w:val="16"/>
        </w:rPr>
        <w:t xml:space="preserve"> в плане эллиптическая. Центроплан дю</w:t>
      </w:r>
      <w:r w:rsidRPr="00A259BD">
        <w:rPr>
          <w:rFonts w:ascii="Times New Roman" w:hAnsi="Times New Roman"/>
          <w:color w:val="000000" w:themeColor="text1"/>
          <w:sz w:val="16"/>
          <w:szCs w:val="16"/>
        </w:rPr>
        <w:softHyphen/>
        <w:t xml:space="preserve">ралевый, обшит полотном. И-образные </w:t>
      </w:r>
      <w:proofErr w:type="spellStart"/>
      <w:r w:rsidRPr="00A259BD">
        <w:rPr>
          <w:rFonts w:ascii="Times New Roman" w:hAnsi="Times New Roman"/>
          <w:color w:val="000000" w:themeColor="text1"/>
          <w:sz w:val="16"/>
          <w:szCs w:val="16"/>
        </w:rPr>
        <w:t>меж</w:t>
      </w:r>
      <w:r w:rsidRPr="00A259BD">
        <w:rPr>
          <w:rFonts w:ascii="Times New Roman" w:hAnsi="Times New Roman"/>
          <w:color w:val="000000" w:themeColor="text1"/>
          <w:sz w:val="16"/>
          <w:szCs w:val="16"/>
        </w:rPr>
        <w:softHyphen/>
        <w:t>крыльевые</w:t>
      </w:r>
      <w:proofErr w:type="spellEnd"/>
      <w:r w:rsidRPr="00A259BD">
        <w:rPr>
          <w:rFonts w:ascii="Times New Roman" w:hAnsi="Times New Roman"/>
          <w:color w:val="000000" w:themeColor="text1"/>
          <w:sz w:val="16"/>
          <w:szCs w:val="16"/>
        </w:rPr>
        <w:t xml:space="preserve"> стойки дюралевые, расчалки лен</w:t>
      </w:r>
      <w:r w:rsidRPr="00A259BD">
        <w:rPr>
          <w:rFonts w:ascii="Times New Roman" w:hAnsi="Times New Roman"/>
          <w:color w:val="000000" w:themeColor="text1"/>
          <w:sz w:val="16"/>
          <w:szCs w:val="16"/>
        </w:rPr>
        <w:softHyphen/>
        <w:t>точные, стальные. Хвостовое оперение дю</w:t>
      </w:r>
      <w:r w:rsidRPr="00A259BD">
        <w:rPr>
          <w:rFonts w:ascii="Times New Roman" w:hAnsi="Times New Roman"/>
          <w:color w:val="000000" w:themeColor="text1"/>
          <w:sz w:val="16"/>
          <w:szCs w:val="16"/>
        </w:rPr>
        <w:softHyphen/>
        <w:t>ралевое, обшито полотном.</w:t>
      </w:r>
    </w:p>
    <w:p w14:paraId="7B10BF35" w14:textId="77777777" w:rsidR="006A2CEC" w:rsidRPr="00A259BD" w:rsidRDefault="006A2CE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Несмотря на задуманную установку «Юпи</w:t>
      </w:r>
      <w:r w:rsidRPr="00A259BD">
        <w:rPr>
          <w:rFonts w:ascii="Times New Roman" w:hAnsi="Times New Roman"/>
          <w:color w:val="000000" w:themeColor="text1"/>
          <w:sz w:val="16"/>
          <w:szCs w:val="16"/>
        </w:rPr>
        <w:softHyphen/>
        <w:t>тера» 7-й серии, первый экземпляр И-6 был оснащен двигателем Гном-Рон «Юпитер»У1 мощностью 480 л.с. Вес пустого самолета со</w:t>
      </w:r>
      <w:r w:rsidRPr="00A259BD">
        <w:rPr>
          <w:rFonts w:ascii="Times New Roman" w:hAnsi="Times New Roman"/>
          <w:color w:val="000000" w:themeColor="text1"/>
          <w:sz w:val="16"/>
          <w:szCs w:val="16"/>
        </w:rPr>
        <w:softHyphen/>
        <w:t>ставил 1023 кг, полетный вес — 1418 кг. (12295).</w:t>
      </w:r>
    </w:p>
    <w:p w14:paraId="4C84549B" w14:textId="77777777" w:rsidR="006A2CEC" w:rsidRPr="00A259BD" w:rsidRDefault="006A2CEC" w:rsidP="009236E3">
      <w:pPr>
        <w:spacing w:after="0" w:line="240" w:lineRule="auto"/>
        <w:jc w:val="both"/>
        <w:rPr>
          <w:rFonts w:ascii="Times New Roman" w:hAnsi="Times New Roman"/>
          <w:color w:val="000000" w:themeColor="text1"/>
          <w:sz w:val="16"/>
          <w:szCs w:val="16"/>
        </w:rPr>
      </w:pPr>
    </w:p>
    <w:p w14:paraId="5E435B07" w14:textId="77777777" w:rsidR="00722AA3" w:rsidRPr="00441F34" w:rsidRDefault="00722AA3" w:rsidP="00722AA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Летом 1929 года После утверждения эскизного проекта на заводе No. 25 приступили к постройке первого И-6 (всего заложили 4 экземпляра). С октября 1930 года, после ареста </w:t>
      </w:r>
      <w:proofErr w:type="spellStart"/>
      <w:r w:rsidRPr="00441F34">
        <w:rPr>
          <w:rFonts w:ascii="Times New Roman" w:hAnsi="Times New Roman"/>
          <w:color w:val="0070C0"/>
          <w:sz w:val="16"/>
          <w:szCs w:val="16"/>
        </w:rPr>
        <w:t>Н.Н.Поликарпова</w:t>
      </w:r>
      <w:proofErr w:type="spellEnd"/>
      <w:r w:rsidRPr="00441F34">
        <w:rPr>
          <w:rFonts w:ascii="Times New Roman" w:hAnsi="Times New Roman"/>
          <w:color w:val="0070C0"/>
          <w:sz w:val="16"/>
          <w:szCs w:val="16"/>
        </w:rPr>
        <w:t xml:space="preserve">, работами руководил </w:t>
      </w:r>
      <w:proofErr w:type="spellStart"/>
      <w:r w:rsidRPr="00441F34">
        <w:rPr>
          <w:rFonts w:ascii="Times New Roman" w:hAnsi="Times New Roman"/>
          <w:color w:val="0070C0"/>
          <w:sz w:val="16"/>
          <w:szCs w:val="16"/>
        </w:rPr>
        <w:t>С.А.Кочеригин</w:t>
      </w:r>
      <w:proofErr w:type="spellEnd"/>
      <w:r w:rsidRPr="00441F34">
        <w:rPr>
          <w:rFonts w:ascii="Times New Roman" w:hAnsi="Times New Roman"/>
          <w:color w:val="0070C0"/>
          <w:sz w:val="16"/>
          <w:szCs w:val="16"/>
        </w:rPr>
        <w:t>, назначенный главным конструктором авиазавода No. 25.</w:t>
      </w:r>
    </w:p>
    <w:p w14:paraId="59080497" w14:textId="77777777" w:rsidR="00722AA3" w:rsidRPr="00441F34" w:rsidRDefault="00722AA3" w:rsidP="00722AA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Первый экземпляр И-6 строился с двигателем "</w:t>
      </w:r>
      <w:proofErr w:type="spellStart"/>
      <w:r w:rsidRPr="00441F34">
        <w:rPr>
          <w:rFonts w:ascii="Times New Roman" w:hAnsi="Times New Roman"/>
          <w:color w:val="0070C0"/>
          <w:sz w:val="16"/>
          <w:szCs w:val="16"/>
        </w:rPr>
        <w:t>Jupiter</w:t>
      </w:r>
      <w:proofErr w:type="spellEnd"/>
      <w:r w:rsidRPr="00441F34">
        <w:rPr>
          <w:rFonts w:ascii="Times New Roman" w:hAnsi="Times New Roman"/>
          <w:color w:val="0070C0"/>
          <w:sz w:val="16"/>
          <w:szCs w:val="16"/>
        </w:rPr>
        <w:t>" VII мощностью 600 л.с., он имел уменьшенную площадь крыльев (т.е. строился по второму варианту эскизного проекта). К его дополнительным отличиям следует отнести размещение горизонтального оперения в районе продольной оси хвостовой части фюзеляжа.</w:t>
      </w:r>
    </w:p>
    <w:p w14:paraId="23A50806" w14:textId="77777777" w:rsidR="00722AA3" w:rsidRPr="00441F34" w:rsidRDefault="00722AA3" w:rsidP="00722AA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Самолет представлял собой </w:t>
      </w:r>
      <w:proofErr w:type="spellStart"/>
      <w:r w:rsidRPr="00441F34">
        <w:rPr>
          <w:rFonts w:ascii="Times New Roman" w:hAnsi="Times New Roman"/>
          <w:color w:val="0070C0"/>
          <w:sz w:val="16"/>
          <w:szCs w:val="16"/>
        </w:rPr>
        <w:t>полутороплан</w:t>
      </w:r>
      <w:proofErr w:type="spellEnd"/>
      <w:r w:rsidRPr="00441F34">
        <w:rPr>
          <w:rFonts w:ascii="Times New Roman" w:hAnsi="Times New Roman"/>
          <w:color w:val="0070C0"/>
          <w:sz w:val="16"/>
          <w:szCs w:val="16"/>
        </w:rPr>
        <w:t xml:space="preserve"> смешанной конструкции. Фюзеляж - деревянный </w:t>
      </w:r>
      <w:proofErr w:type="spellStart"/>
      <w:r w:rsidRPr="00441F34">
        <w:rPr>
          <w:rFonts w:ascii="Times New Roman" w:hAnsi="Times New Roman"/>
          <w:color w:val="0070C0"/>
          <w:sz w:val="16"/>
          <w:szCs w:val="16"/>
        </w:rPr>
        <w:t>полумонокок</w:t>
      </w:r>
      <w:proofErr w:type="spellEnd"/>
      <w:r w:rsidRPr="00441F34">
        <w:rPr>
          <w:rFonts w:ascii="Times New Roman" w:hAnsi="Times New Roman"/>
          <w:color w:val="0070C0"/>
          <w:sz w:val="16"/>
          <w:szCs w:val="16"/>
        </w:rPr>
        <w:t>, выклеенный из шпона на специальной форме и затем собранный на подготовленном каркасе (все как у И-3). Двигатель закрыт дюралюминиевым капотом с индивидуальными обтекателями каждого цилиндра. В отношении такого решения техническая команда высказывалась отрицательно - очень сложная конструкция, которую приходилось долго снимать при обслуживании. Топливный бак на 210 кг бензина - в фюзеляже за двигателем.</w:t>
      </w:r>
    </w:p>
    <w:p w14:paraId="0D3188A1" w14:textId="77777777" w:rsidR="00722AA3" w:rsidRPr="00441F34" w:rsidRDefault="00722AA3" w:rsidP="00722AA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Крылья деревянные, </w:t>
      </w:r>
      <w:proofErr w:type="spellStart"/>
      <w:r w:rsidRPr="00441F34">
        <w:rPr>
          <w:rFonts w:ascii="Times New Roman" w:hAnsi="Times New Roman"/>
          <w:color w:val="0070C0"/>
          <w:sz w:val="16"/>
          <w:szCs w:val="16"/>
        </w:rPr>
        <w:t>двухлонжеронные</w:t>
      </w:r>
      <w:proofErr w:type="spellEnd"/>
      <w:r w:rsidRPr="00441F34">
        <w:rPr>
          <w:rFonts w:ascii="Times New Roman" w:hAnsi="Times New Roman"/>
          <w:color w:val="0070C0"/>
          <w:sz w:val="16"/>
          <w:szCs w:val="16"/>
        </w:rPr>
        <w:t xml:space="preserve">, обтянуты полотном, с расположением элеронов на верхней плоскости. Форма </w:t>
      </w:r>
      <w:proofErr w:type="spellStart"/>
      <w:r w:rsidRPr="00441F34">
        <w:rPr>
          <w:rFonts w:ascii="Times New Roman" w:hAnsi="Times New Roman"/>
          <w:color w:val="0070C0"/>
          <w:sz w:val="16"/>
          <w:szCs w:val="16"/>
        </w:rPr>
        <w:t>законцовок</w:t>
      </w:r>
      <w:proofErr w:type="spellEnd"/>
      <w:r w:rsidRPr="00441F34">
        <w:rPr>
          <w:rFonts w:ascii="Times New Roman" w:hAnsi="Times New Roman"/>
          <w:color w:val="0070C0"/>
          <w:sz w:val="16"/>
          <w:szCs w:val="16"/>
        </w:rPr>
        <w:t xml:space="preserve"> в плане эллиптическая. Центроплан дюралевый, обшит полотном. И-образные </w:t>
      </w:r>
      <w:proofErr w:type="spellStart"/>
      <w:r w:rsidRPr="00441F34">
        <w:rPr>
          <w:rFonts w:ascii="Times New Roman" w:hAnsi="Times New Roman"/>
          <w:color w:val="0070C0"/>
          <w:sz w:val="16"/>
          <w:szCs w:val="16"/>
        </w:rPr>
        <w:t>межкрыльевые</w:t>
      </w:r>
      <w:proofErr w:type="spellEnd"/>
      <w:r w:rsidRPr="00441F34">
        <w:rPr>
          <w:rFonts w:ascii="Times New Roman" w:hAnsi="Times New Roman"/>
          <w:color w:val="0070C0"/>
          <w:sz w:val="16"/>
          <w:szCs w:val="16"/>
        </w:rPr>
        <w:t xml:space="preserve"> стойки дюралевые, расчалки ленточные. Хвостовое оперение дюралевое, обшито полотном (24301).</w:t>
      </w:r>
    </w:p>
    <w:p w14:paraId="40532FAD" w14:textId="77777777" w:rsidR="00722AA3" w:rsidRPr="00441F34" w:rsidRDefault="00722AA3" w:rsidP="00722AA3">
      <w:pPr>
        <w:spacing w:after="0" w:line="240" w:lineRule="auto"/>
        <w:jc w:val="both"/>
        <w:rPr>
          <w:rFonts w:ascii="Times New Roman" w:hAnsi="Times New Roman"/>
          <w:color w:val="0070C0"/>
          <w:sz w:val="16"/>
          <w:szCs w:val="16"/>
        </w:rPr>
      </w:pPr>
    </w:p>
    <w:p w14:paraId="308AC7CC" w14:textId="77777777" w:rsidR="00C96EE3" w:rsidRPr="00A259BD" w:rsidRDefault="00C96EE3" w:rsidP="00C96E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лето 1929 года известный летчик, герой Гражданской войны А.Д. Ширинкин обле</w:t>
      </w:r>
      <w:r w:rsidRPr="00A259BD">
        <w:rPr>
          <w:rFonts w:ascii="Times New Roman" w:hAnsi="Times New Roman"/>
          <w:color w:val="000000" w:themeColor="text1"/>
          <w:sz w:val="16"/>
          <w:szCs w:val="16"/>
        </w:rPr>
        <w:softHyphen/>
        <w:t>тал 12 И-3, совместно построенных заводами № 1 и №25, а в августе эта дюжина поступила в 15-ю авиабригаду, базирующуюся в Брян</w:t>
      </w:r>
      <w:r w:rsidRPr="00A259BD">
        <w:rPr>
          <w:rFonts w:ascii="Times New Roman" w:hAnsi="Times New Roman"/>
          <w:color w:val="000000" w:themeColor="text1"/>
          <w:sz w:val="16"/>
          <w:szCs w:val="16"/>
        </w:rPr>
        <w:softHyphen/>
        <w:t>ске. Помогать осваивать новые истребители туда был направлен летчик-испытатель Б.Л. Бухгольц. До наступления холодов и ненаст</w:t>
      </w:r>
      <w:r w:rsidRPr="00A259BD">
        <w:rPr>
          <w:rFonts w:ascii="Times New Roman" w:hAnsi="Times New Roman"/>
          <w:color w:val="000000" w:themeColor="text1"/>
          <w:sz w:val="16"/>
          <w:szCs w:val="16"/>
        </w:rPr>
        <w:softHyphen/>
        <w:t>ной погоды Ширинкин и Бухгольц совмест</w:t>
      </w:r>
      <w:r w:rsidRPr="00A259BD">
        <w:rPr>
          <w:rFonts w:ascii="Times New Roman" w:hAnsi="Times New Roman"/>
          <w:color w:val="000000" w:themeColor="text1"/>
          <w:sz w:val="16"/>
          <w:szCs w:val="16"/>
        </w:rPr>
        <w:softHyphen/>
        <w:t>но со строевыми пилотами стремились нале</w:t>
      </w:r>
      <w:r w:rsidRPr="00A259BD">
        <w:rPr>
          <w:rFonts w:ascii="Times New Roman" w:hAnsi="Times New Roman"/>
          <w:color w:val="000000" w:themeColor="text1"/>
          <w:sz w:val="16"/>
          <w:szCs w:val="16"/>
        </w:rPr>
        <w:softHyphen/>
        <w:t>тать на И-3 как можно больше часов с целью выявления особенностей его эксплуатации.</w:t>
      </w:r>
    </w:p>
    <w:p w14:paraId="571F9C7F" w14:textId="77777777" w:rsidR="00C96EE3" w:rsidRPr="00A259BD" w:rsidRDefault="00C96EE3" w:rsidP="00C96E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Когда строился второй летный экземпляр, появились, по крайней мере, два предложе</w:t>
      </w:r>
      <w:r w:rsidRPr="00A259BD">
        <w:rPr>
          <w:rFonts w:ascii="Times New Roman" w:hAnsi="Times New Roman"/>
          <w:color w:val="000000" w:themeColor="text1"/>
          <w:sz w:val="16"/>
          <w:szCs w:val="16"/>
        </w:rPr>
        <w:softHyphen/>
        <w:t>ния по модификации самолета. Первое - установить на И-3 один из имеющихся аме</w:t>
      </w:r>
      <w:r w:rsidRPr="00A259BD">
        <w:rPr>
          <w:rFonts w:ascii="Times New Roman" w:hAnsi="Times New Roman"/>
          <w:color w:val="000000" w:themeColor="text1"/>
          <w:sz w:val="16"/>
          <w:szCs w:val="16"/>
        </w:rPr>
        <w:softHyphen/>
        <w:t>риканских двигателей «Паккард» мощно</w:t>
      </w:r>
      <w:r w:rsidRPr="00A259BD">
        <w:rPr>
          <w:rFonts w:ascii="Times New Roman" w:hAnsi="Times New Roman"/>
          <w:color w:val="000000" w:themeColor="text1"/>
          <w:sz w:val="16"/>
          <w:szCs w:val="16"/>
        </w:rPr>
        <w:softHyphen/>
        <w:t>стью 600 л.с. Второе - построить поплавко</w:t>
      </w:r>
      <w:r w:rsidRPr="00A259BD">
        <w:rPr>
          <w:rFonts w:ascii="Times New Roman" w:hAnsi="Times New Roman"/>
          <w:color w:val="000000" w:themeColor="text1"/>
          <w:sz w:val="16"/>
          <w:szCs w:val="16"/>
        </w:rPr>
        <w:softHyphen/>
        <w:t>вый вариант истребителя. Оба предложения реализованы не были. Таким образом, И-3 оказался одним из немногих советских само</w:t>
      </w:r>
      <w:r w:rsidRPr="00A259BD">
        <w:rPr>
          <w:rFonts w:ascii="Times New Roman" w:hAnsi="Times New Roman"/>
          <w:color w:val="000000" w:themeColor="text1"/>
          <w:sz w:val="16"/>
          <w:szCs w:val="16"/>
        </w:rPr>
        <w:softHyphen/>
        <w:t>летов, не имеющих модификаций.</w:t>
      </w:r>
    </w:p>
    <w:p w14:paraId="72C3A799" w14:textId="77777777" w:rsidR="00C96EE3" w:rsidRPr="00A259BD" w:rsidRDefault="00C96EE3" w:rsidP="00C96E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Изготовление Р-1 в Москве достигло сво</w:t>
      </w:r>
      <w:r w:rsidRPr="00A259BD">
        <w:rPr>
          <w:rFonts w:ascii="Times New Roman" w:hAnsi="Times New Roman"/>
          <w:color w:val="000000" w:themeColor="text1"/>
          <w:sz w:val="16"/>
          <w:szCs w:val="16"/>
        </w:rPr>
        <w:softHyphen/>
        <w:t>его пика как раз в 1928 году (в тот год выпу</w:t>
      </w:r>
      <w:r w:rsidRPr="00A259BD">
        <w:rPr>
          <w:rFonts w:ascii="Times New Roman" w:hAnsi="Times New Roman"/>
          <w:color w:val="000000" w:themeColor="text1"/>
          <w:sz w:val="16"/>
          <w:szCs w:val="16"/>
        </w:rPr>
        <w:softHyphen/>
        <w:t>стили 445 разведчиков) и продолжалось по 1930-й год включительно. Вплоть до 1929 го</w:t>
      </w:r>
      <w:r w:rsidRPr="00A259BD">
        <w:rPr>
          <w:rFonts w:ascii="Times New Roman" w:hAnsi="Times New Roman"/>
          <w:color w:val="000000" w:themeColor="text1"/>
          <w:sz w:val="16"/>
          <w:szCs w:val="16"/>
        </w:rPr>
        <w:softHyphen/>
        <w:t>да выпускались бипланы И-2 Григоровича. Поэтому освоение И-3 шло медленно — пол</w:t>
      </w:r>
      <w:r w:rsidRPr="00A259BD">
        <w:rPr>
          <w:rFonts w:ascii="Times New Roman" w:hAnsi="Times New Roman"/>
          <w:color w:val="000000" w:themeColor="text1"/>
          <w:sz w:val="16"/>
          <w:szCs w:val="16"/>
        </w:rPr>
        <w:softHyphen/>
        <w:t>ноценное серийное строительство разверну</w:t>
      </w:r>
      <w:r w:rsidRPr="00A259BD">
        <w:rPr>
          <w:rFonts w:ascii="Times New Roman" w:hAnsi="Times New Roman"/>
          <w:color w:val="000000" w:themeColor="text1"/>
          <w:sz w:val="16"/>
          <w:szCs w:val="16"/>
        </w:rPr>
        <w:softHyphen/>
        <w:t>лось во второй половине 1929 года (в тот год построили 45 самолетов) (12295).</w:t>
      </w:r>
    </w:p>
    <w:p w14:paraId="57019543" w14:textId="77777777" w:rsidR="00C96EE3" w:rsidRPr="00A259BD" w:rsidRDefault="00C96EE3" w:rsidP="00C96EE3">
      <w:pPr>
        <w:spacing w:after="0" w:line="240" w:lineRule="auto"/>
        <w:jc w:val="both"/>
        <w:rPr>
          <w:rFonts w:ascii="Times New Roman" w:hAnsi="Times New Roman"/>
          <w:color w:val="000000" w:themeColor="text1"/>
          <w:sz w:val="16"/>
          <w:szCs w:val="16"/>
        </w:rPr>
      </w:pPr>
    </w:p>
    <w:p w14:paraId="0BAE9DFF" w14:textId="77777777" w:rsidR="006A2CEC" w:rsidRPr="00A259BD" w:rsidRDefault="006A2CE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Летом 1929 г. два опытных экземпляра НО-43 с заводскими номерами №326 и №327 были построены, и после проведения облета заводскими летчиками отправлены в Советский Союз. В результате их испыта</w:t>
      </w:r>
      <w:r w:rsidRPr="00A259BD">
        <w:rPr>
          <w:rFonts w:ascii="Times New Roman" w:hAnsi="Times New Roman"/>
          <w:color w:val="000000" w:themeColor="text1"/>
          <w:sz w:val="16"/>
          <w:szCs w:val="16"/>
        </w:rPr>
        <w:softHyphen/>
        <w:t>ний осенью 1929 г. выяснилось, что новый тип по сравнению с НО-37 в пилотирова</w:t>
      </w:r>
      <w:r w:rsidRPr="00A259BD">
        <w:rPr>
          <w:rFonts w:ascii="Times New Roman" w:hAnsi="Times New Roman"/>
          <w:color w:val="000000" w:themeColor="text1"/>
          <w:sz w:val="16"/>
          <w:szCs w:val="16"/>
        </w:rPr>
        <w:softHyphen/>
        <w:t>нии более сложен, а обзор из кабины пилота и маневренность ухудшились. Использова</w:t>
      </w:r>
      <w:r w:rsidRPr="00A259BD">
        <w:rPr>
          <w:rFonts w:ascii="Times New Roman" w:hAnsi="Times New Roman"/>
          <w:color w:val="000000" w:themeColor="text1"/>
          <w:sz w:val="16"/>
          <w:szCs w:val="16"/>
        </w:rPr>
        <w:softHyphen/>
        <w:t>ние нового крыльевого профиля не улучши</w:t>
      </w:r>
      <w:r w:rsidRPr="00A259BD">
        <w:rPr>
          <w:rFonts w:ascii="Times New Roman" w:hAnsi="Times New Roman"/>
          <w:color w:val="000000" w:themeColor="text1"/>
          <w:sz w:val="16"/>
          <w:szCs w:val="16"/>
        </w:rPr>
        <w:softHyphen/>
        <w:t>ло аэродинамических характеристик, регу</w:t>
      </w:r>
      <w:r w:rsidRPr="00A259BD">
        <w:rPr>
          <w:rFonts w:ascii="Times New Roman" w:hAnsi="Times New Roman"/>
          <w:color w:val="000000" w:themeColor="text1"/>
          <w:sz w:val="16"/>
          <w:szCs w:val="16"/>
        </w:rPr>
        <w:softHyphen/>
        <w:t>лировка крыльев значительно усложнилась, масля но-пневматическая амортизация — не</w:t>
      </w:r>
      <w:r w:rsidRPr="00A259BD">
        <w:rPr>
          <w:rFonts w:ascii="Times New Roman" w:hAnsi="Times New Roman"/>
          <w:color w:val="000000" w:themeColor="text1"/>
          <w:sz w:val="16"/>
          <w:szCs w:val="16"/>
        </w:rPr>
        <w:softHyphen/>
        <w:t>эффективна.</w:t>
      </w:r>
    </w:p>
    <w:p w14:paraId="44EFF164" w14:textId="77777777" w:rsidR="006A2CEC" w:rsidRPr="00A259BD" w:rsidRDefault="006A2CE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 НИИ ВВС от 1 декабря 1929 г. по НО-43 гласило: «по сравнению с предше</w:t>
      </w:r>
      <w:r w:rsidRPr="00A259BD">
        <w:rPr>
          <w:rFonts w:ascii="Times New Roman" w:hAnsi="Times New Roman"/>
          <w:color w:val="000000" w:themeColor="text1"/>
          <w:sz w:val="16"/>
          <w:szCs w:val="16"/>
        </w:rPr>
        <w:softHyphen/>
        <w:t>ственником, его боевые свойства значитель</w:t>
      </w:r>
      <w:r w:rsidRPr="00A259BD">
        <w:rPr>
          <w:rFonts w:ascii="Times New Roman" w:hAnsi="Times New Roman"/>
          <w:color w:val="000000" w:themeColor="text1"/>
          <w:sz w:val="16"/>
          <w:szCs w:val="16"/>
        </w:rPr>
        <w:softHyphen/>
        <w:t>но ниже и он не может быть рекомендован на снабжение ВВС» (12295).</w:t>
      </w:r>
    </w:p>
    <w:p w14:paraId="440C542E" w14:textId="77777777" w:rsidR="006A2CEC" w:rsidRPr="00A259BD" w:rsidRDefault="006A2CEC" w:rsidP="009236E3">
      <w:pPr>
        <w:spacing w:after="0" w:line="240" w:lineRule="auto"/>
        <w:jc w:val="both"/>
        <w:rPr>
          <w:rFonts w:ascii="Times New Roman" w:hAnsi="Times New Roman"/>
          <w:color w:val="000000" w:themeColor="text1"/>
          <w:sz w:val="16"/>
          <w:szCs w:val="16"/>
        </w:rPr>
      </w:pPr>
    </w:p>
    <w:p w14:paraId="28065429" w14:textId="77777777" w:rsidR="005D09F4" w:rsidRPr="00A259BD" w:rsidRDefault="005D09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Летом 1929 года новый самолет Хейнкеля был представлен советским специалистам под названием HD-43, однако в процессе испытаний выяснилось, что внесенные советской стороной доработки отрицательно сказались на характеристиках машины, и НИИ ВВС не рекомендовал HD-43 к производству. Однако советские представители на переговорах продолжали требовать от Хейнкеля предоставить им лицензию на производство «самолетов HD-37, включая улучшения, произведенные на типе HD-43».</w:t>
      </w:r>
    </w:p>
    <w:p w14:paraId="15D76E81" w14:textId="77777777" w:rsidR="005D09F4" w:rsidRPr="00A259BD" w:rsidRDefault="005D09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Вопрос об оплате также вызвал длительные споры: фирма предлагала СССР на выбор лицензию трех типов: «неограниченную» (240 тыс. марок за исключительное право производства HD-37 и 43 с полной передачей оригинальных чертежей и патентов), «ограниченную» (за 200 тыс. марок фирма сохраняла право производства, но не имела права продавать самолет двум третьим странам по выбору Советского Союза) и «нормальную» (за 140 тыс. марок фирма могла продолжать производство самолета и продавать его кому угодно). После длительного торга стороны сошлись на сумме в 150 тысяч марок, за которую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получал лицензию сроком на три года, а «Хейнкель» брал на себя обязательство не перепродавать HD-37 иностранным покупателям в течение 10 лет.</w:t>
      </w:r>
    </w:p>
    <w:p w14:paraId="04B71AE4" w14:textId="77777777" w:rsidR="005D09F4" w:rsidRPr="00A259BD" w:rsidRDefault="005D09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истребителя Хейнкеля решено было организовать на авиазаводе № 1, где он и выпускался вплоть до 1934 года под маркой И-7, а затем был снят с производства в связи с появлением И-15 </w:t>
      </w:r>
      <w:proofErr w:type="spellStart"/>
      <w:r w:rsidRPr="00A259BD">
        <w:rPr>
          <w:rFonts w:ascii="Times New Roman" w:hAnsi="Times New Roman"/>
          <w:color w:val="000000" w:themeColor="text1"/>
          <w:sz w:val="16"/>
          <w:szCs w:val="16"/>
        </w:rPr>
        <w:t>Н.Н.Поликарпова</w:t>
      </w:r>
      <w:proofErr w:type="spellEnd"/>
      <w:r w:rsidRPr="00A259BD">
        <w:rPr>
          <w:rFonts w:ascii="Times New Roman" w:hAnsi="Times New Roman"/>
          <w:color w:val="000000" w:themeColor="text1"/>
          <w:sz w:val="16"/>
          <w:szCs w:val="16"/>
        </w:rPr>
        <w:t xml:space="preserve">. Суммарный выпуск всех серий самолета в различных модификациях составил 131 шт. Выдвигаемая в книгах Соболева-Хазанова и </w:t>
      </w:r>
      <w:proofErr w:type="spellStart"/>
      <w:r w:rsidRPr="00A259BD">
        <w:rPr>
          <w:rFonts w:ascii="Times New Roman" w:hAnsi="Times New Roman"/>
          <w:color w:val="000000" w:themeColor="text1"/>
          <w:sz w:val="16"/>
          <w:szCs w:val="16"/>
        </w:rPr>
        <w:t>Широкорада</w:t>
      </w:r>
      <w:proofErr w:type="spellEnd"/>
      <w:r w:rsidRPr="00A259BD">
        <w:rPr>
          <w:rFonts w:ascii="Times New Roman" w:hAnsi="Times New Roman"/>
          <w:color w:val="000000" w:themeColor="text1"/>
          <w:sz w:val="16"/>
          <w:szCs w:val="16"/>
        </w:rPr>
        <w:t xml:space="preserve"> версия о секретном производстве «русского Хейнкеля» на заводе сельскохозяйственного машиностроения «</w:t>
      </w:r>
      <w:proofErr w:type="spellStart"/>
      <w:r w:rsidRPr="00A259BD">
        <w:rPr>
          <w:rFonts w:ascii="Times New Roman" w:hAnsi="Times New Roman"/>
          <w:color w:val="000000" w:themeColor="text1"/>
          <w:sz w:val="16"/>
          <w:szCs w:val="16"/>
        </w:rPr>
        <w:t>Саркомбайн</w:t>
      </w:r>
      <w:proofErr w:type="spellEnd"/>
      <w:r w:rsidRPr="00A259BD">
        <w:rPr>
          <w:rFonts w:ascii="Times New Roman" w:hAnsi="Times New Roman"/>
          <w:color w:val="000000" w:themeColor="text1"/>
          <w:sz w:val="16"/>
          <w:szCs w:val="16"/>
        </w:rPr>
        <w:t xml:space="preserve">», в том числе и для поставок на вооружение рейхсвера, к настоящему времени так и не была подтверждена документами. Согласно архивным данным, второй из </w:t>
      </w:r>
      <w:proofErr w:type="spellStart"/>
      <w:r w:rsidRPr="00A259BD">
        <w:rPr>
          <w:rFonts w:ascii="Times New Roman" w:hAnsi="Times New Roman"/>
          <w:color w:val="000000" w:themeColor="text1"/>
          <w:sz w:val="16"/>
          <w:szCs w:val="16"/>
        </w:rPr>
        <w:t>испытывавшихся</w:t>
      </w:r>
      <w:proofErr w:type="spellEnd"/>
      <w:r w:rsidRPr="00A259BD">
        <w:rPr>
          <w:rFonts w:ascii="Times New Roman" w:hAnsi="Times New Roman"/>
          <w:color w:val="000000" w:themeColor="text1"/>
          <w:sz w:val="16"/>
          <w:szCs w:val="16"/>
        </w:rPr>
        <w:t xml:space="preserve"> в 1928 году HD-37 был по завершении показательных полетов передан для эксплуатации в войсковую часть. Самолет этот носил индивидуальный номер 292 (№ 291, как мы помним, разбился при испытаниях). А завод «</w:t>
      </w:r>
      <w:proofErr w:type="spellStart"/>
      <w:r w:rsidRPr="00A259BD">
        <w:rPr>
          <w:rFonts w:ascii="Times New Roman" w:hAnsi="Times New Roman"/>
          <w:color w:val="000000" w:themeColor="text1"/>
          <w:sz w:val="16"/>
          <w:szCs w:val="16"/>
        </w:rPr>
        <w:t>Саркомбайн</w:t>
      </w:r>
      <w:proofErr w:type="spellEnd"/>
      <w:r w:rsidRPr="00A259BD">
        <w:rPr>
          <w:rFonts w:ascii="Times New Roman" w:hAnsi="Times New Roman"/>
          <w:color w:val="000000" w:themeColor="text1"/>
          <w:sz w:val="16"/>
          <w:szCs w:val="16"/>
        </w:rPr>
        <w:t>» через несколько лет был реорганизован в авиазавод № 292. Иных достоверных обоснований эта версия до сих пор не встречает. Также не существует сведений об эксплуатации этого самолета в Германии.</w:t>
      </w:r>
    </w:p>
    <w:p w14:paraId="7F8F5000" w14:textId="77777777" w:rsidR="005D09F4" w:rsidRPr="00A259BD" w:rsidRDefault="005D09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 упомянуть и еще одну область авиационного строительства, в которой фирма Хейнкеля оказала СССР техническую помощь — гидроавиацию и создание для отечественного ВМФ системы катапультного старта самолетов (18263).</w:t>
      </w:r>
    </w:p>
    <w:p w14:paraId="37FD1287" w14:textId="77777777" w:rsidR="005D09F4" w:rsidRPr="00A259BD" w:rsidRDefault="005D09F4" w:rsidP="009236E3">
      <w:pPr>
        <w:spacing w:after="0" w:line="240" w:lineRule="auto"/>
        <w:jc w:val="both"/>
        <w:rPr>
          <w:rFonts w:ascii="Times New Roman" w:hAnsi="Times New Roman"/>
          <w:color w:val="000000" w:themeColor="text1"/>
          <w:sz w:val="16"/>
          <w:szCs w:val="16"/>
        </w:rPr>
      </w:pPr>
    </w:p>
    <w:p w14:paraId="02BC88B5" w14:textId="77777777" w:rsidR="006A2CEC" w:rsidRPr="00A259BD" w:rsidRDefault="006A2CE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течение летнего сезона 1929 года началь</w:t>
      </w:r>
      <w:r w:rsidRPr="00A259BD">
        <w:rPr>
          <w:rFonts w:ascii="Times New Roman" w:hAnsi="Times New Roman"/>
          <w:color w:val="000000" w:themeColor="text1"/>
          <w:sz w:val="16"/>
          <w:szCs w:val="16"/>
        </w:rPr>
        <w:softHyphen/>
        <w:t>ник ВВС Московского военного округа И.У. Павлов активно эксплуатировал один из первых серийных И-4, доведен</w:t>
      </w:r>
      <w:r w:rsidRPr="00A259BD">
        <w:rPr>
          <w:rFonts w:ascii="Times New Roman" w:hAnsi="Times New Roman"/>
          <w:color w:val="000000" w:themeColor="text1"/>
          <w:sz w:val="16"/>
          <w:szCs w:val="16"/>
        </w:rPr>
        <w:softHyphen/>
        <w:t>ных до летного состояния. Этот самолет, так же как предыдущий личный ис</w:t>
      </w:r>
      <w:r w:rsidRPr="00A259BD">
        <w:rPr>
          <w:rFonts w:ascii="Times New Roman" w:hAnsi="Times New Roman"/>
          <w:color w:val="000000" w:themeColor="text1"/>
          <w:sz w:val="16"/>
          <w:szCs w:val="16"/>
        </w:rPr>
        <w:softHyphen/>
        <w:t>требитель Павлова Фоккер О.XIII, отличал</w:t>
      </w:r>
      <w:r w:rsidRPr="00A259BD">
        <w:rPr>
          <w:rFonts w:ascii="Times New Roman" w:hAnsi="Times New Roman"/>
          <w:color w:val="000000" w:themeColor="text1"/>
          <w:sz w:val="16"/>
          <w:szCs w:val="16"/>
        </w:rPr>
        <w:softHyphen/>
        <w:t>ся изображенным на борту рисунком кра</w:t>
      </w:r>
      <w:r w:rsidRPr="00A259BD">
        <w:rPr>
          <w:rFonts w:ascii="Times New Roman" w:hAnsi="Times New Roman"/>
          <w:color w:val="000000" w:themeColor="text1"/>
          <w:sz w:val="16"/>
          <w:szCs w:val="16"/>
        </w:rPr>
        <w:softHyphen/>
        <w:t>сного знамени с надписью «За ВКП (б)». Осенью 1929 года Павлов передал свой И-4 в ЦАГИ для определения износа конструк</w:t>
      </w:r>
      <w:r w:rsidRPr="00A259BD">
        <w:rPr>
          <w:rFonts w:ascii="Times New Roman" w:hAnsi="Times New Roman"/>
          <w:color w:val="000000" w:themeColor="text1"/>
          <w:sz w:val="16"/>
          <w:szCs w:val="16"/>
        </w:rPr>
        <w:softHyphen/>
        <w:t>ции и проведения ремонта (12295).</w:t>
      </w:r>
    </w:p>
    <w:p w14:paraId="15D53C0F" w14:textId="77777777" w:rsidR="006A2CEC" w:rsidRPr="00A259BD" w:rsidRDefault="006A2CEC" w:rsidP="009236E3">
      <w:pPr>
        <w:spacing w:after="0" w:line="240" w:lineRule="auto"/>
        <w:jc w:val="both"/>
        <w:rPr>
          <w:rFonts w:ascii="Times New Roman" w:hAnsi="Times New Roman"/>
          <w:color w:val="000000" w:themeColor="text1"/>
          <w:sz w:val="16"/>
          <w:szCs w:val="16"/>
        </w:rPr>
      </w:pPr>
    </w:p>
    <w:p w14:paraId="306DB6B0" w14:textId="77777777" w:rsidR="006A2CEC" w:rsidRPr="00A259BD" w:rsidRDefault="006A2CE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Летом 1929 г. конструктор Поликарпов осу</w:t>
      </w:r>
      <w:r w:rsidRPr="00A259BD">
        <w:rPr>
          <w:rFonts w:ascii="Times New Roman" w:hAnsi="Times New Roman"/>
          <w:color w:val="000000" w:themeColor="text1"/>
          <w:sz w:val="16"/>
          <w:szCs w:val="16"/>
        </w:rPr>
        <w:softHyphen/>
        <w:t>ществил наброски общего вида и произвел первоначальные расчеты по истребителю И-9, включенному в план опытного строи</w:t>
      </w:r>
      <w:r w:rsidRPr="00A259BD">
        <w:rPr>
          <w:rFonts w:ascii="Times New Roman" w:hAnsi="Times New Roman"/>
          <w:color w:val="000000" w:themeColor="text1"/>
          <w:sz w:val="16"/>
          <w:szCs w:val="16"/>
        </w:rPr>
        <w:softHyphen/>
        <w:t>тельства на 1930-33 гг. Самолет определял</w:t>
      </w:r>
      <w:r w:rsidRPr="00A259BD">
        <w:rPr>
          <w:rFonts w:ascii="Times New Roman" w:hAnsi="Times New Roman"/>
          <w:color w:val="000000" w:themeColor="text1"/>
          <w:sz w:val="16"/>
          <w:szCs w:val="16"/>
        </w:rPr>
        <w:softHyphen/>
        <w:t>ся как скоростной истребитель, поэтому пер</w:t>
      </w:r>
      <w:r w:rsidRPr="00A259BD">
        <w:rPr>
          <w:rFonts w:ascii="Times New Roman" w:hAnsi="Times New Roman"/>
          <w:color w:val="000000" w:themeColor="text1"/>
          <w:sz w:val="16"/>
          <w:szCs w:val="16"/>
        </w:rPr>
        <w:softHyphen/>
        <w:t>воначально был выбран вариант моноплана. После ареста Поликарпова обсуждение про</w:t>
      </w:r>
      <w:r w:rsidRPr="00A259BD">
        <w:rPr>
          <w:rFonts w:ascii="Times New Roman" w:hAnsi="Times New Roman"/>
          <w:color w:val="000000" w:themeColor="text1"/>
          <w:sz w:val="16"/>
          <w:szCs w:val="16"/>
        </w:rPr>
        <w:softHyphen/>
        <w:t>екта продолжилось с ноября 1929 года. Рабо</w:t>
      </w:r>
      <w:r w:rsidRPr="00A259BD">
        <w:rPr>
          <w:rFonts w:ascii="Times New Roman" w:hAnsi="Times New Roman"/>
          <w:color w:val="000000" w:themeColor="text1"/>
          <w:sz w:val="16"/>
          <w:szCs w:val="16"/>
        </w:rPr>
        <w:softHyphen/>
        <w:t>ту над И-9 с двигателем М-32 600 л.с. продол</w:t>
      </w:r>
      <w:r w:rsidRPr="00A259BD">
        <w:rPr>
          <w:rFonts w:ascii="Times New Roman" w:hAnsi="Times New Roman"/>
          <w:color w:val="000000" w:themeColor="text1"/>
          <w:sz w:val="16"/>
          <w:szCs w:val="16"/>
        </w:rPr>
        <w:softHyphen/>
        <w:t xml:space="preserve">жил С.А. </w:t>
      </w:r>
      <w:proofErr w:type="spellStart"/>
      <w:r w:rsidRPr="00A259BD">
        <w:rPr>
          <w:rFonts w:ascii="Times New Roman" w:hAnsi="Times New Roman"/>
          <w:color w:val="000000" w:themeColor="text1"/>
          <w:sz w:val="16"/>
          <w:szCs w:val="16"/>
        </w:rPr>
        <w:t>Кочеригин</w:t>
      </w:r>
      <w:proofErr w:type="spellEnd"/>
      <w:r w:rsidRPr="00A259BD">
        <w:rPr>
          <w:rFonts w:ascii="Times New Roman" w:hAnsi="Times New Roman"/>
          <w:color w:val="000000" w:themeColor="text1"/>
          <w:sz w:val="16"/>
          <w:szCs w:val="16"/>
        </w:rPr>
        <w:t>. Весной 1930 г. Управ</w:t>
      </w:r>
      <w:r w:rsidRPr="00A259BD">
        <w:rPr>
          <w:rFonts w:ascii="Times New Roman" w:hAnsi="Times New Roman"/>
          <w:color w:val="000000" w:themeColor="text1"/>
          <w:sz w:val="16"/>
          <w:szCs w:val="16"/>
        </w:rPr>
        <w:softHyphen/>
        <w:t>ление ВВС подготовило ТТТ на истребитель И-9, в которых указывались следующие ха</w:t>
      </w:r>
      <w:r w:rsidRPr="00A259BD">
        <w:rPr>
          <w:rFonts w:ascii="Times New Roman" w:hAnsi="Times New Roman"/>
          <w:color w:val="000000" w:themeColor="text1"/>
          <w:sz w:val="16"/>
          <w:szCs w:val="16"/>
        </w:rPr>
        <w:softHyphen/>
        <w:t>рактеристики:</w:t>
      </w:r>
    </w:p>
    <w:p w14:paraId="7C0640FF" w14:textId="77777777" w:rsidR="006A2CEC" w:rsidRPr="00A259BD" w:rsidRDefault="006A2CE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макс.</w:t>
      </w:r>
    </w:p>
    <w:p w14:paraId="16F86648" w14:textId="77777777" w:rsidR="006A2CEC" w:rsidRPr="00A259BD" w:rsidRDefault="006A2CEC" w:rsidP="009236E3">
      <w:pPr>
        <w:tabs>
          <w:tab w:val="left" w:pos="2400"/>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высоте 5000 м 330-350 км/ч</w:t>
      </w:r>
    </w:p>
    <w:p w14:paraId="5278A482" w14:textId="77777777" w:rsidR="006A2CEC" w:rsidRPr="00A259BD" w:rsidRDefault="006A2CEC" w:rsidP="009236E3">
      <w:pPr>
        <w:tabs>
          <w:tab w:val="left" w:pos="2835"/>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набора высоты 5000 м 5-7 мин.</w:t>
      </w:r>
    </w:p>
    <w:p w14:paraId="794BEC96" w14:textId="77777777" w:rsidR="006A2CEC" w:rsidRPr="00A259BD" w:rsidRDefault="006A2CEC" w:rsidP="009236E3">
      <w:pPr>
        <w:tabs>
          <w:tab w:val="left" w:pos="2835"/>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Практический потолок 8-10 тыс. м</w:t>
      </w:r>
    </w:p>
    <w:p w14:paraId="70C01CC4" w14:textId="77777777" w:rsidR="006A2CEC" w:rsidRPr="00A259BD" w:rsidRDefault="006A2CEC" w:rsidP="009236E3">
      <w:pPr>
        <w:tabs>
          <w:tab w:val="left" w:pos="2835"/>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посадочная 95 км/ч</w:t>
      </w:r>
    </w:p>
    <w:p w14:paraId="151C8929" w14:textId="77777777" w:rsidR="006A2CEC" w:rsidRPr="00A259BD" w:rsidRDefault="006A2CE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Вооружение два пулемета ПВ-1, плюс еще два ПВ-1 в перегрузку или пушка калибра 20- 30 мм. Бомбовая нагрузка 80—100 кг.</w:t>
      </w:r>
    </w:p>
    <w:p w14:paraId="02C6AA69" w14:textId="77777777" w:rsidR="006A2CEC" w:rsidRPr="00A259BD" w:rsidRDefault="006A2CE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Дополнительными требованиями стали: установка </w:t>
      </w:r>
      <w:proofErr w:type="spellStart"/>
      <w:r w:rsidRPr="00A259BD">
        <w:rPr>
          <w:rFonts w:ascii="Times New Roman" w:hAnsi="Times New Roman"/>
          <w:color w:val="000000" w:themeColor="text1"/>
          <w:sz w:val="16"/>
          <w:szCs w:val="16"/>
        </w:rPr>
        <w:t>фотокинопулемета</w:t>
      </w:r>
      <w:proofErr w:type="spellEnd"/>
      <w:r w:rsidRPr="00A259BD">
        <w:rPr>
          <w:rFonts w:ascii="Times New Roman" w:hAnsi="Times New Roman"/>
          <w:color w:val="000000" w:themeColor="text1"/>
          <w:sz w:val="16"/>
          <w:szCs w:val="16"/>
        </w:rPr>
        <w:t xml:space="preserve"> системы Стро</w:t>
      </w:r>
      <w:r w:rsidRPr="00A259BD">
        <w:rPr>
          <w:rFonts w:ascii="Times New Roman" w:hAnsi="Times New Roman"/>
          <w:color w:val="000000" w:themeColor="text1"/>
          <w:sz w:val="16"/>
          <w:szCs w:val="16"/>
        </w:rPr>
        <w:softHyphen/>
        <w:t>ганова (</w:t>
      </w:r>
      <w:proofErr w:type="spellStart"/>
      <w:r w:rsidRPr="00A259BD">
        <w:rPr>
          <w:rFonts w:ascii="Times New Roman" w:hAnsi="Times New Roman"/>
          <w:color w:val="000000" w:themeColor="text1"/>
          <w:sz w:val="16"/>
          <w:szCs w:val="16"/>
        </w:rPr>
        <w:t>Томп</w:t>
      </w:r>
      <w:proofErr w:type="spellEnd"/>
      <w:r w:rsidRPr="00A259BD">
        <w:rPr>
          <w:rFonts w:ascii="Times New Roman" w:hAnsi="Times New Roman"/>
          <w:color w:val="000000" w:themeColor="text1"/>
          <w:sz w:val="16"/>
          <w:szCs w:val="16"/>
        </w:rPr>
        <w:t>) и возможность прямолиней</w:t>
      </w:r>
      <w:r w:rsidRPr="00A259BD">
        <w:rPr>
          <w:rFonts w:ascii="Times New Roman" w:hAnsi="Times New Roman"/>
          <w:color w:val="000000" w:themeColor="text1"/>
          <w:sz w:val="16"/>
          <w:szCs w:val="16"/>
        </w:rPr>
        <w:softHyphen/>
        <w:t>ного полета с брошенной ручкой управле</w:t>
      </w:r>
      <w:r w:rsidRPr="00A259BD">
        <w:rPr>
          <w:rFonts w:ascii="Times New Roman" w:hAnsi="Times New Roman"/>
          <w:color w:val="000000" w:themeColor="text1"/>
          <w:sz w:val="16"/>
          <w:szCs w:val="16"/>
        </w:rPr>
        <w:softHyphen/>
        <w:t>ния. «Самолете полезной нагрузкой 221 кг и полным запасом горючего должен обеспечи</w:t>
      </w:r>
      <w:r w:rsidRPr="00A259BD">
        <w:rPr>
          <w:rFonts w:ascii="Times New Roman" w:hAnsi="Times New Roman"/>
          <w:color w:val="000000" w:themeColor="text1"/>
          <w:sz w:val="16"/>
          <w:szCs w:val="16"/>
        </w:rPr>
        <w:softHyphen/>
        <w:t>вать дальность полета 700-800 км на боевой высоте 5000 м» (12295).</w:t>
      </w:r>
    </w:p>
    <w:p w14:paraId="1A8440AF" w14:textId="77777777" w:rsidR="006A2CEC" w:rsidRPr="00A259BD" w:rsidRDefault="006A2CEC" w:rsidP="009236E3">
      <w:pPr>
        <w:spacing w:after="0" w:line="240" w:lineRule="auto"/>
        <w:jc w:val="both"/>
        <w:rPr>
          <w:rFonts w:ascii="Times New Roman" w:hAnsi="Times New Roman"/>
          <w:color w:val="000000" w:themeColor="text1"/>
          <w:sz w:val="16"/>
          <w:szCs w:val="16"/>
        </w:rPr>
      </w:pPr>
    </w:p>
    <w:p w14:paraId="640F5F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Летом 1929 проходили летные испытания МР-3 (80,252).</w:t>
      </w:r>
    </w:p>
    <w:p w14:paraId="3CD536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Странно, ведь Д.П.Г. - сидел</w:t>
      </w:r>
    </w:p>
    <w:p w14:paraId="5A8952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Понятно, почему ГПУ удивлялось - очень медленно.</w:t>
      </w:r>
    </w:p>
    <w:p w14:paraId="6125FE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E7B5F03" w14:textId="77777777" w:rsidR="00C96EE3" w:rsidRPr="00441F34" w:rsidRDefault="00C96EE3" w:rsidP="00C96EE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Летом 1929 г. выведен на испытания морской ближний разведчик МР-3 (2-й с таким обозначением) Д.П. Григоровича, который также был забракован (23559).</w:t>
      </w:r>
    </w:p>
    <w:p w14:paraId="4DF8C8BC" w14:textId="77777777" w:rsidR="00C96EE3" w:rsidRPr="00441F34" w:rsidRDefault="00C96EE3" w:rsidP="00C96EE3">
      <w:pPr>
        <w:spacing w:after="0" w:line="240" w:lineRule="auto"/>
        <w:jc w:val="both"/>
        <w:rPr>
          <w:rFonts w:ascii="Times New Roman" w:hAnsi="Times New Roman"/>
          <w:color w:val="0070C0"/>
          <w:sz w:val="16"/>
          <w:szCs w:val="16"/>
        </w:rPr>
      </w:pPr>
    </w:p>
    <w:p w14:paraId="5C39BB8C" w14:textId="77777777" w:rsidR="00C96EE3" w:rsidRPr="00441F34" w:rsidRDefault="00C96EE3" w:rsidP="00C96EE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Летом 1929 г. группа «Р» получила задание на проектирование самолета ТОМ-1. При этом она была реорганизована в ОПО-4 ЦКБ и переведена на завод №22 (Москва, Фили), т.к. завод №28 не располагал достаточными возможностями. Это задание становится для группы основным. После ареста Д.П. Григоровича ОПО-4 объединяют с ОПО-3 и образовывают ОКБ МОС (23599).</w:t>
      </w:r>
    </w:p>
    <w:p w14:paraId="2DDCCF3D" w14:textId="77777777" w:rsidR="00C96EE3" w:rsidRPr="00441F34" w:rsidRDefault="00C96EE3" w:rsidP="00C96EE3">
      <w:pPr>
        <w:spacing w:after="0" w:line="240" w:lineRule="auto"/>
        <w:jc w:val="both"/>
        <w:rPr>
          <w:rFonts w:ascii="Times New Roman" w:hAnsi="Times New Roman"/>
          <w:color w:val="0070C0"/>
          <w:sz w:val="16"/>
          <w:szCs w:val="16"/>
        </w:rPr>
      </w:pPr>
    </w:p>
    <w:p w14:paraId="0995E2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К ле</w:t>
      </w:r>
      <w:r w:rsidRPr="00A259BD">
        <w:rPr>
          <w:rFonts w:ascii="Times New Roman" w:hAnsi="Times New Roman"/>
          <w:color w:val="000000" w:themeColor="text1"/>
          <w:sz w:val="16"/>
          <w:szCs w:val="16"/>
        </w:rPr>
        <w:softHyphen/>
        <w:t xml:space="preserve">ту 1929 г. завершилась разработка проекта МУ-2 на заводе № 25. 4 октября 1929 г.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утвер</w:t>
      </w:r>
      <w:r w:rsidRPr="00A259BD">
        <w:rPr>
          <w:rFonts w:ascii="Times New Roman" w:hAnsi="Times New Roman"/>
          <w:color w:val="000000" w:themeColor="text1"/>
          <w:sz w:val="16"/>
          <w:szCs w:val="16"/>
        </w:rPr>
        <w:softHyphen/>
        <w:t>дило срок выпуска МУ-2 на испытания - 1 декабря 1929 г. Отстранение Поликарпова от конструктор</w:t>
      </w:r>
      <w:r w:rsidRPr="00A259BD">
        <w:rPr>
          <w:rFonts w:ascii="Times New Roman" w:hAnsi="Times New Roman"/>
          <w:color w:val="000000" w:themeColor="text1"/>
          <w:sz w:val="16"/>
          <w:szCs w:val="16"/>
        </w:rPr>
        <w:softHyphen/>
        <w:t>ской деятельности в октябре 1929 г. прервало постройку самолета. Она возобновилась только с декабря и прово</w:t>
      </w:r>
      <w:r w:rsidRPr="00A259BD">
        <w:rPr>
          <w:rFonts w:ascii="Times New Roman" w:hAnsi="Times New Roman"/>
          <w:color w:val="000000" w:themeColor="text1"/>
          <w:sz w:val="16"/>
          <w:szCs w:val="16"/>
        </w:rPr>
        <w:softHyphen/>
        <w:t>дилась уже под руководством нового главного конст</w:t>
      </w:r>
      <w:r w:rsidRPr="00A259BD">
        <w:rPr>
          <w:rFonts w:ascii="Times New Roman" w:hAnsi="Times New Roman"/>
          <w:color w:val="000000" w:themeColor="text1"/>
          <w:sz w:val="16"/>
          <w:szCs w:val="16"/>
        </w:rPr>
        <w:softHyphen/>
        <w:t xml:space="preserve">руктора завода </w:t>
      </w:r>
      <w:proofErr w:type="spellStart"/>
      <w:r w:rsidRPr="00A259BD">
        <w:rPr>
          <w:rFonts w:ascii="Times New Roman" w:hAnsi="Times New Roman"/>
          <w:color w:val="000000" w:themeColor="text1"/>
          <w:sz w:val="16"/>
          <w:szCs w:val="16"/>
        </w:rPr>
        <w:t>С.А.Кочеригина</w:t>
      </w:r>
      <w:proofErr w:type="spellEnd"/>
      <w:r w:rsidRPr="00A259BD">
        <w:rPr>
          <w:rFonts w:ascii="Times New Roman" w:hAnsi="Times New Roman"/>
          <w:color w:val="000000" w:themeColor="text1"/>
          <w:sz w:val="16"/>
          <w:szCs w:val="16"/>
        </w:rPr>
        <w:t>. К лету 1930 г. самолет был готов, но испытания задержались из-за того, что Управление морской авиации вовремя не откомандиро</w:t>
      </w:r>
      <w:r w:rsidRPr="00A259BD">
        <w:rPr>
          <w:rFonts w:ascii="Times New Roman" w:hAnsi="Times New Roman"/>
          <w:color w:val="000000" w:themeColor="text1"/>
          <w:sz w:val="16"/>
          <w:szCs w:val="16"/>
        </w:rPr>
        <w:softHyphen/>
        <w:t>вало для их проведения летчиков. В июле 1930 г. завод № 25 был закрыт. Осенью 1930 г. все построенные само</w:t>
      </w:r>
      <w:r w:rsidRPr="00A259BD">
        <w:rPr>
          <w:rFonts w:ascii="Times New Roman" w:hAnsi="Times New Roman"/>
          <w:color w:val="000000" w:themeColor="text1"/>
          <w:sz w:val="16"/>
          <w:szCs w:val="16"/>
        </w:rPr>
        <w:softHyphen/>
        <w:t>леты завода № 25 передавали для продолжения работ над ними заводу № 39. Из-за плохой погоды летные ис</w:t>
      </w:r>
      <w:r w:rsidRPr="00A259BD">
        <w:rPr>
          <w:rFonts w:ascii="Times New Roman" w:hAnsi="Times New Roman"/>
          <w:color w:val="000000" w:themeColor="text1"/>
          <w:sz w:val="16"/>
          <w:szCs w:val="16"/>
        </w:rPr>
        <w:softHyphen/>
        <w:t>пытания МУ-2 на воде начались только весной 1931 г. на Москве-реке. Поведение машины в воздухе признали нормальным, скорость и мореходность приемлемыми, но скороподъемность и потолок не удовлетворяли за</w:t>
      </w:r>
      <w:r w:rsidRPr="00A259BD">
        <w:rPr>
          <w:rFonts w:ascii="Times New Roman" w:hAnsi="Times New Roman"/>
          <w:color w:val="000000" w:themeColor="text1"/>
          <w:sz w:val="16"/>
          <w:szCs w:val="16"/>
        </w:rPr>
        <w:softHyphen/>
        <w:t>казчика. Запуск мотора с воды был труден, бортовых пневматических или электрических стартеров двигатель М-11 тогда еще не имел. Устранить большинство недо</w:t>
      </w:r>
      <w:r w:rsidRPr="00A259BD">
        <w:rPr>
          <w:rFonts w:ascii="Times New Roman" w:hAnsi="Times New Roman"/>
          <w:color w:val="000000" w:themeColor="text1"/>
          <w:sz w:val="16"/>
          <w:szCs w:val="16"/>
        </w:rPr>
        <w:softHyphen/>
        <w:t>статков было вполне возможно, но этим никто не хотел заниматься: проведение испытаний МУ-2 для завода № 39 являлось внеплановой работой, а ввиду отсутствия главного конструктора решение организационных во</w:t>
      </w:r>
      <w:r w:rsidRPr="00A259BD">
        <w:rPr>
          <w:rFonts w:ascii="Times New Roman" w:hAnsi="Times New Roman"/>
          <w:color w:val="000000" w:themeColor="text1"/>
          <w:sz w:val="16"/>
          <w:szCs w:val="16"/>
        </w:rPr>
        <w:softHyphen/>
        <w:t>просов зачастую выливалось в неразрешимую про</w:t>
      </w:r>
      <w:r w:rsidRPr="00A259BD">
        <w:rPr>
          <w:rFonts w:ascii="Times New Roman" w:hAnsi="Times New Roman"/>
          <w:color w:val="000000" w:themeColor="text1"/>
          <w:sz w:val="16"/>
          <w:szCs w:val="16"/>
        </w:rPr>
        <w:softHyphen/>
        <w:t>блему. К тому же в условиях репрессий по делу о Промпартии и Шахтинскому делу никто не хотел брать на себя ответственность при проведении необходимых доработок. После испытаний самолет передали для ис</w:t>
      </w:r>
      <w:r w:rsidRPr="00A259BD">
        <w:rPr>
          <w:rFonts w:ascii="Times New Roman" w:hAnsi="Times New Roman"/>
          <w:color w:val="000000" w:themeColor="text1"/>
          <w:sz w:val="16"/>
          <w:szCs w:val="16"/>
        </w:rPr>
        <w:softHyphen/>
        <w:t>пользования в Ейскую школу. На этом история МУ-2 завершилась. Кроме этого варианта для полетов над реками в Си</w:t>
      </w:r>
      <w:r w:rsidRPr="00A259BD">
        <w:rPr>
          <w:rFonts w:ascii="Times New Roman" w:hAnsi="Times New Roman"/>
          <w:color w:val="000000" w:themeColor="text1"/>
          <w:sz w:val="16"/>
          <w:szCs w:val="16"/>
        </w:rPr>
        <w:softHyphen/>
        <w:t xml:space="preserve">бири и Дальнем Востоке в 1940 г. </w:t>
      </w:r>
      <w:proofErr w:type="spellStart"/>
      <w:r w:rsidRPr="00A259BD">
        <w:rPr>
          <w:rFonts w:ascii="Times New Roman" w:hAnsi="Times New Roman"/>
          <w:color w:val="000000" w:themeColor="text1"/>
          <w:sz w:val="16"/>
          <w:szCs w:val="16"/>
        </w:rPr>
        <w:t>В.Б.Шавров</w:t>
      </w:r>
      <w:proofErr w:type="spellEnd"/>
      <w:r w:rsidRPr="00A259BD">
        <w:rPr>
          <w:rFonts w:ascii="Times New Roman" w:hAnsi="Times New Roman"/>
          <w:color w:val="000000" w:themeColor="text1"/>
          <w:sz w:val="16"/>
          <w:szCs w:val="16"/>
        </w:rPr>
        <w:t xml:space="preserve"> спроекти</w:t>
      </w:r>
      <w:r w:rsidRPr="00A259BD">
        <w:rPr>
          <w:rFonts w:ascii="Times New Roman" w:hAnsi="Times New Roman"/>
          <w:color w:val="000000" w:themeColor="text1"/>
          <w:sz w:val="16"/>
          <w:szCs w:val="16"/>
        </w:rPr>
        <w:softHyphen/>
        <w:t xml:space="preserve">ровал для У-2 </w:t>
      </w:r>
      <w:proofErr w:type="spellStart"/>
      <w:r w:rsidRPr="00A259BD">
        <w:rPr>
          <w:rFonts w:ascii="Times New Roman" w:hAnsi="Times New Roman"/>
          <w:color w:val="000000" w:themeColor="text1"/>
          <w:sz w:val="16"/>
          <w:szCs w:val="16"/>
        </w:rPr>
        <w:t>двухпоплавковое</w:t>
      </w:r>
      <w:proofErr w:type="spellEnd"/>
      <w:r w:rsidRPr="00A259BD">
        <w:rPr>
          <w:rFonts w:ascii="Times New Roman" w:hAnsi="Times New Roman"/>
          <w:color w:val="000000" w:themeColor="text1"/>
          <w:sz w:val="16"/>
          <w:szCs w:val="16"/>
        </w:rPr>
        <w:t xml:space="preserve"> шасси деревянной конструкции. Позже, в 1942 г. летал аналогичный двух-поплавковый У-2 по проекту </w:t>
      </w:r>
      <w:proofErr w:type="spellStart"/>
      <w:r w:rsidRPr="00A259BD">
        <w:rPr>
          <w:rFonts w:ascii="Times New Roman" w:hAnsi="Times New Roman"/>
          <w:color w:val="000000" w:themeColor="text1"/>
          <w:sz w:val="16"/>
          <w:szCs w:val="16"/>
        </w:rPr>
        <w:t>А.Я.Щербакова</w:t>
      </w:r>
      <w:proofErr w:type="spellEnd"/>
      <w:r w:rsidRPr="00A259BD">
        <w:rPr>
          <w:rFonts w:ascii="Times New Roman" w:hAnsi="Times New Roman"/>
          <w:color w:val="000000" w:themeColor="text1"/>
          <w:sz w:val="16"/>
          <w:szCs w:val="16"/>
        </w:rPr>
        <w:t xml:space="preserve"> (10667).</w:t>
      </w:r>
    </w:p>
    <w:p w14:paraId="561608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462B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Летом 1929 был выпущен АИР-3 Пионерская Правда (1076,822).</w:t>
      </w:r>
    </w:p>
    <w:p w14:paraId="6CEE82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0B1D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Летом 1929 г. начались испытания НД37. Но он оказался хуже предшественника и не был рекомендован для принятия на вооружение ВВС СССР. Тем не менее, осенью 1929 г. с фирмой Хейнкеля был заключен договор о лицензии на производство НД37. За нее фирме выплатили около 150 тыс. немецких марок. Окончательное решение процедурных вопросов затянулось до лета 1930 г. Тогда же была определена и судьба И-7 </w:t>
      </w:r>
      <w:proofErr w:type="spellStart"/>
      <w:r w:rsidRPr="00A259BD">
        <w:rPr>
          <w:rFonts w:ascii="Times New Roman" w:hAnsi="Times New Roman"/>
          <w:color w:val="000000" w:themeColor="text1"/>
          <w:sz w:val="16"/>
          <w:szCs w:val="16"/>
        </w:rPr>
        <w:t>Н.Н.Поликарпова</w:t>
      </w:r>
      <w:proofErr w:type="spellEnd"/>
      <w:r w:rsidRPr="00A259BD">
        <w:rPr>
          <w:rFonts w:ascii="Times New Roman" w:hAnsi="Times New Roman"/>
          <w:color w:val="000000" w:themeColor="text1"/>
          <w:sz w:val="16"/>
          <w:szCs w:val="16"/>
        </w:rPr>
        <w:t xml:space="preserve"> (10667).</w:t>
      </w:r>
    </w:p>
    <w:p w14:paraId="667E0F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32D2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Летом того же 1929 года В.П. Чкалову довелось ещё несколько раз подниматься в воздух на ЛАКМ-1. Первый его полёт на «ЛАКМ» был связан с просьбой принять его на работу в Аэроклуб-музей инструктором-планеристом. «ЛАКМ» был единственным самолётом Аэроклуба-музея и его использовали для проверки техники пилотирования давно не летавшего В.П. Чкалова. Именно этот полётный день зафиксирован на всем известных фотоснимках «ЛАКМ». После проведения очередного капитального ремонта отвратительно изготовленного на заводе «Большевик» мотора АМБ-20, самолёт следовало облетать. А.К. </w:t>
      </w:r>
      <w:proofErr w:type="spellStart"/>
      <w:r w:rsidRPr="00A259BD">
        <w:rPr>
          <w:rFonts w:ascii="Times New Roman" w:hAnsi="Times New Roman"/>
          <w:color w:val="000000" w:themeColor="text1"/>
          <w:sz w:val="16"/>
          <w:szCs w:val="16"/>
        </w:rPr>
        <w:t>Иоост</w:t>
      </w:r>
      <w:proofErr w:type="spellEnd"/>
      <w:r w:rsidRPr="00A259BD">
        <w:rPr>
          <w:rFonts w:ascii="Times New Roman" w:hAnsi="Times New Roman"/>
          <w:color w:val="000000" w:themeColor="text1"/>
          <w:sz w:val="16"/>
          <w:szCs w:val="16"/>
        </w:rPr>
        <w:t xml:space="preserve"> успел выполнить пару коротких полётов. А потом заболел. Поскольку на самолёте всё ещё планировали полететь в Москву, В.П. Чкалову пришлось заканчивать облёт машины за А.К. </w:t>
      </w:r>
      <w:proofErr w:type="spellStart"/>
      <w:r w:rsidRPr="00A259BD">
        <w:rPr>
          <w:rFonts w:ascii="Times New Roman" w:hAnsi="Times New Roman"/>
          <w:color w:val="000000" w:themeColor="text1"/>
          <w:sz w:val="16"/>
          <w:szCs w:val="16"/>
        </w:rPr>
        <w:t>Иооста</w:t>
      </w:r>
      <w:proofErr w:type="spellEnd"/>
      <w:r w:rsidRPr="00A259BD">
        <w:rPr>
          <w:rFonts w:ascii="Times New Roman" w:hAnsi="Times New Roman"/>
          <w:color w:val="000000" w:themeColor="text1"/>
          <w:sz w:val="16"/>
          <w:szCs w:val="16"/>
        </w:rPr>
        <w:t>. Этот-то традиционный для авиации послеремонтный облёт и выдаётся теперь за первые испытательные полёты В.П. Чкалова (11841).</w:t>
      </w:r>
    </w:p>
    <w:p w14:paraId="71CDA3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6ECB55" w14:textId="77777777" w:rsidR="00ED3E87" w:rsidRPr="00A259BD" w:rsidRDefault="00ED3E87" w:rsidP="009236E3">
      <w:pPr>
        <w:pStyle w:val="ae"/>
        <w:shd w:val="clear" w:color="auto" w:fill="FFFFFF"/>
        <w:spacing w:before="0" w:after="0"/>
        <w:jc w:val="both"/>
        <w:rPr>
          <w:color w:val="000000" w:themeColor="text1"/>
          <w:sz w:val="16"/>
          <w:szCs w:val="16"/>
        </w:rPr>
      </w:pPr>
      <w:bookmarkStart w:id="61" w:name="_Hlk75785753"/>
      <w:r w:rsidRPr="00A259BD">
        <w:rPr>
          <w:color w:val="000000" w:themeColor="text1"/>
          <w:sz w:val="16"/>
          <w:szCs w:val="16"/>
        </w:rPr>
        <w:t>Летом 1929 г. возникло еще одно дело по опытному авиастроению. Предварительной агентурной разработкой чекисты установили факты значительного перерасхода бюджетных средств, а частично и использования их в личных целях ответственными работниками авиазаводов и конструкторских бюро. Всех их обвинили в контрреволюционном вредительстве[1182].</w:t>
      </w:r>
    </w:p>
    <w:p w14:paraId="157B6767" w14:textId="77777777" w:rsidR="00ED3E87" w:rsidRPr="00A259BD" w:rsidRDefault="00ED3E87" w:rsidP="009236E3">
      <w:pPr>
        <w:pStyle w:val="ae"/>
        <w:shd w:val="clear" w:color="auto" w:fill="FFFFFF"/>
        <w:spacing w:before="0" w:after="0"/>
        <w:jc w:val="both"/>
        <w:rPr>
          <w:color w:val="000000" w:themeColor="text1"/>
          <w:sz w:val="16"/>
          <w:szCs w:val="16"/>
        </w:rPr>
      </w:pPr>
      <w:r w:rsidRPr="00A259BD">
        <w:rPr>
          <w:color w:val="000000" w:themeColor="text1"/>
          <w:sz w:val="16"/>
          <w:szCs w:val="16"/>
        </w:rPr>
        <w:t xml:space="preserve">По этому же делу проходили представители </w:t>
      </w:r>
      <w:proofErr w:type="spellStart"/>
      <w:r w:rsidRPr="00A259BD">
        <w:rPr>
          <w:color w:val="000000" w:themeColor="text1"/>
          <w:sz w:val="16"/>
          <w:szCs w:val="16"/>
        </w:rPr>
        <w:t>Авиатреста</w:t>
      </w:r>
      <w:proofErr w:type="spellEnd"/>
      <w:r w:rsidRPr="00A259BD">
        <w:rPr>
          <w:color w:val="000000" w:themeColor="text1"/>
          <w:sz w:val="16"/>
          <w:szCs w:val="16"/>
        </w:rPr>
        <w:t>, которые, зная низкие характеристики опытного самолета И-3, не дали отрицательного заключения и санкционировали запуск его в серийное производство.</w:t>
      </w:r>
    </w:p>
    <w:p w14:paraId="3A3AA6FF" w14:textId="77777777" w:rsidR="00ED3E87" w:rsidRPr="00A259BD" w:rsidRDefault="00ED3E87" w:rsidP="009236E3">
      <w:pPr>
        <w:pStyle w:val="ae"/>
        <w:shd w:val="clear" w:color="auto" w:fill="FFFFFF"/>
        <w:spacing w:before="0" w:after="0"/>
        <w:jc w:val="both"/>
        <w:rPr>
          <w:color w:val="000000" w:themeColor="text1"/>
          <w:sz w:val="16"/>
          <w:szCs w:val="16"/>
        </w:rPr>
      </w:pPr>
      <w:r w:rsidRPr="00A259BD">
        <w:rPr>
          <w:color w:val="000000" w:themeColor="text1"/>
          <w:sz w:val="16"/>
          <w:szCs w:val="16"/>
        </w:rPr>
        <w:t xml:space="preserve">Новые факты, подлежащие всестороннему исследованию, направило в ЭКУ немецкое отделение Контрразведывательного отдела и особисты. Оказалось, что в конструкторском бюро Н. Поликарпова и на авиазаводе работала группа германских инженеров, допускавшихся (вопреки инструкциям) к ознакомлению с секретными документами по опытному </w:t>
      </w:r>
      <w:proofErr w:type="spellStart"/>
      <w:r w:rsidRPr="00A259BD">
        <w:rPr>
          <w:color w:val="000000" w:themeColor="text1"/>
          <w:sz w:val="16"/>
          <w:szCs w:val="16"/>
        </w:rPr>
        <w:t>самолето</w:t>
      </w:r>
      <w:proofErr w:type="spellEnd"/>
      <w:r w:rsidRPr="00A259BD">
        <w:rPr>
          <w:color w:val="000000" w:themeColor="text1"/>
          <w:sz w:val="16"/>
          <w:szCs w:val="16"/>
        </w:rPr>
        <w:t xml:space="preserve">- и моторостроению. Надо отдать должное Н. Поликарпову: он неоднократно запрашивал </w:t>
      </w:r>
      <w:proofErr w:type="spellStart"/>
      <w:r w:rsidRPr="00A259BD">
        <w:rPr>
          <w:color w:val="000000" w:themeColor="text1"/>
          <w:sz w:val="16"/>
          <w:szCs w:val="16"/>
        </w:rPr>
        <w:t>Авиатрест</w:t>
      </w:r>
      <w:proofErr w:type="spellEnd"/>
      <w:r w:rsidRPr="00A259BD">
        <w:rPr>
          <w:color w:val="000000" w:themeColor="text1"/>
          <w:sz w:val="16"/>
          <w:szCs w:val="16"/>
        </w:rPr>
        <w:t xml:space="preserve"> по поводу сохранения секретов, но обстоятельного ответа так и не получил[1183].</w:t>
      </w:r>
    </w:p>
    <w:p w14:paraId="77255089" w14:textId="77777777" w:rsidR="00ED3E87" w:rsidRPr="00A259BD" w:rsidRDefault="00ED3E87" w:rsidP="009236E3">
      <w:pPr>
        <w:pStyle w:val="ae"/>
        <w:shd w:val="clear" w:color="auto" w:fill="FFFFFF"/>
        <w:spacing w:before="0" w:after="0"/>
        <w:jc w:val="both"/>
        <w:rPr>
          <w:color w:val="000000" w:themeColor="text1"/>
          <w:sz w:val="16"/>
          <w:szCs w:val="16"/>
        </w:rPr>
      </w:pPr>
      <w:r w:rsidRPr="00A259BD">
        <w:rPr>
          <w:color w:val="000000" w:themeColor="text1"/>
          <w:sz w:val="16"/>
          <w:szCs w:val="16"/>
        </w:rPr>
        <w:t>На допросах Н. Поликарпов наибольшее внимание уделил причинам срыва сроков программы опытного строительства. Эти обстоятельства особенно волновали следователей с учетом принятого в июле 1929 г. постановления Политбюро ЦК ВКП(б) «О состоянии обороны СССР». Так, говоря о работе авиазавода № 1, подследственный указал на одновременный запуск проектирования и конструирования самолетов П-2, И-3 и Р-5. Это порождало трения среди конструкторов. Второй причиной срыва сроков Н. Поликарпов назвал утверждение самих программ после начала операционного года, что приводило к большим задержкам в финансировании[1184].</w:t>
      </w:r>
    </w:p>
    <w:p w14:paraId="6D8F980B" w14:textId="77777777" w:rsidR="00ED3E87" w:rsidRPr="00A259BD" w:rsidRDefault="00ED3E87" w:rsidP="009236E3">
      <w:pPr>
        <w:pStyle w:val="ae"/>
        <w:shd w:val="clear" w:color="auto" w:fill="FFFFFF"/>
        <w:spacing w:before="0" w:after="0"/>
        <w:jc w:val="both"/>
        <w:rPr>
          <w:color w:val="000000" w:themeColor="text1"/>
          <w:sz w:val="16"/>
          <w:szCs w:val="16"/>
        </w:rPr>
      </w:pPr>
      <w:r w:rsidRPr="00A259BD">
        <w:rPr>
          <w:color w:val="000000" w:themeColor="text1"/>
          <w:sz w:val="16"/>
          <w:szCs w:val="16"/>
        </w:rPr>
        <w:t>О том, что говорили Н. Поликарпов и другие обвиняемые, чекисты докладывали в ЦК ВКП(б) и в наркомат по военным и морским делам для устранения вскрытых причин сбоев в создании новой авиатехники.</w:t>
      </w:r>
    </w:p>
    <w:p w14:paraId="38C8DD00"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по делу «контрреволюционной вредительской организации в авиапромышленности СССР» было привлечено 24 человека. Все они находились в заключении с 1929 по 1931 г. и после осуждения работали в закрытых конструкторских бюро ОГПУ. Там, к примеру, конструкторы Н. Поликарпов и Д. Григорович разработали одноместный истребитель И-5, а также штурмовики ТШ-1 и ТШ-2[1185].</w:t>
      </w:r>
    </w:p>
    <w:p w14:paraId="0CD31E59" w14:textId="4146CDFA"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воспоминаниям конструктора А. </w:t>
      </w:r>
      <w:proofErr w:type="spellStart"/>
      <w:r w:rsidRPr="00A259BD">
        <w:rPr>
          <w:rFonts w:ascii="Times New Roman" w:hAnsi="Times New Roman"/>
          <w:color w:val="000000" w:themeColor="text1"/>
          <w:sz w:val="16"/>
          <w:szCs w:val="16"/>
        </w:rPr>
        <w:t>Надашкевича</w:t>
      </w:r>
      <w:proofErr w:type="spellEnd"/>
      <w:r w:rsidRPr="00A259BD">
        <w:rPr>
          <w:rFonts w:ascii="Times New Roman" w:hAnsi="Times New Roman"/>
          <w:color w:val="000000" w:themeColor="text1"/>
          <w:sz w:val="16"/>
          <w:szCs w:val="16"/>
        </w:rPr>
        <w:t>, написанных им в 1956 г., арестованные в 1929–1930 годах сотрудники авиапромышленности, работавшие в ЦКБ-</w:t>
      </w:r>
      <w:r w:rsidR="00982DCD">
        <w:rPr>
          <w:rFonts w:ascii="Times New Roman" w:hAnsi="Times New Roman"/>
          <w:color w:val="000000" w:themeColor="text1"/>
          <w:sz w:val="16"/>
          <w:szCs w:val="16"/>
        </w:rPr>
        <w:t>3</w:t>
      </w:r>
      <w:r w:rsidRPr="00A259BD">
        <w:rPr>
          <w:rFonts w:ascii="Times New Roman" w:hAnsi="Times New Roman"/>
          <w:color w:val="000000" w:themeColor="text1"/>
          <w:sz w:val="16"/>
          <w:szCs w:val="16"/>
        </w:rPr>
        <w:t xml:space="preserve">9, избиениям в ОГПУ не подвергались. Конструктор Ю. </w:t>
      </w:r>
      <w:proofErr w:type="spellStart"/>
      <w:r w:rsidRPr="00A259BD">
        <w:rPr>
          <w:rFonts w:ascii="Times New Roman" w:hAnsi="Times New Roman"/>
          <w:color w:val="000000" w:themeColor="text1"/>
          <w:sz w:val="16"/>
          <w:szCs w:val="16"/>
        </w:rPr>
        <w:t>Рубянчик</w:t>
      </w:r>
      <w:proofErr w:type="spellEnd"/>
      <w:r w:rsidRPr="00A259BD">
        <w:rPr>
          <w:rFonts w:ascii="Times New Roman" w:hAnsi="Times New Roman"/>
          <w:color w:val="000000" w:themeColor="text1"/>
          <w:sz w:val="16"/>
          <w:szCs w:val="16"/>
        </w:rPr>
        <w:t xml:space="preserve"> добавлял, что для него, а также для других конструкторов (Д. Григоровича, И. Косткина, Н. Поликарпова) создали в Бутырской тюрьме рабочие условия, а через несколько месяцев даже перевели в отдельный корпус завода «Авиаработник» (завод № 30 им. В. Менжинского — A. З.), где они успешно закончили работу над истребителем И-5, «который дал очень хорошие результаты»[1186] (20403)</w:t>
      </w:r>
    </w:p>
    <w:bookmarkEnd w:id="61"/>
    <w:p w14:paraId="1A3FEB8A" w14:textId="77777777" w:rsidR="00ED3E87" w:rsidRPr="00A259BD" w:rsidRDefault="00ED3E87" w:rsidP="009236E3">
      <w:pPr>
        <w:pStyle w:val="ae"/>
        <w:shd w:val="clear" w:color="auto" w:fill="FFFFFF"/>
        <w:spacing w:before="0" w:after="0"/>
        <w:jc w:val="both"/>
        <w:rPr>
          <w:color w:val="000000" w:themeColor="text1"/>
          <w:sz w:val="16"/>
          <w:szCs w:val="16"/>
        </w:rPr>
      </w:pPr>
    </w:p>
    <w:p w14:paraId="213BD13F" w14:textId="77777777" w:rsidR="00ED3E87" w:rsidRPr="00A259BD" w:rsidRDefault="00ED3E87" w:rsidP="009236E3">
      <w:pPr>
        <w:spacing w:after="0" w:line="240" w:lineRule="auto"/>
        <w:jc w:val="both"/>
        <w:rPr>
          <w:rFonts w:ascii="Times New Roman" w:hAnsi="Times New Roman"/>
          <w:color w:val="000000" w:themeColor="text1"/>
          <w:sz w:val="16"/>
          <w:szCs w:val="16"/>
        </w:rPr>
      </w:pPr>
      <w:bookmarkStart w:id="62" w:name="_Hlk80697020"/>
      <w:r w:rsidRPr="00A259BD">
        <w:rPr>
          <w:rFonts w:ascii="Times New Roman" w:hAnsi="Times New Roman"/>
          <w:color w:val="000000" w:themeColor="text1"/>
          <w:sz w:val="16"/>
          <w:szCs w:val="16"/>
          <w:shd w:val="clear" w:color="auto" w:fill="FFFFFF"/>
        </w:rPr>
        <w:t xml:space="preserve">Летом 1929 г. приобрели новую партию парашютов Ирвин, поступившую в НИИ ВВС. После получения этой партии «Ирвинов» в НИИ стали прыгать и добровольно – для тренировки. Первыми с самолета Ю-13 совершили прыжки с парашютом </w:t>
      </w:r>
      <w:proofErr w:type="spellStart"/>
      <w:r w:rsidRPr="00A259BD">
        <w:rPr>
          <w:rFonts w:ascii="Times New Roman" w:hAnsi="Times New Roman"/>
          <w:color w:val="000000" w:themeColor="text1"/>
          <w:sz w:val="16"/>
          <w:szCs w:val="16"/>
          <w:shd w:val="clear" w:color="auto" w:fill="FFFFFF"/>
        </w:rPr>
        <w:t>Гинце</w:t>
      </w:r>
      <w:proofErr w:type="spellEnd"/>
      <w:r w:rsidRPr="00A259BD">
        <w:rPr>
          <w:rFonts w:ascii="Times New Roman" w:hAnsi="Times New Roman"/>
          <w:color w:val="000000" w:themeColor="text1"/>
          <w:sz w:val="16"/>
          <w:szCs w:val="16"/>
          <w:shd w:val="clear" w:color="auto" w:fill="FFFFFF"/>
        </w:rPr>
        <w:t xml:space="preserve">, Гроховский, Ситников и </w:t>
      </w:r>
      <w:proofErr w:type="spellStart"/>
      <w:r w:rsidRPr="00A259BD">
        <w:rPr>
          <w:rFonts w:ascii="Times New Roman" w:hAnsi="Times New Roman"/>
          <w:color w:val="000000" w:themeColor="text1"/>
          <w:sz w:val="16"/>
          <w:szCs w:val="16"/>
          <w:shd w:val="clear" w:color="auto" w:fill="FFFFFF"/>
        </w:rPr>
        <w:t>Шмидекампф</w:t>
      </w:r>
      <w:proofErr w:type="spellEnd"/>
      <w:r w:rsidRPr="00A259BD">
        <w:rPr>
          <w:rFonts w:ascii="Times New Roman" w:hAnsi="Times New Roman"/>
          <w:color w:val="000000" w:themeColor="text1"/>
          <w:sz w:val="16"/>
          <w:szCs w:val="16"/>
          <w:shd w:val="clear" w:color="auto" w:fill="FFFFFF"/>
        </w:rPr>
        <w:t xml:space="preserve"> (21505).</w:t>
      </w:r>
    </w:p>
    <w:p w14:paraId="0ED715A3" w14:textId="77777777" w:rsidR="00ED3E87" w:rsidRPr="00A259BD" w:rsidRDefault="00ED3E87" w:rsidP="009236E3">
      <w:pPr>
        <w:spacing w:after="0" w:line="240" w:lineRule="auto"/>
        <w:jc w:val="both"/>
        <w:rPr>
          <w:rFonts w:ascii="Times New Roman" w:hAnsi="Times New Roman"/>
          <w:color w:val="000000" w:themeColor="text1"/>
          <w:sz w:val="16"/>
          <w:szCs w:val="16"/>
        </w:rPr>
      </w:pPr>
    </w:p>
    <w:p w14:paraId="46C1E463" w14:textId="77777777" w:rsidR="00D24E47" w:rsidRPr="00A259BD" w:rsidRDefault="00D24E47"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bookmarkStart w:id="63" w:name="_Hlk75785933"/>
      <w:bookmarkEnd w:id="62"/>
      <w:r w:rsidRPr="00A259BD">
        <w:rPr>
          <w:rFonts w:ascii="Times New Roman" w:eastAsia="Times New Roman" w:hAnsi="Times New Roman"/>
          <w:color w:val="000000" w:themeColor="text1"/>
          <w:sz w:val="16"/>
          <w:szCs w:val="16"/>
          <w:lang w:eastAsia="ru-RU"/>
        </w:rPr>
        <w:t>Летом 1929 прошли состязания экипажей тяжелых кораблей ТБ-1. Перелет выполнили по маршруту Новгород – Москва – Воронеж – Сталинград (3250 километров) и обратно. В ходе перелета выполнялось бомбометание.</w:t>
      </w:r>
    </w:p>
    <w:p w14:paraId="176387ED" w14:textId="77777777" w:rsidR="00D24E47" w:rsidRPr="00A259BD" w:rsidRDefault="00D24E47"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Из шести, участвующих в перелете ТБ-1, пять полностью выполнили постановленное тактическое задание. На двух самолетах потребовалось заменить по одному мотору.</w:t>
      </w:r>
    </w:p>
    <w:p w14:paraId="60626065" w14:textId="77777777" w:rsidR="00D24E47" w:rsidRPr="00A259BD" w:rsidRDefault="00D24E47"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Лучший результат показал экипаж под командованием Ю.И. </w:t>
      </w:r>
      <w:proofErr w:type="spellStart"/>
      <w:r w:rsidRPr="00A259BD">
        <w:rPr>
          <w:rFonts w:ascii="Times New Roman" w:eastAsia="Times New Roman" w:hAnsi="Times New Roman"/>
          <w:color w:val="000000" w:themeColor="text1"/>
          <w:sz w:val="16"/>
          <w:szCs w:val="16"/>
          <w:lang w:eastAsia="ru-RU"/>
        </w:rPr>
        <w:t>Арватова</w:t>
      </w:r>
      <w:proofErr w:type="spellEnd"/>
      <w:r w:rsidRPr="00A259BD">
        <w:rPr>
          <w:rFonts w:ascii="Times New Roman" w:eastAsia="Times New Roman" w:hAnsi="Times New Roman"/>
          <w:color w:val="000000" w:themeColor="text1"/>
          <w:sz w:val="16"/>
          <w:szCs w:val="16"/>
          <w:lang w:eastAsia="ru-RU"/>
        </w:rPr>
        <w:t xml:space="preserve"> с летнабом </w:t>
      </w:r>
      <w:proofErr w:type="spellStart"/>
      <w:r w:rsidRPr="00A259BD">
        <w:rPr>
          <w:rFonts w:ascii="Times New Roman" w:eastAsia="Times New Roman" w:hAnsi="Times New Roman"/>
          <w:color w:val="000000" w:themeColor="text1"/>
          <w:sz w:val="16"/>
          <w:szCs w:val="16"/>
          <w:lang w:eastAsia="ru-RU"/>
        </w:rPr>
        <w:t>Далецким</w:t>
      </w:r>
      <w:proofErr w:type="spellEnd"/>
      <w:r w:rsidRPr="00A259BD">
        <w:rPr>
          <w:rFonts w:ascii="Times New Roman" w:eastAsia="Times New Roman" w:hAnsi="Times New Roman"/>
          <w:color w:val="000000" w:themeColor="text1"/>
          <w:sz w:val="16"/>
          <w:szCs w:val="16"/>
          <w:lang w:eastAsia="ru-RU"/>
        </w:rPr>
        <w:t xml:space="preserve"> (21249).</w:t>
      </w:r>
    </w:p>
    <w:p w14:paraId="3918DF9A" w14:textId="77777777" w:rsidR="00D24E47" w:rsidRPr="00A259BD" w:rsidRDefault="00D24E47" w:rsidP="009236E3">
      <w:pPr>
        <w:pStyle w:val="191"/>
        <w:shd w:val="clear" w:color="auto" w:fill="auto"/>
        <w:spacing w:before="0" w:after="0" w:line="240" w:lineRule="auto"/>
        <w:jc w:val="both"/>
        <w:rPr>
          <w:rFonts w:ascii="Times New Roman" w:hAnsi="Times New Roman" w:cs="Times New Roman"/>
          <w:color w:val="000000" w:themeColor="text1"/>
          <w:sz w:val="16"/>
          <w:szCs w:val="16"/>
          <w:lang w:val="ru-RU"/>
        </w:rPr>
      </w:pPr>
    </w:p>
    <w:p w14:paraId="16FF97D3" w14:textId="77777777" w:rsidR="0098385D" w:rsidRPr="00A259BD" w:rsidRDefault="0098385D" w:rsidP="009236E3">
      <w:pPr>
        <w:spacing w:after="0" w:line="240" w:lineRule="auto"/>
        <w:jc w:val="both"/>
        <w:rPr>
          <w:rFonts w:ascii="Times New Roman" w:hAnsi="Times New Roman"/>
          <w:color w:val="000000" w:themeColor="text1"/>
          <w:sz w:val="16"/>
          <w:szCs w:val="16"/>
          <w:lang w:eastAsia="ru-RU" w:bidi="ru-RU"/>
        </w:rPr>
      </w:pPr>
      <w:bookmarkStart w:id="64" w:name="_Hlk75786204"/>
      <w:r w:rsidRPr="00A259BD">
        <w:rPr>
          <w:rFonts w:ascii="Times New Roman" w:hAnsi="Times New Roman"/>
          <w:color w:val="000000" w:themeColor="text1"/>
          <w:sz w:val="16"/>
          <w:szCs w:val="16"/>
          <w:lang w:eastAsia="ru-RU" w:bidi="ru-RU"/>
        </w:rPr>
        <w:t>Летом 1929 г., в ходе подготовки к перелету самолета АНТ-4 «Страна Советов» в США, таганрогский завод № 31 впервые приступил к созданию поплавкового шасси для самолетов, созданных А.Н. Туполевым. Для преодоления водного участка пере</w:t>
      </w:r>
      <w:r w:rsidRPr="00A259BD">
        <w:rPr>
          <w:rFonts w:ascii="Times New Roman" w:hAnsi="Times New Roman"/>
          <w:color w:val="000000" w:themeColor="text1"/>
          <w:sz w:val="16"/>
          <w:szCs w:val="16"/>
          <w:lang w:eastAsia="ru-RU" w:bidi="ru-RU"/>
        </w:rPr>
        <w:softHyphen/>
        <w:t xml:space="preserve">лета «Страну Советов» решили оборудовать поплавками от немецкого «Юнкерса» ЮГ-1. Для соответствия </w:t>
      </w:r>
      <w:proofErr w:type="spellStart"/>
      <w:r w:rsidRPr="00A259BD">
        <w:rPr>
          <w:rFonts w:ascii="Times New Roman" w:hAnsi="Times New Roman"/>
          <w:color w:val="000000" w:themeColor="text1"/>
          <w:sz w:val="16"/>
          <w:szCs w:val="16"/>
          <w:lang w:eastAsia="ru-RU" w:bidi="ru-RU"/>
        </w:rPr>
        <w:t>полетномувесу</w:t>
      </w:r>
      <w:proofErr w:type="spellEnd"/>
      <w:r w:rsidRPr="00A259BD">
        <w:rPr>
          <w:rFonts w:ascii="Times New Roman" w:hAnsi="Times New Roman"/>
          <w:color w:val="000000" w:themeColor="text1"/>
          <w:sz w:val="16"/>
          <w:szCs w:val="16"/>
          <w:lang w:eastAsia="ru-RU" w:bidi="ru-RU"/>
        </w:rPr>
        <w:t xml:space="preserve"> АНТ-4 исходную конструкцию несколько удлинили, са</w:t>
      </w:r>
      <w:r w:rsidRPr="00A259BD">
        <w:rPr>
          <w:rFonts w:ascii="Times New Roman" w:hAnsi="Times New Roman"/>
          <w:color w:val="000000" w:themeColor="text1"/>
          <w:sz w:val="16"/>
          <w:szCs w:val="16"/>
          <w:lang w:eastAsia="ru-RU" w:bidi="ru-RU"/>
        </w:rPr>
        <w:softHyphen/>
        <w:t xml:space="preserve">ми поплавки изготовили по чертежам ЦАГИ на заводе №22. В Таганроге поплавки смонтировали на АНТ-4-«дуб- </w:t>
      </w:r>
      <w:proofErr w:type="spellStart"/>
      <w:r w:rsidRPr="00A259BD">
        <w:rPr>
          <w:rFonts w:ascii="Times New Roman" w:hAnsi="Times New Roman"/>
          <w:color w:val="000000" w:themeColor="text1"/>
          <w:sz w:val="16"/>
          <w:szCs w:val="16"/>
          <w:lang w:eastAsia="ru-RU" w:bidi="ru-RU"/>
        </w:rPr>
        <w:t>лере</w:t>
      </w:r>
      <w:proofErr w:type="spellEnd"/>
      <w:r w:rsidRPr="00A259BD">
        <w:rPr>
          <w:rFonts w:ascii="Times New Roman" w:hAnsi="Times New Roman"/>
          <w:color w:val="000000" w:themeColor="text1"/>
          <w:sz w:val="16"/>
          <w:szCs w:val="16"/>
          <w:lang w:eastAsia="ru-RU" w:bidi="ru-RU"/>
        </w:rPr>
        <w:t>» и успешно испытали. Впоследствии на этих поплав</w:t>
      </w:r>
      <w:r w:rsidRPr="00A259BD">
        <w:rPr>
          <w:rFonts w:ascii="Times New Roman" w:hAnsi="Times New Roman"/>
          <w:color w:val="000000" w:themeColor="text1"/>
          <w:sz w:val="16"/>
          <w:szCs w:val="16"/>
          <w:lang w:eastAsia="ru-RU" w:bidi="ru-RU"/>
        </w:rPr>
        <w:softHyphen/>
        <w:t>ках «Страна Советов» благополучно проделал значитель</w:t>
      </w:r>
      <w:r w:rsidRPr="00A259BD">
        <w:rPr>
          <w:rFonts w:ascii="Times New Roman" w:hAnsi="Times New Roman"/>
          <w:color w:val="000000" w:themeColor="text1"/>
          <w:sz w:val="16"/>
          <w:szCs w:val="16"/>
          <w:lang w:eastAsia="ru-RU" w:bidi="ru-RU"/>
        </w:rPr>
        <w:softHyphen/>
        <w:t>ную часть своего маршрута (20325).</w:t>
      </w:r>
    </w:p>
    <w:bookmarkEnd w:id="64"/>
    <w:p w14:paraId="66702F99" w14:textId="77777777" w:rsidR="0098385D" w:rsidRPr="00A259BD" w:rsidRDefault="0098385D" w:rsidP="009236E3">
      <w:pPr>
        <w:spacing w:after="0" w:line="240" w:lineRule="auto"/>
        <w:jc w:val="both"/>
        <w:rPr>
          <w:rFonts w:ascii="Times New Roman" w:hAnsi="Times New Roman"/>
          <w:color w:val="000000" w:themeColor="text1"/>
          <w:sz w:val="16"/>
          <w:szCs w:val="16"/>
        </w:rPr>
      </w:pPr>
    </w:p>
    <w:p w14:paraId="0A46F9C8" w14:textId="77777777" w:rsidR="00D24E47" w:rsidRPr="00A259BD" w:rsidRDefault="00D24E47"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Летом 1929 года, под руководством командира 63-й отдельной эскадрильи В.К. </w:t>
      </w:r>
      <w:proofErr w:type="spellStart"/>
      <w:r w:rsidRPr="00A259BD">
        <w:rPr>
          <w:rFonts w:ascii="Times New Roman" w:eastAsia="Times New Roman" w:hAnsi="Times New Roman"/>
          <w:color w:val="000000" w:themeColor="text1"/>
          <w:sz w:val="16"/>
          <w:szCs w:val="16"/>
          <w:lang w:eastAsia="ru-RU"/>
        </w:rPr>
        <w:t>Бергстрема</w:t>
      </w:r>
      <w:proofErr w:type="spellEnd"/>
      <w:r w:rsidRPr="00A259BD">
        <w:rPr>
          <w:rFonts w:ascii="Times New Roman" w:eastAsia="Times New Roman" w:hAnsi="Times New Roman"/>
          <w:color w:val="000000" w:themeColor="text1"/>
          <w:sz w:val="16"/>
          <w:szCs w:val="16"/>
          <w:lang w:eastAsia="ru-RU"/>
        </w:rPr>
        <w:t xml:space="preserve"> (летчики – командир отряда Бердник и командир звена Д.Ф. Тихонов), прошел перелет гидросамолетов «Дорнье Валь» черноморских ВВС по маршруту Севастополь – Керчь – </w:t>
      </w:r>
      <w:proofErr w:type="spellStart"/>
      <w:r w:rsidRPr="00A259BD">
        <w:rPr>
          <w:rFonts w:ascii="Times New Roman" w:eastAsia="Times New Roman" w:hAnsi="Times New Roman"/>
          <w:color w:val="000000" w:themeColor="text1"/>
          <w:sz w:val="16"/>
          <w:szCs w:val="16"/>
          <w:lang w:eastAsia="ru-RU"/>
        </w:rPr>
        <w:t>Ростов</w:t>
      </w:r>
      <w:proofErr w:type="spellEnd"/>
      <w:r w:rsidRPr="00A259BD">
        <w:rPr>
          <w:rFonts w:ascii="Times New Roman" w:eastAsia="Times New Roman" w:hAnsi="Times New Roman"/>
          <w:color w:val="000000" w:themeColor="text1"/>
          <w:sz w:val="16"/>
          <w:szCs w:val="16"/>
          <w:lang w:eastAsia="ru-RU"/>
        </w:rPr>
        <w:t xml:space="preserve"> на Дону – Сталинград – Астрахань – Махачкала – Баку и обратно (с посадками в Сталинграде). Суммарная протяженность маршрута составила около 4000 км (21249).</w:t>
      </w:r>
    </w:p>
    <w:p w14:paraId="5FE9112C" w14:textId="77777777" w:rsidR="00D24E47" w:rsidRPr="00A259BD" w:rsidRDefault="00D24E47"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0B44A293" w14:textId="77777777" w:rsidR="00D24E47" w:rsidRPr="00A259BD" w:rsidRDefault="00D24E47"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Летом 1929 гидросамолеты ВВС Балтийского моря совершили перелет из Ленинграда в Севастополь и обратно по системе рек Нева – Волхов – озеро Ильмень – Ловать, Западная Двина – Днепр, протяженностью около 3600 км (21249).</w:t>
      </w:r>
    </w:p>
    <w:p w14:paraId="631D8FDB" w14:textId="77777777" w:rsidR="00D24E47" w:rsidRPr="00A259BD" w:rsidRDefault="00D24E47"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0024B614" w14:textId="77777777" w:rsidR="00D24E47" w:rsidRPr="00A259BD" w:rsidRDefault="00D24E47"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течение лета 1929 года отдельные строевые части военно-воздушных сил РККА и флота совершили целый ряд сложных и продолжительных межокружных перелетов. Наиболее интересными из них были перелет N-ого </w:t>
      </w:r>
      <w:proofErr w:type="spellStart"/>
      <w:r w:rsidRPr="00A259BD">
        <w:rPr>
          <w:rFonts w:ascii="Times New Roman" w:eastAsia="Times New Roman" w:hAnsi="Times New Roman"/>
          <w:color w:val="000000" w:themeColor="text1"/>
          <w:sz w:val="16"/>
          <w:szCs w:val="16"/>
          <w:lang w:eastAsia="ru-RU"/>
        </w:rPr>
        <w:t>неотдельного</w:t>
      </w:r>
      <w:proofErr w:type="spellEnd"/>
      <w:r w:rsidRPr="00A259BD">
        <w:rPr>
          <w:rFonts w:ascii="Times New Roman" w:eastAsia="Times New Roman" w:hAnsi="Times New Roman"/>
          <w:color w:val="000000" w:themeColor="text1"/>
          <w:sz w:val="16"/>
          <w:szCs w:val="16"/>
          <w:lang w:eastAsia="ru-RU"/>
        </w:rPr>
        <w:t xml:space="preserve"> отряда авиационной эскадрильи из Москвы (Москва – Воронеж – Киев – Гомель – Брянск – Воронеж – Москва) и перелет 10-го отдельного отряда из Липецка (Липецк – Москва – Брянск – Гомель – Витебск – Новгород – Москва – Липецк) (21249).</w:t>
      </w:r>
    </w:p>
    <w:p w14:paraId="1B69D7DD" w14:textId="77777777" w:rsidR="00D24E47" w:rsidRPr="00A259BD" w:rsidRDefault="00D24E47" w:rsidP="009236E3">
      <w:pPr>
        <w:pStyle w:val="191"/>
        <w:shd w:val="clear" w:color="auto" w:fill="auto"/>
        <w:spacing w:before="0" w:after="0" w:line="240" w:lineRule="auto"/>
        <w:jc w:val="both"/>
        <w:rPr>
          <w:rFonts w:ascii="Times New Roman" w:hAnsi="Times New Roman" w:cs="Times New Roman"/>
          <w:color w:val="000000" w:themeColor="text1"/>
          <w:sz w:val="16"/>
          <w:szCs w:val="16"/>
          <w:lang w:val="ru-RU"/>
        </w:rPr>
      </w:pPr>
    </w:p>
    <w:bookmarkEnd w:id="63"/>
    <w:p w14:paraId="6B391F44" w14:textId="77777777" w:rsidR="00C96EE3" w:rsidRPr="00441F34" w:rsidRDefault="00C96EE3" w:rsidP="00C96EE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Летом 1929 г. на планерной станции Первомайская под Москвой на планере БИЧ-8 успешно летали </w:t>
      </w:r>
      <w:proofErr w:type="spellStart"/>
      <w:r w:rsidRPr="00441F34">
        <w:rPr>
          <w:rFonts w:ascii="Times New Roman" w:hAnsi="Times New Roman"/>
          <w:color w:val="0070C0"/>
          <w:sz w:val="16"/>
          <w:szCs w:val="16"/>
        </w:rPr>
        <w:t>Л.В.Козлов</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Р.А.Пищучьев</w:t>
      </w:r>
      <w:proofErr w:type="spellEnd"/>
      <w:r w:rsidRPr="00441F34">
        <w:rPr>
          <w:rFonts w:ascii="Times New Roman" w:hAnsi="Times New Roman"/>
          <w:color w:val="0070C0"/>
          <w:sz w:val="16"/>
          <w:szCs w:val="16"/>
        </w:rPr>
        <w:t xml:space="preserve"> и </w:t>
      </w:r>
      <w:proofErr w:type="spellStart"/>
      <w:r w:rsidRPr="00441F34">
        <w:rPr>
          <w:rFonts w:ascii="Times New Roman" w:hAnsi="Times New Roman"/>
          <w:color w:val="0070C0"/>
          <w:sz w:val="16"/>
          <w:szCs w:val="16"/>
        </w:rPr>
        <w:t>М.Ф.Романов</w:t>
      </w:r>
      <w:proofErr w:type="spellEnd"/>
      <w:r w:rsidRPr="00441F34">
        <w:rPr>
          <w:rFonts w:ascii="Times New Roman" w:hAnsi="Times New Roman"/>
          <w:color w:val="0070C0"/>
          <w:sz w:val="16"/>
          <w:szCs w:val="16"/>
        </w:rPr>
        <w:t>. Эти испытания показали, что трапециевидное крыло в аэродинамическом отношении не хуже параболического.</w:t>
      </w:r>
    </w:p>
    <w:p w14:paraId="09716E24" w14:textId="77777777" w:rsidR="00C96EE3" w:rsidRPr="00441F34" w:rsidRDefault="00C96EE3" w:rsidP="00C96EE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Планер БИЧ-8 был построен в мастерских Военно-воздушной академии в 1929 г. На котором впервые применил более простое в производстве трапециевидное крыло с прямой задней кромкой. В отличие от первых планеров он не был "летающим крылом" и имел фюзеляж, так как относительная толщина крыла была уменьшена до 9%. Система управления — как на БИЧ-7: элевоны на задней кромке крыла и вертикальные кили с рулями направления на концах крыла. Так как крыло имело обычный, </w:t>
      </w:r>
      <w:proofErr w:type="spellStart"/>
      <w:r w:rsidRPr="00441F34">
        <w:rPr>
          <w:rFonts w:ascii="Times New Roman" w:hAnsi="Times New Roman"/>
          <w:color w:val="0070C0"/>
          <w:sz w:val="16"/>
          <w:szCs w:val="16"/>
        </w:rPr>
        <w:t>несамобалансирующийся</w:t>
      </w:r>
      <w:proofErr w:type="spellEnd"/>
      <w:r w:rsidRPr="00441F34">
        <w:rPr>
          <w:rFonts w:ascii="Times New Roman" w:hAnsi="Times New Roman"/>
          <w:color w:val="0070C0"/>
          <w:sz w:val="16"/>
          <w:szCs w:val="16"/>
        </w:rPr>
        <w:t xml:space="preserve"> профиль, к центральной части крыла был подвешен стабилизатор. Перед полетом угол его установки можно было изменять, что позволяло нужным образом сбалансировать планер. Шасси представляло собой лыжу, под которую для амортизации была подложена велосипедная камера (24253).</w:t>
      </w:r>
    </w:p>
    <w:p w14:paraId="5F9B070F" w14:textId="77777777" w:rsidR="00C96EE3" w:rsidRPr="00441F34" w:rsidRDefault="00C96EE3" w:rsidP="00C96EE3">
      <w:pPr>
        <w:spacing w:after="0" w:line="240" w:lineRule="auto"/>
        <w:jc w:val="both"/>
        <w:rPr>
          <w:rFonts w:ascii="Times New Roman" w:hAnsi="Times New Roman"/>
          <w:color w:val="0070C0"/>
          <w:sz w:val="16"/>
          <w:szCs w:val="16"/>
        </w:rPr>
      </w:pPr>
    </w:p>
    <w:p w14:paraId="78FB5D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Летом 1929 Н.Н.П. был в Лондоне на Всемирной авиационной выставке (67,95).</w:t>
      </w:r>
    </w:p>
    <w:p w14:paraId="5E3667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1A4E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Летом 1929 планеристы </w:t>
      </w:r>
      <w:proofErr w:type="spellStart"/>
      <w:r w:rsidRPr="00A259BD">
        <w:rPr>
          <w:rFonts w:ascii="Times New Roman" w:hAnsi="Times New Roman"/>
          <w:color w:val="000000" w:themeColor="text1"/>
          <w:sz w:val="16"/>
          <w:szCs w:val="16"/>
        </w:rPr>
        <w:t>В.Козлов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Р.Пищучьев</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М.Романов</w:t>
      </w:r>
      <w:proofErr w:type="spellEnd"/>
      <w:r w:rsidRPr="00A259BD">
        <w:rPr>
          <w:rFonts w:ascii="Times New Roman" w:hAnsi="Times New Roman"/>
          <w:color w:val="000000" w:themeColor="text1"/>
          <w:sz w:val="16"/>
          <w:szCs w:val="16"/>
        </w:rPr>
        <w:t xml:space="preserve"> на планерной станции Первомайская испытывали БИЧ-8 (393,84).</w:t>
      </w:r>
    </w:p>
    <w:p w14:paraId="544B2C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FEEE4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906E69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102EDC"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Летом 1929 г. вопрос об обороне, Красной Армии и оборонной промышленности оказался предметом обсуждения в политическом руководстве страны.</w:t>
      </w:r>
    </w:p>
    <w:p w14:paraId="13E2B4A5"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Хотя особый «оборонный пятилетний план» так и не был принят, представление об общей структуре такого плана можно составить, ознакомившись с отчётом военных по поводу окончательного варианта пятилетнего плана. Этот отчёт содержит детальную критику «отправного варианта» пятилетнего плана и может служить показателем взглядов военных в начале 1929 г.</w:t>
      </w:r>
    </w:p>
    <w:p w14:paraId="7B38E831"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Существовал перечень плановых позиций, по которым промышленности надлежало достигнуть особых, мобилизационных целей. К примеру, в 1928 г. правительство сформулировало мобилизационную задачу на первые три года планового периода. Таким образом, промышленный рост в 1928/29 и 1929/30 гг. имел целью достижение определённого оборонного потенциала в соответствии с мобилизационным планом на конец 1931 г. Существовали также пятилетние планы для отдельных отраслей оборонной промышленности, в частности самолетостроения. Запланированные темпы роста авиационной промышленности даны в таблице.</w:t>
      </w:r>
    </w:p>
    <w:p w14:paraId="5130A03A"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Сравнительные потребности авиации в мирное и военное время, по первому пятилетнему плану.</w:t>
      </w:r>
    </w:p>
    <w:tbl>
      <w:tblPr>
        <w:tblW w:w="10456" w:type="dxa"/>
        <w:tblLook w:val="04A0" w:firstRow="1" w:lastRow="0" w:firstColumn="1" w:lastColumn="0" w:noHBand="0" w:noVBand="1"/>
      </w:tblPr>
      <w:tblGrid>
        <w:gridCol w:w="2614"/>
        <w:gridCol w:w="2614"/>
        <w:gridCol w:w="2614"/>
        <w:gridCol w:w="2614"/>
      </w:tblGrid>
      <w:tr w:rsidR="00A259BD" w:rsidRPr="00A259BD" w14:paraId="25034964" w14:textId="77777777" w:rsidTr="00100D03">
        <w:tc>
          <w:tcPr>
            <w:tcW w:w="2614" w:type="dxa"/>
          </w:tcPr>
          <w:p w14:paraId="517FB7CC" w14:textId="77777777" w:rsidR="00ED3E87" w:rsidRPr="00A259BD" w:rsidRDefault="00ED3E87" w:rsidP="009236E3">
            <w:pPr>
              <w:spacing w:after="0" w:line="240" w:lineRule="auto"/>
              <w:jc w:val="both"/>
              <w:rPr>
                <w:rFonts w:ascii="Times New Roman" w:hAnsi="Times New Roman"/>
                <w:color w:val="000000" w:themeColor="text1"/>
                <w:sz w:val="16"/>
                <w:szCs w:val="16"/>
              </w:rPr>
            </w:pPr>
          </w:p>
        </w:tc>
        <w:tc>
          <w:tcPr>
            <w:tcW w:w="2614" w:type="dxa"/>
          </w:tcPr>
          <w:p w14:paraId="2BBAE813"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Самолеты, мирное время</w:t>
            </w:r>
          </w:p>
        </w:tc>
        <w:tc>
          <w:tcPr>
            <w:tcW w:w="2614" w:type="dxa"/>
          </w:tcPr>
          <w:p w14:paraId="3C65E803"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Самолеты, военное время</w:t>
            </w:r>
          </w:p>
        </w:tc>
        <w:tc>
          <w:tcPr>
            <w:tcW w:w="2614" w:type="dxa"/>
          </w:tcPr>
          <w:p w14:paraId="2C827D07"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Мобилизацией, заявка НКВМ</w:t>
            </w:r>
          </w:p>
        </w:tc>
      </w:tr>
      <w:tr w:rsidR="00A259BD" w:rsidRPr="00A259BD" w14:paraId="465F8237" w14:textId="77777777" w:rsidTr="00100D03">
        <w:tc>
          <w:tcPr>
            <w:tcW w:w="2614" w:type="dxa"/>
          </w:tcPr>
          <w:p w14:paraId="0A233EA0"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1928/29</w:t>
            </w:r>
          </w:p>
        </w:tc>
        <w:tc>
          <w:tcPr>
            <w:tcW w:w="2614" w:type="dxa"/>
          </w:tcPr>
          <w:p w14:paraId="05262392"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2614" w:type="dxa"/>
          </w:tcPr>
          <w:p w14:paraId="232F484C"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1980</w:t>
            </w:r>
          </w:p>
        </w:tc>
        <w:tc>
          <w:tcPr>
            <w:tcW w:w="2614" w:type="dxa"/>
          </w:tcPr>
          <w:p w14:paraId="67F53E2F"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r>
      <w:tr w:rsidR="00A259BD" w:rsidRPr="00A259BD" w14:paraId="1F7D0F8B" w14:textId="77777777" w:rsidTr="00100D03">
        <w:tc>
          <w:tcPr>
            <w:tcW w:w="2614" w:type="dxa"/>
          </w:tcPr>
          <w:p w14:paraId="59135C75"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w:t>
            </w:r>
          </w:p>
        </w:tc>
        <w:tc>
          <w:tcPr>
            <w:tcW w:w="2614" w:type="dxa"/>
          </w:tcPr>
          <w:p w14:paraId="56CEE498"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1357</w:t>
            </w:r>
          </w:p>
        </w:tc>
        <w:tc>
          <w:tcPr>
            <w:tcW w:w="2614" w:type="dxa"/>
          </w:tcPr>
          <w:p w14:paraId="5A24913B"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2474</w:t>
            </w:r>
          </w:p>
        </w:tc>
        <w:tc>
          <w:tcPr>
            <w:tcW w:w="2614" w:type="dxa"/>
          </w:tcPr>
          <w:p w14:paraId="47E4617F"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r>
      <w:tr w:rsidR="00A259BD" w:rsidRPr="00A259BD" w14:paraId="2C9363BA" w14:textId="77777777" w:rsidTr="00100D03">
        <w:tc>
          <w:tcPr>
            <w:tcW w:w="2614" w:type="dxa"/>
          </w:tcPr>
          <w:p w14:paraId="1BCA0923"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w:t>
            </w:r>
          </w:p>
        </w:tc>
        <w:tc>
          <w:tcPr>
            <w:tcW w:w="2614" w:type="dxa"/>
          </w:tcPr>
          <w:p w14:paraId="30CD3BB0"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1357</w:t>
            </w:r>
          </w:p>
        </w:tc>
        <w:tc>
          <w:tcPr>
            <w:tcW w:w="2614" w:type="dxa"/>
          </w:tcPr>
          <w:p w14:paraId="4C779CB6"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3003</w:t>
            </w:r>
          </w:p>
        </w:tc>
        <w:tc>
          <w:tcPr>
            <w:tcW w:w="2614" w:type="dxa"/>
          </w:tcPr>
          <w:p w14:paraId="23C3E0CA"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4350</w:t>
            </w:r>
          </w:p>
        </w:tc>
      </w:tr>
      <w:tr w:rsidR="00A259BD" w:rsidRPr="00A259BD" w14:paraId="1A7AAE1D" w14:textId="77777777" w:rsidTr="00100D03">
        <w:tc>
          <w:tcPr>
            <w:tcW w:w="2614" w:type="dxa"/>
          </w:tcPr>
          <w:p w14:paraId="2D658ED8"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w:t>
            </w:r>
          </w:p>
        </w:tc>
        <w:tc>
          <w:tcPr>
            <w:tcW w:w="2614" w:type="dxa"/>
          </w:tcPr>
          <w:p w14:paraId="2C25B7C2"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1609</w:t>
            </w:r>
          </w:p>
        </w:tc>
        <w:tc>
          <w:tcPr>
            <w:tcW w:w="2614" w:type="dxa"/>
          </w:tcPr>
          <w:p w14:paraId="3E07454C"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4875</w:t>
            </w:r>
          </w:p>
        </w:tc>
        <w:tc>
          <w:tcPr>
            <w:tcW w:w="2614" w:type="dxa"/>
          </w:tcPr>
          <w:p w14:paraId="37FA5AD0"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4710</w:t>
            </w:r>
          </w:p>
        </w:tc>
      </w:tr>
      <w:tr w:rsidR="00A259BD" w:rsidRPr="00A259BD" w14:paraId="2B6764DB" w14:textId="77777777" w:rsidTr="00100D03">
        <w:tc>
          <w:tcPr>
            <w:tcW w:w="2614" w:type="dxa"/>
          </w:tcPr>
          <w:p w14:paraId="6F764C20"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w:t>
            </w:r>
          </w:p>
        </w:tc>
        <w:tc>
          <w:tcPr>
            <w:tcW w:w="2614" w:type="dxa"/>
          </w:tcPr>
          <w:p w14:paraId="28534D4E"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2611</w:t>
            </w:r>
          </w:p>
        </w:tc>
        <w:tc>
          <w:tcPr>
            <w:tcW w:w="2614" w:type="dxa"/>
          </w:tcPr>
          <w:p w14:paraId="1EC96F8C"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7098</w:t>
            </w:r>
          </w:p>
        </w:tc>
        <w:tc>
          <w:tcPr>
            <w:tcW w:w="2614" w:type="dxa"/>
          </w:tcPr>
          <w:p w14:paraId="30C908E7"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6865</w:t>
            </w:r>
          </w:p>
        </w:tc>
      </w:tr>
    </w:tbl>
    <w:p w14:paraId="3894DE5B"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РГАЭ. Ф.4372. Оп.91. Д.223. Л.58об., 57об (9089).</w:t>
      </w:r>
    </w:p>
    <w:p w14:paraId="422316C2" w14:textId="77777777" w:rsidR="00ED3E87" w:rsidRPr="00A259BD" w:rsidRDefault="00ED3E87" w:rsidP="009236E3">
      <w:pPr>
        <w:spacing w:after="0" w:line="240" w:lineRule="auto"/>
        <w:jc w:val="both"/>
        <w:rPr>
          <w:rFonts w:ascii="Times New Roman" w:hAnsi="Times New Roman"/>
          <w:color w:val="000000" w:themeColor="text1"/>
          <w:sz w:val="16"/>
          <w:szCs w:val="16"/>
        </w:rPr>
      </w:pPr>
    </w:p>
    <w:p w14:paraId="48C80F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Летом 1929 </w:t>
      </w:r>
      <w:proofErr w:type="spellStart"/>
      <w:r w:rsidRPr="00A259BD">
        <w:rPr>
          <w:rFonts w:ascii="Times New Roman" w:hAnsi="Times New Roman"/>
          <w:color w:val="000000" w:themeColor="text1"/>
          <w:sz w:val="16"/>
          <w:szCs w:val="16"/>
        </w:rPr>
        <w:t>П.Сячинтову</w:t>
      </w:r>
      <w:proofErr w:type="spellEnd"/>
      <w:r w:rsidRPr="00A259BD">
        <w:rPr>
          <w:rFonts w:ascii="Times New Roman" w:hAnsi="Times New Roman"/>
          <w:color w:val="000000" w:themeColor="text1"/>
          <w:sz w:val="16"/>
          <w:szCs w:val="16"/>
        </w:rPr>
        <w:t xml:space="preserve"> поручили разработать 60-мм орудие для 12 тонного маневренного танка. В письме-заказе говорилось, что “новая танковая пушка большой мощности” должна быть спроектирована “по типу французской пушки </w:t>
      </w:r>
      <w:proofErr w:type="spellStart"/>
      <w:r w:rsidRPr="00A259BD">
        <w:rPr>
          <w:rFonts w:ascii="Times New Roman" w:hAnsi="Times New Roman"/>
          <w:color w:val="000000" w:themeColor="text1"/>
          <w:sz w:val="16"/>
          <w:szCs w:val="16"/>
        </w:rPr>
        <w:t>Гочкисса</w:t>
      </w:r>
      <w:proofErr w:type="spellEnd"/>
      <w:r w:rsidRPr="00A259BD">
        <w:rPr>
          <w:rFonts w:ascii="Times New Roman" w:hAnsi="Times New Roman"/>
          <w:color w:val="000000" w:themeColor="text1"/>
          <w:sz w:val="16"/>
          <w:szCs w:val="16"/>
        </w:rPr>
        <w:t xml:space="preserve">”. К тому моменту на </w:t>
      </w:r>
      <w:proofErr w:type="spellStart"/>
      <w:r w:rsidRPr="00A259BD">
        <w:rPr>
          <w:rFonts w:ascii="Times New Roman" w:hAnsi="Times New Roman"/>
          <w:color w:val="000000" w:themeColor="text1"/>
          <w:sz w:val="16"/>
          <w:szCs w:val="16"/>
        </w:rPr>
        <w:t>Сячинтове</w:t>
      </w:r>
      <w:proofErr w:type="spellEnd"/>
      <w:r w:rsidRPr="00A259BD">
        <w:rPr>
          <w:rFonts w:ascii="Times New Roman" w:hAnsi="Times New Roman"/>
          <w:color w:val="000000" w:themeColor="text1"/>
          <w:sz w:val="16"/>
          <w:szCs w:val="16"/>
        </w:rPr>
        <w:t xml:space="preserve"> “висели” 76мм пушка для танка ТГ (получившая индекс А-19, или АС-19) и 37-мм пушка большой мощности для танков Т-19/Т-20 и ТГ (ПС-1БМ/ПС-2) (6208, 42).</w:t>
      </w:r>
    </w:p>
    <w:p w14:paraId="3E1813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851ED2" w14:textId="77777777" w:rsidR="0098385D" w:rsidRPr="00A259BD" w:rsidRDefault="0098385D" w:rsidP="009236E3">
      <w:pPr>
        <w:pStyle w:val="191"/>
        <w:shd w:val="clear" w:color="auto" w:fill="auto"/>
        <w:spacing w:before="0" w:after="0" w:line="240" w:lineRule="auto"/>
        <w:jc w:val="both"/>
        <w:rPr>
          <w:rFonts w:ascii="Times New Roman" w:hAnsi="Times New Roman" w:cs="Times New Roman"/>
          <w:color w:val="000000" w:themeColor="text1"/>
          <w:sz w:val="16"/>
          <w:szCs w:val="16"/>
        </w:rPr>
      </w:pPr>
      <w:r w:rsidRPr="00A259BD">
        <w:rPr>
          <w:rFonts w:ascii="Times New Roman" w:hAnsi="Times New Roman" w:cs="Times New Roman"/>
          <w:color w:val="000000" w:themeColor="text1"/>
          <w:sz w:val="16"/>
          <w:szCs w:val="16"/>
          <w:lang w:val="ru-RU"/>
        </w:rPr>
        <w:t>Л</w:t>
      </w:r>
      <w:proofErr w:type="spellStart"/>
      <w:r w:rsidRPr="00A259BD">
        <w:rPr>
          <w:rFonts w:ascii="Times New Roman" w:hAnsi="Times New Roman" w:cs="Times New Roman"/>
          <w:color w:val="000000" w:themeColor="text1"/>
          <w:sz w:val="16"/>
          <w:szCs w:val="16"/>
        </w:rPr>
        <w:t>етом</w:t>
      </w:r>
      <w:proofErr w:type="spellEnd"/>
      <w:r w:rsidRPr="00A259BD">
        <w:rPr>
          <w:rFonts w:ascii="Times New Roman" w:hAnsi="Times New Roman" w:cs="Times New Roman"/>
          <w:color w:val="000000" w:themeColor="text1"/>
          <w:sz w:val="16"/>
          <w:szCs w:val="16"/>
        </w:rPr>
        <w:t xml:space="preserve"> 1929 года</w:t>
      </w:r>
      <w:r w:rsidRPr="00A259BD">
        <w:rPr>
          <w:rFonts w:ascii="Times New Roman" w:hAnsi="Times New Roman" w:cs="Times New Roman"/>
          <w:color w:val="000000" w:themeColor="text1"/>
          <w:sz w:val="16"/>
          <w:szCs w:val="16"/>
          <w:lang w:val="ru-RU"/>
        </w:rPr>
        <w:t xml:space="preserve"> </w:t>
      </w:r>
      <w:r w:rsidRPr="00A259BD">
        <w:rPr>
          <w:rFonts w:ascii="Times New Roman" w:hAnsi="Times New Roman" w:cs="Times New Roman"/>
          <w:color w:val="000000" w:themeColor="text1"/>
          <w:sz w:val="16"/>
          <w:szCs w:val="16"/>
        </w:rPr>
        <w:t>Реввоенсоветом СССР</w:t>
      </w:r>
      <w:r w:rsidRPr="00A259BD">
        <w:rPr>
          <w:rFonts w:ascii="Times New Roman" w:hAnsi="Times New Roman" w:cs="Times New Roman"/>
          <w:color w:val="000000" w:themeColor="text1"/>
          <w:sz w:val="16"/>
          <w:szCs w:val="16"/>
          <w:lang w:val="ru-RU"/>
        </w:rPr>
        <w:t xml:space="preserve"> </w:t>
      </w:r>
      <w:r w:rsidRPr="00A259BD">
        <w:rPr>
          <w:rFonts w:ascii="Times New Roman" w:hAnsi="Times New Roman" w:cs="Times New Roman"/>
          <w:color w:val="000000" w:themeColor="text1"/>
          <w:sz w:val="16"/>
          <w:szCs w:val="16"/>
        </w:rPr>
        <w:t>была утвер</w:t>
      </w:r>
      <w:r w:rsidRPr="00A259BD">
        <w:rPr>
          <w:rFonts w:ascii="Times New Roman" w:hAnsi="Times New Roman" w:cs="Times New Roman"/>
          <w:color w:val="000000" w:themeColor="text1"/>
          <w:sz w:val="16"/>
          <w:szCs w:val="16"/>
        </w:rPr>
        <w:softHyphen/>
        <w:t>ждена Система «танко-тракторно-авто-</w:t>
      </w:r>
      <w:proofErr w:type="spellStart"/>
      <w:r w:rsidRPr="00A259BD">
        <w:rPr>
          <w:rFonts w:ascii="Times New Roman" w:hAnsi="Times New Roman" w:cs="Times New Roman"/>
          <w:color w:val="000000" w:themeColor="text1"/>
          <w:sz w:val="16"/>
          <w:szCs w:val="16"/>
        </w:rPr>
        <w:t>броневооружения</w:t>
      </w:r>
      <w:proofErr w:type="spellEnd"/>
      <w:r w:rsidRPr="00A259BD">
        <w:rPr>
          <w:rFonts w:ascii="Times New Roman" w:hAnsi="Times New Roman" w:cs="Times New Roman"/>
          <w:color w:val="000000" w:themeColor="text1"/>
          <w:sz w:val="16"/>
          <w:szCs w:val="16"/>
        </w:rPr>
        <w:t>» Красной Армии На тот момент единственным танком отече</w:t>
      </w:r>
      <w:r w:rsidRPr="00A259BD">
        <w:rPr>
          <w:rFonts w:ascii="Times New Roman" w:hAnsi="Times New Roman" w:cs="Times New Roman"/>
          <w:color w:val="000000" w:themeColor="text1"/>
          <w:sz w:val="16"/>
          <w:szCs w:val="16"/>
        </w:rPr>
        <w:softHyphen/>
        <w:t>ственной разработки, стоявшим на вооруже</w:t>
      </w:r>
      <w:r w:rsidRPr="00A259BD">
        <w:rPr>
          <w:rFonts w:ascii="Times New Roman" w:hAnsi="Times New Roman" w:cs="Times New Roman"/>
          <w:color w:val="000000" w:themeColor="text1"/>
          <w:sz w:val="16"/>
          <w:szCs w:val="16"/>
        </w:rPr>
        <w:softHyphen/>
        <w:t>нии, был Т-18 (МС-1). Военным же хотелось иметь: колесно-гусеничную танкетку для разведки и внезапного нападения; малый танк, как ударное средство механизирован</w:t>
      </w:r>
      <w:r w:rsidRPr="00A259BD">
        <w:rPr>
          <w:rFonts w:ascii="Times New Roman" w:hAnsi="Times New Roman" w:cs="Times New Roman"/>
          <w:color w:val="000000" w:themeColor="text1"/>
          <w:sz w:val="16"/>
          <w:szCs w:val="16"/>
        </w:rPr>
        <w:softHyphen/>
        <w:t>ных соединений и инструмент для прорыва в условиях маневренного боя; средний танк для прорыва «укрепленной полосы в усло</w:t>
      </w:r>
      <w:r w:rsidRPr="00A259BD">
        <w:rPr>
          <w:rFonts w:ascii="Times New Roman" w:hAnsi="Times New Roman" w:cs="Times New Roman"/>
          <w:color w:val="000000" w:themeColor="text1"/>
          <w:sz w:val="16"/>
          <w:szCs w:val="16"/>
        </w:rPr>
        <w:softHyphen/>
        <w:t>виях как маневренных, так и позиционных». Что до «большого танка» - здесь предлага</w:t>
      </w:r>
      <w:r w:rsidRPr="00A259BD">
        <w:rPr>
          <w:rFonts w:ascii="Times New Roman" w:hAnsi="Times New Roman" w:cs="Times New Roman"/>
          <w:color w:val="000000" w:themeColor="text1"/>
          <w:sz w:val="16"/>
          <w:szCs w:val="16"/>
        </w:rPr>
        <w:softHyphen/>
        <w:t>лось «ограничиться пока теоретической раз</w:t>
      </w:r>
      <w:r w:rsidRPr="00A259BD">
        <w:rPr>
          <w:rFonts w:ascii="Times New Roman" w:hAnsi="Times New Roman" w:cs="Times New Roman"/>
          <w:color w:val="000000" w:themeColor="text1"/>
          <w:sz w:val="16"/>
          <w:szCs w:val="16"/>
        </w:rPr>
        <w:softHyphen/>
        <w:t>работкой вопроса, предложив Военно-промышленному управлению Высшего совета народного хозяйства (ВСНХ) к 1 октября 1930 года предоставить эскизный проект, после чего и решить вопрос о включении его в систему вооружений».</w:t>
      </w:r>
    </w:p>
    <w:p w14:paraId="31FC4C96" w14:textId="77777777" w:rsidR="0098385D" w:rsidRPr="00A259BD" w:rsidRDefault="0098385D" w:rsidP="009236E3">
      <w:pPr>
        <w:shd w:val="clear" w:color="auto" w:fill="FFFFFF"/>
        <w:spacing w:after="0" w:line="240" w:lineRule="auto"/>
        <w:jc w:val="both"/>
        <w:rPr>
          <w:rFonts w:ascii="Times New Roman" w:hAnsi="Times New Roman"/>
          <w:color w:val="000000" w:themeColor="text1"/>
          <w:sz w:val="16"/>
          <w:szCs w:val="16"/>
          <w:lang w:val="ru"/>
        </w:rPr>
      </w:pPr>
    </w:p>
    <w:p w14:paraId="603D95D3" w14:textId="77777777" w:rsidR="00ED3E87" w:rsidRPr="00A259BD" w:rsidRDefault="00ED3E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Летом 1929 года собрали Т-17. При этом на испытаниях очень быстро выявилась масса проблем, прежде всего связанных с концепцией одноместной боевой машины. С подвижностью у Т-17 также наблюдалась беда. Самое главное, что уже летом 1929 года Т-17 в принципе не пролезала в новые тактико-технические требования. Подвижность танкетки предполагалась в 2 раза выше, причем явно смотрели на колесно-гусеничные танкетки </w:t>
      </w:r>
      <w:proofErr w:type="spellStart"/>
      <w:r w:rsidRPr="00A259BD">
        <w:rPr>
          <w:rFonts w:ascii="Times New Roman" w:hAnsi="Times New Roman"/>
          <w:color w:val="000000" w:themeColor="text1"/>
          <w:sz w:val="16"/>
          <w:szCs w:val="16"/>
        </w:rPr>
        <w:t>Carden-Loyd</w:t>
      </w:r>
      <w:proofErr w:type="spellEnd"/>
      <w:r w:rsidRPr="00A259BD">
        <w:rPr>
          <w:rFonts w:ascii="Times New Roman" w:hAnsi="Times New Roman"/>
          <w:color w:val="000000" w:themeColor="text1"/>
          <w:sz w:val="16"/>
          <w:szCs w:val="16"/>
        </w:rPr>
        <w:t>. Это, впрочем, не помешало еще некоторое время тему Т-17 двигать дальше (22298).</w:t>
      </w:r>
    </w:p>
    <w:p w14:paraId="35A9B704" w14:textId="77777777" w:rsidR="00ED3E87" w:rsidRPr="00A259BD" w:rsidRDefault="00ED3E87" w:rsidP="009236E3">
      <w:pPr>
        <w:spacing w:after="0" w:line="240" w:lineRule="auto"/>
        <w:jc w:val="both"/>
        <w:rPr>
          <w:rFonts w:ascii="Times New Roman" w:hAnsi="Times New Roman"/>
          <w:color w:val="000000" w:themeColor="text1"/>
          <w:sz w:val="16"/>
          <w:szCs w:val="16"/>
        </w:rPr>
      </w:pPr>
    </w:p>
    <w:p w14:paraId="3CB885A1" w14:textId="77777777" w:rsidR="00107F31" w:rsidRPr="00A259BD" w:rsidRDefault="00107F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Летом 1929 года, еще до начала работ на </w:t>
      </w:r>
      <w:proofErr w:type="spellStart"/>
      <w:r w:rsidRPr="00A259BD">
        <w:rPr>
          <w:rFonts w:ascii="Times New Roman" w:hAnsi="Times New Roman"/>
          <w:color w:val="000000" w:themeColor="text1"/>
          <w:sz w:val="16"/>
          <w:szCs w:val="16"/>
        </w:rPr>
        <w:t>военскладе</w:t>
      </w:r>
      <w:proofErr w:type="spellEnd"/>
      <w:r w:rsidRPr="00A259BD">
        <w:rPr>
          <w:rFonts w:ascii="Times New Roman" w:hAnsi="Times New Roman"/>
          <w:color w:val="000000" w:themeColor="text1"/>
          <w:sz w:val="16"/>
          <w:szCs w:val="16"/>
        </w:rPr>
        <w:t xml:space="preserve"> №60, завод «Красное Сормово» получил заказ на бронировку 5 паровозов (по своему проекту времен Гражданской войны), а также на модернизацию одного </w:t>
      </w:r>
      <w:proofErr w:type="spellStart"/>
      <w:r w:rsidRPr="00A259BD">
        <w:rPr>
          <w:rFonts w:ascii="Times New Roman" w:hAnsi="Times New Roman"/>
          <w:color w:val="000000" w:themeColor="text1"/>
          <w:sz w:val="16"/>
          <w:szCs w:val="16"/>
        </w:rPr>
        <w:t>бронепаровоза</w:t>
      </w:r>
      <w:proofErr w:type="spellEnd"/>
      <w:r w:rsidRPr="00A259BD">
        <w:rPr>
          <w:rFonts w:ascii="Times New Roman" w:hAnsi="Times New Roman"/>
          <w:color w:val="000000" w:themeColor="text1"/>
          <w:sz w:val="16"/>
          <w:szCs w:val="16"/>
        </w:rPr>
        <w:t xml:space="preserve"> и двух бронеплощадок. Однако завод сумел сдать всего два </w:t>
      </w:r>
      <w:proofErr w:type="spellStart"/>
      <w:r w:rsidRPr="00A259BD">
        <w:rPr>
          <w:rFonts w:ascii="Times New Roman" w:hAnsi="Times New Roman"/>
          <w:color w:val="000000" w:themeColor="text1"/>
          <w:sz w:val="16"/>
          <w:szCs w:val="16"/>
        </w:rPr>
        <w:t>бронепаровоза</w:t>
      </w:r>
      <w:proofErr w:type="spellEnd"/>
      <w:r w:rsidRPr="00A259BD">
        <w:rPr>
          <w:rFonts w:ascii="Times New Roman" w:hAnsi="Times New Roman"/>
          <w:color w:val="000000" w:themeColor="text1"/>
          <w:sz w:val="16"/>
          <w:szCs w:val="16"/>
        </w:rPr>
        <w:t xml:space="preserve">, да и то только в 1932 году. К этому моменту 3-е управление Генерального штаба РККА разработало требования, согласно которым все бронепоезда Красной Армии должны были вписываться в «льготный железнодорожный габарит 1435 мм», то есть имели возможность действовать на дорогах Западной Европы (ширина железнодорожной колеи в Европе </w:t>
      </w:r>
      <w:smartTag w:uri="urn:schemas-microsoft-com:office:smarttags" w:element="metricconverter">
        <w:smartTagPr>
          <w:attr w:name="ProductID" w:val="1945 г"/>
        </w:smartTagPr>
        <w:r w:rsidRPr="00A259BD">
          <w:rPr>
            <w:rFonts w:ascii="Times New Roman" w:hAnsi="Times New Roman"/>
            <w:color w:val="000000" w:themeColor="text1"/>
            <w:sz w:val="16"/>
            <w:szCs w:val="16"/>
          </w:rPr>
          <w:t>1435 мм</w:t>
        </w:r>
      </w:smartTag>
      <w:r w:rsidRPr="00A259BD">
        <w:rPr>
          <w:rFonts w:ascii="Times New Roman" w:hAnsi="Times New Roman"/>
          <w:color w:val="000000" w:themeColor="text1"/>
          <w:sz w:val="16"/>
          <w:szCs w:val="16"/>
        </w:rPr>
        <w:t xml:space="preserve">, в России и СССР </w:t>
      </w:r>
      <w:smartTag w:uri="urn:schemas-microsoft-com:office:smarttags" w:element="metricconverter">
        <w:smartTagPr>
          <w:attr w:name="ProductID" w:val="1945 г"/>
        </w:smartTagPr>
        <w:r w:rsidRPr="00A259BD">
          <w:rPr>
            <w:rFonts w:ascii="Times New Roman" w:hAnsi="Times New Roman"/>
            <w:color w:val="000000" w:themeColor="text1"/>
            <w:sz w:val="16"/>
            <w:szCs w:val="16"/>
          </w:rPr>
          <w:t>1530 мм</w:t>
        </w:r>
      </w:smartTag>
      <w:r w:rsidRPr="00A259BD">
        <w:rPr>
          <w:rFonts w:ascii="Times New Roman" w:hAnsi="Times New Roman"/>
          <w:color w:val="000000" w:themeColor="text1"/>
          <w:sz w:val="16"/>
          <w:szCs w:val="16"/>
        </w:rPr>
        <w:t xml:space="preserve">). Однако в ходе проведения этих работ выяснилось, что сормовские бронеплощадки не вписываются в западноевропейский габарит без значительных переделок. Кроме того, у большинства площадок этой конструкции обнаружился прогиб рамы из-за ее сильной перегрузки. Поэтому от дальнейших работ по сормовским бронепоездам отказались, за исключением состава, уже прошедшего модернизацию, на котором предполагалось отработать ряд узлов. Так, осенью 1930 года на бронеплощадках №356 и 357 установили оптические приборы и новые стеллажи для боеприпасов, изменили схему освещения и </w:t>
      </w:r>
      <w:proofErr w:type="spellStart"/>
      <w:r w:rsidRPr="00A259BD">
        <w:rPr>
          <w:rFonts w:ascii="Times New Roman" w:hAnsi="Times New Roman"/>
          <w:color w:val="000000" w:themeColor="text1"/>
          <w:sz w:val="16"/>
          <w:szCs w:val="16"/>
        </w:rPr>
        <w:t>т.д</w:t>
      </w:r>
      <w:proofErr w:type="spellEnd"/>
      <w:r w:rsidRPr="00A259BD">
        <w:rPr>
          <w:rFonts w:ascii="Times New Roman" w:hAnsi="Times New Roman"/>
          <w:color w:val="000000" w:themeColor="text1"/>
          <w:sz w:val="16"/>
          <w:szCs w:val="16"/>
        </w:rPr>
        <w:t xml:space="preserve"> (15218).</w:t>
      </w:r>
    </w:p>
    <w:p w14:paraId="0DEB55E5" w14:textId="77777777" w:rsidR="00107F31" w:rsidRPr="00A259BD" w:rsidRDefault="00107F31" w:rsidP="009236E3">
      <w:pPr>
        <w:spacing w:after="0" w:line="240" w:lineRule="auto"/>
        <w:jc w:val="both"/>
        <w:rPr>
          <w:rFonts w:ascii="Times New Roman" w:hAnsi="Times New Roman"/>
          <w:color w:val="000000" w:themeColor="text1"/>
          <w:sz w:val="16"/>
          <w:szCs w:val="16"/>
        </w:rPr>
      </w:pPr>
    </w:p>
    <w:p w14:paraId="184AF4F5" w14:textId="77777777" w:rsidR="005D09F4" w:rsidRPr="00A259BD" w:rsidRDefault="005D09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середине 1929 г. на предприятиях ЭТЗСТ работало на инженерных должностях 1525 человек, из которых высшее образование имели только 28%. Потребности же отрасли в специалистах из числа ИТР на первую пятилетку составляла более 1900 человек, из которых не менее 820 должны были иметь высшее образование. Для проведения работ по военной тематике только ленинградским радиотехническим предприятиям на 1929-1931 гг. требовалось 65 военных инженеров-электриков (18297).</w:t>
      </w:r>
    </w:p>
    <w:p w14:paraId="0EA4086A" w14:textId="77777777" w:rsidR="005D09F4" w:rsidRPr="00A259BD" w:rsidRDefault="005D09F4" w:rsidP="009236E3">
      <w:pPr>
        <w:spacing w:after="0" w:line="240" w:lineRule="auto"/>
        <w:jc w:val="both"/>
        <w:rPr>
          <w:rFonts w:ascii="Times New Roman" w:hAnsi="Times New Roman"/>
          <w:color w:val="000000" w:themeColor="text1"/>
          <w:sz w:val="16"/>
          <w:szCs w:val="16"/>
        </w:rPr>
      </w:pPr>
    </w:p>
    <w:p w14:paraId="45E380D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43D2394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2ED3B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Летом 1929 вышел Полевой устав РККА (Пу-29), где указывалось, что авиация способствует наземным войскам в выполнении боевых задач, действуя с воздуха по живой силе и технике противника, защищать свои войска от нападения авиации противника путем уничтожения его самолетов в воздушных боях, дезорганизует вражеский тыл, ведет воздушную разведку, несет службу связи, корректирует огонь артиллерии и выполняет самостоятельные оперативные задачи. </w:t>
      </w:r>
      <w:proofErr w:type="spellStart"/>
      <w:r w:rsidRPr="00A259BD">
        <w:rPr>
          <w:rFonts w:ascii="Times New Roman" w:hAnsi="Times New Roman"/>
          <w:color w:val="000000" w:themeColor="text1"/>
          <w:sz w:val="16"/>
          <w:szCs w:val="16"/>
        </w:rPr>
        <w:t>УКстав</w:t>
      </w:r>
      <w:proofErr w:type="spellEnd"/>
      <w:r w:rsidRPr="00A259BD">
        <w:rPr>
          <w:rFonts w:ascii="Times New Roman" w:hAnsi="Times New Roman"/>
          <w:color w:val="000000" w:themeColor="text1"/>
          <w:sz w:val="16"/>
          <w:szCs w:val="16"/>
        </w:rPr>
        <w:t xml:space="preserve"> подразделил авиацию на войсковую и армейскую (бомбардировщики, штурмовика, истребители). АА должна была сводиться в АГ. До этого было Наставление по боевому применению авиации. В 1929 же разработали и ввели в действие Боевой устав ВВС. Книга 1. Истребительная авиация (317,231).</w:t>
      </w:r>
    </w:p>
    <w:p w14:paraId="121379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01E85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Летом 1929 г. с участием летающих лодок Дорнье "Валь" на Черном море впервые провели учебное бомбометание. Использовалась летающая лодка под управлением летчика А. </w:t>
      </w:r>
      <w:proofErr w:type="spellStart"/>
      <w:r w:rsidRPr="00A259BD">
        <w:rPr>
          <w:rFonts w:ascii="Times New Roman" w:hAnsi="Times New Roman"/>
          <w:color w:val="000000" w:themeColor="text1"/>
          <w:sz w:val="16"/>
          <w:szCs w:val="16"/>
        </w:rPr>
        <w:t>Кржижевского</w:t>
      </w:r>
      <w:proofErr w:type="spellEnd"/>
      <w:r w:rsidRPr="00A259BD">
        <w:rPr>
          <w:rFonts w:ascii="Times New Roman" w:hAnsi="Times New Roman"/>
          <w:color w:val="000000" w:themeColor="text1"/>
          <w:sz w:val="16"/>
          <w:szCs w:val="16"/>
        </w:rPr>
        <w:t xml:space="preserve"> и летчика-наблюдателя Поспелова. В августе провели учения трех ДВ 9-й авиабригады совместно с крейсером "Червона Украина". Лодки вели поиск крейсера в открытом море и производили на него учебные атаки. Также указывалось, что летом 1929 г. в учениях принимали участие летающие лодки ДВ 60-й отдельной эскадрильи Никитина, отряд Волынского и отряд </w:t>
      </w:r>
      <w:proofErr w:type="spellStart"/>
      <w:r w:rsidRPr="00A259BD">
        <w:rPr>
          <w:rFonts w:ascii="Times New Roman" w:hAnsi="Times New Roman"/>
          <w:color w:val="000000" w:themeColor="text1"/>
          <w:sz w:val="16"/>
          <w:szCs w:val="16"/>
        </w:rPr>
        <w:t>Порцеля</w:t>
      </w:r>
      <w:proofErr w:type="spellEnd"/>
      <w:r w:rsidRPr="00A259BD">
        <w:rPr>
          <w:rFonts w:ascii="Times New Roman" w:hAnsi="Times New Roman"/>
          <w:color w:val="000000" w:themeColor="text1"/>
          <w:sz w:val="16"/>
          <w:szCs w:val="16"/>
        </w:rPr>
        <w:t xml:space="preserve"> на ЮГ-1.</w:t>
      </w:r>
    </w:p>
    <w:p w14:paraId="7DF855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Отметим, что трехмоторные поплавковые Юнкере ЮГ-1 в 1927 г. решили перевести на Балтийское море, одновременно возник вопрос и о базировании ожидаемых лодок ДВ.</w:t>
      </w:r>
    </w:p>
    <w:p w14:paraId="3AF46F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Еще в январе 1928 г, когда ожидалось поступление второй партии машин в количестве 20 экземпляров, первые два поступивших Дорнье "Валь" с двигателями "</w:t>
      </w:r>
      <w:proofErr w:type="spellStart"/>
      <w:r w:rsidRPr="00A259BD">
        <w:rPr>
          <w:rFonts w:ascii="Times New Roman" w:hAnsi="Times New Roman"/>
          <w:color w:val="000000" w:themeColor="text1"/>
          <w:sz w:val="16"/>
          <w:szCs w:val="16"/>
        </w:rPr>
        <w:t>Лоррен</w:t>
      </w:r>
      <w:proofErr w:type="spellEnd"/>
      <w:r w:rsidRPr="00A259BD">
        <w:rPr>
          <w:rFonts w:ascii="Times New Roman" w:hAnsi="Times New Roman"/>
          <w:color w:val="000000" w:themeColor="text1"/>
          <w:sz w:val="16"/>
          <w:szCs w:val="16"/>
        </w:rPr>
        <w:t xml:space="preserve">-Дитрих" решили передислоцировать на Балтику (существовал план сразу перегнать две машины из Италии, однако затем вернулись к первому решению). Перелет двух лодок предполагался вдоль системы рек (Днепр, Припять, Двина, Волхов), однако длительные отрезки полета над сушей предопределили провести его как агитационную акцию. Одним словом, переброску летающих лодок на север обозначили как перелет </w:t>
      </w:r>
      <w:proofErr w:type="spellStart"/>
      <w:r w:rsidRPr="00A259BD">
        <w:rPr>
          <w:rFonts w:ascii="Times New Roman" w:hAnsi="Times New Roman"/>
          <w:color w:val="000000" w:themeColor="text1"/>
          <w:sz w:val="16"/>
          <w:szCs w:val="16"/>
        </w:rPr>
        <w:t>Осоавиа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хима</w:t>
      </w:r>
      <w:proofErr w:type="spellEnd"/>
      <w:r w:rsidRPr="00A259BD">
        <w:rPr>
          <w:rFonts w:ascii="Times New Roman" w:hAnsi="Times New Roman"/>
          <w:color w:val="000000" w:themeColor="text1"/>
          <w:sz w:val="16"/>
          <w:szCs w:val="16"/>
        </w:rPr>
        <w:t>, который его и оплатил.</w:t>
      </w:r>
    </w:p>
    <w:p w14:paraId="4E6692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Впрочем, вылетели ДВ с Черного моря порознь. Сначала, в период 26-28 мая 1928 г. перелетела одна лодка. Второй ДВ ЛД остался в Севастополе. После окончания планового ремонта этот экземпляр использовался при оценочных испытаниях немецкого бомбового прицела "Герц-Бойков" BL200. В августе и эта машина ушла на Балтику.</w:t>
      </w:r>
    </w:p>
    <w:p w14:paraId="50144A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Базировались оба ДВ ЛД в Ленинграде, в Гребном порту, числились за 66-м авиаотрядом. Эксплуатировались активно, мореходность и дальность полета для Балтийского моря, а в основном для Финского залива, были вполне удовлетворительны (11961).</w:t>
      </w:r>
    </w:p>
    <w:p w14:paraId="3587C2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3D31F1" w14:textId="77777777" w:rsidR="005D09F4" w:rsidRPr="00A259BD" w:rsidRDefault="005D09F4"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Летом 1929 года образуются ТЕКО (технические курсы Осоавиахима), где обучались немецкие танкисты. Там и советские танкисты обучались, и среди них Гинзбург (10634).</w:t>
      </w:r>
    </w:p>
    <w:p w14:paraId="2AB1C00C" w14:textId="77777777" w:rsidR="005D09F4" w:rsidRPr="00A259BD" w:rsidRDefault="005D09F4" w:rsidP="009236E3">
      <w:pPr>
        <w:shd w:val="clear" w:color="auto" w:fill="FFFFFF"/>
        <w:spacing w:after="0" w:line="240" w:lineRule="auto"/>
        <w:jc w:val="both"/>
        <w:rPr>
          <w:rFonts w:ascii="Times New Roman" w:hAnsi="Times New Roman"/>
          <w:color w:val="000000" w:themeColor="text1"/>
          <w:sz w:val="16"/>
          <w:szCs w:val="16"/>
        </w:rPr>
      </w:pPr>
    </w:p>
    <w:p w14:paraId="002149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Летом 1929 был конфликт на КВЖД (108,27).</w:t>
      </w:r>
    </w:p>
    <w:p w14:paraId="180D95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72F090" w14:textId="77777777" w:rsidR="0098385D" w:rsidRPr="00A259BD" w:rsidRDefault="0098385D"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shd w:val="clear" w:color="auto" w:fill="FFFFFF"/>
        </w:rPr>
        <w:t xml:space="preserve">Летом 1929 года обстановка вокруг КВЖД (Китайско-Восточная Железная Дорога) начала накаляться. Этот конфликт был крайне специфичным, поскольку Маньчжурия, которую возглавлял генерал армии Чжан </w:t>
      </w:r>
      <w:proofErr w:type="spellStart"/>
      <w:r w:rsidRPr="00A259BD">
        <w:rPr>
          <w:rFonts w:ascii="Times New Roman" w:hAnsi="Times New Roman"/>
          <w:color w:val="000000" w:themeColor="text1"/>
          <w:sz w:val="16"/>
          <w:szCs w:val="16"/>
          <w:shd w:val="clear" w:color="auto" w:fill="FFFFFF"/>
        </w:rPr>
        <w:t>Сюэлян</w:t>
      </w:r>
      <w:proofErr w:type="spellEnd"/>
      <w:r w:rsidRPr="00A259BD">
        <w:rPr>
          <w:rFonts w:ascii="Times New Roman" w:hAnsi="Times New Roman"/>
          <w:color w:val="000000" w:themeColor="text1"/>
          <w:sz w:val="16"/>
          <w:szCs w:val="16"/>
          <w:shd w:val="clear" w:color="auto" w:fill="FFFFFF"/>
        </w:rPr>
        <w:t xml:space="preserve">, фактически была независимой от правительства Чан Кайши в Нанкине. Хотя Чан Кайши в том конфликте сыграл свою роль: дальнейшие события были им спровоцированы как раз летом 1929 года. 6 августа была сформирована ОДВА (Особая Дальневосточная </w:t>
      </w:r>
      <w:r w:rsidRPr="00A259BD">
        <w:rPr>
          <w:rFonts w:ascii="Times New Roman" w:hAnsi="Times New Roman"/>
          <w:color w:val="000000" w:themeColor="text1"/>
          <w:sz w:val="16"/>
          <w:szCs w:val="16"/>
          <w:shd w:val="clear" w:color="auto" w:fill="FFFFFF"/>
        </w:rPr>
        <w:lastRenderedPageBreak/>
        <w:t>Армия). Возглавивший ее В.К. Блюхер начал готовить операцию по противодействию китайским вылазкам. В активную фазу боевые действия вошли с 12 октября 1929 года. Конфликт на КВЖД оказался крайне специфичным: мало того, что официальный Нанкин был как бы не при делах, так еще и цель ОДВА заключалась не в захвате территории, а разгроме противника. В общей сложности на Дальний Восток отправилось 9 танков, которые свели в отдельную танковую роту.</w:t>
      </w:r>
    </w:p>
    <w:p w14:paraId="53836C40" w14:textId="77777777" w:rsidR="0098385D" w:rsidRPr="00A259BD" w:rsidRDefault="0098385D" w:rsidP="009236E3">
      <w:pPr>
        <w:shd w:val="clear" w:color="auto" w:fill="FFFFFF"/>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 xml:space="preserve">Бардак творился по обе стороны фронта. Начиная с того, что один танк уронили при разгрузке, участие в боях он не принимал. Но у Чжан </w:t>
      </w:r>
      <w:proofErr w:type="spellStart"/>
      <w:r w:rsidRPr="00A259BD">
        <w:rPr>
          <w:rFonts w:ascii="Times New Roman" w:hAnsi="Times New Roman"/>
          <w:color w:val="000000" w:themeColor="text1"/>
          <w:sz w:val="16"/>
          <w:szCs w:val="16"/>
          <w:shd w:val="clear" w:color="auto" w:fill="FFFFFF"/>
        </w:rPr>
        <w:t>Сюэляна</w:t>
      </w:r>
      <w:proofErr w:type="spellEnd"/>
      <w:r w:rsidRPr="00A259BD">
        <w:rPr>
          <w:rFonts w:ascii="Times New Roman" w:hAnsi="Times New Roman"/>
          <w:color w:val="000000" w:themeColor="text1"/>
          <w:sz w:val="16"/>
          <w:szCs w:val="16"/>
          <w:shd w:val="clear" w:color="auto" w:fill="FFFFFF"/>
        </w:rPr>
        <w:t xml:space="preserve"> дела были еще хуже: танки у него имелись (Renault FT), но в бой они так и не пошли. Боевой дебют Т-18 был веселым: часть машин просто потеряло ориентировку в пути и заблудилось, до вражеских позиций доехало 6, обнаружив тут противотанковые рвы. Советские машины колесили вдоль китайских позиций, не в силах их проехать, а китайские артиллеристы не могли в них попасть. Тем не менее, Т-18 всё же оказались полезными. Даже странный дебют 17 ноября 1929 года скорее стал успешным, поскольку машины всё же поддержали свою пехоту. В последующие два дня 8 танков вполне успешно поддерживали атаки пехоты. Далее конфликт пошел на убыль, поскольку Чжан </w:t>
      </w:r>
      <w:proofErr w:type="spellStart"/>
      <w:r w:rsidRPr="00A259BD">
        <w:rPr>
          <w:rFonts w:ascii="Times New Roman" w:hAnsi="Times New Roman"/>
          <w:color w:val="000000" w:themeColor="text1"/>
          <w:sz w:val="16"/>
          <w:szCs w:val="16"/>
          <w:shd w:val="clear" w:color="auto" w:fill="FFFFFF"/>
        </w:rPr>
        <w:t>Сюэлян</w:t>
      </w:r>
      <w:proofErr w:type="spellEnd"/>
      <w:r w:rsidRPr="00A259BD">
        <w:rPr>
          <w:rFonts w:ascii="Times New Roman" w:hAnsi="Times New Roman"/>
          <w:color w:val="000000" w:themeColor="text1"/>
          <w:sz w:val="16"/>
          <w:szCs w:val="16"/>
          <w:shd w:val="clear" w:color="auto" w:fill="FFFFFF"/>
        </w:rPr>
        <w:t xml:space="preserve"> начал о чем-то догадываться и запросил переговоры. Таким образом, общий итог боевого применения Т-18 можно считать успешным. Особенно с учетом того, как вели боевые действия обе стороны (22380).</w:t>
      </w:r>
    </w:p>
    <w:p w14:paraId="73DCA5F8" w14:textId="77777777" w:rsidR="0098385D" w:rsidRPr="00A259BD" w:rsidRDefault="0098385D" w:rsidP="009236E3">
      <w:pPr>
        <w:shd w:val="clear" w:color="auto" w:fill="FFFFFF"/>
        <w:spacing w:after="0" w:line="240" w:lineRule="auto"/>
        <w:jc w:val="both"/>
        <w:rPr>
          <w:rFonts w:ascii="Times New Roman" w:hAnsi="Times New Roman"/>
          <w:color w:val="000000" w:themeColor="text1"/>
          <w:sz w:val="16"/>
          <w:szCs w:val="16"/>
        </w:rPr>
      </w:pPr>
    </w:p>
    <w:p w14:paraId="5C3605CB"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1F89234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B1C3C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Летом 1929 ОГПУ раскрыл союз освобождения Украины и было арестовано 5 тыс. членов (70,219).</w:t>
      </w:r>
    </w:p>
    <w:p w14:paraId="353F75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8DA56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B0FFC1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471915"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Летом [247] 1929 года LZ-127 “Граф Цеппелин” облетел вокруг света и позже, в 1930-1936 годах, обеспечивал регулярность пассажирской трансатлантической трассы между Фридрихсхафеном и </w:t>
      </w:r>
      <w:proofErr w:type="spellStart"/>
      <w:r w:rsidRPr="00A259BD">
        <w:rPr>
          <w:rFonts w:ascii="Times New Roman" w:hAnsi="Times New Roman"/>
          <w:color w:val="000000" w:themeColor="text1"/>
          <w:sz w:val="16"/>
          <w:szCs w:val="16"/>
        </w:rPr>
        <w:t>Пернамбуку</w:t>
      </w:r>
      <w:proofErr w:type="spellEnd"/>
      <w:r w:rsidRPr="00A259BD">
        <w:rPr>
          <w:rFonts w:ascii="Times New Roman" w:hAnsi="Times New Roman"/>
          <w:color w:val="000000" w:themeColor="text1"/>
          <w:sz w:val="16"/>
          <w:szCs w:val="16"/>
        </w:rPr>
        <w:t xml:space="preserve"> в Бразилии. Всего перевез 10 400 пассажиров (11324).</w:t>
      </w:r>
    </w:p>
    <w:p w14:paraId="559A17EA"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944B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Летом 1929 г. француженка Мариза </w:t>
      </w:r>
      <w:proofErr w:type="spellStart"/>
      <w:r w:rsidRPr="00A259BD">
        <w:rPr>
          <w:rFonts w:ascii="Times New Roman" w:hAnsi="Times New Roman"/>
          <w:color w:val="000000" w:themeColor="text1"/>
          <w:sz w:val="16"/>
          <w:szCs w:val="16"/>
        </w:rPr>
        <w:t>Бастье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Maryse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Bastie</w:t>
      </w:r>
      <w:proofErr w:type="spellEnd"/>
      <w:r w:rsidRPr="00A259BD">
        <w:rPr>
          <w:rFonts w:ascii="Times New Roman" w:hAnsi="Times New Roman"/>
          <w:color w:val="000000" w:themeColor="text1"/>
          <w:sz w:val="16"/>
          <w:szCs w:val="16"/>
        </w:rPr>
        <w:t xml:space="preserve">), которая в 1922 г. стала женой пилота и с этого момента увлеклась авиацией, а после трагической смерти мужа сама решила научиться летать и 29 сентября 1925 г. получила диплом летчика, установила свой первый рекорд продолжительности полета. 30 декабря 1930 г. </w:t>
      </w:r>
      <w:proofErr w:type="spellStart"/>
      <w:r w:rsidRPr="00A259BD">
        <w:rPr>
          <w:rFonts w:ascii="Times New Roman" w:hAnsi="Times New Roman"/>
          <w:color w:val="000000" w:themeColor="text1"/>
          <w:sz w:val="16"/>
          <w:szCs w:val="16"/>
        </w:rPr>
        <w:t>Бастье</w:t>
      </w:r>
      <w:proofErr w:type="spellEnd"/>
      <w:r w:rsidRPr="00A259BD">
        <w:rPr>
          <w:rFonts w:ascii="Times New Roman" w:hAnsi="Times New Roman"/>
          <w:color w:val="000000" w:themeColor="text1"/>
          <w:sz w:val="16"/>
          <w:szCs w:val="16"/>
        </w:rPr>
        <w:t xml:space="preserve"> вошла в число авиаторов, в одиночку преодолевших Южную Атлантику - ее результат составил 12 часов 5 минут. Летом 1931 г. </w:t>
      </w:r>
      <w:proofErr w:type="spellStart"/>
      <w:r w:rsidRPr="00A259BD">
        <w:rPr>
          <w:rFonts w:ascii="Times New Roman" w:hAnsi="Times New Roman"/>
          <w:color w:val="000000" w:themeColor="text1"/>
          <w:sz w:val="16"/>
          <w:szCs w:val="16"/>
        </w:rPr>
        <w:t>Бастье</w:t>
      </w:r>
      <w:proofErr w:type="spellEnd"/>
      <w:r w:rsidRPr="00A259BD">
        <w:rPr>
          <w:rFonts w:ascii="Times New Roman" w:hAnsi="Times New Roman"/>
          <w:color w:val="000000" w:themeColor="text1"/>
          <w:sz w:val="16"/>
          <w:szCs w:val="16"/>
        </w:rPr>
        <w:t xml:space="preserve"> вылетела из Парижа в направлении на восток на моноплане "Клемм" с двигателем мощностью 40 л.с. 29 июня, преодолев за 30 часов без посадки 2976 км, она приземлилась на полевой площадке у села </w:t>
      </w:r>
      <w:proofErr w:type="spellStart"/>
      <w:r w:rsidRPr="00A259BD">
        <w:rPr>
          <w:rFonts w:ascii="Times New Roman" w:hAnsi="Times New Roman"/>
          <w:color w:val="000000" w:themeColor="text1"/>
          <w:sz w:val="16"/>
          <w:szCs w:val="16"/>
        </w:rPr>
        <w:t>Урино</w:t>
      </w:r>
      <w:proofErr w:type="spellEnd"/>
      <w:r w:rsidRPr="00A259BD">
        <w:rPr>
          <w:rFonts w:ascii="Times New Roman" w:hAnsi="Times New Roman"/>
          <w:color w:val="000000" w:themeColor="text1"/>
          <w:sz w:val="16"/>
          <w:szCs w:val="16"/>
        </w:rPr>
        <w:t xml:space="preserve"> под Нижним Новгородом. Полученный результат соответствовал мировому рекорду дальности полета для женщин (он продержался около года). При возвращении на родину 4 июля 1931 г. Мариза совершила посадку на Центральном аэродроме Москвы, где была встречена тепло и радушно. Еще одно посещение французской летчицей Советского Союза произошло в 1937 г. На моноплане </w:t>
      </w:r>
      <w:proofErr w:type="spellStart"/>
      <w:r w:rsidRPr="00A259BD">
        <w:rPr>
          <w:rFonts w:ascii="Times New Roman" w:hAnsi="Times New Roman"/>
          <w:color w:val="000000" w:themeColor="text1"/>
          <w:sz w:val="16"/>
          <w:szCs w:val="16"/>
        </w:rPr>
        <w:t>Кодрон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Симун</w:t>
      </w:r>
      <w:proofErr w:type="spellEnd"/>
      <w:r w:rsidRPr="00A259BD">
        <w:rPr>
          <w:rFonts w:ascii="Times New Roman" w:hAnsi="Times New Roman"/>
          <w:color w:val="000000" w:themeColor="text1"/>
          <w:sz w:val="16"/>
          <w:szCs w:val="16"/>
        </w:rPr>
        <w:t xml:space="preserve">" Мариза </w:t>
      </w:r>
      <w:proofErr w:type="spellStart"/>
      <w:r w:rsidRPr="00A259BD">
        <w:rPr>
          <w:rFonts w:ascii="Times New Roman" w:hAnsi="Times New Roman"/>
          <w:color w:val="000000" w:themeColor="text1"/>
          <w:sz w:val="16"/>
          <w:szCs w:val="16"/>
        </w:rPr>
        <w:t>Бастье</w:t>
      </w:r>
      <w:proofErr w:type="spellEnd"/>
      <w:r w:rsidRPr="00A259BD">
        <w:rPr>
          <w:rFonts w:ascii="Times New Roman" w:hAnsi="Times New Roman"/>
          <w:color w:val="000000" w:themeColor="text1"/>
          <w:sz w:val="16"/>
          <w:szCs w:val="16"/>
        </w:rPr>
        <w:t xml:space="preserve"> вдвоем с Сюзанной </w:t>
      </w:r>
      <w:proofErr w:type="spellStart"/>
      <w:r w:rsidRPr="00A259BD">
        <w:rPr>
          <w:rFonts w:ascii="Times New Roman" w:hAnsi="Times New Roman"/>
          <w:color w:val="000000" w:themeColor="text1"/>
          <w:sz w:val="16"/>
          <w:szCs w:val="16"/>
        </w:rPr>
        <w:t>Телье</w:t>
      </w:r>
      <w:proofErr w:type="spellEnd"/>
      <w:r w:rsidRPr="00A259BD">
        <w:rPr>
          <w:rFonts w:ascii="Times New Roman" w:hAnsi="Times New Roman"/>
          <w:color w:val="000000" w:themeColor="text1"/>
          <w:sz w:val="16"/>
          <w:szCs w:val="16"/>
        </w:rPr>
        <w:t xml:space="preserve"> предприняла скоростной дальний перелет с промежуточными посадками по маршруту Париж-Москва-Казань-Омск-Иркутск (11947).</w:t>
      </w:r>
    </w:p>
    <w:p w14:paraId="3B1A3E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CBCB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Летом 1929 в полете </w:t>
      </w:r>
      <w:proofErr w:type="spellStart"/>
      <w:r w:rsidRPr="00A259BD">
        <w:rPr>
          <w:rFonts w:ascii="Times New Roman" w:hAnsi="Times New Roman"/>
          <w:color w:val="000000" w:themeColor="text1"/>
          <w:sz w:val="16"/>
          <w:szCs w:val="16"/>
        </w:rPr>
        <w:t>Transcontinental</w:t>
      </w:r>
      <w:proofErr w:type="spellEnd"/>
      <w:r w:rsidRPr="00A259BD">
        <w:rPr>
          <w:rFonts w:ascii="Times New Roman" w:hAnsi="Times New Roman"/>
          <w:color w:val="000000" w:themeColor="text1"/>
          <w:sz w:val="16"/>
          <w:szCs w:val="16"/>
        </w:rPr>
        <w:t xml:space="preserve"> Air Transport над Columbus OH впервые демонстрировали кинофильм - короткую комедию и новости (3101).</w:t>
      </w:r>
    </w:p>
    <w:p w14:paraId="3D41FF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F90DDF"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Летом 1929 года были готовы шасси немецких танков. Танки Daimler-Benz получили номера 41 и 42, танки </w:t>
      </w:r>
      <w:proofErr w:type="spellStart"/>
      <w:r w:rsidRPr="00A259BD">
        <w:rPr>
          <w:rFonts w:ascii="Times New Roman" w:hAnsi="Times New Roman"/>
          <w:color w:val="000000" w:themeColor="text1"/>
          <w:sz w:val="16"/>
          <w:szCs w:val="16"/>
        </w:rPr>
        <w:t>Krupp</w:t>
      </w:r>
      <w:proofErr w:type="spellEnd"/>
      <w:r w:rsidRPr="00A259BD">
        <w:rPr>
          <w:rFonts w:ascii="Times New Roman" w:hAnsi="Times New Roman"/>
          <w:color w:val="000000" w:themeColor="text1"/>
          <w:sz w:val="16"/>
          <w:szCs w:val="16"/>
        </w:rPr>
        <w:t xml:space="preserve"> — 43 и 44, а </w:t>
      </w:r>
      <w:proofErr w:type="spellStart"/>
      <w:r w:rsidRPr="00A259BD">
        <w:rPr>
          <w:rFonts w:ascii="Times New Roman" w:hAnsi="Times New Roman"/>
          <w:color w:val="000000" w:themeColor="text1"/>
          <w:sz w:val="16"/>
          <w:szCs w:val="16"/>
        </w:rPr>
        <w:t>Rheinmetall</w:t>
      </w:r>
      <w:proofErr w:type="spellEnd"/>
      <w:r w:rsidRPr="00A259BD">
        <w:rPr>
          <w:rFonts w:ascii="Times New Roman" w:hAnsi="Times New Roman"/>
          <w:color w:val="000000" w:themeColor="text1"/>
          <w:sz w:val="16"/>
          <w:szCs w:val="16"/>
        </w:rPr>
        <w:t xml:space="preserve"> — 45 и 46.. Их ждала долгая дорога на восток (17713).</w:t>
      </w:r>
    </w:p>
    <w:p w14:paraId="1895EEF1" w14:textId="77777777" w:rsidR="00CD567A" w:rsidRPr="00A259BD" w:rsidRDefault="00CD567A" w:rsidP="009236E3">
      <w:pPr>
        <w:spacing w:after="0" w:line="240" w:lineRule="auto"/>
        <w:jc w:val="both"/>
        <w:rPr>
          <w:rFonts w:ascii="Times New Roman" w:hAnsi="Times New Roman"/>
          <w:color w:val="000000" w:themeColor="text1"/>
          <w:sz w:val="16"/>
          <w:szCs w:val="16"/>
        </w:rPr>
      </w:pPr>
    </w:p>
    <w:p w14:paraId="1142E073" w14:textId="77777777" w:rsidR="009D1FB2" w:rsidRPr="00441F34" w:rsidRDefault="009D1FB2" w:rsidP="009D1FB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Летом 1929 г. вышла большая (432 страницы, включая 159 схем и  диаграмм) книга </w:t>
      </w:r>
      <w:proofErr w:type="spellStart"/>
      <w:r w:rsidRPr="00441F34">
        <w:rPr>
          <w:rFonts w:ascii="Times New Roman" w:hAnsi="Times New Roman"/>
          <w:color w:val="0070C0"/>
          <w:sz w:val="16"/>
          <w:szCs w:val="16"/>
        </w:rPr>
        <w:t>Оберта</w:t>
      </w:r>
      <w:proofErr w:type="spellEnd"/>
      <w:r w:rsidRPr="00441F34">
        <w:rPr>
          <w:rFonts w:ascii="Times New Roman" w:hAnsi="Times New Roman"/>
          <w:color w:val="0070C0"/>
          <w:sz w:val="16"/>
          <w:szCs w:val="16"/>
        </w:rPr>
        <w:t xml:space="preserve"> «Пути к  космическому плаванию» (</w:t>
      </w:r>
      <w:proofErr w:type="spellStart"/>
      <w:r w:rsidRPr="00441F34">
        <w:rPr>
          <w:rFonts w:ascii="Times New Roman" w:hAnsi="Times New Roman"/>
          <w:color w:val="0070C0"/>
          <w:sz w:val="16"/>
          <w:szCs w:val="16"/>
        </w:rPr>
        <w:t>Wege</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zur</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Raumschiffahrt</w:t>
      </w:r>
      <w:proofErr w:type="spellEnd"/>
      <w:r w:rsidRPr="00441F34">
        <w:rPr>
          <w:rFonts w:ascii="Times New Roman" w:hAnsi="Times New Roman"/>
          <w:color w:val="0070C0"/>
          <w:sz w:val="16"/>
          <w:szCs w:val="16"/>
        </w:rPr>
        <w:t>). В ней он обобщил и детально проанализировал свои прежние и новые разработки. Помимо общей теории ракетных двигателей, подробно описал проекты ракет трех типов (в вариантах) и  орбитальной станции. Ракета первого типа, названная «</w:t>
      </w:r>
      <w:proofErr w:type="spellStart"/>
      <w:r w:rsidRPr="00441F34">
        <w:rPr>
          <w:rFonts w:ascii="Times New Roman" w:hAnsi="Times New Roman"/>
          <w:color w:val="0070C0"/>
          <w:sz w:val="16"/>
          <w:szCs w:val="16"/>
        </w:rPr>
        <w:t>Modell</w:t>
      </w:r>
      <w:proofErr w:type="spellEnd"/>
      <w:r w:rsidRPr="00441F34">
        <w:rPr>
          <w:rFonts w:ascii="Times New Roman" w:hAnsi="Times New Roman"/>
          <w:color w:val="0070C0"/>
          <w:sz w:val="16"/>
          <w:szCs w:val="16"/>
        </w:rPr>
        <w:t xml:space="preserve"> B» (или регистрирующая) это носитель научных приборов для исследования верхних слоев атмосферы.</w:t>
      </w:r>
    </w:p>
    <w:p w14:paraId="4DA94836" w14:textId="77777777" w:rsidR="009D1FB2" w:rsidRPr="00441F34" w:rsidRDefault="009D1FB2" w:rsidP="009D1FB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своей книге </w:t>
      </w:r>
      <w:proofErr w:type="spellStart"/>
      <w:r w:rsidRPr="00441F34">
        <w:rPr>
          <w:rFonts w:ascii="Times New Roman" w:hAnsi="Times New Roman"/>
          <w:color w:val="0070C0"/>
          <w:sz w:val="16"/>
          <w:szCs w:val="16"/>
        </w:rPr>
        <w:t>Оберт</w:t>
      </w:r>
      <w:proofErr w:type="spellEnd"/>
      <w:r w:rsidRPr="00441F34">
        <w:rPr>
          <w:rFonts w:ascii="Times New Roman" w:hAnsi="Times New Roman"/>
          <w:color w:val="0070C0"/>
          <w:sz w:val="16"/>
          <w:szCs w:val="16"/>
        </w:rPr>
        <w:t xml:space="preserve"> предсказал: а) многоступенчатые ракеты; б) возможность полета человека в космос в специальной кабине ракеты; в)  возможность выхода в скафандре из корабля в открытый космос; г) парашютный способ возвращения корабля с орбиты; д) возможность создания обитаемых орбитальных станций (23372).</w:t>
      </w:r>
    </w:p>
    <w:p w14:paraId="72440E70" w14:textId="77777777" w:rsidR="009D1FB2" w:rsidRPr="00441F34" w:rsidRDefault="009D1FB2" w:rsidP="009D1FB2">
      <w:pPr>
        <w:spacing w:after="0" w:line="240" w:lineRule="auto"/>
        <w:jc w:val="both"/>
        <w:rPr>
          <w:rFonts w:ascii="Times New Roman" w:hAnsi="Times New Roman"/>
          <w:color w:val="0070C0"/>
          <w:sz w:val="16"/>
          <w:szCs w:val="16"/>
        </w:rPr>
      </w:pPr>
    </w:p>
    <w:p w14:paraId="4AFC5F9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4EEC7EC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1C928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Летом и осенью 1929 г. Р-1 и МР-1 использовался в боях на КВЖД. Вся применявшаяся там советской стороной авиация, за исключением одной эскадрильи, была вооружена Р-1 (68 машин) и МР-1 (десять). 8 сентября 1929 г. войска Особой Дальневосточной армии (ОДВА) из Приморья, поддерживаемые 19-м авиаотрядом с аэродрома Гродеково, начали наступление на запад, в направлении станции Пограничная. Китайцы понесли потери и отошли.</w:t>
      </w:r>
    </w:p>
    <w:p w14:paraId="7D23D9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октября советская Амурская флотилия вошла в устье реки Сунгари. Бомбовым ударом 40-й эскадрильи и огнем кораблей были выведены из строя канонерская лодка, три вооруженных парохода (причем один - только авиацией) и баржа-</w:t>
      </w:r>
      <w:proofErr w:type="spellStart"/>
      <w:r w:rsidRPr="00A259BD">
        <w:rPr>
          <w:rFonts w:ascii="Times New Roman" w:hAnsi="Times New Roman"/>
          <w:color w:val="000000" w:themeColor="text1"/>
          <w:sz w:val="16"/>
          <w:szCs w:val="16"/>
        </w:rPr>
        <w:t>плавбатарея</w:t>
      </w:r>
      <w:proofErr w:type="spellEnd"/>
      <w:r w:rsidRPr="00A259BD">
        <w:rPr>
          <w:rFonts w:ascii="Times New Roman" w:hAnsi="Times New Roman"/>
          <w:color w:val="000000" w:themeColor="text1"/>
          <w:sz w:val="16"/>
          <w:szCs w:val="16"/>
        </w:rPr>
        <w:t xml:space="preserve">, захваченная позже нашим десантом. Высадку войск на берег у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xml:space="preserve"> поддерживал 68-й отряд на МР-1, базировавшийся на плавбазе «Амур». Он подавил китайскую батарею у деревни </w:t>
      </w:r>
      <w:proofErr w:type="spellStart"/>
      <w:r w:rsidRPr="00A259BD">
        <w:rPr>
          <w:rFonts w:ascii="Times New Roman" w:hAnsi="Times New Roman"/>
          <w:color w:val="000000" w:themeColor="text1"/>
          <w:sz w:val="16"/>
          <w:szCs w:val="16"/>
        </w:rPr>
        <w:t>Чичиха</w:t>
      </w:r>
      <w:proofErr w:type="spellEnd"/>
      <w:r w:rsidRPr="00A259BD">
        <w:rPr>
          <w:rFonts w:ascii="Times New Roman" w:hAnsi="Times New Roman"/>
          <w:color w:val="000000" w:themeColor="text1"/>
          <w:sz w:val="16"/>
          <w:szCs w:val="16"/>
        </w:rPr>
        <w:t>.</w:t>
      </w:r>
    </w:p>
    <w:p w14:paraId="63520D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«Амур» сопровождал флотилию при движении вверх по реке. Его гидропланы вели разведку и наносили удары по кораблям и береговым позициям китайцев. В частности, 30 октября они пресекли попытку загородить фарватер затоплением барж с камнем. Летчики потопили один пароход и баржу, а остальные отогнали вверх по реке. При этом также значительные повреждения получила канонерка «</w:t>
      </w:r>
      <w:proofErr w:type="spellStart"/>
      <w:r w:rsidRPr="00A259BD">
        <w:rPr>
          <w:rFonts w:ascii="Times New Roman" w:hAnsi="Times New Roman"/>
          <w:color w:val="000000" w:themeColor="text1"/>
          <w:sz w:val="16"/>
          <w:szCs w:val="16"/>
        </w:rPr>
        <w:t>Кианг-Хын</w:t>
      </w:r>
      <w:proofErr w:type="spellEnd"/>
      <w:r w:rsidRPr="00A259BD">
        <w:rPr>
          <w:rFonts w:ascii="Times New Roman" w:hAnsi="Times New Roman"/>
          <w:color w:val="000000" w:themeColor="text1"/>
          <w:sz w:val="16"/>
          <w:szCs w:val="16"/>
        </w:rPr>
        <w:t xml:space="preserve">», которая позже затонула на рейде </w:t>
      </w:r>
      <w:proofErr w:type="spellStart"/>
      <w:r w:rsidRPr="00A259BD">
        <w:rPr>
          <w:rFonts w:ascii="Times New Roman" w:hAnsi="Times New Roman"/>
          <w:color w:val="000000" w:themeColor="text1"/>
          <w:sz w:val="16"/>
          <w:szCs w:val="16"/>
        </w:rPr>
        <w:t>Фугдина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Фуцзиня</w:t>
      </w:r>
      <w:proofErr w:type="spellEnd"/>
      <w:r w:rsidRPr="00A259BD">
        <w:rPr>
          <w:rFonts w:ascii="Times New Roman" w:hAnsi="Times New Roman"/>
          <w:color w:val="000000" w:themeColor="text1"/>
          <w:sz w:val="16"/>
          <w:szCs w:val="16"/>
        </w:rPr>
        <w:t xml:space="preserve">). Через оставшийся свободным проход корабли Амурской флотилии с десантом на борту поднялись вверх по реке и при поддержке самолетов взяли </w:t>
      </w:r>
      <w:proofErr w:type="spellStart"/>
      <w:r w:rsidRPr="00A259BD">
        <w:rPr>
          <w:rFonts w:ascii="Times New Roman" w:hAnsi="Times New Roman"/>
          <w:color w:val="000000" w:themeColor="text1"/>
          <w:sz w:val="16"/>
          <w:szCs w:val="16"/>
        </w:rPr>
        <w:t>Фугдин</w:t>
      </w:r>
      <w:proofErr w:type="spellEnd"/>
      <w:r w:rsidRPr="00A259BD">
        <w:rPr>
          <w:rFonts w:ascii="Times New Roman" w:hAnsi="Times New Roman"/>
          <w:color w:val="000000" w:themeColor="text1"/>
          <w:sz w:val="16"/>
          <w:szCs w:val="16"/>
        </w:rPr>
        <w:t>.</w:t>
      </w:r>
    </w:p>
    <w:p w14:paraId="5DDA93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запада на восток по трассе КВЖД наносила удар Забайкальская группа войск; в нее входила одна эскадрилья и два авиаотряда (всего 31 Р-1), располагавшиеся на аэродроме Даурия. 17 ноября после налета авиации танки перерезали железную дорогу на участке Манчжурия-</w:t>
      </w:r>
      <w:proofErr w:type="spellStart"/>
      <w:r w:rsidRPr="00A259BD">
        <w:rPr>
          <w:rFonts w:ascii="Times New Roman" w:hAnsi="Times New Roman"/>
          <w:color w:val="000000" w:themeColor="text1"/>
          <w:sz w:val="16"/>
          <w:szCs w:val="16"/>
        </w:rPr>
        <w:t>Джайланор</w:t>
      </w:r>
      <w:proofErr w:type="spellEnd"/>
      <w:r w:rsidRPr="00A259BD">
        <w:rPr>
          <w:rFonts w:ascii="Times New Roman" w:hAnsi="Times New Roman"/>
          <w:color w:val="000000" w:themeColor="text1"/>
          <w:sz w:val="16"/>
          <w:szCs w:val="16"/>
        </w:rPr>
        <w:t>. Кавалерия начала развивать прорыв, авиация бомбила скопления китайцев. В одном случае произошел конфуз: вместо пехоты и кавалерии под бомбы попали стада скота, которые гнали по дороге кочевники-монголы. Оправдываясь, летчики объясняли, что с высоты овцы очень похожи на пехоту в серых шинелях, а коровы и верблюды — на кавалерию.</w:t>
      </w:r>
    </w:p>
    <w:p w14:paraId="2567BA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 </w:t>
      </w:r>
      <w:proofErr w:type="spellStart"/>
      <w:r w:rsidRPr="00A259BD">
        <w:rPr>
          <w:rFonts w:ascii="Times New Roman" w:hAnsi="Times New Roman"/>
          <w:color w:val="000000" w:themeColor="text1"/>
          <w:sz w:val="16"/>
          <w:szCs w:val="16"/>
        </w:rPr>
        <w:t>Джайланором</w:t>
      </w:r>
      <w:proofErr w:type="spellEnd"/>
      <w:r w:rsidRPr="00A259BD">
        <w:rPr>
          <w:rFonts w:ascii="Times New Roman" w:hAnsi="Times New Roman"/>
          <w:color w:val="000000" w:themeColor="text1"/>
          <w:sz w:val="16"/>
          <w:szCs w:val="16"/>
        </w:rPr>
        <w:t xml:space="preserve"> впервые имело место взаимодействие авиации и мотопехоты. Пресекая попытку китайцев вырваться из окружения, летчики сработали как загонщики. Они пулеметным огнем погнали врага на цепь грузовиков АМО с пулеметами, которые окончательно добили противника.</w:t>
      </w:r>
    </w:p>
    <w:p w14:paraId="176922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Одновременно с запада вновь начала наступать Приморская группа войск; она шла на </w:t>
      </w:r>
      <w:proofErr w:type="spellStart"/>
      <w:r w:rsidRPr="00A259BD">
        <w:rPr>
          <w:rFonts w:ascii="Times New Roman" w:hAnsi="Times New Roman"/>
          <w:color w:val="000000" w:themeColor="text1"/>
          <w:sz w:val="16"/>
          <w:szCs w:val="16"/>
        </w:rPr>
        <w:t>Мишаньфу</w:t>
      </w:r>
      <w:proofErr w:type="spellEnd"/>
      <w:r w:rsidRPr="00A259BD">
        <w:rPr>
          <w:rFonts w:ascii="Times New Roman" w:hAnsi="Times New Roman"/>
          <w:color w:val="000000" w:themeColor="text1"/>
          <w:sz w:val="16"/>
          <w:szCs w:val="16"/>
        </w:rPr>
        <w:t xml:space="preserve">. Очень эффективно работала авиация по переправам через реку </w:t>
      </w:r>
      <w:proofErr w:type="spellStart"/>
      <w:r w:rsidRPr="00A259BD">
        <w:rPr>
          <w:rFonts w:ascii="Times New Roman" w:hAnsi="Times New Roman"/>
          <w:color w:val="000000" w:themeColor="text1"/>
          <w:sz w:val="16"/>
          <w:szCs w:val="16"/>
        </w:rPr>
        <w:t>Мурень</w:t>
      </w:r>
      <w:proofErr w:type="spellEnd"/>
      <w:r w:rsidRPr="00A259BD">
        <w:rPr>
          <w:rFonts w:ascii="Times New Roman" w:hAnsi="Times New Roman"/>
          <w:color w:val="000000" w:themeColor="text1"/>
          <w:sz w:val="16"/>
          <w:szCs w:val="16"/>
        </w:rPr>
        <w:t>, по которым отходили китайские войска. Плотные скопления солдат представляли собой отличную цель и для пулеметного огня, и для мелких осколочных бомб. Последние рвались, поражая по пять-восемь человек одновременно.</w:t>
      </w:r>
    </w:p>
    <w:p w14:paraId="376315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Наступление холодов существенно осложнило работу авиации. Уже при 15 градусах мороза приборы на Р-1 начинали «врать», воздушные пузырьки делали невидимой стрелку компаса. При 25 градусах останавливались часы на приборной доске, переставала перематываться пленка в фотоаппарате. Еще раньше замерзала резиновая груша, при помощи которой летнаб спускал затвор фотокамеры; ее для отогрева попросту засовывали в штаны...</w:t>
      </w:r>
    </w:p>
    <w:p w14:paraId="6F44FE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Увеличилось время подготовки самолетов к вылету. На группу из 12-14 машин уходило до двух часов. Воду и масло грели в «гончарках» (обогревателях Гончарова) или полевых кухнях.</w:t>
      </w:r>
    </w:p>
    <w:p w14:paraId="44E05E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Самолеты бомбили вражеские аэродромы, склады, казармы, железнодорожные станции. После капитуляции гарнизона станции Манчжурия летчики искали в степи разбегающихся вражеских солдат и наводили на них красноармейцев.</w:t>
      </w:r>
    </w:p>
    <w:p w14:paraId="6E9B1C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Весь период боевых действий китайская авиация не проявляла большой активности; не было зафиксировано ни одного воздушного боя. Зенитной артиллерии у противника почти не имелось, от атакующих самолетов китайские солдаты отбивались только огнем винтовок и пулеметов.</w:t>
      </w:r>
    </w:p>
    <w:p w14:paraId="4FAA0E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Боевые действия шли до 6 декабря и кончились полной капитуляцией врага. Советская авиация потеряла четыре Р-1 и два МР-1; ни один из них не был сбит китайцами. Три Р-1 сожгли сами экипажи после вынужденных посадок (из них два - по ошибке, на своей территории), один разбился в тренировочном полете. Два МР-1 тоже совершили вынужденные посадки (причем один на поплавках - на суше!). Один из них сожгли сами, второй разбил бронированным бортом монитор «Ленин», снимавший с самолета экипаж.</w:t>
      </w:r>
    </w:p>
    <w:p w14:paraId="49F718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Имелись потери среди летного состава, один экипаж попал в плен к китайцам; его дальнейшая судьба осталась неизвестной.</w:t>
      </w:r>
    </w:p>
    <w:p w14:paraId="276933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Хотя Р-1 состояли на вооружении еще около пяти лет, воевать в рядах ВВС РККА им более не довелось (11923).</w:t>
      </w:r>
    </w:p>
    <w:p w14:paraId="09DFF1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3AA7A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83F17C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2A67E0" w14:textId="77777777" w:rsidR="005C501A" w:rsidRPr="00A259BD" w:rsidRDefault="005C501A"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середине 1929 г. под руководством заместителя главного конструктора А. Я. Щербакова началось создание самолета К-6 для перевозки матриц газет и почты. К-6 был дальнейшим развитием моделей К-4 и К-5. Самолет поднимал от 240 до 400 кг почтовых грузов. Запас горючего в четырех баках позволял до десяти часов находиться в полете. Самолет имел радиостанцию и оборудование для ночных полетов. Испытал К-6 Снегирев 9 августа 1930 г.. Первый полет длился 40 минут и показал неплохие летные качества новой машины. В июне 1931 г. самолет К-6 получил регистрационный номер СССР-99 и начал доставлять из Москвы в Харьков матрицы газеты «Правда», покрывая расстояние за 3 часа 20 минут. Разрабатывалась и бомбардировочная модификация самолёта (23072).</w:t>
      </w:r>
    </w:p>
    <w:p w14:paraId="2CDFC428" w14:textId="77777777" w:rsidR="005C501A" w:rsidRPr="00A259BD" w:rsidRDefault="005C501A" w:rsidP="009236E3">
      <w:pPr>
        <w:shd w:val="clear" w:color="auto" w:fill="FFFFFF"/>
        <w:spacing w:after="0" w:line="240" w:lineRule="auto"/>
        <w:jc w:val="both"/>
        <w:rPr>
          <w:rFonts w:ascii="Times New Roman" w:hAnsi="Times New Roman"/>
          <w:color w:val="000000" w:themeColor="text1"/>
          <w:sz w:val="16"/>
          <w:szCs w:val="16"/>
        </w:rPr>
      </w:pPr>
    </w:p>
    <w:p w14:paraId="677FD9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середины 1929 г. на Р-1 ставили только отечественные моторы М-5. Импорт «Либерти» не прекратился, но их теперь переделывали для использования на танках. В марте 1929 г. на М-5 завода № 24 выявили прогорание поршней. Причиной сочли то, что днище поршня у советского двигателя было тоньше, чем у оригинального «Либерти». После этого и у нас стали выпускать поршни с утолщенным днищем (11923).</w:t>
      </w:r>
    </w:p>
    <w:p w14:paraId="2ED643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DA6A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АГОС в середине 1929 выдал АНТ-7 (44, 82).</w:t>
      </w:r>
    </w:p>
    <w:p w14:paraId="1238B4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FCA581" w14:textId="77777777" w:rsidR="00D70FD4" w:rsidRPr="00441F34" w:rsidRDefault="00D70FD4" w:rsidP="00D70FD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середине 1929 года начали летать первые серийные И-4 (23378).</w:t>
      </w:r>
    </w:p>
    <w:p w14:paraId="51660E78" w14:textId="77777777" w:rsidR="00D70FD4" w:rsidRPr="00441F34" w:rsidRDefault="00D70FD4" w:rsidP="00D70FD4">
      <w:pPr>
        <w:spacing w:after="0" w:line="240" w:lineRule="auto"/>
        <w:jc w:val="both"/>
        <w:rPr>
          <w:rFonts w:ascii="Times New Roman" w:hAnsi="Times New Roman"/>
          <w:color w:val="0070C0"/>
          <w:sz w:val="16"/>
          <w:szCs w:val="16"/>
        </w:rPr>
      </w:pPr>
    </w:p>
    <w:p w14:paraId="247CAC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середине 1929 началось строительство К-6 К.А.К. и руководил </w:t>
      </w:r>
      <w:proofErr w:type="spellStart"/>
      <w:r w:rsidRPr="00A259BD">
        <w:rPr>
          <w:rFonts w:ascii="Times New Roman" w:hAnsi="Times New Roman"/>
          <w:color w:val="000000" w:themeColor="text1"/>
          <w:sz w:val="16"/>
          <w:szCs w:val="16"/>
        </w:rPr>
        <w:t>А.Я.Щербаков</w:t>
      </w:r>
      <w:proofErr w:type="spellEnd"/>
      <w:r w:rsidRPr="00A259BD">
        <w:rPr>
          <w:rFonts w:ascii="Times New Roman" w:hAnsi="Times New Roman"/>
          <w:color w:val="000000" w:themeColor="text1"/>
          <w:sz w:val="16"/>
          <w:szCs w:val="16"/>
        </w:rPr>
        <w:t xml:space="preserve"> (70,180).</w:t>
      </w:r>
    </w:p>
    <w:p w14:paraId="5DF5AB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D3FD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середину 1929 г. с середины 1926 Советский Союз приобрел около 5 тыс. </w:t>
      </w:r>
      <w:proofErr w:type="spellStart"/>
      <w:r w:rsidRPr="00A259BD">
        <w:rPr>
          <w:rFonts w:ascii="Times New Roman" w:hAnsi="Times New Roman"/>
          <w:color w:val="000000" w:themeColor="text1"/>
          <w:sz w:val="16"/>
          <w:szCs w:val="16"/>
        </w:rPr>
        <w:t>фордзонов</w:t>
      </w:r>
      <w:proofErr w:type="spellEnd"/>
      <w:r w:rsidRPr="00A259BD">
        <w:rPr>
          <w:rFonts w:ascii="Times New Roman" w:hAnsi="Times New Roman"/>
          <w:color w:val="000000" w:themeColor="text1"/>
          <w:sz w:val="16"/>
          <w:szCs w:val="16"/>
        </w:rPr>
        <w:t xml:space="preserve"> — вчетверо меньше, чем за три предшествовавших года. Перемещение в 1928 г. производства тракторов из Детройта в </w:t>
      </w:r>
      <w:proofErr w:type="spellStart"/>
      <w:r w:rsidRPr="00A259BD">
        <w:rPr>
          <w:rFonts w:ascii="Times New Roman" w:hAnsi="Times New Roman"/>
          <w:color w:val="000000" w:themeColor="text1"/>
          <w:sz w:val="16"/>
          <w:szCs w:val="16"/>
        </w:rPr>
        <w:t>Корк</w:t>
      </w:r>
      <w:proofErr w:type="spellEnd"/>
      <w:r w:rsidRPr="00A259BD">
        <w:rPr>
          <w:rFonts w:ascii="Times New Roman" w:hAnsi="Times New Roman"/>
          <w:color w:val="000000" w:themeColor="text1"/>
          <w:sz w:val="16"/>
          <w:szCs w:val="16"/>
        </w:rPr>
        <w:t xml:space="preserve"> (Ирландия) привело к перебоям в поставках запчастей для уже закупленных СССР машин. Но главной причиной сокращения поставок стали энергичные действия компании Интернэшнл Харвестер, которая вступила в настоящую битву с </w:t>
      </w:r>
      <w:proofErr w:type="spellStart"/>
      <w:r w:rsidRPr="00A259BD">
        <w:rPr>
          <w:rFonts w:ascii="Times New Roman" w:hAnsi="Times New Roman"/>
          <w:color w:val="000000" w:themeColor="text1"/>
          <w:sz w:val="16"/>
          <w:szCs w:val="16"/>
        </w:rPr>
        <w:t>фордзонами</w:t>
      </w:r>
      <w:proofErr w:type="spellEnd"/>
      <w:r w:rsidRPr="00A259BD">
        <w:rPr>
          <w:rFonts w:ascii="Times New Roman" w:hAnsi="Times New Roman"/>
          <w:color w:val="000000" w:themeColor="text1"/>
          <w:sz w:val="16"/>
          <w:szCs w:val="16"/>
        </w:rPr>
        <w:t xml:space="preserve"> на российских полях (11506).</w:t>
      </w:r>
    </w:p>
    <w:p w14:paraId="43A843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937C2EC" w14:textId="77777777" w:rsidR="005D09F4" w:rsidRPr="00A259BD" w:rsidRDefault="005D09F4"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B3D9121" w14:textId="77777777" w:rsidR="005D09F4" w:rsidRPr="00A259BD" w:rsidRDefault="005D09F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3F57E12" w14:textId="77777777" w:rsidR="005D09F4" w:rsidRPr="00A259BD" w:rsidRDefault="005D09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середине 1929 был подготовлен доклад, представ</w:t>
      </w:r>
      <w:r w:rsidRPr="00A259BD">
        <w:rPr>
          <w:rFonts w:ascii="Times New Roman" w:hAnsi="Times New Roman"/>
          <w:color w:val="000000" w:themeColor="text1"/>
          <w:sz w:val="16"/>
          <w:szCs w:val="16"/>
        </w:rPr>
        <w:softHyphen/>
        <w:t>ленный председателем МПС ВСНХ И.Т. Смилгой на секции эко</w:t>
      </w:r>
      <w:r w:rsidRPr="00A259BD">
        <w:rPr>
          <w:rFonts w:ascii="Times New Roman" w:hAnsi="Times New Roman"/>
          <w:color w:val="000000" w:themeColor="text1"/>
          <w:sz w:val="16"/>
          <w:szCs w:val="16"/>
        </w:rPr>
        <w:softHyphen/>
        <w:t>номики войны СО Госплана. Идеи, высказанные Смилгой, повто</w:t>
      </w:r>
      <w:r w:rsidRPr="00A259BD">
        <w:rPr>
          <w:rFonts w:ascii="Times New Roman" w:hAnsi="Times New Roman"/>
          <w:color w:val="000000" w:themeColor="text1"/>
          <w:sz w:val="16"/>
          <w:szCs w:val="16"/>
        </w:rPr>
        <w:softHyphen/>
        <w:t>рялись многими военными, но в нем наиболее концентрированно излагается суть нового подхода.</w:t>
      </w:r>
    </w:p>
    <w:p w14:paraId="5BF265A2" w14:textId="77777777" w:rsidR="005D09F4" w:rsidRPr="00A259BD" w:rsidRDefault="005D09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докладе констатируется грядущая неизбежность войны, ко</w:t>
      </w:r>
      <w:r w:rsidRPr="00A259BD">
        <w:rPr>
          <w:rFonts w:ascii="Times New Roman" w:hAnsi="Times New Roman"/>
          <w:color w:val="000000" w:themeColor="text1"/>
          <w:sz w:val="16"/>
          <w:szCs w:val="16"/>
        </w:rPr>
        <w:softHyphen/>
        <w:t>торая будет войной на полное низвержение противника. Главную роль в ней, не умаляя значения артиллерии, будут играть танки, авиация и военная химия. Это будет война не только армий, но и жизненно важных центров. По-старому воевать будет нельзя.</w:t>
      </w:r>
    </w:p>
    <w:p w14:paraId="7D31E3AC" w14:textId="77777777" w:rsidR="005D09F4" w:rsidRPr="00A259BD" w:rsidRDefault="005D09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сих пор в оборонной стратегии, по мнению автора, есть две концепции. Одна - у Америки, которая хотя и не имеет отдельной военной промышленности, но, как страна экономически наиболее мощная, способна быстро развернуть военное производство путем ассимиляции и кооперирования гражданских производств. Моби</w:t>
      </w:r>
      <w:r w:rsidRPr="00A259BD">
        <w:rPr>
          <w:rFonts w:ascii="Times New Roman" w:hAnsi="Times New Roman"/>
          <w:color w:val="000000" w:themeColor="text1"/>
          <w:sz w:val="16"/>
          <w:szCs w:val="16"/>
        </w:rPr>
        <w:softHyphen/>
        <w:t>лизационный план этой страны рассчитан на быструю перестрой</w:t>
      </w:r>
      <w:r w:rsidRPr="00A259BD">
        <w:rPr>
          <w:rFonts w:ascii="Times New Roman" w:hAnsi="Times New Roman"/>
          <w:color w:val="000000" w:themeColor="text1"/>
          <w:sz w:val="16"/>
          <w:szCs w:val="16"/>
        </w:rPr>
        <w:softHyphen/>
        <w:t>ку хозяйства на нужды войны. Военные заказы рассеиваются по многим предприятиям. Преимущества такого плана очевидны. В мирное время основной капитал страны работает на экономику, чем в результате обеспечивается его относительная дешевизна. Другим странам такой план будет не по силам.</w:t>
      </w:r>
    </w:p>
    <w:p w14:paraId="7DF825EE" w14:textId="77777777" w:rsidR="005D09F4" w:rsidRPr="00A259BD" w:rsidRDefault="005D09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Другой тип военной мобилизации, по мнению автора, в наиболее чистом виде демонстрировала царская Россия. Она ориентировалась на создание специальной мощной военной промышленности и накопление запасов на складах военных ведомств, что было дорого и невыгодно экономически. Япон</w:t>
      </w:r>
      <w:r w:rsidRPr="00A259BD">
        <w:rPr>
          <w:rFonts w:ascii="Times New Roman" w:hAnsi="Times New Roman"/>
          <w:color w:val="000000" w:themeColor="text1"/>
          <w:sz w:val="16"/>
          <w:szCs w:val="16"/>
        </w:rPr>
        <w:softHyphen/>
        <w:t>ская война стала первым предупреждением порочности подоб</w:t>
      </w:r>
      <w:r w:rsidRPr="00A259BD">
        <w:rPr>
          <w:rFonts w:ascii="Times New Roman" w:hAnsi="Times New Roman"/>
          <w:color w:val="000000" w:themeColor="text1"/>
          <w:sz w:val="16"/>
          <w:szCs w:val="16"/>
        </w:rPr>
        <w:softHyphen/>
        <w:t>ной практики. После нее сделано было много, особенно в ар</w:t>
      </w:r>
      <w:r w:rsidRPr="00A259BD">
        <w:rPr>
          <w:rFonts w:ascii="Times New Roman" w:hAnsi="Times New Roman"/>
          <w:color w:val="000000" w:themeColor="text1"/>
          <w:sz w:val="16"/>
          <w:szCs w:val="16"/>
        </w:rPr>
        <w:softHyphen/>
        <w:t>тиллерии, но этого было явно недостаточно. Поэтому мировая война велась по существу теми же методами. Перестройка [154] экономики на военный лад происходила под огнем. Но как бы Россия ни перестраивалась под Америку, у нее бы ничего не вышло, так как ее производительные силы были намного ни</w:t>
      </w:r>
      <w:r w:rsidRPr="00A259BD">
        <w:rPr>
          <w:rFonts w:ascii="Times New Roman" w:hAnsi="Times New Roman"/>
          <w:color w:val="000000" w:themeColor="text1"/>
          <w:sz w:val="16"/>
          <w:szCs w:val="16"/>
        </w:rPr>
        <w:softHyphen/>
        <w:t>же. Каждый завод работал фактически сам по себе. Поэтому при расширении военного производства ничего не оставалось, как по-прежнему идти по пути создания специальных заводов. Делался вывод, что с такой организацией экономики страна сегодня успешно воевать не может.</w:t>
      </w:r>
    </w:p>
    <w:p w14:paraId="33D423C2" w14:textId="77777777" w:rsidR="005D09F4" w:rsidRPr="00A259BD" w:rsidRDefault="005D09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Автор обращал внимание на то, что обслуживание армии в мирное время и военное время не одно и то же. (Автор выде</w:t>
      </w:r>
      <w:r w:rsidRPr="00A259BD">
        <w:rPr>
          <w:rFonts w:ascii="Times New Roman" w:hAnsi="Times New Roman"/>
          <w:color w:val="000000" w:themeColor="text1"/>
          <w:sz w:val="16"/>
          <w:szCs w:val="16"/>
        </w:rPr>
        <w:softHyphen/>
        <w:t>лял время войны - “У”, мирное время - “X”. Обычно делается наоборот: обозначается час “X” — время максимальной опасно</w:t>
      </w:r>
      <w:r w:rsidRPr="00A259BD">
        <w:rPr>
          <w:rFonts w:ascii="Times New Roman" w:hAnsi="Times New Roman"/>
          <w:color w:val="000000" w:themeColor="text1"/>
          <w:sz w:val="16"/>
          <w:szCs w:val="16"/>
        </w:rPr>
        <w:softHyphen/>
        <w:t>сти). Ни одна страна, отмечал Смилга, не нуждается в излиш</w:t>
      </w:r>
      <w:r w:rsidRPr="00A259BD">
        <w:rPr>
          <w:rFonts w:ascii="Times New Roman" w:hAnsi="Times New Roman"/>
          <w:color w:val="000000" w:themeColor="text1"/>
          <w:sz w:val="16"/>
          <w:szCs w:val="16"/>
        </w:rPr>
        <w:softHyphen/>
        <w:t>нем производстве военной продукции в мирное время, поэтому теперь главный упор необходимо делать на развитие мобили</w:t>
      </w:r>
      <w:r w:rsidRPr="00A259BD">
        <w:rPr>
          <w:rFonts w:ascii="Times New Roman" w:hAnsi="Times New Roman"/>
          <w:color w:val="000000" w:themeColor="text1"/>
          <w:sz w:val="16"/>
          <w:szCs w:val="16"/>
        </w:rPr>
        <w:softHyphen/>
        <w:t>зационных мощностей. Царская Россия не могла решить эту проблему. Капитал, вложенный в военное производство, не да</w:t>
      </w:r>
      <w:r w:rsidRPr="00A259BD">
        <w:rPr>
          <w:rFonts w:ascii="Times New Roman" w:hAnsi="Times New Roman"/>
          <w:color w:val="000000" w:themeColor="text1"/>
          <w:sz w:val="16"/>
          <w:szCs w:val="16"/>
        </w:rPr>
        <w:softHyphen/>
        <w:t>вал прибыли, изнашивался, морально устаревал. В Европе на</w:t>
      </w:r>
      <w:r w:rsidRPr="00A259BD">
        <w:rPr>
          <w:rFonts w:ascii="Times New Roman" w:hAnsi="Times New Roman"/>
          <w:color w:val="000000" w:themeColor="text1"/>
          <w:sz w:val="16"/>
          <w:szCs w:val="16"/>
        </w:rPr>
        <w:softHyphen/>
        <w:t>шли некоторые переходные формы в лице таких фирм, как Виккерс Армстронг (Англия), Шнейдер-</w:t>
      </w:r>
      <w:proofErr w:type="spellStart"/>
      <w:r w:rsidRPr="00A259BD">
        <w:rPr>
          <w:rFonts w:ascii="Times New Roman" w:hAnsi="Times New Roman"/>
          <w:color w:val="000000" w:themeColor="text1"/>
          <w:sz w:val="16"/>
          <w:szCs w:val="16"/>
        </w:rPr>
        <w:t>Крезо</w:t>
      </w:r>
      <w:proofErr w:type="spellEnd"/>
      <w:r w:rsidRPr="00A259BD">
        <w:rPr>
          <w:rFonts w:ascii="Times New Roman" w:hAnsi="Times New Roman"/>
          <w:color w:val="000000" w:themeColor="text1"/>
          <w:sz w:val="16"/>
          <w:szCs w:val="16"/>
        </w:rPr>
        <w:t xml:space="preserve"> (Франция), Крупп (Германия), Шкода (Чехословакия), которые пошли по пути обратной ассимиляции и оказались способными произво</w:t>
      </w:r>
      <w:r w:rsidRPr="00A259BD">
        <w:rPr>
          <w:rFonts w:ascii="Times New Roman" w:hAnsi="Times New Roman"/>
          <w:color w:val="000000" w:themeColor="text1"/>
          <w:sz w:val="16"/>
          <w:szCs w:val="16"/>
        </w:rPr>
        <w:softHyphen/>
        <w:t>дить в мирное время огромное количество невоенной продук</w:t>
      </w:r>
      <w:r w:rsidRPr="00A259BD">
        <w:rPr>
          <w:rFonts w:ascii="Times New Roman" w:hAnsi="Times New Roman"/>
          <w:color w:val="000000" w:themeColor="text1"/>
          <w:sz w:val="16"/>
          <w:szCs w:val="16"/>
        </w:rPr>
        <w:softHyphen/>
        <w:t>ции. Омертвление основного капитала на военных заводах бы</w:t>
      </w:r>
      <w:r w:rsidRPr="00A259BD">
        <w:rPr>
          <w:rFonts w:ascii="Times New Roman" w:hAnsi="Times New Roman"/>
          <w:color w:val="000000" w:themeColor="text1"/>
          <w:sz w:val="16"/>
          <w:szCs w:val="16"/>
        </w:rPr>
        <w:softHyphen/>
        <w:t>ло преодолено.</w:t>
      </w:r>
    </w:p>
    <w:p w14:paraId="6C6C8C89" w14:textId="77777777" w:rsidR="005D09F4" w:rsidRPr="00A259BD" w:rsidRDefault="005D09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Нам, писал Смилга, надо делать выводы из исторического опыта. Мы получили в наследство от царской России мощную военную промышленность, и это налагает на нас определен</w:t>
      </w:r>
      <w:r w:rsidRPr="00A259BD">
        <w:rPr>
          <w:rFonts w:ascii="Times New Roman" w:hAnsi="Times New Roman"/>
          <w:color w:val="000000" w:themeColor="text1"/>
          <w:sz w:val="16"/>
          <w:szCs w:val="16"/>
        </w:rPr>
        <w:softHyphen/>
        <w:t>ное бремя. Военная промышленность составляет значитель</w:t>
      </w:r>
      <w:r w:rsidRPr="00A259BD">
        <w:rPr>
          <w:rFonts w:ascii="Times New Roman" w:hAnsi="Times New Roman"/>
          <w:color w:val="000000" w:themeColor="text1"/>
          <w:sz w:val="16"/>
          <w:szCs w:val="16"/>
        </w:rPr>
        <w:softHyphen/>
        <w:t>ный удельный вес в экономике. Ее надо привести в порядок, что должно быть решено в процессе реконструкции военных заводов. Однако, решая задачи индустриализации, нам надо расстаться с идеей погодного наращивания военной промыш</w:t>
      </w:r>
      <w:r w:rsidRPr="00A259BD">
        <w:rPr>
          <w:rFonts w:ascii="Times New Roman" w:hAnsi="Times New Roman"/>
          <w:color w:val="000000" w:themeColor="text1"/>
          <w:sz w:val="16"/>
          <w:szCs w:val="16"/>
        </w:rPr>
        <w:softHyphen/>
        <w:t>ленности и ее мощностей. Это идея вредная. Главное - это пра</w:t>
      </w:r>
      <w:r w:rsidRPr="00A259BD">
        <w:rPr>
          <w:rFonts w:ascii="Times New Roman" w:hAnsi="Times New Roman"/>
          <w:color w:val="000000" w:themeColor="text1"/>
          <w:sz w:val="16"/>
          <w:szCs w:val="16"/>
        </w:rPr>
        <w:softHyphen/>
        <w:t>вильная эксплуатация военных заводов, иначе мы обречены на вечную их реконструкцию. Можно использовать военные за</w:t>
      </w:r>
      <w:r w:rsidRPr="00A259BD">
        <w:rPr>
          <w:rFonts w:ascii="Times New Roman" w:hAnsi="Times New Roman"/>
          <w:color w:val="000000" w:themeColor="text1"/>
          <w:sz w:val="16"/>
          <w:szCs w:val="16"/>
        </w:rPr>
        <w:softHyphen/>
        <w:t>воды для решения задач индустриализации путем широчайшей ассимиляции и кооперирования военных и гражданских произ</w:t>
      </w:r>
      <w:r w:rsidRPr="00A259BD">
        <w:rPr>
          <w:rFonts w:ascii="Times New Roman" w:hAnsi="Times New Roman"/>
          <w:color w:val="000000" w:themeColor="text1"/>
          <w:sz w:val="16"/>
          <w:szCs w:val="16"/>
        </w:rPr>
        <w:softHyphen/>
        <w:t>водств, подготовки и стабилизации кадров, с которыми в стра</w:t>
      </w:r>
      <w:r w:rsidRPr="00A259BD">
        <w:rPr>
          <w:rFonts w:ascii="Times New Roman" w:hAnsi="Times New Roman"/>
          <w:color w:val="000000" w:themeColor="text1"/>
          <w:sz w:val="16"/>
          <w:szCs w:val="16"/>
        </w:rPr>
        <w:softHyphen/>
        <w:t>не существует особое напряжение. Каждое новое предприятие должно знать и помнить о своей оборонной функции. Нельзя допускать конкуренции между мирной и военной промышлен</w:t>
      </w:r>
      <w:r w:rsidRPr="00A259BD">
        <w:rPr>
          <w:rFonts w:ascii="Times New Roman" w:hAnsi="Times New Roman"/>
          <w:color w:val="000000" w:themeColor="text1"/>
          <w:sz w:val="16"/>
          <w:szCs w:val="16"/>
        </w:rPr>
        <w:softHyphen/>
        <w:t xml:space="preserve">ностью. Всегда нужно иметь в виду, что трактор в мирное </w:t>
      </w:r>
      <w:proofErr w:type="spellStart"/>
      <w:r w:rsidRPr="00A259BD">
        <w:rPr>
          <w:rFonts w:ascii="Times New Roman" w:hAnsi="Times New Roman"/>
          <w:color w:val="000000" w:themeColor="text1"/>
          <w:sz w:val="16"/>
          <w:szCs w:val="16"/>
        </w:rPr>
        <w:t>вре</w:t>
      </w:r>
      <w:proofErr w:type="spellEnd"/>
      <w:r w:rsidRPr="00A259BD">
        <w:rPr>
          <w:rFonts w:ascii="Times New Roman" w:hAnsi="Times New Roman"/>
          <w:color w:val="000000" w:themeColor="text1"/>
          <w:sz w:val="16"/>
          <w:szCs w:val="16"/>
        </w:rPr>
        <w:t>[155]</w:t>
      </w:r>
      <w:proofErr w:type="spellStart"/>
      <w:r w:rsidRPr="00A259BD">
        <w:rPr>
          <w:rFonts w:ascii="Times New Roman" w:hAnsi="Times New Roman"/>
          <w:color w:val="000000" w:themeColor="text1"/>
          <w:sz w:val="16"/>
          <w:szCs w:val="16"/>
        </w:rPr>
        <w:t>мя</w:t>
      </w:r>
      <w:proofErr w:type="spellEnd"/>
      <w:r w:rsidRPr="00A259BD">
        <w:rPr>
          <w:rFonts w:ascii="Times New Roman" w:hAnsi="Times New Roman"/>
          <w:color w:val="000000" w:themeColor="text1"/>
          <w:sz w:val="16"/>
          <w:szCs w:val="16"/>
        </w:rPr>
        <w:t xml:space="preserve"> есть танк в случае войны. Постепенно следует переходить от модели царской России к европейской или американской. Тем не менее надо считаться со старым наследием, одновре</w:t>
      </w:r>
      <w:r w:rsidRPr="00A259BD">
        <w:rPr>
          <w:rFonts w:ascii="Times New Roman" w:hAnsi="Times New Roman"/>
          <w:color w:val="000000" w:themeColor="text1"/>
          <w:sz w:val="16"/>
          <w:szCs w:val="16"/>
        </w:rPr>
        <w:softHyphen/>
        <w:t>менно освобождаясь от импортной зависимости. При составле</w:t>
      </w:r>
      <w:r w:rsidRPr="00A259BD">
        <w:rPr>
          <w:rFonts w:ascii="Times New Roman" w:hAnsi="Times New Roman"/>
          <w:color w:val="000000" w:themeColor="text1"/>
          <w:sz w:val="16"/>
          <w:szCs w:val="16"/>
        </w:rPr>
        <w:softHyphen/>
        <w:t xml:space="preserve">нии </w:t>
      </w:r>
      <w:proofErr w:type="spellStart"/>
      <w:r w:rsidRPr="00A259BD">
        <w:rPr>
          <w:rFonts w:ascii="Times New Roman" w:hAnsi="Times New Roman"/>
          <w:color w:val="000000" w:themeColor="text1"/>
          <w:sz w:val="16"/>
          <w:szCs w:val="16"/>
        </w:rPr>
        <w:t>мобпланов</w:t>
      </w:r>
      <w:proofErr w:type="spellEnd"/>
      <w:r w:rsidRPr="00A259BD">
        <w:rPr>
          <w:rFonts w:ascii="Times New Roman" w:hAnsi="Times New Roman"/>
          <w:color w:val="000000" w:themeColor="text1"/>
          <w:sz w:val="16"/>
          <w:szCs w:val="16"/>
        </w:rPr>
        <w:t xml:space="preserve"> не надо делить по степени важности изготовле</w:t>
      </w:r>
      <w:r w:rsidRPr="00A259BD">
        <w:rPr>
          <w:rFonts w:ascii="Times New Roman" w:hAnsi="Times New Roman"/>
          <w:color w:val="000000" w:themeColor="text1"/>
          <w:sz w:val="16"/>
          <w:szCs w:val="16"/>
        </w:rPr>
        <w:softHyphen/>
        <w:t>ние пушек и изготовление портянок. Нужно обратить внима</w:t>
      </w:r>
      <w:r w:rsidRPr="00A259BD">
        <w:rPr>
          <w:rFonts w:ascii="Times New Roman" w:hAnsi="Times New Roman"/>
          <w:color w:val="000000" w:themeColor="text1"/>
          <w:sz w:val="16"/>
          <w:szCs w:val="16"/>
        </w:rPr>
        <w:softHyphen/>
        <w:t>ние на стандартизацию производства, не менять технологию в угоду военным нуждам, всему придавая деловой смысл. На этом пути, указывал автор, нас ждут калейдоскопические тру</w:t>
      </w:r>
      <w:r w:rsidRPr="00A259BD">
        <w:rPr>
          <w:rFonts w:ascii="Times New Roman" w:hAnsi="Times New Roman"/>
          <w:color w:val="000000" w:themeColor="text1"/>
          <w:sz w:val="16"/>
          <w:szCs w:val="16"/>
        </w:rPr>
        <w:softHyphen/>
        <w:t>дности, преодоление правых и левых уклонов в оборонной ра</w:t>
      </w:r>
      <w:r w:rsidRPr="00A259BD">
        <w:rPr>
          <w:rFonts w:ascii="Times New Roman" w:hAnsi="Times New Roman"/>
          <w:color w:val="000000" w:themeColor="text1"/>
          <w:sz w:val="16"/>
          <w:szCs w:val="16"/>
        </w:rPr>
        <w:softHyphen/>
        <w:t>боте. “Мы против самотека, но и против увлечения полевой стратегией - перспективой больших побед и быстрого завер</w:t>
      </w:r>
      <w:r w:rsidRPr="00A259BD">
        <w:rPr>
          <w:rFonts w:ascii="Times New Roman" w:hAnsi="Times New Roman"/>
          <w:color w:val="000000" w:themeColor="text1"/>
          <w:sz w:val="16"/>
          <w:szCs w:val="16"/>
        </w:rPr>
        <w:softHyphen/>
        <w:t>шения войны, против бумажных планов, иначе придется испы</w:t>
      </w:r>
      <w:r w:rsidRPr="00A259BD">
        <w:rPr>
          <w:rFonts w:ascii="Times New Roman" w:hAnsi="Times New Roman"/>
          <w:color w:val="000000" w:themeColor="text1"/>
          <w:sz w:val="16"/>
          <w:szCs w:val="16"/>
        </w:rPr>
        <w:softHyphen/>
        <w:t>тать горькое разочарование” (18393).</w:t>
      </w:r>
    </w:p>
    <w:p w14:paraId="1B58536A" w14:textId="77777777" w:rsidR="005D09F4" w:rsidRPr="00A259BD" w:rsidRDefault="005D09F4" w:rsidP="009236E3">
      <w:pPr>
        <w:spacing w:after="0" w:line="240" w:lineRule="auto"/>
        <w:jc w:val="both"/>
        <w:rPr>
          <w:rFonts w:ascii="Times New Roman" w:hAnsi="Times New Roman"/>
          <w:color w:val="000000" w:themeColor="text1"/>
          <w:sz w:val="16"/>
          <w:szCs w:val="16"/>
        </w:rPr>
      </w:pPr>
    </w:p>
    <w:p w14:paraId="2684D5DD" w14:textId="77777777" w:rsidR="003F505C" w:rsidRPr="00A259BD" w:rsidRDefault="003F505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середине 1929 г. Реввоенсовет СССР разрабатывает рассчитанную на 5 лет систему артиллерийского перевооружения РККА, предусматривающую увеличение огневой мощи, дальнобойности, скорострельности и меткости орудий, создание крупных артиллерийских конструкторских бюро. Закладываются артиллерийские заводы, которые потом позволили организовать производство новых и модернизированных артиллерийских систем и боеприпасов к ним, принимаются меры к подготовке квалифицированных инженеров и техников. С 1928 по 1933 г. мощность артиллерийских заводов возросла более чем в 6 раз, а по малокалиберным орудиям – в 35 раз (18412).</w:t>
      </w:r>
    </w:p>
    <w:p w14:paraId="510D3648" w14:textId="77777777" w:rsidR="003F505C" w:rsidRPr="00A259BD" w:rsidRDefault="003F505C" w:rsidP="009236E3">
      <w:pPr>
        <w:spacing w:after="0" w:line="240" w:lineRule="auto"/>
        <w:jc w:val="both"/>
        <w:rPr>
          <w:rFonts w:ascii="Times New Roman" w:hAnsi="Times New Roman"/>
          <w:color w:val="000000" w:themeColor="text1"/>
          <w:sz w:val="16"/>
          <w:szCs w:val="16"/>
        </w:rPr>
      </w:pPr>
    </w:p>
    <w:p w14:paraId="6FC662F9" w14:textId="77777777" w:rsidR="00BA7E31" w:rsidRPr="00A259BD" w:rsidRDefault="00BA7E31"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К середине 1929 г. стало ясно, что качество наших боевых машин должно было быть подвержено определенной ревизии. Срочно требовались корректировки в объеме выпуска наших </w:t>
      </w:r>
      <w:hyperlink r:id="rId73"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ов и их конструкции (21513).</w:t>
      </w:r>
    </w:p>
    <w:p w14:paraId="28CFCB31" w14:textId="77777777" w:rsidR="00BA7E31" w:rsidRPr="00A259BD" w:rsidRDefault="00BA7E31" w:rsidP="009236E3">
      <w:pPr>
        <w:spacing w:after="0" w:line="240" w:lineRule="auto"/>
        <w:jc w:val="both"/>
        <w:rPr>
          <w:rFonts w:ascii="Times New Roman" w:hAnsi="Times New Roman"/>
          <w:color w:val="000000" w:themeColor="text1"/>
          <w:sz w:val="16"/>
          <w:szCs w:val="16"/>
          <w:bdr w:val="none" w:sz="0" w:space="0" w:color="auto" w:frame="1"/>
        </w:rPr>
      </w:pPr>
    </w:p>
    <w:p w14:paraId="02E84E70" w14:textId="77777777" w:rsidR="003F505C" w:rsidRPr="00A259BD" w:rsidRDefault="003F505C"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2515CFD8" w14:textId="77777777" w:rsidR="003F505C" w:rsidRPr="00A259BD" w:rsidRDefault="003F505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0D34AF1" w14:textId="77777777" w:rsidR="001806EE" w:rsidRPr="00A259BD" w:rsidRDefault="001806EE"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К середине 1929 г. по планам хотели только в Белоруссии сосредоточить 75 самолетов И-4. Первой собирались перевооружить 19-ю эскадрилью, а один самолет вручить командиру 15-й авиабригады. Затем планировали выдать новую технику в 6-ю бригаду в Смоленске и 7-ю в Витебске, укомплектовав ею по одной эскадрилье в каждой. В октябре замыслили перелет пятерки новых истребителей по «сопредельным странам». Самолеты должны были вылететь из Ленинграда и пройти по маршруту Ревель - Рига - Ковно - Варшава - Прага - Вена - Венеция - Рим - Бриндизи - Афины - Константинополь (Стамбул) - Одесса - Киев - Москва.</w:t>
      </w:r>
    </w:p>
    <w:p w14:paraId="54EED63E" w14:textId="77777777" w:rsidR="001806EE" w:rsidRPr="00A259BD" w:rsidRDefault="001806EE"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 xml:space="preserve">Но реально в ВВС РККА к этому времени имелся всего один И-4 (№ 1503) - в Московском военном округе. Эта машина, фактически являвшаяся персональным самолетом начальника ВВС округа, аса Гражданской войны, И.У. Павлова, считалась проходящей эксплуатационные испытания (19100). </w:t>
      </w:r>
    </w:p>
    <w:p w14:paraId="699DE86E" w14:textId="77777777" w:rsidR="001806EE" w:rsidRPr="00A259BD" w:rsidRDefault="001806EE" w:rsidP="009236E3">
      <w:pPr>
        <w:pStyle w:val="a8"/>
        <w:jc w:val="both"/>
        <w:rPr>
          <w:rFonts w:ascii="Times New Roman" w:hAnsi="Times New Roman" w:cs="Times New Roman"/>
          <w:color w:val="000000" w:themeColor="text1"/>
        </w:rPr>
      </w:pPr>
    </w:p>
    <w:p w14:paraId="69EAB0FB"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6B94720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7123E32" w14:textId="77777777" w:rsidR="00452DC0" w:rsidRPr="00A259BD" w:rsidRDefault="00452DC0" w:rsidP="009236E3">
      <w:pPr>
        <w:pStyle w:val="28"/>
        <w:shd w:val="clear" w:color="auto" w:fill="auto"/>
        <w:spacing w:before="0" w:line="240" w:lineRule="auto"/>
        <w:jc w:val="both"/>
        <w:rPr>
          <w:rFonts w:ascii="Times New Roman" w:hAnsi="Times New Roman" w:cs="Times New Roman"/>
          <w:color w:val="000000" w:themeColor="text1"/>
          <w:sz w:val="16"/>
          <w:szCs w:val="16"/>
        </w:rPr>
      </w:pPr>
      <w:r w:rsidRPr="00A259BD">
        <w:rPr>
          <w:rFonts w:ascii="Times New Roman" w:hAnsi="Times New Roman" w:cs="Times New Roman"/>
          <w:color w:val="000000" w:themeColor="text1"/>
          <w:sz w:val="16"/>
          <w:szCs w:val="16"/>
        </w:rPr>
        <w:t>В середине 1929 г. начался вооружённый конфликт на советско-китайской границе, связанный с захва</w:t>
      </w:r>
      <w:r w:rsidRPr="00A259BD">
        <w:rPr>
          <w:rFonts w:ascii="Times New Roman" w:hAnsi="Times New Roman" w:cs="Times New Roman"/>
          <w:color w:val="000000" w:themeColor="text1"/>
          <w:sz w:val="16"/>
          <w:szCs w:val="16"/>
        </w:rPr>
        <w:softHyphen/>
        <w:t>том китайскими войсками Китайско-Восточной же</w:t>
      </w:r>
      <w:r w:rsidRPr="00A259BD">
        <w:rPr>
          <w:rFonts w:ascii="Times New Roman" w:hAnsi="Times New Roman" w:cs="Times New Roman"/>
          <w:color w:val="000000" w:themeColor="text1"/>
          <w:sz w:val="16"/>
          <w:szCs w:val="16"/>
        </w:rPr>
        <w:softHyphen/>
        <w:t>лезной дороги (КВЖД), проходившей по территории Маньчжурии и с конца XIX века находившейся в сов</w:t>
      </w:r>
      <w:r w:rsidRPr="00A259BD">
        <w:rPr>
          <w:rFonts w:ascii="Times New Roman" w:hAnsi="Times New Roman" w:cs="Times New Roman"/>
          <w:color w:val="000000" w:themeColor="text1"/>
          <w:sz w:val="16"/>
          <w:szCs w:val="16"/>
        </w:rPr>
        <w:softHyphen/>
        <w:t>местном управлении России и Китая. Советской разведке было хорошо известно, что в тот период авиационная группировка в Маньчжурии была самой мощной в Китае и достигала 180-190 достато</w:t>
      </w:r>
      <w:r w:rsidRPr="00A259BD">
        <w:rPr>
          <w:rFonts w:ascii="Times New Roman" w:hAnsi="Times New Roman" w:cs="Times New Roman"/>
          <w:color w:val="000000" w:themeColor="text1"/>
          <w:sz w:val="16"/>
          <w:szCs w:val="16"/>
        </w:rPr>
        <w:softHyphen/>
        <w:t>чно современных боевых самолетов различных типов, в их числе истребители «Фоккер», легкие бомбарди</w:t>
      </w:r>
      <w:r w:rsidRPr="00A259BD">
        <w:rPr>
          <w:rFonts w:ascii="Times New Roman" w:hAnsi="Times New Roman" w:cs="Times New Roman"/>
          <w:color w:val="000000" w:themeColor="text1"/>
          <w:sz w:val="16"/>
          <w:szCs w:val="16"/>
        </w:rPr>
        <w:softHyphen/>
        <w:t>ровщики и разведчики Бреге-14, -19, Потез-25, Юн</w:t>
      </w:r>
      <w:r w:rsidRPr="00A259BD">
        <w:rPr>
          <w:rFonts w:ascii="Times New Roman" w:hAnsi="Times New Roman" w:cs="Times New Roman"/>
          <w:color w:val="000000" w:themeColor="text1"/>
          <w:sz w:val="16"/>
          <w:szCs w:val="16"/>
        </w:rPr>
        <w:softHyphen/>
        <w:t xml:space="preserve">кере </w:t>
      </w:r>
      <w:r w:rsidRPr="00A259BD">
        <w:rPr>
          <w:rFonts w:ascii="Times New Roman" w:hAnsi="Times New Roman" w:cs="Times New Roman"/>
          <w:color w:val="000000" w:themeColor="text1"/>
          <w:sz w:val="16"/>
          <w:szCs w:val="16"/>
          <w:lang w:val="en-US"/>
        </w:rPr>
        <w:t>Ju</w:t>
      </w:r>
      <w:r w:rsidRPr="00A259BD">
        <w:rPr>
          <w:rFonts w:ascii="Times New Roman" w:hAnsi="Times New Roman" w:cs="Times New Roman"/>
          <w:color w:val="000000" w:themeColor="text1"/>
          <w:sz w:val="16"/>
          <w:szCs w:val="16"/>
        </w:rPr>
        <w:t>20/35. и им подобные (значительная часть авиапарка требовала ремонта). В тот период на севе</w:t>
      </w:r>
      <w:r w:rsidRPr="00A259BD">
        <w:rPr>
          <w:rFonts w:ascii="Times New Roman" w:hAnsi="Times New Roman" w:cs="Times New Roman"/>
          <w:color w:val="000000" w:themeColor="text1"/>
          <w:sz w:val="16"/>
          <w:szCs w:val="16"/>
        </w:rPr>
        <w:softHyphen/>
        <w:t xml:space="preserve">ре Китая не прекращались </w:t>
      </w:r>
      <w:proofErr w:type="spellStart"/>
      <w:r w:rsidRPr="00A259BD">
        <w:rPr>
          <w:rFonts w:ascii="Times New Roman" w:hAnsi="Times New Roman" w:cs="Times New Roman"/>
          <w:color w:val="000000" w:themeColor="text1"/>
          <w:sz w:val="16"/>
          <w:szCs w:val="16"/>
        </w:rPr>
        <w:t>междуусобные</w:t>
      </w:r>
      <w:proofErr w:type="spellEnd"/>
      <w:r w:rsidRPr="00A259BD">
        <w:rPr>
          <w:rFonts w:ascii="Times New Roman" w:hAnsi="Times New Roman" w:cs="Times New Roman"/>
          <w:color w:val="000000" w:themeColor="text1"/>
          <w:sz w:val="16"/>
          <w:szCs w:val="16"/>
        </w:rPr>
        <w:t xml:space="preserve"> войны с ак</w:t>
      </w:r>
      <w:r w:rsidRPr="00A259BD">
        <w:rPr>
          <w:rFonts w:ascii="Times New Roman" w:hAnsi="Times New Roman" w:cs="Times New Roman"/>
          <w:color w:val="000000" w:themeColor="text1"/>
          <w:sz w:val="16"/>
          <w:szCs w:val="16"/>
        </w:rPr>
        <w:softHyphen/>
        <w:t>тивным применением авиации, которая нередко и определяла исход конкретного сражения. Командовав</w:t>
      </w:r>
      <w:r w:rsidRPr="00A259BD">
        <w:rPr>
          <w:rFonts w:ascii="Times New Roman" w:hAnsi="Times New Roman" w:cs="Times New Roman"/>
          <w:color w:val="000000" w:themeColor="text1"/>
          <w:sz w:val="16"/>
          <w:szCs w:val="16"/>
        </w:rPr>
        <w:softHyphen/>
        <w:t xml:space="preserve">ший ВВС Маньчжурии Чжан </w:t>
      </w:r>
      <w:proofErr w:type="spellStart"/>
      <w:r w:rsidRPr="00A259BD">
        <w:rPr>
          <w:rFonts w:ascii="Times New Roman" w:hAnsi="Times New Roman" w:cs="Times New Roman"/>
          <w:color w:val="000000" w:themeColor="text1"/>
          <w:sz w:val="16"/>
          <w:szCs w:val="16"/>
        </w:rPr>
        <w:t>Сюэлян</w:t>
      </w:r>
      <w:proofErr w:type="spellEnd"/>
      <w:r w:rsidRPr="00A259BD">
        <w:rPr>
          <w:rFonts w:ascii="Times New Roman" w:hAnsi="Times New Roman" w:cs="Times New Roman"/>
          <w:color w:val="000000" w:themeColor="text1"/>
          <w:sz w:val="16"/>
          <w:szCs w:val="16"/>
        </w:rPr>
        <w:t xml:space="preserve"> (сын годом ранее погибшего в результате диверсии диктатора Чжан</w:t>
      </w:r>
      <w:r w:rsidRPr="00A259BD">
        <w:rPr>
          <w:rStyle w:val="15MSReferenceSansSerif1"/>
          <w:rFonts w:ascii="Times New Roman" w:hAnsi="Times New Roman" w:cs="Times New Roman"/>
          <w:iCs/>
          <w:color w:val="000000" w:themeColor="text1"/>
          <w:sz w:val="16"/>
          <w:szCs w:val="16"/>
        </w:rPr>
        <w:t xml:space="preserve"> -</w:t>
      </w:r>
      <w:r w:rsidRPr="00A259BD">
        <w:rPr>
          <w:rFonts w:ascii="Times New Roman" w:hAnsi="Times New Roman" w:cs="Times New Roman"/>
          <w:color w:val="000000" w:themeColor="text1"/>
          <w:sz w:val="16"/>
          <w:szCs w:val="16"/>
        </w:rPr>
        <w:t xml:space="preserve"> </w:t>
      </w:r>
      <w:proofErr w:type="spellStart"/>
      <w:r w:rsidRPr="00A259BD">
        <w:rPr>
          <w:rFonts w:ascii="Times New Roman" w:hAnsi="Times New Roman" w:cs="Times New Roman"/>
          <w:color w:val="000000" w:themeColor="text1"/>
          <w:sz w:val="16"/>
          <w:szCs w:val="16"/>
        </w:rPr>
        <w:t>Цзолиня</w:t>
      </w:r>
      <w:proofErr w:type="spellEnd"/>
      <w:r w:rsidRPr="00A259BD">
        <w:rPr>
          <w:rFonts w:ascii="Times New Roman" w:hAnsi="Times New Roman" w:cs="Times New Roman"/>
          <w:color w:val="000000" w:themeColor="text1"/>
          <w:sz w:val="16"/>
          <w:szCs w:val="16"/>
        </w:rPr>
        <w:t>) тратил много сил и средств на развитие боевой авиации, и в 1929 г. получил прекрасную возможность проверить свои силы в воздушных сражениях, причем не с конкурирующими «милитаристами» из соседних провинций, а с советскими самолётами (15820).</w:t>
      </w:r>
    </w:p>
    <w:p w14:paraId="51E8DC6E" w14:textId="77777777" w:rsidR="00452DC0" w:rsidRPr="00A259BD" w:rsidRDefault="00452DC0" w:rsidP="009236E3">
      <w:pPr>
        <w:pStyle w:val="a3"/>
        <w:rPr>
          <w:color w:val="000000" w:themeColor="text1"/>
          <w:lang w:val="ru-RU"/>
        </w:rPr>
      </w:pPr>
    </w:p>
    <w:p w14:paraId="38E7AFD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середине 1929 г. начался воору</w:t>
      </w:r>
      <w:r w:rsidRPr="00A259BD">
        <w:rPr>
          <w:rFonts w:ascii="Times New Roman" w:hAnsi="Times New Roman"/>
          <w:color w:val="000000" w:themeColor="text1"/>
          <w:sz w:val="16"/>
          <w:szCs w:val="16"/>
        </w:rPr>
        <w:softHyphen/>
        <w:t>женный конфликт на советско-китай</w:t>
      </w:r>
      <w:r w:rsidRPr="00A259BD">
        <w:rPr>
          <w:rFonts w:ascii="Times New Roman" w:hAnsi="Times New Roman"/>
          <w:color w:val="000000" w:themeColor="text1"/>
          <w:sz w:val="16"/>
          <w:szCs w:val="16"/>
        </w:rPr>
        <w:softHyphen/>
        <w:t>ской границе, связанный с захватом китайскими войсками Китайско-</w:t>
      </w:r>
      <w:proofErr w:type="spellStart"/>
      <w:r w:rsidRPr="00A259BD">
        <w:rPr>
          <w:rFonts w:ascii="Times New Roman" w:hAnsi="Times New Roman"/>
          <w:color w:val="000000" w:themeColor="text1"/>
          <w:sz w:val="16"/>
          <w:szCs w:val="16"/>
        </w:rPr>
        <w:t>вос</w:t>
      </w:r>
      <w:proofErr w:type="spellEnd"/>
      <w:r w:rsidRPr="00A259BD">
        <w:rPr>
          <w:rFonts w:ascii="Times New Roman" w:hAnsi="Times New Roman"/>
          <w:color w:val="000000" w:themeColor="text1"/>
          <w:sz w:val="16"/>
          <w:szCs w:val="16"/>
        </w:rPr>
        <w:t>-точной железной дороги (КВЖД), про</w:t>
      </w:r>
      <w:r w:rsidRPr="00A259BD">
        <w:rPr>
          <w:rFonts w:ascii="Times New Roman" w:hAnsi="Times New Roman"/>
          <w:color w:val="000000" w:themeColor="text1"/>
          <w:sz w:val="16"/>
          <w:szCs w:val="16"/>
        </w:rPr>
        <w:softHyphen/>
        <w:t>ходившей по территории Маньчжурии и с конца XIX века находившейся в со</w:t>
      </w:r>
      <w:r w:rsidRPr="00A259BD">
        <w:rPr>
          <w:rFonts w:ascii="Times New Roman" w:hAnsi="Times New Roman"/>
          <w:color w:val="000000" w:themeColor="text1"/>
          <w:sz w:val="16"/>
          <w:szCs w:val="16"/>
        </w:rPr>
        <w:softHyphen/>
        <w:t>вместном управлении России и Китая. История боевых действий наземных подразделений Отдельной Краснозна</w:t>
      </w:r>
      <w:r w:rsidRPr="00A259BD">
        <w:rPr>
          <w:rFonts w:ascii="Times New Roman" w:hAnsi="Times New Roman"/>
          <w:color w:val="000000" w:themeColor="text1"/>
          <w:sz w:val="16"/>
          <w:szCs w:val="16"/>
        </w:rPr>
        <w:softHyphen/>
        <w:t>менной Дальневосточной армии (ОК-ДВА) при поддержке авиачастей хоро</w:t>
      </w:r>
      <w:r w:rsidRPr="00A259BD">
        <w:rPr>
          <w:rFonts w:ascii="Times New Roman" w:hAnsi="Times New Roman"/>
          <w:color w:val="000000" w:themeColor="text1"/>
          <w:sz w:val="16"/>
          <w:szCs w:val="16"/>
        </w:rPr>
        <w:softHyphen/>
        <w:t xml:space="preserve">шо известна и подробно описана. Советской разведке </w:t>
      </w:r>
      <w:r w:rsidRPr="00A259BD">
        <w:rPr>
          <w:rFonts w:ascii="Times New Roman" w:hAnsi="Times New Roman"/>
          <w:color w:val="000000" w:themeColor="text1"/>
          <w:sz w:val="16"/>
          <w:szCs w:val="16"/>
        </w:rPr>
        <w:lastRenderedPageBreak/>
        <w:t>было хорошо известно, что в тот период авиацион</w:t>
      </w:r>
      <w:r w:rsidRPr="00A259BD">
        <w:rPr>
          <w:rFonts w:ascii="Times New Roman" w:hAnsi="Times New Roman"/>
          <w:color w:val="000000" w:themeColor="text1"/>
          <w:sz w:val="16"/>
          <w:szCs w:val="16"/>
        </w:rPr>
        <w:softHyphen/>
        <w:t>ная группировка в Маньчжурии была самой мощной в Китае и достигала 180-190 достаточно современных боевых самолетов различных типов, в их чис</w:t>
      </w:r>
      <w:r w:rsidRPr="00A259BD">
        <w:rPr>
          <w:rFonts w:ascii="Times New Roman" w:hAnsi="Times New Roman"/>
          <w:color w:val="000000" w:themeColor="text1"/>
          <w:sz w:val="16"/>
          <w:szCs w:val="16"/>
        </w:rPr>
        <w:softHyphen/>
        <w:t>ле истребители “Фоккер”, легкие бом</w:t>
      </w:r>
      <w:r w:rsidRPr="00A259BD">
        <w:rPr>
          <w:rFonts w:ascii="Times New Roman" w:hAnsi="Times New Roman"/>
          <w:color w:val="000000" w:themeColor="text1"/>
          <w:sz w:val="16"/>
          <w:szCs w:val="16"/>
        </w:rPr>
        <w:softHyphen/>
        <w:t>бардировщики и разведчики Бреге-14,-19, Потез-25, Юнкере Зи20/35 и им подобные (значительная часть авиа</w:t>
      </w:r>
      <w:r w:rsidRPr="00A259BD">
        <w:rPr>
          <w:rFonts w:ascii="Times New Roman" w:hAnsi="Times New Roman"/>
          <w:color w:val="000000" w:themeColor="text1"/>
          <w:sz w:val="16"/>
          <w:szCs w:val="16"/>
        </w:rPr>
        <w:softHyphen/>
        <w:t>парка требовала ремонта). В тот пе</w:t>
      </w:r>
      <w:r w:rsidRPr="00A259BD">
        <w:rPr>
          <w:rFonts w:ascii="Times New Roman" w:hAnsi="Times New Roman"/>
          <w:color w:val="000000" w:themeColor="text1"/>
          <w:sz w:val="16"/>
          <w:szCs w:val="16"/>
        </w:rPr>
        <w:softHyphen/>
        <w:t>риод на севере Китая не прекращались междоусобные войны с активным при</w:t>
      </w:r>
      <w:r w:rsidRPr="00A259BD">
        <w:rPr>
          <w:rFonts w:ascii="Times New Roman" w:hAnsi="Times New Roman"/>
          <w:color w:val="000000" w:themeColor="text1"/>
          <w:sz w:val="16"/>
          <w:szCs w:val="16"/>
        </w:rPr>
        <w:softHyphen/>
        <w:t>менением авиации, которая неред</w:t>
      </w:r>
      <w:r w:rsidRPr="00A259BD">
        <w:rPr>
          <w:rFonts w:ascii="Times New Roman" w:hAnsi="Times New Roman"/>
          <w:color w:val="000000" w:themeColor="text1"/>
          <w:sz w:val="16"/>
          <w:szCs w:val="16"/>
        </w:rPr>
        <w:softHyphen/>
        <w:t>ко и определяла исход конкретного сражения. Командовавший ВВС Мань</w:t>
      </w:r>
      <w:r w:rsidRPr="00A259BD">
        <w:rPr>
          <w:rFonts w:ascii="Times New Roman" w:hAnsi="Times New Roman"/>
          <w:color w:val="000000" w:themeColor="text1"/>
          <w:sz w:val="16"/>
          <w:szCs w:val="16"/>
        </w:rPr>
        <w:softHyphen/>
        <w:t xml:space="preserve">чжурии Чжан </w:t>
      </w:r>
      <w:proofErr w:type="spellStart"/>
      <w:r w:rsidRPr="00A259BD">
        <w:rPr>
          <w:rFonts w:ascii="Times New Roman" w:hAnsi="Times New Roman"/>
          <w:color w:val="000000" w:themeColor="text1"/>
          <w:sz w:val="16"/>
          <w:szCs w:val="16"/>
        </w:rPr>
        <w:t>Сюэлян</w:t>
      </w:r>
      <w:proofErr w:type="spellEnd"/>
      <w:r w:rsidRPr="00A259BD">
        <w:rPr>
          <w:rFonts w:ascii="Times New Roman" w:hAnsi="Times New Roman"/>
          <w:color w:val="000000" w:themeColor="text1"/>
          <w:sz w:val="16"/>
          <w:szCs w:val="16"/>
        </w:rPr>
        <w:t xml:space="preserve"> (сын годом ра</w:t>
      </w:r>
      <w:r w:rsidRPr="00A259BD">
        <w:rPr>
          <w:rFonts w:ascii="Times New Roman" w:hAnsi="Times New Roman"/>
          <w:color w:val="000000" w:themeColor="text1"/>
          <w:sz w:val="16"/>
          <w:szCs w:val="16"/>
        </w:rPr>
        <w:softHyphen/>
        <w:t xml:space="preserve">нее погибшего в результате диверсии диктатора Чжан </w:t>
      </w:r>
      <w:proofErr w:type="spellStart"/>
      <w:r w:rsidRPr="00A259BD">
        <w:rPr>
          <w:rFonts w:ascii="Times New Roman" w:hAnsi="Times New Roman"/>
          <w:color w:val="000000" w:themeColor="text1"/>
          <w:sz w:val="16"/>
          <w:szCs w:val="16"/>
        </w:rPr>
        <w:t>Цзолиня</w:t>
      </w:r>
      <w:proofErr w:type="spellEnd"/>
      <w:r w:rsidRPr="00A259BD">
        <w:rPr>
          <w:rFonts w:ascii="Times New Roman" w:hAnsi="Times New Roman"/>
          <w:color w:val="000000" w:themeColor="text1"/>
          <w:sz w:val="16"/>
          <w:szCs w:val="16"/>
        </w:rPr>
        <w:t>) тратил мно</w:t>
      </w:r>
      <w:r w:rsidRPr="00A259BD">
        <w:rPr>
          <w:rFonts w:ascii="Times New Roman" w:hAnsi="Times New Roman"/>
          <w:color w:val="000000" w:themeColor="text1"/>
          <w:sz w:val="16"/>
          <w:szCs w:val="16"/>
        </w:rPr>
        <w:softHyphen/>
        <w:t>го сил и средств на развитие боевой авиации и в 1929 г. получил прекрас</w:t>
      </w:r>
      <w:r w:rsidRPr="00A259BD">
        <w:rPr>
          <w:rFonts w:ascii="Times New Roman" w:hAnsi="Times New Roman"/>
          <w:color w:val="000000" w:themeColor="text1"/>
          <w:sz w:val="16"/>
          <w:szCs w:val="16"/>
        </w:rPr>
        <w:softHyphen/>
        <w:t>ную возможность проверить свои силы в воздушных сражениях, причем не с конкурирующими “милитариста</w:t>
      </w:r>
      <w:r w:rsidRPr="00A259BD">
        <w:rPr>
          <w:rFonts w:ascii="Times New Roman" w:hAnsi="Times New Roman"/>
          <w:color w:val="000000" w:themeColor="text1"/>
          <w:sz w:val="16"/>
          <w:szCs w:val="16"/>
        </w:rPr>
        <w:softHyphen/>
        <w:t>ми” из соседних провинций, а с совет</w:t>
      </w:r>
      <w:r w:rsidRPr="00A259BD">
        <w:rPr>
          <w:rFonts w:ascii="Times New Roman" w:hAnsi="Times New Roman"/>
          <w:color w:val="000000" w:themeColor="text1"/>
          <w:sz w:val="16"/>
          <w:szCs w:val="16"/>
        </w:rPr>
        <w:softHyphen/>
        <w:t>скими самолетами.</w:t>
      </w:r>
    </w:p>
    <w:p w14:paraId="2B51AC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Однако ни в одном из источников не отмечено появление в воздухе ки</w:t>
      </w:r>
      <w:r w:rsidRPr="00A259BD">
        <w:rPr>
          <w:rFonts w:ascii="Times New Roman" w:hAnsi="Times New Roman"/>
          <w:color w:val="000000" w:themeColor="text1"/>
          <w:sz w:val="16"/>
          <w:szCs w:val="16"/>
        </w:rPr>
        <w:softHyphen/>
        <w:t>тайских самолетов, не говоря уже о каких-либо столкновениях в воздухе. Так участвовала ли в том конфликте боевая авиация Китая? Ответить на этот вопрос удалось лишь совсем недавно, обнаружив в РГВА оперативные и разведсводки, ежедневно посылаемые в Разведуправление (РУ) РККА. Они дают возможность понять, как действовала авиация с обеих сторон.</w:t>
      </w:r>
    </w:p>
    <w:p w14:paraId="7756DC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конца XIX века в Маньчжурии проживало немало русских, многие из них работали на КВЖД. В 1920-е годы русская диаспора в регионе выросла по сравнению с дореволюционной численностью в несколько раз, в ос</w:t>
      </w:r>
      <w:r w:rsidRPr="00A259BD">
        <w:rPr>
          <w:rFonts w:ascii="Times New Roman" w:hAnsi="Times New Roman"/>
          <w:color w:val="000000" w:themeColor="text1"/>
          <w:sz w:val="16"/>
          <w:szCs w:val="16"/>
        </w:rPr>
        <w:softHyphen/>
        <w:t>новном, за счет личного состава ос</w:t>
      </w:r>
      <w:r w:rsidRPr="00A259BD">
        <w:rPr>
          <w:rFonts w:ascii="Times New Roman" w:hAnsi="Times New Roman"/>
          <w:color w:val="000000" w:themeColor="text1"/>
          <w:sz w:val="16"/>
          <w:szCs w:val="16"/>
        </w:rPr>
        <w:softHyphen/>
        <w:t>татков белых армий. В одном из глав</w:t>
      </w:r>
      <w:r w:rsidRPr="00A259BD">
        <w:rPr>
          <w:rFonts w:ascii="Times New Roman" w:hAnsi="Times New Roman"/>
          <w:color w:val="000000" w:themeColor="text1"/>
          <w:sz w:val="16"/>
          <w:szCs w:val="16"/>
        </w:rPr>
        <w:softHyphen/>
        <w:t>ных городов, Харбине, в 1916 г. про</w:t>
      </w:r>
      <w:r w:rsidRPr="00A259BD">
        <w:rPr>
          <w:rFonts w:ascii="Times New Roman" w:hAnsi="Times New Roman"/>
          <w:color w:val="000000" w:themeColor="text1"/>
          <w:sz w:val="16"/>
          <w:szCs w:val="16"/>
        </w:rPr>
        <w:softHyphen/>
        <w:t xml:space="preserve">живало 34200 русских, а </w:t>
      </w:r>
      <w:r w:rsidRPr="00A259BD">
        <w:rPr>
          <w:rFonts w:ascii="Times New Roman" w:hAnsi="Times New Roman"/>
          <w:iCs/>
          <w:color w:val="000000" w:themeColor="text1"/>
          <w:sz w:val="16"/>
          <w:szCs w:val="16"/>
        </w:rPr>
        <w:t xml:space="preserve">в </w:t>
      </w:r>
      <w:r w:rsidRPr="00A259BD">
        <w:rPr>
          <w:rFonts w:ascii="Times New Roman" w:hAnsi="Times New Roman"/>
          <w:color w:val="000000" w:themeColor="text1"/>
          <w:sz w:val="16"/>
          <w:szCs w:val="16"/>
        </w:rPr>
        <w:t>1922 г. -уже 120 тыс., до 25% от всего городс</w:t>
      </w:r>
      <w:r w:rsidRPr="00A259BD">
        <w:rPr>
          <w:rFonts w:ascii="Times New Roman" w:hAnsi="Times New Roman"/>
          <w:color w:val="000000" w:themeColor="text1"/>
          <w:sz w:val="16"/>
          <w:szCs w:val="16"/>
        </w:rPr>
        <w:softHyphen/>
        <w:t>кого населения. Под сильным влияни</w:t>
      </w:r>
      <w:r w:rsidRPr="00A259BD">
        <w:rPr>
          <w:rFonts w:ascii="Times New Roman" w:hAnsi="Times New Roman"/>
          <w:color w:val="000000" w:themeColor="text1"/>
          <w:sz w:val="16"/>
          <w:szCs w:val="16"/>
        </w:rPr>
        <w:softHyphen/>
        <w:t>ем (и нажимом) белоэмигрантов ки</w:t>
      </w:r>
      <w:r w:rsidRPr="00A259BD">
        <w:rPr>
          <w:rFonts w:ascii="Times New Roman" w:hAnsi="Times New Roman"/>
          <w:color w:val="000000" w:themeColor="text1"/>
          <w:sz w:val="16"/>
          <w:szCs w:val="16"/>
        </w:rPr>
        <w:softHyphen/>
        <w:t>тайские власти начали преследовать советских граждан - сотрудников КВЖД. 27 мая 1929 г. в Харбине про</w:t>
      </w:r>
      <w:r w:rsidRPr="00A259BD">
        <w:rPr>
          <w:rFonts w:ascii="Times New Roman" w:hAnsi="Times New Roman"/>
          <w:color w:val="000000" w:themeColor="text1"/>
          <w:sz w:val="16"/>
          <w:szCs w:val="16"/>
        </w:rPr>
        <w:softHyphen/>
        <w:t>извели обыск в советском консульстве и арестовали 39 советских граждан, а некоторых даже убили. Президент Ки</w:t>
      </w:r>
      <w:r w:rsidRPr="00A259BD">
        <w:rPr>
          <w:rFonts w:ascii="Times New Roman" w:hAnsi="Times New Roman"/>
          <w:color w:val="000000" w:themeColor="text1"/>
          <w:sz w:val="16"/>
          <w:szCs w:val="16"/>
        </w:rPr>
        <w:softHyphen/>
        <w:t>тая Чан Кайши лично прибыл в Пекин и отдал приказ о передислокации ки</w:t>
      </w:r>
      <w:r w:rsidRPr="00A259BD">
        <w:rPr>
          <w:rFonts w:ascii="Times New Roman" w:hAnsi="Times New Roman"/>
          <w:color w:val="000000" w:themeColor="text1"/>
          <w:sz w:val="16"/>
          <w:szCs w:val="16"/>
        </w:rPr>
        <w:softHyphen/>
        <w:t>тайских войск на границу для подго</w:t>
      </w:r>
      <w:r w:rsidRPr="00A259BD">
        <w:rPr>
          <w:rFonts w:ascii="Times New Roman" w:hAnsi="Times New Roman"/>
          <w:color w:val="000000" w:themeColor="text1"/>
          <w:sz w:val="16"/>
          <w:szCs w:val="16"/>
        </w:rPr>
        <w:softHyphen/>
        <w:t>товки к войне. Еще до начала воору</w:t>
      </w:r>
      <w:r w:rsidRPr="00A259BD">
        <w:rPr>
          <w:rFonts w:ascii="Times New Roman" w:hAnsi="Times New Roman"/>
          <w:color w:val="000000" w:themeColor="text1"/>
          <w:sz w:val="16"/>
          <w:szCs w:val="16"/>
        </w:rPr>
        <w:softHyphen/>
        <w:t>женного конфликта некий пилот-лю</w:t>
      </w:r>
      <w:r w:rsidRPr="00A259BD">
        <w:rPr>
          <w:rFonts w:ascii="Times New Roman" w:hAnsi="Times New Roman"/>
          <w:color w:val="000000" w:themeColor="text1"/>
          <w:sz w:val="16"/>
          <w:szCs w:val="16"/>
        </w:rPr>
        <w:softHyphen/>
        <w:t xml:space="preserve">битель Фэн Юн, состоящий в “особых отношениях” с Чжан </w:t>
      </w:r>
      <w:proofErr w:type="spellStart"/>
      <w:r w:rsidRPr="00A259BD">
        <w:rPr>
          <w:rFonts w:ascii="Times New Roman" w:hAnsi="Times New Roman"/>
          <w:color w:val="000000" w:themeColor="text1"/>
          <w:sz w:val="16"/>
          <w:szCs w:val="16"/>
        </w:rPr>
        <w:t>Сюэляном</w:t>
      </w:r>
      <w:proofErr w:type="spellEnd"/>
      <w:r w:rsidRPr="00A259BD">
        <w:rPr>
          <w:rFonts w:ascii="Times New Roman" w:hAnsi="Times New Roman"/>
          <w:color w:val="000000" w:themeColor="text1"/>
          <w:sz w:val="16"/>
          <w:szCs w:val="16"/>
        </w:rPr>
        <w:t xml:space="preserve"> (види</w:t>
      </w:r>
      <w:r w:rsidRPr="00A259BD">
        <w:rPr>
          <w:rFonts w:ascii="Times New Roman" w:hAnsi="Times New Roman"/>
          <w:color w:val="000000" w:themeColor="text1"/>
          <w:sz w:val="16"/>
          <w:szCs w:val="16"/>
        </w:rPr>
        <w:softHyphen/>
        <w:t>мо, приятель), на своем самолете од</w:t>
      </w:r>
      <w:r w:rsidRPr="00A259BD">
        <w:rPr>
          <w:rFonts w:ascii="Times New Roman" w:hAnsi="Times New Roman"/>
          <w:color w:val="000000" w:themeColor="text1"/>
          <w:sz w:val="16"/>
          <w:szCs w:val="16"/>
        </w:rPr>
        <w:softHyphen/>
        <w:t>нажды слетал в район советско-китай</w:t>
      </w:r>
      <w:r w:rsidRPr="00A259BD">
        <w:rPr>
          <w:rFonts w:ascii="Times New Roman" w:hAnsi="Times New Roman"/>
          <w:color w:val="000000" w:themeColor="text1"/>
          <w:sz w:val="16"/>
          <w:szCs w:val="16"/>
        </w:rPr>
        <w:softHyphen/>
        <w:t>ской границы, вероятно, на разведку (11216).</w:t>
      </w:r>
    </w:p>
    <w:p w14:paraId="5A51E9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80791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2B205C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29473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июля 1929 согласно В.Б.Ш. </w:t>
      </w:r>
      <w:proofErr w:type="spellStart"/>
      <w:r w:rsidRPr="00A259BD">
        <w:rPr>
          <w:rFonts w:ascii="Times New Roman" w:hAnsi="Times New Roman"/>
          <w:color w:val="000000" w:themeColor="text1"/>
          <w:sz w:val="16"/>
          <w:szCs w:val="16"/>
        </w:rPr>
        <w:t>Б.В.Глаголев</w:t>
      </w:r>
      <w:proofErr w:type="spellEnd"/>
      <w:r w:rsidRPr="00A259BD">
        <w:rPr>
          <w:rFonts w:ascii="Times New Roman" w:hAnsi="Times New Roman"/>
          <w:color w:val="000000" w:themeColor="text1"/>
          <w:sz w:val="16"/>
          <w:szCs w:val="16"/>
        </w:rPr>
        <w:t xml:space="preserve"> выполнил на Ш-1 первый полет и еще три полета по 20-30 мин. (99,147). </w:t>
      </w:r>
      <w:proofErr w:type="spellStart"/>
      <w:r w:rsidRPr="00A259BD">
        <w:rPr>
          <w:rFonts w:ascii="Times New Roman" w:hAnsi="Times New Roman"/>
          <w:color w:val="000000" w:themeColor="text1"/>
          <w:sz w:val="16"/>
          <w:szCs w:val="16"/>
        </w:rPr>
        <w:t>Пассижиром</w:t>
      </w:r>
      <w:proofErr w:type="spellEnd"/>
      <w:r w:rsidRPr="00A259BD">
        <w:rPr>
          <w:rFonts w:ascii="Times New Roman" w:hAnsi="Times New Roman"/>
          <w:color w:val="000000" w:themeColor="text1"/>
          <w:sz w:val="16"/>
          <w:szCs w:val="16"/>
        </w:rPr>
        <w:t xml:space="preserve"> был В.Б.Ш. (7621, 33).</w:t>
      </w:r>
    </w:p>
    <w:p w14:paraId="541BA3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6920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1 июля 1929 г. завершили сборку первого экземпляра М-23. Как и М-12, М-23 мучительно доводился. Только в марте — апреле 1930 г. удалось провести достаточно длительные заводские испытания. Мотор собрали с цилиндрами от М-12, хотя первоначально для него спроектировали несколь</w:t>
      </w:r>
      <w:r w:rsidRPr="00A259BD">
        <w:rPr>
          <w:rFonts w:ascii="Times New Roman" w:hAnsi="Times New Roman"/>
          <w:color w:val="000000" w:themeColor="text1"/>
          <w:sz w:val="16"/>
          <w:szCs w:val="16"/>
        </w:rPr>
        <w:softHyphen/>
        <w:t>ко отличные. Но на предварительных испытаниях они постоянно разрушались. Новые испытания также выявили ряд дефектов: имел место отрыв тарелки клапана, прогар выхлопного патрубка. Двигатель трясся на малых оборотах. Последовал новый этап доводки. В конце года состоялись государствен</w:t>
      </w:r>
      <w:r w:rsidRPr="00A259BD">
        <w:rPr>
          <w:rFonts w:ascii="Times New Roman" w:hAnsi="Times New Roman"/>
          <w:color w:val="000000" w:themeColor="text1"/>
          <w:sz w:val="16"/>
          <w:szCs w:val="16"/>
        </w:rPr>
        <w:softHyphen/>
        <w:t>ные испытания, которые М-23, наконец, прошел. Его установили на само</w:t>
      </w:r>
      <w:r w:rsidRPr="00A259BD">
        <w:rPr>
          <w:rFonts w:ascii="Times New Roman" w:hAnsi="Times New Roman"/>
          <w:color w:val="000000" w:themeColor="text1"/>
          <w:sz w:val="16"/>
          <w:szCs w:val="16"/>
        </w:rPr>
        <w:softHyphen/>
        <w:t>лет АИР-3 и совершили несколько полетов. На 1932 г. запланировали выпустить пробную серию из 30 экземпляров. Но у двигателя имелись сильные противники. УВВС полагало, что мотор номинальной мощностью 65 л.с. не нужен — достаточно 100-сильного. Дополнительным аргументом стал уже окончательный отказ от выпуска базового М-12. В серийное производство М-23 не передавался (11852).</w:t>
      </w:r>
    </w:p>
    <w:p w14:paraId="331B82E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Характеристики:</w:t>
      </w:r>
    </w:p>
    <w:p w14:paraId="4179C7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3-цшиндровый, звездообразный, четырехтактный, воздушного охлаж</w:t>
      </w:r>
      <w:r w:rsidRPr="00A259BD">
        <w:rPr>
          <w:rFonts w:ascii="Times New Roman" w:hAnsi="Times New Roman"/>
          <w:color w:val="000000" w:themeColor="text1"/>
          <w:sz w:val="16"/>
          <w:szCs w:val="16"/>
        </w:rPr>
        <w:softHyphen/>
        <w:t>дения;</w:t>
      </w:r>
    </w:p>
    <w:p w14:paraId="77E6CB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мощность 65/74 л.с.;</w:t>
      </w:r>
    </w:p>
    <w:p w14:paraId="6C1F4C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диаметр цилиндра/ход поршня 125/140 мм;</w:t>
      </w:r>
    </w:p>
    <w:p w14:paraId="07C61F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объем 5,16 л;</w:t>
      </w:r>
    </w:p>
    <w:p w14:paraId="56AA55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степень сжатия 5,1;</w:t>
      </w:r>
    </w:p>
    <w:p w14:paraId="5F8D12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безредукторный</w:t>
      </w:r>
      <w:proofErr w:type="spellEnd"/>
      <w:r w:rsidRPr="00A259BD">
        <w:rPr>
          <w:rFonts w:ascii="Times New Roman" w:hAnsi="Times New Roman"/>
          <w:color w:val="000000" w:themeColor="text1"/>
          <w:sz w:val="16"/>
          <w:szCs w:val="16"/>
        </w:rPr>
        <w:t>;</w:t>
      </w:r>
    </w:p>
    <w:p w14:paraId="42016B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вес 109,9 кг (с цилиндрами от М-12).</w:t>
      </w:r>
    </w:p>
    <w:p w14:paraId="4B75AB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Монтировался на опытных самолетах АИР-2, АИР-3, «Омега», Г-10, Г-20, Г-22, легком автожире А-15, предусматривался в проекте амфибии Ш-1 (11852).</w:t>
      </w:r>
    </w:p>
    <w:p w14:paraId="7C44AB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63F55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2C79A6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E7BBA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и 8 июля 1929 на закрытых заседаниях ПБ обсуждалось состояние обороны СССР. В результата появились постановления: О состоянии обороны СССР и О военной промышленности, для выработки которых назначили две </w:t>
      </w:r>
      <w:proofErr w:type="spellStart"/>
      <w:r w:rsidRPr="00A259BD">
        <w:rPr>
          <w:rFonts w:ascii="Times New Roman" w:hAnsi="Times New Roman"/>
          <w:color w:val="000000" w:themeColor="text1"/>
          <w:sz w:val="16"/>
          <w:szCs w:val="16"/>
        </w:rPr>
        <w:t>редкомиссии</w:t>
      </w:r>
      <w:proofErr w:type="spellEnd"/>
      <w:r w:rsidRPr="00A259BD">
        <w:rPr>
          <w:rFonts w:ascii="Times New Roman" w:hAnsi="Times New Roman"/>
          <w:color w:val="000000" w:themeColor="text1"/>
          <w:sz w:val="16"/>
          <w:szCs w:val="16"/>
        </w:rPr>
        <w:t xml:space="preserve"> (9089,97).</w:t>
      </w:r>
    </w:p>
    <w:p w14:paraId="4BBF48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44A363" w14:textId="77777777" w:rsidR="008830F9" w:rsidRPr="00A259BD" w:rsidRDefault="008830F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и 8 июля 1929 г. состояние обороны страны обсуждалось на закрытых заседаниях Политбюро Протоколы этих заседаний не дают представления о том, кто и что говорил во время дискуссии и почему обсуждение затянулось на два заседания. Результатом работы Политбюро стали постановления «О состоянии обороны СССР» и «О военной промышленности», для выработки которых были назначены две редакционные комиссии. </w:t>
      </w:r>
    </w:p>
    <w:p w14:paraId="583CCD67" w14:textId="77777777" w:rsidR="008830F9" w:rsidRPr="00A259BD" w:rsidRDefault="008830F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Но сначала Политбюро заслушало доклады И. П. </w:t>
      </w:r>
      <w:proofErr w:type="spellStart"/>
      <w:r w:rsidRPr="00A259BD">
        <w:rPr>
          <w:rFonts w:ascii="Times New Roman" w:hAnsi="Times New Roman"/>
          <w:color w:val="000000" w:themeColor="text1"/>
          <w:sz w:val="16"/>
          <w:szCs w:val="16"/>
        </w:rPr>
        <w:t>Павлуновского</w:t>
      </w:r>
      <w:proofErr w:type="spellEnd"/>
      <w:r w:rsidRPr="00A259BD">
        <w:rPr>
          <w:rFonts w:ascii="Times New Roman" w:hAnsi="Times New Roman"/>
          <w:color w:val="000000" w:themeColor="text1"/>
          <w:sz w:val="16"/>
          <w:szCs w:val="16"/>
        </w:rPr>
        <w:t xml:space="preserve">, М. Г. Урываева, М. Л. </w:t>
      </w:r>
      <w:proofErr w:type="spellStart"/>
      <w:r w:rsidRPr="00A259BD">
        <w:rPr>
          <w:rFonts w:ascii="Times New Roman" w:hAnsi="Times New Roman"/>
          <w:color w:val="000000" w:themeColor="text1"/>
          <w:sz w:val="16"/>
          <w:szCs w:val="16"/>
        </w:rPr>
        <w:t>Рухимовича</w:t>
      </w:r>
      <w:proofErr w:type="spellEnd"/>
      <w:r w:rsidRPr="00A259BD">
        <w:rPr>
          <w:rFonts w:ascii="Times New Roman" w:hAnsi="Times New Roman"/>
          <w:color w:val="000000" w:themeColor="text1"/>
          <w:sz w:val="16"/>
          <w:szCs w:val="16"/>
        </w:rPr>
        <w:t xml:space="preserve">, А. Ф. </w:t>
      </w:r>
      <w:proofErr w:type="spellStart"/>
      <w:r w:rsidRPr="00A259BD">
        <w:rPr>
          <w:rFonts w:ascii="Times New Roman" w:hAnsi="Times New Roman"/>
          <w:color w:val="000000" w:themeColor="text1"/>
          <w:sz w:val="16"/>
          <w:szCs w:val="16"/>
        </w:rPr>
        <w:t>Толоконцева</w:t>
      </w:r>
      <w:proofErr w:type="spellEnd"/>
      <w:r w:rsidRPr="00A259BD">
        <w:rPr>
          <w:rFonts w:ascii="Times New Roman" w:hAnsi="Times New Roman"/>
          <w:color w:val="000000" w:themeColor="text1"/>
          <w:sz w:val="16"/>
          <w:szCs w:val="16"/>
        </w:rPr>
        <w:t xml:space="preserve"> — от ВСНХ, Ворошилова и ряда военачальников — от военных. Было также решено создать ещё одну комиссию во главе с Ворошиловым, включив в неё, кроме вышеупомянутых докладчиков, ещё Г. И. Кулика, В. К. </w:t>
      </w:r>
      <w:proofErr w:type="spellStart"/>
      <w:r w:rsidRPr="00A259BD">
        <w:rPr>
          <w:rFonts w:ascii="Times New Roman" w:hAnsi="Times New Roman"/>
          <w:color w:val="000000" w:themeColor="text1"/>
          <w:sz w:val="16"/>
          <w:szCs w:val="16"/>
        </w:rPr>
        <w:t>Триандафиллова</w:t>
      </w:r>
      <w:proofErr w:type="spellEnd"/>
      <w:r w:rsidRPr="00A259BD">
        <w:rPr>
          <w:rFonts w:ascii="Times New Roman" w:hAnsi="Times New Roman"/>
          <w:color w:val="000000" w:themeColor="text1"/>
          <w:sz w:val="16"/>
          <w:szCs w:val="16"/>
        </w:rPr>
        <w:t xml:space="preserve"> и ряда других — от руководства РККА и Г. Г. Ягоду — от ОГПУ.</w:t>
      </w:r>
    </w:p>
    <w:p w14:paraId="2FA0CA5A" w14:textId="77777777" w:rsidR="008830F9" w:rsidRPr="00A259BD" w:rsidRDefault="008830F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Окончательную редакцию оборонной резолюции осуществляла комиссия во главе с Ворошиловым. В состав этой редакционной комиссии вошли И. В. Сталин, В. М. Молотов, А. С. Бубнов, Я. Э. Рудзутак, А. И. Микоян, М. Л. </w:t>
      </w:r>
      <w:proofErr w:type="spellStart"/>
      <w:r w:rsidRPr="00A259BD">
        <w:rPr>
          <w:rFonts w:ascii="Times New Roman" w:hAnsi="Times New Roman"/>
          <w:color w:val="000000" w:themeColor="text1"/>
          <w:sz w:val="16"/>
          <w:szCs w:val="16"/>
        </w:rPr>
        <w:t>Рухимович</w:t>
      </w:r>
      <w:proofErr w:type="spellEnd"/>
      <w:r w:rsidRPr="00A259BD">
        <w:rPr>
          <w:rFonts w:ascii="Times New Roman" w:hAnsi="Times New Roman"/>
          <w:color w:val="000000" w:themeColor="text1"/>
          <w:sz w:val="16"/>
          <w:szCs w:val="16"/>
        </w:rPr>
        <w:t xml:space="preserve"> и Я. А. Яковлев. Сталин также представил доклад об оборонной промышленности на заседании Политбюро 15 июля. Реввоенсовету и Военно-мобилизационному управлению ВСНХ было дано задание разработать соответствующие директивы для руководства армии и флота, с одной стороны, [98] и руководства промышленных объединений и предприятий — с другой (17208). </w:t>
      </w:r>
    </w:p>
    <w:p w14:paraId="467FA1AE" w14:textId="77777777" w:rsidR="008830F9" w:rsidRPr="00A259BD" w:rsidRDefault="008830F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9F3BB7A" w14:textId="77777777" w:rsidR="00903761" w:rsidRPr="00A259BD" w:rsidRDefault="00903761"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65" w:name="_Hlk91317733"/>
      <w:r w:rsidRPr="00A259BD">
        <w:rPr>
          <w:rFonts w:ascii="Times New Roman" w:eastAsia="Times New Roman" w:hAnsi="Times New Roman"/>
          <w:color w:val="000000" w:themeColor="text1"/>
          <w:sz w:val="16"/>
          <w:szCs w:val="16"/>
          <w:lang w:eastAsia="ru-RU"/>
        </w:rPr>
        <w:t xml:space="preserve">1, 8 и 15 июля 1929, в отличие от почти спонтанного обсуждения Политбюро различных аспектов оборонной работы в первой половине 1927 г., летом 1929 г. ПБ посвятило "состоянию обороны страны" три заседания, на которые вызывались руководящие работники НКВМ и хозяйственных ведомств. Как и в 1927 г., отдельным вопросом, параллельно основной работе, рассматривалось состояние военной промышленности, но оперативный и мобилизационный планы военного ведомства на этот раз были, по всей вероятности, исключены из круга обсуждения. Для подготовки решений "О состоянии обороны страны" и "О военной промышленности" были созданы соответствующие комиссии (каждая - под председательством Ворошилова). В состав первой комиссии вошли Сталин, Молотов, Бубнов, Микоян, </w:t>
      </w:r>
      <w:proofErr w:type="spellStart"/>
      <w:r w:rsidRPr="00A259BD">
        <w:rPr>
          <w:rFonts w:ascii="Times New Roman" w:eastAsia="Times New Roman" w:hAnsi="Times New Roman"/>
          <w:color w:val="000000" w:themeColor="text1"/>
          <w:sz w:val="16"/>
          <w:szCs w:val="16"/>
          <w:lang w:eastAsia="ru-RU"/>
        </w:rPr>
        <w:t>Рухимович</w:t>
      </w:r>
      <w:proofErr w:type="spellEnd"/>
      <w:r w:rsidRPr="00A259BD">
        <w:rPr>
          <w:rFonts w:ascii="Times New Roman" w:eastAsia="Times New Roman" w:hAnsi="Times New Roman"/>
          <w:color w:val="000000" w:themeColor="text1"/>
          <w:sz w:val="16"/>
          <w:szCs w:val="16"/>
          <w:lang w:eastAsia="ru-RU"/>
        </w:rPr>
        <w:t xml:space="preserve"> и Яковлев. Вероятно, фактическое участие начальника ПУР (которому через несколько месяцев предстояло перейти в ведомство народного просвещения) и наркомов торговли, тяжелой промышленности и сельского хозяйства в выработке резолюции ограничивалось теми ее аспектами, которые имели непосредственное: отношение к возглавляемым им ведомствам, тогда как прерогативами в формулировании основных подходов обладала тройка - Сталин, Молотов и Ворошилов (22725).</w:t>
      </w:r>
    </w:p>
    <w:bookmarkEnd w:id="65"/>
    <w:p w14:paraId="066BFD88" w14:textId="77777777" w:rsidR="00903761" w:rsidRPr="00A259BD" w:rsidRDefault="00903761" w:rsidP="009236E3">
      <w:pPr>
        <w:shd w:val="clear" w:color="auto" w:fill="FFFFFF"/>
        <w:spacing w:after="0" w:line="240" w:lineRule="auto"/>
        <w:jc w:val="both"/>
        <w:rPr>
          <w:rFonts w:ascii="Times New Roman" w:hAnsi="Times New Roman"/>
          <w:color w:val="000000" w:themeColor="text1"/>
          <w:sz w:val="16"/>
          <w:szCs w:val="16"/>
        </w:rPr>
      </w:pPr>
    </w:p>
    <w:p w14:paraId="296A78E3" w14:textId="77777777" w:rsidR="00462FCC"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74AC6CC9" w14:textId="77777777" w:rsidR="00462FCC" w:rsidRPr="00A259BD" w:rsidRDefault="00462FC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D6506F" w14:textId="77777777" w:rsidR="00462FCC" w:rsidRPr="00A259BD" w:rsidRDefault="00462FCC" w:rsidP="009236E3">
      <w:pPr>
        <w:pStyle w:val="rtejustify"/>
        <w:spacing w:before="0" w:after="0"/>
        <w:rPr>
          <w:color w:val="000000" w:themeColor="text1"/>
          <w:sz w:val="16"/>
          <w:szCs w:val="16"/>
        </w:rPr>
      </w:pPr>
      <w:r w:rsidRPr="00A259BD">
        <w:rPr>
          <w:color w:val="000000" w:themeColor="text1"/>
          <w:sz w:val="16"/>
          <w:szCs w:val="16"/>
        </w:rPr>
        <w:t xml:space="preserve">1 июля 1929 г. РВС СССР утвердил положение об УВМС РККА — центральном органе НКВМ по руководству боевой, организационно-мобилизационной и технической подготовкой ВМС (в том числе и береговой обороны), по комплектованию личного состава, обучению и службе, по постройке, ремонту и оборудованию военных судов, по специальному морскому снабжению, по гидрографическим работам и обеспечению безопасности плавания. На УВМС возлагались: 1) разработка всех предположений на случай войны и мобилизации ВМС; 2) сбор материалов о производственных возможностях промышленности в части военного судостроения, специального морского снабжения и оборудования; 3) руководство на основе директив РВС СССР учебно-боевой подготовкой военно-морских сил, комплектованием и прохождением службы личным составом и его обучением в военно-морских учебных заведениях, отрядах и школах; 4) разработка боевого и специального военно-морских уставов, наблюдение за применением их в ВМС; 5) усовершенствование ВМС в техническом отношении и координирование военно-морской научно-исследовательской работы; 6) разработка на основе оперативно-тактических заданий Штаба РККА системы вооружения ВМС; 7) проведение на основе плана мобилизационного развертывания РККА мероприятий по обеспечению </w:t>
      </w:r>
      <w:proofErr w:type="spellStart"/>
      <w:r w:rsidRPr="00A259BD">
        <w:rPr>
          <w:color w:val="000000" w:themeColor="text1"/>
          <w:sz w:val="16"/>
          <w:szCs w:val="16"/>
        </w:rPr>
        <w:t>мобготовности</w:t>
      </w:r>
      <w:proofErr w:type="spellEnd"/>
      <w:r w:rsidRPr="00A259BD">
        <w:rPr>
          <w:color w:val="000000" w:themeColor="text1"/>
          <w:sz w:val="16"/>
          <w:szCs w:val="16"/>
        </w:rPr>
        <w:t xml:space="preserve"> ВМС и наблюдение за составом и </w:t>
      </w:r>
      <w:proofErr w:type="spellStart"/>
      <w:r w:rsidRPr="00A259BD">
        <w:rPr>
          <w:color w:val="000000" w:themeColor="text1"/>
          <w:sz w:val="16"/>
          <w:szCs w:val="16"/>
        </w:rPr>
        <w:t>мобподготовкой</w:t>
      </w:r>
      <w:proofErr w:type="spellEnd"/>
      <w:r w:rsidRPr="00A259BD">
        <w:rPr>
          <w:color w:val="000000" w:themeColor="text1"/>
          <w:sz w:val="16"/>
          <w:szCs w:val="16"/>
        </w:rPr>
        <w:t xml:space="preserve"> зачисленного в </w:t>
      </w:r>
      <w:proofErr w:type="spellStart"/>
      <w:r w:rsidRPr="00A259BD">
        <w:rPr>
          <w:color w:val="000000" w:themeColor="text1"/>
          <w:sz w:val="16"/>
          <w:szCs w:val="16"/>
        </w:rPr>
        <w:t>мобресурсы</w:t>
      </w:r>
      <w:proofErr w:type="spellEnd"/>
      <w:r w:rsidRPr="00A259BD">
        <w:rPr>
          <w:color w:val="000000" w:themeColor="text1"/>
          <w:sz w:val="16"/>
          <w:szCs w:val="16"/>
        </w:rPr>
        <w:t xml:space="preserve"> ВМС водного транспорта; 8) руководство подготовкой морских театров в навигационном отношении, гидрографическими изысканиями, работой и службой на них и мобилизационной подготовкой; 9) руководство оборудованием морских театров, их </w:t>
      </w:r>
      <w:proofErr w:type="spellStart"/>
      <w:r w:rsidRPr="00A259BD">
        <w:rPr>
          <w:color w:val="000000" w:themeColor="text1"/>
          <w:sz w:val="16"/>
          <w:szCs w:val="16"/>
        </w:rPr>
        <w:t>мобподготовкой</w:t>
      </w:r>
      <w:proofErr w:type="spellEnd"/>
      <w:r w:rsidRPr="00A259BD">
        <w:rPr>
          <w:color w:val="000000" w:themeColor="text1"/>
          <w:sz w:val="16"/>
          <w:szCs w:val="16"/>
        </w:rPr>
        <w:t xml:space="preserve"> и обеспечением безопасности плавания; 10) руководство разработкой и осуществлением планов строительства ремонта и оборудования кораблей и обеспечение ВМС специальным вооружением и имуществом; 11) предъявление промышленности требований по обеспечению ВМС продукцией по судостроению и специальному снабжению в отношении ее количества, качества и сроков изготовления; 12) установление дислокации и базирования кораблей в пределах утвержденного РВС СССР плана использования морских сил; 13) установление норм и порядка содержания корабельного состава в кампании, вооруженном резерве и на хранении; 14) распределение мобилизационных ресурсов ВМС и установление порядка ведения </w:t>
      </w:r>
      <w:proofErr w:type="spellStart"/>
      <w:r w:rsidRPr="00A259BD">
        <w:rPr>
          <w:color w:val="000000" w:themeColor="text1"/>
          <w:sz w:val="16"/>
          <w:szCs w:val="16"/>
        </w:rPr>
        <w:t>мобработы</w:t>
      </w:r>
      <w:proofErr w:type="spellEnd"/>
      <w:r w:rsidRPr="00A259BD">
        <w:rPr>
          <w:color w:val="000000" w:themeColor="text1"/>
          <w:sz w:val="16"/>
          <w:szCs w:val="16"/>
        </w:rPr>
        <w:t xml:space="preserve"> на кораблях, в портах и береговых частях ВМС; 15) установление мероприятий по обеспечению безопасности плавания в морях СССР.</w:t>
      </w:r>
    </w:p>
    <w:p w14:paraId="59D87E13" w14:textId="77777777" w:rsidR="00462FCC" w:rsidRPr="00A259BD" w:rsidRDefault="00462FCC" w:rsidP="009236E3">
      <w:pPr>
        <w:pStyle w:val="rtejustify"/>
        <w:spacing w:before="0" w:after="0"/>
        <w:rPr>
          <w:color w:val="000000" w:themeColor="text1"/>
          <w:sz w:val="16"/>
          <w:szCs w:val="16"/>
        </w:rPr>
      </w:pPr>
      <w:r w:rsidRPr="00A259BD">
        <w:rPr>
          <w:color w:val="000000" w:themeColor="text1"/>
          <w:sz w:val="16"/>
          <w:szCs w:val="16"/>
        </w:rPr>
        <w:t>Возглавлял управление начальник ВМС РККА, подчинявшийся непосредственно наркому по военным и морским делам. Изменилась и структура УВМС: Организационно-плановое управление было переименовано в организационно-мобилизационный отдел, все управления также были реорганизованы в отделы, самостоятельной структурной единицей стал финансовый отдел (12378).</w:t>
      </w:r>
    </w:p>
    <w:p w14:paraId="6169913E" w14:textId="77777777" w:rsidR="00462FCC" w:rsidRPr="00A259BD" w:rsidRDefault="00462FCC" w:rsidP="009236E3">
      <w:pPr>
        <w:pStyle w:val="ae"/>
        <w:spacing w:before="0" w:after="0"/>
        <w:jc w:val="both"/>
        <w:rPr>
          <w:rStyle w:val="af0"/>
          <w:i w:val="0"/>
          <w:color w:val="000000" w:themeColor="text1"/>
          <w:sz w:val="16"/>
          <w:szCs w:val="16"/>
        </w:rPr>
      </w:pPr>
    </w:p>
    <w:p w14:paraId="29F5D868" w14:textId="77777777" w:rsidR="00BA6967"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77BE24D" w14:textId="77777777" w:rsidR="00BA6967" w:rsidRPr="00A259BD" w:rsidRDefault="00BA696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6A5799E" w14:textId="77777777" w:rsidR="00BA6967" w:rsidRPr="00A259BD" w:rsidRDefault="00BA6967"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 июля</w:t>
      </w:r>
      <w:r w:rsidRPr="00A259BD">
        <w:rPr>
          <w:rFonts w:ascii="Times New Roman" w:hAnsi="Times New Roman"/>
          <w:color w:val="000000" w:themeColor="text1"/>
          <w:sz w:val="16"/>
          <w:szCs w:val="16"/>
        </w:rPr>
        <w:t xml:space="preserve"> в 1929 году первый полет первого </w:t>
      </w:r>
      <w:hyperlink r:id="rId74" w:tgtFrame="_blank" w:history="1">
        <w:r w:rsidRPr="00A259BD">
          <w:rPr>
            <w:rFonts w:ascii="Times New Roman" w:hAnsi="Times New Roman"/>
            <w:color w:val="000000" w:themeColor="text1"/>
            <w:sz w:val="16"/>
            <w:szCs w:val="16"/>
          </w:rPr>
          <w:t xml:space="preserve">«Boeing» «Model 203». </w:t>
        </w:r>
      </w:hyperlink>
      <w:r w:rsidRPr="00A259BD">
        <w:rPr>
          <w:rFonts w:ascii="Times New Roman" w:hAnsi="Times New Roman"/>
          <w:color w:val="000000" w:themeColor="text1"/>
          <w:sz w:val="16"/>
          <w:szCs w:val="16"/>
        </w:rPr>
        <w:t>Все пять самолетов отправили в летную школу компании "Boeing". Четыре из них в дальнейшем довели до стандарта «Model 203A» путем установки двигателей «</w:t>
      </w:r>
      <w:proofErr w:type="spellStart"/>
      <w:r w:rsidRPr="00A259BD">
        <w:rPr>
          <w:rFonts w:ascii="Times New Roman" w:hAnsi="Times New Roman"/>
          <w:color w:val="000000" w:themeColor="text1"/>
          <w:sz w:val="16"/>
          <w:szCs w:val="16"/>
        </w:rPr>
        <w:t>Wright</w:t>
      </w:r>
      <w:proofErr w:type="spellEnd"/>
      <w:r w:rsidRPr="00A259BD">
        <w:rPr>
          <w:rFonts w:ascii="Times New Roman" w:hAnsi="Times New Roman"/>
          <w:color w:val="000000" w:themeColor="text1"/>
          <w:sz w:val="16"/>
          <w:szCs w:val="16"/>
        </w:rPr>
        <w:t>». Еще два «Model 203A» были собраны уже в школе. У большинства машин хвостовые костыли позже заменили на колеса (14939).</w:t>
      </w:r>
    </w:p>
    <w:p w14:paraId="55376D7A" w14:textId="77777777" w:rsidR="00BA6967" w:rsidRPr="00A259BD" w:rsidRDefault="00BA6967" w:rsidP="009236E3">
      <w:pPr>
        <w:spacing w:after="0" w:line="240" w:lineRule="auto"/>
        <w:jc w:val="both"/>
        <w:rPr>
          <w:rFonts w:ascii="Times New Roman" w:hAnsi="Times New Roman"/>
          <w:color w:val="000000" w:themeColor="text1"/>
          <w:sz w:val="16"/>
          <w:szCs w:val="16"/>
        </w:rPr>
      </w:pPr>
    </w:p>
    <w:p w14:paraId="3CAEACFC" w14:textId="77777777" w:rsidR="00903761" w:rsidRPr="00A259BD" w:rsidRDefault="0090376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июля 1929 года — первый полёт учебно-тренировочного самолёта Boeing Model 203. /США/</w:t>
      </w:r>
    </w:p>
    <w:p w14:paraId="142F1A4A" w14:textId="77777777" w:rsidR="00903761" w:rsidRPr="00A259BD" w:rsidRDefault="0090376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производства, Boeing занималась и обучением пилотов в своей лётной школе. В 1929 году специально для своего учебного центра компания начала разработку нового учебно-тренировочного самолёта — Model 203.</w:t>
      </w:r>
    </w:p>
    <w:p w14:paraId="6E103B15" w14:textId="77777777" w:rsidR="00903761" w:rsidRPr="00A259BD" w:rsidRDefault="0090376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Это был трёхместный (2 пассажира в передней кабине + 1 пилот) биплан с </w:t>
      </w:r>
      <w:proofErr w:type="spellStart"/>
      <w:r w:rsidRPr="00A259BD">
        <w:rPr>
          <w:rFonts w:ascii="Times New Roman" w:hAnsi="Times New Roman"/>
          <w:color w:val="000000" w:themeColor="text1"/>
          <w:sz w:val="16"/>
          <w:szCs w:val="16"/>
        </w:rPr>
        <w:t>неубиремым</w:t>
      </w:r>
      <w:proofErr w:type="spellEnd"/>
      <w:r w:rsidRPr="00A259BD">
        <w:rPr>
          <w:rFonts w:ascii="Times New Roman" w:hAnsi="Times New Roman"/>
          <w:color w:val="000000" w:themeColor="text1"/>
          <w:sz w:val="16"/>
          <w:szCs w:val="16"/>
        </w:rPr>
        <w:t xml:space="preserve"> шасси. Двигатели отличались на разных модификациях. На первых самолётах стояли </w:t>
      </w:r>
      <w:proofErr w:type="spellStart"/>
      <w:r w:rsidRPr="00A259BD">
        <w:rPr>
          <w:rFonts w:ascii="Times New Roman" w:hAnsi="Times New Roman"/>
          <w:color w:val="000000" w:themeColor="text1"/>
          <w:sz w:val="16"/>
          <w:szCs w:val="16"/>
        </w:rPr>
        <w:t>Axelson</w:t>
      </w:r>
      <w:proofErr w:type="spellEnd"/>
      <w:r w:rsidRPr="00A259BD">
        <w:rPr>
          <w:rFonts w:ascii="Times New Roman" w:hAnsi="Times New Roman"/>
          <w:color w:val="000000" w:themeColor="text1"/>
          <w:sz w:val="16"/>
          <w:szCs w:val="16"/>
        </w:rPr>
        <w:t xml:space="preserve"> A/B мощностью 145–165 л.с. Крейсерская скорость — 148 км/ч, дальность полёта — 640 км.</w:t>
      </w:r>
    </w:p>
    <w:p w14:paraId="7FB7894A" w14:textId="77777777" w:rsidR="00903761" w:rsidRPr="00A259BD" w:rsidRDefault="0090376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Выпустили 7 самолётов Model 203. Все они использовались в лётной школе Boeing до 1941 года. После закрытия школы в связи с началом Второй мировой войны несколько самолётов выкупила авиакомпания United Air Lines, несколько приобрели частные владельцы (22300).</w:t>
      </w:r>
    </w:p>
    <w:p w14:paraId="3F1AD50B" w14:textId="77777777" w:rsidR="00903761" w:rsidRPr="00A259BD" w:rsidRDefault="00903761" w:rsidP="009236E3">
      <w:pPr>
        <w:spacing w:after="0" w:line="240" w:lineRule="auto"/>
        <w:jc w:val="both"/>
        <w:rPr>
          <w:rFonts w:ascii="Times New Roman" w:hAnsi="Times New Roman"/>
          <w:color w:val="000000" w:themeColor="text1"/>
          <w:sz w:val="16"/>
          <w:szCs w:val="16"/>
        </w:rPr>
      </w:pPr>
    </w:p>
    <w:p w14:paraId="4A6FBB4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B71A54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DF98D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июля 1929 года в НИИ ВВС проводилось испытание самолета РV БМВ6 на определение горизонтальных скоростей по мерному километру. Летчик Шарапов (6916).</w:t>
      </w:r>
    </w:p>
    <w:p w14:paraId="49F78BC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BB48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июля 1929 г. в Севастополе приступили к продолжению испытаний РОМ-1 Уже первые спуски на воду в бухте Голландия и по</w:t>
      </w:r>
      <w:r w:rsidRPr="00A259BD">
        <w:rPr>
          <w:rFonts w:ascii="Times New Roman" w:hAnsi="Times New Roman"/>
          <w:color w:val="000000" w:themeColor="text1"/>
          <w:sz w:val="16"/>
          <w:szCs w:val="16"/>
        </w:rPr>
        <w:softHyphen/>
        <w:t>пытки взлететь показали, что самолет с цент</w:t>
      </w:r>
      <w:r w:rsidRPr="00A259BD">
        <w:rPr>
          <w:rFonts w:ascii="Times New Roman" w:hAnsi="Times New Roman"/>
          <w:color w:val="000000" w:themeColor="text1"/>
          <w:sz w:val="16"/>
          <w:szCs w:val="16"/>
        </w:rPr>
        <w:softHyphen/>
        <w:t>ровкой 30,4% САХ не желает выходить на редан. Пришлось вернуться на базу в бухту Нахимова, где один человек перебрался из передней ка</w:t>
      </w:r>
      <w:r w:rsidRPr="00A259BD">
        <w:rPr>
          <w:rFonts w:ascii="Times New Roman" w:hAnsi="Times New Roman"/>
          <w:color w:val="000000" w:themeColor="text1"/>
          <w:sz w:val="16"/>
          <w:szCs w:val="16"/>
        </w:rPr>
        <w:softHyphen/>
        <w:t>бины назад, кроме этого, в кормовой отсек до</w:t>
      </w:r>
      <w:r w:rsidRPr="00A259BD">
        <w:rPr>
          <w:rFonts w:ascii="Times New Roman" w:hAnsi="Times New Roman"/>
          <w:color w:val="000000" w:themeColor="text1"/>
          <w:sz w:val="16"/>
          <w:szCs w:val="16"/>
        </w:rPr>
        <w:softHyphen/>
        <w:t>бавили балласт 40 кг и получили центровку примерно 35% САХ. Последующие попытки взлететь увенчались успехом, однако выясни</w:t>
      </w:r>
      <w:r w:rsidRPr="00A259BD">
        <w:rPr>
          <w:rFonts w:ascii="Times New Roman" w:hAnsi="Times New Roman"/>
          <w:color w:val="000000" w:themeColor="text1"/>
          <w:sz w:val="16"/>
          <w:szCs w:val="16"/>
        </w:rPr>
        <w:softHyphen/>
        <w:t>лось, что греются двигатели, температура воды в радиаторах охлаждения достигала 95-100°С. Вечером, когда температура окружающего воз</w:t>
      </w:r>
      <w:r w:rsidRPr="00A259BD">
        <w:rPr>
          <w:rFonts w:ascii="Times New Roman" w:hAnsi="Times New Roman"/>
          <w:color w:val="000000" w:themeColor="text1"/>
          <w:sz w:val="16"/>
          <w:szCs w:val="16"/>
        </w:rPr>
        <w:softHyphen/>
        <w:t xml:space="preserve">духа снизилась. </w:t>
      </w:r>
      <w:proofErr w:type="spellStart"/>
      <w:r w:rsidRPr="00A259BD">
        <w:rPr>
          <w:rFonts w:ascii="Times New Roman" w:hAnsi="Times New Roman"/>
          <w:color w:val="000000" w:themeColor="text1"/>
          <w:sz w:val="16"/>
          <w:szCs w:val="16"/>
        </w:rPr>
        <w:t>Рыбальчук</w:t>
      </w:r>
      <w:proofErr w:type="spellEnd"/>
      <w:r w:rsidRPr="00A259BD">
        <w:rPr>
          <w:rFonts w:ascii="Times New Roman" w:hAnsi="Times New Roman"/>
          <w:color w:val="000000" w:themeColor="text1"/>
          <w:sz w:val="16"/>
          <w:szCs w:val="16"/>
        </w:rPr>
        <w:t xml:space="preserve"> выполнил еще один полет, в котором достиг потолка 3470 метров. В последующие дни на РОМ-1 смонтировали новые радиаторы охлаждения, позаимствован</w:t>
      </w:r>
      <w:r w:rsidRPr="00A259BD">
        <w:rPr>
          <w:rFonts w:ascii="Times New Roman" w:hAnsi="Times New Roman"/>
          <w:color w:val="000000" w:themeColor="text1"/>
          <w:sz w:val="16"/>
          <w:szCs w:val="16"/>
        </w:rPr>
        <w:softHyphen/>
        <w:t xml:space="preserve">ные с летающей лодки Дорнье «Валь». После перестановки радиаторов выполнили еще несколько полетов до 22 августа. При подготовке окончательного решения по самолету инженер НИИ морской авиации Коровин записал. У РОМ-1 «плохой обзор с пилотского кресла, тугое управление, заметное давление педали на правую ногу, сложная система запуска. Кабина неглубокая, высокая палуба, летчикам в полете поменяться местами </w:t>
      </w:r>
      <w:proofErr w:type="spellStart"/>
      <w:r w:rsidRPr="00A259BD">
        <w:rPr>
          <w:rFonts w:ascii="Times New Roman" w:hAnsi="Times New Roman"/>
          <w:color w:val="000000" w:themeColor="text1"/>
          <w:sz w:val="16"/>
          <w:szCs w:val="16"/>
        </w:rPr>
        <w:t>невозможмо</w:t>
      </w:r>
      <w:proofErr w:type="spellEnd"/>
      <w:r w:rsidRPr="00A259BD">
        <w:rPr>
          <w:rFonts w:ascii="Times New Roman" w:hAnsi="Times New Roman"/>
          <w:color w:val="000000" w:themeColor="text1"/>
          <w:sz w:val="16"/>
          <w:szCs w:val="16"/>
        </w:rPr>
        <w:t xml:space="preserve">”. Кроме этого указывалось, что с нагрузкой 1305 кг при спокойном море (штиль) самолет взлететь не смог, даже не было отмечено стремления к выходу на редан. Взлететь и провести </w:t>
      </w:r>
      <w:proofErr w:type="spellStart"/>
      <w:r w:rsidRPr="00A259BD">
        <w:rPr>
          <w:rFonts w:ascii="Times New Roman" w:hAnsi="Times New Roman"/>
          <w:color w:val="000000" w:themeColor="text1"/>
          <w:sz w:val="16"/>
          <w:szCs w:val="16"/>
        </w:rPr>
        <w:t>ис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пытания</w:t>
      </w:r>
      <w:proofErr w:type="spellEnd"/>
      <w:r w:rsidRPr="00A259BD">
        <w:rPr>
          <w:rFonts w:ascii="Times New Roman" w:hAnsi="Times New Roman"/>
          <w:color w:val="000000" w:themeColor="text1"/>
          <w:sz w:val="16"/>
          <w:szCs w:val="16"/>
        </w:rPr>
        <w:t xml:space="preserve"> удалось при уменьшении нагрузки до 1135 кг (11978).</w:t>
      </w:r>
    </w:p>
    <w:p w14:paraId="03E8DB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441F90" w14:textId="77777777" w:rsidR="00462FCC" w:rsidRPr="00A259BD" w:rsidRDefault="00462FCC"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2 июля 1929 г. приступили к продолжению испытаний РОМ-1 в Севастополе. Уже первые спуски на воду в бухте Голландия и попытки взлететь показали, что самолет с центровкой 30,4% САХ не желает выходить на редан. Пришлось вернуться на базу в бухту Нахимова, где один человек перебрался из передней кабины на</w:t>
      </w:r>
      <w:r w:rsidRPr="00A259BD">
        <w:rPr>
          <w:rFonts w:ascii="Times New Roman" w:cs="Times New Roman"/>
          <w:color w:val="000000" w:themeColor="text1"/>
          <w:sz w:val="16"/>
          <w:szCs w:val="16"/>
        </w:rPr>
        <w:softHyphen/>
        <w:t>зад, кроме этого, в кормовой отсек добавили балласт 40 кг и получили центровку примерно 35% САХ. После</w:t>
      </w:r>
      <w:r w:rsidRPr="00A259BD">
        <w:rPr>
          <w:rFonts w:ascii="Times New Roman" w:cs="Times New Roman"/>
          <w:color w:val="000000" w:themeColor="text1"/>
          <w:sz w:val="16"/>
          <w:szCs w:val="16"/>
        </w:rPr>
        <w:softHyphen/>
        <w:t>дующие попытки взлететь увенчались успехом, однако выяснилось, что перегреваются двигатели. Вечером, когда температура окружающего воз</w:t>
      </w:r>
      <w:r w:rsidRPr="00A259BD">
        <w:rPr>
          <w:rFonts w:ascii="Times New Roman" w:cs="Times New Roman"/>
          <w:color w:val="000000" w:themeColor="text1"/>
          <w:sz w:val="16"/>
          <w:szCs w:val="16"/>
        </w:rPr>
        <w:softHyphen/>
        <w:t xml:space="preserve">духа снизилась, </w:t>
      </w:r>
      <w:proofErr w:type="spellStart"/>
      <w:r w:rsidRPr="00A259BD">
        <w:rPr>
          <w:rFonts w:ascii="Times New Roman" w:cs="Times New Roman"/>
          <w:color w:val="000000" w:themeColor="text1"/>
          <w:sz w:val="16"/>
          <w:szCs w:val="16"/>
        </w:rPr>
        <w:t>Рыбальчук</w:t>
      </w:r>
      <w:proofErr w:type="spellEnd"/>
      <w:r w:rsidRPr="00A259BD">
        <w:rPr>
          <w:rFonts w:ascii="Times New Roman" w:cs="Times New Roman"/>
          <w:color w:val="000000" w:themeColor="text1"/>
          <w:sz w:val="16"/>
          <w:szCs w:val="16"/>
        </w:rPr>
        <w:t xml:space="preserve"> выполнил еще один полет, в котором достиг по</w:t>
      </w:r>
      <w:r w:rsidRPr="00A259BD">
        <w:rPr>
          <w:rFonts w:ascii="Times New Roman" w:cs="Times New Roman"/>
          <w:color w:val="000000" w:themeColor="text1"/>
          <w:sz w:val="16"/>
          <w:szCs w:val="16"/>
        </w:rPr>
        <w:softHyphen/>
        <w:t>толка 3470 м. В последующие дни на РОМ-1 смонтировали новые радиа</w:t>
      </w:r>
      <w:r w:rsidRPr="00A259BD">
        <w:rPr>
          <w:rFonts w:ascii="Times New Roman" w:cs="Times New Roman"/>
          <w:color w:val="000000" w:themeColor="text1"/>
          <w:sz w:val="16"/>
          <w:szCs w:val="16"/>
        </w:rPr>
        <w:softHyphen/>
        <w:t>торы охлаждения, позаимствованные с летающей лодки Дорнье «Валь». После перестановки радиаторов выполнили еще несколько полетов до 22 августа. При подготовке окон</w:t>
      </w:r>
      <w:r w:rsidRPr="00A259BD">
        <w:rPr>
          <w:rFonts w:ascii="Times New Roman" w:cs="Times New Roman"/>
          <w:color w:val="000000" w:themeColor="text1"/>
          <w:sz w:val="16"/>
          <w:szCs w:val="16"/>
        </w:rPr>
        <w:softHyphen/>
        <w:t>чательного решения по самолету инженер НИИ морской авиации Ко</w:t>
      </w:r>
      <w:r w:rsidRPr="00A259BD">
        <w:rPr>
          <w:rFonts w:ascii="Times New Roman" w:cs="Times New Roman"/>
          <w:color w:val="000000" w:themeColor="text1"/>
          <w:sz w:val="16"/>
          <w:szCs w:val="16"/>
        </w:rPr>
        <w:softHyphen/>
        <w:t>ровин записал, что у РОМ-1</w:t>
      </w:r>
      <w:r w:rsidRPr="00A259BD">
        <w:rPr>
          <w:rStyle w:val="41pt"/>
          <w:rFonts w:ascii="Times New Roman" w:hAnsi="Times New Roman" w:cs="Times New Roman"/>
          <w:i w:val="0"/>
          <w:color w:val="000000" w:themeColor="text1"/>
          <w:spacing w:val="0"/>
        </w:rPr>
        <w:t xml:space="preserve"> «плохой обзор с пилотского кресла, тугое управление, заметное давление педалей на правую ногу, сложная система запуска. Кабина неглубокая, высокая палуба, летчикам в полете поменяться местами невозможно». </w:t>
      </w:r>
      <w:r w:rsidRPr="00A259BD">
        <w:rPr>
          <w:rFonts w:ascii="Times New Roman" w:cs="Times New Roman"/>
          <w:color w:val="000000" w:themeColor="text1"/>
          <w:sz w:val="16"/>
          <w:szCs w:val="16"/>
        </w:rPr>
        <w:t>Кроме этого указывалось, что с на</w:t>
      </w:r>
      <w:r w:rsidRPr="00A259BD">
        <w:rPr>
          <w:rFonts w:ascii="Times New Roman" w:cs="Times New Roman"/>
          <w:color w:val="000000" w:themeColor="text1"/>
          <w:sz w:val="16"/>
          <w:szCs w:val="16"/>
        </w:rPr>
        <w:softHyphen/>
        <w:t>грузкой 1305 кг при спокойном море (штиль) самолет взлететь не смог, даже не было отмечено стремления к выходу на редан. Взлететь и провести испытания удалось при уменьшении нагрузки до 1135 кг.</w:t>
      </w:r>
    </w:p>
    <w:p w14:paraId="2B7B889E" w14:textId="77777777" w:rsidR="00462FCC" w:rsidRPr="00A259BD" w:rsidRDefault="00462FCC" w:rsidP="009236E3">
      <w:pPr>
        <w:pStyle w:val="66"/>
        <w:shd w:val="clear" w:color="auto" w:fill="auto"/>
        <w:spacing w:before="0" w:line="240" w:lineRule="auto"/>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технические данные и летные характеристики</w:t>
      </w:r>
    </w:p>
    <w:p w14:paraId="3D34DCCE" w14:textId="77777777" w:rsidR="00462FCC" w:rsidRPr="00A259BD" w:rsidRDefault="00462FC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РОМ-1 (МР-3)</w:t>
      </w:r>
    </w:p>
    <w:p w14:paraId="3007A8A6" w14:textId="77777777" w:rsidR="00462FCC" w:rsidRPr="00A259BD" w:rsidRDefault="00462FCC" w:rsidP="009236E3">
      <w:pPr>
        <w:tabs>
          <w:tab w:val="right" w:leader="dot" w:pos="315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Размах верхнего крыла (м)</w:t>
      </w:r>
      <w:r w:rsidRPr="00A259BD">
        <w:rPr>
          <w:rFonts w:ascii="Times New Roman" w:hAnsi="Times New Roman"/>
          <w:color w:val="000000" w:themeColor="text1"/>
          <w:sz w:val="16"/>
          <w:szCs w:val="16"/>
        </w:rPr>
        <w:tab/>
        <w:t>28,0</w:t>
      </w:r>
    </w:p>
    <w:p w14:paraId="30DDABAB" w14:textId="77777777" w:rsidR="00462FCC" w:rsidRPr="00A259BD" w:rsidRDefault="00462FCC" w:rsidP="009236E3">
      <w:pPr>
        <w:tabs>
          <w:tab w:val="left" w:leader="dot" w:pos="2493"/>
          <w:tab w:val="right" w:leader="dot" w:pos="315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Размах нижнего крыла (м)</w:t>
      </w:r>
      <w:r w:rsidRPr="00A259BD">
        <w:rPr>
          <w:rFonts w:ascii="Times New Roman" w:hAnsi="Times New Roman"/>
          <w:color w:val="000000" w:themeColor="text1"/>
          <w:sz w:val="16"/>
          <w:szCs w:val="16"/>
        </w:rPr>
        <w:tab/>
        <w:t>-.</w:t>
      </w:r>
      <w:r w:rsidRPr="00A259BD">
        <w:rPr>
          <w:rFonts w:ascii="Times New Roman" w:hAnsi="Times New Roman"/>
          <w:color w:val="000000" w:themeColor="text1"/>
          <w:sz w:val="16"/>
          <w:szCs w:val="16"/>
        </w:rPr>
        <w:tab/>
        <w:t>9,7</w:t>
      </w:r>
    </w:p>
    <w:p w14:paraId="430F7DE9" w14:textId="77777777" w:rsidR="00462FCC" w:rsidRPr="00A259BD" w:rsidRDefault="00462FCC" w:rsidP="009236E3">
      <w:pPr>
        <w:tabs>
          <w:tab w:val="right" w:leader="dot" w:pos="315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Длина в линии полета (м)</w:t>
      </w:r>
      <w:r w:rsidRPr="00A259BD">
        <w:rPr>
          <w:rFonts w:ascii="Times New Roman" w:hAnsi="Times New Roman"/>
          <w:color w:val="000000" w:themeColor="text1"/>
          <w:sz w:val="16"/>
          <w:szCs w:val="16"/>
        </w:rPr>
        <w:tab/>
        <w:t xml:space="preserve"> 16,0</w:t>
      </w:r>
    </w:p>
    <w:p w14:paraId="445E35BA" w14:textId="77777777" w:rsidR="00462FCC" w:rsidRPr="00A259BD" w:rsidRDefault="00462FCC" w:rsidP="009236E3">
      <w:pPr>
        <w:tabs>
          <w:tab w:val="right" w:leader="dot" w:pos="315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в линии полета (м)</w:t>
      </w:r>
      <w:r w:rsidRPr="00A259BD">
        <w:rPr>
          <w:rFonts w:ascii="Times New Roman" w:hAnsi="Times New Roman"/>
          <w:color w:val="000000" w:themeColor="text1"/>
          <w:sz w:val="16"/>
          <w:szCs w:val="16"/>
        </w:rPr>
        <w:tab/>
        <w:t>6,06</w:t>
      </w:r>
    </w:p>
    <w:p w14:paraId="6D3FF17E" w14:textId="77777777" w:rsidR="00462FCC" w:rsidRPr="00A259BD" w:rsidRDefault="00462FCC" w:rsidP="009236E3">
      <w:pPr>
        <w:tabs>
          <w:tab w:val="right" w:leader="dot" w:pos="315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верхнего крыла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 xml:space="preserve">) </w:t>
      </w:r>
      <w:r w:rsidRPr="00A259BD">
        <w:rPr>
          <w:rFonts w:ascii="Times New Roman" w:hAnsi="Times New Roman"/>
          <w:color w:val="000000" w:themeColor="text1"/>
          <w:sz w:val="16"/>
          <w:szCs w:val="16"/>
        </w:rPr>
        <w:tab/>
        <w:t>86,6</w:t>
      </w:r>
    </w:p>
    <w:p w14:paraId="49204F35" w14:textId="77777777" w:rsidR="00462FCC" w:rsidRPr="00A259BD" w:rsidRDefault="00462FCC" w:rsidP="009236E3">
      <w:pPr>
        <w:tabs>
          <w:tab w:val="right" w:leader="dot" w:pos="315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нижнего крыла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 xml:space="preserve">) </w:t>
      </w:r>
      <w:r w:rsidRPr="00A259BD">
        <w:rPr>
          <w:rFonts w:ascii="Times New Roman" w:hAnsi="Times New Roman"/>
          <w:color w:val="000000" w:themeColor="text1"/>
          <w:sz w:val="16"/>
          <w:szCs w:val="16"/>
        </w:rPr>
        <w:tab/>
        <w:t>18,0</w:t>
      </w:r>
    </w:p>
    <w:p w14:paraId="778B7566" w14:textId="77777777" w:rsidR="00462FCC" w:rsidRPr="00A259BD" w:rsidRDefault="00462FCC" w:rsidP="009236E3">
      <w:pPr>
        <w:tabs>
          <w:tab w:val="right" w:leader="dot" w:pos="315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 пустого (кг)</w:t>
      </w:r>
      <w:r w:rsidRPr="00A259BD">
        <w:rPr>
          <w:rFonts w:ascii="Times New Roman" w:hAnsi="Times New Roman"/>
          <w:color w:val="000000" w:themeColor="text1"/>
          <w:sz w:val="16"/>
          <w:szCs w:val="16"/>
        </w:rPr>
        <w:tab/>
        <w:t>4518</w:t>
      </w:r>
    </w:p>
    <w:p w14:paraId="3C23BF65" w14:textId="77777777" w:rsidR="00462FCC" w:rsidRPr="00A259BD" w:rsidRDefault="00462FCC" w:rsidP="009236E3">
      <w:pPr>
        <w:tabs>
          <w:tab w:val="left" w:leader="dot" w:pos="2142"/>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Полетный вес (кг) </w:t>
      </w:r>
      <w:r w:rsidRPr="00A259BD">
        <w:rPr>
          <w:rFonts w:ascii="Times New Roman" w:hAnsi="Times New Roman"/>
          <w:color w:val="000000" w:themeColor="text1"/>
          <w:sz w:val="16"/>
          <w:szCs w:val="16"/>
        </w:rPr>
        <w:tab/>
        <w:t>5829—6075</w:t>
      </w:r>
    </w:p>
    <w:p w14:paraId="42724A8D" w14:textId="77777777" w:rsidR="00462FCC" w:rsidRPr="00A259BD" w:rsidRDefault="00462FC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максимальная на 3000 м (км/ч)</w:t>
      </w:r>
      <w:r w:rsidRPr="00A259BD">
        <w:rPr>
          <w:rFonts w:ascii="Times New Roman" w:hAnsi="Times New Roman"/>
          <w:color w:val="000000" w:themeColor="text1"/>
          <w:sz w:val="16"/>
          <w:szCs w:val="16"/>
        </w:rPr>
        <w:tab/>
        <w:t>-</w:t>
      </w:r>
    </w:p>
    <w:p w14:paraId="35A2DA4A" w14:textId="77777777" w:rsidR="00462FCC" w:rsidRPr="00A259BD" w:rsidRDefault="00462FCC" w:rsidP="009236E3">
      <w:pPr>
        <w:tabs>
          <w:tab w:val="right" w:leader="dot" w:pos="315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Посадочная скорость (км/ч)</w:t>
      </w:r>
      <w:r w:rsidRPr="00A259BD">
        <w:rPr>
          <w:rFonts w:ascii="Times New Roman" w:hAnsi="Times New Roman"/>
          <w:color w:val="000000" w:themeColor="text1"/>
          <w:sz w:val="16"/>
          <w:szCs w:val="16"/>
        </w:rPr>
        <w:tab/>
        <w:t>85</w:t>
      </w:r>
    </w:p>
    <w:p w14:paraId="439D2545" w14:textId="77777777" w:rsidR="00462FCC" w:rsidRPr="00A259BD" w:rsidRDefault="00462FC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Практический потолок (м)3470</w:t>
      </w:r>
    </w:p>
    <w:p w14:paraId="7EABA07A" w14:textId="77777777" w:rsidR="00462FCC" w:rsidRPr="00A259BD" w:rsidRDefault="00462FC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Дальность полета максимальная (км) </w:t>
      </w:r>
      <w:r w:rsidRPr="00A259BD">
        <w:rPr>
          <w:rFonts w:ascii="Times New Roman" w:hAnsi="Times New Roman"/>
          <w:color w:val="000000" w:themeColor="text1"/>
          <w:sz w:val="16"/>
          <w:szCs w:val="16"/>
        </w:rPr>
        <w:tab/>
        <w:t>800 (12609).</w:t>
      </w:r>
    </w:p>
    <w:p w14:paraId="1938756A" w14:textId="77777777" w:rsidR="00100D29" w:rsidRPr="00A259BD" w:rsidRDefault="00100D2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FD182F" w14:textId="77777777" w:rsidR="00100D29"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9959125" w14:textId="77777777" w:rsidR="00100D29" w:rsidRPr="00A259BD" w:rsidRDefault="00100D2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9EE42FB" w14:textId="77777777" w:rsidR="00100D29" w:rsidRPr="00A259BD" w:rsidRDefault="00100D2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июля 1929 г. Протокол заседания Постоянного мобилизационного совещания при Президиуме ВСНХ СССР о ходе работ по составлению </w:t>
      </w:r>
      <w:proofErr w:type="spellStart"/>
      <w:r w:rsidRPr="00A259BD">
        <w:rPr>
          <w:rFonts w:ascii="Times New Roman" w:hAnsi="Times New Roman"/>
          <w:color w:val="000000" w:themeColor="text1"/>
          <w:sz w:val="16"/>
          <w:szCs w:val="16"/>
        </w:rPr>
        <w:t>промфинплана</w:t>
      </w:r>
      <w:proofErr w:type="spellEnd"/>
      <w:r w:rsidRPr="00A259BD">
        <w:rPr>
          <w:rFonts w:ascii="Times New Roman" w:hAnsi="Times New Roman"/>
          <w:color w:val="000000" w:themeColor="text1"/>
          <w:sz w:val="16"/>
          <w:szCs w:val="16"/>
        </w:rPr>
        <w:t xml:space="preserve"> на первый период войны (РГАЭ. Ф. 3429. Оп. 16. Д. 3. Л. 1?2) (12417).</w:t>
      </w:r>
    </w:p>
    <w:p w14:paraId="448C91D7" w14:textId="77777777" w:rsidR="00100D29" w:rsidRPr="00A259BD" w:rsidRDefault="00100D29" w:rsidP="009236E3">
      <w:pPr>
        <w:spacing w:after="0" w:line="240" w:lineRule="auto"/>
        <w:jc w:val="both"/>
        <w:rPr>
          <w:rFonts w:ascii="Times New Roman" w:hAnsi="Times New Roman"/>
          <w:color w:val="000000" w:themeColor="text1"/>
          <w:sz w:val="16"/>
          <w:szCs w:val="16"/>
        </w:rPr>
      </w:pPr>
    </w:p>
    <w:p w14:paraId="5FC3CC48"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580C49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717793C" w14:textId="77777777" w:rsidR="00571DDC" w:rsidRPr="00A259BD" w:rsidRDefault="00571DD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июля 1929 года — первый полёт учебно-тренировочного самолёта CASA III. /Испания/</w:t>
      </w:r>
    </w:p>
    <w:p w14:paraId="4A92CA76" w14:textId="77777777" w:rsidR="00571DDC" w:rsidRPr="00A259BD" w:rsidRDefault="00571DD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Начав с лицензионного производства, компания </w:t>
      </w:r>
      <w:proofErr w:type="spellStart"/>
      <w:r w:rsidRPr="00A259BD">
        <w:rPr>
          <w:rFonts w:ascii="Times New Roman" w:hAnsi="Times New Roman"/>
          <w:color w:val="000000" w:themeColor="text1"/>
          <w:sz w:val="16"/>
          <w:szCs w:val="16"/>
        </w:rPr>
        <w:t>Construcciones</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Aeronáuticas</w:t>
      </w:r>
      <w:proofErr w:type="spellEnd"/>
      <w:r w:rsidRPr="00A259BD">
        <w:rPr>
          <w:rFonts w:ascii="Times New Roman" w:hAnsi="Times New Roman"/>
          <w:color w:val="000000" w:themeColor="text1"/>
          <w:sz w:val="16"/>
          <w:szCs w:val="16"/>
        </w:rPr>
        <w:t xml:space="preserve"> SA (CASA) в 1929 году приступила к работе над первым самостоятельным проектом — CASA III. Изначально, самолёт задумывался как лёгкий бомбардировщик, но в процессе разработки его переквалифицировали в учебно-тренировочный.</w:t>
      </w:r>
    </w:p>
    <w:p w14:paraId="7C6DFEA2" w14:textId="77777777" w:rsidR="00571DDC" w:rsidRPr="00A259BD" w:rsidRDefault="00571DD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CASA III представлял собой двухместный высокоплан с крылом типа «парасоль» и неубирающимся шасси. С двигателем </w:t>
      </w:r>
      <w:proofErr w:type="spellStart"/>
      <w:r w:rsidRPr="00A259BD">
        <w:rPr>
          <w:rFonts w:ascii="Times New Roman" w:hAnsi="Times New Roman"/>
          <w:color w:val="000000" w:themeColor="text1"/>
          <w:sz w:val="16"/>
          <w:szCs w:val="16"/>
        </w:rPr>
        <w:t>de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Havilland</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Gipsy</w:t>
      </w:r>
      <w:proofErr w:type="spellEnd"/>
      <w:r w:rsidRPr="00A259BD">
        <w:rPr>
          <w:rFonts w:ascii="Times New Roman" w:hAnsi="Times New Roman"/>
          <w:color w:val="000000" w:themeColor="text1"/>
          <w:sz w:val="16"/>
          <w:szCs w:val="16"/>
        </w:rPr>
        <w:t xml:space="preserve"> I (95 л.с.) CASA III развивал скорость до 200 км/ч. Дальность полёта до 1000 км с дополнительным топливным баком.</w:t>
      </w:r>
    </w:p>
    <w:p w14:paraId="22CE9107" w14:textId="77777777" w:rsidR="00571DDC" w:rsidRPr="00A259BD" w:rsidRDefault="00571DD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Было выпущено 9 самолётов CASA III. Все они были оснащены разными двигателями (!). Самолёты использовались в лётной школе испанских ВМС в </w:t>
      </w:r>
      <w:proofErr w:type="spellStart"/>
      <w:r w:rsidRPr="00A259BD">
        <w:rPr>
          <w:rFonts w:ascii="Times New Roman" w:hAnsi="Times New Roman"/>
          <w:color w:val="000000" w:themeColor="text1"/>
          <w:sz w:val="16"/>
          <w:szCs w:val="16"/>
        </w:rPr>
        <w:t>Польенсе</w:t>
      </w:r>
      <w:proofErr w:type="spellEnd"/>
      <w:r w:rsidRPr="00A259BD">
        <w:rPr>
          <w:rFonts w:ascii="Times New Roman" w:hAnsi="Times New Roman"/>
          <w:color w:val="000000" w:themeColor="text1"/>
          <w:sz w:val="16"/>
          <w:szCs w:val="16"/>
        </w:rPr>
        <w:t>. Во время Гражданской войны в Испании вошли в состав ВВС республиканцев. К 1939 году ни один CASA III не уцелел (22300).</w:t>
      </w:r>
    </w:p>
    <w:p w14:paraId="699E7CE7" w14:textId="77777777" w:rsidR="00571DDC" w:rsidRPr="00A259BD" w:rsidRDefault="00571DDC" w:rsidP="009236E3">
      <w:pPr>
        <w:spacing w:after="0" w:line="240" w:lineRule="auto"/>
        <w:jc w:val="both"/>
        <w:rPr>
          <w:rFonts w:ascii="Times New Roman" w:hAnsi="Times New Roman"/>
          <w:color w:val="000000" w:themeColor="text1"/>
          <w:sz w:val="16"/>
          <w:szCs w:val="16"/>
        </w:rPr>
      </w:pPr>
    </w:p>
    <w:p w14:paraId="6801C3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июля 1929 в Японии правительство </w:t>
      </w:r>
      <w:proofErr w:type="spellStart"/>
      <w:r w:rsidRPr="00A259BD">
        <w:rPr>
          <w:rFonts w:ascii="Times New Roman" w:hAnsi="Times New Roman"/>
          <w:color w:val="000000" w:themeColor="text1"/>
          <w:sz w:val="16"/>
          <w:szCs w:val="16"/>
        </w:rPr>
        <w:t>Г.Танаки</w:t>
      </w:r>
      <w:proofErr w:type="spellEnd"/>
      <w:r w:rsidRPr="00A259BD">
        <w:rPr>
          <w:rFonts w:ascii="Times New Roman" w:hAnsi="Times New Roman"/>
          <w:color w:val="000000" w:themeColor="text1"/>
          <w:sz w:val="16"/>
          <w:szCs w:val="16"/>
        </w:rPr>
        <w:t xml:space="preserve"> ушло в отставку (3907,156).</w:t>
      </w:r>
    </w:p>
    <w:p w14:paraId="26B2CA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0F2FD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5AA624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48939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июля 1929 на законченном проекте ТОМ-1 были поставлены подписи </w:t>
      </w:r>
      <w:proofErr w:type="spellStart"/>
      <w:r w:rsidRPr="00A259BD">
        <w:rPr>
          <w:rFonts w:ascii="Times New Roman" w:hAnsi="Times New Roman"/>
          <w:color w:val="000000" w:themeColor="text1"/>
          <w:sz w:val="16"/>
          <w:szCs w:val="16"/>
        </w:rPr>
        <w:t>П.Э.Ришара</w:t>
      </w:r>
      <w:proofErr w:type="spellEnd"/>
      <w:r w:rsidRPr="00A259BD">
        <w:rPr>
          <w:rFonts w:ascii="Times New Roman" w:hAnsi="Times New Roman"/>
          <w:color w:val="000000" w:themeColor="text1"/>
          <w:sz w:val="16"/>
          <w:szCs w:val="16"/>
        </w:rPr>
        <w:t xml:space="preserve"> - ГК, </w:t>
      </w:r>
      <w:proofErr w:type="spellStart"/>
      <w:r w:rsidRPr="00A259BD">
        <w:rPr>
          <w:rFonts w:ascii="Times New Roman" w:hAnsi="Times New Roman"/>
          <w:color w:val="000000" w:themeColor="text1"/>
          <w:sz w:val="16"/>
          <w:szCs w:val="16"/>
        </w:rPr>
        <w:t>Д.М.Хомского</w:t>
      </w:r>
      <w:proofErr w:type="spellEnd"/>
      <w:r w:rsidRPr="00A259BD">
        <w:rPr>
          <w:rFonts w:ascii="Times New Roman" w:hAnsi="Times New Roman"/>
          <w:color w:val="000000" w:themeColor="text1"/>
          <w:sz w:val="16"/>
          <w:szCs w:val="16"/>
        </w:rPr>
        <w:t xml:space="preserve"> - зам., и С.А.Л. - зав. секцией прочности (78,33).</w:t>
      </w:r>
    </w:p>
    <w:p w14:paraId="0F7298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A62158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FE12D9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C9FE2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июля 1929 г. вышло Постановление СНК, которое предусматривало дальнейшие мероприятия по обеспечению народного хозяйства кадрами ин</w:t>
      </w:r>
      <w:r w:rsidRPr="00A259BD">
        <w:rPr>
          <w:rFonts w:ascii="Times New Roman" w:hAnsi="Times New Roman"/>
          <w:color w:val="000000" w:themeColor="text1"/>
          <w:sz w:val="16"/>
          <w:szCs w:val="16"/>
        </w:rPr>
        <w:softHyphen/>
        <w:t>женеров. Намечалось охватить обучением не менее 25% практи</w:t>
      </w:r>
      <w:r w:rsidRPr="00A259BD">
        <w:rPr>
          <w:rFonts w:ascii="Times New Roman" w:hAnsi="Times New Roman"/>
          <w:color w:val="000000" w:themeColor="text1"/>
          <w:sz w:val="16"/>
          <w:szCs w:val="16"/>
        </w:rPr>
        <w:softHyphen/>
        <w:t>ков, занимающих инженерные должности, и 10% инженеров, ну</w:t>
      </w:r>
      <w:r w:rsidRPr="00A259BD">
        <w:rPr>
          <w:rFonts w:ascii="Times New Roman" w:hAnsi="Times New Roman"/>
          <w:color w:val="000000" w:themeColor="text1"/>
          <w:sz w:val="16"/>
          <w:szCs w:val="16"/>
        </w:rPr>
        <w:softHyphen/>
        <w:t>ждающихся в повышении квалификации. Тем не менее пленум ЦК ВКП(б) (ноябрь 1929 г.) отмечал неудовлетворительную под</w:t>
      </w:r>
      <w:r w:rsidRPr="00A259BD">
        <w:rPr>
          <w:rFonts w:ascii="Times New Roman" w:hAnsi="Times New Roman"/>
          <w:color w:val="000000" w:themeColor="text1"/>
          <w:sz w:val="16"/>
          <w:szCs w:val="16"/>
        </w:rPr>
        <w:softHyphen/>
        <w:t>готовку кадров, которая "не идет ни в какое сравнение с темпами индустриализации" (10788).</w:t>
      </w:r>
    </w:p>
    <w:p w14:paraId="7CB232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916E56" w14:textId="77777777" w:rsidR="00571DDC" w:rsidRPr="00A259BD" w:rsidRDefault="00571DDC"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142B0D6" w14:textId="77777777" w:rsidR="00571DDC" w:rsidRPr="00A259BD" w:rsidRDefault="00571DD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C2AFAF" w14:textId="77777777" w:rsidR="00571DDC" w:rsidRPr="00A259BD" w:rsidRDefault="00571DD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июля 1929 г. Постановление СНК предусматривало дальнейшие мероприятия по обеспечению народного хозяйства кадрами инженеров. Намечалось охватить обучением не менее 25% практиков, занимающих инженерные должности, и 10% инженеров, нуждающихся в повышении квалификации. Тем не менее пленум </w:t>
      </w:r>
      <w:r w:rsidRPr="00A259BD">
        <w:rPr>
          <w:rFonts w:ascii="Times New Roman" w:hAnsi="Times New Roman"/>
          <w:color w:val="000000" w:themeColor="text1"/>
          <w:sz w:val="16"/>
          <w:szCs w:val="16"/>
        </w:rPr>
        <w:lastRenderedPageBreak/>
        <w:t>ЦК ВКП(б) ноябре 1929 г. отмечал неудовлетворительную подготовку кадров, которая, как указывалось, «не идет ни в какое сравнение с темпами индустриализации»</w:t>
      </w:r>
      <w:bookmarkStart w:id="66" w:name="021"/>
      <w:bookmarkEnd w:id="66"/>
      <w:r w:rsidRPr="00A259BD">
        <w:rPr>
          <w:rFonts w:ascii="Times New Roman" w:hAnsi="Times New Roman"/>
          <w:color w:val="000000" w:themeColor="text1"/>
          <w:sz w:val="16"/>
          <w:szCs w:val="16"/>
        </w:rPr>
        <w:t xml:space="preserve"> (21332).</w:t>
      </w:r>
    </w:p>
    <w:p w14:paraId="30DABB65" w14:textId="77777777" w:rsidR="00571DDC" w:rsidRPr="00A259BD" w:rsidRDefault="00571DDC" w:rsidP="009236E3">
      <w:pPr>
        <w:spacing w:after="0" w:line="240" w:lineRule="auto"/>
        <w:jc w:val="both"/>
        <w:rPr>
          <w:rFonts w:ascii="Times New Roman" w:hAnsi="Times New Roman"/>
          <w:color w:val="000000" w:themeColor="text1"/>
          <w:sz w:val="16"/>
          <w:szCs w:val="16"/>
        </w:rPr>
      </w:pPr>
    </w:p>
    <w:p w14:paraId="71DB97DB" w14:textId="77777777" w:rsidR="00571DDC" w:rsidRPr="00A259BD" w:rsidRDefault="00571DDC"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05D9889" w14:textId="77777777" w:rsidR="00571DDC" w:rsidRPr="00A259BD" w:rsidRDefault="00571DD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0E947AB" w14:textId="77777777" w:rsidR="00571DDC" w:rsidRPr="00A259BD" w:rsidRDefault="00571DD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июля 1929 лейтенант А. В. Гордон подцепляет </w:t>
      </w:r>
      <w:proofErr w:type="spellStart"/>
      <w:r w:rsidRPr="00A259BD">
        <w:rPr>
          <w:rFonts w:ascii="Times New Roman" w:hAnsi="Times New Roman"/>
          <w:color w:val="000000" w:themeColor="text1"/>
          <w:sz w:val="16"/>
          <w:szCs w:val="16"/>
        </w:rPr>
        <w:t>Vought</w:t>
      </w:r>
      <w:proofErr w:type="spellEnd"/>
      <w:r w:rsidRPr="00A259BD">
        <w:rPr>
          <w:rFonts w:ascii="Times New Roman" w:hAnsi="Times New Roman"/>
          <w:color w:val="000000" w:themeColor="text1"/>
          <w:sz w:val="16"/>
          <w:szCs w:val="16"/>
        </w:rPr>
        <w:t xml:space="preserve"> UO-1 к дирижаблю ВМС США USS Los Angeles (ZR-3) (20806).</w:t>
      </w:r>
    </w:p>
    <w:p w14:paraId="206F3F45" w14:textId="77777777" w:rsidR="00571DDC" w:rsidRPr="00A259BD" w:rsidRDefault="00571DDC" w:rsidP="009236E3">
      <w:pPr>
        <w:spacing w:after="0" w:line="240" w:lineRule="auto"/>
        <w:jc w:val="both"/>
        <w:rPr>
          <w:rFonts w:ascii="Times New Roman" w:hAnsi="Times New Roman"/>
          <w:color w:val="000000" w:themeColor="text1"/>
          <w:sz w:val="16"/>
          <w:szCs w:val="16"/>
        </w:rPr>
      </w:pPr>
    </w:p>
    <w:p w14:paraId="66DAECDE" w14:textId="77777777" w:rsidR="00571DDC" w:rsidRPr="00A259BD" w:rsidRDefault="00571DD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июля 1929 авиакомпания </w:t>
      </w:r>
      <w:proofErr w:type="spellStart"/>
      <w:r w:rsidRPr="00A259BD">
        <w:rPr>
          <w:rFonts w:ascii="Times New Roman" w:hAnsi="Times New Roman"/>
          <w:color w:val="000000" w:themeColor="text1"/>
          <w:sz w:val="16"/>
          <w:szCs w:val="16"/>
        </w:rPr>
        <w:t>Aeropostal</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Alas</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de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Venezuela</w:t>
      </w:r>
      <w:proofErr w:type="spellEnd"/>
      <w:r w:rsidRPr="00A259BD">
        <w:rPr>
          <w:rFonts w:ascii="Times New Roman" w:hAnsi="Times New Roman"/>
          <w:color w:val="000000" w:themeColor="text1"/>
          <w:sz w:val="16"/>
          <w:szCs w:val="16"/>
        </w:rPr>
        <w:t xml:space="preserve"> (LAV) основана в Венесуэле. Она начинает работу с флотом из трех </w:t>
      </w:r>
      <w:proofErr w:type="spellStart"/>
      <w:r w:rsidRPr="00A259BD">
        <w:rPr>
          <w:rFonts w:ascii="Times New Roman" w:hAnsi="Times New Roman"/>
          <w:color w:val="000000" w:themeColor="text1"/>
          <w:sz w:val="16"/>
          <w:szCs w:val="16"/>
        </w:rPr>
        <w:t>Latécoère</w:t>
      </w:r>
      <w:proofErr w:type="spellEnd"/>
      <w:r w:rsidRPr="00A259BD">
        <w:rPr>
          <w:rFonts w:ascii="Times New Roman" w:hAnsi="Times New Roman"/>
          <w:color w:val="000000" w:themeColor="text1"/>
          <w:sz w:val="16"/>
          <w:szCs w:val="16"/>
        </w:rPr>
        <w:t xml:space="preserve"> 28 (20806).</w:t>
      </w:r>
    </w:p>
    <w:p w14:paraId="77BDE054" w14:textId="77777777" w:rsidR="00571DDC" w:rsidRPr="00A259BD" w:rsidRDefault="00571DDC" w:rsidP="009236E3">
      <w:pPr>
        <w:spacing w:after="0" w:line="240" w:lineRule="auto"/>
        <w:jc w:val="both"/>
        <w:rPr>
          <w:rFonts w:ascii="Times New Roman" w:hAnsi="Times New Roman"/>
          <w:color w:val="000000" w:themeColor="text1"/>
          <w:sz w:val="16"/>
          <w:szCs w:val="16"/>
        </w:rPr>
      </w:pPr>
    </w:p>
    <w:p w14:paraId="5B4BFD0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D371A0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EDB3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4/5 июля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55) "О состоянии опытного </w:t>
      </w:r>
      <w:proofErr w:type="spellStart"/>
      <w:r w:rsidRPr="00A259BD">
        <w:rPr>
          <w:rFonts w:ascii="Times New Roman" w:hAnsi="Times New Roman"/>
          <w:color w:val="000000" w:themeColor="text1"/>
          <w:sz w:val="16"/>
          <w:szCs w:val="16"/>
        </w:rPr>
        <w:t>самолето</w:t>
      </w:r>
      <w:proofErr w:type="spellEnd"/>
      <w:r w:rsidRPr="00A259BD">
        <w:rPr>
          <w:rFonts w:ascii="Times New Roman" w:hAnsi="Times New Roman"/>
          <w:color w:val="000000" w:themeColor="text1"/>
          <w:sz w:val="16"/>
          <w:szCs w:val="16"/>
        </w:rPr>
        <w:t>- и моторостроения:</w:t>
      </w:r>
    </w:p>
    <w:p w14:paraId="5B0AB5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Принимая во внимание, что И-3 потерпел аварию в НИИ, что лишило возможности испытать в воздухе пулеметный привод ПВ-1, считать необходимым монтировать этот привод на серийном самолете И-3 завода 1 с срочно испытать в воздухе.</w:t>
      </w:r>
    </w:p>
    <w:p w14:paraId="44F1E2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По самолету Р-5 Техотделу согласовать с УВВС вопрос об участии Р-5 в групповом перелете в предполагаемых союзных перелетах. Предложить заводу 25 принять все меры к выпуску в срок 3 и 4 экз. Р-5.</w:t>
      </w:r>
    </w:p>
    <w:p w14:paraId="0E89F7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Предложить заводу 25 продолжать работы по исследованию П-2 и о результатах этой работы доложить Правлению.</w:t>
      </w:r>
    </w:p>
    <w:p w14:paraId="5DDE39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Т.к. получение мотора Юпитер нужной мощности для поставки на Д-2 задерживается, предложить заводу 25 выпустить этот самолет с Юпитер У-1 НР 420 в испытаниях учитывать качество самолета по пересчету на НР 480.</w:t>
      </w:r>
    </w:p>
    <w:p w14:paraId="315282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Предложить заводу 22 уточнить срок окончания работ МР-5 и ТОМ-2 (2351,198).</w:t>
      </w:r>
    </w:p>
    <w:p w14:paraId="456B35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Секция НТК УВВС 4 июля 1929 рассмотрела вопрос "О пятилетнем плане развития черных и цветных металлов и НИР институтов в связи с этим" (351). Получено ЦАГИ 12 сентября 1929 (351).</w:t>
      </w:r>
    </w:p>
    <w:p w14:paraId="3CFDEF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70BA8F" w14:textId="77777777" w:rsidR="00D70FD4" w:rsidRPr="00441F34" w:rsidRDefault="00D70FD4" w:rsidP="00D70FD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4 и 5 июля 1929 г. состоялось заседание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(протокол №55) «О состоянии опытного </w:t>
      </w:r>
      <w:proofErr w:type="spellStart"/>
      <w:r w:rsidRPr="00441F34">
        <w:rPr>
          <w:rFonts w:ascii="Times New Roman" w:hAnsi="Times New Roman"/>
          <w:color w:val="0070C0"/>
          <w:sz w:val="16"/>
          <w:szCs w:val="16"/>
        </w:rPr>
        <w:t>самолето</w:t>
      </w:r>
      <w:proofErr w:type="spellEnd"/>
      <w:r w:rsidRPr="00441F34">
        <w:rPr>
          <w:rFonts w:ascii="Times New Roman" w:hAnsi="Times New Roman"/>
          <w:color w:val="0070C0"/>
          <w:sz w:val="16"/>
          <w:szCs w:val="16"/>
        </w:rPr>
        <w:t>- и моторостроения», на котором 1-м пунктом поставлен вопрос о срочном испытании отечественных синхронизаторов и пулеметов ПВ-1 на серийном самолете И-3 выпуска завода №1 стрельбой в воздухе (24887).</w:t>
      </w:r>
    </w:p>
    <w:p w14:paraId="2FB20420" w14:textId="77777777" w:rsidR="00D70FD4" w:rsidRPr="00441F34" w:rsidRDefault="00D70FD4" w:rsidP="00D70FD4">
      <w:pPr>
        <w:spacing w:after="0" w:line="240" w:lineRule="auto"/>
        <w:jc w:val="both"/>
        <w:rPr>
          <w:rFonts w:ascii="Times New Roman" w:hAnsi="Times New Roman"/>
          <w:color w:val="0070C0"/>
          <w:sz w:val="16"/>
          <w:szCs w:val="16"/>
        </w:rPr>
      </w:pPr>
    </w:p>
    <w:p w14:paraId="74E151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июля 1929 Протокол секции НТК УВВС № 5/с:</w:t>
      </w:r>
    </w:p>
    <w:p w14:paraId="02EEAA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О пятилетнем плане развития черных и цветных металлов и научно-исследовательских работах институтов в </w:t>
      </w:r>
      <w:proofErr w:type="spellStart"/>
      <w:r w:rsidRPr="00A259BD">
        <w:rPr>
          <w:rFonts w:ascii="Times New Roman" w:hAnsi="Times New Roman"/>
          <w:color w:val="000000" w:themeColor="text1"/>
          <w:sz w:val="16"/>
          <w:szCs w:val="16"/>
        </w:rPr>
        <w:t>связ</w:t>
      </w:r>
      <w:proofErr w:type="spellEnd"/>
      <w:r w:rsidRPr="00A259BD">
        <w:rPr>
          <w:rFonts w:ascii="Times New Roman" w:hAnsi="Times New Roman"/>
          <w:color w:val="000000" w:themeColor="text1"/>
          <w:sz w:val="16"/>
          <w:szCs w:val="16"/>
        </w:rPr>
        <w:t xml:space="preserve"> с этим (351).</w:t>
      </w:r>
    </w:p>
    <w:p w14:paraId="190252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273C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июля 1929 года вышел циркуляр ТЭИ N 436 о том, что изготавливаемые для окраски как деревянных, так и металлических самолетов заводом N 36 стандартные краски, которые маркируются: "Масляная защитная краска" и "Масляная серая краска" оказываются более действительными, нежели защитный лак "Дюраль" (3232).</w:t>
      </w:r>
    </w:p>
    <w:p w14:paraId="4138B8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FFCD8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B7B983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F8A70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июля 1929 Приказом РВСР № 201 создан институт научно-технических комитетов и объявлены "Общие положения о военных НТК", по которому "вся конструкторская работа, как правило, проводится промышленностью и НИУ, лабораториями, полигонами Наркомвоенмора. Поэтому НТК, являясь лишь органами, регулирующими и контролирующими выполнение научно-исследовательских и опытно-конструкторских работ в области вооружения и боевого снабжения, сами не должны заниматься конструированием и изобретательством" (10515).</w:t>
      </w:r>
    </w:p>
    <w:p w14:paraId="7D177D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462818" w14:textId="77777777" w:rsidR="00F8794A" w:rsidRPr="00A259BD" w:rsidRDefault="00F8794A"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4 июля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xml:space="preserve">. Протокол заседания Политбюро ЦК ВКП(б) № 87. 5. Доклад Ленинградского судостроительного треста (ПБ от 25 июня 1929 г., пр. № 86, п. 22) (Воробьев, </w:t>
      </w:r>
      <w:proofErr w:type="spellStart"/>
      <w:r w:rsidRPr="00A259BD">
        <w:rPr>
          <w:rFonts w:ascii="Times New Roman" w:hAnsi="Times New Roman"/>
          <w:color w:val="000000" w:themeColor="text1"/>
          <w:sz w:val="16"/>
          <w:szCs w:val="16"/>
          <w:u w:color="002060"/>
        </w:rPr>
        <w:t>Близниченко</w:t>
      </w:r>
      <w:proofErr w:type="spellEnd"/>
      <w:r w:rsidRPr="00A259BD">
        <w:rPr>
          <w:rFonts w:ascii="Times New Roman" w:hAnsi="Times New Roman"/>
          <w:color w:val="000000" w:themeColor="text1"/>
          <w:sz w:val="16"/>
          <w:szCs w:val="16"/>
          <w:u w:color="002060"/>
        </w:rPr>
        <w:t xml:space="preserve">, Киров, </w:t>
      </w:r>
      <w:proofErr w:type="spellStart"/>
      <w:r w:rsidRPr="00A259BD">
        <w:rPr>
          <w:rFonts w:ascii="Times New Roman" w:hAnsi="Times New Roman"/>
          <w:color w:val="000000" w:themeColor="text1"/>
          <w:sz w:val="16"/>
          <w:szCs w:val="16"/>
          <w:u w:color="002060"/>
        </w:rPr>
        <w:t>Кадацкий</w:t>
      </w:r>
      <w:proofErr w:type="spellEnd"/>
      <w:r w:rsidRPr="00A259BD">
        <w:rPr>
          <w:rFonts w:ascii="Times New Roman" w:hAnsi="Times New Roman"/>
          <w:color w:val="000000" w:themeColor="text1"/>
          <w:sz w:val="16"/>
          <w:szCs w:val="16"/>
          <w:u w:color="002060"/>
        </w:rPr>
        <w:t xml:space="preserve">, </w:t>
      </w:r>
      <w:proofErr w:type="spellStart"/>
      <w:r w:rsidRPr="00A259BD">
        <w:rPr>
          <w:rFonts w:ascii="Times New Roman" w:hAnsi="Times New Roman"/>
          <w:color w:val="000000" w:themeColor="text1"/>
          <w:sz w:val="16"/>
          <w:szCs w:val="16"/>
          <w:u w:color="002060"/>
        </w:rPr>
        <w:t>Рухимович</w:t>
      </w:r>
      <w:proofErr w:type="spellEnd"/>
      <w:r w:rsidRPr="00A259BD">
        <w:rPr>
          <w:rFonts w:ascii="Times New Roman" w:hAnsi="Times New Roman"/>
          <w:color w:val="000000" w:themeColor="text1"/>
          <w:sz w:val="16"/>
          <w:szCs w:val="16"/>
          <w:u w:color="002060"/>
        </w:rPr>
        <w:t xml:space="preserve">, Рудый, </w:t>
      </w:r>
      <w:proofErr w:type="spellStart"/>
      <w:r w:rsidRPr="00A259BD">
        <w:rPr>
          <w:rFonts w:ascii="Times New Roman" w:hAnsi="Times New Roman"/>
          <w:color w:val="000000" w:themeColor="text1"/>
          <w:sz w:val="16"/>
          <w:szCs w:val="16"/>
          <w:u w:color="002060"/>
        </w:rPr>
        <w:t>Зоф</w:t>
      </w:r>
      <w:proofErr w:type="spellEnd"/>
      <w:r w:rsidRPr="00A259BD">
        <w:rPr>
          <w:rFonts w:ascii="Times New Roman" w:hAnsi="Times New Roman"/>
          <w:color w:val="000000" w:themeColor="text1"/>
          <w:sz w:val="16"/>
          <w:szCs w:val="16"/>
          <w:u w:color="002060"/>
        </w:rPr>
        <w:t xml:space="preserve">, </w:t>
      </w:r>
      <w:proofErr w:type="spellStart"/>
      <w:r w:rsidRPr="00A259BD">
        <w:rPr>
          <w:rFonts w:ascii="Times New Roman" w:hAnsi="Times New Roman"/>
          <w:color w:val="000000" w:themeColor="text1"/>
          <w:sz w:val="16"/>
          <w:szCs w:val="16"/>
          <w:u w:color="002060"/>
        </w:rPr>
        <w:t>Савцов</w:t>
      </w:r>
      <w:proofErr w:type="spellEnd"/>
      <w:r w:rsidRPr="00A259BD">
        <w:rPr>
          <w:rFonts w:ascii="Times New Roman" w:hAnsi="Times New Roman"/>
          <w:color w:val="000000" w:themeColor="text1"/>
          <w:sz w:val="16"/>
          <w:szCs w:val="16"/>
          <w:u w:color="002060"/>
        </w:rPr>
        <w:t>, Коршунов, Каганович М.). 10. О состоянии и перспективах цветной металлургии (ПБ от 30 мая 1929 г., пр. № 82, п. 10). (Политбюро... Т. 1. С. 704) (12416).</w:t>
      </w:r>
    </w:p>
    <w:p w14:paraId="637CC91A" w14:textId="77777777" w:rsidR="00F8794A" w:rsidRPr="00A259BD" w:rsidRDefault="00F8794A" w:rsidP="009236E3">
      <w:pPr>
        <w:spacing w:after="0" w:line="240" w:lineRule="auto"/>
        <w:jc w:val="both"/>
        <w:rPr>
          <w:rFonts w:ascii="Times New Roman" w:hAnsi="Times New Roman"/>
          <w:color w:val="000000" w:themeColor="text1"/>
          <w:sz w:val="16"/>
          <w:szCs w:val="16"/>
          <w:u w:color="002060"/>
        </w:rPr>
      </w:pPr>
    </w:p>
    <w:p w14:paraId="453BE6FA"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618DA5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27C12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июля 1929 Киргизская АССР. В </w:t>
      </w:r>
      <w:proofErr w:type="spellStart"/>
      <w:r w:rsidRPr="00A259BD">
        <w:rPr>
          <w:rFonts w:ascii="Times New Roman" w:hAnsi="Times New Roman"/>
          <w:color w:val="000000" w:themeColor="text1"/>
          <w:sz w:val="16"/>
          <w:szCs w:val="16"/>
        </w:rPr>
        <w:t>с.Милонфан</w:t>
      </w:r>
      <w:proofErr w:type="spellEnd"/>
      <w:r w:rsidRPr="00A259BD">
        <w:rPr>
          <w:rFonts w:ascii="Times New Roman" w:hAnsi="Times New Roman"/>
          <w:color w:val="000000" w:themeColor="text1"/>
          <w:sz w:val="16"/>
          <w:szCs w:val="16"/>
        </w:rPr>
        <w:t xml:space="preserve"> по решению схода </w:t>
      </w:r>
      <w:proofErr w:type="spellStart"/>
      <w:r w:rsidRPr="00A259BD">
        <w:rPr>
          <w:rFonts w:ascii="Times New Roman" w:hAnsi="Times New Roman"/>
          <w:color w:val="000000" w:themeColor="text1"/>
          <w:sz w:val="16"/>
          <w:szCs w:val="16"/>
        </w:rPr>
        <w:t>декхан</w:t>
      </w:r>
      <w:proofErr w:type="spellEnd"/>
      <w:r w:rsidRPr="00A259BD">
        <w:rPr>
          <w:rFonts w:ascii="Times New Roman" w:hAnsi="Times New Roman"/>
          <w:color w:val="000000" w:themeColor="text1"/>
          <w:sz w:val="16"/>
          <w:szCs w:val="16"/>
        </w:rPr>
        <w:t xml:space="preserve"> публично выпороты кнутом и брошены в арык советские активисты (10687).</w:t>
      </w:r>
    </w:p>
    <w:p w14:paraId="0CE126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9E7124" w14:textId="77777777" w:rsidR="00BA6967"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D674A45" w14:textId="77777777" w:rsidR="00BA6967" w:rsidRPr="00A259BD" w:rsidRDefault="00BA696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E990AE3" w14:textId="77777777" w:rsidR="00BA6967" w:rsidRPr="00A259BD" w:rsidRDefault="00BA6967"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4 июля</w:t>
      </w:r>
      <w:r w:rsidRPr="00A259BD">
        <w:rPr>
          <w:rFonts w:ascii="Times New Roman" w:hAnsi="Times New Roman"/>
          <w:color w:val="000000" w:themeColor="text1"/>
          <w:sz w:val="16"/>
          <w:szCs w:val="16"/>
        </w:rPr>
        <w:t xml:space="preserve"> в 1929 году попытка трансатлантического перелета на самолете «Ca-87» «</w:t>
      </w:r>
      <w:proofErr w:type="spellStart"/>
      <w:r w:rsidRPr="00A259BD">
        <w:rPr>
          <w:rFonts w:ascii="Times New Roman" w:hAnsi="Times New Roman"/>
          <w:color w:val="000000" w:themeColor="text1"/>
          <w:sz w:val="16"/>
          <w:szCs w:val="16"/>
        </w:rPr>
        <w:t>Polonia</w:t>
      </w:r>
      <w:proofErr w:type="spellEnd"/>
      <w:r w:rsidRPr="00A259BD">
        <w:rPr>
          <w:rFonts w:ascii="Times New Roman" w:hAnsi="Times New Roman"/>
          <w:color w:val="000000" w:themeColor="text1"/>
          <w:sz w:val="16"/>
          <w:szCs w:val="16"/>
        </w:rPr>
        <w:t>». Однако новые двигатели «</w:t>
      </w:r>
      <w:proofErr w:type="spellStart"/>
      <w:r w:rsidRPr="00A259BD">
        <w:rPr>
          <w:rFonts w:ascii="Times New Roman" w:hAnsi="Times New Roman"/>
          <w:color w:val="000000" w:themeColor="text1"/>
          <w:sz w:val="16"/>
          <w:szCs w:val="16"/>
        </w:rPr>
        <w:t>Isotta</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Fraschini</w:t>
      </w:r>
      <w:proofErr w:type="spellEnd"/>
      <w:r w:rsidRPr="00A259BD">
        <w:rPr>
          <w:rFonts w:ascii="Times New Roman" w:hAnsi="Times New Roman"/>
          <w:color w:val="000000" w:themeColor="text1"/>
          <w:sz w:val="16"/>
          <w:szCs w:val="16"/>
        </w:rPr>
        <w:t>» работали с перебоями и сразу после взлета от дальнейшего пути отказались (14942).</w:t>
      </w:r>
    </w:p>
    <w:p w14:paraId="10438DCB" w14:textId="77777777" w:rsidR="00BA6967" w:rsidRPr="00A259BD" w:rsidRDefault="00BA6967" w:rsidP="009236E3">
      <w:pPr>
        <w:spacing w:after="0" w:line="240" w:lineRule="auto"/>
        <w:jc w:val="both"/>
        <w:rPr>
          <w:rFonts w:ascii="Times New Roman" w:hAnsi="Times New Roman"/>
          <w:color w:val="000000" w:themeColor="text1"/>
          <w:sz w:val="16"/>
          <w:szCs w:val="16"/>
        </w:rPr>
      </w:pPr>
    </w:p>
    <w:p w14:paraId="4A0D7451" w14:textId="77777777" w:rsidR="007C74D9" w:rsidRPr="00A259BD" w:rsidRDefault="007C74D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июля 1929 г. первый полет </w:t>
      </w:r>
      <w:proofErr w:type="spellStart"/>
      <w:r w:rsidRPr="00A259BD">
        <w:rPr>
          <w:rFonts w:ascii="Times New Roman" w:hAnsi="Times New Roman"/>
          <w:color w:val="000000" w:themeColor="text1"/>
          <w:sz w:val="16"/>
          <w:szCs w:val="16"/>
        </w:rPr>
        <w:t>Saro</w:t>
      </w:r>
      <w:proofErr w:type="spellEnd"/>
      <w:r w:rsidRPr="00A259BD">
        <w:rPr>
          <w:rFonts w:ascii="Times New Roman" w:hAnsi="Times New Roman"/>
          <w:color w:val="000000" w:themeColor="text1"/>
          <w:sz w:val="16"/>
          <w:szCs w:val="16"/>
        </w:rPr>
        <w:t xml:space="preserve"> A17 </w:t>
      </w:r>
      <w:proofErr w:type="spellStart"/>
      <w:r w:rsidRPr="00A259BD">
        <w:rPr>
          <w:rFonts w:ascii="Times New Roman" w:hAnsi="Times New Roman"/>
          <w:color w:val="000000" w:themeColor="text1"/>
          <w:sz w:val="16"/>
          <w:szCs w:val="16"/>
        </w:rPr>
        <w:t>Cutty</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Sark</w:t>
      </w:r>
      <w:proofErr w:type="spellEnd"/>
      <w:r w:rsidRPr="00A259BD">
        <w:rPr>
          <w:rFonts w:ascii="Times New Roman" w:hAnsi="Times New Roman"/>
          <w:color w:val="000000" w:themeColor="text1"/>
          <w:sz w:val="16"/>
          <w:szCs w:val="16"/>
        </w:rPr>
        <w:t xml:space="preserve"> (20806). </w:t>
      </w:r>
    </w:p>
    <w:p w14:paraId="0134204B" w14:textId="77777777" w:rsidR="007C74D9" w:rsidRPr="00A259BD" w:rsidRDefault="007C74D9" w:rsidP="009236E3">
      <w:pPr>
        <w:spacing w:after="0" w:line="240" w:lineRule="auto"/>
        <w:jc w:val="both"/>
        <w:rPr>
          <w:rFonts w:ascii="Times New Roman" w:hAnsi="Times New Roman"/>
          <w:color w:val="000000" w:themeColor="text1"/>
          <w:sz w:val="16"/>
          <w:szCs w:val="16"/>
        </w:rPr>
      </w:pPr>
    </w:p>
    <w:p w14:paraId="0AA36ABC" w14:textId="77777777" w:rsidR="00BA6967" w:rsidRPr="00A259BD" w:rsidRDefault="00BA6967"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4 июля</w:t>
      </w:r>
      <w:r w:rsidRPr="00A259BD">
        <w:rPr>
          <w:rFonts w:ascii="Times New Roman" w:hAnsi="Times New Roman"/>
          <w:color w:val="000000" w:themeColor="text1"/>
          <w:sz w:val="16"/>
          <w:szCs w:val="16"/>
        </w:rPr>
        <w:t xml:space="preserve"> в 1929 году первый полет опытного экземпляра </w:t>
      </w:r>
      <w:hyperlink r:id="rId75" w:tgtFrame="_blank" w:history="1">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Saro</w:t>
        </w:r>
        <w:proofErr w:type="spellEnd"/>
        <w:r w:rsidRPr="00A259BD">
          <w:rPr>
            <w:rFonts w:ascii="Times New Roman" w:hAnsi="Times New Roman"/>
            <w:color w:val="000000" w:themeColor="text1"/>
            <w:sz w:val="16"/>
            <w:szCs w:val="16"/>
          </w:rPr>
          <w:t>» «А.17» «</w:t>
        </w:r>
        <w:proofErr w:type="spellStart"/>
        <w:r w:rsidRPr="00A259BD">
          <w:rPr>
            <w:rFonts w:ascii="Times New Roman" w:hAnsi="Times New Roman"/>
            <w:color w:val="000000" w:themeColor="text1"/>
            <w:sz w:val="16"/>
            <w:szCs w:val="16"/>
          </w:rPr>
          <w:t>Cutty</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Sark</w:t>
        </w:r>
        <w:proofErr w:type="spellEnd"/>
        <w:r w:rsidRPr="00A259BD">
          <w:rPr>
            <w:rFonts w:ascii="Times New Roman" w:hAnsi="Times New Roman"/>
            <w:color w:val="000000" w:themeColor="text1"/>
            <w:sz w:val="16"/>
            <w:szCs w:val="16"/>
          </w:rPr>
          <w:t xml:space="preserve">», </w:t>
        </w:r>
      </w:hyperlink>
      <w:r w:rsidRPr="00A259BD">
        <w:rPr>
          <w:rFonts w:ascii="Times New Roman" w:hAnsi="Times New Roman"/>
          <w:color w:val="000000" w:themeColor="text1"/>
          <w:sz w:val="16"/>
          <w:szCs w:val="16"/>
        </w:rPr>
        <w:t>имеющего два двигателя «ADC» «Hermes I» мощностью 105 л.с., каждый из которых был установлен при помощи подкосов над крылом и вращал тянущий винт. «</w:t>
      </w:r>
      <w:proofErr w:type="spellStart"/>
      <w:r w:rsidRPr="00A259BD">
        <w:rPr>
          <w:rFonts w:ascii="Times New Roman" w:hAnsi="Times New Roman"/>
          <w:color w:val="000000" w:themeColor="text1"/>
          <w:sz w:val="16"/>
          <w:szCs w:val="16"/>
        </w:rPr>
        <w:t>Saro</w:t>
      </w:r>
      <w:proofErr w:type="spellEnd"/>
      <w:r w:rsidRPr="00A259BD">
        <w:rPr>
          <w:rFonts w:ascii="Times New Roman" w:hAnsi="Times New Roman"/>
          <w:color w:val="000000" w:themeColor="text1"/>
          <w:sz w:val="16"/>
          <w:szCs w:val="16"/>
        </w:rPr>
        <w:t>» «А.17» «</w:t>
      </w:r>
      <w:proofErr w:type="spellStart"/>
      <w:r w:rsidRPr="00A259BD">
        <w:rPr>
          <w:rFonts w:ascii="Times New Roman" w:hAnsi="Times New Roman"/>
          <w:color w:val="000000" w:themeColor="text1"/>
          <w:sz w:val="16"/>
          <w:szCs w:val="16"/>
        </w:rPr>
        <w:t>Cutty</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Sark</w:t>
      </w:r>
      <w:proofErr w:type="spellEnd"/>
      <w:r w:rsidRPr="00A259BD">
        <w:rPr>
          <w:rFonts w:ascii="Times New Roman" w:hAnsi="Times New Roman"/>
          <w:color w:val="000000" w:themeColor="text1"/>
          <w:sz w:val="16"/>
          <w:szCs w:val="16"/>
        </w:rPr>
        <w:t>», представлял собой легкую летающую лодку-моноплан, вмещавшую пилота и трех пассажиров. Эта летающая лодка позднее получила возможности амфибии после установки убирающегося шасси, и, поскольку аппарат имел удовлетворительные летные характеристики, было построено еще 11 экземпляров. Большинство из них имело два двигателя «</w:t>
      </w:r>
      <w:proofErr w:type="spellStart"/>
      <w:r w:rsidRPr="00A259BD">
        <w:rPr>
          <w:rFonts w:ascii="Times New Roman" w:hAnsi="Times New Roman"/>
          <w:color w:val="000000" w:themeColor="text1"/>
          <w:sz w:val="16"/>
          <w:szCs w:val="16"/>
        </w:rPr>
        <w:t>de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Havilland</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Gipsy</w:t>
      </w:r>
      <w:proofErr w:type="spellEnd"/>
      <w:r w:rsidRPr="00A259BD">
        <w:rPr>
          <w:rFonts w:ascii="Times New Roman" w:hAnsi="Times New Roman"/>
          <w:color w:val="000000" w:themeColor="text1"/>
          <w:sz w:val="16"/>
          <w:szCs w:val="16"/>
        </w:rPr>
        <w:t xml:space="preserve"> II» мощностью 120 л.с., но последние три самолета были оснащены самой мощной силовой установкой, состоявшей из двигателей «</w:t>
      </w:r>
      <w:proofErr w:type="spellStart"/>
      <w:r w:rsidRPr="00A259BD">
        <w:rPr>
          <w:rFonts w:ascii="Times New Roman" w:hAnsi="Times New Roman"/>
          <w:color w:val="000000" w:themeColor="text1"/>
          <w:sz w:val="16"/>
          <w:szCs w:val="16"/>
        </w:rPr>
        <w:t>Armstrong</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Siddeley</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Genet</w:t>
      </w:r>
      <w:proofErr w:type="spellEnd"/>
      <w:r w:rsidRPr="00A259BD">
        <w:rPr>
          <w:rFonts w:ascii="Times New Roman" w:hAnsi="Times New Roman"/>
          <w:color w:val="000000" w:themeColor="text1"/>
          <w:sz w:val="16"/>
          <w:szCs w:val="16"/>
        </w:rPr>
        <w:t xml:space="preserve"> Major I.» Единственный самолет (G-ABVF), построенный для перелета из Сан-Франциско в Японию, имел один двигатель «</w:t>
      </w:r>
      <w:proofErr w:type="spellStart"/>
      <w:r w:rsidRPr="00A259BD">
        <w:rPr>
          <w:rFonts w:ascii="Times New Roman" w:hAnsi="Times New Roman"/>
          <w:color w:val="000000" w:themeColor="text1"/>
          <w:sz w:val="16"/>
          <w:szCs w:val="16"/>
        </w:rPr>
        <w:t>Armstrong</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Siddeley</w:t>
      </w:r>
      <w:proofErr w:type="spellEnd"/>
      <w:r w:rsidRPr="00A259BD">
        <w:rPr>
          <w:rFonts w:ascii="Times New Roman" w:hAnsi="Times New Roman"/>
          <w:color w:val="000000" w:themeColor="text1"/>
          <w:sz w:val="16"/>
          <w:szCs w:val="16"/>
        </w:rPr>
        <w:t>» «Lynx IVC2 мощностью 240 л.с., увеличенный запас топлива и не был амфибией. Большинство самолетов активно использовалось, в том числе как учебно-тренировочные машины до 1938 года (14942).</w:t>
      </w:r>
    </w:p>
    <w:p w14:paraId="3A425470" w14:textId="77777777" w:rsidR="00BA6967" w:rsidRPr="00A259BD" w:rsidRDefault="00BA6967" w:rsidP="009236E3">
      <w:pPr>
        <w:spacing w:after="0" w:line="240" w:lineRule="auto"/>
        <w:jc w:val="both"/>
        <w:rPr>
          <w:rFonts w:ascii="Times New Roman" w:hAnsi="Times New Roman"/>
          <w:color w:val="000000" w:themeColor="text1"/>
          <w:sz w:val="16"/>
          <w:szCs w:val="16"/>
        </w:rPr>
      </w:pPr>
    </w:p>
    <w:p w14:paraId="45912C9A" w14:textId="77777777" w:rsidR="007C74D9" w:rsidRPr="00A259BD" w:rsidRDefault="007C74D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июля 1929 японский летчиком </w:t>
      </w:r>
      <w:proofErr w:type="spellStart"/>
      <w:r w:rsidRPr="00A259BD">
        <w:rPr>
          <w:rFonts w:ascii="Times New Roman" w:hAnsi="Times New Roman"/>
          <w:color w:val="000000" w:themeColor="text1"/>
          <w:sz w:val="16"/>
          <w:szCs w:val="16"/>
        </w:rPr>
        <w:t>Масаси</w:t>
      </w:r>
      <w:proofErr w:type="spellEnd"/>
      <w:r w:rsidRPr="00A259BD">
        <w:rPr>
          <w:rFonts w:ascii="Times New Roman" w:hAnsi="Times New Roman"/>
          <w:color w:val="000000" w:themeColor="text1"/>
          <w:sz w:val="16"/>
          <w:szCs w:val="16"/>
        </w:rPr>
        <w:t xml:space="preserve"> Гото падает и погибает в Юте на начальной стадии попытки полета по всему миру, пересекая континенты Северной Америки, Европы и Азии (20806).</w:t>
      </w:r>
    </w:p>
    <w:p w14:paraId="6D68E104" w14:textId="77777777" w:rsidR="007C74D9" w:rsidRPr="00A259BD" w:rsidRDefault="007C74D9" w:rsidP="009236E3">
      <w:pPr>
        <w:spacing w:after="0" w:line="240" w:lineRule="auto"/>
        <w:jc w:val="both"/>
        <w:rPr>
          <w:rFonts w:ascii="Times New Roman" w:hAnsi="Times New Roman"/>
          <w:color w:val="000000" w:themeColor="text1"/>
          <w:sz w:val="16"/>
          <w:szCs w:val="16"/>
        </w:rPr>
      </w:pPr>
    </w:p>
    <w:p w14:paraId="1DAE11A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9E6DEC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8FE10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июля 1929 был вновь заключен договор УВВС с ЦАГИ на разработку гидросамолета - дальнего морского разведчика - экспериментального, </w:t>
      </w:r>
      <w:proofErr w:type="spellStart"/>
      <w:r w:rsidRPr="00A259BD">
        <w:rPr>
          <w:rFonts w:ascii="Times New Roman" w:hAnsi="Times New Roman"/>
          <w:color w:val="000000" w:themeColor="text1"/>
          <w:sz w:val="16"/>
          <w:szCs w:val="16"/>
        </w:rPr>
        <w:t>однолодочного</w:t>
      </w:r>
      <w:proofErr w:type="spellEnd"/>
      <w:r w:rsidRPr="00A259BD">
        <w:rPr>
          <w:rFonts w:ascii="Times New Roman" w:hAnsi="Times New Roman"/>
          <w:color w:val="000000" w:themeColor="text1"/>
          <w:sz w:val="16"/>
          <w:szCs w:val="16"/>
        </w:rPr>
        <w:t xml:space="preserve"> с двумя БМВ-6 и крылом от Р-6. Первый договор был подписан в январе 1926 (1076,885).</w:t>
      </w:r>
    </w:p>
    <w:p w14:paraId="75C70B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175BF6" w14:textId="77777777" w:rsidR="00F8794A"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B2FD916" w14:textId="77777777" w:rsidR="00F8794A" w:rsidRPr="00A259BD" w:rsidRDefault="00F8794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A8106A" w14:textId="77777777" w:rsidR="00F8794A" w:rsidRPr="00A259BD" w:rsidRDefault="00F8794A"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5 июля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СНК принял постановление «О мерах к улучшению производственного режима и укреплению трудовой дисциплины в предприятиях» (12265).</w:t>
      </w:r>
    </w:p>
    <w:p w14:paraId="1B8A69CF" w14:textId="77777777" w:rsidR="00F8794A" w:rsidRPr="00A259BD" w:rsidRDefault="00F8794A" w:rsidP="009236E3">
      <w:pPr>
        <w:spacing w:after="0" w:line="240" w:lineRule="auto"/>
        <w:jc w:val="both"/>
        <w:rPr>
          <w:rFonts w:ascii="Times New Roman" w:hAnsi="Times New Roman"/>
          <w:color w:val="000000" w:themeColor="text1"/>
          <w:sz w:val="16"/>
          <w:szCs w:val="16"/>
        </w:rPr>
      </w:pPr>
    </w:p>
    <w:p w14:paraId="065AFAC3" w14:textId="77777777" w:rsidR="007C74D9" w:rsidRPr="00A259BD" w:rsidRDefault="007C74D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июля 1929 г. СНК усилил ответственность администрации за состояние дисциплины и производственного режима. Указывалось об ответственности за порчу материалов (21332).</w:t>
      </w:r>
    </w:p>
    <w:p w14:paraId="6B52AFA1" w14:textId="77777777" w:rsidR="007C74D9" w:rsidRPr="00A259BD" w:rsidRDefault="007C74D9" w:rsidP="009236E3">
      <w:pPr>
        <w:spacing w:after="0" w:line="240" w:lineRule="auto"/>
        <w:jc w:val="both"/>
        <w:rPr>
          <w:rFonts w:ascii="Times New Roman" w:hAnsi="Times New Roman"/>
          <w:color w:val="000000" w:themeColor="text1"/>
          <w:sz w:val="16"/>
          <w:szCs w:val="16"/>
        </w:rPr>
      </w:pPr>
    </w:p>
    <w:p w14:paraId="2809DFA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DD4C42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7613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июля 1929 прошли морские испытания Ш-1 В.Б.Ш. (2668).</w:t>
      </w:r>
    </w:p>
    <w:p w14:paraId="7AE4DD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08C38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июля 1929 г. начались морские испытания летающей лодки Ш-1 </w:t>
      </w:r>
      <w:proofErr w:type="spellStart"/>
      <w:r w:rsidRPr="00A259BD">
        <w:rPr>
          <w:rFonts w:ascii="Times New Roman" w:hAnsi="Times New Roman"/>
          <w:color w:val="000000" w:themeColor="text1"/>
          <w:sz w:val="16"/>
          <w:szCs w:val="16"/>
        </w:rPr>
        <w:t>В.Б.Шаврова</w:t>
      </w:r>
      <w:proofErr w:type="spellEnd"/>
      <w:r w:rsidRPr="00A259BD">
        <w:rPr>
          <w:rFonts w:ascii="Times New Roman" w:hAnsi="Times New Roman"/>
          <w:color w:val="000000" w:themeColor="text1"/>
          <w:sz w:val="16"/>
          <w:szCs w:val="16"/>
        </w:rPr>
        <w:t xml:space="preserve"> (6395).</w:t>
      </w:r>
    </w:p>
    <w:p w14:paraId="204205C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E5A207" w14:textId="77777777" w:rsidR="00FC4BF2" w:rsidRPr="00A259BD" w:rsidRDefault="00FC4B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6 июля</w:t>
      </w:r>
      <w:r w:rsidRPr="00A259BD">
        <w:rPr>
          <w:rFonts w:ascii="Times New Roman" w:hAnsi="Times New Roman"/>
          <w:color w:val="000000" w:themeColor="text1"/>
          <w:sz w:val="16"/>
          <w:szCs w:val="16"/>
        </w:rPr>
        <w:t xml:space="preserve"> в 1929 году морские испытания летающей лодки </w:t>
      </w:r>
      <w:hyperlink r:id="rId76" w:tgtFrame="_blank" w:history="1">
        <w:r w:rsidRPr="00A259BD">
          <w:rPr>
            <w:rFonts w:ascii="Times New Roman" w:hAnsi="Times New Roman"/>
            <w:color w:val="000000" w:themeColor="text1"/>
            <w:sz w:val="16"/>
            <w:szCs w:val="16"/>
          </w:rPr>
          <w:t xml:space="preserve">«Ш-1» </w:t>
        </w:r>
      </w:hyperlink>
      <w:proofErr w:type="spellStart"/>
      <w:r w:rsidRPr="00A259BD">
        <w:rPr>
          <w:rFonts w:ascii="Times New Roman" w:hAnsi="Times New Roman"/>
          <w:color w:val="000000" w:themeColor="text1"/>
          <w:sz w:val="16"/>
          <w:szCs w:val="16"/>
        </w:rPr>
        <w:t>В.Б.Шаврова</w:t>
      </w:r>
      <w:proofErr w:type="spellEnd"/>
      <w:r w:rsidRPr="00A259BD">
        <w:rPr>
          <w:rFonts w:ascii="Times New Roman" w:hAnsi="Times New Roman"/>
          <w:color w:val="000000" w:themeColor="text1"/>
          <w:sz w:val="16"/>
          <w:szCs w:val="16"/>
        </w:rPr>
        <w:t xml:space="preserve"> (14944).</w:t>
      </w:r>
    </w:p>
    <w:p w14:paraId="4785B97D" w14:textId="77777777" w:rsidR="00FC4BF2" w:rsidRPr="00A259BD" w:rsidRDefault="00FC4BF2" w:rsidP="009236E3">
      <w:pPr>
        <w:spacing w:after="0" w:line="240" w:lineRule="auto"/>
        <w:jc w:val="both"/>
        <w:rPr>
          <w:rFonts w:ascii="Times New Roman" w:hAnsi="Times New Roman"/>
          <w:color w:val="000000" w:themeColor="text1"/>
          <w:sz w:val="16"/>
          <w:szCs w:val="16"/>
        </w:rPr>
      </w:pPr>
    </w:p>
    <w:p w14:paraId="1FF5D19B" w14:textId="77777777" w:rsidR="007C74D9" w:rsidRPr="00A259BD" w:rsidRDefault="007C74D9"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bookmarkStart w:id="67" w:name="_Hlk75786346"/>
      <w:r w:rsidRPr="00A259BD">
        <w:rPr>
          <w:rFonts w:ascii="Times New Roman" w:eastAsia="Times New Roman" w:hAnsi="Times New Roman"/>
          <w:color w:val="000000" w:themeColor="text1"/>
          <w:sz w:val="16"/>
          <w:szCs w:val="16"/>
          <w:lang w:eastAsia="ru-RU"/>
        </w:rPr>
        <w:t xml:space="preserve">С 6 по 9 июля 1929 был выполнен перелет командиров авиационных бригад. Маршрут перелета представлял собой два замкнутых круга: Москва – Ленинград – Витебск – Гомель – Киев – </w:t>
      </w:r>
      <w:proofErr w:type="spellStart"/>
      <w:r w:rsidRPr="00A259BD">
        <w:rPr>
          <w:rFonts w:ascii="Times New Roman" w:eastAsia="Times New Roman" w:hAnsi="Times New Roman"/>
          <w:color w:val="000000" w:themeColor="text1"/>
          <w:sz w:val="16"/>
          <w:szCs w:val="16"/>
          <w:lang w:eastAsia="ru-RU"/>
        </w:rPr>
        <w:t>Зиновьевск</w:t>
      </w:r>
      <w:proofErr w:type="spellEnd"/>
      <w:r w:rsidRPr="00A259BD">
        <w:rPr>
          <w:rFonts w:ascii="Times New Roman" w:eastAsia="Times New Roman" w:hAnsi="Times New Roman"/>
          <w:color w:val="000000" w:themeColor="text1"/>
          <w:sz w:val="16"/>
          <w:szCs w:val="16"/>
          <w:lang w:eastAsia="ru-RU"/>
        </w:rPr>
        <w:t xml:space="preserve"> – Харьков – Москва и Москва – Нижний Новгород – Казань – Вольск – Сталинград – Воронеж – Москва. Общая </w:t>
      </w:r>
      <w:proofErr w:type="spellStart"/>
      <w:r w:rsidRPr="00A259BD">
        <w:rPr>
          <w:rFonts w:ascii="Times New Roman" w:eastAsia="Times New Roman" w:hAnsi="Times New Roman"/>
          <w:color w:val="000000" w:themeColor="text1"/>
          <w:sz w:val="16"/>
          <w:szCs w:val="16"/>
          <w:lang w:eastAsia="ru-RU"/>
        </w:rPr>
        <w:t>протяженнось</w:t>
      </w:r>
      <w:proofErr w:type="spellEnd"/>
      <w:r w:rsidRPr="00A259BD">
        <w:rPr>
          <w:rFonts w:ascii="Times New Roman" w:eastAsia="Times New Roman" w:hAnsi="Times New Roman"/>
          <w:color w:val="000000" w:themeColor="text1"/>
          <w:sz w:val="16"/>
          <w:szCs w:val="16"/>
          <w:lang w:eastAsia="ru-RU"/>
        </w:rPr>
        <w:t xml:space="preserve"> маршрута 5520 километров.</w:t>
      </w:r>
    </w:p>
    <w:p w14:paraId="3476EAE5" w14:textId="77777777" w:rsidR="007C74D9" w:rsidRPr="00A259BD" w:rsidRDefault="007C74D9"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Первым закончил перелет самолет Р-1 «Центросоюз СССР» под управлением командира 11-й авиабригады из Воронежа А.М. </w:t>
      </w:r>
      <w:proofErr w:type="spellStart"/>
      <w:r w:rsidRPr="00A259BD">
        <w:rPr>
          <w:rFonts w:ascii="Times New Roman" w:eastAsia="Times New Roman" w:hAnsi="Times New Roman"/>
          <w:color w:val="000000" w:themeColor="text1"/>
          <w:sz w:val="16"/>
          <w:szCs w:val="16"/>
          <w:lang w:eastAsia="ru-RU"/>
        </w:rPr>
        <w:t>Осадшего</w:t>
      </w:r>
      <w:proofErr w:type="spellEnd"/>
      <w:r w:rsidRPr="00A259BD">
        <w:rPr>
          <w:rFonts w:ascii="Times New Roman" w:eastAsia="Times New Roman" w:hAnsi="Times New Roman"/>
          <w:color w:val="000000" w:themeColor="text1"/>
          <w:sz w:val="16"/>
          <w:szCs w:val="16"/>
          <w:lang w:eastAsia="ru-RU"/>
        </w:rPr>
        <w:t xml:space="preserve"> и старшего летчика М.А. Горбунова. Они преодолели заданный маршрут со средней скоростью 152,5 км/час.</w:t>
      </w:r>
    </w:p>
    <w:p w14:paraId="511E26E3" w14:textId="77777777" w:rsidR="007C74D9" w:rsidRPr="00A259BD" w:rsidRDefault="007C74D9"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Продолжительность перелета составила от 59 часов 02 минут до 88 часов 44 минут, полетное время – от 34 часа 59 минут до 40 часов 39 минут.</w:t>
      </w:r>
    </w:p>
    <w:p w14:paraId="0CC6A830" w14:textId="77777777" w:rsidR="007C74D9" w:rsidRPr="00A259BD" w:rsidRDefault="007C74D9"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Наиболее значительным недостатком, выявленным в ходе перелета, стало отсутствие опыта полета в облаках. Важным условием перелета являлось соблюдение высоты 2000 метров. Причем, за ее увеличение добавлялись очки, а за снижение – брался штраф. Между тем, из всех экипажей только два получили добавочные очки. Очевидно, экипажи предпочитали при наличии облачности идти под облаками.</w:t>
      </w:r>
    </w:p>
    <w:p w14:paraId="3C2EE51F" w14:textId="77777777" w:rsidR="007C74D9" w:rsidRPr="00A259BD" w:rsidRDefault="007C74D9"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Исправность самолетов и двигателей оценили как очень высокую. Были зафиксированы лишь незначительные дефекты (отказ динамо, течь сальника водяной помпы, повреждение колеса и амортизатора костыля и т.п.). Отмечен лишь один случай ошибочных действий технического состава при заправке самолета, который привел к вынужденной посадке самолета командира 7 авиабригады А.И. Берггольца, вследствие чего он задержался в пути.</w:t>
      </w:r>
    </w:p>
    <w:p w14:paraId="6E18AC21" w14:textId="77777777" w:rsidR="007C74D9" w:rsidRPr="00A259BD" w:rsidRDefault="007C74D9"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Комиссия по перелетам присудила первый приз экипажу А.М. </w:t>
      </w:r>
      <w:proofErr w:type="spellStart"/>
      <w:r w:rsidRPr="00A259BD">
        <w:rPr>
          <w:rFonts w:ascii="Times New Roman" w:eastAsia="Times New Roman" w:hAnsi="Times New Roman"/>
          <w:color w:val="000000" w:themeColor="text1"/>
          <w:sz w:val="16"/>
          <w:szCs w:val="16"/>
          <w:lang w:eastAsia="ru-RU"/>
        </w:rPr>
        <w:t>Осадшего</w:t>
      </w:r>
      <w:proofErr w:type="spellEnd"/>
      <w:r w:rsidRPr="00A259BD">
        <w:rPr>
          <w:rFonts w:ascii="Times New Roman" w:eastAsia="Times New Roman" w:hAnsi="Times New Roman"/>
          <w:color w:val="000000" w:themeColor="text1"/>
          <w:sz w:val="16"/>
          <w:szCs w:val="16"/>
          <w:lang w:eastAsia="ru-RU"/>
        </w:rPr>
        <w:t>, набравшим 640 очков из 700 возможных. Второй приз присужден командиру N-й авиабригады В.И. Чекалову и старшему летчику Смирнову, набравшим 538 очков, третий приз присужден командиру 5-й авиабригады (г. Киев) С.А. Чернобровкину и старшему летчику Беляеву, набравшим 519 очков. Не забыла комиссия и авиационных техников подготовивших самолеты к перелету. Им так же были вручены денежные премии (21249).</w:t>
      </w:r>
    </w:p>
    <w:bookmarkEnd w:id="67"/>
    <w:p w14:paraId="43904DF9" w14:textId="77777777" w:rsidR="007C74D9" w:rsidRPr="00A259BD" w:rsidRDefault="007C74D9" w:rsidP="009236E3">
      <w:pPr>
        <w:spacing w:after="0" w:line="240" w:lineRule="auto"/>
        <w:jc w:val="both"/>
        <w:rPr>
          <w:rFonts w:ascii="Times New Roman" w:hAnsi="Times New Roman"/>
          <w:color w:val="000000" w:themeColor="text1"/>
          <w:sz w:val="16"/>
          <w:szCs w:val="16"/>
        </w:rPr>
      </w:pPr>
    </w:p>
    <w:p w14:paraId="67F11775" w14:textId="77777777" w:rsidR="007E0E96" w:rsidRPr="00A259BD" w:rsidRDefault="007E0E96"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271DC30A" w14:textId="77777777" w:rsidR="007E0E96" w:rsidRPr="00A259BD" w:rsidRDefault="007E0E9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D020D0" w14:textId="77777777" w:rsidR="007E0E96" w:rsidRPr="00A259BD" w:rsidRDefault="007E0E96"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6-9 июля 1929 был проведен большой тренировочный перелет командиров авиабригад на Р-1 с нагрузкой 765 кг. Стартовали из Москвы и по двум замкнутым кругам прошли 5520 км (271,115). Два маршрута - западный - Москва - Ленинград - Витебск - Гомель - Киев - </w:t>
      </w:r>
      <w:proofErr w:type="spellStart"/>
      <w:r w:rsidRPr="00A259BD">
        <w:rPr>
          <w:rFonts w:ascii="Times New Roman" w:hAnsi="Times New Roman"/>
          <w:color w:val="000000" w:themeColor="text1"/>
          <w:sz w:val="16"/>
          <w:szCs w:val="16"/>
        </w:rPr>
        <w:t>Зиновьевск</w:t>
      </w:r>
      <w:proofErr w:type="spellEnd"/>
      <w:r w:rsidRPr="00A259BD">
        <w:rPr>
          <w:rFonts w:ascii="Times New Roman" w:hAnsi="Times New Roman"/>
          <w:color w:val="000000" w:themeColor="text1"/>
          <w:sz w:val="16"/>
          <w:szCs w:val="16"/>
        </w:rPr>
        <w:t xml:space="preserve"> - Харьков - Москва и </w:t>
      </w:r>
      <w:proofErr w:type="spellStart"/>
      <w:r w:rsidRPr="00A259BD">
        <w:rPr>
          <w:rFonts w:ascii="Times New Roman" w:hAnsi="Times New Roman"/>
          <w:color w:val="000000" w:themeColor="text1"/>
          <w:sz w:val="16"/>
          <w:szCs w:val="16"/>
        </w:rPr>
        <w:t>востояный</w:t>
      </w:r>
      <w:proofErr w:type="spellEnd"/>
      <w:r w:rsidRPr="00A259BD">
        <w:rPr>
          <w:rFonts w:ascii="Times New Roman" w:hAnsi="Times New Roman"/>
          <w:color w:val="000000" w:themeColor="text1"/>
          <w:sz w:val="16"/>
          <w:szCs w:val="16"/>
        </w:rPr>
        <w:t xml:space="preserve"> - Москва - Казань - Вольск - Сталинград - Ворошилов - Москва (6594, 15).</w:t>
      </w:r>
    </w:p>
    <w:p w14:paraId="3A879EA9" w14:textId="77777777" w:rsidR="007E0E96" w:rsidRPr="00A259BD" w:rsidRDefault="007E0E96" w:rsidP="009236E3">
      <w:pPr>
        <w:autoSpaceDE w:val="0"/>
        <w:autoSpaceDN w:val="0"/>
        <w:adjustRightInd w:val="0"/>
        <w:spacing w:after="0" w:line="240" w:lineRule="auto"/>
        <w:jc w:val="both"/>
        <w:rPr>
          <w:rFonts w:ascii="Times New Roman" w:hAnsi="Times New Roman"/>
          <w:color w:val="000000" w:themeColor="text1"/>
          <w:sz w:val="16"/>
          <w:szCs w:val="16"/>
        </w:rPr>
      </w:pPr>
    </w:p>
    <w:p w14:paraId="299FE917" w14:textId="7744334A" w:rsidR="00293C2D" w:rsidRPr="006B74EB" w:rsidRDefault="00293C2D" w:rsidP="00293C2D">
      <w:pPr>
        <w:spacing w:after="0" w:line="240" w:lineRule="auto"/>
        <w:jc w:val="both"/>
        <w:rPr>
          <w:rFonts w:ascii="Times New Roman" w:hAnsi="Times New Roman"/>
          <w:color w:val="0070C0"/>
          <w:sz w:val="16"/>
          <w:szCs w:val="16"/>
        </w:rPr>
      </w:pPr>
      <w:r>
        <w:rPr>
          <w:rFonts w:ascii="Times New Roman" w:hAnsi="Times New Roman"/>
          <w:color w:val="0070C0"/>
          <w:sz w:val="16"/>
          <w:szCs w:val="16"/>
        </w:rPr>
        <w:t>6</w:t>
      </w:r>
      <w:r w:rsidRPr="006B74EB">
        <w:rPr>
          <w:rFonts w:ascii="Times New Roman" w:hAnsi="Times New Roman"/>
          <w:color w:val="0070C0"/>
          <w:sz w:val="16"/>
          <w:szCs w:val="16"/>
        </w:rPr>
        <w:t>-9 июля</w:t>
      </w:r>
      <w:r>
        <w:rPr>
          <w:rFonts w:ascii="Times New Roman" w:hAnsi="Times New Roman"/>
          <w:color w:val="0070C0"/>
          <w:sz w:val="16"/>
          <w:szCs w:val="16"/>
        </w:rPr>
        <w:t xml:space="preserve"> 1929 г</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состоялся перелет командиров авиационных бригад,</w:t>
      </w:r>
      <w:r>
        <w:rPr>
          <w:rFonts w:ascii="Times New Roman" w:hAnsi="Times New Roman"/>
          <w:color w:val="0070C0"/>
          <w:sz w:val="16"/>
          <w:szCs w:val="16"/>
        </w:rPr>
        <w:t xml:space="preserve"> </w:t>
      </w:r>
      <w:r w:rsidRPr="006B74EB">
        <w:rPr>
          <w:rFonts w:ascii="Times New Roman" w:hAnsi="Times New Roman"/>
          <w:color w:val="0070C0"/>
          <w:sz w:val="16"/>
          <w:szCs w:val="16"/>
        </w:rPr>
        <w:t>орга</w:t>
      </w:r>
      <w:r>
        <w:rPr>
          <w:rFonts w:ascii="Times New Roman" w:hAnsi="Times New Roman"/>
          <w:color w:val="0070C0"/>
          <w:sz w:val="16"/>
          <w:szCs w:val="16"/>
        </w:rPr>
        <w:t>низован</w:t>
      </w:r>
      <w:r w:rsidRPr="006B74EB">
        <w:rPr>
          <w:rFonts w:ascii="Times New Roman" w:hAnsi="Times New Roman"/>
          <w:color w:val="0070C0"/>
          <w:sz w:val="16"/>
          <w:szCs w:val="16"/>
        </w:rPr>
        <w:t xml:space="preserve">ный Осоавиахимом </w:t>
      </w:r>
      <w:r>
        <w:rPr>
          <w:rFonts w:ascii="Times New Roman" w:hAnsi="Times New Roman"/>
          <w:color w:val="0070C0"/>
          <w:sz w:val="16"/>
          <w:szCs w:val="16"/>
        </w:rPr>
        <w:t>и</w:t>
      </w:r>
      <w:r w:rsidRPr="006B74EB">
        <w:rPr>
          <w:rFonts w:ascii="Times New Roman" w:hAnsi="Times New Roman"/>
          <w:color w:val="0070C0"/>
          <w:sz w:val="16"/>
          <w:szCs w:val="16"/>
        </w:rPr>
        <w:t xml:space="preserve"> ВВС для проверки комбригов в боевой</w:t>
      </w:r>
      <w:r>
        <w:rPr>
          <w:rFonts w:ascii="Times New Roman" w:hAnsi="Times New Roman"/>
          <w:color w:val="0070C0"/>
          <w:sz w:val="16"/>
          <w:szCs w:val="16"/>
        </w:rPr>
        <w:t xml:space="preserve"> по</w:t>
      </w:r>
      <w:r w:rsidRPr="006B74EB">
        <w:rPr>
          <w:rFonts w:ascii="Times New Roman" w:hAnsi="Times New Roman"/>
          <w:color w:val="0070C0"/>
          <w:sz w:val="16"/>
          <w:szCs w:val="16"/>
        </w:rPr>
        <w:t>дготовке в различных условиях полета.</w:t>
      </w:r>
      <w:r>
        <w:rPr>
          <w:rFonts w:ascii="Times New Roman" w:hAnsi="Times New Roman"/>
          <w:color w:val="0070C0"/>
          <w:sz w:val="16"/>
          <w:szCs w:val="16"/>
        </w:rPr>
        <w:t xml:space="preserve"> В</w:t>
      </w:r>
      <w:r w:rsidRPr="006B74EB">
        <w:rPr>
          <w:rFonts w:ascii="Times New Roman" w:hAnsi="Times New Roman"/>
          <w:color w:val="0070C0"/>
          <w:sz w:val="16"/>
          <w:szCs w:val="16"/>
        </w:rPr>
        <w:t xml:space="preserve"> перелете участвовали </w:t>
      </w:r>
      <w:proofErr w:type="spellStart"/>
      <w:r>
        <w:rPr>
          <w:rFonts w:ascii="Times New Roman" w:hAnsi="Times New Roman"/>
          <w:color w:val="0070C0"/>
          <w:sz w:val="16"/>
          <w:szCs w:val="16"/>
        </w:rPr>
        <w:t>к</w:t>
      </w:r>
      <w:r w:rsidRPr="006B74EB">
        <w:rPr>
          <w:rFonts w:ascii="Times New Roman" w:hAnsi="Times New Roman"/>
          <w:color w:val="0070C0"/>
          <w:sz w:val="16"/>
          <w:szCs w:val="16"/>
        </w:rPr>
        <w:t>омбрнг</w:t>
      </w:r>
      <w:proofErr w:type="spellEnd"/>
      <w:r w:rsidRPr="006B74EB">
        <w:rPr>
          <w:rFonts w:ascii="Times New Roman" w:hAnsi="Times New Roman"/>
          <w:color w:val="0070C0"/>
          <w:sz w:val="16"/>
          <w:szCs w:val="16"/>
        </w:rPr>
        <w:t xml:space="preserve"> </w:t>
      </w:r>
      <w:r>
        <w:rPr>
          <w:rFonts w:ascii="Times New Roman" w:hAnsi="Times New Roman"/>
          <w:color w:val="0070C0"/>
          <w:sz w:val="16"/>
          <w:szCs w:val="16"/>
        </w:rPr>
        <w:t>Н</w:t>
      </w:r>
      <w:r w:rsidRPr="006B74EB">
        <w:rPr>
          <w:rFonts w:ascii="Times New Roman" w:hAnsi="Times New Roman"/>
          <w:color w:val="0070C0"/>
          <w:sz w:val="16"/>
          <w:szCs w:val="16"/>
        </w:rPr>
        <w:t>.</w:t>
      </w:r>
      <w:r>
        <w:rPr>
          <w:rFonts w:ascii="Times New Roman" w:hAnsi="Times New Roman"/>
          <w:color w:val="0070C0"/>
          <w:sz w:val="16"/>
          <w:szCs w:val="16"/>
        </w:rPr>
        <w:t>Н</w:t>
      </w:r>
      <w:r w:rsidRPr="006B74EB">
        <w:rPr>
          <w:rFonts w:ascii="Times New Roman" w:hAnsi="Times New Roman"/>
          <w:color w:val="0070C0"/>
          <w:sz w:val="16"/>
          <w:szCs w:val="16"/>
        </w:rPr>
        <w:t xml:space="preserve"> Васильченко /Тифлис/, </w:t>
      </w:r>
      <w:proofErr w:type="spellStart"/>
      <w:r w:rsidRPr="006B74EB">
        <w:rPr>
          <w:rFonts w:ascii="Times New Roman" w:hAnsi="Times New Roman"/>
          <w:color w:val="0070C0"/>
          <w:sz w:val="16"/>
          <w:szCs w:val="16"/>
        </w:rPr>
        <w:t>В.И.Чекалов</w:t>
      </w:r>
      <w:proofErr w:type="spellEnd"/>
      <w:r w:rsidRPr="006B74EB">
        <w:rPr>
          <w:rFonts w:ascii="Times New Roman" w:hAnsi="Times New Roman"/>
          <w:color w:val="0070C0"/>
          <w:sz w:val="16"/>
          <w:szCs w:val="16"/>
        </w:rPr>
        <w:t xml:space="preserve"> /Гатчина/, Ч</w:t>
      </w:r>
      <w:r>
        <w:rPr>
          <w:rFonts w:ascii="Times New Roman" w:hAnsi="Times New Roman"/>
          <w:color w:val="0070C0"/>
          <w:sz w:val="16"/>
          <w:szCs w:val="16"/>
        </w:rPr>
        <w:t xml:space="preserve">ернобровкин, </w:t>
      </w:r>
      <w:proofErr w:type="spellStart"/>
      <w:r>
        <w:rPr>
          <w:rFonts w:ascii="Times New Roman" w:hAnsi="Times New Roman"/>
          <w:color w:val="0070C0"/>
          <w:sz w:val="16"/>
          <w:szCs w:val="16"/>
        </w:rPr>
        <w:t>А</w:t>
      </w:r>
      <w:r w:rsidRPr="006B74EB">
        <w:rPr>
          <w:rFonts w:ascii="Times New Roman" w:hAnsi="Times New Roman"/>
          <w:color w:val="0070C0"/>
          <w:sz w:val="16"/>
          <w:szCs w:val="16"/>
        </w:rPr>
        <w:t>.</w:t>
      </w:r>
      <w:r>
        <w:rPr>
          <w:rFonts w:ascii="Times New Roman" w:hAnsi="Times New Roman"/>
          <w:color w:val="0070C0"/>
          <w:sz w:val="16"/>
          <w:szCs w:val="16"/>
        </w:rPr>
        <w:t>М</w:t>
      </w:r>
      <w:r w:rsidRPr="006B74EB">
        <w:rPr>
          <w:rFonts w:ascii="Times New Roman" w:hAnsi="Times New Roman"/>
          <w:color w:val="0070C0"/>
          <w:sz w:val="16"/>
          <w:szCs w:val="16"/>
        </w:rPr>
        <w:t>.Осадчий</w:t>
      </w:r>
      <w:proofErr w:type="spellEnd"/>
      <w:r w:rsidRPr="006B74EB">
        <w:rPr>
          <w:rFonts w:ascii="Times New Roman" w:hAnsi="Times New Roman"/>
          <w:color w:val="0070C0"/>
          <w:sz w:val="16"/>
          <w:szCs w:val="16"/>
        </w:rPr>
        <w:t xml:space="preserve"> /Харьков/ и </w:t>
      </w:r>
      <w:proofErr w:type="spellStart"/>
      <w:r>
        <w:rPr>
          <w:rFonts w:ascii="Times New Roman" w:hAnsi="Times New Roman"/>
          <w:color w:val="0070C0"/>
          <w:sz w:val="16"/>
          <w:szCs w:val="16"/>
        </w:rPr>
        <w:t>Бе</w:t>
      </w:r>
      <w:r w:rsidRPr="006B74EB">
        <w:rPr>
          <w:rFonts w:ascii="Times New Roman" w:hAnsi="Times New Roman"/>
          <w:color w:val="0070C0"/>
          <w:sz w:val="16"/>
          <w:szCs w:val="16"/>
        </w:rPr>
        <w:t>ртг</w:t>
      </w:r>
      <w:r>
        <w:rPr>
          <w:rFonts w:ascii="Times New Roman" w:hAnsi="Times New Roman"/>
          <w:color w:val="0070C0"/>
          <w:sz w:val="16"/>
          <w:szCs w:val="16"/>
        </w:rPr>
        <w:t>е</w:t>
      </w:r>
      <w:r w:rsidRPr="006B74EB">
        <w:rPr>
          <w:rFonts w:ascii="Times New Roman" w:hAnsi="Times New Roman"/>
          <w:color w:val="0070C0"/>
          <w:sz w:val="16"/>
          <w:szCs w:val="16"/>
        </w:rPr>
        <w:t>льц</w:t>
      </w:r>
      <w:proofErr w:type="spellEnd"/>
      <w:r>
        <w:rPr>
          <w:rFonts w:ascii="Times New Roman" w:hAnsi="Times New Roman"/>
          <w:color w:val="0070C0"/>
          <w:sz w:val="16"/>
          <w:szCs w:val="16"/>
        </w:rPr>
        <w:t>. Марш</w:t>
      </w:r>
      <w:r w:rsidRPr="006B74EB">
        <w:rPr>
          <w:rFonts w:ascii="Times New Roman" w:hAnsi="Times New Roman"/>
          <w:color w:val="0070C0"/>
          <w:sz w:val="16"/>
          <w:szCs w:val="16"/>
        </w:rPr>
        <w:t xml:space="preserve">рут перелета проходил по двум замкнутым </w:t>
      </w:r>
      <w:proofErr w:type="spellStart"/>
      <w:r w:rsidRPr="006B74EB">
        <w:rPr>
          <w:rFonts w:ascii="Times New Roman" w:hAnsi="Times New Roman"/>
          <w:color w:val="0070C0"/>
          <w:sz w:val="16"/>
          <w:szCs w:val="16"/>
        </w:rPr>
        <w:t>крилым</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а/</w:t>
      </w:r>
      <w:r>
        <w:rPr>
          <w:rFonts w:ascii="Times New Roman" w:hAnsi="Times New Roman"/>
          <w:color w:val="0070C0"/>
          <w:sz w:val="16"/>
          <w:szCs w:val="16"/>
        </w:rPr>
        <w:t xml:space="preserve"> М</w:t>
      </w:r>
      <w:r w:rsidRPr="006B74EB">
        <w:rPr>
          <w:rFonts w:ascii="Times New Roman" w:hAnsi="Times New Roman"/>
          <w:color w:val="0070C0"/>
          <w:sz w:val="16"/>
          <w:szCs w:val="16"/>
        </w:rPr>
        <w:t>осква-</w:t>
      </w:r>
      <w:r>
        <w:rPr>
          <w:rFonts w:ascii="Times New Roman" w:hAnsi="Times New Roman"/>
          <w:color w:val="0070C0"/>
          <w:sz w:val="16"/>
          <w:szCs w:val="16"/>
        </w:rPr>
        <w:t>Ленинград-</w:t>
      </w:r>
      <w:r w:rsidRPr="006B74EB">
        <w:rPr>
          <w:rFonts w:ascii="Times New Roman" w:hAnsi="Times New Roman"/>
          <w:color w:val="0070C0"/>
          <w:sz w:val="16"/>
          <w:szCs w:val="16"/>
        </w:rPr>
        <w:t>В</w:t>
      </w:r>
      <w:r>
        <w:rPr>
          <w:rFonts w:ascii="Times New Roman" w:hAnsi="Times New Roman"/>
          <w:color w:val="0070C0"/>
          <w:sz w:val="16"/>
          <w:szCs w:val="16"/>
        </w:rPr>
        <w:t>и</w:t>
      </w:r>
      <w:r w:rsidRPr="006B74EB">
        <w:rPr>
          <w:rFonts w:ascii="Times New Roman" w:hAnsi="Times New Roman"/>
          <w:color w:val="0070C0"/>
          <w:sz w:val="16"/>
          <w:szCs w:val="16"/>
        </w:rPr>
        <w:t>тебск-Гомель-</w:t>
      </w:r>
      <w:proofErr w:type="spellStart"/>
      <w:r w:rsidRPr="006B74EB">
        <w:rPr>
          <w:rFonts w:ascii="Times New Roman" w:hAnsi="Times New Roman"/>
          <w:color w:val="0070C0"/>
          <w:sz w:val="16"/>
          <w:szCs w:val="16"/>
        </w:rPr>
        <w:t>Кисв</w:t>
      </w:r>
      <w:proofErr w:type="spellEnd"/>
      <w:r w:rsidRPr="006B74EB">
        <w:rPr>
          <w:rFonts w:ascii="Times New Roman" w:hAnsi="Times New Roman"/>
          <w:color w:val="0070C0"/>
          <w:sz w:val="16"/>
          <w:szCs w:val="16"/>
        </w:rPr>
        <w:t>-</w:t>
      </w:r>
      <w:r>
        <w:rPr>
          <w:rFonts w:ascii="Times New Roman" w:hAnsi="Times New Roman"/>
          <w:color w:val="0070C0"/>
          <w:sz w:val="16"/>
          <w:szCs w:val="16"/>
        </w:rPr>
        <w:t>К</w:t>
      </w:r>
      <w:r w:rsidRPr="006B74EB">
        <w:rPr>
          <w:rFonts w:ascii="Times New Roman" w:hAnsi="Times New Roman"/>
          <w:color w:val="0070C0"/>
          <w:sz w:val="16"/>
          <w:szCs w:val="16"/>
        </w:rPr>
        <w:t>ировоград-</w:t>
      </w:r>
      <w:proofErr w:type="spellStart"/>
      <w:r w:rsidRPr="006B74EB">
        <w:rPr>
          <w:rFonts w:ascii="Times New Roman" w:hAnsi="Times New Roman"/>
          <w:color w:val="0070C0"/>
          <w:sz w:val="16"/>
          <w:szCs w:val="16"/>
        </w:rPr>
        <w:t>Харь</w:t>
      </w:r>
      <w:r>
        <w:rPr>
          <w:rFonts w:ascii="Times New Roman" w:hAnsi="Times New Roman"/>
          <w:color w:val="0070C0"/>
          <w:sz w:val="16"/>
          <w:szCs w:val="16"/>
        </w:rPr>
        <w:t>к</w:t>
      </w:r>
      <w:r w:rsidRPr="006B74EB">
        <w:rPr>
          <w:rFonts w:ascii="Times New Roman" w:hAnsi="Times New Roman"/>
          <w:color w:val="0070C0"/>
          <w:sz w:val="16"/>
          <w:szCs w:val="16"/>
        </w:rPr>
        <w:t>оа</w:t>
      </w:r>
      <w:proofErr w:type="spellEnd"/>
      <w:r w:rsidRPr="006B74EB">
        <w:rPr>
          <w:rFonts w:ascii="Times New Roman" w:hAnsi="Times New Roman"/>
          <w:color w:val="0070C0"/>
          <w:sz w:val="16"/>
          <w:szCs w:val="16"/>
        </w:rPr>
        <w:t>-</w:t>
      </w:r>
      <w:r>
        <w:rPr>
          <w:rFonts w:ascii="Times New Roman" w:hAnsi="Times New Roman"/>
          <w:color w:val="0070C0"/>
          <w:sz w:val="16"/>
          <w:szCs w:val="16"/>
        </w:rPr>
        <w:t>М</w:t>
      </w:r>
      <w:r w:rsidRPr="006B74EB">
        <w:rPr>
          <w:rFonts w:ascii="Times New Roman" w:hAnsi="Times New Roman"/>
          <w:color w:val="0070C0"/>
          <w:sz w:val="16"/>
          <w:szCs w:val="16"/>
        </w:rPr>
        <w:t xml:space="preserve">осква и б/ </w:t>
      </w:r>
      <w:r>
        <w:rPr>
          <w:rFonts w:ascii="Times New Roman" w:hAnsi="Times New Roman"/>
          <w:color w:val="0070C0"/>
          <w:sz w:val="16"/>
          <w:szCs w:val="16"/>
        </w:rPr>
        <w:t>М</w:t>
      </w:r>
      <w:r w:rsidRPr="006B74EB">
        <w:rPr>
          <w:rFonts w:ascii="Times New Roman" w:hAnsi="Times New Roman"/>
          <w:color w:val="0070C0"/>
          <w:sz w:val="16"/>
          <w:szCs w:val="16"/>
        </w:rPr>
        <w:t>о</w:t>
      </w:r>
      <w:r>
        <w:rPr>
          <w:rFonts w:ascii="Times New Roman" w:hAnsi="Times New Roman"/>
          <w:color w:val="0070C0"/>
          <w:sz w:val="16"/>
          <w:szCs w:val="16"/>
        </w:rPr>
        <w:t>ск</w:t>
      </w:r>
      <w:r w:rsidRPr="006B74EB">
        <w:rPr>
          <w:rFonts w:ascii="Times New Roman" w:hAnsi="Times New Roman"/>
          <w:color w:val="0070C0"/>
          <w:sz w:val="16"/>
          <w:szCs w:val="16"/>
        </w:rPr>
        <w:t>ва</w:t>
      </w:r>
      <w:r>
        <w:rPr>
          <w:rFonts w:ascii="Times New Roman" w:hAnsi="Times New Roman"/>
          <w:color w:val="0070C0"/>
          <w:sz w:val="16"/>
          <w:szCs w:val="16"/>
        </w:rPr>
        <w:t>-Каз</w:t>
      </w:r>
      <w:r w:rsidRPr="006B74EB">
        <w:rPr>
          <w:rFonts w:ascii="Times New Roman" w:hAnsi="Times New Roman"/>
          <w:color w:val="0070C0"/>
          <w:sz w:val="16"/>
          <w:szCs w:val="16"/>
        </w:rPr>
        <w:t>ань-</w:t>
      </w:r>
      <w:r>
        <w:rPr>
          <w:rFonts w:ascii="Times New Roman" w:hAnsi="Times New Roman"/>
          <w:color w:val="0070C0"/>
          <w:sz w:val="16"/>
          <w:szCs w:val="16"/>
        </w:rPr>
        <w:t>Вольск-</w:t>
      </w:r>
      <w:r w:rsidRPr="006B74EB">
        <w:rPr>
          <w:rFonts w:ascii="Times New Roman" w:hAnsi="Times New Roman"/>
          <w:color w:val="0070C0"/>
          <w:sz w:val="16"/>
          <w:szCs w:val="16"/>
        </w:rPr>
        <w:t>Сталинград-</w:t>
      </w:r>
      <w:r>
        <w:rPr>
          <w:rFonts w:ascii="Times New Roman" w:hAnsi="Times New Roman"/>
          <w:color w:val="0070C0"/>
          <w:sz w:val="16"/>
          <w:szCs w:val="16"/>
        </w:rPr>
        <w:t>В</w:t>
      </w:r>
      <w:r w:rsidRPr="006B74EB">
        <w:rPr>
          <w:rFonts w:ascii="Times New Roman" w:hAnsi="Times New Roman"/>
          <w:color w:val="0070C0"/>
          <w:sz w:val="16"/>
          <w:szCs w:val="16"/>
        </w:rPr>
        <w:t>орон</w:t>
      </w:r>
      <w:r>
        <w:rPr>
          <w:rFonts w:ascii="Times New Roman" w:hAnsi="Times New Roman"/>
          <w:color w:val="0070C0"/>
          <w:sz w:val="16"/>
          <w:szCs w:val="16"/>
        </w:rPr>
        <w:t>еж</w:t>
      </w:r>
      <w:r w:rsidRPr="006B74EB">
        <w:rPr>
          <w:rFonts w:ascii="Times New Roman" w:hAnsi="Times New Roman"/>
          <w:color w:val="0070C0"/>
          <w:sz w:val="16"/>
          <w:szCs w:val="16"/>
        </w:rPr>
        <w:t>-</w:t>
      </w:r>
      <w:r>
        <w:rPr>
          <w:rFonts w:ascii="Times New Roman" w:hAnsi="Times New Roman"/>
          <w:color w:val="0070C0"/>
          <w:sz w:val="16"/>
          <w:szCs w:val="16"/>
        </w:rPr>
        <w:t>М</w:t>
      </w:r>
      <w:r w:rsidRPr="006B74EB">
        <w:rPr>
          <w:rFonts w:ascii="Times New Roman" w:hAnsi="Times New Roman"/>
          <w:color w:val="0070C0"/>
          <w:sz w:val="16"/>
          <w:szCs w:val="16"/>
        </w:rPr>
        <w:t>о</w:t>
      </w:r>
      <w:r>
        <w:rPr>
          <w:rFonts w:ascii="Times New Roman" w:hAnsi="Times New Roman"/>
          <w:color w:val="0070C0"/>
          <w:sz w:val="16"/>
          <w:szCs w:val="16"/>
        </w:rPr>
        <w:t>с</w:t>
      </w:r>
      <w:r w:rsidRPr="006B74EB">
        <w:rPr>
          <w:rFonts w:ascii="Times New Roman" w:hAnsi="Times New Roman"/>
          <w:color w:val="0070C0"/>
          <w:sz w:val="16"/>
          <w:szCs w:val="16"/>
        </w:rPr>
        <w:t xml:space="preserve">ква. </w:t>
      </w:r>
      <w:r>
        <w:rPr>
          <w:rFonts w:ascii="Times New Roman" w:hAnsi="Times New Roman"/>
          <w:color w:val="0070C0"/>
          <w:sz w:val="16"/>
          <w:szCs w:val="16"/>
        </w:rPr>
        <w:t>О</w:t>
      </w:r>
      <w:r w:rsidRPr="006B74EB">
        <w:rPr>
          <w:rFonts w:ascii="Times New Roman" w:hAnsi="Times New Roman"/>
          <w:color w:val="0070C0"/>
          <w:sz w:val="16"/>
          <w:szCs w:val="16"/>
        </w:rPr>
        <w:t>бщ</w:t>
      </w:r>
      <w:r>
        <w:rPr>
          <w:rFonts w:ascii="Times New Roman" w:hAnsi="Times New Roman"/>
          <w:color w:val="0070C0"/>
          <w:sz w:val="16"/>
          <w:szCs w:val="16"/>
        </w:rPr>
        <w:t>ее рас</w:t>
      </w:r>
      <w:r w:rsidRPr="006B74EB">
        <w:rPr>
          <w:rFonts w:ascii="Times New Roman" w:hAnsi="Times New Roman"/>
          <w:color w:val="0070C0"/>
          <w:sz w:val="16"/>
          <w:szCs w:val="16"/>
        </w:rPr>
        <w:t>стоя</w:t>
      </w:r>
      <w:r>
        <w:rPr>
          <w:rFonts w:ascii="Times New Roman" w:hAnsi="Times New Roman"/>
          <w:color w:val="0070C0"/>
          <w:sz w:val="16"/>
          <w:szCs w:val="16"/>
        </w:rPr>
        <w:t>н</w:t>
      </w:r>
      <w:r w:rsidRPr="006B74EB">
        <w:rPr>
          <w:rFonts w:ascii="Times New Roman" w:hAnsi="Times New Roman"/>
          <w:color w:val="0070C0"/>
          <w:sz w:val="16"/>
          <w:szCs w:val="16"/>
        </w:rPr>
        <w:t xml:space="preserve">ие маршрутов </w:t>
      </w:r>
      <w:r>
        <w:rPr>
          <w:rFonts w:ascii="Times New Roman" w:hAnsi="Times New Roman"/>
          <w:color w:val="0070C0"/>
          <w:sz w:val="16"/>
          <w:szCs w:val="16"/>
        </w:rPr>
        <w:t xml:space="preserve">6500 км. </w:t>
      </w:r>
      <w:r w:rsidRPr="006B74EB">
        <w:rPr>
          <w:rFonts w:ascii="Times New Roman" w:hAnsi="Times New Roman"/>
          <w:color w:val="0070C0"/>
          <w:sz w:val="16"/>
          <w:szCs w:val="16"/>
        </w:rPr>
        <w:t xml:space="preserve">Первым закончил перелет комбриг </w:t>
      </w:r>
      <w:proofErr w:type="spellStart"/>
      <w:r w:rsidRPr="006B74EB">
        <w:rPr>
          <w:rFonts w:ascii="Times New Roman" w:hAnsi="Times New Roman"/>
          <w:color w:val="0070C0"/>
          <w:sz w:val="16"/>
          <w:szCs w:val="16"/>
        </w:rPr>
        <w:t>Л.М.Ос</w:t>
      </w:r>
      <w:r>
        <w:rPr>
          <w:rFonts w:ascii="Times New Roman" w:hAnsi="Times New Roman"/>
          <w:color w:val="0070C0"/>
          <w:sz w:val="16"/>
          <w:szCs w:val="16"/>
        </w:rPr>
        <w:t>а</w:t>
      </w:r>
      <w:r w:rsidRPr="006B74EB">
        <w:rPr>
          <w:rFonts w:ascii="Times New Roman" w:hAnsi="Times New Roman"/>
          <w:color w:val="0070C0"/>
          <w:sz w:val="16"/>
          <w:szCs w:val="16"/>
        </w:rPr>
        <w:t>дч</w:t>
      </w:r>
      <w:r>
        <w:rPr>
          <w:rFonts w:ascii="Times New Roman" w:hAnsi="Times New Roman"/>
          <w:color w:val="0070C0"/>
          <w:sz w:val="16"/>
          <w:szCs w:val="16"/>
        </w:rPr>
        <w:t>ий</w:t>
      </w:r>
      <w:proofErr w:type="spellEnd"/>
      <w:r>
        <w:rPr>
          <w:rFonts w:ascii="Times New Roman" w:hAnsi="Times New Roman"/>
          <w:color w:val="0070C0"/>
          <w:sz w:val="16"/>
          <w:szCs w:val="16"/>
        </w:rPr>
        <w:t xml:space="preserve"> с</w:t>
      </w:r>
      <w:r w:rsidRPr="006B74EB">
        <w:rPr>
          <w:rFonts w:ascii="Times New Roman" w:hAnsi="Times New Roman"/>
          <w:color w:val="0070C0"/>
          <w:sz w:val="16"/>
          <w:szCs w:val="16"/>
        </w:rPr>
        <w:t xml:space="preserve"> л</w:t>
      </w:r>
      <w:r>
        <w:rPr>
          <w:rFonts w:ascii="Times New Roman" w:hAnsi="Times New Roman"/>
          <w:color w:val="0070C0"/>
          <w:sz w:val="16"/>
          <w:szCs w:val="16"/>
        </w:rPr>
        <w:t>е</w:t>
      </w:r>
      <w:r w:rsidRPr="006B74EB">
        <w:rPr>
          <w:rFonts w:ascii="Times New Roman" w:hAnsi="Times New Roman"/>
          <w:color w:val="0070C0"/>
          <w:sz w:val="16"/>
          <w:szCs w:val="16"/>
        </w:rPr>
        <w:t>т</w:t>
      </w:r>
      <w:r>
        <w:rPr>
          <w:rFonts w:ascii="Times New Roman" w:hAnsi="Times New Roman"/>
          <w:color w:val="0070C0"/>
          <w:sz w:val="16"/>
          <w:szCs w:val="16"/>
        </w:rPr>
        <w:t xml:space="preserve">чиком </w:t>
      </w:r>
      <w:proofErr w:type="spellStart"/>
      <w:r>
        <w:rPr>
          <w:rFonts w:ascii="Times New Roman" w:hAnsi="Times New Roman"/>
          <w:color w:val="0070C0"/>
          <w:sz w:val="16"/>
          <w:szCs w:val="16"/>
        </w:rPr>
        <w:t>М</w:t>
      </w:r>
      <w:r w:rsidRPr="006B74EB">
        <w:rPr>
          <w:rFonts w:ascii="Times New Roman" w:hAnsi="Times New Roman"/>
          <w:color w:val="0070C0"/>
          <w:sz w:val="16"/>
          <w:szCs w:val="16"/>
        </w:rPr>
        <w:t>.</w:t>
      </w:r>
      <w:r>
        <w:rPr>
          <w:rFonts w:ascii="Times New Roman" w:hAnsi="Times New Roman"/>
          <w:color w:val="0070C0"/>
          <w:sz w:val="16"/>
          <w:szCs w:val="16"/>
        </w:rPr>
        <w:t>А.</w:t>
      </w:r>
      <w:r w:rsidRPr="006B74EB">
        <w:rPr>
          <w:rFonts w:ascii="Times New Roman" w:hAnsi="Times New Roman"/>
          <w:color w:val="0070C0"/>
          <w:sz w:val="16"/>
          <w:szCs w:val="16"/>
        </w:rPr>
        <w:t>Горбуновым</w:t>
      </w:r>
      <w:proofErr w:type="spellEnd"/>
      <w:r w:rsidRPr="006B74EB">
        <w:rPr>
          <w:rFonts w:ascii="Times New Roman" w:hAnsi="Times New Roman"/>
          <w:color w:val="0070C0"/>
          <w:sz w:val="16"/>
          <w:szCs w:val="16"/>
        </w:rPr>
        <w:t xml:space="preserve"> на самолете P-1,</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пройдя оба </w:t>
      </w:r>
      <w:proofErr w:type="spellStart"/>
      <w:r w:rsidRPr="006B74EB">
        <w:rPr>
          <w:rFonts w:ascii="Times New Roman" w:hAnsi="Times New Roman"/>
          <w:color w:val="0070C0"/>
          <w:sz w:val="16"/>
          <w:szCs w:val="16"/>
        </w:rPr>
        <w:t>марирута</w:t>
      </w:r>
      <w:proofErr w:type="spellEnd"/>
      <w:r w:rsidRPr="006B74EB">
        <w:rPr>
          <w:rFonts w:ascii="Times New Roman" w:hAnsi="Times New Roman"/>
          <w:color w:val="0070C0"/>
          <w:sz w:val="16"/>
          <w:szCs w:val="16"/>
        </w:rPr>
        <w:t xml:space="preserve"> за 59 ча</w:t>
      </w:r>
      <w:r>
        <w:rPr>
          <w:rFonts w:ascii="Times New Roman" w:hAnsi="Times New Roman"/>
          <w:color w:val="0070C0"/>
          <w:sz w:val="16"/>
          <w:szCs w:val="16"/>
        </w:rPr>
        <w:t>сов при среднем</w:t>
      </w:r>
      <w:r w:rsidRPr="006B74EB">
        <w:rPr>
          <w:rFonts w:ascii="Times New Roman" w:hAnsi="Times New Roman"/>
          <w:color w:val="0070C0"/>
          <w:sz w:val="16"/>
          <w:szCs w:val="16"/>
        </w:rPr>
        <w:t xml:space="preserve"> времени 34 ч.</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59 </w:t>
      </w:r>
      <w:r>
        <w:rPr>
          <w:rFonts w:ascii="Times New Roman" w:hAnsi="Times New Roman"/>
          <w:color w:val="0070C0"/>
          <w:sz w:val="16"/>
          <w:szCs w:val="16"/>
        </w:rPr>
        <w:t>мин</w:t>
      </w:r>
      <w:r w:rsidRPr="006B74EB">
        <w:rPr>
          <w:rFonts w:ascii="Times New Roman" w:hAnsi="Times New Roman"/>
          <w:color w:val="0070C0"/>
          <w:sz w:val="16"/>
          <w:szCs w:val="16"/>
        </w:rPr>
        <w:t>ут.</w:t>
      </w:r>
    </w:p>
    <w:p w14:paraId="76BDDE9C" w14:textId="77777777" w:rsidR="00293C2D" w:rsidRDefault="00293C2D" w:rsidP="00293C2D">
      <w:pPr>
        <w:spacing w:after="0" w:line="240" w:lineRule="auto"/>
        <w:jc w:val="both"/>
        <w:rPr>
          <w:rFonts w:ascii="Times New Roman" w:hAnsi="Times New Roman"/>
          <w:color w:val="0070C0"/>
          <w:sz w:val="16"/>
          <w:szCs w:val="16"/>
        </w:rPr>
      </w:pPr>
      <w:r>
        <w:rPr>
          <w:rFonts w:ascii="Times New Roman" w:hAnsi="Times New Roman"/>
          <w:color w:val="0070C0"/>
          <w:sz w:val="16"/>
          <w:szCs w:val="16"/>
        </w:rPr>
        <w:t>/«</w:t>
      </w:r>
      <w:r w:rsidRPr="006B74EB">
        <w:rPr>
          <w:rFonts w:ascii="Times New Roman" w:hAnsi="Times New Roman"/>
          <w:color w:val="0070C0"/>
          <w:sz w:val="16"/>
          <w:szCs w:val="16"/>
        </w:rPr>
        <w:t>К</w:t>
      </w:r>
      <w:r>
        <w:rPr>
          <w:rFonts w:ascii="Times New Roman" w:hAnsi="Times New Roman"/>
          <w:color w:val="0070C0"/>
          <w:sz w:val="16"/>
          <w:szCs w:val="16"/>
        </w:rPr>
        <w:t>расная</w:t>
      </w:r>
      <w:r w:rsidRPr="006B74EB">
        <w:rPr>
          <w:rFonts w:ascii="Times New Roman" w:hAnsi="Times New Roman"/>
          <w:color w:val="0070C0"/>
          <w:sz w:val="16"/>
          <w:szCs w:val="16"/>
        </w:rPr>
        <w:t xml:space="preserve"> звезда</w:t>
      </w:r>
      <w:r>
        <w:rPr>
          <w:rFonts w:ascii="Times New Roman" w:hAnsi="Times New Roman"/>
          <w:color w:val="0070C0"/>
          <w:sz w:val="16"/>
          <w:szCs w:val="16"/>
        </w:rPr>
        <w:t>»</w:t>
      </w:r>
      <w:r w:rsidRPr="006B74EB">
        <w:rPr>
          <w:rFonts w:ascii="Times New Roman" w:hAnsi="Times New Roman"/>
          <w:color w:val="0070C0"/>
          <w:sz w:val="16"/>
          <w:szCs w:val="16"/>
        </w:rPr>
        <w:t xml:space="preserve"> за 7</w:t>
      </w:r>
      <w:r>
        <w:rPr>
          <w:rFonts w:ascii="Times New Roman" w:hAnsi="Times New Roman"/>
          <w:color w:val="0070C0"/>
          <w:sz w:val="16"/>
          <w:szCs w:val="16"/>
        </w:rPr>
        <w:t>и</w:t>
      </w:r>
      <w:r w:rsidRPr="006B74EB">
        <w:rPr>
          <w:rFonts w:ascii="Times New Roman" w:hAnsi="Times New Roman"/>
          <w:color w:val="0070C0"/>
          <w:sz w:val="16"/>
          <w:szCs w:val="16"/>
        </w:rPr>
        <w:t xml:space="preserve"> 16 </w:t>
      </w:r>
      <w:r>
        <w:rPr>
          <w:rFonts w:ascii="Times New Roman" w:hAnsi="Times New Roman"/>
          <w:color w:val="0070C0"/>
          <w:sz w:val="16"/>
          <w:szCs w:val="16"/>
        </w:rPr>
        <w:t>ию</w:t>
      </w:r>
      <w:r w:rsidRPr="006B74EB">
        <w:rPr>
          <w:rFonts w:ascii="Times New Roman" w:hAnsi="Times New Roman"/>
          <w:color w:val="0070C0"/>
          <w:sz w:val="16"/>
          <w:szCs w:val="16"/>
        </w:rPr>
        <w:t xml:space="preserve">ля </w:t>
      </w:r>
      <w:r>
        <w:rPr>
          <w:rFonts w:ascii="Times New Roman" w:hAnsi="Times New Roman"/>
          <w:color w:val="0070C0"/>
          <w:sz w:val="16"/>
          <w:szCs w:val="16"/>
        </w:rPr>
        <w:t>1929 г./ (23370).</w:t>
      </w:r>
    </w:p>
    <w:p w14:paraId="6D11FCE8" w14:textId="77777777" w:rsidR="00293C2D" w:rsidRDefault="00293C2D" w:rsidP="00293C2D">
      <w:pPr>
        <w:spacing w:after="0" w:line="240" w:lineRule="auto"/>
        <w:jc w:val="both"/>
        <w:rPr>
          <w:rFonts w:ascii="Times New Roman" w:hAnsi="Times New Roman"/>
          <w:color w:val="0070C0"/>
          <w:sz w:val="16"/>
          <w:szCs w:val="16"/>
        </w:rPr>
      </w:pPr>
    </w:p>
    <w:p w14:paraId="7029CD2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EB0E5E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36FBA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w:t>
      </w:r>
      <w:r w:rsidRPr="00A259BD">
        <w:rPr>
          <w:rFonts w:ascii="Times New Roman" w:hAnsi="Times New Roman"/>
          <w:color w:val="000000" w:themeColor="text1"/>
          <w:sz w:val="16"/>
          <w:szCs w:val="16"/>
        </w:rPr>
        <w:softHyphen/>
        <w:t>ле июля 1929 г. РОМ-2 вышел из цеха ОПО-3 в Филях и только спустя 1,5 месяца был окончательно укомплектован и доведен. В конце сентября его перевезли по железной дороге в Севастополь, где подготовили к поле</w:t>
      </w:r>
      <w:r w:rsidRPr="00A259BD">
        <w:rPr>
          <w:rFonts w:ascii="Times New Roman" w:hAnsi="Times New Roman"/>
          <w:color w:val="000000" w:themeColor="text1"/>
          <w:sz w:val="16"/>
          <w:szCs w:val="16"/>
        </w:rPr>
        <w:softHyphen/>
        <w:t>там. Уже на месте при взвешивании определи</w:t>
      </w:r>
      <w:r w:rsidRPr="00A259BD">
        <w:rPr>
          <w:rFonts w:ascii="Times New Roman" w:hAnsi="Times New Roman"/>
          <w:color w:val="000000" w:themeColor="text1"/>
          <w:sz w:val="16"/>
          <w:szCs w:val="16"/>
        </w:rPr>
        <w:softHyphen/>
        <w:t xml:space="preserve">ли, что </w:t>
      </w:r>
      <w:proofErr w:type="spellStart"/>
      <w:r w:rsidRPr="00A259BD">
        <w:rPr>
          <w:rFonts w:ascii="Times New Roman" w:hAnsi="Times New Roman"/>
          <w:color w:val="000000" w:themeColor="text1"/>
          <w:sz w:val="16"/>
          <w:szCs w:val="16"/>
        </w:rPr>
        <w:t>перетяжеление</w:t>
      </w:r>
      <w:proofErr w:type="spellEnd"/>
      <w:r w:rsidRPr="00A259BD">
        <w:rPr>
          <w:rFonts w:ascii="Times New Roman" w:hAnsi="Times New Roman"/>
          <w:color w:val="000000" w:themeColor="text1"/>
          <w:sz w:val="16"/>
          <w:szCs w:val="16"/>
        </w:rPr>
        <w:t xml:space="preserve"> конструкции по сравнению с проектными значениями соста</w:t>
      </w:r>
      <w:r w:rsidRPr="00A259BD">
        <w:rPr>
          <w:rFonts w:ascii="Times New Roman" w:hAnsi="Times New Roman"/>
          <w:color w:val="000000" w:themeColor="text1"/>
          <w:sz w:val="16"/>
          <w:szCs w:val="16"/>
        </w:rPr>
        <w:softHyphen/>
        <w:t>вило 690 кг. Дата первого полета летающей лодки РОМ-2 точна не установлена, скорее всего, это произошло в октябре 1929 г. Однако известно, что небольшой период испытаний сопровож</w:t>
      </w:r>
      <w:r w:rsidRPr="00A259BD">
        <w:rPr>
          <w:rFonts w:ascii="Times New Roman" w:hAnsi="Times New Roman"/>
          <w:color w:val="000000" w:themeColor="text1"/>
          <w:sz w:val="16"/>
          <w:szCs w:val="16"/>
        </w:rPr>
        <w:softHyphen/>
        <w:t>дался досадными поломками. Так, 6 ноября при вытаскивании самолета на берег помяли правое нижнее крыло и поплавок (11978).</w:t>
      </w:r>
    </w:p>
    <w:p w14:paraId="606346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99663A" w14:textId="77777777" w:rsidR="00F8794A" w:rsidRPr="00A259BD" w:rsidRDefault="00F8794A"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В начале июля 1929 г. РОМ-2 вышел из цеха ОПО-3 в Филях и только спустя 1,5 месяца был окончательно укомплектован и доведен. В конце сентября его перевезли по желез</w:t>
      </w:r>
      <w:r w:rsidRPr="00A259BD">
        <w:rPr>
          <w:rFonts w:ascii="Times New Roman" w:cs="Times New Roman"/>
          <w:color w:val="000000" w:themeColor="text1"/>
          <w:sz w:val="16"/>
          <w:szCs w:val="16"/>
        </w:rPr>
        <w:softHyphen/>
        <w:t>ной дороге в Севастополь, где под</w:t>
      </w:r>
      <w:r w:rsidRPr="00A259BD">
        <w:rPr>
          <w:rFonts w:ascii="Times New Roman" w:cs="Times New Roman"/>
          <w:color w:val="000000" w:themeColor="text1"/>
          <w:sz w:val="16"/>
          <w:szCs w:val="16"/>
        </w:rPr>
        <w:softHyphen/>
        <w:t xml:space="preserve">готовили к полетам. Уже на месте при взвешивании определили, что </w:t>
      </w:r>
      <w:proofErr w:type="spellStart"/>
      <w:r w:rsidRPr="00A259BD">
        <w:rPr>
          <w:rFonts w:ascii="Times New Roman" w:cs="Times New Roman"/>
          <w:color w:val="000000" w:themeColor="text1"/>
          <w:sz w:val="16"/>
          <w:szCs w:val="16"/>
        </w:rPr>
        <w:t>перетяжеление</w:t>
      </w:r>
      <w:proofErr w:type="spellEnd"/>
      <w:r w:rsidRPr="00A259BD">
        <w:rPr>
          <w:rFonts w:ascii="Times New Roman" w:cs="Times New Roman"/>
          <w:color w:val="000000" w:themeColor="text1"/>
          <w:sz w:val="16"/>
          <w:szCs w:val="16"/>
        </w:rPr>
        <w:t xml:space="preserve"> конструкции по срав</w:t>
      </w:r>
      <w:r w:rsidRPr="00A259BD">
        <w:rPr>
          <w:rFonts w:ascii="Times New Roman" w:cs="Times New Roman"/>
          <w:color w:val="000000" w:themeColor="text1"/>
          <w:sz w:val="16"/>
          <w:szCs w:val="16"/>
        </w:rPr>
        <w:softHyphen/>
        <w:t>нению с проектными значениями составило 690 кг.</w:t>
      </w:r>
    </w:p>
    <w:p w14:paraId="26F3B3CF" w14:textId="77777777" w:rsidR="00F8794A" w:rsidRPr="00A259BD" w:rsidRDefault="00F8794A"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РОМ-2 (МР-</w:t>
      </w:r>
      <w:proofErr w:type="spellStart"/>
      <w:r w:rsidRPr="00A259BD">
        <w:rPr>
          <w:rFonts w:ascii="Times New Roman" w:cs="Times New Roman"/>
          <w:color w:val="000000" w:themeColor="text1"/>
          <w:sz w:val="16"/>
          <w:szCs w:val="16"/>
        </w:rPr>
        <w:t>Збис</w:t>
      </w:r>
      <w:proofErr w:type="spellEnd"/>
      <w:r w:rsidRPr="00A259BD">
        <w:rPr>
          <w:rFonts w:ascii="Times New Roman" w:cs="Times New Roman"/>
          <w:color w:val="000000" w:themeColor="text1"/>
          <w:sz w:val="16"/>
          <w:szCs w:val="16"/>
        </w:rPr>
        <w:t>) по техническому заданию должен был иметь запас горючего на 5 часов полета и радиус действия до 500 км.</w:t>
      </w:r>
    </w:p>
    <w:p w14:paraId="6E45E5E3" w14:textId="77777777" w:rsidR="00F8794A" w:rsidRPr="00A259BD" w:rsidRDefault="00F8794A"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Его изготовле</w:t>
      </w:r>
      <w:r w:rsidRPr="00A259BD">
        <w:rPr>
          <w:rFonts w:ascii="Times New Roman" w:cs="Times New Roman"/>
          <w:color w:val="000000" w:themeColor="text1"/>
          <w:sz w:val="16"/>
          <w:szCs w:val="16"/>
        </w:rPr>
        <w:softHyphen/>
        <w:t>ние началось еще в Ленинграде на авиазаводе №23, а продолжилось на московском заводе №22, располо</w:t>
      </w:r>
      <w:r w:rsidRPr="00A259BD">
        <w:rPr>
          <w:rFonts w:ascii="Times New Roman" w:cs="Times New Roman"/>
          <w:color w:val="000000" w:themeColor="text1"/>
          <w:sz w:val="16"/>
          <w:szCs w:val="16"/>
        </w:rPr>
        <w:softHyphen/>
        <w:t>женном в Филях. Поначалу основ</w:t>
      </w:r>
      <w:r w:rsidRPr="00A259BD">
        <w:rPr>
          <w:rFonts w:ascii="Times New Roman" w:cs="Times New Roman"/>
          <w:color w:val="000000" w:themeColor="text1"/>
          <w:sz w:val="16"/>
          <w:szCs w:val="16"/>
        </w:rPr>
        <w:softHyphen/>
        <w:t>ным отличием этого самолета от РОМ-1 явилась установка двигателей БМВ-\/1 (по 500/680 л.с.) в ряд на верхнем крыле. Однако в ходе стро</w:t>
      </w:r>
      <w:r w:rsidRPr="00A259BD">
        <w:rPr>
          <w:rFonts w:ascii="Times New Roman" w:cs="Times New Roman"/>
          <w:color w:val="000000" w:themeColor="text1"/>
          <w:sz w:val="16"/>
          <w:szCs w:val="16"/>
        </w:rPr>
        <w:softHyphen/>
        <w:t>ительства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w:t>
      </w:r>
    </w:p>
    <w:p w14:paraId="0A911F91" w14:textId="77777777" w:rsidR="00F8794A" w:rsidRPr="00A259BD" w:rsidRDefault="00F8794A"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Цельнодеревянное верхнее кры</w:t>
      </w:r>
      <w:r w:rsidRPr="00A259BD">
        <w:rPr>
          <w:rFonts w:ascii="Times New Roman" w:cs="Times New Roman"/>
          <w:color w:val="000000" w:themeColor="text1"/>
          <w:sz w:val="16"/>
          <w:szCs w:val="16"/>
        </w:rPr>
        <w:softHyphen/>
        <w:t>ло, на виде в плане имело форму близкую к эллипсу, при этом передняя кромка имела меньшую кривизну, чем задняя. Верхняя часть центроплана между двигателями имела обшивку из гофрированного кольчугалюми</w:t>
      </w:r>
      <w:r w:rsidRPr="00A259BD">
        <w:rPr>
          <w:rFonts w:ascii="Times New Roman" w:cs="Times New Roman"/>
          <w:color w:val="000000" w:themeColor="text1"/>
          <w:sz w:val="16"/>
          <w:szCs w:val="16"/>
        </w:rPr>
        <w:softHyphen/>
        <w:t>ния. Элероны и хвостовое оперение обтягивались полотном.</w:t>
      </w:r>
    </w:p>
    <w:p w14:paraId="7C74B8F1" w14:textId="77777777" w:rsidR="00F8794A" w:rsidRPr="00A259BD" w:rsidRDefault="00F879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Металлическое нижнее крыло конструктивно мало отличалось от такого крыла у РОМ-1. Поплавки бо</w:t>
      </w:r>
      <w:r w:rsidRPr="00A259BD">
        <w:rPr>
          <w:rFonts w:ascii="Times New Roman" w:hAnsi="Times New Roman"/>
          <w:color w:val="000000" w:themeColor="text1"/>
          <w:sz w:val="16"/>
          <w:szCs w:val="16"/>
        </w:rPr>
        <w:softHyphen/>
        <w:t xml:space="preserve">ковой остойчивости </w:t>
      </w:r>
      <w:proofErr w:type="spellStart"/>
      <w:r w:rsidRPr="00A259BD">
        <w:rPr>
          <w:rFonts w:ascii="Times New Roman" w:hAnsi="Times New Roman"/>
          <w:color w:val="000000" w:themeColor="text1"/>
          <w:sz w:val="16"/>
          <w:szCs w:val="16"/>
        </w:rPr>
        <w:t>безреданные</w:t>
      </w:r>
      <w:proofErr w:type="spellEnd"/>
      <w:r w:rsidRPr="00A259BD">
        <w:rPr>
          <w:rFonts w:ascii="Times New Roman" w:hAnsi="Times New Roman"/>
          <w:color w:val="000000" w:themeColor="text1"/>
          <w:sz w:val="16"/>
          <w:szCs w:val="16"/>
        </w:rPr>
        <w:t xml:space="preserve">, крепились на небольших стойках к </w:t>
      </w:r>
      <w:proofErr w:type="spellStart"/>
      <w:r w:rsidRPr="00A259BD">
        <w:rPr>
          <w:rFonts w:ascii="Times New Roman" w:hAnsi="Times New Roman"/>
          <w:color w:val="000000" w:themeColor="text1"/>
          <w:sz w:val="16"/>
          <w:szCs w:val="16"/>
        </w:rPr>
        <w:t>законцовкам</w:t>
      </w:r>
      <w:proofErr w:type="spellEnd"/>
      <w:r w:rsidRPr="00A259BD">
        <w:rPr>
          <w:rFonts w:ascii="Times New Roman" w:hAnsi="Times New Roman"/>
          <w:color w:val="000000" w:themeColor="text1"/>
          <w:sz w:val="16"/>
          <w:szCs w:val="16"/>
        </w:rPr>
        <w:t xml:space="preserve"> крыла.</w:t>
      </w:r>
    </w:p>
    <w:p w14:paraId="24E7E964" w14:textId="77777777" w:rsidR="00F8794A" w:rsidRPr="00A259BD" w:rsidRDefault="00F8794A"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Обводы лодки РОМ-2 были совер</w:t>
      </w:r>
      <w:r w:rsidRPr="00A259BD">
        <w:rPr>
          <w:rFonts w:ascii="Times New Roman" w:cs="Times New Roman"/>
          <w:color w:val="000000" w:themeColor="text1"/>
          <w:sz w:val="16"/>
          <w:szCs w:val="16"/>
        </w:rPr>
        <w:softHyphen/>
        <w:t xml:space="preserve">шенно иные, они характеризовались сильной поперечной </w:t>
      </w:r>
      <w:proofErr w:type="spellStart"/>
      <w:r w:rsidRPr="00A259BD">
        <w:rPr>
          <w:rFonts w:ascii="Times New Roman" w:cs="Times New Roman"/>
          <w:color w:val="000000" w:themeColor="text1"/>
          <w:sz w:val="16"/>
          <w:szCs w:val="16"/>
        </w:rPr>
        <w:t>килеватостью</w:t>
      </w:r>
      <w:proofErr w:type="spellEnd"/>
      <w:r w:rsidRPr="00A259BD">
        <w:rPr>
          <w:rFonts w:ascii="Times New Roman" w:cs="Times New Roman"/>
          <w:color w:val="000000" w:themeColor="text1"/>
          <w:sz w:val="16"/>
          <w:szCs w:val="16"/>
        </w:rPr>
        <w:t xml:space="preserve"> с вогнутыми </w:t>
      </w:r>
      <w:proofErr w:type="spellStart"/>
      <w:r w:rsidRPr="00A259BD">
        <w:rPr>
          <w:rFonts w:ascii="Times New Roman" w:cs="Times New Roman"/>
          <w:color w:val="000000" w:themeColor="text1"/>
          <w:sz w:val="16"/>
          <w:szCs w:val="16"/>
        </w:rPr>
        <w:t>участками'днища</w:t>
      </w:r>
      <w:proofErr w:type="spellEnd"/>
      <w:r w:rsidRPr="00A259BD">
        <w:rPr>
          <w:rFonts w:ascii="Times New Roman" w:cs="Times New Roman"/>
          <w:color w:val="000000" w:themeColor="text1"/>
          <w:sz w:val="16"/>
          <w:szCs w:val="16"/>
        </w:rPr>
        <w:t xml:space="preserve"> у скул, что благоприятствовало более мяг</w:t>
      </w:r>
      <w:r w:rsidRPr="00A259BD">
        <w:rPr>
          <w:rFonts w:ascii="Times New Roman" w:cs="Times New Roman"/>
          <w:color w:val="000000" w:themeColor="text1"/>
          <w:sz w:val="16"/>
          <w:szCs w:val="16"/>
        </w:rPr>
        <w:softHyphen/>
        <w:t>кой посадке, особенно при волне. Толщина нижней обшивки в районе первого редана составляла 1,5 мм, на других участках — 1,2 и 1,0 мм. В центральной части лодки были установлены 3 топливных бака общей емкостью 810 л, еще один бак на 310 л размещался в центроплане.</w:t>
      </w:r>
    </w:p>
    <w:p w14:paraId="6FF17445" w14:textId="77777777" w:rsidR="00F8794A" w:rsidRPr="00A259BD" w:rsidRDefault="00F8794A"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Оборонительное вооружение РОМ-2 состояло из двух стрелковых установок со спарками пулеметов «Льюис» или ДА. Впереди монтиро</w:t>
      </w:r>
      <w:r w:rsidRPr="00A259BD">
        <w:rPr>
          <w:rFonts w:ascii="Times New Roman" w:cs="Times New Roman"/>
          <w:color w:val="000000" w:themeColor="text1"/>
          <w:sz w:val="16"/>
          <w:szCs w:val="16"/>
        </w:rPr>
        <w:softHyphen/>
        <w:t>валась турель ТУР-6, сзади пере</w:t>
      </w:r>
      <w:r w:rsidRPr="00A259BD">
        <w:rPr>
          <w:rFonts w:ascii="Times New Roman" w:cs="Times New Roman"/>
          <w:color w:val="000000" w:themeColor="text1"/>
          <w:sz w:val="16"/>
          <w:szCs w:val="16"/>
        </w:rPr>
        <w:softHyphen/>
        <w:t>катываемая с борта на борт турель ТУР-5. Легкие бомбы размещались на бортовых фюзеляжных кронштейнах как у Дорнье «Валь». Крупные бомбы подвешивались на нижнем крыле. Общая бомбовая нагрузка составля</w:t>
      </w:r>
      <w:r w:rsidRPr="00A259BD">
        <w:rPr>
          <w:rFonts w:ascii="Times New Roman" w:cs="Times New Roman"/>
          <w:color w:val="000000" w:themeColor="text1"/>
          <w:sz w:val="16"/>
          <w:szCs w:val="16"/>
        </w:rPr>
        <w:softHyphen/>
        <w:t>ла 600 кг. В комплект необходимого оборудования входил якорь, закре</w:t>
      </w:r>
      <w:r w:rsidRPr="00A259BD">
        <w:rPr>
          <w:rFonts w:ascii="Times New Roman" w:cs="Times New Roman"/>
          <w:color w:val="000000" w:themeColor="text1"/>
          <w:sz w:val="16"/>
          <w:szCs w:val="16"/>
        </w:rPr>
        <w:softHyphen/>
        <w:t>пленный в походном положении на верхней палубе носовой части. К спе</w:t>
      </w:r>
      <w:r w:rsidRPr="00A259BD">
        <w:rPr>
          <w:rFonts w:ascii="Times New Roman" w:cs="Times New Roman"/>
          <w:color w:val="000000" w:themeColor="text1"/>
          <w:sz w:val="16"/>
          <w:szCs w:val="16"/>
        </w:rPr>
        <w:softHyphen/>
        <w:t>циальному оборудованию относился фотоаппарат Кодак в задней кабине, комплект неприкосновенного запаса (НЗ)</w:t>
      </w:r>
      <w:r w:rsidRPr="00A259BD">
        <w:rPr>
          <w:rStyle w:val="4ArialNarrow85pt"/>
          <w:rFonts w:ascii="Times New Roman" w:hAnsi="Times New Roman" w:cs="Times New Roman"/>
          <w:i w:val="0"/>
          <w:color w:val="000000" w:themeColor="text1"/>
          <w:sz w:val="16"/>
          <w:szCs w:val="16"/>
        </w:rPr>
        <w:t xml:space="preserve"> и</w:t>
      </w:r>
      <w:r w:rsidRPr="00A259BD">
        <w:rPr>
          <w:rFonts w:ascii="Times New Roman" w:cs="Times New Roman"/>
          <w:color w:val="000000" w:themeColor="text1"/>
          <w:sz w:val="16"/>
          <w:szCs w:val="16"/>
        </w:rPr>
        <w:t xml:space="preserve"> бак с питьевой водой.</w:t>
      </w:r>
    </w:p>
    <w:p w14:paraId="1D067E32" w14:textId="77777777" w:rsidR="00F8794A" w:rsidRPr="00A259BD" w:rsidRDefault="00F8794A"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По требованиям транспортировки РОМ-2 мог разбираться и перевоз</w:t>
      </w:r>
      <w:r w:rsidRPr="00A259BD">
        <w:rPr>
          <w:rFonts w:ascii="Times New Roman" w:cs="Times New Roman"/>
          <w:color w:val="000000" w:themeColor="text1"/>
          <w:sz w:val="16"/>
          <w:szCs w:val="16"/>
        </w:rPr>
        <w:softHyphen/>
        <w:t>ился в таком виде на четырех желез</w:t>
      </w:r>
      <w:r w:rsidRPr="00A259BD">
        <w:rPr>
          <w:rFonts w:ascii="Times New Roman" w:cs="Times New Roman"/>
          <w:color w:val="000000" w:themeColor="text1"/>
          <w:sz w:val="16"/>
          <w:szCs w:val="16"/>
        </w:rPr>
        <w:softHyphen/>
        <w:t>нодорожных платформах.</w:t>
      </w:r>
    </w:p>
    <w:p w14:paraId="1D23F2D9" w14:textId="77777777" w:rsidR="00F8794A" w:rsidRPr="00A259BD" w:rsidRDefault="00F8794A" w:rsidP="009236E3">
      <w:pPr>
        <w:pStyle w:val="66"/>
        <w:shd w:val="clear" w:color="auto" w:fill="auto"/>
        <w:spacing w:before="0" w:line="240" w:lineRule="auto"/>
        <w:rPr>
          <w:rFonts w:ascii="Times New Roman" w:hAnsi="Times New Roman"/>
          <w:color w:val="000000" w:themeColor="text1"/>
          <w:sz w:val="16"/>
          <w:szCs w:val="16"/>
        </w:rPr>
      </w:pPr>
      <w:r w:rsidRPr="00A259BD">
        <w:rPr>
          <w:rFonts w:ascii="Times New Roman" w:hAnsi="Times New Roman"/>
          <w:color w:val="000000" w:themeColor="text1"/>
          <w:sz w:val="16"/>
          <w:szCs w:val="16"/>
        </w:rPr>
        <w:t>Дополняя общее описание, ука</w:t>
      </w:r>
      <w:r w:rsidRPr="00A259BD">
        <w:rPr>
          <w:rFonts w:ascii="Times New Roman" w:hAnsi="Times New Roman"/>
          <w:color w:val="000000" w:themeColor="text1"/>
          <w:sz w:val="16"/>
          <w:szCs w:val="16"/>
        </w:rPr>
        <w:softHyphen/>
        <w:t>жем, что использовались два типа воздушных винтов: диаметром 3,25 и диаметром 3,5 м</w:t>
      </w:r>
    </w:p>
    <w:p w14:paraId="07282888" w14:textId="77777777" w:rsidR="00F8794A" w:rsidRPr="00A259BD" w:rsidRDefault="00F8794A" w:rsidP="009236E3">
      <w:pPr>
        <w:pStyle w:val="66"/>
        <w:shd w:val="clear" w:color="auto" w:fill="auto"/>
        <w:spacing w:before="0" w:line="240" w:lineRule="auto"/>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технические данные и летные характеристики РОМ-2</w:t>
      </w:r>
    </w:p>
    <w:p w14:paraId="2AA797A3" w14:textId="77777777" w:rsidR="00F8794A" w:rsidRPr="00A259BD" w:rsidRDefault="00F8794A" w:rsidP="009236E3">
      <w:pPr>
        <w:tabs>
          <w:tab w:val="right" w:leader="dot" w:pos="314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Размах верхнего крыла (м)</w:t>
      </w:r>
      <w:r w:rsidRPr="00A259BD">
        <w:rPr>
          <w:rFonts w:ascii="Times New Roman" w:hAnsi="Times New Roman"/>
          <w:color w:val="000000" w:themeColor="text1"/>
          <w:sz w:val="16"/>
          <w:szCs w:val="16"/>
        </w:rPr>
        <w:tab/>
        <w:t>26,8</w:t>
      </w:r>
    </w:p>
    <w:p w14:paraId="7A7124D3" w14:textId="77777777" w:rsidR="00F8794A" w:rsidRPr="00A259BD" w:rsidRDefault="00F8794A" w:rsidP="009236E3">
      <w:pPr>
        <w:tabs>
          <w:tab w:val="right" w:leader="dot" w:pos="314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Размах нижнего крыла (м) </w:t>
      </w:r>
      <w:r w:rsidRPr="00A259BD">
        <w:rPr>
          <w:rFonts w:ascii="Times New Roman" w:hAnsi="Times New Roman"/>
          <w:color w:val="000000" w:themeColor="text1"/>
          <w:sz w:val="16"/>
          <w:szCs w:val="16"/>
        </w:rPr>
        <w:tab/>
        <w:t>8,2</w:t>
      </w:r>
    </w:p>
    <w:p w14:paraId="619E9FF9" w14:textId="77777777" w:rsidR="00F8794A" w:rsidRPr="00A259BD" w:rsidRDefault="00F8794A" w:rsidP="009236E3">
      <w:pPr>
        <w:tabs>
          <w:tab w:val="left" w:leader="dot" w:pos="2555"/>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Длина в линии полета (м)</w:t>
      </w:r>
      <w:r w:rsidRPr="00A259BD">
        <w:rPr>
          <w:rFonts w:ascii="Times New Roman" w:hAnsi="Times New Roman"/>
          <w:color w:val="000000" w:themeColor="text1"/>
          <w:sz w:val="16"/>
          <w:szCs w:val="16"/>
        </w:rPr>
        <w:tab/>
        <w:t>17,455</w:t>
      </w:r>
    </w:p>
    <w:p w14:paraId="1D6BEDE6" w14:textId="77777777" w:rsidR="00F8794A" w:rsidRPr="00A259BD" w:rsidRDefault="00F8794A" w:rsidP="009236E3">
      <w:pPr>
        <w:tabs>
          <w:tab w:val="right" w:leader="dot" w:pos="314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в линии полета (м)</w:t>
      </w:r>
      <w:r w:rsidRPr="00A259BD">
        <w:rPr>
          <w:rFonts w:ascii="Times New Roman" w:hAnsi="Times New Roman"/>
          <w:color w:val="000000" w:themeColor="text1"/>
          <w:sz w:val="16"/>
          <w:szCs w:val="16"/>
        </w:rPr>
        <w:tab/>
        <w:t>6,06</w:t>
      </w:r>
    </w:p>
    <w:p w14:paraId="50924D3F" w14:textId="77777777" w:rsidR="00F8794A" w:rsidRPr="00A259BD" w:rsidRDefault="00F8794A" w:rsidP="009236E3">
      <w:pPr>
        <w:tabs>
          <w:tab w:val="left" w:leader="dot" w:pos="2632"/>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верхнего крыла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 xml:space="preserve">) </w:t>
      </w:r>
      <w:r w:rsidRPr="00A259BD">
        <w:rPr>
          <w:rFonts w:ascii="Times New Roman" w:hAnsi="Times New Roman"/>
          <w:color w:val="000000" w:themeColor="text1"/>
          <w:sz w:val="16"/>
          <w:szCs w:val="16"/>
        </w:rPr>
        <w:tab/>
        <w:t>91,43</w:t>
      </w:r>
    </w:p>
    <w:p w14:paraId="17AA48AC" w14:textId="77777777" w:rsidR="00F8794A" w:rsidRPr="00A259BD" w:rsidRDefault="00F8794A" w:rsidP="009236E3">
      <w:pPr>
        <w:tabs>
          <w:tab w:val="left" w:leader="dot" w:pos="263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нижнего крыла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 xml:space="preserve">) </w:t>
      </w:r>
      <w:r w:rsidRPr="00A259BD">
        <w:rPr>
          <w:rFonts w:ascii="Times New Roman" w:hAnsi="Times New Roman"/>
          <w:color w:val="000000" w:themeColor="text1"/>
          <w:sz w:val="16"/>
          <w:szCs w:val="16"/>
        </w:rPr>
        <w:tab/>
        <w:t>16,76</w:t>
      </w:r>
    </w:p>
    <w:p w14:paraId="7AB2BFB4" w14:textId="77777777" w:rsidR="00F8794A" w:rsidRPr="00A259BD" w:rsidRDefault="00F8794A" w:rsidP="009236E3">
      <w:pPr>
        <w:tabs>
          <w:tab w:val="right" w:leader="dot" w:pos="314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 конструкции (кг)</w:t>
      </w:r>
      <w:r w:rsidRPr="00A259BD">
        <w:rPr>
          <w:rFonts w:ascii="Times New Roman" w:hAnsi="Times New Roman"/>
          <w:color w:val="000000" w:themeColor="text1"/>
          <w:sz w:val="16"/>
          <w:szCs w:val="16"/>
        </w:rPr>
        <w:tab/>
        <w:t>4150</w:t>
      </w:r>
    </w:p>
    <w:p w14:paraId="367158B3" w14:textId="77777777" w:rsidR="00F8794A" w:rsidRPr="00A259BD" w:rsidRDefault="00F8794A" w:rsidP="009236E3">
      <w:pPr>
        <w:tabs>
          <w:tab w:val="left" w:leader="dot" w:pos="2642"/>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Полезная нагрузка (кг)</w:t>
      </w:r>
      <w:r w:rsidRPr="00A259BD">
        <w:rPr>
          <w:rFonts w:ascii="Times New Roman" w:hAnsi="Times New Roman"/>
          <w:color w:val="000000" w:themeColor="text1"/>
          <w:sz w:val="16"/>
          <w:szCs w:val="16"/>
        </w:rPr>
        <w:tab/>
        <w:t xml:space="preserve"> 1850</w:t>
      </w:r>
    </w:p>
    <w:p w14:paraId="35648BB1" w14:textId="77777777" w:rsidR="00F8794A" w:rsidRPr="00A259BD" w:rsidRDefault="00F8794A" w:rsidP="009236E3">
      <w:pPr>
        <w:tabs>
          <w:tab w:val="right" w:leader="dot" w:pos="314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Полетный вес (кг) </w:t>
      </w:r>
      <w:r w:rsidRPr="00A259BD">
        <w:rPr>
          <w:rFonts w:ascii="Times New Roman" w:hAnsi="Times New Roman"/>
          <w:color w:val="000000" w:themeColor="text1"/>
          <w:sz w:val="16"/>
          <w:szCs w:val="16"/>
        </w:rPr>
        <w:tab/>
        <w:t>6000</w:t>
      </w:r>
    </w:p>
    <w:p w14:paraId="6D4FD5C5" w14:textId="77777777" w:rsidR="00F8794A" w:rsidRPr="00A259BD" w:rsidRDefault="00F879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максимальная</w:t>
      </w:r>
    </w:p>
    <w:p w14:paraId="2AC8E9EB" w14:textId="77777777" w:rsidR="00F8794A" w:rsidRPr="00A259BD" w:rsidRDefault="00F8794A" w:rsidP="009236E3">
      <w:pPr>
        <w:tabs>
          <w:tab w:val="right" w:leader="dot" w:pos="314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 земли (км/ч) </w:t>
      </w:r>
      <w:r w:rsidRPr="00A259BD">
        <w:rPr>
          <w:rFonts w:ascii="Times New Roman" w:hAnsi="Times New Roman"/>
          <w:color w:val="000000" w:themeColor="text1"/>
          <w:sz w:val="16"/>
          <w:szCs w:val="16"/>
        </w:rPr>
        <w:tab/>
        <w:t xml:space="preserve"> 180</w:t>
      </w:r>
    </w:p>
    <w:p w14:paraId="78C29FE1" w14:textId="77777777" w:rsidR="00F8794A" w:rsidRPr="00A259BD" w:rsidRDefault="00F879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максимальная</w:t>
      </w:r>
    </w:p>
    <w:p w14:paraId="5D7C6DD4" w14:textId="77777777" w:rsidR="00F8794A" w:rsidRPr="00A259BD" w:rsidRDefault="00F8794A" w:rsidP="009236E3">
      <w:pPr>
        <w:tabs>
          <w:tab w:val="right" w:leader="dot" w:pos="314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1000 м (км/ч)</w:t>
      </w:r>
      <w:r w:rsidRPr="00A259BD">
        <w:rPr>
          <w:rFonts w:ascii="Times New Roman" w:hAnsi="Times New Roman"/>
          <w:color w:val="000000" w:themeColor="text1"/>
          <w:sz w:val="16"/>
          <w:szCs w:val="16"/>
        </w:rPr>
        <w:tab/>
        <w:t>175</w:t>
      </w:r>
    </w:p>
    <w:p w14:paraId="098E37DC" w14:textId="77777777" w:rsidR="00F8794A" w:rsidRPr="00A259BD" w:rsidRDefault="00F8794A" w:rsidP="009236E3">
      <w:pPr>
        <w:tabs>
          <w:tab w:val="right" w:leader="dot" w:pos="314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Посадочная скорость (км/ч)</w:t>
      </w:r>
      <w:r w:rsidRPr="00A259BD">
        <w:rPr>
          <w:rFonts w:ascii="Times New Roman" w:hAnsi="Times New Roman"/>
          <w:color w:val="000000" w:themeColor="text1"/>
          <w:sz w:val="16"/>
          <w:szCs w:val="16"/>
        </w:rPr>
        <w:tab/>
        <w:t>93</w:t>
      </w:r>
    </w:p>
    <w:p w14:paraId="30019E3B" w14:textId="77777777" w:rsidR="00F8794A" w:rsidRPr="00A259BD" w:rsidRDefault="00F8794A" w:rsidP="009236E3">
      <w:pPr>
        <w:tabs>
          <w:tab w:val="right" w:leader="dot" w:pos="314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Практический потолок (м)</w:t>
      </w:r>
      <w:r w:rsidRPr="00A259BD">
        <w:rPr>
          <w:rFonts w:ascii="Times New Roman" w:hAnsi="Times New Roman"/>
          <w:color w:val="000000" w:themeColor="text1"/>
          <w:sz w:val="16"/>
          <w:szCs w:val="16"/>
        </w:rPr>
        <w:tab/>
        <w:t>4500</w:t>
      </w:r>
    </w:p>
    <w:p w14:paraId="492016D3" w14:textId="77777777" w:rsidR="00F8794A" w:rsidRPr="00A259BD" w:rsidRDefault="00F879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Дальность полета максимальная (км) </w:t>
      </w:r>
      <w:r w:rsidRPr="00A259BD">
        <w:rPr>
          <w:rFonts w:ascii="Times New Roman" w:hAnsi="Times New Roman"/>
          <w:color w:val="000000" w:themeColor="text1"/>
          <w:sz w:val="16"/>
          <w:szCs w:val="16"/>
        </w:rPr>
        <w:tab/>
        <w:t>900 (12609).</w:t>
      </w:r>
    </w:p>
    <w:p w14:paraId="6F186AE0" w14:textId="77777777" w:rsidR="00F8794A" w:rsidRPr="00A259BD" w:rsidRDefault="00F8794A" w:rsidP="009236E3">
      <w:pPr>
        <w:pStyle w:val="45"/>
        <w:shd w:val="clear" w:color="auto" w:fill="auto"/>
        <w:spacing w:before="0" w:line="240" w:lineRule="auto"/>
        <w:jc w:val="both"/>
        <w:rPr>
          <w:rFonts w:ascii="Times New Roman" w:cs="Times New Roman"/>
          <w:color w:val="000000" w:themeColor="text1"/>
          <w:sz w:val="16"/>
          <w:szCs w:val="16"/>
        </w:rPr>
      </w:pPr>
    </w:p>
    <w:p w14:paraId="466B57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июля 1929 последовал отказ от приемки 39 самолетов И-3 БМВ-6, изготовленных на заводе 1 из-за существенных дефектов. Этот отказ стал результатом испытаний 2 головных машин И-3, которые поступили на испытания в НИИ ВВС 14 февраля 1929 (2371).</w:t>
      </w:r>
    </w:p>
    <w:p w14:paraId="1F0B37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49B2B2D" w14:textId="77777777" w:rsidR="00D70FD4" w:rsidRPr="00441F34" w:rsidRDefault="00D70FD4" w:rsidP="00D70FD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начале июля 1929 г. </w:t>
      </w:r>
      <w:proofErr w:type="spellStart"/>
      <w:r w:rsidRPr="00441F34">
        <w:rPr>
          <w:rFonts w:ascii="Times New Roman" w:hAnsi="Times New Roman"/>
          <w:color w:val="0070C0"/>
          <w:sz w:val="16"/>
          <w:szCs w:val="16"/>
        </w:rPr>
        <w:t>военприемка</w:t>
      </w:r>
      <w:proofErr w:type="spellEnd"/>
      <w:r w:rsidRPr="00441F34">
        <w:rPr>
          <w:rFonts w:ascii="Times New Roman" w:hAnsi="Times New Roman"/>
          <w:color w:val="0070C0"/>
          <w:sz w:val="16"/>
          <w:szCs w:val="16"/>
        </w:rPr>
        <w:t xml:space="preserve"> отклонила все 39 предъявленных самолетов И-3 из-за существенных дефектов на основании результатов испытаний 2-го опытного и головного серийного образцов.</w:t>
      </w:r>
    </w:p>
    <w:p w14:paraId="6FD416D1" w14:textId="77777777" w:rsidR="00D70FD4" w:rsidRPr="00441F34" w:rsidRDefault="00D70FD4" w:rsidP="00D70FD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4 и 5 июля 1929 г. состоялось заседание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(протокол №55) «О состоянии опытного </w:t>
      </w:r>
      <w:proofErr w:type="spellStart"/>
      <w:r w:rsidRPr="00441F34">
        <w:rPr>
          <w:rFonts w:ascii="Times New Roman" w:hAnsi="Times New Roman"/>
          <w:color w:val="0070C0"/>
          <w:sz w:val="16"/>
          <w:szCs w:val="16"/>
        </w:rPr>
        <w:t>самолето</w:t>
      </w:r>
      <w:proofErr w:type="spellEnd"/>
      <w:r w:rsidRPr="00441F34">
        <w:rPr>
          <w:rFonts w:ascii="Times New Roman" w:hAnsi="Times New Roman"/>
          <w:color w:val="0070C0"/>
          <w:sz w:val="16"/>
          <w:szCs w:val="16"/>
        </w:rPr>
        <w:t>- и моторостроения», на котором 1-м пунктом поставлен вопрос о срочном испытании отечественных синхронизаторов и пулеметов ПВ-1 на серийном самолете И-3 выпуска завода №1 стрельбой в воздухе (24887).</w:t>
      </w:r>
    </w:p>
    <w:p w14:paraId="367C4CFB" w14:textId="77777777" w:rsidR="00D70FD4" w:rsidRPr="00441F34" w:rsidRDefault="00D70FD4" w:rsidP="00D70FD4">
      <w:pPr>
        <w:spacing w:after="0" w:line="240" w:lineRule="auto"/>
        <w:jc w:val="both"/>
        <w:rPr>
          <w:rFonts w:ascii="Times New Roman" w:hAnsi="Times New Roman"/>
          <w:color w:val="0070C0"/>
          <w:sz w:val="16"/>
          <w:szCs w:val="16"/>
        </w:rPr>
      </w:pPr>
    </w:p>
    <w:p w14:paraId="0C4FDF70" w14:textId="77777777" w:rsidR="00FC4BF2"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F3B805C" w14:textId="77777777" w:rsidR="00FC4BF2" w:rsidRPr="00A259BD" w:rsidRDefault="00FC4BF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8B83DDC" w14:textId="77777777" w:rsidR="00FC4BF2" w:rsidRPr="00A259BD" w:rsidRDefault="00FC4B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7 июля</w:t>
      </w:r>
      <w:r w:rsidRPr="00A259BD">
        <w:rPr>
          <w:rFonts w:ascii="Times New Roman" w:hAnsi="Times New Roman"/>
          <w:color w:val="000000" w:themeColor="text1"/>
          <w:sz w:val="16"/>
          <w:szCs w:val="16"/>
        </w:rPr>
        <w:t xml:space="preserve"> в 1929 году на </w:t>
      </w:r>
      <w:hyperlink r:id="rId77" w:tgtFrame="_blank" w:history="1">
        <w:r w:rsidRPr="00A259BD">
          <w:rPr>
            <w:rFonts w:ascii="Times New Roman" w:hAnsi="Times New Roman"/>
            <w:color w:val="000000" w:themeColor="text1"/>
            <w:sz w:val="16"/>
            <w:szCs w:val="16"/>
          </w:rPr>
          <w:t xml:space="preserve">«Ford» «5-AT-B» </w:t>
        </w:r>
      </w:hyperlink>
      <w:r w:rsidRPr="00A259BD">
        <w:rPr>
          <w:rFonts w:ascii="Times New Roman" w:hAnsi="Times New Roman"/>
          <w:color w:val="000000" w:themeColor="text1"/>
          <w:sz w:val="16"/>
          <w:szCs w:val="16"/>
        </w:rPr>
        <w:t>открыта американская трансконтинентальная линия. В то время воздушные трассы США ещё не были оборудованы для ночных пассажирских перевозок. Поэтому было решено ночную часть пути преодолевать на поезде (14945).</w:t>
      </w:r>
    </w:p>
    <w:p w14:paraId="2F2A0541" w14:textId="77777777" w:rsidR="00FC4BF2" w:rsidRPr="00A259BD" w:rsidRDefault="00FC4BF2" w:rsidP="009236E3">
      <w:pPr>
        <w:spacing w:after="0" w:line="240" w:lineRule="auto"/>
        <w:jc w:val="both"/>
        <w:rPr>
          <w:rFonts w:ascii="Times New Roman" w:hAnsi="Times New Roman"/>
          <w:color w:val="000000" w:themeColor="text1"/>
          <w:sz w:val="16"/>
          <w:szCs w:val="16"/>
        </w:rPr>
      </w:pPr>
    </w:p>
    <w:p w14:paraId="1557E87B" w14:textId="77777777" w:rsidR="00903D56" w:rsidRPr="00A259BD" w:rsidRDefault="00903D5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июля 1929 - Начало перелёта трёхмоторного транспортника 5-AT </w:t>
      </w:r>
      <w:proofErr w:type="spellStart"/>
      <w:r w:rsidRPr="00A259BD">
        <w:rPr>
          <w:rFonts w:ascii="Times New Roman" w:hAnsi="Times New Roman"/>
          <w:color w:val="000000" w:themeColor="text1"/>
          <w:sz w:val="16"/>
          <w:szCs w:val="16"/>
        </w:rPr>
        <w:t>Tri</w:t>
      </w:r>
      <w:proofErr w:type="spellEnd"/>
      <w:r w:rsidRPr="00A259BD">
        <w:rPr>
          <w:rFonts w:ascii="Times New Roman" w:hAnsi="Times New Roman"/>
          <w:color w:val="000000" w:themeColor="text1"/>
          <w:sz w:val="16"/>
          <w:szCs w:val="16"/>
        </w:rPr>
        <w:t xml:space="preserve">-Motor а/к </w:t>
      </w:r>
      <w:proofErr w:type="spellStart"/>
      <w:r w:rsidRPr="00A259BD">
        <w:rPr>
          <w:rFonts w:ascii="Times New Roman" w:hAnsi="Times New Roman"/>
          <w:color w:val="000000" w:themeColor="text1"/>
          <w:sz w:val="16"/>
          <w:szCs w:val="16"/>
        </w:rPr>
        <w:t>Transcontinental</w:t>
      </w:r>
      <w:proofErr w:type="spellEnd"/>
      <w:r w:rsidRPr="00A259BD">
        <w:rPr>
          <w:rFonts w:ascii="Times New Roman" w:hAnsi="Times New Roman"/>
          <w:color w:val="000000" w:themeColor="text1"/>
          <w:sz w:val="16"/>
          <w:szCs w:val="16"/>
        </w:rPr>
        <w:t xml:space="preserve"> Air Transport. - с 15 пассажирскими местами. За 2,5 суток самолёт пересёк США с востока на запад, с двумя ночными остановками. Авиакомпания первой в Новом Свете открыла трансконтинентальную пассажирскую авиалинию (22437).</w:t>
      </w:r>
    </w:p>
    <w:p w14:paraId="687E7D30" w14:textId="77777777" w:rsidR="00903D56" w:rsidRPr="00A259BD" w:rsidRDefault="00903D56" w:rsidP="009236E3">
      <w:pPr>
        <w:spacing w:after="0" w:line="240" w:lineRule="auto"/>
        <w:jc w:val="both"/>
        <w:rPr>
          <w:rFonts w:ascii="Times New Roman" w:hAnsi="Times New Roman"/>
          <w:color w:val="000000" w:themeColor="text1"/>
          <w:sz w:val="16"/>
          <w:szCs w:val="16"/>
        </w:rPr>
      </w:pPr>
    </w:p>
    <w:p w14:paraId="7A184A67" w14:textId="77777777" w:rsidR="00FC4BF2" w:rsidRPr="00A259BD" w:rsidRDefault="00FC4BF2" w:rsidP="009236E3">
      <w:pPr>
        <w:spacing w:after="0" w:line="240" w:lineRule="auto"/>
        <w:jc w:val="both"/>
        <w:rPr>
          <w:rFonts w:ascii="Times New Roman" w:hAnsi="Times New Roman"/>
          <w:bCs/>
          <w:color w:val="000000" w:themeColor="text1"/>
          <w:sz w:val="16"/>
          <w:szCs w:val="16"/>
          <w:vertAlign w:val="subscript"/>
        </w:rPr>
      </w:pPr>
      <w:r w:rsidRPr="00A259BD">
        <w:rPr>
          <w:rFonts w:ascii="Times New Roman" w:hAnsi="Times New Roman"/>
          <w:bCs/>
          <w:color w:val="000000" w:themeColor="text1"/>
          <w:sz w:val="16"/>
          <w:szCs w:val="16"/>
        </w:rPr>
        <w:t>7 июля</w:t>
      </w:r>
      <w:r w:rsidRPr="00A259BD">
        <w:rPr>
          <w:rFonts w:ascii="Times New Roman" w:hAnsi="Times New Roman"/>
          <w:color w:val="000000" w:themeColor="text1"/>
          <w:sz w:val="16"/>
          <w:szCs w:val="16"/>
        </w:rPr>
        <w:t xml:space="preserve"> в 1929 году разбился, унеся с собой жизнь пилота Луи </w:t>
      </w:r>
      <w:proofErr w:type="spellStart"/>
      <w:r w:rsidRPr="00A259BD">
        <w:rPr>
          <w:rFonts w:ascii="Times New Roman" w:hAnsi="Times New Roman"/>
          <w:color w:val="000000" w:themeColor="text1"/>
          <w:sz w:val="16"/>
          <w:szCs w:val="16"/>
        </w:rPr>
        <w:t>Кудуре</w:t>
      </w:r>
      <w:proofErr w:type="spellEnd"/>
      <w:r w:rsidRPr="00A259BD">
        <w:rPr>
          <w:rFonts w:ascii="Times New Roman" w:hAnsi="Times New Roman"/>
          <w:color w:val="000000" w:themeColor="text1"/>
          <w:sz w:val="16"/>
          <w:szCs w:val="16"/>
        </w:rPr>
        <w:t xml:space="preserve">, при попытке пересечь Северную Атлантику, первый французский транспортный самолет </w:t>
      </w:r>
      <w:proofErr w:type="spellStart"/>
      <w:r w:rsidRPr="00A259BD">
        <w:rPr>
          <w:rFonts w:ascii="Times New Roman" w:hAnsi="Times New Roman"/>
          <w:color w:val="000000" w:themeColor="text1"/>
          <w:sz w:val="16"/>
          <w:szCs w:val="16"/>
        </w:rPr>
        <w:t>Bernard</w:t>
      </w:r>
      <w:proofErr w:type="spellEnd"/>
      <w:r w:rsidRPr="00A259BD">
        <w:rPr>
          <w:rFonts w:ascii="Times New Roman" w:hAnsi="Times New Roman"/>
          <w:color w:val="000000" w:themeColor="text1"/>
          <w:sz w:val="16"/>
          <w:szCs w:val="16"/>
        </w:rPr>
        <w:t xml:space="preserve"> 191GR №1 "France"</w:t>
      </w:r>
    </w:p>
    <w:p w14:paraId="10EB4FAD" w14:textId="77777777" w:rsidR="00FC4BF2" w:rsidRPr="00A259BD" w:rsidRDefault="00FC4BF2" w:rsidP="009236E3">
      <w:pPr>
        <w:spacing w:after="0" w:line="240" w:lineRule="auto"/>
        <w:jc w:val="both"/>
        <w:rPr>
          <w:rFonts w:ascii="Times New Roman" w:hAnsi="Times New Roman"/>
          <w:color w:val="000000" w:themeColor="text1"/>
          <w:sz w:val="16"/>
          <w:szCs w:val="16"/>
        </w:rPr>
      </w:pPr>
    </w:p>
    <w:p w14:paraId="1630E635" w14:textId="77777777" w:rsidR="00903D56" w:rsidRPr="00A259BD" w:rsidRDefault="00903D5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июля 1929 г. первый полет </w:t>
      </w:r>
      <w:proofErr w:type="spellStart"/>
      <w:r w:rsidRPr="00A259BD">
        <w:rPr>
          <w:rFonts w:ascii="Times New Roman" w:hAnsi="Times New Roman"/>
          <w:color w:val="000000" w:themeColor="text1"/>
          <w:sz w:val="16"/>
          <w:szCs w:val="16"/>
        </w:rPr>
        <w:t>Marinens</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Flyvebaatfabrikk</w:t>
      </w:r>
      <w:proofErr w:type="spellEnd"/>
      <w:r w:rsidRPr="00A259BD">
        <w:rPr>
          <w:rFonts w:ascii="Times New Roman" w:hAnsi="Times New Roman"/>
          <w:color w:val="000000" w:themeColor="text1"/>
          <w:sz w:val="16"/>
          <w:szCs w:val="16"/>
        </w:rPr>
        <w:t xml:space="preserve"> MF10 (20806). </w:t>
      </w:r>
    </w:p>
    <w:p w14:paraId="6CFC2A7C" w14:textId="77777777" w:rsidR="00903D56" w:rsidRPr="00A259BD" w:rsidRDefault="00903D56" w:rsidP="009236E3">
      <w:pPr>
        <w:spacing w:after="0" w:line="240" w:lineRule="auto"/>
        <w:jc w:val="both"/>
        <w:rPr>
          <w:rFonts w:ascii="Times New Roman" w:hAnsi="Times New Roman"/>
          <w:color w:val="000000" w:themeColor="text1"/>
          <w:sz w:val="16"/>
          <w:szCs w:val="16"/>
        </w:rPr>
      </w:pPr>
    </w:p>
    <w:p w14:paraId="20F6CFD5" w14:textId="77777777" w:rsidR="00903D56" w:rsidRPr="00A259BD" w:rsidRDefault="00903D5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июля 1929 - Первый полёт учебного норвежского гидросамолёта </w:t>
      </w:r>
      <w:proofErr w:type="spellStart"/>
      <w:r w:rsidRPr="00A259BD">
        <w:rPr>
          <w:rFonts w:ascii="Times New Roman" w:hAnsi="Times New Roman"/>
          <w:color w:val="000000" w:themeColor="text1"/>
          <w:sz w:val="16"/>
          <w:szCs w:val="16"/>
        </w:rPr>
        <w:t>Marinens</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Flyvebaatfabrikk</w:t>
      </w:r>
      <w:proofErr w:type="spellEnd"/>
      <w:r w:rsidRPr="00A259BD">
        <w:rPr>
          <w:rFonts w:ascii="Times New Roman" w:hAnsi="Times New Roman"/>
          <w:color w:val="000000" w:themeColor="text1"/>
          <w:sz w:val="16"/>
          <w:szCs w:val="16"/>
        </w:rPr>
        <w:t xml:space="preserve"> M.F.10. Это был двухместный вариант истребителя M.F.9 (22327).</w:t>
      </w:r>
    </w:p>
    <w:p w14:paraId="378FF0BA" w14:textId="77777777" w:rsidR="00903D56" w:rsidRPr="00A259BD" w:rsidRDefault="00903D56" w:rsidP="009236E3">
      <w:pPr>
        <w:spacing w:after="0" w:line="240" w:lineRule="auto"/>
        <w:jc w:val="both"/>
        <w:rPr>
          <w:rFonts w:ascii="Times New Roman" w:hAnsi="Times New Roman"/>
          <w:color w:val="000000" w:themeColor="text1"/>
          <w:sz w:val="16"/>
          <w:szCs w:val="16"/>
        </w:rPr>
      </w:pPr>
    </w:p>
    <w:p w14:paraId="2812DAF3" w14:textId="77777777" w:rsidR="00903D56" w:rsidRPr="00A259BD" w:rsidRDefault="00903D5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июля 1929 </w:t>
      </w:r>
      <w:proofErr w:type="spellStart"/>
      <w:r w:rsidRPr="00A259BD">
        <w:rPr>
          <w:rFonts w:ascii="Times New Roman" w:hAnsi="Times New Roman"/>
          <w:color w:val="000000" w:themeColor="text1"/>
          <w:sz w:val="16"/>
          <w:szCs w:val="16"/>
        </w:rPr>
        <w:t>Transcontinental</w:t>
      </w:r>
      <w:proofErr w:type="spellEnd"/>
      <w:r w:rsidRPr="00A259BD">
        <w:rPr>
          <w:rFonts w:ascii="Times New Roman" w:hAnsi="Times New Roman"/>
          <w:color w:val="000000" w:themeColor="text1"/>
          <w:sz w:val="16"/>
          <w:szCs w:val="16"/>
        </w:rPr>
        <w:t xml:space="preserve"> Air Transport начинает регулярные перевозки пассажиров через Соединенные Штаты за 48 часов, используя сочетание поездов и самолетов для разных этапов пути (20806).</w:t>
      </w:r>
    </w:p>
    <w:p w14:paraId="76666BC6" w14:textId="77777777" w:rsidR="00903D56" w:rsidRPr="00A259BD" w:rsidRDefault="00903D56" w:rsidP="009236E3">
      <w:pPr>
        <w:spacing w:after="0" w:line="240" w:lineRule="auto"/>
        <w:jc w:val="both"/>
        <w:rPr>
          <w:rFonts w:ascii="Times New Roman" w:hAnsi="Times New Roman"/>
          <w:color w:val="000000" w:themeColor="text1"/>
          <w:sz w:val="16"/>
          <w:szCs w:val="16"/>
        </w:rPr>
      </w:pPr>
    </w:p>
    <w:p w14:paraId="2E0BBE35" w14:textId="77777777" w:rsidR="00903D56" w:rsidRPr="00A259BD" w:rsidRDefault="00903D5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июля 1929 - При попытке пересечь Северную Атлантику разбился пилот Луи </w:t>
      </w:r>
      <w:proofErr w:type="spellStart"/>
      <w:r w:rsidRPr="00A259BD">
        <w:rPr>
          <w:rFonts w:ascii="Times New Roman" w:hAnsi="Times New Roman"/>
          <w:color w:val="000000" w:themeColor="text1"/>
          <w:sz w:val="16"/>
          <w:szCs w:val="16"/>
        </w:rPr>
        <w:t>Кудуре</w:t>
      </w:r>
      <w:proofErr w:type="spellEnd"/>
      <w:r w:rsidRPr="00A259BD">
        <w:rPr>
          <w:rFonts w:ascii="Times New Roman" w:hAnsi="Times New Roman"/>
          <w:color w:val="000000" w:themeColor="text1"/>
          <w:sz w:val="16"/>
          <w:szCs w:val="16"/>
        </w:rPr>
        <w:t xml:space="preserve"> на рекордном самолёте </w:t>
      </w:r>
      <w:proofErr w:type="spellStart"/>
      <w:r w:rsidRPr="00A259BD">
        <w:rPr>
          <w:rFonts w:ascii="Times New Roman" w:hAnsi="Times New Roman"/>
          <w:color w:val="000000" w:themeColor="text1"/>
          <w:sz w:val="16"/>
          <w:szCs w:val="16"/>
        </w:rPr>
        <w:t>Bernard</w:t>
      </w:r>
      <w:proofErr w:type="spellEnd"/>
      <w:r w:rsidRPr="00A259BD">
        <w:rPr>
          <w:rFonts w:ascii="Times New Roman" w:hAnsi="Times New Roman"/>
          <w:color w:val="000000" w:themeColor="text1"/>
          <w:sz w:val="16"/>
          <w:szCs w:val="16"/>
        </w:rPr>
        <w:t xml:space="preserve"> 191GR №1 "France" (22437).</w:t>
      </w:r>
    </w:p>
    <w:p w14:paraId="138CB646" w14:textId="77777777" w:rsidR="00903D56" w:rsidRPr="00A259BD" w:rsidRDefault="00903D56" w:rsidP="009236E3">
      <w:pPr>
        <w:spacing w:after="0" w:line="240" w:lineRule="auto"/>
        <w:jc w:val="both"/>
        <w:rPr>
          <w:rFonts w:ascii="Times New Roman" w:hAnsi="Times New Roman"/>
          <w:color w:val="000000" w:themeColor="text1"/>
          <w:sz w:val="16"/>
          <w:szCs w:val="16"/>
        </w:rPr>
      </w:pPr>
    </w:p>
    <w:p w14:paraId="2E5C55D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757246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51D505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июля 1929 в НИИ ВВС закончились испытания первого серийного самолета И-3 БМВVI, которые проходили с 13 июня 1929.</w:t>
      </w:r>
    </w:p>
    <w:p w14:paraId="609F5B1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испытания первого серийного самолета И-3 БМВVI</w:t>
      </w:r>
    </w:p>
    <w:p w14:paraId="5C77550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Задание НТК от 10 июня 1929 года № 2196/с</w:t>
      </w:r>
    </w:p>
    <w:p w14:paraId="6904EFA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Начало испытания 13 июня 1929 года</w:t>
      </w:r>
    </w:p>
    <w:p w14:paraId="7D6B209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 испытания 8 июля 1929 года</w:t>
      </w:r>
    </w:p>
    <w:p w14:paraId="11CE979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И-3 № 3820 серийной постройки завода № 1 идентичен с ранее испытанными самолетами в НИИ.</w:t>
      </w:r>
    </w:p>
    <w:p w14:paraId="3D9AB8E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самолете установлен мотор БМВVI № 16231 480/600 НР</w:t>
      </w:r>
    </w:p>
    <w:p w14:paraId="73B4341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633FE6D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Учитывая наличие изготовленной на заводе серии самолетов И3-БМВVI, а также трудность и значительную задержку по времени выпуска серии в случае требования устранения всех недочетов, построенная серия может быть принята при условии устранения основных недостатков (6980).</w:t>
      </w:r>
    </w:p>
    <w:p w14:paraId="2588C49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4B7A4C" w14:textId="77777777" w:rsidR="00D70FD4" w:rsidRPr="00441F34" w:rsidRDefault="00D70FD4" w:rsidP="00D70FD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8 июля (по др. данным по 13 июля или по 8 августа) 1929 г испытания головного серийного самолета И-3 БМВVI в НИИ ВВС закончены, и отмечено, что «Самолет И-3 №3820 серийной постройки завода № 1 им. </w:t>
      </w:r>
      <w:proofErr w:type="spellStart"/>
      <w:r w:rsidRPr="00441F34">
        <w:rPr>
          <w:rFonts w:ascii="Times New Roman" w:hAnsi="Times New Roman"/>
          <w:color w:val="0070C0"/>
          <w:sz w:val="16"/>
          <w:szCs w:val="16"/>
        </w:rPr>
        <w:t>Авиахима</w:t>
      </w:r>
      <w:proofErr w:type="spellEnd"/>
      <w:r w:rsidRPr="00441F34">
        <w:rPr>
          <w:rFonts w:ascii="Times New Roman" w:hAnsi="Times New Roman"/>
          <w:color w:val="0070C0"/>
          <w:sz w:val="16"/>
          <w:szCs w:val="16"/>
        </w:rPr>
        <w:t xml:space="preserve"> идентичен с ранее испытанными самолетами в НИИ», т.е. мер по улучшению курсовой устойчивости не предпринято, и сделано заключение:</w:t>
      </w:r>
    </w:p>
    <w:p w14:paraId="779FBC67" w14:textId="77777777" w:rsidR="00D70FD4" w:rsidRPr="00441F34" w:rsidRDefault="00D70FD4" w:rsidP="00D70FD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основании проведенных испытаний НИИ считает:</w:t>
      </w:r>
    </w:p>
    <w:p w14:paraId="460BB2EE" w14:textId="77777777" w:rsidR="00D70FD4" w:rsidRPr="00441F34" w:rsidRDefault="00D70FD4" w:rsidP="00D70FD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Учитывая наличие изготовленной на заводе серии самолетов И3-БМВVI, а также трудность и значительную задержку по времени выпуска серии, в случае требования устранения всех недочетов, построенная серия может быть принята при условии устранения основных недостатков.</w:t>
      </w:r>
    </w:p>
    <w:p w14:paraId="49DC2383" w14:textId="77777777" w:rsidR="00D70FD4" w:rsidRPr="00441F34" w:rsidRDefault="00D70FD4" w:rsidP="00D70FD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p w14:paraId="1D4B2445" w14:textId="77777777" w:rsidR="00D70FD4" w:rsidRPr="00441F34" w:rsidRDefault="00D70FD4" w:rsidP="00D70FD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 НИИ считает, что самолет И3-БМВVI не может быть значительно улучшен в дальнейших сериях, что вызывает сомнение в целесообразности широкого введения этого типа на снабжение строевых частей ВВС на далекий срок».</w:t>
      </w:r>
    </w:p>
    <w:p w14:paraId="66BB3013" w14:textId="77777777" w:rsidR="00D70FD4" w:rsidRPr="00441F34" w:rsidRDefault="00D70FD4" w:rsidP="00D70FD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То есть оценка самолету И-3 серийной постройки дана была неудовлетворительная.</w:t>
      </w:r>
    </w:p>
    <w:p w14:paraId="36302DE8" w14:textId="77777777" w:rsidR="00D70FD4" w:rsidRPr="00441F34" w:rsidRDefault="00D70FD4" w:rsidP="00D70FD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Тем не менее, с учетом готовности УВВС принимать самолеты И-3 до устранения всех недостатков, в июне 1929 г., пока испытания головного самолета были еще далеки от завершения, </w:t>
      </w:r>
      <w:proofErr w:type="spellStart"/>
      <w:r w:rsidRPr="00441F34">
        <w:rPr>
          <w:rFonts w:ascii="Times New Roman" w:hAnsi="Times New Roman"/>
          <w:color w:val="0070C0"/>
          <w:sz w:val="16"/>
          <w:szCs w:val="16"/>
        </w:rPr>
        <w:t>Авиатрест</w:t>
      </w:r>
      <w:proofErr w:type="spellEnd"/>
      <w:r w:rsidRPr="00441F34">
        <w:rPr>
          <w:rFonts w:ascii="Times New Roman" w:hAnsi="Times New Roman"/>
          <w:color w:val="0070C0"/>
          <w:sz w:val="16"/>
          <w:szCs w:val="16"/>
        </w:rPr>
        <w:t xml:space="preserve"> предъявил к сдаче всю их первую серию из 39 самолетов И-3 (не включая сданный в НИИ ВВС). По конструкции и комплектации остальные самолеты соответствовали головному и ни один дефект на них устранен не был. Заведующий ОСС Поликарпов вопрос этот не контролировал и устранению конструктивных дефектов внимания не уделял (24887).</w:t>
      </w:r>
    </w:p>
    <w:p w14:paraId="715DF16C" w14:textId="77777777" w:rsidR="00D70FD4" w:rsidRPr="00441F34" w:rsidRDefault="00D70FD4" w:rsidP="00D70FD4">
      <w:pPr>
        <w:spacing w:after="0" w:line="240" w:lineRule="auto"/>
        <w:jc w:val="both"/>
        <w:rPr>
          <w:rFonts w:ascii="Times New Roman" w:hAnsi="Times New Roman"/>
          <w:color w:val="0070C0"/>
          <w:sz w:val="16"/>
          <w:szCs w:val="16"/>
        </w:rPr>
      </w:pPr>
    </w:p>
    <w:p w14:paraId="0AEB9F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июля 1929 Дир. завода 25 Горшков и Пом. </w:t>
      </w:r>
      <w:proofErr w:type="spellStart"/>
      <w:r w:rsidRPr="00A259BD">
        <w:rPr>
          <w:rFonts w:ascii="Times New Roman" w:hAnsi="Times New Roman"/>
          <w:color w:val="000000" w:themeColor="text1"/>
          <w:sz w:val="16"/>
          <w:szCs w:val="16"/>
        </w:rPr>
        <w:t>дир</w:t>
      </w:r>
      <w:proofErr w:type="spellEnd"/>
      <w:r w:rsidRPr="00A259BD">
        <w:rPr>
          <w:rFonts w:ascii="Times New Roman" w:hAnsi="Times New Roman"/>
          <w:color w:val="000000" w:themeColor="text1"/>
          <w:sz w:val="16"/>
          <w:szCs w:val="16"/>
        </w:rPr>
        <w:t xml:space="preserve">.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Н.Н.П. писали письмо N 977с в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w:t>
      </w:r>
    </w:p>
    <w:p w14:paraId="0C5074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сем препровождается эскизный проект почтового самолета." Был представлен в 2-х вариантах - свободнонесущий моноплан с деревянным фюзеляжем типа монокок и подкосный моноплан с фюзеляжем из стальных труб. Крыло в обоих случаях - деревянное (2341,59).</w:t>
      </w:r>
    </w:p>
    <w:p w14:paraId="059E23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BE50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июля 1929 в ОПО-4 состоялось совещание по увязке заключения завода 25 по проекту ТОМ-1 (Ришара) и объяснений ОПО-4 по этому заключению. Советские конструкторы критиковали </w:t>
      </w:r>
      <w:proofErr w:type="spellStart"/>
      <w:r w:rsidRPr="00A259BD">
        <w:rPr>
          <w:rFonts w:ascii="Times New Roman" w:hAnsi="Times New Roman"/>
          <w:color w:val="000000" w:themeColor="text1"/>
          <w:sz w:val="16"/>
          <w:szCs w:val="16"/>
        </w:rPr>
        <w:t>П.Ришара</w:t>
      </w:r>
      <w:proofErr w:type="spellEnd"/>
      <w:r w:rsidRPr="00A259BD">
        <w:rPr>
          <w:rFonts w:ascii="Times New Roman" w:hAnsi="Times New Roman"/>
          <w:color w:val="000000" w:themeColor="text1"/>
          <w:sz w:val="16"/>
          <w:szCs w:val="16"/>
        </w:rPr>
        <w:t xml:space="preserve"> (2363,328).</w:t>
      </w:r>
    </w:p>
    <w:p w14:paraId="0625989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ПРОТОКОЛ</w:t>
      </w:r>
    </w:p>
    <w:p w14:paraId="6B5C22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совещания по увязке заключения з-да № 25 по проекту самолета ТОМ-1 и </w:t>
      </w:r>
      <w:proofErr w:type="spellStart"/>
      <w:r w:rsidRPr="00A259BD">
        <w:rPr>
          <w:rFonts w:ascii="Times New Roman" w:hAnsi="Times New Roman"/>
          <w:color w:val="000000" w:themeColor="text1"/>
          <w:sz w:val="16"/>
          <w:szCs w:val="16"/>
        </w:rPr>
        <w:t>об"яснений</w:t>
      </w:r>
      <w:proofErr w:type="spellEnd"/>
      <w:r w:rsidRPr="00A259BD">
        <w:rPr>
          <w:rFonts w:ascii="Times New Roman" w:hAnsi="Times New Roman"/>
          <w:color w:val="000000" w:themeColor="text1"/>
          <w:sz w:val="16"/>
          <w:szCs w:val="16"/>
        </w:rPr>
        <w:t xml:space="preserve"> ОПО-4 по этому заключению</w:t>
      </w:r>
    </w:p>
    <w:p w14:paraId="489867E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ПРИСУТСТВОВАЛИ: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ОКРОМЕШКО,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ПОЛИКАРПОВ,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ХОМСКИЙ,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ЛАВОЧКИН,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КАЛИНИН. в конце совещания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РИШАР.</w:t>
      </w:r>
    </w:p>
    <w:p w14:paraId="19D6C2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июля 1929 г. в помещении ОПО-4</w:t>
      </w:r>
    </w:p>
    <w:p w14:paraId="5EE0B6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Совещание констатирует, что по сравнению с объемом вопросов, </w:t>
      </w:r>
      <w:proofErr w:type="spellStart"/>
      <w:r w:rsidRPr="00A259BD">
        <w:rPr>
          <w:rFonts w:ascii="Times New Roman" w:hAnsi="Times New Roman"/>
          <w:color w:val="000000" w:themeColor="text1"/>
          <w:sz w:val="16"/>
          <w:szCs w:val="16"/>
        </w:rPr>
        <w:t>подлежащихосвещению</w:t>
      </w:r>
      <w:proofErr w:type="spellEnd"/>
      <w:r w:rsidRPr="00A259BD">
        <w:rPr>
          <w:rFonts w:ascii="Times New Roman" w:hAnsi="Times New Roman"/>
          <w:color w:val="000000" w:themeColor="text1"/>
          <w:sz w:val="16"/>
          <w:szCs w:val="16"/>
        </w:rPr>
        <w:t xml:space="preserve"> согласно постановления. Техсовета от ? с/г. и утвержденным перечнем </w:t>
      </w:r>
      <w:proofErr w:type="spellStart"/>
      <w:r w:rsidRPr="00A259BD">
        <w:rPr>
          <w:rFonts w:ascii="Times New Roman" w:hAnsi="Times New Roman"/>
          <w:color w:val="000000" w:themeColor="text1"/>
          <w:sz w:val="16"/>
          <w:szCs w:val="16"/>
        </w:rPr>
        <w:t>подлележащих</w:t>
      </w:r>
      <w:proofErr w:type="spellEnd"/>
      <w:r w:rsidRPr="00A259BD">
        <w:rPr>
          <w:rFonts w:ascii="Times New Roman" w:hAnsi="Times New Roman"/>
          <w:color w:val="000000" w:themeColor="text1"/>
          <w:sz w:val="16"/>
          <w:szCs w:val="16"/>
        </w:rPr>
        <w:t xml:space="preserve"> представлению вопросов и материалов, ОПО-4 не представлено:</w:t>
      </w:r>
    </w:p>
    <w:p w14:paraId="6DC778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детальних</w:t>
      </w:r>
      <w:proofErr w:type="spellEnd"/>
      <w:r w:rsidRPr="00A259BD">
        <w:rPr>
          <w:rFonts w:ascii="Times New Roman" w:hAnsi="Times New Roman"/>
          <w:color w:val="000000" w:themeColor="text1"/>
          <w:sz w:val="16"/>
          <w:szCs w:val="16"/>
        </w:rPr>
        <w:t xml:space="preserve"> продувок моделей в окончательном ее виде полностью освещающих вопроси устойчивости и управляемости самолета в воздухе для крайних по положений центра тяжести при различных и условиях полета (</w:t>
      </w:r>
      <w:proofErr w:type="spellStart"/>
      <w:r w:rsidRPr="00A259BD">
        <w:rPr>
          <w:rFonts w:ascii="Times New Roman" w:hAnsi="Times New Roman"/>
          <w:color w:val="000000" w:themeColor="text1"/>
          <w:sz w:val="16"/>
          <w:szCs w:val="16"/>
        </w:rPr>
        <w:t>напр.с</w:t>
      </w:r>
      <w:proofErr w:type="spellEnd"/>
      <w:r w:rsidRPr="00A259BD">
        <w:rPr>
          <w:rFonts w:ascii="Times New Roman" w:hAnsi="Times New Roman"/>
          <w:color w:val="000000" w:themeColor="text1"/>
          <w:sz w:val="16"/>
          <w:szCs w:val="16"/>
        </w:rPr>
        <w:t xml:space="preserve"> опущенными элеронами при работе одного мотора);</w:t>
      </w:r>
    </w:p>
    <w:p w14:paraId="1874A0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расчеты давления на ручку и педаль управления и углов отклонения рулей в тех-же условиях, а также передач управления;</w:t>
      </w:r>
    </w:p>
    <w:p w14:paraId="4D50B0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расчетов достаточно освещающих мореходность и маневрирование самолета, при заданных </w:t>
      </w:r>
      <w:proofErr w:type="spellStart"/>
      <w:r w:rsidRPr="00A259BD">
        <w:rPr>
          <w:rFonts w:ascii="Times New Roman" w:hAnsi="Times New Roman"/>
          <w:color w:val="000000" w:themeColor="text1"/>
          <w:sz w:val="16"/>
          <w:szCs w:val="16"/>
        </w:rPr>
        <w:t>техтребованиями</w:t>
      </w:r>
      <w:proofErr w:type="spellEnd"/>
      <w:r w:rsidRPr="00A259BD">
        <w:rPr>
          <w:rFonts w:ascii="Times New Roman" w:hAnsi="Times New Roman"/>
          <w:color w:val="000000" w:themeColor="text1"/>
          <w:sz w:val="16"/>
          <w:szCs w:val="16"/>
        </w:rPr>
        <w:t xml:space="preserve"> условиях волны и ветра, в полете, как на полной, так и на 60%-ной мощности, а также </w:t>
      </w:r>
      <w:proofErr w:type="spellStart"/>
      <w:r w:rsidRPr="00A259BD">
        <w:rPr>
          <w:rFonts w:ascii="Times New Roman" w:hAnsi="Times New Roman"/>
          <w:color w:val="000000" w:themeColor="text1"/>
          <w:sz w:val="16"/>
          <w:szCs w:val="16"/>
        </w:rPr>
        <w:t>воэможности</w:t>
      </w:r>
      <w:proofErr w:type="spellEnd"/>
      <w:r w:rsidRPr="00A259BD">
        <w:rPr>
          <w:rFonts w:ascii="Times New Roman" w:hAnsi="Times New Roman"/>
          <w:color w:val="000000" w:themeColor="text1"/>
          <w:sz w:val="16"/>
          <w:szCs w:val="16"/>
        </w:rPr>
        <w:t xml:space="preserve"> буксировки при ветре 16 м/с.</w:t>
      </w:r>
    </w:p>
    <w:p w14:paraId="2B8467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не представлено детального расчета качки самолета.</w:t>
      </w:r>
    </w:p>
    <w:p w14:paraId="117F89D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 А и б § 1 представитель ОПО-4 заявляет, что на основании ведущихся продувок и расчетов, ОПО-4 </w:t>
      </w:r>
      <w:proofErr w:type="spellStart"/>
      <w:r w:rsidRPr="00A259BD">
        <w:rPr>
          <w:rFonts w:ascii="Times New Roman" w:hAnsi="Times New Roman"/>
          <w:color w:val="000000" w:themeColor="text1"/>
          <w:sz w:val="16"/>
          <w:szCs w:val="16"/>
        </w:rPr>
        <w:t>полагает,что</w:t>
      </w:r>
      <w:proofErr w:type="spellEnd"/>
      <w:r w:rsidRPr="00A259BD">
        <w:rPr>
          <w:rFonts w:ascii="Times New Roman" w:hAnsi="Times New Roman"/>
          <w:color w:val="000000" w:themeColor="text1"/>
          <w:sz w:val="16"/>
          <w:szCs w:val="16"/>
        </w:rPr>
        <w:t xml:space="preserve"> давление на ? в целом не выйдет из нормальных пределов и устойчивость с-та также будет нормальна, окончательные же расчеты с подтверждением их всеми продувками будут проделаны в процессе работы.</w:t>
      </w:r>
    </w:p>
    <w:p w14:paraId="64D822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Совещание считает, что материалы в </w:t>
      </w:r>
      <w:proofErr w:type="spellStart"/>
      <w:r w:rsidRPr="00A259BD">
        <w:rPr>
          <w:rFonts w:ascii="Times New Roman" w:hAnsi="Times New Roman"/>
          <w:color w:val="000000" w:themeColor="text1"/>
          <w:sz w:val="16"/>
          <w:szCs w:val="16"/>
        </w:rPr>
        <w:t>п.п</w:t>
      </w:r>
      <w:proofErr w:type="spellEnd"/>
      <w:r w:rsidRPr="00A259BD">
        <w:rPr>
          <w:rFonts w:ascii="Times New Roman" w:hAnsi="Times New Roman"/>
          <w:color w:val="000000" w:themeColor="text1"/>
          <w:sz w:val="16"/>
          <w:szCs w:val="16"/>
        </w:rPr>
        <w:t xml:space="preserve">. а и б § 1 должны быть </w:t>
      </w:r>
      <w:proofErr w:type="spellStart"/>
      <w:r w:rsidRPr="00A259BD">
        <w:rPr>
          <w:rFonts w:ascii="Times New Roman" w:hAnsi="Times New Roman"/>
          <w:color w:val="000000" w:themeColor="text1"/>
          <w:sz w:val="16"/>
          <w:szCs w:val="16"/>
        </w:rPr>
        <w:t>лополнительно</w:t>
      </w:r>
      <w:proofErr w:type="spellEnd"/>
      <w:r w:rsidRPr="00A259BD">
        <w:rPr>
          <w:rFonts w:ascii="Times New Roman" w:hAnsi="Times New Roman"/>
          <w:color w:val="000000" w:themeColor="text1"/>
          <w:sz w:val="16"/>
          <w:szCs w:val="16"/>
        </w:rPr>
        <w:t xml:space="preserve"> представлены, но разработка их может быть произведена в процессе работ, что не может </w:t>
      </w:r>
      <w:proofErr w:type="spellStart"/>
      <w:r w:rsidRPr="00A259BD">
        <w:rPr>
          <w:rFonts w:ascii="Times New Roman" w:hAnsi="Times New Roman"/>
          <w:color w:val="000000" w:themeColor="text1"/>
          <w:sz w:val="16"/>
          <w:szCs w:val="16"/>
        </w:rPr>
        <w:t>служить.основанием</w:t>
      </w:r>
      <w:proofErr w:type="spellEnd"/>
      <w:r w:rsidRPr="00A259BD">
        <w:rPr>
          <w:rFonts w:ascii="Times New Roman" w:hAnsi="Times New Roman"/>
          <w:color w:val="000000" w:themeColor="text1"/>
          <w:sz w:val="16"/>
          <w:szCs w:val="16"/>
        </w:rPr>
        <w:t xml:space="preserve"> для задержки работ по статическим испытаниям и постройке машин.</w:t>
      </w:r>
    </w:p>
    <w:p w14:paraId="52BDB09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касается расчетов по п. в.§ 1, то Совещание считает, что детальные расчеты мореходности и управляемости на воде чрезвычайно сложны, общепринятых нормальных методов их не существует и, обычно не представляется, ввиду этого Совещание считает </w:t>
      </w:r>
      <w:proofErr w:type="spellStart"/>
      <w:r w:rsidRPr="00A259BD">
        <w:rPr>
          <w:rFonts w:ascii="Times New Roman" w:hAnsi="Times New Roman"/>
          <w:color w:val="000000" w:themeColor="text1"/>
          <w:sz w:val="16"/>
          <w:szCs w:val="16"/>
        </w:rPr>
        <w:t>возможныы</w:t>
      </w:r>
      <w:proofErr w:type="spellEnd"/>
      <w:r w:rsidRPr="00A259BD">
        <w:rPr>
          <w:rFonts w:ascii="Times New Roman" w:hAnsi="Times New Roman"/>
          <w:color w:val="000000" w:themeColor="text1"/>
          <w:sz w:val="16"/>
          <w:szCs w:val="16"/>
        </w:rPr>
        <w:t xml:space="preserve"> удовлетвориться </w:t>
      </w:r>
      <w:proofErr w:type="spellStart"/>
      <w:r w:rsidRPr="00A259BD">
        <w:rPr>
          <w:rFonts w:ascii="Times New Roman" w:hAnsi="Times New Roman"/>
          <w:color w:val="000000" w:themeColor="text1"/>
          <w:sz w:val="16"/>
          <w:szCs w:val="16"/>
        </w:rPr>
        <w:t>предстазленными</w:t>
      </w:r>
      <w:proofErr w:type="spellEnd"/>
      <w:r w:rsidRPr="00A259BD">
        <w:rPr>
          <w:rFonts w:ascii="Times New Roman" w:hAnsi="Times New Roman"/>
          <w:color w:val="000000" w:themeColor="text1"/>
          <w:sz w:val="16"/>
          <w:szCs w:val="16"/>
        </w:rPr>
        <w:t xml:space="preserve"> ОПО-4 материалами по этому вопросу. Вместе с тем, Совещание считает, что мореходность самолета предлагаемой конструкции в условиях Черного моря (длинная волна) внушает опасения, но этот вопрос может быть </w:t>
      </w:r>
      <w:proofErr w:type="spellStart"/>
      <w:r w:rsidRPr="00A259BD">
        <w:rPr>
          <w:rFonts w:ascii="Times New Roman" w:hAnsi="Times New Roman"/>
          <w:color w:val="000000" w:themeColor="text1"/>
          <w:sz w:val="16"/>
          <w:szCs w:val="16"/>
        </w:rPr>
        <w:t>решн</w:t>
      </w:r>
      <w:proofErr w:type="spellEnd"/>
      <w:r w:rsidRPr="00A259BD">
        <w:rPr>
          <w:rFonts w:ascii="Times New Roman" w:hAnsi="Times New Roman"/>
          <w:color w:val="000000" w:themeColor="text1"/>
          <w:sz w:val="16"/>
          <w:szCs w:val="16"/>
        </w:rPr>
        <w:t xml:space="preserve"> лишь практически, путем испытания.</w:t>
      </w:r>
    </w:p>
    <w:p w14:paraId="522BFE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вопросу об учете обдувки, Совещание констатирует, что в зависимости от метода учета обдувки, полетные данные самолета целиком укладываются в технические требования </w:t>
      </w:r>
      <w:proofErr w:type="spellStart"/>
      <w:r w:rsidRPr="00A259BD">
        <w:rPr>
          <w:rFonts w:ascii="Times New Roman" w:hAnsi="Times New Roman"/>
          <w:color w:val="000000" w:themeColor="text1"/>
          <w:sz w:val="16"/>
          <w:szCs w:val="16"/>
        </w:rPr>
        <w:t>и,таким</w:t>
      </w:r>
      <w:proofErr w:type="spellEnd"/>
      <w:r w:rsidRPr="00A259BD">
        <w:rPr>
          <w:rFonts w:ascii="Times New Roman" w:hAnsi="Times New Roman"/>
          <w:color w:val="000000" w:themeColor="text1"/>
          <w:sz w:val="16"/>
          <w:szCs w:val="16"/>
        </w:rPr>
        <w:t xml:space="preserve"> образом, для данного случая вопрос о методе учета обдувки не столь </w:t>
      </w:r>
      <w:proofErr w:type="spellStart"/>
      <w:r w:rsidRPr="00A259BD">
        <w:rPr>
          <w:rFonts w:ascii="Times New Roman" w:hAnsi="Times New Roman"/>
          <w:color w:val="000000" w:themeColor="text1"/>
          <w:sz w:val="16"/>
          <w:szCs w:val="16"/>
        </w:rPr>
        <w:t>существеннен</w:t>
      </w:r>
      <w:proofErr w:type="spellEnd"/>
      <w:r w:rsidRPr="00A259BD">
        <w:rPr>
          <w:rFonts w:ascii="Times New Roman" w:hAnsi="Times New Roman"/>
          <w:color w:val="000000" w:themeColor="text1"/>
          <w:sz w:val="16"/>
          <w:szCs w:val="16"/>
        </w:rPr>
        <w:t>....</w:t>
      </w:r>
    </w:p>
    <w:p w14:paraId="7CC0DB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....широко поставить на статические испытания по специально разработанной с учетом всех сделанных замечаний, программе.</w:t>
      </w:r>
    </w:p>
    <w:p w14:paraId="0DBA61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Считать желательным к статическим испытаниям приступить в возможно -срочном порядке.</w:t>
      </w:r>
    </w:p>
    <w:p w14:paraId="422A6B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При статистических испытаниях...тать необходимым... с точки зрения...</w:t>
      </w:r>
    </w:p>
    <w:p w14:paraId="706202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Общее заключение</w:t>
      </w:r>
    </w:p>
    <w:p w14:paraId="7B00C0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Предварительно..</w:t>
      </w:r>
    </w:p>
    <w:p w14:paraId="66E073E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ОПО-4 в целом...</w:t>
      </w:r>
    </w:p>
    <w:p w14:paraId="4BCAF66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Просить ОПО-4...в § 5 </w:t>
      </w:r>
      <w:proofErr w:type="spellStart"/>
      <w:r w:rsidRPr="00A259BD">
        <w:rPr>
          <w:rFonts w:ascii="Times New Roman" w:hAnsi="Times New Roman"/>
          <w:color w:val="000000" w:themeColor="text1"/>
          <w:sz w:val="16"/>
          <w:szCs w:val="16"/>
        </w:rPr>
        <w:t>неимеющие</w:t>
      </w:r>
      <w:proofErr w:type="spellEnd"/>
      <w:r w:rsidRPr="00A259BD">
        <w:rPr>
          <w:rFonts w:ascii="Times New Roman" w:hAnsi="Times New Roman"/>
          <w:color w:val="000000" w:themeColor="text1"/>
          <w:sz w:val="16"/>
          <w:szCs w:val="16"/>
        </w:rPr>
        <w:t>...</w:t>
      </w:r>
    </w:p>
    <w:p w14:paraId="445AA7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3. По вопросу...</w:t>
      </w:r>
      <w:proofErr w:type="spellStart"/>
      <w:r w:rsidRPr="00A259BD">
        <w:rPr>
          <w:rFonts w:ascii="Times New Roman" w:hAnsi="Times New Roman"/>
          <w:color w:val="000000" w:themeColor="text1"/>
          <w:sz w:val="16"/>
          <w:szCs w:val="16"/>
        </w:rPr>
        <w:t>ность</w:t>
      </w:r>
      <w:proofErr w:type="spellEnd"/>
      <w:r w:rsidRPr="00A259BD">
        <w:rPr>
          <w:rFonts w:ascii="Times New Roman" w:hAnsi="Times New Roman"/>
          <w:color w:val="000000" w:themeColor="text1"/>
          <w:sz w:val="16"/>
          <w:szCs w:val="16"/>
        </w:rPr>
        <w:t xml:space="preserve">, считать </w:t>
      </w:r>
      <w:proofErr w:type="spellStart"/>
      <w:r w:rsidRPr="00A259BD">
        <w:rPr>
          <w:rFonts w:ascii="Times New Roman" w:hAnsi="Times New Roman"/>
          <w:color w:val="000000" w:themeColor="text1"/>
          <w:sz w:val="16"/>
          <w:szCs w:val="16"/>
        </w:rPr>
        <w:t>нео</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ские</w:t>
      </w:r>
      <w:proofErr w:type="spellEnd"/>
      <w:r w:rsidRPr="00A259BD">
        <w:rPr>
          <w:rFonts w:ascii="Times New Roman" w:hAnsi="Times New Roman"/>
          <w:color w:val="000000" w:themeColor="text1"/>
          <w:sz w:val="16"/>
          <w:szCs w:val="16"/>
        </w:rPr>
        <w:t xml:space="preserve"> испытания,...динамике</w:t>
      </w:r>
    </w:p>
    <w:p w14:paraId="64C87A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Ввиду того, что...не могущих быть...ввиду оригинальности...признанных и про...широко поставить...</w:t>
      </w:r>
      <w:proofErr w:type="spellStart"/>
      <w:r w:rsidRPr="00A259BD">
        <w:rPr>
          <w:rFonts w:ascii="Times New Roman" w:hAnsi="Times New Roman"/>
          <w:color w:val="000000" w:themeColor="text1"/>
          <w:sz w:val="16"/>
          <w:szCs w:val="16"/>
        </w:rPr>
        <w:t>танной</w:t>
      </w:r>
      <w:proofErr w:type="spellEnd"/>
      <w:r w:rsidRPr="00A259BD">
        <w:rPr>
          <w:rFonts w:ascii="Times New Roman" w:hAnsi="Times New Roman"/>
          <w:color w:val="000000" w:themeColor="text1"/>
          <w:sz w:val="16"/>
          <w:szCs w:val="16"/>
        </w:rPr>
        <w:t xml:space="preserve"> с учетом</w:t>
      </w:r>
    </w:p>
    <w:p w14:paraId="7A1C618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Считать...приступить в </w:t>
      </w:r>
      <w:proofErr w:type="spellStart"/>
      <w:r w:rsidRPr="00A259BD">
        <w:rPr>
          <w:rFonts w:ascii="Times New Roman" w:hAnsi="Times New Roman"/>
          <w:color w:val="000000" w:themeColor="text1"/>
          <w:sz w:val="16"/>
          <w:szCs w:val="16"/>
        </w:rPr>
        <w:t>возм</w:t>
      </w:r>
      <w:proofErr w:type="spellEnd"/>
      <w:r w:rsidRPr="00A259BD">
        <w:rPr>
          <w:rFonts w:ascii="Times New Roman" w:hAnsi="Times New Roman"/>
          <w:color w:val="000000" w:themeColor="text1"/>
          <w:sz w:val="16"/>
          <w:szCs w:val="16"/>
        </w:rPr>
        <w:t>...</w:t>
      </w:r>
    </w:p>
    <w:p w14:paraId="2DD5EAA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Просить ОПО4 обратить особое внимание на обеспечение продувками всех вопросов устойчивости и управляемости.</w:t>
      </w:r>
    </w:p>
    <w:p w14:paraId="02970F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Осуществление проекта признать возможным, при условии предварительного освещения статическими испытаниями всех мест конструкции и представления всех материалов, </w:t>
      </w:r>
      <w:proofErr w:type="spellStart"/>
      <w:r w:rsidRPr="00A259BD">
        <w:rPr>
          <w:rFonts w:ascii="Times New Roman" w:hAnsi="Times New Roman"/>
          <w:color w:val="000000" w:themeColor="text1"/>
          <w:sz w:val="16"/>
          <w:szCs w:val="16"/>
        </w:rPr>
        <w:t>опрвдывающих</w:t>
      </w:r>
      <w:proofErr w:type="spellEnd"/>
      <w:r w:rsidRPr="00A259BD">
        <w:rPr>
          <w:rFonts w:ascii="Times New Roman" w:hAnsi="Times New Roman"/>
          <w:color w:val="000000" w:themeColor="text1"/>
          <w:sz w:val="16"/>
          <w:szCs w:val="16"/>
        </w:rPr>
        <w:t xml:space="preserve"> устойчивость </w:t>
      </w:r>
      <w:proofErr w:type="spellStart"/>
      <w:r w:rsidRPr="00A259BD">
        <w:rPr>
          <w:rFonts w:ascii="Times New Roman" w:hAnsi="Times New Roman"/>
          <w:color w:val="000000" w:themeColor="text1"/>
          <w:sz w:val="16"/>
          <w:szCs w:val="16"/>
        </w:rPr>
        <w:t>и.управляемость</w:t>
      </w:r>
      <w:proofErr w:type="spellEnd"/>
      <w:r w:rsidRPr="00A259BD">
        <w:rPr>
          <w:rFonts w:ascii="Times New Roman" w:hAnsi="Times New Roman"/>
          <w:color w:val="000000" w:themeColor="text1"/>
          <w:sz w:val="16"/>
          <w:szCs w:val="16"/>
        </w:rPr>
        <w:t xml:space="preserve"> самолета в воздухе, при представления их должно быть увязано с общим планом работ таким образом, чтобы возможно более избежать могущих потребоваться переделок.</w:t>
      </w:r>
    </w:p>
    <w:p w14:paraId="782993D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Обратить внимание Правления, что мореходность машины в условиях Черного моря может оказаться неудовлетворяющей полностью техническим требованиям, что, однако, не может быть ни опровергнуто, ни доказано расчетом и в этой части постройка лодочной машины является желательной для получения опыта.</w:t>
      </w:r>
    </w:p>
    <w:p w14:paraId="6E1A17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Просить Правление ускорить разрешение вопроса о проекте мины, что задерживает окончательную разработку центроплана (2363,328).</w:t>
      </w:r>
    </w:p>
    <w:p w14:paraId="7A0432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E22E5E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BDA71C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64B0B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и 8 июля 1929 на закрытых заседаниях ПБ обсуждалось состояние обороны СССР. В результата появились постановления: О состоянии обороны СССР и О военной промышленности, для выработки которых назначили две </w:t>
      </w:r>
      <w:proofErr w:type="spellStart"/>
      <w:r w:rsidRPr="00A259BD">
        <w:rPr>
          <w:rFonts w:ascii="Times New Roman" w:hAnsi="Times New Roman"/>
          <w:color w:val="000000" w:themeColor="text1"/>
          <w:sz w:val="16"/>
          <w:szCs w:val="16"/>
        </w:rPr>
        <w:t>редкомиссии</w:t>
      </w:r>
      <w:proofErr w:type="spellEnd"/>
      <w:r w:rsidRPr="00A259BD">
        <w:rPr>
          <w:rFonts w:ascii="Times New Roman" w:hAnsi="Times New Roman"/>
          <w:color w:val="000000" w:themeColor="text1"/>
          <w:sz w:val="16"/>
          <w:szCs w:val="16"/>
        </w:rPr>
        <w:t xml:space="preserve"> (9089,97).</w:t>
      </w:r>
    </w:p>
    <w:p w14:paraId="77F4AB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06222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июля 1929 комиссия, созданная для обсуждения плана строительства вооруженных сил РЗ СТО 23 апреля 1929, представила доклад. Намекали, что кое-что надо взять из гражданской промышленности (9089,96).</w:t>
      </w:r>
    </w:p>
    <w:p w14:paraId="4FD4A2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DD55E3" w14:textId="77777777" w:rsidR="007E0E96" w:rsidRPr="00A259BD" w:rsidRDefault="007E0E9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июля 1929 года комиссия Ворошилова представила доклад по итогам своей деятельности. Таким образом, вполне вероятно, что эта комиссия Ворошилова могла оказать влияние на Политбюро на стадии подготовки материалов к заседаниям по обороне и оборонной промышленности. Комиссия изложила свои соображения по пятилетнему плану развития и технической реконструкции вооружённых сил, программе военно-морского строительства и мобилизационной заявке на один год войны. В докладе комиссии содержался многозначительный намёк на имеющийся огромный потенциал для удовлетворения военных нужд, при этом основной упор был сделан на неиспользованные ресурсы гражданской промышленности. До сих пор, говорилось в докладе, лишь немногие отрасли гражданской промышленности были вовлечены в процесс «ассимиляции» (9089).</w:t>
      </w:r>
    </w:p>
    <w:p w14:paraId="3E34D4BC" w14:textId="77777777" w:rsidR="007E0E96" w:rsidRPr="00A259BD" w:rsidRDefault="007E0E96" w:rsidP="009236E3">
      <w:pPr>
        <w:spacing w:after="0" w:line="240" w:lineRule="auto"/>
        <w:jc w:val="both"/>
        <w:rPr>
          <w:rFonts w:ascii="Times New Roman" w:hAnsi="Times New Roman"/>
          <w:color w:val="000000" w:themeColor="text1"/>
          <w:sz w:val="16"/>
          <w:szCs w:val="16"/>
        </w:rPr>
      </w:pPr>
    </w:p>
    <w:p w14:paraId="2B669306"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июля 1929 г. было подготовлено:</w:t>
      </w:r>
    </w:p>
    <w:p w14:paraId="192313FD"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ПИСЬМО НАЧАЛЬНИКА ВТУ ПРЕДСЕДАТЕЛЮ РВС СССР С ПРЕДЛОЖЕНИЕМ О НЕОТЛОЖНЫХ МЕРОПРИЯТИЯХ В ТАНКОСТРОЕНИИ</w:t>
      </w:r>
    </w:p>
    <w:p w14:paraId="71C29D56"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Москва</w:t>
      </w:r>
    </w:p>
    <w:p w14:paraId="521AD092"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Уважаемый товарищ Климентий Ефремович!</w:t>
      </w:r>
    </w:p>
    <w:p w14:paraId="69C05345"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связи с тем, что директивным органом Вы назначены председателем комиссии по выработке конкретных мероприятий в части, касающейся военной промышленности, я имею (после тщатель</w:t>
      </w:r>
      <w:r w:rsidRPr="00A259BD">
        <w:rPr>
          <w:rFonts w:ascii="Times New Roman" w:hAnsi="Times New Roman"/>
          <w:color w:val="000000" w:themeColor="text1"/>
          <w:sz w:val="16"/>
          <w:szCs w:val="16"/>
        </w:rPr>
        <w:softHyphen/>
        <w:t>ного обдумывания этого вопроса) одно предложение по вопросу танкостроения.</w:t>
      </w:r>
    </w:p>
    <w:p w14:paraId="12475CEE"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Я лично считаю: какие бы мы усилия не напрягали в области развития массового танкового строения на таких заводах, как “Большевик”, едва ли мы добьемся не только массового производст</w:t>
      </w:r>
      <w:r w:rsidRPr="00A259BD">
        <w:rPr>
          <w:rFonts w:ascii="Times New Roman" w:hAnsi="Times New Roman"/>
          <w:color w:val="000000" w:themeColor="text1"/>
          <w:sz w:val="16"/>
          <w:szCs w:val="16"/>
        </w:rPr>
        <w:softHyphen/>
        <w:t>ва, но также едва ли подвинемся в ближайшее время к так называемому серийному производству, ибо сам завод по своей природе органически не готов воспринять танковое производство и весьма болезненно будет воспринимать все начинания, направленные к тому, чтобы наладить хотя бы се</w:t>
      </w:r>
      <w:r w:rsidRPr="00A259BD">
        <w:rPr>
          <w:rFonts w:ascii="Times New Roman" w:hAnsi="Times New Roman"/>
          <w:color w:val="000000" w:themeColor="text1"/>
          <w:sz w:val="16"/>
          <w:szCs w:val="16"/>
        </w:rPr>
        <w:softHyphen/>
        <w:t>рийное производство и снизить стоимость выпускаемой продукции.</w:t>
      </w:r>
    </w:p>
    <w:p w14:paraId="56C4C84A"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Поскольку танковое производство поставлено на заводе, который не считает его одним из ос</w:t>
      </w:r>
      <w:r w:rsidRPr="00A259BD">
        <w:rPr>
          <w:rFonts w:ascii="Times New Roman" w:hAnsi="Times New Roman"/>
          <w:color w:val="000000" w:themeColor="text1"/>
          <w:sz w:val="16"/>
          <w:szCs w:val="16"/>
        </w:rPr>
        <w:softHyphen/>
        <w:t>новных элементов своей производственной специальности - несомненно, развитие технической мысли в области дальнейшей конструкции по танковому делу пострадает.</w:t>
      </w:r>
    </w:p>
    <w:p w14:paraId="564490B4"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 то, что мною сказано выше, я попытаюсь кратко обосновать на основании имеющихся у ме</w:t>
      </w:r>
      <w:r w:rsidRPr="00A259BD">
        <w:rPr>
          <w:rFonts w:ascii="Times New Roman" w:hAnsi="Times New Roman"/>
          <w:color w:val="000000" w:themeColor="text1"/>
          <w:sz w:val="16"/>
          <w:szCs w:val="16"/>
        </w:rPr>
        <w:softHyphen/>
        <w:t>ня сведений, ибо, будучи в Америке и изучая вопросы автостроения, я попутно интересовался и изу</w:t>
      </w:r>
      <w:r w:rsidRPr="00A259BD">
        <w:rPr>
          <w:rFonts w:ascii="Times New Roman" w:hAnsi="Times New Roman"/>
          <w:color w:val="000000" w:themeColor="text1"/>
          <w:sz w:val="16"/>
          <w:szCs w:val="16"/>
        </w:rPr>
        <w:softHyphen/>
        <w:t>чал вопрос, как и каким образом, Америка строила и развивала танковое производство во время им</w:t>
      </w:r>
      <w:r w:rsidRPr="00A259BD">
        <w:rPr>
          <w:rFonts w:ascii="Times New Roman" w:hAnsi="Times New Roman"/>
          <w:color w:val="000000" w:themeColor="text1"/>
          <w:sz w:val="16"/>
          <w:szCs w:val="16"/>
        </w:rPr>
        <w:softHyphen/>
        <w:t>периалистической войны и в настоящее время.</w:t>
      </w:r>
    </w:p>
    <w:p w14:paraId="1F7030B8"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Успех танкового производства в Америке во время империалистической войны объясняется тем, что американцы поставленную перед собой задачу по созданию танка разрешили не абстракт</w:t>
      </w:r>
      <w:r w:rsidRPr="00A259BD">
        <w:rPr>
          <w:rFonts w:ascii="Times New Roman" w:hAnsi="Times New Roman"/>
          <w:color w:val="000000" w:themeColor="text1"/>
          <w:sz w:val="16"/>
          <w:szCs w:val="16"/>
        </w:rPr>
        <w:softHyphen/>
        <w:t>но и без учета производственных возможностей, а наоборот — конструкторская мысль была стиму</w:t>
      </w:r>
      <w:r w:rsidRPr="00A259BD">
        <w:rPr>
          <w:rFonts w:ascii="Times New Roman" w:hAnsi="Times New Roman"/>
          <w:color w:val="000000" w:themeColor="text1"/>
          <w:sz w:val="16"/>
          <w:szCs w:val="16"/>
        </w:rPr>
        <w:softHyphen/>
        <w:t>лирована наличием широко развитого автомобильного производства.</w:t>
      </w:r>
    </w:p>
    <w:p w14:paraId="2E09C8D4"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Примером может служить задача, поставленная Форду американским правительством в тече</w:t>
      </w:r>
      <w:r w:rsidRPr="00A259BD">
        <w:rPr>
          <w:rFonts w:ascii="Times New Roman" w:hAnsi="Times New Roman"/>
          <w:color w:val="000000" w:themeColor="text1"/>
          <w:sz w:val="16"/>
          <w:szCs w:val="16"/>
        </w:rPr>
        <w:softHyphen/>
        <w:t>ние нескольких месяцев поставить производство танков, не прекращая автомобильного производст</w:t>
      </w:r>
      <w:r w:rsidRPr="00A259BD">
        <w:rPr>
          <w:rFonts w:ascii="Times New Roman" w:hAnsi="Times New Roman"/>
          <w:color w:val="000000" w:themeColor="text1"/>
          <w:sz w:val="16"/>
          <w:szCs w:val="16"/>
        </w:rPr>
        <w:softHyphen/>
        <w:t>ва. При этом нужно учитывать то, что Форд имел свое стандартное автомобильное производство ав</w:t>
      </w:r>
      <w:r w:rsidRPr="00A259BD">
        <w:rPr>
          <w:rFonts w:ascii="Times New Roman" w:hAnsi="Times New Roman"/>
          <w:color w:val="000000" w:themeColor="text1"/>
          <w:sz w:val="16"/>
          <w:szCs w:val="16"/>
        </w:rPr>
        <w:softHyphen/>
        <w:t>томашин марки “Т” и, тем не менее, без ущерба и сокращения производственной автомобильной программы, выполнял задачу по танкостроению.</w:t>
      </w:r>
    </w:p>
    <w:p w14:paraId="486A3984"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Что же касается танков тяжелого тоннажа, американцы использовали опять-таки автомобиль</w:t>
      </w:r>
      <w:r w:rsidRPr="00A259BD">
        <w:rPr>
          <w:rFonts w:ascii="Times New Roman" w:hAnsi="Times New Roman"/>
          <w:color w:val="000000" w:themeColor="text1"/>
          <w:sz w:val="16"/>
          <w:szCs w:val="16"/>
        </w:rPr>
        <w:softHyphen/>
        <w:t>ную индустрию и даже в настоящее время на последнем современном танке Т-1, о котором амери</w:t>
      </w:r>
      <w:r w:rsidRPr="00A259BD">
        <w:rPr>
          <w:rFonts w:ascii="Times New Roman" w:hAnsi="Times New Roman"/>
          <w:color w:val="000000" w:themeColor="text1"/>
          <w:sz w:val="16"/>
          <w:szCs w:val="16"/>
        </w:rPr>
        <w:softHyphen/>
        <w:t>канское артиллерийское управление имеет самое лучшее мнение, установлен мотор коммерческого стандартного типа “</w:t>
      </w:r>
      <w:proofErr w:type="spellStart"/>
      <w:r w:rsidRPr="00A259BD">
        <w:rPr>
          <w:rFonts w:ascii="Times New Roman" w:hAnsi="Times New Roman"/>
          <w:color w:val="000000" w:themeColor="text1"/>
          <w:sz w:val="16"/>
          <w:szCs w:val="16"/>
        </w:rPr>
        <w:t>Коннингама</w:t>
      </w:r>
      <w:proofErr w:type="spellEnd"/>
      <w:r w:rsidRPr="00A259BD">
        <w:rPr>
          <w:rFonts w:ascii="Times New Roman" w:hAnsi="Times New Roman"/>
          <w:color w:val="000000" w:themeColor="text1"/>
          <w:sz w:val="16"/>
          <w:szCs w:val="16"/>
        </w:rPr>
        <w:t>”.</w:t>
      </w:r>
    </w:p>
    <w:p w14:paraId="2E2D6840"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Автомобильные фирмы в Америке справились и справляются с этой задачей лишь только по</w:t>
      </w:r>
      <w:r w:rsidRPr="00A259BD">
        <w:rPr>
          <w:rFonts w:ascii="Times New Roman" w:hAnsi="Times New Roman"/>
          <w:color w:val="000000" w:themeColor="text1"/>
          <w:sz w:val="16"/>
          <w:szCs w:val="16"/>
        </w:rPr>
        <w:softHyphen/>
        <w:t>тому, что американцы не изобретали и не придумывали какой-либо специальной конструкции дви</w:t>
      </w:r>
      <w:r w:rsidRPr="00A259BD">
        <w:rPr>
          <w:rFonts w:ascii="Times New Roman" w:hAnsi="Times New Roman"/>
          <w:color w:val="000000" w:themeColor="text1"/>
          <w:sz w:val="16"/>
          <w:szCs w:val="16"/>
        </w:rPr>
        <w:softHyphen/>
        <w:t>гателей и ходовых частей для конструкции танка, ибо общеизвестно, что автомобильный двигатель и его трансмиссия, то есть агрегат в целом, за небольшим изменением рулевого управления, являет</w:t>
      </w:r>
      <w:r w:rsidRPr="00A259BD">
        <w:rPr>
          <w:rFonts w:ascii="Times New Roman" w:hAnsi="Times New Roman"/>
          <w:color w:val="000000" w:themeColor="text1"/>
          <w:sz w:val="16"/>
          <w:szCs w:val="16"/>
        </w:rPr>
        <w:softHyphen/>
        <w:t>ся пригодным для конструкции танка. Так американцы использовали “Форд” во время империали</w:t>
      </w:r>
      <w:r w:rsidRPr="00A259BD">
        <w:rPr>
          <w:rFonts w:ascii="Times New Roman" w:hAnsi="Times New Roman"/>
          <w:color w:val="000000" w:themeColor="text1"/>
          <w:sz w:val="16"/>
          <w:szCs w:val="16"/>
        </w:rPr>
        <w:softHyphen/>
        <w:t>стической войны, так применили в настоящее время тип коммерческого “</w:t>
      </w:r>
      <w:proofErr w:type="spellStart"/>
      <w:r w:rsidRPr="00A259BD">
        <w:rPr>
          <w:rFonts w:ascii="Times New Roman" w:hAnsi="Times New Roman"/>
          <w:color w:val="000000" w:themeColor="text1"/>
          <w:sz w:val="16"/>
          <w:szCs w:val="16"/>
        </w:rPr>
        <w:t>Коннингама</w:t>
      </w:r>
      <w:proofErr w:type="spellEnd"/>
      <w:r w:rsidRPr="00A259BD">
        <w:rPr>
          <w:rFonts w:ascii="Times New Roman" w:hAnsi="Times New Roman"/>
          <w:color w:val="000000" w:themeColor="text1"/>
          <w:sz w:val="16"/>
          <w:szCs w:val="16"/>
        </w:rPr>
        <w:t>”; в то же вре</w:t>
      </w:r>
      <w:r w:rsidRPr="00A259BD">
        <w:rPr>
          <w:rFonts w:ascii="Times New Roman" w:hAnsi="Times New Roman"/>
          <w:color w:val="000000" w:themeColor="text1"/>
          <w:sz w:val="16"/>
          <w:szCs w:val="16"/>
        </w:rPr>
        <w:softHyphen/>
        <w:t>мя, используя другие фирмы, как тракторные, так и автомобильные, для того, чтобы получить раму, на которой можно было бы смонтировать весь агрегат и, наконец, тракторные фирмы — для того, чтобы получить гусеницы.</w:t>
      </w:r>
    </w:p>
    <w:p w14:paraId="1F053D4A"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Если принять во внимание то, что в настоящее время американцы поставили себе задачей соз</w:t>
      </w:r>
      <w:r w:rsidRPr="00A259BD">
        <w:rPr>
          <w:rFonts w:ascii="Times New Roman" w:hAnsi="Times New Roman"/>
          <w:color w:val="000000" w:themeColor="text1"/>
          <w:sz w:val="16"/>
          <w:szCs w:val="16"/>
        </w:rPr>
        <w:softHyphen/>
        <w:t xml:space="preserve">дать тип танкового шасси комбинированного движения на гусеницах и автомобильном ходу, </w:t>
      </w:r>
      <w:proofErr w:type="spellStart"/>
      <w:r w:rsidRPr="00A259BD">
        <w:rPr>
          <w:rFonts w:ascii="Times New Roman" w:hAnsi="Times New Roman"/>
          <w:color w:val="000000" w:themeColor="text1"/>
          <w:sz w:val="16"/>
          <w:szCs w:val="16"/>
        </w:rPr>
        <w:t>стано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вится</w:t>
      </w:r>
      <w:proofErr w:type="spellEnd"/>
      <w:r w:rsidRPr="00A259BD">
        <w:rPr>
          <w:rFonts w:ascii="Times New Roman" w:hAnsi="Times New Roman"/>
          <w:color w:val="000000" w:themeColor="text1"/>
          <w:sz w:val="16"/>
          <w:szCs w:val="16"/>
        </w:rPr>
        <w:t xml:space="preserve"> абсолютно бесспорной полная ориентировка танкового производства, главным образом, на ав</w:t>
      </w:r>
      <w:r w:rsidRPr="00A259BD">
        <w:rPr>
          <w:rFonts w:ascii="Times New Roman" w:hAnsi="Times New Roman"/>
          <w:color w:val="000000" w:themeColor="text1"/>
          <w:sz w:val="16"/>
          <w:szCs w:val="16"/>
        </w:rPr>
        <w:softHyphen/>
        <w:t>томобильную и тракторную промышленность.</w:t>
      </w:r>
    </w:p>
    <w:p w14:paraId="270CF1C9"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Что же касается вопроса одевания брони, то задача в данном случае весьма простая, ибо для этого нужны небольшие мастерские, так как сам по себе процесс производства весьма не сложен и эта часть может быть выделена на тех предприятиях, которые одевают броню для бронепоездов и боевых военных кораблей или, наконец, может быть организован специальный цех.</w:t>
      </w:r>
    </w:p>
    <w:p w14:paraId="36A484CF"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Вот вкратце история развития танкового дела в Америке.</w:t>
      </w:r>
    </w:p>
    <w:p w14:paraId="6087DC67"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делается у нас в этом вопросе и что меня страшно беспокоит:</w:t>
      </w:r>
    </w:p>
    <w:p w14:paraId="571F4823"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Мы сконструировали двигатель и поставили отечественное производство танков. На этом же двигателе, который не является стандартным и который, видимо, будет употребляться только в тан</w:t>
      </w:r>
      <w:r w:rsidRPr="00A259BD">
        <w:rPr>
          <w:rFonts w:ascii="Times New Roman" w:hAnsi="Times New Roman"/>
          <w:color w:val="000000" w:themeColor="text1"/>
          <w:sz w:val="16"/>
          <w:szCs w:val="16"/>
        </w:rPr>
        <w:softHyphen/>
        <w:t>ке МС-1, мы в настоящее время базируем все наше танковое производство легкого типа танков.</w:t>
      </w:r>
    </w:p>
    <w:p w14:paraId="661F560E"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Для нас всех общеизвестно, что успех развития автостроения и дешевизна продукции исклю</w:t>
      </w:r>
      <w:r w:rsidRPr="00A259BD">
        <w:rPr>
          <w:rFonts w:ascii="Times New Roman" w:hAnsi="Times New Roman"/>
          <w:color w:val="000000" w:themeColor="text1"/>
          <w:sz w:val="16"/>
          <w:szCs w:val="16"/>
        </w:rPr>
        <w:softHyphen/>
        <w:t>чительно зависит от массовой поточной системы производства, но так как весь агрегат нашего оте</w:t>
      </w:r>
      <w:r w:rsidRPr="00A259BD">
        <w:rPr>
          <w:rFonts w:ascii="Times New Roman" w:hAnsi="Times New Roman"/>
          <w:color w:val="000000" w:themeColor="text1"/>
          <w:sz w:val="16"/>
          <w:szCs w:val="16"/>
        </w:rPr>
        <w:softHyphen/>
        <w:t>чественного танка не рассчитан на массовое производство, никогда не будет являться стандартным и ничего общего не будет иметь с теми двигателями внутреннего сгорания, которые мы сейчас ста</w:t>
      </w:r>
      <w:r w:rsidRPr="00A259BD">
        <w:rPr>
          <w:rFonts w:ascii="Times New Roman" w:hAnsi="Times New Roman"/>
          <w:color w:val="000000" w:themeColor="text1"/>
          <w:sz w:val="16"/>
          <w:szCs w:val="16"/>
        </w:rPr>
        <w:softHyphen/>
        <w:t>вим в массовом автомобильном производстве. Этим самым мы суживаем насыщение армии танками в ближайшее время, так как его движущая сила будет дорога по своей стоимости, а производствен</w:t>
      </w:r>
      <w:r w:rsidRPr="00A259BD">
        <w:rPr>
          <w:rFonts w:ascii="Times New Roman" w:hAnsi="Times New Roman"/>
          <w:color w:val="000000" w:themeColor="text1"/>
          <w:sz w:val="16"/>
          <w:szCs w:val="16"/>
        </w:rPr>
        <w:softHyphen/>
        <w:t>ные возможности дальше однотипности и серийности не пойдут.</w:t>
      </w:r>
    </w:p>
    <w:p w14:paraId="5B355424"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Специальный вид мотора танка, при той специализации мотора, которая имеет место в насто</w:t>
      </w:r>
      <w:r w:rsidRPr="00A259BD">
        <w:rPr>
          <w:rFonts w:ascii="Times New Roman" w:hAnsi="Times New Roman"/>
          <w:color w:val="000000" w:themeColor="text1"/>
          <w:sz w:val="16"/>
          <w:szCs w:val="16"/>
        </w:rPr>
        <w:softHyphen/>
        <w:t>ящее время (его отличительная конструкция — воздушное охлаждение), с моей точки зрения, вряд ли нужен, ибо тактическое преимущество (избавиться от водоснабжения) небольшое, а специальная разновидность двигателя, в сравнении с массовым производством автомобилей скажется в военное время весьма болезненно.</w:t>
      </w:r>
    </w:p>
    <w:p w14:paraId="27E9C8FD"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Учитывая все выше сказанное, я предлагаю для Вашего обсуждения и решения по танковому производству следующие мероприятия:</w:t>
      </w:r>
    </w:p>
    <w:p w14:paraId="4ED05891"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Для легкого танка, примерно типа МС-1 — использовать двигатели и всю трансмиссионную часть фордовского агрегата современной модели типа АА (так, как двигатель МС-1 является 38 сил, фордовский же агрегат — 40 сил). Разница в конструкции (вместо воздушного охлаждения — водя</w:t>
      </w:r>
      <w:r w:rsidRPr="00A259BD">
        <w:rPr>
          <w:rFonts w:ascii="Times New Roman" w:hAnsi="Times New Roman"/>
          <w:color w:val="000000" w:themeColor="text1"/>
          <w:sz w:val="16"/>
          <w:szCs w:val="16"/>
        </w:rPr>
        <w:softHyphen/>
        <w:t>ное), с моей точки зрения, особой роли не играет.</w:t>
      </w:r>
    </w:p>
    <w:p w14:paraId="29E29788"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w:t>
      </w:r>
      <w:proofErr w:type="spellStart"/>
      <w:r w:rsidRPr="00A259BD">
        <w:rPr>
          <w:rFonts w:ascii="Times New Roman" w:hAnsi="Times New Roman"/>
          <w:color w:val="000000" w:themeColor="text1"/>
          <w:sz w:val="16"/>
          <w:szCs w:val="16"/>
        </w:rPr>
        <w:t>Автострою</w:t>
      </w:r>
      <w:proofErr w:type="spellEnd"/>
      <w:r w:rsidRPr="00A259BD">
        <w:rPr>
          <w:rFonts w:ascii="Times New Roman" w:hAnsi="Times New Roman"/>
          <w:color w:val="000000" w:themeColor="text1"/>
          <w:sz w:val="16"/>
          <w:szCs w:val="16"/>
        </w:rPr>
        <w:t xml:space="preserve"> дать задание, чтобы последний в проекте своего завода предусмотрел специальный цех танкового производства вернее, не производства, как это принято понимать в буквальном смыс</w:t>
      </w:r>
      <w:r w:rsidRPr="00A259BD">
        <w:rPr>
          <w:rFonts w:ascii="Times New Roman" w:hAnsi="Times New Roman"/>
          <w:color w:val="000000" w:themeColor="text1"/>
          <w:sz w:val="16"/>
          <w:szCs w:val="16"/>
        </w:rPr>
        <w:softHyphen/>
        <w:t>ле, а сборки танка, ибо моторная группа для этого танка будет стандартная, что же касается рамы и других установок на шасси танка, то это будет получаться законченными поковками с тех предпри</w:t>
      </w:r>
      <w:r w:rsidRPr="00A259BD">
        <w:rPr>
          <w:rFonts w:ascii="Times New Roman" w:hAnsi="Times New Roman"/>
          <w:color w:val="000000" w:themeColor="text1"/>
          <w:sz w:val="16"/>
          <w:szCs w:val="16"/>
        </w:rPr>
        <w:softHyphen/>
        <w:t>ятий, которым это будет поручено. Например, гусеничный ход выполняют тракторные заводы и т.д.</w:t>
      </w:r>
    </w:p>
    <w:p w14:paraId="74DC029C"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Однако, это не означает, что я предлагаю бросить все, что сделано и делается сейчас на “Боль</w:t>
      </w:r>
      <w:r w:rsidRPr="00A259BD">
        <w:rPr>
          <w:rFonts w:ascii="Times New Roman" w:hAnsi="Times New Roman"/>
          <w:color w:val="000000" w:themeColor="text1"/>
          <w:sz w:val="16"/>
          <w:szCs w:val="16"/>
        </w:rPr>
        <w:softHyphen/>
        <w:t>шевике”. Наоборот, там дело это упорядочить нужно, используя весь опыт и прочее, но вместе с тем, постепенно, сейчас же надо начинать составлять планы и соответствующие проекты о том, как это должно быть увязано с автопроизводством, что с моей точки зрения, является категорически необходимым.</w:t>
      </w:r>
    </w:p>
    <w:p w14:paraId="375D2271"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Так как в танковом производстве армия не ограничится одним видом легкого танка, ибо на очереди стоят типы среднего и тяжелого танков, в данном случае я имею следующие предложения:</w:t>
      </w:r>
    </w:p>
    <w:p w14:paraId="0AFF27FD"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для среднего танка может быть использован мотор и трансмиссия в целом от автомобиля, ко</w:t>
      </w:r>
      <w:r w:rsidRPr="00A259BD">
        <w:rPr>
          <w:rFonts w:ascii="Times New Roman" w:hAnsi="Times New Roman"/>
          <w:color w:val="000000" w:themeColor="text1"/>
          <w:sz w:val="16"/>
          <w:szCs w:val="16"/>
        </w:rPr>
        <w:softHyphen/>
        <w:t>торый будет строиться на заводе АМО “</w:t>
      </w:r>
      <w:proofErr w:type="spellStart"/>
      <w:r w:rsidRPr="00A259BD">
        <w:rPr>
          <w:rFonts w:ascii="Times New Roman" w:hAnsi="Times New Roman"/>
          <w:color w:val="000000" w:themeColor="text1"/>
          <w:sz w:val="16"/>
          <w:szCs w:val="16"/>
        </w:rPr>
        <w:t>Аутокар</w:t>
      </w:r>
      <w:proofErr w:type="spellEnd"/>
      <w:r w:rsidRPr="00A259BD">
        <w:rPr>
          <w:rFonts w:ascii="Times New Roman" w:hAnsi="Times New Roman"/>
          <w:color w:val="000000" w:themeColor="text1"/>
          <w:sz w:val="16"/>
          <w:szCs w:val="16"/>
        </w:rPr>
        <w:t>”, ибо последний имеет мощность 65 сил, прекрас</w:t>
      </w:r>
      <w:r w:rsidRPr="00A259BD">
        <w:rPr>
          <w:rFonts w:ascii="Times New Roman" w:hAnsi="Times New Roman"/>
          <w:color w:val="000000" w:themeColor="text1"/>
          <w:sz w:val="16"/>
          <w:szCs w:val="16"/>
        </w:rPr>
        <w:softHyphen/>
        <w:t>ную трансмиссию и надлежащие скорости;</w:t>
      </w:r>
    </w:p>
    <w:p w14:paraId="79ADCDB4"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б) для тяжелого танка - мотор “Геркулес” (95 сил), производство которого будет поставлено на Ярославском заводе.</w:t>
      </w:r>
    </w:p>
    <w:p w14:paraId="1BB96675"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таком подходе к разрешению задачи танкостроения, во-первых, мы наряду с развитием ав</w:t>
      </w:r>
      <w:r w:rsidRPr="00A259BD">
        <w:rPr>
          <w:rFonts w:ascii="Times New Roman" w:hAnsi="Times New Roman"/>
          <w:color w:val="000000" w:themeColor="text1"/>
          <w:sz w:val="16"/>
          <w:szCs w:val="16"/>
        </w:rPr>
        <w:softHyphen/>
        <w:t>тостроения всех типов боевых автомашин для армии разрешили бы в стандартном порядке и танко</w:t>
      </w:r>
      <w:r w:rsidRPr="00A259BD">
        <w:rPr>
          <w:rFonts w:ascii="Times New Roman" w:hAnsi="Times New Roman"/>
          <w:color w:val="000000" w:themeColor="text1"/>
          <w:sz w:val="16"/>
          <w:szCs w:val="16"/>
        </w:rPr>
        <w:softHyphen/>
        <w:t>строение, примерно, в те же сроки, как это намечено по автопроизводству. Кроме того, такие меро</w:t>
      </w:r>
      <w:r w:rsidRPr="00A259BD">
        <w:rPr>
          <w:rFonts w:ascii="Times New Roman" w:hAnsi="Times New Roman"/>
          <w:color w:val="000000" w:themeColor="text1"/>
          <w:sz w:val="16"/>
          <w:szCs w:val="16"/>
        </w:rPr>
        <w:softHyphen/>
        <w:t>приятия явились бы огромным плюсом с точки зрения снабжения и исполнения на случай убыли ма</w:t>
      </w:r>
      <w:r w:rsidRPr="00A259BD">
        <w:rPr>
          <w:rFonts w:ascii="Times New Roman" w:hAnsi="Times New Roman"/>
          <w:color w:val="000000" w:themeColor="text1"/>
          <w:sz w:val="16"/>
          <w:szCs w:val="16"/>
        </w:rPr>
        <w:softHyphen/>
        <w:t>териальной части в танковых частях.</w:t>
      </w:r>
    </w:p>
    <w:p w14:paraId="329C57EB" w14:textId="77777777" w:rsidR="00F8794A" w:rsidRPr="00A259BD" w:rsidRDefault="00F8794A"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РГВА. Ф. 4.</w:t>
      </w:r>
    </w:p>
    <w:p w14:paraId="32E59BCD"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Если, Климентий Ефремович, Вы найдете, что рекомендуемые мною мероприятия в танкостро</w:t>
      </w:r>
      <w:r w:rsidRPr="00A259BD">
        <w:rPr>
          <w:rFonts w:ascii="Times New Roman" w:hAnsi="Times New Roman"/>
          <w:color w:val="000000" w:themeColor="text1"/>
          <w:sz w:val="16"/>
          <w:szCs w:val="16"/>
        </w:rPr>
        <w:softHyphen/>
        <w:t>ении заслуживают внимания, я считаю, что по этому большому, архиважному и ответственному во</w:t>
      </w:r>
      <w:r w:rsidRPr="00A259BD">
        <w:rPr>
          <w:rFonts w:ascii="Times New Roman" w:hAnsi="Times New Roman"/>
          <w:color w:val="000000" w:themeColor="text1"/>
          <w:sz w:val="16"/>
          <w:szCs w:val="16"/>
        </w:rPr>
        <w:softHyphen/>
        <w:t>просу для армии нужно выделить маленькую подкомиссию из Вашей комиссии, дабы она этот воп</w:t>
      </w:r>
      <w:r w:rsidRPr="00A259BD">
        <w:rPr>
          <w:rFonts w:ascii="Times New Roman" w:hAnsi="Times New Roman"/>
          <w:color w:val="000000" w:themeColor="text1"/>
          <w:sz w:val="16"/>
          <w:szCs w:val="16"/>
        </w:rPr>
        <w:softHyphen/>
        <w:t>рос тщательно проработала и чтобы директивный орган принял окончательное и исчерпывающее решение. Так как не исключена возможность того что, если предложение по промышленности по</w:t>
      </w:r>
      <w:r w:rsidRPr="00A259BD">
        <w:rPr>
          <w:rFonts w:ascii="Times New Roman" w:hAnsi="Times New Roman"/>
          <w:color w:val="000000" w:themeColor="text1"/>
          <w:sz w:val="16"/>
          <w:szCs w:val="16"/>
        </w:rPr>
        <w:softHyphen/>
        <w:t xml:space="preserve">ступит только от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может начаться опять дискуссия, как это имело место по типам и мар</w:t>
      </w:r>
      <w:r w:rsidRPr="00A259BD">
        <w:rPr>
          <w:rFonts w:ascii="Times New Roman" w:hAnsi="Times New Roman"/>
          <w:color w:val="000000" w:themeColor="text1"/>
          <w:sz w:val="16"/>
          <w:szCs w:val="16"/>
        </w:rPr>
        <w:softHyphen/>
        <w:t>кам машин.</w:t>
      </w:r>
    </w:p>
    <w:p w14:paraId="2D96E19D"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Одновременно с этим довожу до Вашего сведения, что с этим вопросом весьма нужно спешить, так как во всех проектах по постройке заводов автомобильного производства не предусматривается дополнительная нагрузка танкового строения в том порядке и той производственной установке, как я Вам изложил.</w:t>
      </w:r>
    </w:p>
    <w:p w14:paraId="105A0B38"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Я очень извиняюсь, Климентий Ефремович, что данный вопрос изложен в виде письма и непо</w:t>
      </w:r>
      <w:r w:rsidRPr="00A259BD">
        <w:rPr>
          <w:rFonts w:ascii="Times New Roman" w:hAnsi="Times New Roman"/>
          <w:color w:val="000000" w:themeColor="text1"/>
          <w:sz w:val="16"/>
          <w:szCs w:val="16"/>
        </w:rPr>
        <w:softHyphen/>
        <w:t>средственно Вам, минуя Августа Ивановича. Сделал это потому, что Август Иванович в командиров</w:t>
      </w:r>
      <w:r w:rsidRPr="00A259BD">
        <w:rPr>
          <w:rFonts w:ascii="Times New Roman" w:hAnsi="Times New Roman"/>
          <w:color w:val="000000" w:themeColor="text1"/>
          <w:sz w:val="16"/>
          <w:szCs w:val="16"/>
        </w:rPr>
        <w:softHyphen/>
        <w:t>ке и чтобы вовремя довести до Вашего сведения пока не начала работать комиссия. По приезде Ав</w:t>
      </w:r>
      <w:r w:rsidRPr="00A259BD">
        <w:rPr>
          <w:rFonts w:ascii="Times New Roman" w:hAnsi="Times New Roman"/>
          <w:color w:val="000000" w:themeColor="text1"/>
          <w:sz w:val="16"/>
          <w:szCs w:val="16"/>
        </w:rPr>
        <w:softHyphen/>
        <w:t>густа Ивановича я тотчас ему вручу копию настоящего письма.</w:t>
      </w:r>
    </w:p>
    <w:p w14:paraId="696D2C3F"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коммунистическим приветом </w:t>
      </w:r>
      <w:proofErr w:type="spellStart"/>
      <w:r w:rsidRPr="00A259BD">
        <w:rPr>
          <w:rFonts w:ascii="Times New Roman" w:hAnsi="Times New Roman"/>
          <w:color w:val="000000" w:themeColor="text1"/>
          <w:sz w:val="16"/>
          <w:szCs w:val="16"/>
        </w:rPr>
        <w:t>Халепский</w:t>
      </w:r>
      <w:proofErr w:type="spellEnd"/>
    </w:p>
    <w:p w14:paraId="1C4762FA"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РГВА. Ф. 4. Оп. 2. Д. 504. Л. 34 - 35. Копия (11210).</w:t>
      </w:r>
    </w:p>
    <w:p w14:paraId="79ACCE7C" w14:textId="77777777" w:rsidR="00F8794A" w:rsidRPr="00A259BD" w:rsidRDefault="00F8794A"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7A57B1" w14:textId="77777777" w:rsidR="00FC4BF2"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18309D3" w14:textId="77777777" w:rsidR="00FC4BF2" w:rsidRPr="00A259BD" w:rsidRDefault="00FC4BF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1CCC7A" w14:textId="77777777" w:rsidR="00FC4BF2" w:rsidRPr="00A259BD" w:rsidRDefault="00FC4B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8 июля</w:t>
      </w:r>
      <w:r w:rsidRPr="00A259BD">
        <w:rPr>
          <w:rFonts w:ascii="Times New Roman" w:hAnsi="Times New Roman"/>
          <w:color w:val="000000" w:themeColor="text1"/>
          <w:sz w:val="16"/>
          <w:szCs w:val="16"/>
        </w:rPr>
        <w:t xml:space="preserve"> в 1929 году состоялся первый полет пассажирского самолета Вилли </w:t>
      </w:r>
      <w:proofErr w:type="spellStart"/>
      <w:r w:rsidRPr="00A259BD">
        <w:rPr>
          <w:rFonts w:ascii="Times New Roman" w:hAnsi="Times New Roman"/>
          <w:color w:val="000000" w:themeColor="text1"/>
          <w:sz w:val="16"/>
          <w:szCs w:val="16"/>
        </w:rPr>
        <w:t>Мессершмита</w:t>
      </w:r>
      <w:proofErr w:type="spellEnd"/>
      <w:r w:rsidRPr="00A259BD">
        <w:rPr>
          <w:rFonts w:ascii="Times New Roman" w:hAnsi="Times New Roman"/>
          <w:color w:val="000000" w:themeColor="text1"/>
          <w:sz w:val="16"/>
          <w:szCs w:val="16"/>
        </w:rPr>
        <w:t xml:space="preserve"> </w:t>
      </w:r>
      <w:hyperlink r:id="rId78" w:tgtFrame="_blank" w:history="1">
        <w:r w:rsidRPr="00A259BD">
          <w:rPr>
            <w:rFonts w:ascii="Times New Roman" w:hAnsi="Times New Roman"/>
            <w:color w:val="000000" w:themeColor="text1"/>
            <w:sz w:val="16"/>
            <w:szCs w:val="16"/>
          </w:rPr>
          <w:t xml:space="preserve">«M-24a». </w:t>
        </w:r>
      </w:hyperlink>
      <w:r w:rsidRPr="00A259BD">
        <w:rPr>
          <w:rFonts w:ascii="Times New Roman" w:hAnsi="Times New Roman"/>
          <w:color w:val="000000" w:themeColor="text1"/>
          <w:sz w:val="16"/>
          <w:szCs w:val="16"/>
        </w:rPr>
        <w:t>Самолет оснастили шестицилиндровым двигателем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«L 5G» мощностью 375 л.с. Испытания выявили мелкие недостатки самолета и он был отправлен на доработку. Повторные испытания начались только в конце октября этого же года. В этот раз заказчик остался удовлетворен и первый «M-24a» был поставлен «</w:t>
      </w:r>
      <w:proofErr w:type="spellStart"/>
      <w:r w:rsidRPr="00A259BD">
        <w:rPr>
          <w:rFonts w:ascii="Times New Roman" w:hAnsi="Times New Roman"/>
          <w:color w:val="000000" w:themeColor="text1"/>
          <w:sz w:val="16"/>
          <w:szCs w:val="16"/>
        </w:rPr>
        <w:t>Nordbayerische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Verkehrsflug</w:t>
      </w:r>
      <w:proofErr w:type="spellEnd"/>
      <w:r w:rsidRPr="00A259BD">
        <w:rPr>
          <w:rFonts w:ascii="Times New Roman" w:hAnsi="Times New Roman"/>
          <w:color w:val="000000" w:themeColor="text1"/>
          <w:sz w:val="16"/>
          <w:szCs w:val="16"/>
        </w:rPr>
        <w:t xml:space="preserve"> GmbH» в феврале 1930 года и получил регистрационный номер D-1767 (14946).</w:t>
      </w:r>
    </w:p>
    <w:p w14:paraId="2ADD42A8" w14:textId="77777777" w:rsidR="00FC4BF2" w:rsidRPr="00A259BD" w:rsidRDefault="00FC4BF2" w:rsidP="009236E3">
      <w:pPr>
        <w:spacing w:after="0" w:line="240" w:lineRule="auto"/>
        <w:jc w:val="both"/>
        <w:rPr>
          <w:rFonts w:ascii="Times New Roman" w:hAnsi="Times New Roman"/>
          <w:color w:val="000000" w:themeColor="text1"/>
          <w:sz w:val="16"/>
          <w:szCs w:val="16"/>
        </w:rPr>
      </w:pPr>
    </w:p>
    <w:p w14:paraId="0552F4D0" w14:textId="77777777" w:rsidR="001806EE" w:rsidRPr="00A259BD" w:rsidRDefault="001806EE"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5A867181" w14:textId="77777777" w:rsidR="001806EE" w:rsidRPr="00A259BD" w:rsidRDefault="001806EE" w:rsidP="009236E3">
      <w:pPr>
        <w:autoSpaceDE w:val="0"/>
        <w:autoSpaceDN w:val="0"/>
        <w:adjustRightInd w:val="0"/>
        <w:spacing w:after="0" w:line="240" w:lineRule="auto"/>
        <w:jc w:val="both"/>
        <w:rPr>
          <w:rFonts w:ascii="Times New Roman" w:hAnsi="Times New Roman"/>
          <w:color w:val="000000" w:themeColor="text1"/>
          <w:sz w:val="16"/>
          <w:szCs w:val="16"/>
        </w:rPr>
      </w:pPr>
    </w:p>
    <w:p w14:paraId="72BD4690" w14:textId="77777777" w:rsidR="001806EE" w:rsidRPr="00A259BD" w:rsidRDefault="001806E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июля 1929 г. Реввоенсовет СССР своим приказом №179 официально закрепил за 18-м авиационным отрядом ВВС РККА почетное наименование: «18 авиаотряд Коммунальный работник». Такого чести авиаотряд был удостоен благодаря шефству над ним со стороны ЦК Союза работников коммунального хозяйства, построивший и передавший в состав оного отряда именной самолет «Коммунальный работник» (18518).</w:t>
      </w:r>
    </w:p>
    <w:p w14:paraId="6249074F" w14:textId="77777777" w:rsidR="001806EE" w:rsidRPr="00A259BD" w:rsidRDefault="001806EE" w:rsidP="009236E3">
      <w:pPr>
        <w:spacing w:after="0" w:line="240" w:lineRule="auto"/>
        <w:jc w:val="both"/>
        <w:rPr>
          <w:rFonts w:ascii="Times New Roman" w:hAnsi="Times New Roman"/>
          <w:color w:val="000000" w:themeColor="text1"/>
          <w:sz w:val="16"/>
          <w:szCs w:val="16"/>
        </w:rPr>
      </w:pPr>
    </w:p>
    <w:p w14:paraId="26AA4B6D"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6E1C53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FB7DF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июля 1929 рабочий Пролетарского з-да Слободчиков выступил с предложением провести по всей стране День индустриализации (3960, 267).</w:t>
      </w:r>
    </w:p>
    <w:p w14:paraId="5BF4A0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2B8AA7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1703DD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A0069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июля 1929 директор завода 25 Горшков и Пом. </w:t>
      </w:r>
      <w:proofErr w:type="spellStart"/>
      <w:r w:rsidRPr="00A259BD">
        <w:rPr>
          <w:rFonts w:ascii="Times New Roman" w:hAnsi="Times New Roman"/>
          <w:color w:val="000000" w:themeColor="text1"/>
          <w:sz w:val="16"/>
          <w:szCs w:val="16"/>
        </w:rPr>
        <w:t>дир</w:t>
      </w:r>
      <w:proofErr w:type="spellEnd"/>
      <w:r w:rsidRPr="00A259BD">
        <w:rPr>
          <w:rFonts w:ascii="Times New Roman" w:hAnsi="Times New Roman"/>
          <w:color w:val="000000" w:themeColor="text1"/>
          <w:sz w:val="16"/>
          <w:szCs w:val="16"/>
        </w:rPr>
        <w:t xml:space="preserve">.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Н.Н.П. писали письмо N 981с в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w:t>
      </w:r>
    </w:p>
    <w:p w14:paraId="1CE2B0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"Ставя перед собой задачу дать в лице И-7 М-17 первоклассный истребитель с наилучшими данными, мы считаем необходимым провести всесторонние изыскания для уменьшения веса машины и улучшения ее аэродинамических качеств. Одним из важных факторов для последнего является уменьшение лобового сопротивления радиатора. По литературным данным в Америке путем замены охлаждающей жидкости - воды на этиленгликоль удалось снизить лобовое сопротивление поверхности на 20%. Для применения этого усовершенствования на И-7 М-17, нам необходимо получить этиленгликоль или аналогичную ему жидкость с теми же охлаждающими свойствами. основываясь на изложенном выше, мы считаем необходимым в кратчайший срок войти в связь с химическим трестом и соответствующим НИИ для получения этиленгликоля и постановки с ним необходимых опытов. Просим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сделать необходимые распоряжения для осуществления поставленной задачи." (2339,260).</w:t>
      </w:r>
    </w:p>
    <w:p w14:paraId="3FA536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01F6C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10 июля 1929 проходили испытания самолета Р5 БМВVI.</w:t>
      </w:r>
    </w:p>
    <w:p w14:paraId="107F16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был принят в НИИ для испытаний 10 июля 1929 года:</w:t>
      </w:r>
    </w:p>
    <w:p w14:paraId="769549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Техиспытания</w:t>
      </w:r>
      <w:proofErr w:type="spellEnd"/>
      <w:r w:rsidRPr="00A259BD">
        <w:rPr>
          <w:rFonts w:ascii="Times New Roman" w:hAnsi="Times New Roman"/>
          <w:color w:val="000000" w:themeColor="text1"/>
          <w:sz w:val="16"/>
          <w:szCs w:val="16"/>
        </w:rPr>
        <w:t xml:space="preserve"> самолета – 8 дней.</w:t>
      </w:r>
    </w:p>
    <w:p w14:paraId="582BFA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Задержки в испытаниях вследствие неисправности мотора и радиатора – 15 дней.</w:t>
      </w:r>
    </w:p>
    <w:p w14:paraId="2A3513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Задержки из-за неисправности костыля самолета – 4 дня.</w:t>
      </w:r>
    </w:p>
    <w:p w14:paraId="5127E5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Летные испытания – 13 дней.</w:t>
      </w:r>
    </w:p>
    <w:p w14:paraId="0293F1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Перелеты самолета – 11 дней.</w:t>
      </w:r>
    </w:p>
    <w:p w14:paraId="00921B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0046BF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3 октября 1929 самолет полностью испытан с нормальной нагрузкой разведчика и бомбардировщика и подготовлен для испытаний с максимальной бомбардировочной нагрузкой (6999, 219).</w:t>
      </w:r>
    </w:p>
    <w:p w14:paraId="3521DF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84AE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июля 1929 Р-5 после длительной переписки все-таки приняли в НИИ ВВС без пристрелки. На следующий день его уже выпустили в воздух. Но летчику Писаренко не повезло. В полете разрушился левый распределительный вал мотора, пришлось срочно садиться. Уже на земле обнаружили, что вдобавок раздуло маслобак из-за отсутствия в нем дренажа.</w:t>
      </w:r>
    </w:p>
    <w:p w14:paraId="502EB2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самолет заказывался одновременно с первым. В целом он соответствовал предыдущему, но имел французский карбюратор Зенит 60DC (вместо "родного" типа BMW). Вооружение смонтировали полностью, но радиостанция отсутствовала, а вместо фотоаппарата стоял макет. Костыль ужесточили так, что он почти не амортизировал. Это потом привело к тому, что начала быстро изнашиваться его пятка.</w:t>
      </w:r>
    </w:p>
    <w:p w14:paraId="2A8703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Пока ждали новый мотор, решили заняться вооружением. Сотрудники НИИ 16 июля повезли самолет на Кунцевский полигон. Отстрел передней установки закончился неудачей. Пулемет трясся, лен </w:t>
      </w:r>
      <w:proofErr w:type="spellStart"/>
      <w:r w:rsidRPr="00A259BD">
        <w:rPr>
          <w:rFonts w:ascii="Times New Roman" w:hAnsi="Times New Roman"/>
          <w:color w:val="000000" w:themeColor="text1"/>
          <w:sz w:val="16"/>
          <w:szCs w:val="16"/>
        </w:rPr>
        <w:t>гу</w:t>
      </w:r>
      <w:proofErr w:type="spellEnd"/>
      <w:r w:rsidRPr="00A259BD">
        <w:rPr>
          <w:rFonts w:ascii="Times New Roman" w:hAnsi="Times New Roman"/>
          <w:color w:val="000000" w:themeColor="text1"/>
          <w:sz w:val="16"/>
          <w:szCs w:val="16"/>
        </w:rPr>
        <w:t xml:space="preserve"> захлестывало в приемном рукаве. Причиной оказалась недостаточная жесткость заднего кронштейна крепления. Попытки "</w:t>
      </w:r>
      <w:proofErr w:type="spellStart"/>
      <w:r w:rsidRPr="00A259BD">
        <w:rPr>
          <w:rFonts w:ascii="Times New Roman" w:hAnsi="Times New Roman"/>
          <w:color w:val="000000" w:themeColor="text1"/>
          <w:sz w:val="16"/>
          <w:szCs w:val="16"/>
        </w:rPr>
        <w:t>подтянугь</w:t>
      </w:r>
      <w:proofErr w:type="spellEnd"/>
      <w:r w:rsidRPr="00A259BD">
        <w:rPr>
          <w:rFonts w:ascii="Times New Roman" w:hAnsi="Times New Roman"/>
          <w:color w:val="000000" w:themeColor="text1"/>
          <w:sz w:val="16"/>
          <w:szCs w:val="16"/>
        </w:rPr>
        <w:t>" и "поджать" ничего не дали. Кронштейн надо было переделывать (12034).</w:t>
      </w:r>
    </w:p>
    <w:p w14:paraId="18A511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9BC1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июля 1929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при рассмотрении вопроса о постройке ТОМ ОПО-4 Ришара воздержалось от принятия решения об организационной форме работы ОПО-4 и взаимоотношениях с ОПО-3 и заводом 22. Было предложено объединить ОПО-3 и ОПО-4 в опытные мастерские ОММС под основным руководством Ришара. Хотели достроить то, что делалось в ОПО-3 и для этого заключить с Ришаром дополнительное соглашение (2363,337).</w:t>
      </w:r>
    </w:p>
    <w:p w14:paraId="65515E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середине июля 1929 была подготовлена Докладная записка зам. </w:t>
      </w:r>
      <w:proofErr w:type="spellStart"/>
      <w:r w:rsidRPr="00A259BD">
        <w:rPr>
          <w:rFonts w:ascii="Times New Roman" w:hAnsi="Times New Roman"/>
          <w:color w:val="000000" w:themeColor="text1"/>
          <w:sz w:val="16"/>
          <w:szCs w:val="16"/>
        </w:rPr>
        <w:t>Техортдела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Авиатрасте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Окромешко</w:t>
      </w:r>
      <w:proofErr w:type="spellEnd"/>
      <w:r w:rsidRPr="00A259BD">
        <w:rPr>
          <w:rFonts w:ascii="Times New Roman" w:hAnsi="Times New Roman"/>
          <w:color w:val="000000" w:themeColor="text1"/>
          <w:sz w:val="16"/>
          <w:szCs w:val="16"/>
        </w:rPr>
        <w:t xml:space="preserve"> члену Правления </w:t>
      </w:r>
      <w:proofErr w:type="spellStart"/>
      <w:r w:rsidRPr="00A259BD">
        <w:rPr>
          <w:rFonts w:ascii="Times New Roman" w:hAnsi="Times New Roman"/>
          <w:color w:val="000000" w:themeColor="text1"/>
          <w:sz w:val="16"/>
          <w:szCs w:val="16"/>
        </w:rPr>
        <w:t>С.С.Макаровскому</w:t>
      </w:r>
      <w:proofErr w:type="spellEnd"/>
      <w:r w:rsidRPr="00A259BD">
        <w:rPr>
          <w:rFonts w:ascii="Times New Roman" w:hAnsi="Times New Roman"/>
          <w:color w:val="000000" w:themeColor="text1"/>
          <w:sz w:val="16"/>
          <w:szCs w:val="16"/>
        </w:rPr>
        <w:t>:</w:t>
      </w:r>
    </w:p>
    <w:p w14:paraId="7DA38C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разрешении 10 сего июля (странно, протокол-то от 12 июля) вопроса о постройке с-та ТОМ-1 конструкции ОПО-4 Правление воздержалось от вынесения решения об организационных формах работы ОПО4 по постройке этого с-та и взаимоотношениях в связи с нею между ОПО4, ОПО3 и заводом № 22.</w:t>
      </w:r>
    </w:p>
    <w:p w14:paraId="06446F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соответствии с решением Правления подготовка к статистическим испытаниям и постройка с-та </w:t>
      </w:r>
      <w:proofErr w:type="spellStart"/>
      <w:r w:rsidRPr="00A259BD">
        <w:rPr>
          <w:rFonts w:ascii="Times New Roman" w:hAnsi="Times New Roman"/>
          <w:color w:val="000000" w:themeColor="text1"/>
          <w:sz w:val="16"/>
          <w:szCs w:val="16"/>
        </w:rPr>
        <w:t>д.б</w:t>
      </w:r>
      <w:proofErr w:type="spellEnd"/>
      <w:r w:rsidRPr="00A259BD">
        <w:rPr>
          <w:rFonts w:ascii="Times New Roman" w:hAnsi="Times New Roman"/>
          <w:color w:val="000000" w:themeColor="text1"/>
          <w:sz w:val="16"/>
          <w:szCs w:val="16"/>
        </w:rPr>
        <w:t>. начата в ближайшие дни.</w:t>
      </w:r>
    </w:p>
    <w:p w14:paraId="0A7109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Единственным местом, где она </w:t>
      </w:r>
      <w:proofErr w:type="spellStart"/>
      <w:r w:rsidRPr="00A259BD">
        <w:rPr>
          <w:rFonts w:ascii="Times New Roman" w:hAnsi="Times New Roman"/>
          <w:color w:val="000000" w:themeColor="text1"/>
          <w:sz w:val="16"/>
          <w:szCs w:val="16"/>
        </w:rPr>
        <w:t>м.б.</w:t>
      </w:r>
      <w:proofErr w:type="spellEnd"/>
      <w:r w:rsidRPr="00A259BD">
        <w:rPr>
          <w:rFonts w:ascii="Times New Roman" w:hAnsi="Times New Roman"/>
          <w:color w:val="000000" w:themeColor="text1"/>
          <w:sz w:val="16"/>
          <w:szCs w:val="16"/>
        </w:rPr>
        <w:t xml:space="preserve"> начата, </w:t>
      </w:r>
      <w:proofErr w:type="spellStart"/>
      <w:r w:rsidRPr="00A259BD">
        <w:rPr>
          <w:rFonts w:ascii="Times New Roman" w:hAnsi="Times New Roman"/>
          <w:color w:val="000000" w:themeColor="text1"/>
          <w:sz w:val="16"/>
          <w:szCs w:val="16"/>
        </w:rPr>
        <w:t>явщляется</w:t>
      </w:r>
      <w:proofErr w:type="spellEnd"/>
      <w:r w:rsidRPr="00A259BD">
        <w:rPr>
          <w:rFonts w:ascii="Times New Roman" w:hAnsi="Times New Roman"/>
          <w:color w:val="000000" w:themeColor="text1"/>
          <w:sz w:val="16"/>
          <w:szCs w:val="16"/>
        </w:rPr>
        <w:t xml:space="preserve"> з-д № 22, причем </w:t>
      </w:r>
      <w:proofErr w:type="spellStart"/>
      <w:r w:rsidRPr="00A259BD">
        <w:rPr>
          <w:rFonts w:ascii="Times New Roman" w:hAnsi="Times New Roman"/>
          <w:color w:val="000000" w:themeColor="text1"/>
          <w:sz w:val="16"/>
          <w:szCs w:val="16"/>
        </w:rPr>
        <w:t>м.б.</w:t>
      </w:r>
      <w:proofErr w:type="spellEnd"/>
      <w:r w:rsidRPr="00A259BD">
        <w:rPr>
          <w:rFonts w:ascii="Times New Roman" w:hAnsi="Times New Roman"/>
          <w:color w:val="000000" w:themeColor="text1"/>
          <w:sz w:val="16"/>
          <w:szCs w:val="16"/>
        </w:rPr>
        <w:t xml:space="preserve"> использованы либо помещения самого з-да, либо ОПО3. И в том и в другом случае интересы з-да № 22, ОПО3 и ОПО4 </w:t>
      </w:r>
      <w:proofErr w:type="spellStart"/>
      <w:r w:rsidRPr="00A259BD">
        <w:rPr>
          <w:rFonts w:ascii="Times New Roman" w:hAnsi="Times New Roman"/>
          <w:color w:val="000000" w:themeColor="text1"/>
          <w:sz w:val="16"/>
          <w:szCs w:val="16"/>
        </w:rPr>
        <w:t>д.б</w:t>
      </w:r>
      <w:proofErr w:type="spellEnd"/>
      <w:r w:rsidRPr="00A259BD">
        <w:rPr>
          <w:rFonts w:ascii="Times New Roman" w:hAnsi="Times New Roman"/>
          <w:color w:val="000000" w:themeColor="text1"/>
          <w:sz w:val="16"/>
          <w:szCs w:val="16"/>
        </w:rPr>
        <w:t xml:space="preserve">. неминуемо столкнуться, причем возникнет ряд существенных вопросов - на чьей </w:t>
      </w:r>
      <w:proofErr w:type="spellStart"/>
      <w:r w:rsidRPr="00A259BD">
        <w:rPr>
          <w:rFonts w:ascii="Times New Roman" w:hAnsi="Times New Roman"/>
          <w:color w:val="000000" w:themeColor="text1"/>
          <w:sz w:val="16"/>
          <w:szCs w:val="16"/>
        </w:rPr>
        <w:t>обызанности</w:t>
      </w:r>
      <w:proofErr w:type="spellEnd"/>
      <w:r w:rsidRPr="00A259BD">
        <w:rPr>
          <w:rFonts w:ascii="Times New Roman" w:hAnsi="Times New Roman"/>
          <w:color w:val="000000" w:themeColor="text1"/>
          <w:sz w:val="16"/>
          <w:szCs w:val="16"/>
        </w:rPr>
        <w:t xml:space="preserve"> лежит снабжение, кто нанимает и тарифицирует рабсилу и т.д., на почве которых м и наверное создастся ряд недоразумений, которые задержат работу и могут даже сорвать ее.</w:t>
      </w:r>
    </w:p>
    <w:p w14:paraId="2D8418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Ввиду вышеизложенного считаю </w:t>
      </w:r>
      <w:proofErr w:type="spellStart"/>
      <w:r w:rsidRPr="00A259BD">
        <w:rPr>
          <w:rFonts w:ascii="Times New Roman" w:hAnsi="Times New Roman"/>
          <w:color w:val="000000" w:themeColor="text1"/>
          <w:sz w:val="16"/>
          <w:szCs w:val="16"/>
        </w:rPr>
        <w:t>неоходимым</w:t>
      </w:r>
      <w:proofErr w:type="spellEnd"/>
      <w:r w:rsidRPr="00A259BD">
        <w:rPr>
          <w:rFonts w:ascii="Times New Roman" w:hAnsi="Times New Roman"/>
          <w:color w:val="000000" w:themeColor="text1"/>
          <w:sz w:val="16"/>
          <w:szCs w:val="16"/>
        </w:rPr>
        <w:t xml:space="preserve"> доложить то, что по-моему, мнению начинать работу по постройке </w:t>
      </w:r>
      <w:proofErr w:type="spellStart"/>
      <w:r w:rsidRPr="00A259BD">
        <w:rPr>
          <w:rFonts w:ascii="Times New Roman" w:hAnsi="Times New Roman"/>
          <w:color w:val="000000" w:themeColor="text1"/>
          <w:sz w:val="16"/>
          <w:szCs w:val="16"/>
        </w:rPr>
        <w:t>ТОМа</w:t>
      </w:r>
      <w:proofErr w:type="spellEnd"/>
      <w:r w:rsidRPr="00A259BD">
        <w:rPr>
          <w:rFonts w:ascii="Times New Roman" w:hAnsi="Times New Roman"/>
          <w:color w:val="000000" w:themeColor="text1"/>
          <w:sz w:val="16"/>
          <w:szCs w:val="16"/>
        </w:rPr>
        <w:t xml:space="preserve"> при отсутствии точных директив Правления, точно регулирующих взаимоотношения ОПО4, ОПО3 и завода № 22 </w:t>
      </w:r>
      <w:proofErr w:type="spellStart"/>
      <w:r w:rsidRPr="00A259BD">
        <w:rPr>
          <w:rFonts w:ascii="Times New Roman" w:hAnsi="Times New Roman"/>
          <w:color w:val="000000" w:themeColor="text1"/>
          <w:sz w:val="16"/>
          <w:szCs w:val="16"/>
        </w:rPr>
        <w:t>невозмлжно</w:t>
      </w:r>
      <w:proofErr w:type="spellEnd"/>
      <w:r w:rsidRPr="00A259BD">
        <w:rPr>
          <w:rFonts w:ascii="Times New Roman" w:hAnsi="Times New Roman"/>
          <w:color w:val="000000" w:themeColor="text1"/>
          <w:sz w:val="16"/>
          <w:szCs w:val="16"/>
        </w:rPr>
        <w:t>.</w:t>
      </w:r>
    </w:p>
    <w:p w14:paraId="3FBC42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 своей стороны, полагал бы необходимым проведение следующих мероприятий:</w:t>
      </w:r>
    </w:p>
    <w:p w14:paraId="344F96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Группы ОПО3 и ОПО4 объединить в опытные мастерские самолетостроения ОММС под основным руководством и-ом. Ришара.</w:t>
      </w:r>
    </w:p>
    <w:p w14:paraId="6C59AE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Предложить СММС развитие существующих конструкций ОПО3 внести на основе проработанных типов с преимущественным использованием для этой работы сотрудников ОПО3, как и их опыт по прототипам.</w:t>
      </w:r>
    </w:p>
    <w:p w14:paraId="47960D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С и-м Ришаром заключить дополнительное соглашение по руководству и наблюдению за развитием типов, существующих в ОПО3.</w:t>
      </w:r>
    </w:p>
    <w:p w14:paraId="6280AC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Установить, что ОММС должно быть самостоятельной организацией, не подчиненной административно и технически заводу № 22 и имеющей самостоятельный административный аппарат</w:t>
      </w:r>
    </w:p>
    <w:p w14:paraId="7D65B9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5. Снабжение материалами (а также их </w:t>
      </w:r>
      <w:proofErr w:type="spellStart"/>
      <w:r w:rsidRPr="00A259BD">
        <w:rPr>
          <w:rFonts w:ascii="Times New Roman" w:hAnsi="Times New Roman"/>
          <w:color w:val="000000" w:themeColor="text1"/>
          <w:sz w:val="16"/>
          <w:szCs w:val="16"/>
        </w:rPr>
        <w:t>храниение</w:t>
      </w:r>
      <w:proofErr w:type="spellEnd"/>
      <w:r w:rsidRPr="00A259BD">
        <w:rPr>
          <w:rFonts w:ascii="Times New Roman" w:hAnsi="Times New Roman"/>
          <w:color w:val="000000" w:themeColor="text1"/>
          <w:sz w:val="16"/>
          <w:szCs w:val="16"/>
        </w:rPr>
        <w:t xml:space="preserve"> и отпуск) осуществляется заводом № 22 под персональную ответственность директора з-да по заявкам ОММС, согласованным по срокам с заводом и КФО Правления треста. Полученные ОММС материалы бронируются за ним и могут отпускаться со склада лишь по требованию ОММС или за его визой.</w:t>
      </w:r>
    </w:p>
    <w:p w14:paraId="429BCC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Наем рабсилы и регулирование зарплаты производится ОММС самостоятельно и независимо от завода № 22 под руководством ОЗТ Правления треста.</w:t>
      </w:r>
    </w:p>
    <w:p w14:paraId="6E0475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Распределение личного состава при слиянии производится ОММС совместно с Правлением треста (2363,337).</w:t>
      </w:r>
    </w:p>
    <w:p w14:paraId="3C1F75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июля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60)</w:t>
      </w:r>
    </w:p>
    <w:p w14:paraId="1DEB74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ИЗ ПРОТОКОЛА № 60 ЗАСЕДАНИЯ ПРАВЛЕНИЯ АВИАТРЕСТА</w:t>
      </w:r>
    </w:p>
    <w:p w14:paraId="6CF2C3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12.УП. 1929 года.</w:t>
      </w:r>
    </w:p>
    <w:p w14:paraId="38411A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Слушали: Рассмотрение и утверждение проекта с-та ТОМ-1</w:t>
      </w:r>
    </w:p>
    <w:p w14:paraId="34B2AB3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w:t>
      </w:r>
    </w:p>
    <w:p w14:paraId="455F7B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Представленный проект принять.</w:t>
      </w:r>
    </w:p>
    <w:p w14:paraId="7B0751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Предложить ТО на осно</w:t>
      </w:r>
      <w:r w:rsidRPr="00A259BD">
        <w:rPr>
          <w:rFonts w:ascii="Times New Roman" w:hAnsi="Times New Roman"/>
          <w:color w:val="000000" w:themeColor="text1"/>
          <w:sz w:val="16"/>
          <w:szCs w:val="16"/>
        </w:rPr>
        <w:softHyphen/>
        <w:t>ве постановления Техсовета окончательно его уточнить и представить на оз</w:t>
      </w:r>
      <w:r w:rsidRPr="00A259BD">
        <w:rPr>
          <w:rFonts w:ascii="Times New Roman" w:hAnsi="Times New Roman"/>
          <w:color w:val="000000" w:themeColor="text1"/>
          <w:sz w:val="16"/>
          <w:szCs w:val="16"/>
        </w:rPr>
        <w:softHyphen/>
        <w:t>накомление в УВВС.</w:t>
      </w:r>
      <w:r w:rsidRPr="00A259BD">
        <w:rPr>
          <w:rFonts w:ascii="Times New Roman" w:hAnsi="Times New Roman"/>
          <w:color w:val="000000" w:themeColor="text1"/>
          <w:sz w:val="16"/>
          <w:szCs w:val="16"/>
        </w:rPr>
        <w:tab/>
      </w:r>
      <w:r w:rsidRPr="00A259BD">
        <w:rPr>
          <w:rFonts w:ascii="Times New Roman" w:hAnsi="Times New Roman"/>
          <w:color w:val="000000" w:themeColor="text1"/>
          <w:sz w:val="16"/>
          <w:szCs w:val="16"/>
        </w:rPr>
        <w:tab/>
        <w:t>ТО</w:t>
      </w:r>
    </w:p>
    <w:p w14:paraId="62DD47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Констатировать, что ма</w:t>
      </w:r>
      <w:r w:rsidRPr="00A259BD">
        <w:rPr>
          <w:rFonts w:ascii="Times New Roman" w:hAnsi="Times New Roman"/>
          <w:color w:val="000000" w:themeColor="text1"/>
          <w:sz w:val="16"/>
          <w:szCs w:val="16"/>
        </w:rPr>
        <w:softHyphen/>
        <w:t>кет самолета окончательно утвержден УВВ</w:t>
      </w:r>
      <w:r w:rsidRPr="00A259BD">
        <w:rPr>
          <w:rFonts w:ascii="Times New Roman" w:hAnsi="Times New Roman"/>
          <w:color w:val="000000" w:themeColor="text1"/>
          <w:sz w:val="16"/>
          <w:szCs w:val="16"/>
        </w:rPr>
        <w:tab/>
        <w:t>ТО</w:t>
      </w:r>
    </w:p>
    <w:p w14:paraId="5E1D66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Принимая во внимание, что ТОМ 1 представляет ин</w:t>
      </w:r>
      <w:r w:rsidRPr="00A259BD">
        <w:rPr>
          <w:rFonts w:ascii="Times New Roman" w:hAnsi="Times New Roman"/>
          <w:color w:val="000000" w:themeColor="text1"/>
          <w:sz w:val="16"/>
          <w:szCs w:val="16"/>
        </w:rPr>
        <w:softHyphen/>
        <w:t>терес как техническая и конструктивная опытная единица, приступить к постройке и немедленно начать подготовку к статическим испыта</w:t>
      </w:r>
      <w:r w:rsidRPr="00A259BD">
        <w:rPr>
          <w:rFonts w:ascii="Times New Roman" w:hAnsi="Times New Roman"/>
          <w:color w:val="000000" w:themeColor="text1"/>
          <w:sz w:val="16"/>
          <w:szCs w:val="16"/>
        </w:rPr>
        <w:softHyphen/>
        <w:t>ниям</w:t>
      </w:r>
      <w:r w:rsidRPr="00A259BD">
        <w:rPr>
          <w:rFonts w:ascii="Times New Roman" w:hAnsi="Times New Roman"/>
          <w:color w:val="000000" w:themeColor="text1"/>
          <w:sz w:val="16"/>
          <w:szCs w:val="16"/>
        </w:rPr>
        <w:tab/>
        <w:t>2 недели.</w:t>
      </w:r>
    </w:p>
    <w:p w14:paraId="290465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При постройке произвести необходимые статические и пр. испытания в </w:t>
      </w:r>
      <w:proofErr w:type="spellStart"/>
      <w:r w:rsidRPr="00A259BD">
        <w:rPr>
          <w:rFonts w:ascii="Times New Roman" w:hAnsi="Times New Roman"/>
          <w:color w:val="000000" w:themeColor="text1"/>
          <w:sz w:val="16"/>
          <w:szCs w:val="16"/>
        </w:rPr>
        <w:t>об"еме</w:t>
      </w:r>
      <w:proofErr w:type="spellEnd"/>
      <w:r w:rsidRPr="00A259BD">
        <w:rPr>
          <w:rFonts w:ascii="Times New Roman" w:hAnsi="Times New Roman"/>
          <w:color w:val="000000" w:themeColor="text1"/>
          <w:sz w:val="16"/>
          <w:szCs w:val="16"/>
        </w:rPr>
        <w:t>, полностью обеспечивающем безопасность машины. Представить на утверждение Правления в 2-х недельный срок программу и смету на статические испытания</w:t>
      </w:r>
      <w:r w:rsidRPr="00A259BD">
        <w:rPr>
          <w:rFonts w:ascii="Times New Roman" w:hAnsi="Times New Roman"/>
          <w:color w:val="000000" w:themeColor="text1"/>
          <w:sz w:val="16"/>
          <w:szCs w:val="16"/>
        </w:rPr>
        <w:tab/>
        <w:t>ТО</w:t>
      </w:r>
    </w:p>
    <w:p w14:paraId="28C15E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Приступать при наличии чертежей</w:t>
      </w:r>
    </w:p>
    <w:p w14:paraId="1D5DF02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Техотделу совместно с наличии ОПО 4 в недельный по представлении программы стат. испытаний срок установить в недельный срок установить детальный хронологический план работ по расчетам, проектированию, испытаниям и постройке машины.</w:t>
      </w:r>
    </w:p>
    <w:p w14:paraId="37D3E0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Подлинный за надлежащими подписями:</w:t>
      </w:r>
    </w:p>
    <w:p w14:paraId="564B81B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верна: СЕКРЕТАРЪ ПРАВЛЕНИЯ: (Инихов) (2363,336).</w:t>
      </w:r>
    </w:p>
    <w:p w14:paraId="29BC87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0A9E5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июля - 8 августа 1929 </w:t>
      </w:r>
      <w:proofErr w:type="spellStart"/>
      <w:r w:rsidRPr="00A259BD">
        <w:rPr>
          <w:rFonts w:ascii="Times New Roman" w:hAnsi="Times New Roman"/>
          <w:color w:val="000000" w:themeColor="text1"/>
          <w:sz w:val="16"/>
          <w:szCs w:val="16"/>
        </w:rPr>
        <w:t>М.М.Громов</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В.П.Русаков</w:t>
      </w:r>
      <w:proofErr w:type="spellEnd"/>
      <w:r w:rsidRPr="00A259BD">
        <w:rPr>
          <w:rFonts w:ascii="Times New Roman" w:hAnsi="Times New Roman"/>
          <w:color w:val="000000" w:themeColor="text1"/>
          <w:sz w:val="16"/>
          <w:szCs w:val="16"/>
        </w:rPr>
        <w:t xml:space="preserve"> на самолете АНТ-9 "Крылья Советов" с 9 пассажирами совершили большой европейский перелет Москва - Берлин - Париж - Рим - Марсель - Невер - Лондон - Париж - Берлин - Москва (9037 км за 53 ч ЛВ) (237,157).</w:t>
      </w:r>
    </w:p>
    <w:p w14:paraId="50D343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E32B8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июля 1929 г. начался круговой перелет </w:t>
      </w:r>
      <w:proofErr w:type="spellStart"/>
      <w:r w:rsidRPr="00A259BD">
        <w:rPr>
          <w:rFonts w:ascii="Times New Roman" w:hAnsi="Times New Roman"/>
          <w:color w:val="000000" w:themeColor="text1"/>
          <w:sz w:val="16"/>
          <w:szCs w:val="16"/>
        </w:rPr>
        <w:t>М.М.Громова</w:t>
      </w:r>
      <w:proofErr w:type="spellEnd"/>
      <w:r w:rsidRPr="00A259BD">
        <w:rPr>
          <w:rFonts w:ascii="Times New Roman" w:hAnsi="Times New Roman"/>
          <w:color w:val="000000" w:themeColor="text1"/>
          <w:sz w:val="16"/>
          <w:szCs w:val="16"/>
        </w:rPr>
        <w:t xml:space="preserve"> на самолете АНТ-9 по столицам Европы (6395).</w:t>
      </w:r>
    </w:p>
    <w:p w14:paraId="4D08C65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AE90BC" w14:textId="77777777" w:rsidR="00B301A6" w:rsidRPr="00A259BD" w:rsidRDefault="00B301A6" w:rsidP="009236E3">
      <w:pPr>
        <w:pStyle w:val="ae"/>
        <w:shd w:val="clear" w:color="auto" w:fill="FFFFFF"/>
        <w:spacing w:before="0" w:after="0"/>
        <w:jc w:val="both"/>
        <w:textAlignment w:val="baseline"/>
        <w:rPr>
          <w:color w:val="000000" w:themeColor="text1"/>
          <w:sz w:val="16"/>
          <w:szCs w:val="16"/>
        </w:rPr>
      </w:pPr>
      <w:r w:rsidRPr="00A259BD">
        <w:rPr>
          <w:color w:val="000000" w:themeColor="text1"/>
          <w:sz w:val="16"/>
          <w:szCs w:val="16"/>
        </w:rPr>
        <w:t>10 июля 1929 года первый образец АНТ-9, которому присвоили имя «Крылья Советов», отправился в пропагандистское турне по странам Европы, посетив Польшу, Германию, Францию, Италию и Великобританию. В пассажирском салоне находилась делегация известных советских писателей и журналистов, изображенная на снимке (19189).</w:t>
      </w:r>
    </w:p>
    <w:p w14:paraId="17F369EB" w14:textId="77777777" w:rsidR="00B301A6" w:rsidRPr="00A259BD" w:rsidRDefault="00B301A6" w:rsidP="009236E3">
      <w:pPr>
        <w:pStyle w:val="ae"/>
        <w:shd w:val="clear" w:color="auto" w:fill="FFFFFF"/>
        <w:spacing w:before="0" w:after="0"/>
        <w:jc w:val="both"/>
        <w:textAlignment w:val="baseline"/>
        <w:rPr>
          <w:color w:val="000000" w:themeColor="text1"/>
          <w:sz w:val="16"/>
          <w:szCs w:val="16"/>
        </w:rPr>
      </w:pPr>
    </w:p>
    <w:p w14:paraId="70332C3E" w14:textId="77777777" w:rsidR="00FC4BF2" w:rsidRPr="00A259BD" w:rsidRDefault="00FC4B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июля в 1929 году начало кругового перелета </w:t>
      </w:r>
      <w:proofErr w:type="spellStart"/>
      <w:r w:rsidRPr="00A259BD">
        <w:rPr>
          <w:rFonts w:ascii="Times New Roman" w:hAnsi="Times New Roman"/>
          <w:color w:val="000000" w:themeColor="text1"/>
          <w:sz w:val="16"/>
          <w:szCs w:val="16"/>
        </w:rPr>
        <w:t>М.М.Громова</w:t>
      </w:r>
      <w:proofErr w:type="spellEnd"/>
      <w:r w:rsidRPr="00A259BD">
        <w:rPr>
          <w:rFonts w:ascii="Times New Roman" w:hAnsi="Times New Roman"/>
          <w:color w:val="000000" w:themeColor="text1"/>
          <w:sz w:val="16"/>
          <w:szCs w:val="16"/>
        </w:rPr>
        <w:t xml:space="preserve"> на самолете </w:t>
      </w:r>
      <w:hyperlink r:id="rId79" w:tgtFrame="_blank" w:history="1">
        <w:r w:rsidRPr="00A259BD">
          <w:rPr>
            <w:rFonts w:ascii="Times New Roman" w:hAnsi="Times New Roman"/>
            <w:color w:val="000000" w:themeColor="text1"/>
            <w:sz w:val="16"/>
            <w:szCs w:val="16"/>
          </w:rPr>
          <w:t xml:space="preserve">«АНТ-9» </w:t>
        </w:r>
      </w:hyperlink>
      <w:r w:rsidRPr="00A259BD">
        <w:rPr>
          <w:rFonts w:ascii="Times New Roman" w:hAnsi="Times New Roman"/>
          <w:color w:val="000000" w:themeColor="text1"/>
          <w:sz w:val="16"/>
          <w:szCs w:val="16"/>
        </w:rPr>
        <w:t xml:space="preserve">по столицам Европы, с 9 пассажирами совершили перелет по маршруту Москва - Берлин - Париж - Рим - Марсель - Невер - Лондон - Париж - Берлин - Москва (9037 км за 53 ч летного времени). «АНТ-9» является первым советским многомоторным летательным аппаратом, специализирующимся на пассажирских перевозках. Разработками проекта занимались в ОКБ Туполева. Самолет представлял собой </w:t>
      </w:r>
      <w:proofErr w:type="spellStart"/>
      <w:r w:rsidRPr="00A259BD">
        <w:rPr>
          <w:rFonts w:ascii="Times New Roman" w:hAnsi="Times New Roman"/>
          <w:color w:val="000000" w:themeColor="text1"/>
          <w:sz w:val="16"/>
          <w:szCs w:val="16"/>
        </w:rPr>
        <w:t>верхнеплан</w:t>
      </w:r>
      <w:proofErr w:type="spellEnd"/>
      <w:r w:rsidRPr="00A259BD">
        <w:rPr>
          <w:rFonts w:ascii="Times New Roman" w:hAnsi="Times New Roman"/>
          <w:color w:val="000000" w:themeColor="text1"/>
          <w:sz w:val="16"/>
          <w:szCs w:val="16"/>
        </w:rPr>
        <w:t xml:space="preserve"> с консолями крыла от военного «АНТ-7» и мог принимать на борт до 9 пассажиров при двух членах экипажа. Максимальная скорость составляла 209 км/ч, а дальность с полной коммерческой нагрузкой - 1000 км. Всего было изготовлено 60 машин данной модели (14948).</w:t>
      </w:r>
    </w:p>
    <w:p w14:paraId="7635387D" w14:textId="77777777" w:rsidR="00FC4BF2" w:rsidRPr="00A259BD" w:rsidRDefault="00FC4BF2" w:rsidP="009236E3">
      <w:pPr>
        <w:spacing w:after="0" w:line="240" w:lineRule="auto"/>
        <w:jc w:val="both"/>
        <w:rPr>
          <w:rFonts w:ascii="Times New Roman" w:hAnsi="Times New Roman"/>
          <w:color w:val="000000" w:themeColor="text1"/>
          <w:sz w:val="16"/>
          <w:szCs w:val="16"/>
        </w:rPr>
      </w:pPr>
    </w:p>
    <w:p w14:paraId="287C0798"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bookmarkStart w:id="68" w:name="_Hlk75786506"/>
      <w:r w:rsidRPr="00A259BD">
        <w:rPr>
          <w:rFonts w:ascii="Times New Roman" w:eastAsia="Times New Roman" w:hAnsi="Times New Roman"/>
          <w:color w:val="000000" w:themeColor="text1"/>
          <w:sz w:val="16"/>
          <w:szCs w:val="16"/>
          <w:lang w:eastAsia="ru-RU"/>
        </w:rPr>
        <w:t>10 июля 1929, в 3 часа 50 минут, на Центральном аэродроме имени Фрунзе был дан старт перелету самолета «Крылья Советов» по маршруту Москва – Берлин – Париж – Рим – Вена – Мюнхен – Берлин – Варшава – Москва.</w:t>
      </w:r>
    </w:p>
    <w:p w14:paraId="393C2B16"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Экипаж самолета состоял из знаменитого летчика М.М. Громова и бортмеханика В.П. Русанова. Кроме них, места в кабине самолета заняли: главный инспектор гражданской авиации В.А. </w:t>
      </w:r>
      <w:proofErr w:type="spellStart"/>
      <w:r w:rsidRPr="00A259BD">
        <w:rPr>
          <w:rFonts w:ascii="Times New Roman" w:eastAsia="Times New Roman" w:hAnsi="Times New Roman"/>
          <w:color w:val="000000" w:themeColor="text1"/>
          <w:sz w:val="16"/>
          <w:szCs w:val="16"/>
          <w:lang w:eastAsia="ru-RU"/>
        </w:rPr>
        <w:t>Зарзар</w:t>
      </w:r>
      <w:proofErr w:type="spellEnd"/>
      <w:r w:rsidRPr="00A259BD">
        <w:rPr>
          <w:rFonts w:ascii="Times New Roman" w:eastAsia="Times New Roman" w:hAnsi="Times New Roman"/>
          <w:color w:val="000000" w:themeColor="text1"/>
          <w:sz w:val="16"/>
          <w:szCs w:val="16"/>
          <w:lang w:eastAsia="ru-RU"/>
        </w:rPr>
        <w:t>, директор Добролета И.М. Погодин, Зам. Генерального секретаря Осоавиахима П.А. Клевцов, инженер-конструктор ЦАГИ А.А. Архангельский, спецкор «Известий ЦИК СССР и ВЦИК» А.Н. Гарри, спецкор «Красной Звезды» Б.Е. Ефимов, спецкор «Правды» М.Е. Кольцов и редактор «Комсомольской правды» И. Бобрышев.</w:t>
      </w:r>
    </w:p>
    <w:p w14:paraId="544DAECD"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Ввиду того, что общий полетный вес превысил 6,5 тонн, что означало перегрузку в 1 тонну, на самолет не попал представитель ТАСС Гофман. Однако он вылетел в Берлин на самолете «</w:t>
      </w:r>
      <w:proofErr w:type="spellStart"/>
      <w:r w:rsidRPr="00A259BD">
        <w:rPr>
          <w:rFonts w:ascii="Times New Roman" w:eastAsia="Times New Roman" w:hAnsi="Times New Roman"/>
          <w:color w:val="000000" w:themeColor="text1"/>
          <w:sz w:val="16"/>
          <w:szCs w:val="16"/>
          <w:lang w:eastAsia="ru-RU"/>
        </w:rPr>
        <w:t>Дерулюфта</w:t>
      </w:r>
      <w:proofErr w:type="spellEnd"/>
      <w:r w:rsidRPr="00A259BD">
        <w:rPr>
          <w:rFonts w:ascii="Times New Roman" w:eastAsia="Times New Roman" w:hAnsi="Times New Roman"/>
          <w:color w:val="000000" w:themeColor="text1"/>
          <w:sz w:val="16"/>
          <w:szCs w:val="16"/>
          <w:lang w:eastAsia="ru-RU"/>
        </w:rPr>
        <w:t>», откуда продолжил полет уже на АНТ-9.</w:t>
      </w:r>
    </w:p>
    <w:p w14:paraId="4337D713"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этот день в Москве шел дождь, а метеорологический прогноз по линии маршрута предвещал почти сплошную низкую облачность, дожди, туманы и встречные ветры, временами шквалистого характера. Тем не менее, вылет из Москвы все же состоялся в назначенный срок.</w:t>
      </w:r>
    </w:p>
    <w:p w14:paraId="5042BD42"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До Звенигорода «Крылья Советов» провожали два «Юнкерса», переполненные до отказа представителями прессы.</w:t>
      </w:r>
    </w:p>
    <w:p w14:paraId="2B636026"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Первый этап перелета был выполнен по маршруту Москва – Двинск – </w:t>
      </w:r>
      <w:proofErr w:type="spellStart"/>
      <w:r w:rsidRPr="00A259BD">
        <w:rPr>
          <w:rFonts w:ascii="Times New Roman" w:eastAsia="Times New Roman" w:hAnsi="Times New Roman"/>
          <w:color w:val="000000" w:themeColor="text1"/>
          <w:sz w:val="16"/>
          <w:szCs w:val="16"/>
          <w:lang w:eastAsia="ru-RU"/>
        </w:rPr>
        <w:t>Леба</w:t>
      </w:r>
      <w:proofErr w:type="spellEnd"/>
      <w:r w:rsidRPr="00A259BD">
        <w:rPr>
          <w:rFonts w:ascii="Times New Roman" w:eastAsia="Times New Roman" w:hAnsi="Times New Roman"/>
          <w:color w:val="000000" w:themeColor="text1"/>
          <w:sz w:val="16"/>
          <w:szCs w:val="16"/>
          <w:lang w:eastAsia="ru-RU"/>
        </w:rPr>
        <w:t xml:space="preserve"> – Берлин протяженностью 1700 км. Полет продолжался более 10 часов, в течении которых </w:t>
      </w:r>
      <w:proofErr w:type="spellStart"/>
      <w:r w:rsidRPr="00A259BD">
        <w:rPr>
          <w:rFonts w:ascii="Times New Roman" w:eastAsia="Times New Roman" w:hAnsi="Times New Roman"/>
          <w:color w:val="000000" w:themeColor="text1"/>
          <w:sz w:val="16"/>
          <w:szCs w:val="16"/>
          <w:lang w:eastAsia="ru-RU"/>
        </w:rPr>
        <w:t>М.М.Громов</w:t>
      </w:r>
      <w:proofErr w:type="spellEnd"/>
      <w:r w:rsidRPr="00A259BD">
        <w:rPr>
          <w:rFonts w:ascii="Times New Roman" w:eastAsia="Times New Roman" w:hAnsi="Times New Roman"/>
          <w:color w:val="000000" w:themeColor="text1"/>
          <w:sz w:val="16"/>
          <w:szCs w:val="16"/>
          <w:lang w:eastAsia="ru-RU"/>
        </w:rPr>
        <w:t xml:space="preserve"> ни разу не встал с пилотского кресла и не отвлекся от управления машиной.</w:t>
      </w:r>
    </w:p>
    <w:p w14:paraId="1E6C5D1C"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Лучше любых цифр и технических подробностей об условиях перелета расскажут путевые заметки одного из пассажиров – А.Н. Гарри:</w:t>
      </w:r>
    </w:p>
    <w:p w14:paraId="3E3CC3B4"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окна каюты хлестал дождь, и ничего не было видно. Первые два часа мы шли в сплошной темноте, в облаках, в тумане.</w:t>
      </w:r>
    </w:p>
    <w:p w14:paraId="3C2CA3A3"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Когда ветер рассеял туман, я выглянул в окно. Мы шли почти над самой землей, вероятно, не выше десяти метров. Когда в поле попадались отдельные деревья или холмы, наш пилот делал резкий поворот, как шофер такси, объезжающий зазевавшегося пешехода. Когда препятствие объехать было трудно, наш аппарат подпрыгивал на несколько метров кверху, потом мы снова опускались почти к самой земле.</w:t>
      </w:r>
    </w:p>
    <w:p w14:paraId="178E767D"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Настоящая качка началась тогда, когда, падая вкривь и вкось, остались позади поля Белоруссии и под ногами у нас стали мелькать явно нерусские ландшафты. Самолет качался взад и вперед, справа налево и слева направо. Пол каюты уходил из-под ног. Для того, чтобы сидеть прямо, нужно было крепко держаться за ручки кресла. Когда я пробовал принимать горизонтальное положение, начинало казаться, что летишь головой вниз с крыши шестиэтажного дома. Эта качка, постепенно усиливаясь, продолжалась до самого Берлина. Восемь часов подряд шторм болтал нас в воздушном океане. Если подняться выше, было бы, конечно, спокойнее. Но летчик Громов должен был выиграть время для того, чтобы невозможное стало возможным.</w:t>
      </w:r>
    </w:p>
    <w:p w14:paraId="4F645DD2"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Пытка воздухом продолжалась. Механик Русанов, вылетевший из Москвы совершенно больным, выполз из каюты управления и бросился в свободное кресло в состоянии полной прострации. Так он и пролежал трупом до самого Берлина, в компании нескольких других трупов. Те из нас, которые не поддались качке, чувствовали себя, как в морге. Помочь больным товарищам тоже не было возможности, так как малейшая попытка встать вызывала сильнейшее головокружение и при дальнейших попытках – падение на пол каюты с перспективой сложной процедуры возвращения к собственному креслу ползком по полу.</w:t>
      </w:r>
    </w:p>
    <w:p w14:paraId="587014E8"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Туман рассеялся, головокружение прошло, и я выглянул в окно. Мы летели над морем, очень низко. Так низко, что моментами казалось, брюхо АНТ-9 заденет гребешки волн. Берегов не было видно совершенно. Строго следуя компасному курсу, Громов «срезал» большой кусок пути.</w:t>
      </w:r>
    </w:p>
    <w:p w14:paraId="5EDEFD65"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Мы постепенно уходили в море, где было сильное волнение, но в воздухе было спокойнее, чем на волнах. Пытка воздухом на время прекратилась!</w:t>
      </w:r>
    </w:p>
    <w:p w14:paraId="2BABE1DC"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Берег появился неожиданно. Земля вернулась к нам, но вместе с ней вернулась и качка.</w:t>
      </w:r>
    </w:p>
    <w:p w14:paraId="7C048A69"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Качает так, что хочется закутать голову пальто, лечь на дно каюты и наплевать на весь мир.</w:t>
      </w:r>
    </w:p>
    <w:p w14:paraId="553EE803"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тот момент, когда мне показалось, что уже не хватает сил для того, чтобы противиться головокружению, летчик Громов начал свою знаменитую посадку. Не делая неизменных перед всякой посадкой кругов над аэродромом, он, высоко поднявшись, прицелился и начал спуск. Как-будто кто-то высоко занес руку и швырнул наш самолет прямо на аэродром </w:t>
      </w:r>
      <w:proofErr w:type="spellStart"/>
      <w:r w:rsidRPr="00A259BD">
        <w:rPr>
          <w:rFonts w:ascii="Times New Roman" w:eastAsia="Times New Roman" w:hAnsi="Times New Roman"/>
          <w:color w:val="000000" w:themeColor="text1"/>
          <w:sz w:val="16"/>
          <w:szCs w:val="16"/>
          <w:lang w:eastAsia="ru-RU"/>
        </w:rPr>
        <w:t>Темпельгоф</w:t>
      </w:r>
      <w:proofErr w:type="spellEnd"/>
      <w:r w:rsidRPr="00A259BD">
        <w:rPr>
          <w:rFonts w:ascii="Times New Roman" w:eastAsia="Times New Roman" w:hAnsi="Times New Roman"/>
          <w:color w:val="000000" w:themeColor="text1"/>
          <w:sz w:val="16"/>
          <w:szCs w:val="16"/>
          <w:lang w:eastAsia="ru-RU"/>
        </w:rPr>
        <w:t>.</w:t>
      </w:r>
    </w:p>
    <w:p w14:paraId="69579D52"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Прицел был взят правильно. Короткий пробег, и мы подкатили прямо к столику, где официанты разливают по бокалам шампанское. Густая толпа ожидающих немного отодвинулась в сторону. Им, вероятно, казалось, что АНТ-9 падает им на голову.</w:t>
      </w:r>
    </w:p>
    <w:p w14:paraId="613B31A6"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Мы сходим на асфальт. Все кругом как будто бы качается. Кто-то жмет руку, кто-то всовывает в руку бокал. Сначала удивляюсь, почему все молча жестикулируют и беззвучно шевелят губами. Оказывается, что я попросту оглох.</w:t>
      </w:r>
    </w:p>
    <w:p w14:paraId="36EC857F"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Один из наших спутников, недавний труп, медленно раскрывает глаза и нехотя поднимается с кресла. Он смотрит в окно на толпу, вынимает часы и удивленно качает головой.</w:t>
      </w:r>
    </w:p>
    <w:p w14:paraId="2ACA2AF6"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«Мы уже в Берлине? Не может быть!».</w:t>
      </w:r>
    </w:p>
    <w:p w14:paraId="28DEE055"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Гостеприимство немцев было безграничным. Пышная встреча на аэродроме, а затем многодневная культурная программа. 11 июля на двух пассажирских самолетах «Люфтганзы» советская делегация отправилась в </w:t>
      </w:r>
      <w:proofErr w:type="spellStart"/>
      <w:r w:rsidRPr="00A259BD">
        <w:rPr>
          <w:rFonts w:ascii="Times New Roman" w:eastAsia="Times New Roman" w:hAnsi="Times New Roman"/>
          <w:color w:val="000000" w:themeColor="text1"/>
          <w:sz w:val="16"/>
          <w:szCs w:val="16"/>
          <w:lang w:eastAsia="ru-RU"/>
        </w:rPr>
        <w:t>Стаакен</w:t>
      </w:r>
      <w:proofErr w:type="spellEnd"/>
      <w:r w:rsidRPr="00A259BD">
        <w:rPr>
          <w:rFonts w:ascii="Times New Roman" w:eastAsia="Times New Roman" w:hAnsi="Times New Roman"/>
          <w:color w:val="000000" w:themeColor="text1"/>
          <w:sz w:val="16"/>
          <w:szCs w:val="16"/>
          <w:lang w:eastAsia="ru-RU"/>
        </w:rPr>
        <w:t>, где осматривали мастерские. 12-го – при участии руководителей немецкой гражданской авиации совершили прогулку на моторных лодках.</w:t>
      </w:r>
    </w:p>
    <w:p w14:paraId="0950E2DE"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Рано утром 13 июля из Берлина в </w:t>
      </w:r>
      <w:proofErr w:type="spellStart"/>
      <w:r w:rsidRPr="00A259BD">
        <w:rPr>
          <w:rFonts w:ascii="Times New Roman" w:eastAsia="Times New Roman" w:hAnsi="Times New Roman"/>
          <w:color w:val="000000" w:themeColor="text1"/>
          <w:sz w:val="16"/>
          <w:szCs w:val="16"/>
          <w:lang w:eastAsia="ru-RU"/>
        </w:rPr>
        <w:t>Травемюнде</w:t>
      </w:r>
      <w:proofErr w:type="spellEnd"/>
      <w:r w:rsidRPr="00A259BD">
        <w:rPr>
          <w:rFonts w:ascii="Times New Roman" w:eastAsia="Times New Roman" w:hAnsi="Times New Roman"/>
          <w:color w:val="000000" w:themeColor="text1"/>
          <w:sz w:val="16"/>
          <w:szCs w:val="16"/>
          <w:lang w:eastAsia="ru-RU"/>
        </w:rPr>
        <w:t xml:space="preserve"> вылетели АНТ-9 и «</w:t>
      </w:r>
      <w:proofErr w:type="spellStart"/>
      <w:r w:rsidRPr="00A259BD">
        <w:rPr>
          <w:rFonts w:ascii="Times New Roman" w:eastAsia="Times New Roman" w:hAnsi="Times New Roman"/>
          <w:color w:val="000000" w:themeColor="text1"/>
          <w:sz w:val="16"/>
          <w:szCs w:val="16"/>
          <w:lang w:eastAsia="ru-RU"/>
        </w:rPr>
        <w:t>Рорбах</w:t>
      </w:r>
      <w:proofErr w:type="spellEnd"/>
      <w:r w:rsidRPr="00A259BD">
        <w:rPr>
          <w:rFonts w:ascii="Times New Roman" w:eastAsia="Times New Roman" w:hAnsi="Times New Roman"/>
          <w:color w:val="000000" w:themeColor="text1"/>
          <w:sz w:val="16"/>
          <w:szCs w:val="16"/>
          <w:lang w:eastAsia="ru-RU"/>
        </w:rPr>
        <w:t>-Роланд II». На борту АНТ-9 летели немецкие журналисты и представители «Люфтганзы» и «</w:t>
      </w:r>
      <w:proofErr w:type="spellStart"/>
      <w:r w:rsidRPr="00A259BD">
        <w:rPr>
          <w:rFonts w:ascii="Times New Roman" w:eastAsia="Times New Roman" w:hAnsi="Times New Roman"/>
          <w:color w:val="000000" w:themeColor="text1"/>
          <w:sz w:val="16"/>
          <w:szCs w:val="16"/>
          <w:lang w:eastAsia="ru-RU"/>
        </w:rPr>
        <w:t>Дерулюфта</w:t>
      </w:r>
      <w:proofErr w:type="spellEnd"/>
      <w:r w:rsidRPr="00A259BD">
        <w:rPr>
          <w:rFonts w:ascii="Times New Roman" w:eastAsia="Times New Roman" w:hAnsi="Times New Roman"/>
          <w:color w:val="000000" w:themeColor="text1"/>
          <w:sz w:val="16"/>
          <w:szCs w:val="16"/>
          <w:lang w:eastAsia="ru-RU"/>
        </w:rPr>
        <w:t>». На «</w:t>
      </w:r>
      <w:proofErr w:type="spellStart"/>
      <w:r w:rsidRPr="00A259BD">
        <w:rPr>
          <w:rFonts w:ascii="Times New Roman" w:eastAsia="Times New Roman" w:hAnsi="Times New Roman"/>
          <w:color w:val="000000" w:themeColor="text1"/>
          <w:sz w:val="16"/>
          <w:szCs w:val="16"/>
          <w:lang w:eastAsia="ru-RU"/>
        </w:rPr>
        <w:t>Рорбахе</w:t>
      </w:r>
      <w:proofErr w:type="spellEnd"/>
      <w:r w:rsidRPr="00A259BD">
        <w:rPr>
          <w:rFonts w:ascii="Times New Roman" w:eastAsia="Times New Roman" w:hAnsi="Times New Roman"/>
          <w:color w:val="000000" w:themeColor="text1"/>
          <w:sz w:val="16"/>
          <w:szCs w:val="16"/>
          <w:lang w:eastAsia="ru-RU"/>
        </w:rPr>
        <w:t xml:space="preserve">» вылетели наши журналисты. В тот же день самолеты вернулись обратно. В Берлин германский самолет вел Громов, а АНТ-9 – немецкий </w:t>
      </w:r>
      <w:r w:rsidRPr="00A259BD">
        <w:rPr>
          <w:rFonts w:ascii="Times New Roman" w:eastAsia="Times New Roman" w:hAnsi="Times New Roman"/>
          <w:color w:val="000000" w:themeColor="text1"/>
          <w:sz w:val="16"/>
          <w:szCs w:val="16"/>
          <w:lang w:eastAsia="ru-RU"/>
        </w:rPr>
        <w:lastRenderedPageBreak/>
        <w:t xml:space="preserve">пилот. В ходе полета в </w:t>
      </w:r>
      <w:proofErr w:type="spellStart"/>
      <w:r w:rsidRPr="00A259BD">
        <w:rPr>
          <w:rFonts w:ascii="Times New Roman" w:eastAsia="Times New Roman" w:hAnsi="Times New Roman"/>
          <w:color w:val="000000" w:themeColor="text1"/>
          <w:sz w:val="16"/>
          <w:szCs w:val="16"/>
          <w:lang w:eastAsia="ru-RU"/>
        </w:rPr>
        <w:t>Травемюнде</w:t>
      </w:r>
      <w:proofErr w:type="spellEnd"/>
      <w:r w:rsidRPr="00A259BD">
        <w:rPr>
          <w:rFonts w:ascii="Times New Roman" w:eastAsia="Times New Roman" w:hAnsi="Times New Roman"/>
          <w:color w:val="000000" w:themeColor="text1"/>
          <w:sz w:val="16"/>
          <w:szCs w:val="16"/>
          <w:lang w:eastAsia="ru-RU"/>
        </w:rPr>
        <w:t xml:space="preserve"> АНТ-9 прошел маршрут на 10 минут быстрее «</w:t>
      </w:r>
      <w:proofErr w:type="spellStart"/>
      <w:r w:rsidRPr="00A259BD">
        <w:rPr>
          <w:rFonts w:ascii="Times New Roman" w:eastAsia="Times New Roman" w:hAnsi="Times New Roman"/>
          <w:color w:val="000000" w:themeColor="text1"/>
          <w:sz w:val="16"/>
          <w:szCs w:val="16"/>
          <w:lang w:eastAsia="ru-RU"/>
        </w:rPr>
        <w:t>Рорбаха</w:t>
      </w:r>
      <w:proofErr w:type="spellEnd"/>
      <w:r w:rsidRPr="00A259BD">
        <w:rPr>
          <w:rFonts w:ascii="Times New Roman" w:eastAsia="Times New Roman" w:hAnsi="Times New Roman"/>
          <w:color w:val="000000" w:themeColor="text1"/>
          <w:sz w:val="16"/>
          <w:szCs w:val="16"/>
          <w:lang w:eastAsia="ru-RU"/>
        </w:rPr>
        <w:t xml:space="preserve">» со средней скоростью 170 км/час, а на обратном пути наш самолет произвел посадку в </w:t>
      </w:r>
      <w:proofErr w:type="spellStart"/>
      <w:r w:rsidRPr="00A259BD">
        <w:rPr>
          <w:rFonts w:ascii="Times New Roman" w:eastAsia="Times New Roman" w:hAnsi="Times New Roman"/>
          <w:color w:val="000000" w:themeColor="text1"/>
          <w:sz w:val="16"/>
          <w:szCs w:val="16"/>
          <w:lang w:eastAsia="ru-RU"/>
        </w:rPr>
        <w:t>Темпельгофе</w:t>
      </w:r>
      <w:proofErr w:type="spellEnd"/>
      <w:r w:rsidRPr="00A259BD">
        <w:rPr>
          <w:rFonts w:ascii="Times New Roman" w:eastAsia="Times New Roman" w:hAnsi="Times New Roman"/>
          <w:color w:val="000000" w:themeColor="text1"/>
          <w:sz w:val="16"/>
          <w:szCs w:val="16"/>
          <w:lang w:eastAsia="ru-RU"/>
        </w:rPr>
        <w:t xml:space="preserve"> на 12 минут раньше «</w:t>
      </w:r>
      <w:proofErr w:type="spellStart"/>
      <w:r w:rsidRPr="00A259BD">
        <w:rPr>
          <w:rFonts w:ascii="Times New Roman" w:eastAsia="Times New Roman" w:hAnsi="Times New Roman"/>
          <w:color w:val="000000" w:themeColor="text1"/>
          <w:sz w:val="16"/>
          <w:szCs w:val="16"/>
          <w:lang w:eastAsia="ru-RU"/>
        </w:rPr>
        <w:t>Рорбаха</w:t>
      </w:r>
      <w:proofErr w:type="spellEnd"/>
      <w:r w:rsidRPr="00A259BD">
        <w:rPr>
          <w:rFonts w:ascii="Times New Roman" w:eastAsia="Times New Roman" w:hAnsi="Times New Roman"/>
          <w:color w:val="000000" w:themeColor="text1"/>
          <w:sz w:val="16"/>
          <w:szCs w:val="16"/>
          <w:lang w:eastAsia="ru-RU"/>
        </w:rPr>
        <w:t>», развив 221,5 км/час. В тот же день в министерстве иностранных дел состоялся обед в честь участников перелета.</w:t>
      </w:r>
    </w:p>
    <w:p w14:paraId="7F1C04C9"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16 июля, в 13 часов 30 минут, «Крылья Советов» вылетел из Берлина в Париж. По требованию французской стороны маршрут полета был изменен, при этом был запрещен пролет над несколькими департаментами на границе с Германией. Обычно рейсовые самолеты воздушных линий следовали из Берлина в Париж и обратно по маршруту Берлин – Кельн – Париж. АНТ-9 же вынужден был идти по более длинному маршруту Берлин – Франкфурт на Майне – Саарбрюккен – Париж протяженностью 960 км с пересечением границы Франции через довольно узкие «воздушные ворота». Несмотря на это, М.М. Громов, летя со средней скоростью 180,1 км/час, привел «Крылья Советов» в Париж через 5 часов 20 минут, «обставив» по скорости регулярный рейсовый самолет, шедший параллельно АНТ-9 из Берлина.</w:t>
      </w:r>
    </w:p>
    <w:p w14:paraId="70F07E50"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Неприятно удивила членов советской делегации встреча, оказанная французскими властями на аэродроме Ле-Бурже. Прибывшие были направлены на таможенный контрольный пункт, окруженный нарядами полиции. Продолжавшаяся свыше часа таможенная процедура отличалась от обычной, которой подвергаются иностранцы. В отношении участников советского перелета контроль проводился с исключительной строгостью.</w:t>
      </w:r>
    </w:p>
    <w:p w14:paraId="552AC776"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22 июля участники перелета были приняты во французском национальном аэроклубе и имели продолжительную беседу с его руководителями.</w:t>
      </w:r>
    </w:p>
    <w:p w14:paraId="6532D235"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23 июля в 9 часов 45 минут «Крылья Советов», поднявшись с аэродрома Ле-Бурже, вылетел в Рим по маршруту, который пролегал несколько восточнее Марселя и северо-восточнее </w:t>
      </w:r>
      <w:proofErr w:type="spellStart"/>
      <w:r w:rsidRPr="00A259BD">
        <w:rPr>
          <w:rFonts w:ascii="Times New Roman" w:eastAsia="Times New Roman" w:hAnsi="Times New Roman"/>
          <w:color w:val="000000" w:themeColor="text1"/>
          <w:sz w:val="16"/>
          <w:szCs w:val="16"/>
          <w:lang w:eastAsia="ru-RU"/>
        </w:rPr>
        <w:t>Тулонской</w:t>
      </w:r>
      <w:proofErr w:type="spellEnd"/>
      <w:r w:rsidRPr="00A259BD">
        <w:rPr>
          <w:rFonts w:ascii="Times New Roman" w:eastAsia="Times New Roman" w:hAnsi="Times New Roman"/>
          <w:color w:val="000000" w:themeColor="text1"/>
          <w:sz w:val="16"/>
          <w:szCs w:val="16"/>
          <w:lang w:eastAsia="ru-RU"/>
        </w:rPr>
        <w:t xml:space="preserve"> крепостной запретной зоны, а затем через </w:t>
      </w:r>
      <w:proofErr w:type="spellStart"/>
      <w:r w:rsidRPr="00A259BD">
        <w:rPr>
          <w:rFonts w:ascii="Times New Roman" w:eastAsia="Times New Roman" w:hAnsi="Times New Roman"/>
          <w:color w:val="000000" w:themeColor="text1"/>
          <w:sz w:val="16"/>
          <w:szCs w:val="16"/>
          <w:lang w:eastAsia="ru-RU"/>
        </w:rPr>
        <w:t>Лигурийское</w:t>
      </w:r>
      <w:proofErr w:type="spellEnd"/>
      <w:r w:rsidRPr="00A259BD">
        <w:rPr>
          <w:rFonts w:ascii="Times New Roman" w:eastAsia="Times New Roman" w:hAnsi="Times New Roman"/>
          <w:color w:val="000000" w:themeColor="text1"/>
          <w:sz w:val="16"/>
          <w:szCs w:val="16"/>
          <w:lang w:eastAsia="ru-RU"/>
        </w:rPr>
        <w:t xml:space="preserve"> и </w:t>
      </w:r>
      <w:proofErr w:type="spellStart"/>
      <w:r w:rsidRPr="00A259BD">
        <w:rPr>
          <w:rFonts w:ascii="Times New Roman" w:eastAsia="Times New Roman" w:hAnsi="Times New Roman"/>
          <w:color w:val="000000" w:themeColor="text1"/>
          <w:sz w:val="16"/>
          <w:szCs w:val="16"/>
          <w:lang w:eastAsia="ru-RU"/>
        </w:rPr>
        <w:t>Тиренское</w:t>
      </w:r>
      <w:proofErr w:type="spellEnd"/>
      <w:r w:rsidRPr="00A259BD">
        <w:rPr>
          <w:rFonts w:ascii="Times New Roman" w:eastAsia="Times New Roman" w:hAnsi="Times New Roman"/>
          <w:color w:val="000000" w:themeColor="text1"/>
          <w:sz w:val="16"/>
          <w:szCs w:val="16"/>
          <w:lang w:eastAsia="ru-RU"/>
        </w:rPr>
        <w:t xml:space="preserve"> моря с пересечением острова Корсика южнее г. </w:t>
      </w:r>
      <w:proofErr w:type="spellStart"/>
      <w:r w:rsidRPr="00A259BD">
        <w:rPr>
          <w:rFonts w:ascii="Times New Roman" w:eastAsia="Times New Roman" w:hAnsi="Times New Roman"/>
          <w:color w:val="000000" w:themeColor="text1"/>
          <w:sz w:val="16"/>
          <w:szCs w:val="16"/>
          <w:lang w:eastAsia="ru-RU"/>
        </w:rPr>
        <w:t>Бастиа</w:t>
      </w:r>
      <w:proofErr w:type="spellEnd"/>
      <w:r w:rsidRPr="00A259BD">
        <w:rPr>
          <w:rFonts w:ascii="Times New Roman" w:eastAsia="Times New Roman" w:hAnsi="Times New Roman"/>
          <w:color w:val="000000" w:themeColor="text1"/>
          <w:sz w:val="16"/>
          <w:szCs w:val="16"/>
          <w:lang w:eastAsia="ru-RU"/>
        </w:rPr>
        <w:t xml:space="preserve"> и с выходом на </w:t>
      </w:r>
      <w:proofErr w:type="spellStart"/>
      <w:r w:rsidRPr="00A259BD">
        <w:rPr>
          <w:rFonts w:ascii="Times New Roman" w:eastAsia="Times New Roman" w:hAnsi="Times New Roman"/>
          <w:color w:val="000000" w:themeColor="text1"/>
          <w:sz w:val="16"/>
          <w:szCs w:val="16"/>
          <w:lang w:eastAsia="ru-RU"/>
        </w:rPr>
        <w:t>Аппенинский</w:t>
      </w:r>
      <w:proofErr w:type="spellEnd"/>
      <w:r w:rsidRPr="00A259BD">
        <w:rPr>
          <w:rFonts w:ascii="Times New Roman" w:eastAsia="Times New Roman" w:hAnsi="Times New Roman"/>
          <w:color w:val="000000" w:themeColor="text1"/>
          <w:sz w:val="16"/>
          <w:szCs w:val="16"/>
          <w:lang w:eastAsia="ru-RU"/>
        </w:rPr>
        <w:t xml:space="preserve"> полуостров у г. </w:t>
      </w:r>
      <w:proofErr w:type="spellStart"/>
      <w:r w:rsidRPr="00A259BD">
        <w:rPr>
          <w:rFonts w:ascii="Times New Roman" w:eastAsia="Times New Roman" w:hAnsi="Times New Roman"/>
          <w:color w:val="000000" w:themeColor="text1"/>
          <w:sz w:val="16"/>
          <w:szCs w:val="16"/>
          <w:lang w:eastAsia="ru-RU"/>
        </w:rPr>
        <w:t>Чивиттавеккиа</w:t>
      </w:r>
      <w:proofErr w:type="spellEnd"/>
      <w:r w:rsidRPr="00A259BD">
        <w:rPr>
          <w:rFonts w:ascii="Times New Roman" w:eastAsia="Times New Roman" w:hAnsi="Times New Roman"/>
          <w:color w:val="000000" w:themeColor="text1"/>
          <w:sz w:val="16"/>
          <w:szCs w:val="16"/>
          <w:lang w:eastAsia="ru-RU"/>
        </w:rPr>
        <w:t xml:space="preserve">. Через 7 часов 20 минут, преодолев 1270 км, идя со скоростью 173 км/час, АНТ-9 достиг аэродрома </w:t>
      </w:r>
      <w:proofErr w:type="spellStart"/>
      <w:r w:rsidRPr="00A259BD">
        <w:rPr>
          <w:rFonts w:ascii="Times New Roman" w:eastAsia="Times New Roman" w:hAnsi="Times New Roman"/>
          <w:color w:val="000000" w:themeColor="text1"/>
          <w:sz w:val="16"/>
          <w:szCs w:val="16"/>
          <w:lang w:eastAsia="ru-RU"/>
        </w:rPr>
        <w:t>Литторио</w:t>
      </w:r>
      <w:proofErr w:type="spellEnd"/>
      <w:r w:rsidRPr="00A259BD">
        <w:rPr>
          <w:rFonts w:ascii="Times New Roman" w:eastAsia="Times New Roman" w:hAnsi="Times New Roman"/>
          <w:color w:val="000000" w:themeColor="text1"/>
          <w:sz w:val="16"/>
          <w:szCs w:val="16"/>
          <w:lang w:eastAsia="ru-RU"/>
        </w:rPr>
        <w:t xml:space="preserve"> в Риме.</w:t>
      </w:r>
    </w:p>
    <w:p w14:paraId="69B71B03"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Полет на этом этапе был примечателен «неслыханной дерзостью» Громова, выполнившего длительный полет над морской поверхностью на предельно малой высоте.</w:t>
      </w:r>
    </w:p>
    <w:p w14:paraId="3094212D"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29 июля в 7 часов 40 минут утра самолет «Крылья Советов» вылетел из римского аэропорта в Лондон через Марсель. После четырех часов полета при встречном ветре и сильном тумане прибыли благополучно в Марсель. В 14 часов 25 минут дня вылетели в Лондон.</w:t>
      </w:r>
    </w:p>
    <w:p w14:paraId="3DC98215"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То, что произошло через два с половиной часа полета достаточно подробно описано в воспоминаниях </w:t>
      </w:r>
      <w:proofErr w:type="spellStart"/>
      <w:r w:rsidRPr="00A259BD">
        <w:rPr>
          <w:rFonts w:ascii="Times New Roman" w:eastAsia="Times New Roman" w:hAnsi="Times New Roman"/>
          <w:color w:val="000000" w:themeColor="text1"/>
          <w:sz w:val="16"/>
          <w:szCs w:val="16"/>
          <w:lang w:eastAsia="ru-RU"/>
        </w:rPr>
        <w:t>М.М.Громова</w:t>
      </w:r>
      <w:proofErr w:type="spellEnd"/>
      <w:r w:rsidRPr="00A259BD">
        <w:rPr>
          <w:rFonts w:ascii="Times New Roman" w:eastAsia="Times New Roman" w:hAnsi="Times New Roman"/>
          <w:color w:val="000000" w:themeColor="text1"/>
          <w:sz w:val="16"/>
          <w:szCs w:val="16"/>
          <w:lang w:eastAsia="ru-RU"/>
        </w:rPr>
        <w:t>. Замечу только, что в репортажах участников событий написанных по горячим следам, причиной посадки у французского Невера, назывался отказ мотора. Как бы там ни было, АНТ-9 сел на поле у Невера и продолжил полет лишь на следующий день. 30 июля за 3 часа 40 минут самолет совершил перелет Невер – Лондон, причем отрезок Париж – Лондон был пройден с рекордной для пассажирских самолетов скоростью 180,9 км/час.</w:t>
      </w:r>
    </w:p>
    <w:p w14:paraId="76902516"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2 августа участники перелета совместно с группой советских авиаконструкторов, находящихся сейчас в Лондоне во главе с Туполевым, Калининым и другими, осматривали производство самолетов компании Фейри близ Лондона. Вечером руководителями этой компании был организован официальный обед.</w:t>
      </w:r>
    </w:p>
    <w:p w14:paraId="12EBA572"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Перелет Лондон — Берлин был выполнен 4 августа в два этапа: в Париж со средней скоростью 169,9 км/ч и из Парижа в Берлин – 198,9 км/ч.</w:t>
      </w:r>
    </w:p>
    <w:p w14:paraId="7536C1FB"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Этапы Берлин – Варшава и Варшава – Смоленск – Москва были пройдены 7 и 8 августа со средней скоростью 163,3 и 169,6 км/час, соответственно.</w:t>
      </w:r>
    </w:p>
    <w:p w14:paraId="50BCA388"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«Крылья Советов» преодолел 9037 км за 53 летных часа со средней крейсерской скоростью 170,5 километров в час.</w:t>
      </w:r>
    </w:p>
    <w:p w14:paraId="6FDA813A" w14:textId="77777777" w:rsidR="001B3075" w:rsidRPr="00A259BD" w:rsidRDefault="001B307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Советская пресса заявляла, что «организаторы перелета никаких рекордных целей перед экипажем самолета «Крылья Советов» не ставили. Их основной задачей было преодоление маршрута с наилучшими эксплуатационными показателями в разнообразных условиях европейских маршрутов с тем, чтобы дать оценку новому АНТ-9 в сравнении с европейскими гражданскими самолетами». По итогам перелета, советские авиационные специалисты, по эффективности и экономичности, поставили АНТ-9 на первое место. Последующие места заняли, соответственно, «Фоккер F.VII», «</w:t>
      </w:r>
      <w:proofErr w:type="spellStart"/>
      <w:r w:rsidRPr="00A259BD">
        <w:rPr>
          <w:rFonts w:ascii="Times New Roman" w:eastAsia="Times New Roman" w:hAnsi="Times New Roman"/>
          <w:color w:val="000000" w:themeColor="text1"/>
          <w:sz w:val="16"/>
          <w:szCs w:val="16"/>
          <w:lang w:eastAsia="ru-RU"/>
        </w:rPr>
        <w:t>Рорбах</w:t>
      </w:r>
      <w:proofErr w:type="spellEnd"/>
      <w:r w:rsidRPr="00A259BD">
        <w:rPr>
          <w:rFonts w:ascii="Times New Roman" w:eastAsia="Times New Roman" w:hAnsi="Times New Roman"/>
          <w:color w:val="000000" w:themeColor="text1"/>
          <w:sz w:val="16"/>
          <w:szCs w:val="16"/>
          <w:lang w:eastAsia="ru-RU"/>
        </w:rPr>
        <w:t>-Роланд II» и «Юнкерс G-24» (21249).</w:t>
      </w:r>
    </w:p>
    <w:p w14:paraId="2C9C92B2" w14:textId="77777777" w:rsidR="001B3075" w:rsidRPr="00A259BD" w:rsidRDefault="001B3075" w:rsidP="009236E3">
      <w:pPr>
        <w:spacing w:after="0" w:line="240" w:lineRule="auto"/>
        <w:jc w:val="both"/>
        <w:rPr>
          <w:rFonts w:ascii="Times New Roman" w:hAnsi="Times New Roman"/>
          <w:color w:val="000000" w:themeColor="text1"/>
          <w:sz w:val="16"/>
          <w:szCs w:val="16"/>
        </w:rPr>
      </w:pPr>
    </w:p>
    <w:bookmarkEnd w:id="68"/>
    <w:p w14:paraId="0DB47DA0" w14:textId="77777777" w:rsidR="001B3075" w:rsidRPr="00A259BD" w:rsidRDefault="001B307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июля 1929 г., ровно через месяц после перелета эскадры </w:t>
      </w: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xml:space="preserve"> в Одессу, самолет АНТ–9 «Крылья Советов» отправился в трансъевропейский перелет по маршруту Москва – Берлин – Париж – Рим – Марсель – Лондон – Варшава - Москва (около 7 тыс. км), нанеся, таким образом, ответный визит итальянцам. Экипаж составляли летчик М.М. Громов и механик В.П. Русаков. Пассажирами были деятели гражданского воздушного флота и группа журналистов, всего 11 человек. Возглавляли делегацию заместитель А.Н. Туполева - А.А. Архангельский и главный инспектор гражданской авиации В.А. </w:t>
      </w:r>
      <w:proofErr w:type="spellStart"/>
      <w:r w:rsidRPr="00A259BD">
        <w:rPr>
          <w:rFonts w:ascii="Times New Roman" w:hAnsi="Times New Roman"/>
          <w:color w:val="000000" w:themeColor="text1"/>
          <w:sz w:val="16"/>
          <w:szCs w:val="16"/>
        </w:rPr>
        <w:t>Зарзар</w:t>
      </w:r>
      <w:proofErr w:type="spellEnd"/>
      <w:r w:rsidRPr="00A259BD">
        <w:rPr>
          <w:rFonts w:ascii="Times New Roman" w:hAnsi="Times New Roman"/>
          <w:color w:val="000000" w:themeColor="text1"/>
          <w:sz w:val="16"/>
          <w:szCs w:val="16"/>
        </w:rPr>
        <w:t xml:space="preserve"> (21410).</w:t>
      </w:r>
    </w:p>
    <w:p w14:paraId="60441720" w14:textId="77777777" w:rsidR="001B3075" w:rsidRPr="00A259BD" w:rsidRDefault="001B3075" w:rsidP="009236E3">
      <w:pPr>
        <w:spacing w:after="0" w:line="240" w:lineRule="auto"/>
        <w:jc w:val="both"/>
        <w:rPr>
          <w:rFonts w:ascii="Times New Roman" w:hAnsi="Times New Roman"/>
          <w:color w:val="000000" w:themeColor="text1"/>
          <w:sz w:val="16"/>
          <w:szCs w:val="16"/>
        </w:rPr>
      </w:pPr>
    </w:p>
    <w:p w14:paraId="0A927A17" w14:textId="77777777" w:rsidR="00D70FD4" w:rsidRPr="00441F34" w:rsidRDefault="00D70FD4" w:rsidP="00D70FD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10 июля — 8 августа 1929 г. на опытном АНТ—9, получившем назва</w:t>
      </w:r>
      <w:r w:rsidRPr="00441F34">
        <w:rPr>
          <w:rFonts w:ascii="Times New Roman" w:hAnsi="Times New Roman"/>
          <w:color w:val="0070C0"/>
          <w:sz w:val="16"/>
          <w:szCs w:val="16"/>
        </w:rPr>
        <w:softHyphen/>
        <w:t xml:space="preserve">ние «Крылья Советов» состоялся скоростной европейский перелет. Экипаж: пилот М.М. Громов, механик В.П. Русаков. Пассажиры: Архангельский, Бобрышев, Гарри, Гофман, Ефимов, </w:t>
      </w:r>
      <w:proofErr w:type="spellStart"/>
      <w:r w:rsidRPr="00441F34">
        <w:rPr>
          <w:rFonts w:ascii="Times New Roman" w:hAnsi="Times New Roman"/>
          <w:color w:val="0070C0"/>
          <w:sz w:val="16"/>
          <w:szCs w:val="16"/>
        </w:rPr>
        <w:t>Зарзар</w:t>
      </w:r>
      <w:proofErr w:type="spellEnd"/>
      <w:r w:rsidRPr="00441F34">
        <w:rPr>
          <w:rFonts w:ascii="Times New Roman" w:hAnsi="Times New Roman"/>
          <w:color w:val="0070C0"/>
          <w:sz w:val="16"/>
          <w:szCs w:val="16"/>
        </w:rPr>
        <w:t>, Клев</w:t>
      </w:r>
      <w:r w:rsidRPr="00441F34">
        <w:rPr>
          <w:rFonts w:ascii="Times New Roman" w:hAnsi="Times New Roman"/>
          <w:color w:val="0070C0"/>
          <w:sz w:val="16"/>
          <w:szCs w:val="16"/>
        </w:rPr>
        <w:softHyphen/>
        <w:t>цов, Кольцов, Погодин. Маршрут полета: Москва — Берлин — Париж — Рим - Марсель — Невер — Лондон — Париж - Берлин — Варшава — Москва. Основная цель — испытать новую машину на оживленных европейских трассах, срав</w:t>
      </w:r>
      <w:r w:rsidRPr="00441F34">
        <w:rPr>
          <w:rFonts w:ascii="Times New Roman" w:hAnsi="Times New Roman"/>
          <w:color w:val="0070C0"/>
          <w:sz w:val="16"/>
          <w:szCs w:val="16"/>
        </w:rPr>
        <w:softHyphen/>
        <w:t>нить ее с зарубежными аналогами. Мар</w:t>
      </w:r>
      <w:r w:rsidRPr="00441F34">
        <w:rPr>
          <w:rFonts w:ascii="Times New Roman" w:hAnsi="Times New Roman"/>
          <w:color w:val="0070C0"/>
          <w:sz w:val="16"/>
          <w:szCs w:val="16"/>
        </w:rPr>
        <w:softHyphen/>
        <w:t>шрут протяженностью 9037 км был пройден за 54 часа летного времени со средней скоростью 170,5 км/ч (23474).</w:t>
      </w:r>
    </w:p>
    <w:p w14:paraId="30627FA0" w14:textId="77777777" w:rsidR="00D70FD4" w:rsidRPr="00441F34" w:rsidRDefault="00D70FD4" w:rsidP="00D70FD4">
      <w:pPr>
        <w:spacing w:after="0" w:line="240" w:lineRule="auto"/>
        <w:jc w:val="both"/>
        <w:rPr>
          <w:rFonts w:ascii="Times New Roman" w:hAnsi="Times New Roman"/>
          <w:color w:val="0070C0"/>
          <w:sz w:val="16"/>
          <w:szCs w:val="16"/>
        </w:rPr>
      </w:pPr>
    </w:p>
    <w:p w14:paraId="72C4F7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июля 1929 постановлением ЦИК ввели единый флаг ГВФ (442,301).</w:t>
      </w:r>
    </w:p>
    <w:p w14:paraId="0966AF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6CB08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BBDA46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558F0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июля 1929 года заводу "Красный Путиловец" был выдан заказ на изготовление опытного образца 152-мм пушки (3861).</w:t>
      </w:r>
    </w:p>
    <w:p w14:paraId="700CDD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9BE3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июля 1929 г. тресту "Красный Путиловец" был выдан заказ на опытный образец 203-мм гаубицы обр. 1929 г. системы "Шнейдер-Красный Путиловец" (3861).</w:t>
      </w:r>
    </w:p>
    <w:p w14:paraId="4F8111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8D91B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431B357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DE6A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июля 1929 начался конфликт на КВДЖ (324,38). Китайцы поставили КВЖД под свой контроль (1348,242) и мы были вынуждены создать ОДВА под командованием </w:t>
      </w:r>
      <w:proofErr w:type="spellStart"/>
      <w:r w:rsidRPr="00A259BD">
        <w:rPr>
          <w:rFonts w:ascii="Times New Roman" w:hAnsi="Times New Roman"/>
          <w:color w:val="000000" w:themeColor="text1"/>
          <w:sz w:val="16"/>
          <w:szCs w:val="16"/>
        </w:rPr>
        <w:t>В.К.Блюхера</w:t>
      </w:r>
      <w:proofErr w:type="spellEnd"/>
      <w:r w:rsidRPr="00A259BD">
        <w:rPr>
          <w:rFonts w:ascii="Times New Roman" w:hAnsi="Times New Roman"/>
          <w:color w:val="000000" w:themeColor="text1"/>
          <w:sz w:val="16"/>
          <w:szCs w:val="16"/>
        </w:rPr>
        <w:t xml:space="preserve"> (2443,135).</w:t>
      </w:r>
    </w:p>
    <w:p w14:paraId="409BFB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052A64" w14:textId="77777777" w:rsidR="00FC4BF2" w:rsidRPr="00A259BD" w:rsidRDefault="00FC4B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июля в 1929 году китайское правительство объявило о расторжении договора о Китайско-Восточной железной дороге и взяло под свой контроль КВЖД. Это вызвали протест советской стороны и вооруженный конфликт, закончившийся восстановлением советского управления на КВЖД (14948).</w:t>
      </w:r>
    </w:p>
    <w:p w14:paraId="5038219C" w14:textId="77777777" w:rsidR="00FC4BF2" w:rsidRPr="00A259BD" w:rsidRDefault="00FC4BF2" w:rsidP="009236E3">
      <w:pPr>
        <w:spacing w:after="0" w:line="240" w:lineRule="auto"/>
        <w:jc w:val="both"/>
        <w:rPr>
          <w:rFonts w:ascii="Times New Roman" w:hAnsi="Times New Roman"/>
          <w:color w:val="000000" w:themeColor="text1"/>
          <w:sz w:val="16"/>
          <w:szCs w:val="16"/>
        </w:rPr>
      </w:pPr>
    </w:p>
    <w:p w14:paraId="7B77E442" w14:textId="4988F9FA" w:rsidR="004577AF" w:rsidRPr="00A259BD" w:rsidRDefault="004577AF" w:rsidP="004577AF">
      <w:pPr>
        <w:pStyle w:val="28"/>
        <w:shd w:val="clear" w:color="auto" w:fill="auto"/>
        <w:spacing w:before="0" w:line="240" w:lineRule="auto"/>
        <w:jc w:val="both"/>
        <w:rPr>
          <w:rFonts w:ascii="Times New Roman" w:hAnsi="Times New Roman" w:cs="Times New Roman"/>
          <w:color w:val="000000" w:themeColor="text1"/>
          <w:sz w:val="16"/>
          <w:szCs w:val="16"/>
        </w:rPr>
      </w:pPr>
      <w:r w:rsidRPr="00A259BD">
        <w:rPr>
          <w:rFonts w:ascii="Times New Roman" w:hAnsi="Times New Roman" w:cs="Times New Roman"/>
          <w:color w:val="000000" w:themeColor="text1"/>
          <w:sz w:val="16"/>
          <w:szCs w:val="16"/>
        </w:rPr>
        <w:t>10-11 июля 1929 маньчжурские войска внезапно захватили все ключевые объекты КВЖД и арестовали около 200 советских рабочих и служащих (15819).</w:t>
      </w:r>
    </w:p>
    <w:p w14:paraId="417CB0FC" w14:textId="77777777" w:rsidR="004577AF" w:rsidRPr="00A259BD" w:rsidRDefault="004577AF" w:rsidP="004577AF">
      <w:pPr>
        <w:pStyle w:val="28"/>
        <w:shd w:val="clear" w:color="auto" w:fill="auto"/>
        <w:spacing w:before="0" w:line="240" w:lineRule="auto"/>
        <w:jc w:val="both"/>
        <w:rPr>
          <w:rFonts w:ascii="Times New Roman" w:hAnsi="Times New Roman" w:cs="Times New Roman"/>
          <w:color w:val="000000" w:themeColor="text1"/>
          <w:sz w:val="16"/>
          <w:szCs w:val="16"/>
        </w:rPr>
      </w:pPr>
    </w:p>
    <w:p w14:paraId="146E2B00"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17463D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27C5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июля 1929 состоялся первый полет </w:t>
      </w:r>
      <w:proofErr w:type="spellStart"/>
      <w:r w:rsidRPr="00A259BD">
        <w:rPr>
          <w:rFonts w:ascii="Times New Roman" w:hAnsi="Times New Roman"/>
          <w:color w:val="000000" w:themeColor="text1"/>
          <w:sz w:val="16"/>
          <w:szCs w:val="16"/>
        </w:rPr>
        <w:t>лл</w:t>
      </w:r>
      <w:proofErr w:type="spellEnd"/>
      <w:r w:rsidRPr="00A259BD">
        <w:rPr>
          <w:rFonts w:ascii="Times New Roman" w:hAnsi="Times New Roman"/>
          <w:color w:val="000000" w:themeColor="text1"/>
          <w:sz w:val="16"/>
          <w:szCs w:val="16"/>
        </w:rPr>
        <w:t xml:space="preserve"> Дорнье До-Х (2668).</w:t>
      </w:r>
    </w:p>
    <w:p w14:paraId="15E357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976F206" w14:textId="77777777" w:rsidR="00BF7F75" w:rsidRPr="00A259BD" w:rsidRDefault="00BF7F7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июля 1929 года — первый полёт гоночного гидросамолёта </w:t>
      </w:r>
      <w:proofErr w:type="spellStart"/>
      <w:r w:rsidRPr="00A259BD">
        <w:rPr>
          <w:rFonts w:ascii="Times New Roman" w:hAnsi="Times New Roman"/>
          <w:color w:val="000000" w:themeColor="text1"/>
          <w:sz w:val="16"/>
          <w:szCs w:val="16"/>
        </w:rPr>
        <w:t>Macchi</w:t>
      </w:r>
      <w:proofErr w:type="spellEnd"/>
      <w:r w:rsidRPr="00A259BD">
        <w:rPr>
          <w:rFonts w:ascii="Times New Roman" w:hAnsi="Times New Roman"/>
          <w:color w:val="000000" w:themeColor="text1"/>
          <w:sz w:val="16"/>
          <w:szCs w:val="16"/>
        </w:rPr>
        <w:t xml:space="preserve"> M.67. /Италия/</w:t>
      </w:r>
    </w:p>
    <w:p w14:paraId="632FBD46" w14:textId="77777777" w:rsidR="00BF7F75" w:rsidRPr="00A259BD" w:rsidRDefault="00BF7F7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Гонки гидропланов на Кубок Шнайдера не только популяризировали авиацию, но и форсировали развитие авиастроения. Победа повышала престиж страны, поэтому участники выкладывались по полной. К гонке 1929 года Италия создала новый гидросамолёт </w:t>
      </w:r>
      <w:proofErr w:type="spellStart"/>
      <w:r w:rsidRPr="00A259BD">
        <w:rPr>
          <w:rFonts w:ascii="Times New Roman" w:hAnsi="Times New Roman"/>
          <w:color w:val="000000" w:themeColor="text1"/>
          <w:sz w:val="16"/>
          <w:szCs w:val="16"/>
        </w:rPr>
        <w:t>Macchi</w:t>
      </w:r>
      <w:proofErr w:type="spellEnd"/>
      <w:r w:rsidRPr="00A259BD">
        <w:rPr>
          <w:rFonts w:ascii="Times New Roman" w:hAnsi="Times New Roman"/>
          <w:color w:val="000000" w:themeColor="text1"/>
          <w:sz w:val="16"/>
          <w:szCs w:val="16"/>
        </w:rPr>
        <w:t xml:space="preserve"> M.67, который должен был вернуть кубок на Апеннинский полуостров.</w:t>
      </w:r>
    </w:p>
    <w:p w14:paraId="397D1241" w14:textId="77777777" w:rsidR="00BF7F75" w:rsidRPr="00A259BD" w:rsidRDefault="00BF7F7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М.67 представлял собой одномоторный низкоплан с поплавковым шасси. Конструктор Марио </w:t>
      </w:r>
      <w:proofErr w:type="spellStart"/>
      <w:r w:rsidRPr="00A259BD">
        <w:rPr>
          <w:rFonts w:ascii="Times New Roman" w:hAnsi="Times New Roman"/>
          <w:color w:val="000000" w:themeColor="text1"/>
          <w:sz w:val="16"/>
          <w:szCs w:val="16"/>
        </w:rPr>
        <w:t>Кастольди</w:t>
      </w:r>
      <w:proofErr w:type="spellEnd"/>
      <w:r w:rsidRPr="00A259BD">
        <w:rPr>
          <w:rFonts w:ascii="Times New Roman" w:hAnsi="Times New Roman"/>
          <w:color w:val="000000" w:themeColor="text1"/>
          <w:sz w:val="16"/>
          <w:szCs w:val="16"/>
        </w:rPr>
        <w:t xml:space="preserve"> многое взял от предыдущего своего самолёта — </w:t>
      </w:r>
      <w:proofErr w:type="spellStart"/>
      <w:r w:rsidRPr="00A259BD">
        <w:rPr>
          <w:rFonts w:ascii="Times New Roman" w:hAnsi="Times New Roman"/>
          <w:color w:val="000000" w:themeColor="text1"/>
          <w:sz w:val="16"/>
          <w:szCs w:val="16"/>
        </w:rPr>
        <w:t>Macchi</w:t>
      </w:r>
      <w:proofErr w:type="spellEnd"/>
      <w:r w:rsidRPr="00A259BD">
        <w:rPr>
          <w:rFonts w:ascii="Times New Roman" w:hAnsi="Times New Roman"/>
          <w:color w:val="000000" w:themeColor="text1"/>
          <w:sz w:val="16"/>
          <w:szCs w:val="16"/>
        </w:rPr>
        <w:t xml:space="preserve"> M.39. Был установлен 18-цилиндровый мотор </w:t>
      </w:r>
      <w:proofErr w:type="spellStart"/>
      <w:r w:rsidRPr="00A259BD">
        <w:rPr>
          <w:rFonts w:ascii="Times New Roman" w:hAnsi="Times New Roman"/>
          <w:color w:val="000000" w:themeColor="text1"/>
          <w:sz w:val="16"/>
          <w:szCs w:val="16"/>
        </w:rPr>
        <w:t>Isotta-Fraschini</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Asso</w:t>
      </w:r>
      <w:proofErr w:type="spellEnd"/>
      <w:r w:rsidRPr="00A259BD">
        <w:rPr>
          <w:rFonts w:ascii="Times New Roman" w:hAnsi="Times New Roman"/>
          <w:color w:val="000000" w:themeColor="text1"/>
          <w:sz w:val="16"/>
          <w:szCs w:val="16"/>
        </w:rPr>
        <w:t xml:space="preserve"> 1000 мощностью в 1798 л.с.</w:t>
      </w:r>
    </w:p>
    <w:p w14:paraId="0E3209B4" w14:textId="77777777" w:rsidR="00BF7F75" w:rsidRPr="00A259BD" w:rsidRDefault="00BF7F7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участия в гонке построили 3 гидроплана </w:t>
      </w:r>
      <w:proofErr w:type="spellStart"/>
      <w:r w:rsidRPr="00A259BD">
        <w:rPr>
          <w:rFonts w:ascii="Times New Roman" w:hAnsi="Times New Roman"/>
          <w:color w:val="000000" w:themeColor="text1"/>
          <w:sz w:val="16"/>
          <w:szCs w:val="16"/>
        </w:rPr>
        <w:t>Macchi</w:t>
      </w:r>
      <w:proofErr w:type="spellEnd"/>
      <w:r w:rsidRPr="00A259BD">
        <w:rPr>
          <w:rFonts w:ascii="Times New Roman" w:hAnsi="Times New Roman"/>
          <w:color w:val="000000" w:themeColor="text1"/>
          <w:sz w:val="16"/>
          <w:szCs w:val="16"/>
        </w:rPr>
        <w:t xml:space="preserve"> M.67. Один из них был потерян в испытательном полёте, установив рекорд скорости в 583 км/ч. Двум оставшимся превзойти результаты британского </w:t>
      </w:r>
      <w:proofErr w:type="spellStart"/>
      <w:r w:rsidRPr="00A259BD">
        <w:rPr>
          <w:rFonts w:ascii="Times New Roman" w:hAnsi="Times New Roman"/>
          <w:color w:val="000000" w:themeColor="text1"/>
          <w:sz w:val="16"/>
          <w:szCs w:val="16"/>
        </w:rPr>
        <w:t>Supermarine</w:t>
      </w:r>
      <w:proofErr w:type="spellEnd"/>
      <w:r w:rsidRPr="00A259BD">
        <w:rPr>
          <w:rFonts w:ascii="Times New Roman" w:hAnsi="Times New Roman"/>
          <w:color w:val="000000" w:themeColor="text1"/>
          <w:sz w:val="16"/>
          <w:szCs w:val="16"/>
        </w:rPr>
        <w:t xml:space="preserve"> S6 не удалось из-за проблем с двигателем. Один M.67 сегодня выставлен в Историческом музее ВВС Италии (22300).</w:t>
      </w:r>
    </w:p>
    <w:p w14:paraId="30AAF9CF" w14:textId="77777777" w:rsidR="00BF7F75" w:rsidRPr="00A259BD" w:rsidRDefault="00BF7F75" w:rsidP="009236E3">
      <w:pPr>
        <w:spacing w:after="0" w:line="240" w:lineRule="auto"/>
        <w:jc w:val="both"/>
        <w:rPr>
          <w:rFonts w:ascii="Times New Roman" w:hAnsi="Times New Roman"/>
          <w:color w:val="000000" w:themeColor="text1"/>
          <w:sz w:val="16"/>
          <w:szCs w:val="16"/>
        </w:rPr>
      </w:pPr>
    </w:p>
    <w:p w14:paraId="4D98D70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B7DE7E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8368A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июля 1929 второй Р-5 совершил в НИИ ВВС первый полет. В ходе его разрушился левый распредвал мотора, пришлось срочно садиться. Уже на земле обнаружили, что вдобавок раздуло маслобак из-за отсутствия дренажа.</w:t>
      </w:r>
    </w:p>
    <w:p w14:paraId="4F625A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июля летные испытания возобновились, и они шли до 29 августа. Полеты оставили вполне положительное впечатление у летчиков В.О. Писаренко и B.C. </w:t>
      </w:r>
      <w:proofErr w:type="spellStart"/>
      <w:r w:rsidRPr="00A259BD">
        <w:rPr>
          <w:rFonts w:ascii="Times New Roman" w:hAnsi="Times New Roman"/>
          <w:color w:val="000000" w:themeColor="text1"/>
          <w:sz w:val="16"/>
          <w:szCs w:val="16"/>
        </w:rPr>
        <w:t>Волко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войнова</w:t>
      </w:r>
      <w:proofErr w:type="spellEnd"/>
      <w:r w:rsidRPr="00A259BD">
        <w:rPr>
          <w:rFonts w:ascii="Times New Roman" w:hAnsi="Times New Roman"/>
          <w:color w:val="000000" w:themeColor="text1"/>
          <w:sz w:val="16"/>
          <w:szCs w:val="16"/>
        </w:rPr>
        <w:t xml:space="preserve">, которые дали очень благоприятное заключение. Несмотря на некоторое увеличение веса, переделка </w:t>
      </w:r>
      <w:proofErr w:type="spellStart"/>
      <w:r w:rsidRPr="00A259BD">
        <w:rPr>
          <w:rFonts w:ascii="Times New Roman" w:hAnsi="Times New Roman"/>
          <w:color w:val="000000" w:themeColor="text1"/>
          <w:sz w:val="16"/>
          <w:szCs w:val="16"/>
        </w:rPr>
        <w:t>мотоустановки</w:t>
      </w:r>
      <w:proofErr w:type="spellEnd"/>
      <w:r w:rsidRPr="00A259BD">
        <w:rPr>
          <w:rFonts w:ascii="Times New Roman" w:hAnsi="Times New Roman"/>
          <w:color w:val="000000" w:themeColor="text1"/>
          <w:sz w:val="16"/>
          <w:szCs w:val="16"/>
        </w:rPr>
        <w:t xml:space="preserve"> принесла свои результаты. В отчете записали: "...летные качества значительно повысились и полностью удовлетворяют предъявленным техническим требованиям". Правда, пробег остался слишком большим.</w:t>
      </w:r>
    </w:p>
    <w:p w14:paraId="0B290D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Второй самолет испытывали в двух вариантах: как разведчик и как легкий бомбардировщик, причем бомбовая нагрузка доходила до 800 кг - намного больше, чем предусматривалось заданием (250-300 кг). Под фюзеляжем поставили балки для бомб калибром до 250 кг, скопированные с французского образца (потом их приняли </w:t>
      </w:r>
      <w:r w:rsidRPr="00A259BD">
        <w:rPr>
          <w:rFonts w:ascii="Times New Roman" w:hAnsi="Times New Roman"/>
          <w:color w:val="000000" w:themeColor="text1"/>
          <w:sz w:val="16"/>
          <w:szCs w:val="16"/>
        </w:rPr>
        <w:lastRenderedPageBreak/>
        <w:t>на вооружение под обозначением Дер-13). Значительное увеличение нагрузки не прошло бесследно, появились деформации нижнего крыла. Поэтому предложили усилить передний лонжерон и поставить бобышки в местах установки бомбодержателей.</w:t>
      </w:r>
    </w:p>
    <w:p w14:paraId="40F0A8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образец унаследовал часть дефектов первого. Испытатели отметили склонность к капотированию, запаздывание с выходом из штопора, потерю устойчивости на пикировании, разбалтывание панелей капота, течь радиатора. Изношенную пятку костыля пришлось дважды менять.</w:t>
      </w:r>
    </w:p>
    <w:p w14:paraId="6B6AF8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Испытания завершились перелетом Москва-Севастополь-Москва. Для этого машину оснастили дополнительным баком на 161 кг бензина. Экипаж состоял из Писаренко и заместителя начальника УВВС Я.И. Алксниса. Не следует переоценивать роль последнего: тогда Алкснис был лишь поспешно обученным любителем. Так что основную работу делал, конечно, Писаренко. Между Тарусой и Алексином пришлось сделать вынужденную посадку - потек радиатор. Долив три ведра воды из речки, полетели дальше. Перелет завершился благополучно. </w:t>
      </w:r>
    </w:p>
    <w:p w14:paraId="01DD45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Эталонами для серии должны были стать третий и четвертый Р-5 (11936).</w:t>
      </w:r>
    </w:p>
    <w:p w14:paraId="20AE64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517F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июля 1929 Р-5, который после длительной переписки 10 июля 1929 все-таки приняли в НИИ ВВС без пристрелки, выпустили в воздух. Но летчику Писаренко не повезло. В полете разрушился левый распределительный вал мотора, пришлось срочно садиться. Уже на земле обнаружили, что вдобавок раздуло маслобак из-за отсутствия в нем дренажа.</w:t>
      </w:r>
    </w:p>
    <w:p w14:paraId="1AA77A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самолет заказывался одновременно с первым. В целом он соответствовал предыдущему, но имел французский карбюратор Зенит 60DC (вместо "родного" типа BMW). Вооружение смонтировали полностью, но радиостанция отсутствовала, а вместо фотоаппарата стоял макет. Костыль ужесточили так, что он почти не амортизировал. Это потом привело к тому, что начала быстро изнашиваться его пятка.</w:t>
      </w:r>
    </w:p>
    <w:p w14:paraId="261840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Пока ждали новый мотор, решили заняться вооружением. Сотрудники НИИ 16 июля повезли самолет на Кунцевский полигон. Отстрел передней установки закончился неудачей. Пулемет трясся, лен </w:t>
      </w:r>
      <w:proofErr w:type="spellStart"/>
      <w:r w:rsidRPr="00A259BD">
        <w:rPr>
          <w:rFonts w:ascii="Times New Roman" w:hAnsi="Times New Roman"/>
          <w:color w:val="000000" w:themeColor="text1"/>
          <w:sz w:val="16"/>
          <w:szCs w:val="16"/>
        </w:rPr>
        <w:t>гу</w:t>
      </w:r>
      <w:proofErr w:type="spellEnd"/>
      <w:r w:rsidRPr="00A259BD">
        <w:rPr>
          <w:rFonts w:ascii="Times New Roman" w:hAnsi="Times New Roman"/>
          <w:color w:val="000000" w:themeColor="text1"/>
          <w:sz w:val="16"/>
          <w:szCs w:val="16"/>
        </w:rPr>
        <w:t xml:space="preserve"> захлестывало в приемном рукаве. Причиной оказалась недостаточная жесткость заднего кронштейна крепления. Попытки "</w:t>
      </w:r>
      <w:proofErr w:type="spellStart"/>
      <w:r w:rsidRPr="00A259BD">
        <w:rPr>
          <w:rFonts w:ascii="Times New Roman" w:hAnsi="Times New Roman"/>
          <w:color w:val="000000" w:themeColor="text1"/>
          <w:sz w:val="16"/>
          <w:szCs w:val="16"/>
        </w:rPr>
        <w:t>подтянугь</w:t>
      </w:r>
      <w:proofErr w:type="spellEnd"/>
      <w:r w:rsidRPr="00A259BD">
        <w:rPr>
          <w:rFonts w:ascii="Times New Roman" w:hAnsi="Times New Roman"/>
          <w:color w:val="000000" w:themeColor="text1"/>
          <w:sz w:val="16"/>
          <w:szCs w:val="16"/>
        </w:rPr>
        <w:t>" и "поджать" ничего не дали. Кронштейн надо было переделывать (12034).</w:t>
      </w:r>
    </w:p>
    <w:p w14:paraId="0B5D99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D2A8C3" w14:textId="77777777" w:rsidR="00F547C5" w:rsidRPr="00A259BD" w:rsidRDefault="002E2A19" w:rsidP="009236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CA0F7F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565672C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июля 1929 на ИОЗ из </w:t>
      </w:r>
      <w:proofErr w:type="spellStart"/>
      <w:r w:rsidRPr="00A259BD">
        <w:rPr>
          <w:rFonts w:ascii="Times New Roman" w:hAnsi="Times New Roman"/>
          <w:color w:val="000000" w:themeColor="text1"/>
          <w:sz w:val="16"/>
          <w:szCs w:val="16"/>
        </w:rPr>
        <w:t>АВТОДОРа</w:t>
      </w:r>
      <w:proofErr w:type="spellEnd"/>
      <w:r w:rsidRPr="00A259BD">
        <w:rPr>
          <w:rFonts w:ascii="Times New Roman" w:hAnsi="Times New Roman"/>
          <w:color w:val="000000" w:themeColor="text1"/>
          <w:sz w:val="16"/>
          <w:szCs w:val="16"/>
        </w:rPr>
        <w:t xml:space="preserve"> пришло сообщение об уста</w:t>
      </w:r>
      <w:r w:rsidRPr="00A259BD">
        <w:rPr>
          <w:rFonts w:ascii="Times New Roman" w:hAnsi="Times New Roman"/>
          <w:color w:val="000000" w:themeColor="text1"/>
          <w:sz w:val="16"/>
          <w:szCs w:val="16"/>
        </w:rPr>
        <w:softHyphen/>
        <w:t>новлении даты и места старта Второго Всесоюзного мотопробе</w:t>
      </w:r>
      <w:r w:rsidRPr="00A259BD">
        <w:rPr>
          <w:rFonts w:ascii="Times New Roman" w:hAnsi="Times New Roman"/>
          <w:color w:val="000000" w:themeColor="text1"/>
          <w:sz w:val="16"/>
          <w:szCs w:val="16"/>
        </w:rPr>
        <w:softHyphen/>
        <w:t>га: 9 сентября, Нижний Новгород [3.74]. Спустя две недели руко</w:t>
      </w:r>
      <w:r w:rsidRPr="00A259BD">
        <w:rPr>
          <w:rFonts w:ascii="Times New Roman" w:hAnsi="Times New Roman"/>
          <w:color w:val="000000" w:themeColor="text1"/>
          <w:sz w:val="16"/>
          <w:szCs w:val="16"/>
        </w:rPr>
        <w:softHyphen/>
        <w:t xml:space="preserve">водство </w:t>
      </w:r>
      <w:proofErr w:type="spellStart"/>
      <w:r w:rsidRPr="00A259BD">
        <w:rPr>
          <w:rFonts w:ascii="Times New Roman" w:hAnsi="Times New Roman"/>
          <w:color w:val="000000" w:themeColor="text1"/>
          <w:sz w:val="16"/>
          <w:szCs w:val="16"/>
        </w:rPr>
        <w:t>АВТОДОРа</w:t>
      </w:r>
      <w:proofErr w:type="spellEnd"/>
      <w:r w:rsidRPr="00A259BD">
        <w:rPr>
          <w:rFonts w:ascii="Times New Roman" w:hAnsi="Times New Roman"/>
          <w:color w:val="000000" w:themeColor="text1"/>
          <w:sz w:val="16"/>
          <w:szCs w:val="16"/>
        </w:rPr>
        <w:t xml:space="preserve"> разрешило вести мотоциклы в пробеге сот</w:t>
      </w:r>
      <w:r w:rsidRPr="00A259BD">
        <w:rPr>
          <w:rFonts w:ascii="Times New Roman" w:hAnsi="Times New Roman"/>
          <w:color w:val="000000" w:themeColor="text1"/>
          <w:sz w:val="16"/>
          <w:szCs w:val="16"/>
        </w:rPr>
        <w:softHyphen/>
        <w:t xml:space="preserve">рудникам </w:t>
      </w:r>
      <w:proofErr w:type="spellStart"/>
      <w:r w:rsidRPr="00A259BD">
        <w:rPr>
          <w:rFonts w:ascii="Times New Roman" w:hAnsi="Times New Roman"/>
          <w:color w:val="000000" w:themeColor="text1"/>
          <w:sz w:val="16"/>
          <w:szCs w:val="16"/>
        </w:rPr>
        <w:t>ИОЗа</w:t>
      </w:r>
      <w:proofErr w:type="spellEnd"/>
      <w:r w:rsidRPr="00A259BD">
        <w:rPr>
          <w:rFonts w:ascii="Times New Roman" w:hAnsi="Times New Roman"/>
          <w:color w:val="000000" w:themeColor="text1"/>
          <w:sz w:val="16"/>
          <w:szCs w:val="16"/>
        </w:rPr>
        <w:t xml:space="preserve">, имевшим права вождения и знавшим устройство мотоцикла, а дирекция </w:t>
      </w:r>
      <w:proofErr w:type="spellStart"/>
      <w:r w:rsidRPr="00A259BD">
        <w:rPr>
          <w:rFonts w:ascii="Times New Roman" w:hAnsi="Times New Roman"/>
          <w:color w:val="000000" w:themeColor="text1"/>
          <w:sz w:val="16"/>
          <w:szCs w:val="16"/>
        </w:rPr>
        <w:t>ИОЗа</w:t>
      </w:r>
      <w:proofErr w:type="spellEnd"/>
      <w:r w:rsidRPr="00A259BD">
        <w:rPr>
          <w:rFonts w:ascii="Times New Roman" w:hAnsi="Times New Roman"/>
          <w:color w:val="000000" w:themeColor="text1"/>
          <w:sz w:val="16"/>
          <w:szCs w:val="16"/>
        </w:rPr>
        <w:t xml:space="preserve"> обещала отправить в мотопробег все построенные экспериментальные мотоциклы, для сравнения с ними - восемь иномарок, а также два автомобиля сопровожде</w:t>
      </w:r>
      <w:r w:rsidRPr="00A259BD">
        <w:rPr>
          <w:rFonts w:ascii="Times New Roman" w:hAnsi="Times New Roman"/>
          <w:color w:val="000000" w:themeColor="text1"/>
          <w:sz w:val="16"/>
          <w:szCs w:val="16"/>
        </w:rPr>
        <w:softHyphen/>
        <w:t>ния - легковой для командора пробега и грузовой в качестве тех</w:t>
      </w:r>
      <w:r w:rsidRPr="00A259BD">
        <w:rPr>
          <w:rFonts w:ascii="Times New Roman" w:hAnsi="Times New Roman"/>
          <w:color w:val="000000" w:themeColor="text1"/>
          <w:sz w:val="16"/>
          <w:szCs w:val="16"/>
        </w:rPr>
        <w:softHyphen/>
        <w:t>помощи [3.75] (11429).</w:t>
      </w:r>
    </w:p>
    <w:p w14:paraId="4D7D72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8FA31E" w14:textId="77777777" w:rsidR="00F8794A" w:rsidRPr="00A259BD" w:rsidRDefault="00F8794A"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11 июля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Протокол заседания Политбюро ЦК ВКП(б) № 88. 8. О состоянии и перспективах цветной металлургии (ПБ от 4 июля 1929 г., пр. № 87, п. 10). Решения ПБ от 5 июля 1929 г. 20. О состоянии военной промышленности (</w:t>
      </w:r>
      <w:proofErr w:type="spellStart"/>
      <w:r w:rsidRPr="00A259BD">
        <w:rPr>
          <w:rFonts w:ascii="Times New Roman" w:hAnsi="Times New Roman"/>
          <w:color w:val="000000" w:themeColor="text1"/>
          <w:sz w:val="16"/>
          <w:szCs w:val="16"/>
          <w:u w:color="002060"/>
        </w:rPr>
        <w:t>Павлуновский</w:t>
      </w:r>
      <w:proofErr w:type="spellEnd"/>
      <w:r w:rsidRPr="00A259BD">
        <w:rPr>
          <w:rFonts w:ascii="Times New Roman" w:hAnsi="Times New Roman"/>
          <w:color w:val="000000" w:themeColor="text1"/>
          <w:sz w:val="16"/>
          <w:szCs w:val="16"/>
          <w:u w:color="002060"/>
        </w:rPr>
        <w:t xml:space="preserve">, Урываев, </w:t>
      </w:r>
      <w:proofErr w:type="spellStart"/>
      <w:r w:rsidRPr="00A259BD">
        <w:rPr>
          <w:rFonts w:ascii="Times New Roman" w:hAnsi="Times New Roman"/>
          <w:color w:val="000000" w:themeColor="text1"/>
          <w:sz w:val="16"/>
          <w:szCs w:val="16"/>
          <w:u w:color="002060"/>
        </w:rPr>
        <w:t>Рухимович</w:t>
      </w:r>
      <w:proofErr w:type="spellEnd"/>
      <w:r w:rsidRPr="00A259BD">
        <w:rPr>
          <w:rFonts w:ascii="Times New Roman" w:hAnsi="Times New Roman"/>
          <w:color w:val="000000" w:themeColor="text1"/>
          <w:sz w:val="16"/>
          <w:szCs w:val="16"/>
          <w:u w:color="002060"/>
        </w:rPr>
        <w:t xml:space="preserve">, </w:t>
      </w:r>
      <w:proofErr w:type="spellStart"/>
      <w:r w:rsidRPr="00A259BD">
        <w:rPr>
          <w:rFonts w:ascii="Times New Roman" w:hAnsi="Times New Roman"/>
          <w:color w:val="000000" w:themeColor="text1"/>
          <w:sz w:val="16"/>
          <w:szCs w:val="16"/>
          <w:u w:color="002060"/>
        </w:rPr>
        <w:t>Толоконцев</w:t>
      </w:r>
      <w:proofErr w:type="spellEnd"/>
      <w:r w:rsidRPr="00A259BD">
        <w:rPr>
          <w:rFonts w:ascii="Times New Roman" w:hAnsi="Times New Roman"/>
          <w:color w:val="000000" w:themeColor="text1"/>
          <w:sz w:val="16"/>
          <w:szCs w:val="16"/>
          <w:u w:color="002060"/>
        </w:rPr>
        <w:t xml:space="preserve">, Ворошилов и др.). Решения ПБ от 8 июля 1929 г. 33. О темпе строительства Сталинградского завода. Опросом членов ПБ от 11 июля 1929 г. 38. Об освобождении Томского и </w:t>
      </w:r>
      <w:proofErr w:type="spellStart"/>
      <w:r w:rsidRPr="00A259BD">
        <w:rPr>
          <w:rFonts w:ascii="Times New Roman" w:hAnsi="Times New Roman"/>
          <w:color w:val="000000" w:themeColor="text1"/>
          <w:sz w:val="16"/>
          <w:szCs w:val="16"/>
          <w:u w:color="002060"/>
        </w:rPr>
        <w:t>Толоконцева</w:t>
      </w:r>
      <w:proofErr w:type="spellEnd"/>
      <w:r w:rsidRPr="00A259BD">
        <w:rPr>
          <w:rFonts w:ascii="Times New Roman" w:hAnsi="Times New Roman"/>
          <w:color w:val="000000" w:themeColor="text1"/>
          <w:sz w:val="16"/>
          <w:szCs w:val="16"/>
          <w:u w:color="002060"/>
        </w:rPr>
        <w:t xml:space="preserve"> от обязанностей членов РЗ СТО. (Политбюро... Т. 1. С. 706, 707) (12416).</w:t>
      </w:r>
    </w:p>
    <w:p w14:paraId="017194E9" w14:textId="77777777" w:rsidR="00F8794A" w:rsidRPr="00A259BD" w:rsidRDefault="00F8794A" w:rsidP="009236E3">
      <w:pPr>
        <w:spacing w:after="0" w:line="240" w:lineRule="auto"/>
        <w:jc w:val="both"/>
        <w:rPr>
          <w:rFonts w:ascii="Times New Roman" w:hAnsi="Times New Roman"/>
          <w:color w:val="000000" w:themeColor="text1"/>
          <w:sz w:val="16"/>
          <w:szCs w:val="16"/>
          <w:u w:color="002060"/>
        </w:rPr>
      </w:pPr>
    </w:p>
    <w:p w14:paraId="7D6A6E68" w14:textId="77777777" w:rsidR="00F8794A" w:rsidRPr="00A259BD" w:rsidRDefault="00F8794A"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11 июля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Политбюро ЦК ВКП (б), отметив невыполнение промышленностью задания по снижению себестоимости продукции и ухудшение качества за 1-е полугодие 1929 г., рекомендовало ВСНХ и ВЦСПС разработать мероприятия по улучшению организации производства внутри предприятия, обратив особое внимание на широкое привлечение рабочих масс; приняло решение о перенесении срока пуска Сталинградского тракторного завода с конца 1931 г. на конец 1930 г (12265).</w:t>
      </w:r>
    </w:p>
    <w:p w14:paraId="771A7BB9" w14:textId="77777777" w:rsidR="00F8794A" w:rsidRPr="00A259BD" w:rsidRDefault="00F879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4E095BD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58146B9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2716E8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июля 1929 Троцкому отказано во въезде в Англию (4962).</w:t>
      </w:r>
    </w:p>
    <w:p w14:paraId="74AB157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63C5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июля 1929 г. вышло СНК СССР постановлении “ Об использовании труда уголовно- заключенных”. Документ обязывал ОГПУ и прочие заинтересованные ведомства срочно разработать комплекс мер по колонизации осваиваемых районов. В основу планируемых мер были положены три основных принципа:</w:t>
      </w:r>
    </w:p>
    <w:p w14:paraId="28A1A9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досрочный перевод на вольное поселение в этом же районе заключенных, заслуживающих своим поведением или отличившихся на работе, хотя и не отбывших назначенного им срока лишения свободы, с оказанием им необходимой помощи;</w:t>
      </w:r>
    </w:p>
    <w:p w14:paraId="5CE8B3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оставление на поселение в данном районе с наделением землей заключенных, отбывших положенный им срок лишения свободы, но лишенных судом права свободного выбора местожительства;</w:t>
      </w:r>
    </w:p>
    <w:p w14:paraId="66396A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заселение теми заключенными, которые отбыли срок лишения свободы, но добровольно пожелают остаться на поселение в данном крае...(9042).</w:t>
      </w:r>
    </w:p>
    <w:p w14:paraId="43A7E5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165D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июля 1929 г. вышло постановление "Об использовании труда заключенных", принятое СНК СССР. Документ устанавливал новую структуру системы исполнения наказаний. Согласно постановлению, все осужденные на срок три года и выше подлежали направлению в исправительно-трудовые лагеря ОГПУ. Остальные, имевшие срок лишения свободы до трех лет, оставались в ведении органов НКВД союзных республик. Трудовое использование этих категорий заключенных обеспечивалось путем организации промышленных и сельскохозяйственных колоний. Соответственно, изменилась вся сеть мест лишения свободы, в ее состав вводились места заключения для осужденных на срок 1–3 года (колонии). За тюрьмами оставлялись функции следственных изоляторов и пересыльных пунктов. </w:t>
      </w:r>
    </w:p>
    <w:p w14:paraId="441C2C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г. все ИТЛ были переведены на самоокупаемость и освобождены от уплаты подоходного налога и промыслового налога с оборота. Перевод мест лишения свободы на самоокупаемость снимал с государства бремя расходов на содержание практически любых масс заключенных, так как стоимость выполнения ими работ покрывала, иногда с превышением, все траты (12107).</w:t>
      </w:r>
    </w:p>
    <w:p w14:paraId="07DE21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ADB889" w14:textId="77777777" w:rsidR="00F8794A" w:rsidRPr="00A259BD" w:rsidRDefault="00F879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июля 1929 г. в постановлении "Об использовании труда заключенных", принятом СНК СССР устанавливалась новая структура системы исполнения наказаний. Согласно постановлению, все осужденные на срок три года и выше подлежали направлению в исправительно-трудовые лагеря ОГПУ. Остальные, имевшие срок лишения свободы до трех лет, оставались в ведении органов НКВД союзных республик. Трудовое использование этих категорий заключенных обеспечивалось путем организации промышленных и сельскохозяйственных колоний. Соответственно, изменилась вся сеть мест лишения свободы, в ее состав вводились места заключения для осужденных на срок 1–3 года (колонии). За тюрьмами оставлялись функции следственных изоляторов и пересыльных пунктов (12129).</w:t>
      </w:r>
    </w:p>
    <w:p w14:paraId="768D5362" w14:textId="77777777" w:rsidR="00F8794A" w:rsidRPr="00A259BD" w:rsidRDefault="00F8794A" w:rsidP="009236E3">
      <w:pPr>
        <w:spacing w:after="0" w:line="240" w:lineRule="auto"/>
        <w:jc w:val="both"/>
        <w:rPr>
          <w:rFonts w:ascii="Times New Roman" w:hAnsi="Times New Roman"/>
          <w:color w:val="000000" w:themeColor="text1"/>
          <w:sz w:val="16"/>
          <w:szCs w:val="16"/>
        </w:rPr>
      </w:pPr>
    </w:p>
    <w:p w14:paraId="5BFB18C6" w14:textId="77777777" w:rsidR="00D3368F" w:rsidRPr="00441F34" w:rsidRDefault="00D3368F" w:rsidP="00D3368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11 июля 1929 г. было принято постановление Совета народных комиссаров «Об использовании труда уголовно-заключенных», санкционировавшее создание единой системы исправительно-трудовых лагерей (ИТЛ). С 1930 г. заключенными ИТЛ, вошедших в систему Главного управления лагерей (ГУЛАГ), велось строительство большинства крупных промышленных и транспортных объектов страны. С 1930 по 1953 гг. в системе ГУЛАГа одновременно содержалось от 510 тыс. до 2,5 млн. человек (23485).</w:t>
      </w:r>
    </w:p>
    <w:p w14:paraId="4AF2391F" w14:textId="77777777" w:rsidR="00D3368F" w:rsidRPr="00441F34" w:rsidRDefault="00D3368F" w:rsidP="00D3368F">
      <w:pPr>
        <w:spacing w:after="0" w:line="240" w:lineRule="auto"/>
        <w:jc w:val="both"/>
        <w:rPr>
          <w:rFonts w:ascii="Times New Roman" w:hAnsi="Times New Roman"/>
          <w:color w:val="0070C0"/>
          <w:sz w:val="16"/>
          <w:szCs w:val="16"/>
        </w:rPr>
      </w:pPr>
    </w:p>
    <w:p w14:paraId="26C4BAE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64441EB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5A4B2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июля 1929 Чан Кайши выслал из Китая русское руководство Китайско-Восточной железной дороги (4962).</w:t>
      </w:r>
    </w:p>
    <w:p w14:paraId="37023C1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C7E9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июля 1929 китайский председатель правления КВЖД сместил с должнос</w:t>
      </w:r>
      <w:r w:rsidRPr="00A259BD">
        <w:rPr>
          <w:rFonts w:ascii="Times New Roman" w:hAnsi="Times New Roman"/>
          <w:color w:val="000000" w:themeColor="text1"/>
          <w:sz w:val="16"/>
          <w:szCs w:val="16"/>
        </w:rPr>
        <w:softHyphen/>
        <w:t>ти советского сопредседателя и его заместителя, заменив их китайцами. Всех советских руководителей в прав</w:t>
      </w:r>
      <w:r w:rsidRPr="00A259BD">
        <w:rPr>
          <w:rFonts w:ascii="Times New Roman" w:hAnsi="Times New Roman"/>
          <w:color w:val="000000" w:themeColor="text1"/>
          <w:sz w:val="16"/>
          <w:szCs w:val="16"/>
        </w:rPr>
        <w:softHyphen/>
        <w:t>лении дороги сменили белоэмигран</w:t>
      </w:r>
      <w:r w:rsidRPr="00A259BD">
        <w:rPr>
          <w:rFonts w:ascii="Times New Roman" w:hAnsi="Times New Roman"/>
          <w:color w:val="000000" w:themeColor="text1"/>
          <w:sz w:val="16"/>
          <w:szCs w:val="16"/>
        </w:rPr>
        <w:softHyphen/>
        <w:t>ты. Одновременно ликвидировали все советские торговые, промышленные и общественные организации. В нару</w:t>
      </w:r>
      <w:r w:rsidRPr="00A259BD">
        <w:rPr>
          <w:rFonts w:ascii="Times New Roman" w:hAnsi="Times New Roman"/>
          <w:color w:val="000000" w:themeColor="text1"/>
          <w:sz w:val="16"/>
          <w:szCs w:val="16"/>
        </w:rPr>
        <w:softHyphen/>
        <w:t>шение соглашения от 1924 г китайс</w:t>
      </w:r>
      <w:r w:rsidRPr="00A259BD">
        <w:rPr>
          <w:rFonts w:ascii="Times New Roman" w:hAnsi="Times New Roman"/>
          <w:color w:val="000000" w:themeColor="text1"/>
          <w:sz w:val="16"/>
          <w:szCs w:val="16"/>
        </w:rPr>
        <w:softHyphen/>
        <w:t>кие войска силой захватили КВЖД (11216).</w:t>
      </w:r>
    </w:p>
    <w:p w14:paraId="6F61B7E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D86BE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3AFB70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70CB5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июля 1929 Зав. Техотделом </w:t>
      </w:r>
      <w:proofErr w:type="spellStart"/>
      <w:r w:rsidRPr="00A259BD">
        <w:rPr>
          <w:rFonts w:ascii="Times New Roman" w:hAnsi="Times New Roman"/>
          <w:color w:val="000000" w:themeColor="text1"/>
          <w:sz w:val="16"/>
          <w:szCs w:val="16"/>
        </w:rPr>
        <w:t>Окромешко</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и</w:t>
      </w:r>
      <w:proofErr w:type="spellEnd"/>
      <w:r w:rsidRPr="00A259BD">
        <w:rPr>
          <w:rFonts w:ascii="Times New Roman" w:hAnsi="Times New Roman"/>
          <w:color w:val="000000" w:themeColor="text1"/>
          <w:sz w:val="16"/>
          <w:szCs w:val="16"/>
        </w:rPr>
        <w:t xml:space="preserve"> Калинин писали в Инспекцию ГА письмо N 169/4810:</w:t>
      </w:r>
    </w:p>
    <w:p w14:paraId="1DAA06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сем препровождается на рассмотрение и заключение эскизный проект почтового самолета, разработанного заводом 25." Был представлен в 2-х вариантах - свободнонесущий моноплан с деревянным фюзеляжем типа монокок и подкосный моноплан с фюзеляжем из стальных труб. Крыло в обоих случаях - деревянное (2341).</w:t>
      </w:r>
    </w:p>
    <w:p w14:paraId="1EC08D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ПОЯСНИТЕЛЬНАЯ ЗАПИСКА</w:t>
      </w:r>
    </w:p>
    <w:p w14:paraId="5BF1926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ЭСКИЗНОМУ ПРОЕКТУ ПОЧТОВОГО САМОЛЕТА ЗАВОДА № 25</w:t>
      </w:r>
    </w:p>
    <w:p w14:paraId="5D898A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lastRenderedPageBreak/>
        <w:t>Преда</w:t>
      </w:r>
      <w:proofErr w:type="spellEnd"/>
      <w:r w:rsidRPr="00A259BD">
        <w:rPr>
          <w:rFonts w:ascii="Times New Roman" w:hAnsi="Times New Roman"/>
          <w:color w:val="000000" w:themeColor="text1"/>
          <w:sz w:val="16"/>
          <w:szCs w:val="16"/>
        </w:rPr>
        <w:t xml:space="preserve"> зрительные изыскания дали решение </w:t>
      </w:r>
      <w:proofErr w:type="spellStart"/>
      <w:r w:rsidRPr="00A259BD">
        <w:rPr>
          <w:rFonts w:ascii="Times New Roman" w:hAnsi="Times New Roman"/>
          <w:color w:val="000000" w:themeColor="text1"/>
          <w:sz w:val="16"/>
          <w:szCs w:val="16"/>
        </w:rPr>
        <w:t>поставленой</w:t>
      </w:r>
      <w:proofErr w:type="spellEnd"/>
      <w:r w:rsidRPr="00A259BD">
        <w:rPr>
          <w:rFonts w:ascii="Times New Roman" w:hAnsi="Times New Roman"/>
          <w:color w:val="000000" w:themeColor="text1"/>
          <w:sz w:val="16"/>
          <w:szCs w:val="16"/>
        </w:rPr>
        <w:t xml:space="preserve"> задачи в двух вариантах: один в виде свободно несущего моноплана с деревянным фюзеляжем типа монокок, а другой в виде моноплана подносного, с </w:t>
      </w:r>
      <w:proofErr w:type="spellStart"/>
      <w:r w:rsidRPr="00A259BD">
        <w:rPr>
          <w:rFonts w:ascii="Times New Roman" w:hAnsi="Times New Roman"/>
          <w:color w:val="000000" w:themeColor="text1"/>
          <w:sz w:val="16"/>
          <w:szCs w:val="16"/>
        </w:rPr>
        <w:t>фозз</w:t>
      </w:r>
      <w:proofErr w:type="spellEnd"/>
      <w:r w:rsidRPr="00A259BD">
        <w:rPr>
          <w:rFonts w:ascii="Times New Roman" w:hAnsi="Times New Roman"/>
          <w:color w:val="000000" w:themeColor="text1"/>
          <w:sz w:val="16"/>
          <w:szCs w:val="16"/>
        </w:rPr>
        <w:t xml:space="preserve"> я язвы, сварным из стальных труб. </w:t>
      </w:r>
      <w:proofErr w:type="spellStart"/>
      <w:r w:rsidRPr="00A259BD">
        <w:rPr>
          <w:rFonts w:ascii="Times New Roman" w:hAnsi="Times New Roman"/>
          <w:color w:val="000000" w:themeColor="text1"/>
          <w:sz w:val="16"/>
          <w:szCs w:val="16"/>
        </w:rPr>
        <w:t>Крьылья</w:t>
      </w:r>
      <w:proofErr w:type="spellEnd"/>
      <w:r w:rsidRPr="00A259BD">
        <w:rPr>
          <w:rFonts w:ascii="Times New Roman" w:hAnsi="Times New Roman"/>
          <w:color w:val="000000" w:themeColor="text1"/>
          <w:sz w:val="16"/>
          <w:szCs w:val="16"/>
        </w:rPr>
        <w:t xml:space="preserve"> в обоих- вариантах </w:t>
      </w:r>
      <w:proofErr w:type="spellStart"/>
      <w:r w:rsidRPr="00A259BD">
        <w:rPr>
          <w:rFonts w:ascii="Times New Roman" w:hAnsi="Times New Roman"/>
          <w:color w:val="000000" w:themeColor="text1"/>
          <w:sz w:val="16"/>
          <w:szCs w:val="16"/>
        </w:rPr>
        <w:t>дервевянные</w:t>
      </w:r>
      <w:proofErr w:type="spellEnd"/>
      <w:r w:rsidRPr="00A259BD">
        <w:rPr>
          <w:rFonts w:ascii="Times New Roman" w:hAnsi="Times New Roman"/>
          <w:color w:val="000000" w:themeColor="text1"/>
          <w:sz w:val="16"/>
          <w:szCs w:val="16"/>
        </w:rPr>
        <w:t>.</w:t>
      </w:r>
    </w:p>
    <w:p w14:paraId="0082D7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 для этого </w:t>
      </w:r>
      <w:proofErr w:type="spellStart"/>
      <w:r w:rsidRPr="00A259BD">
        <w:rPr>
          <w:rFonts w:ascii="Times New Roman" w:hAnsi="Times New Roman"/>
          <w:color w:val="000000" w:themeColor="text1"/>
          <w:sz w:val="16"/>
          <w:szCs w:val="16"/>
        </w:rPr>
        <w:t>самолста</w:t>
      </w:r>
      <w:proofErr w:type="spellEnd"/>
      <w:r w:rsidRPr="00A259BD">
        <w:rPr>
          <w:rFonts w:ascii="Times New Roman" w:hAnsi="Times New Roman"/>
          <w:color w:val="000000" w:themeColor="text1"/>
          <w:sz w:val="16"/>
          <w:szCs w:val="16"/>
        </w:rPr>
        <w:t xml:space="preserve"> желательно иметь </w:t>
      </w:r>
      <w:proofErr w:type="spellStart"/>
      <w:r w:rsidRPr="00A259BD">
        <w:rPr>
          <w:rFonts w:ascii="Times New Roman" w:hAnsi="Times New Roman"/>
          <w:color w:val="000000" w:themeColor="text1"/>
          <w:sz w:val="16"/>
          <w:szCs w:val="16"/>
        </w:rPr>
        <w:t>Hornet</w:t>
      </w:r>
      <w:proofErr w:type="spellEnd"/>
      <w:r w:rsidRPr="00A259BD">
        <w:rPr>
          <w:rFonts w:ascii="Times New Roman" w:hAnsi="Times New Roman"/>
          <w:color w:val="000000" w:themeColor="text1"/>
          <w:sz w:val="16"/>
          <w:szCs w:val="16"/>
        </w:rPr>
        <w:t xml:space="preserve"> фирмы Pratt &amp; Whitney.</w:t>
      </w:r>
    </w:p>
    <w:p w14:paraId="36A109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Самолет несет полезную нагрузку 970 кг., из которые 300 кг. почты. Размеры кабины 1600 х 1600 х 1300, т. о., самолет может принять на борт и 400 кг. почты за счет перегрузки. Так как, по заданию необходимо предусмотреть сиденья для двух пассажиров, </w:t>
      </w:r>
      <w:proofErr w:type="spellStart"/>
      <w:r w:rsidRPr="00A259BD">
        <w:rPr>
          <w:rFonts w:ascii="Times New Roman" w:hAnsi="Times New Roman"/>
          <w:color w:val="000000" w:themeColor="text1"/>
          <w:sz w:val="16"/>
          <w:szCs w:val="16"/>
        </w:rPr>
        <w:t>которье</w:t>
      </w:r>
      <w:proofErr w:type="spellEnd"/>
      <w:r w:rsidRPr="00A259BD">
        <w:rPr>
          <w:rFonts w:ascii="Times New Roman" w:hAnsi="Times New Roman"/>
          <w:color w:val="000000" w:themeColor="text1"/>
          <w:sz w:val="16"/>
          <w:szCs w:val="16"/>
        </w:rPr>
        <w:t xml:space="preserve"> будут перевозиться за счет почты, то для сохранения центровки имеются два багажных отделе </w:t>
      </w:r>
      <w:proofErr w:type="spellStart"/>
      <w:r w:rsidRPr="00A259BD">
        <w:rPr>
          <w:rFonts w:ascii="Times New Roman" w:hAnsi="Times New Roman"/>
          <w:color w:val="000000" w:themeColor="text1"/>
          <w:sz w:val="16"/>
          <w:szCs w:val="16"/>
        </w:rPr>
        <w:t>ния</w:t>
      </w:r>
      <w:proofErr w:type="spellEnd"/>
      <w:r w:rsidRPr="00A259BD">
        <w:rPr>
          <w:rFonts w:ascii="Times New Roman" w:hAnsi="Times New Roman"/>
          <w:color w:val="000000" w:themeColor="text1"/>
          <w:sz w:val="16"/>
          <w:szCs w:val="16"/>
        </w:rPr>
        <w:t xml:space="preserve"> впереди и сзади кабины, загрузку которых можно комбинировать в желаемых пределах.</w:t>
      </w:r>
    </w:p>
    <w:p w14:paraId="5AED3B7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Нормальный запас </w:t>
      </w:r>
      <w:proofErr w:type="spellStart"/>
      <w:r w:rsidRPr="00A259BD">
        <w:rPr>
          <w:rFonts w:ascii="Times New Roman" w:hAnsi="Times New Roman"/>
          <w:color w:val="000000" w:themeColor="text1"/>
          <w:sz w:val="16"/>
          <w:szCs w:val="16"/>
        </w:rPr>
        <w:t>горючзго</w:t>
      </w:r>
      <w:proofErr w:type="spellEnd"/>
      <w:r w:rsidRPr="00A259BD">
        <w:rPr>
          <w:rFonts w:ascii="Times New Roman" w:hAnsi="Times New Roman"/>
          <w:color w:val="000000" w:themeColor="text1"/>
          <w:sz w:val="16"/>
          <w:szCs w:val="16"/>
        </w:rPr>
        <w:t xml:space="preserve"> 500 кг. достаточен на 4 часа полета на полной мощности. Емкость баков однако поз</w:t>
      </w:r>
      <w:r w:rsidRPr="00A259BD">
        <w:rPr>
          <w:rFonts w:ascii="Times New Roman" w:hAnsi="Times New Roman"/>
          <w:color w:val="000000" w:themeColor="text1"/>
          <w:sz w:val="16"/>
          <w:szCs w:val="16"/>
        </w:rPr>
        <w:softHyphen/>
        <w:t>воляет брать 750 кг. горючего (2341,58).</w:t>
      </w:r>
    </w:p>
    <w:p w14:paraId="5A0F07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791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июля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60) и постановили:</w:t>
      </w:r>
    </w:p>
    <w:p w14:paraId="0AB6B4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238. 1. Представленный проект (ТОМ-1 Ришара) принять</w:t>
      </w:r>
    </w:p>
    <w:p w14:paraId="1E2DA4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Предложить ТО на основе постановления Техсовета окончательно его уточнить и представить на ознакомление в УВС</w:t>
      </w:r>
    </w:p>
    <w:p w14:paraId="580559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Констатировать, что макет окончательно утвержден УВВС</w:t>
      </w:r>
    </w:p>
    <w:p w14:paraId="603C90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Принимая во внимание, что ТОМ-1 представляет интерес как техническая и конструктивная опытная единица, приступить к постройке и немедленно начать подготовку к стат. испытаниям..."</w:t>
      </w:r>
    </w:p>
    <w:p w14:paraId="0E7169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июля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60)</w:t>
      </w:r>
    </w:p>
    <w:p w14:paraId="2FD7DA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ИЗ ПРОТОКОЛА № 60 ЗАСЕДАНИЯ ПРАВЛЕНИЯ АВИАТРЕСТА</w:t>
      </w:r>
    </w:p>
    <w:p w14:paraId="06DCFB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12.УП. 1929 года.</w:t>
      </w:r>
    </w:p>
    <w:p w14:paraId="669DE2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Слушали: Рассмотрение и утверждение проекта с-та ТОМ-1</w:t>
      </w:r>
    </w:p>
    <w:p w14:paraId="521804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w:t>
      </w:r>
    </w:p>
    <w:p w14:paraId="7E6BD1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Представленный проект принять.</w:t>
      </w:r>
    </w:p>
    <w:p w14:paraId="09510F6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Предложить ТО на осно</w:t>
      </w:r>
      <w:r w:rsidRPr="00A259BD">
        <w:rPr>
          <w:rFonts w:ascii="Times New Roman" w:hAnsi="Times New Roman"/>
          <w:color w:val="000000" w:themeColor="text1"/>
          <w:sz w:val="16"/>
          <w:szCs w:val="16"/>
        </w:rPr>
        <w:softHyphen/>
        <w:t>ве постановления Техсовета окончательно его уточнить и представить на оз</w:t>
      </w:r>
      <w:r w:rsidRPr="00A259BD">
        <w:rPr>
          <w:rFonts w:ascii="Times New Roman" w:hAnsi="Times New Roman"/>
          <w:color w:val="000000" w:themeColor="text1"/>
          <w:sz w:val="16"/>
          <w:szCs w:val="16"/>
        </w:rPr>
        <w:softHyphen/>
        <w:t>накомление в УВВС.</w:t>
      </w:r>
      <w:r w:rsidRPr="00A259BD">
        <w:rPr>
          <w:rFonts w:ascii="Times New Roman" w:hAnsi="Times New Roman"/>
          <w:color w:val="000000" w:themeColor="text1"/>
          <w:sz w:val="16"/>
          <w:szCs w:val="16"/>
        </w:rPr>
        <w:tab/>
      </w:r>
      <w:r w:rsidRPr="00A259BD">
        <w:rPr>
          <w:rFonts w:ascii="Times New Roman" w:hAnsi="Times New Roman"/>
          <w:color w:val="000000" w:themeColor="text1"/>
          <w:sz w:val="16"/>
          <w:szCs w:val="16"/>
        </w:rPr>
        <w:tab/>
        <w:t>ТО</w:t>
      </w:r>
    </w:p>
    <w:p w14:paraId="05C92F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Констатировать, что ма</w:t>
      </w:r>
      <w:r w:rsidRPr="00A259BD">
        <w:rPr>
          <w:rFonts w:ascii="Times New Roman" w:hAnsi="Times New Roman"/>
          <w:color w:val="000000" w:themeColor="text1"/>
          <w:sz w:val="16"/>
          <w:szCs w:val="16"/>
        </w:rPr>
        <w:softHyphen/>
        <w:t>кет самолета окончательно утвержден УВВ</w:t>
      </w:r>
      <w:r w:rsidRPr="00A259BD">
        <w:rPr>
          <w:rFonts w:ascii="Times New Roman" w:hAnsi="Times New Roman"/>
          <w:color w:val="000000" w:themeColor="text1"/>
          <w:sz w:val="16"/>
          <w:szCs w:val="16"/>
        </w:rPr>
        <w:tab/>
        <w:t>ТО</w:t>
      </w:r>
    </w:p>
    <w:p w14:paraId="122A3B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Принимая во внимание, что ТОМ 1 представляет ин</w:t>
      </w:r>
      <w:r w:rsidRPr="00A259BD">
        <w:rPr>
          <w:rFonts w:ascii="Times New Roman" w:hAnsi="Times New Roman"/>
          <w:color w:val="000000" w:themeColor="text1"/>
          <w:sz w:val="16"/>
          <w:szCs w:val="16"/>
        </w:rPr>
        <w:softHyphen/>
        <w:t>терес как техническая и конструктивная опытная единица, приступить к постройке и немедленно начать подготовку к статическим испыта</w:t>
      </w:r>
      <w:r w:rsidRPr="00A259BD">
        <w:rPr>
          <w:rFonts w:ascii="Times New Roman" w:hAnsi="Times New Roman"/>
          <w:color w:val="000000" w:themeColor="text1"/>
          <w:sz w:val="16"/>
          <w:szCs w:val="16"/>
        </w:rPr>
        <w:softHyphen/>
        <w:t>ниям</w:t>
      </w:r>
      <w:r w:rsidRPr="00A259BD">
        <w:rPr>
          <w:rFonts w:ascii="Times New Roman" w:hAnsi="Times New Roman"/>
          <w:color w:val="000000" w:themeColor="text1"/>
          <w:sz w:val="16"/>
          <w:szCs w:val="16"/>
        </w:rPr>
        <w:tab/>
        <w:t>2 недели.</w:t>
      </w:r>
    </w:p>
    <w:p w14:paraId="79266EC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При постройке произвести необходимые статические и пр. испытания в </w:t>
      </w:r>
      <w:proofErr w:type="spellStart"/>
      <w:r w:rsidRPr="00A259BD">
        <w:rPr>
          <w:rFonts w:ascii="Times New Roman" w:hAnsi="Times New Roman"/>
          <w:color w:val="000000" w:themeColor="text1"/>
          <w:sz w:val="16"/>
          <w:szCs w:val="16"/>
        </w:rPr>
        <w:t>об"еме</w:t>
      </w:r>
      <w:proofErr w:type="spellEnd"/>
      <w:r w:rsidRPr="00A259BD">
        <w:rPr>
          <w:rFonts w:ascii="Times New Roman" w:hAnsi="Times New Roman"/>
          <w:color w:val="000000" w:themeColor="text1"/>
          <w:sz w:val="16"/>
          <w:szCs w:val="16"/>
        </w:rPr>
        <w:t>, полностью обеспечивающем безопасность машины. Представить на утверждение Правления в 2-х недельный срок программу и смету на статические испытания</w:t>
      </w:r>
      <w:r w:rsidRPr="00A259BD">
        <w:rPr>
          <w:rFonts w:ascii="Times New Roman" w:hAnsi="Times New Roman"/>
          <w:color w:val="000000" w:themeColor="text1"/>
          <w:sz w:val="16"/>
          <w:szCs w:val="16"/>
        </w:rPr>
        <w:tab/>
        <w:t>ТО</w:t>
      </w:r>
    </w:p>
    <w:p w14:paraId="5273B0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Приступать при наличии чертежей</w:t>
      </w:r>
    </w:p>
    <w:p w14:paraId="3B40C5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Техотделу совместно с наличии ОПО 4 в недельный по представлении программы стат. испытаний срок установить в недельный срок установить детальный хронологический план работ по расчетам, проектированию, испытаниям и постройке машины.</w:t>
      </w:r>
    </w:p>
    <w:p w14:paraId="3EE026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Подлинный за надлежащими подписями:</w:t>
      </w:r>
    </w:p>
    <w:p w14:paraId="382DF7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верна: СЕКРЕТАРЪ ПРАВЛЕНИЯ: (Инихов) (2363,336).</w:t>
      </w:r>
    </w:p>
    <w:p w14:paraId="568D86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E75A366"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20A4B2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FF131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июля 1929 года Do-X была спущена на воду (3861).</w:t>
      </w:r>
    </w:p>
    <w:p w14:paraId="12FEB6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A12D2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июля 1929 г. состоялся первый полет гигантской летающей лодки Дорнье Do-X (6395).</w:t>
      </w:r>
    </w:p>
    <w:p w14:paraId="524D19F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E9DD70" w14:textId="77777777" w:rsidR="00FC4BF2" w:rsidRPr="00A259BD" w:rsidRDefault="00FC4B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июля в 1929 году поднялся в небо самый большой пассажирский самолёт 1920-х - 1930-х, 12-ти моторная гигантская летающая лодка </w:t>
      </w:r>
      <w:hyperlink r:id="rId80" w:tgtFrame="_blank" w:history="1">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Dornier</w:t>
        </w:r>
        <w:proofErr w:type="spellEnd"/>
        <w:r w:rsidRPr="00A259BD">
          <w:rPr>
            <w:rFonts w:ascii="Times New Roman" w:hAnsi="Times New Roman"/>
            <w:color w:val="000000" w:themeColor="text1"/>
            <w:sz w:val="16"/>
            <w:szCs w:val="16"/>
          </w:rPr>
          <w:t xml:space="preserve"> Do-X». </w:t>
        </w:r>
      </w:hyperlink>
      <w:r w:rsidRPr="00A259BD">
        <w:rPr>
          <w:rFonts w:ascii="Times New Roman" w:hAnsi="Times New Roman"/>
          <w:color w:val="000000" w:themeColor="text1"/>
          <w:sz w:val="16"/>
          <w:szCs w:val="16"/>
        </w:rPr>
        <w:t>Строили самолет, однако, не в Германии (из-за ограничений, наложенных Версальским договором), а на швейцарском берегу озера Констанц.. За штурвалом был тест-пилот компании «</w:t>
      </w:r>
      <w:proofErr w:type="spellStart"/>
      <w:r w:rsidRPr="00A259BD">
        <w:rPr>
          <w:rFonts w:ascii="Times New Roman" w:hAnsi="Times New Roman"/>
          <w:color w:val="000000" w:themeColor="text1"/>
          <w:sz w:val="16"/>
          <w:szCs w:val="16"/>
        </w:rPr>
        <w:t>Dornier</w:t>
      </w:r>
      <w:proofErr w:type="spellEnd"/>
      <w:r w:rsidRPr="00A259BD">
        <w:rPr>
          <w:rFonts w:ascii="Times New Roman" w:hAnsi="Times New Roman"/>
          <w:color w:val="000000" w:themeColor="text1"/>
          <w:sz w:val="16"/>
          <w:szCs w:val="16"/>
        </w:rPr>
        <w:t>» Рихард Вагнер (14950).</w:t>
      </w:r>
    </w:p>
    <w:p w14:paraId="10E1012F" w14:textId="77777777" w:rsidR="00FC4BF2" w:rsidRPr="00A259BD" w:rsidRDefault="00FC4BF2" w:rsidP="009236E3">
      <w:pPr>
        <w:spacing w:after="0" w:line="240" w:lineRule="auto"/>
        <w:jc w:val="both"/>
        <w:rPr>
          <w:rFonts w:ascii="Times New Roman" w:hAnsi="Times New Roman"/>
          <w:color w:val="000000" w:themeColor="text1"/>
          <w:sz w:val="16"/>
          <w:szCs w:val="16"/>
        </w:rPr>
      </w:pPr>
    </w:p>
    <w:p w14:paraId="57F9772B" w14:textId="77777777" w:rsidR="00BF7F75" w:rsidRPr="00A259BD" w:rsidRDefault="00BF7F7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июля 1929 года — первый полёт летающей лодки </w:t>
      </w:r>
      <w:proofErr w:type="spellStart"/>
      <w:r w:rsidRPr="00A259BD">
        <w:rPr>
          <w:rFonts w:ascii="Times New Roman" w:hAnsi="Times New Roman"/>
          <w:color w:val="000000" w:themeColor="text1"/>
          <w:sz w:val="16"/>
          <w:szCs w:val="16"/>
        </w:rPr>
        <w:t>Dornier</w:t>
      </w:r>
      <w:proofErr w:type="spellEnd"/>
      <w:r w:rsidRPr="00A259BD">
        <w:rPr>
          <w:rFonts w:ascii="Times New Roman" w:hAnsi="Times New Roman"/>
          <w:color w:val="000000" w:themeColor="text1"/>
          <w:sz w:val="16"/>
          <w:szCs w:val="16"/>
        </w:rPr>
        <w:t xml:space="preserve"> Do X. /Германия/</w:t>
      </w:r>
    </w:p>
    <w:p w14:paraId="185D8A5C" w14:textId="77777777" w:rsidR="00BF7F75" w:rsidRPr="00A259BD" w:rsidRDefault="00BF7F7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середине 1920-х годов оформилось мнение о том, что авиаперевозки станут рентабельными, если брать на борт самолёта как можно больше пассажиров. Не забывая при этом об уровне комфорта и безопасности. Поэтому в 1925 году </w:t>
      </w:r>
      <w:proofErr w:type="spellStart"/>
      <w:r w:rsidRPr="00A259BD">
        <w:rPr>
          <w:rFonts w:ascii="Times New Roman" w:hAnsi="Times New Roman"/>
          <w:color w:val="000000" w:themeColor="text1"/>
          <w:sz w:val="16"/>
          <w:szCs w:val="16"/>
        </w:rPr>
        <w:t>Dornier</w:t>
      </w:r>
      <w:proofErr w:type="spellEnd"/>
      <w:r w:rsidRPr="00A259BD">
        <w:rPr>
          <w:rFonts w:ascii="Times New Roman" w:hAnsi="Times New Roman"/>
          <w:color w:val="000000" w:themeColor="text1"/>
          <w:sz w:val="16"/>
          <w:szCs w:val="16"/>
        </w:rPr>
        <w:t xml:space="preserve"> A.G. начала разработку гигантской летающей лодки Do X для трансокеанских полётов.</w:t>
      </w:r>
    </w:p>
    <w:p w14:paraId="5791A7D0" w14:textId="77777777" w:rsidR="00BF7F75" w:rsidRPr="00A259BD" w:rsidRDefault="00BF7F7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Do X представляла собой цельнометаллический моноплан. Консоли крыла дополнительно поддерживались расчалками. Силовая установка состояла из 12 двигателей Siemens </w:t>
      </w:r>
      <w:proofErr w:type="spellStart"/>
      <w:r w:rsidRPr="00A259BD">
        <w:rPr>
          <w:rFonts w:ascii="Times New Roman" w:hAnsi="Times New Roman"/>
          <w:color w:val="000000" w:themeColor="text1"/>
          <w:sz w:val="16"/>
          <w:szCs w:val="16"/>
        </w:rPr>
        <w:t>Jupiter</w:t>
      </w:r>
      <w:proofErr w:type="spellEnd"/>
      <w:r w:rsidRPr="00A259BD">
        <w:rPr>
          <w:rFonts w:ascii="Times New Roman" w:hAnsi="Times New Roman"/>
          <w:color w:val="000000" w:themeColor="text1"/>
          <w:sz w:val="16"/>
          <w:szCs w:val="16"/>
        </w:rPr>
        <w:t xml:space="preserve"> (позднее — </w:t>
      </w:r>
      <w:proofErr w:type="spellStart"/>
      <w:r w:rsidRPr="00A259BD">
        <w:rPr>
          <w:rFonts w:ascii="Times New Roman" w:hAnsi="Times New Roman"/>
          <w:color w:val="000000" w:themeColor="text1"/>
          <w:sz w:val="16"/>
          <w:szCs w:val="16"/>
        </w:rPr>
        <w:t>Curtiss</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Conquerors</w:t>
      </w:r>
      <w:proofErr w:type="spellEnd"/>
      <w:r w:rsidRPr="00A259BD">
        <w:rPr>
          <w:rFonts w:ascii="Times New Roman" w:hAnsi="Times New Roman"/>
          <w:color w:val="000000" w:themeColor="text1"/>
          <w:sz w:val="16"/>
          <w:szCs w:val="16"/>
        </w:rPr>
        <w:t xml:space="preserve">), установленных попарно в 6 </w:t>
      </w:r>
      <w:proofErr w:type="spellStart"/>
      <w:r w:rsidRPr="00A259BD">
        <w:rPr>
          <w:rFonts w:ascii="Times New Roman" w:hAnsi="Times New Roman"/>
          <w:color w:val="000000" w:themeColor="text1"/>
          <w:sz w:val="16"/>
          <w:szCs w:val="16"/>
        </w:rPr>
        <w:t>мотогондолах</w:t>
      </w:r>
      <w:proofErr w:type="spellEnd"/>
      <w:r w:rsidRPr="00A259BD">
        <w:rPr>
          <w:rFonts w:ascii="Times New Roman" w:hAnsi="Times New Roman"/>
          <w:color w:val="000000" w:themeColor="text1"/>
          <w:sz w:val="16"/>
          <w:szCs w:val="16"/>
        </w:rPr>
        <w:t xml:space="preserve"> над крылом. Максимальная скорость — до 242 км/ч, дальность полёта — 1700 км. На борту Do X размещалось до 166 пассажиров.</w:t>
      </w:r>
    </w:p>
    <w:p w14:paraId="09DFBFD7" w14:textId="77777777" w:rsidR="00BF7F75" w:rsidRPr="00A259BD" w:rsidRDefault="00BF7F7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сожалению, лётные характеристики самолёта подкачали. Было выпущено 3 прототипа </w:t>
      </w:r>
      <w:proofErr w:type="spellStart"/>
      <w:r w:rsidRPr="00A259BD">
        <w:rPr>
          <w:rFonts w:ascii="Times New Roman" w:hAnsi="Times New Roman"/>
          <w:color w:val="000000" w:themeColor="text1"/>
          <w:sz w:val="16"/>
          <w:szCs w:val="16"/>
        </w:rPr>
        <w:t>Dornier</w:t>
      </w:r>
      <w:proofErr w:type="spellEnd"/>
      <w:r w:rsidRPr="00A259BD">
        <w:rPr>
          <w:rFonts w:ascii="Times New Roman" w:hAnsi="Times New Roman"/>
          <w:color w:val="000000" w:themeColor="text1"/>
          <w:sz w:val="16"/>
          <w:szCs w:val="16"/>
        </w:rPr>
        <w:t xml:space="preserve"> Do X, но в серийное производство лодку не запустили. На них выполнялись лишь демонстрационные полёты — над Европой, в Африку, в Северную и Южную Америку (22300).</w:t>
      </w:r>
    </w:p>
    <w:p w14:paraId="67CF5672" w14:textId="77777777" w:rsidR="00BF7F75" w:rsidRPr="00A259BD" w:rsidRDefault="00BF7F75" w:rsidP="009236E3">
      <w:pPr>
        <w:spacing w:after="0" w:line="240" w:lineRule="auto"/>
        <w:jc w:val="both"/>
        <w:rPr>
          <w:rFonts w:ascii="Times New Roman" w:hAnsi="Times New Roman"/>
          <w:color w:val="000000" w:themeColor="text1"/>
          <w:sz w:val="16"/>
          <w:szCs w:val="16"/>
        </w:rPr>
      </w:pPr>
    </w:p>
    <w:p w14:paraId="22F7265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E86AF4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FED7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июля 1929 в НИИ ВВС закончились испытания первого серийного самолета И-3 БМВ VI № 3820, которые проходили с 13 июня 1929</w:t>
      </w:r>
    </w:p>
    <w:p w14:paraId="3EAB0A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Задание НТК от 10 июня 1929 года № 2196/с</w:t>
      </w:r>
    </w:p>
    <w:p w14:paraId="42C38C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Начало испытания 13 июня 1929 года</w:t>
      </w:r>
    </w:p>
    <w:p w14:paraId="62FE0E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 испытания 8 августа 1929 года</w:t>
      </w:r>
    </w:p>
    <w:p w14:paraId="4790AF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Самолет И-3 № 3820 серийной постройки завода № 1 им. </w:t>
      </w:r>
      <w:proofErr w:type="spellStart"/>
      <w:r w:rsidRPr="00A259BD">
        <w:rPr>
          <w:rFonts w:ascii="Times New Roman" w:hAnsi="Times New Roman"/>
          <w:color w:val="000000" w:themeColor="text1"/>
          <w:sz w:val="16"/>
          <w:szCs w:val="16"/>
        </w:rPr>
        <w:t>Авиахима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идентиченс</w:t>
      </w:r>
      <w:proofErr w:type="spellEnd"/>
      <w:r w:rsidRPr="00A259BD">
        <w:rPr>
          <w:rFonts w:ascii="Times New Roman" w:hAnsi="Times New Roman"/>
          <w:color w:val="000000" w:themeColor="text1"/>
          <w:sz w:val="16"/>
          <w:szCs w:val="16"/>
        </w:rPr>
        <w:t xml:space="preserve"> ранее испытанными самолетами в НИИ.</w:t>
      </w:r>
    </w:p>
    <w:p w14:paraId="14A80F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0E5E95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основании проведенных испытаний НИИ считает:</w:t>
      </w:r>
    </w:p>
    <w:p w14:paraId="5DA94523"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Учитывая наличие изготовленной на заводе серии самолетов И3-БМВVI, а также трудность и значительную задержку по времени выпуска серии, в случае требования устранения всех недочетов, построенная серия может быть принята.</w:t>
      </w:r>
    </w:p>
    <w:p w14:paraId="41CE2C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НИИ считает, что самолет И3-БМВVI не может быть значительно улучшен в дальнейших сериях, что вызывает сомнение в целесообразности широкого введения этого типа на снабжение строевых частей ВВС на далекий срок (6994).</w:t>
      </w:r>
    </w:p>
    <w:p w14:paraId="1D8D19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90D25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июля 1929 в Буффало л </w:t>
      </w:r>
      <w:proofErr w:type="spellStart"/>
      <w:r w:rsidRPr="00A259BD">
        <w:rPr>
          <w:rFonts w:ascii="Times New Roman" w:hAnsi="Times New Roman"/>
          <w:color w:val="000000" w:themeColor="text1"/>
          <w:sz w:val="16"/>
          <w:szCs w:val="16"/>
        </w:rPr>
        <w:t>Л.Г.Минов</w:t>
      </w:r>
      <w:proofErr w:type="spellEnd"/>
      <w:r w:rsidRPr="00A259BD">
        <w:rPr>
          <w:rFonts w:ascii="Times New Roman" w:hAnsi="Times New Roman"/>
          <w:color w:val="000000" w:themeColor="text1"/>
          <w:sz w:val="16"/>
          <w:szCs w:val="16"/>
        </w:rPr>
        <w:t xml:space="preserve"> совершил первый прыжок на парашюте Ирвин. Телеграфировал "Первый прыжок - удачно" (1101,39).</w:t>
      </w:r>
    </w:p>
    <w:p w14:paraId="1855334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9D2D05" w14:textId="06DA6813" w:rsidR="00F547C5" w:rsidRPr="00A259BD" w:rsidRDefault="00F547C5" w:rsidP="009236E3">
      <w:pPr>
        <w:autoSpaceDE w:val="0"/>
        <w:autoSpaceDN w:val="0"/>
        <w:adjustRightInd w:val="0"/>
        <w:spacing w:after="0" w:line="240" w:lineRule="auto"/>
        <w:jc w:val="both"/>
        <w:rPr>
          <w:rFonts w:ascii="Times New Roman" w:hAnsi="Times New Roman"/>
          <w:i/>
          <w:color w:val="000000" w:themeColor="text1"/>
          <w:sz w:val="16"/>
          <w:szCs w:val="16"/>
        </w:rPr>
      </w:pPr>
      <w:r w:rsidRPr="00A259BD">
        <w:rPr>
          <w:rFonts w:ascii="Times New Roman" w:hAnsi="Times New Roman"/>
          <w:i/>
          <w:color w:val="000000" w:themeColor="text1"/>
          <w:sz w:val="16"/>
          <w:szCs w:val="16"/>
        </w:rPr>
        <w:t>Другие оборонные отрасли:</w:t>
      </w:r>
    </w:p>
    <w:p w14:paraId="03D4E6D2" w14:textId="77777777" w:rsidR="00F547C5" w:rsidRPr="00A259BD" w:rsidRDefault="00F547C5" w:rsidP="009236E3">
      <w:pPr>
        <w:autoSpaceDE w:val="0"/>
        <w:autoSpaceDN w:val="0"/>
        <w:adjustRightInd w:val="0"/>
        <w:spacing w:after="0" w:line="240" w:lineRule="auto"/>
        <w:jc w:val="both"/>
        <w:rPr>
          <w:rFonts w:ascii="Times New Roman" w:hAnsi="Times New Roman"/>
          <w:i/>
          <w:color w:val="000000" w:themeColor="text1"/>
          <w:sz w:val="16"/>
          <w:szCs w:val="16"/>
        </w:rPr>
      </w:pPr>
    </w:p>
    <w:p w14:paraId="19A7BD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13 и 19 июля 1929. Из протокола заседания Политбюро N 89, особая папка, 1929 г.</w:t>
      </w:r>
    </w:p>
    <w:p w14:paraId="530FC0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военной промышленности </w:t>
      </w:r>
    </w:p>
    <w:p w14:paraId="1E47B8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Современная война при ее громадном масштабе, крайней напряженности, глубоко-техническом характере настоятельно требует всемерного развития военно-технических средств борьбы, применения этих средств в массовых количествах, получения их от промышленности в нужные для обороны сроки и постоянного их совершенствования. Эти условия ведения войны ставят перед промышленностью уже в мирное время задачу подготовиться к тому, чтобы с объявлением войны быстро развернуть военные производства для максимального удовлетворения потребностей обороны. </w:t>
      </w:r>
    </w:p>
    <w:p w14:paraId="408B15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Однако военная промышленность до настоящего времени не подготовлена к выполнению возложенных на нее задач... Существеннейшими для обороны Союза являются следующие крупнейшие недостатки в работе военной промышленности... </w:t>
      </w:r>
    </w:p>
    <w:p w14:paraId="32C6AF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наличие диспропорций и узких мест по ряду отраслей военных производств и заводов, как, например, пороховое производство не обеспечено кислотами, а производство порохов в, свою очередь, не обеспечивает количество заданных выстрелов; производство орудий, пулеметов и винтовок не обеспечено соответствующим количеством специальных сталей, большинство заводов не обеспечено электроэнергией, а военно-химические заводы — и паросиловыми установками. Это лишает возможности в настоящее время полностью использовать производственные возможности военных заводов для обороны; </w:t>
      </w:r>
    </w:p>
    <w:p w14:paraId="0B40A2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выведение до 1927 г. из строя, а в отдельных случаях и прямое разрушение заводов оборонного значения. Примеры: разрушен завод Барановского, разоружены </w:t>
      </w:r>
      <w:proofErr w:type="spellStart"/>
      <w:r w:rsidRPr="00A259BD">
        <w:rPr>
          <w:rFonts w:ascii="Times New Roman" w:hAnsi="Times New Roman"/>
          <w:color w:val="000000" w:themeColor="text1"/>
          <w:sz w:val="16"/>
          <w:szCs w:val="16"/>
        </w:rPr>
        <w:t>Бачмановский</w:t>
      </w:r>
      <w:proofErr w:type="spellEnd"/>
      <w:r w:rsidRPr="00A259BD">
        <w:rPr>
          <w:rFonts w:ascii="Times New Roman" w:hAnsi="Times New Roman"/>
          <w:color w:val="000000" w:themeColor="text1"/>
          <w:sz w:val="16"/>
          <w:szCs w:val="16"/>
        </w:rPr>
        <w:t xml:space="preserve"> арсенал и Бежецкий завод по ремонту винтовок; разоружались и выводились из строя </w:t>
      </w:r>
      <w:proofErr w:type="spellStart"/>
      <w:r w:rsidRPr="00A259BD">
        <w:rPr>
          <w:rFonts w:ascii="Times New Roman" w:hAnsi="Times New Roman"/>
          <w:color w:val="000000" w:themeColor="text1"/>
          <w:sz w:val="16"/>
          <w:szCs w:val="16"/>
        </w:rPr>
        <w:t>Охтенский</w:t>
      </w:r>
      <w:proofErr w:type="spellEnd"/>
      <w:r w:rsidRPr="00A259BD">
        <w:rPr>
          <w:rFonts w:ascii="Times New Roman" w:hAnsi="Times New Roman"/>
          <w:color w:val="000000" w:themeColor="text1"/>
          <w:sz w:val="16"/>
          <w:szCs w:val="16"/>
        </w:rPr>
        <w:t xml:space="preserve">, Шлиссельбургский, </w:t>
      </w:r>
      <w:proofErr w:type="spellStart"/>
      <w:r w:rsidRPr="00A259BD">
        <w:rPr>
          <w:rFonts w:ascii="Times New Roman" w:hAnsi="Times New Roman"/>
          <w:color w:val="000000" w:themeColor="text1"/>
          <w:sz w:val="16"/>
          <w:szCs w:val="16"/>
        </w:rPr>
        <w:t>Шостенский</w:t>
      </w:r>
      <w:proofErr w:type="spellEnd"/>
      <w:r w:rsidRPr="00A259BD">
        <w:rPr>
          <w:rFonts w:ascii="Times New Roman" w:hAnsi="Times New Roman"/>
          <w:color w:val="000000" w:themeColor="text1"/>
          <w:sz w:val="16"/>
          <w:szCs w:val="16"/>
        </w:rPr>
        <w:t xml:space="preserve"> и Тамбовский пороховые заводы; </w:t>
      </w:r>
    </w:p>
    <w:p w14:paraId="499D33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д) запутывание в отдельных случаях, главным образом по Орудийно-Арсенальному Тресту, технологических процессов производства по весьма важным военным изделиям (артиллерия, танки). Примеры: в течение двух лет и до настоящего времени не разработан технологический процесс по производству танков на заводах Мотовилихинском и "Большевик"; по производству зенитных орудий технологический процесс по нарезке вместо нормальных 8 часов установлен в 16 часов, и само орудие в процессе его производства несколько раз гуляет взад-вперед по заводу и т. д.; </w:t>
      </w:r>
    </w:p>
    <w:p w14:paraId="2EC74C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 ...В отношении заводского ремонта винтовок и пулеметов положение таково: Бежецкий ремонтный завод выведен из строя; взамен Бежецкого никакому другому заводу задания на ремонт не дано. Если же ремонт винтовок возложить на Тульский и Ижевский </w:t>
      </w:r>
      <w:proofErr w:type="spellStart"/>
      <w:r w:rsidRPr="00A259BD">
        <w:rPr>
          <w:rFonts w:ascii="Times New Roman" w:hAnsi="Times New Roman"/>
          <w:color w:val="000000" w:themeColor="text1"/>
          <w:sz w:val="16"/>
          <w:szCs w:val="16"/>
        </w:rPr>
        <w:t>руж</w:t>
      </w:r>
      <w:proofErr w:type="spellEnd"/>
      <w:r w:rsidRPr="00A259BD">
        <w:rPr>
          <w:rFonts w:ascii="Times New Roman" w:hAnsi="Times New Roman"/>
          <w:color w:val="000000" w:themeColor="text1"/>
          <w:sz w:val="16"/>
          <w:szCs w:val="16"/>
        </w:rPr>
        <w:t xml:space="preserve">. заводы, то это сократит процентов на 30 выпуск ими новых винтовок и пулеметов... </w:t>
      </w:r>
    </w:p>
    <w:p w14:paraId="2EBC5D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 громадный парк запасного станочного оборудования не использован и частично приведен в негодность; одновременно с этим выписывались по импорту ненужные станки с затратой на это крупных средств. Примеры: до последнего времени находились без определенного назначения станки на заводах — Мотовилихинском — свыше тысячи; Путиловском — около тысячи; Ленинградском трубочном — 1800 станков и т. д.; а всего на заводах военной промышленности находилось без назначения 8-10 тысяч станков... </w:t>
      </w:r>
    </w:p>
    <w:p w14:paraId="0B5F5A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 недопустимо медленное изготовление новых опытных образцов вооружения и длительные (3-4 года) сроки постановки их изготовления в массовом производстве; </w:t>
      </w:r>
    </w:p>
    <w:p w14:paraId="642A2D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сохранение по всем заводам до настоящего времени устаревших технологических процессов и упорное нежелание аппаратов военной промышленности во всех ее звеньях к нововведениям и совершенствованию этих процессов... (11652).</w:t>
      </w:r>
    </w:p>
    <w:p w14:paraId="412083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731C88"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61A4EA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A48D7FB" w14:textId="77777777" w:rsidR="00FC4BF2" w:rsidRPr="00A259BD" w:rsidRDefault="00FC4B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июля в 1929 году пилоты </w:t>
      </w:r>
      <w:proofErr w:type="spellStart"/>
      <w:r w:rsidRPr="00A259BD">
        <w:rPr>
          <w:rFonts w:ascii="Times New Roman" w:hAnsi="Times New Roman"/>
          <w:color w:val="000000" w:themeColor="text1"/>
          <w:sz w:val="16"/>
          <w:szCs w:val="16"/>
        </w:rPr>
        <w:t>Д.Косте</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М.Беллонте</w:t>
      </w:r>
      <w:proofErr w:type="spellEnd"/>
      <w:r w:rsidRPr="00A259BD">
        <w:rPr>
          <w:rFonts w:ascii="Times New Roman" w:hAnsi="Times New Roman"/>
          <w:color w:val="000000" w:themeColor="text1"/>
          <w:sz w:val="16"/>
          <w:szCs w:val="16"/>
        </w:rPr>
        <w:t xml:space="preserve"> попытались на французском бомбардировщике-разведчике «Br.19TR» бортовой знак «?» совершить перелет через Северную Атлантику, но из-за неполадок двигателя им пришлось вернуться (14951).</w:t>
      </w:r>
    </w:p>
    <w:p w14:paraId="47927433" w14:textId="77777777" w:rsidR="00FC4BF2" w:rsidRPr="00A259BD" w:rsidRDefault="00FC4BF2" w:rsidP="009236E3">
      <w:pPr>
        <w:spacing w:after="0" w:line="240" w:lineRule="auto"/>
        <w:jc w:val="both"/>
        <w:rPr>
          <w:rFonts w:ascii="Times New Roman" w:hAnsi="Times New Roman"/>
          <w:color w:val="000000" w:themeColor="text1"/>
          <w:sz w:val="16"/>
          <w:szCs w:val="16"/>
        </w:rPr>
      </w:pPr>
    </w:p>
    <w:p w14:paraId="5880B552" w14:textId="77777777" w:rsidR="00FC4BF2" w:rsidRPr="00A259BD" w:rsidRDefault="00FC4B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июля в 1929 году с аэродрома Ле Бурже повторно стартовал французский вспомогательный самолет </w:t>
      </w:r>
      <w:hyperlink r:id="rId81" w:tgtFrame="_blank" w:history="1">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Amiot</w:t>
        </w:r>
        <w:proofErr w:type="spellEnd"/>
        <w:r w:rsidRPr="00A259BD">
          <w:rPr>
            <w:rFonts w:ascii="Times New Roman" w:hAnsi="Times New Roman"/>
            <w:color w:val="000000" w:themeColor="text1"/>
            <w:sz w:val="16"/>
            <w:szCs w:val="16"/>
          </w:rPr>
          <w:t xml:space="preserve"> 123» </w:t>
        </w:r>
      </w:hyperlink>
      <w:r w:rsidRPr="00A259BD">
        <w:rPr>
          <w:rFonts w:ascii="Times New Roman" w:hAnsi="Times New Roman"/>
          <w:color w:val="000000" w:themeColor="text1"/>
          <w:sz w:val="16"/>
          <w:szCs w:val="16"/>
        </w:rPr>
        <w:t xml:space="preserve">«Маршал Пилсудский» («Белый орел») «SP-APO». Однако после 13 часов полета у него остановился двигатель. Пилот направил самолет на Азорские острова. Посадка произошла после 27 ч 15 мин полета и пролетев 2700 км. При посадке самолет скапотировал и врезался в каменную ограду. Майор </w:t>
      </w:r>
      <w:proofErr w:type="spellStart"/>
      <w:r w:rsidRPr="00A259BD">
        <w:rPr>
          <w:rFonts w:ascii="Times New Roman" w:hAnsi="Times New Roman"/>
          <w:color w:val="000000" w:themeColor="text1"/>
          <w:sz w:val="16"/>
          <w:szCs w:val="16"/>
        </w:rPr>
        <w:t>Кубале</w:t>
      </w:r>
      <w:proofErr w:type="spellEnd"/>
      <w:r w:rsidRPr="00A259BD">
        <w:rPr>
          <w:rFonts w:ascii="Times New Roman" w:hAnsi="Times New Roman"/>
          <w:color w:val="000000" w:themeColor="text1"/>
          <w:sz w:val="16"/>
          <w:szCs w:val="16"/>
        </w:rPr>
        <w:t xml:space="preserve"> получил ранения, а </w:t>
      </w:r>
      <w:proofErr w:type="spellStart"/>
      <w:r w:rsidRPr="00A259BD">
        <w:rPr>
          <w:rFonts w:ascii="Times New Roman" w:hAnsi="Times New Roman"/>
          <w:color w:val="000000" w:themeColor="text1"/>
          <w:sz w:val="16"/>
          <w:szCs w:val="16"/>
        </w:rPr>
        <w:t>Людвик</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Идзиковский</w:t>
      </w:r>
      <w:proofErr w:type="spellEnd"/>
      <w:r w:rsidRPr="00A259BD">
        <w:rPr>
          <w:rFonts w:ascii="Times New Roman" w:hAnsi="Times New Roman"/>
          <w:color w:val="000000" w:themeColor="text1"/>
          <w:sz w:val="16"/>
          <w:szCs w:val="16"/>
        </w:rPr>
        <w:t xml:space="preserve"> погиб на месте (14951).</w:t>
      </w:r>
    </w:p>
    <w:p w14:paraId="5CB90119" w14:textId="77777777" w:rsidR="00FC4BF2" w:rsidRPr="00A259BD" w:rsidRDefault="00FC4BF2" w:rsidP="009236E3">
      <w:pPr>
        <w:spacing w:after="0" w:line="240" w:lineRule="auto"/>
        <w:jc w:val="both"/>
        <w:rPr>
          <w:rFonts w:ascii="Times New Roman" w:hAnsi="Times New Roman"/>
          <w:color w:val="000000" w:themeColor="text1"/>
          <w:sz w:val="16"/>
          <w:szCs w:val="16"/>
        </w:rPr>
      </w:pPr>
    </w:p>
    <w:p w14:paraId="03D74E63" w14:textId="77777777" w:rsidR="00B91649" w:rsidRPr="00A259BD" w:rsidRDefault="00B916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июля 1929 французские авиаторы </w:t>
      </w:r>
      <w:proofErr w:type="spellStart"/>
      <w:r w:rsidRPr="00A259BD">
        <w:rPr>
          <w:rFonts w:ascii="Times New Roman" w:hAnsi="Times New Roman"/>
          <w:color w:val="000000" w:themeColor="text1"/>
          <w:sz w:val="16"/>
          <w:szCs w:val="16"/>
        </w:rPr>
        <w:t>Дьедонне</w:t>
      </w:r>
      <w:proofErr w:type="spellEnd"/>
      <w:r w:rsidRPr="00A259BD">
        <w:rPr>
          <w:rFonts w:ascii="Times New Roman" w:hAnsi="Times New Roman"/>
          <w:color w:val="000000" w:themeColor="text1"/>
          <w:sz w:val="16"/>
          <w:szCs w:val="16"/>
        </w:rPr>
        <w:t xml:space="preserve"> Кост и Морис </w:t>
      </w:r>
      <w:proofErr w:type="spellStart"/>
      <w:r w:rsidRPr="00A259BD">
        <w:rPr>
          <w:rFonts w:ascii="Times New Roman" w:hAnsi="Times New Roman"/>
          <w:color w:val="000000" w:themeColor="text1"/>
          <w:sz w:val="16"/>
          <w:szCs w:val="16"/>
        </w:rPr>
        <w:t>Беллонте</w:t>
      </w:r>
      <w:proofErr w:type="spellEnd"/>
      <w:r w:rsidRPr="00A259BD">
        <w:rPr>
          <w:rFonts w:ascii="Times New Roman" w:hAnsi="Times New Roman"/>
          <w:color w:val="000000" w:themeColor="text1"/>
          <w:sz w:val="16"/>
          <w:szCs w:val="16"/>
        </w:rPr>
        <w:t xml:space="preserve"> взлетают из </w:t>
      </w:r>
      <w:proofErr w:type="spellStart"/>
      <w:r w:rsidRPr="00A259BD">
        <w:rPr>
          <w:rFonts w:ascii="Times New Roman" w:hAnsi="Times New Roman"/>
          <w:color w:val="000000" w:themeColor="text1"/>
          <w:sz w:val="16"/>
          <w:szCs w:val="16"/>
        </w:rPr>
        <w:t>Вильакубле</w:t>
      </w:r>
      <w:proofErr w:type="spellEnd"/>
      <w:r w:rsidRPr="00A259BD">
        <w:rPr>
          <w:rFonts w:ascii="Times New Roman" w:hAnsi="Times New Roman"/>
          <w:color w:val="000000" w:themeColor="text1"/>
          <w:sz w:val="16"/>
          <w:szCs w:val="16"/>
        </w:rPr>
        <w:t>, Франция, в попытке перелететь через Северный Атлантический океан в Нью-Йорк, штат Нью-Йорк. Плохая погода заставит их повернуть назад через 17 часов (20806).</w:t>
      </w:r>
    </w:p>
    <w:p w14:paraId="75E6E941" w14:textId="77777777" w:rsidR="00B91649" w:rsidRPr="00A259BD" w:rsidRDefault="00B91649" w:rsidP="009236E3">
      <w:pPr>
        <w:spacing w:after="0" w:line="240" w:lineRule="auto"/>
        <w:jc w:val="both"/>
        <w:rPr>
          <w:rFonts w:ascii="Times New Roman" w:hAnsi="Times New Roman"/>
          <w:color w:val="000000" w:themeColor="text1"/>
          <w:sz w:val="16"/>
          <w:szCs w:val="16"/>
        </w:rPr>
      </w:pPr>
    </w:p>
    <w:p w14:paraId="2872CB3E" w14:textId="77777777" w:rsidR="00B91649" w:rsidRPr="00A259BD" w:rsidRDefault="00B916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июля 1929 польский летчик </w:t>
      </w:r>
      <w:proofErr w:type="spellStart"/>
      <w:r w:rsidRPr="00A259BD">
        <w:rPr>
          <w:rFonts w:ascii="Times New Roman" w:hAnsi="Times New Roman"/>
          <w:color w:val="000000" w:themeColor="text1"/>
          <w:sz w:val="16"/>
          <w:szCs w:val="16"/>
        </w:rPr>
        <w:t>Людвик</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Идзиковски</w:t>
      </w:r>
      <w:proofErr w:type="spellEnd"/>
      <w:r w:rsidRPr="00A259BD">
        <w:rPr>
          <w:rFonts w:ascii="Times New Roman" w:hAnsi="Times New Roman"/>
          <w:color w:val="000000" w:themeColor="text1"/>
          <w:sz w:val="16"/>
          <w:szCs w:val="16"/>
        </w:rPr>
        <w:t xml:space="preserve"> терпит крушение на Азорских островах и погибает при попытке вылететь на запад через Атлантический океан (20806).</w:t>
      </w:r>
    </w:p>
    <w:p w14:paraId="56EBD02E" w14:textId="77777777" w:rsidR="00B91649" w:rsidRPr="00A259BD" w:rsidRDefault="00B91649" w:rsidP="009236E3">
      <w:pPr>
        <w:spacing w:after="0" w:line="240" w:lineRule="auto"/>
        <w:jc w:val="both"/>
        <w:rPr>
          <w:rFonts w:ascii="Times New Roman" w:hAnsi="Times New Roman"/>
          <w:color w:val="000000" w:themeColor="text1"/>
          <w:sz w:val="16"/>
          <w:szCs w:val="16"/>
        </w:rPr>
      </w:pPr>
    </w:p>
    <w:p w14:paraId="406C15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июля 1929 в ангаре братьев Мюллеров состоялось испытание двигателя ЖРД </w:t>
      </w:r>
      <w:proofErr w:type="spellStart"/>
      <w:r w:rsidRPr="00A259BD">
        <w:rPr>
          <w:rFonts w:ascii="Times New Roman" w:hAnsi="Times New Roman"/>
          <w:color w:val="000000" w:themeColor="text1"/>
          <w:sz w:val="16"/>
          <w:szCs w:val="16"/>
        </w:rPr>
        <w:t>Ф.Зандера</w:t>
      </w:r>
      <w:proofErr w:type="spellEnd"/>
      <w:r w:rsidRPr="00A259BD">
        <w:rPr>
          <w:rFonts w:ascii="Times New Roman" w:hAnsi="Times New Roman"/>
          <w:color w:val="000000" w:themeColor="text1"/>
          <w:sz w:val="16"/>
          <w:szCs w:val="16"/>
        </w:rPr>
        <w:t xml:space="preserve">, установленного в фюзеляже самолета Мюллеров, на котором фон </w:t>
      </w:r>
      <w:proofErr w:type="spellStart"/>
      <w:r w:rsidRPr="00A259BD">
        <w:rPr>
          <w:rFonts w:ascii="Times New Roman" w:hAnsi="Times New Roman"/>
          <w:color w:val="000000" w:themeColor="text1"/>
          <w:sz w:val="16"/>
          <w:szCs w:val="16"/>
        </w:rPr>
        <w:t>Оппель</w:t>
      </w:r>
      <w:proofErr w:type="spellEnd"/>
      <w:r w:rsidRPr="00A259BD">
        <w:rPr>
          <w:rFonts w:ascii="Times New Roman" w:hAnsi="Times New Roman"/>
          <w:color w:val="000000" w:themeColor="text1"/>
          <w:sz w:val="16"/>
          <w:szCs w:val="16"/>
        </w:rPr>
        <w:t xml:space="preserve"> хотел перелететь через Ла-Манш в 1930 (3914,33).</w:t>
      </w:r>
    </w:p>
    <w:p w14:paraId="0D6F1A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6187C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AA36D5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AA72A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июля 1929 совершили пробный полет на первом серийном ТБ-1 № 603 (то есть третья серийная), предназначающемся для перелета в США, которую вывезли на аэродром 22 июня 1929. Моторы перегревались. Дело в том, что полетный вес у рекордной машины был существенно больше, чем у опытного образца. В ЦАГИ срочно спроектировали и изготовили радиаторы увеличенной площади. Через пять дней их уже смонтировали на "Стране Советов".</w:t>
      </w:r>
    </w:p>
    <w:p w14:paraId="3A1946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Экипаж состоял из командира С.А. Шестакова (тогда личного пилота начальника УВВС), второго пилота Ф.Е. Болотова, штурмана Б.В. Стерлигова и бортмеханика Д.В. </w:t>
      </w:r>
      <w:proofErr w:type="spellStart"/>
      <w:r w:rsidRPr="00A259BD">
        <w:rPr>
          <w:rFonts w:ascii="Times New Roman" w:hAnsi="Times New Roman"/>
          <w:color w:val="000000" w:themeColor="text1"/>
          <w:sz w:val="16"/>
          <w:szCs w:val="16"/>
        </w:rPr>
        <w:t>Фуфаева</w:t>
      </w:r>
      <w:proofErr w:type="spellEnd"/>
      <w:r w:rsidRPr="00A259BD">
        <w:rPr>
          <w:rFonts w:ascii="Times New Roman" w:hAnsi="Times New Roman"/>
          <w:color w:val="000000" w:themeColor="text1"/>
          <w:sz w:val="16"/>
          <w:szCs w:val="16"/>
        </w:rPr>
        <w:t>. От ЦАГИ подготовкой перелета занимался В.М. Петляков. Самолет должен был пролететь почти всю страну, на Дальнем Востоке сменить колеса на поплавки и продолжить путь вдоль побережья Тихого океана. Океан собирались пересечь в самом узком месте - через Берингов пролив. Далее маршрут лежал вдоль восточного побережья Северной Америки, после чего планировалось пересечь США от океана до океана.</w:t>
      </w:r>
    </w:p>
    <w:p w14:paraId="76B3B6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Рассматривались и два альтернативных варианта: через Европу и Северную Атлантику и через Западную Африку и Южную Америку, но их сочли более сложными. Предлагался даже проект кругосветного перелета, при котором Берингов пролив пересекался в обратную сторону (с Аляски). Основным аргументом за выбранный маршрут было прохождение большей его части над территорией СССР, что облегчало подготовку.</w:t>
      </w:r>
    </w:p>
    <w:p w14:paraId="6764D1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расчетные точки перелета завезли горючее и запасные части. Надо сказать, что из-за высокой по тем временам степени сжатия двигатели BMW VI работали не на чистом бензине, а на бензин- бензольной смеси, являвшейся в то время редкостью; бензол импортировали из Германии (12001).</w:t>
      </w:r>
    </w:p>
    <w:p w14:paraId="21B4EB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B445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июля 1929 состоялось заседание Президиума НТК УВВС (выписка из журнала N 28с) по 1. Отчет комиссии по топливу (351).</w:t>
      </w:r>
    </w:p>
    <w:p w14:paraId="02CC36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4D620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6B75A4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0F20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июля 1929 года газета “Харьковский пролетарий” писала, что к вы</w:t>
      </w:r>
      <w:r w:rsidRPr="00A259BD">
        <w:rPr>
          <w:rFonts w:ascii="Times New Roman" w:hAnsi="Times New Roman"/>
          <w:color w:val="000000" w:themeColor="text1"/>
          <w:sz w:val="16"/>
          <w:szCs w:val="16"/>
        </w:rPr>
        <w:softHyphen/>
        <w:t>пуску “</w:t>
      </w:r>
      <w:proofErr w:type="spellStart"/>
      <w:r w:rsidRPr="00A259BD">
        <w:rPr>
          <w:rFonts w:ascii="Times New Roman" w:hAnsi="Times New Roman"/>
          <w:color w:val="000000" w:themeColor="text1"/>
          <w:sz w:val="16"/>
          <w:szCs w:val="16"/>
        </w:rPr>
        <w:t>Зульцеров</w:t>
      </w:r>
      <w:proofErr w:type="spellEnd"/>
      <w:r w:rsidRPr="00A259BD">
        <w:rPr>
          <w:rFonts w:ascii="Times New Roman" w:hAnsi="Times New Roman"/>
          <w:color w:val="000000" w:themeColor="text1"/>
          <w:sz w:val="16"/>
          <w:szCs w:val="16"/>
        </w:rPr>
        <w:t>” завод приступил “не имея ничего за душою”. ХПЗ рас</w:t>
      </w:r>
      <w:r w:rsidRPr="00A259BD">
        <w:rPr>
          <w:rFonts w:ascii="Times New Roman" w:hAnsi="Times New Roman"/>
          <w:color w:val="000000" w:themeColor="text1"/>
          <w:sz w:val="16"/>
          <w:szCs w:val="16"/>
        </w:rPr>
        <w:softHyphen/>
        <w:t>полагал лишь чертежами и заданием на выпуск дизелей. Необходимо было, что называется, на ходу учиться всему, изготовить новый инстру</w:t>
      </w:r>
      <w:r w:rsidRPr="00A259BD">
        <w:rPr>
          <w:rFonts w:ascii="Times New Roman" w:hAnsi="Times New Roman"/>
          <w:color w:val="000000" w:themeColor="text1"/>
          <w:sz w:val="16"/>
          <w:szCs w:val="16"/>
        </w:rPr>
        <w:softHyphen/>
        <w:t>мент, оснастку, научить людей групповым методам обработки деталей, сборке дизеля. От помощи иностранных специалистов харьковчане ре</w:t>
      </w:r>
      <w:r w:rsidRPr="00A259BD">
        <w:rPr>
          <w:rFonts w:ascii="Times New Roman" w:hAnsi="Times New Roman"/>
          <w:color w:val="000000" w:themeColor="text1"/>
          <w:sz w:val="16"/>
          <w:szCs w:val="16"/>
        </w:rPr>
        <w:softHyphen/>
        <w:t xml:space="preserve">шительно отказались — у работников завода </w:t>
      </w:r>
      <w:proofErr w:type="spellStart"/>
      <w:r w:rsidRPr="00A259BD">
        <w:rPr>
          <w:rFonts w:ascii="Times New Roman" w:hAnsi="Times New Roman"/>
          <w:color w:val="000000" w:themeColor="text1"/>
          <w:sz w:val="16"/>
          <w:szCs w:val="16"/>
        </w:rPr>
        <w:t>бьшо</w:t>
      </w:r>
      <w:proofErr w:type="spellEnd"/>
      <w:r w:rsidRPr="00A259BD">
        <w:rPr>
          <w:rFonts w:ascii="Times New Roman" w:hAnsi="Times New Roman"/>
          <w:color w:val="000000" w:themeColor="text1"/>
          <w:sz w:val="16"/>
          <w:szCs w:val="16"/>
        </w:rPr>
        <w:t xml:space="preserve"> твердое намерение спра</w:t>
      </w:r>
      <w:r w:rsidRPr="00A259BD">
        <w:rPr>
          <w:rFonts w:ascii="Times New Roman" w:hAnsi="Times New Roman"/>
          <w:color w:val="000000" w:themeColor="text1"/>
          <w:sz w:val="16"/>
          <w:szCs w:val="16"/>
        </w:rPr>
        <w:softHyphen/>
        <w:t xml:space="preserve">виться с заданием своими силами. Все детали дизеля (а их </w:t>
      </w:r>
      <w:proofErr w:type="spellStart"/>
      <w:r w:rsidRPr="00A259BD">
        <w:rPr>
          <w:rFonts w:ascii="Times New Roman" w:hAnsi="Times New Roman"/>
          <w:color w:val="000000" w:themeColor="text1"/>
          <w:sz w:val="16"/>
          <w:szCs w:val="16"/>
        </w:rPr>
        <w:t>бьшо</w:t>
      </w:r>
      <w:proofErr w:type="spellEnd"/>
      <w:r w:rsidRPr="00A259BD">
        <w:rPr>
          <w:rFonts w:ascii="Times New Roman" w:hAnsi="Times New Roman"/>
          <w:color w:val="000000" w:themeColor="text1"/>
          <w:sz w:val="16"/>
          <w:szCs w:val="16"/>
        </w:rPr>
        <w:t xml:space="preserve"> около 3-5 тысяч), изготавливались на заводе. Всего </w:t>
      </w:r>
      <w:proofErr w:type="spellStart"/>
      <w:r w:rsidRPr="00A259BD">
        <w:rPr>
          <w:rFonts w:ascii="Times New Roman" w:hAnsi="Times New Roman"/>
          <w:color w:val="000000" w:themeColor="text1"/>
          <w:sz w:val="16"/>
          <w:szCs w:val="16"/>
        </w:rPr>
        <w:t>бьшо</w:t>
      </w:r>
      <w:proofErr w:type="spellEnd"/>
      <w:r w:rsidRPr="00A259BD">
        <w:rPr>
          <w:rFonts w:ascii="Times New Roman" w:hAnsi="Times New Roman"/>
          <w:color w:val="000000" w:themeColor="text1"/>
          <w:sz w:val="16"/>
          <w:szCs w:val="16"/>
        </w:rPr>
        <w:t xml:space="preserve"> изготовлено 23 дизеля типа “</w:t>
      </w:r>
      <w:proofErr w:type="spellStart"/>
      <w:r w:rsidRPr="00A259BD">
        <w:rPr>
          <w:rFonts w:ascii="Times New Roman" w:hAnsi="Times New Roman"/>
          <w:color w:val="000000" w:themeColor="text1"/>
          <w:sz w:val="16"/>
          <w:szCs w:val="16"/>
        </w:rPr>
        <w:t>Зульцер</w:t>
      </w:r>
      <w:proofErr w:type="spellEnd"/>
      <w:r w:rsidRPr="00A259BD">
        <w:rPr>
          <w:rFonts w:ascii="Times New Roman" w:hAnsi="Times New Roman"/>
          <w:color w:val="000000" w:themeColor="text1"/>
          <w:sz w:val="16"/>
          <w:szCs w:val="16"/>
        </w:rPr>
        <w:t>”. Тепловой отдел, где собирались “</w:t>
      </w:r>
      <w:proofErr w:type="spellStart"/>
      <w:r w:rsidRPr="00A259BD">
        <w:rPr>
          <w:rFonts w:ascii="Times New Roman" w:hAnsi="Times New Roman"/>
          <w:color w:val="000000" w:themeColor="text1"/>
          <w:sz w:val="16"/>
          <w:szCs w:val="16"/>
        </w:rPr>
        <w:t>Зульцеры</w:t>
      </w:r>
      <w:proofErr w:type="spellEnd"/>
      <w:r w:rsidRPr="00A259BD">
        <w:rPr>
          <w:rFonts w:ascii="Times New Roman" w:hAnsi="Times New Roman"/>
          <w:color w:val="000000" w:themeColor="text1"/>
          <w:sz w:val="16"/>
          <w:szCs w:val="16"/>
        </w:rPr>
        <w:t>”, был в центре внимания всего предприятия. За ра</w:t>
      </w:r>
      <w:r w:rsidRPr="00A259BD">
        <w:rPr>
          <w:rFonts w:ascii="Times New Roman" w:hAnsi="Times New Roman"/>
          <w:color w:val="000000" w:themeColor="text1"/>
          <w:sz w:val="16"/>
          <w:szCs w:val="16"/>
        </w:rPr>
        <w:softHyphen/>
        <w:t xml:space="preserve">ботой </w:t>
      </w:r>
      <w:proofErr w:type="spellStart"/>
      <w:r w:rsidRPr="00A259BD">
        <w:rPr>
          <w:rFonts w:ascii="Times New Roman" w:hAnsi="Times New Roman"/>
          <w:color w:val="000000" w:themeColor="text1"/>
          <w:sz w:val="16"/>
          <w:szCs w:val="16"/>
        </w:rPr>
        <w:t>паровозостроителей</w:t>
      </w:r>
      <w:proofErr w:type="spellEnd"/>
      <w:r w:rsidRPr="00A259BD">
        <w:rPr>
          <w:rFonts w:ascii="Times New Roman" w:hAnsi="Times New Roman"/>
          <w:color w:val="000000" w:themeColor="text1"/>
          <w:sz w:val="16"/>
          <w:szCs w:val="16"/>
        </w:rPr>
        <w:t xml:space="preserve"> следили не только республика, но и вся страна (11504).</w:t>
      </w:r>
    </w:p>
    <w:p w14:paraId="365306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205798"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35CD2FF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BB711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июля 1929 г. правительство СССР направило ноту протеста, требуя освободить арестованных и восстано</w:t>
      </w:r>
      <w:r w:rsidRPr="00A259BD">
        <w:rPr>
          <w:rFonts w:ascii="Times New Roman" w:hAnsi="Times New Roman"/>
          <w:color w:val="000000" w:themeColor="text1"/>
          <w:sz w:val="16"/>
          <w:szCs w:val="16"/>
        </w:rPr>
        <w:softHyphen/>
        <w:t>вить нормальный режим работы КВЖД.</w:t>
      </w:r>
    </w:p>
    <w:p w14:paraId="59382F4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Однако попытка урегулировать конф</w:t>
      </w:r>
      <w:r w:rsidRPr="00A259BD">
        <w:rPr>
          <w:rFonts w:ascii="Times New Roman" w:hAnsi="Times New Roman"/>
          <w:color w:val="000000" w:themeColor="text1"/>
          <w:sz w:val="16"/>
          <w:szCs w:val="16"/>
        </w:rPr>
        <w:softHyphen/>
        <w:t>ликт политическими средствами успе</w:t>
      </w:r>
      <w:r w:rsidRPr="00A259BD">
        <w:rPr>
          <w:rFonts w:ascii="Times New Roman" w:hAnsi="Times New Roman"/>
          <w:color w:val="000000" w:themeColor="text1"/>
          <w:sz w:val="16"/>
          <w:szCs w:val="16"/>
        </w:rPr>
        <w:softHyphen/>
        <w:t>ха не имела, китайцы восприняли ее как слабость. Начались нарушения границы, частые обстрелы территории СССР, убийства мирного населения. 18 июля Советский Союз объявил о раз</w:t>
      </w:r>
      <w:r w:rsidRPr="00A259BD">
        <w:rPr>
          <w:rFonts w:ascii="Times New Roman" w:hAnsi="Times New Roman"/>
          <w:color w:val="000000" w:themeColor="text1"/>
          <w:sz w:val="16"/>
          <w:szCs w:val="16"/>
        </w:rPr>
        <w:softHyphen/>
        <w:t>рыве дипломатических отношений с Китаем (11216).</w:t>
      </w:r>
    </w:p>
    <w:p w14:paraId="5B79AF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44ED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июля 1929 г. подробно изложив в письме Ворошилову суть вопроса о визите советских кораблей в германские порты, Крестинский настойчиво рекомендовал наркому «решить вопрос о поездке положительно» и «договориться с немцами о сроке» (АВП РФ, ф. 0165, оп. 14, п. 157, д. 8, л. 59-61.) (11784).</w:t>
      </w:r>
    </w:p>
    <w:p w14:paraId="7D597E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D683CD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2F2FB0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94AC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июля 1929 Президиум НТК УВВС (журнал 32с) подтвердил мнение завода 25 Н.Н.П. о том, что устранение ненормальностей штопора на П-2 М-6 следует искать по пути изменения размеров хвостового оперения. Изыскательские полеты машины с разным хвостовым оперением проводились 25 заводом в течение июля и в начале августа, пока 10 августа машина не была разбита (2371).</w:t>
      </w:r>
    </w:p>
    <w:p w14:paraId="38A9D7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6B699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(15 - 80,59) 1929 ЦК ВКП(б) принял постановление "О состоянии обороны СССР", предусматривающее коренную техническую реконструкцию авиации. Реввоенсовет утвердил программу создания новых типов самолетов. Основное внимание - тяжелой бомбардировочной авиации (71,166). Постановление политбюро ВКП(б) поставило задачу "Считать, что важнейшей задачей на ближайшие годы в строительстве Красной авиации является скорейшее доведение ее качества до уровня передовых буржуазных стран (80,59) и насаждать, культивировать и развивать свои, советские научно-конструкторские силы, особенно в моторостроении" (66,150).</w:t>
      </w:r>
    </w:p>
    <w:p w14:paraId="063A9A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другим данным это было 15 июня, но это не правильно.</w:t>
      </w:r>
    </w:p>
    <w:p w14:paraId="114B65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июле 1929 на заседаниях Политбюро ЦК ВКП(б) были заслушаны доклады </w:t>
      </w:r>
      <w:proofErr w:type="spellStart"/>
      <w:r w:rsidRPr="00A259BD">
        <w:rPr>
          <w:rFonts w:ascii="Times New Roman" w:hAnsi="Times New Roman"/>
          <w:color w:val="000000" w:themeColor="text1"/>
          <w:sz w:val="16"/>
          <w:szCs w:val="16"/>
        </w:rPr>
        <w:t>Я.Рудзутака</w:t>
      </w:r>
      <w:proofErr w:type="spellEnd"/>
      <w:r w:rsidRPr="00A259BD">
        <w:rPr>
          <w:rFonts w:ascii="Times New Roman" w:hAnsi="Times New Roman"/>
          <w:color w:val="000000" w:themeColor="text1"/>
          <w:sz w:val="16"/>
          <w:szCs w:val="16"/>
        </w:rPr>
        <w:t xml:space="preserve"> о работе РЗ СТО, К.Е.В. о состоянии ВС, </w:t>
      </w:r>
      <w:proofErr w:type="spellStart"/>
      <w:r w:rsidRPr="00A259BD">
        <w:rPr>
          <w:rFonts w:ascii="Times New Roman" w:hAnsi="Times New Roman"/>
          <w:color w:val="000000" w:themeColor="text1"/>
          <w:sz w:val="16"/>
          <w:szCs w:val="16"/>
        </w:rPr>
        <w:t>И.П.Павлуновского</w:t>
      </w:r>
      <w:proofErr w:type="spellEnd"/>
      <w:r w:rsidRPr="00A259BD">
        <w:rPr>
          <w:rFonts w:ascii="Times New Roman" w:hAnsi="Times New Roman"/>
          <w:color w:val="000000" w:themeColor="text1"/>
          <w:sz w:val="16"/>
          <w:szCs w:val="16"/>
        </w:rPr>
        <w:t xml:space="preserve"> о состоянии военной промышленности. 15 июля 1929 приняли постановление "О состоянии обороны СССР" (1566,67).</w:t>
      </w:r>
    </w:p>
    <w:p w14:paraId="1472D3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Политбюро утвердило к концу 1 пятилетки 2 тыс. самолетов в строю, 500 в резерве и 1000 в запасе. Танков - 1500, 1500, 1000-2000 шт. (1566,68).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6090"/>
      </w:tblGrid>
      <w:tr w:rsidR="00A259BD" w:rsidRPr="00A259BD" w14:paraId="28B85C57" w14:textId="77777777">
        <w:tc>
          <w:tcPr>
            <w:tcW w:w="1127" w:type="dxa"/>
          </w:tcPr>
          <w:p w14:paraId="1430E6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Мобзаявка</w:t>
            </w:r>
            <w:proofErr w:type="spellEnd"/>
            <w:r w:rsidRPr="00A259BD">
              <w:rPr>
                <w:rFonts w:ascii="Times New Roman" w:hAnsi="Times New Roman"/>
                <w:color w:val="000000" w:themeColor="text1"/>
                <w:sz w:val="16"/>
                <w:szCs w:val="16"/>
              </w:rPr>
              <w:t xml:space="preserve"> НКВМ</w:t>
            </w:r>
          </w:p>
        </w:tc>
        <w:tc>
          <w:tcPr>
            <w:tcW w:w="1127" w:type="dxa"/>
          </w:tcPr>
          <w:p w14:paraId="330A80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План С-30 (оперативный вариант)</w:t>
            </w:r>
          </w:p>
        </w:tc>
        <w:tc>
          <w:tcPr>
            <w:tcW w:w="1127" w:type="dxa"/>
          </w:tcPr>
          <w:p w14:paraId="34E132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План заказа на 1929-1930</w:t>
            </w:r>
          </w:p>
        </w:tc>
        <w:tc>
          <w:tcPr>
            <w:tcW w:w="1127" w:type="dxa"/>
          </w:tcPr>
          <w:p w14:paraId="3E4BBB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1930-1931</w:t>
            </w:r>
          </w:p>
        </w:tc>
        <w:tc>
          <w:tcPr>
            <w:tcW w:w="6090" w:type="dxa"/>
          </w:tcPr>
          <w:p w14:paraId="7A7655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1932-1933</w:t>
            </w:r>
          </w:p>
        </w:tc>
      </w:tr>
      <w:tr w:rsidR="00A259BD" w:rsidRPr="00A259BD" w14:paraId="09E67819" w14:textId="77777777">
        <w:tc>
          <w:tcPr>
            <w:tcW w:w="1127" w:type="dxa"/>
          </w:tcPr>
          <w:p w14:paraId="43BB47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самолеты </w:t>
            </w:r>
          </w:p>
        </w:tc>
        <w:tc>
          <w:tcPr>
            <w:tcW w:w="1127" w:type="dxa"/>
          </w:tcPr>
          <w:p w14:paraId="02AD28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4360</w:t>
            </w:r>
          </w:p>
        </w:tc>
        <w:tc>
          <w:tcPr>
            <w:tcW w:w="1127" w:type="dxa"/>
          </w:tcPr>
          <w:p w14:paraId="47E66B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6865</w:t>
            </w:r>
          </w:p>
        </w:tc>
        <w:tc>
          <w:tcPr>
            <w:tcW w:w="1127" w:type="dxa"/>
          </w:tcPr>
          <w:p w14:paraId="6DAB02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4360</w:t>
            </w:r>
          </w:p>
        </w:tc>
        <w:tc>
          <w:tcPr>
            <w:tcW w:w="6090" w:type="dxa"/>
          </w:tcPr>
          <w:p w14:paraId="549C43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1232</w:t>
            </w:r>
          </w:p>
        </w:tc>
      </w:tr>
      <w:tr w:rsidR="00A259BD" w:rsidRPr="00A259BD" w14:paraId="713C3643" w14:textId="77777777">
        <w:tc>
          <w:tcPr>
            <w:tcW w:w="1127" w:type="dxa"/>
          </w:tcPr>
          <w:p w14:paraId="699A15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авиамоторы</w:t>
            </w:r>
          </w:p>
        </w:tc>
        <w:tc>
          <w:tcPr>
            <w:tcW w:w="1127" w:type="dxa"/>
          </w:tcPr>
          <w:p w14:paraId="5745EE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4848</w:t>
            </w:r>
          </w:p>
        </w:tc>
        <w:tc>
          <w:tcPr>
            <w:tcW w:w="1127" w:type="dxa"/>
          </w:tcPr>
          <w:p w14:paraId="30CBDF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8010</w:t>
            </w:r>
          </w:p>
        </w:tc>
        <w:tc>
          <w:tcPr>
            <w:tcW w:w="1127" w:type="dxa"/>
          </w:tcPr>
          <w:p w14:paraId="184F77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4848</w:t>
            </w:r>
          </w:p>
        </w:tc>
        <w:tc>
          <w:tcPr>
            <w:tcW w:w="6090" w:type="dxa"/>
          </w:tcPr>
          <w:p w14:paraId="3B957F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A259BD" w14:paraId="2AB5FA14" w14:textId="77777777">
        <w:tc>
          <w:tcPr>
            <w:tcW w:w="1127" w:type="dxa"/>
          </w:tcPr>
          <w:p w14:paraId="2DFA97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танки</w:t>
            </w:r>
          </w:p>
        </w:tc>
        <w:tc>
          <w:tcPr>
            <w:tcW w:w="1127" w:type="dxa"/>
          </w:tcPr>
          <w:p w14:paraId="01942B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1055</w:t>
            </w:r>
          </w:p>
        </w:tc>
        <w:tc>
          <w:tcPr>
            <w:tcW w:w="1127" w:type="dxa"/>
          </w:tcPr>
          <w:p w14:paraId="2C569B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w:t>
            </w:r>
          </w:p>
        </w:tc>
        <w:tc>
          <w:tcPr>
            <w:tcW w:w="1127" w:type="dxa"/>
          </w:tcPr>
          <w:p w14:paraId="11A500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1055</w:t>
            </w:r>
          </w:p>
        </w:tc>
        <w:tc>
          <w:tcPr>
            <w:tcW w:w="6090" w:type="dxa"/>
          </w:tcPr>
          <w:p w14:paraId="0208E7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340 (1566,69)</w:t>
            </w:r>
          </w:p>
        </w:tc>
      </w:tr>
    </w:tbl>
    <w:p w14:paraId="224788F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D5EBE6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6BAE32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A9F333" w14:textId="77777777" w:rsidR="008830F9" w:rsidRPr="00A259BD" w:rsidRDefault="008830F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июля 1929 Сталин представил доклад об оборонной промышленности на заседании Политбюро. Реввоенсовету и Военно-мобилизационному управлению ВСНХ было дано задание разработать соответствующие директивы для руководства армии и флота, с одной стороны, [98] и руководства промышленных объединений и предприятий — с другой (17208).</w:t>
      </w:r>
    </w:p>
    <w:p w14:paraId="14E3D66A" w14:textId="77777777" w:rsidR="008830F9" w:rsidRPr="00A259BD" w:rsidRDefault="008830F9" w:rsidP="009236E3">
      <w:pPr>
        <w:spacing w:after="0" w:line="240" w:lineRule="auto"/>
        <w:jc w:val="both"/>
        <w:rPr>
          <w:rFonts w:ascii="Times New Roman" w:hAnsi="Times New Roman"/>
          <w:color w:val="000000" w:themeColor="text1"/>
          <w:sz w:val="16"/>
          <w:szCs w:val="16"/>
        </w:rPr>
      </w:pPr>
    </w:p>
    <w:p w14:paraId="03A56B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июля 1929 г. вышло постановление Политбюро ЦК ВКП (б) "О состоянии обороны СССР", согласно которому советские конструкторы приступили к разработке массового танка общевойсковых соединений. По понятиям тех времен это должен был быть легкий танк, дешевый в производстве и простой в обслуживании. Решено было взять в качестве образца закупленный в 1930 г. комиссией во главе с И.А. </w:t>
      </w:r>
      <w:proofErr w:type="spellStart"/>
      <w:r w:rsidRPr="00A259BD">
        <w:rPr>
          <w:rFonts w:ascii="Times New Roman" w:hAnsi="Times New Roman"/>
          <w:color w:val="000000" w:themeColor="text1"/>
          <w:sz w:val="16"/>
          <w:szCs w:val="16"/>
        </w:rPr>
        <w:t>Халепским</w:t>
      </w:r>
      <w:proofErr w:type="spellEnd"/>
      <w:r w:rsidRPr="00A259BD">
        <w:rPr>
          <w:rFonts w:ascii="Times New Roman" w:hAnsi="Times New Roman"/>
          <w:color w:val="000000" w:themeColor="text1"/>
          <w:sz w:val="16"/>
          <w:szCs w:val="16"/>
        </w:rPr>
        <w:t xml:space="preserve"> английский легкий танк "Виккерс-6 -тонн" (он же "Виккерс-Е"). Была приобретена лицензия на его производство, но технологию производства решили не покупать (3861).</w:t>
      </w:r>
    </w:p>
    <w:p w14:paraId="7C1773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AC001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w:t>
      </w:r>
      <w:r w:rsidRPr="00A259BD">
        <w:rPr>
          <w:rFonts w:ascii="Times New Roman" w:hAnsi="Times New Roman"/>
          <w:color w:val="000000" w:themeColor="text1"/>
          <w:sz w:val="16"/>
          <w:szCs w:val="16"/>
        </w:rPr>
        <w:softHyphen/>
        <w:t>ня 1929 г., вышло постановление ЦК ВКП(б), посвященное проблемам оборонной промышленности в целом, и авиастроению в том числе, в котором говорилось: "Одним из важнейших результатов истекшего пятилетия следует признать создание красного воздушного флота. Считать, что важнейшей задачей на ближайшие годы в строительстве красной авиации является скорейшее доведение ее качества до уровня пе</w:t>
      </w:r>
      <w:r w:rsidRPr="00A259BD">
        <w:rPr>
          <w:rFonts w:ascii="Times New Roman" w:hAnsi="Times New Roman"/>
          <w:color w:val="000000" w:themeColor="text1"/>
          <w:sz w:val="16"/>
          <w:szCs w:val="16"/>
        </w:rPr>
        <w:softHyphen/>
        <w:t>редовых буржуазных стран, и всеми силами следует насаждать, культивировать и развивать свои, советские научно-конструк</w:t>
      </w:r>
      <w:r w:rsidRPr="00A259BD">
        <w:rPr>
          <w:rFonts w:ascii="Times New Roman" w:hAnsi="Times New Roman"/>
          <w:color w:val="000000" w:themeColor="text1"/>
          <w:sz w:val="16"/>
          <w:szCs w:val="16"/>
        </w:rPr>
        <w:softHyphen/>
        <w:t>торские силы, особенно в моторостроении" (10788).</w:t>
      </w:r>
    </w:p>
    <w:p w14:paraId="2306CF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4555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июля 1929 г. вышло постановление Политбюро ЦК ВКП(б) “О СОСТОЯНИИ ОБОРОНЫ СССР”. В нем говорилось “РВС СССР усилить взятый темп работ по усовершенствованию техники Красной Армии. Наряду с модернизацией существующего вооружения, добиться в течение ближайших двух лет получения опытных образцов, а затем и внедрения их в армию, современных типов артиллерии, и в первую очередь, батальонных орудий, дальнобойных пушек, сверхмощных гаубиц, зенитных орудий, различных мощностей мортир, крупнокалиберных пулеметов, химических средств борьбы, всех современных типов танков, бронемашин и прочее, для чего считать целесообразным всемерное использование заграничного технического опыта и помощи, а также приобретение наиболее нужных опытных образцов.” (5745, 37).</w:t>
      </w:r>
    </w:p>
    <w:p w14:paraId="19F466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танков ставилась задача: “Иметь к концу пятилетия в армии мирного времени в строю 1500 танков, создать резерв, вступающим в строй с началом войны в 1500-2000 танков, иметь запас в 1500-2000 танков. В соответствии с этим промышленность обязана подготовиться к обеспечению постоянного действия указанного количества танков во время войны.” (5745, 37).</w:t>
      </w:r>
    </w:p>
    <w:p w14:paraId="50188C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D6F0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июля 1929 г. вышло постановле</w:t>
      </w:r>
      <w:r w:rsidRPr="00A259BD">
        <w:rPr>
          <w:rFonts w:ascii="Times New Roman" w:hAnsi="Times New Roman"/>
          <w:color w:val="000000" w:themeColor="text1"/>
          <w:sz w:val="16"/>
          <w:szCs w:val="16"/>
        </w:rPr>
        <w:softHyphen/>
        <w:t>ние Политбюро ЦК ВКП(б): “О состоянии обороны СССР”, в котором отмечался “целый ряд крупных недостатков как в подготовке Красной Армии, так и всего народного хозяйства к обороне:</w:t>
      </w:r>
    </w:p>
    <w:p w14:paraId="48DEB2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техническая база вооруженных сил все еще очень слаба и далеко отстает от техники современных буржуазных армий;</w:t>
      </w:r>
    </w:p>
    <w:p w14:paraId="227077D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материальное обеспечение мобилизуемой армии по дейст</w:t>
      </w:r>
      <w:r w:rsidRPr="00A259BD">
        <w:rPr>
          <w:rFonts w:ascii="Times New Roman" w:hAnsi="Times New Roman"/>
          <w:color w:val="000000" w:themeColor="text1"/>
          <w:sz w:val="16"/>
          <w:szCs w:val="16"/>
        </w:rPr>
        <w:softHyphen/>
        <w:t>вующему мобилизационному плану все еще далеко неудовлет</w:t>
      </w:r>
      <w:r w:rsidRPr="00A259BD">
        <w:rPr>
          <w:rFonts w:ascii="Times New Roman" w:hAnsi="Times New Roman"/>
          <w:color w:val="000000" w:themeColor="text1"/>
          <w:sz w:val="16"/>
          <w:szCs w:val="16"/>
        </w:rPr>
        <w:softHyphen/>
        <w:t>ворительно;</w:t>
      </w:r>
    </w:p>
    <w:p w14:paraId="4FB21DF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материальные резервы обороны (импортные и внутренние) совершенно недостаточны;</w:t>
      </w:r>
    </w:p>
    <w:p w14:paraId="7F3462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подготовка всей промышленности, в том числе военной, к выполнению требований вооруженного фронта совершенно неудовлетворительна” (РЦХИДНИ ф.17, оп.162, д.7, л.104-105) (1566,67).</w:t>
      </w:r>
    </w:p>
    <w:p w14:paraId="17BA477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Политбюро ЦК ВКП(б) утвердило следующие лимиты разви</w:t>
      </w:r>
      <w:r w:rsidRPr="00A259BD">
        <w:rPr>
          <w:rFonts w:ascii="Times New Roman" w:hAnsi="Times New Roman"/>
          <w:color w:val="000000" w:themeColor="text1"/>
          <w:sz w:val="16"/>
          <w:szCs w:val="16"/>
        </w:rPr>
        <w:softHyphen/>
        <w:t>тия вооруженных сил к концу первой пятилетки: численность ар</w:t>
      </w:r>
      <w:r w:rsidRPr="00A259BD">
        <w:rPr>
          <w:rFonts w:ascii="Times New Roman" w:hAnsi="Times New Roman"/>
          <w:color w:val="000000" w:themeColor="text1"/>
          <w:sz w:val="16"/>
          <w:szCs w:val="16"/>
        </w:rPr>
        <w:softHyphen/>
        <w:t>мии мирного времени определялась в 648700 человек, а моби</w:t>
      </w:r>
      <w:r w:rsidRPr="00A259BD">
        <w:rPr>
          <w:rFonts w:ascii="Times New Roman" w:hAnsi="Times New Roman"/>
          <w:color w:val="000000" w:themeColor="text1"/>
          <w:sz w:val="16"/>
          <w:szCs w:val="16"/>
        </w:rPr>
        <w:softHyphen/>
        <w:t>лизованной — 3 млн. человек; военно-воздушный флот должен был иметь в строю 2 тыс. боевых самолетов, еще 500 самолетов составляли резерв и 1000 штук — запас; количество танков в строю определялось 1500 штук, запас — 1500 штук, резерв 1-2 тыс. штук; количество орудий средних и крупных калибров определялось в 9348 штук, а мелких — 3394 штук.</w:t>
      </w:r>
    </w:p>
    <w:p w14:paraId="60535D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осуществления этих задач правительству была дана ди</w:t>
      </w:r>
      <w:r w:rsidRPr="00A259BD">
        <w:rPr>
          <w:rFonts w:ascii="Times New Roman" w:hAnsi="Times New Roman"/>
          <w:color w:val="000000" w:themeColor="text1"/>
          <w:sz w:val="16"/>
          <w:szCs w:val="16"/>
        </w:rPr>
        <w:softHyphen/>
        <w:t>ректива при ассигновании средств военному ведомству и воен</w:t>
      </w:r>
      <w:r w:rsidRPr="00A259BD">
        <w:rPr>
          <w:rFonts w:ascii="Times New Roman" w:hAnsi="Times New Roman"/>
          <w:color w:val="000000" w:themeColor="text1"/>
          <w:sz w:val="16"/>
          <w:szCs w:val="16"/>
        </w:rPr>
        <w:softHyphen/>
        <w:t>ной промышленности исходить из оптимального варианта конт</w:t>
      </w:r>
      <w:r w:rsidRPr="00A259BD">
        <w:rPr>
          <w:rFonts w:ascii="Times New Roman" w:hAnsi="Times New Roman"/>
          <w:color w:val="000000" w:themeColor="text1"/>
          <w:sz w:val="16"/>
          <w:szCs w:val="16"/>
        </w:rPr>
        <w:softHyphen/>
        <w:t>рольных цифр Госплана, а в случае необходимости — превысить эти лимиты /50/.</w:t>
      </w:r>
    </w:p>
    <w:p w14:paraId="7930C1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отличие от первых вариантов 5-летнего плана строительства вооруженных сил, которые не предусматривали достижения военного превосходства над вероятным противни</w:t>
      </w:r>
      <w:r w:rsidRPr="00A259BD">
        <w:rPr>
          <w:rFonts w:ascii="Times New Roman" w:hAnsi="Times New Roman"/>
          <w:color w:val="000000" w:themeColor="text1"/>
          <w:sz w:val="16"/>
          <w:szCs w:val="16"/>
        </w:rPr>
        <w:softHyphen/>
        <w:t>ком, Политбюро ЦК ВКП(б) указывало Военному ведомству: “по численности — не уступать нашим вероятным противникам на главнейшем театре войны, по технике — быть сильнее противни</w:t>
      </w:r>
      <w:r w:rsidRPr="00A259BD">
        <w:rPr>
          <w:rFonts w:ascii="Times New Roman" w:hAnsi="Times New Roman"/>
          <w:color w:val="000000" w:themeColor="text1"/>
          <w:sz w:val="16"/>
          <w:szCs w:val="16"/>
        </w:rPr>
        <w:softHyphen/>
        <w:t>ка по двум или трем решающим видам вооружения, а именно — по воздушному флоту, артиллерии и танкам” (РЦХИДНИ ф.17, оп.162, д.7, л.104-105) (1566,67).</w:t>
      </w:r>
    </w:p>
    <w:p w14:paraId="5E81DE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Политбюро ЦК ВКП(б) утвердило чрезвычайно напряженную мобилизационную заявку Военного ведомства на предметы во</w:t>
      </w:r>
      <w:r w:rsidRPr="00A259BD">
        <w:rPr>
          <w:rFonts w:ascii="Times New Roman" w:hAnsi="Times New Roman"/>
          <w:color w:val="000000" w:themeColor="text1"/>
          <w:sz w:val="16"/>
          <w:szCs w:val="16"/>
        </w:rPr>
        <w:softHyphen/>
        <w:t>оружения и боевой техники на два первых и два последних года первой пятилетки, то есть своего рода “контрольные цифры” со</w:t>
      </w:r>
      <w:r w:rsidRPr="00A259BD">
        <w:rPr>
          <w:rFonts w:ascii="Times New Roman" w:hAnsi="Times New Roman"/>
          <w:color w:val="000000" w:themeColor="text1"/>
          <w:sz w:val="16"/>
          <w:szCs w:val="16"/>
        </w:rPr>
        <w:softHyphen/>
        <w:t>ветской промышленности на случай вступления СССР в войну. Эти показатели определяли проектную мощность военно-про</w:t>
      </w:r>
      <w:r w:rsidRPr="00A259BD">
        <w:rPr>
          <w:rFonts w:ascii="Times New Roman" w:hAnsi="Times New Roman"/>
          <w:color w:val="000000" w:themeColor="text1"/>
          <w:sz w:val="16"/>
          <w:szCs w:val="16"/>
        </w:rPr>
        <w:softHyphen/>
        <w:t>мышленных предприятий, которую они должны были достигнуть в течение первой пятилетки, а также необходимые для производ</w:t>
      </w:r>
      <w:r w:rsidRPr="00A259BD">
        <w:rPr>
          <w:rFonts w:ascii="Times New Roman" w:hAnsi="Times New Roman"/>
          <w:color w:val="000000" w:themeColor="text1"/>
          <w:sz w:val="16"/>
          <w:szCs w:val="16"/>
        </w:rPr>
        <w:softHyphen/>
        <w:t xml:space="preserve">ства установленных </w:t>
      </w:r>
      <w:proofErr w:type="spellStart"/>
      <w:r w:rsidRPr="00A259BD">
        <w:rPr>
          <w:rFonts w:ascii="Times New Roman" w:hAnsi="Times New Roman"/>
          <w:color w:val="000000" w:themeColor="text1"/>
          <w:sz w:val="16"/>
          <w:szCs w:val="16"/>
        </w:rPr>
        <w:t>мобзаявкой</w:t>
      </w:r>
      <w:proofErr w:type="spellEnd"/>
      <w:r w:rsidRPr="00A259BD">
        <w:rPr>
          <w:rFonts w:ascii="Times New Roman" w:hAnsi="Times New Roman"/>
          <w:color w:val="000000" w:themeColor="text1"/>
          <w:sz w:val="16"/>
          <w:szCs w:val="16"/>
        </w:rPr>
        <w:t xml:space="preserve"> изделий объемы продукции чер</w:t>
      </w:r>
      <w:r w:rsidRPr="00A259BD">
        <w:rPr>
          <w:rFonts w:ascii="Times New Roman" w:hAnsi="Times New Roman"/>
          <w:color w:val="000000" w:themeColor="text1"/>
          <w:sz w:val="16"/>
          <w:szCs w:val="16"/>
        </w:rPr>
        <w:softHyphen/>
        <w:t>ной и цветной металлургии, химии и машиностроения. Одновре</w:t>
      </w:r>
      <w:r w:rsidRPr="00A259BD">
        <w:rPr>
          <w:rFonts w:ascii="Times New Roman" w:hAnsi="Times New Roman"/>
          <w:color w:val="000000" w:themeColor="text1"/>
          <w:sz w:val="16"/>
          <w:szCs w:val="16"/>
        </w:rPr>
        <w:softHyphen/>
        <w:t>менно с мобилизационной заявкой Политбюро ЦК ВКП(б) утвер</w:t>
      </w:r>
      <w:r w:rsidRPr="00A259BD">
        <w:rPr>
          <w:rFonts w:ascii="Times New Roman" w:hAnsi="Times New Roman"/>
          <w:color w:val="000000" w:themeColor="text1"/>
          <w:sz w:val="16"/>
          <w:szCs w:val="16"/>
        </w:rPr>
        <w:softHyphen/>
        <w:t>дило ее оперативный вариант “С-30”.</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592"/>
        <w:gridCol w:w="1555"/>
        <w:gridCol w:w="1421"/>
        <w:gridCol w:w="854"/>
      </w:tblGrid>
      <w:tr w:rsidR="00A259BD" w:rsidRPr="00A259BD" w14:paraId="01E39946" w14:textId="77777777">
        <w:trPr>
          <w:trHeight w:val="307"/>
        </w:trPr>
        <w:tc>
          <w:tcPr>
            <w:tcW w:w="2592" w:type="dxa"/>
            <w:tcBorders>
              <w:top w:val="single" w:sz="12" w:space="0" w:color="auto"/>
            </w:tcBorders>
          </w:tcPr>
          <w:p w14:paraId="37412B8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76" w:type="dxa"/>
            <w:gridSpan w:val="2"/>
            <w:tcBorders>
              <w:top w:val="single" w:sz="12" w:space="0" w:color="auto"/>
            </w:tcBorders>
          </w:tcPr>
          <w:p w14:paraId="5A2F33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Мобилизационная заявка НКВМ</w:t>
            </w:r>
          </w:p>
        </w:tc>
        <w:tc>
          <w:tcPr>
            <w:tcW w:w="854" w:type="dxa"/>
            <w:tcBorders>
              <w:top w:val="single" w:sz="12" w:space="0" w:color="auto"/>
            </w:tcBorders>
          </w:tcPr>
          <w:p w14:paraId="5FC7751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План “С-30”</w:t>
            </w:r>
          </w:p>
        </w:tc>
      </w:tr>
      <w:tr w:rsidR="00A259BD" w:rsidRPr="00A259BD" w14:paraId="538B8290" w14:textId="77777777">
        <w:trPr>
          <w:trHeight w:val="307"/>
        </w:trPr>
        <w:tc>
          <w:tcPr>
            <w:tcW w:w="2592" w:type="dxa"/>
          </w:tcPr>
          <w:p w14:paraId="137BC2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0DDFECE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1930-1931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w:t>
            </w:r>
          </w:p>
        </w:tc>
        <w:tc>
          <w:tcPr>
            <w:tcW w:w="1421" w:type="dxa"/>
          </w:tcPr>
          <w:p w14:paraId="629048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1932-1933 г.</w:t>
            </w:r>
          </w:p>
        </w:tc>
        <w:tc>
          <w:tcPr>
            <w:tcW w:w="854" w:type="dxa"/>
          </w:tcPr>
          <w:p w14:paraId="5429681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855587B" w14:textId="77777777">
        <w:trPr>
          <w:trHeight w:val="240"/>
        </w:trPr>
        <w:tc>
          <w:tcPr>
            <w:tcW w:w="2592" w:type="dxa"/>
          </w:tcPr>
          <w:p w14:paraId="2A1CB5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Винтпатроны</w:t>
            </w:r>
            <w:proofErr w:type="spellEnd"/>
            <w:r w:rsidRPr="00A259BD">
              <w:rPr>
                <w:rFonts w:ascii="Times New Roman" w:hAnsi="Times New Roman"/>
                <w:color w:val="000000" w:themeColor="text1"/>
                <w:sz w:val="16"/>
                <w:szCs w:val="16"/>
              </w:rPr>
              <w:t xml:space="preserve"> (млн. тт.)</w:t>
            </w:r>
          </w:p>
        </w:tc>
        <w:tc>
          <w:tcPr>
            <w:tcW w:w="1555" w:type="dxa"/>
          </w:tcPr>
          <w:p w14:paraId="2A659B1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w:t>
            </w:r>
          </w:p>
        </w:tc>
        <w:tc>
          <w:tcPr>
            <w:tcW w:w="1421" w:type="dxa"/>
          </w:tcPr>
          <w:p w14:paraId="16FB2B4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w:t>
            </w:r>
          </w:p>
        </w:tc>
        <w:tc>
          <w:tcPr>
            <w:tcW w:w="854" w:type="dxa"/>
          </w:tcPr>
          <w:p w14:paraId="3CB720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w:t>
            </w:r>
          </w:p>
        </w:tc>
      </w:tr>
      <w:tr w:rsidR="00A259BD" w:rsidRPr="00A259BD" w14:paraId="6EFD2B63" w14:textId="77777777">
        <w:trPr>
          <w:trHeight w:val="240"/>
        </w:trPr>
        <w:tc>
          <w:tcPr>
            <w:tcW w:w="2592" w:type="dxa"/>
          </w:tcPr>
          <w:p w14:paraId="5D3044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Артснаряды (млн. шт.)</w:t>
            </w:r>
          </w:p>
        </w:tc>
        <w:tc>
          <w:tcPr>
            <w:tcW w:w="1555" w:type="dxa"/>
          </w:tcPr>
          <w:p w14:paraId="1FC63F3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w:t>
            </w:r>
          </w:p>
        </w:tc>
        <w:tc>
          <w:tcPr>
            <w:tcW w:w="1421" w:type="dxa"/>
          </w:tcPr>
          <w:p w14:paraId="1374E4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84,3</w:t>
            </w:r>
          </w:p>
        </w:tc>
        <w:tc>
          <w:tcPr>
            <w:tcW w:w="854" w:type="dxa"/>
          </w:tcPr>
          <w:p w14:paraId="065E696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w:t>
            </w:r>
          </w:p>
        </w:tc>
      </w:tr>
      <w:tr w:rsidR="00A259BD" w:rsidRPr="00A259BD" w14:paraId="0E7C70AC" w14:textId="77777777">
        <w:trPr>
          <w:trHeight w:val="230"/>
        </w:trPr>
        <w:tc>
          <w:tcPr>
            <w:tcW w:w="2592" w:type="dxa"/>
          </w:tcPr>
          <w:p w14:paraId="017678E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Пулеметы (шт.)</w:t>
            </w:r>
          </w:p>
        </w:tc>
        <w:tc>
          <w:tcPr>
            <w:tcW w:w="1555" w:type="dxa"/>
          </w:tcPr>
          <w:p w14:paraId="39097D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62500</w:t>
            </w:r>
          </w:p>
        </w:tc>
        <w:tc>
          <w:tcPr>
            <w:tcW w:w="1421" w:type="dxa"/>
          </w:tcPr>
          <w:p w14:paraId="3C2FD90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74000</w:t>
            </w:r>
          </w:p>
        </w:tc>
        <w:tc>
          <w:tcPr>
            <w:tcW w:w="854" w:type="dxa"/>
          </w:tcPr>
          <w:p w14:paraId="12A63C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53,5</w:t>
            </w:r>
          </w:p>
        </w:tc>
      </w:tr>
      <w:tr w:rsidR="00A259BD" w:rsidRPr="00A259BD" w14:paraId="5F51BFDF" w14:textId="77777777">
        <w:trPr>
          <w:trHeight w:val="211"/>
        </w:trPr>
        <w:tc>
          <w:tcPr>
            <w:tcW w:w="2592" w:type="dxa"/>
          </w:tcPr>
          <w:p w14:paraId="56FB33C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76 мм пушки (шт.)</w:t>
            </w:r>
          </w:p>
        </w:tc>
        <w:tc>
          <w:tcPr>
            <w:tcW w:w="1555" w:type="dxa"/>
          </w:tcPr>
          <w:p w14:paraId="7DFE23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2100</w:t>
            </w:r>
          </w:p>
        </w:tc>
        <w:tc>
          <w:tcPr>
            <w:tcW w:w="1421" w:type="dxa"/>
          </w:tcPr>
          <w:p w14:paraId="19954C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2064</w:t>
            </w:r>
          </w:p>
        </w:tc>
        <w:tc>
          <w:tcPr>
            <w:tcW w:w="854" w:type="dxa"/>
          </w:tcPr>
          <w:p w14:paraId="0FAC47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2100</w:t>
            </w:r>
          </w:p>
        </w:tc>
      </w:tr>
      <w:tr w:rsidR="00A259BD" w:rsidRPr="00A259BD" w14:paraId="2D378413" w14:textId="77777777">
        <w:trPr>
          <w:trHeight w:val="230"/>
        </w:trPr>
        <w:tc>
          <w:tcPr>
            <w:tcW w:w="2592" w:type="dxa"/>
          </w:tcPr>
          <w:p w14:paraId="5E3AB2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122 мм гаубицы (шт.)</w:t>
            </w:r>
          </w:p>
        </w:tc>
        <w:tc>
          <w:tcPr>
            <w:tcW w:w="1555" w:type="dxa"/>
          </w:tcPr>
          <w:p w14:paraId="0CDE55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760</w:t>
            </w:r>
          </w:p>
        </w:tc>
        <w:tc>
          <w:tcPr>
            <w:tcW w:w="1421" w:type="dxa"/>
          </w:tcPr>
          <w:p w14:paraId="4883058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1289</w:t>
            </w:r>
          </w:p>
        </w:tc>
        <w:tc>
          <w:tcPr>
            <w:tcW w:w="854" w:type="dxa"/>
          </w:tcPr>
          <w:p w14:paraId="65774F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760</w:t>
            </w:r>
          </w:p>
        </w:tc>
      </w:tr>
      <w:tr w:rsidR="00A259BD" w:rsidRPr="00A259BD" w14:paraId="0C3525A2" w14:textId="77777777">
        <w:trPr>
          <w:trHeight w:val="240"/>
        </w:trPr>
        <w:tc>
          <w:tcPr>
            <w:tcW w:w="2592" w:type="dxa"/>
          </w:tcPr>
          <w:p w14:paraId="45D28E8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1,52 мм гаубицы (шт.)</w:t>
            </w:r>
          </w:p>
        </w:tc>
        <w:tc>
          <w:tcPr>
            <w:tcW w:w="1555" w:type="dxa"/>
          </w:tcPr>
          <w:p w14:paraId="39B322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190</w:t>
            </w:r>
          </w:p>
        </w:tc>
        <w:tc>
          <w:tcPr>
            <w:tcW w:w="1421" w:type="dxa"/>
          </w:tcPr>
          <w:p w14:paraId="283E23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854" w:type="dxa"/>
          </w:tcPr>
          <w:p w14:paraId="72DFBBD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190</w:t>
            </w:r>
          </w:p>
        </w:tc>
      </w:tr>
      <w:tr w:rsidR="00A259BD" w:rsidRPr="00A259BD" w14:paraId="7DDE65AB" w14:textId="77777777">
        <w:trPr>
          <w:trHeight w:val="221"/>
        </w:trPr>
        <w:tc>
          <w:tcPr>
            <w:tcW w:w="2592" w:type="dxa"/>
          </w:tcPr>
          <w:p w14:paraId="6DF170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107 мм пушки (шт.)</w:t>
            </w:r>
          </w:p>
        </w:tc>
        <w:tc>
          <w:tcPr>
            <w:tcW w:w="1555" w:type="dxa"/>
          </w:tcPr>
          <w:p w14:paraId="62673E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c>
          <w:tcPr>
            <w:tcW w:w="1421" w:type="dxa"/>
          </w:tcPr>
          <w:p w14:paraId="2DE54EF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260</w:t>
            </w:r>
          </w:p>
        </w:tc>
        <w:tc>
          <w:tcPr>
            <w:tcW w:w="854" w:type="dxa"/>
          </w:tcPr>
          <w:p w14:paraId="5113C0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r>
      <w:tr w:rsidR="00A259BD" w:rsidRPr="00A259BD" w14:paraId="116814F8" w14:textId="77777777">
        <w:trPr>
          <w:trHeight w:val="221"/>
        </w:trPr>
        <w:tc>
          <w:tcPr>
            <w:tcW w:w="2592" w:type="dxa"/>
          </w:tcPr>
          <w:p w14:paraId="57EF5C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Тяжелая артиллерия (шт.)</w:t>
            </w:r>
          </w:p>
        </w:tc>
        <w:tc>
          <w:tcPr>
            <w:tcW w:w="1555" w:type="dxa"/>
          </w:tcPr>
          <w:p w14:paraId="14B07C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138</w:t>
            </w:r>
          </w:p>
        </w:tc>
        <w:tc>
          <w:tcPr>
            <w:tcW w:w="1421" w:type="dxa"/>
          </w:tcPr>
          <w:p w14:paraId="5194A8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228</w:t>
            </w:r>
          </w:p>
        </w:tc>
        <w:tc>
          <w:tcPr>
            <w:tcW w:w="854" w:type="dxa"/>
          </w:tcPr>
          <w:p w14:paraId="4F05179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138</w:t>
            </w:r>
          </w:p>
        </w:tc>
      </w:tr>
      <w:tr w:rsidR="00A259BD" w:rsidRPr="00A259BD" w14:paraId="7D922322" w14:textId="77777777">
        <w:trPr>
          <w:trHeight w:val="221"/>
        </w:trPr>
        <w:tc>
          <w:tcPr>
            <w:tcW w:w="2592" w:type="dxa"/>
          </w:tcPr>
          <w:p w14:paraId="60F918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Танки (шт.)</w:t>
            </w:r>
          </w:p>
        </w:tc>
        <w:tc>
          <w:tcPr>
            <w:tcW w:w="1555" w:type="dxa"/>
          </w:tcPr>
          <w:p w14:paraId="4F253F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1055</w:t>
            </w:r>
          </w:p>
        </w:tc>
        <w:tc>
          <w:tcPr>
            <w:tcW w:w="1421" w:type="dxa"/>
          </w:tcPr>
          <w:p w14:paraId="630B68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w:t>
            </w:r>
          </w:p>
        </w:tc>
        <w:tc>
          <w:tcPr>
            <w:tcW w:w="854" w:type="dxa"/>
          </w:tcPr>
          <w:p w14:paraId="47A41A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1055</w:t>
            </w:r>
          </w:p>
        </w:tc>
      </w:tr>
      <w:tr w:rsidR="00A259BD" w:rsidRPr="00A259BD" w14:paraId="3C99FE7F" w14:textId="77777777">
        <w:trPr>
          <w:trHeight w:val="221"/>
        </w:trPr>
        <w:tc>
          <w:tcPr>
            <w:tcW w:w="2592" w:type="dxa"/>
          </w:tcPr>
          <w:p w14:paraId="6A5AD8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Самолеты (шт.)</w:t>
            </w:r>
          </w:p>
        </w:tc>
        <w:tc>
          <w:tcPr>
            <w:tcW w:w="1555" w:type="dxa"/>
          </w:tcPr>
          <w:p w14:paraId="3A3ADC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4360</w:t>
            </w:r>
          </w:p>
        </w:tc>
        <w:tc>
          <w:tcPr>
            <w:tcW w:w="1421" w:type="dxa"/>
          </w:tcPr>
          <w:p w14:paraId="7F29F9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6865</w:t>
            </w:r>
          </w:p>
        </w:tc>
        <w:tc>
          <w:tcPr>
            <w:tcW w:w="854" w:type="dxa"/>
          </w:tcPr>
          <w:p w14:paraId="085B961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4360</w:t>
            </w:r>
          </w:p>
        </w:tc>
      </w:tr>
      <w:tr w:rsidR="00A259BD" w:rsidRPr="00A259BD" w14:paraId="5D5093C0" w14:textId="77777777">
        <w:trPr>
          <w:trHeight w:val="250"/>
        </w:trPr>
        <w:tc>
          <w:tcPr>
            <w:tcW w:w="2592" w:type="dxa"/>
            <w:tcBorders>
              <w:bottom w:val="single" w:sz="12" w:space="0" w:color="auto"/>
            </w:tcBorders>
          </w:tcPr>
          <w:p w14:paraId="7AC517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Авиамоторы (шт.)</w:t>
            </w:r>
          </w:p>
        </w:tc>
        <w:tc>
          <w:tcPr>
            <w:tcW w:w="1555" w:type="dxa"/>
            <w:tcBorders>
              <w:bottom w:val="single" w:sz="12" w:space="0" w:color="auto"/>
            </w:tcBorders>
          </w:tcPr>
          <w:p w14:paraId="7625EF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4848</w:t>
            </w:r>
          </w:p>
        </w:tc>
        <w:tc>
          <w:tcPr>
            <w:tcW w:w="1421" w:type="dxa"/>
            <w:tcBorders>
              <w:bottom w:val="single" w:sz="12" w:space="0" w:color="auto"/>
            </w:tcBorders>
          </w:tcPr>
          <w:p w14:paraId="286DEC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8010</w:t>
            </w:r>
          </w:p>
        </w:tc>
        <w:tc>
          <w:tcPr>
            <w:tcW w:w="854" w:type="dxa"/>
            <w:tcBorders>
              <w:bottom w:val="single" w:sz="12" w:space="0" w:color="auto"/>
            </w:tcBorders>
          </w:tcPr>
          <w:p w14:paraId="1C0A97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4848</w:t>
            </w:r>
          </w:p>
        </w:tc>
      </w:tr>
    </w:tbl>
    <w:p w14:paraId="77410D0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ГАРФ ф. 8418, оп. 17, д. 2, л. 246-249.</w:t>
      </w:r>
    </w:p>
    <w:p w14:paraId="159DD5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Оперативный вариант </w:t>
      </w:r>
      <w:proofErr w:type="spellStart"/>
      <w:r w:rsidRPr="00A259BD">
        <w:rPr>
          <w:rFonts w:ascii="Times New Roman" w:hAnsi="Times New Roman"/>
          <w:color w:val="000000" w:themeColor="text1"/>
          <w:sz w:val="16"/>
          <w:szCs w:val="16"/>
        </w:rPr>
        <w:t>мобзаявки</w:t>
      </w:r>
      <w:proofErr w:type="spellEnd"/>
      <w:r w:rsidRPr="00A259BD">
        <w:rPr>
          <w:rFonts w:ascii="Times New Roman" w:hAnsi="Times New Roman"/>
          <w:color w:val="000000" w:themeColor="text1"/>
          <w:sz w:val="16"/>
          <w:szCs w:val="16"/>
        </w:rPr>
        <w:t xml:space="preserve"> НКВМ имел следующее про</w:t>
      </w:r>
      <w:r w:rsidRPr="00A259BD">
        <w:rPr>
          <w:rFonts w:ascii="Times New Roman" w:hAnsi="Times New Roman"/>
          <w:color w:val="000000" w:themeColor="text1"/>
          <w:sz w:val="16"/>
          <w:szCs w:val="16"/>
        </w:rPr>
        <w:softHyphen/>
        <w:t>исхождение.</w:t>
      </w:r>
    </w:p>
    <w:p w14:paraId="6310C7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вступления в действие варианта двух последних лет пер</w:t>
      </w:r>
      <w:r w:rsidRPr="00A259BD">
        <w:rPr>
          <w:rFonts w:ascii="Times New Roman" w:hAnsi="Times New Roman"/>
          <w:color w:val="000000" w:themeColor="text1"/>
          <w:sz w:val="16"/>
          <w:szCs w:val="16"/>
        </w:rPr>
        <w:softHyphen/>
        <w:t>вой пятилетки Военному ведомству необходимо было предло</w:t>
      </w:r>
      <w:r w:rsidRPr="00A259BD">
        <w:rPr>
          <w:rFonts w:ascii="Times New Roman" w:hAnsi="Times New Roman"/>
          <w:color w:val="000000" w:themeColor="text1"/>
          <w:sz w:val="16"/>
          <w:szCs w:val="16"/>
        </w:rPr>
        <w:softHyphen/>
        <w:t>жить промышленности какое-то, хотя бы минимальное, но выпол</w:t>
      </w:r>
      <w:r w:rsidRPr="00A259BD">
        <w:rPr>
          <w:rFonts w:ascii="Times New Roman" w:hAnsi="Times New Roman"/>
          <w:color w:val="000000" w:themeColor="text1"/>
          <w:sz w:val="16"/>
          <w:szCs w:val="16"/>
        </w:rPr>
        <w:softHyphen/>
        <w:t>нимое оперативное задание, которому и присвоили литер “С-30”. Дело в том, что между мобилизационной заявкой НКВМ и пла</w:t>
      </w:r>
      <w:r w:rsidRPr="00A259BD">
        <w:rPr>
          <w:rFonts w:ascii="Times New Roman" w:hAnsi="Times New Roman"/>
          <w:color w:val="000000" w:themeColor="text1"/>
          <w:sz w:val="16"/>
          <w:szCs w:val="16"/>
        </w:rPr>
        <w:softHyphen/>
        <w:t>ном текущих его заказов на предметы вооружения и боевой тех</w:t>
      </w:r>
      <w:r w:rsidRPr="00A259BD">
        <w:rPr>
          <w:rFonts w:ascii="Times New Roman" w:hAnsi="Times New Roman"/>
          <w:color w:val="000000" w:themeColor="text1"/>
          <w:sz w:val="16"/>
          <w:szCs w:val="16"/>
        </w:rPr>
        <w:softHyphen/>
        <w:t>ники имел место большой разрыв, замедлявший темпы мобилиза</w:t>
      </w:r>
      <w:r w:rsidRPr="00A259BD">
        <w:rPr>
          <w:rFonts w:ascii="Times New Roman" w:hAnsi="Times New Roman"/>
          <w:color w:val="000000" w:themeColor="text1"/>
          <w:sz w:val="16"/>
          <w:szCs w:val="16"/>
        </w:rPr>
        <w:softHyphen/>
        <w:t>ционного развертывания военно-промышленных предприятий. Известно, что чем ниже загрузка промышленного предприятия Выполнением военного заказа, тем ниже темпы его мобилизаци</w:t>
      </w:r>
      <w:r w:rsidRPr="00A259BD">
        <w:rPr>
          <w:rFonts w:ascii="Times New Roman" w:hAnsi="Times New Roman"/>
          <w:color w:val="000000" w:themeColor="text1"/>
          <w:sz w:val="16"/>
          <w:szCs w:val="16"/>
        </w:rPr>
        <w:softHyphen/>
        <w:t>онного развертывания во время войны. Военно-промышленные 'Предприятия, разумеется, не должны в мирное время работать на склад, а должны использовать свои избыточные мощности для производства мирной продукции.</w:t>
      </w:r>
    </w:p>
    <w:tbl>
      <w:tblPr>
        <w:tblW w:w="0" w:type="auto"/>
        <w:tblInd w:w="40" w:type="dxa"/>
        <w:tblLayout w:type="fixed"/>
        <w:tblCellMar>
          <w:left w:w="40" w:type="dxa"/>
          <w:right w:w="40" w:type="dxa"/>
        </w:tblCellMar>
        <w:tblLook w:val="0000" w:firstRow="0" w:lastRow="0" w:firstColumn="0" w:lastColumn="0" w:noHBand="0" w:noVBand="0"/>
      </w:tblPr>
      <w:tblGrid>
        <w:gridCol w:w="2938"/>
        <w:gridCol w:w="2026"/>
        <w:gridCol w:w="1469"/>
      </w:tblGrid>
      <w:tr w:rsidR="00A259BD" w:rsidRPr="00A259BD" w14:paraId="3FF2EA46" w14:textId="77777777">
        <w:trPr>
          <w:trHeight w:val="547"/>
        </w:trPr>
        <w:tc>
          <w:tcPr>
            <w:tcW w:w="2938" w:type="dxa"/>
            <w:tcBorders>
              <w:top w:val="single" w:sz="12" w:space="0" w:color="auto"/>
              <w:left w:val="single" w:sz="12" w:space="0" w:color="auto"/>
              <w:bottom w:val="single" w:sz="6" w:space="0" w:color="auto"/>
              <w:right w:val="single" w:sz="6" w:space="0" w:color="auto"/>
            </w:tcBorders>
          </w:tcPr>
          <w:p w14:paraId="15B045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12" w:space="0" w:color="auto"/>
              <w:left w:val="single" w:sz="6" w:space="0" w:color="auto"/>
              <w:bottom w:val="single" w:sz="6" w:space="0" w:color="auto"/>
              <w:right w:val="single" w:sz="6" w:space="0" w:color="auto"/>
            </w:tcBorders>
          </w:tcPr>
          <w:p w14:paraId="2679CAB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Мобзаявка</w:t>
            </w:r>
            <w:proofErr w:type="spellEnd"/>
            <w:r w:rsidRPr="00A259BD">
              <w:rPr>
                <w:rFonts w:ascii="Times New Roman" w:hAnsi="Times New Roman"/>
                <w:color w:val="000000" w:themeColor="text1"/>
                <w:sz w:val="16"/>
                <w:szCs w:val="16"/>
              </w:rPr>
              <w:t xml:space="preserve"> НКВМ на 1930 г.</w:t>
            </w:r>
          </w:p>
        </w:tc>
        <w:tc>
          <w:tcPr>
            <w:tcW w:w="1469" w:type="dxa"/>
            <w:tcBorders>
              <w:top w:val="single" w:sz="12" w:space="0" w:color="auto"/>
              <w:left w:val="single" w:sz="6" w:space="0" w:color="auto"/>
              <w:bottom w:val="single" w:sz="6" w:space="0" w:color="auto"/>
              <w:right w:val="single" w:sz="12" w:space="0" w:color="auto"/>
            </w:tcBorders>
          </w:tcPr>
          <w:p w14:paraId="29626C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План заказа на 1929/30 г.</w:t>
            </w:r>
          </w:p>
        </w:tc>
      </w:tr>
      <w:tr w:rsidR="00A259BD" w:rsidRPr="00A259BD" w14:paraId="1F3E1F32" w14:textId="77777777">
        <w:trPr>
          <w:trHeight w:val="1574"/>
        </w:trPr>
        <w:tc>
          <w:tcPr>
            <w:tcW w:w="2938" w:type="dxa"/>
            <w:tcBorders>
              <w:top w:val="single" w:sz="6" w:space="0" w:color="auto"/>
              <w:left w:val="single" w:sz="12" w:space="0" w:color="auto"/>
              <w:bottom w:val="single" w:sz="12" w:space="0" w:color="auto"/>
              <w:right w:val="single" w:sz="6" w:space="0" w:color="auto"/>
            </w:tcBorders>
          </w:tcPr>
          <w:p w14:paraId="651268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Артсистемы (шт.)</w:t>
            </w:r>
          </w:p>
          <w:p w14:paraId="0E3384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Артснаряды (млн. шт.)</w:t>
            </w:r>
          </w:p>
          <w:p w14:paraId="695BE5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Пулеметы (шт.)</w:t>
            </w:r>
          </w:p>
          <w:p w14:paraId="05783A4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Винтовки (тыс. шт.)</w:t>
            </w:r>
          </w:p>
          <w:p w14:paraId="70615D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Винтпатроны</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млрд.шт</w:t>
            </w:r>
            <w:proofErr w:type="spellEnd"/>
            <w:r w:rsidRPr="00A259BD">
              <w:rPr>
                <w:rFonts w:ascii="Times New Roman" w:hAnsi="Times New Roman"/>
                <w:color w:val="000000" w:themeColor="text1"/>
                <w:sz w:val="16"/>
                <w:szCs w:val="16"/>
              </w:rPr>
              <w:t>.)</w:t>
            </w:r>
          </w:p>
          <w:p w14:paraId="624B48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Таки (шт.)</w:t>
            </w:r>
          </w:p>
          <w:p w14:paraId="7D202E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Самолеты (шт.)</w:t>
            </w:r>
          </w:p>
          <w:p w14:paraId="56B016A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12" w:space="0" w:color="auto"/>
              <w:right w:val="single" w:sz="6" w:space="0" w:color="auto"/>
            </w:tcBorders>
          </w:tcPr>
          <w:p w14:paraId="3C612C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3250</w:t>
            </w:r>
          </w:p>
          <w:p w14:paraId="76F4262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w:t>
            </w:r>
          </w:p>
          <w:p w14:paraId="0F696E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62500</w:t>
            </w:r>
          </w:p>
          <w:p w14:paraId="5AC9C2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w:t>
            </w:r>
          </w:p>
          <w:p w14:paraId="09353FF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p w14:paraId="5AE3DB8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1055</w:t>
            </w:r>
          </w:p>
          <w:p w14:paraId="726A44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4360</w:t>
            </w:r>
          </w:p>
          <w:p w14:paraId="71C572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12" w:space="0" w:color="auto"/>
              <w:right w:val="single" w:sz="12" w:space="0" w:color="auto"/>
            </w:tcBorders>
          </w:tcPr>
          <w:p w14:paraId="3EB8D7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999</w:t>
            </w:r>
          </w:p>
          <w:p w14:paraId="543100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p w14:paraId="76F3D4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26500</w:t>
            </w:r>
          </w:p>
          <w:p w14:paraId="032268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w:t>
            </w:r>
          </w:p>
          <w:p w14:paraId="5A045B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0,25</w:t>
            </w:r>
          </w:p>
          <w:p w14:paraId="7431319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340</w:t>
            </w:r>
          </w:p>
          <w:p w14:paraId="1E491B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1232</w:t>
            </w:r>
          </w:p>
          <w:p w14:paraId="75A03C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D3F7E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ГАРФ ф. 8418, оп. 25, д. 14, л. 2.</w:t>
      </w:r>
    </w:p>
    <w:p w14:paraId="77DA78B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Мобилизационный план “С-30”, таким образом, имел как бы не вполне законный характер, ибо принималась во внимание не реальная потребность советских вооруженных сил на случай войны, а недостаточная возможность советской промышленности удовлетворить эту реальную потребность.</w:t>
      </w:r>
    </w:p>
    <w:p w14:paraId="135527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дальнейшем Бренное ведомство разработало вариант “10” </w:t>
      </w:r>
      <w:proofErr w:type="spellStart"/>
      <w:r w:rsidRPr="00A259BD">
        <w:rPr>
          <w:rFonts w:ascii="Times New Roman" w:hAnsi="Times New Roman"/>
          <w:color w:val="000000" w:themeColor="text1"/>
          <w:sz w:val="16"/>
          <w:szCs w:val="16"/>
        </w:rPr>
        <w:t>мобплана</w:t>
      </w:r>
      <w:proofErr w:type="spellEnd"/>
      <w:r w:rsidRPr="00A259BD">
        <w:rPr>
          <w:rFonts w:ascii="Times New Roman" w:hAnsi="Times New Roman"/>
          <w:color w:val="000000" w:themeColor="text1"/>
          <w:sz w:val="16"/>
          <w:szCs w:val="16"/>
        </w:rPr>
        <w:t xml:space="preserve"> “С-30”, по которому потребности НКВМ в случае вой</w:t>
      </w:r>
      <w:r w:rsidRPr="00A259BD">
        <w:rPr>
          <w:rFonts w:ascii="Times New Roman" w:hAnsi="Times New Roman"/>
          <w:color w:val="000000" w:themeColor="text1"/>
          <w:sz w:val="16"/>
          <w:szCs w:val="16"/>
        </w:rPr>
        <w:softHyphen/>
        <w:t xml:space="preserve">ны к началу 1932 г. определялись в 5735 млн. </w:t>
      </w:r>
      <w:proofErr w:type="spellStart"/>
      <w:r w:rsidRPr="00A259BD">
        <w:rPr>
          <w:rFonts w:ascii="Times New Roman" w:hAnsi="Times New Roman"/>
          <w:color w:val="000000" w:themeColor="text1"/>
          <w:sz w:val="16"/>
          <w:szCs w:val="16"/>
        </w:rPr>
        <w:t>винтпатронов</w:t>
      </w:r>
      <w:proofErr w:type="spellEnd"/>
      <w:r w:rsidRPr="00A259BD">
        <w:rPr>
          <w:rFonts w:ascii="Times New Roman" w:hAnsi="Times New Roman"/>
          <w:color w:val="000000" w:themeColor="text1"/>
          <w:sz w:val="16"/>
          <w:szCs w:val="16"/>
        </w:rPr>
        <w:t xml:space="preserve">, 96600 </w:t>
      </w:r>
      <w:proofErr w:type="spellStart"/>
      <w:r w:rsidRPr="00A259BD">
        <w:rPr>
          <w:rFonts w:ascii="Times New Roman" w:hAnsi="Times New Roman"/>
          <w:color w:val="000000" w:themeColor="text1"/>
          <w:sz w:val="16"/>
          <w:szCs w:val="16"/>
        </w:rPr>
        <w:t>артвыстрелов</w:t>
      </w:r>
      <w:proofErr w:type="spellEnd"/>
      <w:r w:rsidRPr="00A259BD">
        <w:rPr>
          <w:rFonts w:ascii="Times New Roman" w:hAnsi="Times New Roman"/>
          <w:color w:val="000000" w:themeColor="text1"/>
          <w:sz w:val="16"/>
          <w:szCs w:val="16"/>
        </w:rPr>
        <w:t>, 7632 танка, 7098 самолетов и 9460 мо</w:t>
      </w:r>
      <w:r w:rsidRPr="00A259BD">
        <w:rPr>
          <w:rFonts w:ascii="Times New Roman" w:hAnsi="Times New Roman"/>
          <w:color w:val="000000" w:themeColor="text1"/>
          <w:sz w:val="16"/>
          <w:szCs w:val="16"/>
        </w:rPr>
        <w:softHyphen/>
        <w:t>торов /52/.</w:t>
      </w:r>
    </w:p>
    <w:p w14:paraId="44DEBC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литературе, за исключением мемуаров Маршала Советского Союза </w:t>
      </w:r>
      <w:proofErr w:type="spellStart"/>
      <w:r w:rsidRPr="00A259BD">
        <w:rPr>
          <w:rFonts w:ascii="Times New Roman" w:hAnsi="Times New Roman"/>
          <w:color w:val="000000" w:themeColor="text1"/>
          <w:sz w:val="16"/>
          <w:szCs w:val="16"/>
        </w:rPr>
        <w:t>Г.К.Жукова</w:t>
      </w:r>
      <w:proofErr w:type="spellEnd"/>
      <w:r w:rsidRPr="00A259BD">
        <w:rPr>
          <w:rFonts w:ascii="Times New Roman" w:hAnsi="Times New Roman"/>
          <w:color w:val="000000" w:themeColor="text1"/>
          <w:sz w:val="16"/>
          <w:szCs w:val="16"/>
        </w:rPr>
        <w:t>, значение первых мобилизационных планов развития советской промышленности, вытекающих из постанов</w:t>
      </w:r>
      <w:r w:rsidRPr="00A259BD">
        <w:rPr>
          <w:rFonts w:ascii="Times New Roman" w:hAnsi="Times New Roman"/>
          <w:color w:val="000000" w:themeColor="text1"/>
          <w:sz w:val="16"/>
          <w:szCs w:val="16"/>
        </w:rPr>
        <w:softHyphen/>
        <w:t>ления Политбюро ЦК ВКП(б) от 15 июля 1929 г. “О состоянии обороны страны”, для основных направлений социально-экономи</w:t>
      </w:r>
      <w:r w:rsidRPr="00A259BD">
        <w:rPr>
          <w:rFonts w:ascii="Times New Roman" w:hAnsi="Times New Roman"/>
          <w:color w:val="000000" w:themeColor="text1"/>
          <w:sz w:val="16"/>
          <w:szCs w:val="16"/>
        </w:rPr>
        <w:softHyphen/>
        <w:t>ческого развития страны в 30-е годы, как правило, не учитыва</w:t>
      </w:r>
      <w:r w:rsidRPr="00A259BD">
        <w:rPr>
          <w:rFonts w:ascii="Times New Roman" w:hAnsi="Times New Roman"/>
          <w:color w:val="000000" w:themeColor="text1"/>
          <w:sz w:val="16"/>
          <w:szCs w:val="16"/>
        </w:rPr>
        <w:softHyphen/>
        <w:t>ется, равно как и обусловившая его появление “военная тревога” 1927 года.</w:t>
      </w:r>
    </w:p>
    <w:p w14:paraId="2FFF13B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Г.КЖуков</w:t>
      </w:r>
      <w:proofErr w:type="spellEnd"/>
      <w:r w:rsidRPr="00A259BD">
        <w:rPr>
          <w:rFonts w:ascii="Times New Roman" w:hAnsi="Times New Roman"/>
          <w:color w:val="000000" w:themeColor="text1"/>
          <w:sz w:val="16"/>
          <w:szCs w:val="16"/>
        </w:rPr>
        <w:t xml:space="preserve"> пишет: “В середине 1929 г. Центральный Комитет партии принимает постановление “О состоянии обороны страны”, в котором излагается линия на коренную техническую реконст</w:t>
      </w:r>
      <w:r w:rsidRPr="00A259BD">
        <w:rPr>
          <w:rFonts w:ascii="Times New Roman" w:hAnsi="Times New Roman"/>
          <w:color w:val="000000" w:themeColor="text1"/>
          <w:sz w:val="16"/>
          <w:szCs w:val="16"/>
        </w:rPr>
        <w:softHyphen/>
        <w:t>рукцию армии, авиации и флота. ...Это постановление легло в ос</w:t>
      </w:r>
      <w:r w:rsidRPr="00A259BD">
        <w:rPr>
          <w:rFonts w:ascii="Times New Roman" w:hAnsi="Times New Roman"/>
          <w:color w:val="000000" w:themeColor="text1"/>
          <w:sz w:val="16"/>
          <w:szCs w:val="16"/>
        </w:rPr>
        <w:softHyphen/>
        <w:t>нову первого пятилетнего плана военного строительства, кото</w:t>
      </w:r>
      <w:r w:rsidRPr="00A259BD">
        <w:rPr>
          <w:rFonts w:ascii="Times New Roman" w:hAnsi="Times New Roman"/>
          <w:color w:val="000000" w:themeColor="text1"/>
          <w:sz w:val="16"/>
          <w:szCs w:val="16"/>
        </w:rPr>
        <w:softHyphen/>
        <w:t>рый, кроме всего прочего, предусматривал создание новых тех</w:t>
      </w:r>
      <w:r w:rsidRPr="00A259BD">
        <w:rPr>
          <w:rFonts w:ascii="Times New Roman" w:hAnsi="Times New Roman"/>
          <w:color w:val="000000" w:themeColor="text1"/>
          <w:sz w:val="16"/>
          <w:szCs w:val="16"/>
        </w:rPr>
        <w:softHyphen/>
        <w:t>нических родов войск, моторизацию и организационную пере</w:t>
      </w:r>
      <w:r w:rsidRPr="00A259BD">
        <w:rPr>
          <w:rFonts w:ascii="Times New Roman" w:hAnsi="Times New Roman"/>
          <w:color w:val="000000" w:themeColor="text1"/>
          <w:sz w:val="16"/>
          <w:szCs w:val="16"/>
        </w:rPr>
        <w:softHyphen/>
        <w:t>стройку старых родов войск, массовую подготовку технических кадров и овладение новой техникой всем личным составом”.</w:t>
      </w:r>
    </w:p>
    <w:p w14:paraId="67A33E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Георгий Константинович мог бы еще добавить, безо всякого преувеличения, что отмеченное им постановление легло в основу первого пятилетнего плана развития народного хозяйства СССР, так как определило его главные приоритеты (1566,69).</w:t>
      </w:r>
    </w:p>
    <w:p w14:paraId="7CAB103B" w14:textId="77777777" w:rsidR="00F547C5" w:rsidRPr="00A259BD" w:rsidRDefault="00F547C5" w:rsidP="009236E3">
      <w:pPr>
        <w:spacing w:after="0" w:line="240" w:lineRule="auto"/>
        <w:jc w:val="both"/>
        <w:rPr>
          <w:rFonts w:ascii="Times New Roman" w:hAnsi="Times New Roman"/>
          <w:color w:val="000000" w:themeColor="text1"/>
          <w:sz w:val="16"/>
          <w:szCs w:val="16"/>
        </w:rPr>
      </w:pPr>
    </w:p>
    <w:p w14:paraId="499AA863" w14:textId="77777777" w:rsidR="0089707B" w:rsidRPr="00A259BD" w:rsidRDefault="0089707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июля 1929 г.  вышло Постановление Политбюро «О состоянии обороны СССР» (1929), которое было опубликовано с большими сокращениями. Второе постановление, «О военной промышленности», по-видимому, вообще не было опубликовано, и распространялось как секретный документ. Ему был присвоен высший гриф секретности («Совершенно секретно. Особо важно, хранить на правах шифра»), и единственные пять копий были разосланы в ЦК ВКП(б), Я. Э. Рудзутаку в РЗ СТО, Я. А. Яковлеву в Рабкрин, М. Л. </w:t>
      </w:r>
      <w:proofErr w:type="spellStart"/>
      <w:r w:rsidRPr="00A259BD">
        <w:rPr>
          <w:rFonts w:ascii="Times New Roman" w:hAnsi="Times New Roman"/>
          <w:color w:val="000000" w:themeColor="text1"/>
          <w:sz w:val="16"/>
          <w:szCs w:val="16"/>
        </w:rPr>
        <w:t>Рухимовичу</w:t>
      </w:r>
      <w:proofErr w:type="spellEnd"/>
      <w:r w:rsidRPr="00A259BD">
        <w:rPr>
          <w:rFonts w:ascii="Times New Roman" w:hAnsi="Times New Roman"/>
          <w:color w:val="000000" w:themeColor="text1"/>
          <w:sz w:val="16"/>
          <w:szCs w:val="16"/>
        </w:rPr>
        <w:t xml:space="preserve"> в ВСНХ и К. Е. Ворошилову в НКВМ </w:t>
      </w:r>
      <w:hyperlink r:id="rId82" w:history="1">
        <w:r w:rsidRPr="00A259BD">
          <w:rPr>
            <w:rStyle w:val="a5"/>
            <w:rFonts w:ascii="Times New Roman" w:hAnsi="Times New Roman"/>
            <w:color w:val="000000" w:themeColor="text1"/>
            <w:sz w:val="16"/>
            <w:szCs w:val="16"/>
          </w:rPr>
          <w:t>{252}</w:t>
        </w:r>
      </w:hyperlink>
      <w:r w:rsidRPr="00A259BD">
        <w:rPr>
          <w:rFonts w:ascii="Times New Roman" w:hAnsi="Times New Roman"/>
          <w:color w:val="000000" w:themeColor="text1"/>
          <w:sz w:val="16"/>
          <w:szCs w:val="16"/>
        </w:rPr>
        <w:t xml:space="preserve">. Поскольку видение ситуации политическим руководством страны, представленное в полной версии этих документов, существенно отличается от привычных интерпретаций, стоит остановиться на этом более подробно. </w:t>
      </w:r>
    </w:p>
    <w:p w14:paraId="4D3AA8AB" w14:textId="77777777" w:rsidR="0089707B" w:rsidRPr="00A259BD" w:rsidRDefault="0089707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 Политбюро ЦК ВКП(б) об обороне подвело итоги пяти лет «планового строительства вооружённых сил» и указало на позитивное значение введения элемента плановости в оборонные приготовления, проявляющейся, в том числе, в разработке пятилетнего плана строительства вооружённых сил и в расчетах потребностей армии на первый год войны.</w:t>
      </w:r>
    </w:p>
    <w:p w14:paraId="5E6585A1" w14:textId="77777777" w:rsidR="0089707B" w:rsidRPr="00A259BD" w:rsidRDefault="0089707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Однако гораздо больше внимания Политбюро уделило «огромным недостаткам» в армии и в деле подготовки страны к обороне. Техническая база вооружённых сил, говорилось в постановлении, очень слаба. Оснащение армии отстает в технологическом отношении от современных буржуазных армий. Нет никакой гарантии, что по мобилизации Красная Армия получит всё, что полагается по мобилизационному плану. Ресурсов, даже с учетом импорта, явно недостаточно. Степень подготовленности промышленности, в том числе оборонной промышленности, к работе на нужды фронта совершенно неудовлетворительная. Сожаление Политбюро вызвал тот факт, что мобилизационный план на случай войны для промышленности так и не был сформулирован. План перехода промышленности на военные рельсы не отвечал нуждам армии. Одним из серьёзных недостатков было отсутствие плана мобилизации людских ресурсов. </w:t>
      </w:r>
    </w:p>
    <w:p w14:paraId="77C465B3" w14:textId="77777777" w:rsidR="0089707B" w:rsidRPr="00A259BD" w:rsidRDefault="0089707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то же время, утверждало Политбюро, «пятилетний план развития народного хозяйства создаёт благоприятные условия [для устранения отмеченных недостатков и] для значительного качественного и количественного повышения обороны СССР. Во втором пятилетии должна быть создана современная военно-техническая база для обороны». В постановлении говорилось о необходимости создания артиллерийской системы, которая соответствовала бы реальному экономическому потенциалу страны и отвечала бы при этом международным стандартам. Отсталость советской промышленности, однако, делала эту задачу «чрезвычайно трудной». Политбюро указало также на замедленные темпы разработки новых моделей оружия и внедрения их в серийное производство. Усовершенствования и обновления особенно требовал артиллерийский парк — нужны были новые полевые и зенитные орудия, дальнобойные пушки, мощные гаубицы и миномёты различных калибров. Красная Армия также нуждалась в крупнокалиберных пулеметах, химическом оружии, всех типах танков и бронемашин. </w:t>
      </w:r>
    </w:p>
    <w:p w14:paraId="447E79AA" w14:textId="77777777" w:rsidR="0089707B" w:rsidRPr="00A259BD" w:rsidRDefault="0089707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постановлении настойчиво подчеркивалась необходимость использования зарубежного опыта и зарубежной технической помощи. Уже в годы первой пятилетки советская промышленность имела сотни контрактов с западными фирмами. Особое внимание Политбюро уделило развитию авиации и авиационной промышленности. Качество и боеспособность советской авиации, говорилось в постановлении, не соответствуют современным требованиям. Главными причинами были названы отсутствие в СССР авиамоторной промышленности и массового производства самолетов. Совету труда и обороны в связи с этим поручалось пересмотреть планы развития оборонной промышленности и внести конкретные предложения, в том числе и по бюджету. Политбюро приветствовало «широкое использование иностранной технической помощи» в форме приглашения зарубежных специалистов-инструкторов и приобретения опытных образцов. Политбюро одобрило план развития вооружённых сил на период 1929–1934 гг. Были названы базовые принципы, на которых должен строиться план:</w:t>
      </w:r>
    </w:p>
    <w:p w14:paraId="430E4F7E" w14:textId="77777777" w:rsidR="0089707B" w:rsidRPr="00A259BD" w:rsidRDefault="0089707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в количественном отношении — не уступать возможному противнику на главном театре военных действий;</w:t>
      </w:r>
    </w:p>
    <w:p w14:paraId="170C5B5C" w14:textId="77777777" w:rsidR="0089707B" w:rsidRPr="00A259BD" w:rsidRDefault="0089707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в качественном отношении — иметь превосходство над противником по двум-трём стратегическим видам вооружений, а именно: авиации, артиллерии и танкам.</w:t>
      </w:r>
    </w:p>
    <w:p w14:paraId="50198FF1" w14:textId="77777777" w:rsidR="0089707B" w:rsidRPr="00A259BD" w:rsidRDefault="0089707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Планировалось, что численность армии по мобилизации составит 3 млн. чел. Численность авиации в мирное время должна составить 2000 боевых самолетов плюс 500 — в первом резервном эшелоне и до 1000 — в других резервах. Артиллерия должна насчитывать 9350 легких, тяжелых и противовоздушных орудий, а также 3400 малокалиберных артиллерийских систем (17208).</w:t>
      </w:r>
    </w:p>
    <w:p w14:paraId="7FB4013D" w14:textId="77777777" w:rsidR="0089707B" w:rsidRPr="00A259BD" w:rsidRDefault="0089707B" w:rsidP="009236E3">
      <w:pPr>
        <w:spacing w:after="0" w:line="240" w:lineRule="auto"/>
        <w:jc w:val="both"/>
        <w:rPr>
          <w:rFonts w:ascii="Times New Roman" w:hAnsi="Times New Roman"/>
          <w:color w:val="000000" w:themeColor="text1"/>
          <w:sz w:val="16"/>
          <w:szCs w:val="16"/>
        </w:rPr>
      </w:pPr>
    </w:p>
    <w:p w14:paraId="37A0888E" w14:textId="77777777" w:rsidR="001B4E55" w:rsidRPr="00A259BD" w:rsidRDefault="001B4E5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июля 1929 г. было принято Постановление Политбюро «О военной промышленности». В первой его части содержался подробный анализ имевшихся в промышленности недостатков: «огромная недооценка» оборонного потенциала, слишком долгий (1–1,5 года) период, необходимый для перехода промышленности на военные рельсы, существенный дисбаланс между отдельными отраслями и предприятиями оборонной промышленности. Начиная с 1927 г., целый ряд предприятий столкнулся с проблемой свёртывания производства или закрытия (Барановский завод, </w:t>
      </w:r>
      <w:proofErr w:type="spellStart"/>
      <w:r w:rsidRPr="00A259BD">
        <w:rPr>
          <w:rFonts w:ascii="Times New Roman" w:hAnsi="Times New Roman"/>
          <w:color w:val="000000" w:themeColor="text1"/>
          <w:sz w:val="16"/>
          <w:szCs w:val="16"/>
        </w:rPr>
        <w:t>Бахмановский</w:t>
      </w:r>
      <w:proofErr w:type="spellEnd"/>
      <w:r w:rsidRPr="00A259BD">
        <w:rPr>
          <w:rFonts w:ascii="Times New Roman" w:hAnsi="Times New Roman"/>
          <w:color w:val="000000" w:themeColor="text1"/>
          <w:sz w:val="16"/>
          <w:szCs w:val="16"/>
        </w:rPr>
        <w:t xml:space="preserve"> арсенал, Охтинский, Шлиссельбургский, Шосткинский и Тамбовский пороховые заводы). Адаптация к новым условиям шла медленно. К примеру, заводам «Большевик» и «Мотовилиха» два года не удавалось наладить танковое производство. В два раза медленнее, чем было предусмотрено планом, развивалось производство зенитных орудий. Не была подготовлена ремонтная база для ремонта артиллерийского и стрелкового оружия в военное время. Отсутствие отлаженного </w:t>
      </w:r>
      <w:proofErr w:type="spellStart"/>
      <w:r w:rsidRPr="00A259BD">
        <w:rPr>
          <w:rFonts w:ascii="Times New Roman" w:hAnsi="Times New Roman"/>
          <w:color w:val="000000" w:themeColor="text1"/>
          <w:sz w:val="16"/>
          <w:szCs w:val="16"/>
        </w:rPr>
        <w:t>лекально</w:t>
      </w:r>
      <w:proofErr w:type="spellEnd"/>
      <w:r w:rsidRPr="00A259BD">
        <w:rPr>
          <w:rFonts w:ascii="Times New Roman" w:hAnsi="Times New Roman"/>
          <w:color w:val="000000" w:themeColor="text1"/>
          <w:sz w:val="16"/>
          <w:szCs w:val="16"/>
        </w:rPr>
        <w:t xml:space="preserve">-инструментального дела способствовало затягиванию мобилизационного периода. Имеющиеся запасы машин и механизмов не использовались по назначению и постепенно приходили в упадок, между тем как наверху решался вопрос о закупке новых машин и механизмов за рубежом. Очень медленно шёл процесс внедрения новых изделий и образцов в производство: от разработки до массового производства нередко проходило 3–4 года. </w:t>
      </w:r>
    </w:p>
    <w:p w14:paraId="24A3921E" w14:textId="77777777" w:rsidR="001B4E55" w:rsidRPr="00A259BD" w:rsidRDefault="001B4E5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Технология производства на многих предприятиях была явно устаревшей, что объяснялось нежеланием «аппарата» оборонной промышленности вводить новую технику и развивать технологические процессы. Налицо была недостаточная отдача от освоения основного капитала оборонной промышленности и дефицит гражданской продукции. Неправильное использование ликвидных средств вело к росту цен. Вывод постановления гласил, что образовавшийся разрыв между оборонной промышленностью и нуждами обороны создал угрожающее положение, в результате которого Красная Армия не сможет воспользоваться накопленными ресурсами и не получит необходимых вооружений в случае начала войны.</w:t>
      </w:r>
    </w:p>
    <w:p w14:paraId="32295D45" w14:textId="77777777" w:rsidR="001B4E55" w:rsidRPr="00A259BD" w:rsidRDefault="001B4E5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Однако причина такого положения крылась, по мысли авторов постановления, отнюдь не в объективных условиях, а во вредительской работе», систематически, в течение многих лет осуществляемой некой «огромной контрреволюционной организацией», а также в недостаточной «бдительности» партячеек всех уровней </w:t>
      </w:r>
      <w:hyperlink r:id="rId83" w:history="1">
        <w:r w:rsidRPr="00A259BD">
          <w:rPr>
            <w:rStyle w:val="a5"/>
            <w:rFonts w:ascii="Times New Roman" w:hAnsi="Times New Roman"/>
            <w:color w:val="000000" w:themeColor="text1"/>
            <w:sz w:val="16"/>
            <w:szCs w:val="16"/>
          </w:rPr>
          <w:t>{265}</w:t>
        </w:r>
      </w:hyperlink>
      <w:r w:rsidRPr="00A259BD">
        <w:rPr>
          <w:rFonts w:ascii="Times New Roman" w:hAnsi="Times New Roman"/>
          <w:color w:val="000000" w:themeColor="text1"/>
          <w:sz w:val="16"/>
          <w:szCs w:val="16"/>
        </w:rPr>
        <w:t xml:space="preserve">. Позиция тех администраторов-коммунистов, которые слепо доверяли старым «спецам», была подвергнута критике. Ужесточение режима секретности на предприятиях сделало невозможным участие рабочих (как беспартийных, так и коммунистов) в организации и рационализации производственного процесса. Совместными усилиями РКИ и ОГПУ была выявлена реальная картина положения дел в оборонных отраслях, имевшая мало общего с прежними оптимистическими отчетами, составленными для ЦК и правительства. Незначительные успехи, которые были достигнуты в оборонной промышленности за минувший период, не шли ни в какое сравнение с затраченным на них временем. </w:t>
      </w:r>
    </w:p>
    <w:p w14:paraId="77EBE7C5" w14:textId="77777777" w:rsidR="001B4E55" w:rsidRPr="00A259BD" w:rsidRDefault="001B4E5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Политбюро подвергло жёсткой критике плохую подготовку промышленной мобилизации. ВСНХ было поручено пересмотреть мобилизационный план в сторону более рационального размещения предприятий, а также перераспределить производственные задания между предприятиями, исходя из военно-экономической значимости того или иного региона. Связи между военными и гражданскими отраслями промышленности должны были стать более тесными. Необходимо было более чётко соблюдать специализацию в области производства вооружений. В постановлении также подчеркивалась необходимость кооперации между гражданским и военным производством. Регулярные учебные мобилизации должны были стать нормой жизни промышленности (17208). </w:t>
      </w:r>
    </w:p>
    <w:p w14:paraId="30276A40" w14:textId="77777777" w:rsidR="001B4E55" w:rsidRPr="00A259BD" w:rsidRDefault="001B4E55" w:rsidP="009236E3">
      <w:pPr>
        <w:spacing w:after="0" w:line="240" w:lineRule="auto"/>
        <w:jc w:val="both"/>
        <w:rPr>
          <w:rFonts w:ascii="Times New Roman" w:hAnsi="Times New Roman"/>
          <w:color w:val="000000" w:themeColor="text1"/>
          <w:sz w:val="16"/>
          <w:szCs w:val="16"/>
        </w:rPr>
      </w:pPr>
    </w:p>
    <w:p w14:paraId="7323F27D" w14:textId="77777777" w:rsidR="00692ACC" w:rsidRPr="00A259BD" w:rsidRDefault="00692AC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июля 1929 г. были приняты два Постановления Политбюро: «О состоянии обороны СССР» и «О военной промышленности». Оба постановления имели гриф «Совершенно секретно». Второй документ особенно важен в плане понимания вопроса о развитии оборонной промышленности в стране. В постановлении «О военной промышленности» была поставлена точка в многочисленных дискуссиях о характере современной войны и размерах необходимых военных приготовлений. Было четко определено, что война будет отличаться «крайней напряженностью», «громадным масштабом» и «глубоко техническим характером». С учетом этого ведение и достижение успеха в войне «требует всемерного развития военно-технических средств борьбы, применения этих средств в массовых количествах, получения их от промышленности в нужные для обороны сроки и постоянного их совершенствования» (17234).</w:t>
      </w:r>
    </w:p>
    <w:p w14:paraId="451A8C10" w14:textId="77777777" w:rsidR="00692ACC" w:rsidRPr="00A259BD" w:rsidRDefault="00692ACC" w:rsidP="009236E3">
      <w:pPr>
        <w:spacing w:after="0" w:line="240" w:lineRule="auto"/>
        <w:jc w:val="both"/>
        <w:rPr>
          <w:rFonts w:ascii="Times New Roman" w:hAnsi="Times New Roman"/>
          <w:color w:val="000000" w:themeColor="text1"/>
          <w:sz w:val="16"/>
          <w:szCs w:val="16"/>
        </w:rPr>
      </w:pPr>
    </w:p>
    <w:p w14:paraId="267C15F5"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июля 1929 г. Политбюро ЦК ВКП(б) утвердило весьма знаменательное постановление "О состоянии обороны СССР", которое, во-первых, подвело итоги двухлетней работы государственного аппарата в условиях официально никем не объявленного, но фактически осуществляющегося подготовительного к войне периода, и, во-вторых, наметило перспективы дальнейшего развития вооруженных сил и военной промышленности. Политбюро констатировало, что: а) техническая база вооруженных сил все еще очень слаба и далеко отстает от техники современных буржуазных армий; б) материальное обеспечение мобилизуемой армии по действующему мобилизационному плану все еще неудовлетворительно; в) материальные резервы обороны совершенно недостаточны; г) подготовка всей промышленности, в том числе и военной, к выполнению требований вооруженного фронта совершенно неудовлетворительна. Президиуму ВСНХ вменялись в вину следующие недостатки в работе: "До сих пор нет планов мобилизации промышленности для обслуживания войны. Существующие частично сроки развертывания отдельных производств чрезвычайно длительны и ни в какой мере не обеспечивают потребности армии. Отсутствует план комплектования технической и рабочей силы мобилизованной промышленности. Внутри промышленности по-прежнему имеет место ряд резких расхождений между потребностями обороны и производственно-техническими возможностями. Наличные технические кадры всей промышленности, и особенно военной, совершенно не обеспечивают удовлетворение потребностей Красной Армии в технике (конструирование и выполнение новых образцов вооружения). Эти отрицательные явления в военной промышленности за истекший период усугублялись длительным и систематическим вредительством со стороны старых специалистов".</w:t>
      </w:r>
    </w:p>
    <w:p w14:paraId="0163312C"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Политбюро одобрило разработанный НКВМ пятилетний план строительства вооруженных сил и признало правильными его основные установки: не уступать по численности вероятным противникам на главнейшем театре войны, а по технике - быть сильнее противника по двум или трем решающим видам вооружения (артиллерия, самолеты, танки). В соответствии с этой доктриной Политбюро определило на конец пятилетки численность полностью отмобилизованной армии в 3 млн. человек. Количество боевых самолетов на вооружении армии должно было составить 3000, танков - 3000, легких пушек - 3759, тяжелых пушек - 798, зенитных орудий среднего калибра - 1218, зенитных орудий малого калибра - 712, орудий большой мощности - 120. РККА также предписывалось иметь не менее 150-180 тыс. автомобилей и необходимое количество тракторов.</w:t>
      </w:r>
    </w:p>
    <w:p w14:paraId="55621E4E"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Политбюро разрешало РЗ СТО устанавливать размеры ассигнований на оборону страны не ниже уровня оптимального варианта первой пятилетки, а в случае необходимости - с превышением этих пределов. Наряду с этим Политбюро предложило правительству ускорить в первые три года пятилетки темпы строительства во всех отраслях, имеющих оборонное значение. В постановлении также особо была отмечена необходимость создания материальных резервов обороны: двухмесячный запас продовольствия для Красной Армии "на мобилизационный период и первый период войны", запасы топлива и переходящие запасы сельскохозяйственного сырья, запасы импортных товаров (18413).</w:t>
      </w:r>
    </w:p>
    <w:p w14:paraId="30316E74" w14:textId="77777777" w:rsidR="006B42B3" w:rsidRPr="00A259BD" w:rsidRDefault="006B42B3" w:rsidP="009236E3">
      <w:pPr>
        <w:spacing w:after="0" w:line="240" w:lineRule="auto"/>
        <w:jc w:val="both"/>
        <w:rPr>
          <w:rFonts w:ascii="Times New Roman" w:hAnsi="Times New Roman"/>
          <w:color w:val="000000" w:themeColor="text1"/>
          <w:sz w:val="16"/>
          <w:szCs w:val="16"/>
        </w:rPr>
      </w:pPr>
    </w:p>
    <w:p w14:paraId="73672E75"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июля 1929</w:t>
      </w:r>
    </w:p>
    <w:p w14:paraId="586E21EF"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 1-ОП.</w:t>
      </w:r>
    </w:p>
    <w:p w14:paraId="1418A92A"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23 пр. ПБ № 89.</w:t>
      </w:r>
    </w:p>
    <w:p w14:paraId="111E73D9"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Совершенно секретно</w:t>
      </w:r>
    </w:p>
    <w:p w14:paraId="584EF92A"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 Политбюро ЦК ВКП(б) о состоянии обороны СССР</w:t>
      </w:r>
    </w:p>
    <w:p w14:paraId="68B995F9"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(Утверждено Политбюро ЦК ВКП(б) 15.VII.29 г.).</w:t>
      </w:r>
    </w:p>
    <w:p w14:paraId="32BB69DE"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Политбюро констатирует, что оценки состояния вооруженных сил СССР и перспективы развития, данные предыдущим постановлением (май 1927 г.), были совершенно правильны, что нашло свое выражение в непрерывном росте боеспособности Красной Армии за истекшие два года. Внутренняя структура армии изменилась в сторону увеличения технических войск. В соответствии с этим в использовании бюджетных, средств росли расходы на технику за счет снижения потребительских расходов. Боевая подготовка войск сделала дальнейшие успехи в усвоении современных методов боя. </w:t>
      </w:r>
      <w:proofErr w:type="spellStart"/>
      <w:r w:rsidRPr="00A259BD">
        <w:rPr>
          <w:rFonts w:ascii="Times New Roman" w:hAnsi="Times New Roman"/>
          <w:color w:val="000000" w:themeColor="text1"/>
          <w:sz w:val="16"/>
          <w:szCs w:val="16"/>
        </w:rPr>
        <w:t>Терстроительство</w:t>
      </w:r>
      <w:proofErr w:type="spellEnd"/>
      <w:r w:rsidRPr="00A259BD">
        <w:rPr>
          <w:rFonts w:ascii="Times New Roman" w:hAnsi="Times New Roman"/>
          <w:color w:val="000000" w:themeColor="text1"/>
          <w:sz w:val="16"/>
          <w:szCs w:val="16"/>
        </w:rPr>
        <w:t xml:space="preserve">, не взирая на обострившиеся классовые отношения внутри страны, развивалось вполне нормально, еще раз доказав целесообразность </w:t>
      </w:r>
      <w:proofErr w:type="spellStart"/>
      <w:r w:rsidRPr="00A259BD">
        <w:rPr>
          <w:rFonts w:ascii="Times New Roman" w:hAnsi="Times New Roman"/>
          <w:color w:val="000000" w:themeColor="text1"/>
          <w:sz w:val="16"/>
          <w:szCs w:val="16"/>
        </w:rPr>
        <w:t>терсистемы</w:t>
      </w:r>
      <w:proofErr w:type="spellEnd"/>
      <w:r w:rsidRPr="00A259BD">
        <w:rPr>
          <w:rFonts w:ascii="Times New Roman" w:hAnsi="Times New Roman"/>
          <w:color w:val="000000" w:themeColor="text1"/>
          <w:sz w:val="16"/>
          <w:szCs w:val="16"/>
        </w:rPr>
        <w:t>, как одной из организационных форм в строительстве Красной Армии. Усиление командно-политических кадров шло по линии увеличения рабочих и крестьян, роста партийной прослойки, повышения качества политического воспитания и военной квалификации. Материально-бытовое положение Красной Армии в общем улучшалось. Политико-моральное состояние, несмотря на усложняющуюся внутриполитическую обстановку, оставалось твердым и вполне устойчивым.</w:t>
      </w:r>
    </w:p>
    <w:p w14:paraId="5AD93F84"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Основным итогом истекшего пятилетия (1924</w:t>
      </w:r>
      <w:r w:rsidRPr="00A259BD">
        <w:rPr>
          <w:rFonts w:ascii="Times New Roman" w:hAnsi="Times New Roman"/>
          <w:color w:val="000000" w:themeColor="text1"/>
          <w:sz w:val="16"/>
          <w:szCs w:val="16"/>
        </w:rPr>
        <w:noBreakHyphen/>
        <w:t>1929 г.) планового строительства вооруженных сил является создание крепкой, боеспособной армии, в политическом отношении вполне надежной, в техническом отношении стоящей на уровне развития производительных сил страны.</w:t>
      </w:r>
    </w:p>
    <w:p w14:paraId="5B668AEF"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В области подготовки страны к обороне на основе предыдущих решений Политбюро достигнуты также первые реальные результаты, главным образом, по созданию мобилизационных органов, обеспечивающих нормальное проведение в государственном аппарате мероприятий по подготовке страны к обороне в мирное время. На основе заявок НКВМ и твердых норм определены размеры обеспечения пятилетнего плана строительства вооруженных сил и установлены потребности фронта на год ведения войны. Положительным фактом надлежит считать внесение определенности и плановости во всю работу по подготовке страны к обороне.</w:t>
      </w:r>
    </w:p>
    <w:p w14:paraId="07ECE6D1"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Одновременно Политбюро отмечает целый ряд крупных недостатков как в подготовке Красной Армии, так и всего народного хозяйства обороне:</w:t>
      </w:r>
    </w:p>
    <w:p w14:paraId="265F9A4C"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техническая база вооруженных сил все еще очень слаба и далеко отстает от техники современных буржуазных армий;</w:t>
      </w:r>
    </w:p>
    <w:p w14:paraId="3CAF1C31"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материальное обеспечение мобилизуемой армии по действующему мобилизационному плану все еще далеко неудовлетворительно;</w:t>
      </w:r>
    </w:p>
    <w:p w14:paraId="24D961B0"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материальные резервы обороны (импортные и внутренние) совершенно недостаточны;</w:t>
      </w:r>
    </w:p>
    <w:p w14:paraId="42856744"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подготовка всей промышленности, в том числе и военной, к выполнению требований вооруженного фронта совершенно неудовлетворительна. До сих пор нет планов мобилизации промышленности для обслуживания войны. Существующие частично сроки развертывания отдельных производств чрезвычайно длительны и ни в какой мере не обеспечивают потребностей армии. Отсутствует план комплектования тех. и рабсилы мобилизованной промышленности. Внутри промышленности по-прежнему имеет место ряд резких расхождений между потребностями обороны и производственно-техническими возможностями. Наличные технические кадры всей промышленности, и особенно военной, совершенно не обеспечивают удовлетворение потребностей Красной Армии в технике (конструирование и выполнение новых образцов вооружения). Эти отрицательные явления в военной промышленности за истекший период усугублялись длительным и систематическим вредительством со стороны старых специалистов.</w:t>
      </w:r>
    </w:p>
    <w:p w14:paraId="12D77CBD"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 *</w:t>
      </w:r>
    </w:p>
    <w:p w14:paraId="6FD91AC0"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Пятилетний план развития народного хозяйства дает благоприятные условия для устранения указанных недочетов, значительного качественного и количественного повышения обороноспособности, поскольку истекшее пятилетие дало в строительстве вооруженных сил возможность заложить прочные основы организации армии, постольку во втором пятилетии должна бить создана современная военно-техническая база для обороны. В соответствии с этим Политбюро постановляет:</w:t>
      </w:r>
    </w:p>
    <w:p w14:paraId="76E42B83"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 Задачи в строительстве вооруженных сил</w:t>
      </w:r>
    </w:p>
    <w:p w14:paraId="2A6632DB"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В отношении организации армии считать, что курс на дальнейшее увеличение технических войск и на уменьшение вспомогательных и обслуживающих частей должен быть продолжен. Необходимо достигнуть, соотношения между родами войск современных армий, но выходя к концу пятилетия из численности в 643.700 человек. В частности, в отношении национальных формирований остаться на уровне нынешней численности, всемерно повышая их боевое качество.</w:t>
      </w:r>
    </w:p>
    <w:p w14:paraId="2DB9D58D"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Полностью одобрить все мероприятия РВС СССР, направленные за последние два года к общему повышения качества боевой подготовки и, в частности, к решительному повышению тактической подготовки войск. Воспитание в войсках широкой боевой инициативы, смелости в действиях, упорства в достижении поставленных целей, маневренной подвижности должно идти в первую очередь через воспитание волевых качеств у начальствующего состава.</w:t>
      </w:r>
    </w:p>
    <w:p w14:paraId="4D423B78"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Признать, что материально-бытовое положение Красной Армии все еще продолжает служить тормозом нормального обучения и воспитания войск, а в отдельных недостатках (казарменное расположение) вреднейшим образом влияет на их политико-моральное состояние. Подтвердить прежнее постановление Политбюро о необходимости полной ликвидации в течение трех лет (к 1930</w:t>
      </w:r>
      <w:r w:rsidRPr="00A259BD">
        <w:rPr>
          <w:rFonts w:ascii="Times New Roman" w:hAnsi="Times New Roman"/>
          <w:color w:val="000000" w:themeColor="text1"/>
          <w:sz w:val="16"/>
          <w:szCs w:val="16"/>
        </w:rPr>
        <w:noBreakHyphen/>
        <w:t>1931 г.) основания материально-бытовых недочетов Красной Армии. В течение ближайших двух лет обратить особое внимание на казарменное (для войск) и на квартирное (для начсостава) строительство.</w:t>
      </w:r>
    </w:p>
    <w:p w14:paraId="00F03BBF"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Признать правильным и своевременным широкое распространение работ по усилению и усовершенствованию технического вооружения армии. Особо отметить внесение в эту область планового начала, состоящего в выработке системы артиллерийского вооружения, соответствующей реальным экономическим возможностям страны и стоящей на уровне современной мировой военной техники.</w:t>
      </w:r>
    </w:p>
    <w:p w14:paraId="1B30B700"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Констатировать, что осуществление плана, технического перевооружения армии встречает громадные затруднения в отсталости нашей промышленной базы, вследствие чего Красная Армия значительно отстает в артиллерийском и танковом вооружении, что недопустимо медленное исполнение промышленностью опытных образцов нового оружия на деле приводит к срыву плана технического перевооружения армии, совершенно недопустимо медленный темп перехода на массовое производство принятых на вооружение образцов на деле приводит к задержкам на годы внедрения в армию нового оружия.</w:t>
      </w:r>
    </w:p>
    <w:p w14:paraId="36E93FB6"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Предложить:</w:t>
      </w:r>
    </w:p>
    <w:p w14:paraId="2D3DFDC0"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РВС СССР — усилить взятый темп работ по совершенствованию техники Красной Армии; наряду с модернизацией существующего вооружения, добиться в течение ближайших двух лет получения опытных образцов, а затем и внедрения их и армию, современных типов артиллерии, и в первую очередь батальонных орудий, дальнобойных пушек, сверхмощных гаубиц, зенитных орудий, различных мощностей мортир, крупнокалиберных пулеметов, химических средств борьбы, всех современных типов танков, бронемашин и пр., для чего считать целесообразным всемерное использование заграничного технического опыта и помощи, а также приобретение наиболее нужных опытных образцов;</w:t>
      </w:r>
    </w:p>
    <w:p w14:paraId="3E3C7BA0"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 линии ВСНХ (см. постановление Политбюро о военной промышленности от 15.VII.29 г. пр. № 89). Признать правильным привлечение к работам по военной технике научно-исследовательских сил страны. Это привлечение должно получить дальнейшее развитие, особенно в изысканиях новых технических средств борьбы. РЗ СТО особо рассмотреть вопрос обеспечения этих работ достаточными денежными средствами.</w:t>
      </w:r>
    </w:p>
    <w:p w14:paraId="315F90E7"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Одним из важнейших результатов истекшего пятилетия следует признать создание красного воздушного флота. Но в то же время необходимо отметить значительную его отсталость по качеству, что отрицательно сказывается на его боеспособности. Особенно тяжелым по-прежнему остается положение в моторостроении, что вместе с недопустимо медленным внедрением новых типов моторов и самолетов в серийное производство служит главнейшим препятствием для прогресса воздушного флота. Считать, что важнейшей задачей на ближайшие годы в строительстве красной авиации является скорейшее доведение ее качества до уровня передовых буржуазных стран. РЗ СТО специально рассмотреть всю проблему авиастроительства, провести совершенно конкретные мероприятия, обеспечив их твердыми ассигнованиями. Считать целесообразным в этой области массовое использование заграничной технической помощи путем приглашения видных инструкторов и приобретения опытных образцов. Одновременно всеми силами следует насаждать, культивировать и развивать свои собственные научно-конструкторские силы, особенно в моторостроении.</w:t>
      </w:r>
    </w:p>
    <w:p w14:paraId="3A46B759"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Считать крупным достижением разработку твердого плана строительства вооруженных сил на ближайшее пятилетие. Признать правильными основные установки плана:</w:t>
      </w:r>
    </w:p>
    <w:p w14:paraId="45F4AB79"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численности — не уступать нашим вероятным противникам на главнейшем театре войны;</w:t>
      </w:r>
    </w:p>
    <w:p w14:paraId="56630823"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технике — быть сильнее противника по двум или трем решающим видам вооружения, а именно — по воздушному флоту, артиллерии и танкам.</w:t>
      </w:r>
    </w:p>
    <w:p w14:paraId="303C15FC"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вышеизложенным положением одобрить следующие мероприятия плана.</w:t>
      </w:r>
    </w:p>
    <w:p w14:paraId="0C243446"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определить численность мобилизованной армии к концу пятилетия в 3.000.000 человек против утвержденных ранее — 2.600.000 человек;</w:t>
      </w:r>
    </w:p>
    <w:p w14:paraId="63F61F18"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довести к концу пятилетия численность воздушного флота до 2.000 действующих самолетов, против имеющихся налицо 1.032; создать резерв, вступающий в строй в первый период войны, в 501 самолет; довести число запасных самолетов до 1.000 штук;</w:t>
      </w:r>
    </w:p>
    <w:p w14:paraId="7413C85D"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произвести решительное усиление артиллерийских средств путем качественного изменения в сторону увеличения гаубиц и тяжелой артиллерии и доведения боевого состава артиллерии к концу пятилетия до следующих количеств:</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4942"/>
        <w:gridCol w:w="3285"/>
        <w:gridCol w:w="3095"/>
      </w:tblGrid>
      <w:tr w:rsidR="00A259BD" w:rsidRPr="00A259BD" w14:paraId="21D1A4F4"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5FA8029"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6137FC8"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действующему </w:t>
            </w:r>
            <w:proofErr w:type="spellStart"/>
            <w:r w:rsidRPr="00A259BD">
              <w:rPr>
                <w:rFonts w:ascii="Times New Roman" w:hAnsi="Times New Roman"/>
                <w:color w:val="000000" w:themeColor="text1"/>
                <w:sz w:val="16"/>
                <w:szCs w:val="16"/>
              </w:rPr>
              <w:t>мобплану</w:t>
            </w:r>
            <w:proofErr w:type="spellEnd"/>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51A0229"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w:t>
            </w:r>
            <w:proofErr w:type="spellStart"/>
            <w:r w:rsidRPr="00A259BD">
              <w:rPr>
                <w:rFonts w:ascii="Times New Roman" w:hAnsi="Times New Roman"/>
                <w:color w:val="000000" w:themeColor="text1"/>
                <w:sz w:val="16"/>
                <w:szCs w:val="16"/>
              </w:rPr>
              <w:t>мобплану</w:t>
            </w:r>
            <w:proofErr w:type="spellEnd"/>
            <w:r w:rsidRPr="00A259BD">
              <w:rPr>
                <w:rFonts w:ascii="Times New Roman" w:hAnsi="Times New Roman"/>
                <w:color w:val="000000" w:themeColor="text1"/>
                <w:sz w:val="16"/>
                <w:szCs w:val="16"/>
              </w:rPr>
              <w:t xml:space="preserve"> весны 1933 г.</w:t>
            </w:r>
          </w:p>
        </w:tc>
      </w:tr>
      <w:tr w:rsidR="00A259BD" w:rsidRPr="00A259BD" w14:paraId="5D81C1C3"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B1F81D"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Легких пушек</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088315A"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4110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3DA01BF"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3759</w:t>
            </w:r>
          </w:p>
        </w:tc>
      </w:tr>
      <w:tr w:rsidR="00A259BD" w:rsidRPr="00A259BD" w14:paraId="105A194B"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5F34A8F"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Легких гаубиц</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1803181"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1397</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DF80EBC"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2442</w:t>
            </w:r>
          </w:p>
        </w:tc>
      </w:tr>
      <w:tr w:rsidR="00A259BD" w:rsidRPr="00A259BD" w14:paraId="1D3A4420"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B89014C"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Тяжелых пушек</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0203C383"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57038A7"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798</w:t>
            </w:r>
          </w:p>
        </w:tc>
      </w:tr>
      <w:tr w:rsidR="00A259BD" w:rsidRPr="00A259BD" w14:paraId="62BF5346"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F5447DB"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Тяжелых гаубиц</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F557A4B"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459</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4D417200"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1191</w:t>
            </w:r>
          </w:p>
        </w:tc>
      </w:tr>
      <w:tr w:rsidR="00A259BD" w:rsidRPr="00A259BD" w14:paraId="1693803E"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0EA8622"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Орудий большой мощности</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028C129"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871091"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w:t>
            </w:r>
          </w:p>
        </w:tc>
      </w:tr>
      <w:tr w:rsidR="00A259BD" w:rsidRPr="00A259BD" w14:paraId="2311C0FE"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3AB7DC7"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Орудий среднего калибра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504F80F"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528</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AD3D34"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1218</w:t>
            </w:r>
          </w:p>
        </w:tc>
      </w:tr>
      <w:tr w:rsidR="00A259BD" w:rsidRPr="00A259BD" w14:paraId="21B75C96"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7B25A696"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Зенитных орудий малого калибра</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6E74D248"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B415DC"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712</w:t>
            </w:r>
          </w:p>
        </w:tc>
      </w:tr>
      <w:tr w:rsidR="00A259BD" w:rsidRPr="00A259BD" w14:paraId="4E2C6FAC"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12679ACC"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Мелкокалиберная артиллерия батальонная</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2BAA2F58"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AE71564"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2682</w:t>
            </w:r>
          </w:p>
        </w:tc>
      </w:tr>
    </w:tbl>
    <w:p w14:paraId="19C50B3A"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всего иметь в боевом составе артиллерии: в легкой, тяжелой и зенитной (среднего калибра) артиллерии — 9348 орудий, в мелкокалиберной артиллерии — 3394 орудий;</w:t>
      </w:r>
    </w:p>
    <w:p w14:paraId="374C7F92"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иметь к концу пятилетия в армии мирного времени в строю 1,5 тыс. танков; создать резерв, вступающий в строй с началом войны, в 1,5</w:t>
      </w:r>
      <w:r w:rsidRPr="00A259BD">
        <w:rPr>
          <w:rFonts w:ascii="Times New Roman" w:hAnsi="Times New Roman"/>
          <w:color w:val="000000" w:themeColor="text1"/>
          <w:sz w:val="16"/>
          <w:szCs w:val="16"/>
        </w:rPr>
        <w:noBreakHyphen/>
        <w:t>2 тыс. танков; иметь запас в 1,5</w:t>
      </w:r>
      <w:r w:rsidRPr="00A259BD">
        <w:rPr>
          <w:rFonts w:ascii="Times New Roman" w:hAnsi="Times New Roman"/>
          <w:color w:val="000000" w:themeColor="text1"/>
          <w:sz w:val="16"/>
          <w:szCs w:val="16"/>
        </w:rPr>
        <w:noBreakHyphen/>
        <w:t>2 тыс. танков. В соответствии с этим промышленность обязана подготовиться к обеспечению постоянного действия указанного количества танков во время войны;</w:t>
      </w:r>
    </w:p>
    <w:p w14:paraId="0CC6D32B"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произвести усиление химических средств борьбы с учетом развития этих средств в буржуазных армиях, требуя от нашей химической промышленности развертывания различных химических производств соответственно полному удовлетворению потребностей армии;</w:t>
      </w:r>
    </w:p>
    <w:p w14:paraId="429FC4E7"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 накопить </w:t>
      </w:r>
      <w:proofErr w:type="spellStart"/>
      <w:r w:rsidRPr="00A259BD">
        <w:rPr>
          <w:rFonts w:ascii="Times New Roman" w:hAnsi="Times New Roman"/>
          <w:color w:val="000000" w:themeColor="text1"/>
          <w:sz w:val="16"/>
          <w:szCs w:val="16"/>
        </w:rPr>
        <w:t>мобзапасы</w:t>
      </w:r>
      <w:proofErr w:type="spellEnd"/>
      <w:r w:rsidRPr="00A259BD">
        <w:rPr>
          <w:rFonts w:ascii="Times New Roman" w:hAnsi="Times New Roman"/>
          <w:color w:val="000000" w:themeColor="text1"/>
          <w:sz w:val="16"/>
          <w:szCs w:val="16"/>
        </w:rPr>
        <w:t xml:space="preserve"> в размерах, полностью обеспечивающих развертывание мобилизованной армии на усиленной технической базе и питание действующей армии в первый период войны;</w:t>
      </w:r>
    </w:p>
    <w:p w14:paraId="0651B92C"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в целях усиления технических средств сухопутной армии сократить по пятилетнему плану строительства морского флота ассигнования с 284.500.000 руб. до 200.000.000 руб.;</w:t>
      </w:r>
    </w:p>
    <w:p w14:paraId="08398C01"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в планах моторизации и механизации армии мирного и военного времени исходить из необходимости иметь в мобилизованной армии к концу пятилетия не менее 150</w:t>
      </w:r>
      <w:r w:rsidRPr="00A259BD">
        <w:rPr>
          <w:rFonts w:ascii="Times New Roman" w:hAnsi="Times New Roman"/>
          <w:color w:val="000000" w:themeColor="text1"/>
          <w:sz w:val="16"/>
          <w:szCs w:val="16"/>
        </w:rPr>
        <w:noBreakHyphen/>
        <w:t>160 тыс. автомашин (в переводе на 1½</w:t>
      </w:r>
      <w:r w:rsidRPr="00A259BD">
        <w:rPr>
          <w:rFonts w:ascii="Times New Roman" w:hAnsi="Times New Roman"/>
          <w:color w:val="000000" w:themeColor="text1"/>
          <w:sz w:val="16"/>
          <w:szCs w:val="16"/>
        </w:rPr>
        <w:noBreakHyphen/>
        <w:t>торку) и необходимого количества тракторов. В соответствии с этим произвести точные расчеты по сокращению конского состава в артиллерии и транспорте.</w:t>
      </w:r>
    </w:p>
    <w:p w14:paraId="22BCACA0"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Ввиду того что перечисленные мероприятия в пятилетнем плане строительства вооруженных сил могут быть осуществлены лишь при условии достаточных ежегодных ассигнований, предложить РЗ СТО установить окончательные размеры ассигнований </w:t>
      </w:r>
      <w:proofErr w:type="spellStart"/>
      <w:r w:rsidRPr="00A259BD">
        <w:rPr>
          <w:rFonts w:ascii="Times New Roman" w:hAnsi="Times New Roman"/>
          <w:color w:val="000000" w:themeColor="text1"/>
          <w:sz w:val="16"/>
          <w:szCs w:val="16"/>
        </w:rPr>
        <w:t>военведу</w:t>
      </w:r>
      <w:proofErr w:type="spellEnd"/>
      <w:r w:rsidRPr="00A259BD">
        <w:rPr>
          <w:rFonts w:ascii="Times New Roman" w:hAnsi="Times New Roman"/>
          <w:color w:val="000000" w:themeColor="text1"/>
          <w:sz w:val="16"/>
          <w:szCs w:val="16"/>
        </w:rPr>
        <w:t xml:space="preserve"> и военной промышленности за 5 лет и по годам в пределах не ниже ассигновок пятилетнего плана Госплана в его оптимальном варианте, а в случае крайней необходимости — с превышением этих пределов.</w:t>
      </w:r>
    </w:p>
    <w:p w14:paraId="3B373AAF"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В настоящее время Красная армия имеет надежный, политически устойчивый, классово выдержанный, с хорошими боевыми качествами начсостав. Это явилось результатом тщательной чистки начсостава от чуждых, политически неустойчивых и антисоветских элементов, а также благодаря напряженной работе по классовому отбору, воспитанию, переподготовке и поднятию его политического уровня. Однако по количеству начсостав армии мирного времени ни в какой мере не обеспечивает мобилизованную армию, что ставит перед РВСС проблему переподготовки и совершенствования начсостава запаса.</w:t>
      </w:r>
    </w:p>
    <w:p w14:paraId="50D32D21"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Считать, что в результате твердого проведения принципа единоначалия произошло общее укрепление частей Красной армии, укрепление дисциплины в ней, повышение ответственности командного состава за общее состояние частей и повышение его авторитета среди красноармейской массы. РВСС продолжать курс дальнейшего укрепления единоначалия, не допуская в этом отношении никаких колебаний.</w:t>
      </w:r>
    </w:p>
    <w:p w14:paraId="507737DC"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Признать материально-бытовое положение начсостава недостаточно удовлетворительным и не соответствующим его служебной нагрузке. Предложить в пятилетнем плане обеспечить постепенное улучшение материально-бытовых условий начсостава.</w:t>
      </w:r>
    </w:p>
    <w:p w14:paraId="08A6C9D8"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Констатировать безусловный политический рост Красной армии и укрепление ее политико-морального состояния, показателями чего являются: качественный и количественный рост партийной и комсомольской организаций; непрерывный рост политической активности всей массы военнослужащих не только в рамках общеармейских вопросов, но и в общественно-политической жизни страны. Однако трудности, сопутствующие социалистическому строительству, вызывают и в армии ряд отрицательных явлений: случаи кулацких настроений, антисемитизм, извращения в дисциплинарной практике, наличие некоторого бюрократизма в работе военного аппарата и начсостава, случаи бытового загнивания, “</w:t>
      </w:r>
      <w:proofErr w:type="spellStart"/>
      <w:r w:rsidRPr="00A259BD">
        <w:rPr>
          <w:rFonts w:ascii="Times New Roman" w:hAnsi="Times New Roman"/>
          <w:color w:val="000000" w:themeColor="text1"/>
          <w:sz w:val="16"/>
          <w:szCs w:val="16"/>
        </w:rPr>
        <w:t>коллективки</w:t>
      </w:r>
      <w:proofErr w:type="spellEnd"/>
      <w:r w:rsidRPr="00A259BD">
        <w:rPr>
          <w:rFonts w:ascii="Times New Roman" w:hAnsi="Times New Roman"/>
          <w:color w:val="000000" w:themeColor="text1"/>
          <w:sz w:val="16"/>
          <w:szCs w:val="16"/>
        </w:rPr>
        <w:t>” и т. п.</w:t>
      </w:r>
    </w:p>
    <w:p w14:paraId="019A0B8F"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Борьба с этими отрицательными явлениями за истекший период была затруднена внутриармейской группировкой на основе известных “белорусско-</w:t>
      </w:r>
      <w:proofErr w:type="spellStart"/>
      <w:r w:rsidRPr="00A259BD">
        <w:rPr>
          <w:rFonts w:ascii="Times New Roman" w:hAnsi="Times New Roman"/>
          <w:color w:val="000000" w:themeColor="text1"/>
          <w:sz w:val="16"/>
          <w:szCs w:val="16"/>
        </w:rPr>
        <w:t>толмачевских</w:t>
      </w:r>
      <w:proofErr w:type="spellEnd"/>
      <w:r w:rsidRPr="00A259BD">
        <w:rPr>
          <w:rFonts w:ascii="Times New Roman" w:hAnsi="Times New Roman"/>
          <w:color w:val="000000" w:themeColor="text1"/>
          <w:sz w:val="16"/>
          <w:szCs w:val="16"/>
        </w:rPr>
        <w:t>” настроений, главная опасность которых заключалась в том, что они вносили раскол в командно-политические кадры и этим самым угрожали боеспособности Красной армии.</w:t>
      </w:r>
    </w:p>
    <w:p w14:paraId="0DBA273F"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Одобрить проводимые РВСС мероприятия по ликвидации указанных отрицательных явлений. В дальнейшем вести работу, устраняя трения в среде начсостава и пресекая жесткими мерами всякие попытки нарушить его единство и сплоченность.</w:t>
      </w:r>
    </w:p>
    <w:p w14:paraId="39805B81"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III. Задачи по подготовке страны к обороне</w:t>
      </w:r>
    </w:p>
    <w:p w14:paraId="0C432B03"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Считать необходимым в дальнейшем уточнить организационную систему </w:t>
      </w:r>
      <w:proofErr w:type="spellStart"/>
      <w:r w:rsidRPr="00A259BD">
        <w:rPr>
          <w:rFonts w:ascii="Times New Roman" w:hAnsi="Times New Roman"/>
          <w:color w:val="000000" w:themeColor="text1"/>
          <w:sz w:val="16"/>
          <w:szCs w:val="16"/>
        </w:rPr>
        <w:t>моборганов</w:t>
      </w:r>
      <w:proofErr w:type="spellEnd"/>
      <w:r w:rsidRPr="00A259BD">
        <w:rPr>
          <w:rFonts w:ascii="Times New Roman" w:hAnsi="Times New Roman"/>
          <w:color w:val="000000" w:themeColor="text1"/>
          <w:sz w:val="16"/>
          <w:szCs w:val="16"/>
        </w:rPr>
        <w:t>, добиться необходимой увязки в работе между различными ведомствами, общесоюзными органами и союзными республиками, а также между гражданскими оборонными органами и военным аппаратом; не позже весны 1930 г. закончить разработку и ввести в действие все важнейшие законоположения об оборонной работе (положение о мобилизации народного хозяйства и т. д.).</w:t>
      </w:r>
    </w:p>
    <w:p w14:paraId="07D5C44C"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Подтверждая прежнее решение о персональной ответственности за </w:t>
      </w:r>
      <w:proofErr w:type="spellStart"/>
      <w:r w:rsidRPr="00A259BD">
        <w:rPr>
          <w:rFonts w:ascii="Times New Roman" w:hAnsi="Times New Roman"/>
          <w:color w:val="000000" w:themeColor="text1"/>
          <w:sz w:val="16"/>
          <w:szCs w:val="16"/>
        </w:rPr>
        <w:t>мобработу</w:t>
      </w:r>
      <w:proofErr w:type="spellEnd"/>
      <w:r w:rsidRPr="00A259BD">
        <w:rPr>
          <w:rFonts w:ascii="Times New Roman" w:hAnsi="Times New Roman"/>
          <w:color w:val="000000" w:themeColor="text1"/>
          <w:sz w:val="16"/>
          <w:szCs w:val="16"/>
        </w:rPr>
        <w:t xml:space="preserve"> руководителей ведомств и наркоматов, обратить особое внимание на тщательный подбор личного состава </w:t>
      </w:r>
      <w:proofErr w:type="spellStart"/>
      <w:r w:rsidRPr="00A259BD">
        <w:rPr>
          <w:rFonts w:ascii="Times New Roman" w:hAnsi="Times New Roman"/>
          <w:color w:val="000000" w:themeColor="text1"/>
          <w:sz w:val="16"/>
          <w:szCs w:val="16"/>
        </w:rPr>
        <w:t>мобработников</w:t>
      </w:r>
      <w:proofErr w:type="spellEnd"/>
      <w:r w:rsidRPr="00A259BD">
        <w:rPr>
          <w:rFonts w:ascii="Times New Roman" w:hAnsi="Times New Roman"/>
          <w:color w:val="000000" w:themeColor="text1"/>
          <w:sz w:val="16"/>
          <w:szCs w:val="16"/>
        </w:rPr>
        <w:t xml:space="preserve"> и на их специализацию.</w:t>
      </w:r>
    </w:p>
    <w:p w14:paraId="2ED83F8C"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внесения полной ясности в народнохозяйственные планы на время войны поставить в Политбюро в ближайшее время вопрос об основах экономической политики на военное время.</w:t>
      </w:r>
    </w:p>
    <w:p w14:paraId="390AB095"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Считать положение с материальными резервами обороны совершенно неудовлетворительным. Поручить РЗ СТО уже в ближайшие годы привести наличие материальных резервов в полное соответствие с потребностями обороны, и в частности:</w:t>
      </w:r>
    </w:p>
    <w:p w14:paraId="6A250BFC"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в 1929/30 г. образовать двухмесячные запасы продовольствия для Красной армии на мобилизационный период и на первый период войны;</w:t>
      </w:r>
    </w:p>
    <w:p w14:paraId="2A49A3CE"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б) образовать запасы топлива и переходящие запасы сельскохозяйственного сырья, обеспечивающие бесперебойную работу важнейших отраслей народного хозяйства в мобилизационный период и в первый период после него;</w:t>
      </w:r>
    </w:p>
    <w:p w14:paraId="661DE6D5"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в импортных планах ближайших лет предусмотреть ввоз импортных резервов в размерах, полностью обеспечивающих работу промышленности по выполнению утвержденной правительством </w:t>
      </w:r>
      <w:proofErr w:type="spellStart"/>
      <w:r w:rsidRPr="00A259BD">
        <w:rPr>
          <w:rFonts w:ascii="Times New Roman" w:hAnsi="Times New Roman"/>
          <w:color w:val="000000" w:themeColor="text1"/>
          <w:sz w:val="16"/>
          <w:szCs w:val="16"/>
        </w:rPr>
        <w:t>мобзаявки</w:t>
      </w:r>
      <w:proofErr w:type="spellEnd"/>
      <w:r w:rsidRPr="00A259BD">
        <w:rPr>
          <w:rFonts w:ascii="Times New Roman" w:hAnsi="Times New Roman"/>
          <w:color w:val="000000" w:themeColor="text1"/>
          <w:sz w:val="16"/>
          <w:szCs w:val="16"/>
        </w:rPr>
        <w:t>, а также работу транспорта в военное время;</w:t>
      </w:r>
    </w:p>
    <w:p w14:paraId="242D60C8"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разработать план обеспечения за счет создаваемого государственного хлебного фонда важнейших экономических и политических центров;</w:t>
      </w:r>
    </w:p>
    <w:p w14:paraId="7BE6A59B"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 категорически воспретить расходование </w:t>
      </w:r>
      <w:proofErr w:type="spellStart"/>
      <w:r w:rsidRPr="00A259BD">
        <w:rPr>
          <w:rFonts w:ascii="Times New Roman" w:hAnsi="Times New Roman"/>
          <w:color w:val="000000" w:themeColor="text1"/>
          <w:sz w:val="16"/>
          <w:szCs w:val="16"/>
        </w:rPr>
        <w:t>мобфондов</w:t>
      </w:r>
      <w:proofErr w:type="spellEnd"/>
      <w:r w:rsidRPr="00A259BD">
        <w:rPr>
          <w:rFonts w:ascii="Times New Roman" w:hAnsi="Times New Roman"/>
          <w:color w:val="000000" w:themeColor="text1"/>
          <w:sz w:val="16"/>
          <w:szCs w:val="16"/>
        </w:rPr>
        <w:t xml:space="preserve"> обороны для мирных целей, а также временное позаимствование из них.</w:t>
      </w:r>
    </w:p>
    <w:p w14:paraId="5A6C1A0D"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Ввиду громадного и решающего значения промышленности в удовлетворении потребностей войны вопрос о ее </w:t>
      </w:r>
      <w:proofErr w:type="spellStart"/>
      <w:r w:rsidRPr="00A259BD">
        <w:rPr>
          <w:rFonts w:ascii="Times New Roman" w:hAnsi="Times New Roman"/>
          <w:color w:val="000000" w:themeColor="text1"/>
          <w:sz w:val="16"/>
          <w:szCs w:val="16"/>
        </w:rPr>
        <w:t>мобготовности</w:t>
      </w:r>
      <w:proofErr w:type="spellEnd"/>
      <w:r w:rsidRPr="00A259BD">
        <w:rPr>
          <w:rFonts w:ascii="Times New Roman" w:hAnsi="Times New Roman"/>
          <w:color w:val="000000" w:themeColor="text1"/>
          <w:sz w:val="16"/>
          <w:szCs w:val="16"/>
        </w:rPr>
        <w:t xml:space="preserve"> играет исключительную роль в обороне страны. Считая положение в этой области весьма тяжелым, предложить:</w:t>
      </w:r>
    </w:p>
    <w:p w14:paraId="0030508C"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ВСНХ представить к 1 сентября действующий мобилизационный план со сроками развертывания военных производств, с количеством и пунктами подачи готовой продукции. При составлении следующего </w:t>
      </w:r>
      <w:proofErr w:type="spellStart"/>
      <w:r w:rsidRPr="00A259BD">
        <w:rPr>
          <w:rFonts w:ascii="Times New Roman" w:hAnsi="Times New Roman"/>
          <w:color w:val="000000" w:themeColor="text1"/>
          <w:sz w:val="16"/>
          <w:szCs w:val="16"/>
        </w:rPr>
        <w:t>мобплана</w:t>
      </w:r>
      <w:proofErr w:type="spellEnd"/>
      <w:r w:rsidRPr="00A259BD">
        <w:rPr>
          <w:rFonts w:ascii="Times New Roman" w:hAnsi="Times New Roman"/>
          <w:color w:val="000000" w:themeColor="text1"/>
          <w:sz w:val="16"/>
          <w:szCs w:val="16"/>
        </w:rPr>
        <w:t xml:space="preserve"> исходить из наиболее рационального распределения мобилизационных заданий между предприятиями промышленности под углом зрения учета военно-экономического значения отдельных районов, связи гражданских заводов с военными (кустование), максимального приближения к сырьевым базам, полного обеспечения рабочей силой, устранения излишних железнодорожных перевозок и строгой специализации заводов по производству ответственных элементов вооружения;</w:t>
      </w:r>
    </w:p>
    <w:p w14:paraId="588ECCF2"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ВСНХ в трехмесячный срок разработать вопрос кооперирования и ассимиляции военных производств в гражданской промышленности, предусмотрев проведение необходимых мероприятий при утверждении </w:t>
      </w:r>
      <w:proofErr w:type="spellStart"/>
      <w:r w:rsidRPr="00A259BD">
        <w:rPr>
          <w:rFonts w:ascii="Times New Roman" w:hAnsi="Times New Roman"/>
          <w:color w:val="000000" w:themeColor="text1"/>
          <w:sz w:val="16"/>
          <w:szCs w:val="16"/>
        </w:rPr>
        <w:t>промфинплана</w:t>
      </w:r>
      <w:proofErr w:type="spellEnd"/>
      <w:r w:rsidRPr="00A259BD">
        <w:rPr>
          <w:rFonts w:ascii="Times New Roman" w:hAnsi="Times New Roman"/>
          <w:color w:val="000000" w:themeColor="text1"/>
          <w:sz w:val="16"/>
          <w:szCs w:val="16"/>
        </w:rPr>
        <w:t xml:space="preserve"> на 1929/30 г.;</w:t>
      </w:r>
    </w:p>
    <w:p w14:paraId="795941B2"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провести немедленно самые энергичные и жесткие мероприятия по максимальному сокращению сроков мобилизационного развертывания всей промышленности и точно установить не только сроки выпуска отдельных элементов вооружения, но, главным образом, сроки получения единого выстрела и сложных изделий;</w:t>
      </w:r>
    </w:p>
    <w:p w14:paraId="703A3376"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обязать ВСНХ и </w:t>
      </w:r>
      <w:proofErr w:type="spellStart"/>
      <w:r w:rsidRPr="00A259BD">
        <w:rPr>
          <w:rFonts w:ascii="Times New Roman" w:hAnsi="Times New Roman"/>
          <w:color w:val="000000" w:themeColor="text1"/>
          <w:sz w:val="16"/>
          <w:szCs w:val="16"/>
        </w:rPr>
        <w:t>НКТруд</w:t>
      </w:r>
      <w:proofErr w:type="spellEnd"/>
      <w:r w:rsidRPr="00A259BD">
        <w:rPr>
          <w:rFonts w:ascii="Times New Roman" w:hAnsi="Times New Roman"/>
          <w:color w:val="000000" w:themeColor="text1"/>
          <w:sz w:val="16"/>
          <w:szCs w:val="16"/>
        </w:rPr>
        <w:t xml:space="preserve"> к 1 октября 1929 г. представить план обеспечения мобилизуемых заводов, предприятий и совхозов рабочей силой и техперсоналом с учетом необходимого насыщения мобилизованной армии пролетарской прослойкой не менее 7%;</w:t>
      </w:r>
    </w:p>
    <w:p w14:paraId="03D521FE"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начиная с 1929/30 г. проводить периодические проверки мобилизационной готовности предприятий в виде опытных и поверочных мобилизаций предприятий промышленности, для чего РЗ СТО рассмотреть и утвердить соответствующий план.</w:t>
      </w:r>
    </w:p>
    <w:p w14:paraId="2285C4F3"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В отношении транспорта предложить точно выполнять намеченные по годам специальные работы. К весне 1930 г. довести неснижаемые запасы топлива до 100% требуемых норм. На ближайшие годы особое внимание обратить на дальнейшее усиление пропускной способности железных дорог в западной приграничной полосе.</w:t>
      </w:r>
    </w:p>
    <w:p w14:paraId="00E1502F"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Придавая громадное значение безрельсовым путям, особенно в связи с </w:t>
      </w:r>
      <w:proofErr w:type="spellStart"/>
      <w:r w:rsidRPr="00A259BD">
        <w:rPr>
          <w:rFonts w:ascii="Times New Roman" w:hAnsi="Times New Roman"/>
          <w:color w:val="000000" w:themeColor="text1"/>
          <w:sz w:val="16"/>
          <w:szCs w:val="16"/>
        </w:rPr>
        <w:t>автостроительством</w:t>
      </w:r>
      <w:proofErr w:type="spellEnd"/>
      <w:r w:rsidRPr="00A259BD">
        <w:rPr>
          <w:rFonts w:ascii="Times New Roman" w:hAnsi="Times New Roman"/>
          <w:color w:val="000000" w:themeColor="text1"/>
          <w:sz w:val="16"/>
          <w:szCs w:val="16"/>
        </w:rPr>
        <w:t xml:space="preserve"> и моторизацией армии, и констатируя в этой области тяжелое положение, поручить СНК СССР и правительствам союзных республик (особенно УССР и БССР) поставить во всем объеме проблему безрельсовых дорог и провести организационные и экономические мероприятия, гарантирующие упорядочение этой важнейшей части народного хозяйства, с широким привлечением к этому делу населения.</w:t>
      </w:r>
    </w:p>
    <w:p w14:paraId="5ECDCD80"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Придавая особо большое значение вопросам </w:t>
      </w:r>
      <w:proofErr w:type="spellStart"/>
      <w:r w:rsidRPr="00A259BD">
        <w:rPr>
          <w:rFonts w:ascii="Times New Roman" w:hAnsi="Times New Roman"/>
          <w:color w:val="000000" w:themeColor="text1"/>
          <w:sz w:val="16"/>
          <w:szCs w:val="16"/>
        </w:rPr>
        <w:t>суррогатирования</w:t>
      </w:r>
      <w:proofErr w:type="spellEnd"/>
      <w:r w:rsidRPr="00A259BD">
        <w:rPr>
          <w:rFonts w:ascii="Times New Roman" w:hAnsi="Times New Roman"/>
          <w:color w:val="000000" w:themeColor="text1"/>
          <w:sz w:val="16"/>
          <w:szCs w:val="16"/>
        </w:rPr>
        <w:t xml:space="preserve"> во время войны и в настоящее время, в связи с продовольственными и товарными затруднениями, поручить СНК СССР в ближайшее время поставить конкретные задачи перед всеми отраслями народного хозяйства и обеспечить разрешение этого вопроса как в научном, так и в организационном отношениях.</w:t>
      </w:r>
    </w:p>
    <w:p w14:paraId="18518AB5"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Обратить внимание всех СНК союзных республик на необходимость полного охвата в своей работе оборонно-плановых вопросов. Предложить провести реальные мероприятия по решительному улучшению экономического и культурного положения в приграничных районах.</w:t>
      </w:r>
    </w:p>
    <w:p w14:paraId="0B431394"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Одобряя мероприятия правительства по обеспечению интересов обороны в пятилетнем плане развития народного хозяйства. Политбюро предлагает ускорить в первые 3 года пятилетки темпы строительства в отраслях, имеющих оборонное значение, в целях скорейшей ликвидации «узких» мест и диспропорций, и особенно, усиление собственного производства цветных металлов, химии и машиностроения.</w:t>
      </w:r>
    </w:p>
    <w:p w14:paraId="2752D5BB"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Настоящее постановление размножено в 3 экз. и рассылается:</w:t>
      </w:r>
    </w:p>
    <w:p w14:paraId="2FDE2CEB"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РВС СССР — т. Ворошилову,</w:t>
      </w:r>
    </w:p>
    <w:p w14:paraId="796DFFDF"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РЗ СТО — т. Рудзутаку</w:t>
      </w:r>
    </w:p>
    <w:p w14:paraId="0BFDF950"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секретный отдел ЦК ВКП(б).</w:t>
      </w:r>
    </w:p>
    <w:p w14:paraId="295229BC"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Ввиду его особой секретности оно должно храниться на правах шифра (18101).</w:t>
      </w:r>
    </w:p>
    <w:p w14:paraId="5017E990" w14:textId="77777777" w:rsidR="006B42B3" w:rsidRPr="00A259BD" w:rsidRDefault="006B42B3" w:rsidP="009236E3">
      <w:pPr>
        <w:spacing w:after="0" w:line="240" w:lineRule="auto"/>
        <w:jc w:val="both"/>
        <w:rPr>
          <w:rFonts w:ascii="Times New Roman" w:hAnsi="Times New Roman"/>
          <w:color w:val="000000" w:themeColor="text1"/>
          <w:sz w:val="16"/>
          <w:szCs w:val="16"/>
        </w:rPr>
      </w:pPr>
    </w:p>
    <w:p w14:paraId="4068121A"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июля 1929</w:t>
      </w:r>
    </w:p>
    <w:p w14:paraId="738B52A6"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 2-ОП.</w:t>
      </w:r>
    </w:p>
    <w:p w14:paraId="42EE9707"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38 пр. ПБ № 89.</w:t>
      </w:r>
    </w:p>
    <w:p w14:paraId="5624B099"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Совершенно секретно.</w:t>
      </w:r>
    </w:p>
    <w:p w14:paraId="5897BB3E"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 Политбюро ЦК ВКП(б) о военной промышленности.</w:t>
      </w:r>
    </w:p>
    <w:p w14:paraId="4FF7154F"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(Утверждено Политбюро ЦК ВКП(б) 15.VII.1929 г.).</w:t>
      </w:r>
    </w:p>
    <w:p w14:paraId="54F96518"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w:t>
      </w:r>
    </w:p>
    <w:p w14:paraId="7EA82B0C"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Современная война при ее громадном масштабе, крайней напряженности, глубоко-техническом характере настоятельно требует всемерного развития военно-технических средств борьбы, применения этих средств в массовых количествах, получения их от промышленности в нужные для обороны сроки и постоянного их совершенствования.</w:t>
      </w:r>
    </w:p>
    <w:p w14:paraId="148869B1"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Эти условия ведения войны ставят перед промышленностью уже в мирное время задачу подготовиться к тому, чтобы с объявлением войны быстро развернуть военные производства для максимального удовлетворения потребностей обороны.</w:t>
      </w:r>
    </w:p>
    <w:p w14:paraId="504B685E"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подготовке промышленности к войне ведущую роль занимает кадровая военная промышленность, на которую возлагаются следующие основные обязанности:</w:t>
      </w:r>
    </w:p>
    <w:p w14:paraId="77EFB968"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 объявлением войны развернуть свои производства в первую очередь с тем, чтобы питать Красную армию до развертывания остальной промышленности;</w:t>
      </w:r>
    </w:p>
    <w:p w14:paraId="42A8D420"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поддерживать технику военных производств на уровне требований современной войны;</w:t>
      </w:r>
    </w:p>
    <w:p w14:paraId="61DEA784"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совершенствовать технические средства борьбы, быстро изготовлять новые образцы вооружения, внедрять их в массовое производство в кратчайшие сроки, изучать и распространять опыт и навыки по изготовлению предметов вооружения на заводы гражданской промышленности;</w:t>
      </w:r>
    </w:p>
    <w:p w14:paraId="35CD4F44"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во время мобилизации помогать и содействовать развертыванию родственных производств в гражданской промышленности.</w:t>
      </w:r>
    </w:p>
    <w:p w14:paraId="2066B527"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Существование в системе советской промышленности специальной военной промышленности с весьма мощными заводами объективно создает преимущество Советского Союза перед буржуазными государствами в деле наилучшей подготовки промышленности к обороне страны.</w:t>
      </w:r>
    </w:p>
    <w:p w14:paraId="1F405DA8"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Однако необходимо констатировать, что военная промышленность до настоящего времени не подготовлена к выполнению возложенных на нее задач и положение с подготовкой ее к обороне находится в неудовлетворительном состоянии.</w:t>
      </w:r>
    </w:p>
    <w:p w14:paraId="0355AA43"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Существеннейшими для обороны Союза являются следующие крупнейшие недостатки в работе военной промышленности:</w:t>
      </w:r>
    </w:p>
    <w:p w14:paraId="0871709C"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громадное преуменьшение мобилизационных мощностей заводов военной промышленности и в связи с этим длительные и не соответствующие интересам обороны сроки развития заводов до удовлетворения минимальных потребностей армии на случай войны, с </w:t>
      </w:r>
      <w:proofErr w:type="spellStart"/>
      <w:r w:rsidRPr="00A259BD">
        <w:rPr>
          <w:rFonts w:ascii="Times New Roman" w:hAnsi="Times New Roman"/>
          <w:color w:val="000000" w:themeColor="text1"/>
          <w:sz w:val="16"/>
          <w:szCs w:val="16"/>
        </w:rPr>
        <w:t>испрашиванием</w:t>
      </w:r>
      <w:proofErr w:type="spellEnd"/>
      <w:r w:rsidRPr="00A259BD">
        <w:rPr>
          <w:rFonts w:ascii="Times New Roman" w:hAnsi="Times New Roman"/>
          <w:color w:val="000000" w:themeColor="text1"/>
          <w:sz w:val="16"/>
          <w:szCs w:val="16"/>
        </w:rPr>
        <w:t xml:space="preserve"> значительно преувеличенных средств на капитальное строительство;</w:t>
      </w:r>
    </w:p>
    <w:p w14:paraId="02F9C0DB"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длительность сроков мобилизационного развертывания военных заводов (от 1 до 1½ лет), что создает весьма опасный разрыв между обеспечением потребностей войны имеющимися запасами и началом подачи па фронт продукции мобилизованной промышленности и приводит к необходимости иметь крупные </w:t>
      </w:r>
      <w:proofErr w:type="spellStart"/>
      <w:r w:rsidRPr="00A259BD">
        <w:rPr>
          <w:rFonts w:ascii="Times New Roman" w:hAnsi="Times New Roman"/>
          <w:color w:val="000000" w:themeColor="text1"/>
          <w:sz w:val="16"/>
          <w:szCs w:val="16"/>
        </w:rPr>
        <w:t>мобзапасы</w:t>
      </w:r>
      <w:proofErr w:type="spellEnd"/>
      <w:r w:rsidRPr="00A259BD">
        <w:rPr>
          <w:rFonts w:ascii="Times New Roman" w:hAnsi="Times New Roman"/>
          <w:color w:val="000000" w:themeColor="text1"/>
          <w:sz w:val="16"/>
          <w:szCs w:val="16"/>
        </w:rPr>
        <w:t>, непосильные для государства;</w:t>
      </w:r>
    </w:p>
    <w:p w14:paraId="42683D2B"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наличие диспропорций и “узких” мест по ряду отраслей военных производств и заводов, как например: пороховое производство не обеспечено кислотами, а производство порохов в свою очередь не обеспечивает количество заданных выстрелов; производство орудий, пулеметов и винтовок не обеспечено соответствующим количеством специальных сталей, большинство заводов не обеспечено электроэнергией, а военно-химические заводы и паросиловыми установками. Это лишает возможности в настоящее время полностью использовать производственные возможности военных заводов для обороны;</w:t>
      </w:r>
    </w:p>
    <w:p w14:paraId="33FF6986"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выведение до 1927 г. из строя, а в отдельных случаях и прямое разрушение заводов оборонного значения. Примеры: разрушен завод Барановского, разоружены </w:t>
      </w:r>
      <w:proofErr w:type="spellStart"/>
      <w:r w:rsidRPr="00A259BD">
        <w:rPr>
          <w:rFonts w:ascii="Times New Roman" w:hAnsi="Times New Roman"/>
          <w:color w:val="000000" w:themeColor="text1"/>
          <w:sz w:val="16"/>
          <w:szCs w:val="16"/>
        </w:rPr>
        <w:t>Бачмановский</w:t>
      </w:r>
      <w:proofErr w:type="spellEnd"/>
      <w:r w:rsidRPr="00A259BD">
        <w:rPr>
          <w:rFonts w:ascii="Times New Roman" w:hAnsi="Times New Roman"/>
          <w:color w:val="000000" w:themeColor="text1"/>
          <w:sz w:val="16"/>
          <w:szCs w:val="16"/>
        </w:rPr>
        <w:t xml:space="preserve"> арсенал и Бежецкий завод по ремонту винтовок; разоружались и выводились из строя Охтинский, Шлиссельбургский, </w:t>
      </w:r>
      <w:proofErr w:type="spellStart"/>
      <w:r w:rsidRPr="00A259BD">
        <w:rPr>
          <w:rFonts w:ascii="Times New Roman" w:hAnsi="Times New Roman"/>
          <w:color w:val="000000" w:themeColor="text1"/>
          <w:sz w:val="16"/>
          <w:szCs w:val="16"/>
        </w:rPr>
        <w:t>Шостенский</w:t>
      </w:r>
      <w:proofErr w:type="spellEnd"/>
      <w:r w:rsidRPr="00A259BD">
        <w:rPr>
          <w:rFonts w:ascii="Times New Roman" w:hAnsi="Times New Roman"/>
          <w:color w:val="000000" w:themeColor="text1"/>
          <w:sz w:val="16"/>
          <w:szCs w:val="16"/>
        </w:rPr>
        <w:t xml:space="preserve"> и Тамбовский пороховые заводы;</w:t>
      </w:r>
    </w:p>
    <w:p w14:paraId="68800E6C"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запутывание в отдельных случаях, главным образом, по Орудийно-арсенальному тресту технологических процессов производства по весьма важным военным изделиям (артиллерия, танки). Примеры: в течение двух лет и до настоящего времени не разработан технологический процесс по производству танков на заводах Мотовилихинском и “Большевик”, по производству зенитных орудий технологический процесс по нарезке вместо нормальных 8 часов установлен в 16 часов, и само орудие в процессе его производства несколько раз гуляет взад-вперед по заводу и т. д.;</w:t>
      </w:r>
    </w:p>
    <w:p w14:paraId="13B62FC9"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 до настоящего времени не разрешена проблема заводского ремонта во время войны материальной части артиллерии, винтовок и пулеметов и обеспечения артиллерии передками, зарядными ящиками, колесами и т. д. Примеры: производство основного арсенального имущества — передки, зарядные ящики, колеса и т. д. — базируется на прифронтовых арсеналах — Ленинградском, Киевском, Брянском. Ни один завод в тылу к производству арсенального имущества не </w:t>
      </w:r>
      <w:r w:rsidRPr="00A259BD">
        <w:rPr>
          <w:rFonts w:ascii="Times New Roman" w:hAnsi="Times New Roman"/>
          <w:color w:val="000000" w:themeColor="text1"/>
          <w:sz w:val="16"/>
          <w:szCs w:val="16"/>
        </w:rPr>
        <w:lastRenderedPageBreak/>
        <w:t>приспособлен. Поэтому в случае осложнения положения с прифронтовыми арсеналами неизвестно, какие заводы примут на себя производство арсенального имущества.</w:t>
      </w:r>
    </w:p>
    <w:p w14:paraId="4F53F0BC"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отношении заводского ремонта винтовок и пулеметов положение таково: Бежецкий ремонтный завод выведен из строя; взамен Бежецкого никакому другому заводу задания на ремонт не дано. Если же ремонт винтовок возложить на Тульский и Ижевский </w:t>
      </w:r>
      <w:proofErr w:type="spellStart"/>
      <w:r w:rsidRPr="00A259BD">
        <w:rPr>
          <w:rFonts w:ascii="Times New Roman" w:hAnsi="Times New Roman"/>
          <w:color w:val="000000" w:themeColor="text1"/>
          <w:sz w:val="16"/>
          <w:szCs w:val="16"/>
        </w:rPr>
        <w:t>руж</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ейные</w:t>
      </w:r>
      <w:proofErr w:type="spellEnd"/>
      <w:r w:rsidRPr="00A259BD">
        <w:rPr>
          <w:rFonts w:ascii="Times New Roman" w:hAnsi="Times New Roman"/>
          <w:color w:val="000000" w:themeColor="text1"/>
          <w:sz w:val="16"/>
          <w:szCs w:val="16"/>
        </w:rPr>
        <w:t>] заводы, то это сократит процентов на 30 выпуск ими новых винтовок и пулеметов;</w:t>
      </w:r>
    </w:p>
    <w:p w14:paraId="62473768"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ж) не создано и находится в расстроенном состоянии </w:t>
      </w:r>
      <w:proofErr w:type="spellStart"/>
      <w:r w:rsidRPr="00A259BD">
        <w:rPr>
          <w:rFonts w:ascii="Times New Roman" w:hAnsi="Times New Roman"/>
          <w:color w:val="000000" w:themeColor="text1"/>
          <w:sz w:val="16"/>
          <w:szCs w:val="16"/>
        </w:rPr>
        <w:t>лекально</w:t>
      </w:r>
      <w:proofErr w:type="spellEnd"/>
      <w:r w:rsidRPr="00A259BD">
        <w:rPr>
          <w:rFonts w:ascii="Times New Roman" w:hAnsi="Times New Roman"/>
          <w:color w:val="000000" w:themeColor="text1"/>
          <w:sz w:val="16"/>
          <w:szCs w:val="16"/>
        </w:rPr>
        <w:t xml:space="preserve">-инструментальное дело по важнейшим военным производствам. Так как во время войны пришлось бы форсировать производство лекал и инструментов, то это неизбежно привело бы к удлинению сроков </w:t>
      </w:r>
      <w:proofErr w:type="spellStart"/>
      <w:r w:rsidRPr="00A259BD">
        <w:rPr>
          <w:rFonts w:ascii="Times New Roman" w:hAnsi="Times New Roman"/>
          <w:color w:val="000000" w:themeColor="text1"/>
          <w:sz w:val="16"/>
          <w:szCs w:val="16"/>
        </w:rPr>
        <w:t>мобразвертывания</w:t>
      </w:r>
      <w:proofErr w:type="spellEnd"/>
      <w:r w:rsidRPr="00A259BD">
        <w:rPr>
          <w:rFonts w:ascii="Times New Roman" w:hAnsi="Times New Roman"/>
          <w:color w:val="000000" w:themeColor="text1"/>
          <w:sz w:val="16"/>
          <w:szCs w:val="16"/>
        </w:rPr>
        <w:t xml:space="preserve"> и ухудшению боевых качеств оружия. Примеры: в настоящее время постановка </w:t>
      </w:r>
      <w:proofErr w:type="spellStart"/>
      <w:r w:rsidRPr="00A259BD">
        <w:rPr>
          <w:rFonts w:ascii="Times New Roman" w:hAnsi="Times New Roman"/>
          <w:color w:val="000000" w:themeColor="text1"/>
          <w:sz w:val="16"/>
          <w:szCs w:val="16"/>
        </w:rPr>
        <w:t>лекально</w:t>
      </w:r>
      <w:proofErr w:type="spellEnd"/>
      <w:r w:rsidRPr="00A259BD">
        <w:rPr>
          <w:rFonts w:ascii="Times New Roman" w:hAnsi="Times New Roman"/>
          <w:color w:val="000000" w:themeColor="text1"/>
          <w:sz w:val="16"/>
          <w:szCs w:val="16"/>
        </w:rPr>
        <w:t>-инструментального дела не обеспечивает производство по мобилизации Ижевского, Тульского, Пензенского, Мотовилихинского, Ковровского и других заводов;</w:t>
      </w:r>
    </w:p>
    <w:p w14:paraId="61258C30"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громадный парк запасного станочного оборудования не использован и частично приведен в негодность; одновременно с этим выписывались по импорту ненужные станки с затратой на это крупных средств. Примеры: до последнего времени находились без определенного назначения станки на заводах: Мотовилихинском — свыше тысячи, Путиловском — около тысячи, Ленинградском трубочном — 1,8 тыс. станков и т. д.; а всего на заводах военной промышленности находилось без назначения 8</w:t>
      </w:r>
      <w:r w:rsidRPr="00A259BD">
        <w:rPr>
          <w:rFonts w:ascii="Times New Roman" w:hAnsi="Times New Roman"/>
          <w:color w:val="000000" w:themeColor="text1"/>
          <w:sz w:val="16"/>
          <w:szCs w:val="16"/>
        </w:rPr>
        <w:noBreakHyphen/>
        <w:t>10 тыс. станков. Излишние станки и оборудование выписывались Мотовилихинским заводом, “Большевиком” и др.;</w:t>
      </w:r>
    </w:p>
    <w:p w14:paraId="787FED7E"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недопустимо медленное изготовление новых опытных образцов вооружения и длительные (3</w:t>
      </w:r>
      <w:r w:rsidRPr="00A259BD">
        <w:rPr>
          <w:rFonts w:ascii="Times New Roman" w:hAnsi="Times New Roman"/>
          <w:color w:val="000000" w:themeColor="text1"/>
          <w:sz w:val="16"/>
          <w:szCs w:val="16"/>
        </w:rPr>
        <w:noBreakHyphen/>
        <w:t>4 года) сроки постановки их изготовления в массовом производстве;</w:t>
      </w:r>
    </w:p>
    <w:p w14:paraId="5EC6F5BB"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сохранение по всем заводам до настоящего времени устаревших технологических процессов и упорное нежелание аппаратов военной промышленности во всех ее звеньях к нововведениям и совершенствованию этих процессов;</w:t>
      </w:r>
    </w:p>
    <w:p w14:paraId="11CDE39F"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 недоделы по Орудийно-арсенальному и </w:t>
      </w:r>
      <w:proofErr w:type="spellStart"/>
      <w:r w:rsidRPr="00A259BD">
        <w:rPr>
          <w:rFonts w:ascii="Times New Roman" w:hAnsi="Times New Roman"/>
          <w:color w:val="000000" w:themeColor="text1"/>
          <w:sz w:val="16"/>
          <w:szCs w:val="16"/>
        </w:rPr>
        <w:t>Авиатрестам</w:t>
      </w:r>
      <w:proofErr w:type="spellEnd"/>
      <w:r w:rsidRPr="00A259BD">
        <w:rPr>
          <w:rFonts w:ascii="Times New Roman" w:hAnsi="Times New Roman"/>
          <w:color w:val="000000" w:themeColor="text1"/>
          <w:sz w:val="16"/>
          <w:szCs w:val="16"/>
        </w:rPr>
        <w:t>, невыполнение программ по изготовлению запасных частей и отсутствие взаимозаменяемости частей к отдельным предметам вооружения;</w:t>
      </w:r>
    </w:p>
    <w:p w14:paraId="22A218B0"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 крайне недостаточное использование основного капитала военной промышленности в отношении загрузки мирной продукцией, а в некоторых случаях нерациональное использование военного оборудования для этих производств. Пример: </w:t>
      </w:r>
      <w:proofErr w:type="spellStart"/>
      <w:r w:rsidRPr="00A259BD">
        <w:rPr>
          <w:rFonts w:ascii="Times New Roman" w:hAnsi="Times New Roman"/>
          <w:color w:val="000000" w:themeColor="text1"/>
          <w:sz w:val="16"/>
          <w:szCs w:val="16"/>
        </w:rPr>
        <w:t>замочно</w:t>
      </w:r>
      <w:proofErr w:type="spellEnd"/>
      <w:r w:rsidRPr="00A259BD">
        <w:rPr>
          <w:rFonts w:ascii="Times New Roman" w:hAnsi="Times New Roman"/>
          <w:color w:val="000000" w:themeColor="text1"/>
          <w:sz w:val="16"/>
          <w:szCs w:val="16"/>
        </w:rPr>
        <w:t>-прицельная «Большевика» выведена из строя путем приспособления под тракторы (начиная с 1922 г. и до настоящего времени);</w:t>
      </w:r>
    </w:p>
    <w:p w14:paraId="3F99EE2E"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 неудовлетворительное использование оборотных капиталов в военной промышленности, что привело, и не могло не привести, к напряженнейшему финансовому положению и кассовым прорывам по отдельным трестам; до сих пор тресты надеются на подачки государства, не принимая достаточных мер к упорядочению своих финансов;</w:t>
      </w:r>
    </w:p>
    <w:p w14:paraId="0F53372D"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все развитие военной промышленности и подготовка ее к войне базировались целиком на касте старых специалистов царской России, и вопрос о подготовке в нужном количестве советских специалистов военных производств до 1928/29 г. совершенно выпал из поля зрения как военной промышленности, так и самого ВСНХ. Это привело к тому, что в настоящее время, когда установлена принадлежность большинства старых специалистов к контрреволюционной организации, военная промышленность в отношении технического руководства очутилась в критическом положении.</w:t>
      </w:r>
    </w:p>
    <w:p w14:paraId="0678725F"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Такое положение в военной промышленности создавало опасный разрыв между промышленностью и потребностями обороны, в результате чего Красная армия была бы лишена возможности полностью использовать для обороны имеющиеся промышленные ресурсы и не получила бы в первый период войны ряда весьма важных предметов вооружения (тяжелая артиллерия, танки, отравляющие вещества и т. д.).</w:t>
      </w:r>
    </w:p>
    <w:p w14:paraId="55C862C1"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Указанное выше положение в военной промышленности явилось следствием:</w:t>
      </w:r>
    </w:p>
    <w:p w14:paraId="03816174"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многолетней и систематической вредительской работы крупной контрреволюционной организации в военной промышленности (ВПУ, тресты, заводы);</w:t>
      </w:r>
    </w:p>
    <w:p w14:paraId="158462BB"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отсутствия бдительности у партийного руководящего состава военной промышленности, начиная от руководящих работников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ВПУ и кончая заводами;</w:t>
      </w:r>
    </w:p>
    <w:p w14:paraId="12CC4D45"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чрезмерного доверия к специалистам, в особенности к их верхушке (инженерам Михайлову, </w:t>
      </w:r>
      <w:proofErr w:type="spellStart"/>
      <w:r w:rsidRPr="00A259BD">
        <w:rPr>
          <w:rFonts w:ascii="Times New Roman" w:hAnsi="Times New Roman"/>
          <w:color w:val="000000" w:themeColor="text1"/>
          <w:sz w:val="16"/>
          <w:szCs w:val="16"/>
        </w:rPr>
        <w:t>Высочанскому</w:t>
      </w:r>
      <w:proofErr w:type="spellEnd"/>
      <w:r w:rsidRPr="00A259BD">
        <w:rPr>
          <w:rFonts w:ascii="Times New Roman" w:hAnsi="Times New Roman"/>
          <w:color w:val="000000" w:themeColor="text1"/>
          <w:sz w:val="16"/>
          <w:szCs w:val="16"/>
        </w:rPr>
        <w:t xml:space="preserve"> и др.), и отсутствия со стороны руководящего коммунистического состава военной промышленности даже минимального контроля за работой специалистов. В большинстве случаев руководящий коммунистический состав военной промышленности свел свою роль по управлению промышленностью, трестами и предприятиями к голому администрированию на основе отчетов и докладов, представляемых ему аппаратами (заполненными и часто руководимыми вредительскими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совершенствовать систему управления и изучать производственные технологические процессы;</w:t>
      </w:r>
    </w:p>
    <w:p w14:paraId="42BCFF6C"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под предлогом военной тайны (чрезмерное засекречивание) фактически был отстранен от активного участия в организации и рационализации производства беспартийный и коммунистический рабочий актив на производстве.</w:t>
      </w:r>
    </w:p>
    <w:p w14:paraId="679FA447"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Такое положение привело к тому, что в течение ряда лет решающую и руководящую роль в военной промышленности играла каста старых специалистов царской России, в большинстве своем входившая в контрреволюционную организацию и расстраивавшая военную промышленность.</w:t>
      </w:r>
    </w:p>
    <w:p w14:paraId="726E3405"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Вскрытое совместными усилиями НК РКИ СССР и ОГПУ действительное положение в военной промышленности оказалось ни в какой мере не соответствующим тому оптимистическому освещению, которое вошло в систему оценки военной промышленности в докладах ЦК ВКП(б) и правительству со стороны руководителей военной промышленности. Полученные некоторые достижения в области поднятия производительности труда, снижения себестоимости, повышения качества и количества изготовляемой продукции, внедрения некоторых новых видов производства и так далее должны быть отмечены. Однако эти достижения совершенно недостаточны ни с точки зрения вложенных в военную промышленность средств, ни с точки зрения количества времени, затраченного на эти достижения. В то же время эти достижения выдвигались руководящими работниками военной промышленности в качестве показателей общего благополучия промышленности, что еще более содействовало прикрыванию фактического тяжелого положения подготовки военной промышленности к обороне.</w:t>
      </w:r>
    </w:p>
    <w:p w14:paraId="08CEAA2B"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Значительное исправление указанного выше положения в военной промышленности предусмотрено решениями Президиума ВСНХ и утвержденными постановлениями РЗ СТО по планам капитального строительства промышленности на 1928/29 г. Однако и в настоящее время необходимо признать, что военная промышленность в первой половине 1928/29 г. не была в должной мере подготовлена к выполнению заданного ей плана капитального строительства и в работе аппаратов не произошло еще необходимого перелома, гарантирующего как выполнение плана строительства, так и срочного исправления последствий работы контрреволюционной организации.</w:t>
      </w:r>
    </w:p>
    <w:p w14:paraId="7B62DAF5"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w:t>
      </w:r>
    </w:p>
    <w:p w14:paraId="1A76D0B5"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Поднятие обороноспособности СССР требует принятия решительных мер к немедленному исправлению вышеуказанного тяжелого положения военной промышленности. В соответствии с этим Политбюро постановляет:</w:t>
      </w:r>
    </w:p>
    <w:p w14:paraId="5B317237"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Президиуму ЦКК срочно рассмотреть вопрос о наложении взысканий и привлечении к ответственности как нынешнего, так и бывшего руководящего состава военной промышленности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ВПУ, трестов и заводов), виновного в недостаточной бдительности к многолетнему и явному вредительству и упущениям в военной промышленности, и внести свои предложения в Политбюро.</w:t>
      </w:r>
    </w:p>
    <w:p w14:paraId="12F7863E"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Специальной комиссии в составе т. </w:t>
      </w:r>
      <w:proofErr w:type="spellStart"/>
      <w:r w:rsidRPr="00A259BD">
        <w:rPr>
          <w:rFonts w:ascii="Times New Roman" w:hAnsi="Times New Roman"/>
          <w:color w:val="000000" w:themeColor="text1"/>
          <w:sz w:val="16"/>
          <w:szCs w:val="16"/>
        </w:rPr>
        <w:t>Павлуновского</w:t>
      </w:r>
      <w:proofErr w:type="spellEnd"/>
      <w:r w:rsidRPr="00A259BD">
        <w:rPr>
          <w:rFonts w:ascii="Times New Roman" w:hAnsi="Times New Roman"/>
          <w:color w:val="000000" w:themeColor="text1"/>
          <w:sz w:val="16"/>
          <w:szCs w:val="16"/>
        </w:rPr>
        <w:t xml:space="preserve"> (председателя) и членов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Урываева, </w:t>
      </w:r>
      <w:proofErr w:type="spellStart"/>
      <w:r w:rsidRPr="00A259BD">
        <w:rPr>
          <w:rFonts w:ascii="Times New Roman" w:hAnsi="Times New Roman"/>
          <w:color w:val="000000" w:themeColor="text1"/>
          <w:sz w:val="16"/>
          <w:szCs w:val="16"/>
        </w:rPr>
        <w:t>Молочникова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Булина</w:t>
      </w:r>
      <w:proofErr w:type="spellEnd"/>
      <w:r w:rsidRPr="00A259BD">
        <w:rPr>
          <w:rFonts w:ascii="Times New Roman" w:hAnsi="Times New Roman"/>
          <w:color w:val="000000" w:themeColor="text1"/>
          <w:sz w:val="16"/>
          <w:szCs w:val="16"/>
        </w:rPr>
        <w:t xml:space="preserve"> и по одному представителю от ЦК металлистов и химиков в кратчайший срок произвести чистку всего личного состава военной промышленности до заводов включительно.</w:t>
      </w:r>
    </w:p>
    <w:p w14:paraId="3CE5BF55"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Признать необходимым обновить руководящий состав военной промышленности, начиная с коллегии ВПУ и кончая заводами. Оргбюро в двухнедельный срок осуществить это мероприятие.</w:t>
      </w:r>
    </w:p>
    <w:p w14:paraId="54E9EC4E"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Оргбюро в месячный срок мобилизовать для военной промышленности не менее 100 чел., преимущественно членов партии, опытных производственников и молодых инженеров.</w:t>
      </w:r>
    </w:p>
    <w:p w14:paraId="2D1B50AB"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Принимая во внимание, что военная промышленность представляет из себя по преимуществу высококвалифицированное производство и в то же время имеет ничтожные технические кадры, в особенности после ликвидации вредительской организации, старых специалистов, ВСНХ надлежит рядом срочных и конкретных мероприятий немедленно разрешить вопрос об усилении технических кадров военной промышленности (путем переподготовки, устройства краткосрочных курсов и т. д.) и одновременно разработать план систематической подготовки для нее технического персонала.</w:t>
      </w:r>
    </w:p>
    <w:p w14:paraId="0BF26BEB"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ВСНХ разработать план (и приступить к его немедленному осуществлению) ликвидации последствий вредительства в военной промышленности. Особое внимание обратить на капитальное строительство, электро-паро-силовое хозяйство, лекальное и инструментальное дело, арсенальную проблему, изучение и совершенствование (рационализация) и технологических процессов, устранение диспропорций между производствами и цехами и т. п. В этом плане исходить из необходимости уже в 1929/30 г. добиться устранения указанных последствий вредительства и создания здоровой производственной обстановки на заводах и в трестах.</w:t>
      </w:r>
    </w:p>
    <w:p w14:paraId="6E22C7E5"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разработке программы ликвидации последствий вредительства использовать все имеющиеся материалы, конкретно изучать каждый объект вредительства в отдельности и широко привлечь к этой работе все предприятия, которые были охвачены вредительством.</w:t>
      </w:r>
    </w:p>
    <w:p w14:paraId="475B9EDE"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Успешное разрешение громадной проблемы технического оснащения Красной армии и, в частности, своевременное осуществление одобренных Политбюро мероприятий по артиллерийскому, танковому, авиационному, химическому перевооружению по пятилетнему плану, возможно только при условии 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заграничной технической помощи. Исходя из этого, ВСНХ немедленно усилить существующие конструкторские и технические бюро на заводах опытными специалистами, организовать их там, где они отсутствуют, и привлечь техническую помощь из-за границы. Особенное внимание должно быть обращено на артиллерийское, танковое, авиационное и химическое дело.</w:t>
      </w:r>
    </w:p>
    <w:p w14:paraId="20EA7C19"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8. Вторым условием успешного осуществления плана технического перевооружения Красной армии является быстрое изготовление опытных образцов нового оружия и организации массового их производства.</w:t>
      </w:r>
    </w:p>
    <w:p w14:paraId="5EA78F91"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Поэтому ВСНХ, совместно с НКВМ, добиться во что бы то ни стало самых минимальных сроков в изготовлении опытных образцов, испытании и проверке их и внедрения в массовое производство.</w:t>
      </w:r>
    </w:p>
    <w:p w14:paraId="5D3B8843"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Считая эту задачу одной из самых важнейших. Политбюро категорически требует ее полного разрешения.</w:t>
      </w:r>
    </w:p>
    <w:p w14:paraId="4FE76355"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Отмечая недостаточную загрузку военных заводов военными заказами, ВСНХ, в целях сокращения сроков </w:t>
      </w:r>
      <w:proofErr w:type="spellStart"/>
      <w:r w:rsidRPr="00A259BD">
        <w:rPr>
          <w:rFonts w:ascii="Times New Roman" w:hAnsi="Times New Roman"/>
          <w:color w:val="000000" w:themeColor="text1"/>
          <w:sz w:val="16"/>
          <w:szCs w:val="16"/>
        </w:rPr>
        <w:t>мобразвертывания</w:t>
      </w:r>
      <w:proofErr w:type="spellEnd"/>
      <w:r w:rsidRPr="00A259BD">
        <w:rPr>
          <w:rFonts w:ascii="Times New Roman" w:hAnsi="Times New Roman"/>
          <w:color w:val="000000" w:themeColor="text1"/>
          <w:sz w:val="16"/>
          <w:szCs w:val="16"/>
        </w:rPr>
        <w:t xml:space="preserve"> военных заводов и максимального использования основного капитала военной промышленности, с 1929/30 г. поднять темп загрузки военных заводов мирной продукцией до максимальных пределов. В двухмесячный срок РЗ СТО рассмотреть план загрузки мирными производствами на 1929/30 г.</w:t>
      </w:r>
    </w:p>
    <w:p w14:paraId="7ADA8A6B"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ВСНХ принять меры по оздоровлению оборотных средств военной промышленности. РЗ СТО срочно рассмотреть вопрос о смягчении финансового напряжения в военной промышленности и о порядке покрытия кассового прорыва в Орудийно-арсенальном и Авиационном трестах, а также наметить мероприятия, исключающие повторение подобных явлений.</w:t>
      </w:r>
    </w:p>
    <w:p w14:paraId="2CFD2335"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РЗ СТО рассмотреть вопрос о ценах на поставляемую </w:t>
      </w:r>
      <w:proofErr w:type="spellStart"/>
      <w:r w:rsidRPr="00A259BD">
        <w:rPr>
          <w:rFonts w:ascii="Times New Roman" w:hAnsi="Times New Roman"/>
          <w:color w:val="000000" w:themeColor="text1"/>
          <w:sz w:val="16"/>
          <w:szCs w:val="16"/>
        </w:rPr>
        <w:t>военведу</w:t>
      </w:r>
      <w:proofErr w:type="spellEnd"/>
      <w:r w:rsidRPr="00A259BD">
        <w:rPr>
          <w:rFonts w:ascii="Times New Roman" w:hAnsi="Times New Roman"/>
          <w:color w:val="000000" w:themeColor="text1"/>
          <w:sz w:val="16"/>
          <w:szCs w:val="16"/>
        </w:rPr>
        <w:t xml:space="preserve"> продукцию под углом необходимого их снижения, установив одновременно твердые расчетные цены по всем предметам вооружения, допуская ориентировочные цены как исключение для вновь устанавливаемых производств и то только для первого периода.</w:t>
      </w:r>
    </w:p>
    <w:p w14:paraId="063C774F"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Поручить Наркомвоенмору, ОГПУ и ВСНХ пересмотреть существующий порядок секретности на военных заводах с тем, чтобы было обеспечено максимальное участие рабочих в контроле над производством и в то же время сохранена военная тайна.</w:t>
      </w:r>
    </w:p>
    <w:p w14:paraId="58B9B703"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Предложить ВСНХ и НКВМ в месячный срок уточнить взаимоотношения в части: а) передачи опытных заказов, времени их изготовления в кратчайшие сроки и быстрого проведения их через испытание; б) исполнение заказов мирного времени и своевременного снабжения промышленности техническими условиями и чертежами.</w:t>
      </w:r>
    </w:p>
    <w:p w14:paraId="67AED976"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 *</w:t>
      </w:r>
    </w:p>
    <w:p w14:paraId="39D968DF"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выполнением всех вышеуказанных мероприятий РЗ СТО установить строгое наблюдение.</w:t>
      </w:r>
    </w:p>
    <w:p w14:paraId="64990727"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Верно: (подпись неразборчива)</w:t>
      </w:r>
    </w:p>
    <w:p w14:paraId="5DB462B2"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Настоящее постановление размножено в 5 экз. и рассылается:</w:t>
      </w:r>
    </w:p>
    <w:p w14:paraId="6C3B2658"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r w:rsidRPr="00A259BD">
        <w:rPr>
          <w:rFonts w:ascii="Times New Roman" w:hAnsi="Times New Roman"/>
          <w:color w:val="000000" w:themeColor="text1"/>
          <w:sz w:val="16"/>
          <w:szCs w:val="16"/>
        </w:rPr>
        <w:noBreakHyphen/>
        <w:t>й экз. для ЦК ВКП(б),</w:t>
      </w:r>
    </w:p>
    <w:p w14:paraId="343AFC73"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r w:rsidRPr="00A259BD">
        <w:rPr>
          <w:rFonts w:ascii="Times New Roman" w:hAnsi="Times New Roman"/>
          <w:color w:val="000000" w:themeColor="text1"/>
          <w:sz w:val="16"/>
          <w:szCs w:val="16"/>
        </w:rPr>
        <w:noBreakHyphen/>
        <w:t>й экз. РЗ СТО — т. Рудзутаку,</w:t>
      </w:r>
    </w:p>
    <w:p w14:paraId="55F392A1"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r w:rsidRPr="00A259BD">
        <w:rPr>
          <w:rFonts w:ascii="Times New Roman" w:hAnsi="Times New Roman"/>
          <w:color w:val="000000" w:themeColor="text1"/>
          <w:sz w:val="16"/>
          <w:szCs w:val="16"/>
        </w:rPr>
        <w:noBreakHyphen/>
        <w:t>й экз. НК РКИ СССР — т. Яковлеву,</w:t>
      </w:r>
    </w:p>
    <w:p w14:paraId="7C4D15EF"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r w:rsidRPr="00A259BD">
        <w:rPr>
          <w:rFonts w:ascii="Times New Roman" w:hAnsi="Times New Roman"/>
          <w:color w:val="000000" w:themeColor="text1"/>
          <w:sz w:val="16"/>
          <w:szCs w:val="16"/>
        </w:rPr>
        <w:noBreakHyphen/>
        <w:t>й экз. ВСНХ СССР — т. </w:t>
      </w:r>
      <w:proofErr w:type="spellStart"/>
      <w:r w:rsidRPr="00A259BD">
        <w:rPr>
          <w:rFonts w:ascii="Times New Roman" w:hAnsi="Times New Roman"/>
          <w:color w:val="000000" w:themeColor="text1"/>
          <w:sz w:val="16"/>
          <w:szCs w:val="16"/>
        </w:rPr>
        <w:t>Рухимовичу</w:t>
      </w:r>
      <w:proofErr w:type="spellEnd"/>
      <w:r w:rsidRPr="00A259BD">
        <w:rPr>
          <w:rFonts w:ascii="Times New Roman" w:hAnsi="Times New Roman"/>
          <w:color w:val="000000" w:themeColor="text1"/>
          <w:sz w:val="16"/>
          <w:szCs w:val="16"/>
        </w:rPr>
        <w:t>,</w:t>
      </w:r>
    </w:p>
    <w:p w14:paraId="344F5DCC"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r w:rsidRPr="00A259BD">
        <w:rPr>
          <w:rFonts w:ascii="Times New Roman" w:hAnsi="Times New Roman"/>
          <w:color w:val="000000" w:themeColor="text1"/>
          <w:sz w:val="16"/>
          <w:szCs w:val="16"/>
        </w:rPr>
        <w:noBreakHyphen/>
        <w:t>й экз. РВС  СССР — т. Ворошилову.</w:t>
      </w:r>
    </w:p>
    <w:p w14:paraId="63CE2B35"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Ввиду его особой секретности оно должно храниться на правах шифра (18102).</w:t>
      </w:r>
    </w:p>
    <w:p w14:paraId="775C70C2" w14:textId="77777777" w:rsidR="006B42B3" w:rsidRPr="00A259BD" w:rsidRDefault="006B42B3" w:rsidP="009236E3">
      <w:pPr>
        <w:spacing w:after="0" w:line="240" w:lineRule="auto"/>
        <w:jc w:val="both"/>
        <w:rPr>
          <w:rFonts w:ascii="Times New Roman" w:hAnsi="Times New Roman"/>
          <w:color w:val="000000" w:themeColor="text1"/>
          <w:sz w:val="16"/>
          <w:szCs w:val="16"/>
        </w:rPr>
      </w:pPr>
    </w:p>
    <w:p w14:paraId="066C0823"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69" w:name="_Hlk91318588"/>
      <w:r w:rsidRPr="00A259BD">
        <w:rPr>
          <w:rFonts w:ascii="Times New Roman" w:eastAsia="Times New Roman" w:hAnsi="Times New Roman"/>
          <w:color w:val="000000" w:themeColor="text1"/>
          <w:sz w:val="16"/>
          <w:szCs w:val="16"/>
          <w:lang w:eastAsia="ru-RU"/>
        </w:rPr>
        <w:t xml:space="preserve">15 июля 1929 Политбюро без возражений утвердило подготовленное комиссией постановление "О состоянии обороны СССР". Оно открывалось констатацией значительных достижений за прошедшие два года. В целом "основным итогом истекшего пятилетия (1924-1929 гг.) планового строительства вооруженных сил является создание крепкой, боеспособной армии, в политическом отношении вполне надежной, в техническом отношении стоящей на уровне развития производительных сил страны". Главными результатами оборонной работы 1927-1929 гг. Политбюро назвало "создание мобилизационных органов, обеспечивающих проведение в государственном аппарате мероприятий по подготовке страны к обороне в мирное время", определения "размеров обоснования пятилетнего плана строительства вооруженных сил" и установление "потребностей фронта на год ведения войны", "внесение определенности и плановости во всю работу по подготовке </w:t>
      </w:r>
      <w:proofErr w:type="spellStart"/>
      <w:r w:rsidRPr="00A259BD">
        <w:rPr>
          <w:rFonts w:ascii="Times New Roman" w:eastAsia="Times New Roman" w:hAnsi="Times New Roman"/>
          <w:color w:val="000000" w:themeColor="text1"/>
          <w:sz w:val="16"/>
          <w:szCs w:val="16"/>
          <w:lang w:eastAsia="ru-RU"/>
        </w:rPr>
        <w:t>сграны</w:t>
      </w:r>
      <w:proofErr w:type="spellEnd"/>
      <w:r w:rsidRPr="00A259BD">
        <w:rPr>
          <w:rFonts w:ascii="Times New Roman" w:eastAsia="Times New Roman" w:hAnsi="Times New Roman"/>
          <w:color w:val="000000" w:themeColor="text1"/>
          <w:sz w:val="16"/>
          <w:szCs w:val="16"/>
          <w:lang w:eastAsia="ru-RU"/>
        </w:rPr>
        <w:t xml:space="preserve"> к обороне". С большей экспрессией и подробностью в постановлении перечислялись "крупнейшие недостатки как в подготовке Красной Армии, так и всего народного хозяйства к обороне". Их перечень отражал понимание высшим политическим руководством приоритетов военно-хозяйственной деятельности:</w:t>
      </w:r>
    </w:p>
    <w:p w14:paraId="7980ECEB"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а) техническая база вооруженных сил все еще очень слаба и далеко отстает от техники современных буржуазных армий;</w:t>
      </w:r>
    </w:p>
    <w:p w14:paraId="620DFB24"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б) материальное обеспечение мобилизуемой армии по действующему мобилизационному плану все еще далеко не удовлетворительно;</w:t>
      </w:r>
    </w:p>
    <w:p w14:paraId="4D687303"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материальные резервы обороны (импортные и внутренние) совершенно недостаточны;</w:t>
      </w:r>
    </w:p>
    <w:p w14:paraId="3B111940"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г) подготовка всей промышленности, в том числе и военной, к выполнению требований вооруженного фронта совершенно неудовлетворительна...".</w:t>
      </w:r>
    </w:p>
    <w:p w14:paraId="1A0279F4"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Обнадеживающий вывод и отправной пункт для постановки новых задач состоял в том, что "пятилетний план развития народного хозяйства создает благоприятные условия для устранения указанных недочетов и значительного качественного и количественного повышения обороны СССР. Поскольку истекшее пятилетие позволило в строительстве вооруженных сил заложить прочные основы модернизации армии, постольку во втором пятилетии должна быть создана современная военно-техническая база для обороны". Политбюро с похвалой отзывалось о "разработке твердого плана строительства вооруженных сил на будущее пятилетие" и признало правильными основные установки этого плана (представленные Штабом РККА и комиссией Ворошилова весной 1928 г.):</w:t>
      </w:r>
    </w:p>
    <w:p w14:paraId="6C0D46FA"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"по численности - не уступать нашим вероятным противникам на главнейшем театре войны[,]</w:t>
      </w:r>
    </w:p>
    <w:p w14:paraId="5468CDA5"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но технике - быть сильнее противника по двум или трем решающим видам вооружений, а именно - по воздушному флоту, артиллерии и танкам".</w:t>
      </w:r>
    </w:p>
    <w:p w14:paraId="53A61146"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Вместе с тем дискуссии на заседаниях Политического бюро и комиссии привели к важным изменениям в определении численности армии военного времени и танкового вооружения. В проектах постановления Политбюро (включая вариант, разосланный секретариатом ЦК 29 июня) предлагалось "довести к концу пятилетия численность отмобилизованной армии до 3 500 000 человек против утвержденных предыдущим постановлением Политбюро 2 600 000 человек" (Проект постановления Политбюро, 29-06.1929 // РГВА. Ф. 4. Оп.1. Д. 907. Л. 77), что находилось в точном соответствии с майским постановлением РЗ СТО. Однако резолюция Политбюро определяла "численность мобилизованной армии к концу пятилетки" в 6 млн человек (Постановление Политбюро ЦК ВКП(б) "О состоянии обороны СССР", 15.07.1929. Л. 105). Эту формулировку, безусловно, следует воспринимать как техническую ошибку. Цифра 6 млн (5,8 млн по проекту 1928 г.) относилась к общему размеру людских контингентов, мобилизуемых в течение года войны (силы мирного времени, призыв по мобилизации и пополнения). В действительности имелась в виду установка численности мобилизованной (развертываемой по мобилизации) армии в 3 млн. человек либо общий призыв в армию за год войны в 6 млн человек (вместо 3266 тыс. и 5834 тыс. по второму варианту 1928 г.) (Об этом свидетельствует текстуальное совпадение соответствующих фрагментов проекта и окончательного текста во всем, кроме первой цифры. В проект от 29 июня от руки внесено следующее изменение: "...иметь численность отмобилизованной армии в 3 000 000 человек против ранее 2 600 000 человек". Правка сделана </w:t>
      </w:r>
      <w:proofErr w:type="spellStart"/>
      <w:r w:rsidRPr="00A259BD">
        <w:rPr>
          <w:rFonts w:ascii="Times New Roman" w:eastAsia="Times New Roman" w:hAnsi="Times New Roman"/>
          <w:color w:val="000000" w:themeColor="text1"/>
          <w:sz w:val="16"/>
          <w:szCs w:val="16"/>
          <w:lang w:eastAsia="ru-RU"/>
        </w:rPr>
        <w:t>Аппогой</w:t>
      </w:r>
      <w:proofErr w:type="spellEnd"/>
      <w:r w:rsidRPr="00A259BD">
        <w:rPr>
          <w:rFonts w:ascii="Times New Roman" w:eastAsia="Times New Roman" w:hAnsi="Times New Roman"/>
          <w:color w:val="000000" w:themeColor="text1"/>
          <w:sz w:val="16"/>
          <w:szCs w:val="16"/>
          <w:lang w:eastAsia="ru-RU"/>
        </w:rPr>
        <w:t>, выполнявшим обязанности секретаря комиссии по военной промышленности и, вероятно, секретаря основной комиссии Ворошилова (Проект постановления Политбюро, 29.06.1929)).</w:t>
      </w:r>
    </w:p>
    <w:p w14:paraId="24F19E92"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ТАБЛИЦА 1</w:t>
      </w:r>
    </w:p>
    <w:p w14:paraId="645D0F58"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Утвержденные показатели 1929 г. в сравнении с действовавшим </w:t>
      </w:r>
      <w:proofErr w:type="spellStart"/>
      <w:r w:rsidRPr="00A259BD">
        <w:rPr>
          <w:rFonts w:ascii="Times New Roman" w:eastAsia="Times New Roman" w:hAnsi="Times New Roman"/>
          <w:color w:val="000000" w:themeColor="text1"/>
          <w:sz w:val="16"/>
          <w:szCs w:val="16"/>
          <w:lang w:eastAsia="ru-RU"/>
        </w:rPr>
        <w:t>мобпланом</w:t>
      </w:r>
      <w:proofErr w:type="spellEnd"/>
      <w:r w:rsidRPr="00A259BD">
        <w:rPr>
          <w:rFonts w:ascii="Times New Roman" w:eastAsia="Times New Roman" w:hAnsi="Times New Roman"/>
          <w:color w:val="000000" w:themeColor="text1"/>
          <w:sz w:val="16"/>
          <w:szCs w:val="16"/>
          <w:lang w:eastAsia="ru-RU"/>
        </w:rPr>
        <w:t xml:space="preserve"> и предложениями 1928 г.</w:t>
      </w:r>
    </w:p>
    <w:p w14:paraId="612287AC"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Вооружение</w:t>
      </w:r>
      <w:r w:rsidRPr="00A259BD">
        <w:rPr>
          <w:rFonts w:ascii="Times New Roman" w:eastAsia="Times New Roman" w:hAnsi="Times New Roman"/>
          <w:color w:val="000000" w:themeColor="text1"/>
          <w:sz w:val="16"/>
          <w:szCs w:val="16"/>
          <w:lang w:eastAsia="ru-RU"/>
        </w:rPr>
        <w:tab/>
        <w:t>Вариант № 8</w:t>
      </w:r>
      <w:r w:rsidRPr="00A259BD">
        <w:rPr>
          <w:rFonts w:ascii="Times New Roman" w:eastAsia="Times New Roman" w:hAnsi="Times New Roman"/>
          <w:color w:val="000000" w:themeColor="text1"/>
          <w:sz w:val="16"/>
          <w:szCs w:val="16"/>
          <w:lang w:eastAsia="ru-RU"/>
        </w:rPr>
        <w:tab/>
        <w:t>Предложения Правительственной комиссии (май 1928 г.)</w:t>
      </w:r>
      <w:r w:rsidRPr="00A259BD">
        <w:rPr>
          <w:rFonts w:ascii="Times New Roman" w:eastAsia="Times New Roman" w:hAnsi="Times New Roman"/>
          <w:color w:val="000000" w:themeColor="text1"/>
          <w:sz w:val="16"/>
          <w:szCs w:val="16"/>
          <w:lang w:eastAsia="ru-RU"/>
        </w:rPr>
        <w:tab/>
        <w:t>Постановление ПБ О состоянии обороны страны от 15 июля 1929 г.</w:t>
      </w:r>
    </w:p>
    <w:p w14:paraId="04BBB01F"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Артиллерия сухопутных сил</w:t>
      </w:r>
    </w:p>
    <w:p w14:paraId="2F60588C"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Всего</w:t>
      </w:r>
      <w:r w:rsidRPr="00A259BD">
        <w:rPr>
          <w:rFonts w:ascii="Times New Roman" w:eastAsia="Times New Roman" w:hAnsi="Times New Roman"/>
          <w:color w:val="000000" w:themeColor="text1"/>
          <w:sz w:val="16"/>
          <w:szCs w:val="16"/>
          <w:lang w:eastAsia="ru-RU"/>
        </w:rPr>
        <w:tab/>
        <w:t>7034</w:t>
      </w:r>
      <w:r w:rsidRPr="00A259BD">
        <w:rPr>
          <w:rFonts w:ascii="Times New Roman" w:eastAsia="Times New Roman" w:hAnsi="Times New Roman"/>
          <w:color w:val="000000" w:themeColor="text1"/>
          <w:sz w:val="16"/>
          <w:szCs w:val="16"/>
          <w:lang w:eastAsia="ru-RU"/>
        </w:rPr>
        <w:tab/>
        <w:t>9660</w:t>
      </w:r>
      <w:r w:rsidRPr="00A259BD">
        <w:rPr>
          <w:rFonts w:ascii="Times New Roman" w:eastAsia="Times New Roman" w:hAnsi="Times New Roman"/>
          <w:color w:val="000000" w:themeColor="text1"/>
          <w:sz w:val="16"/>
          <w:szCs w:val="16"/>
          <w:lang w:eastAsia="ru-RU"/>
        </w:rPr>
        <w:tab/>
        <w:t>9548</w:t>
      </w:r>
    </w:p>
    <w:p w14:paraId="1E31D10C"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том числе мелкокалиберная и батальонная 2978 (включая минометы)</w:t>
      </w:r>
      <w:r w:rsidRPr="00A259BD">
        <w:rPr>
          <w:rFonts w:ascii="Times New Roman" w:eastAsia="Times New Roman" w:hAnsi="Times New Roman"/>
          <w:color w:val="000000" w:themeColor="text1"/>
          <w:sz w:val="16"/>
          <w:szCs w:val="16"/>
          <w:lang w:eastAsia="ru-RU"/>
        </w:rPr>
        <w:tab/>
        <w:t>3394</w:t>
      </w:r>
      <w:r w:rsidRPr="00A259BD">
        <w:rPr>
          <w:rFonts w:ascii="Times New Roman" w:eastAsia="Times New Roman" w:hAnsi="Times New Roman"/>
          <w:color w:val="000000" w:themeColor="text1"/>
          <w:sz w:val="16"/>
          <w:szCs w:val="16"/>
          <w:lang w:eastAsia="ru-RU"/>
        </w:rPr>
        <w:tab/>
        <w:t>-</w:t>
      </w:r>
    </w:p>
    <w:p w14:paraId="782D7932"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Авиация</w:t>
      </w:r>
    </w:p>
    <w:p w14:paraId="038F6A14"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действующих</w:t>
      </w:r>
    </w:p>
    <w:p w14:paraId="2FE53EEF"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самолетов</w:t>
      </w:r>
      <w:r w:rsidRPr="00A259BD">
        <w:rPr>
          <w:rFonts w:ascii="Times New Roman" w:eastAsia="Times New Roman" w:hAnsi="Times New Roman"/>
          <w:color w:val="000000" w:themeColor="text1"/>
          <w:sz w:val="16"/>
          <w:szCs w:val="16"/>
          <w:lang w:eastAsia="ru-RU"/>
        </w:rPr>
        <w:tab/>
        <w:t>1046*</w:t>
      </w:r>
      <w:r w:rsidRPr="00A259BD">
        <w:rPr>
          <w:rFonts w:ascii="Times New Roman" w:eastAsia="Times New Roman" w:hAnsi="Times New Roman"/>
          <w:color w:val="000000" w:themeColor="text1"/>
          <w:sz w:val="16"/>
          <w:szCs w:val="16"/>
          <w:lang w:eastAsia="ru-RU"/>
        </w:rPr>
        <w:tab/>
        <w:t>2052</w:t>
      </w:r>
      <w:r w:rsidRPr="00A259BD">
        <w:rPr>
          <w:rFonts w:ascii="Times New Roman" w:eastAsia="Times New Roman" w:hAnsi="Times New Roman"/>
          <w:color w:val="000000" w:themeColor="text1"/>
          <w:sz w:val="16"/>
          <w:szCs w:val="16"/>
          <w:lang w:eastAsia="ru-RU"/>
        </w:rPr>
        <w:tab/>
        <w:t>2000</w:t>
      </w:r>
    </w:p>
    <w:p w14:paraId="08AC1D1C"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резерве</w:t>
      </w:r>
    </w:p>
    <w:p w14:paraId="4DE57D2F"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(второй очереди)</w:t>
      </w:r>
      <w:r w:rsidRPr="00A259BD">
        <w:rPr>
          <w:rFonts w:ascii="Times New Roman" w:eastAsia="Times New Roman" w:hAnsi="Times New Roman"/>
          <w:color w:val="000000" w:themeColor="text1"/>
          <w:sz w:val="16"/>
          <w:szCs w:val="16"/>
          <w:lang w:eastAsia="ru-RU"/>
        </w:rPr>
        <w:tab/>
        <w:t>-</w:t>
      </w:r>
      <w:r w:rsidRPr="00A259BD">
        <w:rPr>
          <w:rFonts w:ascii="Times New Roman" w:eastAsia="Times New Roman" w:hAnsi="Times New Roman"/>
          <w:color w:val="000000" w:themeColor="text1"/>
          <w:sz w:val="16"/>
          <w:szCs w:val="16"/>
          <w:lang w:eastAsia="ru-RU"/>
        </w:rPr>
        <w:tab/>
        <w:t>501</w:t>
      </w:r>
      <w:r w:rsidRPr="00A259BD">
        <w:rPr>
          <w:rFonts w:ascii="Times New Roman" w:eastAsia="Times New Roman" w:hAnsi="Times New Roman"/>
          <w:color w:val="000000" w:themeColor="text1"/>
          <w:sz w:val="16"/>
          <w:szCs w:val="16"/>
          <w:lang w:eastAsia="ru-RU"/>
        </w:rPr>
        <w:tab/>
        <w:t>501</w:t>
      </w:r>
    </w:p>
    <w:p w14:paraId="78004EE2"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запасе </w:t>
      </w:r>
      <w:r w:rsidRPr="00A259BD">
        <w:rPr>
          <w:rFonts w:ascii="Times New Roman" w:eastAsia="Times New Roman" w:hAnsi="Times New Roman"/>
          <w:color w:val="000000" w:themeColor="text1"/>
          <w:sz w:val="16"/>
          <w:szCs w:val="16"/>
          <w:lang w:eastAsia="ru-RU"/>
        </w:rPr>
        <w:tab/>
        <w:t>-</w:t>
      </w:r>
      <w:r w:rsidRPr="00A259BD">
        <w:rPr>
          <w:rFonts w:ascii="Times New Roman" w:eastAsia="Times New Roman" w:hAnsi="Times New Roman"/>
          <w:color w:val="000000" w:themeColor="text1"/>
          <w:sz w:val="16"/>
          <w:szCs w:val="16"/>
          <w:lang w:eastAsia="ru-RU"/>
        </w:rPr>
        <w:tab/>
        <w:t>1300</w:t>
      </w:r>
      <w:r w:rsidRPr="00A259BD">
        <w:rPr>
          <w:rFonts w:ascii="Times New Roman" w:eastAsia="Times New Roman" w:hAnsi="Times New Roman"/>
          <w:color w:val="000000" w:themeColor="text1"/>
          <w:sz w:val="16"/>
          <w:szCs w:val="16"/>
          <w:lang w:eastAsia="ru-RU"/>
        </w:rPr>
        <w:tab/>
        <w:t>1000</w:t>
      </w:r>
    </w:p>
    <w:p w14:paraId="3EDF3A00"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Танки</w:t>
      </w:r>
    </w:p>
    <w:p w14:paraId="14C0DC42"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строю</w:t>
      </w:r>
      <w:r w:rsidRPr="00A259BD">
        <w:rPr>
          <w:rFonts w:ascii="Times New Roman" w:eastAsia="Times New Roman" w:hAnsi="Times New Roman"/>
          <w:color w:val="000000" w:themeColor="text1"/>
          <w:sz w:val="16"/>
          <w:szCs w:val="16"/>
          <w:lang w:eastAsia="ru-RU"/>
        </w:rPr>
        <w:tab/>
        <w:t>90</w:t>
      </w:r>
      <w:r w:rsidRPr="00A259BD">
        <w:rPr>
          <w:rFonts w:ascii="Times New Roman" w:eastAsia="Times New Roman" w:hAnsi="Times New Roman"/>
          <w:color w:val="000000" w:themeColor="text1"/>
          <w:sz w:val="16"/>
          <w:szCs w:val="16"/>
          <w:lang w:eastAsia="ru-RU"/>
        </w:rPr>
        <w:tab/>
        <w:t>1075</w:t>
      </w:r>
      <w:r w:rsidRPr="00A259BD">
        <w:rPr>
          <w:rFonts w:ascii="Times New Roman" w:eastAsia="Times New Roman" w:hAnsi="Times New Roman"/>
          <w:color w:val="000000" w:themeColor="text1"/>
          <w:sz w:val="16"/>
          <w:szCs w:val="16"/>
          <w:lang w:eastAsia="ru-RU"/>
        </w:rPr>
        <w:tab/>
        <w:t>1500</w:t>
      </w:r>
    </w:p>
    <w:p w14:paraId="45CE83AD"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резерве-</w:t>
      </w:r>
      <w:r w:rsidRPr="00A259BD">
        <w:rPr>
          <w:rFonts w:ascii="Times New Roman" w:eastAsia="Times New Roman" w:hAnsi="Times New Roman"/>
          <w:color w:val="000000" w:themeColor="text1"/>
          <w:sz w:val="16"/>
          <w:szCs w:val="16"/>
          <w:lang w:eastAsia="ru-RU"/>
        </w:rPr>
        <w:tab/>
        <w:t>-</w:t>
      </w:r>
      <w:r w:rsidRPr="00A259BD">
        <w:rPr>
          <w:rFonts w:ascii="Times New Roman" w:eastAsia="Times New Roman" w:hAnsi="Times New Roman"/>
          <w:color w:val="000000" w:themeColor="text1"/>
          <w:sz w:val="16"/>
          <w:szCs w:val="16"/>
          <w:lang w:eastAsia="ru-RU"/>
        </w:rPr>
        <w:tab/>
        <w:t>1500-2000</w:t>
      </w:r>
    </w:p>
    <w:p w14:paraId="1E9E6A6D"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запас</w:t>
      </w:r>
      <w:r w:rsidRPr="00A259BD">
        <w:rPr>
          <w:rFonts w:ascii="Times New Roman" w:eastAsia="Times New Roman" w:hAnsi="Times New Roman"/>
          <w:color w:val="000000" w:themeColor="text1"/>
          <w:sz w:val="16"/>
          <w:szCs w:val="16"/>
          <w:lang w:eastAsia="ru-RU"/>
        </w:rPr>
        <w:tab/>
        <w:t>-</w:t>
      </w:r>
      <w:r w:rsidRPr="00A259BD">
        <w:rPr>
          <w:rFonts w:ascii="Times New Roman" w:eastAsia="Times New Roman" w:hAnsi="Times New Roman"/>
          <w:color w:val="000000" w:themeColor="text1"/>
          <w:sz w:val="16"/>
          <w:szCs w:val="16"/>
          <w:lang w:eastAsia="ru-RU"/>
        </w:rPr>
        <w:tab/>
        <w:t>-</w:t>
      </w:r>
      <w:r w:rsidRPr="00A259BD">
        <w:rPr>
          <w:rFonts w:ascii="Times New Roman" w:eastAsia="Times New Roman" w:hAnsi="Times New Roman"/>
          <w:color w:val="000000" w:themeColor="text1"/>
          <w:sz w:val="16"/>
          <w:szCs w:val="16"/>
          <w:lang w:eastAsia="ru-RU"/>
        </w:rPr>
        <w:tab/>
        <w:t>1500-2000</w:t>
      </w:r>
    </w:p>
    <w:p w14:paraId="3E65A4A0"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Если в том, что касается артиллерии и самолетов, в целом соблюдалась преемственность планирования, то резкий сдвиг в планировании танкового вооружения остается во многом загадочным (22725).</w:t>
      </w:r>
    </w:p>
    <w:p w14:paraId="5C695D79" w14:textId="77777777" w:rsidR="00BF30AB" w:rsidRPr="00A259BD" w:rsidRDefault="00BF30AB" w:rsidP="009236E3">
      <w:pPr>
        <w:spacing w:after="0" w:line="240" w:lineRule="auto"/>
        <w:jc w:val="both"/>
        <w:rPr>
          <w:rFonts w:ascii="Times New Roman" w:hAnsi="Times New Roman"/>
          <w:color w:val="000000" w:themeColor="text1"/>
          <w:sz w:val="16"/>
          <w:szCs w:val="16"/>
        </w:rPr>
      </w:pPr>
    </w:p>
    <w:bookmarkEnd w:id="69"/>
    <w:p w14:paraId="5133D282"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15 июля 1929 года Политбюро ЦК ВКП(б) утвердило Постановление о военной промышленности. Очень любопытный документ. В нем фактически было признано, что ВПК по состоянию на лето 1929 года не готов к войне в силу множества причин объективного и субъективного характера. Из данного документа мы процитируем фрагменты, где речь идет о деятельности руководителей различного уровня, начиная от директоров заводов и заканчивая руководителями наркоматов. Если оценивать объективно их деятельность, то почему-то хочется назвать их деятельность одним словом — вредительство. А как иначе можно охарактеризовать и оценить результаты их работы.</w:t>
      </w:r>
    </w:p>
    <w:p w14:paraId="4C1FA01D"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lastRenderedPageBreak/>
        <w:t>«...Необходимо констатировать, что военная промышленность до настоящего времени не подготовлена к выполнению возложенных на нее задач и положение с подготовкой ее к обороне находится в неудовлетворительном состоянии.</w:t>
      </w:r>
    </w:p>
    <w:p w14:paraId="744E5F09"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Существеннейшими для обороны Союза являются следующие крупнейшие недостатки в работе военной промышленности:</w:t>
      </w:r>
    </w:p>
    <w:p w14:paraId="7DA0C8B0"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а)  громадное преуменьшение мобилизационных мощностей заводов военной промышленности и в связи с этим длительные и не соответствующие интересам обороны сроки развития заводов до удовлетворения минимальных потребностей армии на случай войны, с </w:t>
      </w:r>
      <w:proofErr w:type="spellStart"/>
      <w:r w:rsidRPr="00A259BD">
        <w:rPr>
          <w:rFonts w:ascii="Times New Roman" w:eastAsia="Times New Roman" w:hAnsi="Times New Roman"/>
          <w:color w:val="000000" w:themeColor="text1"/>
          <w:sz w:val="16"/>
          <w:szCs w:val="16"/>
          <w:lang w:eastAsia="ru-RU"/>
        </w:rPr>
        <w:t>испрашиванием</w:t>
      </w:r>
      <w:proofErr w:type="spellEnd"/>
      <w:r w:rsidRPr="00A259BD">
        <w:rPr>
          <w:rFonts w:ascii="Times New Roman" w:eastAsia="Times New Roman" w:hAnsi="Times New Roman"/>
          <w:color w:val="000000" w:themeColor="text1"/>
          <w:sz w:val="16"/>
          <w:szCs w:val="16"/>
          <w:lang w:eastAsia="ru-RU"/>
        </w:rPr>
        <w:t xml:space="preserve"> значительно преувеличенных средств на капитальное строительство;</w:t>
      </w:r>
    </w:p>
    <w:p w14:paraId="1C4001D9"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б)  длительность сроков мобилизационного развертывания военных заводов (от 1 до 1,5 лет), что создает весьма опасный разрыв между обеспечением потребностей войны имеющимися запасами и началом подачи на фронт продукции мобилизованной промышленности и приводит к необходимости иметь крупные </w:t>
      </w:r>
      <w:proofErr w:type="spellStart"/>
      <w:r w:rsidRPr="00A259BD">
        <w:rPr>
          <w:rFonts w:ascii="Times New Roman" w:eastAsia="Times New Roman" w:hAnsi="Times New Roman"/>
          <w:color w:val="000000" w:themeColor="text1"/>
          <w:sz w:val="16"/>
          <w:szCs w:val="16"/>
          <w:lang w:eastAsia="ru-RU"/>
        </w:rPr>
        <w:t>мобзапасы</w:t>
      </w:r>
      <w:proofErr w:type="spellEnd"/>
      <w:r w:rsidRPr="00A259BD">
        <w:rPr>
          <w:rFonts w:ascii="Times New Roman" w:eastAsia="Times New Roman" w:hAnsi="Times New Roman"/>
          <w:color w:val="000000" w:themeColor="text1"/>
          <w:sz w:val="16"/>
          <w:szCs w:val="16"/>
          <w:lang w:eastAsia="ru-RU"/>
        </w:rPr>
        <w:t>, непосильные для государства;</w:t>
      </w:r>
    </w:p>
    <w:p w14:paraId="5E93A9B0"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наличие диспропорций и узких мест по ряду отраслей военных производств и заводов, как, например, пороховое производство не обеспечено кислотами, а производство порохов в свою очередь не обеспечивает количество заданных выстрелов; производство орудий, пулеметов и винтовок не обеспечено соответствующим количеством специальных сталей, большинство заводов не обеспечено электроэнергией, а военно-химические заводы и паросиловыми установками. Это лишает возможности в настоящее время полностью использовать производственные возможности военных заводов для обороны;</w:t>
      </w:r>
    </w:p>
    <w:p w14:paraId="61E1A631"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г)  выведение до 1927 г. из строя, а в отдельных случаях и прямое разрушение заводов оборонного значения. Примеры: разрушен завод Барановского, разоружены </w:t>
      </w:r>
      <w:proofErr w:type="spellStart"/>
      <w:r w:rsidRPr="00A259BD">
        <w:rPr>
          <w:rFonts w:ascii="Times New Roman" w:eastAsia="Times New Roman" w:hAnsi="Times New Roman"/>
          <w:color w:val="000000" w:themeColor="text1"/>
          <w:sz w:val="16"/>
          <w:szCs w:val="16"/>
          <w:lang w:eastAsia="ru-RU"/>
        </w:rPr>
        <w:t>Бачмановский</w:t>
      </w:r>
      <w:proofErr w:type="spellEnd"/>
      <w:r w:rsidRPr="00A259BD">
        <w:rPr>
          <w:rFonts w:ascii="Times New Roman" w:eastAsia="Times New Roman" w:hAnsi="Times New Roman"/>
          <w:color w:val="000000" w:themeColor="text1"/>
          <w:sz w:val="16"/>
          <w:szCs w:val="16"/>
          <w:lang w:eastAsia="ru-RU"/>
        </w:rPr>
        <w:t xml:space="preserve"> арсенал и Бежецкий завод по ремонту винтовок; разоружались и выводились из строя </w:t>
      </w:r>
      <w:proofErr w:type="spellStart"/>
      <w:r w:rsidRPr="00A259BD">
        <w:rPr>
          <w:rFonts w:ascii="Times New Roman" w:eastAsia="Times New Roman" w:hAnsi="Times New Roman"/>
          <w:color w:val="000000" w:themeColor="text1"/>
          <w:sz w:val="16"/>
          <w:szCs w:val="16"/>
          <w:lang w:eastAsia="ru-RU"/>
        </w:rPr>
        <w:t>Охтенский</w:t>
      </w:r>
      <w:proofErr w:type="spellEnd"/>
      <w:r w:rsidRPr="00A259BD">
        <w:rPr>
          <w:rFonts w:ascii="Times New Roman" w:eastAsia="Times New Roman" w:hAnsi="Times New Roman"/>
          <w:color w:val="000000" w:themeColor="text1"/>
          <w:sz w:val="16"/>
          <w:szCs w:val="16"/>
          <w:lang w:eastAsia="ru-RU"/>
        </w:rPr>
        <w:t xml:space="preserve">, Шлиссельбургский, </w:t>
      </w:r>
      <w:proofErr w:type="spellStart"/>
      <w:r w:rsidRPr="00A259BD">
        <w:rPr>
          <w:rFonts w:ascii="Times New Roman" w:eastAsia="Times New Roman" w:hAnsi="Times New Roman"/>
          <w:color w:val="000000" w:themeColor="text1"/>
          <w:sz w:val="16"/>
          <w:szCs w:val="16"/>
          <w:lang w:eastAsia="ru-RU"/>
        </w:rPr>
        <w:t>Шостенский</w:t>
      </w:r>
      <w:proofErr w:type="spellEnd"/>
      <w:r w:rsidRPr="00A259BD">
        <w:rPr>
          <w:rFonts w:ascii="Times New Roman" w:eastAsia="Times New Roman" w:hAnsi="Times New Roman"/>
          <w:color w:val="000000" w:themeColor="text1"/>
          <w:sz w:val="16"/>
          <w:szCs w:val="16"/>
          <w:lang w:eastAsia="ru-RU"/>
        </w:rPr>
        <w:t xml:space="preserve"> и Тамбовский пороховые заводы;</w:t>
      </w:r>
    </w:p>
    <w:p w14:paraId="28B19D2A"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д) запутывание в отдельных случаях, главным образом по Орудийно-Арсенальному Тресту, технологических процессов производства по весьма важным военным изделиям (артиллерия, танки). Примеры: в течение двух лет и до настоящего времени не разработан технологический процесс по производству танков на заводах Мотовилихинском и «Большевик»; по производству зенитных орудий технологический процесс по нарезке вместо нормальных 8 часов установлен в 16 часов и само орудие в процессе его производства несколько раз гуляет взад-вперед по заводу и т.д.;</w:t>
      </w:r>
    </w:p>
    <w:p w14:paraId="40E7154C"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е) до настоящего времени не разрешена проблема заводского ремонта во время войны материальной части артиллерии, винтовок и пулеметов и обеспечения артиллерии передками, зарядными ящиками, колесами и т.д. Примеры: производство основного арсенального имущества — передки, зарядные ящики, колеса и т.д. — базируется на прифронтовых арсеналах — Ленинградском, Киевском, Брянском. Ни один завод в тылу к производству арсенального имущества не приспособлен. Поэтому в случае осложнения положения с прифронтовыми арсеналами неизвестно, какие заводы примут на себя производство арсенального имущества.</w:t>
      </w:r>
    </w:p>
    <w:p w14:paraId="7C28D18F"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отношении заводского ремонта винтовок и пулеметов положение таково: Бежецкий ремонтный завод выведен из строя; взамен Бежецкого никакому другому заводу задания на ремонт не дано. Если же ремонт винтовок возложить на Тульский и Ижевский </w:t>
      </w:r>
      <w:proofErr w:type="spellStart"/>
      <w:r w:rsidRPr="00A259BD">
        <w:rPr>
          <w:rFonts w:ascii="Times New Roman" w:eastAsia="Times New Roman" w:hAnsi="Times New Roman"/>
          <w:color w:val="000000" w:themeColor="text1"/>
          <w:sz w:val="16"/>
          <w:szCs w:val="16"/>
          <w:lang w:eastAsia="ru-RU"/>
        </w:rPr>
        <w:t>руж</w:t>
      </w:r>
      <w:proofErr w:type="spellEnd"/>
      <w:r w:rsidRPr="00A259BD">
        <w:rPr>
          <w:rFonts w:ascii="Times New Roman" w:eastAsia="Times New Roman" w:hAnsi="Times New Roman"/>
          <w:color w:val="000000" w:themeColor="text1"/>
          <w:sz w:val="16"/>
          <w:szCs w:val="16"/>
          <w:lang w:eastAsia="ru-RU"/>
        </w:rPr>
        <w:t>. заводы, то это сократит процентов на 30 выпуск ими новых винтовок и пулеметов;</w:t>
      </w:r>
    </w:p>
    <w:p w14:paraId="44FC49B1"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ж)  не создано и находится в расстроенном состоянии </w:t>
      </w:r>
      <w:proofErr w:type="spellStart"/>
      <w:r w:rsidRPr="00A259BD">
        <w:rPr>
          <w:rFonts w:ascii="Times New Roman" w:eastAsia="Times New Roman" w:hAnsi="Times New Roman"/>
          <w:color w:val="000000" w:themeColor="text1"/>
          <w:sz w:val="16"/>
          <w:szCs w:val="16"/>
          <w:lang w:eastAsia="ru-RU"/>
        </w:rPr>
        <w:t>лекально</w:t>
      </w:r>
      <w:proofErr w:type="spellEnd"/>
      <w:r w:rsidRPr="00A259BD">
        <w:rPr>
          <w:rFonts w:ascii="Times New Roman" w:eastAsia="Times New Roman" w:hAnsi="Times New Roman"/>
          <w:color w:val="000000" w:themeColor="text1"/>
          <w:sz w:val="16"/>
          <w:szCs w:val="16"/>
          <w:lang w:eastAsia="ru-RU"/>
        </w:rPr>
        <w:t xml:space="preserve">-инструментальное дело по важнейшим военным производствам. Так как во время войны пришлось бы форсировать производство лекал и инструментов, то это неизбежно привело бы к удлинению сроков </w:t>
      </w:r>
      <w:proofErr w:type="spellStart"/>
      <w:r w:rsidRPr="00A259BD">
        <w:rPr>
          <w:rFonts w:ascii="Times New Roman" w:eastAsia="Times New Roman" w:hAnsi="Times New Roman"/>
          <w:color w:val="000000" w:themeColor="text1"/>
          <w:sz w:val="16"/>
          <w:szCs w:val="16"/>
          <w:lang w:eastAsia="ru-RU"/>
        </w:rPr>
        <w:t>мобразвертывания</w:t>
      </w:r>
      <w:proofErr w:type="spellEnd"/>
      <w:r w:rsidRPr="00A259BD">
        <w:rPr>
          <w:rFonts w:ascii="Times New Roman" w:eastAsia="Times New Roman" w:hAnsi="Times New Roman"/>
          <w:color w:val="000000" w:themeColor="text1"/>
          <w:sz w:val="16"/>
          <w:szCs w:val="16"/>
          <w:lang w:eastAsia="ru-RU"/>
        </w:rPr>
        <w:t xml:space="preserve"> и ухудшению боевых качеств оружия. Примеры: в настоящее время постановка </w:t>
      </w:r>
      <w:proofErr w:type="spellStart"/>
      <w:r w:rsidRPr="00A259BD">
        <w:rPr>
          <w:rFonts w:ascii="Times New Roman" w:eastAsia="Times New Roman" w:hAnsi="Times New Roman"/>
          <w:color w:val="000000" w:themeColor="text1"/>
          <w:sz w:val="16"/>
          <w:szCs w:val="16"/>
          <w:lang w:eastAsia="ru-RU"/>
        </w:rPr>
        <w:t>лекально</w:t>
      </w:r>
      <w:proofErr w:type="spellEnd"/>
      <w:r w:rsidRPr="00A259BD">
        <w:rPr>
          <w:rFonts w:ascii="Times New Roman" w:eastAsia="Times New Roman" w:hAnsi="Times New Roman"/>
          <w:color w:val="000000" w:themeColor="text1"/>
          <w:sz w:val="16"/>
          <w:szCs w:val="16"/>
          <w:lang w:eastAsia="ru-RU"/>
        </w:rPr>
        <w:t xml:space="preserve">-инструментального дела не обеспечивает производство по мобилизации Ижевского, Тульского, Пензенского, Мотовилихинского, Ковров- </w:t>
      </w:r>
      <w:proofErr w:type="spellStart"/>
      <w:r w:rsidRPr="00A259BD">
        <w:rPr>
          <w:rFonts w:ascii="Times New Roman" w:eastAsia="Times New Roman" w:hAnsi="Times New Roman"/>
          <w:color w:val="000000" w:themeColor="text1"/>
          <w:sz w:val="16"/>
          <w:szCs w:val="16"/>
          <w:lang w:eastAsia="ru-RU"/>
        </w:rPr>
        <w:t>ского</w:t>
      </w:r>
      <w:proofErr w:type="spellEnd"/>
      <w:r w:rsidRPr="00A259BD">
        <w:rPr>
          <w:rFonts w:ascii="Times New Roman" w:eastAsia="Times New Roman" w:hAnsi="Times New Roman"/>
          <w:color w:val="000000" w:themeColor="text1"/>
          <w:sz w:val="16"/>
          <w:szCs w:val="16"/>
          <w:lang w:eastAsia="ru-RU"/>
        </w:rPr>
        <w:t xml:space="preserve"> и др. заводов;</w:t>
      </w:r>
    </w:p>
    <w:p w14:paraId="1DA3F720"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з)  громадный парк запасного станочного оборудования не использован и частично приведен в негодность; одновременно с этим выписывались по импорту ненужные станки с затратой на это крупных средств. Примеры: до последнего времени находились без определенного назначения станки на заводах — Мотовилихинском — свыше тысячи; Путиловском — около тысячи; Ленинградском трубочном — 1800 станков и т.д.; а всего на заводах военной промышленности находилось без назначения 8—10 тысяч станков. Излишние станки и оборудование выписывались Мо- </w:t>
      </w:r>
      <w:proofErr w:type="spellStart"/>
      <w:r w:rsidRPr="00A259BD">
        <w:rPr>
          <w:rFonts w:ascii="Times New Roman" w:eastAsia="Times New Roman" w:hAnsi="Times New Roman"/>
          <w:color w:val="000000" w:themeColor="text1"/>
          <w:sz w:val="16"/>
          <w:szCs w:val="16"/>
          <w:lang w:eastAsia="ru-RU"/>
        </w:rPr>
        <w:t>товилихинским</w:t>
      </w:r>
      <w:proofErr w:type="spellEnd"/>
      <w:r w:rsidRPr="00A259BD">
        <w:rPr>
          <w:rFonts w:ascii="Times New Roman" w:eastAsia="Times New Roman" w:hAnsi="Times New Roman"/>
          <w:color w:val="000000" w:themeColor="text1"/>
          <w:sz w:val="16"/>
          <w:szCs w:val="16"/>
          <w:lang w:eastAsia="ru-RU"/>
        </w:rPr>
        <w:t xml:space="preserve"> заводом, «Большевиком» и др.;</w:t>
      </w:r>
    </w:p>
    <w:p w14:paraId="364C48B6"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и) недопустимо медленное изготовление новых опытных образцов вооружения и длительные (3—4 года) сроки постановки их изготовления в массовом производстве;</w:t>
      </w:r>
    </w:p>
    <w:p w14:paraId="278E4FE7"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к) сохранение по всем заводам до настоящего времени устаревших технологических процессов и упорное нежелание аппаратов военной промышленности во всех ее звеньях к нововведениям и совершенствованию этих процессов;</w:t>
      </w:r>
    </w:p>
    <w:p w14:paraId="199C05F8"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л) недоделы по Орудийно-Арсенальному и </w:t>
      </w:r>
      <w:proofErr w:type="spellStart"/>
      <w:r w:rsidRPr="00A259BD">
        <w:rPr>
          <w:rFonts w:ascii="Times New Roman" w:eastAsia="Times New Roman" w:hAnsi="Times New Roman"/>
          <w:color w:val="000000" w:themeColor="text1"/>
          <w:sz w:val="16"/>
          <w:szCs w:val="16"/>
          <w:lang w:eastAsia="ru-RU"/>
        </w:rPr>
        <w:t>Авиатрестам</w:t>
      </w:r>
      <w:proofErr w:type="spellEnd"/>
      <w:r w:rsidRPr="00A259BD">
        <w:rPr>
          <w:rFonts w:ascii="Times New Roman" w:eastAsia="Times New Roman" w:hAnsi="Times New Roman"/>
          <w:color w:val="000000" w:themeColor="text1"/>
          <w:sz w:val="16"/>
          <w:szCs w:val="16"/>
          <w:lang w:eastAsia="ru-RU"/>
        </w:rPr>
        <w:t>, невыполнение программ по изготовлению запасных частей и отсутствие взаимозаменяемости частей к отдельным предметам вооружения;</w:t>
      </w:r>
    </w:p>
    <w:p w14:paraId="119DC5A7"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м) крайне недостаточное использование основного капитала военной промышленности в отношении загрузки мирной продукцией, а в некоторых случаях — нерациональное использование военного оборудования для этих производств. Пример: </w:t>
      </w:r>
      <w:proofErr w:type="spellStart"/>
      <w:r w:rsidRPr="00A259BD">
        <w:rPr>
          <w:rFonts w:ascii="Times New Roman" w:eastAsia="Times New Roman" w:hAnsi="Times New Roman"/>
          <w:color w:val="000000" w:themeColor="text1"/>
          <w:sz w:val="16"/>
          <w:szCs w:val="16"/>
          <w:lang w:eastAsia="ru-RU"/>
        </w:rPr>
        <w:t>замоч</w:t>
      </w:r>
      <w:proofErr w:type="spellEnd"/>
      <w:r w:rsidRPr="00A259BD">
        <w:rPr>
          <w:rFonts w:ascii="Times New Roman" w:eastAsia="Times New Roman" w:hAnsi="Times New Roman"/>
          <w:color w:val="000000" w:themeColor="text1"/>
          <w:sz w:val="16"/>
          <w:szCs w:val="16"/>
          <w:lang w:eastAsia="ru-RU"/>
        </w:rPr>
        <w:t>- но-прицельная «Большевика» выведена из строя путем приспособления под трактора (начиная с 1922 г. и до настоящего времени);</w:t>
      </w:r>
    </w:p>
    <w:p w14:paraId="6CB440E0"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н) неудовлетворительное использование оборотных капиталов в военной промышленности, что привело, и не могло не привести, к напряженнейшему финансовому положению и кассовым прорывам по отдельным трестам; до сих пор тресты надеются на подачки государства, не принимая достаточных мер к упорядочению своих финансов.</w:t>
      </w:r>
    </w:p>
    <w:p w14:paraId="5A29CDD4"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Такое положение в военной промышленности создавало опасный разрыв между промышленностью и потребностями обороны, в результате чего Красная армия была бы лишена возможности полностью использовать для обороны имеющиеся промышленные ресурсы и не получила бы в первый период войны ряда весьма важных предметов вооружения (тяжелая артиллерия, танки, отравляющие вещества и т.д.)».</w:t>
      </w:r>
    </w:p>
    <w:p w14:paraId="10CA32FB"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«[Все это следствия]:</w:t>
      </w:r>
    </w:p>
    <w:p w14:paraId="38128F6A"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а) многолетней и систематической вредительской работы крупной контрреволюционной организации в военной промышленности (ВПУ, тресты, заводы);</w:t>
      </w:r>
    </w:p>
    <w:p w14:paraId="3B14B33E"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б)  отсутствия бдительности у партийного руководящего состава военной промышленности, начиная от руководящих работников </w:t>
      </w:r>
      <w:proofErr w:type="spellStart"/>
      <w:r w:rsidRPr="00A259BD">
        <w:rPr>
          <w:rFonts w:ascii="Times New Roman" w:eastAsia="Times New Roman" w:hAnsi="Times New Roman"/>
          <w:color w:val="000000" w:themeColor="text1"/>
          <w:sz w:val="16"/>
          <w:szCs w:val="16"/>
          <w:lang w:eastAsia="ru-RU"/>
        </w:rPr>
        <w:t>Военпрома</w:t>
      </w:r>
      <w:proofErr w:type="spellEnd"/>
      <w:r w:rsidRPr="00A259BD">
        <w:rPr>
          <w:rFonts w:ascii="Times New Roman" w:eastAsia="Times New Roman" w:hAnsi="Times New Roman"/>
          <w:color w:val="000000" w:themeColor="text1"/>
          <w:sz w:val="16"/>
          <w:szCs w:val="16"/>
          <w:lang w:eastAsia="ru-RU"/>
        </w:rPr>
        <w:t xml:space="preserve"> ВПУ и кончая заводами;</w:t>
      </w:r>
    </w:p>
    <w:p w14:paraId="242D3448"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чрезмерного доверия к специалистам, в особенности к их верхушке (инженерам Михайлову, </w:t>
      </w:r>
      <w:proofErr w:type="spellStart"/>
      <w:r w:rsidRPr="00A259BD">
        <w:rPr>
          <w:rFonts w:ascii="Times New Roman" w:eastAsia="Times New Roman" w:hAnsi="Times New Roman"/>
          <w:color w:val="000000" w:themeColor="text1"/>
          <w:sz w:val="16"/>
          <w:szCs w:val="16"/>
          <w:lang w:eastAsia="ru-RU"/>
        </w:rPr>
        <w:t>Высо</w:t>
      </w:r>
      <w:proofErr w:type="spellEnd"/>
      <w:r w:rsidRPr="00A259BD">
        <w:rPr>
          <w:rFonts w:ascii="Times New Roman" w:eastAsia="Times New Roman" w:hAnsi="Times New Roman"/>
          <w:color w:val="000000" w:themeColor="text1"/>
          <w:sz w:val="16"/>
          <w:szCs w:val="16"/>
          <w:lang w:eastAsia="ru-RU"/>
        </w:rPr>
        <w:t xml:space="preserve">- </w:t>
      </w:r>
      <w:proofErr w:type="spellStart"/>
      <w:r w:rsidRPr="00A259BD">
        <w:rPr>
          <w:rFonts w:ascii="Times New Roman" w:eastAsia="Times New Roman" w:hAnsi="Times New Roman"/>
          <w:color w:val="000000" w:themeColor="text1"/>
          <w:sz w:val="16"/>
          <w:szCs w:val="16"/>
          <w:lang w:eastAsia="ru-RU"/>
        </w:rPr>
        <w:t>чанскому</w:t>
      </w:r>
      <w:proofErr w:type="spellEnd"/>
      <w:r w:rsidRPr="00A259BD">
        <w:rPr>
          <w:rFonts w:ascii="Times New Roman" w:eastAsia="Times New Roman" w:hAnsi="Times New Roman"/>
          <w:color w:val="000000" w:themeColor="text1"/>
          <w:sz w:val="16"/>
          <w:szCs w:val="16"/>
          <w:lang w:eastAsia="ru-RU"/>
        </w:rPr>
        <w:t xml:space="preserve"> и др.) и отсутствия со стороны руководящего коммунистического состава военной промышленности даже минимального контроля за работой специалистов. В большинстве случаев руководящий коммунистический состав военной промышленности свел свою роль по управлению промышленностью, трестами и предприятиями к голому администрированию на основе отчетов и докладов, представляемых ему аппаратами (заполненными и часто руководимыми вредительскими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совершенствовать систему управления и изучать производственные технологические процессы;</w:t>
      </w:r>
    </w:p>
    <w:p w14:paraId="753B7110"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г) под предлогом военной тайны (чрезмерное засекречивание) фактически был отстранен от активного участия в организации и рационализации производства беспартийный и коммунистический рабочий актив на производстве».</w:t>
      </w:r>
    </w:p>
    <w:p w14:paraId="046D7AE3"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И далее там же говорится о том, что «вскрытое совместными усилиями НК РКИ СССР и ОГПУ действительное положение в военной промышленности оказалось ни в какой мере не соответствующим тому оптимистическому освещению, которое вошло в систему оценки военной промышленности в докладах ЦК ВКП(б) и Правительству со стороны руководителей военной промышленности. Полученные некоторые достижения в области поднятия производительности труда, снижения себестоимости, повышения качества и количества изготовляемой продукции, внедрения некоторых новых видов производства и т.д. — должны быть отмечены. Однако эти достижения совершенно недостаточны ни с точки зрения вложенных в военную промышленность средств, ни с точки зрения количества времени, затраченного на эти достижения. В то же время эти достижения выдвигались руководящими работниками военной промышленности в качестве показателей общего благополучия промышленности, что еще более содействовало прикрыванию фактического тяжелого положения подготовки военной промышленности к обороне.</w:t>
      </w:r>
    </w:p>
    <w:p w14:paraId="7710048B"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Значительное исправление указанного выше положения в военной промышленности предусмотрено решениями Президиума ВСНХ и утвержденными постановлениями РЗ СТО по планам капитального строительства промышленности на 1928/29 год. Однако и в настоящее время необходимо признать, что военная промышленность в первой половине 1928/29 года не была в должной мере подготовлена к выполнению заданного ей плана капитального строительства и в работе аппаратов не произошло еще необходимого перелома, гарантирующего как выполнение плана строительства, так и срочного исправления последствий работы контрреволюционной организации».</w:t>
      </w:r>
    </w:p>
    <w:p w14:paraId="3C8B3D89"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«Поднятие обороноспособности СССР требует принятия решительных мер к немедленному исправлению вышеуказанного тяжелого положения военной промышленности. В соответствии с этим Политбюро постановляет:</w:t>
      </w:r>
    </w:p>
    <w:p w14:paraId="44C4801E"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1. Президиуму ЦКК срочно рассмотреть вопрос о наложении взысканий и привлечения к ответственности как нынешнего, так и бывшего руководящего состава военной промышленности (</w:t>
      </w:r>
      <w:proofErr w:type="spellStart"/>
      <w:r w:rsidRPr="00A259BD">
        <w:rPr>
          <w:rFonts w:ascii="Times New Roman" w:eastAsia="Times New Roman" w:hAnsi="Times New Roman"/>
          <w:color w:val="000000" w:themeColor="text1"/>
          <w:sz w:val="16"/>
          <w:szCs w:val="16"/>
          <w:lang w:eastAsia="ru-RU"/>
        </w:rPr>
        <w:t>Военпром</w:t>
      </w:r>
      <w:proofErr w:type="spellEnd"/>
      <w:r w:rsidRPr="00A259BD">
        <w:rPr>
          <w:rFonts w:ascii="Times New Roman" w:eastAsia="Times New Roman" w:hAnsi="Times New Roman"/>
          <w:color w:val="000000" w:themeColor="text1"/>
          <w:sz w:val="16"/>
          <w:szCs w:val="16"/>
          <w:lang w:eastAsia="ru-RU"/>
        </w:rPr>
        <w:t>, ВПУ, трестов и заводов), виновного в недостаточной бдительности к многолетнему и явному вредительству и упущениям в военной промышленности, и внести свои предложения в Политбюро.</w:t>
      </w:r>
    </w:p>
    <w:p w14:paraId="4173E673"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2. Специальной комиссии в составе </w:t>
      </w:r>
      <w:proofErr w:type="spellStart"/>
      <w:r w:rsidRPr="00A259BD">
        <w:rPr>
          <w:rFonts w:ascii="Times New Roman" w:eastAsia="Times New Roman" w:hAnsi="Times New Roman"/>
          <w:color w:val="000000" w:themeColor="text1"/>
          <w:sz w:val="16"/>
          <w:szCs w:val="16"/>
          <w:lang w:eastAsia="ru-RU"/>
        </w:rPr>
        <w:t>т.т</w:t>
      </w:r>
      <w:proofErr w:type="spellEnd"/>
      <w:r w:rsidRPr="00A259BD">
        <w:rPr>
          <w:rFonts w:ascii="Times New Roman" w:eastAsia="Times New Roman" w:hAnsi="Times New Roman"/>
          <w:color w:val="000000" w:themeColor="text1"/>
          <w:sz w:val="16"/>
          <w:szCs w:val="16"/>
          <w:lang w:eastAsia="ru-RU"/>
        </w:rPr>
        <w:t xml:space="preserve">. </w:t>
      </w:r>
      <w:proofErr w:type="spellStart"/>
      <w:r w:rsidRPr="00A259BD">
        <w:rPr>
          <w:rFonts w:ascii="Times New Roman" w:eastAsia="Times New Roman" w:hAnsi="Times New Roman"/>
          <w:color w:val="000000" w:themeColor="text1"/>
          <w:sz w:val="16"/>
          <w:szCs w:val="16"/>
          <w:lang w:eastAsia="ru-RU"/>
        </w:rPr>
        <w:t>Павлунов</w:t>
      </w:r>
      <w:proofErr w:type="spellEnd"/>
      <w:r w:rsidRPr="00A259BD">
        <w:rPr>
          <w:rFonts w:ascii="Times New Roman" w:eastAsia="Times New Roman" w:hAnsi="Times New Roman"/>
          <w:color w:val="000000" w:themeColor="text1"/>
          <w:sz w:val="16"/>
          <w:szCs w:val="16"/>
          <w:lang w:eastAsia="ru-RU"/>
        </w:rPr>
        <w:t xml:space="preserve">- </w:t>
      </w:r>
      <w:proofErr w:type="spellStart"/>
      <w:r w:rsidRPr="00A259BD">
        <w:rPr>
          <w:rFonts w:ascii="Times New Roman" w:eastAsia="Times New Roman" w:hAnsi="Times New Roman"/>
          <w:color w:val="000000" w:themeColor="text1"/>
          <w:sz w:val="16"/>
          <w:szCs w:val="16"/>
          <w:lang w:eastAsia="ru-RU"/>
        </w:rPr>
        <w:t>ского</w:t>
      </w:r>
      <w:proofErr w:type="spellEnd"/>
      <w:r w:rsidRPr="00A259BD">
        <w:rPr>
          <w:rFonts w:ascii="Times New Roman" w:eastAsia="Times New Roman" w:hAnsi="Times New Roman"/>
          <w:color w:val="000000" w:themeColor="text1"/>
          <w:sz w:val="16"/>
          <w:szCs w:val="16"/>
          <w:lang w:eastAsia="ru-RU"/>
        </w:rPr>
        <w:t xml:space="preserve"> (председателя) и членов </w:t>
      </w:r>
      <w:proofErr w:type="spellStart"/>
      <w:r w:rsidRPr="00A259BD">
        <w:rPr>
          <w:rFonts w:ascii="Times New Roman" w:eastAsia="Times New Roman" w:hAnsi="Times New Roman"/>
          <w:color w:val="000000" w:themeColor="text1"/>
          <w:sz w:val="16"/>
          <w:szCs w:val="16"/>
          <w:lang w:eastAsia="ru-RU"/>
        </w:rPr>
        <w:t>т.т</w:t>
      </w:r>
      <w:proofErr w:type="spellEnd"/>
      <w:r w:rsidRPr="00A259BD">
        <w:rPr>
          <w:rFonts w:ascii="Times New Roman" w:eastAsia="Times New Roman" w:hAnsi="Times New Roman"/>
          <w:color w:val="000000" w:themeColor="text1"/>
          <w:sz w:val="16"/>
          <w:szCs w:val="16"/>
          <w:lang w:eastAsia="ru-RU"/>
        </w:rPr>
        <w:t xml:space="preserve">. Урываева, </w:t>
      </w:r>
      <w:proofErr w:type="spellStart"/>
      <w:r w:rsidRPr="00A259BD">
        <w:rPr>
          <w:rFonts w:ascii="Times New Roman" w:eastAsia="Times New Roman" w:hAnsi="Times New Roman"/>
          <w:color w:val="000000" w:themeColor="text1"/>
          <w:sz w:val="16"/>
          <w:szCs w:val="16"/>
          <w:lang w:eastAsia="ru-RU"/>
        </w:rPr>
        <w:t>Молочни</w:t>
      </w:r>
      <w:proofErr w:type="spellEnd"/>
      <w:r w:rsidRPr="00A259BD">
        <w:rPr>
          <w:rFonts w:ascii="Times New Roman" w:eastAsia="Times New Roman" w:hAnsi="Times New Roman"/>
          <w:color w:val="000000" w:themeColor="text1"/>
          <w:sz w:val="16"/>
          <w:szCs w:val="16"/>
          <w:lang w:eastAsia="ru-RU"/>
        </w:rPr>
        <w:t xml:space="preserve">- </w:t>
      </w:r>
      <w:proofErr w:type="spellStart"/>
      <w:r w:rsidRPr="00A259BD">
        <w:rPr>
          <w:rFonts w:ascii="Times New Roman" w:eastAsia="Times New Roman" w:hAnsi="Times New Roman"/>
          <w:color w:val="000000" w:themeColor="text1"/>
          <w:sz w:val="16"/>
          <w:szCs w:val="16"/>
          <w:lang w:eastAsia="ru-RU"/>
        </w:rPr>
        <w:t>кова</w:t>
      </w:r>
      <w:proofErr w:type="spellEnd"/>
      <w:r w:rsidRPr="00A259BD">
        <w:rPr>
          <w:rFonts w:ascii="Times New Roman" w:eastAsia="Times New Roman" w:hAnsi="Times New Roman"/>
          <w:color w:val="000000" w:themeColor="text1"/>
          <w:sz w:val="16"/>
          <w:szCs w:val="16"/>
          <w:lang w:eastAsia="ru-RU"/>
        </w:rPr>
        <w:t xml:space="preserve"> и </w:t>
      </w:r>
      <w:proofErr w:type="spellStart"/>
      <w:r w:rsidRPr="00A259BD">
        <w:rPr>
          <w:rFonts w:ascii="Times New Roman" w:eastAsia="Times New Roman" w:hAnsi="Times New Roman"/>
          <w:color w:val="000000" w:themeColor="text1"/>
          <w:sz w:val="16"/>
          <w:szCs w:val="16"/>
          <w:lang w:eastAsia="ru-RU"/>
        </w:rPr>
        <w:t>Булина</w:t>
      </w:r>
      <w:proofErr w:type="spellEnd"/>
      <w:r w:rsidRPr="00A259BD">
        <w:rPr>
          <w:rFonts w:ascii="Times New Roman" w:eastAsia="Times New Roman" w:hAnsi="Times New Roman"/>
          <w:color w:val="000000" w:themeColor="text1"/>
          <w:sz w:val="16"/>
          <w:szCs w:val="16"/>
          <w:lang w:eastAsia="ru-RU"/>
        </w:rPr>
        <w:t xml:space="preserve"> и по одному представителю от ЦК металлистов и химиков в кратчайший срок произвести чистку всего личного состава военной промышленности до заводов включительно».</w:t>
      </w:r>
    </w:p>
    <w:p w14:paraId="165CA4AB"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3. Признать необходимым обновить руководящий состав военной промышленности, начиная с коллегии ВПУ и кончая заводами.</w:t>
      </w:r>
    </w:p>
    <w:p w14:paraId="7B25F442"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Оргбюро в двухнедельный срок осуществить это мероприятие.</w:t>
      </w:r>
    </w:p>
    <w:p w14:paraId="7A187465"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4. Оргбюро в месячный срок мобилизовать для военной промышленности не менее 100 человек, преимущественно членов партии, опытных производственников и молодых инженеров.</w:t>
      </w:r>
    </w:p>
    <w:p w14:paraId="1736409A"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5. Принимая во внимание, что военная промышленность представляет из себя по преимуществу высококвалифицированное производство и в то же время имеет ничтожные технические кадры, в особенности после ликвидации вредительской организации старых специалистов, — ВСНХ надлежит рядом срочных и конкретных </w:t>
      </w:r>
      <w:r w:rsidRPr="00A259BD">
        <w:rPr>
          <w:rFonts w:ascii="Times New Roman" w:eastAsia="Times New Roman" w:hAnsi="Times New Roman"/>
          <w:color w:val="000000" w:themeColor="text1"/>
          <w:sz w:val="16"/>
          <w:szCs w:val="16"/>
          <w:lang w:eastAsia="ru-RU"/>
        </w:rPr>
        <w:lastRenderedPageBreak/>
        <w:t>мероприятий немедленно разрешить вопрос об усилении технических кадров военной промышленности (путем переподготовки, устройства краткосрочных курсов и т.д.) и одновременно разработать план систематической подготовки для нее технического персонала.</w:t>
      </w:r>
    </w:p>
    <w:p w14:paraId="17591BCE"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6. ВСНХ разработать план (и приступить к его немедленному осуществлению) ликвидации последствий вредительства в военной промышленности. Особое внимание обратить на капитальное строительство, </w:t>
      </w:r>
      <w:proofErr w:type="spellStart"/>
      <w:r w:rsidRPr="00A259BD">
        <w:rPr>
          <w:rFonts w:ascii="Times New Roman" w:eastAsia="Times New Roman" w:hAnsi="Times New Roman"/>
          <w:color w:val="000000" w:themeColor="text1"/>
          <w:sz w:val="16"/>
          <w:szCs w:val="16"/>
          <w:lang w:eastAsia="ru-RU"/>
        </w:rPr>
        <w:t>электропаросиловое</w:t>
      </w:r>
      <w:proofErr w:type="spellEnd"/>
      <w:r w:rsidRPr="00A259BD">
        <w:rPr>
          <w:rFonts w:ascii="Times New Roman" w:eastAsia="Times New Roman" w:hAnsi="Times New Roman"/>
          <w:color w:val="000000" w:themeColor="text1"/>
          <w:sz w:val="16"/>
          <w:szCs w:val="16"/>
          <w:lang w:eastAsia="ru-RU"/>
        </w:rPr>
        <w:t xml:space="preserve"> хозяйство, лекальное и инструментальное дело, арсенальную проблему, изучение и совершенствование (рационализация) технологических процессов, устранение диспропорций между производствами и цехами и т.п. В этом плане исходить из необходимости уже в 1929/30 г. добиться устранения указанных последствий вредительства и создания здоровой производственной обстановки на заводах и в трестах.</w:t>
      </w:r>
    </w:p>
    <w:p w14:paraId="508C68BB"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При разработке программы ликвидации последствий вредительства использовать все имеющиеся материалы, конкретно изучать каждый объект вредительства в отдельности и широко привлечь к этой работе все предприятия, которые были охвачены вредительством.</w:t>
      </w:r>
    </w:p>
    <w:p w14:paraId="359A9EEF"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7. Успешное разрешение громадной проблемы технического оснащения Красной армии, и в частности, своевременное осуществление одобренных Политбюро мероприятий по артиллерийскому, танковому, авиационному, химическому перевооружению по пятилетнему плану, возможно только при условии 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заграничной технической помощи. Исходя из этого, ВСНХ немедленно усилить существующие конструкторские и технические бюро на заводах опытными специалистами, организовать их там, где они отсутствуют, и привлечь техническую помощь из-за границы. Особенное внимание должно быть обращено на артиллерийское, танковое, авиационное и химическое дело.</w:t>
      </w:r>
    </w:p>
    <w:p w14:paraId="07CFF7DE"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8. Вторым условием успешного осуществления плана технического перевооружения Красной армии является быстрое изготовление опытных образцов нового оружия и организация массового их производства.</w:t>
      </w:r>
    </w:p>
    <w:p w14:paraId="5064A63C"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Поэтому ВСНХ, совместно с НКВМ, добиться во что бы то ни стало самых минимальных сроков в изготовлении опытных образцов, испытании и проверке их и внедрения в массовое производство.</w:t>
      </w:r>
    </w:p>
    <w:p w14:paraId="404A3A8B"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Считая эту задачу одной из самых важнейших, Политбюро категорически требует ее полного разрешения.</w:t>
      </w:r>
    </w:p>
    <w:p w14:paraId="7AB4ABCD"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9. Отмечая недостаточную загрузку военных заводов военными заказами, ВСНХ, в целях сокращения сроков </w:t>
      </w:r>
      <w:proofErr w:type="spellStart"/>
      <w:r w:rsidRPr="00A259BD">
        <w:rPr>
          <w:rFonts w:ascii="Times New Roman" w:eastAsia="Times New Roman" w:hAnsi="Times New Roman"/>
          <w:color w:val="000000" w:themeColor="text1"/>
          <w:sz w:val="16"/>
          <w:szCs w:val="16"/>
          <w:lang w:eastAsia="ru-RU"/>
        </w:rPr>
        <w:t>мобразвертывания</w:t>
      </w:r>
      <w:proofErr w:type="spellEnd"/>
      <w:r w:rsidRPr="00A259BD">
        <w:rPr>
          <w:rFonts w:ascii="Times New Roman" w:eastAsia="Times New Roman" w:hAnsi="Times New Roman"/>
          <w:color w:val="000000" w:themeColor="text1"/>
          <w:sz w:val="16"/>
          <w:szCs w:val="16"/>
          <w:lang w:eastAsia="ru-RU"/>
        </w:rPr>
        <w:t xml:space="preserve"> военных заводов и максимального использования основного капитала военной промышленности, с 1929/30 года поднять темп загрузки военных заводов мирной продукцией до максимальных пределов. В двухмесячный срок РЗ СТО рассмотреть план загрузки мирными производствами на 1929/30 год.</w:t>
      </w:r>
    </w:p>
    <w:p w14:paraId="002FD85B"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10. ВСНХ принять меры по оздоровлению оборотных средств военной промышленности. РЗ СТО срочно рассмотреть вопрос о смягчении финансового напряжения в военной промышленности и о порядке покрытия кассового прорыва в Орудийно-Арсенальном и Авиационном трестах, а также наметить мероприятия, исключающие повторение подобных явлений.</w:t>
      </w:r>
    </w:p>
    <w:p w14:paraId="468BB85B"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11.  РЗ СТО рассмотреть вопрос о ценах на поставляемую </w:t>
      </w:r>
      <w:proofErr w:type="spellStart"/>
      <w:r w:rsidRPr="00A259BD">
        <w:rPr>
          <w:rFonts w:ascii="Times New Roman" w:eastAsia="Times New Roman" w:hAnsi="Times New Roman"/>
          <w:color w:val="000000" w:themeColor="text1"/>
          <w:sz w:val="16"/>
          <w:szCs w:val="16"/>
          <w:lang w:eastAsia="ru-RU"/>
        </w:rPr>
        <w:t>Военведу</w:t>
      </w:r>
      <w:proofErr w:type="spellEnd"/>
      <w:r w:rsidRPr="00A259BD">
        <w:rPr>
          <w:rFonts w:ascii="Times New Roman" w:eastAsia="Times New Roman" w:hAnsi="Times New Roman"/>
          <w:color w:val="000000" w:themeColor="text1"/>
          <w:sz w:val="16"/>
          <w:szCs w:val="16"/>
          <w:lang w:eastAsia="ru-RU"/>
        </w:rPr>
        <w:t xml:space="preserve"> продукцию под углом необходимого их снижения, установив одновременно твердые расчетные цены по всем предметам вооружения, допуская ориентировочные цены как исключение для вновь устанавливаемых производств и то только для первого периода.</w:t>
      </w:r>
    </w:p>
    <w:p w14:paraId="792C55B8"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12. Поручить Наркомвоенмору, ОГПУ и ВСНХ пересмотреть существующий порядок секретности на военных заводах с тем, чтобы было обеспечено максимальное участие рабочих в контроле над производством и в то же время сохранена военная тайна.</w:t>
      </w:r>
    </w:p>
    <w:p w14:paraId="34E17A31"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13. Предложить ВСНХ и НКВМ в месячный срок уточнить взаимоотношения в части: а) передачи опытных заказов, времени их изготовления в кратчайшие сроки и быстрого проведения их через испытание; б) исполнение заказов мирного времени и своевременного снабжения промышленности техническими условиями и чертежами.</w:t>
      </w:r>
    </w:p>
    <w:p w14:paraId="49197780" w14:textId="77777777" w:rsidR="00BF30AB" w:rsidRPr="00A259BD" w:rsidRDefault="00BF30AB"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За выполнением всех вышеуказанных мероприятий РЗ СТО установить строгое наблюдение» (21570).</w:t>
      </w:r>
    </w:p>
    <w:p w14:paraId="710A5133" w14:textId="77777777" w:rsidR="00BF30AB" w:rsidRPr="00A259BD" w:rsidRDefault="00BF30AB" w:rsidP="009236E3">
      <w:pPr>
        <w:shd w:val="clear" w:color="auto" w:fill="FFFFFF"/>
        <w:spacing w:after="0" w:line="240" w:lineRule="auto"/>
        <w:jc w:val="both"/>
        <w:rPr>
          <w:rFonts w:ascii="Times New Roman" w:hAnsi="Times New Roman"/>
          <w:color w:val="000000" w:themeColor="text1"/>
          <w:sz w:val="16"/>
          <w:szCs w:val="16"/>
        </w:rPr>
      </w:pPr>
    </w:p>
    <w:p w14:paraId="305EC0E2"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июля 1929 г. вышло постановления ПБ “О военной промышленности” Это - параллельное совершенно секрет</w:t>
      </w:r>
      <w:r w:rsidRPr="00A259BD">
        <w:rPr>
          <w:rFonts w:ascii="Times New Roman" w:hAnsi="Times New Roman"/>
          <w:color w:val="000000" w:themeColor="text1"/>
          <w:sz w:val="16"/>
          <w:szCs w:val="16"/>
        </w:rPr>
        <w:softHyphen/>
        <w:t>ное постановление ПБ, составленное всего в нескольких экземп</w:t>
      </w:r>
      <w:r w:rsidRPr="00A259BD">
        <w:rPr>
          <w:rFonts w:ascii="Times New Roman" w:hAnsi="Times New Roman"/>
          <w:color w:val="000000" w:themeColor="text1"/>
          <w:sz w:val="16"/>
          <w:szCs w:val="16"/>
        </w:rPr>
        <w:softHyphen/>
        <w:t>лярах, к созданию которого явно приложили руку и ОГПУ, и во</w:t>
      </w:r>
      <w:r w:rsidRPr="00A259BD">
        <w:rPr>
          <w:rFonts w:ascii="Times New Roman" w:hAnsi="Times New Roman"/>
          <w:color w:val="000000" w:themeColor="text1"/>
          <w:sz w:val="16"/>
          <w:szCs w:val="16"/>
        </w:rPr>
        <w:softHyphen/>
        <w:t>енная инспекция РКИ. Оно было размножено только в пяти эк</w:t>
      </w:r>
      <w:r w:rsidRPr="00A259BD">
        <w:rPr>
          <w:rFonts w:ascii="Times New Roman" w:hAnsi="Times New Roman"/>
          <w:color w:val="000000" w:themeColor="text1"/>
          <w:sz w:val="16"/>
          <w:szCs w:val="16"/>
        </w:rPr>
        <w:softHyphen/>
        <w:t>земплярах и направлено в ЦК ВКП(б), РЗ СТО (Рудзутаку), НК РКП (Яковлеву), ВСНХ (</w:t>
      </w:r>
      <w:proofErr w:type="spellStart"/>
      <w:r w:rsidRPr="00A259BD">
        <w:rPr>
          <w:rFonts w:ascii="Times New Roman" w:hAnsi="Times New Roman"/>
          <w:color w:val="000000" w:themeColor="text1"/>
          <w:sz w:val="16"/>
          <w:szCs w:val="16"/>
        </w:rPr>
        <w:t>Рухимовичу</w:t>
      </w:r>
      <w:proofErr w:type="spellEnd"/>
      <w:r w:rsidRPr="00A259BD">
        <w:rPr>
          <w:rFonts w:ascii="Times New Roman" w:hAnsi="Times New Roman"/>
          <w:color w:val="000000" w:themeColor="text1"/>
          <w:sz w:val="16"/>
          <w:szCs w:val="16"/>
        </w:rPr>
        <w:t>), РВС (Ворошилову) и, вви</w:t>
      </w:r>
      <w:r w:rsidRPr="00A259BD">
        <w:rPr>
          <w:rFonts w:ascii="Times New Roman" w:hAnsi="Times New Roman"/>
          <w:color w:val="000000" w:themeColor="text1"/>
          <w:sz w:val="16"/>
          <w:szCs w:val="16"/>
        </w:rPr>
        <w:softHyphen/>
        <w:t>ду особой секретности, должно было храниться на правах шиф</w:t>
      </w:r>
      <w:r w:rsidRPr="00A259BD">
        <w:rPr>
          <w:rFonts w:ascii="Times New Roman" w:hAnsi="Times New Roman"/>
          <w:color w:val="000000" w:themeColor="text1"/>
          <w:sz w:val="16"/>
          <w:szCs w:val="16"/>
        </w:rPr>
        <w:softHyphen/>
        <w:t>ра.</w:t>
      </w:r>
    </w:p>
    <w:p w14:paraId="3E1A6210"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постановлении как бы подводился итог многочисленным дискуссиям о характере современной войны и размерах необхо</w:t>
      </w:r>
      <w:r w:rsidRPr="00A259BD">
        <w:rPr>
          <w:rFonts w:ascii="Times New Roman" w:hAnsi="Times New Roman"/>
          <w:color w:val="000000" w:themeColor="text1"/>
          <w:sz w:val="16"/>
          <w:szCs w:val="16"/>
        </w:rPr>
        <w:softHyphen/>
        <w:t xml:space="preserve">димых военных приготовлений, ведущимся на страницах печати, в кулуарах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Главное место в подготовке к </w:t>
      </w:r>
      <w:proofErr w:type="spellStart"/>
      <w:r w:rsidRPr="00A259BD">
        <w:rPr>
          <w:rFonts w:ascii="Times New Roman" w:hAnsi="Times New Roman"/>
          <w:color w:val="000000" w:themeColor="text1"/>
          <w:sz w:val="16"/>
          <w:szCs w:val="16"/>
        </w:rPr>
        <w:t>войнепостановление</w:t>
      </w:r>
      <w:proofErr w:type="spellEnd"/>
      <w:r w:rsidRPr="00A259BD">
        <w:rPr>
          <w:rFonts w:ascii="Times New Roman" w:hAnsi="Times New Roman"/>
          <w:color w:val="000000" w:themeColor="text1"/>
          <w:sz w:val="16"/>
          <w:szCs w:val="16"/>
        </w:rPr>
        <w:t xml:space="preserve"> отводило кадровой военной промышленно</w:t>
      </w:r>
      <w:r w:rsidRPr="00A259BD">
        <w:rPr>
          <w:rFonts w:ascii="Times New Roman" w:hAnsi="Times New Roman"/>
          <w:color w:val="000000" w:themeColor="text1"/>
          <w:sz w:val="16"/>
          <w:szCs w:val="16"/>
        </w:rPr>
        <w:softHyphen/>
        <w:t>сти, более того, признавалось, что существование специальной  военной промышленности с весьма мощными заводами объек</w:t>
      </w:r>
      <w:r w:rsidRPr="00A259BD">
        <w:rPr>
          <w:rFonts w:ascii="Times New Roman" w:hAnsi="Times New Roman"/>
          <w:color w:val="000000" w:themeColor="text1"/>
          <w:sz w:val="16"/>
          <w:szCs w:val="16"/>
        </w:rPr>
        <w:softHyphen/>
        <w:t>тивно создает преимущество Советского Союза перед буржуаз</w:t>
      </w:r>
      <w:r w:rsidRPr="00A259BD">
        <w:rPr>
          <w:rFonts w:ascii="Times New Roman" w:hAnsi="Times New Roman"/>
          <w:color w:val="000000" w:themeColor="text1"/>
          <w:sz w:val="16"/>
          <w:szCs w:val="16"/>
        </w:rPr>
        <w:softHyphen/>
        <w:t>ными государствами в деле обороны страны. Этот момент важно подчеркнуть, так как он отразил дальнейшую перспективу роста военной промышленности, несмотря на теоретические дискуссии об экономической мобилизации всего народного хозяйства.</w:t>
      </w:r>
    </w:p>
    <w:p w14:paraId="1530CFFD"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Вместе с тем состояние самой военной промышленности оценивалось как крайне неудовлетворительное, что выражалось, согласно документу, в громадном преуменьшении мобилизацион</w:t>
      </w:r>
      <w:r w:rsidRPr="00A259BD">
        <w:rPr>
          <w:rFonts w:ascii="Times New Roman" w:hAnsi="Times New Roman"/>
          <w:color w:val="000000" w:themeColor="text1"/>
          <w:sz w:val="16"/>
          <w:szCs w:val="16"/>
        </w:rPr>
        <w:softHyphen/>
        <w:t>ных мощностей заводов, длительном и не соответствующем инте</w:t>
      </w:r>
      <w:r w:rsidRPr="00A259BD">
        <w:rPr>
          <w:rFonts w:ascii="Times New Roman" w:hAnsi="Times New Roman"/>
          <w:color w:val="000000" w:themeColor="text1"/>
          <w:sz w:val="16"/>
          <w:szCs w:val="16"/>
        </w:rPr>
        <w:softHyphen/>
        <w:t>ресам обороны срокам их строительства и пуска, преувеличении средств на капитальное строительство. Указывались медленные сроки мобилизационного развертывания заводов, в связи с чем го</w:t>
      </w:r>
      <w:r w:rsidRPr="00A259BD">
        <w:rPr>
          <w:rFonts w:ascii="Times New Roman" w:hAnsi="Times New Roman"/>
          <w:color w:val="000000" w:themeColor="text1"/>
          <w:sz w:val="16"/>
          <w:szCs w:val="16"/>
        </w:rPr>
        <w:softHyphen/>
        <w:t>сударство вынуждено было направлять усилия на создание круп</w:t>
      </w:r>
      <w:r w:rsidRPr="00A259BD">
        <w:rPr>
          <w:rFonts w:ascii="Times New Roman" w:hAnsi="Times New Roman"/>
          <w:color w:val="000000" w:themeColor="text1"/>
          <w:sz w:val="16"/>
          <w:szCs w:val="16"/>
        </w:rPr>
        <w:softHyphen/>
        <w:t xml:space="preserve">ных </w:t>
      </w:r>
      <w:proofErr w:type="spellStart"/>
      <w:r w:rsidRPr="00A259BD">
        <w:rPr>
          <w:rFonts w:ascii="Times New Roman" w:hAnsi="Times New Roman"/>
          <w:color w:val="000000" w:themeColor="text1"/>
          <w:sz w:val="16"/>
          <w:szCs w:val="16"/>
        </w:rPr>
        <w:t>мобзапасов</w:t>
      </w:r>
      <w:proofErr w:type="spellEnd"/>
      <w:r w:rsidRPr="00A259BD">
        <w:rPr>
          <w:rFonts w:ascii="Times New Roman" w:hAnsi="Times New Roman"/>
          <w:color w:val="000000" w:themeColor="text1"/>
          <w:sz w:val="16"/>
          <w:szCs w:val="16"/>
        </w:rPr>
        <w:t>, непосильных для государства. Отмечались дис</w:t>
      </w:r>
      <w:r w:rsidRPr="00A259BD">
        <w:rPr>
          <w:rFonts w:ascii="Times New Roman" w:hAnsi="Times New Roman"/>
          <w:color w:val="000000" w:themeColor="text1"/>
          <w:sz w:val="16"/>
          <w:szCs w:val="16"/>
        </w:rPr>
        <w:softHyphen/>
        <w:t>пропорции и узкие места по ряду отраслей военных производств и заводов: неразрешенность проблемы заводского ремонта и арсе</w:t>
      </w:r>
      <w:r w:rsidRPr="00A259BD">
        <w:rPr>
          <w:rFonts w:ascii="Times New Roman" w:hAnsi="Times New Roman"/>
          <w:color w:val="000000" w:themeColor="text1"/>
          <w:sz w:val="16"/>
          <w:szCs w:val="16"/>
        </w:rPr>
        <w:softHyphen/>
        <w:t xml:space="preserve">нального, </w:t>
      </w:r>
      <w:proofErr w:type="spellStart"/>
      <w:r w:rsidRPr="00A259BD">
        <w:rPr>
          <w:rFonts w:ascii="Times New Roman" w:hAnsi="Times New Roman"/>
          <w:color w:val="000000" w:themeColor="text1"/>
          <w:sz w:val="16"/>
          <w:szCs w:val="16"/>
        </w:rPr>
        <w:t>лекально</w:t>
      </w:r>
      <w:proofErr w:type="spellEnd"/>
      <w:r w:rsidRPr="00A259BD">
        <w:rPr>
          <w:rFonts w:ascii="Times New Roman" w:hAnsi="Times New Roman"/>
          <w:color w:val="000000" w:themeColor="text1"/>
          <w:sz w:val="16"/>
          <w:szCs w:val="16"/>
        </w:rPr>
        <w:t>-инструментального оборудования; перегру</w:t>
      </w:r>
      <w:r w:rsidRPr="00A259BD">
        <w:rPr>
          <w:rFonts w:ascii="Times New Roman" w:hAnsi="Times New Roman"/>
          <w:color w:val="000000" w:themeColor="text1"/>
          <w:sz w:val="16"/>
          <w:szCs w:val="16"/>
        </w:rPr>
        <w:softHyphen/>
        <w:t>женность заводов негодным станочным парком; недопустимые сроки изготовления новых опытных образцов вооружения, продол</w:t>
      </w:r>
      <w:r w:rsidRPr="00A259BD">
        <w:rPr>
          <w:rFonts w:ascii="Times New Roman" w:hAnsi="Times New Roman"/>
          <w:color w:val="000000" w:themeColor="text1"/>
          <w:sz w:val="16"/>
          <w:szCs w:val="16"/>
        </w:rPr>
        <w:softHyphen/>
        <w:t>жительное (3-4 года) их внедрение в массовое производство; уста</w:t>
      </w:r>
      <w:r w:rsidRPr="00A259BD">
        <w:rPr>
          <w:rFonts w:ascii="Times New Roman" w:hAnsi="Times New Roman"/>
          <w:color w:val="000000" w:themeColor="text1"/>
          <w:sz w:val="16"/>
          <w:szCs w:val="16"/>
        </w:rPr>
        <w:softHyphen/>
        <w:t>релые технологические процессы и упорное нежелание военной промышленности во всех ее звеньях нововведений и совершенство</w:t>
      </w:r>
      <w:r w:rsidRPr="00A259BD">
        <w:rPr>
          <w:rFonts w:ascii="Times New Roman" w:hAnsi="Times New Roman"/>
          <w:color w:val="000000" w:themeColor="text1"/>
          <w:sz w:val="16"/>
          <w:szCs w:val="16"/>
        </w:rPr>
        <w:softHyphen/>
        <w:t>вания этих процессов; недоделы, невыполнение программ по изго</w:t>
      </w:r>
      <w:r w:rsidRPr="00A259BD">
        <w:rPr>
          <w:rFonts w:ascii="Times New Roman" w:hAnsi="Times New Roman"/>
          <w:color w:val="000000" w:themeColor="text1"/>
          <w:sz w:val="16"/>
          <w:szCs w:val="16"/>
        </w:rPr>
        <w:softHyphen/>
        <w:t>товлению и обеспечению взаимозаменяемости запасных частей к предметам вооружения; крайне недостаточное использование ос</w:t>
      </w:r>
      <w:r w:rsidRPr="00A259BD">
        <w:rPr>
          <w:rFonts w:ascii="Times New Roman" w:hAnsi="Times New Roman"/>
          <w:color w:val="000000" w:themeColor="text1"/>
          <w:sz w:val="16"/>
          <w:szCs w:val="16"/>
        </w:rPr>
        <w:softHyphen/>
        <w:t>новного капитала военной промышленности для производства мирной продукции; нерациональное использование военного обо</w:t>
      </w:r>
      <w:r w:rsidRPr="00A259BD">
        <w:rPr>
          <w:rFonts w:ascii="Times New Roman" w:hAnsi="Times New Roman"/>
          <w:color w:val="000000" w:themeColor="text1"/>
          <w:sz w:val="16"/>
          <w:szCs w:val="16"/>
        </w:rPr>
        <w:softHyphen/>
        <w:t>рудования для этих целей; разбазаривание оборотных средств, ве</w:t>
      </w:r>
      <w:r w:rsidRPr="00A259BD">
        <w:rPr>
          <w:rFonts w:ascii="Times New Roman" w:hAnsi="Times New Roman"/>
          <w:color w:val="000000" w:themeColor="text1"/>
          <w:sz w:val="16"/>
          <w:szCs w:val="16"/>
        </w:rPr>
        <w:softHyphen/>
        <w:t>дущее к напряженнейшему финансовому положению и кассовым прорывам в военных трестах, надеющихся на подачки государства и не принимающих достаточных мер к упорядочению своих финан</w:t>
      </w:r>
      <w:r w:rsidRPr="00A259BD">
        <w:rPr>
          <w:rFonts w:ascii="Times New Roman" w:hAnsi="Times New Roman"/>
          <w:color w:val="000000" w:themeColor="text1"/>
          <w:sz w:val="16"/>
          <w:szCs w:val="16"/>
        </w:rPr>
        <w:softHyphen/>
        <w:t>сов; опора целиком на касту старых специалистов царской России и невнимание к вопросу подготовки новых советских кадров.</w:t>
      </w:r>
    </w:p>
    <w:p w14:paraId="0CA7DE07"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 это списывалось на действия “вредителей”. Теперь, гово</w:t>
      </w:r>
      <w:r w:rsidRPr="00A259BD">
        <w:rPr>
          <w:rFonts w:ascii="Times New Roman" w:hAnsi="Times New Roman"/>
          <w:color w:val="000000" w:themeColor="text1"/>
          <w:sz w:val="16"/>
          <w:szCs w:val="16"/>
        </w:rPr>
        <w:softHyphen/>
        <w:t>рилось в документе, когда установлена принадлежность боль</w:t>
      </w:r>
      <w:r w:rsidRPr="00A259BD">
        <w:rPr>
          <w:rFonts w:ascii="Times New Roman" w:hAnsi="Times New Roman"/>
          <w:color w:val="000000" w:themeColor="text1"/>
          <w:sz w:val="16"/>
          <w:szCs w:val="16"/>
        </w:rPr>
        <w:softHyphen/>
        <w:t>шинства старых специалистов к контрреволюционной организа</w:t>
      </w:r>
      <w:r w:rsidRPr="00A259BD">
        <w:rPr>
          <w:rFonts w:ascii="Times New Roman" w:hAnsi="Times New Roman"/>
          <w:color w:val="000000" w:themeColor="text1"/>
          <w:sz w:val="16"/>
          <w:szCs w:val="16"/>
        </w:rPr>
        <w:softHyphen/>
        <w:t>ции, в техническом руководстве военной промышленности сло</w:t>
      </w:r>
      <w:r w:rsidRPr="00A259BD">
        <w:rPr>
          <w:rFonts w:ascii="Times New Roman" w:hAnsi="Times New Roman"/>
          <w:color w:val="000000" w:themeColor="text1"/>
          <w:sz w:val="16"/>
          <w:szCs w:val="16"/>
        </w:rPr>
        <w:softHyphen/>
        <w:t>жилось критическое положение и создан опасный разрыв между промышленностью и потребностями обороны, что явилось следствием многолетней и систематической вредительской ра</w:t>
      </w:r>
      <w:r w:rsidRPr="00A259BD">
        <w:rPr>
          <w:rFonts w:ascii="Times New Roman" w:hAnsi="Times New Roman"/>
          <w:color w:val="000000" w:themeColor="text1"/>
          <w:sz w:val="16"/>
          <w:szCs w:val="16"/>
        </w:rPr>
        <w:softHyphen/>
        <w:t xml:space="preserve">боты в военной промышленности; отсутствия бдительности у партийного руководящего состава военной промышленности,  начиная от руководящих работников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кончая завода</w:t>
      </w:r>
      <w:r w:rsidRPr="00A259BD">
        <w:rPr>
          <w:rFonts w:ascii="Times New Roman" w:hAnsi="Times New Roman"/>
          <w:color w:val="000000" w:themeColor="text1"/>
          <w:sz w:val="16"/>
          <w:szCs w:val="16"/>
        </w:rPr>
        <w:softHyphen/>
        <w:t>ми; чрезмерного доверия к специалистам, в особенности к их вер</w:t>
      </w:r>
      <w:r w:rsidRPr="00A259BD">
        <w:rPr>
          <w:rFonts w:ascii="Times New Roman" w:hAnsi="Times New Roman"/>
          <w:color w:val="000000" w:themeColor="text1"/>
          <w:sz w:val="16"/>
          <w:szCs w:val="16"/>
        </w:rPr>
        <w:softHyphen/>
        <w:t>хушке; отсутствие со стороны руководящего коммунистическо</w:t>
      </w:r>
      <w:r w:rsidRPr="00A259BD">
        <w:rPr>
          <w:rFonts w:ascii="Times New Roman" w:hAnsi="Times New Roman"/>
          <w:color w:val="000000" w:themeColor="text1"/>
          <w:sz w:val="16"/>
          <w:szCs w:val="16"/>
        </w:rPr>
        <w:softHyphen/>
        <w:t>го состава военной промышленности даже минимального конт</w:t>
      </w:r>
      <w:r w:rsidRPr="00A259BD">
        <w:rPr>
          <w:rFonts w:ascii="Times New Roman" w:hAnsi="Times New Roman"/>
          <w:color w:val="000000" w:themeColor="text1"/>
          <w:sz w:val="16"/>
          <w:szCs w:val="16"/>
        </w:rPr>
        <w:softHyphen/>
        <w:t>роля за работой специалистов. Отмечалось, что в большинстве случаев этот руководящий состав свел свою роль по управлению промышленностью, трестами и предприятиями к голому админист</w:t>
      </w:r>
      <w:r w:rsidRPr="00A259BD">
        <w:rPr>
          <w:rFonts w:ascii="Times New Roman" w:hAnsi="Times New Roman"/>
          <w:color w:val="000000" w:themeColor="text1"/>
          <w:sz w:val="16"/>
          <w:szCs w:val="16"/>
        </w:rPr>
        <w:softHyphen/>
        <w:t>рированию на основе отчетов и докладов, представляемых ему ап</w:t>
      </w:r>
      <w:r w:rsidRPr="00A259BD">
        <w:rPr>
          <w:rFonts w:ascii="Times New Roman" w:hAnsi="Times New Roman"/>
          <w:color w:val="000000" w:themeColor="text1"/>
          <w:sz w:val="16"/>
          <w:szCs w:val="16"/>
        </w:rPr>
        <w:softHyphen/>
        <w:t>паратами, дескать, заполненными и часто руководимыми вреди</w:t>
      </w:r>
      <w:r w:rsidRPr="00A259BD">
        <w:rPr>
          <w:rFonts w:ascii="Times New Roman" w:hAnsi="Times New Roman"/>
          <w:color w:val="000000" w:themeColor="text1"/>
          <w:sz w:val="16"/>
          <w:szCs w:val="16"/>
        </w:rPr>
        <w:softHyphen/>
        <w:t>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w:t>
      </w:r>
      <w:r w:rsidRPr="00A259BD">
        <w:rPr>
          <w:rFonts w:ascii="Times New Roman" w:hAnsi="Times New Roman"/>
          <w:color w:val="000000" w:themeColor="text1"/>
          <w:sz w:val="16"/>
          <w:szCs w:val="16"/>
        </w:rPr>
        <w:softHyphen/>
        <w:t>вершенствовать систему управления и изучать производственные технологические процессы; под предлогом военной тайны (чрез</w:t>
      </w:r>
      <w:r w:rsidRPr="00A259BD">
        <w:rPr>
          <w:rFonts w:ascii="Times New Roman" w:hAnsi="Times New Roman"/>
          <w:color w:val="000000" w:themeColor="text1"/>
          <w:sz w:val="16"/>
          <w:szCs w:val="16"/>
        </w:rPr>
        <w:softHyphen/>
        <w:t>мерное засекречивание) фактически был отстранен от активного участия в организации и рационализации производства беспартий</w:t>
      </w:r>
      <w:r w:rsidRPr="00A259BD">
        <w:rPr>
          <w:rFonts w:ascii="Times New Roman" w:hAnsi="Times New Roman"/>
          <w:color w:val="000000" w:themeColor="text1"/>
          <w:sz w:val="16"/>
          <w:szCs w:val="16"/>
        </w:rPr>
        <w:softHyphen/>
        <w:t>ный и коммунистический рабочий актив на производстве.</w:t>
      </w:r>
    </w:p>
    <w:p w14:paraId="1EFD601A"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касается успехов военной промышленности, о которых до</w:t>
      </w:r>
      <w:r w:rsidRPr="00A259BD">
        <w:rPr>
          <w:rFonts w:ascii="Times New Roman" w:hAnsi="Times New Roman"/>
          <w:color w:val="000000" w:themeColor="text1"/>
          <w:sz w:val="16"/>
          <w:szCs w:val="16"/>
        </w:rPr>
        <w:softHyphen/>
        <w:t>кладывало ВПУ, говорилось дальше, то вскрытое совместными усилиями НК РКИ и ОГПУ действительное положение в военной промышленности, оказалось ни в какой мере не соответствую</w:t>
      </w:r>
      <w:r w:rsidRPr="00A259BD">
        <w:rPr>
          <w:rFonts w:ascii="Times New Roman" w:hAnsi="Times New Roman"/>
          <w:color w:val="000000" w:themeColor="text1"/>
          <w:sz w:val="16"/>
          <w:szCs w:val="16"/>
        </w:rPr>
        <w:softHyphen/>
        <w:t>щим оптимистическому освещению со стороны руководителей военной промышленности. Некоторые достижения в области про</w:t>
      </w:r>
      <w:r w:rsidRPr="00A259BD">
        <w:rPr>
          <w:rFonts w:ascii="Times New Roman" w:hAnsi="Times New Roman"/>
          <w:color w:val="000000" w:themeColor="text1"/>
          <w:sz w:val="16"/>
          <w:szCs w:val="16"/>
        </w:rPr>
        <w:softHyphen/>
        <w:t>изводительности труда, снижения себестоимости, повышения каче</w:t>
      </w:r>
      <w:r w:rsidRPr="00A259BD">
        <w:rPr>
          <w:rFonts w:ascii="Times New Roman" w:hAnsi="Times New Roman"/>
          <w:color w:val="000000" w:themeColor="text1"/>
          <w:sz w:val="16"/>
          <w:szCs w:val="16"/>
        </w:rPr>
        <w:softHyphen/>
        <w:t>ства и количества изготовляемой продукции, внедрения некоторых новых видов производства и т.д. совершенно недостаточны ни с точки зрения вложенных в военную промышленность средств, ни с точки зрения количества времени, затраченного на эти достиже</w:t>
      </w:r>
      <w:r w:rsidRPr="00A259BD">
        <w:rPr>
          <w:rFonts w:ascii="Times New Roman" w:hAnsi="Times New Roman"/>
          <w:color w:val="000000" w:themeColor="text1"/>
          <w:sz w:val="16"/>
          <w:szCs w:val="16"/>
        </w:rPr>
        <w:softHyphen/>
        <w:t>ния. В то же время эти достижения выдвигались руководящими ра</w:t>
      </w:r>
      <w:r w:rsidRPr="00A259BD">
        <w:rPr>
          <w:rFonts w:ascii="Times New Roman" w:hAnsi="Times New Roman"/>
          <w:color w:val="000000" w:themeColor="text1"/>
          <w:sz w:val="16"/>
          <w:szCs w:val="16"/>
        </w:rPr>
        <w:softHyphen/>
        <w:t>ботниками военной промышленности в качестве показателей об</w:t>
      </w:r>
      <w:r w:rsidRPr="00A259BD">
        <w:rPr>
          <w:rFonts w:ascii="Times New Roman" w:hAnsi="Times New Roman"/>
          <w:color w:val="000000" w:themeColor="text1"/>
          <w:sz w:val="16"/>
          <w:szCs w:val="16"/>
        </w:rPr>
        <w:softHyphen/>
        <w:t>щего благополучия промышленности, что еще больше содейство</w:t>
      </w:r>
      <w:r w:rsidRPr="00A259BD">
        <w:rPr>
          <w:rFonts w:ascii="Times New Roman" w:hAnsi="Times New Roman"/>
          <w:color w:val="000000" w:themeColor="text1"/>
          <w:sz w:val="16"/>
          <w:szCs w:val="16"/>
        </w:rPr>
        <w:softHyphen/>
        <w:t>вало прикрыванию фактически тяжелого положения подготовки к обороне. Попытки исправить критическое положение, предусмот</w:t>
      </w:r>
      <w:r w:rsidRPr="00A259BD">
        <w:rPr>
          <w:rFonts w:ascii="Times New Roman" w:hAnsi="Times New Roman"/>
          <w:color w:val="000000" w:themeColor="text1"/>
          <w:sz w:val="16"/>
          <w:szCs w:val="16"/>
        </w:rPr>
        <w:softHyphen/>
        <w:t>ренные решениями Президиума ВСНХ и утвержденные РЗ СТО в плане на 1928/29 г., обнаружили, что военная промышленность оказалась не готовой к выполнению заданного ей плана капиталь</w:t>
      </w:r>
      <w:r w:rsidRPr="00A259BD">
        <w:rPr>
          <w:rFonts w:ascii="Times New Roman" w:hAnsi="Times New Roman"/>
          <w:color w:val="000000" w:themeColor="text1"/>
          <w:sz w:val="16"/>
          <w:szCs w:val="16"/>
        </w:rPr>
        <w:softHyphen/>
        <w:t>ного строительства, а в работе ее аппарата не произошло того пе</w:t>
      </w:r>
      <w:r w:rsidRPr="00A259BD">
        <w:rPr>
          <w:rFonts w:ascii="Times New Roman" w:hAnsi="Times New Roman"/>
          <w:color w:val="000000" w:themeColor="text1"/>
          <w:sz w:val="16"/>
          <w:szCs w:val="16"/>
        </w:rPr>
        <w:softHyphen/>
        <w:t>релома, который гарантировал бы срочное исправление последст</w:t>
      </w:r>
      <w:r w:rsidRPr="00A259BD">
        <w:rPr>
          <w:rFonts w:ascii="Times New Roman" w:hAnsi="Times New Roman"/>
          <w:color w:val="000000" w:themeColor="text1"/>
          <w:sz w:val="16"/>
          <w:szCs w:val="16"/>
        </w:rPr>
        <w:softHyphen/>
        <w:t>вий работы контрреволюционной организации.</w:t>
      </w:r>
    </w:p>
    <w:p w14:paraId="795C89B4"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Исходя из этого, намечался цикл следующих мероприятий: Президиуму ЦКК предлагалось срочно рассмотреть вопрос о на</w:t>
      </w:r>
      <w:r w:rsidRPr="00A259BD">
        <w:rPr>
          <w:rFonts w:ascii="Times New Roman" w:hAnsi="Times New Roman"/>
          <w:color w:val="000000" w:themeColor="text1"/>
          <w:sz w:val="16"/>
          <w:szCs w:val="16"/>
        </w:rPr>
        <w:softHyphen/>
        <w:t>ложении взысканий и привлечении к ответственности как ны</w:t>
      </w:r>
      <w:r w:rsidRPr="00A259BD">
        <w:rPr>
          <w:rFonts w:ascii="Times New Roman" w:hAnsi="Times New Roman"/>
          <w:color w:val="000000" w:themeColor="text1"/>
          <w:sz w:val="16"/>
          <w:szCs w:val="16"/>
        </w:rPr>
        <w:softHyphen/>
        <w:t>нешнего, так и бывшего состава военной промышленности, виновного в недостаточной бдительности к многолетнему и явному вредительству и упущениях в военной промышленности, внести свои предложения в ПБ; специальной комиссии под председа</w:t>
      </w:r>
      <w:r w:rsidRPr="00A259BD">
        <w:rPr>
          <w:rFonts w:ascii="Times New Roman" w:hAnsi="Times New Roman"/>
          <w:color w:val="000000" w:themeColor="text1"/>
          <w:sz w:val="16"/>
          <w:szCs w:val="16"/>
        </w:rPr>
        <w:softHyphen/>
        <w:t xml:space="preserve">тельством </w:t>
      </w:r>
      <w:proofErr w:type="spellStart"/>
      <w:r w:rsidRPr="00A259BD">
        <w:rPr>
          <w:rFonts w:ascii="Times New Roman" w:hAnsi="Times New Roman"/>
          <w:color w:val="000000" w:themeColor="text1"/>
          <w:sz w:val="16"/>
          <w:szCs w:val="16"/>
        </w:rPr>
        <w:t>Павлуновского</w:t>
      </w:r>
      <w:proofErr w:type="spellEnd"/>
      <w:r w:rsidRPr="00A259BD">
        <w:rPr>
          <w:rFonts w:ascii="Times New Roman" w:hAnsi="Times New Roman"/>
          <w:color w:val="000000" w:themeColor="text1"/>
          <w:sz w:val="16"/>
          <w:szCs w:val="16"/>
        </w:rPr>
        <w:t>, включая представителей ЦК метал</w:t>
      </w:r>
      <w:r w:rsidRPr="00A259BD">
        <w:rPr>
          <w:rFonts w:ascii="Times New Roman" w:hAnsi="Times New Roman"/>
          <w:color w:val="000000" w:themeColor="text1"/>
          <w:sz w:val="16"/>
          <w:szCs w:val="16"/>
        </w:rPr>
        <w:softHyphen/>
        <w:t>листов и химиков в кратчайший срок произвести чистку всего личного состава военной промышленности до заводов включи</w:t>
      </w:r>
      <w:r w:rsidRPr="00A259BD">
        <w:rPr>
          <w:rFonts w:ascii="Times New Roman" w:hAnsi="Times New Roman"/>
          <w:color w:val="000000" w:themeColor="text1"/>
          <w:sz w:val="16"/>
          <w:szCs w:val="16"/>
        </w:rPr>
        <w:softHyphen/>
        <w:t>тельно·, обновить руководящий состав военной промышленно</w:t>
      </w:r>
      <w:r w:rsidRPr="00A259BD">
        <w:rPr>
          <w:rFonts w:ascii="Times New Roman" w:hAnsi="Times New Roman"/>
          <w:color w:val="000000" w:themeColor="text1"/>
          <w:sz w:val="16"/>
          <w:szCs w:val="16"/>
        </w:rPr>
        <w:softHyphen/>
        <w:t>сти, начиная с коллегии ВПУ и кончая заводами; Оргбюро ЦК ВКП(б) в месячный срок предписывалось мобилизовать для военной промышленности не менее 100 человек, преимуществен</w:t>
      </w:r>
      <w:r w:rsidRPr="00A259BD">
        <w:rPr>
          <w:rFonts w:ascii="Times New Roman" w:hAnsi="Times New Roman"/>
          <w:color w:val="000000" w:themeColor="text1"/>
          <w:sz w:val="16"/>
          <w:szCs w:val="16"/>
        </w:rPr>
        <w:softHyphen/>
        <w:t>но членов партии, опытных производственников и молодых ин</w:t>
      </w:r>
      <w:r w:rsidRPr="00A259BD">
        <w:rPr>
          <w:rFonts w:ascii="Times New Roman" w:hAnsi="Times New Roman"/>
          <w:color w:val="000000" w:themeColor="text1"/>
          <w:sz w:val="16"/>
          <w:szCs w:val="16"/>
        </w:rPr>
        <w:softHyphen/>
        <w:t>женеров. Принимая во внимание, что военная промышленность представляет собой по преимуществу высококвалифицирован</w:t>
      </w:r>
      <w:r w:rsidRPr="00A259BD">
        <w:rPr>
          <w:rFonts w:ascii="Times New Roman" w:hAnsi="Times New Roman"/>
          <w:color w:val="000000" w:themeColor="text1"/>
          <w:sz w:val="16"/>
          <w:szCs w:val="16"/>
        </w:rPr>
        <w:softHyphen/>
        <w:t>ное производство и в то же время имеет ничтожные технические кадры, в особенности после ликвидации вредительской организа</w:t>
      </w:r>
      <w:r w:rsidRPr="00A259BD">
        <w:rPr>
          <w:rFonts w:ascii="Times New Roman" w:hAnsi="Times New Roman"/>
          <w:color w:val="000000" w:themeColor="text1"/>
          <w:sz w:val="16"/>
          <w:szCs w:val="16"/>
        </w:rPr>
        <w:softHyphen/>
        <w:t>ции старых специалистов, ВСНХ надлежало, согласно докумен</w:t>
      </w:r>
      <w:r w:rsidRPr="00A259BD">
        <w:rPr>
          <w:rFonts w:ascii="Times New Roman" w:hAnsi="Times New Roman"/>
          <w:color w:val="000000" w:themeColor="text1"/>
          <w:sz w:val="16"/>
          <w:szCs w:val="16"/>
        </w:rPr>
        <w:softHyphen/>
        <w:t>ту, путем срочных и конкретных мероприятий немедленно разре</w:t>
      </w:r>
      <w:r w:rsidRPr="00A259BD">
        <w:rPr>
          <w:rFonts w:ascii="Times New Roman" w:hAnsi="Times New Roman"/>
          <w:color w:val="000000" w:themeColor="text1"/>
          <w:sz w:val="16"/>
          <w:szCs w:val="16"/>
        </w:rPr>
        <w:softHyphen/>
        <w:t>шить вопрос об усилении технических кадров военной промыш</w:t>
      </w:r>
      <w:r w:rsidRPr="00A259BD">
        <w:rPr>
          <w:rFonts w:ascii="Times New Roman" w:hAnsi="Times New Roman"/>
          <w:color w:val="000000" w:themeColor="text1"/>
          <w:sz w:val="16"/>
          <w:szCs w:val="16"/>
        </w:rPr>
        <w:softHyphen/>
        <w:t>ленности (путем переподготовки, устройства краткосрочных курсов и т.д.) и одновременно разработать план систематической подготовки для нее технического персонала.</w:t>
      </w:r>
    </w:p>
    <w:p w14:paraId="6E1BAA6F"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ВСНХ предлагалось разработать и приступить к немедленно</w:t>
      </w:r>
      <w:r w:rsidRPr="00A259BD">
        <w:rPr>
          <w:rFonts w:ascii="Times New Roman" w:hAnsi="Times New Roman"/>
          <w:color w:val="000000" w:themeColor="text1"/>
          <w:sz w:val="16"/>
          <w:szCs w:val="16"/>
        </w:rPr>
        <w:softHyphen/>
        <w:t>му осуществлению плана ликвидации последствий вредительства в военной промышленности. Особое внимание при этом обра</w:t>
      </w:r>
      <w:r w:rsidRPr="00A259BD">
        <w:rPr>
          <w:rFonts w:ascii="Times New Roman" w:hAnsi="Times New Roman"/>
          <w:color w:val="000000" w:themeColor="text1"/>
          <w:sz w:val="16"/>
          <w:szCs w:val="16"/>
        </w:rPr>
        <w:softHyphen/>
        <w:t>щалось на капитальное строительство, электро-паро-силовое хо</w:t>
      </w:r>
      <w:r w:rsidRPr="00A259BD">
        <w:rPr>
          <w:rFonts w:ascii="Times New Roman" w:hAnsi="Times New Roman"/>
          <w:color w:val="000000" w:themeColor="text1"/>
          <w:sz w:val="16"/>
          <w:szCs w:val="16"/>
        </w:rPr>
        <w:softHyphen/>
        <w:t>зяйство, лекальное и инструментальное дело, арсенальную проб</w:t>
      </w:r>
      <w:r w:rsidRPr="00A259BD">
        <w:rPr>
          <w:rFonts w:ascii="Times New Roman" w:hAnsi="Times New Roman"/>
          <w:color w:val="000000" w:themeColor="text1"/>
          <w:sz w:val="16"/>
          <w:szCs w:val="16"/>
        </w:rPr>
        <w:softHyphen/>
        <w:t>лему, изучение и совершенствование (рационализацию) техноло</w:t>
      </w:r>
      <w:r w:rsidRPr="00A259BD">
        <w:rPr>
          <w:rFonts w:ascii="Times New Roman" w:hAnsi="Times New Roman"/>
          <w:color w:val="000000" w:themeColor="text1"/>
          <w:sz w:val="16"/>
          <w:szCs w:val="16"/>
        </w:rPr>
        <w:softHyphen/>
        <w:t>гических процессов, устранение диспропорций между производ</w:t>
      </w:r>
      <w:r w:rsidRPr="00A259BD">
        <w:rPr>
          <w:rFonts w:ascii="Times New Roman" w:hAnsi="Times New Roman"/>
          <w:color w:val="000000" w:themeColor="text1"/>
          <w:sz w:val="16"/>
          <w:szCs w:val="16"/>
        </w:rPr>
        <w:softHyphen/>
        <w:t>ствами и цехами и т.п. Ставилась задача уже в 1929/30 г. добить</w:t>
      </w:r>
      <w:r w:rsidRPr="00A259BD">
        <w:rPr>
          <w:rFonts w:ascii="Times New Roman" w:hAnsi="Times New Roman"/>
          <w:color w:val="000000" w:themeColor="text1"/>
          <w:sz w:val="16"/>
          <w:szCs w:val="16"/>
        </w:rPr>
        <w:softHyphen/>
        <w:t>ся устранения указанных последствий вредительства и создания здоровой производственной обстановки на заводах и в трестах. При разработке программы ликвидации последствий вредитель</w:t>
      </w:r>
      <w:r w:rsidRPr="00A259BD">
        <w:rPr>
          <w:rFonts w:ascii="Times New Roman" w:hAnsi="Times New Roman"/>
          <w:color w:val="000000" w:themeColor="text1"/>
          <w:sz w:val="16"/>
          <w:szCs w:val="16"/>
        </w:rPr>
        <w:softHyphen/>
        <w:t>ства предписывалось использовать все имеющиеся материалы, конкретно изучать каждый объект вредительства в отдельности и широко привлекать к этой работе все предприятия, которые были охвачены вредительством.</w:t>
      </w:r>
    </w:p>
    <w:p w14:paraId="366661D4"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Успешное разрешение громадной проблемы технического оснащения Красной армии и, в частности, своевременное осуще</w:t>
      </w:r>
      <w:r w:rsidRPr="00A259BD">
        <w:rPr>
          <w:rFonts w:ascii="Times New Roman" w:hAnsi="Times New Roman"/>
          <w:color w:val="000000" w:themeColor="text1"/>
          <w:sz w:val="16"/>
          <w:szCs w:val="16"/>
        </w:rPr>
        <w:softHyphen/>
        <w:t>ствление одобренных ПБ мероприятий по артиллерийскому, тан</w:t>
      </w:r>
      <w:r w:rsidRPr="00A259BD">
        <w:rPr>
          <w:rFonts w:ascii="Times New Roman" w:hAnsi="Times New Roman"/>
          <w:color w:val="000000" w:themeColor="text1"/>
          <w:sz w:val="16"/>
          <w:szCs w:val="16"/>
        </w:rPr>
        <w:softHyphen/>
        <w:t>ковому, авиационному, химическому перевооружению по пяти</w:t>
      </w:r>
      <w:r w:rsidRPr="00A259BD">
        <w:rPr>
          <w:rFonts w:ascii="Times New Roman" w:hAnsi="Times New Roman"/>
          <w:color w:val="000000" w:themeColor="text1"/>
          <w:sz w:val="16"/>
          <w:szCs w:val="16"/>
        </w:rPr>
        <w:softHyphen/>
        <w:t>летнему плану, указывалось в постановлении, возможно только при условии 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w:t>
      </w:r>
      <w:r w:rsidRPr="00A259BD">
        <w:rPr>
          <w:rFonts w:ascii="Times New Roman" w:hAnsi="Times New Roman"/>
          <w:color w:val="000000" w:themeColor="text1"/>
          <w:sz w:val="16"/>
          <w:szCs w:val="16"/>
        </w:rPr>
        <w:softHyphen/>
        <w:t>ной технической помощи. Исходя из этого, ВСНХ предлагалось немедленно усилить существующие конструкторские и техниче</w:t>
      </w:r>
      <w:r w:rsidRPr="00A259BD">
        <w:rPr>
          <w:rFonts w:ascii="Times New Roman" w:hAnsi="Times New Roman"/>
          <w:color w:val="000000" w:themeColor="text1"/>
          <w:sz w:val="16"/>
          <w:szCs w:val="16"/>
        </w:rPr>
        <w:softHyphen/>
        <w:t>ские бюро на заводах опытными специалистами, организовать их там, где они отсутствуют, и привлечь техническую помощь из-за границы. Особое внимание должно быть обращено на артилле</w:t>
      </w:r>
      <w:r w:rsidRPr="00A259BD">
        <w:rPr>
          <w:rFonts w:ascii="Times New Roman" w:hAnsi="Times New Roman"/>
          <w:color w:val="000000" w:themeColor="text1"/>
          <w:sz w:val="16"/>
          <w:szCs w:val="16"/>
        </w:rPr>
        <w:softHyphen/>
        <w:t>рийское, авиационное и химическое дело.</w:t>
      </w:r>
    </w:p>
    <w:p w14:paraId="10C3E573"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Вторым условием успешного осуществления плана техниче</w:t>
      </w:r>
      <w:r w:rsidRPr="00A259BD">
        <w:rPr>
          <w:rFonts w:ascii="Times New Roman" w:hAnsi="Times New Roman"/>
          <w:color w:val="000000" w:themeColor="text1"/>
          <w:sz w:val="16"/>
          <w:szCs w:val="16"/>
        </w:rPr>
        <w:softHyphen/>
        <w:t>ского перевооружения Красной армии провозглашалось быстрое изготовление опытных образцов нового оружия и организации массового их производства. ВСНХ, совместно с НКВМ, должен был добиться во что бы то ни стало самых минимальных сроков в изготовлении опытных образцов, испытании и проверке их и вне</w:t>
      </w:r>
      <w:r w:rsidRPr="00A259BD">
        <w:rPr>
          <w:rFonts w:ascii="Times New Roman" w:hAnsi="Times New Roman"/>
          <w:color w:val="000000" w:themeColor="text1"/>
          <w:sz w:val="16"/>
          <w:szCs w:val="16"/>
        </w:rPr>
        <w:softHyphen/>
        <w:t xml:space="preserve">дрения в массовое производство. Отмечая недостаточную загрузку военных заводов военными заказами, ВСНХ, в целях сокращения сроков </w:t>
      </w:r>
      <w:proofErr w:type="spellStart"/>
      <w:r w:rsidRPr="00A259BD">
        <w:rPr>
          <w:rFonts w:ascii="Times New Roman" w:hAnsi="Times New Roman"/>
          <w:color w:val="000000" w:themeColor="text1"/>
          <w:sz w:val="16"/>
          <w:szCs w:val="16"/>
        </w:rPr>
        <w:t>мобразвертывания</w:t>
      </w:r>
      <w:proofErr w:type="spellEnd"/>
      <w:r w:rsidRPr="00A259BD">
        <w:rPr>
          <w:rFonts w:ascii="Times New Roman" w:hAnsi="Times New Roman"/>
          <w:color w:val="000000" w:themeColor="text1"/>
          <w:sz w:val="16"/>
          <w:szCs w:val="16"/>
        </w:rPr>
        <w:t xml:space="preserve"> военных заводов и максимального использования основного капитала военной промышленности, РЗ СТО предлагал в двухмесячный срок поднять темп загрузки военных заводов мирной продукцией до максимальных пределов. ВСНХ надлежало принять меры по оздоровлению оборотных средств военной промышленности, а РЗ СТО в срочном порядке рассмотреть вопрос о смягчении финансового напряжения, по</w:t>
      </w:r>
      <w:r w:rsidRPr="00A259BD">
        <w:rPr>
          <w:rFonts w:ascii="Times New Roman" w:hAnsi="Times New Roman"/>
          <w:color w:val="000000" w:themeColor="text1"/>
          <w:sz w:val="16"/>
          <w:szCs w:val="16"/>
        </w:rPr>
        <w:softHyphen/>
        <w:t>крыть кассовые прорывы в Орудийно-арсенальном и Авиацион</w:t>
      </w:r>
      <w:r w:rsidRPr="00A259BD">
        <w:rPr>
          <w:rFonts w:ascii="Times New Roman" w:hAnsi="Times New Roman"/>
          <w:color w:val="000000" w:themeColor="text1"/>
          <w:sz w:val="16"/>
          <w:szCs w:val="16"/>
        </w:rPr>
        <w:softHyphen/>
        <w:t>ном трестах, исключить повторение подобных явлений.</w:t>
      </w:r>
    </w:p>
    <w:p w14:paraId="464621AD"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РЗ СТО предлагалось рассмотреть вопрос о ценах на постав</w:t>
      </w:r>
      <w:r w:rsidRPr="00A259BD">
        <w:rPr>
          <w:rFonts w:ascii="Times New Roman" w:hAnsi="Times New Roman"/>
          <w:color w:val="000000" w:themeColor="text1"/>
          <w:sz w:val="16"/>
          <w:szCs w:val="16"/>
        </w:rPr>
        <w:softHyphen/>
        <w:t xml:space="preserve">ляемую </w:t>
      </w:r>
      <w:proofErr w:type="spellStart"/>
      <w:r w:rsidRPr="00A259BD">
        <w:rPr>
          <w:rFonts w:ascii="Times New Roman" w:hAnsi="Times New Roman"/>
          <w:color w:val="000000" w:themeColor="text1"/>
          <w:sz w:val="16"/>
          <w:szCs w:val="16"/>
        </w:rPr>
        <w:t>Военведу</w:t>
      </w:r>
      <w:proofErr w:type="spellEnd"/>
      <w:r w:rsidRPr="00A259BD">
        <w:rPr>
          <w:rFonts w:ascii="Times New Roman" w:hAnsi="Times New Roman"/>
          <w:color w:val="000000" w:themeColor="text1"/>
          <w:sz w:val="16"/>
          <w:szCs w:val="16"/>
        </w:rPr>
        <w:t xml:space="preserve"> продукцию под углом необходимого их сниже</w:t>
      </w:r>
      <w:r w:rsidRPr="00A259BD">
        <w:rPr>
          <w:rFonts w:ascii="Times New Roman" w:hAnsi="Times New Roman"/>
          <w:color w:val="000000" w:themeColor="text1"/>
          <w:sz w:val="16"/>
          <w:szCs w:val="16"/>
        </w:rPr>
        <w:softHyphen/>
        <w:t>ния, установив одновременно твердые расчетные цены по всем предметам вооружения, допуская ориентировочные цены как исключение для вновь устанавливаемых производств, и то толь</w:t>
      </w:r>
      <w:r w:rsidRPr="00A259BD">
        <w:rPr>
          <w:rFonts w:ascii="Times New Roman" w:hAnsi="Times New Roman"/>
          <w:color w:val="000000" w:themeColor="text1"/>
          <w:sz w:val="16"/>
          <w:szCs w:val="16"/>
        </w:rPr>
        <w:softHyphen/>
        <w:t>ко для первого периода. НКВМ, ОГПУ и ВСНХ должны были пересмотреть существующий порядок секретности на военных заводах с тем, чтобы было обеспечено максимальное участие ра</w:t>
      </w:r>
      <w:r w:rsidRPr="00A259BD">
        <w:rPr>
          <w:rFonts w:ascii="Times New Roman" w:hAnsi="Times New Roman"/>
          <w:color w:val="000000" w:themeColor="text1"/>
          <w:sz w:val="16"/>
          <w:szCs w:val="16"/>
        </w:rPr>
        <w:softHyphen/>
        <w:t>бочих в контроле над производством и в то же время сохранена военная тайна (18293).</w:t>
      </w:r>
    </w:p>
    <w:p w14:paraId="0B86CCD5" w14:textId="77777777" w:rsidR="006B42B3" w:rsidRPr="00A259BD" w:rsidRDefault="006B42B3" w:rsidP="009236E3">
      <w:pPr>
        <w:spacing w:after="0" w:line="240" w:lineRule="auto"/>
        <w:jc w:val="both"/>
        <w:rPr>
          <w:rFonts w:ascii="Times New Roman" w:hAnsi="Times New Roman"/>
          <w:color w:val="000000" w:themeColor="text1"/>
          <w:sz w:val="16"/>
          <w:szCs w:val="16"/>
        </w:rPr>
      </w:pPr>
    </w:p>
    <w:p w14:paraId="4D6CB8D5"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июля 1929 г. ЦК ВКП(б) принял постановление «О состоянии обороны страны», в котором была дана развернутая программа военного строительства, изложена линия на коренную техническую реконструкцию армии, авиации и флота. НКВМ СССР было поручено наряду с существовавшим вооружением добиться получения новых опытных образцов и на их основе вооружить армию современными типами артиллерии, средствами химзащиты, танками, бронемашинами, наладить серийный выпуск самолетов и авиамоторов. Это постановление легло в основу первого 5-летнего плана военного строительства, предусматривавшего также создание новых технических войск, моторизацию РККА, массовую подготовку технических кадров</w:t>
      </w:r>
      <w:hyperlink r:id="rId84" w:anchor="n_389" w:history="1">
        <w:r w:rsidRPr="00A259BD">
          <w:rPr>
            <w:rStyle w:val="a5"/>
            <w:rFonts w:ascii="Times New Roman" w:hAnsi="Times New Roman"/>
            <w:color w:val="000000" w:themeColor="text1"/>
            <w:sz w:val="16"/>
            <w:szCs w:val="16"/>
          </w:rPr>
          <w:t>[389]</w:t>
        </w:r>
      </w:hyperlink>
      <w:r w:rsidRPr="00A259BD">
        <w:rPr>
          <w:rFonts w:ascii="Times New Roman" w:hAnsi="Times New Roman"/>
          <w:color w:val="000000" w:themeColor="text1"/>
          <w:sz w:val="16"/>
          <w:szCs w:val="16"/>
        </w:rPr>
        <w:t>.</w:t>
      </w:r>
    </w:p>
    <w:p w14:paraId="5EFB98B8"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выполнения этих планов в июле 1929 г. была учреждена должность начальника вооружений РККА, на которого возлагалось руководство всеми вопросами перевооружения армии. Этот пост в 1929–1931 гг. занимал Уборевич, в 1931–1932 гг. — Тухачевский. В ноябре 1929 г. было создано уже упоминавшееся Управление механизации и моторизации (УММ) РККА. Организация УММ была чрезвычайно важна, поскольку до 1929 г. в СССР не было танкового производства и необходимых кадров конструкторов-танкостроителей. Становлению этого направления способствовали энтузиасты танкового дела И. А.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и К. Б. Калиновский.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возглавлял УММ вплоть до 1934 г. Специальным постановлением РВС СССР было предусмотрено создание различных типов танков: танкетка, средний, большой (тяжелый) и мостовой танки, а также их тактико-технические характеристики. 23 января 1930 г. РВС утвердил программу создания различных видов самолетов (в том числе гидросамолетов), аэростатов, аэрофотоаппаратов и приборов на первую 5-летку, причем главное внимание было уделено бомбардировочной и истребительной авиации. Особое внимание было уделено увеличению численности инженерно-технических кадров старшего звена. Для этого на базе военной академии им. Фрунзе был создан ряд специализированных военных академий (Военно-техническая, Артиллерийская, Военно-химическая, Военно-инженерная и др.). Это позволило увеличить число слушателей с 3200 в 1928 г. до 16,5 тыс. в 1932 г. В январе 1931 г. РВС уточнил план строительства РККА на 1931–1933 гг., завершив тем самым процесс разработки первого 5-летнего плана военного строительства. В 1933 г. была начата разработка второго 5-летнего плана строительства РККА на 1934–1938 гг., направленного на завершение начавшегося технического перевооружения РККА. СТО принял тогда постановления «О программе военно-морского строительства на 1933–1938 гг.», «О системе артиллерийского вооружения РККА на вторую пятилетку», позднее утвердил план развития ВВС на 1935 — 1937 гг. Вся страна постепенно превращалась в военный лагерь. И безобидная на первый взгляд закупка за рубежом партии сукна защитного цвета и медикаментов превращалась в акцию по повышению обороноспособности и выживаемости советского строя в условиях капиталистического окружения (18265).</w:t>
      </w:r>
    </w:p>
    <w:p w14:paraId="751EC6C6" w14:textId="77777777" w:rsidR="006B42B3" w:rsidRPr="00A259BD" w:rsidRDefault="006B42B3" w:rsidP="009236E3">
      <w:pPr>
        <w:spacing w:after="0" w:line="240" w:lineRule="auto"/>
        <w:jc w:val="both"/>
        <w:rPr>
          <w:rFonts w:ascii="Times New Roman" w:hAnsi="Times New Roman"/>
          <w:color w:val="000000" w:themeColor="text1"/>
          <w:sz w:val="16"/>
          <w:szCs w:val="16"/>
        </w:rPr>
      </w:pPr>
    </w:p>
    <w:p w14:paraId="38BC8467"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июля 1929 г. "Военная тревога" 1927 г. обусловила принятие Постановления Политбюро ЦК ВКП(б) "О состоянии обороны страны СССР". В нем говорилось о том, что основным итогом истекшего пятилетия (1924 - 1929 гг.) планового строительства Вооруженных Сил стало формирование крепкой, боеспособной армии, в политическом отношении вполне надежной, в техническом отношении стоящей на уровне развития производительных сил страны. Первый пятилетний план создал условия для повышения обороноспособности армии. Во второй пятилетке предполагалось создать современную военно-техническую базу для обороны. Постановление одобрило планы РВС СССР на рост численности технических войск и на уменьшение вспомогательных и обслуживающих частей.</w:t>
      </w:r>
    </w:p>
    <w:p w14:paraId="3330419B"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 Политбюро ЦК 1929 г., как отмечал в своих воспоминаниях маршал Г. К. Жуков, легло в основу плана военного строительства, который кроме всего прочего предусматривал "создание новых технических родов войск, моторизацию и организационную перестройку старых родов войск, массовую подготовку технических кадров и овладение новой техникой всем личным составом".</w:t>
      </w:r>
    </w:p>
    <w:p w14:paraId="5D519725"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течение 1928 - 1929 гг. количество рабочих на предприятиях ГУВП (45 заводов) увеличилось с 86,7 тыс. человек до 101,5 тыс. человек, а служащих - с 14,9 тыс. до 18,1 тыс. В течение 1929/30 года казной (по заключенным договорам об иностранной технической помощи) трестам военной промышленности намечалось отпустить 1 318 250 американских долларов.</w:t>
      </w:r>
    </w:p>
    <w:p w14:paraId="1E205D5B" w14:textId="77777777" w:rsidR="006B42B3" w:rsidRPr="00A259BD" w:rsidRDefault="006B42B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Финансовая программа первого пятилетнего плана развития народного хозяйства на 1928/29 - 1932/33 гг. предусматривала (по официальным данным) направление на нужды управления и обороны 7,2 млрд. руб. (или 8,0% от общего объема планировавшихся расходов). Итоги выполнения пятилетки фиксировали несколько иные показатели - 9,0 млрд. руб. (или 7,5%), направленных на нужды управления и обороны. Переход от государственного регулирования товарно-денежных отношений к жесткому плановому распределению в 1930 - 1941 гг. был обусловлен задачами создания в максимально сжатые сроки основной индустриальной базы для отраслей промышленности, имеющих оборонное значение. В мирное время была введена военно-мобилизационная система управления. Свертывание нэпа привело к ликвидации весной 1930 г. военно-промышленных трестов и их главка - ГУВП ВСНХ (19390).</w:t>
      </w:r>
    </w:p>
    <w:p w14:paraId="5AAA29A6" w14:textId="77777777" w:rsidR="006B42B3" w:rsidRPr="00A259BD" w:rsidRDefault="006B42B3" w:rsidP="009236E3">
      <w:pPr>
        <w:spacing w:after="0" w:line="240" w:lineRule="auto"/>
        <w:jc w:val="both"/>
        <w:rPr>
          <w:rFonts w:ascii="Times New Roman" w:hAnsi="Times New Roman"/>
          <w:color w:val="000000" w:themeColor="text1"/>
          <w:sz w:val="16"/>
          <w:szCs w:val="16"/>
        </w:rPr>
      </w:pPr>
    </w:p>
    <w:p w14:paraId="4D0CAAFB" w14:textId="77777777" w:rsidR="00F8794A" w:rsidRPr="00A259BD" w:rsidRDefault="00F8794A"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rPr>
        <w:t>15</w:t>
      </w:r>
      <w:r w:rsidRPr="00A259BD">
        <w:rPr>
          <w:rFonts w:ascii="Times New Roman" w:hAnsi="Times New Roman"/>
          <w:color w:val="000000" w:themeColor="text1"/>
          <w:sz w:val="16"/>
          <w:szCs w:val="16"/>
          <w:u w:color="002060"/>
        </w:rPr>
        <w:t>июля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РЗ СТО СССР об увеличении перечня дорог стратегического значения (РГАЭ. Ф. 4372. Оп. 91. Д. 385. Л. 5) (12415).</w:t>
      </w:r>
    </w:p>
    <w:p w14:paraId="7A084BAD" w14:textId="77777777" w:rsidR="00F8794A" w:rsidRPr="00A259BD" w:rsidRDefault="00F8794A" w:rsidP="009236E3">
      <w:pPr>
        <w:spacing w:after="0" w:line="240" w:lineRule="auto"/>
        <w:jc w:val="both"/>
        <w:rPr>
          <w:rFonts w:ascii="Times New Roman" w:hAnsi="Times New Roman"/>
          <w:color w:val="000000" w:themeColor="text1"/>
          <w:sz w:val="16"/>
          <w:szCs w:val="16"/>
          <w:u w:color="002060"/>
        </w:rPr>
      </w:pPr>
    </w:p>
    <w:p w14:paraId="2B4C2CA7" w14:textId="77777777" w:rsidR="00F8794A" w:rsidRPr="00A259BD" w:rsidRDefault="00F8794A"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15 июля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Закрытое заседание ПБ. 23. О состоянии обороны страны и работе РЗ СТО. П. 38. О военной промышленности. (РГАСПИ. Ф. 17. Оп. 162. Д. 7. Л. 98, 99 Подлинники) (12416).</w:t>
      </w:r>
    </w:p>
    <w:p w14:paraId="2459BF70" w14:textId="77777777" w:rsidR="00F8794A" w:rsidRPr="00A259BD" w:rsidRDefault="00F8794A" w:rsidP="009236E3">
      <w:pPr>
        <w:spacing w:after="0" w:line="240" w:lineRule="auto"/>
        <w:jc w:val="both"/>
        <w:rPr>
          <w:rFonts w:ascii="Times New Roman" w:hAnsi="Times New Roman"/>
          <w:color w:val="000000" w:themeColor="text1"/>
          <w:sz w:val="16"/>
          <w:szCs w:val="16"/>
          <w:u w:color="002060"/>
        </w:rPr>
      </w:pPr>
    </w:p>
    <w:p w14:paraId="2211EB14" w14:textId="77777777" w:rsidR="00F8794A" w:rsidRPr="00A259BD" w:rsidRDefault="00F8794A"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15 июля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ЦК ВКП(б) «О состоянии обороны СССР». (КПСС в резолюциях... Изд. 9?е. Т. 4. М., 1984. С. 528?530; РГАСПИ. Ф. 17. Оп. 162. Д. 7. Л. 101?112) (12416).</w:t>
      </w:r>
    </w:p>
    <w:p w14:paraId="24742B5E" w14:textId="77777777" w:rsidR="00F8794A" w:rsidRPr="00A259BD" w:rsidRDefault="00F8794A" w:rsidP="009236E3">
      <w:pPr>
        <w:spacing w:after="0" w:line="240" w:lineRule="auto"/>
        <w:jc w:val="both"/>
        <w:rPr>
          <w:rFonts w:ascii="Times New Roman" w:hAnsi="Times New Roman"/>
          <w:color w:val="000000" w:themeColor="text1"/>
          <w:sz w:val="16"/>
          <w:szCs w:val="16"/>
          <w:u w:color="002060"/>
        </w:rPr>
      </w:pPr>
    </w:p>
    <w:p w14:paraId="17B08B78" w14:textId="77777777" w:rsidR="00F8794A" w:rsidRPr="00A259BD" w:rsidRDefault="00F879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июля 1929 г. — Постановление Политбюро ЦК ВКП(б) о военной промышленности</w:t>
      </w:r>
    </w:p>
    <w:p w14:paraId="6AE337A8" w14:textId="77777777" w:rsidR="00F8794A" w:rsidRPr="00A259BD" w:rsidRDefault="00F879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 Политбюро ЦК ВКП(б) о военной промышленности</w:t>
      </w:r>
    </w:p>
    <w:p w14:paraId="29DB29A9" w14:textId="77777777" w:rsidR="00F8794A" w:rsidRPr="00A259BD" w:rsidRDefault="00F879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июля 1929 г.¹*</w:t>
      </w:r>
    </w:p>
    <w:p w14:paraId="57D9F529" w14:textId="77777777" w:rsidR="00F8794A" w:rsidRPr="00A259BD" w:rsidRDefault="00F879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Совершенно секретно.</w:t>
      </w:r>
    </w:p>
    <w:p w14:paraId="5F9F0BA5" w14:textId="77777777" w:rsidR="00F8794A" w:rsidRPr="00A259BD" w:rsidRDefault="00F879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w:t>
      </w:r>
    </w:p>
    <w:p w14:paraId="738EAC67"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1. Современная война при ее громадном масштабе, крайней напряженности, глубоко-техническом характере настоятельно требует всемерного развития военно-технических средств борьбы, применения этих средств в массовых количествах, получения их от промышленности в нужные для обороны сроки и постоянного их совершенствования.</w:t>
      </w:r>
    </w:p>
    <w:p w14:paraId="4378E819"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Эти условия ведения войны ставят перед промышленностью уже в мирное время задачу подготовиться к тому, чтобы с объявлением войны быстро развернуть военные производства для максимального удовлетворения потребностей обороны.</w:t>
      </w:r>
    </w:p>
    <w:p w14:paraId="106CEA84"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В подготовке промышленности к войне ведущую роль занимает кадровая военная промышленность, на которую возлагаются следующие основные обязанности:</w:t>
      </w:r>
    </w:p>
    <w:p w14:paraId="3D6D7EDA"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а) с объявлением войны развернуть свои производства в первую очередь с тем, чтобы питать Красную армию до развертывания остальной промышленности;</w:t>
      </w:r>
    </w:p>
    <w:p w14:paraId="2CA8542D"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б) поддерживать технику военных производств на уровне требований современной войны;</w:t>
      </w:r>
    </w:p>
    <w:p w14:paraId="50B21A2A"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lastRenderedPageBreak/>
        <w:t>в) совершенствовать технические средства борьбы, быстро изготовлять новые образцы вооружения, внедрять их в массовое производство в кратчайшие сроки, изучать и распространять опыт и навыки по изготовлению предметов вооружения на заводы гражданской промышленности;</w:t>
      </w:r>
    </w:p>
    <w:p w14:paraId="5BA2929A"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г) во время мобилизации помогать и содействовать развертыванию родственных производств в гражданской промышленности.</w:t>
      </w:r>
    </w:p>
    <w:p w14:paraId="06DEF384"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Существование в системе советской промышленности специальной военной промышленности с весьма мощными заводами объективно создает преимущество Советского Союза перед буржуазными государствами в деле наилучшей подготовки промышленности к обороне страны.</w:t>
      </w:r>
    </w:p>
    <w:p w14:paraId="3230D310"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2. Однако необходимо констатировать, что военная промышленность до настоящего времени не подготовлена к выполнению возложенных на нее задач и положение с подготовкой ее к обороне находится в неудовлетворительном состоянии.</w:t>
      </w:r>
    </w:p>
    <w:p w14:paraId="161DEAED"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Существеннейшими для обороны Союза являются следующие крупнейшие недостатки в работе военной промышленности:</w:t>
      </w:r>
    </w:p>
    <w:p w14:paraId="14CA3EF9"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 xml:space="preserve">а) громадное преуменьшение мобилизационных мощностей заводов военной промышленности и в связи с этим длительные и не соответствующие интересам обороны сроки развития заводов до удовлетворения минимальных потребностей армии на случай войны, с </w:t>
      </w:r>
      <w:proofErr w:type="spellStart"/>
      <w:r w:rsidRPr="00A259BD">
        <w:rPr>
          <w:color w:val="000000" w:themeColor="text1"/>
          <w:sz w:val="16"/>
          <w:szCs w:val="16"/>
        </w:rPr>
        <w:t>испрашиванием</w:t>
      </w:r>
      <w:proofErr w:type="spellEnd"/>
      <w:r w:rsidRPr="00A259BD">
        <w:rPr>
          <w:color w:val="000000" w:themeColor="text1"/>
          <w:sz w:val="16"/>
          <w:szCs w:val="16"/>
        </w:rPr>
        <w:t xml:space="preserve"> значительно преувеличенных средств на капитальное строительство;</w:t>
      </w:r>
    </w:p>
    <w:p w14:paraId="2DDE84C4"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 xml:space="preserve">б) длительность сроков мобилизационного развертывания военных заводов (от 1 до 1,5 лет), что создает весьма опасный разрыв между обеспечением потребностей войны имеющимися запасами и началом подачи па фронт продукции мобилизованной промышленности и приводит к необходимости иметь крупные </w:t>
      </w:r>
      <w:proofErr w:type="spellStart"/>
      <w:r w:rsidRPr="00A259BD">
        <w:rPr>
          <w:color w:val="000000" w:themeColor="text1"/>
          <w:sz w:val="16"/>
          <w:szCs w:val="16"/>
        </w:rPr>
        <w:t>мобзапасы</w:t>
      </w:r>
      <w:proofErr w:type="spellEnd"/>
      <w:r w:rsidRPr="00A259BD">
        <w:rPr>
          <w:color w:val="000000" w:themeColor="text1"/>
          <w:sz w:val="16"/>
          <w:szCs w:val="16"/>
        </w:rPr>
        <w:t>, непосильные для государства;</w:t>
      </w:r>
    </w:p>
    <w:p w14:paraId="4C98106B"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в) наличие диспропорций и «узких» мест по ряду отраслей военных производств и заводов, как например: пороховое производство не обеспечено кислотами, а производство порохов в свою очередь не обеспечивает количество заданных выстрелов; производство орудий, пулеметов и винтовок не обеспечено соответствующим количеством специальных сталей, большинство заводов не обеспечено электроэнергией, а военно-химические заводы и паросиловыми установками. Это лишает возможности в настоящее время полностью использовать производственные возможности военных заводов для обороны;</w:t>
      </w:r>
    </w:p>
    <w:p w14:paraId="00BAC213"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 xml:space="preserve">г) выведение до 1927 г. из строя, а в отдельных случаях и прямое разрушение заводов оборонного значения. Примеры: разрушен завод Барановского, разоружены </w:t>
      </w:r>
      <w:proofErr w:type="spellStart"/>
      <w:r w:rsidRPr="00A259BD">
        <w:rPr>
          <w:color w:val="000000" w:themeColor="text1"/>
          <w:sz w:val="16"/>
          <w:szCs w:val="16"/>
        </w:rPr>
        <w:t>Бачмановский</w:t>
      </w:r>
      <w:proofErr w:type="spellEnd"/>
      <w:r w:rsidRPr="00A259BD">
        <w:rPr>
          <w:color w:val="000000" w:themeColor="text1"/>
          <w:sz w:val="16"/>
          <w:szCs w:val="16"/>
        </w:rPr>
        <w:t xml:space="preserve"> арсенал и Бежецкий завод по ремонту винтовок; разоружались и выводились из строя Охтинский, Шлиссельбургский, </w:t>
      </w:r>
      <w:proofErr w:type="spellStart"/>
      <w:r w:rsidRPr="00A259BD">
        <w:rPr>
          <w:color w:val="000000" w:themeColor="text1"/>
          <w:sz w:val="16"/>
          <w:szCs w:val="16"/>
        </w:rPr>
        <w:t>Шостенский</w:t>
      </w:r>
      <w:proofErr w:type="spellEnd"/>
      <w:r w:rsidRPr="00A259BD">
        <w:rPr>
          <w:color w:val="000000" w:themeColor="text1"/>
          <w:sz w:val="16"/>
          <w:szCs w:val="16"/>
        </w:rPr>
        <w:t xml:space="preserve"> и Тамбовский пороховые заводы;</w:t>
      </w:r>
    </w:p>
    <w:p w14:paraId="17B40748"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д) запутывание в отдельных случаях, главным образом, по Орудийно-арсенальному тресту технологических процессов производства по весьма важным военным изделиям (артиллерия, танки). Примеры: в течение двух лет и до настоящего времени не разработан технологический процесс по производству танков на заводах Мотовилихинском и «Большевик», по производству зенитных орудий технологический процесс по нарезке вместо нормальных 8 часов установлен в 16 часов, и само орудие в процессе его производства несколько раз гуляет взад-вперед по заводу и т. д.;</w:t>
      </w:r>
    </w:p>
    <w:p w14:paraId="7088075B"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е) до настоящего времени не разрешена проблема заводского ремонта во время войны материальной части артиллерии, винтовок и пулеметов и обеспечения артиллерии передками, зарядными ящиками, колесами и т. д. Примеры: производство основного арсенального имущества — передки, зарядные ящики, колеса и т. д. — базируется на прифронтовых арсеналах — Ленинградском, Киевском, Брянском. Ни один завод в тылу к производству арсенального имущества не приспособлен. Поэтому в случае осложнения положения с прифронтовыми арсеналами неизвестно, какие заводы примут на себя производство арсенального имущества.</w:t>
      </w:r>
    </w:p>
    <w:p w14:paraId="2D8F2E3A"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 xml:space="preserve">В отношении заводского ремонта винтовок и пулеметов положение таково: Бежецкий ремонтный завод выведен из строя; взамен Бежецкого никакому другому заводу задания на ремонт не дано. Если же ремонт винтовок возложить на Тульский и Ижевский </w:t>
      </w:r>
      <w:proofErr w:type="spellStart"/>
      <w:r w:rsidRPr="00A259BD">
        <w:rPr>
          <w:color w:val="000000" w:themeColor="text1"/>
          <w:sz w:val="16"/>
          <w:szCs w:val="16"/>
        </w:rPr>
        <w:t>руж</w:t>
      </w:r>
      <w:proofErr w:type="spellEnd"/>
      <w:r w:rsidRPr="00A259BD">
        <w:rPr>
          <w:color w:val="000000" w:themeColor="text1"/>
          <w:sz w:val="16"/>
          <w:szCs w:val="16"/>
        </w:rPr>
        <w:t>[</w:t>
      </w:r>
      <w:proofErr w:type="spellStart"/>
      <w:r w:rsidRPr="00A259BD">
        <w:rPr>
          <w:color w:val="000000" w:themeColor="text1"/>
          <w:sz w:val="16"/>
          <w:szCs w:val="16"/>
        </w:rPr>
        <w:t>ейные</w:t>
      </w:r>
      <w:proofErr w:type="spellEnd"/>
      <w:r w:rsidRPr="00A259BD">
        <w:rPr>
          <w:color w:val="000000" w:themeColor="text1"/>
          <w:sz w:val="16"/>
          <w:szCs w:val="16"/>
        </w:rPr>
        <w:t>] заводы, то это сократит процентов на 30 выпуск ими новых винтовок и пулеметов;</w:t>
      </w:r>
    </w:p>
    <w:p w14:paraId="68ED2230"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 xml:space="preserve">ж) не создано и находится в расстроенном состоянии </w:t>
      </w:r>
      <w:proofErr w:type="spellStart"/>
      <w:r w:rsidRPr="00A259BD">
        <w:rPr>
          <w:color w:val="000000" w:themeColor="text1"/>
          <w:sz w:val="16"/>
          <w:szCs w:val="16"/>
        </w:rPr>
        <w:t>лекально</w:t>
      </w:r>
      <w:proofErr w:type="spellEnd"/>
      <w:r w:rsidRPr="00A259BD">
        <w:rPr>
          <w:color w:val="000000" w:themeColor="text1"/>
          <w:sz w:val="16"/>
          <w:szCs w:val="16"/>
        </w:rPr>
        <w:t xml:space="preserve">-инструментальное дело по важнейшим военным производствам. Так как во время войны пришлось бы форсировать производство лекал и инструментов, то это неизбежно привело бы к удлинению сроков </w:t>
      </w:r>
      <w:proofErr w:type="spellStart"/>
      <w:r w:rsidRPr="00A259BD">
        <w:rPr>
          <w:color w:val="000000" w:themeColor="text1"/>
          <w:sz w:val="16"/>
          <w:szCs w:val="16"/>
        </w:rPr>
        <w:t>мобразвертывания</w:t>
      </w:r>
      <w:proofErr w:type="spellEnd"/>
      <w:r w:rsidRPr="00A259BD">
        <w:rPr>
          <w:color w:val="000000" w:themeColor="text1"/>
          <w:sz w:val="16"/>
          <w:szCs w:val="16"/>
        </w:rPr>
        <w:t xml:space="preserve"> и ухудшению боевых качеств оружия. Примеры: в настоящее время постановка </w:t>
      </w:r>
      <w:proofErr w:type="spellStart"/>
      <w:r w:rsidRPr="00A259BD">
        <w:rPr>
          <w:color w:val="000000" w:themeColor="text1"/>
          <w:sz w:val="16"/>
          <w:szCs w:val="16"/>
        </w:rPr>
        <w:t>лекально</w:t>
      </w:r>
      <w:proofErr w:type="spellEnd"/>
      <w:r w:rsidRPr="00A259BD">
        <w:rPr>
          <w:color w:val="000000" w:themeColor="text1"/>
          <w:sz w:val="16"/>
          <w:szCs w:val="16"/>
        </w:rPr>
        <w:t>-инструментального дела не обеспечивает производство по мобилизации Ижевского, Тульского, Пензенского, Мотовилихинского, Ковровского и других заводов;</w:t>
      </w:r>
    </w:p>
    <w:p w14:paraId="6C457156"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 xml:space="preserve">з) громадный парк запасного станочного оборудования не использован и частично приведен в негодность; одновременно </w:t>
      </w:r>
      <w:r w:rsidRPr="00A259BD">
        <w:rPr>
          <w:rStyle w:val="af0"/>
          <w:i w:val="0"/>
          <w:color w:val="000000" w:themeColor="text1"/>
          <w:sz w:val="16"/>
          <w:szCs w:val="16"/>
        </w:rPr>
        <w:t>с</w:t>
      </w:r>
      <w:r w:rsidRPr="00A259BD">
        <w:rPr>
          <w:color w:val="000000" w:themeColor="text1"/>
          <w:sz w:val="16"/>
          <w:szCs w:val="16"/>
        </w:rPr>
        <w:t xml:space="preserve"> этим выписывались по импорту ненужные станки с затратой на это крупных средств. Примеры: до последнего времени находились без определенного назначения станки на заводах: Мотовилихинском — свыше тысячи, Путиловском — около тысячи, Ленинградском трубочном — 1,8 тыс. станков и т. д.; а всего на заводах военной промышленности находилось без назначения 8</w:t>
      </w:r>
      <w:r w:rsidRPr="00A259BD">
        <w:rPr>
          <w:color w:val="000000" w:themeColor="text1"/>
          <w:sz w:val="16"/>
          <w:szCs w:val="16"/>
        </w:rPr>
        <w:noBreakHyphen/>
        <w:t>10 тыс. станков. Излишние станки и оборудование выписывались Мотовилихинским заводом, «Большевиком» и др.;</w:t>
      </w:r>
    </w:p>
    <w:p w14:paraId="3F19F1A5"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и) недопустимо медленное изготовление новых опытных образцов вооружения и длительные (3</w:t>
      </w:r>
      <w:r w:rsidRPr="00A259BD">
        <w:rPr>
          <w:color w:val="000000" w:themeColor="text1"/>
          <w:sz w:val="16"/>
          <w:szCs w:val="16"/>
        </w:rPr>
        <w:noBreakHyphen/>
        <w:t>4 года) сроки постановки их изготовления в массовом производстве;</w:t>
      </w:r>
    </w:p>
    <w:p w14:paraId="61581517"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к) сохранение по всем заводам до настоящего времени устаревших технологических процессов и упорное нежелание аппаратов военной промышленности во всех ее звеньях к нововведениям и совершенствованию этих процессов;</w:t>
      </w:r>
    </w:p>
    <w:p w14:paraId="0B2DFE82"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 xml:space="preserve">л) недоделы по Орудийно-арсенальному и </w:t>
      </w:r>
      <w:proofErr w:type="spellStart"/>
      <w:r w:rsidRPr="00A259BD">
        <w:rPr>
          <w:color w:val="000000" w:themeColor="text1"/>
          <w:sz w:val="16"/>
          <w:szCs w:val="16"/>
        </w:rPr>
        <w:t>Авиатрестам</w:t>
      </w:r>
      <w:proofErr w:type="spellEnd"/>
      <w:r w:rsidRPr="00A259BD">
        <w:rPr>
          <w:color w:val="000000" w:themeColor="text1"/>
          <w:sz w:val="16"/>
          <w:szCs w:val="16"/>
        </w:rPr>
        <w:t>, невыполнение программ по изготовлению запасных частей и отсутствие взаимозаменяемости частей к отдельным предметам вооружения;</w:t>
      </w:r>
    </w:p>
    <w:p w14:paraId="7E896AF5"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 xml:space="preserve">м) крайне недостаточное использование основного капитала военной промышленности в отношении загрузки мирной продукцией, а в некоторых случаях нерациональное использование военного оборудования для этих производств. Пример: </w:t>
      </w:r>
      <w:proofErr w:type="spellStart"/>
      <w:r w:rsidRPr="00A259BD">
        <w:rPr>
          <w:color w:val="000000" w:themeColor="text1"/>
          <w:sz w:val="16"/>
          <w:szCs w:val="16"/>
        </w:rPr>
        <w:t>замочно</w:t>
      </w:r>
      <w:proofErr w:type="spellEnd"/>
      <w:r w:rsidRPr="00A259BD">
        <w:rPr>
          <w:color w:val="000000" w:themeColor="text1"/>
          <w:sz w:val="16"/>
          <w:szCs w:val="16"/>
        </w:rPr>
        <w:t>-прицельная «Большевика» выведена из строя путем приспособления под тракторы (начиная с 1922 г. и до настоящего времени);</w:t>
      </w:r>
    </w:p>
    <w:p w14:paraId="78D93FDF"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н) неудовлетворительное использование оборотных капиталов в военной промышленности, что привело, и не могло не привести, к напряженнейшему финансовому положению и кассовым прорывам по отдельным трестам; до сих пор тресты надеются на подачки государства, не принимая достаточных мер к упорядочению своих финансов;</w:t>
      </w:r>
    </w:p>
    <w:p w14:paraId="41744C6A"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о) все развитие военной промышленности и подготовка ее к войне базировались целиком на касте старых специалистов царской России, и вопрос о подготовке в нужном количестве советских специалистов военных производств до 1928/29 г. совершенно выпал из поля зрения как военной промышленности, так и самого ВСНХ. Это привело к тому, что в настоящее время, когда установлена принадлежность большинства старых специалистов к контрреволюционной организации, военная промышленность в отношении технического руководства очутилась в критическом положении.</w:t>
      </w:r>
    </w:p>
    <w:p w14:paraId="25A468D5"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Такое положение в военной промышленности создавало опасный разрыв между промышленностью и потребностями обороны, в результате чего Красная армия была бы лишена возможности полностью использовать для обороны имеющиеся промышленные ресурсы и не получила бы в первый период войны ряда весьма важных предметов вооружения (тяжелая артиллерия, танки, отравляющие вещества и т. д.).</w:t>
      </w:r>
    </w:p>
    <w:p w14:paraId="2F56838E"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3. Указанное выше положение в военной промышленности явилось следствием:</w:t>
      </w:r>
    </w:p>
    <w:p w14:paraId="25019FB3"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а) многолетней и систематической вредительской работы крупной контрреволюционной организации в военной промышленности (ВПУ, тресты, заводы);</w:t>
      </w:r>
    </w:p>
    <w:p w14:paraId="4A5869F2"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 xml:space="preserve">б) отсутствия бдительности у партийного руководящего состава военной промышленности, начиная от руководящих работников </w:t>
      </w:r>
      <w:proofErr w:type="spellStart"/>
      <w:r w:rsidRPr="00A259BD">
        <w:rPr>
          <w:color w:val="000000" w:themeColor="text1"/>
          <w:sz w:val="16"/>
          <w:szCs w:val="16"/>
        </w:rPr>
        <w:t>Военпрома</w:t>
      </w:r>
      <w:proofErr w:type="spellEnd"/>
      <w:r w:rsidRPr="00A259BD">
        <w:rPr>
          <w:color w:val="000000" w:themeColor="text1"/>
          <w:sz w:val="16"/>
          <w:szCs w:val="16"/>
        </w:rPr>
        <w:t xml:space="preserve"> ВПУ и кончая заводами;</w:t>
      </w:r>
    </w:p>
    <w:p w14:paraId="3CE5538A"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 xml:space="preserve">в) чрезмерного доверия к специалистам, в особенности к их верхушке (инженерам </w:t>
      </w:r>
      <w:hyperlink r:id="rId85" w:history="1">
        <w:r w:rsidRPr="00A259BD">
          <w:rPr>
            <w:color w:val="000000" w:themeColor="text1"/>
            <w:sz w:val="16"/>
            <w:szCs w:val="16"/>
          </w:rPr>
          <w:t>Михайлову</w:t>
        </w:r>
      </w:hyperlink>
      <w:r w:rsidRPr="00A259BD">
        <w:rPr>
          <w:color w:val="000000" w:themeColor="text1"/>
          <w:sz w:val="16"/>
          <w:szCs w:val="16"/>
        </w:rPr>
        <w:t xml:space="preserve">, </w:t>
      </w:r>
      <w:hyperlink r:id="rId86" w:history="1">
        <w:proofErr w:type="spellStart"/>
        <w:r w:rsidRPr="00A259BD">
          <w:rPr>
            <w:color w:val="000000" w:themeColor="text1"/>
            <w:sz w:val="16"/>
            <w:szCs w:val="16"/>
          </w:rPr>
          <w:t>Высочанскому</w:t>
        </w:r>
        <w:proofErr w:type="spellEnd"/>
      </w:hyperlink>
      <w:r w:rsidRPr="00A259BD">
        <w:rPr>
          <w:color w:val="000000" w:themeColor="text1"/>
          <w:sz w:val="16"/>
          <w:szCs w:val="16"/>
        </w:rPr>
        <w:t xml:space="preserve"> и др.), и отсутствия со стороны руководящего коммунистического состава военной промышленности даже минимального контроля за работой специалистов. В большинстве случаев руководящий коммунистический состав военной промышленности свел свою роль по управлению промышленностью, трестами и предприятиями к голому администрированию на основе отчетов и докладов, представляемых ему аппаратами (заполненными и часто руководимыми вредительскими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совершенствовать систему управления и изучать производственные технологические процессы;</w:t>
      </w:r>
    </w:p>
    <w:p w14:paraId="44C29AD1"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г) под предлогом военной тайны (чрезмерное засекречивание) фактически был отстранен от активного участия в организации и рационализации производства беспартийный и коммунистический рабочий актив на производстве.</w:t>
      </w:r>
    </w:p>
    <w:p w14:paraId="78BA1AEA"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Такое положение привело к тому, что в течение ряда лет решающую и руководящую роль в военной промышленности играла каста старых специалистов царской России, в большинстве своем входившая в контрреволюционную организацию и расстраивавшая военную промышленность.</w:t>
      </w:r>
    </w:p>
    <w:p w14:paraId="16A77ECB"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4. Вскрытое совместными усилиями НК РКИ СССР и ОГПУ действительное положение в военной промышленности оказалось ни в какой мере не соответствующим тому оптимистическому освещению, которое вошло в систему оценки военной промышленности в докладах ЦК ВКП(б) и правительству со стороны руководителей военной промышленности. Полученные некоторые достижения в области поднятия производительности труда, снижения себестоимости, повышения качества и количества изготовляемой продукции, внедрения некоторых новых видов производства и так далее должны быть отмечены. Однако эти достижения совершенно недостаточны ни с точки зрения вложенных в военную промышленность средств, ни с точки зрения количества времени, затраченного на эти достижения. В то же время эти достижения выдвигались руководящими работниками военной промышленности в качестве показателей общего благополучия промышленности, что еще более содействовало прикрыванию фактического тяжелого положения подготовки военной промышленности к обороне.</w:t>
      </w:r>
    </w:p>
    <w:p w14:paraId="32B7E7EC"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5. Значительное исправление указанного выше положения в военной промышленности предусмотрено решениями Президиума ВСНХ и утвержденными постановлениями РЗ СТО по планам капитального строительства промышленности на 1928/29 г. Однако и в настоящее время необходимо признать, что военная промышленность в первой половине 1928/29 г. не была в должной мере подготовлена к выполнению заданного ей плана капитального строительства и в работе аппаратов не произошло еще необходимого перелома, гарантирующего как выполнение плана строительства, так и срочного исправления последствий работы контрреволюционной организации.</w:t>
      </w:r>
    </w:p>
    <w:p w14:paraId="544908B9" w14:textId="77777777" w:rsidR="00FC4BF2" w:rsidRPr="00A259BD" w:rsidRDefault="00FC4BF2" w:rsidP="009236E3">
      <w:pPr>
        <w:pStyle w:val="rtejustify"/>
        <w:spacing w:before="0" w:after="0"/>
        <w:rPr>
          <w:color w:val="000000" w:themeColor="text1"/>
          <w:sz w:val="16"/>
          <w:szCs w:val="16"/>
        </w:rPr>
      </w:pPr>
      <w:r w:rsidRPr="00A259BD">
        <w:rPr>
          <w:color w:val="000000" w:themeColor="text1"/>
          <w:sz w:val="16"/>
          <w:szCs w:val="16"/>
        </w:rPr>
        <w:t>II</w:t>
      </w:r>
      <w:r w:rsidRPr="00A259BD">
        <w:rPr>
          <w:rStyle w:val="a7"/>
          <w:b w:val="0"/>
          <w:bCs w:val="0"/>
          <w:color w:val="000000" w:themeColor="text1"/>
          <w:sz w:val="16"/>
          <w:szCs w:val="16"/>
        </w:rPr>
        <w:t>.</w:t>
      </w:r>
    </w:p>
    <w:p w14:paraId="10E07FB2"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lastRenderedPageBreak/>
        <w:t>Поднятие обороноспособности СССР требует принятия решительных мер к немедленному исправлению вышеуказанного тяжелого положения военной промышленности. В соответствии с этим Политбюро постановляет:</w:t>
      </w:r>
    </w:p>
    <w:p w14:paraId="0F8F8504"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1. Президиуму ЦКК срочно рассмотреть вопрос о наложении взысканий и привлечении к ответственности как нынешнего, так и бывшего руководящего состава военной промышленности (</w:t>
      </w:r>
      <w:proofErr w:type="spellStart"/>
      <w:r w:rsidRPr="00A259BD">
        <w:rPr>
          <w:color w:val="000000" w:themeColor="text1"/>
          <w:sz w:val="16"/>
          <w:szCs w:val="16"/>
        </w:rPr>
        <w:t>Военпрома</w:t>
      </w:r>
      <w:proofErr w:type="spellEnd"/>
      <w:r w:rsidRPr="00A259BD">
        <w:rPr>
          <w:color w:val="000000" w:themeColor="text1"/>
          <w:sz w:val="16"/>
          <w:szCs w:val="16"/>
        </w:rPr>
        <w:t>, ВПУ, трестов и заводов), виновного в недостаточной бдительности к многолетнему и явному вредительству и упущениям в военной промышленности, и внести свои предложения в Политбюро.</w:t>
      </w:r>
    </w:p>
    <w:p w14:paraId="0FEEAA85"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2. Специальной комиссии в составе т. </w:t>
      </w:r>
      <w:proofErr w:type="spellStart"/>
      <w:r w:rsidR="00000000">
        <w:fldChar w:fldCharType="begin"/>
      </w:r>
      <w:r w:rsidR="00000000">
        <w:instrText>HYPERLINK "http://www.hrono.ru/biograf/bio_p/pavlunovski_ip.php"</w:instrText>
      </w:r>
      <w:r w:rsidR="00000000">
        <w:fldChar w:fldCharType="separate"/>
      </w:r>
      <w:r w:rsidRPr="00A259BD">
        <w:rPr>
          <w:color w:val="000000" w:themeColor="text1"/>
          <w:sz w:val="16"/>
          <w:szCs w:val="16"/>
        </w:rPr>
        <w:t>Павлуновского</w:t>
      </w:r>
      <w:proofErr w:type="spellEnd"/>
      <w:r w:rsidR="00000000">
        <w:rPr>
          <w:color w:val="000000" w:themeColor="text1"/>
          <w:sz w:val="16"/>
          <w:szCs w:val="16"/>
        </w:rPr>
        <w:fldChar w:fldCharType="end"/>
      </w:r>
      <w:r w:rsidRPr="00A259BD">
        <w:rPr>
          <w:color w:val="000000" w:themeColor="text1"/>
          <w:sz w:val="16"/>
          <w:szCs w:val="16"/>
        </w:rPr>
        <w:t xml:space="preserve"> (председателя) и членов т. </w:t>
      </w:r>
      <w:proofErr w:type="spellStart"/>
      <w:r w:rsidR="00000000">
        <w:fldChar w:fldCharType="begin"/>
      </w:r>
      <w:r w:rsidR="00000000">
        <w:instrText>HYPERLINK "http://az-libr.ru/index.shtml?Persons&amp;000/Src/0004/9d9fd6c2"</w:instrText>
      </w:r>
      <w:r w:rsidR="00000000">
        <w:fldChar w:fldCharType="separate"/>
      </w:r>
      <w:r w:rsidRPr="00A259BD">
        <w:rPr>
          <w:color w:val="000000" w:themeColor="text1"/>
          <w:sz w:val="16"/>
          <w:szCs w:val="16"/>
        </w:rPr>
        <w:t>Урываева,</w:t>
      </w:r>
      <w:r w:rsidR="00000000">
        <w:rPr>
          <w:color w:val="000000" w:themeColor="text1"/>
          <w:sz w:val="16"/>
          <w:szCs w:val="16"/>
        </w:rPr>
        <w:fldChar w:fldCharType="end"/>
      </w:r>
      <w:hyperlink r:id="rId87" w:history="1">
        <w:r w:rsidRPr="00A259BD">
          <w:rPr>
            <w:color w:val="000000" w:themeColor="text1"/>
            <w:sz w:val="16"/>
            <w:szCs w:val="16"/>
          </w:rPr>
          <w:t>Молочникова</w:t>
        </w:r>
        <w:proofErr w:type="spellEnd"/>
      </w:hyperlink>
      <w:r w:rsidRPr="00A259BD">
        <w:rPr>
          <w:color w:val="000000" w:themeColor="text1"/>
          <w:sz w:val="16"/>
          <w:szCs w:val="16"/>
        </w:rPr>
        <w:t xml:space="preserve"> и </w:t>
      </w:r>
      <w:hyperlink r:id="rId88" w:history="1">
        <w:proofErr w:type="spellStart"/>
        <w:r w:rsidRPr="00A259BD">
          <w:rPr>
            <w:color w:val="000000" w:themeColor="text1"/>
            <w:sz w:val="16"/>
            <w:szCs w:val="16"/>
          </w:rPr>
          <w:t>Булина</w:t>
        </w:r>
        <w:proofErr w:type="spellEnd"/>
      </w:hyperlink>
      <w:r w:rsidRPr="00A259BD">
        <w:rPr>
          <w:color w:val="000000" w:themeColor="text1"/>
          <w:sz w:val="16"/>
          <w:szCs w:val="16"/>
        </w:rPr>
        <w:t xml:space="preserve"> и по одному представителю от ЦК металлистов и химиков в кратчайший срок произвести чистку всего личного состава военной промышленности до заводов включительно.</w:t>
      </w:r>
    </w:p>
    <w:p w14:paraId="52106F68"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3. Признать необходимым обновить руководящий состав военной промышленности, начиная с коллегии ВПУ и кончая заводами. Оргбюро в двухнедельный срок осуществить это мероприятие.</w:t>
      </w:r>
    </w:p>
    <w:p w14:paraId="5B8EC05F"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4. Оргбюро в месячный срок мобилизовать для военной промышленности не менее 100 чел., преимущественно членов партии, опытных производственников и молодых инженеров.</w:t>
      </w:r>
    </w:p>
    <w:p w14:paraId="0E76E351"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5. Принимая во внимание, что военная промышленность представляет из себя по преимуществу высококвалифицированное производство и в то же время имеет ничтожные технические кадры, в особенности после ликвидации вредительской организации, старых специалистов, ВСНХ надлежит рядом срочных и конкретных мероприятий немедленно разрешить вопрос об усилении технических кадров военной промышленности (путем переподготовки, устройства краткосрочных курсов и т. д.) и одновременно разработать план систематической подготовки для нее технического персонала.</w:t>
      </w:r>
    </w:p>
    <w:p w14:paraId="01FB55FF"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6. ВСНХ разработать план (и приступить к его немедленному осуществлению) ликвидации последствий вредительства в военной промышленности. Особое внимание обратить на капитальное строительство, электро-, паросиловое хозяйство, лекальное и инструментальное дело, арсенальную проблему, изучение и совершенствование (рационализация) и технологических процессов, устранение диспропорций между производствами и цехами и т. п. В этом плане исходить из необходимости уже в 1929/30 г. добиться устранения указанных последствий вредительства и создания здоровой производственной обстановки на заводах и в трестах.</w:t>
      </w:r>
    </w:p>
    <w:p w14:paraId="221EDAA0"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При разработке программы ликвидации последствий вредительства использовать все имеющиеся материалы, конкретно изучать каждый объект вредительства в отдельности и широко привлечь к этой работе все предприятия, которые были охвачены вредительством.</w:t>
      </w:r>
    </w:p>
    <w:p w14:paraId="14B5EE71"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7. Успешное разрешение громадной проблемы технического оснащения Красной армии и, в частности, своевременное осуществление одобренных Политбюро мероприятий по артиллерийскому, танковому, авиационному, химическому перевооружению по пятилетнему плану, возможно только при условии 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заграничной технической помощи. Исходя из этого, ВСНХ немедленно усилить существующие конструкторские и технические бюро на заводах опытными специалистами, организовать их там, где они отсутствуют, и привлечь техническую помощь из-за границы. Особенное внимание должно быть обращено на артиллерийское, танковое, авиационное и химическое дело.</w:t>
      </w:r>
    </w:p>
    <w:p w14:paraId="22892604"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8. Вторым условием успешного осуществления плана технического перевооружения Красной армии является быстрое изготовление опытных образцов нового оружия и организации массового их производства.</w:t>
      </w:r>
    </w:p>
    <w:p w14:paraId="02842D71"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Поэтому ВСНХ, совместно с НКВМ, добиться во что бы то ни стало самых минимальных сроков в изготовлении опытных образцов, испытании и проверке их и внедрения в массовое производство.</w:t>
      </w:r>
    </w:p>
    <w:p w14:paraId="23CFEE31"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Считая эту задачу одной из самых важнейших. Политбюро категорически требует ее полного разрешения.</w:t>
      </w:r>
    </w:p>
    <w:p w14:paraId="7AF192BC"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 xml:space="preserve">9. Отмечая недостаточную загрузку военных заводов военными заказами, ВСНХ, в целях сокращения сроков </w:t>
      </w:r>
      <w:proofErr w:type="spellStart"/>
      <w:r w:rsidRPr="00A259BD">
        <w:rPr>
          <w:color w:val="000000" w:themeColor="text1"/>
          <w:sz w:val="16"/>
          <w:szCs w:val="16"/>
        </w:rPr>
        <w:t>мобразвертывания</w:t>
      </w:r>
      <w:proofErr w:type="spellEnd"/>
      <w:r w:rsidRPr="00A259BD">
        <w:rPr>
          <w:color w:val="000000" w:themeColor="text1"/>
          <w:sz w:val="16"/>
          <w:szCs w:val="16"/>
        </w:rPr>
        <w:t xml:space="preserve"> военных заводов и максимального использования основного капитала военной промышленности, с 1929/30 г. поднять темп загрузки военных заводов мирной продукцией до максимальных пределов. В двухмесячный срок РЗ СТО рассмотреть план загрузки мирными производствами на 1929/30 г.</w:t>
      </w:r>
    </w:p>
    <w:p w14:paraId="20972B56"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10. ВСНХ принять меры по оздоровлению оборотных средств военной промышленности. РЗ СТО срочно рассмотреть вопрос о смягчении финансового напряжения в военной промышленности и о порядке покрытия кассового прорыва в Орудийно-арсенальном и Авиационном трестах, а также наметить мероприятия, исключающие повторение подобных явлений.</w:t>
      </w:r>
    </w:p>
    <w:p w14:paraId="62665197"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 xml:space="preserve">11. РЗ СТО рассмотреть вопрос о ценах на поставляемую </w:t>
      </w:r>
      <w:proofErr w:type="spellStart"/>
      <w:r w:rsidRPr="00A259BD">
        <w:rPr>
          <w:color w:val="000000" w:themeColor="text1"/>
          <w:sz w:val="16"/>
          <w:szCs w:val="16"/>
        </w:rPr>
        <w:t>военведу</w:t>
      </w:r>
      <w:proofErr w:type="spellEnd"/>
      <w:r w:rsidRPr="00A259BD">
        <w:rPr>
          <w:color w:val="000000" w:themeColor="text1"/>
          <w:sz w:val="16"/>
          <w:szCs w:val="16"/>
        </w:rPr>
        <w:t xml:space="preserve"> продукцию под углом необходимого их снижения, установив одновременно твердые расчетные цены по всем предметам вооружения, допуская ориентировочные цены как исключение для вновь устанавливаемых производств и то только для первого периода.</w:t>
      </w:r>
    </w:p>
    <w:p w14:paraId="0A54F569"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12. Поручить Наркомвоенмору, ОГПУ и ВСНХ пересмотреть существующий порядок секретности на военных заводах с тем, чтобы было обеспечено максимальное участие рабочих в контроле над производством и в то же время сохранена военная тайна.</w:t>
      </w:r>
    </w:p>
    <w:p w14:paraId="785771AB"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13. Предложить ВСНХ и НКВМ в месячный срок уточнить взаимоотношения в части: а) передачи опытных заказов, времени их изготовления в кратчайшие сроки и быстрого проведения их через испытание; б) исполнение заказов мирного времени и своевременного снабжения промышленности техническими условиями и чертежами.</w:t>
      </w:r>
    </w:p>
    <w:p w14:paraId="4DB0939F"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За выполнением всех вышеуказанных мероприятий РЗ СТО установить строгое наблюдение.</w:t>
      </w:r>
    </w:p>
    <w:p w14:paraId="0A1C2730" w14:textId="77777777" w:rsidR="00F8794A" w:rsidRPr="00A259BD" w:rsidRDefault="00F8794A" w:rsidP="009236E3">
      <w:pPr>
        <w:pStyle w:val="rtejustify"/>
        <w:spacing w:before="0" w:after="0"/>
        <w:rPr>
          <w:color w:val="000000" w:themeColor="text1"/>
          <w:sz w:val="16"/>
          <w:szCs w:val="16"/>
        </w:rPr>
      </w:pPr>
      <w:r w:rsidRPr="00A259BD">
        <w:rPr>
          <w:color w:val="000000" w:themeColor="text1"/>
          <w:sz w:val="16"/>
          <w:szCs w:val="16"/>
        </w:rPr>
        <w:t>Помета: «Настоящее постановление размножено в 5 экз. и рассылается: 1</w:t>
      </w:r>
      <w:r w:rsidRPr="00A259BD">
        <w:rPr>
          <w:color w:val="000000" w:themeColor="text1"/>
          <w:sz w:val="16"/>
          <w:szCs w:val="16"/>
        </w:rPr>
        <w:noBreakHyphen/>
        <w:t>й экз. для ЦК ВКП(б), 2</w:t>
      </w:r>
      <w:r w:rsidRPr="00A259BD">
        <w:rPr>
          <w:color w:val="000000" w:themeColor="text1"/>
          <w:sz w:val="16"/>
          <w:szCs w:val="16"/>
        </w:rPr>
        <w:noBreakHyphen/>
        <w:t>й экз. РЗ СТО — т. Рудзутаку, 3</w:t>
      </w:r>
      <w:r w:rsidRPr="00A259BD">
        <w:rPr>
          <w:color w:val="000000" w:themeColor="text1"/>
          <w:sz w:val="16"/>
          <w:szCs w:val="16"/>
        </w:rPr>
        <w:noBreakHyphen/>
        <w:t>й экз. НК РКИ СССР — т. Яковлеву, 4-й экз. ВСНХ СССР — т. </w:t>
      </w:r>
      <w:proofErr w:type="spellStart"/>
      <w:r w:rsidRPr="00A259BD">
        <w:rPr>
          <w:color w:val="000000" w:themeColor="text1"/>
          <w:sz w:val="16"/>
          <w:szCs w:val="16"/>
        </w:rPr>
        <w:t>Рухимовичу</w:t>
      </w:r>
      <w:proofErr w:type="spellEnd"/>
      <w:r w:rsidRPr="00A259BD">
        <w:rPr>
          <w:color w:val="000000" w:themeColor="text1"/>
          <w:sz w:val="16"/>
          <w:szCs w:val="16"/>
        </w:rPr>
        <w:t>, 5</w:t>
      </w:r>
      <w:r w:rsidRPr="00A259BD">
        <w:rPr>
          <w:color w:val="000000" w:themeColor="text1"/>
          <w:sz w:val="16"/>
          <w:szCs w:val="16"/>
        </w:rPr>
        <w:noBreakHyphen/>
        <w:t>й экз. РВС  СССР — т. Ворошилову. Ввиду его особой секретности оно должно храниться на правах шифра. И. Сталин».</w:t>
      </w:r>
    </w:p>
    <w:p w14:paraId="7518098B" w14:textId="77777777" w:rsidR="00F8794A" w:rsidRPr="00A259BD" w:rsidRDefault="00F8794A"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r w:rsidRPr="00A259BD">
        <w:rPr>
          <w:color w:val="000000" w:themeColor="text1"/>
          <w:sz w:val="16"/>
          <w:szCs w:val="16"/>
        </w:rPr>
        <w:t>:</w:t>
      </w:r>
    </w:p>
    <w:p w14:paraId="363300AC" w14:textId="77777777" w:rsidR="00F8794A" w:rsidRPr="00A259BD" w:rsidRDefault="00F8794A" w:rsidP="009236E3">
      <w:pPr>
        <w:pStyle w:val="ae"/>
        <w:spacing w:before="0" w:after="0"/>
        <w:jc w:val="both"/>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Дата утверждения Политбюро ЦК ВКП(б).</w:t>
      </w:r>
    </w:p>
    <w:p w14:paraId="5DADA4F8" w14:textId="77777777" w:rsidR="00F8794A" w:rsidRPr="00A259BD" w:rsidRDefault="00F8794A" w:rsidP="009236E3">
      <w:pPr>
        <w:pStyle w:val="ae"/>
        <w:spacing w:before="0" w:after="0"/>
        <w:jc w:val="both"/>
        <w:rPr>
          <w:color w:val="000000" w:themeColor="text1"/>
          <w:sz w:val="16"/>
          <w:szCs w:val="16"/>
        </w:rPr>
      </w:pPr>
      <w:r w:rsidRPr="00A259BD">
        <w:rPr>
          <w:color w:val="000000" w:themeColor="text1"/>
          <w:sz w:val="16"/>
          <w:szCs w:val="16"/>
        </w:rPr>
        <w:t>РГАСПИ. Ф. 17. Оп. 162. Д. 7. Л. 113—121. Заверенная копия.</w:t>
      </w:r>
    </w:p>
    <w:p w14:paraId="699E99CE" w14:textId="77777777" w:rsidR="00F8794A" w:rsidRPr="00A259BD" w:rsidRDefault="00F879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РГАСПИ. Ф. 17. Оп. 162. Д. 7. Л. 113—121. Заверенная копия. </w:t>
      </w:r>
    </w:p>
    <w:p w14:paraId="047F5A44" w14:textId="77777777" w:rsidR="00F8794A" w:rsidRPr="00A259BD" w:rsidRDefault="00F879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331-337 (12457).</w:t>
      </w:r>
    </w:p>
    <w:p w14:paraId="24B6A1CB" w14:textId="77777777" w:rsidR="00F8794A" w:rsidRPr="00A259BD" w:rsidRDefault="00F8794A" w:rsidP="009236E3">
      <w:pPr>
        <w:spacing w:after="0" w:line="240" w:lineRule="auto"/>
        <w:jc w:val="both"/>
        <w:rPr>
          <w:rFonts w:ascii="Times New Roman" w:hAnsi="Times New Roman"/>
          <w:color w:val="000000" w:themeColor="text1"/>
          <w:sz w:val="16"/>
          <w:szCs w:val="16"/>
        </w:rPr>
      </w:pPr>
    </w:p>
    <w:p w14:paraId="0D69C0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июля 1929 года Политбюро ЦК ВКП(б) обсуждает обвинительное заключение ОГПУ по делу о военной промышленности и принимает решение разослать его членам ЦК и ЦИК, а также хозяйственникам, в том числе директорам заводов, в особенности работающих в военной промышленности. Политбюро заранее предрешило расстрел руководителей контрреволюционной организации вредителей в военной промышленности, однако сам расстрел был отложен до своего нового решения Политбюро о времени расстрела. </w:t>
      </w:r>
    </w:p>
    <w:p w14:paraId="2D048A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ОГПУ было предложено представить список лиц, подлежащих расстрелу (11248).</w:t>
      </w:r>
    </w:p>
    <w:p w14:paraId="2230A9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ОГПУ предоставляет такой список, и 21 октября 1929 года Политбюро соглашаясь с предложением ОГПУ о расстреле Михайлова и др. и принимает проект сообщения для печати. В котором говорилось, что органами ОГПУ раскрыта и ликвидирована контрреволюционная вредительская и шпионская организация в военной промышленности СССР, которая ставила перед собой задачу путем вредительства и шпионажа ослабление обороноспособности страны, содействие иностранным интервентам. </w:t>
      </w:r>
    </w:p>
    <w:p w14:paraId="3FF3D2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Личный состав ее состоял в подавляющем большинстве из бывших высших чинов царской армии - бывших генералов и полковников. </w:t>
      </w:r>
    </w:p>
    <w:p w14:paraId="07DD48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связи с этим Коллегией ОГПУ приговорены к расстрелу: </w:t>
      </w:r>
    </w:p>
    <w:p w14:paraId="4F236A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Михайлов В.С. - бывший генерал, дворянин; </w:t>
      </w:r>
    </w:p>
    <w:p w14:paraId="1CC064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Высочанский</w:t>
      </w:r>
      <w:proofErr w:type="spellEnd"/>
      <w:r w:rsidRPr="00A259BD">
        <w:rPr>
          <w:rFonts w:ascii="Times New Roman" w:hAnsi="Times New Roman"/>
          <w:color w:val="000000" w:themeColor="text1"/>
          <w:sz w:val="16"/>
          <w:szCs w:val="16"/>
        </w:rPr>
        <w:t xml:space="preserve"> Н.Г. - бывший генерал, дворянин; </w:t>
      </w:r>
    </w:p>
    <w:p w14:paraId="1BD32A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Дымман</w:t>
      </w:r>
      <w:proofErr w:type="spellEnd"/>
      <w:r w:rsidRPr="00A259BD">
        <w:rPr>
          <w:rFonts w:ascii="Times New Roman" w:hAnsi="Times New Roman"/>
          <w:color w:val="000000" w:themeColor="text1"/>
          <w:sz w:val="16"/>
          <w:szCs w:val="16"/>
        </w:rPr>
        <w:t xml:space="preserve"> В.О. - бывший генерал, дворянин; </w:t>
      </w:r>
    </w:p>
    <w:p w14:paraId="0EFFC6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Дежанов</w:t>
      </w:r>
      <w:proofErr w:type="spellEnd"/>
      <w:r w:rsidRPr="00A259BD">
        <w:rPr>
          <w:rFonts w:ascii="Times New Roman" w:hAnsi="Times New Roman"/>
          <w:color w:val="000000" w:themeColor="text1"/>
          <w:sz w:val="16"/>
          <w:szCs w:val="16"/>
        </w:rPr>
        <w:t xml:space="preserve"> В.Н. - бывший генерал, дворянин; </w:t>
      </w:r>
    </w:p>
    <w:p w14:paraId="057B71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Шульга Н.В. - бывш. генерал порученец при бывшем великом князе Сергее Михайловиче</w:t>
      </w:r>
    </w:p>
    <w:p w14:paraId="6BC40E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Приговор приведен в исполнение. </w:t>
      </w:r>
    </w:p>
    <w:p w14:paraId="5B60AD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 остальные по указанному делу были приговорены на разные сроки заключения в концентрационные лагеря (11248).</w:t>
      </w:r>
    </w:p>
    <w:p w14:paraId="26ED5A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B2C749" w14:textId="77777777" w:rsidR="00FC4BF2" w:rsidRPr="00A259BD" w:rsidRDefault="00FC4B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июля 1929 г. было принято постановление Политбюро ЦК ВКП(б) «О состоянии обороны СССР», в развитие которого решением РВС СССР было предусмотрено производство колёсно-гусеничной танкетки, малого и среднего танков. В отношении большого (тяжёлого) танка ограничились пока теоретической проработкой. Поскольку новые танки ещё не были спроектированы, то одним из решений было повысить тактические характеристики Т-18, в частности увеличить скорость до 25 км/час. В процессе проектирования конструктора столкнулись с многими трудностями. Поступало немало жалоб и доносов на конструкторов, а также пожеланий, порой нелепых, от руководства РККА. Например, один из «патриотов» видел в применении в передачах косозубых шестерён вместо прямозубых явное вредительство, один из командиров требовал оборудования ганка коленчатыми лапами с шипами для </w:t>
      </w:r>
      <w:proofErr w:type="spellStart"/>
      <w:r w:rsidRPr="00A259BD">
        <w:rPr>
          <w:rFonts w:ascii="Times New Roman" w:hAnsi="Times New Roman"/>
          <w:color w:val="000000" w:themeColor="text1"/>
          <w:sz w:val="16"/>
          <w:szCs w:val="16"/>
        </w:rPr>
        <w:t>перелезания</w:t>
      </w:r>
      <w:proofErr w:type="spellEnd"/>
      <w:r w:rsidRPr="00A259BD">
        <w:rPr>
          <w:rFonts w:ascii="Times New Roman" w:hAnsi="Times New Roman"/>
          <w:color w:val="000000" w:themeColor="text1"/>
          <w:sz w:val="16"/>
          <w:szCs w:val="16"/>
        </w:rPr>
        <w:t xml:space="preserve"> через стенки (15132).</w:t>
      </w:r>
    </w:p>
    <w:p w14:paraId="3794247F" w14:textId="77777777" w:rsidR="00FC4BF2" w:rsidRPr="00A259BD" w:rsidRDefault="00FC4BF2" w:rsidP="009236E3">
      <w:pPr>
        <w:spacing w:after="0" w:line="240" w:lineRule="auto"/>
        <w:jc w:val="both"/>
        <w:rPr>
          <w:rFonts w:ascii="Times New Roman" w:hAnsi="Times New Roman"/>
          <w:color w:val="000000" w:themeColor="text1"/>
          <w:sz w:val="16"/>
          <w:szCs w:val="16"/>
        </w:rPr>
      </w:pPr>
    </w:p>
    <w:p w14:paraId="408808E2" w14:textId="77777777" w:rsidR="00E8344F" w:rsidRPr="006B74EB" w:rsidRDefault="00E8344F" w:rsidP="00E8344F">
      <w:pPr>
        <w:spacing w:after="0" w:line="240" w:lineRule="auto"/>
        <w:jc w:val="both"/>
        <w:rPr>
          <w:rFonts w:ascii="Times New Roman" w:hAnsi="Times New Roman"/>
          <w:color w:val="0070C0"/>
          <w:sz w:val="16"/>
          <w:szCs w:val="16"/>
        </w:rPr>
      </w:pPr>
      <w:r>
        <w:rPr>
          <w:rFonts w:ascii="Times New Roman" w:hAnsi="Times New Roman"/>
          <w:color w:val="0070C0"/>
          <w:sz w:val="16"/>
          <w:szCs w:val="16"/>
        </w:rPr>
        <w:t>15</w:t>
      </w:r>
      <w:r w:rsidRPr="006B74EB">
        <w:rPr>
          <w:rFonts w:ascii="Times New Roman" w:hAnsi="Times New Roman"/>
          <w:color w:val="0070C0"/>
          <w:sz w:val="16"/>
          <w:szCs w:val="16"/>
        </w:rPr>
        <w:t xml:space="preserve"> июля</w:t>
      </w:r>
      <w:r>
        <w:rPr>
          <w:rFonts w:ascii="Times New Roman" w:hAnsi="Times New Roman"/>
          <w:color w:val="0070C0"/>
          <w:sz w:val="16"/>
          <w:szCs w:val="16"/>
        </w:rPr>
        <w:t xml:space="preserve"> 1929 г. </w:t>
      </w:r>
      <w:r w:rsidRPr="006B74EB">
        <w:rPr>
          <w:rFonts w:ascii="Times New Roman" w:hAnsi="Times New Roman"/>
          <w:color w:val="0070C0"/>
          <w:sz w:val="16"/>
          <w:szCs w:val="16"/>
        </w:rPr>
        <w:t>ЦК ВКП/б/ в своем постановлении "</w:t>
      </w:r>
      <w:r>
        <w:rPr>
          <w:rFonts w:ascii="Times New Roman" w:hAnsi="Times New Roman"/>
          <w:color w:val="0070C0"/>
          <w:sz w:val="16"/>
          <w:szCs w:val="16"/>
        </w:rPr>
        <w:t>О</w:t>
      </w:r>
      <w:r w:rsidRPr="006B74EB">
        <w:rPr>
          <w:rFonts w:ascii="Times New Roman" w:hAnsi="Times New Roman"/>
          <w:color w:val="0070C0"/>
          <w:sz w:val="16"/>
          <w:szCs w:val="16"/>
        </w:rPr>
        <w:t xml:space="preserve"> состоянии оборон</w:t>
      </w:r>
      <w:r>
        <w:rPr>
          <w:rFonts w:ascii="Times New Roman" w:hAnsi="Times New Roman"/>
          <w:color w:val="0070C0"/>
          <w:sz w:val="16"/>
          <w:szCs w:val="16"/>
        </w:rPr>
        <w:t>ы</w:t>
      </w:r>
      <w:r w:rsidRPr="006B74EB">
        <w:rPr>
          <w:rFonts w:ascii="Times New Roman" w:hAnsi="Times New Roman"/>
          <w:color w:val="0070C0"/>
          <w:sz w:val="16"/>
          <w:szCs w:val="16"/>
        </w:rPr>
        <w:t>"</w:t>
      </w:r>
      <w:r>
        <w:rPr>
          <w:rFonts w:ascii="Times New Roman" w:hAnsi="Times New Roman"/>
          <w:color w:val="0070C0"/>
          <w:sz w:val="16"/>
          <w:szCs w:val="16"/>
        </w:rPr>
        <w:t xml:space="preserve"> </w:t>
      </w:r>
      <w:proofErr w:type="spellStart"/>
      <w:r w:rsidRPr="006B74EB">
        <w:rPr>
          <w:rFonts w:ascii="Times New Roman" w:hAnsi="Times New Roman"/>
          <w:color w:val="0070C0"/>
          <w:sz w:val="16"/>
          <w:szCs w:val="16"/>
        </w:rPr>
        <w:t>етмет</w:t>
      </w:r>
      <w:r>
        <w:rPr>
          <w:rFonts w:ascii="Times New Roman" w:hAnsi="Times New Roman"/>
          <w:color w:val="0070C0"/>
          <w:sz w:val="16"/>
          <w:szCs w:val="16"/>
        </w:rPr>
        <w:t>и</w:t>
      </w:r>
      <w:r w:rsidRPr="006B74EB">
        <w:rPr>
          <w:rFonts w:ascii="Times New Roman" w:hAnsi="Times New Roman"/>
          <w:color w:val="0070C0"/>
          <w:sz w:val="16"/>
          <w:szCs w:val="16"/>
        </w:rPr>
        <w:t>л</w:t>
      </w:r>
      <w:proofErr w:type="spellEnd"/>
      <w:r w:rsidRPr="006B74EB">
        <w:rPr>
          <w:rFonts w:ascii="Times New Roman" w:hAnsi="Times New Roman"/>
          <w:color w:val="0070C0"/>
          <w:sz w:val="16"/>
          <w:szCs w:val="16"/>
        </w:rPr>
        <w:t xml:space="preserve">: "Одним из важнейших результатов </w:t>
      </w:r>
      <w:r>
        <w:rPr>
          <w:rFonts w:ascii="Times New Roman" w:hAnsi="Times New Roman"/>
          <w:color w:val="0070C0"/>
          <w:sz w:val="16"/>
          <w:szCs w:val="16"/>
        </w:rPr>
        <w:t>ис</w:t>
      </w:r>
      <w:r w:rsidRPr="006B74EB">
        <w:rPr>
          <w:rFonts w:ascii="Times New Roman" w:hAnsi="Times New Roman"/>
          <w:color w:val="0070C0"/>
          <w:sz w:val="16"/>
          <w:szCs w:val="16"/>
        </w:rPr>
        <w:t>тека</w:t>
      </w:r>
      <w:r>
        <w:rPr>
          <w:rFonts w:ascii="Times New Roman" w:hAnsi="Times New Roman"/>
          <w:color w:val="0070C0"/>
          <w:sz w:val="16"/>
          <w:szCs w:val="16"/>
        </w:rPr>
        <w:t>ющ</w:t>
      </w:r>
      <w:r w:rsidRPr="006B74EB">
        <w:rPr>
          <w:rFonts w:ascii="Times New Roman" w:hAnsi="Times New Roman"/>
          <w:color w:val="0070C0"/>
          <w:sz w:val="16"/>
          <w:szCs w:val="16"/>
        </w:rPr>
        <w:t>его; пятилетия</w:t>
      </w:r>
      <w:r>
        <w:rPr>
          <w:rFonts w:ascii="Times New Roman" w:hAnsi="Times New Roman"/>
          <w:color w:val="0070C0"/>
          <w:sz w:val="16"/>
          <w:szCs w:val="16"/>
        </w:rPr>
        <w:t xml:space="preserve"> следует</w:t>
      </w:r>
      <w:r w:rsidRPr="006B74EB">
        <w:rPr>
          <w:rFonts w:ascii="Times New Roman" w:hAnsi="Times New Roman"/>
          <w:color w:val="0070C0"/>
          <w:sz w:val="16"/>
          <w:szCs w:val="16"/>
        </w:rPr>
        <w:t xml:space="preserve"> признать создание Красного воздушного флота.</w:t>
      </w:r>
      <w:r>
        <w:rPr>
          <w:rFonts w:ascii="Times New Roman" w:hAnsi="Times New Roman"/>
          <w:color w:val="0070C0"/>
          <w:sz w:val="16"/>
          <w:szCs w:val="16"/>
        </w:rPr>
        <w:t xml:space="preserve"> С</w:t>
      </w:r>
      <w:r w:rsidRPr="006B74EB">
        <w:rPr>
          <w:rFonts w:ascii="Times New Roman" w:hAnsi="Times New Roman"/>
          <w:color w:val="0070C0"/>
          <w:sz w:val="16"/>
          <w:szCs w:val="16"/>
        </w:rPr>
        <w:t>читать,</w:t>
      </w:r>
      <w:r>
        <w:rPr>
          <w:rFonts w:ascii="Times New Roman" w:hAnsi="Times New Roman"/>
          <w:color w:val="0070C0"/>
          <w:sz w:val="16"/>
          <w:szCs w:val="16"/>
        </w:rPr>
        <w:t xml:space="preserve"> </w:t>
      </w:r>
      <w:r w:rsidRPr="006B74EB">
        <w:rPr>
          <w:rFonts w:ascii="Times New Roman" w:hAnsi="Times New Roman"/>
          <w:color w:val="0070C0"/>
          <w:sz w:val="16"/>
          <w:szCs w:val="16"/>
        </w:rPr>
        <w:t>что</w:t>
      </w:r>
      <w:r>
        <w:rPr>
          <w:rFonts w:ascii="Times New Roman" w:hAnsi="Times New Roman"/>
          <w:color w:val="0070C0"/>
          <w:sz w:val="16"/>
          <w:szCs w:val="16"/>
        </w:rPr>
        <w:t xml:space="preserve"> важнейшей</w:t>
      </w:r>
      <w:r w:rsidRPr="006B74EB">
        <w:rPr>
          <w:rFonts w:ascii="Times New Roman" w:hAnsi="Times New Roman"/>
          <w:color w:val="0070C0"/>
          <w:sz w:val="16"/>
          <w:szCs w:val="16"/>
        </w:rPr>
        <w:t xml:space="preserve"> задачей на ближайшее время в строительстве красной ар</w:t>
      </w:r>
      <w:r>
        <w:rPr>
          <w:rFonts w:ascii="Times New Roman" w:hAnsi="Times New Roman"/>
          <w:color w:val="0070C0"/>
          <w:sz w:val="16"/>
          <w:szCs w:val="16"/>
        </w:rPr>
        <w:t>мии</w:t>
      </w:r>
      <w:r w:rsidRPr="006B74EB">
        <w:rPr>
          <w:rFonts w:ascii="Times New Roman" w:hAnsi="Times New Roman"/>
          <w:color w:val="0070C0"/>
          <w:sz w:val="16"/>
          <w:szCs w:val="16"/>
        </w:rPr>
        <w:t xml:space="preserve"> является скорейшее доведение ее качества до уровня передовых</w:t>
      </w:r>
      <w:r>
        <w:rPr>
          <w:rFonts w:ascii="Times New Roman" w:hAnsi="Times New Roman"/>
          <w:color w:val="0070C0"/>
          <w:sz w:val="16"/>
          <w:szCs w:val="16"/>
        </w:rPr>
        <w:t xml:space="preserve"> буржуазных </w:t>
      </w:r>
      <w:r w:rsidRPr="006B74EB">
        <w:rPr>
          <w:rFonts w:ascii="Times New Roman" w:hAnsi="Times New Roman"/>
          <w:color w:val="0070C0"/>
          <w:sz w:val="16"/>
          <w:szCs w:val="16"/>
        </w:rPr>
        <w:t>стран и всеми силами следует насаждать, культивировать</w:t>
      </w:r>
      <w:r>
        <w:rPr>
          <w:rFonts w:ascii="Times New Roman" w:hAnsi="Times New Roman"/>
          <w:color w:val="0070C0"/>
          <w:sz w:val="16"/>
          <w:szCs w:val="16"/>
        </w:rPr>
        <w:t>,</w:t>
      </w:r>
      <w:r w:rsidRPr="006B74EB">
        <w:rPr>
          <w:rFonts w:ascii="Times New Roman" w:hAnsi="Times New Roman"/>
          <w:color w:val="0070C0"/>
          <w:sz w:val="16"/>
          <w:szCs w:val="16"/>
        </w:rPr>
        <w:t xml:space="preserve"> </w:t>
      </w:r>
      <w:r>
        <w:rPr>
          <w:rFonts w:ascii="Times New Roman" w:hAnsi="Times New Roman"/>
          <w:color w:val="0070C0"/>
          <w:sz w:val="16"/>
          <w:szCs w:val="16"/>
        </w:rPr>
        <w:t>раз</w:t>
      </w:r>
      <w:r w:rsidRPr="006B74EB">
        <w:rPr>
          <w:rFonts w:ascii="Times New Roman" w:hAnsi="Times New Roman"/>
          <w:color w:val="0070C0"/>
          <w:sz w:val="16"/>
          <w:szCs w:val="16"/>
        </w:rPr>
        <w:t xml:space="preserve">вивать свои советские научно-конструкторские </w:t>
      </w:r>
      <w:proofErr w:type="spellStart"/>
      <w:r w:rsidRPr="006B74EB">
        <w:rPr>
          <w:rFonts w:ascii="Times New Roman" w:hAnsi="Times New Roman"/>
          <w:color w:val="0070C0"/>
          <w:sz w:val="16"/>
          <w:szCs w:val="16"/>
        </w:rPr>
        <w:t>силн</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особенно </w:t>
      </w:r>
      <w:proofErr w:type="spellStart"/>
      <w:r>
        <w:rPr>
          <w:rFonts w:ascii="Times New Roman" w:hAnsi="Times New Roman"/>
          <w:color w:val="0070C0"/>
          <w:sz w:val="16"/>
          <w:szCs w:val="16"/>
        </w:rPr>
        <w:t>м</w:t>
      </w:r>
      <w:r w:rsidRPr="006B74EB">
        <w:rPr>
          <w:rFonts w:ascii="Times New Roman" w:hAnsi="Times New Roman"/>
          <w:color w:val="0070C0"/>
          <w:sz w:val="16"/>
          <w:szCs w:val="16"/>
        </w:rPr>
        <w:t>o</w:t>
      </w:r>
      <w:r>
        <w:rPr>
          <w:rFonts w:ascii="Times New Roman" w:hAnsi="Times New Roman"/>
          <w:color w:val="0070C0"/>
          <w:sz w:val="16"/>
          <w:szCs w:val="16"/>
        </w:rPr>
        <w:t>тор</w:t>
      </w:r>
      <w:r w:rsidRPr="006B74EB">
        <w:rPr>
          <w:rFonts w:ascii="Times New Roman" w:hAnsi="Times New Roman"/>
          <w:color w:val="0070C0"/>
          <w:sz w:val="16"/>
          <w:szCs w:val="16"/>
        </w:rPr>
        <w:t>остроени</w:t>
      </w:r>
      <w:r>
        <w:rPr>
          <w:rFonts w:ascii="Times New Roman" w:hAnsi="Times New Roman"/>
          <w:color w:val="0070C0"/>
          <w:sz w:val="16"/>
          <w:szCs w:val="16"/>
        </w:rPr>
        <w:t>я</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В этом постановлении выражена очередная забота</w:t>
      </w:r>
      <w:r>
        <w:rPr>
          <w:rFonts w:ascii="Times New Roman" w:hAnsi="Times New Roman"/>
          <w:color w:val="0070C0"/>
          <w:sz w:val="16"/>
          <w:szCs w:val="16"/>
        </w:rPr>
        <w:t xml:space="preserve"> коммунистической</w:t>
      </w:r>
      <w:r w:rsidRPr="006B74EB">
        <w:rPr>
          <w:rFonts w:ascii="Times New Roman" w:hAnsi="Times New Roman"/>
          <w:color w:val="0070C0"/>
          <w:sz w:val="16"/>
          <w:szCs w:val="16"/>
        </w:rPr>
        <w:t xml:space="preserve"> партии о развитии советской авиации.</w:t>
      </w:r>
    </w:p>
    <w:p w14:paraId="3DC98CFC" w14:textId="77777777" w:rsidR="00E8344F" w:rsidRDefault="00E8344F" w:rsidP="00E8344F">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/’К</w:t>
      </w:r>
      <w:r>
        <w:rPr>
          <w:rFonts w:ascii="Times New Roman" w:hAnsi="Times New Roman"/>
          <w:color w:val="0070C0"/>
          <w:sz w:val="16"/>
          <w:szCs w:val="16"/>
        </w:rPr>
        <w:t>ПСС</w:t>
      </w:r>
      <w:r w:rsidRPr="006B74EB">
        <w:rPr>
          <w:rFonts w:ascii="Times New Roman" w:hAnsi="Times New Roman"/>
          <w:color w:val="0070C0"/>
          <w:sz w:val="16"/>
          <w:szCs w:val="16"/>
        </w:rPr>
        <w:t xml:space="preserve"> о вооруженных силах Советского Союза", 1958,</w:t>
      </w:r>
      <w:r>
        <w:rPr>
          <w:rFonts w:ascii="Times New Roman" w:hAnsi="Times New Roman"/>
          <w:color w:val="0070C0"/>
          <w:sz w:val="16"/>
          <w:szCs w:val="16"/>
        </w:rPr>
        <w:t xml:space="preserve"> </w:t>
      </w:r>
      <w:r w:rsidRPr="006B74EB">
        <w:rPr>
          <w:rFonts w:ascii="Times New Roman" w:hAnsi="Times New Roman"/>
          <w:color w:val="0070C0"/>
          <w:sz w:val="16"/>
          <w:szCs w:val="16"/>
        </w:rPr>
        <w:t>стр.320/</w:t>
      </w:r>
      <w:r>
        <w:rPr>
          <w:rFonts w:ascii="Times New Roman" w:hAnsi="Times New Roman"/>
          <w:color w:val="0070C0"/>
          <w:sz w:val="16"/>
          <w:szCs w:val="16"/>
        </w:rPr>
        <w:t xml:space="preserve"> (23370).</w:t>
      </w:r>
    </w:p>
    <w:p w14:paraId="783272F0" w14:textId="77777777" w:rsidR="00E8344F" w:rsidRPr="006B74EB" w:rsidRDefault="00E8344F" w:rsidP="00E8344F">
      <w:pPr>
        <w:spacing w:after="0" w:line="240" w:lineRule="auto"/>
        <w:jc w:val="both"/>
        <w:rPr>
          <w:rFonts w:ascii="Times New Roman" w:hAnsi="Times New Roman"/>
          <w:color w:val="0070C0"/>
          <w:sz w:val="16"/>
          <w:szCs w:val="16"/>
        </w:rPr>
      </w:pPr>
    </w:p>
    <w:p w14:paraId="4948E2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июля 1929 года Политбюро принимает постановление о контрреволюционной организации в нефтяной промышленности с рассылкой обвинительного заключения и об расстреле виновных с отложением до постановления ЦК о моменте расстрела (11248).</w:t>
      </w:r>
    </w:p>
    <w:p w14:paraId="0C14AB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013394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4C88038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8FCED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июля 1929 г. ЦК ВКП(б) принял постановление «О состоянии обороны страны», в котором была дана развернутая программа военного строительства, изложена линия на коренную техническую реконструкцию армии, авиации и флота. НКВМ СССР было поручено наряду с существовавшим вооружением добиться получения новых опытных образцов и на их основе вооружить армию современными типами артиллерии, средствами химзащиты, танками, бронемашинами, наладить серийный выпуск самолетов и авиамоторов. Это постановление легло в основу первого 5-летнего плана военного строительства, предусматривавшего также создание новых технических войск, моторизацию РККА, массовую подготовку технических кадров (Советские Вооруженные Силы. История строительства. М., 1978, с. 182,185; КПСС —организатор защиты социалистического Отечества. М., 1977. С. 163-164.). Для выполнения этих планов в июле 1929 г. была учреждена должность начальника вооружений РККА, на которого возлагалось руководство всеми вопросами перевооружения армии. Этот пост в 1929 — 1931 гг. занимал Уборевич, в 1931 — 1932 гг. — Тухачевский. В ноябре 1929 г. было создано уже упоминавшееся Управление механизации и моторизации (УММ) РККА. Организация УММ была чрезвычайно важна, поскольку до 1929 г. в СССР не было танкового производства и необходимых кадров конструкторов-танкостроителей. Становлению этого направления способствовали энтузиасты танкового дела И. А.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и К. Б. Калиновский.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возглавлял УММ вплоть до 1934 г. Специальным постановлением РВС СССР было предусмотрено создание различных типов танков: танкетка, средний, большой (тяжелый) и мостовой танки, а также их тактико-технические характеристики. 23 января 1930 к РВС утвердил программу создания различных видов самолетов (в том числе гидросамолетов), аэростатов, аэрофотоаппаратов и приборов на первую 5-летку, причем главное внимание было уделено бомбардировочной и истребительной авиации (Советские Вооруженные Силы. История строительства. М., 1978, с. 182,185; КПСС —организатор защиты социалистического Отечества. М., 1977. С. 163-164.). Особое внимание было уделено увеличению численности инженерно-технических кадров старшего звена. Для этого на базе военной академии им. Фрунзе был создан ряд специализированных военных академий (Военно-техническая, Артиллерийская, Военно-химическая, Военно-инженерная и др. ). Это позволило увеличить число слушателей с 3200 в 1928 г. до 16,5 тыс. в 1932 г. В январе 1931 г. РВС уточнил план строительства РККА на 1931 — 1933 гг., завершив тем самым процесс разработки первого 5-летнего плана военного строительства. В 1933 г. была начата разработка второго 5-летнего плана строительства РККА на 1934 — 1938гг., направленного на завершение начавшегося технического перевооружения РККА. СТО принял тогда постановления «О программе военно-морского строительства на 1933 — 1938гг. », «О системе артиллерийского вооружения РККА на вторую пятилетку», позднее утвердил план развития ВВС на 1935-1937 гг. (Жуков Г. К. Воспоминания и размышления. В трех томах. М.,1990. Т. 1.С. 174-178.). Вся страна постепенно превращалась в военный лагерь. И безобидная на первый взгляд закупка за рубежом партии сукна защитного цвета и медикаментов превращалась в акцию по повышению обороноспособности и выживаемости советского строя в условиях капиталистического окружения. Параллельно схожие процессы происходили в Германии. Там в недрах военного министерства был подготовлен мобилизационный план на случай военных действий (т. наз. «А-план»), предусматривавший наличие 300-тысячного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(21-я дивизия). С учетом ограниченных средств военного бюджета вооружение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должно было проводиться в два этапа (1928 — 1932гг. и 1933 — 1938гг. ). Осенью 1928г. правительство одобрило первую программу вооружений, выделив на оснащение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250 млн. м. Еще 80 млн. м. было выделено на развитие «</w:t>
      </w:r>
      <w:proofErr w:type="spellStart"/>
      <w:r w:rsidRPr="00A259BD">
        <w:rPr>
          <w:rFonts w:ascii="Times New Roman" w:hAnsi="Times New Roman"/>
          <w:color w:val="000000" w:themeColor="text1"/>
          <w:sz w:val="16"/>
          <w:szCs w:val="16"/>
        </w:rPr>
        <w:t>райхсмарине</w:t>
      </w:r>
      <w:proofErr w:type="spellEnd"/>
      <w:r w:rsidRPr="00A259BD">
        <w:rPr>
          <w:rFonts w:ascii="Times New Roman" w:hAnsi="Times New Roman"/>
          <w:color w:val="000000" w:themeColor="text1"/>
          <w:sz w:val="16"/>
          <w:szCs w:val="16"/>
        </w:rPr>
        <w:t>». Главной целью программы было создание соответствующих прототипов современных самолетов и танков. Начатая в 1926 г. работа уже к 1929 — 1930гг. дала первые плоды: фирмы «Крупп»,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xml:space="preserve">», «Даймлер-Бенц» подготовили модели тяжелого и легкого танков. Вряд ли возможно до конца выявить все отдельные контракты и сделки, заключенные советскими внешнеторговыми организациями, специализированными объединениями и трестами с немецкими фирмами, а также их филиалами в третьих странах, равно как и выявить все несостоявшиеся контракты, несостоявшиеся в силу того, что фирмы, по совету представителей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показывали и давали советским представителям сразу столько, что заключение контракта после этого становилось попросту ненужным. Опыт взаимодействия с небольшими предприятиями (теми же «Юнкерсом», «</w:t>
      </w:r>
      <w:proofErr w:type="spellStart"/>
      <w:r w:rsidRPr="00A259BD">
        <w:rPr>
          <w:rFonts w:ascii="Times New Roman" w:hAnsi="Times New Roman"/>
          <w:color w:val="000000" w:themeColor="text1"/>
          <w:sz w:val="16"/>
          <w:szCs w:val="16"/>
        </w:rPr>
        <w:t>Штольценбергом</w:t>
      </w:r>
      <w:proofErr w:type="spellEnd"/>
      <w:r w:rsidRPr="00A259BD">
        <w:rPr>
          <w:rFonts w:ascii="Times New Roman" w:hAnsi="Times New Roman"/>
          <w:color w:val="000000" w:themeColor="text1"/>
          <w:sz w:val="16"/>
          <w:szCs w:val="16"/>
        </w:rPr>
        <w:t>» и др. ) оказался чрезвычайно полезным для советского военно-промышленного комплекса, переживавшего тогда стадию становления. Он показал, что с малыми и средними зарубежными предприятиями, — если умело составить договор (без упоминаний о третейском суде и арбитраже, гарантии инвестиций, получения прибылей и т. д. ) и использовать международную ситуацию, а то и открыто использовать такое действенное средство как политический шантаж руководителей почти союзной державы, — то можно было не только получить оборудование, обучить работников использовать его, но и, обвинив своих партнеров «в преступной халатности», «вредительстве» и прочих грехах, обобрать и разорить, вынудив их затем долгие годы восстанавливать свою репутацию (11784).</w:t>
      </w:r>
    </w:p>
    <w:p w14:paraId="3A35C0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208493"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июля 1929 года Политбюро ЦК ВКП(б) утвердило Постановление о военной промышленности.</w:t>
      </w:r>
    </w:p>
    <w:p w14:paraId="698AD35E"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нём фактически было признано, что ВПК по состоянию на лето 1929 года не готов к войне в силу множества причин объективного и субъективного характера.</w:t>
      </w:r>
    </w:p>
    <w:p w14:paraId="0DDBA06F"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...Необходимо констатировать, что военная промышленность до настоящего времени не подготовлена к выполнению возложенных на неё задач и положение с подготовкой её к обороне находится в неудовлетворительном состоянии. </w:t>
      </w:r>
    </w:p>
    <w:p w14:paraId="3DA6694A"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Существеннейшими для обороны Союза являются следующие крупнейшие недостатки в работе военной промышленности: </w:t>
      </w:r>
    </w:p>
    <w:p w14:paraId="342200BE"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громадное преуменьшение мобилизационных мощностей заводов военной промышленности и в связи с этим длительные и не соответствующие интересам обороны сроки развития заводов до удовлетворения минимальных потребностей армии на случай войны, с </w:t>
      </w:r>
      <w:proofErr w:type="spellStart"/>
      <w:r w:rsidRPr="00A259BD">
        <w:rPr>
          <w:rFonts w:ascii="Times New Roman" w:hAnsi="Times New Roman"/>
          <w:color w:val="000000" w:themeColor="text1"/>
          <w:sz w:val="16"/>
          <w:szCs w:val="16"/>
        </w:rPr>
        <w:t>испрашиванием</w:t>
      </w:r>
      <w:proofErr w:type="spellEnd"/>
      <w:r w:rsidRPr="00A259BD">
        <w:rPr>
          <w:rFonts w:ascii="Times New Roman" w:hAnsi="Times New Roman"/>
          <w:color w:val="000000" w:themeColor="text1"/>
          <w:sz w:val="16"/>
          <w:szCs w:val="16"/>
        </w:rPr>
        <w:t xml:space="preserve"> значительно преувеличенных средств на капитальное строительство; </w:t>
      </w:r>
    </w:p>
    <w:p w14:paraId="17835018"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длительность сроков мобилизационного развёртывания военных заводов (от 1 до 1,5 лет), что создаёт весьма опасный разрыв между обеспечением потребностей войны имеющимися запасами и началом подачи на фронт продукции мобилизованной промышленности и приводит к необходимости иметь крупные </w:t>
      </w:r>
      <w:proofErr w:type="spellStart"/>
      <w:r w:rsidRPr="00A259BD">
        <w:rPr>
          <w:rFonts w:ascii="Times New Roman" w:hAnsi="Times New Roman"/>
          <w:color w:val="000000" w:themeColor="text1"/>
          <w:sz w:val="16"/>
          <w:szCs w:val="16"/>
        </w:rPr>
        <w:t>мобзапасы</w:t>
      </w:r>
      <w:proofErr w:type="spellEnd"/>
      <w:r w:rsidRPr="00A259BD">
        <w:rPr>
          <w:rFonts w:ascii="Times New Roman" w:hAnsi="Times New Roman"/>
          <w:color w:val="000000" w:themeColor="text1"/>
          <w:sz w:val="16"/>
          <w:szCs w:val="16"/>
        </w:rPr>
        <w:t xml:space="preserve">, непосильные для государства; </w:t>
      </w:r>
    </w:p>
    <w:p w14:paraId="23A45EBE"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наличие диспропорций и узких мест по ряду отраслей военных производств и заводов, как, например, пороховое производство не обеспечено кислотами, а производство порохов в свою очередь не обеспечивает количество заданных выстрелов; производство орудий, пулемётов и винтовок не обеспечено соответствующим количеством специальных сталей, большинство заводов не обеспечено электроэнергией, а военно-химические заводы и паросиловыми установками. Это лишает возможности в настоящее время полностью использовать производственные возможности военных заводов для обороны; </w:t>
      </w:r>
    </w:p>
    <w:p w14:paraId="73D37770"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выведение до 1927 г. из строя, а в отдельных случаях и прямое разрушение заводов оборонного значения. Примеры: разрушен завод Барановского, разоружены </w:t>
      </w:r>
      <w:proofErr w:type="spellStart"/>
      <w:r w:rsidRPr="00A259BD">
        <w:rPr>
          <w:rFonts w:ascii="Times New Roman" w:hAnsi="Times New Roman"/>
          <w:color w:val="000000" w:themeColor="text1"/>
          <w:sz w:val="16"/>
          <w:szCs w:val="16"/>
        </w:rPr>
        <w:t>Бачмановский</w:t>
      </w:r>
      <w:proofErr w:type="spellEnd"/>
      <w:r w:rsidRPr="00A259BD">
        <w:rPr>
          <w:rFonts w:ascii="Times New Roman" w:hAnsi="Times New Roman"/>
          <w:color w:val="000000" w:themeColor="text1"/>
          <w:sz w:val="16"/>
          <w:szCs w:val="16"/>
        </w:rPr>
        <w:t xml:space="preserve"> арсенал и Бежецкий завод по ремонту винтовок; разоружались и выводились из строя </w:t>
      </w:r>
      <w:proofErr w:type="spellStart"/>
      <w:r w:rsidRPr="00A259BD">
        <w:rPr>
          <w:rFonts w:ascii="Times New Roman" w:hAnsi="Times New Roman"/>
          <w:color w:val="000000" w:themeColor="text1"/>
          <w:sz w:val="16"/>
          <w:szCs w:val="16"/>
        </w:rPr>
        <w:t>Охтенский</w:t>
      </w:r>
      <w:proofErr w:type="spellEnd"/>
      <w:r w:rsidRPr="00A259BD">
        <w:rPr>
          <w:rFonts w:ascii="Times New Roman" w:hAnsi="Times New Roman"/>
          <w:color w:val="000000" w:themeColor="text1"/>
          <w:sz w:val="16"/>
          <w:szCs w:val="16"/>
        </w:rPr>
        <w:t xml:space="preserve">, Шлиссельбургский, </w:t>
      </w:r>
      <w:proofErr w:type="spellStart"/>
      <w:r w:rsidRPr="00A259BD">
        <w:rPr>
          <w:rFonts w:ascii="Times New Roman" w:hAnsi="Times New Roman"/>
          <w:color w:val="000000" w:themeColor="text1"/>
          <w:sz w:val="16"/>
          <w:szCs w:val="16"/>
        </w:rPr>
        <w:t>Шостенский</w:t>
      </w:r>
      <w:proofErr w:type="spellEnd"/>
      <w:r w:rsidRPr="00A259BD">
        <w:rPr>
          <w:rFonts w:ascii="Times New Roman" w:hAnsi="Times New Roman"/>
          <w:color w:val="000000" w:themeColor="text1"/>
          <w:sz w:val="16"/>
          <w:szCs w:val="16"/>
        </w:rPr>
        <w:t xml:space="preserve"> и Тамбовский пороховые заводы; </w:t>
      </w:r>
    </w:p>
    <w:p w14:paraId="1299EA6B"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 запутывание в отдельных случаях, главным образом по Орудийно-Арсенальному Тресту, технологических процессов производства по весьма важным военным изделиям (артиллерия, танки). Примеры: в течение двух лет и до настоящего времени не разработан технологический процесс по производству танков на заводах Мотовилихинском и "Большевик"; по производству зенитных орудий технологический процесс по нарезке вместо нормальных 8 часов установлен в 16 часов и само орудие в процессе его производства несколько раз гуляет взад-вперёд по заводу и т.д.; е) до настоящего времени не разрешена проблема заводского ремонта во время войны материальной части артиллерии, винтовок и пулемётов и обеспечения артиллерии передками, зарядными ящиками, колёсами и т.д. Примеры: производство основного арсенального имущества - передки, зарядные ящики, колёса и т.д. - базируется на прифронтовых арсеналах - Ленинградском, Киевском, Брянском. Ни один завод в тылу к производству арсенального имущества не приспособлен. Поэтому в случае осложнения положения с прифронтовыми арсеналами неизвестно, какие заводы примут на себя производство арсенального имущества. </w:t>
      </w:r>
    </w:p>
    <w:p w14:paraId="35C2BF8C"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отношении заводского ремонта винтовок и пулемётов положение таково: Бежецкий ремонтный завод выведен из строя; взамен Бежецкого никакому другому заводу задания на ремонт не дано. Если же ремонт винтовок возложить на Тульский и Ижевский ружейные заводы, то это сократит процентов на 30 выпуск ими новых винтовок и пулемётов; </w:t>
      </w:r>
    </w:p>
    <w:p w14:paraId="0B3B2BF0"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ж) не создано и находится в расстроенном состоянии </w:t>
      </w:r>
      <w:proofErr w:type="spellStart"/>
      <w:r w:rsidRPr="00A259BD">
        <w:rPr>
          <w:rFonts w:ascii="Times New Roman" w:hAnsi="Times New Roman"/>
          <w:color w:val="000000" w:themeColor="text1"/>
          <w:sz w:val="16"/>
          <w:szCs w:val="16"/>
        </w:rPr>
        <w:t>лекально</w:t>
      </w:r>
      <w:proofErr w:type="spellEnd"/>
      <w:r w:rsidRPr="00A259BD">
        <w:rPr>
          <w:rFonts w:ascii="Times New Roman" w:hAnsi="Times New Roman"/>
          <w:color w:val="000000" w:themeColor="text1"/>
          <w:sz w:val="16"/>
          <w:szCs w:val="16"/>
        </w:rPr>
        <w:t xml:space="preserve">-инструментальное дело по важнейшим военным производствам. Так как во время войны пришлось бы форсировать производство лекал и инструментов, то это неизбежно привело бы к удлинению сроков </w:t>
      </w:r>
      <w:proofErr w:type="spellStart"/>
      <w:r w:rsidRPr="00A259BD">
        <w:rPr>
          <w:rFonts w:ascii="Times New Roman" w:hAnsi="Times New Roman"/>
          <w:color w:val="000000" w:themeColor="text1"/>
          <w:sz w:val="16"/>
          <w:szCs w:val="16"/>
        </w:rPr>
        <w:t>мобразвертывания</w:t>
      </w:r>
      <w:proofErr w:type="spellEnd"/>
      <w:r w:rsidRPr="00A259BD">
        <w:rPr>
          <w:rFonts w:ascii="Times New Roman" w:hAnsi="Times New Roman"/>
          <w:color w:val="000000" w:themeColor="text1"/>
          <w:sz w:val="16"/>
          <w:szCs w:val="16"/>
        </w:rPr>
        <w:t xml:space="preserve"> и ухудшению боевых качеств оружия. Примеры: в настоящее время постановка </w:t>
      </w:r>
      <w:proofErr w:type="spellStart"/>
      <w:r w:rsidRPr="00A259BD">
        <w:rPr>
          <w:rFonts w:ascii="Times New Roman" w:hAnsi="Times New Roman"/>
          <w:color w:val="000000" w:themeColor="text1"/>
          <w:sz w:val="16"/>
          <w:szCs w:val="16"/>
        </w:rPr>
        <w:t>лекально</w:t>
      </w:r>
      <w:proofErr w:type="spellEnd"/>
      <w:r w:rsidRPr="00A259BD">
        <w:rPr>
          <w:rFonts w:ascii="Times New Roman" w:hAnsi="Times New Roman"/>
          <w:color w:val="000000" w:themeColor="text1"/>
          <w:sz w:val="16"/>
          <w:szCs w:val="16"/>
        </w:rPr>
        <w:t xml:space="preserve">-инструментального дела не обеспечивает производство по мобилизации Ижевского, Тульского, Пензенского, Мотовилихинского, Ковровского и др. заводов; </w:t>
      </w:r>
    </w:p>
    <w:p w14:paraId="78115400"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 громадный парк запасного станочного оборудования не использован и частично приведён в негодность; одновременно с этим выписывались по импорту ненужные станки с затратой на это крупных средств. Примеры: до последнего времени находились без определённого назначения станки на заводах - Мотовилихинском - свыше тысячи; Путиловском - около тысячи; Ленинградском трубочном - 1800 станков и т.д.; а всего на заводах военной промышленности находилось без назначения 8-10 тысяч станков. Излишние станки и оборудование выписывались Мотовилихинским заводом, "Большевиком" и др.; </w:t>
      </w:r>
    </w:p>
    <w:p w14:paraId="4BD07E95"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 недопустимо медленное изготовление новых опытных образцов вооружения и длительные (3-4 года) сроки постановки их изготовления в массовом производстве; </w:t>
      </w:r>
    </w:p>
    <w:p w14:paraId="1894FA44"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сохранение по всем заводам до настоящего времени устаревших технологических процессов и упорное нежелание аппаратов военной промышленности во всех её звеньях к нововведениям и совершенствованию этих процессов; </w:t>
      </w:r>
    </w:p>
    <w:p w14:paraId="2651B7E7"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 недоделы по Орудийно-Арсенальному и </w:t>
      </w:r>
      <w:proofErr w:type="spellStart"/>
      <w:r w:rsidRPr="00A259BD">
        <w:rPr>
          <w:rFonts w:ascii="Times New Roman" w:hAnsi="Times New Roman"/>
          <w:color w:val="000000" w:themeColor="text1"/>
          <w:sz w:val="16"/>
          <w:szCs w:val="16"/>
        </w:rPr>
        <w:t>Авиатрестам</w:t>
      </w:r>
      <w:proofErr w:type="spellEnd"/>
      <w:r w:rsidRPr="00A259BD">
        <w:rPr>
          <w:rFonts w:ascii="Times New Roman" w:hAnsi="Times New Roman"/>
          <w:color w:val="000000" w:themeColor="text1"/>
          <w:sz w:val="16"/>
          <w:szCs w:val="16"/>
        </w:rPr>
        <w:t xml:space="preserve">, невыполнение программ по изготовлению запасных частей и отсутствие взаимозаменяемости частей к отдельным предметам вооружения; </w:t>
      </w:r>
    </w:p>
    <w:p w14:paraId="2808F169"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м) крайне недостаточное использование основного капитала военной промышленности в отношении загрузки мирной продукцией, а в некоторых случаях - нерациональное использование военного оборудования для этих производств. Пример: </w:t>
      </w:r>
      <w:proofErr w:type="spellStart"/>
      <w:r w:rsidRPr="00A259BD">
        <w:rPr>
          <w:rFonts w:ascii="Times New Roman" w:hAnsi="Times New Roman"/>
          <w:color w:val="000000" w:themeColor="text1"/>
          <w:sz w:val="16"/>
          <w:szCs w:val="16"/>
        </w:rPr>
        <w:t>замочно</w:t>
      </w:r>
      <w:proofErr w:type="spellEnd"/>
      <w:r w:rsidRPr="00A259BD">
        <w:rPr>
          <w:rFonts w:ascii="Times New Roman" w:hAnsi="Times New Roman"/>
          <w:color w:val="000000" w:themeColor="text1"/>
          <w:sz w:val="16"/>
          <w:szCs w:val="16"/>
        </w:rPr>
        <w:t xml:space="preserve">-прицельная "Большевика" выведена из строя путём приспособления под трактора (начиная с 1922 г. и до настоящего времени); н) неудовлетворительное использование оборотных капиталов в военной промышленности, что привело, и не могло не привести, к </w:t>
      </w:r>
      <w:proofErr w:type="spellStart"/>
      <w:r w:rsidRPr="00A259BD">
        <w:rPr>
          <w:rFonts w:ascii="Times New Roman" w:hAnsi="Times New Roman"/>
          <w:color w:val="000000" w:themeColor="text1"/>
          <w:sz w:val="16"/>
          <w:szCs w:val="16"/>
        </w:rPr>
        <w:t>напряжённейшему</w:t>
      </w:r>
      <w:proofErr w:type="spellEnd"/>
      <w:r w:rsidRPr="00A259BD">
        <w:rPr>
          <w:rFonts w:ascii="Times New Roman" w:hAnsi="Times New Roman"/>
          <w:color w:val="000000" w:themeColor="text1"/>
          <w:sz w:val="16"/>
          <w:szCs w:val="16"/>
        </w:rPr>
        <w:t xml:space="preserve"> финансовому положению и кассовым прорывам по отдельным трестам; до сих пор тресты надеются на подачки государства, не принимая достаточных мер к упорядочению своих финансов. </w:t>
      </w:r>
    </w:p>
    <w:p w14:paraId="7A221079"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Такое положение в военной промышленности создавало опасный разрыв между промышленностью и потребностями обороны, в результате чего Красная армия была бы лишена возможности полностью использовать для обороны имеющиеся промышленные ресурсы и не получила бы в первый период войны ряда весьма важных предметов вооружения (тяжёлая артиллерия, танки, отравляющие вещества и т.д.)". </w:t>
      </w:r>
    </w:p>
    <w:p w14:paraId="07DEEF2A"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…Всё это следствия: </w:t>
      </w:r>
    </w:p>
    <w:p w14:paraId="0E89E5D1"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многолетней и систематической вредительской работы крупной контрреволюционной организации в военной промышленности (ВПУ, тресты, заводы); </w:t>
      </w:r>
    </w:p>
    <w:p w14:paraId="5B42484F"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отсутствия бдительности у партийного руководящего состава военной промышленности, начиная от руководящих работников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ВПУ и кончая заводами; </w:t>
      </w:r>
    </w:p>
    <w:p w14:paraId="18DCE02F"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чрезмерного доверия к специалистам, в особенности к их верхушке (инженерам Михайлову, </w:t>
      </w:r>
      <w:proofErr w:type="spellStart"/>
      <w:r w:rsidRPr="00A259BD">
        <w:rPr>
          <w:rFonts w:ascii="Times New Roman" w:hAnsi="Times New Roman"/>
          <w:color w:val="000000" w:themeColor="text1"/>
          <w:sz w:val="16"/>
          <w:szCs w:val="16"/>
        </w:rPr>
        <w:t>Высочанскому</w:t>
      </w:r>
      <w:proofErr w:type="spellEnd"/>
      <w:r w:rsidRPr="00A259BD">
        <w:rPr>
          <w:rFonts w:ascii="Times New Roman" w:hAnsi="Times New Roman"/>
          <w:color w:val="000000" w:themeColor="text1"/>
          <w:sz w:val="16"/>
          <w:szCs w:val="16"/>
        </w:rPr>
        <w:t xml:space="preserve"> и др.) и отсутствия со стороны руководящего коммунистического состава военной промышленности даже минимального контроля за работой специалистов. В большинстве случаев руководящий коммунистический состав военной промышленности свёл свою роль по управлению промышленностью, трестами и предприятиями к голому администрированию на основе отчётов и докладов, представляемых ему аппаратами (заполненными и часто руководимыми вредительскими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совершенствовать систему управления и изучать производственные технологические процессы; </w:t>
      </w:r>
    </w:p>
    <w:p w14:paraId="6C912A9C"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под предлогом военной тайны (чрезмерное засекречивание) фактически был отстранён от активного участия в организации и рационализации производства беспартийный и коммунистический рабочий актив на производстве". </w:t>
      </w:r>
    </w:p>
    <w:p w14:paraId="181CA413"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…"вскрытое совместными усилиями НК РКИ СССР и ОГПУ действительное положение в военной промышленности оказалось ни в какой мере не соответствующим тому оптимистическому освещению, которое вошло в систему оценки военной промышленности в докладах ЦК ВКП( б) и Правительству со стороны руководителей военной промышленности. Полученные некоторые достижения в области поднятия производительности труда, снижения себестоимости, повышения качества и количества изготовляемой продукции, внедрения некоторых новых видов производства и т.д. - должны быть отмечены. Однако эти достижения совершенно недостаточны ни с точки зрения вложенных в военную промышленность средств, ни с точки зрения количества времени, затраченного на эти достижения. В то же время эти достижения выдвигались руководящими работниками военной промышленности в качестве показателей общего благополучия промышленности, что ещё более содействовало прикрыванию фактического тяжёлого положения подготовки военной промышленности к обороне. Значительное исправление указанного выше положения в военной промышленности предусмотрено решениями Президиума ВСНХ и утверждёнными постановлениями РЗ СТО по планам капитального строительства промышленности на 1928/29 год. Однако и в настоящее время необходимо признать, что военная промышленность в первой половине 1928-29 года не была в должной мере подготовлена к выполнению заданного ей плана капитального строительства и в работе аппаратов не произошло ещё необходимого перелома, гарантирующего как выполнение плана строительства, так и срочного исправления последствий работы контрреволюционной организации". </w:t>
      </w:r>
    </w:p>
    <w:p w14:paraId="1DCF3B0E"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…"Поднятие обороноспособности СССР требует принятия решительных мер к немедленному исправлению вышеуказанного тяжёлого положения военной промышленности. В соответствии с этим Политбюро постановляет: </w:t>
      </w:r>
    </w:p>
    <w:p w14:paraId="32194CDF"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Президиуму ЦКК срочно рассмотреть вопрос о наложении взысканий и привлечения к ответственности как нынешнего, так и бывшего руководящего состава военной промышленности (</w:t>
      </w:r>
      <w:proofErr w:type="spellStart"/>
      <w:r w:rsidRPr="00A259BD">
        <w:rPr>
          <w:rFonts w:ascii="Times New Roman" w:hAnsi="Times New Roman"/>
          <w:color w:val="000000" w:themeColor="text1"/>
          <w:sz w:val="16"/>
          <w:szCs w:val="16"/>
        </w:rPr>
        <w:t>Военпром</w:t>
      </w:r>
      <w:proofErr w:type="spellEnd"/>
      <w:r w:rsidRPr="00A259BD">
        <w:rPr>
          <w:rFonts w:ascii="Times New Roman" w:hAnsi="Times New Roman"/>
          <w:color w:val="000000" w:themeColor="text1"/>
          <w:sz w:val="16"/>
          <w:szCs w:val="16"/>
        </w:rPr>
        <w:t xml:space="preserve">, ВПУ, трестов и заводов), виновного в недостаточной бдительности к многолетнему и явному вредительству и упущениям в военной промышленности, и внести свои предложения в Политбюро. </w:t>
      </w:r>
    </w:p>
    <w:p w14:paraId="0FA6D71D"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Специальной комиссии в составе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Павлуновского</w:t>
      </w:r>
      <w:proofErr w:type="spellEnd"/>
      <w:r w:rsidRPr="00A259BD">
        <w:rPr>
          <w:rFonts w:ascii="Times New Roman" w:hAnsi="Times New Roman"/>
          <w:color w:val="000000" w:themeColor="text1"/>
          <w:sz w:val="16"/>
          <w:szCs w:val="16"/>
        </w:rPr>
        <w:t xml:space="preserve"> (председателя) и членов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Урываева, </w:t>
      </w:r>
      <w:proofErr w:type="spellStart"/>
      <w:r w:rsidRPr="00A259BD">
        <w:rPr>
          <w:rFonts w:ascii="Times New Roman" w:hAnsi="Times New Roman"/>
          <w:color w:val="000000" w:themeColor="text1"/>
          <w:sz w:val="16"/>
          <w:szCs w:val="16"/>
        </w:rPr>
        <w:t>Молочникова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Булина</w:t>
      </w:r>
      <w:proofErr w:type="spellEnd"/>
      <w:r w:rsidRPr="00A259BD">
        <w:rPr>
          <w:rFonts w:ascii="Times New Roman" w:hAnsi="Times New Roman"/>
          <w:color w:val="000000" w:themeColor="text1"/>
          <w:sz w:val="16"/>
          <w:szCs w:val="16"/>
        </w:rPr>
        <w:t xml:space="preserve"> и по одному представителю от ЦК металлистов и химиков в кратчайший срок произвести чистку всего личного состава военной промышленности до заводов включительно". </w:t>
      </w:r>
    </w:p>
    <w:p w14:paraId="0E972DAF"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Признать необходимым обновить руководящий состав военной промышленности, начиная с коллегии ВПУ и кончая заводами. </w:t>
      </w:r>
    </w:p>
    <w:p w14:paraId="58C04440"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Оргбюро в двухнедельный срок осуществить это мероприятие. </w:t>
      </w:r>
    </w:p>
    <w:p w14:paraId="6307357F"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Оргбюро в месячный срок мобилизовать для военной промышленности не менее 100 человек, преимущественно членов партии, опытных производственников и молодых инженеров. </w:t>
      </w:r>
    </w:p>
    <w:p w14:paraId="269C38B5"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Принимая во внимание, что военная промышленность представляет из себя по преимуществу высококвалифицированное производство и в то же время имеет ничтожные технические кадры, в особенности после ликвидации вредительской организации старых специалистов, - ВСНХ надлежит рядом срочных и конкретных мероприятий немедленно разрешить вопрос об усилении технических кадров военной промышленности (путём переподготовки, устройства краткосрочных курсов и т.д.) и одновременно разработать план систематической подготовки для неё технического персонала. ВСНХ разработать план (и приступить к его немедленному осуществлению) ликвидации последствий вредительства в военной промышленности. Особое внимание обратить на капитальное строительство, </w:t>
      </w:r>
      <w:proofErr w:type="spellStart"/>
      <w:r w:rsidRPr="00A259BD">
        <w:rPr>
          <w:rFonts w:ascii="Times New Roman" w:hAnsi="Times New Roman"/>
          <w:color w:val="000000" w:themeColor="text1"/>
          <w:sz w:val="16"/>
          <w:szCs w:val="16"/>
        </w:rPr>
        <w:t>электропаросиловое</w:t>
      </w:r>
      <w:proofErr w:type="spellEnd"/>
      <w:r w:rsidRPr="00A259BD">
        <w:rPr>
          <w:rFonts w:ascii="Times New Roman" w:hAnsi="Times New Roman"/>
          <w:color w:val="000000" w:themeColor="text1"/>
          <w:sz w:val="16"/>
          <w:szCs w:val="16"/>
        </w:rPr>
        <w:t xml:space="preserve"> хозяйство, лекальное и инструментальное дело, арсенальную проблему, изучение и совершенствование (рационализация) технологических процессов, устранение диспропорций между производствами и цехами и т.п. В этом плане исходить из необходимости уже в 1929-30 г. добиться устранения указанных последствий вредительства и создания здоровой производственной обстановки на заводах и в трестах. </w:t>
      </w:r>
    </w:p>
    <w:p w14:paraId="52383CFD"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 разработке программы ликвидации последствий вредительства использовать все имеющиеся материалы, конкретно изучать каждый объект вредительства в отдельности и широко привлечь к этой работе все предприятия, которые были охвачены вредительством. </w:t>
      </w:r>
    </w:p>
    <w:p w14:paraId="52888974"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Успешное разрешение громадной проблемы технического оснащения Красной армии, и в частности, своевременное осуществление одобренных Политбюро мероприятий по артиллерийскому, танковому, авиационному, химическому перевооружению по пятилетнему плану, возможно только при условии 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заграничной технической помощи. Исходя из этого, ВСНХ немедленно усилить существующие конструкторские и технические бюро на заводах опытными специалистами, организовать их там, где они отсутствуют, и привлечь техническую помощь из-за границы. Особенное внимание должно быть обращено на артиллерийское, танковое, авиационное и химическое дело. </w:t>
      </w:r>
    </w:p>
    <w:p w14:paraId="5B0E1549"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Вторым условием успешного осуществления плана технического перевооружения Красной армии является быстрое изготовление опытных образцов нового оружия и организация массового их производства. </w:t>
      </w:r>
    </w:p>
    <w:p w14:paraId="46536BCF"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Поэтому ВСНХ, совместно с НКВМ, добиться во что бы то ни стало самых минимальных сроков в изготовлении опытных образцов, испытании и проверке их и внедрения в массовое производство. </w:t>
      </w:r>
    </w:p>
    <w:p w14:paraId="095BB952"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Считая эту задачу одной из самых важнейших, Политбюро категорически требует её полного разрешения. </w:t>
      </w:r>
    </w:p>
    <w:p w14:paraId="1EE13F74"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Отмечая недостаточную загрузку военных заводов военными заказами, ВСНХ, в целях сокращения сроков </w:t>
      </w:r>
      <w:proofErr w:type="spellStart"/>
      <w:r w:rsidRPr="00A259BD">
        <w:rPr>
          <w:rFonts w:ascii="Times New Roman" w:hAnsi="Times New Roman"/>
          <w:color w:val="000000" w:themeColor="text1"/>
          <w:sz w:val="16"/>
          <w:szCs w:val="16"/>
        </w:rPr>
        <w:t>мобразвертывания</w:t>
      </w:r>
      <w:proofErr w:type="spellEnd"/>
      <w:r w:rsidRPr="00A259BD">
        <w:rPr>
          <w:rFonts w:ascii="Times New Roman" w:hAnsi="Times New Roman"/>
          <w:color w:val="000000" w:themeColor="text1"/>
          <w:sz w:val="16"/>
          <w:szCs w:val="16"/>
        </w:rPr>
        <w:t xml:space="preserve"> военных заводов и максимального использования основного капитала военной промышленности, с 1929-30 года поднять темп загрузки военных заводов мирной продукцией до максимальных пределов. В двухмесячный срок РЗ СТО рассмотреть план загрузки мирными производствами на 1929-30 год. </w:t>
      </w:r>
    </w:p>
    <w:p w14:paraId="424C159D"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ВСНХ принять меры по оздоровлению оборотных средств военной промышленности. РЗ СТО срочно рассмотреть вопрос о смягчении финансового напряжения в военной промышленности и о порядке покрытия кассового прорыва в Орудийно-Арсенальном и Авиационном трестах, а также наметить мероприятия, исключающие повторение подобных явлений.  РЗ СТО рассмотреть вопрос о ценах на поставляемую </w:t>
      </w:r>
      <w:proofErr w:type="spellStart"/>
      <w:r w:rsidRPr="00A259BD">
        <w:rPr>
          <w:rFonts w:ascii="Times New Roman" w:hAnsi="Times New Roman"/>
          <w:color w:val="000000" w:themeColor="text1"/>
          <w:sz w:val="16"/>
          <w:szCs w:val="16"/>
        </w:rPr>
        <w:t>Военведу</w:t>
      </w:r>
      <w:proofErr w:type="spellEnd"/>
      <w:r w:rsidRPr="00A259BD">
        <w:rPr>
          <w:rFonts w:ascii="Times New Roman" w:hAnsi="Times New Roman"/>
          <w:color w:val="000000" w:themeColor="text1"/>
          <w:sz w:val="16"/>
          <w:szCs w:val="16"/>
        </w:rPr>
        <w:t xml:space="preserve"> продукцию под углом необходимого их снижения, установив одновременно твёрдые расчётные цены по всем предметам вооружения, допуская ориентировочные цены как исключение для вновь устанавливаемых производств и то только для первого периода. </w:t>
      </w:r>
    </w:p>
    <w:p w14:paraId="7BE60505"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Поручить Наркомвоенмору, ОГПУ и ВСНХ пересмотреть существующий порядок секретности на военных заводах с тем, чтобы было обеспечено максимальное участие рабочих в контроле над производством и в то же время сохранена военная тайна. </w:t>
      </w:r>
    </w:p>
    <w:p w14:paraId="425B7A9E"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Предложить ВСНХ и НКВМ в месячный срок уточнить взаимоотношения в части: </w:t>
      </w:r>
    </w:p>
    <w:p w14:paraId="4A7BC528"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передачи опытных заказов, времени их изготовления в кратчайшие сроки и быстрого проведения их через испытание; </w:t>
      </w:r>
    </w:p>
    <w:p w14:paraId="09476D7F"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исполнение заказов мирного времени и своевременного снабжения промышленности техническими условиями и чертежами. </w:t>
      </w:r>
    </w:p>
    <w:p w14:paraId="14404C13" w14:textId="77777777" w:rsidR="00B53E45" w:rsidRPr="00A259BD" w:rsidRDefault="00B53E4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выполнением всех вышеуказанных мероприятий РЗ СТО установить строгое наблюдение" {Постановление Политбюро ЦК ВКП( б) "О военной промышленности". 15 июля 1929 года // Лубянка. Сталин и ВЧК-ГПУ-ОГПУ-НКВД. Архив Сталина. Документы высших органов партийной и государственной власти. Январь 1922 - декабрь 1936 года. М., 2003. С. 184-189} (17466).</w:t>
      </w:r>
    </w:p>
    <w:p w14:paraId="01B32B74" w14:textId="77777777" w:rsidR="00B53E45" w:rsidRPr="00A259BD" w:rsidRDefault="00B53E4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96BD9B"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1EF4D38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164BC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июля 1929 образован Ненецкий автономный округ (3960, 275).</w:t>
      </w:r>
    </w:p>
    <w:p w14:paraId="00AC43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9F466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85CBE4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FD70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В середине июля 1929 была подготовлена Докладная записка зам. </w:t>
      </w:r>
      <w:proofErr w:type="spellStart"/>
      <w:r w:rsidRPr="00A259BD">
        <w:rPr>
          <w:rFonts w:ascii="Times New Roman" w:hAnsi="Times New Roman"/>
          <w:color w:val="000000" w:themeColor="text1"/>
          <w:sz w:val="16"/>
          <w:szCs w:val="16"/>
        </w:rPr>
        <w:t>Техортдела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Авиатрасте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Окромешко</w:t>
      </w:r>
      <w:proofErr w:type="spellEnd"/>
      <w:r w:rsidRPr="00A259BD">
        <w:rPr>
          <w:rFonts w:ascii="Times New Roman" w:hAnsi="Times New Roman"/>
          <w:color w:val="000000" w:themeColor="text1"/>
          <w:sz w:val="16"/>
          <w:szCs w:val="16"/>
        </w:rPr>
        <w:t xml:space="preserve"> члену Правления </w:t>
      </w:r>
      <w:proofErr w:type="spellStart"/>
      <w:r w:rsidRPr="00A259BD">
        <w:rPr>
          <w:rFonts w:ascii="Times New Roman" w:hAnsi="Times New Roman"/>
          <w:color w:val="000000" w:themeColor="text1"/>
          <w:sz w:val="16"/>
          <w:szCs w:val="16"/>
        </w:rPr>
        <w:t>С.С.Макаровскому</w:t>
      </w:r>
      <w:proofErr w:type="spellEnd"/>
      <w:r w:rsidRPr="00A259BD">
        <w:rPr>
          <w:rFonts w:ascii="Times New Roman" w:hAnsi="Times New Roman"/>
          <w:color w:val="000000" w:themeColor="text1"/>
          <w:sz w:val="16"/>
          <w:szCs w:val="16"/>
        </w:rPr>
        <w:t>:</w:t>
      </w:r>
    </w:p>
    <w:p w14:paraId="2DC297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разрешении 10 сего июля (странно, протокол от 12 июля) вопроса о постройке с-та ТОМ-1 конструкции ОПО-4 Правление воздержалось от вынесения решения об организационных формах работы ОПО4 по постройке этого с-та и взаимоотношениях в связи с нею между ОПО4, ОПО3 и заводом № 22.</w:t>
      </w:r>
    </w:p>
    <w:p w14:paraId="1D35F0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соответствии с решением Правления подготовка к статистическим испытаниям и постройка с-та </w:t>
      </w:r>
      <w:proofErr w:type="spellStart"/>
      <w:r w:rsidRPr="00A259BD">
        <w:rPr>
          <w:rFonts w:ascii="Times New Roman" w:hAnsi="Times New Roman"/>
          <w:color w:val="000000" w:themeColor="text1"/>
          <w:sz w:val="16"/>
          <w:szCs w:val="16"/>
        </w:rPr>
        <w:t>д.б</w:t>
      </w:r>
      <w:proofErr w:type="spellEnd"/>
      <w:r w:rsidRPr="00A259BD">
        <w:rPr>
          <w:rFonts w:ascii="Times New Roman" w:hAnsi="Times New Roman"/>
          <w:color w:val="000000" w:themeColor="text1"/>
          <w:sz w:val="16"/>
          <w:szCs w:val="16"/>
        </w:rPr>
        <w:t>. начата в ближайшие дни.</w:t>
      </w:r>
    </w:p>
    <w:p w14:paraId="394ADD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Единственным местом, где она </w:t>
      </w:r>
      <w:proofErr w:type="spellStart"/>
      <w:r w:rsidRPr="00A259BD">
        <w:rPr>
          <w:rFonts w:ascii="Times New Roman" w:hAnsi="Times New Roman"/>
          <w:color w:val="000000" w:themeColor="text1"/>
          <w:sz w:val="16"/>
          <w:szCs w:val="16"/>
        </w:rPr>
        <w:t>м.б.</w:t>
      </w:r>
      <w:proofErr w:type="spellEnd"/>
      <w:r w:rsidRPr="00A259BD">
        <w:rPr>
          <w:rFonts w:ascii="Times New Roman" w:hAnsi="Times New Roman"/>
          <w:color w:val="000000" w:themeColor="text1"/>
          <w:sz w:val="16"/>
          <w:szCs w:val="16"/>
        </w:rPr>
        <w:t xml:space="preserve"> начата, </w:t>
      </w:r>
      <w:proofErr w:type="spellStart"/>
      <w:r w:rsidRPr="00A259BD">
        <w:rPr>
          <w:rFonts w:ascii="Times New Roman" w:hAnsi="Times New Roman"/>
          <w:color w:val="000000" w:themeColor="text1"/>
          <w:sz w:val="16"/>
          <w:szCs w:val="16"/>
        </w:rPr>
        <w:t>явщляется</w:t>
      </w:r>
      <w:proofErr w:type="spellEnd"/>
      <w:r w:rsidRPr="00A259BD">
        <w:rPr>
          <w:rFonts w:ascii="Times New Roman" w:hAnsi="Times New Roman"/>
          <w:color w:val="000000" w:themeColor="text1"/>
          <w:sz w:val="16"/>
          <w:szCs w:val="16"/>
        </w:rPr>
        <w:t xml:space="preserve"> з-д № 22, причем </w:t>
      </w:r>
      <w:proofErr w:type="spellStart"/>
      <w:r w:rsidRPr="00A259BD">
        <w:rPr>
          <w:rFonts w:ascii="Times New Roman" w:hAnsi="Times New Roman"/>
          <w:color w:val="000000" w:themeColor="text1"/>
          <w:sz w:val="16"/>
          <w:szCs w:val="16"/>
        </w:rPr>
        <w:t>м.б.</w:t>
      </w:r>
      <w:proofErr w:type="spellEnd"/>
      <w:r w:rsidRPr="00A259BD">
        <w:rPr>
          <w:rFonts w:ascii="Times New Roman" w:hAnsi="Times New Roman"/>
          <w:color w:val="000000" w:themeColor="text1"/>
          <w:sz w:val="16"/>
          <w:szCs w:val="16"/>
        </w:rPr>
        <w:t xml:space="preserve"> использованы либо помещения самого з-да, либо ОПО3. И в том и в другом случае интересы з-да № 22, ОПО3 и ОПО4 </w:t>
      </w:r>
      <w:proofErr w:type="spellStart"/>
      <w:r w:rsidRPr="00A259BD">
        <w:rPr>
          <w:rFonts w:ascii="Times New Roman" w:hAnsi="Times New Roman"/>
          <w:color w:val="000000" w:themeColor="text1"/>
          <w:sz w:val="16"/>
          <w:szCs w:val="16"/>
        </w:rPr>
        <w:t>д.б</w:t>
      </w:r>
      <w:proofErr w:type="spellEnd"/>
      <w:r w:rsidRPr="00A259BD">
        <w:rPr>
          <w:rFonts w:ascii="Times New Roman" w:hAnsi="Times New Roman"/>
          <w:color w:val="000000" w:themeColor="text1"/>
          <w:sz w:val="16"/>
          <w:szCs w:val="16"/>
        </w:rPr>
        <w:t xml:space="preserve">. неминуемо столкнуться, причем возникнет ряд существенных вопросов - на чьей </w:t>
      </w:r>
      <w:proofErr w:type="spellStart"/>
      <w:r w:rsidRPr="00A259BD">
        <w:rPr>
          <w:rFonts w:ascii="Times New Roman" w:hAnsi="Times New Roman"/>
          <w:color w:val="000000" w:themeColor="text1"/>
          <w:sz w:val="16"/>
          <w:szCs w:val="16"/>
        </w:rPr>
        <w:t>обызанности</w:t>
      </w:r>
      <w:proofErr w:type="spellEnd"/>
      <w:r w:rsidRPr="00A259BD">
        <w:rPr>
          <w:rFonts w:ascii="Times New Roman" w:hAnsi="Times New Roman"/>
          <w:color w:val="000000" w:themeColor="text1"/>
          <w:sz w:val="16"/>
          <w:szCs w:val="16"/>
        </w:rPr>
        <w:t xml:space="preserve"> лежит снабжение, кто нанимает и тарифицирует рабсилу и т.д., на почве которых м и наверное создастся ряд недоразумений, которые задержат работу и могут даже сорвать ее.</w:t>
      </w:r>
    </w:p>
    <w:p w14:paraId="081DE0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Ввиду вышеизложенного считаю </w:t>
      </w:r>
      <w:proofErr w:type="spellStart"/>
      <w:r w:rsidRPr="00A259BD">
        <w:rPr>
          <w:rFonts w:ascii="Times New Roman" w:hAnsi="Times New Roman"/>
          <w:color w:val="000000" w:themeColor="text1"/>
          <w:sz w:val="16"/>
          <w:szCs w:val="16"/>
        </w:rPr>
        <w:t>неоходимым</w:t>
      </w:r>
      <w:proofErr w:type="spellEnd"/>
      <w:r w:rsidRPr="00A259BD">
        <w:rPr>
          <w:rFonts w:ascii="Times New Roman" w:hAnsi="Times New Roman"/>
          <w:color w:val="000000" w:themeColor="text1"/>
          <w:sz w:val="16"/>
          <w:szCs w:val="16"/>
        </w:rPr>
        <w:t xml:space="preserve"> доложить то, что по-моему, мнению начинать работу по постройке </w:t>
      </w:r>
      <w:proofErr w:type="spellStart"/>
      <w:r w:rsidRPr="00A259BD">
        <w:rPr>
          <w:rFonts w:ascii="Times New Roman" w:hAnsi="Times New Roman"/>
          <w:color w:val="000000" w:themeColor="text1"/>
          <w:sz w:val="16"/>
          <w:szCs w:val="16"/>
        </w:rPr>
        <w:t>ТОМа</w:t>
      </w:r>
      <w:proofErr w:type="spellEnd"/>
      <w:r w:rsidRPr="00A259BD">
        <w:rPr>
          <w:rFonts w:ascii="Times New Roman" w:hAnsi="Times New Roman"/>
          <w:color w:val="000000" w:themeColor="text1"/>
          <w:sz w:val="16"/>
          <w:szCs w:val="16"/>
        </w:rPr>
        <w:t xml:space="preserve"> при отсутствии точных директив Правления, точно регулирующих взаимоотношения ОПО4, ОПО3 и завода № 22 </w:t>
      </w:r>
      <w:proofErr w:type="spellStart"/>
      <w:r w:rsidRPr="00A259BD">
        <w:rPr>
          <w:rFonts w:ascii="Times New Roman" w:hAnsi="Times New Roman"/>
          <w:color w:val="000000" w:themeColor="text1"/>
          <w:sz w:val="16"/>
          <w:szCs w:val="16"/>
        </w:rPr>
        <w:t>невозмлжно</w:t>
      </w:r>
      <w:proofErr w:type="spellEnd"/>
      <w:r w:rsidRPr="00A259BD">
        <w:rPr>
          <w:rFonts w:ascii="Times New Roman" w:hAnsi="Times New Roman"/>
          <w:color w:val="000000" w:themeColor="text1"/>
          <w:sz w:val="16"/>
          <w:szCs w:val="16"/>
        </w:rPr>
        <w:t>.</w:t>
      </w:r>
    </w:p>
    <w:p w14:paraId="7D323F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 своей стороны, полагал бы необходимым проведение следующих мероприятий:</w:t>
      </w:r>
    </w:p>
    <w:p w14:paraId="0BAC19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Группы ОПО3 и ОПО4 объединить в опытные мастерские самолетостроения ОММС под основным руководством и-ом. Ришара.</w:t>
      </w:r>
    </w:p>
    <w:p w14:paraId="64524E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Предложить СММС развитие существующих конструкций ОПО3 внести на основе проработанных типов с преимущественным использованием для этой работы сотрудников ОПО3, как и их опыт по прототипам.</w:t>
      </w:r>
    </w:p>
    <w:p w14:paraId="44A997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С и-м Ришаром заключить дополнительное соглашение по руководству и наблюдению за развитием типов, существующих в ОПО3.</w:t>
      </w:r>
    </w:p>
    <w:p w14:paraId="39235A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Установить, что ОММС должно быть самостоятельной организацией, не подчиненной административно и технически заводу № 22 и имеющей самостоятельный административный аппарат</w:t>
      </w:r>
    </w:p>
    <w:p w14:paraId="1C6371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Снабжение материалами (а также их </w:t>
      </w:r>
      <w:proofErr w:type="spellStart"/>
      <w:r w:rsidRPr="00A259BD">
        <w:rPr>
          <w:rFonts w:ascii="Times New Roman" w:hAnsi="Times New Roman"/>
          <w:color w:val="000000" w:themeColor="text1"/>
          <w:sz w:val="16"/>
          <w:szCs w:val="16"/>
        </w:rPr>
        <w:t>храниение</w:t>
      </w:r>
      <w:proofErr w:type="spellEnd"/>
      <w:r w:rsidRPr="00A259BD">
        <w:rPr>
          <w:rFonts w:ascii="Times New Roman" w:hAnsi="Times New Roman"/>
          <w:color w:val="000000" w:themeColor="text1"/>
          <w:sz w:val="16"/>
          <w:szCs w:val="16"/>
        </w:rPr>
        <w:t xml:space="preserve"> и отпуск) осуществляется заводом № 22 под персональную ответственность директора з-да по заявкам ОММС, согласованным по срокам с заводом и КФО Правления треста. Полученные ОММС материалы бронируются за ним и могут отпускаться со склада лишь по требованию ОММС или за его визой.</w:t>
      </w:r>
    </w:p>
    <w:p w14:paraId="2E04AD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Наем рабсилы и регулирование зарплаты производится ОММС самостоятельно и независимо от завода № 22 под руководством ОЗТ Правления треста.</w:t>
      </w:r>
    </w:p>
    <w:p w14:paraId="047C69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Распределение личного состава при слиянии производится ОММС совместно с Правлением треста (2363,337).</w:t>
      </w:r>
    </w:p>
    <w:p w14:paraId="33EA6E7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июля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60)</w:t>
      </w:r>
    </w:p>
    <w:p w14:paraId="439B903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ИЗ ПРОТОКОЛА № 60 ЗАСЕДАНИЯ ПРАВЛЕНИЯ АВИАТРЕСТА</w:t>
      </w:r>
    </w:p>
    <w:p w14:paraId="41F833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12.УП. 1929 года.</w:t>
      </w:r>
    </w:p>
    <w:p w14:paraId="69CC10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Слушали: Рассмотрение и утверждение проекта с-та ТОМ-1</w:t>
      </w:r>
    </w:p>
    <w:p w14:paraId="548EE7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w:t>
      </w:r>
    </w:p>
    <w:p w14:paraId="095CC3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Представленный проект принять.</w:t>
      </w:r>
    </w:p>
    <w:p w14:paraId="46D64B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Предложить ТО на осно</w:t>
      </w:r>
      <w:r w:rsidRPr="00A259BD">
        <w:rPr>
          <w:rFonts w:ascii="Times New Roman" w:hAnsi="Times New Roman"/>
          <w:color w:val="000000" w:themeColor="text1"/>
          <w:sz w:val="16"/>
          <w:szCs w:val="16"/>
        </w:rPr>
        <w:softHyphen/>
        <w:t>ве постановления Техсовета окончательно его уточнить и представить на оз</w:t>
      </w:r>
      <w:r w:rsidRPr="00A259BD">
        <w:rPr>
          <w:rFonts w:ascii="Times New Roman" w:hAnsi="Times New Roman"/>
          <w:color w:val="000000" w:themeColor="text1"/>
          <w:sz w:val="16"/>
          <w:szCs w:val="16"/>
        </w:rPr>
        <w:softHyphen/>
        <w:t>накомление в УВВС.</w:t>
      </w:r>
      <w:r w:rsidRPr="00A259BD">
        <w:rPr>
          <w:rFonts w:ascii="Times New Roman" w:hAnsi="Times New Roman"/>
          <w:color w:val="000000" w:themeColor="text1"/>
          <w:sz w:val="16"/>
          <w:szCs w:val="16"/>
        </w:rPr>
        <w:tab/>
      </w:r>
      <w:r w:rsidRPr="00A259BD">
        <w:rPr>
          <w:rFonts w:ascii="Times New Roman" w:hAnsi="Times New Roman"/>
          <w:color w:val="000000" w:themeColor="text1"/>
          <w:sz w:val="16"/>
          <w:szCs w:val="16"/>
        </w:rPr>
        <w:tab/>
        <w:t>ТО</w:t>
      </w:r>
    </w:p>
    <w:p w14:paraId="26164C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Констатировать, что ма</w:t>
      </w:r>
      <w:r w:rsidRPr="00A259BD">
        <w:rPr>
          <w:rFonts w:ascii="Times New Roman" w:hAnsi="Times New Roman"/>
          <w:color w:val="000000" w:themeColor="text1"/>
          <w:sz w:val="16"/>
          <w:szCs w:val="16"/>
        </w:rPr>
        <w:softHyphen/>
        <w:t>кет самолета окончательно утвержден УВВ</w:t>
      </w:r>
      <w:r w:rsidRPr="00A259BD">
        <w:rPr>
          <w:rFonts w:ascii="Times New Roman" w:hAnsi="Times New Roman"/>
          <w:color w:val="000000" w:themeColor="text1"/>
          <w:sz w:val="16"/>
          <w:szCs w:val="16"/>
        </w:rPr>
        <w:tab/>
        <w:t>ТО</w:t>
      </w:r>
    </w:p>
    <w:p w14:paraId="40795F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Принимая во внимание, что ТОМ 1 представляет ин</w:t>
      </w:r>
      <w:r w:rsidRPr="00A259BD">
        <w:rPr>
          <w:rFonts w:ascii="Times New Roman" w:hAnsi="Times New Roman"/>
          <w:color w:val="000000" w:themeColor="text1"/>
          <w:sz w:val="16"/>
          <w:szCs w:val="16"/>
        </w:rPr>
        <w:softHyphen/>
        <w:t>терес как техническая и конструктивная опытная единица, приступить к постройке и немедленно начать подготовку к статическим испыта</w:t>
      </w:r>
      <w:r w:rsidRPr="00A259BD">
        <w:rPr>
          <w:rFonts w:ascii="Times New Roman" w:hAnsi="Times New Roman"/>
          <w:color w:val="000000" w:themeColor="text1"/>
          <w:sz w:val="16"/>
          <w:szCs w:val="16"/>
        </w:rPr>
        <w:softHyphen/>
        <w:t>ниям</w:t>
      </w:r>
      <w:r w:rsidRPr="00A259BD">
        <w:rPr>
          <w:rFonts w:ascii="Times New Roman" w:hAnsi="Times New Roman"/>
          <w:color w:val="000000" w:themeColor="text1"/>
          <w:sz w:val="16"/>
          <w:szCs w:val="16"/>
        </w:rPr>
        <w:tab/>
        <w:t>2 недели.</w:t>
      </w:r>
    </w:p>
    <w:p w14:paraId="0B3EF5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При постройке произвести необходимые статические и пр. испытания в </w:t>
      </w:r>
      <w:proofErr w:type="spellStart"/>
      <w:r w:rsidRPr="00A259BD">
        <w:rPr>
          <w:rFonts w:ascii="Times New Roman" w:hAnsi="Times New Roman"/>
          <w:color w:val="000000" w:themeColor="text1"/>
          <w:sz w:val="16"/>
          <w:szCs w:val="16"/>
        </w:rPr>
        <w:t>об"еме</w:t>
      </w:r>
      <w:proofErr w:type="spellEnd"/>
      <w:r w:rsidRPr="00A259BD">
        <w:rPr>
          <w:rFonts w:ascii="Times New Roman" w:hAnsi="Times New Roman"/>
          <w:color w:val="000000" w:themeColor="text1"/>
          <w:sz w:val="16"/>
          <w:szCs w:val="16"/>
        </w:rPr>
        <w:t>, полностью обеспечивающем безопасность машины. Представить на утверждение Правления в 2-х недельный срок программу и смету на статические испытания</w:t>
      </w:r>
      <w:r w:rsidRPr="00A259BD">
        <w:rPr>
          <w:rFonts w:ascii="Times New Roman" w:hAnsi="Times New Roman"/>
          <w:color w:val="000000" w:themeColor="text1"/>
          <w:sz w:val="16"/>
          <w:szCs w:val="16"/>
        </w:rPr>
        <w:tab/>
        <w:t>ТО</w:t>
      </w:r>
    </w:p>
    <w:p w14:paraId="09674D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Приступать при наличии чертежей</w:t>
      </w:r>
    </w:p>
    <w:p w14:paraId="5B2167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Техотделу совместно с наличии ОПО 4 в недельный по представлении программы стат. испытаний срок установить в недельный срок установить детальный хронологический план работ по расчетам, проектированию, испытаниям и постройке машины.</w:t>
      </w:r>
    </w:p>
    <w:p w14:paraId="2B8D71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Подлинный за надлежащими подписями:</w:t>
      </w:r>
    </w:p>
    <w:p w14:paraId="6C4DAB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верна: СЕКРЕТАРЪ ПРАВЛЕНИЯ: (Инихов) (2363,336).</w:t>
      </w:r>
    </w:p>
    <w:p w14:paraId="7AB338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88D770D" w14:textId="77777777" w:rsidR="00D3368F" w:rsidRPr="00A259BD" w:rsidRDefault="00D3368F" w:rsidP="00D3368F">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61CEACA" w14:textId="77777777" w:rsidR="00D3368F" w:rsidRPr="00A259BD" w:rsidRDefault="00D3368F" w:rsidP="00D3368F">
      <w:pPr>
        <w:autoSpaceDE w:val="0"/>
        <w:autoSpaceDN w:val="0"/>
        <w:adjustRightInd w:val="0"/>
        <w:spacing w:after="0" w:line="240" w:lineRule="auto"/>
        <w:jc w:val="both"/>
        <w:rPr>
          <w:rFonts w:ascii="Times New Roman" w:hAnsi="Times New Roman"/>
          <w:iCs/>
          <w:color w:val="000000" w:themeColor="text1"/>
          <w:sz w:val="16"/>
          <w:szCs w:val="16"/>
        </w:rPr>
      </w:pPr>
    </w:p>
    <w:p w14:paraId="6B1018B8" w14:textId="77777777" w:rsidR="00D3368F" w:rsidRPr="00441F34" w:rsidRDefault="00D3368F" w:rsidP="00D3368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середине июля 1929 г. Политбюро ЦК ВКП(б) приняло постановление о военной промышленности. Вся тяжесть вины за провалы в военно-промышленном строительстве СССР была возложена, с одной стороны, на членов мнимой «вредительской» организации, которая якобы состояла из дореволюционных специалистов и длительное время разрушала советскую военную промышленность. А с другой стороны, Политбюро считало виноватым руководящий состав военной промышленности и отдельных заводов (конкретные фамилии названы не были, но по тексту очень хорошо видно, что эти претензии направлены и к А.Ф. </w:t>
      </w:r>
      <w:proofErr w:type="spellStart"/>
      <w:r w:rsidRPr="00441F34">
        <w:rPr>
          <w:rFonts w:ascii="Times New Roman" w:hAnsi="Times New Roman"/>
          <w:color w:val="0070C0"/>
          <w:sz w:val="16"/>
          <w:szCs w:val="16"/>
        </w:rPr>
        <w:t>Толоконцеву</w:t>
      </w:r>
      <w:proofErr w:type="spellEnd"/>
      <w:r w:rsidRPr="00441F34">
        <w:rPr>
          <w:rFonts w:ascii="Times New Roman" w:hAnsi="Times New Roman"/>
          <w:color w:val="0070C0"/>
          <w:sz w:val="16"/>
          <w:szCs w:val="16"/>
        </w:rPr>
        <w:t>), которые были виновны «в недостаточной бдительности к многолетнему и явному вредительству и упущениям в военной промышленности» и должны были понести наказание.</w:t>
      </w:r>
    </w:p>
    <w:p w14:paraId="63914BF1" w14:textId="77777777" w:rsidR="00D3368F" w:rsidRPr="00441F34" w:rsidRDefault="00D3368F" w:rsidP="00D3368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Для исправления ситуации создавалась специальная комиссия во главе с И.П. </w:t>
      </w:r>
      <w:proofErr w:type="spellStart"/>
      <w:r w:rsidRPr="00441F34">
        <w:rPr>
          <w:rFonts w:ascii="Times New Roman" w:hAnsi="Times New Roman"/>
          <w:color w:val="0070C0"/>
          <w:sz w:val="16"/>
          <w:szCs w:val="16"/>
        </w:rPr>
        <w:t>Павлуновским</w:t>
      </w:r>
      <w:proofErr w:type="spellEnd"/>
      <w:r w:rsidRPr="00441F34">
        <w:rPr>
          <w:rFonts w:ascii="Times New Roman" w:hAnsi="Times New Roman"/>
          <w:color w:val="0070C0"/>
          <w:sz w:val="16"/>
          <w:szCs w:val="16"/>
        </w:rPr>
        <w:t xml:space="preserve">, которая должна была «в кратчайший срок произвести чистку всего личного состава военной промышленности до заводов включительно». Такая чистка неизбежно увеличивала и без того серьезный кадровый дефицит в </w:t>
      </w:r>
      <w:proofErr w:type="spellStart"/>
      <w:r w:rsidRPr="00441F34">
        <w:rPr>
          <w:rFonts w:ascii="Times New Roman" w:hAnsi="Times New Roman"/>
          <w:color w:val="0070C0"/>
          <w:sz w:val="16"/>
          <w:szCs w:val="16"/>
        </w:rPr>
        <w:t>военпроме</w:t>
      </w:r>
      <w:proofErr w:type="spellEnd"/>
      <w:r w:rsidRPr="00441F34">
        <w:rPr>
          <w:rFonts w:ascii="Times New Roman" w:hAnsi="Times New Roman"/>
          <w:color w:val="0070C0"/>
          <w:sz w:val="16"/>
          <w:szCs w:val="16"/>
        </w:rPr>
        <w:t>, поэтому Политбюро решило реализовать два параллельных мероприятия. Во-первых, Оргбюро ЦК ВКП(б) обязывалось «в месячный срок мобилизовать для военной промышленности не менее 100 чел., преимущественно членов партии, опытных производственников и молодых инженеров». Во-вторых, Высшему совету народного хозяйства следовало «рядом срочных и конкретных мероприятий немедленно разрешить вопрос об усилении технических кадров военной промышленности (путем переподготовки, устройства краткосрочных курсов и т. д.) и одновременно разработать план систематической подготовки для нее технического персонала»[46]. Однако успешно решить проблему кадрового голода так и не удалось (23536).</w:t>
      </w:r>
    </w:p>
    <w:p w14:paraId="581B5B8E" w14:textId="77777777" w:rsidR="00D3368F" w:rsidRPr="00441F34" w:rsidRDefault="00D3368F" w:rsidP="00D3368F">
      <w:pPr>
        <w:spacing w:after="0" w:line="240" w:lineRule="auto"/>
        <w:jc w:val="both"/>
        <w:rPr>
          <w:rFonts w:ascii="Times New Roman" w:hAnsi="Times New Roman"/>
          <w:color w:val="0070C0"/>
          <w:sz w:val="16"/>
          <w:szCs w:val="16"/>
        </w:rPr>
      </w:pPr>
    </w:p>
    <w:p w14:paraId="487BC490" w14:textId="77777777" w:rsidR="00010739" w:rsidRPr="00A259BD" w:rsidRDefault="0001073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4F30AC0B" w14:textId="77777777" w:rsidR="00010739" w:rsidRPr="00A259BD" w:rsidRDefault="0001073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44F2C5" w14:textId="77777777" w:rsidR="00010739" w:rsidRPr="00A259BD" w:rsidRDefault="0001073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Середина июля 1929. Началась постройка нового мавзолея на Красной площади (18726).</w:t>
      </w:r>
    </w:p>
    <w:p w14:paraId="05224211" w14:textId="77777777" w:rsidR="00010739" w:rsidRPr="00A259BD" w:rsidRDefault="00010739" w:rsidP="009236E3">
      <w:pPr>
        <w:spacing w:after="0" w:line="240" w:lineRule="auto"/>
        <w:jc w:val="both"/>
        <w:rPr>
          <w:rFonts w:ascii="Times New Roman" w:hAnsi="Times New Roman"/>
          <w:color w:val="000000" w:themeColor="text1"/>
          <w:sz w:val="16"/>
          <w:szCs w:val="16"/>
        </w:rPr>
      </w:pPr>
    </w:p>
    <w:p w14:paraId="0E4D3921"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43956E3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B336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середине июля 1929 </w:t>
      </w:r>
      <w:proofErr w:type="spellStart"/>
      <w:r w:rsidRPr="00A259BD">
        <w:rPr>
          <w:rFonts w:ascii="Times New Roman" w:hAnsi="Times New Roman"/>
          <w:color w:val="000000" w:themeColor="text1"/>
          <w:sz w:val="16"/>
          <w:szCs w:val="16"/>
        </w:rPr>
        <w:t>манчжурские</w:t>
      </w:r>
      <w:proofErr w:type="spellEnd"/>
      <w:r w:rsidRPr="00A259BD">
        <w:rPr>
          <w:rFonts w:ascii="Times New Roman" w:hAnsi="Times New Roman"/>
          <w:color w:val="000000" w:themeColor="text1"/>
          <w:sz w:val="16"/>
          <w:szCs w:val="16"/>
        </w:rPr>
        <w:t xml:space="preserve"> власти взяли управление КВЖД под свой контроль и отстранили от работы советских служащих, часть из которых (более 200 чел.) была арестована. В ответ советское правительство разорвало дипломатические отношения с Китаем, отозвало всех своих дипломатических представителей, выслало из СССР всех китайских дипломатов и прекратило отправку грузов по КВЖД. Более того, на территории СССР близ границ с Манчжурией была срочно развернута Особая дальневосточная армия под командованием </w:t>
      </w:r>
      <w:proofErr w:type="spellStart"/>
      <w:r w:rsidRPr="00A259BD">
        <w:rPr>
          <w:rFonts w:ascii="Times New Roman" w:hAnsi="Times New Roman"/>
          <w:color w:val="000000" w:themeColor="text1"/>
          <w:sz w:val="16"/>
          <w:szCs w:val="16"/>
        </w:rPr>
        <w:t>В.К.Блюхера</w:t>
      </w:r>
      <w:proofErr w:type="spellEnd"/>
      <w:r w:rsidRPr="00A259BD">
        <w:rPr>
          <w:rFonts w:ascii="Times New Roman" w:hAnsi="Times New Roman"/>
          <w:color w:val="000000" w:themeColor="text1"/>
          <w:sz w:val="16"/>
          <w:szCs w:val="16"/>
        </w:rPr>
        <w:t>, уже имевшего опыт ведения боевых действий в Китае. Эта армия под предлогом пресечения провокаций китайских войск и белогвардейцев на советско-китайской границе вступила на территорию приграничных районов Манчжурии и нанесла несколько чувствительных поражений китайским вооруженным силам (3871).</w:t>
      </w:r>
    </w:p>
    <w:p w14:paraId="3448A2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8CAD7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CE7244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A6718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16 июля 1929 пока ждали новый мотор для Р-5, решили заняться вооружением. Сотрудники НИИ повезли самолет на Кунцевский полигон. Отстрел передней установки закончился неудачей. Пулемет трясся, ленту захлестывало в приемном рукаве. Причиной оказалась недостаточная жесткость заднего кронштейна крепления. Попытки "</w:t>
      </w:r>
      <w:proofErr w:type="spellStart"/>
      <w:r w:rsidRPr="00A259BD">
        <w:rPr>
          <w:rFonts w:ascii="Times New Roman" w:hAnsi="Times New Roman"/>
          <w:color w:val="000000" w:themeColor="text1"/>
          <w:sz w:val="16"/>
          <w:szCs w:val="16"/>
        </w:rPr>
        <w:t>подтянугь</w:t>
      </w:r>
      <w:proofErr w:type="spellEnd"/>
      <w:r w:rsidRPr="00A259BD">
        <w:rPr>
          <w:rFonts w:ascii="Times New Roman" w:hAnsi="Times New Roman"/>
          <w:color w:val="000000" w:themeColor="text1"/>
          <w:sz w:val="16"/>
          <w:szCs w:val="16"/>
        </w:rPr>
        <w:t>" и "поджать" ничего не дали. Кронштейн надо было переделывать (12034).</w:t>
      </w:r>
    </w:p>
    <w:p w14:paraId="6022B6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ECB65AF" w14:textId="77777777" w:rsidR="00B50A82"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C08BF8B" w14:textId="77777777" w:rsidR="00B50A82" w:rsidRPr="00A259BD" w:rsidRDefault="00B50A8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A91097" w14:textId="77777777" w:rsidR="00B50A82" w:rsidRPr="00A259BD" w:rsidRDefault="00B50A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июля 1929 г. Протокол совещания при Президиуме ВСНХ СССР о состоянии работ по азотному строительству (РГАЭ. Ф. 3429. Оп. 16. Д. 15. Л. 20?20 об.) (12417).</w:t>
      </w:r>
    </w:p>
    <w:p w14:paraId="1EEE2336" w14:textId="77777777" w:rsidR="00B50A82" w:rsidRPr="00A259BD" w:rsidRDefault="00B50A82" w:rsidP="009236E3">
      <w:pPr>
        <w:spacing w:after="0" w:line="240" w:lineRule="auto"/>
        <w:jc w:val="both"/>
        <w:rPr>
          <w:rFonts w:ascii="Times New Roman" w:hAnsi="Times New Roman"/>
          <w:color w:val="000000" w:themeColor="text1"/>
          <w:sz w:val="16"/>
          <w:szCs w:val="16"/>
        </w:rPr>
      </w:pPr>
    </w:p>
    <w:p w14:paraId="30C9847E" w14:textId="77777777" w:rsidR="00B50A82" w:rsidRPr="00A259BD" w:rsidRDefault="00B50A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ранее 16 июля 1929 г.]1 Сведения Информационно-статистического подотдела Ленинградского обкома ВКП(б) «О положении на кирпичных заводах и в порту»</w:t>
      </w:r>
    </w:p>
    <w:p w14:paraId="3DECA041" w14:textId="77777777" w:rsidR="00B50A82" w:rsidRPr="00A259BD" w:rsidRDefault="00B50A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г. напряженное положение, выразившееся в массовых уходах рабочих на покос, в волынках и переходах на другие предприятия, сложилось на кирпичных заводах Ленинградского округа.2 На заводе «Красная Заря» из 340 чел. взяли расчет 160 чел. В результате в течение недели завод работал с перебоями. На заводах «Тосно», «Песчанка» и «</w:t>
      </w:r>
      <w:proofErr w:type="spellStart"/>
      <w:r w:rsidRPr="00A259BD">
        <w:rPr>
          <w:rFonts w:ascii="Times New Roman" w:hAnsi="Times New Roman"/>
          <w:color w:val="000000" w:themeColor="text1"/>
          <w:sz w:val="16"/>
          <w:szCs w:val="16"/>
        </w:rPr>
        <w:t>Кочалово</w:t>
      </w:r>
      <w:proofErr w:type="spellEnd"/>
      <w:r w:rsidRPr="00A259BD">
        <w:rPr>
          <w:rFonts w:ascii="Times New Roman" w:hAnsi="Times New Roman"/>
          <w:color w:val="000000" w:themeColor="text1"/>
          <w:sz w:val="16"/>
          <w:szCs w:val="16"/>
        </w:rPr>
        <w:t>» из 470 рабочих на покос собралось 180 чел. Оставшиеся, пользуясь недостатком рабочих рук, предъявили ряд требований в части увеличения зарплаты, сокращения рабочего дня и т.д. Имели место случаи волынок, связанные с задержкой зарплаты. На заводе «Возрождение» из 180 рабочих 10 июля работали 60 чел., остальные не работали, хотя находились на заводе. Такое же положение наблюдалось 10 и 11 июля на заводе «Красная Заря» и 16 июля в порту, где из 2000 рабочих-</w:t>
      </w:r>
      <w:proofErr w:type="spellStart"/>
      <w:r w:rsidRPr="00A259BD">
        <w:rPr>
          <w:rFonts w:ascii="Times New Roman" w:hAnsi="Times New Roman"/>
          <w:color w:val="000000" w:themeColor="text1"/>
          <w:sz w:val="16"/>
          <w:szCs w:val="16"/>
        </w:rPr>
        <w:t>носаков</w:t>
      </w:r>
      <w:proofErr w:type="spellEnd"/>
      <w:r w:rsidRPr="00A259BD">
        <w:rPr>
          <w:rFonts w:ascii="Times New Roman" w:hAnsi="Times New Roman"/>
          <w:color w:val="000000" w:themeColor="text1"/>
          <w:sz w:val="16"/>
          <w:szCs w:val="16"/>
        </w:rPr>
        <w:t xml:space="preserve"> ушли на сельскохозяйственные работы 200 чел.</w:t>
      </w:r>
    </w:p>
    <w:p w14:paraId="39CCA638" w14:textId="77777777" w:rsidR="00B50A82" w:rsidRPr="00A259BD" w:rsidRDefault="00B50A82"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lastRenderedPageBreak/>
        <w:t>ЦГАИПДСПб</w:t>
      </w:r>
      <w:proofErr w:type="spellEnd"/>
      <w:r w:rsidRPr="00A259BD">
        <w:rPr>
          <w:rFonts w:ascii="Times New Roman" w:hAnsi="Times New Roman"/>
          <w:color w:val="000000" w:themeColor="text1"/>
          <w:sz w:val="16"/>
          <w:szCs w:val="16"/>
          <w:lang w:val="en-US"/>
        </w:rPr>
        <w:t xml:space="preserve">. </w:t>
      </w:r>
      <w:r w:rsidRPr="00A259BD">
        <w:rPr>
          <w:rFonts w:ascii="Times New Roman" w:hAnsi="Times New Roman"/>
          <w:color w:val="000000" w:themeColor="text1"/>
          <w:sz w:val="16"/>
          <w:szCs w:val="16"/>
        </w:rPr>
        <w:t>Ф</w:t>
      </w:r>
      <w:r w:rsidRPr="00A259BD">
        <w:rPr>
          <w:rFonts w:ascii="Times New Roman" w:hAnsi="Times New Roman"/>
          <w:color w:val="000000" w:themeColor="text1"/>
          <w:sz w:val="16"/>
          <w:szCs w:val="16"/>
          <w:lang w:val="en-US"/>
        </w:rPr>
        <w:t xml:space="preserve">. 24, on. 5, </w:t>
      </w:r>
      <w:r w:rsidRPr="00A259BD">
        <w:rPr>
          <w:rFonts w:ascii="Times New Roman" w:hAnsi="Times New Roman"/>
          <w:color w:val="000000" w:themeColor="text1"/>
          <w:sz w:val="16"/>
          <w:szCs w:val="16"/>
        </w:rPr>
        <w:t>д</w:t>
      </w:r>
      <w:r w:rsidRPr="00A259BD">
        <w:rPr>
          <w:rFonts w:ascii="Times New Roman" w:hAnsi="Times New Roman"/>
          <w:color w:val="000000" w:themeColor="text1"/>
          <w:sz w:val="16"/>
          <w:szCs w:val="16"/>
          <w:lang w:val="en-US"/>
        </w:rPr>
        <w:t xml:space="preserve">. 1068, </w:t>
      </w:r>
      <w:r w:rsidRPr="00A259BD">
        <w:rPr>
          <w:rFonts w:ascii="Times New Roman" w:hAnsi="Times New Roman"/>
          <w:color w:val="000000" w:themeColor="text1"/>
          <w:sz w:val="16"/>
          <w:szCs w:val="16"/>
        </w:rPr>
        <w:t>л</w:t>
      </w:r>
      <w:r w:rsidRPr="00A259BD">
        <w:rPr>
          <w:rFonts w:ascii="Times New Roman" w:hAnsi="Times New Roman"/>
          <w:color w:val="000000" w:themeColor="text1"/>
          <w:sz w:val="16"/>
          <w:szCs w:val="16"/>
          <w:lang w:val="en-US"/>
        </w:rPr>
        <w:t xml:space="preserve">. 21. </w:t>
      </w:r>
      <w:r w:rsidRPr="00A259BD">
        <w:rPr>
          <w:rFonts w:ascii="Times New Roman" w:hAnsi="Times New Roman"/>
          <w:color w:val="000000" w:themeColor="text1"/>
          <w:sz w:val="16"/>
          <w:szCs w:val="16"/>
        </w:rPr>
        <w:t>Ротаторный экземпляр.</w:t>
      </w:r>
    </w:p>
    <w:p w14:paraId="7B118C8E" w14:textId="77777777" w:rsidR="00B50A82" w:rsidRPr="00A259BD" w:rsidRDefault="00B50A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Ленинградская область делилась на 9 округов: Ленинградский, Луж-</w:t>
      </w:r>
      <w:proofErr w:type="spellStart"/>
      <w:r w:rsidRPr="00A259BD">
        <w:rPr>
          <w:rFonts w:ascii="Times New Roman" w:hAnsi="Times New Roman"/>
          <w:color w:val="000000" w:themeColor="text1"/>
          <w:sz w:val="16"/>
          <w:szCs w:val="16"/>
        </w:rPr>
        <w:t>ский</w:t>
      </w:r>
      <w:proofErr w:type="spellEnd"/>
      <w:r w:rsidRPr="00A259BD">
        <w:rPr>
          <w:rFonts w:ascii="Times New Roman" w:hAnsi="Times New Roman"/>
          <w:color w:val="000000" w:themeColor="text1"/>
          <w:sz w:val="16"/>
          <w:szCs w:val="16"/>
        </w:rPr>
        <w:t>, Лодейнопольский, Череповецкий, Новгородский, Боровичский, Псковский, Великолукский, Мурманский. В 1929 г. Великолукский округ передан Западной области. В 1930 г. округа (за исключением Мурманского) преобразованы в районы (12214).</w:t>
      </w:r>
    </w:p>
    <w:p w14:paraId="6B4A1819" w14:textId="77777777" w:rsidR="00B50A82" w:rsidRPr="00A259BD" w:rsidRDefault="00B50A82" w:rsidP="009236E3">
      <w:pPr>
        <w:spacing w:after="0" w:line="240" w:lineRule="auto"/>
        <w:jc w:val="both"/>
        <w:rPr>
          <w:rFonts w:ascii="Times New Roman" w:hAnsi="Times New Roman"/>
          <w:color w:val="000000" w:themeColor="text1"/>
          <w:sz w:val="16"/>
          <w:szCs w:val="16"/>
        </w:rPr>
      </w:pPr>
    </w:p>
    <w:p w14:paraId="148B624F" w14:textId="77777777" w:rsidR="002D48EF" w:rsidRPr="00A259BD" w:rsidRDefault="002D48EF"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bCs/>
          <w:iCs/>
          <w:color w:val="000000" w:themeColor="text1"/>
          <w:sz w:val="16"/>
          <w:szCs w:val="16"/>
        </w:rPr>
        <w:t>16 июля 1929 г.</w:t>
      </w:r>
      <w:r w:rsidRPr="00A259BD">
        <w:rPr>
          <w:rFonts w:ascii="Times New Roman" w:hAnsi="Times New Roman"/>
          <w:color w:val="000000" w:themeColor="text1"/>
          <w:sz w:val="16"/>
          <w:szCs w:val="16"/>
        </w:rPr>
        <w:t xml:space="preserve"> Заседании Научного совета ИХО по рассмотрению проблемы военно-химического использования ядов растительного и животного происхождения, главным образом алкалоидов. К тому времени в качестве химического оружия уже были испытаны физостигмин (</w:t>
      </w:r>
      <w:proofErr w:type="spellStart"/>
      <w:r w:rsidRPr="00A259BD">
        <w:rPr>
          <w:rFonts w:ascii="Times New Roman" w:hAnsi="Times New Roman"/>
          <w:color w:val="000000" w:themeColor="text1"/>
          <w:sz w:val="16"/>
          <w:szCs w:val="16"/>
        </w:rPr>
        <w:t>эозерин</w:t>
      </w:r>
      <w:proofErr w:type="spellEnd"/>
      <w:r w:rsidRPr="00A259BD">
        <w:rPr>
          <w:rFonts w:ascii="Times New Roman" w:hAnsi="Times New Roman"/>
          <w:color w:val="000000" w:themeColor="text1"/>
          <w:sz w:val="16"/>
          <w:szCs w:val="16"/>
        </w:rPr>
        <w:t xml:space="preserve">), стрихнин, вератрин, </w:t>
      </w:r>
      <w:proofErr w:type="spellStart"/>
      <w:r w:rsidRPr="00A259BD">
        <w:rPr>
          <w:rFonts w:ascii="Times New Roman" w:hAnsi="Times New Roman"/>
          <w:color w:val="000000" w:themeColor="text1"/>
          <w:sz w:val="16"/>
          <w:szCs w:val="16"/>
        </w:rPr>
        <w:t>биоморфин</w:t>
      </w:r>
      <w:proofErr w:type="spellEnd"/>
      <w:r w:rsidRPr="00A259BD">
        <w:rPr>
          <w:rFonts w:ascii="Times New Roman" w:hAnsi="Times New Roman"/>
          <w:color w:val="000000" w:themeColor="text1"/>
          <w:sz w:val="16"/>
          <w:szCs w:val="16"/>
        </w:rPr>
        <w:t xml:space="preserve"> и др., всего 8 веществ. Работы было решено продолжить (17133).</w:t>
      </w:r>
    </w:p>
    <w:p w14:paraId="4247217A" w14:textId="77777777" w:rsidR="002D48EF" w:rsidRPr="00A259BD" w:rsidRDefault="002D48EF" w:rsidP="009236E3">
      <w:pPr>
        <w:shd w:val="clear" w:color="auto" w:fill="FFFFFF"/>
        <w:spacing w:after="0" w:line="240" w:lineRule="auto"/>
        <w:jc w:val="both"/>
        <w:rPr>
          <w:rFonts w:ascii="Times New Roman" w:hAnsi="Times New Roman"/>
          <w:color w:val="000000" w:themeColor="text1"/>
          <w:sz w:val="16"/>
          <w:szCs w:val="16"/>
        </w:rPr>
      </w:pPr>
    </w:p>
    <w:p w14:paraId="3DDC28AD" w14:textId="77777777" w:rsidR="00261E4C"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42114924" w14:textId="77777777" w:rsidR="00261E4C" w:rsidRPr="00A259BD" w:rsidRDefault="00261E4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C2FD12E" w14:textId="77777777" w:rsidR="00261E4C" w:rsidRPr="00A259BD" w:rsidRDefault="00261E4C" w:rsidP="009236E3">
      <w:pPr>
        <w:pStyle w:val="a3"/>
        <w:rPr>
          <w:color w:val="000000" w:themeColor="text1"/>
          <w:lang w:val="ru-RU"/>
        </w:rPr>
      </w:pPr>
      <w:r w:rsidRPr="00A259BD">
        <w:rPr>
          <w:color w:val="000000" w:themeColor="text1"/>
          <w:lang w:val="ru-RU"/>
        </w:rPr>
        <w:t xml:space="preserve">С 16 июля 1929 </w:t>
      </w:r>
      <w:r w:rsidRPr="00A259BD">
        <w:rPr>
          <w:rStyle w:val="28Arial"/>
          <w:rFonts w:ascii="Times New Roman" w:hAnsi="Times New Roman" w:cs="Times New Roman"/>
          <w:b w:val="0"/>
          <w:color w:val="000000" w:themeColor="text1"/>
          <w:sz w:val="16"/>
          <w:szCs w:val="16"/>
          <w:lang w:val="ru-RU"/>
        </w:rPr>
        <w:t>в</w:t>
      </w:r>
      <w:r w:rsidRPr="00A259BD">
        <w:rPr>
          <w:color w:val="000000" w:themeColor="text1"/>
          <w:lang w:val="ru-RU"/>
        </w:rPr>
        <w:t xml:space="preserve"> ходе подготовки к операции советская авиация начала интенсивную воз</w:t>
      </w:r>
      <w:r w:rsidRPr="00A259BD">
        <w:rPr>
          <w:color w:val="000000" w:themeColor="text1"/>
          <w:lang w:val="ru-RU"/>
        </w:rPr>
        <w:softHyphen/>
        <w:t>душную разведку на приморском направлении. Она велась по обе стороны границы. Над своей территорией искали разведгруппы китайцев и банды белогвардейцев, совершав</w:t>
      </w:r>
      <w:r w:rsidRPr="00A259BD">
        <w:rPr>
          <w:color w:val="000000" w:themeColor="text1"/>
          <w:lang w:val="ru-RU"/>
        </w:rPr>
        <w:softHyphen/>
      </w:r>
      <w:r w:rsidRPr="00A259BD">
        <w:rPr>
          <w:rStyle w:val="154"/>
          <w:rFonts w:ascii="Times New Roman" w:hAnsi="Times New Roman" w:cs="Times New Roman"/>
          <w:b w:val="0"/>
          <w:color w:val="000000" w:themeColor="text1"/>
          <w:sz w:val="16"/>
          <w:szCs w:val="16"/>
          <w:lang w:val="ru-RU"/>
        </w:rPr>
        <w:t>ших</w:t>
      </w:r>
      <w:r w:rsidRPr="00A259BD">
        <w:rPr>
          <w:color w:val="000000" w:themeColor="text1"/>
          <w:lang w:val="ru-RU"/>
        </w:rPr>
        <w:t xml:space="preserve"> набеги с сопредельной территории. Над Китаем решали сразу несколько задач.</w:t>
      </w:r>
    </w:p>
    <w:p w14:paraId="4178A927" w14:textId="77777777" w:rsidR="00261E4C" w:rsidRPr="00A259BD" w:rsidRDefault="00261E4C" w:rsidP="009236E3">
      <w:pPr>
        <w:pStyle w:val="a3"/>
        <w:rPr>
          <w:color w:val="000000" w:themeColor="text1"/>
          <w:lang w:val="ru-RU"/>
        </w:rPr>
      </w:pPr>
      <w:r w:rsidRPr="00A259BD">
        <w:rPr>
          <w:color w:val="000000" w:themeColor="text1"/>
          <w:lang w:val="ru-RU"/>
        </w:rPr>
        <w:t xml:space="preserve">Во-первых, занимались уточнением карт местности. Имеющиеся составили ещё до русско-японской войны </w:t>
      </w:r>
      <w:r w:rsidRPr="00A259BD">
        <w:rPr>
          <w:color w:val="000000" w:themeColor="text1"/>
        </w:rPr>
        <w:t>to</w:t>
      </w:r>
      <w:r w:rsidRPr="00A259BD">
        <w:rPr>
          <w:color w:val="000000" w:themeColor="text1"/>
          <w:lang w:val="ru-RU"/>
        </w:rPr>
        <w:t xml:space="preserve"> они мало соответствовали действительности. Русла рек изме</w:t>
      </w:r>
      <w:r w:rsidRPr="00A259BD">
        <w:rPr>
          <w:color w:val="000000" w:themeColor="text1"/>
          <w:lang w:val="ru-RU"/>
        </w:rPr>
        <w:softHyphen/>
        <w:t>нили очертания, некоторые населённые пункты исчезли (так, в одном месте значилась деревня, сгоревшая еще 15 лет назад), другие, наоборот, разрослись. Места, помечен</w:t>
      </w:r>
      <w:r w:rsidRPr="00A259BD">
        <w:rPr>
          <w:color w:val="000000" w:themeColor="text1"/>
          <w:lang w:val="ru-RU"/>
        </w:rPr>
        <w:softHyphen/>
        <w:t>ные как «фанзы» (т.е. хутора), кое-где стали настоящими городами. Оказалось, что не</w:t>
      </w:r>
      <w:r w:rsidRPr="00A259BD">
        <w:rPr>
          <w:color w:val="000000" w:themeColor="text1"/>
          <w:lang w:val="ru-RU"/>
        </w:rPr>
        <w:softHyphen/>
        <w:t>которые озера существуют только в определённое время года. Лётчики искали дороги, перевалы, мосты и аэродромы.</w:t>
      </w:r>
    </w:p>
    <w:p w14:paraId="4CFE1608" w14:textId="77777777" w:rsidR="00261E4C" w:rsidRPr="00A259BD" w:rsidRDefault="00261E4C" w:rsidP="009236E3">
      <w:pPr>
        <w:pStyle w:val="a3"/>
        <w:rPr>
          <w:color w:val="000000" w:themeColor="text1"/>
          <w:lang w:val="ru-RU"/>
        </w:rPr>
      </w:pPr>
      <w:r w:rsidRPr="00A259BD">
        <w:rPr>
          <w:color w:val="000000" w:themeColor="text1"/>
          <w:lang w:val="ru-RU"/>
        </w:rPr>
        <w:t>Во-вторых, авиация выявляла укрепления, артиллерийские позиции и скопления войск противника. Она также вела наблюдение за железнодорожными путями, станциями и узлами дорог, отслеживая перемещения китайских частей.</w:t>
      </w:r>
    </w:p>
    <w:p w14:paraId="4AA01B14" w14:textId="77777777" w:rsidR="00261E4C" w:rsidRPr="00A259BD" w:rsidRDefault="00261E4C" w:rsidP="009236E3">
      <w:pPr>
        <w:pStyle w:val="a3"/>
        <w:rPr>
          <w:color w:val="000000" w:themeColor="text1"/>
          <w:lang w:val="ru-RU"/>
        </w:rPr>
      </w:pPr>
      <w:r w:rsidRPr="00A259BD">
        <w:rPr>
          <w:color w:val="000000" w:themeColor="text1"/>
          <w:lang w:val="ru-RU"/>
        </w:rPr>
        <w:t xml:space="preserve">Границу разделили на два участка: к югу от копей </w:t>
      </w:r>
      <w:proofErr w:type="spellStart"/>
      <w:r w:rsidRPr="00A259BD">
        <w:rPr>
          <w:color w:val="000000" w:themeColor="text1"/>
          <w:lang w:val="ru-RU"/>
        </w:rPr>
        <w:t>Мут</w:t>
      </w:r>
      <w:proofErr w:type="spellEnd"/>
      <w:r w:rsidRPr="00A259BD">
        <w:rPr>
          <w:color w:val="000000" w:themeColor="text1"/>
          <w:lang w:val="ru-RU"/>
        </w:rPr>
        <w:t xml:space="preserve"> работал 19-й </w:t>
      </w:r>
      <w:proofErr w:type="spellStart"/>
      <w:r w:rsidRPr="00A259BD">
        <w:rPr>
          <w:color w:val="000000" w:themeColor="text1"/>
          <w:lang w:val="ru-RU"/>
        </w:rPr>
        <w:t>оао</w:t>
      </w:r>
      <w:proofErr w:type="spellEnd"/>
      <w:r w:rsidRPr="00A259BD">
        <w:rPr>
          <w:color w:val="000000" w:themeColor="text1"/>
          <w:lang w:val="ru-RU"/>
        </w:rPr>
        <w:t xml:space="preserve">, к северу — 40-я </w:t>
      </w:r>
      <w:proofErr w:type="spellStart"/>
      <w:r w:rsidRPr="00A259BD">
        <w:rPr>
          <w:color w:val="000000" w:themeColor="text1"/>
          <w:lang w:val="ru-RU"/>
        </w:rPr>
        <w:t>аэ</w:t>
      </w:r>
      <w:proofErr w:type="spellEnd"/>
      <w:r w:rsidRPr="00A259BD">
        <w:rPr>
          <w:color w:val="000000" w:themeColor="text1"/>
          <w:lang w:val="ru-RU"/>
        </w:rPr>
        <w:t>. Разведка велась визуально и с применением фотосъёмки. Полёты усложняла го</w:t>
      </w:r>
      <w:r w:rsidRPr="00A259BD">
        <w:rPr>
          <w:color w:val="000000" w:themeColor="text1"/>
          <w:lang w:val="ru-RU"/>
        </w:rPr>
        <w:softHyphen/>
        <w:t>ристая местность с обильной растительностью. А вот китайцы воздушным разведчикам почти не мешали. Маскироваться они и не пытались. Зенитки имелись только возле аэ</w:t>
      </w:r>
      <w:r w:rsidRPr="00A259BD">
        <w:rPr>
          <w:color w:val="000000" w:themeColor="text1"/>
          <w:lang w:val="ru-RU"/>
        </w:rPr>
        <w:softHyphen/>
        <w:t xml:space="preserve">родромов и на крупных кораблях </w:t>
      </w:r>
      <w:proofErr w:type="spellStart"/>
      <w:r w:rsidRPr="00A259BD">
        <w:rPr>
          <w:color w:val="000000" w:themeColor="text1"/>
          <w:lang w:val="ru-RU"/>
        </w:rPr>
        <w:t>Сунгарийской</w:t>
      </w:r>
      <w:proofErr w:type="spellEnd"/>
      <w:r w:rsidRPr="00A259BD">
        <w:rPr>
          <w:color w:val="000000" w:themeColor="text1"/>
          <w:lang w:val="ru-RU"/>
        </w:rPr>
        <w:t xml:space="preserve"> флотилии, зенитных пулемётов не было вообще. По самолётам иногда стреляли из винтовок, но неорганизованно и неточно.</w:t>
      </w:r>
    </w:p>
    <w:p w14:paraId="7B3BB6DD" w14:textId="77777777" w:rsidR="00261E4C" w:rsidRPr="00A259BD" w:rsidRDefault="00261E4C" w:rsidP="009236E3">
      <w:pPr>
        <w:pStyle w:val="a3"/>
        <w:rPr>
          <w:color w:val="000000" w:themeColor="text1"/>
          <w:lang w:val="ru-RU"/>
        </w:rPr>
      </w:pPr>
      <w:r w:rsidRPr="00A259BD">
        <w:rPr>
          <w:color w:val="000000" w:themeColor="text1"/>
          <w:lang w:val="ru-RU"/>
        </w:rPr>
        <w:t>Лётчики порой замечали в воздухе китайские самолёты, но те не делали попыток ата</w:t>
      </w:r>
      <w:r w:rsidRPr="00A259BD">
        <w:rPr>
          <w:color w:val="000000" w:themeColor="text1"/>
          <w:lang w:val="ru-RU"/>
        </w:rPr>
        <w:softHyphen/>
        <w:t>ковать их и никогда не пересекали границу. Поэтому Р-1 летали низко, на высоте 600- 1200 м, хотя наставлением предписывалось держаться на 2000-2500 м, и не затрудняли себя сложными маршрутами, следуя к заданным объектам по кратчайшей траектории.</w:t>
      </w:r>
    </w:p>
    <w:p w14:paraId="3CE32C01" w14:textId="77777777" w:rsidR="00261E4C" w:rsidRPr="00A259BD" w:rsidRDefault="00261E4C" w:rsidP="009236E3">
      <w:pPr>
        <w:pStyle w:val="a3"/>
        <w:rPr>
          <w:color w:val="000000" w:themeColor="text1"/>
          <w:lang w:val="ru-RU"/>
        </w:rPr>
      </w:pPr>
      <w:r w:rsidRPr="00A259BD">
        <w:rPr>
          <w:color w:val="000000" w:themeColor="text1"/>
          <w:lang w:val="ru-RU"/>
        </w:rPr>
        <w:t>В результате к началу советского наступления у командования ОДВА имелись доста</w:t>
      </w:r>
      <w:r w:rsidRPr="00A259BD">
        <w:rPr>
          <w:color w:val="000000" w:themeColor="text1"/>
          <w:lang w:val="ru-RU"/>
        </w:rPr>
        <w:softHyphen/>
        <w:t>точно достоверные сведения о сосредоточении и перегруппировках китайских войск, пропускной способности дорог и уточненные карты местности. По всем выявленным обо</w:t>
      </w:r>
      <w:r w:rsidRPr="00A259BD">
        <w:rPr>
          <w:color w:val="000000" w:themeColor="text1"/>
          <w:lang w:val="ru-RU"/>
        </w:rPr>
        <w:softHyphen/>
        <w:t xml:space="preserve">ронительным рубежам и укреплениям подготовили схемы, кроки и </w:t>
      </w:r>
      <w:proofErr w:type="spellStart"/>
      <w:r w:rsidRPr="00A259BD">
        <w:rPr>
          <w:color w:val="000000" w:themeColor="text1"/>
          <w:lang w:val="ru-RU"/>
        </w:rPr>
        <w:t>фотопланшеты</w:t>
      </w:r>
      <w:proofErr w:type="spellEnd"/>
      <w:r w:rsidRPr="00A259BD">
        <w:rPr>
          <w:color w:val="000000" w:themeColor="text1"/>
          <w:lang w:val="ru-RU"/>
        </w:rPr>
        <w:t>.</w:t>
      </w:r>
    </w:p>
    <w:p w14:paraId="721BF59B" w14:textId="77777777" w:rsidR="00261E4C" w:rsidRPr="00A259BD" w:rsidRDefault="00261E4C" w:rsidP="009236E3">
      <w:pPr>
        <w:pStyle w:val="a3"/>
        <w:rPr>
          <w:color w:val="000000" w:themeColor="text1"/>
          <w:lang w:val="ru-RU"/>
        </w:rPr>
      </w:pPr>
      <w:r w:rsidRPr="00A259BD">
        <w:rPr>
          <w:color w:val="000000" w:themeColor="text1"/>
          <w:lang w:val="ru-RU"/>
        </w:rPr>
        <w:t>68-му отряду поставили ещё одну особую задачу — вести разведку в интересах Амурской флотилии. Последняя должна была подняться вверх по Сунгари и высадить десанты. Гидропланы уточняли карты проток и положение судоходных фарватеров, от</w:t>
      </w:r>
      <w:r w:rsidRPr="00A259BD">
        <w:rPr>
          <w:color w:val="000000" w:themeColor="text1"/>
          <w:lang w:val="ru-RU"/>
        </w:rPr>
        <w:softHyphen/>
        <w:t>слеживали нахождение кораблей и судов в портах.</w:t>
      </w:r>
    </w:p>
    <w:p w14:paraId="35AA33F2" w14:textId="77777777" w:rsidR="00261E4C" w:rsidRPr="00A259BD" w:rsidRDefault="00261E4C" w:rsidP="009236E3">
      <w:pPr>
        <w:pStyle w:val="a3"/>
        <w:rPr>
          <w:color w:val="000000" w:themeColor="text1"/>
          <w:lang w:val="ru-RU"/>
        </w:rPr>
      </w:pPr>
      <w:proofErr w:type="spellStart"/>
      <w:r w:rsidRPr="00A259BD">
        <w:rPr>
          <w:color w:val="000000" w:themeColor="text1"/>
          <w:lang w:val="ru-RU"/>
        </w:rPr>
        <w:t>Сунгарийская</w:t>
      </w:r>
      <w:proofErr w:type="spellEnd"/>
      <w:r w:rsidRPr="00A259BD">
        <w:rPr>
          <w:color w:val="000000" w:themeColor="text1"/>
          <w:lang w:val="ru-RU"/>
        </w:rPr>
        <w:t xml:space="preserve"> флотилия китайцев состояла из нескольких канонерок германской и японской постройки, вооружённых колесных пароходов (бывших русских буксиров, уг</w:t>
      </w:r>
      <w:r w:rsidRPr="00A259BD">
        <w:rPr>
          <w:color w:val="000000" w:themeColor="text1"/>
          <w:lang w:val="ru-RU"/>
        </w:rPr>
        <w:softHyphen/>
        <w:t xml:space="preserve">нанных в свое время белогвардейцами) и одной </w:t>
      </w:r>
      <w:proofErr w:type="spellStart"/>
      <w:r w:rsidRPr="00A259BD">
        <w:rPr>
          <w:color w:val="000000" w:themeColor="text1"/>
          <w:lang w:val="ru-RU"/>
        </w:rPr>
        <w:t>плавбатареи</w:t>
      </w:r>
      <w:proofErr w:type="spellEnd"/>
      <w:r w:rsidRPr="00A259BD">
        <w:rPr>
          <w:color w:val="000000" w:themeColor="text1"/>
          <w:lang w:val="ru-RU"/>
        </w:rPr>
        <w:t xml:space="preserve"> — несамоходной метал</w:t>
      </w:r>
      <w:r w:rsidRPr="00A259BD">
        <w:rPr>
          <w:color w:val="000000" w:themeColor="text1"/>
          <w:lang w:val="ru-RU"/>
        </w:rPr>
        <w:softHyphen/>
        <w:t>лической баржи.</w:t>
      </w:r>
    </w:p>
    <w:p w14:paraId="5D978F79" w14:textId="77777777" w:rsidR="00261E4C" w:rsidRPr="00A259BD" w:rsidRDefault="00261E4C" w:rsidP="009236E3">
      <w:pPr>
        <w:pStyle w:val="a3"/>
        <w:rPr>
          <w:color w:val="000000" w:themeColor="text1"/>
          <w:lang w:val="ru-RU"/>
        </w:rPr>
      </w:pPr>
      <w:r w:rsidRPr="00A259BD">
        <w:rPr>
          <w:color w:val="000000" w:themeColor="text1"/>
          <w:lang w:val="ru-RU"/>
        </w:rPr>
        <w:t>На этой стадии советское руководство ещё сохраняло надежду на мирное урегулиро</w:t>
      </w:r>
      <w:r w:rsidRPr="00A259BD">
        <w:rPr>
          <w:color w:val="000000" w:themeColor="text1"/>
          <w:lang w:val="ru-RU"/>
        </w:rPr>
        <w:softHyphen/>
        <w:t>вание конфликта. Наркомат иностранных дел «бомбардировал» китайцев нотами про</w:t>
      </w:r>
      <w:r w:rsidRPr="00A259BD">
        <w:rPr>
          <w:color w:val="000000" w:themeColor="text1"/>
          <w:lang w:val="ru-RU"/>
        </w:rPr>
        <w:softHyphen/>
        <w:t>теста. Военные тоже вносили свою лепту. Возможно, интенсивная воздушная разведка над китайской территорией рассматривалась как своего рода демонстрация силы. Эту же цель отчасти преследовали и систематические упражнения в бомбометании на по</w:t>
      </w:r>
      <w:r w:rsidRPr="00A259BD">
        <w:rPr>
          <w:color w:val="000000" w:themeColor="text1"/>
          <w:lang w:val="ru-RU"/>
        </w:rPr>
        <w:softHyphen/>
        <w:t>лигонах совсем рядом с границей. Таким способом «убивали двух зайцев» — и китай</w:t>
      </w:r>
      <w:r w:rsidRPr="00A259BD">
        <w:rPr>
          <w:color w:val="000000" w:themeColor="text1"/>
          <w:lang w:val="ru-RU"/>
        </w:rPr>
        <w:softHyphen/>
        <w:t>цев устрашить пытались, и повышали боевую готовность.</w:t>
      </w:r>
    </w:p>
    <w:p w14:paraId="1A67F684" w14:textId="77777777" w:rsidR="00261E4C" w:rsidRPr="00A259BD" w:rsidRDefault="00261E4C" w:rsidP="009236E3">
      <w:pPr>
        <w:pStyle w:val="a3"/>
        <w:rPr>
          <w:color w:val="000000" w:themeColor="text1"/>
          <w:lang w:val="ru-RU"/>
        </w:rPr>
      </w:pPr>
      <w:r w:rsidRPr="00A259BD">
        <w:rPr>
          <w:color w:val="000000" w:themeColor="text1"/>
          <w:lang w:val="ru-RU"/>
        </w:rPr>
        <w:t>Чисто сухопутная 40-я эскадрилья проводила учения совместно с Амурской флотили</w:t>
      </w:r>
      <w:r w:rsidRPr="00A259BD">
        <w:rPr>
          <w:color w:val="000000" w:themeColor="text1"/>
          <w:lang w:val="ru-RU"/>
        </w:rPr>
        <w:softHyphen/>
        <w:t>ей. Лётчиков обучали распознавать корабли и суда, а также бомбить подвижные цели на реке. В качестве мишени использовали один из мониторов, курсировавший по реке вблизи Хабаровска. На него сбрасывали практические бомбы. Учились бомбить залпом звеньями из плотного строя (15819).</w:t>
      </w:r>
    </w:p>
    <w:p w14:paraId="2168EC76" w14:textId="77777777" w:rsidR="00261E4C" w:rsidRPr="00A259BD" w:rsidRDefault="00261E4C" w:rsidP="009236E3">
      <w:pPr>
        <w:pStyle w:val="a3"/>
        <w:rPr>
          <w:color w:val="000000" w:themeColor="text1"/>
          <w:lang w:val="ru-RU"/>
        </w:rPr>
      </w:pPr>
    </w:p>
    <w:p w14:paraId="514441C9" w14:textId="77777777" w:rsidR="002D48EF"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429C8A78" w14:textId="77777777" w:rsidR="002D48EF" w:rsidRPr="00A259BD" w:rsidRDefault="002D48E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78FE41" w14:textId="77777777" w:rsidR="002D48EF" w:rsidRPr="00A259BD" w:rsidRDefault="002D48E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июля в 1929 году в свой первый рейс вышел германский лайнер «Берлин», который прибудет в Нью-Йорк и установит новый рекорд скорости пересечения Атлантики. Это достижение отмечалось голубой лентой на трубе корабля (14954).</w:t>
      </w:r>
    </w:p>
    <w:p w14:paraId="5EBEC33A" w14:textId="77777777" w:rsidR="002D48EF" w:rsidRPr="00A259BD" w:rsidRDefault="002D48EF" w:rsidP="009236E3">
      <w:pPr>
        <w:spacing w:after="0" w:line="240" w:lineRule="auto"/>
        <w:jc w:val="both"/>
        <w:rPr>
          <w:rFonts w:ascii="Times New Roman" w:hAnsi="Times New Roman"/>
          <w:color w:val="000000" w:themeColor="text1"/>
          <w:sz w:val="16"/>
          <w:szCs w:val="16"/>
        </w:rPr>
      </w:pPr>
    </w:p>
    <w:p w14:paraId="57546A13"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C764B3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13087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июля 1929 СТО, руководствуясь постановлением ЦК ВКП(б) О состоянии обороны СССР от 15 июля 1929, обязал РВС СССР уточнить пятилетний план военного строительства, положив в его основу требование быть сильнее противника по трем видам вооружения, а именно по ВФ, артиллерии и танкам (4024,2).</w:t>
      </w:r>
    </w:p>
    <w:p w14:paraId="7DDA53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B8B0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июля 1929 РВС дал задание на разработку пятилетнего плана военного строительства (1136,265).</w:t>
      </w:r>
    </w:p>
    <w:p w14:paraId="374A32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80B8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июля 1929 вышло постановление Президиума ВСНХ N 27 о передаче хоз. объединения </w:t>
      </w:r>
      <w:proofErr w:type="spellStart"/>
      <w:r w:rsidRPr="00A259BD">
        <w:rPr>
          <w:rFonts w:ascii="Times New Roman" w:hAnsi="Times New Roman"/>
          <w:color w:val="000000" w:themeColor="text1"/>
          <w:sz w:val="16"/>
          <w:szCs w:val="16"/>
        </w:rPr>
        <w:t>Промвоздух</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(2351,227).</w:t>
      </w:r>
    </w:p>
    <w:p w14:paraId="493FBD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47C7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июля 1929 г. Пост. президиума ВСНХ Правление «</w:t>
      </w:r>
      <w:proofErr w:type="spellStart"/>
      <w:r w:rsidRPr="00A259BD">
        <w:rPr>
          <w:rFonts w:ascii="Times New Roman" w:hAnsi="Times New Roman"/>
          <w:color w:val="000000" w:themeColor="text1"/>
          <w:sz w:val="16"/>
          <w:szCs w:val="16"/>
        </w:rPr>
        <w:t>Промвоздух</w:t>
      </w:r>
      <w:proofErr w:type="spellEnd"/>
      <w:r w:rsidRPr="00A259BD">
        <w:rPr>
          <w:rFonts w:ascii="Times New Roman" w:hAnsi="Times New Roman"/>
          <w:color w:val="000000" w:themeColor="text1"/>
          <w:sz w:val="16"/>
          <w:szCs w:val="16"/>
        </w:rPr>
        <w:t xml:space="preserve">» влито с 1.10.1929 г. в состав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на тот момент в его ведении находилось 6 заводов (11982).</w:t>
      </w:r>
    </w:p>
    <w:p w14:paraId="35CD8B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9648413"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02B949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2F0F7FD" w14:textId="77777777" w:rsidR="00B50A82" w:rsidRPr="00A259BD" w:rsidRDefault="00B50A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июля 1929 г. Выписка из протокола заседания Президиума ВСНХ СССР о передаче хозяйственного объединения «</w:t>
      </w:r>
      <w:proofErr w:type="spellStart"/>
      <w:r w:rsidRPr="00A259BD">
        <w:rPr>
          <w:rFonts w:ascii="Times New Roman" w:hAnsi="Times New Roman"/>
          <w:color w:val="000000" w:themeColor="text1"/>
          <w:sz w:val="16"/>
          <w:szCs w:val="16"/>
        </w:rPr>
        <w:t>Промвоздух</w:t>
      </w:r>
      <w:proofErr w:type="spellEnd"/>
      <w:r w:rsidRPr="00A259BD">
        <w:rPr>
          <w:rFonts w:ascii="Times New Roman" w:hAnsi="Times New Roman"/>
          <w:color w:val="000000" w:themeColor="text1"/>
          <w:sz w:val="16"/>
          <w:szCs w:val="16"/>
        </w:rPr>
        <w:t>» Авиационному тресту (РГАЭ. Ф. 3429. Оп. 16. Д. 2. Л. 140) (12417).</w:t>
      </w:r>
    </w:p>
    <w:p w14:paraId="2166A484" w14:textId="77777777" w:rsidR="00B50A82" w:rsidRPr="00A259BD" w:rsidRDefault="00B50A82" w:rsidP="009236E3">
      <w:pPr>
        <w:spacing w:after="0" w:line="240" w:lineRule="auto"/>
        <w:jc w:val="both"/>
        <w:rPr>
          <w:rFonts w:ascii="Times New Roman" w:hAnsi="Times New Roman"/>
          <w:color w:val="000000" w:themeColor="text1"/>
          <w:sz w:val="16"/>
          <w:szCs w:val="16"/>
        </w:rPr>
      </w:pPr>
    </w:p>
    <w:p w14:paraId="79C21C50" w14:textId="77777777" w:rsidR="00B50A82" w:rsidRPr="00A259BD" w:rsidRDefault="00B50A82"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17 июля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РЗ СТО СССР об организации Всесоюзного государственного треста строительной промышленности «</w:t>
      </w:r>
      <w:proofErr w:type="spellStart"/>
      <w:r w:rsidRPr="00A259BD">
        <w:rPr>
          <w:rFonts w:ascii="Times New Roman" w:hAnsi="Times New Roman"/>
          <w:color w:val="000000" w:themeColor="text1"/>
          <w:sz w:val="16"/>
          <w:szCs w:val="16"/>
          <w:u w:color="002060"/>
        </w:rPr>
        <w:t>Стройпром</w:t>
      </w:r>
      <w:proofErr w:type="spellEnd"/>
      <w:r w:rsidRPr="00A259BD">
        <w:rPr>
          <w:rFonts w:ascii="Times New Roman" w:hAnsi="Times New Roman"/>
          <w:color w:val="000000" w:themeColor="text1"/>
          <w:sz w:val="16"/>
          <w:szCs w:val="16"/>
          <w:u w:color="002060"/>
        </w:rPr>
        <w:t>» для выполнения строительных программ военной промышленности (РГАЭ. Ф. 4372. Оп. 91. Д. 381. Л. 45) (12415).</w:t>
      </w:r>
    </w:p>
    <w:p w14:paraId="26C52A64" w14:textId="77777777" w:rsidR="00B50A82" w:rsidRPr="00A259BD" w:rsidRDefault="00B50A82" w:rsidP="009236E3">
      <w:pPr>
        <w:spacing w:after="0" w:line="240" w:lineRule="auto"/>
        <w:jc w:val="both"/>
        <w:rPr>
          <w:rFonts w:ascii="Times New Roman" w:hAnsi="Times New Roman"/>
          <w:color w:val="000000" w:themeColor="text1"/>
          <w:sz w:val="16"/>
          <w:szCs w:val="16"/>
          <w:u w:color="002060"/>
        </w:rPr>
      </w:pPr>
    </w:p>
    <w:p w14:paraId="74F80595" w14:textId="77777777" w:rsidR="00B50A82" w:rsidRPr="00A259BD" w:rsidRDefault="00B50A82" w:rsidP="009236E3">
      <w:pPr>
        <w:pStyle w:val="rtejustify"/>
        <w:spacing w:before="0" w:after="0"/>
        <w:rPr>
          <w:color w:val="000000" w:themeColor="text1"/>
          <w:sz w:val="16"/>
          <w:szCs w:val="16"/>
        </w:rPr>
      </w:pPr>
      <w:r w:rsidRPr="00A259BD">
        <w:rPr>
          <w:rStyle w:val="af0"/>
          <w:i w:val="0"/>
          <w:color w:val="000000" w:themeColor="text1"/>
          <w:sz w:val="16"/>
          <w:szCs w:val="16"/>
        </w:rPr>
        <w:t xml:space="preserve">17-18 июля </w:t>
      </w:r>
      <w:r w:rsidRPr="00A259BD">
        <w:rPr>
          <w:color w:val="000000" w:themeColor="text1"/>
          <w:sz w:val="16"/>
          <w:szCs w:val="16"/>
        </w:rPr>
        <w:t>1929 г</w:t>
      </w:r>
      <w:r w:rsidRPr="00A259BD">
        <w:rPr>
          <w:rStyle w:val="af0"/>
          <w:i w:val="0"/>
          <w:color w:val="000000" w:themeColor="text1"/>
          <w:sz w:val="16"/>
          <w:szCs w:val="16"/>
        </w:rPr>
        <w:t>. Протокол Реввоенсовета № 29.</w:t>
      </w:r>
      <w:r w:rsidRPr="00A259BD">
        <w:rPr>
          <w:color w:val="000000" w:themeColor="text1"/>
          <w:sz w:val="16"/>
          <w:szCs w:val="16"/>
        </w:rPr>
        <w:t xml:space="preserve"> 1. Сообщение Ворошилова. (Ворошилов). 2. О сроках осуществления системы артиллерийского вооружения РККА. (Янсон). 12. О системе танко-</w:t>
      </w:r>
      <w:proofErr w:type="spellStart"/>
      <w:r w:rsidRPr="00A259BD">
        <w:rPr>
          <w:color w:val="000000" w:themeColor="text1"/>
          <w:sz w:val="16"/>
          <w:szCs w:val="16"/>
        </w:rPr>
        <w:t>тракторо</w:t>
      </w:r>
      <w:proofErr w:type="spellEnd"/>
      <w:r w:rsidRPr="00A259BD">
        <w:rPr>
          <w:color w:val="000000" w:themeColor="text1"/>
          <w:sz w:val="16"/>
          <w:szCs w:val="16"/>
        </w:rPr>
        <w:t>-авто-броне-вооружения РККА. (</w:t>
      </w:r>
      <w:proofErr w:type="spellStart"/>
      <w:r w:rsidRPr="00A259BD">
        <w:rPr>
          <w:color w:val="000000" w:themeColor="text1"/>
          <w:sz w:val="16"/>
          <w:szCs w:val="16"/>
        </w:rPr>
        <w:t>Триандафилов</w:t>
      </w:r>
      <w:proofErr w:type="spellEnd"/>
      <w:r w:rsidRPr="00A259BD">
        <w:rPr>
          <w:color w:val="000000" w:themeColor="text1"/>
          <w:sz w:val="16"/>
          <w:szCs w:val="16"/>
        </w:rPr>
        <w:t>). 13. О создании механизированной опытной части. (</w:t>
      </w:r>
      <w:proofErr w:type="spellStart"/>
      <w:r w:rsidRPr="00A259BD">
        <w:rPr>
          <w:color w:val="000000" w:themeColor="text1"/>
          <w:sz w:val="16"/>
          <w:szCs w:val="16"/>
        </w:rPr>
        <w:t>Триандафилов</w:t>
      </w:r>
      <w:proofErr w:type="spellEnd"/>
      <w:r w:rsidRPr="00A259BD">
        <w:rPr>
          <w:color w:val="000000" w:themeColor="text1"/>
          <w:sz w:val="16"/>
          <w:szCs w:val="16"/>
        </w:rPr>
        <w:t>). 14. О взрывателе УГТ</w:t>
      </w:r>
      <w:r w:rsidRPr="00A259BD">
        <w:rPr>
          <w:color w:val="000000" w:themeColor="text1"/>
          <w:sz w:val="16"/>
          <w:szCs w:val="16"/>
        </w:rPr>
        <w:noBreakHyphen/>
        <w:t>2. (Каменев). 15. О введении на вооружение трубки «Д». (Каменев). 17. О введении на вооружение противотанкового фугаса Е</w:t>
      </w:r>
      <w:r w:rsidRPr="00A259BD">
        <w:rPr>
          <w:color w:val="000000" w:themeColor="text1"/>
          <w:sz w:val="16"/>
          <w:szCs w:val="16"/>
        </w:rPr>
        <w:noBreakHyphen/>
        <w:t>3. (</w:t>
      </w:r>
      <w:proofErr w:type="spellStart"/>
      <w:r w:rsidRPr="00A259BD">
        <w:rPr>
          <w:color w:val="000000" w:themeColor="text1"/>
          <w:sz w:val="16"/>
          <w:szCs w:val="16"/>
        </w:rPr>
        <w:t>Триандафилов</w:t>
      </w:r>
      <w:proofErr w:type="spellEnd"/>
      <w:r w:rsidRPr="00A259BD">
        <w:rPr>
          <w:color w:val="000000" w:themeColor="text1"/>
          <w:sz w:val="16"/>
          <w:szCs w:val="16"/>
        </w:rPr>
        <w:t>). 18. О введении на вооружение военно-голубиной станции. (</w:t>
      </w:r>
      <w:proofErr w:type="spellStart"/>
      <w:r w:rsidRPr="00A259BD">
        <w:rPr>
          <w:color w:val="000000" w:themeColor="text1"/>
          <w:sz w:val="16"/>
          <w:szCs w:val="16"/>
        </w:rPr>
        <w:t>Триандафилов</w:t>
      </w:r>
      <w:proofErr w:type="spellEnd"/>
      <w:r w:rsidRPr="00A259BD">
        <w:rPr>
          <w:color w:val="000000" w:themeColor="text1"/>
          <w:sz w:val="16"/>
          <w:szCs w:val="16"/>
        </w:rPr>
        <w:t xml:space="preserve">). 19. Об освежении </w:t>
      </w:r>
      <w:proofErr w:type="spellStart"/>
      <w:r w:rsidRPr="00A259BD">
        <w:rPr>
          <w:color w:val="000000" w:themeColor="text1"/>
          <w:sz w:val="16"/>
          <w:szCs w:val="16"/>
        </w:rPr>
        <w:t>мобзапаса</w:t>
      </w:r>
      <w:proofErr w:type="spellEnd"/>
      <w:r w:rsidRPr="00A259BD">
        <w:rPr>
          <w:color w:val="000000" w:themeColor="text1"/>
          <w:sz w:val="16"/>
          <w:szCs w:val="16"/>
        </w:rPr>
        <w:t xml:space="preserve"> противогазов. (Каменев С. С.). 20. Сообщение о состоянии работ по изготовлению 203</w:t>
      </w:r>
      <w:r w:rsidRPr="00A259BD">
        <w:rPr>
          <w:color w:val="000000" w:themeColor="text1"/>
          <w:sz w:val="16"/>
          <w:szCs w:val="16"/>
        </w:rPr>
        <w:noBreakHyphen/>
        <w:t xml:space="preserve">мм гаубицы </w:t>
      </w:r>
      <w:proofErr w:type="spellStart"/>
      <w:r w:rsidRPr="00A259BD">
        <w:rPr>
          <w:color w:val="000000" w:themeColor="text1"/>
          <w:sz w:val="16"/>
          <w:szCs w:val="16"/>
        </w:rPr>
        <w:t>Косартопа</w:t>
      </w:r>
      <w:proofErr w:type="spellEnd"/>
      <w:r w:rsidRPr="00A259BD">
        <w:rPr>
          <w:color w:val="000000" w:themeColor="text1"/>
          <w:sz w:val="16"/>
          <w:szCs w:val="16"/>
        </w:rPr>
        <w:t xml:space="preserve">. (Каменев С. С.). 31. Перечень изменений «Ведомости распределения на категории предметов вооружения в отношении их боевой пригодности для РККА». 32. О телефонных аппаратах системы </w:t>
      </w:r>
      <w:proofErr w:type="spellStart"/>
      <w:r w:rsidRPr="00A259BD">
        <w:rPr>
          <w:color w:val="000000" w:themeColor="text1"/>
          <w:sz w:val="16"/>
          <w:szCs w:val="16"/>
        </w:rPr>
        <w:t>Дымнича</w:t>
      </w:r>
      <w:proofErr w:type="spellEnd"/>
      <w:r w:rsidRPr="00A259BD">
        <w:rPr>
          <w:color w:val="000000" w:themeColor="text1"/>
          <w:sz w:val="16"/>
          <w:szCs w:val="16"/>
        </w:rPr>
        <w:t>. (РГВА. Ф. 4. Оп. 18. Д. 15. Л. 190</w:t>
      </w:r>
      <w:r w:rsidRPr="00A259BD">
        <w:rPr>
          <w:color w:val="000000" w:themeColor="text1"/>
          <w:sz w:val="16"/>
          <w:szCs w:val="16"/>
        </w:rPr>
        <w:noBreakHyphen/>
        <w:t>192, 195</w:t>
      </w:r>
      <w:r w:rsidRPr="00A259BD">
        <w:rPr>
          <w:color w:val="000000" w:themeColor="text1"/>
          <w:sz w:val="16"/>
          <w:szCs w:val="16"/>
        </w:rPr>
        <w:noBreakHyphen/>
        <w:t>199, 200, 202</w:t>
      </w:r>
      <w:r w:rsidRPr="00A259BD">
        <w:rPr>
          <w:color w:val="000000" w:themeColor="text1"/>
          <w:sz w:val="16"/>
          <w:szCs w:val="16"/>
        </w:rPr>
        <w:noBreakHyphen/>
        <w:t>203) (12342).</w:t>
      </w:r>
    </w:p>
    <w:p w14:paraId="69FB1B5D" w14:textId="77777777" w:rsidR="00B50A82" w:rsidRPr="00A259BD" w:rsidRDefault="00B50A82" w:rsidP="009236E3">
      <w:pPr>
        <w:pStyle w:val="rtejustify"/>
        <w:spacing w:before="0" w:after="0"/>
        <w:rPr>
          <w:color w:val="000000" w:themeColor="text1"/>
          <w:sz w:val="16"/>
          <w:szCs w:val="16"/>
        </w:rPr>
      </w:pPr>
    </w:p>
    <w:p w14:paraId="6155B0E6" w14:textId="77777777" w:rsidR="00B50A82" w:rsidRPr="00A259BD" w:rsidRDefault="00B50A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17—18 июля 1929 г. — Выписка из протокола № 29 заседания Реввоенсовета СССР о системе </w:t>
      </w:r>
      <w:proofErr w:type="spellStart"/>
      <w:r w:rsidRPr="00A259BD">
        <w:rPr>
          <w:rFonts w:ascii="Times New Roman" w:hAnsi="Times New Roman"/>
          <w:color w:val="000000" w:themeColor="text1"/>
          <w:sz w:val="16"/>
          <w:szCs w:val="16"/>
        </w:rPr>
        <w:t>броневооружения</w:t>
      </w:r>
      <w:proofErr w:type="spellEnd"/>
      <w:r w:rsidRPr="00A259BD">
        <w:rPr>
          <w:rFonts w:ascii="Times New Roman" w:hAnsi="Times New Roman"/>
          <w:color w:val="000000" w:themeColor="text1"/>
          <w:sz w:val="16"/>
          <w:szCs w:val="16"/>
        </w:rPr>
        <w:t xml:space="preserve"> РККА</w:t>
      </w:r>
    </w:p>
    <w:p w14:paraId="2F7059E6" w14:textId="77777777" w:rsidR="00B50A82" w:rsidRPr="00A259BD" w:rsidRDefault="00B50A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Выписка из протокола № 29 заседания Реввоенсовета СССР о системе </w:t>
      </w:r>
      <w:proofErr w:type="spellStart"/>
      <w:r w:rsidRPr="00A259BD">
        <w:rPr>
          <w:rFonts w:ascii="Times New Roman" w:hAnsi="Times New Roman"/>
          <w:color w:val="000000" w:themeColor="text1"/>
          <w:sz w:val="16"/>
          <w:szCs w:val="16"/>
        </w:rPr>
        <w:t>броневооружения</w:t>
      </w:r>
      <w:proofErr w:type="spellEnd"/>
      <w:r w:rsidRPr="00A259BD">
        <w:rPr>
          <w:rFonts w:ascii="Times New Roman" w:hAnsi="Times New Roman"/>
          <w:color w:val="000000" w:themeColor="text1"/>
          <w:sz w:val="16"/>
          <w:szCs w:val="16"/>
        </w:rPr>
        <w:t xml:space="preserve"> РККА</w:t>
      </w:r>
    </w:p>
    <w:p w14:paraId="04358714" w14:textId="77777777" w:rsidR="00B50A82" w:rsidRPr="00A259BD" w:rsidRDefault="00B50A82"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17—18 июля 1929 г.</w:t>
      </w:r>
    </w:p>
    <w:p w14:paraId="148BB86D" w14:textId="77777777" w:rsidR="00B50A82" w:rsidRPr="00A259BD" w:rsidRDefault="00B50A82"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4F2EDCE0" w14:textId="77777777" w:rsidR="00B50A82" w:rsidRPr="00A259BD" w:rsidRDefault="00B50A82" w:rsidP="009236E3">
      <w:pPr>
        <w:pStyle w:val="rtejustify"/>
        <w:spacing w:before="0" w:after="0"/>
        <w:rPr>
          <w:color w:val="000000" w:themeColor="text1"/>
          <w:sz w:val="16"/>
          <w:szCs w:val="16"/>
        </w:rPr>
      </w:pPr>
      <w:r w:rsidRPr="00A259BD">
        <w:rPr>
          <w:rStyle w:val="af0"/>
          <w:i w:val="0"/>
          <w:color w:val="000000" w:themeColor="text1"/>
          <w:sz w:val="16"/>
          <w:szCs w:val="16"/>
        </w:rPr>
        <w:t>Слушали:</w:t>
      </w:r>
      <w:r w:rsidRPr="00A259BD">
        <w:rPr>
          <w:color w:val="000000" w:themeColor="text1"/>
          <w:sz w:val="16"/>
          <w:szCs w:val="16"/>
        </w:rPr>
        <w:t xml:space="preserve"> 12. О системе танко-тракторно-авто-броне-вооружения РККА. Докладчик т. </w:t>
      </w:r>
      <w:proofErr w:type="spellStart"/>
      <w:r w:rsidRPr="00A259BD">
        <w:rPr>
          <w:color w:val="000000" w:themeColor="text1"/>
          <w:sz w:val="16"/>
          <w:szCs w:val="16"/>
        </w:rPr>
        <w:t>Т</w:t>
      </w:r>
      <w:hyperlink r:id="rId89" w:history="1">
        <w:r w:rsidRPr="00A259BD">
          <w:rPr>
            <w:color w:val="000000" w:themeColor="text1"/>
            <w:sz w:val="16"/>
            <w:szCs w:val="16"/>
          </w:rPr>
          <w:t>риандафилов</w:t>
        </w:r>
        <w:proofErr w:type="spellEnd"/>
      </w:hyperlink>
      <w:r w:rsidRPr="00A259BD">
        <w:rPr>
          <w:color w:val="000000" w:themeColor="text1"/>
          <w:sz w:val="16"/>
          <w:szCs w:val="16"/>
        </w:rPr>
        <w:t>.</w:t>
      </w:r>
    </w:p>
    <w:p w14:paraId="53DC6ED1" w14:textId="77777777" w:rsidR="00B50A82" w:rsidRPr="00A259BD" w:rsidRDefault="00B50A82" w:rsidP="009236E3">
      <w:pPr>
        <w:pStyle w:val="rtejustify"/>
        <w:spacing w:before="0" w:after="0"/>
        <w:rPr>
          <w:color w:val="000000" w:themeColor="text1"/>
          <w:sz w:val="16"/>
          <w:szCs w:val="16"/>
        </w:rPr>
      </w:pPr>
      <w:r w:rsidRPr="00A259BD">
        <w:rPr>
          <w:rStyle w:val="af0"/>
          <w:i w:val="0"/>
          <w:color w:val="000000" w:themeColor="text1"/>
          <w:sz w:val="16"/>
          <w:szCs w:val="16"/>
        </w:rPr>
        <w:t>Постановили:</w:t>
      </w:r>
      <w:r w:rsidRPr="00A259BD">
        <w:rPr>
          <w:color w:val="000000" w:themeColor="text1"/>
          <w:sz w:val="16"/>
          <w:szCs w:val="16"/>
        </w:rPr>
        <w:t xml:space="preserve"> 1. Утвердить в основном следующую систему танко-тракторно-авто-броне-вооружения РККА:</w:t>
      </w:r>
    </w:p>
    <w:p w14:paraId="4A9421EA"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а) танкетка (колесно-гусеничная). Назначение — разведки, внезапное нападение. Вес — не более 3,3 т. Желательно понижение веса до 2,5 и 2 т. Скорость — не менее 60 км на колесном ходу и 40 км — на гусеничном. Броня должна гарантировать от пробирования бронебойными пулями с дистанции 300 м. Вооружение — 1 пулемет с горизонтальным обстрелом 360° или два, не одновременно действующих с горизонтальным обстрелом 360°. Боекомплект не менее 2,5 тыс. патронов. Команда — 2 чел. Радиус действия 300 км на гусеничном ходу, 450 — на колесном. Ширина перекрываемого препятствия — не менее 1,25 м, высота — 0,5 м, глубина брода — 0,75 м (желательна плавучесть). Диаметр сваливаемых деревьев 10 см. Переход от колесного на гусеничный ход не более 0,5 м, не выходя из танкетки. Высота танкетки — не более 1,5 м. Кроме того, сконструировать танкетку с теми же данными, но вооруженную одной 37</w:t>
      </w:r>
      <w:r w:rsidRPr="00A259BD">
        <w:rPr>
          <w:color w:val="000000" w:themeColor="text1"/>
          <w:sz w:val="16"/>
          <w:szCs w:val="16"/>
        </w:rPr>
        <w:noBreakHyphen/>
        <w:t>мм пушкой с задачей противотанковой борьбы;</w:t>
      </w:r>
    </w:p>
    <w:p w14:paraId="2FE5ED9E"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lastRenderedPageBreak/>
        <w:t>б) малый танк. Назначение — ударное средство механизированных соединений, прорыв в условиях маневренного боя. Вес — не более 7</w:t>
      </w:r>
      <w:r w:rsidRPr="00A259BD">
        <w:rPr>
          <w:color w:val="000000" w:themeColor="text1"/>
          <w:sz w:val="16"/>
          <w:szCs w:val="16"/>
        </w:rPr>
        <w:noBreakHyphen/>
        <w:t>7,5 т. Скорость — 25</w:t>
      </w:r>
      <w:r w:rsidRPr="00A259BD">
        <w:rPr>
          <w:color w:val="000000" w:themeColor="text1"/>
          <w:sz w:val="16"/>
          <w:szCs w:val="16"/>
        </w:rPr>
        <w:noBreakHyphen/>
        <w:t>30 км/ч. Толщина брони должна гарантировать от пробивания 37</w:t>
      </w:r>
      <w:r w:rsidRPr="00A259BD">
        <w:rPr>
          <w:color w:val="000000" w:themeColor="text1"/>
          <w:sz w:val="16"/>
          <w:szCs w:val="16"/>
        </w:rPr>
        <w:noBreakHyphen/>
        <w:t xml:space="preserve">мм снарядом при начальной скорости 700 м/с </w:t>
      </w:r>
      <w:proofErr w:type="spellStart"/>
      <w:r w:rsidRPr="00A259BD">
        <w:rPr>
          <w:color w:val="000000" w:themeColor="text1"/>
          <w:sz w:val="16"/>
          <w:szCs w:val="16"/>
        </w:rPr>
        <w:t>с</w:t>
      </w:r>
      <w:proofErr w:type="spellEnd"/>
      <w:r w:rsidRPr="00A259BD">
        <w:rPr>
          <w:color w:val="000000" w:themeColor="text1"/>
          <w:sz w:val="16"/>
          <w:szCs w:val="16"/>
        </w:rPr>
        <w:t xml:space="preserve"> 1 тыс. м. Вооружение — одна 37</w:t>
      </w:r>
      <w:r w:rsidRPr="00A259BD">
        <w:rPr>
          <w:color w:val="000000" w:themeColor="text1"/>
          <w:sz w:val="16"/>
          <w:szCs w:val="16"/>
        </w:rPr>
        <w:noBreakHyphen/>
        <w:t>мм пушка и 2 пулемета, из них один, не одновременно с пушкой действующий. Боекомплект — не менее 75 шт. снарядов и 3,5 тыс. патронов. Команда — 3 чел. Радиус действия 200 км. Ширина горизонтального препятствия не менее 2 м. Высота препятствия — 0,6</w:t>
      </w:r>
      <w:r w:rsidRPr="00A259BD">
        <w:rPr>
          <w:color w:val="000000" w:themeColor="text1"/>
          <w:sz w:val="16"/>
          <w:szCs w:val="16"/>
        </w:rPr>
        <w:noBreakHyphen/>
        <w:t>0,8 м. Глубина брони не менее 1,3 м (желательно плавучесть). Диаметр сваливаемых деревьев 20 см. В опытном порядке конструировать также колесно-гусеничный малый танк с теми же данными, но с допуском веса не более 8 т., скоростью на колесном ходу 45 км/ч и радиусом действия на колесном ходу 300 км¹*;</w:t>
      </w:r>
    </w:p>
    <w:p w14:paraId="22D9978C"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в) средний танк. Назначение — прорыв укрепленной полосы в условиях как маневренных, так и позиционных. Вес — не более 15</w:t>
      </w:r>
      <w:r w:rsidRPr="00A259BD">
        <w:rPr>
          <w:color w:val="000000" w:themeColor="text1"/>
          <w:sz w:val="16"/>
          <w:szCs w:val="16"/>
        </w:rPr>
        <w:noBreakHyphen/>
        <w:t>16 т. Скорость — 25</w:t>
      </w:r>
      <w:r w:rsidRPr="00A259BD">
        <w:rPr>
          <w:color w:val="000000" w:themeColor="text1"/>
          <w:sz w:val="16"/>
          <w:szCs w:val="16"/>
        </w:rPr>
        <w:noBreakHyphen/>
        <w:t>30 км[/ч]. Толщина брони должна гарантировать от пробивания 37</w:t>
      </w:r>
      <w:r w:rsidRPr="00A259BD">
        <w:rPr>
          <w:color w:val="000000" w:themeColor="text1"/>
          <w:sz w:val="16"/>
          <w:szCs w:val="16"/>
        </w:rPr>
        <w:noBreakHyphen/>
        <w:t>мм снарядом (при начальной скорости 700 м/с) на дистанции 750 м. Вооружение — одна 45</w:t>
      </w:r>
      <w:r w:rsidRPr="00A259BD">
        <w:rPr>
          <w:color w:val="000000" w:themeColor="text1"/>
          <w:sz w:val="16"/>
          <w:szCs w:val="16"/>
        </w:rPr>
        <w:noBreakHyphen/>
        <w:t>мм пушка и три одновременно действующих пулемета. Боекомплект не менее 100 снарядов и 5 тыс. патронов. Число команды — 4</w:t>
      </w:r>
      <w:r w:rsidRPr="00A259BD">
        <w:rPr>
          <w:color w:val="000000" w:themeColor="text1"/>
          <w:sz w:val="16"/>
          <w:szCs w:val="16"/>
        </w:rPr>
        <w:noBreakHyphen/>
        <w:t>5 чел. Радиус действия 200 км. Ширина перекрываемого препятствия — не менее 2,5 м. Высота —1 м, глубина брода не менее 1,3 м. Диаметр сваливаемых деревьев — 30 см;</w:t>
      </w:r>
    </w:p>
    <w:p w14:paraId="1097A4D6"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г) по отношению к большому танку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w:t>
      </w:r>
    </w:p>
    <w:p w14:paraId="249B6A74"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д) самоходная пушка механизированных частей. Назначение — подготовкам поддержка танковой атаки, борьба против танков (артиллерии сопровождения механизированных частей). Шасси малого танка. Калибр — 76 мм. Вес — не более 7</w:t>
      </w:r>
      <w:r w:rsidRPr="00A259BD">
        <w:rPr>
          <w:color w:val="000000" w:themeColor="text1"/>
          <w:sz w:val="16"/>
          <w:szCs w:val="16"/>
        </w:rPr>
        <w:noBreakHyphen/>
        <w:t>7,5 т. Скорость хода — 25</w:t>
      </w:r>
      <w:r w:rsidRPr="00A259BD">
        <w:rPr>
          <w:color w:val="000000" w:themeColor="text1"/>
          <w:sz w:val="16"/>
          <w:szCs w:val="16"/>
        </w:rPr>
        <w:noBreakHyphen/>
        <w:t>30 км[/ч]. Броня 7</w:t>
      </w:r>
      <w:r w:rsidRPr="00A259BD">
        <w:rPr>
          <w:color w:val="000000" w:themeColor="text1"/>
          <w:sz w:val="16"/>
          <w:szCs w:val="16"/>
        </w:rPr>
        <w:noBreakHyphen/>
        <w:t>10 мм. Угол возвышения — не менее 30°. Горизонтальный угол 12°. Орудие должно представлять полный стандарт в смысле тела и затвора с дивизионной или полковой пушкой. На установке перевозится не менее 24 патронов и 2 чел. орудийных номеров;</w:t>
      </w:r>
    </w:p>
    <w:p w14:paraId="794FAD44"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е) самоходная зенитная пулеметная установка. Назначение — охрана механизированных частей на походе и в бою от штурмовой авиации (бреющий полет). Шасси малого танка или среднего трактора. Вес — 7</w:t>
      </w:r>
      <w:r w:rsidRPr="00A259BD">
        <w:rPr>
          <w:color w:val="000000" w:themeColor="text1"/>
          <w:sz w:val="16"/>
          <w:szCs w:val="16"/>
        </w:rPr>
        <w:noBreakHyphen/>
        <w:t>7,5 т. Скорость хода — 25</w:t>
      </w:r>
      <w:r w:rsidRPr="00A259BD">
        <w:rPr>
          <w:color w:val="000000" w:themeColor="text1"/>
          <w:sz w:val="16"/>
          <w:szCs w:val="16"/>
        </w:rPr>
        <w:noBreakHyphen/>
        <w:t>30 км[/ч]. Броня 7</w:t>
      </w:r>
      <w:r w:rsidRPr="00A259BD">
        <w:rPr>
          <w:color w:val="000000" w:themeColor="text1"/>
          <w:sz w:val="16"/>
          <w:szCs w:val="16"/>
        </w:rPr>
        <w:noBreakHyphen/>
        <w:t>10 мм. Вооружение — универсальный 4</w:t>
      </w:r>
      <w:r w:rsidRPr="00A259BD">
        <w:rPr>
          <w:color w:val="000000" w:themeColor="text1"/>
          <w:sz w:val="16"/>
          <w:szCs w:val="16"/>
        </w:rPr>
        <w:noBreakHyphen/>
        <w:t>ствольный станковый пулемет, калибром 7,62 мм. Установка должна перевозить не менее 2 чел. команды и 4 тыс. патронов;</w:t>
      </w:r>
    </w:p>
    <w:p w14:paraId="00B714B3"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ж) самоходная зенитная пушечная установка. Назначение — оборона механизированных частей на походе и в бою от штурмовой и бомбардировочной авиации, подвижное противотанковое средство. Шасси малого танка или среднего трактора. Вес — 7</w:t>
      </w:r>
      <w:r w:rsidRPr="00A259BD">
        <w:rPr>
          <w:color w:val="000000" w:themeColor="text1"/>
          <w:sz w:val="16"/>
          <w:szCs w:val="16"/>
        </w:rPr>
        <w:noBreakHyphen/>
        <w:t>7,5 т. Скорость хода — 25</w:t>
      </w:r>
      <w:r w:rsidRPr="00A259BD">
        <w:rPr>
          <w:color w:val="000000" w:themeColor="text1"/>
          <w:sz w:val="16"/>
          <w:szCs w:val="16"/>
        </w:rPr>
        <w:noBreakHyphen/>
        <w:t>30 км/ч. Бортовая броня 7 —10 мм. Вооружение — спаренная 37</w:t>
      </w:r>
      <w:r w:rsidRPr="00A259BD">
        <w:rPr>
          <w:color w:val="000000" w:themeColor="text1"/>
          <w:sz w:val="16"/>
          <w:szCs w:val="16"/>
        </w:rPr>
        <w:noBreakHyphen/>
        <w:t>мм зенитная пушка. Установка должна перевозить не менее 2 чел. орудийных номеров и 100 выстрелов;</w:t>
      </w:r>
    </w:p>
    <w:p w14:paraId="0AA1C869"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з) по отношению к транспортеру пехоты на шасси малого танка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w:t>
      </w:r>
    </w:p>
    <w:p w14:paraId="7B920C27"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и) радио-трактор. Назначение — связь крупных танковых соединений. Шасси малого танка или среднего трактора. Вес — 7</w:t>
      </w:r>
      <w:r w:rsidRPr="00A259BD">
        <w:rPr>
          <w:color w:val="000000" w:themeColor="text1"/>
          <w:sz w:val="16"/>
          <w:szCs w:val="16"/>
        </w:rPr>
        <w:noBreakHyphen/>
        <w:t>7,5 т. Скорость хода — 25</w:t>
      </w:r>
      <w:r w:rsidRPr="00A259BD">
        <w:rPr>
          <w:color w:val="000000" w:themeColor="text1"/>
          <w:sz w:val="16"/>
          <w:szCs w:val="16"/>
        </w:rPr>
        <w:noBreakHyphen/>
        <w:t>30 км/ч. Толщина бортовой брони (щитки) — 7</w:t>
      </w:r>
      <w:r w:rsidRPr="00A259BD">
        <w:rPr>
          <w:color w:val="000000" w:themeColor="text1"/>
          <w:sz w:val="16"/>
          <w:szCs w:val="16"/>
        </w:rPr>
        <w:noBreakHyphen/>
        <w:t>10 мм. Станция телеграфно-телефонная. Радиус действия (телеграфом) станций 250 км при остановке. Работа с хода на дистанцию — не менее 50 км. Для обслуживания станции допускается иметь вторую аналогичную первой машину;</w:t>
      </w:r>
    </w:p>
    <w:p w14:paraId="2CE93FB9"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к) дымовой танк. Назначение — выпуск мощных дымовых завес. Шасси малого танка или среднего трактора. Вес — 7</w:t>
      </w:r>
      <w:r w:rsidRPr="00A259BD">
        <w:rPr>
          <w:color w:val="000000" w:themeColor="text1"/>
          <w:sz w:val="16"/>
          <w:szCs w:val="16"/>
        </w:rPr>
        <w:noBreakHyphen/>
        <w:t>7,5 т. Скорость хода — 25</w:t>
      </w:r>
      <w:r w:rsidRPr="00A259BD">
        <w:rPr>
          <w:color w:val="000000" w:themeColor="text1"/>
          <w:sz w:val="16"/>
          <w:szCs w:val="16"/>
        </w:rPr>
        <w:noBreakHyphen/>
        <w:t>30 км/ч. Толщина брони — 7</w:t>
      </w:r>
      <w:r w:rsidRPr="00A259BD">
        <w:rPr>
          <w:color w:val="000000" w:themeColor="text1"/>
          <w:sz w:val="16"/>
          <w:szCs w:val="16"/>
        </w:rPr>
        <w:noBreakHyphen/>
        <w:t>10 мм;</w:t>
      </w:r>
    </w:p>
    <w:p w14:paraId="0B3E6EB5"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л) по отношению к мостовому танку ограничиться пока теоретической разработкой, предложив ВПУ ВСНХ к 1 октября 1930 г. представить эскизный проект, после чего и решить вопрос о включении его в систему вооружения;</w:t>
      </w:r>
    </w:p>
    <w:p w14:paraId="7529C8B4"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м) легкий трактор. Назначение — перевозка материальной части дивизионной артиллерии, перевозка личного и командного состава и всех частей моторизованной артиллерии. Вес — 3</w:t>
      </w:r>
      <w:r w:rsidRPr="00A259BD">
        <w:rPr>
          <w:color w:val="000000" w:themeColor="text1"/>
          <w:sz w:val="16"/>
          <w:szCs w:val="16"/>
        </w:rPr>
        <w:noBreakHyphen/>
        <w:t>3,5 т. Максимальная скорость движения с прицепкой — 25</w:t>
      </w:r>
      <w:r w:rsidRPr="00A259BD">
        <w:rPr>
          <w:color w:val="000000" w:themeColor="text1"/>
          <w:sz w:val="16"/>
          <w:szCs w:val="16"/>
        </w:rPr>
        <w:noBreakHyphen/>
        <w:t>30 км[/ч]. Движитель гусеничный;</w:t>
      </w:r>
    </w:p>
    <w:p w14:paraId="5F058F02"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н) средний трактор. Назначение — перевозка орудий АРГК, весящих в походном положении не свыше 7 т. Перевозка корпусной артиллерии, перевозка грузов механизированных соединений (обоз 2 разряда). Шасси должно быть возможно более стандартизировано с шасси легкого танка. Желателен полный стандарт. Вес — около 7 т. Вес прицепного груза — 7</w:t>
      </w:r>
      <w:r w:rsidRPr="00A259BD">
        <w:rPr>
          <w:color w:val="000000" w:themeColor="text1"/>
          <w:sz w:val="16"/>
          <w:szCs w:val="16"/>
        </w:rPr>
        <w:noBreakHyphen/>
        <w:t>7,5 т. Максимальная скорость движения с прицепным грузом 20 км. Движитель гусеничный²*;</w:t>
      </w:r>
    </w:p>
    <w:p w14:paraId="734C3609"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о) тяжелый трактор. Назначение — перевозка орудий АРГК особой мощности и всех тяжелый грузов. Вес — около 11 т. Вес прицепного груза — 11</w:t>
      </w:r>
      <w:r w:rsidRPr="00A259BD">
        <w:rPr>
          <w:color w:val="000000" w:themeColor="text1"/>
          <w:sz w:val="16"/>
          <w:szCs w:val="16"/>
        </w:rPr>
        <w:noBreakHyphen/>
        <w:t>12 т. Максимальная скорость движения с прицепным грузом 15 км.</w:t>
      </w:r>
    </w:p>
    <w:p w14:paraId="4DC1F034"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З³*. Признать не нужным конструирование специальной новой бронемашины и поручить УС РККА совместно с промышленностью проработать вопрос о приспособлении ныне установленных в производство машин, а именно: а) «Форд» — модель «А»; б) «Форд» — марки «АА» с задним мостом «</w:t>
      </w:r>
      <w:proofErr w:type="spellStart"/>
      <w:r w:rsidRPr="00A259BD">
        <w:rPr>
          <w:color w:val="000000" w:themeColor="text1"/>
          <w:sz w:val="16"/>
          <w:szCs w:val="16"/>
        </w:rPr>
        <w:t>Джембо</w:t>
      </w:r>
      <w:proofErr w:type="spellEnd"/>
      <w:r w:rsidRPr="00A259BD">
        <w:rPr>
          <w:color w:val="000000" w:themeColor="text1"/>
          <w:sz w:val="16"/>
          <w:szCs w:val="16"/>
        </w:rPr>
        <w:t>» или другой конструкции;</w:t>
      </w:r>
    </w:p>
    <w:p w14:paraId="2428DB53"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в) автокар грузовой.</w:t>
      </w:r>
    </w:p>
    <w:p w14:paraId="4E72D039"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4. Принять следующее требование к приспособленным машинам:</w:t>
      </w:r>
    </w:p>
    <w:p w14:paraId="25AB0914"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а) легкий бронеавтомобиль («Форд», модель «А»). Назначение — подвижное огневое средство в составе разведывательных частей. Вооружение — 2 пулемета, из них 1 — с приспособлением для воздушной стрельбы. Броня отсутствует, но имеется впереди щит от пуль. Желательно приспособление третьей оси. Максимальная скорость движения по дороге — 80</w:t>
      </w:r>
      <w:r w:rsidRPr="00A259BD">
        <w:rPr>
          <w:color w:val="000000" w:themeColor="text1"/>
          <w:sz w:val="16"/>
          <w:szCs w:val="16"/>
        </w:rPr>
        <w:noBreakHyphen/>
        <w:t>100 км[/ч]. Вес машины — не более 1,5 км. Команда — 3 чел. Емкость машины должна допускать размещения не менее 2 тыс. патронов. Радиус действия 250 км. Кроме того, признать необходимым конструирование той же машины, но для 37</w:t>
      </w:r>
      <w:r w:rsidRPr="00A259BD">
        <w:rPr>
          <w:color w:val="000000" w:themeColor="text1"/>
          <w:sz w:val="16"/>
          <w:szCs w:val="16"/>
        </w:rPr>
        <w:noBreakHyphen/>
        <w:t>мм пушки с круговым обстрелом вместо пулемета;</w:t>
      </w:r>
    </w:p>
    <w:p w14:paraId="2D880D19"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б) средний бронеавтомобиль («Форд АА» с задним мостом «</w:t>
      </w:r>
      <w:proofErr w:type="spellStart"/>
      <w:r w:rsidRPr="00A259BD">
        <w:rPr>
          <w:color w:val="000000" w:themeColor="text1"/>
          <w:sz w:val="16"/>
          <w:szCs w:val="16"/>
        </w:rPr>
        <w:t>Джембо</w:t>
      </w:r>
      <w:proofErr w:type="spellEnd"/>
      <w:r w:rsidRPr="00A259BD">
        <w:rPr>
          <w:color w:val="000000" w:themeColor="text1"/>
          <w:sz w:val="16"/>
          <w:szCs w:val="16"/>
        </w:rPr>
        <w:t>» или другой конструкции). Назначение — боевая разведка в составе разведывательных отрядов и механизированных соединений. Вооружение — 2 пулемета, из них 1 с круговым обстрелом. Броня должна давать гарантию от пробивания обыкновенными пулями с дистанции 150</w:t>
      </w:r>
      <w:r w:rsidRPr="00A259BD">
        <w:rPr>
          <w:color w:val="000000" w:themeColor="text1"/>
          <w:sz w:val="16"/>
          <w:szCs w:val="16"/>
        </w:rPr>
        <w:noBreakHyphen/>
        <w:t>200 м. Максимальная скорость движения по дороге — 50 км. Вес машины — не свыше 3,8 т. Количество команды — 3 чел. Радиус действия 200 км. Емкость машины должна допускать размещение не менее 3 тыс. пулеметных патронов.</w:t>
      </w:r>
    </w:p>
    <w:p w14:paraId="576B40D6"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в) тяжелый бронеавтомобиль (автокар грузовой). Назначение — тяжелая разведывательная машина и средство противотанковой борьбы. Вооружение — одна 37</w:t>
      </w:r>
      <w:r w:rsidRPr="00A259BD">
        <w:rPr>
          <w:color w:val="000000" w:themeColor="text1"/>
          <w:sz w:val="16"/>
          <w:szCs w:val="16"/>
        </w:rPr>
        <w:noBreakHyphen/>
        <w:t>мм пушка и пулемет (не одновременно действующий) с круговым обстрелом и один пулемет для стрельбы в направлении движения (угол обстрела 25</w:t>
      </w:r>
      <w:r w:rsidRPr="00A259BD">
        <w:rPr>
          <w:color w:val="000000" w:themeColor="text1"/>
          <w:sz w:val="16"/>
          <w:szCs w:val="16"/>
        </w:rPr>
        <w:noBreakHyphen/>
        <w:t>30°). Бронемашина должна давать гарантию от пробивания бронебойными пулями на дистанции до 500 м. Число осей — 3. Машина должна иметь заднее рулевое управление. Скорость движения по дороге не менее 50 км[/ч]. Вес машины — не свыше 6 т. Команда — 4 чел. Радиус действия 200 км. Емкость машины должна допускать размещение не менее 75 орудийных выстрелов, 3 тыс. пулеметных патронов и запас горючего на 5</w:t>
      </w:r>
      <w:r w:rsidRPr="00A259BD">
        <w:rPr>
          <w:color w:val="000000" w:themeColor="text1"/>
          <w:sz w:val="16"/>
          <w:szCs w:val="16"/>
        </w:rPr>
        <w:noBreakHyphen/>
        <w:t>6 часов среднего хода⁴*.</w:t>
      </w:r>
    </w:p>
    <w:p w14:paraId="48A339E4"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5. Признать необходимым разработать приспособление существующих мотоциклов к вооружению пулеметами по следующим требованиям: назначение — действие в составе разведывательного отряда. Мотоцикл и коляска не бронируются. Желательно иметь впереди щит толщиной около 7 мм. Пулемет устанавливается на коляске. Установка должна допускать: 1) стрельбу с хода по наземным целям, а при остановке также стрельбу по воздушным целям; 2) быстрое снимание пулемета. Запас патронов — не менее 500 шт.⁵*</w:t>
      </w:r>
    </w:p>
    <w:p w14:paraId="38F0CC1A"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 xml:space="preserve">6. Штабу РККА совместно с </w:t>
      </w:r>
      <w:proofErr w:type="spellStart"/>
      <w:r w:rsidRPr="00A259BD">
        <w:rPr>
          <w:color w:val="000000" w:themeColor="text1"/>
          <w:sz w:val="16"/>
          <w:szCs w:val="16"/>
        </w:rPr>
        <w:t>ВНИКом</w:t>
      </w:r>
      <w:proofErr w:type="spellEnd"/>
      <w:r w:rsidRPr="00A259BD">
        <w:rPr>
          <w:color w:val="000000" w:themeColor="text1"/>
          <w:sz w:val="16"/>
          <w:szCs w:val="16"/>
        </w:rPr>
        <w:t>, МПУ и ВПУ ВСНХ СССР, НС РККА, ВТУ и АУ УС РККА проработать настоящую систему с точки зрения техническо-производственных требований к ней (качество материалов, качество брони, стандартизация отдельных частей систем, простота конструкции и т. д.). Срок — 1 декабря 1929 г.</w:t>
      </w:r>
    </w:p>
    <w:p w14:paraId="08D2C6FC"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 xml:space="preserve">7. Штабу РККА совместно с </w:t>
      </w:r>
      <w:proofErr w:type="spellStart"/>
      <w:r w:rsidRPr="00A259BD">
        <w:rPr>
          <w:color w:val="000000" w:themeColor="text1"/>
          <w:sz w:val="16"/>
          <w:szCs w:val="16"/>
        </w:rPr>
        <w:t>ВНИКом</w:t>
      </w:r>
      <w:proofErr w:type="spellEnd"/>
      <w:r w:rsidRPr="00A259BD">
        <w:rPr>
          <w:color w:val="000000" w:themeColor="text1"/>
          <w:sz w:val="16"/>
          <w:szCs w:val="16"/>
        </w:rPr>
        <w:t>, АУ и ВТУ УС РККА, ВПУ и МПУ ВСНХ СССР разработать план конкретной реализации систем. План должен включить: а) очередность конструирования отдельных систем; б) ориентировочные сроки готовности проектов и опытных образцов; в) план заказов новых систем; г) план вооружения войсковых частей новыми системами (организация войсковых частей и тылов) с учетом имеющейся в наличии материальной части. Срок исполнения по абзацам «а», «б» и «в» — 1 октября 1929 г., по абзацу «г» — 1 января 1930 г.</w:t>
      </w:r>
    </w:p>
    <w:p w14:paraId="1928543E"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 xml:space="preserve">8. Поручить </w:t>
      </w:r>
      <w:proofErr w:type="spellStart"/>
      <w:r w:rsidRPr="00A259BD">
        <w:rPr>
          <w:color w:val="000000" w:themeColor="text1"/>
          <w:sz w:val="16"/>
          <w:szCs w:val="16"/>
        </w:rPr>
        <w:t>ВНИКу</w:t>
      </w:r>
      <w:proofErr w:type="spellEnd"/>
      <w:r w:rsidRPr="00A259BD">
        <w:rPr>
          <w:color w:val="000000" w:themeColor="text1"/>
          <w:sz w:val="16"/>
          <w:szCs w:val="16"/>
        </w:rPr>
        <w:t xml:space="preserve"> совместно со Штабом РККА и АУ УС РККА на основе разработанной системы провести ряд опытов по вопросам улучшения способов наблюдения с танков и методов стрельбы с хода. К разработке привлечь НТК УВМС РККА.</w:t>
      </w:r>
    </w:p>
    <w:p w14:paraId="3B3485D2"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9. Начальнику Штаба РККА с доклада председателя РВС СССР в порядке научных изысканий давать довольствующим органам задания на разработку опытных образцов, хотя и не вошедших в данную систему вооружения, но необходимых для проверки экспериментальным путем новых течений тактики броневого дела и достижения научно-технической мысли.</w:t>
      </w:r>
    </w:p>
    <w:p w14:paraId="68FEA513"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 xml:space="preserve">10. Принимая во внимание, что для обеспечения потребности военного времени в механизированном транспорте для РККА, НКВМ не может базироваться только на </w:t>
      </w:r>
      <w:proofErr w:type="spellStart"/>
      <w:r w:rsidRPr="00A259BD">
        <w:rPr>
          <w:color w:val="000000" w:themeColor="text1"/>
          <w:sz w:val="16"/>
          <w:szCs w:val="16"/>
        </w:rPr>
        <w:t>мобзапасе</w:t>
      </w:r>
      <w:proofErr w:type="spellEnd"/>
      <w:r w:rsidRPr="00A259BD">
        <w:rPr>
          <w:color w:val="000000" w:themeColor="text1"/>
          <w:sz w:val="16"/>
          <w:szCs w:val="16"/>
        </w:rPr>
        <w:t xml:space="preserve"> тракторов специальной конструкции, войти с ходатайством в правительство СССР о согласовании типа и конструкции тракторов, намечаемых к производству внутри страны, с потребностью обороны в этих тракторах.</w:t>
      </w:r>
    </w:p>
    <w:p w14:paraId="0C0FB74D"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11. Предложить АУ УС РККА принять меры к срочной разработке гусеничных придатков к колесным сельскохозяйственным тракторам.</w:t>
      </w:r>
    </w:p>
    <w:p w14:paraId="51F7BFF1" w14:textId="77777777" w:rsidR="00B50A82" w:rsidRPr="00A259BD" w:rsidRDefault="00B50A82" w:rsidP="009236E3">
      <w:pPr>
        <w:pStyle w:val="rteright"/>
        <w:spacing w:before="0" w:after="0"/>
        <w:jc w:val="both"/>
        <w:rPr>
          <w:color w:val="000000" w:themeColor="text1"/>
          <w:sz w:val="16"/>
          <w:szCs w:val="16"/>
        </w:rPr>
      </w:pPr>
      <w:r w:rsidRPr="00A259BD">
        <w:rPr>
          <w:rStyle w:val="af0"/>
          <w:i w:val="0"/>
          <w:color w:val="000000" w:themeColor="text1"/>
          <w:sz w:val="16"/>
          <w:szCs w:val="16"/>
        </w:rPr>
        <w:t xml:space="preserve">Секретарь РВС СССР </w:t>
      </w:r>
      <w:proofErr w:type="spellStart"/>
      <w:r w:rsidRPr="00A259BD">
        <w:rPr>
          <w:rStyle w:val="af0"/>
          <w:i w:val="0"/>
          <w:color w:val="000000" w:themeColor="text1"/>
          <w:sz w:val="16"/>
          <w:szCs w:val="16"/>
        </w:rPr>
        <w:t>Литуновский</w:t>
      </w:r>
      <w:proofErr w:type="spellEnd"/>
    </w:p>
    <w:p w14:paraId="288B5885" w14:textId="77777777" w:rsidR="00B50A82" w:rsidRPr="00A259BD" w:rsidRDefault="00B50A82"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p>
    <w:p w14:paraId="04CFA33D"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xml:space="preserve">* Впредь до </w:t>
      </w:r>
      <w:proofErr w:type="spellStart"/>
      <w:r w:rsidRPr="00A259BD">
        <w:rPr>
          <w:color w:val="000000" w:themeColor="text1"/>
          <w:sz w:val="16"/>
          <w:szCs w:val="16"/>
        </w:rPr>
        <w:t>сконструирования</w:t>
      </w:r>
      <w:proofErr w:type="spellEnd"/>
      <w:r w:rsidRPr="00A259BD">
        <w:rPr>
          <w:color w:val="000000" w:themeColor="text1"/>
          <w:sz w:val="16"/>
          <w:szCs w:val="16"/>
        </w:rPr>
        <w:t xml:space="preserve"> нового малого танка допустить на вооружение частей РККА танк МС</w:t>
      </w:r>
      <w:r w:rsidRPr="00A259BD">
        <w:rPr>
          <w:color w:val="000000" w:themeColor="text1"/>
          <w:sz w:val="16"/>
          <w:szCs w:val="16"/>
        </w:rPr>
        <w:noBreakHyphen/>
        <w:t>1. АУ УС РККА принять все меры к увеличению скорости его хода до 24</w:t>
      </w:r>
      <w:r w:rsidRPr="00A259BD">
        <w:rPr>
          <w:color w:val="000000" w:themeColor="text1"/>
          <w:sz w:val="16"/>
          <w:szCs w:val="16"/>
        </w:rPr>
        <w:noBreakHyphen/>
        <w:t>25 км/ч (</w:t>
      </w:r>
      <w:r w:rsidRPr="00A259BD">
        <w:rPr>
          <w:rStyle w:val="af0"/>
          <w:i w:val="0"/>
          <w:color w:val="000000" w:themeColor="text1"/>
          <w:sz w:val="16"/>
          <w:szCs w:val="16"/>
        </w:rPr>
        <w:t>Прим. док</w:t>
      </w:r>
      <w:r w:rsidRPr="00A259BD">
        <w:rPr>
          <w:color w:val="000000" w:themeColor="text1"/>
          <w:sz w:val="16"/>
          <w:szCs w:val="16"/>
        </w:rPr>
        <w:t>.).</w:t>
      </w:r>
    </w:p>
    <w:p w14:paraId="2CB60220"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xml:space="preserve">* Впредь до </w:t>
      </w:r>
      <w:proofErr w:type="spellStart"/>
      <w:r w:rsidRPr="00A259BD">
        <w:rPr>
          <w:color w:val="000000" w:themeColor="text1"/>
          <w:sz w:val="16"/>
          <w:szCs w:val="16"/>
        </w:rPr>
        <w:t>сконструирования</w:t>
      </w:r>
      <w:proofErr w:type="spellEnd"/>
      <w:r w:rsidRPr="00A259BD">
        <w:rPr>
          <w:color w:val="000000" w:themeColor="text1"/>
          <w:sz w:val="16"/>
          <w:szCs w:val="16"/>
        </w:rPr>
        <w:t xml:space="preserve"> новых среднего и малого тракторов допустить па вооружение РККА тракторы «Большевик» и «Коммунар». АУ УС РККА принять меры к увеличению скорости означенных тракторов согласно плану модернизации (</w:t>
      </w:r>
      <w:r w:rsidRPr="00A259BD">
        <w:rPr>
          <w:rStyle w:val="af0"/>
          <w:i w:val="0"/>
          <w:color w:val="000000" w:themeColor="text1"/>
          <w:sz w:val="16"/>
          <w:szCs w:val="16"/>
        </w:rPr>
        <w:t>Прим. док</w:t>
      </w:r>
      <w:r w:rsidRPr="00A259BD">
        <w:rPr>
          <w:color w:val="000000" w:themeColor="text1"/>
          <w:sz w:val="16"/>
          <w:szCs w:val="16"/>
        </w:rPr>
        <w:t>.).</w:t>
      </w:r>
    </w:p>
    <w:p w14:paraId="5D7C4A7C"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vertAlign w:val="superscript"/>
        </w:rPr>
        <w:t>3</w:t>
      </w:r>
      <w:r w:rsidRPr="00A259BD">
        <w:rPr>
          <w:color w:val="000000" w:themeColor="text1"/>
          <w:sz w:val="16"/>
          <w:szCs w:val="16"/>
        </w:rPr>
        <w:t>* Так в тексте.</w:t>
      </w:r>
    </w:p>
    <w:p w14:paraId="04424E1E"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vertAlign w:val="superscript"/>
        </w:rPr>
        <w:t>4</w:t>
      </w:r>
      <w:r w:rsidRPr="00A259BD">
        <w:rPr>
          <w:color w:val="000000" w:themeColor="text1"/>
          <w:sz w:val="16"/>
          <w:szCs w:val="16"/>
        </w:rPr>
        <w:t>* Впредь до окончательной разработки приспособления для военных целей указанных машин допустить на вооружение РККА бронемашину БА</w:t>
      </w:r>
      <w:r w:rsidRPr="00A259BD">
        <w:rPr>
          <w:color w:val="000000" w:themeColor="text1"/>
          <w:sz w:val="16"/>
          <w:szCs w:val="16"/>
        </w:rPr>
        <w:noBreakHyphen/>
        <w:t>27 (</w:t>
      </w:r>
      <w:r w:rsidRPr="00A259BD">
        <w:rPr>
          <w:rStyle w:val="af0"/>
          <w:i w:val="0"/>
          <w:color w:val="000000" w:themeColor="text1"/>
          <w:sz w:val="16"/>
          <w:szCs w:val="16"/>
        </w:rPr>
        <w:t>Прим. док</w:t>
      </w:r>
      <w:r w:rsidRPr="00A259BD">
        <w:rPr>
          <w:color w:val="000000" w:themeColor="text1"/>
          <w:sz w:val="16"/>
          <w:szCs w:val="16"/>
        </w:rPr>
        <w:t>.).</w:t>
      </w:r>
    </w:p>
    <w:p w14:paraId="7EBB8AEB"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vertAlign w:val="superscript"/>
        </w:rPr>
        <w:lastRenderedPageBreak/>
        <w:t>5</w:t>
      </w:r>
      <w:r w:rsidRPr="00A259BD">
        <w:rPr>
          <w:color w:val="000000" w:themeColor="text1"/>
          <w:sz w:val="16"/>
          <w:szCs w:val="16"/>
        </w:rPr>
        <w:t>* Кроме того, разработать прицепную двухколесную платформу для установки станкового пулемета для стрельбы по наземным и воздушным целям. Платформа должна отцепляться в течение не более 1</w:t>
      </w:r>
      <w:r w:rsidRPr="00A259BD">
        <w:rPr>
          <w:color w:val="000000" w:themeColor="text1"/>
          <w:sz w:val="16"/>
          <w:szCs w:val="16"/>
        </w:rPr>
        <w:noBreakHyphen/>
        <w:t>1,5 мин и допускать перевозку, помимо пулемета, 1,5 тыс. патронов. Означенную платформу использовать и для подвоза патронов (</w:t>
      </w:r>
      <w:r w:rsidRPr="00A259BD">
        <w:rPr>
          <w:rStyle w:val="af0"/>
          <w:i w:val="0"/>
          <w:color w:val="000000" w:themeColor="text1"/>
          <w:sz w:val="16"/>
          <w:szCs w:val="16"/>
        </w:rPr>
        <w:t>Прим. док</w:t>
      </w:r>
      <w:r w:rsidRPr="00A259BD">
        <w:rPr>
          <w:color w:val="000000" w:themeColor="text1"/>
          <w:sz w:val="16"/>
          <w:szCs w:val="16"/>
        </w:rPr>
        <w:t>.).</w:t>
      </w:r>
    </w:p>
    <w:p w14:paraId="7BCD5825" w14:textId="77777777" w:rsidR="00B50A82" w:rsidRPr="00A259BD" w:rsidRDefault="00B50A82" w:rsidP="009236E3">
      <w:pPr>
        <w:pStyle w:val="ae"/>
        <w:spacing w:before="0" w:after="0"/>
        <w:jc w:val="both"/>
        <w:rPr>
          <w:color w:val="000000" w:themeColor="text1"/>
          <w:sz w:val="16"/>
          <w:szCs w:val="16"/>
        </w:rPr>
      </w:pPr>
      <w:r w:rsidRPr="00A259BD">
        <w:rPr>
          <w:color w:val="000000" w:themeColor="text1"/>
          <w:sz w:val="16"/>
          <w:szCs w:val="16"/>
        </w:rPr>
        <w:t>РГВА. Ф. 31811. Оп. 1. Д. 34. Л. 49—50об. Заверенная копия.</w:t>
      </w:r>
    </w:p>
    <w:p w14:paraId="0FBB9089" w14:textId="77777777" w:rsidR="00B50A82" w:rsidRPr="00A259BD" w:rsidRDefault="00B50A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РГВА. Ф. 31811. Оп. 1. Д. 34. Л. 49—50 об. Заверенная копия. </w:t>
      </w:r>
    </w:p>
    <w:p w14:paraId="29A48C72" w14:textId="77777777" w:rsidR="00B50A82" w:rsidRPr="00A259BD" w:rsidRDefault="00B50A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337-340 (12458).</w:t>
      </w:r>
    </w:p>
    <w:p w14:paraId="28ACBF7E" w14:textId="77777777" w:rsidR="00B50A82" w:rsidRPr="00A259BD" w:rsidRDefault="00B50A82" w:rsidP="009236E3">
      <w:pPr>
        <w:spacing w:after="0" w:line="240" w:lineRule="auto"/>
        <w:jc w:val="both"/>
        <w:rPr>
          <w:rFonts w:ascii="Times New Roman" w:hAnsi="Times New Roman"/>
          <w:color w:val="000000" w:themeColor="text1"/>
          <w:sz w:val="16"/>
          <w:szCs w:val="16"/>
        </w:rPr>
      </w:pPr>
    </w:p>
    <w:p w14:paraId="063B0298" w14:textId="77777777" w:rsidR="00B50A82" w:rsidRPr="00A259BD" w:rsidRDefault="00B50A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17-18 июля 1929 г. было принято решение о производстве для нужд Красной Армии танкетки, малого, среднего, большого (тяжелого) и мостового танков. 11 декабря 1929 г. нарком по военным и морским делам (одновременно – председатель РВС СССР) утвердил мобилизационную заявку недавно образованного Управления моторизации и механизации (УММ) РККА на ближайшие четыре года, определившую поставки промышленностью танков в соответствии с существующей потребностью (12137).</w:t>
      </w:r>
    </w:p>
    <w:p w14:paraId="20DF2F14" w14:textId="77777777" w:rsidR="00B50A82" w:rsidRPr="00A259BD" w:rsidRDefault="00B50A82" w:rsidP="009236E3">
      <w:pPr>
        <w:spacing w:after="0" w:line="240" w:lineRule="auto"/>
        <w:jc w:val="both"/>
        <w:rPr>
          <w:rFonts w:ascii="Times New Roman" w:hAnsi="Times New Roman"/>
          <w:color w:val="000000" w:themeColor="text1"/>
          <w:sz w:val="16"/>
          <w:szCs w:val="16"/>
        </w:rPr>
      </w:pPr>
    </w:p>
    <w:p w14:paraId="2D1DCC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июля 1929 на заседании РВС была принята “система танко-тракторно-</w:t>
      </w:r>
      <w:proofErr w:type="spellStart"/>
      <w:r w:rsidRPr="00A259BD">
        <w:rPr>
          <w:rFonts w:ascii="Times New Roman" w:hAnsi="Times New Roman"/>
          <w:color w:val="000000" w:themeColor="text1"/>
          <w:sz w:val="16"/>
          <w:szCs w:val="16"/>
        </w:rPr>
        <w:t>автоброне</w:t>
      </w:r>
      <w:proofErr w:type="spellEnd"/>
      <w:r w:rsidRPr="00A259BD">
        <w:rPr>
          <w:rFonts w:ascii="Times New Roman" w:hAnsi="Times New Roman"/>
          <w:color w:val="000000" w:themeColor="text1"/>
          <w:sz w:val="16"/>
          <w:szCs w:val="16"/>
        </w:rPr>
        <w:t xml:space="preserve">-вооружения”, отвечавшая новой структуре РККА. На заседании родились требования к новому танку сопровождения - Т-19. Однако, отметили: “Впредь до </w:t>
      </w:r>
      <w:proofErr w:type="spellStart"/>
      <w:r w:rsidRPr="00A259BD">
        <w:rPr>
          <w:rFonts w:ascii="Times New Roman" w:hAnsi="Times New Roman"/>
          <w:color w:val="000000" w:themeColor="text1"/>
          <w:sz w:val="16"/>
          <w:szCs w:val="16"/>
        </w:rPr>
        <w:t>сконструирования</w:t>
      </w:r>
      <w:proofErr w:type="spellEnd"/>
      <w:r w:rsidRPr="00A259BD">
        <w:rPr>
          <w:rFonts w:ascii="Times New Roman" w:hAnsi="Times New Roman"/>
          <w:color w:val="000000" w:themeColor="text1"/>
          <w:sz w:val="16"/>
          <w:szCs w:val="16"/>
        </w:rPr>
        <w:t xml:space="preserve"> нового танка допустить на вооружение РККА танк МС-1. АУ УС РККА принять все меры по увеличению скорости танка до 25 км/час.” (4243,11).</w:t>
      </w:r>
    </w:p>
    <w:p w14:paraId="6B2950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0ED3D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17-18 июля 1929 г. состоялось заседание РВС СССР, на котором была утверждена “система танко-тракторно-</w:t>
      </w:r>
      <w:proofErr w:type="spellStart"/>
      <w:r w:rsidRPr="00A259BD">
        <w:rPr>
          <w:rFonts w:ascii="Times New Roman" w:hAnsi="Times New Roman"/>
          <w:color w:val="000000" w:themeColor="text1"/>
          <w:sz w:val="16"/>
          <w:szCs w:val="16"/>
        </w:rPr>
        <w:t>автоброневооружения</w:t>
      </w:r>
      <w:proofErr w:type="spellEnd"/>
      <w:r w:rsidRPr="00A259BD">
        <w:rPr>
          <w:rFonts w:ascii="Times New Roman" w:hAnsi="Times New Roman"/>
          <w:color w:val="000000" w:themeColor="text1"/>
          <w:sz w:val="16"/>
          <w:szCs w:val="16"/>
        </w:rPr>
        <w:t xml:space="preserve"> РККА”, структурно состоящая из сле</w:t>
      </w:r>
      <w:r w:rsidRPr="00A259BD">
        <w:rPr>
          <w:rFonts w:ascii="Times New Roman" w:hAnsi="Times New Roman"/>
          <w:color w:val="000000" w:themeColor="text1"/>
          <w:sz w:val="16"/>
          <w:szCs w:val="16"/>
        </w:rPr>
        <w:softHyphen/>
        <w:t>дующих типов танков:</w:t>
      </w:r>
    </w:p>
    <w:p w14:paraId="72E2D9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Танкетка колесно-гусеничная. Назначение — разведка, внезапное нападение. Вес, не более 3,3 </w:t>
      </w:r>
      <w:proofErr w:type="spellStart"/>
      <w:r w:rsidRPr="00A259BD">
        <w:rPr>
          <w:rFonts w:ascii="Times New Roman" w:hAnsi="Times New Roman"/>
          <w:color w:val="000000" w:themeColor="text1"/>
          <w:sz w:val="16"/>
          <w:szCs w:val="16"/>
        </w:rPr>
        <w:t>тн</w:t>
      </w:r>
      <w:proofErr w:type="spellEnd"/>
      <w:r w:rsidRPr="00A259BD">
        <w:rPr>
          <w:rFonts w:ascii="Times New Roman" w:hAnsi="Times New Roman"/>
          <w:color w:val="000000" w:themeColor="text1"/>
          <w:sz w:val="16"/>
          <w:szCs w:val="16"/>
        </w:rPr>
        <w:t xml:space="preserve">. Скорость не менее 60 км/ч на колесном ходу и 40 км/ч на гусеничном. Броня должна защищать от обстрела бронебойными пулями с дистанции 300 </w:t>
      </w:r>
      <w:proofErr w:type="spellStart"/>
      <w:r w:rsidRPr="00A259BD">
        <w:rPr>
          <w:rFonts w:ascii="Times New Roman" w:hAnsi="Times New Roman"/>
          <w:color w:val="000000" w:themeColor="text1"/>
          <w:sz w:val="16"/>
          <w:szCs w:val="16"/>
        </w:rPr>
        <w:t>мтр</w:t>
      </w:r>
      <w:proofErr w:type="spellEnd"/>
      <w:r w:rsidRPr="00A259BD">
        <w:rPr>
          <w:rFonts w:ascii="Times New Roman" w:hAnsi="Times New Roman"/>
          <w:color w:val="000000" w:themeColor="text1"/>
          <w:sz w:val="16"/>
          <w:szCs w:val="16"/>
        </w:rPr>
        <w:t xml:space="preserve">. Вооружение 1 пулемет с обстрелом 360 </w:t>
      </w:r>
      <w:proofErr w:type="spellStart"/>
      <w:r w:rsidRPr="00A259BD">
        <w:rPr>
          <w:rFonts w:ascii="Times New Roman" w:hAnsi="Times New Roman"/>
          <w:color w:val="000000" w:themeColor="text1"/>
          <w:sz w:val="16"/>
          <w:szCs w:val="16"/>
        </w:rPr>
        <w:t>гр</w:t>
      </w:r>
      <w:proofErr w:type="spellEnd"/>
      <w:r w:rsidRPr="00A259BD">
        <w:rPr>
          <w:rFonts w:ascii="Times New Roman" w:hAnsi="Times New Roman"/>
          <w:color w:val="000000" w:themeColor="text1"/>
          <w:sz w:val="16"/>
          <w:szCs w:val="16"/>
        </w:rPr>
        <w:t xml:space="preserve"> или два неодно</w:t>
      </w:r>
      <w:r w:rsidRPr="00A259BD">
        <w:rPr>
          <w:rFonts w:ascii="Times New Roman" w:hAnsi="Times New Roman"/>
          <w:color w:val="000000" w:themeColor="text1"/>
          <w:sz w:val="16"/>
          <w:szCs w:val="16"/>
        </w:rPr>
        <w:softHyphen/>
        <w:t xml:space="preserve">временно действующих пулемета с общим обстрелом 360 гр. Боекомплект не менее 2500 патрон, </w:t>
      </w:r>
      <w:proofErr w:type="spellStart"/>
      <w:r w:rsidRPr="00A259BD">
        <w:rPr>
          <w:rFonts w:ascii="Times New Roman" w:hAnsi="Times New Roman"/>
          <w:color w:val="000000" w:themeColor="text1"/>
          <w:sz w:val="16"/>
          <w:szCs w:val="16"/>
        </w:rPr>
        <w:t>оманда</w:t>
      </w:r>
      <w:proofErr w:type="spellEnd"/>
      <w:r w:rsidRPr="00A259BD">
        <w:rPr>
          <w:rFonts w:ascii="Times New Roman" w:hAnsi="Times New Roman"/>
          <w:color w:val="000000" w:themeColor="text1"/>
          <w:sz w:val="16"/>
          <w:szCs w:val="16"/>
        </w:rPr>
        <w:t xml:space="preserve"> — 2 человека. Ра</w:t>
      </w:r>
      <w:r w:rsidRPr="00A259BD">
        <w:rPr>
          <w:rFonts w:ascii="Times New Roman" w:hAnsi="Times New Roman"/>
          <w:color w:val="000000" w:themeColor="text1"/>
          <w:sz w:val="16"/>
          <w:szCs w:val="16"/>
        </w:rPr>
        <w:softHyphen/>
        <w:t xml:space="preserve">диус действия — 300 </w:t>
      </w:r>
      <w:proofErr w:type="spellStart"/>
      <w:r w:rsidRPr="00A259BD">
        <w:rPr>
          <w:rFonts w:ascii="Times New Roman" w:hAnsi="Times New Roman"/>
          <w:color w:val="000000" w:themeColor="text1"/>
          <w:sz w:val="16"/>
          <w:szCs w:val="16"/>
        </w:rPr>
        <w:t>клм</w:t>
      </w:r>
      <w:proofErr w:type="spellEnd"/>
      <w:r w:rsidRPr="00A259BD">
        <w:rPr>
          <w:rFonts w:ascii="Times New Roman" w:hAnsi="Times New Roman"/>
          <w:color w:val="000000" w:themeColor="text1"/>
          <w:sz w:val="16"/>
          <w:szCs w:val="16"/>
        </w:rPr>
        <w:t xml:space="preserve"> на гусеничном и 450 </w:t>
      </w:r>
      <w:proofErr w:type="spellStart"/>
      <w:r w:rsidRPr="00A259BD">
        <w:rPr>
          <w:rFonts w:ascii="Times New Roman" w:hAnsi="Times New Roman"/>
          <w:color w:val="000000" w:themeColor="text1"/>
          <w:sz w:val="16"/>
          <w:szCs w:val="16"/>
        </w:rPr>
        <w:t>клм</w:t>
      </w:r>
      <w:proofErr w:type="spellEnd"/>
      <w:r w:rsidRPr="00A259BD">
        <w:rPr>
          <w:rFonts w:ascii="Times New Roman" w:hAnsi="Times New Roman"/>
          <w:color w:val="000000" w:themeColor="text1"/>
          <w:sz w:val="16"/>
          <w:szCs w:val="16"/>
        </w:rPr>
        <w:t xml:space="preserve"> на колесном ходу. Переход от колесного на гусеничный ход не более 0,5 мин не выходя из танкетки. Высота танкетки не более 1,5мтр...</w:t>
      </w:r>
    </w:p>
    <w:p w14:paraId="03BBBB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Малый танк. Назначение — ударное средство механи</w:t>
      </w:r>
      <w:r w:rsidRPr="00A259BD">
        <w:rPr>
          <w:rFonts w:ascii="Times New Roman" w:hAnsi="Times New Roman"/>
          <w:color w:val="000000" w:themeColor="text1"/>
          <w:sz w:val="16"/>
          <w:szCs w:val="16"/>
        </w:rPr>
        <w:softHyphen/>
        <w:t>зированных частей, осуществляющих прорыв в условиях ма</w:t>
      </w:r>
      <w:r w:rsidRPr="00A259BD">
        <w:rPr>
          <w:rFonts w:ascii="Times New Roman" w:hAnsi="Times New Roman"/>
          <w:color w:val="000000" w:themeColor="text1"/>
          <w:sz w:val="16"/>
          <w:szCs w:val="16"/>
        </w:rPr>
        <w:softHyphen/>
        <w:t xml:space="preserve">невренного боя. Вес не более 7- 7,5 </w:t>
      </w:r>
      <w:proofErr w:type="spellStart"/>
      <w:r w:rsidRPr="00A259BD">
        <w:rPr>
          <w:rFonts w:ascii="Times New Roman" w:hAnsi="Times New Roman"/>
          <w:color w:val="000000" w:themeColor="text1"/>
          <w:sz w:val="16"/>
          <w:szCs w:val="16"/>
        </w:rPr>
        <w:t>тн</w:t>
      </w:r>
      <w:proofErr w:type="spellEnd"/>
      <w:r w:rsidRPr="00A259BD">
        <w:rPr>
          <w:rFonts w:ascii="Times New Roman" w:hAnsi="Times New Roman"/>
          <w:color w:val="000000" w:themeColor="text1"/>
          <w:sz w:val="16"/>
          <w:szCs w:val="16"/>
        </w:rPr>
        <w:t xml:space="preserve">, скорость 25-30 </w:t>
      </w:r>
      <w:proofErr w:type="spellStart"/>
      <w:r w:rsidRPr="00A259BD">
        <w:rPr>
          <w:rFonts w:ascii="Times New Roman" w:hAnsi="Times New Roman"/>
          <w:color w:val="000000" w:themeColor="text1"/>
          <w:sz w:val="16"/>
          <w:szCs w:val="16"/>
        </w:rPr>
        <w:t>клм</w:t>
      </w:r>
      <w:proofErr w:type="spellEnd"/>
      <w:r w:rsidRPr="00A259BD">
        <w:rPr>
          <w:rFonts w:ascii="Times New Roman" w:hAnsi="Times New Roman"/>
          <w:color w:val="000000" w:themeColor="text1"/>
          <w:sz w:val="16"/>
          <w:szCs w:val="16"/>
        </w:rPr>
        <w:t xml:space="preserve">/час Толщина брони должна гарантировать от пробития 37 мм снарядом при нач. скорости 700м/с </w:t>
      </w:r>
      <w:proofErr w:type="spellStart"/>
      <w:r w:rsidRPr="00A259BD">
        <w:rPr>
          <w:rFonts w:ascii="Times New Roman" w:hAnsi="Times New Roman"/>
          <w:color w:val="000000" w:themeColor="text1"/>
          <w:sz w:val="16"/>
          <w:szCs w:val="16"/>
        </w:rPr>
        <w:t>с</w:t>
      </w:r>
      <w:proofErr w:type="spellEnd"/>
      <w:r w:rsidRPr="00A259BD">
        <w:rPr>
          <w:rFonts w:ascii="Times New Roman" w:hAnsi="Times New Roman"/>
          <w:color w:val="000000" w:themeColor="text1"/>
          <w:sz w:val="16"/>
          <w:szCs w:val="16"/>
        </w:rPr>
        <w:t xml:space="preserve"> диет. 1000м. Вооруже</w:t>
      </w:r>
      <w:r w:rsidRPr="00A259BD">
        <w:rPr>
          <w:rFonts w:ascii="Times New Roman" w:hAnsi="Times New Roman"/>
          <w:color w:val="000000" w:themeColor="text1"/>
          <w:sz w:val="16"/>
          <w:szCs w:val="16"/>
        </w:rPr>
        <w:softHyphen/>
        <w:t>ние — одна 37-мм пушка и 2 пулемета, из них один неодновре</w:t>
      </w:r>
      <w:r w:rsidRPr="00A259BD">
        <w:rPr>
          <w:rFonts w:ascii="Times New Roman" w:hAnsi="Times New Roman"/>
          <w:color w:val="000000" w:themeColor="text1"/>
          <w:sz w:val="16"/>
          <w:szCs w:val="16"/>
        </w:rPr>
        <w:softHyphen/>
        <w:t xml:space="preserve">менно с пушкой действующий. Боекомплект — не менее 75 снарядов и 3500 патрон, </w:t>
      </w:r>
      <w:proofErr w:type="spellStart"/>
      <w:r w:rsidRPr="00A259BD">
        <w:rPr>
          <w:rFonts w:ascii="Times New Roman" w:hAnsi="Times New Roman"/>
          <w:color w:val="000000" w:themeColor="text1"/>
          <w:sz w:val="16"/>
          <w:szCs w:val="16"/>
        </w:rPr>
        <w:t>оманда</w:t>
      </w:r>
      <w:proofErr w:type="spellEnd"/>
      <w:r w:rsidRPr="00A259BD">
        <w:rPr>
          <w:rFonts w:ascii="Times New Roman" w:hAnsi="Times New Roman"/>
          <w:color w:val="000000" w:themeColor="text1"/>
          <w:sz w:val="16"/>
          <w:szCs w:val="16"/>
        </w:rPr>
        <w:t xml:space="preserve"> — 3 человека. Радиус дейст</w:t>
      </w:r>
      <w:r w:rsidRPr="00A259BD">
        <w:rPr>
          <w:rFonts w:ascii="Times New Roman" w:hAnsi="Times New Roman"/>
          <w:color w:val="000000" w:themeColor="text1"/>
          <w:sz w:val="16"/>
          <w:szCs w:val="16"/>
        </w:rPr>
        <w:softHyphen/>
        <w:t>вия — 200 км/желательна плавучесть/...</w:t>
      </w:r>
    </w:p>
    <w:p w14:paraId="541BEBE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 Вплоть до сконструирована нового ма</w:t>
      </w:r>
      <w:r w:rsidRPr="00A259BD">
        <w:rPr>
          <w:rFonts w:ascii="Times New Roman" w:hAnsi="Times New Roman"/>
          <w:color w:val="000000" w:themeColor="text1"/>
          <w:sz w:val="16"/>
          <w:szCs w:val="16"/>
        </w:rPr>
        <w:softHyphen/>
        <w:t>лого танка допустить на вооружение частей РККА малый танк А/С- /. АУ УС РККА принять все меры к увеличению ско</w:t>
      </w:r>
      <w:r w:rsidRPr="00A259BD">
        <w:rPr>
          <w:rFonts w:ascii="Times New Roman" w:hAnsi="Times New Roman"/>
          <w:color w:val="000000" w:themeColor="text1"/>
          <w:sz w:val="16"/>
          <w:szCs w:val="16"/>
        </w:rPr>
        <w:softHyphen/>
        <w:t xml:space="preserve">рости его хода до 24-25 </w:t>
      </w:r>
      <w:proofErr w:type="spellStart"/>
      <w:r w:rsidRPr="00A259BD">
        <w:rPr>
          <w:rFonts w:ascii="Times New Roman" w:hAnsi="Times New Roman"/>
          <w:color w:val="000000" w:themeColor="text1"/>
          <w:sz w:val="16"/>
          <w:szCs w:val="16"/>
        </w:rPr>
        <w:t>клм</w:t>
      </w:r>
      <w:proofErr w:type="spellEnd"/>
      <w:r w:rsidRPr="00A259BD">
        <w:rPr>
          <w:rFonts w:ascii="Times New Roman" w:hAnsi="Times New Roman"/>
          <w:color w:val="000000" w:themeColor="text1"/>
          <w:sz w:val="16"/>
          <w:szCs w:val="16"/>
        </w:rPr>
        <w:t>/час.</w:t>
      </w:r>
    </w:p>
    <w:p w14:paraId="4E3714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Средний (маневренный) танк. Назначение — прорыв укрепленной полосы в условиях как маневренных, так и позици</w:t>
      </w:r>
      <w:r w:rsidRPr="00A259BD">
        <w:rPr>
          <w:rFonts w:ascii="Times New Roman" w:hAnsi="Times New Roman"/>
          <w:color w:val="000000" w:themeColor="text1"/>
          <w:sz w:val="16"/>
          <w:szCs w:val="16"/>
        </w:rPr>
        <w:softHyphen/>
        <w:t>онных. Вес — не более 15-16 т, скорость — 25-30 км/ч. Толщи</w:t>
      </w:r>
      <w:r w:rsidRPr="00A259BD">
        <w:rPr>
          <w:rFonts w:ascii="Times New Roman" w:hAnsi="Times New Roman"/>
          <w:color w:val="000000" w:themeColor="text1"/>
          <w:sz w:val="16"/>
          <w:szCs w:val="16"/>
        </w:rPr>
        <w:softHyphen/>
        <w:t>на брони должна гарантировать от пробивания 37-мм снаря</w:t>
      </w:r>
      <w:r w:rsidRPr="00A259BD">
        <w:rPr>
          <w:rFonts w:ascii="Times New Roman" w:hAnsi="Times New Roman"/>
          <w:color w:val="000000" w:themeColor="text1"/>
          <w:sz w:val="16"/>
          <w:szCs w:val="16"/>
        </w:rPr>
        <w:softHyphen/>
        <w:t xml:space="preserve">дом при нач. скорости 700 м/с на дистанции 750 </w:t>
      </w:r>
      <w:proofErr w:type="spellStart"/>
      <w:r w:rsidRPr="00A259BD">
        <w:rPr>
          <w:rFonts w:ascii="Times New Roman" w:hAnsi="Times New Roman"/>
          <w:color w:val="000000" w:themeColor="text1"/>
          <w:sz w:val="16"/>
          <w:szCs w:val="16"/>
        </w:rPr>
        <w:t>мтр</w:t>
      </w:r>
      <w:proofErr w:type="spellEnd"/>
      <w:r w:rsidRPr="00A259BD">
        <w:rPr>
          <w:rFonts w:ascii="Times New Roman" w:hAnsi="Times New Roman"/>
          <w:color w:val="000000" w:themeColor="text1"/>
          <w:sz w:val="16"/>
          <w:szCs w:val="16"/>
        </w:rPr>
        <w:t>. Вооружение - одна 45-мм пушка и три одновременно действующих пулемета. Боекомплект не менее 100 снарядов и 5000 патрон. Число команды - 4-5 человек. Радиус действия - 200клм...</w:t>
      </w:r>
    </w:p>
    <w:p w14:paraId="322C9C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По отношению к большому танку ограничиться пока теоретической проработкой вопроса, предложив МПУ ВСНХ к 1.Х.ЗО г. представить эскизный проект, после чего решить вопрос о включении его в систему вооружения...” (10733,93)</w:t>
      </w:r>
    </w:p>
    <w:p w14:paraId="748C1AD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u w:val="single"/>
        </w:rPr>
      </w:pPr>
    </w:p>
    <w:p w14:paraId="3DEE8A8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17-18 июля 1929 г. в одном из пунктов решения отмеча</w:t>
      </w:r>
      <w:r w:rsidRPr="00A259BD">
        <w:rPr>
          <w:rFonts w:ascii="Times New Roman" w:hAnsi="Times New Roman"/>
          <w:color w:val="000000" w:themeColor="text1"/>
          <w:sz w:val="16"/>
          <w:szCs w:val="16"/>
        </w:rPr>
        <w:softHyphen/>
        <w:t xml:space="preserve">лось: “Впредь до </w:t>
      </w:r>
      <w:proofErr w:type="spellStart"/>
      <w:r w:rsidRPr="00A259BD">
        <w:rPr>
          <w:rFonts w:ascii="Times New Roman" w:hAnsi="Times New Roman"/>
          <w:color w:val="000000" w:themeColor="text1"/>
          <w:sz w:val="16"/>
          <w:szCs w:val="16"/>
        </w:rPr>
        <w:t>сконструирования</w:t>
      </w:r>
      <w:proofErr w:type="spellEnd"/>
      <w:r w:rsidRPr="00A259BD">
        <w:rPr>
          <w:rFonts w:ascii="Times New Roman" w:hAnsi="Times New Roman"/>
          <w:color w:val="000000" w:themeColor="text1"/>
          <w:sz w:val="16"/>
          <w:szCs w:val="16"/>
        </w:rPr>
        <w:t xml:space="preserve"> нового танка допустить на вооружении РККА танк МС-1. АУ УС РККА принять все меры по увеличению скорости танка до 25 </w:t>
      </w:r>
      <w:proofErr w:type="spellStart"/>
      <w:r w:rsidRPr="00A259BD">
        <w:rPr>
          <w:rFonts w:ascii="Times New Roman" w:hAnsi="Times New Roman"/>
          <w:color w:val="000000" w:themeColor="text1"/>
          <w:sz w:val="16"/>
          <w:szCs w:val="16"/>
        </w:rPr>
        <w:t>клм</w:t>
      </w:r>
      <w:proofErr w:type="spellEnd"/>
      <w:r w:rsidRPr="00A259BD">
        <w:rPr>
          <w:rFonts w:ascii="Times New Roman" w:hAnsi="Times New Roman"/>
          <w:color w:val="000000" w:themeColor="text1"/>
          <w:sz w:val="16"/>
          <w:szCs w:val="16"/>
        </w:rPr>
        <w:t>/ч”. Во исполнение этого решения по танку Т-18 были про</w:t>
      </w:r>
      <w:r w:rsidRPr="00A259BD">
        <w:rPr>
          <w:rFonts w:ascii="Times New Roman" w:hAnsi="Times New Roman"/>
          <w:color w:val="000000" w:themeColor="text1"/>
          <w:sz w:val="16"/>
          <w:szCs w:val="16"/>
        </w:rPr>
        <w:softHyphen/>
        <w:t>ведены следующие работы: увеличена мощность двигателя до 40 л.с., применена четырехскоростная коробка передач вместо трехскоростной и введено новое литое ведущее коле</w:t>
      </w:r>
      <w:r w:rsidRPr="00A259BD">
        <w:rPr>
          <w:rFonts w:ascii="Times New Roman" w:hAnsi="Times New Roman"/>
          <w:color w:val="000000" w:themeColor="text1"/>
          <w:sz w:val="16"/>
          <w:szCs w:val="16"/>
        </w:rPr>
        <w:softHyphen/>
        <w:t>со. Было пересмотрено и вооружение Т-18, которое теперь должно было состоять из 37-мм пушки большой мощности и 7,62-мм пулемета Дегтярева в шаровом яблоке Шпагина. При установке нового вооружения башня танка оказалась бы сильно перегруженной в передней части, поэтому в тан</w:t>
      </w:r>
      <w:r w:rsidRPr="00A259BD">
        <w:rPr>
          <w:rFonts w:ascii="Times New Roman" w:hAnsi="Times New Roman"/>
          <w:color w:val="000000" w:themeColor="text1"/>
          <w:sz w:val="16"/>
          <w:szCs w:val="16"/>
        </w:rPr>
        <w:softHyphen/>
        <w:t>ках, выпускаемых с 1930 г.. была введена кормовая ниша, предназначенная к тому же для размещения радиостанции. Такой видоизмененный танк получил название “МС-1/ Т-18) образца 1930 г.”. Но модернизация была половинча</w:t>
      </w:r>
      <w:r w:rsidRPr="00A259BD">
        <w:rPr>
          <w:rFonts w:ascii="Times New Roman" w:hAnsi="Times New Roman"/>
          <w:color w:val="000000" w:themeColor="text1"/>
          <w:sz w:val="16"/>
          <w:szCs w:val="16"/>
        </w:rPr>
        <w:softHyphen/>
        <w:t xml:space="preserve">той и </w:t>
      </w:r>
      <w:proofErr w:type="spellStart"/>
      <w:r w:rsidRPr="00A259BD">
        <w:rPr>
          <w:rFonts w:ascii="Times New Roman" w:hAnsi="Times New Roman"/>
          <w:color w:val="000000" w:themeColor="text1"/>
          <w:sz w:val="16"/>
          <w:szCs w:val="16"/>
        </w:rPr>
        <w:t>кардинатьно</w:t>
      </w:r>
      <w:proofErr w:type="spellEnd"/>
      <w:r w:rsidRPr="00A259BD">
        <w:rPr>
          <w:rFonts w:ascii="Times New Roman" w:hAnsi="Times New Roman"/>
          <w:color w:val="000000" w:themeColor="text1"/>
          <w:sz w:val="16"/>
          <w:szCs w:val="16"/>
        </w:rPr>
        <w:t xml:space="preserve"> не улучшала боевые характеристики танка, гак как скорость движения так и не достигла 25 км/ч, а корпус остался прежним. Поэтому в конце 1929 г. начались работы над модернизированным танком сопро</w:t>
      </w:r>
      <w:r w:rsidRPr="00A259BD">
        <w:rPr>
          <w:rFonts w:ascii="Times New Roman" w:hAnsi="Times New Roman"/>
          <w:color w:val="000000" w:themeColor="text1"/>
          <w:sz w:val="16"/>
          <w:szCs w:val="16"/>
        </w:rPr>
        <w:softHyphen/>
        <w:t>вождения Т-20 (Т-18 улучшенный) (10733,94).</w:t>
      </w:r>
    </w:p>
    <w:p w14:paraId="0345A1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49162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17—18 июля 1929 г. Заседание РВС поставило перед во</w:t>
      </w:r>
      <w:r w:rsidRPr="00A259BD">
        <w:rPr>
          <w:rFonts w:ascii="Times New Roman" w:hAnsi="Times New Roman"/>
          <w:color w:val="000000" w:themeColor="text1"/>
          <w:sz w:val="16"/>
          <w:szCs w:val="16"/>
        </w:rPr>
        <w:softHyphen/>
        <w:t>енной промышленностью СССР сложную задачу — в ко</w:t>
      </w:r>
      <w:r w:rsidRPr="00A259BD">
        <w:rPr>
          <w:rFonts w:ascii="Times New Roman" w:hAnsi="Times New Roman"/>
          <w:color w:val="000000" w:themeColor="text1"/>
          <w:sz w:val="16"/>
          <w:szCs w:val="16"/>
        </w:rPr>
        <w:softHyphen/>
        <w:t>роткий срок создать новую боевую машину — основной танк сопровождения Т-19. Задание на его проектирование было выдано ГКБ ОАТ осенью (предположительно — в ав</w:t>
      </w:r>
      <w:r w:rsidRPr="00A259BD">
        <w:rPr>
          <w:rFonts w:ascii="Times New Roman" w:hAnsi="Times New Roman"/>
          <w:color w:val="000000" w:themeColor="text1"/>
          <w:sz w:val="16"/>
          <w:szCs w:val="16"/>
        </w:rPr>
        <w:softHyphen/>
        <w:t>густе-сентябре). Окончание разработки предполагалось к 15 января 1930 г., но этот срок оказался весьма оптимистич</w:t>
      </w:r>
      <w:r w:rsidRPr="00A259BD">
        <w:rPr>
          <w:rFonts w:ascii="Times New Roman" w:hAnsi="Times New Roman"/>
          <w:color w:val="000000" w:themeColor="text1"/>
          <w:sz w:val="16"/>
          <w:szCs w:val="16"/>
        </w:rPr>
        <w:softHyphen/>
        <w:t>ным. В его создании проектировщики столкнулись с мно</w:t>
      </w:r>
      <w:r w:rsidRPr="00A259BD">
        <w:rPr>
          <w:rFonts w:ascii="Times New Roman" w:hAnsi="Times New Roman"/>
          <w:color w:val="000000" w:themeColor="text1"/>
          <w:sz w:val="16"/>
          <w:szCs w:val="16"/>
        </w:rPr>
        <w:softHyphen/>
        <w:t>жеством трудностей. Особенно тормозили проектные работы многочислен</w:t>
      </w:r>
      <w:r w:rsidRPr="00A259BD">
        <w:rPr>
          <w:rFonts w:ascii="Times New Roman" w:hAnsi="Times New Roman"/>
          <w:color w:val="000000" w:themeColor="text1"/>
          <w:sz w:val="16"/>
          <w:szCs w:val="16"/>
        </w:rPr>
        <w:softHyphen/>
        <w:t>ные доносы и жалобы на конструкторов, а также самые не</w:t>
      </w:r>
      <w:r w:rsidRPr="00A259BD">
        <w:rPr>
          <w:rFonts w:ascii="Times New Roman" w:hAnsi="Times New Roman"/>
          <w:color w:val="000000" w:themeColor="text1"/>
          <w:sz w:val="16"/>
          <w:szCs w:val="16"/>
        </w:rPr>
        <w:softHyphen/>
        <w:t>вероятные пожелания от руководителей РККА различных рангов и следующие за ними разборки. Так, в одном из та</w:t>
      </w:r>
      <w:r w:rsidRPr="00A259BD">
        <w:rPr>
          <w:rFonts w:ascii="Times New Roman" w:hAnsi="Times New Roman"/>
          <w:color w:val="000000" w:themeColor="text1"/>
          <w:sz w:val="16"/>
          <w:szCs w:val="16"/>
        </w:rPr>
        <w:softHyphen/>
        <w:t>ких документов неизвестный “патриот” жаловался на про</w:t>
      </w:r>
      <w:r w:rsidRPr="00A259BD">
        <w:rPr>
          <w:rFonts w:ascii="Times New Roman" w:hAnsi="Times New Roman"/>
          <w:color w:val="000000" w:themeColor="text1"/>
          <w:sz w:val="16"/>
          <w:szCs w:val="16"/>
        </w:rPr>
        <w:softHyphen/>
        <w:t>ектировщиков, что они желают применить “...в передачах Т-19 косозубые шестерни вместо прямозубых, что является прямым доказательством их вредительства...”. А один из командиров (подпись трудно разобрать — видимо, К. Пав</w:t>
      </w:r>
      <w:r w:rsidRPr="00A259BD">
        <w:rPr>
          <w:rFonts w:ascii="Times New Roman" w:hAnsi="Times New Roman"/>
          <w:color w:val="000000" w:themeColor="text1"/>
          <w:sz w:val="16"/>
          <w:szCs w:val="16"/>
        </w:rPr>
        <w:softHyphen/>
        <w:t xml:space="preserve">ловский) требовал, чтобы основной танк был оборудован “...коленчатыми лапами с шипами для </w:t>
      </w:r>
      <w:proofErr w:type="spellStart"/>
      <w:r w:rsidRPr="00A259BD">
        <w:rPr>
          <w:rFonts w:ascii="Times New Roman" w:hAnsi="Times New Roman"/>
          <w:color w:val="000000" w:themeColor="text1"/>
          <w:sz w:val="16"/>
          <w:szCs w:val="16"/>
        </w:rPr>
        <w:t>перелезания</w:t>
      </w:r>
      <w:proofErr w:type="spellEnd"/>
      <w:r w:rsidRPr="00A259BD">
        <w:rPr>
          <w:rFonts w:ascii="Times New Roman" w:hAnsi="Times New Roman"/>
          <w:color w:val="000000" w:themeColor="text1"/>
          <w:sz w:val="16"/>
          <w:szCs w:val="16"/>
        </w:rPr>
        <w:t xml:space="preserve"> через стенки и движения в условиях гор, покрытых снегом...”. Тем не менее приемка проекта состоялась 1 марта 1930 г. (10733,97).</w:t>
      </w:r>
    </w:p>
    <w:p w14:paraId="0BE2DB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FAD4F3" w14:textId="77777777" w:rsidR="002D48EF" w:rsidRPr="00A259BD" w:rsidRDefault="002D48E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июля в 1929 году вышло постановление РВС СССР о создании опытной механизированной части (14955).</w:t>
      </w:r>
    </w:p>
    <w:p w14:paraId="69C82379" w14:textId="77777777" w:rsidR="002D48EF" w:rsidRPr="00A259BD" w:rsidRDefault="002D48EF" w:rsidP="009236E3">
      <w:pPr>
        <w:spacing w:after="0" w:line="240" w:lineRule="auto"/>
        <w:jc w:val="both"/>
        <w:rPr>
          <w:rFonts w:ascii="Times New Roman" w:hAnsi="Times New Roman"/>
          <w:color w:val="000000" w:themeColor="text1"/>
          <w:sz w:val="16"/>
          <w:szCs w:val="16"/>
        </w:rPr>
      </w:pPr>
    </w:p>
    <w:p w14:paraId="3E05D7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17-18 июля 1929 г.</w:t>
      </w:r>
    </w:p>
    <w:p w14:paraId="01350DE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ПРОТОКОЛ №29 ЗАСЕДАНИЯ РЕВОЛЮЦИОННОГО ВОЕННОГО СОВЕТА СССР</w:t>
      </w:r>
    </w:p>
    <w:p w14:paraId="6B62E10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Москва</w:t>
      </w:r>
    </w:p>
    <w:p w14:paraId="4B5FDDC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ПОВЕСТКА ЗАСЕДАНИЯ №29 РВС СОЮЗА ССР</w:t>
      </w:r>
    </w:p>
    <w:p w14:paraId="37CAFF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01A813B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О системе </w:t>
      </w:r>
      <w:proofErr w:type="spellStart"/>
      <w:r w:rsidRPr="00A259BD">
        <w:rPr>
          <w:rFonts w:ascii="Times New Roman" w:hAnsi="Times New Roman"/>
          <w:color w:val="000000" w:themeColor="text1"/>
          <w:sz w:val="16"/>
          <w:szCs w:val="16"/>
        </w:rPr>
        <w:t>танкотрактороавтоброневооружения</w:t>
      </w:r>
      <w:proofErr w:type="spellEnd"/>
      <w:r w:rsidRPr="00A259BD">
        <w:rPr>
          <w:rFonts w:ascii="Times New Roman" w:hAnsi="Times New Roman"/>
          <w:color w:val="000000" w:themeColor="text1"/>
          <w:sz w:val="16"/>
          <w:szCs w:val="16"/>
        </w:rPr>
        <w:t xml:space="preserve"> РККА. Докладчик т. </w:t>
      </w:r>
      <w:proofErr w:type="spellStart"/>
      <w:r w:rsidRPr="00A259BD">
        <w:rPr>
          <w:rFonts w:ascii="Times New Roman" w:hAnsi="Times New Roman"/>
          <w:color w:val="000000" w:themeColor="text1"/>
          <w:sz w:val="16"/>
          <w:szCs w:val="16"/>
        </w:rPr>
        <w:t>Триандофилов</w:t>
      </w:r>
      <w:proofErr w:type="spellEnd"/>
      <w:r w:rsidRPr="00A259BD">
        <w:rPr>
          <w:rFonts w:ascii="Times New Roman" w:hAnsi="Times New Roman"/>
          <w:color w:val="000000" w:themeColor="text1"/>
          <w:sz w:val="16"/>
          <w:szCs w:val="16"/>
        </w:rPr>
        <w:t>.</w:t>
      </w:r>
    </w:p>
    <w:p w14:paraId="2809BDA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О создании механизированной опытной части. Докладчик т. </w:t>
      </w:r>
      <w:proofErr w:type="spellStart"/>
      <w:r w:rsidRPr="00A259BD">
        <w:rPr>
          <w:rFonts w:ascii="Times New Roman" w:hAnsi="Times New Roman"/>
          <w:color w:val="000000" w:themeColor="text1"/>
          <w:sz w:val="16"/>
          <w:szCs w:val="16"/>
        </w:rPr>
        <w:t>Триандофилов</w:t>
      </w:r>
      <w:proofErr w:type="spellEnd"/>
      <w:r w:rsidRPr="00A259BD">
        <w:rPr>
          <w:rFonts w:ascii="Times New Roman" w:hAnsi="Times New Roman"/>
          <w:color w:val="000000" w:themeColor="text1"/>
          <w:sz w:val="16"/>
          <w:szCs w:val="16"/>
        </w:rPr>
        <w:t>.</w:t>
      </w:r>
    </w:p>
    <w:p w14:paraId="18BCBB6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30. О льготном отпуске мотоциклов для начсостава бронетанковых и авточастей.</w:t>
      </w:r>
    </w:p>
    <w:p w14:paraId="1B6D612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ПРОТОКОЛ ЗАСЕДАНИЯ №29 РВС СОЮЗА ССР</w:t>
      </w:r>
    </w:p>
    <w:p w14:paraId="4E35D0E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Присутствуют: товарищи Ворошилов, </w:t>
      </w:r>
      <w:proofErr w:type="spellStart"/>
      <w:r w:rsidRPr="00A259BD">
        <w:rPr>
          <w:rFonts w:ascii="Times New Roman" w:hAnsi="Times New Roman"/>
          <w:color w:val="000000" w:themeColor="text1"/>
          <w:sz w:val="16"/>
          <w:szCs w:val="16"/>
        </w:rPr>
        <w:t>Уншлихт</w:t>
      </w:r>
      <w:proofErr w:type="spellEnd"/>
      <w:r w:rsidRPr="00A259BD">
        <w:rPr>
          <w:rFonts w:ascii="Times New Roman" w:hAnsi="Times New Roman"/>
          <w:color w:val="000000" w:themeColor="text1"/>
          <w:sz w:val="16"/>
          <w:szCs w:val="16"/>
        </w:rPr>
        <w:t xml:space="preserve">, Каменев, Бубнов, Постников, </w:t>
      </w:r>
      <w:proofErr w:type="spellStart"/>
      <w:r w:rsidRPr="00A259BD">
        <w:rPr>
          <w:rFonts w:ascii="Times New Roman" w:hAnsi="Times New Roman"/>
          <w:color w:val="000000" w:themeColor="text1"/>
          <w:sz w:val="16"/>
          <w:szCs w:val="16"/>
        </w:rPr>
        <w:t>Муклевич</w:t>
      </w:r>
      <w:proofErr w:type="spellEnd"/>
      <w:r w:rsidRPr="00A259BD">
        <w:rPr>
          <w:rFonts w:ascii="Times New Roman" w:hAnsi="Times New Roman"/>
          <w:color w:val="000000" w:themeColor="text1"/>
          <w:sz w:val="16"/>
          <w:szCs w:val="16"/>
        </w:rPr>
        <w:t>.</w:t>
      </w:r>
    </w:p>
    <w:p w14:paraId="019B1B8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Приглашены: товарищи </w:t>
      </w:r>
      <w:proofErr w:type="spellStart"/>
      <w:r w:rsidRPr="00A259BD">
        <w:rPr>
          <w:rFonts w:ascii="Times New Roman" w:hAnsi="Times New Roman"/>
          <w:color w:val="000000" w:themeColor="text1"/>
          <w:sz w:val="16"/>
          <w:szCs w:val="16"/>
        </w:rPr>
        <w:t>Триандофилов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Павлуновский</w:t>
      </w:r>
      <w:proofErr w:type="spellEnd"/>
      <w:r w:rsidRPr="00A259BD">
        <w:rPr>
          <w:rFonts w:ascii="Times New Roman" w:hAnsi="Times New Roman"/>
          <w:color w:val="000000" w:themeColor="text1"/>
          <w:sz w:val="16"/>
          <w:szCs w:val="16"/>
        </w:rPr>
        <w:t xml:space="preserve">, Лепин, Левандовский, </w:t>
      </w:r>
      <w:proofErr w:type="spellStart"/>
      <w:r w:rsidRPr="00A259BD">
        <w:rPr>
          <w:rFonts w:ascii="Times New Roman" w:hAnsi="Times New Roman"/>
          <w:color w:val="000000" w:themeColor="text1"/>
          <w:sz w:val="16"/>
          <w:szCs w:val="16"/>
        </w:rPr>
        <w:t>Вакулич</w:t>
      </w:r>
      <w:proofErr w:type="spellEnd"/>
      <w:r w:rsidRPr="00A259BD">
        <w:rPr>
          <w:rFonts w:ascii="Times New Roman" w:hAnsi="Times New Roman"/>
          <w:color w:val="000000" w:themeColor="text1"/>
          <w:sz w:val="16"/>
          <w:szCs w:val="16"/>
        </w:rPr>
        <w:t>, Рыба</w:t>
      </w:r>
      <w:r w:rsidRPr="00A259BD">
        <w:rPr>
          <w:rFonts w:ascii="Times New Roman" w:hAnsi="Times New Roman"/>
          <w:color w:val="000000" w:themeColor="text1"/>
          <w:sz w:val="16"/>
          <w:szCs w:val="16"/>
        </w:rPr>
        <w:softHyphen/>
        <w:t xml:space="preserve">ков, Ольшанский, Берзин, </w:t>
      </w:r>
      <w:proofErr w:type="spellStart"/>
      <w:r w:rsidRPr="00A259BD">
        <w:rPr>
          <w:rFonts w:ascii="Times New Roman" w:hAnsi="Times New Roman"/>
          <w:color w:val="000000" w:themeColor="text1"/>
          <w:sz w:val="16"/>
          <w:szCs w:val="16"/>
        </w:rPr>
        <w:t>Богомяков</w:t>
      </w:r>
      <w:proofErr w:type="spellEnd"/>
      <w:r w:rsidRPr="00A259BD">
        <w:rPr>
          <w:rFonts w:ascii="Times New Roman" w:hAnsi="Times New Roman"/>
          <w:color w:val="000000" w:themeColor="text1"/>
          <w:sz w:val="16"/>
          <w:szCs w:val="16"/>
        </w:rPr>
        <w:t xml:space="preserve">, Петин, Соколов, </w:t>
      </w:r>
      <w:proofErr w:type="spellStart"/>
      <w:r w:rsidRPr="00A259BD">
        <w:rPr>
          <w:rFonts w:ascii="Times New Roman" w:hAnsi="Times New Roman"/>
          <w:color w:val="000000" w:themeColor="text1"/>
          <w:sz w:val="16"/>
          <w:szCs w:val="16"/>
        </w:rPr>
        <w:t>Корк</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Гарф</w:t>
      </w:r>
      <w:proofErr w:type="spellEnd"/>
      <w:r w:rsidRPr="00A259BD">
        <w:rPr>
          <w:rFonts w:ascii="Times New Roman" w:hAnsi="Times New Roman"/>
          <w:color w:val="000000" w:themeColor="text1"/>
          <w:sz w:val="16"/>
          <w:szCs w:val="16"/>
        </w:rPr>
        <w:t xml:space="preserve">, Молодцов,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Ошлей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Зильберберг</w:t>
      </w:r>
      <w:proofErr w:type="spellEnd"/>
      <w:r w:rsidRPr="00A259BD">
        <w:rPr>
          <w:rFonts w:ascii="Times New Roman" w:hAnsi="Times New Roman"/>
          <w:color w:val="000000" w:themeColor="text1"/>
          <w:sz w:val="16"/>
          <w:szCs w:val="16"/>
        </w:rPr>
        <w:t xml:space="preserve">, Алкснис, </w:t>
      </w:r>
      <w:proofErr w:type="spellStart"/>
      <w:r w:rsidRPr="00A259BD">
        <w:rPr>
          <w:rFonts w:ascii="Times New Roman" w:hAnsi="Times New Roman"/>
          <w:color w:val="000000" w:themeColor="text1"/>
          <w:sz w:val="16"/>
          <w:szCs w:val="16"/>
        </w:rPr>
        <w:t>Дуплицкий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Булин</w:t>
      </w:r>
      <w:proofErr w:type="spellEnd"/>
      <w:r w:rsidRPr="00A259BD">
        <w:rPr>
          <w:rFonts w:ascii="Times New Roman" w:hAnsi="Times New Roman"/>
          <w:color w:val="000000" w:themeColor="text1"/>
          <w:sz w:val="16"/>
          <w:szCs w:val="16"/>
        </w:rPr>
        <w:t xml:space="preserve">, Янсон, </w:t>
      </w:r>
      <w:proofErr w:type="spellStart"/>
      <w:r w:rsidRPr="00A259BD">
        <w:rPr>
          <w:rFonts w:ascii="Times New Roman" w:hAnsi="Times New Roman"/>
          <w:color w:val="000000" w:themeColor="text1"/>
          <w:sz w:val="16"/>
          <w:szCs w:val="16"/>
        </w:rPr>
        <w:t>Эйдеман</w:t>
      </w:r>
      <w:proofErr w:type="spellEnd"/>
      <w:r w:rsidRPr="00A259BD">
        <w:rPr>
          <w:rFonts w:ascii="Times New Roman" w:hAnsi="Times New Roman"/>
          <w:color w:val="000000" w:themeColor="text1"/>
          <w:sz w:val="16"/>
          <w:szCs w:val="16"/>
        </w:rPr>
        <w:t xml:space="preserve">, Урываев, </w:t>
      </w:r>
      <w:proofErr w:type="spellStart"/>
      <w:r w:rsidRPr="00A259BD">
        <w:rPr>
          <w:rFonts w:ascii="Times New Roman" w:hAnsi="Times New Roman"/>
          <w:color w:val="000000" w:themeColor="text1"/>
          <w:sz w:val="16"/>
          <w:szCs w:val="16"/>
        </w:rPr>
        <w:t>Баузер</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Грендаль</w:t>
      </w:r>
      <w:proofErr w:type="spellEnd"/>
      <w:r w:rsidRPr="00A259BD">
        <w:rPr>
          <w:rFonts w:ascii="Times New Roman" w:hAnsi="Times New Roman"/>
          <w:color w:val="000000" w:themeColor="text1"/>
          <w:sz w:val="16"/>
          <w:szCs w:val="16"/>
        </w:rPr>
        <w:t xml:space="preserve">, Роговский, Калиновский, Соллогуб, </w:t>
      </w:r>
      <w:proofErr w:type="spellStart"/>
      <w:r w:rsidRPr="00A259BD">
        <w:rPr>
          <w:rFonts w:ascii="Times New Roman" w:hAnsi="Times New Roman"/>
          <w:color w:val="000000" w:themeColor="text1"/>
          <w:sz w:val="16"/>
          <w:szCs w:val="16"/>
        </w:rPr>
        <w:t>Кангеллари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Баташов</w:t>
      </w:r>
      <w:proofErr w:type="spellEnd"/>
      <w:r w:rsidRPr="00A259BD">
        <w:rPr>
          <w:rFonts w:ascii="Times New Roman" w:hAnsi="Times New Roman"/>
          <w:color w:val="000000" w:themeColor="text1"/>
          <w:sz w:val="16"/>
          <w:szCs w:val="16"/>
        </w:rPr>
        <w:t>, Ульрих, Ланда, Будкевич.</w:t>
      </w:r>
    </w:p>
    <w:p w14:paraId="367C96E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Слушали - постановили:</w:t>
      </w:r>
    </w:p>
    <w:p w14:paraId="64B551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1B108B9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О системе </w:t>
      </w:r>
      <w:proofErr w:type="spellStart"/>
      <w:r w:rsidRPr="00A259BD">
        <w:rPr>
          <w:rFonts w:ascii="Times New Roman" w:hAnsi="Times New Roman"/>
          <w:color w:val="000000" w:themeColor="text1"/>
          <w:sz w:val="16"/>
          <w:szCs w:val="16"/>
        </w:rPr>
        <w:t>танкотрактороавтоброневооружения</w:t>
      </w:r>
      <w:proofErr w:type="spellEnd"/>
      <w:r w:rsidRPr="00A259BD">
        <w:rPr>
          <w:rFonts w:ascii="Times New Roman" w:hAnsi="Times New Roman"/>
          <w:color w:val="000000" w:themeColor="text1"/>
          <w:sz w:val="16"/>
          <w:szCs w:val="16"/>
        </w:rPr>
        <w:t xml:space="preserve"> РККА. Докладчик т. </w:t>
      </w:r>
      <w:proofErr w:type="spellStart"/>
      <w:r w:rsidRPr="00A259BD">
        <w:rPr>
          <w:rFonts w:ascii="Times New Roman" w:hAnsi="Times New Roman"/>
          <w:color w:val="000000" w:themeColor="text1"/>
          <w:sz w:val="16"/>
          <w:szCs w:val="16"/>
        </w:rPr>
        <w:t>Триандофилов</w:t>
      </w:r>
      <w:proofErr w:type="spellEnd"/>
      <w:r w:rsidRPr="00A259BD">
        <w:rPr>
          <w:rFonts w:ascii="Times New Roman" w:hAnsi="Times New Roman"/>
          <w:color w:val="000000" w:themeColor="text1"/>
          <w:sz w:val="16"/>
          <w:szCs w:val="16"/>
        </w:rPr>
        <w:t xml:space="preserve">. В прениях выступили: тт. </w:t>
      </w:r>
      <w:proofErr w:type="spellStart"/>
      <w:r w:rsidRPr="00A259BD">
        <w:rPr>
          <w:rFonts w:ascii="Times New Roman" w:hAnsi="Times New Roman"/>
          <w:color w:val="000000" w:themeColor="text1"/>
          <w:sz w:val="16"/>
          <w:szCs w:val="16"/>
        </w:rPr>
        <w:t>Корк</w:t>
      </w:r>
      <w:proofErr w:type="spellEnd"/>
      <w:r w:rsidRPr="00A259BD">
        <w:rPr>
          <w:rFonts w:ascii="Times New Roman" w:hAnsi="Times New Roman"/>
          <w:color w:val="000000" w:themeColor="text1"/>
          <w:sz w:val="16"/>
          <w:szCs w:val="16"/>
        </w:rPr>
        <w:t xml:space="preserve">, Молодцов,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Роговский, Постников, Калиновский, Урываев, Ворошилов.</w:t>
      </w:r>
    </w:p>
    <w:p w14:paraId="64C77FA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1) Утвердить в основном следующую систему </w:t>
      </w:r>
      <w:proofErr w:type="spellStart"/>
      <w:r w:rsidRPr="00A259BD">
        <w:rPr>
          <w:rFonts w:ascii="Times New Roman" w:hAnsi="Times New Roman"/>
          <w:color w:val="000000" w:themeColor="text1"/>
          <w:sz w:val="16"/>
          <w:szCs w:val="16"/>
        </w:rPr>
        <w:t>танкотракторо</w:t>
      </w:r>
      <w:proofErr w:type="spellEnd"/>
      <w:r w:rsidRPr="00A259BD">
        <w:rPr>
          <w:rFonts w:ascii="Times New Roman" w:hAnsi="Times New Roman"/>
          <w:color w:val="000000" w:themeColor="text1"/>
          <w:sz w:val="16"/>
          <w:szCs w:val="16"/>
        </w:rPr>
        <w:t>-авто-броне-вооружения РККА:</w:t>
      </w:r>
    </w:p>
    <w:p w14:paraId="547866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Танкетка (колесно-гусеничная). Назначение - разведка, внезапное нападение. Вес не более 3,3 тонн. Желательно понижение веса до 2,5 и 2 тонн. Скорость не менее 60 км на колесном ходу и 40 км - на гусе</w:t>
      </w:r>
      <w:r w:rsidRPr="00A259BD">
        <w:rPr>
          <w:rFonts w:ascii="Times New Roman" w:hAnsi="Times New Roman"/>
          <w:color w:val="000000" w:themeColor="text1"/>
          <w:sz w:val="16"/>
          <w:szCs w:val="16"/>
        </w:rPr>
        <w:softHyphen/>
        <w:t>ничном. Броня должна гарантировать от пробивания бронебойными пулями с дистанции 300 м. Вооруже</w:t>
      </w:r>
      <w:r w:rsidRPr="00A259BD">
        <w:rPr>
          <w:rFonts w:ascii="Times New Roman" w:hAnsi="Times New Roman"/>
          <w:color w:val="000000" w:themeColor="text1"/>
          <w:sz w:val="16"/>
          <w:szCs w:val="16"/>
        </w:rPr>
        <w:softHyphen/>
        <w:t>ние -1 пулемет с горизонтальным обстрелом 360° или два неодновременно действующих с горизонталь</w:t>
      </w:r>
      <w:r w:rsidRPr="00A259BD">
        <w:rPr>
          <w:rFonts w:ascii="Times New Roman" w:hAnsi="Times New Roman"/>
          <w:color w:val="000000" w:themeColor="text1"/>
          <w:sz w:val="16"/>
          <w:szCs w:val="16"/>
        </w:rPr>
        <w:softHyphen/>
        <w:t>ным обстрелом 360°. Боекомплект не менее 2.500 патрон. Команда - 2 человека. Радиус действия 300 км на гусеничном ходу, 450 км на колесном. Ширина перекрываемого препятствия не менее 1,25 м, высота -0,5 м, глубина брода - 0,75 м (желательна плавучесть). Диаметр сваливаемых деревьев 10 см. Переход от ко</w:t>
      </w:r>
      <w:r w:rsidRPr="00A259BD">
        <w:rPr>
          <w:rFonts w:ascii="Times New Roman" w:hAnsi="Times New Roman"/>
          <w:color w:val="000000" w:themeColor="text1"/>
          <w:sz w:val="16"/>
          <w:szCs w:val="16"/>
        </w:rPr>
        <w:softHyphen/>
        <w:t>лесного на гусеничный ход не более 30 минут, не выходя из танкетки. Высота танкетки не более 1,5 м.</w:t>
      </w:r>
    </w:p>
    <w:p w14:paraId="29EE33B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сконструировать танкетку с теми же данными, но вооруженную одной 37 мм пуш</w:t>
      </w:r>
      <w:r w:rsidRPr="00A259BD">
        <w:rPr>
          <w:rFonts w:ascii="Times New Roman" w:hAnsi="Times New Roman"/>
          <w:color w:val="000000" w:themeColor="text1"/>
          <w:sz w:val="16"/>
          <w:szCs w:val="16"/>
        </w:rPr>
        <w:softHyphen/>
        <w:t>кой с задачей противотанковой борьбы.</w:t>
      </w:r>
    </w:p>
    <w:p w14:paraId="3243D1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Малый танк. Назначение - ударное средство механизированных соединений, прорыв в усло</w:t>
      </w:r>
      <w:r w:rsidRPr="00A259BD">
        <w:rPr>
          <w:rFonts w:ascii="Times New Roman" w:hAnsi="Times New Roman"/>
          <w:color w:val="000000" w:themeColor="text1"/>
          <w:sz w:val="16"/>
          <w:szCs w:val="16"/>
        </w:rPr>
        <w:softHyphen/>
        <w:t>виях маневренного боя. Вес не более 7-7,5 тонн. Скорость - 25-30 км/ч. Толщина брони должна гаран</w:t>
      </w:r>
      <w:r w:rsidRPr="00A259BD">
        <w:rPr>
          <w:rFonts w:ascii="Times New Roman" w:hAnsi="Times New Roman"/>
          <w:color w:val="000000" w:themeColor="text1"/>
          <w:sz w:val="16"/>
          <w:szCs w:val="16"/>
        </w:rPr>
        <w:softHyphen/>
        <w:t xml:space="preserve">тировать от пробивания 37 мм снарядом при начальной скорости 700 м/с </w:t>
      </w:r>
      <w:proofErr w:type="spellStart"/>
      <w:r w:rsidRPr="00A259BD">
        <w:rPr>
          <w:rFonts w:ascii="Times New Roman" w:hAnsi="Times New Roman"/>
          <w:color w:val="000000" w:themeColor="text1"/>
          <w:sz w:val="16"/>
          <w:szCs w:val="16"/>
        </w:rPr>
        <w:t>с</w:t>
      </w:r>
      <w:proofErr w:type="spellEnd"/>
      <w:r w:rsidRPr="00A259BD">
        <w:rPr>
          <w:rFonts w:ascii="Times New Roman" w:hAnsi="Times New Roman"/>
          <w:color w:val="000000" w:themeColor="text1"/>
          <w:sz w:val="16"/>
          <w:szCs w:val="16"/>
        </w:rPr>
        <w:t xml:space="preserve"> 1000 м. Вооружение - од</w:t>
      </w:r>
      <w:r w:rsidRPr="00A259BD">
        <w:rPr>
          <w:rFonts w:ascii="Times New Roman" w:hAnsi="Times New Roman"/>
          <w:color w:val="000000" w:themeColor="text1"/>
          <w:sz w:val="16"/>
          <w:szCs w:val="16"/>
        </w:rPr>
        <w:softHyphen/>
        <w:t>на 37 мм пушка и 2 пулемета, из них один неодновременно с пушкой действующий. Боекомплект не менее: 75 шт. снарядов и 3.500 патронов. Команда - 3 человека. Радиус действия 200 км. Ширина го</w:t>
      </w:r>
      <w:r w:rsidRPr="00A259BD">
        <w:rPr>
          <w:rFonts w:ascii="Times New Roman" w:hAnsi="Times New Roman"/>
          <w:color w:val="000000" w:themeColor="text1"/>
          <w:sz w:val="16"/>
          <w:szCs w:val="16"/>
        </w:rPr>
        <w:softHyphen/>
        <w:t>ризонтального препятствия не менее 2 м. Высота препятствия - 0,6-0,8 м. Глубина брода не менее 1,3м (желательна плавучесть). Диаметр сваливаемых деревьев 20 см.</w:t>
      </w:r>
    </w:p>
    <w:p w14:paraId="6ED352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опытном порядке конструировать также колесно-гусеничный малый танк с теми же данными, но с допуском веса не более 8 тонн, скоростью на колесном ходу - 45 км/ч и радиусом действия на колесном ходу 300 км.</w:t>
      </w:r>
    </w:p>
    <w:p w14:paraId="3C2118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Примечание: Впредь до </w:t>
      </w:r>
      <w:proofErr w:type="spellStart"/>
      <w:r w:rsidRPr="00A259BD">
        <w:rPr>
          <w:rFonts w:ascii="Times New Roman" w:hAnsi="Times New Roman"/>
          <w:color w:val="000000" w:themeColor="text1"/>
          <w:sz w:val="16"/>
          <w:szCs w:val="16"/>
        </w:rPr>
        <w:t>сконструирования</w:t>
      </w:r>
      <w:proofErr w:type="spellEnd"/>
      <w:r w:rsidRPr="00A259BD">
        <w:rPr>
          <w:rFonts w:ascii="Times New Roman" w:hAnsi="Times New Roman"/>
          <w:color w:val="000000" w:themeColor="text1"/>
          <w:sz w:val="16"/>
          <w:szCs w:val="16"/>
        </w:rPr>
        <w:t xml:space="preserve"> нового малого танка допустить на вооружение частей РККА танк МС-1. АУ УС РККА принять все меры к увеличению скорости его хода до 24-25 км/ч.</w:t>
      </w:r>
    </w:p>
    <w:p w14:paraId="5CAA4F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Средний танк. Назначение - прорыв укрепленной полосы в условиях как маневренных, так и по</w:t>
      </w:r>
      <w:r w:rsidRPr="00A259BD">
        <w:rPr>
          <w:rFonts w:ascii="Times New Roman" w:hAnsi="Times New Roman"/>
          <w:color w:val="000000" w:themeColor="text1"/>
          <w:sz w:val="16"/>
          <w:szCs w:val="16"/>
        </w:rPr>
        <w:softHyphen/>
        <w:t>зиционных. Вес не более 15-16 тонн. Скорость 25-30 км. Толщина брони должна гарантировать от про</w:t>
      </w:r>
      <w:r w:rsidRPr="00A259BD">
        <w:rPr>
          <w:rFonts w:ascii="Times New Roman" w:hAnsi="Times New Roman"/>
          <w:color w:val="000000" w:themeColor="text1"/>
          <w:sz w:val="16"/>
          <w:szCs w:val="16"/>
        </w:rPr>
        <w:softHyphen/>
        <w:t>бивания 37 мм снарядом (при начальной скорости 700 м/с) на дистанции 750 м. Вооружение - одна 45 мм пушка и три одновременно действующих пулемета. Боекомплект не менее: 100 снарядов и 5.000 патронов. Число команды 4-5 человек. Радиус действия 200 км. Ширина перекрываемого препятствия не менее 2,5 м. Высота - 1 м, глубина брода не менее 1,3 м. Диаметр сваливаемых деревьев - 30 см.</w:t>
      </w:r>
    </w:p>
    <w:p w14:paraId="0CA91B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По отношению к большому танку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w:t>
      </w:r>
    </w:p>
    <w:p w14:paraId="4E83229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Самоходная пушка механизированных частей. Назначение - подготовка и поддержка танко</w:t>
      </w:r>
      <w:r w:rsidRPr="00A259BD">
        <w:rPr>
          <w:rFonts w:ascii="Times New Roman" w:hAnsi="Times New Roman"/>
          <w:color w:val="000000" w:themeColor="text1"/>
          <w:sz w:val="16"/>
          <w:szCs w:val="16"/>
        </w:rPr>
        <w:softHyphen/>
        <w:t>вой атаки, борьба против танков (артиллерия сопровождения механизированных частей). Шасси ма</w:t>
      </w:r>
      <w:r w:rsidRPr="00A259BD">
        <w:rPr>
          <w:rFonts w:ascii="Times New Roman" w:hAnsi="Times New Roman"/>
          <w:color w:val="000000" w:themeColor="text1"/>
          <w:sz w:val="16"/>
          <w:szCs w:val="16"/>
        </w:rPr>
        <w:softHyphen/>
        <w:t>лого танка. Калибр 76 мм. Вес не более 7-7,5 тонн. Скорость хода 25-30 км. Броня 7-10 мм. Угол воз</w:t>
      </w:r>
      <w:r w:rsidRPr="00A259BD">
        <w:rPr>
          <w:rFonts w:ascii="Times New Roman" w:hAnsi="Times New Roman"/>
          <w:color w:val="000000" w:themeColor="text1"/>
          <w:sz w:val="16"/>
          <w:szCs w:val="16"/>
        </w:rPr>
        <w:softHyphen/>
        <w:t>вышения не менее 30°. Горизонтальный угол 12°. Орудие должно представлять полный стандарт в смысле тела и затвора с дивизионной или полковой пушкой. На установке перевозится не менее щ патронов и 2 человека орудийных номеров.</w:t>
      </w:r>
    </w:p>
    <w:p w14:paraId="17D31E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Самоходная зенитная пулеметная установка. Назначение - охрана механизированных частей на походе и в бою от штурмовой авиации (бреющий полет). Шасси малого танка или среднего трак</w:t>
      </w:r>
      <w:r w:rsidRPr="00A259BD">
        <w:rPr>
          <w:rFonts w:ascii="Times New Roman" w:hAnsi="Times New Roman"/>
          <w:color w:val="000000" w:themeColor="text1"/>
          <w:sz w:val="16"/>
          <w:szCs w:val="16"/>
        </w:rPr>
        <w:softHyphen/>
        <w:t>тора. Вес - 7-7,5 тонн. Скорость хода - 25-30 км. Броня 7-10 мм. Вооружение - универсальный четы-</w:t>
      </w:r>
      <w:proofErr w:type="spellStart"/>
      <w:r w:rsidRPr="00A259BD">
        <w:rPr>
          <w:rFonts w:ascii="Times New Roman" w:hAnsi="Times New Roman"/>
          <w:color w:val="000000" w:themeColor="text1"/>
          <w:sz w:val="16"/>
          <w:szCs w:val="16"/>
        </w:rPr>
        <w:t>рехствольный</w:t>
      </w:r>
      <w:proofErr w:type="spellEnd"/>
      <w:r w:rsidRPr="00A259BD">
        <w:rPr>
          <w:rFonts w:ascii="Times New Roman" w:hAnsi="Times New Roman"/>
          <w:color w:val="000000" w:themeColor="text1"/>
          <w:sz w:val="16"/>
          <w:szCs w:val="16"/>
        </w:rPr>
        <w:t xml:space="preserve"> станковый пулемет, калибром 7,62 мм. Установка должна перевозить не менее 2 человек команды и 4.000 патронов.</w:t>
      </w:r>
    </w:p>
    <w:p w14:paraId="1940233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Самоходная зенитная пушечная установка. Назначение - оборона механизированных частей на походе и в бою от штурмовой и бомбардировочной авиации, подвижное противотанковое средство. Шасси малого танка или среднего трактора. Вес 7-7,5 тонн. Скорость хода 25-30 км/ч. Бортовая броня 7-10 мм. Вооружение - спаренная 37 мм зенитная пушка. Установка должна перевозить не менее 2 человек орудийных номеров и 100 выстрелов.</w:t>
      </w:r>
    </w:p>
    <w:p w14:paraId="4C9391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 По отношению к транспортеру пехоты на шасси малого танка ограничиться пока теоретичен </w:t>
      </w:r>
      <w:proofErr w:type="spellStart"/>
      <w:r w:rsidRPr="00A259BD">
        <w:rPr>
          <w:rFonts w:ascii="Times New Roman" w:hAnsi="Times New Roman"/>
          <w:color w:val="000000" w:themeColor="text1"/>
          <w:sz w:val="16"/>
          <w:szCs w:val="16"/>
        </w:rPr>
        <w:t>ской</w:t>
      </w:r>
      <w:proofErr w:type="spellEnd"/>
      <w:r w:rsidRPr="00A259BD">
        <w:rPr>
          <w:rFonts w:ascii="Times New Roman" w:hAnsi="Times New Roman"/>
          <w:color w:val="000000" w:themeColor="text1"/>
          <w:sz w:val="16"/>
          <w:szCs w:val="16"/>
        </w:rPr>
        <w:t xml:space="preserve"> разработкой вопроса, предложив ВПУ ВСНХ к 1 октября 1930 г. представить эскизный проект, после чего и решить вопрос о включении его в систему вооружения.</w:t>
      </w:r>
    </w:p>
    <w:p w14:paraId="54346A6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 </w:t>
      </w:r>
      <w:proofErr w:type="spellStart"/>
      <w:r w:rsidRPr="00A259BD">
        <w:rPr>
          <w:rFonts w:ascii="Times New Roman" w:hAnsi="Times New Roman"/>
          <w:color w:val="000000" w:themeColor="text1"/>
          <w:sz w:val="16"/>
          <w:szCs w:val="16"/>
        </w:rPr>
        <w:t>Радиотрактор</w:t>
      </w:r>
      <w:proofErr w:type="spellEnd"/>
      <w:r w:rsidRPr="00A259BD">
        <w:rPr>
          <w:rFonts w:ascii="Times New Roman" w:hAnsi="Times New Roman"/>
          <w:color w:val="000000" w:themeColor="text1"/>
          <w:sz w:val="16"/>
          <w:szCs w:val="16"/>
        </w:rPr>
        <w:t>. Назначение - связь крупных танковых соединений. Шасси малого танка или среднего трактора. Вес 7-7,5 тонн. Скорость хода 25-30 км/ч. Толщина бортовой брони (щитки) 7-10 мм. Станция телеграфно-телефонная. Радиус действия (телеграфом) станций 250 км при остановке. Работа с хода на дистанцию не менее 50 км. Для обслуживания станции допускается имеет| вторую, аналогичную первой, машину.</w:t>
      </w:r>
    </w:p>
    <w:p w14:paraId="79E28D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Дымовой танк. Назначение - выпуск мощных дымовых завес. Шасси малого танка или среднего трактора. Вес 7-7,5 тонн. Скорость хода 25-30 км/ч. Толщина брони 7-10 мм.</w:t>
      </w:r>
    </w:p>
    <w:p w14:paraId="03647E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По отношению к мостовому танку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w:t>
      </w:r>
    </w:p>
    <w:p w14:paraId="4162458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 Легкий трактор. Назначение - перевозка материальной части дивизионной артиллерии, перевозка личного и командного состава и всех частей моторизованной артиллерии. Вес 3-3,5 тонн. Вес </w:t>
      </w:r>
      <w:proofErr w:type="spellStart"/>
      <w:r w:rsidRPr="00A259BD">
        <w:rPr>
          <w:rFonts w:ascii="Times New Roman" w:hAnsi="Times New Roman"/>
          <w:color w:val="000000" w:themeColor="text1"/>
          <w:sz w:val="16"/>
          <w:szCs w:val="16"/>
        </w:rPr>
        <w:t>прице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ного</w:t>
      </w:r>
      <w:proofErr w:type="spellEnd"/>
      <w:r w:rsidRPr="00A259BD">
        <w:rPr>
          <w:rFonts w:ascii="Times New Roman" w:hAnsi="Times New Roman"/>
          <w:color w:val="000000" w:themeColor="text1"/>
          <w:sz w:val="16"/>
          <w:szCs w:val="16"/>
        </w:rPr>
        <w:t xml:space="preserve"> груза 3-3,5 тонн. Максимальная скорость движения с прицепкой 25-30 км. Движитель - </w:t>
      </w:r>
      <w:proofErr w:type="spellStart"/>
      <w:r w:rsidRPr="00A259BD">
        <w:rPr>
          <w:rFonts w:ascii="Times New Roman" w:hAnsi="Times New Roman"/>
          <w:color w:val="000000" w:themeColor="text1"/>
          <w:sz w:val="16"/>
          <w:szCs w:val="16"/>
        </w:rPr>
        <w:t>гусеничи</w:t>
      </w:r>
      <w:proofErr w:type="spellEnd"/>
    </w:p>
    <w:p w14:paraId="72126D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 Средний трактор. Назначение - перевозка орудий АРГК, весящих в походном положении свыше 7 тонн. Перевозка корпусной артиллерии, перевозка грузов механизированных </w:t>
      </w:r>
      <w:proofErr w:type="spellStart"/>
      <w:r w:rsidRPr="00A259BD">
        <w:rPr>
          <w:rFonts w:ascii="Times New Roman" w:hAnsi="Times New Roman"/>
          <w:color w:val="000000" w:themeColor="text1"/>
          <w:sz w:val="16"/>
          <w:szCs w:val="16"/>
        </w:rPr>
        <w:t>соединени</w:t>
      </w:r>
      <w:proofErr w:type="spellEnd"/>
      <w:r w:rsidRPr="00A259BD">
        <w:rPr>
          <w:rFonts w:ascii="Times New Roman" w:hAnsi="Times New Roman"/>
          <w:color w:val="000000" w:themeColor="text1"/>
          <w:sz w:val="16"/>
          <w:szCs w:val="16"/>
        </w:rPr>
        <w:t xml:space="preserve"> (обоз 2 разряда). Шасси должно быть, возможно, более стандартизировано с шасси легкого </w:t>
      </w:r>
      <w:proofErr w:type="spellStart"/>
      <w:r w:rsidRPr="00A259BD">
        <w:rPr>
          <w:rFonts w:ascii="Times New Roman" w:hAnsi="Times New Roman"/>
          <w:color w:val="000000" w:themeColor="text1"/>
          <w:sz w:val="16"/>
          <w:szCs w:val="16"/>
        </w:rPr>
        <w:t>тан</w:t>
      </w:r>
      <w:proofErr w:type="spellEnd"/>
      <w:r w:rsidRPr="00A259BD">
        <w:rPr>
          <w:rFonts w:ascii="Times New Roman" w:hAnsi="Times New Roman"/>
          <w:color w:val="000000" w:themeColor="text1"/>
          <w:sz w:val="16"/>
          <w:szCs w:val="16"/>
        </w:rPr>
        <w:t xml:space="preserve"> Желателен полный стандарт. Вес около 7 тонн. Вес прицепного груза - 7-7,5 тонн. Максимальная </w:t>
      </w:r>
      <w:proofErr w:type="spellStart"/>
      <w:r w:rsidRPr="00A259BD">
        <w:rPr>
          <w:rFonts w:ascii="Times New Roman" w:hAnsi="Times New Roman"/>
          <w:color w:val="000000" w:themeColor="text1"/>
          <w:sz w:val="16"/>
          <w:szCs w:val="16"/>
        </w:rPr>
        <w:t>ско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рость</w:t>
      </w:r>
      <w:proofErr w:type="spellEnd"/>
      <w:r w:rsidRPr="00A259BD">
        <w:rPr>
          <w:rFonts w:ascii="Times New Roman" w:hAnsi="Times New Roman"/>
          <w:color w:val="000000" w:themeColor="text1"/>
          <w:sz w:val="16"/>
          <w:szCs w:val="16"/>
        </w:rPr>
        <w:t xml:space="preserve"> движения с прицепным грузом 20 км. Движитель - гусеничный.</w:t>
      </w:r>
    </w:p>
    <w:p w14:paraId="47F785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Примечание: Впредь до </w:t>
      </w:r>
      <w:proofErr w:type="spellStart"/>
      <w:r w:rsidRPr="00A259BD">
        <w:rPr>
          <w:rFonts w:ascii="Times New Roman" w:hAnsi="Times New Roman"/>
          <w:color w:val="000000" w:themeColor="text1"/>
          <w:sz w:val="16"/>
          <w:szCs w:val="16"/>
        </w:rPr>
        <w:t>сконструирования</w:t>
      </w:r>
      <w:proofErr w:type="spellEnd"/>
      <w:r w:rsidRPr="00A259BD">
        <w:rPr>
          <w:rFonts w:ascii="Times New Roman" w:hAnsi="Times New Roman"/>
          <w:color w:val="000000" w:themeColor="text1"/>
          <w:sz w:val="16"/>
          <w:szCs w:val="16"/>
        </w:rPr>
        <w:t xml:space="preserve"> новых среднего и малого тракторов допустить на </w:t>
      </w:r>
      <w:proofErr w:type="spellStart"/>
      <w:r w:rsidRPr="00A259BD">
        <w:rPr>
          <w:rFonts w:ascii="Times New Roman" w:hAnsi="Times New Roman"/>
          <w:color w:val="000000" w:themeColor="text1"/>
          <w:sz w:val="16"/>
          <w:szCs w:val="16"/>
        </w:rPr>
        <w:t>воружение</w:t>
      </w:r>
      <w:proofErr w:type="spellEnd"/>
      <w:r w:rsidRPr="00A259BD">
        <w:rPr>
          <w:rFonts w:ascii="Times New Roman" w:hAnsi="Times New Roman"/>
          <w:color w:val="000000" w:themeColor="text1"/>
          <w:sz w:val="16"/>
          <w:szCs w:val="16"/>
        </w:rPr>
        <w:t xml:space="preserve"> РККА тракторы “Большевик” и “Коммунар”. АУ УС РККА принять меры к увеличен скорости означенных тракторов, согласно плана модернизации.</w:t>
      </w:r>
    </w:p>
    <w:p w14:paraId="7DCA57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Тяжелый трактор. Назначение - перевозка орудий АРГК особой мощности и всех тяжелых грузов. Вес около 11 тонн. Вес прицепного груза 11-12 тонн. Максимальная скорость движения с прицепным грузом 15 км.</w:t>
      </w:r>
    </w:p>
    <w:p w14:paraId="567FFA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Признать ненужным конструирование специальной новой бронемашины и поручить УС РККА, совместно с промышленностью, проработать вопрос о приспособлении ныне установленных в производство СССР машин, а именно:</w:t>
      </w:r>
    </w:p>
    <w:p w14:paraId="06AB52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“ФОРД” - модель “А”,</w:t>
      </w:r>
    </w:p>
    <w:p w14:paraId="7598210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“ФОРД” - марки “АА” с задним мостом “ДЖЕМБО” или другой конструкции,</w:t>
      </w:r>
    </w:p>
    <w:p w14:paraId="683759A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АВТОКАР грузовой.</w:t>
      </w:r>
    </w:p>
    <w:p w14:paraId="2E77A6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Принять следующее требование к приспособленным машинам:</w:t>
      </w:r>
    </w:p>
    <w:p w14:paraId="3F2A0B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Легкий бронеавтомобиль (ФОРД модель “А”). Назначение - подвижное огневое средство в со</w:t>
      </w:r>
      <w:r w:rsidRPr="00A259BD">
        <w:rPr>
          <w:rFonts w:ascii="Times New Roman" w:hAnsi="Times New Roman"/>
          <w:color w:val="000000" w:themeColor="text1"/>
          <w:sz w:val="16"/>
          <w:szCs w:val="16"/>
        </w:rPr>
        <w:softHyphen/>
        <w:t>ставе разведывательных частей. Вооружение - 2 пулемета, из них 1 с приспособлением для воздуш</w:t>
      </w:r>
      <w:r w:rsidRPr="00A259BD">
        <w:rPr>
          <w:rFonts w:ascii="Times New Roman" w:hAnsi="Times New Roman"/>
          <w:color w:val="000000" w:themeColor="text1"/>
          <w:sz w:val="16"/>
          <w:szCs w:val="16"/>
        </w:rPr>
        <w:softHyphen/>
        <w:t>ной стрельбы. Броня отсутствует, но имеется впереди щит от пуль. Желательно приспособление 3-й оси. Максимальная скорость движения по дороге 80-100 км. Вес машины не более 1,5 тонн. Команда • 3 человека. Емкость машины должна допускать размещение не менее 2.000 патронов. Радиус дей</w:t>
      </w:r>
      <w:r w:rsidRPr="00A259BD">
        <w:rPr>
          <w:rFonts w:ascii="Times New Roman" w:hAnsi="Times New Roman"/>
          <w:color w:val="000000" w:themeColor="text1"/>
          <w:sz w:val="16"/>
          <w:szCs w:val="16"/>
        </w:rPr>
        <w:softHyphen/>
        <w:t>ствия 250 км.</w:t>
      </w:r>
    </w:p>
    <w:p w14:paraId="4B0DD1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признать необходимым конструирование той же машины, но для 37 мм пушки с кру</w:t>
      </w:r>
      <w:r w:rsidRPr="00A259BD">
        <w:rPr>
          <w:rFonts w:ascii="Times New Roman" w:hAnsi="Times New Roman"/>
          <w:color w:val="000000" w:themeColor="text1"/>
          <w:sz w:val="16"/>
          <w:szCs w:val="16"/>
        </w:rPr>
        <w:softHyphen/>
        <w:t>говым обстрелом вместо пулемета.</w:t>
      </w:r>
    </w:p>
    <w:p w14:paraId="6C3367B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Средний бронеавтомобиль (ФОРД “АА” с задним мостом “ДЖЕМБО” или другой конструк</w:t>
      </w:r>
      <w:r w:rsidRPr="00A259BD">
        <w:rPr>
          <w:rFonts w:ascii="Times New Roman" w:hAnsi="Times New Roman"/>
          <w:color w:val="000000" w:themeColor="text1"/>
          <w:sz w:val="16"/>
          <w:szCs w:val="16"/>
        </w:rPr>
        <w:softHyphen/>
        <w:t>ции). Назначение - боевая разведка в составе разведывательных отрядов и механизированных со</w:t>
      </w:r>
      <w:r w:rsidRPr="00A259BD">
        <w:rPr>
          <w:rFonts w:ascii="Times New Roman" w:hAnsi="Times New Roman"/>
          <w:color w:val="000000" w:themeColor="text1"/>
          <w:sz w:val="16"/>
          <w:szCs w:val="16"/>
        </w:rPr>
        <w:softHyphen/>
        <w:t>единений. Вооружение -2 пулемета, из них 1 с круговым обстрелом. Броня должна давать гарантию от пробивания обыкновенными пулями, с дистанции 150-200 м. Максимальная скорость движения по дороге 50 км. Вес машины не свыше 3,3 тонн. Количество команды 3 человека. Радиус действия 200 км. Емкость машины должна допускать размещение не менее 3.000 пулеметных патронов.</w:t>
      </w:r>
    </w:p>
    <w:p w14:paraId="0B1DE8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Тяжелый бронеавтомобиль (АВТОКАР грузовой). Назначение - тяжелая разведывательная машина и средство противотанковой борьбы. Вооружение - 1 - 37 мм пушка и пулемет (неодновре</w:t>
      </w:r>
      <w:r w:rsidRPr="00A259BD">
        <w:rPr>
          <w:rFonts w:ascii="Times New Roman" w:hAnsi="Times New Roman"/>
          <w:color w:val="000000" w:themeColor="text1"/>
          <w:sz w:val="16"/>
          <w:szCs w:val="16"/>
        </w:rPr>
        <w:softHyphen/>
        <w:t>менно действующий) с круговым обстрелом и 1 пулемет для стрельбы в направлении движения (угол обстрела 25-30°). Броня машины должна давать гарантию от пробивания бронебойными пулями на дистанции до 500 м. Число осей - 3. Машина должна иметь заднее рулевое управление. Скорость дви</w:t>
      </w:r>
      <w:r w:rsidRPr="00A259BD">
        <w:rPr>
          <w:rFonts w:ascii="Times New Roman" w:hAnsi="Times New Roman"/>
          <w:color w:val="000000" w:themeColor="text1"/>
          <w:sz w:val="16"/>
          <w:szCs w:val="16"/>
        </w:rPr>
        <w:softHyphen/>
        <w:t>жения по дороге не менее 50 км. Вес машины не свыше 6 тонн. Команда - 4 человека. Радиус дейст</w:t>
      </w:r>
      <w:r w:rsidRPr="00A259BD">
        <w:rPr>
          <w:rFonts w:ascii="Times New Roman" w:hAnsi="Times New Roman"/>
          <w:color w:val="000000" w:themeColor="text1"/>
          <w:sz w:val="16"/>
          <w:szCs w:val="16"/>
        </w:rPr>
        <w:softHyphen/>
        <w:t>вия 200 км. Емкость машины должна допускать размещение не менее 75 орудийных выстрелов, 3000 пулеметных патронов и запас горючего на 5-6 часов среднего хода.</w:t>
      </w:r>
    </w:p>
    <w:p w14:paraId="155C83E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 Впредь до окончательной разработки приспособления для военных целей указанных машин, допустить на вооружение РККА бронемашину БА-27.</w:t>
      </w:r>
    </w:p>
    <w:p w14:paraId="193D29C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Признать необходимым разработать приспособление для существующих мотоциклов к воо</w:t>
      </w:r>
      <w:r w:rsidRPr="00A259BD">
        <w:rPr>
          <w:rFonts w:ascii="Times New Roman" w:hAnsi="Times New Roman"/>
          <w:color w:val="000000" w:themeColor="text1"/>
          <w:sz w:val="16"/>
          <w:szCs w:val="16"/>
        </w:rPr>
        <w:softHyphen/>
        <w:t>ружению пулеметами по следующим требованиям:</w:t>
      </w:r>
    </w:p>
    <w:p w14:paraId="5A79AB7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Назначение - действие в составе разведывательного отряда. Мотоцикл и коляска не бронируют</w:t>
      </w:r>
      <w:r w:rsidRPr="00A259BD">
        <w:rPr>
          <w:rFonts w:ascii="Times New Roman" w:hAnsi="Times New Roman"/>
          <w:color w:val="000000" w:themeColor="text1"/>
          <w:sz w:val="16"/>
          <w:szCs w:val="16"/>
        </w:rPr>
        <w:softHyphen/>
        <w:t>ся. Желательно иметь впереди щит толщиной около 7 мм. Пулемет устанавливается на коляске. Ус</w:t>
      </w:r>
      <w:r w:rsidRPr="00A259BD">
        <w:rPr>
          <w:rFonts w:ascii="Times New Roman" w:hAnsi="Times New Roman"/>
          <w:color w:val="000000" w:themeColor="text1"/>
          <w:sz w:val="16"/>
          <w:szCs w:val="16"/>
        </w:rPr>
        <w:softHyphen/>
        <w:t>тановка должна допускать:</w:t>
      </w:r>
    </w:p>
    <w:p w14:paraId="08B3AF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стрельбу с хода по наземным целям, а при остановке также стрельбу по воздушным целям;</w:t>
      </w:r>
    </w:p>
    <w:p w14:paraId="70692E9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быстрое снимание пулемета. Запас патронов не менее 500 шт.</w:t>
      </w:r>
    </w:p>
    <w:p w14:paraId="0E2D1D4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 Кроме того, разработать прицепную 2-х колесную платформу для установки стан</w:t>
      </w:r>
      <w:r w:rsidRPr="00A259BD">
        <w:rPr>
          <w:rFonts w:ascii="Times New Roman" w:hAnsi="Times New Roman"/>
          <w:color w:val="000000" w:themeColor="text1"/>
          <w:sz w:val="16"/>
          <w:szCs w:val="16"/>
        </w:rPr>
        <w:softHyphen/>
        <w:t xml:space="preserve">кового пулемета для стрельбы по наземным и воздушным целям. Платформа должна отцепляться в течение не более 1-1,5 мин и допускать перевозку, помимо пулемета, 1.500 патронов. Означенную платформу </w:t>
      </w:r>
      <w:proofErr w:type="spellStart"/>
      <w:r w:rsidRPr="00A259BD">
        <w:rPr>
          <w:rFonts w:ascii="Times New Roman" w:hAnsi="Times New Roman"/>
          <w:color w:val="000000" w:themeColor="text1"/>
          <w:sz w:val="16"/>
          <w:szCs w:val="16"/>
        </w:rPr>
        <w:t>использовывать</w:t>
      </w:r>
      <w:proofErr w:type="spellEnd"/>
      <w:r w:rsidRPr="00A259BD">
        <w:rPr>
          <w:rFonts w:ascii="Times New Roman" w:hAnsi="Times New Roman"/>
          <w:color w:val="000000" w:themeColor="text1"/>
          <w:sz w:val="16"/>
          <w:szCs w:val="16"/>
        </w:rPr>
        <w:t xml:space="preserve"> и для подвоза патронов.</w:t>
      </w:r>
    </w:p>
    <w:p w14:paraId="73C96F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Штабу РККА, совместно с </w:t>
      </w:r>
      <w:proofErr w:type="spellStart"/>
      <w:r w:rsidRPr="00A259BD">
        <w:rPr>
          <w:rFonts w:ascii="Times New Roman" w:hAnsi="Times New Roman"/>
          <w:color w:val="000000" w:themeColor="text1"/>
          <w:sz w:val="16"/>
          <w:szCs w:val="16"/>
        </w:rPr>
        <w:t>ВНИКом</w:t>
      </w:r>
      <w:proofErr w:type="spellEnd"/>
      <w:r w:rsidRPr="00A259BD">
        <w:rPr>
          <w:rFonts w:ascii="Times New Roman" w:hAnsi="Times New Roman"/>
          <w:color w:val="000000" w:themeColor="text1"/>
          <w:sz w:val="16"/>
          <w:szCs w:val="16"/>
        </w:rPr>
        <w:t>, МПУ и ВПУ ВСНХ СССР, НС РККА, ВТУ и АУ УС РККА, проработать настоящую систему с точки зрения техническо-производственных требований к ней (качество материалов, качество брони, стандартизация отдельных частей систем, простота конст</w:t>
      </w:r>
      <w:r w:rsidRPr="00A259BD">
        <w:rPr>
          <w:rFonts w:ascii="Times New Roman" w:hAnsi="Times New Roman"/>
          <w:color w:val="000000" w:themeColor="text1"/>
          <w:sz w:val="16"/>
          <w:szCs w:val="16"/>
        </w:rPr>
        <w:softHyphen/>
        <w:t>рукции и т.д.) Срок - 1 декабря 1929 года.</w:t>
      </w:r>
    </w:p>
    <w:p w14:paraId="11D410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Штабу РККА, совместно с </w:t>
      </w:r>
      <w:proofErr w:type="spellStart"/>
      <w:r w:rsidRPr="00A259BD">
        <w:rPr>
          <w:rFonts w:ascii="Times New Roman" w:hAnsi="Times New Roman"/>
          <w:color w:val="000000" w:themeColor="text1"/>
          <w:sz w:val="16"/>
          <w:szCs w:val="16"/>
        </w:rPr>
        <w:t>ВНИКом</w:t>
      </w:r>
      <w:proofErr w:type="spellEnd"/>
      <w:r w:rsidRPr="00A259BD">
        <w:rPr>
          <w:rFonts w:ascii="Times New Roman" w:hAnsi="Times New Roman"/>
          <w:color w:val="000000" w:themeColor="text1"/>
          <w:sz w:val="16"/>
          <w:szCs w:val="16"/>
        </w:rPr>
        <w:t>, АУ и ВТУ УС РККА, ВПУ и МПУ ВСНХ СССР, разрабо</w:t>
      </w:r>
      <w:r w:rsidRPr="00A259BD">
        <w:rPr>
          <w:rFonts w:ascii="Times New Roman" w:hAnsi="Times New Roman"/>
          <w:color w:val="000000" w:themeColor="text1"/>
          <w:sz w:val="16"/>
          <w:szCs w:val="16"/>
        </w:rPr>
        <w:softHyphen/>
        <w:t>тать план конкретной реализации систем. План должен включить:</w:t>
      </w:r>
    </w:p>
    <w:p w14:paraId="0F9B1A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очередность конструирования отдельных систем;</w:t>
      </w:r>
    </w:p>
    <w:p w14:paraId="4C5C89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ориентировочные сроки готовности проектов и опытных образцов;</w:t>
      </w:r>
    </w:p>
    <w:p w14:paraId="1507E4C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план заказов новых систем;</w:t>
      </w:r>
    </w:p>
    <w:p w14:paraId="6AE1A2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план вооружения войсковых частей новыми системами (организация войсковых частей и ты</w:t>
      </w:r>
      <w:r w:rsidRPr="00A259BD">
        <w:rPr>
          <w:rFonts w:ascii="Times New Roman" w:hAnsi="Times New Roman"/>
          <w:color w:val="000000" w:themeColor="text1"/>
          <w:sz w:val="16"/>
          <w:szCs w:val="16"/>
        </w:rPr>
        <w:softHyphen/>
        <w:t>лов), с учетом имеющейся в наличии материальной части. Срок исполнения по абзацам "а", "б" и "в" - 1 октября 1929 г. по абзацу "г" - 1 января 1930 года.</w:t>
      </w:r>
    </w:p>
    <w:p w14:paraId="6D11D5A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Поручить </w:t>
      </w:r>
      <w:proofErr w:type="spellStart"/>
      <w:r w:rsidRPr="00A259BD">
        <w:rPr>
          <w:rFonts w:ascii="Times New Roman" w:hAnsi="Times New Roman"/>
          <w:color w:val="000000" w:themeColor="text1"/>
          <w:sz w:val="16"/>
          <w:szCs w:val="16"/>
        </w:rPr>
        <w:t>ВНИКу</w:t>
      </w:r>
      <w:proofErr w:type="spellEnd"/>
      <w:r w:rsidRPr="00A259BD">
        <w:rPr>
          <w:rFonts w:ascii="Times New Roman" w:hAnsi="Times New Roman"/>
          <w:color w:val="000000" w:themeColor="text1"/>
          <w:sz w:val="16"/>
          <w:szCs w:val="16"/>
        </w:rPr>
        <w:t>, совместно со штабом РККА и АУ УС РККА, на основе разработанной сис</w:t>
      </w:r>
      <w:r w:rsidRPr="00A259BD">
        <w:rPr>
          <w:rFonts w:ascii="Times New Roman" w:hAnsi="Times New Roman"/>
          <w:color w:val="000000" w:themeColor="text1"/>
          <w:sz w:val="16"/>
          <w:szCs w:val="16"/>
        </w:rPr>
        <w:softHyphen/>
        <w:t>темы, провести ряд опытов по вопросам улучшения способов наблюдения с танков и методов стрель</w:t>
      </w:r>
      <w:r w:rsidRPr="00A259BD">
        <w:rPr>
          <w:rFonts w:ascii="Times New Roman" w:hAnsi="Times New Roman"/>
          <w:color w:val="000000" w:themeColor="text1"/>
          <w:sz w:val="16"/>
          <w:szCs w:val="16"/>
        </w:rPr>
        <w:softHyphen/>
        <w:t>бы с хода. К разработке привлечь НТК УВМС РККА.</w:t>
      </w:r>
    </w:p>
    <w:p w14:paraId="603E9C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Начальнику штаба РККА, с доклада председателя РВСС, в порядке научных изысканий, давать довольствующим органам задания на разработку опытных образцов, хотя и не вошедших в данную систему вооружения, но необходимых для проверки экспериментальным путем новых течений так</w:t>
      </w:r>
      <w:r w:rsidRPr="00A259BD">
        <w:rPr>
          <w:rFonts w:ascii="Times New Roman" w:hAnsi="Times New Roman"/>
          <w:color w:val="000000" w:themeColor="text1"/>
          <w:sz w:val="16"/>
          <w:szCs w:val="16"/>
        </w:rPr>
        <w:softHyphen/>
        <w:t>тики броневого дела и достижения научно-технической мысли.</w:t>
      </w:r>
    </w:p>
    <w:p w14:paraId="5D0B4CB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Принимая во внимание, что для обеспечения потребности военного времени в механизирован</w:t>
      </w:r>
      <w:r w:rsidRPr="00A259BD">
        <w:rPr>
          <w:rFonts w:ascii="Times New Roman" w:hAnsi="Times New Roman"/>
          <w:color w:val="000000" w:themeColor="text1"/>
          <w:sz w:val="16"/>
          <w:szCs w:val="16"/>
        </w:rPr>
        <w:softHyphen/>
        <w:t xml:space="preserve">ном транспорте для РККА, НКВМ не может базироваться только на </w:t>
      </w:r>
      <w:proofErr w:type="spellStart"/>
      <w:r w:rsidRPr="00A259BD">
        <w:rPr>
          <w:rFonts w:ascii="Times New Roman" w:hAnsi="Times New Roman"/>
          <w:color w:val="000000" w:themeColor="text1"/>
          <w:sz w:val="16"/>
          <w:szCs w:val="16"/>
        </w:rPr>
        <w:t>мобзапасе</w:t>
      </w:r>
      <w:proofErr w:type="spellEnd"/>
      <w:r w:rsidRPr="00A259BD">
        <w:rPr>
          <w:rFonts w:ascii="Times New Roman" w:hAnsi="Times New Roman"/>
          <w:color w:val="000000" w:themeColor="text1"/>
          <w:sz w:val="16"/>
          <w:szCs w:val="16"/>
        </w:rPr>
        <w:t xml:space="preserve"> тракторов специальной конструкции, войти с ходатайством в Правительство СССР о согласовании типа и конструкции трак</w:t>
      </w:r>
      <w:r w:rsidRPr="00A259BD">
        <w:rPr>
          <w:rFonts w:ascii="Times New Roman" w:hAnsi="Times New Roman"/>
          <w:color w:val="000000" w:themeColor="text1"/>
          <w:sz w:val="16"/>
          <w:szCs w:val="16"/>
        </w:rPr>
        <w:softHyphen/>
        <w:t>торов, намечаемых к производству внутри страны, с потребностью обороны в этих тракторах.</w:t>
      </w:r>
    </w:p>
    <w:p w14:paraId="158AD0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Предложить АУ УС РККА принять меры к срочной разработке гусеничных придатков к ко</w:t>
      </w:r>
      <w:r w:rsidRPr="00A259BD">
        <w:rPr>
          <w:rFonts w:ascii="Times New Roman" w:hAnsi="Times New Roman"/>
          <w:color w:val="000000" w:themeColor="text1"/>
          <w:sz w:val="16"/>
          <w:szCs w:val="16"/>
        </w:rPr>
        <w:softHyphen/>
        <w:t>лесным сельскохозяйственным тракторам.</w:t>
      </w:r>
    </w:p>
    <w:p w14:paraId="097B739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13. О создании механизированной опытной части. Докладчик т. </w:t>
      </w:r>
      <w:proofErr w:type="spellStart"/>
      <w:r w:rsidRPr="00A259BD">
        <w:rPr>
          <w:rFonts w:ascii="Times New Roman" w:hAnsi="Times New Roman"/>
          <w:color w:val="000000" w:themeColor="text1"/>
          <w:sz w:val="16"/>
          <w:szCs w:val="16"/>
        </w:rPr>
        <w:t>Триандофилов</w:t>
      </w:r>
      <w:proofErr w:type="spellEnd"/>
      <w:r w:rsidRPr="00A259BD">
        <w:rPr>
          <w:rFonts w:ascii="Times New Roman" w:hAnsi="Times New Roman"/>
          <w:color w:val="000000" w:themeColor="text1"/>
          <w:sz w:val="16"/>
          <w:szCs w:val="16"/>
        </w:rPr>
        <w:t>.</w:t>
      </w:r>
    </w:p>
    <w:p w14:paraId="600E68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прениях выступил т. Ворошилов.</w:t>
      </w:r>
    </w:p>
    <w:p w14:paraId="23D4B7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Принимая во внимание, что новый род оружия, каким являются бронесилы, недостаточно изучен как в смысле тактического его применения (для самостоятельного и совместного с пехотой и конницей), так и в смысле наиболее выгодных организационных форм, признать необходимым ор</w:t>
      </w:r>
      <w:r w:rsidRPr="00A259BD">
        <w:rPr>
          <w:rFonts w:ascii="Times New Roman" w:hAnsi="Times New Roman"/>
          <w:color w:val="000000" w:themeColor="text1"/>
          <w:sz w:val="16"/>
          <w:szCs w:val="16"/>
        </w:rPr>
        <w:softHyphen/>
        <w:t xml:space="preserve">ганизовать, с 1929-30 года постоянную, опытную механизированную часть. Поручить штабу РККА разработать схему ее организации и план пополнения новейшим </w:t>
      </w:r>
      <w:proofErr w:type="spellStart"/>
      <w:r w:rsidRPr="00A259BD">
        <w:rPr>
          <w:rFonts w:ascii="Times New Roman" w:hAnsi="Times New Roman"/>
          <w:color w:val="000000" w:themeColor="text1"/>
          <w:sz w:val="16"/>
          <w:szCs w:val="16"/>
        </w:rPr>
        <w:t>бронеимуществом</w:t>
      </w:r>
      <w:proofErr w:type="spellEnd"/>
      <w:r w:rsidRPr="00A259BD">
        <w:rPr>
          <w:rFonts w:ascii="Times New Roman" w:hAnsi="Times New Roman"/>
          <w:color w:val="000000" w:themeColor="text1"/>
          <w:sz w:val="16"/>
          <w:szCs w:val="16"/>
        </w:rPr>
        <w:t>.</w:t>
      </w:r>
    </w:p>
    <w:p w14:paraId="32A20C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0DCCCDB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О льготном отпуске мотоциклов для начсостава бронетанковых и авточастей.</w:t>
      </w:r>
    </w:p>
    <w:p w14:paraId="04FCDE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Утверждено 19 июля 1929г.</w:t>
      </w:r>
    </w:p>
    <w:p w14:paraId="73E7A90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1. Решение отложить.</w:t>
      </w:r>
    </w:p>
    <w:p w14:paraId="194D231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Предложить </w:t>
      </w:r>
      <w:proofErr w:type="spellStart"/>
      <w:r w:rsidRPr="00A259BD">
        <w:rPr>
          <w:rFonts w:ascii="Times New Roman" w:hAnsi="Times New Roman"/>
          <w:color w:val="000000" w:themeColor="text1"/>
          <w:sz w:val="16"/>
          <w:szCs w:val="16"/>
        </w:rPr>
        <w:t>Начснабу</w:t>
      </w:r>
      <w:proofErr w:type="spellEnd"/>
      <w:r w:rsidRPr="00A259BD">
        <w:rPr>
          <w:rFonts w:ascii="Times New Roman" w:hAnsi="Times New Roman"/>
          <w:color w:val="000000" w:themeColor="text1"/>
          <w:sz w:val="16"/>
          <w:szCs w:val="16"/>
        </w:rPr>
        <w:t xml:space="preserve"> РККА подработать вопрос, исходя:</w:t>
      </w:r>
    </w:p>
    <w:p w14:paraId="3F486C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из отпуска в льготном порядке не мотоциклов, а фордов;</w:t>
      </w:r>
    </w:p>
    <w:p w14:paraId="5867B1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из распространения льгот на весь начсостав Красной Армии.</w:t>
      </w:r>
    </w:p>
    <w:p w14:paraId="1D1C10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58A0F77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Председатель РВС СССР I Ворошилов</w:t>
      </w:r>
    </w:p>
    <w:p w14:paraId="3241D5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Секретарь РВС СССР </w:t>
      </w:r>
      <w:proofErr w:type="spellStart"/>
      <w:r w:rsidRPr="00A259BD">
        <w:rPr>
          <w:rFonts w:ascii="Times New Roman" w:hAnsi="Times New Roman"/>
          <w:color w:val="000000" w:themeColor="text1"/>
          <w:sz w:val="16"/>
          <w:szCs w:val="16"/>
        </w:rPr>
        <w:t>Литуновский</w:t>
      </w:r>
      <w:proofErr w:type="spellEnd"/>
      <w:r w:rsidRPr="00A259BD">
        <w:rPr>
          <w:rFonts w:ascii="Times New Roman" w:hAnsi="Times New Roman"/>
          <w:color w:val="000000" w:themeColor="text1"/>
          <w:sz w:val="16"/>
          <w:szCs w:val="16"/>
        </w:rPr>
        <w:t xml:space="preserve"> </w:t>
      </w:r>
    </w:p>
    <w:p w14:paraId="229987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РГВА. Ф. 4. Оп. 18. Д. 15. Л. 189 - 204. Копия (11210).</w:t>
      </w:r>
    </w:p>
    <w:p w14:paraId="76E8D0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8E8ADA"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 18 июля 1929 г.</w:t>
      </w:r>
    </w:p>
    <w:p w14:paraId="6371ABD4"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Совершенно Секретно </w:t>
      </w:r>
    </w:p>
    <w:p w14:paraId="1AD9CDAB"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Выписка из протокола № 29 заседания Реввоенсовета СССР </w:t>
      </w:r>
    </w:p>
    <w:p w14:paraId="30B3D0F2"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системе </w:t>
      </w:r>
      <w:proofErr w:type="spellStart"/>
      <w:r w:rsidRPr="00A259BD">
        <w:rPr>
          <w:rFonts w:ascii="Times New Roman" w:hAnsi="Times New Roman"/>
          <w:color w:val="000000" w:themeColor="text1"/>
          <w:sz w:val="16"/>
          <w:szCs w:val="16"/>
        </w:rPr>
        <w:t>броневооружения</w:t>
      </w:r>
      <w:proofErr w:type="spellEnd"/>
      <w:r w:rsidRPr="00A259BD">
        <w:rPr>
          <w:rFonts w:ascii="Times New Roman" w:hAnsi="Times New Roman"/>
          <w:color w:val="000000" w:themeColor="text1"/>
          <w:sz w:val="16"/>
          <w:szCs w:val="16"/>
        </w:rPr>
        <w:t xml:space="preserve"> РККА </w:t>
      </w:r>
    </w:p>
    <w:p w14:paraId="7D6393C0"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 18 июля 1929 г.</w:t>
      </w:r>
    </w:p>
    <w:p w14:paraId="702823A9"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Слушали: 12. О системе танко-тракторно-авто-броне-вооружения РККА. Докладчик т. </w:t>
      </w:r>
      <w:proofErr w:type="spellStart"/>
      <w:r w:rsidRPr="00A259BD">
        <w:rPr>
          <w:rFonts w:ascii="Times New Roman" w:hAnsi="Times New Roman"/>
          <w:color w:val="000000" w:themeColor="text1"/>
          <w:sz w:val="16"/>
          <w:szCs w:val="16"/>
        </w:rPr>
        <w:t>Триандафилов</w:t>
      </w:r>
      <w:proofErr w:type="spellEnd"/>
      <w:r w:rsidRPr="00A259BD">
        <w:rPr>
          <w:rFonts w:ascii="Times New Roman" w:hAnsi="Times New Roman"/>
          <w:color w:val="000000" w:themeColor="text1"/>
          <w:sz w:val="16"/>
          <w:szCs w:val="16"/>
        </w:rPr>
        <w:t xml:space="preserve">. </w:t>
      </w:r>
    </w:p>
    <w:p w14:paraId="4EECEE6C"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Постановили: 1. Утвердить в основном следующую систему танко-тракторно-авто-броне-вооружения РККА: </w:t>
      </w:r>
    </w:p>
    <w:p w14:paraId="728391F4"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танкетка (колесно-гусеничная). Назначение – разведка, внезапное нападение. Вес – не более 3,3 т. Желательно понижение веса до 2,5 и 2 т. Скорость – не менее 60 км на колесном ходу и 40 км – на гусеничном. Броня должна гарантировать от пробивания бронебойными пулями с дистанции 300 м. Вооружение – 1 пулемет с горизонтальным обстрелом 360° или два, не одновременно действующих с горизонтальным обстрелом 360°. Боекомплект не менее 2,5 тыс. патронов. Команда – 2 чел. Радиус действия 300 км на гусеничном ходу, 450 – на колесном. Ширина перекрываемого препятствия – не менее 1,25 м, высота – 0,5 м, глубина брода – 0,75 м (желательна плавучесть). Диаметр сваливаемых деревьев 10 см. Переход от колесного на гусеничный ход не более 0,5 мин., не выходя из танкетки. Высота танкетки – не более 1,5 м. Кроме того, сконструировать танкетку с теми же данными, но вооруженную одной 37-мм пушкой с задачей противотанковой борьбы; </w:t>
      </w:r>
    </w:p>
    <w:p w14:paraId="3C832CFC"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малый танк. Назначение – ударное средство механизированных соединений, прорыв в условиях маневренного боя. Вес – не более 7 – 7,5 т. Скорость – 25 – 30 км/ч. Толщина брони должна гарантировать от пробивания 37-мм снарядом при начальной скорости 700 м/с </w:t>
      </w:r>
      <w:proofErr w:type="spellStart"/>
      <w:r w:rsidRPr="00A259BD">
        <w:rPr>
          <w:rFonts w:ascii="Times New Roman" w:hAnsi="Times New Roman"/>
          <w:color w:val="000000" w:themeColor="text1"/>
          <w:sz w:val="16"/>
          <w:szCs w:val="16"/>
        </w:rPr>
        <w:t>с</w:t>
      </w:r>
      <w:proofErr w:type="spellEnd"/>
      <w:r w:rsidRPr="00A259BD">
        <w:rPr>
          <w:rFonts w:ascii="Times New Roman" w:hAnsi="Times New Roman"/>
          <w:color w:val="000000" w:themeColor="text1"/>
          <w:sz w:val="16"/>
          <w:szCs w:val="16"/>
        </w:rPr>
        <w:t xml:space="preserve"> 1 тыс. м. Вооружение – одна 37-мм пушка и 2 пулемета, из них один, не одновременно с пушкой действующий. Боекомплект – не менее 75 шт. снарядов и 3,5 тыс. патронов. Команда – 3 чел. Радиус действия 200 км. Ширина горизонтального препятствия не менее 2 м. Высота препятствия – 0,6 – 0,8 м. Глубина брода не менее 1,3 м (желательно плавучесть). Диаметр сваливаемых деревьев 20 см. В опытном порядке конструировать также колесно-гусеничный малый танк с теми же данными, но с допуском веса не более 8 т., скоростью на колесном ходу 45 км/ч и радиусом действия на колесном ходу 300 км (Впредь до </w:t>
      </w:r>
      <w:proofErr w:type="spellStart"/>
      <w:r w:rsidRPr="00A259BD">
        <w:rPr>
          <w:rFonts w:ascii="Times New Roman" w:hAnsi="Times New Roman"/>
          <w:color w:val="000000" w:themeColor="text1"/>
          <w:sz w:val="16"/>
          <w:szCs w:val="16"/>
        </w:rPr>
        <w:t>сконструирования</w:t>
      </w:r>
      <w:proofErr w:type="spellEnd"/>
      <w:r w:rsidRPr="00A259BD">
        <w:rPr>
          <w:rFonts w:ascii="Times New Roman" w:hAnsi="Times New Roman"/>
          <w:color w:val="000000" w:themeColor="text1"/>
          <w:sz w:val="16"/>
          <w:szCs w:val="16"/>
        </w:rPr>
        <w:t xml:space="preserve"> нового малого танка допустить на вооружение частей РККА танк MC-1. АУ УС РККА принять все меры к увеличению скорости его хода до 24 – 25 км; </w:t>
      </w:r>
    </w:p>
    <w:p w14:paraId="0F619664"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средний танк. Назначение – прорыв укрепленной полосы в условиях как маневренных, так и позиционных. Вес – не более 15 – 16 т. Скорость – 25 – 30 км. Толщина брони должна гарантировать от пробивания 37-мм снарядом (при начальной скорости 700 м/с) на дистанции 750 м. Вооружение – одна 45-мм пушка и три одновременно действующих пулемета. Боекомплект не менее 100 снарядов и 5 тыс. патронов. Число команды – 4 – 5 чел. Радиус действия 200 км. Ширина перекрываемого препятствия – не менее 2,5 м. Высота – 1 м, глубина брода не менее 1,3 м. Диаметр сваливаемых деревьев – 30 см; </w:t>
      </w:r>
    </w:p>
    <w:p w14:paraId="2DD341D0"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по отношению к большому танку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 </w:t>
      </w:r>
    </w:p>
    <w:p w14:paraId="1C9086FB"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 самоходная пушка механизированных частей. Назначение – подготовка и поддержка танковой атаки, борьба против танков (артиллерия сопровождения механизированных частей). Шасси малого танка. Калибр – 76 мм. Вес – не более 7 – 7,5 т. Скорость хода – 25 – 30 км. Броня 7 – 10 мм. Угол возвышения – не менее 30°. Горизонтальный угол 12°. Орудие должно представлять полный стандарт в смысле тела и затвора с дивизионной или полковой пушкой. На установке перевозится не менее 24 патронов и 2 чел. орудийных номеров; </w:t>
      </w:r>
    </w:p>
    <w:p w14:paraId="6F970A6C"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 самоходная зенитная пулеметная установка. Назначение – охрана механизированных частей на походе и в бою от штурмовой авиации (бреющий полет). Шасси малого танка или среднего трактора. Вес – 7 – 7,5 т. Скорость хода – 25 – 30 км. Броня 7 – 10 мм. Вооружение – универсальный 4-ствольный станковый пулемет, калибром 7,62 мм. Установка должна перевозить не менее 2 чел. команды и 4 тыс. патронов; </w:t>
      </w:r>
    </w:p>
    <w:p w14:paraId="1077B6C4"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ж) самоходная зенитная пушечная установка. Назначение – оборона механизированных частей на походе и в бою от штурмовой и бомбардировочной авиации, подвижное противотанковое средство. Шасси малого танка или среднего трактора. Вес – 7 – 7,5 т. Скорость хода – 25 – 30 км/ч. Бортовая броня 7 – 10 мм. Вооружение – спаренная 37-мм зенитная пушка. Установка должна перевозить не менее 2 чел. орудийных номеров и 100 выстрелов; </w:t>
      </w:r>
    </w:p>
    <w:p w14:paraId="5BAB3579"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 по отношению к транспортеру пехоты на шасси малого танка ограничиться пока теоретической разработкой вопроса, предложив ВПУ ВСНХ к 1 октября 1930г. представить эскизный проект, после чего и решить вопрос о включении его в систему вооружения; </w:t>
      </w:r>
    </w:p>
    <w:p w14:paraId="522F4C9B"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 радио-трактор. Назначение – связь крупных танковых соединений. Шасси малого танка или среднего трактора. Вес – 7 – 7,5 т. Скорость хода – 25 – 30 км/ч. Толщина бортовой брони (щитки) – 7 – 10 мм. Станция телеграфно-телефонная. Радиус действия (телеграфом) станций 250 км при остановке. Работа с хода на дистанцию – не менее 50 км. Для обслуживания станции допускается иметь вторую аналогичную первой машину; </w:t>
      </w:r>
    </w:p>
    <w:p w14:paraId="7B9AB47D"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дымовой танк. Назначение – выпуск мощных дымовых завес. Шасси малого танка или среднего трактора. Вес – 7 – 7,5 т. Скорость хода – 25 – 30 км/ч. Толщина брони – 7 – 10 мм; </w:t>
      </w:r>
    </w:p>
    <w:p w14:paraId="790B2BF9"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 по отношению к мостовому танку ограничиться пока теоретической разработкой, предложив ВПУ ВСНХ к 1 октября 1930 г. представить эскизный проект, после чего и решить вопрос о включении его в систему вооружения; </w:t>
      </w:r>
    </w:p>
    <w:p w14:paraId="3CA2E65E"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 легкий трактор. Назначение – перевозка материальной части дивизионной артиллерии, перевозка личного и командного состава и всех частей моторизованной артиллерии. Вес – 3 – 3,5 т. Максимальная скорость движения с прицепкой – 25 – 30 км. Движитель гусеничный; </w:t>
      </w:r>
    </w:p>
    <w:p w14:paraId="506C882D"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 средний трактор. Назначение – перевозка орудий АРГК, весящих в походном положении не свыше 7 т. Перевозка корпусной артиллерии, перевозка грузов механизированных соединений (обоз 2 разряда). Шасси должно быть возможно более стандартизировано с шасси легкого танка. Желателен полный стандарт. Вес – около 7 т. Вес прицепного груза – 7 – 7,5 т. Максимальная скорость движения с прицепным грузом 20 км. Движитель гусеничный (Впредь до </w:t>
      </w:r>
      <w:proofErr w:type="spellStart"/>
      <w:r w:rsidRPr="00A259BD">
        <w:rPr>
          <w:rFonts w:ascii="Times New Roman" w:hAnsi="Times New Roman"/>
          <w:color w:val="000000" w:themeColor="text1"/>
          <w:sz w:val="16"/>
          <w:szCs w:val="16"/>
        </w:rPr>
        <w:t>сконструирования</w:t>
      </w:r>
      <w:proofErr w:type="spellEnd"/>
      <w:r w:rsidRPr="00A259BD">
        <w:rPr>
          <w:rFonts w:ascii="Times New Roman" w:hAnsi="Times New Roman"/>
          <w:color w:val="000000" w:themeColor="text1"/>
          <w:sz w:val="16"/>
          <w:szCs w:val="16"/>
        </w:rPr>
        <w:t xml:space="preserve"> новых среднего и малого тракторов допустить на вооружение РККА тракторы "Большевик" и "Коммунар". АУ УС РККА принять меры к увеличению скорости означенных тракторов согласно плану модернизации); </w:t>
      </w:r>
    </w:p>
    <w:p w14:paraId="6EB112FE"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тяжелый трактор. Назначение – перевозка орудий АРГК особой мощности и всех тяжелый грузов. Вес – около 11 т. Вес прицепного груза – 11 – 12 т. Максимальная скорость движения с прицепным грузом 15 км. </w:t>
      </w:r>
    </w:p>
    <w:p w14:paraId="1A3282A7"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 Признать не нужным конструирование специальной новой бронемашины и поручить УС РККА совместно с промышленностью проработать вопрос о приспособлении ныне установленных в производство машин, а именно: </w:t>
      </w:r>
    </w:p>
    <w:p w14:paraId="1ECAF532"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"Форд" – модель "А"; </w:t>
      </w:r>
    </w:p>
    <w:p w14:paraId="6B2D3F4D"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"Форд" – марки "АА" с задним мостом "</w:t>
      </w:r>
      <w:proofErr w:type="spellStart"/>
      <w:r w:rsidRPr="00A259BD">
        <w:rPr>
          <w:rFonts w:ascii="Times New Roman" w:hAnsi="Times New Roman"/>
          <w:color w:val="000000" w:themeColor="text1"/>
          <w:sz w:val="16"/>
          <w:szCs w:val="16"/>
        </w:rPr>
        <w:t>Джембо</w:t>
      </w:r>
      <w:proofErr w:type="spellEnd"/>
      <w:r w:rsidRPr="00A259BD">
        <w:rPr>
          <w:rFonts w:ascii="Times New Roman" w:hAnsi="Times New Roman"/>
          <w:color w:val="000000" w:themeColor="text1"/>
          <w:sz w:val="16"/>
          <w:szCs w:val="16"/>
        </w:rPr>
        <w:t xml:space="preserve">" или другой конструкции; </w:t>
      </w:r>
    </w:p>
    <w:p w14:paraId="41E25965"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автокар грузовой. </w:t>
      </w:r>
    </w:p>
    <w:p w14:paraId="238C4B3D"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Принять следующее требование к приспособленным машинам: </w:t>
      </w:r>
    </w:p>
    <w:p w14:paraId="582F2AF1"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легкий бронеавтомобиль ("Форд", модель "А"). Назначение – подвижное огневое средство в составе разведывательных частей. Вооружение – 2 пулемета, из них 1 – с приспособлением для воздушной стрельбы. Броня отсутствует, но имеется впереди щит от пуль. Желательно приспособление третьей оси. Максимальная скорость движения по дороге – 80 – 100 км. Вес машины — не более 1,5 км. Команда – 3 чел. Емкость машины должна допускать размещения не менее 2 тыс. патронов. Радиус действия 250 км. Кроме того, признать необходимым конструирование той же машины, но для 37-мм пушки с круговым обстрелом вместо пулемета; </w:t>
      </w:r>
    </w:p>
    <w:p w14:paraId="248F39D7"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средний бронеавтомобиль ("Форд АА" с задним мостом "</w:t>
      </w:r>
      <w:proofErr w:type="spellStart"/>
      <w:r w:rsidRPr="00A259BD">
        <w:rPr>
          <w:rFonts w:ascii="Times New Roman" w:hAnsi="Times New Roman"/>
          <w:color w:val="000000" w:themeColor="text1"/>
          <w:sz w:val="16"/>
          <w:szCs w:val="16"/>
        </w:rPr>
        <w:t>Джембо</w:t>
      </w:r>
      <w:proofErr w:type="spellEnd"/>
      <w:r w:rsidRPr="00A259BD">
        <w:rPr>
          <w:rFonts w:ascii="Times New Roman" w:hAnsi="Times New Roman"/>
          <w:color w:val="000000" w:themeColor="text1"/>
          <w:sz w:val="16"/>
          <w:szCs w:val="16"/>
        </w:rPr>
        <w:t xml:space="preserve">" или другой конструкции). Назначение – боевая разведка в составе разведывательных отрядов и механизированных соединений. Вооружение – 2 пулемета, из них 1 с круговым обстрелом. Броня должна давать гарантию от пробивания обыкновенными пулями с дистанции 150 – 200 м. Максимальная скорость движения по дороге – 50 км. Вес машины – не свыше 3,8 т. Количество команды – 3 чел. Радиус действия 200 км. Емкость машины должна допускать размещение не менее 3 тыс. пулеметных патронов. </w:t>
      </w:r>
    </w:p>
    <w:p w14:paraId="25AAC23A"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в) тяжелый бронеавтомобиль (автокар грузовой). Назначение – тяжелая разведывательная машина и средство противотанковой борьбы. Вооружение – одна 37-мм пушка и пулемет (не одновременно действующий) с круговым обстрелом и один пулемет для стрельбы в направлении движения (угол обстрела 25 – 30°). Бронемашина должна давать гарантию от пробивания бронебойными пулями на дистанции до 500 м. Число осей – 3. Машина должна иметь заднее рулевое управление. Скорость движения по дороге не менее 50 км. Вес машины – не свыше 6 т. Команда – 4 чел. Радиус действия 200 км. Емкость машины должна допускать размещение не менее 75 орудийных выстрелов, 3 тыс. пулеметных патронов и запас горючего на 5 – 6 часов среднего хода. (Впредь до окончательной разработки приспособления для военных целей указанных машин допустить на вооружение РККА бронемашину БА-27 ). </w:t>
      </w:r>
    </w:p>
    <w:p w14:paraId="22E9EBBC"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Признать необходимым разработать приспособление существующих мотоциклов к вооружению пулеметами по следующим требованиям: назначение – действие в составе разведывательного отряда. Мотоцикл и коляска не бронируются. Желательно иметь впереди щит толщиной около 7 мм. Пулемет устанавливается на коляске. Установка должна допускать: </w:t>
      </w:r>
    </w:p>
    <w:p w14:paraId="03055BC6"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стрельбу с хода по наземным целям, а при остановке также стрельбу по воздушным целям; </w:t>
      </w:r>
    </w:p>
    <w:p w14:paraId="7F9E718D"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быстрое снимание пулемета. </w:t>
      </w:r>
    </w:p>
    <w:p w14:paraId="7C771805"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Запас патронов – не менее 500 шт. (Кроме того, разработать прицепную двухколесную платформу для установки станкового пулемета для стрельбы по наземным и воздушным целям. Платформа должна отцепляться в течение не более 1 – 1,5 мин и допускать перевозку, помимо пулемета, 1,5 тыс. патронов. Означенную платформу использовать и для подвоза патронов) </w:t>
      </w:r>
    </w:p>
    <w:p w14:paraId="7FE17B03"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Штабу РККА совместно с </w:t>
      </w:r>
      <w:proofErr w:type="spellStart"/>
      <w:r w:rsidRPr="00A259BD">
        <w:rPr>
          <w:rFonts w:ascii="Times New Roman" w:hAnsi="Times New Roman"/>
          <w:color w:val="000000" w:themeColor="text1"/>
          <w:sz w:val="16"/>
          <w:szCs w:val="16"/>
        </w:rPr>
        <w:t>ВНИКом</w:t>
      </w:r>
      <w:proofErr w:type="spellEnd"/>
      <w:r w:rsidRPr="00A259BD">
        <w:rPr>
          <w:rFonts w:ascii="Times New Roman" w:hAnsi="Times New Roman"/>
          <w:color w:val="000000" w:themeColor="text1"/>
          <w:sz w:val="16"/>
          <w:szCs w:val="16"/>
        </w:rPr>
        <w:t xml:space="preserve">, МПУ и ВПУ ВСНХ СССР, НС РККА, ВТУ и АУ УС РККА проработать настоящую систему с точки зрения техническо-производственных требований к ней (качество материалов, качество брони, стандартизация отдельных частей систем, простота конструкции и т. д.). Срок – 1 декабря 1929 г. </w:t>
      </w:r>
    </w:p>
    <w:p w14:paraId="08392465"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Штабу РККА совместно с </w:t>
      </w:r>
      <w:proofErr w:type="spellStart"/>
      <w:r w:rsidRPr="00A259BD">
        <w:rPr>
          <w:rFonts w:ascii="Times New Roman" w:hAnsi="Times New Roman"/>
          <w:color w:val="000000" w:themeColor="text1"/>
          <w:sz w:val="16"/>
          <w:szCs w:val="16"/>
        </w:rPr>
        <w:t>ВНИКом</w:t>
      </w:r>
      <w:proofErr w:type="spellEnd"/>
      <w:r w:rsidRPr="00A259BD">
        <w:rPr>
          <w:rFonts w:ascii="Times New Roman" w:hAnsi="Times New Roman"/>
          <w:color w:val="000000" w:themeColor="text1"/>
          <w:sz w:val="16"/>
          <w:szCs w:val="16"/>
        </w:rPr>
        <w:t xml:space="preserve">, АУ и ВТУ УС РККА, ВПУ и МПУ ВСНХ СССР разработать план конкретной реализации систем. План должен включить: </w:t>
      </w:r>
    </w:p>
    <w:p w14:paraId="1335E560"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очередность конструирования отдельных систем; </w:t>
      </w:r>
    </w:p>
    <w:p w14:paraId="15AD4D93"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ориентировочные сроки готовности проектов и опытных образцов; </w:t>
      </w:r>
    </w:p>
    <w:p w14:paraId="3485AEA2"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план заказов новых систем; </w:t>
      </w:r>
    </w:p>
    <w:p w14:paraId="07895977"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план вооружения войсковых частей новыми системами (организация войсковых частей и тылов) с учетом имеющейся в наличии материальной части. </w:t>
      </w:r>
    </w:p>
    <w:p w14:paraId="3B39F130"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Срок исполнения по абзацам "а", "б" и "в" – 1 октября 1929 г., по абзацу "г" – 1 января 1930 г. </w:t>
      </w:r>
    </w:p>
    <w:p w14:paraId="38E698CD"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Поручить </w:t>
      </w:r>
      <w:proofErr w:type="spellStart"/>
      <w:r w:rsidRPr="00A259BD">
        <w:rPr>
          <w:rFonts w:ascii="Times New Roman" w:hAnsi="Times New Roman"/>
          <w:color w:val="000000" w:themeColor="text1"/>
          <w:sz w:val="16"/>
          <w:szCs w:val="16"/>
        </w:rPr>
        <w:t>ВНИКу</w:t>
      </w:r>
      <w:proofErr w:type="spellEnd"/>
      <w:r w:rsidRPr="00A259BD">
        <w:rPr>
          <w:rFonts w:ascii="Times New Roman" w:hAnsi="Times New Roman"/>
          <w:color w:val="000000" w:themeColor="text1"/>
          <w:sz w:val="16"/>
          <w:szCs w:val="16"/>
        </w:rPr>
        <w:t xml:space="preserve"> совместно со Штабом РККА и АУ УС РККА на основе разработанной системы провести ряд опытов по вопросам улучшения способов наблюдения с танков и методов стрельбы с хода. К разработке привлечь НТК УВМС РККА. </w:t>
      </w:r>
    </w:p>
    <w:p w14:paraId="0180CC90"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Начальнику Штаба РККА с доклада председателя РВС СССР в порядке научных изысканий давать довольствующим органам задания на разработку опытных образцов, хотя и не вошедших в данную систему вооружения, но необходимых для проверки экспериментальным путем новых течений тактики броневого дела и достижений научно-технической мысли. </w:t>
      </w:r>
    </w:p>
    <w:p w14:paraId="45346CDB"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Принимая во внимание, что для обеспечения потребности военного времени в механизированном транспорте для РККА, НКВМ не может базироваться только на </w:t>
      </w:r>
      <w:proofErr w:type="spellStart"/>
      <w:r w:rsidRPr="00A259BD">
        <w:rPr>
          <w:rFonts w:ascii="Times New Roman" w:hAnsi="Times New Roman"/>
          <w:color w:val="000000" w:themeColor="text1"/>
          <w:sz w:val="16"/>
          <w:szCs w:val="16"/>
        </w:rPr>
        <w:t>мобзапасе</w:t>
      </w:r>
      <w:proofErr w:type="spellEnd"/>
      <w:r w:rsidRPr="00A259BD">
        <w:rPr>
          <w:rFonts w:ascii="Times New Roman" w:hAnsi="Times New Roman"/>
          <w:color w:val="000000" w:themeColor="text1"/>
          <w:sz w:val="16"/>
          <w:szCs w:val="16"/>
        </w:rPr>
        <w:t xml:space="preserve"> тракторов специальной конструкции, войти с ходатайством в правительство СССР о согласовании типа и конструкции тракторов, намечаемых к производству внутри страны, с потребностью обороны в этих тракторах. </w:t>
      </w:r>
    </w:p>
    <w:p w14:paraId="0740DE69"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Предложить АУ УС РККА принять меры к срочной разработке гусеничных придатков к колесным сельскохозяйственным тракторам. </w:t>
      </w:r>
    </w:p>
    <w:p w14:paraId="5EA120B5"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п/п Председатель РВС СССР Ворошилов </w:t>
      </w:r>
    </w:p>
    <w:p w14:paraId="6670B34B"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п/п Секретарь РВС СССР </w:t>
      </w:r>
      <w:proofErr w:type="spellStart"/>
      <w:r w:rsidRPr="00A259BD">
        <w:rPr>
          <w:rFonts w:ascii="Times New Roman" w:hAnsi="Times New Roman"/>
          <w:color w:val="000000" w:themeColor="text1"/>
          <w:sz w:val="16"/>
          <w:szCs w:val="16"/>
        </w:rPr>
        <w:t>Литуновский</w:t>
      </w:r>
      <w:proofErr w:type="spellEnd"/>
    </w:p>
    <w:p w14:paraId="0C9B2189" w14:textId="77777777" w:rsidR="00CD567A" w:rsidRPr="00A259BD" w:rsidRDefault="00CD567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РГВА Фонд 4 Опись 18 Дело 15 лист 190 – 203 (17948).</w:t>
      </w:r>
    </w:p>
    <w:p w14:paraId="36623DB7" w14:textId="77777777" w:rsidR="00CD567A" w:rsidRPr="00A259BD" w:rsidRDefault="00CD567A" w:rsidP="009236E3">
      <w:pPr>
        <w:spacing w:after="0" w:line="240" w:lineRule="auto"/>
        <w:jc w:val="both"/>
        <w:rPr>
          <w:rFonts w:ascii="Times New Roman" w:hAnsi="Times New Roman"/>
          <w:color w:val="000000" w:themeColor="text1"/>
          <w:sz w:val="16"/>
          <w:szCs w:val="16"/>
        </w:rPr>
      </w:pPr>
    </w:p>
    <w:p w14:paraId="71E671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июля 1929 г. были подготовлены:</w:t>
      </w:r>
    </w:p>
    <w:p w14:paraId="308E6B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ВЫДЕРЖКИ ИЗ ГАЗЕТЫ "ДЭЙЛИ ТЕЛЕГРАФ" ОБ АНГЛИЙСКОМ НАСТАВЛЕНИИ "МЕХАНИЗИРОВАННЫЕ И БРОНИРОВАННЫЕ СОЕДИНЕНИЯ"</w:t>
      </w:r>
    </w:p>
    <w:p w14:paraId="62B96B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(перевод с английского языка)</w:t>
      </w:r>
    </w:p>
    <w:p w14:paraId="7E68BC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марта военный совет Англии издал новое наставление по организации и действиям ме</w:t>
      </w:r>
      <w:r w:rsidRPr="00A259BD">
        <w:rPr>
          <w:rFonts w:ascii="Times New Roman" w:hAnsi="Times New Roman"/>
          <w:color w:val="000000" w:themeColor="text1"/>
          <w:sz w:val="16"/>
          <w:szCs w:val="16"/>
        </w:rPr>
        <w:softHyphen/>
        <w:t>ханизированных и бронированных соединений. Для ознакомления с содержанием книги и с напра</w:t>
      </w:r>
      <w:r w:rsidRPr="00A259BD">
        <w:rPr>
          <w:rFonts w:ascii="Times New Roman" w:hAnsi="Times New Roman"/>
          <w:color w:val="000000" w:themeColor="text1"/>
          <w:sz w:val="16"/>
          <w:szCs w:val="16"/>
        </w:rPr>
        <w:softHyphen/>
        <w:t>влением политики генштаба по механизации, в военное министерство были приглашены представи</w:t>
      </w:r>
      <w:r w:rsidRPr="00A259BD">
        <w:rPr>
          <w:rFonts w:ascii="Times New Roman" w:hAnsi="Times New Roman"/>
          <w:color w:val="000000" w:themeColor="text1"/>
          <w:sz w:val="16"/>
          <w:szCs w:val="16"/>
        </w:rPr>
        <w:softHyphen/>
        <w:t>тели прессы, которым соответствующее сообщение сделал начальник директората подготовки в ген</w:t>
      </w:r>
      <w:r w:rsidRPr="00A259BD">
        <w:rPr>
          <w:rFonts w:ascii="Times New Roman" w:hAnsi="Times New Roman"/>
          <w:color w:val="000000" w:themeColor="text1"/>
          <w:sz w:val="16"/>
          <w:szCs w:val="16"/>
        </w:rPr>
        <w:softHyphen/>
        <w:t xml:space="preserve">штабе генерал-майор </w:t>
      </w:r>
      <w:proofErr w:type="spellStart"/>
      <w:r w:rsidRPr="00A259BD">
        <w:rPr>
          <w:rFonts w:ascii="Times New Roman" w:hAnsi="Times New Roman"/>
          <w:color w:val="000000" w:themeColor="text1"/>
          <w:sz w:val="16"/>
          <w:szCs w:val="16"/>
        </w:rPr>
        <w:t>Бонхэм</w:t>
      </w:r>
      <w:proofErr w:type="spellEnd"/>
      <w:r w:rsidRPr="00A259BD">
        <w:rPr>
          <w:rFonts w:ascii="Times New Roman" w:hAnsi="Times New Roman"/>
          <w:color w:val="000000" w:themeColor="text1"/>
          <w:sz w:val="16"/>
          <w:szCs w:val="16"/>
        </w:rPr>
        <w:t>-Картер. Некоторые выдержки из его сообщения приводит военный корреспондент газеты "Дэйли Телеграф" от 27 марта сего года. Они сводятся к следующему:</w:t>
      </w:r>
    </w:p>
    <w:p w14:paraId="132033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Пулеметы противника делают невозможным продвижение пехоты днем и на открытой местно</w:t>
      </w:r>
      <w:r w:rsidRPr="00A259BD">
        <w:rPr>
          <w:rFonts w:ascii="Times New Roman" w:hAnsi="Times New Roman"/>
          <w:color w:val="000000" w:themeColor="text1"/>
          <w:sz w:val="16"/>
          <w:szCs w:val="16"/>
        </w:rPr>
        <w:softHyphen/>
        <w:t>сти, если эта пехота не имеет чрезвычайно сильной артиллерии для подавления пулеметов против</w:t>
      </w:r>
      <w:r w:rsidRPr="00A259BD">
        <w:rPr>
          <w:rFonts w:ascii="Times New Roman" w:hAnsi="Times New Roman"/>
          <w:color w:val="000000" w:themeColor="text1"/>
          <w:sz w:val="16"/>
          <w:szCs w:val="16"/>
        </w:rPr>
        <w:softHyphen/>
        <w:t>ника, что в маневренной войне немыслимо иметь. Бронированные средства возможность продвиже</w:t>
      </w:r>
      <w:r w:rsidRPr="00A259BD">
        <w:rPr>
          <w:rFonts w:ascii="Times New Roman" w:hAnsi="Times New Roman"/>
          <w:color w:val="000000" w:themeColor="text1"/>
          <w:sz w:val="16"/>
          <w:szCs w:val="16"/>
        </w:rPr>
        <w:softHyphen/>
        <w:t>ния дают. В будущем необходимо иметь два типа войск для непосредственного ведения боя - пехот</w:t>
      </w:r>
      <w:r w:rsidRPr="00A259BD">
        <w:rPr>
          <w:rFonts w:ascii="Times New Roman" w:hAnsi="Times New Roman"/>
          <w:color w:val="000000" w:themeColor="text1"/>
          <w:sz w:val="16"/>
          <w:szCs w:val="16"/>
        </w:rPr>
        <w:softHyphen/>
        <w:t>ные дивизии, усиленные механизированными и бронированными средствами, и чисто бронированные бригады. Последние должны состоять из:</w:t>
      </w:r>
    </w:p>
    <w:p w14:paraId="555C22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одного батальона средних танков,</w:t>
      </w:r>
    </w:p>
    <w:p w14:paraId="4A9719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двух батальонов легких танков,</w:t>
      </w:r>
    </w:p>
    <w:p w14:paraId="21BCC2F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двух батарей самоходной (танковой) артиллерии,</w:t>
      </w:r>
    </w:p>
    <w:p w14:paraId="619152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одной танковой батареи противовоздушной артиллерии.</w:t>
      </w:r>
    </w:p>
    <w:p w14:paraId="1F1CBC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Последние две являются новостью и в книге, указано, что испытываются танки, вооруженные 3,7 дюймовыми (84 мм) гаубицами и специальными орудиями для стрельбы дымовыми бомбами. Ис</w:t>
      </w:r>
      <w:r w:rsidRPr="00A259BD">
        <w:rPr>
          <w:rFonts w:ascii="Times New Roman" w:hAnsi="Times New Roman"/>
          <w:color w:val="000000" w:themeColor="text1"/>
          <w:sz w:val="16"/>
          <w:szCs w:val="16"/>
        </w:rPr>
        <w:softHyphen/>
        <w:t>пытывается также танк, вооруженный пехотным орудием, для сопровождения пехоты.</w:t>
      </w:r>
    </w:p>
    <w:p w14:paraId="2C7230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книге указано, что пехотные дивизии должны быть использованы только для действий в за</w:t>
      </w:r>
      <w:r w:rsidRPr="00A259BD">
        <w:rPr>
          <w:rFonts w:ascii="Times New Roman" w:hAnsi="Times New Roman"/>
          <w:color w:val="000000" w:themeColor="text1"/>
          <w:sz w:val="16"/>
          <w:szCs w:val="16"/>
        </w:rPr>
        <w:softHyphen/>
        <w:t>крытой местности, оставляя для бронированных бригад открытые районы. Хотя в книге оказано, что пехота имеет преимущество в закрытой местности, но вместе с тем подчеркивается, что она может оказаться в стратегическом плену, не имея возможности выходить из данного района в дру</w:t>
      </w:r>
      <w:r w:rsidRPr="00A259BD">
        <w:rPr>
          <w:rFonts w:ascii="Times New Roman" w:hAnsi="Times New Roman"/>
          <w:color w:val="000000" w:themeColor="text1"/>
          <w:sz w:val="16"/>
          <w:szCs w:val="16"/>
        </w:rPr>
        <w:softHyphen/>
        <w:t>гой, пока не помогут бронированные бригады. Подвижные войска тоже разделяются на две части - моторизованная кавалерия и "легкие бронированные дивизии или бригады". Последние должны состоять из двух-трех батальонов легких танков, одной батареи самоходной артиллерии (танко</w:t>
      </w:r>
      <w:r w:rsidRPr="00A259BD">
        <w:rPr>
          <w:rFonts w:ascii="Times New Roman" w:hAnsi="Times New Roman"/>
          <w:color w:val="000000" w:themeColor="text1"/>
          <w:sz w:val="16"/>
          <w:szCs w:val="16"/>
        </w:rPr>
        <w:softHyphen/>
        <w:t>вой) и одной танковой противовоздушной батареи. Полки бронированных автомобилей могут быть приданы им, но, как общее правило, они должны быть использованы для дальней разведки.</w:t>
      </w:r>
    </w:p>
    <w:p w14:paraId="33ACD8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книге предсказываются некоторые организационные изменения танковых батальонов. Ба</w:t>
      </w:r>
      <w:r w:rsidRPr="00A259BD">
        <w:rPr>
          <w:rFonts w:ascii="Times New Roman" w:hAnsi="Times New Roman"/>
          <w:color w:val="000000" w:themeColor="text1"/>
          <w:sz w:val="16"/>
          <w:szCs w:val="16"/>
        </w:rPr>
        <w:softHyphen/>
        <w:t>тальоны средних танков должны иметь 31 танк, все снабженные радиоаппаратами. Батальоны лег</w:t>
      </w:r>
      <w:r w:rsidRPr="00A259BD">
        <w:rPr>
          <w:rFonts w:ascii="Times New Roman" w:hAnsi="Times New Roman"/>
          <w:color w:val="000000" w:themeColor="text1"/>
          <w:sz w:val="16"/>
          <w:szCs w:val="16"/>
        </w:rPr>
        <w:softHyphen/>
        <w:t xml:space="preserve">ких танков должны иметь 51 боевой и 4 </w:t>
      </w:r>
      <w:proofErr w:type="spellStart"/>
      <w:r w:rsidRPr="00A259BD">
        <w:rPr>
          <w:rFonts w:ascii="Times New Roman" w:hAnsi="Times New Roman"/>
          <w:color w:val="000000" w:themeColor="text1"/>
          <w:sz w:val="16"/>
          <w:szCs w:val="16"/>
        </w:rPr>
        <w:t>радиотанка</w:t>
      </w:r>
      <w:proofErr w:type="spellEnd"/>
      <w:r w:rsidRPr="00A259BD">
        <w:rPr>
          <w:rFonts w:ascii="Times New Roman" w:hAnsi="Times New Roman"/>
          <w:color w:val="000000" w:themeColor="text1"/>
          <w:sz w:val="16"/>
          <w:szCs w:val="16"/>
        </w:rPr>
        <w:t>. Батальон легких танков будет иметь в несколь</w:t>
      </w:r>
      <w:r w:rsidRPr="00A259BD">
        <w:rPr>
          <w:rFonts w:ascii="Times New Roman" w:hAnsi="Times New Roman"/>
          <w:color w:val="000000" w:themeColor="text1"/>
          <w:sz w:val="16"/>
          <w:szCs w:val="16"/>
        </w:rPr>
        <w:softHyphen/>
        <w:t>ко раз большую огневую силу, чем обычный пехотный батальон, имея наполовину меньше людей, чем последние.</w:t>
      </w:r>
    </w:p>
    <w:p w14:paraId="090AB0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Другое изменение, предсказываемое данным наставлением, состоит в том, что основным такти</w:t>
      </w:r>
      <w:r w:rsidRPr="00A259BD">
        <w:rPr>
          <w:rFonts w:ascii="Times New Roman" w:hAnsi="Times New Roman"/>
          <w:color w:val="000000" w:themeColor="text1"/>
          <w:sz w:val="16"/>
          <w:szCs w:val="16"/>
        </w:rPr>
        <w:softHyphen/>
        <w:t>ческим соединением в армии должна стать легкая, подвижная бригада вместо тяжеловесной дивизии.</w:t>
      </w:r>
    </w:p>
    <w:p w14:paraId="7A1E0A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Серьезно ставится вопрос об отказе от составления соединения из разнообразных машин. Но</w:t>
      </w:r>
      <w:r w:rsidRPr="00A259BD">
        <w:rPr>
          <w:rFonts w:ascii="Times New Roman" w:hAnsi="Times New Roman"/>
          <w:color w:val="000000" w:themeColor="text1"/>
          <w:sz w:val="16"/>
          <w:szCs w:val="16"/>
        </w:rPr>
        <w:softHyphen/>
        <w:t>вые соединения должны состоять из машин одинаковых по типу, скорости движения и способности двигаться вне дорог.</w:t>
      </w:r>
    </w:p>
    <w:p w14:paraId="6D8B7B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 должны быть смешаны в одном соединении танки, трактора, небронированные </w:t>
      </w:r>
      <w:proofErr w:type="spellStart"/>
      <w:r w:rsidRPr="00A259BD">
        <w:rPr>
          <w:rFonts w:ascii="Times New Roman" w:hAnsi="Times New Roman"/>
          <w:color w:val="000000" w:themeColor="text1"/>
          <w:sz w:val="16"/>
          <w:szCs w:val="16"/>
        </w:rPr>
        <w:t>шестиколес-ные</w:t>
      </w:r>
      <w:proofErr w:type="spellEnd"/>
      <w:r w:rsidRPr="00A259BD">
        <w:rPr>
          <w:rFonts w:ascii="Times New Roman" w:hAnsi="Times New Roman"/>
          <w:color w:val="000000" w:themeColor="text1"/>
          <w:sz w:val="16"/>
          <w:szCs w:val="16"/>
        </w:rPr>
        <w:t xml:space="preserve"> автомобили, не защищенная броней пехота и т. д., так как иначе наиболее сильные и быстроход</w:t>
      </w:r>
      <w:r w:rsidRPr="00A259BD">
        <w:rPr>
          <w:rFonts w:ascii="Times New Roman" w:hAnsi="Times New Roman"/>
          <w:color w:val="000000" w:themeColor="text1"/>
          <w:sz w:val="16"/>
          <w:szCs w:val="16"/>
        </w:rPr>
        <w:softHyphen/>
        <w:t>ные машины будут связаны в своих действиях слабыми и тихоходными. Для соединений, имеющих разные машины, должны даваться разные дороги, если же это невозможно, то эти части должны двигаться отдельно скачками, используя полностью свою нормальную скорость движения.</w:t>
      </w:r>
    </w:p>
    <w:p w14:paraId="1AFDF3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Дальше в книге говорится, что бронированные соединения должны наступать на широком фронте, чтобы окружить противника, а не прорывать его, что лучше и правильнее отрезать против</w:t>
      </w:r>
      <w:r w:rsidRPr="00A259BD">
        <w:rPr>
          <w:rFonts w:ascii="Times New Roman" w:hAnsi="Times New Roman"/>
          <w:color w:val="000000" w:themeColor="text1"/>
          <w:sz w:val="16"/>
          <w:szCs w:val="16"/>
        </w:rPr>
        <w:softHyphen/>
        <w:t>ника от его снабжения, в то же время, обстреливая его, издали, чем попытаться добиться быстрого решения атаками, сомнительными по успеху.</w:t>
      </w:r>
    </w:p>
    <w:p w14:paraId="1B7B0BD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Корреспондент "Дэйли Телеграф" пишет, что наилучшим качеством книги является то, что в ней больше можно черпать материала для приложения искусства войны, чем в какой бы то ни было кни</w:t>
      </w:r>
      <w:r w:rsidRPr="00A259BD">
        <w:rPr>
          <w:rFonts w:ascii="Times New Roman" w:hAnsi="Times New Roman"/>
          <w:color w:val="000000" w:themeColor="text1"/>
          <w:sz w:val="16"/>
          <w:szCs w:val="16"/>
        </w:rPr>
        <w:softHyphen/>
        <w:t>ге, написанной до сих пор.</w:t>
      </w:r>
    </w:p>
    <w:p w14:paraId="5A8233E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Если до сих пор уставы учили, что войска должны наступать смело и без всякой защиты на про</w:t>
      </w:r>
      <w:r w:rsidRPr="00A259BD">
        <w:rPr>
          <w:rFonts w:ascii="Times New Roman" w:hAnsi="Times New Roman"/>
          <w:color w:val="000000" w:themeColor="text1"/>
          <w:sz w:val="16"/>
          <w:szCs w:val="16"/>
        </w:rPr>
        <w:softHyphen/>
        <w:t>тивника, то настоящее наставление указывает, что броневая защита и подвижность должны быть ис</w:t>
      </w:r>
      <w:r w:rsidRPr="00A259BD">
        <w:rPr>
          <w:rFonts w:ascii="Times New Roman" w:hAnsi="Times New Roman"/>
          <w:color w:val="000000" w:themeColor="text1"/>
          <w:sz w:val="16"/>
          <w:szCs w:val="16"/>
        </w:rPr>
        <w:softHyphen/>
        <w:t>пользованы для того, чтобы устраивать противнику всяческие ловушки. Наконец-то и воображение человека получает официальное признание и соответствующее внимание, которое до сих пор уделя</w:t>
      </w:r>
      <w:r w:rsidRPr="00A259BD">
        <w:rPr>
          <w:rFonts w:ascii="Times New Roman" w:hAnsi="Times New Roman"/>
          <w:color w:val="000000" w:themeColor="text1"/>
          <w:sz w:val="16"/>
          <w:szCs w:val="16"/>
        </w:rPr>
        <w:softHyphen/>
        <w:t>лось оружию.</w:t>
      </w:r>
    </w:p>
    <w:p w14:paraId="500F49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РГВА. Ф. 4. Оп. 2. Д. 504. Л. 28 - 29. Копия (11210).</w:t>
      </w:r>
    </w:p>
    <w:p w14:paraId="7577AF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A0EF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июля 1929 г. решением Политбюро ЦК ВКП(б) ассигнова</w:t>
      </w:r>
      <w:r w:rsidRPr="00A259BD">
        <w:rPr>
          <w:rFonts w:ascii="Times New Roman" w:hAnsi="Times New Roman"/>
          <w:color w:val="000000" w:themeColor="text1"/>
          <w:sz w:val="16"/>
          <w:szCs w:val="16"/>
        </w:rPr>
        <w:softHyphen/>
        <w:t xml:space="preserve">ния на пятилетнюю программу ВМС РККА </w:t>
      </w:r>
      <w:proofErr w:type="spellStart"/>
      <w:r w:rsidRPr="00A259BD">
        <w:rPr>
          <w:rFonts w:ascii="Times New Roman" w:hAnsi="Times New Roman"/>
          <w:color w:val="000000" w:themeColor="text1"/>
          <w:sz w:val="16"/>
          <w:szCs w:val="16"/>
        </w:rPr>
        <w:t>бьши</w:t>
      </w:r>
      <w:proofErr w:type="spellEnd"/>
      <w:r w:rsidRPr="00A259BD">
        <w:rPr>
          <w:rFonts w:ascii="Times New Roman" w:hAnsi="Times New Roman"/>
          <w:color w:val="000000" w:themeColor="text1"/>
          <w:sz w:val="16"/>
          <w:szCs w:val="16"/>
        </w:rPr>
        <w:t xml:space="preserve"> сокращены на 84 млн руб., перенацеленных на производство танков. Несмотря на прямое обращение </w:t>
      </w:r>
      <w:proofErr w:type="spellStart"/>
      <w:r w:rsidRPr="00A259BD">
        <w:rPr>
          <w:rFonts w:ascii="Times New Roman" w:hAnsi="Times New Roman"/>
          <w:color w:val="000000" w:themeColor="text1"/>
          <w:sz w:val="16"/>
          <w:szCs w:val="16"/>
        </w:rPr>
        <w:t>Муклевича</w:t>
      </w:r>
      <w:proofErr w:type="spellEnd"/>
      <w:r w:rsidRPr="00A259BD">
        <w:rPr>
          <w:rFonts w:ascii="Times New Roman" w:hAnsi="Times New Roman"/>
          <w:color w:val="000000" w:themeColor="text1"/>
          <w:sz w:val="16"/>
          <w:szCs w:val="16"/>
        </w:rPr>
        <w:t xml:space="preserve"> к И. В. Сталину, ставшему к этому времени действительным главой государства, сокращение было подтверждено решением СТО от 30 января 1930 г. Это заставило отложить строительство второй серии сторожевых кораблей и эс</w:t>
      </w:r>
      <w:r w:rsidRPr="00A259BD">
        <w:rPr>
          <w:rFonts w:ascii="Times New Roman" w:hAnsi="Times New Roman"/>
          <w:color w:val="000000" w:themeColor="text1"/>
          <w:sz w:val="16"/>
          <w:szCs w:val="16"/>
        </w:rPr>
        <w:softHyphen/>
        <w:t>минцев (3898).</w:t>
      </w:r>
    </w:p>
    <w:p w14:paraId="37FE63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5424A39" w14:textId="77777777" w:rsidR="002D48EF"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4B2641E6" w14:textId="77777777" w:rsidR="002D48EF" w:rsidRPr="00A259BD" w:rsidRDefault="002D48E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BB028D" w14:textId="77777777" w:rsidR="002D48EF" w:rsidRPr="00A259BD" w:rsidRDefault="002D48EF" w:rsidP="009236E3">
      <w:pPr>
        <w:pStyle w:val="a3"/>
        <w:rPr>
          <w:color w:val="000000" w:themeColor="text1"/>
          <w:lang w:val="ru-RU"/>
        </w:rPr>
      </w:pPr>
      <w:r w:rsidRPr="00A259BD">
        <w:rPr>
          <w:color w:val="000000" w:themeColor="text1"/>
          <w:lang w:val="ru-RU"/>
        </w:rPr>
        <w:lastRenderedPageBreak/>
        <w:t>17 июля 1929 в разведсвод</w:t>
      </w:r>
      <w:r w:rsidRPr="00A259BD">
        <w:rPr>
          <w:color w:val="000000" w:themeColor="text1"/>
          <w:lang w:val="ru-RU"/>
        </w:rPr>
        <w:softHyphen/>
        <w:t>ке сообщили, что китайцы начали переброску авиации ближе к линии фрон</w:t>
      </w:r>
      <w:r w:rsidRPr="00A259BD">
        <w:rPr>
          <w:color w:val="000000" w:themeColor="text1"/>
          <w:lang w:val="ru-RU"/>
        </w:rPr>
        <w:softHyphen/>
        <w:t>та, отправив вместе с наземными войсками в район ст. Маньчжурия — Хайлар отряд самолётов и на ст. Пограничная два самолёта (15820).</w:t>
      </w:r>
    </w:p>
    <w:p w14:paraId="425DA793" w14:textId="77777777" w:rsidR="002D48EF" w:rsidRPr="00A259BD" w:rsidRDefault="002D48EF" w:rsidP="009236E3">
      <w:pPr>
        <w:pStyle w:val="a3"/>
        <w:rPr>
          <w:color w:val="000000" w:themeColor="text1"/>
          <w:lang w:val="ru-RU"/>
        </w:rPr>
      </w:pPr>
    </w:p>
    <w:p w14:paraId="1DF28FC4"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7D82121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1FDE06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июля 1929 вышло постановление РВС СССР о создании опытной механизированной части (4963 ).</w:t>
      </w:r>
    </w:p>
    <w:p w14:paraId="0397225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0D49A9"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10CFB20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EC7D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июля 1929 мы разорвали дип. отношения с Китаем (1348,242).</w:t>
      </w:r>
    </w:p>
    <w:p w14:paraId="2DA4AB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145B46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июля 1929 СССР разорвал дипломатические отношения с Китаем из-за конфликта по поводу КВЖД (4962).</w:t>
      </w:r>
    </w:p>
    <w:p w14:paraId="0A27B69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9424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июля 1929 в разведсводке от сооб</w:t>
      </w:r>
      <w:r w:rsidRPr="00A259BD">
        <w:rPr>
          <w:rFonts w:ascii="Times New Roman" w:hAnsi="Times New Roman"/>
          <w:color w:val="000000" w:themeColor="text1"/>
          <w:sz w:val="16"/>
          <w:szCs w:val="16"/>
        </w:rPr>
        <w:softHyphen/>
        <w:t>щили, что китайцы начали переброску авиации ближе к линии фронта, отпра</w:t>
      </w:r>
      <w:r w:rsidRPr="00A259BD">
        <w:rPr>
          <w:rFonts w:ascii="Times New Roman" w:hAnsi="Times New Roman"/>
          <w:color w:val="000000" w:themeColor="text1"/>
          <w:sz w:val="16"/>
          <w:szCs w:val="16"/>
        </w:rPr>
        <w:softHyphen/>
        <w:t>вив вместе с наземными войсками в район ст. Маньчжурия - Хайлар отряд самолетов и на ст. Пограничная два самолета. 19 июля отмечалась вероят</w:t>
      </w:r>
      <w:r w:rsidRPr="00A259BD">
        <w:rPr>
          <w:rFonts w:ascii="Times New Roman" w:hAnsi="Times New Roman"/>
          <w:color w:val="000000" w:themeColor="text1"/>
          <w:sz w:val="16"/>
          <w:szCs w:val="16"/>
        </w:rPr>
        <w:softHyphen/>
        <w:t>ная переброска авиаотряда предполо</w:t>
      </w:r>
      <w:r w:rsidRPr="00A259BD">
        <w:rPr>
          <w:rFonts w:ascii="Times New Roman" w:hAnsi="Times New Roman"/>
          <w:color w:val="000000" w:themeColor="text1"/>
          <w:sz w:val="16"/>
          <w:szCs w:val="16"/>
        </w:rPr>
        <w:softHyphen/>
        <w:t xml:space="preserve">жительно из 10 машин в </w:t>
      </w:r>
      <w:proofErr w:type="spellStart"/>
      <w:r w:rsidRPr="00A259BD">
        <w:rPr>
          <w:rFonts w:ascii="Times New Roman" w:hAnsi="Times New Roman"/>
          <w:color w:val="000000" w:themeColor="text1"/>
          <w:sz w:val="16"/>
          <w:szCs w:val="16"/>
        </w:rPr>
        <w:t>Баргу</w:t>
      </w:r>
      <w:proofErr w:type="spellEnd"/>
      <w:r w:rsidRPr="00A259BD">
        <w:rPr>
          <w:rFonts w:ascii="Times New Roman" w:hAnsi="Times New Roman"/>
          <w:color w:val="000000" w:themeColor="text1"/>
          <w:sz w:val="16"/>
          <w:szCs w:val="16"/>
        </w:rPr>
        <w:t xml:space="preserve"> и двух самолетов на ст. Пограничная (под</w:t>
      </w:r>
      <w:r w:rsidRPr="00A259BD">
        <w:rPr>
          <w:rFonts w:ascii="Times New Roman" w:hAnsi="Times New Roman"/>
          <w:color w:val="000000" w:themeColor="text1"/>
          <w:sz w:val="16"/>
          <w:szCs w:val="16"/>
        </w:rPr>
        <w:softHyphen/>
        <w:t xml:space="preserve">черкивалось, что сведения требовали проверки). 26 июля, по данным ОГПУ, китайские войска на </w:t>
      </w:r>
      <w:proofErr w:type="spellStart"/>
      <w:r w:rsidRPr="00A259BD">
        <w:rPr>
          <w:rFonts w:ascii="Times New Roman" w:hAnsi="Times New Roman"/>
          <w:color w:val="000000" w:themeColor="text1"/>
          <w:sz w:val="16"/>
          <w:szCs w:val="16"/>
        </w:rPr>
        <w:t>Сунгарийском</w:t>
      </w:r>
      <w:proofErr w:type="spellEnd"/>
      <w:r w:rsidRPr="00A259BD">
        <w:rPr>
          <w:rFonts w:ascii="Times New Roman" w:hAnsi="Times New Roman"/>
          <w:color w:val="000000" w:themeColor="text1"/>
          <w:sz w:val="16"/>
          <w:szCs w:val="16"/>
        </w:rPr>
        <w:t xml:space="preserve"> направлении усилили авиаотрядом в семь самолетов, их туда привезли ра</w:t>
      </w:r>
      <w:r w:rsidRPr="00A259BD">
        <w:rPr>
          <w:rFonts w:ascii="Times New Roman" w:hAnsi="Times New Roman"/>
          <w:color w:val="000000" w:themeColor="text1"/>
          <w:sz w:val="16"/>
          <w:szCs w:val="16"/>
        </w:rPr>
        <w:softHyphen/>
        <w:t>зобранными. По агентурным данным, также требовавшим проверки, 3 авгу</w:t>
      </w:r>
      <w:r w:rsidRPr="00A259BD">
        <w:rPr>
          <w:rFonts w:ascii="Times New Roman" w:hAnsi="Times New Roman"/>
          <w:color w:val="000000" w:themeColor="text1"/>
          <w:sz w:val="16"/>
          <w:szCs w:val="16"/>
        </w:rPr>
        <w:softHyphen/>
        <w:t>ста через Хайлар на запад проследо</w:t>
      </w:r>
      <w:r w:rsidRPr="00A259BD">
        <w:rPr>
          <w:rFonts w:ascii="Times New Roman" w:hAnsi="Times New Roman"/>
          <w:color w:val="000000" w:themeColor="text1"/>
          <w:sz w:val="16"/>
          <w:szCs w:val="16"/>
        </w:rPr>
        <w:softHyphen/>
        <w:t>вали еще три разобранных самолета. Уточнить эти данные по китайским ис</w:t>
      </w:r>
      <w:r w:rsidRPr="00A259BD">
        <w:rPr>
          <w:rFonts w:ascii="Times New Roman" w:hAnsi="Times New Roman"/>
          <w:color w:val="000000" w:themeColor="text1"/>
          <w:sz w:val="16"/>
          <w:szCs w:val="16"/>
        </w:rPr>
        <w:softHyphen/>
        <w:t>точникам не удалось (11216).</w:t>
      </w:r>
    </w:p>
    <w:p w14:paraId="3E50FE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418BE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1A04D3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DBE46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июля 1929 близ Оберна (шт. Массачусетс, США) Robert </w:t>
      </w:r>
      <w:proofErr w:type="spellStart"/>
      <w:r w:rsidRPr="00A259BD">
        <w:rPr>
          <w:rFonts w:ascii="Times New Roman" w:hAnsi="Times New Roman"/>
          <w:color w:val="000000" w:themeColor="text1"/>
          <w:sz w:val="16"/>
          <w:szCs w:val="16"/>
        </w:rPr>
        <w:t>Goddard</w:t>
      </w:r>
      <w:proofErr w:type="spellEnd"/>
      <w:r w:rsidRPr="00A259BD">
        <w:rPr>
          <w:rFonts w:ascii="Times New Roman" w:hAnsi="Times New Roman"/>
          <w:color w:val="000000" w:themeColor="text1"/>
          <w:sz w:val="16"/>
          <w:szCs w:val="16"/>
        </w:rPr>
        <w:t xml:space="preserve"> осуществил очередной пуск ракеты с ЖРД и научной аппаратурой и она достигла высоты 300 м (2990).</w:t>
      </w:r>
    </w:p>
    <w:p w14:paraId="27AF76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DE938D" w14:textId="77777777" w:rsidR="00D3368F" w:rsidRPr="00441F34" w:rsidRDefault="00D3368F" w:rsidP="00D3368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17 июля 1929  г. состоялся четвертый пуск ракеты с  ЖРД. Годдард оснастил её барометром, термометром и  небольшой кинокамерой для записи их показаний во время полета. Ракета длиной 335 см достигла высоты 27–28 м за 18,5 секунд и пролетела 52 м. Однако запуск был настолько шумным и  ярким, что привлек большое внимание публики. Многие очевидцы считали, что здесь разбился самолет. Местные пожарные потребовали от Годдарда прекратить запуски на площадке в Оберне. В декабре 1929 г. он устроил ракетную площадку в  Кэмп </w:t>
      </w:r>
      <w:proofErr w:type="spellStart"/>
      <w:r w:rsidRPr="00441F34">
        <w:rPr>
          <w:rFonts w:ascii="Times New Roman" w:hAnsi="Times New Roman"/>
          <w:color w:val="0070C0"/>
          <w:sz w:val="16"/>
          <w:szCs w:val="16"/>
        </w:rPr>
        <w:t>Девенсе</w:t>
      </w:r>
      <w:proofErr w:type="spellEnd"/>
      <w:r w:rsidRPr="00441F34">
        <w:rPr>
          <w:rFonts w:ascii="Times New Roman" w:hAnsi="Times New Roman"/>
          <w:color w:val="0070C0"/>
          <w:sz w:val="16"/>
          <w:szCs w:val="16"/>
        </w:rPr>
        <w:t xml:space="preserve"> (Camp </w:t>
      </w:r>
      <w:proofErr w:type="spellStart"/>
      <w:r w:rsidRPr="00441F34">
        <w:rPr>
          <w:rFonts w:ascii="Times New Roman" w:hAnsi="Times New Roman"/>
          <w:color w:val="0070C0"/>
          <w:sz w:val="16"/>
          <w:szCs w:val="16"/>
        </w:rPr>
        <w:t>Devens</w:t>
      </w:r>
      <w:proofErr w:type="spellEnd"/>
      <w:r w:rsidRPr="00441F34">
        <w:rPr>
          <w:rFonts w:ascii="Times New Roman" w:hAnsi="Times New Roman"/>
          <w:color w:val="0070C0"/>
          <w:sz w:val="16"/>
          <w:szCs w:val="16"/>
        </w:rPr>
        <w:t>), артиллерийском полигоне примерно в 40 км от Вустера. Там он провел 16 стендовых испытаний нового двигателя (23372).</w:t>
      </w:r>
    </w:p>
    <w:p w14:paraId="64CF5D90" w14:textId="77777777" w:rsidR="00D3368F" w:rsidRPr="00441F34" w:rsidRDefault="00D3368F" w:rsidP="00D3368F">
      <w:pPr>
        <w:spacing w:after="0" w:line="240" w:lineRule="auto"/>
        <w:jc w:val="both"/>
        <w:rPr>
          <w:rFonts w:ascii="Times New Roman" w:hAnsi="Times New Roman"/>
          <w:color w:val="0070C0"/>
          <w:sz w:val="16"/>
          <w:szCs w:val="16"/>
        </w:rPr>
      </w:pPr>
    </w:p>
    <w:p w14:paraId="5FCAC89B" w14:textId="77777777" w:rsidR="00A4555C" w:rsidRPr="00A259BD" w:rsidRDefault="00A4555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июля 1929 Delta Air Lines начинает полеты как коммерческая авиакомпания (20806).</w:t>
      </w:r>
    </w:p>
    <w:p w14:paraId="017EC046" w14:textId="77777777" w:rsidR="00A4555C" w:rsidRPr="00A259BD" w:rsidRDefault="00A4555C" w:rsidP="009236E3">
      <w:pPr>
        <w:spacing w:after="0" w:line="240" w:lineRule="auto"/>
        <w:jc w:val="both"/>
        <w:rPr>
          <w:rFonts w:ascii="Times New Roman" w:hAnsi="Times New Roman"/>
          <w:color w:val="000000" w:themeColor="text1"/>
          <w:sz w:val="16"/>
          <w:szCs w:val="16"/>
        </w:rPr>
      </w:pPr>
    </w:p>
    <w:p w14:paraId="1FC3B669" w14:textId="77777777" w:rsidR="00030F16" w:rsidRPr="00A259BD" w:rsidRDefault="00030F16"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17 июля 1929 Великобритании, где в мае 1929 г. Лейбористская партия пришла к власти с обещанием восстановить дипломатические отношения с СССР, в лице правительство Дж. Р. Макдональда, обратилось к Москве с официальным предложением восстановить дипломатические отношения. Сталин не без оснований полагал, что "сейчас </w:t>
      </w:r>
      <w:proofErr w:type="spellStart"/>
      <w:r w:rsidRPr="00A259BD">
        <w:rPr>
          <w:rFonts w:ascii="Times New Roman" w:eastAsia="Times New Roman" w:hAnsi="Times New Roman"/>
          <w:color w:val="000000" w:themeColor="text1"/>
          <w:sz w:val="16"/>
          <w:szCs w:val="16"/>
          <w:lang w:eastAsia="ru-RU"/>
        </w:rPr>
        <w:t>Гендерсон</w:t>
      </w:r>
      <w:proofErr w:type="spellEnd"/>
      <w:r w:rsidRPr="00A259BD">
        <w:rPr>
          <w:rFonts w:ascii="Times New Roman" w:eastAsia="Times New Roman" w:hAnsi="Times New Roman"/>
          <w:color w:val="000000" w:themeColor="text1"/>
          <w:sz w:val="16"/>
          <w:szCs w:val="16"/>
          <w:lang w:eastAsia="ru-RU"/>
        </w:rPr>
        <w:t xml:space="preserve"> и Макдональд сидят у нас в руках" (Письмо Сталина Молотову, 9-08.1929 // Письма И. В. Сталина В. М. Молотову, 1925-1936. С 140.) (22725).</w:t>
      </w:r>
    </w:p>
    <w:p w14:paraId="3239A2AD" w14:textId="77777777" w:rsidR="00030F16" w:rsidRPr="00A259BD" w:rsidRDefault="00030F16" w:rsidP="009236E3">
      <w:pPr>
        <w:shd w:val="clear" w:color="auto" w:fill="FFFFFF"/>
        <w:spacing w:after="0" w:line="240" w:lineRule="auto"/>
        <w:jc w:val="both"/>
        <w:rPr>
          <w:rFonts w:ascii="Times New Roman" w:hAnsi="Times New Roman"/>
          <w:color w:val="000000" w:themeColor="text1"/>
          <w:sz w:val="16"/>
          <w:szCs w:val="16"/>
        </w:rPr>
      </w:pPr>
    </w:p>
    <w:p w14:paraId="1166A28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975FD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6148BB6" w14:textId="77777777" w:rsidR="00C27B37" w:rsidRPr="00A259BD" w:rsidRDefault="00C27B37" w:rsidP="009236E3">
      <w:pPr>
        <w:spacing w:after="0" w:line="240" w:lineRule="auto"/>
        <w:jc w:val="both"/>
        <w:rPr>
          <w:rFonts w:ascii="Times New Roman" w:hAnsi="Times New Roman"/>
          <w:color w:val="000000" w:themeColor="text1"/>
          <w:sz w:val="16"/>
          <w:szCs w:val="16"/>
          <w:lang w:eastAsia="ru-RU" w:bidi="ru-RU"/>
        </w:rPr>
      </w:pPr>
      <w:r w:rsidRPr="00A259BD">
        <w:rPr>
          <w:rFonts w:ascii="Times New Roman" w:hAnsi="Times New Roman"/>
          <w:color w:val="000000" w:themeColor="text1"/>
          <w:sz w:val="16"/>
          <w:szCs w:val="16"/>
          <w:lang w:eastAsia="ru-RU" w:bidi="ru-RU"/>
        </w:rPr>
        <w:t xml:space="preserve">18 июля 1929 года в справке Техническо-эксплуатационной инспекции № 461/с, в частности говорилось: «По вопросу </w:t>
      </w:r>
      <w:proofErr w:type="spellStart"/>
      <w:r w:rsidRPr="00A259BD">
        <w:rPr>
          <w:rFonts w:ascii="Times New Roman" w:hAnsi="Times New Roman"/>
          <w:color w:val="000000" w:themeColor="text1"/>
          <w:sz w:val="16"/>
          <w:szCs w:val="16"/>
          <w:lang w:eastAsia="ru-RU" w:bidi="ru-RU"/>
        </w:rPr>
        <w:t>эксплоатации</w:t>
      </w:r>
      <w:proofErr w:type="spellEnd"/>
      <w:r w:rsidRPr="00A259BD">
        <w:rPr>
          <w:rFonts w:ascii="Times New Roman" w:hAnsi="Times New Roman"/>
          <w:color w:val="000000" w:themeColor="text1"/>
          <w:sz w:val="16"/>
          <w:szCs w:val="16"/>
          <w:lang w:eastAsia="ru-RU" w:bidi="ru-RU"/>
        </w:rPr>
        <w:t xml:space="preserve"> самолета ФД</w:t>
      </w:r>
      <w:r w:rsidRPr="00A259BD">
        <w:rPr>
          <w:rFonts w:ascii="Times New Roman" w:hAnsi="Times New Roman"/>
          <w:color w:val="000000" w:themeColor="text1"/>
          <w:sz w:val="16"/>
          <w:szCs w:val="16"/>
          <w:lang w:bidi="en-US"/>
        </w:rPr>
        <w:t>-</w:t>
      </w:r>
      <w:r w:rsidRPr="00A259BD">
        <w:rPr>
          <w:rFonts w:ascii="Times New Roman" w:hAnsi="Times New Roman"/>
          <w:color w:val="000000" w:themeColor="text1"/>
          <w:sz w:val="16"/>
          <w:szCs w:val="16"/>
          <w:lang w:val="en-US" w:bidi="en-US"/>
        </w:rPr>
        <w:t>XI</w:t>
      </w:r>
      <w:r w:rsidRPr="00A259BD">
        <w:rPr>
          <w:rFonts w:ascii="Times New Roman" w:hAnsi="Times New Roman"/>
          <w:color w:val="000000" w:themeColor="text1"/>
          <w:sz w:val="16"/>
          <w:szCs w:val="16"/>
          <w:lang w:bidi="en-US"/>
        </w:rPr>
        <w:t xml:space="preserve"> </w:t>
      </w:r>
      <w:r w:rsidRPr="00A259BD">
        <w:rPr>
          <w:rFonts w:ascii="Times New Roman" w:hAnsi="Times New Roman"/>
          <w:color w:val="000000" w:themeColor="text1"/>
          <w:sz w:val="16"/>
          <w:szCs w:val="16"/>
          <w:lang w:eastAsia="ru-RU" w:bidi="ru-RU"/>
        </w:rPr>
        <w:t>мы имеем: 1) Техническое описание самолета ФД</w:t>
      </w:r>
      <w:r w:rsidRPr="00A259BD">
        <w:rPr>
          <w:rFonts w:ascii="Times New Roman" w:hAnsi="Times New Roman"/>
          <w:color w:val="000000" w:themeColor="text1"/>
          <w:sz w:val="16"/>
          <w:szCs w:val="16"/>
          <w:lang w:bidi="en-US"/>
        </w:rPr>
        <w:t>-</w:t>
      </w:r>
      <w:r w:rsidRPr="00A259BD">
        <w:rPr>
          <w:rFonts w:ascii="Times New Roman" w:hAnsi="Times New Roman"/>
          <w:color w:val="000000" w:themeColor="text1"/>
          <w:sz w:val="16"/>
          <w:szCs w:val="16"/>
          <w:lang w:val="en-US" w:bidi="en-US"/>
        </w:rPr>
        <w:t>XI</w:t>
      </w:r>
      <w:r w:rsidRPr="00A259BD">
        <w:rPr>
          <w:rFonts w:ascii="Times New Roman" w:hAnsi="Times New Roman"/>
          <w:color w:val="000000" w:themeColor="text1"/>
          <w:sz w:val="16"/>
          <w:szCs w:val="16"/>
          <w:lang w:bidi="en-US"/>
        </w:rPr>
        <w:t xml:space="preserve"> </w:t>
      </w:r>
      <w:r w:rsidRPr="00A259BD">
        <w:rPr>
          <w:rFonts w:ascii="Times New Roman" w:hAnsi="Times New Roman"/>
          <w:color w:val="000000" w:themeColor="text1"/>
          <w:sz w:val="16"/>
          <w:szCs w:val="16"/>
          <w:lang w:eastAsia="ru-RU" w:bidi="ru-RU"/>
        </w:rPr>
        <w:t>(из</w:t>
      </w:r>
      <w:r w:rsidRPr="00A259BD">
        <w:rPr>
          <w:rFonts w:ascii="Times New Roman" w:hAnsi="Times New Roman"/>
          <w:color w:val="000000" w:themeColor="text1"/>
          <w:sz w:val="16"/>
          <w:szCs w:val="16"/>
          <w:lang w:eastAsia="ru-RU" w:bidi="ru-RU"/>
        </w:rPr>
        <w:softHyphen/>
        <w:t>дание НТК -1924г.) .2) Технические усло</w:t>
      </w:r>
      <w:r w:rsidRPr="00A259BD">
        <w:rPr>
          <w:rFonts w:ascii="Times New Roman" w:hAnsi="Times New Roman"/>
          <w:color w:val="000000" w:themeColor="text1"/>
          <w:sz w:val="16"/>
          <w:szCs w:val="16"/>
          <w:lang w:eastAsia="ru-RU" w:bidi="ru-RU"/>
        </w:rPr>
        <w:softHyphen/>
        <w:t>вия на поставку самолетов ФД</w:t>
      </w:r>
      <w:r w:rsidRPr="00A259BD">
        <w:rPr>
          <w:rFonts w:ascii="Times New Roman" w:hAnsi="Times New Roman"/>
          <w:color w:val="000000" w:themeColor="text1"/>
          <w:sz w:val="16"/>
          <w:szCs w:val="16"/>
          <w:lang w:bidi="en-US"/>
        </w:rPr>
        <w:t>-</w:t>
      </w:r>
      <w:r w:rsidRPr="00A259BD">
        <w:rPr>
          <w:rFonts w:ascii="Times New Roman" w:hAnsi="Times New Roman"/>
          <w:color w:val="000000" w:themeColor="text1"/>
          <w:sz w:val="16"/>
          <w:szCs w:val="16"/>
          <w:lang w:val="en-US" w:bidi="en-US"/>
        </w:rPr>
        <w:t>XI</w:t>
      </w:r>
      <w:r w:rsidRPr="00A259BD">
        <w:rPr>
          <w:rFonts w:ascii="Times New Roman" w:hAnsi="Times New Roman"/>
          <w:color w:val="000000" w:themeColor="text1"/>
          <w:sz w:val="16"/>
          <w:szCs w:val="16"/>
          <w:lang w:bidi="en-US"/>
        </w:rPr>
        <w:t xml:space="preserve"> </w:t>
      </w:r>
      <w:r w:rsidRPr="00A259BD">
        <w:rPr>
          <w:rFonts w:ascii="Times New Roman" w:hAnsi="Times New Roman"/>
          <w:color w:val="000000" w:themeColor="text1"/>
          <w:sz w:val="16"/>
          <w:szCs w:val="16"/>
          <w:lang w:eastAsia="ru-RU" w:bidi="ru-RU"/>
        </w:rPr>
        <w:t xml:space="preserve">(издание НТК -1924г.) ...3) Указания и инструкции ТЭИ по </w:t>
      </w:r>
      <w:proofErr w:type="spellStart"/>
      <w:r w:rsidRPr="00A259BD">
        <w:rPr>
          <w:rFonts w:ascii="Times New Roman" w:hAnsi="Times New Roman"/>
          <w:color w:val="000000" w:themeColor="text1"/>
          <w:sz w:val="16"/>
          <w:szCs w:val="16"/>
          <w:lang w:eastAsia="ru-RU" w:bidi="ru-RU"/>
        </w:rPr>
        <w:t>эксплоатации</w:t>
      </w:r>
      <w:proofErr w:type="spellEnd"/>
      <w:r w:rsidRPr="00A259BD">
        <w:rPr>
          <w:rFonts w:ascii="Times New Roman" w:hAnsi="Times New Roman"/>
          <w:color w:val="000000" w:themeColor="text1"/>
          <w:sz w:val="16"/>
          <w:szCs w:val="16"/>
          <w:lang w:eastAsia="ru-RU" w:bidi="ru-RU"/>
        </w:rPr>
        <w:t xml:space="preserve"> самолета ФД</w:t>
      </w:r>
      <w:r w:rsidRPr="00A259BD">
        <w:rPr>
          <w:rFonts w:ascii="Times New Roman" w:hAnsi="Times New Roman"/>
          <w:color w:val="000000" w:themeColor="text1"/>
          <w:sz w:val="16"/>
          <w:szCs w:val="16"/>
          <w:lang w:bidi="en-US"/>
        </w:rPr>
        <w:t>-</w:t>
      </w:r>
      <w:r w:rsidRPr="00A259BD">
        <w:rPr>
          <w:rFonts w:ascii="Times New Roman" w:hAnsi="Times New Roman"/>
          <w:color w:val="000000" w:themeColor="text1"/>
          <w:sz w:val="16"/>
          <w:szCs w:val="16"/>
          <w:lang w:val="en-US" w:bidi="en-US"/>
        </w:rPr>
        <w:t>XI</w:t>
      </w:r>
      <w:r w:rsidRPr="00A259BD">
        <w:rPr>
          <w:rFonts w:ascii="Times New Roman" w:hAnsi="Times New Roman"/>
          <w:color w:val="000000" w:themeColor="text1"/>
          <w:sz w:val="16"/>
          <w:szCs w:val="16"/>
          <w:lang w:bidi="en-US"/>
        </w:rPr>
        <w:t>»</w:t>
      </w:r>
      <w:r w:rsidRPr="00A259BD">
        <w:rPr>
          <w:rFonts w:ascii="Times New Roman" w:hAnsi="Times New Roman"/>
          <w:color w:val="000000" w:themeColor="text1"/>
          <w:sz w:val="16"/>
          <w:szCs w:val="16"/>
          <w:lang w:eastAsia="ru-RU" w:bidi="ru-RU"/>
        </w:rPr>
        <w:t>. По</w:t>
      </w:r>
      <w:r w:rsidRPr="00A259BD">
        <w:rPr>
          <w:rFonts w:ascii="Times New Roman" w:hAnsi="Times New Roman"/>
          <w:color w:val="000000" w:themeColor="text1"/>
          <w:sz w:val="16"/>
          <w:szCs w:val="16"/>
          <w:lang w:eastAsia="ru-RU" w:bidi="ru-RU"/>
        </w:rPr>
        <w:softHyphen/>
        <w:t>мимо этого, в бюллетенях НК (НТК) публико</w:t>
      </w:r>
      <w:r w:rsidRPr="00A259BD">
        <w:rPr>
          <w:rFonts w:ascii="Times New Roman" w:hAnsi="Times New Roman"/>
          <w:color w:val="000000" w:themeColor="text1"/>
          <w:sz w:val="16"/>
          <w:szCs w:val="16"/>
          <w:lang w:eastAsia="ru-RU" w:bidi="ru-RU"/>
        </w:rPr>
        <w:softHyphen/>
        <w:t>вались рекомендации и пояснения по кон</w:t>
      </w:r>
      <w:r w:rsidRPr="00A259BD">
        <w:rPr>
          <w:rFonts w:ascii="Times New Roman" w:hAnsi="Times New Roman"/>
          <w:color w:val="000000" w:themeColor="text1"/>
          <w:sz w:val="16"/>
          <w:szCs w:val="16"/>
          <w:lang w:eastAsia="ru-RU" w:bidi="ru-RU"/>
        </w:rPr>
        <w:softHyphen/>
        <w:t>кретным эксплуатационным и ремонтным вопросам. В частности, в Бюллетене № 1 была помещена инструкция по уходу и ре</w:t>
      </w:r>
      <w:r w:rsidRPr="00A259BD">
        <w:rPr>
          <w:rFonts w:ascii="Times New Roman" w:hAnsi="Times New Roman"/>
          <w:color w:val="000000" w:themeColor="text1"/>
          <w:sz w:val="16"/>
          <w:szCs w:val="16"/>
          <w:lang w:eastAsia="ru-RU" w:bidi="ru-RU"/>
        </w:rPr>
        <w:softHyphen/>
        <w:t>монту плоскостей ФД</w:t>
      </w:r>
      <w:r w:rsidRPr="00A259BD">
        <w:rPr>
          <w:rFonts w:ascii="Times New Roman" w:hAnsi="Times New Roman"/>
          <w:color w:val="000000" w:themeColor="text1"/>
          <w:sz w:val="16"/>
          <w:szCs w:val="16"/>
          <w:lang w:bidi="en-US"/>
        </w:rPr>
        <w:t>-</w:t>
      </w:r>
      <w:r w:rsidRPr="00A259BD">
        <w:rPr>
          <w:rFonts w:ascii="Times New Roman" w:hAnsi="Times New Roman"/>
          <w:color w:val="000000" w:themeColor="text1"/>
          <w:sz w:val="16"/>
          <w:szCs w:val="16"/>
          <w:lang w:val="en-US" w:bidi="en-US"/>
        </w:rPr>
        <w:t>XI</w:t>
      </w:r>
      <w:r w:rsidRPr="00A259BD">
        <w:rPr>
          <w:rFonts w:ascii="Times New Roman" w:hAnsi="Times New Roman"/>
          <w:color w:val="000000" w:themeColor="text1"/>
          <w:sz w:val="16"/>
          <w:szCs w:val="16"/>
          <w:lang w:bidi="en-US"/>
        </w:rPr>
        <w:t xml:space="preserve"> </w:t>
      </w:r>
      <w:r w:rsidRPr="00A259BD">
        <w:rPr>
          <w:rFonts w:ascii="Times New Roman" w:hAnsi="Times New Roman"/>
          <w:color w:val="000000" w:themeColor="text1"/>
          <w:sz w:val="16"/>
          <w:szCs w:val="16"/>
          <w:lang w:eastAsia="ru-RU" w:bidi="ru-RU"/>
        </w:rPr>
        <w:t>силами и средства</w:t>
      </w:r>
      <w:r w:rsidRPr="00A259BD">
        <w:rPr>
          <w:rFonts w:ascii="Times New Roman" w:hAnsi="Times New Roman"/>
          <w:color w:val="000000" w:themeColor="text1"/>
          <w:sz w:val="16"/>
          <w:szCs w:val="16"/>
          <w:lang w:eastAsia="ru-RU" w:bidi="ru-RU"/>
        </w:rPr>
        <w:softHyphen/>
        <w:t>ми частей ВВС (22722).</w:t>
      </w:r>
    </w:p>
    <w:p w14:paraId="3D40A480" w14:textId="77777777" w:rsidR="00C27B37" w:rsidRPr="00A259BD" w:rsidRDefault="00C27B37" w:rsidP="009236E3">
      <w:pPr>
        <w:spacing w:after="0" w:line="240" w:lineRule="auto"/>
        <w:jc w:val="both"/>
        <w:rPr>
          <w:rFonts w:ascii="Times New Roman" w:hAnsi="Times New Roman"/>
          <w:color w:val="000000" w:themeColor="text1"/>
          <w:sz w:val="16"/>
          <w:szCs w:val="16"/>
        </w:rPr>
      </w:pPr>
    </w:p>
    <w:p w14:paraId="2E796D5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июля 1929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писал письмо № ЦО/4902 в Н.Т.К. - УВВС Н.М.ХАРЛАМОВУ.</w:t>
      </w:r>
    </w:p>
    <w:p w14:paraId="036423A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получении мотора 65 НР для </w:t>
      </w:r>
      <w:proofErr w:type="spellStart"/>
      <w:r w:rsidRPr="00A259BD">
        <w:rPr>
          <w:rFonts w:ascii="Times New Roman" w:hAnsi="Times New Roman"/>
          <w:color w:val="000000" w:themeColor="text1"/>
          <w:sz w:val="16"/>
          <w:szCs w:val="16"/>
        </w:rPr>
        <w:t>самол</w:t>
      </w:r>
      <w:proofErr w:type="spellEnd"/>
      <w:r w:rsidRPr="00A259BD">
        <w:rPr>
          <w:rFonts w:ascii="Times New Roman" w:hAnsi="Times New Roman"/>
          <w:color w:val="000000" w:themeColor="text1"/>
          <w:sz w:val="16"/>
          <w:szCs w:val="16"/>
        </w:rPr>
        <w:t>. КС.</w:t>
      </w:r>
    </w:p>
    <w:p w14:paraId="33B8AC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плане опытного самолетостроения предусмотрена в 1930 г. постройка самолета КС-М65.</w:t>
      </w:r>
    </w:p>
    <w:p w14:paraId="4EB843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Желая меть вполне реальный план по выполнению опытного строительства,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обратился 21.6. в НТК УВВС с просьбой указать, какие моторы намечены НТК УВВС для </w:t>
      </w:r>
      <w:proofErr w:type="spellStart"/>
      <w:r w:rsidRPr="00A259BD">
        <w:rPr>
          <w:rFonts w:ascii="Times New Roman" w:hAnsi="Times New Roman"/>
          <w:color w:val="000000" w:themeColor="text1"/>
          <w:sz w:val="16"/>
          <w:szCs w:val="16"/>
        </w:rPr>
        <w:t>поставовки</w:t>
      </w:r>
      <w:proofErr w:type="spellEnd"/>
      <w:r w:rsidRPr="00A259BD">
        <w:rPr>
          <w:rFonts w:ascii="Times New Roman" w:hAnsi="Times New Roman"/>
          <w:color w:val="000000" w:themeColor="text1"/>
          <w:sz w:val="16"/>
          <w:szCs w:val="16"/>
        </w:rPr>
        <w:t xml:space="preserve"> на первые серии этих самолетов и когда их ожидать.</w:t>
      </w:r>
    </w:p>
    <w:p w14:paraId="0E13798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вышеназванный запрос получилась отписка 1-й секции, что у Треста есть мотор НИМИ 65 НР, </w:t>
      </w:r>
      <w:proofErr w:type="spellStart"/>
      <w:r w:rsidRPr="00A259BD">
        <w:rPr>
          <w:rFonts w:ascii="Times New Roman" w:hAnsi="Times New Roman"/>
          <w:color w:val="000000" w:themeColor="text1"/>
          <w:sz w:val="16"/>
          <w:szCs w:val="16"/>
        </w:rPr>
        <w:t>которы</w:t>
      </w:r>
      <w:proofErr w:type="spellEnd"/>
      <w:r w:rsidRPr="00A259BD">
        <w:rPr>
          <w:rFonts w:ascii="Times New Roman" w:hAnsi="Times New Roman"/>
          <w:color w:val="000000" w:themeColor="text1"/>
          <w:sz w:val="16"/>
          <w:szCs w:val="16"/>
        </w:rPr>
        <w:t xml:space="preserve"> строится на заводе в Запорожье, </w:t>
      </w:r>
      <w:proofErr w:type="spellStart"/>
      <w:r w:rsidRPr="00A259BD">
        <w:rPr>
          <w:rFonts w:ascii="Times New Roman" w:hAnsi="Times New Roman"/>
          <w:color w:val="000000" w:themeColor="text1"/>
          <w:sz w:val="16"/>
          <w:szCs w:val="16"/>
        </w:rPr>
        <w:t>поручениеа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апросить</w:t>
      </w:r>
      <w:proofErr w:type="spellEnd"/>
      <w:r w:rsidRPr="00A259BD">
        <w:rPr>
          <w:rFonts w:ascii="Times New Roman" w:hAnsi="Times New Roman"/>
          <w:color w:val="000000" w:themeColor="text1"/>
          <w:sz w:val="16"/>
          <w:szCs w:val="16"/>
        </w:rPr>
        <w:t>, когда можно получить мотор.</w:t>
      </w:r>
    </w:p>
    <w:p w14:paraId="1C2AD98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Полученную отписку Трест может считать </w:t>
      </w:r>
      <w:proofErr w:type="spellStart"/>
      <w:r w:rsidRPr="00A259BD">
        <w:rPr>
          <w:rFonts w:ascii="Times New Roman" w:hAnsi="Times New Roman"/>
          <w:color w:val="000000" w:themeColor="text1"/>
          <w:sz w:val="16"/>
          <w:szCs w:val="16"/>
        </w:rPr>
        <w:t>толькоко</w:t>
      </w:r>
      <w:proofErr w:type="spellEnd"/>
      <w:r w:rsidRPr="00A259BD">
        <w:rPr>
          <w:rFonts w:ascii="Times New Roman" w:hAnsi="Times New Roman"/>
          <w:color w:val="000000" w:themeColor="text1"/>
          <w:sz w:val="16"/>
          <w:szCs w:val="16"/>
        </w:rPr>
        <w:t xml:space="preserve"> как формальную, а не ответ по существу. </w:t>
      </w:r>
    </w:p>
    <w:p w14:paraId="32E72E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 НАМИ 65 НР еще не испытывался, какие результаты даст не известно. Строить же новый самолет без сведений о моторе... (2339,256).</w:t>
      </w:r>
    </w:p>
    <w:p w14:paraId="69EC58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061EE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4DB81B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FE3B5F9"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июля 1929 состоялось заседание ПБ (Протокол № 89. Особый № 87)</w:t>
      </w:r>
    </w:p>
    <w:p w14:paraId="1DC8D711"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О военной промышленности.</w:t>
      </w:r>
    </w:p>
    <w:p w14:paraId="3CEF7733"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 Сталин).</w:t>
      </w:r>
    </w:p>
    <w:p w14:paraId="49BCB911"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Предложить ВСНХ СССР и ВПУ, в развитие директивы Политбюро от 15.УП.29 г. об улучшении военной промышленности, дать соответствующие директивы по трестам и заводам. Копию директив прислать в ЦК.</w:t>
      </w:r>
    </w:p>
    <w:p w14:paraId="68149D56"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Выписки посланы: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Рухимовичу</w:t>
      </w:r>
      <w:proofErr w:type="spellEnd"/>
      <w:r w:rsidRPr="00A259BD">
        <w:rPr>
          <w:rFonts w:ascii="Times New Roman" w:hAnsi="Times New Roman"/>
          <w:color w:val="000000" w:themeColor="text1"/>
          <w:sz w:val="16"/>
          <w:szCs w:val="16"/>
        </w:rPr>
        <w:t>, Урываеву</w:t>
      </w:r>
    </w:p>
    <w:p w14:paraId="79E4D61D"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июля 1929 состоялось закрытое заседание ПБ</w:t>
      </w:r>
    </w:p>
    <w:p w14:paraId="5AF709A0"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(ПБ от 8.УП.29 г., пр. № 89, п. 22)</w:t>
      </w:r>
    </w:p>
    <w:p w14:paraId="523918F7"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 резолюции комиссии ПБ об обороне страны ут</w:t>
      </w:r>
      <w:r w:rsidRPr="00A259BD">
        <w:rPr>
          <w:rFonts w:ascii="Times New Roman" w:hAnsi="Times New Roman"/>
          <w:color w:val="000000" w:themeColor="text1"/>
          <w:sz w:val="16"/>
          <w:szCs w:val="16"/>
        </w:rPr>
        <w:softHyphen/>
        <w:t xml:space="preserve">вердить (см. при </w:t>
      </w:r>
      <w:proofErr w:type="spellStart"/>
      <w:r w:rsidRPr="00A259BD">
        <w:rPr>
          <w:rFonts w:ascii="Times New Roman" w:hAnsi="Times New Roman"/>
          <w:color w:val="000000" w:themeColor="text1"/>
          <w:sz w:val="16"/>
          <w:szCs w:val="16"/>
        </w:rPr>
        <w:t>ложение</w:t>
      </w:r>
      <w:proofErr w:type="spellEnd"/>
      <w:r w:rsidRPr="00A259BD">
        <w:rPr>
          <w:rFonts w:ascii="Times New Roman" w:hAnsi="Times New Roman"/>
          <w:color w:val="000000" w:themeColor="text1"/>
          <w:sz w:val="16"/>
          <w:szCs w:val="16"/>
        </w:rPr>
        <w:t xml:space="preserve"> № 1).</w:t>
      </w:r>
    </w:p>
    <w:p w14:paraId="737F8D66"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Выписки посланы: Рудзутаку, Ворошилову.</w:t>
      </w:r>
    </w:p>
    <w:p w14:paraId="7F6081CE"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37.- О контрреволюционной </w:t>
      </w:r>
      <w:proofErr w:type="spellStart"/>
      <w:r w:rsidRPr="00A259BD">
        <w:rPr>
          <w:rFonts w:ascii="Times New Roman" w:hAnsi="Times New Roman"/>
          <w:color w:val="000000" w:themeColor="text1"/>
          <w:sz w:val="16"/>
          <w:szCs w:val="16"/>
        </w:rPr>
        <w:t>организации_в</w:t>
      </w:r>
      <w:proofErr w:type="spellEnd"/>
      <w:r w:rsidRPr="00A259BD">
        <w:rPr>
          <w:rFonts w:ascii="Times New Roman" w:hAnsi="Times New Roman"/>
          <w:color w:val="000000" w:themeColor="text1"/>
          <w:sz w:val="16"/>
          <w:szCs w:val="16"/>
        </w:rPr>
        <w:t xml:space="preserve"> военной промышленности.</w:t>
      </w:r>
    </w:p>
    <w:p w14:paraId="3460B080"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Разослать обвинительное заключение ОГПУ </w:t>
      </w:r>
      <w:proofErr w:type="spellStart"/>
      <w:r w:rsidRPr="00A259BD">
        <w:rPr>
          <w:rFonts w:ascii="Times New Roman" w:hAnsi="Times New Roman"/>
          <w:color w:val="000000" w:themeColor="text1"/>
          <w:sz w:val="16"/>
          <w:szCs w:val="16"/>
        </w:rPr>
        <w:t>сленам</w:t>
      </w:r>
      <w:proofErr w:type="spellEnd"/>
      <w:r w:rsidRPr="00A259BD">
        <w:rPr>
          <w:rFonts w:ascii="Times New Roman" w:hAnsi="Times New Roman"/>
          <w:color w:val="000000" w:themeColor="text1"/>
          <w:sz w:val="16"/>
          <w:szCs w:val="16"/>
        </w:rPr>
        <w:t xml:space="preserve"> ЦК и ЦКК, а также хозяйственникам, в том число директорам заво</w:t>
      </w:r>
      <w:r w:rsidRPr="00A259BD">
        <w:rPr>
          <w:rFonts w:ascii="Times New Roman" w:hAnsi="Times New Roman"/>
          <w:color w:val="000000" w:themeColor="text1"/>
          <w:sz w:val="16"/>
          <w:szCs w:val="16"/>
        </w:rPr>
        <w:softHyphen/>
        <w:t xml:space="preserve">дов., в особенности в поенной </w:t>
      </w:r>
      <w:proofErr w:type="spellStart"/>
      <w:r w:rsidRPr="00A259BD">
        <w:rPr>
          <w:rFonts w:ascii="Times New Roman" w:hAnsi="Times New Roman"/>
          <w:color w:val="000000" w:themeColor="text1"/>
          <w:sz w:val="16"/>
          <w:szCs w:val="16"/>
        </w:rPr>
        <w:t>промышлонности</w:t>
      </w:r>
      <w:proofErr w:type="spellEnd"/>
      <w:r w:rsidRPr="00A259BD">
        <w:rPr>
          <w:rFonts w:ascii="Times New Roman" w:hAnsi="Times New Roman"/>
          <w:color w:val="000000" w:themeColor="text1"/>
          <w:sz w:val="16"/>
          <w:szCs w:val="16"/>
        </w:rPr>
        <w:t>.</w:t>
      </w:r>
    </w:p>
    <w:p w14:paraId="7C5FF14B"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Предрешить расстрел руководителей </w:t>
      </w:r>
      <w:proofErr w:type="spellStart"/>
      <w:r w:rsidRPr="00A259BD">
        <w:rPr>
          <w:rFonts w:ascii="Times New Roman" w:hAnsi="Times New Roman"/>
          <w:color w:val="000000" w:themeColor="text1"/>
          <w:sz w:val="16"/>
          <w:szCs w:val="16"/>
        </w:rPr>
        <w:t>контр-ре</w:t>
      </w:r>
      <w:proofErr w:type="spellEnd"/>
      <w:r w:rsidRPr="00A259BD">
        <w:rPr>
          <w:rFonts w:ascii="Times New Roman" w:hAnsi="Times New Roman"/>
          <w:color w:val="000000" w:themeColor="text1"/>
          <w:sz w:val="16"/>
          <w:szCs w:val="16"/>
        </w:rPr>
        <w:t xml:space="preserve"> волю--ион - ноя организации, вредителей в военной </w:t>
      </w:r>
      <w:proofErr w:type="spellStart"/>
      <w:r w:rsidRPr="00A259BD">
        <w:rPr>
          <w:rFonts w:ascii="Times New Roman" w:hAnsi="Times New Roman"/>
          <w:color w:val="000000" w:themeColor="text1"/>
          <w:sz w:val="16"/>
          <w:szCs w:val="16"/>
        </w:rPr>
        <w:t>промышленности,.а</w:t>
      </w:r>
      <w:proofErr w:type="spellEnd"/>
      <w:r w:rsidRPr="00A259BD">
        <w:rPr>
          <w:rFonts w:ascii="Times New Roman" w:hAnsi="Times New Roman"/>
          <w:color w:val="000000" w:themeColor="text1"/>
          <w:sz w:val="16"/>
          <w:szCs w:val="16"/>
        </w:rPr>
        <w:t xml:space="preserve"> сами.”, расстрел отложить до нового решения ЦК о помойте расстрела.</w:t>
      </w:r>
    </w:p>
    <w:p w14:paraId="07B8BF70"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Предложить ОГПУ представить список лиц, подлежащих </w:t>
      </w:r>
      <w:proofErr w:type="spellStart"/>
      <w:r w:rsidRPr="00A259BD">
        <w:rPr>
          <w:rFonts w:ascii="Times New Roman" w:hAnsi="Times New Roman"/>
          <w:color w:val="000000" w:themeColor="text1"/>
          <w:sz w:val="16"/>
          <w:szCs w:val="16"/>
        </w:rPr>
        <w:t>расстрелy</w:t>
      </w:r>
      <w:proofErr w:type="spellEnd"/>
      <w:r w:rsidRPr="00A259BD">
        <w:rPr>
          <w:rFonts w:ascii="Times New Roman" w:hAnsi="Times New Roman"/>
          <w:color w:val="000000" w:themeColor="text1"/>
          <w:sz w:val="16"/>
          <w:szCs w:val="16"/>
        </w:rPr>
        <w:t>, и материалы.</w:t>
      </w:r>
    </w:p>
    <w:p w14:paraId="5594E276"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послана: т. Ягоде.</w:t>
      </w:r>
    </w:p>
    <w:p w14:paraId="4BC09A3D"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w:t>
      </w:r>
    </w:p>
    <w:p w14:paraId="36E9FA0A"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 резолюции комиссии ПБ о военной промышленности утвердить (</w:t>
      </w:r>
      <w:proofErr w:type="spellStart"/>
      <w:r w:rsidRPr="00A259BD">
        <w:rPr>
          <w:rFonts w:ascii="Times New Roman" w:hAnsi="Times New Roman"/>
          <w:color w:val="000000" w:themeColor="text1"/>
          <w:sz w:val="16"/>
          <w:szCs w:val="16"/>
        </w:rPr>
        <w:t>см.приложение</w:t>
      </w:r>
      <w:proofErr w:type="spellEnd"/>
      <w:r w:rsidRPr="00A259BD">
        <w:rPr>
          <w:rFonts w:ascii="Times New Roman" w:hAnsi="Times New Roman"/>
          <w:color w:val="000000" w:themeColor="text1"/>
          <w:sz w:val="16"/>
          <w:szCs w:val="16"/>
        </w:rPr>
        <w:t xml:space="preserve"> 2).</w:t>
      </w:r>
    </w:p>
    <w:p w14:paraId="492A3058"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Выписки посланы: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Ворошилову, </w:t>
      </w:r>
      <w:proofErr w:type="spellStart"/>
      <w:r w:rsidRPr="00A259BD">
        <w:rPr>
          <w:rFonts w:ascii="Times New Roman" w:hAnsi="Times New Roman"/>
          <w:color w:val="000000" w:themeColor="text1"/>
          <w:sz w:val="16"/>
          <w:szCs w:val="16"/>
        </w:rPr>
        <w:t>Рухимовичу</w:t>
      </w:r>
      <w:proofErr w:type="spellEnd"/>
      <w:r w:rsidRPr="00A259BD">
        <w:rPr>
          <w:rFonts w:ascii="Times New Roman" w:hAnsi="Times New Roman"/>
          <w:color w:val="000000" w:themeColor="text1"/>
          <w:sz w:val="16"/>
          <w:szCs w:val="16"/>
        </w:rPr>
        <w:t>, Яковлеву, Рудзутаку  (23082).</w:t>
      </w:r>
    </w:p>
    <w:p w14:paraId="728D6A38" w14:textId="77777777" w:rsidR="00C27B37" w:rsidRPr="00A259BD" w:rsidRDefault="00C27B37" w:rsidP="009236E3">
      <w:pPr>
        <w:spacing w:after="0" w:line="240" w:lineRule="auto"/>
        <w:jc w:val="both"/>
        <w:rPr>
          <w:rFonts w:ascii="Times New Roman" w:hAnsi="Times New Roman"/>
          <w:color w:val="000000" w:themeColor="text1"/>
          <w:sz w:val="16"/>
          <w:szCs w:val="16"/>
        </w:rPr>
      </w:pPr>
    </w:p>
    <w:p w14:paraId="3630E6C6" w14:textId="77777777" w:rsidR="00C27B37" w:rsidRPr="00A259BD" w:rsidRDefault="00C27B37" w:rsidP="009236E3">
      <w:pPr>
        <w:spacing w:after="0" w:line="240" w:lineRule="auto"/>
        <w:jc w:val="both"/>
        <w:rPr>
          <w:rFonts w:ascii="Times New Roman" w:hAnsi="Times New Roman"/>
          <w:color w:val="000000" w:themeColor="text1"/>
          <w:sz w:val="16"/>
          <w:szCs w:val="16"/>
        </w:rPr>
      </w:pPr>
      <w:bookmarkStart w:id="70" w:name="_Hlk75786718"/>
      <w:r w:rsidRPr="00A259BD">
        <w:rPr>
          <w:rFonts w:ascii="Times New Roman" w:hAnsi="Times New Roman"/>
          <w:color w:val="000000" w:themeColor="text1"/>
          <w:sz w:val="16"/>
          <w:szCs w:val="16"/>
        </w:rPr>
        <w:t>18 июля 1929 г.</w:t>
      </w:r>
    </w:p>
    <w:p w14:paraId="0D11FA4C"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 ПОЛИТБЮРО ЦК ВКП(б) «О КОНТРРЕВОЛЮЦИОННОЙ ОРГАНИЗАЦИИ В ВОЕННОЙ ПРОМЫШЛЕННОСТИ»</w:t>
      </w:r>
    </w:p>
    <w:p w14:paraId="05BBEA37"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июля 1929 г.</w:t>
      </w:r>
    </w:p>
    <w:p w14:paraId="1514E0BA"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89, п. 37 — О контрреволюционной организации в военной промышленности.</w:t>
      </w:r>
    </w:p>
    <w:p w14:paraId="5CFE0181"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Разослать обвинительное заключение ОГПУ членам ЦК и ЦКК, а также хозяйственникам, в том числе директорам заводов, в особенности в военной промышленности.</w:t>
      </w:r>
    </w:p>
    <w:p w14:paraId="178CAC13"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Предрешить расстрел руководителей контрреволюционной организации вредителей в военной промышленности, а самый расстрел отложить до нового решения ЦК о моменте расстрела.</w:t>
      </w:r>
    </w:p>
    <w:p w14:paraId="0AB21233"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Предложить ОГПУ представить список лиц, подлежащих расстрелу, и материалы.</w:t>
      </w:r>
    </w:p>
    <w:p w14:paraId="6C70D1F7"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РГАСПИ. Ф. 17. Оп. 162. Д. 7. Л. 99. Подлинник. Машинопись.</w:t>
      </w:r>
    </w:p>
    <w:p w14:paraId="3F33EDB6"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Постановление принято на заседании Политбюро 1S.VII.29 г.</w:t>
      </w:r>
    </w:p>
    <w:p w14:paraId="4633380F"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тексте имеется машинописная помета о рассылке: «Тов. Ягоде» (20775).</w:t>
      </w:r>
    </w:p>
    <w:p w14:paraId="35FA623B" w14:textId="77777777" w:rsidR="00C27B37" w:rsidRPr="00A259BD" w:rsidRDefault="00C27B37" w:rsidP="009236E3">
      <w:pPr>
        <w:spacing w:after="0" w:line="240" w:lineRule="auto"/>
        <w:jc w:val="both"/>
        <w:rPr>
          <w:rFonts w:ascii="Times New Roman" w:hAnsi="Times New Roman"/>
          <w:color w:val="000000" w:themeColor="text1"/>
          <w:sz w:val="16"/>
          <w:szCs w:val="16"/>
        </w:rPr>
      </w:pPr>
    </w:p>
    <w:p w14:paraId="61972F8C"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июля 1929 г.</w:t>
      </w:r>
    </w:p>
    <w:p w14:paraId="0007FDF5"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 ПОЛИТБЮРО ЦК ВКП(б) «О ВОЕННОЙ ПРОМЫШЛЕННОСТИ»</w:t>
      </w:r>
    </w:p>
    <w:p w14:paraId="4DA6494A"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июля 1929 г.</w:t>
      </w:r>
    </w:p>
    <w:p w14:paraId="7F5678F1"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89. п. 38. — О военной промышленности (ПБ от 11.VII.29 г., пр. N9 89,</w:t>
      </w:r>
    </w:p>
    <w:p w14:paraId="336AB3F5"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 11).</w:t>
      </w:r>
    </w:p>
    <w:p w14:paraId="1F8681F7"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 резолюции комиссии ПБ о военной промышленности утвердить (см. приложение N9 2).</w:t>
      </w:r>
    </w:p>
    <w:p w14:paraId="0634B0E8"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ЛУБЯНКА. Январь 1922 — декабрь 1936</w:t>
      </w:r>
    </w:p>
    <w:p w14:paraId="2E737565"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июля 1929 г.</w:t>
      </w:r>
      <w:r w:rsidRPr="00A259BD">
        <w:rPr>
          <w:rFonts w:ascii="Times New Roman" w:hAnsi="Times New Roman"/>
          <w:color w:val="000000" w:themeColor="text1"/>
          <w:sz w:val="16"/>
          <w:szCs w:val="16"/>
        </w:rPr>
        <w:tab/>
        <w:t>ПРИЛОЖЕНИЕ № 2</w:t>
      </w:r>
    </w:p>
    <w:p w14:paraId="1E6B779D"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38. Пр. ПБ № 89</w:t>
      </w:r>
    </w:p>
    <w:p w14:paraId="1BD8864C"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 секретно</w:t>
      </w:r>
    </w:p>
    <w:p w14:paraId="5CA4D74B"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 ПОЛИТБЮРО ЦК ВКП(б) О ВОЕННОЙ ПРОМЫШЛЕННОСТИ</w:t>
      </w:r>
    </w:p>
    <w:p w14:paraId="3AE42F3D"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(Утверждено Политбюро ЦК ВКП(б) 15.VII.1929 г.)</w:t>
      </w:r>
    </w:p>
    <w:p w14:paraId="5EF50C94"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p w14:paraId="79F0664D"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Современная война при ее громадном масштабе, крайней напряженности, глубоко-техническом характере настоятельно требует всемерного развития военно-технических средств борьбы, применения этих средств в массовых количествах, получения их от промышленности в нужные для обороны сроки и постоянного их совершенствования.</w:t>
      </w:r>
    </w:p>
    <w:p w14:paraId="16917E54"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Эти условия ведения войны ставят перед промышленностью уже в мирное время задачу подготовиться к тому, чтобы с объявлением войны быстро развернуть военные производства для максимального удовлетворения потребностей обороны.</w:t>
      </w:r>
    </w:p>
    <w:p w14:paraId="66A814C9"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подготовке промышленности к войне ведущую роль занимает кадровая военная промышленность, на которую возлагаются следующие основные обязанности:</w:t>
      </w:r>
    </w:p>
    <w:p w14:paraId="59324CAB"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 объявлением войны развернуть свои производства в первую очередь с тем, чтобы питать Красную Армию до развертывания остальной промышленности;</w:t>
      </w:r>
    </w:p>
    <w:p w14:paraId="79B41A4E"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поддерживать технику военных производств на уровне требований современной войны;</w:t>
      </w:r>
    </w:p>
    <w:p w14:paraId="0D62088B"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совершенствовать технические средства борьбы, быстро изготовлять новые образцы вооружения, внедрять их в массовое производство в кратчайшие сроки, изучать и распространять опыт и навыки по изготовлению предметов вооружения на заводы гражданской промышленности;</w:t>
      </w:r>
    </w:p>
    <w:p w14:paraId="04EE66AF"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во время мобилизации помогать и содействовать развертыванию родственных производств в гражданской промышленности.</w:t>
      </w:r>
    </w:p>
    <w:p w14:paraId="48E6052A"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Существование в системе советской промышленности специальной военной промышленности с весьма мощными заводами объективно создает преимущество Советского Союза перед буржуазными государствами в деле наилучшей подготовки промышленности к обороне страны.</w:t>
      </w:r>
    </w:p>
    <w:p w14:paraId="3B6101F0"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Однако необходимо констатировать, что военная промышленность до настоящего времени не подготовлена к выполнению возложенных на нее задач и положение с подготовкой ее к обороне находится в неудовлетворительном состоянии.</w:t>
      </w:r>
    </w:p>
    <w:p w14:paraId="13941A53"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Существеннейшими для обороны Союза являются следующие крупнейшие недостатки в работе военной промышленности;</w:t>
      </w:r>
    </w:p>
    <w:p w14:paraId="33C2963B"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громадное преуменьшение мобилизационных мощностей заводов военной промышленности и в связи с этим длительные и не соответствующие интересам обороны сроки развития заводов до удовлетворения минимальных потребностей армии на случай войны, с </w:t>
      </w:r>
      <w:proofErr w:type="spellStart"/>
      <w:r w:rsidRPr="00A259BD">
        <w:rPr>
          <w:rFonts w:ascii="Times New Roman" w:hAnsi="Times New Roman"/>
          <w:color w:val="000000" w:themeColor="text1"/>
          <w:sz w:val="16"/>
          <w:szCs w:val="16"/>
        </w:rPr>
        <w:t>испрашиванием</w:t>
      </w:r>
      <w:proofErr w:type="spellEnd"/>
      <w:r w:rsidRPr="00A259BD">
        <w:rPr>
          <w:rFonts w:ascii="Times New Roman" w:hAnsi="Times New Roman"/>
          <w:color w:val="000000" w:themeColor="text1"/>
          <w:sz w:val="16"/>
          <w:szCs w:val="16"/>
        </w:rPr>
        <w:t xml:space="preserve"> значительно преувеличенных средств на капитальное строительство;</w:t>
      </w:r>
    </w:p>
    <w:p w14:paraId="4B0A1220"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длительность сроков мобилизационного развертывания военных заводов (от 1 до 1,5 лет), что создает весьма опасный разрыв между обеспечением потребностей войны имеющимися запасами и началом подачи на фронт продукции мобилизованной промышленности и приводит к необходимости иметь крупные </w:t>
      </w:r>
      <w:proofErr w:type="spellStart"/>
      <w:r w:rsidRPr="00A259BD">
        <w:rPr>
          <w:rFonts w:ascii="Times New Roman" w:hAnsi="Times New Roman"/>
          <w:color w:val="000000" w:themeColor="text1"/>
          <w:sz w:val="16"/>
          <w:szCs w:val="16"/>
        </w:rPr>
        <w:t>мобзапасы</w:t>
      </w:r>
      <w:proofErr w:type="spellEnd"/>
      <w:r w:rsidRPr="00A259BD">
        <w:rPr>
          <w:rFonts w:ascii="Times New Roman" w:hAnsi="Times New Roman"/>
          <w:color w:val="000000" w:themeColor="text1"/>
          <w:sz w:val="16"/>
          <w:szCs w:val="16"/>
        </w:rPr>
        <w:t>, непосильные для государства;</w:t>
      </w:r>
    </w:p>
    <w:p w14:paraId="5C663468"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наличие диспропорций и узких мест по ряду отраслей военных производств и заводов, как, например, пороховое производство не обеспечено кислотами, а производство порохов в свою очередь не обеспечивает количество заданных выстрелов; производство орудий, пулеметов и винтовок не обеспечено соответствующим количеством специальных сталей, большинство заводов не обеспечено электроэнергией, а военно-химические заводы и паросиловыми установками. Это лишает возможности в настоящее время полностью использовать производственные возможности военных заводов для обороны;</w:t>
      </w:r>
    </w:p>
    <w:p w14:paraId="57F5715E"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выведение до 1927 г. из строя, а в отдельных случаях и прямое разрушение заводов оборонного значения. Примеры: разрушен завод Барановского, разоружены </w:t>
      </w:r>
      <w:proofErr w:type="spellStart"/>
      <w:r w:rsidRPr="00A259BD">
        <w:rPr>
          <w:rFonts w:ascii="Times New Roman" w:hAnsi="Times New Roman"/>
          <w:color w:val="000000" w:themeColor="text1"/>
          <w:sz w:val="16"/>
          <w:szCs w:val="16"/>
        </w:rPr>
        <w:t>Бачмановский</w:t>
      </w:r>
      <w:proofErr w:type="spellEnd"/>
      <w:r w:rsidRPr="00A259BD">
        <w:rPr>
          <w:rFonts w:ascii="Times New Roman" w:hAnsi="Times New Roman"/>
          <w:color w:val="000000" w:themeColor="text1"/>
          <w:sz w:val="16"/>
          <w:szCs w:val="16"/>
        </w:rPr>
        <w:t xml:space="preserve"> арсенал и Бежецкий завод по ремонту винтовок; разоружались и выводились из строя </w:t>
      </w:r>
      <w:proofErr w:type="spellStart"/>
      <w:r w:rsidRPr="00A259BD">
        <w:rPr>
          <w:rFonts w:ascii="Times New Roman" w:hAnsi="Times New Roman"/>
          <w:color w:val="000000" w:themeColor="text1"/>
          <w:sz w:val="16"/>
          <w:szCs w:val="16"/>
        </w:rPr>
        <w:t>Охтенский</w:t>
      </w:r>
      <w:proofErr w:type="spellEnd"/>
      <w:r w:rsidRPr="00A259BD">
        <w:rPr>
          <w:rFonts w:ascii="Times New Roman" w:hAnsi="Times New Roman"/>
          <w:color w:val="000000" w:themeColor="text1"/>
          <w:sz w:val="16"/>
          <w:szCs w:val="16"/>
        </w:rPr>
        <w:t xml:space="preserve">, Шлиссельбургский, </w:t>
      </w:r>
      <w:proofErr w:type="spellStart"/>
      <w:r w:rsidRPr="00A259BD">
        <w:rPr>
          <w:rFonts w:ascii="Times New Roman" w:hAnsi="Times New Roman"/>
          <w:color w:val="000000" w:themeColor="text1"/>
          <w:sz w:val="16"/>
          <w:szCs w:val="16"/>
        </w:rPr>
        <w:t>Шостенский</w:t>
      </w:r>
      <w:proofErr w:type="spellEnd"/>
      <w:r w:rsidRPr="00A259BD">
        <w:rPr>
          <w:rFonts w:ascii="Times New Roman" w:hAnsi="Times New Roman"/>
          <w:color w:val="000000" w:themeColor="text1"/>
          <w:sz w:val="16"/>
          <w:szCs w:val="16"/>
        </w:rPr>
        <w:t xml:space="preserve"> и Тамбовский пороховые заводы;</w:t>
      </w:r>
    </w:p>
    <w:p w14:paraId="7E0AF916"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запутывание в отдельных случаях, главным образом по Орудийно-Арсенальному Тресту, технологических процессов производства по весьма важным военным изделиям (артиллерия, танки). Примеры: в течение двух лет и до настоящего времени не разработан технологический процесс по производству танков на заводах Мотовилихинском и «Большевик»; по производству зенитных орудий технологический процесс по нарезке вместо нормальных 8 часов установлен в 16 часов и само орудие в процессе его производства несколько раз гуляет взад-вперед по заводу и т.д.;</w:t>
      </w:r>
    </w:p>
    <w:p w14:paraId="0602CE50"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до настоящего времени не разрешена проблема заводского ремонта во время войны материальной части артиллерии, винтовок и пулеметов и обеспечения артиллерии передками, зарядными ящиками, колесами и т.д. Примеры: производство основного арсенального имущества — передки, зарядные ящики, колеса и т.д. — базируется на прифронтовых арсеналах — Ленинградском, Киевском, Брянском. Ни один завод в тылу к производству арсенального имущества не приспособлен. Поэтому в случае осложнения положения с прифронтовыми арсеналами неизвестно, какие заводы примут на себя производство арсенального имущества.</w:t>
      </w:r>
    </w:p>
    <w:p w14:paraId="34B1765B"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заводского ремонта винтовок и пулеметов положение таково:</w:t>
      </w:r>
    </w:p>
    <w:p w14:paraId="171649BE"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Бежецкий ремонтный завод выведен из строя; взамен Бежецкого никакому другому заводу задания на ремонт не дано. Если же ремонт винтовок возложить на Тульский и Ижевский </w:t>
      </w:r>
      <w:proofErr w:type="spellStart"/>
      <w:r w:rsidRPr="00A259BD">
        <w:rPr>
          <w:rFonts w:ascii="Times New Roman" w:hAnsi="Times New Roman"/>
          <w:color w:val="000000" w:themeColor="text1"/>
          <w:sz w:val="16"/>
          <w:szCs w:val="16"/>
        </w:rPr>
        <w:t>руж</w:t>
      </w:r>
      <w:proofErr w:type="spellEnd"/>
      <w:r w:rsidRPr="00A259BD">
        <w:rPr>
          <w:rFonts w:ascii="Times New Roman" w:hAnsi="Times New Roman"/>
          <w:color w:val="000000" w:themeColor="text1"/>
          <w:sz w:val="16"/>
          <w:szCs w:val="16"/>
        </w:rPr>
        <w:t>. заводы, то это сократит %% на 30 выпуск ими новых винтовок и пулеметов;</w:t>
      </w:r>
    </w:p>
    <w:p w14:paraId="4D17B8D7"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ж) не создано и находится в расстроенном состоянии </w:t>
      </w:r>
      <w:proofErr w:type="spellStart"/>
      <w:r w:rsidRPr="00A259BD">
        <w:rPr>
          <w:rFonts w:ascii="Times New Roman" w:hAnsi="Times New Roman"/>
          <w:color w:val="000000" w:themeColor="text1"/>
          <w:sz w:val="16"/>
          <w:szCs w:val="16"/>
        </w:rPr>
        <w:t>лекально</w:t>
      </w:r>
      <w:proofErr w:type="spellEnd"/>
      <w:r w:rsidRPr="00A259BD">
        <w:rPr>
          <w:rFonts w:ascii="Times New Roman" w:hAnsi="Times New Roman"/>
          <w:color w:val="000000" w:themeColor="text1"/>
          <w:sz w:val="16"/>
          <w:szCs w:val="16"/>
        </w:rPr>
        <w:t xml:space="preserve">-инструментальное дело по важнейшим военным производствам. Так как во время войны пришлось бы форсировать производство лекал и инструментов, то это неизбежно привело бы к удлинению сроков </w:t>
      </w:r>
      <w:proofErr w:type="spellStart"/>
      <w:r w:rsidRPr="00A259BD">
        <w:rPr>
          <w:rFonts w:ascii="Times New Roman" w:hAnsi="Times New Roman"/>
          <w:color w:val="000000" w:themeColor="text1"/>
          <w:sz w:val="16"/>
          <w:szCs w:val="16"/>
        </w:rPr>
        <w:t>мобразвертывания</w:t>
      </w:r>
      <w:proofErr w:type="spellEnd"/>
      <w:r w:rsidRPr="00A259BD">
        <w:rPr>
          <w:rFonts w:ascii="Times New Roman" w:hAnsi="Times New Roman"/>
          <w:color w:val="000000" w:themeColor="text1"/>
          <w:sz w:val="16"/>
          <w:szCs w:val="16"/>
        </w:rPr>
        <w:t xml:space="preserve"> и ухудшению боевых качеств оружия. Примеры: в настоящее время постановка </w:t>
      </w:r>
      <w:proofErr w:type="spellStart"/>
      <w:r w:rsidRPr="00A259BD">
        <w:rPr>
          <w:rFonts w:ascii="Times New Roman" w:hAnsi="Times New Roman"/>
          <w:color w:val="000000" w:themeColor="text1"/>
          <w:sz w:val="16"/>
          <w:szCs w:val="16"/>
        </w:rPr>
        <w:t>лекально</w:t>
      </w:r>
      <w:proofErr w:type="spellEnd"/>
      <w:r w:rsidRPr="00A259BD">
        <w:rPr>
          <w:rFonts w:ascii="Times New Roman" w:hAnsi="Times New Roman"/>
          <w:color w:val="000000" w:themeColor="text1"/>
          <w:sz w:val="16"/>
          <w:szCs w:val="16"/>
        </w:rPr>
        <w:t>-инструментального дела не обеспечивает производство по мобилизации Ижевского, Тульского, Пензенского, Мотовилихинского, Ковровского и др. заводов;</w:t>
      </w:r>
    </w:p>
    <w:p w14:paraId="221B0080"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громадный парк запасного станочного оборудования не использован и частично приведен в негодность; одновременно с этим выписывались по импорту ненужные станки с затратой на это крупных средств. Примеры: до последнего времени находились без определенного назначения станки на заводах — Мотовилихинском — свыше тысячи; Путиловском — около тысячи; Ленинградском трубочном — 1800 станков и т.д.; а всего на заводах военной промышленности находилось без назначения 8-10 тысяч станков.</w:t>
      </w:r>
    </w:p>
    <w:p w14:paraId="00EEF3AA"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Излишние станки и оборудование выписывались Мотовилихинским заводом, «Большевиком» и др.;</w:t>
      </w:r>
    </w:p>
    <w:p w14:paraId="6A0666F8"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недопустимо медленное изготовление новых опытных образцов вооружения и длительные (3-4 года) сроки постановки их изготовления в массовом производстве;</w:t>
      </w:r>
    </w:p>
    <w:p w14:paraId="12A92A5D"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сохранение по всем заводам до настоящего времени устаревших технологических процессов и упорное нежелание аппаратов военной промышленности во всех ее звеньях к нововведениям и совершенствованию этих процессов;</w:t>
      </w:r>
    </w:p>
    <w:p w14:paraId="7ECAF0CC"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 недоделы по Орудийно-Арсенальному и </w:t>
      </w:r>
      <w:proofErr w:type="spellStart"/>
      <w:r w:rsidRPr="00A259BD">
        <w:rPr>
          <w:rFonts w:ascii="Times New Roman" w:hAnsi="Times New Roman"/>
          <w:color w:val="000000" w:themeColor="text1"/>
          <w:sz w:val="16"/>
          <w:szCs w:val="16"/>
        </w:rPr>
        <w:t>Авиатрестам</w:t>
      </w:r>
      <w:proofErr w:type="spellEnd"/>
      <w:r w:rsidRPr="00A259BD">
        <w:rPr>
          <w:rFonts w:ascii="Times New Roman" w:hAnsi="Times New Roman"/>
          <w:color w:val="000000" w:themeColor="text1"/>
          <w:sz w:val="16"/>
          <w:szCs w:val="16"/>
        </w:rPr>
        <w:t>, невыполнение программ по изготовлению запасных частей и отсутствие взаимозаменяемости частей к отдельным предметам вооружения;</w:t>
      </w:r>
    </w:p>
    <w:p w14:paraId="4A84B918"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 крайне недостаточное использование основного капитала военной промышленности в отношении загрузки мирной продукцией, а в некоторых случаях — нерациональное использование военного оборудования для этих производств. </w:t>
      </w:r>
    </w:p>
    <w:p w14:paraId="60BDB8A4"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Пример: </w:t>
      </w:r>
      <w:proofErr w:type="spellStart"/>
      <w:r w:rsidRPr="00A259BD">
        <w:rPr>
          <w:rFonts w:ascii="Times New Roman" w:hAnsi="Times New Roman"/>
          <w:color w:val="000000" w:themeColor="text1"/>
          <w:sz w:val="16"/>
          <w:szCs w:val="16"/>
        </w:rPr>
        <w:t>замочно</w:t>
      </w:r>
      <w:proofErr w:type="spellEnd"/>
      <w:r w:rsidRPr="00A259BD">
        <w:rPr>
          <w:rFonts w:ascii="Times New Roman" w:hAnsi="Times New Roman"/>
          <w:color w:val="000000" w:themeColor="text1"/>
          <w:sz w:val="16"/>
          <w:szCs w:val="16"/>
        </w:rPr>
        <w:t>-прицельная «Большевика» выведена из строя путем приспособления под трактора (начиная с 1922 г. и до настоящего времени);</w:t>
      </w:r>
    </w:p>
    <w:p w14:paraId="69614D22"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 неудовлетворительное использование оборотных капиталов в военной промышленности, что привело, и не могло не привести, к напряженнейшему финансовому положению и кассовым прорывам по отдельным трестам; до сих пор тресты надеются на подачки государства, не принимая достаточных мер к упорядочению своих финансов;</w:t>
      </w:r>
    </w:p>
    <w:p w14:paraId="54D8FE39"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все развитие военной промышленности и подготовка ее к войне базировались целиком на касте старых специалистов царской России, и вопрос о подготовке в нужном количестве советских специалистов военных производств до 1928/29 г. совершенно выпал из поля зрения как военной промышленности, так и самого ВСНХ. Это привело к тому, что в настоящее время, когда установлена принадлежность большинства старых специалистов к контрреволюционной организации, военная промышленность в отношении технического руководства очутилась в критическом положении.</w:t>
      </w:r>
    </w:p>
    <w:p w14:paraId="239DA7A0"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Такое положение в военной промышленности создавало опасный разрыв между промышленностью и потребностями обороны, в результате чего Красная армия была бы лишена возможности полностью использовать для обороны имеющиеся промышленные ресурсы и не получила бы в первый период войны ряда весьма важных предметов вооружения (тяжелая артиллерия, танки, отравляющие вещества и т.д.).</w:t>
      </w:r>
    </w:p>
    <w:p w14:paraId="72347392"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3. Указанное выше положение в военной промышленности явилось следствием:</w:t>
      </w:r>
    </w:p>
    <w:p w14:paraId="6142AF0F"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многолетней и систематической вредительской работы крупной контрреволюционной организации в военной промышленности (ВПУ, тресты, заводы);</w:t>
      </w:r>
    </w:p>
    <w:p w14:paraId="5642B893"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отсутствия бдительности у партийного руководящего состава военной промышленности, начиная от руководящих работников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ВПУ и кончая заводами;</w:t>
      </w:r>
    </w:p>
    <w:p w14:paraId="58AFCF58"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чрезмерного доверия к специалистам, в особенности к их верхушке (инженерам Михайлову, </w:t>
      </w:r>
      <w:proofErr w:type="spellStart"/>
      <w:r w:rsidRPr="00A259BD">
        <w:rPr>
          <w:rFonts w:ascii="Times New Roman" w:hAnsi="Times New Roman"/>
          <w:color w:val="000000" w:themeColor="text1"/>
          <w:sz w:val="16"/>
          <w:szCs w:val="16"/>
        </w:rPr>
        <w:t>Высочанскому</w:t>
      </w:r>
      <w:proofErr w:type="spellEnd"/>
      <w:r w:rsidRPr="00A259BD">
        <w:rPr>
          <w:rFonts w:ascii="Times New Roman" w:hAnsi="Times New Roman"/>
          <w:color w:val="000000" w:themeColor="text1"/>
          <w:sz w:val="16"/>
          <w:szCs w:val="16"/>
        </w:rPr>
        <w:t xml:space="preserve"> и др.) и отсутствия со стороны руководящего коммунистического состава военной промышленности даже минимального контроля за работой специалистов. В большинстве случаев руководящий коммунистический состав военной промышленности свел свою роль по управлению промышленностью, трестами и предприятиями к голому администрированию на основе отчетов и докладов, представляемых ему аппаратами (заполненными и часто руководимыми вредительскими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совершенствовать систему управления и изучать производственные технологические процессы;</w:t>
      </w:r>
    </w:p>
    <w:p w14:paraId="6BB24B0B"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под предлогом военной тайны (чрезмерное засекречивание) фактически был отстранен от активного участия в организации и рационализации производства беспартийный и коммунистический рабочий актив на производстве.</w:t>
      </w:r>
    </w:p>
    <w:p w14:paraId="31F5CA4D"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Такое положение привело к тому, что в течение ряда лет решающую и руководящую роль в военной промышленности играла каста старых специалистов царской России, в большинстве своем входившая в контрреволюционную организацию и расстраивавшая военную промышленность.</w:t>
      </w:r>
    </w:p>
    <w:p w14:paraId="3D5EB5A1"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Вскрытое совместными усилиями НК РКИ СССР и ОГПУ действительное положение в военной промышленности оказалось ни в какой мере не соответствующим тому оптимистическому освещению, которое вошло в систему оценки военной промышленности в докладах Ц.К. ВКП(б) и Правительству со стороны руководителей военной промышленности. Полученные некоторые достижения в области поднятия производительности труда, снижения себестоимости, повышения качества и количества изготовляемой продукции, внедрения некоторых новых видов производства и т.д. — должны быть отмечены. Однако эти достижения совершенно недостаточны ни с точки зрения вложенных в военную промышленность средств, ни с точки зрения количества времени, затраченного на эти достижения. В то же время эти достижения выдвигались руководящими работниками военной промышленности в качестве показателей общего благополучия промышленности, что еще более содействовало прикрыванию фактического тяжелого положения подготовки военной промышленности к обороне.</w:t>
      </w:r>
    </w:p>
    <w:p w14:paraId="756AAA2A"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Значительное исправление указанного выше положения в военной промышленности предусмотрено решениями Президиума ВСНХ и утвержденными постановлениями РЗ СТО по планам капитального строительства промышленности на 1928/29 год. Однако и в настоящее время необходимо признать, что военная промышленность в первой половине 1928/29 года не была в должной мере подготовлена к выполнению заданного ей плана капитального строительства и в работе аппаратов не произошло еще необходимого перелома, гарантирующего как выполнение плана строительства, так и срочного исправления последствий работы контрреволюционной организации.</w:t>
      </w:r>
    </w:p>
    <w:p w14:paraId="180F14CE"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w:t>
      </w:r>
    </w:p>
    <w:p w14:paraId="159DECF1"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Поднятие обороноспособности СССР требует принятия решительных мер к немедленному исправлению вышеуказанного тяжелого положения военной промышленности. В соответствии с этим Политбюро постановляет:</w:t>
      </w:r>
    </w:p>
    <w:p w14:paraId="6697A5AD"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Президиуму ЦКК срочно рассмотреть вопрос о наложении взысканий и привлечения к ответственности как нынешнего, так и бывшего руководящего состава военной промышленности (</w:t>
      </w:r>
      <w:proofErr w:type="spellStart"/>
      <w:r w:rsidRPr="00A259BD">
        <w:rPr>
          <w:rFonts w:ascii="Times New Roman" w:hAnsi="Times New Roman"/>
          <w:color w:val="000000" w:themeColor="text1"/>
          <w:sz w:val="16"/>
          <w:szCs w:val="16"/>
        </w:rPr>
        <w:t>Военпром</w:t>
      </w:r>
      <w:proofErr w:type="spellEnd"/>
      <w:r w:rsidRPr="00A259BD">
        <w:rPr>
          <w:rFonts w:ascii="Times New Roman" w:hAnsi="Times New Roman"/>
          <w:color w:val="000000" w:themeColor="text1"/>
          <w:sz w:val="16"/>
          <w:szCs w:val="16"/>
        </w:rPr>
        <w:t>, ВПУ, трестов и заводов), виновного в недостаточной бдительности к многолетнему и явному вредительству и упущениям в военной промышленности и внести свои предложения, в Политбюро.</w:t>
      </w:r>
    </w:p>
    <w:p w14:paraId="62BBCCAA"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Специальной комиссии в составе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Павлуновского</w:t>
      </w:r>
      <w:proofErr w:type="spellEnd"/>
      <w:r w:rsidRPr="00A259BD">
        <w:rPr>
          <w:rFonts w:ascii="Times New Roman" w:hAnsi="Times New Roman"/>
          <w:color w:val="000000" w:themeColor="text1"/>
          <w:sz w:val="16"/>
          <w:szCs w:val="16"/>
        </w:rPr>
        <w:t xml:space="preserve"> (председателя) и членов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Урываева, </w:t>
      </w:r>
      <w:proofErr w:type="spellStart"/>
      <w:r w:rsidRPr="00A259BD">
        <w:rPr>
          <w:rFonts w:ascii="Times New Roman" w:hAnsi="Times New Roman"/>
          <w:color w:val="000000" w:themeColor="text1"/>
          <w:sz w:val="16"/>
          <w:szCs w:val="16"/>
        </w:rPr>
        <w:t>Молочникова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Булина</w:t>
      </w:r>
      <w:proofErr w:type="spellEnd"/>
      <w:r w:rsidRPr="00A259BD">
        <w:rPr>
          <w:rFonts w:ascii="Times New Roman" w:hAnsi="Times New Roman"/>
          <w:color w:val="000000" w:themeColor="text1"/>
          <w:sz w:val="16"/>
          <w:szCs w:val="16"/>
        </w:rPr>
        <w:t xml:space="preserve"> и по одному представителю от ЦК металлистов и химиков в кратчайший срок произвести чистку всего личного состава военной промышленности до заводов включительно.</w:t>
      </w:r>
    </w:p>
    <w:p w14:paraId="59A78866"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Признать необходимым обновить руководящий состав военной промышленности, начиная с коллегии ВПУ и кончая заводами. Оргбюро в двухнедельный срок осуществить это мероприятие.</w:t>
      </w:r>
    </w:p>
    <w:p w14:paraId="0B288773"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Оргбюро в месячный срок мобилизовать для военной промышленности не менее 100 человек, преимущественно членов партии, опытных производственников и молодых инженеров.</w:t>
      </w:r>
    </w:p>
    <w:p w14:paraId="2CE10AD0"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Принимая во внимание, что военная промышленность представляет из себя по преимуществу высококвалифицированное производство и в то же время имеет ничтожные технические кадры, в особенности после ликвидации вредительской организации старых специалистов, — ВСНХ надлежит рядом срочных и конкретных мероприятий немедленно разрешить вопрос об усилении технических кадров военной промышленности (путем переподготовки, устройства краткосрочных курсов и т.д.) и одновременно разработать план систематической подготовки для нее технического персонала.</w:t>
      </w:r>
    </w:p>
    <w:p w14:paraId="5068A4B4"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ВСНХ разработать план (и приступить к его немедленному осуществлению) ликвидации последствий вредительства в военной промышленности. Особое внимание обратить на капитальное строительство, </w:t>
      </w:r>
      <w:proofErr w:type="spellStart"/>
      <w:r w:rsidRPr="00A259BD">
        <w:rPr>
          <w:rFonts w:ascii="Times New Roman" w:hAnsi="Times New Roman"/>
          <w:color w:val="000000" w:themeColor="text1"/>
          <w:sz w:val="16"/>
          <w:szCs w:val="16"/>
        </w:rPr>
        <w:t>электропаросиловое</w:t>
      </w:r>
      <w:proofErr w:type="spellEnd"/>
      <w:r w:rsidRPr="00A259BD">
        <w:rPr>
          <w:rFonts w:ascii="Times New Roman" w:hAnsi="Times New Roman"/>
          <w:color w:val="000000" w:themeColor="text1"/>
          <w:sz w:val="16"/>
          <w:szCs w:val="16"/>
        </w:rPr>
        <w:t xml:space="preserve"> хозяйство, лекальное и инструментальное дело, арсенальную проблему, изучение и совершенствование (рационализация) технологических процессов, устранение диспропорций между производствами и цехами и т.п. В этом плане исходить из необходимости уже в 1929/30 г. добиться устранения указанных последствий вредительства и создания здоровой производственной обстановки на заводах и в трестах.</w:t>
      </w:r>
    </w:p>
    <w:p w14:paraId="598370BF"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разработке программы ликвидации последствий вредительства использовать все имеющиеся материалы, конкретно изучать каждый объект вредительства в отдельности и широко привлечь к этой работе все предприятия, которые были охвачены вредительством.</w:t>
      </w:r>
    </w:p>
    <w:p w14:paraId="228923AF"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Успешное разрешение громадной проблемы технического оснащения Красной армии, и в частности, своевременное осуществление одобренных Политбюро мероприятий по артиллерийскому, танковому, авиационному, химическому перевооружению по пятилетнему плану, возможно только при условии 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заграничной технической помощи. Исходя из этого, ВСНХ немедленно усилить существующие конструкторские и технические бюро на заводах опытными специалистами, организовать их там, где они отсутствуют, и привлечь техническую помощь из-за границы. Особенное внимание должно быть обращено на артиллерийское, танковое, авиационное и химическое дело.</w:t>
      </w:r>
    </w:p>
    <w:p w14:paraId="022AB151"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Вторым условием успешного осуществления плана технического перевооружения Красной армии является быстрое изготовление опытных образцов нового оружия и организация массового их производства.</w:t>
      </w:r>
    </w:p>
    <w:p w14:paraId="3AE12181"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Поэтому ВСНХ, совместно с НКВМ, добиться во что бы то ни стало самых минимальных сроков в изготовлении опытных образцов, испытании и проверке их и внедрения в массовое производство.</w:t>
      </w:r>
    </w:p>
    <w:p w14:paraId="69CF2ABA"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Считая эту задачу одной из самых важнейших, Политбюро категорически требует ее полного разрешения.</w:t>
      </w:r>
    </w:p>
    <w:p w14:paraId="4BA722BF"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Отмечая недостаточную загрузку военных заводов военными заказами, ВСНХ, в целях сокращения сроков </w:t>
      </w:r>
      <w:proofErr w:type="spellStart"/>
      <w:r w:rsidRPr="00A259BD">
        <w:rPr>
          <w:rFonts w:ascii="Times New Roman" w:hAnsi="Times New Roman"/>
          <w:color w:val="000000" w:themeColor="text1"/>
          <w:sz w:val="16"/>
          <w:szCs w:val="16"/>
        </w:rPr>
        <w:t>мобразвертывания</w:t>
      </w:r>
      <w:proofErr w:type="spellEnd"/>
      <w:r w:rsidRPr="00A259BD">
        <w:rPr>
          <w:rFonts w:ascii="Times New Roman" w:hAnsi="Times New Roman"/>
          <w:color w:val="000000" w:themeColor="text1"/>
          <w:sz w:val="16"/>
          <w:szCs w:val="16"/>
        </w:rPr>
        <w:t xml:space="preserve"> военных заводов и максимального использования основного капитала военной промышленности, с 1929/30 года поднять темп загрузки военных заводов мирной продукцией до максимальных пределов. В двухмесячный срок РЗ СТО рассмотреть план загрузки мирными производствами на 1929/30 год.</w:t>
      </w:r>
    </w:p>
    <w:p w14:paraId="65ECD8EB"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ВСНХ принять меры по оздоровлению оборотных средств военной промышленности. РЗ СТО срочно рассмотреть вопрос о смягчении финансового напряжения в военной промышленности и о порядке покрытия кассового прорыва в Орудийно-Арсенальном и Авиационном трестах, а также наметить мероприятия, исключающие повторение подобных явлений.</w:t>
      </w:r>
    </w:p>
    <w:p w14:paraId="4A4A9FEA"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РЗ СТО рассмотреть вопрос о ценах на поставляемую </w:t>
      </w:r>
      <w:proofErr w:type="spellStart"/>
      <w:r w:rsidRPr="00A259BD">
        <w:rPr>
          <w:rFonts w:ascii="Times New Roman" w:hAnsi="Times New Roman"/>
          <w:color w:val="000000" w:themeColor="text1"/>
          <w:sz w:val="16"/>
          <w:szCs w:val="16"/>
        </w:rPr>
        <w:t>Военведу</w:t>
      </w:r>
      <w:proofErr w:type="spellEnd"/>
      <w:r w:rsidRPr="00A259BD">
        <w:rPr>
          <w:rFonts w:ascii="Times New Roman" w:hAnsi="Times New Roman"/>
          <w:color w:val="000000" w:themeColor="text1"/>
          <w:sz w:val="16"/>
          <w:szCs w:val="16"/>
        </w:rPr>
        <w:t xml:space="preserve"> продукцию под углом необходимого их снижения, установив одновременно твердые расчетные цены по всем предметам вооружения, допуская ориентировочные цены как исключение для вновь устанавливаемых производств и то только для первого периода.</w:t>
      </w:r>
    </w:p>
    <w:p w14:paraId="2BE5A71B"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Поручить Наркомвоенмору, ОГПУ и ВСНХ пересмотреть существующий порядок секретности на военных заводах с тем, чтобы было обеспечено максимальное участие рабочих в контроле над производством и в то же время сохранена военная тайна.</w:t>
      </w:r>
    </w:p>
    <w:p w14:paraId="24487B25"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Предложить ВСНХ и НКВМ в месячный срок уточнить взаимоотношения в части: а) передачи опытных заказов, времени их изготовления в кратчайшие сроки и быстрого проведения их через испытание; б) исполнение заказов мирного времени и своевременного снабжения промышленности техническими условиями и чертежами.</w:t>
      </w:r>
    </w:p>
    <w:p w14:paraId="0BA90719"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выполнением всех вышеуказанных мероприятий РЗ СТО установить строгое наблюдение.</w:t>
      </w:r>
    </w:p>
    <w:p w14:paraId="6E81F696"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Ввиду его особой секретности оно должно храниться на правах шифра.</w:t>
      </w:r>
    </w:p>
    <w:p w14:paraId="0ADDD4A7"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РГАСПИ. Ф. 17. Оп. 162. Д. 7. Л. 99, 113—121. Подлинник. Машинопись.</w:t>
      </w:r>
    </w:p>
    <w:p w14:paraId="7B33BD64"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тексте имеется машинописная помета о рассылке: «Выписки посланы: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Ворошилову, </w:t>
      </w:r>
      <w:proofErr w:type="spellStart"/>
      <w:r w:rsidRPr="00A259BD">
        <w:rPr>
          <w:rFonts w:ascii="Times New Roman" w:hAnsi="Times New Roman"/>
          <w:color w:val="000000" w:themeColor="text1"/>
          <w:sz w:val="16"/>
          <w:szCs w:val="16"/>
        </w:rPr>
        <w:t>Рухимовичу</w:t>
      </w:r>
      <w:proofErr w:type="spellEnd"/>
      <w:r w:rsidRPr="00A259BD">
        <w:rPr>
          <w:rFonts w:ascii="Times New Roman" w:hAnsi="Times New Roman"/>
          <w:color w:val="000000" w:themeColor="text1"/>
          <w:sz w:val="16"/>
          <w:szCs w:val="16"/>
        </w:rPr>
        <w:t>, Яковлеву, Рудзутаку».</w:t>
      </w:r>
    </w:p>
    <w:p w14:paraId="0AF5A469"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приложении имеется машинописная помета о рассылке: «</w:t>
      </w:r>
      <w:proofErr w:type="spellStart"/>
      <w:r w:rsidRPr="00A259BD">
        <w:rPr>
          <w:rFonts w:ascii="Times New Roman" w:hAnsi="Times New Roman"/>
          <w:color w:val="000000" w:themeColor="text1"/>
          <w:sz w:val="16"/>
          <w:szCs w:val="16"/>
        </w:rPr>
        <w:t>Настояшее</w:t>
      </w:r>
      <w:proofErr w:type="spellEnd"/>
      <w:r w:rsidRPr="00A259BD">
        <w:rPr>
          <w:rFonts w:ascii="Times New Roman" w:hAnsi="Times New Roman"/>
          <w:color w:val="000000" w:themeColor="text1"/>
          <w:sz w:val="16"/>
          <w:szCs w:val="16"/>
        </w:rPr>
        <w:t xml:space="preserve"> постановление размножено в пяти экземплярах и рассылается: 1-й экз. для ЦК ВКП(б), 2-й “ РЗ СТО — т. Рудзутаку, 3-й " НК РКИ СССР — т. Яковлеву, 4-й ” ВСНХ СССР — т. </w:t>
      </w:r>
      <w:proofErr w:type="spellStart"/>
      <w:r w:rsidRPr="00A259BD">
        <w:rPr>
          <w:rFonts w:ascii="Times New Roman" w:hAnsi="Times New Roman"/>
          <w:color w:val="000000" w:themeColor="text1"/>
          <w:sz w:val="16"/>
          <w:szCs w:val="16"/>
        </w:rPr>
        <w:t>Рухимовичу</w:t>
      </w:r>
      <w:proofErr w:type="spellEnd"/>
      <w:r w:rsidRPr="00A259BD">
        <w:rPr>
          <w:rFonts w:ascii="Times New Roman" w:hAnsi="Times New Roman"/>
          <w:color w:val="000000" w:themeColor="text1"/>
          <w:sz w:val="16"/>
          <w:szCs w:val="16"/>
        </w:rPr>
        <w:t>,</w:t>
      </w:r>
    </w:p>
    <w:p w14:paraId="0CB10605" w14:textId="77777777" w:rsidR="00C27B37" w:rsidRPr="00A259BD" w:rsidRDefault="00C27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5-й “ РВС СССР — т. Ворошилову» (20776).</w:t>
      </w:r>
    </w:p>
    <w:p w14:paraId="7E40B84B" w14:textId="77777777" w:rsidR="00C27B37" w:rsidRPr="00A259BD" w:rsidRDefault="00C27B37" w:rsidP="009236E3">
      <w:pPr>
        <w:spacing w:after="0" w:line="240" w:lineRule="auto"/>
        <w:jc w:val="both"/>
        <w:rPr>
          <w:rFonts w:ascii="Times New Roman" w:hAnsi="Times New Roman"/>
          <w:color w:val="000000" w:themeColor="text1"/>
          <w:sz w:val="16"/>
          <w:szCs w:val="16"/>
        </w:rPr>
      </w:pPr>
    </w:p>
    <w:bookmarkEnd w:id="70"/>
    <w:p w14:paraId="140B48FB" w14:textId="77777777" w:rsidR="00B50A82" w:rsidRPr="00A259BD" w:rsidRDefault="00B50A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июля 1929 г. Протокол заседания Президиума ВСНХ СССР. 693. О подготовке всех видов сырья для автотракторостроения (РГАЭ. Ф. 3429. Оп. 1. Д. 5162. Л. 133) (12417).</w:t>
      </w:r>
    </w:p>
    <w:p w14:paraId="0FFB8B52" w14:textId="77777777" w:rsidR="00B50A82" w:rsidRPr="00A259BD" w:rsidRDefault="00B50A82" w:rsidP="009236E3">
      <w:pPr>
        <w:spacing w:after="0" w:line="240" w:lineRule="auto"/>
        <w:jc w:val="both"/>
        <w:rPr>
          <w:rFonts w:ascii="Times New Roman" w:hAnsi="Times New Roman"/>
          <w:color w:val="000000" w:themeColor="text1"/>
          <w:sz w:val="16"/>
          <w:szCs w:val="16"/>
        </w:rPr>
      </w:pPr>
    </w:p>
    <w:p w14:paraId="401C7CDD" w14:textId="77777777" w:rsidR="002D48EF" w:rsidRPr="00A259BD" w:rsidRDefault="002D48EF" w:rsidP="009236E3">
      <w:pPr>
        <w:widowControl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июля </w:t>
      </w:r>
      <w:smartTag w:uri="urn:schemas-microsoft-com:office:smarttags" w:element="metricconverter">
        <w:smartTagPr>
          <w:attr w:name="ProductID" w:val="1929 г"/>
        </w:smartTagPr>
        <w:r w:rsidRPr="00A259BD">
          <w:rPr>
            <w:rFonts w:ascii="Times New Roman" w:hAnsi="Times New Roman"/>
            <w:color w:val="000000" w:themeColor="text1"/>
            <w:sz w:val="16"/>
            <w:szCs w:val="16"/>
          </w:rPr>
          <w:t>1929 г</w:t>
        </w:r>
      </w:smartTag>
      <w:r w:rsidRPr="00A259BD">
        <w:rPr>
          <w:rFonts w:ascii="Times New Roman" w:hAnsi="Times New Roman"/>
          <w:color w:val="000000" w:themeColor="text1"/>
          <w:sz w:val="16"/>
          <w:szCs w:val="16"/>
        </w:rPr>
        <w:t>. Реввоенсовет СССР принял «Систему танко-тракторного и авто-броневого вооружения Рабоче-Крестьянской Красной Армии». Согласно этому документу планировалось в кратчайшие сроки разработать современные образцы бронетанковой техники и развернуть их серийное производство. В части бронеавтомобилей предлагалось спроектировать 4 новых образца, из них 2 средних. Последние создавались на шасси трехосных автомобилей «Форд-</w:t>
      </w:r>
      <w:proofErr w:type="spellStart"/>
      <w:r w:rsidRPr="00A259BD">
        <w:rPr>
          <w:rFonts w:ascii="Times New Roman" w:hAnsi="Times New Roman"/>
          <w:color w:val="000000" w:themeColor="text1"/>
          <w:sz w:val="16"/>
          <w:szCs w:val="16"/>
        </w:rPr>
        <w:t>Тимкен</w:t>
      </w:r>
      <w:proofErr w:type="spellEnd"/>
      <w:r w:rsidRPr="00A259BD">
        <w:rPr>
          <w:rFonts w:ascii="Times New Roman" w:hAnsi="Times New Roman"/>
          <w:color w:val="000000" w:themeColor="text1"/>
          <w:sz w:val="16"/>
          <w:szCs w:val="16"/>
        </w:rPr>
        <w:t xml:space="preserve">». </w:t>
      </w:r>
      <w:r w:rsidRPr="00A259BD">
        <w:rPr>
          <w:rFonts w:ascii="Times New Roman" w:hAnsi="Times New Roman"/>
          <w:color w:val="000000" w:themeColor="text1"/>
          <w:sz w:val="16"/>
          <w:szCs w:val="16"/>
        </w:rPr>
        <w:lastRenderedPageBreak/>
        <w:t>Вооружение машин должно было состоять из 20-мм пушки и 12,7-мм пулемета у «Форд-</w:t>
      </w:r>
      <w:proofErr w:type="spellStart"/>
      <w:r w:rsidRPr="00A259BD">
        <w:rPr>
          <w:rFonts w:ascii="Times New Roman" w:hAnsi="Times New Roman"/>
          <w:color w:val="000000" w:themeColor="text1"/>
          <w:sz w:val="16"/>
          <w:szCs w:val="16"/>
        </w:rPr>
        <w:t>Тимкен</w:t>
      </w:r>
      <w:proofErr w:type="spellEnd"/>
      <w:r w:rsidRPr="00A259BD">
        <w:rPr>
          <w:rFonts w:ascii="Times New Roman" w:hAnsi="Times New Roman"/>
          <w:color w:val="000000" w:themeColor="text1"/>
          <w:sz w:val="16"/>
          <w:szCs w:val="16"/>
        </w:rPr>
        <w:t xml:space="preserve">» и соответственно 37-мм пушки и трех 7,62-мм пулеметов у АМО-2. Разработку и изготовление новых бронеавтомобилей поручили конструкторскому бюро Ижорского завода. С декабря </w:t>
      </w:r>
      <w:smartTag w:uri="urn:schemas-microsoft-com:office:smarttags" w:element="metricconverter">
        <w:smartTagPr>
          <w:attr w:name="ProductID" w:val="1929 г"/>
        </w:smartTagPr>
        <w:r w:rsidRPr="00A259BD">
          <w:rPr>
            <w:rFonts w:ascii="Times New Roman" w:hAnsi="Times New Roman"/>
            <w:color w:val="000000" w:themeColor="text1"/>
            <w:sz w:val="16"/>
            <w:szCs w:val="16"/>
          </w:rPr>
          <w:t>1929 г</w:t>
        </w:r>
      </w:smartTag>
      <w:r w:rsidRPr="00A259BD">
        <w:rPr>
          <w:rFonts w:ascii="Times New Roman" w:hAnsi="Times New Roman"/>
          <w:color w:val="000000" w:themeColor="text1"/>
          <w:sz w:val="16"/>
          <w:szCs w:val="16"/>
        </w:rPr>
        <w:t>. контроль за проектированием броневиков осуществляло Управление механизации и моторизации РККА. Оно поставило заводу срок сдачи опытных образцов 11 декабря 1930 года. К этому времени на 2-м автосборочном заводе в Москве и заводе «Гудок Октября» полным ходом шла сборка грузовых и легковых «фордов», а из-за границы прибыли первые из 100 закупленных в Америке грузовиков «</w:t>
      </w:r>
      <w:proofErr w:type="spellStart"/>
      <w:r w:rsidRPr="00A259BD">
        <w:rPr>
          <w:rFonts w:ascii="Times New Roman" w:hAnsi="Times New Roman"/>
          <w:color w:val="000000" w:themeColor="text1"/>
          <w:sz w:val="16"/>
          <w:szCs w:val="16"/>
        </w:rPr>
        <w:t>Мореланд</w:t>
      </w:r>
      <w:proofErr w:type="spellEnd"/>
      <w:r w:rsidRPr="00A259BD">
        <w:rPr>
          <w:rFonts w:ascii="Times New Roman" w:hAnsi="Times New Roman"/>
          <w:color w:val="000000" w:themeColor="text1"/>
          <w:sz w:val="16"/>
          <w:szCs w:val="16"/>
        </w:rPr>
        <w:t>» (15218).</w:t>
      </w:r>
    </w:p>
    <w:p w14:paraId="1FEF0D58" w14:textId="77777777" w:rsidR="002D48EF" w:rsidRPr="00A259BD" w:rsidRDefault="002D48EF" w:rsidP="009236E3">
      <w:pPr>
        <w:widowControl w:val="0"/>
        <w:spacing w:after="0" w:line="240" w:lineRule="auto"/>
        <w:jc w:val="both"/>
        <w:rPr>
          <w:rFonts w:ascii="Times New Roman" w:hAnsi="Times New Roman"/>
          <w:color w:val="000000" w:themeColor="text1"/>
          <w:sz w:val="16"/>
          <w:szCs w:val="16"/>
        </w:rPr>
      </w:pPr>
    </w:p>
    <w:p w14:paraId="30DFA164" w14:textId="77777777" w:rsidR="00B50A82" w:rsidRPr="00A259BD" w:rsidRDefault="00B50A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июля 1929 г. Штабом РККА под руководством В.К. </w:t>
      </w:r>
      <w:proofErr w:type="spellStart"/>
      <w:r w:rsidRPr="00A259BD">
        <w:rPr>
          <w:rFonts w:ascii="Times New Roman" w:hAnsi="Times New Roman"/>
          <w:color w:val="000000" w:themeColor="text1"/>
          <w:sz w:val="16"/>
          <w:szCs w:val="16"/>
        </w:rPr>
        <w:t>Триандофилова</w:t>
      </w:r>
      <w:proofErr w:type="spellEnd"/>
      <w:r w:rsidRPr="00A259BD">
        <w:rPr>
          <w:rFonts w:ascii="Times New Roman" w:hAnsi="Times New Roman"/>
          <w:color w:val="000000" w:themeColor="text1"/>
          <w:sz w:val="16"/>
          <w:szCs w:val="16"/>
        </w:rPr>
        <w:t xml:space="preserve"> и Н.М. Роговского была разработана и принята на заседании РВС СССР «Система танко-трак-</w:t>
      </w:r>
      <w:proofErr w:type="spellStart"/>
      <w:r w:rsidRPr="00A259BD">
        <w:rPr>
          <w:rFonts w:ascii="Times New Roman" w:hAnsi="Times New Roman"/>
          <w:color w:val="000000" w:themeColor="text1"/>
          <w:sz w:val="16"/>
          <w:szCs w:val="16"/>
        </w:rPr>
        <w:t>торно</w:t>
      </w:r>
      <w:proofErr w:type="spellEnd"/>
      <w:r w:rsidRPr="00A259BD">
        <w:rPr>
          <w:rFonts w:ascii="Times New Roman" w:hAnsi="Times New Roman"/>
          <w:color w:val="000000" w:themeColor="text1"/>
          <w:sz w:val="16"/>
          <w:szCs w:val="16"/>
        </w:rPr>
        <w:t xml:space="preserve">-авто-броне-вооружения РККА». Система предусматривала создание самостоятельных механизированных соединений и определяла требования к образцам боевых машин, которые должны были войти в состав этих соединений. Типы боевых и вспомогательных машин были в значительной мере определены на основании обстоятельного изучения опыта создания иностранных армий применительно к нашим специфическим </w:t>
      </w:r>
      <w:proofErr w:type="spellStart"/>
      <w:r w:rsidRPr="00A259BD">
        <w:rPr>
          <w:rFonts w:ascii="Times New Roman" w:hAnsi="Times New Roman"/>
          <w:color w:val="000000" w:themeColor="text1"/>
          <w:sz w:val="16"/>
          <w:szCs w:val="16"/>
        </w:rPr>
        <w:t>условиям.Согласно</w:t>
      </w:r>
      <w:proofErr w:type="spellEnd"/>
      <w:r w:rsidRPr="00A259BD">
        <w:rPr>
          <w:rFonts w:ascii="Times New Roman" w:hAnsi="Times New Roman"/>
          <w:color w:val="000000" w:themeColor="text1"/>
          <w:sz w:val="16"/>
          <w:szCs w:val="16"/>
        </w:rPr>
        <w:t xml:space="preserve"> требованиям, предъявляемым к среднему танку, боевая масса машины не должна была превышать 15—16 т, а броня обеспечивать защиту экипажа от 37-мм снарядов с начальной скоростью 700 м/с на дальностях свыше 750 м. Танк надлежало вооружить 45-мм пушкой и тремя пулеметами с боекомплектом 100 выстрелов и 5000 патронов. Предусматривались максимальная скорость 25—30 км/ч, запас хода 200 км и экипаж из четырех-пяти человек. Опытный образец «маневренного» танка Т-12 по своим боевым и техническим характеристикам уже не соответствовал этим требованиям (12303).</w:t>
      </w:r>
    </w:p>
    <w:p w14:paraId="0E3F4A8E" w14:textId="77777777" w:rsidR="00B50A82" w:rsidRPr="00A259BD" w:rsidRDefault="00B50A82" w:rsidP="009236E3">
      <w:pPr>
        <w:spacing w:after="0" w:line="240" w:lineRule="auto"/>
        <w:jc w:val="both"/>
        <w:rPr>
          <w:rFonts w:ascii="Times New Roman" w:hAnsi="Times New Roman"/>
          <w:color w:val="000000" w:themeColor="text1"/>
          <w:sz w:val="16"/>
          <w:szCs w:val="16"/>
        </w:rPr>
      </w:pPr>
    </w:p>
    <w:p w14:paraId="2D1BD92B" w14:textId="77777777" w:rsidR="001F0E42" w:rsidRPr="00A259BD" w:rsidRDefault="001F0E42"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июля 1929 РВС принял разработанную Штабом РККА под руководством </w:t>
      </w:r>
      <w:proofErr w:type="spellStart"/>
      <w:r w:rsidRPr="00A259BD">
        <w:rPr>
          <w:rFonts w:ascii="Times New Roman" w:hAnsi="Times New Roman"/>
          <w:color w:val="000000" w:themeColor="text1"/>
          <w:sz w:val="16"/>
          <w:szCs w:val="16"/>
        </w:rPr>
        <w:t>В.К.Триандофилова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Н.М.Роговского</w:t>
      </w:r>
      <w:proofErr w:type="spellEnd"/>
      <w:r w:rsidRPr="00A259BD">
        <w:rPr>
          <w:rFonts w:ascii="Times New Roman" w:hAnsi="Times New Roman"/>
          <w:color w:val="000000" w:themeColor="text1"/>
          <w:sz w:val="16"/>
          <w:szCs w:val="16"/>
        </w:rPr>
        <w:t xml:space="preserve"> Систему танко-</w:t>
      </w:r>
      <w:proofErr w:type="spellStart"/>
      <w:r w:rsidRPr="00A259BD">
        <w:rPr>
          <w:rFonts w:ascii="Times New Roman" w:hAnsi="Times New Roman"/>
          <w:color w:val="000000" w:themeColor="text1"/>
          <w:sz w:val="16"/>
          <w:szCs w:val="16"/>
        </w:rPr>
        <w:t>тракторо</w:t>
      </w:r>
      <w:proofErr w:type="spellEnd"/>
      <w:r w:rsidRPr="00A259BD">
        <w:rPr>
          <w:rFonts w:ascii="Times New Roman" w:hAnsi="Times New Roman"/>
          <w:color w:val="000000" w:themeColor="text1"/>
          <w:sz w:val="16"/>
          <w:szCs w:val="16"/>
        </w:rPr>
        <w:t>-авто-броне вооружения РККА (9527,117).</w:t>
      </w:r>
    </w:p>
    <w:p w14:paraId="20670736" w14:textId="77777777" w:rsidR="001F0E42" w:rsidRPr="00A259BD" w:rsidRDefault="001F0E42" w:rsidP="009236E3">
      <w:pPr>
        <w:autoSpaceDE w:val="0"/>
        <w:autoSpaceDN w:val="0"/>
        <w:adjustRightInd w:val="0"/>
        <w:spacing w:after="0" w:line="240" w:lineRule="auto"/>
        <w:jc w:val="both"/>
        <w:rPr>
          <w:rFonts w:ascii="Times New Roman" w:hAnsi="Times New Roman"/>
          <w:color w:val="000000" w:themeColor="text1"/>
          <w:sz w:val="16"/>
          <w:szCs w:val="16"/>
        </w:rPr>
      </w:pPr>
    </w:p>
    <w:p w14:paraId="2B8C6C20" w14:textId="77777777" w:rsidR="001F0E42" w:rsidRPr="00A259BD" w:rsidRDefault="001F0E42"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июля 1929 года РВС СССР принял “Систему танко-тракторного и авто-броневого вооружения Рабоче-Крестьянской Красной Армии”. Согласно этому доку</w:t>
      </w:r>
      <w:r w:rsidRPr="00A259BD">
        <w:rPr>
          <w:rFonts w:ascii="Times New Roman" w:hAnsi="Times New Roman"/>
          <w:color w:val="000000" w:themeColor="text1"/>
          <w:sz w:val="16"/>
          <w:szCs w:val="16"/>
        </w:rPr>
        <w:softHyphen/>
        <w:t>менту планировалось в кратчайшие сроки разработать со</w:t>
      </w:r>
      <w:r w:rsidRPr="00A259BD">
        <w:rPr>
          <w:rFonts w:ascii="Times New Roman" w:hAnsi="Times New Roman"/>
          <w:color w:val="000000" w:themeColor="text1"/>
          <w:sz w:val="16"/>
          <w:szCs w:val="16"/>
        </w:rPr>
        <w:softHyphen/>
        <w:t>временные образцы бронетанковой техники и развернуть их серийное производство. В части бронеавтомобилей предлагалось спроектировать 4 новых образца, из них 2 средних. Последние создавались на шасси трехосных ав</w:t>
      </w:r>
      <w:r w:rsidRPr="00A259BD">
        <w:rPr>
          <w:rFonts w:ascii="Times New Roman" w:hAnsi="Times New Roman"/>
          <w:color w:val="000000" w:themeColor="text1"/>
          <w:sz w:val="16"/>
          <w:szCs w:val="16"/>
        </w:rPr>
        <w:softHyphen/>
        <w:t>томобилей “Форд-</w:t>
      </w:r>
      <w:proofErr w:type="spellStart"/>
      <w:r w:rsidRPr="00A259BD">
        <w:rPr>
          <w:rFonts w:ascii="Times New Roman" w:hAnsi="Times New Roman"/>
          <w:color w:val="000000" w:themeColor="text1"/>
          <w:sz w:val="16"/>
          <w:szCs w:val="16"/>
        </w:rPr>
        <w:t>Тимкен</w:t>
      </w:r>
      <w:proofErr w:type="spellEnd"/>
      <w:r w:rsidRPr="00A259BD">
        <w:rPr>
          <w:rFonts w:ascii="Times New Roman" w:hAnsi="Times New Roman"/>
          <w:color w:val="000000" w:themeColor="text1"/>
          <w:sz w:val="16"/>
          <w:szCs w:val="16"/>
        </w:rPr>
        <w:t>” и АМО-2. Вооружение машин должно было состоять из 20-мм пушки и 12,7-мм пулеме</w:t>
      </w:r>
      <w:r w:rsidRPr="00A259BD">
        <w:rPr>
          <w:rFonts w:ascii="Times New Roman" w:hAnsi="Times New Roman"/>
          <w:color w:val="000000" w:themeColor="text1"/>
          <w:sz w:val="16"/>
          <w:szCs w:val="16"/>
        </w:rPr>
        <w:softHyphen/>
        <w:t>та у “Форд-</w:t>
      </w:r>
      <w:proofErr w:type="spellStart"/>
      <w:r w:rsidRPr="00A259BD">
        <w:rPr>
          <w:rFonts w:ascii="Times New Roman" w:hAnsi="Times New Roman"/>
          <w:color w:val="000000" w:themeColor="text1"/>
          <w:sz w:val="16"/>
          <w:szCs w:val="16"/>
        </w:rPr>
        <w:t>Тимкен</w:t>
      </w:r>
      <w:proofErr w:type="spellEnd"/>
      <w:r w:rsidRPr="00A259BD">
        <w:rPr>
          <w:rFonts w:ascii="Times New Roman" w:hAnsi="Times New Roman"/>
          <w:color w:val="000000" w:themeColor="text1"/>
          <w:sz w:val="16"/>
          <w:szCs w:val="16"/>
        </w:rPr>
        <w:t>” и соответственно 37-мм пушки и трех 7,62-мм пулеметов у АМО-2, бронирование 6-8 мм, эки</w:t>
      </w:r>
      <w:r w:rsidRPr="00A259BD">
        <w:rPr>
          <w:rFonts w:ascii="Times New Roman" w:hAnsi="Times New Roman"/>
          <w:color w:val="000000" w:themeColor="text1"/>
          <w:sz w:val="16"/>
          <w:szCs w:val="16"/>
        </w:rPr>
        <w:softHyphen/>
        <w:t>паж 4 человека. Разработку и изготовление новых броне</w:t>
      </w:r>
      <w:r w:rsidRPr="00A259BD">
        <w:rPr>
          <w:rFonts w:ascii="Times New Roman" w:hAnsi="Times New Roman"/>
          <w:color w:val="000000" w:themeColor="text1"/>
          <w:sz w:val="16"/>
          <w:szCs w:val="16"/>
        </w:rPr>
        <w:softHyphen/>
        <w:t>автомобилей поручили конструкторскому бюро Ижорского завода. С декабря 1929 года контроль за проектиро</w:t>
      </w:r>
      <w:r w:rsidRPr="00A259BD">
        <w:rPr>
          <w:rFonts w:ascii="Times New Roman" w:hAnsi="Times New Roman"/>
          <w:color w:val="000000" w:themeColor="text1"/>
          <w:sz w:val="16"/>
          <w:szCs w:val="16"/>
        </w:rPr>
        <w:softHyphen/>
        <w:t>ванием броневиков осуществляло УММ РККА. Оно по</w:t>
      </w:r>
      <w:r w:rsidRPr="00A259BD">
        <w:rPr>
          <w:rFonts w:ascii="Times New Roman" w:hAnsi="Times New Roman"/>
          <w:color w:val="000000" w:themeColor="text1"/>
          <w:sz w:val="16"/>
          <w:szCs w:val="16"/>
        </w:rPr>
        <w:softHyphen/>
        <w:t>ставило заводу срок сдачи опытных образцов 11 декабря 1930 года.</w:t>
      </w:r>
    </w:p>
    <w:p w14:paraId="451CC25E" w14:textId="77777777" w:rsidR="001F0E42" w:rsidRPr="00A259BD" w:rsidRDefault="001F0E42"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этому времени на 2-м автосборочном заводе в Моск</w:t>
      </w:r>
      <w:r w:rsidRPr="00A259BD">
        <w:rPr>
          <w:rFonts w:ascii="Times New Roman" w:hAnsi="Times New Roman"/>
          <w:color w:val="000000" w:themeColor="text1"/>
          <w:sz w:val="16"/>
          <w:szCs w:val="16"/>
        </w:rPr>
        <w:softHyphen/>
        <w:t>ве и заводе “Гудок Октября” в Нижнем Новгороде полным ходом шла сборка грузовых и легковых “фордов”, а из-за границы прибыли первые из 100 закупленных в Америке грузовиков “</w:t>
      </w:r>
      <w:proofErr w:type="spellStart"/>
      <w:r w:rsidRPr="00A259BD">
        <w:rPr>
          <w:rFonts w:ascii="Times New Roman" w:hAnsi="Times New Roman"/>
          <w:color w:val="000000" w:themeColor="text1"/>
          <w:sz w:val="16"/>
          <w:szCs w:val="16"/>
        </w:rPr>
        <w:t>Мореланд</w:t>
      </w:r>
      <w:proofErr w:type="spellEnd"/>
      <w:r w:rsidRPr="00A259BD">
        <w:rPr>
          <w:rFonts w:ascii="Times New Roman" w:hAnsi="Times New Roman"/>
          <w:color w:val="000000" w:themeColor="text1"/>
          <w:sz w:val="16"/>
          <w:szCs w:val="16"/>
        </w:rPr>
        <w:t>”.</w:t>
      </w:r>
    </w:p>
    <w:p w14:paraId="7B597992" w14:textId="77777777" w:rsidR="001F0E42" w:rsidRPr="00A259BD" w:rsidRDefault="001F0E42"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в конце 1930 года с американской фирмой “</w:t>
      </w:r>
      <w:proofErr w:type="spellStart"/>
      <w:r w:rsidRPr="00A259BD">
        <w:rPr>
          <w:rFonts w:ascii="Times New Roman" w:hAnsi="Times New Roman"/>
          <w:color w:val="000000" w:themeColor="text1"/>
          <w:sz w:val="16"/>
          <w:szCs w:val="16"/>
        </w:rPr>
        <w:t>Тимкен</w:t>
      </w:r>
      <w:proofErr w:type="spellEnd"/>
      <w:r w:rsidRPr="00A259BD">
        <w:rPr>
          <w:rFonts w:ascii="Times New Roman" w:hAnsi="Times New Roman"/>
          <w:color w:val="000000" w:themeColor="text1"/>
          <w:sz w:val="16"/>
          <w:szCs w:val="16"/>
        </w:rPr>
        <w:t>” заключили договор на изготовление 1000 трехос</w:t>
      </w:r>
      <w:r w:rsidRPr="00A259BD">
        <w:rPr>
          <w:rFonts w:ascii="Times New Roman" w:hAnsi="Times New Roman"/>
          <w:color w:val="000000" w:themeColor="text1"/>
          <w:sz w:val="16"/>
          <w:szCs w:val="16"/>
        </w:rPr>
        <w:softHyphen/>
        <w:t>ных (6 х 4) грузовиков. При этом “</w:t>
      </w:r>
      <w:proofErr w:type="spellStart"/>
      <w:r w:rsidRPr="00A259BD">
        <w:rPr>
          <w:rFonts w:ascii="Times New Roman" w:hAnsi="Times New Roman"/>
          <w:color w:val="000000" w:themeColor="text1"/>
          <w:sz w:val="16"/>
          <w:szCs w:val="16"/>
        </w:rPr>
        <w:t>Тимкен</w:t>
      </w:r>
      <w:proofErr w:type="spellEnd"/>
      <w:r w:rsidRPr="00A259BD">
        <w:rPr>
          <w:rFonts w:ascii="Times New Roman" w:hAnsi="Times New Roman"/>
          <w:color w:val="000000" w:themeColor="text1"/>
          <w:sz w:val="16"/>
          <w:szCs w:val="16"/>
        </w:rPr>
        <w:t>” брала обычный двухосный “Форд-АА” и устанавливала на него третью ось. Эти грузовики, известные как “Форд-</w:t>
      </w:r>
      <w:proofErr w:type="spellStart"/>
      <w:r w:rsidRPr="00A259BD">
        <w:rPr>
          <w:rFonts w:ascii="Times New Roman" w:hAnsi="Times New Roman"/>
          <w:color w:val="000000" w:themeColor="text1"/>
          <w:sz w:val="16"/>
          <w:szCs w:val="16"/>
        </w:rPr>
        <w:t>Тимкен</w:t>
      </w:r>
      <w:proofErr w:type="spellEnd"/>
      <w:r w:rsidRPr="00A259BD">
        <w:rPr>
          <w:rFonts w:ascii="Times New Roman" w:hAnsi="Times New Roman"/>
          <w:color w:val="000000" w:themeColor="text1"/>
          <w:sz w:val="16"/>
          <w:szCs w:val="16"/>
        </w:rPr>
        <w:t>”, доставлялись в Советский Союз двумя партиями — в июне и октяб</w:t>
      </w:r>
      <w:r w:rsidRPr="00A259BD">
        <w:rPr>
          <w:rFonts w:ascii="Times New Roman" w:hAnsi="Times New Roman"/>
          <w:color w:val="000000" w:themeColor="text1"/>
          <w:sz w:val="16"/>
          <w:szCs w:val="16"/>
        </w:rPr>
        <w:softHyphen/>
        <w:t>ре 1931 года — и собирались на заводе “Гудок Октября” (11284).</w:t>
      </w:r>
    </w:p>
    <w:p w14:paraId="3299C5AF" w14:textId="77777777" w:rsidR="001F0E42" w:rsidRPr="00A259BD" w:rsidRDefault="001F0E42"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4196ED" w14:textId="77777777" w:rsidR="00CD567A" w:rsidRPr="00A259BD" w:rsidRDefault="00CD567A"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18 июля 1929 г. </w:t>
      </w:r>
      <w:hyperlink r:id="rId90" w:tgtFrame="_blank" w:history="1">
        <w:r w:rsidRPr="00A259BD">
          <w:rPr>
            <w:rFonts w:ascii="Times New Roman" w:eastAsia="Times New Roman" w:hAnsi="Times New Roman"/>
            <w:color w:val="000000" w:themeColor="text1"/>
            <w:sz w:val="16"/>
            <w:szCs w:val="16"/>
            <w:lang w:eastAsia="ru-RU"/>
          </w:rPr>
          <w:t>протоколом № 29</w:t>
        </w:r>
      </w:hyperlink>
      <w:r w:rsidRPr="00A259BD">
        <w:rPr>
          <w:rFonts w:ascii="Times New Roman" w:eastAsia="Times New Roman" w:hAnsi="Times New Roman"/>
          <w:color w:val="000000" w:themeColor="text1"/>
          <w:sz w:val="16"/>
          <w:szCs w:val="16"/>
          <w:lang w:eastAsia="ru-RU"/>
        </w:rPr>
        <w:t xml:space="preserve"> на заседании Революционного военного совета СССР была утверждена первая система «танко-тракторно-авто-броне-вооружения </w:t>
      </w:r>
      <w:proofErr w:type="spellStart"/>
      <w:r w:rsidRPr="00A259BD">
        <w:rPr>
          <w:rFonts w:ascii="Times New Roman" w:eastAsia="Times New Roman" w:hAnsi="Times New Roman"/>
          <w:color w:val="000000" w:themeColor="text1"/>
          <w:sz w:val="16"/>
          <w:szCs w:val="16"/>
          <w:lang w:eastAsia="ru-RU"/>
        </w:rPr>
        <w:t>РККА»я</w:t>
      </w:r>
      <w:proofErr w:type="spellEnd"/>
      <w:r w:rsidRPr="00A259BD">
        <w:rPr>
          <w:rFonts w:ascii="Times New Roman" w:eastAsia="Times New Roman" w:hAnsi="Times New Roman"/>
          <w:color w:val="000000" w:themeColor="text1"/>
          <w:sz w:val="16"/>
          <w:szCs w:val="16"/>
          <w:lang w:eastAsia="ru-RU"/>
        </w:rPr>
        <w:t>. Согласно этому документу в первой пятилетке промышленность должна была разработать и освоить серийный выпуск боевых и транспортных машин со следующими тактико-техническими характеристиками:</w:t>
      </w:r>
    </w:p>
    <w:p w14:paraId="7F47DF74"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«а) танкетка (колесно-гусеничная). Назначение – разведка, внезапное нападение. Вес – не более 3,3 т. Желательно понижение веса до 2,5 и 2 т. Скорость – не менее 60 км на колесном ходу и 40 км – на гусеничном. Броня должна гарантировать от пробивания бронебойными пулями с дистанции 300 м. Вооружение – 1 пулемет с горизонтальным обстрелом 360° или два, не одновременно действующих с горизонтальным обстрелом 360°. Боекомплект не менее 2,5 тыс. патронов. Команда – 2 чел. Радиус действия 300 км на гусеничном ходу, 450 – на колесном. Ширина перекрываемого препятствия – не менее 1,25 м, высота – 0,5 м, глубина брода – 0,75 м (желательна плавучесть). Диаметр сваливаемых деревьев 10 см. Переход от колесного на гусеничный ход не более 0,5 мин., не выходя из танкетки. Высота танкетки – не более 1,5 м. Кроме того, сконструировать танкетку с теми же данными, но вооруженную одной 37-мм пушкой с задачей противотанковой борьбы; </w:t>
      </w:r>
    </w:p>
    <w:p w14:paraId="035471C9"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б) малый танк. Назначение – ударное средство механизированных соединений, прорыв в условиях маневренного боя. Вес – не более 7 – 7,5 т. Скорость – 25 – 30 км/ч. Толщина брони должна гарантировать от пробивания 37-мм снарядом при начальной скорости 700 м/с </w:t>
      </w:r>
      <w:proofErr w:type="spellStart"/>
      <w:r w:rsidRPr="00A259BD">
        <w:rPr>
          <w:rFonts w:ascii="Times New Roman" w:eastAsia="Times New Roman" w:hAnsi="Times New Roman"/>
          <w:iCs/>
          <w:color w:val="000000" w:themeColor="text1"/>
          <w:sz w:val="16"/>
          <w:szCs w:val="16"/>
          <w:lang w:eastAsia="ru-RU"/>
        </w:rPr>
        <w:t>с</w:t>
      </w:r>
      <w:proofErr w:type="spellEnd"/>
      <w:r w:rsidRPr="00A259BD">
        <w:rPr>
          <w:rFonts w:ascii="Times New Roman" w:eastAsia="Times New Roman" w:hAnsi="Times New Roman"/>
          <w:iCs/>
          <w:color w:val="000000" w:themeColor="text1"/>
          <w:sz w:val="16"/>
          <w:szCs w:val="16"/>
          <w:lang w:eastAsia="ru-RU"/>
        </w:rPr>
        <w:t xml:space="preserve"> 1 тыс. м. Вооружение — одна 37-мм пушка и 2 пулемета, из них один, не одновременно с пушкой действующий. Боекомплект – не менее 75 шт. снарядов и 3,5 тыс. патронов. Команда – 3 чел. Радиус действия 200 км. Ширина горизонтального препятствия не менее 2 м. Высота препятствия – 0,6 – 0,8 м. Глубина брода не менее 1,3 м (желательно плавучесть). Диаметр сваливаемых деревьев 20 см. В опытном порядке конструировать также колесно-гусеничный малый танк с теми же данными, но с допуском веса не более 8 т., скоростью на колесном ходу 45 км/ч и радиусом действия на колесном ходу 300 км (Впредь до </w:t>
      </w:r>
      <w:proofErr w:type="spellStart"/>
      <w:r w:rsidRPr="00A259BD">
        <w:rPr>
          <w:rFonts w:ascii="Times New Roman" w:eastAsia="Times New Roman" w:hAnsi="Times New Roman"/>
          <w:iCs/>
          <w:color w:val="000000" w:themeColor="text1"/>
          <w:sz w:val="16"/>
          <w:szCs w:val="16"/>
          <w:lang w:eastAsia="ru-RU"/>
        </w:rPr>
        <w:t>сконструирования</w:t>
      </w:r>
      <w:proofErr w:type="spellEnd"/>
      <w:r w:rsidRPr="00A259BD">
        <w:rPr>
          <w:rFonts w:ascii="Times New Roman" w:eastAsia="Times New Roman" w:hAnsi="Times New Roman"/>
          <w:iCs/>
          <w:color w:val="000000" w:themeColor="text1"/>
          <w:sz w:val="16"/>
          <w:szCs w:val="16"/>
          <w:lang w:eastAsia="ru-RU"/>
        </w:rPr>
        <w:t xml:space="preserve"> нового малого танка допустить на вооружение частей РККА танк MC-1, АУ УС РККА принять все меры к увеличению скорости его хода до 24 – 25 км); </w:t>
      </w:r>
    </w:p>
    <w:p w14:paraId="599DDD3F"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в) средний танк. Назначение – прорыв укрепленной полосы в условиях как маневренных, так и позиционных. Вес – не более 15 – 16 т. Скорость – 25 – 30 км. Толщина брони должна гарантировать от пробивания 37-мм снарядом (при начальной скорости 700 м/с) на дистанции 750 м. Вооружение – одна 45-мм пушка и три одновременно действующих пулемета. Боекомплект не менее 100 снарядов и 5 тыс. патронов. Число команды – 4 – 5 чел. Радиус действия 200 км. Ширина перекрываемого препятствия – не менее 2,5 м. Высота – 1 м, глубина брода не менее 1,3 м. Диаметр сваливаемых деревьев – 30 см; </w:t>
      </w:r>
    </w:p>
    <w:p w14:paraId="183DA0B2"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г) по отношению к большому танку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 </w:t>
      </w:r>
    </w:p>
    <w:p w14:paraId="0F4A78E0"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д) самоходная пушка механизированных частей. Назначение – подготовка и поддержка танковой атаки, борьба против танков (артиллерия сопровождения механизированных частей). Шасси малого танка. Калибр – 76 мм. Вес – не более 7 – 7,5 т. Скорость хода – 25 – 30 км. Броня 7 – 10 мм. Угол возвышения – не менее 30°. Горизонтальный угол 12°. Орудие должно представлять полный стандарт в смысле тела и затвора с дивизионной или полковой пушкой. На установке перевозится не менее 24 патронов и 2 чел. орудийных номеров; </w:t>
      </w:r>
    </w:p>
    <w:p w14:paraId="370BE34C"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е) самоходная зенитная пулеметная установка. Назначение – охрана механизированных частей на походе и в бою от штурмовой авиации (бреющий полет). Шасси малого танка или среднего трактора. Вес – 7 – 7,5 т. Скорость хода – 25 – 30 км. Броня 7 – 10 мм. Вооружение – универсальный 4-ствольный станковый пулемет, калибром 7,62 мм. Установка должна перевозить не менее 2 чел. команды и 4 тыс. патронов; </w:t>
      </w:r>
    </w:p>
    <w:p w14:paraId="5E1B9DBE"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ж) самоходная зенитная пушечная установка. Назначение – оборона механизированных частей на походе и в бою от штурмовой и бомбардировочной авиации, подвижное противотанковое средство. Шасси малого танка или среднего трактора. Вес – 7 – 7,5 т. Скорость хода – 25 – 30 км/ч. Бортовая броня 7 – 10 мм. Вооружение – спаренная 37-мм зенитная пушка. Установка должна перевозить не менее 2 чел. орудийных номеров и 100 выстрелов; </w:t>
      </w:r>
    </w:p>
    <w:p w14:paraId="647F78A2"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з) по отношению к транспортеру пехоты на шасси малого танка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 </w:t>
      </w:r>
    </w:p>
    <w:p w14:paraId="0943CD4D"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и) радио-трактор. Назначение – связь крупных танковых соединений. Шасси малого танка или среднего трактора. Вес – 7 – 7,5 т. Скорость хода – 25 – 30 км/ч. Толщина бортовой брони (щитки) – 7 – 10 мм. Станция телеграфно-телефонная. Радиус действия (телеграфом) станций 250 км при остановке. Работа с хода на дистанцию — не менее 50 км. Для обслуживания станции допускается иметь вторую аналогичную первой машину; </w:t>
      </w:r>
    </w:p>
    <w:p w14:paraId="0927AC69"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к) дымовой танк. Назначение – выпуск мощных дымовых завес. Шасси малого танка или среднего трактора. Вес – 7 – 7,5 т. Скорость хода – 25 – 30 км/ч. Толщина брони – 7 – 10 мм; </w:t>
      </w:r>
    </w:p>
    <w:p w14:paraId="520DFCC7"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л) по отношению к мостовому танку ограничиться пока теоретической разработкой, предложив ВПУ ВСНХ к 1 октября 1930 г. представить эскизный проект, после чего и решить вопрос о включении его в систему вооружения </w:t>
      </w:r>
    </w:p>
    <w:p w14:paraId="7DA746D1"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м) легкий трактор. Назначение – перевозка материальной части дивизионной артиллерии, перевозка личного и командного состава и всех частей моторизованной артиллерии. Вес – 3 – 3,5 т. Максимальная скорость движения с прицепкой – 25 – 30 км. Движитель гусеничный; </w:t>
      </w:r>
    </w:p>
    <w:p w14:paraId="1554A8AE"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н) средний трактор. Назначение – перевозка орудий АРГК, весящих в походном положении не свыше 7 т. Перевозка корпусной артиллерии, перевозка грузов механизированных соединений (обоз 2 разряда). Шасси должно быть возможно более стандартизировано с шасси легкого танка. Желателен полный стандарт. Вес – около 7 т. Вес прицепного груза – 7 – 7,5 т. Максимальная скорость движения с прицепным грузом 20 км. Движитель гусеничный (Впредь до </w:t>
      </w:r>
      <w:proofErr w:type="spellStart"/>
      <w:r w:rsidRPr="00A259BD">
        <w:rPr>
          <w:rFonts w:ascii="Times New Roman" w:eastAsia="Times New Roman" w:hAnsi="Times New Roman"/>
          <w:iCs/>
          <w:color w:val="000000" w:themeColor="text1"/>
          <w:sz w:val="16"/>
          <w:szCs w:val="16"/>
          <w:lang w:eastAsia="ru-RU"/>
        </w:rPr>
        <w:t>сконструирования</w:t>
      </w:r>
      <w:proofErr w:type="spellEnd"/>
      <w:r w:rsidRPr="00A259BD">
        <w:rPr>
          <w:rFonts w:ascii="Times New Roman" w:eastAsia="Times New Roman" w:hAnsi="Times New Roman"/>
          <w:iCs/>
          <w:color w:val="000000" w:themeColor="text1"/>
          <w:sz w:val="16"/>
          <w:szCs w:val="16"/>
          <w:lang w:eastAsia="ru-RU"/>
        </w:rPr>
        <w:t xml:space="preserve"> новых среднего и малого тракторов допустить на вооружение РККА тракторы "Большевик" и "Коммунар". АУ УС РККА принять меры к увеличению скорости означенных тракторов согласно плану модернизации); </w:t>
      </w:r>
    </w:p>
    <w:p w14:paraId="6BD7CC49"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о) тяжелый трактор. Назначение – перевозка орудий АРГК особой мощности и всех тяжелый грузов. Вес – около 11 т. Вес прицепного груза – 11 – 12 т. Максимальная скорость движения с прицепным грузом 15 км. </w:t>
      </w:r>
    </w:p>
    <w:p w14:paraId="50C50BBF"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З. Признать не нужным конструирование специальной новой бронемашины и поручить УС РККА совместно с промышленностью проработать вопрос о приспособлении ныне установленных в производство машин, а именно: </w:t>
      </w:r>
    </w:p>
    <w:p w14:paraId="326088B6"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а) "Форд" – модель "А"; </w:t>
      </w:r>
    </w:p>
    <w:p w14:paraId="3C697E4A"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б) "Форд" – марки "АА" с задним мостом "</w:t>
      </w:r>
      <w:proofErr w:type="spellStart"/>
      <w:r w:rsidRPr="00A259BD">
        <w:rPr>
          <w:rFonts w:ascii="Times New Roman" w:eastAsia="Times New Roman" w:hAnsi="Times New Roman"/>
          <w:iCs/>
          <w:color w:val="000000" w:themeColor="text1"/>
          <w:sz w:val="16"/>
          <w:szCs w:val="16"/>
          <w:lang w:eastAsia="ru-RU"/>
        </w:rPr>
        <w:t>Джембо</w:t>
      </w:r>
      <w:proofErr w:type="spellEnd"/>
      <w:r w:rsidRPr="00A259BD">
        <w:rPr>
          <w:rFonts w:ascii="Times New Roman" w:eastAsia="Times New Roman" w:hAnsi="Times New Roman"/>
          <w:iCs/>
          <w:color w:val="000000" w:themeColor="text1"/>
          <w:sz w:val="16"/>
          <w:szCs w:val="16"/>
          <w:lang w:eastAsia="ru-RU"/>
        </w:rPr>
        <w:t xml:space="preserve">" или другой конструкции; </w:t>
      </w:r>
    </w:p>
    <w:p w14:paraId="361EC45C"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в) автокар грузовой. </w:t>
      </w:r>
    </w:p>
    <w:p w14:paraId="555FD157"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lastRenderedPageBreak/>
        <w:t xml:space="preserve">4. Принять следующее требование к приспособленным машинам: </w:t>
      </w:r>
    </w:p>
    <w:p w14:paraId="57EEE13A"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а) легкий бронеавтомобиль ("Форд", модель "А"). Назначение – подвижное огневое средство в составе разведывательных частей. Вооружение – 2 пулемета, из них 1 – с приспособлением для воздушной стрельбы. Броня отсутствует, но имеется впереди щит от пуль. Желательно приспособление третьей оси. Максимальная скорость движения по дороге – 80 – 100 км. Вес машины – не более 1,5 км. Команда – 3 чел. Емкость машины должна допускать размещения не менее 2 тыс. патронов. Радиус действия 250 км. Кроме того, признать необходимым конструирование той же машины, но для 37-мм пушки с круговым обстрелом вместо пулемета; </w:t>
      </w:r>
    </w:p>
    <w:p w14:paraId="02435A1F" w14:textId="77777777" w:rsidR="00CD567A" w:rsidRPr="00A259BD" w:rsidRDefault="00CD567A" w:rsidP="009236E3">
      <w:pPr>
        <w:spacing w:after="0" w:line="240" w:lineRule="auto"/>
        <w:jc w:val="both"/>
        <w:rPr>
          <w:rFonts w:ascii="Times New Roman" w:eastAsia="Times New Roman" w:hAnsi="Times New Roman"/>
          <w:iCs/>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б) средний бронеавтомобиль ("Форд АА" с задним мостом "</w:t>
      </w:r>
      <w:proofErr w:type="spellStart"/>
      <w:r w:rsidRPr="00A259BD">
        <w:rPr>
          <w:rFonts w:ascii="Times New Roman" w:eastAsia="Times New Roman" w:hAnsi="Times New Roman"/>
          <w:iCs/>
          <w:color w:val="000000" w:themeColor="text1"/>
          <w:sz w:val="16"/>
          <w:szCs w:val="16"/>
          <w:lang w:eastAsia="ru-RU"/>
        </w:rPr>
        <w:t>Джембо</w:t>
      </w:r>
      <w:proofErr w:type="spellEnd"/>
      <w:r w:rsidRPr="00A259BD">
        <w:rPr>
          <w:rFonts w:ascii="Times New Roman" w:eastAsia="Times New Roman" w:hAnsi="Times New Roman"/>
          <w:iCs/>
          <w:color w:val="000000" w:themeColor="text1"/>
          <w:sz w:val="16"/>
          <w:szCs w:val="16"/>
          <w:lang w:eastAsia="ru-RU"/>
        </w:rPr>
        <w:t xml:space="preserve">" или другой конструкции). Назначение – боевая разведка в составе разведывательных отрядов и механизированных соединений. Вооружение – 2 пулемета, из них 1 с круговым обстрелом. Броня должна давать гарантию от пробивания обыкновенными пулями с дистанции 150 – 200 м. Максимальная скорость движения по дороге – 50 км. Вес машины – не свыше 3,8 т. Количество команды – 3 чел. Радиус действия 200 км. Емкость машины должна допускать размещение не менее 3 тыс. пулеметных патронов. </w:t>
      </w:r>
    </w:p>
    <w:p w14:paraId="6CE507E3" w14:textId="77777777" w:rsidR="00CD567A" w:rsidRPr="00A259BD" w:rsidRDefault="00CD567A"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в) тяжелый бронеавтомобиль (автокар грузовой). Назначение – тяжелая разведывательная машина и средство противотанковой борьбы. Вооружение – одна 37-мм пушка и пулемет (не одновременно действующий) с круговым обстрелом и один пулемет для стрельбы в направлении движения (угол обстрела 25 – 30°). Бронемашина должна давать гарантию от пробивания бронебойными пулями на дистанции до 500 м. Число осей – 3. Машина должна иметь заднее рулевое управление. Скорость движения по дороге не менее 50 км. Вес машины – не свыше 6 т. Команда – 4 чел. Радиус действия 200 км. Емкость машины должна допускать размещение не менее 75 орудийных выстрелов, 3 тыс. пулеметных патронов и запас горючего на 5 – 6 часов среднего хода. (Впредь до окончательной разработки приспособления для военных целей указанных машин допустить на вооружение РККА бронемашину БА-27 )».</w:t>
      </w:r>
    </w:p>
    <w:p w14:paraId="296C8B40" w14:textId="77777777" w:rsidR="00CD567A" w:rsidRPr="00A259BD" w:rsidRDefault="00CD567A"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bCs/>
          <w:color w:val="000000" w:themeColor="text1"/>
          <w:sz w:val="16"/>
          <w:szCs w:val="16"/>
          <w:lang w:eastAsia="ru-RU"/>
        </w:rPr>
        <w:t>[РГВА. Ф. 4. Оп. 18. Д. 15. Л. 190 – 203] (17501).</w:t>
      </w:r>
    </w:p>
    <w:p w14:paraId="4426E380" w14:textId="77777777" w:rsidR="00CD567A" w:rsidRPr="00A259BD" w:rsidRDefault="00CD567A" w:rsidP="009236E3">
      <w:pPr>
        <w:spacing w:after="0" w:line="240" w:lineRule="auto"/>
        <w:jc w:val="both"/>
        <w:rPr>
          <w:rFonts w:ascii="Times New Roman" w:hAnsi="Times New Roman"/>
          <w:color w:val="000000" w:themeColor="text1"/>
          <w:sz w:val="16"/>
          <w:szCs w:val="16"/>
        </w:rPr>
      </w:pPr>
    </w:p>
    <w:p w14:paraId="22F289C2" w14:textId="77777777" w:rsidR="00B50A82" w:rsidRPr="00A259BD" w:rsidRDefault="00B50A82"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Не ранее 18 июля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РЗ СТО СССР по докладу ВСНХ СССР «О производстве ферросплавов на первый период войны» (РГАЭ. Ф. 4372. Оп. 91. Д. 378. Л. 30?30 об.) (12415).</w:t>
      </w:r>
    </w:p>
    <w:p w14:paraId="4D9B8C4D" w14:textId="77777777" w:rsidR="00B50A82" w:rsidRPr="00A259BD" w:rsidRDefault="00B50A82" w:rsidP="009236E3">
      <w:pPr>
        <w:spacing w:after="0" w:line="240" w:lineRule="auto"/>
        <w:jc w:val="both"/>
        <w:rPr>
          <w:rFonts w:ascii="Times New Roman" w:hAnsi="Times New Roman"/>
          <w:color w:val="000000" w:themeColor="text1"/>
          <w:sz w:val="16"/>
          <w:szCs w:val="16"/>
          <w:u w:color="002060"/>
        </w:rPr>
      </w:pPr>
    </w:p>
    <w:p w14:paraId="636241FC" w14:textId="77777777" w:rsidR="00B50A82" w:rsidRPr="00A259BD" w:rsidRDefault="00B50A82"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18 июля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Политбюро ЦК ВКП (б) приняло решение об увеличении пятилетнего плана цветной металлургии; одобрило предложение ВЦСПС о проведении «Дня индустриализации» (12265).</w:t>
      </w:r>
    </w:p>
    <w:p w14:paraId="4B8A3C7C" w14:textId="77777777" w:rsidR="00B50A82" w:rsidRPr="00A259BD" w:rsidRDefault="00B50A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СНК принял постановления: «О мероприятиях к усилению работы производственных совещаний и использованию инициативы рабочих и служащих в деле улучшения производства»; «О центральной и республиканских комиссиях по учету и реализации лома черных металлов» (12265).</w:t>
      </w:r>
    </w:p>
    <w:p w14:paraId="113F3605" w14:textId="77777777" w:rsidR="00B50A82" w:rsidRPr="00A259BD" w:rsidRDefault="00B50A82" w:rsidP="009236E3">
      <w:pPr>
        <w:spacing w:after="0" w:line="240" w:lineRule="auto"/>
        <w:jc w:val="both"/>
        <w:rPr>
          <w:rFonts w:ascii="Times New Roman" w:hAnsi="Times New Roman"/>
          <w:color w:val="000000" w:themeColor="text1"/>
          <w:sz w:val="16"/>
          <w:szCs w:val="16"/>
        </w:rPr>
      </w:pPr>
    </w:p>
    <w:p w14:paraId="410810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июля 1929 г. появилось сношение АУ РККА по вопросу 203-мм корпусной мортиры "Ж" завода "Красный Путиловец", а 29 июля 1929 г. - опытный заказ АУ на 203-мм мортиру и началась разработка проекта 203-мм корпусной мортиры в КБ завода "Красный Путиловец". Тело мортиры состояло из трубы, кожуха и навинченного на заднюю часть кожуха казенника с противовесом и бородой, а также двух колец с захватом. Камора была спроектирована под гильзу и предусматривает возможность использования боекомплекта 203-мм гаубицы системы "Е" (Шнейдер "Красный Путиловец"). Затвор поршневой, целиком без изменений принят от 203-мм гаубицы "Е". Лафет коробчатого типа, склепан из листов толщиной 3 мм. Тормоз отката и накатник собраны в одном агрегате под телом орудия, при накате они неподвижны. Тормоз отката и накатник воздушно-гидравлического типа. Подъемный механизм имел два сектора. Уравновешивающий механизм пружинный. Щит толщиной 6 мм жестко прикреплен к станку. Колеса металлические дисковые диаметром 1000 мм с резиновой </w:t>
      </w:r>
      <w:proofErr w:type="spellStart"/>
      <w:r w:rsidRPr="00A259BD">
        <w:rPr>
          <w:rFonts w:ascii="Times New Roman" w:hAnsi="Times New Roman"/>
          <w:color w:val="000000" w:themeColor="text1"/>
          <w:sz w:val="16"/>
          <w:szCs w:val="16"/>
        </w:rPr>
        <w:t>грузошиной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Подрессоривание</w:t>
      </w:r>
      <w:proofErr w:type="spellEnd"/>
      <w:r w:rsidRPr="00A259BD">
        <w:rPr>
          <w:rFonts w:ascii="Times New Roman" w:hAnsi="Times New Roman"/>
          <w:color w:val="000000" w:themeColor="text1"/>
          <w:sz w:val="16"/>
          <w:szCs w:val="16"/>
        </w:rPr>
        <w:t xml:space="preserve"> пружинное. Система имела передок от 152-мм гаубицы обр. 1909 г., а прицел от 152-мм мортиры обр. 1931 г. Имелся механизм быстрого приведения орудия к углу заряжания (взятый от 234-мм гаубицы Виккерса) (3861).</w:t>
      </w:r>
    </w:p>
    <w:p w14:paraId="6D6F7D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235C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июля 1929 был учрежден пост начальника вооружений РККА (1136,265).</w:t>
      </w:r>
    </w:p>
    <w:p w14:paraId="0CAE08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7A101D" w14:textId="77777777" w:rsidR="00B50A82" w:rsidRPr="00A259BD" w:rsidRDefault="00B50A82"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18 июля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Протокол заседания Политбюро ЦК ВКП(б) № 89. 2. Проект резолюции по докладу Ленинградского судостроительного треста (ПБ от 4 июля 1929 г., пр. № 87, п. 5). 13. О военной промышленности (Сталин) — ОП. Постановили: предложить ВСНХ СССР и ВПУ в развитие директивы Политбюро от 15 июля 1929 г. об улучшении военной промышленности дать соответствующие директивы по трестам и заводам. Копию директив прислать в ЦК. 16. О состоянии и перспективах цветной металлургии (ПБ от 11 июля 1929 г., пр. № 88, п. 8) Закрытые заседания ПБ от 1 и 8 июля 1929 г. 22. О состоянии обороны страны и о работе РЗ СТО (ПБ от 22 марта 1928 г., пр. № 16, п. 17 и от 20 августа 1928 г., пр. № 39, п. 26). От 15 июля 1929 г. 23. О состоянии обороны страны и о работе РЗ СТО (ПБ от 18 июля 1929 г., пр. № 89, п. 22). — ОП. Решения ПБ от 15 июля 1929 г. 37. О контрреволюционной организации в военной промышленности. — ОП. 38. О военной промышленности (ПБ от 11 июля 1929 г., пр. № 88, п. 20) — ОП. (Политбюро... Т. 1. С. 707, 708; РГАСПИ. Ф. 17. Оп. 162. Д. 7. Л. 97) (12416).</w:t>
      </w:r>
    </w:p>
    <w:p w14:paraId="64C8D843" w14:textId="77777777" w:rsidR="00B50A82" w:rsidRPr="00A259BD" w:rsidRDefault="00B50A82" w:rsidP="009236E3">
      <w:pPr>
        <w:spacing w:after="0" w:line="240" w:lineRule="auto"/>
        <w:jc w:val="both"/>
        <w:rPr>
          <w:rFonts w:ascii="Times New Roman" w:hAnsi="Times New Roman"/>
          <w:color w:val="000000" w:themeColor="text1"/>
          <w:sz w:val="16"/>
          <w:szCs w:val="16"/>
          <w:u w:color="002060"/>
        </w:rPr>
      </w:pPr>
    </w:p>
    <w:p w14:paraId="081D773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6D73D3B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8D3586" w14:textId="77777777" w:rsidR="001F0E42" w:rsidRPr="00A259BD" w:rsidRDefault="001F0E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июля в 1929 году создано Управление моторизации и механизации РККА (14956).</w:t>
      </w:r>
    </w:p>
    <w:p w14:paraId="374B11D9" w14:textId="77777777" w:rsidR="001F0E42" w:rsidRPr="00A259BD" w:rsidRDefault="001F0E42" w:rsidP="009236E3">
      <w:pPr>
        <w:spacing w:after="0" w:line="240" w:lineRule="auto"/>
        <w:jc w:val="both"/>
        <w:rPr>
          <w:rFonts w:ascii="Times New Roman" w:hAnsi="Times New Roman"/>
          <w:color w:val="000000" w:themeColor="text1"/>
          <w:sz w:val="16"/>
          <w:szCs w:val="16"/>
        </w:rPr>
      </w:pPr>
    </w:p>
    <w:p w14:paraId="55F8863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A41409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45800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июля 1929-го вышло постановление СНК СССР от “Об отпуске средств на строительство </w:t>
      </w:r>
      <w:proofErr w:type="spellStart"/>
      <w:r w:rsidRPr="00A259BD">
        <w:rPr>
          <w:rFonts w:ascii="Times New Roman" w:hAnsi="Times New Roman"/>
          <w:color w:val="000000" w:themeColor="text1"/>
          <w:sz w:val="16"/>
          <w:szCs w:val="16"/>
        </w:rPr>
        <w:t>Вишерского</w:t>
      </w:r>
      <w:proofErr w:type="spellEnd"/>
      <w:r w:rsidRPr="00A259BD">
        <w:rPr>
          <w:rFonts w:ascii="Times New Roman" w:hAnsi="Times New Roman"/>
          <w:color w:val="000000" w:themeColor="text1"/>
          <w:sz w:val="16"/>
          <w:szCs w:val="16"/>
        </w:rPr>
        <w:t xml:space="preserve"> лагеря особого назначения” организуется Управление </w:t>
      </w:r>
      <w:proofErr w:type="spellStart"/>
      <w:r w:rsidRPr="00A259BD">
        <w:rPr>
          <w:rFonts w:ascii="Times New Roman" w:hAnsi="Times New Roman"/>
          <w:color w:val="000000" w:themeColor="text1"/>
          <w:sz w:val="16"/>
          <w:szCs w:val="16"/>
        </w:rPr>
        <w:t>Вишерских</w:t>
      </w:r>
      <w:proofErr w:type="spellEnd"/>
      <w:r w:rsidRPr="00A259BD">
        <w:rPr>
          <w:rFonts w:ascii="Times New Roman" w:hAnsi="Times New Roman"/>
          <w:color w:val="000000" w:themeColor="text1"/>
          <w:sz w:val="16"/>
          <w:szCs w:val="16"/>
        </w:rPr>
        <w:t xml:space="preserve"> лагерей особого назначения (УВЛОН) с центром в городе Красновишерск Уральской области (ныне Пермская область) (7560).</w:t>
      </w:r>
    </w:p>
    <w:p w14:paraId="6F2777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132042" w14:textId="77777777" w:rsidR="002D48EF"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70C95F03" w14:textId="77777777" w:rsidR="002D48EF" w:rsidRPr="00A259BD" w:rsidRDefault="002D48E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4EEA86" w14:textId="77777777" w:rsidR="002D48EF" w:rsidRPr="00A259BD" w:rsidRDefault="002D48E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июля в 1929 году Исполком Коминтерна обращается к трудящимся всего мира с призывом дать отпор поджигателям войны и организаторам контрреволюционного похода против СССР (14956).</w:t>
      </w:r>
    </w:p>
    <w:p w14:paraId="06882160" w14:textId="77777777" w:rsidR="002D48EF" w:rsidRPr="00A259BD" w:rsidRDefault="002D48EF" w:rsidP="009236E3">
      <w:pPr>
        <w:spacing w:after="0" w:line="240" w:lineRule="auto"/>
        <w:jc w:val="both"/>
        <w:rPr>
          <w:rFonts w:ascii="Times New Roman" w:hAnsi="Times New Roman"/>
          <w:color w:val="000000" w:themeColor="text1"/>
          <w:sz w:val="16"/>
          <w:szCs w:val="16"/>
        </w:rPr>
      </w:pPr>
    </w:p>
    <w:p w14:paraId="2F751BB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AB626E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FE844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июля 1929 проводились дополнительные испытания самолета РV БМВ6, которые проходили с 11 июня 1929.</w:t>
      </w:r>
    </w:p>
    <w:p w14:paraId="5726031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Летчики Писаренко и Шарапов (6916).</w:t>
      </w:r>
    </w:p>
    <w:p w14:paraId="68508A8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дополнительных испытаний самолета РV БМВ6</w:t>
      </w:r>
    </w:p>
    <w:p w14:paraId="74DE3CD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Начало испытаний 11 июня 1929 года</w:t>
      </w:r>
    </w:p>
    <w:p w14:paraId="0CD11D5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 продолжались 32 рабочих дня</w:t>
      </w:r>
    </w:p>
    <w:p w14:paraId="4D5F314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июня 1929 года - испытание самолета РV БМВ6 на управляемость и на определение горизонтальных скоростей по мерному километру.</w:t>
      </w:r>
    </w:p>
    <w:p w14:paraId="57F1494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 Писаренко(6916).</w:t>
      </w:r>
    </w:p>
    <w:p w14:paraId="5E9416C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июля 1929 года в НИИ ВВС проводилось испытание самолета РV БМВ6 на определение горизонтальных скоростей по мерному километру.</w:t>
      </w:r>
    </w:p>
    <w:p w14:paraId="7239E9A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 Шарапов (6916).</w:t>
      </w:r>
    </w:p>
    <w:p w14:paraId="32C5184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Произведено до 40 полетов по различным заданиям в течение 15 дней</w:t>
      </w:r>
    </w:p>
    <w:p w14:paraId="4E409A8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 испытаний 19 июля 1929 года</w:t>
      </w:r>
    </w:p>
    <w:p w14:paraId="1F75253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вновь предъявлен НИИ после перестановки мотора и винта и исправления дефектов, обнаруженных НИИ при предыдущих испытаниях (производимых с 19 сентября до 5 ноября 1928 года) (6916).</w:t>
      </w:r>
    </w:p>
    <w:p w14:paraId="6C22096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CF540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июля 1929 в НИИ ВВС закончились испытания самолета РV БМВ VI, которые проходили с 11 июня 1929.</w:t>
      </w:r>
    </w:p>
    <w:p w14:paraId="5CD7D04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дополнительных испытаний самолета РV БМВ VI</w:t>
      </w:r>
    </w:p>
    <w:p w14:paraId="5E5E537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Начало испытания 11 июня 1929 года</w:t>
      </w:r>
    </w:p>
    <w:p w14:paraId="63B4D8F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течение 15 летных дней произведено 40 полетов по различным заданиям.</w:t>
      </w:r>
    </w:p>
    <w:p w14:paraId="2BF55D2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 испытаний 19 июля 1929 года</w:t>
      </w:r>
    </w:p>
    <w:p w14:paraId="7F040CB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вновь предъявлен НИИ после перестановки мотора и винта и исправления дефектов, обнаруженных НИИ при предыдущих испытаниях (производимых НИИ с 19 сентября 1928 года по 5 ноября 1928 года).</w:t>
      </w:r>
    </w:p>
    <w:p w14:paraId="5969B1D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46D920DC"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объеме произведенных испытаний самолет Р-5 БМВ VI с карбюратором БМВ показал удовлетворительные результаты (6990).</w:t>
      </w:r>
    </w:p>
    <w:p w14:paraId="12CE6CE5"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343FE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19 июня 1929 года я приступил к испытанию в воздухе самолета И-3 БМВ-6 за № 3821 с целью выяснения вертикальной скорости, управляемости, высшего пилотажа и вооружения ………………</w:t>
      </w:r>
    </w:p>
    <w:p w14:paraId="3384F31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сего времени попутно испытано еще 9 самолетов …………………..</w:t>
      </w:r>
    </w:p>
    <w:p w14:paraId="0E6E6F3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июля 1929 года - испытание на фигурные полеты (летчик Юмашев).</w:t>
      </w:r>
    </w:p>
    <w:p w14:paraId="3DADF4E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июля 1929 года - испытание на управляемость (летчик Юмашев) (6979).</w:t>
      </w:r>
    </w:p>
    <w:p w14:paraId="55997D9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121482" w14:textId="77777777" w:rsidR="00170433" w:rsidRPr="00441F34" w:rsidRDefault="00170433" w:rsidP="0017043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19 июля 1929 г. в НИИ ВВС летчик Шарапов начаты дополнительные испытания 2-го серийного самолета И-3 БМВ-6 зав. №3821 с целью выяснения вертикальной скорости, управляемости, характеристик фигур высшего пилотажа и вооружения (24887).</w:t>
      </w:r>
    </w:p>
    <w:p w14:paraId="2DA96F1B" w14:textId="77777777" w:rsidR="00170433" w:rsidRPr="00441F34" w:rsidRDefault="00170433" w:rsidP="00170433">
      <w:pPr>
        <w:spacing w:after="0" w:line="240" w:lineRule="auto"/>
        <w:jc w:val="both"/>
        <w:rPr>
          <w:rFonts w:ascii="Times New Roman" w:hAnsi="Times New Roman"/>
          <w:color w:val="0070C0"/>
          <w:sz w:val="16"/>
          <w:szCs w:val="16"/>
        </w:rPr>
      </w:pPr>
    </w:p>
    <w:p w14:paraId="07F9F506" w14:textId="77777777" w:rsidR="00CA6C05" w:rsidRPr="00A259BD" w:rsidRDefault="00CA6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июля 1929 г. отечественный аэростат загра</w:t>
      </w:r>
      <w:r w:rsidRPr="00A259BD">
        <w:rPr>
          <w:rFonts w:ascii="Times New Roman" w:hAnsi="Times New Roman"/>
          <w:color w:val="000000" w:themeColor="text1"/>
          <w:sz w:val="16"/>
          <w:szCs w:val="16"/>
        </w:rPr>
        <w:softHyphen/>
        <w:t>ждения представили на испытания, результаты которых оказались неудовлетворительными:</w:t>
      </w:r>
    </w:p>
    <w:p w14:paraId="1B399AE2" w14:textId="77777777" w:rsidR="00CA6C05" w:rsidRPr="00A259BD" w:rsidRDefault="00CA6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Изготовленный </w:t>
      </w:r>
      <w:proofErr w:type="spellStart"/>
      <w:r w:rsidRPr="00A259BD">
        <w:rPr>
          <w:rFonts w:ascii="Times New Roman" w:hAnsi="Times New Roman"/>
          <w:color w:val="000000" w:themeColor="text1"/>
          <w:sz w:val="16"/>
          <w:szCs w:val="16"/>
        </w:rPr>
        <w:t>Резинотрестом</w:t>
      </w:r>
      <w:proofErr w:type="spellEnd"/>
      <w:r w:rsidRPr="00A259BD">
        <w:rPr>
          <w:rFonts w:ascii="Times New Roman" w:hAnsi="Times New Roman"/>
          <w:color w:val="000000" w:themeColor="text1"/>
          <w:sz w:val="16"/>
          <w:szCs w:val="16"/>
        </w:rPr>
        <w:t xml:space="preserve"> опытный образец аэростата заграждения признать, на основании пер</w:t>
      </w:r>
      <w:r w:rsidRPr="00A259BD">
        <w:rPr>
          <w:rFonts w:ascii="Times New Roman" w:hAnsi="Times New Roman"/>
          <w:color w:val="000000" w:themeColor="text1"/>
          <w:sz w:val="16"/>
          <w:szCs w:val="16"/>
        </w:rPr>
        <w:softHyphen/>
        <w:t>вого подъёмного испытания, при коем аэростат ока</w:t>
      </w:r>
      <w:r w:rsidRPr="00A259BD">
        <w:rPr>
          <w:rFonts w:ascii="Times New Roman" w:hAnsi="Times New Roman"/>
          <w:color w:val="000000" w:themeColor="text1"/>
          <w:sz w:val="16"/>
          <w:szCs w:val="16"/>
        </w:rPr>
        <w:softHyphen/>
        <w:t>зался крайне неустойчивым в воздухе даже при ветре 4-5 м/с, неудовлетворяющим требованиям, утверж</w:t>
      </w:r>
      <w:r w:rsidRPr="00A259BD">
        <w:rPr>
          <w:rFonts w:ascii="Times New Roman" w:hAnsi="Times New Roman"/>
          <w:color w:val="000000" w:themeColor="text1"/>
          <w:sz w:val="16"/>
          <w:szCs w:val="16"/>
        </w:rPr>
        <w:softHyphen/>
        <w:t xml:space="preserve">дённым НТК и принятым </w:t>
      </w:r>
      <w:proofErr w:type="spellStart"/>
      <w:r w:rsidRPr="00A259BD">
        <w:rPr>
          <w:rFonts w:ascii="Times New Roman" w:hAnsi="Times New Roman"/>
          <w:color w:val="000000" w:themeColor="text1"/>
          <w:sz w:val="16"/>
          <w:szCs w:val="16"/>
        </w:rPr>
        <w:t>Резинотрестом</w:t>
      </w:r>
      <w:proofErr w:type="spellEnd"/>
      <w:r w:rsidRPr="00A259BD">
        <w:rPr>
          <w:rFonts w:ascii="Times New Roman" w:hAnsi="Times New Roman"/>
          <w:color w:val="000000" w:themeColor="text1"/>
          <w:sz w:val="16"/>
          <w:szCs w:val="16"/>
        </w:rPr>
        <w:t xml:space="preserve">. От приёма аэростата в его настоящем виде отказаться и просить </w:t>
      </w:r>
      <w:proofErr w:type="spellStart"/>
      <w:r w:rsidRPr="00A259BD">
        <w:rPr>
          <w:rFonts w:ascii="Times New Roman" w:hAnsi="Times New Roman"/>
          <w:color w:val="000000" w:themeColor="text1"/>
          <w:sz w:val="16"/>
          <w:szCs w:val="16"/>
        </w:rPr>
        <w:t>Резинотрест</w:t>
      </w:r>
      <w:proofErr w:type="spellEnd"/>
      <w:r w:rsidRPr="00A259BD">
        <w:rPr>
          <w:rFonts w:ascii="Times New Roman" w:hAnsi="Times New Roman"/>
          <w:color w:val="000000" w:themeColor="text1"/>
          <w:sz w:val="16"/>
          <w:szCs w:val="16"/>
        </w:rPr>
        <w:t xml:space="preserve"> сообщить, какие меры он полагает пред</w:t>
      </w:r>
      <w:r w:rsidRPr="00A259BD">
        <w:rPr>
          <w:rFonts w:ascii="Times New Roman" w:hAnsi="Times New Roman"/>
          <w:color w:val="000000" w:themeColor="text1"/>
          <w:sz w:val="16"/>
          <w:szCs w:val="16"/>
        </w:rPr>
        <w:softHyphen/>
        <w:t>принять для выполнения взятых им на себя по дого</w:t>
      </w:r>
      <w:r w:rsidRPr="00A259BD">
        <w:rPr>
          <w:rFonts w:ascii="Times New Roman" w:hAnsi="Times New Roman"/>
          <w:color w:val="000000" w:themeColor="text1"/>
          <w:sz w:val="16"/>
          <w:szCs w:val="16"/>
        </w:rPr>
        <w:softHyphen/>
        <w:t>вору с НТК обязательства по изготовлению опытного образца аэростата заграждения, удовлетворяющего техническим требованиям НТК. При затруднитель</w:t>
      </w:r>
      <w:r w:rsidRPr="00A259BD">
        <w:rPr>
          <w:rFonts w:ascii="Times New Roman" w:hAnsi="Times New Roman"/>
          <w:color w:val="000000" w:themeColor="text1"/>
          <w:sz w:val="16"/>
          <w:szCs w:val="16"/>
        </w:rPr>
        <w:softHyphen/>
        <w:t xml:space="preserve">ности </w:t>
      </w:r>
      <w:proofErr w:type="spellStart"/>
      <w:r w:rsidRPr="00A259BD">
        <w:rPr>
          <w:rFonts w:ascii="Times New Roman" w:hAnsi="Times New Roman"/>
          <w:color w:val="000000" w:themeColor="text1"/>
          <w:sz w:val="16"/>
          <w:szCs w:val="16"/>
        </w:rPr>
        <w:t>Резинотреста</w:t>
      </w:r>
      <w:proofErr w:type="spellEnd"/>
      <w:r w:rsidRPr="00A259BD">
        <w:rPr>
          <w:rFonts w:ascii="Times New Roman" w:hAnsi="Times New Roman"/>
          <w:color w:val="000000" w:themeColor="text1"/>
          <w:sz w:val="16"/>
          <w:szCs w:val="16"/>
        </w:rPr>
        <w:t xml:space="preserve"> осуществить в срочном порядке опытную конструкцию аэростата, отвечающую тех</w:t>
      </w:r>
      <w:r w:rsidRPr="00A259BD">
        <w:rPr>
          <w:rFonts w:ascii="Times New Roman" w:hAnsi="Times New Roman"/>
          <w:color w:val="000000" w:themeColor="text1"/>
          <w:sz w:val="16"/>
          <w:szCs w:val="16"/>
        </w:rPr>
        <w:softHyphen/>
        <w:t xml:space="preserve">ническим требованиям НТК, поставить перед </w:t>
      </w:r>
      <w:proofErr w:type="spellStart"/>
      <w:r w:rsidRPr="00A259BD">
        <w:rPr>
          <w:rFonts w:ascii="Times New Roman" w:hAnsi="Times New Roman"/>
          <w:color w:val="000000" w:themeColor="text1"/>
          <w:sz w:val="16"/>
          <w:szCs w:val="16"/>
        </w:rPr>
        <w:t>Рези</w:t>
      </w:r>
      <w:r w:rsidRPr="00A259BD">
        <w:rPr>
          <w:rFonts w:ascii="Times New Roman" w:hAnsi="Times New Roman"/>
          <w:color w:val="000000" w:themeColor="text1"/>
          <w:sz w:val="16"/>
          <w:szCs w:val="16"/>
        </w:rPr>
        <w:softHyphen/>
        <w:t>нотрестом</w:t>
      </w:r>
      <w:proofErr w:type="spellEnd"/>
      <w:r w:rsidRPr="00A259BD">
        <w:rPr>
          <w:rFonts w:ascii="Times New Roman" w:hAnsi="Times New Roman"/>
          <w:color w:val="000000" w:themeColor="text1"/>
          <w:sz w:val="16"/>
          <w:szCs w:val="16"/>
        </w:rPr>
        <w:t xml:space="preserve"> задачу изготовления опытных аэростатов заграждения, приняв за образец испытанную у нас французскую систему аэростатов заграждения6.</w:t>
      </w:r>
    </w:p>
    <w:p w14:paraId="0BF79052" w14:textId="77777777" w:rsidR="00CA6C05" w:rsidRPr="00A259BD" w:rsidRDefault="00CA6C05"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Резинотрест</w:t>
      </w:r>
      <w:proofErr w:type="spellEnd"/>
      <w:r w:rsidRPr="00A259BD">
        <w:rPr>
          <w:rFonts w:ascii="Times New Roman" w:hAnsi="Times New Roman"/>
          <w:color w:val="000000" w:themeColor="text1"/>
          <w:sz w:val="16"/>
          <w:szCs w:val="16"/>
        </w:rPr>
        <w:t xml:space="preserve"> отнёс отмеченную комиссией не</w:t>
      </w:r>
      <w:r w:rsidRPr="00A259BD">
        <w:rPr>
          <w:rFonts w:ascii="Times New Roman" w:hAnsi="Times New Roman"/>
          <w:color w:val="000000" w:themeColor="text1"/>
          <w:sz w:val="16"/>
          <w:szCs w:val="16"/>
        </w:rPr>
        <w:softHyphen/>
        <w:t>устойчивость аэростата на счёт неправильного проведения испытаний. Осенью 1929 г. состоялся новый подъём аэростата, полностью подтвердив</w:t>
      </w:r>
      <w:r w:rsidRPr="00A259BD">
        <w:rPr>
          <w:rFonts w:ascii="Times New Roman" w:hAnsi="Times New Roman"/>
          <w:color w:val="000000" w:themeColor="text1"/>
          <w:sz w:val="16"/>
          <w:szCs w:val="16"/>
        </w:rPr>
        <w:softHyphen/>
        <w:t>ший выводы комиссии. В лётно-подъёмный сезон 1930 г. аэростат испытывался вновь, но произве</w:t>
      </w:r>
      <w:r w:rsidRPr="00A259BD">
        <w:rPr>
          <w:rFonts w:ascii="Times New Roman" w:hAnsi="Times New Roman"/>
          <w:color w:val="000000" w:themeColor="text1"/>
          <w:sz w:val="16"/>
          <w:szCs w:val="16"/>
        </w:rPr>
        <w:softHyphen/>
        <w:t>дённые переделки заметных улучшений не внесли.</w:t>
      </w:r>
    </w:p>
    <w:p w14:paraId="33684074" w14:textId="77777777" w:rsidR="00CA6C05" w:rsidRPr="00A259BD" w:rsidRDefault="00CA6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удовлетворения потребностей ВВС Рези- </w:t>
      </w:r>
      <w:proofErr w:type="spellStart"/>
      <w:r w:rsidRPr="00A259BD">
        <w:rPr>
          <w:rFonts w:ascii="Times New Roman" w:hAnsi="Times New Roman"/>
          <w:color w:val="000000" w:themeColor="text1"/>
          <w:sz w:val="16"/>
          <w:szCs w:val="16"/>
        </w:rPr>
        <w:t>нотресту</w:t>
      </w:r>
      <w:proofErr w:type="spellEnd"/>
      <w:r w:rsidRPr="00A259BD">
        <w:rPr>
          <w:rFonts w:ascii="Times New Roman" w:hAnsi="Times New Roman"/>
          <w:color w:val="000000" w:themeColor="text1"/>
          <w:sz w:val="16"/>
          <w:szCs w:val="16"/>
        </w:rPr>
        <w:t xml:space="preserve"> заказали комплект АЗ (из двух аэроста</w:t>
      </w:r>
      <w:r w:rsidRPr="00A259BD">
        <w:rPr>
          <w:rFonts w:ascii="Times New Roman" w:hAnsi="Times New Roman"/>
          <w:color w:val="000000" w:themeColor="text1"/>
          <w:sz w:val="16"/>
          <w:szCs w:val="16"/>
        </w:rPr>
        <w:softHyphen/>
        <w:t>тов) по образцу французских «N» и «NN», под</w:t>
      </w:r>
      <w:r w:rsidRPr="00A259BD">
        <w:rPr>
          <w:rFonts w:ascii="Times New Roman" w:hAnsi="Times New Roman"/>
          <w:color w:val="000000" w:themeColor="text1"/>
          <w:sz w:val="16"/>
          <w:szCs w:val="16"/>
        </w:rPr>
        <w:softHyphen/>
        <w:t>твердивших свои высокие качества на испытаниях 1929 г. Испытания показали, что из-за отсутствия подходящей материи аэростат имел потолок ниже французского образца — примерно 3500 м (20120).</w:t>
      </w:r>
    </w:p>
    <w:p w14:paraId="417D717D" w14:textId="77777777" w:rsidR="00CA6C05" w:rsidRPr="00A259BD" w:rsidRDefault="00CA6C05" w:rsidP="009236E3">
      <w:pPr>
        <w:spacing w:after="0" w:line="240" w:lineRule="auto"/>
        <w:jc w:val="both"/>
        <w:rPr>
          <w:rFonts w:ascii="Times New Roman" w:hAnsi="Times New Roman"/>
          <w:color w:val="000000" w:themeColor="text1"/>
          <w:sz w:val="16"/>
          <w:szCs w:val="16"/>
        </w:rPr>
      </w:pPr>
    </w:p>
    <w:p w14:paraId="7C74CA3F" w14:textId="77777777" w:rsidR="00B50A82"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77FC767" w14:textId="77777777" w:rsidR="00B50A82" w:rsidRPr="00A259BD" w:rsidRDefault="00B50A8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C117F46" w14:textId="77777777" w:rsidR="001F0E42" w:rsidRPr="00A259BD" w:rsidRDefault="001F0E42" w:rsidP="009236E3">
      <w:pPr>
        <w:spacing w:after="0" w:line="240" w:lineRule="auto"/>
        <w:jc w:val="both"/>
        <w:rPr>
          <w:rStyle w:val="af0"/>
          <w:rFonts w:ascii="Times New Roman" w:hAnsi="Times New Roman"/>
          <w:i w:val="0"/>
          <w:color w:val="000000" w:themeColor="text1"/>
          <w:sz w:val="16"/>
          <w:szCs w:val="16"/>
        </w:rPr>
      </w:pPr>
      <w:r w:rsidRPr="00A259BD">
        <w:rPr>
          <w:rFonts w:ascii="Times New Roman" w:hAnsi="Times New Roman"/>
          <w:bCs/>
          <w:color w:val="000000" w:themeColor="text1"/>
          <w:sz w:val="16"/>
          <w:szCs w:val="16"/>
        </w:rPr>
        <w:t xml:space="preserve">19 июля 1929 г. — Письмо нач. Военно-технического управления </w:t>
      </w:r>
      <w:proofErr w:type="spellStart"/>
      <w:r w:rsidRPr="00A259BD">
        <w:rPr>
          <w:rFonts w:ascii="Times New Roman" w:hAnsi="Times New Roman"/>
          <w:bCs/>
          <w:color w:val="000000" w:themeColor="text1"/>
          <w:sz w:val="16"/>
          <w:szCs w:val="16"/>
        </w:rPr>
        <w:t>Управления</w:t>
      </w:r>
      <w:proofErr w:type="spellEnd"/>
      <w:r w:rsidRPr="00A259BD">
        <w:rPr>
          <w:rFonts w:ascii="Times New Roman" w:hAnsi="Times New Roman"/>
          <w:bCs/>
          <w:color w:val="000000" w:themeColor="text1"/>
          <w:sz w:val="16"/>
          <w:szCs w:val="16"/>
        </w:rPr>
        <w:t xml:space="preserve"> снабжений РККА И. А. </w:t>
      </w:r>
      <w:proofErr w:type="spellStart"/>
      <w:r w:rsidRPr="00A259BD">
        <w:rPr>
          <w:rFonts w:ascii="Times New Roman" w:hAnsi="Times New Roman"/>
          <w:bCs/>
          <w:color w:val="000000" w:themeColor="text1"/>
          <w:sz w:val="16"/>
          <w:szCs w:val="16"/>
        </w:rPr>
        <w:t>Халепского</w:t>
      </w:r>
      <w:proofErr w:type="spellEnd"/>
      <w:r w:rsidRPr="00A259BD">
        <w:rPr>
          <w:rFonts w:ascii="Times New Roman" w:hAnsi="Times New Roman"/>
          <w:bCs/>
          <w:color w:val="000000" w:themeColor="text1"/>
          <w:sz w:val="16"/>
          <w:szCs w:val="16"/>
        </w:rPr>
        <w:t xml:space="preserve"> генеральному секретарю ЦК ВКП(б) И. В. Сталину о неудовлетворительном состоянии дел в автопромышленности и о сотрудничестве в этой области с США</w:t>
      </w:r>
    </w:p>
    <w:p w14:paraId="764C9DDB" w14:textId="77777777" w:rsidR="00B50A82" w:rsidRPr="00A259BD" w:rsidRDefault="00B50A82"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7450DD75" w14:textId="77777777" w:rsidR="00B50A82" w:rsidRPr="00A259BD" w:rsidRDefault="00B50A82" w:rsidP="009236E3">
      <w:pPr>
        <w:pStyle w:val="ae"/>
        <w:spacing w:before="0" w:after="0"/>
        <w:jc w:val="both"/>
        <w:rPr>
          <w:color w:val="000000" w:themeColor="text1"/>
          <w:sz w:val="16"/>
          <w:szCs w:val="16"/>
        </w:rPr>
      </w:pPr>
      <w:r w:rsidRPr="00A259BD">
        <w:rPr>
          <w:color w:val="000000" w:themeColor="text1"/>
          <w:sz w:val="16"/>
          <w:szCs w:val="16"/>
        </w:rPr>
        <w:t>Уважаемый т. Сталин.</w:t>
      </w:r>
    </w:p>
    <w:p w14:paraId="5D4CB7EE"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 xml:space="preserve">Как Вам известно, в минувшем году я был командирован в Америку в составе правительственной комиссии по автомобильному делу. Возвратившись в марте месяце с. г. обратно, я с тех пор по поручению </w:t>
      </w:r>
      <w:hyperlink r:id="rId91" w:history="1">
        <w:r w:rsidRPr="00A259BD">
          <w:rPr>
            <w:color w:val="000000" w:themeColor="text1"/>
            <w:sz w:val="16"/>
            <w:szCs w:val="16"/>
          </w:rPr>
          <w:t>К. Е. Ворошилова</w:t>
        </w:r>
      </w:hyperlink>
      <w:r w:rsidRPr="00A259BD">
        <w:rPr>
          <w:color w:val="000000" w:themeColor="text1"/>
          <w:sz w:val="16"/>
          <w:szCs w:val="16"/>
        </w:rPr>
        <w:t xml:space="preserve"> непрерывно работаю по автомобильным вопросам, участвуя во всех комиссиях, заседаниях по автоделу с целью реализовать свои знания и опыт, полученный мной в Америке за время пребывания там в течение шести месяцев. Данную задачу я стараюсь выполнять по мере сил и возможности, как член партии, и, кроме того, по прямой своей должности как начальник Военно-технического управления УС РККА, на котором лежит задача разрешения вопросов по моторизации и механизации армии.</w:t>
      </w:r>
    </w:p>
    <w:p w14:paraId="63390AFD"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С одной стороны, в Америке я убедился, каким образом в самый кратчайший срок могут разрешаться задачи практического осуществления постройки и организации заводов, хотя бы в той же автомобильной промышленности; с другой — я твердо уверен, что у нас есть достаточно реальных возможностей для того, чтобы преодолеть те масштабы автомобильного развития в Союзе, которые преподаны ЦК ВКП(б) и декларированы правительственными инстанциями.</w:t>
      </w:r>
    </w:p>
    <w:p w14:paraId="1E676A79"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В настоящее время, когда вопрос о темпе развертывания нашей автомобильной промышленности предрешен на основе заключенного договора с Фордом и договора с группой американских инженеров Брандта, у меня появилась тревога за план осуществления всей автомобильной программы в том темпе и в те сроки, как это поставлено ЦК партии и правительственными инстанциями. Об этом и считаю своим партийным долгом довести до Вашего личного сведения.</w:t>
      </w:r>
    </w:p>
    <w:p w14:paraId="006C6047"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Имеющее место неблагополучие, с моей точки зрения, зависит не от каких-либо объективных причин, на которые мы очень часто любим ссылаться, а скорей от нашей расхлябанности, развинченности и беспечности. Видимо, ответственные товарищи, на которых непосредственно возложено осуществление всех практических мероприятий, связанных с постройкой и реорганизацией автомобильных заводов, не учитывают того обстоятельства, что каждый пропущенный без толку день стоит нам не только золотой валюты, но и главное — времени, которое дороже всякой золотой валюты. Для американцев время — все, а вот мы не умеем его ценить. Отсюда все качества. Мои опасения заключаются в следующем.</w:t>
      </w:r>
    </w:p>
    <w:p w14:paraId="58B63FBC"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1. Полагаю, что без обоснованного, продуманного плана нашей потребности автомобильного транспорта, связанного со всей экономикой Союза, на основе общей пятилетки и, наконец, задач обороны не может быть и речи о внедрении этого транспорта в нашей стране в порядке рентабельной эксплуатации. Этот вопрос был проработан самым тщательным образом т. </w:t>
      </w:r>
      <w:hyperlink r:id="rId92" w:history="1">
        <w:r w:rsidRPr="00A259BD">
          <w:rPr>
            <w:color w:val="000000" w:themeColor="text1"/>
            <w:sz w:val="16"/>
            <w:szCs w:val="16"/>
          </w:rPr>
          <w:t>Осинским</w:t>
        </w:r>
      </w:hyperlink>
      <w:r w:rsidRPr="00A259BD">
        <w:rPr>
          <w:color w:val="000000" w:themeColor="text1"/>
          <w:sz w:val="16"/>
          <w:szCs w:val="16"/>
        </w:rPr>
        <w:t xml:space="preserve"> в Госплане к моменту подписания договора с Фордом. Этот труд, впервые так основательно проработанный и увязанный с заинтересованными ведомствами, до сих пор не получает своего утверждения, что ставит под угрозу бесплановых (как это имело место раньше) заказов па автомобильные части и агрегаты в связи с программой трехлетней сборки автомашин.</w:t>
      </w:r>
    </w:p>
    <w:p w14:paraId="62B7F520"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 xml:space="preserve">Причины этого заключаются в том, что </w:t>
      </w:r>
      <w:proofErr w:type="spellStart"/>
      <w:r w:rsidRPr="00A259BD">
        <w:rPr>
          <w:color w:val="000000" w:themeColor="text1"/>
          <w:sz w:val="16"/>
          <w:szCs w:val="16"/>
        </w:rPr>
        <w:t>Наркомторг</w:t>
      </w:r>
      <w:proofErr w:type="spellEnd"/>
      <w:r w:rsidRPr="00A259BD">
        <w:rPr>
          <w:color w:val="000000" w:themeColor="text1"/>
          <w:sz w:val="16"/>
          <w:szCs w:val="16"/>
        </w:rPr>
        <w:t xml:space="preserve"> до сих пор не составил пятилетнего импортного плана, тогда как времени для этого было достаточно. Отсюда полная растерянность в части, касающейся по заводу «АМО», который уже реорганизуется американцами, ибо неясность в вопросе количества сборки нового типа грузового автомобиля «Автокар» и в первый год реконструкции завода повредит не только реорганизации по приспособлению его к поточной американской системе, но и может остановить существующее производство. По договору с американцем Брандтом мы обязались закупить, а последний в предстоящем году 1929/30 собрать, не менее 2 тыс. автомашин «Автокар» из ввезенных агрегатов. Валютные соображения </w:t>
      </w:r>
      <w:proofErr w:type="spellStart"/>
      <w:r w:rsidRPr="00A259BD">
        <w:rPr>
          <w:color w:val="000000" w:themeColor="text1"/>
          <w:sz w:val="16"/>
          <w:szCs w:val="16"/>
        </w:rPr>
        <w:t>Наркомторга</w:t>
      </w:r>
      <w:proofErr w:type="spellEnd"/>
      <w:r w:rsidRPr="00A259BD">
        <w:rPr>
          <w:color w:val="000000" w:themeColor="text1"/>
          <w:sz w:val="16"/>
          <w:szCs w:val="16"/>
        </w:rPr>
        <w:t>, кажется, намечаются на выписку агрегатов только на 1 тыс. автомобилей. Вот такая неопределенность не может быть терпима, если мы действительно серьезно хотим пересадить в наше автопроизводство систему и методы американского производства.</w:t>
      </w:r>
    </w:p>
    <w:p w14:paraId="4643AC29"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2. Прошло уже около 2 месяцев, как мы заключили договор с Фордом. Уже с августа месяца по договору из Америки в СССР должны отправляться машины. Как Вам известно, мы с первого же дня нашего соглашения с Фордом и реализации 35</w:t>
      </w:r>
      <w:r w:rsidRPr="00A259BD">
        <w:rPr>
          <w:color w:val="000000" w:themeColor="text1"/>
          <w:sz w:val="16"/>
          <w:szCs w:val="16"/>
        </w:rPr>
        <w:noBreakHyphen/>
        <w:t>миллионного заказа ставили себе задачей брать машины не в готовом, а разобранном виде для сборки у нас в Союзе. Этим преследовалось: 1) экономия до 40 долларов на каждую машину; 2) самое главное — задача выучить наших рабочих и техников на этой сборке, ибо у нас нет подготовленных кадров для работы американским темпом. Что же получается на деле? Наступает август месяц, а мы не только не приступили к организации достаточного масштаба сборочных мастерских (а это за 2 месяца можно было сделать), но даже на сегодняшний день твердо не знаем, где они будут организованы. Намечалось использовать для сборки мастерские на ст. Люблино под Москвой, называемые «</w:t>
      </w:r>
      <w:proofErr w:type="spellStart"/>
      <w:r w:rsidRPr="00A259BD">
        <w:rPr>
          <w:color w:val="000000" w:themeColor="text1"/>
          <w:sz w:val="16"/>
          <w:szCs w:val="16"/>
        </w:rPr>
        <w:t>Можерес</w:t>
      </w:r>
      <w:proofErr w:type="spellEnd"/>
      <w:r w:rsidRPr="00A259BD">
        <w:rPr>
          <w:color w:val="000000" w:themeColor="text1"/>
          <w:sz w:val="16"/>
          <w:szCs w:val="16"/>
        </w:rPr>
        <w:t xml:space="preserve">», где НКПС в свое время предполагал организовать какое-то производство. Фактически эти мастерские в настоящее время приспособлены под склады НКПС. Больше месяца дискутировался вопрос о передаче этих помещений </w:t>
      </w:r>
      <w:proofErr w:type="spellStart"/>
      <w:r w:rsidRPr="00A259BD">
        <w:rPr>
          <w:color w:val="000000" w:themeColor="text1"/>
          <w:sz w:val="16"/>
          <w:szCs w:val="16"/>
        </w:rPr>
        <w:t>Автострою</w:t>
      </w:r>
      <w:proofErr w:type="spellEnd"/>
      <w:r w:rsidRPr="00A259BD">
        <w:rPr>
          <w:color w:val="000000" w:themeColor="text1"/>
          <w:sz w:val="16"/>
          <w:szCs w:val="16"/>
        </w:rPr>
        <w:t>, а в результате в передаче было отказано. Новые помещения до сих пор не строятся, другого подходящего для этой цели пока не намечено. Здесь нужно отметить, что американцы при организации сборочных мастерских в Берлине оборудовали их в 3 месяца в помещении бывших военных интендантских складов, с выпуском на 50 тыс. автомобилей в год. Что же мы имеем на сегодняшний день? У нас ведутся работы по подготовке для сборки всего лишь на 500 автомобилей в месяц в помещении завода «Гудок Октября» в Нижнем, что конечно недостаточно ни по темпу, ни по объему работы. Это сигнализирует о том, что 80% машин в 1929/30 г. от Форда мы будем брать в собранном виде. Несомненно, это выгодно только Форду. Кроме того, как ни странно, но до сих пор точно неизвестно, где будет построена районная сборочная мастерская г. Москва.</w:t>
      </w:r>
    </w:p>
    <w:p w14:paraId="2D306B13"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В вопросе о постройке основного 100-тысячного автомобильного завода, который намечается организовать в Нижнем Новгороде, в настоящее время появились колебания: следует ли строить этот завод в Нижнем или выбрать другое место для постройки, А результаты такой двухмесячной неуверенности влекут за собой следующие неприятные последствия:</w:t>
      </w:r>
    </w:p>
    <w:p w14:paraId="35888B00"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1. Геологические изыскания не окончены, а уже близится осень.</w:t>
      </w:r>
    </w:p>
    <w:p w14:paraId="52494355"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 xml:space="preserve">2. Начальник </w:t>
      </w:r>
      <w:proofErr w:type="spellStart"/>
      <w:r w:rsidRPr="00A259BD">
        <w:rPr>
          <w:color w:val="000000" w:themeColor="text1"/>
          <w:sz w:val="16"/>
          <w:szCs w:val="16"/>
        </w:rPr>
        <w:t>Автостроя</w:t>
      </w:r>
      <w:proofErr w:type="spellEnd"/>
      <w:r w:rsidRPr="00A259BD">
        <w:rPr>
          <w:color w:val="000000" w:themeColor="text1"/>
          <w:sz w:val="16"/>
          <w:szCs w:val="16"/>
        </w:rPr>
        <w:t xml:space="preserve"> находится в Америке и, по-видимому, занят вопросом составления проекта завода, а участок, где будет построен завод твердо не установлен, даже если считать, что пунктом постройки останется Нижний Новгород (обследовано 5 участков в районе Нижнего, но ни на один из них нет определенной установки).</w:t>
      </w:r>
    </w:p>
    <w:p w14:paraId="5FA906E4"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[3.] При составлении проекта далеко не безразлично знать, будет ли он построен уберегав Волги или Оки или нет, так как сама природа постройки автомобильного завода американского типа требует того, чтобы она была синхронизирована не только с внутризаводском транспортом, но и с теми транспортными артериями, которые должны примыкать к этому заводу. Построенные Фордом заводы на берегах рек далеко не случайное явление. Принимая во внимание, что мы связаны сроками постройки завода, мы не только не можем терять месяца, но даже и дни.</w:t>
      </w:r>
    </w:p>
    <w:p w14:paraId="727A520F"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4. К 1 января 1930 г. прибудет от Форда 6 тыс. автомобилей, которые придется взять в собранном виде. Но даже если мы получим готовую продукцию, для этого уже сейчас нужно создать ядро распределительно-торгующего органа. Такая организация не только не создана, но до сих пор конкретно не решено, на кого будет возложено распределение поступающих машин. Между прочим, уже сейчас как хозяйственные, так и военные организации ходят по различным учреждениям, чтобы дать свою заявку, но ни от кого не получают внятного ответа. На сегодняшний день неизвестно, кто будет распределять, какая цена и каким порядком можно купить машину.</w:t>
      </w:r>
    </w:p>
    <w:p w14:paraId="59AB059B"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lastRenderedPageBreak/>
        <w:t>Если дело пойдет таким же образом дальше, это будет означать, что не будет ни плана распределения, ни складских помещений, и тогда в связи с бесплановостью в этом вопросе можно ожидать тех рваческих тенденций, при которых машины, в конце юнцов, попадут не туда, где они нужны в первую очередь. Наконец не исключена возможность порчи материальной части, так как неизвестно, где можно будет распаковать и хранить до продажи поступающую массу автомобилей.</w:t>
      </w:r>
    </w:p>
    <w:p w14:paraId="1102E467"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5. Не лучше обстоит дело и с дорожным строительством, с постройкой бензиноналивных станций, с организацией ремонтных мастерских и гаражей.</w:t>
      </w:r>
    </w:p>
    <w:p w14:paraId="3700F5C5"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 xml:space="preserve">В вопросе о дорожном строительстве больным местом является снабжение его дорожными машинами и инструментом, ибо промышленность крайне неаккуратно выполняет плановые заказы </w:t>
      </w:r>
      <w:proofErr w:type="spellStart"/>
      <w:r w:rsidRPr="00A259BD">
        <w:rPr>
          <w:color w:val="000000" w:themeColor="text1"/>
          <w:sz w:val="16"/>
          <w:szCs w:val="16"/>
        </w:rPr>
        <w:t>Цудортранса</w:t>
      </w:r>
      <w:proofErr w:type="spellEnd"/>
      <w:r w:rsidRPr="00A259BD">
        <w:rPr>
          <w:color w:val="000000" w:themeColor="text1"/>
          <w:sz w:val="16"/>
          <w:szCs w:val="16"/>
        </w:rPr>
        <w:t>.</w:t>
      </w:r>
    </w:p>
    <w:p w14:paraId="3AE162CE" w14:textId="77777777" w:rsidR="00B50A82" w:rsidRPr="00A259BD" w:rsidRDefault="00B50A82" w:rsidP="009236E3">
      <w:pPr>
        <w:pStyle w:val="rtejustify"/>
        <w:spacing w:before="0" w:after="0"/>
        <w:rPr>
          <w:color w:val="000000" w:themeColor="text1"/>
          <w:sz w:val="16"/>
          <w:szCs w:val="16"/>
        </w:rPr>
      </w:pPr>
      <w:proofErr w:type="spellStart"/>
      <w:r w:rsidRPr="00A259BD">
        <w:rPr>
          <w:color w:val="000000" w:themeColor="text1"/>
          <w:sz w:val="16"/>
          <w:szCs w:val="16"/>
        </w:rPr>
        <w:t>Нефтесиндикат</w:t>
      </w:r>
      <w:proofErr w:type="spellEnd"/>
      <w:r w:rsidRPr="00A259BD">
        <w:rPr>
          <w:color w:val="000000" w:themeColor="text1"/>
          <w:sz w:val="16"/>
          <w:szCs w:val="16"/>
        </w:rPr>
        <w:t xml:space="preserve"> почти ничего не делает по организации бензиноналивных станций для автомобилей. Однако даже в старое время при том ничтожном автомобильном транспорте быв. фирма «Нобель» считала для себя выгодным и обязательным заниматься этим вопросом. Если это не будет своевременно сделано, провинция получит машины, но не будет иметь возможности снабжать их горючим.</w:t>
      </w:r>
    </w:p>
    <w:p w14:paraId="73984350" w14:textId="77777777" w:rsidR="001F0E42" w:rsidRPr="00A259BD" w:rsidRDefault="001F0E42" w:rsidP="009236E3">
      <w:pPr>
        <w:pStyle w:val="rtejustify"/>
        <w:spacing w:before="0" w:after="0"/>
        <w:rPr>
          <w:color w:val="000000" w:themeColor="text1"/>
          <w:sz w:val="16"/>
          <w:szCs w:val="16"/>
        </w:rPr>
      </w:pPr>
      <w:r w:rsidRPr="00A259BD">
        <w:rPr>
          <w:rStyle w:val="a7"/>
          <w:b w:val="0"/>
          <w:bCs w:val="0"/>
          <w:color w:val="000000" w:themeColor="text1"/>
          <w:sz w:val="16"/>
          <w:szCs w:val="16"/>
        </w:rPr>
        <w:t>Выводы</w:t>
      </w:r>
    </w:p>
    <w:p w14:paraId="335B4308"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Все изложенные мною примеры, полагаю, достаточны для того, чтобы характеризовать неудовлетворительное состояние в области развертывания автомобильной промышленности. В связи с этим и считаю нужным довести это до Вашего сведения, высказав следующие пожелания:</w:t>
      </w:r>
    </w:p>
    <w:p w14:paraId="4F276432"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а) до тех пор, пока наши наркоматы, в которые упирается тот или иной вопрос, будут считать автомобильное дело третьестепенной задачей, как это имеет место сейчас, едва ли можно ожидать улучшения в положении дела;</w:t>
      </w:r>
    </w:p>
    <w:p w14:paraId="353BA749"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 xml:space="preserve">б) учитывая, что автомобильное производство не имеет своей производственной промышленной истории, что последнее связано с несомненными трудностями, для выполнения этой задачи необходимо, по-видимому, специальное решение ЦК партии, которое бы заострило внимание всей толщи нашей партийной массы. Кроме того, по-видимому, нужен какой-то чрезвычайный орган, который бы обобщал все вопросы, связанные с развитием автопромышленности и автомобилизации страны в целом, а также и дорожного дела. Может быть, данный орган несколько не будет укладываться в существующую систему организации промышленности и безрельсовых путей сообщения, но последний, по моему мнению, является настоятельной необходимостью, ибо пока эти вопросы распылены в органах ВСНХ, </w:t>
      </w:r>
      <w:proofErr w:type="spellStart"/>
      <w:r w:rsidRPr="00A259BD">
        <w:rPr>
          <w:color w:val="000000" w:themeColor="text1"/>
          <w:sz w:val="16"/>
          <w:szCs w:val="16"/>
        </w:rPr>
        <w:t>Наркомторга</w:t>
      </w:r>
      <w:proofErr w:type="spellEnd"/>
      <w:r w:rsidRPr="00A259BD">
        <w:rPr>
          <w:color w:val="000000" w:themeColor="text1"/>
          <w:sz w:val="16"/>
          <w:szCs w:val="16"/>
        </w:rPr>
        <w:t xml:space="preserve"> едва ли можно с той интенсивностью проводить в жизнь мероприятия по автомобилизации Союза, так как в этих наркоматах эта проблема не является основным вопросом;</w:t>
      </w:r>
    </w:p>
    <w:p w14:paraId="4C8D5C2F"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в) в связи с тем, что общая пятилетка весьма глухо говорит по вопросу автомобилизации Союза, срочно необходимо утвердить составленный Госпланом план по автомобилизации Союза на ближайшие 5 лет. Вместе с тем необходимо составить и утвердить импортный план, увязав его с развертыванием и строительством автомобильных заводов;</w:t>
      </w:r>
    </w:p>
    <w:p w14:paraId="6616478C"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 xml:space="preserve">г) на ближайшей сессии ЦИК СССР¹* заслушать доклад </w:t>
      </w:r>
      <w:proofErr w:type="spellStart"/>
      <w:r w:rsidRPr="00A259BD">
        <w:rPr>
          <w:color w:val="000000" w:themeColor="text1"/>
          <w:sz w:val="16"/>
          <w:szCs w:val="16"/>
        </w:rPr>
        <w:t>Цудортранса</w:t>
      </w:r>
      <w:proofErr w:type="spellEnd"/>
      <w:r w:rsidRPr="00A259BD">
        <w:rPr>
          <w:color w:val="000000" w:themeColor="text1"/>
          <w:sz w:val="16"/>
          <w:szCs w:val="16"/>
        </w:rPr>
        <w:t xml:space="preserve"> о мероприятиях в дорожном деле, ибо успех последних во многом зависит от местных органов;</w:t>
      </w:r>
    </w:p>
    <w:p w14:paraId="7FC3A2D8"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 xml:space="preserve">д) немедленно обязать </w:t>
      </w:r>
      <w:proofErr w:type="spellStart"/>
      <w:r w:rsidRPr="00A259BD">
        <w:rPr>
          <w:color w:val="000000" w:themeColor="text1"/>
          <w:sz w:val="16"/>
          <w:szCs w:val="16"/>
        </w:rPr>
        <w:t>Наркомторг</w:t>
      </w:r>
      <w:proofErr w:type="spellEnd"/>
      <w:r w:rsidRPr="00A259BD">
        <w:rPr>
          <w:color w:val="000000" w:themeColor="text1"/>
          <w:sz w:val="16"/>
          <w:szCs w:val="16"/>
        </w:rPr>
        <w:t xml:space="preserve"> и ВСНХ создать специальную торгово-коммерческую организацию по распространению и внедрению автомобиля в наше хозяйство. Полагаю, что в этом вопросе (в особенности это касается провинции) не должна остаться в стороне наша сельскохозяйственная кооперация.</w:t>
      </w:r>
    </w:p>
    <w:p w14:paraId="0F4B2245"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rPr>
        <w:t>Извиняюсь за длинное изложение, ибо при всем желании столь большой вопрос нельзя охватить в нескольких строчках.</w:t>
      </w:r>
    </w:p>
    <w:p w14:paraId="506E76D3" w14:textId="77777777" w:rsidR="00B50A82" w:rsidRPr="00A259BD" w:rsidRDefault="00B50A82"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С коммунистическим приветом, </w:t>
      </w:r>
      <w:hyperlink r:id="rId93" w:history="1">
        <w:r w:rsidRPr="00A259BD">
          <w:rPr>
            <w:rStyle w:val="af0"/>
            <w:i w:val="0"/>
            <w:color w:val="000000" w:themeColor="text1"/>
            <w:sz w:val="16"/>
            <w:szCs w:val="16"/>
          </w:rPr>
          <w:t>И. </w:t>
        </w:r>
        <w:proofErr w:type="spellStart"/>
        <w:r w:rsidRPr="00A259BD">
          <w:rPr>
            <w:rStyle w:val="af0"/>
            <w:i w:val="0"/>
            <w:color w:val="000000" w:themeColor="text1"/>
            <w:sz w:val="16"/>
            <w:szCs w:val="16"/>
          </w:rPr>
          <w:t>Халепский</w:t>
        </w:r>
        <w:proofErr w:type="spellEnd"/>
      </w:hyperlink>
    </w:p>
    <w:p w14:paraId="38D15A9D" w14:textId="77777777" w:rsidR="00B50A82" w:rsidRPr="00A259BD" w:rsidRDefault="00B50A82"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Примечание:</w:t>
      </w:r>
    </w:p>
    <w:p w14:paraId="528E0A55" w14:textId="77777777" w:rsidR="00B50A82" w:rsidRPr="00A259BD" w:rsidRDefault="00B50A82"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w:t>
      </w:r>
      <w:r w:rsidRPr="00A259BD">
        <w:rPr>
          <w:rStyle w:val="af0"/>
          <w:i w:val="0"/>
          <w:color w:val="000000" w:themeColor="text1"/>
          <w:sz w:val="16"/>
          <w:szCs w:val="16"/>
        </w:rPr>
        <w:t>Центральный исполнительный комитет СССР (ЦИК СССР)</w:t>
      </w:r>
      <w:r w:rsidRPr="00A259BD">
        <w:rPr>
          <w:color w:val="000000" w:themeColor="text1"/>
          <w:sz w:val="16"/>
          <w:szCs w:val="16"/>
        </w:rPr>
        <w:t> — высший орган государственной власти в 1922</w:t>
      </w:r>
      <w:r w:rsidRPr="00A259BD">
        <w:rPr>
          <w:color w:val="000000" w:themeColor="text1"/>
          <w:sz w:val="16"/>
          <w:szCs w:val="16"/>
        </w:rPr>
        <w:noBreakHyphen/>
        <w:t>1936 гг. в периоды между съездами Советов. Ведению высших органов подлежали все государственные вопросы общесоюзного значения: объявление войны и заключение мира, заключение и ратификация международных договоров, руководство внешней торговлей и установление системы внутренней торговли, организация и руководство Вооруженными силами, утверждение государственного бюджета и установление народнохозяйственных планов. ЦИК состоял из двух палат — Союзный Совет и Совет национальностей.</w:t>
      </w:r>
    </w:p>
    <w:p w14:paraId="2E2F3BCB" w14:textId="77777777" w:rsidR="00B50A82" w:rsidRPr="00A259BD" w:rsidRDefault="00B50A82" w:rsidP="009236E3">
      <w:pPr>
        <w:pStyle w:val="ae"/>
        <w:spacing w:before="0" w:after="0"/>
        <w:jc w:val="both"/>
        <w:rPr>
          <w:color w:val="000000" w:themeColor="text1"/>
          <w:sz w:val="16"/>
          <w:szCs w:val="16"/>
        </w:rPr>
      </w:pPr>
      <w:r w:rsidRPr="00A259BD">
        <w:rPr>
          <w:color w:val="000000" w:themeColor="text1"/>
          <w:sz w:val="16"/>
          <w:szCs w:val="16"/>
        </w:rPr>
        <w:t>РГВА. Ф. 33776. Оп. 1.Д 4.Л. 17</w:t>
      </w:r>
      <w:r w:rsidRPr="00A259BD">
        <w:rPr>
          <w:color w:val="000000" w:themeColor="text1"/>
          <w:sz w:val="16"/>
          <w:szCs w:val="16"/>
        </w:rPr>
        <w:noBreakHyphen/>
        <w:t>18. Копия.</w:t>
      </w:r>
    </w:p>
    <w:p w14:paraId="65159736" w14:textId="77777777" w:rsidR="00B50A82" w:rsidRPr="00A259BD" w:rsidRDefault="00B50A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РГВА. Ф. 33776. Оп. 1.Д 4.Л. 17 18. Копия. </w:t>
      </w:r>
    </w:p>
    <w:p w14:paraId="0856E2DD" w14:textId="77777777" w:rsidR="00B50A82" w:rsidRPr="00A259BD" w:rsidRDefault="00B50A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341-344 (12459).</w:t>
      </w:r>
    </w:p>
    <w:p w14:paraId="0849EF83" w14:textId="77777777" w:rsidR="00B50A82" w:rsidRPr="00A259BD" w:rsidRDefault="00B50A82" w:rsidP="009236E3">
      <w:pPr>
        <w:spacing w:after="0" w:line="240" w:lineRule="auto"/>
        <w:jc w:val="both"/>
        <w:rPr>
          <w:rFonts w:ascii="Times New Roman" w:hAnsi="Times New Roman"/>
          <w:color w:val="000000" w:themeColor="text1"/>
          <w:sz w:val="16"/>
          <w:szCs w:val="16"/>
        </w:rPr>
      </w:pPr>
    </w:p>
    <w:p w14:paraId="1776230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2A2B4E8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A6FD88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июля 1929 в разведсводке отмечалась вероят</w:t>
      </w:r>
      <w:r w:rsidRPr="00A259BD">
        <w:rPr>
          <w:rFonts w:ascii="Times New Roman" w:hAnsi="Times New Roman"/>
          <w:color w:val="000000" w:themeColor="text1"/>
          <w:sz w:val="16"/>
          <w:szCs w:val="16"/>
        </w:rPr>
        <w:softHyphen/>
        <w:t>ная переброска авиаотряда предполо</w:t>
      </w:r>
      <w:r w:rsidRPr="00A259BD">
        <w:rPr>
          <w:rFonts w:ascii="Times New Roman" w:hAnsi="Times New Roman"/>
          <w:color w:val="000000" w:themeColor="text1"/>
          <w:sz w:val="16"/>
          <w:szCs w:val="16"/>
        </w:rPr>
        <w:softHyphen/>
        <w:t xml:space="preserve">жительно из 10 машин в </w:t>
      </w:r>
      <w:proofErr w:type="spellStart"/>
      <w:r w:rsidRPr="00A259BD">
        <w:rPr>
          <w:rFonts w:ascii="Times New Roman" w:hAnsi="Times New Roman"/>
          <w:color w:val="000000" w:themeColor="text1"/>
          <w:sz w:val="16"/>
          <w:szCs w:val="16"/>
        </w:rPr>
        <w:t>Баргу</w:t>
      </w:r>
      <w:proofErr w:type="spellEnd"/>
      <w:r w:rsidRPr="00A259BD">
        <w:rPr>
          <w:rFonts w:ascii="Times New Roman" w:hAnsi="Times New Roman"/>
          <w:color w:val="000000" w:themeColor="text1"/>
          <w:sz w:val="16"/>
          <w:szCs w:val="16"/>
        </w:rPr>
        <w:t xml:space="preserve"> и двух самолетов на ст. Пограничная (под</w:t>
      </w:r>
      <w:r w:rsidRPr="00A259BD">
        <w:rPr>
          <w:rFonts w:ascii="Times New Roman" w:hAnsi="Times New Roman"/>
          <w:color w:val="000000" w:themeColor="text1"/>
          <w:sz w:val="16"/>
          <w:szCs w:val="16"/>
        </w:rPr>
        <w:softHyphen/>
        <w:t xml:space="preserve">черкивалось, что сведения требовали проверки). 26 июля, по данным ОГПУ, китайские войска на </w:t>
      </w:r>
      <w:proofErr w:type="spellStart"/>
      <w:r w:rsidRPr="00A259BD">
        <w:rPr>
          <w:rFonts w:ascii="Times New Roman" w:hAnsi="Times New Roman"/>
          <w:color w:val="000000" w:themeColor="text1"/>
          <w:sz w:val="16"/>
          <w:szCs w:val="16"/>
        </w:rPr>
        <w:t>Сунгарийском</w:t>
      </w:r>
      <w:proofErr w:type="spellEnd"/>
      <w:r w:rsidRPr="00A259BD">
        <w:rPr>
          <w:rFonts w:ascii="Times New Roman" w:hAnsi="Times New Roman"/>
          <w:color w:val="000000" w:themeColor="text1"/>
          <w:sz w:val="16"/>
          <w:szCs w:val="16"/>
        </w:rPr>
        <w:t xml:space="preserve"> направлении усилили авиаотрядом в семь самолетов, их туда привезли ра</w:t>
      </w:r>
      <w:r w:rsidRPr="00A259BD">
        <w:rPr>
          <w:rFonts w:ascii="Times New Roman" w:hAnsi="Times New Roman"/>
          <w:color w:val="000000" w:themeColor="text1"/>
          <w:sz w:val="16"/>
          <w:szCs w:val="16"/>
        </w:rPr>
        <w:softHyphen/>
        <w:t>зобранными. По агентурным данным, также требовавшим проверки, 3 авгу</w:t>
      </w:r>
      <w:r w:rsidRPr="00A259BD">
        <w:rPr>
          <w:rFonts w:ascii="Times New Roman" w:hAnsi="Times New Roman"/>
          <w:color w:val="000000" w:themeColor="text1"/>
          <w:sz w:val="16"/>
          <w:szCs w:val="16"/>
        </w:rPr>
        <w:softHyphen/>
        <w:t>ста через Хайлар на запад проследо</w:t>
      </w:r>
      <w:r w:rsidRPr="00A259BD">
        <w:rPr>
          <w:rFonts w:ascii="Times New Roman" w:hAnsi="Times New Roman"/>
          <w:color w:val="000000" w:themeColor="text1"/>
          <w:sz w:val="16"/>
          <w:szCs w:val="16"/>
        </w:rPr>
        <w:softHyphen/>
        <w:t>вали еще три разобранных самолета. Уточнить эти данные по китайским ис</w:t>
      </w:r>
      <w:r w:rsidRPr="00A259BD">
        <w:rPr>
          <w:rFonts w:ascii="Times New Roman" w:hAnsi="Times New Roman"/>
          <w:color w:val="000000" w:themeColor="text1"/>
          <w:sz w:val="16"/>
          <w:szCs w:val="16"/>
        </w:rPr>
        <w:softHyphen/>
        <w:t>точникам не удалось (11216).</w:t>
      </w:r>
    </w:p>
    <w:p w14:paraId="0FD34E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717DDB" w14:textId="77777777" w:rsidR="001F0E42" w:rsidRPr="00A259BD" w:rsidRDefault="001F0E42" w:rsidP="009236E3">
      <w:pPr>
        <w:pStyle w:val="a3"/>
        <w:rPr>
          <w:color w:val="000000" w:themeColor="text1"/>
          <w:lang w:val="ru-RU"/>
        </w:rPr>
      </w:pPr>
      <w:r w:rsidRPr="00A259BD">
        <w:rPr>
          <w:color w:val="000000" w:themeColor="text1"/>
          <w:lang w:val="ru-RU"/>
        </w:rPr>
        <w:t>19 июля 1929 в разведсвод</w:t>
      </w:r>
      <w:r w:rsidRPr="00A259BD">
        <w:rPr>
          <w:color w:val="000000" w:themeColor="text1"/>
          <w:lang w:val="ru-RU"/>
        </w:rPr>
        <w:softHyphen/>
        <w:t>ке отмечалась вероятная перебро</w:t>
      </w:r>
      <w:r w:rsidRPr="00A259BD">
        <w:rPr>
          <w:color w:val="000000" w:themeColor="text1"/>
          <w:lang w:val="ru-RU"/>
        </w:rPr>
        <w:softHyphen/>
        <w:t xml:space="preserve">ска авиаотряда предположительно из 10 машин в </w:t>
      </w:r>
      <w:proofErr w:type="spellStart"/>
      <w:r w:rsidRPr="00A259BD">
        <w:rPr>
          <w:color w:val="000000" w:themeColor="text1"/>
          <w:lang w:val="ru-RU"/>
        </w:rPr>
        <w:t>Баргу</w:t>
      </w:r>
      <w:proofErr w:type="spellEnd"/>
      <w:r w:rsidRPr="00A259BD">
        <w:rPr>
          <w:color w:val="000000" w:themeColor="text1"/>
          <w:lang w:val="ru-RU"/>
        </w:rPr>
        <w:t xml:space="preserve"> и двух самолётов на ст. Погра</w:t>
      </w:r>
      <w:r w:rsidRPr="00A259BD">
        <w:rPr>
          <w:color w:val="000000" w:themeColor="text1"/>
          <w:lang w:val="ru-RU"/>
        </w:rPr>
        <w:softHyphen/>
        <w:t>ничная (подчеркивалось, что сведения требовали проверки) (15820).</w:t>
      </w:r>
    </w:p>
    <w:p w14:paraId="74F60602" w14:textId="77777777" w:rsidR="001F0E42" w:rsidRPr="00A259BD" w:rsidRDefault="001F0E42" w:rsidP="009236E3">
      <w:pPr>
        <w:pStyle w:val="a3"/>
        <w:rPr>
          <w:color w:val="000000" w:themeColor="text1"/>
          <w:lang w:val="ru-RU"/>
        </w:rPr>
      </w:pPr>
    </w:p>
    <w:p w14:paraId="1D51778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964741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C6EA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июля 1929 ГК Ришар и Пом. ГК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Хомский письмом N 12/150 направили в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эскизный проект морского пассажирского самолета МП-1 (2341,101).</w:t>
      </w:r>
    </w:p>
    <w:p w14:paraId="531B4C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6231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июля 1929 вышло постановление закрытого заседания Президиума ВСНХ (протокол 9), которое поручило ГВПУ и НТУ, с привлечением УВВС, разработать мероприятия в направлении улучшения деловых взаимоотношений, обмена опытом и максимального использования НИИ АП, доложив о результатах в ПМС в месячный срок (2339,339).</w:t>
      </w:r>
    </w:p>
    <w:p w14:paraId="272057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BC92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июля 1929 Пом. Зав. ЭАО ЦАГИ писал письмо N 392с в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на 62/4891с от 17 июля 1929 о невыполнении ЭАО договоренностей с ОПО-4 программы испытаний (в основном по МР-5). Сообщили, что программа испытаний на большой трубе Т-1 выполнена полностью, а по малым моделям - задерживалась по объективным причинам (2339).</w:t>
      </w:r>
    </w:p>
    <w:p w14:paraId="43431F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Ваш запрос от 17/УП-29 г. за № 162/4891/с о невыполнении ВАО договоренной с ОПО-4-программы испытаний имеем сообщить следующее:</w:t>
      </w:r>
    </w:p>
    <w:p w14:paraId="012BB06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Программа испытаний на большой трубе Т-1 выполнена полностью, т.к. испытание модели № 86 с дополнит. </w:t>
      </w:r>
      <w:proofErr w:type="spellStart"/>
      <w:r w:rsidRPr="00A259BD">
        <w:rPr>
          <w:rFonts w:ascii="Times New Roman" w:hAnsi="Times New Roman"/>
          <w:color w:val="000000" w:themeColor="text1"/>
          <w:sz w:val="16"/>
          <w:szCs w:val="16"/>
        </w:rPr>
        <w:t>програм</w:t>
      </w:r>
      <w:proofErr w:type="spellEnd"/>
      <w:r w:rsidRPr="00A259BD">
        <w:rPr>
          <w:rFonts w:ascii="Times New Roman" w:hAnsi="Times New Roman"/>
          <w:color w:val="000000" w:themeColor="text1"/>
          <w:sz w:val="16"/>
          <w:szCs w:val="16"/>
        </w:rPr>
        <w:t>. согласно В/</w:t>
      </w:r>
      <w:proofErr w:type="spellStart"/>
      <w:r w:rsidRPr="00A259BD">
        <w:rPr>
          <w:rFonts w:ascii="Times New Roman" w:hAnsi="Times New Roman"/>
          <w:color w:val="000000" w:themeColor="text1"/>
          <w:sz w:val="16"/>
          <w:szCs w:val="16"/>
        </w:rPr>
        <w:t>телефоногр</w:t>
      </w:r>
      <w:proofErr w:type="spellEnd"/>
      <w:r w:rsidRPr="00A259BD">
        <w:rPr>
          <w:rFonts w:ascii="Times New Roman" w:hAnsi="Times New Roman"/>
          <w:color w:val="000000" w:themeColor="text1"/>
          <w:sz w:val="16"/>
          <w:szCs w:val="16"/>
        </w:rPr>
        <w:t>. № 6240 заканчивается и буде т представлено до 20-го Июля с/г. Испытание же модели МР-5 - большой, согласно В/</w:t>
      </w:r>
      <w:proofErr w:type="spellStart"/>
      <w:r w:rsidRPr="00A259BD">
        <w:rPr>
          <w:rFonts w:ascii="Times New Roman" w:hAnsi="Times New Roman"/>
          <w:color w:val="000000" w:themeColor="text1"/>
          <w:sz w:val="16"/>
          <w:szCs w:val="16"/>
        </w:rPr>
        <w:t>телефонограм</w:t>
      </w:r>
      <w:proofErr w:type="spellEnd"/>
      <w:r w:rsidRPr="00A259BD">
        <w:rPr>
          <w:rFonts w:ascii="Times New Roman" w:hAnsi="Times New Roman"/>
          <w:color w:val="000000" w:themeColor="text1"/>
          <w:sz w:val="16"/>
          <w:szCs w:val="16"/>
        </w:rPr>
        <w:t>. за № 6242 - перенесено на время после отпуска Отдела.</w:t>
      </w:r>
    </w:p>
    <w:p w14:paraId="041BC8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же касается испытания малых моделей: крыла № 6, ТОМ без капотов шасси на поляру и устойчивость и МР-5 на поляру без оперения, то таковые задерживаются из-за ремонта </w:t>
      </w:r>
      <w:proofErr w:type="spellStart"/>
      <w:r w:rsidRPr="00A259BD">
        <w:rPr>
          <w:rFonts w:ascii="Times New Roman" w:hAnsi="Times New Roman"/>
          <w:color w:val="000000" w:themeColor="text1"/>
          <w:sz w:val="16"/>
          <w:szCs w:val="16"/>
        </w:rPr>
        <w:t>аэр</w:t>
      </w:r>
      <w:proofErr w:type="spellEnd"/>
      <w:r w:rsidRPr="00A259BD">
        <w:rPr>
          <w:rFonts w:ascii="Times New Roman" w:hAnsi="Times New Roman"/>
          <w:color w:val="000000" w:themeColor="text1"/>
          <w:sz w:val="16"/>
          <w:szCs w:val="16"/>
        </w:rPr>
        <w:t xml:space="preserve">. Весов в трубе НК-1 Старой лаборатории, о чем было доведено до сведения ОПО-4. В Старой лаборатории задерживается уходом в отпуск группа сотрудников до сдачи задолженности, каковая в случае благоприятных результатов проверки </w:t>
      </w:r>
      <w:proofErr w:type="spellStart"/>
      <w:r w:rsidRPr="00A259BD">
        <w:rPr>
          <w:rFonts w:ascii="Times New Roman" w:hAnsi="Times New Roman"/>
          <w:color w:val="000000" w:themeColor="text1"/>
          <w:sz w:val="16"/>
          <w:szCs w:val="16"/>
        </w:rPr>
        <w:t>аэр</w:t>
      </w:r>
      <w:proofErr w:type="spellEnd"/>
      <w:r w:rsidRPr="00A259BD">
        <w:rPr>
          <w:rFonts w:ascii="Times New Roman" w:hAnsi="Times New Roman"/>
          <w:color w:val="000000" w:themeColor="text1"/>
          <w:sz w:val="16"/>
          <w:szCs w:val="16"/>
        </w:rPr>
        <w:t>. весов трубы НК-1 намече</w:t>
      </w:r>
      <w:r w:rsidRPr="00A259BD">
        <w:rPr>
          <w:rFonts w:ascii="Times New Roman" w:hAnsi="Times New Roman"/>
          <w:color w:val="000000" w:themeColor="text1"/>
          <w:sz w:val="16"/>
          <w:szCs w:val="16"/>
        </w:rPr>
        <w:softHyphen/>
        <w:t>на к сдаче не позднее 1-го Августа с/г. (2339,344).</w:t>
      </w:r>
    </w:p>
    <w:p w14:paraId="38D454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B240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июля 1929 Дорнье-Валь </w:t>
      </w:r>
      <w:proofErr w:type="spellStart"/>
      <w:r w:rsidRPr="00A259BD">
        <w:rPr>
          <w:rFonts w:ascii="Times New Roman" w:hAnsi="Times New Roman"/>
          <w:color w:val="000000" w:themeColor="text1"/>
          <w:sz w:val="16"/>
          <w:szCs w:val="16"/>
        </w:rPr>
        <w:t>Б.Г.Чухновского</w:t>
      </w:r>
      <w:proofErr w:type="spellEnd"/>
      <w:r w:rsidRPr="00A259BD">
        <w:rPr>
          <w:rFonts w:ascii="Times New Roman" w:hAnsi="Times New Roman"/>
          <w:color w:val="000000" w:themeColor="text1"/>
          <w:sz w:val="16"/>
          <w:szCs w:val="16"/>
        </w:rPr>
        <w:t xml:space="preserve"> вылетел из Севастополя и прошел через Таганрог, Сталинград, Самару, Рыбинск в Архангельск, куда прибыл 28 июля 1929 (99,156).</w:t>
      </w:r>
    </w:p>
    <w:p w14:paraId="0570CA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0F3F13" w14:textId="77777777" w:rsidR="00B25ADA"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AF3A315" w14:textId="77777777" w:rsidR="00B25ADA" w:rsidRPr="00A259BD" w:rsidRDefault="00B25AD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FC414AD"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июля 1929 г. Выписка из протокола закрытого заседания Президиума ВСНХ СССР о финансировании мероприятий по противовоздушной химической обороне крупных промпредприятий (РГАЭ. Ф. 3429. Оп. 16. Д. 2. Л. 146) (12417).</w:t>
      </w:r>
    </w:p>
    <w:p w14:paraId="605A0597" w14:textId="77777777" w:rsidR="00B25ADA" w:rsidRPr="00A259BD" w:rsidRDefault="00B25ADA" w:rsidP="009236E3">
      <w:pPr>
        <w:spacing w:after="0" w:line="240" w:lineRule="auto"/>
        <w:jc w:val="both"/>
        <w:rPr>
          <w:rFonts w:ascii="Times New Roman" w:hAnsi="Times New Roman"/>
          <w:color w:val="000000" w:themeColor="text1"/>
          <w:sz w:val="16"/>
          <w:szCs w:val="16"/>
        </w:rPr>
      </w:pPr>
    </w:p>
    <w:p w14:paraId="78955C66" w14:textId="77777777" w:rsidR="001F0E42"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1506C080" w14:textId="77777777" w:rsidR="001F0E42" w:rsidRPr="00A259BD" w:rsidRDefault="001F0E4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F13A353" w14:textId="77777777" w:rsidR="001F0E42" w:rsidRPr="00A259BD" w:rsidRDefault="001F0E42" w:rsidP="009236E3">
      <w:pPr>
        <w:pStyle w:val="a3"/>
        <w:rPr>
          <w:color w:val="000000" w:themeColor="text1"/>
          <w:lang w:val="ru-RU"/>
        </w:rPr>
      </w:pPr>
      <w:r w:rsidRPr="00A259BD">
        <w:rPr>
          <w:color w:val="000000" w:themeColor="text1"/>
          <w:lang w:val="ru-RU"/>
        </w:rPr>
        <w:t>20 июля 1929 советские части начали наступление на китай</w:t>
      </w:r>
      <w:r w:rsidRPr="00A259BD">
        <w:rPr>
          <w:color w:val="000000" w:themeColor="text1"/>
          <w:lang w:val="ru-RU"/>
        </w:rPr>
        <w:softHyphen/>
        <w:t>ские войска на трех участках фронта. Начались боевые действия (15820).</w:t>
      </w:r>
    </w:p>
    <w:p w14:paraId="6F6D8329" w14:textId="77777777" w:rsidR="001F0E42" w:rsidRPr="00A259BD" w:rsidRDefault="001F0E42" w:rsidP="009236E3">
      <w:pPr>
        <w:pStyle w:val="a3"/>
        <w:rPr>
          <w:color w:val="000000" w:themeColor="text1"/>
          <w:lang w:val="ru-RU"/>
        </w:rPr>
      </w:pPr>
    </w:p>
    <w:p w14:paraId="574DBE3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5C86593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91926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июля 1929 года делегация мытищинского завода передала в эксплуатацию Ярославской железной дороги первые электропоезда (11612).</w:t>
      </w:r>
    </w:p>
    <w:p w14:paraId="44DF9F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FCCC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20 и 26 июля 1929. Из протокола заседания Политбюро N 87, 1929 г.</w:t>
      </w:r>
    </w:p>
    <w:p w14:paraId="6A439C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О Мавзолее Ленина </w:t>
      </w:r>
    </w:p>
    <w:p w14:paraId="3EE6FD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Признать целесообразным приступить в этом году к постройке Мавзолея Ленина (11652).</w:t>
      </w:r>
    </w:p>
    <w:p w14:paraId="3EA7FC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8CF769"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33FC47F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062B4B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июля 1929 советские части на</w:t>
      </w:r>
      <w:r w:rsidRPr="00A259BD">
        <w:rPr>
          <w:rFonts w:ascii="Times New Roman" w:hAnsi="Times New Roman"/>
          <w:color w:val="000000" w:themeColor="text1"/>
          <w:sz w:val="16"/>
          <w:szCs w:val="16"/>
        </w:rPr>
        <w:softHyphen/>
        <w:t>чали наступление на китайские войс</w:t>
      </w:r>
      <w:r w:rsidRPr="00A259BD">
        <w:rPr>
          <w:rFonts w:ascii="Times New Roman" w:hAnsi="Times New Roman"/>
          <w:color w:val="000000" w:themeColor="text1"/>
          <w:sz w:val="16"/>
          <w:szCs w:val="16"/>
        </w:rPr>
        <w:softHyphen/>
        <w:t>ка на трех участках фронта. Начались боевые действия (11216).</w:t>
      </w:r>
    </w:p>
    <w:p w14:paraId="15BC8B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4E1843"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805BC0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0B0B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июля 1929 заместитель начальника Военно-воздушных сил РККА </w:t>
      </w:r>
      <w:proofErr w:type="spellStart"/>
      <w:r w:rsidRPr="00A259BD">
        <w:rPr>
          <w:rFonts w:ascii="Times New Roman" w:hAnsi="Times New Roman"/>
          <w:color w:val="000000" w:themeColor="text1"/>
          <w:sz w:val="16"/>
          <w:szCs w:val="16"/>
        </w:rPr>
        <w:t>тов.Алкснис</w:t>
      </w:r>
      <w:proofErr w:type="spellEnd"/>
      <w:r w:rsidRPr="00A259BD">
        <w:rPr>
          <w:rFonts w:ascii="Times New Roman" w:hAnsi="Times New Roman"/>
          <w:color w:val="000000" w:themeColor="text1"/>
          <w:sz w:val="16"/>
          <w:szCs w:val="16"/>
        </w:rPr>
        <w:t xml:space="preserve"> и старший летчик Научно-исследовательского института тов. Писаренко вылетели на самолете новой конструкции. Поднявшись с московского Центрального аэродрома в 2 часа 32 мин. утра, они совершили беспосадочный перелет до Севастополя, где и снизились в 8 часов утра (5016).</w:t>
      </w:r>
    </w:p>
    <w:p w14:paraId="75C1EE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E85E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июля 1929 г. в 2 часа 32 минуты самолет Р-5, который пилотировал старший лет</w:t>
      </w:r>
      <w:r w:rsidRPr="00A259BD">
        <w:rPr>
          <w:rFonts w:ascii="Times New Roman" w:hAnsi="Times New Roman"/>
          <w:color w:val="000000" w:themeColor="text1"/>
          <w:sz w:val="16"/>
          <w:szCs w:val="16"/>
        </w:rPr>
        <w:softHyphen/>
        <w:t xml:space="preserve">чик НИИ ВВС </w:t>
      </w:r>
      <w:proofErr w:type="spellStart"/>
      <w:r w:rsidRPr="00A259BD">
        <w:rPr>
          <w:rFonts w:ascii="Times New Roman" w:hAnsi="Times New Roman"/>
          <w:color w:val="000000" w:themeColor="text1"/>
          <w:sz w:val="16"/>
          <w:szCs w:val="16"/>
        </w:rPr>
        <w:t>В.П.Писаренко</w:t>
      </w:r>
      <w:proofErr w:type="spellEnd"/>
      <w:r w:rsidRPr="00A259BD">
        <w:rPr>
          <w:rFonts w:ascii="Times New Roman" w:hAnsi="Times New Roman"/>
          <w:color w:val="000000" w:themeColor="text1"/>
          <w:sz w:val="16"/>
          <w:szCs w:val="16"/>
        </w:rPr>
        <w:t>, с пассажиром - замести</w:t>
      </w:r>
      <w:r w:rsidRPr="00A259BD">
        <w:rPr>
          <w:rFonts w:ascii="Times New Roman" w:hAnsi="Times New Roman"/>
          <w:color w:val="000000" w:themeColor="text1"/>
          <w:sz w:val="16"/>
          <w:szCs w:val="16"/>
        </w:rPr>
        <w:softHyphen/>
        <w:t xml:space="preserve">телем начальника ВВС </w:t>
      </w:r>
      <w:proofErr w:type="spellStart"/>
      <w:r w:rsidRPr="00A259BD">
        <w:rPr>
          <w:rFonts w:ascii="Times New Roman" w:hAnsi="Times New Roman"/>
          <w:color w:val="000000" w:themeColor="text1"/>
          <w:sz w:val="16"/>
          <w:szCs w:val="16"/>
        </w:rPr>
        <w:t>Я.И.Алкснисом</w:t>
      </w:r>
      <w:proofErr w:type="spellEnd"/>
      <w:r w:rsidRPr="00A259BD">
        <w:rPr>
          <w:rFonts w:ascii="Times New Roman" w:hAnsi="Times New Roman"/>
          <w:color w:val="000000" w:themeColor="text1"/>
          <w:sz w:val="16"/>
          <w:szCs w:val="16"/>
        </w:rPr>
        <w:t xml:space="preserve"> - поднялся в воздух с Центрального аэродрома. В 8 часов утра, про</w:t>
      </w:r>
      <w:r w:rsidRPr="00A259BD">
        <w:rPr>
          <w:rFonts w:ascii="Times New Roman" w:hAnsi="Times New Roman"/>
          <w:color w:val="000000" w:themeColor="text1"/>
          <w:sz w:val="16"/>
          <w:szCs w:val="16"/>
        </w:rPr>
        <w:softHyphen/>
        <w:t>летев около 1500 км, Р-5 приземлился близ Севастополя. Этот перелет подтвердил хорошие летные качества ма</w:t>
      </w:r>
      <w:r w:rsidRPr="00A259BD">
        <w:rPr>
          <w:rFonts w:ascii="Times New Roman" w:hAnsi="Times New Roman"/>
          <w:color w:val="000000" w:themeColor="text1"/>
          <w:sz w:val="16"/>
          <w:szCs w:val="16"/>
        </w:rPr>
        <w:softHyphen/>
        <w:t>шины и повысил интерес ВВС к Р-5 (10667).</w:t>
      </w:r>
    </w:p>
    <w:p w14:paraId="0C84DE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DEF0B7" w14:textId="77777777" w:rsidR="000C7713" w:rsidRPr="006B74EB" w:rsidRDefault="000C7713" w:rsidP="000C7713">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21 июля 1929 г. </w:t>
      </w:r>
      <w:r w:rsidRPr="006B74EB">
        <w:rPr>
          <w:rFonts w:ascii="Times New Roman" w:hAnsi="Times New Roman"/>
          <w:color w:val="0070C0"/>
          <w:sz w:val="16"/>
          <w:szCs w:val="16"/>
        </w:rPr>
        <w:t xml:space="preserve">.летчик </w:t>
      </w:r>
      <w:r>
        <w:rPr>
          <w:rFonts w:ascii="Times New Roman" w:hAnsi="Times New Roman"/>
          <w:color w:val="0070C0"/>
          <w:sz w:val="16"/>
          <w:szCs w:val="16"/>
        </w:rPr>
        <w:t>Н</w:t>
      </w:r>
      <w:r w:rsidRPr="006B74EB">
        <w:rPr>
          <w:rFonts w:ascii="Times New Roman" w:hAnsi="Times New Roman"/>
          <w:color w:val="0070C0"/>
          <w:sz w:val="16"/>
          <w:szCs w:val="16"/>
        </w:rPr>
        <w:t xml:space="preserve">ИИ ВВС </w:t>
      </w:r>
      <w:proofErr w:type="spellStart"/>
      <w:r w:rsidRPr="006B74EB">
        <w:rPr>
          <w:rFonts w:ascii="Times New Roman" w:hAnsi="Times New Roman"/>
          <w:color w:val="0070C0"/>
          <w:sz w:val="16"/>
          <w:szCs w:val="16"/>
        </w:rPr>
        <w:t>В.</w:t>
      </w:r>
      <w:r>
        <w:rPr>
          <w:rFonts w:ascii="Times New Roman" w:hAnsi="Times New Roman"/>
          <w:color w:val="0070C0"/>
          <w:sz w:val="16"/>
          <w:szCs w:val="16"/>
        </w:rPr>
        <w:t>О</w:t>
      </w:r>
      <w:r w:rsidRPr="006B74EB">
        <w:rPr>
          <w:rFonts w:ascii="Times New Roman" w:hAnsi="Times New Roman"/>
          <w:color w:val="0070C0"/>
          <w:sz w:val="16"/>
          <w:szCs w:val="16"/>
        </w:rPr>
        <w:t>.Писаренко</w:t>
      </w:r>
      <w:proofErr w:type="spellEnd"/>
      <w:r w:rsidRPr="006B74EB">
        <w:rPr>
          <w:rFonts w:ascii="Times New Roman" w:hAnsi="Times New Roman"/>
          <w:color w:val="0070C0"/>
          <w:sz w:val="16"/>
          <w:szCs w:val="16"/>
        </w:rPr>
        <w:t xml:space="preserve"> и заместитель начальника </w:t>
      </w:r>
      <w:r>
        <w:rPr>
          <w:rFonts w:ascii="Times New Roman" w:hAnsi="Times New Roman"/>
          <w:color w:val="0070C0"/>
          <w:sz w:val="16"/>
          <w:szCs w:val="16"/>
        </w:rPr>
        <w:t xml:space="preserve">ВВС </w:t>
      </w:r>
      <w:proofErr w:type="spellStart"/>
      <w:r>
        <w:rPr>
          <w:rFonts w:ascii="Times New Roman" w:hAnsi="Times New Roman"/>
          <w:color w:val="0070C0"/>
          <w:sz w:val="16"/>
          <w:szCs w:val="16"/>
        </w:rPr>
        <w:t>Я.И</w:t>
      </w:r>
      <w:r w:rsidRPr="006B74EB">
        <w:rPr>
          <w:rFonts w:ascii="Times New Roman" w:hAnsi="Times New Roman"/>
          <w:color w:val="0070C0"/>
          <w:sz w:val="16"/>
          <w:szCs w:val="16"/>
        </w:rPr>
        <w:t>.Алкснис</w:t>
      </w:r>
      <w:proofErr w:type="spellEnd"/>
      <w:r w:rsidRPr="006B74EB">
        <w:rPr>
          <w:rFonts w:ascii="Times New Roman" w:hAnsi="Times New Roman"/>
          <w:color w:val="0070C0"/>
          <w:sz w:val="16"/>
          <w:szCs w:val="16"/>
        </w:rPr>
        <w:t xml:space="preserve"> совершили беспосадочный перелет на новом </w:t>
      </w:r>
      <w:proofErr w:type="spellStart"/>
      <w:r w:rsidRPr="006B74EB">
        <w:rPr>
          <w:rFonts w:ascii="Times New Roman" w:hAnsi="Times New Roman"/>
          <w:color w:val="0070C0"/>
          <w:sz w:val="16"/>
          <w:szCs w:val="16"/>
        </w:rPr>
        <w:t>разведыва</w:t>
      </w:r>
      <w:r w:rsidRPr="006B74EB">
        <w:rPr>
          <w:rFonts w:ascii="Times New Roman" w:hAnsi="Times New Roman"/>
          <w:color w:val="0070C0"/>
          <w:sz w:val="16"/>
          <w:szCs w:val="16"/>
        </w:rPr>
        <w:softHyphen/>
        <w:t>л</w:t>
      </w:r>
      <w:r>
        <w:rPr>
          <w:rFonts w:ascii="Times New Roman" w:hAnsi="Times New Roman"/>
          <w:color w:val="0070C0"/>
          <w:sz w:val="16"/>
          <w:szCs w:val="16"/>
        </w:rPr>
        <w:t>ь</w:t>
      </w:r>
      <w:r w:rsidRPr="006B74EB">
        <w:rPr>
          <w:rFonts w:ascii="Times New Roman" w:hAnsi="Times New Roman"/>
          <w:color w:val="0070C0"/>
          <w:sz w:val="16"/>
          <w:szCs w:val="16"/>
        </w:rPr>
        <w:t>но</w:t>
      </w:r>
      <w:r>
        <w:rPr>
          <w:rFonts w:ascii="Times New Roman" w:hAnsi="Times New Roman"/>
          <w:color w:val="0070C0"/>
          <w:sz w:val="16"/>
          <w:szCs w:val="16"/>
        </w:rPr>
        <w:t>м</w:t>
      </w:r>
      <w:proofErr w:type="spellEnd"/>
      <w:r w:rsidRPr="006B74EB">
        <w:rPr>
          <w:rFonts w:ascii="Times New Roman" w:hAnsi="Times New Roman"/>
          <w:color w:val="0070C0"/>
          <w:sz w:val="16"/>
          <w:szCs w:val="16"/>
        </w:rPr>
        <w:t xml:space="preserve"> самолете </w:t>
      </w:r>
      <w:r>
        <w:rPr>
          <w:rFonts w:ascii="Times New Roman" w:hAnsi="Times New Roman"/>
          <w:color w:val="0070C0"/>
          <w:sz w:val="16"/>
          <w:szCs w:val="16"/>
        </w:rPr>
        <w:t>Р</w:t>
      </w:r>
      <w:r w:rsidRPr="006B74EB">
        <w:rPr>
          <w:rFonts w:ascii="Times New Roman" w:hAnsi="Times New Roman"/>
          <w:color w:val="0070C0"/>
          <w:sz w:val="16"/>
          <w:szCs w:val="16"/>
        </w:rPr>
        <w:t xml:space="preserve">-5 конструкции </w:t>
      </w:r>
      <w:proofErr w:type="spellStart"/>
      <w:r w:rsidRPr="006B74EB">
        <w:rPr>
          <w:rFonts w:ascii="Times New Roman" w:hAnsi="Times New Roman"/>
          <w:color w:val="0070C0"/>
          <w:sz w:val="16"/>
          <w:szCs w:val="16"/>
        </w:rPr>
        <w:t>Н.Н.Поликарпова</w:t>
      </w:r>
      <w:proofErr w:type="spellEnd"/>
      <w:r w:rsidRPr="006B74EB">
        <w:rPr>
          <w:rFonts w:ascii="Times New Roman" w:hAnsi="Times New Roman"/>
          <w:color w:val="0070C0"/>
          <w:sz w:val="16"/>
          <w:szCs w:val="16"/>
        </w:rPr>
        <w:t xml:space="preserve"> из Москвы в </w:t>
      </w:r>
      <w:r>
        <w:rPr>
          <w:rFonts w:ascii="Times New Roman" w:hAnsi="Times New Roman"/>
          <w:color w:val="0070C0"/>
          <w:sz w:val="16"/>
          <w:szCs w:val="16"/>
        </w:rPr>
        <w:t>С</w:t>
      </w:r>
      <w:r w:rsidRPr="006B74EB">
        <w:rPr>
          <w:rFonts w:ascii="Times New Roman" w:hAnsi="Times New Roman"/>
          <w:color w:val="0070C0"/>
          <w:sz w:val="16"/>
          <w:szCs w:val="16"/>
        </w:rPr>
        <w:t>е</w:t>
      </w:r>
      <w:r>
        <w:rPr>
          <w:rFonts w:ascii="Times New Roman" w:hAnsi="Times New Roman"/>
          <w:color w:val="0070C0"/>
          <w:sz w:val="16"/>
          <w:szCs w:val="16"/>
        </w:rPr>
        <w:t>вас</w:t>
      </w:r>
      <w:r w:rsidRPr="006B74EB">
        <w:rPr>
          <w:rFonts w:ascii="Times New Roman" w:hAnsi="Times New Roman"/>
          <w:color w:val="0070C0"/>
          <w:sz w:val="16"/>
          <w:szCs w:val="16"/>
        </w:rPr>
        <w:t>тополь /1300 км/ при ср</w:t>
      </w:r>
      <w:r>
        <w:rPr>
          <w:rFonts w:ascii="Times New Roman" w:hAnsi="Times New Roman"/>
          <w:color w:val="0070C0"/>
          <w:sz w:val="16"/>
          <w:szCs w:val="16"/>
        </w:rPr>
        <w:t>е</w:t>
      </w:r>
      <w:r w:rsidRPr="006B74EB">
        <w:rPr>
          <w:rFonts w:ascii="Times New Roman" w:hAnsi="Times New Roman"/>
          <w:color w:val="0070C0"/>
          <w:sz w:val="16"/>
          <w:szCs w:val="16"/>
        </w:rPr>
        <w:t>дней скорости 233 км/час.</w:t>
      </w:r>
      <w:r>
        <w:rPr>
          <w:rFonts w:ascii="Times New Roman" w:hAnsi="Times New Roman"/>
          <w:color w:val="0070C0"/>
          <w:sz w:val="16"/>
          <w:szCs w:val="16"/>
        </w:rPr>
        <w:t xml:space="preserve"> </w:t>
      </w:r>
      <w:r w:rsidRPr="006B74EB">
        <w:rPr>
          <w:rFonts w:ascii="Times New Roman" w:hAnsi="Times New Roman"/>
          <w:color w:val="0070C0"/>
          <w:sz w:val="16"/>
          <w:szCs w:val="16"/>
        </w:rPr>
        <w:t>Обратный по</w:t>
      </w:r>
      <w:r>
        <w:rPr>
          <w:rFonts w:ascii="Times New Roman" w:hAnsi="Times New Roman"/>
          <w:color w:val="0070C0"/>
          <w:sz w:val="16"/>
          <w:szCs w:val="16"/>
        </w:rPr>
        <w:t>лет 2</w:t>
      </w:r>
      <w:r w:rsidRPr="006B74EB">
        <w:rPr>
          <w:rFonts w:ascii="Times New Roman" w:hAnsi="Times New Roman"/>
          <w:color w:val="0070C0"/>
          <w:sz w:val="16"/>
          <w:szCs w:val="16"/>
        </w:rPr>
        <w:t>2 июля также был совер</w:t>
      </w:r>
      <w:r>
        <w:rPr>
          <w:rFonts w:ascii="Times New Roman" w:hAnsi="Times New Roman"/>
          <w:color w:val="0070C0"/>
          <w:sz w:val="16"/>
          <w:szCs w:val="16"/>
        </w:rPr>
        <w:t>ш</w:t>
      </w:r>
      <w:r w:rsidRPr="006B74EB">
        <w:rPr>
          <w:rFonts w:ascii="Times New Roman" w:hAnsi="Times New Roman"/>
          <w:color w:val="0070C0"/>
          <w:sz w:val="16"/>
          <w:szCs w:val="16"/>
        </w:rPr>
        <w:t>ен без посадки.</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Полет был испытательным. </w:t>
      </w:r>
    </w:p>
    <w:p w14:paraId="5BC56BAE" w14:textId="77777777" w:rsidR="000C7713" w:rsidRPr="006B74EB" w:rsidRDefault="000C7713" w:rsidP="000C7713">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Р-5 - двухместный одностоечный биплан деревянной конструкции Виктором и-17 модностью 500 л.</w:t>
      </w:r>
      <w:r>
        <w:rPr>
          <w:rFonts w:ascii="Times New Roman" w:hAnsi="Times New Roman"/>
          <w:color w:val="0070C0"/>
          <w:sz w:val="16"/>
          <w:szCs w:val="16"/>
        </w:rPr>
        <w:t>с</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Его </w:t>
      </w:r>
      <w:proofErr w:type="spellStart"/>
      <w:r w:rsidRPr="006B74EB">
        <w:rPr>
          <w:rFonts w:ascii="Times New Roman" w:hAnsi="Times New Roman"/>
          <w:color w:val="0070C0"/>
          <w:sz w:val="16"/>
          <w:szCs w:val="16"/>
        </w:rPr>
        <w:t>данные;размах</w:t>
      </w:r>
      <w:proofErr w:type="spellEnd"/>
      <w:r w:rsidRPr="006B74EB">
        <w:rPr>
          <w:rFonts w:ascii="Times New Roman" w:hAnsi="Times New Roman"/>
          <w:color w:val="0070C0"/>
          <w:sz w:val="16"/>
          <w:szCs w:val="16"/>
        </w:rPr>
        <w:t xml:space="preserve"> верхнего кры</w:t>
      </w:r>
      <w:r>
        <w:rPr>
          <w:rFonts w:ascii="Times New Roman" w:hAnsi="Times New Roman"/>
          <w:color w:val="0070C0"/>
          <w:sz w:val="16"/>
          <w:szCs w:val="16"/>
        </w:rPr>
        <w:t xml:space="preserve">ла </w:t>
      </w:r>
      <w:r w:rsidRPr="006B74EB">
        <w:rPr>
          <w:rFonts w:ascii="Times New Roman" w:hAnsi="Times New Roman"/>
          <w:color w:val="0070C0"/>
          <w:sz w:val="16"/>
          <w:szCs w:val="16"/>
        </w:rPr>
        <w:t>- 15,5</w:t>
      </w:r>
      <w:r>
        <w:rPr>
          <w:rFonts w:ascii="Times New Roman" w:hAnsi="Times New Roman"/>
          <w:color w:val="0070C0"/>
          <w:sz w:val="16"/>
          <w:szCs w:val="16"/>
        </w:rPr>
        <w:t xml:space="preserve"> </w:t>
      </w:r>
      <w:r w:rsidRPr="006B74EB">
        <w:rPr>
          <w:rFonts w:ascii="Times New Roman" w:hAnsi="Times New Roman"/>
          <w:color w:val="0070C0"/>
          <w:sz w:val="16"/>
          <w:szCs w:val="16"/>
        </w:rPr>
        <w:t>м;</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размах нижнего </w:t>
      </w:r>
      <w:r>
        <w:rPr>
          <w:rFonts w:ascii="Times New Roman" w:hAnsi="Times New Roman"/>
          <w:color w:val="0070C0"/>
          <w:sz w:val="16"/>
          <w:szCs w:val="16"/>
        </w:rPr>
        <w:t>-</w:t>
      </w:r>
      <w:r w:rsidRPr="006B74EB">
        <w:rPr>
          <w:rFonts w:ascii="Times New Roman" w:hAnsi="Times New Roman"/>
          <w:color w:val="0070C0"/>
          <w:sz w:val="16"/>
          <w:szCs w:val="16"/>
        </w:rPr>
        <w:t xml:space="preserve"> 12 </w:t>
      </w:r>
      <w:r>
        <w:rPr>
          <w:rFonts w:ascii="Times New Roman" w:hAnsi="Times New Roman"/>
          <w:color w:val="0070C0"/>
          <w:sz w:val="16"/>
          <w:szCs w:val="16"/>
        </w:rPr>
        <w:t>м</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длина - 10,5 м;</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площадь несущих </w:t>
      </w:r>
      <w:r>
        <w:rPr>
          <w:rFonts w:ascii="Times New Roman" w:hAnsi="Times New Roman"/>
          <w:color w:val="0070C0"/>
          <w:sz w:val="16"/>
          <w:szCs w:val="16"/>
        </w:rPr>
        <w:t>пов</w:t>
      </w:r>
      <w:r w:rsidRPr="006B74EB">
        <w:rPr>
          <w:rFonts w:ascii="Times New Roman" w:hAnsi="Times New Roman"/>
          <w:color w:val="0070C0"/>
          <w:sz w:val="16"/>
          <w:szCs w:val="16"/>
        </w:rPr>
        <w:t>ерх</w:t>
      </w:r>
      <w:r>
        <w:rPr>
          <w:rFonts w:ascii="Times New Roman" w:hAnsi="Times New Roman"/>
          <w:color w:val="0070C0"/>
          <w:sz w:val="16"/>
          <w:szCs w:val="16"/>
        </w:rPr>
        <w:t>н</w:t>
      </w:r>
      <w:r w:rsidRPr="006B74EB">
        <w:rPr>
          <w:rFonts w:ascii="Times New Roman" w:hAnsi="Times New Roman"/>
          <w:color w:val="0070C0"/>
          <w:sz w:val="16"/>
          <w:szCs w:val="16"/>
        </w:rPr>
        <w:t>остей - 50 м</w:t>
      </w:r>
      <w:r>
        <w:rPr>
          <w:rFonts w:ascii="Times New Roman" w:hAnsi="Times New Roman"/>
          <w:color w:val="0070C0"/>
          <w:sz w:val="16"/>
          <w:szCs w:val="16"/>
        </w:rPr>
        <w:t>2</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вес конструкции - 1970 кг; полетный вес - от </w:t>
      </w:r>
      <w:r>
        <w:rPr>
          <w:rFonts w:ascii="Times New Roman" w:hAnsi="Times New Roman"/>
          <w:color w:val="0070C0"/>
          <w:sz w:val="16"/>
          <w:szCs w:val="16"/>
        </w:rPr>
        <w:t>2955</w:t>
      </w:r>
      <w:r w:rsidRPr="006B74EB">
        <w:rPr>
          <w:rFonts w:ascii="Times New Roman" w:hAnsi="Times New Roman"/>
          <w:color w:val="0070C0"/>
          <w:sz w:val="16"/>
          <w:szCs w:val="16"/>
        </w:rPr>
        <w:t xml:space="preserve"> до 3347 кг;</w:t>
      </w:r>
      <w:r>
        <w:rPr>
          <w:rFonts w:ascii="Times New Roman" w:hAnsi="Times New Roman"/>
          <w:color w:val="0070C0"/>
          <w:sz w:val="16"/>
          <w:szCs w:val="16"/>
        </w:rPr>
        <w:t xml:space="preserve"> </w:t>
      </w:r>
      <w:r w:rsidRPr="006B74EB">
        <w:rPr>
          <w:rFonts w:ascii="Times New Roman" w:hAnsi="Times New Roman"/>
          <w:color w:val="0070C0"/>
          <w:sz w:val="16"/>
          <w:szCs w:val="16"/>
        </w:rPr>
        <w:t>скорость максимальная - 218 км/час,</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посадочная </w:t>
      </w:r>
      <w:r>
        <w:rPr>
          <w:rFonts w:ascii="Times New Roman" w:hAnsi="Times New Roman"/>
          <w:color w:val="0070C0"/>
          <w:sz w:val="16"/>
          <w:szCs w:val="16"/>
        </w:rPr>
        <w:t>–</w:t>
      </w:r>
      <w:r w:rsidRPr="006B74EB">
        <w:rPr>
          <w:rFonts w:ascii="Times New Roman" w:hAnsi="Times New Roman"/>
          <w:color w:val="0070C0"/>
          <w:sz w:val="16"/>
          <w:szCs w:val="16"/>
        </w:rPr>
        <w:t xml:space="preserve"> </w:t>
      </w:r>
      <w:r>
        <w:rPr>
          <w:rFonts w:ascii="Times New Roman" w:hAnsi="Times New Roman"/>
          <w:color w:val="0070C0"/>
          <w:sz w:val="16"/>
          <w:szCs w:val="16"/>
        </w:rPr>
        <w:t>95 км</w:t>
      </w:r>
      <w:r w:rsidRPr="006B74EB">
        <w:rPr>
          <w:rFonts w:ascii="Times New Roman" w:hAnsi="Times New Roman"/>
          <w:color w:val="0070C0"/>
          <w:sz w:val="16"/>
          <w:szCs w:val="16"/>
        </w:rPr>
        <w:t>/час;</w:t>
      </w:r>
      <w:r>
        <w:rPr>
          <w:rFonts w:ascii="Times New Roman" w:hAnsi="Times New Roman"/>
          <w:color w:val="0070C0"/>
          <w:sz w:val="16"/>
          <w:szCs w:val="16"/>
        </w:rPr>
        <w:t xml:space="preserve"> </w:t>
      </w:r>
      <w:r w:rsidRPr="006B74EB">
        <w:rPr>
          <w:rFonts w:ascii="Times New Roman" w:hAnsi="Times New Roman"/>
          <w:color w:val="0070C0"/>
          <w:sz w:val="16"/>
          <w:szCs w:val="16"/>
        </w:rPr>
        <w:t>потолок - 6200 м.</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С 1930 года </w:t>
      </w:r>
      <w:r>
        <w:rPr>
          <w:rFonts w:ascii="Times New Roman" w:hAnsi="Times New Roman"/>
          <w:color w:val="0070C0"/>
          <w:sz w:val="16"/>
          <w:szCs w:val="16"/>
        </w:rPr>
        <w:t>Р</w:t>
      </w:r>
      <w:r w:rsidRPr="006B74EB">
        <w:rPr>
          <w:rFonts w:ascii="Times New Roman" w:hAnsi="Times New Roman"/>
          <w:color w:val="0070C0"/>
          <w:sz w:val="16"/>
          <w:szCs w:val="16"/>
        </w:rPr>
        <w:t>-5 находился на вооруже</w:t>
      </w:r>
      <w:r>
        <w:rPr>
          <w:rFonts w:ascii="Times New Roman" w:hAnsi="Times New Roman"/>
          <w:color w:val="0070C0"/>
          <w:sz w:val="16"/>
          <w:szCs w:val="16"/>
        </w:rPr>
        <w:t>нии</w:t>
      </w:r>
      <w:r w:rsidRPr="006B74EB">
        <w:rPr>
          <w:rFonts w:ascii="Times New Roman" w:hAnsi="Times New Roman"/>
          <w:color w:val="0070C0"/>
          <w:sz w:val="16"/>
          <w:szCs w:val="16"/>
        </w:rPr>
        <w:t xml:space="preserve"> ВВС в качестве разведчика </w:t>
      </w:r>
      <w:r>
        <w:rPr>
          <w:rFonts w:ascii="Times New Roman" w:hAnsi="Times New Roman"/>
          <w:color w:val="0070C0"/>
          <w:sz w:val="16"/>
          <w:szCs w:val="16"/>
        </w:rPr>
        <w:t>и</w:t>
      </w:r>
      <w:r w:rsidRPr="006B74EB">
        <w:rPr>
          <w:rFonts w:ascii="Times New Roman" w:hAnsi="Times New Roman"/>
          <w:color w:val="0070C0"/>
          <w:sz w:val="16"/>
          <w:szCs w:val="16"/>
        </w:rPr>
        <w:t xml:space="preserve"> легкого бомбардировщика, а в ГВ</w:t>
      </w:r>
      <w:r>
        <w:rPr>
          <w:rFonts w:ascii="Times New Roman" w:hAnsi="Times New Roman"/>
          <w:color w:val="0070C0"/>
          <w:sz w:val="16"/>
          <w:szCs w:val="16"/>
        </w:rPr>
        <w:t xml:space="preserve">Ф – в </w:t>
      </w:r>
      <w:r w:rsidRPr="006B74EB">
        <w:rPr>
          <w:rFonts w:ascii="Times New Roman" w:hAnsi="Times New Roman"/>
          <w:color w:val="0070C0"/>
          <w:sz w:val="16"/>
          <w:szCs w:val="16"/>
        </w:rPr>
        <w:t>качестве почтового под маркою П-5.</w:t>
      </w:r>
      <w:r>
        <w:rPr>
          <w:rFonts w:ascii="Times New Roman" w:hAnsi="Times New Roman"/>
          <w:color w:val="0070C0"/>
          <w:sz w:val="16"/>
          <w:szCs w:val="16"/>
        </w:rPr>
        <w:t xml:space="preserve"> </w:t>
      </w:r>
      <w:r w:rsidRPr="006B74EB">
        <w:rPr>
          <w:rFonts w:ascii="Times New Roman" w:hAnsi="Times New Roman"/>
          <w:color w:val="0070C0"/>
          <w:sz w:val="16"/>
          <w:szCs w:val="16"/>
        </w:rPr>
        <w:t>Выпускался в различных модифи</w:t>
      </w:r>
      <w:r>
        <w:rPr>
          <w:rFonts w:ascii="Times New Roman" w:hAnsi="Times New Roman"/>
          <w:color w:val="0070C0"/>
          <w:sz w:val="16"/>
          <w:szCs w:val="16"/>
        </w:rPr>
        <w:t>кациях</w:t>
      </w:r>
      <w:r w:rsidRPr="006B74EB">
        <w:rPr>
          <w:rFonts w:ascii="Times New Roman" w:hAnsi="Times New Roman"/>
          <w:color w:val="0070C0"/>
          <w:sz w:val="16"/>
          <w:szCs w:val="16"/>
        </w:rPr>
        <w:t xml:space="preserve"> </w:t>
      </w:r>
      <w:r>
        <w:rPr>
          <w:rFonts w:ascii="Times New Roman" w:hAnsi="Times New Roman"/>
          <w:color w:val="0070C0"/>
          <w:sz w:val="16"/>
          <w:szCs w:val="16"/>
        </w:rPr>
        <w:t>и</w:t>
      </w:r>
      <w:r w:rsidRPr="006B74EB">
        <w:rPr>
          <w:rFonts w:ascii="Times New Roman" w:hAnsi="Times New Roman"/>
          <w:color w:val="0070C0"/>
          <w:sz w:val="16"/>
          <w:szCs w:val="16"/>
        </w:rPr>
        <w:t xml:space="preserve"> </w:t>
      </w:r>
      <w:r>
        <w:rPr>
          <w:rFonts w:ascii="Times New Roman" w:hAnsi="Times New Roman"/>
          <w:color w:val="0070C0"/>
          <w:sz w:val="16"/>
          <w:szCs w:val="16"/>
        </w:rPr>
        <w:t>наравне</w:t>
      </w:r>
      <w:r w:rsidRPr="006B74EB">
        <w:rPr>
          <w:rFonts w:ascii="Times New Roman" w:hAnsi="Times New Roman"/>
          <w:color w:val="0070C0"/>
          <w:sz w:val="16"/>
          <w:szCs w:val="16"/>
        </w:rPr>
        <w:t xml:space="preserve"> с У-2 бил самым распространенным и популярным</w:t>
      </w:r>
    </w:p>
    <w:p w14:paraId="3FC0CBD3" w14:textId="77777777" w:rsidR="000C7713" w:rsidRDefault="000C7713" w:rsidP="000C7713">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w:t>
      </w:r>
      <w:r>
        <w:rPr>
          <w:rFonts w:ascii="Times New Roman" w:hAnsi="Times New Roman"/>
          <w:color w:val="0070C0"/>
          <w:sz w:val="16"/>
          <w:szCs w:val="16"/>
        </w:rPr>
        <w:t>«</w:t>
      </w:r>
      <w:r w:rsidRPr="006B74EB">
        <w:rPr>
          <w:rFonts w:ascii="Times New Roman" w:hAnsi="Times New Roman"/>
          <w:color w:val="0070C0"/>
          <w:sz w:val="16"/>
          <w:szCs w:val="16"/>
        </w:rPr>
        <w:t xml:space="preserve">Красная </w:t>
      </w:r>
      <w:r>
        <w:rPr>
          <w:rFonts w:ascii="Times New Roman" w:hAnsi="Times New Roman"/>
          <w:color w:val="0070C0"/>
          <w:sz w:val="16"/>
          <w:szCs w:val="16"/>
        </w:rPr>
        <w:t>з</w:t>
      </w:r>
      <w:r w:rsidRPr="006B74EB">
        <w:rPr>
          <w:rFonts w:ascii="Times New Roman" w:hAnsi="Times New Roman"/>
          <w:color w:val="0070C0"/>
          <w:sz w:val="16"/>
          <w:szCs w:val="16"/>
        </w:rPr>
        <w:t>ве</w:t>
      </w:r>
      <w:r>
        <w:rPr>
          <w:rFonts w:ascii="Times New Roman" w:hAnsi="Times New Roman"/>
          <w:color w:val="0070C0"/>
          <w:sz w:val="16"/>
          <w:szCs w:val="16"/>
        </w:rPr>
        <w:t>з</w:t>
      </w:r>
      <w:r w:rsidRPr="006B74EB">
        <w:rPr>
          <w:rFonts w:ascii="Times New Roman" w:hAnsi="Times New Roman"/>
          <w:color w:val="0070C0"/>
          <w:sz w:val="16"/>
          <w:szCs w:val="16"/>
        </w:rPr>
        <w:t>да</w:t>
      </w:r>
      <w:r>
        <w:rPr>
          <w:rFonts w:ascii="Times New Roman" w:hAnsi="Times New Roman"/>
          <w:color w:val="0070C0"/>
          <w:sz w:val="16"/>
          <w:szCs w:val="16"/>
        </w:rPr>
        <w:t>»</w:t>
      </w:r>
      <w:r w:rsidRPr="006B74EB">
        <w:rPr>
          <w:rFonts w:ascii="Times New Roman" w:hAnsi="Times New Roman"/>
          <w:color w:val="0070C0"/>
          <w:sz w:val="16"/>
          <w:szCs w:val="16"/>
        </w:rPr>
        <w:t xml:space="preserve"> за 24 июля 1929 г./</w:t>
      </w:r>
      <w:r>
        <w:rPr>
          <w:rFonts w:ascii="Times New Roman" w:hAnsi="Times New Roman"/>
          <w:color w:val="0070C0"/>
          <w:sz w:val="16"/>
          <w:szCs w:val="16"/>
        </w:rPr>
        <w:t xml:space="preserve"> (23370).</w:t>
      </w:r>
    </w:p>
    <w:p w14:paraId="625840C8" w14:textId="77777777" w:rsidR="000C7713" w:rsidRDefault="000C7713" w:rsidP="000C7713">
      <w:pPr>
        <w:spacing w:after="0" w:line="240" w:lineRule="auto"/>
        <w:jc w:val="both"/>
        <w:rPr>
          <w:rFonts w:ascii="Times New Roman" w:hAnsi="Times New Roman"/>
          <w:color w:val="0070C0"/>
          <w:sz w:val="16"/>
          <w:szCs w:val="16"/>
        </w:rPr>
      </w:pPr>
    </w:p>
    <w:p w14:paraId="604B46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июля 1929 </w:t>
      </w:r>
      <w:proofErr w:type="spellStart"/>
      <w:r w:rsidRPr="00A259BD">
        <w:rPr>
          <w:rFonts w:ascii="Times New Roman" w:hAnsi="Times New Roman"/>
          <w:color w:val="000000" w:themeColor="text1"/>
          <w:sz w:val="16"/>
          <w:szCs w:val="16"/>
        </w:rPr>
        <w:t>Я.И.Алкснис</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В.О.Писаренко</w:t>
      </w:r>
      <w:proofErr w:type="spellEnd"/>
      <w:r w:rsidRPr="00A259BD">
        <w:rPr>
          <w:rFonts w:ascii="Times New Roman" w:hAnsi="Times New Roman"/>
          <w:color w:val="000000" w:themeColor="text1"/>
          <w:sz w:val="16"/>
          <w:szCs w:val="16"/>
        </w:rPr>
        <w:t xml:space="preserve"> на Р-5 выполнили беспосадочный перелет Москва-Севастополь. Обратно летели без посадки 22 июля 1929 (272,373).</w:t>
      </w:r>
    </w:p>
    <w:p w14:paraId="42E414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EA93B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июля 1929 г. был выполнен беспосадочный перелет Москва - Севастополь на самолете Р-5 </w:t>
      </w:r>
      <w:proofErr w:type="spellStart"/>
      <w:r w:rsidRPr="00A259BD">
        <w:rPr>
          <w:rFonts w:ascii="Times New Roman" w:hAnsi="Times New Roman"/>
          <w:color w:val="000000" w:themeColor="text1"/>
          <w:sz w:val="16"/>
          <w:szCs w:val="16"/>
        </w:rPr>
        <w:t>Я.И.Алксниса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В.О.Писаренко</w:t>
      </w:r>
      <w:proofErr w:type="spellEnd"/>
      <w:r w:rsidRPr="00A259BD">
        <w:rPr>
          <w:rFonts w:ascii="Times New Roman" w:hAnsi="Times New Roman"/>
          <w:color w:val="000000" w:themeColor="text1"/>
          <w:sz w:val="16"/>
          <w:szCs w:val="16"/>
        </w:rPr>
        <w:t xml:space="preserve"> (1276 км за 5 час 30 мин) (6395).</w:t>
      </w:r>
    </w:p>
    <w:p w14:paraId="3C3124C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A1E31D" w14:textId="77777777" w:rsidR="00CA6C05" w:rsidRPr="00A259BD" w:rsidRDefault="00CA6C0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bookmarkStart w:id="71" w:name="_Hlk56761722"/>
      <w:r w:rsidRPr="00A259BD">
        <w:rPr>
          <w:rFonts w:ascii="Times New Roman" w:eastAsia="Times New Roman" w:hAnsi="Times New Roman"/>
          <w:color w:val="000000" w:themeColor="text1"/>
          <w:sz w:val="16"/>
          <w:szCs w:val="16"/>
          <w:lang w:eastAsia="ru-RU"/>
        </w:rPr>
        <w:t>21 июля 1929 заместитель начальника ВВС РККА Я.И. Алкснис и старший летчик НИИ ВВС В.О. Писаренко выполнили на новом самолете-разведчике Р-5 полет из Москвы в Севастополь (1276 км) с рекордной средней скоростью — более 233 км/час (21249).</w:t>
      </w:r>
    </w:p>
    <w:p w14:paraId="7992BBF4" w14:textId="77777777" w:rsidR="00CA6C05" w:rsidRPr="00A259BD" w:rsidRDefault="00CA6C05" w:rsidP="009236E3">
      <w:pPr>
        <w:spacing w:after="0" w:line="240" w:lineRule="auto"/>
        <w:jc w:val="both"/>
        <w:rPr>
          <w:rFonts w:ascii="Times New Roman" w:hAnsi="Times New Roman"/>
          <w:color w:val="000000" w:themeColor="text1"/>
          <w:sz w:val="16"/>
          <w:szCs w:val="16"/>
        </w:rPr>
      </w:pPr>
    </w:p>
    <w:bookmarkEnd w:id="71"/>
    <w:p w14:paraId="30210F2B" w14:textId="77777777" w:rsidR="00CA6C05" w:rsidRPr="00A259BD" w:rsidRDefault="00CA6C0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С 21 по 23 июля 1929 прошел перелет инструкторов летных школ. Исходным пунктом перелета был назначен Харьков. Маршрут перелета: Харьков – Борисоглебск – Вольск – Оренбург – Вольск – Сталинград – </w:t>
      </w:r>
      <w:proofErr w:type="spellStart"/>
      <w:r w:rsidRPr="00A259BD">
        <w:rPr>
          <w:rFonts w:ascii="Times New Roman" w:eastAsia="Times New Roman" w:hAnsi="Times New Roman"/>
          <w:color w:val="000000" w:themeColor="text1"/>
          <w:sz w:val="16"/>
          <w:szCs w:val="16"/>
          <w:lang w:eastAsia="ru-RU"/>
        </w:rPr>
        <w:t>Ростов</w:t>
      </w:r>
      <w:proofErr w:type="spellEnd"/>
      <w:r w:rsidRPr="00A259BD">
        <w:rPr>
          <w:rFonts w:ascii="Times New Roman" w:eastAsia="Times New Roman" w:hAnsi="Times New Roman"/>
          <w:color w:val="000000" w:themeColor="text1"/>
          <w:sz w:val="16"/>
          <w:szCs w:val="16"/>
          <w:lang w:eastAsia="ru-RU"/>
        </w:rPr>
        <w:t xml:space="preserve"> на Дону – Севастополь – Харьков. Общая протяженность 3830 километров.</w:t>
      </w:r>
    </w:p>
    <w:p w14:paraId="7F4FB803" w14:textId="77777777" w:rsidR="00CA6C05" w:rsidRPr="00A259BD" w:rsidRDefault="00CA6C0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Продолжительность перелета составила от 36 часов 10 минут до 57 часов 22 минут, при этом в воздухе экипажи провели от 24 часа 17 минут до 28 часов 14 минут.</w:t>
      </w:r>
    </w:p>
    <w:p w14:paraId="305351AA" w14:textId="77777777" w:rsidR="00CA6C05" w:rsidRPr="00A259BD" w:rsidRDefault="00CA6C0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По сравнению с предыдущим перелетом, был отмечен более низкий уровень навигационной подготовки экипажей. Были зафиксированы случаи вынужденных посадок из-за потери ориентировки. Техническую подготовку «материальной части» также оценили как недостаточную. Кроме нескольких вынужденных посадок из-за отказов техники, отмечалось и значительное число мелких неисправностей в моторах и в оборудовании.</w:t>
      </w:r>
    </w:p>
    <w:p w14:paraId="0770A2EE" w14:textId="77777777" w:rsidR="00CA6C05" w:rsidRPr="00A259BD" w:rsidRDefault="00CA6C05"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Первое место занял экипаж 2-ой объединенной школы летчиков и авиатехников (г. Вольск) в составе Демидова и Авалиани, получивших 633 очка из 700 возможных, второе место заняли Шумов и Юденич из Академии имени Н.Е. Жуковского с результатом 612 очков и третье – Поспелов и Горшков (N-я школа военных летчиков) – 497 очков (21249).</w:t>
      </w:r>
    </w:p>
    <w:p w14:paraId="07273279" w14:textId="77777777" w:rsidR="00CA6C05" w:rsidRPr="00A259BD" w:rsidRDefault="00CA6C05" w:rsidP="009236E3">
      <w:pPr>
        <w:spacing w:after="0" w:line="240" w:lineRule="auto"/>
        <w:jc w:val="both"/>
        <w:rPr>
          <w:rFonts w:ascii="Times New Roman" w:hAnsi="Times New Roman"/>
          <w:color w:val="000000" w:themeColor="text1"/>
          <w:sz w:val="16"/>
          <w:szCs w:val="16"/>
        </w:rPr>
      </w:pPr>
    </w:p>
    <w:p w14:paraId="22B01E09" w14:textId="77777777" w:rsidR="004A20D4" w:rsidRPr="006B74EB" w:rsidRDefault="004A20D4" w:rsidP="004A20D4">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21-23 </w:t>
      </w:r>
      <w:r w:rsidRPr="006B74EB">
        <w:rPr>
          <w:rFonts w:ascii="Times New Roman" w:hAnsi="Times New Roman"/>
          <w:color w:val="0070C0"/>
          <w:sz w:val="16"/>
          <w:szCs w:val="16"/>
        </w:rPr>
        <w:t xml:space="preserve">июля </w:t>
      </w:r>
      <w:r>
        <w:rPr>
          <w:rFonts w:ascii="Times New Roman" w:hAnsi="Times New Roman"/>
          <w:color w:val="0070C0"/>
          <w:sz w:val="16"/>
          <w:szCs w:val="16"/>
        </w:rPr>
        <w:t>1929 г</w:t>
      </w:r>
      <w:r w:rsidRPr="006B74EB">
        <w:rPr>
          <w:rFonts w:ascii="Times New Roman" w:hAnsi="Times New Roman"/>
          <w:color w:val="0070C0"/>
          <w:sz w:val="16"/>
          <w:szCs w:val="16"/>
        </w:rPr>
        <w:t>.</w:t>
      </w:r>
      <w:r>
        <w:rPr>
          <w:rFonts w:ascii="Times New Roman" w:hAnsi="Times New Roman"/>
          <w:color w:val="0070C0"/>
          <w:sz w:val="16"/>
          <w:szCs w:val="16"/>
        </w:rPr>
        <w:t xml:space="preserve"> с</w:t>
      </w:r>
      <w:r w:rsidRPr="006B74EB">
        <w:rPr>
          <w:rFonts w:ascii="Times New Roman" w:hAnsi="Times New Roman"/>
          <w:color w:val="0070C0"/>
          <w:sz w:val="16"/>
          <w:szCs w:val="16"/>
        </w:rPr>
        <w:t>остоялся круговой перелет инструкторов военных</w:t>
      </w:r>
      <w:r>
        <w:rPr>
          <w:rFonts w:ascii="Times New Roman" w:hAnsi="Times New Roman"/>
          <w:color w:val="0070C0"/>
          <w:sz w:val="16"/>
          <w:szCs w:val="16"/>
        </w:rPr>
        <w:t xml:space="preserve"> ш</w:t>
      </w:r>
      <w:r w:rsidRPr="006B74EB">
        <w:rPr>
          <w:rFonts w:ascii="Times New Roman" w:hAnsi="Times New Roman"/>
          <w:color w:val="0070C0"/>
          <w:sz w:val="16"/>
          <w:szCs w:val="16"/>
        </w:rPr>
        <w:t>кол по маршруту: Харьков-Борисоглебс</w:t>
      </w:r>
      <w:r>
        <w:rPr>
          <w:rFonts w:ascii="Times New Roman" w:hAnsi="Times New Roman"/>
          <w:color w:val="0070C0"/>
          <w:sz w:val="16"/>
          <w:szCs w:val="16"/>
        </w:rPr>
        <w:t>к-В</w:t>
      </w:r>
      <w:r w:rsidRPr="006B74EB">
        <w:rPr>
          <w:rFonts w:ascii="Times New Roman" w:hAnsi="Times New Roman"/>
          <w:color w:val="0070C0"/>
          <w:sz w:val="16"/>
          <w:szCs w:val="16"/>
        </w:rPr>
        <w:t>ольск-</w:t>
      </w:r>
      <w:r>
        <w:rPr>
          <w:rFonts w:ascii="Times New Roman" w:hAnsi="Times New Roman"/>
          <w:color w:val="0070C0"/>
          <w:sz w:val="16"/>
          <w:szCs w:val="16"/>
        </w:rPr>
        <w:t>О</w:t>
      </w:r>
      <w:r w:rsidRPr="006B74EB">
        <w:rPr>
          <w:rFonts w:ascii="Times New Roman" w:hAnsi="Times New Roman"/>
          <w:color w:val="0070C0"/>
          <w:sz w:val="16"/>
          <w:szCs w:val="16"/>
        </w:rPr>
        <w:t>ре</w:t>
      </w:r>
      <w:r>
        <w:rPr>
          <w:rFonts w:ascii="Times New Roman" w:hAnsi="Times New Roman"/>
          <w:color w:val="0070C0"/>
          <w:sz w:val="16"/>
          <w:szCs w:val="16"/>
        </w:rPr>
        <w:t>н</w:t>
      </w:r>
      <w:r w:rsidRPr="006B74EB">
        <w:rPr>
          <w:rFonts w:ascii="Times New Roman" w:hAnsi="Times New Roman"/>
          <w:color w:val="0070C0"/>
          <w:sz w:val="16"/>
          <w:szCs w:val="16"/>
        </w:rPr>
        <w:t>бург-Во</w:t>
      </w:r>
      <w:r>
        <w:rPr>
          <w:rFonts w:ascii="Times New Roman" w:hAnsi="Times New Roman"/>
          <w:color w:val="0070C0"/>
          <w:sz w:val="16"/>
          <w:szCs w:val="16"/>
        </w:rPr>
        <w:t>л</w:t>
      </w:r>
      <w:r w:rsidRPr="006B74EB">
        <w:rPr>
          <w:rFonts w:ascii="Times New Roman" w:hAnsi="Times New Roman"/>
          <w:color w:val="0070C0"/>
          <w:sz w:val="16"/>
          <w:szCs w:val="16"/>
        </w:rPr>
        <w:t>ьск-</w:t>
      </w:r>
      <w:r>
        <w:rPr>
          <w:rFonts w:ascii="Times New Roman" w:hAnsi="Times New Roman"/>
          <w:color w:val="0070C0"/>
          <w:sz w:val="16"/>
          <w:szCs w:val="16"/>
        </w:rPr>
        <w:t>Сталин</w:t>
      </w:r>
      <w:r w:rsidRPr="006B74EB">
        <w:rPr>
          <w:rFonts w:ascii="Times New Roman" w:hAnsi="Times New Roman"/>
          <w:color w:val="0070C0"/>
          <w:sz w:val="16"/>
          <w:szCs w:val="16"/>
        </w:rPr>
        <w:t xml:space="preserve">град-Ростов-Соваотополь-Харьков общим протяжением 3330 </w:t>
      </w:r>
      <w:r>
        <w:rPr>
          <w:rFonts w:ascii="Times New Roman" w:hAnsi="Times New Roman"/>
          <w:color w:val="0070C0"/>
          <w:sz w:val="16"/>
          <w:szCs w:val="16"/>
        </w:rPr>
        <w:t>к</w:t>
      </w:r>
      <w:r w:rsidRPr="006B74EB">
        <w:rPr>
          <w:rFonts w:ascii="Times New Roman" w:hAnsi="Times New Roman"/>
          <w:color w:val="0070C0"/>
          <w:sz w:val="16"/>
          <w:szCs w:val="16"/>
        </w:rPr>
        <w:t xml:space="preserve">м. </w:t>
      </w:r>
      <w:r>
        <w:rPr>
          <w:rFonts w:ascii="Times New Roman" w:hAnsi="Times New Roman"/>
          <w:color w:val="0070C0"/>
          <w:sz w:val="16"/>
          <w:szCs w:val="16"/>
        </w:rPr>
        <w:t>Перелет</w:t>
      </w:r>
      <w:r w:rsidRPr="006B74EB">
        <w:rPr>
          <w:rFonts w:ascii="Times New Roman" w:hAnsi="Times New Roman"/>
          <w:color w:val="0070C0"/>
          <w:sz w:val="16"/>
          <w:szCs w:val="16"/>
        </w:rPr>
        <w:t xml:space="preserve"> совершался на учебных самолетах по два инструктора на</w:t>
      </w:r>
      <w:r>
        <w:rPr>
          <w:rFonts w:ascii="Times New Roman" w:hAnsi="Times New Roman"/>
          <w:color w:val="0070C0"/>
          <w:sz w:val="16"/>
          <w:szCs w:val="16"/>
        </w:rPr>
        <w:t xml:space="preserve"> каждом. Ц</w:t>
      </w:r>
      <w:r w:rsidRPr="006B74EB">
        <w:rPr>
          <w:rFonts w:ascii="Times New Roman" w:hAnsi="Times New Roman"/>
          <w:color w:val="0070C0"/>
          <w:sz w:val="16"/>
          <w:szCs w:val="16"/>
        </w:rPr>
        <w:t xml:space="preserve">ель перелета - проверка инструкторов во </w:t>
      </w:r>
      <w:proofErr w:type="spellStart"/>
      <w:r w:rsidRPr="006B74EB">
        <w:rPr>
          <w:rFonts w:ascii="Times New Roman" w:hAnsi="Times New Roman"/>
          <w:color w:val="0070C0"/>
          <w:sz w:val="16"/>
          <w:szCs w:val="16"/>
        </w:rPr>
        <w:t>внеаэродромикх</w:t>
      </w:r>
      <w:proofErr w:type="spellEnd"/>
      <w:r w:rsidRPr="006B74EB">
        <w:rPr>
          <w:rFonts w:ascii="Times New Roman" w:hAnsi="Times New Roman"/>
          <w:color w:val="0070C0"/>
          <w:sz w:val="16"/>
          <w:szCs w:val="16"/>
        </w:rPr>
        <w:t xml:space="preserve"> </w:t>
      </w:r>
      <w:r>
        <w:rPr>
          <w:rFonts w:ascii="Times New Roman" w:hAnsi="Times New Roman"/>
          <w:color w:val="0070C0"/>
          <w:sz w:val="16"/>
          <w:szCs w:val="16"/>
        </w:rPr>
        <w:t>поле</w:t>
      </w:r>
      <w:r w:rsidRPr="006B74EB">
        <w:rPr>
          <w:rFonts w:ascii="Times New Roman" w:hAnsi="Times New Roman"/>
          <w:color w:val="0070C0"/>
          <w:sz w:val="16"/>
          <w:szCs w:val="16"/>
        </w:rPr>
        <w:t>тах.</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Первыми закончили перелет </w:t>
      </w:r>
      <w:proofErr w:type="spellStart"/>
      <w:r w:rsidRPr="006B74EB">
        <w:rPr>
          <w:rFonts w:ascii="Times New Roman" w:hAnsi="Times New Roman"/>
          <w:color w:val="0070C0"/>
          <w:sz w:val="16"/>
          <w:szCs w:val="16"/>
        </w:rPr>
        <w:t>Г.М.Авалиани</w:t>
      </w:r>
      <w:proofErr w:type="spellEnd"/>
      <w:r w:rsidRPr="006B74EB">
        <w:rPr>
          <w:rFonts w:ascii="Times New Roman" w:hAnsi="Times New Roman"/>
          <w:color w:val="0070C0"/>
          <w:sz w:val="16"/>
          <w:szCs w:val="16"/>
        </w:rPr>
        <w:t xml:space="preserve"> и </w:t>
      </w:r>
      <w:proofErr w:type="spellStart"/>
      <w:r w:rsidRPr="006B74EB">
        <w:rPr>
          <w:rFonts w:ascii="Times New Roman" w:hAnsi="Times New Roman"/>
          <w:color w:val="0070C0"/>
          <w:sz w:val="16"/>
          <w:szCs w:val="16"/>
        </w:rPr>
        <w:t>А.А.Демидов</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пролетевшие </w:t>
      </w:r>
      <w:r w:rsidRPr="006B74EB">
        <w:rPr>
          <w:rFonts w:ascii="Times New Roman" w:hAnsi="Times New Roman"/>
          <w:color w:val="0070C0"/>
          <w:sz w:val="16"/>
          <w:szCs w:val="16"/>
        </w:rPr>
        <w:t xml:space="preserve">весь маршрут на самолете </w:t>
      </w:r>
      <w:r>
        <w:rPr>
          <w:rFonts w:ascii="Times New Roman" w:hAnsi="Times New Roman"/>
          <w:color w:val="0070C0"/>
          <w:sz w:val="16"/>
          <w:szCs w:val="16"/>
        </w:rPr>
        <w:t>У</w:t>
      </w:r>
      <w:r w:rsidRPr="006B74EB">
        <w:rPr>
          <w:rFonts w:ascii="Times New Roman" w:hAnsi="Times New Roman"/>
          <w:color w:val="0070C0"/>
          <w:sz w:val="16"/>
          <w:szCs w:val="16"/>
        </w:rPr>
        <w:t>-1 за 36 часов.</w:t>
      </w:r>
    </w:p>
    <w:p w14:paraId="597D045A" w14:textId="77777777" w:rsidR="004A20D4" w:rsidRDefault="004A20D4" w:rsidP="004A20D4">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/«Красная звезда</w:t>
      </w:r>
      <w:r>
        <w:rPr>
          <w:rFonts w:ascii="Times New Roman" w:hAnsi="Times New Roman"/>
          <w:color w:val="0070C0"/>
          <w:sz w:val="16"/>
          <w:szCs w:val="16"/>
        </w:rPr>
        <w:t>»</w:t>
      </w:r>
      <w:r w:rsidRPr="006B74EB">
        <w:rPr>
          <w:rFonts w:ascii="Times New Roman" w:hAnsi="Times New Roman"/>
          <w:color w:val="0070C0"/>
          <w:sz w:val="16"/>
          <w:szCs w:val="16"/>
        </w:rPr>
        <w:t xml:space="preserve"> за 24 мюля 1929;</w:t>
      </w:r>
      <w:r>
        <w:rPr>
          <w:rFonts w:ascii="Times New Roman" w:hAnsi="Times New Roman"/>
          <w:color w:val="0070C0"/>
          <w:sz w:val="16"/>
          <w:szCs w:val="16"/>
        </w:rPr>
        <w:t xml:space="preserve"> </w:t>
      </w:r>
      <w:r w:rsidRPr="006B74EB">
        <w:rPr>
          <w:rFonts w:ascii="Times New Roman" w:hAnsi="Times New Roman"/>
          <w:color w:val="0070C0"/>
          <w:sz w:val="16"/>
          <w:szCs w:val="16"/>
        </w:rPr>
        <w:t>ВВ</w:t>
      </w:r>
      <w:r>
        <w:rPr>
          <w:rFonts w:ascii="Times New Roman" w:hAnsi="Times New Roman"/>
          <w:color w:val="0070C0"/>
          <w:sz w:val="16"/>
          <w:szCs w:val="16"/>
        </w:rPr>
        <w:t>Ф</w:t>
      </w:r>
      <w:r w:rsidRPr="006B74EB">
        <w:rPr>
          <w:rFonts w:ascii="Times New Roman" w:hAnsi="Times New Roman"/>
          <w:color w:val="0070C0"/>
          <w:sz w:val="16"/>
          <w:szCs w:val="16"/>
        </w:rPr>
        <w:t xml:space="preserve">,1934 </w:t>
      </w:r>
      <w:r>
        <w:rPr>
          <w:rFonts w:ascii="Times New Roman" w:hAnsi="Times New Roman"/>
          <w:color w:val="0070C0"/>
          <w:sz w:val="16"/>
          <w:szCs w:val="16"/>
        </w:rPr>
        <w:t>№</w:t>
      </w:r>
      <w:r w:rsidRPr="006B74EB">
        <w:rPr>
          <w:rFonts w:ascii="Times New Roman" w:hAnsi="Times New Roman"/>
          <w:color w:val="0070C0"/>
          <w:sz w:val="16"/>
          <w:szCs w:val="16"/>
        </w:rPr>
        <w:t xml:space="preserve"> 8/</w:t>
      </w:r>
      <w:r>
        <w:rPr>
          <w:rFonts w:ascii="Times New Roman" w:hAnsi="Times New Roman"/>
          <w:color w:val="0070C0"/>
          <w:sz w:val="16"/>
          <w:szCs w:val="16"/>
        </w:rPr>
        <w:t xml:space="preserve"> (23370).</w:t>
      </w:r>
    </w:p>
    <w:p w14:paraId="2C1CDCAB" w14:textId="77777777" w:rsidR="004A20D4" w:rsidRDefault="004A20D4" w:rsidP="004A20D4">
      <w:pPr>
        <w:spacing w:after="0" w:line="240" w:lineRule="auto"/>
        <w:jc w:val="both"/>
        <w:rPr>
          <w:rFonts w:ascii="Times New Roman" w:hAnsi="Times New Roman"/>
          <w:color w:val="0070C0"/>
          <w:sz w:val="16"/>
          <w:szCs w:val="16"/>
        </w:rPr>
      </w:pPr>
    </w:p>
    <w:p w14:paraId="445DA018" w14:textId="77777777" w:rsidR="001F0E42"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6D38778" w14:textId="77777777" w:rsidR="001F0E42" w:rsidRPr="00A259BD" w:rsidRDefault="001F0E4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00DCC4" w14:textId="77777777" w:rsidR="001F0E42" w:rsidRPr="00A259BD" w:rsidRDefault="001F0E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июля в 1929 году вступил в строй Ростовский завод сельскохозяйственного машиностроения (ОАО «Ростсельмаш») – старейший комбайностроительный завод страны, ведущее </w:t>
      </w:r>
      <w:proofErr w:type="spellStart"/>
      <w:r w:rsidRPr="00A259BD">
        <w:rPr>
          <w:rFonts w:ascii="Times New Roman" w:hAnsi="Times New Roman"/>
          <w:color w:val="000000" w:themeColor="text1"/>
          <w:sz w:val="16"/>
          <w:szCs w:val="16"/>
        </w:rPr>
        <w:t>сельхозмашиностроительное</w:t>
      </w:r>
      <w:proofErr w:type="spellEnd"/>
      <w:r w:rsidRPr="00A259BD">
        <w:rPr>
          <w:rFonts w:ascii="Times New Roman" w:hAnsi="Times New Roman"/>
          <w:color w:val="000000" w:themeColor="text1"/>
          <w:sz w:val="16"/>
          <w:szCs w:val="16"/>
        </w:rPr>
        <w:t xml:space="preserve"> предприятие России (14959).</w:t>
      </w:r>
    </w:p>
    <w:p w14:paraId="1821FA56" w14:textId="77777777" w:rsidR="001F0E42" w:rsidRPr="00A259BD" w:rsidRDefault="001F0E42" w:rsidP="009236E3">
      <w:pPr>
        <w:spacing w:after="0" w:line="240" w:lineRule="auto"/>
        <w:jc w:val="both"/>
        <w:rPr>
          <w:rFonts w:ascii="Times New Roman" w:hAnsi="Times New Roman"/>
          <w:color w:val="000000" w:themeColor="text1"/>
          <w:sz w:val="16"/>
          <w:szCs w:val="16"/>
        </w:rPr>
      </w:pPr>
    </w:p>
    <w:p w14:paraId="6A8D7262" w14:textId="77777777" w:rsidR="00422342" w:rsidRPr="00A259BD" w:rsidRDefault="00422342" w:rsidP="009236E3">
      <w:pPr>
        <w:spacing w:after="0" w:line="240" w:lineRule="auto"/>
        <w:jc w:val="both"/>
        <w:rPr>
          <w:rFonts w:ascii="Times New Roman" w:hAnsi="Times New Roman"/>
          <w:color w:val="000000" w:themeColor="text1"/>
          <w:sz w:val="16"/>
          <w:szCs w:val="16"/>
        </w:rPr>
      </w:pPr>
      <w:r w:rsidRPr="00A259BD">
        <w:rPr>
          <w:rFonts w:ascii="Times New Roman" w:eastAsia="Times New Roman" w:hAnsi="Times New Roman"/>
          <w:bCs/>
          <w:color w:val="000000" w:themeColor="text1"/>
          <w:sz w:val="16"/>
          <w:szCs w:val="16"/>
          <w:lang w:eastAsia="ru-RU"/>
        </w:rPr>
        <w:t>21 июля 1929 г. завод «Ростсельмаш» выдал первую партию крестьянских ходов по государственному акту приемки. Именно этот день считается днем рождения завода.</w:t>
      </w:r>
      <w:r w:rsidRPr="00A259BD">
        <w:rPr>
          <w:rFonts w:ascii="Times New Roman" w:eastAsia="Times New Roman" w:hAnsi="Times New Roman"/>
          <w:color w:val="000000" w:themeColor="text1"/>
          <w:sz w:val="16"/>
          <w:szCs w:val="16"/>
          <w:lang w:eastAsia="ru-RU"/>
        </w:rPr>
        <w:t xml:space="preserve"> В мае 1928 г. Николай Павлович Глебов-Авилов, сыгравший большую роль в строительстве предприятия, был назначен начальником </w:t>
      </w:r>
      <w:proofErr w:type="spellStart"/>
      <w:r w:rsidRPr="00A259BD">
        <w:rPr>
          <w:rFonts w:ascii="Times New Roman" w:eastAsia="Times New Roman" w:hAnsi="Times New Roman"/>
          <w:color w:val="000000" w:themeColor="text1"/>
          <w:sz w:val="16"/>
          <w:szCs w:val="16"/>
          <w:lang w:eastAsia="ru-RU"/>
        </w:rPr>
        <w:t>Сельмашстроя</w:t>
      </w:r>
      <w:proofErr w:type="spellEnd"/>
      <w:r w:rsidRPr="00A259BD">
        <w:rPr>
          <w:rFonts w:ascii="Times New Roman" w:eastAsia="Times New Roman" w:hAnsi="Times New Roman"/>
          <w:color w:val="000000" w:themeColor="text1"/>
          <w:sz w:val="16"/>
          <w:szCs w:val="16"/>
          <w:lang w:eastAsia="ru-RU"/>
        </w:rPr>
        <w:t xml:space="preserve">.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w:t>
      </w:r>
      <w:proofErr w:type="spellStart"/>
      <w:r w:rsidRPr="00A259BD">
        <w:rPr>
          <w:rFonts w:ascii="Times New Roman" w:eastAsia="Times New Roman" w:hAnsi="Times New Roman"/>
          <w:color w:val="000000" w:themeColor="text1"/>
          <w:sz w:val="16"/>
          <w:szCs w:val="16"/>
          <w:lang w:eastAsia="ru-RU"/>
        </w:rPr>
        <w:t>Сельмашстрой</w:t>
      </w:r>
      <w:proofErr w:type="spellEnd"/>
      <w:r w:rsidRPr="00A259BD">
        <w:rPr>
          <w:rFonts w:ascii="Times New Roman" w:eastAsia="Times New Roman" w:hAnsi="Times New Roman"/>
          <w:color w:val="000000" w:themeColor="text1"/>
          <w:sz w:val="16"/>
          <w:szCs w:val="16"/>
          <w:lang w:eastAsia="ru-RU"/>
        </w:rPr>
        <w:t xml:space="preserve"> Орденом Трудового Красного Знамени. 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w:t>
      </w:r>
      <w:proofErr w:type="spellStart"/>
      <w:r w:rsidRPr="00A259BD">
        <w:rPr>
          <w:rFonts w:ascii="Times New Roman" w:eastAsia="Times New Roman" w:hAnsi="Times New Roman"/>
          <w:color w:val="000000" w:themeColor="text1"/>
          <w:sz w:val="16"/>
          <w:szCs w:val="16"/>
          <w:lang w:eastAsia="ru-RU"/>
        </w:rPr>
        <w:t>Сельмашстроя</w:t>
      </w:r>
      <w:proofErr w:type="spellEnd"/>
      <w:r w:rsidRPr="00A259BD">
        <w:rPr>
          <w:rFonts w:ascii="Times New Roman" w:eastAsia="Times New Roman" w:hAnsi="Times New Roman"/>
          <w:color w:val="000000" w:themeColor="text1"/>
          <w:sz w:val="16"/>
          <w:szCs w:val="16"/>
          <w:lang w:eastAsia="ru-RU"/>
        </w:rPr>
        <w:t xml:space="preserve"> Н.П. Глебов-Авилов сдал Ростовский-на-Дону завод сельхозмашиностроения в эксплуатацию. В этом документе (приемочный акт) впервые завод назван «Ростсельмаш» (11220).</w:t>
      </w:r>
    </w:p>
    <w:p w14:paraId="4F69FBD5" w14:textId="61708F20" w:rsidR="00422342" w:rsidRPr="00A259BD" w:rsidRDefault="00422342" w:rsidP="009236E3">
      <w:pPr>
        <w:spacing w:after="0" w:line="240" w:lineRule="auto"/>
        <w:jc w:val="both"/>
        <w:rPr>
          <w:rFonts w:ascii="Times New Roman" w:hAnsi="Times New Roman"/>
          <w:color w:val="000000" w:themeColor="text1"/>
          <w:sz w:val="16"/>
          <w:szCs w:val="16"/>
        </w:rPr>
      </w:pPr>
    </w:p>
    <w:p w14:paraId="0AF284B6" w14:textId="77777777" w:rsidR="00CA6C05" w:rsidRPr="00A259BD" w:rsidRDefault="00CA6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июля 1929 </w:t>
      </w:r>
      <w:proofErr w:type="spellStart"/>
      <w:r w:rsidRPr="00A259BD">
        <w:rPr>
          <w:rFonts w:ascii="Times New Roman" w:hAnsi="Times New Roman"/>
          <w:color w:val="000000" w:themeColor="text1"/>
          <w:sz w:val="16"/>
          <w:szCs w:val="16"/>
        </w:rPr>
        <w:t>Ростсельмащ</w:t>
      </w:r>
      <w:proofErr w:type="spellEnd"/>
      <w:r w:rsidRPr="00A259BD">
        <w:rPr>
          <w:rFonts w:ascii="Times New Roman" w:hAnsi="Times New Roman"/>
          <w:color w:val="000000" w:themeColor="text1"/>
          <w:sz w:val="16"/>
          <w:szCs w:val="16"/>
        </w:rPr>
        <w:t xml:space="preserve"> производит первую продукцию. Страна прекращает закупать технику из-за рубежа, и начинает сама экспортировать свою продукцию. Дело в том, что в июле 1929 г. вошли в эксплуатацию первые 5 из 18 запроектированных цехов, что позволило заводу выдать первую партию крестьянских ходов по государственному акту приемки. Именно этот день считается днем рождения завода. В 1937 году проходит крупнейшая промышленная парижская выставка, куда РСМ отправляет свой комбайн «Сталинец-1». Ему присуждается Высшая награда — диплом GRAND PRIX. «</w:t>
      </w:r>
      <w:proofErr w:type="spellStart"/>
      <w:r w:rsidRPr="00A259BD">
        <w:rPr>
          <w:rFonts w:ascii="Times New Roman" w:hAnsi="Times New Roman"/>
          <w:color w:val="000000" w:themeColor="text1"/>
          <w:sz w:val="16"/>
          <w:szCs w:val="16"/>
        </w:rPr>
        <w:t>Сталинцы</w:t>
      </w:r>
      <w:proofErr w:type="spellEnd"/>
      <w:r w:rsidRPr="00A259BD">
        <w:rPr>
          <w:rFonts w:ascii="Times New Roman" w:hAnsi="Times New Roman"/>
          <w:color w:val="000000" w:themeColor="text1"/>
          <w:sz w:val="16"/>
          <w:szCs w:val="16"/>
        </w:rPr>
        <w:t>» завоевали славу самой высокопроизводительной машины в мире (21167).</w:t>
      </w:r>
    </w:p>
    <w:p w14:paraId="14D9EB33" w14:textId="77777777" w:rsidR="00CA6C05" w:rsidRPr="00A259BD" w:rsidRDefault="00CA6C05" w:rsidP="009236E3">
      <w:pPr>
        <w:spacing w:after="0" w:line="240" w:lineRule="auto"/>
        <w:jc w:val="both"/>
        <w:rPr>
          <w:rFonts w:ascii="Times New Roman" w:hAnsi="Times New Roman"/>
          <w:color w:val="000000" w:themeColor="text1"/>
          <w:sz w:val="16"/>
          <w:szCs w:val="16"/>
        </w:rPr>
      </w:pPr>
    </w:p>
    <w:p w14:paraId="0720B608" w14:textId="77777777" w:rsidR="00CA6C05" w:rsidRPr="00A259BD" w:rsidRDefault="00CA6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июля 1929 года вступил в строй Ростовский завод сельскохозяйственного машиностроения (Ростсельмаш). 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w:t>
      </w:r>
    </w:p>
    <w:p w14:paraId="0CF414B8" w14:textId="77777777" w:rsidR="00CA6C05" w:rsidRPr="00A259BD" w:rsidRDefault="00CA6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w:t>
      </w:r>
      <w:proofErr w:type="spellStart"/>
      <w:r w:rsidRPr="00A259BD">
        <w:rPr>
          <w:rFonts w:ascii="Times New Roman" w:hAnsi="Times New Roman"/>
          <w:color w:val="000000" w:themeColor="text1"/>
          <w:sz w:val="16"/>
          <w:szCs w:val="16"/>
        </w:rPr>
        <w:t>Сельмашстрой</w:t>
      </w:r>
      <w:proofErr w:type="spellEnd"/>
      <w:r w:rsidRPr="00A259BD">
        <w:rPr>
          <w:rFonts w:ascii="Times New Roman" w:hAnsi="Times New Roman"/>
          <w:color w:val="000000" w:themeColor="text1"/>
          <w:sz w:val="16"/>
          <w:szCs w:val="16"/>
        </w:rPr>
        <w:t xml:space="preserve"> Орденом Трудового Красного Знамени.</w:t>
      </w:r>
    </w:p>
    <w:p w14:paraId="0ACB9915" w14:textId="77777777" w:rsidR="00CA6C05" w:rsidRPr="00A259BD" w:rsidRDefault="00CA6C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w:t>
      </w:r>
      <w:proofErr w:type="spellStart"/>
      <w:r w:rsidRPr="00A259BD">
        <w:rPr>
          <w:rFonts w:ascii="Times New Roman" w:hAnsi="Times New Roman"/>
          <w:color w:val="000000" w:themeColor="text1"/>
          <w:sz w:val="16"/>
          <w:szCs w:val="16"/>
        </w:rPr>
        <w:t>Сельмашстроя</w:t>
      </w:r>
      <w:proofErr w:type="spellEnd"/>
      <w:r w:rsidRPr="00A259BD">
        <w:rPr>
          <w:rFonts w:ascii="Times New Roman" w:hAnsi="Times New Roman"/>
          <w:color w:val="000000" w:themeColor="text1"/>
          <w:sz w:val="16"/>
          <w:szCs w:val="16"/>
        </w:rPr>
        <w:t xml:space="preserve"> Н.П. Глебов-Авилов сдал Ростовский-на-Дону завод сельхозмашиностроения в эксплуатацию. В этом документе (приемочный акт) впервые завод назван «Ростсельмаш» (21168).</w:t>
      </w:r>
    </w:p>
    <w:p w14:paraId="3FBC83FC" w14:textId="77777777" w:rsidR="00CA6C05" w:rsidRPr="00A259BD" w:rsidRDefault="00CA6C05" w:rsidP="009236E3">
      <w:pPr>
        <w:spacing w:after="0" w:line="240" w:lineRule="auto"/>
        <w:jc w:val="both"/>
        <w:rPr>
          <w:rFonts w:ascii="Times New Roman" w:hAnsi="Times New Roman"/>
          <w:color w:val="000000" w:themeColor="text1"/>
          <w:sz w:val="16"/>
          <w:szCs w:val="16"/>
        </w:rPr>
      </w:pPr>
    </w:p>
    <w:p w14:paraId="2FEEF93D"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7DDC715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F55B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июля 1929г. Крестинский, писал в письме Ворошилову, руководством ВМС СССР, что «был поставлен вопрос об установлении связи с германским военным флотом» и «заключил, что вопрос был разрешен в смысле сохранения традиционных (</w:t>
      </w:r>
      <w:proofErr w:type="spellStart"/>
      <w:r w:rsidRPr="00A259BD">
        <w:rPr>
          <w:rFonts w:ascii="Times New Roman" w:hAnsi="Times New Roman"/>
          <w:color w:val="000000" w:themeColor="text1"/>
          <w:sz w:val="16"/>
          <w:szCs w:val="16"/>
        </w:rPr>
        <w:t>sic</w:t>
      </w:r>
      <w:proofErr w:type="spellEnd"/>
      <w:r w:rsidRPr="00A259BD">
        <w:rPr>
          <w:rFonts w:ascii="Times New Roman" w:hAnsi="Times New Roman"/>
          <w:color w:val="000000" w:themeColor="text1"/>
          <w:sz w:val="16"/>
          <w:szCs w:val="16"/>
        </w:rPr>
        <w:t>!) отношений с немецким рейхсвером». Пытаясь развеять опасения Ворошилова, он еще раз дал анализ военных взаимоотношений (АВП РФ,Ф-05,оп.9, п. 45, д. 32, л. 107—115.). В обоих письмах Крестинский помимо прикладного значения военного сотрудничества обращал внимание Сталина и Ворошилова на его политическое значение для всего комплекса советско-германских взаимоотношений. Здесь можно было бы поставить точку, отметив, что Крестинскому, такому же рьяному поборнику «</w:t>
      </w:r>
      <w:proofErr w:type="spellStart"/>
      <w:r w:rsidRPr="00A259BD">
        <w:rPr>
          <w:rFonts w:ascii="Times New Roman" w:hAnsi="Times New Roman"/>
          <w:color w:val="000000" w:themeColor="text1"/>
          <w:sz w:val="16"/>
          <w:szCs w:val="16"/>
        </w:rPr>
        <w:t>рапалльской</w:t>
      </w:r>
      <w:proofErr w:type="spellEnd"/>
      <w:r w:rsidRPr="00A259BD">
        <w:rPr>
          <w:rFonts w:ascii="Times New Roman" w:hAnsi="Times New Roman"/>
          <w:color w:val="000000" w:themeColor="text1"/>
          <w:sz w:val="16"/>
          <w:szCs w:val="16"/>
        </w:rPr>
        <w:t xml:space="preserve"> политики», каким был и «красный </w:t>
      </w:r>
      <w:r w:rsidRPr="00A259BD">
        <w:rPr>
          <w:rFonts w:ascii="Times New Roman" w:hAnsi="Times New Roman"/>
          <w:color w:val="000000" w:themeColor="text1"/>
          <w:sz w:val="16"/>
          <w:szCs w:val="16"/>
        </w:rPr>
        <w:lastRenderedPageBreak/>
        <w:t xml:space="preserve">граф» </w:t>
      </w:r>
      <w:proofErr w:type="spellStart"/>
      <w:r w:rsidRPr="00A259BD">
        <w:rPr>
          <w:rFonts w:ascii="Times New Roman" w:hAnsi="Times New Roman"/>
          <w:color w:val="000000" w:themeColor="text1"/>
          <w:sz w:val="16"/>
          <w:szCs w:val="16"/>
        </w:rPr>
        <w:t>Брокдорф-Ранцау</w:t>
      </w:r>
      <w:proofErr w:type="spellEnd"/>
      <w:r w:rsidRPr="00A259BD">
        <w:rPr>
          <w:rFonts w:ascii="Times New Roman" w:hAnsi="Times New Roman"/>
          <w:color w:val="000000" w:themeColor="text1"/>
          <w:sz w:val="16"/>
          <w:szCs w:val="16"/>
        </w:rPr>
        <w:t>, в очередной раз удалось уберечь ее от потрясений. Тем не менее возникает закономерный вопрос, а была ли такая комиссия вообще? Разумеется, бывший член Политбюро первого состава, секретарь ЦК по орг. вопросам, министр финансов правительства Ленина Крестинский имел свободный доступ к высшему руководству страны и в полной мере пользовался правом доклада и Ленину, и Сталину, и Рыкову, и Чичерину, и Троцкому, и Ворошилову. Но кроме этих двух его писем каких-либо еще упоминаний о комиссии Политбюро в других источниках нет. Поэтому напрашивается вопрос: либо Крестинский был неверно информирован относительно существования такой комиссии и ее не было вовсе, а он спутал ее с комиссией Политбюро по спецзаказам (военным заказам), либо дальше намерения о создании подобной комиссии дело не пошло, либо она существовала непродолжительное время, или же, наконец, она была тщательно засекречена (11784).</w:t>
      </w:r>
    </w:p>
    <w:p w14:paraId="3BC4BE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C49625" w14:textId="77777777" w:rsidR="000E5B76" w:rsidRPr="00A259BD" w:rsidRDefault="000E5B7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июля 1929 г. Крестинский в письме убеждая Ворошилова в необходимости продолжения сотрудничества РККА с рейхсвером и подчеркивая неизменность отношения как германских политиков, так и военных к СССР, относительно Бломберга писал:</w:t>
      </w:r>
    </w:p>
    <w:p w14:paraId="61C0AF94" w14:textId="77777777" w:rsidR="000E5B76" w:rsidRPr="00A259BD" w:rsidRDefault="000E5B7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«Уходит Бломберг — наш друг. На его место назначается Гаммерштейн. Гаммерштейн находился под влиянием людей, к нам дружелюбных. Есть все основания считать, что он разовьется в такого же дружественного человека, как Бломберг» (18265).</w:t>
      </w:r>
    </w:p>
    <w:p w14:paraId="381CAC10" w14:textId="77777777" w:rsidR="000E5B76" w:rsidRPr="00A259BD" w:rsidRDefault="000E5B76" w:rsidP="009236E3">
      <w:pPr>
        <w:spacing w:after="0" w:line="240" w:lineRule="auto"/>
        <w:jc w:val="both"/>
        <w:rPr>
          <w:rFonts w:ascii="Times New Roman" w:hAnsi="Times New Roman"/>
          <w:color w:val="000000" w:themeColor="text1"/>
          <w:sz w:val="16"/>
          <w:szCs w:val="16"/>
        </w:rPr>
      </w:pPr>
    </w:p>
    <w:p w14:paraId="3F01BFD9" w14:textId="77777777" w:rsidR="00AA4EF5" w:rsidRPr="00A259BD" w:rsidRDefault="00AA4EF5" w:rsidP="009236E3">
      <w:pPr>
        <w:autoSpaceDE w:val="0"/>
        <w:autoSpaceDN w:val="0"/>
        <w:adjustRightInd w:val="0"/>
        <w:spacing w:after="0" w:line="240" w:lineRule="auto"/>
        <w:jc w:val="both"/>
        <w:rPr>
          <w:rFonts w:ascii="Times New Roman" w:hAnsi="Times New Roman"/>
          <w:i/>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4129C019" w14:textId="77777777" w:rsidR="00AA4EF5" w:rsidRPr="00A259BD" w:rsidRDefault="00AA4EF5"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79BB57DE" w14:textId="77777777" w:rsidR="00AA4EF5" w:rsidRPr="00A259BD" w:rsidRDefault="00AA4EF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июля 1929. Состоялось первое заседание товарищеского суда (их начали организовывать при жилтовариществах и при кооперативных домах). Оно прошло на улице Усачева, дом - 19а. На заседании присутствовало около сорока жильцов. Разбирали дела об оскорблении жильцов друг другом, о не внесении платы за коммунальные услуги и т. д. Наиболее суровое наказание - штраф 10 рублей (19726).</w:t>
      </w:r>
    </w:p>
    <w:p w14:paraId="2326E938" w14:textId="77777777" w:rsidR="00AA4EF5" w:rsidRPr="00A259BD" w:rsidRDefault="00AA4EF5" w:rsidP="009236E3">
      <w:pPr>
        <w:spacing w:after="0" w:line="240" w:lineRule="auto"/>
        <w:jc w:val="both"/>
        <w:rPr>
          <w:rFonts w:ascii="Times New Roman" w:hAnsi="Times New Roman"/>
          <w:color w:val="000000" w:themeColor="text1"/>
          <w:sz w:val="16"/>
          <w:szCs w:val="16"/>
        </w:rPr>
      </w:pPr>
    </w:p>
    <w:p w14:paraId="5A2024AD" w14:textId="77777777" w:rsidR="00923424" w:rsidRPr="00A259BD" w:rsidRDefault="00923424"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E2BE913" w14:textId="77777777" w:rsidR="00923424" w:rsidRPr="00A259BD" w:rsidRDefault="0092342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0949BE"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июля 1929 опросом членов ПБ</w:t>
      </w:r>
    </w:p>
    <w:p w14:paraId="685EFC93"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О заказе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w:t>
      </w:r>
    </w:p>
    <w:p w14:paraId="1F0C8BAA"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 Ворошилов).</w:t>
      </w:r>
    </w:p>
    <w:p w14:paraId="3F56C0B0"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Указать НКИД и </w:t>
      </w:r>
      <w:proofErr w:type="spellStart"/>
      <w:r w:rsidRPr="00A259BD">
        <w:rPr>
          <w:rFonts w:ascii="Times New Roman" w:hAnsi="Times New Roman"/>
          <w:color w:val="000000" w:themeColor="text1"/>
          <w:sz w:val="16"/>
          <w:szCs w:val="16"/>
        </w:rPr>
        <w:t>НКТоргу</w:t>
      </w:r>
      <w:proofErr w:type="spellEnd"/>
      <w:r w:rsidRPr="00A259BD">
        <w:rPr>
          <w:rFonts w:ascii="Times New Roman" w:hAnsi="Times New Roman"/>
          <w:color w:val="000000" w:themeColor="text1"/>
          <w:sz w:val="16"/>
          <w:szCs w:val="16"/>
        </w:rPr>
        <w:t xml:space="preserve"> на необходимость принятия всех мер к получению от </w:t>
      </w:r>
      <w:proofErr w:type="spellStart"/>
      <w:r w:rsidRPr="00A259BD">
        <w:rPr>
          <w:rFonts w:ascii="Times New Roman" w:hAnsi="Times New Roman"/>
          <w:color w:val="000000" w:themeColor="text1"/>
          <w:sz w:val="16"/>
          <w:szCs w:val="16"/>
        </w:rPr>
        <w:t>Бофорса</w:t>
      </w:r>
      <w:proofErr w:type="spellEnd"/>
      <w:r w:rsidRPr="00A259BD">
        <w:rPr>
          <w:rFonts w:ascii="Times New Roman" w:hAnsi="Times New Roman"/>
          <w:color w:val="000000" w:themeColor="text1"/>
          <w:sz w:val="16"/>
          <w:szCs w:val="16"/>
        </w:rPr>
        <w:t xml:space="preserve"> (Швеция) исполненного заказа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w:t>
      </w:r>
    </w:p>
    <w:p w14:paraId="7E2B0829"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Выписки посланы: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Ворошилову, Карахану, Микояну</w:t>
      </w:r>
    </w:p>
    <w:p w14:paraId="53E50022"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июля 1929 состоялось заседание ПБ (Протокол № 90. Особый № 88) (23083).</w:t>
      </w:r>
    </w:p>
    <w:p w14:paraId="13430048" w14:textId="77777777" w:rsidR="00923424" w:rsidRPr="00A259BD" w:rsidRDefault="00923424" w:rsidP="009236E3">
      <w:pPr>
        <w:spacing w:after="0" w:line="240" w:lineRule="auto"/>
        <w:jc w:val="both"/>
        <w:rPr>
          <w:rFonts w:ascii="Times New Roman" w:hAnsi="Times New Roman"/>
          <w:color w:val="000000" w:themeColor="text1"/>
          <w:sz w:val="16"/>
          <w:szCs w:val="16"/>
        </w:rPr>
      </w:pPr>
    </w:p>
    <w:p w14:paraId="2FC71F15" w14:textId="77777777" w:rsidR="00923424" w:rsidRPr="00A259BD" w:rsidRDefault="00923424"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500264C" w14:textId="77777777" w:rsidR="00923424" w:rsidRPr="00A259BD" w:rsidRDefault="0092342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82E27F8"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июля 1929 Deutsche </w:t>
      </w:r>
      <w:proofErr w:type="spellStart"/>
      <w:r w:rsidRPr="00A259BD">
        <w:rPr>
          <w:rFonts w:ascii="Times New Roman" w:hAnsi="Times New Roman"/>
          <w:color w:val="000000" w:themeColor="text1"/>
          <w:sz w:val="16"/>
          <w:szCs w:val="16"/>
        </w:rPr>
        <w:t>Luft</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Hansa</w:t>
      </w:r>
      <w:proofErr w:type="spellEnd"/>
      <w:r w:rsidRPr="00A259BD">
        <w:rPr>
          <w:rFonts w:ascii="Times New Roman" w:hAnsi="Times New Roman"/>
          <w:color w:val="000000" w:themeColor="text1"/>
          <w:sz w:val="16"/>
          <w:szCs w:val="16"/>
        </w:rPr>
        <w:t xml:space="preserve"> использует катапульту для запуска почтового самолета </w:t>
      </w:r>
      <w:proofErr w:type="spellStart"/>
      <w:r w:rsidRPr="00A259BD">
        <w:rPr>
          <w:rFonts w:ascii="Times New Roman" w:hAnsi="Times New Roman"/>
          <w:color w:val="000000" w:themeColor="text1"/>
          <w:sz w:val="16"/>
          <w:szCs w:val="16"/>
        </w:rPr>
        <w:t>Heinkel</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He</w:t>
      </w:r>
      <w:proofErr w:type="spellEnd"/>
      <w:r w:rsidRPr="00A259BD">
        <w:rPr>
          <w:rFonts w:ascii="Times New Roman" w:hAnsi="Times New Roman"/>
          <w:color w:val="000000" w:themeColor="text1"/>
          <w:sz w:val="16"/>
          <w:szCs w:val="16"/>
        </w:rPr>
        <w:t xml:space="preserve"> 12 с пассажирского лайнера Бремен в 400 км (248 миль; 216 морских миль ) от Нью-Йорка, штат Нью-Йорк, ускоряя доставку почты (20806).</w:t>
      </w:r>
    </w:p>
    <w:p w14:paraId="0DC02F3C" w14:textId="77777777" w:rsidR="00923424" w:rsidRPr="00A259BD" w:rsidRDefault="00923424" w:rsidP="009236E3">
      <w:pPr>
        <w:spacing w:after="0" w:line="240" w:lineRule="auto"/>
        <w:jc w:val="both"/>
        <w:rPr>
          <w:rFonts w:ascii="Times New Roman" w:hAnsi="Times New Roman"/>
          <w:color w:val="000000" w:themeColor="text1"/>
          <w:sz w:val="16"/>
          <w:szCs w:val="16"/>
        </w:rPr>
      </w:pPr>
    </w:p>
    <w:p w14:paraId="26CDCFB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0A5F55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9C314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июля 1929 ГК Ришар писал письмо N 12/151c в препровождении аэродинамического расчета по МП-1 - дополнительных материалов (2341).</w:t>
      </w:r>
    </w:p>
    <w:p w14:paraId="0BEAEE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D7F5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23 июля по 23 сентября 1929 </w:t>
      </w:r>
      <w:proofErr w:type="spellStart"/>
      <w:r w:rsidRPr="00A259BD">
        <w:rPr>
          <w:rFonts w:ascii="Times New Roman" w:hAnsi="Times New Roman"/>
          <w:color w:val="000000" w:themeColor="text1"/>
          <w:sz w:val="16"/>
          <w:szCs w:val="16"/>
        </w:rPr>
        <w:t>Б.Г.Чухновский</w:t>
      </w:r>
      <w:proofErr w:type="spellEnd"/>
      <w:r w:rsidRPr="00A259BD">
        <w:rPr>
          <w:rFonts w:ascii="Times New Roman" w:hAnsi="Times New Roman"/>
          <w:color w:val="000000" w:themeColor="text1"/>
          <w:sz w:val="16"/>
          <w:szCs w:val="16"/>
        </w:rPr>
        <w:t xml:space="preserve"> и др. на </w:t>
      </w:r>
      <w:proofErr w:type="spellStart"/>
      <w:r w:rsidRPr="00A259BD">
        <w:rPr>
          <w:rFonts w:ascii="Times New Roman" w:hAnsi="Times New Roman"/>
          <w:color w:val="000000" w:themeColor="text1"/>
          <w:sz w:val="16"/>
          <w:szCs w:val="16"/>
        </w:rPr>
        <w:t>Комсеверпуть</w:t>
      </w:r>
      <w:proofErr w:type="spellEnd"/>
      <w:r w:rsidRPr="00A259BD">
        <w:rPr>
          <w:rFonts w:ascii="Times New Roman" w:hAnsi="Times New Roman"/>
          <w:color w:val="000000" w:themeColor="text1"/>
          <w:sz w:val="16"/>
          <w:szCs w:val="16"/>
        </w:rPr>
        <w:t xml:space="preserve"> N 1 (Валь) перегнали самолет из Москвы в Арктику для обеспечения навигации по СМП (272,374).</w:t>
      </w:r>
    </w:p>
    <w:p w14:paraId="4DE3D7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DC3F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июля 1929 года </w:t>
      </w:r>
      <w:proofErr w:type="spellStart"/>
      <w:r w:rsidRPr="00A259BD">
        <w:rPr>
          <w:rFonts w:ascii="Times New Roman" w:hAnsi="Times New Roman"/>
          <w:color w:val="000000" w:themeColor="text1"/>
          <w:sz w:val="16"/>
          <w:szCs w:val="16"/>
        </w:rPr>
        <w:t>врид</w:t>
      </w:r>
      <w:proofErr w:type="spellEnd"/>
      <w:r w:rsidRPr="00A259BD">
        <w:rPr>
          <w:rFonts w:ascii="Times New Roman" w:hAnsi="Times New Roman"/>
          <w:color w:val="000000" w:themeColor="text1"/>
          <w:sz w:val="16"/>
          <w:szCs w:val="16"/>
        </w:rPr>
        <w:t xml:space="preserve"> гл. инспектора ГВФ Е.М. Гинсбург писал письмо № И/588 в общество "</w:t>
      </w:r>
      <w:proofErr w:type="spellStart"/>
      <w:r w:rsidRPr="00A259BD">
        <w:rPr>
          <w:rFonts w:ascii="Times New Roman" w:hAnsi="Times New Roman"/>
          <w:color w:val="000000" w:themeColor="text1"/>
          <w:sz w:val="16"/>
          <w:szCs w:val="16"/>
        </w:rPr>
        <w:t>Дерулуфт</w:t>
      </w:r>
      <w:proofErr w:type="spellEnd"/>
      <w:r w:rsidRPr="00A259BD">
        <w:rPr>
          <w:rFonts w:ascii="Times New Roman" w:hAnsi="Times New Roman"/>
          <w:color w:val="000000" w:themeColor="text1"/>
          <w:sz w:val="16"/>
          <w:szCs w:val="16"/>
        </w:rPr>
        <w:t>" Нейману</w:t>
      </w:r>
    </w:p>
    <w:p w14:paraId="7483B1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Прошу срочно выдать экипажу самолета "Страна Советов" Шестакову, Болотову, Стерлигову и </w:t>
      </w:r>
      <w:proofErr w:type="spellStart"/>
      <w:r w:rsidRPr="00A259BD">
        <w:rPr>
          <w:rFonts w:ascii="Times New Roman" w:hAnsi="Times New Roman"/>
          <w:color w:val="000000" w:themeColor="text1"/>
          <w:sz w:val="16"/>
          <w:szCs w:val="16"/>
        </w:rPr>
        <w:t>Фуфаеву</w:t>
      </w:r>
      <w:proofErr w:type="spellEnd"/>
      <w:r w:rsidRPr="00A259BD">
        <w:rPr>
          <w:rFonts w:ascii="Times New Roman" w:hAnsi="Times New Roman"/>
          <w:color w:val="000000" w:themeColor="text1"/>
          <w:sz w:val="16"/>
          <w:szCs w:val="16"/>
        </w:rPr>
        <w:t>, отправляющимся завтра 24 июля в Берлин за американскими визами, билеты на перелет Москва-Берлин и обратно (7783, 266).</w:t>
      </w:r>
    </w:p>
    <w:p w14:paraId="7B33E9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1937F19" w14:textId="77777777" w:rsidR="00B25ADA"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27F9076" w14:textId="77777777" w:rsidR="00B25ADA" w:rsidRPr="00A259BD" w:rsidRDefault="00B25AD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2D5E96A" w14:textId="77777777" w:rsidR="00B25ADA" w:rsidRPr="00A259BD" w:rsidRDefault="00B25ADA"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23 июля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СНК СССР о финансовом положении военной промышленности и ликвидации кассового дефицита на IV квартал текущего года (ГА РФ. Ф. Р?8418. Оп. 3. Д. 113. Л. 1?2) (12415).</w:t>
      </w:r>
    </w:p>
    <w:p w14:paraId="73686C95" w14:textId="77777777" w:rsidR="00B25ADA" w:rsidRPr="00A259BD" w:rsidRDefault="00B25ADA" w:rsidP="009236E3">
      <w:pPr>
        <w:spacing w:after="0" w:line="240" w:lineRule="auto"/>
        <w:jc w:val="both"/>
        <w:rPr>
          <w:rFonts w:ascii="Times New Roman" w:hAnsi="Times New Roman"/>
          <w:color w:val="000000" w:themeColor="text1"/>
          <w:sz w:val="16"/>
          <w:szCs w:val="16"/>
          <w:u w:color="002060"/>
        </w:rPr>
      </w:pPr>
    </w:p>
    <w:p w14:paraId="081A919C"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23 июля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 xml:space="preserve">СТО принял постановление «О порядке утверждения смет по крупному капитальному промышленному строительству и </w:t>
      </w:r>
      <w:proofErr w:type="spellStart"/>
      <w:r w:rsidRPr="00A259BD">
        <w:rPr>
          <w:rFonts w:ascii="Times New Roman" w:hAnsi="Times New Roman"/>
          <w:color w:val="000000" w:themeColor="text1"/>
          <w:sz w:val="16"/>
          <w:szCs w:val="16"/>
        </w:rPr>
        <w:t>электростроительству</w:t>
      </w:r>
      <w:proofErr w:type="spellEnd"/>
      <w:r w:rsidRPr="00A259BD">
        <w:rPr>
          <w:rFonts w:ascii="Times New Roman" w:hAnsi="Times New Roman"/>
          <w:color w:val="000000" w:themeColor="text1"/>
          <w:sz w:val="16"/>
          <w:szCs w:val="16"/>
        </w:rPr>
        <w:t>» (12265).</w:t>
      </w:r>
    </w:p>
    <w:p w14:paraId="7E50BC59"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7A56A8C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994C8D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EA64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июля 1929 W-33 Бремен </w:t>
      </w:r>
      <w:proofErr w:type="spellStart"/>
      <w:r w:rsidRPr="00A259BD">
        <w:rPr>
          <w:rFonts w:ascii="Times New Roman" w:hAnsi="Times New Roman"/>
          <w:color w:val="000000" w:themeColor="text1"/>
          <w:sz w:val="16"/>
          <w:szCs w:val="16"/>
        </w:rPr>
        <w:t>О.А.Кальвица</w:t>
      </w:r>
      <w:proofErr w:type="spellEnd"/>
      <w:r w:rsidRPr="00A259BD">
        <w:rPr>
          <w:rFonts w:ascii="Times New Roman" w:hAnsi="Times New Roman"/>
          <w:color w:val="000000" w:themeColor="text1"/>
          <w:sz w:val="16"/>
          <w:szCs w:val="16"/>
        </w:rPr>
        <w:t xml:space="preserve"> на был доставлен в залив Лаврентия рейсовым пароходом. В тот же день машину собрали (99,151).</w:t>
      </w:r>
    </w:p>
    <w:p w14:paraId="3A1224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06DD74"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июля 1929 г.</w:t>
      </w:r>
    </w:p>
    <w:p w14:paraId="316A911F"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ИЗ ПРОТОКОЛА № 73 ЗАСЕДАНИЯ КОЛЛЕГИИ НКИД СССР</w:t>
      </w:r>
    </w:p>
    <w:p w14:paraId="604E0DE7"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ПОЛЕТЕ САМОЛЕТА ФОРДА ИЗ АМЕРИКИ В СССР</w:t>
      </w:r>
    </w:p>
    <w:p w14:paraId="2D78473D"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 секретно</w:t>
      </w:r>
    </w:p>
    <w:p w14:paraId="7A51AD59"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Присутствовали: Карахан, </w:t>
      </w:r>
      <w:proofErr w:type="spellStart"/>
      <w:r w:rsidRPr="00A259BD">
        <w:rPr>
          <w:rFonts w:ascii="Times New Roman" w:hAnsi="Times New Roman"/>
          <w:color w:val="000000" w:themeColor="text1"/>
          <w:sz w:val="16"/>
          <w:szCs w:val="16"/>
        </w:rPr>
        <w:t>Стомоняков</w:t>
      </w:r>
      <w:proofErr w:type="spellEnd"/>
      <w:r w:rsidRPr="00A259BD">
        <w:rPr>
          <w:rFonts w:ascii="Times New Roman" w:hAnsi="Times New Roman"/>
          <w:color w:val="000000" w:themeColor="text1"/>
          <w:sz w:val="16"/>
          <w:szCs w:val="16"/>
        </w:rPr>
        <w:t>.</w:t>
      </w:r>
    </w:p>
    <w:p w14:paraId="2A742665"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Секретарь: Канторович</w:t>
      </w:r>
    </w:p>
    <w:p w14:paraId="44F1BC4B"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Слушали:</w:t>
      </w:r>
    </w:p>
    <w:p w14:paraId="08D16DA7"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О полете металлического аэроплана Форда из Америки в СССР.</w:t>
      </w:r>
    </w:p>
    <w:p w14:paraId="6568626D"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w:t>
      </w:r>
    </w:p>
    <w:p w14:paraId="7094E9BA"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Не возражать против полета металлического аэроплана Форда из Америки в СССР. (Каган)</w:t>
      </w:r>
    </w:p>
    <w:p w14:paraId="1BD7879F"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ЛВП РФ. Ф. 027а. </w:t>
      </w:r>
      <w:r w:rsidRPr="00A259BD">
        <w:rPr>
          <w:rFonts w:ascii="Times New Roman" w:hAnsi="Times New Roman"/>
          <w:color w:val="000000" w:themeColor="text1"/>
          <w:sz w:val="16"/>
          <w:szCs w:val="16"/>
          <w:lang w:val="en-US"/>
        </w:rPr>
        <w:t>On</w:t>
      </w:r>
      <w:r w:rsidRPr="00A259BD">
        <w:rPr>
          <w:rFonts w:ascii="Times New Roman" w:hAnsi="Times New Roman"/>
          <w:color w:val="000000" w:themeColor="text1"/>
          <w:sz w:val="16"/>
          <w:szCs w:val="16"/>
        </w:rPr>
        <w:t>. 1. П. 11. Д. 59. Л. 246. Копия (20418).</w:t>
      </w:r>
    </w:p>
    <w:p w14:paraId="367AACC3" w14:textId="77777777" w:rsidR="00923424" w:rsidRPr="00A259BD" w:rsidRDefault="00923424" w:rsidP="009236E3">
      <w:pPr>
        <w:spacing w:after="0" w:line="240" w:lineRule="auto"/>
        <w:jc w:val="both"/>
        <w:rPr>
          <w:rFonts w:ascii="Times New Roman" w:hAnsi="Times New Roman"/>
          <w:color w:val="000000" w:themeColor="text1"/>
          <w:sz w:val="16"/>
          <w:szCs w:val="16"/>
        </w:rPr>
      </w:pPr>
    </w:p>
    <w:p w14:paraId="6518FD77" w14:textId="77777777" w:rsidR="00B25ADA" w:rsidRPr="00A259BD" w:rsidRDefault="00B25ADA" w:rsidP="009236E3">
      <w:pPr>
        <w:autoSpaceDE w:val="0"/>
        <w:autoSpaceDN w:val="0"/>
        <w:adjustRightInd w:val="0"/>
        <w:spacing w:after="0" w:line="240" w:lineRule="auto"/>
        <w:jc w:val="both"/>
        <w:rPr>
          <w:rFonts w:ascii="Times New Roman" w:hAnsi="Times New Roman"/>
          <w:i/>
          <w:iCs/>
          <w:color w:val="000000" w:themeColor="text1"/>
          <w:sz w:val="16"/>
          <w:szCs w:val="16"/>
        </w:rPr>
      </w:pPr>
      <w:r w:rsidRPr="00A259BD">
        <w:rPr>
          <w:rFonts w:ascii="Times New Roman" w:hAnsi="Times New Roman"/>
          <w:i/>
          <w:iCs/>
          <w:color w:val="000000" w:themeColor="text1"/>
          <w:sz w:val="16"/>
          <w:szCs w:val="16"/>
        </w:rPr>
        <w:t>Жизнь и внутрен</w:t>
      </w:r>
      <w:r w:rsidR="00AA4EF5" w:rsidRPr="00A259BD">
        <w:rPr>
          <w:rFonts w:ascii="Times New Roman" w:hAnsi="Times New Roman"/>
          <w:i/>
          <w:iCs/>
          <w:color w:val="000000" w:themeColor="text1"/>
          <w:sz w:val="16"/>
          <w:szCs w:val="16"/>
        </w:rPr>
        <w:t>н</w:t>
      </w:r>
      <w:r w:rsidRPr="00A259BD">
        <w:rPr>
          <w:rFonts w:ascii="Times New Roman" w:hAnsi="Times New Roman"/>
          <w:i/>
          <w:iCs/>
          <w:color w:val="000000" w:themeColor="text1"/>
          <w:sz w:val="16"/>
          <w:szCs w:val="16"/>
        </w:rPr>
        <w:t>яя политика:</w:t>
      </w:r>
    </w:p>
    <w:p w14:paraId="0AC0BA04" w14:textId="77777777" w:rsidR="00B25ADA" w:rsidRPr="00A259BD" w:rsidRDefault="00B25ADA"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1EACE1A1"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24 июля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 xml:space="preserve">ЦИК и СНК приняли постановление «О выпуске 3-го государственного внутреннего займа </w:t>
      </w:r>
      <w:proofErr w:type="spellStart"/>
      <w:r w:rsidRPr="00A259BD">
        <w:rPr>
          <w:rFonts w:ascii="Times New Roman" w:hAnsi="Times New Roman"/>
          <w:color w:val="000000" w:themeColor="text1"/>
          <w:sz w:val="16"/>
          <w:szCs w:val="16"/>
        </w:rPr>
        <w:t>идустриализации</w:t>
      </w:r>
      <w:proofErr w:type="spellEnd"/>
      <w:r w:rsidRPr="00A259BD">
        <w:rPr>
          <w:rFonts w:ascii="Times New Roman" w:hAnsi="Times New Roman"/>
          <w:color w:val="000000" w:themeColor="text1"/>
          <w:sz w:val="16"/>
          <w:szCs w:val="16"/>
        </w:rPr>
        <w:t xml:space="preserve"> народного хозяйства СССР» (12265).</w:t>
      </w:r>
    </w:p>
    <w:p w14:paraId="69589D7A"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079E2FC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A9CCD8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865A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июля 1929 вступил в силу пакт Келлога-</w:t>
      </w:r>
      <w:proofErr w:type="spellStart"/>
      <w:r w:rsidRPr="00A259BD">
        <w:rPr>
          <w:rFonts w:ascii="Times New Roman" w:hAnsi="Times New Roman"/>
          <w:color w:val="000000" w:themeColor="text1"/>
          <w:sz w:val="16"/>
          <w:szCs w:val="16"/>
        </w:rPr>
        <w:t>Бриана</w:t>
      </w:r>
      <w:proofErr w:type="spellEnd"/>
      <w:r w:rsidRPr="00A259BD">
        <w:rPr>
          <w:rFonts w:ascii="Times New Roman" w:hAnsi="Times New Roman"/>
          <w:color w:val="000000" w:themeColor="text1"/>
          <w:sz w:val="16"/>
          <w:szCs w:val="16"/>
        </w:rPr>
        <w:t xml:space="preserve"> (3907,156).</w:t>
      </w:r>
    </w:p>
    <w:p w14:paraId="594287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67330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A1E3A2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4AA18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июля 1929 в первый полет вышел гидросамолет МР-5 (2339).</w:t>
      </w:r>
    </w:p>
    <w:p w14:paraId="1C8740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AF28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июля 1929 г. после долгих предварительных переговоров состоялось совместное заседание технической секции НТК с представителями ВВС 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об ис</w:t>
      </w:r>
      <w:r w:rsidRPr="00A259BD">
        <w:rPr>
          <w:rFonts w:ascii="Times New Roman" w:hAnsi="Times New Roman"/>
          <w:color w:val="000000" w:themeColor="text1"/>
          <w:sz w:val="16"/>
          <w:szCs w:val="16"/>
        </w:rPr>
        <w:softHyphen/>
        <w:t>пользовании 12 самолетов И1-М5. На нем начальник 3 отдела Управления снабжения ВВС Капустин указал, что в настоящее время, после снятия с вооружения истреби</w:t>
      </w:r>
      <w:r w:rsidRPr="00A259BD">
        <w:rPr>
          <w:rFonts w:ascii="Times New Roman" w:hAnsi="Times New Roman"/>
          <w:color w:val="000000" w:themeColor="text1"/>
          <w:sz w:val="16"/>
          <w:szCs w:val="16"/>
        </w:rPr>
        <w:softHyphen/>
        <w:t>телей “</w:t>
      </w:r>
      <w:proofErr w:type="spellStart"/>
      <w:r w:rsidRPr="00A259BD">
        <w:rPr>
          <w:rFonts w:ascii="Times New Roman" w:hAnsi="Times New Roman"/>
          <w:color w:val="000000" w:themeColor="text1"/>
          <w:sz w:val="16"/>
          <w:szCs w:val="16"/>
        </w:rPr>
        <w:t>Мартинсайд</w:t>
      </w:r>
      <w:proofErr w:type="spellEnd"/>
      <w:r w:rsidRPr="00A259BD">
        <w:rPr>
          <w:rFonts w:ascii="Times New Roman" w:hAnsi="Times New Roman"/>
          <w:color w:val="000000" w:themeColor="text1"/>
          <w:sz w:val="16"/>
          <w:szCs w:val="16"/>
        </w:rPr>
        <w:t>”, имеется острая нехватка трениро</w:t>
      </w:r>
      <w:r w:rsidRPr="00A259BD">
        <w:rPr>
          <w:rFonts w:ascii="Times New Roman" w:hAnsi="Times New Roman"/>
          <w:color w:val="000000" w:themeColor="text1"/>
          <w:sz w:val="16"/>
          <w:szCs w:val="16"/>
        </w:rPr>
        <w:softHyphen/>
        <w:t>вочных самолетов в летных школах, и что И-1 могут быть приняты для тренировки на них инструкторского состава и ведения учебных воздушных боев. Это предло</w:t>
      </w:r>
      <w:r w:rsidRPr="00A259BD">
        <w:rPr>
          <w:rFonts w:ascii="Times New Roman" w:hAnsi="Times New Roman"/>
          <w:color w:val="000000" w:themeColor="text1"/>
          <w:sz w:val="16"/>
          <w:szCs w:val="16"/>
        </w:rPr>
        <w:softHyphen/>
        <w:t>жение было утверждено в протоколе как основа для ве</w:t>
      </w:r>
      <w:r w:rsidRPr="00A259BD">
        <w:rPr>
          <w:rFonts w:ascii="Times New Roman" w:hAnsi="Times New Roman"/>
          <w:color w:val="000000" w:themeColor="text1"/>
          <w:sz w:val="16"/>
          <w:szCs w:val="16"/>
        </w:rPr>
        <w:softHyphen/>
        <w:t>дения переговоров Управления ВВС с заводом № 1 (10667).</w:t>
      </w:r>
    </w:p>
    <w:p w14:paraId="59B845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3FBA1A" w14:textId="77777777" w:rsidR="00170433" w:rsidRPr="00441F34" w:rsidRDefault="00170433" w:rsidP="0017043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25 июля 1929 г. состоялось совместное совещание НТК УВВС и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по итогам специальных испытаний в 1928 – 1929 гг. Начальник 3-го управления снабжения УВВС Капустин предложил передать ВВС имеющиеся 12 самолетов (1 летный и 11 в заделе, которые следовало привести в летное состояние) на замену списываемым самолетам </w:t>
      </w:r>
      <w:proofErr w:type="spellStart"/>
      <w:r w:rsidRPr="00441F34">
        <w:rPr>
          <w:rFonts w:ascii="Times New Roman" w:hAnsi="Times New Roman"/>
          <w:color w:val="0070C0"/>
          <w:sz w:val="16"/>
          <w:szCs w:val="16"/>
        </w:rPr>
        <w:t>Мартинсайд</w:t>
      </w:r>
      <w:proofErr w:type="spellEnd"/>
      <w:r w:rsidRPr="00441F34">
        <w:rPr>
          <w:rFonts w:ascii="Times New Roman" w:hAnsi="Times New Roman"/>
          <w:color w:val="0070C0"/>
          <w:sz w:val="16"/>
          <w:szCs w:val="16"/>
        </w:rPr>
        <w:t xml:space="preserve"> МФ-4. Но для этого их следовало привести к тому виду, в котором специальные испытания проводились – т.е. обеспечить центровку 32…32,5% САХ. Сделать это можно было только установкой груза в НЧФ весом не менее 130 кг, что вело к повышению полетного веса более чем на 5% и дальнейшему снижению запаса прочности, который и так был недостаточен. А прочность самолетов на хранении нашли ухудшившейся. Тем не менее, </w:t>
      </w:r>
      <w:proofErr w:type="spellStart"/>
      <w:r w:rsidRPr="00441F34">
        <w:rPr>
          <w:rFonts w:ascii="Times New Roman" w:hAnsi="Times New Roman"/>
          <w:color w:val="0070C0"/>
          <w:sz w:val="16"/>
          <w:szCs w:val="16"/>
        </w:rPr>
        <w:t>Авиатрест</w:t>
      </w:r>
      <w:proofErr w:type="spellEnd"/>
      <w:r w:rsidRPr="00441F34">
        <w:rPr>
          <w:rFonts w:ascii="Times New Roman" w:hAnsi="Times New Roman"/>
          <w:color w:val="0070C0"/>
          <w:sz w:val="16"/>
          <w:szCs w:val="16"/>
        </w:rPr>
        <w:t xml:space="preserve"> распорядился начать подготовку к передаче 12 самолетов на баланс УВВС.</w:t>
      </w:r>
    </w:p>
    <w:p w14:paraId="7AD36AAF" w14:textId="77777777" w:rsidR="00170433" w:rsidRPr="00441F34" w:rsidRDefault="00170433" w:rsidP="0017043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ни один самолет к летному состоянию так и не привели.</w:t>
      </w:r>
    </w:p>
    <w:p w14:paraId="1BB0A381" w14:textId="77777777" w:rsidR="00170433" w:rsidRPr="00441F34" w:rsidRDefault="00170433" w:rsidP="0017043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Тем временем главный конструктор завода №1 Поликарпов вместо работы по плановым заданиям, в т.ч. и по передаче самолетов И-1 заказчику занялся политической деятельности. В 1927 г. в СССР были отменены временные меры, введенные в начале 1920-х гг. в рамках «новой экономической политики» (НЭП), и соответствующие законы. В государственном авиапроме это выразилось в том, что полномочия директоров предприятий и руководителей конструкторских организаций были ограничены, а ответственность – повышена. Вопрос этот давно назрел, т.к. в отрасли царил беспорядок, а руководители предпочитали заниматься теми проектами, что нравились им лично, невзирая на требования Заказчика и не обеспечивая его потребностей и выполнения планов, сами они начали считать себя не наемными работниками, а «владельцами» предприятий, предлагая их акционировать в надежде получить контрольные пакеты акций. Их зарплаты стали расти и оказались значительно больше других работников, в т.ч. высококвалифицированных. Ряд таких руководителей авиапромышленности резко воспротивился этому, саботируя решения правительства. Некоторые вознамерились эмигрировать, другие – в т.ч. и Поликарпов пытались всячески сопротивляться, чтобы сохранить свои полномочия и старые способы управления, когда все вопросы решались «коллегиально» на бесконечных совещаниях, на которых чаще всего ничего не решалось. В этой обстановке ОГПУ принял меры против саботажников, и в октябре 1929 г. начальник ОСС (Отдел сухопутного самолетостроения – КБ завода № 1) Поликарпов был арестован. На этом его личное участие в работам по самолету И-1 была прекращена (23576).</w:t>
      </w:r>
    </w:p>
    <w:p w14:paraId="627D3CF1" w14:textId="77777777" w:rsidR="00170433" w:rsidRPr="00441F34" w:rsidRDefault="00170433" w:rsidP="00170433">
      <w:pPr>
        <w:spacing w:after="0" w:line="240" w:lineRule="auto"/>
        <w:jc w:val="both"/>
        <w:rPr>
          <w:rFonts w:ascii="Times New Roman" w:hAnsi="Times New Roman"/>
          <w:color w:val="0070C0"/>
          <w:sz w:val="16"/>
          <w:szCs w:val="16"/>
        </w:rPr>
      </w:pPr>
    </w:p>
    <w:p w14:paraId="0D4278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июля 1929 W-33 Бремен </w:t>
      </w:r>
      <w:proofErr w:type="spellStart"/>
      <w:r w:rsidRPr="00A259BD">
        <w:rPr>
          <w:rFonts w:ascii="Times New Roman" w:hAnsi="Times New Roman"/>
          <w:color w:val="000000" w:themeColor="text1"/>
          <w:sz w:val="16"/>
          <w:szCs w:val="16"/>
        </w:rPr>
        <w:t>О.А.Кальвица</w:t>
      </w:r>
      <w:proofErr w:type="spellEnd"/>
      <w:r w:rsidRPr="00A259BD">
        <w:rPr>
          <w:rFonts w:ascii="Times New Roman" w:hAnsi="Times New Roman"/>
          <w:color w:val="000000" w:themeColor="text1"/>
          <w:sz w:val="16"/>
          <w:szCs w:val="16"/>
        </w:rPr>
        <w:t xml:space="preserve"> с трудом, с третьей попытки поднялся в воздух в заливе Лаврентия. Прилетели в Уэлен (99,151).</w:t>
      </w:r>
    </w:p>
    <w:p w14:paraId="4A03BC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C747B4A" w14:textId="77777777" w:rsidR="001F0E42" w:rsidRPr="00A259BD" w:rsidRDefault="001F0E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июля 1929 г. Протокол ПБ № 90 п.34: Об участии самолета «Крылья Советов» на Лондонской авиационной выставке. (Ворошилов). Решено разрешить самолету «Крылья Советов» принять приглашение участвовать на Лондонской авиационной выставке (15887).</w:t>
      </w:r>
    </w:p>
    <w:p w14:paraId="6BAA8485" w14:textId="77777777" w:rsidR="001F0E42" w:rsidRPr="00A259BD" w:rsidRDefault="001F0E42" w:rsidP="009236E3">
      <w:pPr>
        <w:spacing w:after="0" w:line="240" w:lineRule="auto"/>
        <w:jc w:val="both"/>
        <w:rPr>
          <w:rFonts w:ascii="Times New Roman" w:hAnsi="Times New Roman"/>
          <w:color w:val="000000" w:themeColor="text1"/>
          <w:sz w:val="16"/>
          <w:szCs w:val="16"/>
        </w:rPr>
      </w:pPr>
    </w:p>
    <w:p w14:paraId="07AADCD4" w14:textId="77777777" w:rsidR="001F0E42"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0E663E4" w14:textId="77777777" w:rsidR="001F0E42" w:rsidRPr="00A259BD" w:rsidRDefault="001F0E4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72EF939"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июля 1929 состоялось заседание ПБ (Протокол № 90. Особый № 88)</w:t>
      </w:r>
    </w:p>
    <w:p w14:paraId="301BB4C2"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июля 1929 опросом членов ПБ</w:t>
      </w:r>
    </w:p>
    <w:p w14:paraId="31F24108"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О заказе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w:t>
      </w:r>
    </w:p>
    <w:p w14:paraId="35B59F7B"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 Ворошилов).</w:t>
      </w:r>
    </w:p>
    <w:p w14:paraId="13B407C7"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Указать НКИД и </w:t>
      </w:r>
      <w:proofErr w:type="spellStart"/>
      <w:r w:rsidRPr="00A259BD">
        <w:rPr>
          <w:rFonts w:ascii="Times New Roman" w:hAnsi="Times New Roman"/>
          <w:color w:val="000000" w:themeColor="text1"/>
          <w:sz w:val="16"/>
          <w:szCs w:val="16"/>
        </w:rPr>
        <w:t>НКТоргу</w:t>
      </w:r>
      <w:proofErr w:type="spellEnd"/>
      <w:r w:rsidRPr="00A259BD">
        <w:rPr>
          <w:rFonts w:ascii="Times New Roman" w:hAnsi="Times New Roman"/>
          <w:color w:val="000000" w:themeColor="text1"/>
          <w:sz w:val="16"/>
          <w:szCs w:val="16"/>
        </w:rPr>
        <w:t xml:space="preserve"> на необходимость принятия всех мер к получению от </w:t>
      </w:r>
      <w:proofErr w:type="spellStart"/>
      <w:r w:rsidRPr="00A259BD">
        <w:rPr>
          <w:rFonts w:ascii="Times New Roman" w:hAnsi="Times New Roman"/>
          <w:color w:val="000000" w:themeColor="text1"/>
          <w:sz w:val="16"/>
          <w:szCs w:val="16"/>
        </w:rPr>
        <w:t>Бофорса</w:t>
      </w:r>
      <w:proofErr w:type="spellEnd"/>
      <w:r w:rsidRPr="00A259BD">
        <w:rPr>
          <w:rFonts w:ascii="Times New Roman" w:hAnsi="Times New Roman"/>
          <w:color w:val="000000" w:themeColor="text1"/>
          <w:sz w:val="16"/>
          <w:szCs w:val="16"/>
        </w:rPr>
        <w:t xml:space="preserve"> (Швеция) исполненного заказа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w:t>
      </w:r>
    </w:p>
    <w:p w14:paraId="7C9B2BD0"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Выписки посланы: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Ворошилову, Карахану, Микояну (23083).</w:t>
      </w:r>
    </w:p>
    <w:p w14:paraId="67ECD88D" w14:textId="77777777" w:rsidR="00923424" w:rsidRPr="00A259BD" w:rsidRDefault="00923424" w:rsidP="009236E3">
      <w:pPr>
        <w:spacing w:after="0" w:line="240" w:lineRule="auto"/>
        <w:jc w:val="both"/>
        <w:rPr>
          <w:rFonts w:ascii="Times New Roman" w:hAnsi="Times New Roman"/>
          <w:color w:val="000000" w:themeColor="text1"/>
          <w:sz w:val="16"/>
          <w:szCs w:val="16"/>
        </w:rPr>
      </w:pPr>
    </w:p>
    <w:p w14:paraId="6193087A" w14:textId="77777777" w:rsidR="00C5553D" w:rsidRPr="00A259BD" w:rsidRDefault="00C5553D" w:rsidP="009236E3">
      <w:pPr>
        <w:pStyle w:val="ae"/>
        <w:shd w:val="clear" w:color="auto" w:fill="FFFFFF"/>
        <w:spacing w:before="0" w:after="0"/>
        <w:jc w:val="both"/>
        <w:rPr>
          <w:color w:val="000000" w:themeColor="text1"/>
          <w:sz w:val="16"/>
          <w:szCs w:val="16"/>
        </w:rPr>
      </w:pPr>
      <w:r w:rsidRPr="00A259BD">
        <w:rPr>
          <w:color w:val="000000" w:themeColor="text1"/>
          <w:sz w:val="16"/>
          <w:szCs w:val="16"/>
        </w:rPr>
        <w:t>К 25 июля 1929 года на гарантийную обкатку вышел 21 танк второй серии. К 1 сентября число вышедших танков увеличилось до 40, 15 из них уже ушли с завода. К 23 сентября количество готовых танков достигло 50 штук. Полностью танки второй серии были сданы в ноябре 1929 года (17724).</w:t>
      </w:r>
    </w:p>
    <w:p w14:paraId="60B92AAD" w14:textId="77777777" w:rsidR="00C5553D" w:rsidRPr="00A259BD" w:rsidRDefault="00C5553D" w:rsidP="009236E3">
      <w:pPr>
        <w:spacing w:after="0" w:line="240" w:lineRule="auto"/>
        <w:jc w:val="both"/>
        <w:rPr>
          <w:rFonts w:ascii="Times New Roman" w:eastAsia="Times New Roman" w:hAnsi="Times New Roman"/>
          <w:color w:val="000000" w:themeColor="text1"/>
          <w:sz w:val="16"/>
          <w:szCs w:val="16"/>
          <w:lang w:eastAsia="ru-RU"/>
        </w:rPr>
      </w:pPr>
    </w:p>
    <w:p w14:paraId="3AA72071"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25 июля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 xml:space="preserve">Политбюро ЦК ВКП (б) утвердило проекты постановлений ЦК ВКП (б): «О работе </w:t>
      </w:r>
      <w:proofErr w:type="spellStart"/>
      <w:r w:rsidRPr="00A259BD">
        <w:rPr>
          <w:rFonts w:ascii="Times New Roman" w:hAnsi="Times New Roman"/>
          <w:color w:val="000000" w:themeColor="text1"/>
          <w:sz w:val="16"/>
          <w:szCs w:val="16"/>
        </w:rPr>
        <w:t>Ленмаштреста</w:t>
      </w:r>
      <w:proofErr w:type="spellEnd"/>
      <w:r w:rsidRPr="00A259BD">
        <w:rPr>
          <w:rFonts w:ascii="Times New Roman" w:hAnsi="Times New Roman"/>
          <w:color w:val="000000" w:themeColor="text1"/>
          <w:sz w:val="16"/>
          <w:szCs w:val="16"/>
        </w:rPr>
        <w:t>» и «О работе Ленинградского судостроительного треста»; рассмотрело доклад ЦК КП Азербайджана, отметив недостатки в работе нефтяной промышленности, и предложило ВСНХ наметить пути к их устранению (12265).</w:t>
      </w:r>
    </w:p>
    <w:p w14:paraId="3894509D" w14:textId="77777777" w:rsidR="0039592A" w:rsidRPr="00A259BD" w:rsidRDefault="0039592A" w:rsidP="009236E3">
      <w:pPr>
        <w:pStyle w:val="ae"/>
        <w:spacing w:before="0" w:after="0"/>
        <w:jc w:val="both"/>
        <w:rPr>
          <w:rStyle w:val="a7"/>
          <w:b w:val="0"/>
          <w:color w:val="000000" w:themeColor="text1"/>
          <w:sz w:val="16"/>
          <w:szCs w:val="16"/>
        </w:rPr>
      </w:pPr>
    </w:p>
    <w:p w14:paraId="2CE56E67"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июля 1929</w:t>
      </w:r>
    </w:p>
    <w:p w14:paraId="78C93750"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 1</w:t>
      </w:r>
    </w:p>
    <w:p w14:paraId="5A5BE65B"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4 пр. ПБ № 90.</w:t>
      </w:r>
    </w:p>
    <w:p w14:paraId="12A11949"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 итогах и перспективах работы </w:t>
      </w:r>
      <w:proofErr w:type="spellStart"/>
      <w:r w:rsidRPr="00A259BD">
        <w:rPr>
          <w:rFonts w:ascii="Times New Roman" w:hAnsi="Times New Roman"/>
          <w:color w:val="000000" w:themeColor="text1"/>
          <w:sz w:val="16"/>
          <w:szCs w:val="16"/>
        </w:rPr>
        <w:t>Ленмаштреста</w:t>
      </w:r>
      <w:proofErr w:type="spellEnd"/>
      <w:r w:rsidRPr="00A259BD">
        <w:rPr>
          <w:rFonts w:ascii="Times New Roman" w:hAnsi="Times New Roman"/>
          <w:color w:val="000000" w:themeColor="text1"/>
          <w:sz w:val="16"/>
          <w:szCs w:val="16"/>
        </w:rPr>
        <w:t>.</w:t>
      </w:r>
    </w:p>
    <w:p w14:paraId="4953D265"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(Утверждено Политбюро ЦК ВКП(б) 25.VII.1929 года).</w:t>
      </w:r>
    </w:p>
    <w:p w14:paraId="2FBB5478"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Заслушав доклад об итогах и перспективах работы </w:t>
      </w:r>
      <w:proofErr w:type="spellStart"/>
      <w:r w:rsidRPr="00A259BD">
        <w:rPr>
          <w:rFonts w:ascii="Times New Roman" w:hAnsi="Times New Roman"/>
          <w:color w:val="000000" w:themeColor="text1"/>
          <w:sz w:val="16"/>
          <w:szCs w:val="16"/>
        </w:rPr>
        <w:t>Ленмаштреста</w:t>
      </w:r>
      <w:proofErr w:type="spellEnd"/>
      <w:r w:rsidRPr="00A259BD">
        <w:rPr>
          <w:rFonts w:ascii="Times New Roman" w:hAnsi="Times New Roman"/>
          <w:color w:val="000000" w:themeColor="text1"/>
          <w:sz w:val="16"/>
          <w:szCs w:val="16"/>
        </w:rPr>
        <w:t>, Политбюро констатирует, что:</w:t>
      </w:r>
    </w:p>
    <w:p w14:paraId="40A44906"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Ленинградский машиностроительный трест, производящий в текущем году около 14% общего машиностроения СССР и свыше 20% общего машиностроения трестов союзного значения, имея в своем составе крупнейшие ленинградские заводы, как “Красный Путиловец”, Металлический, б. Невский, им. Карла Маркса и др., с 22</w:t>
      </w:r>
      <w:r w:rsidRPr="00A259BD">
        <w:rPr>
          <w:rFonts w:ascii="Times New Roman" w:hAnsi="Times New Roman"/>
          <w:color w:val="000000" w:themeColor="text1"/>
          <w:sz w:val="16"/>
          <w:szCs w:val="16"/>
        </w:rPr>
        <w:noBreakHyphen/>
        <w:t>мя тысячами пролетариев, и изготовляя ряд таких машин (турбины, обувные машины, пневматический инструмент и т. д.), которые не производятся ни в одном другом тресте, — является одним из важнейших хозяйственных объединений нашего Союза и имеет огромное народно-хозяйственное значение.</w:t>
      </w:r>
    </w:p>
    <w:p w14:paraId="79924551"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Это огромнее народно-хозяйственное значение </w:t>
      </w:r>
      <w:proofErr w:type="spellStart"/>
      <w:r w:rsidRPr="00A259BD">
        <w:rPr>
          <w:rFonts w:ascii="Times New Roman" w:hAnsi="Times New Roman"/>
          <w:color w:val="000000" w:themeColor="text1"/>
          <w:sz w:val="16"/>
          <w:szCs w:val="16"/>
        </w:rPr>
        <w:t>Ленмаштреста</w:t>
      </w:r>
      <w:proofErr w:type="spellEnd"/>
      <w:r w:rsidRPr="00A259BD">
        <w:rPr>
          <w:rFonts w:ascii="Times New Roman" w:hAnsi="Times New Roman"/>
          <w:color w:val="000000" w:themeColor="text1"/>
          <w:sz w:val="16"/>
          <w:szCs w:val="16"/>
        </w:rPr>
        <w:t xml:space="preserve">, расположение всех его предприятий в Ленинграде, значительное количество новых станков в этих предприятиях, поставленных за последние годы, и наличие достаточного кадра наиболее квалифицированных рабочих и технического пеленала — позволяет партии предъявлять к </w:t>
      </w:r>
      <w:proofErr w:type="spellStart"/>
      <w:r w:rsidRPr="00A259BD">
        <w:rPr>
          <w:rFonts w:ascii="Times New Roman" w:hAnsi="Times New Roman"/>
          <w:color w:val="000000" w:themeColor="text1"/>
          <w:sz w:val="16"/>
          <w:szCs w:val="16"/>
        </w:rPr>
        <w:t>Ленмаштресту</w:t>
      </w:r>
      <w:proofErr w:type="spellEnd"/>
      <w:r w:rsidRPr="00A259BD">
        <w:rPr>
          <w:rFonts w:ascii="Times New Roman" w:hAnsi="Times New Roman"/>
          <w:color w:val="000000" w:themeColor="text1"/>
          <w:sz w:val="16"/>
          <w:szCs w:val="16"/>
        </w:rPr>
        <w:t xml:space="preserve"> гораздо более серьезные требования, чем к другим хозяйственным объединениям.</w:t>
      </w:r>
    </w:p>
    <w:p w14:paraId="7B7A21F8"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За истекшее время Ленинградский машиностроительный трест имеет в своей работе ряд несомненных и значительных успехов, достигнутых благодаря усилиям рабочих масс и техперсонала и активнейшей поддержке партии:</w:t>
      </w:r>
    </w:p>
    <w:p w14:paraId="17761684"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восстановление разрушенных заводов и приспособление их для производства необходимых для индустриализации страны машин и оборудования;</w:t>
      </w:r>
    </w:p>
    <w:p w14:paraId="284A7D54"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постановка ряда совершенно новых в СССР производств (турбостроение, тракторостроение, текстильное и обувное машиностроение и т. д.);</w:t>
      </w:r>
    </w:p>
    <w:p w14:paraId="4CB6BBE8"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увеличение валовой продукции с 19,5 млн. руб. в 1923/24 г. до 109,8 млн. руб. по плану на текущий год;</w:t>
      </w:r>
    </w:p>
    <w:p w14:paraId="19539C8F"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рост числа занятых рабочих с 10,8 тыс. человек до 22,3 тыс. человек;</w:t>
      </w:r>
    </w:p>
    <w:p w14:paraId="37A9D54B"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рост производительности труда за истекшее пятилетие на 113.2% при росте зарплаты на 95,3% и</w:t>
      </w:r>
    </w:p>
    <w:p w14:paraId="096872B2"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снижение себестоимости в 1926/27 г. на 4,7% и в 1927/28 г. на 7,5% против 6,4% плана.</w:t>
      </w:r>
    </w:p>
    <w:p w14:paraId="0704BEFB"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Наряду с означенными достижениями трест в своей работе имеет ряд существенных недостатков:</w:t>
      </w:r>
    </w:p>
    <w:p w14:paraId="5C1F4C05"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недостаточное использование имеющегося оборудования;</w:t>
      </w:r>
    </w:p>
    <w:p w14:paraId="37B4356E"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незначительная эффективность капитальных затрат, вследствие распыления отпускаемых средств между многими объектами, и направление этих капитальных затрат, не всегда соответствующее наиболее острым нуждам страны;</w:t>
      </w:r>
    </w:p>
    <w:p w14:paraId="1772A018"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недостаточно решительное проведение организационных мероприятий по рационализации производства;</w:t>
      </w:r>
    </w:p>
    <w:p w14:paraId="2374781C"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слабое использование кооперирования с заводами других трестов;</w:t>
      </w:r>
    </w:p>
    <w:p w14:paraId="46309746"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недостаточная специализация крупных заводов (“Красный Путиловец”, им. Ленина);</w:t>
      </w:r>
    </w:p>
    <w:p w14:paraId="51282EBF"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слабая постановка работы по стандартизации и типизации изделий;</w:t>
      </w:r>
    </w:p>
    <w:p w14:paraId="0D9638D2"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недостаточное согласование работ связанных между собою цехов;</w:t>
      </w:r>
    </w:p>
    <w:p w14:paraId="570E8530"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наличие большого количества брака и просрочки по выполняемым заказам;</w:t>
      </w:r>
    </w:p>
    <w:p w14:paraId="6318656A"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наличие по некоторым изделиям чрезмерных накидок;</w:t>
      </w:r>
    </w:p>
    <w:p w14:paraId="39F791B0"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недостаточное внимание к делу подготовки квалифицированной рабочей силы, привлечения иностранных специалистов и посылки своих специалистов и квалифицированных рабочих заграницу;</w:t>
      </w:r>
    </w:p>
    <w:p w14:paraId="699CE247"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неудовлетворительная постановка работы по техническому нормированию труда на некоторых заводах;</w:t>
      </w:r>
    </w:p>
    <w:p w14:paraId="42A1B9B9"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 недовыполнение производственной программы за первое полугодие 1928/29 г. по валовой продукции на 3% и снижение себестоимости на 7% вместо 11% плана;</w:t>
      </w:r>
    </w:p>
    <w:p w14:paraId="515ED8AE"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 недостаточно удовлетворительное состояние трудовой дисциплины.</w:t>
      </w:r>
    </w:p>
    <w:p w14:paraId="3EAB6952"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Исходя из этого, Политбюро постановляет:</w:t>
      </w:r>
    </w:p>
    <w:p w14:paraId="50F44E06"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Считать, что центральной задачей </w:t>
      </w:r>
      <w:proofErr w:type="spellStart"/>
      <w:r w:rsidRPr="00A259BD">
        <w:rPr>
          <w:rFonts w:ascii="Times New Roman" w:hAnsi="Times New Roman"/>
          <w:color w:val="000000" w:themeColor="text1"/>
          <w:sz w:val="16"/>
          <w:szCs w:val="16"/>
        </w:rPr>
        <w:t>Ленмаштреста</w:t>
      </w:r>
      <w:proofErr w:type="spellEnd"/>
      <w:r w:rsidRPr="00A259BD">
        <w:rPr>
          <w:rFonts w:ascii="Times New Roman" w:hAnsi="Times New Roman"/>
          <w:color w:val="000000" w:themeColor="text1"/>
          <w:sz w:val="16"/>
          <w:szCs w:val="16"/>
        </w:rPr>
        <w:t xml:space="preserve"> на ближайший период должно явиться максимальное и в кратчайший срок использование действующего основного капитала и всех имеющихся вообще возможностей по наибольшему увеличению выпуска продукции, снижению себестоимости и улучшению ее качества.</w:t>
      </w:r>
    </w:p>
    <w:p w14:paraId="476210D9"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Предложить ВСНХ СССР в кратчайший срок установить точные и твердые производственные задания и выдать длительные твердые заказы для заводов </w:t>
      </w:r>
      <w:proofErr w:type="spellStart"/>
      <w:r w:rsidRPr="00A259BD">
        <w:rPr>
          <w:rFonts w:ascii="Times New Roman" w:hAnsi="Times New Roman"/>
          <w:color w:val="000000" w:themeColor="text1"/>
          <w:sz w:val="16"/>
          <w:szCs w:val="16"/>
        </w:rPr>
        <w:t>Ленмаштреста</w:t>
      </w:r>
      <w:proofErr w:type="spellEnd"/>
      <w:r w:rsidRPr="00A259BD">
        <w:rPr>
          <w:rFonts w:ascii="Times New Roman" w:hAnsi="Times New Roman"/>
          <w:color w:val="000000" w:themeColor="text1"/>
          <w:sz w:val="16"/>
          <w:szCs w:val="16"/>
        </w:rPr>
        <w:t xml:space="preserve">, специализируя последние на определенных видах машиностроительной продукции и обеспечив </w:t>
      </w:r>
      <w:proofErr w:type="spellStart"/>
      <w:r w:rsidRPr="00A259BD">
        <w:rPr>
          <w:rFonts w:ascii="Times New Roman" w:hAnsi="Times New Roman"/>
          <w:color w:val="000000" w:themeColor="text1"/>
          <w:sz w:val="16"/>
          <w:szCs w:val="16"/>
        </w:rPr>
        <w:t>Ленмаштресту</w:t>
      </w:r>
      <w:proofErr w:type="spellEnd"/>
      <w:r w:rsidRPr="00A259BD">
        <w:rPr>
          <w:rFonts w:ascii="Times New Roman" w:hAnsi="Times New Roman"/>
          <w:color w:val="000000" w:themeColor="text1"/>
          <w:sz w:val="16"/>
          <w:szCs w:val="16"/>
        </w:rPr>
        <w:t xml:space="preserve"> полную загрузку его заводов на основе тесной увязки их специализации с планом развития общего машиностроения в других районах СССР. Одновременно неуклонно проводить стандартизацию и типизацию изделий, оставляя на каждом заводе не только минимальное количество видов машин, но и минимальное количество типов каждой из них.</w:t>
      </w:r>
    </w:p>
    <w:p w14:paraId="182D386A"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3. Поручить ВСНХ в месячный срок представить Политбюро свои соображения и предложения о замене паровозостроения на заводе “Красный Путиловец” другим постоянным производством.</w:t>
      </w:r>
    </w:p>
    <w:p w14:paraId="19D9FD59"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Признать правильным прекращение строительства промышленных паровозов на заводе им. Ленина и загрузку этого завода преимущественно котлами, судовыми паровыми машинами и вспомогательными механизмами для судов,</w:t>
      </w:r>
    </w:p>
    <w:p w14:paraId="5AD8F3B5"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Предложить </w:t>
      </w:r>
      <w:proofErr w:type="spellStart"/>
      <w:r w:rsidRPr="00A259BD">
        <w:rPr>
          <w:rFonts w:ascii="Times New Roman" w:hAnsi="Times New Roman"/>
          <w:color w:val="000000" w:themeColor="text1"/>
          <w:sz w:val="16"/>
          <w:szCs w:val="16"/>
        </w:rPr>
        <w:t>Ленмаштресту</w:t>
      </w:r>
      <w:proofErr w:type="spellEnd"/>
      <w:r w:rsidRPr="00A259BD">
        <w:rPr>
          <w:rFonts w:ascii="Times New Roman" w:hAnsi="Times New Roman"/>
          <w:color w:val="000000" w:themeColor="text1"/>
          <w:sz w:val="16"/>
          <w:szCs w:val="16"/>
        </w:rPr>
        <w:t>:</w:t>
      </w:r>
    </w:p>
    <w:p w14:paraId="500A3F52"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широко развернуть работы по рационализации производства, привлекая к этому делу через производственные совещания широкие рабочие массы и инженерно-технический персонал, перенося опыт и достижения с одного завода на другой, как в пределах, так и за пределами треста;</w:t>
      </w:r>
    </w:p>
    <w:p w14:paraId="342BFB17"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принять все меры к полному согласованию всех производственных процессов отдельных цехов и шире проводить кооперирование заводов </w:t>
      </w:r>
      <w:proofErr w:type="spellStart"/>
      <w:r w:rsidRPr="00A259BD">
        <w:rPr>
          <w:rFonts w:ascii="Times New Roman" w:hAnsi="Times New Roman"/>
          <w:color w:val="000000" w:themeColor="text1"/>
          <w:sz w:val="16"/>
          <w:szCs w:val="16"/>
        </w:rPr>
        <w:t>Ленмаштреста</w:t>
      </w:r>
      <w:proofErr w:type="spellEnd"/>
      <w:r w:rsidRPr="00A259BD">
        <w:rPr>
          <w:rFonts w:ascii="Times New Roman" w:hAnsi="Times New Roman"/>
          <w:color w:val="000000" w:themeColor="text1"/>
          <w:sz w:val="16"/>
          <w:szCs w:val="16"/>
        </w:rPr>
        <w:t xml:space="preserve"> не только внутри треста, но и с заводами других трестов. На тех заводах и цехах </w:t>
      </w:r>
      <w:proofErr w:type="spellStart"/>
      <w:r w:rsidRPr="00A259BD">
        <w:rPr>
          <w:rFonts w:ascii="Times New Roman" w:hAnsi="Times New Roman"/>
          <w:color w:val="000000" w:themeColor="text1"/>
          <w:sz w:val="16"/>
          <w:szCs w:val="16"/>
        </w:rPr>
        <w:t>Ленмаштреста</w:t>
      </w:r>
      <w:proofErr w:type="spellEnd"/>
      <w:r w:rsidRPr="00A259BD">
        <w:rPr>
          <w:rFonts w:ascii="Times New Roman" w:hAnsi="Times New Roman"/>
          <w:color w:val="000000" w:themeColor="text1"/>
          <w:sz w:val="16"/>
          <w:szCs w:val="16"/>
        </w:rPr>
        <w:t>, которые по выпуску своей продукции являются задерживающим началом для других предприятий и цехов, увеличить количество смен таким образом, чтобы с минимальными затратами уравновесить производство треста в целом.</w:t>
      </w:r>
    </w:p>
    <w:p w14:paraId="164C7414"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в кратчайший срок ликвидировать просрочки в сдаче заказов и впредь установить строжайшую договорную дисциплину;</w:t>
      </w:r>
    </w:p>
    <w:p w14:paraId="0E0DEB20"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к 1.X.1929 г. закончить действительный перевод заводов на хозрасчет; шире внедрять начала хозрасчета в работу цехов.</w:t>
      </w:r>
    </w:p>
    <w:p w14:paraId="4701E585"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Признавая установленной недостаточную загруженность основного капитала, считать необходимым увеличить производственную программу треста по сравнению с тем, как она была запроектирована трестом и ВСНХ на пятилетие, а именно:</w:t>
      </w:r>
    </w:p>
    <w:p w14:paraId="2ECEF051"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установить программу производства тракторов в 1929/30 г. на заводе “Красный Путиловец” в 10.000 шт., с доведением ее к 1932/33 г. до 20.000 шт. и запасных частей для 60.000 тракторов (против 10.000 шт. тракторов и 40.000 запчастей по пятилетке);</w:t>
      </w:r>
    </w:p>
    <w:p w14:paraId="53E61476"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одобрить решения ВСНХ СССР, принятые им во исполнение директив ЦК: об увеличении выпуска паровых турбин на Металлическом заводе, об увеличении производства котлов на заводах им. Ленина и Металлическом и об увеличении выпуска пневматического инструмента заводом “Пневматика” после постройки на нем нового корпуса,</w:t>
      </w:r>
    </w:p>
    <w:p w14:paraId="3CABE62F"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Учитывая, что </w:t>
      </w:r>
      <w:proofErr w:type="spellStart"/>
      <w:r w:rsidRPr="00A259BD">
        <w:rPr>
          <w:rFonts w:ascii="Times New Roman" w:hAnsi="Times New Roman"/>
          <w:color w:val="000000" w:themeColor="text1"/>
          <w:sz w:val="16"/>
          <w:szCs w:val="16"/>
        </w:rPr>
        <w:t>Ленмаштрест</w:t>
      </w:r>
      <w:proofErr w:type="spellEnd"/>
      <w:r w:rsidRPr="00A259BD">
        <w:rPr>
          <w:rFonts w:ascii="Times New Roman" w:hAnsi="Times New Roman"/>
          <w:color w:val="000000" w:themeColor="text1"/>
          <w:sz w:val="16"/>
          <w:szCs w:val="16"/>
        </w:rPr>
        <w:t xml:space="preserve"> производит ответственные машины и оборудование, обязать ВСНХ СССР разработать и провести в жизнь такой порядок снабжения </w:t>
      </w:r>
      <w:proofErr w:type="spellStart"/>
      <w:r w:rsidRPr="00A259BD">
        <w:rPr>
          <w:rFonts w:ascii="Times New Roman" w:hAnsi="Times New Roman"/>
          <w:color w:val="000000" w:themeColor="text1"/>
          <w:sz w:val="16"/>
          <w:szCs w:val="16"/>
        </w:rPr>
        <w:t>Ленмаштреста</w:t>
      </w:r>
      <w:proofErr w:type="spellEnd"/>
      <w:r w:rsidRPr="00A259BD">
        <w:rPr>
          <w:rFonts w:ascii="Times New Roman" w:hAnsi="Times New Roman"/>
          <w:color w:val="000000" w:themeColor="text1"/>
          <w:sz w:val="16"/>
          <w:szCs w:val="16"/>
        </w:rPr>
        <w:t xml:space="preserve"> и аналогичных трестов сырьем и материалами, который обеспечил бы минимальный брак и бесперебойность в работе.</w:t>
      </w:r>
    </w:p>
    <w:p w14:paraId="29AA6175"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Обязать ВСНХ СССР принять все меры к тому, чтобы капитальные вложения и реконструкция </w:t>
      </w:r>
      <w:proofErr w:type="spellStart"/>
      <w:r w:rsidRPr="00A259BD">
        <w:rPr>
          <w:rFonts w:ascii="Times New Roman" w:hAnsi="Times New Roman"/>
          <w:color w:val="000000" w:themeColor="text1"/>
          <w:sz w:val="16"/>
          <w:szCs w:val="16"/>
        </w:rPr>
        <w:t>Ленмаштреста</w:t>
      </w:r>
      <w:proofErr w:type="spellEnd"/>
      <w:r w:rsidRPr="00A259BD">
        <w:rPr>
          <w:rFonts w:ascii="Times New Roman" w:hAnsi="Times New Roman"/>
          <w:color w:val="000000" w:themeColor="text1"/>
          <w:sz w:val="16"/>
          <w:szCs w:val="16"/>
        </w:rPr>
        <w:t xml:space="preserve"> производились с расчетом полного обеспечения выполнения вышеуказанной производственной программы в намеченные сроки, для чего предусмотреть необходимые ассигнования как в </w:t>
      </w:r>
      <w:proofErr w:type="spellStart"/>
      <w:r w:rsidRPr="00A259BD">
        <w:rPr>
          <w:rFonts w:ascii="Times New Roman" w:hAnsi="Times New Roman"/>
          <w:color w:val="000000" w:themeColor="text1"/>
          <w:sz w:val="16"/>
          <w:szCs w:val="16"/>
        </w:rPr>
        <w:t>промфинплане</w:t>
      </w:r>
      <w:proofErr w:type="spellEnd"/>
      <w:r w:rsidRPr="00A259BD">
        <w:rPr>
          <w:rFonts w:ascii="Times New Roman" w:hAnsi="Times New Roman"/>
          <w:color w:val="000000" w:themeColor="text1"/>
          <w:sz w:val="16"/>
          <w:szCs w:val="16"/>
        </w:rPr>
        <w:t>, так и в импортном плаке.</w:t>
      </w:r>
    </w:p>
    <w:p w14:paraId="08698AD1"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ту часть заграничного оборудования для тракторостроения, которую для обеспечения соответствующих сроков нужно заказать еще в этом году, считать необходимым выдать лицензию немедленно.</w:t>
      </w:r>
    </w:p>
    <w:p w14:paraId="53FF2813"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Одобрить решение ВСНХ СССР о реконструкции и расширении, на основе местных ресурсов лома, существующего в Ленинграде металлургического производства! (“Красный Путиловец”, Ижорский завод), в целях обеспечения Ленинградской металлопромышленности собственной качественной металлургией.</w:t>
      </w:r>
    </w:p>
    <w:p w14:paraId="7EB14AEC"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В целях повышения эффективности капитальных работ предложить ВСНХ и </w:t>
      </w:r>
      <w:proofErr w:type="spellStart"/>
      <w:r w:rsidRPr="00A259BD">
        <w:rPr>
          <w:rFonts w:ascii="Times New Roman" w:hAnsi="Times New Roman"/>
          <w:color w:val="000000" w:themeColor="text1"/>
          <w:sz w:val="16"/>
          <w:szCs w:val="16"/>
        </w:rPr>
        <w:t>Ленмаштресту</w:t>
      </w:r>
      <w:proofErr w:type="spellEnd"/>
      <w:r w:rsidRPr="00A259BD">
        <w:rPr>
          <w:rFonts w:ascii="Times New Roman" w:hAnsi="Times New Roman"/>
          <w:color w:val="000000" w:themeColor="text1"/>
          <w:sz w:val="16"/>
          <w:szCs w:val="16"/>
        </w:rPr>
        <w:t xml:space="preserve"> впредь в максимальной степени концентрировать затраты на наиболее важных объектах и в размерах, позволяющих получить необходимый производственный эффект в наикратчайший срок, особенное внимание обратив на, так называемые ”узкие места”, преодоление которых, зачастую, при некоторых мероприятиях и при незначительных затратах, может быстро дать очень значительный производственный результат.</w:t>
      </w:r>
    </w:p>
    <w:p w14:paraId="729440C2"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Обязать ВСНХ в кратчайший срок разработать план реконструкции всех заводов треста, в соответствии с п. 2</w:t>
      </w:r>
      <w:r w:rsidRPr="00A259BD">
        <w:rPr>
          <w:rFonts w:ascii="Times New Roman" w:hAnsi="Times New Roman"/>
          <w:color w:val="000000" w:themeColor="text1"/>
          <w:sz w:val="16"/>
          <w:szCs w:val="16"/>
        </w:rPr>
        <w:noBreakHyphen/>
        <w:t>м.</w:t>
      </w:r>
    </w:p>
    <w:p w14:paraId="3C854A96"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Предложить ВСНХ и </w:t>
      </w:r>
      <w:proofErr w:type="spellStart"/>
      <w:r w:rsidRPr="00A259BD">
        <w:rPr>
          <w:rFonts w:ascii="Times New Roman" w:hAnsi="Times New Roman"/>
          <w:color w:val="000000" w:themeColor="text1"/>
          <w:sz w:val="16"/>
          <w:szCs w:val="16"/>
        </w:rPr>
        <w:t>Ленмаштресту</w:t>
      </w:r>
      <w:proofErr w:type="spellEnd"/>
      <w:r w:rsidRPr="00A259BD">
        <w:rPr>
          <w:rFonts w:ascii="Times New Roman" w:hAnsi="Times New Roman"/>
          <w:color w:val="000000" w:themeColor="text1"/>
          <w:sz w:val="16"/>
          <w:szCs w:val="16"/>
        </w:rPr>
        <w:t xml:space="preserve"> с 1.X.1929 г. решительно снизить чрезмерные накидки треста на изделия, обслуживающие тяжелую промышленность и в дальнейшем продолжать политику неуклонного снижения цен на все изделия треста вообще, добиваясь в то же время значительного улучшения качества. Одновременно, с 1.X.1929 г. отменить принудительно установленные для треста убыточные цены, с тем, чтобы трест получал за свои изделия установленную </w:t>
      </w:r>
      <w:proofErr w:type="spellStart"/>
      <w:r w:rsidRPr="00A259BD">
        <w:rPr>
          <w:rFonts w:ascii="Times New Roman" w:hAnsi="Times New Roman"/>
          <w:color w:val="000000" w:themeColor="text1"/>
          <w:sz w:val="16"/>
          <w:szCs w:val="16"/>
        </w:rPr>
        <w:t>промфинпланом</w:t>
      </w:r>
      <w:proofErr w:type="spellEnd"/>
      <w:r w:rsidRPr="00A259BD">
        <w:rPr>
          <w:rFonts w:ascii="Times New Roman" w:hAnsi="Times New Roman"/>
          <w:color w:val="000000" w:themeColor="text1"/>
          <w:sz w:val="16"/>
          <w:szCs w:val="16"/>
        </w:rPr>
        <w:t xml:space="preserve"> себестоимость плюс некоторую прибыль. На этой основе немедленно изменить существующую систему оплаты тракторов </w:t>
      </w:r>
      <w:proofErr w:type="spellStart"/>
      <w:r w:rsidRPr="00A259BD">
        <w:rPr>
          <w:rFonts w:ascii="Times New Roman" w:hAnsi="Times New Roman"/>
          <w:color w:val="000000" w:themeColor="text1"/>
          <w:sz w:val="16"/>
          <w:szCs w:val="16"/>
        </w:rPr>
        <w:t>трактороторгующими</w:t>
      </w:r>
      <w:proofErr w:type="spellEnd"/>
      <w:r w:rsidRPr="00A259BD">
        <w:rPr>
          <w:rFonts w:ascii="Times New Roman" w:hAnsi="Times New Roman"/>
          <w:color w:val="000000" w:themeColor="text1"/>
          <w:sz w:val="16"/>
          <w:szCs w:val="16"/>
        </w:rPr>
        <w:t xml:space="preserve"> организациями, с тем, чтобы полагающуюся госбюджетную дотацию последние получали непосредственно.</w:t>
      </w:r>
    </w:p>
    <w:p w14:paraId="608B3CEC"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В целях наилучшего использования рабочей силы и подготовки кадров квалифицированной рабочей силы и техперсонала, предложить </w:t>
      </w:r>
      <w:proofErr w:type="spellStart"/>
      <w:r w:rsidRPr="00A259BD">
        <w:rPr>
          <w:rFonts w:ascii="Times New Roman" w:hAnsi="Times New Roman"/>
          <w:color w:val="000000" w:themeColor="text1"/>
          <w:sz w:val="16"/>
          <w:szCs w:val="16"/>
        </w:rPr>
        <w:t>Ленмаштресту</w:t>
      </w:r>
      <w:proofErr w:type="spellEnd"/>
      <w:r w:rsidRPr="00A259BD">
        <w:rPr>
          <w:rFonts w:ascii="Times New Roman" w:hAnsi="Times New Roman"/>
          <w:color w:val="000000" w:themeColor="text1"/>
          <w:sz w:val="16"/>
          <w:szCs w:val="16"/>
        </w:rPr>
        <w:t>:</w:t>
      </w:r>
    </w:p>
    <w:p w14:paraId="58AD212B"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Усилить работу по техническому нормированию, качественно и количественно усиливая состав ТНБ на заводах и в самом тресте.</w:t>
      </w:r>
    </w:p>
    <w:p w14:paraId="04DE5CFF"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Обратить особенное внимание треста на неудовлетворительную охрану труда и технику безопасности на заводах треста, предложив тресту принять соответствующие меры к устранению этих дефектов.</w:t>
      </w:r>
    </w:p>
    <w:p w14:paraId="61A2451A"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Расширить практику подготовки рабочей силы путем бригадного и индивидуального ученичества, а также путем заключения договоров с Ленинградским Институтом Труда.</w:t>
      </w:r>
    </w:p>
    <w:p w14:paraId="2941E591"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Считать целесообразным, в виде опыта, организовать в </w:t>
      </w:r>
      <w:proofErr w:type="spellStart"/>
      <w:r w:rsidRPr="00A259BD">
        <w:rPr>
          <w:rFonts w:ascii="Times New Roman" w:hAnsi="Times New Roman"/>
          <w:color w:val="000000" w:themeColor="text1"/>
          <w:sz w:val="16"/>
          <w:szCs w:val="16"/>
        </w:rPr>
        <w:t>Ленмаштресте</w:t>
      </w:r>
      <w:proofErr w:type="spellEnd"/>
      <w:r w:rsidRPr="00A259BD">
        <w:rPr>
          <w:rFonts w:ascii="Times New Roman" w:hAnsi="Times New Roman"/>
          <w:color w:val="000000" w:themeColor="text1"/>
          <w:sz w:val="16"/>
          <w:szCs w:val="16"/>
        </w:rPr>
        <w:t xml:space="preserve"> специальную школу с укороченным сроком обучения для подготовки станочников.</w:t>
      </w:r>
    </w:p>
    <w:p w14:paraId="6010AD76"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Расширить практику переподготовки квалифицированных рабочих, мастеров и бригадиров, путем создания специальных теоретических и практических кратковременных курсов.</w:t>
      </w:r>
    </w:p>
    <w:p w14:paraId="7ADB7423"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Считая недостаточным привлечение трестом заграничных специалистов, а также практику посылки заграницу своих инженеров, мастеров и рабочих, значительно расширить практику обмена техническим опытом с заграницей в ближайшее время. В то же время считать необходимым максимально упростить процедуру разрешения выезда заграницу в целях обмена техническим опытом.</w:t>
      </w:r>
    </w:p>
    <w:p w14:paraId="50034E9C"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В виду того, что выполнение </w:t>
      </w:r>
      <w:proofErr w:type="spellStart"/>
      <w:r w:rsidRPr="00A259BD">
        <w:rPr>
          <w:rFonts w:ascii="Times New Roman" w:hAnsi="Times New Roman"/>
          <w:color w:val="000000" w:themeColor="text1"/>
          <w:sz w:val="16"/>
          <w:szCs w:val="16"/>
        </w:rPr>
        <w:t>Ленмаштрестом</w:t>
      </w:r>
      <w:proofErr w:type="spellEnd"/>
      <w:r w:rsidRPr="00A259BD">
        <w:rPr>
          <w:rFonts w:ascii="Times New Roman" w:hAnsi="Times New Roman"/>
          <w:color w:val="000000" w:themeColor="text1"/>
          <w:sz w:val="16"/>
          <w:szCs w:val="16"/>
        </w:rPr>
        <w:t xml:space="preserve"> программы его производства в части тракторостроения, дизеле- турбо- и котлостроения обуславливает нормальное выполнение программы работ как в области сельского хозяйства, так и в области целого ряда отраслей промышленности, считать, что производственная программа, заданная </w:t>
      </w:r>
      <w:proofErr w:type="spellStart"/>
      <w:r w:rsidRPr="00A259BD">
        <w:rPr>
          <w:rFonts w:ascii="Times New Roman" w:hAnsi="Times New Roman"/>
          <w:color w:val="000000" w:themeColor="text1"/>
          <w:sz w:val="16"/>
          <w:szCs w:val="16"/>
        </w:rPr>
        <w:t>Ленмаштресту</w:t>
      </w:r>
      <w:proofErr w:type="spellEnd"/>
      <w:r w:rsidRPr="00A259BD">
        <w:rPr>
          <w:rFonts w:ascii="Times New Roman" w:hAnsi="Times New Roman"/>
          <w:color w:val="000000" w:themeColor="text1"/>
          <w:sz w:val="16"/>
          <w:szCs w:val="16"/>
        </w:rPr>
        <w:t>, должна быть безусловно полностью выполнена.</w:t>
      </w:r>
    </w:p>
    <w:p w14:paraId="29EBA618"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снижении себестоимости продукции должно быть сосредоточено максимум внимания и энергии всех работников треста: задание по снижению себестоимости в целом по тресту на 11% должно быть выполнено во что бы то ни стало. Поручить </w:t>
      </w:r>
      <w:proofErr w:type="spellStart"/>
      <w:r w:rsidRPr="00A259BD">
        <w:rPr>
          <w:rFonts w:ascii="Times New Roman" w:hAnsi="Times New Roman"/>
          <w:color w:val="000000" w:themeColor="text1"/>
          <w:sz w:val="16"/>
          <w:szCs w:val="16"/>
        </w:rPr>
        <w:t>НКТруду</w:t>
      </w:r>
      <w:proofErr w:type="spellEnd"/>
      <w:r w:rsidRPr="00A259BD">
        <w:rPr>
          <w:rFonts w:ascii="Times New Roman" w:hAnsi="Times New Roman"/>
          <w:color w:val="000000" w:themeColor="text1"/>
          <w:sz w:val="16"/>
          <w:szCs w:val="16"/>
        </w:rPr>
        <w:t>, ВСНХ и ВЦСПС в срочном порядке разработать и ввести в систему премирования рабочих и инженерно-технического персонала только за действительно достигнутые результаты по снижению себестоимости, явившиеся в результате их инициативы, энергии и усилий.</w:t>
      </w:r>
    </w:p>
    <w:p w14:paraId="504F9E04"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Намеченные планом рост производительности труда и соотношение между ростом производительности труда и заработной платой должны быть обязательно достигнуты.</w:t>
      </w:r>
    </w:p>
    <w:p w14:paraId="196DDB3E"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 заводоуправления, партийные и профсоюзные организации должны решительно усилить борьбу за укрепление трудовой дисциплины, неуклонно проведя в этих целях все соответствующие директивы партии и правительства.</w:t>
      </w:r>
    </w:p>
    <w:p w14:paraId="2680A08F"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 +</w:t>
      </w:r>
    </w:p>
    <w:p w14:paraId="2F9C48EB" w14:textId="77777777" w:rsidR="0039592A" w:rsidRPr="00A259BD" w:rsidRDefault="0039592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Решение поставленных перед </w:t>
      </w:r>
      <w:proofErr w:type="spellStart"/>
      <w:r w:rsidRPr="00A259BD">
        <w:rPr>
          <w:rFonts w:ascii="Times New Roman" w:hAnsi="Times New Roman"/>
          <w:color w:val="000000" w:themeColor="text1"/>
          <w:sz w:val="16"/>
          <w:szCs w:val="16"/>
        </w:rPr>
        <w:t>Ленмаштрестом</w:t>
      </w:r>
      <w:proofErr w:type="spellEnd"/>
      <w:r w:rsidRPr="00A259BD">
        <w:rPr>
          <w:rFonts w:ascii="Times New Roman" w:hAnsi="Times New Roman"/>
          <w:color w:val="000000" w:themeColor="text1"/>
          <w:sz w:val="16"/>
          <w:szCs w:val="16"/>
        </w:rPr>
        <w:t xml:space="preserve"> задач представляет значительные трудности и возлагает исключительную ответственность на хозяйственников-руководителей. Они должны в большей степени, чем до сих пор, сами изучать не только вопросы административно-управленческого порядка, но и все вопросы производственно-технического порядка для того, чтобы более активно руководить и управлять. Создавая им максимально благоприятную обстановку в работе, ликвидируя всякое дерганье, неуклонно проводя принцип единоначалия на производстве, партия одновременно будет требовать от них гораздо лучшего хозяйствования, гораздо большего вовлечения рабочих масс в дело управления производством, гораздо более широкого использования рабочей инициативы. Вместе с тем, партийные и профсоюзные организации должны разъяснить рабочим </w:t>
      </w:r>
      <w:proofErr w:type="spellStart"/>
      <w:r w:rsidRPr="00A259BD">
        <w:rPr>
          <w:rFonts w:ascii="Times New Roman" w:hAnsi="Times New Roman"/>
          <w:color w:val="000000" w:themeColor="text1"/>
          <w:sz w:val="16"/>
          <w:szCs w:val="16"/>
        </w:rPr>
        <w:t>Ленмаштреста</w:t>
      </w:r>
      <w:proofErr w:type="spellEnd"/>
      <w:r w:rsidRPr="00A259BD">
        <w:rPr>
          <w:rFonts w:ascii="Times New Roman" w:hAnsi="Times New Roman"/>
          <w:color w:val="000000" w:themeColor="text1"/>
          <w:sz w:val="16"/>
          <w:szCs w:val="16"/>
        </w:rPr>
        <w:t xml:space="preserve"> всю важность поставленных перед трестом задач, должны улучшить свое руководство массами и обслуживание масс, широко развивать социалистическое соревнование и тем самым вести массы к новым победам (18093).</w:t>
      </w:r>
    </w:p>
    <w:p w14:paraId="19A63757" w14:textId="77777777" w:rsidR="0039592A" w:rsidRPr="00A259BD" w:rsidRDefault="0039592A" w:rsidP="009236E3">
      <w:pPr>
        <w:spacing w:after="0" w:line="240" w:lineRule="auto"/>
        <w:jc w:val="both"/>
        <w:rPr>
          <w:rFonts w:ascii="Times New Roman" w:hAnsi="Times New Roman"/>
          <w:color w:val="000000" w:themeColor="text1"/>
          <w:sz w:val="16"/>
          <w:szCs w:val="16"/>
        </w:rPr>
      </w:pPr>
    </w:p>
    <w:p w14:paraId="18A5C186" w14:textId="77777777" w:rsidR="00B25ADA" w:rsidRPr="00A259BD" w:rsidRDefault="00B25ADA"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25 июля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xml:space="preserve">. Протокол заседания Политбюро ЦК ВКП(б) № 90. 5. Проект резолюции по докладу Ленинградского судостроительного треста (ПБ от 18 июля 1929 г., пр. № 89, п. 2) (Томский, </w:t>
      </w:r>
      <w:proofErr w:type="spellStart"/>
      <w:r w:rsidRPr="00A259BD">
        <w:rPr>
          <w:rFonts w:ascii="Times New Roman" w:hAnsi="Times New Roman"/>
          <w:color w:val="000000" w:themeColor="text1"/>
          <w:sz w:val="16"/>
          <w:szCs w:val="16"/>
          <w:u w:color="002060"/>
        </w:rPr>
        <w:t>Толоконцев</w:t>
      </w:r>
      <w:proofErr w:type="spellEnd"/>
      <w:r w:rsidRPr="00A259BD">
        <w:rPr>
          <w:rFonts w:ascii="Times New Roman" w:hAnsi="Times New Roman"/>
          <w:color w:val="000000" w:themeColor="text1"/>
          <w:sz w:val="16"/>
          <w:szCs w:val="16"/>
          <w:u w:color="002060"/>
        </w:rPr>
        <w:t xml:space="preserve">, Воробьев, Каганович М., </w:t>
      </w:r>
      <w:proofErr w:type="spellStart"/>
      <w:r w:rsidRPr="00A259BD">
        <w:rPr>
          <w:rFonts w:ascii="Times New Roman" w:hAnsi="Times New Roman"/>
          <w:color w:val="000000" w:themeColor="text1"/>
          <w:sz w:val="16"/>
          <w:szCs w:val="16"/>
          <w:u w:color="002060"/>
        </w:rPr>
        <w:t>Савцов</w:t>
      </w:r>
      <w:proofErr w:type="spellEnd"/>
      <w:r w:rsidRPr="00A259BD">
        <w:rPr>
          <w:rFonts w:ascii="Times New Roman" w:hAnsi="Times New Roman"/>
          <w:color w:val="000000" w:themeColor="text1"/>
          <w:sz w:val="16"/>
          <w:szCs w:val="16"/>
          <w:u w:color="002060"/>
        </w:rPr>
        <w:t xml:space="preserve">, </w:t>
      </w:r>
      <w:proofErr w:type="spellStart"/>
      <w:r w:rsidRPr="00A259BD">
        <w:rPr>
          <w:rFonts w:ascii="Times New Roman" w:hAnsi="Times New Roman"/>
          <w:color w:val="000000" w:themeColor="text1"/>
          <w:sz w:val="16"/>
          <w:szCs w:val="16"/>
          <w:u w:color="002060"/>
        </w:rPr>
        <w:t>Близниченко</w:t>
      </w:r>
      <w:proofErr w:type="spellEnd"/>
      <w:r w:rsidRPr="00A259BD">
        <w:rPr>
          <w:rFonts w:ascii="Times New Roman" w:hAnsi="Times New Roman"/>
          <w:color w:val="000000" w:themeColor="text1"/>
          <w:sz w:val="16"/>
          <w:szCs w:val="16"/>
          <w:u w:color="002060"/>
        </w:rPr>
        <w:t xml:space="preserve">). Решения ПБ от 22 июля 1929 г. 25. О заказе </w:t>
      </w:r>
      <w:proofErr w:type="spellStart"/>
      <w:r w:rsidRPr="00A259BD">
        <w:rPr>
          <w:rFonts w:ascii="Times New Roman" w:hAnsi="Times New Roman"/>
          <w:color w:val="000000" w:themeColor="text1"/>
          <w:sz w:val="16"/>
          <w:szCs w:val="16"/>
          <w:u w:color="002060"/>
        </w:rPr>
        <w:t>военведа</w:t>
      </w:r>
      <w:proofErr w:type="spellEnd"/>
      <w:r w:rsidRPr="00A259BD">
        <w:rPr>
          <w:rFonts w:ascii="Times New Roman" w:hAnsi="Times New Roman"/>
          <w:color w:val="000000" w:themeColor="text1"/>
          <w:sz w:val="16"/>
          <w:szCs w:val="16"/>
          <w:u w:color="002060"/>
        </w:rPr>
        <w:t xml:space="preserve"> (Ворошилов) — ОП. 33. О резолюции ЦК по обороне (ПБ от 15 июля 1929 г., пр. № 89, п. 23) (Ворошилов). (Политбюро... Т. 1. С. 709, 710) (12416).</w:t>
      </w:r>
    </w:p>
    <w:p w14:paraId="29FDFF02" w14:textId="77777777" w:rsidR="00B25ADA" w:rsidRPr="00A259BD" w:rsidRDefault="00B25ADA" w:rsidP="009236E3">
      <w:pPr>
        <w:spacing w:after="0" w:line="240" w:lineRule="auto"/>
        <w:jc w:val="both"/>
        <w:rPr>
          <w:rFonts w:ascii="Times New Roman" w:hAnsi="Times New Roman"/>
          <w:color w:val="000000" w:themeColor="text1"/>
          <w:sz w:val="16"/>
          <w:szCs w:val="16"/>
          <w:u w:color="002060"/>
        </w:rPr>
      </w:pPr>
    </w:p>
    <w:p w14:paraId="102CB497"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июля 1929</w:t>
      </w:r>
    </w:p>
    <w:p w14:paraId="1E18B590"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 2</w:t>
      </w:r>
    </w:p>
    <w:p w14:paraId="34FA0B56"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5 пр. ПБ № 90.</w:t>
      </w:r>
    </w:p>
    <w:p w14:paraId="7791BAA8"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Резолюция ЦК ВКП(б) по докладу Ленинградского Судостроительного Треста.</w:t>
      </w:r>
    </w:p>
    <w:p w14:paraId="2CB2A5C2"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(Утверждена Политбюро ЦК ВКП(б) 25.VII.1929 г.).</w:t>
      </w:r>
    </w:p>
    <w:p w14:paraId="5C8DDE83"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Отмечая некоторые достижения в деле постепенного овладения коммерческим судостроением на заводах Ленинградского Судостроительного Треста, ЦК ВКП(б) одновременно констатирует, как явно недостаточный темп снижения себестоимости коммерческих судов, строящихся на заводах Ленинградского Судостроительного Треста, так и чрезвычайно длительные сроки их постройки, причем в области военного судостроения следует отметить еще менее удовлетворительные результаты.</w:t>
      </w:r>
    </w:p>
    <w:p w14:paraId="499E3C07"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Причинами этих основных недостатков являются:</w:t>
      </w:r>
    </w:p>
    <w:p w14:paraId="5671BCB9"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неудовлетворительное плановое руководство со стороны главков ВСНХ СССР;</w:t>
      </w:r>
    </w:p>
    <w:p w14:paraId="6461D96D"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слабое техническое руководство заводами со стороны треста;</w:t>
      </w:r>
    </w:p>
    <w:p w14:paraId="18DF0ABC"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неиспользование преимуществ плановой производственной работы;</w:t>
      </w:r>
    </w:p>
    <w:p w14:paraId="3FAB837F"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отсутствие увязки в военном и коммерческом судостроении;</w:t>
      </w:r>
    </w:p>
    <w:p w14:paraId="31E077A1"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неподготовленность основных отраслей промышленности, обслуживающих судостроение (машиностроение и электротехника);</w:t>
      </w:r>
    </w:p>
    <w:p w14:paraId="0B5A22D3"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отсутствие договорной дисциплины в отношении сроков и качества поставляемой продукции;</w:t>
      </w:r>
    </w:p>
    <w:p w14:paraId="1BF6A922"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длительное прохождение эскизных проектов судов в порядке согласования;</w:t>
      </w:r>
    </w:p>
    <w:p w14:paraId="60C344D5"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отсутствие правильной постановки калькуляционного дела;</w:t>
      </w:r>
    </w:p>
    <w:p w14:paraId="3E348428"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слабое использование трестом своих производственных возможностей;</w:t>
      </w:r>
    </w:p>
    <w:p w14:paraId="7FBED821"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отсутствие проработанного плана необходимей реконструкции и специализации заводов;</w:t>
      </w:r>
    </w:p>
    <w:p w14:paraId="577675E1"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неправильное использование оборотных средств при наличии больших капиталов по незавершенному производству;</w:t>
      </w:r>
    </w:p>
    <w:p w14:paraId="7695175F"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 наличие высоких общезаводских и цеховых расходов (183%), большого процента брака (по отдельным производствам до 30</w:t>
      </w:r>
      <w:r w:rsidRPr="00A259BD">
        <w:rPr>
          <w:rFonts w:ascii="Times New Roman" w:hAnsi="Times New Roman"/>
          <w:color w:val="000000" w:themeColor="text1"/>
          <w:sz w:val="16"/>
          <w:szCs w:val="16"/>
        </w:rPr>
        <w:noBreakHyphen/>
        <w:t>40%), больших отходов (до 30%), простоев за счет производственных неполадок при наличии большого количества сверхурочных работ, значительного количества прогулов, низких норм выработки, отставания производительности труда от роста зарплаты (по данным обследования НК РКИ в среднем за 1927/28 г. на 18%);</w:t>
      </w:r>
    </w:p>
    <w:p w14:paraId="50AE8129"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 бесхозяйственность в закупке и использовании импортного сырья.</w:t>
      </w:r>
    </w:p>
    <w:p w14:paraId="519DE03A"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этом ЦК ВКП(б) констатирует, что отмеченные выше факты усугублялись отсутствием сознательного твердого руководства со стороны партийной части старого правления треста, шедшего на поводу у группы заводских специалистов, оказавшихся в дальнейшем злостными вредителями.</w:t>
      </w:r>
    </w:p>
    <w:p w14:paraId="30B00536"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Равным образом необходимо отметить, что хотя в постановлениях СТО от 2.Х.1928 г. и 4.II.1929 г. были в основном указаны выше перечисленные недостатки в деле судостроения и даны директивы, создающие предпосылки для оздоровления судостроения в СССР и Ленинградского Судостроительного треста в частности, однако, до последнего времени эти директивы не были полностью проведены в жизнь.</w:t>
      </w:r>
    </w:p>
    <w:p w14:paraId="6BC4B0EC"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ЦК ВКП(б) считает, что такое положение препятствует нормальному развитию судостроения в СССР в соответствии с общим темпом индустриализации страны, а потому является явно нетерпимым и требующим для своего оздоровления неукоснительного проведения в жизнь нижеследующих мероприятий:</w:t>
      </w:r>
    </w:p>
    <w:p w14:paraId="73C4326F"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Обязать БСКХ СССР и Ленинградский обком ВКП(б) внимательным образом пересмотреть весь производственный аппарат треста к заводов на предмет выявления и устранения всех последствий вредительской работы.</w:t>
      </w:r>
    </w:p>
    <w:p w14:paraId="48CFD152"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Считать установленным, согласно данным НК РКИ СССР, что при условии рационализации производства (специализация заводов, осуществление серийности постройки уничтожение существующих разрывов в техническом процессе и т. д.) производственная программа Ленинградского Судостроительного треста на текущее пятилетие может быть увеличена с 71 транспортной единицы и 20 промысловых морских тральщиков до 91 транспортной единицы и 178 тральщиков, при соответствующем обеспечении нужд военного ведомства, причем в случае необходимости и эта программа, при увеличении рабочих смен может быть значительно увеличена.</w:t>
      </w:r>
    </w:p>
    <w:p w14:paraId="679E2083"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случае, если при исполнении пятилетней программы эти заводы будут загружены заказами крупных судов, то соответствующее количество тральщиков к постройке должно быть переброшено на заводы, не входящие в состав Ленинградского Судостроительного треста.</w:t>
      </w:r>
    </w:p>
    <w:p w14:paraId="385226BE"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Поручить ВСНХ СССР: а) принять за основу разработанную НК РКИ схему специализации заводов Ленинградского Судостроительного треста при разработке Гипромезом общего проекта реконструкции судостроения в СССР; б) установить объем капитальных затрат на полную реконструкцию заводов </w:t>
      </w:r>
      <w:proofErr w:type="spellStart"/>
      <w:r w:rsidRPr="00A259BD">
        <w:rPr>
          <w:rFonts w:ascii="Times New Roman" w:hAnsi="Times New Roman"/>
          <w:color w:val="000000" w:themeColor="text1"/>
          <w:sz w:val="16"/>
          <w:szCs w:val="16"/>
        </w:rPr>
        <w:t>Судстреста</w:t>
      </w:r>
      <w:proofErr w:type="spellEnd"/>
      <w:r w:rsidRPr="00A259BD">
        <w:rPr>
          <w:rFonts w:ascii="Times New Roman" w:hAnsi="Times New Roman"/>
          <w:color w:val="000000" w:themeColor="text1"/>
          <w:sz w:val="16"/>
          <w:szCs w:val="16"/>
        </w:rPr>
        <w:t xml:space="preserve"> на текущее пятилетие по окончании работ Гипромеза и получении проектных и сметных материалов, но не позднее 1.I.1930 г.; в) в виду более интенсивного развертывания судостроения и ускорения выполнения пятилетней программы, главнейшие капитальные работы произвести в первом трехлетии.</w:t>
      </w:r>
    </w:p>
    <w:p w14:paraId="42A5291B"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Предложить ВСНХ СССР и </w:t>
      </w:r>
      <w:proofErr w:type="spellStart"/>
      <w:r w:rsidRPr="00A259BD">
        <w:rPr>
          <w:rFonts w:ascii="Times New Roman" w:hAnsi="Times New Roman"/>
          <w:color w:val="000000" w:themeColor="text1"/>
          <w:sz w:val="16"/>
          <w:szCs w:val="16"/>
        </w:rPr>
        <w:t>Судотресту</w:t>
      </w:r>
      <w:proofErr w:type="spellEnd"/>
      <w:r w:rsidRPr="00A259BD">
        <w:rPr>
          <w:rFonts w:ascii="Times New Roman" w:hAnsi="Times New Roman"/>
          <w:color w:val="000000" w:themeColor="text1"/>
          <w:sz w:val="16"/>
          <w:szCs w:val="16"/>
        </w:rPr>
        <w:t xml:space="preserve"> неукоснительно провести в жизнь состоявшееся и до сих пор не вполне выполненные постановления СТО от 2.Х.1928 г. и 4.II.1929 г. Обязать ВСНХ в докладе, имеющем быть через год, особо упомянуть о порядке и системе выполнения этих постановлений СТО.</w:t>
      </w:r>
    </w:p>
    <w:p w14:paraId="5526C1BB"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В соответствии с п. 2 настоящего постановления о пересмотре программы судостроения, обязать ВСНХ осуществить следующие хозяйственно-рационализаторские мероприятия:</w:t>
      </w:r>
    </w:p>
    <w:p w14:paraId="4AE3035E"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в трехмесячный срок выявить потребности судостроительных заводов в материалах и полуфабрикатах, необходимых для выполнения программ судостроения, а равно принять меры для реального обеспечения и своевременного снабжения ими заводов </w:t>
      </w:r>
      <w:proofErr w:type="spellStart"/>
      <w:r w:rsidRPr="00A259BD">
        <w:rPr>
          <w:rFonts w:ascii="Times New Roman" w:hAnsi="Times New Roman"/>
          <w:color w:val="000000" w:themeColor="text1"/>
          <w:sz w:val="16"/>
          <w:szCs w:val="16"/>
        </w:rPr>
        <w:t>Судотреста</w:t>
      </w:r>
      <w:proofErr w:type="spellEnd"/>
      <w:r w:rsidRPr="00A259BD">
        <w:rPr>
          <w:rFonts w:ascii="Times New Roman" w:hAnsi="Times New Roman"/>
          <w:color w:val="000000" w:themeColor="text1"/>
          <w:sz w:val="16"/>
          <w:szCs w:val="16"/>
        </w:rPr>
        <w:t xml:space="preserve"> и в частности судостроительной сталью, для производства которой закрепить специальные металлургические заводы;</w:t>
      </w:r>
    </w:p>
    <w:p w14:paraId="0204FE3A"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добиться в течение пятилетки к 1.Х.19ЗЗ г. снижения себестоимости, как по коммерческому, так и по военному судостроению не менее, чем на 50% против себестоимости 1927/28 г.;</w:t>
      </w:r>
    </w:p>
    <w:p w14:paraId="149998B7"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в ближайшие же два года добиться календарных сроков готовности судов, для рефрижераторов не свыше 15 месяцев и для лесовозов не свыше 12 месяцев, а для военного судостроения аккуратное выполнение сроков, установленных по согласованию с Наркомвоенмором;</w:t>
      </w:r>
    </w:p>
    <w:p w14:paraId="63846D50"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установить количества и сроки подачи импортного сырья главных, а также вспомогательных механизмов и оборудования. Доложить СТО в 3</w:t>
      </w:r>
      <w:r w:rsidRPr="00A259BD">
        <w:rPr>
          <w:rFonts w:ascii="Times New Roman" w:hAnsi="Times New Roman"/>
          <w:color w:val="000000" w:themeColor="text1"/>
          <w:sz w:val="16"/>
          <w:szCs w:val="16"/>
        </w:rPr>
        <w:noBreakHyphen/>
        <w:t>х месячный срок о выявленной потребности и принимаемых мерах для обеспечения судостроении необходимым импортным оборудованием и материалами, в соответствии с постановлением СТО от 2.Х.1928 г.;</w:t>
      </w:r>
    </w:p>
    <w:p w14:paraId="6A6275D2"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не допускать приобретения импортного сырья до окончательного утверждения судостроительных программ и установления точных спецификаций по отдельным типам судов;</w:t>
      </w:r>
    </w:p>
    <w:p w14:paraId="5E4ED85F"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для устранения имеющегося значительного разрыва между сроками готовности корпусов и сроками поставки главных и вспомогательных судовых механизмов и электрического оборудования, обеспечить усиление судового электро- и машиностроения с введением теперь же на соответствующих заводах 2</w:t>
      </w:r>
      <w:r w:rsidRPr="00A259BD">
        <w:rPr>
          <w:rFonts w:ascii="Times New Roman" w:hAnsi="Times New Roman"/>
          <w:color w:val="000000" w:themeColor="text1"/>
          <w:sz w:val="16"/>
          <w:szCs w:val="16"/>
        </w:rPr>
        <w:noBreakHyphen/>
        <w:t>х и 3</w:t>
      </w:r>
      <w:r w:rsidRPr="00A259BD">
        <w:rPr>
          <w:rFonts w:ascii="Times New Roman" w:hAnsi="Times New Roman"/>
          <w:color w:val="000000" w:themeColor="text1"/>
          <w:sz w:val="16"/>
          <w:szCs w:val="16"/>
        </w:rPr>
        <w:noBreakHyphen/>
        <w:t>х смен;</w:t>
      </w:r>
    </w:p>
    <w:p w14:paraId="11CFA19C"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ж) обеспечить на заводах Ленинградского </w:t>
      </w:r>
      <w:proofErr w:type="spellStart"/>
      <w:r w:rsidRPr="00A259BD">
        <w:rPr>
          <w:rFonts w:ascii="Times New Roman" w:hAnsi="Times New Roman"/>
          <w:color w:val="000000" w:themeColor="text1"/>
          <w:sz w:val="16"/>
          <w:szCs w:val="16"/>
        </w:rPr>
        <w:t>Маштреста</w:t>
      </w:r>
      <w:proofErr w:type="spellEnd"/>
      <w:r w:rsidRPr="00A259BD">
        <w:rPr>
          <w:rFonts w:ascii="Times New Roman" w:hAnsi="Times New Roman"/>
          <w:color w:val="000000" w:themeColor="text1"/>
          <w:sz w:val="16"/>
          <w:szCs w:val="16"/>
        </w:rPr>
        <w:t xml:space="preserve"> изготовление для </w:t>
      </w:r>
      <w:proofErr w:type="spellStart"/>
      <w:r w:rsidRPr="00A259BD">
        <w:rPr>
          <w:rFonts w:ascii="Times New Roman" w:hAnsi="Times New Roman"/>
          <w:color w:val="000000" w:themeColor="text1"/>
          <w:sz w:val="16"/>
          <w:szCs w:val="16"/>
        </w:rPr>
        <w:t>Судотреста</w:t>
      </w:r>
      <w:proofErr w:type="spellEnd"/>
      <w:r w:rsidRPr="00A259BD">
        <w:rPr>
          <w:rFonts w:ascii="Times New Roman" w:hAnsi="Times New Roman"/>
          <w:color w:val="000000" w:themeColor="text1"/>
          <w:sz w:val="16"/>
          <w:szCs w:val="16"/>
        </w:rPr>
        <w:t xml:space="preserve"> в необходимом количестве и в сроки, согласованные с общей программой судостроения, главных дизелей, дизель-динамо и компрессоров; привлечь к изготовлению судовых вспомогательных механизмов завод им. Ленина (б. Невский);</w:t>
      </w:r>
    </w:p>
    <w:p w14:paraId="6577A321"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 в целях разгрузки заводов </w:t>
      </w:r>
      <w:proofErr w:type="spellStart"/>
      <w:r w:rsidRPr="00A259BD">
        <w:rPr>
          <w:rFonts w:ascii="Times New Roman" w:hAnsi="Times New Roman"/>
          <w:color w:val="000000" w:themeColor="text1"/>
          <w:sz w:val="16"/>
          <w:szCs w:val="16"/>
        </w:rPr>
        <w:t>Судотреста</w:t>
      </w:r>
      <w:proofErr w:type="spellEnd"/>
      <w:r w:rsidRPr="00A259BD">
        <w:rPr>
          <w:rFonts w:ascii="Times New Roman" w:hAnsi="Times New Roman"/>
          <w:color w:val="000000" w:themeColor="text1"/>
          <w:sz w:val="16"/>
          <w:szCs w:val="16"/>
        </w:rPr>
        <w:t xml:space="preserve"> от производства крупных поковок, </w:t>
      </w:r>
      <w:proofErr w:type="spellStart"/>
      <w:r w:rsidRPr="00A259BD">
        <w:rPr>
          <w:rFonts w:ascii="Times New Roman" w:hAnsi="Times New Roman"/>
          <w:color w:val="000000" w:themeColor="text1"/>
          <w:sz w:val="16"/>
          <w:szCs w:val="16"/>
        </w:rPr>
        <w:t>электроизделий</w:t>
      </w:r>
      <w:proofErr w:type="spellEnd"/>
      <w:r w:rsidRPr="00A259BD">
        <w:rPr>
          <w:rFonts w:ascii="Times New Roman" w:hAnsi="Times New Roman"/>
          <w:color w:val="000000" w:themeColor="text1"/>
          <w:sz w:val="16"/>
          <w:szCs w:val="16"/>
        </w:rPr>
        <w:t xml:space="preserve">, вспомогательных судовых механизмов, инструментов, арматуры и стандартной судовой мебели, развернуть эти производства на специальных заводах, после чего прекратить производство этих изделий на заводах </w:t>
      </w:r>
      <w:proofErr w:type="spellStart"/>
      <w:r w:rsidRPr="00A259BD">
        <w:rPr>
          <w:rFonts w:ascii="Times New Roman" w:hAnsi="Times New Roman"/>
          <w:color w:val="000000" w:themeColor="text1"/>
          <w:sz w:val="16"/>
          <w:szCs w:val="16"/>
        </w:rPr>
        <w:t>Судотреста</w:t>
      </w:r>
      <w:proofErr w:type="spellEnd"/>
      <w:r w:rsidRPr="00A259BD">
        <w:rPr>
          <w:rFonts w:ascii="Times New Roman" w:hAnsi="Times New Roman"/>
          <w:color w:val="000000" w:themeColor="text1"/>
          <w:sz w:val="16"/>
          <w:szCs w:val="16"/>
        </w:rPr>
        <w:t>;</w:t>
      </w:r>
    </w:p>
    <w:p w14:paraId="39BA1170"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 расширить существующие и поставить заново на заводах СССР производстве паро-динамо-грузовых стрел, подшипников </w:t>
      </w:r>
      <w:proofErr w:type="spellStart"/>
      <w:r w:rsidRPr="00A259BD">
        <w:rPr>
          <w:rFonts w:ascii="Times New Roman" w:hAnsi="Times New Roman"/>
          <w:color w:val="000000" w:themeColor="text1"/>
          <w:sz w:val="16"/>
          <w:szCs w:val="16"/>
        </w:rPr>
        <w:t>Митчеля</w:t>
      </w:r>
      <w:proofErr w:type="spellEnd"/>
      <w:r w:rsidRPr="00A259BD">
        <w:rPr>
          <w:rFonts w:ascii="Times New Roman" w:hAnsi="Times New Roman"/>
          <w:color w:val="000000" w:themeColor="text1"/>
          <w:sz w:val="16"/>
          <w:szCs w:val="16"/>
        </w:rPr>
        <w:t>, брашпилей, рулевых указателей, якорных канатов и других изделий до масштаба полного удовлетворения потребностей судостроения.</w:t>
      </w:r>
    </w:p>
    <w:p w14:paraId="323BD778"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Принимая во внимание предложения НК РКИ СССР по рационализации управления, обеспечить реальное проведение таковых на заводах </w:t>
      </w:r>
      <w:proofErr w:type="spellStart"/>
      <w:r w:rsidRPr="00A259BD">
        <w:rPr>
          <w:rFonts w:ascii="Times New Roman" w:hAnsi="Times New Roman"/>
          <w:color w:val="000000" w:themeColor="text1"/>
          <w:sz w:val="16"/>
          <w:szCs w:val="16"/>
        </w:rPr>
        <w:t>Судотреста</w:t>
      </w:r>
      <w:proofErr w:type="spellEnd"/>
      <w:r w:rsidRPr="00A259BD">
        <w:rPr>
          <w:rFonts w:ascii="Times New Roman" w:hAnsi="Times New Roman"/>
          <w:color w:val="000000" w:themeColor="text1"/>
          <w:sz w:val="16"/>
          <w:szCs w:val="16"/>
        </w:rPr>
        <w:t>, как по линии административно-организационной, так и техническо-производственной, в связи с чем поручить:</w:t>
      </w:r>
    </w:p>
    <w:p w14:paraId="3CC5F202"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ВСНХ и Ленинградскому </w:t>
      </w:r>
      <w:proofErr w:type="spellStart"/>
      <w:r w:rsidRPr="00A259BD">
        <w:rPr>
          <w:rFonts w:ascii="Times New Roman" w:hAnsi="Times New Roman"/>
          <w:color w:val="000000" w:themeColor="text1"/>
          <w:sz w:val="16"/>
          <w:szCs w:val="16"/>
        </w:rPr>
        <w:t>Судотресту</w:t>
      </w:r>
      <w:proofErr w:type="spellEnd"/>
      <w:r w:rsidRPr="00A259BD">
        <w:rPr>
          <w:rFonts w:ascii="Times New Roman" w:hAnsi="Times New Roman"/>
          <w:color w:val="000000" w:themeColor="text1"/>
          <w:sz w:val="16"/>
          <w:szCs w:val="16"/>
        </w:rPr>
        <w:t xml:space="preserve"> в трехмесячный срок разработать в ввести на судостроительных заводах унифицированную и упрощенную схему управления, уточнить положения об отделах и цехах, правах и обязанностях отдельных представителей административно-технического персонала, приняв меры к освобождению последнего от канцелярской работы;</w:t>
      </w:r>
    </w:p>
    <w:p w14:paraId="10E20149"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организовать правильный учет производства по предприятиям, принимая во внимание в необходимых случаях и весовое отношение.</w:t>
      </w:r>
    </w:p>
    <w:p w14:paraId="4957F6BB"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В области рационализации производства предложить ВСНХ и </w:t>
      </w:r>
      <w:proofErr w:type="spellStart"/>
      <w:r w:rsidRPr="00A259BD">
        <w:rPr>
          <w:rFonts w:ascii="Times New Roman" w:hAnsi="Times New Roman"/>
          <w:color w:val="000000" w:themeColor="text1"/>
          <w:sz w:val="16"/>
          <w:szCs w:val="16"/>
        </w:rPr>
        <w:t>Судотресту</w:t>
      </w:r>
      <w:proofErr w:type="spellEnd"/>
      <w:r w:rsidRPr="00A259BD">
        <w:rPr>
          <w:rFonts w:ascii="Times New Roman" w:hAnsi="Times New Roman"/>
          <w:color w:val="000000" w:themeColor="text1"/>
          <w:sz w:val="16"/>
          <w:szCs w:val="16"/>
        </w:rPr>
        <w:t>:</w:t>
      </w:r>
    </w:p>
    <w:p w14:paraId="4EA13A07"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укомплектовать рационализаторские ячейки на предприятиях деятельными и квалифицированными работниками, всемерно привлекая к этому делу наиболее энергичных квалифицированных рабочих с производства;</w:t>
      </w:r>
    </w:p>
    <w:p w14:paraId="1A3BED12"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поставить перед рационализаторскими органами задачу всемерного изучения техно-экономических показателей работы предприятий треста и на основе их наметить план работ по рационализации.</w:t>
      </w:r>
    </w:p>
    <w:p w14:paraId="08028CCE"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Признать необходимым особенно сосредоточить внимание ВСНХ и </w:t>
      </w:r>
      <w:proofErr w:type="spellStart"/>
      <w:r w:rsidRPr="00A259BD">
        <w:rPr>
          <w:rFonts w:ascii="Times New Roman" w:hAnsi="Times New Roman"/>
          <w:color w:val="000000" w:themeColor="text1"/>
          <w:sz w:val="16"/>
          <w:szCs w:val="16"/>
        </w:rPr>
        <w:t>Судотреста</w:t>
      </w:r>
      <w:proofErr w:type="spellEnd"/>
      <w:r w:rsidRPr="00A259BD">
        <w:rPr>
          <w:rFonts w:ascii="Times New Roman" w:hAnsi="Times New Roman"/>
          <w:color w:val="000000" w:themeColor="text1"/>
          <w:sz w:val="16"/>
          <w:szCs w:val="16"/>
        </w:rPr>
        <w:t xml:space="preserve"> на следующих очередных задачах:</w:t>
      </w:r>
    </w:p>
    <w:p w14:paraId="64E07654"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планирование производства в направлении сокращения производственного цикла;</w:t>
      </w:r>
    </w:p>
    <w:p w14:paraId="122856E6"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установление контроля сроков заказов;</w:t>
      </w:r>
    </w:p>
    <w:p w14:paraId="309A7BFD"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разработку технологических процессов и планов загрузки каждого оборудования (печи, машины, прессы, станки и т. д.).</w:t>
      </w:r>
    </w:p>
    <w:p w14:paraId="319368DC"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наметку мер к более интенсивному использованию рабочих площадей;</w:t>
      </w:r>
    </w:p>
    <w:p w14:paraId="7F2A927D"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проведение паспортизации оборудования и установление технического нормирования;</w:t>
      </w:r>
    </w:p>
    <w:p w14:paraId="1F42CC0F"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постановку учета и анализа причин брака и отходов;</w:t>
      </w:r>
    </w:p>
    <w:p w14:paraId="609B1EA9"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установление правильного учета оборудования и рабочей силы;</w:t>
      </w:r>
    </w:p>
    <w:p w14:paraId="39F4109D"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улучшение складского хозяйства и транспорта;</w:t>
      </w:r>
    </w:p>
    <w:p w14:paraId="632E1AFE"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установление анализа и контроля цеховых накладных расходов со стороны самих цехов.</w:t>
      </w:r>
    </w:p>
    <w:p w14:paraId="7ACE78CF"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Поручить ВСНХ СССР в кратчайший срок разработать план научно-исследовательской работы по судостроению, причем, для широкого использования в судостроении опыта научно-исследовательских институтов других наркоматов, установить с таковыми необходимую связь, а также принять решительные меры к использованию технических достижений Западной Европы и Америки, с привлечением к консультации и на оперативную работу на судостроительных заводах иностранных специалистов.</w:t>
      </w:r>
    </w:p>
    <w:p w14:paraId="5DFD84AC"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Обязать ВСНХ СССР срочно провести в жизнь постановление СТО от 2.X.1928 г. об организации судоремонтной базы, торгового флота (капитальный ремонт) на Балтийском море, предназначив для этой цели завод Ленинградского </w:t>
      </w:r>
      <w:proofErr w:type="spellStart"/>
      <w:r w:rsidRPr="00A259BD">
        <w:rPr>
          <w:rFonts w:ascii="Times New Roman" w:hAnsi="Times New Roman"/>
          <w:color w:val="000000" w:themeColor="text1"/>
          <w:sz w:val="16"/>
          <w:szCs w:val="16"/>
        </w:rPr>
        <w:t>Судотреста</w:t>
      </w:r>
      <w:proofErr w:type="spellEnd"/>
      <w:r w:rsidRPr="00A259BD">
        <w:rPr>
          <w:rFonts w:ascii="Times New Roman" w:hAnsi="Times New Roman"/>
          <w:color w:val="000000" w:themeColor="text1"/>
          <w:sz w:val="16"/>
          <w:szCs w:val="16"/>
        </w:rPr>
        <w:t xml:space="preserve"> имени Марти.</w:t>
      </w:r>
    </w:p>
    <w:p w14:paraId="61D7B4D7"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10. Отмечая слабую работу по стандартизации, несмотря на постановление СТО от 2.X.1928 г., обязать ВСНХ СССР принять более решительные меры к форсированию работ в области стандартизации, типизации, унификации судового оборудования (особенно в отношении вспомогательных механизмов), введение системы допусков в обработке изделий для достижения их взаимозаменяемости и т. п., всемерно используя для этого существующие нормали заграничной практики.</w:t>
      </w:r>
    </w:p>
    <w:p w14:paraId="2B418DB3"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Поручить ВСНХ СССР, совместно с НКПС приступить к пересмотру правил постройки судов в направлении: а) максимальной замены цветных металлов в судостроении, ковким чугуном и сталью; б) пересмотра технических условий на употребляемый в судостроении палубной лес; в) замены клепальных работ газо- и электросваркой, поставив в широком масштабе опыты при </w:t>
      </w:r>
      <w:proofErr w:type="spellStart"/>
      <w:r w:rsidRPr="00A259BD">
        <w:rPr>
          <w:rFonts w:ascii="Times New Roman" w:hAnsi="Times New Roman"/>
          <w:color w:val="000000" w:themeColor="text1"/>
          <w:sz w:val="16"/>
          <w:szCs w:val="16"/>
        </w:rPr>
        <w:t>Судотресте</w:t>
      </w:r>
      <w:proofErr w:type="spellEnd"/>
      <w:r w:rsidRPr="00A259BD">
        <w:rPr>
          <w:rFonts w:ascii="Times New Roman" w:hAnsi="Times New Roman"/>
          <w:color w:val="000000" w:themeColor="text1"/>
          <w:sz w:val="16"/>
          <w:szCs w:val="16"/>
        </w:rPr>
        <w:t>, для чего обеспечить соответствующий импортный контингент.</w:t>
      </w:r>
    </w:p>
    <w:p w14:paraId="0CE5CD98"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Принять решительные меры к усилению Регистра СССР и поднятию его авторитета, взяв курс на полное вытеснение иностранных Регистров и производство постройки судов под исключительным наблюдением Регистра СССР, с привлечением иностранных специалистов.</w:t>
      </w:r>
    </w:p>
    <w:p w14:paraId="670CF138"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Поручить ВСНХ, НКПС и </w:t>
      </w:r>
      <w:proofErr w:type="spellStart"/>
      <w:r w:rsidRPr="00A259BD">
        <w:rPr>
          <w:rFonts w:ascii="Times New Roman" w:hAnsi="Times New Roman"/>
          <w:color w:val="000000" w:themeColor="text1"/>
          <w:sz w:val="16"/>
          <w:szCs w:val="16"/>
        </w:rPr>
        <w:t>НКТоргу</w:t>
      </w:r>
      <w:proofErr w:type="spellEnd"/>
      <w:r w:rsidRPr="00A259BD">
        <w:rPr>
          <w:rFonts w:ascii="Times New Roman" w:hAnsi="Times New Roman"/>
          <w:color w:val="000000" w:themeColor="text1"/>
          <w:sz w:val="16"/>
          <w:szCs w:val="16"/>
        </w:rPr>
        <w:t xml:space="preserve"> СССР принять меры:</w:t>
      </w:r>
    </w:p>
    <w:p w14:paraId="768EE99A"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к производству платежей судостроительным заводам исключительно через заказчиков за фактически выполненную продукцию в счет заказов, причем закладке судов должна предшествовать утвержденная Комитетом Государственных Заказов цена;</w:t>
      </w:r>
    </w:p>
    <w:p w14:paraId="63A4A73D"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к применению денежных неустоек за опоздание и к выдаче премий за выполнение заказов ранее договоренных сроков, причем часть этих премий должна быть использована на премирование, как рабочих, так и технического персонала;</w:t>
      </w:r>
    </w:p>
    <w:p w14:paraId="3EB0B763"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 обязательному согласованию промышленными предприятиями с заказчиками календарных (по годам) планов постройки судов.</w:t>
      </w:r>
    </w:p>
    <w:p w14:paraId="1C781DD8"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Обратить внимание ВСНХ и НКПС на необходимость всемерного улучшения технических и эксплуатационных качеств </w:t>
      </w:r>
      <w:proofErr w:type="spellStart"/>
      <w:r w:rsidRPr="00A259BD">
        <w:rPr>
          <w:rFonts w:ascii="Times New Roman" w:hAnsi="Times New Roman"/>
          <w:color w:val="000000" w:themeColor="text1"/>
          <w:sz w:val="16"/>
          <w:szCs w:val="16"/>
        </w:rPr>
        <w:t>строющихся</w:t>
      </w:r>
      <w:proofErr w:type="spellEnd"/>
      <w:r w:rsidRPr="00A259BD">
        <w:rPr>
          <w:rFonts w:ascii="Times New Roman" w:hAnsi="Times New Roman"/>
          <w:color w:val="000000" w:themeColor="text1"/>
          <w:sz w:val="16"/>
          <w:szCs w:val="16"/>
        </w:rPr>
        <w:t xml:space="preserve"> судов, не допуская тех дефектов, которые имели место на построенных судах, в частности на рефрижераторах (слишком большой расход топлива и смазки, невыполнение договорных скоростей, ненадежность рулевых устройств и т. п.).</w:t>
      </w:r>
    </w:p>
    <w:p w14:paraId="471DA8E2"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Считая явно ненормальной наблюдающуюся до сих пор длительность разработки проектов судов и волокиту при их согласовании, а также случаи недостаточно обоснованных технико-экономических заданий со стороны заказчиков, поручить ВСНХ, НКПС и </w:t>
      </w:r>
      <w:proofErr w:type="spellStart"/>
      <w:r w:rsidRPr="00A259BD">
        <w:rPr>
          <w:rFonts w:ascii="Times New Roman" w:hAnsi="Times New Roman"/>
          <w:color w:val="000000" w:themeColor="text1"/>
          <w:sz w:val="16"/>
          <w:szCs w:val="16"/>
        </w:rPr>
        <w:t>НКТоргу</w:t>
      </w:r>
      <w:proofErr w:type="spellEnd"/>
      <w:r w:rsidRPr="00A259BD">
        <w:rPr>
          <w:rFonts w:ascii="Times New Roman" w:hAnsi="Times New Roman"/>
          <w:color w:val="000000" w:themeColor="text1"/>
          <w:sz w:val="16"/>
          <w:szCs w:val="16"/>
        </w:rPr>
        <w:t>, в соответствии с постановлением СТО от 2.X.1928 г., добиться надлежащей быстроты в изготовлении и утверждении проектов судов, установив срок с момента дачи полного технико-эксплуатационного задания на проектирование до момента окончательного утверждения проектов, не свыше 4</w:t>
      </w:r>
      <w:r w:rsidRPr="00A259BD">
        <w:rPr>
          <w:rFonts w:ascii="Times New Roman" w:hAnsi="Times New Roman"/>
          <w:color w:val="000000" w:themeColor="text1"/>
          <w:sz w:val="16"/>
          <w:szCs w:val="16"/>
        </w:rPr>
        <w:noBreakHyphen/>
        <w:t>х месяцев.</w:t>
      </w:r>
    </w:p>
    <w:p w14:paraId="57E4AF88"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Признать недопустимым небрежное составление проектов, влекущее за собой в дальнейшем переделки и изменения в процессе производства судостроения. Поручить </w:t>
      </w:r>
      <w:proofErr w:type="spellStart"/>
      <w:r w:rsidRPr="00A259BD">
        <w:rPr>
          <w:rFonts w:ascii="Times New Roman" w:hAnsi="Times New Roman"/>
          <w:color w:val="000000" w:themeColor="text1"/>
          <w:sz w:val="16"/>
          <w:szCs w:val="16"/>
        </w:rPr>
        <w:t>Судотресту</w:t>
      </w:r>
      <w:proofErr w:type="spellEnd"/>
      <w:r w:rsidRPr="00A259BD">
        <w:rPr>
          <w:rFonts w:ascii="Times New Roman" w:hAnsi="Times New Roman"/>
          <w:color w:val="000000" w:themeColor="text1"/>
          <w:sz w:val="16"/>
          <w:szCs w:val="16"/>
        </w:rPr>
        <w:t xml:space="preserve"> о каждом таком случае составлять особый акт с представлением копии такового в РКИ. Вносимые заказчиком в проект изменения должны включаться лишь в дополнительную оплату.</w:t>
      </w:r>
    </w:p>
    <w:p w14:paraId="7B2ECE8B"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Обязать НКПС и ВСНХ СССР в будущем решительно отказаться от излишней роскоши в оборудовании и отделке, ненужной, излишней просторности служебных помещений, стремясь к всемерному упрощению конструкции и отделки коммерческих судов. То же самое предложить и Наркомвоенмору в отношении отделки военных судов.</w:t>
      </w:r>
    </w:p>
    <w:p w14:paraId="4DB6980A"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Равным образом необходимо, чтобы в договоре между ВСНХ и НКПС при заказе судов, а также между ВСНХ и Наркомвоенмором, </w:t>
      </w:r>
      <w:proofErr w:type="spellStart"/>
      <w:r w:rsidRPr="00A259BD">
        <w:rPr>
          <w:rFonts w:ascii="Times New Roman" w:hAnsi="Times New Roman"/>
          <w:color w:val="000000" w:themeColor="text1"/>
          <w:sz w:val="16"/>
          <w:szCs w:val="16"/>
        </w:rPr>
        <w:t>Судотрест</w:t>
      </w:r>
      <w:proofErr w:type="spellEnd"/>
      <w:r w:rsidRPr="00A259BD">
        <w:rPr>
          <w:rFonts w:ascii="Times New Roman" w:hAnsi="Times New Roman"/>
          <w:color w:val="000000" w:themeColor="text1"/>
          <w:sz w:val="16"/>
          <w:szCs w:val="16"/>
        </w:rPr>
        <w:t xml:space="preserve"> был освобожден от снабжения новых судов мелким хозяйственным инвентарем.</w:t>
      </w:r>
    </w:p>
    <w:p w14:paraId="70F3A70C"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Предложить ВСНХ и НКПС пересмотреть сеть технических советов, связанных с судостроением, с тем, чтобы устранить дублирование работ, связанное с рассмотрением вопросов в различных советах порой одними и теми же лицами.</w:t>
      </w:r>
    </w:p>
    <w:p w14:paraId="4E5C7B62"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Ввиду явного отставания на заводах Ленинградского </w:t>
      </w:r>
      <w:proofErr w:type="spellStart"/>
      <w:r w:rsidRPr="00A259BD">
        <w:rPr>
          <w:rFonts w:ascii="Times New Roman" w:hAnsi="Times New Roman"/>
          <w:color w:val="000000" w:themeColor="text1"/>
          <w:sz w:val="16"/>
          <w:szCs w:val="16"/>
        </w:rPr>
        <w:t>Судотреста</w:t>
      </w:r>
      <w:proofErr w:type="spellEnd"/>
      <w:r w:rsidRPr="00A259BD">
        <w:rPr>
          <w:rFonts w:ascii="Times New Roman" w:hAnsi="Times New Roman"/>
          <w:color w:val="000000" w:themeColor="text1"/>
          <w:sz w:val="16"/>
          <w:szCs w:val="16"/>
        </w:rPr>
        <w:t xml:space="preserve"> производительности труда от роста зарплаты, признать необходимым:</w:t>
      </w:r>
    </w:p>
    <w:p w14:paraId="4CF63A8A"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принять срочные меры к распространению сдельной системы оплаты труда и к переводу на эту систему в первую очередь повременно оплачиваемых рабочих. В соответствии с общей рационализацией производства, пересмотреть существующие сдельные расценки на основе улучшенных методов технического нормирования и уплотнения рабочего дня, добившись по новому судостроению к концу пятилетия выпуска на всех корпусных рабочих по 10 тонн и 4 тонны по механическим мастерским на одного рабочего, против существующих 3,21 по корпусам и 1,27 по механизмам; в то же время принять меры к всемерному оздоровлению условий труда рабочих;</w:t>
      </w:r>
    </w:p>
    <w:p w14:paraId="1D30951B"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ВСНХ. СССР и </w:t>
      </w:r>
      <w:proofErr w:type="spellStart"/>
      <w:r w:rsidRPr="00A259BD">
        <w:rPr>
          <w:rFonts w:ascii="Times New Roman" w:hAnsi="Times New Roman"/>
          <w:color w:val="000000" w:themeColor="text1"/>
          <w:sz w:val="16"/>
          <w:szCs w:val="16"/>
        </w:rPr>
        <w:t>Наркомтруду</w:t>
      </w:r>
      <w:proofErr w:type="spellEnd"/>
      <w:r w:rsidRPr="00A259BD">
        <w:rPr>
          <w:rFonts w:ascii="Times New Roman" w:hAnsi="Times New Roman"/>
          <w:color w:val="000000" w:themeColor="text1"/>
          <w:sz w:val="16"/>
          <w:szCs w:val="16"/>
        </w:rPr>
        <w:t xml:space="preserve"> совместно с ВЦСПС согласовать и издать в кратчайший срок постановление о системе поощрения рабочих и специалистов за снижение накладных расходов, сокращения простоев оборудования, увеличения выпуска продукции, уменьшения брака, отходов и т. д.;</w:t>
      </w:r>
    </w:p>
    <w:p w14:paraId="6BD4DF88"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поручить </w:t>
      </w:r>
      <w:proofErr w:type="spellStart"/>
      <w:r w:rsidRPr="00A259BD">
        <w:rPr>
          <w:rFonts w:ascii="Times New Roman" w:hAnsi="Times New Roman"/>
          <w:color w:val="000000" w:themeColor="text1"/>
          <w:sz w:val="16"/>
          <w:szCs w:val="16"/>
        </w:rPr>
        <w:t>НКТруду</w:t>
      </w:r>
      <w:proofErr w:type="spellEnd"/>
      <w:r w:rsidRPr="00A259BD">
        <w:rPr>
          <w:rFonts w:ascii="Times New Roman" w:hAnsi="Times New Roman"/>
          <w:color w:val="000000" w:themeColor="text1"/>
          <w:sz w:val="16"/>
          <w:szCs w:val="16"/>
        </w:rPr>
        <w:t xml:space="preserve"> СССР и ЦК ВСРМ совместно с ВСНХ СССР разработать вопрос о подборе необходимой квалифицированной рабочей силы и технического персонала для Ленинградского </w:t>
      </w:r>
      <w:proofErr w:type="spellStart"/>
      <w:r w:rsidRPr="00A259BD">
        <w:rPr>
          <w:rFonts w:ascii="Times New Roman" w:hAnsi="Times New Roman"/>
          <w:color w:val="000000" w:themeColor="text1"/>
          <w:sz w:val="16"/>
          <w:szCs w:val="16"/>
        </w:rPr>
        <w:t>Судотреста</w:t>
      </w:r>
      <w:proofErr w:type="spellEnd"/>
      <w:r w:rsidRPr="00A259BD">
        <w:rPr>
          <w:rFonts w:ascii="Times New Roman" w:hAnsi="Times New Roman"/>
          <w:color w:val="000000" w:themeColor="text1"/>
          <w:sz w:val="16"/>
          <w:szCs w:val="16"/>
        </w:rPr>
        <w:t>;</w:t>
      </w:r>
    </w:p>
    <w:p w14:paraId="6090637C"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им же урегулировать вопрос о отпусками рабочих на летний период, приняв во внимание, что в летние месяцы по климатическим условиям на Ленинградских судостроительных заводах должна быть достигнута максимальная производительность;</w:t>
      </w:r>
    </w:p>
    <w:p w14:paraId="1E456849"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 обратить внимание ЦК ВСРМ на необходимость принятия решительных мер к поддержке </w:t>
      </w:r>
      <w:proofErr w:type="spellStart"/>
      <w:r w:rsidRPr="00A259BD">
        <w:rPr>
          <w:rFonts w:ascii="Times New Roman" w:hAnsi="Times New Roman"/>
          <w:color w:val="000000" w:themeColor="text1"/>
          <w:sz w:val="16"/>
          <w:szCs w:val="16"/>
        </w:rPr>
        <w:t>хозорганизаций</w:t>
      </w:r>
      <w:proofErr w:type="spellEnd"/>
      <w:r w:rsidRPr="00A259BD">
        <w:rPr>
          <w:rFonts w:ascii="Times New Roman" w:hAnsi="Times New Roman"/>
          <w:color w:val="000000" w:themeColor="text1"/>
          <w:sz w:val="16"/>
          <w:szCs w:val="16"/>
        </w:rPr>
        <w:t xml:space="preserve"> в вопросах упорядочения трудовой дисциплины на заводах Ленинградского </w:t>
      </w:r>
      <w:proofErr w:type="spellStart"/>
      <w:r w:rsidRPr="00A259BD">
        <w:rPr>
          <w:rFonts w:ascii="Times New Roman" w:hAnsi="Times New Roman"/>
          <w:color w:val="000000" w:themeColor="text1"/>
          <w:sz w:val="16"/>
          <w:szCs w:val="16"/>
        </w:rPr>
        <w:t>Судотреста</w:t>
      </w:r>
      <w:proofErr w:type="spellEnd"/>
      <w:r w:rsidRPr="00A259BD">
        <w:rPr>
          <w:rFonts w:ascii="Times New Roman" w:hAnsi="Times New Roman"/>
          <w:color w:val="000000" w:themeColor="text1"/>
          <w:sz w:val="16"/>
          <w:szCs w:val="16"/>
        </w:rPr>
        <w:t xml:space="preserve"> и всемерного поднятия производительности труда;</w:t>
      </w:r>
    </w:p>
    <w:p w14:paraId="67BE82FF"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 в целях установления более единообразных условий труда и оплаты для сотрудников одних и тех же категорий и ослабления тем самым утечки конструкторских сил с производства в планирующие и регулирующие органы, поручить </w:t>
      </w:r>
      <w:proofErr w:type="spellStart"/>
      <w:r w:rsidRPr="00A259BD">
        <w:rPr>
          <w:rFonts w:ascii="Times New Roman" w:hAnsi="Times New Roman"/>
          <w:color w:val="000000" w:themeColor="text1"/>
          <w:sz w:val="16"/>
          <w:szCs w:val="16"/>
        </w:rPr>
        <w:t>НКТруду</w:t>
      </w:r>
      <w:proofErr w:type="spellEnd"/>
      <w:r w:rsidRPr="00A259BD">
        <w:rPr>
          <w:rFonts w:ascii="Times New Roman" w:hAnsi="Times New Roman"/>
          <w:color w:val="000000" w:themeColor="text1"/>
          <w:sz w:val="16"/>
          <w:szCs w:val="16"/>
        </w:rPr>
        <w:t xml:space="preserve"> СССР и ВСНХ СССР по согласованию с ВЦСПС обсудить в недельный срок вопрос о целесообразности введения во всех технических бюро заводов, трестов и </w:t>
      </w:r>
      <w:proofErr w:type="spellStart"/>
      <w:r w:rsidRPr="00A259BD">
        <w:rPr>
          <w:rFonts w:ascii="Times New Roman" w:hAnsi="Times New Roman"/>
          <w:color w:val="000000" w:themeColor="text1"/>
          <w:sz w:val="16"/>
          <w:szCs w:val="16"/>
        </w:rPr>
        <w:t>судопроекта</w:t>
      </w:r>
      <w:proofErr w:type="spellEnd"/>
      <w:r w:rsidRPr="00A259BD">
        <w:rPr>
          <w:rFonts w:ascii="Times New Roman" w:hAnsi="Times New Roman"/>
          <w:color w:val="000000" w:themeColor="text1"/>
          <w:sz w:val="16"/>
          <w:szCs w:val="16"/>
        </w:rPr>
        <w:t xml:space="preserve"> единообразного рабочего дня, а равно и методов оплаты труда.</w:t>
      </w:r>
    </w:p>
    <w:p w14:paraId="12B45F9C"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В целях всемерного сокращения, упрощения и упорядочения статистической, бухгалтерской и производственной отчетности по судостроительным заводам, предложить НК РКИ СССР, совместно с ВСНХ, пересмотреть в 3</w:t>
      </w:r>
      <w:r w:rsidRPr="00A259BD">
        <w:rPr>
          <w:rFonts w:ascii="Times New Roman" w:hAnsi="Times New Roman"/>
          <w:color w:val="000000" w:themeColor="text1"/>
          <w:sz w:val="16"/>
          <w:szCs w:val="16"/>
        </w:rPr>
        <w:noBreakHyphen/>
        <w:t>х месячный срок объем требований, предъявляемый к заводам со стороны статистических и планово-регулирующих органов, а равно и формы первичной документации по учету и отчетности на предприятиях.</w:t>
      </w:r>
    </w:p>
    <w:p w14:paraId="2CC49786"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В целях установления нормальных условий работы Ленинградского </w:t>
      </w:r>
      <w:proofErr w:type="spellStart"/>
      <w:r w:rsidRPr="00A259BD">
        <w:rPr>
          <w:rFonts w:ascii="Times New Roman" w:hAnsi="Times New Roman"/>
          <w:color w:val="000000" w:themeColor="text1"/>
          <w:sz w:val="16"/>
          <w:szCs w:val="16"/>
        </w:rPr>
        <w:t>Судотреста</w:t>
      </w:r>
      <w:proofErr w:type="spellEnd"/>
      <w:r w:rsidRPr="00A259BD">
        <w:rPr>
          <w:rFonts w:ascii="Times New Roman" w:hAnsi="Times New Roman"/>
          <w:color w:val="000000" w:themeColor="text1"/>
          <w:sz w:val="16"/>
          <w:szCs w:val="16"/>
        </w:rPr>
        <w:t xml:space="preserve">, предложить ВСНХ и НК РКИ СССР дать указания о прекращении аппаратами указанных наркоматов производства обследований заводов и правления </w:t>
      </w:r>
      <w:proofErr w:type="spellStart"/>
      <w:r w:rsidRPr="00A259BD">
        <w:rPr>
          <w:rFonts w:ascii="Times New Roman" w:hAnsi="Times New Roman"/>
          <w:color w:val="000000" w:themeColor="text1"/>
          <w:sz w:val="16"/>
          <w:szCs w:val="16"/>
        </w:rPr>
        <w:t>Судотреста</w:t>
      </w:r>
      <w:proofErr w:type="spellEnd"/>
      <w:r w:rsidRPr="00A259BD">
        <w:rPr>
          <w:rFonts w:ascii="Times New Roman" w:hAnsi="Times New Roman"/>
          <w:color w:val="000000" w:themeColor="text1"/>
          <w:sz w:val="16"/>
          <w:szCs w:val="16"/>
        </w:rPr>
        <w:t xml:space="preserve"> в течение одного года.</w:t>
      </w:r>
    </w:p>
    <w:p w14:paraId="0CF5BDD5"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Обязать ВСНХ и НКПС не позднее 1.I.1930 г. представить в СТО доклад о мероприятиях, принятых во </w:t>
      </w:r>
      <w:proofErr w:type="spellStart"/>
      <w:r w:rsidRPr="00A259BD">
        <w:rPr>
          <w:rFonts w:ascii="Times New Roman" w:hAnsi="Times New Roman"/>
          <w:color w:val="000000" w:themeColor="text1"/>
          <w:sz w:val="16"/>
          <w:szCs w:val="16"/>
        </w:rPr>
        <w:t>исполненние</w:t>
      </w:r>
      <w:proofErr w:type="spellEnd"/>
      <w:r w:rsidRPr="00A259BD">
        <w:rPr>
          <w:rFonts w:ascii="Times New Roman" w:hAnsi="Times New Roman"/>
          <w:color w:val="000000" w:themeColor="text1"/>
          <w:sz w:val="16"/>
          <w:szCs w:val="16"/>
        </w:rPr>
        <w:t xml:space="preserve"> настоящего постановления ЦК ВКП(б).</w:t>
      </w:r>
    </w:p>
    <w:p w14:paraId="4A80592A" w14:textId="77777777" w:rsidR="00725630" w:rsidRPr="00A259BD" w:rsidRDefault="007256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Обязать ВСНХ СССР через год сделать доклад, а НК РКИ СССР содоклад об общем выполнении данного постановления ЦК ВКП(б) (18094).</w:t>
      </w:r>
    </w:p>
    <w:p w14:paraId="38E9705B" w14:textId="77777777" w:rsidR="00725630" w:rsidRPr="00A259BD" w:rsidRDefault="00725630" w:rsidP="009236E3">
      <w:pPr>
        <w:spacing w:after="0" w:line="240" w:lineRule="auto"/>
        <w:jc w:val="both"/>
        <w:rPr>
          <w:rFonts w:ascii="Times New Roman" w:hAnsi="Times New Roman"/>
          <w:color w:val="000000" w:themeColor="text1"/>
          <w:sz w:val="16"/>
          <w:szCs w:val="16"/>
        </w:rPr>
      </w:pPr>
    </w:p>
    <w:p w14:paraId="6E883390"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A2F19B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FA6BCD" w14:textId="77777777" w:rsidR="001F0E42" w:rsidRPr="00A259BD" w:rsidRDefault="001F0E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июля в 1929 году совершил первый полет прототип </w:t>
      </w:r>
      <w:proofErr w:type="spellStart"/>
      <w:r w:rsidRPr="00A259BD">
        <w:rPr>
          <w:rFonts w:ascii="Times New Roman" w:hAnsi="Times New Roman"/>
          <w:color w:val="000000" w:themeColor="text1"/>
          <w:sz w:val="16"/>
          <w:szCs w:val="16"/>
        </w:rPr>
        <w:t>cамой</w:t>
      </w:r>
      <w:proofErr w:type="spellEnd"/>
      <w:r w:rsidRPr="00A259BD">
        <w:rPr>
          <w:rFonts w:ascii="Times New Roman" w:hAnsi="Times New Roman"/>
          <w:color w:val="000000" w:themeColor="text1"/>
          <w:sz w:val="16"/>
          <w:szCs w:val="16"/>
        </w:rPr>
        <w:t xml:space="preserve"> большой летающей лодкой, построенной в период между двумя мировыми войнами –«Дорнье» «</w:t>
      </w:r>
      <w:proofErr w:type="spellStart"/>
      <w:r w:rsidRPr="00A259BD">
        <w:rPr>
          <w:rFonts w:ascii="Times New Roman" w:hAnsi="Times New Roman"/>
          <w:color w:val="000000" w:themeColor="text1"/>
          <w:sz w:val="16"/>
          <w:szCs w:val="16"/>
        </w:rPr>
        <w:t>Dо</w:t>
      </w:r>
      <w:proofErr w:type="spellEnd"/>
      <w:r w:rsidRPr="00A259BD">
        <w:rPr>
          <w:rFonts w:ascii="Times New Roman" w:hAnsi="Times New Roman"/>
          <w:color w:val="000000" w:themeColor="text1"/>
          <w:sz w:val="16"/>
          <w:szCs w:val="16"/>
        </w:rPr>
        <w:t xml:space="preserve">-Х». На то время это был самый большой самолет в мире, оснащенный двенадцатью двигателями (первоначально 525-сильными Сименс «Юпитер», затем 600-сильными </w:t>
      </w:r>
      <w:proofErr w:type="spellStart"/>
      <w:r w:rsidRPr="00A259BD">
        <w:rPr>
          <w:rFonts w:ascii="Times New Roman" w:hAnsi="Times New Roman"/>
          <w:color w:val="000000" w:themeColor="text1"/>
          <w:sz w:val="16"/>
          <w:szCs w:val="16"/>
        </w:rPr>
        <w:t>Кертисс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Конкерор</w:t>
      </w:r>
      <w:proofErr w:type="spellEnd"/>
      <w:r w:rsidRPr="00A259BD">
        <w:rPr>
          <w:rFonts w:ascii="Times New Roman" w:hAnsi="Times New Roman"/>
          <w:color w:val="000000" w:themeColor="text1"/>
          <w:sz w:val="16"/>
          <w:szCs w:val="16"/>
        </w:rPr>
        <w:t>») смонтированными тандемными парами на 48 -метровом крыле-моноплане. 21 октября 1929 г. «</w:t>
      </w:r>
      <w:proofErr w:type="spellStart"/>
      <w:r w:rsidRPr="00A259BD">
        <w:rPr>
          <w:rFonts w:ascii="Times New Roman" w:hAnsi="Times New Roman"/>
          <w:color w:val="000000" w:themeColor="text1"/>
          <w:sz w:val="16"/>
          <w:szCs w:val="16"/>
        </w:rPr>
        <w:t>Dо</w:t>
      </w:r>
      <w:proofErr w:type="spellEnd"/>
      <w:r w:rsidRPr="00A259BD">
        <w:rPr>
          <w:rFonts w:ascii="Times New Roman" w:hAnsi="Times New Roman"/>
          <w:color w:val="000000" w:themeColor="text1"/>
          <w:sz w:val="16"/>
          <w:szCs w:val="16"/>
        </w:rPr>
        <w:t>-Х», пилотируемый экипажем из 10 человек, взял на борт 159 пассажиров (из них 9 — безбилетники). Всего были построены три летающие лодки «</w:t>
      </w:r>
      <w:proofErr w:type="spellStart"/>
      <w:r w:rsidRPr="00A259BD">
        <w:rPr>
          <w:rFonts w:ascii="Times New Roman" w:hAnsi="Times New Roman"/>
          <w:color w:val="000000" w:themeColor="text1"/>
          <w:sz w:val="16"/>
          <w:szCs w:val="16"/>
        </w:rPr>
        <w:t>Dо</w:t>
      </w:r>
      <w:proofErr w:type="spellEnd"/>
      <w:r w:rsidRPr="00A259BD">
        <w:rPr>
          <w:rFonts w:ascii="Times New Roman" w:hAnsi="Times New Roman"/>
          <w:color w:val="000000" w:themeColor="text1"/>
          <w:sz w:val="16"/>
          <w:szCs w:val="16"/>
        </w:rPr>
        <w:t>-Х». Самым из</w:t>
      </w:r>
      <w:r w:rsidRPr="00A259BD">
        <w:rPr>
          <w:rFonts w:ascii="Times New Roman" w:hAnsi="Times New Roman"/>
          <w:color w:val="000000" w:themeColor="text1"/>
          <w:sz w:val="16"/>
          <w:szCs w:val="16"/>
        </w:rPr>
        <w:softHyphen/>
        <w:t xml:space="preserve">вестным полетом самолета этого типа считается перелет из Германии в Нью-Йорк, растянувшийся со 2 ноября 1930 г. по 27 августа 1931 г. из-за поломок фюзеляжа и крыла, многочисленных продолжительных остановок в самых разных местах, включая Амстердам, </w:t>
      </w:r>
      <w:proofErr w:type="spellStart"/>
      <w:r w:rsidRPr="00A259BD">
        <w:rPr>
          <w:rFonts w:ascii="Times New Roman" w:hAnsi="Times New Roman"/>
          <w:color w:val="000000" w:themeColor="text1"/>
          <w:sz w:val="16"/>
          <w:szCs w:val="16"/>
        </w:rPr>
        <w:t>Калшот</w:t>
      </w:r>
      <w:proofErr w:type="spellEnd"/>
      <w:r w:rsidRPr="00A259BD">
        <w:rPr>
          <w:rFonts w:ascii="Times New Roman" w:hAnsi="Times New Roman"/>
          <w:color w:val="000000" w:themeColor="text1"/>
          <w:sz w:val="16"/>
          <w:szCs w:val="16"/>
        </w:rPr>
        <w:t>, Лиссабон, Канарские острова, Португальскую Гвинею и Рио-де-Жанейро. С коммерческой точки зрения «</w:t>
      </w:r>
      <w:proofErr w:type="spellStart"/>
      <w:r w:rsidRPr="00A259BD">
        <w:rPr>
          <w:rFonts w:ascii="Times New Roman" w:hAnsi="Times New Roman"/>
          <w:color w:val="000000" w:themeColor="text1"/>
          <w:sz w:val="16"/>
          <w:szCs w:val="16"/>
        </w:rPr>
        <w:t>Dо</w:t>
      </w:r>
      <w:proofErr w:type="spellEnd"/>
      <w:r w:rsidRPr="00A259BD">
        <w:rPr>
          <w:rFonts w:ascii="Times New Roman" w:hAnsi="Times New Roman"/>
          <w:color w:val="000000" w:themeColor="text1"/>
          <w:sz w:val="16"/>
          <w:szCs w:val="16"/>
        </w:rPr>
        <w:t>-Х» был абсолютно бесполезной и бесперспективной машиной, и два образца, проданные итальянской авиакомпании, так никогда ею и не эксплуатировались. «</w:t>
      </w:r>
      <w:proofErr w:type="spellStart"/>
      <w:r w:rsidRPr="00A259BD">
        <w:rPr>
          <w:rFonts w:ascii="Times New Roman" w:hAnsi="Times New Roman"/>
          <w:color w:val="000000" w:themeColor="text1"/>
          <w:sz w:val="16"/>
          <w:szCs w:val="16"/>
        </w:rPr>
        <w:t>Dо</w:t>
      </w:r>
      <w:proofErr w:type="spellEnd"/>
      <w:r w:rsidRPr="00A259BD">
        <w:rPr>
          <w:rFonts w:ascii="Times New Roman" w:hAnsi="Times New Roman"/>
          <w:color w:val="000000" w:themeColor="text1"/>
          <w:sz w:val="16"/>
          <w:szCs w:val="16"/>
        </w:rPr>
        <w:t>-Х» имел довольно приличную на то время скорость — 216 км/ч, практический потолок — 500 метров и с полной нагрузкой весил 56000 килограммов (14963).</w:t>
      </w:r>
    </w:p>
    <w:p w14:paraId="51068E15" w14:textId="77777777" w:rsidR="001F0E42" w:rsidRPr="00A259BD" w:rsidRDefault="001F0E42" w:rsidP="009236E3">
      <w:pPr>
        <w:spacing w:after="0" w:line="240" w:lineRule="auto"/>
        <w:jc w:val="both"/>
        <w:rPr>
          <w:rFonts w:ascii="Times New Roman" w:hAnsi="Times New Roman"/>
          <w:color w:val="000000" w:themeColor="text1"/>
          <w:sz w:val="16"/>
          <w:szCs w:val="16"/>
        </w:rPr>
      </w:pPr>
    </w:p>
    <w:p w14:paraId="703CA7D2"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июня 1929 года самолет Do-X в течение часа пробыл в воздухе, неся на борту 169 че</w:t>
      </w:r>
      <w:r w:rsidRPr="00A259BD">
        <w:rPr>
          <w:rFonts w:ascii="Times New Roman" w:hAnsi="Times New Roman"/>
          <w:color w:val="000000" w:themeColor="text1"/>
          <w:sz w:val="16"/>
          <w:szCs w:val="16"/>
        </w:rPr>
        <w:softHyphen/>
        <w:t>ловек.</w:t>
      </w:r>
    </w:p>
    <w:p w14:paraId="61FF163A"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Do-X должна была перевозить 66 пассажиров с багажом и почту из Европы в Америку или 100 человек с грузом на ближних трассах. Гигантский трехпалубный высокоплан имел двенадцать 525-сильных звездо</w:t>
      </w:r>
      <w:r w:rsidRPr="00A259BD">
        <w:rPr>
          <w:rFonts w:ascii="Times New Roman" w:hAnsi="Times New Roman"/>
          <w:color w:val="000000" w:themeColor="text1"/>
          <w:sz w:val="16"/>
          <w:szCs w:val="16"/>
        </w:rPr>
        <w:softHyphen/>
        <w:t>образных моторов Сименс «Юпитер», установленных над крылом в шести связанных еще одним небольшим кры</w:t>
      </w:r>
      <w:r w:rsidRPr="00A259BD">
        <w:rPr>
          <w:rFonts w:ascii="Times New Roman" w:hAnsi="Times New Roman"/>
          <w:color w:val="000000" w:themeColor="text1"/>
          <w:sz w:val="16"/>
          <w:szCs w:val="16"/>
        </w:rPr>
        <w:softHyphen/>
        <w:t>лом установках</w:t>
      </w:r>
    </w:p>
    <w:p w14:paraId="1204A17D"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 выявили две про</w:t>
      </w:r>
      <w:r w:rsidRPr="00A259BD">
        <w:rPr>
          <w:rFonts w:ascii="Times New Roman" w:hAnsi="Times New Roman"/>
          <w:color w:val="000000" w:themeColor="text1"/>
          <w:sz w:val="16"/>
          <w:szCs w:val="16"/>
        </w:rPr>
        <w:softHyphen/>
        <w:t>блемы, связанные с силовой установкой. Первая заключалась в том, что задние моторы обдувались воздухом, уже перегретым передними, не охлаждались, и их мощность можно было держать не выше 50% от номинала. Вторая выте</w:t>
      </w:r>
      <w:r w:rsidRPr="00A259BD">
        <w:rPr>
          <w:rFonts w:ascii="Times New Roman" w:hAnsi="Times New Roman"/>
          <w:color w:val="000000" w:themeColor="text1"/>
          <w:sz w:val="16"/>
          <w:szCs w:val="16"/>
        </w:rPr>
        <w:softHyphen/>
        <w:t>кала из первой — самолет с та</w:t>
      </w:r>
      <w:r w:rsidRPr="00A259BD">
        <w:rPr>
          <w:rFonts w:ascii="Times New Roman" w:hAnsi="Times New Roman"/>
          <w:color w:val="000000" w:themeColor="text1"/>
          <w:sz w:val="16"/>
          <w:szCs w:val="16"/>
        </w:rPr>
        <w:softHyphen/>
        <w:t>кой суммарной мощностью мог устойчиво лететь на высоте не более 8-10 м, пока сохранялся экранный эффект от близости воды (22805).</w:t>
      </w:r>
    </w:p>
    <w:p w14:paraId="56B3F9E5" w14:textId="77777777" w:rsidR="00923424" w:rsidRPr="00A259BD" w:rsidRDefault="00923424" w:rsidP="009236E3">
      <w:pPr>
        <w:spacing w:after="0" w:line="240" w:lineRule="auto"/>
        <w:jc w:val="both"/>
        <w:rPr>
          <w:rFonts w:ascii="Times New Roman" w:hAnsi="Times New Roman"/>
          <w:color w:val="000000" w:themeColor="text1"/>
          <w:sz w:val="16"/>
          <w:szCs w:val="16"/>
        </w:rPr>
      </w:pPr>
    </w:p>
    <w:p w14:paraId="0385AA27" w14:textId="77777777" w:rsidR="001F0E42" w:rsidRPr="00A259BD" w:rsidRDefault="001F0E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июля в 1929 году первый полет легкого пассажирского самолета </w:t>
      </w:r>
      <w:hyperlink r:id="rId94" w:tgtFrame="_blank" w:history="1">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Hopfner</w:t>
        </w:r>
        <w:proofErr w:type="spellEnd"/>
        <w:r w:rsidRPr="00A259BD">
          <w:rPr>
            <w:rFonts w:ascii="Times New Roman" w:hAnsi="Times New Roman"/>
            <w:color w:val="000000" w:themeColor="text1"/>
            <w:sz w:val="16"/>
            <w:szCs w:val="16"/>
          </w:rPr>
          <w:t xml:space="preserve">» «HV.4/28» </w:t>
        </w:r>
      </w:hyperlink>
      <w:r w:rsidRPr="00A259BD">
        <w:rPr>
          <w:rFonts w:ascii="Times New Roman" w:hAnsi="Times New Roman"/>
          <w:color w:val="000000" w:themeColor="text1"/>
          <w:sz w:val="16"/>
          <w:szCs w:val="16"/>
        </w:rPr>
        <w:t>(бортовой номер A-49). В 1935 году самолет получил регистрационный номер OE-DRH. В следующем году самолет был модернизирован в «HV.829GR». Самолет сохранил силовую установку от предшественников - один двигатель «</w:t>
      </w:r>
      <w:proofErr w:type="spellStart"/>
      <w:r w:rsidRPr="00A259BD">
        <w:rPr>
          <w:rFonts w:ascii="Times New Roman" w:hAnsi="Times New Roman"/>
          <w:color w:val="000000" w:themeColor="text1"/>
          <w:sz w:val="16"/>
          <w:szCs w:val="16"/>
        </w:rPr>
        <w:t>Hiero</w:t>
      </w:r>
      <w:proofErr w:type="spellEnd"/>
      <w:r w:rsidRPr="00A259BD">
        <w:rPr>
          <w:rFonts w:ascii="Times New Roman" w:hAnsi="Times New Roman"/>
          <w:color w:val="000000" w:themeColor="text1"/>
          <w:sz w:val="16"/>
          <w:szCs w:val="16"/>
        </w:rPr>
        <w:t>» мощностью 230 л.с. Пассажировместимость самолета так же не изменилась - один пассажир располагался возле пилота, а еще три находились в салоне (14963).</w:t>
      </w:r>
    </w:p>
    <w:p w14:paraId="39DD4A93" w14:textId="77777777" w:rsidR="001F0E42" w:rsidRPr="00A259BD" w:rsidRDefault="001F0E42" w:rsidP="009236E3">
      <w:pPr>
        <w:spacing w:after="0" w:line="240" w:lineRule="auto"/>
        <w:jc w:val="both"/>
        <w:rPr>
          <w:rFonts w:ascii="Times New Roman" w:hAnsi="Times New Roman"/>
          <w:color w:val="000000" w:themeColor="text1"/>
          <w:sz w:val="16"/>
          <w:szCs w:val="16"/>
        </w:rPr>
      </w:pPr>
    </w:p>
    <w:p w14:paraId="7982A9EA" w14:textId="77777777" w:rsidR="00C5553D" w:rsidRPr="00A259BD" w:rsidRDefault="00C5553D"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25 июля 1929 г. в Германии заводом Юнкерса в Дессау на реке Эльбе вблизи Дессау при старте с ракетными ускорителями две ракеты взорвались. Употреблялись </w:t>
      </w:r>
      <w:proofErr w:type="spellStart"/>
      <w:r w:rsidRPr="00A259BD">
        <w:rPr>
          <w:rFonts w:ascii="Times New Roman" w:eastAsia="Times New Roman" w:hAnsi="Times New Roman"/>
          <w:color w:val="000000" w:themeColor="text1"/>
          <w:sz w:val="16"/>
          <w:szCs w:val="16"/>
          <w:lang w:eastAsia="ru-RU"/>
        </w:rPr>
        <w:t>эйсфельдовские</w:t>
      </w:r>
      <w:proofErr w:type="spellEnd"/>
      <w:r w:rsidRPr="00A259BD">
        <w:rPr>
          <w:rFonts w:ascii="Times New Roman" w:eastAsia="Times New Roman" w:hAnsi="Times New Roman"/>
          <w:color w:val="000000" w:themeColor="text1"/>
          <w:sz w:val="16"/>
          <w:szCs w:val="16"/>
          <w:lang w:eastAsia="ru-RU"/>
        </w:rPr>
        <w:t xml:space="preserve"> ракеты в медных гильзах, калибр которых в сообщениях не указывается. Равным образом сохраняются в секрете и более подробные сведения об использованном ракетном приспособлении. Лишь 8 августа старт удалось совершить известному лётчику инженеру </w:t>
      </w:r>
      <w:proofErr w:type="spellStart"/>
      <w:r w:rsidRPr="00A259BD">
        <w:rPr>
          <w:rFonts w:ascii="Times New Roman" w:eastAsia="Times New Roman" w:hAnsi="Times New Roman"/>
          <w:color w:val="000000" w:themeColor="text1"/>
          <w:sz w:val="16"/>
          <w:szCs w:val="16"/>
          <w:lang w:eastAsia="ru-RU"/>
        </w:rPr>
        <w:t>Шинцингеру</w:t>
      </w:r>
      <w:proofErr w:type="spellEnd"/>
      <w:r w:rsidRPr="00A259BD">
        <w:rPr>
          <w:rFonts w:ascii="Times New Roman" w:eastAsia="Times New Roman" w:hAnsi="Times New Roman"/>
          <w:color w:val="000000" w:themeColor="text1"/>
          <w:sz w:val="16"/>
          <w:szCs w:val="16"/>
          <w:lang w:eastAsia="ru-RU"/>
        </w:rPr>
        <w:t xml:space="preserve"> с 6 ракетами, зажигаемыми попарно, быстро, одна пара вслед за другой. Опыт произвёл настолько благоприятное впечатление, что в результате его явилось убеждение о возможности подъёма с поверхности воды на воздух груза в 5000 кг, чего другим путем нельзя осуществить. С тех пор завод Юнкерса постарался вести дальнейшие работы в этом направлении </w:t>
      </w:r>
      <w:r w:rsidRPr="00A259BD">
        <w:rPr>
          <w:rFonts w:ascii="Times New Roman" w:eastAsia="Times New Roman" w:hAnsi="Times New Roman"/>
          <w:color w:val="000000" w:themeColor="text1"/>
          <w:sz w:val="16"/>
          <w:szCs w:val="16"/>
          <w:lang w:eastAsia="ru-RU"/>
        </w:rPr>
        <w:lastRenderedPageBreak/>
        <w:t>в ещё большей тайне, благодаря чему о результатах их почти ничего неизвестно». Из-за экономического кризиса, обрушившегося на страны Запада, Юнкерс вскоре свернул свою исследовательскую программу (17489).</w:t>
      </w:r>
    </w:p>
    <w:p w14:paraId="24BD5EE9" w14:textId="77777777" w:rsidR="00C5553D" w:rsidRPr="00A259BD" w:rsidRDefault="00C5553D" w:rsidP="009236E3">
      <w:pPr>
        <w:spacing w:after="0" w:line="240" w:lineRule="auto"/>
        <w:jc w:val="both"/>
        <w:rPr>
          <w:rFonts w:ascii="Times New Roman" w:eastAsia="Times New Roman" w:hAnsi="Times New Roman"/>
          <w:color w:val="000000" w:themeColor="text1"/>
          <w:sz w:val="16"/>
          <w:szCs w:val="16"/>
          <w:lang w:eastAsia="ru-RU"/>
        </w:rPr>
      </w:pPr>
    </w:p>
    <w:p w14:paraId="2748557E" w14:textId="77777777" w:rsidR="00923424" w:rsidRPr="00A259BD" w:rsidRDefault="009234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июля 1929 - Джонни </w:t>
      </w:r>
      <w:proofErr w:type="spellStart"/>
      <w:r w:rsidRPr="00A259BD">
        <w:rPr>
          <w:rFonts w:ascii="Times New Roman" w:hAnsi="Times New Roman"/>
          <w:color w:val="000000" w:themeColor="text1"/>
          <w:sz w:val="16"/>
          <w:szCs w:val="16"/>
        </w:rPr>
        <w:t>Бертин</w:t>
      </w:r>
      <w:proofErr w:type="spellEnd"/>
      <w:r w:rsidRPr="00A259BD">
        <w:rPr>
          <w:rFonts w:ascii="Times New Roman" w:hAnsi="Times New Roman"/>
          <w:color w:val="000000" w:themeColor="text1"/>
          <w:sz w:val="16"/>
          <w:szCs w:val="16"/>
        </w:rPr>
        <w:t xml:space="preserve"> устанавливает новый мировой рекорд высоты 26 531 футов для самолетов с 1-тонной нагрузкой. Полет </w:t>
      </w:r>
      <w:proofErr w:type="spellStart"/>
      <w:r w:rsidRPr="00A259BD">
        <w:rPr>
          <w:rFonts w:ascii="Times New Roman" w:hAnsi="Times New Roman"/>
          <w:color w:val="000000" w:themeColor="text1"/>
          <w:sz w:val="16"/>
          <w:szCs w:val="16"/>
        </w:rPr>
        <w:t>Бертина</w:t>
      </w:r>
      <w:proofErr w:type="spellEnd"/>
      <w:r w:rsidRPr="00A259BD">
        <w:rPr>
          <w:rFonts w:ascii="Times New Roman" w:hAnsi="Times New Roman"/>
          <w:color w:val="000000" w:themeColor="text1"/>
          <w:sz w:val="16"/>
          <w:szCs w:val="16"/>
        </w:rPr>
        <w:t xml:space="preserve"> также доказывает, что на больших высотах расход топлива значительно падает, что делает высотный полет более экономичным и выгодным (22418).</w:t>
      </w:r>
    </w:p>
    <w:p w14:paraId="1D04817E" w14:textId="77777777" w:rsidR="00923424" w:rsidRPr="00A259BD" w:rsidRDefault="00923424" w:rsidP="009236E3">
      <w:pPr>
        <w:spacing w:after="0" w:line="240" w:lineRule="auto"/>
        <w:jc w:val="both"/>
        <w:rPr>
          <w:rFonts w:ascii="Times New Roman" w:hAnsi="Times New Roman"/>
          <w:color w:val="000000" w:themeColor="text1"/>
          <w:sz w:val="16"/>
          <w:szCs w:val="16"/>
        </w:rPr>
      </w:pPr>
    </w:p>
    <w:p w14:paraId="0FEECF83" w14:textId="77777777" w:rsidR="001F0E42" w:rsidRPr="00A259BD" w:rsidRDefault="001F0E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июля в 1929 году папа Пий XI после подписания </w:t>
      </w:r>
      <w:proofErr w:type="spellStart"/>
      <w:r w:rsidRPr="00A259BD">
        <w:rPr>
          <w:rFonts w:ascii="Times New Roman" w:hAnsi="Times New Roman"/>
          <w:color w:val="000000" w:themeColor="text1"/>
          <w:sz w:val="16"/>
          <w:szCs w:val="16"/>
        </w:rPr>
        <w:t>Латеранских</w:t>
      </w:r>
      <w:proofErr w:type="spellEnd"/>
      <w:r w:rsidRPr="00A259BD">
        <w:rPr>
          <w:rFonts w:ascii="Times New Roman" w:hAnsi="Times New Roman"/>
          <w:color w:val="000000" w:themeColor="text1"/>
          <w:sz w:val="16"/>
          <w:szCs w:val="16"/>
        </w:rPr>
        <w:t xml:space="preserve"> соглашений между Ватиканом и Италией перестает быть "добровольным узником" и покидает Ватикан, нарушая тем самым традицию, сохранявшуюся с 1870 (14963).</w:t>
      </w:r>
    </w:p>
    <w:p w14:paraId="579B9746" w14:textId="77777777" w:rsidR="001F0E42" w:rsidRPr="00A259BD" w:rsidRDefault="001F0E42" w:rsidP="009236E3">
      <w:pPr>
        <w:spacing w:after="0" w:line="240" w:lineRule="auto"/>
        <w:jc w:val="both"/>
        <w:rPr>
          <w:rFonts w:ascii="Times New Roman" w:hAnsi="Times New Roman"/>
          <w:color w:val="000000" w:themeColor="text1"/>
          <w:sz w:val="16"/>
          <w:szCs w:val="16"/>
        </w:rPr>
      </w:pPr>
    </w:p>
    <w:p w14:paraId="07074B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июля 1929 Папа Пий XI после подписания </w:t>
      </w:r>
      <w:proofErr w:type="spellStart"/>
      <w:r w:rsidRPr="00A259BD">
        <w:rPr>
          <w:rFonts w:ascii="Times New Roman" w:hAnsi="Times New Roman"/>
          <w:color w:val="000000" w:themeColor="text1"/>
          <w:sz w:val="16"/>
          <w:szCs w:val="16"/>
        </w:rPr>
        <w:t>Латеранских</w:t>
      </w:r>
      <w:proofErr w:type="spellEnd"/>
      <w:r w:rsidRPr="00A259BD">
        <w:rPr>
          <w:rFonts w:ascii="Times New Roman" w:hAnsi="Times New Roman"/>
          <w:color w:val="000000" w:themeColor="text1"/>
          <w:sz w:val="16"/>
          <w:szCs w:val="16"/>
        </w:rPr>
        <w:t xml:space="preserve"> соглашений с Италией перестает быть “добровольным узником” и покидает Ватикан, нарушив традицию, начавшуюся в 1870 (3907,156).</w:t>
      </w:r>
    </w:p>
    <w:p w14:paraId="3DEBE7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0AC51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июля 1929 папа римский Пий XI отказался от статуса “добровольного узника” и покинул Ватикан, нарушив тем самым традицию, существовавшую с 1870 года (4962).</w:t>
      </w:r>
    </w:p>
    <w:p w14:paraId="1E38037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EA76C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EDA814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9DB5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июля 1929 ГК Ришар и Пом. ГК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Хомский письмом N 12/157c направили в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аэродинамический расчет МП-1 на основании продувок в ЦАГИ и как дополнение к эскизному проекту МП-1 (2341,101).</w:t>
      </w:r>
    </w:p>
    <w:p w14:paraId="703CE8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A2E1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июля 1929 г. ГК и Ришар и </w:t>
      </w:r>
      <w:proofErr w:type="spellStart"/>
      <w:r w:rsidRPr="00A259BD">
        <w:rPr>
          <w:rFonts w:ascii="Times New Roman" w:hAnsi="Times New Roman"/>
          <w:color w:val="000000" w:themeColor="text1"/>
          <w:sz w:val="16"/>
          <w:szCs w:val="16"/>
        </w:rPr>
        <w:t>Помглавконструктора</w:t>
      </w:r>
      <w:proofErr w:type="spellEnd"/>
      <w:r w:rsidRPr="00A259BD">
        <w:rPr>
          <w:rFonts w:ascii="Times New Roman" w:hAnsi="Times New Roman"/>
          <w:color w:val="000000" w:themeColor="text1"/>
          <w:sz w:val="16"/>
          <w:szCs w:val="16"/>
        </w:rPr>
        <w:t xml:space="preserve">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и Хомский писали письмо № 12/157с в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w:t>
      </w:r>
    </w:p>
    <w:p w14:paraId="62AC3B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Аэродинамический расчет МП1</w:t>
      </w:r>
    </w:p>
    <w:p w14:paraId="0463FC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Как нами уже сообщалось в письме за № 12/151с от 23 июля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при этом препровождается аэродинамический расчет самолета МП-1 на основании продувок лаборатории ЦАГИ.</w:t>
      </w:r>
    </w:p>
    <w:p w14:paraId="0AD04E9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w:t>
      </w:r>
    </w:p>
    <w:p w14:paraId="74637A3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экз. Дополнение к эскизному проекту МП-1 (2341,101).</w:t>
      </w:r>
    </w:p>
    <w:p w14:paraId="2754E39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AB7C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июля 1929 г. ГК и Ришар и </w:t>
      </w:r>
      <w:proofErr w:type="spellStart"/>
      <w:r w:rsidRPr="00A259BD">
        <w:rPr>
          <w:rFonts w:ascii="Times New Roman" w:hAnsi="Times New Roman"/>
          <w:color w:val="000000" w:themeColor="text1"/>
          <w:sz w:val="16"/>
          <w:szCs w:val="16"/>
        </w:rPr>
        <w:t>Помглавконструктора</w:t>
      </w:r>
      <w:proofErr w:type="spellEnd"/>
      <w:r w:rsidRPr="00A259BD">
        <w:rPr>
          <w:rFonts w:ascii="Times New Roman" w:hAnsi="Times New Roman"/>
          <w:color w:val="000000" w:themeColor="text1"/>
          <w:sz w:val="16"/>
          <w:szCs w:val="16"/>
        </w:rPr>
        <w:t xml:space="preserve">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и Хомский писали письмо № 12/158с в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в сопровождение:</w:t>
      </w:r>
    </w:p>
    <w:p w14:paraId="13DFD5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Основных данных самолета МП-1</w:t>
      </w:r>
    </w:p>
    <w:p w14:paraId="0CFE76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Описания конструкции самолета МП-1 (2341).</w:t>
      </w:r>
    </w:p>
    <w:p w14:paraId="190F07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A259BD">
        <w:rPr>
          <w:rFonts w:ascii="Times New Roman" w:hAnsi="Times New Roman"/>
          <w:smallCaps/>
          <w:color w:val="000000" w:themeColor="text1"/>
          <w:sz w:val="16"/>
          <w:szCs w:val="16"/>
        </w:rPr>
        <w:t>основные данные самолета МП1</w:t>
      </w:r>
    </w:p>
    <w:p w14:paraId="709FAB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Крыло:</w:t>
      </w:r>
    </w:p>
    <w:p w14:paraId="387659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размах центроплана - 2,200 </w:t>
      </w:r>
      <w:proofErr w:type="spellStart"/>
      <w:r w:rsidRPr="00A259BD">
        <w:rPr>
          <w:rFonts w:ascii="Times New Roman" w:hAnsi="Times New Roman"/>
          <w:color w:val="000000" w:themeColor="text1"/>
          <w:sz w:val="16"/>
          <w:szCs w:val="16"/>
        </w:rPr>
        <w:t>мтр</w:t>
      </w:r>
      <w:proofErr w:type="spellEnd"/>
      <w:r w:rsidRPr="00A259BD">
        <w:rPr>
          <w:rFonts w:ascii="Times New Roman" w:hAnsi="Times New Roman"/>
          <w:color w:val="000000" w:themeColor="text1"/>
          <w:sz w:val="16"/>
          <w:szCs w:val="16"/>
        </w:rPr>
        <w:t>.</w:t>
      </w:r>
    </w:p>
    <w:p w14:paraId="2F4700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размах </w:t>
      </w:r>
      <w:proofErr w:type="spellStart"/>
      <w:r w:rsidRPr="00A259BD">
        <w:rPr>
          <w:rFonts w:ascii="Times New Roman" w:hAnsi="Times New Roman"/>
          <w:color w:val="000000" w:themeColor="text1"/>
          <w:sz w:val="16"/>
          <w:szCs w:val="16"/>
        </w:rPr>
        <w:t>от'емной</w:t>
      </w:r>
      <w:proofErr w:type="spellEnd"/>
      <w:r w:rsidRPr="00A259BD">
        <w:rPr>
          <w:rFonts w:ascii="Times New Roman" w:hAnsi="Times New Roman"/>
          <w:color w:val="000000" w:themeColor="text1"/>
          <w:sz w:val="16"/>
          <w:szCs w:val="16"/>
        </w:rPr>
        <w:t xml:space="preserve"> части - 11,340 </w:t>
      </w:r>
      <w:proofErr w:type="spellStart"/>
      <w:r w:rsidRPr="00A259BD">
        <w:rPr>
          <w:rFonts w:ascii="Times New Roman" w:hAnsi="Times New Roman"/>
          <w:color w:val="000000" w:themeColor="text1"/>
          <w:sz w:val="16"/>
          <w:szCs w:val="16"/>
        </w:rPr>
        <w:t>мтр</w:t>
      </w:r>
      <w:proofErr w:type="spellEnd"/>
      <w:r w:rsidRPr="00A259BD">
        <w:rPr>
          <w:rFonts w:ascii="Times New Roman" w:hAnsi="Times New Roman"/>
          <w:color w:val="000000" w:themeColor="text1"/>
          <w:sz w:val="16"/>
          <w:szCs w:val="16"/>
        </w:rPr>
        <w:t>.</w:t>
      </w:r>
    </w:p>
    <w:p w14:paraId="51E7B4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хорда центроплана - 4.000</w:t>
      </w:r>
    </w:p>
    <w:p w14:paraId="410F21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угол заклинения - 1°30*</w:t>
      </w:r>
    </w:p>
    <w:p w14:paraId="7C745C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по габариту - 80 мтр.2</w:t>
      </w:r>
    </w:p>
    <w:p w14:paraId="1718CC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длинение</w:t>
      </w:r>
      <w:proofErr w:type="spellEnd"/>
      <w:r w:rsidRPr="00A259BD">
        <w:rPr>
          <w:rFonts w:ascii="Times New Roman" w:hAnsi="Times New Roman"/>
          <w:color w:val="000000" w:themeColor="text1"/>
          <w:sz w:val="16"/>
          <w:szCs w:val="16"/>
        </w:rPr>
        <w:t xml:space="preserve"> крыла - 7,75</w:t>
      </w:r>
    </w:p>
    <w:p w14:paraId="2D77EA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профиль - свой</w:t>
      </w:r>
    </w:p>
    <w:p w14:paraId="6C5F29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Оперение:</w:t>
      </w:r>
    </w:p>
    <w:p w14:paraId="19D057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пдощадь</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стабилияатора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неподвижн</w:t>
      </w:r>
      <w:proofErr w:type="spellEnd"/>
      <w:r w:rsidRPr="00A259BD">
        <w:rPr>
          <w:rFonts w:ascii="Times New Roman" w:hAnsi="Times New Roman"/>
          <w:color w:val="000000" w:themeColor="text1"/>
          <w:sz w:val="16"/>
          <w:szCs w:val="16"/>
        </w:rPr>
        <w:t>. части) - 6,8</w:t>
      </w:r>
    </w:p>
    <w:p w14:paraId="68AF2EC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(подвижной части) - 1,1</w:t>
      </w:r>
    </w:p>
    <w:p w14:paraId="23A15E0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руля высоты </w:t>
      </w:r>
      <w:r w:rsidRPr="00A259BD">
        <w:rPr>
          <w:rFonts w:ascii="Times New Roman" w:hAnsi="Times New Roman"/>
          <w:color w:val="000000" w:themeColor="text1"/>
          <w:sz w:val="16"/>
          <w:szCs w:val="16"/>
        </w:rPr>
        <w:tab/>
        <w:t xml:space="preserve"> 2,6</w:t>
      </w:r>
    </w:p>
    <w:p w14:paraId="00A224E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горизонтального оперения - 10,5</w:t>
      </w:r>
    </w:p>
    <w:p w14:paraId="676EF9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киля - 5,2</w:t>
      </w:r>
    </w:p>
    <w:p w14:paraId="2756467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руля поворота - 2,56 </w:t>
      </w:r>
    </w:p>
    <w:p w14:paraId="33DA0C2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вертикального оперения.- 7,76</w:t>
      </w:r>
    </w:p>
    <w:p w14:paraId="4F106A7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элеронов - 6,35</w:t>
      </w:r>
    </w:p>
    <w:p w14:paraId="43D02E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профиль горизонтального оперения - </w:t>
      </w:r>
      <w:proofErr w:type="spellStart"/>
      <w:r w:rsidRPr="00A259BD">
        <w:rPr>
          <w:rFonts w:ascii="Times New Roman" w:hAnsi="Times New Roman"/>
          <w:color w:val="000000" w:themeColor="text1"/>
          <w:sz w:val="16"/>
          <w:szCs w:val="16"/>
        </w:rPr>
        <w:t>симметрич</w:t>
      </w:r>
      <w:proofErr w:type="spellEnd"/>
      <w:r w:rsidRPr="00A259BD">
        <w:rPr>
          <w:rFonts w:ascii="Times New Roman" w:hAnsi="Times New Roman"/>
          <w:color w:val="000000" w:themeColor="text1"/>
          <w:sz w:val="16"/>
          <w:szCs w:val="16"/>
        </w:rPr>
        <w:t>.</w:t>
      </w:r>
    </w:p>
    <w:p w14:paraId="249D0F2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вертикального - </w:t>
      </w:r>
      <w:proofErr w:type="spellStart"/>
      <w:r w:rsidRPr="00A259BD">
        <w:rPr>
          <w:rFonts w:ascii="Times New Roman" w:hAnsi="Times New Roman"/>
          <w:color w:val="000000" w:themeColor="text1"/>
          <w:sz w:val="16"/>
          <w:szCs w:val="16"/>
        </w:rPr>
        <w:t>симметрич</w:t>
      </w:r>
      <w:proofErr w:type="spellEnd"/>
      <w:r w:rsidRPr="00A259BD">
        <w:rPr>
          <w:rFonts w:ascii="Times New Roman" w:hAnsi="Times New Roman"/>
          <w:color w:val="000000" w:themeColor="text1"/>
          <w:sz w:val="16"/>
          <w:szCs w:val="16"/>
        </w:rPr>
        <w:t>.</w:t>
      </w:r>
    </w:p>
    <w:p w14:paraId="385A27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Весовые данные:</w:t>
      </w:r>
    </w:p>
    <w:p w14:paraId="759705C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 полете - 5975</w:t>
      </w:r>
    </w:p>
    <w:p w14:paraId="3DC6DC1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Полезная нагрузка - 1562</w:t>
      </w:r>
    </w:p>
    <w:p w14:paraId="10F675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Вес </w:t>
      </w:r>
      <w:proofErr w:type="spellStart"/>
      <w:r w:rsidRPr="00A259BD">
        <w:rPr>
          <w:rFonts w:ascii="Times New Roman" w:hAnsi="Times New Roman"/>
          <w:color w:val="000000" w:themeColor="text1"/>
          <w:sz w:val="16"/>
          <w:szCs w:val="16"/>
        </w:rPr>
        <w:t>конструкциии</w:t>
      </w:r>
      <w:proofErr w:type="spellEnd"/>
      <w:r w:rsidRPr="00A259BD">
        <w:rPr>
          <w:rFonts w:ascii="Times New Roman" w:hAnsi="Times New Roman"/>
          <w:color w:val="000000" w:themeColor="text1"/>
          <w:sz w:val="16"/>
          <w:szCs w:val="16"/>
        </w:rPr>
        <w:t xml:space="preserve"> - 2023</w:t>
      </w:r>
    </w:p>
    <w:p w14:paraId="5A003E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 горючего - 1470</w:t>
      </w:r>
    </w:p>
    <w:p w14:paraId="56631C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 ВМГ - 920</w:t>
      </w:r>
    </w:p>
    <w:p w14:paraId="33590A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Нагрузка на 1 м2 - 75</w:t>
      </w:r>
    </w:p>
    <w:p w14:paraId="79E2CA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1 </w:t>
      </w:r>
      <w:proofErr w:type="spellStart"/>
      <w:r w:rsidRPr="00A259BD">
        <w:rPr>
          <w:rFonts w:ascii="Times New Roman" w:hAnsi="Times New Roman"/>
          <w:color w:val="000000" w:themeColor="text1"/>
          <w:sz w:val="16"/>
          <w:szCs w:val="16"/>
        </w:rPr>
        <w:t>нр</w:t>
      </w:r>
      <w:proofErr w:type="spellEnd"/>
      <w:r w:rsidRPr="00A259BD">
        <w:rPr>
          <w:rFonts w:ascii="Times New Roman" w:hAnsi="Times New Roman"/>
          <w:color w:val="000000" w:themeColor="text1"/>
          <w:sz w:val="16"/>
          <w:szCs w:val="16"/>
        </w:rPr>
        <w:t xml:space="preserve"> - 7,15</w:t>
      </w:r>
    </w:p>
    <w:p w14:paraId="0C83F6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мощность на 1 мтр.</w:t>
      </w:r>
      <w:r w:rsidRPr="00A259BD">
        <w:rPr>
          <w:rFonts w:ascii="Times New Roman" w:hAnsi="Times New Roman"/>
          <w:color w:val="000000" w:themeColor="text1"/>
          <w:sz w:val="16"/>
          <w:szCs w:val="16"/>
          <w:vertAlign w:val="superscript"/>
        </w:rPr>
        <w:t xml:space="preserve">2 </w:t>
      </w:r>
      <w:r w:rsidRPr="00A259BD">
        <w:rPr>
          <w:rFonts w:ascii="Times New Roman" w:hAnsi="Times New Roman"/>
          <w:color w:val="000000" w:themeColor="text1"/>
          <w:sz w:val="16"/>
          <w:szCs w:val="16"/>
        </w:rPr>
        <w:t>- 105НР/мтр.</w:t>
      </w:r>
      <w:r w:rsidRPr="00A259BD">
        <w:rPr>
          <w:rFonts w:ascii="Times New Roman" w:hAnsi="Times New Roman"/>
          <w:color w:val="000000" w:themeColor="text1"/>
          <w:sz w:val="16"/>
          <w:szCs w:val="16"/>
          <w:vertAlign w:val="superscript"/>
        </w:rPr>
        <w:t>2</w:t>
      </w:r>
    </w:p>
    <w:p w14:paraId="3DA5A35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Главный конструктор ...инженер Ришар</w:t>
      </w:r>
    </w:p>
    <w:p w14:paraId="167728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ПомГК</w:t>
      </w:r>
      <w:proofErr w:type="spellEnd"/>
      <w:r w:rsidRPr="00A259BD">
        <w:rPr>
          <w:rFonts w:ascii="Times New Roman" w:hAnsi="Times New Roman"/>
          <w:color w:val="000000" w:themeColor="text1"/>
          <w:sz w:val="16"/>
          <w:szCs w:val="16"/>
        </w:rPr>
        <w:t xml:space="preserve">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и Хомский</w:t>
      </w:r>
    </w:p>
    <w:p w14:paraId="74599A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Расчетной секцией Лавочкин (2341).</w:t>
      </w:r>
    </w:p>
    <w:p w14:paraId="2C8FD96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ОПИСАНИЕ КОНСТРУКЦИИ САМОЛЕТА МП</w:t>
      </w:r>
    </w:p>
    <w:p w14:paraId="2595311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Общая характеристика. Самолет представляет из себя летающую лодку моноплан с верхним </w:t>
      </w:r>
      <w:proofErr w:type="spellStart"/>
      <w:r w:rsidRPr="00A259BD">
        <w:rPr>
          <w:rFonts w:ascii="Times New Roman" w:hAnsi="Times New Roman"/>
          <w:color w:val="000000" w:themeColor="text1"/>
          <w:sz w:val="16"/>
          <w:szCs w:val="16"/>
        </w:rPr>
        <w:t>свобднонесущим</w:t>
      </w:r>
      <w:proofErr w:type="spellEnd"/>
      <w:r w:rsidRPr="00A259BD">
        <w:rPr>
          <w:rFonts w:ascii="Times New Roman" w:hAnsi="Times New Roman"/>
          <w:color w:val="000000" w:themeColor="text1"/>
          <w:sz w:val="16"/>
          <w:szCs w:val="16"/>
        </w:rPr>
        <w:t xml:space="preserve"> крылом, </w:t>
      </w:r>
      <w:proofErr w:type="spellStart"/>
      <w:r w:rsidRPr="00A259BD">
        <w:rPr>
          <w:rFonts w:ascii="Times New Roman" w:hAnsi="Times New Roman"/>
          <w:color w:val="000000" w:themeColor="text1"/>
          <w:sz w:val="16"/>
          <w:szCs w:val="16"/>
        </w:rPr>
        <w:t>цельнометадлический</w:t>
      </w:r>
      <w:proofErr w:type="spellEnd"/>
      <w:r w:rsidRPr="00A259BD">
        <w:rPr>
          <w:rFonts w:ascii="Times New Roman" w:hAnsi="Times New Roman"/>
          <w:color w:val="000000" w:themeColor="text1"/>
          <w:sz w:val="16"/>
          <w:szCs w:val="16"/>
        </w:rPr>
        <w:t xml:space="preserve"> (из </w:t>
      </w:r>
      <w:proofErr w:type="spellStart"/>
      <w:r w:rsidRPr="00A259BD">
        <w:rPr>
          <w:rFonts w:ascii="Times New Roman" w:hAnsi="Times New Roman"/>
          <w:color w:val="000000" w:themeColor="text1"/>
          <w:sz w:val="16"/>
          <w:szCs w:val="16"/>
        </w:rPr>
        <w:t>кольчугаллиминия</w:t>
      </w:r>
      <w:proofErr w:type="spellEnd"/>
      <w:r w:rsidRPr="00A259BD">
        <w:rPr>
          <w:rFonts w:ascii="Times New Roman" w:hAnsi="Times New Roman"/>
          <w:color w:val="000000" w:themeColor="text1"/>
          <w:sz w:val="16"/>
          <w:szCs w:val="16"/>
        </w:rPr>
        <w:t>). Моторы в количестве 2-х расположены высоко над крылом (тандем). Крыло эллиптическое с соответствую</w:t>
      </w:r>
      <w:r w:rsidRPr="00A259BD">
        <w:rPr>
          <w:rFonts w:ascii="Times New Roman" w:hAnsi="Times New Roman"/>
          <w:color w:val="000000" w:themeColor="text1"/>
          <w:sz w:val="16"/>
          <w:szCs w:val="16"/>
        </w:rPr>
        <w:softHyphen/>
        <w:t>щей трансформацией контура. Форма выбрана для достижения лучших аэродинамических свойств. Оперение в плане - треугольное с закругленными краями. Управление двойное. Пассажирская кабина на 12 мест для сидения или лежания.</w:t>
      </w:r>
    </w:p>
    <w:p w14:paraId="678941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smallCaps/>
          <w:color w:val="000000" w:themeColor="text1"/>
          <w:sz w:val="16"/>
          <w:szCs w:val="16"/>
        </w:rPr>
        <w:t xml:space="preserve">крыло. </w:t>
      </w:r>
      <w:r w:rsidRPr="00A259BD">
        <w:rPr>
          <w:rFonts w:ascii="Times New Roman" w:hAnsi="Times New Roman"/>
          <w:color w:val="000000" w:themeColor="text1"/>
          <w:sz w:val="16"/>
          <w:szCs w:val="16"/>
        </w:rPr>
        <w:t xml:space="preserve">Угол заклинения 1°30*. Дужка взята своя ( продута в ЦАГИ), измененная по длине. Образование в плане подучено превращением эллипса так, чтобы ось лонжерона была прямая линия и делила хорду-в -отношении - 30/70, при чем длинны хорд сохранены, как удвоенные ординаты эллипса. </w:t>
      </w:r>
      <w:proofErr w:type="spellStart"/>
      <w:r w:rsidRPr="00A259BD">
        <w:rPr>
          <w:rFonts w:ascii="Times New Roman" w:hAnsi="Times New Roman"/>
          <w:color w:val="000000" w:themeColor="text1"/>
          <w:sz w:val="16"/>
          <w:szCs w:val="16"/>
        </w:rPr>
        <w:t>От"емнвя</w:t>
      </w:r>
      <w:proofErr w:type="spellEnd"/>
      <w:r w:rsidRPr="00A259BD">
        <w:rPr>
          <w:rFonts w:ascii="Times New Roman" w:hAnsi="Times New Roman"/>
          <w:color w:val="000000" w:themeColor="text1"/>
          <w:sz w:val="16"/>
          <w:szCs w:val="16"/>
        </w:rPr>
        <w:t xml:space="preserve"> часть крыла состоит из следующих частей:</w:t>
      </w:r>
    </w:p>
    <w:p w14:paraId="179A3F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w:t>
      </w:r>
      <w:proofErr w:type="spellStart"/>
      <w:r w:rsidRPr="00A259BD">
        <w:rPr>
          <w:rFonts w:ascii="Times New Roman" w:hAnsi="Times New Roman"/>
          <w:color w:val="000000" w:themeColor="text1"/>
          <w:sz w:val="16"/>
          <w:szCs w:val="16"/>
        </w:rPr>
        <w:t>ллонжерона</w:t>
      </w:r>
      <w:proofErr w:type="spellEnd"/>
      <w:r w:rsidRPr="00A259BD">
        <w:rPr>
          <w:rFonts w:ascii="Times New Roman" w:hAnsi="Times New Roman"/>
          <w:color w:val="000000" w:themeColor="text1"/>
          <w:sz w:val="16"/>
          <w:szCs w:val="16"/>
        </w:rPr>
        <w:t>,</w:t>
      </w:r>
    </w:p>
    <w:p w14:paraId="13888A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2 лобовых </w:t>
      </w:r>
      <w:proofErr w:type="spellStart"/>
      <w:r w:rsidRPr="00A259BD">
        <w:rPr>
          <w:rFonts w:ascii="Times New Roman" w:hAnsi="Times New Roman"/>
          <w:color w:val="000000" w:themeColor="text1"/>
          <w:sz w:val="16"/>
          <w:szCs w:val="16"/>
        </w:rPr>
        <w:t>отекков</w:t>
      </w:r>
      <w:proofErr w:type="spellEnd"/>
      <w:r w:rsidRPr="00A259BD">
        <w:rPr>
          <w:rFonts w:ascii="Times New Roman" w:hAnsi="Times New Roman"/>
          <w:color w:val="000000" w:themeColor="text1"/>
          <w:sz w:val="16"/>
          <w:szCs w:val="16"/>
        </w:rPr>
        <w:t>,</w:t>
      </w:r>
    </w:p>
    <w:p w14:paraId="783B660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2 хвостовых отсеков</w:t>
      </w:r>
    </w:p>
    <w:p w14:paraId="19C714E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2 элеронов.</w:t>
      </w:r>
    </w:p>
    <w:p w14:paraId="057AD36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 чем, все части монтируются к лонжерону перед навеской </w:t>
      </w:r>
      <w:proofErr w:type="spellStart"/>
      <w:r w:rsidRPr="00A259BD">
        <w:rPr>
          <w:rFonts w:ascii="Times New Roman" w:hAnsi="Times New Roman"/>
          <w:color w:val="000000" w:themeColor="text1"/>
          <w:sz w:val="16"/>
          <w:szCs w:val="16"/>
        </w:rPr>
        <w:t>крылъев</w:t>
      </w:r>
      <w:proofErr w:type="spellEnd"/>
      <w:r w:rsidRPr="00A259BD">
        <w:rPr>
          <w:rFonts w:ascii="Times New Roman" w:hAnsi="Times New Roman"/>
          <w:color w:val="000000" w:themeColor="text1"/>
          <w:sz w:val="16"/>
          <w:szCs w:val="16"/>
        </w:rPr>
        <w:t xml:space="preserve">. Лонжерон крыла состоит из двух вертикальных балок со сплошной </w:t>
      </w:r>
      <w:proofErr w:type="spellStart"/>
      <w:r w:rsidRPr="00A259BD">
        <w:rPr>
          <w:rFonts w:ascii="Times New Roman" w:hAnsi="Times New Roman"/>
          <w:color w:val="000000" w:themeColor="text1"/>
          <w:sz w:val="16"/>
          <w:szCs w:val="16"/>
        </w:rPr>
        <w:t>стнкой</w:t>
      </w:r>
      <w:proofErr w:type="spellEnd"/>
      <w:r w:rsidRPr="00A259BD">
        <w:rPr>
          <w:rFonts w:ascii="Times New Roman" w:hAnsi="Times New Roman"/>
          <w:color w:val="000000" w:themeColor="text1"/>
          <w:sz w:val="16"/>
          <w:szCs w:val="16"/>
        </w:rPr>
        <w:t xml:space="preserve">, имеющих поясами по 2 швеллерных профиля. Вертикаль балки соединены нервюрами-рамками. </w:t>
      </w:r>
      <w:proofErr w:type="spellStart"/>
      <w:r w:rsidRPr="00A259BD">
        <w:rPr>
          <w:rFonts w:ascii="Times New Roman" w:hAnsi="Times New Roman"/>
          <w:color w:val="000000" w:themeColor="text1"/>
          <w:sz w:val="16"/>
          <w:szCs w:val="16"/>
        </w:rPr>
        <w:t>Нижнаяя</w:t>
      </w:r>
      <w:proofErr w:type="spellEnd"/>
      <w:r w:rsidRPr="00A259BD">
        <w:rPr>
          <w:rFonts w:ascii="Times New Roman" w:hAnsi="Times New Roman"/>
          <w:color w:val="000000" w:themeColor="text1"/>
          <w:sz w:val="16"/>
          <w:szCs w:val="16"/>
        </w:rPr>
        <w:t xml:space="preserve"> горизонтальная плоскость лонжерона состоит из продольных стрингеров, уложенных на поперечные рамы и покрытых диагональными лентами и несущей листовой обшивкой; верхняя же горизонтальная плоскость состоит из диагоналей., проходящих между рамами. На диагонали поставлены </w:t>
      </w:r>
      <w:proofErr w:type="spellStart"/>
      <w:r w:rsidRPr="00A259BD">
        <w:rPr>
          <w:rFonts w:ascii="Times New Roman" w:hAnsi="Times New Roman"/>
          <w:color w:val="000000" w:themeColor="text1"/>
          <w:sz w:val="16"/>
          <w:szCs w:val="16"/>
        </w:rPr>
        <w:t>вспоморательные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нервюрки</w:t>
      </w:r>
      <w:proofErr w:type="spellEnd"/>
      <w:r w:rsidRPr="00A259BD">
        <w:rPr>
          <w:rFonts w:ascii="Times New Roman" w:hAnsi="Times New Roman"/>
          <w:color w:val="000000" w:themeColor="text1"/>
          <w:sz w:val="16"/>
          <w:szCs w:val="16"/>
        </w:rPr>
        <w:t xml:space="preserve"> (по профилю крыла), на которые отдельными листами крепится обшивка из тонкого </w:t>
      </w:r>
      <w:proofErr w:type="spellStart"/>
      <w:r w:rsidRPr="00A259BD">
        <w:rPr>
          <w:rFonts w:ascii="Times New Roman" w:hAnsi="Times New Roman"/>
          <w:color w:val="000000" w:themeColor="text1"/>
          <w:sz w:val="16"/>
          <w:szCs w:val="16"/>
        </w:rPr>
        <w:t>кольчугадлюмииия</w:t>
      </w:r>
      <w:proofErr w:type="spellEnd"/>
      <w:r w:rsidRPr="00A259BD">
        <w:rPr>
          <w:rFonts w:ascii="Times New Roman" w:hAnsi="Times New Roman"/>
          <w:color w:val="000000" w:themeColor="text1"/>
          <w:sz w:val="16"/>
          <w:szCs w:val="16"/>
        </w:rPr>
        <w:t xml:space="preserve"> с наружной клепкой. Лонжероны крыла делаются из прямолинейных участков ...</w:t>
      </w:r>
    </w:p>
    <w:p w14:paraId="540C70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...положена так, что плоскости действия винтов не проходят через места, где обычно находятся пассажиры и обслуживающий персонал. Рядом с лестницей находятся полки для багажа и за ними помещение для радио. Якорное устройство находятся в следующем за багажным отсеке. В средней части пассажирской кабины сделан проход, пол которого несколько ниже пола под креслам </w:t>
      </w:r>
      <w:proofErr w:type="spellStart"/>
      <w:r w:rsidRPr="00A259BD">
        <w:rPr>
          <w:rFonts w:ascii="Times New Roman" w:hAnsi="Times New Roman"/>
          <w:color w:val="000000" w:themeColor="text1"/>
          <w:sz w:val="16"/>
          <w:szCs w:val="16"/>
        </w:rPr>
        <w:t>для_болееи</w:t>
      </w:r>
      <w:proofErr w:type="spellEnd"/>
      <w:r w:rsidRPr="00A259BD">
        <w:rPr>
          <w:rFonts w:ascii="Times New Roman" w:hAnsi="Times New Roman"/>
          <w:color w:val="000000" w:themeColor="text1"/>
          <w:sz w:val="16"/>
          <w:szCs w:val="16"/>
        </w:rPr>
        <w:t xml:space="preserve"> удобного прохода.</w:t>
      </w:r>
    </w:p>
    <w:p w14:paraId="7C44E2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Оперение</w:t>
      </w:r>
    </w:p>
    <w:p w14:paraId="79A4AB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Горизонтальное оперение представляет из себя треугольник с закругленными краями. Профиль симметричный. Для регулиров</w:t>
      </w:r>
      <w:r w:rsidRPr="00A259BD">
        <w:rPr>
          <w:rFonts w:ascii="Times New Roman" w:hAnsi="Times New Roman"/>
          <w:color w:val="000000" w:themeColor="text1"/>
          <w:sz w:val="16"/>
          <w:szCs w:val="16"/>
        </w:rPr>
        <w:softHyphen/>
        <w:t>ки стабилизатора в полете служат оба его конца, вращающиеся на •горизонтальной оси. Лонжероны - 2 шт. коробчатого сечения. Задний подперт малыми подкосами. Рули высоты -2 шт. имеют каждый свое управление, спаренное в лодке. Обшивка оперения - полотно за ис</w:t>
      </w:r>
      <w:r w:rsidRPr="00A259BD">
        <w:rPr>
          <w:rFonts w:ascii="Times New Roman" w:hAnsi="Times New Roman"/>
          <w:color w:val="000000" w:themeColor="text1"/>
          <w:sz w:val="16"/>
          <w:szCs w:val="16"/>
        </w:rPr>
        <w:softHyphen/>
        <w:t>ключением носков стабилизатора. Подкосы стабилизатора клепанные из дюраля.</w:t>
      </w:r>
    </w:p>
    <w:p w14:paraId="3D45532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Вертикальное оперение. Верхняя часть киля </w:t>
      </w:r>
      <w:proofErr w:type="spellStart"/>
      <w:r w:rsidRPr="00A259BD">
        <w:rPr>
          <w:rFonts w:ascii="Times New Roman" w:hAnsi="Times New Roman"/>
          <w:color w:val="000000" w:themeColor="text1"/>
          <w:sz w:val="16"/>
          <w:szCs w:val="16"/>
        </w:rPr>
        <w:t>с"емная</w:t>
      </w:r>
      <w:proofErr w:type="spellEnd"/>
      <w:r w:rsidRPr="00A259BD">
        <w:rPr>
          <w:rFonts w:ascii="Times New Roman" w:hAnsi="Times New Roman"/>
          <w:color w:val="000000" w:themeColor="text1"/>
          <w:sz w:val="16"/>
          <w:szCs w:val="16"/>
        </w:rPr>
        <w:t xml:space="preserve"> с металлической обшивкой. Руль поворота имеет швеллерный лонжерон, такие же раскосы и нервюры я закрытый задний профиль. Обшивка полотном.</w:t>
      </w:r>
    </w:p>
    <w:p w14:paraId="27949E8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Моторная установка, состоит из центральной части, 2-х моторам ( </w:t>
      </w:r>
      <w:proofErr w:type="spellStart"/>
      <w:r w:rsidRPr="00A259BD">
        <w:rPr>
          <w:rFonts w:ascii="Times New Roman" w:hAnsi="Times New Roman"/>
          <w:color w:val="000000" w:themeColor="text1"/>
          <w:sz w:val="16"/>
          <w:szCs w:val="16"/>
        </w:rPr>
        <w:t>с"емных</w:t>
      </w:r>
      <w:proofErr w:type="spellEnd"/>
      <w:r w:rsidRPr="00A259BD">
        <w:rPr>
          <w:rFonts w:ascii="Times New Roman" w:hAnsi="Times New Roman"/>
          <w:color w:val="000000" w:themeColor="text1"/>
          <w:sz w:val="16"/>
          <w:szCs w:val="16"/>
        </w:rPr>
        <w:t>), капотов я 2-х коков на винтах. Угол заклинения моторов 3°.</w:t>
      </w:r>
    </w:p>
    <w:p w14:paraId="0B921E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Центральная часть состоит из 2-х рам, снабженных каждая по 1 ноге, [закрепляемых в лонжероне центроплана по осевой линии самолета. Между рамами находится соединительная часть из стрингеров, вспомогательной рамы и несущей обшивки. Внутри центральной части </w:t>
      </w:r>
      <w:proofErr w:type="spellStart"/>
      <w:r w:rsidRPr="00A259BD">
        <w:rPr>
          <w:rFonts w:ascii="Times New Roman" w:hAnsi="Times New Roman"/>
          <w:color w:val="000000" w:themeColor="text1"/>
          <w:sz w:val="16"/>
          <w:szCs w:val="16"/>
        </w:rPr>
        <w:t>мото</w:t>
      </w:r>
      <w:r w:rsidRPr="00A259BD">
        <w:rPr>
          <w:rFonts w:ascii="Times New Roman" w:hAnsi="Times New Roman"/>
          <w:color w:val="000000" w:themeColor="text1"/>
          <w:sz w:val="16"/>
          <w:szCs w:val="16"/>
        </w:rPr>
        <w:softHyphen/>
        <w:t>установки</w:t>
      </w:r>
      <w:proofErr w:type="spellEnd"/>
      <w:r w:rsidRPr="00A259BD">
        <w:rPr>
          <w:rFonts w:ascii="Times New Roman" w:hAnsi="Times New Roman"/>
          <w:color w:val="000000" w:themeColor="text1"/>
          <w:sz w:val="16"/>
          <w:szCs w:val="16"/>
        </w:rPr>
        <w:t xml:space="preserve"> находится помещение для механика, инструмент и чехлы.</w:t>
      </w:r>
    </w:p>
    <w:p w14:paraId="7FA8C1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Моторамы</w:t>
      </w:r>
      <w:proofErr w:type="spellEnd"/>
      <w:r w:rsidRPr="00A259BD">
        <w:rPr>
          <w:rFonts w:ascii="Times New Roman" w:hAnsi="Times New Roman"/>
          <w:color w:val="000000" w:themeColor="text1"/>
          <w:sz w:val="16"/>
          <w:szCs w:val="16"/>
        </w:rPr>
        <w:t xml:space="preserve"> рамной конструкции с профильными обводами. </w:t>
      </w:r>
      <w:proofErr w:type="spellStart"/>
      <w:r w:rsidRPr="00A259BD">
        <w:rPr>
          <w:rFonts w:ascii="Times New Roman" w:hAnsi="Times New Roman"/>
          <w:color w:val="000000" w:themeColor="text1"/>
          <w:sz w:val="16"/>
          <w:szCs w:val="16"/>
        </w:rPr>
        <w:t>Мотоустановка</w:t>
      </w:r>
      <w:proofErr w:type="spellEnd"/>
      <w:r w:rsidRPr="00A259BD">
        <w:rPr>
          <w:rFonts w:ascii="Times New Roman" w:hAnsi="Times New Roman"/>
          <w:color w:val="000000" w:themeColor="text1"/>
          <w:sz w:val="16"/>
          <w:szCs w:val="16"/>
        </w:rPr>
        <w:t xml:space="preserve"> расчалена двумя лентами-</w:t>
      </w:r>
      <w:proofErr w:type="spellStart"/>
      <w:r w:rsidRPr="00A259BD">
        <w:rPr>
          <w:rFonts w:ascii="Times New Roman" w:hAnsi="Times New Roman"/>
          <w:color w:val="000000" w:themeColor="text1"/>
          <w:sz w:val="16"/>
          <w:szCs w:val="16"/>
        </w:rPr>
        <w:t>расчалкамн</w:t>
      </w:r>
      <w:proofErr w:type="spellEnd"/>
      <w:r w:rsidRPr="00A259BD">
        <w:rPr>
          <w:rFonts w:ascii="Times New Roman" w:hAnsi="Times New Roman"/>
          <w:color w:val="000000" w:themeColor="text1"/>
          <w:sz w:val="16"/>
          <w:szCs w:val="16"/>
        </w:rPr>
        <w:t xml:space="preserve"> и двумя подкосами обтекателями прямоугольного сечения.</w:t>
      </w:r>
    </w:p>
    <w:p w14:paraId="0809DF2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лодке предусмотрена возможность установки лыж для взлета и посадки на снегу.</w:t>
      </w:r>
    </w:p>
    <w:p w14:paraId="7DC1E8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Главный </w:t>
      </w:r>
      <w:proofErr w:type="spellStart"/>
      <w:r w:rsidRPr="00A259BD">
        <w:rPr>
          <w:rFonts w:ascii="Times New Roman" w:hAnsi="Times New Roman"/>
          <w:color w:val="000000" w:themeColor="text1"/>
          <w:sz w:val="16"/>
          <w:szCs w:val="16"/>
        </w:rPr>
        <w:t>кокструктор</w:t>
      </w:r>
      <w:proofErr w:type="spellEnd"/>
      <w:r w:rsidRPr="00A259BD">
        <w:rPr>
          <w:rFonts w:ascii="Times New Roman" w:hAnsi="Times New Roman"/>
          <w:color w:val="000000" w:themeColor="text1"/>
          <w:sz w:val="16"/>
          <w:szCs w:val="16"/>
        </w:rPr>
        <w:t>-инженер /Ришар/</w:t>
      </w:r>
    </w:p>
    <w:p w14:paraId="12EE413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Помглавконструктора</w:t>
      </w:r>
      <w:proofErr w:type="spellEnd"/>
      <w:r w:rsidRPr="00A259BD">
        <w:rPr>
          <w:rFonts w:ascii="Times New Roman" w:hAnsi="Times New Roman"/>
          <w:color w:val="000000" w:themeColor="text1"/>
          <w:sz w:val="16"/>
          <w:szCs w:val="16"/>
        </w:rPr>
        <w:t xml:space="preserve"> по </w:t>
      </w:r>
      <w:proofErr w:type="spellStart"/>
      <w:r w:rsidRPr="00A259BD">
        <w:rPr>
          <w:rFonts w:ascii="Times New Roman" w:hAnsi="Times New Roman"/>
          <w:color w:val="000000" w:themeColor="text1"/>
          <w:sz w:val="16"/>
          <w:szCs w:val="16"/>
        </w:rPr>
        <w:t>техч</w:t>
      </w:r>
      <w:proofErr w:type="spellEnd"/>
      <w:r w:rsidRPr="00A259BD">
        <w:rPr>
          <w:rFonts w:ascii="Times New Roman" w:hAnsi="Times New Roman"/>
          <w:color w:val="000000" w:themeColor="text1"/>
          <w:sz w:val="16"/>
          <w:szCs w:val="16"/>
        </w:rPr>
        <w:t xml:space="preserve"> ас </w:t>
      </w:r>
      <w:proofErr w:type="spellStart"/>
      <w:r w:rsidRPr="00A259BD">
        <w:rPr>
          <w:rFonts w:ascii="Times New Roman" w:hAnsi="Times New Roman"/>
          <w:color w:val="000000" w:themeColor="text1"/>
          <w:sz w:val="16"/>
          <w:szCs w:val="16"/>
        </w:rPr>
        <w:t>ти</w:t>
      </w:r>
      <w:proofErr w:type="spellEnd"/>
      <w:r w:rsidRPr="00A259BD">
        <w:rPr>
          <w:rFonts w:ascii="Times New Roman" w:hAnsi="Times New Roman"/>
          <w:color w:val="000000" w:themeColor="text1"/>
          <w:sz w:val="16"/>
          <w:szCs w:val="16"/>
        </w:rPr>
        <w:t xml:space="preserve"> /Хомский/</w:t>
      </w:r>
    </w:p>
    <w:p w14:paraId="594970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Расчетной секцией Лавочкин (2341).</w:t>
      </w:r>
    </w:p>
    <w:p w14:paraId="7176E99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ECF589" w14:textId="77777777" w:rsidR="001F0E42" w:rsidRPr="00A259BD" w:rsidRDefault="001F0E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июля в 1929 году начались огневые испытания трехдюймовой авиационной пушки </w:t>
      </w:r>
      <w:proofErr w:type="spellStart"/>
      <w:r w:rsidRPr="00A259BD">
        <w:rPr>
          <w:rFonts w:ascii="Times New Roman" w:hAnsi="Times New Roman"/>
          <w:color w:val="000000" w:themeColor="text1"/>
          <w:sz w:val="16"/>
          <w:szCs w:val="16"/>
        </w:rPr>
        <w:t>Курчевского</w:t>
      </w:r>
      <w:proofErr w:type="spellEnd"/>
      <w:r w:rsidRPr="00A259BD">
        <w:rPr>
          <w:rFonts w:ascii="Times New Roman" w:hAnsi="Times New Roman"/>
          <w:color w:val="000000" w:themeColor="text1"/>
          <w:sz w:val="16"/>
          <w:szCs w:val="16"/>
        </w:rPr>
        <w:t xml:space="preserve">, получившей обозначение «АПК-1». Уже первые выстрелы показали, сколь значительное разрушающее воздействие на конструкцию самолета-носителя оказывает истекающая из казенной части орудия струя пороховых газов. Стало ясно, что для установки ДРП необходимо разработать специальный истребитель, имеющий повышенную прочность или скомпонованный по особой схеме. Задания на проектирование такого самолета получили конструкторское бюро ЦАГИ, возглавляемое </w:t>
      </w:r>
      <w:proofErr w:type="spellStart"/>
      <w:r w:rsidRPr="00A259BD">
        <w:rPr>
          <w:rFonts w:ascii="Times New Roman" w:hAnsi="Times New Roman"/>
          <w:color w:val="000000" w:themeColor="text1"/>
          <w:sz w:val="16"/>
          <w:szCs w:val="16"/>
        </w:rPr>
        <w:t>А.Н.Туполевым</w:t>
      </w:r>
      <w:proofErr w:type="spellEnd"/>
      <w:r w:rsidRPr="00A259BD">
        <w:rPr>
          <w:rFonts w:ascii="Times New Roman" w:hAnsi="Times New Roman"/>
          <w:color w:val="000000" w:themeColor="text1"/>
          <w:sz w:val="16"/>
          <w:szCs w:val="16"/>
        </w:rPr>
        <w:t xml:space="preserve">, и Центральное конструкторское бюро (ЦКБ) ОГПУ, неофициальным техническим руководителем которого был </w:t>
      </w:r>
      <w:proofErr w:type="spellStart"/>
      <w:r w:rsidRPr="00A259BD">
        <w:rPr>
          <w:rFonts w:ascii="Times New Roman" w:hAnsi="Times New Roman"/>
          <w:color w:val="000000" w:themeColor="text1"/>
          <w:sz w:val="16"/>
          <w:szCs w:val="16"/>
        </w:rPr>
        <w:t>Д.П.Григорович</w:t>
      </w:r>
      <w:proofErr w:type="spellEnd"/>
      <w:r w:rsidRPr="00A259BD">
        <w:rPr>
          <w:rFonts w:ascii="Times New Roman" w:hAnsi="Times New Roman"/>
          <w:color w:val="000000" w:themeColor="text1"/>
          <w:sz w:val="16"/>
          <w:szCs w:val="16"/>
        </w:rPr>
        <w:t xml:space="preserve"> (14964).</w:t>
      </w:r>
    </w:p>
    <w:p w14:paraId="12949051" w14:textId="77777777" w:rsidR="001F0E42" w:rsidRPr="00A259BD" w:rsidRDefault="001F0E42" w:rsidP="009236E3">
      <w:pPr>
        <w:spacing w:after="0" w:line="240" w:lineRule="auto"/>
        <w:jc w:val="both"/>
        <w:rPr>
          <w:rFonts w:ascii="Times New Roman" w:hAnsi="Times New Roman"/>
          <w:color w:val="000000" w:themeColor="text1"/>
          <w:sz w:val="16"/>
          <w:szCs w:val="16"/>
        </w:rPr>
      </w:pPr>
    </w:p>
    <w:p w14:paraId="68713D87" w14:textId="77777777" w:rsidR="001F0E42" w:rsidRPr="00A259BD" w:rsidRDefault="001F0E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июля в 1929 году начало первого перелета вдоль северного побережья Сибири от пролива Беринга до устья Лены (окончание 18.08.)</w:t>
      </w:r>
      <w:r w:rsidR="00762631" w:rsidRPr="00A259BD">
        <w:rPr>
          <w:rFonts w:ascii="Times New Roman" w:hAnsi="Times New Roman"/>
          <w:color w:val="000000" w:themeColor="text1"/>
          <w:sz w:val="16"/>
          <w:szCs w:val="16"/>
        </w:rPr>
        <w:t xml:space="preserve"> (18964).</w:t>
      </w:r>
    </w:p>
    <w:p w14:paraId="5B525688" w14:textId="77777777" w:rsidR="001F0E42" w:rsidRPr="00A259BD" w:rsidRDefault="001F0E42" w:rsidP="009236E3">
      <w:pPr>
        <w:spacing w:after="0" w:line="240" w:lineRule="auto"/>
        <w:jc w:val="both"/>
        <w:rPr>
          <w:rFonts w:ascii="Times New Roman" w:hAnsi="Times New Roman"/>
          <w:color w:val="000000" w:themeColor="text1"/>
          <w:sz w:val="16"/>
          <w:szCs w:val="16"/>
        </w:rPr>
      </w:pPr>
    </w:p>
    <w:p w14:paraId="00CE8E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26 июля по 18 августа 1929 </w:t>
      </w:r>
      <w:proofErr w:type="spellStart"/>
      <w:r w:rsidRPr="00A259BD">
        <w:rPr>
          <w:rFonts w:ascii="Times New Roman" w:hAnsi="Times New Roman"/>
          <w:color w:val="000000" w:themeColor="text1"/>
          <w:sz w:val="16"/>
          <w:szCs w:val="16"/>
        </w:rPr>
        <w:t>О.А.Кальвица</w:t>
      </w:r>
      <w:proofErr w:type="spellEnd"/>
      <w:r w:rsidRPr="00A259BD">
        <w:rPr>
          <w:rFonts w:ascii="Times New Roman" w:hAnsi="Times New Roman"/>
          <w:color w:val="000000" w:themeColor="text1"/>
          <w:sz w:val="16"/>
          <w:szCs w:val="16"/>
        </w:rPr>
        <w:t xml:space="preserve"> и др. на W-33 (СССР-176) пролетели вдоль северного побережья Сибири от Берингова пролива до устья Лены (272,374). Прошел 5460 км за 41 час. (438,600).</w:t>
      </w:r>
    </w:p>
    <w:p w14:paraId="0F3313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57A13B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753961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B26F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июля 1929 начались огневые испытания 3-х дюймовой пушки </w:t>
      </w:r>
      <w:proofErr w:type="spellStart"/>
      <w:r w:rsidRPr="00A259BD">
        <w:rPr>
          <w:rFonts w:ascii="Times New Roman" w:hAnsi="Times New Roman"/>
          <w:color w:val="000000" w:themeColor="text1"/>
          <w:sz w:val="16"/>
          <w:szCs w:val="16"/>
        </w:rPr>
        <w:t>Л.В.Курчевского</w:t>
      </w:r>
      <w:proofErr w:type="spellEnd"/>
      <w:r w:rsidRPr="00A259BD">
        <w:rPr>
          <w:rFonts w:ascii="Times New Roman" w:hAnsi="Times New Roman"/>
          <w:color w:val="000000" w:themeColor="text1"/>
          <w:sz w:val="16"/>
          <w:szCs w:val="16"/>
        </w:rPr>
        <w:t xml:space="preserve"> под обозначением АПК-1. Сразу же отметили разрушающее действие истекающих пороховых газов на конструкцию самолета и поняли, что нужен металлический истребитель особой схемы. поручили ЦАГИ (А.Н.Т.) и ЦКБ ОГПУ (Д.П.Г.) (2692,4).</w:t>
      </w:r>
    </w:p>
    <w:p w14:paraId="746EB4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0C1CD3" w14:textId="77777777" w:rsidR="001F0E42"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29BAAE15" w14:textId="77777777" w:rsidR="001F0E42" w:rsidRPr="00A259BD" w:rsidRDefault="001F0E4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9B536E3" w14:textId="77777777" w:rsidR="001F0E42" w:rsidRPr="00A259BD" w:rsidRDefault="001F0E42" w:rsidP="009236E3">
      <w:pPr>
        <w:pStyle w:val="a3"/>
        <w:rPr>
          <w:color w:val="000000" w:themeColor="text1"/>
          <w:lang w:val="ru-RU"/>
        </w:rPr>
      </w:pPr>
      <w:r w:rsidRPr="00A259BD">
        <w:rPr>
          <w:color w:val="000000" w:themeColor="text1"/>
          <w:lang w:val="ru-RU"/>
        </w:rPr>
        <w:t xml:space="preserve">26 июля 1929, по данным ОГПУ, китайские войска на </w:t>
      </w:r>
      <w:proofErr w:type="spellStart"/>
      <w:r w:rsidRPr="00A259BD">
        <w:rPr>
          <w:color w:val="000000" w:themeColor="text1"/>
          <w:lang w:val="ru-RU"/>
        </w:rPr>
        <w:t>Сунгарийском</w:t>
      </w:r>
      <w:proofErr w:type="spellEnd"/>
      <w:r w:rsidRPr="00A259BD">
        <w:rPr>
          <w:color w:val="000000" w:themeColor="text1"/>
          <w:lang w:val="ru-RU"/>
        </w:rPr>
        <w:t xml:space="preserve"> направлении усилили авиаотрядом в семь самолё</w:t>
      </w:r>
      <w:r w:rsidRPr="00A259BD">
        <w:rPr>
          <w:color w:val="000000" w:themeColor="text1"/>
          <w:lang w:val="ru-RU"/>
        </w:rPr>
        <w:softHyphen/>
        <w:t>тов, их туда привезли разобранными (15820).</w:t>
      </w:r>
    </w:p>
    <w:p w14:paraId="3807ABCF" w14:textId="77777777" w:rsidR="001F0E42" w:rsidRPr="00A259BD" w:rsidRDefault="001F0E42" w:rsidP="009236E3">
      <w:pPr>
        <w:pStyle w:val="a3"/>
        <w:rPr>
          <w:color w:val="000000" w:themeColor="text1"/>
          <w:lang w:val="ru-RU"/>
        </w:rPr>
      </w:pPr>
    </w:p>
    <w:p w14:paraId="2196A76B" w14:textId="77777777" w:rsidR="00D15A7C" w:rsidRPr="00A259BD" w:rsidRDefault="00D15A7C"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26–29 июля 1929 проводились сборы парашютистов. За это время летчиками бригады было выполнено 59 тренировочных и показательных прыжков с американскими парашютами компании «Ирвин». Прыжки совершались с самолета «Фарман F-62 «Голиаф» 53-й авиационной эскадрильи 11-й авиационной бригады ВВС Московского военного округа.</w:t>
      </w:r>
    </w:p>
    <w:p w14:paraId="2BA18818" w14:textId="77777777" w:rsidR="00D15A7C" w:rsidRPr="00A259BD" w:rsidRDefault="00D15A7C"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Во время проведения этих сборов снимался документальный учебный фильм «Парашют». Впоследствии этот фильм на многие годы стал наглядным учебным пособием при подготовке парашютистов.</w:t>
      </w:r>
    </w:p>
    <w:p w14:paraId="6EEEBA7C" w14:textId="77777777" w:rsidR="00D15A7C" w:rsidRPr="00A259BD" w:rsidRDefault="00D15A7C"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Когда Леонид Григорьевич доложил Баранову о результатах сборов, начальник ВВС РККА предложил </w:t>
      </w:r>
      <w:proofErr w:type="spellStart"/>
      <w:r w:rsidRPr="00A259BD">
        <w:rPr>
          <w:rFonts w:ascii="Times New Roman" w:eastAsia="Times New Roman" w:hAnsi="Times New Roman"/>
          <w:color w:val="000000" w:themeColor="text1"/>
          <w:sz w:val="16"/>
          <w:szCs w:val="16"/>
          <w:lang w:eastAsia="ru-RU"/>
        </w:rPr>
        <w:t>Минову</w:t>
      </w:r>
      <w:proofErr w:type="spellEnd"/>
      <w:r w:rsidRPr="00A259BD">
        <w:rPr>
          <w:rFonts w:ascii="Times New Roman" w:eastAsia="Times New Roman" w:hAnsi="Times New Roman"/>
          <w:color w:val="000000" w:themeColor="text1"/>
          <w:sz w:val="16"/>
          <w:szCs w:val="16"/>
          <w:lang w:eastAsia="ru-RU"/>
        </w:rPr>
        <w:t xml:space="preserve"> подготовить группу парашютистов для совершения группового прыжка, после чего пояснил: </w:t>
      </w:r>
      <w:r w:rsidRPr="00A259BD">
        <w:rPr>
          <w:rFonts w:ascii="Times New Roman" w:eastAsia="Times New Roman" w:hAnsi="Times New Roman"/>
          <w:i/>
          <w:iCs/>
          <w:color w:val="000000" w:themeColor="text1"/>
          <w:sz w:val="16"/>
          <w:szCs w:val="16"/>
          <w:lang w:eastAsia="ru-RU"/>
        </w:rPr>
        <w:t>«…Было бы очень хорошо, если бы оказалось возможным по ходу воронежского учения продемонстрировав выброску группы вооруженных парашютистов для диверсионных действий на территории «противника»…»</w:t>
      </w:r>
      <w:r w:rsidRPr="00A259BD">
        <w:rPr>
          <w:rFonts w:ascii="Times New Roman" w:eastAsia="Times New Roman" w:hAnsi="Times New Roman"/>
          <w:color w:val="000000" w:themeColor="text1"/>
          <w:sz w:val="16"/>
          <w:szCs w:val="16"/>
          <w:lang w:eastAsia="ru-RU"/>
        </w:rPr>
        <w:t>(21399).</w:t>
      </w:r>
    </w:p>
    <w:p w14:paraId="577528F9" w14:textId="77777777" w:rsidR="00D15A7C" w:rsidRPr="00A259BD" w:rsidRDefault="00D15A7C" w:rsidP="009236E3">
      <w:pPr>
        <w:spacing w:after="0" w:line="240" w:lineRule="auto"/>
        <w:jc w:val="both"/>
        <w:rPr>
          <w:rFonts w:ascii="Times New Roman" w:hAnsi="Times New Roman"/>
          <w:color w:val="000000" w:themeColor="text1"/>
          <w:sz w:val="16"/>
          <w:szCs w:val="16"/>
        </w:rPr>
      </w:pPr>
    </w:p>
    <w:p w14:paraId="1956FC18"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911DAA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FEA39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июля 1929 в СССР на экраны вышел фильм А. Довженко “Арсенал” (4962).</w:t>
      </w:r>
    </w:p>
    <w:p w14:paraId="4FD5DC8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79DB6B"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0FE3707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5D46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июля 1929, по данным ОГПУ, китайские войска на </w:t>
      </w:r>
      <w:proofErr w:type="spellStart"/>
      <w:r w:rsidRPr="00A259BD">
        <w:rPr>
          <w:rFonts w:ascii="Times New Roman" w:hAnsi="Times New Roman"/>
          <w:color w:val="000000" w:themeColor="text1"/>
          <w:sz w:val="16"/>
          <w:szCs w:val="16"/>
        </w:rPr>
        <w:t>Сунгарийском</w:t>
      </w:r>
      <w:proofErr w:type="spellEnd"/>
      <w:r w:rsidRPr="00A259BD">
        <w:rPr>
          <w:rFonts w:ascii="Times New Roman" w:hAnsi="Times New Roman"/>
          <w:color w:val="000000" w:themeColor="text1"/>
          <w:sz w:val="16"/>
          <w:szCs w:val="16"/>
        </w:rPr>
        <w:t xml:space="preserve"> направлении усилили авиаотрядом в семь самолетов, их туда привезли ра</w:t>
      </w:r>
      <w:r w:rsidRPr="00A259BD">
        <w:rPr>
          <w:rFonts w:ascii="Times New Roman" w:hAnsi="Times New Roman"/>
          <w:color w:val="000000" w:themeColor="text1"/>
          <w:sz w:val="16"/>
          <w:szCs w:val="16"/>
        </w:rPr>
        <w:softHyphen/>
        <w:t>зобранными. По агентурным данным, также требовавшим проверки, 3 авгу</w:t>
      </w:r>
      <w:r w:rsidRPr="00A259BD">
        <w:rPr>
          <w:rFonts w:ascii="Times New Roman" w:hAnsi="Times New Roman"/>
          <w:color w:val="000000" w:themeColor="text1"/>
          <w:sz w:val="16"/>
          <w:szCs w:val="16"/>
        </w:rPr>
        <w:softHyphen/>
        <w:t>ста через Хайлар на запад проследо</w:t>
      </w:r>
      <w:r w:rsidRPr="00A259BD">
        <w:rPr>
          <w:rFonts w:ascii="Times New Roman" w:hAnsi="Times New Roman"/>
          <w:color w:val="000000" w:themeColor="text1"/>
          <w:sz w:val="16"/>
          <w:szCs w:val="16"/>
        </w:rPr>
        <w:softHyphen/>
        <w:t>вали еще три разобранных самолета. Уточнить эти данные по китайским ис</w:t>
      </w:r>
      <w:r w:rsidRPr="00A259BD">
        <w:rPr>
          <w:rFonts w:ascii="Times New Roman" w:hAnsi="Times New Roman"/>
          <w:color w:val="000000" w:themeColor="text1"/>
          <w:sz w:val="16"/>
          <w:szCs w:val="16"/>
        </w:rPr>
        <w:softHyphen/>
        <w:t>точникам не удалось (11216).</w:t>
      </w:r>
    </w:p>
    <w:p w14:paraId="4C792A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6550B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CD6110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5771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июля 1929 письмом N 182/5141 Председателя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Михайлова и Члена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Макаровского в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т. </w:t>
      </w:r>
      <w:proofErr w:type="spellStart"/>
      <w:r w:rsidRPr="00A259BD">
        <w:rPr>
          <w:rFonts w:ascii="Times New Roman" w:hAnsi="Times New Roman"/>
          <w:color w:val="000000" w:themeColor="text1"/>
          <w:sz w:val="16"/>
          <w:szCs w:val="16"/>
        </w:rPr>
        <w:t>Бекаури</w:t>
      </w:r>
      <w:proofErr w:type="spellEnd"/>
      <w:r w:rsidRPr="00A259BD">
        <w:rPr>
          <w:rFonts w:ascii="Times New Roman" w:hAnsi="Times New Roman"/>
          <w:color w:val="000000" w:themeColor="text1"/>
          <w:sz w:val="16"/>
          <w:szCs w:val="16"/>
        </w:rPr>
        <w:t xml:space="preserve"> просило принять на себя работы по минному вооружению ТОМ (Ришара) (2363,324).</w:t>
      </w:r>
    </w:p>
    <w:p w14:paraId="749A40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апреля месяца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xml:space="preserve">.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письмом за № 182/? От 30 апреля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xml:space="preserve">. обратилось к Вам с просьбой о командировании представителя Бюро для осмотра макета и чертежей проектируемого под руководством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Ришара самолета ТОМ /морского торпедоносца/ для определения организационных форм использования опыта и конструкций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при минном вооружения самолета ТОМ. На указанное </w:t>
      </w:r>
      <w:proofErr w:type="spellStart"/>
      <w:r w:rsidRPr="00A259BD">
        <w:rPr>
          <w:rFonts w:ascii="Times New Roman" w:hAnsi="Times New Roman"/>
          <w:color w:val="000000" w:themeColor="text1"/>
          <w:sz w:val="16"/>
          <w:szCs w:val="16"/>
        </w:rPr>
        <w:t>писбмо</w:t>
      </w:r>
      <w:proofErr w:type="spellEnd"/>
      <w:r w:rsidRPr="00A259BD">
        <w:rPr>
          <w:rFonts w:ascii="Times New Roman" w:hAnsi="Times New Roman"/>
          <w:color w:val="000000" w:themeColor="text1"/>
          <w:sz w:val="16"/>
          <w:szCs w:val="16"/>
        </w:rPr>
        <w:t xml:space="preserve"> Правление, к сожалению, ответа не получило.</w:t>
      </w:r>
    </w:p>
    <w:p w14:paraId="5CA52F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июня месяца им были получены через НТК УВВС общие </w:t>
      </w:r>
      <w:proofErr w:type="spellStart"/>
      <w:r w:rsidRPr="00A259BD">
        <w:rPr>
          <w:rFonts w:ascii="Times New Roman" w:hAnsi="Times New Roman"/>
          <w:color w:val="000000" w:themeColor="text1"/>
          <w:sz w:val="16"/>
          <w:szCs w:val="16"/>
        </w:rPr>
        <w:t>видв</w:t>
      </w:r>
      <w:proofErr w:type="spellEnd"/>
      <w:r w:rsidRPr="00A259BD">
        <w:rPr>
          <w:rFonts w:ascii="Times New Roman" w:hAnsi="Times New Roman"/>
          <w:color w:val="000000" w:themeColor="text1"/>
          <w:sz w:val="16"/>
          <w:szCs w:val="16"/>
        </w:rPr>
        <w:t xml:space="preserve"> и чертежи подвески мин и габариты последних.</w:t>
      </w:r>
    </w:p>
    <w:p w14:paraId="482195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 просмотре этих чертежей выявился ряд вопросов, на которые мы не могли дать ответа, а также стало ясным, что в том виде, в каком он представлен на чертежах, будучи приспособлен к с-та ТБ1 при установке на самолет ТОМ потребует некоторых доработок. С другой стороны и сама </w:t>
      </w:r>
      <w:proofErr w:type="spellStart"/>
      <w:r w:rsidRPr="00A259BD">
        <w:rPr>
          <w:rFonts w:ascii="Times New Roman" w:hAnsi="Times New Roman"/>
          <w:color w:val="000000" w:themeColor="text1"/>
          <w:sz w:val="16"/>
          <w:szCs w:val="16"/>
        </w:rPr>
        <w:t>конструкцяя</w:t>
      </w:r>
      <w:proofErr w:type="spellEnd"/>
      <w:r w:rsidRPr="00A259BD">
        <w:rPr>
          <w:rFonts w:ascii="Times New Roman" w:hAnsi="Times New Roman"/>
          <w:color w:val="000000" w:themeColor="text1"/>
          <w:sz w:val="16"/>
          <w:szCs w:val="16"/>
        </w:rPr>
        <w:t xml:space="preserve"> самолета должна быть в известной </w:t>
      </w:r>
      <w:proofErr w:type="spellStart"/>
      <w:r w:rsidRPr="00A259BD">
        <w:rPr>
          <w:rFonts w:ascii="Times New Roman" w:hAnsi="Times New Roman"/>
          <w:color w:val="000000" w:themeColor="text1"/>
          <w:sz w:val="16"/>
          <w:szCs w:val="16"/>
        </w:rPr>
        <w:t>степеня</w:t>
      </w:r>
      <w:proofErr w:type="spellEnd"/>
      <w:r w:rsidRPr="00A259BD">
        <w:rPr>
          <w:rFonts w:ascii="Times New Roman" w:hAnsi="Times New Roman"/>
          <w:color w:val="000000" w:themeColor="text1"/>
          <w:sz w:val="16"/>
          <w:szCs w:val="16"/>
        </w:rPr>
        <w:t xml:space="preserve"> увязана с конструкцией моста.</w:t>
      </w:r>
    </w:p>
    <w:p w14:paraId="4B6D365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Беря на себя ответственную задачу приспособления и переделок моста... опыта испытаний, которым обладает </w:t>
      </w:r>
      <w:proofErr w:type="spellStart"/>
      <w:r w:rsidRPr="00A259BD">
        <w:rPr>
          <w:rFonts w:ascii="Times New Roman" w:hAnsi="Times New Roman"/>
          <w:color w:val="000000" w:themeColor="text1"/>
          <w:sz w:val="16"/>
          <w:szCs w:val="16"/>
        </w:rPr>
        <w:t>Остехбюро.Авиатресту</w:t>
      </w:r>
      <w:proofErr w:type="spellEnd"/>
      <w:r w:rsidRPr="00A259BD">
        <w:rPr>
          <w:rFonts w:ascii="Times New Roman" w:hAnsi="Times New Roman"/>
          <w:color w:val="000000" w:themeColor="text1"/>
          <w:sz w:val="16"/>
          <w:szCs w:val="16"/>
        </w:rPr>
        <w:t xml:space="preserve"> представляется затруднительным.</w:t>
      </w:r>
    </w:p>
    <w:p w14:paraId="37CA31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учетом изложенного, а также в целях наибольшего сохранения секретности более целесообразным представлялся бы порядок работ, при котором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взяяло</w:t>
      </w:r>
      <w:proofErr w:type="spellEnd"/>
      <w:r w:rsidRPr="00A259BD">
        <w:rPr>
          <w:rFonts w:ascii="Times New Roman" w:hAnsi="Times New Roman"/>
          <w:color w:val="000000" w:themeColor="text1"/>
          <w:sz w:val="16"/>
          <w:szCs w:val="16"/>
        </w:rPr>
        <w:t xml:space="preserve"> бы на себя проектирование, изготовление и установку моста и вообще минного вооружения самолета, а СПО4, проектирующий самолет, увязавши по согласованию с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конструкцию центральной части самолета предусмотрел бы необходимые точки крепления и места для установки приспособлений для подвески и сбрасывания мины.</w:t>
      </w:r>
    </w:p>
    <w:p w14:paraId="62D10E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Настоящим Правление Треста просит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принять на себя указанную работу и свой ответ и условия сообщить по возможности в самом непродолжительном времени.</w:t>
      </w:r>
    </w:p>
    <w:p w14:paraId="0924C2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Весьма желательно, чтобы одновременно с ответом был командирован представитель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для переговоров и ознакомления с машиной (2363,324).</w:t>
      </w:r>
    </w:p>
    <w:p w14:paraId="624199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B8AD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июля 1929 письмом № 182/5114 Председателя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Михайлова и Члена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Макаровского Упр. Делами СНК Горбунов просили содействия в привлечении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проведении работ по минному вооружению ТОМ (Ришара) (2363,324).</w:t>
      </w:r>
    </w:p>
    <w:p w14:paraId="0CF5DD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привлечении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к работам по минному вооружению с-та ТОМ</w:t>
      </w:r>
    </w:p>
    <w:p w14:paraId="4F4527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настоящее время в опытном отделе треста (ОПО 4) под ру</w:t>
      </w:r>
      <w:r w:rsidRPr="00A259BD">
        <w:rPr>
          <w:rFonts w:ascii="Times New Roman" w:hAnsi="Times New Roman"/>
          <w:color w:val="000000" w:themeColor="text1"/>
          <w:sz w:val="16"/>
          <w:szCs w:val="16"/>
        </w:rPr>
        <w:softHyphen/>
        <w:t xml:space="preserve">дом французского конструктора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Ришар проектируется по заданию треста самолет торпедоносец открытого моря ТОМ.</w:t>
      </w:r>
    </w:p>
    <w:p w14:paraId="2AFA360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Из доклада командированных в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инженеров выявилось, что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обладает, как значительный опытом в области торпедометания, так и уже разработанными и практически испытанными конструкциями приспособлений для такового. В настоящее время вопрос о вооружении самолета ТОМ соответствующими приспособлениями и местных усилениях, и увязке конструкции самолета и установки </w:t>
      </w:r>
      <w:proofErr w:type="spellStart"/>
      <w:r w:rsidRPr="00A259BD">
        <w:rPr>
          <w:rFonts w:ascii="Times New Roman" w:hAnsi="Times New Roman"/>
          <w:color w:val="000000" w:themeColor="text1"/>
          <w:sz w:val="16"/>
          <w:szCs w:val="16"/>
        </w:rPr>
        <w:t>торпедодерхателей</w:t>
      </w:r>
      <w:proofErr w:type="spellEnd"/>
      <w:r w:rsidRPr="00A259BD">
        <w:rPr>
          <w:rFonts w:ascii="Times New Roman" w:hAnsi="Times New Roman"/>
          <w:color w:val="000000" w:themeColor="text1"/>
          <w:sz w:val="16"/>
          <w:szCs w:val="16"/>
        </w:rPr>
        <w:t xml:space="preserve"> и сбрасывателей стал вполне </w:t>
      </w:r>
      <w:r w:rsidRPr="00A259BD">
        <w:rPr>
          <w:rFonts w:ascii="Times New Roman" w:hAnsi="Times New Roman"/>
          <w:color w:val="000000" w:themeColor="text1"/>
          <w:sz w:val="16"/>
          <w:szCs w:val="16"/>
        </w:rPr>
        <w:lastRenderedPageBreak/>
        <w:t xml:space="preserve">актуальным. Правление обращалось в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с просьбой о командировании представителя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в Москву для осмотра и чертежей самолета и установления организационных форм использования опыта и конструкций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при вооружении с-та ТОМ.</w:t>
      </w:r>
    </w:p>
    <w:p w14:paraId="5BF7E1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Означенный представитель командирован не был, но вслед затем были получены через НТК УВВС присланные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виды моста для подвески мины и габариты последних.</w:t>
      </w:r>
    </w:p>
    <w:p w14:paraId="4F9094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 рассмотрении этих чертежей выявилось, что они не дают </w:t>
      </w:r>
      <w:proofErr w:type="spellStart"/>
      <w:r w:rsidRPr="00A259BD">
        <w:rPr>
          <w:rFonts w:ascii="Times New Roman" w:hAnsi="Times New Roman"/>
          <w:color w:val="000000" w:themeColor="text1"/>
          <w:sz w:val="16"/>
          <w:szCs w:val="16"/>
        </w:rPr>
        <w:t>оттвета</w:t>
      </w:r>
      <w:proofErr w:type="spellEnd"/>
      <w:r w:rsidRPr="00A259BD">
        <w:rPr>
          <w:rFonts w:ascii="Times New Roman" w:hAnsi="Times New Roman"/>
          <w:color w:val="000000" w:themeColor="text1"/>
          <w:sz w:val="16"/>
          <w:szCs w:val="16"/>
        </w:rPr>
        <w:t xml:space="preserve"> на ряд вопросов, а кроме того конструкция моста приспособлена к самолету ТБ1 и потребует некоторых изменений^</w:t>
      </w:r>
    </w:p>
    <w:p w14:paraId="78A394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Брать на себя ответственную задачу изменений и приспособления конструкции моста не обладая никаким опытом в этой области Правление не может и одновременно с сим обратилось в </w:t>
      </w:r>
      <w:proofErr w:type="spellStart"/>
      <w:r w:rsidRPr="00A259BD">
        <w:rPr>
          <w:rFonts w:ascii="Times New Roman" w:hAnsi="Times New Roman"/>
          <w:color w:val="000000" w:themeColor="text1"/>
          <w:sz w:val="16"/>
          <w:szCs w:val="16"/>
        </w:rPr>
        <w:t>Остехоюро</w:t>
      </w:r>
      <w:proofErr w:type="spellEnd"/>
      <w:r w:rsidRPr="00A259BD">
        <w:rPr>
          <w:rFonts w:ascii="Times New Roman" w:hAnsi="Times New Roman"/>
          <w:color w:val="000000" w:themeColor="text1"/>
          <w:sz w:val="16"/>
          <w:szCs w:val="16"/>
        </w:rPr>
        <w:t xml:space="preserve"> с просьбой принять на себя заказ на проектирование, </w:t>
      </w:r>
      <w:proofErr w:type="spellStart"/>
      <w:r w:rsidRPr="00A259BD">
        <w:rPr>
          <w:rFonts w:ascii="Times New Roman" w:hAnsi="Times New Roman"/>
          <w:color w:val="000000" w:themeColor="text1"/>
          <w:sz w:val="16"/>
          <w:szCs w:val="16"/>
        </w:rPr>
        <w:t>изготовле</w:t>
      </w:r>
      <w:proofErr w:type="spellEnd"/>
      <w:r w:rsidRPr="00A259BD">
        <w:rPr>
          <w:rFonts w:ascii="Times New Roman" w:hAnsi="Times New Roman"/>
          <w:color w:val="000000" w:themeColor="text1"/>
          <w:sz w:val="16"/>
          <w:szCs w:val="16"/>
        </w:rPr>
        <w:t>, установку приспособлений для подвески и сбрасывания мины к с-ту ТОМ, с тем, что ОПО 4 предусмотрит в конструкции с-та необходимые крепления и места для установки этих приспособлений. Такой порядок по мнению Правления будет наиболее гарантировать как успешность работы, так и сохранение секретности (</w:t>
      </w:r>
      <w:proofErr w:type="spellStart"/>
      <w:r w:rsidRPr="00A259BD">
        <w:rPr>
          <w:rFonts w:ascii="Times New Roman" w:hAnsi="Times New Roman"/>
          <w:color w:val="000000" w:themeColor="text1"/>
          <w:sz w:val="16"/>
          <w:szCs w:val="16"/>
        </w:rPr>
        <w:t>Инг.Ришар</w:t>
      </w:r>
      <w:proofErr w:type="spellEnd"/>
      <w:r w:rsidRPr="00A259BD">
        <w:rPr>
          <w:rFonts w:ascii="Times New Roman" w:hAnsi="Times New Roman"/>
          <w:color w:val="000000" w:themeColor="text1"/>
          <w:sz w:val="16"/>
          <w:szCs w:val="16"/>
        </w:rPr>
        <w:t xml:space="preserve"> французский подданный.)... (2363,324).</w:t>
      </w:r>
    </w:p>
    <w:p w14:paraId="36727D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3FB1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июля 1929 Чл.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писал письмо N 162/5081 Нач. ГВПУ Урываеву по вопросу О постановлении РВС по вопросу об опытном строительстве (протокол 25) - РВС предрешал дальнейшее постепенное сокращение роли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в опытном строительстве за счет развития деятельности НИИ в этой области и их расширения (2339).</w:t>
      </w:r>
    </w:p>
    <w:p w14:paraId="637BD5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постановлении Реввоенсовета по вопросу об опытном строительстве</w:t>
      </w:r>
    </w:p>
    <w:p w14:paraId="20B1A96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Правлением получена выписка из протокола № 25 Заседания Революционного Военного Совета СССР по вопросу об опытной строительстве УВВС.</w:t>
      </w:r>
    </w:p>
    <w:p w14:paraId="5ABDDA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Реввоенсовет постановлением своим по указанному протоколу констатировал недостаточную обеспеченность темпа развития опытного строительства имеющимися в </w:t>
      </w:r>
      <w:proofErr w:type="spellStart"/>
      <w:r w:rsidRPr="00A259BD">
        <w:rPr>
          <w:rFonts w:ascii="Times New Roman" w:hAnsi="Times New Roman"/>
          <w:color w:val="000000" w:themeColor="text1"/>
          <w:sz w:val="16"/>
          <w:szCs w:val="16"/>
        </w:rPr>
        <w:t>наличиа</w:t>
      </w:r>
      <w:proofErr w:type="spellEnd"/>
      <w:r w:rsidRPr="00A259BD">
        <w:rPr>
          <w:rFonts w:ascii="Times New Roman" w:hAnsi="Times New Roman"/>
          <w:color w:val="000000" w:themeColor="text1"/>
          <w:sz w:val="16"/>
          <w:szCs w:val="16"/>
        </w:rPr>
        <w:t xml:space="preserve"> производственными возможностями КБ, опытных заводов и мастерских и недостаточность отпускаемых на опытное строительство кредитов. Вместе с тем РВС отметил особо </w:t>
      </w:r>
      <w:proofErr w:type="spellStart"/>
      <w:r w:rsidRPr="00A259BD">
        <w:rPr>
          <w:rFonts w:ascii="Times New Roman" w:hAnsi="Times New Roman"/>
          <w:color w:val="000000" w:themeColor="text1"/>
          <w:sz w:val="16"/>
          <w:szCs w:val="16"/>
        </w:rPr>
        <w:t>тякелое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состояниие</w:t>
      </w:r>
      <w:proofErr w:type="spellEnd"/>
      <w:r w:rsidRPr="00A259BD">
        <w:rPr>
          <w:rFonts w:ascii="Times New Roman" w:hAnsi="Times New Roman"/>
          <w:color w:val="000000" w:themeColor="text1"/>
          <w:sz w:val="16"/>
          <w:szCs w:val="16"/>
        </w:rPr>
        <w:t xml:space="preserve"> дела опытного моторостроения совершенно недостаточно обеспечивающего серийное производство заводов образцами моторов пригодными для такового и в достаточной степени удовлетворяющими потребностям ВВС.</w:t>
      </w:r>
    </w:p>
    <w:p w14:paraId="406E45B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Как выход из создавшегося положения РВС в своем постановлении </w:t>
      </w:r>
      <w:proofErr w:type="spellStart"/>
      <w:r w:rsidRPr="00A259BD">
        <w:rPr>
          <w:rFonts w:ascii="Times New Roman" w:hAnsi="Times New Roman"/>
          <w:color w:val="000000" w:themeColor="text1"/>
          <w:sz w:val="16"/>
          <w:szCs w:val="16"/>
        </w:rPr>
        <w:t>вныдвинул</w:t>
      </w:r>
      <w:proofErr w:type="spellEnd"/>
      <w:r w:rsidRPr="00A259BD">
        <w:rPr>
          <w:rFonts w:ascii="Times New Roman" w:hAnsi="Times New Roman"/>
          <w:color w:val="000000" w:themeColor="text1"/>
          <w:sz w:val="16"/>
          <w:szCs w:val="16"/>
        </w:rPr>
        <w:t xml:space="preserve"> ряд мероприятий, которые в основном сводятся к следующему:</w:t>
      </w:r>
    </w:p>
    <w:p w14:paraId="6174B4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Инициатива и все права в отношении планирования опытных работ и выдачи заданий целиком и полностью переходят НТК, которому дается также право полного наблюдения и контроля за ходом опытных работ и расходованием средств по ним.</w:t>
      </w:r>
    </w:p>
    <w:p w14:paraId="5548EE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Опытное строительство самолетов и моторов выделяется из серийного производства, причем основные работы в области опытного моторостроения передастся НАМИ, область же работ НАГИ </w:t>
      </w:r>
      <w:proofErr w:type="spellStart"/>
      <w:r w:rsidRPr="00A259BD">
        <w:rPr>
          <w:rFonts w:ascii="Times New Roman" w:hAnsi="Times New Roman"/>
          <w:color w:val="000000" w:themeColor="text1"/>
          <w:sz w:val="16"/>
          <w:szCs w:val="16"/>
        </w:rPr>
        <w:t>расшяряется</w:t>
      </w:r>
      <w:proofErr w:type="spellEnd"/>
      <w:r w:rsidRPr="00A259BD">
        <w:rPr>
          <w:rFonts w:ascii="Times New Roman" w:hAnsi="Times New Roman"/>
          <w:color w:val="000000" w:themeColor="text1"/>
          <w:sz w:val="16"/>
          <w:szCs w:val="16"/>
        </w:rPr>
        <w:t xml:space="preserve"> по опытному самолетостроению поручением ему разработки типов смешанных и сварных конструкций.</w:t>
      </w:r>
    </w:p>
    <w:p w14:paraId="6A0479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Из изложенного видно, что постановлением своим РВС предрешает в </w:t>
      </w:r>
      <w:proofErr w:type="spellStart"/>
      <w:r w:rsidRPr="00A259BD">
        <w:rPr>
          <w:rFonts w:ascii="Times New Roman" w:hAnsi="Times New Roman"/>
          <w:color w:val="000000" w:themeColor="text1"/>
          <w:sz w:val="16"/>
          <w:szCs w:val="16"/>
        </w:rPr>
        <w:t>дальнейшен</w:t>
      </w:r>
      <w:proofErr w:type="spellEnd"/>
      <w:r w:rsidRPr="00A259BD">
        <w:rPr>
          <w:rFonts w:ascii="Times New Roman" w:hAnsi="Times New Roman"/>
          <w:color w:val="000000" w:themeColor="text1"/>
          <w:sz w:val="16"/>
          <w:szCs w:val="16"/>
        </w:rPr>
        <w:t xml:space="preserve"> постепенное сокращение роли Треста в опытном строительстве за счет развития деятельности Научных Институтов в этой области, конечно, соответствующего их </w:t>
      </w:r>
      <w:proofErr w:type="spellStart"/>
      <w:r w:rsidRPr="00A259BD">
        <w:rPr>
          <w:rFonts w:ascii="Times New Roman" w:hAnsi="Times New Roman"/>
          <w:color w:val="000000" w:themeColor="text1"/>
          <w:sz w:val="16"/>
          <w:szCs w:val="16"/>
        </w:rPr>
        <w:t>распирения</w:t>
      </w:r>
      <w:proofErr w:type="spellEnd"/>
      <w:r w:rsidRPr="00A259BD">
        <w:rPr>
          <w:rFonts w:ascii="Times New Roman" w:hAnsi="Times New Roman"/>
          <w:color w:val="000000" w:themeColor="text1"/>
          <w:sz w:val="16"/>
          <w:szCs w:val="16"/>
        </w:rPr>
        <w:t>.</w:t>
      </w:r>
    </w:p>
    <w:p w14:paraId="48B278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Таким образом, РВС видит единственный путь к надлежащему развитую опытного строительства в установке на передачу всего этого дела Институтам под всесторонним </w:t>
      </w:r>
      <w:proofErr w:type="spellStart"/>
      <w:r w:rsidRPr="00A259BD">
        <w:rPr>
          <w:rFonts w:ascii="Times New Roman" w:hAnsi="Times New Roman"/>
          <w:color w:val="000000" w:themeColor="text1"/>
          <w:sz w:val="16"/>
          <w:szCs w:val="16"/>
        </w:rPr>
        <w:t>контролен</w:t>
      </w:r>
      <w:proofErr w:type="spellEnd"/>
      <w:r w:rsidRPr="00A259BD">
        <w:rPr>
          <w:rFonts w:ascii="Times New Roman" w:hAnsi="Times New Roman"/>
          <w:color w:val="000000" w:themeColor="text1"/>
          <w:sz w:val="16"/>
          <w:szCs w:val="16"/>
        </w:rPr>
        <w:t xml:space="preserve"> НТК УВВС (2339,289).</w:t>
      </w:r>
    </w:p>
    <w:p w14:paraId="01C1D7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6D23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июля 1929 зам. Пред. РВС </w:t>
      </w:r>
      <w:proofErr w:type="spellStart"/>
      <w:r w:rsidRPr="00A259BD">
        <w:rPr>
          <w:rFonts w:ascii="Times New Roman" w:hAnsi="Times New Roman"/>
          <w:color w:val="000000" w:themeColor="text1"/>
          <w:sz w:val="16"/>
          <w:szCs w:val="16"/>
        </w:rPr>
        <w:t>Уншлихт</w:t>
      </w:r>
      <w:proofErr w:type="spellEnd"/>
      <w:r w:rsidRPr="00A259BD">
        <w:rPr>
          <w:rFonts w:ascii="Times New Roman" w:hAnsi="Times New Roman"/>
          <w:color w:val="000000" w:themeColor="text1"/>
          <w:sz w:val="16"/>
          <w:szCs w:val="16"/>
        </w:rPr>
        <w:t xml:space="preserve"> утвердил договор между ВНИК и ОАТ и согласно договору </w:t>
      </w:r>
      <w:proofErr w:type="spellStart"/>
      <w:r w:rsidRPr="00A259BD">
        <w:rPr>
          <w:rFonts w:ascii="Times New Roman" w:hAnsi="Times New Roman"/>
          <w:color w:val="000000" w:themeColor="text1"/>
          <w:sz w:val="16"/>
          <w:szCs w:val="16"/>
        </w:rPr>
        <w:t>Л.В.Курчевский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д.б</w:t>
      </w:r>
      <w:proofErr w:type="spellEnd"/>
      <w:r w:rsidRPr="00A259BD">
        <w:rPr>
          <w:rFonts w:ascii="Times New Roman" w:hAnsi="Times New Roman"/>
          <w:color w:val="000000" w:themeColor="text1"/>
          <w:sz w:val="16"/>
          <w:szCs w:val="16"/>
        </w:rPr>
        <w:t>. изготовить:</w:t>
      </w:r>
    </w:p>
    <w:p w14:paraId="6A0520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Опытную пушку для изучения баллистики картечного выстрела калибром 76.2 мм в двухмесячный срок,</w:t>
      </w:r>
    </w:p>
    <w:p w14:paraId="61B29D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 авиационной магазинной пушки - 4 мес. Срок,</w:t>
      </w:r>
    </w:p>
    <w:p w14:paraId="1C60FB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Опытную магазинную пушку - 6 мес. После утверждения чертежей - сделали АПК-1 (3996, 86).</w:t>
      </w:r>
    </w:p>
    <w:p w14:paraId="4FA84F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70A0FAB" w14:textId="77777777" w:rsidR="00762631" w:rsidRPr="00A259BD" w:rsidRDefault="007626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июля 1929 г. заместителем председателя Реввоенсовета </w:t>
      </w:r>
      <w:proofErr w:type="spellStart"/>
      <w:r w:rsidRPr="00A259BD">
        <w:rPr>
          <w:rFonts w:ascii="Times New Roman" w:hAnsi="Times New Roman"/>
          <w:color w:val="000000" w:themeColor="text1"/>
          <w:sz w:val="16"/>
          <w:szCs w:val="16"/>
        </w:rPr>
        <w:t>Уншлихтом</w:t>
      </w:r>
      <w:proofErr w:type="spellEnd"/>
      <w:r w:rsidRPr="00A259BD">
        <w:rPr>
          <w:rFonts w:ascii="Times New Roman" w:hAnsi="Times New Roman"/>
          <w:color w:val="000000" w:themeColor="text1"/>
          <w:sz w:val="16"/>
          <w:szCs w:val="16"/>
        </w:rPr>
        <w:t xml:space="preserve"> был утвержден договор между ВНИК и Орудийно-арсенальным трестом, согласно </w:t>
      </w:r>
      <w:proofErr w:type="spellStart"/>
      <w:r w:rsidRPr="00A259BD">
        <w:rPr>
          <w:rFonts w:ascii="Times New Roman" w:hAnsi="Times New Roman"/>
          <w:color w:val="000000" w:themeColor="text1"/>
          <w:sz w:val="16"/>
          <w:szCs w:val="16"/>
        </w:rPr>
        <w:t>которомы</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Курчевский</w:t>
      </w:r>
      <w:proofErr w:type="spellEnd"/>
      <w:r w:rsidRPr="00A259BD">
        <w:rPr>
          <w:rFonts w:ascii="Times New Roman" w:hAnsi="Times New Roman"/>
          <w:color w:val="000000" w:themeColor="text1"/>
          <w:sz w:val="16"/>
          <w:szCs w:val="16"/>
        </w:rPr>
        <w:t xml:space="preserve"> должен был изготовить:</w:t>
      </w:r>
    </w:p>
    <w:p w14:paraId="2807BC55" w14:textId="77777777" w:rsidR="00762631" w:rsidRPr="00A259BD" w:rsidRDefault="007626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Опытную пушку для изучения баллистики картечного выстрела калибром 76,2 мм — в двухмесячный срок.</w:t>
      </w:r>
    </w:p>
    <w:p w14:paraId="4BD0DEF9" w14:textId="77777777" w:rsidR="00762631" w:rsidRPr="00A259BD" w:rsidRDefault="007626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Проект авиационной магазинной пушки — в четырехмесячный срок.</w:t>
      </w:r>
    </w:p>
    <w:p w14:paraId="2706C4FC" w14:textId="77777777" w:rsidR="00762631" w:rsidRPr="00A259BD" w:rsidRDefault="007626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Опытную магазинную пушку — в шестимесячный срок после утверждения чертежей проекта.</w:t>
      </w:r>
    </w:p>
    <w:p w14:paraId="49BFB8CF" w14:textId="77777777" w:rsidR="00762631" w:rsidRPr="00A259BD" w:rsidRDefault="007626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Через два месяца после подписания договора был готов опытный экземпляр. Пушка была однозарядная и получила название АПК-1 (авиационная пушка </w:t>
      </w:r>
      <w:proofErr w:type="spellStart"/>
      <w:r w:rsidRPr="00A259BD">
        <w:rPr>
          <w:rFonts w:ascii="Times New Roman" w:hAnsi="Times New Roman"/>
          <w:color w:val="000000" w:themeColor="text1"/>
          <w:sz w:val="16"/>
          <w:szCs w:val="16"/>
        </w:rPr>
        <w:t>Курчевского</w:t>
      </w:r>
      <w:proofErr w:type="spellEnd"/>
      <w:r w:rsidRPr="00A259BD">
        <w:rPr>
          <w:rFonts w:ascii="Times New Roman" w:hAnsi="Times New Roman"/>
          <w:color w:val="000000" w:themeColor="text1"/>
          <w:sz w:val="16"/>
          <w:szCs w:val="16"/>
        </w:rPr>
        <w:t xml:space="preserve"> № 1) (15117).</w:t>
      </w:r>
    </w:p>
    <w:p w14:paraId="5B21BF0E" w14:textId="77777777" w:rsidR="00762631" w:rsidRPr="00A259BD" w:rsidRDefault="00762631" w:rsidP="009236E3">
      <w:pPr>
        <w:spacing w:after="0" w:line="240" w:lineRule="auto"/>
        <w:jc w:val="both"/>
        <w:rPr>
          <w:rFonts w:ascii="Times New Roman" w:hAnsi="Times New Roman"/>
          <w:color w:val="000000" w:themeColor="text1"/>
          <w:sz w:val="16"/>
          <w:szCs w:val="16"/>
        </w:rPr>
      </w:pPr>
    </w:p>
    <w:p w14:paraId="38AB5E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июля 1929 г. зампредседателя Реввоенсовета </w:t>
      </w:r>
      <w:proofErr w:type="spellStart"/>
      <w:r w:rsidRPr="00A259BD">
        <w:rPr>
          <w:rFonts w:ascii="Times New Roman" w:hAnsi="Times New Roman"/>
          <w:color w:val="000000" w:themeColor="text1"/>
          <w:sz w:val="16"/>
          <w:szCs w:val="16"/>
        </w:rPr>
        <w:t>Уншлихт</w:t>
      </w:r>
      <w:proofErr w:type="spellEnd"/>
      <w:r w:rsidRPr="00A259BD">
        <w:rPr>
          <w:rFonts w:ascii="Times New Roman" w:hAnsi="Times New Roman"/>
          <w:color w:val="000000" w:themeColor="text1"/>
          <w:sz w:val="16"/>
          <w:szCs w:val="16"/>
        </w:rPr>
        <w:t xml:space="preserve"> утвердил договор, заключенный между ВНИК и Орудийно-арсенальным трестом, согласно которому </w:t>
      </w:r>
      <w:proofErr w:type="spellStart"/>
      <w:r w:rsidRPr="00A259BD">
        <w:rPr>
          <w:rFonts w:ascii="Times New Roman" w:hAnsi="Times New Roman"/>
          <w:color w:val="000000" w:themeColor="text1"/>
          <w:sz w:val="16"/>
          <w:szCs w:val="16"/>
        </w:rPr>
        <w:t>Курчевский</w:t>
      </w:r>
      <w:proofErr w:type="spellEnd"/>
      <w:r w:rsidRPr="00A259BD">
        <w:rPr>
          <w:rFonts w:ascii="Times New Roman" w:hAnsi="Times New Roman"/>
          <w:color w:val="000000" w:themeColor="text1"/>
          <w:sz w:val="16"/>
          <w:szCs w:val="16"/>
        </w:rPr>
        <w:t xml:space="preserve"> должен был изготовить:</w:t>
      </w:r>
    </w:p>
    <w:p w14:paraId="2153E8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Опытную пушку для изучения баллистики картечного выстрела калибром 76,2 мм — в двухмесячный срок.</w:t>
      </w:r>
    </w:p>
    <w:p w14:paraId="2AF924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Проект авиационной магазинной пушки — в четырехмесячный срок.</w:t>
      </w:r>
    </w:p>
    <w:p w14:paraId="32F9C8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Опытную магазинную пушку — в шестимесячный срок после утверждения чертежей проекта.</w:t>
      </w:r>
    </w:p>
    <w:p w14:paraId="3387B8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Через два месяца после подписания договора был готов опытный экземпляр. Пушка была однозарядная и получила название АПК-1 (авиационная пушка </w:t>
      </w:r>
      <w:proofErr w:type="spellStart"/>
      <w:r w:rsidRPr="00A259BD">
        <w:rPr>
          <w:rFonts w:ascii="Times New Roman" w:hAnsi="Times New Roman"/>
          <w:color w:val="000000" w:themeColor="text1"/>
          <w:sz w:val="16"/>
          <w:szCs w:val="16"/>
        </w:rPr>
        <w:t>Курчевского</w:t>
      </w:r>
      <w:proofErr w:type="spellEnd"/>
      <w:r w:rsidRPr="00A259BD">
        <w:rPr>
          <w:rFonts w:ascii="Times New Roman" w:hAnsi="Times New Roman"/>
          <w:color w:val="000000" w:themeColor="text1"/>
          <w:sz w:val="16"/>
          <w:szCs w:val="16"/>
        </w:rPr>
        <w:t xml:space="preserve"> № 1).</w:t>
      </w:r>
    </w:p>
    <w:p w14:paraId="78B458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Первая официальная демонстрация АПК-1 состоялась в апреле 1930 г. Представители </w:t>
      </w:r>
      <w:proofErr w:type="spellStart"/>
      <w:r w:rsidRPr="00A259BD">
        <w:rPr>
          <w:rFonts w:ascii="Times New Roman" w:hAnsi="Times New Roman"/>
          <w:color w:val="000000" w:themeColor="text1"/>
          <w:sz w:val="16"/>
          <w:szCs w:val="16"/>
        </w:rPr>
        <w:t>Артуправления</w:t>
      </w:r>
      <w:proofErr w:type="spellEnd"/>
      <w:r w:rsidRPr="00A259BD">
        <w:rPr>
          <w:rFonts w:ascii="Times New Roman" w:hAnsi="Times New Roman"/>
          <w:color w:val="000000" w:themeColor="text1"/>
          <w:sz w:val="16"/>
          <w:szCs w:val="16"/>
        </w:rPr>
        <w:t xml:space="preserve"> РККА 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не смогли дать заключения о пригодности пушки к установке на самолет.</w:t>
      </w:r>
    </w:p>
    <w:p w14:paraId="39BD8E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Первые наземные стрельбы с самолета были проведены на стареньком разведчике Р-1. Пушку закрепили на средних стойках </w:t>
      </w:r>
      <w:proofErr w:type="spellStart"/>
      <w:r w:rsidRPr="00A259BD">
        <w:rPr>
          <w:rFonts w:ascii="Times New Roman" w:hAnsi="Times New Roman"/>
          <w:color w:val="000000" w:themeColor="text1"/>
          <w:sz w:val="16"/>
          <w:szCs w:val="16"/>
        </w:rPr>
        <w:t>бипланной</w:t>
      </w:r>
      <w:proofErr w:type="spellEnd"/>
      <w:r w:rsidRPr="00A259BD">
        <w:rPr>
          <w:rFonts w:ascii="Times New Roman" w:hAnsi="Times New Roman"/>
          <w:color w:val="000000" w:themeColor="text1"/>
          <w:sz w:val="16"/>
          <w:szCs w:val="16"/>
        </w:rPr>
        <w:t xml:space="preserve"> коробки. После первого выстрела лопнуло полотно на стабилизаторе, после второго выстрела лопнула обшивка в районе кабины летнаба, после третьего выстрела появились трещины в деревянной конструкции самолета. Четвертый выстрел из АПК-1 по отзыву присутствующих привел самолет в «безусловную негодность».</w:t>
      </w:r>
    </w:p>
    <w:p w14:paraId="37FD5E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Затем АПК-1 была установлена и испытана на разведчике Р-3 № 4052, причем также с ущербом для самолета. Становилось ясно, что предлагаемые ДРП по своему разрушающему воздействию совсем небезопасны для самого носителя. Поэтому необходимо разработать специальный самолет, особенно прочный в районе хвостового оперения или созданный по особой схеме (12091).</w:t>
      </w:r>
    </w:p>
    <w:p w14:paraId="0E11FB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3FEC5E" w14:textId="77777777" w:rsidR="00867A2E" w:rsidRPr="00A259BD" w:rsidRDefault="00867A2E" w:rsidP="009236E3">
      <w:pPr>
        <w:numPr>
          <w:ilvl w:val="12"/>
          <w:numId w:val="0"/>
        </w:num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27 июля 1929 года изготовители (</w:t>
      </w:r>
      <w:proofErr w:type="spellStart"/>
      <w:r w:rsidRPr="00A259BD">
        <w:rPr>
          <w:rFonts w:ascii="Times New Roman" w:hAnsi="Times New Roman"/>
          <w:color w:val="000000" w:themeColor="text1"/>
          <w:sz w:val="16"/>
          <w:szCs w:val="16"/>
        </w:rPr>
        <w:t>Резинотрест</w:t>
      </w:r>
      <w:proofErr w:type="spellEnd"/>
      <w:r w:rsidRPr="00A259BD">
        <w:rPr>
          <w:rFonts w:ascii="Times New Roman" w:hAnsi="Times New Roman"/>
          <w:color w:val="000000" w:themeColor="text1"/>
          <w:sz w:val="16"/>
          <w:szCs w:val="16"/>
        </w:rPr>
        <w:t>) с многократным нарушением установленных сроков создали парашют лишь, причем «весьма небрежно, с большими производственными дефектами и отступлениями от образца». В итоге на заседании президиума НТК М. Савицкий предложил «обследовать различные пошивочные организации на предмет передачи им заказа на шелковые парашюты» (Архив ЦДА и К. Ф. 50. Оп. 1. Д. 4. Л. 5-7) (21402).</w:t>
      </w:r>
    </w:p>
    <w:p w14:paraId="465B7C55" w14:textId="77777777" w:rsidR="00867A2E" w:rsidRPr="00A259BD" w:rsidRDefault="00867A2E" w:rsidP="009236E3">
      <w:pPr>
        <w:spacing w:after="0" w:line="240" w:lineRule="auto"/>
        <w:jc w:val="both"/>
        <w:rPr>
          <w:rFonts w:ascii="Times New Roman" w:hAnsi="Times New Roman"/>
          <w:color w:val="000000" w:themeColor="text1"/>
          <w:sz w:val="16"/>
          <w:szCs w:val="16"/>
        </w:rPr>
      </w:pPr>
    </w:p>
    <w:p w14:paraId="62E2797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55B72F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05593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27 июля и 3 августа 1929. Из протокола заседания Политбюро N 92, 1929 г.</w:t>
      </w:r>
    </w:p>
    <w:p w14:paraId="2DFAB5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газете "Беднота" </w:t>
      </w:r>
    </w:p>
    <w:p w14:paraId="06037F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 помещение в "Бедноте" от имени редколлегии за подписью т. </w:t>
      </w:r>
      <w:proofErr w:type="spellStart"/>
      <w:r w:rsidRPr="00A259BD">
        <w:rPr>
          <w:rFonts w:ascii="Times New Roman" w:hAnsi="Times New Roman"/>
          <w:color w:val="000000" w:themeColor="text1"/>
          <w:sz w:val="16"/>
          <w:szCs w:val="16"/>
        </w:rPr>
        <w:t>Грандова</w:t>
      </w:r>
      <w:proofErr w:type="spellEnd"/>
      <w:r w:rsidRPr="00A259BD">
        <w:rPr>
          <w:rFonts w:ascii="Times New Roman" w:hAnsi="Times New Roman"/>
          <w:color w:val="000000" w:themeColor="text1"/>
          <w:sz w:val="16"/>
          <w:szCs w:val="16"/>
        </w:rPr>
        <w:t xml:space="preserve"> ряда статей, направленных против решения ЦК о реорганизации издательства ЦК, немедленно отстранить от работы в качестве редактора газеты "Беднота" т. </w:t>
      </w:r>
      <w:proofErr w:type="spellStart"/>
      <w:r w:rsidRPr="00A259BD">
        <w:rPr>
          <w:rFonts w:ascii="Times New Roman" w:hAnsi="Times New Roman"/>
          <w:color w:val="000000" w:themeColor="text1"/>
          <w:sz w:val="16"/>
          <w:szCs w:val="16"/>
        </w:rPr>
        <w:t>Грандова</w:t>
      </w:r>
      <w:proofErr w:type="spellEnd"/>
      <w:r w:rsidRPr="00A259BD">
        <w:rPr>
          <w:rFonts w:ascii="Times New Roman" w:hAnsi="Times New Roman"/>
          <w:color w:val="000000" w:themeColor="text1"/>
          <w:sz w:val="16"/>
          <w:szCs w:val="16"/>
        </w:rPr>
        <w:t xml:space="preserve"> М. С. (11652).</w:t>
      </w:r>
    </w:p>
    <w:p w14:paraId="4F4A49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E6AA59"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F22187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A1131B8" w14:textId="77777777" w:rsidR="00762631" w:rsidRPr="00A259BD" w:rsidRDefault="007626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июля в 1929 году летчица </w:t>
      </w:r>
      <w:proofErr w:type="spellStart"/>
      <w:r w:rsidRPr="00A259BD">
        <w:rPr>
          <w:rFonts w:ascii="Times New Roman" w:hAnsi="Times New Roman"/>
          <w:color w:val="000000" w:themeColor="text1"/>
          <w:sz w:val="16"/>
          <w:szCs w:val="16"/>
        </w:rPr>
        <w:t>Maryse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Bastie</w:t>
      </w:r>
      <w:proofErr w:type="spellEnd"/>
      <w:r w:rsidRPr="00A259BD">
        <w:rPr>
          <w:rFonts w:ascii="Times New Roman" w:hAnsi="Times New Roman"/>
          <w:color w:val="000000" w:themeColor="text1"/>
          <w:sz w:val="16"/>
          <w:szCs w:val="16"/>
        </w:rPr>
        <w:t xml:space="preserve"> улучшила женский рекорд продолжительности полета - 26 часов 47 минут на французском легком многоцелевом самолете </w:t>
      </w:r>
      <w:hyperlink r:id="rId95" w:tgtFrame="_blank" w:history="1">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Caudron</w:t>
        </w:r>
        <w:proofErr w:type="spellEnd"/>
        <w:r w:rsidRPr="00A259BD">
          <w:rPr>
            <w:rFonts w:ascii="Times New Roman" w:hAnsi="Times New Roman"/>
            <w:color w:val="000000" w:themeColor="text1"/>
            <w:sz w:val="16"/>
            <w:szCs w:val="16"/>
          </w:rPr>
          <w:t>» «C.109».</w:t>
        </w:r>
      </w:hyperlink>
    </w:p>
    <w:p w14:paraId="60AD4B5D" w14:textId="77777777" w:rsidR="00762631" w:rsidRPr="00A259BD" w:rsidRDefault="00762631" w:rsidP="009236E3">
      <w:pPr>
        <w:spacing w:after="0" w:line="240" w:lineRule="auto"/>
        <w:jc w:val="both"/>
        <w:rPr>
          <w:rFonts w:ascii="Times New Roman" w:hAnsi="Times New Roman"/>
          <w:color w:val="000000" w:themeColor="text1"/>
          <w:sz w:val="16"/>
          <w:szCs w:val="16"/>
        </w:rPr>
      </w:pPr>
    </w:p>
    <w:p w14:paraId="733121B9" w14:textId="77777777" w:rsidR="00762631" w:rsidRPr="00A259BD" w:rsidRDefault="007626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июля в 1929 году подписана Женевская Конвенция по обращению с военнопленными (вступила в силу 19 июня 1931 г.)- та самая, которая действовала во время Второй Мировой войны. В настоящее время действует в редакции 1949 г. Из основных участников войны Конвенцию не подписали СССР и Япония. Кроме того, Германия нарушала положения данной Конвенции по отношению к военнопленным из СССР (14965).</w:t>
      </w:r>
    </w:p>
    <w:p w14:paraId="3EE7A879" w14:textId="77777777" w:rsidR="00762631" w:rsidRPr="00A259BD" w:rsidRDefault="00762631" w:rsidP="009236E3">
      <w:pPr>
        <w:spacing w:after="0" w:line="240" w:lineRule="auto"/>
        <w:jc w:val="both"/>
        <w:rPr>
          <w:rFonts w:ascii="Times New Roman" w:hAnsi="Times New Roman"/>
          <w:color w:val="000000" w:themeColor="text1"/>
          <w:sz w:val="16"/>
          <w:szCs w:val="16"/>
        </w:rPr>
      </w:pPr>
    </w:p>
    <w:p w14:paraId="583703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июля 1929 премьер-министр </w:t>
      </w:r>
      <w:proofErr w:type="spellStart"/>
      <w:r w:rsidRPr="00A259BD">
        <w:rPr>
          <w:rFonts w:ascii="Times New Roman" w:hAnsi="Times New Roman"/>
          <w:color w:val="000000" w:themeColor="text1"/>
          <w:sz w:val="16"/>
          <w:szCs w:val="16"/>
        </w:rPr>
        <w:t>Р.Пуанкаре</w:t>
      </w:r>
      <w:proofErr w:type="spellEnd"/>
      <w:r w:rsidRPr="00A259BD">
        <w:rPr>
          <w:rFonts w:ascii="Times New Roman" w:hAnsi="Times New Roman"/>
          <w:color w:val="000000" w:themeColor="text1"/>
          <w:sz w:val="16"/>
          <w:szCs w:val="16"/>
        </w:rPr>
        <w:t xml:space="preserve"> ушел в отставку и его пост занял </w:t>
      </w:r>
      <w:proofErr w:type="spellStart"/>
      <w:r w:rsidRPr="00A259BD">
        <w:rPr>
          <w:rFonts w:ascii="Times New Roman" w:hAnsi="Times New Roman"/>
          <w:color w:val="000000" w:themeColor="text1"/>
          <w:sz w:val="16"/>
          <w:szCs w:val="16"/>
        </w:rPr>
        <w:t>А.Бриан</w:t>
      </w:r>
      <w:proofErr w:type="spellEnd"/>
      <w:r w:rsidRPr="00A259BD">
        <w:rPr>
          <w:rFonts w:ascii="Times New Roman" w:hAnsi="Times New Roman"/>
          <w:color w:val="000000" w:themeColor="text1"/>
          <w:sz w:val="16"/>
          <w:szCs w:val="16"/>
        </w:rPr>
        <w:t xml:space="preserve"> (3907,157).</w:t>
      </w:r>
    </w:p>
    <w:p w14:paraId="519F3A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494F7D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июля 1929 три лидера итальянских антифашистов бежали из исправительной колонии на островах Липари (4962).</w:t>
      </w:r>
    </w:p>
    <w:p w14:paraId="41F44EF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872AF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088CEA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6DA7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28 июля 1929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писал в НТК УВВС </w:t>
      </w:r>
      <w:proofErr w:type="spellStart"/>
      <w:r w:rsidRPr="00A259BD">
        <w:rPr>
          <w:rFonts w:ascii="Times New Roman" w:hAnsi="Times New Roman"/>
          <w:color w:val="000000" w:themeColor="text1"/>
          <w:sz w:val="16"/>
          <w:szCs w:val="16"/>
        </w:rPr>
        <w:t>Н.М.Харламову</w:t>
      </w:r>
      <w:proofErr w:type="spellEnd"/>
      <w:r w:rsidRPr="00A259BD">
        <w:rPr>
          <w:rFonts w:ascii="Times New Roman" w:hAnsi="Times New Roman"/>
          <w:color w:val="000000" w:themeColor="text1"/>
          <w:sz w:val="16"/>
          <w:szCs w:val="16"/>
        </w:rPr>
        <w:t xml:space="preserve"> письмо N 180/4902 "О получении мотора 65 НР для самолета КС":</w:t>
      </w:r>
    </w:p>
    <w:p w14:paraId="38BECA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плане опытного самолетостроения предусмотрена в 1930 постройка самолета КС М-65.</w:t>
      </w:r>
    </w:p>
    <w:p w14:paraId="0A7E13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Желая иметь вполне реальный план по выполнению опытного строительства,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обратился 21 июня в НТК УВВС с просьбой указать, какие моторы намечены НТК УВВС для постановки на первые серии этих самолетов и когда их можно ожидать.</w:t>
      </w:r>
    </w:p>
    <w:p w14:paraId="21BDA7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указанный вопрос получилась отписка 1 секции, что у Треста есть мотор НАМИ 65 НР, который строится на заводе в Запорожье и поручение запросить, когда можно получить мотор.</w:t>
      </w:r>
    </w:p>
    <w:p w14:paraId="03E203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данную отписку Трест может считать лишь как формальную, а не ответ по существу. Мотор НАМИ 65 НР еще не испытывался, какие результаты даст - не известно. Строить же новый самолет без мотора - не рационально...(2339,256).</w:t>
      </w:r>
    </w:p>
    <w:p w14:paraId="10A586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341A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28 июля 1929 Дорнье-Валь </w:t>
      </w:r>
      <w:proofErr w:type="spellStart"/>
      <w:r w:rsidRPr="00A259BD">
        <w:rPr>
          <w:rFonts w:ascii="Times New Roman" w:hAnsi="Times New Roman"/>
          <w:color w:val="000000" w:themeColor="text1"/>
          <w:sz w:val="16"/>
          <w:szCs w:val="16"/>
        </w:rPr>
        <w:t>Б.Г.Чухновского</w:t>
      </w:r>
      <w:proofErr w:type="spellEnd"/>
      <w:r w:rsidRPr="00A259BD">
        <w:rPr>
          <w:rFonts w:ascii="Times New Roman" w:hAnsi="Times New Roman"/>
          <w:color w:val="000000" w:themeColor="text1"/>
          <w:sz w:val="16"/>
          <w:szCs w:val="16"/>
        </w:rPr>
        <w:t xml:space="preserve"> Комсеверпуть-1 Н-1, который вылетел из Севастополя 20 июля 1929 и прошел через Таганрог, Сталинград, Самару, Рыбинск, прибыл в Архангельск. Потом летал 3 недели на разведку льдов (99,156).</w:t>
      </w:r>
    </w:p>
    <w:p w14:paraId="1EE622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C992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28 июля 1929 полученный ДВ №130 перегнали через Таганрог, Сталинград, Самару и Рыбинск в Архангельск. Экипаж состоял из командира - летчика </w:t>
      </w:r>
      <w:proofErr w:type="spellStart"/>
      <w:r w:rsidRPr="00A259BD">
        <w:rPr>
          <w:rFonts w:ascii="Times New Roman" w:hAnsi="Times New Roman"/>
          <w:color w:val="000000" w:themeColor="text1"/>
          <w:sz w:val="16"/>
          <w:szCs w:val="16"/>
        </w:rPr>
        <w:t>Б.Г.Чухновского</w:t>
      </w:r>
      <w:proofErr w:type="spellEnd"/>
      <w:r w:rsidRPr="00A259BD">
        <w:rPr>
          <w:rFonts w:ascii="Times New Roman" w:hAnsi="Times New Roman"/>
          <w:color w:val="000000" w:themeColor="text1"/>
          <w:sz w:val="16"/>
          <w:szCs w:val="16"/>
        </w:rPr>
        <w:t xml:space="preserve">, летнаба А.Д. Алексеева, второго пилота </w:t>
      </w:r>
      <w:proofErr w:type="spellStart"/>
      <w:r w:rsidRPr="00A259BD">
        <w:rPr>
          <w:rFonts w:ascii="Times New Roman" w:hAnsi="Times New Roman"/>
          <w:color w:val="000000" w:themeColor="text1"/>
          <w:sz w:val="16"/>
          <w:szCs w:val="16"/>
        </w:rPr>
        <w:t>Г.А.Страу</w:t>
      </w:r>
      <w:proofErr w:type="spellEnd"/>
      <w:r w:rsidRPr="00A259BD">
        <w:rPr>
          <w:rFonts w:ascii="Times New Roman" w:hAnsi="Times New Roman"/>
          <w:color w:val="000000" w:themeColor="text1"/>
          <w:sz w:val="16"/>
          <w:szCs w:val="16"/>
        </w:rPr>
        <w:t xml:space="preserve">- бе, бортмеханика </w:t>
      </w:r>
      <w:proofErr w:type="spellStart"/>
      <w:r w:rsidRPr="00A259BD">
        <w:rPr>
          <w:rFonts w:ascii="Times New Roman" w:hAnsi="Times New Roman"/>
          <w:color w:val="000000" w:themeColor="text1"/>
          <w:sz w:val="16"/>
          <w:szCs w:val="16"/>
        </w:rPr>
        <w:t>А.С.Шелагина</w:t>
      </w:r>
      <w:proofErr w:type="spellEnd"/>
      <w:r w:rsidRPr="00A259BD">
        <w:rPr>
          <w:rFonts w:ascii="Times New Roman" w:hAnsi="Times New Roman"/>
          <w:color w:val="000000" w:themeColor="text1"/>
          <w:sz w:val="16"/>
          <w:szCs w:val="16"/>
        </w:rPr>
        <w:t>. Из Архангельска стартовали в направлении устья Енисея, где "Комсеверпуть-1" впервые сопровождал корабли Карской экспедиции, выполняя для них ледовую разведку. 19 августа самолет закончил работу в районе Югорского Шара и вылетел на Диксон. У берегов Ямала во время обхода тумана у одного из моторов сломался вертикальный распределительный валик, поэтому пришлось выполнить рискованную посадку на крупную зыбь. В дальнейшем штормовые волны залили рацию, и связь с землей прекратилась. Когда на следующий день непогода утихла, экипаж приступил к ремонту радио и мотора. В 15 часов, когда рация была уже настроена, запустили исправный мотор и пошли навстречу замеченному на горизонте судну. Это был ледокол "Красин", идущий к Енисею. 21 августа самолет подняли на его борт (по другим данным самолет погрузили на один из лесовозов Карской экспедиции). Через неделю летающая лодка с замененным мотором продолжила разведку в Карском море (11970).</w:t>
      </w:r>
    </w:p>
    <w:p w14:paraId="38FEB4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E7E83E0" w14:textId="77777777" w:rsidR="00867A2E" w:rsidRPr="00A259BD" w:rsidRDefault="00867A2E"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28 июля 1929, после тщательной подготовки к работе в полярных </w:t>
      </w:r>
      <w:proofErr w:type="spellStart"/>
      <w:r w:rsidRPr="00A259BD">
        <w:rPr>
          <w:rFonts w:ascii="Times New Roman" w:eastAsia="Times New Roman" w:hAnsi="Times New Roman"/>
          <w:color w:val="000000" w:themeColor="text1"/>
          <w:sz w:val="16"/>
          <w:szCs w:val="16"/>
          <w:lang w:eastAsia="ru-RU"/>
        </w:rPr>
        <w:t>условиях«Дорнье</w:t>
      </w:r>
      <w:proofErr w:type="spellEnd"/>
      <w:r w:rsidRPr="00A259BD">
        <w:rPr>
          <w:rFonts w:ascii="Times New Roman" w:eastAsia="Times New Roman" w:hAnsi="Times New Roman"/>
          <w:color w:val="000000" w:themeColor="text1"/>
          <w:sz w:val="16"/>
          <w:szCs w:val="16"/>
          <w:lang w:eastAsia="ru-RU"/>
        </w:rPr>
        <w:t xml:space="preserve"> Валь» под командованием </w:t>
      </w:r>
      <w:proofErr w:type="spellStart"/>
      <w:r w:rsidRPr="00A259BD">
        <w:rPr>
          <w:rFonts w:ascii="Times New Roman" w:eastAsia="Times New Roman" w:hAnsi="Times New Roman"/>
          <w:color w:val="000000" w:themeColor="text1"/>
          <w:sz w:val="16"/>
          <w:szCs w:val="16"/>
          <w:lang w:eastAsia="ru-RU"/>
        </w:rPr>
        <w:t>Чухновского</w:t>
      </w:r>
      <w:proofErr w:type="spellEnd"/>
      <w:r w:rsidRPr="00A259BD">
        <w:rPr>
          <w:rFonts w:ascii="Times New Roman" w:eastAsia="Times New Roman" w:hAnsi="Times New Roman"/>
          <w:color w:val="000000" w:themeColor="text1"/>
          <w:sz w:val="16"/>
          <w:szCs w:val="16"/>
          <w:lang w:eastAsia="ru-RU"/>
        </w:rPr>
        <w:t>, который 20 июля вылетел из Севастополя в Архангельск, вылетел далее в Баренцево море, где присоединился к судам Карской экспедиции, избрав своей базой ледокол «Красин».</w:t>
      </w:r>
    </w:p>
    <w:p w14:paraId="56961C83" w14:textId="77777777" w:rsidR="00867A2E" w:rsidRPr="00A259BD" w:rsidRDefault="00867A2E"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1929 году «Добролетом» и «Осоавиахимом», кроме масштабных международных перелетов «Крыльев Советов» и «Страны Советов», были организованы и новые арктические воздушные экспедиции.</w:t>
      </w:r>
    </w:p>
    <w:p w14:paraId="57D0BC68" w14:textId="77777777" w:rsidR="00867A2E" w:rsidRPr="00A259BD" w:rsidRDefault="00867A2E"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Первая из них имела исключительно прагматичные цели. Гидросамолет «Дорнье Валь», с экипажем в составе: летчиков Б.Г. </w:t>
      </w:r>
      <w:proofErr w:type="spellStart"/>
      <w:r w:rsidRPr="00A259BD">
        <w:rPr>
          <w:rFonts w:ascii="Times New Roman" w:eastAsia="Times New Roman" w:hAnsi="Times New Roman"/>
          <w:color w:val="000000" w:themeColor="text1"/>
          <w:sz w:val="16"/>
          <w:szCs w:val="16"/>
          <w:lang w:eastAsia="ru-RU"/>
        </w:rPr>
        <w:t>Чухновского</w:t>
      </w:r>
      <w:proofErr w:type="spellEnd"/>
      <w:r w:rsidRPr="00A259BD">
        <w:rPr>
          <w:rFonts w:ascii="Times New Roman" w:eastAsia="Times New Roman" w:hAnsi="Times New Roman"/>
          <w:color w:val="000000" w:themeColor="text1"/>
          <w:sz w:val="16"/>
          <w:szCs w:val="16"/>
          <w:lang w:eastAsia="ru-RU"/>
        </w:rPr>
        <w:t xml:space="preserve"> и А.Г. </w:t>
      </w:r>
      <w:proofErr w:type="spellStart"/>
      <w:r w:rsidRPr="00A259BD">
        <w:rPr>
          <w:rFonts w:ascii="Times New Roman" w:eastAsia="Times New Roman" w:hAnsi="Times New Roman"/>
          <w:color w:val="000000" w:themeColor="text1"/>
          <w:sz w:val="16"/>
          <w:szCs w:val="16"/>
          <w:lang w:eastAsia="ru-RU"/>
        </w:rPr>
        <w:t>Страубе</w:t>
      </w:r>
      <w:proofErr w:type="spellEnd"/>
      <w:r w:rsidRPr="00A259BD">
        <w:rPr>
          <w:rFonts w:ascii="Times New Roman" w:eastAsia="Times New Roman" w:hAnsi="Times New Roman"/>
          <w:color w:val="000000" w:themeColor="text1"/>
          <w:sz w:val="16"/>
          <w:szCs w:val="16"/>
          <w:lang w:eastAsia="ru-RU"/>
        </w:rPr>
        <w:t xml:space="preserve">, летчика-наблюдателя А.Д. Алексеева и механика А.В. </w:t>
      </w:r>
      <w:proofErr w:type="spellStart"/>
      <w:r w:rsidRPr="00A259BD">
        <w:rPr>
          <w:rFonts w:ascii="Times New Roman" w:eastAsia="Times New Roman" w:hAnsi="Times New Roman"/>
          <w:color w:val="000000" w:themeColor="text1"/>
          <w:sz w:val="16"/>
          <w:szCs w:val="16"/>
          <w:lang w:eastAsia="ru-RU"/>
        </w:rPr>
        <w:t>Шелагина</w:t>
      </w:r>
      <w:proofErr w:type="spellEnd"/>
      <w:r w:rsidRPr="00A259BD">
        <w:rPr>
          <w:rFonts w:ascii="Times New Roman" w:eastAsia="Times New Roman" w:hAnsi="Times New Roman"/>
          <w:color w:val="000000" w:themeColor="text1"/>
          <w:sz w:val="16"/>
          <w:szCs w:val="16"/>
          <w:lang w:eastAsia="ru-RU"/>
        </w:rPr>
        <w:t>, должен был обеспечить проводку судов Северным морским путем в сложной ледовой обстановке, сложившейся в том году в Баренцевом и Карском морях.</w:t>
      </w:r>
    </w:p>
    <w:p w14:paraId="7DD8D46B" w14:textId="77777777" w:rsidR="00867A2E" w:rsidRPr="00A259BD" w:rsidRDefault="00867A2E"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Применение самолета в роли ледового разведчика целиком оправдало себя, и в этом году Карская экспедиция полностью выполнила свою работу. Не было ни одного застрявшего или поврежденного льдами судна.</w:t>
      </w:r>
    </w:p>
    <w:p w14:paraId="025A09A1" w14:textId="77777777" w:rsidR="00867A2E" w:rsidRPr="00A259BD" w:rsidRDefault="00867A2E"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Закончив работу в районе Югорского шара, 19 августа летчики вылетели на восток к порту Диксон в устье реки Енисея, но на пути их постигла неудача. На четвертом часу полета сломался вертикальный распределительный валик. Посадка на крупную зыбь прошла благополучно. Ветер перешел в шторм, временами до 6 баллов. На следующий день, как только шторм утих, команда приступила к ремонту.</w:t>
      </w:r>
    </w:p>
    <w:p w14:paraId="53302999" w14:textId="77777777" w:rsidR="00867A2E" w:rsidRPr="00A259BD" w:rsidRDefault="00867A2E"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15 часов летчики заметили на горизонте судно, дали свой пеленг и пошли на одном моторе навстречу. Ночью 21 августа самолет был поднят на борт судна, оказавшегося пароходом «Леонид Красин» (не путать с ледоколом «Красин»), направлявшегося в устье реки Енисея.</w:t>
      </w:r>
    </w:p>
    <w:p w14:paraId="79B8B0B1" w14:textId="77777777" w:rsidR="00867A2E" w:rsidRPr="00A259BD" w:rsidRDefault="00867A2E"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Пароход доставил самолет и его экипаж на Диксон, откуда они выполнили ряд полетов для проверки морских карт.</w:t>
      </w:r>
    </w:p>
    <w:p w14:paraId="3D5F6C8A" w14:textId="77777777" w:rsidR="00867A2E" w:rsidRPr="00A259BD" w:rsidRDefault="00867A2E"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За все время работы «Дорнье Валь» </w:t>
      </w:r>
      <w:proofErr w:type="spellStart"/>
      <w:r w:rsidRPr="00A259BD">
        <w:rPr>
          <w:rFonts w:ascii="Times New Roman" w:eastAsia="Times New Roman" w:hAnsi="Times New Roman"/>
          <w:color w:val="000000" w:themeColor="text1"/>
          <w:sz w:val="16"/>
          <w:szCs w:val="16"/>
          <w:lang w:eastAsia="ru-RU"/>
        </w:rPr>
        <w:t>Чухновского</w:t>
      </w:r>
      <w:proofErr w:type="spellEnd"/>
      <w:r w:rsidRPr="00A259BD">
        <w:rPr>
          <w:rFonts w:ascii="Times New Roman" w:eastAsia="Times New Roman" w:hAnsi="Times New Roman"/>
          <w:color w:val="000000" w:themeColor="text1"/>
          <w:sz w:val="16"/>
          <w:szCs w:val="16"/>
          <w:lang w:eastAsia="ru-RU"/>
        </w:rPr>
        <w:t xml:space="preserve"> в общей сложности налетал 76 часов (21249).</w:t>
      </w:r>
    </w:p>
    <w:p w14:paraId="10D3B5E3" w14:textId="77777777" w:rsidR="00867A2E" w:rsidRPr="00A259BD" w:rsidRDefault="00867A2E" w:rsidP="009236E3">
      <w:pPr>
        <w:spacing w:after="0" w:line="240" w:lineRule="auto"/>
        <w:jc w:val="both"/>
        <w:rPr>
          <w:rFonts w:ascii="Times New Roman" w:hAnsi="Times New Roman"/>
          <w:color w:val="000000" w:themeColor="text1"/>
          <w:sz w:val="16"/>
          <w:szCs w:val="16"/>
        </w:rPr>
      </w:pPr>
    </w:p>
    <w:p w14:paraId="1E6F7B8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5E1DF6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54531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июля 1929 летные испытания второго Р-5 возобновились, и они шли до 29 августа. Полеты оставили вполне положительное впечатление у летчиков В.О. Писаренко и B.C. </w:t>
      </w:r>
      <w:proofErr w:type="spellStart"/>
      <w:r w:rsidRPr="00A259BD">
        <w:rPr>
          <w:rFonts w:ascii="Times New Roman" w:hAnsi="Times New Roman"/>
          <w:color w:val="000000" w:themeColor="text1"/>
          <w:sz w:val="16"/>
          <w:szCs w:val="16"/>
        </w:rPr>
        <w:t>Волко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войнова</w:t>
      </w:r>
      <w:proofErr w:type="spellEnd"/>
      <w:r w:rsidRPr="00A259BD">
        <w:rPr>
          <w:rFonts w:ascii="Times New Roman" w:hAnsi="Times New Roman"/>
          <w:color w:val="000000" w:themeColor="text1"/>
          <w:sz w:val="16"/>
          <w:szCs w:val="16"/>
        </w:rPr>
        <w:t xml:space="preserve">, которые дали очень благоприятное заключение. Несмотря на некоторое увеличение веса, переделка </w:t>
      </w:r>
      <w:proofErr w:type="spellStart"/>
      <w:r w:rsidRPr="00A259BD">
        <w:rPr>
          <w:rFonts w:ascii="Times New Roman" w:hAnsi="Times New Roman"/>
          <w:color w:val="000000" w:themeColor="text1"/>
          <w:sz w:val="16"/>
          <w:szCs w:val="16"/>
        </w:rPr>
        <w:t>мотоустановки</w:t>
      </w:r>
      <w:proofErr w:type="spellEnd"/>
      <w:r w:rsidRPr="00A259BD">
        <w:rPr>
          <w:rFonts w:ascii="Times New Roman" w:hAnsi="Times New Roman"/>
          <w:color w:val="000000" w:themeColor="text1"/>
          <w:sz w:val="16"/>
          <w:szCs w:val="16"/>
        </w:rPr>
        <w:t xml:space="preserve"> принесла свои результаты. В отчете записали: "...летные качества значительно повысились и полностью удовлетворяют предъявленным техническим требованиям". Правда, пробег остался слишком большим.</w:t>
      </w:r>
    </w:p>
    <w:p w14:paraId="3A7906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самолет испытывали в двух вариантах: как разведчик и как легкий бомбардировщик, причем бомбовая нагрузка доходила до 800 кг - намного больше, чем предусматривалось заданием (250-300 кг). Под фюзеляжем поставили балки для бомб калибром до 250 кг, скопированные с французского образца (потом их приняли на вооружение под обозначением Дер-13). Значительное увеличение нагрузки не прошло бесследно, появились деформации нижнего крыла. Поэтому предложили усилить передний лонжерон и поставить бобышки в местах установки бомбодержателей.</w:t>
      </w:r>
    </w:p>
    <w:p w14:paraId="500264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образец унаследовал часть дефектов первого. Испытатели отметили склонность к капотированию, запаздывание с выходом из штопора, потерю устойчивости на пикировании, разбалтывание панелей капота, течь радиатора. Изношенную пятку костыля пришлось дважды менять.</w:t>
      </w:r>
    </w:p>
    <w:p w14:paraId="06E114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Испытания завершились перелетом Москва-Севастополь-Москва. Для этого машину оснастили дополнительным баком на 161 кг бензина. Экипаж состоял из Писаренко и заместителя начальника УВВС Я.И. Алксниса. Не следует переоценивать роль последнего: тогда Алкснис был лишь поспешно обученным любителем. Так что основную работу делал, конечно, Писаренко. Между Тарусой и Алексином пришлось сделать вынужденную посадку - потек радиатор. Долив три ведра воды из речки, полетели дальше. Перелет завершился благополучно. </w:t>
      </w:r>
    </w:p>
    <w:p w14:paraId="03CE67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Эталонами для серии должны были стать третий и четвертый Р-5 (11936).</w:t>
      </w:r>
    </w:p>
    <w:p w14:paraId="206532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4A72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июля 1929 после ремонта летные испытания Р-5 возобновились, они шли до 29 августа. Полеты оставили вполне положительное впечатление. Проводившие испытания летчики В.О. Писаренко и B.C. Волковой нов дал и очень благоприятное заключение. Несмотря на некоторое увеличение веса, переделка </w:t>
      </w:r>
      <w:proofErr w:type="spellStart"/>
      <w:r w:rsidRPr="00A259BD">
        <w:rPr>
          <w:rFonts w:ascii="Times New Roman" w:hAnsi="Times New Roman"/>
          <w:color w:val="000000" w:themeColor="text1"/>
          <w:sz w:val="16"/>
          <w:szCs w:val="16"/>
        </w:rPr>
        <w:t>мотоустановки</w:t>
      </w:r>
      <w:proofErr w:type="spellEnd"/>
      <w:r w:rsidRPr="00A259BD">
        <w:rPr>
          <w:rFonts w:ascii="Times New Roman" w:hAnsi="Times New Roman"/>
          <w:color w:val="000000" w:themeColor="text1"/>
          <w:sz w:val="16"/>
          <w:szCs w:val="16"/>
        </w:rPr>
        <w:t xml:space="preserve"> принесла свои результаты. В отчете записали: "..летные качества значительно повысились и полностью удовлетворяют предъявленным техническим требованиям". Единственный пункт, который выдержать не удалось, - пробег на посадке, который оставался слишком велик.</w:t>
      </w:r>
    </w:p>
    <w:p w14:paraId="7413B7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Второй самолет испытывали с двумя вариантами загрузки: как разведчик и как легкий бомбардировщик, причем бомбовая нагрузка доходила до 800 кг - значительно больше, чем предусматривалось техническим заданием. Последнее требовало нагрузку из восьми бомб по 32 кг (в сумме 256 кг) или четырех по 75 кг (300 кг). Для этого под фюзеляжем поставили балки для бомб калибром до 250 кг, скопированные с французского образца (потом их приняли на вооружение как Дер-13). Однако столь значительное увеличение нагрузки не прошло бесследно. Выявились нежелательные деформации нижнего крыла. Поэтому предложили впоследствии усилить передний лонжерон и установить дополнительные бобышки в местах установки бомбодержателей. В качестве бомбардировщика Р-5 сравнивался с </w:t>
      </w:r>
      <w:proofErr w:type="spellStart"/>
      <w:r w:rsidRPr="00A259BD">
        <w:rPr>
          <w:rFonts w:ascii="Times New Roman" w:hAnsi="Times New Roman"/>
          <w:color w:val="000000" w:themeColor="text1"/>
          <w:sz w:val="16"/>
          <w:szCs w:val="16"/>
        </w:rPr>
        <w:t>испытывавшимися</w:t>
      </w:r>
      <w:proofErr w:type="spellEnd"/>
      <w:r w:rsidRPr="00A259BD">
        <w:rPr>
          <w:rFonts w:ascii="Times New Roman" w:hAnsi="Times New Roman"/>
          <w:color w:val="000000" w:themeColor="text1"/>
          <w:sz w:val="16"/>
          <w:szCs w:val="16"/>
        </w:rPr>
        <w:t xml:space="preserve"> в НИИ ВВС французскими самолетами Бреге </w:t>
      </w:r>
      <w:proofErr w:type="spellStart"/>
      <w:r w:rsidRPr="00A259BD">
        <w:rPr>
          <w:rFonts w:ascii="Times New Roman" w:hAnsi="Times New Roman"/>
          <w:color w:val="000000" w:themeColor="text1"/>
          <w:sz w:val="16"/>
          <w:szCs w:val="16"/>
        </w:rPr>
        <w:t>Br</w:t>
      </w:r>
      <w:proofErr w:type="spellEnd"/>
      <w:r w:rsidRPr="00A259BD">
        <w:rPr>
          <w:rFonts w:ascii="Times New Roman" w:hAnsi="Times New Roman"/>
          <w:color w:val="000000" w:themeColor="text1"/>
          <w:sz w:val="16"/>
          <w:szCs w:val="16"/>
        </w:rPr>
        <w:t xml:space="preserve"> 19В2 и </w:t>
      </w:r>
      <w:proofErr w:type="spellStart"/>
      <w:r w:rsidRPr="00A259BD">
        <w:rPr>
          <w:rFonts w:ascii="Times New Roman" w:hAnsi="Times New Roman"/>
          <w:color w:val="000000" w:themeColor="text1"/>
          <w:sz w:val="16"/>
          <w:szCs w:val="16"/>
        </w:rPr>
        <w:t>Потэ</w:t>
      </w:r>
      <w:proofErr w:type="spellEnd"/>
      <w:r w:rsidRPr="00A259BD">
        <w:rPr>
          <w:rFonts w:ascii="Times New Roman" w:hAnsi="Times New Roman"/>
          <w:color w:val="000000" w:themeColor="text1"/>
          <w:sz w:val="16"/>
          <w:szCs w:val="16"/>
        </w:rPr>
        <w:t xml:space="preserve"> 25А2, которые при куда меньшем полетном весе уступали советской машине по всем показателям.</w:t>
      </w:r>
    </w:p>
    <w:p w14:paraId="3385D4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ходе испытаний доработали установку пулемета П В-1. 28-29 августа на повторных стрельбах все прошло удовлетворительно.</w:t>
      </w:r>
    </w:p>
    <w:p w14:paraId="303614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Второй опытный образец унаследовал часть дефектов первого. Испытатели отметили склонность к капотированию, запаздывание с выходом из штопора, потерю устойчивости на пикировании, разбалтывание панелей капота, течь радиатора. Изношенную пятку костыля пришлось дважды заменять. Штурвал подъема радиатора "дышал", когда его </w:t>
      </w:r>
      <w:proofErr w:type="spellStart"/>
      <w:r w:rsidRPr="00A259BD">
        <w:rPr>
          <w:rFonts w:ascii="Times New Roman" w:hAnsi="Times New Roman"/>
          <w:color w:val="000000" w:themeColor="text1"/>
          <w:sz w:val="16"/>
          <w:szCs w:val="16"/>
        </w:rPr>
        <w:t>кругили</w:t>
      </w:r>
      <w:proofErr w:type="spellEnd"/>
      <w:r w:rsidRPr="00A259BD">
        <w:rPr>
          <w:rFonts w:ascii="Times New Roman" w:hAnsi="Times New Roman"/>
          <w:color w:val="000000" w:themeColor="text1"/>
          <w:sz w:val="16"/>
          <w:szCs w:val="16"/>
        </w:rPr>
        <w:t>.</w:t>
      </w:r>
    </w:p>
    <w:p w14:paraId="25CBE8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Испытания завершились перелетом Москва - Севастополь - Москва. Для этого машину оснастили дополнительным баком на 161 кг бензина. Экипаж состоял из Писаренко и заместителя начальника УВВС Я.И. </w:t>
      </w:r>
      <w:proofErr w:type="spellStart"/>
      <w:r w:rsidRPr="00A259BD">
        <w:rPr>
          <w:rFonts w:ascii="Times New Roman" w:hAnsi="Times New Roman"/>
          <w:color w:val="000000" w:themeColor="text1"/>
          <w:sz w:val="16"/>
          <w:szCs w:val="16"/>
        </w:rPr>
        <w:t>Алкснilea</w:t>
      </w:r>
      <w:proofErr w:type="spellEnd"/>
      <w:r w:rsidRPr="00A259BD">
        <w:rPr>
          <w:rFonts w:ascii="Times New Roman" w:hAnsi="Times New Roman"/>
          <w:color w:val="000000" w:themeColor="text1"/>
          <w:sz w:val="16"/>
          <w:szCs w:val="16"/>
        </w:rPr>
        <w:t>. Не следует переоценивать роль последнего: его вместе с ромбами в петлицах перевели в ВВС из пехоты. Тогда Алкснис был лишь поспешно обученным любителем без пилотского диплома. Так что основную работу делал, конечно, Писаренко.</w:t>
      </w:r>
    </w:p>
    <w:p w14:paraId="1AA49F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обратном пути произошло неприятное событие. Между Тарусой и Алексином пришлось сделать вынужденную посадку на лугу - потек радиатор. Но все оказалось просто. Долив три ведра воды из речки, полетели дальше (12034).</w:t>
      </w:r>
    </w:p>
    <w:p w14:paraId="389028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6B4A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июля 1929 - решением распорядительного заседания СТО было одобрено широкое привлечение иностранной технической помощи в интересах развития отечественного авиастроения (80,431).</w:t>
      </w:r>
    </w:p>
    <w:p w14:paraId="682110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529E79F" w14:textId="77777777" w:rsidR="00AA3E76" w:rsidRPr="006B74EB" w:rsidRDefault="00AA3E76" w:rsidP="00AA3E76">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29 июля 1929 г. </w:t>
      </w:r>
      <w:r w:rsidRPr="006B74EB">
        <w:rPr>
          <w:rFonts w:ascii="Times New Roman" w:hAnsi="Times New Roman"/>
          <w:color w:val="0070C0"/>
          <w:sz w:val="16"/>
          <w:szCs w:val="16"/>
        </w:rPr>
        <w:t xml:space="preserve">Совет Труда </w:t>
      </w:r>
      <w:r>
        <w:rPr>
          <w:rFonts w:ascii="Times New Roman" w:hAnsi="Times New Roman"/>
          <w:color w:val="0070C0"/>
          <w:sz w:val="16"/>
          <w:szCs w:val="16"/>
        </w:rPr>
        <w:t>и</w:t>
      </w:r>
      <w:r w:rsidRPr="006B74EB">
        <w:rPr>
          <w:rFonts w:ascii="Times New Roman" w:hAnsi="Times New Roman"/>
          <w:color w:val="0070C0"/>
          <w:sz w:val="16"/>
          <w:szCs w:val="16"/>
        </w:rPr>
        <w:t xml:space="preserve"> Оборони вынес постановление о </w:t>
      </w:r>
      <w:r>
        <w:rPr>
          <w:rFonts w:ascii="Times New Roman" w:hAnsi="Times New Roman"/>
          <w:color w:val="0070C0"/>
          <w:sz w:val="16"/>
          <w:szCs w:val="16"/>
        </w:rPr>
        <w:t>м</w:t>
      </w:r>
      <w:r w:rsidRPr="006B74EB">
        <w:rPr>
          <w:rFonts w:ascii="Times New Roman" w:hAnsi="Times New Roman"/>
          <w:color w:val="0070C0"/>
          <w:sz w:val="16"/>
          <w:szCs w:val="16"/>
        </w:rPr>
        <w:t>еропр</w:t>
      </w:r>
      <w:r>
        <w:rPr>
          <w:rFonts w:ascii="Times New Roman" w:hAnsi="Times New Roman"/>
          <w:color w:val="0070C0"/>
          <w:sz w:val="16"/>
          <w:szCs w:val="16"/>
        </w:rPr>
        <w:t xml:space="preserve">иятиях по </w:t>
      </w:r>
      <w:r w:rsidRPr="006B74EB">
        <w:rPr>
          <w:rFonts w:ascii="Times New Roman" w:hAnsi="Times New Roman"/>
          <w:color w:val="0070C0"/>
          <w:sz w:val="16"/>
          <w:szCs w:val="16"/>
        </w:rPr>
        <w:t>развитию авиапромышленности:</w:t>
      </w:r>
      <w:r>
        <w:rPr>
          <w:rFonts w:ascii="Times New Roman" w:hAnsi="Times New Roman"/>
          <w:color w:val="0070C0"/>
          <w:sz w:val="16"/>
          <w:szCs w:val="16"/>
        </w:rPr>
        <w:t xml:space="preserve"> </w:t>
      </w:r>
      <w:r w:rsidRPr="006B74EB">
        <w:rPr>
          <w:rFonts w:ascii="Times New Roman" w:hAnsi="Times New Roman"/>
          <w:color w:val="0070C0"/>
          <w:sz w:val="16"/>
          <w:szCs w:val="16"/>
        </w:rPr>
        <w:t>а/</w:t>
      </w:r>
      <w:r>
        <w:rPr>
          <w:rFonts w:ascii="Times New Roman" w:hAnsi="Times New Roman"/>
          <w:color w:val="0070C0"/>
          <w:sz w:val="16"/>
          <w:szCs w:val="16"/>
        </w:rPr>
        <w:t xml:space="preserve"> </w:t>
      </w:r>
      <w:r w:rsidRPr="006B74EB">
        <w:rPr>
          <w:rFonts w:ascii="Times New Roman" w:hAnsi="Times New Roman"/>
          <w:color w:val="0070C0"/>
          <w:sz w:val="16"/>
          <w:szCs w:val="16"/>
        </w:rPr>
        <w:t>образовать комиссию под</w:t>
      </w:r>
      <w:r>
        <w:rPr>
          <w:rFonts w:ascii="Times New Roman" w:hAnsi="Times New Roman"/>
          <w:color w:val="0070C0"/>
          <w:sz w:val="16"/>
          <w:szCs w:val="16"/>
        </w:rPr>
        <w:t xml:space="preserve"> предсе</w:t>
      </w:r>
      <w:r w:rsidRPr="006B74EB">
        <w:rPr>
          <w:rFonts w:ascii="Times New Roman" w:hAnsi="Times New Roman"/>
          <w:color w:val="0070C0"/>
          <w:sz w:val="16"/>
          <w:szCs w:val="16"/>
        </w:rPr>
        <w:t>датель</w:t>
      </w:r>
      <w:r>
        <w:rPr>
          <w:rFonts w:ascii="Times New Roman" w:hAnsi="Times New Roman"/>
          <w:color w:val="0070C0"/>
          <w:sz w:val="16"/>
          <w:szCs w:val="16"/>
        </w:rPr>
        <w:t>с</w:t>
      </w:r>
      <w:r w:rsidRPr="006B74EB">
        <w:rPr>
          <w:rFonts w:ascii="Times New Roman" w:hAnsi="Times New Roman"/>
          <w:color w:val="0070C0"/>
          <w:sz w:val="16"/>
          <w:szCs w:val="16"/>
        </w:rPr>
        <w:t xml:space="preserve">твом </w:t>
      </w:r>
      <w:proofErr w:type="spellStart"/>
      <w:r w:rsidRPr="006B74EB">
        <w:rPr>
          <w:rFonts w:ascii="Times New Roman" w:hAnsi="Times New Roman"/>
          <w:color w:val="0070C0"/>
          <w:sz w:val="16"/>
          <w:szCs w:val="16"/>
        </w:rPr>
        <w:t>У</w:t>
      </w:r>
      <w:r>
        <w:rPr>
          <w:rFonts w:ascii="Times New Roman" w:hAnsi="Times New Roman"/>
          <w:color w:val="0070C0"/>
          <w:sz w:val="16"/>
          <w:szCs w:val="16"/>
        </w:rPr>
        <w:t>н</w:t>
      </w:r>
      <w:r w:rsidRPr="006B74EB">
        <w:rPr>
          <w:rFonts w:ascii="Times New Roman" w:hAnsi="Times New Roman"/>
          <w:color w:val="0070C0"/>
          <w:sz w:val="16"/>
          <w:szCs w:val="16"/>
        </w:rPr>
        <w:t>шлихта</w:t>
      </w:r>
      <w:proofErr w:type="spellEnd"/>
      <w:r w:rsidRPr="006B74EB">
        <w:rPr>
          <w:rFonts w:ascii="Times New Roman" w:hAnsi="Times New Roman"/>
          <w:color w:val="0070C0"/>
          <w:sz w:val="16"/>
          <w:szCs w:val="16"/>
        </w:rPr>
        <w:t xml:space="preserve"> для разработки постановления ра</w:t>
      </w:r>
      <w:r>
        <w:rPr>
          <w:rFonts w:ascii="Times New Roman" w:hAnsi="Times New Roman"/>
          <w:color w:val="0070C0"/>
          <w:sz w:val="16"/>
          <w:szCs w:val="16"/>
        </w:rPr>
        <w:t>сширенного</w:t>
      </w:r>
      <w:r w:rsidRPr="006B74EB">
        <w:rPr>
          <w:rFonts w:ascii="Times New Roman" w:hAnsi="Times New Roman"/>
          <w:color w:val="0070C0"/>
          <w:sz w:val="16"/>
          <w:szCs w:val="16"/>
        </w:rPr>
        <w:t xml:space="preserve"> заседания СТО,</w:t>
      </w:r>
      <w:r>
        <w:rPr>
          <w:rFonts w:ascii="Times New Roman" w:hAnsi="Times New Roman"/>
          <w:color w:val="0070C0"/>
          <w:sz w:val="16"/>
          <w:szCs w:val="16"/>
        </w:rPr>
        <w:t xml:space="preserve"> </w:t>
      </w:r>
      <w:r w:rsidRPr="006B74EB">
        <w:rPr>
          <w:rFonts w:ascii="Times New Roman" w:hAnsi="Times New Roman"/>
          <w:color w:val="0070C0"/>
          <w:sz w:val="16"/>
          <w:szCs w:val="16"/>
        </w:rPr>
        <w:t>руководствуясь при этом.</w:t>
      </w:r>
      <w:r>
        <w:rPr>
          <w:rFonts w:ascii="Times New Roman" w:hAnsi="Times New Roman"/>
          <w:color w:val="0070C0"/>
          <w:sz w:val="16"/>
          <w:szCs w:val="16"/>
        </w:rPr>
        <w:t xml:space="preserve"> </w:t>
      </w:r>
      <w:r w:rsidRPr="006B74EB">
        <w:rPr>
          <w:rFonts w:ascii="Times New Roman" w:hAnsi="Times New Roman"/>
          <w:color w:val="0070C0"/>
          <w:sz w:val="16"/>
          <w:szCs w:val="16"/>
        </w:rPr>
        <w:t>ВСНХ должен и</w:t>
      </w:r>
      <w:r>
        <w:rPr>
          <w:rFonts w:ascii="Times New Roman" w:hAnsi="Times New Roman"/>
          <w:color w:val="0070C0"/>
          <w:sz w:val="16"/>
          <w:szCs w:val="16"/>
        </w:rPr>
        <w:t xml:space="preserve">сходить из </w:t>
      </w:r>
      <w:r w:rsidRPr="006B74EB">
        <w:rPr>
          <w:rFonts w:ascii="Times New Roman" w:hAnsi="Times New Roman"/>
          <w:color w:val="0070C0"/>
          <w:sz w:val="16"/>
          <w:szCs w:val="16"/>
        </w:rPr>
        <w:t xml:space="preserve">необходимости удовлетворения заявки </w:t>
      </w:r>
      <w:r>
        <w:rPr>
          <w:rFonts w:ascii="Times New Roman" w:hAnsi="Times New Roman"/>
          <w:color w:val="0070C0"/>
          <w:sz w:val="16"/>
          <w:szCs w:val="16"/>
        </w:rPr>
        <w:t xml:space="preserve">НКВМ </w:t>
      </w:r>
      <w:r w:rsidRPr="006B74EB">
        <w:rPr>
          <w:rFonts w:ascii="Times New Roman" w:hAnsi="Times New Roman"/>
          <w:color w:val="0070C0"/>
          <w:sz w:val="16"/>
          <w:szCs w:val="16"/>
        </w:rPr>
        <w:t>в 6865 самоле</w:t>
      </w:r>
      <w:r>
        <w:rPr>
          <w:rFonts w:ascii="Times New Roman" w:hAnsi="Times New Roman"/>
          <w:color w:val="0070C0"/>
          <w:sz w:val="16"/>
          <w:szCs w:val="16"/>
        </w:rPr>
        <w:t xml:space="preserve">тов и 8010 </w:t>
      </w:r>
      <w:r w:rsidRPr="006B74EB">
        <w:rPr>
          <w:rFonts w:ascii="Times New Roman" w:hAnsi="Times New Roman"/>
          <w:color w:val="0070C0"/>
          <w:sz w:val="16"/>
          <w:szCs w:val="16"/>
        </w:rPr>
        <w:t xml:space="preserve">моторов на год ведения </w:t>
      </w:r>
      <w:proofErr w:type="spellStart"/>
      <w:r w:rsidRPr="006B74EB">
        <w:rPr>
          <w:rFonts w:ascii="Times New Roman" w:hAnsi="Times New Roman"/>
          <w:color w:val="0070C0"/>
          <w:sz w:val="16"/>
          <w:szCs w:val="16"/>
        </w:rPr>
        <w:t>войнн</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б/</w:t>
      </w:r>
      <w:r>
        <w:rPr>
          <w:rFonts w:ascii="Times New Roman" w:hAnsi="Times New Roman"/>
          <w:color w:val="0070C0"/>
          <w:sz w:val="16"/>
          <w:szCs w:val="16"/>
        </w:rPr>
        <w:t xml:space="preserve"> </w:t>
      </w:r>
      <w:r w:rsidRPr="006B74EB">
        <w:rPr>
          <w:rFonts w:ascii="Times New Roman" w:hAnsi="Times New Roman"/>
          <w:color w:val="0070C0"/>
          <w:sz w:val="16"/>
          <w:szCs w:val="16"/>
        </w:rPr>
        <w:t>подтвердить необходи</w:t>
      </w:r>
      <w:r>
        <w:rPr>
          <w:rFonts w:ascii="Times New Roman" w:hAnsi="Times New Roman"/>
          <w:color w:val="0070C0"/>
          <w:sz w:val="16"/>
          <w:szCs w:val="16"/>
        </w:rPr>
        <w:t xml:space="preserve">мость </w:t>
      </w:r>
      <w:proofErr w:type="spellStart"/>
      <w:r>
        <w:rPr>
          <w:rFonts w:ascii="Times New Roman" w:hAnsi="Times New Roman"/>
          <w:color w:val="0070C0"/>
          <w:sz w:val="16"/>
          <w:szCs w:val="16"/>
        </w:rPr>
        <w:t>ши</w:t>
      </w:r>
      <w:r w:rsidRPr="006B74EB">
        <w:rPr>
          <w:rFonts w:ascii="Times New Roman" w:hAnsi="Times New Roman"/>
          <w:color w:val="0070C0"/>
          <w:sz w:val="16"/>
          <w:szCs w:val="16"/>
        </w:rPr>
        <w:t>po</w:t>
      </w:r>
      <w:r>
        <w:rPr>
          <w:rFonts w:ascii="Times New Roman" w:hAnsi="Times New Roman"/>
          <w:color w:val="0070C0"/>
          <w:sz w:val="16"/>
          <w:szCs w:val="16"/>
        </w:rPr>
        <w:t>к</w:t>
      </w:r>
      <w:r w:rsidRPr="006B74EB">
        <w:rPr>
          <w:rFonts w:ascii="Times New Roman" w:hAnsi="Times New Roman"/>
          <w:color w:val="0070C0"/>
          <w:sz w:val="16"/>
          <w:szCs w:val="16"/>
        </w:rPr>
        <w:t>oro</w:t>
      </w:r>
      <w:proofErr w:type="spellEnd"/>
      <w:r w:rsidRPr="006B74EB">
        <w:rPr>
          <w:rFonts w:ascii="Times New Roman" w:hAnsi="Times New Roman"/>
          <w:color w:val="0070C0"/>
          <w:sz w:val="16"/>
          <w:szCs w:val="16"/>
        </w:rPr>
        <w:t xml:space="preserve"> привлечения заграничной технической помощи в при</w:t>
      </w:r>
      <w:r>
        <w:rPr>
          <w:rFonts w:ascii="Times New Roman" w:hAnsi="Times New Roman"/>
          <w:color w:val="0070C0"/>
          <w:sz w:val="16"/>
          <w:szCs w:val="16"/>
        </w:rPr>
        <w:t xml:space="preserve">обретения </w:t>
      </w:r>
      <w:r w:rsidRPr="006B74EB">
        <w:rPr>
          <w:rFonts w:ascii="Times New Roman" w:hAnsi="Times New Roman"/>
          <w:color w:val="0070C0"/>
          <w:sz w:val="16"/>
          <w:szCs w:val="16"/>
        </w:rPr>
        <w:t>иностранных опытных образцов.</w:t>
      </w:r>
    </w:p>
    <w:p w14:paraId="23A783B3" w14:textId="77777777" w:rsidR="00AA3E76" w:rsidRDefault="00AA3E76" w:rsidP="00AA3E76">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|/ЦГАС</w:t>
      </w:r>
      <w:r>
        <w:rPr>
          <w:rFonts w:ascii="Times New Roman" w:hAnsi="Times New Roman"/>
          <w:color w:val="0070C0"/>
          <w:sz w:val="16"/>
          <w:szCs w:val="16"/>
        </w:rPr>
        <w:t xml:space="preserve">А, ф. </w:t>
      </w:r>
      <w:r w:rsidRPr="006B74EB">
        <w:rPr>
          <w:rFonts w:ascii="Times New Roman" w:hAnsi="Times New Roman"/>
          <w:color w:val="0070C0"/>
          <w:sz w:val="16"/>
          <w:szCs w:val="16"/>
        </w:rPr>
        <w:t>4</w:t>
      </w:r>
      <w:r>
        <w:rPr>
          <w:rFonts w:ascii="Times New Roman" w:hAnsi="Times New Roman"/>
          <w:color w:val="0070C0"/>
          <w:sz w:val="16"/>
          <w:szCs w:val="16"/>
        </w:rPr>
        <w:t>, оп.1</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д.</w:t>
      </w:r>
      <w:r>
        <w:rPr>
          <w:rFonts w:ascii="Times New Roman" w:hAnsi="Times New Roman"/>
          <w:color w:val="0070C0"/>
          <w:sz w:val="16"/>
          <w:szCs w:val="16"/>
        </w:rPr>
        <w:t xml:space="preserve"> 9</w:t>
      </w:r>
      <w:r w:rsidRPr="006B74EB">
        <w:rPr>
          <w:rFonts w:ascii="Times New Roman" w:hAnsi="Times New Roman"/>
          <w:color w:val="0070C0"/>
          <w:sz w:val="16"/>
          <w:szCs w:val="16"/>
        </w:rPr>
        <w:t>41,</w:t>
      </w:r>
      <w:r>
        <w:rPr>
          <w:rFonts w:ascii="Times New Roman" w:hAnsi="Times New Roman"/>
          <w:color w:val="0070C0"/>
          <w:sz w:val="16"/>
          <w:szCs w:val="16"/>
        </w:rPr>
        <w:t xml:space="preserve"> л</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49/</w:t>
      </w:r>
      <w:r>
        <w:rPr>
          <w:rFonts w:ascii="Times New Roman" w:hAnsi="Times New Roman"/>
          <w:color w:val="0070C0"/>
          <w:sz w:val="16"/>
          <w:szCs w:val="16"/>
        </w:rPr>
        <w:t xml:space="preserve"> (23370).</w:t>
      </w:r>
    </w:p>
    <w:p w14:paraId="6C7421B2" w14:textId="77777777" w:rsidR="00AA3E76" w:rsidRPr="006B74EB" w:rsidRDefault="00AA3E76" w:rsidP="00AA3E76">
      <w:pPr>
        <w:spacing w:after="0" w:line="240" w:lineRule="auto"/>
        <w:jc w:val="both"/>
        <w:rPr>
          <w:rFonts w:ascii="Times New Roman" w:hAnsi="Times New Roman"/>
          <w:color w:val="0070C0"/>
          <w:sz w:val="16"/>
          <w:szCs w:val="16"/>
        </w:rPr>
      </w:pPr>
    </w:p>
    <w:p w14:paraId="57917E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29 июля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62) и рассмотрели вопрос о переработке 5 летнего плана развития авиапромышленности, представленного в ГВПУ и доложенного РЗ СТО 29 июля текущего года. Решили представить переработанный план в ГВПУ 20 августа (2365,302).</w:t>
      </w:r>
    </w:p>
    <w:p w14:paraId="03A90A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70F44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июля 1929 вышло постановление РЗ СТО N 37 об образовании комиссии </w:t>
      </w:r>
      <w:proofErr w:type="spellStart"/>
      <w:r w:rsidRPr="00A259BD">
        <w:rPr>
          <w:rFonts w:ascii="Times New Roman" w:hAnsi="Times New Roman"/>
          <w:color w:val="000000" w:themeColor="text1"/>
          <w:sz w:val="16"/>
          <w:szCs w:val="16"/>
        </w:rPr>
        <w:t>И.С.Уншлихта</w:t>
      </w:r>
      <w:proofErr w:type="spellEnd"/>
      <w:r w:rsidRPr="00A259BD">
        <w:rPr>
          <w:rFonts w:ascii="Times New Roman" w:hAnsi="Times New Roman"/>
          <w:color w:val="000000" w:themeColor="text1"/>
          <w:sz w:val="16"/>
          <w:szCs w:val="16"/>
        </w:rPr>
        <w:t>, пред. РВС, зам. НКВМ (1026,26). Вопрос назывался "О мероприятиях по развитию авиапромышленности" (1028,88).</w:t>
      </w:r>
    </w:p>
    <w:p w14:paraId="6FB411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2C61A4A" w14:textId="77777777" w:rsidR="00990692" w:rsidRPr="00A259BD" w:rsidRDefault="0099069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июля 1929 г. на заседании РЗ СТО СССР для разработки постановления о мероприятиях по развитию авиапромышленности была образована комиссия под руководством И. С. </w:t>
      </w:r>
      <w:proofErr w:type="spellStart"/>
      <w:r w:rsidRPr="00A259BD">
        <w:rPr>
          <w:rFonts w:ascii="Times New Roman" w:hAnsi="Times New Roman"/>
          <w:color w:val="000000" w:themeColor="text1"/>
          <w:sz w:val="16"/>
          <w:szCs w:val="16"/>
        </w:rPr>
        <w:t>Уншлихта</w:t>
      </w:r>
      <w:proofErr w:type="spellEnd"/>
      <w:r w:rsidRPr="00A259BD">
        <w:rPr>
          <w:rFonts w:ascii="Times New Roman" w:hAnsi="Times New Roman"/>
          <w:color w:val="000000" w:themeColor="text1"/>
          <w:sz w:val="16"/>
          <w:szCs w:val="16"/>
        </w:rPr>
        <w:t>. Комиссия не позднее 1 декабря должна была представить предложения по вопросам: об усилении опытного строительства и конструкторских работ по самолетам, моторам, авиавооружению и оборудованию (12489).</w:t>
      </w:r>
    </w:p>
    <w:p w14:paraId="14EB5A08" w14:textId="77777777" w:rsidR="00990692" w:rsidRPr="00A259BD" w:rsidRDefault="0099069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A0A9238" w14:textId="77777777" w:rsidR="00B25ADA" w:rsidRPr="00A259BD" w:rsidRDefault="00B25ADA"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29 июля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Выписка из протокола № 37 РЗ СТО СССР «О мероприятиях по развитию авиапромышленности» (РГАЭ. Ф. 4372. Оп. 91. Д. 385. Л. 6) (12415).</w:t>
      </w:r>
    </w:p>
    <w:p w14:paraId="3298572B" w14:textId="77777777" w:rsidR="00B25ADA" w:rsidRPr="00A259BD" w:rsidRDefault="00B25ADA" w:rsidP="009236E3">
      <w:pPr>
        <w:spacing w:after="0" w:line="240" w:lineRule="auto"/>
        <w:jc w:val="both"/>
        <w:rPr>
          <w:rFonts w:ascii="Times New Roman" w:hAnsi="Times New Roman"/>
          <w:color w:val="000000" w:themeColor="text1"/>
          <w:sz w:val="16"/>
          <w:szCs w:val="16"/>
          <w:u w:color="002060"/>
        </w:rPr>
      </w:pPr>
    </w:p>
    <w:p w14:paraId="1954EA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июля 1929 года была подготовлена выписка из протокола № 37 Распорядительного заседания СТО</w:t>
      </w:r>
    </w:p>
    <w:p w14:paraId="69C3A6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 мероприятиях по развитию авиапромышленности:</w:t>
      </w:r>
    </w:p>
    <w:p w14:paraId="11E705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Вн</w:t>
      </w:r>
      <w:proofErr w:type="spellEnd"/>
      <w:r w:rsidRPr="00A259BD">
        <w:rPr>
          <w:rFonts w:ascii="Times New Roman" w:hAnsi="Times New Roman"/>
          <w:color w:val="000000" w:themeColor="text1"/>
          <w:sz w:val="16"/>
          <w:szCs w:val="16"/>
        </w:rPr>
        <w:t>. ВСНХ д. № 415</w:t>
      </w:r>
    </w:p>
    <w:p w14:paraId="66BA67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Докл</w:t>
      </w:r>
      <w:proofErr w:type="spellEnd"/>
      <w:r w:rsidRPr="00A259BD">
        <w:rPr>
          <w:rFonts w:ascii="Times New Roman" w:hAnsi="Times New Roman"/>
          <w:color w:val="000000" w:themeColor="text1"/>
          <w:sz w:val="16"/>
          <w:szCs w:val="16"/>
        </w:rPr>
        <w:t xml:space="preserve">. Урываев. </w:t>
      </w:r>
      <w:proofErr w:type="spellStart"/>
      <w:r w:rsidRPr="00A259BD">
        <w:rPr>
          <w:rFonts w:ascii="Times New Roman" w:hAnsi="Times New Roman"/>
          <w:color w:val="000000" w:themeColor="text1"/>
          <w:sz w:val="16"/>
          <w:szCs w:val="16"/>
        </w:rPr>
        <w:t>Присутств</w:t>
      </w:r>
      <w:proofErr w:type="spellEnd"/>
      <w:r w:rsidRPr="00A259BD">
        <w:rPr>
          <w:rFonts w:ascii="Times New Roman" w:hAnsi="Times New Roman"/>
          <w:color w:val="000000" w:themeColor="text1"/>
          <w:sz w:val="16"/>
          <w:szCs w:val="16"/>
        </w:rPr>
        <w:t>. Михайлов и Алкснис.</w:t>
      </w:r>
    </w:p>
    <w:p w14:paraId="182F91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Для разработки постановления РЗ СТО о мероприятиях по развитию авиапромышленности образовать комиссию под председательством </w:t>
      </w:r>
      <w:proofErr w:type="spellStart"/>
      <w:r w:rsidRPr="00A259BD">
        <w:rPr>
          <w:rFonts w:ascii="Times New Roman" w:hAnsi="Times New Roman"/>
          <w:color w:val="000000" w:themeColor="text1"/>
          <w:sz w:val="16"/>
          <w:szCs w:val="16"/>
        </w:rPr>
        <w:t>Уншлихта</w:t>
      </w:r>
      <w:proofErr w:type="spellEnd"/>
      <w:r w:rsidRPr="00A259BD">
        <w:rPr>
          <w:rFonts w:ascii="Times New Roman" w:hAnsi="Times New Roman"/>
          <w:color w:val="000000" w:themeColor="text1"/>
          <w:sz w:val="16"/>
          <w:szCs w:val="16"/>
        </w:rPr>
        <w:t xml:space="preserve"> в составе: Урываева, </w:t>
      </w:r>
      <w:proofErr w:type="spellStart"/>
      <w:r w:rsidRPr="00A259BD">
        <w:rPr>
          <w:rFonts w:ascii="Times New Roman" w:hAnsi="Times New Roman"/>
          <w:color w:val="000000" w:themeColor="text1"/>
          <w:sz w:val="16"/>
          <w:szCs w:val="16"/>
        </w:rPr>
        <w:t>Павлуновского</w:t>
      </w:r>
      <w:proofErr w:type="spellEnd"/>
      <w:r w:rsidRPr="00A259BD">
        <w:rPr>
          <w:rFonts w:ascii="Times New Roman" w:hAnsi="Times New Roman"/>
          <w:color w:val="000000" w:themeColor="text1"/>
          <w:sz w:val="16"/>
          <w:szCs w:val="16"/>
        </w:rPr>
        <w:t xml:space="preserve"> (с заменой Мартиновичем), Постникова, </w:t>
      </w:r>
      <w:proofErr w:type="spellStart"/>
      <w:r w:rsidRPr="00A259BD">
        <w:rPr>
          <w:rFonts w:ascii="Times New Roman" w:hAnsi="Times New Roman"/>
          <w:color w:val="000000" w:themeColor="text1"/>
          <w:sz w:val="16"/>
          <w:szCs w:val="16"/>
        </w:rPr>
        <w:t>Триандофилова</w:t>
      </w:r>
      <w:proofErr w:type="spellEnd"/>
      <w:r w:rsidRPr="00A259BD">
        <w:rPr>
          <w:rFonts w:ascii="Times New Roman" w:hAnsi="Times New Roman"/>
          <w:color w:val="000000" w:themeColor="text1"/>
          <w:sz w:val="16"/>
          <w:szCs w:val="16"/>
        </w:rPr>
        <w:t>, Алксниса и Михайлова.</w:t>
      </w:r>
    </w:p>
    <w:p w14:paraId="73F963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Комиссии, исходя в основном из разработанных по данному вопросу материалов (доклад ВСНХ, постановление РВС), руководствоваться также следующими указаниями:</w:t>
      </w:r>
    </w:p>
    <w:p w14:paraId="4173B2E2"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разработке ежегодных производственных программ авиапромышленности ВСНХ должен исходить из необходимости полного удовлетворения утвержденной РЗ СТО на конец пятилетия заявки НКВМ в 6865 самолетов и 8010 моторов на год ведения войны (</w:t>
      </w:r>
      <w:proofErr w:type="spellStart"/>
      <w:r w:rsidRPr="00A259BD">
        <w:rPr>
          <w:rFonts w:ascii="Times New Roman" w:hAnsi="Times New Roman"/>
          <w:color w:val="000000" w:themeColor="text1"/>
          <w:sz w:val="16"/>
          <w:szCs w:val="16"/>
        </w:rPr>
        <w:t>прот</w:t>
      </w:r>
      <w:proofErr w:type="spellEnd"/>
      <w:r w:rsidRPr="00A259BD">
        <w:rPr>
          <w:rFonts w:ascii="Times New Roman" w:hAnsi="Times New Roman"/>
          <w:color w:val="000000" w:themeColor="text1"/>
          <w:sz w:val="16"/>
          <w:szCs w:val="16"/>
        </w:rPr>
        <w:t>. № 35, п. 1, параграф 3 от 23 мая 1929 года).</w:t>
      </w:r>
    </w:p>
    <w:p w14:paraId="0EA2598D"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определении объема капитального строительства авиапромышленности на пятилетие исходить из точного учета существующих производственных возможностей и необходимости их расширения путем кооперирования отдельных заводов и цехов.</w:t>
      </w:r>
    </w:p>
    <w:p w14:paraId="05523AB6"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Путем согласования и взаимной увязки производства и капитального строительства авиапромышленности с развитием авто и тракторостроения, а также путем применения методов кооперирования предприятий этих отраслей промышленности, ВСНХ должен добиться такого их сочетания, которое обеспечило бы скорейший рост перечисленных отраслей промышленности на основе взаимного использования имеющихся достижений и опыта.</w:t>
      </w:r>
    </w:p>
    <w:p w14:paraId="3EA30C58"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рассмотрении вопроса о конструкторских и опытно-изыскательских работах исходить из необходимости усиления отпуска средств на эти работы, обязав ВСНХ уделять особое внимание указанным работам.</w:t>
      </w:r>
    </w:p>
    <w:p w14:paraId="101D56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Особо проработать вопрос об урегулировании взаимоотношений и усилении непосредственной связи научно-исследовательских институтов (ЦАГИ и НАМИ) с авиапромышленностью.</w:t>
      </w:r>
    </w:p>
    <w:p w14:paraId="50900220"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Подтверждая необходимость широкого привлечения заграничной технической помощи в деле авиастроительства и приобретения иностранных опытных образцов, предложить ВСНХ, совместно с другими заинтересованными органами, пересмотреть этот вопрос с целью разработки мероприятий, обеспечивающих привлечение заграничной технической помощи в более широких размерах, допуская в отдельных случаях облегчение и упрощение условий привлечения этой помощи.</w:t>
      </w:r>
    </w:p>
    <w:p w14:paraId="3FAE5799"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Проработать и включить в проект постановления РЗ СТО предложения по развитию гражданской авиации.</w:t>
      </w:r>
    </w:p>
    <w:p w14:paraId="1E6357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Срок работы комиссии – 3-х недельный (3545, 4).</w:t>
      </w:r>
    </w:p>
    <w:p w14:paraId="641FED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F22BA2" w14:textId="77777777" w:rsidR="004744A5" w:rsidRPr="00A259BD" w:rsidRDefault="004744A5" w:rsidP="009236E3">
      <w:pPr>
        <w:pStyle w:val="rtejustify"/>
        <w:spacing w:before="0" w:after="0"/>
        <w:rPr>
          <w:rStyle w:val="af0"/>
          <w:i w:val="0"/>
          <w:color w:val="000000" w:themeColor="text1"/>
          <w:sz w:val="16"/>
          <w:szCs w:val="16"/>
        </w:rPr>
      </w:pPr>
      <w:r w:rsidRPr="00A259BD">
        <w:rPr>
          <w:color w:val="000000" w:themeColor="text1"/>
          <w:sz w:val="16"/>
          <w:szCs w:val="16"/>
        </w:rPr>
        <w:t xml:space="preserve">29 июля 1929 г. на заседании РЗ СТО СССР для разработки постановления о мероприятиях по развитию авиапромышленности была образована </w:t>
      </w:r>
      <w:r w:rsidRPr="00A259BD">
        <w:rPr>
          <w:rStyle w:val="af0"/>
          <w:i w:val="0"/>
          <w:color w:val="000000" w:themeColor="text1"/>
          <w:sz w:val="16"/>
          <w:szCs w:val="16"/>
        </w:rPr>
        <w:t>комиссия под руководством И. С. </w:t>
      </w:r>
      <w:proofErr w:type="spellStart"/>
      <w:r w:rsidRPr="00A259BD">
        <w:rPr>
          <w:rStyle w:val="af0"/>
          <w:i w:val="0"/>
          <w:color w:val="000000" w:themeColor="text1"/>
          <w:sz w:val="16"/>
          <w:szCs w:val="16"/>
        </w:rPr>
        <w:t>Уншлихта</w:t>
      </w:r>
      <w:proofErr w:type="spellEnd"/>
      <w:r w:rsidRPr="00A259BD">
        <w:rPr>
          <w:rStyle w:val="af0"/>
          <w:i w:val="0"/>
          <w:color w:val="000000" w:themeColor="text1"/>
          <w:sz w:val="16"/>
          <w:szCs w:val="16"/>
        </w:rPr>
        <w:t>.</w:t>
      </w:r>
      <w:r w:rsidRPr="00A259BD">
        <w:rPr>
          <w:color w:val="000000" w:themeColor="text1"/>
          <w:sz w:val="16"/>
          <w:szCs w:val="16"/>
        </w:rPr>
        <w:t xml:space="preserve"> Комиссия не позднее 1 декабря должна была представить предложения по вопросам: об усилении опытного строительства и конструкторских работ по самолетам, моторам, авиавооружению и оборудованию (12489).</w:t>
      </w:r>
    </w:p>
    <w:p w14:paraId="6080CA1B" w14:textId="77777777" w:rsidR="004744A5" w:rsidRPr="00A259BD" w:rsidRDefault="004744A5" w:rsidP="009236E3">
      <w:pPr>
        <w:pStyle w:val="rtejustify"/>
        <w:spacing w:before="0" w:after="0"/>
        <w:rPr>
          <w:rStyle w:val="af0"/>
          <w:i w:val="0"/>
          <w:color w:val="000000" w:themeColor="text1"/>
          <w:sz w:val="16"/>
          <w:szCs w:val="16"/>
        </w:rPr>
      </w:pPr>
    </w:p>
    <w:p w14:paraId="47D648FF" w14:textId="77777777" w:rsidR="00AD381B"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2BB3AA7" w14:textId="77777777" w:rsidR="00AD381B" w:rsidRPr="00A259BD" w:rsidRDefault="00AD381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CD59B2" w14:textId="77777777" w:rsidR="00990692" w:rsidRPr="00A259BD" w:rsidRDefault="0099069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июля 1929 г. выходит Постановление ЦК ВКП(б) «О состоянии обороны СССР», впервые содер</w:t>
      </w:r>
      <w:r w:rsidRPr="00A259BD">
        <w:rPr>
          <w:rFonts w:ascii="Times New Roman" w:hAnsi="Times New Roman"/>
          <w:color w:val="000000" w:themeColor="text1"/>
          <w:sz w:val="16"/>
          <w:szCs w:val="16"/>
        </w:rPr>
        <w:softHyphen/>
        <w:t>жащее директивное указание о создании отечествен</w:t>
      </w:r>
      <w:r w:rsidRPr="00A259BD">
        <w:rPr>
          <w:rFonts w:ascii="Times New Roman" w:hAnsi="Times New Roman"/>
          <w:color w:val="000000" w:themeColor="text1"/>
          <w:sz w:val="16"/>
          <w:szCs w:val="16"/>
        </w:rPr>
        <w:softHyphen/>
        <w:t>ных автотракторных дизелей. Для его выполнения в НАМИ подготавливается проект Постановления ВСНХ СССР о развитии работ по дизелестроению в стране (22518).</w:t>
      </w:r>
    </w:p>
    <w:p w14:paraId="73F6BFED" w14:textId="77777777" w:rsidR="00990692" w:rsidRPr="00A259BD" w:rsidRDefault="00990692" w:rsidP="009236E3">
      <w:pPr>
        <w:spacing w:after="0" w:line="240" w:lineRule="auto"/>
        <w:jc w:val="both"/>
        <w:rPr>
          <w:rFonts w:ascii="Times New Roman" w:hAnsi="Times New Roman"/>
          <w:color w:val="000000" w:themeColor="text1"/>
          <w:sz w:val="16"/>
          <w:szCs w:val="16"/>
        </w:rPr>
      </w:pPr>
    </w:p>
    <w:p w14:paraId="63C5CE3D" w14:textId="77777777" w:rsidR="00AD381B" w:rsidRPr="00A259BD" w:rsidRDefault="00AD38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июля 1929 года ВСНХ утвердил задание для будущего завода ГПЗ-1. Его проектная мощность первоначально была определена в 11 миллионов 300 тысяч подшипников в год. </w:t>
      </w:r>
    </w:p>
    <w:p w14:paraId="3685F57F" w14:textId="77777777" w:rsidR="00AD381B" w:rsidRPr="00A259BD" w:rsidRDefault="00AD38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Однако в мае 1930 года был подписан договор с филиалом ФИАТА фирмой РИВ (Италия) о техпомощи в постройке завода. 18 августа 1930 года он был принят за основу. Причем проектная мощность завода определялась уже в 24 миллиона подшипников в год. </w:t>
      </w:r>
    </w:p>
    <w:p w14:paraId="4C27D2DE" w14:textId="77777777" w:rsidR="00AD381B" w:rsidRPr="00A259BD" w:rsidRDefault="00AD38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ноября 1930 года начальником теперь уже </w:t>
      </w:r>
      <w:proofErr w:type="spellStart"/>
      <w:r w:rsidRPr="00A259BD">
        <w:rPr>
          <w:rFonts w:ascii="Times New Roman" w:hAnsi="Times New Roman"/>
          <w:color w:val="000000" w:themeColor="text1"/>
          <w:sz w:val="16"/>
          <w:szCs w:val="16"/>
        </w:rPr>
        <w:t>Господшипникстроя</w:t>
      </w:r>
      <w:proofErr w:type="spellEnd"/>
      <w:r w:rsidRPr="00A259BD">
        <w:rPr>
          <w:rFonts w:ascii="Times New Roman" w:hAnsi="Times New Roman"/>
          <w:color w:val="000000" w:themeColor="text1"/>
          <w:sz w:val="16"/>
          <w:szCs w:val="16"/>
        </w:rPr>
        <w:t xml:space="preserve"> был назначен Андрей Михайлович Бодров, ставший затем и директором 1-ГПЗ. 10 ноября 1930 года был заложен первый камень завода, а в начале 1931 года - первые цеха (механосборочный, инструментальный и кузнечный). В июле начало поступать оборудование, закупленное в США, Италии и Германии. </w:t>
      </w:r>
    </w:p>
    <w:p w14:paraId="2ED15E4C" w14:textId="77777777" w:rsidR="00AD381B" w:rsidRPr="00A259BD" w:rsidRDefault="00AD38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в это время московские заводы готовили кадры для 1-ГПЗ. Единственным в стране подшипниковым заводом тогда был небольшой механический заводик Торгового Дома «Шварцкопф», «</w:t>
      </w:r>
      <w:proofErr w:type="spellStart"/>
      <w:r w:rsidRPr="00A259BD">
        <w:rPr>
          <w:rFonts w:ascii="Times New Roman" w:hAnsi="Times New Roman"/>
          <w:color w:val="000000" w:themeColor="text1"/>
          <w:sz w:val="16"/>
          <w:szCs w:val="16"/>
        </w:rPr>
        <w:t>Дзирне</w:t>
      </w:r>
      <w:proofErr w:type="spellEnd"/>
      <w:r w:rsidRPr="00A259BD">
        <w:rPr>
          <w:rFonts w:ascii="Times New Roman" w:hAnsi="Times New Roman"/>
          <w:color w:val="000000" w:themeColor="text1"/>
          <w:sz w:val="16"/>
          <w:szCs w:val="16"/>
        </w:rPr>
        <w:t>» и «</w:t>
      </w:r>
      <w:proofErr w:type="spellStart"/>
      <w:r w:rsidRPr="00A259BD">
        <w:rPr>
          <w:rFonts w:ascii="Times New Roman" w:hAnsi="Times New Roman"/>
          <w:color w:val="000000" w:themeColor="text1"/>
          <w:sz w:val="16"/>
          <w:szCs w:val="16"/>
        </w:rPr>
        <w:t>Кольпак</w:t>
      </w:r>
      <w:proofErr w:type="spellEnd"/>
      <w:r w:rsidRPr="00A259BD">
        <w:rPr>
          <w:rFonts w:ascii="Times New Roman" w:hAnsi="Times New Roman"/>
          <w:color w:val="000000" w:themeColor="text1"/>
          <w:sz w:val="16"/>
          <w:szCs w:val="16"/>
        </w:rPr>
        <w:t xml:space="preserve">», основанный еще в 1898 году и к началу 1-й мировой войны насчитывавший всего 108 рабочих. В 1916 году шведская фирма перестроила предприятие, и после гражданской войны, в апреле 1923 года фирма СКФ заключила концессионный договор. В 1931 году эта концессия прекратила существование и завод был преобразован в «Шарикоподшипник». Именно на нем (ныне 2-ГПЗ) в начале 30-х годов обучались 1139 человек для 1-ГПЗ. </w:t>
      </w:r>
    </w:p>
    <w:p w14:paraId="311B66AC" w14:textId="77777777" w:rsidR="00AD381B" w:rsidRPr="00A259BD" w:rsidRDefault="00AD38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января 1932 года на 1-ГПЗ были собраны первые 10 подшипников типа «203». Первая партия подшипников была направлена в Царицын (Волгоград). К 1940 году 1-ГПЗ выпускал уже 41 036 тысяч подшипников в год (90% всех подшипников, производимых в СССР). А еще в 1936 году завод освоил производство небольших, но точных подшипников для приборов и гигантских четырехрядных подшипников свыше 1 метра в диаметре (17224).</w:t>
      </w:r>
    </w:p>
    <w:p w14:paraId="033E9EE4" w14:textId="77777777" w:rsidR="00AD381B" w:rsidRPr="00A259BD" w:rsidRDefault="00AD381B" w:rsidP="009236E3">
      <w:pPr>
        <w:spacing w:after="0" w:line="240" w:lineRule="auto"/>
        <w:jc w:val="both"/>
        <w:rPr>
          <w:rFonts w:ascii="Times New Roman" w:hAnsi="Times New Roman"/>
          <w:color w:val="000000" w:themeColor="text1"/>
          <w:sz w:val="16"/>
          <w:szCs w:val="16"/>
        </w:rPr>
      </w:pPr>
    </w:p>
    <w:p w14:paraId="3270858F" w14:textId="77777777" w:rsidR="00990692" w:rsidRPr="00A259BD" w:rsidRDefault="00990692"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1C09F16" w14:textId="77777777" w:rsidR="00990692" w:rsidRPr="00A259BD" w:rsidRDefault="0099069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25A601" w14:textId="77777777" w:rsidR="00990692" w:rsidRPr="00A259BD" w:rsidRDefault="0099069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29 июля 1929 года ледокол «Георгий Седов» подошел к Земле Франца-Иосифа и бросил якорь в бухте Тихой острова </w:t>
      </w:r>
      <w:proofErr w:type="spellStart"/>
      <w:r w:rsidRPr="00A259BD">
        <w:rPr>
          <w:rFonts w:ascii="Times New Roman" w:eastAsia="Times New Roman" w:hAnsi="Times New Roman"/>
          <w:color w:val="000000" w:themeColor="text1"/>
          <w:sz w:val="16"/>
          <w:szCs w:val="16"/>
          <w:lang w:eastAsia="ru-RU"/>
        </w:rPr>
        <w:t>Гукер</w:t>
      </w:r>
      <w:proofErr w:type="spellEnd"/>
      <w:r w:rsidRPr="00A259BD">
        <w:rPr>
          <w:rFonts w:ascii="Times New Roman" w:eastAsia="Times New Roman" w:hAnsi="Times New Roman"/>
          <w:color w:val="000000" w:themeColor="text1"/>
          <w:sz w:val="16"/>
          <w:szCs w:val="16"/>
          <w:lang w:eastAsia="ru-RU"/>
        </w:rPr>
        <w:t>. 29 июля 1929 года над архипелагом подняли алый флаг Советского Союза. 29 августа завершено строительство геофизической обсерватории. 30 августа впервые вышла в эфир самая северная радиостанция. Советская радиостанция на Земле Франца- Иосифа.</w:t>
      </w:r>
    </w:p>
    <w:p w14:paraId="685E5A43" w14:textId="77777777" w:rsidR="00990692" w:rsidRPr="00A259BD" w:rsidRDefault="0099069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Конфликтов с норвежцами и итальянцами избежать удалось довольно легко. Те просто не высадились на архипелаге (20467).</w:t>
      </w:r>
    </w:p>
    <w:p w14:paraId="06B9BDBF" w14:textId="77777777" w:rsidR="00990692" w:rsidRPr="00A259BD" w:rsidRDefault="00990692" w:rsidP="009236E3">
      <w:pPr>
        <w:spacing w:after="0" w:line="240" w:lineRule="auto"/>
        <w:jc w:val="both"/>
        <w:rPr>
          <w:rFonts w:ascii="Times New Roman" w:hAnsi="Times New Roman"/>
          <w:color w:val="000000" w:themeColor="text1"/>
          <w:sz w:val="16"/>
          <w:szCs w:val="16"/>
        </w:rPr>
      </w:pPr>
    </w:p>
    <w:p w14:paraId="14625278" w14:textId="77777777" w:rsidR="00762631"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B027D92" w14:textId="77777777" w:rsidR="00762631" w:rsidRPr="00A259BD" w:rsidRDefault="0076263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980874" w14:textId="77777777" w:rsidR="00762631" w:rsidRPr="00A259BD" w:rsidRDefault="0076263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июля в 1927 году первый полет на автожире </w:t>
      </w:r>
      <w:hyperlink r:id="rId96" w:tgtFrame="_blank" w:history="1">
        <w:r w:rsidRPr="00A259BD">
          <w:rPr>
            <w:rFonts w:ascii="Times New Roman" w:hAnsi="Times New Roman"/>
            <w:color w:val="000000" w:themeColor="text1"/>
            <w:sz w:val="16"/>
            <w:szCs w:val="16"/>
          </w:rPr>
          <w:t xml:space="preserve">«C-6D» </w:t>
        </w:r>
      </w:hyperlink>
      <w:r w:rsidRPr="00A259BD">
        <w:rPr>
          <w:rFonts w:ascii="Times New Roman" w:hAnsi="Times New Roman"/>
          <w:color w:val="000000" w:themeColor="text1"/>
          <w:sz w:val="16"/>
          <w:szCs w:val="16"/>
        </w:rPr>
        <w:t xml:space="preserve">совершил испытатель </w:t>
      </w:r>
      <w:proofErr w:type="spellStart"/>
      <w:r w:rsidRPr="00A259BD">
        <w:rPr>
          <w:rFonts w:ascii="Times New Roman" w:hAnsi="Times New Roman"/>
          <w:color w:val="000000" w:themeColor="text1"/>
          <w:sz w:val="16"/>
          <w:szCs w:val="16"/>
        </w:rPr>
        <w:t>Куртни</w:t>
      </w:r>
      <w:proofErr w:type="spellEnd"/>
      <w:r w:rsidRPr="00A259BD">
        <w:rPr>
          <w:rFonts w:ascii="Times New Roman" w:hAnsi="Times New Roman"/>
          <w:color w:val="000000" w:themeColor="text1"/>
          <w:sz w:val="16"/>
          <w:szCs w:val="16"/>
        </w:rPr>
        <w:t xml:space="preserve">, а на следующий день автожир впервые взлетел с пассажиром на борту. Им, естественно, был Хуан ла </w:t>
      </w:r>
      <w:proofErr w:type="spellStart"/>
      <w:r w:rsidRPr="00A259BD">
        <w:rPr>
          <w:rFonts w:ascii="Times New Roman" w:hAnsi="Times New Roman"/>
          <w:color w:val="000000" w:themeColor="text1"/>
          <w:sz w:val="16"/>
          <w:szCs w:val="16"/>
        </w:rPr>
        <w:t>Сиерва</w:t>
      </w:r>
      <w:proofErr w:type="spellEnd"/>
      <w:r w:rsidRPr="00A259BD">
        <w:rPr>
          <w:rFonts w:ascii="Times New Roman" w:hAnsi="Times New Roman"/>
          <w:color w:val="000000" w:themeColor="text1"/>
          <w:sz w:val="16"/>
          <w:szCs w:val="16"/>
        </w:rPr>
        <w:t>. Испытания выявили ухудшение поперечной устойчивости по сравнению с предыдущими автожирами. Выяснилось, что скос потока, вызываемый ротором, уменьшал углы атаки крыла, поэтому крыло было срезано за счет уменьшения концевой хорды, с тем чтобы элероны оставались без изменения. Для «C-6D» фюзеляж заимствовали от "AVRO" «504К», мотор поставили "</w:t>
      </w:r>
      <w:proofErr w:type="spellStart"/>
      <w:r w:rsidRPr="00A259BD">
        <w:rPr>
          <w:rFonts w:ascii="Times New Roman" w:hAnsi="Times New Roman"/>
          <w:color w:val="000000" w:themeColor="text1"/>
          <w:sz w:val="16"/>
          <w:szCs w:val="16"/>
        </w:rPr>
        <w:t>Клерже</w:t>
      </w:r>
      <w:proofErr w:type="spellEnd"/>
      <w:r w:rsidRPr="00A259BD">
        <w:rPr>
          <w:rFonts w:ascii="Times New Roman" w:hAnsi="Times New Roman"/>
          <w:color w:val="000000" w:themeColor="text1"/>
          <w:sz w:val="16"/>
          <w:szCs w:val="16"/>
        </w:rPr>
        <w:t xml:space="preserve">" 130 л. с. «C-6D» стал первым автожиром с крылом и новым типом лопастей. Лопасти были изготовлены в форме весла. Шасси имело широкую колею. Амортизаторы шасси крепились к крылу подкосами. Как и у всех "AVRO", «C-6D» имел противокапотажную лыжу. Площадь крыла составляла 6,5 м2, ротор вращался со скоростью 120 об/мин (впоследствии «C-8V» был построен; он имел крылья, четырехлопастный ротор, лопасти в форме весла, но уже, чем на «C-6D»). Максимальный взлетный вес аппарата составлял 1150 кг, максимальная скорость 160 км/ч, минимальная 35 км/ч. Этот «С-6D» был разобран и направлен в Берлин, куда ла </w:t>
      </w:r>
      <w:proofErr w:type="spellStart"/>
      <w:r w:rsidRPr="00A259BD">
        <w:rPr>
          <w:rFonts w:ascii="Times New Roman" w:hAnsi="Times New Roman"/>
          <w:color w:val="000000" w:themeColor="text1"/>
          <w:sz w:val="16"/>
          <w:szCs w:val="16"/>
        </w:rPr>
        <w:t>Сиерва</w:t>
      </w:r>
      <w:proofErr w:type="spellEnd"/>
      <w:r w:rsidRPr="00A259BD">
        <w:rPr>
          <w:rFonts w:ascii="Times New Roman" w:hAnsi="Times New Roman"/>
          <w:color w:val="000000" w:themeColor="text1"/>
          <w:sz w:val="16"/>
          <w:szCs w:val="16"/>
        </w:rPr>
        <w:t xml:space="preserve"> получил приглашение на авиационный праздник (14967).</w:t>
      </w:r>
    </w:p>
    <w:p w14:paraId="68892FBE" w14:textId="77777777" w:rsidR="00762631" w:rsidRPr="00A259BD" w:rsidRDefault="00762631" w:rsidP="009236E3">
      <w:pPr>
        <w:spacing w:after="0" w:line="240" w:lineRule="auto"/>
        <w:jc w:val="both"/>
        <w:rPr>
          <w:rFonts w:ascii="Times New Roman" w:hAnsi="Times New Roman"/>
          <w:color w:val="000000" w:themeColor="text1"/>
          <w:sz w:val="16"/>
          <w:szCs w:val="16"/>
        </w:rPr>
      </w:pPr>
    </w:p>
    <w:p w14:paraId="71D658A6" w14:textId="77777777" w:rsidR="00990692" w:rsidRPr="00A259BD" w:rsidRDefault="00990692" w:rsidP="009236E3">
      <w:pPr>
        <w:spacing w:after="0" w:line="240" w:lineRule="auto"/>
        <w:jc w:val="both"/>
        <w:rPr>
          <w:rFonts w:ascii="Times New Roman" w:hAnsi="Times New Roman"/>
          <w:color w:val="000000" w:themeColor="text1"/>
          <w:sz w:val="16"/>
          <w:szCs w:val="16"/>
        </w:rPr>
      </w:pPr>
      <w:bookmarkStart w:id="72" w:name="_Hlk56761772"/>
      <w:r w:rsidRPr="00A259BD">
        <w:rPr>
          <w:rFonts w:ascii="Times New Roman" w:hAnsi="Times New Roman"/>
          <w:color w:val="000000" w:themeColor="text1"/>
          <w:sz w:val="16"/>
          <w:szCs w:val="16"/>
        </w:rPr>
        <w:t xml:space="preserve">29 июля 1929 г. первый полет </w:t>
      </w:r>
      <w:proofErr w:type="spellStart"/>
      <w:r w:rsidRPr="00A259BD">
        <w:rPr>
          <w:rFonts w:ascii="Times New Roman" w:hAnsi="Times New Roman"/>
          <w:color w:val="000000" w:themeColor="text1"/>
          <w:sz w:val="16"/>
          <w:szCs w:val="16"/>
        </w:rPr>
        <w:t>Dornier</w:t>
      </w:r>
      <w:proofErr w:type="spellEnd"/>
      <w:r w:rsidRPr="00A259BD">
        <w:rPr>
          <w:rFonts w:ascii="Times New Roman" w:hAnsi="Times New Roman"/>
          <w:color w:val="000000" w:themeColor="text1"/>
          <w:sz w:val="16"/>
          <w:szCs w:val="16"/>
        </w:rPr>
        <w:t xml:space="preserve"> Do X (20806).</w:t>
      </w:r>
    </w:p>
    <w:p w14:paraId="4713DC7A" w14:textId="77777777" w:rsidR="00990692" w:rsidRPr="00A259BD" w:rsidRDefault="00990692" w:rsidP="009236E3">
      <w:pPr>
        <w:spacing w:after="0" w:line="240" w:lineRule="auto"/>
        <w:jc w:val="both"/>
        <w:rPr>
          <w:rFonts w:ascii="Times New Roman" w:hAnsi="Times New Roman"/>
          <w:color w:val="000000" w:themeColor="text1"/>
          <w:sz w:val="16"/>
          <w:szCs w:val="16"/>
        </w:rPr>
      </w:pPr>
    </w:p>
    <w:bookmarkEnd w:id="72"/>
    <w:p w14:paraId="71F9718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9860CC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6A537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июля 1929 была подготовлена ведомость кредитов по опытному строительству на 1928/29:</w:t>
      </w:r>
    </w:p>
    <w:p w14:paraId="3B4E80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Сухопутное самолетостроение (Завод 25).</w:t>
      </w:r>
    </w:p>
    <w:p w14:paraId="4D9C74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Опытные самолеты</w:t>
      </w:r>
    </w:p>
    <w:p w14:paraId="0632B4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Д-2 БМВ-6 1-й</w:t>
      </w:r>
    </w:p>
    <w:p w14:paraId="623625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Р-5 БМВ-6 1.5 экз.</w:t>
      </w:r>
    </w:p>
    <w:p w14:paraId="524741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Р-5 БМВ-6 2-й</w:t>
      </w:r>
    </w:p>
    <w:p w14:paraId="12B283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ТБ-2 2БМВ-6 1.5 экз.</w:t>
      </w:r>
    </w:p>
    <w:p w14:paraId="657BC3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И-6 Юп-6 1.5 экз.</w:t>
      </w:r>
    </w:p>
    <w:p w14:paraId="580462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И-6 Юп-6 2-й</w:t>
      </w:r>
    </w:p>
    <w:p w14:paraId="3B3DA3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И-3 БМВ-6 2-й</w:t>
      </w:r>
    </w:p>
    <w:p w14:paraId="46B96E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И-7 М-17 1.5 экз.</w:t>
      </w:r>
    </w:p>
    <w:p w14:paraId="52C7BF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И-7бис М-17 2-й</w:t>
      </w:r>
    </w:p>
    <w:p w14:paraId="541336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ИК-1 2 БМВ-6 2-й</w:t>
      </w:r>
    </w:p>
    <w:p w14:paraId="000CCD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НД-2</w:t>
      </w:r>
    </w:p>
    <w:p w14:paraId="0637D6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МУ-2 М-11 (2365).</w:t>
      </w:r>
    </w:p>
    <w:p w14:paraId="273CF7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DC85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июля 1929 постановлением закрытого заседания Президиума ВСНХ (протокол 9) было поручено ГВПУ и НТУ с привлечением УВВС разработать мероприятия и направления улучшения деловых взаимоотношений, обмена опытом и максимального использования НИИ АП (2339,339).</w:t>
      </w:r>
    </w:p>
    <w:p w14:paraId="6EF1A0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ABFD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июля 1929 W-33 Бремен </w:t>
      </w:r>
      <w:proofErr w:type="spellStart"/>
      <w:r w:rsidRPr="00A259BD">
        <w:rPr>
          <w:rFonts w:ascii="Times New Roman" w:hAnsi="Times New Roman"/>
          <w:color w:val="000000" w:themeColor="text1"/>
          <w:sz w:val="16"/>
          <w:szCs w:val="16"/>
        </w:rPr>
        <w:t>О.А.Кальвица</w:t>
      </w:r>
      <w:proofErr w:type="spellEnd"/>
      <w:r w:rsidRPr="00A259BD">
        <w:rPr>
          <w:rFonts w:ascii="Times New Roman" w:hAnsi="Times New Roman"/>
          <w:color w:val="000000" w:themeColor="text1"/>
          <w:sz w:val="16"/>
          <w:szCs w:val="16"/>
        </w:rPr>
        <w:t xml:space="preserve"> прибыл на о Врангеля. Потом много летали из бухты Лаврентия, пока 20 августа не сдал мотор Л-5 Юнкерса, проработав всего 44 часа (99,152).</w:t>
      </w:r>
    </w:p>
    <w:p w14:paraId="4F396B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CEC06E" w14:textId="77777777" w:rsidR="00954AC6" w:rsidRPr="00A259BD" w:rsidRDefault="00954AC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июля 1929. Уничтожена Иверская часовня у Красной площади. Московский корреспондент "Берлинер </w:t>
      </w:r>
      <w:proofErr w:type="spellStart"/>
      <w:r w:rsidRPr="00A259BD">
        <w:rPr>
          <w:rFonts w:ascii="Times New Roman" w:hAnsi="Times New Roman"/>
          <w:color w:val="000000" w:themeColor="text1"/>
          <w:sz w:val="16"/>
          <w:szCs w:val="16"/>
        </w:rPr>
        <w:t>Тагеблат</w:t>
      </w:r>
      <w:proofErr w:type="spellEnd"/>
      <w:r w:rsidRPr="00A259BD">
        <w:rPr>
          <w:rFonts w:ascii="Times New Roman" w:hAnsi="Times New Roman"/>
          <w:color w:val="000000" w:themeColor="text1"/>
          <w:sz w:val="16"/>
          <w:szCs w:val="16"/>
        </w:rPr>
        <w:t xml:space="preserve">" Пауль Шеффер писал: "В ночь на 30-е июля, в 3 часа утра к часовне Иверской Божьей Матери у Красной площади в Москве подошла вдруг масса рабочих. Срытие! Несколько прохожих, извозчиков и иностранцев, случайно выглянувших из окон "Гранд-Отеля", были свидетелями, как с необычайной быстротой воздвигнуты были леса вокруг часовни и как молниеносно произошло ее срытие. К 7 часам утра все было закончено. В среду утром служащие многочисленных бюро Китай-города бы ли поражены торчащей черной дырой на месте, где раньше была часовня. Так быстро свершили это дело десятки рабочих Куда же делась Чудотворная икона Божьей Матери" Вначале никто в Москве об этом не знал. Распространились слухи, будто Иверская передана Святейшему Синоду, однако вскоре же они были опровергнуты. Около 4-х часов утра чиновники милиции разбудили сторожа церкви св. Николы в </w:t>
      </w:r>
      <w:proofErr w:type="spellStart"/>
      <w:r w:rsidRPr="00A259BD">
        <w:rPr>
          <w:rFonts w:ascii="Times New Roman" w:hAnsi="Times New Roman"/>
          <w:color w:val="000000" w:themeColor="text1"/>
          <w:sz w:val="16"/>
          <w:szCs w:val="16"/>
        </w:rPr>
        <w:t>Хлыно-вом</w:t>
      </w:r>
      <w:proofErr w:type="spellEnd"/>
      <w:r w:rsidRPr="00A259BD">
        <w:rPr>
          <w:rFonts w:ascii="Times New Roman" w:hAnsi="Times New Roman"/>
          <w:color w:val="000000" w:themeColor="text1"/>
          <w:sz w:val="16"/>
          <w:szCs w:val="16"/>
        </w:rPr>
        <w:t xml:space="preserve"> тупике на </w:t>
      </w:r>
      <w:proofErr w:type="spellStart"/>
      <w:r w:rsidRPr="00A259BD">
        <w:rPr>
          <w:rFonts w:ascii="Times New Roman" w:hAnsi="Times New Roman"/>
          <w:color w:val="000000" w:themeColor="text1"/>
          <w:sz w:val="16"/>
          <w:szCs w:val="16"/>
        </w:rPr>
        <w:t>Никитскойулице</w:t>
      </w:r>
      <w:proofErr w:type="spellEnd"/>
      <w:r w:rsidRPr="00A259BD">
        <w:rPr>
          <w:rFonts w:ascii="Times New Roman" w:hAnsi="Times New Roman"/>
          <w:color w:val="000000" w:themeColor="text1"/>
          <w:sz w:val="16"/>
          <w:szCs w:val="16"/>
        </w:rPr>
        <w:t xml:space="preserve"> и передали ему икону Богородицы и всю утварь Иверской часовни".</w:t>
      </w:r>
    </w:p>
    <w:p w14:paraId="37B8F73B" w14:textId="77777777" w:rsidR="00954AC6" w:rsidRPr="00A259BD" w:rsidRDefault="00954AC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Русский эмигрант Николай Мартынов писал: "Неудобна же была часовня большевикам главное вот почему: фееричность, маскарад - вот в чем современная революционность большевиков. Митинги, парады, демонстрации протеста, манифестации солидарности чуть ли не каждую неделю происходили на Красной площади. Гонимые стада людей тянутся мимо Иверской часовни на Красную площадь. Там мавзолей Ленина, там, в стенах Кремля, замурованы трупы "вождей мировой революции* а над Кремлем висит красный флаг, освещенный яркими прожекторами. И вот: европейские журналисты, знатные иностранцы, делегации, коммунистические "пламенные" речи. А только всем видно, как "борцы мировой революции", проходя мимо Иверской, быстро крестятся, а по окончании митингов, "свободных народных шествий" все идут к "цепям религии", и Иверская часовня не вмещает желающих приложиться к чудотворной иконе. По Москве ходило много рассказов, как "демонстранты" сотнями прямое Красной площади шли в часовню. Было постановлено большевиками во дни парадов и манифестаций Иверскую часовню запирать. Но и это не помогло, креститься быстро под шубой можно было..." (18726).</w:t>
      </w:r>
    </w:p>
    <w:p w14:paraId="4DF15FE9" w14:textId="77777777" w:rsidR="00954AC6" w:rsidRPr="00A259BD" w:rsidRDefault="00954AC6" w:rsidP="009236E3">
      <w:pPr>
        <w:spacing w:after="0" w:line="240" w:lineRule="auto"/>
        <w:jc w:val="both"/>
        <w:rPr>
          <w:rFonts w:ascii="Times New Roman" w:hAnsi="Times New Roman"/>
          <w:color w:val="000000" w:themeColor="text1"/>
          <w:sz w:val="16"/>
          <w:szCs w:val="16"/>
        </w:rPr>
      </w:pPr>
    </w:p>
    <w:p w14:paraId="3FF94071" w14:textId="77777777" w:rsidR="00B25ADA"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829FDE0" w14:textId="77777777" w:rsidR="00B25ADA" w:rsidRPr="00A259BD" w:rsidRDefault="00B25AD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4A8A0E2" w14:textId="77777777" w:rsidR="00990692" w:rsidRPr="00A259BD" w:rsidRDefault="00990692"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июля 1929 г. в КБ АК для окончательной корректуры был направлен комплект чертежей и ведомости деталей на длинноствольный и короткоствольный 240-мм миномет </w:t>
      </w:r>
      <w:proofErr w:type="spellStart"/>
      <w:r w:rsidRPr="00A259BD">
        <w:rPr>
          <w:rFonts w:ascii="Times New Roman" w:hAnsi="Times New Roman"/>
          <w:color w:val="000000" w:themeColor="text1"/>
          <w:sz w:val="16"/>
          <w:szCs w:val="16"/>
        </w:rPr>
        <w:t>Батиньоля</w:t>
      </w:r>
      <w:proofErr w:type="spellEnd"/>
      <w:r w:rsidRPr="00A259BD">
        <w:rPr>
          <w:rFonts w:ascii="Times New Roman" w:hAnsi="Times New Roman"/>
          <w:color w:val="000000" w:themeColor="text1"/>
          <w:sz w:val="16"/>
          <w:szCs w:val="16"/>
        </w:rPr>
        <w:t>. Данная работа была вызвана тем, что, по словам инженеров завода, «работы АУ по составлению номенклатуры минометов &lt;…&gt; оказались запоздавшими примерно на два года по отношению времени выдачи заводу заказов на ремонт минометов и изготовлению запасных частей, принадлежностей и инструмента...».492 Также указывалось на отсутствие чертежей укладочных ящиков для запчастей и принадлежности и сведений о распределении предметов укладки в них. В связи с этим, по мнению представителей завода, сдача минометов могла быть проведена в текущем году, а ящиков к ним (ввиду сложности разработки укладки и чертежей самих ящиков) – в будущем году. Разработка укладки мин была поручена А. А. Соколову (20074).</w:t>
      </w:r>
    </w:p>
    <w:p w14:paraId="0430F564" w14:textId="77777777" w:rsidR="00990692" w:rsidRPr="00A259BD" w:rsidRDefault="00990692" w:rsidP="009236E3">
      <w:pPr>
        <w:autoSpaceDE w:val="0"/>
        <w:autoSpaceDN w:val="0"/>
        <w:adjustRightInd w:val="0"/>
        <w:spacing w:after="0" w:line="240" w:lineRule="auto"/>
        <w:jc w:val="both"/>
        <w:rPr>
          <w:rFonts w:ascii="Times New Roman" w:hAnsi="Times New Roman"/>
          <w:color w:val="000000" w:themeColor="text1"/>
          <w:sz w:val="16"/>
          <w:szCs w:val="16"/>
        </w:rPr>
      </w:pPr>
    </w:p>
    <w:p w14:paraId="5DFD5782" w14:textId="77777777" w:rsidR="00B25ADA" w:rsidRPr="00A259BD" w:rsidRDefault="00B25ADA" w:rsidP="009236E3">
      <w:pPr>
        <w:pStyle w:val="rtejustify"/>
        <w:spacing w:before="0" w:after="0"/>
        <w:rPr>
          <w:color w:val="000000" w:themeColor="text1"/>
          <w:sz w:val="16"/>
          <w:szCs w:val="16"/>
        </w:rPr>
      </w:pPr>
      <w:r w:rsidRPr="00A259BD">
        <w:rPr>
          <w:rStyle w:val="af0"/>
          <w:i w:val="0"/>
          <w:color w:val="000000" w:themeColor="text1"/>
          <w:sz w:val="16"/>
          <w:szCs w:val="16"/>
        </w:rPr>
        <w:t>31 июля 1929 г. Протокол Реввоенсовета № 30.</w:t>
      </w:r>
      <w:r w:rsidRPr="00A259BD">
        <w:rPr>
          <w:color w:val="000000" w:themeColor="text1"/>
          <w:sz w:val="16"/>
          <w:szCs w:val="16"/>
        </w:rPr>
        <w:t xml:space="preserve"> 2. О милитаризованном обозе. (</w:t>
      </w:r>
      <w:proofErr w:type="spellStart"/>
      <w:r w:rsidRPr="00A259BD">
        <w:rPr>
          <w:color w:val="000000" w:themeColor="text1"/>
          <w:sz w:val="16"/>
          <w:szCs w:val="16"/>
        </w:rPr>
        <w:t>Гарф</w:t>
      </w:r>
      <w:proofErr w:type="spellEnd"/>
      <w:r w:rsidRPr="00A259BD">
        <w:rPr>
          <w:color w:val="000000" w:themeColor="text1"/>
          <w:sz w:val="16"/>
          <w:szCs w:val="16"/>
        </w:rPr>
        <w:t>). 10. О взаимозаменяемости частей ручного пулемета Дегтярева. (</w:t>
      </w:r>
      <w:proofErr w:type="spellStart"/>
      <w:r w:rsidRPr="00A259BD">
        <w:rPr>
          <w:color w:val="000000" w:themeColor="text1"/>
          <w:sz w:val="16"/>
          <w:szCs w:val="16"/>
        </w:rPr>
        <w:t>Уншлихт</w:t>
      </w:r>
      <w:proofErr w:type="spellEnd"/>
      <w:r w:rsidRPr="00A259BD">
        <w:rPr>
          <w:color w:val="000000" w:themeColor="text1"/>
          <w:sz w:val="16"/>
          <w:szCs w:val="16"/>
        </w:rPr>
        <w:t>). (РГВА. Ф. 4. Оп. 18. Д. 15. Л. 206, 208</w:t>
      </w:r>
      <w:r w:rsidRPr="00A259BD">
        <w:rPr>
          <w:color w:val="000000" w:themeColor="text1"/>
          <w:sz w:val="16"/>
          <w:szCs w:val="16"/>
        </w:rPr>
        <w:noBreakHyphen/>
        <w:t>209) (12342).</w:t>
      </w:r>
    </w:p>
    <w:p w14:paraId="5B130DF6" w14:textId="77777777" w:rsidR="00B25ADA" w:rsidRPr="00A259BD" w:rsidRDefault="00B25ADA" w:rsidP="009236E3">
      <w:pPr>
        <w:pStyle w:val="rtejustify"/>
        <w:spacing w:before="0" w:after="0"/>
        <w:rPr>
          <w:color w:val="000000" w:themeColor="text1"/>
          <w:sz w:val="16"/>
          <w:szCs w:val="16"/>
        </w:rPr>
      </w:pPr>
    </w:p>
    <w:p w14:paraId="050B7A4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245DA19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70D34D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состоянию на 31 июля 1929 в составе Даурской группировки насчи</w:t>
      </w:r>
      <w:r w:rsidRPr="00A259BD">
        <w:rPr>
          <w:rFonts w:ascii="Times New Roman" w:hAnsi="Times New Roman"/>
          <w:color w:val="000000" w:themeColor="text1"/>
          <w:sz w:val="16"/>
          <w:szCs w:val="16"/>
        </w:rPr>
        <w:softHyphen/>
        <w:t xml:space="preserve">тывалось 19 самолетов, в </w:t>
      </w:r>
      <w:proofErr w:type="spellStart"/>
      <w:r w:rsidRPr="00A259BD">
        <w:rPr>
          <w:rFonts w:ascii="Times New Roman" w:hAnsi="Times New Roman"/>
          <w:color w:val="000000" w:themeColor="text1"/>
          <w:sz w:val="16"/>
          <w:szCs w:val="16"/>
        </w:rPr>
        <w:t>Хабаровско-Сунгарийской</w:t>
      </w:r>
      <w:proofErr w:type="spellEnd"/>
      <w:r w:rsidRPr="00A259BD">
        <w:rPr>
          <w:rFonts w:ascii="Times New Roman" w:hAnsi="Times New Roman"/>
          <w:color w:val="000000" w:themeColor="text1"/>
          <w:sz w:val="16"/>
          <w:szCs w:val="16"/>
        </w:rPr>
        <w:t xml:space="preserve"> - 8, </w:t>
      </w:r>
      <w:proofErr w:type="spellStart"/>
      <w:r w:rsidRPr="00A259BD">
        <w:rPr>
          <w:rFonts w:ascii="Times New Roman" w:hAnsi="Times New Roman"/>
          <w:color w:val="000000" w:themeColor="text1"/>
          <w:sz w:val="16"/>
          <w:szCs w:val="16"/>
        </w:rPr>
        <w:t>Гродековской</w:t>
      </w:r>
      <w:proofErr w:type="spellEnd"/>
      <w:r w:rsidRPr="00A259BD">
        <w:rPr>
          <w:rFonts w:ascii="Times New Roman" w:hAnsi="Times New Roman"/>
          <w:color w:val="000000" w:themeColor="text1"/>
          <w:sz w:val="16"/>
          <w:szCs w:val="16"/>
        </w:rPr>
        <w:t xml:space="preserve"> - 37, Читинской - б. Благовещенская и Вла</w:t>
      </w:r>
      <w:r w:rsidRPr="00A259BD">
        <w:rPr>
          <w:rFonts w:ascii="Times New Roman" w:hAnsi="Times New Roman"/>
          <w:color w:val="000000" w:themeColor="text1"/>
          <w:sz w:val="16"/>
          <w:szCs w:val="16"/>
        </w:rPr>
        <w:softHyphen/>
        <w:t>дивостокская группировки ОДВА само</w:t>
      </w:r>
      <w:r w:rsidRPr="00A259BD">
        <w:rPr>
          <w:rFonts w:ascii="Times New Roman" w:hAnsi="Times New Roman"/>
          <w:color w:val="000000" w:themeColor="text1"/>
          <w:sz w:val="16"/>
          <w:szCs w:val="16"/>
        </w:rPr>
        <w:softHyphen/>
        <w:t>летов не имели.</w:t>
      </w:r>
    </w:p>
    <w:p w14:paraId="10B0CFC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Чжан </w:t>
      </w:r>
      <w:proofErr w:type="spellStart"/>
      <w:r w:rsidRPr="00A259BD">
        <w:rPr>
          <w:rFonts w:ascii="Times New Roman" w:hAnsi="Times New Roman"/>
          <w:color w:val="000000" w:themeColor="text1"/>
          <w:sz w:val="16"/>
          <w:szCs w:val="16"/>
        </w:rPr>
        <w:t>Сюэлян</w:t>
      </w:r>
      <w:proofErr w:type="spellEnd"/>
      <w:r w:rsidRPr="00A259BD">
        <w:rPr>
          <w:rFonts w:ascii="Times New Roman" w:hAnsi="Times New Roman"/>
          <w:color w:val="000000" w:themeColor="text1"/>
          <w:sz w:val="16"/>
          <w:szCs w:val="16"/>
        </w:rPr>
        <w:t xml:space="preserve"> мог противопоста</w:t>
      </w:r>
      <w:r w:rsidRPr="00A259BD">
        <w:rPr>
          <w:rFonts w:ascii="Times New Roman" w:hAnsi="Times New Roman"/>
          <w:color w:val="000000" w:themeColor="text1"/>
          <w:sz w:val="16"/>
          <w:szCs w:val="16"/>
        </w:rPr>
        <w:softHyphen/>
        <w:t>вить им до 50 боеспособных самоле</w:t>
      </w:r>
      <w:r w:rsidRPr="00A259BD">
        <w:rPr>
          <w:rFonts w:ascii="Times New Roman" w:hAnsi="Times New Roman"/>
          <w:color w:val="000000" w:themeColor="text1"/>
          <w:sz w:val="16"/>
          <w:szCs w:val="16"/>
        </w:rPr>
        <w:softHyphen/>
        <w:t>тов. В разведсводке от 17 июля сооб</w:t>
      </w:r>
      <w:r w:rsidRPr="00A259BD">
        <w:rPr>
          <w:rFonts w:ascii="Times New Roman" w:hAnsi="Times New Roman"/>
          <w:color w:val="000000" w:themeColor="text1"/>
          <w:sz w:val="16"/>
          <w:szCs w:val="16"/>
        </w:rPr>
        <w:softHyphen/>
        <w:t>щили, что китайцы начали переброску авиации ближе к линии фронта, отпра</w:t>
      </w:r>
      <w:r w:rsidRPr="00A259BD">
        <w:rPr>
          <w:rFonts w:ascii="Times New Roman" w:hAnsi="Times New Roman"/>
          <w:color w:val="000000" w:themeColor="text1"/>
          <w:sz w:val="16"/>
          <w:szCs w:val="16"/>
        </w:rPr>
        <w:softHyphen/>
        <w:t>вив вместе с наземными войсками в район ст. Маньчжурия - Хайлар отряд самолетов и на ст. Пограничная два самолета. 19 июля отмечалась вероят</w:t>
      </w:r>
      <w:r w:rsidRPr="00A259BD">
        <w:rPr>
          <w:rFonts w:ascii="Times New Roman" w:hAnsi="Times New Roman"/>
          <w:color w:val="000000" w:themeColor="text1"/>
          <w:sz w:val="16"/>
          <w:szCs w:val="16"/>
        </w:rPr>
        <w:softHyphen/>
        <w:t>ная переброска авиаотряда предполо</w:t>
      </w:r>
      <w:r w:rsidRPr="00A259BD">
        <w:rPr>
          <w:rFonts w:ascii="Times New Roman" w:hAnsi="Times New Roman"/>
          <w:color w:val="000000" w:themeColor="text1"/>
          <w:sz w:val="16"/>
          <w:szCs w:val="16"/>
        </w:rPr>
        <w:softHyphen/>
        <w:t xml:space="preserve">жительно из 10 машин в </w:t>
      </w:r>
      <w:proofErr w:type="spellStart"/>
      <w:r w:rsidRPr="00A259BD">
        <w:rPr>
          <w:rFonts w:ascii="Times New Roman" w:hAnsi="Times New Roman"/>
          <w:color w:val="000000" w:themeColor="text1"/>
          <w:sz w:val="16"/>
          <w:szCs w:val="16"/>
        </w:rPr>
        <w:t>Баргу</w:t>
      </w:r>
      <w:proofErr w:type="spellEnd"/>
      <w:r w:rsidRPr="00A259BD">
        <w:rPr>
          <w:rFonts w:ascii="Times New Roman" w:hAnsi="Times New Roman"/>
          <w:color w:val="000000" w:themeColor="text1"/>
          <w:sz w:val="16"/>
          <w:szCs w:val="16"/>
        </w:rPr>
        <w:t xml:space="preserve"> и двух самолетов на ст. Пограничная (под</w:t>
      </w:r>
      <w:r w:rsidRPr="00A259BD">
        <w:rPr>
          <w:rFonts w:ascii="Times New Roman" w:hAnsi="Times New Roman"/>
          <w:color w:val="000000" w:themeColor="text1"/>
          <w:sz w:val="16"/>
          <w:szCs w:val="16"/>
        </w:rPr>
        <w:softHyphen/>
        <w:t xml:space="preserve">черкивалось, что сведения требовали проверки). 26 июля, по данным ОГПУ, китайские войска на </w:t>
      </w:r>
      <w:proofErr w:type="spellStart"/>
      <w:r w:rsidRPr="00A259BD">
        <w:rPr>
          <w:rFonts w:ascii="Times New Roman" w:hAnsi="Times New Roman"/>
          <w:color w:val="000000" w:themeColor="text1"/>
          <w:sz w:val="16"/>
          <w:szCs w:val="16"/>
        </w:rPr>
        <w:t>Сунгарийском</w:t>
      </w:r>
      <w:proofErr w:type="spellEnd"/>
      <w:r w:rsidRPr="00A259BD">
        <w:rPr>
          <w:rFonts w:ascii="Times New Roman" w:hAnsi="Times New Roman"/>
          <w:color w:val="000000" w:themeColor="text1"/>
          <w:sz w:val="16"/>
          <w:szCs w:val="16"/>
        </w:rPr>
        <w:t xml:space="preserve"> направлении усилили авиаотрядом в семь самолетов, их туда привезли ра</w:t>
      </w:r>
      <w:r w:rsidRPr="00A259BD">
        <w:rPr>
          <w:rFonts w:ascii="Times New Roman" w:hAnsi="Times New Roman"/>
          <w:color w:val="000000" w:themeColor="text1"/>
          <w:sz w:val="16"/>
          <w:szCs w:val="16"/>
        </w:rPr>
        <w:softHyphen/>
        <w:t>зобранными. По агентурным данным, также требовавшим проверки, 3 авгу</w:t>
      </w:r>
      <w:r w:rsidRPr="00A259BD">
        <w:rPr>
          <w:rFonts w:ascii="Times New Roman" w:hAnsi="Times New Roman"/>
          <w:color w:val="000000" w:themeColor="text1"/>
          <w:sz w:val="16"/>
          <w:szCs w:val="16"/>
        </w:rPr>
        <w:softHyphen/>
        <w:t>ста через Хайлар на запад проследо</w:t>
      </w:r>
      <w:r w:rsidRPr="00A259BD">
        <w:rPr>
          <w:rFonts w:ascii="Times New Roman" w:hAnsi="Times New Roman"/>
          <w:color w:val="000000" w:themeColor="text1"/>
          <w:sz w:val="16"/>
          <w:szCs w:val="16"/>
        </w:rPr>
        <w:softHyphen/>
        <w:t>вали еще три разобранных самолета. Уточнить эти данные по китайским ис</w:t>
      </w:r>
      <w:r w:rsidRPr="00A259BD">
        <w:rPr>
          <w:rFonts w:ascii="Times New Roman" w:hAnsi="Times New Roman"/>
          <w:color w:val="000000" w:themeColor="text1"/>
          <w:sz w:val="16"/>
          <w:szCs w:val="16"/>
        </w:rPr>
        <w:softHyphen/>
        <w:t>точникам не удалось (11216).</w:t>
      </w:r>
    </w:p>
    <w:p w14:paraId="6A20F86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FD718E" w14:textId="77777777" w:rsidR="009F6EA0" w:rsidRPr="00A259BD" w:rsidRDefault="009F6EA0"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BFA41AE" w14:textId="77777777" w:rsidR="009F6EA0" w:rsidRPr="00A259BD" w:rsidRDefault="009F6EA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08D422" w14:textId="77777777" w:rsidR="009F6EA0" w:rsidRPr="00A259BD" w:rsidRDefault="009F6EA0"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июля 1929 года 3-й отдел УСС УВВС направил в </w:t>
      </w:r>
      <w:proofErr w:type="spellStart"/>
      <w:r w:rsidRPr="00A259BD">
        <w:rPr>
          <w:rFonts w:ascii="Times New Roman" w:hAnsi="Times New Roman"/>
          <w:color w:val="000000" w:themeColor="text1"/>
          <w:sz w:val="16"/>
          <w:szCs w:val="16"/>
        </w:rPr>
        <w:t>Промвоздух</w:t>
      </w:r>
      <w:proofErr w:type="spellEnd"/>
      <w:r w:rsidRPr="00A259BD">
        <w:rPr>
          <w:rFonts w:ascii="Times New Roman" w:hAnsi="Times New Roman"/>
          <w:color w:val="000000" w:themeColor="text1"/>
          <w:sz w:val="16"/>
          <w:szCs w:val="16"/>
        </w:rPr>
        <w:t xml:space="preserve"> запрос на «реанимацию» предложений заведующего производственно-технического отдела завода № 43 Евграфа Порфирьевича </w:t>
      </w:r>
      <w:proofErr w:type="spellStart"/>
      <w:r w:rsidRPr="00A259BD">
        <w:rPr>
          <w:rFonts w:ascii="Times New Roman" w:hAnsi="Times New Roman"/>
          <w:color w:val="000000" w:themeColor="text1"/>
          <w:sz w:val="16"/>
          <w:szCs w:val="16"/>
        </w:rPr>
        <w:t>Шекунова</w:t>
      </w:r>
      <w:proofErr w:type="spellEnd"/>
      <w:r w:rsidRPr="00A259BD">
        <w:rPr>
          <w:rFonts w:ascii="Times New Roman" w:hAnsi="Times New Roman"/>
          <w:color w:val="000000" w:themeColor="text1"/>
          <w:sz w:val="16"/>
          <w:szCs w:val="16"/>
        </w:rPr>
        <w:t xml:space="preserve"> об усилении коробки крыльев «Фоккеров» ДХI. Он предлагал такую модернизацию еще в августе 1928 года. Доработка заключалась в переделке V-образных стоек в N-образные и установке дополнительных расчалок. Тогда на фоне эпопеи с установкой на «Фоккер» ДХI мотора «</w:t>
      </w:r>
      <w:proofErr w:type="spellStart"/>
      <w:r w:rsidRPr="00A259BD">
        <w:rPr>
          <w:rFonts w:ascii="Times New Roman" w:hAnsi="Times New Roman"/>
          <w:color w:val="000000" w:themeColor="text1"/>
          <w:sz w:val="16"/>
          <w:szCs w:val="16"/>
        </w:rPr>
        <w:t>Лоррен</w:t>
      </w:r>
      <w:proofErr w:type="spellEnd"/>
      <w:r w:rsidRPr="00A259BD">
        <w:rPr>
          <w:rFonts w:ascii="Times New Roman" w:hAnsi="Times New Roman"/>
          <w:color w:val="000000" w:themeColor="text1"/>
          <w:sz w:val="16"/>
          <w:szCs w:val="16"/>
        </w:rPr>
        <w:t>-Дитрих», вылившуюся, по сути, в модернизацию машины в «Фоккер» ДХIII, руководство треста встретило предложение «в штыки» и бумаги легли под сукно. Обстановка поменялась кардинально, и УСС настоятельно требовал «немедленно приступить к усилению одного из самолетов ФД-ХI, находящегося в заделе на заводе № 39 с тем, чтобы закончить эту работу в кратчайший срок» (23030).</w:t>
      </w:r>
    </w:p>
    <w:p w14:paraId="00BEEE41" w14:textId="77777777" w:rsidR="009F6EA0" w:rsidRPr="00A259BD" w:rsidRDefault="009F6EA0" w:rsidP="009236E3">
      <w:pPr>
        <w:autoSpaceDE w:val="0"/>
        <w:autoSpaceDN w:val="0"/>
        <w:adjustRightInd w:val="0"/>
        <w:spacing w:after="0" w:line="240" w:lineRule="auto"/>
        <w:jc w:val="both"/>
        <w:rPr>
          <w:rFonts w:ascii="Times New Roman" w:hAnsi="Times New Roman"/>
          <w:color w:val="000000" w:themeColor="text1"/>
          <w:sz w:val="16"/>
          <w:szCs w:val="16"/>
        </w:rPr>
      </w:pPr>
    </w:p>
    <w:p w14:paraId="37C6D52F" w14:textId="77777777" w:rsidR="009F6EA0" w:rsidRPr="00A259BD" w:rsidRDefault="009F6EA0" w:rsidP="009236E3">
      <w:pPr>
        <w:numPr>
          <w:ilvl w:val="12"/>
          <w:numId w:val="0"/>
        </w:num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июля 1929 года на заседании Президиума НТК УВВС с докладом «О парашютах советского производства» на его заседании опять выступал Савицкий. Он доложил, что изготовители (</w:t>
      </w:r>
      <w:proofErr w:type="spellStart"/>
      <w:r w:rsidRPr="00A259BD">
        <w:rPr>
          <w:rFonts w:ascii="Times New Roman" w:hAnsi="Times New Roman"/>
          <w:color w:val="000000" w:themeColor="text1"/>
          <w:sz w:val="16"/>
          <w:szCs w:val="16"/>
        </w:rPr>
        <w:t>Резинотрест</w:t>
      </w:r>
      <w:proofErr w:type="spellEnd"/>
      <w:r w:rsidRPr="00A259BD">
        <w:rPr>
          <w:rFonts w:ascii="Times New Roman" w:hAnsi="Times New Roman"/>
          <w:color w:val="000000" w:themeColor="text1"/>
          <w:sz w:val="16"/>
          <w:szCs w:val="16"/>
        </w:rPr>
        <w:t>) с многократным нарушением установленных сроков создали парашют лишь к 27 июля 1929 года, причем «весьма небрежно, с большими производственными дефектами и отступлениями от образца». В итоге М. Савицкий предложил «обследовать различные пошивочные организации на предмет передачи им заказа на шелковые парашюты» (Архив ЦДА и К. Ф. 50. Оп. 1. Д. 4. Л. 5-7) (21402).</w:t>
      </w:r>
    </w:p>
    <w:p w14:paraId="61ED2DF0" w14:textId="77777777" w:rsidR="009F6EA0" w:rsidRPr="00A259BD" w:rsidRDefault="009F6EA0" w:rsidP="009236E3">
      <w:pPr>
        <w:numPr>
          <w:ilvl w:val="12"/>
          <w:numId w:val="0"/>
        </w:numPr>
        <w:spacing w:after="0" w:line="240" w:lineRule="auto"/>
        <w:jc w:val="both"/>
        <w:rPr>
          <w:rFonts w:ascii="Times New Roman" w:hAnsi="Times New Roman"/>
          <w:color w:val="000000" w:themeColor="text1"/>
          <w:sz w:val="16"/>
          <w:szCs w:val="16"/>
        </w:rPr>
      </w:pPr>
    </w:p>
    <w:p w14:paraId="0DE6C78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981A21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D35407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г. был готов третий Р-5. В НИИ ВВС самолет достиг несколько меньшей максимальной скорости, чем на заводских испытаниях: у земли 207 км/ч, на высоте 3000 м-217 км/ч. Испытания Р-5 закончились беспосадочным переле</w:t>
      </w:r>
      <w:r w:rsidRPr="00A259BD">
        <w:rPr>
          <w:rFonts w:ascii="Times New Roman" w:hAnsi="Times New Roman"/>
          <w:color w:val="000000" w:themeColor="text1"/>
          <w:sz w:val="16"/>
          <w:szCs w:val="16"/>
        </w:rPr>
        <w:softHyphen/>
        <w:t>том из Москвы в Севастополь. 21 июля 1929 г. в 2 часа 32 минуты самолет, который пилотировал старший лет</w:t>
      </w:r>
      <w:r w:rsidRPr="00A259BD">
        <w:rPr>
          <w:rFonts w:ascii="Times New Roman" w:hAnsi="Times New Roman"/>
          <w:color w:val="000000" w:themeColor="text1"/>
          <w:sz w:val="16"/>
          <w:szCs w:val="16"/>
        </w:rPr>
        <w:softHyphen/>
        <w:t xml:space="preserve">чик НИИ ВВС </w:t>
      </w:r>
      <w:proofErr w:type="spellStart"/>
      <w:r w:rsidRPr="00A259BD">
        <w:rPr>
          <w:rFonts w:ascii="Times New Roman" w:hAnsi="Times New Roman"/>
          <w:color w:val="000000" w:themeColor="text1"/>
          <w:sz w:val="16"/>
          <w:szCs w:val="16"/>
        </w:rPr>
        <w:t>В.П.Писаренко</w:t>
      </w:r>
      <w:proofErr w:type="spellEnd"/>
      <w:r w:rsidRPr="00A259BD">
        <w:rPr>
          <w:rFonts w:ascii="Times New Roman" w:hAnsi="Times New Roman"/>
          <w:color w:val="000000" w:themeColor="text1"/>
          <w:sz w:val="16"/>
          <w:szCs w:val="16"/>
        </w:rPr>
        <w:t>, с пассажиром - замести</w:t>
      </w:r>
      <w:r w:rsidRPr="00A259BD">
        <w:rPr>
          <w:rFonts w:ascii="Times New Roman" w:hAnsi="Times New Roman"/>
          <w:color w:val="000000" w:themeColor="text1"/>
          <w:sz w:val="16"/>
          <w:szCs w:val="16"/>
        </w:rPr>
        <w:softHyphen/>
        <w:t xml:space="preserve">телем начальника ВВС </w:t>
      </w:r>
      <w:proofErr w:type="spellStart"/>
      <w:r w:rsidRPr="00A259BD">
        <w:rPr>
          <w:rFonts w:ascii="Times New Roman" w:hAnsi="Times New Roman"/>
          <w:color w:val="000000" w:themeColor="text1"/>
          <w:sz w:val="16"/>
          <w:szCs w:val="16"/>
        </w:rPr>
        <w:t>Я.И.Алкснисом</w:t>
      </w:r>
      <w:proofErr w:type="spellEnd"/>
      <w:r w:rsidRPr="00A259BD">
        <w:rPr>
          <w:rFonts w:ascii="Times New Roman" w:hAnsi="Times New Roman"/>
          <w:color w:val="000000" w:themeColor="text1"/>
          <w:sz w:val="16"/>
          <w:szCs w:val="16"/>
        </w:rPr>
        <w:t xml:space="preserve"> - поднялся в воздух с Центрального аэродрома. В 8 часов утра, про</w:t>
      </w:r>
      <w:r w:rsidRPr="00A259BD">
        <w:rPr>
          <w:rFonts w:ascii="Times New Roman" w:hAnsi="Times New Roman"/>
          <w:color w:val="000000" w:themeColor="text1"/>
          <w:sz w:val="16"/>
          <w:szCs w:val="16"/>
        </w:rPr>
        <w:softHyphen/>
        <w:t>летев около 1500 км, Р-5 приземлился близ Севастополя. Этот перелет подтвердил хорошие летные качества ма</w:t>
      </w:r>
      <w:r w:rsidRPr="00A259BD">
        <w:rPr>
          <w:rFonts w:ascii="Times New Roman" w:hAnsi="Times New Roman"/>
          <w:color w:val="000000" w:themeColor="text1"/>
          <w:sz w:val="16"/>
          <w:szCs w:val="16"/>
        </w:rPr>
        <w:softHyphen/>
        <w:t>шины и повысил интерес ВВС к Р-5 (10667).</w:t>
      </w:r>
    </w:p>
    <w:p w14:paraId="6EF656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679E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июле 1929 полностью программу </w:t>
      </w:r>
      <w:proofErr w:type="spellStart"/>
      <w:r w:rsidRPr="00A259BD">
        <w:rPr>
          <w:rFonts w:ascii="Times New Roman" w:hAnsi="Times New Roman"/>
          <w:color w:val="000000" w:themeColor="text1"/>
          <w:sz w:val="16"/>
          <w:szCs w:val="16"/>
        </w:rPr>
        <w:t>статиспытаний</w:t>
      </w:r>
      <w:proofErr w:type="spellEnd"/>
      <w:r w:rsidRPr="00A259BD">
        <w:rPr>
          <w:rFonts w:ascii="Times New Roman" w:hAnsi="Times New Roman"/>
          <w:color w:val="000000" w:themeColor="text1"/>
          <w:sz w:val="16"/>
          <w:szCs w:val="16"/>
        </w:rPr>
        <w:t xml:space="preserve"> Р-5. В декабре 1928 в ходе </w:t>
      </w:r>
      <w:proofErr w:type="spellStart"/>
      <w:r w:rsidRPr="00A259BD">
        <w:rPr>
          <w:rFonts w:ascii="Times New Roman" w:hAnsi="Times New Roman"/>
          <w:color w:val="000000" w:themeColor="text1"/>
          <w:sz w:val="16"/>
          <w:szCs w:val="16"/>
        </w:rPr>
        <w:t>статиспытаний</w:t>
      </w:r>
      <w:proofErr w:type="spellEnd"/>
      <w:r w:rsidRPr="00A259BD">
        <w:rPr>
          <w:rFonts w:ascii="Times New Roman" w:hAnsi="Times New Roman"/>
          <w:color w:val="000000" w:themeColor="text1"/>
          <w:sz w:val="16"/>
          <w:szCs w:val="16"/>
        </w:rPr>
        <w:t xml:space="preserve"> довели до разрушения </w:t>
      </w:r>
      <w:proofErr w:type="spellStart"/>
      <w:r w:rsidRPr="00A259BD">
        <w:rPr>
          <w:rFonts w:ascii="Times New Roman" w:hAnsi="Times New Roman"/>
          <w:color w:val="000000" w:themeColor="text1"/>
          <w:sz w:val="16"/>
          <w:szCs w:val="16"/>
        </w:rPr>
        <w:t>бипланную</w:t>
      </w:r>
      <w:proofErr w:type="spellEnd"/>
      <w:r w:rsidRPr="00A259BD">
        <w:rPr>
          <w:rFonts w:ascii="Times New Roman" w:hAnsi="Times New Roman"/>
          <w:color w:val="000000" w:themeColor="text1"/>
          <w:sz w:val="16"/>
          <w:szCs w:val="16"/>
        </w:rPr>
        <w:t xml:space="preserve"> коробку Р-5, доказав полученный расчетами запас прочности (12034).</w:t>
      </w:r>
    </w:p>
    <w:p w14:paraId="512F36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46BA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июле 1929 г. закончились за</w:t>
      </w:r>
      <w:r w:rsidRPr="00A259BD">
        <w:rPr>
          <w:rFonts w:ascii="Times New Roman" w:hAnsi="Times New Roman"/>
          <w:color w:val="000000" w:themeColor="text1"/>
          <w:sz w:val="16"/>
          <w:szCs w:val="16"/>
        </w:rPr>
        <w:softHyphen/>
        <w:t>водские испытания Д-2 с двигателем БМВ-6, построенного на московском заводе № 25, которые велись с 15 марта. Самолет облетывал Б. Л. Бухгольц; по его мнению, Д-2 не уступал но свои характеристикам большинству зару</w:t>
      </w:r>
      <w:r w:rsidRPr="00A259BD">
        <w:rPr>
          <w:rFonts w:ascii="Times New Roman" w:hAnsi="Times New Roman"/>
          <w:color w:val="000000" w:themeColor="text1"/>
          <w:sz w:val="16"/>
          <w:szCs w:val="16"/>
        </w:rPr>
        <w:softHyphen/>
        <w:t>бежных одноместных истребителей, а при установке более мощного вооружения мог бы стать более эффективным, чем одноме</w:t>
      </w:r>
      <w:r w:rsidRPr="00A259BD">
        <w:rPr>
          <w:rFonts w:ascii="Times New Roman" w:hAnsi="Times New Roman"/>
          <w:color w:val="000000" w:themeColor="text1"/>
          <w:sz w:val="16"/>
          <w:szCs w:val="16"/>
        </w:rPr>
        <w:softHyphen/>
        <w:t>стные машины. Вместе с тем Бухгольц от</w:t>
      </w:r>
      <w:r w:rsidRPr="00A259BD">
        <w:rPr>
          <w:rFonts w:ascii="Times New Roman" w:hAnsi="Times New Roman"/>
          <w:color w:val="000000" w:themeColor="text1"/>
          <w:sz w:val="16"/>
          <w:szCs w:val="16"/>
        </w:rPr>
        <w:softHyphen/>
        <w:t>мечал, что Д-2 по причине значительной задней центровки имеет неудовлетвори</w:t>
      </w:r>
      <w:r w:rsidRPr="00A259BD">
        <w:rPr>
          <w:rFonts w:ascii="Times New Roman" w:hAnsi="Times New Roman"/>
          <w:color w:val="000000" w:themeColor="text1"/>
          <w:sz w:val="16"/>
          <w:szCs w:val="16"/>
        </w:rPr>
        <w:softHyphen/>
        <w:t>тельные характеристики штопора. После проведенных испытаний самолет длительное время - практически в течение года - оставался невостребованным и ни</w:t>
      </w:r>
      <w:r w:rsidRPr="00A259BD">
        <w:rPr>
          <w:rFonts w:ascii="Times New Roman" w:hAnsi="Times New Roman"/>
          <w:color w:val="000000" w:themeColor="text1"/>
          <w:sz w:val="16"/>
          <w:szCs w:val="16"/>
        </w:rPr>
        <w:softHyphen/>
        <w:t>каким переделкам не подвергался. За это время арестовали Поликарпова, а авиаза</w:t>
      </w:r>
      <w:r w:rsidRPr="00A259BD">
        <w:rPr>
          <w:rFonts w:ascii="Times New Roman" w:hAnsi="Times New Roman"/>
          <w:color w:val="000000" w:themeColor="text1"/>
          <w:sz w:val="16"/>
          <w:szCs w:val="16"/>
        </w:rPr>
        <w:softHyphen/>
        <w:t>вод № 25 включили в состав авиазавода № 39 (11134).</w:t>
      </w:r>
    </w:p>
    <w:p w14:paraId="03716D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8B52D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года началось проектирование деревянной версии машины И-7 (6925).</w:t>
      </w:r>
    </w:p>
    <w:p w14:paraId="48F6970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0D41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началось проектирование АНТ-10 (71,135).</w:t>
      </w:r>
    </w:p>
    <w:p w14:paraId="129CC0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9FE1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закончились испытания опытного И-3, которые проходили с октября 1928. Рекомендован для серии (80,116).</w:t>
      </w:r>
    </w:p>
    <w:p w14:paraId="6A9FED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8F5F7A" w14:textId="77777777" w:rsidR="00A40F44" w:rsidRPr="00441F34" w:rsidRDefault="00A40F44" w:rsidP="00A40F4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июле 1929 г. программа Государственных испытаний 1-го и 2-го опытных образцов самолета И-3 была полностью выполнена (24887).</w:t>
      </w:r>
    </w:p>
    <w:p w14:paraId="644E895C" w14:textId="77777777" w:rsidR="00A40F44" w:rsidRPr="00441F34" w:rsidRDefault="00A40F44" w:rsidP="00A40F44">
      <w:pPr>
        <w:spacing w:after="0" w:line="240" w:lineRule="auto"/>
        <w:jc w:val="both"/>
        <w:rPr>
          <w:rFonts w:ascii="Times New Roman" w:hAnsi="Times New Roman"/>
          <w:color w:val="0070C0"/>
          <w:sz w:val="16"/>
          <w:szCs w:val="16"/>
        </w:rPr>
      </w:pPr>
    </w:p>
    <w:p w14:paraId="146CE5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июлю 1929 в КБ А.Н.Т. был проведен расчет трехмоторного гидросамолета лодочного типа под БМВ-7 или Юпитер 4. С проектом ознакомили НТК УВВС, тот одобрил, но А.Н.Т. ссылаясь на загруженность от работы отказался (2072,75).</w:t>
      </w:r>
    </w:p>
    <w:p w14:paraId="30AA64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E093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июле 1929 года </w:t>
      </w:r>
      <w:proofErr w:type="spellStart"/>
      <w:r w:rsidRPr="00A259BD">
        <w:rPr>
          <w:rFonts w:ascii="Times New Roman" w:hAnsi="Times New Roman"/>
          <w:color w:val="000000" w:themeColor="text1"/>
          <w:sz w:val="16"/>
          <w:szCs w:val="16"/>
        </w:rPr>
        <w:t>Техупр</w:t>
      </w:r>
      <w:proofErr w:type="spellEnd"/>
      <w:r w:rsidRPr="00A259BD">
        <w:rPr>
          <w:rFonts w:ascii="Times New Roman" w:hAnsi="Times New Roman"/>
          <w:color w:val="000000" w:themeColor="text1"/>
          <w:sz w:val="16"/>
          <w:szCs w:val="16"/>
        </w:rPr>
        <w:t xml:space="preserve"> заказал ЦАГИ опытный ко</w:t>
      </w:r>
      <w:r w:rsidRPr="00A259BD">
        <w:rPr>
          <w:rFonts w:ascii="Times New Roman" w:hAnsi="Times New Roman"/>
          <w:color w:val="000000" w:themeColor="text1"/>
          <w:sz w:val="16"/>
          <w:szCs w:val="16"/>
        </w:rPr>
        <w:softHyphen/>
        <w:t>рабль АНТ-5. Однако из-за нерешенности вопроса с вооружением, а глав</w:t>
      </w:r>
      <w:r w:rsidRPr="00A259BD">
        <w:rPr>
          <w:rFonts w:ascii="Times New Roman" w:hAnsi="Times New Roman"/>
          <w:color w:val="000000" w:themeColor="text1"/>
          <w:sz w:val="16"/>
          <w:szCs w:val="16"/>
        </w:rPr>
        <w:softHyphen/>
        <w:t>ное — с выбором двигателей, создание АНТ-5 затянулось (3898).</w:t>
      </w:r>
    </w:p>
    <w:p w14:paraId="297DB4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A54502A" w14:textId="77777777" w:rsidR="00A40F44" w:rsidRPr="00441F34" w:rsidRDefault="00A40F44" w:rsidP="00A40F4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июле 1929 г. проект новой машины КБ А.Н.Т. - летающей лодки под двигатели BMW VII или </w:t>
      </w:r>
      <w:proofErr w:type="spellStart"/>
      <w:r w:rsidRPr="00441F34">
        <w:rPr>
          <w:rFonts w:ascii="Times New Roman" w:hAnsi="Times New Roman"/>
          <w:color w:val="0070C0"/>
          <w:sz w:val="16"/>
          <w:szCs w:val="16"/>
        </w:rPr>
        <w:t>Jupiter</w:t>
      </w:r>
      <w:proofErr w:type="spellEnd"/>
      <w:r w:rsidRPr="00441F34">
        <w:rPr>
          <w:rFonts w:ascii="Times New Roman" w:hAnsi="Times New Roman"/>
          <w:color w:val="0070C0"/>
          <w:sz w:val="16"/>
          <w:szCs w:val="16"/>
        </w:rPr>
        <w:t xml:space="preserve"> IV, причем средний мотор имел толкающий винт, рас</w:t>
      </w:r>
      <w:r w:rsidRPr="00441F34">
        <w:rPr>
          <w:rFonts w:ascii="Times New Roman" w:hAnsi="Times New Roman"/>
          <w:color w:val="0070C0"/>
          <w:sz w:val="16"/>
          <w:szCs w:val="16"/>
        </w:rPr>
        <w:softHyphen/>
        <w:t>смотрели, ознакомили с ним и НТК УВВС. Однако КБ было перегружено в то время заказами по тяжелым сухопутным самоле</w:t>
      </w:r>
      <w:r w:rsidRPr="00441F34">
        <w:rPr>
          <w:rFonts w:ascii="Times New Roman" w:hAnsi="Times New Roman"/>
          <w:color w:val="0070C0"/>
          <w:sz w:val="16"/>
          <w:szCs w:val="16"/>
        </w:rPr>
        <w:softHyphen/>
        <w:t>там и эту работу пришлось отложить (23474).</w:t>
      </w:r>
    </w:p>
    <w:p w14:paraId="4F9425E3" w14:textId="77777777" w:rsidR="00A40F44" w:rsidRPr="00441F34" w:rsidRDefault="00A40F44" w:rsidP="00A40F44">
      <w:pPr>
        <w:spacing w:after="0" w:line="240" w:lineRule="auto"/>
        <w:jc w:val="both"/>
        <w:rPr>
          <w:rFonts w:ascii="Times New Roman" w:hAnsi="Times New Roman"/>
          <w:color w:val="0070C0"/>
          <w:sz w:val="16"/>
          <w:szCs w:val="16"/>
        </w:rPr>
      </w:pPr>
    </w:p>
    <w:p w14:paraId="568DD8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сделали головной АНТ-4 (N 601 с 2хБМВ-6 на 22 заводе - 1016,141). Наконец-то полнокровный предсерийный (92,348). Дали заводской номер 601 (519,16). Именно он полетел в перелет 8 августа (1016,141). До 1932 сделали 217 (2782,22).</w:t>
      </w:r>
    </w:p>
    <w:p w14:paraId="1AC85F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01DC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июле 1929 был утвержден проект пассажирской версии АНТ-8 для эксплуатации в Охотском море. Для этого требовалась дальность в 2000 км (346,40). Этот проект был разработан в соответствии с требованиями Инспекции ГВФ к пассажирскому гидросамолету с тремя двигателями по 300 </w:t>
      </w:r>
      <w:proofErr w:type="spellStart"/>
      <w:r w:rsidRPr="00A259BD">
        <w:rPr>
          <w:rFonts w:ascii="Times New Roman" w:hAnsi="Times New Roman"/>
          <w:color w:val="000000" w:themeColor="text1"/>
          <w:sz w:val="16"/>
          <w:szCs w:val="16"/>
        </w:rPr>
        <w:t>нр</w:t>
      </w:r>
      <w:proofErr w:type="spellEnd"/>
      <w:r w:rsidRPr="00A259BD">
        <w:rPr>
          <w:rFonts w:ascii="Times New Roman" w:hAnsi="Times New Roman"/>
          <w:color w:val="000000" w:themeColor="text1"/>
          <w:sz w:val="16"/>
          <w:szCs w:val="16"/>
        </w:rPr>
        <w:t xml:space="preserve"> (Гном-Рон Титан или Райт J6), направленными в мае (6472, 31).</w:t>
      </w:r>
    </w:p>
    <w:p w14:paraId="2676BB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38F867C" w14:textId="77777777" w:rsidR="00A40F44" w:rsidRPr="00441F34" w:rsidRDefault="00A40F44" w:rsidP="00A40F4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ию</w:t>
      </w:r>
      <w:r w:rsidRPr="00441F34">
        <w:rPr>
          <w:rFonts w:ascii="Times New Roman" w:hAnsi="Times New Roman"/>
          <w:color w:val="0070C0"/>
          <w:sz w:val="16"/>
          <w:szCs w:val="16"/>
        </w:rPr>
        <w:softHyphen/>
        <w:t>ле 1929 г. был утвержден проект пассажирского варианта АНТ-8, который разрабатывался в КБ А.Н.Т. по заданию ГВФ. Предпо</w:t>
      </w:r>
      <w:r w:rsidRPr="00441F34">
        <w:rPr>
          <w:rFonts w:ascii="Times New Roman" w:hAnsi="Times New Roman"/>
          <w:color w:val="0070C0"/>
          <w:sz w:val="16"/>
          <w:szCs w:val="16"/>
        </w:rPr>
        <w:softHyphen/>
        <w:t>лагалось эксплуатировать самолет на Охотском море, где надо было летать на расстояния до 2000 км. Основное требо</w:t>
      </w:r>
      <w:r w:rsidRPr="00441F34">
        <w:rPr>
          <w:rFonts w:ascii="Times New Roman" w:hAnsi="Times New Roman"/>
          <w:color w:val="0070C0"/>
          <w:sz w:val="16"/>
          <w:szCs w:val="16"/>
        </w:rPr>
        <w:softHyphen/>
        <w:t>вание поэтому состояло в том, чтобы ра</w:t>
      </w:r>
      <w:r w:rsidRPr="00441F34">
        <w:rPr>
          <w:rFonts w:ascii="Times New Roman" w:hAnsi="Times New Roman"/>
          <w:color w:val="0070C0"/>
          <w:sz w:val="16"/>
          <w:szCs w:val="16"/>
        </w:rPr>
        <w:softHyphen/>
        <w:t>диус действия был не менее 1500 км. В мае 1931г. согласовали сроки передачи се</w:t>
      </w:r>
      <w:r w:rsidRPr="00441F34">
        <w:rPr>
          <w:rFonts w:ascii="Times New Roman" w:hAnsi="Times New Roman"/>
          <w:color w:val="0070C0"/>
          <w:sz w:val="16"/>
          <w:szCs w:val="16"/>
        </w:rPr>
        <w:softHyphen/>
        <w:t>рийных чертежей Таганрогскому заводу №31, где намечали наладить серийный выпуск машины. Однако во второй поло</w:t>
      </w:r>
      <w:r w:rsidRPr="00441F34">
        <w:rPr>
          <w:rFonts w:ascii="Times New Roman" w:hAnsi="Times New Roman"/>
          <w:color w:val="0070C0"/>
          <w:sz w:val="16"/>
          <w:szCs w:val="16"/>
        </w:rPr>
        <w:softHyphen/>
        <w:t>вине 1931 г. работу сняли с плана (23474).</w:t>
      </w:r>
    </w:p>
    <w:p w14:paraId="24270775" w14:textId="77777777" w:rsidR="00A40F44" w:rsidRPr="00441F34" w:rsidRDefault="00A40F44" w:rsidP="00A40F44">
      <w:pPr>
        <w:spacing w:after="0" w:line="240" w:lineRule="auto"/>
        <w:jc w:val="both"/>
        <w:rPr>
          <w:rFonts w:ascii="Times New Roman" w:hAnsi="Times New Roman"/>
          <w:color w:val="0070C0"/>
          <w:sz w:val="16"/>
          <w:szCs w:val="16"/>
        </w:rPr>
      </w:pPr>
    </w:p>
    <w:p w14:paraId="340ACD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г. На Юг-1 № 946 в НИИ ВВС поставили Тур-4 (3224,14).</w:t>
      </w:r>
    </w:p>
    <w:p w14:paraId="1D7549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9AD9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июле 1929 г. ТБ-1 впервые поставили на поплавки от ЮГ-1, а к концу 1931 г. серийные ТБ-1а на поплавках типа "Ж" (по типу английских) уже поступили в строевые части (в том числе в 62-ю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ТБ-1а, как и "юнкере", мог нести мину МАВ-1 и торпеду ТАН-12. Но в отличие от немецкой машины на нем предусматривалась подвеска высотной торпеды TAB-15 (из-за длинной парашютной коробки она не умещалась под ЮГ-1), а максимальный калибр бомб у отечественного самолета доходил до 500 кг (у ЮГ-1 - 82 кг) (3224,15).</w:t>
      </w:r>
    </w:p>
    <w:p w14:paraId="4A9748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1D3CE0" w14:textId="77777777" w:rsidR="00C843D9" w:rsidRPr="00A259BD" w:rsidRDefault="00C843D9" w:rsidP="009236E3">
      <w:pPr>
        <w:numPr>
          <w:ilvl w:val="12"/>
          <w:numId w:val="0"/>
        </w:num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года летчик-испытатель ЦКБ-38 ОГПУ Б.Л. Бухгольц испытывал новый двухместный переходной самолет П-2. При резком переходе из горизонтальной прямой на высоте 200-250 метров на максимальной скорости на набор высоты с разворотом самолет не выдержал нагрузки и развалился в воздухе. Летчик выбросился из самолета с высоты примерно 150 м, парашют раскрылся нормально и приземление прошло благополучно. До официального рождения в СССР парашютизма еще три летчика спасли свои жизни при помощи парашюта. Речь идет о 26-летнем летчике И.А. Кравцове, который выбросился из потерпевшего аварию самолета на парашюте в марте 1930 года, а также о Долгове, спасшемся в мае, Нестеровском, спасшемся в июле 1930 года (Архив ЦДА и К. Ф. 50. Оп. 1. Д. 2. Л. 34-36.) (21402).</w:t>
      </w:r>
    </w:p>
    <w:p w14:paraId="6BB540BA" w14:textId="77777777" w:rsidR="00C843D9" w:rsidRPr="00A259BD" w:rsidRDefault="00C843D9" w:rsidP="009236E3">
      <w:pPr>
        <w:spacing w:after="0" w:line="240" w:lineRule="auto"/>
        <w:jc w:val="both"/>
        <w:rPr>
          <w:rFonts w:ascii="Times New Roman" w:hAnsi="Times New Roman"/>
          <w:color w:val="000000" w:themeColor="text1"/>
          <w:sz w:val="16"/>
          <w:szCs w:val="16"/>
        </w:rPr>
      </w:pPr>
    </w:p>
    <w:p w14:paraId="5AEEC55A" w14:textId="77777777" w:rsidR="00C843D9" w:rsidRPr="00A259BD" w:rsidRDefault="00C843D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г. И. Г. Савин начал испытания Фоккера ФД-11, на который инженер ЦКБ- 39 В. Л. Александров установил закупленный в то время французский Лорен-Дитрих LD.12 «</w:t>
      </w:r>
      <w:proofErr w:type="spellStart"/>
      <w:r w:rsidRPr="00A259BD">
        <w:rPr>
          <w:rFonts w:ascii="Times New Roman" w:hAnsi="Times New Roman"/>
          <w:color w:val="000000" w:themeColor="text1"/>
          <w:sz w:val="16"/>
          <w:szCs w:val="16"/>
        </w:rPr>
        <w:t>Петрель</w:t>
      </w:r>
      <w:proofErr w:type="spellEnd"/>
      <w:r w:rsidRPr="00A259BD">
        <w:rPr>
          <w:rFonts w:ascii="Times New Roman" w:hAnsi="Times New Roman"/>
          <w:color w:val="000000" w:themeColor="text1"/>
          <w:sz w:val="16"/>
          <w:szCs w:val="16"/>
        </w:rPr>
        <w:t xml:space="preserve">» мощностью 450 л. с., подобный по конструкции </w:t>
      </w:r>
      <w:proofErr w:type="spellStart"/>
      <w:r w:rsidRPr="00A259BD">
        <w:rPr>
          <w:rFonts w:ascii="Times New Roman" w:hAnsi="Times New Roman"/>
          <w:color w:val="000000" w:themeColor="text1"/>
          <w:sz w:val="16"/>
          <w:szCs w:val="16"/>
        </w:rPr>
        <w:t>анлийскому</w:t>
      </w:r>
      <w:proofErr w:type="spellEnd"/>
      <w:r w:rsidRPr="00A259BD">
        <w:rPr>
          <w:rFonts w:ascii="Times New Roman" w:hAnsi="Times New Roman"/>
          <w:color w:val="000000" w:themeColor="text1"/>
          <w:sz w:val="16"/>
          <w:szCs w:val="16"/>
        </w:rPr>
        <w:t xml:space="preserve"> «Лайону». Взлетный вес резко увеличился, а центровка сместилась вперед, и управ</w:t>
      </w:r>
      <w:r w:rsidRPr="00A259BD">
        <w:rPr>
          <w:rFonts w:ascii="Times New Roman" w:hAnsi="Times New Roman"/>
          <w:color w:val="000000" w:themeColor="text1"/>
          <w:sz w:val="16"/>
          <w:szCs w:val="16"/>
        </w:rPr>
        <w:softHyphen/>
        <w:t>ляемость ухудшилась — самолет реагиро</w:t>
      </w:r>
      <w:r w:rsidRPr="00A259BD">
        <w:rPr>
          <w:rFonts w:ascii="Times New Roman" w:hAnsi="Times New Roman"/>
          <w:color w:val="000000" w:themeColor="text1"/>
          <w:sz w:val="16"/>
          <w:szCs w:val="16"/>
        </w:rPr>
        <w:softHyphen/>
        <w:t>вал на рули медленнее, чем обычный ФД-11, который к их отклонению был слишком чут</w:t>
      </w:r>
      <w:r w:rsidRPr="00A259BD">
        <w:rPr>
          <w:rFonts w:ascii="Times New Roman" w:hAnsi="Times New Roman"/>
          <w:color w:val="000000" w:themeColor="text1"/>
          <w:sz w:val="16"/>
          <w:szCs w:val="16"/>
        </w:rPr>
        <w:softHyphen/>
        <w:t>ким. Но улучшилась статическая устойчивость, и «Фоккер» стал гораздо проще в пилотирова</w:t>
      </w:r>
      <w:r w:rsidRPr="00A259BD">
        <w:rPr>
          <w:rFonts w:ascii="Times New Roman" w:hAnsi="Times New Roman"/>
          <w:color w:val="000000" w:themeColor="text1"/>
          <w:sz w:val="16"/>
          <w:szCs w:val="16"/>
        </w:rPr>
        <w:softHyphen/>
        <w:t>нии, «прощая» неумелому летчику даже грубые ошибки.</w:t>
      </w:r>
    </w:p>
    <w:p w14:paraId="1515F83F" w14:textId="77777777" w:rsidR="00C843D9" w:rsidRPr="00A259BD" w:rsidRDefault="00C843D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Хотя скорость ожидаемо выросла, и самолет стал быстрее ее набирать, общее ухудшение маневренности из-за роста нагрузки на крыло не позволяло это преимущество использовать, а скороподъемность и потолок упали. Единст</w:t>
      </w:r>
      <w:r w:rsidRPr="00A259BD">
        <w:rPr>
          <w:rFonts w:ascii="Times New Roman" w:hAnsi="Times New Roman"/>
          <w:color w:val="000000" w:themeColor="text1"/>
          <w:sz w:val="16"/>
          <w:szCs w:val="16"/>
        </w:rPr>
        <w:softHyphen/>
        <w:t xml:space="preserve">венный И-39 передали ВВС в качестве </w:t>
      </w:r>
      <w:proofErr w:type="spellStart"/>
      <w:r w:rsidRPr="00A259BD">
        <w:rPr>
          <w:rFonts w:ascii="Times New Roman" w:hAnsi="Times New Roman"/>
          <w:color w:val="000000" w:themeColor="text1"/>
          <w:sz w:val="16"/>
          <w:szCs w:val="16"/>
        </w:rPr>
        <w:t>учебно</w:t>
      </w:r>
      <w:r w:rsidRPr="00A259BD">
        <w:rPr>
          <w:rFonts w:ascii="Times New Roman" w:hAnsi="Times New Roman"/>
          <w:color w:val="000000" w:themeColor="text1"/>
          <w:sz w:val="16"/>
          <w:szCs w:val="16"/>
        </w:rPr>
        <w:softHyphen/>
        <w:t>тренировочного</w:t>
      </w:r>
      <w:proofErr w:type="spellEnd"/>
      <w:r w:rsidRPr="00A259BD">
        <w:rPr>
          <w:rFonts w:ascii="Times New Roman" w:hAnsi="Times New Roman"/>
          <w:color w:val="000000" w:themeColor="text1"/>
          <w:sz w:val="16"/>
          <w:szCs w:val="16"/>
        </w:rPr>
        <w:t xml:space="preserve"> истребителя, видимо, без воо</w:t>
      </w:r>
      <w:r w:rsidRPr="00A259BD">
        <w:rPr>
          <w:rFonts w:ascii="Times New Roman" w:hAnsi="Times New Roman"/>
          <w:color w:val="000000" w:themeColor="text1"/>
          <w:sz w:val="16"/>
          <w:szCs w:val="16"/>
        </w:rPr>
        <w:softHyphen/>
        <w:t>ружения. На заводе № 39 таким же образом переделывались еще два ФД-11, но сведений об их окончании и сдаче Заказчику не обна</w:t>
      </w:r>
      <w:r w:rsidRPr="00A259BD">
        <w:rPr>
          <w:rFonts w:ascii="Times New Roman" w:hAnsi="Times New Roman"/>
          <w:color w:val="000000" w:themeColor="text1"/>
          <w:sz w:val="16"/>
          <w:szCs w:val="16"/>
        </w:rPr>
        <w:softHyphen/>
        <w:t>ружено. Ни ВВС, ни Наркомат оборонной про</w:t>
      </w:r>
      <w:r w:rsidRPr="00A259BD">
        <w:rPr>
          <w:rFonts w:ascii="Times New Roman" w:hAnsi="Times New Roman"/>
          <w:color w:val="000000" w:themeColor="text1"/>
          <w:sz w:val="16"/>
          <w:szCs w:val="16"/>
        </w:rPr>
        <w:softHyphen/>
        <w:t>мышленности не были заинтересованы в такой технике, да и моторы Л Д-12 закупались в огра</w:t>
      </w:r>
      <w:r w:rsidRPr="00A259BD">
        <w:rPr>
          <w:rFonts w:ascii="Times New Roman" w:hAnsi="Times New Roman"/>
          <w:color w:val="000000" w:themeColor="text1"/>
          <w:sz w:val="16"/>
          <w:szCs w:val="16"/>
        </w:rPr>
        <w:softHyphen/>
        <w:t>ниченном количестве и были нужны для дру</w:t>
      </w:r>
      <w:r w:rsidRPr="00A259BD">
        <w:rPr>
          <w:rFonts w:ascii="Times New Roman" w:hAnsi="Times New Roman"/>
          <w:color w:val="000000" w:themeColor="text1"/>
          <w:sz w:val="16"/>
          <w:szCs w:val="16"/>
        </w:rPr>
        <w:softHyphen/>
        <w:t>гих самолетов — в первую очередь для цель</w:t>
      </w:r>
      <w:r w:rsidRPr="00A259BD">
        <w:rPr>
          <w:rFonts w:ascii="Times New Roman" w:hAnsi="Times New Roman"/>
          <w:color w:val="000000" w:themeColor="text1"/>
          <w:sz w:val="16"/>
          <w:szCs w:val="16"/>
        </w:rPr>
        <w:softHyphen/>
        <w:t>нометаллических разведчиков и легких бом</w:t>
      </w:r>
      <w:r w:rsidRPr="00A259BD">
        <w:rPr>
          <w:rFonts w:ascii="Times New Roman" w:hAnsi="Times New Roman"/>
          <w:color w:val="000000" w:themeColor="text1"/>
          <w:sz w:val="16"/>
          <w:szCs w:val="16"/>
        </w:rPr>
        <w:softHyphen/>
        <w:t xml:space="preserve">бардировщиков Р-3 конструкции Туполева. Проект И-39 с мотором </w:t>
      </w:r>
      <w:proofErr w:type="spellStart"/>
      <w:r w:rsidRPr="00A259BD">
        <w:rPr>
          <w:rFonts w:ascii="Times New Roman" w:hAnsi="Times New Roman"/>
          <w:color w:val="000000" w:themeColor="text1"/>
          <w:sz w:val="16"/>
          <w:szCs w:val="16"/>
        </w:rPr>
        <w:t>Нэпир</w:t>
      </w:r>
      <w:proofErr w:type="spellEnd"/>
      <w:r w:rsidRPr="00A259BD">
        <w:rPr>
          <w:rFonts w:ascii="Times New Roman" w:hAnsi="Times New Roman"/>
          <w:color w:val="000000" w:themeColor="text1"/>
          <w:sz w:val="16"/>
          <w:szCs w:val="16"/>
        </w:rPr>
        <w:t xml:space="preserve"> «Лайон» </w:t>
      </w:r>
      <w:proofErr w:type="spellStart"/>
      <w:r w:rsidRPr="00A259BD">
        <w:rPr>
          <w:rFonts w:ascii="Times New Roman" w:hAnsi="Times New Roman"/>
          <w:color w:val="000000" w:themeColor="text1"/>
          <w:sz w:val="16"/>
          <w:szCs w:val="16"/>
        </w:rPr>
        <w:t>Mk.l</w:t>
      </w:r>
      <w:proofErr w:type="spellEnd"/>
      <w:r w:rsidRPr="00A259BD">
        <w:rPr>
          <w:rFonts w:ascii="Times New Roman" w:hAnsi="Times New Roman"/>
          <w:color w:val="000000" w:themeColor="text1"/>
          <w:sz w:val="16"/>
          <w:szCs w:val="16"/>
        </w:rPr>
        <w:t xml:space="preserve"> вовсе не был осуществлен (23004).</w:t>
      </w:r>
    </w:p>
    <w:p w14:paraId="06E1479B" w14:textId="77777777" w:rsidR="00C843D9" w:rsidRPr="00A259BD" w:rsidRDefault="00C843D9" w:rsidP="009236E3">
      <w:pPr>
        <w:spacing w:after="0" w:line="240" w:lineRule="auto"/>
        <w:jc w:val="both"/>
        <w:rPr>
          <w:rFonts w:ascii="Times New Roman" w:hAnsi="Times New Roman"/>
          <w:color w:val="000000" w:themeColor="text1"/>
          <w:sz w:val="16"/>
          <w:szCs w:val="16"/>
        </w:rPr>
      </w:pPr>
    </w:p>
    <w:p w14:paraId="28B64B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Весь июль 1929 ушел на летные испытания и подготовку АИР-3 к дальнему перелету. Испытания проводил слушатель 3-го курса ВВА А. И. Филин, в будущем - видный деятель советских ВВС. Впоследствии на АИР-3 летали известные летчики Ю. И. Пионтковский, Д. А. Кошиц, А. Б. Юмашев. Все они дали машине высокую оценку: отмечали легкость взлета и посадки, короткий разбег и пробег, прекрасную устойчивость по всем осям, возможность полета с брошенной ручкой. Особенно удачной признавалась управляемость. Самолет легко ходил за ручкой, был простым, приятным и неутомительным в пилотировании.</w:t>
      </w:r>
    </w:p>
    <w:p w14:paraId="748DFF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АИР-3 успешно прошел нормальные летные испытания, выполненные Инспекцией гражданской авиации. По заключению комиссии по испытаниям, АИР-3 показал прекрасные летные качества, большую грузоподъемность и большой запас топлива. Была отмечена чрезвычайно простая конструкция целиком из отечественных материалов и то, что конструктор предусмотрел возможность установки маломощного мотора НАМИ. Стоимость АИР-3 составила без мотора 4700 рублей, с мотором 8000, а в серийном производстве должна была быть еще ниже - 5000-6000 тысяч рублей.</w:t>
      </w:r>
    </w:p>
    <w:p w14:paraId="068AF7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особенно интересно, комиссия по испытаниям провела сравнение машины с зарубежными самолетами этого класса. И оказалось, что АИР-3 стоит в ряду лучших из них, в том числе по надежности и экономичности, и может смело конкурировать с новейшими серийными образцами известных западноевропейских фирм "Де </w:t>
      </w:r>
      <w:proofErr w:type="spellStart"/>
      <w:r w:rsidRPr="00A259BD">
        <w:rPr>
          <w:rFonts w:ascii="Times New Roman" w:hAnsi="Times New Roman"/>
          <w:color w:val="000000" w:themeColor="text1"/>
          <w:sz w:val="16"/>
          <w:szCs w:val="16"/>
        </w:rPr>
        <w:t>Хэвилленд</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Потез</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Авро</w:t>
      </w:r>
      <w:proofErr w:type="spellEnd"/>
      <w:r w:rsidRPr="00A259BD">
        <w:rPr>
          <w:rFonts w:ascii="Times New Roman" w:hAnsi="Times New Roman"/>
          <w:color w:val="000000" w:themeColor="text1"/>
          <w:sz w:val="16"/>
          <w:szCs w:val="16"/>
        </w:rPr>
        <w:t>" и др.</w:t>
      </w:r>
    </w:p>
    <w:p w14:paraId="1C3BD8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Летные испытания АИР-3 и последующие тренировочные полеты общей продолжительностью около 15 часов были закончены 17 августа (11981).</w:t>
      </w:r>
    </w:p>
    <w:p w14:paraId="3EF210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605BB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были подготовлены Сведения о выполнении заданий Отдела применения НИИ за июнь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1418"/>
        <w:gridCol w:w="2693"/>
        <w:gridCol w:w="2268"/>
      </w:tblGrid>
      <w:tr w:rsidR="00A259BD" w:rsidRPr="00A259BD" w14:paraId="430AD1D9" w14:textId="77777777">
        <w:tc>
          <w:tcPr>
            <w:tcW w:w="4219" w:type="dxa"/>
          </w:tcPr>
          <w:p w14:paraId="76AC0E2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Наименование задания</w:t>
            </w:r>
          </w:p>
        </w:tc>
        <w:tc>
          <w:tcPr>
            <w:tcW w:w="1418" w:type="dxa"/>
          </w:tcPr>
          <w:p w14:paraId="41A85D6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Когда дано задание</w:t>
            </w:r>
          </w:p>
        </w:tc>
        <w:tc>
          <w:tcPr>
            <w:tcW w:w="2693" w:type="dxa"/>
          </w:tcPr>
          <w:p w14:paraId="7314849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Срок выполнения</w:t>
            </w:r>
          </w:p>
        </w:tc>
        <w:tc>
          <w:tcPr>
            <w:tcW w:w="2268" w:type="dxa"/>
          </w:tcPr>
          <w:p w14:paraId="752FBA4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каком состоянии находится задание </w:t>
            </w:r>
          </w:p>
        </w:tc>
      </w:tr>
      <w:tr w:rsidR="00A259BD" w:rsidRPr="00A259BD" w14:paraId="2549AAD9" w14:textId="77777777">
        <w:tc>
          <w:tcPr>
            <w:tcW w:w="4219" w:type="dxa"/>
          </w:tcPr>
          <w:p w14:paraId="11213C6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Р-V БМВ</w:t>
            </w:r>
          </w:p>
        </w:tc>
        <w:tc>
          <w:tcPr>
            <w:tcW w:w="1418" w:type="dxa"/>
          </w:tcPr>
          <w:p w14:paraId="4316718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4F0E913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процессе выполнения</w:t>
            </w:r>
          </w:p>
        </w:tc>
        <w:tc>
          <w:tcPr>
            <w:tcW w:w="2268" w:type="dxa"/>
          </w:tcPr>
          <w:p w14:paraId="7CE62C9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w:t>
            </w:r>
          </w:p>
        </w:tc>
      </w:tr>
      <w:tr w:rsidR="00A259BD" w:rsidRPr="00A259BD" w14:paraId="112C4E0C" w14:textId="77777777">
        <w:tc>
          <w:tcPr>
            <w:tcW w:w="4219" w:type="dxa"/>
          </w:tcPr>
          <w:p w14:paraId="162C026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И-3 БМВ VI № 3820 (серийный)</w:t>
            </w:r>
          </w:p>
        </w:tc>
        <w:tc>
          <w:tcPr>
            <w:tcW w:w="1418" w:type="dxa"/>
          </w:tcPr>
          <w:p w14:paraId="3164EC6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07CE141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процессе выполнения</w:t>
            </w:r>
          </w:p>
        </w:tc>
        <w:tc>
          <w:tcPr>
            <w:tcW w:w="2268" w:type="dxa"/>
          </w:tcPr>
          <w:p w14:paraId="07E5AD0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tc>
      </w:tr>
      <w:tr w:rsidR="00A259BD" w:rsidRPr="00A259BD" w14:paraId="40DF025B" w14:textId="77777777">
        <w:tc>
          <w:tcPr>
            <w:tcW w:w="4219" w:type="dxa"/>
          </w:tcPr>
          <w:p w14:paraId="6BBAEE0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Авиа “ВН-33”</w:t>
            </w:r>
          </w:p>
        </w:tc>
        <w:tc>
          <w:tcPr>
            <w:tcW w:w="1418" w:type="dxa"/>
          </w:tcPr>
          <w:p w14:paraId="7D4ABAA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36E70AA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прекращено из-за поломки мотора</w:t>
            </w:r>
          </w:p>
        </w:tc>
        <w:tc>
          <w:tcPr>
            <w:tcW w:w="2268" w:type="dxa"/>
          </w:tcPr>
          <w:p w14:paraId="5890AA3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27C18AC" w14:textId="77777777">
        <w:tc>
          <w:tcPr>
            <w:tcW w:w="4219" w:type="dxa"/>
          </w:tcPr>
          <w:p w14:paraId="466A38F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Испытание самолета БРЕГЕ 19 В-2 </w:t>
            </w:r>
            <w:proofErr w:type="spellStart"/>
            <w:r w:rsidRPr="00A259BD">
              <w:rPr>
                <w:rFonts w:ascii="Times New Roman" w:hAnsi="Times New Roman"/>
                <w:color w:val="000000" w:themeColor="text1"/>
                <w:sz w:val="16"/>
                <w:szCs w:val="16"/>
              </w:rPr>
              <w:t>Лоррен</w:t>
            </w:r>
            <w:proofErr w:type="spellEnd"/>
            <w:r w:rsidRPr="00A259BD">
              <w:rPr>
                <w:rFonts w:ascii="Times New Roman" w:hAnsi="Times New Roman"/>
                <w:color w:val="000000" w:themeColor="text1"/>
                <w:sz w:val="16"/>
                <w:szCs w:val="16"/>
              </w:rPr>
              <w:t xml:space="preserve"> Дитрих</w:t>
            </w:r>
          </w:p>
        </w:tc>
        <w:tc>
          <w:tcPr>
            <w:tcW w:w="1418" w:type="dxa"/>
          </w:tcPr>
          <w:p w14:paraId="7419639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0D0F0A6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не собран</w:t>
            </w:r>
          </w:p>
        </w:tc>
        <w:tc>
          <w:tcPr>
            <w:tcW w:w="2268" w:type="dxa"/>
          </w:tcPr>
          <w:p w14:paraId="150EC3D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96120B9" w14:textId="77777777">
        <w:tc>
          <w:tcPr>
            <w:tcW w:w="4219" w:type="dxa"/>
          </w:tcPr>
          <w:p w14:paraId="1DCB6B3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БРЕГЕ 19 В-2 Испано-</w:t>
            </w:r>
            <w:proofErr w:type="spellStart"/>
            <w:r w:rsidRPr="00A259BD">
              <w:rPr>
                <w:rFonts w:ascii="Times New Roman" w:hAnsi="Times New Roman"/>
                <w:color w:val="000000" w:themeColor="text1"/>
                <w:sz w:val="16"/>
                <w:szCs w:val="16"/>
              </w:rPr>
              <w:t>Сюиза</w:t>
            </w:r>
            <w:proofErr w:type="spellEnd"/>
          </w:p>
        </w:tc>
        <w:tc>
          <w:tcPr>
            <w:tcW w:w="1418" w:type="dxa"/>
          </w:tcPr>
          <w:p w14:paraId="1FDC995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6CF2495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Выполнено</w:t>
            </w:r>
          </w:p>
        </w:tc>
        <w:tc>
          <w:tcPr>
            <w:tcW w:w="2268" w:type="dxa"/>
          </w:tcPr>
          <w:p w14:paraId="25F52A3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r>
    </w:tbl>
    <w:p w14:paraId="2E31418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(6953, 41-43).</w:t>
      </w:r>
    </w:p>
    <w:p w14:paraId="32AAEC1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2F523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был подготовлен Отчет о выполнении работы Отдела применения НИИ ВВС за первое полугодие 1928/1929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2956"/>
        <w:gridCol w:w="4699"/>
      </w:tblGrid>
      <w:tr w:rsidR="00A259BD" w:rsidRPr="00A259BD" w14:paraId="07FBA23B" w14:textId="77777777">
        <w:tc>
          <w:tcPr>
            <w:tcW w:w="2943" w:type="dxa"/>
          </w:tcPr>
          <w:p w14:paraId="4C7111F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Наименование выполненных работ</w:t>
            </w:r>
          </w:p>
        </w:tc>
        <w:tc>
          <w:tcPr>
            <w:tcW w:w="2956" w:type="dxa"/>
          </w:tcPr>
          <w:p w14:paraId="28CB2DB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выполнения</w:t>
            </w:r>
          </w:p>
        </w:tc>
        <w:tc>
          <w:tcPr>
            <w:tcW w:w="4699" w:type="dxa"/>
          </w:tcPr>
          <w:p w14:paraId="15A5780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w:t>
            </w:r>
          </w:p>
        </w:tc>
      </w:tr>
    </w:tbl>
    <w:p w14:paraId="5B8B6F8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новых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A259BD" w:rsidRPr="00A259BD" w14:paraId="0992E652" w14:textId="77777777">
        <w:tc>
          <w:tcPr>
            <w:tcW w:w="2952" w:type="dxa"/>
          </w:tcPr>
          <w:p w14:paraId="0F433DF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И-3 БМВ VI</w:t>
            </w:r>
          </w:p>
        </w:tc>
        <w:tc>
          <w:tcPr>
            <w:tcW w:w="2952" w:type="dxa"/>
          </w:tcPr>
          <w:p w14:paraId="21AC894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w:t>
            </w:r>
          </w:p>
        </w:tc>
        <w:tc>
          <w:tcPr>
            <w:tcW w:w="4694" w:type="dxa"/>
          </w:tcPr>
          <w:p w14:paraId="731BB8F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0AE9A74" w14:textId="77777777">
        <w:tc>
          <w:tcPr>
            <w:tcW w:w="2952" w:type="dxa"/>
          </w:tcPr>
          <w:p w14:paraId="639A998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НД-37 № 292</w:t>
            </w:r>
          </w:p>
        </w:tc>
        <w:tc>
          <w:tcPr>
            <w:tcW w:w="2952" w:type="dxa"/>
          </w:tcPr>
          <w:p w14:paraId="3CFFA8C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4694" w:type="dxa"/>
          </w:tcPr>
          <w:p w14:paraId="36FBB07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0833722" w14:textId="77777777">
        <w:tc>
          <w:tcPr>
            <w:tcW w:w="2952" w:type="dxa"/>
          </w:tcPr>
          <w:p w14:paraId="7568355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Испытание самолета </w:t>
            </w:r>
            <w:proofErr w:type="spellStart"/>
            <w:r w:rsidRPr="00A259BD">
              <w:rPr>
                <w:rFonts w:ascii="Times New Roman" w:hAnsi="Times New Roman"/>
                <w:color w:val="000000" w:themeColor="text1"/>
                <w:sz w:val="16"/>
                <w:szCs w:val="16"/>
              </w:rPr>
              <w:t>Мартинсайд</w:t>
            </w:r>
            <w:proofErr w:type="spellEnd"/>
          </w:p>
        </w:tc>
        <w:tc>
          <w:tcPr>
            <w:tcW w:w="2952" w:type="dxa"/>
          </w:tcPr>
          <w:p w14:paraId="39D27B4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4694" w:type="dxa"/>
          </w:tcPr>
          <w:p w14:paraId="5ACF5F2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1A79D85" w14:textId="77777777">
        <w:tc>
          <w:tcPr>
            <w:tcW w:w="2952" w:type="dxa"/>
          </w:tcPr>
          <w:p w14:paraId="24E701D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И-2 бис № 3552</w:t>
            </w:r>
          </w:p>
        </w:tc>
        <w:tc>
          <w:tcPr>
            <w:tcW w:w="2952" w:type="dxa"/>
          </w:tcPr>
          <w:p w14:paraId="4D3F9EC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4694" w:type="dxa"/>
          </w:tcPr>
          <w:p w14:paraId="1CBB1F2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сдается на завод, взамен получен самолет № 3560</w:t>
            </w:r>
          </w:p>
        </w:tc>
      </w:tr>
      <w:tr w:rsidR="00A259BD" w:rsidRPr="00A259BD" w14:paraId="027A3035" w14:textId="77777777">
        <w:tc>
          <w:tcPr>
            <w:tcW w:w="2952" w:type="dxa"/>
          </w:tcPr>
          <w:p w14:paraId="2652DC8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И-2 бис № 3560</w:t>
            </w:r>
          </w:p>
        </w:tc>
        <w:tc>
          <w:tcPr>
            <w:tcW w:w="2952" w:type="dxa"/>
          </w:tcPr>
          <w:p w14:paraId="53E3A98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4694" w:type="dxa"/>
          </w:tcPr>
          <w:p w14:paraId="5FEC2CA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E07D24C" w14:textId="77777777">
        <w:tc>
          <w:tcPr>
            <w:tcW w:w="2952" w:type="dxa"/>
          </w:tcPr>
          <w:p w14:paraId="2498087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ТБ1</w:t>
            </w:r>
          </w:p>
        </w:tc>
        <w:tc>
          <w:tcPr>
            <w:tcW w:w="2952" w:type="dxa"/>
          </w:tcPr>
          <w:p w14:paraId="7788B0D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w:t>
            </w:r>
          </w:p>
        </w:tc>
        <w:tc>
          <w:tcPr>
            <w:tcW w:w="4694" w:type="dxa"/>
          </w:tcPr>
          <w:p w14:paraId="51F423A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передан ЦАГИ для подготовки к перелету, испытание прекращено</w:t>
            </w:r>
          </w:p>
        </w:tc>
      </w:tr>
      <w:tr w:rsidR="00A259BD" w:rsidRPr="00A259BD" w14:paraId="55E70AA2" w14:textId="77777777">
        <w:tc>
          <w:tcPr>
            <w:tcW w:w="2952" w:type="dxa"/>
          </w:tcPr>
          <w:p w14:paraId="2D1B7C4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И IV Ю-VI</w:t>
            </w:r>
          </w:p>
        </w:tc>
        <w:tc>
          <w:tcPr>
            <w:tcW w:w="2952" w:type="dxa"/>
          </w:tcPr>
          <w:p w14:paraId="127BCBB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4694" w:type="dxa"/>
          </w:tcPr>
          <w:p w14:paraId="32432B7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05F214D" w14:textId="77777777">
        <w:tc>
          <w:tcPr>
            <w:tcW w:w="2952" w:type="dxa"/>
          </w:tcPr>
          <w:p w14:paraId="1B8FCE9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Р-V БМВ VI</w:t>
            </w:r>
          </w:p>
        </w:tc>
        <w:tc>
          <w:tcPr>
            <w:tcW w:w="2952" w:type="dxa"/>
          </w:tcPr>
          <w:p w14:paraId="76F5DD6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tc>
        <w:tc>
          <w:tcPr>
            <w:tcW w:w="4694" w:type="dxa"/>
          </w:tcPr>
          <w:p w14:paraId="513BDB7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находится на заводе</w:t>
            </w:r>
          </w:p>
        </w:tc>
      </w:tr>
      <w:tr w:rsidR="00A259BD" w:rsidRPr="00A259BD" w14:paraId="4C3412DE" w14:textId="77777777">
        <w:tc>
          <w:tcPr>
            <w:tcW w:w="2952" w:type="dxa"/>
          </w:tcPr>
          <w:p w14:paraId="5C8D3BD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Р-III БМВ VI</w:t>
            </w:r>
          </w:p>
        </w:tc>
        <w:tc>
          <w:tcPr>
            <w:tcW w:w="2952" w:type="dxa"/>
          </w:tcPr>
          <w:p w14:paraId="313EBCF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4694" w:type="dxa"/>
          </w:tcPr>
          <w:p w14:paraId="4EE5427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9EB796B" w14:textId="77777777">
        <w:tc>
          <w:tcPr>
            <w:tcW w:w="2952" w:type="dxa"/>
          </w:tcPr>
          <w:p w14:paraId="04C4B29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Авиа “ВН-33”</w:t>
            </w:r>
          </w:p>
        </w:tc>
        <w:tc>
          <w:tcPr>
            <w:tcW w:w="2952" w:type="dxa"/>
          </w:tcPr>
          <w:p w14:paraId="0904A3A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94" w:type="dxa"/>
          </w:tcPr>
          <w:p w14:paraId="1205F74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Ожидается переделка подогрева мотора</w:t>
            </w:r>
          </w:p>
        </w:tc>
      </w:tr>
      <w:tr w:rsidR="00A259BD" w:rsidRPr="00A259BD" w14:paraId="46D4C347" w14:textId="77777777">
        <w:tc>
          <w:tcPr>
            <w:tcW w:w="2952" w:type="dxa"/>
          </w:tcPr>
          <w:p w14:paraId="299DBA9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БРЕГЕ 19 В-2 Испано-</w:t>
            </w:r>
            <w:proofErr w:type="spellStart"/>
            <w:r w:rsidRPr="00A259BD">
              <w:rPr>
                <w:rFonts w:ascii="Times New Roman" w:hAnsi="Times New Roman"/>
                <w:color w:val="000000" w:themeColor="text1"/>
                <w:sz w:val="16"/>
                <w:szCs w:val="16"/>
              </w:rPr>
              <w:t>Сюиза</w:t>
            </w:r>
            <w:proofErr w:type="spellEnd"/>
          </w:p>
        </w:tc>
        <w:tc>
          <w:tcPr>
            <w:tcW w:w="2952" w:type="dxa"/>
          </w:tcPr>
          <w:p w14:paraId="230B051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94" w:type="dxa"/>
          </w:tcPr>
          <w:p w14:paraId="78CF614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заданию не приступлено</w:t>
            </w:r>
          </w:p>
        </w:tc>
      </w:tr>
      <w:tr w:rsidR="00A259BD" w:rsidRPr="00A259BD" w14:paraId="6EF45631" w14:textId="77777777">
        <w:tc>
          <w:tcPr>
            <w:tcW w:w="2952" w:type="dxa"/>
          </w:tcPr>
          <w:p w14:paraId="6B5461D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Испытание самолета БРЕГЕ 19 В-2 </w:t>
            </w:r>
            <w:proofErr w:type="spellStart"/>
            <w:r w:rsidRPr="00A259BD">
              <w:rPr>
                <w:rFonts w:ascii="Times New Roman" w:hAnsi="Times New Roman"/>
                <w:color w:val="000000" w:themeColor="text1"/>
                <w:sz w:val="16"/>
                <w:szCs w:val="16"/>
              </w:rPr>
              <w:t>Лоррен</w:t>
            </w:r>
            <w:proofErr w:type="spellEnd"/>
            <w:r w:rsidRPr="00A259BD">
              <w:rPr>
                <w:rFonts w:ascii="Times New Roman" w:hAnsi="Times New Roman"/>
                <w:color w:val="000000" w:themeColor="text1"/>
                <w:sz w:val="16"/>
                <w:szCs w:val="16"/>
              </w:rPr>
              <w:t xml:space="preserve"> Дитрих</w:t>
            </w:r>
          </w:p>
        </w:tc>
        <w:tc>
          <w:tcPr>
            <w:tcW w:w="2952" w:type="dxa"/>
          </w:tcPr>
          <w:p w14:paraId="1F3985C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94" w:type="dxa"/>
          </w:tcPr>
          <w:p w14:paraId="7CCD66F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заданию не приступлено</w:t>
            </w:r>
          </w:p>
        </w:tc>
      </w:tr>
      <w:tr w:rsidR="00A259BD" w:rsidRPr="00A259BD" w14:paraId="116B8F46" w14:textId="77777777">
        <w:tc>
          <w:tcPr>
            <w:tcW w:w="2952" w:type="dxa"/>
          </w:tcPr>
          <w:p w14:paraId="2E9B79D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П-2 М-6</w:t>
            </w:r>
          </w:p>
        </w:tc>
        <w:tc>
          <w:tcPr>
            <w:tcW w:w="2952" w:type="dxa"/>
          </w:tcPr>
          <w:p w14:paraId="1D9DA6B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94" w:type="dxa"/>
          </w:tcPr>
          <w:p w14:paraId="441269A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666429F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Исследование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A259BD" w:rsidRPr="00A259BD" w14:paraId="4C6C1BFE" w14:textId="77777777">
        <w:tc>
          <w:tcPr>
            <w:tcW w:w="2952" w:type="dxa"/>
          </w:tcPr>
          <w:p w14:paraId="2BAB227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Р-III Л.Д. совместно с ТО</w:t>
            </w:r>
          </w:p>
        </w:tc>
        <w:tc>
          <w:tcPr>
            <w:tcW w:w="2952" w:type="dxa"/>
          </w:tcPr>
          <w:p w14:paraId="5F56872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tc>
        <w:tc>
          <w:tcPr>
            <w:tcW w:w="4694" w:type="dxa"/>
          </w:tcPr>
          <w:p w14:paraId="158C8F8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A5DCEF6" w14:textId="77777777">
        <w:tc>
          <w:tcPr>
            <w:tcW w:w="2952" w:type="dxa"/>
          </w:tcPr>
          <w:p w14:paraId="6A7ABE3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Р-III М-5 по программе ЦАГИ</w:t>
            </w:r>
          </w:p>
        </w:tc>
        <w:tc>
          <w:tcPr>
            <w:tcW w:w="2952" w:type="dxa"/>
          </w:tcPr>
          <w:p w14:paraId="01DFD66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tc>
        <w:tc>
          <w:tcPr>
            <w:tcW w:w="4694" w:type="dxa"/>
          </w:tcPr>
          <w:p w14:paraId="03316E3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BFE5685" w14:textId="77777777">
        <w:tc>
          <w:tcPr>
            <w:tcW w:w="2952" w:type="dxa"/>
          </w:tcPr>
          <w:p w14:paraId="1BD9667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ФД Х1 на штопор</w:t>
            </w:r>
          </w:p>
        </w:tc>
        <w:tc>
          <w:tcPr>
            <w:tcW w:w="2952" w:type="dxa"/>
          </w:tcPr>
          <w:p w14:paraId="7E3CB0C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4694" w:type="dxa"/>
          </w:tcPr>
          <w:p w14:paraId="79577A5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5749F53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серийных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A259BD" w:rsidRPr="00A259BD" w14:paraId="6B3F4BF5" w14:textId="77777777">
        <w:tc>
          <w:tcPr>
            <w:tcW w:w="2952" w:type="dxa"/>
          </w:tcPr>
          <w:p w14:paraId="4B515B6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Р-1 М-5 № 3454</w:t>
            </w:r>
          </w:p>
        </w:tc>
        <w:tc>
          <w:tcPr>
            <w:tcW w:w="2952" w:type="dxa"/>
          </w:tcPr>
          <w:p w14:paraId="0B2D6EF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4694" w:type="dxa"/>
          </w:tcPr>
          <w:p w14:paraId="6907CC8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2B26524" w14:textId="77777777">
        <w:tc>
          <w:tcPr>
            <w:tcW w:w="2952" w:type="dxa"/>
          </w:tcPr>
          <w:p w14:paraId="7651F72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Р-1 М-5 № 3483</w:t>
            </w:r>
          </w:p>
        </w:tc>
        <w:tc>
          <w:tcPr>
            <w:tcW w:w="2952" w:type="dxa"/>
          </w:tcPr>
          <w:p w14:paraId="41847F3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4694" w:type="dxa"/>
          </w:tcPr>
          <w:p w14:paraId="13125E2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955C5AA" w14:textId="77777777">
        <w:tc>
          <w:tcPr>
            <w:tcW w:w="2952" w:type="dxa"/>
          </w:tcPr>
          <w:p w14:paraId="50DEFCA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Сравнительное испытание скороподъемности самолетов Р-1 №№ 3454 и 3483</w:t>
            </w:r>
          </w:p>
        </w:tc>
        <w:tc>
          <w:tcPr>
            <w:tcW w:w="2952" w:type="dxa"/>
          </w:tcPr>
          <w:p w14:paraId="158F860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4694" w:type="dxa"/>
          </w:tcPr>
          <w:p w14:paraId="3E16BCC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3A8CBF4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(6953, 26-29).</w:t>
      </w:r>
    </w:p>
    <w:p w14:paraId="449313A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6600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июле 1929 </w:t>
      </w:r>
      <w:proofErr w:type="spellStart"/>
      <w:r w:rsidRPr="00A259BD">
        <w:rPr>
          <w:rFonts w:ascii="Times New Roman" w:hAnsi="Times New Roman"/>
          <w:color w:val="000000" w:themeColor="text1"/>
          <w:sz w:val="16"/>
          <w:szCs w:val="16"/>
        </w:rPr>
        <w:t>Л.В.Курчевский</w:t>
      </w:r>
      <w:proofErr w:type="spellEnd"/>
      <w:r w:rsidRPr="00A259BD">
        <w:rPr>
          <w:rFonts w:ascii="Times New Roman" w:hAnsi="Times New Roman"/>
          <w:color w:val="000000" w:themeColor="text1"/>
          <w:sz w:val="16"/>
          <w:szCs w:val="16"/>
        </w:rPr>
        <w:t xml:space="preserve">, который прибыл в Москву с Соловков только в феврале 1929, уже получил производственную базу на </w:t>
      </w:r>
      <w:proofErr w:type="spellStart"/>
      <w:r w:rsidRPr="00A259BD">
        <w:rPr>
          <w:rFonts w:ascii="Times New Roman" w:hAnsi="Times New Roman"/>
          <w:color w:val="000000" w:themeColor="text1"/>
          <w:sz w:val="16"/>
          <w:szCs w:val="16"/>
        </w:rPr>
        <w:t>артзаводе</w:t>
      </w:r>
      <w:proofErr w:type="spellEnd"/>
      <w:r w:rsidRPr="00A259BD">
        <w:rPr>
          <w:rFonts w:ascii="Times New Roman" w:hAnsi="Times New Roman"/>
          <w:color w:val="000000" w:themeColor="text1"/>
          <w:sz w:val="16"/>
          <w:szCs w:val="16"/>
        </w:rPr>
        <w:t xml:space="preserve"> 8 в Подлипках и потребовал штат в 10 чел. и 87 тыс. руб. до конца 1929. Начал разработку 3-х и 4-х дюймовых ДРП и АПК-1 76.2 мм стала приоритетным заданием. Сначала предназначали для И-3 и И-4, а к концу года установили на Р-3, который потом хотели заменить на ТБ-1 (2693,13).</w:t>
      </w:r>
    </w:p>
    <w:p w14:paraId="392C35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1188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в ГДЛ начаты испытания первого советского экспериментального электротехнического ракетного двигателя (2990).</w:t>
      </w:r>
    </w:p>
    <w:p w14:paraId="6BBBCB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70DE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г. заводе “Каучук” изготовили два первых советских парашюта по образцу американского “Ирвин”, которые потом получили обозначение НИИ-1 (10690).</w:t>
      </w:r>
    </w:p>
    <w:p w14:paraId="6B0BC1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047933"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FAA70A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B13379" w14:textId="77777777" w:rsidR="00E735F0" w:rsidRPr="00A259BD" w:rsidRDefault="00E735F0"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г. был утвержден мобилизационный план «С-30», который требовал, не снижая темпов подачи предметов вооружения и боевой техники для выполнения текущих заказов, создания дополнительных производственных мощностей по всем отраслям промышленности, обеспечивающих военно-промышленные производства сырьем и материалами. Однако проверка, проведенная военным ведомством, показала, что план «С-30», рассчитанный на введение в действие в период до 1 июля 1930 г., уже в конце 1929 г. оказался «устарелым, минимальным, не удовлетворяющим нужд обороны» и, более того, «безусловно, нереальным» (17234).</w:t>
      </w:r>
    </w:p>
    <w:p w14:paraId="4110A3C4" w14:textId="77777777" w:rsidR="00E735F0" w:rsidRPr="00A259BD" w:rsidRDefault="00E735F0" w:rsidP="009236E3">
      <w:pPr>
        <w:autoSpaceDE w:val="0"/>
        <w:autoSpaceDN w:val="0"/>
        <w:adjustRightInd w:val="0"/>
        <w:spacing w:after="0" w:line="240" w:lineRule="auto"/>
        <w:jc w:val="both"/>
        <w:rPr>
          <w:rFonts w:ascii="Times New Roman" w:hAnsi="Times New Roman"/>
          <w:color w:val="000000" w:themeColor="text1"/>
          <w:sz w:val="16"/>
          <w:szCs w:val="16"/>
        </w:rPr>
      </w:pPr>
    </w:p>
    <w:p w14:paraId="366764F4" w14:textId="77777777" w:rsidR="00954AC6" w:rsidRPr="00A259BD" w:rsidRDefault="00954AC6"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июле 1929 ПБ пересмотрело </w:t>
      </w:r>
      <w:proofErr w:type="spellStart"/>
      <w:r w:rsidRPr="00A259BD">
        <w:rPr>
          <w:rFonts w:ascii="Times New Roman" w:hAnsi="Times New Roman"/>
          <w:color w:val="000000" w:themeColor="text1"/>
          <w:sz w:val="16"/>
          <w:szCs w:val="16"/>
        </w:rPr>
        <w:t>мобплан</w:t>
      </w:r>
      <w:proofErr w:type="spellEnd"/>
      <w:r w:rsidRPr="00A259BD">
        <w:rPr>
          <w:rFonts w:ascii="Times New Roman" w:hAnsi="Times New Roman"/>
          <w:color w:val="000000" w:themeColor="text1"/>
          <w:sz w:val="16"/>
          <w:szCs w:val="16"/>
        </w:rPr>
        <w:t xml:space="preserve"> С-30 (9089,14).</w:t>
      </w:r>
    </w:p>
    <w:p w14:paraId="3798BACF" w14:textId="77777777" w:rsidR="00954AC6" w:rsidRPr="00A259BD" w:rsidRDefault="00954AC6" w:rsidP="009236E3">
      <w:pPr>
        <w:autoSpaceDE w:val="0"/>
        <w:autoSpaceDN w:val="0"/>
        <w:adjustRightInd w:val="0"/>
        <w:spacing w:after="0" w:line="240" w:lineRule="auto"/>
        <w:jc w:val="both"/>
        <w:rPr>
          <w:rFonts w:ascii="Times New Roman" w:hAnsi="Times New Roman"/>
          <w:color w:val="000000" w:themeColor="text1"/>
          <w:sz w:val="16"/>
          <w:szCs w:val="16"/>
        </w:rPr>
      </w:pPr>
    </w:p>
    <w:p w14:paraId="1E0F4180" w14:textId="77777777" w:rsidR="001931DD" w:rsidRPr="00A259BD" w:rsidRDefault="001931D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г. решением Политбюро мобилизационный план «С-30» был пересмотрен, а 1 декабря 1930 г. был заменен планом MB-10. План MB-10 должен был удовлетворять мобилизационные потребности вплоть до 1933 г. Изменения по наиболее важным категориям вооружений приводятся в таблице</w:t>
      </w:r>
    </w:p>
    <w:p w14:paraId="4A5081F9" w14:textId="77777777" w:rsidR="001931DD" w:rsidRPr="00A259BD" w:rsidRDefault="001931D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Запросы Наркомвоенмора на один год войны, фигурирующие в мобилизационных планах 1927–1933 гг.</w:t>
      </w:r>
    </w:p>
    <w:tbl>
      <w:tblPr>
        <w:tblW w:w="10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1"/>
        <w:gridCol w:w="2091"/>
        <w:gridCol w:w="2091"/>
        <w:gridCol w:w="2091"/>
        <w:gridCol w:w="2091"/>
      </w:tblGrid>
      <w:tr w:rsidR="00A259BD" w:rsidRPr="00A259BD" w14:paraId="3FFA94D7" w14:textId="77777777" w:rsidTr="00100D03">
        <w:tc>
          <w:tcPr>
            <w:tcW w:w="2091" w:type="dxa"/>
          </w:tcPr>
          <w:p w14:paraId="0D970953"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Год представления запроса</w:t>
            </w:r>
          </w:p>
        </w:tc>
        <w:tc>
          <w:tcPr>
            <w:tcW w:w="2091" w:type="dxa"/>
          </w:tcPr>
          <w:p w14:paraId="764D5CC9"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С-30 (1927)</w:t>
            </w:r>
          </w:p>
        </w:tc>
        <w:tc>
          <w:tcPr>
            <w:tcW w:w="2091" w:type="dxa"/>
          </w:tcPr>
          <w:p w14:paraId="10ED8E99"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1928</w:t>
            </w:r>
          </w:p>
        </w:tc>
        <w:tc>
          <w:tcPr>
            <w:tcW w:w="2091" w:type="dxa"/>
          </w:tcPr>
          <w:p w14:paraId="04843590"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MB-10 (1930)</w:t>
            </w:r>
          </w:p>
        </w:tc>
        <w:tc>
          <w:tcPr>
            <w:tcW w:w="2091" w:type="dxa"/>
          </w:tcPr>
          <w:p w14:paraId="5F078EB5"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Пересмотр MB-10</w:t>
            </w:r>
          </w:p>
        </w:tc>
      </w:tr>
      <w:tr w:rsidR="00A259BD" w:rsidRPr="00A259BD" w14:paraId="619B18E6" w14:textId="77777777" w:rsidTr="00100D03">
        <w:tc>
          <w:tcPr>
            <w:tcW w:w="2091" w:type="dxa"/>
          </w:tcPr>
          <w:p w14:paraId="0B2CC2D7"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Винтовок (тыс. шт.)</w:t>
            </w:r>
          </w:p>
        </w:tc>
        <w:tc>
          <w:tcPr>
            <w:tcW w:w="2091" w:type="dxa"/>
          </w:tcPr>
          <w:p w14:paraId="4F3B7790"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1000</w:t>
            </w:r>
          </w:p>
        </w:tc>
        <w:tc>
          <w:tcPr>
            <w:tcW w:w="2091" w:type="dxa"/>
          </w:tcPr>
          <w:p w14:paraId="3766B7C3"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1275</w:t>
            </w:r>
          </w:p>
        </w:tc>
        <w:tc>
          <w:tcPr>
            <w:tcW w:w="2091" w:type="dxa"/>
          </w:tcPr>
          <w:p w14:paraId="7AA4959E"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1575</w:t>
            </w:r>
          </w:p>
        </w:tc>
        <w:tc>
          <w:tcPr>
            <w:tcW w:w="2091" w:type="dxa"/>
          </w:tcPr>
          <w:p w14:paraId="170CD02D"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 —</w:t>
            </w:r>
          </w:p>
        </w:tc>
      </w:tr>
      <w:tr w:rsidR="00A259BD" w:rsidRPr="00A259BD" w14:paraId="5107D56C" w14:textId="77777777" w:rsidTr="00100D03">
        <w:tc>
          <w:tcPr>
            <w:tcW w:w="2091" w:type="dxa"/>
          </w:tcPr>
          <w:p w14:paraId="1617257F"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Пулеметов (тыс. шт.)</w:t>
            </w:r>
          </w:p>
        </w:tc>
        <w:tc>
          <w:tcPr>
            <w:tcW w:w="2091" w:type="dxa"/>
          </w:tcPr>
          <w:p w14:paraId="110628DF"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43,5</w:t>
            </w:r>
          </w:p>
        </w:tc>
        <w:tc>
          <w:tcPr>
            <w:tcW w:w="2091" w:type="dxa"/>
          </w:tcPr>
          <w:p w14:paraId="345A9B2D"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68,9</w:t>
            </w:r>
          </w:p>
        </w:tc>
        <w:tc>
          <w:tcPr>
            <w:tcW w:w="2091" w:type="dxa"/>
          </w:tcPr>
          <w:p w14:paraId="12FFCE9D"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90,6</w:t>
            </w:r>
          </w:p>
        </w:tc>
        <w:tc>
          <w:tcPr>
            <w:tcW w:w="2091" w:type="dxa"/>
          </w:tcPr>
          <w:p w14:paraId="7AA61886"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 —</w:t>
            </w:r>
          </w:p>
        </w:tc>
      </w:tr>
      <w:tr w:rsidR="00A259BD" w:rsidRPr="00A259BD" w14:paraId="0D1B7ED5" w14:textId="77777777" w:rsidTr="00100D03">
        <w:tc>
          <w:tcPr>
            <w:tcW w:w="2091" w:type="dxa"/>
          </w:tcPr>
          <w:p w14:paraId="34937D1B"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Орудий (тыс. шт.)</w:t>
            </w:r>
          </w:p>
        </w:tc>
        <w:tc>
          <w:tcPr>
            <w:tcW w:w="2091" w:type="dxa"/>
          </w:tcPr>
          <w:p w14:paraId="19334BBA"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3,763</w:t>
            </w:r>
          </w:p>
        </w:tc>
        <w:tc>
          <w:tcPr>
            <w:tcW w:w="2091" w:type="dxa"/>
          </w:tcPr>
          <w:p w14:paraId="5FECED05"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4,562</w:t>
            </w:r>
          </w:p>
        </w:tc>
        <w:tc>
          <w:tcPr>
            <w:tcW w:w="2091" w:type="dxa"/>
          </w:tcPr>
          <w:p w14:paraId="1F4DB97A"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12,61</w:t>
            </w:r>
          </w:p>
        </w:tc>
        <w:tc>
          <w:tcPr>
            <w:tcW w:w="2091" w:type="dxa"/>
          </w:tcPr>
          <w:p w14:paraId="03D13CF0"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18,467</w:t>
            </w:r>
          </w:p>
        </w:tc>
      </w:tr>
      <w:tr w:rsidR="00A259BD" w:rsidRPr="00A259BD" w14:paraId="50AC3016" w14:textId="77777777" w:rsidTr="00100D03">
        <w:tc>
          <w:tcPr>
            <w:tcW w:w="2091" w:type="dxa"/>
          </w:tcPr>
          <w:p w14:paraId="72DD7B55"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Снарядов (млн. шт.)</w:t>
            </w:r>
          </w:p>
        </w:tc>
        <w:tc>
          <w:tcPr>
            <w:tcW w:w="2091" w:type="dxa"/>
          </w:tcPr>
          <w:p w14:paraId="35D1506F"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37,9</w:t>
            </w:r>
          </w:p>
        </w:tc>
        <w:tc>
          <w:tcPr>
            <w:tcW w:w="2091" w:type="dxa"/>
          </w:tcPr>
          <w:p w14:paraId="3A07832C"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51,2</w:t>
            </w:r>
          </w:p>
        </w:tc>
        <w:tc>
          <w:tcPr>
            <w:tcW w:w="2091" w:type="dxa"/>
          </w:tcPr>
          <w:p w14:paraId="4D400873"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40,0</w:t>
            </w:r>
          </w:p>
        </w:tc>
        <w:tc>
          <w:tcPr>
            <w:tcW w:w="2091" w:type="dxa"/>
          </w:tcPr>
          <w:p w14:paraId="2C90F8F9"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 —</w:t>
            </w:r>
          </w:p>
        </w:tc>
      </w:tr>
      <w:tr w:rsidR="00A259BD" w:rsidRPr="00A259BD" w14:paraId="35E57C8A" w14:textId="77777777" w:rsidTr="00100D03">
        <w:tc>
          <w:tcPr>
            <w:tcW w:w="2091" w:type="dxa"/>
          </w:tcPr>
          <w:p w14:paraId="78BDAEB4"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Химических боеприпасов (тыс. тонн)</w:t>
            </w:r>
          </w:p>
        </w:tc>
        <w:tc>
          <w:tcPr>
            <w:tcW w:w="2091" w:type="dxa"/>
          </w:tcPr>
          <w:p w14:paraId="1FE4331E"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27,235</w:t>
            </w:r>
          </w:p>
        </w:tc>
        <w:tc>
          <w:tcPr>
            <w:tcW w:w="2091" w:type="dxa"/>
          </w:tcPr>
          <w:p w14:paraId="1089C5F7"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47,14</w:t>
            </w:r>
          </w:p>
        </w:tc>
        <w:tc>
          <w:tcPr>
            <w:tcW w:w="2091" w:type="dxa"/>
          </w:tcPr>
          <w:p w14:paraId="107C53D3"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75,515</w:t>
            </w:r>
          </w:p>
        </w:tc>
        <w:tc>
          <w:tcPr>
            <w:tcW w:w="2091" w:type="dxa"/>
          </w:tcPr>
          <w:p w14:paraId="0CA876E2"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 —</w:t>
            </w:r>
          </w:p>
        </w:tc>
      </w:tr>
      <w:tr w:rsidR="00A259BD" w:rsidRPr="00A259BD" w14:paraId="6ECD086B" w14:textId="77777777" w:rsidTr="00100D03">
        <w:tc>
          <w:tcPr>
            <w:tcW w:w="2091" w:type="dxa"/>
          </w:tcPr>
          <w:p w14:paraId="3FE79C10"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Самолетов (тыс. шт.)</w:t>
            </w:r>
          </w:p>
        </w:tc>
        <w:tc>
          <w:tcPr>
            <w:tcW w:w="2091" w:type="dxa"/>
          </w:tcPr>
          <w:p w14:paraId="335AFB2A"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2,905</w:t>
            </w:r>
          </w:p>
        </w:tc>
        <w:tc>
          <w:tcPr>
            <w:tcW w:w="2091" w:type="dxa"/>
          </w:tcPr>
          <w:p w14:paraId="44623C92"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4,267</w:t>
            </w:r>
          </w:p>
        </w:tc>
        <w:tc>
          <w:tcPr>
            <w:tcW w:w="2091" w:type="dxa"/>
          </w:tcPr>
          <w:p w14:paraId="07BA7D5E"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7,098</w:t>
            </w:r>
          </w:p>
        </w:tc>
        <w:tc>
          <w:tcPr>
            <w:tcW w:w="2091" w:type="dxa"/>
          </w:tcPr>
          <w:p w14:paraId="186827D6"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12,5</w:t>
            </w:r>
          </w:p>
        </w:tc>
      </w:tr>
      <w:tr w:rsidR="00A259BD" w:rsidRPr="00A259BD" w14:paraId="3FEB46F9" w14:textId="77777777" w:rsidTr="00100D03">
        <w:tc>
          <w:tcPr>
            <w:tcW w:w="2091" w:type="dxa"/>
          </w:tcPr>
          <w:p w14:paraId="4AC8DC3E" w14:textId="77777777" w:rsidR="001931DD" w:rsidRPr="00A259BD" w:rsidRDefault="001931DD"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Танков </w:t>
            </w:r>
          </w:p>
        </w:tc>
        <w:tc>
          <w:tcPr>
            <w:tcW w:w="2091" w:type="dxa"/>
            <w:vAlign w:val="center"/>
          </w:tcPr>
          <w:p w14:paraId="16B61B9B" w14:textId="77777777" w:rsidR="001931DD" w:rsidRPr="00A259BD" w:rsidRDefault="001931DD"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0,15</w:t>
            </w:r>
          </w:p>
        </w:tc>
        <w:tc>
          <w:tcPr>
            <w:tcW w:w="2091" w:type="dxa"/>
          </w:tcPr>
          <w:p w14:paraId="634DBE0E"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1,055</w:t>
            </w:r>
          </w:p>
        </w:tc>
        <w:tc>
          <w:tcPr>
            <w:tcW w:w="2091" w:type="dxa"/>
          </w:tcPr>
          <w:p w14:paraId="38811A7E"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eastAsia="Times New Roman" w:hAnsi="Times New Roman"/>
                <w:color w:val="000000" w:themeColor="text1"/>
                <w:sz w:val="16"/>
                <w:szCs w:val="16"/>
                <w:lang w:eastAsia="ru-RU"/>
              </w:rPr>
              <w:t>20</w:t>
            </w:r>
          </w:p>
        </w:tc>
        <w:tc>
          <w:tcPr>
            <w:tcW w:w="2091" w:type="dxa"/>
          </w:tcPr>
          <w:p w14:paraId="4BE233D5"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40</w:t>
            </w:r>
          </w:p>
        </w:tc>
      </w:tr>
    </w:tbl>
    <w:p w14:paraId="400E9B12" w14:textId="77777777" w:rsidR="001931DD" w:rsidRPr="00A259BD" w:rsidRDefault="001931D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i/>
          <w:iCs/>
          <w:color w:val="000000" w:themeColor="text1"/>
          <w:sz w:val="16"/>
          <w:szCs w:val="16"/>
          <w:shd w:val="clear" w:color="auto" w:fill="FFFFFF"/>
        </w:rPr>
        <w:t>Источник:</w:t>
      </w:r>
      <w:r w:rsidRPr="00A259BD">
        <w:rPr>
          <w:rFonts w:ascii="Times New Roman" w:hAnsi="Times New Roman"/>
          <w:color w:val="000000" w:themeColor="text1"/>
          <w:sz w:val="16"/>
          <w:szCs w:val="16"/>
          <w:shd w:val="clear" w:color="auto" w:fill="FFFFFF"/>
        </w:rPr>
        <w:t> РГАЭ. Ф.4372. Оп.91. Д.1268. Л.32. Обзор Сектора обороны Госплана о первом пятилетнем плане, январь 1933 г. (9089).</w:t>
      </w:r>
    </w:p>
    <w:p w14:paraId="0B5FC880" w14:textId="77777777" w:rsidR="001931DD" w:rsidRPr="00A259BD" w:rsidRDefault="001931DD" w:rsidP="009236E3">
      <w:pPr>
        <w:spacing w:after="0" w:line="240" w:lineRule="auto"/>
        <w:jc w:val="both"/>
        <w:rPr>
          <w:rFonts w:ascii="Times New Roman" w:hAnsi="Times New Roman"/>
          <w:color w:val="000000" w:themeColor="text1"/>
          <w:sz w:val="16"/>
          <w:szCs w:val="16"/>
        </w:rPr>
      </w:pPr>
    </w:p>
    <w:p w14:paraId="62BEB2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была утверждена первая танковая программа (359,91), которая предусматривала иметь танкетки, легкие танки, бронеавтомобили, САУ, гусеничные бронетранспортеры и др. (3979,3).</w:t>
      </w:r>
    </w:p>
    <w:p w14:paraId="48C215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8ADD2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постановление 1927 г. “О ме</w:t>
      </w:r>
      <w:r w:rsidRPr="00A259BD">
        <w:rPr>
          <w:rFonts w:ascii="Times New Roman" w:hAnsi="Times New Roman"/>
          <w:color w:val="000000" w:themeColor="text1"/>
          <w:sz w:val="16"/>
          <w:szCs w:val="16"/>
        </w:rPr>
        <w:softHyphen/>
        <w:t xml:space="preserve">ханизации артиллерии РККА” было скорректировано. Теперь для поддержки пехоты и танков утверждались к </w:t>
      </w:r>
      <w:proofErr w:type="spellStart"/>
      <w:r w:rsidRPr="00A259BD">
        <w:rPr>
          <w:rFonts w:ascii="Times New Roman" w:hAnsi="Times New Roman"/>
          <w:color w:val="000000" w:themeColor="text1"/>
          <w:sz w:val="16"/>
          <w:szCs w:val="16"/>
        </w:rPr>
        <w:t>разработатке</w:t>
      </w:r>
      <w:proofErr w:type="spellEnd"/>
      <w:r w:rsidRPr="00A259BD">
        <w:rPr>
          <w:rFonts w:ascii="Times New Roman" w:hAnsi="Times New Roman"/>
          <w:color w:val="000000" w:themeColor="text1"/>
          <w:sz w:val="16"/>
          <w:szCs w:val="16"/>
        </w:rPr>
        <w:t xml:space="preserve"> следующие САУ:</w:t>
      </w:r>
    </w:p>
    <w:p w14:paraId="1F6FCAB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r w:rsidRPr="00A259BD">
        <w:rPr>
          <w:rFonts w:ascii="Times New Roman" w:hAnsi="Times New Roman"/>
          <w:iCs/>
          <w:color w:val="000000" w:themeColor="text1"/>
          <w:sz w:val="16"/>
          <w:szCs w:val="16"/>
        </w:rPr>
        <w:t>Самоходная 76,2-мм “короткая” (полковая) пушка под</w:t>
      </w:r>
      <w:r w:rsidRPr="00A259BD">
        <w:rPr>
          <w:rFonts w:ascii="Times New Roman" w:hAnsi="Times New Roman"/>
          <w:iCs/>
          <w:color w:val="000000" w:themeColor="text1"/>
          <w:sz w:val="16"/>
          <w:szCs w:val="16"/>
        </w:rPr>
        <w:softHyphen/>
        <w:t>держки обр. 1927 г. на шасси автомобиля повышенной проходимости.</w:t>
      </w:r>
    </w:p>
    <w:p w14:paraId="1EBFA9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 Самоходная 76,2-мм пушка обр. 1902/30 гг. на вездеход</w:t>
      </w:r>
      <w:r w:rsidRPr="00A259BD">
        <w:rPr>
          <w:rFonts w:ascii="Times New Roman" w:hAnsi="Times New Roman"/>
          <w:iCs/>
          <w:color w:val="000000" w:themeColor="text1"/>
          <w:sz w:val="16"/>
          <w:szCs w:val="16"/>
        </w:rPr>
        <w:softHyphen/>
        <w:t>ном гусеничном шасси.</w:t>
      </w:r>
    </w:p>
    <w:p w14:paraId="39CD5B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 Самоходная 76,2-мм зенитная пушка обр. 1915/28 гг. на вездеходном гусеничном шасси.”</w:t>
      </w:r>
    </w:p>
    <w:p w14:paraId="16433B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Вскоре состоялось расширенное заседание правления ГАУ, на котором решались вопросы создания вышеназван</w:t>
      </w:r>
      <w:r w:rsidRPr="00A259BD">
        <w:rPr>
          <w:rFonts w:ascii="Times New Roman" w:hAnsi="Times New Roman"/>
          <w:color w:val="000000" w:themeColor="text1"/>
          <w:sz w:val="16"/>
          <w:szCs w:val="16"/>
        </w:rPr>
        <w:softHyphen/>
        <w:t>ных систем, но ввиду отсутствия необходимых шасси во</w:t>
      </w:r>
      <w:r w:rsidRPr="00A259BD">
        <w:rPr>
          <w:rFonts w:ascii="Times New Roman" w:hAnsi="Times New Roman"/>
          <w:color w:val="000000" w:themeColor="text1"/>
          <w:sz w:val="16"/>
          <w:szCs w:val="16"/>
        </w:rPr>
        <w:softHyphen/>
        <w:t>прос был возвращен на доработку (11417).</w:t>
      </w:r>
    </w:p>
    <w:p w14:paraId="2C4C22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1F9527" w14:textId="77777777" w:rsidR="00A40F44" w:rsidRPr="00441F34" w:rsidRDefault="00A40F44" w:rsidP="00A40F4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июле 1929 года прорабатывалась новая система автобронетанкового вооружения Красной Армии. Ее автором оказался В.К. </w:t>
      </w:r>
      <w:proofErr w:type="spellStart"/>
      <w:r w:rsidRPr="00441F34">
        <w:rPr>
          <w:rFonts w:ascii="Times New Roman" w:hAnsi="Times New Roman"/>
          <w:color w:val="0070C0"/>
          <w:sz w:val="16"/>
          <w:szCs w:val="16"/>
        </w:rPr>
        <w:t>Триандафилов</w:t>
      </w:r>
      <w:proofErr w:type="spellEnd"/>
      <w:r w:rsidRPr="00441F34">
        <w:rPr>
          <w:rFonts w:ascii="Times New Roman" w:hAnsi="Times New Roman"/>
          <w:color w:val="0070C0"/>
          <w:sz w:val="16"/>
          <w:szCs w:val="16"/>
        </w:rPr>
        <w:t>, во многом определивший направление развития отечественного танкостроения. Большой танк всё еще был под вопросом, а маневренный он именовал средним. Большого отличия от маневренных танков середины 20-х годов не было, но пушка теперь предполагалась калибра 45 мм, а скорость возрастала до 25-30 км/ч. Также утолщалась броня, на дистанции 750 метров она должна была держать бронебойные снаряда калибра 37 мм (реально речь идет о толщине 20-25 мм, не более).</w:t>
      </w:r>
    </w:p>
    <w:p w14:paraId="3AA9D242" w14:textId="77777777" w:rsidR="00A40F44" w:rsidRPr="00441F34" w:rsidRDefault="00A40F44" w:rsidP="00A40F4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Формировали данные требования на фоне того, как шла разработка "маневренного" танка Т-12. Изначально он имел те самые 16 тонн боевой массы, но по ходу работ Т-12 заметно потяжелел. Уже в конце 1929 года появляются альтернативные проекты, поскольку Т-12 не вписывался ни в требования по массе, ни по защите, ни по маневренности. Впрочем, </w:t>
      </w:r>
      <w:proofErr w:type="spellStart"/>
      <w:r w:rsidRPr="00441F34">
        <w:rPr>
          <w:rFonts w:ascii="Times New Roman" w:hAnsi="Times New Roman"/>
          <w:color w:val="0070C0"/>
          <w:sz w:val="16"/>
          <w:szCs w:val="16"/>
        </w:rPr>
        <w:t>дыренковский</w:t>
      </w:r>
      <w:proofErr w:type="spellEnd"/>
      <w:r w:rsidRPr="00441F34">
        <w:rPr>
          <w:rFonts w:ascii="Times New Roman" w:hAnsi="Times New Roman"/>
          <w:color w:val="0070C0"/>
          <w:sz w:val="16"/>
          <w:szCs w:val="16"/>
        </w:rPr>
        <w:t xml:space="preserve"> Д-4 (танк "Д") оказался еще хуже, а в 1930 году появился третий претендент - ТГ-1 (Танк "Г", или Т-Г). Детище Эдварда Гроте именовалось как "мощный" танк. Вроде уже и не "маневренный", но и не "большой". Оба танка, кстати говоря, получились крайне дорогими. Бюджет "танка Д" составлял 1,5 миллиона рублей, а "танка Г" - 2 миллиона рублей.</w:t>
      </w:r>
    </w:p>
    <w:p w14:paraId="1FF406B2" w14:textId="77777777" w:rsidR="00A40F44" w:rsidRPr="00441F34" w:rsidRDefault="00A40F44" w:rsidP="00A40F4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 xml:space="preserve">В отличие от крайне странного танка </w:t>
      </w:r>
      <w:proofErr w:type="spellStart"/>
      <w:r w:rsidRPr="00441F34">
        <w:rPr>
          <w:rFonts w:ascii="Times New Roman" w:hAnsi="Times New Roman"/>
          <w:color w:val="0070C0"/>
          <w:sz w:val="16"/>
          <w:szCs w:val="16"/>
        </w:rPr>
        <w:t>Дыренкова</w:t>
      </w:r>
      <w:proofErr w:type="spellEnd"/>
      <w:r w:rsidRPr="00441F34">
        <w:rPr>
          <w:rFonts w:ascii="Times New Roman" w:hAnsi="Times New Roman"/>
          <w:color w:val="0070C0"/>
          <w:sz w:val="16"/>
          <w:szCs w:val="16"/>
        </w:rPr>
        <w:t>, который оказался большим (и дорогостоящим) пшиком, с ТГ-1 ситуация выглядела иной. Машина получилась "сырой", а ее боевая масса выросла с 18-19 до 25 тонн, тем не менее, она не прошла для отечественного танкостроения бесследно. "Мощный" танк с броней, достигающей толщины 30 мм (а это тогда вполне противоснарядная броня), а также с несколькими ярусами вооружения, заинтересовал командование Красной Армии. От услуг Гроте отказались, а далее идею "мощного" танка на заводе "Большевик" продолжил Н.В. Барыков, до того работавший с Гроте. Самое интересное в этой ситуации, что по состоянию на 1931 года "мощный" танк - это всё еще не тяжелый. В конце 1931 года появились требования на 50-тонный тяжелый танк (24032).</w:t>
      </w:r>
    </w:p>
    <w:p w14:paraId="6FB19089" w14:textId="77777777" w:rsidR="00A40F44" w:rsidRPr="00441F34" w:rsidRDefault="00A40F44" w:rsidP="00A40F44">
      <w:pPr>
        <w:spacing w:after="0" w:line="240" w:lineRule="auto"/>
        <w:jc w:val="both"/>
        <w:rPr>
          <w:rFonts w:ascii="Times New Roman" w:hAnsi="Times New Roman"/>
          <w:color w:val="0070C0"/>
          <w:sz w:val="16"/>
          <w:szCs w:val="16"/>
        </w:rPr>
      </w:pPr>
    </w:p>
    <w:p w14:paraId="26F45F09" w14:textId="77777777" w:rsidR="00762631" w:rsidRPr="00A259BD" w:rsidRDefault="00762631" w:rsidP="009236E3">
      <w:pPr>
        <w:widowControl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июле </w:t>
      </w:r>
      <w:smartTag w:uri="urn:schemas-microsoft-com:office:smarttags" w:element="metricconverter">
        <w:smartTagPr>
          <w:attr w:name="ProductID" w:val="1929 г"/>
        </w:smartTagPr>
        <w:r w:rsidRPr="00A259BD">
          <w:rPr>
            <w:rFonts w:ascii="Times New Roman" w:hAnsi="Times New Roman"/>
            <w:color w:val="000000" w:themeColor="text1"/>
            <w:sz w:val="16"/>
            <w:szCs w:val="16"/>
          </w:rPr>
          <w:t>1929 г</w:t>
        </w:r>
      </w:smartTag>
      <w:r w:rsidRPr="00A259BD">
        <w:rPr>
          <w:rFonts w:ascii="Times New Roman" w:hAnsi="Times New Roman"/>
          <w:color w:val="000000" w:themeColor="text1"/>
          <w:sz w:val="16"/>
          <w:szCs w:val="16"/>
        </w:rPr>
        <w:t>. на совместном совещании представителей ВСНХ СССР и нижегородских руководящих и общественных организаций обсуждались результаты обследований будущей площадки автозавода. Было принято решение строить автозавод на левом берегу Оки, в районе деревни Монастырки (15218).</w:t>
      </w:r>
    </w:p>
    <w:p w14:paraId="07EEA6AD" w14:textId="77777777" w:rsidR="00762631" w:rsidRPr="00A259BD" w:rsidRDefault="00762631" w:rsidP="009236E3">
      <w:pPr>
        <w:widowControl w:val="0"/>
        <w:spacing w:after="0" w:line="240" w:lineRule="auto"/>
        <w:jc w:val="both"/>
        <w:rPr>
          <w:rFonts w:ascii="Times New Roman" w:hAnsi="Times New Roman"/>
          <w:color w:val="000000" w:themeColor="text1"/>
          <w:sz w:val="16"/>
          <w:szCs w:val="16"/>
        </w:rPr>
      </w:pPr>
    </w:p>
    <w:p w14:paraId="697CFC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г. президиум Высшего совета народного хозяйства (ВСНХ) СССР утвердил Ижевск в качестве площадки для строительства завода. 6 апреля 1931 г. президиум облисполкома Удмуртской автономной области постановил: "В связи с неоднократными решениями ВСНХ СССР о постройке в г. Ижевске большого мотоциклетного завода, признать необходимым и обязательным работы, связанные со строительством и организацией опытного мотозавода…" (11297).</w:t>
      </w:r>
    </w:p>
    <w:p w14:paraId="7AEEFF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C8206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закончили регулировки ИЖ-3, сделанного первым, и завершали изготовление ИЖ-1, ИЖ-2, ИЖ-4, ИЖ-5 и ИЖ-6. Тру</w:t>
      </w:r>
      <w:r w:rsidRPr="00A259BD">
        <w:rPr>
          <w:rFonts w:ascii="Times New Roman" w:hAnsi="Times New Roman"/>
          <w:color w:val="000000" w:themeColor="text1"/>
          <w:sz w:val="16"/>
          <w:szCs w:val="16"/>
        </w:rPr>
        <w:softHyphen/>
        <w:t>дились интенсивно и надеялись изготовить все эксперименталь</w:t>
      </w:r>
      <w:r w:rsidRPr="00A259BD">
        <w:rPr>
          <w:rFonts w:ascii="Times New Roman" w:hAnsi="Times New Roman"/>
          <w:color w:val="000000" w:themeColor="text1"/>
          <w:sz w:val="16"/>
          <w:szCs w:val="16"/>
        </w:rPr>
        <w:softHyphen/>
        <w:t xml:space="preserve">ные машины. Высокий темп труда затормозила телеграмма из ГВТУ о срочном и полном прекращении работ по мотоциклам [3.76]. Работа над экспериментальными мотоциклами приостановилась. Дирекция </w:t>
      </w:r>
      <w:proofErr w:type="spellStart"/>
      <w:r w:rsidRPr="00A259BD">
        <w:rPr>
          <w:rFonts w:ascii="Times New Roman" w:hAnsi="Times New Roman"/>
          <w:color w:val="000000" w:themeColor="text1"/>
          <w:sz w:val="16"/>
          <w:szCs w:val="16"/>
        </w:rPr>
        <w:t>ИОЗа</w:t>
      </w:r>
      <w:proofErr w:type="spellEnd"/>
      <w:r w:rsidRPr="00A259BD">
        <w:rPr>
          <w:rFonts w:ascii="Times New Roman" w:hAnsi="Times New Roman"/>
          <w:color w:val="000000" w:themeColor="text1"/>
          <w:sz w:val="16"/>
          <w:szCs w:val="16"/>
        </w:rPr>
        <w:t xml:space="preserve"> оказалась в трудной ситуации: подчи</w:t>
      </w:r>
      <w:r w:rsidRPr="00A259BD">
        <w:rPr>
          <w:rFonts w:ascii="Times New Roman" w:hAnsi="Times New Roman"/>
          <w:color w:val="000000" w:themeColor="text1"/>
          <w:sz w:val="16"/>
          <w:szCs w:val="16"/>
        </w:rPr>
        <w:softHyphen/>
        <w:t>нишься распоряжению - сорвёшь важное общесоюзное меропри</w:t>
      </w:r>
      <w:r w:rsidRPr="00A259BD">
        <w:rPr>
          <w:rFonts w:ascii="Times New Roman" w:hAnsi="Times New Roman"/>
          <w:color w:val="000000" w:themeColor="text1"/>
          <w:sz w:val="16"/>
          <w:szCs w:val="16"/>
        </w:rPr>
        <w:softHyphen/>
        <w:t>ятие и опозоришь завод на всю страну, не подчинишься - полу</w:t>
      </w:r>
      <w:r w:rsidRPr="00A259BD">
        <w:rPr>
          <w:rFonts w:ascii="Times New Roman" w:hAnsi="Times New Roman"/>
          <w:color w:val="000000" w:themeColor="text1"/>
          <w:sz w:val="16"/>
          <w:szCs w:val="16"/>
        </w:rPr>
        <w:softHyphen/>
        <w:t>чишь выволочку. Из-за этой телеграммы больше чем на неделю прервалось завершение работ по экспериментальным мотоцик</w:t>
      </w:r>
      <w:r w:rsidRPr="00A259BD">
        <w:rPr>
          <w:rFonts w:ascii="Times New Roman" w:hAnsi="Times New Roman"/>
          <w:color w:val="000000" w:themeColor="text1"/>
          <w:sz w:val="16"/>
          <w:szCs w:val="16"/>
        </w:rPr>
        <w:softHyphen/>
        <w:t>лам. И всё же на предприятии возобладало понимание того, что участие во Всесоюзном мотопробеге - дело чести всего оружей</w:t>
      </w:r>
      <w:r w:rsidRPr="00A259BD">
        <w:rPr>
          <w:rFonts w:ascii="Times New Roman" w:hAnsi="Times New Roman"/>
          <w:color w:val="000000" w:themeColor="text1"/>
          <w:sz w:val="16"/>
          <w:szCs w:val="16"/>
        </w:rPr>
        <w:softHyphen/>
        <w:t xml:space="preserve">ного завода, города и </w:t>
      </w:r>
      <w:proofErr w:type="spellStart"/>
      <w:r w:rsidRPr="00A259BD">
        <w:rPr>
          <w:rFonts w:ascii="Times New Roman" w:hAnsi="Times New Roman"/>
          <w:color w:val="000000" w:themeColor="text1"/>
          <w:sz w:val="16"/>
          <w:szCs w:val="16"/>
        </w:rPr>
        <w:t>АВТОДОРа</w:t>
      </w:r>
      <w:proofErr w:type="spellEnd"/>
      <w:r w:rsidRPr="00A259BD">
        <w:rPr>
          <w:rFonts w:ascii="Times New Roman" w:hAnsi="Times New Roman"/>
          <w:color w:val="000000" w:themeColor="text1"/>
          <w:sz w:val="16"/>
          <w:szCs w:val="16"/>
        </w:rPr>
        <w:t xml:space="preserve">. Коллектив </w:t>
      </w:r>
      <w:proofErr w:type="spellStart"/>
      <w:r w:rsidRPr="00A259BD">
        <w:rPr>
          <w:rFonts w:ascii="Times New Roman" w:hAnsi="Times New Roman"/>
          <w:color w:val="000000" w:themeColor="text1"/>
          <w:sz w:val="16"/>
          <w:szCs w:val="16"/>
        </w:rPr>
        <w:t>мотосекции</w:t>
      </w:r>
      <w:proofErr w:type="spellEnd"/>
      <w:r w:rsidRPr="00A259BD">
        <w:rPr>
          <w:rFonts w:ascii="Times New Roman" w:hAnsi="Times New Roman"/>
          <w:color w:val="000000" w:themeColor="text1"/>
          <w:sz w:val="16"/>
          <w:szCs w:val="16"/>
        </w:rPr>
        <w:t xml:space="preserve"> пре</w:t>
      </w:r>
      <w:r w:rsidRPr="00A259BD">
        <w:rPr>
          <w:rFonts w:ascii="Times New Roman" w:hAnsi="Times New Roman"/>
          <w:color w:val="000000" w:themeColor="text1"/>
          <w:sz w:val="16"/>
          <w:szCs w:val="16"/>
        </w:rPr>
        <w:softHyphen/>
        <w:t>одолел упаднические настроения и спешно завершал начатую ра</w:t>
      </w:r>
      <w:r w:rsidRPr="00A259BD">
        <w:rPr>
          <w:rFonts w:ascii="Times New Roman" w:hAnsi="Times New Roman"/>
          <w:color w:val="000000" w:themeColor="text1"/>
          <w:sz w:val="16"/>
          <w:szCs w:val="16"/>
        </w:rPr>
        <w:softHyphen/>
        <w:t>боту. Прерывание в ней сказалось на качестве и на сроках изго</w:t>
      </w:r>
      <w:r w:rsidRPr="00A259BD">
        <w:rPr>
          <w:rFonts w:ascii="Times New Roman" w:hAnsi="Times New Roman"/>
          <w:color w:val="000000" w:themeColor="text1"/>
          <w:sz w:val="16"/>
          <w:szCs w:val="16"/>
        </w:rPr>
        <w:softHyphen/>
        <w:t>товления мотоциклов. К пробегу был готов только ИЖ-3, фото</w:t>
      </w:r>
      <w:r w:rsidRPr="00A259BD">
        <w:rPr>
          <w:rFonts w:ascii="Times New Roman" w:hAnsi="Times New Roman"/>
          <w:color w:val="000000" w:themeColor="text1"/>
          <w:sz w:val="16"/>
          <w:szCs w:val="16"/>
        </w:rPr>
        <w:softHyphen/>
        <w:t xml:space="preserve">графию которого опубликовали в апрельском номере журнала “Мотор” за 1929 г. [3.77], а в сентябрьском - поместили статью с описанием устройства [3.51]. В результате переговоров руководства </w:t>
      </w:r>
      <w:proofErr w:type="spellStart"/>
      <w:r w:rsidRPr="00A259BD">
        <w:rPr>
          <w:rFonts w:ascii="Times New Roman" w:hAnsi="Times New Roman"/>
          <w:color w:val="000000" w:themeColor="text1"/>
          <w:sz w:val="16"/>
          <w:szCs w:val="16"/>
        </w:rPr>
        <w:t>ИОЗа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АВТОДОРа</w:t>
      </w:r>
      <w:proofErr w:type="spellEnd"/>
      <w:r w:rsidRPr="00A259BD">
        <w:rPr>
          <w:rFonts w:ascii="Times New Roman" w:hAnsi="Times New Roman"/>
          <w:color w:val="000000" w:themeColor="text1"/>
          <w:sz w:val="16"/>
          <w:szCs w:val="16"/>
        </w:rPr>
        <w:t>, условились, что мотопробег начнётся сразу же по завершению из</w:t>
      </w:r>
      <w:r w:rsidRPr="00A259BD">
        <w:rPr>
          <w:rFonts w:ascii="Times New Roman" w:hAnsi="Times New Roman"/>
          <w:color w:val="000000" w:themeColor="text1"/>
          <w:sz w:val="16"/>
          <w:szCs w:val="16"/>
        </w:rPr>
        <w:softHyphen/>
        <w:t>готовления тяжёлых мотоциклов ИЖ-1 и ИЖ-2. П.В. Можаров организовал работу так, чтобы удалось изготовить мотоциклы ИЖ-4, ИЖ-5 и ИЖ-6. Старт мотопробега несколько раз перено</w:t>
      </w:r>
      <w:r w:rsidRPr="00A259BD">
        <w:rPr>
          <w:rFonts w:ascii="Times New Roman" w:hAnsi="Times New Roman"/>
          <w:color w:val="000000" w:themeColor="text1"/>
          <w:sz w:val="16"/>
          <w:szCs w:val="16"/>
        </w:rPr>
        <w:softHyphen/>
        <w:t>сили. Наконец, в понедельник, 2 сентября газета “Ижевская прав</w:t>
      </w:r>
      <w:r w:rsidRPr="00A259BD">
        <w:rPr>
          <w:rFonts w:ascii="Times New Roman" w:hAnsi="Times New Roman"/>
          <w:color w:val="000000" w:themeColor="text1"/>
          <w:sz w:val="16"/>
          <w:szCs w:val="16"/>
        </w:rPr>
        <w:softHyphen/>
        <w:t>да” проинформировала, что “из Москвы от АВТОДОРА получе</w:t>
      </w:r>
      <w:r w:rsidRPr="00A259BD">
        <w:rPr>
          <w:rFonts w:ascii="Times New Roman" w:hAnsi="Times New Roman"/>
          <w:color w:val="000000" w:themeColor="text1"/>
          <w:sz w:val="16"/>
          <w:szCs w:val="16"/>
        </w:rPr>
        <w:softHyphen/>
        <w:t>но телеграфное сообщение, о переносе начала пробега с 9 сентяб</w:t>
      </w:r>
      <w:r w:rsidRPr="00A259BD">
        <w:rPr>
          <w:rFonts w:ascii="Times New Roman" w:hAnsi="Times New Roman"/>
          <w:color w:val="000000" w:themeColor="text1"/>
          <w:sz w:val="16"/>
          <w:szCs w:val="16"/>
        </w:rPr>
        <w:softHyphen/>
        <w:t xml:space="preserve">ря на одно из ближайших воскресений - 15 или 22 сентября”. [3.78]. На следующий день в той же газете опубликовали статью о том, как идут дела с подготовкой мотоциклов. Читатели узнали что, в </w:t>
      </w:r>
      <w:proofErr w:type="spellStart"/>
      <w:r w:rsidRPr="00A259BD">
        <w:rPr>
          <w:rFonts w:ascii="Times New Roman" w:hAnsi="Times New Roman"/>
          <w:color w:val="000000" w:themeColor="text1"/>
          <w:sz w:val="16"/>
          <w:szCs w:val="16"/>
        </w:rPr>
        <w:t>мотосекции</w:t>
      </w:r>
      <w:proofErr w:type="spellEnd"/>
      <w:r w:rsidRPr="00A259BD">
        <w:rPr>
          <w:rFonts w:ascii="Times New Roman" w:hAnsi="Times New Roman"/>
          <w:color w:val="000000" w:themeColor="text1"/>
          <w:sz w:val="16"/>
          <w:szCs w:val="16"/>
        </w:rPr>
        <w:t xml:space="preserve"> работали по 12-14 часов, П.В. Можаров болел, но трудился наравне со всеми, мотоциклы ИЖ-1 и ИЖ-2 ещё не испытали. Показательно, что об ИЖ-6 в этой публикации не упо</w:t>
      </w:r>
      <w:r w:rsidRPr="00A259BD">
        <w:rPr>
          <w:rFonts w:ascii="Times New Roman" w:hAnsi="Times New Roman"/>
          <w:color w:val="000000" w:themeColor="text1"/>
          <w:sz w:val="16"/>
          <w:szCs w:val="16"/>
        </w:rPr>
        <w:softHyphen/>
        <w:t>миналось [3.79] (11429).</w:t>
      </w:r>
    </w:p>
    <w:p w14:paraId="418EF1B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2F3D22" w14:textId="77777777" w:rsidR="00A40F44" w:rsidRPr="00A259BD" w:rsidRDefault="00A40F44" w:rsidP="00A40F44">
      <w:pPr>
        <w:pStyle w:val="ae"/>
        <w:spacing w:before="0" w:after="0"/>
        <w:jc w:val="both"/>
        <w:rPr>
          <w:color w:val="000000" w:themeColor="text1"/>
          <w:sz w:val="16"/>
          <w:szCs w:val="16"/>
        </w:rPr>
      </w:pPr>
      <w:r w:rsidRPr="00A259BD">
        <w:rPr>
          <w:color w:val="000000" w:themeColor="text1"/>
          <w:sz w:val="16"/>
          <w:szCs w:val="16"/>
        </w:rPr>
        <w:t xml:space="preserve">В июле </w:t>
      </w:r>
      <w:bookmarkStart w:id="73" w:name="YANDEX_5"/>
      <w:bookmarkEnd w:id="73"/>
      <w:r w:rsidRPr="00A259BD">
        <w:rPr>
          <w:rStyle w:val="highlight1"/>
          <w:b w:val="0"/>
          <w:color w:val="000000" w:themeColor="text1"/>
          <w:sz w:val="16"/>
          <w:szCs w:val="16"/>
        </w:rPr>
        <w:t> 1929 </w:t>
      </w:r>
      <w:r w:rsidRPr="00A259BD">
        <w:rPr>
          <w:color w:val="000000" w:themeColor="text1"/>
          <w:sz w:val="16"/>
          <w:szCs w:val="16"/>
        </w:rPr>
        <w:t xml:space="preserve"> года </w:t>
      </w:r>
      <w:bookmarkStart w:id="74" w:name="YANDEX_6"/>
      <w:bookmarkEnd w:id="74"/>
      <w:r w:rsidRPr="00A259BD">
        <w:rPr>
          <w:rStyle w:val="highlight1"/>
          <w:b w:val="0"/>
          <w:color w:val="000000" w:themeColor="text1"/>
          <w:sz w:val="16"/>
          <w:szCs w:val="16"/>
        </w:rPr>
        <w:t> директор </w:t>
      </w:r>
      <w:bookmarkStart w:id="75" w:name="YANDEX_7"/>
      <w:bookmarkEnd w:id="75"/>
      <w:r w:rsidRPr="00A259BD">
        <w:rPr>
          <w:rStyle w:val="highlight1"/>
          <w:b w:val="0"/>
          <w:color w:val="000000" w:themeColor="text1"/>
          <w:sz w:val="16"/>
          <w:szCs w:val="16"/>
        </w:rPr>
        <w:t> завода </w:t>
      </w:r>
      <w:r w:rsidRPr="00A259BD">
        <w:rPr>
          <w:color w:val="000000" w:themeColor="text1"/>
          <w:sz w:val="16"/>
          <w:szCs w:val="16"/>
        </w:rPr>
        <w:t xml:space="preserve"> «Гудок Октября» получил указание построить корпус завода и выделить его в самостоятельное производство. </w:t>
      </w:r>
      <w:proofErr w:type="spellStart"/>
      <w:r w:rsidRPr="00A259BD">
        <w:rPr>
          <w:color w:val="000000" w:themeColor="text1"/>
          <w:sz w:val="16"/>
          <w:szCs w:val="16"/>
        </w:rPr>
        <w:t>Предполпгплпсь</w:t>
      </w:r>
      <w:proofErr w:type="spellEnd"/>
      <w:r w:rsidRPr="00A259BD">
        <w:rPr>
          <w:color w:val="000000" w:themeColor="text1"/>
          <w:sz w:val="16"/>
          <w:szCs w:val="16"/>
        </w:rPr>
        <w:t xml:space="preserve"> Сборка автомобилей из американских машинокомплектов. В качестве одной из площадок для сборочного завода был выбран посёлок </w:t>
      </w:r>
      <w:hyperlink r:id="rId97" w:tooltip="Канавино" w:history="1">
        <w:proofErr w:type="spellStart"/>
        <w:r w:rsidRPr="00A259BD">
          <w:rPr>
            <w:rStyle w:val="a5"/>
            <w:color w:val="000000" w:themeColor="text1"/>
            <w:sz w:val="16"/>
            <w:szCs w:val="16"/>
            <w:u w:val="none"/>
          </w:rPr>
          <w:t>Канавино</w:t>
        </w:r>
      </w:hyperlink>
      <w:hyperlink r:id="rId98" w:tooltip="Нижегородская губерния" w:history="1">
        <w:r w:rsidRPr="00A259BD">
          <w:rPr>
            <w:rStyle w:val="a5"/>
            <w:color w:val="000000" w:themeColor="text1"/>
            <w:sz w:val="16"/>
            <w:szCs w:val="16"/>
            <w:u w:val="none"/>
          </w:rPr>
          <w:t>Нижегородской</w:t>
        </w:r>
        <w:proofErr w:type="spellEnd"/>
        <w:r w:rsidRPr="00A259BD">
          <w:rPr>
            <w:rStyle w:val="a5"/>
            <w:color w:val="000000" w:themeColor="text1"/>
            <w:sz w:val="16"/>
            <w:szCs w:val="16"/>
            <w:u w:val="none"/>
          </w:rPr>
          <w:t xml:space="preserve"> губернии</w:t>
        </w:r>
      </w:hyperlink>
      <w:r w:rsidRPr="00A259BD">
        <w:rPr>
          <w:color w:val="000000" w:themeColor="text1"/>
          <w:sz w:val="16"/>
          <w:szCs w:val="16"/>
        </w:rPr>
        <w:t xml:space="preserve"> (ныне в составе Нижнего Новгорода). Новый завод получил название 1-го автосборочного. Входил в подчинение </w:t>
      </w:r>
      <w:hyperlink r:id="rId99" w:tooltip="Народный комиссариат тяжёлой промышленности СССР" w:history="1">
        <w:r w:rsidRPr="00A259BD">
          <w:rPr>
            <w:rStyle w:val="a5"/>
            <w:color w:val="000000" w:themeColor="text1"/>
            <w:sz w:val="16"/>
            <w:szCs w:val="16"/>
            <w:u w:val="none"/>
          </w:rPr>
          <w:t>Наркомату тяжёлой промышленности</w:t>
        </w:r>
      </w:hyperlink>
      <w:r w:rsidRPr="00A259BD">
        <w:rPr>
          <w:color w:val="000000" w:themeColor="text1"/>
          <w:sz w:val="16"/>
          <w:szCs w:val="16"/>
        </w:rPr>
        <w:t>.</w:t>
      </w:r>
    </w:p>
    <w:p w14:paraId="4348F55A" w14:textId="77777777" w:rsidR="00A40F44" w:rsidRPr="00A259BD" w:rsidRDefault="00A40F44" w:rsidP="00A40F44">
      <w:pPr>
        <w:pStyle w:val="ae"/>
        <w:spacing w:before="0" w:after="0"/>
        <w:jc w:val="both"/>
        <w:rPr>
          <w:color w:val="000000" w:themeColor="text1"/>
          <w:sz w:val="16"/>
          <w:szCs w:val="16"/>
        </w:rPr>
      </w:pPr>
      <w:hyperlink r:id="rId100" w:tooltip="1 февраля" w:history="1">
        <w:r w:rsidRPr="00A259BD">
          <w:rPr>
            <w:rStyle w:val="a5"/>
            <w:color w:val="000000" w:themeColor="text1"/>
            <w:sz w:val="16"/>
            <w:szCs w:val="16"/>
            <w:u w:val="none"/>
          </w:rPr>
          <w:t>1 февраля</w:t>
        </w:r>
      </w:hyperlink>
      <w:hyperlink r:id="rId101" w:tooltip="1930 год" w:history="1">
        <w:r w:rsidRPr="00A259BD">
          <w:rPr>
            <w:rStyle w:val="a5"/>
            <w:color w:val="000000" w:themeColor="text1"/>
            <w:sz w:val="16"/>
            <w:szCs w:val="16"/>
            <w:u w:val="none"/>
          </w:rPr>
          <w:t>1930 года</w:t>
        </w:r>
      </w:hyperlink>
      <w:r w:rsidRPr="00A259BD">
        <w:rPr>
          <w:color w:val="000000" w:themeColor="text1"/>
          <w:sz w:val="16"/>
          <w:szCs w:val="16"/>
        </w:rPr>
        <w:t xml:space="preserve"> из ворот завода вышли первые 10 </w:t>
      </w:r>
      <w:hyperlink r:id="rId102" w:tooltip="Грузовик" w:history="1">
        <w:r w:rsidRPr="00A259BD">
          <w:rPr>
            <w:rStyle w:val="a5"/>
            <w:color w:val="000000" w:themeColor="text1"/>
            <w:sz w:val="16"/>
            <w:szCs w:val="16"/>
            <w:u w:val="none"/>
          </w:rPr>
          <w:t>грузовиков</w:t>
        </w:r>
      </w:hyperlink>
      <w:r w:rsidRPr="00A259BD">
        <w:rPr>
          <w:color w:val="000000" w:themeColor="text1"/>
          <w:sz w:val="16"/>
          <w:szCs w:val="16"/>
        </w:rPr>
        <w:t xml:space="preserve"> Ford-AA. Затем была освоена сборка легковых Ford-A. С </w:t>
      </w:r>
      <w:hyperlink r:id="rId103" w:tooltip="1931 год" w:history="1">
        <w:r w:rsidRPr="00A259BD">
          <w:rPr>
            <w:rStyle w:val="a5"/>
            <w:color w:val="000000" w:themeColor="text1"/>
            <w:sz w:val="16"/>
            <w:szCs w:val="16"/>
            <w:u w:val="none"/>
          </w:rPr>
          <w:t>1931 года</w:t>
        </w:r>
      </w:hyperlink>
      <w:r w:rsidRPr="00A259BD">
        <w:rPr>
          <w:color w:val="000000" w:themeColor="text1"/>
          <w:sz w:val="16"/>
          <w:szCs w:val="16"/>
        </w:rPr>
        <w:t xml:space="preserve"> часть грузовиков оснащалась задними двухосными тележками фирмы </w:t>
      </w:r>
      <w:proofErr w:type="spellStart"/>
      <w:r w:rsidRPr="00A259BD">
        <w:rPr>
          <w:color w:val="000000" w:themeColor="text1"/>
          <w:sz w:val="16"/>
          <w:szCs w:val="16"/>
        </w:rPr>
        <w:t>Timken</w:t>
      </w:r>
      <w:proofErr w:type="spellEnd"/>
      <w:r w:rsidRPr="00A259BD">
        <w:rPr>
          <w:color w:val="000000" w:themeColor="text1"/>
          <w:sz w:val="16"/>
          <w:szCs w:val="16"/>
        </w:rPr>
        <w:t>. Трёхосные грузовики получили обозначение Ford-</w:t>
      </w:r>
      <w:proofErr w:type="spellStart"/>
      <w:r w:rsidRPr="00A259BD">
        <w:rPr>
          <w:color w:val="000000" w:themeColor="text1"/>
          <w:sz w:val="16"/>
          <w:szCs w:val="16"/>
        </w:rPr>
        <w:t>Timken</w:t>
      </w:r>
      <w:proofErr w:type="spellEnd"/>
      <w:r w:rsidRPr="00A259BD">
        <w:rPr>
          <w:color w:val="000000" w:themeColor="text1"/>
          <w:sz w:val="16"/>
          <w:szCs w:val="16"/>
        </w:rPr>
        <w:t>. В том же году заводу, помимо сборки автомобилей, было поручено освоить производство танкеток Т-27.</w:t>
      </w:r>
    </w:p>
    <w:p w14:paraId="60F959C8" w14:textId="77777777" w:rsidR="00A40F44" w:rsidRPr="00A259BD" w:rsidRDefault="00A40F44" w:rsidP="00A40F44">
      <w:pPr>
        <w:pStyle w:val="ae"/>
        <w:spacing w:before="0" w:after="0"/>
        <w:jc w:val="both"/>
        <w:rPr>
          <w:color w:val="000000" w:themeColor="text1"/>
          <w:sz w:val="16"/>
          <w:szCs w:val="16"/>
        </w:rPr>
      </w:pPr>
      <w:r w:rsidRPr="00A259BD">
        <w:rPr>
          <w:color w:val="000000" w:themeColor="text1"/>
          <w:sz w:val="16"/>
          <w:szCs w:val="16"/>
        </w:rPr>
        <w:t xml:space="preserve">В </w:t>
      </w:r>
      <w:hyperlink r:id="rId104" w:tooltip="1932 год" w:history="1">
        <w:r w:rsidRPr="00A259BD">
          <w:rPr>
            <w:rStyle w:val="a5"/>
            <w:color w:val="000000" w:themeColor="text1"/>
            <w:sz w:val="16"/>
            <w:szCs w:val="16"/>
            <w:u w:val="none"/>
          </w:rPr>
          <w:t>1932 году</w:t>
        </w:r>
      </w:hyperlink>
      <w:r w:rsidRPr="00A259BD">
        <w:rPr>
          <w:color w:val="000000" w:themeColor="text1"/>
          <w:sz w:val="16"/>
          <w:szCs w:val="16"/>
        </w:rPr>
        <w:t xml:space="preserve"> был пущен в строй </w:t>
      </w:r>
      <w:hyperlink r:id="rId105" w:tooltip="Горьковский автомобильный завод" w:history="1">
        <w:r w:rsidRPr="00A259BD">
          <w:rPr>
            <w:rStyle w:val="a5"/>
            <w:color w:val="000000" w:themeColor="text1"/>
            <w:sz w:val="16"/>
            <w:szCs w:val="16"/>
            <w:u w:val="none"/>
          </w:rPr>
          <w:t>Нижегородский (позже Горьковский) автозавод</w:t>
        </w:r>
      </w:hyperlink>
      <w:r w:rsidRPr="00A259BD">
        <w:rPr>
          <w:color w:val="000000" w:themeColor="text1"/>
          <w:sz w:val="16"/>
          <w:szCs w:val="16"/>
        </w:rPr>
        <w:t xml:space="preserve">. 1-й автосборочный фактически становится его филиалом (но юридически это было оформлено только </w:t>
      </w:r>
      <w:hyperlink r:id="rId106" w:tooltip="1 января" w:history="1">
        <w:r w:rsidRPr="00A259BD">
          <w:rPr>
            <w:rStyle w:val="a5"/>
            <w:color w:val="000000" w:themeColor="text1"/>
            <w:sz w:val="16"/>
            <w:szCs w:val="16"/>
            <w:u w:val="none"/>
          </w:rPr>
          <w:t>1 января</w:t>
        </w:r>
      </w:hyperlink>
      <w:hyperlink r:id="rId107" w:tooltip="1940 год" w:history="1">
        <w:r w:rsidRPr="00A259BD">
          <w:rPr>
            <w:rStyle w:val="a5"/>
            <w:color w:val="000000" w:themeColor="text1"/>
            <w:sz w:val="16"/>
            <w:szCs w:val="16"/>
            <w:u w:val="none"/>
          </w:rPr>
          <w:t>1940 года</w:t>
        </w:r>
      </w:hyperlink>
      <w:r w:rsidRPr="00A259BD">
        <w:rPr>
          <w:color w:val="000000" w:themeColor="text1"/>
          <w:sz w:val="16"/>
          <w:szCs w:val="16"/>
        </w:rPr>
        <w:t xml:space="preserve">). В начале года завод </w:t>
      </w:r>
      <w:proofErr w:type="spellStart"/>
      <w:r w:rsidRPr="00A259BD">
        <w:rPr>
          <w:color w:val="000000" w:themeColor="text1"/>
          <w:sz w:val="16"/>
          <w:szCs w:val="16"/>
        </w:rPr>
        <w:t>дособирает</w:t>
      </w:r>
      <w:proofErr w:type="spellEnd"/>
      <w:r w:rsidRPr="00A259BD">
        <w:rPr>
          <w:color w:val="000000" w:themeColor="text1"/>
          <w:sz w:val="16"/>
          <w:szCs w:val="16"/>
        </w:rPr>
        <w:t xml:space="preserve"> последние Форды, после чего занимается подготовкой кадров для </w:t>
      </w:r>
      <w:proofErr w:type="spellStart"/>
      <w:r w:rsidRPr="00A259BD">
        <w:rPr>
          <w:color w:val="000000" w:themeColor="text1"/>
          <w:sz w:val="16"/>
          <w:szCs w:val="16"/>
        </w:rPr>
        <w:t>ГАЗа</w:t>
      </w:r>
      <w:proofErr w:type="spellEnd"/>
      <w:r w:rsidRPr="00A259BD">
        <w:rPr>
          <w:color w:val="000000" w:themeColor="text1"/>
          <w:sz w:val="16"/>
          <w:szCs w:val="16"/>
        </w:rPr>
        <w:t>.</w:t>
      </w:r>
    </w:p>
    <w:p w14:paraId="58F6308F" w14:textId="77777777" w:rsidR="00A40F44" w:rsidRPr="00A259BD" w:rsidRDefault="00A40F44" w:rsidP="00A40F44">
      <w:pPr>
        <w:pStyle w:val="ae"/>
        <w:spacing w:before="0" w:after="0"/>
        <w:jc w:val="both"/>
        <w:rPr>
          <w:color w:val="000000" w:themeColor="text1"/>
          <w:sz w:val="16"/>
          <w:szCs w:val="16"/>
        </w:rPr>
      </w:pPr>
      <w:r w:rsidRPr="00A259BD">
        <w:rPr>
          <w:color w:val="000000" w:themeColor="text1"/>
          <w:sz w:val="16"/>
          <w:szCs w:val="16"/>
        </w:rPr>
        <w:t xml:space="preserve">В соответствии с Постановлением </w:t>
      </w:r>
      <w:hyperlink r:id="rId108" w:tooltip="Совет народных комиссаров СССР" w:history="1">
        <w:r w:rsidRPr="00A259BD">
          <w:rPr>
            <w:rStyle w:val="a5"/>
            <w:color w:val="000000" w:themeColor="text1"/>
            <w:sz w:val="16"/>
            <w:szCs w:val="16"/>
            <w:u w:val="none"/>
          </w:rPr>
          <w:t>СНК СССР</w:t>
        </w:r>
      </w:hyperlink>
      <w:r w:rsidRPr="00A259BD">
        <w:rPr>
          <w:color w:val="000000" w:themeColor="text1"/>
          <w:sz w:val="16"/>
          <w:szCs w:val="16"/>
        </w:rPr>
        <w:t xml:space="preserve"> от 17.02.1946 завод становится самостоятельным предприятием и получает название Горьковский автобусный завод (ГЗА). В то время это был единственный в СССР специализированный завод по производству автобусов. По принятой тогда системе индексации автомобилей ГЗА получает диапазон индексов от 650 до 700. С обретением независимости возникли финансовые трудности — теперь за шасси </w:t>
      </w:r>
      <w:proofErr w:type="spellStart"/>
      <w:r w:rsidRPr="00A259BD">
        <w:rPr>
          <w:color w:val="000000" w:themeColor="text1"/>
          <w:sz w:val="16"/>
          <w:szCs w:val="16"/>
        </w:rPr>
        <w:t>ГАЗа</w:t>
      </w:r>
      <w:proofErr w:type="spellEnd"/>
      <w:r w:rsidRPr="00A259BD">
        <w:rPr>
          <w:color w:val="000000" w:themeColor="text1"/>
          <w:sz w:val="16"/>
          <w:szCs w:val="16"/>
        </w:rPr>
        <w:t xml:space="preserve"> надо было вносить предоплату, а денег не хватало даже на зарплату рабочим. На освоение новых моделей средств уже не было. Поэтому вплоть до 1950 года в производстве оставались довоенные ГАЗ-03-30 и ГАЗ-55.</w:t>
      </w:r>
    </w:p>
    <w:p w14:paraId="77B1D528" w14:textId="77777777" w:rsidR="00A40F44" w:rsidRPr="00A259BD" w:rsidRDefault="00A40F44" w:rsidP="00A40F44">
      <w:pPr>
        <w:pStyle w:val="ae"/>
        <w:spacing w:before="0" w:after="0"/>
        <w:jc w:val="both"/>
        <w:rPr>
          <w:color w:val="000000" w:themeColor="text1"/>
          <w:sz w:val="16"/>
          <w:szCs w:val="16"/>
        </w:rPr>
      </w:pPr>
      <w:r w:rsidRPr="00A259BD">
        <w:rPr>
          <w:color w:val="000000" w:themeColor="text1"/>
          <w:sz w:val="16"/>
          <w:szCs w:val="16"/>
        </w:rPr>
        <w:t xml:space="preserve">В </w:t>
      </w:r>
      <w:hyperlink r:id="rId109" w:tooltip="1949 год" w:history="1">
        <w:r w:rsidRPr="00A259BD">
          <w:rPr>
            <w:rStyle w:val="a5"/>
            <w:color w:val="000000" w:themeColor="text1"/>
            <w:sz w:val="16"/>
            <w:szCs w:val="16"/>
            <w:u w:val="none"/>
          </w:rPr>
          <w:t>1949 году</w:t>
        </w:r>
      </w:hyperlink>
      <w:r w:rsidRPr="00A259BD">
        <w:rPr>
          <w:color w:val="000000" w:themeColor="text1"/>
          <w:sz w:val="16"/>
          <w:szCs w:val="16"/>
        </w:rPr>
        <w:t xml:space="preserve"> создаются несколько моделей капотных и бескапотных автобусов на шасси </w:t>
      </w:r>
      <w:hyperlink r:id="rId110" w:tooltip="ГАЗ-51" w:history="1">
        <w:r w:rsidRPr="00A259BD">
          <w:rPr>
            <w:rStyle w:val="a5"/>
            <w:color w:val="000000" w:themeColor="text1"/>
            <w:sz w:val="16"/>
            <w:szCs w:val="16"/>
            <w:u w:val="none"/>
          </w:rPr>
          <w:t>ГАЗ-51</w:t>
        </w:r>
      </w:hyperlink>
      <w:r w:rsidRPr="00A259BD">
        <w:rPr>
          <w:color w:val="000000" w:themeColor="text1"/>
          <w:sz w:val="16"/>
          <w:szCs w:val="16"/>
        </w:rPr>
        <w:t xml:space="preserve"> и </w:t>
      </w:r>
      <w:hyperlink r:id="rId111" w:tooltip="ГАЗ-63" w:history="1">
        <w:r w:rsidRPr="00A259BD">
          <w:rPr>
            <w:rStyle w:val="a5"/>
            <w:color w:val="000000" w:themeColor="text1"/>
            <w:sz w:val="16"/>
            <w:szCs w:val="16"/>
            <w:u w:val="none"/>
          </w:rPr>
          <w:t>ГАЗ-63</w:t>
        </w:r>
      </w:hyperlink>
      <w:r w:rsidRPr="00A259BD">
        <w:rPr>
          <w:color w:val="000000" w:themeColor="text1"/>
          <w:sz w:val="16"/>
          <w:szCs w:val="16"/>
        </w:rPr>
        <w:t xml:space="preserve">. Для производства выбирают капотный автобус </w:t>
      </w:r>
      <w:hyperlink r:id="rId112" w:tooltip="ГЗА-651" w:history="1">
        <w:r w:rsidRPr="00A259BD">
          <w:rPr>
            <w:rStyle w:val="a5"/>
            <w:color w:val="000000" w:themeColor="text1"/>
            <w:sz w:val="16"/>
            <w:szCs w:val="16"/>
            <w:u w:val="none"/>
          </w:rPr>
          <w:t>ГЗА-651</w:t>
        </w:r>
      </w:hyperlink>
      <w:r w:rsidRPr="00A259BD">
        <w:rPr>
          <w:color w:val="000000" w:themeColor="text1"/>
          <w:sz w:val="16"/>
          <w:szCs w:val="16"/>
        </w:rPr>
        <w:t xml:space="preserve"> и санитарный </w:t>
      </w:r>
      <w:hyperlink r:id="rId113" w:tooltip="ГЗА-653 (страница отсутствует)" w:history="1">
        <w:r w:rsidRPr="00A259BD">
          <w:rPr>
            <w:rStyle w:val="a5"/>
            <w:color w:val="000000" w:themeColor="text1"/>
            <w:sz w:val="16"/>
            <w:szCs w:val="16"/>
            <w:u w:val="none"/>
          </w:rPr>
          <w:t>ГЗА-653</w:t>
        </w:r>
      </w:hyperlink>
      <w:r w:rsidRPr="00A259BD">
        <w:rPr>
          <w:color w:val="000000" w:themeColor="text1"/>
          <w:sz w:val="16"/>
          <w:szCs w:val="16"/>
        </w:rPr>
        <w:t xml:space="preserve">. Их выпуск начинается в конце </w:t>
      </w:r>
      <w:hyperlink r:id="rId114" w:tooltip="1950 год" w:history="1">
        <w:r w:rsidRPr="00A259BD">
          <w:rPr>
            <w:rStyle w:val="a5"/>
            <w:color w:val="000000" w:themeColor="text1"/>
            <w:sz w:val="16"/>
            <w:szCs w:val="16"/>
            <w:u w:val="none"/>
          </w:rPr>
          <w:t>1950 года</w:t>
        </w:r>
      </w:hyperlink>
      <w:r w:rsidRPr="00A259BD">
        <w:rPr>
          <w:color w:val="000000" w:themeColor="text1"/>
          <w:sz w:val="16"/>
          <w:szCs w:val="16"/>
        </w:rPr>
        <w:t>.</w:t>
      </w:r>
    </w:p>
    <w:p w14:paraId="7C4B5F5B" w14:textId="77777777" w:rsidR="00A40F44" w:rsidRPr="00A259BD" w:rsidRDefault="00A40F44" w:rsidP="00A40F44">
      <w:pPr>
        <w:pStyle w:val="ae"/>
        <w:spacing w:before="0" w:after="0"/>
        <w:jc w:val="both"/>
        <w:rPr>
          <w:color w:val="000000" w:themeColor="text1"/>
          <w:sz w:val="16"/>
          <w:szCs w:val="16"/>
        </w:rPr>
      </w:pPr>
      <w:hyperlink r:id="rId115" w:tooltip="15 декабря" w:history="1">
        <w:r w:rsidRPr="00A259BD">
          <w:rPr>
            <w:rStyle w:val="a5"/>
            <w:color w:val="000000" w:themeColor="text1"/>
            <w:sz w:val="16"/>
            <w:szCs w:val="16"/>
            <w:u w:val="none"/>
          </w:rPr>
          <w:t>15 декабря</w:t>
        </w:r>
      </w:hyperlink>
      <w:hyperlink r:id="rId116" w:tooltip="1951 год" w:history="1">
        <w:r w:rsidRPr="00A259BD">
          <w:rPr>
            <w:rStyle w:val="a5"/>
            <w:color w:val="000000" w:themeColor="text1"/>
            <w:sz w:val="16"/>
            <w:szCs w:val="16"/>
            <w:u w:val="none"/>
          </w:rPr>
          <w:t>1951 года</w:t>
        </w:r>
      </w:hyperlink>
      <w:r w:rsidRPr="00A259BD">
        <w:rPr>
          <w:color w:val="000000" w:themeColor="text1"/>
          <w:sz w:val="16"/>
          <w:szCs w:val="16"/>
        </w:rPr>
        <w:t xml:space="preserve"> выходит Постановление </w:t>
      </w:r>
      <w:hyperlink r:id="rId117" w:tooltip="Совет министров СССР" w:history="1">
        <w:r w:rsidRPr="00A259BD">
          <w:rPr>
            <w:rStyle w:val="a5"/>
            <w:color w:val="000000" w:themeColor="text1"/>
            <w:sz w:val="16"/>
            <w:szCs w:val="16"/>
            <w:u w:val="none"/>
          </w:rPr>
          <w:t>СМ СССР</w:t>
        </w:r>
      </w:hyperlink>
      <w:r w:rsidRPr="00A259BD">
        <w:rPr>
          <w:color w:val="000000" w:themeColor="text1"/>
          <w:sz w:val="16"/>
          <w:szCs w:val="16"/>
        </w:rPr>
        <w:t xml:space="preserve"> о перепрофилировании ГЗА на выпуск средств связи. Всё оборудование, оснастку и документацию на производство автобусов было предписано передать на </w:t>
      </w:r>
      <w:hyperlink r:id="rId118" w:tooltip="Павловский автобусный завод" w:history="1">
        <w:r w:rsidRPr="00A259BD">
          <w:rPr>
            <w:rStyle w:val="a5"/>
            <w:color w:val="000000" w:themeColor="text1"/>
            <w:sz w:val="16"/>
            <w:szCs w:val="16"/>
            <w:u w:val="none"/>
          </w:rPr>
          <w:t>Павловский завод им. Жданова</w:t>
        </w:r>
      </w:hyperlink>
      <w:r w:rsidRPr="00A259BD">
        <w:rPr>
          <w:color w:val="000000" w:themeColor="text1"/>
          <w:sz w:val="16"/>
          <w:szCs w:val="16"/>
        </w:rPr>
        <w:t xml:space="preserve">. С января </w:t>
      </w:r>
      <w:hyperlink r:id="rId119" w:tooltip="1952 год" w:history="1">
        <w:r w:rsidRPr="00A259BD">
          <w:rPr>
            <w:rStyle w:val="a5"/>
            <w:color w:val="000000" w:themeColor="text1"/>
            <w:sz w:val="16"/>
            <w:szCs w:val="16"/>
            <w:u w:val="none"/>
          </w:rPr>
          <w:t>1952 года</w:t>
        </w:r>
      </w:hyperlink>
      <w:r w:rsidRPr="00A259BD">
        <w:rPr>
          <w:color w:val="000000" w:themeColor="text1"/>
          <w:sz w:val="16"/>
          <w:szCs w:val="16"/>
        </w:rPr>
        <w:t xml:space="preserve"> ГЗА становится </w:t>
      </w:r>
      <w:hyperlink r:id="rId120" w:tooltip="Горьковский завод радиоаппаратуры" w:history="1">
        <w:r w:rsidRPr="00A259BD">
          <w:rPr>
            <w:rStyle w:val="a5"/>
            <w:color w:val="000000" w:themeColor="text1"/>
            <w:sz w:val="16"/>
            <w:szCs w:val="16"/>
            <w:u w:val="none"/>
          </w:rPr>
          <w:t>Горьковским заводом радиоаппаратуры</w:t>
        </w:r>
      </w:hyperlink>
      <w:r w:rsidRPr="00A259BD">
        <w:rPr>
          <w:color w:val="000000" w:themeColor="text1"/>
          <w:sz w:val="16"/>
          <w:szCs w:val="16"/>
        </w:rPr>
        <w:t xml:space="preserve">. В </w:t>
      </w:r>
      <w:hyperlink r:id="rId121" w:tooltip="1975 год" w:history="1">
        <w:r w:rsidRPr="00A259BD">
          <w:rPr>
            <w:rStyle w:val="a5"/>
            <w:color w:val="000000" w:themeColor="text1"/>
            <w:sz w:val="16"/>
            <w:szCs w:val="16"/>
            <w:u w:val="none"/>
          </w:rPr>
          <w:t>1975 году</w:t>
        </w:r>
      </w:hyperlink>
      <w:r w:rsidRPr="00A259BD">
        <w:rPr>
          <w:color w:val="000000" w:themeColor="text1"/>
          <w:sz w:val="16"/>
          <w:szCs w:val="16"/>
        </w:rPr>
        <w:t xml:space="preserve"> ему присвоено имя </w:t>
      </w:r>
      <w:hyperlink r:id="rId122" w:tooltip="Попов, Александр Степанович" w:history="1">
        <w:r w:rsidRPr="00A259BD">
          <w:rPr>
            <w:rStyle w:val="a5"/>
            <w:color w:val="000000" w:themeColor="text1"/>
            <w:sz w:val="16"/>
            <w:szCs w:val="16"/>
            <w:u w:val="none"/>
          </w:rPr>
          <w:t>А. С. Попова</w:t>
        </w:r>
      </w:hyperlink>
      <w:r w:rsidRPr="00A259BD">
        <w:rPr>
          <w:color w:val="000000" w:themeColor="text1"/>
          <w:sz w:val="16"/>
          <w:szCs w:val="16"/>
        </w:rPr>
        <w:t xml:space="preserve">  (17221).</w:t>
      </w:r>
    </w:p>
    <w:p w14:paraId="729621C3" w14:textId="77777777" w:rsidR="00A40F44" w:rsidRPr="00A259BD" w:rsidRDefault="00A40F44" w:rsidP="00A40F44">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DB05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г. на базе завода «Гудок Октября» организован автосборочный завод.</w:t>
      </w:r>
    </w:p>
    <w:p w14:paraId="247FC4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02.1930 г. производил сборку автомобилей «Форд-А» и «Форд-АА» из американских деталей, с 1933 г. начат выпуск автобусов, с 1934 г. - пикапов на шасси ГАЗ.</w:t>
      </w:r>
    </w:p>
    <w:p w14:paraId="54B33B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Горьковский автосборочный завод в 1930 г. - в ведении ВСНХ, с 1932 г. - НКТП. В 1939 г. переименован в ГЗА.</w:t>
      </w:r>
    </w:p>
    <w:p w14:paraId="7B0FB0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феврале 1916 г. в Канавино был основан Завод № 642 МПС С, Горьковский автосборочный завод, Горьковский завод автобусов (ГЗА), Горьковский завод аппаратуры связи (ГЗАС) им. А.С. Попова МРТП, п/я 680, Нижегородский завод аппаратуры связи, ОАО «ГЗАС им. А.С. Попова» /Канавино Горьковской обл. ул. Интернациональная, 75 (1935 г.); ул. Интернациональная, 85 (1939 г.);  г. Горький, 35 (1940 г.)/ /603950  г. Нижний Новгород-2 ул. Интернациональная, 100 тел. 42-61-74/</w:t>
      </w:r>
    </w:p>
    <w:p w14:paraId="23EFDC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1929-51 г. являлся филиалом </w:t>
      </w:r>
      <w:proofErr w:type="spellStart"/>
      <w:r w:rsidRPr="00A259BD">
        <w:rPr>
          <w:rFonts w:ascii="Times New Roman" w:hAnsi="Times New Roman"/>
          <w:color w:val="000000" w:themeColor="text1"/>
          <w:sz w:val="16"/>
          <w:szCs w:val="16"/>
        </w:rPr>
        <w:t>ГАЗа</w:t>
      </w:r>
      <w:proofErr w:type="spellEnd"/>
      <w:r w:rsidRPr="00A259BD">
        <w:rPr>
          <w:rFonts w:ascii="Times New Roman" w:hAnsi="Times New Roman"/>
          <w:color w:val="000000" w:themeColor="text1"/>
          <w:sz w:val="16"/>
          <w:szCs w:val="16"/>
        </w:rPr>
        <w:t>. В соответствии с пост. СМ СССР от 15.12.1951 г. автобусный завод был реорганизован в предприятие «п/я 680» в системе МРТП. В 1975 г. пост. СМ СССР заводу присвоено имя А.С. Попова. Имел название АНПО «Завод им. А.С. Попова». В 1992 г. предприятие преобразовано в ОАО.</w:t>
      </w:r>
    </w:p>
    <w:p w14:paraId="43E071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1950 г. производство автобусов передано на завод в Павлово-на-Оке. Начато освоение аппаратуры радиосвязи. С 1952 г. переориентирован на выпуск бортовой самолетной аппаратуры </w:t>
      </w:r>
      <w:r w:rsidRPr="00A259BD">
        <w:rPr>
          <w:rFonts w:ascii="Times New Roman" w:hAnsi="Times New Roman"/>
          <w:color w:val="000000" w:themeColor="text1"/>
          <w:sz w:val="16"/>
          <w:szCs w:val="16"/>
          <w:lang w:val="en-US"/>
        </w:rPr>
        <w:t>KB</w:t>
      </w:r>
      <w:r w:rsidRPr="00A259BD">
        <w:rPr>
          <w:rFonts w:ascii="Times New Roman" w:hAnsi="Times New Roman"/>
          <w:color w:val="000000" w:themeColor="text1"/>
          <w:sz w:val="16"/>
          <w:szCs w:val="16"/>
        </w:rPr>
        <w:t xml:space="preserve"> и СВ радиосвязи.</w:t>
      </w:r>
    </w:p>
    <w:p w14:paraId="146FA3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Работы (2002-05 г.): разработка, производство, ремонт и модернизация: самолетные и наземные радиостанции СВ и ДКМВ диапазонов; бортовое радиооборудование; печатные платы.</w:t>
      </w:r>
    </w:p>
    <w:p w14:paraId="19E526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Разработка (2005 г.): </w:t>
      </w:r>
      <w:r w:rsidRPr="00A259BD">
        <w:rPr>
          <w:rFonts w:ascii="Times New Roman" w:hAnsi="Times New Roman"/>
          <w:color w:val="000000" w:themeColor="text1"/>
          <w:sz w:val="16"/>
          <w:szCs w:val="16"/>
          <w:lang w:val="en-US"/>
        </w:rPr>
        <w:t>KB</w:t>
      </w:r>
      <w:r w:rsidRPr="00A259BD">
        <w:rPr>
          <w:rFonts w:ascii="Times New Roman" w:hAnsi="Times New Roman"/>
          <w:color w:val="000000" w:themeColor="text1"/>
          <w:sz w:val="16"/>
          <w:szCs w:val="16"/>
        </w:rPr>
        <w:t xml:space="preserve"> радиостанция «Ядро-1А2» с пультом Б7АЗ-Яр1.</w:t>
      </w:r>
    </w:p>
    <w:p w14:paraId="070A07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(2002 г.)- 2500 чел.</w:t>
      </w:r>
    </w:p>
    <w:p w14:paraId="26D08F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(1940 г.)- Рябинин, (1952 г.-)- Д.Д. Безобразов, (1953-80 г.)- А.Ф. </w:t>
      </w:r>
      <w:proofErr w:type="spellStart"/>
      <w:r w:rsidRPr="00A259BD">
        <w:rPr>
          <w:rFonts w:ascii="Times New Roman" w:hAnsi="Times New Roman"/>
          <w:color w:val="000000" w:themeColor="text1"/>
          <w:sz w:val="16"/>
          <w:szCs w:val="16"/>
        </w:rPr>
        <w:t>Клюковкин</w:t>
      </w:r>
      <w:proofErr w:type="spellEnd"/>
      <w:r w:rsidRPr="00A259BD">
        <w:rPr>
          <w:rFonts w:ascii="Times New Roman" w:hAnsi="Times New Roman"/>
          <w:color w:val="000000" w:themeColor="text1"/>
          <w:sz w:val="16"/>
          <w:szCs w:val="16"/>
        </w:rPr>
        <w:t xml:space="preserve">, (1980-87 г.)- ЮЛ. Лобастов, (1987-92 г.)- И.Б. </w:t>
      </w:r>
      <w:proofErr w:type="spellStart"/>
      <w:r w:rsidRPr="00A259BD">
        <w:rPr>
          <w:rFonts w:ascii="Times New Roman" w:hAnsi="Times New Roman"/>
          <w:color w:val="000000" w:themeColor="text1"/>
          <w:sz w:val="16"/>
          <w:szCs w:val="16"/>
        </w:rPr>
        <w:t>Петяшин</w:t>
      </w:r>
      <w:proofErr w:type="spellEnd"/>
      <w:r w:rsidRPr="00A259BD">
        <w:rPr>
          <w:rFonts w:ascii="Times New Roman" w:hAnsi="Times New Roman"/>
          <w:color w:val="000000" w:themeColor="text1"/>
          <w:sz w:val="16"/>
          <w:szCs w:val="16"/>
        </w:rPr>
        <w:t xml:space="preserve">, (1992-95 г.)- С.И. </w:t>
      </w:r>
      <w:proofErr w:type="spellStart"/>
      <w:r w:rsidRPr="00A259BD">
        <w:rPr>
          <w:rFonts w:ascii="Times New Roman" w:hAnsi="Times New Roman"/>
          <w:color w:val="000000" w:themeColor="text1"/>
          <w:sz w:val="16"/>
          <w:szCs w:val="16"/>
        </w:rPr>
        <w:t>Вопилкин</w:t>
      </w:r>
      <w:proofErr w:type="spellEnd"/>
      <w:r w:rsidRPr="00A259BD">
        <w:rPr>
          <w:rFonts w:ascii="Times New Roman" w:hAnsi="Times New Roman"/>
          <w:color w:val="000000" w:themeColor="text1"/>
          <w:sz w:val="16"/>
          <w:szCs w:val="16"/>
        </w:rPr>
        <w:t xml:space="preserve">. Гендиректор (1995-2005 г.-)- </w:t>
      </w:r>
      <w:r w:rsidRPr="00A259BD">
        <w:rPr>
          <w:rFonts w:ascii="Times New Roman" w:hAnsi="Times New Roman"/>
          <w:color w:val="000000" w:themeColor="text1"/>
          <w:sz w:val="16"/>
          <w:szCs w:val="16"/>
          <w:lang w:val="en-US"/>
        </w:rPr>
        <w:t>B</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C</w:t>
      </w:r>
      <w:r w:rsidRPr="00A259BD">
        <w:rPr>
          <w:rFonts w:ascii="Times New Roman" w:hAnsi="Times New Roman"/>
          <w:color w:val="000000" w:themeColor="text1"/>
          <w:sz w:val="16"/>
          <w:szCs w:val="16"/>
        </w:rPr>
        <w:t>. Федоров.</w:t>
      </w:r>
    </w:p>
    <w:p w14:paraId="2A1855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гендиректора: по ВЭД, маркетингу и сбыту (2002 г.)-  Г.Ф. Кошелев; по экономическим вопросам (2002 г.)- В.И. Федюнин.</w:t>
      </w:r>
    </w:p>
    <w:p w14:paraId="0292E9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инженер (1952 г.-)- И.Т. </w:t>
      </w:r>
      <w:proofErr w:type="spellStart"/>
      <w:r w:rsidRPr="00A259BD">
        <w:rPr>
          <w:rFonts w:ascii="Times New Roman" w:hAnsi="Times New Roman"/>
          <w:color w:val="000000" w:themeColor="text1"/>
          <w:sz w:val="16"/>
          <w:szCs w:val="16"/>
        </w:rPr>
        <w:t>Косюга</w:t>
      </w:r>
      <w:proofErr w:type="spellEnd"/>
      <w:r w:rsidRPr="00A259BD">
        <w:rPr>
          <w:rFonts w:ascii="Times New Roman" w:hAnsi="Times New Roman"/>
          <w:color w:val="000000" w:themeColor="text1"/>
          <w:sz w:val="16"/>
          <w:szCs w:val="16"/>
        </w:rPr>
        <w:t>, (2002 г.)- А.Ф. Шорохов.</w:t>
      </w:r>
    </w:p>
    <w:p w14:paraId="592333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конструктор (1952 г.-)- С.В. Руденко.</w:t>
      </w:r>
    </w:p>
    <w:p w14:paraId="366A83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технолог (1952 г.-)- Б.М. </w:t>
      </w:r>
      <w:proofErr w:type="spellStart"/>
      <w:r w:rsidRPr="00A259BD">
        <w:rPr>
          <w:rFonts w:ascii="Times New Roman" w:hAnsi="Times New Roman"/>
          <w:color w:val="000000" w:themeColor="text1"/>
          <w:sz w:val="16"/>
          <w:szCs w:val="16"/>
        </w:rPr>
        <w:t>Маскальнин</w:t>
      </w:r>
      <w:proofErr w:type="spellEnd"/>
      <w:r w:rsidRPr="00A259BD">
        <w:rPr>
          <w:rFonts w:ascii="Times New Roman" w:hAnsi="Times New Roman"/>
          <w:color w:val="000000" w:themeColor="text1"/>
          <w:sz w:val="16"/>
          <w:szCs w:val="16"/>
        </w:rPr>
        <w:t>.</w:t>
      </w:r>
    </w:p>
    <w:p w14:paraId="2F4451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передатчики радиостанций: «Ока», «Кама», СВБ-5, РСБ-70, РЛС-УКВ (1950-е); радиостанции: бортовые «Арлекин-Д», «Кристалл», «Ядро-1», «Ядро-2», Р-842М1, «Широта-У», «Микрон», Р- 864 «Журавль К» (2002); «Каштан»; модули самолетных комплексов связи М-</w:t>
      </w:r>
      <w:proofErr w:type="spellStart"/>
      <w:r w:rsidRPr="00A259BD">
        <w:rPr>
          <w:rFonts w:ascii="Times New Roman" w:hAnsi="Times New Roman"/>
          <w:color w:val="000000" w:themeColor="text1"/>
          <w:sz w:val="16"/>
          <w:szCs w:val="16"/>
        </w:rPr>
        <w:t>ДдА</w:t>
      </w:r>
      <w:proofErr w:type="spellEnd"/>
      <w:r w:rsidRPr="00A259BD">
        <w:rPr>
          <w:rFonts w:ascii="Times New Roman" w:hAnsi="Times New Roman"/>
          <w:color w:val="000000" w:themeColor="text1"/>
          <w:sz w:val="16"/>
          <w:szCs w:val="16"/>
        </w:rPr>
        <w:t xml:space="preserve">, М1А (2000-е); </w:t>
      </w:r>
      <w:r w:rsidRPr="00A259BD">
        <w:rPr>
          <w:rFonts w:ascii="Times New Roman" w:hAnsi="Times New Roman"/>
          <w:color w:val="000000" w:themeColor="text1"/>
          <w:sz w:val="16"/>
          <w:szCs w:val="16"/>
          <w:lang w:val="en-US"/>
        </w:rPr>
        <w:t>KB</w:t>
      </w:r>
      <w:r w:rsidRPr="00A259BD">
        <w:rPr>
          <w:rFonts w:ascii="Times New Roman" w:hAnsi="Times New Roman"/>
          <w:color w:val="000000" w:themeColor="text1"/>
          <w:sz w:val="16"/>
          <w:szCs w:val="16"/>
        </w:rPr>
        <w:t xml:space="preserve"> модем «Лиман», многочастотный модем «Пойма»; модуль связи и передачи данных МСПД, модуль самолетного переговорного устройства МСПУ, самолетное переговорное устройство СПУ-34, СПГУ-35, СПУ-200 (2005); аппаратура речевого оповещения АРО-28С, «Алмаз-УПМ»;</w:t>
      </w:r>
      <w:r w:rsidRPr="00A259BD">
        <w:rPr>
          <w:rFonts w:ascii="Times New Roman" w:hAnsi="Times New Roman"/>
          <w:color w:val="000000" w:themeColor="text1"/>
          <w:sz w:val="16"/>
          <w:szCs w:val="16"/>
          <w:vertAlign w:val="superscript"/>
        </w:rPr>
        <w:t>69</w:t>
      </w:r>
      <w:r w:rsidRPr="00A259BD">
        <w:rPr>
          <w:rFonts w:ascii="Times New Roman" w:hAnsi="Times New Roman"/>
          <w:color w:val="000000" w:themeColor="text1"/>
          <w:sz w:val="16"/>
          <w:szCs w:val="16"/>
        </w:rPr>
        <w:t xml:space="preserve"> радиоприемник "</w:t>
      </w:r>
      <w:r w:rsidRPr="00A259BD">
        <w:rPr>
          <w:rFonts w:ascii="Times New Roman" w:hAnsi="Times New Roman"/>
          <w:color w:val="000000" w:themeColor="text1"/>
          <w:sz w:val="16"/>
          <w:szCs w:val="16"/>
          <w:lang w:val="en-US"/>
        </w:rPr>
        <w:t>Orion</w:t>
      </w:r>
      <w:r w:rsidRPr="00A259BD">
        <w:rPr>
          <w:rFonts w:ascii="Times New Roman" w:hAnsi="Times New Roman"/>
          <w:color w:val="000000" w:themeColor="text1"/>
          <w:sz w:val="16"/>
          <w:szCs w:val="16"/>
        </w:rPr>
        <w:t xml:space="preserve">" </w:t>
      </w:r>
      <w:r w:rsidRPr="00A259BD">
        <w:rPr>
          <w:rFonts w:ascii="Times New Roman" w:hAnsi="Times New Roman"/>
          <w:color w:val="000000" w:themeColor="text1"/>
          <w:sz w:val="16"/>
          <w:szCs w:val="16"/>
          <w:lang w:val="en-US"/>
        </w:rPr>
        <w:t>RS</w:t>
      </w:r>
      <w:r w:rsidRPr="00A259BD">
        <w:rPr>
          <w:rFonts w:ascii="Times New Roman" w:hAnsi="Times New Roman"/>
          <w:color w:val="000000" w:themeColor="text1"/>
          <w:sz w:val="16"/>
          <w:szCs w:val="16"/>
        </w:rPr>
        <w:t>-301; цветомузыкальное устройство «Мираж»; комплектующие для автомобильной промышленности.</w:t>
      </w:r>
      <w:r w:rsidRPr="00A259BD">
        <w:rPr>
          <w:rFonts w:ascii="Times New Roman" w:hAnsi="Times New Roman"/>
          <w:color w:val="000000" w:themeColor="text1"/>
          <w:sz w:val="16"/>
          <w:szCs w:val="16"/>
          <w:vertAlign w:val="superscript"/>
        </w:rPr>
        <w:t>101</w:t>
      </w:r>
    </w:p>
    <w:p w14:paraId="6AECAB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«Гудок Октября» НКОМ /г. Горький/</w:t>
      </w:r>
    </w:p>
    <w:p w14:paraId="1472DB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07.1929 г. на базе завода создан автосборочный завод (далее - завод № 642 МПСС). В 1940 г. корпус завода «Гудок Октября» передан из НКОМ заводу № 21 НКАП как один из филиалов. В 1941 г. на площадке завода размещен завод № 119 НКАП.</w:t>
      </w:r>
    </w:p>
    <w:p w14:paraId="156011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пост. ГКО № 1сс от 1.07.1941 г. заводу «Гудок Октября» НКОМ поручен выпуск комплектующих для танков Т-34 и авиамоторов М-17.</w:t>
      </w:r>
    </w:p>
    <w:p w14:paraId="21957B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СКБ завода, Филиал МНИИРС, п/я 300, Горьковский НИИ радиосвязи (ГНИИРС), НПО «Полет», ФГУП «НПП «Полет» /603950  г. Нижний Новгород ГСП-462 Комсомольская пл., 1 тел. 42-21-04, -31-57/ /московское представительство: ул. Покровка, 48 тел. 921-62-63/</w:t>
      </w:r>
    </w:p>
    <w:p w14:paraId="7EB33A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Распоряжением ВСНХ от 28.08.1964 г. на базе СКБ ГЗАС организован филиал МНИИРС, предприятие- п/я 300, для разработки и внедрения в производство аппаратуры дальней радиосвязи. В 09.1964 г. от СКБ филиалу переданы часть лабораторно-технических и производственных подразделений, опытный цех и полигон, а также 938 специалистов. Филиал размещался в корпусе площадью 6500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 xml:space="preserve">, принадлежащем ГЗАС. Были организованы новые отделы: усилителей мощности, антенных согласующих устройств, возбудителей, модуляторов, опорных генераторов, приемников, вторичных источников питания, устройств автоматики. Заново были созданы службы гл. механика и энергетика, </w:t>
      </w:r>
      <w:proofErr w:type="spellStart"/>
      <w:r w:rsidRPr="00A259BD">
        <w:rPr>
          <w:rFonts w:ascii="Times New Roman" w:hAnsi="Times New Roman"/>
          <w:color w:val="000000" w:themeColor="text1"/>
          <w:sz w:val="16"/>
          <w:szCs w:val="16"/>
        </w:rPr>
        <w:t>нормоконтроля</w:t>
      </w:r>
      <w:proofErr w:type="spellEnd"/>
      <w:r w:rsidRPr="00A259BD">
        <w:rPr>
          <w:rFonts w:ascii="Times New Roman" w:hAnsi="Times New Roman"/>
          <w:color w:val="000000" w:themeColor="text1"/>
          <w:sz w:val="16"/>
          <w:szCs w:val="16"/>
        </w:rPr>
        <w:t xml:space="preserve"> и стандартизации, метрологии и др.</w:t>
      </w:r>
    </w:p>
    <w:p w14:paraId="3CD186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1966 г. филиал преобразован в самостоятельный ГНИИРС. В 1970-е  г. построен новый лабораторно- производственный корпус.</w:t>
      </w:r>
    </w:p>
    <w:p w14:paraId="4D2687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1970-е  г. институту поручена разработка автоматизированных типовых комплексов связи ЛА с наземными пунктами управления. С начала 1970-х  г. велась разработка первого отечественного бортового комплекса средств связи воздушного КП «Бизон» на базе Ил-18. В 1980-х  г. созданы системы связи и управления ВКП на базе Ил- 86, самолета-ретранслятора Ил-76, Ил-18.</w:t>
      </w:r>
    </w:p>
    <w:p w14:paraId="5A23A9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1980-е  г. разработан и сдан на вооружение первый отечественный бортовой </w:t>
      </w:r>
      <w:proofErr w:type="spellStart"/>
      <w:r w:rsidRPr="00A259BD">
        <w:rPr>
          <w:rFonts w:ascii="Times New Roman" w:hAnsi="Times New Roman"/>
          <w:color w:val="000000" w:themeColor="text1"/>
          <w:sz w:val="16"/>
          <w:szCs w:val="16"/>
        </w:rPr>
        <w:t>сверхдлинноволновой</w:t>
      </w:r>
      <w:proofErr w:type="spellEnd"/>
      <w:r w:rsidRPr="00A259BD">
        <w:rPr>
          <w:rFonts w:ascii="Times New Roman" w:hAnsi="Times New Roman"/>
          <w:color w:val="000000" w:themeColor="text1"/>
          <w:sz w:val="16"/>
          <w:szCs w:val="16"/>
        </w:rPr>
        <w:t xml:space="preserve"> передатчик.</w:t>
      </w:r>
    </w:p>
    <w:p w14:paraId="251ABA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Разработка и производство (2002-05 г.): специальные системы управления и связи; бортовые комплексы связи </w:t>
      </w:r>
      <w:r w:rsidRPr="00A259BD">
        <w:rPr>
          <w:rFonts w:ascii="Times New Roman" w:hAnsi="Times New Roman"/>
          <w:color w:val="000000" w:themeColor="text1"/>
          <w:sz w:val="16"/>
          <w:szCs w:val="16"/>
          <w:lang w:val="en-US"/>
        </w:rPr>
        <w:t>J</w:t>
      </w:r>
      <w:r w:rsidRPr="00A259BD">
        <w:rPr>
          <w:rFonts w:ascii="Times New Roman" w:hAnsi="Times New Roman"/>
          <w:color w:val="000000" w:themeColor="text1"/>
          <w:sz w:val="16"/>
          <w:szCs w:val="16"/>
        </w:rPr>
        <w:t>1</w:t>
      </w:r>
      <w:r w:rsidRPr="00A259BD">
        <w:rPr>
          <w:rFonts w:ascii="Times New Roman" w:hAnsi="Times New Roman"/>
          <w:color w:val="000000" w:themeColor="text1"/>
          <w:sz w:val="16"/>
          <w:szCs w:val="16"/>
          <w:lang w:val="en-US"/>
        </w:rPr>
        <w:t>A</w:t>
      </w:r>
      <w:r w:rsidRPr="00A259BD">
        <w:rPr>
          <w:rFonts w:ascii="Times New Roman" w:hAnsi="Times New Roman"/>
          <w:color w:val="000000" w:themeColor="text1"/>
          <w:sz w:val="16"/>
          <w:szCs w:val="16"/>
        </w:rPr>
        <w:t xml:space="preserve"> и наземных радиоцентров; техника авиационной радиосвязи (приемники, передатчики, радиостанции, устройства преобразования сигналов, аппаратура внутренней связи, антенно-фидерные устройства, многочастотные модемы, мультиплексоры); комплексы связи наземных радиоцентров; отраслевая объединенная испытательная моделирующая сеть полигонов; система авиационно-наземного экологического патрулирования; медицинские приборы для аспирации, аэроионотерапии, </w:t>
      </w:r>
      <w:proofErr w:type="spellStart"/>
      <w:r w:rsidRPr="00A259BD">
        <w:rPr>
          <w:rFonts w:ascii="Times New Roman" w:hAnsi="Times New Roman"/>
          <w:color w:val="000000" w:themeColor="text1"/>
          <w:sz w:val="16"/>
          <w:szCs w:val="16"/>
        </w:rPr>
        <w:t>магнитотерашш</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биоритмостимуляции</w:t>
      </w:r>
      <w:proofErr w:type="spellEnd"/>
      <w:r w:rsidRPr="00A259BD">
        <w:rPr>
          <w:rFonts w:ascii="Times New Roman" w:hAnsi="Times New Roman"/>
          <w:color w:val="000000" w:themeColor="text1"/>
          <w:sz w:val="16"/>
          <w:szCs w:val="16"/>
        </w:rPr>
        <w:t>. (2005 г.): разработка: типового комплекса связи ТИП-2М; комплекса связи для истребителя 5-го поколения; бортовой МВ- ДМВ радиостанции повышенной помехозащищенности для межвидового взаимодействия тактического звена управления.</w:t>
      </w:r>
    </w:p>
    <w:p w14:paraId="0D824C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Направления научной деятельности: первичные и вторичные сети связи; комплексы и системы связи; проблемы бортовой авионики; помехозащищенность авиационной радиосвязи; микроэлектроника.</w:t>
      </w:r>
    </w:p>
    <w:p w14:paraId="5AAB5C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1990 г. создан Учебно-научно-производственный комплекс (УН1Ж). Имеет Московский филиал. Создано СП- ЗАО «Сатурн». Действует </w:t>
      </w:r>
      <w:proofErr w:type="spellStart"/>
      <w:r w:rsidRPr="00A259BD">
        <w:rPr>
          <w:rFonts w:ascii="Times New Roman" w:hAnsi="Times New Roman"/>
          <w:color w:val="000000" w:themeColor="text1"/>
          <w:sz w:val="16"/>
          <w:szCs w:val="16"/>
        </w:rPr>
        <w:t>испытательно</w:t>
      </w:r>
      <w:proofErr w:type="spellEnd"/>
      <w:r w:rsidRPr="00A259BD">
        <w:rPr>
          <w:rFonts w:ascii="Times New Roman" w:hAnsi="Times New Roman"/>
          <w:color w:val="000000" w:themeColor="text1"/>
          <w:sz w:val="16"/>
          <w:szCs w:val="16"/>
        </w:rPr>
        <w:t xml:space="preserve">-моделирующая система </w:t>
      </w:r>
      <w:proofErr w:type="spellStart"/>
      <w:r w:rsidRPr="00A259BD">
        <w:rPr>
          <w:rFonts w:ascii="Times New Roman" w:hAnsi="Times New Roman"/>
          <w:color w:val="000000" w:themeColor="text1"/>
          <w:sz w:val="16"/>
          <w:szCs w:val="16"/>
        </w:rPr>
        <w:t>радиополигонов</w:t>
      </w:r>
      <w:proofErr w:type="spellEnd"/>
      <w:r w:rsidRPr="00A259BD">
        <w:rPr>
          <w:rFonts w:ascii="Times New Roman" w:hAnsi="Times New Roman"/>
          <w:color w:val="000000" w:themeColor="text1"/>
          <w:sz w:val="16"/>
          <w:szCs w:val="16"/>
        </w:rPr>
        <w:t xml:space="preserve"> в Нижегородской, Московской, Астраханской областях, в Крыму и на Украине.</w:t>
      </w:r>
    </w:p>
    <w:p w14:paraId="7B187B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Головное предприятие (2005 г.) по разработке и производству воздушных пунктов управления.</w:t>
      </w:r>
    </w:p>
    <w:p w14:paraId="755774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1991 г. ГНИИРС преобразован в НЛП «Полет». В 2007 г. планировалось вхождение предприятия в холдинг «Электронные системы» ОПК «Оборонпром».</w:t>
      </w:r>
    </w:p>
    <w:p w14:paraId="371CB2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Производственные площади (2003 г.)- 72 тыс.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w:t>
      </w:r>
    </w:p>
    <w:p w14:paraId="62ED6A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(2002 г.)- 2200 чел., (2003 г.)- 3314 чел.</w:t>
      </w:r>
    </w:p>
    <w:p w14:paraId="490E3E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(1964-69 г.)- И.И. </w:t>
      </w:r>
      <w:proofErr w:type="spellStart"/>
      <w:r w:rsidRPr="00A259BD">
        <w:rPr>
          <w:rFonts w:ascii="Times New Roman" w:hAnsi="Times New Roman"/>
          <w:color w:val="000000" w:themeColor="text1"/>
          <w:sz w:val="16"/>
          <w:szCs w:val="16"/>
        </w:rPr>
        <w:t>Кобин</w:t>
      </w:r>
      <w:proofErr w:type="spellEnd"/>
      <w:r w:rsidRPr="00A259BD">
        <w:rPr>
          <w:rFonts w:ascii="Times New Roman" w:hAnsi="Times New Roman"/>
          <w:color w:val="000000" w:themeColor="text1"/>
          <w:sz w:val="16"/>
          <w:szCs w:val="16"/>
        </w:rPr>
        <w:t>, (1969-72 г.)- А.И. Макеев, (1972 г.-&gt;</w:t>
      </w:r>
      <w:r w:rsidRPr="00A259BD">
        <w:rPr>
          <w:rFonts w:ascii="Times New Roman" w:hAnsi="Times New Roman"/>
          <w:color w:val="000000" w:themeColor="text1"/>
          <w:sz w:val="16"/>
          <w:szCs w:val="16"/>
          <w:lang w:val="en-US"/>
        </w:rPr>
        <w:t>E</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JI</w:t>
      </w:r>
      <w:r w:rsidRPr="00A259BD">
        <w:rPr>
          <w:rFonts w:ascii="Times New Roman" w:hAnsi="Times New Roman"/>
          <w:color w:val="000000" w:themeColor="text1"/>
          <w:sz w:val="16"/>
          <w:szCs w:val="16"/>
        </w:rPr>
        <w:t>. Белоусов. Гендиректор (1987- 2007 г.-)- Е.Л. Белоусов.</w:t>
      </w:r>
      <w:r w:rsidRPr="00A259BD">
        <w:rPr>
          <w:rFonts w:ascii="Times New Roman" w:hAnsi="Times New Roman"/>
          <w:color w:val="000000" w:themeColor="text1"/>
          <w:sz w:val="16"/>
          <w:szCs w:val="16"/>
          <w:vertAlign w:val="superscript"/>
        </w:rPr>
        <w:t>101</w:t>
      </w:r>
    </w:p>
    <w:p w14:paraId="4277D0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1-й зам. гендиректора (2002 г.)- В.А. Писарев. Зам. гендиректора: по НИОКР (2005 г.)- А.В. Комяков, (2006 г.)- Д. Демин; по координации и управлению (2002 г.)- Ю.И. Ремешков; (2005 г.)- В.А. Ковалев.</w:t>
      </w:r>
    </w:p>
    <w:p w14:paraId="098D87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Технический директор (2002 г.)- С.С. Сухотин. Директор по ВЭС и ВПК (-2002-06 г.-&gt; В.А. Ковалев.</w:t>
      </w:r>
      <w:r w:rsidRPr="00A259BD">
        <w:rPr>
          <w:rFonts w:ascii="Times New Roman" w:hAnsi="Times New Roman"/>
          <w:color w:val="000000" w:themeColor="text1"/>
          <w:sz w:val="16"/>
          <w:szCs w:val="16"/>
          <w:vertAlign w:val="superscript"/>
        </w:rPr>
        <w:t>69</w:t>
      </w:r>
    </w:p>
    <w:p w14:paraId="1592BB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конструктор (-1987-2002 г.-)- </w:t>
      </w:r>
      <w:r w:rsidRPr="00A259BD">
        <w:rPr>
          <w:rFonts w:ascii="Times New Roman" w:hAnsi="Times New Roman"/>
          <w:color w:val="000000" w:themeColor="text1"/>
          <w:sz w:val="16"/>
          <w:szCs w:val="16"/>
          <w:lang w:val="en-US"/>
        </w:rPr>
        <w:t>E</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JI</w:t>
      </w:r>
      <w:r w:rsidRPr="00A259BD">
        <w:rPr>
          <w:rFonts w:ascii="Times New Roman" w:hAnsi="Times New Roman"/>
          <w:color w:val="000000" w:themeColor="text1"/>
          <w:sz w:val="16"/>
          <w:szCs w:val="16"/>
        </w:rPr>
        <w:t>. Белоусов. Ген. конструктор (-2003-07 г.-)- Е.Л. Белоусов.</w:t>
      </w:r>
    </w:p>
    <w:p w14:paraId="392CD3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инженер (1967-69 г.)- А.И. Макеев.</w:t>
      </w:r>
    </w:p>
    <w:p w14:paraId="07C961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конструкторы: А.И. Макеев («Призма», «Микрон»), (-2005-06 г.-)- А. Перевезенцев (НКВС-27).</w:t>
      </w:r>
    </w:p>
    <w:p w14:paraId="539C91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Начальники: НИЦ (2003 г.)- К. </w:t>
      </w:r>
      <w:proofErr w:type="spellStart"/>
      <w:r w:rsidRPr="00A259BD">
        <w:rPr>
          <w:rFonts w:ascii="Times New Roman" w:hAnsi="Times New Roman"/>
          <w:color w:val="000000" w:themeColor="text1"/>
          <w:sz w:val="16"/>
          <w:szCs w:val="16"/>
        </w:rPr>
        <w:t>Войткевич</w:t>
      </w:r>
      <w:proofErr w:type="spellEnd"/>
      <w:r w:rsidRPr="00A259BD">
        <w:rPr>
          <w:rFonts w:ascii="Times New Roman" w:hAnsi="Times New Roman"/>
          <w:color w:val="000000" w:themeColor="text1"/>
          <w:sz w:val="16"/>
          <w:szCs w:val="16"/>
        </w:rPr>
        <w:t>; УНПК (2005 г.)- В. Денежкина.</w:t>
      </w:r>
    </w:p>
    <w:p w14:paraId="388A9A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Начальники отделов: (1954 г.-)- А.И. Макеев.</w:t>
      </w:r>
    </w:p>
    <w:p w14:paraId="384423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Создано: аппаратура связи «Призма»; бортовые радиостанции: 2-го поколения «Микрон», «Протон» (1960- е), 3-го поколения </w:t>
      </w:r>
      <w:r w:rsidRPr="00A259BD">
        <w:rPr>
          <w:rFonts w:ascii="Times New Roman" w:hAnsi="Times New Roman"/>
          <w:color w:val="000000" w:themeColor="text1"/>
          <w:sz w:val="16"/>
          <w:szCs w:val="16"/>
          <w:lang w:val="en-US"/>
        </w:rPr>
        <w:t>KB</w:t>
      </w:r>
      <w:r w:rsidRPr="00A259BD">
        <w:rPr>
          <w:rFonts w:ascii="Times New Roman" w:hAnsi="Times New Roman"/>
          <w:color w:val="000000" w:themeColor="text1"/>
          <w:sz w:val="16"/>
          <w:szCs w:val="16"/>
        </w:rPr>
        <w:t xml:space="preserve"> диапазона «Журавль-К» (1970-е), 4-го поколения «Крестец-1, -2, -3» (1980-е), «Крестец- ЗМ» (1990-е), поколения 4+ ДКМВ диапазона «Бозон-2М» для ВВС (2000-е), «</w:t>
      </w:r>
      <w:proofErr w:type="spellStart"/>
      <w:r w:rsidRPr="00A259BD">
        <w:rPr>
          <w:rFonts w:ascii="Times New Roman" w:hAnsi="Times New Roman"/>
          <w:color w:val="000000" w:themeColor="text1"/>
          <w:sz w:val="16"/>
          <w:szCs w:val="16"/>
        </w:rPr>
        <w:t>Ягут</w:t>
      </w:r>
      <w:proofErr w:type="spellEnd"/>
      <w:r w:rsidRPr="00A259BD">
        <w:rPr>
          <w:rFonts w:ascii="Times New Roman" w:hAnsi="Times New Roman"/>
          <w:color w:val="000000" w:themeColor="text1"/>
          <w:sz w:val="16"/>
          <w:szCs w:val="16"/>
        </w:rPr>
        <w:t>» для ГА и ВТА (2000-е); приемник «Метеор» (1960-е), «Крестец-П» (1980-е); бортовые комплексы радиосвязи: ТКС-1 с радиостанцией «Позитрон» (Р-865, Р-866, 1970-е) и радиоприемником «Метеорит» (Р-887) для Ан-124, Т-95МС, Ту-22МЗ, Ту-160 (1983-87); ТИП-1 для тяжелых самолетов (1980-е), ТКС-2, ТИП-2 для Су-27, Су- 30, МиГ-29, Ка-31 (1983-87), ТИП-2М (2000-е), С-108 для Су-35; комплексы связи для ВКП: «Бизон» (Ил-18); 2-го поколения «Зебра» (Ил-18), «Яхонт» (Ми-6), «Иволга» (Ми-8), для ВКП на базе Ил-86, для ретранслятора Ил-76 (1980-е);</w:t>
      </w:r>
      <w:r w:rsidRPr="00A259BD">
        <w:rPr>
          <w:rFonts w:ascii="Times New Roman" w:hAnsi="Times New Roman"/>
          <w:color w:val="000000" w:themeColor="text1"/>
          <w:sz w:val="16"/>
          <w:szCs w:val="16"/>
          <w:vertAlign w:val="superscript"/>
        </w:rPr>
        <w:t>101</w:t>
      </w:r>
      <w:r w:rsidRPr="00A259BD">
        <w:rPr>
          <w:rFonts w:ascii="Times New Roman" w:hAnsi="Times New Roman"/>
          <w:color w:val="000000" w:themeColor="text1"/>
          <w:sz w:val="16"/>
          <w:szCs w:val="16"/>
        </w:rPr>
        <w:t xml:space="preserve"> наземный комплекс воздушной связи НКВС-27 для Су-35; бортовая аппаратура селективного вызова «</w:t>
      </w:r>
      <w:proofErr w:type="spellStart"/>
      <w:r w:rsidRPr="00A259BD">
        <w:rPr>
          <w:rFonts w:ascii="Times New Roman" w:hAnsi="Times New Roman"/>
          <w:color w:val="000000" w:themeColor="text1"/>
          <w:sz w:val="16"/>
          <w:szCs w:val="16"/>
        </w:rPr>
        <w:t>Селкол</w:t>
      </w:r>
      <w:proofErr w:type="spellEnd"/>
      <w:r w:rsidRPr="00A259BD">
        <w:rPr>
          <w:rFonts w:ascii="Times New Roman" w:hAnsi="Times New Roman"/>
          <w:color w:val="000000" w:themeColor="text1"/>
          <w:sz w:val="16"/>
          <w:szCs w:val="16"/>
        </w:rPr>
        <w:t>»;</w:t>
      </w:r>
    </w:p>
    <w:p w14:paraId="292556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(2004) радиостанции: Р-805К, «Арлекин-Д»; бортовая аппаратура селективного вызова АСВ- 324, аппаратура внутренней связи самолетов ГА «База-1»; бортовой комплекс автоматизированного обмена данными «БРИК-324»; наземный комплекс передачи данных «Рубин-М»; НКВС-27 (2005); экспортный бортовой комплекс связи К-</w:t>
      </w:r>
      <w:proofErr w:type="spellStart"/>
      <w:r w:rsidRPr="00A259BD">
        <w:rPr>
          <w:rFonts w:ascii="Times New Roman" w:hAnsi="Times New Roman"/>
          <w:color w:val="000000" w:themeColor="text1"/>
          <w:sz w:val="16"/>
          <w:szCs w:val="16"/>
        </w:rPr>
        <w:t>ДпАЭ</w:t>
      </w:r>
      <w:proofErr w:type="spellEnd"/>
      <w:r w:rsidRPr="00A259BD">
        <w:rPr>
          <w:rFonts w:ascii="Times New Roman" w:hAnsi="Times New Roman"/>
          <w:color w:val="000000" w:themeColor="text1"/>
          <w:sz w:val="16"/>
          <w:szCs w:val="16"/>
        </w:rPr>
        <w:t>; устройство защиты «Шлюз»; авиационные радиосвязные антенны АМЗ-МВ, АСВ-МВ2; система авиационно-наземного патрулирования нефтяных загрязнений «След-ЗС», эхолот-измеритель КТ-ЗС, прибор измерения концентрации нефти в воде АПИН, радиометр-измеритель толщины пленки нефти КТС РМК- Н; аппаратура зондирования ионосферы «Сириус»; аппарат психоэмоциональной реабилитации «Ритм- полет».</w:t>
      </w:r>
    </w:p>
    <w:p w14:paraId="187F27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ЗАО «Сатурн» /603950  г. Нижний Новгород ГСП-462 пл. Комсомольская, 1 тел. 42-21-78/</w:t>
      </w:r>
    </w:p>
    <w:p w14:paraId="611B22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Совместное предприятие НПП «Полет» с немецкой фирмой «Роде и Шварц».</w:t>
      </w:r>
    </w:p>
    <w:p w14:paraId="68F840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(2002 г.): современное радиосвязное оборудование.</w:t>
      </w:r>
    </w:p>
    <w:p w14:paraId="16BCF4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Директор (2002 г.)- А. Гришуков (11982).</w:t>
      </w:r>
    </w:p>
    <w:p w14:paraId="69F625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0FBA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июле 1929 г. на заседаниях Политбюро ЦК ВКП(б) были заслушаны доклады </w:t>
      </w:r>
      <w:proofErr w:type="spellStart"/>
      <w:r w:rsidRPr="00A259BD">
        <w:rPr>
          <w:rFonts w:ascii="Times New Roman" w:hAnsi="Times New Roman"/>
          <w:color w:val="000000" w:themeColor="text1"/>
          <w:sz w:val="16"/>
          <w:szCs w:val="16"/>
        </w:rPr>
        <w:t>Я.Рудзутака</w:t>
      </w:r>
      <w:proofErr w:type="spellEnd"/>
      <w:r w:rsidRPr="00A259BD">
        <w:rPr>
          <w:rFonts w:ascii="Times New Roman" w:hAnsi="Times New Roman"/>
          <w:color w:val="000000" w:themeColor="text1"/>
          <w:sz w:val="16"/>
          <w:szCs w:val="16"/>
        </w:rPr>
        <w:t xml:space="preserve"> о работе РЗ СТО, </w:t>
      </w:r>
      <w:proofErr w:type="spellStart"/>
      <w:r w:rsidRPr="00A259BD">
        <w:rPr>
          <w:rFonts w:ascii="Times New Roman" w:hAnsi="Times New Roman"/>
          <w:color w:val="000000" w:themeColor="text1"/>
          <w:sz w:val="16"/>
          <w:szCs w:val="16"/>
        </w:rPr>
        <w:t>К.Е.Ворошилова</w:t>
      </w:r>
      <w:proofErr w:type="spellEnd"/>
      <w:r w:rsidRPr="00A259BD">
        <w:rPr>
          <w:rFonts w:ascii="Times New Roman" w:hAnsi="Times New Roman"/>
          <w:color w:val="000000" w:themeColor="text1"/>
          <w:sz w:val="16"/>
          <w:szCs w:val="16"/>
        </w:rPr>
        <w:t xml:space="preserve"> о состоянии вооруженных сил и </w:t>
      </w:r>
      <w:proofErr w:type="spellStart"/>
      <w:r w:rsidRPr="00A259BD">
        <w:rPr>
          <w:rFonts w:ascii="Times New Roman" w:hAnsi="Times New Roman"/>
          <w:color w:val="000000" w:themeColor="text1"/>
          <w:sz w:val="16"/>
          <w:szCs w:val="16"/>
        </w:rPr>
        <w:t>И.П.Павлуновского</w:t>
      </w:r>
      <w:proofErr w:type="spellEnd"/>
      <w:r w:rsidRPr="00A259BD">
        <w:rPr>
          <w:rFonts w:ascii="Times New Roman" w:hAnsi="Times New Roman"/>
          <w:color w:val="000000" w:themeColor="text1"/>
          <w:sz w:val="16"/>
          <w:szCs w:val="16"/>
        </w:rPr>
        <w:t xml:space="preserve"> о состоянии военной промышленности. По докладам было принято постановле</w:t>
      </w:r>
      <w:r w:rsidRPr="00A259BD">
        <w:rPr>
          <w:rFonts w:ascii="Times New Roman" w:hAnsi="Times New Roman"/>
          <w:color w:val="000000" w:themeColor="text1"/>
          <w:sz w:val="16"/>
          <w:szCs w:val="16"/>
        </w:rPr>
        <w:softHyphen/>
        <w:t>ние: “О состоянии обороны СССР” от 15 июля 1929 г., в котором отмечался “целый ряд крупных недостатков как в подготовке Красной Армии, так и всего народного хозяйства к обороне:</w:t>
      </w:r>
    </w:p>
    <w:p w14:paraId="2D8044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техническая база вооруженных сил все еще очень слаба и далеко отстает от техники современных буржуазных армий;</w:t>
      </w:r>
    </w:p>
    <w:p w14:paraId="2CC018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материальное обеспечение мобилизуемой армии по дейст</w:t>
      </w:r>
      <w:r w:rsidRPr="00A259BD">
        <w:rPr>
          <w:rFonts w:ascii="Times New Roman" w:hAnsi="Times New Roman"/>
          <w:color w:val="000000" w:themeColor="text1"/>
          <w:sz w:val="16"/>
          <w:szCs w:val="16"/>
        </w:rPr>
        <w:softHyphen/>
        <w:t>вующему мобилизационному плану все еще далеко неудовлет</w:t>
      </w:r>
      <w:r w:rsidRPr="00A259BD">
        <w:rPr>
          <w:rFonts w:ascii="Times New Roman" w:hAnsi="Times New Roman"/>
          <w:color w:val="000000" w:themeColor="text1"/>
          <w:sz w:val="16"/>
          <w:szCs w:val="16"/>
        </w:rPr>
        <w:softHyphen/>
        <w:t>ворительно;</w:t>
      </w:r>
    </w:p>
    <w:p w14:paraId="606DE03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материальные резервы обороны (импортные и внутренние) совершенно недостаточны;</w:t>
      </w:r>
    </w:p>
    <w:p w14:paraId="724000A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подготовка всей промышленности, в том числе военной, к выполнению требований вооруженного фронта совершенно неудовлетворительна” (РЦХИДНИ ф.17, оп.162, д.7, л.104-105) (1566,67).</w:t>
      </w:r>
    </w:p>
    <w:p w14:paraId="1C6558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0CF71B" w14:textId="77777777" w:rsidR="00954AC6" w:rsidRPr="00A259BD" w:rsidRDefault="00954AC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г. ЦК ВКП(б) в своем постановлении «О состоянии обороны СССР» отмечал: «Одним из важнейших результатов истекшего пятилетия следует признать создание Красного Воздушного Флота. Считать, что важнейшей задачей на ближайшие годы в строительстве Красной Армии является скорейшее доведение ее качества до уровня передовых буржуазных стран, и всеми силами следует насаждать, культивировать и развивать свои, советские научно-конструкторские силы». Для этого выделялись средства: в 1927 г.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доставалось 16% капиталовложений в оборонную промышленность, а в 1931 г. — 41%. В марте 1930 г.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был преобразован во Всесоюзное объединение авиационной промышленности (ВАО), в декабре 1931 г. новым руководящим органом стало Главное управление авиационной промышленности (ГУАП), а в январе 1932 г. Высший совет народного хозяйства (ВСНХ) был преобразован в Наркомат тяжелой промышленности (НКТП). Времена выборного руководства, рыночных цен и хозрасчета остались в прошлом, отрасль переходила к планово-распределительной экономике и директивным методам руководства. «В связи с развитием авиации» из ЦАГИ выделили лаборатории, «не имевшие прямого отношения к авиационным вопросам» и было «произведено разукрупнение» института. Первым в конце 1930 г. отделился винтомоторный отдел, он стал самостоятельным Центральным научно-исследовательским институтом авиационных моторов (ЦИАМ). Через год — еще два института: Центральный ветроэнергетический институт (ЦВЭИ) и Гидроэнергетический институт (ГЭИ). Летом 1931 г. на базе Отдела испытания авиационных материалов организовали Всесоюзный научно-исследовательский институт авиационных материалов (19727).</w:t>
      </w:r>
    </w:p>
    <w:p w14:paraId="4770B4F4" w14:textId="77777777" w:rsidR="00954AC6" w:rsidRPr="00A259BD" w:rsidRDefault="00954AC6" w:rsidP="009236E3">
      <w:pPr>
        <w:spacing w:after="0" w:line="240" w:lineRule="auto"/>
        <w:jc w:val="both"/>
        <w:rPr>
          <w:rFonts w:ascii="Times New Roman" w:hAnsi="Times New Roman"/>
          <w:color w:val="000000" w:themeColor="text1"/>
          <w:sz w:val="16"/>
          <w:szCs w:val="16"/>
        </w:rPr>
      </w:pPr>
    </w:p>
    <w:p w14:paraId="49DACF14" w14:textId="77777777" w:rsidR="00954AC6" w:rsidRPr="00A259BD" w:rsidRDefault="00954AC6"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 xml:space="preserve">В июле 1929 г. учреждается должность начальника вооружений РККА. До 1931 г. ее занимал И.П. Уборевич, затем М.Н. Тухачевский, который одновременно являлся заместителем Наркома по военным и морским делам. В ноябре того же года было образовано специальное управление в системе центрального военного аппарата, ведавшее вопросами моторизации и механизации Красной Армии. Начальником управления стал И.А. </w:t>
      </w:r>
      <w:proofErr w:type="spellStart"/>
      <w:r w:rsidRPr="00A259BD">
        <w:rPr>
          <w:rFonts w:ascii="Times New Roman" w:hAnsi="Times New Roman"/>
          <w:color w:val="000000" w:themeColor="text1"/>
          <w:sz w:val="16"/>
          <w:szCs w:val="16"/>
          <w:shd w:val="clear" w:color="auto" w:fill="FFFFFF"/>
        </w:rPr>
        <w:t>Халепский</w:t>
      </w:r>
      <w:proofErr w:type="spellEnd"/>
      <w:r w:rsidRPr="00A259BD">
        <w:rPr>
          <w:rFonts w:ascii="Times New Roman" w:hAnsi="Times New Roman"/>
          <w:color w:val="000000" w:themeColor="text1"/>
          <w:sz w:val="16"/>
          <w:szCs w:val="16"/>
          <w:shd w:val="clear" w:color="auto" w:fill="FFFFFF"/>
        </w:rPr>
        <w:t>. Проведенные организационные мероприятия способствовали более целеустремленной работе военного ведомства в решении задач технического перевооружения, и в частности в выработке правильных взглядов на характер современного вооружения и тактико-технических требований к боевой технике (19553).</w:t>
      </w:r>
    </w:p>
    <w:p w14:paraId="6A471552" w14:textId="77777777" w:rsidR="00954AC6" w:rsidRPr="00A259BD" w:rsidRDefault="00954AC6" w:rsidP="009236E3">
      <w:pPr>
        <w:spacing w:after="0" w:line="240" w:lineRule="auto"/>
        <w:jc w:val="both"/>
        <w:rPr>
          <w:rFonts w:ascii="Times New Roman" w:hAnsi="Times New Roman"/>
          <w:color w:val="000000" w:themeColor="text1"/>
          <w:sz w:val="16"/>
          <w:szCs w:val="16"/>
          <w:shd w:val="clear" w:color="auto" w:fill="FFFFFF"/>
        </w:rPr>
      </w:pPr>
    </w:p>
    <w:p w14:paraId="4409C993" w14:textId="77777777" w:rsidR="00954AC6" w:rsidRPr="00A259BD" w:rsidRDefault="00954AC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июле 1929 г. была учреждена должность начальника вооружений РККА, на которого возлагалось руководство всеми вопросами перевооружения армии. Этот пост в 1929–1931 гг. занимал Уборевич, в 1931–1932 гг. — Тухачевский. В ноябре 1929 г. было создано уже упоминавшееся Управление механизации и моторизации (УММ) РККА. Организация УММ была чрезвычайно важна, поскольку до 1929 г. в СССР не было танкового производства и необходимых кадров конструкторов-танкостроителей. Становлению этого направления способствовали энтузиасты танкового дела И. А.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и К. Б. Калиновский.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возглавлял УММ вплоть до 1934 г. Специальным постановлением РВС СССР было предусмотрено создание различных типов танков: танкетка, средний, большой (тяжелый) и мостовой танки, а также их тактико-технические характеристики. 23 января 1930 г. РВС утвердил программу создания различных видов самолетов (в том числе гидросамолетов), аэростатов, аэрофотоаппаратов и приборов на первую 5-летку, причем главное внимание было уделено бомбардировочной и истребительной авиации. Особое внимание было уделено увеличению численности инженерно-технических кадров старшего звена. Для этого на базе военной академии им. Фрунзе был создан ряд специализированных военных академий (Военно-техническая, Артиллерийская, Военно-химическая, Военно-инженерная и др.). Это позволило увеличить число слушателей с 3200 в 1928 г. до 16,5 тыс. в 1932 г. В январе 1931 г. РВС уточнил план строительства РККА на 1931–1933 гг., завершив тем самым процесс разработки первого 5-летнего плана военного строительства. В 1933 г. была начата разработка второго 5-летнего плана строительства РККА на 1934–1938 гг., направленного на завершение начавшегося технического перевооружения РККА. СТО принял тогда постановления «О программе военно-морского строительства на 1933–1938 гг.», «О системе артиллерийского вооружения РККА на вторую пятилетку», позднее утвердил план развития ВВС на 1935 — 1937 гг. Вся страна постепенно </w:t>
      </w:r>
      <w:r w:rsidRPr="00A259BD">
        <w:rPr>
          <w:rFonts w:ascii="Times New Roman" w:hAnsi="Times New Roman"/>
          <w:color w:val="000000" w:themeColor="text1"/>
          <w:sz w:val="16"/>
          <w:szCs w:val="16"/>
        </w:rPr>
        <w:lastRenderedPageBreak/>
        <w:t>превращалась в военный лагерь. И безобидная на первый взгляд закупка за рубежом партии сукна защитного цвета и медикаментов превращалась в акцию по повышению обороноспособности и выживаемости советского строя в условиях капиталистического окружения (18265).</w:t>
      </w:r>
    </w:p>
    <w:p w14:paraId="4686DDA0" w14:textId="77777777" w:rsidR="00954AC6" w:rsidRPr="00A259BD" w:rsidRDefault="00954AC6" w:rsidP="009236E3">
      <w:pPr>
        <w:spacing w:after="0" w:line="240" w:lineRule="auto"/>
        <w:jc w:val="both"/>
        <w:rPr>
          <w:rFonts w:ascii="Times New Roman" w:hAnsi="Times New Roman"/>
          <w:color w:val="000000" w:themeColor="text1"/>
          <w:sz w:val="16"/>
          <w:szCs w:val="16"/>
        </w:rPr>
      </w:pPr>
    </w:p>
    <w:p w14:paraId="3EF11911" w14:textId="77777777" w:rsidR="00954AC6" w:rsidRPr="00A259BD" w:rsidRDefault="00954AC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июле 1929 г. было начато строительство </w:t>
      </w:r>
      <w:proofErr w:type="spellStart"/>
      <w:r w:rsidRPr="00A259BD">
        <w:rPr>
          <w:rFonts w:ascii="Times New Roman" w:hAnsi="Times New Roman"/>
          <w:color w:val="000000" w:themeColor="text1"/>
          <w:sz w:val="16"/>
          <w:szCs w:val="16"/>
        </w:rPr>
        <w:t>завода«Литер</w:t>
      </w:r>
      <w:proofErr w:type="spellEnd"/>
      <w:r w:rsidRPr="00A259BD">
        <w:rPr>
          <w:rFonts w:ascii="Times New Roman" w:hAnsi="Times New Roman"/>
          <w:color w:val="000000" w:themeColor="text1"/>
          <w:sz w:val="16"/>
          <w:szCs w:val="16"/>
        </w:rPr>
        <w:t xml:space="preserve"> Б».</w:t>
      </w:r>
    </w:p>
    <w:p w14:paraId="425B8821" w14:textId="77777777" w:rsidR="00954AC6" w:rsidRPr="00A259BD" w:rsidRDefault="00954AC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Строительство обоих опытных заводов шло исключительно быстрыми темпами. Большую помощь коллективу строителей оказала Ленинградская партийная организация и лично С.М. Киров. Летом 1930 г. было оборудовано помещение для научно-исследовательской лаборатории, куда она переехала с Васильевского острова в сентябре 1930 г.</w:t>
      </w:r>
    </w:p>
    <w:p w14:paraId="4C82237E" w14:textId="77777777" w:rsidR="00954AC6" w:rsidRPr="00A259BD" w:rsidRDefault="00954AC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улучшения руководства работами по синтезу каучука в июне 1930 г. было организовано бюро по синтезу каучука при правлении </w:t>
      </w:r>
      <w:proofErr w:type="spellStart"/>
      <w:r w:rsidRPr="00A259BD">
        <w:rPr>
          <w:rFonts w:ascii="Times New Roman" w:hAnsi="Times New Roman"/>
          <w:color w:val="000000" w:themeColor="text1"/>
          <w:sz w:val="16"/>
          <w:szCs w:val="16"/>
        </w:rPr>
        <w:t>Резинотреста</w:t>
      </w:r>
      <w:proofErr w:type="spellEnd"/>
      <w:r w:rsidRPr="00A259BD">
        <w:rPr>
          <w:rFonts w:ascii="Times New Roman" w:hAnsi="Times New Roman"/>
          <w:color w:val="000000" w:themeColor="text1"/>
          <w:sz w:val="16"/>
          <w:szCs w:val="16"/>
        </w:rPr>
        <w:t xml:space="preserve"> во главе с А. Лурье (18298).</w:t>
      </w:r>
    </w:p>
    <w:p w14:paraId="379879E2" w14:textId="77777777" w:rsidR="00954AC6" w:rsidRPr="00A259BD" w:rsidRDefault="00954AC6" w:rsidP="009236E3">
      <w:pPr>
        <w:spacing w:after="0" w:line="240" w:lineRule="auto"/>
        <w:jc w:val="both"/>
        <w:rPr>
          <w:rFonts w:ascii="Times New Roman" w:hAnsi="Times New Roman"/>
          <w:color w:val="000000" w:themeColor="text1"/>
          <w:sz w:val="16"/>
          <w:szCs w:val="16"/>
        </w:rPr>
      </w:pPr>
    </w:p>
    <w:p w14:paraId="6F889629" w14:textId="77777777" w:rsidR="00954AC6" w:rsidRPr="00A259BD" w:rsidRDefault="00954AC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1929 драматические события, развернувшиеся на засе</w:t>
      </w:r>
      <w:r w:rsidRPr="00A259BD">
        <w:rPr>
          <w:rFonts w:ascii="Times New Roman" w:hAnsi="Times New Roman"/>
          <w:color w:val="000000" w:themeColor="text1"/>
          <w:sz w:val="16"/>
          <w:szCs w:val="16"/>
        </w:rPr>
        <w:softHyphen/>
        <w:t>дании ПБ ЦК ВКП(б), стали важной вехой в становлении и раз</w:t>
      </w:r>
      <w:r w:rsidRPr="00A259BD">
        <w:rPr>
          <w:rFonts w:ascii="Times New Roman" w:hAnsi="Times New Roman"/>
          <w:color w:val="000000" w:themeColor="text1"/>
          <w:sz w:val="16"/>
          <w:szCs w:val="16"/>
        </w:rPr>
        <w:softHyphen/>
        <w:t>витии советского ВПК. Доклады о положении военной промыш</w:t>
      </w:r>
      <w:r w:rsidRPr="00A259BD">
        <w:rPr>
          <w:rFonts w:ascii="Times New Roman" w:hAnsi="Times New Roman"/>
          <w:color w:val="000000" w:themeColor="text1"/>
          <w:sz w:val="16"/>
          <w:szCs w:val="16"/>
        </w:rPr>
        <w:softHyphen/>
        <w:t xml:space="preserve">ленности были представлены И.П. </w:t>
      </w:r>
      <w:proofErr w:type="spellStart"/>
      <w:r w:rsidRPr="00A259BD">
        <w:rPr>
          <w:rFonts w:ascii="Times New Roman" w:hAnsi="Times New Roman"/>
          <w:color w:val="000000" w:themeColor="text1"/>
          <w:sz w:val="16"/>
          <w:szCs w:val="16"/>
        </w:rPr>
        <w:t>Павлуновским</w:t>
      </w:r>
      <w:proofErr w:type="spellEnd"/>
      <w:r w:rsidRPr="00A259BD">
        <w:rPr>
          <w:rFonts w:ascii="Times New Roman" w:hAnsi="Times New Roman"/>
          <w:color w:val="000000" w:themeColor="text1"/>
          <w:sz w:val="16"/>
          <w:szCs w:val="16"/>
        </w:rPr>
        <w:t xml:space="preserve">, М.Л. </w:t>
      </w:r>
      <w:proofErr w:type="spellStart"/>
      <w:r w:rsidRPr="00A259BD">
        <w:rPr>
          <w:rFonts w:ascii="Times New Roman" w:hAnsi="Times New Roman"/>
          <w:color w:val="000000" w:themeColor="text1"/>
          <w:sz w:val="16"/>
          <w:szCs w:val="16"/>
        </w:rPr>
        <w:t>Рухимо</w:t>
      </w:r>
      <w:r w:rsidRPr="00A259BD">
        <w:rPr>
          <w:rFonts w:ascii="Times New Roman" w:hAnsi="Times New Roman"/>
          <w:color w:val="000000" w:themeColor="text1"/>
          <w:sz w:val="16"/>
          <w:szCs w:val="16"/>
        </w:rPr>
        <w:softHyphen/>
        <w:t>вичем</w:t>
      </w:r>
      <w:proofErr w:type="spellEnd"/>
      <w:r w:rsidRPr="00A259BD">
        <w:rPr>
          <w:rFonts w:ascii="Times New Roman" w:hAnsi="Times New Roman"/>
          <w:color w:val="000000" w:themeColor="text1"/>
          <w:sz w:val="16"/>
          <w:szCs w:val="16"/>
        </w:rPr>
        <w:t xml:space="preserve">, А.Ф. </w:t>
      </w:r>
      <w:proofErr w:type="spellStart"/>
      <w:r w:rsidRPr="00A259BD">
        <w:rPr>
          <w:rFonts w:ascii="Times New Roman" w:hAnsi="Times New Roman"/>
          <w:color w:val="000000" w:themeColor="text1"/>
          <w:sz w:val="16"/>
          <w:szCs w:val="16"/>
        </w:rPr>
        <w:t>Толоконцевым</w:t>
      </w:r>
      <w:proofErr w:type="spellEnd"/>
      <w:r w:rsidRPr="00A259BD">
        <w:rPr>
          <w:rFonts w:ascii="Times New Roman" w:hAnsi="Times New Roman"/>
          <w:color w:val="000000" w:themeColor="text1"/>
          <w:sz w:val="16"/>
          <w:szCs w:val="16"/>
        </w:rPr>
        <w:t>, К.Е. Ворошиловым. Было принято два постановления ПБ “Об укреплении обороноспособности СССР” и “О военной промышленности” от 15 июля 1929 г. Если о первом постановлении много говорилось в литературе, второе было менее известным. Это - параллельное совершенно секрет</w:t>
      </w:r>
      <w:r w:rsidRPr="00A259BD">
        <w:rPr>
          <w:rFonts w:ascii="Times New Roman" w:hAnsi="Times New Roman"/>
          <w:color w:val="000000" w:themeColor="text1"/>
          <w:sz w:val="16"/>
          <w:szCs w:val="16"/>
        </w:rPr>
        <w:softHyphen/>
        <w:t>ное постановление ПБ, составленное всего в нескольких экземп</w:t>
      </w:r>
      <w:r w:rsidRPr="00A259BD">
        <w:rPr>
          <w:rFonts w:ascii="Times New Roman" w:hAnsi="Times New Roman"/>
          <w:color w:val="000000" w:themeColor="text1"/>
          <w:sz w:val="16"/>
          <w:szCs w:val="16"/>
        </w:rPr>
        <w:softHyphen/>
        <w:t>лярах, к созданию которого явно приложили руку и ОГПУ, и во</w:t>
      </w:r>
      <w:r w:rsidRPr="00A259BD">
        <w:rPr>
          <w:rFonts w:ascii="Times New Roman" w:hAnsi="Times New Roman"/>
          <w:color w:val="000000" w:themeColor="text1"/>
          <w:sz w:val="16"/>
          <w:szCs w:val="16"/>
        </w:rPr>
        <w:softHyphen/>
        <w:t>енная инспекция РКИ. Оно было размножено только в пяти эк</w:t>
      </w:r>
      <w:r w:rsidRPr="00A259BD">
        <w:rPr>
          <w:rFonts w:ascii="Times New Roman" w:hAnsi="Times New Roman"/>
          <w:color w:val="000000" w:themeColor="text1"/>
          <w:sz w:val="16"/>
          <w:szCs w:val="16"/>
        </w:rPr>
        <w:softHyphen/>
        <w:t>земплярах и направлено в ЦК ВКП(б), РЗ СТО (Рудзутаку), НК РКП (Яковлеву), ВСНХ (</w:t>
      </w:r>
      <w:proofErr w:type="spellStart"/>
      <w:r w:rsidRPr="00A259BD">
        <w:rPr>
          <w:rFonts w:ascii="Times New Roman" w:hAnsi="Times New Roman"/>
          <w:color w:val="000000" w:themeColor="text1"/>
          <w:sz w:val="16"/>
          <w:szCs w:val="16"/>
        </w:rPr>
        <w:t>Рухимовичу</w:t>
      </w:r>
      <w:proofErr w:type="spellEnd"/>
      <w:r w:rsidRPr="00A259BD">
        <w:rPr>
          <w:rFonts w:ascii="Times New Roman" w:hAnsi="Times New Roman"/>
          <w:color w:val="000000" w:themeColor="text1"/>
          <w:sz w:val="16"/>
          <w:szCs w:val="16"/>
        </w:rPr>
        <w:t>), РВС (Ворошилову) и, вви</w:t>
      </w:r>
      <w:r w:rsidRPr="00A259BD">
        <w:rPr>
          <w:rFonts w:ascii="Times New Roman" w:hAnsi="Times New Roman"/>
          <w:color w:val="000000" w:themeColor="text1"/>
          <w:sz w:val="16"/>
          <w:szCs w:val="16"/>
        </w:rPr>
        <w:softHyphen/>
        <w:t>ду особой секретности, должно было храниться на правах шиф</w:t>
      </w:r>
      <w:r w:rsidRPr="00A259BD">
        <w:rPr>
          <w:rFonts w:ascii="Times New Roman" w:hAnsi="Times New Roman"/>
          <w:color w:val="000000" w:themeColor="text1"/>
          <w:sz w:val="16"/>
          <w:szCs w:val="16"/>
        </w:rPr>
        <w:softHyphen/>
        <w:t>ра.</w:t>
      </w:r>
    </w:p>
    <w:p w14:paraId="65F59289" w14:textId="77777777" w:rsidR="00954AC6" w:rsidRPr="00A259BD" w:rsidRDefault="00954AC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постановлении как бы подводился итог многочисленным дискуссиям о характере современной войны и размерах необхо</w:t>
      </w:r>
      <w:r w:rsidRPr="00A259BD">
        <w:rPr>
          <w:rFonts w:ascii="Times New Roman" w:hAnsi="Times New Roman"/>
          <w:color w:val="000000" w:themeColor="text1"/>
          <w:sz w:val="16"/>
          <w:szCs w:val="16"/>
        </w:rPr>
        <w:softHyphen/>
        <w:t xml:space="preserve">димых военных приготовлений, ведущимся на страницах печати, в кулуарах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Главное место в подготовке к </w:t>
      </w:r>
      <w:proofErr w:type="spellStart"/>
      <w:r w:rsidRPr="00A259BD">
        <w:rPr>
          <w:rFonts w:ascii="Times New Roman" w:hAnsi="Times New Roman"/>
          <w:color w:val="000000" w:themeColor="text1"/>
          <w:sz w:val="16"/>
          <w:szCs w:val="16"/>
        </w:rPr>
        <w:t>войнепостановление</w:t>
      </w:r>
      <w:proofErr w:type="spellEnd"/>
      <w:r w:rsidRPr="00A259BD">
        <w:rPr>
          <w:rFonts w:ascii="Times New Roman" w:hAnsi="Times New Roman"/>
          <w:color w:val="000000" w:themeColor="text1"/>
          <w:sz w:val="16"/>
          <w:szCs w:val="16"/>
        </w:rPr>
        <w:t xml:space="preserve"> отводило кадровой военной промышленно</w:t>
      </w:r>
      <w:r w:rsidRPr="00A259BD">
        <w:rPr>
          <w:rFonts w:ascii="Times New Roman" w:hAnsi="Times New Roman"/>
          <w:color w:val="000000" w:themeColor="text1"/>
          <w:sz w:val="16"/>
          <w:szCs w:val="16"/>
        </w:rPr>
        <w:softHyphen/>
        <w:t>сти, более того, признавалось, что существование специальной  военной промышленности с весьма мощными заводами объек</w:t>
      </w:r>
      <w:r w:rsidRPr="00A259BD">
        <w:rPr>
          <w:rFonts w:ascii="Times New Roman" w:hAnsi="Times New Roman"/>
          <w:color w:val="000000" w:themeColor="text1"/>
          <w:sz w:val="16"/>
          <w:szCs w:val="16"/>
        </w:rPr>
        <w:softHyphen/>
        <w:t>тивно создает преимущество Советского Союза перед буржуаз</w:t>
      </w:r>
      <w:r w:rsidRPr="00A259BD">
        <w:rPr>
          <w:rFonts w:ascii="Times New Roman" w:hAnsi="Times New Roman"/>
          <w:color w:val="000000" w:themeColor="text1"/>
          <w:sz w:val="16"/>
          <w:szCs w:val="16"/>
        </w:rPr>
        <w:softHyphen/>
        <w:t>ными государствами в деле обороны страны. Этот момент важно подчеркнуть, так как он отразил дальнейшую перспективу роста военной промышленности, несмотря на теоретические дискуссии об экономической мобилизации всего народного хозяйства.</w:t>
      </w:r>
    </w:p>
    <w:p w14:paraId="1903847D" w14:textId="77777777" w:rsidR="00954AC6" w:rsidRPr="00A259BD" w:rsidRDefault="00954AC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Вместе с тем состояние самой военной промышленности оценивалось как крайне неудовлетворительное, что выражалось, согласно документу, в громадном преуменьшении мобилизацион</w:t>
      </w:r>
      <w:r w:rsidRPr="00A259BD">
        <w:rPr>
          <w:rFonts w:ascii="Times New Roman" w:hAnsi="Times New Roman"/>
          <w:color w:val="000000" w:themeColor="text1"/>
          <w:sz w:val="16"/>
          <w:szCs w:val="16"/>
        </w:rPr>
        <w:softHyphen/>
        <w:t>ных мощностей заводов, длительном и не соответствующем инте</w:t>
      </w:r>
      <w:r w:rsidRPr="00A259BD">
        <w:rPr>
          <w:rFonts w:ascii="Times New Roman" w:hAnsi="Times New Roman"/>
          <w:color w:val="000000" w:themeColor="text1"/>
          <w:sz w:val="16"/>
          <w:szCs w:val="16"/>
        </w:rPr>
        <w:softHyphen/>
        <w:t>ресам обороны срокам их строительства и пуска, преувеличении средств на капитальное строительство. Указывались медленные сроки мобилизационного развертывания заводов, в связи с чем го</w:t>
      </w:r>
      <w:r w:rsidRPr="00A259BD">
        <w:rPr>
          <w:rFonts w:ascii="Times New Roman" w:hAnsi="Times New Roman"/>
          <w:color w:val="000000" w:themeColor="text1"/>
          <w:sz w:val="16"/>
          <w:szCs w:val="16"/>
        </w:rPr>
        <w:softHyphen/>
        <w:t>сударство вынуждено было направлять усилия на создание круп</w:t>
      </w:r>
      <w:r w:rsidRPr="00A259BD">
        <w:rPr>
          <w:rFonts w:ascii="Times New Roman" w:hAnsi="Times New Roman"/>
          <w:color w:val="000000" w:themeColor="text1"/>
          <w:sz w:val="16"/>
          <w:szCs w:val="16"/>
        </w:rPr>
        <w:softHyphen/>
        <w:t xml:space="preserve">ных </w:t>
      </w:r>
      <w:proofErr w:type="spellStart"/>
      <w:r w:rsidRPr="00A259BD">
        <w:rPr>
          <w:rFonts w:ascii="Times New Roman" w:hAnsi="Times New Roman"/>
          <w:color w:val="000000" w:themeColor="text1"/>
          <w:sz w:val="16"/>
          <w:szCs w:val="16"/>
        </w:rPr>
        <w:t>мобзапасов</w:t>
      </w:r>
      <w:proofErr w:type="spellEnd"/>
      <w:r w:rsidRPr="00A259BD">
        <w:rPr>
          <w:rFonts w:ascii="Times New Roman" w:hAnsi="Times New Roman"/>
          <w:color w:val="000000" w:themeColor="text1"/>
          <w:sz w:val="16"/>
          <w:szCs w:val="16"/>
        </w:rPr>
        <w:t>, непосильных для государства. Отмечались дис</w:t>
      </w:r>
      <w:r w:rsidRPr="00A259BD">
        <w:rPr>
          <w:rFonts w:ascii="Times New Roman" w:hAnsi="Times New Roman"/>
          <w:color w:val="000000" w:themeColor="text1"/>
          <w:sz w:val="16"/>
          <w:szCs w:val="16"/>
        </w:rPr>
        <w:softHyphen/>
        <w:t>пропорции и узкие места по ряду отраслей военных производств и заводов: неразрешенность проблемы заводского ремонта и арсе</w:t>
      </w:r>
      <w:r w:rsidRPr="00A259BD">
        <w:rPr>
          <w:rFonts w:ascii="Times New Roman" w:hAnsi="Times New Roman"/>
          <w:color w:val="000000" w:themeColor="text1"/>
          <w:sz w:val="16"/>
          <w:szCs w:val="16"/>
        </w:rPr>
        <w:softHyphen/>
        <w:t xml:space="preserve">нального, </w:t>
      </w:r>
      <w:proofErr w:type="spellStart"/>
      <w:r w:rsidRPr="00A259BD">
        <w:rPr>
          <w:rFonts w:ascii="Times New Roman" w:hAnsi="Times New Roman"/>
          <w:color w:val="000000" w:themeColor="text1"/>
          <w:sz w:val="16"/>
          <w:szCs w:val="16"/>
        </w:rPr>
        <w:t>лекально</w:t>
      </w:r>
      <w:proofErr w:type="spellEnd"/>
      <w:r w:rsidRPr="00A259BD">
        <w:rPr>
          <w:rFonts w:ascii="Times New Roman" w:hAnsi="Times New Roman"/>
          <w:color w:val="000000" w:themeColor="text1"/>
          <w:sz w:val="16"/>
          <w:szCs w:val="16"/>
        </w:rPr>
        <w:t>-инструментального оборудования; перегру</w:t>
      </w:r>
      <w:r w:rsidRPr="00A259BD">
        <w:rPr>
          <w:rFonts w:ascii="Times New Roman" w:hAnsi="Times New Roman"/>
          <w:color w:val="000000" w:themeColor="text1"/>
          <w:sz w:val="16"/>
          <w:szCs w:val="16"/>
        </w:rPr>
        <w:softHyphen/>
        <w:t>женность заводов негодным станочным парком; недопустимые сроки изготовления новых опытных образцов вооружения, продол</w:t>
      </w:r>
      <w:r w:rsidRPr="00A259BD">
        <w:rPr>
          <w:rFonts w:ascii="Times New Roman" w:hAnsi="Times New Roman"/>
          <w:color w:val="000000" w:themeColor="text1"/>
          <w:sz w:val="16"/>
          <w:szCs w:val="16"/>
        </w:rPr>
        <w:softHyphen/>
        <w:t>жительное (3-4 года) их внедрение в массовое производство; уста</w:t>
      </w:r>
      <w:r w:rsidRPr="00A259BD">
        <w:rPr>
          <w:rFonts w:ascii="Times New Roman" w:hAnsi="Times New Roman"/>
          <w:color w:val="000000" w:themeColor="text1"/>
          <w:sz w:val="16"/>
          <w:szCs w:val="16"/>
        </w:rPr>
        <w:softHyphen/>
        <w:t>релые технологические процессы и упорное нежелание военной промышленности во всех ее звеньях нововведений и совершенство</w:t>
      </w:r>
      <w:r w:rsidRPr="00A259BD">
        <w:rPr>
          <w:rFonts w:ascii="Times New Roman" w:hAnsi="Times New Roman"/>
          <w:color w:val="000000" w:themeColor="text1"/>
          <w:sz w:val="16"/>
          <w:szCs w:val="16"/>
        </w:rPr>
        <w:softHyphen/>
        <w:t>вания этих процессов; недоделы, невыполнение программ по изго</w:t>
      </w:r>
      <w:r w:rsidRPr="00A259BD">
        <w:rPr>
          <w:rFonts w:ascii="Times New Roman" w:hAnsi="Times New Roman"/>
          <w:color w:val="000000" w:themeColor="text1"/>
          <w:sz w:val="16"/>
          <w:szCs w:val="16"/>
        </w:rPr>
        <w:softHyphen/>
        <w:t>товлению и обеспечению взаимозаменяемости запасных частей к предметам вооружения; крайне недостаточное использование ос</w:t>
      </w:r>
      <w:r w:rsidRPr="00A259BD">
        <w:rPr>
          <w:rFonts w:ascii="Times New Roman" w:hAnsi="Times New Roman"/>
          <w:color w:val="000000" w:themeColor="text1"/>
          <w:sz w:val="16"/>
          <w:szCs w:val="16"/>
        </w:rPr>
        <w:softHyphen/>
        <w:t>новного капитала военной промышленности для производства мирной продукции; нерациональное использование военного обо</w:t>
      </w:r>
      <w:r w:rsidRPr="00A259BD">
        <w:rPr>
          <w:rFonts w:ascii="Times New Roman" w:hAnsi="Times New Roman"/>
          <w:color w:val="000000" w:themeColor="text1"/>
          <w:sz w:val="16"/>
          <w:szCs w:val="16"/>
        </w:rPr>
        <w:softHyphen/>
        <w:t>рудования для этих целей; разбазаривание оборотных средств, ве</w:t>
      </w:r>
      <w:r w:rsidRPr="00A259BD">
        <w:rPr>
          <w:rFonts w:ascii="Times New Roman" w:hAnsi="Times New Roman"/>
          <w:color w:val="000000" w:themeColor="text1"/>
          <w:sz w:val="16"/>
          <w:szCs w:val="16"/>
        </w:rPr>
        <w:softHyphen/>
        <w:t>дущее к напряженнейшему финансовому положению и кассовым прорывам в военных трестах, надеющихся на подачки государства и не принимающих достаточных мер к упорядочению своих финан</w:t>
      </w:r>
      <w:r w:rsidRPr="00A259BD">
        <w:rPr>
          <w:rFonts w:ascii="Times New Roman" w:hAnsi="Times New Roman"/>
          <w:color w:val="000000" w:themeColor="text1"/>
          <w:sz w:val="16"/>
          <w:szCs w:val="16"/>
        </w:rPr>
        <w:softHyphen/>
        <w:t>сов; опора целиком на касту старых специалистов царской России и невнимание к вопросу подготовки новых советских кадров.</w:t>
      </w:r>
    </w:p>
    <w:p w14:paraId="36FE6669" w14:textId="77777777" w:rsidR="00954AC6" w:rsidRPr="00A259BD" w:rsidRDefault="00954AC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 это списывалось на действия “вредителей”. Теперь, гово</w:t>
      </w:r>
      <w:r w:rsidRPr="00A259BD">
        <w:rPr>
          <w:rFonts w:ascii="Times New Roman" w:hAnsi="Times New Roman"/>
          <w:color w:val="000000" w:themeColor="text1"/>
          <w:sz w:val="16"/>
          <w:szCs w:val="16"/>
        </w:rPr>
        <w:softHyphen/>
        <w:t>рилось в документе, когда установлена принадлежность боль</w:t>
      </w:r>
      <w:r w:rsidRPr="00A259BD">
        <w:rPr>
          <w:rFonts w:ascii="Times New Roman" w:hAnsi="Times New Roman"/>
          <w:color w:val="000000" w:themeColor="text1"/>
          <w:sz w:val="16"/>
          <w:szCs w:val="16"/>
        </w:rPr>
        <w:softHyphen/>
        <w:t>шинства старых специалистов к контрреволюционной организа</w:t>
      </w:r>
      <w:r w:rsidRPr="00A259BD">
        <w:rPr>
          <w:rFonts w:ascii="Times New Roman" w:hAnsi="Times New Roman"/>
          <w:color w:val="000000" w:themeColor="text1"/>
          <w:sz w:val="16"/>
          <w:szCs w:val="16"/>
        </w:rPr>
        <w:softHyphen/>
        <w:t>ции, в техническом руководстве военной промышленности сло</w:t>
      </w:r>
      <w:r w:rsidRPr="00A259BD">
        <w:rPr>
          <w:rFonts w:ascii="Times New Roman" w:hAnsi="Times New Roman"/>
          <w:color w:val="000000" w:themeColor="text1"/>
          <w:sz w:val="16"/>
          <w:szCs w:val="16"/>
        </w:rPr>
        <w:softHyphen/>
        <w:t>жилось критическое положение и создан опасный разрыв между промышленностью и потребностями обороны, что явилось следствием многолетней и систематической вредительской ра</w:t>
      </w:r>
      <w:r w:rsidRPr="00A259BD">
        <w:rPr>
          <w:rFonts w:ascii="Times New Roman" w:hAnsi="Times New Roman"/>
          <w:color w:val="000000" w:themeColor="text1"/>
          <w:sz w:val="16"/>
          <w:szCs w:val="16"/>
        </w:rPr>
        <w:softHyphen/>
        <w:t xml:space="preserve">боты в военной промышленности; отсутствия бдительности у партийного руководящего состава военной промышленности,  начиная от руководящих работников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кончая завода</w:t>
      </w:r>
      <w:r w:rsidRPr="00A259BD">
        <w:rPr>
          <w:rFonts w:ascii="Times New Roman" w:hAnsi="Times New Roman"/>
          <w:color w:val="000000" w:themeColor="text1"/>
          <w:sz w:val="16"/>
          <w:szCs w:val="16"/>
        </w:rPr>
        <w:softHyphen/>
        <w:t>ми; чрезмерного доверия к специалистам, в особенности к их вер</w:t>
      </w:r>
      <w:r w:rsidRPr="00A259BD">
        <w:rPr>
          <w:rFonts w:ascii="Times New Roman" w:hAnsi="Times New Roman"/>
          <w:color w:val="000000" w:themeColor="text1"/>
          <w:sz w:val="16"/>
          <w:szCs w:val="16"/>
        </w:rPr>
        <w:softHyphen/>
        <w:t>хушке; отсутствие со стороны руководящего коммунистическо</w:t>
      </w:r>
      <w:r w:rsidRPr="00A259BD">
        <w:rPr>
          <w:rFonts w:ascii="Times New Roman" w:hAnsi="Times New Roman"/>
          <w:color w:val="000000" w:themeColor="text1"/>
          <w:sz w:val="16"/>
          <w:szCs w:val="16"/>
        </w:rPr>
        <w:softHyphen/>
        <w:t>го состава военной промышленности даже минимального конт</w:t>
      </w:r>
      <w:r w:rsidRPr="00A259BD">
        <w:rPr>
          <w:rFonts w:ascii="Times New Roman" w:hAnsi="Times New Roman"/>
          <w:color w:val="000000" w:themeColor="text1"/>
          <w:sz w:val="16"/>
          <w:szCs w:val="16"/>
        </w:rPr>
        <w:softHyphen/>
        <w:t>роля за работой специалистов. Отмечалось, что в большинстве случаев этот руководящий состав свел свою роль по управлению промышленностью, трестами и предприятиями к голому админист</w:t>
      </w:r>
      <w:r w:rsidRPr="00A259BD">
        <w:rPr>
          <w:rFonts w:ascii="Times New Roman" w:hAnsi="Times New Roman"/>
          <w:color w:val="000000" w:themeColor="text1"/>
          <w:sz w:val="16"/>
          <w:szCs w:val="16"/>
        </w:rPr>
        <w:softHyphen/>
        <w:t>рированию на основе отчетов и докладов, представляемых ему ап</w:t>
      </w:r>
      <w:r w:rsidRPr="00A259BD">
        <w:rPr>
          <w:rFonts w:ascii="Times New Roman" w:hAnsi="Times New Roman"/>
          <w:color w:val="000000" w:themeColor="text1"/>
          <w:sz w:val="16"/>
          <w:szCs w:val="16"/>
        </w:rPr>
        <w:softHyphen/>
        <w:t>паратами, дескать, заполненными и часто руководимыми вреди</w:t>
      </w:r>
      <w:r w:rsidRPr="00A259BD">
        <w:rPr>
          <w:rFonts w:ascii="Times New Roman" w:hAnsi="Times New Roman"/>
          <w:color w:val="000000" w:themeColor="text1"/>
          <w:sz w:val="16"/>
          <w:szCs w:val="16"/>
        </w:rPr>
        <w:softHyphen/>
        <w:t>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w:t>
      </w:r>
      <w:r w:rsidRPr="00A259BD">
        <w:rPr>
          <w:rFonts w:ascii="Times New Roman" w:hAnsi="Times New Roman"/>
          <w:color w:val="000000" w:themeColor="text1"/>
          <w:sz w:val="16"/>
          <w:szCs w:val="16"/>
        </w:rPr>
        <w:softHyphen/>
        <w:t>вершенствовать систему управления и изучать производственные технологические процессы; под предлогом военной тайны (чрез</w:t>
      </w:r>
      <w:r w:rsidRPr="00A259BD">
        <w:rPr>
          <w:rFonts w:ascii="Times New Roman" w:hAnsi="Times New Roman"/>
          <w:color w:val="000000" w:themeColor="text1"/>
          <w:sz w:val="16"/>
          <w:szCs w:val="16"/>
        </w:rPr>
        <w:softHyphen/>
        <w:t>мерное засекречивание) фактически был отстранен от активного участия в организации и рационализации производства беспартий</w:t>
      </w:r>
      <w:r w:rsidRPr="00A259BD">
        <w:rPr>
          <w:rFonts w:ascii="Times New Roman" w:hAnsi="Times New Roman"/>
          <w:color w:val="000000" w:themeColor="text1"/>
          <w:sz w:val="16"/>
          <w:szCs w:val="16"/>
        </w:rPr>
        <w:softHyphen/>
        <w:t>ный и коммунистический рабочий актив на производстве.</w:t>
      </w:r>
    </w:p>
    <w:p w14:paraId="58AB8A0F" w14:textId="77777777" w:rsidR="00954AC6" w:rsidRPr="00A259BD" w:rsidRDefault="00954AC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касается успехов военной промышленности, о которых до</w:t>
      </w:r>
      <w:r w:rsidRPr="00A259BD">
        <w:rPr>
          <w:rFonts w:ascii="Times New Roman" w:hAnsi="Times New Roman"/>
          <w:color w:val="000000" w:themeColor="text1"/>
          <w:sz w:val="16"/>
          <w:szCs w:val="16"/>
        </w:rPr>
        <w:softHyphen/>
        <w:t>кладывало ВПУ, говорилось дальше, то вскрытое совместными усилиями НК РКИ и ОГПУ действительное положение в военной промышленности, оказалось ни в какой мере не соответствую</w:t>
      </w:r>
      <w:r w:rsidRPr="00A259BD">
        <w:rPr>
          <w:rFonts w:ascii="Times New Roman" w:hAnsi="Times New Roman"/>
          <w:color w:val="000000" w:themeColor="text1"/>
          <w:sz w:val="16"/>
          <w:szCs w:val="16"/>
        </w:rPr>
        <w:softHyphen/>
        <w:t>щим оптимистическому освещению со стороны руководителей военной промышленности. Некоторые достижения в области про</w:t>
      </w:r>
      <w:r w:rsidRPr="00A259BD">
        <w:rPr>
          <w:rFonts w:ascii="Times New Roman" w:hAnsi="Times New Roman"/>
          <w:color w:val="000000" w:themeColor="text1"/>
          <w:sz w:val="16"/>
          <w:szCs w:val="16"/>
        </w:rPr>
        <w:softHyphen/>
        <w:t>изводительности труда, снижения себестоимости, повышения каче</w:t>
      </w:r>
      <w:r w:rsidRPr="00A259BD">
        <w:rPr>
          <w:rFonts w:ascii="Times New Roman" w:hAnsi="Times New Roman"/>
          <w:color w:val="000000" w:themeColor="text1"/>
          <w:sz w:val="16"/>
          <w:szCs w:val="16"/>
        </w:rPr>
        <w:softHyphen/>
        <w:t>ства и количества изготовляемой продукции, внедрения некоторых новых видов производства и т.д. совершенно недостаточны ни с точки зрения вложенных в военную промышленность средств, ни с точки зрения количества времени, затраченного на эти достиже</w:t>
      </w:r>
      <w:r w:rsidRPr="00A259BD">
        <w:rPr>
          <w:rFonts w:ascii="Times New Roman" w:hAnsi="Times New Roman"/>
          <w:color w:val="000000" w:themeColor="text1"/>
          <w:sz w:val="16"/>
          <w:szCs w:val="16"/>
        </w:rPr>
        <w:softHyphen/>
        <w:t>ния. В то же время эти достижения выдвигались руководящими ра</w:t>
      </w:r>
      <w:r w:rsidRPr="00A259BD">
        <w:rPr>
          <w:rFonts w:ascii="Times New Roman" w:hAnsi="Times New Roman"/>
          <w:color w:val="000000" w:themeColor="text1"/>
          <w:sz w:val="16"/>
          <w:szCs w:val="16"/>
        </w:rPr>
        <w:softHyphen/>
        <w:t>ботниками военной промышленности в качестве показателей об</w:t>
      </w:r>
      <w:r w:rsidRPr="00A259BD">
        <w:rPr>
          <w:rFonts w:ascii="Times New Roman" w:hAnsi="Times New Roman"/>
          <w:color w:val="000000" w:themeColor="text1"/>
          <w:sz w:val="16"/>
          <w:szCs w:val="16"/>
        </w:rPr>
        <w:softHyphen/>
        <w:t>щего благополучия промышленности, что еще больше содейство</w:t>
      </w:r>
      <w:r w:rsidRPr="00A259BD">
        <w:rPr>
          <w:rFonts w:ascii="Times New Roman" w:hAnsi="Times New Roman"/>
          <w:color w:val="000000" w:themeColor="text1"/>
          <w:sz w:val="16"/>
          <w:szCs w:val="16"/>
        </w:rPr>
        <w:softHyphen/>
        <w:t>вало прикрыванию фактически тяжелого положения подготовки к обороне. Попытки исправить критическое положение, предусмот</w:t>
      </w:r>
      <w:r w:rsidRPr="00A259BD">
        <w:rPr>
          <w:rFonts w:ascii="Times New Roman" w:hAnsi="Times New Roman"/>
          <w:color w:val="000000" w:themeColor="text1"/>
          <w:sz w:val="16"/>
          <w:szCs w:val="16"/>
        </w:rPr>
        <w:softHyphen/>
        <w:t>ренные решениями Президиума ВСНХ и утвержденные РЗ СТО в плане на 1928/29 г., обнаружили, что военная промышленность оказалась не готовой к выполнению заданного ей плана капиталь</w:t>
      </w:r>
      <w:r w:rsidRPr="00A259BD">
        <w:rPr>
          <w:rFonts w:ascii="Times New Roman" w:hAnsi="Times New Roman"/>
          <w:color w:val="000000" w:themeColor="text1"/>
          <w:sz w:val="16"/>
          <w:szCs w:val="16"/>
        </w:rPr>
        <w:softHyphen/>
        <w:t>ного строительства, а в работе ее аппарата не произошло того пе</w:t>
      </w:r>
      <w:r w:rsidRPr="00A259BD">
        <w:rPr>
          <w:rFonts w:ascii="Times New Roman" w:hAnsi="Times New Roman"/>
          <w:color w:val="000000" w:themeColor="text1"/>
          <w:sz w:val="16"/>
          <w:szCs w:val="16"/>
        </w:rPr>
        <w:softHyphen/>
        <w:t>релома, который гарантировал бы срочное исправление последст</w:t>
      </w:r>
      <w:r w:rsidRPr="00A259BD">
        <w:rPr>
          <w:rFonts w:ascii="Times New Roman" w:hAnsi="Times New Roman"/>
          <w:color w:val="000000" w:themeColor="text1"/>
          <w:sz w:val="16"/>
          <w:szCs w:val="16"/>
        </w:rPr>
        <w:softHyphen/>
        <w:t>вий работы контрреволюционной организации.</w:t>
      </w:r>
    </w:p>
    <w:p w14:paraId="47DC38F7" w14:textId="77777777" w:rsidR="00954AC6" w:rsidRPr="00A259BD" w:rsidRDefault="00954AC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Исходя из этого, намечался цикл следующих мероприятий: Президиуму ЦКК предлагалось срочно рассмотреть вопрос о на</w:t>
      </w:r>
      <w:r w:rsidRPr="00A259BD">
        <w:rPr>
          <w:rFonts w:ascii="Times New Roman" w:hAnsi="Times New Roman"/>
          <w:color w:val="000000" w:themeColor="text1"/>
          <w:sz w:val="16"/>
          <w:szCs w:val="16"/>
        </w:rPr>
        <w:softHyphen/>
        <w:t>ложении взысканий и привлечении к ответственности как ны</w:t>
      </w:r>
      <w:r w:rsidRPr="00A259BD">
        <w:rPr>
          <w:rFonts w:ascii="Times New Roman" w:hAnsi="Times New Roman"/>
          <w:color w:val="000000" w:themeColor="text1"/>
          <w:sz w:val="16"/>
          <w:szCs w:val="16"/>
        </w:rPr>
        <w:softHyphen/>
        <w:t>нешнего, так и бывшего состава военной промышленности, виновного в недостаточной бдительности к многолетнему и явному вредительству и упущениях в военной промышленности, внести свои предложения в ПБ; специальной комиссии под председа</w:t>
      </w:r>
      <w:r w:rsidRPr="00A259BD">
        <w:rPr>
          <w:rFonts w:ascii="Times New Roman" w:hAnsi="Times New Roman"/>
          <w:color w:val="000000" w:themeColor="text1"/>
          <w:sz w:val="16"/>
          <w:szCs w:val="16"/>
        </w:rPr>
        <w:softHyphen/>
        <w:t xml:space="preserve">тельством </w:t>
      </w:r>
      <w:proofErr w:type="spellStart"/>
      <w:r w:rsidRPr="00A259BD">
        <w:rPr>
          <w:rFonts w:ascii="Times New Roman" w:hAnsi="Times New Roman"/>
          <w:color w:val="000000" w:themeColor="text1"/>
          <w:sz w:val="16"/>
          <w:szCs w:val="16"/>
        </w:rPr>
        <w:t>Павлуновского</w:t>
      </w:r>
      <w:proofErr w:type="spellEnd"/>
      <w:r w:rsidRPr="00A259BD">
        <w:rPr>
          <w:rFonts w:ascii="Times New Roman" w:hAnsi="Times New Roman"/>
          <w:color w:val="000000" w:themeColor="text1"/>
          <w:sz w:val="16"/>
          <w:szCs w:val="16"/>
        </w:rPr>
        <w:t>, включая представителей ЦК метал</w:t>
      </w:r>
      <w:r w:rsidRPr="00A259BD">
        <w:rPr>
          <w:rFonts w:ascii="Times New Roman" w:hAnsi="Times New Roman"/>
          <w:color w:val="000000" w:themeColor="text1"/>
          <w:sz w:val="16"/>
          <w:szCs w:val="16"/>
        </w:rPr>
        <w:softHyphen/>
        <w:t>листов и химиков в кратчайший срок произвести чистку всего личного состава военной промышленности до заводов включи</w:t>
      </w:r>
      <w:r w:rsidRPr="00A259BD">
        <w:rPr>
          <w:rFonts w:ascii="Times New Roman" w:hAnsi="Times New Roman"/>
          <w:color w:val="000000" w:themeColor="text1"/>
          <w:sz w:val="16"/>
          <w:szCs w:val="16"/>
        </w:rPr>
        <w:softHyphen/>
        <w:t>тельно·, обновить руководящий состав военной промышленно</w:t>
      </w:r>
      <w:r w:rsidRPr="00A259BD">
        <w:rPr>
          <w:rFonts w:ascii="Times New Roman" w:hAnsi="Times New Roman"/>
          <w:color w:val="000000" w:themeColor="text1"/>
          <w:sz w:val="16"/>
          <w:szCs w:val="16"/>
        </w:rPr>
        <w:softHyphen/>
        <w:t>сти, начиная с коллегии ВПУ и кончая заводами; Оргбюро ЦК ВКП(б) в месячный срок предписывалось мобилизовать для военной промышленности не менее 100 человек, преимуществен</w:t>
      </w:r>
      <w:r w:rsidRPr="00A259BD">
        <w:rPr>
          <w:rFonts w:ascii="Times New Roman" w:hAnsi="Times New Roman"/>
          <w:color w:val="000000" w:themeColor="text1"/>
          <w:sz w:val="16"/>
          <w:szCs w:val="16"/>
        </w:rPr>
        <w:softHyphen/>
        <w:t>но членов партии, опытных производственников и молодых ин</w:t>
      </w:r>
      <w:r w:rsidRPr="00A259BD">
        <w:rPr>
          <w:rFonts w:ascii="Times New Roman" w:hAnsi="Times New Roman"/>
          <w:color w:val="000000" w:themeColor="text1"/>
          <w:sz w:val="16"/>
          <w:szCs w:val="16"/>
        </w:rPr>
        <w:softHyphen/>
        <w:t>женеров. Принимая во внимание, что военная промышленность представляет собой по преимуществу высококвалифицирован</w:t>
      </w:r>
      <w:r w:rsidRPr="00A259BD">
        <w:rPr>
          <w:rFonts w:ascii="Times New Roman" w:hAnsi="Times New Roman"/>
          <w:color w:val="000000" w:themeColor="text1"/>
          <w:sz w:val="16"/>
          <w:szCs w:val="16"/>
        </w:rPr>
        <w:softHyphen/>
        <w:t>ное производство и в то же время имеет ничтожные технические кадры, в особенности после ликвидации вредительской организа</w:t>
      </w:r>
      <w:r w:rsidRPr="00A259BD">
        <w:rPr>
          <w:rFonts w:ascii="Times New Roman" w:hAnsi="Times New Roman"/>
          <w:color w:val="000000" w:themeColor="text1"/>
          <w:sz w:val="16"/>
          <w:szCs w:val="16"/>
        </w:rPr>
        <w:softHyphen/>
        <w:t>ции старых специалистов, ВСНХ надлежало, согласно докумен</w:t>
      </w:r>
      <w:r w:rsidRPr="00A259BD">
        <w:rPr>
          <w:rFonts w:ascii="Times New Roman" w:hAnsi="Times New Roman"/>
          <w:color w:val="000000" w:themeColor="text1"/>
          <w:sz w:val="16"/>
          <w:szCs w:val="16"/>
        </w:rPr>
        <w:softHyphen/>
        <w:t>ту, путем срочных и конкретных мероприятий немедленно разре</w:t>
      </w:r>
      <w:r w:rsidRPr="00A259BD">
        <w:rPr>
          <w:rFonts w:ascii="Times New Roman" w:hAnsi="Times New Roman"/>
          <w:color w:val="000000" w:themeColor="text1"/>
          <w:sz w:val="16"/>
          <w:szCs w:val="16"/>
        </w:rPr>
        <w:softHyphen/>
        <w:t>шить вопрос об усилении технических кадров военной промыш</w:t>
      </w:r>
      <w:r w:rsidRPr="00A259BD">
        <w:rPr>
          <w:rFonts w:ascii="Times New Roman" w:hAnsi="Times New Roman"/>
          <w:color w:val="000000" w:themeColor="text1"/>
          <w:sz w:val="16"/>
          <w:szCs w:val="16"/>
        </w:rPr>
        <w:softHyphen/>
        <w:t>ленности (путем переподготовки, устройства краткосрочных курсов и т.д.) и одновременно разработать план систематической подготовки для нее технического персонала.</w:t>
      </w:r>
    </w:p>
    <w:p w14:paraId="66823B90" w14:textId="77777777" w:rsidR="00954AC6" w:rsidRPr="00A259BD" w:rsidRDefault="00954AC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ВСНХ предлагалось разработать и приступить к немедленно</w:t>
      </w:r>
      <w:r w:rsidRPr="00A259BD">
        <w:rPr>
          <w:rFonts w:ascii="Times New Roman" w:hAnsi="Times New Roman"/>
          <w:color w:val="000000" w:themeColor="text1"/>
          <w:sz w:val="16"/>
          <w:szCs w:val="16"/>
        </w:rPr>
        <w:softHyphen/>
        <w:t>му осуществлению плана ликвидации последствий вредительства в военной промышленности. Особое внимание при этом обра</w:t>
      </w:r>
      <w:r w:rsidRPr="00A259BD">
        <w:rPr>
          <w:rFonts w:ascii="Times New Roman" w:hAnsi="Times New Roman"/>
          <w:color w:val="000000" w:themeColor="text1"/>
          <w:sz w:val="16"/>
          <w:szCs w:val="16"/>
        </w:rPr>
        <w:softHyphen/>
        <w:t>щалось на капитальное строительство, электро-паро-силовое хо</w:t>
      </w:r>
      <w:r w:rsidRPr="00A259BD">
        <w:rPr>
          <w:rFonts w:ascii="Times New Roman" w:hAnsi="Times New Roman"/>
          <w:color w:val="000000" w:themeColor="text1"/>
          <w:sz w:val="16"/>
          <w:szCs w:val="16"/>
        </w:rPr>
        <w:softHyphen/>
        <w:t>зяйство, лекальное и инструментальное дело, арсенальную проб</w:t>
      </w:r>
      <w:r w:rsidRPr="00A259BD">
        <w:rPr>
          <w:rFonts w:ascii="Times New Roman" w:hAnsi="Times New Roman"/>
          <w:color w:val="000000" w:themeColor="text1"/>
          <w:sz w:val="16"/>
          <w:szCs w:val="16"/>
        </w:rPr>
        <w:softHyphen/>
        <w:t>лему, изучение и совершенствование (рационализацию) техноло</w:t>
      </w:r>
      <w:r w:rsidRPr="00A259BD">
        <w:rPr>
          <w:rFonts w:ascii="Times New Roman" w:hAnsi="Times New Roman"/>
          <w:color w:val="000000" w:themeColor="text1"/>
          <w:sz w:val="16"/>
          <w:szCs w:val="16"/>
        </w:rPr>
        <w:softHyphen/>
        <w:t>гических процессов, устранение диспропорций между производ</w:t>
      </w:r>
      <w:r w:rsidRPr="00A259BD">
        <w:rPr>
          <w:rFonts w:ascii="Times New Roman" w:hAnsi="Times New Roman"/>
          <w:color w:val="000000" w:themeColor="text1"/>
          <w:sz w:val="16"/>
          <w:szCs w:val="16"/>
        </w:rPr>
        <w:softHyphen/>
        <w:t>ствами и цехами и т.п. Ставилась задача уже в 1929/30 г. добить</w:t>
      </w:r>
      <w:r w:rsidRPr="00A259BD">
        <w:rPr>
          <w:rFonts w:ascii="Times New Roman" w:hAnsi="Times New Roman"/>
          <w:color w:val="000000" w:themeColor="text1"/>
          <w:sz w:val="16"/>
          <w:szCs w:val="16"/>
        </w:rPr>
        <w:softHyphen/>
        <w:t>ся устранения указанных последствий вредительства и создания здоровой производственной обстановки на заводах и в трестах. При разработке программы ликвидации последствий вредитель</w:t>
      </w:r>
      <w:r w:rsidRPr="00A259BD">
        <w:rPr>
          <w:rFonts w:ascii="Times New Roman" w:hAnsi="Times New Roman"/>
          <w:color w:val="000000" w:themeColor="text1"/>
          <w:sz w:val="16"/>
          <w:szCs w:val="16"/>
        </w:rPr>
        <w:softHyphen/>
        <w:t>ства предписывалось использовать все имеющиеся материалы, конкретно изучать каждый объект вредительства в отдельности и широко привлекать к этой работе все предприятия, которые были охвачены вредительством.</w:t>
      </w:r>
    </w:p>
    <w:p w14:paraId="2D33E95E" w14:textId="77777777" w:rsidR="00954AC6" w:rsidRPr="00A259BD" w:rsidRDefault="00954AC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Успешное разрешение громадной проблемы технического оснащения Красной армии и, в частности, своевременное осуще</w:t>
      </w:r>
      <w:r w:rsidRPr="00A259BD">
        <w:rPr>
          <w:rFonts w:ascii="Times New Roman" w:hAnsi="Times New Roman"/>
          <w:color w:val="000000" w:themeColor="text1"/>
          <w:sz w:val="16"/>
          <w:szCs w:val="16"/>
        </w:rPr>
        <w:softHyphen/>
        <w:t>ствление одобренных ПБ мероприятий по артиллерийскому, тан</w:t>
      </w:r>
      <w:r w:rsidRPr="00A259BD">
        <w:rPr>
          <w:rFonts w:ascii="Times New Roman" w:hAnsi="Times New Roman"/>
          <w:color w:val="000000" w:themeColor="text1"/>
          <w:sz w:val="16"/>
          <w:szCs w:val="16"/>
        </w:rPr>
        <w:softHyphen/>
        <w:t>ковому, авиационному, химическому перевооружению по пяти</w:t>
      </w:r>
      <w:r w:rsidRPr="00A259BD">
        <w:rPr>
          <w:rFonts w:ascii="Times New Roman" w:hAnsi="Times New Roman"/>
          <w:color w:val="000000" w:themeColor="text1"/>
          <w:sz w:val="16"/>
          <w:szCs w:val="16"/>
        </w:rPr>
        <w:softHyphen/>
        <w:t>летнему плану, указывалось в постановлении, возможно только при условии 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w:t>
      </w:r>
      <w:r w:rsidRPr="00A259BD">
        <w:rPr>
          <w:rFonts w:ascii="Times New Roman" w:hAnsi="Times New Roman"/>
          <w:color w:val="000000" w:themeColor="text1"/>
          <w:sz w:val="16"/>
          <w:szCs w:val="16"/>
        </w:rPr>
        <w:softHyphen/>
        <w:t>ной технической помощи. Исходя из этого, ВСНХ предлагалось немедленно усилить существующие конструкторские и техниче</w:t>
      </w:r>
      <w:r w:rsidRPr="00A259BD">
        <w:rPr>
          <w:rFonts w:ascii="Times New Roman" w:hAnsi="Times New Roman"/>
          <w:color w:val="000000" w:themeColor="text1"/>
          <w:sz w:val="16"/>
          <w:szCs w:val="16"/>
        </w:rPr>
        <w:softHyphen/>
        <w:t>ские бюро на заводах опытными специалистами, организовать их там, где они отсутствуют, и привлечь техническую помощь из-за границы. Особое внимание должно быть обращено на артилле</w:t>
      </w:r>
      <w:r w:rsidRPr="00A259BD">
        <w:rPr>
          <w:rFonts w:ascii="Times New Roman" w:hAnsi="Times New Roman"/>
          <w:color w:val="000000" w:themeColor="text1"/>
          <w:sz w:val="16"/>
          <w:szCs w:val="16"/>
        </w:rPr>
        <w:softHyphen/>
        <w:t>рийское, авиационное и химическое дело.</w:t>
      </w:r>
    </w:p>
    <w:p w14:paraId="3B8C7DC3" w14:textId="77777777" w:rsidR="00954AC6" w:rsidRPr="00A259BD" w:rsidRDefault="00954AC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Вторым условием успешного осуществления плана техниче</w:t>
      </w:r>
      <w:r w:rsidRPr="00A259BD">
        <w:rPr>
          <w:rFonts w:ascii="Times New Roman" w:hAnsi="Times New Roman"/>
          <w:color w:val="000000" w:themeColor="text1"/>
          <w:sz w:val="16"/>
          <w:szCs w:val="16"/>
        </w:rPr>
        <w:softHyphen/>
        <w:t>ского перевооружения Красной армии провозглашалось быстрое изготовление опытных образцов нового оружия и организации массового их производства. ВСНХ, совместно с НКВМ, должен был добиться во что бы то ни стало самых минимальных сроков в изготовлении опытных образцов, испытании и проверке их и вне</w:t>
      </w:r>
      <w:r w:rsidRPr="00A259BD">
        <w:rPr>
          <w:rFonts w:ascii="Times New Roman" w:hAnsi="Times New Roman"/>
          <w:color w:val="000000" w:themeColor="text1"/>
          <w:sz w:val="16"/>
          <w:szCs w:val="16"/>
        </w:rPr>
        <w:softHyphen/>
        <w:t xml:space="preserve">дрения в массовое производство. Отмечая недостаточную загрузку военных заводов военными заказами, ВСНХ, в целях сокращения сроков </w:t>
      </w:r>
      <w:proofErr w:type="spellStart"/>
      <w:r w:rsidRPr="00A259BD">
        <w:rPr>
          <w:rFonts w:ascii="Times New Roman" w:hAnsi="Times New Roman"/>
          <w:color w:val="000000" w:themeColor="text1"/>
          <w:sz w:val="16"/>
          <w:szCs w:val="16"/>
        </w:rPr>
        <w:t>мобразвертывания</w:t>
      </w:r>
      <w:proofErr w:type="spellEnd"/>
      <w:r w:rsidRPr="00A259BD">
        <w:rPr>
          <w:rFonts w:ascii="Times New Roman" w:hAnsi="Times New Roman"/>
          <w:color w:val="000000" w:themeColor="text1"/>
          <w:sz w:val="16"/>
          <w:szCs w:val="16"/>
        </w:rPr>
        <w:t xml:space="preserve"> военных заводов и максимального использования основного капитала военной промышленности, РЗ СТО предлагал в двухмесячный срок поднять темп загрузки военных заводов мирной продукцией до максимальных пределов. ВСНХ надлежало принять меры по оздоровлению оборотных средств военной промышленности, а РЗ СТО в срочном порядке рассмотреть вопрос о смягчении финансового напряжения, по</w:t>
      </w:r>
      <w:r w:rsidRPr="00A259BD">
        <w:rPr>
          <w:rFonts w:ascii="Times New Roman" w:hAnsi="Times New Roman"/>
          <w:color w:val="000000" w:themeColor="text1"/>
          <w:sz w:val="16"/>
          <w:szCs w:val="16"/>
        </w:rPr>
        <w:softHyphen/>
        <w:t>крыть кассовые прорывы в Орудийно-арсенальном и Авиацион</w:t>
      </w:r>
      <w:r w:rsidRPr="00A259BD">
        <w:rPr>
          <w:rFonts w:ascii="Times New Roman" w:hAnsi="Times New Roman"/>
          <w:color w:val="000000" w:themeColor="text1"/>
          <w:sz w:val="16"/>
          <w:szCs w:val="16"/>
        </w:rPr>
        <w:softHyphen/>
        <w:t>ном трестах, исключить повторение подобных явлений.</w:t>
      </w:r>
    </w:p>
    <w:p w14:paraId="17C167AD" w14:textId="77777777" w:rsidR="00954AC6" w:rsidRPr="00A259BD" w:rsidRDefault="00954AC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РЗ СТО предлагалось рассмотреть вопрос о ценах на постав</w:t>
      </w:r>
      <w:r w:rsidRPr="00A259BD">
        <w:rPr>
          <w:rFonts w:ascii="Times New Roman" w:hAnsi="Times New Roman"/>
          <w:color w:val="000000" w:themeColor="text1"/>
          <w:sz w:val="16"/>
          <w:szCs w:val="16"/>
        </w:rPr>
        <w:softHyphen/>
        <w:t xml:space="preserve">ляемую </w:t>
      </w:r>
      <w:proofErr w:type="spellStart"/>
      <w:r w:rsidRPr="00A259BD">
        <w:rPr>
          <w:rFonts w:ascii="Times New Roman" w:hAnsi="Times New Roman"/>
          <w:color w:val="000000" w:themeColor="text1"/>
          <w:sz w:val="16"/>
          <w:szCs w:val="16"/>
        </w:rPr>
        <w:t>Военведу</w:t>
      </w:r>
      <w:proofErr w:type="spellEnd"/>
      <w:r w:rsidRPr="00A259BD">
        <w:rPr>
          <w:rFonts w:ascii="Times New Roman" w:hAnsi="Times New Roman"/>
          <w:color w:val="000000" w:themeColor="text1"/>
          <w:sz w:val="16"/>
          <w:szCs w:val="16"/>
        </w:rPr>
        <w:t xml:space="preserve"> продукцию под углом необходимого их сниже</w:t>
      </w:r>
      <w:r w:rsidRPr="00A259BD">
        <w:rPr>
          <w:rFonts w:ascii="Times New Roman" w:hAnsi="Times New Roman"/>
          <w:color w:val="000000" w:themeColor="text1"/>
          <w:sz w:val="16"/>
          <w:szCs w:val="16"/>
        </w:rPr>
        <w:softHyphen/>
        <w:t>ния, установив одновременно твердые расчетные цены по всем предметам вооружения, допуская ориентировочные цены как исключение для вновь устанавливаемых производств, и то толь</w:t>
      </w:r>
      <w:r w:rsidRPr="00A259BD">
        <w:rPr>
          <w:rFonts w:ascii="Times New Roman" w:hAnsi="Times New Roman"/>
          <w:color w:val="000000" w:themeColor="text1"/>
          <w:sz w:val="16"/>
          <w:szCs w:val="16"/>
        </w:rPr>
        <w:softHyphen/>
        <w:t xml:space="preserve">ко для первого </w:t>
      </w:r>
      <w:r w:rsidRPr="00A259BD">
        <w:rPr>
          <w:rFonts w:ascii="Times New Roman" w:hAnsi="Times New Roman"/>
          <w:color w:val="000000" w:themeColor="text1"/>
          <w:sz w:val="16"/>
          <w:szCs w:val="16"/>
        </w:rPr>
        <w:lastRenderedPageBreak/>
        <w:t>периода. НКВМ, ОГПУ и ВСНХ должны были пересмотреть существующий порядок секретности на военных заводах с тем, чтобы было обеспечено максимальное участие ра</w:t>
      </w:r>
      <w:r w:rsidRPr="00A259BD">
        <w:rPr>
          <w:rFonts w:ascii="Times New Roman" w:hAnsi="Times New Roman"/>
          <w:color w:val="000000" w:themeColor="text1"/>
          <w:sz w:val="16"/>
          <w:szCs w:val="16"/>
        </w:rPr>
        <w:softHyphen/>
        <w:t>бочих в контроле над производством и в то же время сохранена военная тайна (18293).</w:t>
      </w:r>
    </w:p>
    <w:p w14:paraId="71B31669" w14:textId="77777777" w:rsidR="00954AC6" w:rsidRPr="00A259BD" w:rsidRDefault="00954AC6" w:rsidP="009236E3">
      <w:pPr>
        <w:spacing w:after="0" w:line="240" w:lineRule="auto"/>
        <w:jc w:val="both"/>
        <w:rPr>
          <w:rFonts w:ascii="Times New Roman" w:hAnsi="Times New Roman"/>
          <w:color w:val="000000" w:themeColor="text1"/>
          <w:sz w:val="16"/>
          <w:szCs w:val="16"/>
        </w:rPr>
      </w:pPr>
    </w:p>
    <w:p w14:paraId="7E6FADAE" w14:textId="77777777" w:rsidR="00954AC6" w:rsidRPr="00A259BD" w:rsidRDefault="00954AC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июле 1929 г. ЦАГИ получил заказ на создание катера Г-5. Трудности с комплектацией катера </w:t>
      </w:r>
      <w:proofErr w:type="spellStart"/>
      <w:r w:rsidRPr="00A259BD">
        <w:rPr>
          <w:rFonts w:ascii="Times New Roman" w:hAnsi="Times New Roman"/>
          <w:color w:val="000000" w:themeColor="text1"/>
          <w:sz w:val="16"/>
          <w:szCs w:val="16"/>
        </w:rPr>
        <w:t>оборудова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нием</w:t>
      </w:r>
      <w:proofErr w:type="spellEnd"/>
      <w:r w:rsidRPr="00A259BD">
        <w:rPr>
          <w:rFonts w:ascii="Times New Roman" w:hAnsi="Times New Roman"/>
          <w:color w:val="000000" w:themeColor="text1"/>
          <w:sz w:val="16"/>
          <w:szCs w:val="16"/>
        </w:rPr>
        <w:t xml:space="preserve"> и моторами привели к тому, что его заводские испытания закончились только в ноябре 1933 г. 1 </w:t>
      </w:r>
      <w:proofErr w:type="spellStart"/>
      <w:r w:rsidRPr="00A259BD">
        <w:rPr>
          <w:rFonts w:ascii="Times New Roman" w:hAnsi="Times New Roman"/>
          <w:color w:val="000000" w:themeColor="text1"/>
          <w:sz w:val="16"/>
          <w:szCs w:val="16"/>
        </w:rPr>
        <w:t>ав</w:t>
      </w:r>
      <w:proofErr w:type="spellEnd"/>
      <w:r w:rsidRPr="00A259BD">
        <w:rPr>
          <w:rFonts w:ascii="Times New Roman" w:hAnsi="Times New Roman"/>
          <w:color w:val="000000" w:themeColor="text1"/>
          <w:sz w:val="16"/>
          <w:szCs w:val="16"/>
        </w:rPr>
        <w:t xml:space="preserve"> густа 1934 г. был подписан акт сдачи катера Г-5 бригаде торпедных катеров, в тот же год все трофейные торпедные катера были сданы на слом. В августе 1934 г. на опытном катере ГАНТ-5 начались эксперименты по замеру перегрузок, которые продолжались несколько лет. Полученные результаты позволили скорректировать нормы расчетных нагрузок при проектировании торпедных катеров. В начале сентября 1936 г. завершили работы по испытаниям моделей катеров Г-5 в гидроканале. Их результаты позволили сделать вывод, что можно достичь скорости 50 узлов, изменив обводы катера. Практически это означало необходимость создания нового катера и моряки на это не пошли, продолжая строить катера с прежними обводами. Свое боевое крещение катера Г-5 получили в Испании (базируясь в бухте </w:t>
      </w:r>
      <w:proofErr w:type="spellStart"/>
      <w:r w:rsidRPr="00A259BD">
        <w:rPr>
          <w:rFonts w:ascii="Times New Roman" w:hAnsi="Times New Roman"/>
          <w:color w:val="000000" w:themeColor="text1"/>
          <w:sz w:val="16"/>
          <w:szCs w:val="16"/>
        </w:rPr>
        <w:t>Порман</w:t>
      </w:r>
      <w:proofErr w:type="spellEnd"/>
      <w:r w:rsidRPr="00A259BD">
        <w:rPr>
          <w:rFonts w:ascii="Times New Roman" w:hAnsi="Times New Roman"/>
          <w:color w:val="000000" w:themeColor="text1"/>
          <w:sz w:val="16"/>
          <w:szCs w:val="16"/>
        </w:rPr>
        <w:t xml:space="preserve"> близ Картахены), затем были озеро Хасан. В ЭГО ЦАГИ прошли комплексные исследования и испытания модели всех отечественных гидросамолетов того периода. В их числе сложные экспериментальные исследования удара гидросамолета о воду при посадке. В это же время были проведены физические исследования по глиссированию на схематизированных моделях, широко развернулись теоретические исследования, под руководством </w:t>
      </w:r>
      <w:proofErr w:type="spellStart"/>
      <w:r w:rsidRPr="00A259BD">
        <w:rPr>
          <w:rFonts w:ascii="Times New Roman" w:hAnsi="Times New Roman"/>
          <w:color w:val="000000" w:themeColor="text1"/>
          <w:sz w:val="16"/>
          <w:szCs w:val="16"/>
        </w:rPr>
        <w:t>С.А.Чаплыгина</w:t>
      </w:r>
      <w:proofErr w:type="spellEnd"/>
      <w:r w:rsidRPr="00A259BD">
        <w:rPr>
          <w:rFonts w:ascii="Times New Roman" w:hAnsi="Times New Roman"/>
          <w:color w:val="000000" w:themeColor="text1"/>
          <w:sz w:val="16"/>
          <w:szCs w:val="16"/>
        </w:rPr>
        <w:t xml:space="preserve"> были решены задачи глиссирования плоской пластинки и глиссирования пластинки по поверхности тяжелой жидкости (19727).</w:t>
      </w:r>
    </w:p>
    <w:p w14:paraId="1D66F003" w14:textId="77777777" w:rsidR="00954AC6" w:rsidRPr="00A259BD" w:rsidRDefault="00954AC6" w:rsidP="009236E3">
      <w:pPr>
        <w:spacing w:after="0" w:line="240" w:lineRule="auto"/>
        <w:jc w:val="both"/>
        <w:rPr>
          <w:rFonts w:ascii="Times New Roman" w:hAnsi="Times New Roman"/>
          <w:color w:val="000000" w:themeColor="text1"/>
          <w:sz w:val="16"/>
          <w:szCs w:val="16"/>
        </w:rPr>
      </w:pPr>
    </w:p>
    <w:p w14:paraId="11126A0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0A7B28B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49F57B" w14:textId="77777777" w:rsidR="00506E16" w:rsidRPr="00A259BD" w:rsidRDefault="00506E16"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76" w:name="_Hlk91399519"/>
      <w:r w:rsidRPr="00A259BD">
        <w:rPr>
          <w:rFonts w:ascii="Times New Roman" w:eastAsia="Times New Roman" w:hAnsi="Times New Roman"/>
          <w:color w:val="000000" w:themeColor="text1"/>
          <w:sz w:val="16"/>
          <w:szCs w:val="16"/>
          <w:lang w:eastAsia="ru-RU"/>
        </w:rPr>
        <w:t>Июльское 1929 решение РВСС предписывало Штабу в трехмесячный срок подготовить уточненный пятилетний план строительства РККА для последующего рассмотрения Реввоенсоветом. (На деле исполнение этого поручения поглотило почти девять месяцев, а окончательно план был утвержден лишь в январе 1931 г.) Одновременно приближался к концу срок действующего плана мобилизационного развертывания вооруженных сил № 8 (до 1 мая 1930 г.), и в штабах всех уровней ожидали директив Москвы но разработке расписания № 10 (22725).</w:t>
      </w:r>
    </w:p>
    <w:p w14:paraId="055B4CAC" w14:textId="77777777" w:rsidR="00506E16" w:rsidRPr="00A259BD" w:rsidRDefault="00506E16" w:rsidP="009236E3">
      <w:pPr>
        <w:spacing w:after="0" w:line="240" w:lineRule="auto"/>
        <w:jc w:val="both"/>
        <w:rPr>
          <w:rFonts w:ascii="Times New Roman" w:hAnsi="Times New Roman"/>
          <w:color w:val="000000" w:themeColor="text1"/>
          <w:sz w:val="16"/>
          <w:szCs w:val="16"/>
        </w:rPr>
      </w:pPr>
    </w:p>
    <w:bookmarkEnd w:id="76"/>
    <w:p w14:paraId="31D61D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июле 1929г. было решено поставить на вооружение армии 3500 танков трех типов (Подробней см : Рыжаков А. К вопросу о строительстве бронетанковых войск Красной Армии в 30-е годы. Военно-исторический журнал, № 8,1968, с. 105-108.). Этот план не случайно совпал с первой 5-леткой, которая по существу имела ярко выраженный военно-оборонительный характер и была направлена на создание мощной военно-промышленной базы и хорошо вооруженной, боеспособной армии. В мае 1929 г. V Всесоюзный съезд Советов утвердил первый 5-летний план развития народного хозяйства. В мае 1929 г. РВС разработал 5-летнюю программу артиллерийского перевооружения РККА. Она предусматривала увеличение огневой мощи, дальнобойности, скорострельное и меткости орудий, создание крупных артиллерийских конструкторских бюро (КБ), заложены </w:t>
      </w:r>
      <w:proofErr w:type="spellStart"/>
      <w:r w:rsidRPr="00A259BD">
        <w:rPr>
          <w:rFonts w:ascii="Times New Roman" w:hAnsi="Times New Roman"/>
          <w:color w:val="000000" w:themeColor="text1"/>
          <w:sz w:val="16"/>
          <w:szCs w:val="16"/>
        </w:rPr>
        <w:t>артзаводы</w:t>
      </w:r>
      <w:proofErr w:type="spellEnd"/>
      <w:r w:rsidRPr="00A259BD">
        <w:rPr>
          <w:rFonts w:ascii="Times New Roman" w:hAnsi="Times New Roman"/>
          <w:color w:val="000000" w:themeColor="text1"/>
          <w:sz w:val="16"/>
          <w:szCs w:val="16"/>
        </w:rPr>
        <w:t xml:space="preserve"> (Советские Вооруженные Силы. С. 188.) (11784).</w:t>
      </w:r>
    </w:p>
    <w:p w14:paraId="7E2EA9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F1C0E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июле 1929 г. была учреждена должность начальника вооружений РККА, на которого возлагалось руководство всеми вопросами перевооружения армии. Этот пост в 1929 — 1931 гг. занимал Уборевич, в 1931 — 1932 гг. — Тухачевский. В ноябре 1929 г. было создано уже упоминавшееся Управление механизации и моторизации (УММ) РККА. Организация УММ была чрезвычайно важна, поскольку до 1929 г. в СССР не было танкового производства и необходимых кадров конструкторов-танкостроителей. Становлению этого направления способствовали энтузиасты танкового дела И. А.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и К. Б. Калиновский.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возглавлял УММ вплоть до 1934 г. Специальным постановлением РВС СССР было предусмотрено создание различных типов танков: танкетка, средний, большой (тяжелый) и мостовой танки, а также их тактико-технические характеристики. 23 января 1930 к РВС утвердил программу создания различных видов самолетов (в том числе гидросамолетов), аэростатов, аэрофотоаппаратов и приборов на первую 5-летку, причем главное внимание было уделено бомбардировочной и истребительной авиации (Советские Вооруженные Силы. История строительства. М., 1978, с. 182,185; КПСС —организатор защиты социалистического Отечества. М., 1977. С. 163-164.). Особое внимание было уделено увеличению численности инженерно-технических кадров старшего звена. Для этого на базе военной академии им. Фрунзе был создан ряд специализированных военных академий (Военно-техническая, Артиллерийская, Военно-химическая, Военно-инженерная и др. ). Это позволило увеличить число слушателей с 3200 в 1928 г. до 16,5 тыс. в 1932 г. В январе 1931 г. РВС уточнил план строительства РККА на 1931 — 1933 гг., завершив тем самым процесс разработки первого 5-летнего плана военного строительства. В 1933 г. была начата разработка второго 5-летнего плана строительства РККА на 1934 — 1938гг., направленного на завершение начавшегося технического перевооружения РККА. СТО принял тогда постановления «О программе военно-морского строительства на 1933 — 1938гг. », «О системе артиллерийского вооружения РККА на вторую пятилетку», позднее утвердил план развития ВВС на 1935-1937 гг. (Жуков Г. К. Воспоминания и размышления. В трех томах. М.,1990. Т. 1.С. 174-178.). Вся страна постепенно превращалась в военный лагерь. И безобидная на первый взгляд закупка за рубежом партии сукна защитного цвета и медикаментов превращалась в акцию по повышению обороноспособности и выживаемости советского строя в условиях капиталистического окружения. Параллельно схожие процессы происходили в Германии. Там в недрах военного министерства был подготовлен мобилизационный план на случай военных действий (т. наз. «А-план»), предусматривавший наличие 300-тысячного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(21-я дивизия). С учетом ограниченных средств военного бюджета вооружение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должно было проводиться в два этапа (1928 — 1932гг. и 1933 — 1938гг. ). Осенью 1928г. правительство одобрило первую программу вооружений, выделив на оснащение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250 млн. м. Еще 80 млн. м. было выделено на развитие «</w:t>
      </w:r>
      <w:proofErr w:type="spellStart"/>
      <w:r w:rsidRPr="00A259BD">
        <w:rPr>
          <w:rFonts w:ascii="Times New Roman" w:hAnsi="Times New Roman"/>
          <w:color w:val="000000" w:themeColor="text1"/>
          <w:sz w:val="16"/>
          <w:szCs w:val="16"/>
        </w:rPr>
        <w:t>райхсмарине</w:t>
      </w:r>
      <w:proofErr w:type="spellEnd"/>
      <w:r w:rsidRPr="00A259BD">
        <w:rPr>
          <w:rFonts w:ascii="Times New Roman" w:hAnsi="Times New Roman"/>
          <w:color w:val="000000" w:themeColor="text1"/>
          <w:sz w:val="16"/>
          <w:szCs w:val="16"/>
        </w:rPr>
        <w:t>». Главной целью программы было создание соответствующих прототипов современных самолетов и танков. Начатая в 1926 г. работа уже к 1929 — 1930гг. дала первые плоды: фирмы «Крупп»,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xml:space="preserve">», «Даймлер-Бенц» подготовили модели тяжелого и легкого танков. Вряд ли возможно до конца выявить все отдельные контракты и сделки, заключенные советскими внешнеторговыми организациями, специализированными объединениями и трестами с немецкими фирмами, а также их филиалами в третьих странах, равно как и выявить все несостоявшиеся контракты, несостоявшиеся в силу того, что фирмы, по совету представителей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показывали и давали советским представителям сразу столько, что заключение контракта после этого становилось попросту ненужным. Опыт взаимодействия с небольшими предприятиями (теми же «Юнкерсом», «</w:t>
      </w:r>
      <w:proofErr w:type="spellStart"/>
      <w:r w:rsidRPr="00A259BD">
        <w:rPr>
          <w:rFonts w:ascii="Times New Roman" w:hAnsi="Times New Roman"/>
          <w:color w:val="000000" w:themeColor="text1"/>
          <w:sz w:val="16"/>
          <w:szCs w:val="16"/>
        </w:rPr>
        <w:t>Штольценбергом</w:t>
      </w:r>
      <w:proofErr w:type="spellEnd"/>
      <w:r w:rsidRPr="00A259BD">
        <w:rPr>
          <w:rFonts w:ascii="Times New Roman" w:hAnsi="Times New Roman"/>
          <w:color w:val="000000" w:themeColor="text1"/>
          <w:sz w:val="16"/>
          <w:szCs w:val="16"/>
        </w:rPr>
        <w:t>» и др. ) оказался чрезвычайно полезным для советского военно-промышленного комплекса, переживавшего тогда стадию становления. Он показал, что с малыми и средними зарубежными предприятиями, — если умело составить договор (без упоминаний о третейском суде и арбитраже, гарантии инвестиций, получения прибылей и т. д. ) и использовать международную ситуацию, а то и открыто использовать такое действенное средство как политический шантаж руководителей почти союзной державы, — то можно было не только получить оборудование, обучить работников использовать его, но и, обвинив своих партнеров «в преступной халатности», «вредительстве» и прочих грехах, обобрать и разорить, вынудив их затем долгие годы восстанавливать свою репутацию (11784).</w:t>
      </w:r>
    </w:p>
    <w:p w14:paraId="525288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58D449" w14:textId="77777777" w:rsidR="00506E16" w:rsidRPr="00A259BD" w:rsidRDefault="00506E1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июле - августе 1929 </w:t>
      </w:r>
      <w:proofErr w:type="spellStart"/>
      <w:r w:rsidRPr="00A259BD">
        <w:rPr>
          <w:rFonts w:ascii="Times New Roman" w:hAnsi="Times New Roman"/>
          <w:color w:val="000000" w:themeColor="text1"/>
          <w:sz w:val="16"/>
          <w:szCs w:val="16"/>
        </w:rPr>
        <w:t>Кальвиц</w:t>
      </w:r>
      <w:proofErr w:type="spellEnd"/>
      <w:r w:rsidRPr="00A259BD">
        <w:rPr>
          <w:rFonts w:ascii="Times New Roman" w:hAnsi="Times New Roman"/>
          <w:color w:val="000000" w:themeColor="text1"/>
          <w:sz w:val="16"/>
          <w:szCs w:val="16"/>
        </w:rPr>
        <w:t xml:space="preserve"> совершил перелёт по маршруту Владивосток - бухта Лаврентия - остров Врангеля - </w:t>
      </w:r>
      <w:proofErr w:type="spellStart"/>
      <w:r w:rsidRPr="00A259BD">
        <w:rPr>
          <w:rFonts w:ascii="Times New Roman" w:hAnsi="Times New Roman"/>
          <w:color w:val="000000" w:themeColor="text1"/>
          <w:sz w:val="16"/>
          <w:szCs w:val="16"/>
        </w:rPr>
        <w:t>Булун</w:t>
      </w:r>
      <w:proofErr w:type="spellEnd"/>
      <w:r w:rsidRPr="00A259BD">
        <w:rPr>
          <w:rFonts w:ascii="Times New Roman" w:hAnsi="Times New Roman"/>
          <w:color w:val="000000" w:themeColor="text1"/>
          <w:sz w:val="16"/>
          <w:szCs w:val="16"/>
        </w:rPr>
        <w:t xml:space="preserve"> (на реке Лена) протяжённостью 5450 км. Целями перелёта было исследование возможности вывоза по воздуху пушнины, заготовляемой факториями </w:t>
      </w:r>
      <w:proofErr w:type="spellStart"/>
      <w:r w:rsidRPr="00A259BD">
        <w:rPr>
          <w:rFonts w:ascii="Times New Roman" w:hAnsi="Times New Roman"/>
          <w:color w:val="000000" w:themeColor="text1"/>
          <w:sz w:val="16"/>
          <w:szCs w:val="16"/>
        </w:rPr>
        <w:t>Госторга</w:t>
      </w:r>
      <w:proofErr w:type="spellEnd"/>
      <w:r w:rsidRPr="00A259BD">
        <w:rPr>
          <w:rFonts w:ascii="Times New Roman" w:hAnsi="Times New Roman"/>
          <w:color w:val="000000" w:themeColor="text1"/>
          <w:sz w:val="16"/>
          <w:szCs w:val="16"/>
        </w:rPr>
        <w:t xml:space="preserve"> (21432). </w:t>
      </w:r>
    </w:p>
    <w:p w14:paraId="05D4D70E" w14:textId="77777777" w:rsidR="00506E16" w:rsidRPr="00A259BD" w:rsidRDefault="00506E16" w:rsidP="009236E3">
      <w:pPr>
        <w:spacing w:after="0" w:line="240" w:lineRule="auto"/>
        <w:jc w:val="both"/>
        <w:rPr>
          <w:rFonts w:ascii="Times New Roman" w:hAnsi="Times New Roman"/>
          <w:color w:val="000000" w:themeColor="text1"/>
          <w:sz w:val="16"/>
          <w:szCs w:val="16"/>
        </w:rPr>
      </w:pPr>
    </w:p>
    <w:p w14:paraId="435E546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14DA103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AC41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июле 1929 Амторг заключил договор с Caterpillar </w:t>
      </w:r>
      <w:proofErr w:type="spellStart"/>
      <w:r w:rsidRPr="00A259BD">
        <w:rPr>
          <w:rFonts w:ascii="Times New Roman" w:hAnsi="Times New Roman"/>
          <w:color w:val="000000" w:themeColor="text1"/>
          <w:sz w:val="16"/>
          <w:szCs w:val="16"/>
        </w:rPr>
        <w:t>Tractor</w:t>
      </w:r>
      <w:proofErr w:type="spellEnd"/>
      <w:r w:rsidRPr="00A259BD">
        <w:rPr>
          <w:rFonts w:ascii="Times New Roman" w:hAnsi="Times New Roman"/>
          <w:color w:val="000000" w:themeColor="text1"/>
          <w:sz w:val="16"/>
          <w:szCs w:val="16"/>
        </w:rPr>
        <w:t xml:space="preserve"> Co. закупили 960 тракторов (4347).</w:t>
      </w:r>
    </w:p>
    <w:p w14:paraId="475034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AF917C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71135FF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54E1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июле 1929 г. губернатор Манчжурии Чжан </w:t>
      </w:r>
      <w:proofErr w:type="spellStart"/>
      <w:r w:rsidRPr="00A259BD">
        <w:rPr>
          <w:rFonts w:ascii="Times New Roman" w:hAnsi="Times New Roman"/>
          <w:color w:val="000000" w:themeColor="text1"/>
          <w:sz w:val="16"/>
          <w:szCs w:val="16"/>
        </w:rPr>
        <w:t>Сюэлян</w:t>
      </w:r>
      <w:proofErr w:type="spellEnd"/>
      <w:r w:rsidRPr="00A259BD">
        <w:rPr>
          <w:rFonts w:ascii="Times New Roman" w:hAnsi="Times New Roman"/>
          <w:color w:val="000000" w:themeColor="text1"/>
          <w:sz w:val="16"/>
          <w:szCs w:val="16"/>
        </w:rPr>
        <w:t xml:space="preserve"> по согласованию с Чан Кайши объявил о национализации принадлежавшей Советскому Союзу Китайско-Восточную железной дороги (3871).</w:t>
      </w:r>
    </w:p>
    <w:p w14:paraId="466CAD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71687A2" w14:textId="33CA6588" w:rsidR="000A7E7E" w:rsidRDefault="000A7E7E" w:rsidP="009236E3">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6060F4CA" w14:textId="77777777" w:rsidR="000A7E7E" w:rsidRDefault="000A7E7E" w:rsidP="009236E3">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p>
    <w:p w14:paraId="029BD01D" w14:textId="77777777" w:rsidR="000A7E7E" w:rsidRPr="00441F34" w:rsidRDefault="000A7E7E" w:rsidP="000A7E7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июле 1929 журналист Вилли Лей подал руководству УФА идею: пусть </w:t>
      </w:r>
      <w:proofErr w:type="spellStart"/>
      <w:r w:rsidRPr="00441F34">
        <w:rPr>
          <w:rFonts w:ascii="Times New Roman" w:hAnsi="Times New Roman"/>
          <w:color w:val="0070C0"/>
          <w:sz w:val="16"/>
          <w:szCs w:val="16"/>
        </w:rPr>
        <w:t>Оберт</w:t>
      </w:r>
      <w:proofErr w:type="spellEnd"/>
      <w:r w:rsidRPr="00441F34">
        <w:rPr>
          <w:rFonts w:ascii="Times New Roman" w:hAnsi="Times New Roman"/>
          <w:color w:val="0070C0"/>
          <w:sz w:val="16"/>
          <w:szCs w:val="16"/>
        </w:rPr>
        <w:t xml:space="preserve"> построит настоящую ракету и  запустит её перед премьерой фильма. Запуск, снятый на кинопленку, можно будет показать в кинотеатрах по всей Германии и за её пределами, так что ролик станет отличной рекламой для фильма! Идея понравилась всем: Лангу, отделу рекламы, дирекции кинокомпании и даже </w:t>
      </w:r>
      <w:proofErr w:type="spellStart"/>
      <w:r w:rsidRPr="00441F34">
        <w:rPr>
          <w:rFonts w:ascii="Times New Roman" w:hAnsi="Times New Roman"/>
          <w:color w:val="0070C0"/>
          <w:sz w:val="16"/>
          <w:szCs w:val="16"/>
        </w:rPr>
        <w:t>Оберту</w:t>
      </w:r>
      <w:proofErr w:type="spellEnd"/>
      <w:r w:rsidRPr="00441F34">
        <w:rPr>
          <w:rFonts w:ascii="Times New Roman" w:hAnsi="Times New Roman"/>
          <w:color w:val="0070C0"/>
          <w:sz w:val="16"/>
          <w:szCs w:val="16"/>
        </w:rPr>
        <w:t xml:space="preserve">. В результате он получил 10 тысяч марок для закупки материалов и оплаты работ: 5 тысяч Ланг выделил из личных средств, киностудия — еще столько же. Но съемки уже шли полным ходом, требовалось сделать ракету как можно быстрее. Поэтому </w:t>
      </w:r>
      <w:proofErr w:type="spellStart"/>
      <w:r w:rsidRPr="00441F34">
        <w:rPr>
          <w:rFonts w:ascii="Times New Roman" w:hAnsi="Times New Roman"/>
          <w:color w:val="0070C0"/>
          <w:sz w:val="16"/>
          <w:szCs w:val="16"/>
        </w:rPr>
        <w:t>Оберт</w:t>
      </w:r>
      <w:proofErr w:type="spellEnd"/>
      <w:r w:rsidRPr="00441F34">
        <w:rPr>
          <w:rFonts w:ascii="Times New Roman" w:hAnsi="Times New Roman"/>
          <w:color w:val="0070C0"/>
          <w:sz w:val="16"/>
          <w:szCs w:val="16"/>
        </w:rPr>
        <w:t xml:space="preserve"> — по рекомендации Лея — взял себе в  помощники 35-летнего Рудольфа </w:t>
      </w:r>
      <w:proofErr w:type="spellStart"/>
      <w:r w:rsidRPr="00441F34">
        <w:rPr>
          <w:rFonts w:ascii="Times New Roman" w:hAnsi="Times New Roman"/>
          <w:color w:val="0070C0"/>
          <w:sz w:val="16"/>
          <w:szCs w:val="16"/>
        </w:rPr>
        <w:t>Небеля</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Rudolf</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Nebel</w:t>
      </w:r>
      <w:proofErr w:type="spellEnd"/>
      <w:r w:rsidRPr="00441F34">
        <w:rPr>
          <w:rFonts w:ascii="Times New Roman" w:hAnsi="Times New Roman"/>
          <w:color w:val="0070C0"/>
          <w:sz w:val="16"/>
          <w:szCs w:val="16"/>
        </w:rPr>
        <w:t xml:space="preserve">), владельца фирмы пиротехники, и  22-летнего механика Клауса Риделя. </w:t>
      </w:r>
      <w:proofErr w:type="spellStart"/>
      <w:r w:rsidRPr="00441F34">
        <w:rPr>
          <w:rFonts w:ascii="Times New Roman" w:hAnsi="Times New Roman"/>
          <w:color w:val="0070C0"/>
          <w:sz w:val="16"/>
          <w:szCs w:val="16"/>
        </w:rPr>
        <w:t>Небель</w:t>
      </w:r>
      <w:proofErr w:type="spellEnd"/>
      <w:r w:rsidRPr="00441F34">
        <w:rPr>
          <w:rFonts w:ascii="Times New Roman" w:hAnsi="Times New Roman"/>
          <w:color w:val="0070C0"/>
          <w:sz w:val="16"/>
          <w:szCs w:val="16"/>
        </w:rPr>
        <w:t xml:space="preserve"> и Ридель, как и Лей, были членами Общества межпланетных плаваний, учрежденного летом 1927 г. Рекламный отдел компании УФА хотел, чтобы ракета была высотой не меньше 13 м! </w:t>
      </w:r>
      <w:proofErr w:type="spellStart"/>
      <w:r w:rsidRPr="00441F34">
        <w:rPr>
          <w:rFonts w:ascii="Times New Roman" w:hAnsi="Times New Roman"/>
          <w:color w:val="0070C0"/>
          <w:sz w:val="16"/>
          <w:szCs w:val="16"/>
        </w:rPr>
        <w:t>Оберт</w:t>
      </w:r>
      <w:proofErr w:type="spellEnd"/>
      <w:r w:rsidRPr="00441F34">
        <w:rPr>
          <w:rFonts w:ascii="Times New Roman" w:hAnsi="Times New Roman"/>
          <w:color w:val="0070C0"/>
          <w:sz w:val="16"/>
          <w:szCs w:val="16"/>
        </w:rPr>
        <w:t xml:space="preserve"> и </w:t>
      </w:r>
      <w:proofErr w:type="spellStart"/>
      <w:r w:rsidRPr="00441F34">
        <w:rPr>
          <w:rFonts w:ascii="Times New Roman" w:hAnsi="Times New Roman"/>
          <w:color w:val="0070C0"/>
          <w:sz w:val="16"/>
          <w:szCs w:val="16"/>
        </w:rPr>
        <w:t>Небель</w:t>
      </w:r>
      <w:proofErr w:type="spellEnd"/>
      <w:r w:rsidRPr="00441F34">
        <w:rPr>
          <w:rFonts w:ascii="Times New Roman" w:hAnsi="Times New Roman"/>
          <w:color w:val="0070C0"/>
          <w:sz w:val="16"/>
          <w:szCs w:val="16"/>
        </w:rPr>
        <w:t xml:space="preserve"> объяснили руководству кинокомпании, что это невозможно. В  итоге стороны согласовали компромиссный вариант: построить двухметровую ракету с 16-литровым запасом топлива (бензин + жидкий кислород). По расчётам </w:t>
      </w:r>
      <w:proofErr w:type="spellStart"/>
      <w:r w:rsidRPr="00441F34">
        <w:rPr>
          <w:rFonts w:ascii="Times New Roman" w:hAnsi="Times New Roman"/>
          <w:color w:val="0070C0"/>
          <w:sz w:val="16"/>
          <w:szCs w:val="16"/>
        </w:rPr>
        <w:t>Оберта</w:t>
      </w:r>
      <w:proofErr w:type="spellEnd"/>
      <w:r w:rsidRPr="00441F34">
        <w:rPr>
          <w:rFonts w:ascii="Times New Roman" w:hAnsi="Times New Roman"/>
          <w:color w:val="0070C0"/>
          <w:sz w:val="16"/>
          <w:szCs w:val="16"/>
        </w:rPr>
        <w:t xml:space="preserve">, она могла бы взлететь на высоту 35–40 км. Рекламщики увеличили цифру до 70 км и разослали </w:t>
      </w:r>
      <w:proofErr w:type="spellStart"/>
      <w:r w:rsidRPr="00441F34">
        <w:rPr>
          <w:rFonts w:ascii="Times New Roman" w:hAnsi="Times New Roman"/>
          <w:color w:val="0070C0"/>
          <w:sz w:val="16"/>
          <w:szCs w:val="16"/>
        </w:rPr>
        <w:t>сответствующие</w:t>
      </w:r>
      <w:proofErr w:type="spellEnd"/>
      <w:r w:rsidRPr="00441F34">
        <w:rPr>
          <w:rFonts w:ascii="Times New Roman" w:hAnsi="Times New Roman"/>
          <w:color w:val="0070C0"/>
          <w:sz w:val="16"/>
          <w:szCs w:val="16"/>
        </w:rPr>
        <w:t xml:space="preserve"> анонсы в информагентства и редакции газет. Было заранее указано место старта — остров </w:t>
      </w:r>
      <w:proofErr w:type="spellStart"/>
      <w:r w:rsidRPr="00441F34">
        <w:rPr>
          <w:rFonts w:ascii="Times New Roman" w:hAnsi="Times New Roman"/>
          <w:color w:val="0070C0"/>
          <w:sz w:val="16"/>
          <w:szCs w:val="16"/>
        </w:rPr>
        <w:t>Грейфсвальдер</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Ойе</w:t>
      </w:r>
      <w:proofErr w:type="spellEnd"/>
      <w:r w:rsidRPr="00441F34">
        <w:rPr>
          <w:rFonts w:ascii="Times New Roman" w:hAnsi="Times New Roman"/>
          <w:color w:val="0070C0"/>
          <w:sz w:val="16"/>
          <w:szCs w:val="16"/>
        </w:rPr>
        <w:t xml:space="preserve"> в Балтийском море. Запуск назначили на 19 октября 1929 г. (23372).</w:t>
      </w:r>
    </w:p>
    <w:p w14:paraId="2E8B9D23" w14:textId="77777777" w:rsidR="000A7E7E" w:rsidRPr="00441F34" w:rsidRDefault="000A7E7E" w:rsidP="000A7E7E">
      <w:pPr>
        <w:spacing w:after="0" w:line="240" w:lineRule="auto"/>
        <w:jc w:val="both"/>
        <w:rPr>
          <w:rFonts w:ascii="Times New Roman" w:hAnsi="Times New Roman"/>
          <w:color w:val="0070C0"/>
          <w:sz w:val="16"/>
          <w:szCs w:val="16"/>
        </w:rPr>
      </w:pPr>
    </w:p>
    <w:p w14:paraId="2740CB3E" w14:textId="065E07E1" w:rsidR="001931DD" w:rsidRPr="00A259BD" w:rsidRDefault="001931DD"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BC1C46A" w14:textId="77777777" w:rsidR="001931DD" w:rsidRPr="00A259BD" w:rsidRDefault="001931DD"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044597A" w14:textId="77777777" w:rsidR="001931DD" w:rsidRPr="00A259BD" w:rsidRDefault="001931DD"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июле-октябре 1929 на </w:t>
      </w:r>
      <w:proofErr w:type="spellStart"/>
      <w:r w:rsidRPr="00A259BD">
        <w:rPr>
          <w:rFonts w:ascii="Times New Roman" w:hAnsi="Times New Roman"/>
          <w:color w:val="000000" w:themeColor="text1"/>
          <w:sz w:val="16"/>
          <w:szCs w:val="16"/>
        </w:rPr>
        <w:t>НИАПе</w:t>
      </w:r>
      <w:proofErr w:type="spellEnd"/>
      <w:r w:rsidRPr="00A259BD">
        <w:rPr>
          <w:rFonts w:ascii="Times New Roman" w:hAnsi="Times New Roman"/>
          <w:color w:val="000000" w:themeColor="text1"/>
          <w:sz w:val="16"/>
          <w:szCs w:val="16"/>
        </w:rPr>
        <w:t xml:space="preserve"> прошли испытания модернизированной танковой пушки КТ-28 (Кировская танковая обр. 1927/32, созданная в 1928 на основе качающейся части 76.2 мм полковой пушки обр. 1927. Произошел срыв дульного тормоза (9527,24).</w:t>
      </w:r>
    </w:p>
    <w:p w14:paraId="29294EC6" w14:textId="30BFD746" w:rsidR="001931DD" w:rsidRPr="00A259BD" w:rsidRDefault="001931DD" w:rsidP="009236E3">
      <w:pPr>
        <w:autoSpaceDE w:val="0"/>
        <w:autoSpaceDN w:val="0"/>
        <w:adjustRightInd w:val="0"/>
        <w:spacing w:after="0" w:line="240" w:lineRule="auto"/>
        <w:jc w:val="both"/>
        <w:rPr>
          <w:rFonts w:ascii="Times New Roman" w:hAnsi="Times New Roman"/>
          <w:color w:val="000000" w:themeColor="text1"/>
          <w:sz w:val="16"/>
          <w:szCs w:val="16"/>
        </w:rPr>
      </w:pPr>
    </w:p>
    <w:p w14:paraId="4AB26DFF" w14:textId="20FCAF58" w:rsidR="001931DD" w:rsidRPr="00A259BD" w:rsidRDefault="001931DD" w:rsidP="009236E3">
      <w:pPr>
        <w:autoSpaceDE w:val="0"/>
        <w:autoSpaceDN w:val="0"/>
        <w:adjustRightInd w:val="0"/>
        <w:spacing w:after="0" w:line="240" w:lineRule="auto"/>
        <w:jc w:val="both"/>
        <w:rPr>
          <w:rFonts w:ascii="Times New Roman" w:hAnsi="Times New Roman"/>
          <w:i/>
          <w:iCs/>
          <w:color w:val="000000" w:themeColor="text1"/>
          <w:sz w:val="16"/>
          <w:szCs w:val="16"/>
        </w:rPr>
      </w:pPr>
      <w:r w:rsidRPr="00A259BD">
        <w:rPr>
          <w:rFonts w:ascii="Times New Roman" w:hAnsi="Times New Roman"/>
          <w:i/>
          <w:iCs/>
          <w:color w:val="000000" w:themeColor="text1"/>
          <w:sz w:val="16"/>
          <w:szCs w:val="16"/>
        </w:rPr>
        <w:t>Армия:</w:t>
      </w:r>
    </w:p>
    <w:p w14:paraId="471AA248" w14:textId="77777777" w:rsidR="001931DD" w:rsidRPr="00A259BD" w:rsidRDefault="001931DD"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5242FE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июля по ноябрь 1929 авиация принимала активное участие в конфликте на КВДЖ (271,117).</w:t>
      </w:r>
    </w:p>
    <w:p w14:paraId="6F1D21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E1911C" w14:textId="77777777" w:rsidR="00506E16" w:rsidRPr="00A259BD" w:rsidRDefault="00506E16"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bookmarkStart w:id="77" w:name="_Hlk56761839"/>
      <w:r w:rsidRPr="00A259BD">
        <w:rPr>
          <w:rFonts w:ascii="Times New Roman" w:hAnsi="Times New Roman"/>
          <w:i/>
          <w:iCs/>
          <w:color w:val="000000" w:themeColor="text1"/>
          <w:sz w:val="16"/>
          <w:szCs w:val="16"/>
        </w:rPr>
        <w:t>Другие оборонные отрасли:</w:t>
      </w:r>
    </w:p>
    <w:p w14:paraId="0B88CA9F" w14:textId="77777777" w:rsidR="00506E16" w:rsidRPr="00A259BD" w:rsidRDefault="00506E16"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54939498" w14:textId="77777777" w:rsidR="00506E16" w:rsidRPr="00A259BD" w:rsidRDefault="00506E16" w:rsidP="009236E3">
      <w:pPr>
        <w:pStyle w:val="Default"/>
        <w:jc w:val="both"/>
        <w:rPr>
          <w:color w:val="000000" w:themeColor="text1"/>
          <w:sz w:val="16"/>
          <w:szCs w:val="16"/>
        </w:rPr>
      </w:pPr>
      <w:r w:rsidRPr="00A259BD">
        <w:rPr>
          <w:color w:val="000000" w:themeColor="text1"/>
          <w:sz w:val="16"/>
          <w:szCs w:val="16"/>
        </w:rPr>
        <w:t>К августу 1929 г. руководством ВСНХ СССР было принято окончательное решение о передаче конструкторских работ в ведение предприятий военной промышленности. Как сообщал в Распорядительном заседании (РЗ) СТО председатель ВСНХ В. В. Куйбышев, «дальнейшее раздвоение этой важной отрасли работы между организациями промышленности и НКВМ, при недостатке конструкторских сил и крупных специалистов, ослабляло бы эффективность наших достижений и недостаточно стимулировало широкие инженерно-технические силы, которыми располагает промышленность. Конструкторскую работу в промышленности решено главным образом сосредоточить в специальных конструкторских бюро при заводах в целях неразрывной и непосредственной связи с производством, и только как исключение и временную меру иметь такие бюро при некоторых трестах».470 Для обеспечения заводских КБ кадрами было предложено закрепить на предприятиях работников НКВМ, которые к этому времени принимали непосредственное участие в постановке на производство опытных образцов и работали на предприятиях, а также направить на заводы специалистов технических комитетов Наркомата, подлежащих расформированию.</w:t>
      </w:r>
    </w:p>
    <w:p w14:paraId="3CB87684" w14:textId="77777777" w:rsidR="00506E16" w:rsidRPr="00A259BD" w:rsidRDefault="00506E16"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Работа по организации конструкторских бюро на предприятиях военной промышленности и формированию их структуры проходила через многочисленные согласования между НКВМ и ВСНХ. Еще одним источником кадров для уже функционирующих заводских КБ стал личный состав РККА, наиболее талантливые представители которой также направлялись для конструкторской работы в промышленности. Согласно приказу №30/сс ВСНХ СССР от 13 декабря 1929 г. организация КБ на заводах и комплектование их кадрами должны были закончиться к 1 января 1930 г. (20074).</w:t>
      </w:r>
    </w:p>
    <w:p w14:paraId="0BA783FE" w14:textId="77777777" w:rsidR="00506E16" w:rsidRPr="00A259BD" w:rsidRDefault="00506E16" w:rsidP="009236E3">
      <w:pPr>
        <w:autoSpaceDE w:val="0"/>
        <w:autoSpaceDN w:val="0"/>
        <w:adjustRightInd w:val="0"/>
        <w:spacing w:after="0" w:line="240" w:lineRule="auto"/>
        <w:jc w:val="both"/>
        <w:rPr>
          <w:rFonts w:ascii="Times New Roman" w:hAnsi="Times New Roman"/>
          <w:color w:val="000000" w:themeColor="text1"/>
          <w:sz w:val="16"/>
          <w:szCs w:val="16"/>
        </w:rPr>
      </w:pPr>
    </w:p>
    <w:bookmarkEnd w:id="77"/>
    <w:p w14:paraId="4BA16E7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B18BBC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E994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августа 1929 начались гос. испытания предсерийного АНТ-4 (92,348) и этот второй серийный самолет N 602 испытывался до 19 октября 1929 (346,16).</w:t>
      </w:r>
    </w:p>
    <w:p w14:paraId="71E42B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Машина была выпущена 22 заводом в мае 1929, но на испытания не передавалась, т.к. приняла участие в перелете в США как Страна Советов (2371).</w:t>
      </w:r>
    </w:p>
    <w:p w14:paraId="595CF7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85E50E" w14:textId="77777777" w:rsidR="00E35A28" w:rsidRPr="00A259BD" w:rsidRDefault="00E35A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августа в 1929 году начало государственных испытаний предсерийного </w:t>
      </w:r>
      <w:hyperlink r:id="rId123" w:tgtFrame="_blank" w:history="1">
        <w:r w:rsidRPr="00A259BD">
          <w:rPr>
            <w:rFonts w:ascii="Times New Roman" w:hAnsi="Times New Roman"/>
            <w:color w:val="000000" w:themeColor="text1"/>
            <w:sz w:val="16"/>
            <w:szCs w:val="16"/>
          </w:rPr>
          <w:t xml:space="preserve">«АНТ-4», </w:t>
        </w:r>
      </w:hyperlink>
      <w:r w:rsidRPr="00A259BD">
        <w:rPr>
          <w:rFonts w:ascii="Times New Roman" w:hAnsi="Times New Roman"/>
          <w:color w:val="000000" w:themeColor="text1"/>
          <w:sz w:val="16"/>
          <w:szCs w:val="16"/>
        </w:rPr>
        <w:t>которые проходили до 19 октября 1929 года (14970).</w:t>
      </w:r>
    </w:p>
    <w:p w14:paraId="51B13AA1" w14:textId="77777777" w:rsidR="00E35A28" w:rsidRPr="00A259BD" w:rsidRDefault="00E35A28" w:rsidP="009236E3">
      <w:pPr>
        <w:spacing w:after="0" w:line="240" w:lineRule="auto"/>
        <w:jc w:val="both"/>
        <w:rPr>
          <w:rFonts w:ascii="Times New Roman" w:hAnsi="Times New Roman"/>
          <w:color w:val="000000" w:themeColor="text1"/>
          <w:sz w:val="16"/>
          <w:szCs w:val="16"/>
        </w:rPr>
      </w:pPr>
    </w:p>
    <w:p w14:paraId="172305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 августа по 19 ноября 1929 года в НИИ ВВС проходили гос. испытания самолета ТБ-1 2 БМВ VI постройки завода № 22</w:t>
      </w:r>
    </w:p>
    <w:p w14:paraId="359A0F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испытания самолета ТБ-1 2 БМВ VI постройки завода № 22</w:t>
      </w:r>
    </w:p>
    <w:p w14:paraId="725E04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ТБ-1 постройки завода № 22 в конструктивном отношении ничем не отличается от опытного самолета постройки ЦАГИ.</w:t>
      </w:r>
    </w:p>
    <w:p w14:paraId="1BE5E6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данные и регулировка те же, что и у опытного самолета.</w:t>
      </w:r>
    </w:p>
    <w:p w14:paraId="5DDB74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470648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основании результатов испытания НИИ считает, что при устранении недочетов, перечисленных в перечне и подлежащих устранению </w:t>
      </w:r>
      <w:proofErr w:type="spellStart"/>
      <w:r w:rsidRPr="00A259BD">
        <w:rPr>
          <w:rFonts w:ascii="Times New Roman" w:hAnsi="Times New Roman"/>
          <w:color w:val="000000" w:themeColor="text1"/>
          <w:sz w:val="16"/>
          <w:szCs w:val="16"/>
        </w:rPr>
        <w:t>устранинию</w:t>
      </w:r>
      <w:proofErr w:type="spellEnd"/>
      <w:r w:rsidRPr="00A259BD">
        <w:rPr>
          <w:rFonts w:ascii="Times New Roman" w:hAnsi="Times New Roman"/>
          <w:color w:val="000000" w:themeColor="text1"/>
          <w:sz w:val="16"/>
          <w:szCs w:val="16"/>
        </w:rPr>
        <w:t xml:space="preserve"> в серии, самолет может быть принят на вооружение строевых частей (6995).</w:t>
      </w:r>
    </w:p>
    <w:p w14:paraId="5728C2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B3F1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 августа 1929 первый серийный ТБ-1 № 602 был выставлен на государственные испытания в НИИ ВВС, которые прошли по 19 октября 1929 г.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 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7F494A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D69DB3" w14:textId="77777777" w:rsidR="00943B1F" w:rsidRPr="00441F34" w:rsidRDefault="00943B1F" w:rsidP="00943B1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1 августа по 19 октября 1929 г. на втором серийном самолете ТБ-1 №602 проводились контрольные государственные испы</w:t>
      </w:r>
      <w:r w:rsidRPr="00441F34">
        <w:rPr>
          <w:rFonts w:ascii="Times New Roman" w:hAnsi="Times New Roman"/>
          <w:color w:val="0070C0"/>
          <w:sz w:val="16"/>
          <w:szCs w:val="16"/>
        </w:rPr>
        <w:softHyphen/>
        <w:t>тания. Они завершились двумя полетами: Москва — Подольск — Москва и Москва — Бронницы — Москва для определения крейсерской скорости. Она оказалась равной 156 км/ч (23474).</w:t>
      </w:r>
    </w:p>
    <w:p w14:paraId="1B6CC06F" w14:textId="77777777" w:rsidR="00943B1F" w:rsidRPr="00441F34" w:rsidRDefault="00943B1F" w:rsidP="00943B1F">
      <w:pPr>
        <w:spacing w:after="0" w:line="240" w:lineRule="auto"/>
        <w:jc w:val="both"/>
        <w:rPr>
          <w:rFonts w:ascii="Times New Roman" w:hAnsi="Times New Roman"/>
          <w:color w:val="0070C0"/>
          <w:sz w:val="16"/>
          <w:szCs w:val="16"/>
        </w:rPr>
      </w:pPr>
    </w:p>
    <w:p w14:paraId="39AFDC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августа 1929 г. при обсуждении результатов испы</w:t>
      </w:r>
      <w:r w:rsidRPr="00A259BD">
        <w:rPr>
          <w:rFonts w:ascii="Times New Roman" w:hAnsi="Times New Roman"/>
          <w:color w:val="000000" w:themeColor="text1"/>
          <w:sz w:val="16"/>
          <w:szCs w:val="16"/>
        </w:rPr>
        <w:softHyphen/>
        <w:t>таний Техническая секция НТК ВВС отметила: “Само</w:t>
      </w:r>
      <w:r w:rsidRPr="00A259BD">
        <w:rPr>
          <w:rFonts w:ascii="Times New Roman" w:hAnsi="Times New Roman"/>
          <w:color w:val="000000" w:themeColor="text1"/>
          <w:sz w:val="16"/>
          <w:szCs w:val="16"/>
        </w:rPr>
        <w:softHyphen/>
        <w:t>лет не утомителен в управлении, обладает данными хорошего планера. Прост на взлете и посадке... В што</w:t>
      </w:r>
      <w:r w:rsidRPr="00A259BD">
        <w:rPr>
          <w:rFonts w:ascii="Times New Roman" w:hAnsi="Times New Roman"/>
          <w:color w:val="000000" w:themeColor="text1"/>
          <w:sz w:val="16"/>
          <w:szCs w:val="16"/>
        </w:rPr>
        <w:softHyphen/>
        <w:t>пор самолет входит лишь с потерей скорости при край</w:t>
      </w:r>
      <w:r w:rsidRPr="00A259BD">
        <w:rPr>
          <w:rFonts w:ascii="Times New Roman" w:hAnsi="Times New Roman"/>
          <w:color w:val="000000" w:themeColor="text1"/>
          <w:sz w:val="16"/>
          <w:szCs w:val="16"/>
        </w:rPr>
        <w:softHyphen/>
        <w:t>них положениях рулей....По летным качествам в основном удовлетворяет техническим требованиям, предъявляемым к нему как к разведчику, за исключени</w:t>
      </w:r>
      <w:r w:rsidRPr="00A259BD">
        <w:rPr>
          <w:rFonts w:ascii="Times New Roman" w:hAnsi="Times New Roman"/>
          <w:color w:val="000000" w:themeColor="text1"/>
          <w:sz w:val="16"/>
          <w:szCs w:val="16"/>
        </w:rPr>
        <w:softHyphen/>
        <w:t>ем горизонтальной скорости на высоте 3000 метров”. Несколько велик был пробег при посадке (до 300 м), но в дальнейшем, после установки тормозных колес, его удалось сократить. Положительная оценка самолета УВВС и рекоменда</w:t>
      </w:r>
      <w:r w:rsidRPr="00A259BD">
        <w:rPr>
          <w:rFonts w:ascii="Times New Roman" w:hAnsi="Times New Roman"/>
          <w:color w:val="000000" w:themeColor="text1"/>
          <w:sz w:val="16"/>
          <w:szCs w:val="16"/>
        </w:rPr>
        <w:softHyphen/>
        <w:t xml:space="preserve">ции по развертыванию серийного производства стали предметом их обсуждения на заседании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14 августа 1929 г. Заводу № 1 в 1929/30 опера</w:t>
      </w:r>
      <w:r w:rsidRPr="00A259BD">
        <w:rPr>
          <w:rFonts w:ascii="Times New Roman" w:hAnsi="Times New Roman"/>
          <w:color w:val="000000" w:themeColor="text1"/>
          <w:sz w:val="16"/>
          <w:szCs w:val="16"/>
        </w:rPr>
        <w:softHyphen/>
        <w:t>ционном году поручили построить 40 экземпляров Р-5 с мотором (10667).</w:t>
      </w:r>
    </w:p>
    <w:p w14:paraId="2AB34B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589A86" w14:textId="77777777" w:rsidR="00F547C5" w:rsidRPr="00A259BD" w:rsidRDefault="002E2A19"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12CEC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438B4A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 августа 1929 г. Трансформаторный отдел Электрозавода (по размерам – целое предприятие) был переведён на хозрасчёт. Было установлено премирование за повышение выпуска и снижения себестоимости продукции.</w:t>
      </w:r>
    </w:p>
    <w:p w14:paraId="51B6B0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Тогда же были официально сформулированы и основные принципы хозрасчёта цеха или отдела. Согласно этим базисным правилам, хозрасчёт заключался в нескольких обязательных операциях: </w:t>
      </w:r>
    </w:p>
    <w:p w14:paraId="689087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Отдел снабжения должен был забронировать за каждым производством материальные ценности в рамках утверждённых оборотных средств. </w:t>
      </w:r>
    </w:p>
    <w:p w14:paraId="0BB8C5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Каждому отделу устанавливались лимиты на незаконченное производство и полуфабрикаты. </w:t>
      </w:r>
    </w:p>
    <w:p w14:paraId="4A7EDE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Каждый из отделов получал в форме аванса суммы, потребные на зарплату, накладные расходы и материалы в счёт выпуска данным производством продукции. </w:t>
      </w:r>
    </w:p>
    <w:p w14:paraId="002E9E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Погашением выдачи аванса являлся выпуск изделий производством за месяц. </w:t>
      </w:r>
    </w:p>
    <w:p w14:paraId="1791C4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
    <w:p w14:paraId="4E2E32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Каждому производству и отдельной установке устанавливались расчётные цены на выпуск ими продукции и предоставлялось право использовать налично полученную экономию против установленных цен в виде премиального фонда.” </w:t>
      </w:r>
    </w:p>
    <w:p w14:paraId="5D5492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Иными словами, завод составлял калькуляцию, сколько в существующих условиях цех, отдел или установка могли произвести продукции, а если персоналу удавалось превзойти плановый результат, экономия частично шла в премиальный фонд; соответственно – чем больше экономия, тем больше премиальный фонд.</w:t>
      </w:r>
    </w:p>
    <w:p w14:paraId="109486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1930 г. на заводе был сделана попытка внедрить цеховой хозрасчёт и создать систему бонов для межцеховых расчетов. Вообще говоря, в 1930 г. на Электрозаводе уже существовала довольно детальная система премирования структурных подразделений. </w:t>
      </w:r>
    </w:p>
    <w:p w14:paraId="2CFD98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Однако начинание по внедрению цехового и межцехового хозрасчёта было перекрыто движением за создание хозрасчетных бригад, в связи с чем собственно цеховой хозрасчёт временно отошёл на второй план. Фактически, последняя попытка интенсифицировать цеховой хозрасчёт относится к концу 1931 г., когда был введён порядок, согласно которому цеху оставалось 10-30% от достигнутой экономии, а остальное перечислялось на счёт Электрозавода. Из упомянутых 10-30% цех имел право половину истратить на индивидуальное премирование рабочих, ИТР и служащих, а так же на повышение культурно-бытовых условий в цехе. Вторую половину следовало в обязательном порядке направить на усиление средств цеха.</w:t>
      </w:r>
    </w:p>
    <w:p w14:paraId="17D98B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 г. стал годом бурного развития хозрасчётных отношений на производстве. Пропаганде и развитию хозрасчёта уделялось особое внимание. Так, например, разработка встречного плана на 1932 г. проходила на “основе ударничества, переходившего на высшую ступень социалистического соревнования – хозрасчёт”. Понять эту фразу мудрено, в ней в одну кучу смешаны и ударничество (стимулирование правом специального снабжения), и социалистическое соревнование (стимулирование шансом на выигрыш и связанные с этим материальные блага и моральное удовлетворение), и хозрасчёт (стимулирование правом распоряжаться излишками, образовавшимися в ходе оптимизации хозяйственной деятельности), однако для нас важно, что именно хозрасчёт, на тот момент, рассматривался советским руководством как главное средство интенсификации труда (11564).</w:t>
      </w:r>
    </w:p>
    <w:p w14:paraId="0FB9B1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DDFB10"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BF58A8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EB97879" w14:textId="77777777" w:rsidR="00751381" w:rsidRPr="00A259BD" w:rsidRDefault="007513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1 августа 1929 «Граф Цеппелин» вылетел из Фридрихсхафена под руководством </w:t>
      </w:r>
      <w:proofErr w:type="spellStart"/>
      <w:r w:rsidRPr="00A259BD">
        <w:rPr>
          <w:rFonts w:ascii="Times New Roman" w:hAnsi="Times New Roman"/>
          <w:color w:val="000000" w:themeColor="text1"/>
          <w:sz w:val="16"/>
          <w:szCs w:val="16"/>
        </w:rPr>
        <w:t>Эккенера</w:t>
      </w:r>
      <w:proofErr w:type="spellEnd"/>
      <w:r w:rsidRPr="00A259BD">
        <w:rPr>
          <w:rFonts w:ascii="Times New Roman" w:hAnsi="Times New Roman"/>
          <w:color w:val="000000" w:themeColor="text1"/>
          <w:sz w:val="16"/>
          <w:szCs w:val="16"/>
        </w:rPr>
        <w:t xml:space="preserve"> имея задачу «перегнать» воздушное судно на Запад, в Нью Йорк, откуда должен был начать кругосветный перелет.</w:t>
      </w:r>
    </w:p>
    <w:p w14:paraId="0C4F9346" w14:textId="77777777" w:rsidR="00751381" w:rsidRPr="00A259BD" w:rsidRDefault="007513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Через четыре дня «Граф Цеппелин» был на месте. Еще двое суток понадобилось для отдыха и последних приготовлений.</w:t>
      </w:r>
    </w:p>
    <w:p w14:paraId="63D1ABAF" w14:textId="77777777" w:rsidR="00751381" w:rsidRPr="00A259BD" w:rsidRDefault="007513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августа 1929 года из США стартовал первый в истории воздухоплавания кругосветный перелет на дирижабле. Аэростат «Граф Цеппелин» под руководством Хуго </w:t>
      </w:r>
      <w:proofErr w:type="spellStart"/>
      <w:r w:rsidRPr="00A259BD">
        <w:rPr>
          <w:rFonts w:ascii="Times New Roman" w:hAnsi="Times New Roman"/>
          <w:color w:val="000000" w:themeColor="text1"/>
          <w:sz w:val="16"/>
          <w:szCs w:val="16"/>
        </w:rPr>
        <w:t>Эккенера</w:t>
      </w:r>
      <w:proofErr w:type="spellEnd"/>
      <w:r w:rsidRPr="00A259BD">
        <w:rPr>
          <w:rFonts w:ascii="Times New Roman" w:hAnsi="Times New Roman"/>
          <w:color w:val="000000" w:themeColor="text1"/>
          <w:sz w:val="16"/>
          <w:szCs w:val="16"/>
        </w:rPr>
        <w:t xml:space="preserve"> за 21 сутки преодолел свыше 33 тыс. км, совершив лишь три промежуточные посадки и побив несколько рекордов.</w:t>
      </w:r>
    </w:p>
    <w:p w14:paraId="7DB44ECF" w14:textId="77777777" w:rsidR="00751381" w:rsidRPr="00A259BD" w:rsidRDefault="007513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Старт был на базе в </w:t>
      </w:r>
      <w:proofErr w:type="spellStart"/>
      <w:r w:rsidRPr="00A259BD">
        <w:rPr>
          <w:rFonts w:ascii="Times New Roman" w:hAnsi="Times New Roman"/>
          <w:color w:val="000000" w:themeColor="text1"/>
          <w:sz w:val="16"/>
          <w:szCs w:val="16"/>
        </w:rPr>
        <w:t>Лейкхерсте</w:t>
      </w:r>
      <w:proofErr w:type="spellEnd"/>
      <w:r w:rsidRPr="00A259BD">
        <w:rPr>
          <w:rFonts w:ascii="Times New Roman" w:hAnsi="Times New Roman"/>
          <w:color w:val="000000" w:themeColor="text1"/>
          <w:sz w:val="16"/>
          <w:szCs w:val="16"/>
        </w:rPr>
        <w:t xml:space="preserve"> недалеко от Нью-Йорка. Помимо членов команды на борт поднялись 18 пассажиров. В их числе оказалась журналистка Грейс </w:t>
      </w:r>
      <w:proofErr w:type="spellStart"/>
      <w:r w:rsidRPr="00A259BD">
        <w:rPr>
          <w:rFonts w:ascii="Times New Roman" w:hAnsi="Times New Roman"/>
          <w:color w:val="000000" w:themeColor="text1"/>
          <w:sz w:val="16"/>
          <w:szCs w:val="16"/>
        </w:rPr>
        <w:t>Драммонд</w:t>
      </w:r>
      <w:proofErr w:type="spellEnd"/>
      <w:r w:rsidRPr="00A259BD">
        <w:rPr>
          <w:rFonts w:ascii="Times New Roman" w:hAnsi="Times New Roman"/>
          <w:color w:val="000000" w:themeColor="text1"/>
          <w:sz w:val="16"/>
          <w:szCs w:val="16"/>
        </w:rPr>
        <w:t xml:space="preserve">-Хэй, ставшая, таким образом, первой женщиной, совершившей кругосветное путешествие. Имелись в группе и </w:t>
      </w:r>
      <w:proofErr w:type="spellStart"/>
      <w:r w:rsidRPr="00A259BD">
        <w:rPr>
          <w:rFonts w:ascii="Times New Roman" w:hAnsi="Times New Roman"/>
          <w:color w:val="000000" w:themeColor="text1"/>
          <w:sz w:val="16"/>
          <w:szCs w:val="16"/>
        </w:rPr>
        <w:t>кинохронист</w:t>
      </w:r>
      <w:proofErr w:type="spellEnd"/>
      <w:r w:rsidRPr="00A259BD">
        <w:rPr>
          <w:rFonts w:ascii="Times New Roman" w:hAnsi="Times New Roman"/>
          <w:color w:val="000000" w:themeColor="text1"/>
          <w:sz w:val="16"/>
          <w:szCs w:val="16"/>
        </w:rPr>
        <w:t>, и исследователь. Правительство США делегировало на рейс двух офицеров, летевших в качестве официальных наблюдателей. 55,5 часа потребовалось «Графу Цеппелину», чтобы перелететь Атлантический океан в обратном направлении. Первую посадку для дозаправки выполнили в Фридрихсхафене.</w:t>
      </w:r>
    </w:p>
    <w:p w14:paraId="09404D2B" w14:textId="77777777" w:rsidR="00751381" w:rsidRPr="00A259BD" w:rsidRDefault="007513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Воздухоплавательный аппарат имел в длину 237 м и в диаметре до 30,5 м. Его оснастили пятью моторами мощностью по 530 л. с. каждый, которые функционировали на специально разработанном газе.</w:t>
      </w:r>
    </w:p>
    <w:p w14:paraId="02DD28BE" w14:textId="77777777" w:rsidR="00751381" w:rsidRPr="00A259BD" w:rsidRDefault="007513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Запрет Версальского договора на строительство дирижаблей был снят в 1928 году. Средства на «Граф Цеппелин» собирались, что называется, всем миром. Инициатором выступил один из пионеров воздухоплавания и соратник покойного графа Цеппелина Хуго </w:t>
      </w:r>
      <w:proofErr w:type="spellStart"/>
      <w:r w:rsidRPr="00A259BD">
        <w:rPr>
          <w:rFonts w:ascii="Times New Roman" w:hAnsi="Times New Roman"/>
          <w:color w:val="000000" w:themeColor="text1"/>
          <w:sz w:val="16"/>
          <w:szCs w:val="16"/>
        </w:rPr>
        <w:t>Эккенер</w:t>
      </w:r>
      <w:proofErr w:type="spellEnd"/>
      <w:r w:rsidRPr="00A259BD">
        <w:rPr>
          <w:rFonts w:ascii="Times New Roman" w:hAnsi="Times New Roman"/>
          <w:color w:val="000000" w:themeColor="text1"/>
          <w:sz w:val="16"/>
          <w:szCs w:val="16"/>
        </w:rPr>
        <w:t>. Это было совершенно новое слово в развитии отрасли. «Граф Цеппелин» наделялся способностью развивать скорость до 120 км/ч и преодолевать без посадки до 14 тыс. км. Кабина находилась в специальной гондоле длиной 40 м, шириной 6 м, максимальной высотой 2,3 м и могла вмещать до 35 пассажиров. Экипаж состоял из 25 человек.</w:t>
      </w:r>
    </w:p>
    <w:p w14:paraId="7970A463" w14:textId="77777777" w:rsidR="00751381" w:rsidRPr="00A259BD" w:rsidRDefault="007513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Проспонсировать кругосветку согласился ведущий газетный издатель США Уильям Рэндольф Херст. Ему удалось закрыть только часть расходов. Остальное компенсировалось за счет доставки почты в те города, где «Граф Цеппелин» делал плановые посадки.</w:t>
      </w:r>
    </w:p>
    <w:p w14:paraId="715F5FFA" w14:textId="77777777" w:rsidR="00751381" w:rsidRPr="00A259BD" w:rsidRDefault="007513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Официально полет должен был начаться в США – на родине Херста. Состав участников экспедиции там намеревались пополнить несколько сотрудников медиамагната. Исключительные права на освещение кругосветки в своих СМИ обошлись Херсту в $200 тыс., что в наше время эквивалентно $2,5 млн. Кроме того, на каждом захваченном с собой письме организаторы заработали $45.</w:t>
      </w:r>
    </w:p>
    <w:p w14:paraId="72F1EDE2" w14:textId="77777777" w:rsidR="00751381" w:rsidRPr="00A259BD" w:rsidRDefault="007513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августа 1929 дирижабль отправился в затяжной путь через Восточную Европу и Советский Союз в Токио.</w:t>
      </w:r>
    </w:p>
    <w:p w14:paraId="463FDEE1" w14:textId="77777777" w:rsidR="00751381" w:rsidRPr="00A259BD" w:rsidRDefault="007513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Тогда же случился серьезный инцидент. Советские власти обратились к команде «Графа Цеппелина» по радио с просьбой пролететь над Москвой. Капитан </w:t>
      </w:r>
      <w:proofErr w:type="spellStart"/>
      <w:r w:rsidRPr="00A259BD">
        <w:rPr>
          <w:rFonts w:ascii="Times New Roman" w:hAnsi="Times New Roman"/>
          <w:color w:val="000000" w:themeColor="text1"/>
          <w:sz w:val="16"/>
          <w:szCs w:val="16"/>
        </w:rPr>
        <w:t>Эккенер</w:t>
      </w:r>
      <w:proofErr w:type="spellEnd"/>
      <w:r w:rsidRPr="00A259BD">
        <w:rPr>
          <w:rFonts w:ascii="Times New Roman" w:hAnsi="Times New Roman"/>
          <w:color w:val="000000" w:themeColor="text1"/>
          <w:sz w:val="16"/>
          <w:szCs w:val="16"/>
        </w:rPr>
        <w:t xml:space="preserve"> отказал Иосифу Сталину в такой прихоти из-за необходимости «воспользоваться попутным ветром и оставаться на прямой линии без отклонения от курса».</w:t>
      </w:r>
    </w:p>
    <w:p w14:paraId="1B56273F" w14:textId="77777777" w:rsidR="00751381" w:rsidRPr="00A259BD" w:rsidRDefault="007513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вылетев из Фридрихсхафена, «Граф Цеппелин», прежде чем вновь пополнить топливные баки, увидел далеко внизу такие города, как Ульм, Нюрнберг, Лейпциг, Берлин, </w:t>
      </w:r>
      <w:proofErr w:type="spellStart"/>
      <w:r w:rsidRPr="00A259BD">
        <w:rPr>
          <w:rFonts w:ascii="Times New Roman" w:hAnsi="Times New Roman"/>
          <w:color w:val="000000" w:themeColor="text1"/>
          <w:sz w:val="16"/>
          <w:szCs w:val="16"/>
        </w:rPr>
        <w:t>Штеттин</w:t>
      </w:r>
      <w:proofErr w:type="spellEnd"/>
      <w:r w:rsidRPr="00A259BD">
        <w:rPr>
          <w:rFonts w:ascii="Times New Roman" w:hAnsi="Times New Roman"/>
          <w:color w:val="000000" w:themeColor="text1"/>
          <w:sz w:val="16"/>
          <w:szCs w:val="16"/>
        </w:rPr>
        <w:t>, Данциг (современный Гданьск), Кенигсберг (Калининград), Тильзит (Советск), Вологда, Пермь. Миновав затем устья Иртыша и Нижней Тунгуски, 18 августа дирижабль пролетел над Якутском, где его радостными криками и жестами встречали местные жители, Аяном и Николаевском-на-Амуре, пока не покинул территорию Советского Союза. Проведя в воздухе 101 час 40 минут, гигантский «летучий корабль» достиг, наконец, Токио. Попутно был установлен новый мировой рекорд по протяженности беспосадочного полета – 11 230 км. Во время отдыха на японских островах дирижабль базировался в бывшем немецком эллинге, доставшемся японцам после Первой мировой войны.</w:t>
      </w:r>
    </w:p>
    <w:p w14:paraId="532C56A1" w14:textId="77777777" w:rsidR="00751381" w:rsidRPr="00A259BD" w:rsidRDefault="007513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августа «Граф Цеппелин» попрощался с Токио, открыв свою миссию над Тихим океаном.</w:t>
      </w:r>
    </w:p>
    <w:p w14:paraId="670447E9" w14:textId="77777777" w:rsidR="00751381" w:rsidRPr="00A259BD" w:rsidRDefault="007513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Теперь курс лежал на Лос-Анджелес через Сан-Франциско. Этот отрезок прошел уже без каких-либо приключений, если не считать, конечно, самого факта первого в истории беспосадочного полета на средствах любого типа через Тихий океан. Установление очередного рекорда заняло 79 ч 54 мин.</w:t>
      </w:r>
    </w:p>
    <w:p w14:paraId="2A47A54A" w14:textId="77777777" w:rsidR="00751381" w:rsidRPr="00A259BD" w:rsidRDefault="007513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последний раз дозаправившись в крупнейшем городе Калифорнии, «Граф Цеппелин» нанизал 13 штатов и 29 августа, через три недели после вылета на Восток, подлетел к </w:t>
      </w:r>
      <w:proofErr w:type="spellStart"/>
      <w:r w:rsidRPr="00A259BD">
        <w:rPr>
          <w:rFonts w:ascii="Times New Roman" w:hAnsi="Times New Roman"/>
          <w:color w:val="000000" w:themeColor="text1"/>
          <w:sz w:val="16"/>
          <w:szCs w:val="16"/>
        </w:rPr>
        <w:t>Лейкхерсту</w:t>
      </w:r>
      <w:proofErr w:type="spellEnd"/>
      <w:r w:rsidRPr="00A259BD">
        <w:rPr>
          <w:rFonts w:ascii="Times New Roman" w:hAnsi="Times New Roman"/>
          <w:color w:val="000000" w:themeColor="text1"/>
          <w:sz w:val="16"/>
          <w:szCs w:val="16"/>
        </w:rPr>
        <w:t xml:space="preserve"> с Запада. Суммарное время в полете составило 12 дней 12 часов и 13 минут. С учетом остановок – 21 д 5 ч 31 мин или 33 234 км. Заслуги капитана дирижабля </w:t>
      </w:r>
      <w:proofErr w:type="spellStart"/>
      <w:r w:rsidRPr="00A259BD">
        <w:rPr>
          <w:rFonts w:ascii="Times New Roman" w:hAnsi="Times New Roman"/>
          <w:color w:val="000000" w:themeColor="text1"/>
          <w:sz w:val="16"/>
          <w:szCs w:val="16"/>
        </w:rPr>
        <w:t>Эккенера</w:t>
      </w:r>
      <w:proofErr w:type="spellEnd"/>
      <w:r w:rsidRPr="00A259BD">
        <w:rPr>
          <w:rFonts w:ascii="Times New Roman" w:hAnsi="Times New Roman"/>
          <w:color w:val="000000" w:themeColor="text1"/>
          <w:sz w:val="16"/>
          <w:szCs w:val="16"/>
        </w:rPr>
        <w:t xml:space="preserve"> были оценены Золотой медалью Национального географического общества. Перед возвращением в Германию пилота принял президент США </w:t>
      </w:r>
      <w:hyperlink r:id="rId124" w:history="1">
        <w:r w:rsidRPr="00A259BD">
          <w:rPr>
            <w:rStyle w:val="a5"/>
            <w:rFonts w:ascii="Times New Roman" w:hAnsi="Times New Roman"/>
            <w:color w:val="000000" w:themeColor="text1"/>
            <w:sz w:val="16"/>
            <w:szCs w:val="16"/>
          </w:rPr>
          <w:t>Герберт Гувер</w:t>
        </w:r>
      </w:hyperlink>
    </w:p>
    <w:p w14:paraId="199CD416" w14:textId="77777777" w:rsidR="00751381" w:rsidRPr="00A259BD" w:rsidRDefault="007513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1930 года в качестве извинения за непринятие приглашения залететь в Москву «Графу Цеппелину» пришлось совершить отдельный рейс в советскую столицу. На Октябрьском поле дирижабль встречала 100-тысячная восторженная толпа (</w:t>
      </w:r>
      <w:bookmarkStart w:id="78" w:name="_Hlk108527944"/>
      <w:r w:rsidRPr="00A259BD">
        <w:rPr>
          <w:rFonts w:ascii="Times New Roman" w:hAnsi="Times New Roman"/>
          <w:color w:val="000000" w:themeColor="text1"/>
          <w:sz w:val="16"/>
          <w:szCs w:val="16"/>
        </w:rPr>
        <w:t>20175</w:t>
      </w:r>
      <w:bookmarkEnd w:id="78"/>
      <w:r w:rsidRPr="00A259BD">
        <w:rPr>
          <w:rFonts w:ascii="Times New Roman" w:hAnsi="Times New Roman"/>
          <w:color w:val="000000" w:themeColor="text1"/>
          <w:sz w:val="16"/>
          <w:szCs w:val="16"/>
        </w:rPr>
        <w:t>).</w:t>
      </w:r>
    </w:p>
    <w:p w14:paraId="30811F6B" w14:textId="77777777" w:rsidR="00751381" w:rsidRPr="00A259BD" w:rsidRDefault="00751381" w:rsidP="009236E3">
      <w:pPr>
        <w:spacing w:after="0" w:line="240" w:lineRule="auto"/>
        <w:jc w:val="both"/>
        <w:rPr>
          <w:rFonts w:ascii="Times New Roman" w:hAnsi="Times New Roman"/>
          <w:color w:val="000000" w:themeColor="text1"/>
          <w:sz w:val="16"/>
          <w:szCs w:val="16"/>
        </w:rPr>
      </w:pPr>
    </w:p>
    <w:p w14:paraId="649F1406" w14:textId="77777777" w:rsidR="00751381" w:rsidRPr="00A259BD" w:rsidRDefault="007513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августа 1929 - Близ города Бреслау (Германия) состоялся полет самолета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W.33, оснащенного ракетными ускорителями (22412).</w:t>
      </w:r>
    </w:p>
    <w:p w14:paraId="45D0274F" w14:textId="77777777" w:rsidR="00751381" w:rsidRPr="00A259BD" w:rsidRDefault="00751381" w:rsidP="009236E3">
      <w:pPr>
        <w:spacing w:after="0" w:line="240" w:lineRule="auto"/>
        <w:jc w:val="both"/>
        <w:rPr>
          <w:rFonts w:ascii="Times New Roman" w:hAnsi="Times New Roman"/>
          <w:color w:val="000000" w:themeColor="text1"/>
          <w:sz w:val="16"/>
          <w:szCs w:val="16"/>
        </w:rPr>
      </w:pPr>
    </w:p>
    <w:p w14:paraId="35D01E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августа 1929 близ Бреслау в Германии состоялся полет самолета Junkers-33, оснащенного ракетными ускорителями (2990).</w:t>
      </w:r>
    </w:p>
    <w:p w14:paraId="0C2498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2F4684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551CB4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DF142E1"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августа 1929 г. Закрытое письмо Володарского райкома ВКП(б) коммунистам района о «</w:t>
      </w:r>
      <w:proofErr w:type="spellStart"/>
      <w:r w:rsidRPr="00A259BD">
        <w:rPr>
          <w:rFonts w:ascii="Times New Roman" w:hAnsi="Times New Roman"/>
          <w:color w:val="000000" w:themeColor="text1"/>
          <w:sz w:val="16"/>
          <w:szCs w:val="16"/>
        </w:rPr>
        <w:t>быковщине</w:t>
      </w:r>
      <w:proofErr w:type="spellEnd"/>
      <w:r w:rsidRPr="00A259BD">
        <w:rPr>
          <w:rFonts w:ascii="Times New Roman" w:hAnsi="Times New Roman"/>
          <w:color w:val="000000" w:themeColor="text1"/>
          <w:sz w:val="16"/>
          <w:szCs w:val="16"/>
        </w:rPr>
        <w:t>» и волынках</w:t>
      </w:r>
    </w:p>
    <w:p w14:paraId="3B9F9FE2"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Всем коллективам и ячейкам ВКП(б) Володарского района</w:t>
      </w:r>
    </w:p>
    <w:p w14:paraId="75C57B63"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Подлежит возврату</w:t>
      </w:r>
    </w:p>
    <w:p w14:paraId="341B8073"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Товарищи!</w:t>
      </w:r>
    </w:p>
    <w:p w14:paraId="1E1B7C71"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Районный комитет считает необходимым информировать организацию о ряде случаев быковщины,1 волынок и других болезненных явлений, имевших место в течение последнего времени на предприятиях района. Райком считает, что вся организация должна извлечь политические уроки из этих явлений, чтобы быть достаточно подготовленной для борьбы с ними.</w:t>
      </w:r>
    </w:p>
    <w:p w14:paraId="1F81CB87"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Случаи избиения мастеров на ТЧ-8, фабрике «Рабочий» и заводе «Большевик»; волынки отдельных групп рабочих на заводе имени Бухарина, [в] Постройкоме и [на] фабрике [имени] Ногина; отказ от перехода на непрерывную неделю на Промстрое (5-я ГЭС), от проведения Дня индустриализации2 одной группы рабочих на фабрике имени Володарского и другие случаи говорят о том, что активное проведение решений партии о снижении себестоимости и развернувшееся вокруг этой задачи социалистическое соревнование вызывают обострение сопротивления чуждых элементов, затесавшихся на фабрики и заводы. Путем использования трудностей и отдельных ошибок с нашей стороны чуждым элементам местами удается повести за собой отсталую часть рабочих, а то и весь цех, причем партийная организация не всегда оказывается подготовленной, чтобы дать необходимый отпор.</w:t>
      </w:r>
    </w:p>
    <w:p w14:paraId="5169B0AA"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Особо заслуживающими анализа являются случаи, имевшие место на 5-й ГЭС, фабрике имени Ногина и заводе «Большевик».</w:t>
      </w:r>
    </w:p>
    <w:p w14:paraId="5EAB538E"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Промстрой 5-й ГЭС получил по ведомственной линии распоряжение в трехдневный срок перейти на непрерывную неделю. Вопрос этот был провернут без серьезного обсуждения на партийном и комсомольском собрании и среди отдельных групп рабочих. На общем собрании рабочих предложение о переходе встретило противодействие и было почти единогласно отвергнуто. После выяснилось, что в течение трех дней в курилках велась работа против перехода, причем организаторами срыва были бывший шофер Деникина и несколько кулачков; использовав традицию, что в воскресенье на Промстрое работают за сверхурочные, они повели за собой преобладающую массу сезонников. Партийцы врага не разглядели; во время разговоров в курилках вели себя примиренчески и в большинстве на собрание рабочих не пришли... После этого поражения организация провела большую разъяснительную работу и переход на непрерывную неделю осуществлен.</w:t>
      </w:r>
    </w:p>
    <w:p w14:paraId="6DB15AB4"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фабрике [имени] Ногина волынка произошла в связи с проводившимся переходом на дифференциацию (разделение) труда. Текстильная промышленность весьма отстала с выполнением заданий по программе и себестоимости; неудовлетворительные итоги за первое полугодие требовали быстрого перехода, чтобы справиться с заданием к концу хозяйственного года. При огромным напряжении в работе партийных, профессиональных организаций и </w:t>
      </w:r>
      <w:proofErr w:type="spellStart"/>
      <w:r w:rsidRPr="00A259BD">
        <w:rPr>
          <w:rFonts w:ascii="Times New Roman" w:hAnsi="Times New Roman"/>
          <w:color w:val="000000" w:themeColor="text1"/>
          <w:sz w:val="16"/>
          <w:szCs w:val="16"/>
        </w:rPr>
        <w:t>фабуправления</w:t>
      </w:r>
      <w:proofErr w:type="spellEnd"/>
      <w:r w:rsidRPr="00A259BD">
        <w:rPr>
          <w:rFonts w:ascii="Times New Roman" w:hAnsi="Times New Roman"/>
          <w:color w:val="000000" w:themeColor="text1"/>
          <w:sz w:val="16"/>
          <w:szCs w:val="16"/>
        </w:rPr>
        <w:t xml:space="preserve"> этот переход был совершен, но самая последняя группа (15-20) работниц через несколько дней после перехода на разделение труда остановила машины и потребовала возврата к старым методам работы. Организации на фабрике предвидели возможность волынки и все время были начеку, но, как выяснилось впоследствии, ряд моментов был упущен. Решающую роль в организации волынки сыграла задержанная на производстве группа обеспеченных работниц, требовавших увольнения по рационализации с выдачей усиленного выходного пособия, что разрешалось приказом по фабрике. Ряд технических мероприятий, предусмотренных производственным совещанием перед переходом на дифференциацию, проведен не был, машины были не проверены. Цеховой техперсонал вел себя безответственно, отвечая на заявления работниц: «все в порядке», «что вы меня отрываете от работы» и т.п.; а подмастер этой группы кандидат партии собрал работниц в кучу и заявляет пришедшему представителю администрации: «Все машины в завале, работать нельзя». Следует отметить, что ударная группа молодежи, работавшая рядом, продолжала работу, также продолжали работать единственная в </w:t>
      </w:r>
      <w:proofErr w:type="spellStart"/>
      <w:r w:rsidRPr="00A259BD">
        <w:rPr>
          <w:rFonts w:ascii="Times New Roman" w:hAnsi="Times New Roman"/>
          <w:color w:val="000000" w:themeColor="text1"/>
          <w:sz w:val="16"/>
          <w:szCs w:val="16"/>
        </w:rPr>
        <w:t>заволынившей</w:t>
      </w:r>
      <w:proofErr w:type="spellEnd"/>
      <w:r w:rsidRPr="00A259BD">
        <w:rPr>
          <w:rFonts w:ascii="Times New Roman" w:hAnsi="Times New Roman"/>
          <w:color w:val="000000" w:themeColor="text1"/>
          <w:sz w:val="16"/>
          <w:szCs w:val="16"/>
        </w:rPr>
        <w:t xml:space="preserve"> группе коммунистка </w:t>
      </w:r>
      <w:proofErr w:type="spellStart"/>
      <w:r w:rsidRPr="00A259BD">
        <w:rPr>
          <w:rFonts w:ascii="Times New Roman" w:hAnsi="Times New Roman"/>
          <w:color w:val="000000" w:themeColor="text1"/>
          <w:sz w:val="16"/>
          <w:szCs w:val="16"/>
        </w:rPr>
        <w:t>Авебич</w:t>
      </w:r>
      <w:proofErr w:type="spellEnd"/>
      <w:r w:rsidRPr="00A259BD">
        <w:rPr>
          <w:rFonts w:ascii="Times New Roman" w:hAnsi="Times New Roman"/>
          <w:color w:val="000000" w:themeColor="text1"/>
          <w:sz w:val="16"/>
          <w:szCs w:val="16"/>
        </w:rPr>
        <w:t xml:space="preserve"> и две беспартийных работницы.</w:t>
      </w:r>
    </w:p>
    <w:p w14:paraId="47F1AFB7"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Волынка продолжалась три с лишним часа. Ряд необходимых мер сейчас принят, волынщицы резко осуждены всей фабрикой, работа идет нормально.</w:t>
      </w:r>
    </w:p>
    <w:p w14:paraId="1DEED0EE"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Наиболее ярким был случай на заводе «Большевик». Рабочий Евдокимов (в прошлом коммунист, ныне чуриковец8), ссылаясь на задержку листка, ударил по лицу кронциркулем мастера-выдвиженца Алексеева. Во всех цехах завода было проведено резкое осуждение и принято решение об увольнении Евдокимова и предании суду. На совместном собрании рабочих ремонтного и станочного цехов, где произошел этот случай, большинством голосов присутствующих против девяти было принято решение Евдокимову выразить порицание, а мастера Алексеева снять. Никому из партийцев, в том числе представителям парткома на собрании говорить не дали. Собранием дирижировали троцкист </w:t>
      </w:r>
      <w:proofErr w:type="spellStart"/>
      <w:r w:rsidRPr="00A259BD">
        <w:rPr>
          <w:rFonts w:ascii="Times New Roman" w:hAnsi="Times New Roman"/>
          <w:color w:val="000000" w:themeColor="text1"/>
          <w:sz w:val="16"/>
          <w:szCs w:val="16"/>
        </w:rPr>
        <w:t>Пурвин</w:t>
      </w:r>
      <w:proofErr w:type="spellEnd"/>
      <w:r w:rsidRPr="00A259BD">
        <w:rPr>
          <w:rFonts w:ascii="Times New Roman" w:hAnsi="Times New Roman"/>
          <w:color w:val="000000" w:themeColor="text1"/>
          <w:sz w:val="16"/>
          <w:szCs w:val="16"/>
        </w:rPr>
        <w:t xml:space="preserve"> и Ле-</w:t>
      </w:r>
      <w:proofErr w:type="spellStart"/>
      <w:r w:rsidRPr="00A259BD">
        <w:rPr>
          <w:rFonts w:ascii="Times New Roman" w:hAnsi="Times New Roman"/>
          <w:color w:val="000000" w:themeColor="text1"/>
          <w:sz w:val="16"/>
          <w:szCs w:val="16"/>
        </w:rPr>
        <w:t>вейко</w:t>
      </w:r>
      <w:proofErr w:type="spellEnd"/>
      <w:r w:rsidRPr="00A259BD">
        <w:rPr>
          <w:rFonts w:ascii="Times New Roman" w:hAnsi="Times New Roman"/>
          <w:color w:val="000000" w:themeColor="text1"/>
          <w:sz w:val="16"/>
          <w:szCs w:val="16"/>
        </w:rPr>
        <w:t xml:space="preserve"> (личность пока еще недостаточно выявленная). Коммунисты стушевались, часть из них на собрание просто не явилась, часть вела себя </w:t>
      </w:r>
      <w:proofErr w:type="spellStart"/>
      <w:r w:rsidRPr="00A259BD">
        <w:rPr>
          <w:rFonts w:ascii="Times New Roman" w:hAnsi="Times New Roman"/>
          <w:color w:val="000000" w:themeColor="text1"/>
          <w:sz w:val="16"/>
          <w:szCs w:val="16"/>
        </w:rPr>
        <w:t>хвостистски</w:t>
      </w:r>
      <w:proofErr w:type="spellEnd"/>
      <w:r w:rsidRPr="00A259BD">
        <w:rPr>
          <w:rFonts w:ascii="Times New Roman" w:hAnsi="Times New Roman"/>
          <w:color w:val="000000" w:themeColor="text1"/>
          <w:sz w:val="16"/>
          <w:szCs w:val="16"/>
        </w:rPr>
        <w:t xml:space="preserve">, секретарь комсомольской ячейки перед собранием заявил, что будет держать нейтралитет. Фактически большинство ячейки </w:t>
      </w:r>
      <w:proofErr w:type="spellStart"/>
      <w:r w:rsidRPr="00A259BD">
        <w:rPr>
          <w:rFonts w:ascii="Times New Roman" w:hAnsi="Times New Roman"/>
          <w:color w:val="000000" w:themeColor="text1"/>
          <w:sz w:val="16"/>
          <w:szCs w:val="16"/>
        </w:rPr>
        <w:t>хвостистски</w:t>
      </w:r>
      <w:proofErr w:type="spellEnd"/>
      <w:r w:rsidRPr="00A259BD">
        <w:rPr>
          <w:rFonts w:ascii="Times New Roman" w:hAnsi="Times New Roman"/>
          <w:color w:val="000000" w:themeColor="text1"/>
          <w:sz w:val="16"/>
          <w:szCs w:val="16"/>
        </w:rPr>
        <w:t xml:space="preserve"> держало нейтралитет в то время, когда классовый враг, пользуясь трудностями и ошибками, повел большинство рабочих против партийного руководства и договаривался на собрании до таких вещей, как разогнать завком, распустить Районную] Конфликтную] К[</w:t>
      </w:r>
      <w:proofErr w:type="spellStart"/>
      <w:r w:rsidRPr="00A259BD">
        <w:rPr>
          <w:rFonts w:ascii="Times New Roman" w:hAnsi="Times New Roman"/>
          <w:color w:val="000000" w:themeColor="text1"/>
          <w:sz w:val="16"/>
          <w:szCs w:val="16"/>
        </w:rPr>
        <w:t>омиссию</w:t>
      </w:r>
      <w:proofErr w:type="spellEnd"/>
      <w:r w:rsidRPr="00A259BD">
        <w:rPr>
          <w:rFonts w:ascii="Times New Roman" w:hAnsi="Times New Roman"/>
          <w:color w:val="000000" w:themeColor="text1"/>
          <w:sz w:val="16"/>
          <w:szCs w:val="16"/>
        </w:rPr>
        <w:t xml:space="preserve">] и т.п. В цеху издавна сильны </w:t>
      </w:r>
      <w:r w:rsidRPr="00A259BD">
        <w:rPr>
          <w:rFonts w:ascii="Times New Roman" w:hAnsi="Times New Roman"/>
          <w:color w:val="000000" w:themeColor="text1"/>
          <w:sz w:val="16"/>
          <w:szCs w:val="16"/>
        </w:rPr>
        <w:lastRenderedPageBreak/>
        <w:t xml:space="preserve">церковники, </w:t>
      </w:r>
      <w:proofErr w:type="spellStart"/>
      <w:r w:rsidRPr="00A259BD">
        <w:rPr>
          <w:rFonts w:ascii="Times New Roman" w:hAnsi="Times New Roman"/>
          <w:color w:val="000000" w:themeColor="text1"/>
          <w:sz w:val="16"/>
          <w:szCs w:val="16"/>
        </w:rPr>
        <w:t>чуриковцы</w:t>
      </w:r>
      <w:proofErr w:type="spellEnd"/>
      <w:r w:rsidRPr="00A259BD">
        <w:rPr>
          <w:rFonts w:ascii="Times New Roman" w:hAnsi="Times New Roman"/>
          <w:color w:val="000000" w:themeColor="text1"/>
          <w:sz w:val="16"/>
          <w:szCs w:val="16"/>
        </w:rPr>
        <w:t xml:space="preserve">, домовладельцы, бывшие эсеры и т.п.; во главе с троцкистом упомянутым </w:t>
      </w:r>
      <w:proofErr w:type="spellStart"/>
      <w:r w:rsidRPr="00A259BD">
        <w:rPr>
          <w:rFonts w:ascii="Times New Roman" w:hAnsi="Times New Roman"/>
          <w:color w:val="000000" w:themeColor="text1"/>
          <w:sz w:val="16"/>
          <w:szCs w:val="16"/>
        </w:rPr>
        <w:t>Левейко</w:t>
      </w:r>
      <w:proofErr w:type="spellEnd"/>
      <w:r w:rsidRPr="00A259BD">
        <w:rPr>
          <w:rFonts w:ascii="Times New Roman" w:hAnsi="Times New Roman"/>
          <w:color w:val="000000" w:themeColor="text1"/>
          <w:sz w:val="16"/>
          <w:szCs w:val="16"/>
        </w:rPr>
        <w:t xml:space="preserve"> они повели борьбу против выдвиженца-мастера, взявшего твердую линию в цеху после расхлябанности бывшей до него. Собрание рабочих оказалось созванным без ведома ячеек беспартийными профуполномоченными; бюро ячейки дало какую-то нечеткую линию, и собрание коммунистов предварительно созвано не было, хотя станочная мастерская определенную славу на заводе имела давно. В то же время следует отметить, что недовольство и заявления на мастера Алексеева были и ранее, но руководством не были приняты меры для своевременного выправления возможных ошибок или разъяснения в цеху и поддержки той твердой линии, которую занял выдвиженец-мастер.</w:t>
      </w:r>
    </w:p>
    <w:p w14:paraId="6DD1FEF1"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длительного обсуждения этого случая активом и партийным собранием станочной и ремонтной мастерских, созванном парткомом [завода] «Большевик», коммунисты поняли, что имели дело с проникновением враждебных влияний, с нападением на линию партии и должны были признать хвостистским поведение большинства партийцев. Парткомом намечен ряд мер для укрепления руководства цехов и подготовки собрания рабочих в целях изменения первого решения.</w:t>
      </w:r>
    </w:p>
    <w:p w14:paraId="2C2E6481"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Все приведенные случаи, когда удар был направлен против мастеров выдвиженцев, попытки срыва мероприятий по уплотнению рабочего дня или введения непрерывной недели, отказ от Дня индустриализации группы рабочих на фабрике имени Володарского (когда главным агитатором был сын городового), вредительства трех станков4 на </w:t>
      </w:r>
      <w:proofErr w:type="spellStart"/>
      <w:r w:rsidRPr="00A259BD">
        <w:rPr>
          <w:rFonts w:ascii="Times New Roman" w:hAnsi="Times New Roman"/>
          <w:color w:val="000000" w:themeColor="text1"/>
          <w:sz w:val="16"/>
          <w:szCs w:val="16"/>
        </w:rPr>
        <w:t>граммофонно</w:t>
      </w:r>
      <w:proofErr w:type="spellEnd"/>
      <w:r w:rsidRPr="00A259BD">
        <w:rPr>
          <w:rFonts w:ascii="Times New Roman" w:hAnsi="Times New Roman"/>
          <w:color w:val="000000" w:themeColor="text1"/>
          <w:sz w:val="16"/>
          <w:szCs w:val="16"/>
        </w:rPr>
        <w:t>-гармонной фабрике доказывают, что обострение борьбы против политики социалистического наступления происходит не только в деревне или других областях, но что чуждые элементы, пробравшиеся на фабрики и заводы в момент активного проведения социалистического соревнования, используют всякий случай, чтобы повести за собой более отсталую часть рабочих против партийного руководства. В ряде случаев подобные удары наносились именно там (в тех цехах), где меньше всего было развернуто социалистическое соревнование, где имела место расхлябанность в трудовой дисциплине со стороны самих коммунистов, где недостаточно было обеспечено партийное влияние. В то же время ряд прорывов связаны с тем, что технические мероприятия не поспевают за переходом к уплотненному дню, повышению норм и т.п. (завод имени Бухарина), и создающиеся технические неувязки создают почву для всяких колебаний.</w:t>
      </w:r>
    </w:p>
    <w:p w14:paraId="0AD27392"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Районный комитет указывает всем организациям на необходимость дальнейшего активного развертывания социалистического соревнования, важнейшего метода перевоспитания новых слоев рабочих, причем следует не только довольствоваться общими удовлетворительными показателями, но и учитывать имеющиеся слабые места, обеспечивая их укреплением партийного руководства. Коммунисты, добиваясь и проводя жесткое осуждение таких контрреволюционных явлений как </w:t>
      </w:r>
      <w:proofErr w:type="spellStart"/>
      <w:r w:rsidRPr="00A259BD">
        <w:rPr>
          <w:rFonts w:ascii="Times New Roman" w:hAnsi="Times New Roman"/>
          <w:color w:val="000000" w:themeColor="text1"/>
          <w:sz w:val="16"/>
          <w:szCs w:val="16"/>
        </w:rPr>
        <w:t>быковщина</w:t>
      </w:r>
      <w:proofErr w:type="spellEnd"/>
      <w:r w:rsidRPr="00A259BD">
        <w:rPr>
          <w:rFonts w:ascii="Times New Roman" w:hAnsi="Times New Roman"/>
          <w:color w:val="000000" w:themeColor="text1"/>
          <w:sz w:val="16"/>
          <w:szCs w:val="16"/>
        </w:rPr>
        <w:t>, должны активно бороться за проведение партийной линии на производстве, не боясь того, что контрреволюционные элементы будут делать попытки их «заедать в цеху», будут звать «предателями», когда коммунист остается работать и борется с волынкой, направленной против социалистического строительства. Первой обязанностью каждого члена нашей партии является быть передовым рабочим на производстве, быть в авангарде социалистического соревнования. Партийные ячейки должны выявлять и разоблачать все чуждые элементы, пробравшиеся на заводы и готовые в любой подходящий момент нанести удар по генеральной линии нашей партии.</w:t>
      </w:r>
    </w:p>
    <w:p w14:paraId="46A85F30"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 же время райком обращает внимание всех организаций на необходимость более чуткого и внимательного отношения к заявлениям .рабочих о различных неполадках на производстве, своевременного разбора заявлений и обсуждения недочетов на основе рабочей самокритики. Особенно в период проводимых уплотнений рабочего дня, повышения норм, рационализации и т.п. Следует следить и добиваться своевременного проведения решений производственных совещаний, устранения недочетов производства, вызывающих недовольство и установления действительной ответственности административно-технического персонала (особенно цехового) за проводимые организационно-технические мероприятия.</w:t>
      </w:r>
    </w:p>
    <w:p w14:paraId="4458824A"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 проводимые мероприятия по рационализации, уплотнению рабочего дня и т.п. перед их проведением необходимо обязательно широко разъяснять среди рабочих, мобилизуя общественное мнение в целях их проведения.</w:t>
      </w:r>
    </w:p>
    <w:p w14:paraId="128B2029"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Успешное развертывание социалистического соревнования, повышение производительности труда и трудовой дисциплины неизбежно вызывает обострение борьбы со стороны чуждых элементов. Но организация ударит крепко по рукам тем, кто мешает нам работать, ответит на это еще более усиленной работой по рационализации, улучшением массовой воспитательной работой коллективов и фабкомов, дальнейшим развертыванием социалистического соревнования.</w:t>
      </w:r>
    </w:p>
    <w:p w14:paraId="7E5D7F1C"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Настоящее письмо огласите и обсудите на партийных собраниях. Володарский райком ВКП(б)</w:t>
      </w:r>
    </w:p>
    <w:p w14:paraId="63E25A8B"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ЦГАИПД СПб. Ф. 24, </w:t>
      </w:r>
      <w:proofErr w:type="spellStart"/>
      <w:r w:rsidRPr="00A259BD">
        <w:rPr>
          <w:rFonts w:ascii="Times New Roman" w:hAnsi="Times New Roman"/>
          <w:color w:val="000000" w:themeColor="text1"/>
          <w:sz w:val="16"/>
          <w:szCs w:val="16"/>
        </w:rPr>
        <w:t>on</w:t>
      </w:r>
      <w:proofErr w:type="spellEnd"/>
      <w:r w:rsidRPr="00A259BD">
        <w:rPr>
          <w:rFonts w:ascii="Times New Roman" w:hAnsi="Times New Roman"/>
          <w:color w:val="000000" w:themeColor="text1"/>
          <w:sz w:val="16"/>
          <w:szCs w:val="16"/>
        </w:rPr>
        <w:t>. 5, д. 1068, л. 28-31. Ротаторный экземпляр.</w:t>
      </w:r>
    </w:p>
    <w:p w14:paraId="7DB86C9F"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w:t>
      </w:r>
      <w:proofErr w:type="spellStart"/>
      <w:r w:rsidRPr="00A259BD">
        <w:rPr>
          <w:rFonts w:ascii="Times New Roman" w:hAnsi="Times New Roman"/>
          <w:color w:val="000000" w:themeColor="text1"/>
          <w:sz w:val="16"/>
          <w:szCs w:val="16"/>
        </w:rPr>
        <w:t>Быковщина</w:t>
      </w:r>
      <w:proofErr w:type="spellEnd"/>
      <w:r w:rsidRPr="00A259BD">
        <w:rPr>
          <w:rFonts w:ascii="Times New Roman" w:hAnsi="Times New Roman"/>
          <w:color w:val="000000" w:themeColor="text1"/>
          <w:sz w:val="16"/>
          <w:szCs w:val="16"/>
        </w:rPr>
        <w:t xml:space="preserve"> - сопротивление рабочих борьбе инженерно-технических работников против нарушителей производственной дисциплины. Это явление получило название по фамилии рабочего рантово-затяжного отделения фабрики «Скороход» Быкова, который за прогулы, брак в работе и грубость был уволен с фабрики мастером-выдвиженцем, коммунистом Степанковым, и в отместку 3 ноября 1928 г. пытался застрелить Степанкова из револьвера. Это происшествие получило огласку в печати и осуждалось коммунистами на собраниях рабочих как «вылазка классового врага» (Социалистическое соревнование на предприятиях Ленинграда в годы Первой пятилетки (1928-1932). Сб. документов и материалов. Л., 1961. С. 49, 315). Судя по резолюции бюро Ленинградского обкома ВКП(б) от 19 декабря 1928 г., партийное руководство было встревожено ростом аналогичных происшествий: «За последнее время на некоторых предприятиях имели место недопустимые факты расправы с мастерами («</w:t>
      </w:r>
      <w:proofErr w:type="spellStart"/>
      <w:r w:rsidRPr="00A259BD">
        <w:rPr>
          <w:rFonts w:ascii="Times New Roman" w:hAnsi="Times New Roman"/>
          <w:color w:val="000000" w:themeColor="text1"/>
          <w:sz w:val="16"/>
          <w:szCs w:val="16"/>
        </w:rPr>
        <w:t>быковщина</w:t>
      </w:r>
      <w:proofErr w:type="spellEnd"/>
      <w:r w:rsidRPr="00A259BD">
        <w:rPr>
          <w:rFonts w:ascii="Times New Roman" w:hAnsi="Times New Roman"/>
          <w:color w:val="000000" w:themeColor="text1"/>
          <w:sz w:val="16"/>
          <w:szCs w:val="16"/>
        </w:rPr>
        <w:t xml:space="preserve">»). Основной причиной этого является неверный взгляд некоторых отсталых рабочих на мастера наших социалистических предприятий, </w:t>
      </w:r>
      <w:proofErr w:type="spellStart"/>
      <w:r w:rsidRPr="00A259BD">
        <w:rPr>
          <w:rFonts w:ascii="Times New Roman" w:hAnsi="Times New Roman"/>
          <w:color w:val="000000" w:themeColor="text1"/>
          <w:sz w:val="16"/>
          <w:szCs w:val="16"/>
        </w:rPr>
        <w:t>приравнение</w:t>
      </w:r>
      <w:proofErr w:type="spellEnd"/>
      <w:r w:rsidRPr="00A259BD">
        <w:rPr>
          <w:rFonts w:ascii="Times New Roman" w:hAnsi="Times New Roman"/>
          <w:color w:val="000000" w:themeColor="text1"/>
          <w:sz w:val="16"/>
          <w:szCs w:val="16"/>
        </w:rPr>
        <w:t xml:space="preserve"> его к мастеру капиталистического предприятия». Обком дал указание партийным, профсоюзных и комсомольским организациям предприятий «повести решительную борьбу со всеми проявлениями "</w:t>
      </w:r>
      <w:proofErr w:type="spellStart"/>
      <w:r w:rsidRPr="00A259BD">
        <w:rPr>
          <w:rFonts w:ascii="Times New Roman" w:hAnsi="Times New Roman"/>
          <w:color w:val="000000" w:themeColor="text1"/>
          <w:sz w:val="16"/>
          <w:szCs w:val="16"/>
        </w:rPr>
        <w:t>быковщины</w:t>
      </w:r>
      <w:proofErr w:type="spellEnd"/>
      <w:r w:rsidRPr="00A259BD">
        <w:rPr>
          <w:rFonts w:ascii="Times New Roman" w:hAnsi="Times New Roman"/>
          <w:color w:val="000000" w:themeColor="text1"/>
          <w:sz w:val="16"/>
          <w:szCs w:val="16"/>
        </w:rPr>
        <w:t>", указывая на явно враждебный делу социалистического строительства характер подобных явлений и на недопустимость совмещения их с пребыванием в рядах организованного пролетариата (профсоюзы)», и предлагал «профсоюзам развернуть соответствующую воспитательную работу вокруг вопросов, связанных с дисциплиной труда и ролью мастеров в производстве, добиться полного уяснения всеми, вплоть до самых отсталых слоев рабочих, сущности взаимоотношений между рабочими и хозяйственными организациями на советском предприятии» (Коммунисты Ленинграда в борьбе за выполнение решений партии по индустриализации страны (1926-1929 гг.). Сб. документов и материалов. Л., 1960. С. 133-134).</w:t>
      </w:r>
    </w:p>
    <w:p w14:paraId="272BFFB5"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2День индустриализации - всесоюзный «воскресник» 6 августа 1929 г. с целью сбора средств для индустриализации СССР. Инициирован публикацией в «Ленинградской правде» (9 июня 1929 г.) обращения от лица рабочего малярного цеха Пролетарского паровозоремонтного завода, большевика с 1917 г. </w:t>
      </w:r>
      <w:proofErr w:type="spellStart"/>
      <w:r w:rsidRPr="00A259BD">
        <w:rPr>
          <w:rFonts w:ascii="Times New Roman" w:hAnsi="Times New Roman"/>
          <w:color w:val="000000" w:themeColor="text1"/>
          <w:sz w:val="16"/>
          <w:szCs w:val="16"/>
        </w:rPr>
        <w:t>П.Н.Слободчикова</w:t>
      </w:r>
      <w:proofErr w:type="spellEnd"/>
      <w:r w:rsidRPr="00A259BD">
        <w:rPr>
          <w:rFonts w:ascii="Times New Roman" w:hAnsi="Times New Roman"/>
          <w:color w:val="000000" w:themeColor="text1"/>
          <w:sz w:val="16"/>
          <w:szCs w:val="16"/>
        </w:rPr>
        <w:t xml:space="preserve"> «Ко всем трудящимся Советского Союза об установлении Дня индустриализации». В обращении утверждалось, что «против отработки дня индустриализации ни один сознательный трудящийся возражать не будет». </w:t>
      </w:r>
      <w:proofErr w:type="spellStart"/>
      <w:r w:rsidRPr="00A259BD">
        <w:rPr>
          <w:rFonts w:ascii="Times New Roman" w:hAnsi="Times New Roman"/>
          <w:color w:val="000000" w:themeColor="text1"/>
          <w:sz w:val="16"/>
          <w:szCs w:val="16"/>
        </w:rPr>
        <w:t>С.М.Киров</w:t>
      </w:r>
      <w:proofErr w:type="spellEnd"/>
      <w:r w:rsidRPr="00A259BD">
        <w:rPr>
          <w:rFonts w:ascii="Times New Roman" w:hAnsi="Times New Roman"/>
          <w:color w:val="000000" w:themeColor="text1"/>
          <w:sz w:val="16"/>
          <w:szCs w:val="16"/>
        </w:rPr>
        <w:t xml:space="preserve"> поддержал «обращение Слободчикова» как образец борьбы за пятилетку. 8 июля общегородское собрание профсоюзного актива с участием </w:t>
      </w:r>
      <w:proofErr w:type="spellStart"/>
      <w:r w:rsidRPr="00A259BD">
        <w:rPr>
          <w:rFonts w:ascii="Times New Roman" w:hAnsi="Times New Roman"/>
          <w:color w:val="000000" w:themeColor="text1"/>
          <w:sz w:val="16"/>
          <w:szCs w:val="16"/>
        </w:rPr>
        <w:t>М.Горького</w:t>
      </w:r>
      <w:proofErr w:type="spellEnd"/>
      <w:r w:rsidRPr="00A259BD">
        <w:rPr>
          <w:rFonts w:ascii="Times New Roman" w:hAnsi="Times New Roman"/>
          <w:color w:val="000000" w:themeColor="text1"/>
          <w:sz w:val="16"/>
          <w:szCs w:val="16"/>
        </w:rPr>
        <w:t xml:space="preserve"> в Московско-Нарвском Доме культуры им. Горького приняло обращение к рабочим Ленинграда показать пример в проведении «Дня индустриализации». Он был назначен Оргбюро ВЦСПС на 6 августа, когда часть христиан, придерживавшихся нового стиля (обновленцы), праздновала Преображение Господне. Это соответствовало принятой в январе 1929 г. в Политбюро ЦК ВКП(б) программе борьбы с религией как легальной контрреволюционной силой путем использования административных мер и репрессий. В тот год ленинградские власти закрыли 49 храмов. (Об итогах «Дня индустриализации» в Ленинграде см.: Социалистическое соревнование на предприятиях Ленинграда в годы Первой пятилетки. С. 86-93, 317; Коммунисты Ленинграда в борьбе за выполнение решений партии по индустриализации страны. С. 443-446).</w:t>
      </w:r>
    </w:p>
    <w:p w14:paraId="5DFD849D"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w:t>
      </w:r>
      <w:proofErr w:type="spellStart"/>
      <w:r w:rsidRPr="00A259BD">
        <w:rPr>
          <w:rFonts w:ascii="Times New Roman" w:hAnsi="Times New Roman"/>
          <w:color w:val="000000" w:themeColor="text1"/>
          <w:sz w:val="16"/>
          <w:szCs w:val="16"/>
        </w:rPr>
        <w:t>Чуриковцы</w:t>
      </w:r>
      <w:proofErr w:type="spellEnd"/>
      <w:r w:rsidRPr="00A259BD">
        <w:rPr>
          <w:rFonts w:ascii="Times New Roman" w:hAnsi="Times New Roman"/>
          <w:color w:val="000000" w:themeColor="text1"/>
          <w:sz w:val="16"/>
          <w:szCs w:val="16"/>
        </w:rPr>
        <w:t xml:space="preserve"> - христиане-трезвенники, объединившиеся вокруг своего духовного вождя «братца» Ивана Алексеевича Чурикова (1861-1929). Духовный последователь Иоанна Кронштадтского </w:t>
      </w:r>
      <w:proofErr w:type="spellStart"/>
      <w:r w:rsidRPr="00A259BD">
        <w:rPr>
          <w:rFonts w:ascii="Times New Roman" w:hAnsi="Times New Roman"/>
          <w:color w:val="000000" w:themeColor="text1"/>
          <w:sz w:val="16"/>
          <w:szCs w:val="16"/>
        </w:rPr>
        <w:t>И.А.Чуриков</w:t>
      </w:r>
      <w:proofErr w:type="spellEnd"/>
      <w:r w:rsidRPr="00A259BD">
        <w:rPr>
          <w:rFonts w:ascii="Times New Roman" w:hAnsi="Times New Roman"/>
          <w:color w:val="000000" w:themeColor="text1"/>
          <w:sz w:val="16"/>
          <w:szCs w:val="16"/>
        </w:rPr>
        <w:t xml:space="preserve"> в 1896 г. начал </w:t>
      </w:r>
      <w:proofErr w:type="spellStart"/>
      <w:r w:rsidRPr="00A259BD">
        <w:rPr>
          <w:rFonts w:ascii="Times New Roman" w:hAnsi="Times New Roman"/>
          <w:color w:val="000000" w:themeColor="text1"/>
          <w:sz w:val="16"/>
          <w:szCs w:val="16"/>
        </w:rPr>
        <w:t>проповедывать</w:t>
      </w:r>
      <w:proofErr w:type="spellEnd"/>
      <w:r w:rsidRPr="00A259BD">
        <w:rPr>
          <w:rFonts w:ascii="Times New Roman" w:hAnsi="Times New Roman"/>
          <w:color w:val="000000" w:themeColor="text1"/>
          <w:sz w:val="16"/>
          <w:szCs w:val="16"/>
        </w:rPr>
        <w:t xml:space="preserve"> среди бродяг и пьяниц на Сенной площади в Петербурге об отказе от вина, курения и животной пищи как главных источников зла. В 1900 г. он создал «Общество христиан-трезвенников», указом духовной консистории от 14 августа 1914 г. объявлен сектантом и отлучен от таинства святого причастия. Приход к власти большевиков он приветствовал и объявил труды и деятельность Ленина религиозным чудом. В 1918 г. под Петроградом, в поселке Вырица, </w:t>
      </w:r>
      <w:proofErr w:type="spellStart"/>
      <w:r w:rsidRPr="00A259BD">
        <w:rPr>
          <w:rFonts w:ascii="Times New Roman" w:hAnsi="Times New Roman"/>
          <w:color w:val="000000" w:themeColor="text1"/>
          <w:sz w:val="16"/>
          <w:szCs w:val="16"/>
        </w:rPr>
        <w:t>И.А.Чуриков</w:t>
      </w:r>
      <w:proofErr w:type="spellEnd"/>
      <w:r w:rsidRPr="00A259BD">
        <w:rPr>
          <w:rFonts w:ascii="Times New Roman" w:hAnsi="Times New Roman"/>
          <w:color w:val="000000" w:themeColor="text1"/>
          <w:sz w:val="16"/>
          <w:szCs w:val="16"/>
        </w:rPr>
        <w:t xml:space="preserve"> с последователями создали религиозно-хозяйственную коммуну «Б.И.Ч.» (братца Иоанна Чурикова). Ее члены осушили несколько гектаров болота, занимались земледелием, скотоводством и ремеслами с большим успехом, чем созданные большевиками коммуны. К 1927 г. насчитывалось 360 тыс. последователей Иоанна Чурикова в Вырице, Петрограде и других местах. Среди них было много рабочих, особенно молодежи. </w:t>
      </w:r>
      <w:proofErr w:type="spellStart"/>
      <w:r w:rsidRPr="00A259BD">
        <w:rPr>
          <w:rFonts w:ascii="Times New Roman" w:hAnsi="Times New Roman"/>
          <w:color w:val="000000" w:themeColor="text1"/>
          <w:sz w:val="16"/>
          <w:szCs w:val="16"/>
        </w:rPr>
        <w:t>Г.Е.Зиновьев</w:t>
      </w:r>
      <w:proofErr w:type="spellEnd"/>
      <w:r w:rsidRPr="00A259BD">
        <w:rPr>
          <w:rFonts w:ascii="Times New Roman" w:hAnsi="Times New Roman"/>
          <w:color w:val="000000" w:themeColor="text1"/>
          <w:sz w:val="16"/>
          <w:szCs w:val="16"/>
        </w:rPr>
        <w:t xml:space="preserve"> покровительствовал </w:t>
      </w:r>
      <w:proofErr w:type="spellStart"/>
      <w:r w:rsidRPr="00A259BD">
        <w:rPr>
          <w:rFonts w:ascii="Times New Roman" w:hAnsi="Times New Roman"/>
          <w:color w:val="000000" w:themeColor="text1"/>
          <w:sz w:val="16"/>
          <w:szCs w:val="16"/>
        </w:rPr>
        <w:t>чуриковцам</w:t>
      </w:r>
      <w:proofErr w:type="spellEnd"/>
      <w:r w:rsidRPr="00A259BD">
        <w:rPr>
          <w:rFonts w:ascii="Times New Roman" w:hAnsi="Times New Roman"/>
          <w:color w:val="000000" w:themeColor="text1"/>
          <w:sz w:val="16"/>
          <w:szCs w:val="16"/>
        </w:rPr>
        <w:t xml:space="preserve">, но после его отстранения от власти это течение «строителей коммунизма на религиозной основе» было объявлено контрреволюционным и антисоветским, </w:t>
      </w:r>
      <w:proofErr w:type="spellStart"/>
      <w:r w:rsidRPr="00A259BD">
        <w:rPr>
          <w:rFonts w:ascii="Times New Roman" w:hAnsi="Times New Roman"/>
          <w:color w:val="000000" w:themeColor="text1"/>
          <w:sz w:val="16"/>
          <w:szCs w:val="16"/>
        </w:rPr>
        <w:t>чуриковцев</w:t>
      </w:r>
      <w:proofErr w:type="spellEnd"/>
      <w:r w:rsidRPr="00A259BD">
        <w:rPr>
          <w:rFonts w:ascii="Times New Roman" w:hAnsi="Times New Roman"/>
          <w:color w:val="000000" w:themeColor="text1"/>
          <w:sz w:val="16"/>
          <w:szCs w:val="16"/>
        </w:rPr>
        <w:t xml:space="preserve"> лишали избирательных прав. В 1929 г. </w:t>
      </w:r>
      <w:proofErr w:type="spellStart"/>
      <w:r w:rsidRPr="00A259BD">
        <w:rPr>
          <w:rFonts w:ascii="Times New Roman" w:hAnsi="Times New Roman"/>
          <w:color w:val="000000" w:themeColor="text1"/>
          <w:sz w:val="16"/>
          <w:szCs w:val="16"/>
        </w:rPr>
        <w:t>вырицкая</w:t>
      </w:r>
      <w:proofErr w:type="spellEnd"/>
      <w:r w:rsidRPr="00A259BD">
        <w:rPr>
          <w:rFonts w:ascii="Times New Roman" w:hAnsi="Times New Roman"/>
          <w:color w:val="000000" w:themeColor="text1"/>
          <w:sz w:val="16"/>
          <w:szCs w:val="16"/>
        </w:rPr>
        <w:t xml:space="preserve"> коммуна «Б.И.Ч.» была разгромлена, многие ее члены репрессированы, </w:t>
      </w:r>
      <w:proofErr w:type="spellStart"/>
      <w:r w:rsidRPr="00A259BD">
        <w:rPr>
          <w:rFonts w:ascii="Times New Roman" w:hAnsi="Times New Roman"/>
          <w:color w:val="000000" w:themeColor="text1"/>
          <w:sz w:val="16"/>
          <w:szCs w:val="16"/>
        </w:rPr>
        <w:t>И.А.Чуриков</w:t>
      </w:r>
      <w:proofErr w:type="spellEnd"/>
      <w:r w:rsidRPr="00A259BD">
        <w:rPr>
          <w:rFonts w:ascii="Times New Roman" w:hAnsi="Times New Roman"/>
          <w:color w:val="000000" w:themeColor="text1"/>
          <w:sz w:val="16"/>
          <w:szCs w:val="16"/>
        </w:rPr>
        <w:t xml:space="preserve"> в том же году погиб в Ярославской политической тюрьме. В 1988 г. </w:t>
      </w:r>
      <w:proofErr w:type="spellStart"/>
      <w:r w:rsidRPr="00A259BD">
        <w:rPr>
          <w:rFonts w:ascii="Times New Roman" w:hAnsi="Times New Roman"/>
          <w:color w:val="000000" w:themeColor="text1"/>
          <w:sz w:val="16"/>
          <w:szCs w:val="16"/>
        </w:rPr>
        <w:t>чуриковцы</w:t>
      </w:r>
      <w:proofErr w:type="spellEnd"/>
      <w:r w:rsidRPr="00A259BD">
        <w:rPr>
          <w:rFonts w:ascii="Times New Roman" w:hAnsi="Times New Roman"/>
          <w:color w:val="000000" w:themeColor="text1"/>
          <w:sz w:val="16"/>
          <w:szCs w:val="16"/>
        </w:rPr>
        <w:t xml:space="preserve"> реабилитированы, в 1989 г. официально зарегистрировано «Общество христиан-трезвенников, последователей Иоанна Чурикова». После шестидесяти лет подполья </w:t>
      </w:r>
      <w:proofErr w:type="spellStart"/>
      <w:r w:rsidRPr="00A259BD">
        <w:rPr>
          <w:rFonts w:ascii="Times New Roman" w:hAnsi="Times New Roman"/>
          <w:color w:val="000000" w:themeColor="text1"/>
          <w:sz w:val="16"/>
          <w:szCs w:val="16"/>
        </w:rPr>
        <w:t>чуриковцы</w:t>
      </w:r>
      <w:proofErr w:type="spellEnd"/>
      <w:r w:rsidRPr="00A259BD">
        <w:rPr>
          <w:rFonts w:ascii="Times New Roman" w:hAnsi="Times New Roman"/>
          <w:color w:val="000000" w:themeColor="text1"/>
          <w:sz w:val="16"/>
          <w:szCs w:val="16"/>
        </w:rPr>
        <w:t xml:space="preserve"> возродили в Вырице свою коммуну.</w:t>
      </w:r>
    </w:p>
    <w:p w14:paraId="61D56E46"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Так в документе (12214).</w:t>
      </w:r>
    </w:p>
    <w:p w14:paraId="53F45B34" w14:textId="77777777" w:rsidR="00B25ADA" w:rsidRPr="00A259BD" w:rsidRDefault="00B25ADA" w:rsidP="009236E3">
      <w:pPr>
        <w:spacing w:after="0" w:line="240" w:lineRule="auto"/>
        <w:jc w:val="both"/>
        <w:rPr>
          <w:rFonts w:ascii="Times New Roman" w:hAnsi="Times New Roman"/>
          <w:color w:val="000000" w:themeColor="text1"/>
          <w:sz w:val="16"/>
          <w:szCs w:val="16"/>
        </w:rPr>
      </w:pPr>
    </w:p>
    <w:p w14:paraId="605BC9AF"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августа 1929 года, еще до того, как Опытный завод произвел свою первую продукцию, СНК СССР принял решение о строительстве сразу двух алюминиевых комбинатов – на базе уже действующей Волховской гидроэлектростанции и еще строящейся Днепровской (Днепрогэса). В 1930 году началось строительство Волховского алюминиевого комбината, в состав которого входили глиноземный и электролизный заводы. Производство глинозема было рассчитано на переработку до 12,5 тонны тихвинских бокситов в год (12225).</w:t>
      </w:r>
    </w:p>
    <w:p w14:paraId="3C5518B7" w14:textId="77777777" w:rsidR="00B25ADA" w:rsidRPr="00A259BD" w:rsidRDefault="00B25ADA" w:rsidP="009236E3">
      <w:pPr>
        <w:spacing w:after="0" w:line="240" w:lineRule="auto"/>
        <w:jc w:val="both"/>
        <w:rPr>
          <w:rFonts w:ascii="Times New Roman" w:hAnsi="Times New Roman"/>
          <w:color w:val="000000" w:themeColor="text1"/>
          <w:sz w:val="16"/>
          <w:szCs w:val="16"/>
        </w:rPr>
      </w:pPr>
    </w:p>
    <w:p w14:paraId="27A1EBAA" w14:textId="77777777" w:rsidR="00B25ADA" w:rsidRPr="00A259BD" w:rsidRDefault="00B25ADA"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2 августа</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xml:space="preserve">. Постановление СТО СССР об итогах и перспективах работы Ленинградского судостроительного треста (пр. № 28, п. 23 </w:t>
      </w:r>
      <w:proofErr w:type="spellStart"/>
      <w:r w:rsidRPr="00A259BD">
        <w:rPr>
          <w:rFonts w:ascii="Times New Roman" w:hAnsi="Times New Roman"/>
          <w:color w:val="000000" w:themeColor="text1"/>
          <w:sz w:val="16"/>
          <w:szCs w:val="16"/>
          <w:u w:color="002060"/>
        </w:rPr>
        <w:t>пр</w:t>
      </w:r>
      <w:proofErr w:type="spellEnd"/>
      <w:r w:rsidRPr="00A259BD">
        <w:rPr>
          <w:rFonts w:ascii="Times New Roman" w:hAnsi="Times New Roman"/>
          <w:color w:val="000000" w:themeColor="text1"/>
          <w:sz w:val="16"/>
          <w:szCs w:val="16"/>
          <w:u w:color="002060"/>
        </w:rPr>
        <w:t>) (ГА РФ. Ф. 5674. Оп. 1. Д. 37. Л. 127?135) (12415).</w:t>
      </w:r>
    </w:p>
    <w:p w14:paraId="09DAA1AB" w14:textId="77777777" w:rsidR="00B25ADA" w:rsidRPr="00A259BD" w:rsidRDefault="00B25ADA" w:rsidP="009236E3">
      <w:pPr>
        <w:spacing w:after="0" w:line="240" w:lineRule="auto"/>
        <w:jc w:val="both"/>
        <w:rPr>
          <w:rFonts w:ascii="Times New Roman" w:hAnsi="Times New Roman"/>
          <w:color w:val="000000" w:themeColor="text1"/>
          <w:sz w:val="16"/>
          <w:szCs w:val="16"/>
          <w:u w:color="002060"/>
        </w:rPr>
      </w:pPr>
    </w:p>
    <w:p w14:paraId="2378C67C"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августа 1929 г. ВСНХ СССР принимает решение о строительстве двух алюминиевых заводов: в г. Волхове и в г. Запорожье. Производство глинозема на Волховском алюминиевом заводе проектировалось по способу спекания Мюллера-Яковкина, на Днепровском – по электротермическому способу Кузнецова-Жуковского. </w:t>
      </w:r>
    </w:p>
    <w:p w14:paraId="6B6340B6"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11 сентября 1931 г. Постановлением Президиума ВСНХ (№ 640) «родился» «</w:t>
      </w:r>
      <w:proofErr w:type="spellStart"/>
      <w:r w:rsidRPr="00A259BD">
        <w:rPr>
          <w:rFonts w:ascii="Times New Roman" w:hAnsi="Times New Roman"/>
          <w:color w:val="000000" w:themeColor="text1"/>
          <w:sz w:val="16"/>
          <w:szCs w:val="16"/>
        </w:rPr>
        <w:t>Союзалюминий</w:t>
      </w:r>
      <w:proofErr w:type="spellEnd"/>
      <w:r w:rsidRPr="00A259BD">
        <w:rPr>
          <w:rFonts w:ascii="Times New Roman" w:hAnsi="Times New Roman"/>
          <w:color w:val="000000" w:themeColor="text1"/>
          <w:sz w:val="16"/>
          <w:szCs w:val="16"/>
        </w:rPr>
        <w:t>». В 1932 году «на свет» появился институт «</w:t>
      </w:r>
      <w:proofErr w:type="spellStart"/>
      <w:r w:rsidRPr="00A259BD">
        <w:rPr>
          <w:rFonts w:ascii="Times New Roman" w:hAnsi="Times New Roman"/>
          <w:color w:val="000000" w:themeColor="text1"/>
          <w:sz w:val="16"/>
          <w:szCs w:val="16"/>
        </w:rPr>
        <w:t>Гипроалюминий</w:t>
      </w:r>
      <w:proofErr w:type="spellEnd"/>
      <w:r w:rsidRPr="00A259BD">
        <w:rPr>
          <w:rFonts w:ascii="Times New Roman" w:hAnsi="Times New Roman"/>
          <w:color w:val="000000" w:themeColor="text1"/>
          <w:sz w:val="16"/>
          <w:szCs w:val="16"/>
        </w:rPr>
        <w:t xml:space="preserve">» - предок всемирно известного Всесоюзного алюминиево-магниевого института (ВАМИ). </w:t>
      </w:r>
    </w:p>
    <w:p w14:paraId="59B672C3"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Первая партия алюминия получена 14 мая 1932 года на Волховском алюминиевом заводе. 14 сентября здесь же получен первый российский глинозем. В июле 1933 года «пущен в строй» Днепровский алюминиевый завод. </w:t>
      </w:r>
    </w:p>
    <w:p w14:paraId="475D8B5D"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Развитие алюминиевого производства органично вписывалось в план ГОЭЛРО, по которому создавалась энергетическая база для превращения России в крупную индустриальную державу. Без алюминия, как основного металла для электротехники, невозможна была реализация плана ГОЭЛРО, а без его реализации создание энергоемкого алюминиевого производства. </w:t>
      </w:r>
    </w:p>
    <w:p w14:paraId="6AB85788"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Уже в эти годы закладывались основные принципы создания российской алюминиевой промышленности – строительство алюминиевых предприятий в непосредственной близости от энергомощностей, работающих на наименее затратной, экологически чисто и возобновляемой гидроэнергии. </w:t>
      </w:r>
    </w:p>
    <w:p w14:paraId="3D02FA10"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Наиболее полную практическую реализацию эти принципы получили в годы, когда Правительство СССР возглавлял </w:t>
      </w:r>
      <w:proofErr w:type="spellStart"/>
      <w:r w:rsidRPr="00A259BD">
        <w:rPr>
          <w:rFonts w:ascii="Times New Roman" w:hAnsi="Times New Roman"/>
          <w:color w:val="000000" w:themeColor="text1"/>
          <w:sz w:val="16"/>
          <w:szCs w:val="16"/>
        </w:rPr>
        <w:t>А.Н.Косыгин</w:t>
      </w:r>
      <w:proofErr w:type="spellEnd"/>
      <w:r w:rsidRPr="00A259BD">
        <w:rPr>
          <w:rFonts w:ascii="Times New Roman" w:hAnsi="Times New Roman"/>
          <w:color w:val="000000" w:themeColor="text1"/>
          <w:sz w:val="16"/>
          <w:szCs w:val="16"/>
        </w:rPr>
        <w:t xml:space="preserve">. Именно тогда алюминиевая промышленность стала развиваться в Сибири на базе крупнейших в мире гидростанций. </w:t>
      </w:r>
    </w:p>
    <w:p w14:paraId="364002BE"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годы Великой Отечественной войны проблема обеспечения алюминием советской авиации стала особенно острой, так как в самом начале войны страна лишилась производителей алюминия – Волховского и Днепровского алюминиевых заводов. </w:t>
      </w:r>
    </w:p>
    <w:p w14:paraId="50B5FF13"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Государство приняло экстренные меры по перемещению алюминиевого производства на Урал и в Сибирь. При строительстве Богословского и Новокузнецкого алюминиевых заводов, которое велось ускоренными темпами и было завершено в годы войны, использовалось оборудование, вывезенное с Бокситогорского, Волховского и Днепровского заводов. </w:t>
      </w:r>
    </w:p>
    <w:p w14:paraId="710763C0" w14:textId="55656633"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военные годы было произведено 350 тыс.</w:t>
      </w:r>
      <w:r w:rsidR="00E77DD0" w:rsidRPr="00A259BD">
        <w:rPr>
          <w:rFonts w:ascii="Times New Roman" w:hAnsi="Times New Roman"/>
          <w:color w:val="000000" w:themeColor="text1"/>
          <w:sz w:val="16"/>
          <w:szCs w:val="16"/>
        </w:rPr>
        <w:t xml:space="preserve"> </w:t>
      </w:r>
      <w:r w:rsidRPr="00A259BD">
        <w:rPr>
          <w:rFonts w:ascii="Times New Roman" w:hAnsi="Times New Roman"/>
          <w:color w:val="000000" w:themeColor="text1"/>
          <w:sz w:val="16"/>
          <w:szCs w:val="16"/>
        </w:rPr>
        <w:t xml:space="preserve">т алюминия и 755 </w:t>
      </w:r>
      <w:proofErr w:type="spellStart"/>
      <w:r w:rsidRPr="00A259BD">
        <w:rPr>
          <w:rFonts w:ascii="Times New Roman" w:hAnsi="Times New Roman"/>
          <w:color w:val="000000" w:themeColor="text1"/>
          <w:sz w:val="16"/>
          <w:szCs w:val="16"/>
        </w:rPr>
        <w:t>тыс.т</w:t>
      </w:r>
      <w:proofErr w:type="spellEnd"/>
      <w:r w:rsidRPr="00A259BD">
        <w:rPr>
          <w:rFonts w:ascii="Times New Roman" w:hAnsi="Times New Roman"/>
          <w:color w:val="000000" w:themeColor="text1"/>
          <w:sz w:val="16"/>
          <w:szCs w:val="16"/>
        </w:rPr>
        <w:t xml:space="preserve"> глинозема. С первых же дней войны на Уральском алюминиевом заводе (УАЗ) было организовано производство кремния и силумина. Таким образом, страна получила значительное количество алюминия для авиастроения. И это обстоятельство стало одним из решающих факторов в достижении Великой Победы (12272).</w:t>
      </w:r>
    </w:p>
    <w:p w14:paraId="438AB383" w14:textId="77777777" w:rsidR="00B25ADA" w:rsidRPr="00A259BD" w:rsidRDefault="00B25ADA" w:rsidP="009236E3">
      <w:pPr>
        <w:spacing w:after="0" w:line="240" w:lineRule="auto"/>
        <w:jc w:val="both"/>
        <w:rPr>
          <w:rFonts w:ascii="Times New Roman" w:hAnsi="Times New Roman"/>
          <w:color w:val="000000" w:themeColor="text1"/>
          <w:sz w:val="16"/>
          <w:szCs w:val="16"/>
        </w:rPr>
      </w:pPr>
    </w:p>
    <w:p w14:paraId="3B157EAF"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 августа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СТО принял постановление «О перспективах развития цветной металлопромышленности» (12265).</w:t>
      </w:r>
    </w:p>
    <w:p w14:paraId="42A9CE19"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07547C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августа 1929 вышло постановление СТО "О перспективах развития цветной металлопромышленности" (423,127).</w:t>
      </w:r>
    </w:p>
    <w:p w14:paraId="4F410D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B3FC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августа 1929 года вышло решение Совнаркома СССР о строительстве сразу двух алюминиевых комбинатов на базе Волховской и Днепровской гидроэлектростанций перед проектировщиками встал вопрос о типе конструкции основного агрегата, выплавляющего металл - электролизера (11273).</w:t>
      </w:r>
    </w:p>
    <w:p w14:paraId="4CD96B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2DB711" w14:textId="77777777" w:rsidR="00E77DD0" w:rsidRPr="00A259BD" w:rsidRDefault="00E77D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августа 1929 г. СТО принял постановление "О перспективах развития цвет</w:t>
      </w:r>
      <w:r w:rsidRPr="00A259BD">
        <w:rPr>
          <w:rFonts w:ascii="Times New Roman" w:hAnsi="Times New Roman"/>
          <w:color w:val="000000" w:themeColor="text1"/>
          <w:sz w:val="16"/>
          <w:szCs w:val="16"/>
        </w:rPr>
        <w:softHyphen/>
        <w:t>ной металлопромышленности", в котором пересматривались темпы развития алюминиевой промышленности, заложенные в пятилетнем плане. Составители прежнего плана, исходя из фа</w:t>
      </w:r>
      <w:r w:rsidRPr="00A259BD">
        <w:rPr>
          <w:rFonts w:ascii="Times New Roman" w:hAnsi="Times New Roman"/>
          <w:color w:val="000000" w:themeColor="text1"/>
          <w:sz w:val="16"/>
          <w:szCs w:val="16"/>
        </w:rPr>
        <w:softHyphen/>
        <w:t>ктического импорта алюминия, предусматривали доведение про</w:t>
      </w:r>
      <w:r w:rsidRPr="00A259BD">
        <w:rPr>
          <w:rFonts w:ascii="Times New Roman" w:hAnsi="Times New Roman"/>
          <w:color w:val="000000" w:themeColor="text1"/>
          <w:sz w:val="16"/>
          <w:szCs w:val="16"/>
        </w:rPr>
        <w:softHyphen/>
        <w:t>изводства выплавки алюминия до 5 тыс. т в год. Постановление, основываясь на планах строительства воздушного флота, требо</w:t>
      </w:r>
      <w:r w:rsidRPr="00A259BD">
        <w:rPr>
          <w:rFonts w:ascii="Times New Roman" w:hAnsi="Times New Roman"/>
          <w:color w:val="000000" w:themeColor="text1"/>
          <w:sz w:val="16"/>
          <w:szCs w:val="16"/>
        </w:rPr>
        <w:softHyphen/>
        <w:t>вало доведения ежегодной выплавки алюминия до 20 тыс. т. (10788).</w:t>
      </w:r>
    </w:p>
    <w:p w14:paraId="2DD4BD0D" w14:textId="77777777" w:rsidR="00E77DD0" w:rsidRPr="00A259BD" w:rsidRDefault="00E77DD0" w:rsidP="009236E3">
      <w:pPr>
        <w:spacing w:after="0" w:line="240" w:lineRule="auto"/>
        <w:jc w:val="both"/>
        <w:rPr>
          <w:rFonts w:ascii="Times New Roman" w:hAnsi="Times New Roman"/>
          <w:color w:val="000000" w:themeColor="text1"/>
          <w:sz w:val="16"/>
          <w:szCs w:val="16"/>
        </w:rPr>
      </w:pPr>
    </w:p>
    <w:p w14:paraId="4BFE9D44" w14:textId="77777777" w:rsidR="00E1543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01E40C47" w14:textId="77777777" w:rsidR="00E15435" w:rsidRPr="00A259BD" w:rsidRDefault="00E1543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B7B9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августа 1929 Центральный телеграф с Мясницкой ул. Был переведен в здание на Тверской (9923).</w:t>
      </w:r>
    </w:p>
    <w:p w14:paraId="375C64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EA74EB6" w14:textId="77777777" w:rsidR="00E77DD0" w:rsidRPr="00A259BD" w:rsidRDefault="00E77DD0"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383780D" w14:textId="77777777" w:rsidR="00E77DD0" w:rsidRPr="00A259BD" w:rsidRDefault="00E77DD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02EBC2D" w14:textId="77777777" w:rsidR="00E77DD0" w:rsidRPr="00A259BD" w:rsidRDefault="00E77D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2–10 августа 1929 английский авиатор и орнитолог Мэри Рассел, герцогиня Бедфорд , ее личный пилот К. Д. Барнард и механик Роберт Литтл совершают рекордный полет на Fokker F.VII Spider (G-EBTS) на расстояние 10 000 миль (16 103 км). км) из аэропорта </w:t>
      </w:r>
      <w:proofErr w:type="spellStart"/>
      <w:r w:rsidRPr="00A259BD">
        <w:rPr>
          <w:rFonts w:ascii="Times New Roman" w:hAnsi="Times New Roman"/>
          <w:color w:val="000000" w:themeColor="text1"/>
          <w:sz w:val="16"/>
          <w:szCs w:val="16"/>
        </w:rPr>
        <w:t>Лимпн</w:t>
      </w:r>
      <w:proofErr w:type="spellEnd"/>
      <w:r w:rsidRPr="00A259BD">
        <w:rPr>
          <w:rFonts w:ascii="Times New Roman" w:hAnsi="Times New Roman"/>
          <w:color w:val="000000" w:themeColor="text1"/>
          <w:sz w:val="16"/>
          <w:szCs w:val="16"/>
        </w:rPr>
        <w:t xml:space="preserve"> в </w:t>
      </w:r>
      <w:proofErr w:type="spellStart"/>
      <w:r w:rsidRPr="00A259BD">
        <w:rPr>
          <w:rFonts w:ascii="Times New Roman" w:hAnsi="Times New Roman"/>
          <w:color w:val="000000" w:themeColor="text1"/>
          <w:sz w:val="16"/>
          <w:szCs w:val="16"/>
        </w:rPr>
        <w:t>Лимпне</w:t>
      </w:r>
      <w:proofErr w:type="spellEnd"/>
      <w:r w:rsidRPr="00A259BD">
        <w:rPr>
          <w:rFonts w:ascii="Times New Roman" w:hAnsi="Times New Roman"/>
          <w:color w:val="000000" w:themeColor="text1"/>
          <w:sz w:val="16"/>
          <w:szCs w:val="16"/>
        </w:rPr>
        <w:t xml:space="preserve"> , Англия, в Карачи, затем в Британскую Индийскую империю, и обратно в аэропорт </w:t>
      </w:r>
      <w:proofErr w:type="spellStart"/>
      <w:r w:rsidRPr="00A259BD">
        <w:rPr>
          <w:rFonts w:ascii="Times New Roman" w:hAnsi="Times New Roman"/>
          <w:color w:val="000000" w:themeColor="text1"/>
          <w:sz w:val="16"/>
          <w:szCs w:val="16"/>
        </w:rPr>
        <w:t>Кройдон</w:t>
      </w:r>
      <w:proofErr w:type="spellEnd"/>
      <w:r w:rsidRPr="00A259BD">
        <w:rPr>
          <w:rFonts w:ascii="Times New Roman" w:hAnsi="Times New Roman"/>
          <w:color w:val="000000" w:themeColor="text1"/>
          <w:sz w:val="16"/>
          <w:szCs w:val="16"/>
        </w:rPr>
        <w:t xml:space="preserve"> в Южном Лондоне, Англия, за восемь дней (20806).</w:t>
      </w:r>
    </w:p>
    <w:p w14:paraId="1BF5C937" w14:textId="77777777" w:rsidR="00E77DD0" w:rsidRPr="00A259BD" w:rsidRDefault="00E77DD0" w:rsidP="009236E3">
      <w:pPr>
        <w:spacing w:after="0" w:line="240" w:lineRule="auto"/>
        <w:jc w:val="both"/>
        <w:rPr>
          <w:rFonts w:ascii="Times New Roman" w:hAnsi="Times New Roman"/>
          <w:color w:val="000000" w:themeColor="text1"/>
          <w:sz w:val="16"/>
          <w:szCs w:val="16"/>
        </w:rPr>
      </w:pPr>
    </w:p>
    <w:p w14:paraId="6E8CE8A6" w14:textId="77777777" w:rsidR="00463E8C"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2EC60DAF" w14:textId="77777777" w:rsidR="00463E8C" w:rsidRPr="00A259BD" w:rsidRDefault="00463E8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F07C345" w14:textId="77777777" w:rsidR="00463E8C" w:rsidRPr="00A259BD" w:rsidRDefault="00463E8C" w:rsidP="009236E3">
      <w:pPr>
        <w:pStyle w:val="a3"/>
        <w:rPr>
          <w:color w:val="000000" w:themeColor="text1"/>
          <w:lang w:val="ru-RU"/>
        </w:rPr>
      </w:pPr>
      <w:r w:rsidRPr="00A259BD">
        <w:rPr>
          <w:color w:val="000000" w:themeColor="text1"/>
          <w:lang w:val="ru-RU"/>
        </w:rPr>
        <w:t>3 августа 1929, по агентурным данным, также требовавшим про</w:t>
      </w:r>
      <w:r w:rsidRPr="00A259BD">
        <w:rPr>
          <w:color w:val="000000" w:themeColor="text1"/>
          <w:lang w:val="ru-RU"/>
        </w:rPr>
        <w:softHyphen/>
        <w:t>верки, через Хайлар на запад проследовали ещё три разобранных самолёта. Уточнить эти данные по китайским источникам не удалось (15820).</w:t>
      </w:r>
    </w:p>
    <w:p w14:paraId="67DB1FF5" w14:textId="77777777" w:rsidR="00463E8C" w:rsidRPr="00A259BD" w:rsidRDefault="00463E8C" w:rsidP="009236E3">
      <w:pPr>
        <w:pStyle w:val="a3"/>
        <w:rPr>
          <w:color w:val="000000" w:themeColor="text1"/>
          <w:lang w:val="ru-RU"/>
        </w:rPr>
      </w:pPr>
    </w:p>
    <w:p w14:paraId="5C65D770" w14:textId="77777777" w:rsidR="00E1543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4A06D0EF" w14:textId="77777777" w:rsidR="00E15435" w:rsidRPr="00A259BD" w:rsidRDefault="00E1543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28A3439" w14:textId="77777777" w:rsidR="00E15435" w:rsidRPr="00A259BD" w:rsidRDefault="00E1543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августа в 1929 году от перрона Ярославского вокзала отходит первая электричка. Трехвагонный электропоезд двигается по маршруту Москва - Мытищи, где на вагоностроительном заводе и был сделан первый советский электропоезд (14972).</w:t>
      </w:r>
    </w:p>
    <w:p w14:paraId="0B02288E" w14:textId="77777777" w:rsidR="00E15435" w:rsidRPr="00A259BD" w:rsidRDefault="00E15435" w:rsidP="009236E3">
      <w:pPr>
        <w:spacing w:after="0" w:line="240" w:lineRule="auto"/>
        <w:jc w:val="both"/>
        <w:rPr>
          <w:rFonts w:ascii="Times New Roman" w:hAnsi="Times New Roman"/>
          <w:color w:val="000000" w:themeColor="text1"/>
          <w:sz w:val="16"/>
          <w:szCs w:val="16"/>
        </w:rPr>
      </w:pPr>
    </w:p>
    <w:p w14:paraId="4694CDD8" w14:textId="77777777" w:rsidR="00E77DD0" w:rsidRPr="00A259BD" w:rsidRDefault="00E77D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августа 1929 года открыто движение пригородных электропоездов от Ярославского вокзала по маршруту Москва — Мытищи (21168).</w:t>
      </w:r>
    </w:p>
    <w:p w14:paraId="55A9C29E" w14:textId="77777777" w:rsidR="00E77DD0" w:rsidRPr="00A259BD" w:rsidRDefault="00E77DD0" w:rsidP="009236E3">
      <w:pPr>
        <w:spacing w:after="0" w:line="240" w:lineRule="auto"/>
        <w:jc w:val="both"/>
        <w:rPr>
          <w:rFonts w:ascii="Times New Roman" w:hAnsi="Times New Roman"/>
          <w:color w:val="000000" w:themeColor="text1"/>
          <w:sz w:val="16"/>
          <w:szCs w:val="16"/>
        </w:rPr>
      </w:pPr>
    </w:p>
    <w:p w14:paraId="6CDA8BC1" w14:textId="77777777" w:rsidR="00E15435" w:rsidRPr="00A259BD" w:rsidRDefault="00E1543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августа в 1929 году в </w:t>
      </w:r>
      <w:proofErr w:type="spellStart"/>
      <w:r w:rsidRPr="00A259BD">
        <w:rPr>
          <w:rFonts w:ascii="Times New Roman" w:hAnsi="Times New Roman"/>
          <w:color w:val="000000" w:themeColor="text1"/>
          <w:sz w:val="16"/>
          <w:szCs w:val="16"/>
        </w:rPr>
        <w:t>Ростове</w:t>
      </w:r>
      <w:proofErr w:type="spellEnd"/>
      <w:r w:rsidRPr="00A259BD">
        <w:rPr>
          <w:rFonts w:ascii="Times New Roman" w:hAnsi="Times New Roman"/>
          <w:color w:val="000000" w:themeColor="text1"/>
          <w:sz w:val="16"/>
          <w:szCs w:val="16"/>
        </w:rPr>
        <w:t>-на-Дону начинает работать первая в СССР автоматическая телефонная станции на 6000 номеров, построенная при содействии шведской фирмы "Эрикссон" (14972).</w:t>
      </w:r>
    </w:p>
    <w:p w14:paraId="1730567B" w14:textId="77777777" w:rsidR="00E15435" w:rsidRPr="00A259BD" w:rsidRDefault="00E15435" w:rsidP="009236E3">
      <w:pPr>
        <w:spacing w:after="0" w:line="240" w:lineRule="auto"/>
        <w:jc w:val="both"/>
        <w:rPr>
          <w:rFonts w:ascii="Times New Roman" w:hAnsi="Times New Roman"/>
          <w:color w:val="000000" w:themeColor="text1"/>
          <w:sz w:val="16"/>
          <w:szCs w:val="16"/>
        </w:rPr>
      </w:pPr>
    </w:p>
    <w:p w14:paraId="68BE49C7" w14:textId="77777777" w:rsidR="00E77DD0" w:rsidRPr="00A259BD" w:rsidRDefault="00E77DD0"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7215698" w14:textId="77777777" w:rsidR="00E77DD0" w:rsidRPr="00A259BD" w:rsidRDefault="00E77DD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6DC57E" w14:textId="77777777" w:rsidR="00E77DD0" w:rsidRPr="00A259BD" w:rsidRDefault="00E77D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4–16 августа 1929 в Париже проходит первый международный конкурс туристических самолетов, в ходе которого над Европой будет проведена гонка на 5942 км (3692 мили). Немецкий экипаж Фрица </w:t>
      </w:r>
      <w:proofErr w:type="spellStart"/>
      <w:r w:rsidRPr="00A259BD">
        <w:rPr>
          <w:rFonts w:ascii="Times New Roman" w:hAnsi="Times New Roman"/>
          <w:color w:val="000000" w:themeColor="text1"/>
          <w:sz w:val="16"/>
          <w:szCs w:val="16"/>
        </w:rPr>
        <w:t>Морзика</w:t>
      </w:r>
      <w:proofErr w:type="spellEnd"/>
      <w:r w:rsidRPr="00A259BD">
        <w:rPr>
          <w:rFonts w:ascii="Times New Roman" w:hAnsi="Times New Roman"/>
          <w:color w:val="000000" w:themeColor="text1"/>
          <w:sz w:val="16"/>
          <w:szCs w:val="16"/>
        </w:rPr>
        <w:t xml:space="preserve"> побеждает на самолете BFW M.23 (20806).</w:t>
      </w:r>
    </w:p>
    <w:p w14:paraId="7F3E3D8C" w14:textId="77777777" w:rsidR="00E77DD0" w:rsidRPr="00A259BD" w:rsidRDefault="00E77DD0" w:rsidP="009236E3">
      <w:pPr>
        <w:spacing w:after="0" w:line="240" w:lineRule="auto"/>
        <w:jc w:val="both"/>
        <w:rPr>
          <w:rFonts w:ascii="Times New Roman" w:hAnsi="Times New Roman"/>
          <w:color w:val="000000" w:themeColor="text1"/>
          <w:sz w:val="16"/>
          <w:szCs w:val="16"/>
        </w:rPr>
      </w:pPr>
    </w:p>
    <w:p w14:paraId="34725C1D" w14:textId="77777777" w:rsidR="00463E8C"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2449D8D" w14:textId="77777777" w:rsidR="00463E8C" w:rsidRPr="00A259BD" w:rsidRDefault="00463E8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5CFBF8" w14:textId="77777777" w:rsidR="00463E8C" w:rsidRPr="00A259BD" w:rsidRDefault="00463E8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августа в 1929 году в Орли во время ежегодных </w:t>
      </w:r>
      <w:proofErr w:type="spellStart"/>
      <w:r w:rsidRPr="00A259BD">
        <w:rPr>
          <w:rFonts w:ascii="Times New Roman" w:hAnsi="Times New Roman"/>
          <w:color w:val="000000" w:themeColor="text1"/>
          <w:sz w:val="16"/>
          <w:szCs w:val="16"/>
        </w:rPr>
        <w:t>авиагонок</w:t>
      </w:r>
      <w:proofErr w:type="spellEnd"/>
      <w:r w:rsidRPr="00A259BD">
        <w:rPr>
          <w:rFonts w:ascii="Times New Roman" w:hAnsi="Times New Roman"/>
          <w:color w:val="000000" w:themeColor="text1"/>
          <w:sz w:val="16"/>
          <w:szCs w:val="16"/>
        </w:rPr>
        <w:t xml:space="preserve"> "Europe </w:t>
      </w:r>
      <w:proofErr w:type="spellStart"/>
      <w:r w:rsidRPr="00A259BD">
        <w:rPr>
          <w:rFonts w:ascii="Times New Roman" w:hAnsi="Times New Roman"/>
          <w:color w:val="000000" w:themeColor="text1"/>
          <w:sz w:val="16"/>
          <w:szCs w:val="16"/>
        </w:rPr>
        <w:t>Rundflug</w:t>
      </w:r>
      <w:proofErr w:type="spellEnd"/>
      <w:r w:rsidRPr="00A259BD">
        <w:rPr>
          <w:rFonts w:ascii="Times New Roman" w:hAnsi="Times New Roman"/>
          <w:color w:val="000000" w:themeColor="text1"/>
          <w:sz w:val="16"/>
          <w:szCs w:val="16"/>
        </w:rPr>
        <w:t>" разбился в авиакатастрофе «L.1», пилотируемый своим конструктором. Единственный экземпляр «</w:t>
      </w:r>
      <w:proofErr w:type="spellStart"/>
      <w:r w:rsidRPr="00A259BD">
        <w:rPr>
          <w:rFonts w:ascii="Times New Roman" w:hAnsi="Times New Roman"/>
          <w:color w:val="000000" w:themeColor="text1"/>
          <w:sz w:val="16"/>
          <w:szCs w:val="16"/>
        </w:rPr>
        <w:t>Arado</w:t>
      </w:r>
      <w:proofErr w:type="spellEnd"/>
      <w:r w:rsidRPr="00A259BD">
        <w:rPr>
          <w:rFonts w:ascii="Times New Roman" w:hAnsi="Times New Roman"/>
          <w:color w:val="000000" w:themeColor="text1"/>
          <w:sz w:val="16"/>
          <w:szCs w:val="16"/>
        </w:rPr>
        <w:t xml:space="preserve"> «L.12» (получил собственное имя «</w:t>
      </w:r>
      <w:proofErr w:type="spellStart"/>
      <w:r w:rsidRPr="00A259BD">
        <w:rPr>
          <w:rFonts w:ascii="Times New Roman" w:hAnsi="Times New Roman"/>
          <w:color w:val="000000" w:themeColor="text1"/>
          <w:sz w:val="16"/>
          <w:szCs w:val="16"/>
        </w:rPr>
        <w:t>Ostseebad</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Warnemunde</w:t>
      </w:r>
      <w:proofErr w:type="spellEnd"/>
      <w:r w:rsidRPr="00A259BD">
        <w:rPr>
          <w:rFonts w:ascii="Times New Roman" w:hAnsi="Times New Roman"/>
          <w:color w:val="000000" w:themeColor="text1"/>
          <w:sz w:val="16"/>
          <w:szCs w:val="16"/>
        </w:rPr>
        <w:t xml:space="preserve">») с крылом типа "парасоль", сконструированный инженером Хоффманом, был зарегистрирован в аэроклубе </w:t>
      </w:r>
      <w:proofErr w:type="spellStart"/>
      <w:r w:rsidRPr="00A259BD">
        <w:rPr>
          <w:rFonts w:ascii="Times New Roman" w:hAnsi="Times New Roman"/>
          <w:color w:val="000000" w:themeColor="text1"/>
          <w:sz w:val="16"/>
          <w:szCs w:val="16"/>
        </w:rPr>
        <w:t>Мекленберга</w:t>
      </w:r>
      <w:proofErr w:type="spellEnd"/>
      <w:r w:rsidRPr="00A259BD">
        <w:rPr>
          <w:rFonts w:ascii="Times New Roman" w:hAnsi="Times New Roman"/>
          <w:color w:val="000000" w:themeColor="text1"/>
          <w:sz w:val="16"/>
          <w:szCs w:val="16"/>
        </w:rPr>
        <w:t xml:space="preserve"> в июле 1929 года. Это был двухместный самолет цельнодеревянной конструкции с фанерно-полотняной обшивкой, открытой кабиной и звездообразным двигателем «</w:t>
      </w:r>
      <w:proofErr w:type="spellStart"/>
      <w:r w:rsidRPr="00A259BD">
        <w:rPr>
          <w:rFonts w:ascii="Times New Roman" w:hAnsi="Times New Roman"/>
          <w:color w:val="000000" w:themeColor="text1"/>
          <w:sz w:val="16"/>
          <w:szCs w:val="16"/>
        </w:rPr>
        <w:t>Salmson</w:t>
      </w:r>
      <w:proofErr w:type="spellEnd"/>
      <w:r w:rsidRPr="00A259BD">
        <w:rPr>
          <w:rFonts w:ascii="Times New Roman" w:hAnsi="Times New Roman"/>
          <w:color w:val="000000" w:themeColor="text1"/>
          <w:sz w:val="16"/>
          <w:szCs w:val="16"/>
        </w:rPr>
        <w:t>» «9AD» мощностью 40 л.с. (29,8 кВт) (14974).</w:t>
      </w:r>
    </w:p>
    <w:p w14:paraId="333B3974" w14:textId="77777777" w:rsidR="00463E8C" w:rsidRPr="00A259BD" w:rsidRDefault="00463E8C" w:rsidP="009236E3">
      <w:pPr>
        <w:spacing w:after="0" w:line="240" w:lineRule="auto"/>
        <w:jc w:val="both"/>
        <w:rPr>
          <w:rFonts w:ascii="Times New Roman" w:hAnsi="Times New Roman"/>
          <w:color w:val="000000" w:themeColor="text1"/>
          <w:sz w:val="16"/>
          <w:szCs w:val="16"/>
        </w:rPr>
      </w:pPr>
    </w:p>
    <w:p w14:paraId="0217E14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928FA0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40C33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августа 1929 после испытания Ш-1 в устье Невы в качестве гидросамолета в Петергофе был испытан как амфибия (434,596).</w:t>
      </w:r>
    </w:p>
    <w:p w14:paraId="433054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36D56D" w14:textId="77777777" w:rsidR="00463E8C" w:rsidRPr="00A259BD" w:rsidRDefault="00463E8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августа в 1929 году впервые у нас в стране были проведены летные испытания самолета-амфибии: </w:t>
      </w:r>
      <w:hyperlink r:id="rId125" w:tgtFrame="_blank" w:history="1">
        <w:r w:rsidRPr="00A259BD">
          <w:rPr>
            <w:rFonts w:ascii="Times New Roman" w:hAnsi="Times New Roman"/>
            <w:color w:val="000000" w:themeColor="text1"/>
            <w:sz w:val="16"/>
            <w:szCs w:val="16"/>
          </w:rPr>
          <w:t xml:space="preserve">«Ш-1» </w:t>
        </w:r>
      </w:hyperlink>
      <w:r w:rsidRPr="00A259BD">
        <w:rPr>
          <w:rFonts w:ascii="Times New Roman" w:hAnsi="Times New Roman"/>
          <w:color w:val="000000" w:themeColor="text1"/>
          <w:sz w:val="16"/>
          <w:szCs w:val="16"/>
        </w:rPr>
        <w:t>взлетела с воды, села на сушу и проделала обратный путь (14975).</w:t>
      </w:r>
    </w:p>
    <w:p w14:paraId="42A67B75" w14:textId="77777777" w:rsidR="00463E8C" w:rsidRPr="00A259BD" w:rsidRDefault="00463E8C" w:rsidP="009236E3">
      <w:pPr>
        <w:spacing w:after="0" w:line="240" w:lineRule="auto"/>
        <w:jc w:val="both"/>
        <w:rPr>
          <w:rFonts w:ascii="Times New Roman" w:hAnsi="Times New Roman"/>
          <w:color w:val="000000" w:themeColor="text1"/>
          <w:sz w:val="16"/>
          <w:szCs w:val="16"/>
        </w:rPr>
      </w:pPr>
    </w:p>
    <w:p w14:paraId="07DB0E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августа 1929 был первый неудачный старт полета ТБ-1 (АНТ-4) Страны Советов под управлением </w:t>
      </w:r>
      <w:proofErr w:type="spellStart"/>
      <w:r w:rsidRPr="00A259BD">
        <w:rPr>
          <w:rFonts w:ascii="Times New Roman" w:hAnsi="Times New Roman"/>
          <w:color w:val="000000" w:themeColor="text1"/>
          <w:sz w:val="16"/>
          <w:szCs w:val="16"/>
        </w:rPr>
        <w:t>С.А.Шестакова</w:t>
      </w:r>
      <w:proofErr w:type="spellEnd"/>
      <w:r w:rsidRPr="00A259BD">
        <w:rPr>
          <w:rFonts w:ascii="Times New Roman" w:hAnsi="Times New Roman"/>
          <w:color w:val="000000" w:themeColor="text1"/>
          <w:sz w:val="16"/>
          <w:szCs w:val="16"/>
        </w:rPr>
        <w:t xml:space="preserve"> и м </w:t>
      </w:r>
      <w:proofErr w:type="spellStart"/>
      <w:r w:rsidRPr="00A259BD">
        <w:rPr>
          <w:rFonts w:ascii="Times New Roman" w:hAnsi="Times New Roman"/>
          <w:color w:val="000000" w:themeColor="text1"/>
          <w:sz w:val="16"/>
          <w:szCs w:val="16"/>
        </w:rPr>
        <w:t>В.В.Фуфаева</w:t>
      </w:r>
      <w:proofErr w:type="spellEnd"/>
      <w:r w:rsidRPr="00A259BD">
        <w:rPr>
          <w:rFonts w:ascii="Times New Roman" w:hAnsi="Times New Roman"/>
          <w:color w:val="000000" w:themeColor="text1"/>
          <w:sz w:val="16"/>
          <w:szCs w:val="16"/>
        </w:rPr>
        <w:t>. Прервали полет в районе Читы и еле-еле сели в тайге. Возвратились в Москву и полетели 23 августа заново на дублере (2782,23).</w:t>
      </w:r>
    </w:p>
    <w:p w14:paraId="79CAD3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1DD503" w14:textId="34C8FCEF" w:rsidR="00E15435" w:rsidRPr="00A259BD" w:rsidRDefault="00E15435" w:rsidP="009236E3">
      <w:pPr>
        <w:spacing w:after="0" w:line="240" w:lineRule="auto"/>
        <w:jc w:val="both"/>
        <w:rPr>
          <w:rStyle w:val="af0"/>
          <w:rFonts w:ascii="Times New Roman" w:hAnsi="Times New Roman"/>
          <w:i w:val="0"/>
          <w:color w:val="000000" w:themeColor="text1"/>
          <w:sz w:val="16"/>
          <w:szCs w:val="16"/>
        </w:rPr>
      </w:pPr>
      <w:r w:rsidRPr="00A259BD">
        <w:rPr>
          <w:rFonts w:ascii="Times New Roman" w:hAnsi="Times New Roman"/>
          <w:bCs/>
          <w:color w:val="000000" w:themeColor="text1"/>
          <w:sz w:val="16"/>
          <w:szCs w:val="16"/>
        </w:rPr>
        <w:t xml:space="preserve">6 августа 1929 г. — Предписание члена Реввоенсовета СССР и Президиума ВСНХ СССР и начальника Мобилизационно-планового управления ВСНХ СССР А. М. Постникова председателю правления </w:t>
      </w:r>
      <w:proofErr w:type="spellStart"/>
      <w:r w:rsidRPr="00A259BD">
        <w:rPr>
          <w:rFonts w:ascii="Times New Roman" w:hAnsi="Times New Roman"/>
          <w:bCs/>
          <w:color w:val="000000" w:themeColor="text1"/>
          <w:sz w:val="16"/>
          <w:szCs w:val="16"/>
        </w:rPr>
        <w:t>Авиатреста</w:t>
      </w:r>
      <w:proofErr w:type="spellEnd"/>
      <w:r w:rsidRPr="00A259BD">
        <w:rPr>
          <w:rFonts w:ascii="Times New Roman" w:hAnsi="Times New Roman"/>
          <w:bCs/>
          <w:color w:val="000000" w:themeColor="text1"/>
          <w:sz w:val="16"/>
          <w:szCs w:val="16"/>
        </w:rPr>
        <w:t xml:space="preserve"> И. К. Михайлову о недопустимости нарушения срока испытания мотора</w:t>
      </w:r>
      <w:r w:rsidR="00DC5403">
        <w:rPr>
          <w:rFonts w:ascii="Times New Roman" w:hAnsi="Times New Roman"/>
          <w:bCs/>
          <w:color w:val="000000" w:themeColor="text1"/>
          <w:sz w:val="16"/>
          <w:szCs w:val="16"/>
        </w:rPr>
        <w:t xml:space="preserve"> М-17</w:t>
      </w:r>
    </w:p>
    <w:p w14:paraId="1481BAD2"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6 августа 1929 г.</w:t>
      </w:r>
    </w:p>
    <w:p w14:paraId="4FE8BEF7"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2EF2D7CF"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В бытность т. </w:t>
      </w:r>
      <w:hyperlink r:id="rId126" w:history="1">
        <w:r w:rsidRPr="00A259BD">
          <w:rPr>
            <w:color w:val="000000" w:themeColor="text1"/>
            <w:sz w:val="16"/>
            <w:szCs w:val="16"/>
          </w:rPr>
          <w:t>Баранова</w:t>
        </w:r>
      </w:hyperlink>
      <w:r w:rsidRPr="00A259BD">
        <w:rPr>
          <w:color w:val="000000" w:themeColor="text1"/>
          <w:sz w:val="16"/>
          <w:szCs w:val="16"/>
        </w:rPr>
        <w:t>, Вас и меня на заводе № 26 мы с Вами установили принятый заводскими работниками срок постановки на испытание на станок первого мотора советского изготовления М</w:t>
      </w:r>
      <w:r w:rsidRPr="00A259BD">
        <w:rPr>
          <w:color w:val="000000" w:themeColor="text1"/>
          <w:sz w:val="16"/>
          <w:szCs w:val="16"/>
        </w:rPr>
        <w:noBreakHyphen/>
        <w:t xml:space="preserve">17 — 1 августа. Не получая никаких сведений ни от Вас, ни от директора завода, я имел полное основание надеяться на то, что срок, </w:t>
      </w:r>
      <w:r w:rsidRPr="00A259BD">
        <w:rPr>
          <w:color w:val="000000" w:themeColor="text1"/>
          <w:sz w:val="16"/>
          <w:szCs w:val="16"/>
        </w:rPr>
        <w:lastRenderedPageBreak/>
        <w:t>данный заводу, серьезный и будет выдержан. 2 августа ответственным исполнителем МПУ по моему поручению было выяснено положение этого вопроса, причем оказалось, что в настоящее время отдельные части мотора М</w:t>
      </w:r>
      <w:r w:rsidRPr="00A259BD">
        <w:rPr>
          <w:color w:val="000000" w:themeColor="text1"/>
          <w:sz w:val="16"/>
          <w:szCs w:val="16"/>
        </w:rPr>
        <w:noBreakHyphen/>
        <w:t>17 испытываются на немецком моторе, к сборке мотора советского изготовления не приступлено и предполагается, что таковой мотор, первый головной, будет поставлен на станок не ранее 25 августа.</w:t>
      </w:r>
    </w:p>
    <w:p w14:paraId="354DDE04"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К заводу № 26 мы относились до сих пор в достаточной мере и внимательно и снисходительно, учитывая все трудности, которые имеет вновь устанавливаемое производство при неоконченном капитальном строительстве завода. Личный осмотр завода убедил нас в том, что средства завода как технические, так и живые в настоящее время достаточны для того, чтобы обещания, данные заводом, поставить первый мотор на станок 1 августа и собрать первые 10 головных моторов к 1 октября, были выполнены. Относясь серьезно к созданию советского производства мощных моторов, я и член РВС т. Баранов предполагали, что всякие обещания в этой области являются серьезными обещаниями серьезных и деловых людей, и если таковые не выполняются по какой-либо причине, то директор завода или председатель треста своевременно уведомляют об этом, объясняя объективные трудности, которые за это время встретились.</w:t>
      </w:r>
    </w:p>
    <w:p w14:paraId="074B13AD"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Не получив никаких уведомлений, мы вправе считать, что результат опоздания есть последствие ...²* нашего безобразного отношения к выполнению обещанных сроков, которые назначаются для отдельных работ, и той безответственности, которая вообще в нашей практике в последнее время получила права какого-то гражданства- «можно-де дать какие угодно обещания, но их не выполнять».</w:t>
      </w:r>
    </w:p>
    <w:p w14:paraId="663E8D9E"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Я считаю необходимым обратить Ваше внимание на этот совершенно недопустимый случай, с одной стороны, создание мощного мотора — факт исключительной важности, с другой стороны, группа ответственных руководителей завода и треста, дающих определенное обязательство и не выполняющих его, — тоже факт достаточно основательный, чтобы к нему относиться серьезно. У меня пропала уверенность в том, что при таком отношении к делу мы вообще сможем создать серьезное производство на заводе № 26 и всегда быть уверенными в том, что наши задания заводом выполняются надлежаще тщательно, своевременно и аккуратно. Характер такого отношения деловых людей к своим обещаниям характеризует несерьезность, безответственность и неумение или нежелание понять, насколько важно, хотя бы в таких ударных вопросах, придерживаться иного порядка, чем тот, который начинает у нас устанавливаться.</w:t>
      </w:r>
    </w:p>
    <w:p w14:paraId="08CBC1F7"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Категорически настаиваю на том, чтобы в течение ближайших 3 дней мне было окончательно сообщено, когда будет поставлен на станок первый мотор советского изготовления М</w:t>
      </w:r>
      <w:r w:rsidRPr="00A259BD">
        <w:rPr>
          <w:color w:val="000000" w:themeColor="text1"/>
          <w:sz w:val="16"/>
          <w:szCs w:val="16"/>
        </w:rPr>
        <w:noBreakHyphen/>
        <w:t>17 заводом № 26 и будет ли выполнена сборка первой серии десяти головных моторов к 1 октября.</w:t>
      </w:r>
    </w:p>
    <w:p w14:paraId="0BDCD2DC"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Предупреждаю, что всякое нарушение установленных сроков в этом вопросе заставит меня поставить вопрос о самой серьезной ответственности людей, причастных к выполнению этого задания по производству. Ответ ожидаю 9 августа с. г.</w:t>
      </w:r>
    </w:p>
    <w:p w14:paraId="31920941" w14:textId="77777777" w:rsidR="00B25ADA" w:rsidRPr="00A259BD" w:rsidRDefault="00B25ADA"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Член РВС и Президиума ВСНХ СССР и начальник </w:t>
      </w:r>
      <w:proofErr w:type="spellStart"/>
      <w:r w:rsidRPr="00A259BD">
        <w:rPr>
          <w:rStyle w:val="af0"/>
          <w:i w:val="0"/>
          <w:color w:val="000000" w:themeColor="text1"/>
          <w:sz w:val="16"/>
          <w:szCs w:val="16"/>
        </w:rPr>
        <w:t>Мобпланупра</w:t>
      </w:r>
      <w:proofErr w:type="spellEnd"/>
      <w:r w:rsidRPr="00A259BD">
        <w:rPr>
          <w:rStyle w:val="af0"/>
          <w:i w:val="0"/>
          <w:color w:val="000000" w:themeColor="text1"/>
          <w:sz w:val="16"/>
          <w:szCs w:val="16"/>
        </w:rPr>
        <w:t xml:space="preserve"> </w:t>
      </w:r>
      <w:hyperlink r:id="rId127" w:history="1">
        <w:r w:rsidRPr="00A259BD">
          <w:rPr>
            <w:rStyle w:val="af0"/>
            <w:i w:val="0"/>
            <w:color w:val="000000" w:themeColor="text1"/>
            <w:sz w:val="16"/>
            <w:szCs w:val="16"/>
          </w:rPr>
          <w:t>Постников</w:t>
        </w:r>
      </w:hyperlink>
    </w:p>
    <w:p w14:paraId="4A79D974" w14:textId="77777777" w:rsidR="00B25ADA" w:rsidRPr="00A259BD" w:rsidRDefault="00B25ADA"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r w:rsidRPr="00A259BD">
        <w:rPr>
          <w:color w:val="000000" w:themeColor="text1"/>
          <w:sz w:val="16"/>
          <w:szCs w:val="16"/>
        </w:rPr>
        <w:t>:</w:t>
      </w:r>
    </w:p>
    <w:p w14:paraId="3F9824FC"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xml:space="preserve">* Копии направлены: начальнику ГВПУ, члену Президиума ВСНХ СССР М. Г. Урываеву, директору завода № 26 </w:t>
      </w:r>
      <w:proofErr w:type="spellStart"/>
      <w:r w:rsidRPr="00A259BD">
        <w:rPr>
          <w:color w:val="000000" w:themeColor="text1"/>
          <w:sz w:val="16"/>
          <w:szCs w:val="16"/>
        </w:rPr>
        <w:t>Авиатреста</w:t>
      </w:r>
      <w:proofErr w:type="spellEnd"/>
      <w:r w:rsidRPr="00A259BD">
        <w:rPr>
          <w:color w:val="000000" w:themeColor="text1"/>
          <w:sz w:val="16"/>
          <w:szCs w:val="16"/>
        </w:rPr>
        <w:t xml:space="preserve"> И. С. Михайлову, начальнику УВВС, члену РВС СССР П. И. Баранову.</w:t>
      </w:r>
    </w:p>
    <w:p w14:paraId="4ACFBC53" w14:textId="77777777" w:rsidR="00B25ADA" w:rsidRPr="00A259BD" w:rsidRDefault="00B25ADA" w:rsidP="009236E3">
      <w:pPr>
        <w:pStyle w:val="ae"/>
        <w:spacing w:before="0" w:after="0"/>
        <w:jc w:val="both"/>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Повреждение документа.</w:t>
      </w:r>
    </w:p>
    <w:p w14:paraId="1E78A1C2" w14:textId="77777777" w:rsidR="00B25ADA" w:rsidRPr="00A259BD" w:rsidRDefault="00B25ADA" w:rsidP="009236E3">
      <w:pPr>
        <w:pStyle w:val="ae"/>
        <w:spacing w:before="0" w:after="0"/>
        <w:jc w:val="both"/>
        <w:rPr>
          <w:color w:val="000000" w:themeColor="text1"/>
          <w:sz w:val="16"/>
          <w:szCs w:val="16"/>
        </w:rPr>
      </w:pPr>
      <w:r w:rsidRPr="00A259BD">
        <w:rPr>
          <w:color w:val="000000" w:themeColor="text1"/>
          <w:sz w:val="16"/>
          <w:szCs w:val="16"/>
        </w:rPr>
        <w:t>РГАЭ. Ф. 2097. Оп. 1. Д. 970. Л. 11 — 12. Подлинник.</w:t>
      </w:r>
    </w:p>
    <w:p w14:paraId="14E24EA5"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2097. Оп. 1. Д. 970. Л. 11 — 12. Подлинник. </w:t>
      </w:r>
    </w:p>
    <w:p w14:paraId="48EFC823"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344-345 (12460).</w:t>
      </w:r>
    </w:p>
    <w:p w14:paraId="31DDC966" w14:textId="77777777" w:rsidR="00B25ADA" w:rsidRPr="00A259BD" w:rsidRDefault="00B25ADA" w:rsidP="009236E3">
      <w:pPr>
        <w:spacing w:after="0" w:line="240" w:lineRule="auto"/>
        <w:jc w:val="both"/>
        <w:rPr>
          <w:rFonts w:ascii="Times New Roman" w:hAnsi="Times New Roman"/>
          <w:color w:val="000000" w:themeColor="text1"/>
          <w:sz w:val="16"/>
          <w:szCs w:val="16"/>
        </w:rPr>
      </w:pPr>
    </w:p>
    <w:p w14:paraId="24840A0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880617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027E6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августа 1929 г. на заводе ГОМЗ состоялся митинг, на котором была принята резолюция: «Обойдемся без немцев!». Л.Г. Титов вместе с группой специалистов завода взялись разработать проект реконструкции самостоятельно. В 1928 г. встал вопрос о расширении производственных площадей, о строительстве, по сути дела, нового оптико-механического предприятия. Немецкая фирма «Карл Цейс» запросила только за консультацию по строительству 5 млн руб. золотом. Были и другие условия. В частности, Советский Союз должен был в течение 15 лет покупать оптико-механические приборы только у фирмы «Карл Цейс» и в течение 25 лет не выходить на международный рынок со своей продукцией. Эти условия советской стороной были отвергнуты. Ленинградские производственники решили строить завод своими силами. В августе 1929 г. состоялась закладка новых корпусов завода. В этом же году Л.Г. Титов в комиссион­ном магазине на Невском проспекте купил немецкую фотокамеру и принес ее на завод. Это была склад­ная пластиночная камера формата 9 х 12 см фирмы «Цейс-Икон». На заводе камеру разобрали по винтикам и решили, что сумеют сделать такую же свою. Уже к 1 марта были изготовлены чертежи фотоаппарата. Объектив, рассчитанный B.C. </w:t>
      </w:r>
      <w:proofErr w:type="spellStart"/>
      <w:r w:rsidRPr="00A259BD">
        <w:rPr>
          <w:rFonts w:ascii="Times New Roman" w:hAnsi="Times New Roman"/>
          <w:color w:val="000000" w:themeColor="text1"/>
          <w:sz w:val="16"/>
          <w:szCs w:val="16"/>
        </w:rPr>
        <w:t>Игнатовским</w:t>
      </w:r>
      <w:proofErr w:type="spellEnd"/>
      <w:r w:rsidRPr="00A259BD">
        <w:rPr>
          <w:rFonts w:ascii="Times New Roman" w:hAnsi="Times New Roman"/>
          <w:color w:val="000000" w:themeColor="text1"/>
          <w:sz w:val="16"/>
          <w:szCs w:val="16"/>
        </w:rPr>
        <w:t xml:space="preserve">, был изготовлен на заводе своими силами. Но не все удалось сделать самим. Самый тонкий и сложный механизм аппарата — затвор — пришлось закупать в Германии. В феврале 1930 г. для обеспечения серийного выпуска было приобретено 7 тыс. затворов по цене 7 золотых рублей за штуку. Так появился первый советский фотоаппарат «Фотокор». К 25 июня 1930 г., к открытию XVI съезда ВКП(б) предприятие, получившее название «Государственный оптико-механический завод» (ГОМЗ) рапортовало о сборке первых 100 аппаратов. Это была серьезная победа оптического приборостроения. День рождения «Фотокора» навсегда стал днем рождения советской фототехники. В это время на заводе была создана специальная фотолаборатория, которая потом </w:t>
      </w:r>
      <w:proofErr w:type="spellStart"/>
      <w:r w:rsidRPr="00A259BD">
        <w:rPr>
          <w:rFonts w:ascii="Times New Roman" w:hAnsi="Times New Roman"/>
          <w:color w:val="000000" w:themeColor="text1"/>
          <w:sz w:val="16"/>
          <w:szCs w:val="16"/>
        </w:rPr>
        <w:t>преобразовалв</w:t>
      </w:r>
      <w:proofErr w:type="spellEnd"/>
      <w:r w:rsidRPr="00A259BD">
        <w:rPr>
          <w:rFonts w:ascii="Times New Roman" w:hAnsi="Times New Roman"/>
          <w:color w:val="000000" w:themeColor="text1"/>
          <w:sz w:val="16"/>
          <w:szCs w:val="16"/>
        </w:rPr>
        <w:t xml:space="preserve"> СКВ фототехники. Первым руководителем лаборатории стал А.А. Ворожбит. Затворы собственной конструкции стали здесь разрабатывать с октября 1930 г. Примерно тогда же на заводе появились шефы - коллегия ОГПУ. Вскоре «по просьбам трудящихся» завод стал называться «ГОМЗ имени ОГПУ». (ОГПУ был предшественником НКВД, а затем КГБ СССР.) А в ноябре 1930 г. Л.Г. Титов именно органами ОГПУ был арестован второй раз и провел под следствием более полугода (11869).</w:t>
      </w:r>
    </w:p>
    <w:p w14:paraId="45BAEA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EBC17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августа 1929 г. постановлением Совета Народных Комиссаров СССР на базе Центральной лаборатории связи при Наркомате почт и телеграфов СССР был создан Научно-исследовательский институт связи (НИИС). 16 мая 1940 г. переименован в Центральный научно-исследовательский институт связи (ЦНИИС). В 1941 - 1944 гг. находился в эвакуации в г. Алма-Ате (12102).</w:t>
      </w:r>
    </w:p>
    <w:p w14:paraId="00D47B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2A58A4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53B698D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F1152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августа 1929 РВС издал приказ о создании Особой дальневосточной армии для защиты от японской агрессии (3186).</w:t>
      </w:r>
    </w:p>
    <w:p w14:paraId="76A385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361A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августа 1929 г. по</w:t>
      </w:r>
      <w:r w:rsidRPr="00A259BD">
        <w:rPr>
          <w:rFonts w:ascii="Times New Roman" w:hAnsi="Times New Roman"/>
          <w:color w:val="000000" w:themeColor="text1"/>
          <w:sz w:val="16"/>
          <w:szCs w:val="16"/>
        </w:rPr>
        <w:softHyphen/>
        <w:t>явился приказ Реввоенсовета СССР о создании Особой Дальневосточной армии (ОДВА, позже Краснознаменной - ОКДВА) под командованием В.К. Блю</w:t>
      </w:r>
      <w:r w:rsidRPr="00A259BD">
        <w:rPr>
          <w:rFonts w:ascii="Times New Roman" w:hAnsi="Times New Roman"/>
          <w:color w:val="000000" w:themeColor="text1"/>
          <w:sz w:val="16"/>
          <w:szCs w:val="16"/>
        </w:rPr>
        <w:softHyphen/>
        <w:t>хера. Авиационная группировка на</w:t>
      </w:r>
      <w:r w:rsidRPr="00A259BD">
        <w:rPr>
          <w:rFonts w:ascii="Times New Roman" w:hAnsi="Times New Roman"/>
          <w:color w:val="000000" w:themeColor="text1"/>
          <w:sz w:val="16"/>
          <w:szCs w:val="16"/>
        </w:rPr>
        <w:softHyphen/>
        <w:t>считывала около 70 боевых самолетов Р-1 и поплавковых МР-1, а также не</w:t>
      </w:r>
      <w:r w:rsidRPr="00A259BD">
        <w:rPr>
          <w:rFonts w:ascii="Times New Roman" w:hAnsi="Times New Roman"/>
          <w:color w:val="000000" w:themeColor="text1"/>
          <w:sz w:val="16"/>
          <w:szCs w:val="16"/>
        </w:rPr>
        <w:softHyphen/>
        <w:t>сколько истребителей “</w:t>
      </w:r>
      <w:proofErr w:type="spellStart"/>
      <w:r w:rsidRPr="00A259BD">
        <w:rPr>
          <w:rFonts w:ascii="Times New Roman" w:hAnsi="Times New Roman"/>
          <w:color w:val="000000" w:themeColor="text1"/>
          <w:sz w:val="16"/>
          <w:szCs w:val="16"/>
        </w:rPr>
        <w:t>Мартинсайд</w:t>
      </w:r>
      <w:proofErr w:type="spellEnd"/>
      <w:r w:rsidRPr="00A259BD">
        <w:rPr>
          <w:rFonts w:ascii="Times New Roman" w:hAnsi="Times New Roman"/>
          <w:color w:val="000000" w:themeColor="text1"/>
          <w:sz w:val="16"/>
          <w:szCs w:val="16"/>
        </w:rPr>
        <w:t>”. По состоянию на 31 июля в составе Даурской группировки насчи</w:t>
      </w:r>
      <w:r w:rsidRPr="00A259BD">
        <w:rPr>
          <w:rFonts w:ascii="Times New Roman" w:hAnsi="Times New Roman"/>
          <w:color w:val="000000" w:themeColor="text1"/>
          <w:sz w:val="16"/>
          <w:szCs w:val="16"/>
        </w:rPr>
        <w:softHyphen/>
        <w:t xml:space="preserve">тывалось 19 самолетов, в </w:t>
      </w:r>
      <w:proofErr w:type="spellStart"/>
      <w:r w:rsidRPr="00A259BD">
        <w:rPr>
          <w:rFonts w:ascii="Times New Roman" w:hAnsi="Times New Roman"/>
          <w:color w:val="000000" w:themeColor="text1"/>
          <w:sz w:val="16"/>
          <w:szCs w:val="16"/>
        </w:rPr>
        <w:t>Хабаровско-Сунгарийской</w:t>
      </w:r>
      <w:proofErr w:type="spellEnd"/>
      <w:r w:rsidRPr="00A259BD">
        <w:rPr>
          <w:rFonts w:ascii="Times New Roman" w:hAnsi="Times New Roman"/>
          <w:color w:val="000000" w:themeColor="text1"/>
          <w:sz w:val="16"/>
          <w:szCs w:val="16"/>
        </w:rPr>
        <w:t xml:space="preserve"> - 8, </w:t>
      </w:r>
      <w:proofErr w:type="spellStart"/>
      <w:r w:rsidRPr="00A259BD">
        <w:rPr>
          <w:rFonts w:ascii="Times New Roman" w:hAnsi="Times New Roman"/>
          <w:color w:val="000000" w:themeColor="text1"/>
          <w:sz w:val="16"/>
          <w:szCs w:val="16"/>
        </w:rPr>
        <w:t>Гродековской</w:t>
      </w:r>
      <w:proofErr w:type="spellEnd"/>
      <w:r w:rsidRPr="00A259BD">
        <w:rPr>
          <w:rFonts w:ascii="Times New Roman" w:hAnsi="Times New Roman"/>
          <w:color w:val="000000" w:themeColor="text1"/>
          <w:sz w:val="16"/>
          <w:szCs w:val="16"/>
        </w:rPr>
        <w:t xml:space="preserve"> - 37, Читинской - б. Благовещенская и Вла</w:t>
      </w:r>
      <w:r w:rsidRPr="00A259BD">
        <w:rPr>
          <w:rFonts w:ascii="Times New Roman" w:hAnsi="Times New Roman"/>
          <w:color w:val="000000" w:themeColor="text1"/>
          <w:sz w:val="16"/>
          <w:szCs w:val="16"/>
        </w:rPr>
        <w:softHyphen/>
        <w:t>дивостокская группировки ОДВА само</w:t>
      </w:r>
      <w:r w:rsidRPr="00A259BD">
        <w:rPr>
          <w:rFonts w:ascii="Times New Roman" w:hAnsi="Times New Roman"/>
          <w:color w:val="000000" w:themeColor="text1"/>
          <w:sz w:val="16"/>
          <w:szCs w:val="16"/>
        </w:rPr>
        <w:softHyphen/>
        <w:t>летов не имели.</w:t>
      </w:r>
    </w:p>
    <w:p w14:paraId="08A280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Чжан </w:t>
      </w:r>
      <w:proofErr w:type="spellStart"/>
      <w:r w:rsidRPr="00A259BD">
        <w:rPr>
          <w:rFonts w:ascii="Times New Roman" w:hAnsi="Times New Roman"/>
          <w:color w:val="000000" w:themeColor="text1"/>
          <w:sz w:val="16"/>
          <w:szCs w:val="16"/>
        </w:rPr>
        <w:t>Сюэлян</w:t>
      </w:r>
      <w:proofErr w:type="spellEnd"/>
      <w:r w:rsidRPr="00A259BD">
        <w:rPr>
          <w:rFonts w:ascii="Times New Roman" w:hAnsi="Times New Roman"/>
          <w:color w:val="000000" w:themeColor="text1"/>
          <w:sz w:val="16"/>
          <w:szCs w:val="16"/>
        </w:rPr>
        <w:t xml:space="preserve"> мог противопоста</w:t>
      </w:r>
      <w:r w:rsidRPr="00A259BD">
        <w:rPr>
          <w:rFonts w:ascii="Times New Roman" w:hAnsi="Times New Roman"/>
          <w:color w:val="000000" w:themeColor="text1"/>
          <w:sz w:val="16"/>
          <w:szCs w:val="16"/>
        </w:rPr>
        <w:softHyphen/>
        <w:t>вить им до 50 боеспособных самоле</w:t>
      </w:r>
      <w:r w:rsidRPr="00A259BD">
        <w:rPr>
          <w:rFonts w:ascii="Times New Roman" w:hAnsi="Times New Roman"/>
          <w:color w:val="000000" w:themeColor="text1"/>
          <w:sz w:val="16"/>
          <w:szCs w:val="16"/>
        </w:rPr>
        <w:softHyphen/>
        <w:t>тов. В разведсводке от 17 июля сооб</w:t>
      </w:r>
      <w:r w:rsidRPr="00A259BD">
        <w:rPr>
          <w:rFonts w:ascii="Times New Roman" w:hAnsi="Times New Roman"/>
          <w:color w:val="000000" w:themeColor="text1"/>
          <w:sz w:val="16"/>
          <w:szCs w:val="16"/>
        </w:rPr>
        <w:softHyphen/>
        <w:t>щили, что китайцы начали переброску авиации ближе к линии фронта, отпра</w:t>
      </w:r>
      <w:r w:rsidRPr="00A259BD">
        <w:rPr>
          <w:rFonts w:ascii="Times New Roman" w:hAnsi="Times New Roman"/>
          <w:color w:val="000000" w:themeColor="text1"/>
          <w:sz w:val="16"/>
          <w:szCs w:val="16"/>
        </w:rPr>
        <w:softHyphen/>
        <w:t>вив вместе с наземными войсками в район ст. Маньчжурия - Хайлар отряд самолетов и на ст. Пограничная два самолета. 19 июля отмечалась вероят</w:t>
      </w:r>
      <w:r w:rsidRPr="00A259BD">
        <w:rPr>
          <w:rFonts w:ascii="Times New Roman" w:hAnsi="Times New Roman"/>
          <w:color w:val="000000" w:themeColor="text1"/>
          <w:sz w:val="16"/>
          <w:szCs w:val="16"/>
        </w:rPr>
        <w:softHyphen/>
        <w:t>ная переброска авиаотряда предполо</w:t>
      </w:r>
      <w:r w:rsidRPr="00A259BD">
        <w:rPr>
          <w:rFonts w:ascii="Times New Roman" w:hAnsi="Times New Roman"/>
          <w:color w:val="000000" w:themeColor="text1"/>
          <w:sz w:val="16"/>
          <w:szCs w:val="16"/>
        </w:rPr>
        <w:softHyphen/>
        <w:t xml:space="preserve">жительно из 10 машин в </w:t>
      </w:r>
      <w:proofErr w:type="spellStart"/>
      <w:r w:rsidRPr="00A259BD">
        <w:rPr>
          <w:rFonts w:ascii="Times New Roman" w:hAnsi="Times New Roman"/>
          <w:color w:val="000000" w:themeColor="text1"/>
          <w:sz w:val="16"/>
          <w:szCs w:val="16"/>
        </w:rPr>
        <w:t>Баргу</w:t>
      </w:r>
      <w:proofErr w:type="spellEnd"/>
      <w:r w:rsidRPr="00A259BD">
        <w:rPr>
          <w:rFonts w:ascii="Times New Roman" w:hAnsi="Times New Roman"/>
          <w:color w:val="000000" w:themeColor="text1"/>
          <w:sz w:val="16"/>
          <w:szCs w:val="16"/>
        </w:rPr>
        <w:t xml:space="preserve"> и двух самолетов на ст. Пограничная (под</w:t>
      </w:r>
      <w:r w:rsidRPr="00A259BD">
        <w:rPr>
          <w:rFonts w:ascii="Times New Roman" w:hAnsi="Times New Roman"/>
          <w:color w:val="000000" w:themeColor="text1"/>
          <w:sz w:val="16"/>
          <w:szCs w:val="16"/>
        </w:rPr>
        <w:softHyphen/>
        <w:t xml:space="preserve">черкивалось, что сведения требовали проверки). 26 июля, по данным ОГПУ, китайские войска на </w:t>
      </w:r>
      <w:proofErr w:type="spellStart"/>
      <w:r w:rsidRPr="00A259BD">
        <w:rPr>
          <w:rFonts w:ascii="Times New Roman" w:hAnsi="Times New Roman"/>
          <w:color w:val="000000" w:themeColor="text1"/>
          <w:sz w:val="16"/>
          <w:szCs w:val="16"/>
        </w:rPr>
        <w:t>Сунгарийском</w:t>
      </w:r>
      <w:proofErr w:type="spellEnd"/>
      <w:r w:rsidRPr="00A259BD">
        <w:rPr>
          <w:rFonts w:ascii="Times New Roman" w:hAnsi="Times New Roman"/>
          <w:color w:val="000000" w:themeColor="text1"/>
          <w:sz w:val="16"/>
          <w:szCs w:val="16"/>
        </w:rPr>
        <w:t xml:space="preserve"> направлении усилили авиаотрядом в семь самолетов, их туда привезли ра</w:t>
      </w:r>
      <w:r w:rsidRPr="00A259BD">
        <w:rPr>
          <w:rFonts w:ascii="Times New Roman" w:hAnsi="Times New Roman"/>
          <w:color w:val="000000" w:themeColor="text1"/>
          <w:sz w:val="16"/>
          <w:szCs w:val="16"/>
        </w:rPr>
        <w:softHyphen/>
        <w:t>зобранными. По агентурным данным, также требовавшим проверки, 3 авгу</w:t>
      </w:r>
      <w:r w:rsidRPr="00A259BD">
        <w:rPr>
          <w:rFonts w:ascii="Times New Roman" w:hAnsi="Times New Roman"/>
          <w:color w:val="000000" w:themeColor="text1"/>
          <w:sz w:val="16"/>
          <w:szCs w:val="16"/>
        </w:rPr>
        <w:softHyphen/>
        <w:t>ста через Хайлар на запад проследо</w:t>
      </w:r>
      <w:r w:rsidRPr="00A259BD">
        <w:rPr>
          <w:rFonts w:ascii="Times New Roman" w:hAnsi="Times New Roman"/>
          <w:color w:val="000000" w:themeColor="text1"/>
          <w:sz w:val="16"/>
          <w:szCs w:val="16"/>
        </w:rPr>
        <w:softHyphen/>
        <w:t>вали еще три разобранных самолета. Уточнить эти данные по китайским ис</w:t>
      </w:r>
      <w:r w:rsidRPr="00A259BD">
        <w:rPr>
          <w:rFonts w:ascii="Times New Roman" w:hAnsi="Times New Roman"/>
          <w:color w:val="000000" w:themeColor="text1"/>
          <w:sz w:val="16"/>
          <w:szCs w:val="16"/>
        </w:rPr>
        <w:softHyphen/>
        <w:t>точникам не удалось (11216).</w:t>
      </w:r>
    </w:p>
    <w:p w14:paraId="5D2F5C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4B2C9F" w14:textId="77777777" w:rsidR="004C2BB7" w:rsidRPr="00A259BD" w:rsidRDefault="004C2BB7" w:rsidP="004C2BB7">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shd w:val="clear" w:color="auto" w:fill="FFFFFF"/>
        </w:rPr>
        <w:t>6 августа 1929 была сформирована ОДВА (Особая Дальневосточная Армия). Возглавивший ее В.К. Блюхер начал готовить операцию по противодействию китайским вылазкам. В активную фазу боевые действия вошли с 12 октября 1929 года. Конфликт на КВЖД оказался крайне специфичным: мало того, что официальный Нанкин был как бы не при делах, так еще и цель ОДВА заключалась не в захвате территории, а разгроме противника. В общей сложности на Дальний Восток отправилось 9 танков, которые свели в отдельную танковую роту.</w:t>
      </w:r>
    </w:p>
    <w:p w14:paraId="49FBAE79" w14:textId="77777777" w:rsidR="004C2BB7" w:rsidRPr="00A259BD" w:rsidRDefault="004C2BB7" w:rsidP="004C2BB7">
      <w:pPr>
        <w:shd w:val="clear" w:color="auto" w:fill="FFFFFF"/>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 xml:space="preserve">Бардак творился по обе стороны фронта. Начиная с того, что один танк уронили при разгрузке, участие в боях он не принимал. Но у Чжан </w:t>
      </w:r>
      <w:proofErr w:type="spellStart"/>
      <w:r w:rsidRPr="00A259BD">
        <w:rPr>
          <w:rFonts w:ascii="Times New Roman" w:hAnsi="Times New Roman"/>
          <w:color w:val="000000" w:themeColor="text1"/>
          <w:sz w:val="16"/>
          <w:szCs w:val="16"/>
          <w:shd w:val="clear" w:color="auto" w:fill="FFFFFF"/>
        </w:rPr>
        <w:t>Сюэляна</w:t>
      </w:r>
      <w:proofErr w:type="spellEnd"/>
      <w:r w:rsidRPr="00A259BD">
        <w:rPr>
          <w:rFonts w:ascii="Times New Roman" w:hAnsi="Times New Roman"/>
          <w:color w:val="000000" w:themeColor="text1"/>
          <w:sz w:val="16"/>
          <w:szCs w:val="16"/>
          <w:shd w:val="clear" w:color="auto" w:fill="FFFFFF"/>
        </w:rPr>
        <w:t xml:space="preserve"> дела были еще хуже: танки у него имелись (Renault FT), но в бой они так и не пошли. Боевой дебют Т-18 был веселым: часть машин просто потеряло ориентировку в пути и заблудилось, до вражеских позиций доехало 6, обнаружив тут противотанковые рвы. Советские машины колесили вдоль китайских позиций, не в силах их проехать, а китайские артиллеристы не могли в них попасть. Тем не менее, Т-18 всё же оказались полезными. Даже странный дебют 17 ноября 1929 года скорее стал успешным, поскольку машины всё же поддержали свою пехоту. В последующие два дня 8 танков вполне успешно поддерживали атаки пехоты. Далее конфликт пошел на убыль, поскольку Чжан </w:t>
      </w:r>
      <w:proofErr w:type="spellStart"/>
      <w:r w:rsidRPr="00A259BD">
        <w:rPr>
          <w:rFonts w:ascii="Times New Roman" w:hAnsi="Times New Roman"/>
          <w:color w:val="000000" w:themeColor="text1"/>
          <w:sz w:val="16"/>
          <w:szCs w:val="16"/>
          <w:shd w:val="clear" w:color="auto" w:fill="FFFFFF"/>
        </w:rPr>
        <w:t>Сюэлян</w:t>
      </w:r>
      <w:proofErr w:type="spellEnd"/>
      <w:r w:rsidRPr="00A259BD">
        <w:rPr>
          <w:rFonts w:ascii="Times New Roman" w:hAnsi="Times New Roman"/>
          <w:color w:val="000000" w:themeColor="text1"/>
          <w:sz w:val="16"/>
          <w:szCs w:val="16"/>
          <w:shd w:val="clear" w:color="auto" w:fill="FFFFFF"/>
        </w:rPr>
        <w:t xml:space="preserve"> начал о чем-то догадываться и запросил переговоры. Таким образом, общий итог боевого применения Т-18 можно считать успешным. Особенно с учетом того, как вели боевые действия обе стороны (22380).</w:t>
      </w:r>
    </w:p>
    <w:p w14:paraId="57612236" w14:textId="77777777" w:rsidR="004C2BB7" w:rsidRPr="00A259BD" w:rsidRDefault="004C2BB7" w:rsidP="004C2BB7">
      <w:pPr>
        <w:shd w:val="clear" w:color="auto" w:fill="FFFFFF"/>
        <w:spacing w:after="0" w:line="240" w:lineRule="auto"/>
        <w:jc w:val="both"/>
        <w:rPr>
          <w:rFonts w:ascii="Times New Roman" w:hAnsi="Times New Roman"/>
          <w:color w:val="000000" w:themeColor="text1"/>
          <w:sz w:val="16"/>
          <w:szCs w:val="16"/>
        </w:rPr>
      </w:pPr>
    </w:p>
    <w:p w14:paraId="7CF37A5C" w14:textId="77777777" w:rsidR="00463E8C" w:rsidRPr="00A259BD" w:rsidRDefault="00463E8C" w:rsidP="009236E3">
      <w:pPr>
        <w:pStyle w:val="a3"/>
        <w:rPr>
          <w:color w:val="000000" w:themeColor="text1"/>
          <w:lang w:val="ru-RU"/>
        </w:rPr>
      </w:pPr>
      <w:r w:rsidRPr="00A259BD">
        <w:rPr>
          <w:color w:val="000000" w:themeColor="text1"/>
          <w:lang w:val="ru-RU"/>
        </w:rPr>
        <w:t>6 августа 1929 г. была сформирована Особая Дальневосточная армия (ОДВА). Командовать ею назначили В.К Блюхера — ранее главного советского военного советника в Китае, хорошо знакомого с местной спецификой. В первом крупном вооружённом конфликте после окончания гражданской войны Красная армия намеревалась опробовать всё, че</w:t>
      </w:r>
      <w:r w:rsidRPr="00A259BD">
        <w:rPr>
          <w:color w:val="000000" w:themeColor="text1"/>
          <w:lang w:val="ru-RU"/>
        </w:rPr>
        <w:softHyphen/>
        <w:t>му она научилась за эти годы, испытать новое вооружение и военную технику.</w:t>
      </w:r>
    </w:p>
    <w:p w14:paraId="23AA1D93" w14:textId="77777777" w:rsidR="00463E8C" w:rsidRPr="00A259BD" w:rsidRDefault="00463E8C" w:rsidP="009236E3">
      <w:pPr>
        <w:pStyle w:val="a3"/>
        <w:rPr>
          <w:color w:val="000000" w:themeColor="text1"/>
          <w:lang w:val="ru-RU"/>
        </w:rPr>
      </w:pPr>
      <w:r w:rsidRPr="00A259BD">
        <w:rPr>
          <w:color w:val="000000" w:themeColor="text1"/>
          <w:lang w:val="ru-RU"/>
        </w:rPr>
        <w:t xml:space="preserve">Кроме обычной пехоты и кавалерии, в бой должны были пойти танки и мотопехота на грузовиках. Немалую роль отводили и авиации. В дополнение к имевшимся </w:t>
      </w:r>
      <w:r w:rsidRPr="00A259BD">
        <w:rPr>
          <w:color w:val="000000" w:themeColor="text1"/>
          <w:lang w:val="ru-RU"/>
        </w:rPr>
        <w:lastRenderedPageBreak/>
        <w:t>ранее трём авиаотрядам в Чите, Спасске и Хабаровске из Европейской части страны перебросили ещё три эскадрильи. Например, 40-я эскадрилья прибыла из Липецка. ВВС ОДВА ко</w:t>
      </w:r>
      <w:r w:rsidRPr="00A259BD">
        <w:rPr>
          <w:color w:val="000000" w:themeColor="text1"/>
          <w:lang w:val="ru-RU"/>
        </w:rPr>
        <w:softHyphen/>
        <w:t>мандовал венгерский эмигрант, член ВКП(б) Эрвин Киш. ОДВА разделили на две груп</w:t>
      </w:r>
      <w:r w:rsidRPr="00A259BD">
        <w:rPr>
          <w:color w:val="000000" w:themeColor="text1"/>
          <w:lang w:val="ru-RU"/>
        </w:rPr>
        <w:softHyphen/>
        <w:t>пы — Приморскую и Забайкальскую. По плану они наносили удары навстречу друг другу вдоль линии КВЖД. Приморская группа должна была взаимодействовать с Амурской во</w:t>
      </w:r>
      <w:r w:rsidRPr="00A259BD">
        <w:rPr>
          <w:color w:val="000000" w:themeColor="text1"/>
          <w:lang w:val="ru-RU"/>
        </w:rPr>
        <w:softHyphen/>
        <w:t>енной флотилией, которой отводили направление вверх по реке Сунгари. Каждой груп</w:t>
      </w:r>
      <w:r w:rsidRPr="00A259BD">
        <w:rPr>
          <w:color w:val="000000" w:themeColor="text1"/>
          <w:lang w:val="ru-RU"/>
        </w:rPr>
        <w:softHyphen/>
        <w:t>пе для поддержки выделили авиацию. Приморской группе придали 19-й отдельный авиаотряд (</w:t>
      </w:r>
      <w:proofErr w:type="spellStart"/>
      <w:r w:rsidRPr="00A259BD">
        <w:rPr>
          <w:color w:val="000000" w:themeColor="text1"/>
          <w:lang w:val="ru-RU"/>
        </w:rPr>
        <w:t>оао</w:t>
      </w:r>
      <w:proofErr w:type="spellEnd"/>
      <w:r w:rsidRPr="00A259BD">
        <w:rPr>
          <w:color w:val="000000" w:themeColor="text1"/>
          <w:lang w:val="ru-RU"/>
        </w:rPr>
        <w:t>) «Дальневосточный ультиматум», 5-ю истребительную и 40-ю разведы</w:t>
      </w:r>
      <w:r w:rsidRPr="00A259BD">
        <w:rPr>
          <w:color w:val="000000" w:themeColor="text1"/>
          <w:lang w:val="ru-RU"/>
        </w:rPr>
        <w:softHyphen/>
        <w:t>вательную эскадрильи (</w:t>
      </w:r>
      <w:proofErr w:type="spellStart"/>
      <w:r w:rsidRPr="00A259BD">
        <w:rPr>
          <w:color w:val="000000" w:themeColor="text1"/>
          <w:lang w:val="ru-RU"/>
        </w:rPr>
        <w:t>аэ</w:t>
      </w:r>
      <w:proofErr w:type="spellEnd"/>
      <w:r w:rsidRPr="00A259BD">
        <w:rPr>
          <w:color w:val="000000" w:themeColor="text1"/>
          <w:lang w:val="ru-RU"/>
        </w:rPr>
        <w:t>); они размещались в Спасске и у станции Гродеково. Забай</w:t>
      </w:r>
      <w:r w:rsidRPr="00A259BD">
        <w:rPr>
          <w:color w:val="000000" w:themeColor="text1"/>
          <w:lang w:val="ru-RU"/>
        </w:rPr>
        <w:softHyphen/>
        <w:t xml:space="preserve">кальской группе достались 6-й («имени </w:t>
      </w:r>
      <w:proofErr w:type="spellStart"/>
      <w:r w:rsidRPr="00A259BD">
        <w:rPr>
          <w:color w:val="000000" w:themeColor="text1"/>
          <w:lang w:val="ru-RU"/>
        </w:rPr>
        <w:t>Сибревкома</w:t>
      </w:r>
      <w:proofErr w:type="spellEnd"/>
      <w:r w:rsidRPr="00A259BD">
        <w:rPr>
          <w:color w:val="000000" w:themeColor="text1"/>
          <w:lang w:val="ru-RU"/>
        </w:rPr>
        <w:t>») и 25-й'отдельные авиаотряды, а также 26-я эскадрилья. Их перебросили на площадку у станции Даурия. У Амурской флотилии имелся 68-й отдельный речной авиаотряд, стоявший в Хабаровске.</w:t>
      </w:r>
    </w:p>
    <w:p w14:paraId="503D5782" w14:textId="77777777" w:rsidR="00463E8C" w:rsidRPr="00A259BD" w:rsidRDefault="00463E8C" w:rsidP="009236E3">
      <w:pPr>
        <w:pStyle w:val="a3"/>
        <w:rPr>
          <w:color w:val="000000" w:themeColor="text1"/>
          <w:lang w:val="ru-RU"/>
        </w:rPr>
      </w:pPr>
      <w:r w:rsidRPr="00A259BD">
        <w:rPr>
          <w:color w:val="000000" w:themeColor="text1"/>
          <w:lang w:val="ru-RU"/>
        </w:rPr>
        <w:t xml:space="preserve">По штатам того времени отряд должен был иметь семь—десять самолётов, эскадрилья </w:t>
      </w:r>
      <w:proofErr w:type="spellStart"/>
      <w:r w:rsidRPr="00A259BD">
        <w:rPr>
          <w:color w:val="000000" w:themeColor="text1"/>
          <w:lang w:val="ru-RU"/>
        </w:rPr>
        <w:t>трехотрядного</w:t>
      </w:r>
      <w:proofErr w:type="spellEnd"/>
      <w:r w:rsidRPr="00A259BD">
        <w:rPr>
          <w:color w:val="000000" w:themeColor="text1"/>
          <w:lang w:val="ru-RU"/>
        </w:rPr>
        <w:t xml:space="preserve"> состава — 19. Но почти все части ВВС ОДВА, удалённые от центра стра</w:t>
      </w:r>
      <w:r w:rsidRPr="00A259BD">
        <w:rPr>
          <w:color w:val="000000" w:themeColor="text1"/>
          <w:lang w:val="ru-RU"/>
        </w:rPr>
        <w:softHyphen/>
        <w:t>ны с ее заводами и складами, были недоукомплектованы.</w:t>
      </w:r>
    </w:p>
    <w:p w14:paraId="5C52FE86" w14:textId="77777777" w:rsidR="00463E8C" w:rsidRPr="00A259BD" w:rsidRDefault="00463E8C" w:rsidP="009236E3">
      <w:pPr>
        <w:pStyle w:val="a3"/>
        <w:rPr>
          <w:color w:val="000000" w:themeColor="text1"/>
          <w:lang w:val="ru-RU"/>
        </w:rPr>
      </w:pPr>
      <w:r w:rsidRPr="00A259BD">
        <w:rPr>
          <w:color w:val="000000" w:themeColor="text1"/>
          <w:lang w:val="ru-RU"/>
        </w:rPr>
        <w:t xml:space="preserve">Самолёты были преимущественно советского производства. Только 5-я </w:t>
      </w:r>
      <w:proofErr w:type="spellStart"/>
      <w:r w:rsidRPr="00A259BD">
        <w:rPr>
          <w:color w:val="000000" w:themeColor="text1"/>
          <w:lang w:val="ru-RU"/>
        </w:rPr>
        <w:t>аэ</w:t>
      </w:r>
      <w:proofErr w:type="spellEnd"/>
      <w:r w:rsidRPr="00A259BD">
        <w:rPr>
          <w:color w:val="000000" w:themeColor="text1"/>
          <w:lang w:val="ru-RU"/>
        </w:rPr>
        <w:t xml:space="preserve"> летала на голландских истребителях Фоккер </w:t>
      </w:r>
      <w:r w:rsidRPr="00A259BD">
        <w:rPr>
          <w:color w:val="000000" w:themeColor="text1"/>
        </w:rPr>
        <w:t>D</w:t>
      </w:r>
      <w:r w:rsidRPr="00A259BD">
        <w:rPr>
          <w:color w:val="000000" w:themeColor="text1"/>
          <w:lang w:val="ru-RU"/>
        </w:rPr>
        <w:t>.</w:t>
      </w:r>
      <w:r w:rsidRPr="00A259BD">
        <w:rPr>
          <w:color w:val="000000" w:themeColor="text1"/>
        </w:rPr>
        <w:t>XI</w:t>
      </w:r>
      <w:r w:rsidRPr="00A259BD">
        <w:rPr>
          <w:color w:val="000000" w:themeColor="text1"/>
          <w:lang w:val="ru-RU"/>
        </w:rPr>
        <w:t xml:space="preserve"> — бипланах смешанной конструкции с мотором «Испано-</w:t>
      </w:r>
      <w:proofErr w:type="spellStart"/>
      <w:r w:rsidRPr="00A259BD">
        <w:rPr>
          <w:color w:val="000000" w:themeColor="text1"/>
          <w:lang w:val="ru-RU"/>
        </w:rPr>
        <w:t>Сюиза</w:t>
      </w:r>
      <w:proofErr w:type="spellEnd"/>
      <w:r w:rsidRPr="00A259BD">
        <w:rPr>
          <w:color w:val="000000" w:themeColor="text1"/>
          <w:lang w:val="ru-RU"/>
        </w:rPr>
        <w:t>», вооружённых парой пулемётов «Виккерс». Партию таких машин при</w:t>
      </w:r>
      <w:r w:rsidRPr="00A259BD">
        <w:rPr>
          <w:color w:val="000000" w:themeColor="text1"/>
          <w:lang w:val="ru-RU"/>
        </w:rPr>
        <w:softHyphen/>
        <w:t>обрели в Нидерландах в 1923 г. На Дальнем Востоке их имелось 13 штук, все были по</w:t>
      </w:r>
      <w:r w:rsidRPr="00A259BD">
        <w:rPr>
          <w:color w:val="000000" w:themeColor="text1"/>
          <w:lang w:val="ru-RU"/>
        </w:rPr>
        <w:softHyphen/>
        <w:t>рядком изношены. Для пополнения в Управлении ВВС затребовали дополнительные истребители. 15 исправных машин собрали в различных частях в Белоруссии, но при</w:t>
      </w:r>
      <w:r w:rsidRPr="00A259BD">
        <w:rPr>
          <w:color w:val="000000" w:themeColor="text1"/>
          <w:lang w:val="ru-RU"/>
        </w:rPr>
        <w:softHyphen/>
        <w:t>были на место они слишком поздно — в декабре, когда конфликт уже завершился.</w:t>
      </w:r>
    </w:p>
    <w:p w14:paraId="76FB54E2" w14:textId="77777777" w:rsidR="00463E8C" w:rsidRPr="00A259BD" w:rsidRDefault="00463E8C" w:rsidP="009236E3">
      <w:pPr>
        <w:pStyle w:val="a3"/>
        <w:rPr>
          <w:color w:val="000000" w:themeColor="text1"/>
          <w:lang w:val="ru-RU"/>
        </w:rPr>
      </w:pPr>
      <w:r w:rsidRPr="00A259BD">
        <w:rPr>
          <w:color w:val="000000" w:themeColor="text1"/>
          <w:lang w:val="ru-RU"/>
        </w:rPr>
        <w:t xml:space="preserve">Все остальные части ВВС ОДВА летали на отечественных бипланах Р-1. Этот простой и дешёвый деревянный самолёт представлял собой советскую модификацию известного английского разведчика-бомбардировщика Де </w:t>
      </w:r>
      <w:proofErr w:type="spellStart"/>
      <w:r w:rsidRPr="00A259BD">
        <w:rPr>
          <w:color w:val="000000" w:themeColor="text1"/>
          <w:lang w:val="ru-RU"/>
        </w:rPr>
        <w:t>Хэвилленд</w:t>
      </w:r>
      <w:proofErr w:type="spellEnd"/>
      <w:r w:rsidRPr="00A259BD">
        <w:rPr>
          <w:color w:val="000000" w:themeColor="text1"/>
          <w:lang w:val="ru-RU"/>
        </w:rPr>
        <w:t xml:space="preserve"> </w:t>
      </w:r>
      <w:r w:rsidRPr="00A259BD">
        <w:rPr>
          <w:color w:val="000000" w:themeColor="text1"/>
        </w:rPr>
        <w:t>DH</w:t>
      </w:r>
      <w:r w:rsidRPr="00A259BD">
        <w:rPr>
          <w:color w:val="000000" w:themeColor="text1"/>
          <w:lang w:val="ru-RU"/>
        </w:rPr>
        <w:t>.9</w:t>
      </w:r>
      <w:r w:rsidRPr="00A259BD">
        <w:rPr>
          <w:color w:val="000000" w:themeColor="text1"/>
        </w:rPr>
        <w:t>a</w:t>
      </w:r>
      <w:r w:rsidRPr="00A259BD">
        <w:rPr>
          <w:color w:val="000000" w:themeColor="text1"/>
          <w:lang w:val="ru-RU"/>
        </w:rPr>
        <w:t>. На самолётах стоя</w:t>
      </w:r>
      <w:r w:rsidRPr="00A259BD">
        <w:rPr>
          <w:color w:val="000000" w:themeColor="text1"/>
          <w:lang w:val="ru-RU"/>
        </w:rPr>
        <w:softHyphen/>
        <w:t>ли либо «родные» американские 400-сильные двигатели «Либерти», либо их советские копии — М-5. Р-1 мог нести до 160 кг бомб под нижним крылом и фюзеляжем. Самой крупной авиабомбой, которую он поднимал, являлась АФ-82 весом 82 кг. Это был первый советский самолёт, оснащённый бомбодержателями и бомбосбрасывателями.</w:t>
      </w:r>
    </w:p>
    <w:p w14:paraId="22F46C1F" w14:textId="77777777" w:rsidR="00463E8C" w:rsidRPr="00A259BD" w:rsidRDefault="00463E8C" w:rsidP="009236E3">
      <w:pPr>
        <w:pStyle w:val="a3"/>
        <w:rPr>
          <w:color w:val="000000" w:themeColor="text1"/>
          <w:lang w:val="ru-RU"/>
        </w:rPr>
      </w:pPr>
      <w:r w:rsidRPr="00A259BD">
        <w:rPr>
          <w:color w:val="000000" w:themeColor="text1"/>
          <w:lang w:val="ru-RU"/>
        </w:rPr>
        <w:t xml:space="preserve">Стрелковое вооружение Р-1 состояло из курсового синхронного пулемета «Виккерс» </w:t>
      </w:r>
      <w:r w:rsidRPr="00A259BD">
        <w:rPr>
          <w:rStyle w:val="154"/>
          <w:rFonts w:ascii="Times New Roman" w:hAnsi="Times New Roman" w:cs="Times New Roman"/>
          <w:b w:val="0"/>
          <w:color w:val="000000" w:themeColor="text1"/>
          <w:sz w:val="16"/>
          <w:szCs w:val="16"/>
          <w:lang w:val="ru-RU"/>
        </w:rPr>
        <w:t>или</w:t>
      </w:r>
      <w:r w:rsidRPr="00A259BD">
        <w:rPr>
          <w:color w:val="000000" w:themeColor="text1"/>
          <w:lang w:val="ru-RU"/>
        </w:rPr>
        <w:t xml:space="preserve"> ПВ-1 на левом борту и турели типа «</w:t>
      </w:r>
      <w:proofErr w:type="spellStart"/>
      <w:r w:rsidRPr="00A259BD">
        <w:rPr>
          <w:color w:val="000000" w:themeColor="text1"/>
          <w:lang w:val="ru-RU"/>
        </w:rPr>
        <w:t>Скэрф</w:t>
      </w:r>
      <w:proofErr w:type="spellEnd"/>
      <w:r w:rsidRPr="00A259BD">
        <w:rPr>
          <w:color w:val="000000" w:themeColor="text1"/>
          <w:lang w:val="ru-RU"/>
        </w:rPr>
        <w:t>» в задней кабине, на которой должны были монтироваться два пулемёта «Льюис» образца 1924 г. Однако, из-за нехватки пу</w:t>
      </w:r>
      <w:r w:rsidRPr="00A259BD">
        <w:rPr>
          <w:color w:val="000000" w:themeColor="text1"/>
          <w:lang w:val="ru-RU"/>
        </w:rPr>
        <w:softHyphen/>
        <w:t>лемётов, часто вместо двух ставили лишь один. Всего в ВВС ОДВА имелось 62 Р-1.</w:t>
      </w:r>
    </w:p>
    <w:p w14:paraId="15E4AB38" w14:textId="77777777" w:rsidR="00463E8C" w:rsidRPr="00A259BD" w:rsidRDefault="00463E8C" w:rsidP="009236E3">
      <w:pPr>
        <w:pStyle w:val="a3"/>
        <w:rPr>
          <w:color w:val="000000" w:themeColor="text1"/>
          <w:lang w:val="ru-RU"/>
        </w:rPr>
      </w:pPr>
      <w:r w:rsidRPr="00A259BD">
        <w:rPr>
          <w:color w:val="000000" w:themeColor="text1"/>
          <w:lang w:val="ru-RU"/>
        </w:rPr>
        <w:t xml:space="preserve">68-й речной отряд оказался единственным, доукомплектованным до полного штата. </w:t>
      </w:r>
      <w:r w:rsidRPr="00A259BD">
        <w:rPr>
          <w:rStyle w:val="154"/>
          <w:rFonts w:ascii="Times New Roman" w:hAnsi="Times New Roman" w:cs="Times New Roman"/>
          <w:b w:val="0"/>
          <w:color w:val="000000" w:themeColor="text1"/>
          <w:sz w:val="16"/>
          <w:szCs w:val="16"/>
          <w:lang w:val="ru-RU"/>
        </w:rPr>
        <w:t>Он</w:t>
      </w:r>
      <w:r w:rsidRPr="00A259BD">
        <w:rPr>
          <w:color w:val="000000" w:themeColor="text1"/>
          <w:lang w:val="ru-RU"/>
        </w:rPr>
        <w:t xml:space="preserve"> имел 10 гидропланов МР-1 — модификаций того же Р-1. От своего сухопутного «собрата» МР-1 отличался парой поплавков вместо колёс, усилениями нижнего крыла </w:t>
      </w:r>
      <w:r w:rsidRPr="00A259BD">
        <w:rPr>
          <w:rStyle w:val="910"/>
          <w:rFonts w:ascii="Times New Roman" w:hAnsi="Times New Roman" w:cs="Times New Roman"/>
          <w:b w:val="0"/>
          <w:color w:val="000000" w:themeColor="text1"/>
          <w:spacing w:val="0"/>
          <w:sz w:val="16"/>
          <w:szCs w:val="16"/>
          <w:lang w:val="ru-RU"/>
        </w:rPr>
        <w:t>и</w:t>
      </w:r>
      <w:r w:rsidRPr="00A259BD">
        <w:rPr>
          <w:color w:val="000000" w:themeColor="text1"/>
          <w:lang w:val="ru-RU"/>
        </w:rPr>
        <w:t xml:space="preserve"> фюзеляжа, а также формой вертикального оперения. Увеличенный вес поплавков по сравнению с колесным шасси вынудил уменьшить бомбовую нагрузку.</w:t>
      </w:r>
    </w:p>
    <w:p w14:paraId="0089418A" w14:textId="77777777" w:rsidR="00463E8C" w:rsidRPr="00A259BD" w:rsidRDefault="00463E8C" w:rsidP="009236E3">
      <w:pPr>
        <w:pStyle w:val="a3"/>
        <w:rPr>
          <w:color w:val="000000" w:themeColor="text1"/>
          <w:lang w:val="ru-RU"/>
        </w:rPr>
      </w:pPr>
      <w:r w:rsidRPr="00A259BD">
        <w:rPr>
          <w:color w:val="000000" w:themeColor="text1"/>
          <w:lang w:val="ru-RU"/>
        </w:rPr>
        <w:t>68~й отряд базировался на несамоходной плавбазе «Амур» — бывшей канонерской лодке «Вихрь» (т.н. «авиаматке»). На ней находились мастерские, склады горючего и боеприпасов и небольшой ангар, в котором размещались пять гидропланов.</w:t>
      </w:r>
    </w:p>
    <w:p w14:paraId="2CA3F578" w14:textId="77777777" w:rsidR="00463E8C" w:rsidRPr="00A259BD" w:rsidRDefault="00463E8C" w:rsidP="009236E3">
      <w:pPr>
        <w:pStyle w:val="a3"/>
        <w:rPr>
          <w:color w:val="000000" w:themeColor="text1"/>
          <w:lang w:val="ru-RU"/>
        </w:rPr>
      </w:pPr>
      <w:proofErr w:type="spellStart"/>
      <w:r w:rsidRPr="00A259BD">
        <w:rPr>
          <w:color w:val="000000" w:themeColor="text1"/>
          <w:lang w:val="ru-RU"/>
        </w:rPr>
        <w:t>Впридачу</w:t>
      </w:r>
      <w:proofErr w:type="spellEnd"/>
      <w:r w:rsidRPr="00A259BD">
        <w:rPr>
          <w:color w:val="000000" w:themeColor="text1"/>
          <w:lang w:val="ru-RU"/>
        </w:rPr>
        <w:t xml:space="preserve"> к боевым машинам в ВВС ОДВА имелись два устаревших голландских раз</w:t>
      </w:r>
      <w:r w:rsidRPr="00A259BD">
        <w:rPr>
          <w:color w:val="000000" w:themeColor="text1"/>
          <w:lang w:val="ru-RU"/>
        </w:rPr>
        <w:softHyphen/>
        <w:t>ведчика Фоккер С.</w:t>
      </w:r>
      <w:r w:rsidRPr="00A259BD">
        <w:rPr>
          <w:color w:val="000000" w:themeColor="text1"/>
        </w:rPr>
        <w:t>IV</w:t>
      </w:r>
      <w:r w:rsidRPr="00A259BD">
        <w:rPr>
          <w:color w:val="000000" w:themeColor="text1"/>
          <w:lang w:val="ru-RU"/>
        </w:rPr>
        <w:t>. Их использовали как самолёты связи.</w:t>
      </w:r>
    </w:p>
    <w:p w14:paraId="290CC820" w14:textId="77777777" w:rsidR="00463E8C" w:rsidRPr="00A259BD" w:rsidRDefault="00463E8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Китайцы могли противопоставить нашей авиации несколько десятков зенитных пу</w:t>
      </w:r>
      <w:r w:rsidRPr="00A259BD">
        <w:rPr>
          <w:rFonts w:ascii="Times New Roman" w:hAnsi="Times New Roman"/>
          <w:color w:val="000000" w:themeColor="text1"/>
          <w:sz w:val="16"/>
          <w:szCs w:val="16"/>
        </w:rPr>
        <w:softHyphen/>
        <w:t>шек, пулемёты и неплохие, по местным меркам, ВВС. У центрального правительства са</w:t>
      </w:r>
      <w:r w:rsidRPr="00A259BD">
        <w:rPr>
          <w:rFonts w:ascii="Times New Roman" w:hAnsi="Times New Roman"/>
          <w:color w:val="000000" w:themeColor="text1"/>
          <w:sz w:val="16"/>
          <w:szCs w:val="16"/>
        </w:rPr>
        <w:softHyphen/>
        <w:t xml:space="preserve">молётов возле границы не имелось. Зато Чжан </w:t>
      </w:r>
      <w:proofErr w:type="spellStart"/>
      <w:r w:rsidRPr="00A259BD">
        <w:rPr>
          <w:rFonts w:ascii="Times New Roman" w:hAnsi="Times New Roman"/>
          <w:color w:val="000000" w:themeColor="text1"/>
          <w:sz w:val="16"/>
          <w:szCs w:val="16"/>
        </w:rPr>
        <w:t>Сюэлян</w:t>
      </w:r>
      <w:proofErr w:type="spellEnd"/>
      <w:r w:rsidRPr="00A259BD">
        <w:rPr>
          <w:rFonts w:ascii="Times New Roman" w:hAnsi="Times New Roman"/>
          <w:color w:val="000000" w:themeColor="text1"/>
          <w:sz w:val="16"/>
          <w:szCs w:val="16"/>
        </w:rPr>
        <w:t>, кстати, сам военный лётчик и главнокомандующий маньчжурскими ВВС, сумел создать в своей вотчине довольно при</w:t>
      </w:r>
      <w:r w:rsidRPr="00A259BD">
        <w:rPr>
          <w:rFonts w:ascii="Times New Roman" w:hAnsi="Times New Roman"/>
          <w:color w:val="000000" w:themeColor="text1"/>
          <w:sz w:val="16"/>
          <w:szCs w:val="16"/>
        </w:rPr>
        <w:softHyphen/>
        <w:t>личные, по китайским меркам, военно-воздушные силы, насчитывающие более 100 са</w:t>
      </w:r>
      <w:r w:rsidRPr="00A259BD">
        <w:rPr>
          <w:rFonts w:ascii="Times New Roman" w:hAnsi="Times New Roman"/>
          <w:color w:val="000000" w:themeColor="text1"/>
          <w:sz w:val="16"/>
          <w:szCs w:val="16"/>
        </w:rPr>
        <w:softHyphen/>
        <w:t>молётов, в том числе несколько двухмоторных бомбардировщиков. По оценкам совет</w:t>
      </w:r>
      <w:r w:rsidRPr="00A259BD">
        <w:rPr>
          <w:rFonts w:ascii="Times New Roman" w:hAnsi="Times New Roman"/>
          <w:color w:val="000000" w:themeColor="text1"/>
          <w:sz w:val="16"/>
          <w:szCs w:val="16"/>
        </w:rPr>
        <w:softHyphen/>
      </w:r>
      <w:r w:rsidRPr="00A259BD">
        <w:rPr>
          <w:rStyle w:val="161"/>
          <w:rFonts w:ascii="Times New Roman" w:hAnsi="Times New Roman" w:cs="Times New Roman"/>
          <w:b w:val="0"/>
          <w:color w:val="000000" w:themeColor="text1"/>
          <w:sz w:val="16"/>
          <w:szCs w:val="16"/>
        </w:rPr>
        <w:t>ской</w:t>
      </w:r>
      <w:r w:rsidRPr="00A259BD">
        <w:rPr>
          <w:rFonts w:ascii="Times New Roman" w:hAnsi="Times New Roman"/>
          <w:color w:val="000000" w:themeColor="text1"/>
          <w:sz w:val="16"/>
          <w:szCs w:val="16"/>
        </w:rPr>
        <w:t xml:space="preserve"> разведки, в зоне будущих военных действий на двух аэродромах находились при</w:t>
      </w:r>
      <w:r w:rsidRPr="00A259BD">
        <w:rPr>
          <w:rFonts w:ascii="Times New Roman" w:hAnsi="Times New Roman"/>
          <w:color w:val="000000" w:themeColor="text1"/>
          <w:sz w:val="16"/>
          <w:szCs w:val="16"/>
        </w:rPr>
        <w:softHyphen/>
        <w:t>мерно 15 самолётов противника, в основном — одномоторных 6 августа в 1929 году в Бристоле открываются первые в Великобритании курсы автовождения (14975).</w:t>
      </w:r>
    </w:p>
    <w:p w14:paraId="6A663632" w14:textId="77777777" w:rsidR="00463E8C" w:rsidRPr="00A259BD" w:rsidRDefault="00463E8C" w:rsidP="009236E3">
      <w:pPr>
        <w:spacing w:after="0" w:line="240" w:lineRule="auto"/>
        <w:jc w:val="both"/>
        <w:rPr>
          <w:rFonts w:ascii="Times New Roman" w:hAnsi="Times New Roman"/>
          <w:color w:val="000000" w:themeColor="text1"/>
          <w:sz w:val="16"/>
          <w:szCs w:val="16"/>
        </w:rPr>
      </w:pPr>
    </w:p>
    <w:p w14:paraId="6E3A180E" w14:textId="77777777" w:rsidR="00463E8C" w:rsidRPr="00A259BD" w:rsidRDefault="00463E8C" w:rsidP="009236E3">
      <w:pPr>
        <w:pStyle w:val="a3"/>
        <w:rPr>
          <w:color w:val="000000" w:themeColor="text1"/>
          <w:lang w:val="ru-RU"/>
        </w:rPr>
      </w:pPr>
      <w:r w:rsidRPr="00A259BD">
        <w:rPr>
          <w:color w:val="000000" w:themeColor="text1"/>
          <w:lang w:val="ru-RU"/>
        </w:rPr>
        <w:t>6 августа 1929 г. появился приказ Реввоенсовета СССР о создании Осо</w:t>
      </w:r>
      <w:r w:rsidRPr="00A259BD">
        <w:rPr>
          <w:color w:val="000000" w:themeColor="text1"/>
          <w:lang w:val="ru-RU"/>
        </w:rPr>
        <w:softHyphen/>
        <w:t>бой Дальневосточной армии (ОДВА, позже Краснознаменной — ОКДВА) под командова</w:t>
      </w:r>
      <w:r w:rsidRPr="00A259BD">
        <w:rPr>
          <w:color w:val="000000" w:themeColor="text1"/>
          <w:lang w:val="ru-RU"/>
        </w:rPr>
        <w:softHyphen/>
        <w:t>нием В.К. Блюхера. Авиационная группировка насчитывала около 70 боевых самолётов Р-1 и поплавковых МР-1, а также несколько истребителей «</w:t>
      </w:r>
      <w:proofErr w:type="spellStart"/>
      <w:r w:rsidRPr="00A259BD">
        <w:rPr>
          <w:color w:val="000000" w:themeColor="text1"/>
          <w:lang w:val="ru-RU"/>
        </w:rPr>
        <w:t>Мартинсайд</w:t>
      </w:r>
      <w:proofErr w:type="spellEnd"/>
      <w:r w:rsidRPr="00A259BD">
        <w:rPr>
          <w:color w:val="000000" w:themeColor="text1"/>
          <w:lang w:val="ru-RU"/>
        </w:rPr>
        <w:t xml:space="preserve">». По состоянию на 31 июля в составе Даурской группировки насчитывалось 19 самолётов, в </w:t>
      </w:r>
      <w:proofErr w:type="spellStart"/>
      <w:r w:rsidRPr="00A259BD">
        <w:rPr>
          <w:color w:val="000000" w:themeColor="text1"/>
          <w:lang w:val="ru-RU"/>
        </w:rPr>
        <w:t>Хабаровско</w:t>
      </w:r>
      <w:proofErr w:type="spellEnd"/>
      <w:r w:rsidRPr="00A259BD">
        <w:rPr>
          <w:color w:val="000000" w:themeColor="text1"/>
          <w:lang w:val="ru-RU"/>
        </w:rPr>
        <w:t xml:space="preserve">- </w:t>
      </w:r>
      <w:proofErr w:type="spellStart"/>
      <w:r w:rsidRPr="00A259BD">
        <w:rPr>
          <w:color w:val="000000" w:themeColor="text1"/>
          <w:lang w:val="ru-RU"/>
        </w:rPr>
        <w:t>Сунгарийской</w:t>
      </w:r>
      <w:proofErr w:type="spellEnd"/>
      <w:r w:rsidRPr="00A259BD">
        <w:rPr>
          <w:color w:val="000000" w:themeColor="text1"/>
          <w:lang w:val="ru-RU"/>
        </w:rPr>
        <w:t xml:space="preserve"> — 8, </w:t>
      </w:r>
      <w:proofErr w:type="spellStart"/>
      <w:r w:rsidRPr="00A259BD">
        <w:rPr>
          <w:color w:val="000000" w:themeColor="text1"/>
          <w:lang w:val="ru-RU"/>
        </w:rPr>
        <w:t>Гродековской</w:t>
      </w:r>
      <w:proofErr w:type="spellEnd"/>
      <w:r w:rsidRPr="00A259BD">
        <w:rPr>
          <w:color w:val="000000" w:themeColor="text1"/>
          <w:lang w:val="ru-RU"/>
        </w:rPr>
        <w:t xml:space="preserve"> — 37, Читинской — 6. Благовещенская и Владивосток</w:t>
      </w:r>
      <w:r w:rsidRPr="00A259BD">
        <w:rPr>
          <w:color w:val="000000" w:themeColor="text1"/>
          <w:lang w:val="ru-RU"/>
        </w:rPr>
        <w:softHyphen/>
        <w:t xml:space="preserve">ская группировки ОДВА самолётов не имели. Чжан </w:t>
      </w:r>
      <w:proofErr w:type="spellStart"/>
      <w:r w:rsidRPr="00A259BD">
        <w:rPr>
          <w:color w:val="000000" w:themeColor="text1"/>
          <w:lang w:val="ru-RU"/>
        </w:rPr>
        <w:t>Сюэлян</w:t>
      </w:r>
      <w:proofErr w:type="spellEnd"/>
      <w:r w:rsidRPr="00A259BD">
        <w:rPr>
          <w:color w:val="000000" w:themeColor="text1"/>
          <w:lang w:val="ru-RU"/>
        </w:rPr>
        <w:t xml:space="preserve"> мог противопоставить им до 50 боеспособных самолётов (15820).</w:t>
      </w:r>
    </w:p>
    <w:p w14:paraId="45B9CB38" w14:textId="77777777" w:rsidR="00463E8C" w:rsidRPr="00A259BD" w:rsidRDefault="00463E8C" w:rsidP="009236E3">
      <w:pPr>
        <w:pStyle w:val="a3"/>
        <w:rPr>
          <w:color w:val="000000" w:themeColor="text1"/>
          <w:lang w:val="ru-RU"/>
        </w:rPr>
      </w:pPr>
    </w:p>
    <w:p w14:paraId="03B6002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831C09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7B595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августа 1929 в Бристоле открылись первые в Англии курсы вождения автомобилей (3481).</w:t>
      </w:r>
    </w:p>
    <w:p w14:paraId="7C316D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4A71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6-13 августа 1929 в Гааге проходила конференция по выплате репараций. Германия принимает план Янга и союзные войска будут выведены к июлю 1930 (3907,157).</w:t>
      </w:r>
    </w:p>
    <w:p w14:paraId="35F8BB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44483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0934F8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5FD1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августа 1929 года был подготовлен протокол заседания комиссии РЗ СТО (протокол № 37 от 29 июля 1929 года) по вопросу "О развитии авиапромышленности"</w:t>
      </w:r>
    </w:p>
    <w:p w14:paraId="5D008F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Присутствовали: </w:t>
      </w:r>
      <w:proofErr w:type="spellStart"/>
      <w:r w:rsidRPr="00A259BD">
        <w:rPr>
          <w:rFonts w:ascii="Times New Roman" w:hAnsi="Times New Roman"/>
          <w:color w:val="000000" w:themeColor="text1"/>
          <w:sz w:val="16"/>
          <w:szCs w:val="16"/>
        </w:rPr>
        <w:t>Уншлихт</w:t>
      </w:r>
      <w:proofErr w:type="spellEnd"/>
      <w:r w:rsidRPr="00A259BD">
        <w:rPr>
          <w:rFonts w:ascii="Times New Roman" w:hAnsi="Times New Roman"/>
          <w:color w:val="000000" w:themeColor="text1"/>
          <w:sz w:val="16"/>
          <w:szCs w:val="16"/>
        </w:rPr>
        <w:t xml:space="preserve">, Постников, Урываев, Михайлов,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Баранов и Алкснис</w:t>
      </w:r>
    </w:p>
    <w:p w14:paraId="799955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Слушали: О порядке работ комиссии</w:t>
      </w:r>
    </w:p>
    <w:p w14:paraId="0A6992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w:t>
      </w:r>
    </w:p>
    <w:p w14:paraId="0F2B24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Поручить Постникову, Урываеву и </w:t>
      </w:r>
      <w:proofErr w:type="spellStart"/>
      <w:r w:rsidRPr="00A259BD">
        <w:rPr>
          <w:rFonts w:ascii="Times New Roman" w:hAnsi="Times New Roman"/>
          <w:color w:val="000000" w:themeColor="text1"/>
          <w:sz w:val="16"/>
          <w:szCs w:val="16"/>
        </w:rPr>
        <w:t>Толоконцеву</w:t>
      </w:r>
      <w:proofErr w:type="spellEnd"/>
      <w:r w:rsidRPr="00A259BD">
        <w:rPr>
          <w:rFonts w:ascii="Times New Roman" w:hAnsi="Times New Roman"/>
          <w:color w:val="000000" w:themeColor="text1"/>
          <w:sz w:val="16"/>
          <w:szCs w:val="16"/>
        </w:rPr>
        <w:t xml:space="preserve"> (созыв за Постниковым) в трехдневный срок составить первоначальные соображения по вопросу об использовании производственных возможностей всей промышленности ВСНХ для удовлетворения потребностей воздушного флота, предусмотрев при этом мероприятия по кооперированию производств и по ассимиляции их. Дальнейшую детальную проработку вопроса возложить на подкомиссию, которую образовать под председательством Урываева. Срок работы подкомиссии 4 дня.</w:t>
      </w:r>
    </w:p>
    <w:p w14:paraId="053164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Выделить подкомиссию в составе председателя Алксниса и членов Михайлова, </w:t>
      </w:r>
      <w:proofErr w:type="spellStart"/>
      <w:r w:rsidRPr="00A259BD">
        <w:rPr>
          <w:rFonts w:ascii="Times New Roman" w:hAnsi="Times New Roman"/>
          <w:color w:val="000000" w:themeColor="text1"/>
          <w:sz w:val="16"/>
          <w:szCs w:val="16"/>
        </w:rPr>
        <w:t>Клышко</w:t>
      </w:r>
      <w:proofErr w:type="spellEnd"/>
      <w:r w:rsidRPr="00A259BD">
        <w:rPr>
          <w:rFonts w:ascii="Times New Roman" w:hAnsi="Times New Roman"/>
          <w:color w:val="000000" w:themeColor="text1"/>
          <w:sz w:val="16"/>
          <w:szCs w:val="16"/>
        </w:rPr>
        <w:t xml:space="preserve"> и Михеля для проработки вопроса об увязке в пятилетке по годам потребностей в самолетах и моторах всего воздушного флота (6865 самолетов и 8010 моторов для ВВС и потребности гражданских обществ, местных властей и местных организаций) в мирное и военное время и связанных с этим затрат по расширению и новому строительству заводов; при этом необходимые затраты, связанные с удовлетворением потребностей гражданской авиации учесть отдельно. Срок работы подкомиссии – недельный.</w:t>
      </w:r>
    </w:p>
    <w:p w14:paraId="52D87B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Выделить подкомиссию в составе председателя </w:t>
      </w:r>
      <w:proofErr w:type="spellStart"/>
      <w:r w:rsidRPr="00A259BD">
        <w:rPr>
          <w:rFonts w:ascii="Times New Roman" w:hAnsi="Times New Roman"/>
          <w:color w:val="000000" w:themeColor="text1"/>
          <w:sz w:val="16"/>
          <w:szCs w:val="16"/>
        </w:rPr>
        <w:t>Шпекторова</w:t>
      </w:r>
      <w:proofErr w:type="spellEnd"/>
      <w:r w:rsidRPr="00A259BD">
        <w:rPr>
          <w:rFonts w:ascii="Times New Roman" w:hAnsi="Times New Roman"/>
          <w:color w:val="000000" w:themeColor="text1"/>
          <w:sz w:val="16"/>
          <w:szCs w:val="16"/>
        </w:rPr>
        <w:t xml:space="preserve"> и членов Воровского, Мельникова и Колесова по проработке вопроса о материальной базе для авиапромышленности и ее требованиях к импорту. Срок работы подкомиссии – недельный.</w:t>
      </w:r>
    </w:p>
    <w:p w14:paraId="5601E9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Поручить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проработать вопрос о загрузке предприятий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продукцией мирного времени. Срок работы – недельный (3545, 69).</w:t>
      </w:r>
    </w:p>
    <w:p w14:paraId="225DC1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D2142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августа 1929 была подготовлена записка:</w:t>
      </w:r>
    </w:p>
    <w:p w14:paraId="735C777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Председателю Правления</w:t>
      </w:r>
    </w:p>
    <w:p w14:paraId="3D609CE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Обратившись к состоянию в настоящий момент морского самолетостроения, как опытного, так и серийного, мы </w:t>
      </w:r>
      <w:proofErr w:type="spellStart"/>
      <w:r w:rsidRPr="00A259BD">
        <w:rPr>
          <w:rFonts w:ascii="Times New Roman" w:hAnsi="Times New Roman"/>
          <w:color w:val="000000" w:themeColor="text1"/>
          <w:sz w:val="16"/>
          <w:szCs w:val="16"/>
        </w:rPr>
        <w:t>делжны</w:t>
      </w:r>
      <w:proofErr w:type="spellEnd"/>
      <w:r w:rsidRPr="00A259BD">
        <w:rPr>
          <w:rFonts w:ascii="Times New Roman" w:hAnsi="Times New Roman"/>
          <w:color w:val="000000" w:themeColor="text1"/>
          <w:sz w:val="16"/>
          <w:szCs w:val="16"/>
        </w:rPr>
        <w:t xml:space="preserve"> будем констатировать, что если опытное сухопутное самолетостроение и дало несколько типов самолетов на серийное производство, то в области морского серийного самолетостроения мы не имеем и по сейчас ни одного типа самолета, исключая У-1 на поплавках. Между тем потребность в морских самолетах очевидна и трест взял на себя вполне определенные обязательства в отношении их выпуска.</w:t>
      </w:r>
    </w:p>
    <w:p w14:paraId="3E7108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Согласно пятилетнего плана серийное производство уже в 29/30 г. должно дать 2 самолета МР5 и один самолет РОМ, а с 30/31 г. эти самолеты </w:t>
      </w:r>
      <w:proofErr w:type="spellStart"/>
      <w:r w:rsidRPr="00A259BD">
        <w:rPr>
          <w:rFonts w:ascii="Times New Roman" w:hAnsi="Times New Roman"/>
          <w:color w:val="000000" w:themeColor="text1"/>
          <w:sz w:val="16"/>
          <w:szCs w:val="16"/>
        </w:rPr>
        <w:t>должнн</w:t>
      </w:r>
      <w:proofErr w:type="spellEnd"/>
      <w:r w:rsidRPr="00A259BD">
        <w:rPr>
          <w:rFonts w:ascii="Times New Roman" w:hAnsi="Times New Roman"/>
          <w:color w:val="000000" w:themeColor="text1"/>
          <w:sz w:val="16"/>
          <w:szCs w:val="16"/>
        </w:rPr>
        <w:t xml:space="preserve"> полностью встать на производство с выпуском соответственно 160 и 45 шт., при чем в 32/33 г. годовой выпуск их возрастет, до 218 и 95 шт. Равным образом самолет ТОМ должен быть выпущен в 30/31 г. в количестве 4 шт., 31/32 - 50 пт. и 32-33 г. - 145 шт. Чтобы выпустить из серийного производство в 29/30 году хотя бы первые головные экземпляры самолетов МР5 и РОМ мы, учитывая необходимое для подготовки чертежей и производства время, уже в течение ближайших одного двух месяцев должны иметь эти самолеты в образцах в законченном пригодном для серийного производства виде. Хотя они сейчас и находятся в периоде испытаний, тем не менее, как показывает опыт, несомненно потребуют ряда переделок, что надо ожидать, при самых благоприятных условиях, затянет дело на 1/2 года год. Больше того, почти полное отсутствие опыта в морском опытном самолетостроении не дает возможности с надлежащей уверенностью утверждать что выпущенные образцы самолетов МР5 и РОМ вообще будут приняты на снабжение. Что касается самолета ТОМ, то хотя он и должен войти на серийное производство на год позже, чем самолеты МР5 и РОМ, зато работа по нему еще находится в стадии проектирования и результаты испытаний первого опытного образца мы сможем подучить не ранее осени будущего года и таким образом в отношении его остаются в силе </w:t>
      </w:r>
      <w:proofErr w:type="spellStart"/>
      <w:r w:rsidRPr="00A259BD">
        <w:rPr>
          <w:rFonts w:ascii="Times New Roman" w:hAnsi="Times New Roman"/>
          <w:color w:val="000000" w:themeColor="text1"/>
          <w:sz w:val="16"/>
          <w:szCs w:val="16"/>
        </w:rPr>
        <w:t>теже</w:t>
      </w:r>
      <w:proofErr w:type="spellEnd"/>
      <w:r w:rsidRPr="00A259BD">
        <w:rPr>
          <w:rFonts w:ascii="Times New Roman" w:hAnsi="Times New Roman"/>
          <w:color w:val="000000" w:themeColor="text1"/>
          <w:sz w:val="16"/>
          <w:szCs w:val="16"/>
        </w:rPr>
        <w:t xml:space="preserve"> положения, которые были высказаны в отношении самолет МР5 и РОМ. При </w:t>
      </w:r>
      <w:proofErr w:type="spellStart"/>
      <w:r w:rsidRPr="00A259BD">
        <w:rPr>
          <w:rFonts w:ascii="Times New Roman" w:hAnsi="Times New Roman"/>
          <w:color w:val="000000" w:themeColor="text1"/>
          <w:sz w:val="16"/>
          <w:szCs w:val="16"/>
        </w:rPr>
        <w:t>отом</w:t>
      </w:r>
      <w:proofErr w:type="spellEnd"/>
      <w:r w:rsidRPr="00A259BD">
        <w:rPr>
          <w:rFonts w:ascii="Times New Roman" w:hAnsi="Times New Roman"/>
          <w:color w:val="000000" w:themeColor="text1"/>
          <w:sz w:val="16"/>
          <w:szCs w:val="16"/>
        </w:rPr>
        <w:t xml:space="preserve"> нужно отметить, что основная схема самолета ТОМ (</w:t>
      </w:r>
      <w:proofErr w:type="spellStart"/>
      <w:r w:rsidRPr="00A259BD">
        <w:rPr>
          <w:rFonts w:ascii="Times New Roman" w:hAnsi="Times New Roman"/>
          <w:color w:val="000000" w:themeColor="text1"/>
          <w:sz w:val="16"/>
          <w:szCs w:val="16"/>
        </w:rPr>
        <w:t>двухлодочная</w:t>
      </w:r>
      <w:proofErr w:type="spellEnd"/>
      <w:r w:rsidRPr="00A259BD">
        <w:rPr>
          <w:rFonts w:ascii="Times New Roman" w:hAnsi="Times New Roman"/>
          <w:color w:val="000000" w:themeColor="text1"/>
          <w:sz w:val="16"/>
          <w:szCs w:val="16"/>
        </w:rPr>
        <w:t xml:space="preserve">) вообще </w:t>
      </w:r>
      <w:proofErr w:type="spellStart"/>
      <w:r w:rsidRPr="00A259BD">
        <w:rPr>
          <w:rFonts w:ascii="Times New Roman" w:hAnsi="Times New Roman"/>
          <w:color w:val="000000" w:themeColor="text1"/>
          <w:sz w:val="16"/>
          <w:szCs w:val="16"/>
        </w:rPr>
        <w:t>неудовлетворяет</w:t>
      </w:r>
      <w:proofErr w:type="spellEnd"/>
      <w:r w:rsidRPr="00A259BD">
        <w:rPr>
          <w:rFonts w:ascii="Times New Roman" w:hAnsi="Times New Roman"/>
          <w:color w:val="000000" w:themeColor="text1"/>
          <w:sz w:val="16"/>
          <w:szCs w:val="16"/>
        </w:rPr>
        <w:t xml:space="preserve"> НТК УВВС и </w:t>
      </w:r>
      <w:proofErr w:type="spellStart"/>
      <w:r w:rsidRPr="00A259BD">
        <w:rPr>
          <w:rFonts w:ascii="Times New Roman" w:hAnsi="Times New Roman"/>
          <w:color w:val="000000" w:themeColor="text1"/>
          <w:sz w:val="16"/>
          <w:szCs w:val="16"/>
        </w:rPr>
        <w:t>соглассие</w:t>
      </w:r>
      <w:proofErr w:type="spellEnd"/>
      <w:r w:rsidRPr="00A259BD">
        <w:rPr>
          <w:rFonts w:ascii="Times New Roman" w:hAnsi="Times New Roman"/>
          <w:color w:val="000000" w:themeColor="text1"/>
          <w:sz w:val="16"/>
          <w:szCs w:val="16"/>
        </w:rPr>
        <w:t xml:space="preserve"> УВВС на постройку этой машины получено под сильным нажимом Правления. Такое положение вещей еще более уменьшает шансы на благоприятное и безболезненное прохождение этой машины в серийную постройку.</w:t>
      </w:r>
    </w:p>
    <w:p w14:paraId="116350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Нам ни в коек случае нельзя закрывать глаза на то, что в области морского самолетостроения мы вынуждены </w:t>
      </w:r>
      <w:proofErr w:type="spellStart"/>
      <w:r w:rsidRPr="00A259BD">
        <w:rPr>
          <w:rFonts w:ascii="Times New Roman" w:hAnsi="Times New Roman"/>
          <w:color w:val="000000" w:themeColor="text1"/>
          <w:sz w:val="16"/>
          <w:szCs w:val="16"/>
        </w:rPr>
        <w:t>итти</w:t>
      </w:r>
      <w:proofErr w:type="spellEnd"/>
      <w:r w:rsidRPr="00A259BD">
        <w:rPr>
          <w:rFonts w:ascii="Times New Roman" w:hAnsi="Times New Roman"/>
          <w:color w:val="000000" w:themeColor="text1"/>
          <w:sz w:val="16"/>
          <w:szCs w:val="16"/>
        </w:rPr>
        <w:t xml:space="preserve"> ощупью, начиная с "азов" и что на доведение его хотя бы до уровня сухопутного самолетостроения потребуется измеряемое годами время.</w:t>
      </w:r>
    </w:p>
    <w:p w14:paraId="2A08184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другой стороны, совершенно ясна необходимость немедленно принять меры к обеспечению выполнения принятых на себя трестом обязательств.</w:t>
      </w:r>
    </w:p>
    <w:p w14:paraId="139849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Единственным выходом из положения, по мнении моему, является путь, на который мы встали в области моторостроения, путь помощи из-за границы. 1</w:t>
      </w:r>
    </w:p>
    <w:p w14:paraId="544DD6F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В данном случае эта техпомощь должна выразиться в приобретении рабочих чертежей какого либо типа морской заграничной модели, могущей удовлетворить требованиям УВВС. Что-же касается постановки производства </w:t>
      </w:r>
      <w:proofErr w:type="spellStart"/>
      <w:r w:rsidRPr="00A259BD">
        <w:rPr>
          <w:rFonts w:ascii="Times New Roman" w:hAnsi="Times New Roman"/>
          <w:color w:val="000000" w:themeColor="text1"/>
          <w:sz w:val="16"/>
          <w:szCs w:val="16"/>
        </w:rPr>
        <w:t>ея</w:t>
      </w:r>
      <w:proofErr w:type="spellEnd"/>
      <w:r w:rsidRPr="00A259BD">
        <w:rPr>
          <w:rFonts w:ascii="Times New Roman" w:hAnsi="Times New Roman"/>
          <w:color w:val="000000" w:themeColor="text1"/>
          <w:sz w:val="16"/>
          <w:szCs w:val="16"/>
        </w:rPr>
        <w:t xml:space="preserve">, то техническое состояние и опыт заводов по металлическому самолетостроению </w:t>
      </w:r>
      <w:r w:rsidRPr="00A259BD">
        <w:rPr>
          <w:rFonts w:ascii="Times New Roman" w:hAnsi="Times New Roman"/>
          <w:smallCaps/>
          <w:color w:val="000000" w:themeColor="text1"/>
          <w:sz w:val="16"/>
          <w:szCs w:val="16"/>
        </w:rPr>
        <w:t xml:space="preserve">позволяет считать, </w:t>
      </w:r>
      <w:r w:rsidRPr="00A259BD">
        <w:rPr>
          <w:rFonts w:ascii="Times New Roman" w:hAnsi="Times New Roman"/>
          <w:color w:val="000000" w:themeColor="text1"/>
          <w:sz w:val="16"/>
          <w:szCs w:val="16"/>
        </w:rPr>
        <w:t>что с ней мы можем справиться сами без помощи за-границы.</w:t>
      </w:r>
    </w:p>
    <w:p w14:paraId="493DB3E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Нужно, однако сказать, что проведение и этой меры все же не даст гарантии выполнения плана серийного выпуска морских машин, говоря о том, что на предварительные переговоры с заграничными фирмами и оформление их в самом благоприятном случае уйдет около полугода, даже при наличии, в данный момент рабочих чертеже. Постройка головной </w:t>
      </w:r>
      <w:proofErr w:type="spellStart"/>
      <w:r w:rsidRPr="00A259BD">
        <w:rPr>
          <w:rFonts w:ascii="Times New Roman" w:hAnsi="Times New Roman"/>
          <w:color w:val="000000" w:themeColor="text1"/>
          <w:sz w:val="16"/>
          <w:szCs w:val="16"/>
        </w:rPr>
        <w:t>мазпнц</w:t>
      </w:r>
      <w:proofErr w:type="spellEnd"/>
      <w:r w:rsidRPr="00A259BD">
        <w:rPr>
          <w:rFonts w:ascii="Times New Roman" w:hAnsi="Times New Roman"/>
          <w:color w:val="000000" w:themeColor="text1"/>
          <w:sz w:val="16"/>
          <w:szCs w:val="16"/>
        </w:rPr>
        <w:t xml:space="preserve"> сможет быть начата не ранее 6 месяцев, если учесть время на проработку чертежей, подготовку приспособлений и снабжения.</w:t>
      </w:r>
    </w:p>
    <w:p w14:paraId="5F2A7D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Переходя к общему состоянии дел опытного строительства треста во всем его </w:t>
      </w:r>
      <w:proofErr w:type="spellStart"/>
      <w:r w:rsidRPr="00A259BD">
        <w:rPr>
          <w:rFonts w:ascii="Times New Roman" w:hAnsi="Times New Roman"/>
          <w:color w:val="000000" w:themeColor="text1"/>
          <w:sz w:val="16"/>
          <w:szCs w:val="16"/>
        </w:rPr>
        <w:t>об"еме</w:t>
      </w:r>
      <w:proofErr w:type="spellEnd"/>
      <w:r w:rsidRPr="00A259BD">
        <w:rPr>
          <w:rFonts w:ascii="Times New Roman" w:hAnsi="Times New Roman"/>
          <w:color w:val="000000" w:themeColor="text1"/>
          <w:sz w:val="16"/>
          <w:szCs w:val="16"/>
        </w:rPr>
        <w:t xml:space="preserve">, приходится отметить, что за истекающий операционный год опытными заводами и отделами не выпущено ни одного нового типа самолета или мотора. Все выходившие из опытного </w:t>
      </w:r>
      <w:proofErr w:type="spellStart"/>
      <w:r w:rsidRPr="00A259BD">
        <w:rPr>
          <w:rFonts w:ascii="Times New Roman" w:hAnsi="Times New Roman"/>
          <w:color w:val="000000" w:themeColor="text1"/>
          <w:sz w:val="16"/>
          <w:szCs w:val="16"/>
        </w:rPr>
        <w:t>поизводства</w:t>
      </w:r>
      <w:proofErr w:type="spellEnd"/>
      <w:r w:rsidRPr="00A259BD">
        <w:rPr>
          <w:rFonts w:ascii="Times New Roman" w:hAnsi="Times New Roman"/>
          <w:color w:val="000000" w:themeColor="text1"/>
          <w:sz w:val="16"/>
          <w:szCs w:val="16"/>
        </w:rPr>
        <w:t xml:space="preserve"> самолеты или моторы являлись или 2-ми </w:t>
      </w:r>
      <w:proofErr w:type="spellStart"/>
      <w:r w:rsidRPr="00A259BD">
        <w:rPr>
          <w:rFonts w:ascii="Times New Roman" w:hAnsi="Times New Roman"/>
          <w:color w:val="000000" w:themeColor="text1"/>
          <w:sz w:val="16"/>
          <w:szCs w:val="16"/>
        </w:rPr>
        <w:t>экзенплярами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выпуценных</w:t>
      </w:r>
      <w:proofErr w:type="spellEnd"/>
      <w:r w:rsidRPr="00A259BD">
        <w:rPr>
          <w:rFonts w:ascii="Times New Roman" w:hAnsi="Times New Roman"/>
          <w:color w:val="000000" w:themeColor="text1"/>
          <w:sz w:val="16"/>
          <w:szCs w:val="16"/>
        </w:rPr>
        <w:t xml:space="preserve"> в прошлом году конструкций (И3-2-й экз., П2 - 2-й экз., Р5 - 2-й экз.) или их модификаций (Д2); исключение составил лишь строящийся самолет ТБ2, но и то выпуск его на аэродром затягивается месяц за месяцем. Кроме того сроки испытаний выпущенных опытных самолетов стали весьма длительными, занимая период даже свыше года. Испытания РОМ 1-го были начаты 4.XI.27 г., Р5 25.УШ.28 г., Д2 - 9.Ш.29 г., моторов УУ и У в начале лета </w:t>
      </w:r>
      <w:proofErr w:type="spellStart"/>
      <w:r w:rsidRPr="00A259BD">
        <w:rPr>
          <w:rFonts w:ascii="Times New Roman" w:hAnsi="Times New Roman"/>
          <w:color w:val="000000" w:themeColor="text1"/>
          <w:sz w:val="16"/>
          <w:szCs w:val="16"/>
        </w:rPr>
        <w:t>пршлого</w:t>
      </w:r>
      <w:proofErr w:type="spellEnd"/>
      <w:r w:rsidRPr="00A259BD">
        <w:rPr>
          <w:rFonts w:ascii="Times New Roman" w:hAnsi="Times New Roman"/>
          <w:color w:val="000000" w:themeColor="text1"/>
          <w:sz w:val="16"/>
          <w:szCs w:val="16"/>
        </w:rPr>
        <w:t xml:space="preserve"> года и все же испытания </w:t>
      </w:r>
      <w:proofErr w:type="spellStart"/>
      <w:r w:rsidRPr="00A259BD">
        <w:rPr>
          <w:rFonts w:ascii="Times New Roman" w:hAnsi="Times New Roman"/>
          <w:color w:val="000000" w:themeColor="text1"/>
          <w:sz w:val="16"/>
          <w:szCs w:val="16"/>
        </w:rPr>
        <w:t>РОМ'а</w:t>
      </w:r>
      <w:proofErr w:type="spellEnd"/>
      <w:r w:rsidRPr="00A259BD">
        <w:rPr>
          <w:rFonts w:ascii="Times New Roman" w:hAnsi="Times New Roman"/>
          <w:color w:val="000000" w:themeColor="text1"/>
          <w:sz w:val="16"/>
          <w:szCs w:val="16"/>
        </w:rPr>
        <w:t xml:space="preserve"> 1-го еще не закончены, не окончены они даже и по самолету И-3. В </w:t>
      </w:r>
      <w:proofErr w:type="spellStart"/>
      <w:r w:rsidRPr="00A259BD">
        <w:rPr>
          <w:rFonts w:ascii="Times New Roman" w:hAnsi="Times New Roman"/>
          <w:color w:val="000000" w:themeColor="text1"/>
          <w:sz w:val="16"/>
          <w:szCs w:val="16"/>
        </w:rPr>
        <w:t>то-же</w:t>
      </w:r>
      <w:proofErr w:type="spellEnd"/>
      <w:r w:rsidRPr="00A259BD">
        <w:rPr>
          <w:rFonts w:ascii="Times New Roman" w:hAnsi="Times New Roman"/>
          <w:color w:val="000000" w:themeColor="text1"/>
          <w:sz w:val="16"/>
          <w:szCs w:val="16"/>
        </w:rPr>
        <w:t xml:space="preserve"> время самолеты МР5 и РОМ 2-й отправленные в Таганрог, не потребовали для своей сборки там не 2-х- 3-х недель, как заявлялось представители ОПО 3 и завода № 22, а значительно большее время, самолет МР5 должен был быть закончен сборкой 15.У1, а вышел 1-й полет лишь 25.УП., сборка же РОМ 1-го не закончена и до сего времени.</w:t>
      </w:r>
    </w:p>
    <w:p w14:paraId="7C2CE5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Это свидетельствует, что самолеты были отправлены в недоработанном виде, и в таком-же, явно недоработанном виде отправлен на завод № 31 и самолет МУ3.</w:t>
      </w:r>
    </w:p>
    <w:p w14:paraId="616C5C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изложенного приходится сделать вывод, что темп опытного строительства треста, а также и успешность его за истекший операционный год не только не повысились, но даже упали по сравнению с прошлым операционным годом.</w:t>
      </w:r>
    </w:p>
    <w:p w14:paraId="15124E6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Хотя изменение сроков испытаний и может быть до известной степени </w:t>
      </w:r>
      <w:proofErr w:type="spellStart"/>
      <w:r w:rsidRPr="00A259BD">
        <w:rPr>
          <w:rFonts w:ascii="Times New Roman" w:hAnsi="Times New Roman"/>
          <w:color w:val="000000" w:themeColor="text1"/>
          <w:sz w:val="16"/>
          <w:szCs w:val="16"/>
        </w:rPr>
        <w:t>об"яснено</w:t>
      </w:r>
      <w:proofErr w:type="spellEnd"/>
      <w:r w:rsidRPr="00A259BD">
        <w:rPr>
          <w:rFonts w:ascii="Times New Roman" w:hAnsi="Times New Roman"/>
          <w:color w:val="000000" w:themeColor="text1"/>
          <w:sz w:val="16"/>
          <w:szCs w:val="16"/>
        </w:rPr>
        <w:t xml:space="preserve"> усложнением технических задач, вставших в порядке испытаний перед опытным строительством треста, тем не менее указанное снижение темпа и успешности опыт</w:t>
      </w:r>
      <w:r w:rsidRPr="00A259BD">
        <w:rPr>
          <w:rFonts w:ascii="Times New Roman" w:hAnsi="Times New Roman"/>
          <w:color w:val="000000" w:themeColor="text1"/>
          <w:sz w:val="16"/>
          <w:szCs w:val="16"/>
        </w:rPr>
        <w:softHyphen/>
        <w:t>ного строительства-свидетельствует о необходимости уделить большее внимание этому серьезному делу и провести ряд организационных мероприятий. Мероприятия эти будут разработаны и изложены в представляемом Правленном в Р.З. С.Т.О. докладе, пока же как одну из мер считаю необходимым указать на передачу наблюдения за опытным строительством в непосредственное ведение Правления и его аппарата.</w:t>
      </w:r>
    </w:p>
    <w:p w14:paraId="7A55CC0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Как все вышеизложенное, так и ряд фактов свидетельствующих о недостаточно внимательном отношении опытных отделов к своей работе - выпуск самолета в полет на выполнение штопора с перепутанными </w:t>
      </w:r>
      <w:proofErr w:type="spellStart"/>
      <w:r w:rsidRPr="00A259BD">
        <w:rPr>
          <w:rFonts w:ascii="Times New Roman" w:hAnsi="Times New Roman"/>
          <w:color w:val="000000" w:themeColor="text1"/>
          <w:sz w:val="16"/>
          <w:szCs w:val="16"/>
        </w:rPr>
        <w:t>троссами</w:t>
      </w:r>
      <w:proofErr w:type="spellEnd"/>
      <w:r w:rsidRPr="00A259BD">
        <w:rPr>
          <w:rFonts w:ascii="Times New Roman" w:hAnsi="Times New Roman"/>
          <w:color w:val="000000" w:themeColor="text1"/>
          <w:sz w:val="16"/>
          <w:szCs w:val="16"/>
        </w:rPr>
        <w:t xml:space="preserve"> руля, обнаружение при испытании М-15 пробки в маслопроводе, невозможность в течение 2-х часов за</w:t>
      </w:r>
      <w:r w:rsidRPr="00A259BD">
        <w:rPr>
          <w:rFonts w:ascii="Times New Roman" w:hAnsi="Times New Roman"/>
          <w:color w:val="000000" w:themeColor="text1"/>
          <w:sz w:val="16"/>
          <w:szCs w:val="16"/>
        </w:rPr>
        <w:softHyphen/>
        <w:t xml:space="preserve">пустить </w:t>
      </w:r>
      <w:proofErr w:type="spellStart"/>
      <w:r w:rsidRPr="00A259BD">
        <w:rPr>
          <w:rFonts w:ascii="Times New Roman" w:hAnsi="Times New Roman"/>
          <w:color w:val="000000" w:themeColor="text1"/>
          <w:sz w:val="16"/>
          <w:szCs w:val="16"/>
        </w:rPr>
        <w:t>пред"язленный</w:t>
      </w:r>
      <w:proofErr w:type="spellEnd"/>
      <w:r w:rsidRPr="00A259BD">
        <w:rPr>
          <w:rFonts w:ascii="Times New Roman" w:hAnsi="Times New Roman"/>
          <w:color w:val="000000" w:themeColor="text1"/>
          <w:sz w:val="16"/>
          <w:szCs w:val="16"/>
        </w:rPr>
        <w:t xml:space="preserve"> на испытание комиссии мотор УУ из за </w:t>
      </w:r>
      <w:proofErr w:type="spellStart"/>
      <w:r w:rsidRPr="00A259BD">
        <w:rPr>
          <w:rFonts w:ascii="Times New Roman" w:hAnsi="Times New Roman"/>
          <w:color w:val="000000" w:themeColor="text1"/>
          <w:sz w:val="16"/>
          <w:szCs w:val="16"/>
        </w:rPr>
        <w:t>неналаженности</w:t>
      </w:r>
      <w:proofErr w:type="spellEnd"/>
      <w:r w:rsidRPr="00A259BD">
        <w:rPr>
          <w:rFonts w:ascii="Times New Roman" w:hAnsi="Times New Roman"/>
          <w:color w:val="000000" w:themeColor="text1"/>
          <w:sz w:val="16"/>
          <w:szCs w:val="16"/>
        </w:rPr>
        <w:t xml:space="preserve"> зажигания, при чем вслед затем во время испытания разладились магнето, указывают по мнении моему, на то, что на</w:t>
      </w:r>
      <w:r w:rsidRPr="00A259BD">
        <w:rPr>
          <w:rFonts w:ascii="Times New Roman" w:hAnsi="Times New Roman"/>
          <w:color w:val="000000" w:themeColor="text1"/>
          <w:sz w:val="16"/>
          <w:szCs w:val="16"/>
        </w:rPr>
        <w:softHyphen/>
        <w:t>блюдение за опытным строительством со стороны заводоуправле</w:t>
      </w:r>
      <w:r w:rsidRPr="00A259BD">
        <w:rPr>
          <w:rFonts w:ascii="Times New Roman" w:hAnsi="Times New Roman"/>
          <w:color w:val="000000" w:themeColor="text1"/>
          <w:sz w:val="16"/>
          <w:szCs w:val="16"/>
        </w:rPr>
        <w:softHyphen/>
        <w:t>ний, которым оно было передоверено Правлением, не носило до</w:t>
      </w:r>
      <w:r w:rsidRPr="00A259BD">
        <w:rPr>
          <w:rFonts w:ascii="Times New Roman" w:hAnsi="Times New Roman"/>
          <w:color w:val="000000" w:themeColor="text1"/>
          <w:sz w:val="16"/>
          <w:szCs w:val="16"/>
        </w:rPr>
        <w:softHyphen/>
        <w:t>статочно жесткого характера. Я полагаю, что в результате годового опыта работы Правлению надлежит признать допущенную орга</w:t>
      </w:r>
      <w:r w:rsidRPr="00A259BD">
        <w:rPr>
          <w:rFonts w:ascii="Times New Roman" w:hAnsi="Times New Roman"/>
          <w:color w:val="000000" w:themeColor="text1"/>
          <w:sz w:val="16"/>
          <w:szCs w:val="16"/>
        </w:rPr>
        <w:softHyphen/>
        <w:t>низационную ошибку и вновь взять в свои руки, как то было и ранее руководство и наблюдение за опытным строительством.</w:t>
      </w:r>
    </w:p>
    <w:p w14:paraId="488145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Думаю, что </w:t>
      </w:r>
      <w:proofErr w:type="spellStart"/>
      <w:r w:rsidRPr="00A259BD">
        <w:rPr>
          <w:rFonts w:ascii="Times New Roman" w:hAnsi="Times New Roman"/>
          <w:color w:val="000000" w:themeColor="text1"/>
          <w:sz w:val="16"/>
          <w:szCs w:val="16"/>
        </w:rPr>
        <w:t>недлежаще</w:t>
      </w:r>
      <w:proofErr w:type="spellEnd"/>
      <w:r w:rsidRPr="00A259BD">
        <w:rPr>
          <w:rFonts w:ascii="Times New Roman" w:hAnsi="Times New Roman"/>
          <w:color w:val="000000" w:themeColor="text1"/>
          <w:sz w:val="16"/>
          <w:szCs w:val="16"/>
        </w:rPr>
        <w:t xml:space="preserve"> поставленный жесткий контроль деятельно</w:t>
      </w:r>
      <w:r w:rsidRPr="00A259BD">
        <w:rPr>
          <w:rFonts w:ascii="Times New Roman" w:hAnsi="Times New Roman"/>
          <w:color w:val="000000" w:themeColor="text1"/>
          <w:sz w:val="16"/>
          <w:szCs w:val="16"/>
        </w:rPr>
        <w:softHyphen/>
        <w:t>сти опытных заводов и отделов даст свои благоприятные резуль</w:t>
      </w:r>
      <w:r w:rsidRPr="00A259BD">
        <w:rPr>
          <w:rFonts w:ascii="Times New Roman" w:hAnsi="Times New Roman"/>
          <w:color w:val="000000" w:themeColor="text1"/>
          <w:sz w:val="16"/>
          <w:szCs w:val="16"/>
        </w:rPr>
        <w:softHyphen/>
        <w:t>таты.</w:t>
      </w:r>
    </w:p>
    <w:p w14:paraId="224947F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основании всего вышеизложенного, считаю необходимым довести до Вашего сведения, что с своей стороны считал бы необходимым:</w:t>
      </w:r>
    </w:p>
    <w:p w14:paraId="705B9C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Немедленно принять меры к приобретении заграничных чертежей -для изготовления в серийном производстве хотя бы одного из предусмотренных планом типов морских самолетов (напр. РОМ, как требующиеся в наибольшем количестве).</w:t>
      </w:r>
    </w:p>
    <w:p w14:paraId="0582B6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В ближайшем же времени пересмотреть целесообразность полной автономии опытных завода и отделов с тем, чтобы работа их </w:t>
      </w:r>
      <w:proofErr w:type="spellStart"/>
      <w:r w:rsidRPr="00A259BD">
        <w:rPr>
          <w:rFonts w:ascii="Times New Roman" w:hAnsi="Times New Roman"/>
          <w:color w:val="000000" w:themeColor="text1"/>
          <w:sz w:val="16"/>
          <w:szCs w:val="16"/>
        </w:rPr>
        <w:t>направляласъ</w:t>
      </w:r>
      <w:proofErr w:type="spellEnd"/>
      <w:r w:rsidRPr="00A259BD">
        <w:rPr>
          <w:rFonts w:ascii="Times New Roman" w:hAnsi="Times New Roman"/>
          <w:color w:val="000000" w:themeColor="text1"/>
          <w:sz w:val="16"/>
          <w:szCs w:val="16"/>
        </w:rPr>
        <w:t xml:space="preserve"> и контролировалась непосредственно Правлением (2339).</w:t>
      </w:r>
    </w:p>
    <w:p w14:paraId="02976C2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1BF98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7A401A6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8414C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начале августа 1929 г. начальник генштаба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Хаммерштайн</w:t>
      </w:r>
      <w:proofErr w:type="spellEnd"/>
      <w:r w:rsidRPr="00A259BD">
        <w:rPr>
          <w:rFonts w:ascii="Times New Roman" w:hAnsi="Times New Roman"/>
          <w:color w:val="000000" w:themeColor="text1"/>
          <w:sz w:val="16"/>
          <w:szCs w:val="16"/>
        </w:rPr>
        <w:t xml:space="preserve"> дал указания знакомить советского военного атташе Пугну со всеми разведданными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по Маньчжурии, где вызревала опасность крупного военного конфликта с участием СССР, Китая, Японии и Великобритании (АВП РФ, ф. 05, оп. 9, п. 45, д. 32, л. 92об., 113.). В декабре 1929 г. </w:t>
      </w:r>
      <w:proofErr w:type="spellStart"/>
      <w:r w:rsidRPr="00A259BD">
        <w:rPr>
          <w:rFonts w:ascii="Times New Roman" w:hAnsi="Times New Roman"/>
          <w:color w:val="000000" w:themeColor="text1"/>
          <w:sz w:val="16"/>
          <w:szCs w:val="16"/>
        </w:rPr>
        <w:t>Путна</w:t>
      </w:r>
      <w:proofErr w:type="spellEnd"/>
      <w:r w:rsidRPr="00A259BD">
        <w:rPr>
          <w:rFonts w:ascii="Times New Roman" w:hAnsi="Times New Roman"/>
          <w:color w:val="000000" w:themeColor="text1"/>
          <w:sz w:val="16"/>
          <w:szCs w:val="16"/>
        </w:rPr>
        <w:t xml:space="preserve"> договорился с представителем руководства ВМФ капитаном I ранга X. </w:t>
      </w:r>
      <w:proofErr w:type="spellStart"/>
      <w:r w:rsidRPr="00A259BD">
        <w:rPr>
          <w:rFonts w:ascii="Times New Roman" w:hAnsi="Times New Roman"/>
          <w:color w:val="000000" w:themeColor="text1"/>
          <w:sz w:val="16"/>
          <w:szCs w:val="16"/>
        </w:rPr>
        <w:t>Бёмом</w:t>
      </w:r>
      <w:proofErr w:type="spellEnd"/>
      <w:r w:rsidRPr="00A259BD">
        <w:rPr>
          <w:rFonts w:ascii="Times New Roman" w:hAnsi="Times New Roman"/>
          <w:color w:val="000000" w:themeColor="text1"/>
          <w:sz w:val="16"/>
          <w:szCs w:val="16"/>
        </w:rPr>
        <w:t xml:space="preserve"> об устном обмене разведданными по польскому флоту, минным заграждениям Польши на море, эвентуальным совместным действиям против флотов Франции и Польши в Балтийском море (</w:t>
      </w:r>
      <w:proofErr w:type="spellStart"/>
      <w:r w:rsidRPr="00A259BD">
        <w:rPr>
          <w:rFonts w:ascii="Times New Roman" w:hAnsi="Times New Roman"/>
          <w:color w:val="000000" w:themeColor="text1"/>
          <w:sz w:val="16"/>
          <w:szCs w:val="16"/>
        </w:rPr>
        <w:t>Manfred</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Zeidler</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Op</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cit</w:t>
      </w:r>
      <w:proofErr w:type="spellEnd"/>
      <w:r w:rsidRPr="00A259BD">
        <w:rPr>
          <w:rFonts w:ascii="Times New Roman" w:hAnsi="Times New Roman"/>
          <w:color w:val="000000" w:themeColor="text1"/>
          <w:sz w:val="16"/>
          <w:szCs w:val="16"/>
        </w:rPr>
        <w:t>.. S. 242.). Вообще, период начала 30-х годов, несмотря на «</w:t>
      </w:r>
      <w:proofErr w:type="spellStart"/>
      <w:r w:rsidRPr="00A259BD">
        <w:rPr>
          <w:rFonts w:ascii="Times New Roman" w:hAnsi="Times New Roman"/>
          <w:color w:val="000000" w:themeColor="text1"/>
          <w:sz w:val="16"/>
          <w:szCs w:val="16"/>
        </w:rPr>
        <w:t>прагматизацию</w:t>
      </w:r>
      <w:proofErr w:type="spellEnd"/>
      <w:r w:rsidRPr="00A259BD">
        <w:rPr>
          <w:rFonts w:ascii="Times New Roman" w:hAnsi="Times New Roman"/>
          <w:color w:val="000000" w:themeColor="text1"/>
          <w:sz w:val="16"/>
          <w:szCs w:val="16"/>
        </w:rPr>
        <w:t>» советско-германских политических и экономических отношений характеризовался довольно тесными отношениями по военной линии. Тесными, конечно, настолько, насколько позволяла складывавшаяся в конце 20-х годов внутриполитическая обстановка в СССР (свертывание НЭПа, стремительное нарастание недоверия к иностранным специалистам, поиск вредителей и т. д. ). Здесь уместно упомянуть о громком процессе над германскими специалистами фирмы АЭГ, а также советскими инженерами в г. Шахты в 1928 г., известном под названием «</w:t>
      </w:r>
      <w:proofErr w:type="spellStart"/>
      <w:r w:rsidRPr="00A259BD">
        <w:rPr>
          <w:rFonts w:ascii="Times New Roman" w:hAnsi="Times New Roman"/>
          <w:color w:val="000000" w:themeColor="text1"/>
          <w:sz w:val="16"/>
          <w:szCs w:val="16"/>
        </w:rPr>
        <w:t>шахтинского</w:t>
      </w:r>
      <w:proofErr w:type="spellEnd"/>
      <w:r w:rsidRPr="00A259BD">
        <w:rPr>
          <w:rFonts w:ascii="Times New Roman" w:hAnsi="Times New Roman"/>
          <w:color w:val="000000" w:themeColor="text1"/>
          <w:sz w:val="16"/>
          <w:szCs w:val="16"/>
        </w:rPr>
        <w:t xml:space="preserve"> дела». Это был, кстати, первый показательный судебный процесс, явившийся своеобразной пробой сил сталинской юстиции. И немцев, и русских обвинили во вредительстве. Немцев суд оправдал, а русские специалисты были осуждены на различные сроки (11784).</w:t>
      </w:r>
    </w:p>
    <w:p w14:paraId="4C1548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864A69" w14:textId="77777777" w:rsidR="005124F4" w:rsidRPr="00A259BD" w:rsidRDefault="005124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начале августа 1929 г. начальник генштаба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Хаммерштайн</w:t>
      </w:r>
      <w:proofErr w:type="spellEnd"/>
      <w:r w:rsidRPr="00A259BD">
        <w:rPr>
          <w:rFonts w:ascii="Times New Roman" w:hAnsi="Times New Roman"/>
          <w:color w:val="000000" w:themeColor="text1"/>
          <w:sz w:val="16"/>
          <w:szCs w:val="16"/>
        </w:rPr>
        <w:t xml:space="preserve"> дал указания знакомить советского военного атташе </w:t>
      </w:r>
      <w:proofErr w:type="spellStart"/>
      <w:r w:rsidRPr="00A259BD">
        <w:rPr>
          <w:rFonts w:ascii="Times New Roman" w:hAnsi="Times New Roman"/>
          <w:color w:val="000000" w:themeColor="text1"/>
          <w:sz w:val="16"/>
          <w:szCs w:val="16"/>
        </w:rPr>
        <w:t>Путну</w:t>
      </w:r>
      <w:proofErr w:type="spellEnd"/>
      <w:r w:rsidRPr="00A259BD">
        <w:rPr>
          <w:rFonts w:ascii="Times New Roman" w:hAnsi="Times New Roman"/>
          <w:color w:val="000000" w:themeColor="text1"/>
          <w:sz w:val="16"/>
          <w:szCs w:val="16"/>
        </w:rPr>
        <w:t xml:space="preserve"> со всеми разведданными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по Маньчжурии, где вызревала опасность крупного военного конфликта с участием СССР, Китая, Японии и Великобритании. В декабре 1929 г. </w:t>
      </w:r>
      <w:proofErr w:type="spellStart"/>
      <w:r w:rsidRPr="00A259BD">
        <w:rPr>
          <w:rFonts w:ascii="Times New Roman" w:hAnsi="Times New Roman"/>
          <w:color w:val="000000" w:themeColor="text1"/>
          <w:sz w:val="16"/>
          <w:szCs w:val="16"/>
        </w:rPr>
        <w:t>Путна</w:t>
      </w:r>
      <w:proofErr w:type="spellEnd"/>
      <w:r w:rsidRPr="00A259BD">
        <w:rPr>
          <w:rFonts w:ascii="Times New Roman" w:hAnsi="Times New Roman"/>
          <w:color w:val="000000" w:themeColor="text1"/>
          <w:sz w:val="16"/>
          <w:szCs w:val="16"/>
        </w:rPr>
        <w:t xml:space="preserve"> договорился с представителем руководства ВМФ капитаном I ранга X. </w:t>
      </w:r>
      <w:proofErr w:type="spellStart"/>
      <w:r w:rsidRPr="00A259BD">
        <w:rPr>
          <w:rFonts w:ascii="Times New Roman" w:hAnsi="Times New Roman"/>
          <w:color w:val="000000" w:themeColor="text1"/>
          <w:sz w:val="16"/>
          <w:szCs w:val="16"/>
        </w:rPr>
        <w:t>Бёмом</w:t>
      </w:r>
      <w:proofErr w:type="spellEnd"/>
      <w:r w:rsidRPr="00A259BD">
        <w:rPr>
          <w:rFonts w:ascii="Times New Roman" w:hAnsi="Times New Roman"/>
          <w:color w:val="000000" w:themeColor="text1"/>
          <w:sz w:val="16"/>
          <w:szCs w:val="16"/>
        </w:rPr>
        <w:t xml:space="preserve"> об устном обмене разведданными по польскому флоту, минным заграждениям Польши на море, эвентуальным совместным действиям против флотов Франции и Польши в Балтийском море (18265).</w:t>
      </w:r>
    </w:p>
    <w:p w14:paraId="25E19F8C" w14:textId="77777777" w:rsidR="005124F4" w:rsidRPr="00A259BD" w:rsidRDefault="005124F4" w:rsidP="009236E3">
      <w:pPr>
        <w:spacing w:after="0" w:line="240" w:lineRule="auto"/>
        <w:jc w:val="both"/>
        <w:rPr>
          <w:rFonts w:ascii="Times New Roman" w:hAnsi="Times New Roman"/>
          <w:color w:val="000000" w:themeColor="text1"/>
          <w:sz w:val="16"/>
          <w:szCs w:val="16"/>
        </w:rPr>
      </w:pPr>
    </w:p>
    <w:p w14:paraId="5BB28BE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BAF340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6ADE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августа 1929 состоялось совещание у Члена Коллегии ГВПУ т. Ковтун (протокол N 1615415) по вопросу об организации КБ при трестах и заводах военной промышленности (2339,338).</w:t>
      </w:r>
    </w:p>
    <w:p w14:paraId="0DE9DA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ПРОТОКОЛ</w:t>
      </w:r>
    </w:p>
    <w:p w14:paraId="5F6717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совещания у Члена Коллегии ГВПУ т. Корзун по вопросу организации Конструкторских Бюро при заводах военной промышленности.</w:t>
      </w:r>
    </w:p>
    <w:p w14:paraId="110CD16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Присутствовали:</w:t>
      </w:r>
    </w:p>
    <w:p w14:paraId="33CA70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ГВПУ - тт. Корзун, Лавровский, Шульга</w:t>
      </w:r>
    </w:p>
    <w:p w14:paraId="7849CF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ПТТ - т. Тузов</w:t>
      </w:r>
    </w:p>
    <w:p w14:paraId="429D45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ВХТ - т. Ушаков</w:t>
      </w:r>
    </w:p>
    <w:p w14:paraId="268948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 Макаровский</w:t>
      </w:r>
    </w:p>
    <w:p w14:paraId="7BB296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ОАТ - т. </w:t>
      </w:r>
      <w:proofErr w:type="spellStart"/>
      <w:r w:rsidRPr="00A259BD">
        <w:rPr>
          <w:rFonts w:ascii="Times New Roman" w:hAnsi="Times New Roman"/>
          <w:color w:val="000000" w:themeColor="text1"/>
          <w:sz w:val="16"/>
          <w:szCs w:val="16"/>
        </w:rPr>
        <w:t>Шукалов</w:t>
      </w:r>
      <w:proofErr w:type="spellEnd"/>
    </w:p>
    <w:p w14:paraId="0D328E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РУЖа</w:t>
      </w:r>
      <w:proofErr w:type="spellEnd"/>
      <w:r w:rsidRPr="00A259BD">
        <w:rPr>
          <w:rFonts w:ascii="Times New Roman" w:hAnsi="Times New Roman"/>
          <w:color w:val="000000" w:themeColor="text1"/>
          <w:sz w:val="16"/>
          <w:szCs w:val="16"/>
        </w:rPr>
        <w:t xml:space="preserve"> - представитель не явился</w:t>
      </w:r>
    </w:p>
    <w:p w14:paraId="6785CD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Председатель: Корзун, Секретарь: Маковецкий</w:t>
      </w:r>
    </w:p>
    <w:p w14:paraId="131D66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Слушали: Об организации Конструкторских Бюро при трестах и заводах военной промышленности.</w:t>
      </w:r>
    </w:p>
    <w:p w14:paraId="69F8FC8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Тов. КОРЗУН поставил определенные вопросы, которые и просил осветить представителей трестов. Вопросы эти, примерно, </w:t>
      </w:r>
      <w:proofErr w:type="spellStart"/>
      <w:r w:rsidRPr="00A259BD">
        <w:rPr>
          <w:rFonts w:ascii="Times New Roman" w:hAnsi="Times New Roman"/>
          <w:color w:val="000000" w:themeColor="text1"/>
          <w:sz w:val="16"/>
          <w:szCs w:val="16"/>
        </w:rPr>
        <w:t>оледующие</w:t>
      </w:r>
      <w:proofErr w:type="spellEnd"/>
      <w:r w:rsidRPr="00A259BD">
        <w:rPr>
          <w:rFonts w:ascii="Times New Roman" w:hAnsi="Times New Roman"/>
          <w:color w:val="000000" w:themeColor="text1"/>
          <w:sz w:val="16"/>
          <w:szCs w:val="16"/>
        </w:rPr>
        <w:t>:</w:t>
      </w:r>
    </w:p>
    <w:p w14:paraId="0FFD70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Где нужны Конструкторские Бюро /дислокация расположения/.</w:t>
      </w:r>
    </w:p>
    <w:p w14:paraId="08DD88E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Нужны ли </w:t>
      </w:r>
      <w:proofErr w:type="spellStart"/>
      <w:r w:rsidRPr="00A259BD">
        <w:rPr>
          <w:rFonts w:ascii="Times New Roman" w:hAnsi="Times New Roman"/>
          <w:color w:val="000000" w:themeColor="text1"/>
          <w:sz w:val="16"/>
          <w:szCs w:val="16"/>
        </w:rPr>
        <w:t>Конструкторокие</w:t>
      </w:r>
      <w:proofErr w:type="spellEnd"/>
      <w:r w:rsidRPr="00A259BD">
        <w:rPr>
          <w:rFonts w:ascii="Times New Roman" w:hAnsi="Times New Roman"/>
          <w:color w:val="000000" w:themeColor="text1"/>
          <w:sz w:val="16"/>
          <w:szCs w:val="16"/>
        </w:rPr>
        <w:t xml:space="preserve"> Бюро при всех заводах,</w:t>
      </w:r>
    </w:p>
    <w:p w14:paraId="35D98E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Какими силами и какой организацией мы располагаем в настоящий момент и какая была бы наиболее приемлема и желательна</w:t>
      </w:r>
    </w:p>
    <w:p w14:paraId="764C52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Что нужно трестам для осуществления предполагаемой </w:t>
      </w:r>
      <w:proofErr w:type="spellStart"/>
      <w:r w:rsidRPr="00A259BD">
        <w:rPr>
          <w:rFonts w:ascii="Times New Roman" w:hAnsi="Times New Roman"/>
          <w:color w:val="000000" w:themeColor="text1"/>
          <w:sz w:val="16"/>
          <w:szCs w:val="16"/>
        </w:rPr>
        <w:t>оргонизации</w:t>
      </w:r>
      <w:proofErr w:type="spellEnd"/>
      <w:r w:rsidRPr="00A259BD">
        <w:rPr>
          <w:rFonts w:ascii="Times New Roman" w:hAnsi="Times New Roman"/>
          <w:color w:val="000000" w:themeColor="text1"/>
          <w:sz w:val="16"/>
          <w:szCs w:val="16"/>
        </w:rPr>
        <w:t xml:space="preserve"> КБ</w:t>
      </w:r>
    </w:p>
    <w:p w14:paraId="690D262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 Корзун просит по каждому тресту осветить вопросы системы работы, ее </w:t>
      </w:r>
      <w:proofErr w:type="spellStart"/>
      <w:r w:rsidRPr="00A259BD">
        <w:rPr>
          <w:rFonts w:ascii="Times New Roman" w:hAnsi="Times New Roman"/>
          <w:color w:val="000000" w:themeColor="text1"/>
          <w:sz w:val="16"/>
          <w:szCs w:val="16"/>
        </w:rPr>
        <w:t>пракрического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осущвствления</w:t>
      </w:r>
      <w:proofErr w:type="spellEnd"/>
      <w:r w:rsidRPr="00A259BD">
        <w:rPr>
          <w:rFonts w:ascii="Times New Roman" w:hAnsi="Times New Roman"/>
          <w:color w:val="000000" w:themeColor="text1"/>
          <w:sz w:val="16"/>
          <w:szCs w:val="16"/>
        </w:rPr>
        <w:t xml:space="preserve">, осветить задачи, которые имеют место для Конструкторских Бюро и наметить конкретные те мероприятия, которые должно сделать Главному Военно-Промышленному Управлению для того, чтобы создать конструкторские органы, могущие выполнять задания </w:t>
      </w:r>
      <w:proofErr w:type="spellStart"/>
      <w:r w:rsidRPr="00A259BD">
        <w:rPr>
          <w:rFonts w:ascii="Times New Roman" w:hAnsi="Times New Roman"/>
          <w:color w:val="000000" w:themeColor="text1"/>
          <w:sz w:val="16"/>
          <w:szCs w:val="16"/>
        </w:rPr>
        <w:t>Реввоонсовета</w:t>
      </w:r>
      <w:proofErr w:type="spellEnd"/>
      <w:r w:rsidRPr="00A259BD">
        <w:rPr>
          <w:rFonts w:ascii="Times New Roman" w:hAnsi="Times New Roman"/>
          <w:color w:val="000000" w:themeColor="text1"/>
          <w:sz w:val="16"/>
          <w:szCs w:val="16"/>
        </w:rPr>
        <w:t xml:space="preserve"> в связи с новой системой передачи на </w:t>
      </w:r>
      <w:proofErr w:type="spellStart"/>
      <w:r w:rsidRPr="00A259BD">
        <w:rPr>
          <w:rFonts w:ascii="Times New Roman" w:hAnsi="Times New Roman"/>
          <w:color w:val="000000" w:themeColor="text1"/>
          <w:sz w:val="16"/>
          <w:szCs w:val="16"/>
        </w:rPr>
        <w:t>копструирование</w:t>
      </w:r>
      <w:proofErr w:type="spellEnd"/>
      <w:r w:rsidRPr="00A259BD">
        <w:rPr>
          <w:rFonts w:ascii="Times New Roman" w:hAnsi="Times New Roman"/>
          <w:color w:val="000000" w:themeColor="text1"/>
          <w:sz w:val="16"/>
          <w:szCs w:val="16"/>
        </w:rPr>
        <w:t xml:space="preserve"> из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в промышленность.</w:t>
      </w:r>
    </w:p>
    <w:p w14:paraId="387E1F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этого заслушиваются доклады представителей отдельных Трестов.</w:t>
      </w:r>
    </w:p>
    <w:p w14:paraId="59950A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 Макаровский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Как известно ВПУ, есть постановление РВС относительно организации системы опытного авиастроительства, подкрепленное постановлением Президиума ВСНХ.</w:t>
      </w:r>
    </w:p>
    <w:p w14:paraId="45C767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Также ГВПУ известна наша точка зрения, которую мы неоднократно развивали.</w:t>
      </w:r>
    </w:p>
    <w:p w14:paraId="0DD43B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Разница между той и другой точкой зрения заключается в том, что РВС считает, что за УВВС должны сохраняться не только дача заданий и наблюдение за выполнением их в общих чертах, но и строгое наблюдение за выполнением опытных конструкций во всех стадиях их разработки, которая должна вестись силами АП.</w:t>
      </w:r>
    </w:p>
    <w:p w14:paraId="220C3D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мы же держимся той точки зрения, что наша работа должны полностью выделится из серийного производства и вестись лишь под общим наблюдением УВВС.</w:t>
      </w:r>
    </w:p>
    <w:p w14:paraId="4A8E23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части соответствующего аппарата, с точки зрения правильности дислокации существующих опытных отделов и принципов их работы, мы считаем что положение нормальное, изменению не подлежит, необходимо лишь позаботится об усилении конструкторских групп... (2339,338).</w:t>
      </w:r>
    </w:p>
    <w:p w14:paraId="49F071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8486B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полуночи 7 августа 1929 АНТ-4 стоял ос</w:t>
      </w:r>
      <w:r w:rsidRPr="00A259BD">
        <w:rPr>
          <w:rFonts w:ascii="Times New Roman" w:hAnsi="Times New Roman"/>
          <w:color w:val="000000" w:themeColor="text1"/>
          <w:sz w:val="16"/>
          <w:szCs w:val="16"/>
        </w:rPr>
        <w:softHyphen/>
        <w:t>вещенный прожекторами на Центральном аэродроме Москвы. Экипаж провожали члены Комиссии по дальним перелетам С.С. Каменев, П.И. Баранов, Л. Малинов</w:t>
      </w:r>
      <w:r w:rsidRPr="00A259BD">
        <w:rPr>
          <w:rFonts w:ascii="Times New Roman" w:hAnsi="Times New Roman"/>
          <w:color w:val="000000" w:themeColor="text1"/>
          <w:sz w:val="16"/>
          <w:szCs w:val="16"/>
        </w:rPr>
        <w:softHyphen/>
        <w:t xml:space="preserve">ский, В. </w:t>
      </w:r>
      <w:proofErr w:type="spellStart"/>
      <w:r w:rsidRPr="00A259BD">
        <w:rPr>
          <w:rFonts w:ascii="Times New Roman" w:hAnsi="Times New Roman"/>
          <w:color w:val="000000" w:themeColor="text1"/>
          <w:sz w:val="16"/>
          <w:szCs w:val="16"/>
        </w:rPr>
        <w:t>Зарзар</w:t>
      </w:r>
      <w:proofErr w:type="spellEnd"/>
      <w:r w:rsidRPr="00A259BD">
        <w:rPr>
          <w:rFonts w:ascii="Times New Roman" w:hAnsi="Times New Roman"/>
          <w:color w:val="000000" w:themeColor="text1"/>
          <w:sz w:val="16"/>
          <w:szCs w:val="16"/>
        </w:rPr>
        <w:t>. 8 августа в 2 часа ночи “Страна Советов” стартовала, чтобы успеть прибыть в Омск до наступления темноты. Вначале полет проходил вполне благопри</w:t>
      </w:r>
      <w:r w:rsidRPr="00A259BD">
        <w:rPr>
          <w:rFonts w:ascii="Times New Roman" w:hAnsi="Times New Roman"/>
          <w:color w:val="000000" w:themeColor="text1"/>
          <w:sz w:val="16"/>
          <w:szCs w:val="16"/>
        </w:rPr>
        <w:softHyphen/>
        <w:t>ятно. Когда пересекали Уральские горы, машину неожиданно атаковал орел. Безрас</w:t>
      </w:r>
      <w:r w:rsidRPr="00A259BD">
        <w:rPr>
          <w:rFonts w:ascii="Times New Roman" w:hAnsi="Times New Roman"/>
          <w:color w:val="000000" w:themeColor="text1"/>
          <w:sz w:val="16"/>
          <w:szCs w:val="16"/>
        </w:rPr>
        <w:softHyphen/>
        <w:t>судная птица разбилась о переднюю кромку крыла, оставив в ней вмятину, но если бы уго</w:t>
      </w:r>
      <w:r w:rsidRPr="00A259BD">
        <w:rPr>
          <w:rFonts w:ascii="Times New Roman" w:hAnsi="Times New Roman"/>
          <w:color w:val="000000" w:themeColor="text1"/>
          <w:sz w:val="16"/>
          <w:szCs w:val="16"/>
        </w:rPr>
        <w:softHyphen/>
        <w:t>дила немного в сторону, то вдребезги разнес</w:t>
      </w:r>
      <w:r w:rsidRPr="00A259BD">
        <w:rPr>
          <w:rFonts w:ascii="Times New Roman" w:hAnsi="Times New Roman"/>
          <w:color w:val="000000" w:themeColor="text1"/>
          <w:sz w:val="16"/>
          <w:szCs w:val="16"/>
        </w:rPr>
        <w:softHyphen/>
        <w:t>ла бы воздушный винт. Экипаж благополучно достиг Омска, где заночевал, а к вечеру 9 августа прибыл в Крас</w:t>
      </w:r>
      <w:r w:rsidRPr="00A259BD">
        <w:rPr>
          <w:rFonts w:ascii="Times New Roman" w:hAnsi="Times New Roman"/>
          <w:color w:val="000000" w:themeColor="text1"/>
          <w:sz w:val="16"/>
          <w:szCs w:val="16"/>
        </w:rPr>
        <w:softHyphen/>
        <w:t>ноярск. Следующий день не задался с самого ' утра. Сначала долго не могли запустить пра</w:t>
      </w:r>
      <w:r w:rsidRPr="00A259BD">
        <w:rPr>
          <w:rFonts w:ascii="Times New Roman" w:hAnsi="Times New Roman"/>
          <w:color w:val="000000" w:themeColor="text1"/>
          <w:sz w:val="16"/>
          <w:szCs w:val="16"/>
        </w:rPr>
        <w:softHyphen/>
        <w:t xml:space="preserve">вый двигатель. Наконец, в полдень вылетели, к заходу солнца подошли к </w:t>
      </w:r>
      <w:proofErr w:type="spellStart"/>
      <w:r w:rsidRPr="00A259BD">
        <w:rPr>
          <w:rFonts w:ascii="Times New Roman" w:hAnsi="Times New Roman"/>
          <w:color w:val="000000" w:themeColor="text1"/>
          <w:sz w:val="16"/>
          <w:szCs w:val="16"/>
        </w:rPr>
        <w:t>Верхнеудинску</w:t>
      </w:r>
      <w:proofErr w:type="spellEnd"/>
      <w:r w:rsidRPr="00A259BD">
        <w:rPr>
          <w:rFonts w:ascii="Times New Roman" w:hAnsi="Times New Roman"/>
          <w:color w:val="000000" w:themeColor="text1"/>
          <w:sz w:val="16"/>
          <w:szCs w:val="16"/>
        </w:rPr>
        <w:t xml:space="preserve"> и были готовы к посадке, однако Шестаков ре</w:t>
      </w:r>
      <w:r w:rsidRPr="00A259BD">
        <w:rPr>
          <w:rFonts w:ascii="Times New Roman" w:hAnsi="Times New Roman"/>
          <w:color w:val="000000" w:themeColor="text1"/>
          <w:sz w:val="16"/>
          <w:szCs w:val="16"/>
        </w:rPr>
        <w:softHyphen/>
        <w:t>шил лететь дальше до Читы. Но лучше бы он этого не делал. Во время возни с двигателем в Красноярске и при продолжительном полете со встречным ветром было израсходовано не</w:t>
      </w:r>
      <w:r w:rsidRPr="00A259BD">
        <w:rPr>
          <w:rFonts w:ascii="Times New Roman" w:hAnsi="Times New Roman"/>
          <w:color w:val="000000" w:themeColor="text1"/>
          <w:sz w:val="16"/>
          <w:szCs w:val="16"/>
        </w:rPr>
        <w:softHyphen/>
        <w:t>мало топлива, и дойти до Читы не удалось из-за полной выработки горючего. Вынужденная * посадка на лес глубокой ночью при отсутствии даже лунного освещения, казалось бы, не ос</w:t>
      </w:r>
      <w:r w:rsidRPr="00A259BD">
        <w:rPr>
          <w:rFonts w:ascii="Times New Roman" w:hAnsi="Times New Roman"/>
          <w:color w:val="000000" w:themeColor="text1"/>
          <w:sz w:val="16"/>
          <w:szCs w:val="16"/>
        </w:rPr>
        <w:softHyphen/>
        <w:t>тавляла экипажу ни малейшего шанса уце</w:t>
      </w:r>
      <w:r w:rsidRPr="00A259BD">
        <w:rPr>
          <w:rFonts w:ascii="Times New Roman" w:hAnsi="Times New Roman"/>
          <w:color w:val="000000" w:themeColor="text1"/>
          <w:sz w:val="16"/>
          <w:szCs w:val="16"/>
        </w:rPr>
        <w:softHyphen/>
        <w:t>леть. Тем не менее, все четверо отделались лишь ушибами. Самолет к дальнейшему ис</w:t>
      </w:r>
      <w:r w:rsidRPr="00A259BD">
        <w:rPr>
          <w:rFonts w:ascii="Times New Roman" w:hAnsi="Times New Roman"/>
          <w:color w:val="000000" w:themeColor="text1"/>
          <w:sz w:val="16"/>
          <w:szCs w:val="16"/>
        </w:rPr>
        <w:softHyphen/>
        <w:t>пользованию, конечно же, не годился. Пешком с помощью местных жителей ави</w:t>
      </w:r>
      <w:r w:rsidRPr="00A259BD">
        <w:rPr>
          <w:rFonts w:ascii="Times New Roman" w:hAnsi="Times New Roman"/>
          <w:color w:val="000000" w:themeColor="text1"/>
          <w:sz w:val="16"/>
          <w:szCs w:val="16"/>
        </w:rPr>
        <w:softHyphen/>
        <w:t>аторы добрались до ближайшего села. Далее на поезде доехали до Иркутска, где Шестаков пересел на рейсовый самолет. Когда второй пилот, штурман и бортмеханик вышли на Ярославском вокзале Москвы, там их встре</w:t>
      </w:r>
      <w:r w:rsidRPr="00A259BD">
        <w:rPr>
          <w:rFonts w:ascii="Times New Roman" w:hAnsi="Times New Roman"/>
          <w:color w:val="000000" w:themeColor="text1"/>
          <w:sz w:val="16"/>
          <w:szCs w:val="16"/>
        </w:rPr>
        <w:softHyphen/>
        <w:t>чал прибывший сутками ранее Семен Шеста</w:t>
      </w:r>
      <w:r w:rsidRPr="00A259BD">
        <w:rPr>
          <w:rFonts w:ascii="Times New Roman" w:hAnsi="Times New Roman"/>
          <w:color w:val="000000" w:themeColor="text1"/>
          <w:sz w:val="16"/>
          <w:szCs w:val="16"/>
        </w:rPr>
        <w:softHyphen/>
        <w:t>ков. Он сообщил, что принято решение пере</w:t>
      </w:r>
      <w:r w:rsidRPr="00A259BD">
        <w:rPr>
          <w:rFonts w:ascii="Times New Roman" w:hAnsi="Times New Roman"/>
          <w:color w:val="000000" w:themeColor="text1"/>
          <w:sz w:val="16"/>
          <w:szCs w:val="16"/>
        </w:rPr>
        <w:softHyphen/>
        <w:t>лет в США завершить, для этого выделяется резервная машина АНТ-4 “Дублер”. В случае проблем с их самочувствием подготовлен ре</w:t>
      </w:r>
      <w:r w:rsidRPr="00A259BD">
        <w:rPr>
          <w:rFonts w:ascii="Times New Roman" w:hAnsi="Times New Roman"/>
          <w:color w:val="000000" w:themeColor="text1"/>
          <w:sz w:val="16"/>
          <w:szCs w:val="16"/>
        </w:rPr>
        <w:softHyphen/>
        <w:t xml:space="preserve">зервный экипаж в составе </w:t>
      </w:r>
      <w:proofErr w:type="spellStart"/>
      <w:r w:rsidRPr="00A259BD">
        <w:rPr>
          <w:rFonts w:ascii="Times New Roman" w:hAnsi="Times New Roman"/>
          <w:color w:val="000000" w:themeColor="text1"/>
          <w:sz w:val="16"/>
          <w:szCs w:val="16"/>
        </w:rPr>
        <w:t>Волковойнова</w:t>
      </w:r>
      <w:proofErr w:type="spellEnd"/>
      <w:r w:rsidRPr="00A259BD">
        <w:rPr>
          <w:rFonts w:ascii="Times New Roman" w:hAnsi="Times New Roman"/>
          <w:color w:val="000000" w:themeColor="text1"/>
          <w:sz w:val="16"/>
          <w:szCs w:val="16"/>
        </w:rPr>
        <w:t>, Бух-гольца и Данилина. Ответом стало единодуш</w:t>
      </w:r>
      <w:r w:rsidRPr="00A259BD">
        <w:rPr>
          <w:rFonts w:ascii="Times New Roman" w:hAnsi="Times New Roman"/>
          <w:color w:val="000000" w:themeColor="text1"/>
          <w:sz w:val="16"/>
          <w:szCs w:val="16"/>
        </w:rPr>
        <w:softHyphen/>
        <w:t xml:space="preserve">ное решение Болотова, Стерлигова и </w:t>
      </w:r>
      <w:proofErr w:type="spellStart"/>
      <w:r w:rsidRPr="00A259BD">
        <w:rPr>
          <w:rFonts w:ascii="Times New Roman" w:hAnsi="Times New Roman"/>
          <w:color w:val="000000" w:themeColor="text1"/>
          <w:sz w:val="16"/>
          <w:szCs w:val="16"/>
        </w:rPr>
        <w:t>Фуфаева</w:t>
      </w:r>
      <w:proofErr w:type="spellEnd"/>
      <w:r w:rsidRPr="00A259BD">
        <w:rPr>
          <w:rFonts w:ascii="Times New Roman" w:hAnsi="Times New Roman"/>
          <w:color w:val="000000" w:themeColor="text1"/>
          <w:sz w:val="16"/>
          <w:szCs w:val="16"/>
        </w:rPr>
        <w:t xml:space="preserve"> — лететь! 23 августа экипаж Шестакова отправился в путь на второй “Стране Сове</w:t>
      </w:r>
      <w:r w:rsidRPr="00A259BD">
        <w:rPr>
          <w:rFonts w:ascii="Times New Roman" w:hAnsi="Times New Roman"/>
          <w:color w:val="000000" w:themeColor="text1"/>
          <w:sz w:val="16"/>
          <w:szCs w:val="16"/>
        </w:rPr>
        <w:softHyphen/>
        <w:t>тов”. Провожатых на этот раз не было...Теперь полетные условия оказались куда более тяжелыми. Фактически в Сибири начина</w:t>
      </w:r>
      <w:r w:rsidRPr="00A259BD">
        <w:rPr>
          <w:rFonts w:ascii="Times New Roman" w:hAnsi="Times New Roman"/>
          <w:color w:val="000000" w:themeColor="text1"/>
          <w:sz w:val="16"/>
          <w:szCs w:val="16"/>
        </w:rPr>
        <w:softHyphen/>
        <w:t>лась осень, световой день стал заметно коро</w:t>
      </w:r>
      <w:r w:rsidRPr="00A259BD">
        <w:rPr>
          <w:rFonts w:ascii="Times New Roman" w:hAnsi="Times New Roman"/>
          <w:color w:val="000000" w:themeColor="text1"/>
          <w:sz w:val="16"/>
          <w:szCs w:val="16"/>
        </w:rPr>
        <w:softHyphen/>
        <w:t>че, а на маршруте приходилось постоянно по</w:t>
      </w:r>
      <w:r w:rsidRPr="00A259BD">
        <w:rPr>
          <w:rFonts w:ascii="Times New Roman" w:hAnsi="Times New Roman"/>
          <w:color w:val="000000" w:themeColor="text1"/>
          <w:sz w:val="16"/>
          <w:szCs w:val="16"/>
        </w:rPr>
        <w:softHyphen/>
        <w:t>падать в дожди и туманы. Кроме того, практи</w:t>
      </w:r>
      <w:r w:rsidRPr="00A259BD">
        <w:rPr>
          <w:rFonts w:ascii="Times New Roman" w:hAnsi="Times New Roman"/>
          <w:color w:val="000000" w:themeColor="text1"/>
          <w:sz w:val="16"/>
          <w:szCs w:val="16"/>
        </w:rPr>
        <w:softHyphen/>
        <w:t>чески сразу начались перебои в правом двигателе. Летчики перетянули Уральские горы и решили садиться в Челябинске. Здесь их не ждали, поэтому после устранения неисправ</w:t>
      </w:r>
      <w:r w:rsidRPr="00A259BD">
        <w:rPr>
          <w:rFonts w:ascii="Times New Roman" w:hAnsi="Times New Roman"/>
          <w:color w:val="000000" w:themeColor="text1"/>
          <w:sz w:val="16"/>
          <w:szCs w:val="16"/>
        </w:rPr>
        <w:softHyphen/>
        <w:t>ностей для дозаправки перелетели в Курган. Далее после посадок в Новосибирске и Крас</w:t>
      </w:r>
      <w:r w:rsidRPr="00A259BD">
        <w:rPr>
          <w:rFonts w:ascii="Times New Roman" w:hAnsi="Times New Roman"/>
          <w:color w:val="000000" w:themeColor="text1"/>
          <w:sz w:val="16"/>
          <w:szCs w:val="16"/>
        </w:rPr>
        <w:softHyphen/>
        <w:t>ноярске мотор вновь закапризничал. На его за</w:t>
      </w:r>
      <w:r w:rsidRPr="00A259BD">
        <w:rPr>
          <w:rFonts w:ascii="Times New Roman" w:hAnsi="Times New Roman"/>
          <w:color w:val="000000" w:themeColor="text1"/>
          <w:sz w:val="16"/>
          <w:szCs w:val="16"/>
        </w:rPr>
        <w:softHyphen/>
        <w:t>мену в Иркутске ушло 3 дня, затем проследова</w:t>
      </w:r>
      <w:r w:rsidRPr="00A259BD">
        <w:rPr>
          <w:rFonts w:ascii="Times New Roman" w:hAnsi="Times New Roman"/>
          <w:color w:val="000000" w:themeColor="text1"/>
          <w:sz w:val="16"/>
          <w:szCs w:val="16"/>
        </w:rPr>
        <w:softHyphen/>
        <w:t xml:space="preserve">ли через </w:t>
      </w:r>
      <w:proofErr w:type="spellStart"/>
      <w:r w:rsidRPr="00A259BD">
        <w:rPr>
          <w:rFonts w:ascii="Times New Roman" w:hAnsi="Times New Roman"/>
          <w:color w:val="000000" w:themeColor="text1"/>
          <w:sz w:val="16"/>
          <w:szCs w:val="16"/>
        </w:rPr>
        <w:t>Верхнеудинск</w:t>
      </w:r>
      <w:proofErr w:type="spellEnd"/>
      <w:r w:rsidRPr="00A259BD">
        <w:rPr>
          <w:rFonts w:ascii="Times New Roman" w:hAnsi="Times New Roman"/>
          <w:color w:val="000000" w:themeColor="text1"/>
          <w:sz w:val="16"/>
          <w:szCs w:val="16"/>
        </w:rPr>
        <w:t>, Читу, Благовещенск и 3 сентября прибыли в Хабаровск. Здесь начинал</w:t>
      </w:r>
      <w:r w:rsidRPr="00A259BD">
        <w:rPr>
          <w:rFonts w:ascii="Times New Roman" w:hAnsi="Times New Roman"/>
          <w:color w:val="000000" w:themeColor="text1"/>
          <w:sz w:val="16"/>
          <w:szCs w:val="16"/>
        </w:rPr>
        <w:softHyphen/>
        <w:t>ся морской этап перелета, для чего следовало сменить колеса на поплавки. Проблемой ока</w:t>
      </w:r>
      <w:r w:rsidRPr="00A259BD">
        <w:rPr>
          <w:rFonts w:ascii="Times New Roman" w:hAnsi="Times New Roman"/>
          <w:color w:val="000000" w:themeColor="text1"/>
          <w:sz w:val="16"/>
          <w:szCs w:val="16"/>
        </w:rPr>
        <w:softHyphen/>
        <w:t>залась доставка самолета с аэродрома на Амур. Машину с почти тридцатиметровым раз</w:t>
      </w:r>
      <w:r w:rsidRPr="00A259BD">
        <w:rPr>
          <w:rFonts w:ascii="Times New Roman" w:hAnsi="Times New Roman"/>
          <w:color w:val="000000" w:themeColor="text1"/>
          <w:sz w:val="16"/>
          <w:szCs w:val="16"/>
        </w:rPr>
        <w:softHyphen/>
        <w:t>махом крыла пришлось буксировать к реке в обход города, устраняя по пути неровности и препятствия. Наконец, через 2 дня добрались до базы Амурской речной флотилии, где прис</w:t>
      </w:r>
      <w:r w:rsidRPr="00A259BD">
        <w:rPr>
          <w:rFonts w:ascii="Times New Roman" w:hAnsi="Times New Roman"/>
          <w:color w:val="000000" w:themeColor="text1"/>
          <w:sz w:val="16"/>
          <w:szCs w:val="16"/>
        </w:rPr>
        <w:softHyphen/>
        <w:t>тупили к смене двигателей и установке поплав</w:t>
      </w:r>
      <w:r w:rsidRPr="00A259BD">
        <w:rPr>
          <w:rFonts w:ascii="Times New Roman" w:hAnsi="Times New Roman"/>
          <w:color w:val="000000" w:themeColor="text1"/>
          <w:sz w:val="16"/>
          <w:szCs w:val="16"/>
        </w:rPr>
        <w:softHyphen/>
        <w:t>ков. Одновременно машину оснастили радио</w:t>
      </w:r>
      <w:r w:rsidRPr="00A259BD">
        <w:rPr>
          <w:rFonts w:ascii="Times New Roman" w:hAnsi="Times New Roman"/>
          <w:color w:val="000000" w:themeColor="text1"/>
          <w:sz w:val="16"/>
          <w:szCs w:val="16"/>
        </w:rPr>
        <w:softHyphen/>
        <w:t>станцией для связи с морскими судами и пор</w:t>
      </w:r>
      <w:r w:rsidRPr="00A259BD">
        <w:rPr>
          <w:rFonts w:ascii="Times New Roman" w:hAnsi="Times New Roman"/>
          <w:color w:val="000000" w:themeColor="text1"/>
          <w:sz w:val="16"/>
          <w:szCs w:val="16"/>
        </w:rPr>
        <w:softHyphen/>
        <w:t>тами. При полете над Сибирью радиосвязь не велась по причине отсутствия там аэродром</w:t>
      </w:r>
      <w:r w:rsidRPr="00A259BD">
        <w:rPr>
          <w:rFonts w:ascii="Times New Roman" w:hAnsi="Times New Roman"/>
          <w:color w:val="000000" w:themeColor="text1"/>
          <w:sz w:val="16"/>
          <w:szCs w:val="16"/>
        </w:rPr>
        <w:softHyphen/>
        <w:t>ных радиостанций. Самолетная рация работа</w:t>
      </w:r>
      <w:r w:rsidRPr="00A259BD">
        <w:rPr>
          <w:rFonts w:ascii="Times New Roman" w:hAnsi="Times New Roman"/>
          <w:color w:val="000000" w:themeColor="text1"/>
          <w:sz w:val="16"/>
          <w:szCs w:val="16"/>
        </w:rPr>
        <w:softHyphen/>
        <w:t>ла в телеграфном режиме, поэтому Стерлигову пришлось в короткий срок изучить работу на телеграфном ключе (по нормам, требовалось принимать не менее 100 знаков в минуту). Погода в Хабаровске стояла прекрасная, поэтому экипаж даже смог искупаться в Аму</w:t>
      </w:r>
      <w:r w:rsidRPr="00A259BD">
        <w:rPr>
          <w:rFonts w:ascii="Times New Roman" w:hAnsi="Times New Roman"/>
          <w:color w:val="000000" w:themeColor="text1"/>
          <w:sz w:val="16"/>
          <w:szCs w:val="16"/>
        </w:rPr>
        <w:softHyphen/>
        <w:t>ре. В эти дни Шестаков с Болотовым крепко повздорили. Дело заключалось в том, что при полете над водой Болотов, как опытный мор</w:t>
      </w:r>
      <w:r w:rsidRPr="00A259BD">
        <w:rPr>
          <w:rFonts w:ascii="Times New Roman" w:hAnsi="Times New Roman"/>
          <w:color w:val="000000" w:themeColor="text1"/>
          <w:sz w:val="16"/>
          <w:szCs w:val="16"/>
        </w:rPr>
        <w:softHyphen/>
        <w:t>ской летчик, должен был сидеть в левом крес</w:t>
      </w:r>
      <w:r w:rsidRPr="00A259BD">
        <w:rPr>
          <w:rFonts w:ascii="Times New Roman" w:hAnsi="Times New Roman"/>
          <w:color w:val="000000" w:themeColor="text1"/>
          <w:sz w:val="16"/>
          <w:szCs w:val="16"/>
        </w:rPr>
        <w:softHyphen/>
        <w:t>ле. Однако Шестаков посчитал это посяга</w:t>
      </w:r>
      <w:r w:rsidRPr="00A259BD">
        <w:rPr>
          <w:rFonts w:ascii="Times New Roman" w:hAnsi="Times New Roman"/>
          <w:color w:val="000000" w:themeColor="text1"/>
          <w:sz w:val="16"/>
          <w:szCs w:val="16"/>
        </w:rPr>
        <w:softHyphen/>
        <w:t>тельством на свои командирские права и рез</w:t>
      </w:r>
      <w:r w:rsidRPr="00A259BD">
        <w:rPr>
          <w:rFonts w:ascii="Times New Roman" w:hAnsi="Times New Roman"/>
          <w:color w:val="000000" w:themeColor="text1"/>
          <w:sz w:val="16"/>
          <w:szCs w:val="16"/>
        </w:rPr>
        <w:softHyphen/>
        <w:t>ко воспротивился. Разбирательство дошло до Москвы, и Климент Ворошилов лично телегра</w:t>
      </w:r>
      <w:r w:rsidRPr="00A259BD">
        <w:rPr>
          <w:rFonts w:ascii="Times New Roman" w:hAnsi="Times New Roman"/>
          <w:color w:val="000000" w:themeColor="text1"/>
          <w:sz w:val="16"/>
          <w:szCs w:val="16"/>
        </w:rPr>
        <w:softHyphen/>
        <w:t>фировал Шестакову, что во время морского участка перелета ему придется сидеть справа (11286).</w:t>
      </w:r>
    </w:p>
    <w:p w14:paraId="7D55BE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7FEB3A" w14:textId="77777777" w:rsidR="00B25ADA"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F6FF2E7" w14:textId="77777777" w:rsidR="00B25ADA" w:rsidRPr="00A259BD" w:rsidRDefault="00B25AD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4C651CC" w14:textId="77777777" w:rsidR="00B25ADA" w:rsidRPr="00A259BD" w:rsidRDefault="00B25ADA" w:rsidP="009236E3">
      <w:pPr>
        <w:pStyle w:val="rtejustify"/>
        <w:spacing w:before="0" w:after="0"/>
        <w:rPr>
          <w:color w:val="000000" w:themeColor="text1"/>
          <w:sz w:val="16"/>
          <w:szCs w:val="16"/>
        </w:rPr>
      </w:pPr>
      <w:r w:rsidRPr="00A259BD">
        <w:rPr>
          <w:rStyle w:val="af0"/>
          <w:i w:val="0"/>
          <w:color w:val="000000" w:themeColor="text1"/>
          <w:sz w:val="16"/>
          <w:szCs w:val="16"/>
        </w:rPr>
        <w:t xml:space="preserve">7 августа </w:t>
      </w:r>
      <w:r w:rsidRPr="00A259BD">
        <w:rPr>
          <w:color w:val="000000" w:themeColor="text1"/>
          <w:sz w:val="16"/>
          <w:szCs w:val="16"/>
        </w:rPr>
        <w:t>1929 г</w:t>
      </w:r>
      <w:r w:rsidRPr="00A259BD">
        <w:rPr>
          <w:rStyle w:val="af0"/>
          <w:i w:val="0"/>
          <w:color w:val="000000" w:themeColor="text1"/>
          <w:sz w:val="16"/>
          <w:szCs w:val="16"/>
        </w:rPr>
        <w:t>. Протокол Реввоенсовета № 31.</w:t>
      </w:r>
      <w:r w:rsidRPr="00A259BD">
        <w:rPr>
          <w:color w:val="000000" w:themeColor="text1"/>
          <w:sz w:val="16"/>
          <w:szCs w:val="16"/>
        </w:rPr>
        <w:t xml:space="preserve"> 5. О календарных сроках модернизации вооружения. (Кулик). 6. О состоянии опытных работ по вооружению авиации. (</w:t>
      </w:r>
      <w:proofErr w:type="spellStart"/>
      <w:r w:rsidRPr="00A259BD">
        <w:rPr>
          <w:color w:val="000000" w:themeColor="text1"/>
          <w:sz w:val="16"/>
          <w:szCs w:val="16"/>
        </w:rPr>
        <w:t>Корк</w:t>
      </w:r>
      <w:proofErr w:type="spellEnd"/>
      <w:r w:rsidRPr="00A259BD">
        <w:rPr>
          <w:color w:val="000000" w:themeColor="text1"/>
          <w:sz w:val="16"/>
          <w:szCs w:val="16"/>
        </w:rPr>
        <w:t>, Алкснис). (РГВА. Ф. 4. Оп. 18. Д. 15. Л. 213) (12342).</w:t>
      </w:r>
    </w:p>
    <w:p w14:paraId="573CDCB2" w14:textId="77777777" w:rsidR="00B25ADA" w:rsidRPr="00A259BD" w:rsidRDefault="00B25ADA" w:rsidP="009236E3">
      <w:pPr>
        <w:pStyle w:val="rtejustify"/>
        <w:spacing w:before="0" w:after="0"/>
        <w:rPr>
          <w:color w:val="000000" w:themeColor="text1"/>
          <w:sz w:val="16"/>
          <w:szCs w:val="16"/>
        </w:rPr>
      </w:pPr>
    </w:p>
    <w:p w14:paraId="54EB6D7B" w14:textId="77777777" w:rsidR="002D2C25" w:rsidRPr="00A259BD" w:rsidRDefault="002D2C2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августа в 1929 году ленинградским заводом «Позитив» – первенцем фотохимической промышленности страны – была выпущена первая партия отечественной фотобумаги (14976).</w:t>
      </w:r>
    </w:p>
    <w:p w14:paraId="66D3F933" w14:textId="77777777" w:rsidR="002D2C25" w:rsidRPr="00A259BD" w:rsidRDefault="002D2C25" w:rsidP="009236E3">
      <w:pPr>
        <w:spacing w:after="0" w:line="240" w:lineRule="auto"/>
        <w:jc w:val="both"/>
        <w:rPr>
          <w:rFonts w:ascii="Times New Roman" w:hAnsi="Times New Roman"/>
          <w:color w:val="000000" w:themeColor="text1"/>
          <w:sz w:val="16"/>
          <w:szCs w:val="16"/>
        </w:rPr>
      </w:pPr>
    </w:p>
    <w:p w14:paraId="6D0BFA7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7F95428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C2653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августа 1929 г. ВСУ РККА было изъято из состава НКЗ РСФСР и передано в ведение Наркомвоенмор (с 1934 г. реорганизован в Народный комиссариат обороны - НКО СССР), что имело принципиальное значение в деле приближения его деятельности к насущным потребностям Красной Армии. Штаты управления обновлялись в октябре и декабре 1929 г., феврале, апреле и ноябре 1930 г., феврале 1931 г., январе 1932 г. и феврале 1933 г. В результате его отделы преобразовывались в сектора. В 1930 г. появился Научно-технический комитет (9090).</w:t>
      </w:r>
    </w:p>
    <w:p w14:paraId="05590F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4BA064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F8ED93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630A2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8 (6 - 2782) по 13 августа 1929 было неудачное начало перелета на АНТ-4 и сели в районе Читы. Возобновили 23 августа (1016,141).</w:t>
      </w:r>
    </w:p>
    <w:p w14:paraId="62DD6C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3886C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августа 1929 года экспедиция на самолете "Крылья Советов" возвратилась из кругового европейского перелета в полном порядке (7769, 277).</w:t>
      </w:r>
    </w:p>
    <w:p w14:paraId="03B347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7199FD" w14:textId="44756458" w:rsidR="00FA28D3" w:rsidRPr="006B74EB" w:rsidRDefault="00FA28D3" w:rsidP="00FA28D3">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8 августа</w:t>
      </w:r>
      <w:r>
        <w:rPr>
          <w:rFonts w:ascii="Times New Roman" w:hAnsi="Times New Roman"/>
          <w:color w:val="0070C0"/>
          <w:sz w:val="16"/>
          <w:szCs w:val="16"/>
        </w:rPr>
        <w:t xml:space="preserve"> 1929 г</w:t>
      </w:r>
      <w:r w:rsidRPr="006B74EB">
        <w:rPr>
          <w:rFonts w:ascii="Times New Roman" w:hAnsi="Times New Roman"/>
          <w:color w:val="0070C0"/>
          <w:sz w:val="16"/>
          <w:szCs w:val="16"/>
        </w:rPr>
        <w:t>.</w:t>
      </w:r>
      <w:r>
        <w:rPr>
          <w:rFonts w:ascii="Times New Roman" w:hAnsi="Times New Roman"/>
          <w:color w:val="0070C0"/>
          <w:sz w:val="16"/>
          <w:szCs w:val="16"/>
        </w:rPr>
        <w:t xml:space="preserve"> з</w:t>
      </w:r>
      <w:r w:rsidRPr="006B74EB">
        <w:rPr>
          <w:rFonts w:ascii="Times New Roman" w:hAnsi="Times New Roman"/>
          <w:color w:val="0070C0"/>
          <w:sz w:val="16"/>
          <w:szCs w:val="16"/>
        </w:rPr>
        <w:t xml:space="preserve">акончился больной Западно-Европейский перелет </w:t>
      </w:r>
      <w:proofErr w:type="spellStart"/>
      <w:r w:rsidRPr="006B74EB">
        <w:rPr>
          <w:rFonts w:ascii="Times New Roman" w:hAnsi="Times New Roman"/>
          <w:color w:val="0070C0"/>
          <w:sz w:val="16"/>
          <w:szCs w:val="16"/>
        </w:rPr>
        <w:t>М.М.</w:t>
      </w:r>
      <w:r>
        <w:rPr>
          <w:rFonts w:ascii="Times New Roman" w:hAnsi="Times New Roman"/>
          <w:color w:val="0070C0"/>
          <w:sz w:val="16"/>
          <w:szCs w:val="16"/>
        </w:rPr>
        <w:t>Г</w:t>
      </w:r>
      <w:r w:rsidRPr="006B74EB">
        <w:rPr>
          <w:rFonts w:ascii="Times New Roman" w:hAnsi="Times New Roman"/>
          <w:color w:val="0070C0"/>
          <w:sz w:val="16"/>
          <w:szCs w:val="16"/>
        </w:rPr>
        <w:t>р</w:t>
      </w:r>
      <w:r>
        <w:rPr>
          <w:rFonts w:ascii="Times New Roman" w:hAnsi="Times New Roman"/>
          <w:color w:val="0070C0"/>
          <w:sz w:val="16"/>
          <w:szCs w:val="16"/>
        </w:rPr>
        <w:t>ом</w:t>
      </w:r>
      <w:r w:rsidRPr="006B74EB">
        <w:rPr>
          <w:rFonts w:ascii="Times New Roman" w:hAnsi="Times New Roman"/>
          <w:color w:val="0070C0"/>
          <w:sz w:val="16"/>
          <w:szCs w:val="16"/>
        </w:rPr>
        <w:t>ова</w:t>
      </w:r>
      <w:proofErr w:type="spellEnd"/>
      <w:r w:rsidRPr="006B74EB">
        <w:rPr>
          <w:rFonts w:ascii="Times New Roman" w:hAnsi="Times New Roman"/>
          <w:color w:val="0070C0"/>
          <w:sz w:val="16"/>
          <w:szCs w:val="16"/>
        </w:rPr>
        <w:t>, начатый 10 июля.</w:t>
      </w:r>
      <w:r>
        <w:rPr>
          <w:rFonts w:ascii="Times New Roman" w:hAnsi="Times New Roman"/>
          <w:color w:val="0070C0"/>
          <w:sz w:val="16"/>
          <w:szCs w:val="16"/>
        </w:rPr>
        <w:t xml:space="preserve"> Н</w:t>
      </w:r>
      <w:r w:rsidRPr="006B74EB">
        <w:rPr>
          <w:rFonts w:ascii="Times New Roman" w:hAnsi="Times New Roman"/>
          <w:color w:val="0070C0"/>
          <w:sz w:val="16"/>
          <w:szCs w:val="16"/>
        </w:rPr>
        <w:t>а самолете А</w:t>
      </w:r>
      <w:r>
        <w:rPr>
          <w:rFonts w:ascii="Times New Roman" w:hAnsi="Times New Roman"/>
          <w:color w:val="0070C0"/>
          <w:sz w:val="16"/>
          <w:szCs w:val="16"/>
        </w:rPr>
        <w:t>Н</w:t>
      </w:r>
      <w:r w:rsidRPr="006B74EB">
        <w:rPr>
          <w:rFonts w:ascii="Times New Roman" w:hAnsi="Times New Roman"/>
          <w:color w:val="0070C0"/>
          <w:sz w:val="16"/>
          <w:szCs w:val="16"/>
        </w:rPr>
        <w:t xml:space="preserve">Т-9 "Крылья советов" с 11 </w:t>
      </w:r>
      <w:r>
        <w:rPr>
          <w:rFonts w:ascii="Times New Roman" w:hAnsi="Times New Roman"/>
          <w:color w:val="0070C0"/>
          <w:sz w:val="16"/>
          <w:szCs w:val="16"/>
        </w:rPr>
        <w:t>пассаж</w:t>
      </w:r>
      <w:r w:rsidRPr="006B74EB">
        <w:rPr>
          <w:rFonts w:ascii="Times New Roman" w:hAnsi="Times New Roman"/>
          <w:color w:val="0070C0"/>
          <w:sz w:val="16"/>
          <w:szCs w:val="16"/>
        </w:rPr>
        <w:t>ирам</w:t>
      </w:r>
      <w:r>
        <w:rPr>
          <w:rFonts w:ascii="Times New Roman" w:hAnsi="Times New Roman"/>
          <w:color w:val="0070C0"/>
          <w:sz w:val="16"/>
          <w:szCs w:val="16"/>
        </w:rPr>
        <w:t>и</w:t>
      </w:r>
      <w:r w:rsidRPr="006B74EB">
        <w:rPr>
          <w:rFonts w:ascii="Times New Roman" w:hAnsi="Times New Roman"/>
          <w:color w:val="0070C0"/>
          <w:sz w:val="16"/>
          <w:szCs w:val="16"/>
        </w:rPr>
        <w:t xml:space="preserve"> и механиком </w:t>
      </w:r>
      <w:proofErr w:type="spellStart"/>
      <w:r w:rsidRPr="006B74EB">
        <w:rPr>
          <w:rFonts w:ascii="Times New Roman" w:hAnsi="Times New Roman"/>
          <w:color w:val="0070C0"/>
          <w:sz w:val="16"/>
          <w:szCs w:val="16"/>
        </w:rPr>
        <w:t>В.П.Русаковым</w:t>
      </w:r>
      <w:proofErr w:type="spellEnd"/>
      <w:r w:rsidRPr="006B74EB">
        <w:rPr>
          <w:rFonts w:ascii="Times New Roman" w:hAnsi="Times New Roman"/>
          <w:color w:val="0070C0"/>
          <w:sz w:val="16"/>
          <w:szCs w:val="16"/>
        </w:rPr>
        <w:t xml:space="preserve"> совершил перелет по круго</w:t>
      </w:r>
      <w:r>
        <w:rPr>
          <w:rFonts w:ascii="Times New Roman" w:hAnsi="Times New Roman"/>
          <w:color w:val="0070C0"/>
          <w:sz w:val="16"/>
          <w:szCs w:val="16"/>
        </w:rPr>
        <w:t>вому</w:t>
      </w:r>
      <w:r w:rsidRPr="006B74EB">
        <w:rPr>
          <w:rFonts w:ascii="Times New Roman" w:hAnsi="Times New Roman"/>
          <w:color w:val="0070C0"/>
          <w:sz w:val="16"/>
          <w:szCs w:val="16"/>
        </w:rPr>
        <w:t xml:space="preserve"> </w:t>
      </w:r>
      <w:r>
        <w:rPr>
          <w:rFonts w:ascii="Times New Roman" w:hAnsi="Times New Roman"/>
          <w:color w:val="0070C0"/>
          <w:sz w:val="16"/>
          <w:szCs w:val="16"/>
        </w:rPr>
        <w:t>м</w:t>
      </w:r>
      <w:r w:rsidRPr="006B74EB">
        <w:rPr>
          <w:rFonts w:ascii="Times New Roman" w:hAnsi="Times New Roman"/>
          <w:color w:val="0070C0"/>
          <w:sz w:val="16"/>
          <w:szCs w:val="16"/>
        </w:rPr>
        <w:t>аршруту: Мо</w:t>
      </w:r>
      <w:r>
        <w:rPr>
          <w:rFonts w:ascii="Times New Roman" w:hAnsi="Times New Roman"/>
          <w:color w:val="0070C0"/>
          <w:sz w:val="16"/>
          <w:szCs w:val="16"/>
        </w:rPr>
        <w:t>с</w:t>
      </w:r>
      <w:r w:rsidRPr="006B74EB">
        <w:rPr>
          <w:rFonts w:ascii="Times New Roman" w:hAnsi="Times New Roman"/>
          <w:color w:val="0070C0"/>
          <w:sz w:val="16"/>
          <w:szCs w:val="16"/>
        </w:rPr>
        <w:t>к</w:t>
      </w:r>
      <w:r>
        <w:rPr>
          <w:rFonts w:ascii="Times New Roman" w:hAnsi="Times New Roman"/>
          <w:color w:val="0070C0"/>
          <w:sz w:val="16"/>
          <w:szCs w:val="16"/>
        </w:rPr>
        <w:t>в</w:t>
      </w:r>
      <w:r w:rsidRPr="006B74EB">
        <w:rPr>
          <w:rFonts w:ascii="Times New Roman" w:hAnsi="Times New Roman"/>
          <w:color w:val="0070C0"/>
          <w:sz w:val="16"/>
          <w:szCs w:val="16"/>
        </w:rPr>
        <w:t>а-</w:t>
      </w:r>
      <w:proofErr w:type="spellStart"/>
      <w:r w:rsidRPr="006B74EB">
        <w:rPr>
          <w:rFonts w:ascii="Times New Roman" w:hAnsi="Times New Roman"/>
          <w:color w:val="0070C0"/>
          <w:sz w:val="16"/>
          <w:szCs w:val="16"/>
        </w:rPr>
        <w:t>Тра</w:t>
      </w:r>
      <w:r>
        <w:rPr>
          <w:rFonts w:ascii="Times New Roman" w:hAnsi="Times New Roman"/>
          <w:color w:val="0070C0"/>
          <w:sz w:val="16"/>
          <w:szCs w:val="16"/>
        </w:rPr>
        <w:t>вермюнде</w:t>
      </w:r>
      <w:proofErr w:type="spellEnd"/>
      <w:r w:rsidRPr="006B74EB">
        <w:rPr>
          <w:rFonts w:ascii="Times New Roman" w:hAnsi="Times New Roman"/>
          <w:color w:val="0070C0"/>
          <w:sz w:val="16"/>
          <w:szCs w:val="16"/>
        </w:rPr>
        <w:t>-Берл</w:t>
      </w:r>
      <w:r>
        <w:rPr>
          <w:rFonts w:ascii="Times New Roman" w:hAnsi="Times New Roman"/>
          <w:color w:val="0070C0"/>
          <w:sz w:val="16"/>
          <w:szCs w:val="16"/>
        </w:rPr>
        <w:t>ин-Париж-Марсель-Варшава</w:t>
      </w:r>
      <w:r w:rsidRPr="006B74EB">
        <w:rPr>
          <w:rFonts w:ascii="Times New Roman" w:hAnsi="Times New Roman"/>
          <w:color w:val="0070C0"/>
          <w:sz w:val="16"/>
          <w:szCs w:val="16"/>
        </w:rPr>
        <w:t>-Мо</w:t>
      </w:r>
      <w:r>
        <w:rPr>
          <w:rFonts w:ascii="Times New Roman" w:hAnsi="Times New Roman"/>
          <w:color w:val="0070C0"/>
          <w:sz w:val="16"/>
          <w:szCs w:val="16"/>
        </w:rPr>
        <w:t>ск</w:t>
      </w:r>
      <w:r w:rsidRPr="006B74EB">
        <w:rPr>
          <w:rFonts w:ascii="Times New Roman" w:hAnsi="Times New Roman"/>
          <w:color w:val="0070C0"/>
          <w:sz w:val="16"/>
          <w:szCs w:val="16"/>
        </w:rPr>
        <w:t>ва, покрыв расстояние 9</w:t>
      </w:r>
      <w:r>
        <w:rPr>
          <w:rFonts w:ascii="Times New Roman" w:hAnsi="Times New Roman"/>
          <w:color w:val="0070C0"/>
          <w:sz w:val="16"/>
          <w:szCs w:val="16"/>
        </w:rPr>
        <w:t>0</w:t>
      </w:r>
      <w:r w:rsidRPr="006B74EB">
        <w:rPr>
          <w:rFonts w:ascii="Times New Roman" w:hAnsi="Times New Roman"/>
          <w:color w:val="0070C0"/>
          <w:sz w:val="16"/>
          <w:szCs w:val="16"/>
        </w:rPr>
        <w:t>37 км за 53 летных часа со</w:t>
      </w:r>
      <w:r>
        <w:rPr>
          <w:rFonts w:ascii="Times New Roman" w:hAnsi="Times New Roman"/>
          <w:color w:val="0070C0"/>
          <w:sz w:val="16"/>
          <w:szCs w:val="16"/>
        </w:rPr>
        <w:t xml:space="preserve"> средней</w:t>
      </w:r>
      <w:r w:rsidRPr="006B74EB">
        <w:rPr>
          <w:rFonts w:ascii="Times New Roman" w:hAnsi="Times New Roman"/>
          <w:color w:val="0070C0"/>
          <w:sz w:val="16"/>
          <w:szCs w:val="16"/>
        </w:rPr>
        <w:t xml:space="preserve"> скоростью 17б км/час .Перелет был предпринят о целью показа </w:t>
      </w:r>
      <w:r>
        <w:rPr>
          <w:rFonts w:ascii="Times New Roman" w:hAnsi="Times New Roman"/>
          <w:color w:val="0070C0"/>
          <w:sz w:val="16"/>
          <w:szCs w:val="16"/>
        </w:rPr>
        <w:t>сов</w:t>
      </w:r>
      <w:r w:rsidRPr="006B74EB">
        <w:rPr>
          <w:rFonts w:ascii="Times New Roman" w:hAnsi="Times New Roman"/>
          <w:color w:val="0070C0"/>
          <w:sz w:val="16"/>
          <w:szCs w:val="16"/>
        </w:rPr>
        <w:t xml:space="preserve">етского трехмоторного пассажирского самолета </w:t>
      </w:r>
      <w:r>
        <w:rPr>
          <w:rFonts w:ascii="Times New Roman" w:hAnsi="Times New Roman"/>
          <w:color w:val="0070C0"/>
          <w:sz w:val="16"/>
          <w:szCs w:val="16"/>
        </w:rPr>
        <w:t>к</w:t>
      </w:r>
      <w:r w:rsidRPr="006B74EB">
        <w:rPr>
          <w:rFonts w:ascii="Times New Roman" w:hAnsi="Times New Roman"/>
          <w:color w:val="0070C0"/>
          <w:sz w:val="16"/>
          <w:szCs w:val="16"/>
        </w:rPr>
        <w:t xml:space="preserve">ак </w:t>
      </w:r>
      <w:proofErr w:type="spellStart"/>
      <w:r w:rsidRPr="006B74EB">
        <w:rPr>
          <w:rFonts w:ascii="Times New Roman" w:hAnsi="Times New Roman"/>
          <w:color w:val="0070C0"/>
          <w:sz w:val="16"/>
          <w:szCs w:val="16"/>
        </w:rPr>
        <w:t>доказателъ</w:t>
      </w:r>
      <w:r>
        <w:rPr>
          <w:rFonts w:ascii="Times New Roman" w:hAnsi="Times New Roman"/>
          <w:color w:val="0070C0"/>
          <w:sz w:val="16"/>
          <w:szCs w:val="16"/>
        </w:rPr>
        <w:t>ства</w:t>
      </w:r>
      <w:proofErr w:type="spellEnd"/>
      <w:r>
        <w:rPr>
          <w:rFonts w:ascii="Times New Roman" w:hAnsi="Times New Roman"/>
          <w:color w:val="0070C0"/>
          <w:sz w:val="16"/>
          <w:szCs w:val="16"/>
        </w:rPr>
        <w:t xml:space="preserve"> </w:t>
      </w:r>
      <w:r w:rsidRPr="006B74EB">
        <w:rPr>
          <w:rFonts w:ascii="Times New Roman" w:hAnsi="Times New Roman"/>
          <w:color w:val="0070C0"/>
          <w:sz w:val="16"/>
          <w:szCs w:val="16"/>
        </w:rPr>
        <w:t>успехов советской авиации .Перелет провел успешно.</w:t>
      </w:r>
    </w:p>
    <w:p w14:paraId="052D5B00" w14:textId="30E1F8DA" w:rsidR="00FA28D3" w:rsidRDefault="00FA28D3" w:rsidP="00FA28D3">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 xml:space="preserve">/"Известия ЦИК СССР" за 24 августа 1929; "Самолет", 1930 </w:t>
      </w:r>
      <w:r>
        <w:rPr>
          <w:rFonts w:ascii="Times New Roman" w:hAnsi="Times New Roman"/>
          <w:color w:val="0070C0"/>
          <w:sz w:val="16"/>
          <w:szCs w:val="16"/>
        </w:rPr>
        <w:t>№</w:t>
      </w:r>
      <w:r w:rsidRPr="006B74EB">
        <w:rPr>
          <w:rFonts w:ascii="Times New Roman" w:hAnsi="Times New Roman"/>
          <w:color w:val="0070C0"/>
          <w:sz w:val="16"/>
          <w:szCs w:val="16"/>
        </w:rPr>
        <w:t xml:space="preserve"> 1/</w:t>
      </w:r>
      <w:r>
        <w:rPr>
          <w:rFonts w:ascii="Times New Roman" w:hAnsi="Times New Roman"/>
          <w:color w:val="0070C0"/>
          <w:sz w:val="16"/>
          <w:szCs w:val="16"/>
        </w:rPr>
        <w:t xml:space="preserve"> (23370).</w:t>
      </w:r>
    </w:p>
    <w:p w14:paraId="6814831B" w14:textId="77777777" w:rsidR="00FA28D3" w:rsidRDefault="00FA28D3" w:rsidP="00FA28D3">
      <w:pPr>
        <w:spacing w:after="0" w:line="240" w:lineRule="auto"/>
        <w:jc w:val="both"/>
        <w:rPr>
          <w:rFonts w:ascii="Times New Roman" w:hAnsi="Times New Roman"/>
          <w:color w:val="0070C0"/>
          <w:sz w:val="16"/>
          <w:szCs w:val="16"/>
        </w:rPr>
      </w:pPr>
    </w:p>
    <w:p w14:paraId="0FD6F0B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августа 1929 в 2 часа ночи “Страна Советов” стартовала, чтобы успеть прибыть в Омск до наступления темноты. Вначале полет проходил вполне благопри</w:t>
      </w:r>
      <w:r w:rsidRPr="00A259BD">
        <w:rPr>
          <w:rFonts w:ascii="Times New Roman" w:hAnsi="Times New Roman"/>
          <w:color w:val="000000" w:themeColor="text1"/>
          <w:sz w:val="16"/>
          <w:szCs w:val="16"/>
        </w:rPr>
        <w:softHyphen/>
        <w:t>ятно. Когда пересекали Уральские горы, машину неожиданно атаковал орел. Безрас</w:t>
      </w:r>
      <w:r w:rsidRPr="00A259BD">
        <w:rPr>
          <w:rFonts w:ascii="Times New Roman" w:hAnsi="Times New Roman"/>
          <w:color w:val="000000" w:themeColor="text1"/>
          <w:sz w:val="16"/>
          <w:szCs w:val="16"/>
        </w:rPr>
        <w:softHyphen/>
        <w:t>судная птица разбилась о переднюю кромку крыла, оставив в ней вмятину, но если бы уго</w:t>
      </w:r>
      <w:r w:rsidRPr="00A259BD">
        <w:rPr>
          <w:rFonts w:ascii="Times New Roman" w:hAnsi="Times New Roman"/>
          <w:color w:val="000000" w:themeColor="text1"/>
          <w:sz w:val="16"/>
          <w:szCs w:val="16"/>
        </w:rPr>
        <w:softHyphen/>
        <w:t>дила немного в сторону, то вдребезги разнес</w:t>
      </w:r>
      <w:r w:rsidRPr="00A259BD">
        <w:rPr>
          <w:rFonts w:ascii="Times New Roman" w:hAnsi="Times New Roman"/>
          <w:color w:val="000000" w:themeColor="text1"/>
          <w:sz w:val="16"/>
          <w:szCs w:val="16"/>
        </w:rPr>
        <w:softHyphen/>
        <w:t>ла бы воздушный винт. Экипаж благополучно достиг Омска, где заночевал, а к вечеру 9 августа прибыл в Крас</w:t>
      </w:r>
      <w:r w:rsidRPr="00A259BD">
        <w:rPr>
          <w:rFonts w:ascii="Times New Roman" w:hAnsi="Times New Roman"/>
          <w:color w:val="000000" w:themeColor="text1"/>
          <w:sz w:val="16"/>
          <w:szCs w:val="16"/>
        </w:rPr>
        <w:softHyphen/>
        <w:t>ноярск. Следующий день не задался с самого ' утра. Сначала долго не могли запустить пра</w:t>
      </w:r>
      <w:r w:rsidRPr="00A259BD">
        <w:rPr>
          <w:rFonts w:ascii="Times New Roman" w:hAnsi="Times New Roman"/>
          <w:color w:val="000000" w:themeColor="text1"/>
          <w:sz w:val="16"/>
          <w:szCs w:val="16"/>
        </w:rPr>
        <w:softHyphen/>
        <w:t xml:space="preserve">вый двигатель. Наконец, в полдень вылетели, к заходу солнца подошли к </w:t>
      </w:r>
      <w:proofErr w:type="spellStart"/>
      <w:r w:rsidRPr="00A259BD">
        <w:rPr>
          <w:rFonts w:ascii="Times New Roman" w:hAnsi="Times New Roman"/>
          <w:color w:val="000000" w:themeColor="text1"/>
          <w:sz w:val="16"/>
          <w:szCs w:val="16"/>
        </w:rPr>
        <w:t>Верхнеудинску</w:t>
      </w:r>
      <w:proofErr w:type="spellEnd"/>
      <w:r w:rsidRPr="00A259BD">
        <w:rPr>
          <w:rFonts w:ascii="Times New Roman" w:hAnsi="Times New Roman"/>
          <w:color w:val="000000" w:themeColor="text1"/>
          <w:sz w:val="16"/>
          <w:szCs w:val="16"/>
        </w:rPr>
        <w:t xml:space="preserve"> и были готовы к посадке, однако Шестаков ре</w:t>
      </w:r>
      <w:r w:rsidRPr="00A259BD">
        <w:rPr>
          <w:rFonts w:ascii="Times New Roman" w:hAnsi="Times New Roman"/>
          <w:color w:val="000000" w:themeColor="text1"/>
          <w:sz w:val="16"/>
          <w:szCs w:val="16"/>
        </w:rPr>
        <w:softHyphen/>
        <w:t>шил лететь дальше до Читы. Но лучше бы он этого не делал. Во время возни с двигателем в Красноярске и при продолжительном полете со встречным ветром было израсходовано не</w:t>
      </w:r>
      <w:r w:rsidRPr="00A259BD">
        <w:rPr>
          <w:rFonts w:ascii="Times New Roman" w:hAnsi="Times New Roman"/>
          <w:color w:val="000000" w:themeColor="text1"/>
          <w:sz w:val="16"/>
          <w:szCs w:val="16"/>
        </w:rPr>
        <w:softHyphen/>
        <w:t>мало топлива, и дойти до Читы не удалось из-за полной выработки горючего. Вынужденная посадка на лес глубокой ночью при отсутствии даже лунного освещения, казалось бы, не ос</w:t>
      </w:r>
      <w:r w:rsidRPr="00A259BD">
        <w:rPr>
          <w:rFonts w:ascii="Times New Roman" w:hAnsi="Times New Roman"/>
          <w:color w:val="000000" w:themeColor="text1"/>
          <w:sz w:val="16"/>
          <w:szCs w:val="16"/>
        </w:rPr>
        <w:softHyphen/>
        <w:t>тавляла экипажу ни малейшего шанса уце</w:t>
      </w:r>
      <w:r w:rsidRPr="00A259BD">
        <w:rPr>
          <w:rFonts w:ascii="Times New Roman" w:hAnsi="Times New Roman"/>
          <w:color w:val="000000" w:themeColor="text1"/>
          <w:sz w:val="16"/>
          <w:szCs w:val="16"/>
        </w:rPr>
        <w:softHyphen/>
        <w:t>леть. Тем не менее, все четверо отделались лишь ушибами. Самолет к дальнейшему ис</w:t>
      </w:r>
      <w:r w:rsidRPr="00A259BD">
        <w:rPr>
          <w:rFonts w:ascii="Times New Roman" w:hAnsi="Times New Roman"/>
          <w:color w:val="000000" w:themeColor="text1"/>
          <w:sz w:val="16"/>
          <w:szCs w:val="16"/>
        </w:rPr>
        <w:softHyphen/>
        <w:t>пользованию, конечно же, не годился. Пешком с помощью местных жителей ави</w:t>
      </w:r>
      <w:r w:rsidRPr="00A259BD">
        <w:rPr>
          <w:rFonts w:ascii="Times New Roman" w:hAnsi="Times New Roman"/>
          <w:color w:val="000000" w:themeColor="text1"/>
          <w:sz w:val="16"/>
          <w:szCs w:val="16"/>
        </w:rPr>
        <w:softHyphen/>
        <w:t>аторы добрались до ближайшего села. Далее на поезде доехали до Иркутска, где Шестаков пересел на рейсовый самолет. Когда второй пилот, штурман и бортмеханик вышли на Ярославском вокзале Москвы, там их встре</w:t>
      </w:r>
      <w:r w:rsidRPr="00A259BD">
        <w:rPr>
          <w:rFonts w:ascii="Times New Roman" w:hAnsi="Times New Roman"/>
          <w:color w:val="000000" w:themeColor="text1"/>
          <w:sz w:val="16"/>
          <w:szCs w:val="16"/>
        </w:rPr>
        <w:softHyphen/>
        <w:t>чал прибывший сутками ранее Семен Шеста</w:t>
      </w:r>
      <w:r w:rsidRPr="00A259BD">
        <w:rPr>
          <w:rFonts w:ascii="Times New Roman" w:hAnsi="Times New Roman"/>
          <w:color w:val="000000" w:themeColor="text1"/>
          <w:sz w:val="16"/>
          <w:szCs w:val="16"/>
        </w:rPr>
        <w:softHyphen/>
        <w:t>ков. Он сообщил, что принято решение пере</w:t>
      </w:r>
      <w:r w:rsidRPr="00A259BD">
        <w:rPr>
          <w:rFonts w:ascii="Times New Roman" w:hAnsi="Times New Roman"/>
          <w:color w:val="000000" w:themeColor="text1"/>
          <w:sz w:val="16"/>
          <w:szCs w:val="16"/>
        </w:rPr>
        <w:softHyphen/>
        <w:t>лет в США завершить, для этого выделяется резервная машина АНТ-4 “Дублер”. В случае проблем с их самочувствием подготовлен ре</w:t>
      </w:r>
      <w:r w:rsidRPr="00A259BD">
        <w:rPr>
          <w:rFonts w:ascii="Times New Roman" w:hAnsi="Times New Roman"/>
          <w:color w:val="000000" w:themeColor="text1"/>
          <w:sz w:val="16"/>
          <w:szCs w:val="16"/>
        </w:rPr>
        <w:softHyphen/>
        <w:t xml:space="preserve">зервный экипаж в составе </w:t>
      </w:r>
      <w:proofErr w:type="spellStart"/>
      <w:r w:rsidRPr="00A259BD">
        <w:rPr>
          <w:rFonts w:ascii="Times New Roman" w:hAnsi="Times New Roman"/>
          <w:color w:val="000000" w:themeColor="text1"/>
          <w:sz w:val="16"/>
          <w:szCs w:val="16"/>
        </w:rPr>
        <w:t>Волковойнова</w:t>
      </w:r>
      <w:proofErr w:type="spellEnd"/>
      <w:r w:rsidRPr="00A259BD">
        <w:rPr>
          <w:rFonts w:ascii="Times New Roman" w:hAnsi="Times New Roman"/>
          <w:color w:val="000000" w:themeColor="text1"/>
          <w:sz w:val="16"/>
          <w:szCs w:val="16"/>
        </w:rPr>
        <w:t>, Бух-гольца и Данилина. Ответом стало единодуш</w:t>
      </w:r>
      <w:r w:rsidRPr="00A259BD">
        <w:rPr>
          <w:rFonts w:ascii="Times New Roman" w:hAnsi="Times New Roman"/>
          <w:color w:val="000000" w:themeColor="text1"/>
          <w:sz w:val="16"/>
          <w:szCs w:val="16"/>
        </w:rPr>
        <w:softHyphen/>
        <w:t xml:space="preserve">ное решение Болотова, Стерлигова и </w:t>
      </w:r>
      <w:proofErr w:type="spellStart"/>
      <w:r w:rsidRPr="00A259BD">
        <w:rPr>
          <w:rFonts w:ascii="Times New Roman" w:hAnsi="Times New Roman"/>
          <w:color w:val="000000" w:themeColor="text1"/>
          <w:sz w:val="16"/>
          <w:szCs w:val="16"/>
        </w:rPr>
        <w:t>Фуфаева</w:t>
      </w:r>
      <w:proofErr w:type="spellEnd"/>
      <w:r w:rsidRPr="00A259BD">
        <w:rPr>
          <w:rFonts w:ascii="Times New Roman" w:hAnsi="Times New Roman"/>
          <w:color w:val="000000" w:themeColor="text1"/>
          <w:sz w:val="16"/>
          <w:szCs w:val="16"/>
        </w:rPr>
        <w:t xml:space="preserve"> — лететь! 23 августа экипаж Шестакова отправился в путь на второй “Стране Сове</w:t>
      </w:r>
      <w:r w:rsidRPr="00A259BD">
        <w:rPr>
          <w:rFonts w:ascii="Times New Roman" w:hAnsi="Times New Roman"/>
          <w:color w:val="000000" w:themeColor="text1"/>
          <w:sz w:val="16"/>
          <w:szCs w:val="16"/>
        </w:rPr>
        <w:softHyphen/>
        <w:t>тов”. Провожатых на этот раз не было...Теперь полетные условия оказались куда более тяжелыми. Фактически в Сибири начина</w:t>
      </w:r>
      <w:r w:rsidRPr="00A259BD">
        <w:rPr>
          <w:rFonts w:ascii="Times New Roman" w:hAnsi="Times New Roman"/>
          <w:color w:val="000000" w:themeColor="text1"/>
          <w:sz w:val="16"/>
          <w:szCs w:val="16"/>
        </w:rPr>
        <w:softHyphen/>
        <w:t>лась осень, световой день стал заметно коро</w:t>
      </w:r>
      <w:r w:rsidRPr="00A259BD">
        <w:rPr>
          <w:rFonts w:ascii="Times New Roman" w:hAnsi="Times New Roman"/>
          <w:color w:val="000000" w:themeColor="text1"/>
          <w:sz w:val="16"/>
          <w:szCs w:val="16"/>
        </w:rPr>
        <w:softHyphen/>
        <w:t>че, а на маршруте приходилось постоянно по</w:t>
      </w:r>
      <w:r w:rsidRPr="00A259BD">
        <w:rPr>
          <w:rFonts w:ascii="Times New Roman" w:hAnsi="Times New Roman"/>
          <w:color w:val="000000" w:themeColor="text1"/>
          <w:sz w:val="16"/>
          <w:szCs w:val="16"/>
        </w:rPr>
        <w:softHyphen/>
        <w:t>падать в дожди и туманы. Кроме того, практи</w:t>
      </w:r>
      <w:r w:rsidRPr="00A259BD">
        <w:rPr>
          <w:rFonts w:ascii="Times New Roman" w:hAnsi="Times New Roman"/>
          <w:color w:val="000000" w:themeColor="text1"/>
          <w:sz w:val="16"/>
          <w:szCs w:val="16"/>
        </w:rPr>
        <w:softHyphen/>
        <w:t>чески сразу начались перебои в правом двигателе. Летчики перетянули Уральские горы и решили садиться в Челябинске. Здесь их не ждали, поэтому после устранения неисправ</w:t>
      </w:r>
      <w:r w:rsidRPr="00A259BD">
        <w:rPr>
          <w:rFonts w:ascii="Times New Roman" w:hAnsi="Times New Roman"/>
          <w:color w:val="000000" w:themeColor="text1"/>
          <w:sz w:val="16"/>
          <w:szCs w:val="16"/>
        </w:rPr>
        <w:softHyphen/>
        <w:t>ностей для дозаправки перелетели в Курган. Далее после посадок в Новосибирске и Крас</w:t>
      </w:r>
      <w:r w:rsidRPr="00A259BD">
        <w:rPr>
          <w:rFonts w:ascii="Times New Roman" w:hAnsi="Times New Roman"/>
          <w:color w:val="000000" w:themeColor="text1"/>
          <w:sz w:val="16"/>
          <w:szCs w:val="16"/>
        </w:rPr>
        <w:softHyphen/>
        <w:t>ноярске мотор вновь закапризничал. На его за</w:t>
      </w:r>
      <w:r w:rsidRPr="00A259BD">
        <w:rPr>
          <w:rFonts w:ascii="Times New Roman" w:hAnsi="Times New Roman"/>
          <w:color w:val="000000" w:themeColor="text1"/>
          <w:sz w:val="16"/>
          <w:szCs w:val="16"/>
        </w:rPr>
        <w:softHyphen/>
        <w:t>мену в Иркутске ушло 3 дня, затем проследова</w:t>
      </w:r>
      <w:r w:rsidRPr="00A259BD">
        <w:rPr>
          <w:rFonts w:ascii="Times New Roman" w:hAnsi="Times New Roman"/>
          <w:color w:val="000000" w:themeColor="text1"/>
          <w:sz w:val="16"/>
          <w:szCs w:val="16"/>
        </w:rPr>
        <w:softHyphen/>
        <w:t xml:space="preserve">ли через </w:t>
      </w:r>
      <w:proofErr w:type="spellStart"/>
      <w:r w:rsidRPr="00A259BD">
        <w:rPr>
          <w:rFonts w:ascii="Times New Roman" w:hAnsi="Times New Roman"/>
          <w:color w:val="000000" w:themeColor="text1"/>
          <w:sz w:val="16"/>
          <w:szCs w:val="16"/>
        </w:rPr>
        <w:t>Верхнеудинск</w:t>
      </w:r>
      <w:proofErr w:type="spellEnd"/>
      <w:r w:rsidRPr="00A259BD">
        <w:rPr>
          <w:rFonts w:ascii="Times New Roman" w:hAnsi="Times New Roman"/>
          <w:color w:val="000000" w:themeColor="text1"/>
          <w:sz w:val="16"/>
          <w:szCs w:val="16"/>
        </w:rPr>
        <w:t>, Читу, Благовещенск и 3 сентября прибыли в Хабаровск. Здесь начинал</w:t>
      </w:r>
      <w:r w:rsidRPr="00A259BD">
        <w:rPr>
          <w:rFonts w:ascii="Times New Roman" w:hAnsi="Times New Roman"/>
          <w:color w:val="000000" w:themeColor="text1"/>
          <w:sz w:val="16"/>
          <w:szCs w:val="16"/>
        </w:rPr>
        <w:softHyphen/>
        <w:t>ся морской этап перелета, для чего следовало сменить колеса на поплавки. Проблемой ока</w:t>
      </w:r>
      <w:r w:rsidRPr="00A259BD">
        <w:rPr>
          <w:rFonts w:ascii="Times New Roman" w:hAnsi="Times New Roman"/>
          <w:color w:val="000000" w:themeColor="text1"/>
          <w:sz w:val="16"/>
          <w:szCs w:val="16"/>
        </w:rPr>
        <w:softHyphen/>
        <w:t>залась доставка самолета с аэродрома на Амур. Машину с почти тридцатиметровым раз</w:t>
      </w:r>
      <w:r w:rsidRPr="00A259BD">
        <w:rPr>
          <w:rFonts w:ascii="Times New Roman" w:hAnsi="Times New Roman"/>
          <w:color w:val="000000" w:themeColor="text1"/>
          <w:sz w:val="16"/>
          <w:szCs w:val="16"/>
        </w:rPr>
        <w:softHyphen/>
        <w:t>махом крыла пришлось буксировать к реке в обход города, устраняя по пути неровности и препятствия. Наконец, через 2 дня добрались до базы Амурской речной флотилии, где прис</w:t>
      </w:r>
      <w:r w:rsidRPr="00A259BD">
        <w:rPr>
          <w:rFonts w:ascii="Times New Roman" w:hAnsi="Times New Roman"/>
          <w:color w:val="000000" w:themeColor="text1"/>
          <w:sz w:val="16"/>
          <w:szCs w:val="16"/>
        </w:rPr>
        <w:softHyphen/>
        <w:t>тупили к смене двигателей и установке поплав</w:t>
      </w:r>
      <w:r w:rsidRPr="00A259BD">
        <w:rPr>
          <w:rFonts w:ascii="Times New Roman" w:hAnsi="Times New Roman"/>
          <w:color w:val="000000" w:themeColor="text1"/>
          <w:sz w:val="16"/>
          <w:szCs w:val="16"/>
        </w:rPr>
        <w:softHyphen/>
        <w:t>ков. Одновременно машину оснастили радио</w:t>
      </w:r>
      <w:r w:rsidRPr="00A259BD">
        <w:rPr>
          <w:rFonts w:ascii="Times New Roman" w:hAnsi="Times New Roman"/>
          <w:color w:val="000000" w:themeColor="text1"/>
          <w:sz w:val="16"/>
          <w:szCs w:val="16"/>
        </w:rPr>
        <w:softHyphen/>
        <w:t>станцией для связи с морскими судами и пор</w:t>
      </w:r>
      <w:r w:rsidRPr="00A259BD">
        <w:rPr>
          <w:rFonts w:ascii="Times New Roman" w:hAnsi="Times New Roman"/>
          <w:color w:val="000000" w:themeColor="text1"/>
          <w:sz w:val="16"/>
          <w:szCs w:val="16"/>
        </w:rPr>
        <w:softHyphen/>
        <w:t>тами. При полете над Сибирью радиосвязь не велась по причине отсутствия там аэродром</w:t>
      </w:r>
      <w:r w:rsidRPr="00A259BD">
        <w:rPr>
          <w:rFonts w:ascii="Times New Roman" w:hAnsi="Times New Roman"/>
          <w:color w:val="000000" w:themeColor="text1"/>
          <w:sz w:val="16"/>
          <w:szCs w:val="16"/>
        </w:rPr>
        <w:softHyphen/>
        <w:t>ных радиостанций. Самолетная рация работа</w:t>
      </w:r>
      <w:r w:rsidRPr="00A259BD">
        <w:rPr>
          <w:rFonts w:ascii="Times New Roman" w:hAnsi="Times New Roman"/>
          <w:color w:val="000000" w:themeColor="text1"/>
          <w:sz w:val="16"/>
          <w:szCs w:val="16"/>
        </w:rPr>
        <w:softHyphen/>
        <w:t>ла в телеграфном режиме, поэтому Стерлигову пришлось в короткий срок изучить работу на телеграфном ключе (по нормам, требовалось принимать не менее 100 знаков в минуту). Погода в Хабаровске стояла прекрасная, поэтому экипаж даже смог искупаться в Аму</w:t>
      </w:r>
      <w:r w:rsidRPr="00A259BD">
        <w:rPr>
          <w:rFonts w:ascii="Times New Roman" w:hAnsi="Times New Roman"/>
          <w:color w:val="000000" w:themeColor="text1"/>
          <w:sz w:val="16"/>
          <w:szCs w:val="16"/>
        </w:rPr>
        <w:softHyphen/>
        <w:t>ре. В эти дни Шестаков с Болотовым крепко повздорили. Дело заключалось в том, что при полете над водой Болотов, как опытный мор</w:t>
      </w:r>
      <w:r w:rsidRPr="00A259BD">
        <w:rPr>
          <w:rFonts w:ascii="Times New Roman" w:hAnsi="Times New Roman"/>
          <w:color w:val="000000" w:themeColor="text1"/>
          <w:sz w:val="16"/>
          <w:szCs w:val="16"/>
        </w:rPr>
        <w:softHyphen/>
        <w:t>ской летчик, должен был сидеть в левом крес</w:t>
      </w:r>
      <w:r w:rsidRPr="00A259BD">
        <w:rPr>
          <w:rFonts w:ascii="Times New Roman" w:hAnsi="Times New Roman"/>
          <w:color w:val="000000" w:themeColor="text1"/>
          <w:sz w:val="16"/>
          <w:szCs w:val="16"/>
        </w:rPr>
        <w:softHyphen/>
        <w:t>ле. Однако Шестаков посчитал это посяга</w:t>
      </w:r>
      <w:r w:rsidRPr="00A259BD">
        <w:rPr>
          <w:rFonts w:ascii="Times New Roman" w:hAnsi="Times New Roman"/>
          <w:color w:val="000000" w:themeColor="text1"/>
          <w:sz w:val="16"/>
          <w:szCs w:val="16"/>
        </w:rPr>
        <w:softHyphen/>
        <w:t>тельством на свои командирские права и рез</w:t>
      </w:r>
      <w:r w:rsidRPr="00A259BD">
        <w:rPr>
          <w:rFonts w:ascii="Times New Roman" w:hAnsi="Times New Roman"/>
          <w:color w:val="000000" w:themeColor="text1"/>
          <w:sz w:val="16"/>
          <w:szCs w:val="16"/>
        </w:rPr>
        <w:softHyphen/>
        <w:t>ко воспротивился. Разбирательство дошло до Москвы, и Климент Ворошилов лично телегра</w:t>
      </w:r>
      <w:r w:rsidRPr="00A259BD">
        <w:rPr>
          <w:rFonts w:ascii="Times New Roman" w:hAnsi="Times New Roman"/>
          <w:color w:val="000000" w:themeColor="text1"/>
          <w:sz w:val="16"/>
          <w:szCs w:val="16"/>
        </w:rPr>
        <w:softHyphen/>
        <w:t>фировал Шестакову, что во время морского участка перелета ему придется сидеть справа (11286).</w:t>
      </w:r>
    </w:p>
    <w:p w14:paraId="43DCB9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BF7F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августа 1929 г. экипаж Шестакова стартовал с Центрального аэродрома на ТБ-1 в США. На подлете к Уралу "Страну Советов" атаковал орел, в результате на передней кромке правого крыла осталась заметная вмятина. До Красноярска добрались без особых проблем. На взлете забарахлил мотор, но вскоре обороты пришли </w:t>
      </w:r>
      <w:r w:rsidRPr="00A259BD">
        <w:rPr>
          <w:rFonts w:ascii="Times New Roman" w:hAnsi="Times New Roman"/>
          <w:color w:val="000000" w:themeColor="text1"/>
          <w:sz w:val="16"/>
          <w:szCs w:val="16"/>
        </w:rPr>
        <w:lastRenderedPageBreak/>
        <w:t xml:space="preserve">в норму. Очередная посадка предполагалась в </w:t>
      </w:r>
      <w:proofErr w:type="spellStart"/>
      <w:r w:rsidRPr="00A259BD">
        <w:rPr>
          <w:rFonts w:ascii="Times New Roman" w:hAnsi="Times New Roman"/>
          <w:color w:val="000000" w:themeColor="text1"/>
          <w:sz w:val="16"/>
          <w:szCs w:val="16"/>
        </w:rPr>
        <w:t>Верхнеудинске</w:t>
      </w:r>
      <w:proofErr w:type="spellEnd"/>
      <w:r w:rsidRPr="00A259BD">
        <w:rPr>
          <w:rFonts w:ascii="Times New Roman" w:hAnsi="Times New Roman"/>
          <w:color w:val="000000" w:themeColor="text1"/>
          <w:sz w:val="16"/>
          <w:szCs w:val="16"/>
        </w:rPr>
        <w:t>, однако Шестаков при поддержке Болотова принял решение лететь дальше, в Читу. Стерлигов возражал, поскольку, по расчетам, прибыть туда можно было только ночью. И оказался прав - в темноте экипаж заблудился. Когда сожгли весь бензин, пришлось садиться на склоне сопки. Летчики не пострадали, но машина была искорежена. В ближайшем селе узнали, что находятся в 80 км от Читы. Шестаков получил приказ срочно прибыть в Москву и был отправлен туда самолетом. Остальные ехали поездом. На вокзале их встретил командир, сообщивший: "Готов другой самолет, завтра с рассветом вылетаем!" Остается неясным, были ли обе машины заранее сделаны внешне идентичными, или "дублер" спешно доводили, пока поезд шел от Читы до Москвы. Во всяком случае, на фотографиях разницы между двумя экземплярами "Страны Советов" совершенно не заметно (12001).</w:t>
      </w:r>
    </w:p>
    <w:p w14:paraId="1E8FCD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B87BD4" w14:textId="77777777" w:rsidR="00270173" w:rsidRPr="00A259BD" w:rsidRDefault="0027017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августа в 1929 году экипаж Шестакова на «ТБ-1» («АНТ-4» Страна Советов) стартовал с Центрального аэродрома. На подлете к Уралу "Страну Советов" атаковал орел, в результате на передней кромке правого крыла осталась заметная вмятина. До Красноярска добрались без особых проблем. На взлете забарахлил мотор, но вскоре обороты пришли в норму. Очередная посадка предполагалась в </w:t>
      </w:r>
      <w:proofErr w:type="spellStart"/>
      <w:r w:rsidRPr="00A259BD">
        <w:rPr>
          <w:rFonts w:ascii="Times New Roman" w:hAnsi="Times New Roman"/>
          <w:color w:val="000000" w:themeColor="text1"/>
          <w:sz w:val="16"/>
          <w:szCs w:val="16"/>
        </w:rPr>
        <w:t>Верхнеудинске</w:t>
      </w:r>
      <w:proofErr w:type="spellEnd"/>
      <w:r w:rsidRPr="00A259BD">
        <w:rPr>
          <w:rFonts w:ascii="Times New Roman" w:hAnsi="Times New Roman"/>
          <w:color w:val="000000" w:themeColor="text1"/>
          <w:sz w:val="16"/>
          <w:szCs w:val="16"/>
        </w:rPr>
        <w:t>, однако Шестаков при поддержке Болотова принял решение лететь дальше, в Читу. Стерлигов возражал, поскольку, по расчетам, прибыть туда можно было только ночью. И оказался прав - в темноте экипаж заблудился. Когда сожгли весь бензин, пришлось садиться на склоне сопки. Летчики не пострадали, но машина была искорежена (14977).</w:t>
      </w:r>
    </w:p>
    <w:p w14:paraId="79732D08" w14:textId="77777777" w:rsidR="00270173" w:rsidRPr="00A259BD" w:rsidRDefault="00270173" w:rsidP="009236E3">
      <w:pPr>
        <w:spacing w:after="0" w:line="240" w:lineRule="auto"/>
        <w:jc w:val="both"/>
        <w:rPr>
          <w:rFonts w:ascii="Times New Roman" w:hAnsi="Times New Roman"/>
          <w:color w:val="000000" w:themeColor="text1"/>
          <w:sz w:val="16"/>
          <w:szCs w:val="16"/>
        </w:rPr>
      </w:pPr>
    </w:p>
    <w:p w14:paraId="7FA4EDFB" w14:textId="132E82B5" w:rsidR="00900815" w:rsidRPr="006B74EB" w:rsidRDefault="00900815" w:rsidP="00900815">
      <w:pPr>
        <w:spacing w:after="0" w:line="240" w:lineRule="auto"/>
        <w:jc w:val="both"/>
        <w:rPr>
          <w:rFonts w:ascii="Times New Roman" w:hAnsi="Times New Roman"/>
          <w:color w:val="0070C0"/>
          <w:sz w:val="16"/>
          <w:szCs w:val="16"/>
        </w:rPr>
      </w:pPr>
      <w:bookmarkStart w:id="79" w:name="bookmark14"/>
      <w:r>
        <w:rPr>
          <w:rFonts w:ascii="Times New Roman" w:hAnsi="Times New Roman"/>
          <w:color w:val="0070C0"/>
          <w:sz w:val="16"/>
          <w:szCs w:val="16"/>
        </w:rPr>
        <w:t xml:space="preserve">8 августа 1929 г. </w:t>
      </w:r>
      <w:bookmarkEnd w:id="79"/>
      <w:proofErr w:type="spellStart"/>
      <w:r w:rsidRPr="006B74EB">
        <w:rPr>
          <w:rFonts w:ascii="Times New Roman" w:hAnsi="Times New Roman"/>
          <w:color w:val="0070C0"/>
          <w:sz w:val="16"/>
          <w:szCs w:val="16"/>
        </w:rPr>
        <w:t>воеиные</w:t>
      </w:r>
      <w:proofErr w:type="spellEnd"/>
      <w:r w:rsidRPr="006B74EB">
        <w:rPr>
          <w:rFonts w:ascii="Times New Roman" w:hAnsi="Times New Roman"/>
          <w:color w:val="0070C0"/>
          <w:sz w:val="16"/>
          <w:szCs w:val="16"/>
        </w:rPr>
        <w:t xml:space="preserve"> летчики </w:t>
      </w:r>
      <w:r>
        <w:rPr>
          <w:rFonts w:ascii="Times New Roman" w:hAnsi="Times New Roman"/>
          <w:color w:val="0070C0"/>
          <w:sz w:val="16"/>
          <w:szCs w:val="16"/>
        </w:rPr>
        <w:t>С</w:t>
      </w:r>
      <w:r w:rsidRPr="006B74EB">
        <w:rPr>
          <w:rFonts w:ascii="Times New Roman" w:hAnsi="Times New Roman"/>
          <w:color w:val="0070C0"/>
          <w:sz w:val="16"/>
          <w:szCs w:val="16"/>
        </w:rPr>
        <w:t>еме</w:t>
      </w:r>
      <w:r>
        <w:rPr>
          <w:rFonts w:ascii="Times New Roman" w:hAnsi="Times New Roman"/>
          <w:color w:val="0070C0"/>
          <w:sz w:val="16"/>
          <w:szCs w:val="16"/>
        </w:rPr>
        <w:t>н</w:t>
      </w:r>
      <w:r w:rsidRPr="006B74EB">
        <w:rPr>
          <w:rFonts w:ascii="Times New Roman" w:hAnsi="Times New Roman"/>
          <w:color w:val="0070C0"/>
          <w:sz w:val="16"/>
          <w:szCs w:val="16"/>
        </w:rPr>
        <w:t xml:space="preserve"> Александрович Шестаков и Филипп </w:t>
      </w:r>
      <w:r>
        <w:rPr>
          <w:rFonts w:ascii="Times New Roman" w:hAnsi="Times New Roman"/>
          <w:color w:val="0070C0"/>
          <w:sz w:val="16"/>
          <w:szCs w:val="16"/>
        </w:rPr>
        <w:t>Ефимович</w:t>
      </w:r>
      <w:r w:rsidRPr="006B74EB">
        <w:rPr>
          <w:rFonts w:ascii="Times New Roman" w:hAnsi="Times New Roman"/>
          <w:color w:val="0070C0"/>
          <w:sz w:val="16"/>
          <w:szCs w:val="16"/>
        </w:rPr>
        <w:t xml:space="preserve"> Болотов /морской/,</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штурман Борис Васильевич Стерлигов и </w:t>
      </w:r>
      <w:r>
        <w:rPr>
          <w:rFonts w:ascii="Times New Roman" w:hAnsi="Times New Roman"/>
          <w:color w:val="0070C0"/>
          <w:sz w:val="16"/>
          <w:szCs w:val="16"/>
        </w:rPr>
        <w:t xml:space="preserve">механик </w:t>
      </w:r>
      <w:r w:rsidRPr="006B74EB">
        <w:rPr>
          <w:rFonts w:ascii="Times New Roman" w:hAnsi="Times New Roman"/>
          <w:color w:val="0070C0"/>
          <w:sz w:val="16"/>
          <w:szCs w:val="16"/>
        </w:rPr>
        <w:t>Дмитрий Ви</w:t>
      </w:r>
      <w:r>
        <w:rPr>
          <w:rFonts w:ascii="Times New Roman" w:hAnsi="Times New Roman"/>
          <w:color w:val="0070C0"/>
          <w:sz w:val="16"/>
          <w:szCs w:val="16"/>
        </w:rPr>
        <w:t>сс</w:t>
      </w:r>
      <w:r w:rsidRPr="006B74EB">
        <w:rPr>
          <w:rFonts w:ascii="Times New Roman" w:hAnsi="Times New Roman"/>
          <w:color w:val="0070C0"/>
          <w:sz w:val="16"/>
          <w:szCs w:val="16"/>
        </w:rPr>
        <w:t xml:space="preserve">арионович </w:t>
      </w:r>
      <w:proofErr w:type="spellStart"/>
      <w:r>
        <w:rPr>
          <w:rFonts w:ascii="Times New Roman" w:hAnsi="Times New Roman"/>
          <w:color w:val="0070C0"/>
          <w:sz w:val="16"/>
          <w:szCs w:val="16"/>
        </w:rPr>
        <w:t>Ф</w:t>
      </w:r>
      <w:r w:rsidRPr="006B74EB">
        <w:rPr>
          <w:rFonts w:ascii="Times New Roman" w:hAnsi="Times New Roman"/>
          <w:color w:val="0070C0"/>
          <w:sz w:val="16"/>
          <w:szCs w:val="16"/>
        </w:rPr>
        <w:t>уфа</w:t>
      </w:r>
      <w:r>
        <w:rPr>
          <w:rFonts w:ascii="Times New Roman" w:hAnsi="Times New Roman"/>
          <w:color w:val="0070C0"/>
          <w:sz w:val="16"/>
          <w:szCs w:val="16"/>
        </w:rPr>
        <w:t>е</w:t>
      </w:r>
      <w:r w:rsidRPr="006B74EB">
        <w:rPr>
          <w:rFonts w:ascii="Times New Roman" w:hAnsi="Times New Roman"/>
          <w:color w:val="0070C0"/>
          <w:sz w:val="16"/>
          <w:szCs w:val="16"/>
        </w:rPr>
        <w:t>в</w:t>
      </w:r>
      <w:proofErr w:type="spellEnd"/>
      <w:r w:rsidRPr="006B74EB">
        <w:rPr>
          <w:rFonts w:ascii="Times New Roman" w:hAnsi="Times New Roman"/>
          <w:color w:val="0070C0"/>
          <w:sz w:val="16"/>
          <w:szCs w:val="16"/>
        </w:rPr>
        <w:t xml:space="preserve"> на самолете AHT</w:t>
      </w:r>
      <w:r>
        <w:rPr>
          <w:rFonts w:ascii="Times New Roman" w:hAnsi="Times New Roman"/>
          <w:color w:val="0070C0"/>
          <w:sz w:val="16"/>
          <w:szCs w:val="16"/>
        </w:rPr>
        <w:t>-4</w:t>
      </w:r>
      <w:r w:rsidRPr="006B74EB">
        <w:rPr>
          <w:rFonts w:ascii="Times New Roman" w:hAnsi="Times New Roman"/>
          <w:color w:val="0070C0"/>
          <w:sz w:val="16"/>
          <w:szCs w:val="16"/>
        </w:rPr>
        <w:t xml:space="preserve"> "Страна </w:t>
      </w:r>
      <w:r>
        <w:rPr>
          <w:rFonts w:ascii="Times New Roman" w:hAnsi="Times New Roman"/>
          <w:color w:val="0070C0"/>
          <w:sz w:val="16"/>
          <w:szCs w:val="16"/>
        </w:rPr>
        <w:t>Советов</w:t>
      </w:r>
      <w:r w:rsidRPr="006B74EB">
        <w:rPr>
          <w:rFonts w:ascii="Times New Roman" w:hAnsi="Times New Roman"/>
          <w:color w:val="0070C0"/>
          <w:sz w:val="16"/>
          <w:szCs w:val="16"/>
        </w:rPr>
        <w:t>" предприняли перелет из Москвы в США и в тот же день бе</w:t>
      </w:r>
      <w:r>
        <w:rPr>
          <w:rFonts w:ascii="Times New Roman" w:hAnsi="Times New Roman"/>
          <w:color w:val="0070C0"/>
          <w:sz w:val="16"/>
          <w:szCs w:val="16"/>
        </w:rPr>
        <w:t>з посадки</w:t>
      </w:r>
      <w:r w:rsidRPr="006B74EB">
        <w:rPr>
          <w:rFonts w:ascii="Times New Roman" w:hAnsi="Times New Roman"/>
          <w:color w:val="0070C0"/>
          <w:sz w:val="16"/>
          <w:szCs w:val="16"/>
        </w:rPr>
        <w:t xml:space="preserve"> прилетели в Ом</w:t>
      </w:r>
      <w:r>
        <w:rPr>
          <w:rFonts w:ascii="Times New Roman" w:hAnsi="Times New Roman"/>
          <w:color w:val="0070C0"/>
          <w:sz w:val="16"/>
          <w:szCs w:val="16"/>
        </w:rPr>
        <w:t>ск</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пройдя расстояние 2200 </w:t>
      </w:r>
      <w:r>
        <w:rPr>
          <w:rFonts w:ascii="Times New Roman" w:hAnsi="Times New Roman"/>
          <w:color w:val="0070C0"/>
          <w:sz w:val="16"/>
          <w:szCs w:val="16"/>
        </w:rPr>
        <w:t>к</w:t>
      </w:r>
      <w:r w:rsidRPr="006B74EB">
        <w:rPr>
          <w:rFonts w:ascii="Times New Roman" w:hAnsi="Times New Roman"/>
          <w:color w:val="0070C0"/>
          <w:sz w:val="16"/>
          <w:szCs w:val="16"/>
        </w:rPr>
        <w:t xml:space="preserve">м по прямой за </w:t>
      </w:r>
      <w:r>
        <w:rPr>
          <w:rFonts w:ascii="Times New Roman" w:hAnsi="Times New Roman"/>
          <w:color w:val="0070C0"/>
          <w:sz w:val="16"/>
          <w:szCs w:val="16"/>
        </w:rPr>
        <w:t xml:space="preserve">13 ч. </w:t>
      </w:r>
      <w:r w:rsidRPr="006B74EB">
        <w:rPr>
          <w:rFonts w:ascii="Times New Roman" w:hAnsi="Times New Roman"/>
          <w:color w:val="0070C0"/>
          <w:sz w:val="16"/>
          <w:szCs w:val="16"/>
        </w:rPr>
        <w:t>53 минуты.</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В этом полете были установлены новые всесоюзные </w:t>
      </w:r>
      <w:r>
        <w:rPr>
          <w:rFonts w:ascii="Times New Roman" w:hAnsi="Times New Roman"/>
          <w:color w:val="0070C0"/>
          <w:sz w:val="16"/>
          <w:szCs w:val="16"/>
        </w:rPr>
        <w:t>рекор</w:t>
      </w:r>
      <w:r w:rsidRPr="006B74EB">
        <w:rPr>
          <w:rFonts w:ascii="Times New Roman" w:hAnsi="Times New Roman"/>
          <w:color w:val="0070C0"/>
          <w:sz w:val="16"/>
          <w:szCs w:val="16"/>
        </w:rPr>
        <w:t xml:space="preserve">ды продолжительности </w:t>
      </w:r>
      <w:r>
        <w:rPr>
          <w:rFonts w:ascii="Times New Roman" w:hAnsi="Times New Roman"/>
          <w:color w:val="0070C0"/>
          <w:sz w:val="16"/>
          <w:szCs w:val="16"/>
        </w:rPr>
        <w:t>и</w:t>
      </w:r>
      <w:r w:rsidRPr="006B74EB">
        <w:rPr>
          <w:rFonts w:ascii="Times New Roman" w:hAnsi="Times New Roman"/>
          <w:color w:val="0070C0"/>
          <w:sz w:val="16"/>
          <w:szCs w:val="16"/>
        </w:rPr>
        <w:t xml:space="preserve"> дальности полета по прямой</w:t>
      </w:r>
      <w:r>
        <w:rPr>
          <w:rFonts w:ascii="Times New Roman" w:hAnsi="Times New Roman"/>
          <w:color w:val="0070C0"/>
          <w:sz w:val="16"/>
          <w:szCs w:val="16"/>
        </w:rPr>
        <w:t>.</w:t>
      </w:r>
      <w:r w:rsidRPr="006B74EB">
        <w:rPr>
          <w:rFonts w:ascii="Times New Roman" w:hAnsi="Times New Roman"/>
          <w:color w:val="0070C0"/>
          <w:sz w:val="16"/>
          <w:szCs w:val="16"/>
        </w:rPr>
        <w:t xml:space="preserve"> В дальней</w:t>
      </w:r>
      <w:r>
        <w:rPr>
          <w:rFonts w:ascii="Times New Roman" w:hAnsi="Times New Roman"/>
          <w:color w:val="0070C0"/>
          <w:sz w:val="16"/>
          <w:szCs w:val="16"/>
        </w:rPr>
        <w:t>шем</w:t>
      </w:r>
      <w:r w:rsidRPr="006B74EB">
        <w:rPr>
          <w:rFonts w:ascii="Times New Roman" w:hAnsi="Times New Roman"/>
          <w:color w:val="0070C0"/>
          <w:sz w:val="16"/>
          <w:szCs w:val="16"/>
        </w:rPr>
        <w:t xml:space="preserve"> полете </w:t>
      </w:r>
      <w:r>
        <w:rPr>
          <w:rFonts w:ascii="Times New Roman" w:hAnsi="Times New Roman"/>
          <w:color w:val="0070C0"/>
          <w:sz w:val="16"/>
          <w:szCs w:val="16"/>
        </w:rPr>
        <w:t>н</w:t>
      </w:r>
      <w:r w:rsidRPr="006B74EB">
        <w:rPr>
          <w:rFonts w:ascii="Times New Roman" w:hAnsi="Times New Roman"/>
          <w:color w:val="0070C0"/>
          <w:sz w:val="16"/>
          <w:szCs w:val="16"/>
        </w:rPr>
        <w:t>а участке Краснояр</w:t>
      </w:r>
      <w:r>
        <w:rPr>
          <w:rFonts w:ascii="Times New Roman" w:hAnsi="Times New Roman"/>
          <w:color w:val="0070C0"/>
          <w:sz w:val="16"/>
          <w:szCs w:val="16"/>
        </w:rPr>
        <w:t>с</w:t>
      </w:r>
      <w:r w:rsidRPr="006B74EB">
        <w:rPr>
          <w:rFonts w:ascii="Times New Roman" w:hAnsi="Times New Roman"/>
          <w:color w:val="0070C0"/>
          <w:sz w:val="16"/>
          <w:szCs w:val="16"/>
        </w:rPr>
        <w:t xml:space="preserve">к-Чита </w:t>
      </w:r>
      <w:proofErr w:type="spellStart"/>
      <w:r>
        <w:rPr>
          <w:rFonts w:ascii="Times New Roman" w:hAnsi="Times New Roman"/>
          <w:color w:val="0070C0"/>
          <w:sz w:val="16"/>
          <w:szCs w:val="16"/>
        </w:rPr>
        <w:t>э</w:t>
      </w:r>
      <w:r w:rsidRPr="006B74EB">
        <w:rPr>
          <w:rFonts w:ascii="Times New Roman" w:hAnsi="Times New Roman"/>
          <w:color w:val="0070C0"/>
          <w:sz w:val="16"/>
          <w:szCs w:val="16"/>
        </w:rPr>
        <w:t>кипах</w:t>
      </w:r>
      <w:proofErr w:type="spellEnd"/>
      <w:r w:rsidRPr="006B74EB">
        <w:rPr>
          <w:rFonts w:ascii="Times New Roman" w:hAnsi="Times New Roman"/>
          <w:color w:val="0070C0"/>
          <w:sz w:val="16"/>
          <w:szCs w:val="16"/>
        </w:rPr>
        <w:t xml:space="preserve"> попал в полосу лесных </w:t>
      </w:r>
      <w:r>
        <w:rPr>
          <w:rFonts w:ascii="Times New Roman" w:hAnsi="Times New Roman"/>
          <w:color w:val="0070C0"/>
          <w:sz w:val="16"/>
          <w:szCs w:val="16"/>
        </w:rPr>
        <w:t>пожа</w:t>
      </w:r>
      <w:r w:rsidRPr="006B74EB">
        <w:rPr>
          <w:rFonts w:ascii="Times New Roman" w:hAnsi="Times New Roman"/>
          <w:color w:val="0070C0"/>
          <w:sz w:val="16"/>
          <w:szCs w:val="16"/>
        </w:rPr>
        <w:t>ров,</w:t>
      </w:r>
      <w:r>
        <w:rPr>
          <w:rFonts w:ascii="Times New Roman" w:hAnsi="Times New Roman"/>
          <w:color w:val="0070C0"/>
          <w:sz w:val="16"/>
          <w:szCs w:val="16"/>
        </w:rPr>
        <w:t xml:space="preserve"> </w:t>
      </w:r>
      <w:r w:rsidRPr="006B74EB">
        <w:rPr>
          <w:rFonts w:ascii="Times New Roman" w:hAnsi="Times New Roman"/>
          <w:color w:val="0070C0"/>
          <w:sz w:val="16"/>
          <w:szCs w:val="16"/>
        </w:rPr>
        <w:t>затрудняющих видимость,</w:t>
      </w:r>
      <w:r>
        <w:rPr>
          <w:rFonts w:ascii="Times New Roman" w:hAnsi="Times New Roman"/>
          <w:color w:val="0070C0"/>
          <w:sz w:val="16"/>
          <w:szCs w:val="16"/>
        </w:rPr>
        <w:t xml:space="preserve"> </w:t>
      </w:r>
      <w:r w:rsidRPr="006B74EB">
        <w:rPr>
          <w:rFonts w:ascii="Times New Roman" w:hAnsi="Times New Roman"/>
          <w:color w:val="0070C0"/>
          <w:sz w:val="16"/>
          <w:szCs w:val="16"/>
        </w:rPr>
        <w:t>и потерял ориентировку,</w:t>
      </w:r>
      <w:r>
        <w:rPr>
          <w:rFonts w:ascii="Times New Roman" w:hAnsi="Times New Roman"/>
          <w:color w:val="0070C0"/>
          <w:sz w:val="16"/>
          <w:szCs w:val="16"/>
        </w:rPr>
        <w:t xml:space="preserve"> К</w:t>
      </w:r>
      <w:r w:rsidRPr="006B74EB">
        <w:rPr>
          <w:rFonts w:ascii="Times New Roman" w:hAnsi="Times New Roman"/>
          <w:color w:val="0070C0"/>
          <w:sz w:val="16"/>
          <w:szCs w:val="16"/>
        </w:rPr>
        <w:t xml:space="preserve">огда </w:t>
      </w:r>
      <w:proofErr w:type="spellStart"/>
      <w:r w:rsidRPr="006B74EB">
        <w:rPr>
          <w:rFonts w:ascii="Times New Roman" w:hAnsi="Times New Roman"/>
          <w:color w:val="0070C0"/>
          <w:sz w:val="16"/>
          <w:szCs w:val="16"/>
        </w:rPr>
        <w:t>во</w:t>
      </w:r>
      <w:r>
        <w:rPr>
          <w:rFonts w:ascii="Times New Roman" w:hAnsi="Times New Roman"/>
          <w:color w:val="0070C0"/>
          <w:sz w:val="16"/>
          <w:szCs w:val="16"/>
        </w:rPr>
        <w:t>сстано</w:t>
      </w:r>
      <w:r w:rsidRPr="006B74EB">
        <w:rPr>
          <w:rFonts w:ascii="Times New Roman" w:hAnsi="Times New Roman"/>
          <w:color w:val="0070C0"/>
          <w:sz w:val="16"/>
          <w:szCs w:val="16"/>
        </w:rPr>
        <w:t>ввл</w:t>
      </w:r>
      <w:proofErr w:type="spellEnd"/>
      <w:r w:rsidRPr="006B74EB">
        <w:rPr>
          <w:rFonts w:ascii="Times New Roman" w:hAnsi="Times New Roman"/>
          <w:color w:val="0070C0"/>
          <w:sz w:val="16"/>
          <w:szCs w:val="16"/>
        </w:rPr>
        <w:t xml:space="preserve"> ее - кончилось гор</w:t>
      </w:r>
      <w:r>
        <w:rPr>
          <w:rFonts w:ascii="Times New Roman" w:hAnsi="Times New Roman"/>
          <w:color w:val="0070C0"/>
          <w:sz w:val="16"/>
          <w:szCs w:val="16"/>
        </w:rPr>
        <w:t>ю</w:t>
      </w:r>
      <w:r w:rsidRPr="006B74EB">
        <w:rPr>
          <w:rFonts w:ascii="Times New Roman" w:hAnsi="Times New Roman"/>
          <w:color w:val="0070C0"/>
          <w:sz w:val="16"/>
          <w:szCs w:val="16"/>
        </w:rPr>
        <w:t>чее.</w:t>
      </w:r>
      <w:r>
        <w:rPr>
          <w:rFonts w:ascii="Times New Roman" w:hAnsi="Times New Roman"/>
          <w:color w:val="0070C0"/>
          <w:sz w:val="16"/>
          <w:szCs w:val="16"/>
        </w:rPr>
        <w:t xml:space="preserve"> П</w:t>
      </w:r>
      <w:r w:rsidRPr="006B74EB">
        <w:rPr>
          <w:rFonts w:ascii="Times New Roman" w:hAnsi="Times New Roman"/>
          <w:color w:val="0070C0"/>
          <w:sz w:val="16"/>
          <w:szCs w:val="16"/>
        </w:rPr>
        <w:t xml:space="preserve">олет был прерван вынужденной </w:t>
      </w:r>
      <w:proofErr w:type="spellStart"/>
      <w:r w:rsidRPr="006B74EB">
        <w:rPr>
          <w:rFonts w:ascii="Times New Roman" w:hAnsi="Times New Roman"/>
          <w:color w:val="0070C0"/>
          <w:sz w:val="16"/>
          <w:szCs w:val="16"/>
        </w:rPr>
        <w:t>по</w:t>
      </w:r>
      <w:r>
        <w:rPr>
          <w:rFonts w:ascii="Times New Roman" w:hAnsi="Times New Roman"/>
          <w:color w:val="0070C0"/>
          <w:sz w:val="16"/>
          <w:szCs w:val="16"/>
        </w:rPr>
        <w:t>салдк</w:t>
      </w:r>
      <w:r w:rsidRPr="006B74EB">
        <w:rPr>
          <w:rFonts w:ascii="Times New Roman" w:hAnsi="Times New Roman"/>
          <w:color w:val="0070C0"/>
          <w:sz w:val="16"/>
          <w:szCs w:val="16"/>
        </w:rPr>
        <w:t>ой</w:t>
      </w:r>
      <w:proofErr w:type="spellEnd"/>
      <w:r w:rsidRPr="006B74EB">
        <w:rPr>
          <w:rFonts w:ascii="Times New Roman" w:hAnsi="Times New Roman"/>
          <w:color w:val="0070C0"/>
          <w:sz w:val="16"/>
          <w:szCs w:val="16"/>
        </w:rPr>
        <w:t xml:space="preserve"> в тайге в районе Читы.</w:t>
      </w:r>
    </w:p>
    <w:p w14:paraId="754AAD8B" w14:textId="77777777" w:rsidR="00900815" w:rsidRDefault="00900815" w:rsidP="00900815">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w:t>
      </w:r>
      <w:r>
        <w:rPr>
          <w:rFonts w:ascii="Times New Roman" w:hAnsi="Times New Roman"/>
          <w:color w:val="0070C0"/>
          <w:sz w:val="16"/>
          <w:szCs w:val="16"/>
        </w:rPr>
        <w:t>«</w:t>
      </w:r>
      <w:r w:rsidRPr="006B74EB">
        <w:rPr>
          <w:rFonts w:ascii="Times New Roman" w:hAnsi="Times New Roman"/>
          <w:color w:val="0070C0"/>
          <w:sz w:val="16"/>
          <w:szCs w:val="16"/>
        </w:rPr>
        <w:t>Красная звезда» за 21 августа 1929 г.,</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статья </w:t>
      </w:r>
      <w:proofErr w:type="spellStart"/>
      <w:r w:rsidRPr="006B74EB">
        <w:rPr>
          <w:rFonts w:ascii="Times New Roman" w:hAnsi="Times New Roman"/>
          <w:color w:val="0070C0"/>
          <w:sz w:val="16"/>
          <w:szCs w:val="16"/>
        </w:rPr>
        <w:t>С.А.Шестакова</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(23370).</w:t>
      </w:r>
    </w:p>
    <w:p w14:paraId="4CF094F9" w14:textId="77777777" w:rsidR="00900815" w:rsidRPr="006B74EB" w:rsidRDefault="00900815" w:rsidP="00900815">
      <w:pPr>
        <w:spacing w:after="0" w:line="240" w:lineRule="auto"/>
        <w:jc w:val="both"/>
        <w:rPr>
          <w:rFonts w:ascii="Times New Roman" w:hAnsi="Times New Roman"/>
          <w:color w:val="0070C0"/>
          <w:sz w:val="16"/>
          <w:szCs w:val="16"/>
        </w:rPr>
      </w:pPr>
    </w:p>
    <w:p w14:paraId="035D2E7E" w14:textId="77777777" w:rsidR="00943B1F" w:rsidRPr="00441F34" w:rsidRDefault="00943B1F" w:rsidP="00943B1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 августа 1929 г. в 2 часа 55 минут голо</w:t>
      </w:r>
      <w:r w:rsidRPr="00441F34">
        <w:rPr>
          <w:rFonts w:ascii="Times New Roman" w:hAnsi="Times New Roman"/>
          <w:color w:val="0070C0"/>
          <w:sz w:val="16"/>
          <w:szCs w:val="16"/>
        </w:rPr>
        <w:softHyphen/>
        <w:t>вной серийный самолет АНТ-4 №601 под назва</w:t>
      </w:r>
      <w:r w:rsidRPr="00441F34">
        <w:rPr>
          <w:rFonts w:ascii="Times New Roman" w:hAnsi="Times New Roman"/>
          <w:color w:val="0070C0"/>
          <w:sz w:val="16"/>
          <w:szCs w:val="16"/>
        </w:rPr>
        <w:softHyphen/>
        <w:t>нием «Страна Советов» стартовал из Москвы. Маршрут: Москва — Омск — Хаба</w:t>
      </w:r>
      <w:r w:rsidRPr="00441F34">
        <w:rPr>
          <w:rFonts w:ascii="Times New Roman" w:hAnsi="Times New Roman"/>
          <w:color w:val="0070C0"/>
          <w:sz w:val="16"/>
          <w:szCs w:val="16"/>
        </w:rPr>
        <w:softHyphen/>
        <w:t>ровск (перестановка на поплавки) — Пет</w:t>
      </w:r>
      <w:r w:rsidRPr="00441F34">
        <w:rPr>
          <w:rFonts w:ascii="Times New Roman" w:hAnsi="Times New Roman"/>
          <w:color w:val="0070C0"/>
          <w:sz w:val="16"/>
          <w:szCs w:val="16"/>
        </w:rPr>
        <w:softHyphen/>
        <w:t xml:space="preserve">ропавловск-Камчатский — остров </w:t>
      </w:r>
      <w:proofErr w:type="spellStart"/>
      <w:r w:rsidRPr="00441F34">
        <w:rPr>
          <w:rFonts w:ascii="Times New Roman" w:hAnsi="Times New Roman"/>
          <w:color w:val="0070C0"/>
          <w:sz w:val="16"/>
          <w:szCs w:val="16"/>
        </w:rPr>
        <w:t>Атту</w:t>
      </w:r>
      <w:proofErr w:type="spellEnd"/>
      <w:r w:rsidRPr="00441F34">
        <w:rPr>
          <w:rFonts w:ascii="Times New Roman" w:hAnsi="Times New Roman"/>
          <w:color w:val="0070C0"/>
          <w:sz w:val="16"/>
          <w:szCs w:val="16"/>
        </w:rPr>
        <w:t>- Сиэтл (установка колесного шасси) — Сан-Франциско — Нью-Йорк. Экипаж: С.А. Шестаков (первый летчик), Ф.Е. Бо</w:t>
      </w:r>
      <w:r w:rsidRPr="00441F34">
        <w:rPr>
          <w:rFonts w:ascii="Times New Roman" w:hAnsi="Times New Roman"/>
          <w:color w:val="0070C0"/>
          <w:sz w:val="16"/>
          <w:szCs w:val="16"/>
        </w:rPr>
        <w:softHyphen/>
        <w:t xml:space="preserve">лотов (второй летчик), Б.В. Стерлигов (штурман), Д.В. </w:t>
      </w:r>
      <w:proofErr w:type="spellStart"/>
      <w:r w:rsidRPr="00441F34">
        <w:rPr>
          <w:rFonts w:ascii="Times New Roman" w:hAnsi="Times New Roman"/>
          <w:color w:val="0070C0"/>
          <w:sz w:val="16"/>
          <w:szCs w:val="16"/>
        </w:rPr>
        <w:t>Фуфаев</w:t>
      </w:r>
      <w:proofErr w:type="spellEnd"/>
      <w:r w:rsidRPr="00441F34">
        <w:rPr>
          <w:rFonts w:ascii="Times New Roman" w:hAnsi="Times New Roman"/>
          <w:color w:val="0070C0"/>
          <w:sz w:val="16"/>
          <w:szCs w:val="16"/>
        </w:rPr>
        <w:t xml:space="preserve"> (бортмеханик). </w:t>
      </w:r>
    </w:p>
    <w:p w14:paraId="28CD3E10" w14:textId="77777777" w:rsidR="00943B1F" w:rsidRPr="00441F34" w:rsidRDefault="00943B1F" w:rsidP="00943B1F">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Во время вынужденной посадки в редколесье под Читой самолет разбил</w:t>
      </w:r>
      <w:r w:rsidRPr="00441F34">
        <w:rPr>
          <w:rFonts w:ascii="Times New Roman" w:hAnsi="Times New Roman"/>
          <w:color w:val="0070C0"/>
          <w:sz w:val="16"/>
          <w:szCs w:val="16"/>
        </w:rPr>
        <w:softHyphen/>
        <w:t>ся. Экипаж остался невредимым и вер</w:t>
      </w:r>
      <w:r w:rsidRPr="00441F34">
        <w:rPr>
          <w:rFonts w:ascii="Times New Roman" w:hAnsi="Times New Roman"/>
          <w:color w:val="0070C0"/>
          <w:sz w:val="16"/>
          <w:szCs w:val="16"/>
        </w:rPr>
        <w:softHyphen/>
        <w:t>нулся в Москву. 23 августа тот же экипаж повторил попытку на самолете АНТ—4 дублер, который тоже назвали «Страна Советов». На этот раз все прошло благо</w:t>
      </w:r>
      <w:r w:rsidRPr="00441F34">
        <w:rPr>
          <w:rFonts w:ascii="Times New Roman" w:hAnsi="Times New Roman"/>
          <w:color w:val="0070C0"/>
          <w:sz w:val="16"/>
          <w:szCs w:val="16"/>
        </w:rPr>
        <w:softHyphen/>
        <w:t xml:space="preserve">получно. В Нью-Йорк машина прибыла 31 октября по местному времени или 1 ноября по московскому времени. За 141 час 45 минут летного времени </w:t>
      </w:r>
      <w:proofErr w:type="spellStart"/>
      <w:r w:rsidRPr="00441F34">
        <w:rPr>
          <w:rFonts w:ascii="Times New Roman" w:hAnsi="Times New Roman"/>
          <w:color w:val="0070C0"/>
          <w:sz w:val="16"/>
          <w:szCs w:val="16"/>
        </w:rPr>
        <w:t>бьло</w:t>
      </w:r>
      <w:proofErr w:type="spellEnd"/>
      <w:r w:rsidRPr="00441F34">
        <w:rPr>
          <w:rFonts w:ascii="Times New Roman" w:hAnsi="Times New Roman"/>
          <w:color w:val="0070C0"/>
          <w:sz w:val="16"/>
          <w:szCs w:val="16"/>
        </w:rPr>
        <w:t xml:space="preserve"> прой</w:t>
      </w:r>
      <w:r w:rsidRPr="00441F34">
        <w:rPr>
          <w:rFonts w:ascii="Times New Roman" w:hAnsi="Times New Roman"/>
          <w:color w:val="0070C0"/>
          <w:sz w:val="16"/>
          <w:szCs w:val="16"/>
        </w:rPr>
        <w:softHyphen/>
        <w:t>дено 21242 км, в том числе 8000 км (50 ча</w:t>
      </w:r>
      <w:r w:rsidRPr="00441F34">
        <w:rPr>
          <w:rFonts w:ascii="Times New Roman" w:hAnsi="Times New Roman"/>
          <w:color w:val="0070C0"/>
          <w:sz w:val="16"/>
          <w:szCs w:val="16"/>
        </w:rPr>
        <w:softHyphen/>
        <w:t>сов 30 минут) — над океаном. Это был первый перелет из СССР в США, выдаю</w:t>
      </w:r>
      <w:r w:rsidRPr="00441F34">
        <w:rPr>
          <w:rFonts w:ascii="Times New Roman" w:hAnsi="Times New Roman"/>
          <w:color w:val="0070C0"/>
          <w:sz w:val="16"/>
          <w:szCs w:val="16"/>
        </w:rPr>
        <w:softHyphen/>
        <w:t>щийся по дальности и сложности. Масса пустого самолета на колесах составила — 4630 кг, на поплавках — 5130 кг (23474).</w:t>
      </w:r>
    </w:p>
    <w:p w14:paraId="64D2BEAE" w14:textId="77777777" w:rsidR="00943B1F" w:rsidRPr="00441F34" w:rsidRDefault="00943B1F" w:rsidP="00943B1F">
      <w:pPr>
        <w:spacing w:after="0" w:line="240" w:lineRule="auto"/>
        <w:jc w:val="both"/>
        <w:rPr>
          <w:rFonts w:ascii="Times New Roman" w:hAnsi="Times New Roman"/>
          <w:color w:val="0070C0"/>
          <w:sz w:val="16"/>
          <w:szCs w:val="16"/>
        </w:rPr>
      </w:pPr>
    </w:p>
    <w:p w14:paraId="15312E27" w14:textId="77777777" w:rsidR="00E77DD0" w:rsidRPr="00A259BD" w:rsidRDefault="00E77D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августа 1929 на торжественном собрании объединенного Президиума Союза Осоавиахима СССР и РСФСР, посвященном возвращению самолета "Крылья Советов", выступил выдающийся советский ученый С. А. Чаплыгин, который сказал: "Прибывший к нам из длительного путешествия самолет замечателен еще и в том отношении, что весь он спроектирован и построен в очень короткий срок - в течение нескольких месяцев по особому заданию... Необходимо отметить ту удивительную проникновенность, которой обладает инженер Туполев, и то необыкновенно чуткое и глубокое понимание как его планов, так и всех тех путей, которые нужны для осуществления основной идеи со стороны всех групп сотрудников ЦАГИ" (21461).</w:t>
      </w:r>
    </w:p>
    <w:p w14:paraId="1AC45B6C" w14:textId="77777777" w:rsidR="00E77DD0" w:rsidRPr="00A259BD" w:rsidRDefault="00E77DD0"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9F3FC1F"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8 августа 1929 в 2 часа 52 минуты с Центрального аэродрома Москвы вылетел самолет АНТ-4 с надписью на борту – «Страна Советов».</w:t>
      </w:r>
    </w:p>
    <w:p w14:paraId="201C32D1"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Экипаж его состоял из командира С.А. Шестакова, второго пилота Ф.Е. Болотова, штурмана Б.В. Стерлигова и бортмеханика Д.В. </w:t>
      </w:r>
      <w:proofErr w:type="spellStart"/>
      <w:r w:rsidRPr="00A259BD">
        <w:rPr>
          <w:rFonts w:ascii="Times New Roman" w:eastAsia="Times New Roman" w:hAnsi="Times New Roman"/>
          <w:color w:val="000000" w:themeColor="text1"/>
          <w:sz w:val="16"/>
          <w:szCs w:val="16"/>
          <w:lang w:eastAsia="ru-RU"/>
        </w:rPr>
        <w:t>Фуфаева</w:t>
      </w:r>
      <w:proofErr w:type="spellEnd"/>
      <w:r w:rsidRPr="00A259BD">
        <w:rPr>
          <w:rFonts w:ascii="Times New Roman" w:eastAsia="Times New Roman" w:hAnsi="Times New Roman"/>
          <w:color w:val="000000" w:themeColor="text1"/>
          <w:sz w:val="16"/>
          <w:szCs w:val="16"/>
          <w:lang w:eastAsia="ru-RU"/>
        </w:rPr>
        <w:t>. Самолет направился в Америку по маршруту Москва – Омск – Красноярск – Чита – Хабаровск – Николаевск-на-Амуре – Алеутские острова – Сиэтл – Сан-Франциско – Нью-Йорк.</w:t>
      </w:r>
    </w:p>
    <w:p w14:paraId="74D631A5"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Перелет из Москвы до Омска «Страна Советов» совершил без посадки и в 16 часов 48 минут прибыл в Омск.</w:t>
      </w:r>
    </w:p>
    <w:p w14:paraId="583B9035"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9 августа экипаж Шестакова был в Новосибирске, а на следующий день в 14 часов 20 минут «Страна Советов» вылетел в Красноярск, где приземлился три часа спустя.</w:t>
      </w:r>
    </w:p>
    <w:p w14:paraId="00183878"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11 августа в 7 часа 40 минут самолет вылетел из Красноярска. В 10 часов 10 минут он пролетел над Нижнеудинском, в 14 часов 30 минут – над </w:t>
      </w:r>
      <w:proofErr w:type="spellStart"/>
      <w:r w:rsidRPr="00A259BD">
        <w:rPr>
          <w:rFonts w:ascii="Times New Roman" w:eastAsia="Times New Roman" w:hAnsi="Times New Roman"/>
          <w:color w:val="000000" w:themeColor="text1"/>
          <w:sz w:val="16"/>
          <w:szCs w:val="16"/>
          <w:lang w:eastAsia="ru-RU"/>
        </w:rPr>
        <w:t>Верхнеудинском</w:t>
      </w:r>
      <w:proofErr w:type="spellEnd"/>
      <w:r w:rsidRPr="00A259BD">
        <w:rPr>
          <w:rFonts w:ascii="Times New Roman" w:eastAsia="Times New Roman" w:hAnsi="Times New Roman"/>
          <w:color w:val="000000" w:themeColor="text1"/>
          <w:sz w:val="16"/>
          <w:szCs w:val="16"/>
          <w:lang w:eastAsia="ru-RU"/>
        </w:rPr>
        <w:t>, держа курс на Читу.</w:t>
      </w:r>
    </w:p>
    <w:p w14:paraId="3C3B06B2"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Очередная посадка предполагалась в </w:t>
      </w:r>
      <w:proofErr w:type="spellStart"/>
      <w:r w:rsidRPr="00A259BD">
        <w:rPr>
          <w:rFonts w:ascii="Times New Roman" w:eastAsia="Times New Roman" w:hAnsi="Times New Roman"/>
          <w:color w:val="000000" w:themeColor="text1"/>
          <w:sz w:val="16"/>
          <w:szCs w:val="16"/>
          <w:lang w:eastAsia="ru-RU"/>
        </w:rPr>
        <w:t>Верхнеудинске</w:t>
      </w:r>
      <w:proofErr w:type="spellEnd"/>
      <w:r w:rsidRPr="00A259BD">
        <w:rPr>
          <w:rFonts w:ascii="Times New Roman" w:eastAsia="Times New Roman" w:hAnsi="Times New Roman"/>
          <w:color w:val="000000" w:themeColor="text1"/>
          <w:sz w:val="16"/>
          <w:szCs w:val="16"/>
          <w:lang w:eastAsia="ru-RU"/>
        </w:rPr>
        <w:t xml:space="preserve">, однако Шестаков при поддержке Болотова принял решение лететь дальше, в Читу. Стерлигов возражал, поскольку, по расчетам, прибыть туда можно было только ночью. На этапе </w:t>
      </w:r>
      <w:proofErr w:type="spellStart"/>
      <w:r w:rsidRPr="00A259BD">
        <w:rPr>
          <w:rFonts w:ascii="Times New Roman" w:eastAsia="Times New Roman" w:hAnsi="Times New Roman"/>
          <w:color w:val="000000" w:themeColor="text1"/>
          <w:sz w:val="16"/>
          <w:szCs w:val="16"/>
          <w:lang w:eastAsia="ru-RU"/>
        </w:rPr>
        <w:t>Верхнеудинск</w:t>
      </w:r>
      <w:proofErr w:type="spellEnd"/>
      <w:r w:rsidRPr="00A259BD">
        <w:rPr>
          <w:rFonts w:ascii="Times New Roman" w:eastAsia="Times New Roman" w:hAnsi="Times New Roman"/>
          <w:color w:val="000000" w:themeColor="text1"/>
          <w:sz w:val="16"/>
          <w:szCs w:val="16"/>
          <w:lang w:eastAsia="ru-RU"/>
        </w:rPr>
        <w:t xml:space="preserve"> – Чита, самолет попал в полосу лесных пожаров, и в обстановке задымления и плотной облачности экипаж «на время утерял ориентировку». Когда бензин закончился, пришлось садиться в тайге. Попали на склон сопки. Экипаж не пострадал, но машина была повреждена.</w:t>
      </w:r>
    </w:p>
    <w:p w14:paraId="3F7CAFDC"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ближайшем селе узнали, что находятся в 80 км от Читы. Шестаков получил приказ срочно прибыть в Москву, и отправился туда самолетом. Остальные ехали поездом. На вокзале их встретил командир, сообщивший: «Готов другой самолет, завтра с рассветом вылетаем!»</w:t>
      </w:r>
    </w:p>
    <w:p w14:paraId="2D736031"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Поскольку к перелету изначально готовили два самолета, авария задержала авиаторов всего на две недели.</w:t>
      </w:r>
    </w:p>
    <w:p w14:paraId="3E3E0667"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23 августа в 3 часа 20 минут «Страна Советов» возобновил свой перелет Москва – Нью-Йорк.</w:t>
      </w:r>
    </w:p>
    <w:p w14:paraId="6C8865A5"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Над Уралом засбоил левый мотор, пришлось садиться в Челябинске. Посадку произвели в 14 часов 30 минут. За ночь двигатель починили, но на аэродроме не оказалось бензина. Понадобился незапланированный «крюк» в Курган. Чтобы наверстать график, Омск пролетели и сели 25 августа в 12 часов в Новосибирске.</w:t>
      </w:r>
    </w:p>
    <w:p w14:paraId="47B06F0A"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26 августа в 9 часов 43 минуты вылетели в Красноярск, где совершили посадку в 12 часов 30 минут. Из Красноярска вылетели 27 августа в 4 часа 17 минут. До Иркутска добрались за 5 часов 13 минут, но перед посадкой отказал один двигатель – еле дотянули до аэродрома. Три дня меняли мотор, затем пошли дожди, и низкая облачность затянула сопки. 31 августа в 8 часов «Страна Советов» вылетел из Иркутска и спустя несколько часов достиг </w:t>
      </w:r>
      <w:proofErr w:type="spellStart"/>
      <w:r w:rsidRPr="00A259BD">
        <w:rPr>
          <w:rFonts w:ascii="Times New Roman" w:eastAsia="Times New Roman" w:hAnsi="Times New Roman"/>
          <w:color w:val="000000" w:themeColor="text1"/>
          <w:sz w:val="16"/>
          <w:szCs w:val="16"/>
          <w:lang w:eastAsia="ru-RU"/>
        </w:rPr>
        <w:t>Верхнеудинска</w:t>
      </w:r>
      <w:proofErr w:type="spellEnd"/>
      <w:r w:rsidRPr="00A259BD">
        <w:rPr>
          <w:rFonts w:ascii="Times New Roman" w:eastAsia="Times New Roman" w:hAnsi="Times New Roman"/>
          <w:color w:val="000000" w:themeColor="text1"/>
          <w:sz w:val="16"/>
          <w:szCs w:val="16"/>
          <w:lang w:eastAsia="ru-RU"/>
        </w:rPr>
        <w:t>.</w:t>
      </w:r>
    </w:p>
    <w:p w14:paraId="56A0B576"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1 сентября экипаж Шестакова добрался до Читы. 2 сентября вылетели из Читы. Планировали без посадки добраться до Хабаровска, но по всей трассе шел дождь и стоял густой туман. В связи с этим решено было сделать посадку в Благовещенске, так как в Хабаровск самолет мог прибыть только глубокой ночью. 3 сентября в 1 час 30 минут вылетели из Благовещенска, а в 5 часов 45 минут «Страна Советов» опустился на хабаровском аэродроме.</w:t>
      </w:r>
    </w:p>
    <w:p w14:paraId="6E5E601B"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Хабаровске сменили колеса на поплавки. Заменили и двигатели – для большей уверенности в них при полете через океан. Запаяли (устраняя течь) радиаторы обоих двигателей. В командирское кресло сел морской летчик Ф.Е. Болотов. Шестаков, оставаясь командиром корабля, приобрел новые функции, о чем он шутливо заметил: «К моим обязанностям по вождению самолета прибавляются новые — после посадки на воду, стоя на поплавке, багром ловить канат от буя, к которому мы пристаем для стоянки на воде. Эта работа очень неприятная, так как во время работы моторов стоящего на поплавке обдает водой. Работая же обеими руками багром, легко свалиться в воду со скользкого от масла поплавка».</w:t>
      </w:r>
    </w:p>
    <w:p w14:paraId="3599EFC2"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9 сентября первый раз попробовали взлететь с воды, но перегруженная машина подниматься в небо не хотела. Лишь оставив на берегу часть снаряжения и частично слив горючее, 12 сентября в 2 часа экипаж смог продолжить путь. Посадку в Николаевске-на-Амуре самолет произвел в тот же день в 7 часов 45 минут. Выждав ослабления тайфуна, свирепствовавшего с огромной силой в зоне Охотского моря «Страна Советов» 18 сентября вылетел из Николаевска напрямую, через север Сахалина и Охотское море на Камчатку. После 7 часов 20 минут героической борьбы со штормом, самолет благополучно опустился в порту Петропавловска-Камчатского. 19 сентября заварили глушитель двигателя и запаяли радиатор.</w:t>
      </w:r>
    </w:p>
    <w:p w14:paraId="6D8FBA5E"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20 сентября, в 23 часа 20 минут, «Страна Советов» (после четырех неудачных попыток взлета) вылетел из Петропавловска на остров </w:t>
      </w:r>
      <w:proofErr w:type="spellStart"/>
      <w:r w:rsidRPr="00A259BD">
        <w:rPr>
          <w:rFonts w:ascii="Times New Roman" w:eastAsia="Times New Roman" w:hAnsi="Times New Roman"/>
          <w:color w:val="000000" w:themeColor="text1"/>
          <w:sz w:val="16"/>
          <w:szCs w:val="16"/>
          <w:lang w:eastAsia="ru-RU"/>
        </w:rPr>
        <w:t>Атту</w:t>
      </w:r>
      <w:proofErr w:type="spellEnd"/>
      <w:r w:rsidRPr="00A259BD">
        <w:rPr>
          <w:rFonts w:ascii="Times New Roman" w:eastAsia="Times New Roman" w:hAnsi="Times New Roman"/>
          <w:color w:val="000000" w:themeColor="text1"/>
          <w:sz w:val="16"/>
          <w:szCs w:val="16"/>
          <w:lang w:eastAsia="ru-RU"/>
        </w:rPr>
        <w:t>-Айленд. Через 6 часов 50 минут полета самолет прибыл в одну из бухт безлюдного острова, где его встретил экипаж сторожевого корабля «Красный вымпел», обеспечив заправку самолета и отдых экипажа. 22 сентября опять паяли радиатор.</w:t>
      </w:r>
    </w:p>
    <w:p w14:paraId="3DEDA0A2"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24 сентября, так и не дождавшись хорошей погоды, «Страна Советов» вылетел в порт Датч-Харбор (остров Уналашка). Чтобы обеспечить взлет и перелет на расстояние около 1400 км экипаж был вынужден очередной раз провести ревизию груза. На судне сопровождения оставили: ружья и ракетницы, часть провизии и даже карты пройденного маршрута. Благодаря сильному ветру взлетели легко. В полете попутный ветер тоже помогал – путевая скорость доходила до 200 км/час. Пробыв в воздухе 7 часов, летчики посадили самолет в бухте Датч-Харбор. Затем еще около двух часов боролись с волнами, устанавливая с помощью двух катеров с американского судна «</w:t>
      </w:r>
      <w:proofErr w:type="spellStart"/>
      <w:r w:rsidRPr="00A259BD">
        <w:rPr>
          <w:rFonts w:ascii="Times New Roman" w:eastAsia="Times New Roman" w:hAnsi="Times New Roman"/>
          <w:color w:val="000000" w:themeColor="text1"/>
          <w:sz w:val="16"/>
          <w:szCs w:val="16"/>
          <w:lang w:eastAsia="ru-RU"/>
        </w:rPr>
        <w:t>Чилен</w:t>
      </w:r>
      <w:proofErr w:type="spellEnd"/>
      <w:r w:rsidRPr="00A259BD">
        <w:rPr>
          <w:rFonts w:ascii="Times New Roman" w:eastAsia="Times New Roman" w:hAnsi="Times New Roman"/>
          <w:color w:val="000000" w:themeColor="text1"/>
          <w:sz w:val="16"/>
          <w:szCs w:val="16"/>
          <w:lang w:eastAsia="ru-RU"/>
        </w:rPr>
        <w:t>» воздушный корабль «на бочку». В один из следующих дней вновь паяли радиатор.</w:t>
      </w:r>
    </w:p>
    <w:p w14:paraId="603843B0"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27 сентября экипаж «Страны Советов» преодолел следующие 1300 км, от Датч-Харбора до Сьюарда, за 8 часа 12 минут.</w:t>
      </w:r>
    </w:p>
    <w:p w14:paraId="698992CC"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Ранним утром 29 сентября экипаж Шестакова, после двух неудачных попыток взлета, стартовал из бухты Сьюарда на </w:t>
      </w:r>
      <w:proofErr w:type="spellStart"/>
      <w:r w:rsidRPr="00A259BD">
        <w:rPr>
          <w:rFonts w:ascii="Times New Roman" w:eastAsia="Times New Roman" w:hAnsi="Times New Roman"/>
          <w:color w:val="000000" w:themeColor="text1"/>
          <w:sz w:val="16"/>
          <w:szCs w:val="16"/>
          <w:lang w:eastAsia="ru-RU"/>
        </w:rPr>
        <w:t>Ситку</w:t>
      </w:r>
      <w:proofErr w:type="spellEnd"/>
      <w:r w:rsidRPr="00A259BD">
        <w:rPr>
          <w:rFonts w:ascii="Times New Roman" w:eastAsia="Times New Roman" w:hAnsi="Times New Roman"/>
          <w:color w:val="000000" w:themeColor="text1"/>
          <w:sz w:val="16"/>
          <w:szCs w:val="16"/>
          <w:lang w:eastAsia="ru-RU"/>
        </w:rPr>
        <w:t xml:space="preserve"> (Аляска). Необходимо было преодолеть всего 900 км, но вдали от берега. Вновь авиаторов сопровождали туман, дождь и шторм. На середине пути, в 430 км от цели и в 300 км от берега стал «сдавать» левый двигатель: давление масла упало, крыло покрылось маслом, а самолет наполнился дымом. Шестаков приказал Стерлигову передать сигнал «SOS». За борт выбросили весь груз и слили часть бензина и, через 7 часов 37 минут после взлета, чудом добрались до места назначения.</w:t>
      </w:r>
    </w:p>
    <w:p w14:paraId="5DD19079"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Все четыре дня пребывания «Страны Советов» в </w:t>
      </w:r>
      <w:proofErr w:type="spellStart"/>
      <w:r w:rsidRPr="00A259BD">
        <w:rPr>
          <w:rFonts w:ascii="Times New Roman" w:eastAsia="Times New Roman" w:hAnsi="Times New Roman"/>
          <w:color w:val="000000" w:themeColor="text1"/>
          <w:sz w:val="16"/>
          <w:szCs w:val="16"/>
          <w:lang w:eastAsia="ru-RU"/>
        </w:rPr>
        <w:t>Ситке</w:t>
      </w:r>
      <w:proofErr w:type="spellEnd"/>
      <w:r w:rsidRPr="00A259BD">
        <w:rPr>
          <w:rFonts w:ascii="Times New Roman" w:eastAsia="Times New Roman" w:hAnsi="Times New Roman"/>
          <w:color w:val="000000" w:themeColor="text1"/>
          <w:sz w:val="16"/>
          <w:szCs w:val="16"/>
          <w:lang w:eastAsia="ru-RU"/>
        </w:rPr>
        <w:t xml:space="preserve"> непрерывно шел дождь. Экипаж в это время ремонтировал двигатель. Проба мотора, проведенная на третий день показала, что двигатель работает, но масло по-прежнему «выбивает».</w:t>
      </w:r>
    </w:p>
    <w:p w14:paraId="4BA04F2B"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Впереди предстоял самый протяженный из морских этапов – 1500 км до Сиэтла. Облегчение самолета перешло границы разумного – оставлены: лодка, аварийная радиостанция, компас, инструмент, чехлы, продукты.</w:t>
      </w:r>
    </w:p>
    <w:p w14:paraId="6009FCF6"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lastRenderedPageBreak/>
        <w:t xml:space="preserve">3 октября в предрассветных сумерках самолет покинул </w:t>
      </w:r>
      <w:proofErr w:type="spellStart"/>
      <w:r w:rsidRPr="00A259BD">
        <w:rPr>
          <w:rFonts w:ascii="Times New Roman" w:eastAsia="Times New Roman" w:hAnsi="Times New Roman"/>
          <w:color w:val="000000" w:themeColor="text1"/>
          <w:sz w:val="16"/>
          <w:szCs w:val="16"/>
          <w:lang w:eastAsia="ru-RU"/>
        </w:rPr>
        <w:t>Ситку</w:t>
      </w:r>
      <w:proofErr w:type="spellEnd"/>
      <w:r w:rsidRPr="00A259BD">
        <w:rPr>
          <w:rFonts w:ascii="Times New Roman" w:eastAsia="Times New Roman" w:hAnsi="Times New Roman"/>
          <w:color w:val="000000" w:themeColor="text1"/>
          <w:sz w:val="16"/>
          <w:szCs w:val="16"/>
          <w:lang w:eastAsia="ru-RU"/>
        </w:rPr>
        <w:t xml:space="preserve">. Через 40 минут полета давление масла левого двигателя вновь стало падать, а через два часа полета, пройдя 225 км, Болотов, из-за отказа мотора, вынужден был сесть у местечка </w:t>
      </w:r>
      <w:proofErr w:type="spellStart"/>
      <w:r w:rsidRPr="00A259BD">
        <w:rPr>
          <w:rFonts w:ascii="Times New Roman" w:eastAsia="Times New Roman" w:hAnsi="Times New Roman"/>
          <w:color w:val="000000" w:themeColor="text1"/>
          <w:sz w:val="16"/>
          <w:szCs w:val="16"/>
          <w:lang w:eastAsia="ru-RU"/>
        </w:rPr>
        <w:t>Ватерфолл</w:t>
      </w:r>
      <w:proofErr w:type="spellEnd"/>
      <w:r w:rsidRPr="00A259BD">
        <w:rPr>
          <w:rFonts w:ascii="Times New Roman" w:eastAsia="Times New Roman" w:hAnsi="Times New Roman"/>
          <w:color w:val="000000" w:themeColor="text1"/>
          <w:sz w:val="16"/>
          <w:szCs w:val="16"/>
          <w:lang w:eastAsia="ru-RU"/>
        </w:rPr>
        <w:t xml:space="preserve"> на острове </w:t>
      </w:r>
      <w:proofErr w:type="spellStart"/>
      <w:r w:rsidRPr="00A259BD">
        <w:rPr>
          <w:rFonts w:ascii="Times New Roman" w:eastAsia="Times New Roman" w:hAnsi="Times New Roman"/>
          <w:color w:val="000000" w:themeColor="text1"/>
          <w:sz w:val="16"/>
          <w:szCs w:val="16"/>
          <w:lang w:eastAsia="ru-RU"/>
        </w:rPr>
        <w:t>Далл-Айденд</w:t>
      </w:r>
      <w:proofErr w:type="spellEnd"/>
      <w:r w:rsidRPr="00A259BD">
        <w:rPr>
          <w:rFonts w:ascii="Times New Roman" w:eastAsia="Times New Roman" w:hAnsi="Times New Roman"/>
          <w:color w:val="000000" w:themeColor="text1"/>
          <w:sz w:val="16"/>
          <w:szCs w:val="16"/>
          <w:lang w:eastAsia="ru-RU"/>
        </w:rPr>
        <w:t>.</w:t>
      </w:r>
    </w:p>
    <w:p w14:paraId="7A3A491F"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4 октября Шестаков на катере добрался до соседнего острова Принца Уэльского, где в городке Крейг была радиостанция. </w:t>
      </w:r>
      <w:proofErr w:type="spellStart"/>
      <w:r w:rsidRPr="00A259BD">
        <w:rPr>
          <w:rFonts w:ascii="Times New Roman" w:eastAsia="Times New Roman" w:hAnsi="Times New Roman"/>
          <w:color w:val="000000" w:themeColor="text1"/>
          <w:sz w:val="16"/>
          <w:szCs w:val="16"/>
          <w:lang w:eastAsia="ru-RU"/>
        </w:rPr>
        <w:t>Отткуда</w:t>
      </w:r>
      <w:proofErr w:type="spellEnd"/>
      <w:r w:rsidRPr="00A259BD">
        <w:rPr>
          <w:rFonts w:ascii="Times New Roman" w:eastAsia="Times New Roman" w:hAnsi="Times New Roman"/>
          <w:color w:val="000000" w:themeColor="text1"/>
          <w:sz w:val="16"/>
          <w:szCs w:val="16"/>
          <w:lang w:eastAsia="ru-RU"/>
        </w:rPr>
        <w:t xml:space="preserve"> он передал сообщение о положении «Страны Советов» и запросил новый двигатель. Мотор был доставлен из Сиэтла на пароходе в </w:t>
      </w:r>
      <w:proofErr w:type="spellStart"/>
      <w:r w:rsidRPr="00A259BD">
        <w:rPr>
          <w:rFonts w:ascii="Times New Roman" w:eastAsia="Times New Roman" w:hAnsi="Times New Roman"/>
          <w:color w:val="000000" w:themeColor="text1"/>
          <w:sz w:val="16"/>
          <w:szCs w:val="16"/>
          <w:lang w:eastAsia="ru-RU"/>
        </w:rPr>
        <w:t>Кечикан</w:t>
      </w:r>
      <w:proofErr w:type="spellEnd"/>
      <w:r w:rsidRPr="00A259BD">
        <w:rPr>
          <w:rFonts w:ascii="Times New Roman" w:eastAsia="Times New Roman" w:hAnsi="Times New Roman"/>
          <w:color w:val="000000" w:themeColor="text1"/>
          <w:sz w:val="16"/>
          <w:szCs w:val="16"/>
          <w:lang w:eastAsia="ru-RU"/>
        </w:rPr>
        <w:t xml:space="preserve"> за полтора дня, затем до </w:t>
      </w:r>
      <w:proofErr w:type="spellStart"/>
      <w:r w:rsidRPr="00A259BD">
        <w:rPr>
          <w:rFonts w:ascii="Times New Roman" w:eastAsia="Times New Roman" w:hAnsi="Times New Roman"/>
          <w:color w:val="000000" w:themeColor="text1"/>
          <w:sz w:val="16"/>
          <w:szCs w:val="16"/>
          <w:lang w:eastAsia="ru-RU"/>
        </w:rPr>
        <w:t>Ватерфолла</w:t>
      </w:r>
      <w:proofErr w:type="spellEnd"/>
      <w:r w:rsidRPr="00A259BD">
        <w:rPr>
          <w:rFonts w:ascii="Times New Roman" w:eastAsia="Times New Roman" w:hAnsi="Times New Roman"/>
          <w:color w:val="000000" w:themeColor="text1"/>
          <w:sz w:val="16"/>
          <w:szCs w:val="16"/>
          <w:lang w:eastAsia="ru-RU"/>
        </w:rPr>
        <w:t xml:space="preserve"> двигатель «шел» на американском пограничном катере «</w:t>
      </w:r>
      <w:proofErr w:type="spellStart"/>
      <w:r w:rsidRPr="00A259BD">
        <w:rPr>
          <w:rFonts w:ascii="Times New Roman" w:eastAsia="Times New Roman" w:hAnsi="Times New Roman"/>
          <w:color w:val="000000" w:themeColor="text1"/>
          <w:sz w:val="16"/>
          <w:szCs w:val="16"/>
          <w:lang w:eastAsia="ru-RU"/>
        </w:rPr>
        <w:t>Сайган</w:t>
      </w:r>
      <w:proofErr w:type="spellEnd"/>
      <w:r w:rsidRPr="00A259BD">
        <w:rPr>
          <w:rFonts w:ascii="Times New Roman" w:eastAsia="Times New Roman" w:hAnsi="Times New Roman"/>
          <w:color w:val="000000" w:themeColor="text1"/>
          <w:sz w:val="16"/>
          <w:szCs w:val="16"/>
          <w:lang w:eastAsia="ru-RU"/>
        </w:rPr>
        <w:t>». 8 октября двигатель был доставлен, а уже 11-го – двигатель был испытан.</w:t>
      </w:r>
    </w:p>
    <w:p w14:paraId="29142FB6"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13 октября «Страна Советов» смог продолжить перелет. Через 10 часов полета он прибыл в Сиэтл, покрыв 1200 км со средней скоростью 118,2 км/час в условиях сильного встречного ветра.</w:t>
      </w:r>
    </w:p>
    <w:p w14:paraId="06771FEE"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Сиэтл встретил советских летчиков уже в сумерках, и только благодаря отличному освещению гидропорта, базы морской авиации на озере Вашингтон, при посадке не возникло никаких проблем. На подлете «Страну Советов» встретил почетный авиационный эскорт морской авиации САСШ, а на земле – губернатор штата Вашингтон, мэр Сиэтла и многочисленная толпа граждан города а, кроме того – В.М. Петляков и моторист М.М. Егоров.</w:t>
      </w:r>
    </w:p>
    <w:p w14:paraId="23109387"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Сиэтле машину переставили на колеса. С помощью американских механиков самолет подготовили к дальнейшему маршруту. Благожелательное отношение городских властей и общественных организаций выражалось в многочисленных торжественных приемах и банкетах, которые отрывали авиаторов от важных дел. На приеме в «Обществе друзей СССР» всем участникам перелета подарили по трактору.</w:t>
      </w:r>
    </w:p>
    <w:p w14:paraId="4DF86002"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18 октября «Страна Советов» вылетел в Сан-Франциско, планируя на маршруте снижаться и выполнять «круги почета» над городами Такома, </w:t>
      </w:r>
      <w:proofErr w:type="spellStart"/>
      <w:r w:rsidRPr="00A259BD">
        <w:rPr>
          <w:rFonts w:ascii="Times New Roman" w:eastAsia="Times New Roman" w:hAnsi="Times New Roman"/>
          <w:color w:val="000000" w:themeColor="text1"/>
          <w:sz w:val="16"/>
          <w:szCs w:val="16"/>
          <w:lang w:eastAsia="ru-RU"/>
        </w:rPr>
        <w:t>Портлэнд</w:t>
      </w:r>
      <w:proofErr w:type="spellEnd"/>
      <w:r w:rsidRPr="00A259BD">
        <w:rPr>
          <w:rFonts w:ascii="Times New Roman" w:eastAsia="Times New Roman" w:hAnsi="Times New Roman"/>
          <w:color w:val="000000" w:themeColor="text1"/>
          <w:sz w:val="16"/>
          <w:szCs w:val="16"/>
          <w:lang w:eastAsia="ru-RU"/>
        </w:rPr>
        <w:t xml:space="preserve"> и </w:t>
      </w:r>
      <w:proofErr w:type="spellStart"/>
      <w:r w:rsidRPr="00A259BD">
        <w:rPr>
          <w:rFonts w:ascii="Times New Roman" w:eastAsia="Times New Roman" w:hAnsi="Times New Roman"/>
          <w:color w:val="000000" w:themeColor="text1"/>
          <w:sz w:val="16"/>
          <w:szCs w:val="16"/>
          <w:lang w:eastAsia="ru-RU"/>
        </w:rPr>
        <w:t>Мэдфорд</w:t>
      </w:r>
      <w:proofErr w:type="spellEnd"/>
      <w:r w:rsidRPr="00A259BD">
        <w:rPr>
          <w:rFonts w:ascii="Times New Roman" w:eastAsia="Times New Roman" w:hAnsi="Times New Roman"/>
          <w:color w:val="000000" w:themeColor="text1"/>
          <w:sz w:val="16"/>
          <w:szCs w:val="16"/>
          <w:lang w:eastAsia="ru-RU"/>
        </w:rPr>
        <w:t>. Однако планам авиаторов вновь помешал левый двигатель – вышла из строя его масляная помпа. Пришлось сделать вынужденную посадку на военном аэродроме в Ванкувере. С помощью американцев быстро выполнили ремонт, и на следующий день отправились в Сан-Франциско, где задержались на два дня.</w:t>
      </w:r>
    </w:p>
    <w:p w14:paraId="4C880EE2"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21 октября перелетели в </w:t>
      </w:r>
      <w:proofErr w:type="spellStart"/>
      <w:r w:rsidRPr="00A259BD">
        <w:rPr>
          <w:rFonts w:ascii="Times New Roman" w:eastAsia="Times New Roman" w:hAnsi="Times New Roman"/>
          <w:color w:val="000000" w:themeColor="text1"/>
          <w:sz w:val="16"/>
          <w:szCs w:val="16"/>
          <w:lang w:eastAsia="ru-RU"/>
        </w:rPr>
        <w:t>Окланд</w:t>
      </w:r>
      <w:proofErr w:type="spellEnd"/>
      <w:r w:rsidRPr="00A259BD">
        <w:rPr>
          <w:rFonts w:ascii="Times New Roman" w:eastAsia="Times New Roman" w:hAnsi="Times New Roman"/>
          <w:color w:val="000000" w:themeColor="text1"/>
          <w:sz w:val="16"/>
          <w:szCs w:val="16"/>
          <w:lang w:eastAsia="ru-RU"/>
        </w:rPr>
        <w:t xml:space="preserve">. 22-го – планировали добраться до </w:t>
      </w:r>
      <w:proofErr w:type="spellStart"/>
      <w:r w:rsidRPr="00A259BD">
        <w:rPr>
          <w:rFonts w:ascii="Times New Roman" w:eastAsia="Times New Roman" w:hAnsi="Times New Roman"/>
          <w:color w:val="000000" w:themeColor="text1"/>
          <w:sz w:val="16"/>
          <w:szCs w:val="16"/>
          <w:lang w:eastAsia="ru-RU"/>
        </w:rPr>
        <w:t>Чейенна</w:t>
      </w:r>
      <w:proofErr w:type="spellEnd"/>
      <w:r w:rsidRPr="00A259BD">
        <w:rPr>
          <w:rFonts w:ascii="Times New Roman" w:eastAsia="Times New Roman" w:hAnsi="Times New Roman"/>
          <w:color w:val="000000" w:themeColor="text1"/>
          <w:sz w:val="16"/>
          <w:szCs w:val="16"/>
          <w:lang w:eastAsia="ru-RU"/>
        </w:rPr>
        <w:t xml:space="preserve"> (Южная Дакота), но из-за полученного, но радио, сообщения о снежном буране приземлились в городе Соленого Озера (штат </w:t>
      </w:r>
      <w:proofErr w:type="spellStart"/>
      <w:r w:rsidRPr="00A259BD">
        <w:rPr>
          <w:rFonts w:ascii="Times New Roman" w:eastAsia="Times New Roman" w:hAnsi="Times New Roman"/>
          <w:color w:val="000000" w:themeColor="text1"/>
          <w:sz w:val="16"/>
          <w:szCs w:val="16"/>
          <w:lang w:eastAsia="ru-RU"/>
        </w:rPr>
        <w:t>Утах</w:t>
      </w:r>
      <w:proofErr w:type="spellEnd"/>
      <w:r w:rsidRPr="00A259BD">
        <w:rPr>
          <w:rFonts w:ascii="Times New Roman" w:eastAsia="Times New Roman" w:hAnsi="Times New Roman"/>
          <w:color w:val="000000" w:themeColor="text1"/>
          <w:sz w:val="16"/>
          <w:szCs w:val="16"/>
          <w:lang w:eastAsia="ru-RU"/>
        </w:rPr>
        <w:t xml:space="preserve">). 23-го – стартовав в </w:t>
      </w:r>
      <w:proofErr w:type="spellStart"/>
      <w:r w:rsidRPr="00A259BD">
        <w:rPr>
          <w:rFonts w:ascii="Times New Roman" w:eastAsia="Times New Roman" w:hAnsi="Times New Roman"/>
          <w:color w:val="000000" w:themeColor="text1"/>
          <w:sz w:val="16"/>
          <w:szCs w:val="16"/>
          <w:lang w:eastAsia="ru-RU"/>
        </w:rPr>
        <w:t>Чейенн</w:t>
      </w:r>
      <w:proofErr w:type="spellEnd"/>
      <w:r w:rsidRPr="00A259BD">
        <w:rPr>
          <w:rFonts w:ascii="Times New Roman" w:eastAsia="Times New Roman" w:hAnsi="Times New Roman"/>
          <w:color w:val="000000" w:themeColor="text1"/>
          <w:sz w:val="16"/>
          <w:szCs w:val="16"/>
          <w:lang w:eastAsia="ru-RU"/>
        </w:rPr>
        <w:t>, пролетели, по решению Шестакова, дальше, через Скалистые горы, и приземлились на пустом аэродроме в Норт-</w:t>
      </w:r>
      <w:proofErr w:type="spellStart"/>
      <w:r w:rsidRPr="00A259BD">
        <w:rPr>
          <w:rFonts w:ascii="Times New Roman" w:eastAsia="Times New Roman" w:hAnsi="Times New Roman"/>
          <w:color w:val="000000" w:themeColor="text1"/>
          <w:sz w:val="16"/>
          <w:szCs w:val="16"/>
          <w:lang w:eastAsia="ru-RU"/>
        </w:rPr>
        <w:t>Платте</w:t>
      </w:r>
      <w:proofErr w:type="spellEnd"/>
      <w:r w:rsidRPr="00A259BD">
        <w:rPr>
          <w:rFonts w:ascii="Times New Roman" w:eastAsia="Times New Roman" w:hAnsi="Times New Roman"/>
          <w:color w:val="000000" w:themeColor="text1"/>
          <w:sz w:val="16"/>
          <w:szCs w:val="16"/>
          <w:lang w:eastAsia="ru-RU"/>
        </w:rPr>
        <w:t xml:space="preserve"> (Небраска), где их никто не ждал.</w:t>
      </w:r>
    </w:p>
    <w:p w14:paraId="1AAFCBFF"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24 октября из Норт-</w:t>
      </w:r>
      <w:proofErr w:type="spellStart"/>
      <w:r w:rsidRPr="00A259BD">
        <w:rPr>
          <w:rFonts w:ascii="Times New Roman" w:eastAsia="Times New Roman" w:hAnsi="Times New Roman"/>
          <w:color w:val="000000" w:themeColor="text1"/>
          <w:sz w:val="16"/>
          <w:szCs w:val="16"/>
          <w:lang w:eastAsia="ru-RU"/>
        </w:rPr>
        <w:t>Платте</w:t>
      </w:r>
      <w:proofErr w:type="spellEnd"/>
      <w:r w:rsidRPr="00A259BD">
        <w:rPr>
          <w:rFonts w:ascii="Times New Roman" w:eastAsia="Times New Roman" w:hAnsi="Times New Roman"/>
          <w:color w:val="000000" w:themeColor="text1"/>
          <w:sz w:val="16"/>
          <w:szCs w:val="16"/>
          <w:lang w:eastAsia="ru-RU"/>
        </w:rPr>
        <w:t xml:space="preserve"> добрались до Чикаго. На аэродроме самолет встречали, с оркестром при большом скоплении народа, заместитель мэра города, представители торговых палат и организации друзей СССР. Командование военной авиации САСШ оказало советскому экипажу все воинские почести.</w:t>
      </w:r>
    </w:p>
    <w:p w14:paraId="6531AB95"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26 октября мэр Чикаго устроил в честь советских летчиков официальный банкет. Вечером чикагский аэроклуб дал в честь прибывших гостей обед, на котором присутствовали крупные промышленники.</w:t>
      </w:r>
    </w:p>
    <w:p w14:paraId="3D906AF1"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28 октября – перелет Чикаго – Детройт. Посадку совершили на аэродроме Дирборн близ Детройта. Мэр Детройта принял экипаж «Страны Советов» и поздравил их с успешным перелетом. Советские летчики осмотрели автомобильные и авиационные заводы Форда.</w:t>
      </w:r>
    </w:p>
    <w:p w14:paraId="68636408"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1 ноября «Страна Советов» приземлился на нью-йоркском аэродроме </w:t>
      </w:r>
      <w:proofErr w:type="spellStart"/>
      <w:r w:rsidRPr="00A259BD">
        <w:rPr>
          <w:rFonts w:ascii="Times New Roman" w:eastAsia="Times New Roman" w:hAnsi="Times New Roman"/>
          <w:color w:val="000000" w:themeColor="text1"/>
          <w:sz w:val="16"/>
          <w:szCs w:val="16"/>
          <w:lang w:eastAsia="ru-RU"/>
        </w:rPr>
        <w:t>Кертисс</w:t>
      </w:r>
      <w:proofErr w:type="spellEnd"/>
      <w:r w:rsidRPr="00A259BD">
        <w:rPr>
          <w:rFonts w:ascii="Times New Roman" w:eastAsia="Times New Roman" w:hAnsi="Times New Roman"/>
          <w:color w:val="000000" w:themeColor="text1"/>
          <w:sz w:val="16"/>
          <w:szCs w:val="16"/>
          <w:lang w:eastAsia="ru-RU"/>
        </w:rPr>
        <w:t>-Филд. Вот как описывает встречу советского экипажа американская газета «Новый Мир», вероятно, коммунистического толка:</w:t>
      </w:r>
    </w:p>
    <w:p w14:paraId="480187DC"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«Свыше 16000 человек явилось на </w:t>
      </w:r>
      <w:proofErr w:type="spellStart"/>
      <w:r w:rsidRPr="00A259BD">
        <w:rPr>
          <w:rFonts w:ascii="Times New Roman" w:eastAsia="Times New Roman" w:hAnsi="Times New Roman"/>
          <w:color w:val="000000" w:themeColor="text1"/>
          <w:sz w:val="16"/>
          <w:szCs w:val="16"/>
          <w:lang w:eastAsia="ru-RU"/>
        </w:rPr>
        <w:t>Кортисс</w:t>
      </w:r>
      <w:proofErr w:type="spellEnd"/>
      <w:r w:rsidRPr="00A259BD">
        <w:rPr>
          <w:rFonts w:ascii="Times New Roman" w:eastAsia="Times New Roman" w:hAnsi="Times New Roman"/>
          <w:color w:val="000000" w:themeColor="text1"/>
          <w:sz w:val="16"/>
          <w:szCs w:val="16"/>
          <w:lang w:eastAsia="ru-RU"/>
        </w:rPr>
        <w:t xml:space="preserve"> Филд. Специальные поезда перебрасывали из Нью-Йорка на аэродром тысячи рабочих. Поезда отходили с вокзала «Пенсильвания </w:t>
      </w:r>
      <w:proofErr w:type="spellStart"/>
      <w:r w:rsidRPr="00A259BD">
        <w:rPr>
          <w:rFonts w:ascii="Times New Roman" w:eastAsia="Times New Roman" w:hAnsi="Times New Roman"/>
          <w:color w:val="000000" w:themeColor="text1"/>
          <w:sz w:val="16"/>
          <w:szCs w:val="16"/>
          <w:lang w:eastAsia="ru-RU"/>
        </w:rPr>
        <w:t>Стэйшен</w:t>
      </w:r>
      <w:proofErr w:type="spellEnd"/>
      <w:r w:rsidRPr="00A259BD">
        <w:rPr>
          <w:rFonts w:ascii="Times New Roman" w:eastAsia="Times New Roman" w:hAnsi="Times New Roman"/>
          <w:color w:val="000000" w:themeColor="text1"/>
          <w:sz w:val="16"/>
          <w:szCs w:val="16"/>
          <w:lang w:eastAsia="ru-RU"/>
        </w:rPr>
        <w:t>». Своеобразную картину представлял собою этот наиболее фешенебельный вокзал Нью-Йорка. Американские леди и джентльмены были поражены шумными ватагами восторженного рабочего молодняка…</w:t>
      </w:r>
    </w:p>
    <w:p w14:paraId="7DC5CD8C"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Вблизи ангара, приготовленного для «Страны Советов», стояли в ожидании корреспонденты, фотографы и кинооператоры...</w:t>
      </w:r>
    </w:p>
    <w:p w14:paraId="286B70C4"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Вдруг на горизонте вырисовываются три аэропланных силуэта. Взоры всех прикованы к центральному аэроплану…</w:t>
      </w:r>
    </w:p>
    <w:p w14:paraId="3CD1E140"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Восторженные массы трудящихся прорывают полицейскую цепь и потоком пускаются по необъятному полю к месту остановки советского аэроплана. На аэроплане взвивается красное знамя, и по аэродрому разносятся громовые раскаты рукоплесканий. Полиция старается привести массы в «чувство», пустила в ход дубинки. В результате помяты бока и свернуты челюсти у нескольких, пытавшихся дать отпор бесчинствовавшим стражам «закона и порядка»…</w:t>
      </w:r>
    </w:p>
    <w:p w14:paraId="5ABB2A1E"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Массы налегали все плотнее и плотнее. Это заставило пилотов взобраться на крышу ангара, чтобы с открытой импровизированной трибуны приветствовать клокочущие массы… в вечернем воздухе прозвучал несколько хриплый голос. Шестаков от имени Осоавиахима и своего экипажа, благодарил пришедших за приветствие. В эту минуту на востоке появился аэроплан Линдберга, летевшего пожать руки советским героям» .[60]</w:t>
      </w:r>
    </w:p>
    <w:p w14:paraId="594BA0E1"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Программа чествования советских летчиков включала прием у мэра Нью-Йорка, банкет, устроенный 6 ноября Русско-Американской торговой палатой и обществом гражданской авиации САСШ. 9 ноября в честь советских летчиков состоялось массовое рабочее собрание, организованное обществом «Друзей Советского Союза» на крупнейшем стадионе Нью-Йорка.</w:t>
      </w:r>
    </w:p>
    <w:p w14:paraId="4567CBBA"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Европу машина и ее экипаж возвращались на пароходе «Мавритания», затем поездом в Москву. 22 декабря страна встречала своих героев – участников первого перелета советского самолета в САСШ. Экипаж наградили орденами Боевого Красного знамени и почетными грамотами ВЦИК.</w:t>
      </w:r>
    </w:p>
    <w:p w14:paraId="39FF7F4E"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Оригинально, на общем восторженном фоне, прокомментировал результаты перелета «Страны Советов» С.С. Каменев:</w:t>
      </w:r>
    </w:p>
    <w:p w14:paraId="19C399EC"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«Нам приходится доказывать и разъяснять значимость совершенного перелета, так как чувство удовлетворения, переживаемое нами, как будто бы разделяется не всеми...</w:t>
      </w:r>
    </w:p>
    <w:p w14:paraId="7FF4AA41"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Перелет «Страны Советов» не был рекордным. Это был полет по определенным этапам, причем, на участке океана он всецело зависел от баз, которые удалось создать…</w:t>
      </w:r>
    </w:p>
    <w:p w14:paraId="6834704E"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Перелет кажется каким-то «будничным». В нем нет блеска и праздничного рекордсменства. Не тут ли надо искать корней некоторой неудовлетворенности перелетом?</w:t>
      </w:r>
    </w:p>
    <w:p w14:paraId="3EC5415E"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Но как раз сильная сторона нашего перелета и заключается в том, что он совершен в будничных повседневных условиях, что он прошел всю стадию испытаний стихийного порядка Тихого океана, что он произведен строго по расчету, что он совершен при величайших волевых напряжениях длительного периода времени, что он проведен по сути дела на рядовой машине, которая вовсе не строилась для данного перелета и, наконец, проведен хорошими летчиками, но не рекордсменами. С гордостью мы можем сказать, что таких летчиков у нас немало.</w:t>
      </w:r>
    </w:p>
    <w:p w14:paraId="3069959B"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Правда, мы сегодня видим, что мы недооценили наших возможностей и нашего роста в авиационном деле, поставив себе задачей только перелет, не ставя себе более трудных заданий организации такого же делового перелета, но в более быстром темпе, т. е. такого, какой именуется скоростным».</w:t>
      </w:r>
    </w:p>
    <w:p w14:paraId="5D9D28B5"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Итоговые цифры перелета в средствах массовой информации варьировались от 20000 километров за 137 летных часов до 21242 километров в течение 167 часов. Межконтинентальную дистанцию «Страна Советов» преодолела за 70 дней (58 летных дней) со средней скоростью 157 км/час. Значительная часть пути (7600 км) была пройдена над бурными океанскими просторами на поплавках.</w:t>
      </w:r>
    </w:p>
    <w:p w14:paraId="712F99F1"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Комиссия по перелетам рассчитывала завершить маршрут за 40 – 45 дней, и, оправдывая задержку, П.И. Баранов заявил, что из 58 дней 20 – было потрачено на ремонт и смену установленных на самолете немецких моторов БМВ (BMW-6). Таким образом, если исключить эту потерю времени, как произошедшую по причинам, не зависящим ни от экипажа, ни от советской конструкции самолета, то путь мог быть пройден за 38 дней.</w:t>
      </w:r>
    </w:p>
    <w:p w14:paraId="4A31ABDC" w14:textId="77777777" w:rsidR="00E77DD0" w:rsidRPr="00A259BD" w:rsidRDefault="00E77DD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любом случае, «Страна Советов» прекрасно выдержал экзамен, впервые связав Евразию и Америку через северную часть Тихого океана. Советские люди были вправе гордиться своими летчиками и самолетом, спроектированным и построенным руками советских инженеров и рабочих (21249).</w:t>
      </w:r>
    </w:p>
    <w:p w14:paraId="6E9AF3C1" w14:textId="77777777" w:rsidR="00E77DD0" w:rsidRPr="00A259BD" w:rsidRDefault="00E77DD0" w:rsidP="009236E3">
      <w:pPr>
        <w:spacing w:after="0" w:line="240" w:lineRule="auto"/>
        <w:jc w:val="both"/>
        <w:rPr>
          <w:rFonts w:ascii="Times New Roman" w:hAnsi="Times New Roman"/>
          <w:color w:val="000000" w:themeColor="text1"/>
          <w:sz w:val="16"/>
          <w:szCs w:val="16"/>
        </w:rPr>
      </w:pPr>
    </w:p>
    <w:p w14:paraId="529394E0" w14:textId="77777777" w:rsidR="00B25ADA"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2C330B7" w14:textId="77777777" w:rsidR="00B25ADA" w:rsidRPr="00A259BD" w:rsidRDefault="00B25AD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30A012" w14:textId="77777777" w:rsidR="00B25ADA" w:rsidRPr="00A259BD" w:rsidRDefault="00B25ADA"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8 августа</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xml:space="preserve">. Протокол заседания Политбюро ЦК ВКП(б) № 92. 3. О работниках военной промышленности (ПБ от 15 июля 1929 г., пр. № 89, п. 38). П. 9. Вопрос </w:t>
      </w:r>
      <w:proofErr w:type="spellStart"/>
      <w:r w:rsidRPr="00A259BD">
        <w:rPr>
          <w:rFonts w:ascii="Times New Roman" w:hAnsi="Times New Roman"/>
          <w:color w:val="000000" w:themeColor="text1"/>
          <w:sz w:val="16"/>
          <w:szCs w:val="16"/>
          <w:u w:color="002060"/>
        </w:rPr>
        <w:t>Уншлихта</w:t>
      </w:r>
      <w:proofErr w:type="spellEnd"/>
      <w:r w:rsidRPr="00A259BD">
        <w:rPr>
          <w:rFonts w:ascii="Times New Roman" w:hAnsi="Times New Roman"/>
          <w:color w:val="000000" w:themeColor="text1"/>
          <w:sz w:val="16"/>
          <w:szCs w:val="16"/>
          <w:u w:color="002060"/>
        </w:rPr>
        <w:t xml:space="preserve"> (</w:t>
      </w:r>
      <w:proofErr w:type="spellStart"/>
      <w:r w:rsidRPr="00A259BD">
        <w:rPr>
          <w:rFonts w:ascii="Times New Roman" w:hAnsi="Times New Roman"/>
          <w:color w:val="000000" w:themeColor="text1"/>
          <w:sz w:val="16"/>
          <w:szCs w:val="16"/>
          <w:u w:color="002060"/>
        </w:rPr>
        <w:t>Уншлихт</w:t>
      </w:r>
      <w:proofErr w:type="spellEnd"/>
      <w:r w:rsidRPr="00A259BD">
        <w:rPr>
          <w:rFonts w:ascii="Times New Roman" w:hAnsi="Times New Roman"/>
          <w:color w:val="000000" w:themeColor="text1"/>
          <w:sz w:val="16"/>
          <w:szCs w:val="16"/>
          <w:u w:color="002060"/>
        </w:rPr>
        <w:t>, Карахан) [о предложении РВС]. (Политбюро... Т. 1. С. 713) (12416).</w:t>
      </w:r>
    </w:p>
    <w:p w14:paraId="05797FE0" w14:textId="77777777" w:rsidR="00B25ADA" w:rsidRPr="00A259BD" w:rsidRDefault="00B25ADA" w:rsidP="009236E3">
      <w:pPr>
        <w:spacing w:after="0" w:line="240" w:lineRule="auto"/>
        <w:jc w:val="both"/>
        <w:rPr>
          <w:rFonts w:ascii="Times New Roman" w:hAnsi="Times New Roman"/>
          <w:color w:val="000000" w:themeColor="text1"/>
          <w:sz w:val="16"/>
          <w:szCs w:val="16"/>
          <w:u w:color="002060"/>
        </w:rPr>
      </w:pPr>
    </w:p>
    <w:p w14:paraId="212B7ABC" w14:textId="77777777" w:rsidR="002D2C25" w:rsidRPr="00A259BD" w:rsidRDefault="002D2C25" w:rsidP="009236E3">
      <w:pPr>
        <w:spacing w:after="0" w:line="240" w:lineRule="auto"/>
        <w:jc w:val="both"/>
        <w:rPr>
          <w:rStyle w:val="af0"/>
          <w:rFonts w:ascii="Times New Roman" w:hAnsi="Times New Roman"/>
          <w:i w:val="0"/>
          <w:color w:val="000000" w:themeColor="text1"/>
          <w:sz w:val="16"/>
          <w:szCs w:val="16"/>
        </w:rPr>
      </w:pPr>
      <w:r w:rsidRPr="00A259BD">
        <w:rPr>
          <w:rFonts w:ascii="Times New Roman" w:hAnsi="Times New Roman"/>
          <w:bCs/>
          <w:color w:val="000000" w:themeColor="text1"/>
          <w:sz w:val="16"/>
          <w:szCs w:val="16"/>
        </w:rPr>
        <w:t xml:space="preserve">8 августа 1929 г. — Письмо заместителя наркома Рабоче-крестьянской инспекции СССР И. П. </w:t>
      </w:r>
      <w:proofErr w:type="spellStart"/>
      <w:r w:rsidRPr="00A259BD">
        <w:rPr>
          <w:rFonts w:ascii="Times New Roman" w:hAnsi="Times New Roman"/>
          <w:bCs/>
          <w:color w:val="000000" w:themeColor="text1"/>
          <w:sz w:val="16"/>
          <w:szCs w:val="16"/>
        </w:rPr>
        <w:t>Павлуновского</w:t>
      </w:r>
      <w:proofErr w:type="spellEnd"/>
      <w:r w:rsidRPr="00A259BD">
        <w:rPr>
          <w:rFonts w:ascii="Times New Roman" w:hAnsi="Times New Roman"/>
          <w:bCs/>
          <w:color w:val="000000" w:themeColor="text1"/>
          <w:sz w:val="16"/>
          <w:szCs w:val="16"/>
        </w:rPr>
        <w:t xml:space="preserve"> наркому РКИ СССР, заместителю председателя СНК СССР С. Орджоникидзе о результатах обследования работы Особого технического бюро</w:t>
      </w:r>
    </w:p>
    <w:p w14:paraId="1C104748"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378B457C"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Дорогой т. Серго!</w:t>
      </w:r>
    </w:p>
    <w:p w14:paraId="74F585F4"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 xml:space="preserve">По поручению СНК нами обследована работа </w:t>
      </w:r>
      <w:hyperlink r:id="rId128" w:history="1">
        <w:r w:rsidRPr="00A259BD">
          <w:rPr>
            <w:color w:val="000000" w:themeColor="text1"/>
            <w:sz w:val="16"/>
            <w:szCs w:val="16"/>
          </w:rPr>
          <w:t>Особого технического бюро</w:t>
        </w:r>
      </w:hyperlink>
      <w:r w:rsidRPr="00A259BD">
        <w:rPr>
          <w:color w:val="000000" w:themeColor="text1"/>
          <w:sz w:val="16"/>
          <w:szCs w:val="16"/>
        </w:rPr>
        <w:t>, руководимого т. Бекаури¹*. Прежде чем дать свои выводы РЗ СТО, нам необходимо получить от тебя указания о том, насколько то, что мы будем излагать в дальнейшем, является правильным. Наши выводы о работе т. </w:t>
      </w:r>
      <w:proofErr w:type="spellStart"/>
      <w:r w:rsidRPr="00A259BD">
        <w:rPr>
          <w:color w:val="000000" w:themeColor="text1"/>
          <w:sz w:val="16"/>
          <w:szCs w:val="16"/>
        </w:rPr>
        <w:t>Бекаури</w:t>
      </w:r>
      <w:proofErr w:type="spellEnd"/>
      <w:r w:rsidRPr="00A259BD">
        <w:rPr>
          <w:color w:val="000000" w:themeColor="text1"/>
          <w:sz w:val="16"/>
          <w:szCs w:val="16"/>
        </w:rPr>
        <w:t xml:space="preserve"> следующие. Бесспорно, что проделанная т. </w:t>
      </w:r>
      <w:proofErr w:type="spellStart"/>
      <w:r w:rsidRPr="00A259BD">
        <w:rPr>
          <w:color w:val="000000" w:themeColor="text1"/>
          <w:sz w:val="16"/>
          <w:szCs w:val="16"/>
        </w:rPr>
        <w:t>Бекаури</w:t>
      </w:r>
      <w:proofErr w:type="spellEnd"/>
      <w:r w:rsidRPr="00A259BD">
        <w:rPr>
          <w:color w:val="000000" w:themeColor="text1"/>
          <w:sz w:val="16"/>
          <w:szCs w:val="16"/>
        </w:rPr>
        <w:t xml:space="preserve"> и его бюро работа является ценной для обороны страны, так как в результате этой работы значительно улучшается качество нашего морского флота. Однако не нужно переоценивать достижений т. </w:t>
      </w:r>
      <w:proofErr w:type="spellStart"/>
      <w:r w:rsidRPr="00A259BD">
        <w:rPr>
          <w:color w:val="000000" w:themeColor="text1"/>
          <w:sz w:val="16"/>
          <w:szCs w:val="16"/>
        </w:rPr>
        <w:t>Бекаури</w:t>
      </w:r>
      <w:proofErr w:type="spellEnd"/>
      <w:r w:rsidRPr="00A259BD">
        <w:rPr>
          <w:color w:val="000000" w:themeColor="text1"/>
          <w:sz w:val="16"/>
          <w:szCs w:val="16"/>
        </w:rPr>
        <w:t xml:space="preserve"> и представлять себе дело так, что как будто в результате работ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мы получили в отдельных существенных частях какие-то преимущества перед иностранной морской техникой, которые в случае войны могут поразить иностранные флоты своею неожиданностью и силой своего разрушительного действия. Подобного положения, конечно, работа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нам не создала.</w:t>
      </w:r>
    </w:p>
    <w:p w14:paraId="0A20CEAA"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 xml:space="preserve">По ознакомлении </w:t>
      </w:r>
      <w:r w:rsidRPr="00A259BD">
        <w:rPr>
          <w:rStyle w:val="af0"/>
          <w:i w:val="0"/>
          <w:color w:val="000000" w:themeColor="text1"/>
          <w:sz w:val="16"/>
          <w:szCs w:val="16"/>
        </w:rPr>
        <w:t>с</w:t>
      </w:r>
      <w:r w:rsidRPr="00A259BD">
        <w:rPr>
          <w:color w:val="000000" w:themeColor="text1"/>
          <w:sz w:val="16"/>
          <w:szCs w:val="16"/>
        </w:rPr>
        <w:t xml:space="preserve"> работой т. </w:t>
      </w:r>
      <w:proofErr w:type="spellStart"/>
      <w:r w:rsidRPr="00A259BD">
        <w:rPr>
          <w:color w:val="000000" w:themeColor="text1"/>
          <w:sz w:val="16"/>
          <w:szCs w:val="16"/>
        </w:rPr>
        <w:t>Бекаури</w:t>
      </w:r>
      <w:proofErr w:type="spellEnd"/>
      <w:r w:rsidRPr="00A259BD">
        <w:rPr>
          <w:color w:val="000000" w:themeColor="text1"/>
          <w:sz w:val="16"/>
          <w:szCs w:val="16"/>
        </w:rPr>
        <w:t xml:space="preserve"> мы пришли к выводу, что изобретениям усовершенствования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в области морского дела ставят нас в настоящее время только примерно в уровень с западноевропейской (английской, германской) морской техникой конца империалистической войны. Бесспорно, что такое положение является тоже большим достижением, если принять во внимание, что царский флот являлся весьма отсталым по сравнению с западноевропейскими флотами и ту разруху, через которую прошел наш морской флот.</w:t>
      </w:r>
    </w:p>
    <w:p w14:paraId="27A50E53"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 xml:space="preserve">Правильную оценку работ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важно сделать потому, что в зависимости от этого можно и правильно поставить перспективы и задачи для дальнейшей работы бюро. Если исходить из действительно правильной оценки достижений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что благодаря им мы в области минно-торпедного дела становимся примерно </w:t>
      </w:r>
      <w:r w:rsidRPr="00A259BD">
        <w:rPr>
          <w:rStyle w:val="af0"/>
          <w:i w:val="0"/>
          <w:color w:val="000000" w:themeColor="text1"/>
          <w:sz w:val="16"/>
          <w:szCs w:val="16"/>
        </w:rPr>
        <w:t>в</w:t>
      </w:r>
      <w:r w:rsidRPr="00A259BD">
        <w:rPr>
          <w:color w:val="000000" w:themeColor="text1"/>
          <w:sz w:val="16"/>
          <w:szCs w:val="16"/>
        </w:rPr>
        <w:t xml:space="preserve"> </w:t>
      </w:r>
      <w:r w:rsidRPr="00A259BD">
        <w:rPr>
          <w:color w:val="000000" w:themeColor="text1"/>
          <w:sz w:val="16"/>
          <w:szCs w:val="16"/>
        </w:rPr>
        <w:lastRenderedPageBreak/>
        <w:t>уровень с заграничной техникой конца империалистической войны (а так как заграничная техника в послевоенные годы значительно ушла вперед), то перед нами стоят большие задачи — догнать заграничную технику в области минно-торпедного дела, т. е. и в отношении морского флота так же, как и в отношении сухопутной армии стоит задача совершенствования нашего вооружения и перевооружения новыми образцами.</w:t>
      </w:r>
    </w:p>
    <w:p w14:paraId="02235355"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 xml:space="preserve">Этот наш вывод о работе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вытекает из анализа следующих основных работ </w:t>
      </w:r>
      <w:proofErr w:type="spellStart"/>
      <w:r w:rsidRPr="00A259BD">
        <w:rPr>
          <w:color w:val="000000" w:themeColor="text1"/>
          <w:sz w:val="16"/>
          <w:szCs w:val="16"/>
        </w:rPr>
        <w:t>Остехбюро</w:t>
      </w:r>
      <w:proofErr w:type="spellEnd"/>
      <w:r w:rsidRPr="00A259BD">
        <w:rPr>
          <w:color w:val="000000" w:themeColor="text1"/>
          <w:sz w:val="16"/>
          <w:szCs w:val="16"/>
        </w:rPr>
        <w:t>:</w:t>
      </w:r>
    </w:p>
    <w:p w14:paraId="20409ACE"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1. 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сконструирован прибор ВС, который придает торпеде не только направление по прямой линии, но и движение круговое и по спирали. Благодаря этому значительно увеличивается площадь поражения торпедой. Идея придания торпеде не только прямого направления, но и движения по кругу возникла в морских кругах еще в 80</w:t>
      </w:r>
      <w:r w:rsidRPr="00A259BD">
        <w:rPr>
          <w:color w:val="000000" w:themeColor="text1"/>
          <w:sz w:val="16"/>
          <w:szCs w:val="16"/>
        </w:rPr>
        <w:noBreakHyphen/>
        <w:t>х годах, В 1907 г. рабочий Севастопольского порта Карев предложил Морскому министерству свое изобретение, придающее торпеде круговое движение. Это изобретение не было принято на вооружение потому, что Карев давал круговое и спиралеобразное движение торпеде за счет уменьшения дальности действия торпеды. Надо сказать, что и прибор т. </w:t>
      </w:r>
      <w:proofErr w:type="spellStart"/>
      <w:r w:rsidRPr="00A259BD">
        <w:rPr>
          <w:color w:val="000000" w:themeColor="text1"/>
          <w:sz w:val="16"/>
          <w:szCs w:val="16"/>
        </w:rPr>
        <w:t>Бекаури</w:t>
      </w:r>
      <w:proofErr w:type="spellEnd"/>
      <w:r w:rsidRPr="00A259BD">
        <w:rPr>
          <w:color w:val="000000" w:themeColor="text1"/>
          <w:sz w:val="16"/>
          <w:szCs w:val="16"/>
        </w:rPr>
        <w:t xml:space="preserve"> разрешает проблему спиралеобразного движения торпеды тоже за счет дальности. Однако т. </w:t>
      </w:r>
      <w:proofErr w:type="spellStart"/>
      <w:r w:rsidRPr="00A259BD">
        <w:rPr>
          <w:color w:val="000000" w:themeColor="text1"/>
          <w:sz w:val="16"/>
          <w:szCs w:val="16"/>
        </w:rPr>
        <w:t>Бекаури</w:t>
      </w:r>
      <w:proofErr w:type="spellEnd"/>
      <w:r w:rsidRPr="00A259BD">
        <w:rPr>
          <w:color w:val="000000" w:themeColor="text1"/>
          <w:sz w:val="16"/>
          <w:szCs w:val="16"/>
        </w:rPr>
        <w:t xml:space="preserve"> одновременно с возможностью придания торпеде и спиралеобразного движения увеличил и общую дальность торпеды на 1,5</w:t>
      </w:r>
      <w:r w:rsidRPr="00A259BD">
        <w:rPr>
          <w:color w:val="000000" w:themeColor="text1"/>
          <w:sz w:val="16"/>
          <w:szCs w:val="16"/>
        </w:rPr>
        <w:noBreakHyphen/>
        <w:t>2 тыс. км. Следовательно, т. </w:t>
      </w:r>
      <w:proofErr w:type="spellStart"/>
      <w:r w:rsidRPr="00A259BD">
        <w:rPr>
          <w:color w:val="000000" w:themeColor="text1"/>
          <w:sz w:val="16"/>
          <w:szCs w:val="16"/>
        </w:rPr>
        <w:t>Бекаури</w:t>
      </w:r>
      <w:proofErr w:type="spellEnd"/>
      <w:r w:rsidRPr="00A259BD">
        <w:rPr>
          <w:color w:val="000000" w:themeColor="text1"/>
          <w:sz w:val="16"/>
          <w:szCs w:val="16"/>
        </w:rPr>
        <w:t xml:space="preserve"> в своей работе по торпеде пошел значительно дальше изобретений рабочего Карева.</w:t>
      </w:r>
    </w:p>
    <w:p w14:paraId="697F89C8"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Полтора года тому назад в Балтийском море нами поднята английская подводная лодка вместе с находившимися на ней 7 английскими торпедами. Эти английские торпеды, производства 1917</w:t>
      </w:r>
      <w:r w:rsidRPr="00A259BD">
        <w:rPr>
          <w:color w:val="000000" w:themeColor="text1"/>
          <w:sz w:val="16"/>
          <w:szCs w:val="16"/>
        </w:rPr>
        <w:noBreakHyphen/>
        <w:t>1918 гг., имеют прибор, позволяющий придать торпеде не только прямое, но и круговое движение в форме эллипсиса, причем скорость английской торпеды равна 44</w:t>
      </w:r>
      <w:r w:rsidRPr="00A259BD">
        <w:rPr>
          <w:color w:val="000000" w:themeColor="text1"/>
          <w:sz w:val="16"/>
          <w:szCs w:val="16"/>
        </w:rPr>
        <w:noBreakHyphen/>
        <w:t>45 узлам в час и дальность при этой скорости составляет 4 тыс. м (4 км). Последняя же 21</w:t>
      </w:r>
      <w:r w:rsidRPr="00A259BD">
        <w:rPr>
          <w:color w:val="000000" w:themeColor="text1"/>
          <w:sz w:val="16"/>
          <w:szCs w:val="16"/>
        </w:rPr>
        <w:noBreakHyphen/>
        <w:t xml:space="preserve">дюймовая торпеда </w:t>
      </w:r>
      <w:proofErr w:type="spellStart"/>
      <w:r w:rsidRPr="00A259BD">
        <w:rPr>
          <w:color w:val="000000" w:themeColor="text1"/>
          <w:sz w:val="16"/>
          <w:szCs w:val="16"/>
        </w:rPr>
        <w:t>Бекаури</w:t>
      </w:r>
      <w:proofErr w:type="spellEnd"/>
      <w:r w:rsidRPr="00A259BD">
        <w:rPr>
          <w:color w:val="000000" w:themeColor="text1"/>
          <w:sz w:val="16"/>
          <w:szCs w:val="16"/>
        </w:rPr>
        <w:t>, окончательно еще не испытанная, должна дать 42</w:t>
      </w:r>
      <w:r w:rsidRPr="00A259BD">
        <w:rPr>
          <w:color w:val="000000" w:themeColor="text1"/>
          <w:sz w:val="16"/>
          <w:szCs w:val="16"/>
        </w:rPr>
        <w:noBreakHyphen/>
        <w:t>43 узла в час с дальностью при этой скорости 3,7 тыс. м; принятая же на вооружение 18</w:t>
      </w:r>
      <w:r w:rsidRPr="00A259BD">
        <w:rPr>
          <w:color w:val="000000" w:themeColor="text1"/>
          <w:sz w:val="16"/>
          <w:szCs w:val="16"/>
        </w:rPr>
        <w:noBreakHyphen/>
        <w:t xml:space="preserve">дюймовая торпеда </w:t>
      </w:r>
      <w:proofErr w:type="spellStart"/>
      <w:r w:rsidRPr="00A259BD">
        <w:rPr>
          <w:color w:val="000000" w:themeColor="text1"/>
          <w:sz w:val="16"/>
          <w:szCs w:val="16"/>
        </w:rPr>
        <w:t>Бекаури</w:t>
      </w:r>
      <w:proofErr w:type="spellEnd"/>
      <w:r w:rsidRPr="00A259BD">
        <w:rPr>
          <w:color w:val="000000" w:themeColor="text1"/>
          <w:sz w:val="16"/>
          <w:szCs w:val="16"/>
        </w:rPr>
        <w:t xml:space="preserve"> дает скорость только 38</w:t>
      </w:r>
      <w:r w:rsidRPr="00A259BD">
        <w:rPr>
          <w:color w:val="000000" w:themeColor="text1"/>
          <w:sz w:val="16"/>
          <w:szCs w:val="16"/>
        </w:rPr>
        <w:noBreakHyphen/>
        <w:t>39 узлов с дальностью 3 тыс. м.</w:t>
      </w:r>
    </w:p>
    <w:p w14:paraId="5CD5B04C"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Попутно с этим необходимо отметить весьма ненормальное положение, что английская торпеда до сих нор еще нами не испытана, несмотря на то что по всем данным она по скорости и дальности имеет преимущества даже перед последним образцом 21</w:t>
      </w:r>
      <w:r w:rsidRPr="00A259BD">
        <w:rPr>
          <w:color w:val="000000" w:themeColor="text1"/>
          <w:sz w:val="16"/>
          <w:szCs w:val="16"/>
        </w:rPr>
        <w:noBreakHyphen/>
        <w:t xml:space="preserve">дюймовой торпеды </w:t>
      </w:r>
      <w:proofErr w:type="spellStart"/>
      <w:r w:rsidRPr="00A259BD">
        <w:rPr>
          <w:color w:val="000000" w:themeColor="text1"/>
          <w:sz w:val="16"/>
          <w:szCs w:val="16"/>
        </w:rPr>
        <w:t>Остехбюро</w:t>
      </w:r>
      <w:proofErr w:type="spellEnd"/>
      <w:r w:rsidRPr="00A259BD">
        <w:rPr>
          <w:color w:val="000000" w:themeColor="text1"/>
          <w:sz w:val="16"/>
          <w:szCs w:val="16"/>
        </w:rPr>
        <w:t>. Приводимые выше данные об английской торпеде взяты из найденной в поднятой подводной лодке английской инструкции по применению торпеды. Известно также, что в конце мировой войны итальянцы придавали своей торпеде не только прямое, но и зигзагообразное движение.</w:t>
      </w:r>
    </w:p>
    <w:p w14:paraId="0CD92A01"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Таким образом, придание торпеде не только прямого, но и спирального движения, являясь ценным достижением, в то же время не является последним словом морской торпедной техники. Бесспорно, что за истекшие послевоенные годы англичане далеко ушли вперед в торпедном деле, и, по-видимому, главным образом, в направлении увеличения скорости движения торпеды, дальности ее действия и предохранения своих кораблей от действия неприятельских торпед.</w:t>
      </w:r>
    </w:p>
    <w:p w14:paraId="022D2C67"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 xml:space="preserve">2. Управление катерами по радио²*.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сконструирован прибор, позволяющий управлять по радио катерами, вооруженными торпедами. Однако и здесь необходимо указать, что еще в империалистическую войну германцы в 1917 г. у берегов Бельгии применили принцип управления катерами по радио, и одним из таких катеров, снаряженным взрывчатым веществом, был подорван английский монитор.</w:t>
      </w:r>
    </w:p>
    <w:p w14:paraId="1A0D1C33"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Уязвимость этого принципа управления катерами заключается в том, что неприятельский корабль, на который направляется катер, своей более мощной радиостанцией, действуя на радиоприемник катера, останавливает его движение.</w:t>
      </w:r>
    </w:p>
    <w:p w14:paraId="03FF8D86"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 xml:space="preserve">Как освободить катер от действия радиоволн с неприятельских кораблей и тем самым создать независимость движения катера от противника? Этой задачи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до настоящего времени еще не разрешило.</w:t>
      </w:r>
    </w:p>
    <w:p w14:paraId="7DE5129C"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 xml:space="preserve">Из сказанного видно, что управление катером вообще по радио не является достижением радиотехники сегодняшнего дня. Например, в прошлом году немцы в </w:t>
      </w:r>
      <w:proofErr w:type="spellStart"/>
      <w:r w:rsidRPr="00A259BD">
        <w:rPr>
          <w:color w:val="000000" w:themeColor="text1"/>
          <w:sz w:val="16"/>
          <w:szCs w:val="16"/>
        </w:rPr>
        <w:t>Кильском</w:t>
      </w:r>
      <w:proofErr w:type="spellEnd"/>
      <w:r w:rsidRPr="00A259BD">
        <w:rPr>
          <w:color w:val="000000" w:themeColor="text1"/>
          <w:sz w:val="16"/>
          <w:szCs w:val="16"/>
        </w:rPr>
        <w:t xml:space="preserve"> канале на маневрах флота провели управление по радио уже целой эскадрой. Англичане в последние годы неоднократно публично демонстрировали управление по радио не только катерами, но и громадными броненосцами.</w:t>
      </w:r>
    </w:p>
    <w:p w14:paraId="5807EF12"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3. 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решена проблема торпедометания с самолетов. Это является ценным достижением. Однако необходимо иметь в виду, что еще в империалистическую войну в Балтийском море немцы применили торпедометание с самолетов по русскому кораблю «Слава». Правда, это было произведено с небольших высот. Ценность изобретения </w:t>
      </w:r>
      <w:proofErr w:type="spellStart"/>
      <w:r w:rsidRPr="00A259BD">
        <w:rPr>
          <w:color w:val="000000" w:themeColor="text1"/>
          <w:sz w:val="16"/>
          <w:szCs w:val="16"/>
        </w:rPr>
        <w:t>Бекаури</w:t>
      </w:r>
      <w:proofErr w:type="spellEnd"/>
      <w:r w:rsidRPr="00A259BD">
        <w:rPr>
          <w:color w:val="000000" w:themeColor="text1"/>
          <w:sz w:val="16"/>
          <w:szCs w:val="16"/>
        </w:rPr>
        <w:t xml:space="preserve"> заключается в том, что применением парашютов, сконструированных </w:t>
      </w:r>
      <w:proofErr w:type="spellStart"/>
      <w:r w:rsidRPr="00A259BD">
        <w:rPr>
          <w:color w:val="000000" w:themeColor="text1"/>
          <w:sz w:val="16"/>
          <w:szCs w:val="16"/>
        </w:rPr>
        <w:t>Остехбюро</w:t>
      </w:r>
      <w:proofErr w:type="spellEnd"/>
      <w:r w:rsidRPr="00A259BD">
        <w:rPr>
          <w:color w:val="000000" w:themeColor="text1"/>
          <w:sz w:val="16"/>
          <w:szCs w:val="16"/>
        </w:rPr>
        <w:t>, значительно поднята высота для торпедометания.</w:t>
      </w:r>
    </w:p>
    <w:p w14:paraId="436B5DE1"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4. Минные заграждения против подводных лодок. Это, бесспорно, достижения, так как старый царский флот не умел применять этого средства борьбы с подводными лодками противника. Но в империалистическую войну этот способ применяли немцы и англичане. В частности, немцы применили минирование Дарданелл и против подводных лодок, что не дало возможности английским подводным лодкам войти в Дарданеллы.</w:t>
      </w:r>
    </w:p>
    <w:p w14:paraId="08FD6080"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 xml:space="preserve">Вот основные работы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в области морского вооружения. Как видишь, эти работы представляют ценность, но они ставят нас примерно только на уровень заграничной морской техники конца империалистической войны.</w:t>
      </w:r>
    </w:p>
    <w:p w14:paraId="7B6BC738"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 xml:space="preserve">Анализ основных работ </w:t>
      </w:r>
      <w:proofErr w:type="spellStart"/>
      <w:r w:rsidRPr="00A259BD">
        <w:rPr>
          <w:color w:val="000000" w:themeColor="text1"/>
          <w:sz w:val="16"/>
          <w:szCs w:val="16"/>
        </w:rPr>
        <w:t>Бекаури</w:t>
      </w:r>
      <w:proofErr w:type="spellEnd"/>
      <w:r w:rsidRPr="00A259BD">
        <w:rPr>
          <w:color w:val="000000" w:themeColor="text1"/>
          <w:sz w:val="16"/>
          <w:szCs w:val="16"/>
        </w:rPr>
        <w:t xml:space="preserve"> нами сделан не для того, чтобы умалить значение работ </w:t>
      </w:r>
      <w:proofErr w:type="spellStart"/>
      <w:r w:rsidRPr="00A259BD">
        <w:rPr>
          <w:color w:val="000000" w:themeColor="text1"/>
          <w:sz w:val="16"/>
          <w:szCs w:val="16"/>
        </w:rPr>
        <w:t>Остехбюро</w:t>
      </w:r>
      <w:proofErr w:type="spellEnd"/>
      <w:r w:rsidRPr="00A259BD">
        <w:rPr>
          <w:color w:val="000000" w:themeColor="text1"/>
          <w:sz w:val="16"/>
          <w:szCs w:val="16"/>
        </w:rPr>
        <w:t>, а для того, чтобы правильно поставить задачи для дальнейшей работы бюро по усилению боевых качеств нашего морского флота.</w:t>
      </w:r>
    </w:p>
    <w:p w14:paraId="70C69C70"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 xml:space="preserve">5. Остановимся еще на одной основной работе </w:t>
      </w:r>
      <w:proofErr w:type="spellStart"/>
      <w:r w:rsidRPr="00A259BD">
        <w:rPr>
          <w:color w:val="000000" w:themeColor="text1"/>
          <w:sz w:val="16"/>
          <w:szCs w:val="16"/>
        </w:rPr>
        <w:t>Бекаури</w:t>
      </w:r>
      <w:proofErr w:type="spellEnd"/>
      <w:r w:rsidRPr="00A259BD">
        <w:rPr>
          <w:color w:val="000000" w:themeColor="text1"/>
          <w:sz w:val="16"/>
          <w:szCs w:val="16"/>
        </w:rPr>
        <w:t xml:space="preserve"> — это взрывы, на которых ты присутствовал. Не следует думать, что этот принцип разрешен только нами. Судя по технической литературе, этот принцип разрешен во многих странах. Вся суть известного тебе способа заключается в том, чтобы обеспечить его от воздействия противника. Есть все основания считать, что наряду со взрывами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разрешило и задачу страховки взрывов от воздействия противника. Надо думать, что и другие страны, разрешившие принцип взрывов, имеют тоже свои секреты предохранения взрывов от воздействий противника.</w:t>
      </w:r>
    </w:p>
    <w:p w14:paraId="0E6C6083"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 xml:space="preserve">Вот основные работы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Все они к настоящему времени почти уже закончены. Каковы же перспективы дальнейшей работы </w:t>
      </w:r>
      <w:proofErr w:type="spellStart"/>
      <w:r w:rsidRPr="00A259BD">
        <w:rPr>
          <w:color w:val="000000" w:themeColor="text1"/>
          <w:sz w:val="16"/>
          <w:szCs w:val="16"/>
        </w:rPr>
        <w:t>Остехбюро</w:t>
      </w:r>
      <w:proofErr w:type="spellEnd"/>
      <w:r w:rsidRPr="00A259BD">
        <w:rPr>
          <w:color w:val="000000" w:themeColor="text1"/>
          <w:sz w:val="16"/>
          <w:szCs w:val="16"/>
        </w:rPr>
        <w:t>?</w:t>
      </w:r>
    </w:p>
    <w:p w14:paraId="6EBF43C0"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 xml:space="preserve">Наш вывод следующий: перед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нужно поставить ряд новых проблем и задач как в области морского вооружения (главным образом по минно-торпедному делу), так и в области вооружения сухопутной армии, главным образом по линии радио, связи и наблюдения за противником. Эти работы нужно увязать с задачей и работами по перевооружению армии. Для этого надо работу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теснее связать с </w:t>
      </w:r>
      <w:proofErr w:type="spellStart"/>
      <w:r w:rsidRPr="00A259BD">
        <w:rPr>
          <w:color w:val="000000" w:themeColor="text1"/>
          <w:sz w:val="16"/>
          <w:szCs w:val="16"/>
        </w:rPr>
        <w:t>РВСоветом</w:t>
      </w:r>
      <w:proofErr w:type="spellEnd"/>
      <w:r w:rsidRPr="00A259BD">
        <w:rPr>
          <w:color w:val="000000" w:themeColor="text1"/>
          <w:sz w:val="16"/>
          <w:szCs w:val="16"/>
        </w:rPr>
        <w:t xml:space="preserve">. Эта связь должна заключаться в том, что </w:t>
      </w:r>
      <w:proofErr w:type="spellStart"/>
      <w:r w:rsidRPr="00A259BD">
        <w:rPr>
          <w:color w:val="000000" w:themeColor="text1"/>
          <w:sz w:val="16"/>
          <w:szCs w:val="16"/>
        </w:rPr>
        <w:t>РВСовет</w:t>
      </w:r>
      <w:proofErr w:type="spellEnd"/>
      <w:r w:rsidRPr="00A259BD">
        <w:rPr>
          <w:color w:val="000000" w:themeColor="text1"/>
          <w:sz w:val="16"/>
          <w:szCs w:val="16"/>
        </w:rPr>
        <w:t xml:space="preserve"> устанавливает план работ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и назначает сроки их выполнения.</w:t>
      </w:r>
    </w:p>
    <w:p w14:paraId="3A970580"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 xml:space="preserve">Справится ли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с этими новыми задачами? Твердого вывода по этому вопросу у нас нет. Лучший способ — это проверить работу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на практике в течение следующего года. Одновременно с этим надо удешевить аппарат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так как в настоящее время этот аппарат является громоздким и дорогим. До настоящего времени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израсходовано около 17 млн. и количество сотрудников в нем без завода достигает 730 чел., а вместе с заводом 1783 чел.</w:t>
      </w:r>
    </w:p>
    <w:p w14:paraId="4EBAD6F1"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 xml:space="preserve">Другой вывод из обследования работ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 это надо ускорить темп освоения как промышленностью, так и </w:t>
      </w:r>
      <w:proofErr w:type="spellStart"/>
      <w:r w:rsidRPr="00A259BD">
        <w:rPr>
          <w:color w:val="000000" w:themeColor="text1"/>
          <w:sz w:val="16"/>
          <w:szCs w:val="16"/>
        </w:rPr>
        <w:t>военведом</w:t>
      </w:r>
      <w:proofErr w:type="spellEnd"/>
      <w:r w:rsidRPr="00A259BD">
        <w:rPr>
          <w:color w:val="000000" w:themeColor="text1"/>
          <w:sz w:val="16"/>
          <w:szCs w:val="16"/>
        </w:rPr>
        <w:t xml:space="preserve"> тех изобретений </w:t>
      </w:r>
      <w:proofErr w:type="spellStart"/>
      <w:r w:rsidRPr="00A259BD">
        <w:rPr>
          <w:color w:val="000000" w:themeColor="text1"/>
          <w:sz w:val="16"/>
          <w:szCs w:val="16"/>
        </w:rPr>
        <w:t>Остехбюро</w:t>
      </w:r>
      <w:proofErr w:type="spellEnd"/>
      <w:r w:rsidRPr="00A259BD">
        <w:rPr>
          <w:color w:val="000000" w:themeColor="text1"/>
          <w:sz w:val="16"/>
          <w:szCs w:val="16"/>
        </w:rPr>
        <w:t>, которые уже сданы на вооружение. Надо сказать, что дело освоения этих изобретений проходит весьма медленным темпом.</w:t>
      </w:r>
    </w:p>
    <w:p w14:paraId="70D4B46A" w14:textId="77777777" w:rsidR="00B25ADA" w:rsidRPr="00A259BD" w:rsidRDefault="00B25ADA"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С товарищеским приветом, </w:t>
      </w:r>
      <w:hyperlink r:id="rId129" w:history="1">
        <w:proofErr w:type="spellStart"/>
        <w:r w:rsidRPr="00A259BD">
          <w:rPr>
            <w:rStyle w:val="af0"/>
            <w:i w:val="0"/>
            <w:color w:val="000000" w:themeColor="text1"/>
            <w:sz w:val="16"/>
            <w:szCs w:val="16"/>
          </w:rPr>
          <w:t>Павлуновский</w:t>
        </w:r>
        <w:proofErr w:type="spellEnd"/>
      </w:hyperlink>
      <w:r w:rsidRPr="00A259BD">
        <w:rPr>
          <w:rStyle w:val="af0"/>
          <w:i w:val="0"/>
          <w:color w:val="000000" w:themeColor="text1"/>
          <w:sz w:val="16"/>
          <w:szCs w:val="16"/>
        </w:rPr>
        <w:t>, Мартинович</w:t>
      </w:r>
    </w:p>
    <w:p w14:paraId="2B1A30AF"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P. S. Дорогой Серго. 10 августа мы приступаем к обследованию Артиллерийского управления РККА. Привет, Павлуновский³*.</w:t>
      </w:r>
    </w:p>
    <w:p w14:paraId="26CA6BE3" w14:textId="77777777" w:rsidR="00B25ADA" w:rsidRPr="00A259BD" w:rsidRDefault="00B25ADA"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p>
    <w:p w14:paraId="3E99B3CA"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w:t>
      </w:r>
      <w:proofErr w:type="spellStart"/>
      <w:r w:rsidRPr="00A259BD">
        <w:rPr>
          <w:rStyle w:val="a7"/>
          <w:b w:val="0"/>
          <w:color w:val="000000" w:themeColor="text1"/>
          <w:sz w:val="16"/>
          <w:szCs w:val="16"/>
        </w:rPr>
        <w:t>Бекаури</w:t>
      </w:r>
      <w:proofErr w:type="spellEnd"/>
      <w:r w:rsidRPr="00A259BD">
        <w:rPr>
          <w:rStyle w:val="a7"/>
          <w:b w:val="0"/>
          <w:color w:val="000000" w:themeColor="text1"/>
          <w:sz w:val="16"/>
          <w:szCs w:val="16"/>
        </w:rPr>
        <w:t xml:space="preserve"> Владимир Иванович </w:t>
      </w:r>
      <w:r w:rsidRPr="00A259BD">
        <w:rPr>
          <w:color w:val="000000" w:themeColor="text1"/>
          <w:sz w:val="16"/>
          <w:szCs w:val="16"/>
        </w:rPr>
        <w:t>(1882</w:t>
      </w:r>
      <w:r w:rsidRPr="00A259BD">
        <w:rPr>
          <w:color w:val="000000" w:themeColor="text1"/>
          <w:sz w:val="16"/>
          <w:szCs w:val="16"/>
        </w:rPr>
        <w:noBreakHyphen/>
        <w:t>1938) — крупный изобретатель и главный конструктор ряда образцов военной техники. В 1921 г. возглавил экспериментальную мастерскую новейших изобретений, будущее Особое техническое бюро по военным изобретениям специального назначения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Руководил практически всеми главными разработками </w:t>
      </w:r>
      <w:proofErr w:type="spellStart"/>
      <w:r w:rsidRPr="00A259BD">
        <w:rPr>
          <w:color w:val="000000" w:themeColor="text1"/>
          <w:sz w:val="16"/>
          <w:szCs w:val="16"/>
        </w:rPr>
        <w:t>Осттехбюро</w:t>
      </w:r>
      <w:proofErr w:type="spellEnd"/>
      <w:r w:rsidRPr="00A259BD">
        <w:rPr>
          <w:color w:val="000000" w:themeColor="text1"/>
          <w:sz w:val="16"/>
          <w:szCs w:val="16"/>
        </w:rPr>
        <w:t xml:space="preserve">, в том числе в области минно-торпедного оружия, радиотелемеханики. В 1924 г. под его руководством проводились испытания радиоуправляемого катера «Торпеда» («Пионер»), в 1925 г. — демонстрация первого макета для управления взрывами по радио. В 1929 г. на вооружение РККА были приняты после всесторонних испытаний </w:t>
      </w:r>
      <w:proofErr w:type="spellStart"/>
      <w:r w:rsidRPr="00A259BD">
        <w:rPr>
          <w:color w:val="000000" w:themeColor="text1"/>
          <w:sz w:val="16"/>
          <w:szCs w:val="16"/>
        </w:rPr>
        <w:t>радиофугасы</w:t>
      </w:r>
      <w:proofErr w:type="spellEnd"/>
      <w:r w:rsidRPr="00A259BD">
        <w:rPr>
          <w:color w:val="000000" w:themeColor="text1"/>
          <w:sz w:val="16"/>
          <w:szCs w:val="16"/>
        </w:rPr>
        <w:t xml:space="preserve"> БЭМИ, получившие название по фамилиям основных изобретателей (</w:t>
      </w:r>
      <w:proofErr w:type="spellStart"/>
      <w:r w:rsidRPr="00A259BD">
        <w:rPr>
          <w:color w:val="000000" w:themeColor="text1"/>
          <w:sz w:val="16"/>
          <w:szCs w:val="16"/>
        </w:rPr>
        <w:t>Бекаури</w:t>
      </w:r>
      <w:proofErr w:type="spellEnd"/>
      <w:r w:rsidRPr="00A259BD">
        <w:rPr>
          <w:color w:val="000000" w:themeColor="text1"/>
          <w:sz w:val="16"/>
          <w:szCs w:val="16"/>
        </w:rPr>
        <w:t xml:space="preserve"> — </w:t>
      </w:r>
      <w:proofErr w:type="spellStart"/>
      <w:r w:rsidRPr="00A259BD">
        <w:rPr>
          <w:color w:val="000000" w:themeColor="text1"/>
          <w:sz w:val="16"/>
          <w:szCs w:val="16"/>
        </w:rPr>
        <w:t>Миткевич</w:t>
      </w:r>
      <w:proofErr w:type="spellEnd"/>
      <w:r w:rsidRPr="00A259BD">
        <w:rPr>
          <w:color w:val="000000" w:themeColor="text1"/>
          <w:sz w:val="16"/>
          <w:szCs w:val="16"/>
        </w:rPr>
        <w:t>). В 1932 г. «за исключительную самоотверженность, энергию и энтузиазм в деле укрепления обороноспособности страны» В. И. </w:t>
      </w:r>
      <w:proofErr w:type="spellStart"/>
      <w:r w:rsidRPr="00A259BD">
        <w:rPr>
          <w:color w:val="000000" w:themeColor="text1"/>
          <w:sz w:val="16"/>
          <w:szCs w:val="16"/>
        </w:rPr>
        <w:t>Бекаури</w:t>
      </w:r>
      <w:proofErr w:type="spellEnd"/>
      <w:r w:rsidRPr="00A259BD">
        <w:rPr>
          <w:color w:val="000000" w:themeColor="text1"/>
          <w:sz w:val="16"/>
          <w:szCs w:val="16"/>
        </w:rPr>
        <w:t xml:space="preserve"> был награжден орденом Красной Звезды.</w:t>
      </w:r>
    </w:p>
    <w:p w14:paraId="29931B6F"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2* </w:t>
      </w:r>
      <w:r w:rsidRPr="00A259BD">
        <w:rPr>
          <w:rStyle w:val="af0"/>
          <w:i w:val="0"/>
          <w:color w:val="000000" w:themeColor="text1"/>
          <w:sz w:val="16"/>
          <w:szCs w:val="16"/>
        </w:rPr>
        <w:t>Идея управления приборами по радио</w:t>
      </w:r>
      <w:r w:rsidRPr="00A259BD">
        <w:rPr>
          <w:color w:val="000000" w:themeColor="text1"/>
          <w:sz w:val="16"/>
          <w:szCs w:val="16"/>
        </w:rPr>
        <w:t xml:space="preserve"> высказывалась В. И. </w:t>
      </w:r>
      <w:proofErr w:type="spellStart"/>
      <w:r w:rsidRPr="00A259BD">
        <w:rPr>
          <w:color w:val="000000" w:themeColor="text1"/>
          <w:sz w:val="16"/>
          <w:szCs w:val="16"/>
        </w:rPr>
        <w:t>Бекаури</w:t>
      </w:r>
      <w:proofErr w:type="spellEnd"/>
      <w:r w:rsidRPr="00A259BD">
        <w:rPr>
          <w:color w:val="000000" w:themeColor="text1"/>
          <w:sz w:val="16"/>
          <w:szCs w:val="16"/>
        </w:rPr>
        <w:t xml:space="preserve"> еще в 1924 г. Первый раз макет прибора для управления взрывами по радио демонстрировался в июле 1925 г. в ленинградском Гребном порту. Испытания прошли успешно. В начале 1927 г. </w:t>
      </w:r>
      <w:proofErr w:type="spellStart"/>
      <w:r w:rsidRPr="00A259BD">
        <w:rPr>
          <w:color w:val="000000" w:themeColor="text1"/>
          <w:sz w:val="16"/>
          <w:szCs w:val="16"/>
        </w:rPr>
        <w:t>Остехбюро</w:t>
      </w:r>
      <w:proofErr w:type="spellEnd"/>
      <w:r w:rsidRPr="00A259BD">
        <w:rPr>
          <w:color w:val="000000" w:themeColor="text1"/>
          <w:sz w:val="16"/>
          <w:szCs w:val="16"/>
        </w:rPr>
        <w:t xml:space="preserve"> изготовило образцы приборов для управления взрывами по радио, получившие название «БЕМИ» (по начальным буквам фамилий их изобретателей — </w:t>
      </w:r>
      <w:proofErr w:type="spellStart"/>
      <w:r w:rsidRPr="00A259BD">
        <w:rPr>
          <w:color w:val="000000" w:themeColor="text1"/>
          <w:sz w:val="16"/>
          <w:szCs w:val="16"/>
        </w:rPr>
        <w:t>Бекаури</w:t>
      </w:r>
      <w:proofErr w:type="spellEnd"/>
      <w:r w:rsidRPr="00A259BD">
        <w:rPr>
          <w:color w:val="000000" w:themeColor="text1"/>
          <w:sz w:val="16"/>
          <w:szCs w:val="16"/>
        </w:rPr>
        <w:t xml:space="preserve"> и </w:t>
      </w:r>
      <w:proofErr w:type="spellStart"/>
      <w:r w:rsidRPr="00A259BD">
        <w:rPr>
          <w:color w:val="000000" w:themeColor="text1"/>
          <w:sz w:val="16"/>
          <w:szCs w:val="16"/>
        </w:rPr>
        <w:t>Миткевича</w:t>
      </w:r>
      <w:proofErr w:type="spellEnd"/>
      <w:r w:rsidRPr="00A259BD">
        <w:rPr>
          <w:color w:val="000000" w:themeColor="text1"/>
          <w:sz w:val="16"/>
          <w:szCs w:val="16"/>
        </w:rPr>
        <w:t xml:space="preserve">). 2 и 3 мая 1927 г. действие этих приборов демонстрировалось на полигоне вблизи Москвы, а управление ими производилось из Ленинграда радиостанцией </w:t>
      </w:r>
      <w:proofErr w:type="spellStart"/>
      <w:r w:rsidRPr="00A259BD">
        <w:rPr>
          <w:color w:val="000000" w:themeColor="text1"/>
          <w:sz w:val="16"/>
          <w:szCs w:val="16"/>
        </w:rPr>
        <w:t>Остехбюро</w:t>
      </w:r>
      <w:proofErr w:type="spellEnd"/>
      <w:r w:rsidRPr="00A259BD">
        <w:rPr>
          <w:color w:val="000000" w:themeColor="text1"/>
          <w:sz w:val="16"/>
          <w:szCs w:val="16"/>
        </w:rPr>
        <w:t>. В 1929 г. Приборы «БЕМИ» были приняты на вооружение Красной армии. Для использования этой техники в управлении связи РККА был создан сектор, а впоследствии отдел.</w:t>
      </w:r>
    </w:p>
    <w:p w14:paraId="0B903D01"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vertAlign w:val="superscript"/>
        </w:rPr>
        <w:t>3</w:t>
      </w:r>
      <w:r w:rsidRPr="00A259BD">
        <w:rPr>
          <w:color w:val="000000" w:themeColor="text1"/>
          <w:sz w:val="16"/>
          <w:szCs w:val="16"/>
        </w:rPr>
        <w:t>* Слова “с товарищеским приветом” и приписка написана от руки.</w:t>
      </w:r>
    </w:p>
    <w:p w14:paraId="37811460" w14:textId="77777777" w:rsidR="00B25ADA" w:rsidRPr="00A259BD" w:rsidRDefault="00B25ADA" w:rsidP="009236E3">
      <w:pPr>
        <w:pStyle w:val="ae"/>
        <w:spacing w:before="0" w:after="0"/>
        <w:jc w:val="both"/>
        <w:rPr>
          <w:color w:val="000000" w:themeColor="text1"/>
          <w:sz w:val="16"/>
          <w:szCs w:val="16"/>
        </w:rPr>
      </w:pPr>
      <w:r w:rsidRPr="00A259BD">
        <w:rPr>
          <w:color w:val="000000" w:themeColor="text1"/>
          <w:sz w:val="16"/>
          <w:szCs w:val="16"/>
        </w:rPr>
        <w:t>РГАСПИ. Ф. 85. Оп. 1. Д. 105. Л. 13-17 об. Подлинник.</w:t>
      </w:r>
    </w:p>
    <w:p w14:paraId="6DF76583"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РГАСПИ. Ф. 85. Оп. 1. Д. 105. Л. 13-17 об. Подлинник. </w:t>
      </w:r>
    </w:p>
    <w:p w14:paraId="46FE4D19"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345-348 (12461).</w:t>
      </w:r>
    </w:p>
    <w:p w14:paraId="24E09153" w14:textId="77777777" w:rsidR="00B25ADA" w:rsidRPr="00A259BD" w:rsidRDefault="00B25ADA" w:rsidP="009236E3">
      <w:pPr>
        <w:spacing w:after="0" w:line="240" w:lineRule="auto"/>
        <w:jc w:val="both"/>
        <w:rPr>
          <w:rFonts w:ascii="Times New Roman" w:hAnsi="Times New Roman"/>
          <w:color w:val="000000" w:themeColor="text1"/>
          <w:sz w:val="16"/>
          <w:szCs w:val="16"/>
        </w:rPr>
      </w:pPr>
    </w:p>
    <w:p w14:paraId="5633DD71"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8 августа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 xml:space="preserve">Политбюро ЦК ВКП(б) сочло целесообразным заключить договор с английской фирмой «Остин» на постройку автомобильного завода к августу 1931 г.; утвердило проект постановления ЦК ВКП (б) «О работе </w:t>
      </w:r>
      <w:proofErr w:type="spellStart"/>
      <w:r w:rsidRPr="00A259BD">
        <w:rPr>
          <w:rFonts w:ascii="Times New Roman" w:hAnsi="Times New Roman"/>
          <w:color w:val="000000" w:themeColor="text1"/>
          <w:sz w:val="16"/>
          <w:szCs w:val="16"/>
        </w:rPr>
        <w:t>Югостали</w:t>
      </w:r>
      <w:proofErr w:type="spellEnd"/>
      <w:r w:rsidRPr="00A259BD">
        <w:rPr>
          <w:rFonts w:ascii="Times New Roman" w:hAnsi="Times New Roman"/>
          <w:color w:val="000000" w:themeColor="text1"/>
          <w:sz w:val="16"/>
          <w:szCs w:val="16"/>
        </w:rPr>
        <w:t>» (12265).</w:t>
      </w:r>
    </w:p>
    <w:p w14:paraId="1EC30C0C"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3BB1F397" w14:textId="77777777" w:rsidR="002D2C25" w:rsidRPr="00A259BD" w:rsidRDefault="002D2C25" w:rsidP="009236E3">
      <w:pPr>
        <w:spacing w:after="0" w:line="240" w:lineRule="auto"/>
        <w:jc w:val="both"/>
        <w:rPr>
          <w:rFonts w:ascii="Times New Roman" w:hAnsi="Times New Roman"/>
          <w:iCs/>
          <w:color w:val="000000" w:themeColor="text1"/>
          <w:sz w:val="16"/>
          <w:szCs w:val="16"/>
        </w:rPr>
      </w:pPr>
      <w:r w:rsidRPr="00A259BD">
        <w:rPr>
          <w:rFonts w:ascii="Times New Roman" w:hAnsi="Times New Roman"/>
          <w:color w:val="000000" w:themeColor="text1"/>
          <w:sz w:val="16"/>
          <w:szCs w:val="16"/>
        </w:rPr>
        <w:t>8 августа 1929 г. Протокол ПБ № 92 п.4: О договоре с фирмой «Остин». (Куйбышев). Приняты решения: а) считать целесообразным заключение договора с фирмой «Остин», гарантирующего окончание постройки автозавода в августе 1931 г.; б) обязать ВСНХ СССР организовать постройку и развитие всех подсобных предприятий с таким расчетом, чтобы они могли выпустить продукцию в более короткий срок, в соответствии с ускорением срока пуска автомобильного завода и, в частности, обязать ВСНХ следить за своевременным снабжением строительными материалами; в) предложить ВСНХ СССР при заключении договора предусмотреть подписание специальной инструкции о порядке взаимоотношений между советским и американским техническим персоналом (15862).</w:t>
      </w:r>
    </w:p>
    <w:p w14:paraId="34DAA96B" w14:textId="77777777" w:rsidR="002D2C25" w:rsidRPr="00A259BD" w:rsidRDefault="002D2C25" w:rsidP="009236E3">
      <w:pPr>
        <w:spacing w:after="0" w:line="240" w:lineRule="auto"/>
        <w:jc w:val="both"/>
        <w:rPr>
          <w:rFonts w:ascii="Times New Roman" w:hAnsi="Times New Roman"/>
          <w:iCs/>
          <w:color w:val="000000" w:themeColor="text1"/>
          <w:sz w:val="16"/>
          <w:szCs w:val="16"/>
        </w:rPr>
      </w:pPr>
    </w:p>
    <w:p w14:paraId="43A2453D"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4347070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6E692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8-29 августа 1929 состоялся первый кругосветный перелет с остановками в пути (40 тыс. км за 21 день 7 ч 34 м) на дирижабле Граф Цеппелин под руководством </w:t>
      </w:r>
      <w:proofErr w:type="spellStart"/>
      <w:r w:rsidRPr="00A259BD">
        <w:rPr>
          <w:rFonts w:ascii="Times New Roman" w:hAnsi="Times New Roman"/>
          <w:color w:val="000000" w:themeColor="text1"/>
          <w:sz w:val="16"/>
          <w:szCs w:val="16"/>
        </w:rPr>
        <w:t>Eckener</w:t>
      </w:r>
      <w:proofErr w:type="spellEnd"/>
      <w:r w:rsidRPr="00A259BD">
        <w:rPr>
          <w:rFonts w:ascii="Times New Roman" w:hAnsi="Times New Roman"/>
          <w:color w:val="000000" w:themeColor="text1"/>
          <w:sz w:val="16"/>
          <w:szCs w:val="16"/>
        </w:rPr>
        <w:t xml:space="preserve"> (237,157).</w:t>
      </w:r>
    </w:p>
    <w:p w14:paraId="268A7B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9AF511C" w14:textId="77777777" w:rsidR="00270173" w:rsidRPr="00A259BD" w:rsidRDefault="0027017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августа в 1929 году начинается первый полет дирижабля вокруг земного шара (завершится 29 августа). Немецкое воздушное судно </w:t>
      </w:r>
      <w:hyperlink r:id="rId130" w:tgtFrame="_blank" w:history="1">
        <w:r w:rsidRPr="00A259BD">
          <w:rPr>
            <w:rFonts w:ascii="Times New Roman" w:hAnsi="Times New Roman"/>
            <w:color w:val="000000" w:themeColor="text1"/>
            <w:sz w:val="16"/>
            <w:szCs w:val="16"/>
          </w:rPr>
          <w:t xml:space="preserve">"Граф Цеппелин", </w:t>
        </w:r>
      </w:hyperlink>
      <w:r w:rsidRPr="00A259BD">
        <w:rPr>
          <w:rFonts w:ascii="Times New Roman" w:hAnsi="Times New Roman"/>
          <w:color w:val="000000" w:themeColor="text1"/>
          <w:sz w:val="16"/>
          <w:szCs w:val="16"/>
        </w:rPr>
        <w:t xml:space="preserve">которым командует доктор Хуго </w:t>
      </w:r>
      <w:proofErr w:type="spellStart"/>
      <w:r w:rsidRPr="00A259BD">
        <w:rPr>
          <w:rFonts w:ascii="Times New Roman" w:hAnsi="Times New Roman"/>
          <w:color w:val="000000" w:themeColor="text1"/>
          <w:sz w:val="16"/>
          <w:szCs w:val="16"/>
        </w:rPr>
        <w:t>Экенер</w:t>
      </w:r>
      <w:proofErr w:type="spellEnd"/>
      <w:r w:rsidRPr="00A259BD">
        <w:rPr>
          <w:rFonts w:ascii="Times New Roman" w:hAnsi="Times New Roman"/>
          <w:color w:val="000000" w:themeColor="text1"/>
          <w:sz w:val="16"/>
          <w:szCs w:val="16"/>
        </w:rPr>
        <w:t xml:space="preserve">, вылетает из </w:t>
      </w:r>
      <w:proofErr w:type="spellStart"/>
      <w:r w:rsidRPr="00A259BD">
        <w:rPr>
          <w:rFonts w:ascii="Times New Roman" w:hAnsi="Times New Roman"/>
          <w:color w:val="000000" w:themeColor="text1"/>
          <w:sz w:val="16"/>
          <w:szCs w:val="16"/>
        </w:rPr>
        <w:t>Лейкхерста</w:t>
      </w:r>
      <w:proofErr w:type="spellEnd"/>
      <w:r w:rsidRPr="00A259BD">
        <w:rPr>
          <w:rFonts w:ascii="Times New Roman" w:hAnsi="Times New Roman"/>
          <w:color w:val="000000" w:themeColor="text1"/>
          <w:sz w:val="16"/>
          <w:szCs w:val="16"/>
        </w:rPr>
        <w:t xml:space="preserve"> (штат Нью-Джерси) и отправляется в путь по маршруту Фридрихсхафен - Токио - Лос-Анджелес. "Граф Цеппелин" вернется в </w:t>
      </w:r>
      <w:proofErr w:type="spellStart"/>
      <w:r w:rsidRPr="00A259BD">
        <w:rPr>
          <w:rFonts w:ascii="Times New Roman" w:hAnsi="Times New Roman"/>
          <w:color w:val="000000" w:themeColor="text1"/>
          <w:sz w:val="16"/>
          <w:szCs w:val="16"/>
        </w:rPr>
        <w:t>Лейкхерст</w:t>
      </w:r>
      <w:proofErr w:type="spellEnd"/>
      <w:r w:rsidRPr="00A259BD">
        <w:rPr>
          <w:rFonts w:ascii="Times New Roman" w:hAnsi="Times New Roman"/>
          <w:color w:val="000000" w:themeColor="text1"/>
          <w:sz w:val="16"/>
          <w:szCs w:val="16"/>
        </w:rPr>
        <w:t xml:space="preserve"> через 21 день 5 часов 31 минуту. Пройденное им расстояние составит более чем 35200 км. Самый удачный из всех пассажирских дирижаблей, "Граф Цеппелин" пролетает более миллиона миль и перевезет в общей сложности около 13100 пассажиров, прежде чем будет списан на лом накануне второй мировой войны. Первые дирижабли имели корпус, изготовленный из плотной ткани. Они были небольшими по размерам. Такие дирижабли получили название мягких. Размышляя над тем, каким должен быть хороший, настоящий дирижабль, немецкий генерал, граф Фердинанд Цеппелин пришел к выводу, что воздушный корабль нужно делать жестким, в виде огромной сигары с ажурным металлическим каркасом внутри. Уже первый его дирижабль «LZ-1» был самым крупным из всех до того созданных — длиной почти сто тридцать метров и диаметром около двенадцати. Корабль вмещал более десяти тысяч кубических метров водорода и мог поднять груз весом до трех тонн. Подобные воздушные корабли потом стали называть цеппелинами. 2 июля 1900 года тысячная толпа, собравшаяся на берегу Боденского озера, с волнением наблюдала, как маленький пароходик выводил из плавучего эллинга дирижабль-гигант. На середине озера экипаж из четырех человек, включая графа Цеппелина, занял свои места в гондолах дирижабля. Под восторженные крики зрителей корабль оторвался от воды и поднялся в воздух. Первый полет продолжался минут двадцать. При посадке дирижабль получил небольшие повреждения. Позже он совершил еще пару полетов. И опять при посадке произошла авария. Поврежденный дирижабль сочли целесообразным разобрать. Второй дирижабль, «LZ-2», хоть и был улучшенной конструкции, но тоже оказался несчастливым. Ночью налетевший ураган обрушился на него и полностью уничтожил. Две неудачи подряд были для Цеппелина тяжелым ударом, но они не сломили волю упрямого графа. Третий по счету дирижабль был готов к осени 1906 года и вскоре отправился в полет. Наконец-то пришла удача, о которой так мечтал Цеппелин. «LZ-3» смог лететь без посадки в течение восьми часов со скоростью более пятидесяти километров в час. Ободренный успехом, граф строит четвертый цеппелин. Он был заметно больше предыдущих, объемом пятнадцать тысяч кубических метров, имел удобные пассажирские каюты. Первые же полеты «LZ-4» летом 1908 года оказались удачными, и ничто не предвещало ужасной катастрофы. В тот день, 4 августа 1908 года, дирижабль вылетел из </w:t>
      </w:r>
      <w:proofErr w:type="spellStart"/>
      <w:r w:rsidRPr="00A259BD">
        <w:rPr>
          <w:rFonts w:ascii="Times New Roman" w:hAnsi="Times New Roman"/>
          <w:color w:val="000000" w:themeColor="text1"/>
          <w:sz w:val="16"/>
          <w:szCs w:val="16"/>
        </w:rPr>
        <w:t>Фридрихсгафена</w:t>
      </w:r>
      <w:proofErr w:type="spellEnd"/>
      <w:r w:rsidRPr="00A259BD">
        <w:rPr>
          <w:rFonts w:ascii="Times New Roman" w:hAnsi="Times New Roman"/>
          <w:color w:val="000000" w:themeColor="text1"/>
          <w:sz w:val="16"/>
          <w:szCs w:val="16"/>
        </w:rPr>
        <w:t xml:space="preserve"> в город Майнц. Корабль успешно достиг конечного пункта. Однако на обратном пути вышел из строя один из двигателей. Пришлось совершить вынужденную посадку. Погода ухудшалась. Внезапно налетевший шквал вырвал из земли швартовые якоря. Освободившийся дирижабль сделал огромный скачок. Привязные канаты запутались в деревьях. Над дирижаблем показался огонь. Пожар быстро охватил весь корпус корабля. Раздался взрыв. Спасти дирижабль уже не было никакой возможности. Катастрофа дирижабля «LZ-4» вызвала в Германии небывалый подъем народных чувств.</w:t>
      </w:r>
    </w:p>
    <w:p w14:paraId="45C76096" w14:textId="77777777" w:rsidR="00270173" w:rsidRPr="00A259BD" w:rsidRDefault="0027017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короткий срок по всей империи было собрано свыше шести миллионов марок. Фердинанд Цеппелин становится одним из самых известных людей, настоящим национальным героем. Начиная работу над своими дирижаблями, граф видел в них прежде всего страшное оружие. Действительно, больше всего, около ста, было построено именно военных цеппелинов. В Первую мировую войну они применялись для разведки и бомбардировки. В ночь с 19 на 20 января 1915 года был совершен первый воздушный налет цеппелинов-бомбардировщиков на Англию. Устройство цеппелинов со временем становилось все лучше. Размеры их росли. Они могли подниматься на высоту до семи тысяч метров и лететь со скоростью более ста километров в час. Это радовало старого графа. Но коварная болезнь уже подтачивала его некогда могучий организм. Здоровье Цеппелина ухудшалось, и 8 марта 1917 года он скончался в одном из берлинских госпиталей. В последний путь создателя воздушных кораблей провожали более 20 тысяч человек! Когда окончилась Первая мировая война, побежденной Германии было запрещено строить огромные дирижабли. Только в 1926 году этот запрет был отменен. И почти сразу же началась постройка цеппелина «LZ-127» объемом более ста тысяч кубических метров. В память о летающем графе его назвали «Граф Цеппелин». В 1929 году этот дирижабль с тремя промежуточными посадками совершил кругосветное путешествие, а в 1931 отправился в арктическую экспедицию. Своими цеппелинами обзавелись США и Англия. Успехи были замечательными, но и ужасные катастрофы по-прежнему происходили. Из всех построенных цеппелинов более половины сгорели, взорвались, были разрушены ураганами. При этом погибло около 500 человек. Техника того времени еще не позволяла сделать цеппелины достаточно надежными. Самой известной и страшной стала катастрофа цеппелина «Гинденбург». Размеры этого дирижабля поражали. Его корпус имел длину в четверть километра, диаметр более сорока метров, объем двести тысяч кубометров. «Гинденбург» был гордостью нацистской Германии. В мае 1937 года, перелетев Атлантический океан и уже приближаясь к причальной мачте в аэропорту </w:t>
      </w:r>
      <w:proofErr w:type="spellStart"/>
      <w:r w:rsidRPr="00A259BD">
        <w:rPr>
          <w:rFonts w:ascii="Times New Roman" w:hAnsi="Times New Roman"/>
          <w:color w:val="000000" w:themeColor="text1"/>
          <w:sz w:val="16"/>
          <w:szCs w:val="16"/>
        </w:rPr>
        <w:t>Лейкхерст</w:t>
      </w:r>
      <w:proofErr w:type="spellEnd"/>
      <w:r w:rsidRPr="00A259BD">
        <w:rPr>
          <w:rFonts w:ascii="Times New Roman" w:hAnsi="Times New Roman"/>
          <w:color w:val="000000" w:themeColor="text1"/>
          <w:sz w:val="16"/>
          <w:szCs w:val="16"/>
        </w:rPr>
        <w:t xml:space="preserve"> близ Нью-Йорка, «Гинденбург» вдруг вспыхнул и сгорел за считанные минуты. В результате катастрофы погибло тридцать шесть человек. Многие получили ожоги и ранения. Гибель «Гинденбурга» сыграла роковую роль. Вера в гигантские воздушные корабли оказалась серьезно подорванной. Появились сомнения: а стоит ли строить эти гиганты? Тем более что уже появились очень крупные самолеты. Последним стал «Граф Цеппелин-2» — столь же огромный, как и сгоревший «Гинденбург». Но и его судьба оказалась печальной. После трех десятков испытательных полетов он в 1940 году был разобран по приказу министра фашистской авиации Германа Геринга, питавшего неприязнь к дирижаблям. Однако жесткие дирижабли до сих пор не забыты. Инженеры разных стран разрабатывают проекты воздушных кораблей, в том числе с атомными двигателями. Это будут совершенно новые дирижабли — намного </w:t>
      </w:r>
      <w:proofErr w:type="spellStart"/>
      <w:r w:rsidRPr="00A259BD">
        <w:rPr>
          <w:rFonts w:ascii="Times New Roman" w:hAnsi="Times New Roman"/>
          <w:color w:val="000000" w:themeColor="text1"/>
          <w:sz w:val="16"/>
          <w:szCs w:val="16"/>
        </w:rPr>
        <w:t>быстроходнее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грузоподъемнее</w:t>
      </w:r>
      <w:proofErr w:type="spellEnd"/>
      <w:r w:rsidRPr="00A259BD">
        <w:rPr>
          <w:rFonts w:ascii="Times New Roman" w:hAnsi="Times New Roman"/>
          <w:color w:val="000000" w:themeColor="text1"/>
          <w:sz w:val="16"/>
          <w:szCs w:val="16"/>
        </w:rPr>
        <w:t>, а главное — надежнее и безопаснее, чем цеппелины прошлого (14977).</w:t>
      </w:r>
    </w:p>
    <w:p w14:paraId="0CD123ED" w14:textId="77777777" w:rsidR="00270173" w:rsidRPr="00A259BD" w:rsidRDefault="00270173" w:rsidP="009236E3">
      <w:pPr>
        <w:spacing w:after="0" w:line="240" w:lineRule="auto"/>
        <w:jc w:val="both"/>
        <w:rPr>
          <w:rFonts w:ascii="Times New Roman" w:hAnsi="Times New Roman"/>
          <w:color w:val="000000" w:themeColor="text1"/>
          <w:sz w:val="16"/>
          <w:szCs w:val="16"/>
        </w:rPr>
      </w:pPr>
    </w:p>
    <w:p w14:paraId="160FD6BB" w14:textId="77777777" w:rsidR="00E77DD0" w:rsidRPr="00A259BD" w:rsidRDefault="00E77D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августа 1929 года из США стартовал первый в истории воздухоплавания кругосветный перелет на дирижабле. Аэростат «Граф Цеппелин» под руководством Хуго </w:t>
      </w:r>
      <w:proofErr w:type="spellStart"/>
      <w:r w:rsidRPr="00A259BD">
        <w:rPr>
          <w:rFonts w:ascii="Times New Roman" w:hAnsi="Times New Roman"/>
          <w:color w:val="000000" w:themeColor="text1"/>
          <w:sz w:val="16"/>
          <w:szCs w:val="16"/>
        </w:rPr>
        <w:t>Эккенера</w:t>
      </w:r>
      <w:proofErr w:type="spellEnd"/>
      <w:r w:rsidRPr="00A259BD">
        <w:rPr>
          <w:rFonts w:ascii="Times New Roman" w:hAnsi="Times New Roman"/>
          <w:color w:val="000000" w:themeColor="text1"/>
          <w:sz w:val="16"/>
          <w:szCs w:val="16"/>
        </w:rPr>
        <w:t xml:space="preserve"> за 21 сутки преодолел свыше 33 тыс. км, совершив лишь три промежуточные посадки и побив несколько рекордов.</w:t>
      </w:r>
    </w:p>
    <w:p w14:paraId="78AD86FE" w14:textId="77777777" w:rsidR="00E77DD0" w:rsidRPr="00A259BD" w:rsidRDefault="00E77D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Старт был на базе в </w:t>
      </w:r>
      <w:proofErr w:type="spellStart"/>
      <w:r w:rsidRPr="00A259BD">
        <w:rPr>
          <w:rFonts w:ascii="Times New Roman" w:hAnsi="Times New Roman"/>
          <w:color w:val="000000" w:themeColor="text1"/>
          <w:sz w:val="16"/>
          <w:szCs w:val="16"/>
        </w:rPr>
        <w:t>Лейкхерсте</w:t>
      </w:r>
      <w:proofErr w:type="spellEnd"/>
      <w:r w:rsidRPr="00A259BD">
        <w:rPr>
          <w:rFonts w:ascii="Times New Roman" w:hAnsi="Times New Roman"/>
          <w:color w:val="000000" w:themeColor="text1"/>
          <w:sz w:val="16"/>
          <w:szCs w:val="16"/>
        </w:rPr>
        <w:t xml:space="preserve"> недалеко от Нью-Йорка. Помимо членов команды на борт поднялись 18 пассажиров. В их числе оказалась журналистка Грейс </w:t>
      </w:r>
      <w:proofErr w:type="spellStart"/>
      <w:r w:rsidRPr="00A259BD">
        <w:rPr>
          <w:rFonts w:ascii="Times New Roman" w:hAnsi="Times New Roman"/>
          <w:color w:val="000000" w:themeColor="text1"/>
          <w:sz w:val="16"/>
          <w:szCs w:val="16"/>
        </w:rPr>
        <w:t>Драммонд</w:t>
      </w:r>
      <w:proofErr w:type="spellEnd"/>
      <w:r w:rsidRPr="00A259BD">
        <w:rPr>
          <w:rFonts w:ascii="Times New Roman" w:hAnsi="Times New Roman"/>
          <w:color w:val="000000" w:themeColor="text1"/>
          <w:sz w:val="16"/>
          <w:szCs w:val="16"/>
        </w:rPr>
        <w:t xml:space="preserve">-Хэй, ставшая, таким образом, первой женщиной, совершившей кругосветное путешествие. Имелись в группе и </w:t>
      </w:r>
      <w:proofErr w:type="spellStart"/>
      <w:r w:rsidRPr="00A259BD">
        <w:rPr>
          <w:rFonts w:ascii="Times New Roman" w:hAnsi="Times New Roman"/>
          <w:color w:val="000000" w:themeColor="text1"/>
          <w:sz w:val="16"/>
          <w:szCs w:val="16"/>
        </w:rPr>
        <w:t>кинохронист</w:t>
      </w:r>
      <w:proofErr w:type="spellEnd"/>
      <w:r w:rsidRPr="00A259BD">
        <w:rPr>
          <w:rFonts w:ascii="Times New Roman" w:hAnsi="Times New Roman"/>
          <w:color w:val="000000" w:themeColor="text1"/>
          <w:sz w:val="16"/>
          <w:szCs w:val="16"/>
        </w:rPr>
        <w:t>, и исследователь. Правительство США делегировало на рейс двух офицеров, летевших в качестве официальных наблюдателей. 55,5 часа потребовалось «Графу Цеппелину», чтобы перелететь Атлантический океан в обратном направлении. Первую посадку для дозаправки выполнили в Фридрихсхафене.</w:t>
      </w:r>
    </w:p>
    <w:p w14:paraId="3420ADEB" w14:textId="77777777" w:rsidR="00E77DD0" w:rsidRPr="00A259BD" w:rsidRDefault="00E77D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Воздухоплавательный аппарат имел в длину 237 м и в диаметре до 30,5 м. Его оснастили пятью моторами мощностью по 530 л. с. каждый, которые функционировали на специально разработанном газе.</w:t>
      </w:r>
    </w:p>
    <w:p w14:paraId="64BCDCB9" w14:textId="77777777" w:rsidR="00E77DD0" w:rsidRPr="00A259BD" w:rsidRDefault="00E77D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Запрет Версальского договора на строительство дирижаблей был снят в 1928 году. Средства на «Граф Цеппелин» собирались, что называется, всем миром. Инициатором выступил один из пионеров воздухоплавания и соратник покойного графа Цеппелина Хуго </w:t>
      </w:r>
      <w:proofErr w:type="spellStart"/>
      <w:r w:rsidRPr="00A259BD">
        <w:rPr>
          <w:rFonts w:ascii="Times New Roman" w:hAnsi="Times New Roman"/>
          <w:color w:val="000000" w:themeColor="text1"/>
          <w:sz w:val="16"/>
          <w:szCs w:val="16"/>
        </w:rPr>
        <w:t>Эккенер</w:t>
      </w:r>
      <w:proofErr w:type="spellEnd"/>
      <w:r w:rsidRPr="00A259BD">
        <w:rPr>
          <w:rFonts w:ascii="Times New Roman" w:hAnsi="Times New Roman"/>
          <w:color w:val="000000" w:themeColor="text1"/>
          <w:sz w:val="16"/>
          <w:szCs w:val="16"/>
        </w:rPr>
        <w:t>. Это было совершенно новое слово в развитии отрасли. «Граф Цеппелин» наделялся способностью развивать скорость до 120 км/ч и преодолевать без посадки до 14 тыс. км. Кабина находилась в специальной гондоле длиной 40 м, шириной 6 м, максимальной высотой 2,3 м и могла вмещать до 35 пассажиров. Экипаж состоял из 25 человек.</w:t>
      </w:r>
    </w:p>
    <w:p w14:paraId="3C6C8291" w14:textId="77777777" w:rsidR="00E77DD0" w:rsidRPr="00A259BD" w:rsidRDefault="00E77D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Проспонсировать кругосветку согласился ведущий газетный издатель США Уильям Рэндольф Херст. Ему удалось закрыть только часть расходов. Остальное компенсировалось за счет доставки почты в те города, где «Граф Цеппелин» делал плановые посадки.</w:t>
      </w:r>
    </w:p>
    <w:p w14:paraId="29D9DAF4" w14:textId="77777777" w:rsidR="00E77DD0" w:rsidRPr="00A259BD" w:rsidRDefault="00E77D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Официально полет должен был начаться в США – на родине Херста. Состав участников экспедиции там намеревались пополнить несколько сотрудников медиамагната. Исключительные права на освещение кругосветки в своих СМИ обошлись Херсту в $200 тыс., что в наше время эквивалентно $2,5 млн. Кроме того, на каждом захваченном с собой письме организаторы заработали $45.</w:t>
      </w:r>
    </w:p>
    <w:p w14:paraId="25B19A29" w14:textId="77777777" w:rsidR="00E77DD0" w:rsidRPr="00A259BD" w:rsidRDefault="00E77D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августа 1929 дирижабль отправился в затяжной путь через Восточную Европу и Советский Союз в Токио.</w:t>
      </w:r>
    </w:p>
    <w:p w14:paraId="2973D05E" w14:textId="77777777" w:rsidR="00E77DD0" w:rsidRPr="00A259BD" w:rsidRDefault="00E77D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Тогда же случился серьезный инцидент. Советские власти обратились к команде «Графа Цеппелина» по радио с просьбой пролететь над Москвой. Капитан </w:t>
      </w:r>
      <w:proofErr w:type="spellStart"/>
      <w:r w:rsidRPr="00A259BD">
        <w:rPr>
          <w:rFonts w:ascii="Times New Roman" w:hAnsi="Times New Roman"/>
          <w:color w:val="000000" w:themeColor="text1"/>
          <w:sz w:val="16"/>
          <w:szCs w:val="16"/>
        </w:rPr>
        <w:t>Эккенер</w:t>
      </w:r>
      <w:proofErr w:type="spellEnd"/>
      <w:r w:rsidRPr="00A259BD">
        <w:rPr>
          <w:rFonts w:ascii="Times New Roman" w:hAnsi="Times New Roman"/>
          <w:color w:val="000000" w:themeColor="text1"/>
          <w:sz w:val="16"/>
          <w:szCs w:val="16"/>
        </w:rPr>
        <w:t xml:space="preserve"> отказал Иосифу Сталину в такой прихоти из-за необходимости «воспользоваться попутным ветром и оставаться на прямой линии без отклонения от курса».</w:t>
      </w:r>
    </w:p>
    <w:p w14:paraId="5B0D65D6" w14:textId="77777777" w:rsidR="00E77DD0" w:rsidRPr="00A259BD" w:rsidRDefault="00E77D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вылетев из Фридрихсхафена, «Граф Цеппелин», прежде чем вновь пополнить топливные баки, увидел далеко внизу такие города, как Ульм, Нюрнберг, Лейпциг, Берлин, </w:t>
      </w:r>
      <w:proofErr w:type="spellStart"/>
      <w:r w:rsidRPr="00A259BD">
        <w:rPr>
          <w:rFonts w:ascii="Times New Roman" w:hAnsi="Times New Roman"/>
          <w:color w:val="000000" w:themeColor="text1"/>
          <w:sz w:val="16"/>
          <w:szCs w:val="16"/>
        </w:rPr>
        <w:t>Штеттин</w:t>
      </w:r>
      <w:proofErr w:type="spellEnd"/>
      <w:r w:rsidRPr="00A259BD">
        <w:rPr>
          <w:rFonts w:ascii="Times New Roman" w:hAnsi="Times New Roman"/>
          <w:color w:val="000000" w:themeColor="text1"/>
          <w:sz w:val="16"/>
          <w:szCs w:val="16"/>
        </w:rPr>
        <w:t>, Данциг (современный Гданьск), Кенигсберг (Калининград), Тильзит (Советск), Вологда, Пермь. Миновав затем устья Иртыша и Нижней Тунгуски, 18 августа дирижабль пролетел над Якутском, где его радостными криками и жестами встречали местные жители, Аяном и Николаевском-на-Амуре, пока не покинул территорию Советского Союза. Проведя в воздухе 101 час 40 минут, гигантский «летучий корабль» достиг, наконец, Токио. Попутно был установлен новый мировой рекорд по протяженности беспосадочного полета – 11 230 км. Во время отдыха на японских островах дирижабль базировался в бывшем немецком эллинге, доставшемся японцам после Первой мировой войны.</w:t>
      </w:r>
    </w:p>
    <w:p w14:paraId="2C08ABB8" w14:textId="77777777" w:rsidR="00E77DD0" w:rsidRPr="00A259BD" w:rsidRDefault="00E77D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августа «Граф Цеппелин» попрощался с Токио, открыв свою миссию над Тихим океаном.</w:t>
      </w:r>
    </w:p>
    <w:p w14:paraId="63B077AD" w14:textId="77777777" w:rsidR="00E77DD0" w:rsidRPr="00A259BD" w:rsidRDefault="00E77D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Теперь курс лежал на Лос-Анджелес через Сан-Франциско. Этот отрезок прошел уже без каких-либо приключений, если не считать, конечно, самого факта первого в истории беспосадочного полета на средствах любого типа через Тихий океан. Установление очередного рекорда заняло 79 ч 54 мин.</w:t>
      </w:r>
    </w:p>
    <w:p w14:paraId="03EC0CC8" w14:textId="77777777" w:rsidR="00E77DD0" w:rsidRPr="00A259BD" w:rsidRDefault="00E77D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последний раз дозаправившись в крупнейшем городе Калифорнии, «Граф Цеппелин» нанизал 13 штатов и 29 августа, через три недели после вылета на Восток, подлетел к </w:t>
      </w:r>
      <w:proofErr w:type="spellStart"/>
      <w:r w:rsidRPr="00A259BD">
        <w:rPr>
          <w:rFonts w:ascii="Times New Roman" w:hAnsi="Times New Roman"/>
          <w:color w:val="000000" w:themeColor="text1"/>
          <w:sz w:val="16"/>
          <w:szCs w:val="16"/>
        </w:rPr>
        <w:t>Лейкхерсту</w:t>
      </w:r>
      <w:proofErr w:type="spellEnd"/>
      <w:r w:rsidRPr="00A259BD">
        <w:rPr>
          <w:rFonts w:ascii="Times New Roman" w:hAnsi="Times New Roman"/>
          <w:color w:val="000000" w:themeColor="text1"/>
          <w:sz w:val="16"/>
          <w:szCs w:val="16"/>
        </w:rPr>
        <w:t xml:space="preserve"> с Запада. Суммарное время в полете составило 12 дней 12 часов и 13 минут. С учетом остановок – 21 д 5 ч 31 мин или 33 234 км. Заслуги капитана дирижабля </w:t>
      </w:r>
      <w:proofErr w:type="spellStart"/>
      <w:r w:rsidRPr="00A259BD">
        <w:rPr>
          <w:rFonts w:ascii="Times New Roman" w:hAnsi="Times New Roman"/>
          <w:color w:val="000000" w:themeColor="text1"/>
          <w:sz w:val="16"/>
          <w:szCs w:val="16"/>
        </w:rPr>
        <w:t>Эккенера</w:t>
      </w:r>
      <w:proofErr w:type="spellEnd"/>
      <w:r w:rsidRPr="00A259BD">
        <w:rPr>
          <w:rFonts w:ascii="Times New Roman" w:hAnsi="Times New Roman"/>
          <w:color w:val="000000" w:themeColor="text1"/>
          <w:sz w:val="16"/>
          <w:szCs w:val="16"/>
        </w:rPr>
        <w:t xml:space="preserve"> были оценены Золотой медалью Национального географического общества. Перед возвращением в Германию пилота принял президент США </w:t>
      </w:r>
      <w:hyperlink r:id="rId131" w:history="1">
        <w:r w:rsidRPr="00A259BD">
          <w:rPr>
            <w:rStyle w:val="a5"/>
            <w:rFonts w:ascii="Times New Roman" w:hAnsi="Times New Roman"/>
            <w:color w:val="000000" w:themeColor="text1"/>
            <w:sz w:val="16"/>
            <w:szCs w:val="16"/>
          </w:rPr>
          <w:t>Герберт Гувер</w:t>
        </w:r>
      </w:hyperlink>
    </w:p>
    <w:p w14:paraId="11B2FB79" w14:textId="77777777" w:rsidR="00E77DD0" w:rsidRPr="00A259BD" w:rsidRDefault="00E77D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1930 года в качестве извинения за непринятие приглашения залететь в Москву «Графу Цеппелину» пришлось совершить отдельный рейс в советскую столицу. На Октябрьском поле дирижабль встречала 100-тысячная восторженная толпа (20175).</w:t>
      </w:r>
    </w:p>
    <w:p w14:paraId="1A6607E2" w14:textId="77777777" w:rsidR="00E77DD0" w:rsidRPr="00A259BD" w:rsidRDefault="00E77DD0" w:rsidP="009236E3">
      <w:pPr>
        <w:spacing w:after="0" w:line="240" w:lineRule="auto"/>
        <w:jc w:val="both"/>
        <w:rPr>
          <w:rFonts w:ascii="Times New Roman" w:hAnsi="Times New Roman"/>
          <w:color w:val="000000" w:themeColor="text1"/>
          <w:sz w:val="16"/>
          <w:szCs w:val="16"/>
        </w:rPr>
      </w:pPr>
    </w:p>
    <w:p w14:paraId="5749220C" w14:textId="77777777" w:rsidR="00E77DD0" w:rsidRPr="00A259BD" w:rsidRDefault="00E77D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8–29 августа 1929 немецкий жесткий дирижабль LZ 127 </w:t>
      </w:r>
      <w:proofErr w:type="spellStart"/>
      <w:r w:rsidRPr="00A259BD">
        <w:rPr>
          <w:rFonts w:ascii="Times New Roman" w:hAnsi="Times New Roman"/>
          <w:color w:val="000000" w:themeColor="text1"/>
          <w:sz w:val="16"/>
          <w:szCs w:val="16"/>
        </w:rPr>
        <w:t>Graf</w:t>
      </w:r>
      <w:proofErr w:type="spellEnd"/>
      <w:r w:rsidRPr="00A259BD">
        <w:rPr>
          <w:rFonts w:ascii="Times New Roman" w:hAnsi="Times New Roman"/>
          <w:color w:val="000000" w:themeColor="text1"/>
          <w:sz w:val="16"/>
          <w:szCs w:val="16"/>
        </w:rPr>
        <w:t xml:space="preserve"> Zeppelin совершает кругосветное плавание в северном полушарии на восток из </w:t>
      </w:r>
      <w:proofErr w:type="spellStart"/>
      <w:r w:rsidRPr="00A259BD">
        <w:rPr>
          <w:rFonts w:ascii="Times New Roman" w:hAnsi="Times New Roman"/>
          <w:color w:val="000000" w:themeColor="text1"/>
          <w:sz w:val="16"/>
          <w:szCs w:val="16"/>
        </w:rPr>
        <w:t>Лейкхерста</w:t>
      </w:r>
      <w:proofErr w:type="spellEnd"/>
      <w:r w:rsidRPr="00A259BD">
        <w:rPr>
          <w:rFonts w:ascii="Times New Roman" w:hAnsi="Times New Roman"/>
          <w:color w:val="000000" w:themeColor="text1"/>
          <w:sz w:val="16"/>
          <w:szCs w:val="16"/>
        </w:rPr>
        <w:t>, штат Нью-Джерси, включая первый беспосадочный перелет через Тихий океан ( Токио - Лос-Анджелес) (20806).</w:t>
      </w:r>
    </w:p>
    <w:p w14:paraId="2BAC0200" w14:textId="77777777" w:rsidR="00E77DD0" w:rsidRPr="00A259BD" w:rsidRDefault="00E77DD0" w:rsidP="009236E3">
      <w:pPr>
        <w:spacing w:after="0" w:line="240" w:lineRule="auto"/>
        <w:jc w:val="both"/>
        <w:rPr>
          <w:rFonts w:ascii="Times New Roman" w:hAnsi="Times New Roman"/>
          <w:color w:val="000000" w:themeColor="text1"/>
          <w:sz w:val="16"/>
          <w:szCs w:val="16"/>
        </w:rPr>
      </w:pPr>
    </w:p>
    <w:p w14:paraId="00D57319" w14:textId="77777777" w:rsidR="00E77DD0" w:rsidRPr="00A259BD" w:rsidRDefault="00E77D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августа 1929 - Начало первого кругосветного перелета дирижабля "Граф Цеппелин". В августе-сентябре 1929 года дирижабль под командованием </w:t>
      </w:r>
      <w:proofErr w:type="spellStart"/>
      <w:r w:rsidRPr="00A259BD">
        <w:rPr>
          <w:rFonts w:ascii="Times New Roman" w:hAnsi="Times New Roman"/>
          <w:color w:val="000000" w:themeColor="text1"/>
          <w:sz w:val="16"/>
          <w:szCs w:val="16"/>
        </w:rPr>
        <w:t>Xуго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Эккенера</w:t>
      </w:r>
      <w:proofErr w:type="spellEnd"/>
      <w:r w:rsidRPr="00A259BD">
        <w:rPr>
          <w:rFonts w:ascii="Times New Roman" w:hAnsi="Times New Roman"/>
          <w:color w:val="000000" w:themeColor="text1"/>
          <w:sz w:val="16"/>
          <w:szCs w:val="16"/>
        </w:rPr>
        <w:t xml:space="preserve"> осуществил первый в истории воздухоплавания кругосветный перелёт. Стартовав в </w:t>
      </w:r>
      <w:proofErr w:type="spellStart"/>
      <w:r w:rsidRPr="00A259BD">
        <w:rPr>
          <w:rFonts w:ascii="Times New Roman" w:hAnsi="Times New Roman"/>
          <w:color w:val="000000" w:themeColor="text1"/>
          <w:sz w:val="16"/>
          <w:szCs w:val="16"/>
        </w:rPr>
        <w:t>Лейкхерсте</w:t>
      </w:r>
      <w:proofErr w:type="spellEnd"/>
      <w:r w:rsidRPr="00A259BD">
        <w:rPr>
          <w:rFonts w:ascii="Times New Roman" w:hAnsi="Times New Roman"/>
          <w:color w:val="000000" w:themeColor="text1"/>
          <w:sz w:val="16"/>
          <w:szCs w:val="16"/>
        </w:rPr>
        <w:t>, «Граф Цеппелин» за 20 суток преодолел более 34 тыс. км со средней полётной скоростью около 115 км/ч, совершив при этом лишь три промежуточные посадки – во Фридрихсхафене, Токио и Лос-Анджелесе. Основной целью перелёта была пропаганда возможностей жёстких дирижаблей, попутно делались метеорологические наблюдения (22405).</w:t>
      </w:r>
    </w:p>
    <w:p w14:paraId="17AD494C" w14:textId="77777777" w:rsidR="00E77DD0" w:rsidRPr="00A259BD" w:rsidRDefault="00E77DD0" w:rsidP="009236E3">
      <w:pPr>
        <w:spacing w:after="0" w:line="240" w:lineRule="auto"/>
        <w:jc w:val="both"/>
        <w:rPr>
          <w:rFonts w:ascii="Times New Roman" w:hAnsi="Times New Roman"/>
          <w:color w:val="000000" w:themeColor="text1"/>
          <w:sz w:val="16"/>
          <w:szCs w:val="16"/>
        </w:rPr>
      </w:pPr>
    </w:p>
    <w:p w14:paraId="4E5BEED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7E7CE8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2EC0C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августа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64):</w:t>
      </w:r>
    </w:p>
    <w:p w14:paraId="44B5FD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Слушали: О слиянии ОПО-3 и ОПО-4</w:t>
      </w:r>
    </w:p>
    <w:p w14:paraId="14C297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 ОПО-3 и ОПО-4 как самостоятельные опытные КБ упразднить, слив их в центральное КБ по морскому самолетостроению под общим наименованием "морское опытное строительство" (2351,236).</w:t>
      </w:r>
    </w:p>
    <w:p w14:paraId="082ED2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756C539" w14:textId="77777777" w:rsidR="00B25ADA" w:rsidRPr="00A259BD" w:rsidRDefault="00B25ADA" w:rsidP="009236E3">
      <w:pPr>
        <w:pStyle w:val="113"/>
        <w:shd w:val="clear" w:color="auto" w:fill="auto"/>
        <w:spacing w:line="240" w:lineRule="auto"/>
        <w:jc w:val="both"/>
        <w:rPr>
          <w:rFonts w:ascii="Times New Roman" w:hAnsi="Times New Roman" w:cs="Times New Roman"/>
          <w:b w:val="0"/>
          <w:color w:val="000000" w:themeColor="text1"/>
          <w:sz w:val="16"/>
          <w:szCs w:val="16"/>
        </w:rPr>
      </w:pPr>
      <w:r w:rsidRPr="00A259BD">
        <w:rPr>
          <w:rFonts w:ascii="Times New Roman" w:hAnsi="Times New Roman" w:cs="Times New Roman"/>
          <w:b w:val="0"/>
          <w:color w:val="000000" w:themeColor="text1"/>
          <w:sz w:val="16"/>
          <w:szCs w:val="16"/>
        </w:rPr>
        <w:t>9 августа 1929 г. в целях концентрации конструкторских сил на заседании Правле</w:t>
      </w:r>
      <w:r w:rsidRPr="00A259BD">
        <w:rPr>
          <w:rFonts w:ascii="Times New Roman" w:hAnsi="Times New Roman" w:cs="Times New Roman"/>
          <w:b w:val="0"/>
          <w:color w:val="000000" w:themeColor="text1"/>
          <w:sz w:val="16"/>
          <w:szCs w:val="16"/>
        </w:rPr>
        <w:softHyphen/>
        <w:t xml:space="preserve">ния </w:t>
      </w:r>
      <w:proofErr w:type="spellStart"/>
      <w:r w:rsidRPr="00A259BD">
        <w:rPr>
          <w:rFonts w:ascii="Times New Roman" w:hAnsi="Times New Roman" w:cs="Times New Roman"/>
          <w:b w:val="0"/>
          <w:color w:val="000000" w:themeColor="text1"/>
          <w:sz w:val="16"/>
          <w:szCs w:val="16"/>
        </w:rPr>
        <w:t>Авиатреста</w:t>
      </w:r>
      <w:proofErr w:type="spellEnd"/>
      <w:r w:rsidRPr="00A259BD">
        <w:rPr>
          <w:rFonts w:ascii="Times New Roman" w:hAnsi="Times New Roman" w:cs="Times New Roman"/>
          <w:b w:val="0"/>
          <w:color w:val="000000" w:themeColor="text1"/>
          <w:sz w:val="16"/>
          <w:szCs w:val="16"/>
        </w:rPr>
        <w:t xml:space="preserve"> решили ОПО-3 и ОПО-4 слить в Центральное конструкторское бюро по опытному морскому самолетостроению под общим названием «Морское опытное строительство» — МОС. Приказ о создании МОС появился позднее — в феврале 1930 г. Главным конструктором назначили Ришара. Базирование для нового конструк</w:t>
      </w:r>
      <w:r w:rsidRPr="00A259BD">
        <w:rPr>
          <w:rFonts w:ascii="Times New Roman" w:hAnsi="Times New Roman" w:cs="Times New Roman"/>
          <w:b w:val="0"/>
          <w:color w:val="000000" w:themeColor="text1"/>
          <w:sz w:val="16"/>
          <w:szCs w:val="16"/>
        </w:rPr>
        <w:softHyphen/>
        <w:t>торского бюро определили на авиазаводе №22 при общем руководстве директора Ф.С. Малахова. Впрочем, новая организация в ряде документов продолжала имено</w:t>
      </w:r>
      <w:r w:rsidRPr="00A259BD">
        <w:rPr>
          <w:rFonts w:ascii="Times New Roman" w:hAnsi="Times New Roman" w:cs="Times New Roman"/>
          <w:b w:val="0"/>
          <w:color w:val="000000" w:themeColor="text1"/>
          <w:sz w:val="16"/>
          <w:szCs w:val="16"/>
        </w:rPr>
        <w:softHyphen/>
        <w:t>ваться ОПО-4.</w:t>
      </w:r>
    </w:p>
    <w:p w14:paraId="26D8D029"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Несмотря на приведенный обширный план разрабатываемых проектов, уже с весны 1930 г. конкретных заданий конструкторскому бюро Ришара не давалось. В тот период уже был построен и выпускался серийно бомбардировщик ТБ-1, который мог устанавливаться на поплавки, поэтому выбор сделали в его пользу. После этого французский авиаконструктор Поль </w:t>
      </w:r>
      <w:proofErr w:type="spellStart"/>
      <w:r w:rsidRPr="00A259BD">
        <w:rPr>
          <w:rFonts w:ascii="Times New Roman" w:hAnsi="Times New Roman"/>
          <w:color w:val="000000" w:themeColor="text1"/>
          <w:sz w:val="16"/>
          <w:szCs w:val="16"/>
        </w:rPr>
        <w:t>Эмэ</w:t>
      </w:r>
      <w:proofErr w:type="spellEnd"/>
      <w:r w:rsidRPr="00A259BD">
        <w:rPr>
          <w:rFonts w:ascii="Times New Roman" w:hAnsi="Times New Roman"/>
          <w:color w:val="000000" w:themeColor="text1"/>
          <w:sz w:val="16"/>
          <w:szCs w:val="16"/>
        </w:rPr>
        <w:t xml:space="preserve"> Ришар вернулся на родину (12609).</w:t>
      </w:r>
    </w:p>
    <w:p w14:paraId="66B66E10" w14:textId="77777777" w:rsidR="00B25ADA" w:rsidRPr="00A259BD" w:rsidRDefault="00B25ADA" w:rsidP="009236E3">
      <w:pPr>
        <w:spacing w:after="0" w:line="240" w:lineRule="auto"/>
        <w:jc w:val="both"/>
        <w:rPr>
          <w:rFonts w:ascii="Times New Roman" w:hAnsi="Times New Roman"/>
          <w:color w:val="000000" w:themeColor="text1"/>
          <w:sz w:val="16"/>
          <w:szCs w:val="16"/>
        </w:rPr>
      </w:pPr>
    </w:p>
    <w:p w14:paraId="7FA94C5A"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августа 1929 г. — Директивное письмо члена Президиума ВСНХ СССР и начальника ГВПУ М. Г. Урываева председателю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И. К. Михайлову и всем директорам заводов авиапромышленности о мероприятиях по устранению недостатков работы отрасли</w:t>
      </w:r>
    </w:p>
    <w:p w14:paraId="1CE31228"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Совершенно секретно.</w:t>
      </w:r>
    </w:p>
    <w:p w14:paraId="4E3C4CF1"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Особое значение авиационной промышленности в деле обороны страны, что, несомненно, хорошо представляет себе каждый из Вас, требует усиленного внимания к вопросам ее развития. Здесь, в первую очередь, предъявляются требования быстрым темпом идти вперед в деле совершенствования авиационной техники и количественного роста боевых средств. Между тем существующее в авиационной промышленности положение, несмотря на имеющийся ряд достижений за последние годы, показывает, что мы в этой важнейшей отрасли промышленности имеем ряд существенных недостатков, требующих решительных мероприятий для их устранения. На основные и важнейшие из них обращаю Ваше внимание и предлагаю провести для устранения их нижеследующие мероприятия.</w:t>
      </w:r>
    </w:p>
    <w:p w14:paraId="7A608D2B"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Прохождение опытных работ и внедрение в серийное производство более совершенных образцов самолетов и моторов</w:t>
      </w:r>
    </w:p>
    <w:p w14:paraId="65149FBB"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Основным вопросом, который необходимо авиационной промышленности разрешить форсированным темпом, является упорядочение и ускорение опытного строительства и внедрения в серийное производство более совершенных типов самолетов и моторов. Надо признать, что наряду с достижениями по линии опытного самолетостроения, давшего за последние 1,5 года ряд новых конструкций, частью принятых уже на снабжение и частью находящихся в стадии испытания; по линии моторостроения мы имеем менее благоприятное положение. В течение ближайших месяцев необходимо окончательно завершить испытания мощных моторов, находящихся в опытном строительстве по заводу № 24 с тем, чтобы можно было решить вопрос о постановке в серийное производство этих новых типов взамен существующих и уже, как Вам всем хорошо известно, устаревших.</w:t>
      </w:r>
    </w:p>
    <w:p w14:paraId="6340C58A"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Предлагаю правлению треста и директору завода № 24 уделить особое внимание проведению работ по испытаниям моторов W</w:t>
      </w:r>
      <w:r w:rsidRPr="00A259BD">
        <w:rPr>
          <w:rFonts w:ascii="Times New Roman" w:hAnsi="Times New Roman"/>
          <w:color w:val="000000" w:themeColor="text1"/>
          <w:sz w:val="16"/>
          <w:szCs w:val="16"/>
        </w:rPr>
        <w:noBreakHyphen/>
        <w:t>образных, V</w:t>
      </w:r>
      <w:r w:rsidRPr="00A259BD">
        <w:rPr>
          <w:rFonts w:ascii="Times New Roman" w:hAnsi="Times New Roman"/>
          <w:color w:val="000000" w:themeColor="text1"/>
          <w:sz w:val="16"/>
          <w:szCs w:val="16"/>
        </w:rPr>
        <w:noBreakHyphen/>
        <w:t>образных и 2М</w:t>
      </w:r>
      <w:r w:rsidRPr="00A259BD">
        <w:rPr>
          <w:rFonts w:ascii="Times New Roman" w:hAnsi="Times New Roman"/>
          <w:color w:val="000000" w:themeColor="text1"/>
          <w:sz w:val="16"/>
          <w:szCs w:val="16"/>
        </w:rPr>
        <w:noBreakHyphen/>
        <w:t xml:space="preserve">15 с тем, чтобы окончательно можно было установить, какой из этих типов мотора будет пущен в серийное производство. Необходимо уточнить имеющуюся в </w:t>
      </w:r>
      <w:proofErr w:type="spellStart"/>
      <w:r w:rsidRPr="00A259BD">
        <w:rPr>
          <w:rFonts w:ascii="Times New Roman" w:hAnsi="Times New Roman"/>
          <w:color w:val="000000" w:themeColor="text1"/>
          <w:sz w:val="16"/>
          <w:szCs w:val="16"/>
        </w:rPr>
        <w:t>Авиатресте</w:t>
      </w:r>
      <w:proofErr w:type="spellEnd"/>
      <w:r w:rsidRPr="00A259BD">
        <w:rPr>
          <w:rFonts w:ascii="Times New Roman" w:hAnsi="Times New Roman"/>
          <w:color w:val="000000" w:themeColor="text1"/>
          <w:sz w:val="16"/>
          <w:szCs w:val="16"/>
        </w:rPr>
        <w:t xml:space="preserve"> наметку плана опытного моторостроения в трех- и пятилетием разрезе, с внедрением в нее тех изменений, которые приближали бы нас к уровню европейской авиамоторной техники. Неотложной также задачей является усиление конструкторского бюро по моторостроению как за счет молодых конструкторских сил, так и в порядке осуществления согласованного с Вами плана приглашения конструкторов для опытного моторостроения из-за границы.</w:t>
      </w:r>
    </w:p>
    <w:p w14:paraId="46E71B98"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 же время необходимо принять самые решительные меры к ускорению темпа опытного строительства и по самолетостроению, главным образом по заводу № 25, форсируя испытания типов истребителей И</w:t>
      </w:r>
      <w:r w:rsidRPr="00A259BD">
        <w:rPr>
          <w:rFonts w:ascii="Times New Roman" w:hAnsi="Times New Roman"/>
          <w:color w:val="000000" w:themeColor="text1"/>
          <w:sz w:val="16"/>
          <w:szCs w:val="16"/>
        </w:rPr>
        <w:noBreakHyphen/>
        <w:t>6 и И</w:t>
      </w:r>
      <w:r w:rsidRPr="00A259BD">
        <w:rPr>
          <w:rFonts w:ascii="Times New Roman" w:hAnsi="Times New Roman"/>
          <w:color w:val="000000" w:themeColor="text1"/>
          <w:sz w:val="16"/>
          <w:szCs w:val="16"/>
        </w:rPr>
        <w:noBreakHyphen/>
        <w:t>7, а также окончание постройки опытной машины ТБ</w:t>
      </w:r>
      <w:r w:rsidRPr="00A259BD">
        <w:rPr>
          <w:rFonts w:ascii="Times New Roman" w:hAnsi="Times New Roman"/>
          <w:color w:val="000000" w:themeColor="text1"/>
          <w:sz w:val="16"/>
          <w:szCs w:val="16"/>
        </w:rPr>
        <w:noBreakHyphen/>
        <w:t xml:space="preserve">2 с тем, чтобы не упустить осеннего летнего сезона для испытания и выявления качеств этой машины. Особое внимание необходимо уделить быстрейшему проведению всех вопросов, связанных с работой </w:t>
      </w:r>
      <w:hyperlink r:id="rId132" w:history="1">
        <w:r w:rsidRPr="00A259BD">
          <w:rPr>
            <w:rStyle w:val="a5"/>
            <w:rFonts w:ascii="Times New Roman" w:hAnsi="Times New Roman"/>
            <w:color w:val="000000" w:themeColor="text1"/>
            <w:sz w:val="16"/>
            <w:szCs w:val="16"/>
            <w:u w:val="none"/>
          </w:rPr>
          <w:t>конструкторской группы инженера Ришара</w:t>
        </w:r>
      </w:hyperlink>
      <w:r w:rsidRPr="00A259BD">
        <w:rPr>
          <w:rFonts w:ascii="Times New Roman" w:hAnsi="Times New Roman"/>
          <w:color w:val="000000" w:themeColor="text1"/>
          <w:sz w:val="16"/>
          <w:szCs w:val="16"/>
        </w:rPr>
        <w:t xml:space="preserve"> в области морского самолетостроения.</w:t>
      </w:r>
    </w:p>
    <w:p w14:paraId="2B1A759B"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Мобилизационная подготовка заводов авиационной промышленности</w:t>
      </w:r>
    </w:p>
    <w:p w14:paraId="311E778D"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 по другим трестам военной промышленности, так и по Авиационному тресту и его заводам вопрос мобилизационный подготовки и развертывания являлся и в дальнейшем является основным звеном по всей Вашей работе. Известное Вам решение правительства, устанавливающее отправные цифры мощности заводов авиационной группы по пятилетнему плану, накладывает на всех работников авиационной промышленности серьезные обязательства по быстрейшему развертыванию заводов авиационной промышленности. Поэтому необходимо форсировать работы по доведению мощностей существующих заводов до размеров, намеченных по плану текущего года, а также в дальнейшем — до той максимальной пропускной возможности, которая определена перспективным планом для каждого завода.</w:t>
      </w:r>
    </w:p>
    <w:p w14:paraId="78DD378F"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 подробным образом подработать вопрос состояния мобилизационных запасов, обратив особое внимание на дело обеспечения мобилизационной готовности необходимым инструментом и приспособлениями на случай быстрейшего развертывания работы заводов Вашего треста в условиях мобилизации.</w:t>
      </w:r>
    </w:p>
    <w:p w14:paraId="59A952E6"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Существующие мощности заводов </w:t>
      </w:r>
      <w:proofErr w:type="spellStart"/>
      <w:r w:rsidRPr="00A259BD">
        <w:rPr>
          <w:rFonts w:ascii="Times New Roman" w:hAnsi="Times New Roman"/>
          <w:color w:val="000000" w:themeColor="text1"/>
          <w:sz w:val="16"/>
          <w:szCs w:val="16"/>
        </w:rPr>
        <w:t>Авиатреста</w:t>
      </w:r>
      <w:proofErr w:type="spellEnd"/>
    </w:p>
    <w:p w14:paraId="4FDE1566"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подсчета существующих мощностей заводов Вашего треста необходимо констатировать медленность проработки этого вопроса, в результате чего только в июне месяце этого года работа сдвинулась с места. До последнего времени трест и заводы не установили себе различия между понятиями мощности и выпуска. В результате этого затрудняется проверка «узких» мест и наметки конкретных мероприятий по их устранению.</w:t>
      </w:r>
    </w:p>
    <w:p w14:paraId="15E7CDB6"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Предлагаю тресту и заводам взять установку на срочное окончание этой работы с тем, чтобы в течение ближайшего месяца в коллегии ГВПУ был заслушан доклад на эту тему. При расчетах надлежит также учитывать те изменения мощностей, которые произошли за соответствующий период времени за счет улучшения организации производства и рационализации технологических процессов.</w:t>
      </w:r>
    </w:p>
    <w:p w14:paraId="78CB88EB"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Недостатки в боевых качествах продукции авиационной промышленности</w:t>
      </w:r>
    </w:p>
    <w:p w14:paraId="33509C5A"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Боевые качества продукции авиационной промышленности играют решающую роль, а поэтому необходимо обратить внимание на этот вопрос всех руководителей авиационной промышленности. Нужно признать, что по отдельным видам продукции, выпускаемой заводами авиационной промышленности, качество оставляет еще желать много лучшего. В процессе производства приходится производить целый ряд переделок. По отдельным заводам руководящий технический персонал не уяснил себе еще всей важности вопросов качества изделий. В частности, не изжито еще совершенно ненормальное положение по заводу № 31, где этим вопросам и до настоящего времени не уделяется должного внимания. Считаю необходимым на этом вопросе остановить внимание всего рабочего состава и, главным образом, технического персонала.</w:t>
      </w:r>
    </w:p>
    <w:p w14:paraId="368B01A3"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установления единства взглядов в этой области предлагаю Вам созвать соответствующего состава специальное совещание для разработки конкретных мероприятий, гарантирующих дальнейшее улучшение боевых качеств выпускаемой продукции как по моторным, так и по самолетным заводам авиационной промышленности.</w:t>
      </w:r>
    </w:p>
    <w:p w14:paraId="0DCA94FF"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Себестоимость производства авиационной промышленности</w:t>
      </w:r>
    </w:p>
    <w:p w14:paraId="2FC2B8C1"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последние 3 года авиационная промышленность по ряду уже налаженных производств достигла довольно большого сравнительного снижения себестоимости производства. Однако если исходить из оценки нынешних абсолютных величин этой себестоимости как по группе моторостроительных, так и самолетостроительных заводов, нужно признать, что указанная задача целиком и по существу еще не разрешена. Особенно высока себестоимость изделий, вводимых впервые на производство и еще не совсем установившихся.</w:t>
      </w:r>
    </w:p>
    <w:p w14:paraId="5C368DD7"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Предлагаю как правлению треста, так и директорам заводов обратить особое внимание на этот вопрос в целом и проработать ряд организационных мероприятий в области дальнейшего снижения себестоимости производства. При этом первоочередной задачей должно явиться сокращение расхода основных материалов, инструмента и, главным образом, сокращение брака, так как положение с ним обстоит далеко неблагополучно, Рационализаторским органам авиационной промышленности надлежит включить этот существеннейший и основной вопрос в план своих первоочередных работ по дальнейшему развитию авиационной промышленности.</w:t>
      </w:r>
    </w:p>
    <w:p w14:paraId="33EC671E"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Планирование производства</w:t>
      </w:r>
    </w:p>
    <w:p w14:paraId="0F3CC6F6"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Вопросам планирования производства необходимо уделить особое внимание. Специфические условия авиационной промышленности способствовали созданию такого положения, при котором до настоящего времени не удалось по большинству заводов достигнуть планомерного ведения производства с тем, чтобы выпуск продукции распределялся равномерно и создавал бы более благополучные условия как в производственном, так и в финансовом отношении. Однако такое положение должно быть в возможно непродолжительном времени изжито вне зависимости от того, что Вашим заводам приходится из года в год внедрять в серийное производство новые образцы. Подход к делу планирования производства должен базироваться на основной предпосылке, чтобы темп производства шел равномерно; нужные для сего мероприятия должны быть технически продуманы во всех своих деталях и предусмотрены в соответствующем плане производства,</w:t>
      </w:r>
    </w:p>
    <w:p w14:paraId="29A995C6"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Мероприятия в области дальнейшего совершенствования технологических процессов</w:t>
      </w:r>
    </w:p>
    <w:p w14:paraId="69E38E91"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Авиационная промышленность, являясь более молодой отраслью в системе военной промышленности, имеет отличительные черты в области технологических процессов, Однако и в этой отрасли промышленности технологические процессы далеко не являются в полной мере совершенными и требуют дальнейших мероприятий по их улучшению. Поэтому в план деятельности рационализаторских органов на предстоящий год в аппаратах треста и заводов должна быть включена работа по дальнейшему совершенствованию технологических процессов с точки зрения более рационального использования оборудования, сокращения расходов рабочего времени на единицу изделия, усовершенствования методов обработки и т. д. и т. д. Конкретный план на 1929/30 г. Ваших работ в области совершенствования технологических процессов Вам необходимо проработать и представить на рассмотрение коллегии ГВПУ не позднее 1 декабря с. г.</w:t>
      </w:r>
    </w:p>
    <w:p w14:paraId="59E12F02"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Ускорение </w:t>
      </w:r>
      <w:proofErr w:type="spellStart"/>
      <w:r w:rsidRPr="00A259BD">
        <w:rPr>
          <w:rFonts w:ascii="Times New Roman" w:hAnsi="Times New Roman"/>
          <w:color w:val="000000" w:themeColor="text1"/>
          <w:sz w:val="16"/>
          <w:szCs w:val="16"/>
        </w:rPr>
        <w:t>капиталооборота</w:t>
      </w:r>
      <w:proofErr w:type="spellEnd"/>
      <w:r w:rsidRPr="00A259BD">
        <w:rPr>
          <w:rFonts w:ascii="Times New Roman" w:hAnsi="Times New Roman"/>
          <w:color w:val="000000" w:themeColor="text1"/>
          <w:sz w:val="16"/>
          <w:szCs w:val="16"/>
        </w:rPr>
        <w:t xml:space="preserve"> в авиационной промышленности</w:t>
      </w:r>
    </w:p>
    <w:p w14:paraId="2ED553DE"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 быстроте роста производства авиационной промышленности особое значение приобретает вопрос ускорения темпа этого производства и сокращения длительности сроков </w:t>
      </w:r>
      <w:proofErr w:type="spellStart"/>
      <w:r w:rsidRPr="00A259BD">
        <w:rPr>
          <w:rFonts w:ascii="Times New Roman" w:hAnsi="Times New Roman"/>
          <w:color w:val="000000" w:themeColor="text1"/>
          <w:sz w:val="16"/>
          <w:szCs w:val="16"/>
        </w:rPr>
        <w:t>капиталооборота</w:t>
      </w:r>
      <w:proofErr w:type="spellEnd"/>
      <w:r w:rsidRPr="00A259BD">
        <w:rPr>
          <w:rFonts w:ascii="Times New Roman" w:hAnsi="Times New Roman"/>
          <w:color w:val="000000" w:themeColor="text1"/>
          <w:sz w:val="16"/>
          <w:szCs w:val="16"/>
        </w:rPr>
        <w:t xml:space="preserve">. Несмотря на то что в последние 3 года </w:t>
      </w:r>
      <w:proofErr w:type="spellStart"/>
      <w:r w:rsidRPr="00A259BD">
        <w:rPr>
          <w:rFonts w:ascii="Times New Roman" w:hAnsi="Times New Roman"/>
          <w:color w:val="000000" w:themeColor="text1"/>
          <w:sz w:val="16"/>
          <w:szCs w:val="16"/>
        </w:rPr>
        <w:t>капиталооборот</w:t>
      </w:r>
      <w:proofErr w:type="spellEnd"/>
      <w:r w:rsidRPr="00A259BD">
        <w:rPr>
          <w:rFonts w:ascii="Times New Roman" w:hAnsi="Times New Roman"/>
          <w:color w:val="000000" w:themeColor="text1"/>
          <w:sz w:val="16"/>
          <w:szCs w:val="16"/>
        </w:rPr>
        <w:t xml:space="preserve"> по всей авиационной промышленности сократился более чем в полтора раза, все же это положение нельзя признать нормальным, принимая во внимание, что по отдельным заводам и производствам, при налаженности хода этих последних и их характере, обращение капитала должно было быть более быстрым. С медленностью </w:t>
      </w:r>
      <w:proofErr w:type="spellStart"/>
      <w:r w:rsidRPr="00A259BD">
        <w:rPr>
          <w:rFonts w:ascii="Times New Roman" w:hAnsi="Times New Roman"/>
          <w:color w:val="000000" w:themeColor="text1"/>
          <w:sz w:val="16"/>
          <w:szCs w:val="16"/>
        </w:rPr>
        <w:t>капиталооборота</w:t>
      </w:r>
      <w:proofErr w:type="spellEnd"/>
      <w:r w:rsidRPr="00A259BD">
        <w:rPr>
          <w:rFonts w:ascii="Times New Roman" w:hAnsi="Times New Roman"/>
          <w:color w:val="000000" w:themeColor="text1"/>
          <w:sz w:val="16"/>
          <w:szCs w:val="16"/>
        </w:rPr>
        <w:t xml:space="preserve"> отчасти связаны, несомненно, и те финансовые затруднения, которые авиационная промышленность переживает в настоящее время. Поэтому как тресту, так и, особенно, директорам заводов надлежит обратить в своей повседневной работе особое внимание на вопрос </w:t>
      </w:r>
      <w:proofErr w:type="spellStart"/>
      <w:r w:rsidRPr="00A259BD">
        <w:rPr>
          <w:rFonts w:ascii="Times New Roman" w:hAnsi="Times New Roman"/>
          <w:color w:val="000000" w:themeColor="text1"/>
          <w:sz w:val="16"/>
          <w:szCs w:val="16"/>
        </w:rPr>
        <w:t>капиталооборота</w:t>
      </w:r>
      <w:proofErr w:type="spellEnd"/>
      <w:r w:rsidRPr="00A259BD">
        <w:rPr>
          <w:rFonts w:ascii="Times New Roman" w:hAnsi="Times New Roman"/>
          <w:color w:val="000000" w:themeColor="text1"/>
          <w:sz w:val="16"/>
          <w:szCs w:val="16"/>
        </w:rPr>
        <w:t>, проверить внимательно еще раз размеры своего незавершенного производства, подсчитать минимально необходимый запас материалов и полуфабрикатов для бесперебойного ведения производства в 1929/30 г., уточнить нормы расхода материалов на единицу изделий, а также инструмента и т. д., дабы создать условия, облегчающие финансовое состояние треста в целом и его заводов в отдельности.</w:t>
      </w:r>
    </w:p>
    <w:p w14:paraId="48FF33F4"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По заводу № 26</w:t>
      </w:r>
    </w:p>
    <w:p w14:paraId="0178FC59"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Необходимость форсированного внедрения мощных моторов и более совершенных типов самолетов особенно остро ставит вопрос о роли и значении завода № 26. Несмотря на целый ряд неблагоприятных условий, сопутствующих развитию этого завода, все же нужно признать, что проводимых до настоящего времени мероприятий было недостаточно. Невозможность удовлетворения потребностей самолетного производства в более мощных моторах, чем те, которые производятся до настоящего времени на основных наших заводах, требует всемерного ускорения выпуска из производства таких моторов по заводу № 26. Соответствующие мероприятия должны быть предусмотрены в плане работ 1929/30 г.</w:t>
      </w:r>
    </w:p>
    <w:p w14:paraId="19759A9B"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вдаваясь в данной директиве в обсуждение конкретных мероприятий по этому вопросу, предлагаю правлению треста обсудить все детали по мерам, способствующим более быстрому темпу роста производства по этому заводу, и внести свои конкретные предложения в коллегию ГВПУ не позднее 1 октября 1929 г.</w:t>
      </w:r>
    </w:p>
    <w:p w14:paraId="4FB8EF98"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По заводу № 31</w:t>
      </w:r>
    </w:p>
    <w:p w14:paraId="04CC83E9"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Считаю необходимым обратить особое внимание треста и завода № 31 на абсолютное недопустимое положение на этом заводе в отношении организационных моментов. Если вообще приходится тресту делать указания о недопустимости сдачи некондиционной продукции, то по заводу № 31 необходимо отметить систематическое стремление сдавать заведомо некондиционную продукцию, при сдаче обманывать персонал приемки и вообще производить сдачу без необходимого предварительного заводского контроля. Такому положению предлагаю положить конец; предлагаю тресту расследовать все факты, связанные с приведенными выше жалобами, и на лиц виновных наложить соответствующие взыскания с отдачей (в серьезных случаях) под суд. О результатах расследования и принятых мерах доложить ГВПУ к 1 сентября с. г.</w:t>
      </w:r>
    </w:p>
    <w:p w14:paraId="34ED29CF"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Освоение заграничной технической помощи</w:t>
      </w:r>
    </w:p>
    <w:p w14:paraId="0969AB77"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Освоение технической помощи, полученной в порядке заграничных договоров с фирмами «БМВ» и «Гном и Рон» идет пока очень медленным темпом. Такой темп является недопустимым, а потому необходимо проработать всю сумму вопросов, связанных с более быстрым освоением технической помощи, но уже заключенным договорам. Конкретные мероприятия Ваши по этим вопросам Вам необходимо представить в коллегию ГВПУ также не позднее 1 октября с. г.</w:t>
      </w:r>
    </w:p>
    <w:p w14:paraId="35E3AFB9"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О капитальных работах </w:t>
      </w:r>
      <w:proofErr w:type="spellStart"/>
      <w:r w:rsidRPr="00A259BD">
        <w:rPr>
          <w:rFonts w:ascii="Times New Roman" w:hAnsi="Times New Roman"/>
          <w:color w:val="000000" w:themeColor="text1"/>
          <w:sz w:val="16"/>
          <w:szCs w:val="16"/>
        </w:rPr>
        <w:t>Авиатреста</w:t>
      </w:r>
      <w:proofErr w:type="spellEnd"/>
    </w:p>
    <w:p w14:paraId="7AD92E96"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Авиационным трестам до сих пор не закончена работа по поверке мощностей заводов. Это обстоятельство затрудняет выявление эффективности затрат по капитальному строительству и контроль правильной планировки работ. Необходимо срочно закончить работу по отдельным мощностям и пересмотреть в зависимости от ее результатов планы строительства по заводам и отдельным объектам.</w:t>
      </w:r>
    </w:p>
    <w:p w14:paraId="78DD1D49"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Ввиду запоздания с представлением на утверждение ГВПУ проектов по капитальному строительству необходимо обратить особое внимание на это обстоятельство и принять все меры к своевременному обеспечению строительства утвержденными проектами и сметами. В текущем году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представлены были эскизные проекты только по некоторым заводам.</w:t>
      </w:r>
    </w:p>
    <w:p w14:paraId="55B96FD5"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 также отметить систематическое запоздание с представлением технических отчетов по капитальному строительству: например, отчет за первое полугодие 1928/29 г., не представлен в ГВПУ до сих пор. Такое положение не дает возможности своевременно принять меры к устранению дефектов и иметь отчетливое представление о ходе работ по строительству. Производство капитальных работ в 1927/28 г. протекало недостаточно интенсивно, что и выразилось в значительном недоделе. Учитывая означенное обстоятельство, предлагаю в текущем строительном сезоне максимально форсировать работы по капитальному строительству, дабы выполнить план текущего года полностью, включая и работы по жилстроительству.</w:t>
      </w:r>
    </w:p>
    <w:p w14:paraId="46041106"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Вопросы кадров</w:t>
      </w:r>
    </w:p>
    <w:p w14:paraId="250DFA6F"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Независимо от тех мероприятий, которые предприняты руководящими правительственными органами в части пополнения технических кадров в[</w:t>
      </w:r>
      <w:proofErr w:type="spellStart"/>
      <w:r w:rsidRPr="00A259BD">
        <w:rPr>
          <w:rFonts w:ascii="Times New Roman" w:hAnsi="Times New Roman"/>
          <w:color w:val="000000" w:themeColor="text1"/>
          <w:sz w:val="16"/>
          <w:szCs w:val="16"/>
        </w:rPr>
        <w:t>оенной</w:t>
      </w:r>
      <w:proofErr w:type="spellEnd"/>
      <w:r w:rsidRPr="00A259BD">
        <w:rPr>
          <w:rFonts w:ascii="Times New Roman" w:hAnsi="Times New Roman"/>
          <w:color w:val="000000" w:themeColor="text1"/>
          <w:sz w:val="16"/>
          <w:szCs w:val="16"/>
        </w:rPr>
        <w:t>] п[</w:t>
      </w:r>
      <w:proofErr w:type="spellStart"/>
      <w:r w:rsidRPr="00A259BD">
        <w:rPr>
          <w:rFonts w:ascii="Times New Roman" w:hAnsi="Times New Roman"/>
          <w:color w:val="000000" w:themeColor="text1"/>
          <w:sz w:val="16"/>
          <w:szCs w:val="16"/>
        </w:rPr>
        <w:t>ромышленности</w:t>
      </w:r>
      <w:proofErr w:type="spellEnd"/>
      <w:r w:rsidRPr="00A259BD">
        <w:rPr>
          <w:rFonts w:ascii="Times New Roman" w:hAnsi="Times New Roman"/>
          <w:color w:val="000000" w:themeColor="text1"/>
          <w:sz w:val="16"/>
          <w:szCs w:val="16"/>
        </w:rPr>
        <w:t>], тресты и заводы со своей стороны должны обратить особое внимание на этот вопрос. Необходимо работать над привлечением новых технических работников из других отраслей промышленности, над подготовкой и обучением групп квалифицированных рабочих для замещения технических и административных руководящих ролей в цехах и отделах и более смело проводить выдвижение.</w:t>
      </w:r>
    </w:p>
    <w:p w14:paraId="244D3357"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Предлагаю в ближайший период пересмотреть весь административно-технический персонал предприятий в целях продвижения более успешных на более ответственные места. Также предлагаю пересмотреть состав </w:t>
      </w:r>
      <w:proofErr w:type="spellStart"/>
      <w:r w:rsidRPr="00A259BD">
        <w:rPr>
          <w:rFonts w:ascii="Times New Roman" w:hAnsi="Times New Roman"/>
          <w:color w:val="000000" w:themeColor="text1"/>
          <w:sz w:val="16"/>
          <w:szCs w:val="16"/>
        </w:rPr>
        <w:t>моборганов</w:t>
      </w:r>
      <w:proofErr w:type="spellEnd"/>
      <w:r w:rsidRPr="00A259BD">
        <w:rPr>
          <w:rFonts w:ascii="Times New Roman" w:hAnsi="Times New Roman"/>
          <w:color w:val="000000" w:themeColor="text1"/>
          <w:sz w:val="16"/>
          <w:szCs w:val="16"/>
        </w:rPr>
        <w:t xml:space="preserve"> в целях их улучшения.</w:t>
      </w:r>
    </w:p>
    <w:p w14:paraId="40B7613B"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Критическая оценка руководящего технического состава и улучшения работы военной промышленности</w:t>
      </w:r>
    </w:p>
    <w:p w14:paraId="5619D8FE"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Необходимо констатировать, что со стороны руководителей трестов и заводов до настоящего времени не имело место критической оценки работающего под их руководством административно-технического персонала, в силу чего этот аппарат по военной промышленности, как показывают материалы ОГПУ, вскрывшего в системе военной промышленности вредительскую контрреволюционную организацию, является в высшей степени засоренным, а поэтому, независимо от тех мероприятий, которые в этом направлении проведены соответствующими органами, руководителям трестов и заводов обратить особо серьезное внимание, проявить большую чуткость и бдительность к работе отдельных сотрудников и постепенно, выявляя неудовлетворительность того или другого в работе, стремиться заменить таковых более добросовестными и более преданными советской власти и партии работниками.</w:t>
      </w:r>
    </w:p>
    <w:p w14:paraId="38A669D5"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Контролируя и критически изучая работу технического персонала, необходимо от роли голого администрирования, имевшего место на отдельных участках в[</w:t>
      </w:r>
      <w:proofErr w:type="spellStart"/>
      <w:r w:rsidRPr="00A259BD">
        <w:rPr>
          <w:color w:val="000000" w:themeColor="text1"/>
          <w:sz w:val="16"/>
          <w:szCs w:val="16"/>
        </w:rPr>
        <w:t>оенной</w:t>
      </w:r>
      <w:proofErr w:type="spellEnd"/>
      <w:r w:rsidRPr="00A259BD">
        <w:rPr>
          <w:color w:val="000000" w:themeColor="text1"/>
          <w:sz w:val="16"/>
          <w:szCs w:val="16"/>
        </w:rPr>
        <w:t>] п[</w:t>
      </w:r>
      <w:proofErr w:type="spellStart"/>
      <w:r w:rsidRPr="00A259BD">
        <w:rPr>
          <w:color w:val="000000" w:themeColor="text1"/>
          <w:sz w:val="16"/>
          <w:szCs w:val="16"/>
        </w:rPr>
        <w:t>ромышленности</w:t>
      </w:r>
      <w:proofErr w:type="spellEnd"/>
      <w:r w:rsidRPr="00A259BD">
        <w:rPr>
          <w:color w:val="000000" w:themeColor="text1"/>
          <w:sz w:val="16"/>
          <w:szCs w:val="16"/>
        </w:rPr>
        <w:t>], перейти к действительному руководству, стать подлинным хозяином дела, улучшать и совершенствовать систему управления, изучать производство, технологические процессы и работать над собой.</w:t>
      </w:r>
    </w:p>
    <w:p w14:paraId="6336D6E2" w14:textId="77777777" w:rsidR="00B25ADA" w:rsidRPr="00A259BD" w:rsidRDefault="00B25ADA" w:rsidP="009236E3">
      <w:pPr>
        <w:pStyle w:val="rtejustify"/>
        <w:spacing w:before="0" w:after="0"/>
        <w:rPr>
          <w:color w:val="000000" w:themeColor="text1"/>
          <w:sz w:val="16"/>
          <w:szCs w:val="16"/>
        </w:rPr>
      </w:pPr>
      <w:r w:rsidRPr="00A259BD">
        <w:rPr>
          <w:color w:val="000000" w:themeColor="text1"/>
          <w:sz w:val="16"/>
          <w:szCs w:val="16"/>
        </w:rPr>
        <w:t>Бдительное отношение к делу обороны страны и привлечение в большей степени рабочих масс, чем это было до сих пор, на основе подлежащей быть измененной секретности, должно дать перелом решительно во всей системе работы военной промышленности.</w:t>
      </w:r>
    </w:p>
    <w:p w14:paraId="49DE9962" w14:textId="77777777" w:rsidR="00B25ADA" w:rsidRPr="00A259BD" w:rsidRDefault="00B25ADA" w:rsidP="009236E3">
      <w:pPr>
        <w:pStyle w:val="rteright"/>
        <w:spacing w:before="0" w:after="0"/>
        <w:jc w:val="both"/>
        <w:rPr>
          <w:color w:val="000000" w:themeColor="text1"/>
          <w:sz w:val="16"/>
          <w:szCs w:val="16"/>
        </w:rPr>
      </w:pPr>
      <w:r w:rsidRPr="00A259BD">
        <w:rPr>
          <w:rStyle w:val="af0"/>
          <w:i w:val="0"/>
          <w:color w:val="000000" w:themeColor="text1"/>
          <w:sz w:val="16"/>
          <w:szCs w:val="16"/>
        </w:rPr>
        <w:t xml:space="preserve">Член Президиума ВСНХ СССР и начальник ГВПУ </w:t>
      </w:r>
      <w:hyperlink r:id="rId133" w:history="1">
        <w:r w:rsidRPr="00A259BD">
          <w:rPr>
            <w:rStyle w:val="af0"/>
            <w:i w:val="0"/>
            <w:color w:val="000000" w:themeColor="text1"/>
            <w:sz w:val="16"/>
            <w:szCs w:val="16"/>
          </w:rPr>
          <w:t>Урываев</w:t>
        </w:r>
      </w:hyperlink>
    </w:p>
    <w:p w14:paraId="7BAF130C" w14:textId="77777777" w:rsidR="00B25ADA" w:rsidRPr="00A259BD" w:rsidRDefault="00B25ADA" w:rsidP="009236E3">
      <w:pPr>
        <w:pStyle w:val="ae"/>
        <w:spacing w:before="0" w:after="0"/>
        <w:jc w:val="both"/>
        <w:rPr>
          <w:color w:val="000000" w:themeColor="text1"/>
          <w:sz w:val="16"/>
          <w:szCs w:val="16"/>
        </w:rPr>
      </w:pPr>
      <w:r w:rsidRPr="00A259BD">
        <w:rPr>
          <w:color w:val="000000" w:themeColor="text1"/>
          <w:sz w:val="16"/>
          <w:szCs w:val="16"/>
        </w:rPr>
        <w:t>РГАЭ. Ф. 2097. Оп. 1. Д. 796. Л. 16—25. Копия.</w:t>
      </w:r>
    </w:p>
    <w:p w14:paraId="067ABA62"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2097. Оп. 1. Д. 796. Л. 16—25. Копия. </w:t>
      </w:r>
    </w:p>
    <w:p w14:paraId="2D4D015E" w14:textId="77777777" w:rsidR="00B25ADA" w:rsidRPr="00A259BD" w:rsidRDefault="00B25AD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348-354 (12462).</w:t>
      </w:r>
    </w:p>
    <w:p w14:paraId="7E3A3CB9" w14:textId="77777777" w:rsidR="00B25ADA" w:rsidRPr="00A259BD" w:rsidRDefault="00B25ADA" w:rsidP="009236E3">
      <w:pPr>
        <w:spacing w:after="0" w:line="240" w:lineRule="auto"/>
        <w:jc w:val="both"/>
        <w:rPr>
          <w:rFonts w:ascii="Times New Roman" w:hAnsi="Times New Roman"/>
          <w:color w:val="000000" w:themeColor="text1"/>
          <w:sz w:val="16"/>
          <w:szCs w:val="16"/>
        </w:rPr>
      </w:pPr>
    </w:p>
    <w:p w14:paraId="1B3893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августа 1929 Президиум НТК УВВС окончательно зафиксировал список переделок И-3 БМВ-6 завода 1 (журнал 38) (2371).</w:t>
      </w:r>
    </w:p>
    <w:p w14:paraId="648506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FE8328"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9 августа 1929 г. Президиум НТК УВВС окончательно утвердил список доработок, который требовалось внести в конструкцию и комплектацию серийного истребителя И-3 выпуска завода №1 (журнал №38) (24887).</w:t>
      </w:r>
    </w:p>
    <w:p w14:paraId="02FA5AFF" w14:textId="77777777" w:rsidR="00DF6949" w:rsidRPr="00441F34" w:rsidRDefault="00DF6949" w:rsidP="00DF6949">
      <w:pPr>
        <w:spacing w:after="0" w:line="240" w:lineRule="auto"/>
        <w:jc w:val="both"/>
        <w:rPr>
          <w:rFonts w:ascii="Times New Roman" w:hAnsi="Times New Roman"/>
          <w:color w:val="0070C0"/>
          <w:sz w:val="16"/>
          <w:szCs w:val="16"/>
        </w:rPr>
      </w:pPr>
    </w:p>
    <w:p w14:paraId="5E5048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августа 1929 второй гидросамолет НЕ.5с с ВМВ 6 Е 7,3 N 289 и бортовой 2 был разбит л Мартыновым, а первый отдали в Ейскую авиашколу (1772,10).</w:t>
      </w:r>
    </w:p>
    <w:p w14:paraId="48F6CF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91F7B6" w14:textId="77777777" w:rsidR="00842EA9" w:rsidRPr="00A259BD" w:rsidRDefault="00842EA9" w:rsidP="009236E3">
      <w:pPr>
        <w:shd w:val="clear" w:color="auto" w:fill="FFFFFF"/>
        <w:spacing w:after="0" w:line="240" w:lineRule="auto"/>
        <w:jc w:val="both"/>
        <w:rPr>
          <w:rFonts w:ascii="Times New Roman" w:hAnsi="Times New Roman"/>
          <w:color w:val="000000" w:themeColor="text1"/>
          <w:sz w:val="16"/>
          <w:szCs w:val="16"/>
        </w:rPr>
      </w:pPr>
      <w:bookmarkStart w:id="80" w:name="_Hlk78997280"/>
      <w:r w:rsidRPr="00A259BD">
        <w:rPr>
          <w:rFonts w:ascii="Times New Roman" w:hAnsi="Times New Roman"/>
          <w:color w:val="000000" w:themeColor="text1"/>
          <w:sz w:val="16"/>
          <w:szCs w:val="16"/>
        </w:rPr>
        <w:lastRenderedPageBreak/>
        <w:t xml:space="preserve">9 августа 1929 г. в отчете, представленном начальнику ГУ ГВФ И.С. </w:t>
      </w:r>
      <w:proofErr w:type="spellStart"/>
      <w:r w:rsidRPr="00A259BD">
        <w:rPr>
          <w:rFonts w:ascii="Times New Roman" w:hAnsi="Times New Roman"/>
          <w:color w:val="000000" w:themeColor="text1"/>
          <w:sz w:val="16"/>
          <w:szCs w:val="16"/>
        </w:rPr>
        <w:t>Уншлихту</w:t>
      </w:r>
      <w:proofErr w:type="spellEnd"/>
      <w:r w:rsidRPr="00A259BD">
        <w:rPr>
          <w:rFonts w:ascii="Times New Roman" w:hAnsi="Times New Roman"/>
          <w:color w:val="000000" w:themeColor="text1"/>
          <w:sz w:val="16"/>
          <w:szCs w:val="16"/>
        </w:rPr>
        <w:t xml:space="preserve"> сообщалось, что посол Италии в СССР Витторио Черутти говорил, что «проектами работ СИАИ с СССР лично заинтересован Муссолини, являющийся министром воздухоплавания, и что Муссолини лично дал указание какому-то крупному итальянскому банку оказать содействие и кредит СИАИ на осуществление его проектов» (РГВА. Ф. 33988. Оп. 3а. Д. 131. Доклады начальника ВВС РККА о ходе переговоров с итальянскими фирмами «СИАИ» и «</w:t>
      </w:r>
      <w:proofErr w:type="spellStart"/>
      <w:r w:rsidRPr="00A259BD">
        <w:rPr>
          <w:rFonts w:ascii="Times New Roman" w:hAnsi="Times New Roman"/>
          <w:color w:val="000000" w:themeColor="text1"/>
          <w:sz w:val="16"/>
          <w:szCs w:val="16"/>
        </w:rPr>
        <w:t>Изотта-Фраскини</w:t>
      </w:r>
      <w:proofErr w:type="spellEnd"/>
      <w:r w:rsidRPr="00A259BD">
        <w:rPr>
          <w:rFonts w:ascii="Times New Roman" w:hAnsi="Times New Roman"/>
          <w:color w:val="000000" w:themeColor="text1"/>
          <w:sz w:val="16"/>
          <w:szCs w:val="16"/>
        </w:rPr>
        <w:t xml:space="preserve">» о создании комбинированного </w:t>
      </w:r>
      <w:proofErr w:type="spellStart"/>
      <w:r w:rsidRPr="00A259BD">
        <w:rPr>
          <w:rFonts w:ascii="Times New Roman" w:hAnsi="Times New Roman"/>
          <w:color w:val="000000" w:themeColor="text1"/>
          <w:sz w:val="16"/>
          <w:szCs w:val="16"/>
        </w:rPr>
        <w:t>самолето</w:t>
      </w:r>
      <w:proofErr w:type="spellEnd"/>
      <w:r w:rsidRPr="00A259BD">
        <w:rPr>
          <w:rFonts w:ascii="Times New Roman" w:hAnsi="Times New Roman"/>
          <w:color w:val="000000" w:themeColor="text1"/>
          <w:sz w:val="16"/>
          <w:szCs w:val="16"/>
        </w:rPr>
        <w:t>-моторостроительного завода в г. Бердянске. Л. 2-6. 1929 г.) (21410).</w:t>
      </w:r>
    </w:p>
    <w:bookmarkEnd w:id="80"/>
    <w:p w14:paraId="4CD8E7D8" w14:textId="77777777" w:rsidR="00842EA9" w:rsidRPr="00A259BD" w:rsidRDefault="00842EA9" w:rsidP="009236E3">
      <w:pPr>
        <w:spacing w:after="0" w:line="240" w:lineRule="auto"/>
        <w:jc w:val="both"/>
        <w:rPr>
          <w:rFonts w:ascii="Times New Roman" w:hAnsi="Times New Roman"/>
          <w:color w:val="000000" w:themeColor="text1"/>
          <w:sz w:val="16"/>
          <w:szCs w:val="16"/>
        </w:rPr>
      </w:pPr>
    </w:p>
    <w:p w14:paraId="3F72A0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августа 1929 года В. </w:t>
      </w:r>
      <w:proofErr w:type="spellStart"/>
      <w:r w:rsidRPr="00A259BD">
        <w:rPr>
          <w:rFonts w:ascii="Times New Roman" w:hAnsi="Times New Roman"/>
          <w:color w:val="000000" w:themeColor="text1"/>
          <w:sz w:val="16"/>
          <w:szCs w:val="16"/>
        </w:rPr>
        <w:t>Зарзар</w:t>
      </w:r>
      <w:proofErr w:type="spellEnd"/>
      <w:r w:rsidRPr="00A259BD">
        <w:rPr>
          <w:rFonts w:ascii="Times New Roman" w:hAnsi="Times New Roman"/>
          <w:color w:val="000000" w:themeColor="text1"/>
          <w:sz w:val="16"/>
          <w:szCs w:val="16"/>
        </w:rPr>
        <w:t xml:space="preserve"> писал письмо начальнику ВВС Баранову П.И.</w:t>
      </w:r>
    </w:p>
    <w:p w14:paraId="2B8D12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Вчера, 8 августа 1929 года, вверенная мне экспедиция на самолете "Крылья Советов" возвратилась из кругового европейского перелета в полном порядке.</w:t>
      </w:r>
    </w:p>
    <w:p w14:paraId="5E173F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Доклады о прохождении перелета и о выводах по ознакомлению с авиастроительством на Западе будут мною представлены дополнительно (7769, 277).</w:t>
      </w:r>
    </w:p>
    <w:p w14:paraId="3CF59D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5AA7DF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вечеру 9 августа 1929 АНТ Страна Советов прибыла в Крас</w:t>
      </w:r>
      <w:r w:rsidRPr="00A259BD">
        <w:rPr>
          <w:rFonts w:ascii="Times New Roman" w:hAnsi="Times New Roman"/>
          <w:color w:val="000000" w:themeColor="text1"/>
          <w:sz w:val="16"/>
          <w:szCs w:val="16"/>
        </w:rPr>
        <w:softHyphen/>
        <w:t>ноярск. Следующий день не задался с самого утра. Сначала долго не могли запустить пра</w:t>
      </w:r>
      <w:r w:rsidRPr="00A259BD">
        <w:rPr>
          <w:rFonts w:ascii="Times New Roman" w:hAnsi="Times New Roman"/>
          <w:color w:val="000000" w:themeColor="text1"/>
          <w:sz w:val="16"/>
          <w:szCs w:val="16"/>
        </w:rPr>
        <w:softHyphen/>
        <w:t xml:space="preserve">вый двигатель. Наконец, в полдень вылетели, к заходу солнца подошли к </w:t>
      </w:r>
      <w:proofErr w:type="spellStart"/>
      <w:r w:rsidRPr="00A259BD">
        <w:rPr>
          <w:rFonts w:ascii="Times New Roman" w:hAnsi="Times New Roman"/>
          <w:color w:val="000000" w:themeColor="text1"/>
          <w:sz w:val="16"/>
          <w:szCs w:val="16"/>
        </w:rPr>
        <w:t>Верхнеудинску</w:t>
      </w:r>
      <w:proofErr w:type="spellEnd"/>
      <w:r w:rsidRPr="00A259BD">
        <w:rPr>
          <w:rFonts w:ascii="Times New Roman" w:hAnsi="Times New Roman"/>
          <w:color w:val="000000" w:themeColor="text1"/>
          <w:sz w:val="16"/>
          <w:szCs w:val="16"/>
        </w:rPr>
        <w:t xml:space="preserve"> и были готовы к посадке, однако Шестаков ре</w:t>
      </w:r>
      <w:r w:rsidRPr="00A259BD">
        <w:rPr>
          <w:rFonts w:ascii="Times New Roman" w:hAnsi="Times New Roman"/>
          <w:color w:val="000000" w:themeColor="text1"/>
          <w:sz w:val="16"/>
          <w:szCs w:val="16"/>
        </w:rPr>
        <w:softHyphen/>
        <w:t>шил лететь дальше до Читы. Но лучше бы он этого не делал. Во время возни с двигателем в Красноярске и при продолжительном полете со встречным ветром было израсходовано не</w:t>
      </w:r>
      <w:r w:rsidRPr="00A259BD">
        <w:rPr>
          <w:rFonts w:ascii="Times New Roman" w:hAnsi="Times New Roman"/>
          <w:color w:val="000000" w:themeColor="text1"/>
          <w:sz w:val="16"/>
          <w:szCs w:val="16"/>
        </w:rPr>
        <w:softHyphen/>
        <w:t>мало топлива, и дойти до Читы не удалось из-за полной выработки горючего. Вынужденная посадка на лес глубокой ночью при отсутствии даже лунного освещения, казалось бы, не ос</w:t>
      </w:r>
      <w:r w:rsidRPr="00A259BD">
        <w:rPr>
          <w:rFonts w:ascii="Times New Roman" w:hAnsi="Times New Roman"/>
          <w:color w:val="000000" w:themeColor="text1"/>
          <w:sz w:val="16"/>
          <w:szCs w:val="16"/>
        </w:rPr>
        <w:softHyphen/>
        <w:t>тавляла экипажу ни малейшего шанса уце</w:t>
      </w:r>
      <w:r w:rsidRPr="00A259BD">
        <w:rPr>
          <w:rFonts w:ascii="Times New Roman" w:hAnsi="Times New Roman"/>
          <w:color w:val="000000" w:themeColor="text1"/>
          <w:sz w:val="16"/>
          <w:szCs w:val="16"/>
        </w:rPr>
        <w:softHyphen/>
        <w:t>леть. Тем не менее, все четверо отделались лишь ушибами. Самолет к дальнейшему ис</w:t>
      </w:r>
      <w:r w:rsidRPr="00A259BD">
        <w:rPr>
          <w:rFonts w:ascii="Times New Roman" w:hAnsi="Times New Roman"/>
          <w:color w:val="000000" w:themeColor="text1"/>
          <w:sz w:val="16"/>
          <w:szCs w:val="16"/>
        </w:rPr>
        <w:softHyphen/>
        <w:t>пользованию, конечно же, не годился. Пешком с помощью местных жителей ави</w:t>
      </w:r>
      <w:r w:rsidRPr="00A259BD">
        <w:rPr>
          <w:rFonts w:ascii="Times New Roman" w:hAnsi="Times New Roman"/>
          <w:color w:val="000000" w:themeColor="text1"/>
          <w:sz w:val="16"/>
          <w:szCs w:val="16"/>
        </w:rPr>
        <w:softHyphen/>
        <w:t>аторы добрались до ближайшего села. Далее на поезде доехали до Иркутска, где Шестаков пересел на рейсовый самолет. Когда второй пилот, штурман и бортмеханик вышли на Ярославском вокзале Москвы, там их встре</w:t>
      </w:r>
      <w:r w:rsidRPr="00A259BD">
        <w:rPr>
          <w:rFonts w:ascii="Times New Roman" w:hAnsi="Times New Roman"/>
          <w:color w:val="000000" w:themeColor="text1"/>
          <w:sz w:val="16"/>
          <w:szCs w:val="16"/>
        </w:rPr>
        <w:softHyphen/>
        <w:t>чал прибывший сутками ранее Семен Шеста</w:t>
      </w:r>
      <w:r w:rsidRPr="00A259BD">
        <w:rPr>
          <w:rFonts w:ascii="Times New Roman" w:hAnsi="Times New Roman"/>
          <w:color w:val="000000" w:themeColor="text1"/>
          <w:sz w:val="16"/>
          <w:szCs w:val="16"/>
        </w:rPr>
        <w:softHyphen/>
        <w:t>ков. Он сообщил, что принято решение пере</w:t>
      </w:r>
      <w:r w:rsidRPr="00A259BD">
        <w:rPr>
          <w:rFonts w:ascii="Times New Roman" w:hAnsi="Times New Roman"/>
          <w:color w:val="000000" w:themeColor="text1"/>
          <w:sz w:val="16"/>
          <w:szCs w:val="16"/>
        </w:rPr>
        <w:softHyphen/>
        <w:t>лет в США завершить, для этого выделяется резервная машина АНТ-4 “Дублер”. В случае проблем с их самочувствием подготовлен ре</w:t>
      </w:r>
      <w:r w:rsidRPr="00A259BD">
        <w:rPr>
          <w:rFonts w:ascii="Times New Roman" w:hAnsi="Times New Roman"/>
          <w:color w:val="000000" w:themeColor="text1"/>
          <w:sz w:val="16"/>
          <w:szCs w:val="16"/>
        </w:rPr>
        <w:softHyphen/>
        <w:t xml:space="preserve">зервный экипаж в составе </w:t>
      </w:r>
      <w:proofErr w:type="spellStart"/>
      <w:r w:rsidRPr="00A259BD">
        <w:rPr>
          <w:rFonts w:ascii="Times New Roman" w:hAnsi="Times New Roman"/>
          <w:color w:val="000000" w:themeColor="text1"/>
          <w:sz w:val="16"/>
          <w:szCs w:val="16"/>
        </w:rPr>
        <w:t>Волковойнова</w:t>
      </w:r>
      <w:proofErr w:type="spellEnd"/>
      <w:r w:rsidRPr="00A259BD">
        <w:rPr>
          <w:rFonts w:ascii="Times New Roman" w:hAnsi="Times New Roman"/>
          <w:color w:val="000000" w:themeColor="text1"/>
          <w:sz w:val="16"/>
          <w:szCs w:val="16"/>
        </w:rPr>
        <w:t>, Бух-гольца и Данилина. Ответом стало единодуш</w:t>
      </w:r>
      <w:r w:rsidRPr="00A259BD">
        <w:rPr>
          <w:rFonts w:ascii="Times New Roman" w:hAnsi="Times New Roman"/>
          <w:color w:val="000000" w:themeColor="text1"/>
          <w:sz w:val="16"/>
          <w:szCs w:val="16"/>
        </w:rPr>
        <w:softHyphen/>
        <w:t xml:space="preserve">ное решение Болотова, Стерлигова и </w:t>
      </w:r>
      <w:proofErr w:type="spellStart"/>
      <w:r w:rsidRPr="00A259BD">
        <w:rPr>
          <w:rFonts w:ascii="Times New Roman" w:hAnsi="Times New Roman"/>
          <w:color w:val="000000" w:themeColor="text1"/>
          <w:sz w:val="16"/>
          <w:szCs w:val="16"/>
        </w:rPr>
        <w:t>Фуфаева</w:t>
      </w:r>
      <w:proofErr w:type="spellEnd"/>
      <w:r w:rsidRPr="00A259BD">
        <w:rPr>
          <w:rFonts w:ascii="Times New Roman" w:hAnsi="Times New Roman"/>
          <w:color w:val="000000" w:themeColor="text1"/>
          <w:sz w:val="16"/>
          <w:szCs w:val="16"/>
        </w:rPr>
        <w:t xml:space="preserve"> — лететь! 23 августа экипаж Шестакова отправился в путь на второй “Стране Сове</w:t>
      </w:r>
      <w:r w:rsidRPr="00A259BD">
        <w:rPr>
          <w:rFonts w:ascii="Times New Roman" w:hAnsi="Times New Roman"/>
          <w:color w:val="000000" w:themeColor="text1"/>
          <w:sz w:val="16"/>
          <w:szCs w:val="16"/>
        </w:rPr>
        <w:softHyphen/>
        <w:t>тов”. Провожатых на этот раз не было...Теперь полетные условия оказались куда более тяжелыми. Фактически в Сибири начина</w:t>
      </w:r>
      <w:r w:rsidRPr="00A259BD">
        <w:rPr>
          <w:rFonts w:ascii="Times New Roman" w:hAnsi="Times New Roman"/>
          <w:color w:val="000000" w:themeColor="text1"/>
          <w:sz w:val="16"/>
          <w:szCs w:val="16"/>
        </w:rPr>
        <w:softHyphen/>
        <w:t>лась осень, световой день стал заметно коро</w:t>
      </w:r>
      <w:r w:rsidRPr="00A259BD">
        <w:rPr>
          <w:rFonts w:ascii="Times New Roman" w:hAnsi="Times New Roman"/>
          <w:color w:val="000000" w:themeColor="text1"/>
          <w:sz w:val="16"/>
          <w:szCs w:val="16"/>
        </w:rPr>
        <w:softHyphen/>
        <w:t>че, а на маршруте приходилось постоянно по</w:t>
      </w:r>
      <w:r w:rsidRPr="00A259BD">
        <w:rPr>
          <w:rFonts w:ascii="Times New Roman" w:hAnsi="Times New Roman"/>
          <w:color w:val="000000" w:themeColor="text1"/>
          <w:sz w:val="16"/>
          <w:szCs w:val="16"/>
        </w:rPr>
        <w:softHyphen/>
        <w:t>падать в дожди и туманы. Кроме того, практи</w:t>
      </w:r>
      <w:r w:rsidRPr="00A259BD">
        <w:rPr>
          <w:rFonts w:ascii="Times New Roman" w:hAnsi="Times New Roman"/>
          <w:color w:val="000000" w:themeColor="text1"/>
          <w:sz w:val="16"/>
          <w:szCs w:val="16"/>
        </w:rPr>
        <w:softHyphen/>
        <w:t>чески сразу начались перебои в правом двигателе. Летчики перетянули Уральские горы и решили садиться в Челябинске. Здесь их не ждали, поэтому после устранения неисправ</w:t>
      </w:r>
      <w:r w:rsidRPr="00A259BD">
        <w:rPr>
          <w:rFonts w:ascii="Times New Roman" w:hAnsi="Times New Roman"/>
          <w:color w:val="000000" w:themeColor="text1"/>
          <w:sz w:val="16"/>
          <w:szCs w:val="16"/>
        </w:rPr>
        <w:softHyphen/>
        <w:t>ностей для дозаправки перелетели в Курган. Далее после посадок в Новосибирске и Крас</w:t>
      </w:r>
      <w:r w:rsidRPr="00A259BD">
        <w:rPr>
          <w:rFonts w:ascii="Times New Roman" w:hAnsi="Times New Roman"/>
          <w:color w:val="000000" w:themeColor="text1"/>
          <w:sz w:val="16"/>
          <w:szCs w:val="16"/>
        </w:rPr>
        <w:softHyphen/>
        <w:t>ноярске мотор вновь закапризничал. На его за</w:t>
      </w:r>
      <w:r w:rsidRPr="00A259BD">
        <w:rPr>
          <w:rFonts w:ascii="Times New Roman" w:hAnsi="Times New Roman"/>
          <w:color w:val="000000" w:themeColor="text1"/>
          <w:sz w:val="16"/>
          <w:szCs w:val="16"/>
        </w:rPr>
        <w:softHyphen/>
        <w:t>мену в Иркутске ушло 3 дня, затем проследова</w:t>
      </w:r>
      <w:r w:rsidRPr="00A259BD">
        <w:rPr>
          <w:rFonts w:ascii="Times New Roman" w:hAnsi="Times New Roman"/>
          <w:color w:val="000000" w:themeColor="text1"/>
          <w:sz w:val="16"/>
          <w:szCs w:val="16"/>
        </w:rPr>
        <w:softHyphen/>
        <w:t xml:space="preserve">ли через </w:t>
      </w:r>
      <w:proofErr w:type="spellStart"/>
      <w:r w:rsidRPr="00A259BD">
        <w:rPr>
          <w:rFonts w:ascii="Times New Roman" w:hAnsi="Times New Roman"/>
          <w:color w:val="000000" w:themeColor="text1"/>
          <w:sz w:val="16"/>
          <w:szCs w:val="16"/>
        </w:rPr>
        <w:t>Верхнеудинск</w:t>
      </w:r>
      <w:proofErr w:type="spellEnd"/>
      <w:r w:rsidRPr="00A259BD">
        <w:rPr>
          <w:rFonts w:ascii="Times New Roman" w:hAnsi="Times New Roman"/>
          <w:color w:val="000000" w:themeColor="text1"/>
          <w:sz w:val="16"/>
          <w:szCs w:val="16"/>
        </w:rPr>
        <w:t>, Читу, Благовещенск и 3 сентября прибыли в Хабаровск. Здесь начинал</w:t>
      </w:r>
      <w:r w:rsidRPr="00A259BD">
        <w:rPr>
          <w:rFonts w:ascii="Times New Roman" w:hAnsi="Times New Roman"/>
          <w:color w:val="000000" w:themeColor="text1"/>
          <w:sz w:val="16"/>
          <w:szCs w:val="16"/>
        </w:rPr>
        <w:softHyphen/>
        <w:t>ся морской этап перелета, для чего следовало сменить колеса на поплавки. Проблемой ока</w:t>
      </w:r>
      <w:r w:rsidRPr="00A259BD">
        <w:rPr>
          <w:rFonts w:ascii="Times New Roman" w:hAnsi="Times New Roman"/>
          <w:color w:val="000000" w:themeColor="text1"/>
          <w:sz w:val="16"/>
          <w:szCs w:val="16"/>
        </w:rPr>
        <w:softHyphen/>
        <w:t>залась доставка самолета с аэродрома на Амур. Машину с почти тридцатиметровым раз</w:t>
      </w:r>
      <w:r w:rsidRPr="00A259BD">
        <w:rPr>
          <w:rFonts w:ascii="Times New Roman" w:hAnsi="Times New Roman"/>
          <w:color w:val="000000" w:themeColor="text1"/>
          <w:sz w:val="16"/>
          <w:szCs w:val="16"/>
        </w:rPr>
        <w:softHyphen/>
        <w:t>махом крыла пришлось буксировать к реке в обход города, устраняя по пути неровности и препятствия. Наконец, через 2 дня добрались до базы Амурской речной флотилии, где прис</w:t>
      </w:r>
      <w:r w:rsidRPr="00A259BD">
        <w:rPr>
          <w:rFonts w:ascii="Times New Roman" w:hAnsi="Times New Roman"/>
          <w:color w:val="000000" w:themeColor="text1"/>
          <w:sz w:val="16"/>
          <w:szCs w:val="16"/>
        </w:rPr>
        <w:softHyphen/>
        <w:t>тупили к смене двигателей и установке поплав</w:t>
      </w:r>
      <w:r w:rsidRPr="00A259BD">
        <w:rPr>
          <w:rFonts w:ascii="Times New Roman" w:hAnsi="Times New Roman"/>
          <w:color w:val="000000" w:themeColor="text1"/>
          <w:sz w:val="16"/>
          <w:szCs w:val="16"/>
        </w:rPr>
        <w:softHyphen/>
        <w:t>ков. Одновременно машину оснастили радио</w:t>
      </w:r>
      <w:r w:rsidRPr="00A259BD">
        <w:rPr>
          <w:rFonts w:ascii="Times New Roman" w:hAnsi="Times New Roman"/>
          <w:color w:val="000000" w:themeColor="text1"/>
          <w:sz w:val="16"/>
          <w:szCs w:val="16"/>
        </w:rPr>
        <w:softHyphen/>
        <w:t>станцией для связи с морскими судами и пор</w:t>
      </w:r>
      <w:r w:rsidRPr="00A259BD">
        <w:rPr>
          <w:rFonts w:ascii="Times New Roman" w:hAnsi="Times New Roman"/>
          <w:color w:val="000000" w:themeColor="text1"/>
          <w:sz w:val="16"/>
          <w:szCs w:val="16"/>
        </w:rPr>
        <w:softHyphen/>
        <w:t>тами. При полете над Сибирью радиосвязь не велась по причине отсутствия там аэродром</w:t>
      </w:r>
      <w:r w:rsidRPr="00A259BD">
        <w:rPr>
          <w:rFonts w:ascii="Times New Roman" w:hAnsi="Times New Roman"/>
          <w:color w:val="000000" w:themeColor="text1"/>
          <w:sz w:val="16"/>
          <w:szCs w:val="16"/>
        </w:rPr>
        <w:softHyphen/>
        <w:t>ных радиостанций. Самолетная рация работа</w:t>
      </w:r>
      <w:r w:rsidRPr="00A259BD">
        <w:rPr>
          <w:rFonts w:ascii="Times New Roman" w:hAnsi="Times New Roman"/>
          <w:color w:val="000000" w:themeColor="text1"/>
          <w:sz w:val="16"/>
          <w:szCs w:val="16"/>
        </w:rPr>
        <w:softHyphen/>
        <w:t>ла в телеграфном режиме, поэтому Стерлигову пришлось в короткий срок изучить работу на телеграфном ключе (по нормам, требовалось принимать не менее 100 знаков в минуту). Погода в Хабаровске стояла прекрасная, поэтому экипаж даже смог искупаться в Аму</w:t>
      </w:r>
      <w:r w:rsidRPr="00A259BD">
        <w:rPr>
          <w:rFonts w:ascii="Times New Roman" w:hAnsi="Times New Roman"/>
          <w:color w:val="000000" w:themeColor="text1"/>
          <w:sz w:val="16"/>
          <w:szCs w:val="16"/>
        </w:rPr>
        <w:softHyphen/>
        <w:t>ре. В эти дни Шестаков с Болотовым крепко повздорили. Дело заключалось в том, что при полете над водой Болотов, как опытный мор</w:t>
      </w:r>
      <w:r w:rsidRPr="00A259BD">
        <w:rPr>
          <w:rFonts w:ascii="Times New Roman" w:hAnsi="Times New Roman"/>
          <w:color w:val="000000" w:themeColor="text1"/>
          <w:sz w:val="16"/>
          <w:szCs w:val="16"/>
        </w:rPr>
        <w:softHyphen/>
        <w:t>ской летчик, должен был сидеть в левом крес</w:t>
      </w:r>
      <w:r w:rsidRPr="00A259BD">
        <w:rPr>
          <w:rFonts w:ascii="Times New Roman" w:hAnsi="Times New Roman"/>
          <w:color w:val="000000" w:themeColor="text1"/>
          <w:sz w:val="16"/>
          <w:szCs w:val="16"/>
        </w:rPr>
        <w:softHyphen/>
        <w:t>ле. Однако Шестаков посчитал это посяга</w:t>
      </w:r>
      <w:r w:rsidRPr="00A259BD">
        <w:rPr>
          <w:rFonts w:ascii="Times New Roman" w:hAnsi="Times New Roman"/>
          <w:color w:val="000000" w:themeColor="text1"/>
          <w:sz w:val="16"/>
          <w:szCs w:val="16"/>
        </w:rPr>
        <w:softHyphen/>
        <w:t>тельством на свои командирские права и рез</w:t>
      </w:r>
      <w:r w:rsidRPr="00A259BD">
        <w:rPr>
          <w:rFonts w:ascii="Times New Roman" w:hAnsi="Times New Roman"/>
          <w:color w:val="000000" w:themeColor="text1"/>
          <w:sz w:val="16"/>
          <w:szCs w:val="16"/>
        </w:rPr>
        <w:softHyphen/>
        <w:t>ко воспротивился. Разбирательство дошло до Москвы, и Климент Ворошилов лично телегра</w:t>
      </w:r>
      <w:r w:rsidRPr="00A259BD">
        <w:rPr>
          <w:rFonts w:ascii="Times New Roman" w:hAnsi="Times New Roman"/>
          <w:color w:val="000000" w:themeColor="text1"/>
          <w:sz w:val="16"/>
          <w:szCs w:val="16"/>
        </w:rPr>
        <w:softHyphen/>
        <w:t>фировал Шестакову, что во время морского участка перелета ему придется сидеть справа (11286).</w:t>
      </w:r>
    </w:p>
    <w:p w14:paraId="68AF79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C4898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4DD89D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1FCD5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августа 1929 г. УММ выдвинуло требования по разра</w:t>
      </w:r>
      <w:r w:rsidRPr="00A259BD">
        <w:rPr>
          <w:rFonts w:ascii="Times New Roman" w:hAnsi="Times New Roman"/>
          <w:color w:val="000000" w:themeColor="text1"/>
          <w:sz w:val="16"/>
          <w:szCs w:val="16"/>
        </w:rPr>
        <w:softHyphen/>
        <w:t>ботке колесно-гусеничной танкетки Т-25 весом не более 3000—3500 кг, оснащенной двигателем мощностью 40—60 л.с., вооруженной либо пулеметом во вращающейся башне, либо 37-мм пушкой в корпусе и обладающей скоростью дви</w:t>
      </w:r>
      <w:r w:rsidRPr="00A259BD">
        <w:rPr>
          <w:rFonts w:ascii="Times New Roman" w:hAnsi="Times New Roman"/>
          <w:color w:val="000000" w:themeColor="text1"/>
          <w:sz w:val="16"/>
          <w:szCs w:val="16"/>
        </w:rPr>
        <w:softHyphen/>
        <w:t>жения не менее 40 км/ч на гусеницах и не менее 60 км/ч на колесах. Ни одна из находившихся в то время в разной степе</w:t>
      </w:r>
      <w:r w:rsidRPr="00A259BD">
        <w:rPr>
          <w:rFonts w:ascii="Times New Roman" w:hAnsi="Times New Roman"/>
          <w:color w:val="000000" w:themeColor="text1"/>
          <w:sz w:val="16"/>
          <w:szCs w:val="16"/>
        </w:rPr>
        <w:softHyphen/>
        <w:t>ни готовности танкеток (Т-17, Т-23), а также планируемая к приобретению танкетка “ВКЛ” (Виккерс-Карден-Ллойд) на первый взгляд не способна была удовлетворить поставлен</w:t>
      </w:r>
      <w:r w:rsidRPr="00A259BD">
        <w:rPr>
          <w:rFonts w:ascii="Times New Roman" w:hAnsi="Times New Roman"/>
          <w:color w:val="000000" w:themeColor="text1"/>
          <w:sz w:val="16"/>
          <w:szCs w:val="16"/>
        </w:rPr>
        <w:softHyphen/>
        <w:t>ным ТТТ. Поэтому для создания такой машины в сжатые сроки среди предприятий ГУВП был объявлен конкурс. Практически сразу в работу включился коллектив НАМИ. Здесь начали создавать эскизный проект колесно-гусеничного шасси с поднимаемыми и опускаемыми авто</w:t>
      </w:r>
      <w:r w:rsidRPr="00A259BD">
        <w:rPr>
          <w:rFonts w:ascii="Times New Roman" w:hAnsi="Times New Roman"/>
          <w:color w:val="000000" w:themeColor="text1"/>
          <w:sz w:val="16"/>
          <w:szCs w:val="16"/>
        </w:rPr>
        <w:softHyphen/>
        <w:t xml:space="preserve">мобильными колесами, расположенными вне гусеничных лент по типу танка </w:t>
      </w:r>
      <w:proofErr w:type="spellStart"/>
      <w:r w:rsidRPr="00A259BD">
        <w:rPr>
          <w:rFonts w:ascii="Times New Roman" w:hAnsi="Times New Roman"/>
          <w:color w:val="000000" w:themeColor="text1"/>
          <w:sz w:val="16"/>
          <w:szCs w:val="16"/>
        </w:rPr>
        <w:t>Фольмера</w:t>
      </w:r>
      <w:proofErr w:type="spellEnd"/>
      <w:r w:rsidRPr="00A259BD">
        <w:rPr>
          <w:rFonts w:ascii="Times New Roman" w:hAnsi="Times New Roman"/>
          <w:color w:val="000000" w:themeColor="text1"/>
          <w:sz w:val="16"/>
          <w:szCs w:val="16"/>
        </w:rPr>
        <w:t xml:space="preserve"> (10733,101).</w:t>
      </w:r>
    </w:p>
    <w:p w14:paraId="5B88B0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EBA91D" w14:textId="77777777" w:rsidR="0014084C" w:rsidRPr="00A259BD" w:rsidRDefault="0014084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августа 1929 г. У ММ выдвинуло требования по разработке колесно-гусеничной </w:t>
      </w:r>
      <w:hyperlink r:id="rId134"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етки Т-25 весом не более 3000-3500 кг, оснащенной двигателем мощностью 40-60 л.с., вооруженной либо пулеметом во вращающейся башне, либо 37-мм пушкой в корпусе и обладающей скоростью движения не менее 40 км/ч на гусеницах и не менее 60 км/ч на колесах. Ни одна из находившихся в то время в разной степени готовности </w:t>
      </w:r>
      <w:hyperlink r:id="rId135"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еток (Т-17, Т-23), а также планируемая к приобретению </w:t>
      </w:r>
      <w:hyperlink r:id="rId136"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етка «ВКЛ» (Виккерс-Карден-Ллойд) на первый взгляд не способна была удовлетворить поставленным ТТТ. Поэтому для создания такой машины в сжатые сроки среди предприятий ГУВП был объявлен конкурс.</w:t>
      </w:r>
    </w:p>
    <w:p w14:paraId="5CC38B9C" w14:textId="77777777" w:rsidR="0014084C" w:rsidRPr="00A259BD" w:rsidRDefault="0014084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Практически сразу в работу включился коллектив НАМИ. Здесь начали создавать эскизный проект колесно-гусеничного шасси с поднимаемыми и опускаемыми автомобильными колесами, расположенными вне гусеничных лент по типу </w:t>
      </w:r>
      <w:hyperlink r:id="rId137"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w:t>
      </w:r>
      <w:proofErr w:type="spellStart"/>
      <w:r w:rsidRPr="00A259BD">
        <w:rPr>
          <w:rFonts w:ascii="Times New Roman" w:hAnsi="Times New Roman"/>
          <w:color w:val="000000" w:themeColor="text1"/>
          <w:sz w:val="16"/>
          <w:szCs w:val="16"/>
        </w:rPr>
        <w:t>Фольмера</w:t>
      </w:r>
      <w:proofErr w:type="spellEnd"/>
      <w:r w:rsidRPr="00A259BD">
        <w:rPr>
          <w:rFonts w:ascii="Times New Roman" w:hAnsi="Times New Roman"/>
          <w:color w:val="000000" w:themeColor="text1"/>
          <w:sz w:val="16"/>
          <w:szCs w:val="16"/>
        </w:rPr>
        <w:t>.</w:t>
      </w:r>
    </w:p>
    <w:p w14:paraId="54CFC3DA" w14:textId="77777777" w:rsidR="0014084C" w:rsidRPr="00A259BD" w:rsidRDefault="0014084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Некоторое время </w:t>
      </w:r>
      <w:proofErr w:type="spellStart"/>
      <w:r w:rsidRPr="00A259BD">
        <w:rPr>
          <w:rFonts w:ascii="Times New Roman" w:hAnsi="Times New Roman"/>
          <w:color w:val="000000" w:themeColor="text1"/>
          <w:sz w:val="16"/>
          <w:szCs w:val="16"/>
        </w:rPr>
        <w:t>намишники</w:t>
      </w:r>
      <w:proofErr w:type="spellEnd"/>
      <w:r w:rsidRPr="00A259BD">
        <w:rPr>
          <w:rFonts w:ascii="Times New Roman" w:hAnsi="Times New Roman"/>
          <w:color w:val="000000" w:themeColor="text1"/>
          <w:sz w:val="16"/>
          <w:szCs w:val="16"/>
        </w:rPr>
        <w:t xml:space="preserve"> работали в этом направлении в полном одиночестве. Но работа что-то «не ладилась», и потому в ноябре 1929 г. они вызвали на соцсоревнование своих коллег из КБ завода «Большевик». Завод и КБ лихорадило с производством и модернизацией </w:t>
      </w:r>
      <w:hyperlink r:id="rId138"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ов Т-18, а также разработкой новых образцов (Т-19 и Т-20) и потому для работы над эскизным проектом был выделен всего один человек – инженер-конструктор В. </w:t>
      </w:r>
      <w:proofErr w:type="spellStart"/>
      <w:r w:rsidRPr="00A259BD">
        <w:rPr>
          <w:rFonts w:ascii="Times New Roman" w:hAnsi="Times New Roman"/>
          <w:color w:val="000000" w:themeColor="text1"/>
          <w:sz w:val="16"/>
          <w:szCs w:val="16"/>
        </w:rPr>
        <w:t>Симский</w:t>
      </w:r>
      <w:proofErr w:type="spellEnd"/>
      <w:r w:rsidRPr="00A259BD">
        <w:rPr>
          <w:rFonts w:ascii="Times New Roman" w:hAnsi="Times New Roman"/>
          <w:color w:val="000000" w:themeColor="text1"/>
          <w:sz w:val="16"/>
          <w:szCs w:val="16"/>
        </w:rPr>
        <w:t xml:space="preserve">. Общее руководство проектированием, а также оказание инженеру В. </w:t>
      </w:r>
      <w:proofErr w:type="spellStart"/>
      <w:r w:rsidRPr="00A259BD">
        <w:rPr>
          <w:rFonts w:ascii="Times New Roman" w:hAnsi="Times New Roman"/>
          <w:color w:val="000000" w:themeColor="text1"/>
          <w:sz w:val="16"/>
          <w:szCs w:val="16"/>
        </w:rPr>
        <w:t>Симскому</w:t>
      </w:r>
      <w:proofErr w:type="spellEnd"/>
      <w:r w:rsidRPr="00A259BD">
        <w:rPr>
          <w:rFonts w:ascii="Times New Roman" w:hAnsi="Times New Roman"/>
          <w:color w:val="000000" w:themeColor="text1"/>
          <w:sz w:val="16"/>
          <w:szCs w:val="16"/>
        </w:rPr>
        <w:t xml:space="preserve"> необходимой консультационной помощи было поручено С. Гинзбургу.</w:t>
      </w:r>
    </w:p>
    <w:p w14:paraId="4199566A" w14:textId="77777777" w:rsidR="0014084C" w:rsidRPr="00A259BD" w:rsidRDefault="0014084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отличие от своих соперников здесь выбрали иную схему перехода с колес на гусеницы – «переобуванием», что позволяло отказаться от сложных приводов поднимания/опускания корпуса и колес. При разработке эскизного проекта Т-25 В. </w:t>
      </w:r>
      <w:proofErr w:type="spellStart"/>
      <w:r w:rsidRPr="00A259BD">
        <w:rPr>
          <w:rFonts w:ascii="Times New Roman" w:hAnsi="Times New Roman"/>
          <w:color w:val="000000" w:themeColor="text1"/>
          <w:sz w:val="16"/>
          <w:szCs w:val="16"/>
        </w:rPr>
        <w:t>Симскому</w:t>
      </w:r>
      <w:proofErr w:type="spellEnd"/>
      <w:r w:rsidRPr="00A259BD">
        <w:rPr>
          <w:rFonts w:ascii="Times New Roman" w:hAnsi="Times New Roman"/>
          <w:color w:val="000000" w:themeColor="text1"/>
          <w:sz w:val="16"/>
          <w:szCs w:val="16"/>
        </w:rPr>
        <w:t xml:space="preserve"> предстояло решить самую сложную на тот момент задачу – как обеспечить переход с колёсного хода на гусеничного. Поскольку материалов по этой теме в СССР не было вообще </w:t>
      </w:r>
      <w:proofErr w:type="spellStart"/>
      <w:r w:rsidRPr="00A259BD">
        <w:rPr>
          <w:rFonts w:ascii="Times New Roman" w:hAnsi="Times New Roman"/>
          <w:color w:val="000000" w:themeColor="text1"/>
          <w:sz w:val="16"/>
          <w:szCs w:val="16"/>
        </w:rPr>
        <w:t>Симский</w:t>
      </w:r>
      <w:proofErr w:type="spellEnd"/>
      <w:r w:rsidRPr="00A259BD">
        <w:rPr>
          <w:rFonts w:ascii="Times New Roman" w:hAnsi="Times New Roman"/>
          <w:color w:val="000000" w:themeColor="text1"/>
          <w:sz w:val="16"/>
          <w:szCs w:val="16"/>
        </w:rPr>
        <w:t xml:space="preserve"> взялся за изучение убогой документации по </w:t>
      </w:r>
      <w:hyperlink r:id="rId139"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у </w:t>
      </w:r>
      <w:proofErr w:type="spellStart"/>
      <w:r w:rsidRPr="00A259BD">
        <w:rPr>
          <w:rFonts w:ascii="Times New Roman" w:hAnsi="Times New Roman"/>
          <w:color w:val="000000" w:themeColor="text1"/>
          <w:sz w:val="16"/>
          <w:szCs w:val="16"/>
        </w:rPr>
        <w:t>Christi</w:t>
      </w:r>
      <w:proofErr w:type="spellEnd"/>
      <w:r w:rsidRPr="00A259BD">
        <w:rPr>
          <w:rFonts w:ascii="Times New Roman" w:hAnsi="Times New Roman"/>
          <w:color w:val="000000" w:themeColor="text1"/>
          <w:sz w:val="16"/>
          <w:szCs w:val="16"/>
        </w:rPr>
        <w:t xml:space="preserve"> M1928, привезённой заместителем начальника УММ </w:t>
      </w:r>
      <w:proofErr w:type="spellStart"/>
      <w:r w:rsidRPr="00A259BD">
        <w:rPr>
          <w:rFonts w:ascii="Times New Roman" w:hAnsi="Times New Roman"/>
          <w:color w:val="000000" w:themeColor="text1"/>
          <w:sz w:val="16"/>
          <w:szCs w:val="16"/>
        </w:rPr>
        <w:t>И.Халепским</w:t>
      </w:r>
      <w:proofErr w:type="spellEnd"/>
      <w:r w:rsidRPr="00A259BD">
        <w:rPr>
          <w:rFonts w:ascii="Times New Roman" w:hAnsi="Times New Roman"/>
          <w:color w:val="000000" w:themeColor="text1"/>
          <w:sz w:val="16"/>
          <w:szCs w:val="16"/>
        </w:rPr>
        <w:t xml:space="preserve"> из США. По сути, имеющиеся бумаги носили рекламно-ознакомительный характер и не давали полного представления о работе нового типа движителя. Тем не менее, </w:t>
      </w:r>
      <w:proofErr w:type="spellStart"/>
      <w:r w:rsidRPr="00A259BD">
        <w:rPr>
          <w:rFonts w:ascii="Times New Roman" w:hAnsi="Times New Roman"/>
          <w:color w:val="000000" w:themeColor="text1"/>
          <w:sz w:val="16"/>
          <w:szCs w:val="16"/>
        </w:rPr>
        <w:t>Симскому</w:t>
      </w:r>
      <w:proofErr w:type="spellEnd"/>
      <w:r w:rsidRPr="00A259BD">
        <w:rPr>
          <w:rFonts w:ascii="Times New Roman" w:hAnsi="Times New Roman"/>
          <w:color w:val="000000" w:themeColor="text1"/>
          <w:sz w:val="16"/>
          <w:szCs w:val="16"/>
        </w:rPr>
        <w:t xml:space="preserve"> удалось не только спроектировать собственный аналог, но и вложиться в требования технического задания.</w:t>
      </w:r>
    </w:p>
    <w:p w14:paraId="329500A4" w14:textId="77777777" w:rsidR="0014084C" w:rsidRPr="00A259BD" w:rsidRDefault="0014084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октябре-ноябре было проведено сравнение двух проектов. Вариант Т-25, предложенный НАМИ </w:t>
      </w:r>
      <w:proofErr w:type="spellStart"/>
      <w:r w:rsidRPr="00A259BD">
        <w:rPr>
          <w:rFonts w:ascii="Times New Roman" w:hAnsi="Times New Roman"/>
          <w:color w:val="000000" w:themeColor="text1"/>
          <w:sz w:val="16"/>
          <w:szCs w:val="16"/>
        </w:rPr>
        <w:t>отличалася</w:t>
      </w:r>
      <w:proofErr w:type="spellEnd"/>
      <w:r w:rsidRPr="00A259BD">
        <w:rPr>
          <w:rFonts w:ascii="Times New Roman" w:hAnsi="Times New Roman"/>
          <w:color w:val="000000" w:themeColor="text1"/>
          <w:sz w:val="16"/>
          <w:szCs w:val="16"/>
        </w:rPr>
        <w:t xml:space="preserve"> ходовой частью с поднимаемыми и опускаемыми колёсами (наподобие шведского </w:t>
      </w:r>
      <w:hyperlink r:id="rId140"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w:t>
      </w:r>
      <w:proofErr w:type="spellStart"/>
      <w:r w:rsidRPr="00A259BD">
        <w:rPr>
          <w:rFonts w:ascii="Times New Roman" w:hAnsi="Times New Roman"/>
          <w:color w:val="000000" w:themeColor="text1"/>
          <w:sz w:val="16"/>
          <w:szCs w:val="16"/>
        </w:rPr>
        <w:t>Landsverk</w:t>
      </w:r>
      <w:proofErr w:type="spellEnd"/>
      <w:r w:rsidRPr="00A259BD">
        <w:rPr>
          <w:rFonts w:ascii="Times New Roman" w:hAnsi="Times New Roman"/>
          <w:color w:val="000000" w:themeColor="text1"/>
          <w:sz w:val="16"/>
          <w:szCs w:val="16"/>
        </w:rPr>
        <w:t xml:space="preserve"> L-30 или чехословацкого Skoda KH50) установленных снаружи гусеничных цепей. Преимуществом такой схемы было отсутствие необходимости выхода экипажа наружу машины для смены хода. Однако инженеры НАМИ не смогли уложиться в ТЗ (вес – более 4,5 т, скорость – 30-33 км/ч на гусеницах и не более 50 км/ч на колесах).</w:t>
      </w:r>
    </w:p>
    <w:p w14:paraId="19466F25" w14:textId="77777777" w:rsidR="0014084C" w:rsidRPr="00A259BD" w:rsidRDefault="0014084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Колесно-гусеничная </w:t>
      </w:r>
      <w:hyperlink r:id="rId141"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етка </w:t>
      </w:r>
      <w:proofErr w:type="spellStart"/>
      <w:r w:rsidRPr="00A259BD">
        <w:rPr>
          <w:rFonts w:ascii="Times New Roman" w:hAnsi="Times New Roman"/>
          <w:color w:val="000000" w:themeColor="text1"/>
          <w:sz w:val="16"/>
          <w:szCs w:val="16"/>
        </w:rPr>
        <w:t>Симского</w:t>
      </w:r>
      <w:proofErr w:type="spellEnd"/>
      <w:r w:rsidRPr="00A259BD">
        <w:rPr>
          <w:rFonts w:ascii="Times New Roman" w:hAnsi="Times New Roman"/>
          <w:color w:val="000000" w:themeColor="text1"/>
          <w:sz w:val="16"/>
          <w:szCs w:val="16"/>
        </w:rPr>
        <w:t xml:space="preserve"> по проекту представляла собой уменьшенный вид </w:t>
      </w:r>
      <w:hyperlink r:id="rId142"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«Кристи», но при этом имела с ним большие различия в размерах и ходовой части. Так, привод в Т-25 предполагалось осуществить синхронно на все колеса, а для улучшения маневренности предполагалось сделать управляемыми две передние оси и т.д. Проектом предусматривалось достижение скорости движения 45 км/ч на гусеницах и 65 км/ч на колесах при применении 60 л.с. двигателя от </w:t>
      </w:r>
      <w:hyperlink r:id="rId143"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Т-20, или 52 км/ч и 75 км/ч соответственно с двигателем в 70 л.с. Рассмотрев оба проекта в октябре-ноябре 1929 года УММ выбрало первый вариант, поскольку НАМИ не удалось вложиться в ТТЗ по массе и скорости. Постройку опытного образца </w:t>
      </w:r>
      <w:hyperlink r:id="rId144"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етки запланировали на декабрь 1931 года и с этого момента программа развития Т-25 получила весьма ощутимую поддержку.</w:t>
      </w:r>
    </w:p>
    <w:p w14:paraId="3E229092" w14:textId="77777777" w:rsidR="0014084C" w:rsidRPr="00A259BD" w:rsidRDefault="0014084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Из особенностей </w:t>
      </w:r>
      <w:hyperlink r:id="rId145"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етки Т-25 следует отметить также, во-первых, плавательное приспособление – съемный пустотелый фанерно-дюралевый «поплавок», набитый пробкой или сушеной морской травой. Планировалось использовать эту же </w:t>
      </w:r>
      <w:hyperlink r:id="rId146"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етку для проведения экспериментов по созданию «летающего» и «буксируемого» «</w:t>
      </w:r>
      <w:hyperlink r:id="rId147"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а-планера». Из переписки С. Гинзбурга понятно, что эту </w:t>
      </w:r>
      <w:hyperlink r:id="rId148"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етку предполагалось использовать также в качестве зенитного </w:t>
      </w:r>
      <w:hyperlink r:id="rId149"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а, вооруженного спаркой пулеметов типа ДТ, ДА или ДУ. Для этого планировалось разработать новую, открытую сверху, башню.</w:t>
      </w:r>
    </w:p>
    <w:p w14:paraId="4F10F85F" w14:textId="77777777" w:rsidR="0014084C" w:rsidRPr="00A259BD" w:rsidRDefault="0014084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Впрочем, когда дело дошло до воплощения проекта в металл, выявилось множество “подводных камней”, наиболее “острым” из которых стал тот самый колёсно-гусеничных ход. Никаких дополнительных усилий по доработке Т-25 не прилагалось, так как все инженерные и производственные мощности были заняты </w:t>
      </w:r>
      <w:hyperlink r:id="rId150"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ами Т-18 и Т-19. Изготовление опытного образца </w:t>
      </w:r>
      <w:hyperlink r:id="rId151"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етки передали на ХПЗ, но там умышленно затормозили работы по нему, ожидая продолжения дальнейших работ по среднему </w:t>
      </w:r>
      <w:hyperlink r:id="rId152"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у Т-24, постройка которого также была временно приостановлена в виду отсутствия денежных средств. Харьковский паровозостроительный завод попытался «спихнуть с себя» этот малоперспективный проект, ожидая продолжения работ по </w:t>
      </w:r>
      <w:hyperlink r:id="rId153"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у Т-24.</w:t>
      </w:r>
    </w:p>
    <w:p w14:paraId="59152B5A" w14:textId="77777777" w:rsidR="0014084C" w:rsidRPr="00A259BD" w:rsidRDefault="0014084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Таким образом, проект колесно-гусеничной </w:t>
      </w:r>
      <w:hyperlink r:id="rId154"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етки Т-25 конструкции Гинзбурга – </w:t>
      </w:r>
      <w:proofErr w:type="spellStart"/>
      <w:r w:rsidRPr="00A259BD">
        <w:rPr>
          <w:rFonts w:ascii="Times New Roman" w:hAnsi="Times New Roman"/>
          <w:color w:val="000000" w:themeColor="text1"/>
          <w:sz w:val="16"/>
          <w:szCs w:val="16"/>
        </w:rPr>
        <w:t>Симского</w:t>
      </w:r>
      <w:proofErr w:type="spellEnd"/>
      <w:r w:rsidRPr="00A259BD">
        <w:rPr>
          <w:rFonts w:ascii="Times New Roman" w:hAnsi="Times New Roman"/>
          <w:color w:val="000000" w:themeColor="text1"/>
          <w:sz w:val="16"/>
          <w:szCs w:val="16"/>
        </w:rPr>
        <w:t xml:space="preserve"> был отложен исполнением на один год, а в 1932 г. совершенно закрыт. Основной причиной отказа от дальнейших работ по колесно-гусеничной </w:t>
      </w:r>
      <w:hyperlink r:id="rId155"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етки послужила её чрезвычайно высокая стоимость, которая мало отличалась от стоимости легкого </w:t>
      </w:r>
      <w:hyperlink r:id="rId156"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Т-26 образца 1931 г. Кроме того, изучив возможность серийной постройки </w:t>
      </w:r>
      <w:hyperlink r:id="rId157"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ов иностранного производства в СССР начальник УММ РККА </w:t>
      </w:r>
      <w:proofErr w:type="spellStart"/>
      <w:r w:rsidRPr="00A259BD">
        <w:rPr>
          <w:rFonts w:ascii="Times New Roman" w:hAnsi="Times New Roman"/>
          <w:color w:val="000000" w:themeColor="text1"/>
          <w:sz w:val="16"/>
          <w:szCs w:val="16"/>
        </w:rPr>
        <w:t>И.Халепский</w:t>
      </w:r>
      <w:proofErr w:type="spellEnd"/>
      <w:r w:rsidRPr="00A259BD">
        <w:rPr>
          <w:rFonts w:ascii="Times New Roman" w:hAnsi="Times New Roman"/>
          <w:color w:val="000000" w:themeColor="text1"/>
          <w:sz w:val="16"/>
          <w:szCs w:val="16"/>
        </w:rPr>
        <w:t xml:space="preserve"> сделал вывод, что разумнее будет запустить в производство боевые машины конструкции </w:t>
      </w:r>
      <w:proofErr w:type="spellStart"/>
      <w:r w:rsidRPr="00A259BD">
        <w:rPr>
          <w:rFonts w:ascii="Times New Roman" w:hAnsi="Times New Roman"/>
          <w:color w:val="000000" w:themeColor="text1"/>
          <w:sz w:val="16"/>
          <w:szCs w:val="16"/>
        </w:rPr>
        <w:t>У.Кристи</w:t>
      </w:r>
      <w:proofErr w:type="spellEnd"/>
      <w:r w:rsidRPr="00A259BD">
        <w:rPr>
          <w:rFonts w:ascii="Times New Roman" w:hAnsi="Times New Roman"/>
          <w:color w:val="000000" w:themeColor="text1"/>
          <w:sz w:val="16"/>
          <w:szCs w:val="16"/>
        </w:rPr>
        <w:t xml:space="preserve">, что и было выполнено в 1931 году. Таким образом, надобность в Т-25 отпала сама собой, а место обычных </w:t>
      </w:r>
      <w:hyperlink r:id="rId158"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еток заняли более технологичные и менее дорогостоящие Т-27 (15618).</w:t>
      </w:r>
    </w:p>
    <w:p w14:paraId="1C2D098B" w14:textId="77777777" w:rsidR="0014084C" w:rsidRPr="00A259BD" w:rsidRDefault="0014084C" w:rsidP="009236E3">
      <w:pPr>
        <w:spacing w:after="0" w:line="240" w:lineRule="auto"/>
        <w:jc w:val="both"/>
        <w:rPr>
          <w:rFonts w:ascii="Times New Roman" w:hAnsi="Times New Roman"/>
          <w:color w:val="000000" w:themeColor="text1"/>
          <w:sz w:val="16"/>
          <w:szCs w:val="16"/>
        </w:rPr>
      </w:pPr>
    </w:p>
    <w:p w14:paraId="06D3D7E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80EEB4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F63B5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августа 1929 в ходе испытательных полетов по поиску формы и размеров хвостового оперения на 25 заводе в ходе заводских испытаний был разбит П-2 М-6 Н.Н.П. (2371). Л </w:t>
      </w:r>
      <w:proofErr w:type="spellStart"/>
      <w:r w:rsidRPr="00A259BD">
        <w:rPr>
          <w:rFonts w:ascii="Times New Roman" w:hAnsi="Times New Roman"/>
          <w:color w:val="000000" w:themeColor="text1"/>
          <w:sz w:val="16"/>
          <w:szCs w:val="16"/>
        </w:rPr>
        <w:t>Б.Л.Бухгольц</w:t>
      </w:r>
      <w:proofErr w:type="spellEnd"/>
      <w:r w:rsidRPr="00A259BD">
        <w:rPr>
          <w:rFonts w:ascii="Times New Roman" w:hAnsi="Times New Roman"/>
          <w:color w:val="000000" w:themeColor="text1"/>
          <w:sz w:val="16"/>
          <w:szCs w:val="16"/>
        </w:rPr>
        <w:t xml:space="preserve"> спасся на парашюте. В письме жене писал: “В субботу я. Как обыкновенно, летал и, возвращаясь после выполнения полета на посадку, на высоте 1200 м потерял в воздухе крыло и самолет с ужасающей скоростью стал падать неуправляемым комком. Пришлось прибегнуть к парашюту, которым я и воспользовался.... Самолет упал на аэродром и разбился, как я еще ни разу не видел, - все - даже мотор, разлетелось на мелкие кусочки, сам же я благополучно спустился и повис на деревьях сада при клубе Авиаработник против дома </w:t>
      </w:r>
      <w:proofErr w:type="spellStart"/>
      <w:r w:rsidRPr="00A259BD">
        <w:rPr>
          <w:rFonts w:ascii="Times New Roman" w:hAnsi="Times New Roman"/>
          <w:color w:val="000000" w:themeColor="text1"/>
          <w:sz w:val="16"/>
          <w:szCs w:val="16"/>
        </w:rPr>
        <w:t>Сытниковых</w:t>
      </w:r>
      <w:proofErr w:type="spellEnd"/>
      <w:r w:rsidRPr="00A259BD">
        <w:rPr>
          <w:rFonts w:ascii="Times New Roman" w:hAnsi="Times New Roman"/>
          <w:color w:val="000000" w:themeColor="text1"/>
          <w:sz w:val="16"/>
          <w:szCs w:val="16"/>
        </w:rPr>
        <w:t>...(7473, 50).</w:t>
      </w:r>
    </w:p>
    <w:p w14:paraId="6F3382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611A8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августа 1929 г. на самолете П-2 уста</w:t>
      </w:r>
      <w:r w:rsidRPr="00A259BD">
        <w:rPr>
          <w:rFonts w:ascii="Times New Roman" w:hAnsi="Times New Roman"/>
          <w:color w:val="000000" w:themeColor="text1"/>
          <w:sz w:val="16"/>
          <w:szCs w:val="16"/>
        </w:rPr>
        <w:softHyphen/>
        <w:t xml:space="preserve">новили увеличенный по площади руль высоты. Летчик-испытатель </w:t>
      </w:r>
      <w:proofErr w:type="spellStart"/>
      <w:r w:rsidRPr="00A259BD">
        <w:rPr>
          <w:rFonts w:ascii="Times New Roman" w:hAnsi="Times New Roman"/>
          <w:color w:val="000000" w:themeColor="text1"/>
          <w:sz w:val="16"/>
          <w:szCs w:val="16"/>
        </w:rPr>
        <w:t>Б.Л.Бухгольц</w:t>
      </w:r>
      <w:proofErr w:type="spellEnd"/>
      <w:r w:rsidRPr="00A259BD">
        <w:rPr>
          <w:rFonts w:ascii="Times New Roman" w:hAnsi="Times New Roman"/>
          <w:color w:val="000000" w:themeColor="text1"/>
          <w:sz w:val="16"/>
          <w:szCs w:val="16"/>
        </w:rPr>
        <w:t xml:space="preserve"> поднял машину в воз</w:t>
      </w:r>
      <w:r w:rsidRPr="00A259BD">
        <w:rPr>
          <w:rFonts w:ascii="Times New Roman" w:hAnsi="Times New Roman"/>
          <w:color w:val="000000" w:themeColor="text1"/>
          <w:sz w:val="16"/>
          <w:szCs w:val="16"/>
        </w:rPr>
        <w:softHyphen/>
        <w:t>дух. Он отметил, что штопорные свойства улучшились. Приходилось прилагать большие усилия, чтобы удер</w:t>
      </w:r>
      <w:r w:rsidRPr="00A259BD">
        <w:rPr>
          <w:rFonts w:ascii="Times New Roman" w:hAnsi="Times New Roman"/>
          <w:color w:val="000000" w:themeColor="text1"/>
          <w:sz w:val="16"/>
          <w:szCs w:val="16"/>
        </w:rPr>
        <w:softHyphen/>
        <w:t>жать самолет в штопоре. Завершив этот цикл испыта</w:t>
      </w:r>
      <w:r w:rsidRPr="00A259BD">
        <w:rPr>
          <w:rFonts w:ascii="Times New Roman" w:hAnsi="Times New Roman"/>
          <w:color w:val="000000" w:themeColor="text1"/>
          <w:sz w:val="16"/>
          <w:szCs w:val="16"/>
        </w:rPr>
        <w:softHyphen/>
        <w:t>ний, Бухгольц ввел П-2 в иммельман. Но внезапно последовал резкий удар и сильная перегрузка прижала летчика к правому борту. Машина стала падать. Бух</w:t>
      </w:r>
      <w:r w:rsidRPr="00A259BD">
        <w:rPr>
          <w:rFonts w:ascii="Times New Roman" w:hAnsi="Times New Roman"/>
          <w:color w:val="000000" w:themeColor="text1"/>
          <w:sz w:val="16"/>
          <w:szCs w:val="16"/>
        </w:rPr>
        <w:softHyphen/>
        <w:t>гольц покинул П-2 и спасся на парашюте. Об этом со</w:t>
      </w:r>
      <w:r w:rsidRPr="00A259BD">
        <w:rPr>
          <w:rFonts w:ascii="Times New Roman" w:hAnsi="Times New Roman"/>
          <w:color w:val="000000" w:themeColor="text1"/>
          <w:sz w:val="16"/>
          <w:szCs w:val="16"/>
        </w:rPr>
        <w:softHyphen/>
        <w:t>бытии он так писал в письме жене:</w:t>
      </w:r>
    </w:p>
    <w:p w14:paraId="0E87BB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субботу я, как обыкновенно, летал и, возвращаясь после выполнения полета на посадку, на высоте 1200 м потерял в воздухе крыло и самолет с ужасающей скоро</w:t>
      </w:r>
      <w:r w:rsidRPr="00A259BD">
        <w:rPr>
          <w:rFonts w:ascii="Times New Roman" w:hAnsi="Times New Roman"/>
          <w:color w:val="000000" w:themeColor="text1"/>
          <w:sz w:val="16"/>
          <w:szCs w:val="16"/>
        </w:rPr>
        <w:softHyphen/>
        <w:t>стью стал падать неуправляемым комком. Пришлось прибегнуть к парашюту, которым я и воспользовался... Самолет упал на аэродроме и разбился, как я еще не ра</w:t>
      </w:r>
      <w:r w:rsidRPr="00A259BD">
        <w:rPr>
          <w:rFonts w:ascii="Times New Roman" w:hAnsi="Times New Roman"/>
          <w:color w:val="000000" w:themeColor="text1"/>
          <w:sz w:val="16"/>
          <w:szCs w:val="16"/>
        </w:rPr>
        <w:softHyphen/>
        <w:t>зу не видел, - все, даже мотор, разлетелось на мелкие ку</w:t>
      </w:r>
      <w:r w:rsidRPr="00A259BD">
        <w:rPr>
          <w:rFonts w:ascii="Times New Roman" w:hAnsi="Times New Roman"/>
          <w:color w:val="000000" w:themeColor="text1"/>
          <w:sz w:val="16"/>
          <w:szCs w:val="16"/>
        </w:rPr>
        <w:softHyphen/>
        <w:t xml:space="preserve">сочки, сам же благополучно спустился и повис на деревьях сада при клубе “Авиаработник” против дома </w:t>
      </w:r>
      <w:proofErr w:type="spellStart"/>
      <w:r w:rsidRPr="00A259BD">
        <w:rPr>
          <w:rFonts w:ascii="Times New Roman" w:hAnsi="Times New Roman"/>
          <w:color w:val="000000" w:themeColor="text1"/>
          <w:sz w:val="16"/>
          <w:szCs w:val="16"/>
        </w:rPr>
        <w:t>Сытниковых</w:t>
      </w:r>
      <w:proofErr w:type="spellEnd"/>
      <w:r w:rsidRPr="00A259BD">
        <w:rPr>
          <w:rFonts w:ascii="Times New Roman" w:hAnsi="Times New Roman"/>
          <w:color w:val="000000" w:themeColor="text1"/>
          <w:sz w:val="16"/>
          <w:szCs w:val="16"/>
        </w:rPr>
        <w:t xml:space="preserve"> - там, где мы смотрели картину, по</w:t>
      </w:r>
      <w:r w:rsidRPr="00A259BD">
        <w:rPr>
          <w:rFonts w:ascii="Times New Roman" w:hAnsi="Times New Roman"/>
          <w:color w:val="000000" w:themeColor="text1"/>
          <w:sz w:val="16"/>
          <w:szCs w:val="16"/>
        </w:rPr>
        <w:softHyphen/>
        <w:t>мнишь? Вечером немного выпили, и сейчас все в поряд</w:t>
      </w:r>
      <w:r w:rsidRPr="00A259BD">
        <w:rPr>
          <w:rFonts w:ascii="Times New Roman" w:hAnsi="Times New Roman"/>
          <w:color w:val="000000" w:themeColor="text1"/>
          <w:sz w:val="16"/>
          <w:szCs w:val="16"/>
        </w:rPr>
        <w:softHyphen/>
        <w:t xml:space="preserve">ке, и чувствую себя хорошо. Боялся нервного шока, но его нет и в помине. " </w:t>
      </w:r>
      <w:proofErr w:type="spellStart"/>
      <w:r w:rsidRPr="00A259BD">
        <w:rPr>
          <w:rFonts w:ascii="Times New Roman" w:hAnsi="Times New Roman"/>
          <w:color w:val="000000" w:themeColor="text1"/>
          <w:sz w:val="16"/>
          <w:szCs w:val="16"/>
        </w:rPr>
        <w:t>Unkrant</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vergeht</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nicht</w:t>
      </w:r>
      <w:proofErr w:type="spellEnd"/>
      <w:r w:rsidRPr="00A259BD">
        <w:rPr>
          <w:rFonts w:ascii="Times New Roman" w:hAnsi="Times New Roman"/>
          <w:color w:val="000000" w:themeColor="text1"/>
          <w:sz w:val="16"/>
          <w:szCs w:val="16"/>
        </w:rPr>
        <w:t>!" (“Мы не больны!” - В.И.) Радуюсь жизни”. Специально созданная комиссия, проанализировав показания летчика и обломки самолета, выяснила, что при энергичном вводе П-2 в иммельман сломался узел крепления нижнего крыла, облегченный по сравнению с 2У-БЗ, но не проходивший статические испытания. По</w:t>
      </w:r>
      <w:r w:rsidRPr="00A259BD">
        <w:rPr>
          <w:rFonts w:ascii="Times New Roman" w:hAnsi="Times New Roman"/>
          <w:color w:val="000000" w:themeColor="text1"/>
          <w:sz w:val="16"/>
          <w:szCs w:val="16"/>
        </w:rPr>
        <w:softHyphen/>
        <w:t>сле этого начал разрушаться лонжерон нижнего левого крыла, крыло оторвалось, ударило по фюзеляжу, ломая его хвостовую часть. Потом оторвалась левая консоль верхнего крыла. По результатам анализа причин аварии было приня</w:t>
      </w:r>
      <w:r w:rsidRPr="00A259BD">
        <w:rPr>
          <w:rFonts w:ascii="Times New Roman" w:hAnsi="Times New Roman"/>
          <w:color w:val="000000" w:themeColor="text1"/>
          <w:sz w:val="16"/>
          <w:szCs w:val="16"/>
        </w:rPr>
        <w:softHyphen/>
        <w:t>то решение продолжить постройку П-2, а головной се</w:t>
      </w:r>
      <w:r w:rsidRPr="00A259BD">
        <w:rPr>
          <w:rFonts w:ascii="Times New Roman" w:hAnsi="Times New Roman"/>
          <w:color w:val="000000" w:themeColor="text1"/>
          <w:sz w:val="16"/>
          <w:szCs w:val="16"/>
        </w:rPr>
        <w:softHyphen/>
        <w:t>рийный экземпляр испытать в Ленинграде с узлами крепления нижнего крыла от истребителя И-3 (10667).</w:t>
      </w:r>
    </w:p>
    <w:p w14:paraId="0841D2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47DD7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августа 1929 день не задался с самого утра. Сначала долго не могли запустить пра</w:t>
      </w:r>
      <w:r w:rsidRPr="00A259BD">
        <w:rPr>
          <w:rFonts w:ascii="Times New Roman" w:hAnsi="Times New Roman"/>
          <w:color w:val="000000" w:themeColor="text1"/>
          <w:sz w:val="16"/>
          <w:szCs w:val="16"/>
        </w:rPr>
        <w:softHyphen/>
        <w:t xml:space="preserve">вый двигатель. Наконец, в полдень вылетели, к заходу солнца подошли к </w:t>
      </w:r>
      <w:proofErr w:type="spellStart"/>
      <w:r w:rsidRPr="00A259BD">
        <w:rPr>
          <w:rFonts w:ascii="Times New Roman" w:hAnsi="Times New Roman"/>
          <w:color w:val="000000" w:themeColor="text1"/>
          <w:sz w:val="16"/>
          <w:szCs w:val="16"/>
        </w:rPr>
        <w:t>Верхнеудинску</w:t>
      </w:r>
      <w:proofErr w:type="spellEnd"/>
      <w:r w:rsidRPr="00A259BD">
        <w:rPr>
          <w:rFonts w:ascii="Times New Roman" w:hAnsi="Times New Roman"/>
          <w:color w:val="000000" w:themeColor="text1"/>
          <w:sz w:val="16"/>
          <w:szCs w:val="16"/>
        </w:rPr>
        <w:t xml:space="preserve"> и были готовы к посадке, однако Шестаков ре</w:t>
      </w:r>
      <w:r w:rsidRPr="00A259BD">
        <w:rPr>
          <w:rFonts w:ascii="Times New Roman" w:hAnsi="Times New Roman"/>
          <w:color w:val="000000" w:themeColor="text1"/>
          <w:sz w:val="16"/>
          <w:szCs w:val="16"/>
        </w:rPr>
        <w:softHyphen/>
        <w:t>шил лететь дальше до Читы. Но лучше бы он этого не делал. Во время возни с двигателем в Красноярске и при продолжительном полете со встречным ветром было израсходовано не</w:t>
      </w:r>
      <w:r w:rsidRPr="00A259BD">
        <w:rPr>
          <w:rFonts w:ascii="Times New Roman" w:hAnsi="Times New Roman"/>
          <w:color w:val="000000" w:themeColor="text1"/>
          <w:sz w:val="16"/>
          <w:szCs w:val="16"/>
        </w:rPr>
        <w:softHyphen/>
        <w:t>мало топлива, и дойти до Читы не удалось из-за полной выработки горючего. Вынужденная посадка на лес глубокой ночью при отсутствии даже лунного освещения, казалось бы, не ос</w:t>
      </w:r>
      <w:r w:rsidRPr="00A259BD">
        <w:rPr>
          <w:rFonts w:ascii="Times New Roman" w:hAnsi="Times New Roman"/>
          <w:color w:val="000000" w:themeColor="text1"/>
          <w:sz w:val="16"/>
          <w:szCs w:val="16"/>
        </w:rPr>
        <w:softHyphen/>
        <w:t>тавляла экипажу ни малейшего шанса уце</w:t>
      </w:r>
      <w:r w:rsidRPr="00A259BD">
        <w:rPr>
          <w:rFonts w:ascii="Times New Roman" w:hAnsi="Times New Roman"/>
          <w:color w:val="000000" w:themeColor="text1"/>
          <w:sz w:val="16"/>
          <w:szCs w:val="16"/>
        </w:rPr>
        <w:softHyphen/>
        <w:t>леть. Тем не менее, все четверо отделались лишь ушибами. Самолет к дальнейшему ис</w:t>
      </w:r>
      <w:r w:rsidRPr="00A259BD">
        <w:rPr>
          <w:rFonts w:ascii="Times New Roman" w:hAnsi="Times New Roman"/>
          <w:color w:val="000000" w:themeColor="text1"/>
          <w:sz w:val="16"/>
          <w:szCs w:val="16"/>
        </w:rPr>
        <w:softHyphen/>
        <w:t>пользованию, конечно же, не годился. Пешком с помощью местных жителей ави</w:t>
      </w:r>
      <w:r w:rsidRPr="00A259BD">
        <w:rPr>
          <w:rFonts w:ascii="Times New Roman" w:hAnsi="Times New Roman"/>
          <w:color w:val="000000" w:themeColor="text1"/>
          <w:sz w:val="16"/>
          <w:szCs w:val="16"/>
        </w:rPr>
        <w:softHyphen/>
        <w:t>аторы добрались до ближайшего села. Далее на поезде доехали до Иркутска, где Шестаков пересел на рейсовый самолет. Когда второй пилот, штурман и бортмеханик вышли на Ярославском вокзале Москвы, там их встре</w:t>
      </w:r>
      <w:r w:rsidRPr="00A259BD">
        <w:rPr>
          <w:rFonts w:ascii="Times New Roman" w:hAnsi="Times New Roman"/>
          <w:color w:val="000000" w:themeColor="text1"/>
          <w:sz w:val="16"/>
          <w:szCs w:val="16"/>
        </w:rPr>
        <w:softHyphen/>
        <w:t>чал прибывший сутками ранее Семен Шеста</w:t>
      </w:r>
      <w:r w:rsidRPr="00A259BD">
        <w:rPr>
          <w:rFonts w:ascii="Times New Roman" w:hAnsi="Times New Roman"/>
          <w:color w:val="000000" w:themeColor="text1"/>
          <w:sz w:val="16"/>
          <w:szCs w:val="16"/>
        </w:rPr>
        <w:softHyphen/>
        <w:t>ков. Он сообщил, что принято решение пере</w:t>
      </w:r>
      <w:r w:rsidRPr="00A259BD">
        <w:rPr>
          <w:rFonts w:ascii="Times New Roman" w:hAnsi="Times New Roman"/>
          <w:color w:val="000000" w:themeColor="text1"/>
          <w:sz w:val="16"/>
          <w:szCs w:val="16"/>
        </w:rPr>
        <w:softHyphen/>
        <w:t>лет в США завершить, для этого выделяется резервная машина АНТ-4 “Дублер”. В случае проблем с их самочувствием подготовлен ре</w:t>
      </w:r>
      <w:r w:rsidRPr="00A259BD">
        <w:rPr>
          <w:rFonts w:ascii="Times New Roman" w:hAnsi="Times New Roman"/>
          <w:color w:val="000000" w:themeColor="text1"/>
          <w:sz w:val="16"/>
          <w:szCs w:val="16"/>
        </w:rPr>
        <w:softHyphen/>
        <w:t xml:space="preserve">зервный экипаж в составе </w:t>
      </w:r>
      <w:proofErr w:type="spellStart"/>
      <w:r w:rsidRPr="00A259BD">
        <w:rPr>
          <w:rFonts w:ascii="Times New Roman" w:hAnsi="Times New Roman"/>
          <w:color w:val="000000" w:themeColor="text1"/>
          <w:sz w:val="16"/>
          <w:szCs w:val="16"/>
        </w:rPr>
        <w:t>Волковойнова</w:t>
      </w:r>
      <w:proofErr w:type="spellEnd"/>
      <w:r w:rsidRPr="00A259BD">
        <w:rPr>
          <w:rFonts w:ascii="Times New Roman" w:hAnsi="Times New Roman"/>
          <w:color w:val="000000" w:themeColor="text1"/>
          <w:sz w:val="16"/>
          <w:szCs w:val="16"/>
        </w:rPr>
        <w:t>, Бух-гольца и Данилина. Ответом стало единодуш</w:t>
      </w:r>
      <w:r w:rsidRPr="00A259BD">
        <w:rPr>
          <w:rFonts w:ascii="Times New Roman" w:hAnsi="Times New Roman"/>
          <w:color w:val="000000" w:themeColor="text1"/>
          <w:sz w:val="16"/>
          <w:szCs w:val="16"/>
        </w:rPr>
        <w:softHyphen/>
        <w:t xml:space="preserve">ное решение Болотова, Стерлигова и </w:t>
      </w:r>
      <w:proofErr w:type="spellStart"/>
      <w:r w:rsidRPr="00A259BD">
        <w:rPr>
          <w:rFonts w:ascii="Times New Roman" w:hAnsi="Times New Roman"/>
          <w:color w:val="000000" w:themeColor="text1"/>
          <w:sz w:val="16"/>
          <w:szCs w:val="16"/>
        </w:rPr>
        <w:t>Фуфаева</w:t>
      </w:r>
      <w:proofErr w:type="spellEnd"/>
      <w:r w:rsidRPr="00A259BD">
        <w:rPr>
          <w:rFonts w:ascii="Times New Roman" w:hAnsi="Times New Roman"/>
          <w:color w:val="000000" w:themeColor="text1"/>
          <w:sz w:val="16"/>
          <w:szCs w:val="16"/>
        </w:rPr>
        <w:t xml:space="preserve"> — лететь! 23 августа экипаж Шестакова отправился в путь на второй “Стране Сове</w:t>
      </w:r>
      <w:r w:rsidRPr="00A259BD">
        <w:rPr>
          <w:rFonts w:ascii="Times New Roman" w:hAnsi="Times New Roman"/>
          <w:color w:val="000000" w:themeColor="text1"/>
          <w:sz w:val="16"/>
          <w:szCs w:val="16"/>
        </w:rPr>
        <w:softHyphen/>
        <w:t>тов”. Провожатых на этот раз не было...Теперь полетные условия оказались куда более тяжелыми. Фактически в Сибири начина</w:t>
      </w:r>
      <w:r w:rsidRPr="00A259BD">
        <w:rPr>
          <w:rFonts w:ascii="Times New Roman" w:hAnsi="Times New Roman"/>
          <w:color w:val="000000" w:themeColor="text1"/>
          <w:sz w:val="16"/>
          <w:szCs w:val="16"/>
        </w:rPr>
        <w:softHyphen/>
        <w:t>лась осень, световой день стал заметно коро</w:t>
      </w:r>
      <w:r w:rsidRPr="00A259BD">
        <w:rPr>
          <w:rFonts w:ascii="Times New Roman" w:hAnsi="Times New Roman"/>
          <w:color w:val="000000" w:themeColor="text1"/>
          <w:sz w:val="16"/>
          <w:szCs w:val="16"/>
        </w:rPr>
        <w:softHyphen/>
        <w:t>че, а на маршруте приходилось постоянно по</w:t>
      </w:r>
      <w:r w:rsidRPr="00A259BD">
        <w:rPr>
          <w:rFonts w:ascii="Times New Roman" w:hAnsi="Times New Roman"/>
          <w:color w:val="000000" w:themeColor="text1"/>
          <w:sz w:val="16"/>
          <w:szCs w:val="16"/>
        </w:rPr>
        <w:softHyphen/>
        <w:t>падать в дожди и туманы. Кроме того, практи</w:t>
      </w:r>
      <w:r w:rsidRPr="00A259BD">
        <w:rPr>
          <w:rFonts w:ascii="Times New Roman" w:hAnsi="Times New Roman"/>
          <w:color w:val="000000" w:themeColor="text1"/>
          <w:sz w:val="16"/>
          <w:szCs w:val="16"/>
        </w:rPr>
        <w:softHyphen/>
        <w:t>чески сразу начались перебои в правом двигателе. Летчики перетянули Уральские горы и решили садиться в Челябинске. Здесь их не ждали, поэтому после устранения неисправ</w:t>
      </w:r>
      <w:r w:rsidRPr="00A259BD">
        <w:rPr>
          <w:rFonts w:ascii="Times New Roman" w:hAnsi="Times New Roman"/>
          <w:color w:val="000000" w:themeColor="text1"/>
          <w:sz w:val="16"/>
          <w:szCs w:val="16"/>
        </w:rPr>
        <w:softHyphen/>
        <w:t>ностей для дозаправки перелетели в Курган. Далее после посадок в Новосибирске и Крас</w:t>
      </w:r>
      <w:r w:rsidRPr="00A259BD">
        <w:rPr>
          <w:rFonts w:ascii="Times New Roman" w:hAnsi="Times New Roman"/>
          <w:color w:val="000000" w:themeColor="text1"/>
          <w:sz w:val="16"/>
          <w:szCs w:val="16"/>
        </w:rPr>
        <w:softHyphen/>
        <w:t>ноярске мотор вновь закапризничал. На его за</w:t>
      </w:r>
      <w:r w:rsidRPr="00A259BD">
        <w:rPr>
          <w:rFonts w:ascii="Times New Roman" w:hAnsi="Times New Roman"/>
          <w:color w:val="000000" w:themeColor="text1"/>
          <w:sz w:val="16"/>
          <w:szCs w:val="16"/>
        </w:rPr>
        <w:softHyphen/>
        <w:t>мену в Иркутске ушло 3 дня, затем проследова</w:t>
      </w:r>
      <w:r w:rsidRPr="00A259BD">
        <w:rPr>
          <w:rFonts w:ascii="Times New Roman" w:hAnsi="Times New Roman"/>
          <w:color w:val="000000" w:themeColor="text1"/>
          <w:sz w:val="16"/>
          <w:szCs w:val="16"/>
        </w:rPr>
        <w:softHyphen/>
        <w:t xml:space="preserve">ли через </w:t>
      </w:r>
      <w:proofErr w:type="spellStart"/>
      <w:r w:rsidRPr="00A259BD">
        <w:rPr>
          <w:rFonts w:ascii="Times New Roman" w:hAnsi="Times New Roman"/>
          <w:color w:val="000000" w:themeColor="text1"/>
          <w:sz w:val="16"/>
          <w:szCs w:val="16"/>
        </w:rPr>
        <w:t>Верхнеудинск</w:t>
      </w:r>
      <w:proofErr w:type="spellEnd"/>
      <w:r w:rsidRPr="00A259BD">
        <w:rPr>
          <w:rFonts w:ascii="Times New Roman" w:hAnsi="Times New Roman"/>
          <w:color w:val="000000" w:themeColor="text1"/>
          <w:sz w:val="16"/>
          <w:szCs w:val="16"/>
        </w:rPr>
        <w:t>, Читу, Благовещенск и 3 сентября прибыли в Хабаровск. Здесь начинал</w:t>
      </w:r>
      <w:r w:rsidRPr="00A259BD">
        <w:rPr>
          <w:rFonts w:ascii="Times New Roman" w:hAnsi="Times New Roman"/>
          <w:color w:val="000000" w:themeColor="text1"/>
          <w:sz w:val="16"/>
          <w:szCs w:val="16"/>
        </w:rPr>
        <w:softHyphen/>
        <w:t>ся морской этап перелета, для чего следовало сменить колеса на поплавки. Проблемой ока</w:t>
      </w:r>
      <w:r w:rsidRPr="00A259BD">
        <w:rPr>
          <w:rFonts w:ascii="Times New Roman" w:hAnsi="Times New Roman"/>
          <w:color w:val="000000" w:themeColor="text1"/>
          <w:sz w:val="16"/>
          <w:szCs w:val="16"/>
        </w:rPr>
        <w:softHyphen/>
        <w:t>залась доставка самолета с аэродрома на Амур. Машину с почти тридцатиметровым раз</w:t>
      </w:r>
      <w:r w:rsidRPr="00A259BD">
        <w:rPr>
          <w:rFonts w:ascii="Times New Roman" w:hAnsi="Times New Roman"/>
          <w:color w:val="000000" w:themeColor="text1"/>
          <w:sz w:val="16"/>
          <w:szCs w:val="16"/>
        </w:rPr>
        <w:softHyphen/>
        <w:t>махом крыла пришлось буксировать к реке в обход города, устраняя по пути неровности и препятствия. Наконец, через 2 дня добрались до базы Амурской речной флотилии, где прис</w:t>
      </w:r>
      <w:r w:rsidRPr="00A259BD">
        <w:rPr>
          <w:rFonts w:ascii="Times New Roman" w:hAnsi="Times New Roman"/>
          <w:color w:val="000000" w:themeColor="text1"/>
          <w:sz w:val="16"/>
          <w:szCs w:val="16"/>
        </w:rPr>
        <w:softHyphen/>
        <w:t>тупили к смене двигателей и установке поплав</w:t>
      </w:r>
      <w:r w:rsidRPr="00A259BD">
        <w:rPr>
          <w:rFonts w:ascii="Times New Roman" w:hAnsi="Times New Roman"/>
          <w:color w:val="000000" w:themeColor="text1"/>
          <w:sz w:val="16"/>
          <w:szCs w:val="16"/>
        </w:rPr>
        <w:softHyphen/>
        <w:t>ков. Одновременно машину оснастили радио</w:t>
      </w:r>
      <w:r w:rsidRPr="00A259BD">
        <w:rPr>
          <w:rFonts w:ascii="Times New Roman" w:hAnsi="Times New Roman"/>
          <w:color w:val="000000" w:themeColor="text1"/>
          <w:sz w:val="16"/>
          <w:szCs w:val="16"/>
        </w:rPr>
        <w:softHyphen/>
        <w:t>станцией для связи с морскими судами и пор</w:t>
      </w:r>
      <w:r w:rsidRPr="00A259BD">
        <w:rPr>
          <w:rFonts w:ascii="Times New Roman" w:hAnsi="Times New Roman"/>
          <w:color w:val="000000" w:themeColor="text1"/>
          <w:sz w:val="16"/>
          <w:szCs w:val="16"/>
        </w:rPr>
        <w:softHyphen/>
        <w:t>тами. При полете над Сибирью радиосвязь не велась по причине отсутствия там аэродром</w:t>
      </w:r>
      <w:r w:rsidRPr="00A259BD">
        <w:rPr>
          <w:rFonts w:ascii="Times New Roman" w:hAnsi="Times New Roman"/>
          <w:color w:val="000000" w:themeColor="text1"/>
          <w:sz w:val="16"/>
          <w:szCs w:val="16"/>
        </w:rPr>
        <w:softHyphen/>
        <w:t>ных радиостанций. Самолетная рация работа</w:t>
      </w:r>
      <w:r w:rsidRPr="00A259BD">
        <w:rPr>
          <w:rFonts w:ascii="Times New Roman" w:hAnsi="Times New Roman"/>
          <w:color w:val="000000" w:themeColor="text1"/>
          <w:sz w:val="16"/>
          <w:szCs w:val="16"/>
        </w:rPr>
        <w:softHyphen/>
        <w:t>ла в телеграфном режиме, поэтому Стерлигову пришлось в короткий срок изучить работу на телеграфном ключе (по нормам, требовалось принимать не менее 100 знаков в минуту). Погода в Хабаровске стояла прекрасная, поэтому экипаж даже смог искупаться в Аму</w:t>
      </w:r>
      <w:r w:rsidRPr="00A259BD">
        <w:rPr>
          <w:rFonts w:ascii="Times New Roman" w:hAnsi="Times New Roman"/>
          <w:color w:val="000000" w:themeColor="text1"/>
          <w:sz w:val="16"/>
          <w:szCs w:val="16"/>
        </w:rPr>
        <w:softHyphen/>
        <w:t>ре. В эти дни Шестаков с Болотовым крепко повздорили. Дело заключалось в том, что при полете над водой Болотов, как опытный мор</w:t>
      </w:r>
      <w:r w:rsidRPr="00A259BD">
        <w:rPr>
          <w:rFonts w:ascii="Times New Roman" w:hAnsi="Times New Roman"/>
          <w:color w:val="000000" w:themeColor="text1"/>
          <w:sz w:val="16"/>
          <w:szCs w:val="16"/>
        </w:rPr>
        <w:softHyphen/>
        <w:t>ской летчик, должен был сидеть в левом крес</w:t>
      </w:r>
      <w:r w:rsidRPr="00A259BD">
        <w:rPr>
          <w:rFonts w:ascii="Times New Roman" w:hAnsi="Times New Roman"/>
          <w:color w:val="000000" w:themeColor="text1"/>
          <w:sz w:val="16"/>
          <w:szCs w:val="16"/>
        </w:rPr>
        <w:softHyphen/>
        <w:t>ле. Однако Шестаков посчитал это посяга</w:t>
      </w:r>
      <w:r w:rsidRPr="00A259BD">
        <w:rPr>
          <w:rFonts w:ascii="Times New Roman" w:hAnsi="Times New Roman"/>
          <w:color w:val="000000" w:themeColor="text1"/>
          <w:sz w:val="16"/>
          <w:szCs w:val="16"/>
        </w:rPr>
        <w:softHyphen/>
        <w:t>тельством на свои командирские права и рез</w:t>
      </w:r>
      <w:r w:rsidRPr="00A259BD">
        <w:rPr>
          <w:rFonts w:ascii="Times New Roman" w:hAnsi="Times New Roman"/>
          <w:color w:val="000000" w:themeColor="text1"/>
          <w:sz w:val="16"/>
          <w:szCs w:val="16"/>
        </w:rPr>
        <w:softHyphen/>
        <w:t>ко воспротивился. Разбирательство дошло до Москвы, и Климент Ворошилов лично телегра</w:t>
      </w:r>
      <w:r w:rsidRPr="00A259BD">
        <w:rPr>
          <w:rFonts w:ascii="Times New Roman" w:hAnsi="Times New Roman"/>
          <w:color w:val="000000" w:themeColor="text1"/>
          <w:sz w:val="16"/>
          <w:szCs w:val="16"/>
        </w:rPr>
        <w:softHyphen/>
        <w:t>фировал Шестакову, что во время морского участка перелета ему придется сидеть справа (11286).</w:t>
      </w:r>
    </w:p>
    <w:p w14:paraId="400923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ABB70A"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0B99BDC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11FE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10 и 16 августа 1929. Из протокола заседания Политбюро N 93, особая папка, 1929 г.</w:t>
      </w:r>
    </w:p>
    <w:p w14:paraId="616960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запросе т. </w:t>
      </w:r>
      <w:proofErr w:type="spellStart"/>
      <w:r w:rsidRPr="00A259BD">
        <w:rPr>
          <w:rFonts w:ascii="Times New Roman" w:hAnsi="Times New Roman"/>
          <w:color w:val="000000" w:themeColor="text1"/>
          <w:sz w:val="16"/>
          <w:szCs w:val="16"/>
        </w:rPr>
        <w:t>Кобецкого</w:t>
      </w:r>
      <w:proofErr w:type="spellEnd"/>
      <w:r w:rsidRPr="00A259BD">
        <w:rPr>
          <w:rFonts w:ascii="Times New Roman" w:hAnsi="Times New Roman"/>
          <w:color w:val="000000" w:themeColor="text1"/>
          <w:sz w:val="16"/>
          <w:szCs w:val="16"/>
        </w:rPr>
        <w:t xml:space="preserve"> </w:t>
      </w:r>
    </w:p>
    <w:p w14:paraId="2294FC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Принять предложение НКИД: поручить т. </w:t>
      </w:r>
      <w:proofErr w:type="spellStart"/>
      <w:r w:rsidRPr="00A259BD">
        <w:rPr>
          <w:rFonts w:ascii="Times New Roman" w:hAnsi="Times New Roman"/>
          <w:color w:val="000000" w:themeColor="text1"/>
          <w:sz w:val="16"/>
          <w:szCs w:val="16"/>
        </w:rPr>
        <w:t>Кобецкому</w:t>
      </w:r>
      <w:proofErr w:type="spellEnd"/>
      <w:r w:rsidRPr="00A259BD">
        <w:rPr>
          <w:rFonts w:ascii="Times New Roman" w:hAnsi="Times New Roman"/>
          <w:color w:val="000000" w:themeColor="text1"/>
          <w:sz w:val="16"/>
          <w:szCs w:val="16"/>
        </w:rPr>
        <w:t xml:space="preserve"> заявить </w:t>
      </w:r>
      <w:proofErr w:type="spellStart"/>
      <w:r w:rsidRPr="00A259BD">
        <w:rPr>
          <w:rFonts w:ascii="Times New Roman" w:hAnsi="Times New Roman"/>
          <w:color w:val="000000" w:themeColor="text1"/>
          <w:sz w:val="16"/>
          <w:szCs w:val="16"/>
        </w:rPr>
        <w:t>Датпра</w:t>
      </w:r>
      <w:proofErr w:type="spellEnd"/>
      <w:r w:rsidRPr="00A259BD">
        <w:rPr>
          <w:rFonts w:ascii="Times New Roman" w:hAnsi="Times New Roman"/>
          <w:color w:val="000000" w:themeColor="text1"/>
          <w:sz w:val="16"/>
          <w:szCs w:val="16"/>
        </w:rPr>
        <w:t xml:space="preserve"> (датскому правительству), что отношение </w:t>
      </w:r>
      <w:proofErr w:type="spellStart"/>
      <w:r w:rsidRPr="00A259BD">
        <w:rPr>
          <w:rFonts w:ascii="Times New Roman" w:hAnsi="Times New Roman"/>
          <w:color w:val="000000" w:themeColor="text1"/>
          <w:sz w:val="16"/>
          <w:szCs w:val="16"/>
        </w:rPr>
        <w:t>Совпра</w:t>
      </w:r>
      <w:proofErr w:type="spellEnd"/>
      <w:r w:rsidRPr="00A259BD">
        <w:rPr>
          <w:rFonts w:ascii="Times New Roman" w:hAnsi="Times New Roman"/>
          <w:color w:val="000000" w:themeColor="text1"/>
          <w:sz w:val="16"/>
          <w:szCs w:val="16"/>
        </w:rPr>
        <w:t xml:space="preserve"> к Троцкому известно и что </w:t>
      </w:r>
      <w:proofErr w:type="spellStart"/>
      <w:r w:rsidRPr="00A259BD">
        <w:rPr>
          <w:rFonts w:ascii="Times New Roman" w:hAnsi="Times New Roman"/>
          <w:color w:val="000000" w:themeColor="text1"/>
          <w:sz w:val="16"/>
          <w:szCs w:val="16"/>
        </w:rPr>
        <w:t>Совпра</w:t>
      </w:r>
      <w:proofErr w:type="spellEnd"/>
      <w:r w:rsidRPr="00A259BD">
        <w:rPr>
          <w:rFonts w:ascii="Times New Roman" w:hAnsi="Times New Roman"/>
          <w:color w:val="000000" w:themeColor="text1"/>
          <w:sz w:val="16"/>
          <w:szCs w:val="16"/>
        </w:rPr>
        <w:t xml:space="preserve"> не считает нужным вмешиваться в вопрос о разрешении ему въезда в Данию (11652).</w:t>
      </w:r>
    </w:p>
    <w:p w14:paraId="48A88B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03546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BC8A94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1246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августа 1929 был составлен Пятилетний план развития опытного самолетостроения УВВС РККА. 62 машины (34 сухопутных и 28 морских) (351).</w:t>
      </w:r>
    </w:p>
    <w:p w14:paraId="342C7F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ПЯТИЛЕТНИЙ ПЛАН развития опытного самолетостроения Управления Военно-Воздушных Сил Р.К.К.А.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746"/>
        <w:gridCol w:w="1276"/>
        <w:gridCol w:w="1134"/>
        <w:gridCol w:w="822"/>
        <w:gridCol w:w="2751"/>
      </w:tblGrid>
      <w:tr w:rsidR="00A259BD" w:rsidRPr="00A259BD" w14:paraId="09251DED" w14:textId="77777777">
        <w:tc>
          <w:tcPr>
            <w:tcW w:w="1024" w:type="dxa"/>
          </w:tcPr>
          <w:p w14:paraId="2A31C7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Класс</w:t>
            </w:r>
          </w:p>
        </w:tc>
        <w:tc>
          <w:tcPr>
            <w:tcW w:w="1024" w:type="dxa"/>
          </w:tcPr>
          <w:p w14:paraId="52C25C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N п/п</w:t>
            </w:r>
          </w:p>
        </w:tc>
        <w:tc>
          <w:tcPr>
            <w:tcW w:w="1746" w:type="dxa"/>
          </w:tcPr>
          <w:p w14:paraId="056344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Наименование</w:t>
            </w:r>
          </w:p>
        </w:tc>
        <w:tc>
          <w:tcPr>
            <w:tcW w:w="1276" w:type="dxa"/>
          </w:tcPr>
          <w:p w14:paraId="4C5771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Марка</w:t>
            </w:r>
          </w:p>
        </w:tc>
        <w:tc>
          <w:tcPr>
            <w:tcW w:w="1134" w:type="dxa"/>
          </w:tcPr>
          <w:p w14:paraId="519C4B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Кто строит</w:t>
            </w:r>
          </w:p>
        </w:tc>
        <w:tc>
          <w:tcPr>
            <w:tcW w:w="822" w:type="dxa"/>
          </w:tcPr>
          <w:p w14:paraId="740528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1929/1930/1931/1932/1933</w:t>
            </w:r>
          </w:p>
        </w:tc>
        <w:tc>
          <w:tcPr>
            <w:tcW w:w="2751" w:type="dxa"/>
          </w:tcPr>
          <w:p w14:paraId="0500C2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Стоимость</w:t>
            </w:r>
          </w:p>
        </w:tc>
      </w:tr>
      <w:tr w:rsidR="00A259BD" w:rsidRPr="00A259BD" w14:paraId="7A6CA298" w14:textId="77777777">
        <w:tc>
          <w:tcPr>
            <w:tcW w:w="1024" w:type="dxa"/>
          </w:tcPr>
          <w:p w14:paraId="6FF9B2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1024" w:type="dxa"/>
          </w:tcPr>
          <w:p w14:paraId="5949D1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746" w:type="dxa"/>
          </w:tcPr>
          <w:p w14:paraId="7FE3C1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1276" w:type="dxa"/>
          </w:tcPr>
          <w:p w14:paraId="5F86C0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И6-Юп6/7</w:t>
            </w:r>
          </w:p>
        </w:tc>
        <w:tc>
          <w:tcPr>
            <w:tcW w:w="1134" w:type="dxa"/>
          </w:tcPr>
          <w:p w14:paraId="4FA072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c>
          <w:tcPr>
            <w:tcW w:w="822" w:type="dxa"/>
          </w:tcPr>
          <w:p w14:paraId="594F27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CAF41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80000</w:t>
            </w:r>
          </w:p>
        </w:tc>
      </w:tr>
      <w:tr w:rsidR="00A259BD" w:rsidRPr="00A259BD" w14:paraId="72691F62" w14:textId="77777777">
        <w:tc>
          <w:tcPr>
            <w:tcW w:w="1024" w:type="dxa"/>
          </w:tcPr>
          <w:p w14:paraId="34A698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одн</w:t>
            </w:r>
            <w:proofErr w:type="spellEnd"/>
            <w:r w:rsidRPr="00A259BD">
              <w:rPr>
                <w:rFonts w:ascii="Times New Roman" w:hAnsi="Times New Roman"/>
                <w:color w:val="000000" w:themeColor="text1"/>
                <w:sz w:val="16"/>
                <w:szCs w:val="16"/>
              </w:rPr>
              <w:t>. с</w:t>
            </w:r>
          </w:p>
        </w:tc>
        <w:tc>
          <w:tcPr>
            <w:tcW w:w="1024" w:type="dxa"/>
          </w:tcPr>
          <w:p w14:paraId="76328D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C6B43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одном. дерев.</w:t>
            </w:r>
          </w:p>
        </w:tc>
        <w:tc>
          <w:tcPr>
            <w:tcW w:w="1276" w:type="dxa"/>
          </w:tcPr>
          <w:p w14:paraId="0A0F94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2BDA7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0D104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DA15C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1CA98AB" w14:textId="77777777">
        <w:tc>
          <w:tcPr>
            <w:tcW w:w="1024" w:type="dxa"/>
          </w:tcPr>
          <w:p w14:paraId="45E5E4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мотором</w:t>
            </w:r>
          </w:p>
        </w:tc>
        <w:tc>
          <w:tcPr>
            <w:tcW w:w="1024" w:type="dxa"/>
          </w:tcPr>
          <w:p w14:paraId="1F75D3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746" w:type="dxa"/>
          </w:tcPr>
          <w:p w14:paraId="064431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1276" w:type="dxa"/>
          </w:tcPr>
          <w:p w14:paraId="012A46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И4-Юп7</w:t>
            </w:r>
          </w:p>
        </w:tc>
        <w:tc>
          <w:tcPr>
            <w:tcW w:w="1134" w:type="dxa"/>
          </w:tcPr>
          <w:p w14:paraId="4DD6AD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822" w:type="dxa"/>
          </w:tcPr>
          <w:p w14:paraId="3FBA43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7BCD1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r>
      <w:tr w:rsidR="00A259BD" w:rsidRPr="00A259BD" w14:paraId="2E9E0096" w14:textId="77777777">
        <w:tc>
          <w:tcPr>
            <w:tcW w:w="1024" w:type="dxa"/>
          </w:tcPr>
          <w:p w14:paraId="644FAC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возд</w:t>
            </w:r>
            <w:proofErr w:type="spellEnd"/>
            <w:r w:rsidRPr="00A259BD">
              <w:rPr>
                <w:rFonts w:ascii="Times New Roman" w:hAnsi="Times New Roman"/>
                <w:color w:val="000000" w:themeColor="text1"/>
                <w:sz w:val="16"/>
                <w:szCs w:val="16"/>
              </w:rPr>
              <w:t>.</w:t>
            </w:r>
          </w:p>
        </w:tc>
        <w:tc>
          <w:tcPr>
            <w:tcW w:w="1024" w:type="dxa"/>
          </w:tcPr>
          <w:p w14:paraId="5F8AC6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9DFA1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одном. метал.</w:t>
            </w:r>
          </w:p>
        </w:tc>
        <w:tc>
          <w:tcPr>
            <w:tcW w:w="1276" w:type="dxa"/>
          </w:tcPr>
          <w:p w14:paraId="434575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ABCF3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DDFFB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4AEBD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467D5C3" w14:textId="77777777">
        <w:tc>
          <w:tcPr>
            <w:tcW w:w="1024" w:type="dxa"/>
          </w:tcPr>
          <w:p w14:paraId="7E893B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охлажд</w:t>
            </w:r>
            <w:proofErr w:type="spellEnd"/>
            <w:r w:rsidRPr="00A259BD">
              <w:rPr>
                <w:rFonts w:ascii="Times New Roman" w:hAnsi="Times New Roman"/>
                <w:color w:val="000000" w:themeColor="text1"/>
                <w:sz w:val="16"/>
                <w:szCs w:val="16"/>
              </w:rPr>
              <w:t>.</w:t>
            </w:r>
          </w:p>
        </w:tc>
        <w:tc>
          <w:tcPr>
            <w:tcW w:w="1024" w:type="dxa"/>
          </w:tcPr>
          <w:p w14:paraId="71CBFC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746" w:type="dxa"/>
          </w:tcPr>
          <w:p w14:paraId="39AAAC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1276" w:type="dxa"/>
          </w:tcPr>
          <w:p w14:paraId="639F27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И5-Юп7</w:t>
            </w:r>
          </w:p>
        </w:tc>
        <w:tc>
          <w:tcPr>
            <w:tcW w:w="1134" w:type="dxa"/>
          </w:tcPr>
          <w:p w14:paraId="6BB0F8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822" w:type="dxa"/>
          </w:tcPr>
          <w:p w14:paraId="7F40AA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EC9F2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w:t>
            </w:r>
          </w:p>
        </w:tc>
      </w:tr>
      <w:tr w:rsidR="00A259BD" w:rsidRPr="00A259BD" w14:paraId="3299FDE9" w14:textId="77777777">
        <w:tc>
          <w:tcPr>
            <w:tcW w:w="1024" w:type="dxa"/>
          </w:tcPr>
          <w:p w14:paraId="2E8070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69F1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B5B77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одном. </w:t>
            </w:r>
            <w:proofErr w:type="spellStart"/>
            <w:r w:rsidRPr="00A259BD">
              <w:rPr>
                <w:rFonts w:ascii="Times New Roman" w:hAnsi="Times New Roman"/>
                <w:color w:val="000000" w:themeColor="text1"/>
                <w:sz w:val="16"/>
                <w:szCs w:val="16"/>
              </w:rPr>
              <w:t>смеш</w:t>
            </w:r>
            <w:proofErr w:type="spellEnd"/>
            <w:r w:rsidRPr="00A259BD">
              <w:rPr>
                <w:rFonts w:ascii="Times New Roman" w:hAnsi="Times New Roman"/>
                <w:color w:val="000000" w:themeColor="text1"/>
                <w:sz w:val="16"/>
                <w:szCs w:val="16"/>
              </w:rPr>
              <w:t>.</w:t>
            </w:r>
          </w:p>
        </w:tc>
        <w:tc>
          <w:tcPr>
            <w:tcW w:w="1276" w:type="dxa"/>
          </w:tcPr>
          <w:p w14:paraId="0EF445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C1A6C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2CB7DB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45A2D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2C4C4CF" w14:textId="77777777">
        <w:tc>
          <w:tcPr>
            <w:tcW w:w="1024" w:type="dxa"/>
          </w:tcPr>
          <w:p w14:paraId="58AEA1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7094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1746" w:type="dxa"/>
          </w:tcPr>
          <w:p w14:paraId="00044C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1276" w:type="dxa"/>
          </w:tcPr>
          <w:p w14:paraId="4008BE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И8-Юп7</w:t>
            </w:r>
          </w:p>
        </w:tc>
        <w:tc>
          <w:tcPr>
            <w:tcW w:w="1134" w:type="dxa"/>
          </w:tcPr>
          <w:p w14:paraId="2A748B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822" w:type="dxa"/>
          </w:tcPr>
          <w:p w14:paraId="540B57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234E8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120000</w:t>
            </w:r>
          </w:p>
        </w:tc>
      </w:tr>
      <w:tr w:rsidR="00A259BD" w:rsidRPr="00A259BD" w14:paraId="4DD563D6" w14:textId="77777777">
        <w:tc>
          <w:tcPr>
            <w:tcW w:w="1024" w:type="dxa"/>
          </w:tcPr>
          <w:p w14:paraId="61BF09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2E8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33FD2D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одн</w:t>
            </w:r>
            <w:proofErr w:type="spellEnd"/>
            <w:r w:rsidRPr="00A259BD">
              <w:rPr>
                <w:rFonts w:ascii="Times New Roman" w:hAnsi="Times New Roman"/>
                <w:color w:val="000000" w:themeColor="text1"/>
                <w:sz w:val="16"/>
                <w:szCs w:val="16"/>
              </w:rPr>
              <w:t>. моноплан</w:t>
            </w:r>
          </w:p>
        </w:tc>
        <w:tc>
          <w:tcPr>
            <w:tcW w:w="1276" w:type="dxa"/>
          </w:tcPr>
          <w:p w14:paraId="12C341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7B2B6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E1941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A0430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DDCB6A3" w14:textId="77777777">
        <w:tc>
          <w:tcPr>
            <w:tcW w:w="1024" w:type="dxa"/>
          </w:tcPr>
          <w:p w14:paraId="0E63F8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3B9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c>
          <w:tcPr>
            <w:tcW w:w="1746" w:type="dxa"/>
          </w:tcPr>
          <w:p w14:paraId="22F222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1276" w:type="dxa"/>
          </w:tcPr>
          <w:p w14:paraId="3E15BD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И10-Юп7</w:t>
            </w:r>
          </w:p>
        </w:tc>
        <w:tc>
          <w:tcPr>
            <w:tcW w:w="1134" w:type="dxa"/>
          </w:tcPr>
          <w:p w14:paraId="6305C8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c>
          <w:tcPr>
            <w:tcW w:w="822" w:type="dxa"/>
          </w:tcPr>
          <w:p w14:paraId="6FF049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052A6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140000</w:t>
            </w:r>
          </w:p>
        </w:tc>
      </w:tr>
      <w:tr w:rsidR="00A259BD" w:rsidRPr="00A259BD" w14:paraId="4A9910F0" w14:textId="77777777">
        <w:tc>
          <w:tcPr>
            <w:tcW w:w="1024" w:type="dxa"/>
          </w:tcPr>
          <w:p w14:paraId="075761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4E21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66607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одном. дерев.</w:t>
            </w:r>
          </w:p>
        </w:tc>
        <w:tc>
          <w:tcPr>
            <w:tcW w:w="1276" w:type="dxa"/>
          </w:tcPr>
          <w:p w14:paraId="23415B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D716C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236B4B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62C3F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C7F6588" w14:textId="77777777">
        <w:tc>
          <w:tcPr>
            <w:tcW w:w="1024" w:type="dxa"/>
          </w:tcPr>
          <w:p w14:paraId="6D2BA3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1DD7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tc>
        <w:tc>
          <w:tcPr>
            <w:tcW w:w="1746" w:type="dxa"/>
          </w:tcPr>
          <w:p w14:paraId="19E4BB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1276" w:type="dxa"/>
          </w:tcPr>
          <w:p w14:paraId="76F85E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И11-Юп7</w:t>
            </w:r>
          </w:p>
        </w:tc>
        <w:tc>
          <w:tcPr>
            <w:tcW w:w="1134" w:type="dxa"/>
          </w:tcPr>
          <w:p w14:paraId="3140F8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822" w:type="dxa"/>
          </w:tcPr>
          <w:p w14:paraId="248B1E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81804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w:t>
            </w:r>
          </w:p>
        </w:tc>
      </w:tr>
      <w:tr w:rsidR="00A259BD" w:rsidRPr="00A259BD" w14:paraId="662C806F" w14:textId="77777777">
        <w:tc>
          <w:tcPr>
            <w:tcW w:w="1024" w:type="dxa"/>
          </w:tcPr>
          <w:p w14:paraId="5E66E4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FAB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D47C6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одном. дерев.</w:t>
            </w:r>
          </w:p>
        </w:tc>
        <w:tc>
          <w:tcPr>
            <w:tcW w:w="1276" w:type="dxa"/>
          </w:tcPr>
          <w:p w14:paraId="75926C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538E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599F69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3A7C4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E30B5EE" w14:textId="77777777">
        <w:tc>
          <w:tcPr>
            <w:tcW w:w="1024" w:type="dxa"/>
          </w:tcPr>
          <w:p w14:paraId="5447FE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1024" w:type="dxa"/>
          </w:tcPr>
          <w:p w14:paraId="68E985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tc>
        <w:tc>
          <w:tcPr>
            <w:tcW w:w="1746" w:type="dxa"/>
          </w:tcPr>
          <w:p w14:paraId="61BAE3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1276" w:type="dxa"/>
          </w:tcPr>
          <w:p w14:paraId="59A7CD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И7-БМВ6</w:t>
            </w:r>
          </w:p>
        </w:tc>
        <w:tc>
          <w:tcPr>
            <w:tcW w:w="1134" w:type="dxa"/>
          </w:tcPr>
          <w:p w14:paraId="15831B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c>
          <w:tcPr>
            <w:tcW w:w="822" w:type="dxa"/>
          </w:tcPr>
          <w:p w14:paraId="61B7C8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2958C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90000</w:t>
            </w:r>
          </w:p>
        </w:tc>
      </w:tr>
      <w:tr w:rsidR="00A259BD" w:rsidRPr="00A259BD" w14:paraId="4ED1D67D" w14:textId="77777777">
        <w:tc>
          <w:tcPr>
            <w:tcW w:w="1024" w:type="dxa"/>
          </w:tcPr>
          <w:p w14:paraId="4DC03B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одн</w:t>
            </w:r>
            <w:proofErr w:type="spellEnd"/>
            <w:r w:rsidRPr="00A259BD">
              <w:rPr>
                <w:rFonts w:ascii="Times New Roman" w:hAnsi="Times New Roman"/>
                <w:color w:val="000000" w:themeColor="text1"/>
                <w:sz w:val="16"/>
                <w:szCs w:val="16"/>
              </w:rPr>
              <w:t>. с</w:t>
            </w:r>
          </w:p>
        </w:tc>
        <w:tc>
          <w:tcPr>
            <w:tcW w:w="1024" w:type="dxa"/>
          </w:tcPr>
          <w:p w14:paraId="62C25D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57947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одном. дерев.</w:t>
            </w:r>
          </w:p>
        </w:tc>
        <w:tc>
          <w:tcPr>
            <w:tcW w:w="1276" w:type="dxa"/>
          </w:tcPr>
          <w:p w14:paraId="28ADF4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48405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7DB78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99E09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0CA81B2" w14:textId="77777777">
        <w:tc>
          <w:tcPr>
            <w:tcW w:w="1024" w:type="dxa"/>
          </w:tcPr>
          <w:p w14:paraId="631E51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мотором</w:t>
            </w:r>
          </w:p>
        </w:tc>
        <w:tc>
          <w:tcPr>
            <w:tcW w:w="1024" w:type="dxa"/>
          </w:tcPr>
          <w:p w14:paraId="1D2A72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tc>
        <w:tc>
          <w:tcPr>
            <w:tcW w:w="1746" w:type="dxa"/>
          </w:tcPr>
          <w:p w14:paraId="0086A6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1276" w:type="dxa"/>
          </w:tcPr>
          <w:p w14:paraId="48B3A7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И7-М30</w:t>
            </w:r>
          </w:p>
        </w:tc>
        <w:tc>
          <w:tcPr>
            <w:tcW w:w="1134" w:type="dxa"/>
          </w:tcPr>
          <w:p w14:paraId="2F21AC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c>
          <w:tcPr>
            <w:tcW w:w="822" w:type="dxa"/>
          </w:tcPr>
          <w:p w14:paraId="39E20F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087B2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w:t>
            </w:r>
          </w:p>
        </w:tc>
      </w:tr>
      <w:tr w:rsidR="00A259BD" w:rsidRPr="00A259BD" w14:paraId="2429D5FE" w14:textId="77777777">
        <w:tc>
          <w:tcPr>
            <w:tcW w:w="1024" w:type="dxa"/>
          </w:tcPr>
          <w:p w14:paraId="53DE69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водян</w:t>
            </w:r>
            <w:proofErr w:type="spellEnd"/>
            <w:r w:rsidRPr="00A259BD">
              <w:rPr>
                <w:rFonts w:ascii="Times New Roman" w:hAnsi="Times New Roman"/>
                <w:color w:val="000000" w:themeColor="text1"/>
                <w:sz w:val="16"/>
                <w:szCs w:val="16"/>
              </w:rPr>
              <w:t>.</w:t>
            </w:r>
          </w:p>
        </w:tc>
        <w:tc>
          <w:tcPr>
            <w:tcW w:w="1024" w:type="dxa"/>
          </w:tcPr>
          <w:p w14:paraId="167C53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3A9A2D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одном. дерев.</w:t>
            </w:r>
          </w:p>
        </w:tc>
        <w:tc>
          <w:tcPr>
            <w:tcW w:w="1276" w:type="dxa"/>
          </w:tcPr>
          <w:p w14:paraId="47D564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08E10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52732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BBB1B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5A3FEB3" w14:textId="77777777">
        <w:tc>
          <w:tcPr>
            <w:tcW w:w="1024" w:type="dxa"/>
          </w:tcPr>
          <w:p w14:paraId="740334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охлажд</w:t>
            </w:r>
            <w:proofErr w:type="spellEnd"/>
            <w:r w:rsidRPr="00A259BD">
              <w:rPr>
                <w:rFonts w:ascii="Times New Roman" w:hAnsi="Times New Roman"/>
                <w:color w:val="000000" w:themeColor="text1"/>
                <w:sz w:val="16"/>
                <w:szCs w:val="16"/>
              </w:rPr>
              <w:t>.</w:t>
            </w:r>
          </w:p>
        </w:tc>
        <w:tc>
          <w:tcPr>
            <w:tcW w:w="1024" w:type="dxa"/>
          </w:tcPr>
          <w:p w14:paraId="3A0CCF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w:t>
            </w:r>
          </w:p>
        </w:tc>
        <w:tc>
          <w:tcPr>
            <w:tcW w:w="1746" w:type="dxa"/>
          </w:tcPr>
          <w:p w14:paraId="188AAC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1276" w:type="dxa"/>
          </w:tcPr>
          <w:p w14:paraId="1AFDFE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И9-М32</w:t>
            </w:r>
          </w:p>
        </w:tc>
        <w:tc>
          <w:tcPr>
            <w:tcW w:w="1134" w:type="dxa"/>
          </w:tcPr>
          <w:p w14:paraId="1D2298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c>
          <w:tcPr>
            <w:tcW w:w="822" w:type="dxa"/>
          </w:tcPr>
          <w:p w14:paraId="533DE8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91640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120000</w:t>
            </w:r>
          </w:p>
        </w:tc>
      </w:tr>
      <w:tr w:rsidR="00A259BD" w:rsidRPr="00A259BD" w14:paraId="36048448" w14:textId="77777777">
        <w:tc>
          <w:tcPr>
            <w:tcW w:w="1024" w:type="dxa"/>
          </w:tcPr>
          <w:p w14:paraId="6F6EF9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7634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4BC04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одном. дерев.</w:t>
            </w:r>
          </w:p>
        </w:tc>
        <w:tc>
          <w:tcPr>
            <w:tcW w:w="1276" w:type="dxa"/>
          </w:tcPr>
          <w:p w14:paraId="7C14DC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или М34</w:t>
            </w:r>
          </w:p>
        </w:tc>
        <w:tc>
          <w:tcPr>
            <w:tcW w:w="1134" w:type="dxa"/>
          </w:tcPr>
          <w:p w14:paraId="476EFC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7DE65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9F48E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44CE79F" w14:textId="77777777">
        <w:tc>
          <w:tcPr>
            <w:tcW w:w="1024" w:type="dxa"/>
          </w:tcPr>
          <w:p w14:paraId="665383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E187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1746" w:type="dxa"/>
          </w:tcPr>
          <w:p w14:paraId="6304FD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1276" w:type="dxa"/>
          </w:tcPr>
          <w:p w14:paraId="5174F3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И12-М34</w:t>
            </w:r>
          </w:p>
        </w:tc>
        <w:tc>
          <w:tcPr>
            <w:tcW w:w="1134" w:type="dxa"/>
          </w:tcPr>
          <w:p w14:paraId="0EB2CD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822" w:type="dxa"/>
          </w:tcPr>
          <w:p w14:paraId="7C70CD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E97E5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w:t>
            </w:r>
          </w:p>
        </w:tc>
      </w:tr>
      <w:tr w:rsidR="00A259BD" w:rsidRPr="00A259BD" w14:paraId="283DE3FC" w14:textId="77777777">
        <w:tc>
          <w:tcPr>
            <w:tcW w:w="1024" w:type="dxa"/>
          </w:tcPr>
          <w:p w14:paraId="455EA3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B1EA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768C09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моноплан</w:t>
            </w:r>
          </w:p>
        </w:tc>
        <w:tc>
          <w:tcPr>
            <w:tcW w:w="1276" w:type="dxa"/>
          </w:tcPr>
          <w:p w14:paraId="7565F4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34ED7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629B18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3192F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D4857BD" w14:textId="77777777">
        <w:tc>
          <w:tcPr>
            <w:tcW w:w="1024" w:type="dxa"/>
          </w:tcPr>
          <w:p w14:paraId="695FFD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1024" w:type="dxa"/>
          </w:tcPr>
          <w:p w14:paraId="229112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w:t>
            </w:r>
          </w:p>
        </w:tc>
        <w:tc>
          <w:tcPr>
            <w:tcW w:w="1746" w:type="dxa"/>
          </w:tcPr>
          <w:p w14:paraId="3290E6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1276" w:type="dxa"/>
          </w:tcPr>
          <w:p w14:paraId="7BF4BB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Д2-БМВ6</w:t>
            </w:r>
          </w:p>
        </w:tc>
        <w:tc>
          <w:tcPr>
            <w:tcW w:w="1134" w:type="dxa"/>
          </w:tcPr>
          <w:p w14:paraId="76D908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c>
          <w:tcPr>
            <w:tcW w:w="822" w:type="dxa"/>
          </w:tcPr>
          <w:p w14:paraId="7F2215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99326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w:t>
            </w:r>
          </w:p>
        </w:tc>
      </w:tr>
      <w:tr w:rsidR="00A259BD" w:rsidRPr="00A259BD" w14:paraId="4259936C" w14:textId="77777777">
        <w:tc>
          <w:tcPr>
            <w:tcW w:w="1024" w:type="dxa"/>
          </w:tcPr>
          <w:p w14:paraId="5B5AD6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двух-</w:t>
            </w:r>
          </w:p>
        </w:tc>
        <w:tc>
          <w:tcPr>
            <w:tcW w:w="1024" w:type="dxa"/>
          </w:tcPr>
          <w:p w14:paraId="46D4D2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D8D18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двухм</w:t>
            </w:r>
            <w:proofErr w:type="spellEnd"/>
            <w:r w:rsidRPr="00A259BD">
              <w:rPr>
                <w:rFonts w:ascii="Times New Roman" w:hAnsi="Times New Roman"/>
                <w:color w:val="000000" w:themeColor="text1"/>
                <w:sz w:val="16"/>
                <w:szCs w:val="16"/>
              </w:rPr>
              <w:t>. Дерев.</w:t>
            </w:r>
          </w:p>
        </w:tc>
        <w:tc>
          <w:tcPr>
            <w:tcW w:w="1276" w:type="dxa"/>
          </w:tcPr>
          <w:p w14:paraId="58FD0C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ED25B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67122B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F29D1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FCF7A36" w14:textId="77777777">
        <w:tc>
          <w:tcPr>
            <w:tcW w:w="1024" w:type="dxa"/>
          </w:tcPr>
          <w:p w14:paraId="017977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местные</w:t>
            </w:r>
          </w:p>
        </w:tc>
        <w:tc>
          <w:tcPr>
            <w:tcW w:w="1024" w:type="dxa"/>
          </w:tcPr>
          <w:p w14:paraId="2BF28D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w:t>
            </w:r>
          </w:p>
        </w:tc>
        <w:tc>
          <w:tcPr>
            <w:tcW w:w="1746" w:type="dxa"/>
          </w:tcPr>
          <w:p w14:paraId="1326C3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1276" w:type="dxa"/>
          </w:tcPr>
          <w:p w14:paraId="512C44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НД2-БМВ6</w:t>
            </w:r>
          </w:p>
        </w:tc>
        <w:tc>
          <w:tcPr>
            <w:tcW w:w="1134" w:type="dxa"/>
          </w:tcPr>
          <w:p w14:paraId="2A3F7E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c>
          <w:tcPr>
            <w:tcW w:w="822" w:type="dxa"/>
          </w:tcPr>
          <w:p w14:paraId="60F7D1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E2580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w:t>
            </w:r>
          </w:p>
        </w:tc>
      </w:tr>
      <w:tr w:rsidR="00A259BD" w:rsidRPr="00A259BD" w14:paraId="5F8C0327" w14:textId="77777777">
        <w:tc>
          <w:tcPr>
            <w:tcW w:w="1024" w:type="dxa"/>
          </w:tcPr>
          <w:p w14:paraId="75901D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водян</w:t>
            </w:r>
            <w:proofErr w:type="spellEnd"/>
            <w:r w:rsidRPr="00A259BD">
              <w:rPr>
                <w:rFonts w:ascii="Times New Roman" w:hAnsi="Times New Roman"/>
                <w:color w:val="000000" w:themeColor="text1"/>
                <w:sz w:val="16"/>
                <w:szCs w:val="16"/>
              </w:rPr>
              <w:t>.</w:t>
            </w:r>
          </w:p>
        </w:tc>
        <w:tc>
          <w:tcPr>
            <w:tcW w:w="1024" w:type="dxa"/>
          </w:tcPr>
          <w:p w14:paraId="34DB71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1AB13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двухм</w:t>
            </w:r>
            <w:proofErr w:type="spellEnd"/>
            <w:r w:rsidRPr="00A259BD">
              <w:rPr>
                <w:rFonts w:ascii="Times New Roman" w:hAnsi="Times New Roman"/>
                <w:color w:val="000000" w:themeColor="text1"/>
                <w:sz w:val="16"/>
                <w:szCs w:val="16"/>
              </w:rPr>
              <w:t>. дер. н.</w:t>
            </w:r>
          </w:p>
        </w:tc>
        <w:tc>
          <w:tcPr>
            <w:tcW w:w="1276" w:type="dxa"/>
          </w:tcPr>
          <w:p w14:paraId="7B1A0F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1C7A3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52D847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E3EF0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02D1932" w14:textId="77777777">
        <w:tc>
          <w:tcPr>
            <w:tcW w:w="1024" w:type="dxa"/>
          </w:tcPr>
          <w:p w14:paraId="1961E6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охлажд</w:t>
            </w:r>
            <w:proofErr w:type="spellEnd"/>
            <w:r w:rsidRPr="00A259BD">
              <w:rPr>
                <w:rFonts w:ascii="Times New Roman" w:hAnsi="Times New Roman"/>
                <w:color w:val="000000" w:themeColor="text1"/>
                <w:sz w:val="16"/>
                <w:szCs w:val="16"/>
              </w:rPr>
              <w:t>.</w:t>
            </w:r>
          </w:p>
        </w:tc>
        <w:tc>
          <w:tcPr>
            <w:tcW w:w="1024" w:type="dxa"/>
          </w:tcPr>
          <w:p w14:paraId="5BD890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w:t>
            </w:r>
          </w:p>
        </w:tc>
        <w:tc>
          <w:tcPr>
            <w:tcW w:w="1746" w:type="dxa"/>
          </w:tcPr>
          <w:p w14:paraId="1E253C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1276" w:type="dxa"/>
          </w:tcPr>
          <w:p w14:paraId="158578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Д3-М32</w:t>
            </w:r>
          </w:p>
        </w:tc>
        <w:tc>
          <w:tcPr>
            <w:tcW w:w="1134" w:type="dxa"/>
          </w:tcPr>
          <w:p w14:paraId="3C7586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c>
          <w:tcPr>
            <w:tcW w:w="822" w:type="dxa"/>
          </w:tcPr>
          <w:p w14:paraId="03A5BF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8BFC6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w:t>
            </w:r>
          </w:p>
        </w:tc>
      </w:tr>
      <w:tr w:rsidR="00A259BD" w:rsidRPr="00A259BD" w14:paraId="11D7E092" w14:textId="77777777">
        <w:tc>
          <w:tcPr>
            <w:tcW w:w="1024" w:type="dxa"/>
          </w:tcPr>
          <w:p w14:paraId="1D2C70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12A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AF5F8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двухм</w:t>
            </w:r>
            <w:proofErr w:type="spellEnd"/>
            <w:r w:rsidRPr="00A259BD">
              <w:rPr>
                <w:rFonts w:ascii="Times New Roman" w:hAnsi="Times New Roman"/>
                <w:color w:val="000000" w:themeColor="text1"/>
                <w:sz w:val="16"/>
                <w:szCs w:val="16"/>
              </w:rPr>
              <w:t>. дер. д.</w:t>
            </w:r>
          </w:p>
        </w:tc>
        <w:tc>
          <w:tcPr>
            <w:tcW w:w="1276" w:type="dxa"/>
          </w:tcPr>
          <w:p w14:paraId="293B1E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или М34</w:t>
            </w:r>
          </w:p>
        </w:tc>
        <w:tc>
          <w:tcPr>
            <w:tcW w:w="1134" w:type="dxa"/>
          </w:tcPr>
          <w:p w14:paraId="5C1F9B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396EF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061C5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6A7CDDC" w14:textId="77777777">
        <w:tc>
          <w:tcPr>
            <w:tcW w:w="1024" w:type="dxa"/>
          </w:tcPr>
          <w:p w14:paraId="21CEF1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Крейсер.</w:t>
            </w:r>
          </w:p>
        </w:tc>
        <w:tc>
          <w:tcPr>
            <w:tcW w:w="1024" w:type="dxa"/>
          </w:tcPr>
          <w:p w14:paraId="1B1CE2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w:t>
            </w:r>
          </w:p>
        </w:tc>
        <w:tc>
          <w:tcPr>
            <w:tcW w:w="1746" w:type="dxa"/>
          </w:tcPr>
          <w:p w14:paraId="3E26AE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1276" w:type="dxa"/>
          </w:tcPr>
          <w:p w14:paraId="6D038A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ИК1-2БМВ6</w:t>
            </w:r>
          </w:p>
        </w:tc>
        <w:tc>
          <w:tcPr>
            <w:tcW w:w="1134" w:type="dxa"/>
          </w:tcPr>
          <w:p w14:paraId="3BEBE9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c>
          <w:tcPr>
            <w:tcW w:w="822" w:type="dxa"/>
          </w:tcPr>
          <w:p w14:paraId="647597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E4E23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w:t>
            </w:r>
          </w:p>
        </w:tc>
      </w:tr>
      <w:tr w:rsidR="00A259BD" w:rsidRPr="00A259BD" w14:paraId="160FBA90" w14:textId="77777777">
        <w:tc>
          <w:tcPr>
            <w:tcW w:w="1024" w:type="dxa"/>
          </w:tcPr>
          <w:p w14:paraId="4E9155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1024" w:type="dxa"/>
          </w:tcPr>
          <w:p w14:paraId="38833A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1D5F89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крейс</w:t>
            </w:r>
            <w:proofErr w:type="spellEnd"/>
            <w:r w:rsidRPr="00A259BD">
              <w:rPr>
                <w:rFonts w:ascii="Times New Roman" w:hAnsi="Times New Roman"/>
                <w:color w:val="000000" w:themeColor="text1"/>
                <w:sz w:val="16"/>
                <w:szCs w:val="16"/>
              </w:rPr>
              <w:t>. 2-х мот.</w:t>
            </w:r>
          </w:p>
        </w:tc>
        <w:tc>
          <w:tcPr>
            <w:tcW w:w="1276" w:type="dxa"/>
          </w:tcPr>
          <w:p w14:paraId="752D35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27D6B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0A239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A7E9B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043C236" w14:textId="77777777">
        <w:tc>
          <w:tcPr>
            <w:tcW w:w="1024" w:type="dxa"/>
          </w:tcPr>
          <w:p w14:paraId="7474EE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C09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w:t>
            </w:r>
          </w:p>
        </w:tc>
        <w:tc>
          <w:tcPr>
            <w:tcW w:w="1746" w:type="dxa"/>
          </w:tcPr>
          <w:p w14:paraId="48575C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Истреб</w:t>
            </w:r>
            <w:proofErr w:type="spellEnd"/>
            <w:r w:rsidRPr="00A259BD">
              <w:rPr>
                <w:rFonts w:ascii="Times New Roman" w:hAnsi="Times New Roman"/>
                <w:color w:val="000000" w:themeColor="text1"/>
                <w:sz w:val="16"/>
                <w:szCs w:val="16"/>
              </w:rPr>
              <w:t>.</w:t>
            </w:r>
          </w:p>
        </w:tc>
        <w:tc>
          <w:tcPr>
            <w:tcW w:w="1276" w:type="dxa"/>
          </w:tcPr>
          <w:p w14:paraId="5A95E3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ИК1-2М34</w:t>
            </w:r>
          </w:p>
        </w:tc>
        <w:tc>
          <w:tcPr>
            <w:tcW w:w="1134" w:type="dxa"/>
          </w:tcPr>
          <w:p w14:paraId="433D88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c>
          <w:tcPr>
            <w:tcW w:w="822" w:type="dxa"/>
          </w:tcPr>
          <w:p w14:paraId="2AA07D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A0516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50000</w:t>
            </w:r>
          </w:p>
        </w:tc>
      </w:tr>
      <w:tr w:rsidR="00A259BD" w:rsidRPr="00A259BD" w14:paraId="3A752F27" w14:textId="77777777">
        <w:tc>
          <w:tcPr>
            <w:tcW w:w="1024" w:type="dxa"/>
          </w:tcPr>
          <w:p w14:paraId="227E89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7C44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19633C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крейс</w:t>
            </w:r>
            <w:proofErr w:type="spellEnd"/>
            <w:r w:rsidRPr="00A259BD">
              <w:rPr>
                <w:rFonts w:ascii="Times New Roman" w:hAnsi="Times New Roman"/>
                <w:color w:val="000000" w:themeColor="text1"/>
                <w:sz w:val="16"/>
                <w:szCs w:val="16"/>
              </w:rPr>
              <w:t>. 2-х мот.</w:t>
            </w:r>
          </w:p>
        </w:tc>
        <w:tc>
          <w:tcPr>
            <w:tcW w:w="1276" w:type="dxa"/>
          </w:tcPr>
          <w:p w14:paraId="0F0EEF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AFE8B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2249E2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778A5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E6E62B9" w14:textId="77777777">
        <w:tc>
          <w:tcPr>
            <w:tcW w:w="1024" w:type="dxa"/>
          </w:tcPr>
          <w:p w14:paraId="3C9EC5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Развед</w:t>
            </w:r>
            <w:proofErr w:type="spellEnd"/>
            <w:r w:rsidRPr="00A259BD">
              <w:rPr>
                <w:rFonts w:ascii="Times New Roman" w:hAnsi="Times New Roman"/>
                <w:color w:val="000000" w:themeColor="text1"/>
                <w:sz w:val="16"/>
                <w:szCs w:val="16"/>
              </w:rPr>
              <w:t>.</w:t>
            </w:r>
          </w:p>
        </w:tc>
        <w:tc>
          <w:tcPr>
            <w:tcW w:w="1024" w:type="dxa"/>
          </w:tcPr>
          <w:p w14:paraId="32184D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w:t>
            </w:r>
          </w:p>
        </w:tc>
        <w:tc>
          <w:tcPr>
            <w:tcW w:w="1746" w:type="dxa"/>
          </w:tcPr>
          <w:p w14:paraId="697442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арм</w:t>
            </w:r>
            <w:proofErr w:type="spellEnd"/>
            <w:r w:rsidRPr="00A259BD">
              <w:rPr>
                <w:rFonts w:ascii="Times New Roman" w:hAnsi="Times New Roman"/>
                <w:color w:val="000000" w:themeColor="text1"/>
                <w:sz w:val="16"/>
                <w:szCs w:val="16"/>
              </w:rPr>
              <w:t>.</w:t>
            </w:r>
          </w:p>
        </w:tc>
        <w:tc>
          <w:tcPr>
            <w:tcW w:w="1276" w:type="dxa"/>
          </w:tcPr>
          <w:p w14:paraId="2C1E16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Р5-БМВ6</w:t>
            </w:r>
          </w:p>
        </w:tc>
        <w:tc>
          <w:tcPr>
            <w:tcW w:w="1134" w:type="dxa"/>
          </w:tcPr>
          <w:p w14:paraId="196034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c>
          <w:tcPr>
            <w:tcW w:w="822" w:type="dxa"/>
          </w:tcPr>
          <w:p w14:paraId="1AC6AF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35427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120000</w:t>
            </w:r>
          </w:p>
        </w:tc>
      </w:tr>
      <w:tr w:rsidR="00A259BD" w:rsidRPr="00A259BD" w14:paraId="1FB67CA1" w14:textId="77777777">
        <w:tc>
          <w:tcPr>
            <w:tcW w:w="1024" w:type="dxa"/>
          </w:tcPr>
          <w:p w14:paraId="4BCE3A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армейские</w:t>
            </w:r>
          </w:p>
        </w:tc>
        <w:tc>
          <w:tcPr>
            <w:tcW w:w="1024" w:type="dxa"/>
          </w:tcPr>
          <w:p w14:paraId="41A57F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разв</w:t>
            </w:r>
            <w:proofErr w:type="spellEnd"/>
            <w:r w:rsidRPr="00A259BD">
              <w:rPr>
                <w:rFonts w:ascii="Times New Roman" w:hAnsi="Times New Roman"/>
                <w:color w:val="000000" w:themeColor="text1"/>
                <w:sz w:val="16"/>
                <w:szCs w:val="16"/>
              </w:rPr>
              <w:t>. дерев.</w:t>
            </w:r>
          </w:p>
        </w:tc>
        <w:tc>
          <w:tcPr>
            <w:tcW w:w="1746" w:type="dxa"/>
          </w:tcPr>
          <w:p w14:paraId="0527D1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3A591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1BD80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3DF941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E4D8A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0D53DAC" w14:textId="77777777">
        <w:tc>
          <w:tcPr>
            <w:tcW w:w="1024" w:type="dxa"/>
          </w:tcPr>
          <w:p w14:paraId="36D7E6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D6C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w:t>
            </w:r>
          </w:p>
        </w:tc>
        <w:tc>
          <w:tcPr>
            <w:tcW w:w="1746" w:type="dxa"/>
          </w:tcPr>
          <w:p w14:paraId="64FD64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арм</w:t>
            </w:r>
            <w:proofErr w:type="spellEnd"/>
            <w:r w:rsidRPr="00A259BD">
              <w:rPr>
                <w:rFonts w:ascii="Times New Roman" w:hAnsi="Times New Roman"/>
                <w:color w:val="000000" w:themeColor="text1"/>
                <w:sz w:val="16"/>
                <w:szCs w:val="16"/>
              </w:rPr>
              <w:t>.</w:t>
            </w:r>
          </w:p>
        </w:tc>
        <w:tc>
          <w:tcPr>
            <w:tcW w:w="1276" w:type="dxa"/>
          </w:tcPr>
          <w:p w14:paraId="681315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Р7-БМВ6</w:t>
            </w:r>
          </w:p>
        </w:tc>
        <w:tc>
          <w:tcPr>
            <w:tcW w:w="1134" w:type="dxa"/>
          </w:tcPr>
          <w:p w14:paraId="3F3B16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822" w:type="dxa"/>
          </w:tcPr>
          <w:p w14:paraId="58EB79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C93E5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w:t>
            </w:r>
          </w:p>
        </w:tc>
      </w:tr>
      <w:tr w:rsidR="00A259BD" w:rsidRPr="00A259BD" w14:paraId="6B3462D0" w14:textId="77777777">
        <w:tc>
          <w:tcPr>
            <w:tcW w:w="1024" w:type="dxa"/>
          </w:tcPr>
          <w:p w14:paraId="7FABB6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8007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3FAE3F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разв</w:t>
            </w:r>
            <w:proofErr w:type="spellEnd"/>
            <w:r w:rsidRPr="00A259BD">
              <w:rPr>
                <w:rFonts w:ascii="Times New Roman" w:hAnsi="Times New Roman"/>
                <w:color w:val="000000" w:themeColor="text1"/>
                <w:sz w:val="16"/>
                <w:szCs w:val="16"/>
              </w:rPr>
              <w:t>. метал.</w:t>
            </w:r>
          </w:p>
        </w:tc>
        <w:tc>
          <w:tcPr>
            <w:tcW w:w="1276" w:type="dxa"/>
          </w:tcPr>
          <w:p w14:paraId="1AD19E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6C881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52AE5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9B761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D931EF1" w14:textId="77777777">
        <w:tc>
          <w:tcPr>
            <w:tcW w:w="1024" w:type="dxa"/>
          </w:tcPr>
          <w:p w14:paraId="53BFBB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9193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w:t>
            </w:r>
          </w:p>
        </w:tc>
        <w:tc>
          <w:tcPr>
            <w:tcW w:w="1746" w:type="dxa"/>
          </w:tcPr>
          <w:p w14:paraId="54CBFA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арм</w:t>
            </w:r>
            <w:proofErr w:type="spellEnd"/>
            <w:r w:rsidRPr="00A259BD">
              <w:rPr>
                <w:rFonts w:ascii="Times New Roman" w:hAnsi="Times New Roman"/>
                <w:color w:val="000000" w:themeColor="text1"/>
                <w:sz w:val="16"/>
                <w:szCs w:val="16"/>
              </w:rPr>
              <w:t>.</w:t>
            </w:r>
          </w:p>
        </w:tc>
        <w:tc>
          <w:tcPr>
            <w:tcW w:w="1276" w:type="dxa"/>
          </w:tcPr>
          <w:p w14:paraId="304DA7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Р7-М30</w:t>
            </w:r>
          </w:p>
        </w:tc>
        <w:tc>
          <w:tcPr>
            <w:tcW w:w="1134" w:type="dxa"/>
          </w:tcPr>
          <w:p w14:paraId="2E1234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822" w:type="dxa"/>
          </w:tcPr>
          <w:p w14:paraId="0B73CD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49A46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w:t>
            </w:r>
          </w:p>
        </w:tc>
      </w:tr>
      <w:tr w:rsidR="00A259BD" w:rsidRPr="00A259BD" w14:paraId="75AFDD07" w14:textId="77777777">
        <w:tc>
          <w:tcPr>
            <w:tcW w:w="1024" w:type="dxa"/>
          </w:tcPr>
          <w:p w14:paraId="7016E8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ED03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4A613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разв</w:t>
            </w:r>
            <w:proofErr w:type="spellEnd"/>
            <w:r w:rsidRPr="00A259BD">
              <w:rPr>
                <w:rFonts w:ascii="Times New Roman" w:hAnsi="Times New Roman"/>
                <w:color w:val="000000" w:themeColor="text1"/>
                <w:sz w:val="16"/>
                <w:szCs w:val="16"/>
              </w:rPr>
              <w:t>. метал.</w:t>
            </w:r>
          </w:p>
        </w:tc>
        <w:tc>
          <w:tcPr>
            <w:tcW w:w="1276" w:type="dxa"/>
          </w:tcPr>
          <w:p w14:paraId="02570D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09EFD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E64B4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877C4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937D45B" w14:textId="77777777">
        <w:tc>
          <w:tcPr>
            <w:tcW w:w="1024" w:type="dxa"/>
          </w:tcPr>
          <w:p w14:paraId="76BF4E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2CBE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w:t>
            </w:r>
          </w:p>
        </w:tc>
        <w:tc>
          <w:tcPr>
            <w:tcW w:w="1746" w:type="dxa"/>
          </w:tcPr>
          <w:p w14:paraId="63A2EF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арм</w:t>
            </w:r>
            <w:proofErr w:type="spellEnd"/>
            <w:r w:rsidRPr="00A259BD">
              <w:rPr>
                <w:rFonts w:ascii="Times New Roman" w:hAnsi="Times New Roman"/>
                <w:color w:val="000000" w:themeColor="text1"/>
                <w:sz w:val="16"/>
                <w:szCs w:val="16"/>
              </w:rPr>
              <w:t>.</w:t>
            </w:r>
          </w:p>
        </w:tc>
        <w:tc>
          <w:tcPr>
            <w:tcW w:w="1276" w:type="dxa"/>
          </w:tcPr>
          <w:p w14:paraId="7CD3FC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Р8-М33</w:t>
            </w:r>
          </w:p>
        </w:tc>
        <w:tc>
          <w:tcPr>
            <w:tcW w:w="1134" w:type="dxa"/>
          </w:tcPr>
          <w:p w14:paraId="6B7C48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822" w:type="dxa"/>
          </w:tcPr>
          <w:p w14:paraId="1A090B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805FF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w:t>
            </w:r>
          </w:p>
        </w:tc>
      </w:tr>
      <w:tr w:rsidR="00A259BD" w:rsidRPr="00A259BD" w14:paraId="0F604778" w14:textId="77777777">
        <w:tc>
          <w:tcPr>
            <w:tcW w:w="1024" w:type="dxa"/>
          </w:tcPr>
          <w:p w14:paraId="7DDA75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E65C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07257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разв</w:t>
            </w:r>
            <w:proofErr w:type="spellEnd"/>
            <w:r w:rsidRPr="00A259BD">
              <w:rPr>
                <w:rFonts w:ascii="Times New Roman" w:hAnsi="Times New Roman"/>
                <w:color w:val="000000" w:themeColor="text1"/>
                <w:sz w:val="16"/>
                <w:szCs w:val="16"/>
              </w:rPr>
              <w:t>. метал.</w:t>
            </w:r>
          </w:p>
        </w:tc>
        <w:tc>
          <w:tcPr>
            <w:tcW w:w="1276" w:type="dxa"/>
          </w:tcPr>
          <w:p w14:paraId="1D9ED1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0E465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51C24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3A516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D051B31" w14:textId="77777777">
        <w:tc>
          <w:tcPr>
            <w:tcW w:w="1024" w:type="dxa"/>
          </w:tcPr>
          <w:p w14:paraId="7BA28B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C6F8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tc>
        <w:tc>
          <w:tcPr>
            <w:tcW w:w="1746" w:type="dxa"/>
          </w:tcPr>
          <w:p w14:paraId="5D36D1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арм</w:t>
            </w:r>
            <w:proofErr w:type="spellEnd"/>
            <w:r w:rsidRPr="00A259BD">
              <w:rPr>
                <w:rFonts w:ascii="Times New Roman" w:hAnsi="Times New Roman"/>
                <w:color w:val="000000" w:themeColor="text1"/>
                <w:sz w:val="16"/>
                <w:szCs w:val="16"/>
              </w:rPr>
              <w:t>.</w:t>
            </w:r>
          </w:p>
        </w:tc>
        <w:tc>
          <w:tcPr>
            <w:tcW w:w="1276" w:type="dxa"/>
          </w:tcPr>
          <w:p w14:paraId="1B1DBC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Р9-М33</w:t>
            </w:r>
          </w:p>
        </w:tc>
        <w:tc>
          <w:tcPr>
            <w:tcW w:w="1134" w:type="dxa"/>
          </w:tcPr>
          <w:p w14:paraId="5ED8B4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c>
          <w:tcPr>
            <w:tcW w:w="822" w:type="dxa"/>
          </w:tcPr>
          <w:p w14:paraId="3A884C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9DE37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w:t>
            </w:r>
          </w:p>
        </w:tc>
      </w:tr>
      <w:tr w:rsidR="00A259BD" w:rsidRPr="00A259BD" w14:paraId="1112BD30" w14:textId="77777777">
        <w:tc>
          <w:tcPr>
            <w:tcW w:w="1024" w:type="dxa"/>
          </w:tcPr>
          <w:p w14:paraId="47F12F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AE54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CFB49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разв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смеш</w:t>
            </w:r>
            <w:proofErr w:type="spellEnd"/>
            <w:r w:rsidRPr="00A259BD">
              <w:rPr>
                <w:rFonts w:ascii="Times New Roman" w:hAnsi="Times New Roman"/>
                <w:color w:val="000000" w:themeColor="text1"/>
                <w:sz w:val="16"/>
                <w:szCs w:val="16"/>
              </w:rPr>
              <w:t>.</w:t>
            </w:r>
          </w:p>
        </w:tc>
        <w:tc>
          <w:tcPr>
            <w:tcW w:w="1276" w:type="dxa"/>
          </w:tcPr>
          <w:p w14:paraId="2F3FA6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7EF68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768164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CE67B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02375C2" w14:textId="77777777">
        <w:tc>
          <w:tcPr>
            <w:tcW w:w="1024" w:type="dxa"/>
          </w:tcPr>
          <w:p w14:paraId="16F08E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A0BA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w:t>
            </w:r>
          </w:p>
        </w:tc>
        <w:tc>
          <w:tcPr>
            <w:tcW w:w="1746" w:type="dxa"/>
          </w:tcPr>
          <w:p w14:paraId="221648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разв</w:t>
            </w:r>
            <w:proofErr w:type="spellEnd"/>
            <w:r w:rsidRPr="00A259BD">
              <w:rPr>
                <w:rFonts w:ascii="Times New Roman" w:hAnsi="Times New Roman"/>
                <w:color w:val="000000" w:themeColor="text1"/>
                <w:sz w:val="16"/>
                <w:szCs w:val="16"/>
              </w:rPr>
              <w:t>.</w:t>
            </w:r>
          </w:p>
        </w:tc>
        <w:tc>
          <w:tcPr>
            <w:tcW w:w="1276" w:type="dxa"/>
          </w:tcPr>
          <w:p w14:paraId="4BE443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НР-М30</w:t>
            </w:r>
          </w:p>
        </w:tc>
        <w:tc>
          <w:tcPr>
            <w:tcW w:w="1134" w:type="dxa"/>
          </w:tcPr>
          <w:p w14:paraId="0EFA91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c>
          <w:tcPr>
            <w:tcW w:w="822" w:type="dxa"/>
          </w:tcPr>
          <w:p w14:paraId="3DB80E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91545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w:t>
            </w:r>
          </w:p>
        </w:tc>
      </w:tr>
      <w:tr w:rsidR="00A259BD" w:rsidRPr="00A259BD" w14:paraId="506E34A8" w14:textId="77777777">
        <w:tc>
          <w:tcPr>
            <w:tcW w:w="1024" w:type="dxa"/>
          </w:tcPr>
          <w:p w14:paraId="0B6954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D659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42770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ночной</w:t>
            </w:r>
          </w:p>
        </w:tc>
        <w:tc>
          <w:tcPr>
            <w:tcW w:w="1276" w:type="dxa"/>
          </w:tcPr>
          <w:p w14:paraId="082252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7C9FE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B469D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F0791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DBB0AE7" w14:textId="77777777">
        <w:tc>
          <w:tcPr>
            <w:tcW w:w="1024" w:type="dxa"/>
          </w:tcPr>
          <w:p w14:paraId="2EE6F1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Крейсер.</w:t>
            </w:r>
          </w:p>
        </w:tc>
        <w:tc>
          <w:tcPr>
            <w:tcW w:w="1024" w:type="dxa"/>
          </w:tcPr>
          <w:p w14:paraId="6CD2D2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1746" w:type="dxa"/>
          </w:tcPr>
          <w:p w14:paraId="6EF23D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крейс</w:t>
            </w:r>
            <w:proofErr w:type="spellEnd"/>
            <w:r w:rsidRPr="00A259BD">
              <w:rPr>
                <w:rFonts w:ascii="Times New Roman" w:hAnsi="Times New Roman"/>
                <w:color w:val="000000" w:themeColor="text1"/>
                <w:sz w:val="16"/>
                <w:szCs w:val="16"/>
              </w:rPr>
              <w:t>.</w:t>
            </w:r>
          </w:p>
        </w:tc>
        <w:tc>
          <w:tcPr>
            <w:tcW w:w="1276" w:type="dxa"/>
          </w:tcPr>
          <w:p w14:paraId="5E1B8C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Р6-2БМВ6</w:t>
            </w:r>
          </w:p>
        </w:tc>
        <w:tc>
          <w:tcPr>
            <w:tcW w:w="1134" w:type="dxa"/>
          </w:tcPr>
          <w:p w14:paraId="61E656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822" w:type="dxa"/>
          </w:tcPr>
          <w:p w14:paraId="5C8DD1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7B6DF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250000</w:t>
            </w:r>
          </w:p>
        </w:tc>
      </w:tr>
      <w:tr w:rsidR="00A259BD" w:rsidRPr="00A259BD" w14:paraId="721CC5E8" w14:textId="77777777">
        <w:tc>
          <w:tcPr>
            <w:tcW w:w="1024" w:type="dxa"/>
          </w:tcPr>
          <w:p w14:paraId="1B9E29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развед</w:t>
            </w:r>
            <w:proofErr w:type="spellEnd"/>
            <w:r w:rsidRPr="00A259BD">
              <w:rPr>
                <w:rFonts w:ascii="Times New Roman" w:hAnsi="Times New Roman"/>
                <w:color w:val="000000" w:themeColor="text1"/>
                <w:sz w:val="16"/>
                <w:szCs w:val="16"/>
              </w:rPr>
              <w:t>.</w:t>
            </w:r>
          </w:p>
        </w:tc>
        <w:tc>
          <w:tcPr>
            <w:tcW w:w="1024" w:type="dxa"/>
          </w:tcPr>
          <w:p w14:paraId="1DB05D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1208B1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разв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дд</w:t>
            </w:r>
            <w:proofErr w:type="spellEnd"/>
            <w:r w:rsidRPr="00A259BD">
              <w:rPr>
                <w:rFonts w:ascii="Times New Roman" w:hAnsi="Times New Roman"/>
                <w:color w:val="000000" w:themeColor="text1"/>
                <w:sz w:val="16"/>
                <w:szCs w:val="16"/>
              </w:rPr>
              <w:t>.</w:t>
            </w:r>
          </w:p>
        </w:tc>
        <w:tc>
          <w:tcPr>
            <w:tcW w:w="1276" w:type="dxa"/>
          </w:tcPr>
          <w:p w14:paraId="727BB7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F36BE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22FAD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A2D2C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2B88CD3" w14:textId="77777777">
        <w:tc>
          <w:tcPr>
            <w:tcW w:w="1024" w:type="dxa"/>
          </w:tcPr>
          <w:p w14:paraId="54E144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1844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7B0AF9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4-х </w:t>
            </w:r>
            <w:proofErr w:type="spellStart"/>
            <w:r w:rsidRPr="00A259BD">
              <w:rPr>
                <w:rFonts w:ascii="Times New Roman" w:hAnsi="Times New Roman"/>
                <w:color w:val="000000" w:themeColor="text1"/>
                <w:sz w:val="16"/>
                <w:szCs w:val="16"/>
              </w:rPr>
              <w:t>местн</w:t>
            </w:r>
            <w:proofErr w:type="spellEnd"/>
            <w:r w:rsidRPr="00A259BD">
              <w:rPr>
                <w:rFonts w:ascii="Times New Roman" w:hAnsi="Times New Roman"/>
                <w:color w:val="000000" w:themeColor="text1"/>
                <w:sz w:val="16"/>
                <w:szCs w:val="16"/>
              </w:rPr>
              <w:t>. метал.</w:t>
            </w:r>
          </w:p>
        </w:tc>
        <w:tc>
          <w:tcPr>
            <w:tcW w:w="1276" w:type="dxa"/>
          </w:tcPr>
          <w:p w14:paraId="6F16E9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D1461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71F5C0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BEB08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3488D09" w14:textId="77777777">
        <w:tc>
          <w:tcPr>
            <w:tcW w:w="1024" w:type="dxa"/>
          </w:tcPr>
          <w:p w14:paraId="7CFF22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CD8E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1746" w:type="dxa"/>
          </w:tcPr>
          <w:p w14:paraId="02DB0A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крейс</w:t>
            </w:r>
            <w:proofErr w:type="spellEnd"/>
            <w:r w:rsidRPr="00A259BD">
              <w:rPr>
                <w:rFonts w:ascii="Times New Roman" w:hAnsi="Times New Roman"/>
                <w:color w:val="000000" w:themeColor="text1"/>
                <w:sz w:val="16"/>
                <w:szCs w:val="16"/>
              </w:rPr>
              <w:t>.</w:t>
            </w:r>
          </w:p>
        </w:tc>
        <w:tc>
          <w:tcPr>
            <w:tcW w:w="1276" w:type="dxa"/>
          </w:tcPr>
          <w:p w14:paraId="282921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Р6-2М30</w:t>
            </w:r>
          </w:p>
        </w:tc>
        <w:tc>
          <w:tcPr>
            <w:tcW w:w="1134" w:type="dxa"/>
          </w:tcPr>
          <w:p w14:paraId="4D0909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822" w:type="dxa"/>
          </w:tcPr>
          <w:p w14:paraId="6ECEA9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95BD6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50000</w:t>
            </w:r>
          </w:p>
        </w:tc>
      </w:tr>
      <w:tr w:rsidR="00A259BD" w:rsidRPr="00A259BD" w14:paraId="18FB57F3" w14:textId="77777777">
        <w:tc>
          <w:tcPr>
            <w:tcW w:w="1024" w:type="dxa"/>
          </w:tcPr>
          <w:p w14:paraId="31575D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A4F9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76FD9E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разв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дд</w:t>
            </w:r>
            <w:proofErr w:type="spellEnd"/>
            <w:r w:rsidRPr="00A259BD">
              <w:rPr>
                <w:rFonts w:ascii="Times New Roman" w:hAnsi="Times New Roman"/>
                <w:color w:val="000000" w:themeColor="text1"/>
                <w:sz w:val="16"/>
                <w:szCs w:val="16"/>
              </w:rPr>
              <w:t>.</w:t>
            </w:r>
          </w:p>
        </w:tc>
        <w:tc>
          <w:tcPr>
            <w:tcW w:w="1276" w:type="dxa"/>
          </w:tcPr>
          <w:p w14:paraId="7AB280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CED19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F08FE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710C2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42D319C" w14:textId="77777777">
        <w:tc>
          <w:tcPr>
            <w:tcW w:w="1024" w:type="dxa"/>
          </w:tcPr>
          <w:p w14:paraId="7D69B3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157E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2B4BB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4-х </w:t>
            </w:r>
            <w:proofErr w:type="spellStart"/>
            <w:r w:rsidRPr="00A259BD">
              <w:rPr>
                <w:rFonts w:ascii="Times New Roman" w:hAnsi="Times New Roman"/>
                <w:color w:val="000000" w:themeColor="text1"/>
                <w:sz w:val="16"/>
                <w:szCs w:val="16"/>
              </w:rPr>
              <w:t>местн</w:t>
            </w:r>
            <w:proofErr w:type="spellEnd"/>
            <w:r w:rsidRPr="00A259BD">
              <w:rPr>
                <w:rFonts w:ascii="Times New Roman" w:hAnsi="Times New Roman"/>
                <w:color w:val="000000" w:themeColor="text1"/>
                <w:sz w:val="16"/>
                <w:szCs w:val="16"/>
              </w:rPr>
              <w:t>. метал.</w:t>
            </w:r>
          </w:p>
        </w:tc>
        <w:tc>
          <w:tcPr>
            <w:tcW w:w="1276" w:type="dxa"/>
          </w:tcPr>
          <w:p w14:paraId="4A8040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54479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F077D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D676F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1E0FAAC" w14:textId="77777777">
        <w:tc>
          <w:tcPr>
            <w:tcW w:w="1024" w:type="dxa"/>
          </w:tcPr>
          <w:p w14:paraId="54D4D2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9AD9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w:t>
            </w:r>
          </w:p>
        </w:tc>
        <w:tc>
          <w:tcPr>
            <w:tcW w:w="1746" w:type="dxa"/>
          </w:tcPr>
          <w:p w14:paraId="66A34F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крейс</w:t>
            </w:r>
            <w:proofErr w:type="spellEnd"/>
            <w:r w:rsidRPr="00A259BD">
              <w:rPr>
                <w:rFonts w:ascii="Times New Roman" w:hAnsi="Times New Roman"/>
                <w:color w:val="000000" w:themeColor="text1"/>
                <w:sz w:val="16"/>
                <w:szCs w:val="16"/>
              </w:rPr>
              <w:t>.</w:t>
            </w:r>
          </w:p>
        </w:tc>
        <w:tc>
          <w:tcPr>
            <w:tcW w:w="1276" w:type="dxa"/>
          </w:tcPr>
          <w:p w14:paraId="221FE9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Р6-2М34</w:t>
            </w:r>
          </w:p>
        </w:tc>
        <w:tc>
          <w:tcPr>
            <w:tcW w:w="1134" w:type="dxa"/>
          </w:tcPr>
          <w:p w14:paraId="3D5184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822" w:type="dxa"/>
          </w:tcPr>
          <w:p w14:paraId="7B5113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066C6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50000</w:t>
            </w:r>
          </w:p>
        </w:tc>
      </w:tr>
      <w:tr w:rsidR="00A259BD" w:rsidRPr="00A259BD" w14:paraId="22B51BDA" w14:textId="77777777">
        <w:tc>
          <w:tcPr>
            <w:tcW w:w="1024" w:type="dxa"/>
          </w:tcPr>
          <w:p w14:paraId="1EFD5C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190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07D4A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разв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дд</w:t>
            </w:r>
            <w:proofErr w:type="spellEnd"/>
            <w:r w:rsidRPr="00A259BD">
              <w:rPr>
                <w:rFonts w:ascii="Times New Roman" w:hAnsi="Times New Roman"/>
                <w:color w:val="000000" w:themeColor="text1"/>
                <w:sz w:val="16"/>
                <w:szCs w:val="16"/>
              </w:rPr>
              <w:t>.</w:t>
            </w:r>
          </w:p>
        </w:tc>
        <w:tc>
          <w:tcPr>
            <w:tcW w:w="1276" w:type="dxa"/>
          </w:tcPr>
          <w:p w14:paraId="6198B5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A704D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16575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C6B12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B12E347" w14:textId="77777777">
        <w:tc>
          <w:tcPr>
            <w:tcW w:w="1024" w:type="dxa"/>
          </w:tcPr>
          <w:p w14:paraId="18FA35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1B2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06CAF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4-х </w:t>
            </w:r>
            <w:proofErr w:type="spellStart"/>
            <w:r w:rsidRPr="00A259BD">
              <w:rPr>
                <w:rFonts w:ascii="Times New Roman" w:hAnsi="Times New Roman"/>
                <w:color w:val="000000" w:themeColor="text1"/>
                <w:sz w:val="16"/>
                <w:szCs w:val="16"/>
              </w:rPr>
              <w:t>местн</w:t>
            </w:r>
            <w:proofErr w:type="spellEnd"/>
            <w:r w:rsidRPr="00A259BD">
              <w:rPr>
                <w:rFonts w:ascii="Times New Roman" w:hAnsi="Times New Roman"/>
                <w:color w:val="000000" w:themeColor="text1"/>
                <w:sz w:val="16"/>
                <w:szCs w:val="16"/>
              </w:rPr>
              <w:t>. метал.</w:t>
            </w:r>
          </w:p>
        </w:tc>
        <w:tc>
          <w:tcPr>
            <w:tcW w:w="1276" w:type="dxa"/>
          </w:tcPr>
          <w:p w14:paraId="24A6CE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E415A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C4B60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2BF97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D3B98AC" w14:textId="77777777">
        <w:tc>
          <w:tcPr>
            <w:tcW w:w="1024" w:type="dxa"/>
          </w:tcPr>
          <w:p w14:paraId="7EA609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Войсков.</w:t>
            </w:r>
          </w:p>
        </w:tc>
        <w:tc>
          <w:tcPr>
            <w:tcW w:w="1024" w:type="dxa"/>
          </w:tcPr>
          <w:p w14:paraId="42D717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w:t>
            </w:r>
          </w:p>
        </w:tc>
        <w:tc>
          <w:tcPr>
            <w:tcW w:w="1746" w:type="dxa"/>
          </w:tcPr>
          <w:p w14:paraId="50B8B3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Трехм</w:t>
            </w:r>
            <w:proofErr w:type="spellEnd"/>
            <w:r w:rsidRPr="00A259BD">
              <w:rPr>
                <w:rFonts w:ascii="Times New Roman" w:hAnsi="Times New Roman"/>
                <w:color w:val="000000" w:themeColor="text1"/>
                <w:sz w:val="16"/>
                <w:szCs w:val="16"/>
              </w:rPr>
              <w:t>. 2-х мот.</w:t>
            </w:r>
          </w:p>
        </w:tc>
        <w:tc>
          <w:tcPr>
            <w:tcW w:w="1276" w:type="dxa"/>
          </w:tcPr>
          <w:p w14:paraId="58BE4C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КРК1-2</w:t>
            </w:r>
          </w:p>
        </w:tc>
        <w:tc>
          <w:tcPr>
            <w:tcW w:w="1134" w:type="dxa"/>
          </w:tcPr>
          <w:p w14:paraId="1779F5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c>
          <w:tcPr>
            <w:tcW w:w="822" w:type="dxa"/>
          </w:tcPr>
          <w:p w14:paraId="3CCD40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93C66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w:t>
            </w:r>
          </w:p>
        </w:tc>
      </w:tr>
      <w:tr w:rsidR="00A259BD" w:rsidRPr="00A259BD" w14:paraId="4945DA6B" w14:textId="77777777">
        <w:tc>
          <w:tcPr>
            <w:tcW w:w="1024" w:type="dxa"/>
          </w:tcPr>
          <w:p w14:paraId="425CBD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разведч</w:t>
            </w:r>
            <w:proofErr w:type="spellEnd"/>
            <w:r w:rsidRPr="00A259BD">
              <w:rPr>
                <w:rFonts w:ascii="Times New Roman" w:hAnsi="Times New Roman"/>
                <w:color w:val="000000" w:themeColor="text1"/>
                <w:sz w:val="16"/>
                <w:szCs w:val="16"/>
              </w:rPr>
              <w:t>.</w:t>
            </w:r>
          </w:p>
        </w:tc>
        <w:tc>
          <w:tcPr>
            <w:tcW w:w="1024" w:type="dxa"/>
          </w:tcPr>
          <w:p w14:paraId="7AD328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11CAF0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разв</w:t>
            </w:r>
            <w:proofErr w:type="spellEnd"/>
            <w:r w:rsidRPr="00A259BD">
              <w:rPr>
                <w:rFonts w:ascii="Times New Roman" w:hAnsi="Times New Roman"/>
                <w:color w:val="000000" w:themeColor="text1"/>
                <w:sz w:val="16"/>
                <w:szCs w:val="16"/>
              </w:rPr>
              <w:t xml:space="preserve">.-кор. </w:t>
            </w:r>
            <w:proofErr w:type="spellStart"/>
            <w:r w:rsidRPr="00A259BD">
              <w:rPr>
                <w:rFonts w:ascii="Times New Roman" w:hAnsi="Times New Roman"/>
                <w:color w:val="000000" w:themeColor="text1"/>
                <w:sz w:val="16"/>
                <w:szCs w:val="16"/>
              </w:rPr>
              <w:t>смеш</w:t>
            </w:r>
            <w:proofErr w:type="spellEnd"/>
            <w:r w:rsidRPr="00A259BD">
              <w:rPr>
                <w:rFonts w:ascii="Times New Roman" w:hAnsi="Times New Roman"/>
                <w:color w:val="000000" w:themeColor="text1"/>
                <w:sz w:val="16"/>
                <w:szCs w:val="16"/>
              </w:rPr>
              <w:t>.</w:t>
            </w:r>
          </w:p>
        </w:tc>
        <w:tc>
          <w:tcPr>
            <w:tcW w:w="1276" w:type="dxa"/>
          </w:tcPr>
          <w:p w14:paraId="317DE3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6/М26</w:t>
            </w:r>
          </w:p>
        </w:tc>
        <w:tc>
          <w:tcPr>
            <w:tcW w:w="1134" w:type="dxa"/>
          </w:tcPr>
          <w:p w14:paraId="459CA3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2542FB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5BB30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D5EBDB7" w14:textId="77777777">
        <w:tc>
          <w:tcPr>
            <w:tcW w:w="1024" w:type="dxa"/>
          </w:tcPr>
          <w:p w14:paraId="17D928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Спец.</w:t>
            </w:r>
          </w:p>
        </w:tc>
        <w:tc>
          <w:tcPr>
            <w:tcW w:w="1024" w:type="dxa"/>
          </w:tcPr>
          <w:p w14:paraId="00FBD9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1746" w:type="dxa"/>
          </w:tcPr>
          <w:p w14:paraId="58CA9E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хим.</w:t>
            </w:r>
          </w:p>
        </w:tc>
        <w:tc>
          <w:tcPr>
            <w:tcW w:w="1276" w:type="dxa"/>
          </w:tcPr>
          <w:p w14:paraId="703279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ХБ-М30</w:t>
            </w:r>
          </w:p>
        </w:tc>
        <w:tc>
          <w:tcPr>
            <w:tcW w:w="1134" w:type="dxa"/>
          </w:tcPr>
          <w:p w14:paraId="5B641C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822" w:type="dxa"/>
          </w:tcPr>
          <w:p w14:paraId="2A9D5D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22480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50000</w:t>
            </w:r>
          </w:p>
        </w:tc>
      </w:tr>
      <w:tr w:rsidR="00A259BD" w:rsidRPr="00A259BD" w14:paraId="54AB3725" w14:textId="77777777">
        <w:tc>
          <w:tcPr>
            <w:tcW w:w="1024" w:type="dxa"/>
          </w:tcPr>
          <w:p w14:paraId="36A10E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назнач</w:t>
            </w:r>
            <w:proofErr w:type="spellEnd"/>
            <w:r w:rsidRPr="00A259BD">
              <w:rPr>
                <w:rFonts w:ascii="Times New Roman" w:hAnsi="Times New Roman"/>
                <w:color w:val="000000" w:themeColor="text1"/>
                <w:sz w:val="16"/>
                <w:szCs w:val="16"/>
              </w:rPr>
              <w:t>.</w:t>
            </w:r>
          </w:p>
        </w:tc>
        <w:tc>
          <w:tcPr>
            <w:tcW w:w="1024" w:type="dxa"/>
          </w:tcPr>
          <w:p w14:paraId="5BBB78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209C4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действия мет.</w:t>
            </w:r>
          </w:p>
        </w:tc>
        <w:tc>
          <w:tcPr>
            <w:tcW w:w="1276" w:type="dxa"/>
          </w:tcPr>
          <w:p w14:paraId="0BC156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32DA7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596FD2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1DF0A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1CE71B3" w14:textId="77777777">
        <w:tc>
          <w:tcPr>
            <w:tcW w:w="1024" w:type="dxa"/>
          </w:tcPr>
          <w:p w14:paraId="476F5B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12A4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w:t>
            </w:r>
          </w:p>
        </w:tc>
        <w:tc>
          <w:tcPr>
            <w:tcW w:w="1746" w:type="dxa"/>
          </w:tcPr>
          <w:p w14:paraId="64336A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для</w:t>
            </w:r>
          </w:p>
        </w:tc>
        <w:tc>
          <w:tcPr>
            <w:tcW w:w="1276" w:type="dxa"/>
          </w:tcPr>
          <w:p w14:paraId="2389FF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КС1-65/</w:t>
            </w:r>
          </w:p>
        </w:tc>
        <w:tc>
          <w:tcPr>
            <w:tcW w:w="1134" w:type="dxa"/>
          </w:tcPr>
          <w:p w14:paraId="002832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822" w:type="dxa"/>
          </w:tcPr>
          <w:p w14:paraId="2125FA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91125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45000</w:t>
            </w:r>
          </w:p>
        </w:tc>
      </w:tr>
      <w:tr w:rsidR="00A259BD" w:rsidRPr="00A259BD" w14:paraId="7296E425" w14:textId="77777777">
        <w:tc>
          <w:tcPr>
            <w:tcW w:w="1024" w:type="dxa"/>
          </w:tcPr>
          <w:p w14:paraId="57ECA0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C397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9A8AD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связи кавал.</w:t>
            </w:r>
          </w:p>
        </w:tc>
        <w:tc>
          <w:tcPr>
            <w:tcW w:w="1276" w:type="dxa"/>
          </w:tcPr>
          <w:p w14:paraId="272436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80НР</w:t>
            </w:r>
          </w:p>
        </w:tc>
        <w:tc>
          <w:tcPr>
            <w:tcW w:w="1134" w:type="dxa"/>
          </w:tcPr>
          <w:p w14:paraId="335E20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3D16E4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25499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8D24B93" w14:textId="77777777">
        <w:tc>
          <w:tcPr>
            <w:tcW w:w="1024" w:type="dxa"/>
          </w:tcPr>
          <w:p w14:paraId="21BB48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Бомбард.</w:t>
            </w:r>
          </w:p>
        </w:tc>
        <w:tc>
          <w:tcPr>
            <w:tcW w:w="1024" w:type="dxa"/>
          </w:tcPr>
          <w:p w14:paraId="28E456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w:t>
            </w:r>
          </w:p>
        </w:tc>
        <w:tc>
          <w:tcPr>
            <w:tcW w:w="1746" w:type="dxa"/>
          </w:tcPr>
          <w:p w14:paraId="5ACC0D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Тяж. бомб.</w:t>
            </w:r>
          </w:p>
        </w:tc>
        <w:tc>
          <w:tcPr>
            <w:tcW w:w="1276" w:type="dxa"/>
          </w:tcPr>
          <w:p w14:paraId="612F47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ТБ2-2БМВ6</w:t>
            </w:r>
          </w:p>
        </w:tc>
        <w:tc>
          <w:tcPr>
            <w:tcW w:w="1134" w:type="dxa"/>
          </w:tcPr>
          <w:p w14:paraId="6DE0D0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c>
          <w:tcPr>
            <w:tcW w:w="822" w:type="dxa"/>
          </w:tcPr>
          <w:p w14:paraId="64A2A5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EA206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350000</w:t>
            </w:r>
          </w:p>
        </w:tc>
      </w:tr>
      <w:tr w:rsidR="00A259BD" w:rsidRPr="00A259BD" w14:paraId="361FEF8E" w14:textId="77777777">
        <w:tc>
          <w:tcPr>
            <w:tcW w:w="1024" w:type="dxa"/>
          </w:tcPr>
          <w:p w14:paraId="76AA1E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647F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56A89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дер.</w:t>
            </w:r>
          </w:p>
        </w:tc>
        <w:tc>
          <w:tcPr>
            <w:tcW w:w="1276" w:type="dxa"/>
          </w:tcPr>
          <w:p w14:paraId="433B68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921F1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62A00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45C5B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07AECDB" w14:textId="77777777">
        <w:tc>
          <w:tcPr>
            <w:tcW w:w="1024" w:type="dxa"/>
          </w:tcPr>
          <w:p w14:paraId="0235DE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B010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w:t>
            </w:r>
          </w:p>
        </w:tc>
        <w:tc>
          <w:tcPr>
            <w:tcW w:w="1746" w:type="dxa"/>
          </w:tcPr>
          <w:p w14:paraId="687B65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Тяж. бомб.</w:t>
            </w:r>
          </w:p>
        </w:tc>
        <w:tc>
          <w:tcPr>
            <w:tcW w:w="1276" w:type="dxa"/>
          </w:tcPr>
          <w:p w14:paraId="60E0B6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ТБ3-2000/</w:t>
            </w:r>
          </w:p>
        </w:tc>
        <w:tc>
          <w:tcPr>
            <w:tcW w:w="1134" w:type="dxa"/>
          </w:tcPr>
          <w:p w14:paraId="27B80D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822" w:type="dxa"/>
          </w:tcPr>
          <w:p w14:paraId="5AE4BE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468B8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w:t>
            </w:r>
          </w:p>
        </w:tc>
      </w:tr>
      <w:tr w:rsidR="00A259BD" w:rsidRPr="00A259BD" w14:paraId="58F859A0" w14:textId="77777777">
        <w:tc>
          <w:tcPr>
            <w:tcW w:w="1024" w:type="dxa"/>
          </w:tcPr>
          <w:p w14:paraId="56DD45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C6FF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A54E7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метал.</w:t>
            </w:r>
          </w:p>
        </w:tc>
        <w:tc>
          <w:tcPr>
            <w:tcW w:w="1276" w:type="dxa"/>
          </w:tcPr>
          <w:p w14:paraId="3634F5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2400 НР</w:t>
            </w:r>
          </w:p>
        </w:tc>
        <w:tc>
          <w:tcPr>
            <w:tcW w:w="1134" w:type="dxa"/>
          </w:tcPr>
          <w:p w14:paraId="28B545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D4872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F6A38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EEAC668" w14:textId="77777777">
        <w:tc>
          <w:tcPr>
            <w:tcW w:w="1024" w:type="dxa"/>
          </w:tcPr>
          <w:p w14:paraId="4A9330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C80F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tc>
        <w:tc>
          <w:tcPr>
            <w:tcW w:w="1746" w:type="dxa"/>
          </w:tcPr>
          <w:p w14:paraId="150EEA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Тяж. бомб.</w:t>
            </w:r>
          </w:p>
        </w:tc>
        <w:tc>
          <w:tcPr>
            <w:tcW w:w="1276" w:type="dxa"/>
          </w:tcPr>
          <w:p w14:paraId="783C35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ТБ3-4М39/</w:t>
            </w:r>
          </w:p>
        </w:tc>
        <w:tc>
          <w:tcPr>
            <w:tcW w:w="1134" w:type="dxa"/>
          </w:tcPr>
          <w:p w14:paraId="38ED4E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822" w:type="dxa"/>
          </w:tcPr>
          <w:p w14:paraId="02E7F9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86828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450000</w:t>
            </w:r>
          </w:p>
        </w:tc>
      </w:tr>
      <w:tr w:rsidR="00A259BD" w:rsidRPr="00A259BD" w14:paraId="32186DD9" w14:textId="77777777">
        <w:tc>
          <w:tcPr>
            <w:tcW w:w="1024" w:type="dxa"/>
          </w:tcPr>
          <w:p w14:paraId="3FCA7D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3EF7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8A687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метал.</w:t>
            </w:r>
          </w:p>
        </w:tc>
        <w:tc>
          <w:tcPr>
            <w:tcW w:w="1276" w:type="dxa"/>
          </w:tcPr>
          <w:p w14:paraId="379627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2400 НР</w:t>
            </w:r>
          </w:p>
        </w:tc>
        <w:tc>
          <w:tcPr>
            <w:tcW w:w="1134" w:type="dxa"/>
          </w:tcPr>
          <w:p w14:paraId="168869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A5392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33061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B70687D" w14:textId="77777777">
        <w:tc>
          <w:tcPr>
            <w:tcW w:w="1024" w:type="dxa"/>
          </w:tcPr>
          <w:p w14:paraId="6E3AE0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B89B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3C3787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w:t>
            </w:r>
            <w:proofErr w:type="spellStart"/>
            <w:r w:rsidRPr="00A259BD">
              <w:rPr>
                <w:rFonts w:ascii="Times New Roman" w:hAnsi="Times New Roman"/>
                <w:color w:val="000000" w:themeColor="text1"/>
                <w:sz w:val="16"/>
                <w:szCs w:val="16"/>
              </w:rPr>
              <w:t>нагр</w:t>
            </w:r>
            <w:proofErr w:type="spellEnd"/>
            <w:r w:rsidRPr="00A259BD">
              <w:rPr>
                <w:rFonts w:ascii="Times New Roman" w:hAnsi="Times New Roman"/>
                <w:color w:val="000000" w:themeColor="text1"/>
                <w:sz w:val="16"/>
                <w:szCs w:val="16"/>
              </w:rPr>
              <w:t>. 2500/3000</w:t>
            </w:r>
          </w:p>
        </w:tc>
        <w:tc>
          <w:tcPr>
            <w:tcW w:w="1276" w:type="dxa"/>
          </w:tcPr>
          <w:p w14:paraId="394B42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73DCD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390211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F6EDF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746A7A9" w14:textId="77777777">
        <w:tc>
          <w:tcPr>
            <w:tcW w:w="1024" w:type="dxa"/>
          </w:tcPr>
          <w:p w14:paraId="226571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AE0F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w:t>
            </w:r>
          </w:p>
        </w:tc>
        <w:tc>
          <w:tcPr>
            <w:tcW w:w="1746" w:type="dxa"/>
          </w:tcPr>
          <w:p w14:paraId="38A317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Тяж. бомб.</w:t>
            </w:r>
          </w:p>
        </w:tc>
        <w:tc>
          <w:tcPr>
            <w:tcW w:w="1276" w:type="dxa"/>
          </w:tcPr>
          <w:p w14:paraId="63BB2D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ТБ3-4М35/</w:t>
            </w:r>
          </w:p>
        </w:tc>
        <w:tc>
          <w:tcPr>
            <w:tcW w:w="1134" w:type="dxa"/>
          </w:tcPr>
          <w:p w14:paraId="1EC499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822" w:type="dxa"/>
          </w:tcPr>
          <w:p w14:paraId="77441F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B898F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250000</w:t>
            </w:r>
          </w:p>
        </w:tc>
      </w:tr>
      <w:tr w:rsidR="00A259BD" w:rsidRPr="00A259BD" w14:paraId="70FABC91" w14:textId="77777777">
        <w:tc>
          <w:tcPr>
            <w:tcW w:w="1024" w:type="dxa"/>
          </w:tcPr>
          <w:p w14:paraId="2C9AD0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4F74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52280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метал.</w:t>
            </w:r>
          </w:p>
        </w:tc>
        <w:tc>
          <w:tcPr>
            <w:tcW w:w="1276" w:type="dxa"/>
          </w:tcPr>
          <w:p w14:paraId="77ABF1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A4D60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258ADA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AF7D6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5B78129" w14:textId="77777777">
        <w:tc>
          <w:tcPr>
            <w:tcW w:w="1024" w:type="dxa"/>
          </w:tcPr>
          <w:p w14:paraId="5E20F0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AABE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215EBB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w:t>
            </w:r>
            <w:proofErr w:type="spellStart"/>
            <w:r w:rsidRPr="00A259BD">
              <w:rPr>
                <w:rFonts w:ascii="Times New Roman" w:hAnsi="Times New Roman"/>
                <w:color w:val="000000" w:themeColor="text1"/>
                <w:sz w:val="16"/>
                <w:szCs w:val="16"/>
              </w:rPr>
              <w:t>нагр</w:t>
            </w:r>
            <w:proofErr w:type="spellEnd"/>
            <w:r w:rsidRPr="00A259BD">
              <w:rPr>
                <w:rFonts w:ascii="Times New Roman" w:hAnsi="Times New Roman"/>
                <w:color w:val="000000" w:themeColor="text1"/>
                <w:sz w:val="16"/>
                <w:szCs w:val="16"/>
              </w:rPr>
              <w:t>. 5000</w:t>
            </w:r>
          </w:p>
        </w:tc>
        <w:tc>
          <w:tcPr>
            <w:tcW w:w="1276" w:type="dxa"/>
          </w:tcPr>
          <w:p w14:paraId="4A5238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F508A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5FE15E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3F915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74330B6" w14:textId="77777777">
        <w:tc>
          <w:tcPr>
            <w:tcW w:w="1024" w:type="dxa"/>
          </w:tcPr>
          <w:p w14:paraId="4BE2F3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9844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w:t>
            </w:r>
          </w:p>
        </w:tc>
        <w:tc>
          <w:tcPr>
            <w:tcW w:w="1746" w:type="dxa"/>
          </w:tcPr>
          <w:p w14:paraId="588857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торпед.</w:t>
            </w:r>
          </w:p>
        </w:tc>
        <w:tc>
          <w:tcPr>
            <w:tcW w:w="1276" w:type="dxa"/>
          </w:tcPr>
          <w:p w14:paraId="018875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Т-ББМВ6</w:t>
            </w:r>
          </w:p>
        </w:tc>
        <w:tc>
          <w:tcPr>
            <w:tcW w:w="1134" w:type="dxa"/>
          </w:tcPr>
          <w:p w14:paraId="6B19A9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c>
          <w:tcPr>
            <w:tcW w:w="822" w:type="dxa"/>
          </w:tcPr>
          <w:p w14:paraId="528F3F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C8E39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50000</w:t>
            </w:r>
          </w:p>
        </w:tc>
      </w:tr>
      <w:tr w:rsidR="00A259BD" w:rsidRPr="00A259BD" w14:paraId="2030011A" w14:textId="77777777">
        <w:tc>
          <w:tcPr>
            <w:tcW w:w="1024" w:type="dxa"/>
          </w:tcPr>
          <w:p w14:paraId="47B0A9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60CF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200D18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сухоп</w:t>
            </w:r>
            <w:proofErr w:type="spellEnd"/>
            <w:r w:rsidRPr="00A259BD">
              <w:rPr>
                <w:rFonts w:ascii="Times New Roman" w:hAnsi="Times New Roman"/>
                <w:color w:val="000000" w:themeColor="text1"/>
                <w:sz w:val="16"/>
                <w:szCs w:val="16"/>
              </w:rPr>
              <w:t>. метал.</w:t>
            </w:r>
          </w:p>
        </w:tc>
        <w:tc>
          <w:tcPr>
            <w:tcW w:w="1276" w:type="dxa"/>
          </w:tcPr>
          <w:p w14:paraId="3160F8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или М30</w:t>
            </w:r>
          </w:p>
        </w:tc>
        <w:tc>
          <w:tcPr>
            <w:tcW w:w="1134" w:type="dxa"/>
          </w:tcPr>
          <w:p w14:paraId="702372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AE003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EE05B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8042C8C" w14:textId="77777777">
        <w:tc>
          <w:tcPr>
            <w:tcW w:w="1024" w:type="dxa"/>
          </w:tcPr>
          <w:p w14:paraId="6CA70C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Штурм.</w:t>
            </w:r>
          </w:p>
        </w:tc>
        <w:tc>
          <w:tcPr>
            <w:tcW w:w="1024" w:type="dxa"/>
          </w:tcPr>
          <w:p w14:paraId="5F9949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w:t>
            </w:r>
          </w:p>
        </w:tc>
        <w:tc>
          <w:tcPr>
            <w:tcW w:w="1746" w:type="dxa"/>
          </w:tcPr>
          <w:p w14:paraId="169FCA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Штурм. </w:t>
            </w:r>
            <w:proofErr w:type="spellStart"/>
            <w:r w:rsidRPr="00A259BD">
              <w:rPr>
                <w:rFonts w:ascii="Times New Roman" w:hAnsi="Times New Roman"/>
                <w:color w:val="000000" w:themeColor="text1"/>
                <w:sz w:val="16"/>
                <w:szCs w:val="16"/>
              </w:rPr>
              <w:t>легк</w:t>
            </w:r>
            <w:proofErr w:type="spellEnd"/>
            <w:r w:rsidRPr="00A259BD">
              <w:rPr>
                <w:rFonts w:ascii="Times New Roman" w:hAnsi="Times New Roman"/>
                <w:color w:val="000000" w:themeColor="text1"/>
                <w:sz w:val="16"/>
                <w:szCs w:val="16"/>
              </w:rPr>
              <w:t>.</w:t>
            </w:r>
          </w:p>
        </w:tc>
        <w:tc>
          <w:tcPr>
            <w:tcW w:w="1276" w:type="dxa"/>
          </w:tcPr>
          <w:p w14:paraId="0B1B06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ШЛ-400/600</w:t>
            </w:r>
          </w:p>
        </w:tc>
        <w:tc>
          <w:tcPr>
            <w:tcW w:w="1134" w:type="dxa"/>
          </w:tcPr>
          <w:p w14:paraId="26D319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822" w:type="dxa"/>
          </w:tcPr>
          <w:p w14:paraId="0B91DE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6077A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w:t>
            </w:r>
          </w:p>
        </w:tc>
      </w:tr>
      <w:tr w:rsidR="00A259BD" w:rsidRPr="00A259BD" w14:paraId="49A393CF" w14:textId="77777777">
        <w:tc>
          <w:tcPr>
            <w:tcW w:w="1024" w:type="dxa"/>
          </w:tcPr>
          <w:p w14:paraId="732DA4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1D80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w:t>
            </w:r>
          </w:p>
        </w:tc>
        <w:tc>
          <w:tcPr>
            <w:tcW w:w="1746" w:type="dxa"/>
          </w:tcPr>
          <w:p w14:paraId="3BCD00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Штурм. тяж.</w:t>
            </w:r>
          </w:p>
        </w:tc>
        <w:tc>
          <w:tcPr>
            <w:tcW w:w="1276" w:type="dxa"/>
          </w:tcPr>
          <w:p w14:paraId="4295F0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ШТ-2БМВ6</w:t>
            </w:r>
          </w:p>
        </w:tc>
        <w:tc>
          <w:tcPr>
            <w:tcW w:w="1134" w:type="dxa"/>
          </w:tcPr>
          <w:p w14:paraId="0D353A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822" w:type="dxa"/>
          </w:tcPr>
          <w:p w14:paraId="4E039D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BC82E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50000</w:t>
            </w:r>
          </w:p>
        </w:tc>
      </w:tr>
      <w:tr w:rsidR="00A259BD" w:rsidRPr="00A259BD" w14:paraId="734A9862" w14:textId="77777777">
        <w:tc>
          <w:tcPr>
            <w:tcW w:w="1024" w:type="dxa"/>
          </w:tcPr>
          <w:p w14:paraId="236A53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Морские</w:t>
            </w:r>
          </w:p>
        </w:tc>
        <w:tc>
          <w:tcPr>
            <w:tcW w:w="1024" w:type="dxa"/>
          </w:tcPr>
          <w:p w14:paraId="411328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w:t>
            </w:r>
          </w:p>
        </w:tc>
        <w:tc>
          <w:tcPr>
            <w:tcW w:w="1746" w:type="dxa"/>
          </w:tcPr>
          <w:p w14:paraId="16F361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Разв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откр</w:t>
            </w:r>
            <w:proofErr w:type="spellEnd"/>
            <w:r w:rsidRPr="00A259BD">
              <w:rPr>
                <w:rFonts w:ascii="Times New Roman" w:hAnsi="Times New Roman"/>
                <w:color w:val="000000" w:themeColor="text1"/>
                <w:sz w:val="16"/>
                <w:szCs w:val="16"/>
              </w:rPr>
              <w:t>.</w:t>
            </w:r>
          </w:p>
        </w:tc>
        <w:tc>
          <w:tcPr>
            <w:tcW w:w="1276" w:type="dxa"/>
          </w:tcPr>
          <w:p w14:paraId="11DECE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РОМ2-2БМВ6</w:t>
            </w:r>
          </w:p>
        </w:tc>
        <w:tc>
          <w:tcPr>
            <w:tcW w:w="1134" w:type="dxa"/>
          </w:tcPr>
          <w:p w14:paraId="2B9CF1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3EE12F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FE51B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350000</w:t>
            </w:r>
          </w:p>
        </w:tc>
      </w:tr>
      <w:tr w:rsidR="00A259BD" w:rsidRPr="00A259BD" w14:paraId="0CC8E39B" w14:textId="77777777">
        <w:tc>
          <w:tcPr>
            <w:tcW w:w="1024" w:type="dxa"/>
          </w:tcPr>
          <w:p w14:paraId="0FC4D4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w:t>
            </w:r>
          </w:p>
        </w:tc>
        <w:tc>
          <w:tcPr>
            <w:tcW w:w="1024" w:type="dxa"/>
          </w:tcPr>
          <w:p w14:paraId="0D123D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FC2F7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моря</w:t>
            </w:r>
          </w:p>
        </w:tc>
        <w:tc>
          <w:tcPr>
            <w:tcW w:w="1276" w:type="dxa"/>
          </w:tcPr>
          <w:p w14:paraId="45ADA7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20B04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6BAABA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FBE26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B507CAF" w14:textId="77777777">
        <w:tc>
          <w:tcPr>
            <w:tcW w:w="1024" w:type="dxa"/>
          </w:tcPr>
          <w:p w14:paraId="11D066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EDE2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w:t>
            </w:r>
          </w:p>
        </w:tc>
        <w:tc>
          <w:tcPr>
            <w:tcW w:w="1746" w:type="dxa"/>
          </w:tcPr>
          <w:p w14:paraId="7B0CEF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Морск</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разв</w:t>
            </w:r>
            <w:proofErr w:type="spellEnd"/>
            <w:r w:rsidRPr="00A259BD">
              <w:rPr>
                <w:rFonts w:ascii="Times New Roman" w:hAnsi="Times New Roman"/>
                <w:color w:val="000000" w:themeColor="text1"/>
                <w:sz w:val="16"/>
                <w:szCs w:val="16"/>
              </w:rPr>
              <w:t>.</w:t>
            </w:r>
          </w:p>
        </w:tc>
        <w:tc>
          <w:tcPr>
            <w:tcW w:w="1276" w:type="dxa"/>
          </w:tcPr>
          <w:p w14:paraId="3A512F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МР5-БМВ6</w:t>
            </w:r>
          </w:p>
        </w:tc>
        <w:tc>
          <w:tcPr>
            <w:tcW w:w="1134" w:type="dxa"/>
          </w:tcPr>
          <w:p w14:paraId="579388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51F44E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4786F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175000</w:t>
            </w:r>
          </w:p>
        </w:tc>
      </w:tr>
      <w:tr w:rsidR="00A259BD" w:rsidRPr="00A259BD" w14:paraId="2475098F" w14:textId="77777777">
        <w:tc>
          <w:tcPr>
            <w:tcW w:w="1024" w:type="dxa"/>
          </w:tcPr>
          <w:p w14:paraId="19CC13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0C4C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3D176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базов. </w:t>
            </w:r>
            <w:proofErr w:type="spellStart"/>
            <w:r w:rsidRPr="00A259BD">
              <w:rPr>
                <w:rFonts w:ascii="Times New Roman" w:hAnsi="Times New Roman"/>
                <w:color w:val="000000" w:themeColor="text1"/>
                <w:sz w:val="16"/>
                <w:szCs w:val="16"/>
              </w:rPr>
              <w:t>лодочн</w:t>
            </w:r>
            <w:proofErr w:type="spellEnd"/>
            <w:r w:rsidRPr="00A259BD">
              <w:rPr>
                <w:rFonts w:ascii="Times New Roman" w:hAnsi="Times New Roman"/>
                <w:color w:val="000000" w:themeColor="text1"/>
                <w:sz w:val="16"/>
                <w:szCs w:val="16"/>
              </w:rPr>
              <w:t>.</w:t>
            </w:r>
          </w:p>
        </w:tc>
        <w:tc>
          <w:tcPr>
            <w:tcW w:w="1276" w:type="dxa"/>
          </w:tcPr>
          <w:p w14:paraId="15C7E7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11550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9BC8B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138A0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9E843B7" w14:textId="77777777">
        <w:tc>
          <w:tcPr>
            <w:tcW w:w="1024" w:type="dxa"/>
          </w:tcPr>
          <w:p w14:paraId="38FC8A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6CF6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w:t>
            </w:r>
          </w:p>
        </w:tc>
        <w:tc>
          <w:tcPr>
            <w:tcW w:w="1746" w:type="dxa"/>
          </w:tcPr>
          <w:p w14:paraId="2E2C4C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Морск</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разв</w:t>
            </w:r>
            <w:proofErr w:type="spellEnd"/>
            <w:r w:rsidRPr="00A259BD">
              <w:rPr>
                <w:rFonts w:ascii="Times New Roman" w:hAnsi="Times New Roman"/>
                <w:color w:val="000000" w:themeColor="text1"/>
                <w:sz w:val="16"/>
                <w:szCs w:val="16"/>
              </w:rPr>
              <w:t>.</w:t>
            </w:r>
          </w:p>
        </w:tc>
        <w:tc>
          <w:tcPr>
            <w:tcW w:w="1276" w:type="dxa"/>
          </w:tcPr>
          <w:p w14:paraId="747046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МР6-БМВ6</w:t>
            </w:r>
          </w:p>
        </w:tc>
        <w:tc>
          <w:tcPr>
            <w:tcW w:w="1134" w:type="dxa"/>
          </w:tcPr>
          <w:p w14:paraId="125454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48445E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1E3C4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w:t>
            </w:r>
          </w:p>
        </w:tc>
      </w:tr>
      <w:tr w:rsidR="00A259BD" w:rsidRPr="00A259BD" w14:paraId="78F5C2D0" w14:textId="77777777">
        <w:tc>
          <w:tcPr>
            <w:tcW w:w="1024" w:type="dxa"/>
          </w:tcPr>
          <w:p w14:paraId="7E7A84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3AC6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12D52A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базов. </w:t>
            </w:r>
            <w:proofErr w:type="spellStart"/>
            <w:r w:rsidRPr="00A259BD">
              <w:rPr>
                <w:rFonts w:ascii="Times New Roman" w:hAnsi="Times New Roman"/>
                <w:color w:val="000000" w:themeColor="text1"/>
                <w:sz w:val="16"/>
                <w:szCs w:val="16"/>
              </w:rPr>
              <w:t>лод</w:t>
            </w:r>
            <w:proofErr w:type="spellEnd"/>
            <w:r w:rsidRPr="00A259BD">
              <w:rPr>
                <w:rFonts w:ascii="Times New Roman" w:hAnsi="Times New Roman"/>
                <w:color w:val="000000" w:themeColor="text1"/>
                <w:sz w:val="16"/>
                <w:szCs w:val="16"/>
              </w:rPr>
              <w:t>. Ришара</w:t>
            </w:r>
          </w:p>
        </w:tc>
        <w:tc>
          <w:tcPr>
            <w:tcW w:w="1276" w:type="dxa"/>
          </w:tcPr>
          <w:p w14:paraId="16DB67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A1547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D6636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5487D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76502A3" w14:textId="77777777">
        <w:tc>
          <w:tcPr>
            <w:tcW w:w="1024" w:type="dxa"/>
          </w:tcPr>
          <w:p w14:paraId="073FA5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C721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w:t>
            </w:r>
          </w:p>
        </w:tc>
        <w:tc>
          <w:tcPr>
            <w:tcW w:w="1746" w:type="dxa"/>
          </w:tcPr>
          <w:p w14:paraId="056E47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Торпед. </w:t>
            </w:r>
            <w:proofErr w:type="spellStart"/>
            <w:r w:rsidRPr="00A259BD">
              <w:rPr>
                <w:rFonts w:ascii="Times New Roman" w:hAnsi="Times New Roman"/>
                <w:color w:val="000000" w:themeColor="text1"/>
                <w:sz w:val="16"/>
                <w:szCs w:val="16"/>
              </w:rPr>
              <w:t>откр</w:t>
            </w:r>
            <w:proofErr w:type="spellEnd"/>
            <w:r w:rsidRPr="00A259BD">
              <w:rPr>
                <w:rFonts w:ascii="Times New Roman" w:hAnsi="Times New Roman"/>
                <w:color w:val="000000" w:themeColor="text1"/>
                <w:sz w:val="16"/>
                <w:szCs w:val="16"/>
              </w:rPr>
              <w:t>.</w:t>
            </w:r>
          </w:p>
        </w:tc>
        <w:tc>
          <w:tcPr>
            <w:tcW w:w="1276" w:type="dxa"/>
          </w:tcPr>
          <w:p w14:paraId="72BF02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ТОМ2-2БМВ6</w:t>
            </w:r>
          </w:p>
        </w:tc>
        <w:tc>
          <w:tcPr>
            <w:tcW w:w="1134" w:type="dxa"/>
          </w:tcPr>
          <w:p w14:paraId="24C8CF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46DD32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EF3BB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w:t>
            </w:r>
          </w:p>
        </w:tc>
      </w:tr>
      <w:tr w:rsidR="00A259BD" w:rsidRPr="00A259BD" w14:paraId="0BF72DC4" w14:textId="77777777">
        <w:tc>
          <w:tcPr>
            <w:tcW w:w="1024" w:type="dxa"/>
          </w:tcPr>
          <w:p w14:paraId="592311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678B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C5320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моря</w:t>
            </w:r>
          </w:p>
        </w:tc>
        <w:tc>
          <w:tcPr>
            <w:tcW w:w="1276" w:type="dxa"/>
          </w:tcPr>
          <w:p w14:paraId="4C1A6D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CEEB9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5D58D9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48FCE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9C20724" w14:textId="77777777">
        <w:tc>
          <w:tcPr>
            <w:tcW w:w="1024" w:type="dxa"/>
          </w:tcPr>
          <w:p w14:paraId="24A376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15F0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w:t>
            </w:r>
          </w:p>
        </w:tc>
        <w:tc>
          <w:tcPr>
            <w:tcW w:w="1746" w:type="dxa"/>
          </w:tcPr>
          <w:p w14:paraId="1AB79A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Торппед</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откр</w:t>
            </w:r>
            <w:proofErr w:type="spellEnd"/>
            <w:r w:rsidRPr="00A259BD">
              <w:rPr>
                <w:rFonts w:ascii="Times New Roman" w:hAnsi="Times New Roman"/>
                <w:color w:val="000000" w:themeColor="text1"/>
                <w:sz w:val="16"/>
                <w:szCs w:val="16"/>
              </w:rPr>
              <w:t>.</w:t>
            </w:r>
          </w:p>
        </w:tc>
        <w:tc>
          <w:tcPr>
            <w:tcW w:w="1276" w:type="dxa"/>
          </w:tcPr>
          <w:p w14:paraId="109F44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ТОМ3-2М33</w:t>
            </w:r>
          </w:p>
        </w:tc>
        <w:tc>
          <w:tcPr>
            <w:tcW w:w="1134" w:type="dxa"/>
          </w:tcPr>
          <w:p w14:paraId="49106B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15E9A1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ED483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400000</w:t>
            </w:r>
          </w:p>
        </w:tc>
      </w:tr>
      <w:tr w:rsidR="00A259BD" w:rsidRPr="00A259BD" w14:paraId="6A8FFF07" w14:textId="77777777">
        <w:tc>
          <w:tcPr>
            <w:tcW w:w="1024" w:type="dxa"/>
          </w:tcPr>
          <w:p w14:paraId="2398F2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9D08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C49A5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моря</w:t>
            </w:r>
          </w:p>
        </w:tc>
        <w:tc>
          <w:tcPr>
            <w:tcW w:w="1276" w:type="dxa"/>
          </w:tcPr>
          <w:p w14:paraId="4071FC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002FE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3DF3F6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339C6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1183EE8" w14:textId="77777777">
        <w:tc>
          <w:tcPr>
            <w:tcW w:w="1024" w:type="dxa"/>
          </w:tcPr>
          <w:p w14:paraId="3137A6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F994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tc>
        <w:tc>
          <w:tcPr>
            <w:tcW w:w="1746" w:type="dxa"/>
          </w:tcPr>
          <w:p w14:paraId="07B342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Катапулт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разв</w:t>
            </w:r>
            <w:proofErr w:type="spellEnd"/>
            <w:r w:rsidRPr="00A259BD">
              <w:rPr>
                <w:rFonts w:ascii="Times New Roman" w:hAnsi="Times New Roman"/>
                <w:color w:val="000000" w:themeColor="text1"/>
                <w:sz w:val="16"/>
                <w:szCs w:val="16"/>
              </w:rPr>
              <w:t>.</w:t>
            </w:r>
          </w:p>
        </w:tc>
        <w:tc>
          <w:tcPr>
            <w:tcW w:w="1276" w:type="dxa"/>
          </w:tcPr>
          <w:p w14:paraId="030709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КР1-Юп6</w:t>
            </w:r>
          </w:p>
        </w:tc>
        <w:tc>
          <w:tcPr>
            <w:tcW w:w="1134" w:type="dxa"/>
          </w:tcPr>
          <w:p w14:paraId="3FF850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Хейнкель</w:t>
            </w:r>
          </w:p>
        </w:tc>
        <w:tc>
          <w:tcPr>
            <w:tcW w:w="822" w:type="dxa"/>
          </w:tcPr>
          <w:p w14:paraId="344384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D3C65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w:t>
            </w:r>
          </w:p>
        </w:tc>
      </w:tr>
      <w:tr w:rsidR="00A259BD" w:rsidRPr="00A259BD" w14:paraId="2A30031A" w14:textId="77777777">
        <w:tc>
          <w:tcPr>
            <w:tcW w:w="1024" w:type="dxa"/>
          </w:tcPr>
          <w:p w14:paraId="0A3221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2AB0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0B7D6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лодочн</w:t>
            </w:r>
            <w:proofErr w:type="spellEnd"/>
            <w:r w:rsidRPr="00A259BD">
              <w:rPr>
                <w:rFonts w:ascii="Times New Roman" w:hAnsi="Times New Roman"/>
                <w:color w:val="000000" w:themeColor="text1"/>
                <w:sz w:val="16"/>
                <w:szCs w:val="16"/>
              </w:rPr>
              <w:t>.</w:t>
            </w:r>
          </w:p>
        </w:tc>
        <w:tc>
          <w:tcPr>
            <w:tcW w:w="1276" w:type="dxa"/>
          </w:tcPr>
          <w:p w14:paraId="67B44F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B69C6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73FF72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9D9F8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0CDEBAC" w14:textId="77777777">
        <w:tc>
          <w:tcPr>
            <w:tcW w:w="1024" w:type="dxa"/>
          </w:tcPr>
          <w:p w14:paraId="0EF3D6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6DA0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w:t>
            </w:r>
          </w:p>
        </w:tc>
        <w:tc>
          <w:tcPr>
            <w:tcW w:w="1746" w:type="dxa"/>
          </w:tcPr>
          <w:p w14:paraId="77AC47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Учебн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лод</w:t>
            </w:r>
            <w:proofErr w:type="spellEnd"/>
            <w:r w:rsidRPr="00A259BD">
              <w:rPr>
                <w:rFonts w:ascii="Times New Roman" w:hAnsi="Times New Roman"/>
                <w:color w:val="000000" w:themeColor="text1"/>
                <w:sz w:val="16"/>
                <w:szCs w:val="16"/>
              </w:rPr>
              <w:t>.</w:t>
            </w:r>
          </w:p>
        </w:tc>
        <w:tc>
          <w:tcPr>
            <w:tcW w:w="1276" w:type="dxa"/>
          </w:tcPr>
          <w:p w14:paraId="273822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МУ2-М11</w:t>
            </w:r>
          </w:p>
        </w:tc>
        <w:tc>
          <w:tcPr>
            <w:tcW w:w="1134" w:type="dxa"/>
          </w:tcPr>
          <w:p w14:paraId="2F9CC8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2CB18F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2DCEF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130000</w:t>
            </w:r>
          </w:p>
        </w:tc>
      </w:tr>
      <w:tr w:rsidR="00A259BD" w:rsidRPr="00A259BD" w14:paraId="7E0D4124" w14:textId="77777777">
        <w:tc>
          <w:tcPr>
            <w:tcW w:w="1024" w:type="dxa"/>
          </w:tcPr>
          <w:p w14:paraId="56D711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D6C4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w:t>
            </w:r>
          </w:p>
        </w:tc>
        <w:tc>
          <w:tcPr>
            <w:tcW w:w="1746" w:type="dxa"/>
          </w:tcPr>
          <w:p w14:paraId="3146E0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Развит. МУ-2</w:t>
            </w:r>
          </w:p>
        </w:tc>
        <w:tc>
          <w:tcPr>
            <w:tcW w:w="1276" w:type="dxa"/>
          </w:tcPr>
          <w:p w14:paraId="072FC2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МУ3-М11</w:t>
            </w:r>
          </w:p>
        </w:tc>
        <w:tc>
          <w:tcPr>
            <w:tcW w:w="1134" w:type="dxa"/>
          </w:tcPr>
          <w:p w14:paraId="4E45C9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666219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C7E8D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120000</w:t>
            </w:r>
          </w:p>
        </w:tc>
      </w:tr>
      <w:tr w:rsidR="00A259BD" w:rsidRPr="00A259BD" w14:paraId="41991954" w14:textId="77777777">
        <w:tc>
          <w:tcPr>
            <w:tcW w:w="1024" w:type="dxa"/>
          </w:tcPr>
          <w:p w14:paraId="5D88FD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715E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w:t>
            </w:r>
          </w:p>
        </w:tc>
        <w:tc>
          <w:tcPr>
            <w:tcW w:w="1746" w:type="dxa"/>
          </w:tcPr>
          <w:p w14:paraId="7736E6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02CE4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5365B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316FC2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78C04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76CD1C5" w14:textId="77777777">
        <w:tc>
          <w:tcPr>
            <w:tcW w:w="1024" w:type="dxa"/>
          </w:tcPr>
          <w:p w14:paraId="296D8A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70BC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w:t>
            </w:r>
          </w:p>
        </w:tc>
        <w:tc>
          <w:tcPr>
            <w:tcW w:w="1746" w:type="dxa"/>
          </w:tcPr>
          <w:p w14:paraId="01F938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0F77C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1825D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14C26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16E81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B70731E" w14:textId="77777777">
        <w:tc>
          <w:tcPr>
            <w:tcW w:w="1024" w:type="dxa"/>
          </w:tcPr>
          <w:p w14:paraId="14B83A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A342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w:t>
            </w:r>
          </w:p>
        </w:tc>
        <w:tc>
          <w:tcPr>
            <w:tcW w:w="1746" w:type="dxa"/>
          </w:tcPr>
          <w:p w14:paraId="643FA2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Развит. РОМ2</w:t>
            </w:r>
          </w:p>
        </w:tc>
        <w:tc>
          <w:tcPr>
            <w:tcW w:w="1276" w:type="dxa"/>
          </w:tcPr>
          <w:p w14:paraId="785878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РОМ3-2БМВ6</w:t>
            </w:r>
          </w:p>
        </w:tc>
        <w:tc>
          <w:tcPr>
            <w:tcW w:w="1134" w:type="dxa"/>
          </w:tcPr>
          <w:p w14:paraId="751DC7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128214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36BD8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39A2893" w14:textId="77777777">
        <w:tc>
          <w:tcPr>
            <w:tcW w:w="1024" w:type="dxa"/>
          </w:tcPr>
          <w:p w14:paraId="23FD46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93E3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w:t>
            </w:r>
          </w:p>
        </w:tc>
        <w:tc>
          <w:tcPr>
            <w:tcW w:w="1746" w:type="dxa"/>
          </w:tcPr>
          <w:p w14:paraId="329ACC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Развит. РОМ3</w:t>
            </w:r>
          </w:p>
        </w:tc>
        <w:tc>
          <w:tcPr>
            <w:tcW w:w="1276" w:type="dxa"/>
          </w:tcPr>
          <w:p w14:paraId="779376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РОМ4-2М34Р</w:t>
            </w:r>
          </w:p>
        </w:tc>
        <w:tc>
          <w:tcPr>
            <w:tcW w:w="1134" w:type="dxa"/>
          </w:tcPr>
          <w:p w14:paraId="6F23B9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489C67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34185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13CCFC3" w14:textId="77777777">
        <w:tc>
          <w:tcPr>
            <w:tcW w:w="1024" w:type="dxa"/>
          </w:tcPr>
          <w:p w14:paraId="7C137B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87E0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w:t>
            </w:r>
          </w:p>
        </w:tc>
        <w:tc>
          <w:tcPr>
            <w:tcW w:w="1746" w:type="dxa"/>
          </w:tcPr>
          <w:p w14:paraId="01CD3D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Развит. МР5</w:t>
            </w:r>
          </w:p>
        </w:tc>
        <w:tc>
          <w:tcPr>
            <w:tcW w:w="1276" w:type="dxa"/>
          </w:tcPr>
          <w:p w14:paraId="39B056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МР7-БМВ6,7,3</w:t>
            </w:r>
          </w:p>
        </w:tc>
        <w:tc>
          <w:tcPr>
            <w:tcW w:w="1134" w:type="dxa"/>
          </w:tcPr>
          <w:p w14:paraId="3CEA38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008C80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92DE8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4E2C62B" w14:textId="77777777">
        <w:tc>
          <w:tcPr>
            <w:tcW w:w="1024" w:type="dxa"/>
          </w:tcPr>
          <w:p w14:paraId="74FB54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ED4B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w:t>
            </w:r>
          </w:p>
        </w:tc>
        <w:tc>
          <w:tcPr>
            <w:tcW w:w="1746" w:type="dxa"/>
          </w:tcPr>
          <w:p w14:paraId="728637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Катап</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разведч</w:t>
            </w:r>
            <w:proofErr w:type="spellEnd"/>
            <w:r w:rsidRPr="00A259BD">
              <w:rPr>
                <w:rFonts w:ascii="Times New Roman" w:hAnsi="Times New Roman"/>
                <w:color w:val="000000" w:themeColor="text1"/>
                <w:sz w:val="16"/>
                <w:szCs w:val="16"/>
              </w:rPr>
              <w:t>.</w:t>
            </w:r>
          </w:p>
        </w:tc>
        <w:tc>
          <w:tcPr>
            <w:tcW w:w="1276" w:type="dxa"/>
          </w:tcPr>
          <w:p w14:paraId="221123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КР2-М38</w:t>
            </w:r>
          </w:p>
        </w:tc>
        <w:tc>
          <w:tcPr>
            <w:tcW w:w="1134" w:type="dxa"/>
          </w:tcPr>
          <w:p w14:paraId="0693B9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6C37F9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A7A67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7A43020" w14:textId="77777777">
        <w:tc>
          <w:tcPr>
            <w:tcW w:w="1024" w:type="dxa"/>
          </w:tcPr>
          <w:p w14:paraId="0AD919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B2CC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49</w:t>
            </w:r>
          </w:p>
        </w:tc>
        <w:tc>
          <w:tcPr>
            <w:tcW w:w="1746" w:type="dxa"/>
          </w:tcPr>
          <w:p w14:paraId="776629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Амф</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легк</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разв</w:t>
            </w:r>
            <w:proofErr w:type="spellEnd"/>
            <w:r w:rsidRPr="00A259BD">
              <w:rPr>
                <w:rFonts w:ascii="Times New Roman" w:hAnsi="Times New Roman"/>
                <w:color w:val="000000" w:themeColor="text1"/>
                <w:sz w:val="16"/>
                <w:szCs w:val="16"/>
              </w:rPr>
              <w:t>.</w:t>
            </w:r>
          </w:p>
        </w:tc>
        <w:tc>
          <w:tcPr>
            <w:tcW w:w="1276" w:type="dxa"/>
          </w:tcPr>
          <w:p w14:paraId="2547C4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АЛ-М37</w:t>
            </w:r>
          </w:p>
        </w:tc>
        <w:tc>
          <w:tcPr>
            <w:tcW w:w="1134" w:type="dxa"/>
          </w:tcPr>
          <w:p w14:paraId="4D4377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304E16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EB16C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F299BAA" w14:textId="77777777">
        <w:tc>
          <w:tcPr>
            <w:tcW w:w="1024" w:type="dxa"/>
          </w:tcPr>
          <w:p w14:paraId="30D703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A7A7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tc>
        <w:tc>
          <w:tcPr>
            <w:tcW w:w="1746" w:type="dxa"/>
          </w:tcPr>
          <w:p w14:paraId="11C628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Амф</w:t>
            </w:r>
            <w:proofErr w:type="spellEnd"/>
            <w:r w:rsidRPr="00A259BD">
              <w:rPr>
                <w:rFonts w:ascii="Times New Roman" w:hAnsi="Times New Roman"/>
                <w:color w:val="000000" w:themeColor="text1"/>
                <w:sz w:val="16"/>
                <w:szCs w:val="16"/>
              </w:rPr>
              <w:t xml:space="preserve">. тяж. </w:t>
            </w:r>
            <w:proofErr w:type="spellStart"/>
            <w:r w:rsidRPr="00A259BD">
              <w:rPr>
                <w:rFonts w:ascii="Times New Roman" w:hAnsi="Times New Roman"/>
                <w:color w:val="000000" w:themeColor="text1"/>
                <w:sz w:val="16"/>
                <w:szCs w:val="16"/>
              </w:rPr>
              <w:t>разв</w:t>
            </w:r>
            <w:proofErr w:type="spellEnd"/>
            <w:r w:rsidRPr="00A259BD">
              <w:rPr>
                <w:rFonts w:ascii="Times New Roman" w:hAnsi="Times New Roman"/>
                <w:color w:val="000000" w:themeColor="text1"/>
                <w:sz w:val="16"/>
                <w:szCs w:val="16"/>
              </w:rPr>
              <w:t>.</w:t>
            </w:r>
          </w:p>
        </w:tc>
        <w:tc>
          <w:tcPr>
            <w:tcW w:w="1276" w:type="dxa"/>
          </w:tcPr>
          <w:p w14:paraId="7A16CD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АТ-2М34Р</w:t>
            </w:r>
          </w:p>
        </w:tc>
        <w:tc>
          <w:tcPr>
            <w:tcW w:w="1134" w:type="dxa"/>
          </w:tcPr>
          <w:p w14:paraId="57E41E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6574F8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37D0B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B548775" w14:textId="77777777">
        <w:tc>
          <w:tcPr>
            <w:tcW w:w="1024" w:type="dxa"/>
          </w:tcPr>
          <w:p w14:paraId="7A45C1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1904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w:t>
            </w:r>
          </w:p>
        </w:tc>
        <w:tc>
          <w:tcPr>
            <w:tcW w:w="1746" w:type="dxa"/>
          </w:tcPr>
          <w:p w14:paraId="17C4EC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Морск</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крейс</w:t>
            </w:r>
            <w:proofErr w:type="spellEnd"/>
            <w:r w:rsidRPr="00A259BD">
              <w:rPr>
                <w:rFonts w:ascii="Times New Roman" w:hAnsi="Times New Roman"/>
                <w:color w:val="000000" w:themeColor="text1"/>
                <w:sz w:val="16"/>
                <w:szCs w:val="16"/>
              </w:rPr>
              <w:t>.</w:t>
            </w:r>
          </w:p>
        </w:tc>
        <w:tc>
          <w:tcPr>
            <w:tcW w:w="1276" w:type="dxa"/>
          </w:tcPr>
          <w:p w14:paraId="78C067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МК1-3М33</w:t>
            </w:r>
          </w:p>
        </w:tc>
        <w:tc>
          <w:tcPr>
            <w:tcW w:w="1134" w:type="dxa"/>
          </w:tcPr>
          <w:p w14:paraId="08526B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5CF542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7F9F5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A5B31F0" w14:textId="77777777">
        <w:tc>
          <w:tcPr>
            <w:tcW w:w="1024" w:type="dxa"/>
          </w:tcPr>
          <w:p w14:paraId="54DD77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4828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52</w:t>
            </w:r>
          </w:p>
        </w:tc>
        <w:tc>
          <w:tcPr>
            <w:tcW w:w="1746" w:type="dxa"/>
          </w:tcPr>
          <w:p w14:paraId="1E4CDD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Морск</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крейс</w:t>
            </w:r>
            <w:proofErr w:type="spellEnd"/>
            <w:r w:rsidRPr="00A259BD">
              <w:rPr>
                <w:rFonts w:ascii="Times New Roman" w:hAnsi="Times New Roman"/>
                <w:color w:val="000000" w:themeColor="text1"/>
                <w:sz w:val="16"/>
                <w:szCs w:val="16"/>
              </w:rPr>
              <w:t>.</w:t>
            </w:r>
          </w:p>
        </w:tc>
        <w:tc>
          <w:tcPr>
            <w:tcW w:w="1276" w:type="dxa"/>
          </w:tcPr>
          <w:p w14:paraId="05E4AA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МК2-3М35</w:t>
            </w:r>
          </w:p>
        </w:tc>
        <w:tc>
          <w:tcPr>
            <w:tcW w:w="1134" w:type="dxa"/>
          </w:tcPr>
          <w:p w14:paraId="306DEB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03FD23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1468B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D68E3C3" w14:textId="77777777">
        <w:tc>
          <w:tcPr>
            <w:tcW w:w="1024" w:type="dxa"/>
          </w:tcPr>
          <w:p w14:paraId="07978E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48FE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w:t>
            </w:r>
          </w:p>
        </w:tc>
        <w:tc>
          <w:tcPr>
            <w:tcW w:w="1746" w:type="dxa"/>
          </w:tcPr>
          <w:p w14:paraId="7760FF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Р5 на </w:t>
            </w:r>
            <w:proofErr w:type="spellStart"/>
            <w:r w:rsidRPr="00A259BD">
              <w:rPr>
                <w:rFonts w:ascii="Times New Roman" w:hAnsi="Times New Roman"/>
                <w:color w:val="000000" w:themeColor="text1"/>
                <w:sz w:val="16"/>
                <w:szCs w:val="16"/>
              </w:rPr>
              <w:t>попл</w:t>
            </w:r>
            <w:proofErr w:type="spellEnd"/>
            <w:r w:rsidRPr="00A259BD">
              <w:rPr>
                <w:rFonts w:ascii="Times New Roman" w:hAnsi="Times New Roman"/>
                <w:color w:val="000000" w:themeColor="text1"/>
                <w:sz w:val="16"/>
                <w:szCs w:val="16"/>
              </w:rPr>
              <w:t>.</w:t>
            </w:r>
          </w:p>
        </w:tc>
        <w:tc>
          <w:tcPr>
            <w:tcW w:w="1276" w:type="dxa"/>
          </w:tcPr>
          <w:p w14:paraId="5F4190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ПР5-БМВ6</w:t>
            </w:r>
          </w:p>
        </w:tc>
        <w:tc>
          <w:tcPr>
            <w:tcW w:w="1134" w:type="dxa"/>
          </w:tcPr>
          <w:p w14:paraId="7144AC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72A7B1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652B1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123DDC2" w14:textId="77777777">
        <w:tc>
          <w:tcPr>
            <w:tcW w:w="1024" w:type="dxa"/>
          </w:tcPr>
          <w:p w14:paraId="4BF695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CA35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54</w:t>
            </w:r>
          </w:p>
        </w:tc>
        <w:tc>
          <w:tcPr>
            <w:tcW w:w="1746" w:type="dxa"/>
          </w:tcPr>
          <w:p w14:paraId="618039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Р7 на </w:t>
            </w:r>
            <w:proofErr w:type="spellStart"/>
            <w:r w:rsidRPr="00A259BD">
              <w:rPr>
                <w:rFonts w:ascii="Times New Roman" w:hAnsi="Times New Roman"/>
                <w:color w:val="000000" w:themeColor="text1"/>
                <w:sz w:val="16"/>
                <w:szCs w:val="16"/>
              </w:rPr>
              <w:t>попл</w:t>
            </w:r>
            <w:proofErr w:type="spellEnd"/>
            <w:r w:rsidRPr="00A259BD">
              <w:rPr>
                <w:rFonts w:ascii="Times New Roman" w:hAnsi="Times New Roman"/>
                <w:color w:val="000000" w:themeColor="text1"/>
                <w:sz w:val="16"/>
                <w:szCs w:val="16"/>
              </w:rPr>
              <w:t>.</w:t>
            </w:r>
          </w:p>
        </w:tc>
        <w:tc>
          <w:tcPr>
            <w:tcW w:w="1276" w:type="dxa"/>
          </w:tcPr>
          <w:p w14:paraId="0F2C6B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ПР7-БМВ6</w:t>
            </w:r>
          </w:p>
        </w:tc>
        <w:tc>
          <w:tcPr>
            <w:tcW w:w="1134" w:type="dxa"/>
          </w:tcPr>
          <w:p w14:paraId="36221D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55E3B5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BBA32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99D9A15" w14:textId="77777777">
        <w:tc>
          <w:tcPr>
            <w:tcW w:w="1024" w:type="dxa"/>
          </w:tcPr>
          <w:p w14:paraId="67FF4D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4DAC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w:t>
            </w:r>
          </w:p>
        </w:tc>
        <w:tc>
          <w:tcPr>
            <w:tcW w:w="1746" w:type="dxa"/>
          </w:tcPr>
          <w:p w14:paraId="66D8D1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И3 на </w:t>
            </w:r>
            <w:proofErr w:type="spellStart"/>
            <w:r w:rsidRPr="00A259BD">
              <w:rPr>
                <w:rFonts w:ascii="Times New Roman" w:hAnsi="Times New Roman"/>
                <w:color w:val="000000" w:themeColor="text1"/>
                <w:sz w:val="16"/>
                <w:szCs w:val="16"/>
              </w:rPr>
              <w:t>попл</w:t>
            </w:r>
            <w:proofErr w:type="spellEnd"/>
            <w:r w:rsidRPr="00A259BD">
              <w:rPr>
                <w:rFonts w:ascii="Times New Roman" w:hAnsi="Times New Roman"/>
                <w:color w:val="000000" w:themeColor="text1"/>
                <w:sz w:val="16"/>
                <w:szCs w:val="16"/>
              </w:rPr>
              <w:t>.</w:t>
            </w:r>
          </w:p>
        </w:tc>
        <w:tc>
          <w:tcPr>
            <w:tcW w:w="1276" w:type="dxa"/>
          </w:tcPr>
          <w:p w14:paraId="26DCBF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ПИ3-БМВ6</w:t>
            </w:r>
          </w:p>
        </w:tc>
        <w:tc>
          <w:tcPr>
            <w:tcW w:w="1134" w:type="dxa"/>
          </w:tcPr>
          <w:p w14:paraId="7DB229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36DC37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9547F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83E5A90" w14:textId="77777777">
        <w:tc>
          <w:tcPr>
            <w:tcW w:w="1024" w:type="dxa"/>
          </w:tcPr>
          <w:p w14:paraId="2E2CFE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3DC3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w:t>
            </w:r>
          </w:p>
        </w:tc>
        <w:tc>
          <w:tcPr>
            <w:tcW w:w="1746" w:type="dxa"/>
          </w:tcPr>
          <w:p w14:paraId="4F7110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И4 на </w:t>
            </w:r>
            <w:proofErr w:type="spellStart"/>
            <w:r w:rsidRPr="00A259BD">
              <w:rPr>
                <w:rFonts w:ascii="Times New Roman" w:hAnsi="Times New Roman"/>
                <w:color w:val="000000" w:themeColor="text1"/>
                <w:sz w:val="16"/>
                <w:szCs w:val="16"/>
              </w:rPr>
              <w:t>попл</w:t>
            </w:r>
            <w:proofErr w:type="spellEnd"/>
            <w:r w:rsidRPr="00A259BD">
              <w:rPr>
                <w:rFonts w:ascii="Times New Roman" w:hAnsi="Times New Roman"/>
                <w:color w:val="000000" w:themeColor="text1"/>
                <w:sz w:val="16"/>
                <w:szCs w:val="16"/>
              </w:rPr>
              <w:t>.</w:t>
            </w:r>
          </w:p>
        </w:tc>
        <w:tc>
          <w:tcPr>
            <w:tcW w:w="1276" w:type="dxa"/>
          </w:tcPr>
          <w:p w14:paraId="3F8A81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ПИ3-Юп6</w:t>
            </w:r>
          </w:p>
        </w:tc>
        <w:tc>
          <w:tcPr>
            <w:tcW w:w="1134" w:type="dxa"/>
          </w:tcPr>
          <w:p w14:paraId="3F9078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246383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8BD7B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772554C" w14:textId="77777777">
        <w:tc>
          <w:tcPr>
            <w:tcW w:w="1024" w:type="dxa"/>
          </w:tcPr>
          <w:p w14:paraId="4B2521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Дополн</w:t>
            </w:r>
            <w:proofErr w:type="spellEnd"/>
            <w:r w:rsidRPr="00A259BD">
              <w:rPr>
                <w:rFonts w:ascii="Times New Roman" w:hAnsi="Times New Roman"/>
                <w:color w:val="000000" w:themeColor="text1"/>
                <w:sz w:val="16"/>
                <w:szCs w:val="16"/>
              </w:rPr>
              <w:t>.</w:t>
            </w:r>
          </w:p>
        </w:tc>
        <w:tc>
          <w:tcPr>
            <w:tcW w:w="1024" w:type="dxa"/>
          </w:tcPr>
          <w:p w14:paraId="6A8027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w:t>
            </w:r>
          </w:p>
        </w:tc>
        <w:tc>
          <w:tcPr>
            <w:tcW w:w="1746" w:type="dxa"/>
          </w:tcPr>
          <w:p w14:paraId="517D9E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Постр</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сварн</w:t>
            </w:r>
            <w:proofErr w:type="spellEnd"/>
            <w:r w:rsidRPr="00A259BD">
              <w:rPr>
                <w:rFonts w:ascii="Times New Roman" w:hAnsi="Times New Roman"/>
                <w:color w:val="000000" w:themeColor="text1"/>
                <w:sz w:val="16"/>
                <w:szCs w:val="16"/>
              </w:rPr>
              <w:t>.</w:t>
            </w:r>
          </w:p>
        </w:tc>
        <w:tc>
          <w:tcPr>
            <w:tcW w:w="1276" w:type="dxa"/>
          </w:tcPr>
          <w:p w14:paraId="5B3BA7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Р5-БМВ6</w:t>
            </w:r>
          </w:p>
        </w:tc>
        <w:tc>
          <w:tcPr>
            <w:tcW w:w="1134" w:type="dxa"/>
          </w:tcPr>
          <w:p w14:paraId="1AA18C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c>
          <w:tcPr>
            <w:tcW w:w="822" w:type="dxa"/>
          </w:tcPr>
          <w:p w14:paraId="42A3CE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1369E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0F9E47A" w14:textId="77777777">
        <w:tc>
          <w:tcPr>
            <w:tcW w:w="1024" w:type="dxa"/>
          </w:tcPr>
          <w:p w14:paraId="083F27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работы</w:t>
            </w:r>
          </w:p>
        </w:tc>
        <w:tc>
          <w:tcPr>
            <w:tcW w:w="1024" w:type="dxa"/>
          </w:tcPr>
          <w:p w14:paraId="79DBC3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7EF368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трубч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фюз</w:t>
            </w:r>
            <w:proofErr w:type="spellEnd"/>
            <w:r w:rsidRPr="00A259BD">
              <w:rPr>
                <w:rFonts w:ascii="Times New Roman" w:hAnsi="Times New Roman"/>
                <w:color w:val="000000" w:themeColor="text1"/>
                <w:sz w:val="16"/>
                <w:szCs w:val="16"/>
              </w:rPr>
              <w:t>. для</w:t>
            </w:r>
          </w:p>
        </w:tc>
        <w:tc>
          <w:tcPr>
            <w:tcW w:w="1276" w:type="dxa"/>
          </w:tcPr>
          <w:p w14:paraId="5B0D94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307FB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5436EC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A274E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BC33094" w14:textId="77777777">
        <w:tc>
          <w:tcPr>
            <w:tcW w:w="1024" w:type="dxa"/>
          </w:tcPr>
          <w:p w14:paraId="7DBEED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8E3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A2F1C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самол</w:t>
            </w:r>
            <w:proofErr w:type="spellEnd"/>
            <w:r w:rsidRPr="00A259BD">
              <w:rPr>
                <w:rFonts w:ascii="Times New Roman" w:hAnsi="Times New Roman"/>
                <w:color w:val="000000" w:themeColor="text1"/>
                <w:sz w:val="16"/>
                <w:szCs w:val="16"/>
              </w:rPr>
              <w:t>.</w:t>
            </w:r>
          </w:p>
        </w:tc>
        <w:tc>
          <w:tcPr>
            <w:tcW w:w="1276" w:type="dxa"/>
          </w:tcPr>
          <w:p w14:paraId="4C747A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B9102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750C44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2A1FF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C5C721E" w14:textId="77777777">
        <w:tc>
          <w:tcPr>
            <w:tcW w:w="1024" w:type="dxa"/>
          </w:tcPr>
          <w:p w14:paraId="1A2B6B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D7DB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w:t>
            </w:r>
          </w:p>
        </w:tc>
        <w:tc>
          <w:tcPr>
            <w:tcW w:w="1746" w:type="dxa"/>
          </w:tcPr>
          <w:p w14:paraId="09FF5D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Постр</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сварн</w:t>
            </w:r>
            <w:proofErr w:type="spellEnd"/>
            <w:r w:rsidRPr="00A259BD">
              <w:rPr>
                <w:rFonts w:ascii="Times New Roman" w:hAnsi="Times New Roman"/>
                <w:color w:val="000000" w:themeColor="text1"/>
                <w:sz w:val="16"/>
                <w:szCs w:val="16"/>
              </w:rPr>
              <w:t>.</w:t>
            </w:r>
          </w:p>
        </w:tc>
        <w:tc>
          <w:tcPr>
            <w:tcW w:w="1276" w:type="dxa"/>
          </w:tcPr>
          <w:p w14:paraId="24B7C9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И7-БМВ6 </w:t>
            </w:r>
          </w:p>
        </w:tc>
        <w:tc>
          <w:tcPr>
            <w:tcW w:w="1134" w:type="dxa"/>
          </w:tcPr>
          <w:p w14:paraId="39CD13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c>
          <w:tcPr>
            <w:tcW w:w="822" w:type="dxa"/>
          </w:tcPr>
          <w:p w14:paraId="0B78BE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2218E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76DBC5F" w14:textId="77777777">
        <w:tc>
          <w:tcPr>
            <w:tcW w:w="1024" w:type="dxa"/>
          </w:tcPr>
          <w:p w14:paraId="1192BC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5429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8BD3D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трубч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фюз</w:t>
            </w:r>
            <w:proofErr w:type="spellEnd"/>
            <w:r w:rsidRPr="00A259BD">
              <w:rPr>
                <w:rFonts w:ascii="Times New Roman" w:hAnsi="Times New Roman"/>
                <w:color w:val="000000" w:themeColor="text1"/>
                <w:sz w:val="16"/>
                <w:szCs w:val="16"/>
              </w:rPr>
              <w:t>. для</w:t>
            </w:r>
          </w:p>
        </w:tc>
        <w:tc>
          <w:tcPr>
            <w:tcW w:w="1276" w:type="dxa"/>
          </w:tcPr>
          <w:p w14:paraId="1EEB60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6D8AB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12515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6C38F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DFEEB83" w14:textId="77777777">
        <w:tc>
          <w:tcPr>
            <w:tcW w:w="1024" w:type="dxa"/>
          </w:tcPr>
          <w:p w14:paraId="67E059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E0C7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E45DB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самол</w:t>
            </w:r>
            <w:proofErr w:type="spellEnd"/>
            <w:r w:rsidRPr="00A259BD">
              <w:rPr>
                <w:rFonts w:ascii="Times New Roman" w:hAnsi="Times New Roman"/>
                <w:color w:val="000000" w:themeColor="text1"/>
                <w:sz w:val="16"/>
                <w:szCs w:val="16"/>
              </w:rPr>
              <w:t>.</w:t>
            </w:r>
          </w:p>
        </w:tc>
        <w:tc>
          <w:tcPr>
            <w:tcW w:w="1276" w:type="dxa"/>
          </w:tcPr>
          <w:p w14:paraId="38F028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04347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601A05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14F65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A34C57D" w14:textId="77777777">
        <w:tc>
          <w:tcPr>
            <w:tcW w:w="1024" w:type="dxa"/>
          </w:tcPr>
          <w:p w14:paraId="779DD0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674F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59</w:t>
            </w:r>
          </w:p>
        </w:tc>
        <w:tc>
          <w:tcPr>
            <w:tcW w:w="1746" w:type="dxa"/>
          </w:tcPr>
          <w:p w14:paraId="227225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Постр</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сварн</w:t>
            </w:r>
            <w:proofErr w:type="spellEnd"/>
            <w:r w:rsidRPr="00A259BD">
              <w:rPr>
                <w:rFonts w:ascii="Times New Roman" w:hAnsi="Times New Roman"/>
                <w:color w:val="000000" w:themeColor="text1"/>
                <w:sz w:val="16"/>
                <w:szCs w:val="16"/>
              </w:rPr>
              <w:t>.</w:t>
            </w:r>
          </w:p>
        </w:tc>
        <w:tc>
          <w:tcPr>
            <w:tcW w:w="1276" w:type="dxa"/>
          </w:tcPr>
          <w:p w14:paraId="1002F6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Д2-БМВ6 </w:t>
            </w:r>
          </w:p>
        </w:tc>
        <w:tc>
          <w:tcPr>
            <w:tcW w:w="1134" w:type="dxa"/>
          </w:tcPr>
          <w:p w14:paraId="5CAEC3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25</w:t>
            </w:r>
          </w:p>
        </w:tc>
        <w:tc>
          <w:tcPr>
            <w:tcW w:w="822" w:type="dxa"/>
          </w:tcPr>
          <w:p w14:paraId="379D70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DF279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59A8631" w14:textId="77777777">
        <w:tc>
          <w:tcPr>
            <w:tcW w:w="1024" w:type="dxa"/>
          </w:tcPr>
          <w:p w14:paraId="65891B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0368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15D22A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трубч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фюз</w:t>
            </w:r>
            <w:proofErr w:type="spellEnd"/>
            <w:r w:rsidRPr="00A259BD">
              <w:rPr>
                <w:rFonts w:ascii="Times New Roman" w:hAnsi="Times New Roman"/>
                <w:color w:val="000000" w:themeColor="text1"/>
                <w:sz w:val="16"/>
                <w:szCs w:val="16"/>
              </w:rPr>
              <w:t>. для</w:t>
            </w:r>
          </w:p>
        </w:tc>
        <w:tc>
          <w:tcPr>
            <w:tcW w:w="1276" w:type="dxa"/>
          </w:tcPr>
          <w:p w14:paraId="3AA60F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F9D07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63190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670EF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03A7C31" w14:textId="77777777">
        <w:tc>
          <w:tcPr>
            <w:tcW w:w="1024" w:type="dxa"/>
          </w:tcPr>
          <w:p w14:paraId="041AD8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EB94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2CB819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самол</w:t>
            </w:r>
            <w:proofErr w:type="spellEnd"/>
            <w:r w:rsidRPr="00A259BD">
              <w:rPr>
                <w:rFonts w:ascii="Times New Roman" w:hAnsi="Times New Roman"/>
                <w:color w:val="000000" w:themeColor="text1"/>
                <w:sz w:val="16"/>
                <w:szCs w:val="16"/>
              </w:rPr>
              <w:t>.</w:t>
            </w:r>
          </w:p>
        </w:tc>
        <w:tc>
          <w:tcPr>
            <w:tcW w:w="1276" w:type="dxa"/>
          </w:tcPr>
          <w:p w14:paraId="2DAD56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DCE44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D3215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57F50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E36A157" w14:textId="77777777">
        <w:tc>
          <w:tcPr>
            <w:tcW w:w="1024" w:type="dxa"/>
          </w:tcPr>
          <w:p w14:paraId="7EBB22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16BD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w:t>
            </w:r>
          </w:p>
        </w:tc>
        <w:tc>
          <w:tcPr>
            <w:tcW w:w="1746" w:type="dxa"/>
          </w:tcPr>
          <w:p w14:paraId="3F7DCF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Постр</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сварн</w:t>
            </w:r>
            <w:proofErr w:type="spellEnd"/>
            <w:r w:rsidRPr="00A259BD">
              <w:rPr>
                <w:rFonts w:ascii="Times New Roman" w:hAnsi="Times New Roman"/>
                <w:color w:val="000000" w:themeColor="text1"/>
                <w:sz w:val="16"/>
                <w:szCs w:val="16"/>
              </w:rPr>
              <w:t>.</w:t>
            </w:r>
          </w:p>
        </w:tc>
        <w:tc>
          <w:tcPr>
            <w:tcW w:w="1276" w:type="dxa"/>
          </w:tcPr>
          <w:p w14:paraId="587C05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Р7-БМВ6</w:t>
            </w:r>
          </w:p>
        </w:tc>
        <w:tc>
          <w:tcPr>
            <w:tcW w:w="1134" w:type="dxa"/>
          </w:tcPr>
          <w:p w14:paraId="28D8B9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w:t>
            </w:r>
          </w:p>
        </w:tc>
        <w:tc>
          <w:tcPr>
            <w:tcW w:w="822" w:type="dxa"/>
          </w:tcPr>
          <w:p w14:paraId="1D4F52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71F13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1129A3D" w14:textId="77777777">
        <w:tc>
          <w:tcPr>
            <w:tcW w:w="1024" w:type="dxa"/>
          </w:tcPr>
          <w:p w14:paraId="20D856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6EF8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A4BC5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трубч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фюз</w:t>
            </w:r>
            <w:proofErr w:type="spellEnd"/>
            <w:r w:rsidRPr="00A259BD">
              <w:rPr>
                <w:rFonts w:ascii="Times New Roman" w:hAnsi="Times New Roman"/>
                <w:color w:val="000000" w:themeColor="text1"/>
                <w:sz w:val="16"/>
                <w:szCs w:val="16"/>
              </w:rPr>
              <w:t>. для</w:t>
            </w:r>
          </w:p>
        </w:tc>
        <w:tc>
          <w:tcPr>
            <w:tcW w:w="1276" w:type="dxa"/>
          </w:tcPr>
          <w:p w14:paraId="17DF42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AF5A8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6D4328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4703E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82602F2" w14:textId="77777777">
        <w:tc>
          <w:tcPr>
            <w:tcW w:w="1024" w:type="dxa"/>
          </w:tcPr>
          <w:p w14:paraId="61B3EB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6169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A1195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самол</w:t>
            </w:r>
            <w:proofErr w:type="spellEnd"/>
            <w:r w:rsidRPr="00A259BD">
              <w:rPr>
                <w:rFonts w:ascii="Times New Roman" w:hAnsi="Times New Roman"/>
                <w:color w:val="000000" w:themeColor="text1"/>
                <w:sz w:val="16"/>
                <w:szCs w:val="16"/>
              </w:rPr>
              <w:t>.</w:t>
            </w:r>
          </w:p>
        </w:tc>
        <w:tc>
          <w:tcPr>
            <w:tcW w:w="1276" w:type="dxa"/>
          </w:tcPr>
          <w:p w14:paraId="5F9A6F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2B99B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659FB9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B9D2F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47B724F" w14:textId="77777777">
        <w:tc>
          <w:tcPr>
            <w:tcW w:w="1024" w:type="dxa"/>
          </w:tcPr>
          <w:p w14:paraId="054BBE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D264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w:t>
            </w:r>
          </w:p>
        </w:tc>
        <w:tc>
          <w:tcPr>
            <w:tcW w:w="1746" w:type="dxa"/>
          </w:tcPr>
          <w:p w14:paraId="336B37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Постр</w:t>
            </w:r>
            <w:proofErr w:type="spellEnd"/>
            <w:r w:rsidRPr="00A259BD">
              <w:rPr>
                <w:rFonts w:ascii="Times New Roman" w:hAnsi="Times New Roman"/>
                <w:color w:val="000000" w:themeColor="text1"/>
                <w:sz w:val="16"/>
                <w:szCs w:val="16"/>
              </w:rPr>
              <w:t>. дерев.</w:t>
            </w:r>
          </w:p>
        </w:tc>
        <w:tc>
          <w:tcPr>
            <w:tcW w:w="1276" w:type="dxa"/>
          </w:tcPr>
          <w:p w14:paraId="333C05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МР5-БМВ6</w:t>
            </w:r>
          </w:p>
        </w:tc>
        <w:tc>
          <w:tcPr>
            <w:tcW w:w="1134" w:type="dxa"/>
          </w:tcPr>
          <w:p w14:paraId="20B0E8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3DC7D5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65275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D09BDCA" w14:textId="77777777">
        <w:tc>
          <w:tcPr>
            <w:tcW w:w="1024" w:type="dxa"/>
          </w:tcPr>
          <w:p w14:paraId="5EDCFF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3C80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2F241E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лодк</w:t>
            </w:r>
            <w:proofErr w:type="spellEnd"/>
            <w:r w:rsidRPr="00A259BD">
              <w:rPr>
                <w:rFonts w:ascii="Times New Roman" w:hAnsi="Times New Roman"/>
                <w:color w:val="000000" w:themeColor="text1"/>
                <w:sz w:val="16"/>
                <w:szCs w:val="16"/>
              </w:rPr>
              <w:t>. к сам.</w:t>
            </w:r>
          </w:p>
        </w:tc>
        <w:tc>
          <w:tcPr>
            <w:tcW w:w="1276" w:type="dxa"/>
          </w:tcPr>
          <w:p w14:paraId="17C2D6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8B31C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7A55FF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04047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3DEA80F" w14:textId="77777777">
        <w:tc>
          <w:tcPr>
            <w:tcW w:w="1024" w:type="dxa"/>
          </w:tcPr>
          <w:p w14:paraId="09C2CC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261D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7E3D96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самол</w:t>
            </w:r>
            <w:proofErr w:type="spellEnd"/>
            <w:r w:rsidRPr="00A259BD">
              <w:rPr>
                <w:rFonts w:ascii="Times New Roman" w:hAnsi="Times New Roman"/>
                <w:color w:val="000000" w:themeColor="text1"/>
                <w:sz w:val="16"/>
                <w:szCs w:val="16"/>
              </w:rPr>
              <w:t>.</w:t>
            </w:r>
          </w:p>
        </w:tc>
        <w:tc>
          <w:tcPr>
            <w:tcW w:w="1276" w:type="dxa"/>
          </w:tcPr>
          <w:p w14:paraId="1BC7E7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F16F9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F726D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3DF98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25F11FA" w14:textId="77777777">
        <w:tc>
          <w:tcPr>
            <w:tcW w:w="1024" w:type="dxa"/>
          </w:tcPr>
          <w:p w14:paraId="2FE1FE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EE21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w:t>
            </w:r>
          </w:p>
        </w:tc>
        <w:tc>
          <w:tcPr>
            <w:tcW w:w="1746" w:type="dxa"/>
          </w:tcPr>
          <w:p w14:paraId="498A64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Постр</w:t>
            </w:r>
            <w:proofErr w:type="spellEnd"/>
            <w:r w:rsidRPr="00A259BD">
              <w:rPr>
                <w:rFonts w:ascii="Times New Roman" w:hAnsi="Times New Roman"/>
                <w:color w:val="000000" w:themeColor="text1"/>
                <w:sz w:val="16"/>
                <w:szCs w:val="16"/>
              </w:rPr>
              <w:t>. дерев.</w:t>
            </w:r>
          </w:p>
        </w:tc>
        <w:tc>
          <w:tcPr>
            <w:tcW w:w="1276" w:type="dxa"/>
          </w:tcPr>
          <w:p w14:paraId="5D4653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МР6-БМВ6</w:t>
            </w:r>
          </w:p>
        </w:tc>
        <w:tc>
          <w:tcPr>
            <w:tcW w:w="1134" w:type="dxa"/>
          </w:tcPr>
          <w:p w14:paraId="6E0FE6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w:t>
            </w:r>
            <w:proofErr w:type="spellEnd"/>
            <w:r w:rsidRPr="00A259BD">
              <w:rPr>
                <w:rFonts w:ascii="Times New Roman" w:hAnsi="Times New Roman"/>
                <w:color w:val="000000" w:themeColor="text1"/>
                <w:sz w:val="16"/>
                <w:szCs w:val="16"/>
              </w:rPr>
              <w:t>.</w:t>
            </w:r>
          </w:p>
        </w:tc>
        <w:tc>
          <w:tcPr>
            <w:tcW w:w="822" w:type="dxa"/>
          </w:tcPr>
          <w:p w14:paraId="7319D9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1CA20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B9D8DBA" w14:textId="77777777">
        <w:tc>
          <w:tcPr>
            <w:tcW w:w="1024" w:type="dxa"/>
          </w:tcPr>
          <w:p w14:paraId="144155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76F3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368F3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лодк</w:t>
            </w:r>
            <w:proofErr w:type="spellEnd"/>
            <w:r w:rsidRPr="00A259BD">
              <w:rPr>
                <w:rFonts w:ascii="Times New Roman" w:hAnsi="Times New Roman"/>
                <w:color w:val="000000" w:themeColor="text1"/>
                <w:sz w:val="16"/>
                <w:szCs w:val="16"/>
              </w:rPr>
              <w:t>. к сам.</w:t>
            </w:r>
          </w:p>
        </w:tc>
        <w:tc>
          <w:tcPr>
            <w:tcW w:w="1276" w:type="dxa"/>
          </w:tcPr>
          <w:p w14:paraId="7C49F3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C081B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E253C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57CB0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87AF1F4" w14:textId="77777777">
        <w:tc>
          <w:tcPr>
            <w:tcW w:w="1024" w:type="dxa"/>
          </w:tcPr>
          <w:p w14:paraId="165319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1553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63D22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самол</w:t>
            </w:r>
            <w:proofErr w:type="spellEnd"/>
            <w:r w:rsidRPr="00A259BD">
              <w:rPr>
                <w:rFonts w:ascii="Times New Roman" w:hAnsi="Times New Roman"/>
                <w:color w:val="000000" w:themeColor="text1"/>
                <w:sz w:val="16"/>
                <w:szCs w:val="16"/>
              </w:rPr>
              <w:t>.</w:t>
            </w:r>
          </w:p>
        </w:tc>
        <w:tc>
          <w:tcPr>
            <w:tcW w:w="1276" w:type="dxa"/>
          </w:tcPr>
          <w:p w14:paraId="725EEE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EE871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764EE6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BF31B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2FA0F9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(351).</w:t>
      </w:r>
    </w:p>
    <w:p w14:paraId="4D9097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345A05"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11 августа 1929 г. УВВС РККА составлен Пятилетний план развития опытного самолетостроения, включавший разработку 62 новых и модифицированных самолетов (34 сухопутных и 28 морских), в котором самолеты МИ-3 и МИ-4 шли 55-м и 56-м пунктами, что свидетельствовало о второстепенности этого задания.</w:t>
      </w:r>
    </w:p>
    <w:p w14:paraId="256E6941"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конце сентября 1929 г. Председатель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Урываев письмом №162/4 запросил у Председателя НТК УВВС подготовить распоряжение о срочной высылке в его адрес технических требований на самолет МИ-3, поскольку их отсутствие задерживает начало разработки. Однако НТК УВВС не отреагировал.</w:t>
      </w:r>
    </w:p>
    <w:p w14:paraId="17C8AA9F"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 октября 1929 г. Председатель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Урываев и заведующий ТПО Тарновский письмом №162/4 повторно запросили технические требования на МИ-3 (и другие самолеты программы на 1928/29 операционный год, указав, что «…задания не обеспеченные ТТ к исполнению </w:t>
      </w:r>
      <w:proofErr w:type="spellStart"/>
      <w:r w:rsidRPr="00441F34">
        <w:rPr>
          <w:rFonts w:ascii="Times New Roman" w:hAnsi="Times New Roman"/>
          <w:color w:val="0070C0"/>
          <w:sz w:val="16"/>
          <w:szCs w:val="16"/>
        </w:rPr>
        <w:t>Авиатрестом</w:t>
      </w:r>
      <w:proofErr w:type="spellEnd"/>
      <w:r w:rsidRPr="00441F34">
        <w:rPr>
          <w:rFonts w:ascii="Times New Roman" w:hAnsi="Times New Roman"/>
          <w:color w:val="0070C0"/>
          <w:sz w:val="16"/>
          <w:szCs w:val="16"/>
        </w:rPr>
        <w:t xml:space="preserve"> приняты не будут, с исключением их из программы работ».</w:t>
      </w:r>
    </w:p>
    <w:p w14:paraId="08465E99"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26 декабря 1929 г. на заседании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(протокол №32) среди прочих вопросов в изменение постановления Правления по протоколу 10 программу по морскому опытному самолетостроению утвердить в измененном виде, в частности 4-м пунктом срок готовности самолета МИ-3 к летным испытаниям установить на 1 августа 1931 г.</w:t>
      </w:r>
    </w:p>
    <w:p w14:paraId="0EA7B5FA"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распоряжение заводу №25 строить опытный образец самолета МИ-3 так и не поступило, и задание это с плана было снято. Не ясно даже, был ли выполнен проект самолета (24887).</w:t>
      </w:r>
    </w:p>
    <w:p w14:paraId="52FCF99B" w14:textId="77777777" w:rsidR="00DF6949" w:rsidRPr="00441F34" w:rsidRDefault="00DF6949" w:rsidP="00DF6949">
      <w:pPr>
        <w:spacing w:after="0" w:line="240" w:lineRule="auto"/>
        <w:jc w:val="both"/>
        <w:rPr>
          <w:rFonts w:ascii="Times New Roman" w:hAnsi="Times New Roman"/>
          <w:color w:val="0070C0"/>
          <w:sz w:val="16"/>
          <w:szCs w:val="16"/>
        </w:rPr>
      </w:pPr>
    </w:p>
    <w:p w14:paraId="3F1ED67F" w14:textId="77777777" w:rsidR="00B25ADA"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D179E7B" w14:textId="77777777" w:rsidR="00B25ADA" w:rsidRPr="00A259BD" w:rsidRDefault="00B25AD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278E15" w14:textId="77777777" w:rsidR="00B25ADA" w:rsidRPr="00A259BD" w:rsidRDefault="00B25ADA" w:rsidP="009236E3">
      <w:pPr>
        <w:pStyle w:val="75"/>
        <w:shd w:val="clear" w:color="auto" w:fill="auto"/>
        <w:spacing w:line="240" w:lineRule="auto"/>
        <w:ind w:firstLine="0"/>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августа 1929 г. в «Журнале артиллерийского комитета» последовала вы</w:t>
      </w:r>
      <w:r w:rsidRPr="00A259BD">
        <w:rPr>
          <w:rFonts w:ascii="Times New Roman" w:hAnsi="Times New Roman"/>
          <w:color w:val="000000" w:themeColor="text1"/>
          <w:sz w:val="16"/>
          <w:szCs w:val="16"/>
        </w:rPr>
        <w:softHyphen/>
        <w:t>дача задания на ее разработку гаубицы. Отдельно стоит отметить, что калибр будущего орудия жестко не оговаривался: в ходе Первой мировой во</w:t>
      </w:r>
      <w:r w:rsidRPr="00A259BD">
        <w:rPr>
          <w:rFonts w:ascii="Times New Roman" w:hAnsi="Times New Roman"/>
          <w:color w:val="000000" w:themeColor="text1"/>
          <w:sz w:val="16"/>
          <w:szCs w:val="16"/>
        </w:rPr>
        <w:softHyphen/>
        <w:t>йны ряд стран использовали для решения тех же боевых задач, что стояли перед 122-мм гау</w:t>
      </w:r>
      <w:r w:rsidRPr="00A259BD">
        <w:rPr>
          <w:rFonts w:ascii="Times New Roman" w:hAnsi="Times New Roman"/>
          <w:color w:val="000000" w:themeColor="text1"/>
          <w:sz w:val="16"/>
          <w:szCs w:val="16"/>
        </w:rPr>
        <w:softHyphen/>
        <w:t>бицами, орудия меньшего калибра. В качестве примера можно привести 114-мм британские гаубицы Виккерса или 105-мм немецкие систе</w:t>
      </w:r>
      <w:r w:rsidRPr="00A259BD">
        <w:rPr>
          <w:rFonts w:ascii="Times New Roman" w:hAnsi="Times New Roman"/>
          <w:color w:val="000000" w:themeColor="text1"/>
          <w:sz w:val="16"/>
          <w:szCs w:val="16"/>
        </w:rPr>
        <w:softHyphen/>
        <w:t>мы того же типа и назначения. В результате к рассмотрению приняли варианты с калибром в диапазоне 107—122 мм (12124).</w:t>
      </w:r>
    </w:p>
    <w:p w14:paraId="3E82745A" w14:textId="77777777" w:rsidR="00B25ADA" w:rsidRPr="00A259BD" w:rsidRDefault="00B25ADA" w:rsidP="009236E3">
      <w:pPr>
        <w:pStyle w:val="75"/>
        <w:shd w:val="clear" w:color="auto" w:fill="auto"/>
        <w:spacing w:line="240" w:lineRule="auto"/>
        <w:ind w:firstLine="0"/>
        <w:jc w:val="both"/>
        <w:rPr>
          <w:rFonts w:ascii="Times New Roman" w:hAnsi="Times New Roman"/>
          <w:color w:val="000000" w:themeColor="text1"/>
          <w:sz w:val="16"/>
          <w:szCs w:val="16"/>
        </w:rPr>
      </w:pPr>
    </w:p>
    <w:p w14:paraId="2DB6676E" w14:textId="77777777" w:rsidR="005A255E"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49AAAC6B" w14:textId="77777777" w:rsidR="005A255E" w:rsidRPr="00A259BD" w:rsidRDefault="005A255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3A56D52" w14:textId="77777777" w:rsidR="005A255E" w:rsidRPr="00A259BD" w:rsidRDefault="005A255E" w:rsidP="009236E3">
      <w:pPr>
        <w:pStyle w:val="a3"/>
        <w:rPr>
          <w:color w:val="000000" w:themeColor="text1"/>
          <w:lang w:val="ru-RU"/>
        </w:rPr>
      </w:pPr>
      <w:r w:rsidRPr="00A259BD">
        <w:rPr>
          <w:color w:val="000000" w:themeColor="text1"/>
          <w:lang w:val="ru-RU"/>
        </w:rPr>
        <w:t>11 августа 1929 корабли Амурской флотилии в от</w:t>
      </w:r>
      <w:r w:rsidRPr="00A259BD">
        <w:rPr>
          <w:color w:val="000000" w:themeColor="text1"/>
          <w:lang w:val="ru-RU"/>
        </w:rPr>
        <w:softHyphen/>
        <w:t>вет на попытки белых переправиться на наш берег обстреляли позиции противника и высадили несколько десантов на китайскую территорию (15819).</w:t>
      </w:r>
    </w:p>
    <w:p w14:paraId="6C5FC491" w14:textId="77777777" w:rsidR="005A255E" w:rsidRPr="00A259BD" w:rsidRDefault="005A255E" w:rsidP="009236E3">
      <w:pPr>
        <w:pStyle w:val="a3"/>
        <w:rPr>
          <w:color w:val="000000" w:themeColor="text1"/>
          <w:lang w:val="ru-RU"/>
        </w:rPr>
      </w:pPr>
    </w:p>
    <w:p w14:paraId="3104F074" w14:textId="77777777" w:rsidR="005A255E" w:rsidRPr="00A259BD" w:rsidRDefault="005A255E" w:rsidP="009236E3">
      <w:pPr>
        <w:pStyle w:val="a3"/>
        <w:rPr>
          <w:color w:val="000000" w:themeColor="text1"/>
          <w:lang w:val="ru-RU"/>
        </w:rPr>
      </w:pPr>
      <w:r w:rsidRPr="00A259BD">
        <w:rPr>
          <w:color w:val="000000" w:themeColor="text1"/>
          <w:lang w:val="ru-RU"/>
        </w:rPr>
        <w:t>11 августа 1929 начались боевые действия на реке Сунгари (15820).</w:t>
      </w:r>
    </w:p>
    <w:p w14:paraId="25895CB2" w14:textId="77777777" w:rsidR="005A255E" w:rsidRPr="00A259BD" w:rsidRDefault="005A255E" w:rsidP="009236E3">
      <w:pPr>
        <w:pStyle w:val="a3"/>
        <w:rPr>
          <w:color w:val="000000" w:themeColor="text1"/>
          <w:lang w:val="ru-RU"/>
        </w:rPr>
      </w:pPr>
    </w:p>
    <w:p w14:paraId="21B5E83D"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5A9B424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4986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августа 1929 были столкновения на советско-китайской границе (3481).</w:t>
      </w:r>
    </w:p>
    <w:p w14:paraId="4CABD4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FDEF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и 13 августа 1929 г. Дальневосточный военный флот и приданные им десантные части произвели специальные операции в районах наибольшей активности китайских и белогвардейских формирований, а именно в селах Черняево, Полынь, Восемь Балаганов и Тю-</w:t>
      </w:r>
      <w:proofErr w:type="spellStart"/>
      <w:r w:rsidRPr="00A259BD">
        <w:rPr>
          <w:rFonts w:ascii="Times New Roman" w:hAnsi="Times New Roman"/>
          <w:color w:val="000000" w:themeColor="text1"/>
          <w:sz w:val="16"/>
          <w:szCs w:val="16"/>
        </w:rPr>
        <w:t>Тюнай</w:t>
      </w:r>
      <w:proofErr w:type="spellEnd"/>
      <w:r w:rsidRPr="00A259BD">
        <w:rPr>
          <w:rFonts w:ascii="Times New Roman" w:hAnsi="Times New Roman"/>
          <w:color w:val="000000" w:themeColor="text1"/>
          <w:sz w:val="16"/>
          <w:szCs w:val="16"/>
        </w:rPr>
        <w:t>. Но обстрелы и провокационные вылазки после этого усилились, особенно в начале октября (9978).</w:t>
      </w:r>
    </w:p>
    <w:p w14:paraId="06D864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68AB1C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августа 1929 боевые действия на реке Сунгари начались. На следующее утро Р-1 из 40-й эскадрильи им. В.И. Ленина бомбили китайские корабли. Авиация Чжан </w:t>
      </w:r>
      <w:proofErr w:type="spellStart"/>
      <w:r w:rsidRPr="00A259BD">
        <w:rPr>
          <w:rFonts w:ascii="Times New Roman" w:hAnsi="Times New Roman"/>
          <w:color w:val="000000" w:themeColor="text1"/>
          <w:sz w:val="16"/>
          <w:szCs w:val="16"/>
        </w:rPr>
        <w:t>Сюэляна</w:t>
      </w:r>
      <w:proofErr w:type="spellEnd"/>
      <w:r w:rsidRPr="00A259BD">
        <w:rPr>
          <w:rFonts w:ascii="Times New Roman" w:hAnsi="Times New Roman"/>
          <w:color w:val="000000" w:themeColor="text1"/>
          <w:sz w:val="16"/>
          <w:szCs w:val="16"/>
        </w:rPr>
        <w:t xml:space="preserve"> в боях участия не принимала. Лишь в разведсводке от 17 числа подтвердили наличие трех китайских самолетов в районе ст. Маньчжурия, а 28 августа в разведс</w:t>
      </w:r>
      <w:r w:rsidRPr="00A259BD">
        <w:rPr>
          <w:rFonts w:ascii="Times New Roman" w:hAnsi="Times New Roman"/>
          <w:color w:val="000000" w:themeColor="text1"/>
          <w:sz w:val="16"/>
          <w:szCs w:val="16"/>
        </w:rPr>
        <w:softHyphen/>
        <w:t>водке отметили, что в тот день в райо</w:t>
      </w:r>
      <w:r w:rsidRPr="00A259BD">
        <w:rPr>
          <w:rFonts w:ascii="Times New Roman" w:hAnsi="Times New Roman"/>
          <w:color w:val="000000" w:themeColor="text1"/>
          <w:sz w:val="16"/>
          <w:szCs w:val="16"/>
        </w:rPr>
        <w:softHyphen/>
        <w:t xml:space="preserve">не </w:t>
      </w:r>
      <w:proofErr w:type="spellStart"/>
      <w:r w:rsidRPr="00A259BD">
        <w:rPr>
          <w:rFonts w:ascii="Times New Roman" w:hAnsi="Times New Roman"/>
          <w:color w:val="000000" w:themeColor="text1"/>
          <w:sz w:val="16"/>
          <w:szCs w:val="16"/>
        </w:rPr>
        <w:t>Чжалайнор</w:t>
      </w:r>
      <w:proofErr w:type="spellEnd"/>
      <w:r w:rsidRPr="00A259BD">
        <w:rPr>
          <w:rFonts w:ascii="Times New Roman" w:hAnsi="Times New Roman"/>
          <w:color w:val="000000" w:themeColor="text1"/>
          <w:sz w:val="16"/>
          <w:szCs w:val="16"/>
        </w:rPr>
        <w:t xml:space="preserve"> разбился один из трех имевшихся там китайских самолетов. 31 августа разведчики сообщили, что из </w:t>
      </w:r>
      <w:proofErr w:type="spellStart"/>
      <w:r w:rsidRPr="00A259BD">
        <w:rPr>
          <w:rFonts w:ascii="Times New Roman" w:hAnsi="Times New Roman"/>
          <w:color w:val="000000" w:themeColor="text1"/>
          <w:sz w:val="16"/>
          <w:szCs w:val="16"/>
        </w:rPr>
        <w:t>Мукдена</w:t>
      </w:r>
      <w:proofErr w:type="spellEnd"/>
      <w:r w:rsidRPr="00A259BD">
        <w:rPr>
          <w:rFonts w:ascii="Times New Roman" w:hAnsi="Times New Roman"/>
          <w:color w:val="000000" w:themeColor="text1"/>
          <w:sz w:val="16"/>
          <w:szCs w:val="16"/>
        </w:rPr>
        <w:t xml:space="preserve"> в направлении ст. Маньч</w:t>
      </w:r>
      <w:r w:rsidRPr="00A259BD">
        <w:rPr>
          <w:rFonts w:ascii="Times New Roman" w:hAnsi="Times New Roman"/>
          <w:color w:val="000000" w:themeColor="text1"/>
          <w:sz w:val="16"/>
          <w:szCs w:val="16"/>
        </w:rPr>
        <w:softHyphen/>
        <w:t>журия отправлен авиаотряд из 20 са</w:t>
      </w:r>
      <w:r w:rsidRPr="00A259BD">
        <w:rPr>
          <w:rFonts w:ascii="Times New Roman" w:hAnsi="Times New Roman"/>
          <w:color w:val="000000" w:themeColor="text1"/>
          <w:sz w:val="16"/>
          <w:szCs w:val="16"/>
        </w:rPr>
        <w:softHyphen/>
        <w:t>молетов. Далее каких-либо упомина</w:t>
      </w:r>
      <w:r w:rsidRPr="00A259BD">
        <w:rPr>
          <w:rFonts w:ascii="Times New Roman" w:hAnsi="Times New Roman"/>
          <w:color w:val="000000" w:themeColor="text1"/>
          <w:sz w:val="16"/>
          <w:szCs w:val="16"/>
        </w:rPr>
        <w:softHyphen/>
        <w:t>ний о китайской авиации в советских донесениях не было до 5 октября, в тот день через Харбин на западную линию КВЖД проследовали два авиаотряда в составе: до 175 солдат, трех грузовых автомобилей, двух брезентовых анга</w:t>
      </w:r>
      <w:r w:rsidRPr="00A259BD">
        <w:rPr>
          <w:rFonts w:ascii="Times New Roman" w:hAnsi="Times New Roman"/>
          <w:color w:val="000000" w:themeColor="text1"/>
          <w:sz w:val="16"/>
          <w:szCs w:val="16"/>
        </w:rPr>
        <w:softHyphen/>
        <w:t>ров и двух зенитных орудий (тип и ко</w:t>
      </w:r>
      <w:r w:rsidRPr="00A259BD">
        <w:rPr>
          <w:rFonts w:ascii="Times New Roman" w:hAnsi="Times New Roman"/>
          <w:color w:val="000000" w:themeColor="text1"/>
          <w:sz w:val="16"/>
          <w:szCs w:val="16"/>
        </w:rPr>
        <w:softHyphen/>
        <w:t>личество самолетов разведчики не смогли установить) (11216).</w:t>
      </w:r>
    </w:p>
    <w:p w14:paraId="01D236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7D8F2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3E938B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32815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августа 1929 в Цюрихе создано Агентство по отправке в Палестину евреев (4962).</w:t>
      </w:r>
    </w:p>
    <w:p w14:paraId="1D99399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43B5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августа 1929 Иран и Ирак подписали договор о дружбе (3907,157).</w:t>
      </w:r>
    </w:p>
    <w:p w14:paraId="32A8A9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7EA5B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4A7A57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E8272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августа 1929 в протоколе совещания у нач. ВВС было зафиксировано, что ТУ на Р-5 будут окончательно утверждены к 1 октября при условии, что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3-й экз. опытной машины обязан выпустить не позже 20 августа со всеми переделками и изменениями, которые внесены в процессе испытаний 1 и 2 экз. (2351,240).</w:t>
      </w:r>
    </w:p>
    <w:p w14:paraId="6D662D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DE65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этом же совещании было согласовано, что вопрос о заказе И-3 на 29/30 г. будет окончательно решен через месяц после передачи в части ВВС для эксплуатации 12 самолетов И-3 с переделанными рулями глубины и др. переделками, изложенными в письме зам. нач. ВВС N 2401 и согласованным между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и УВВС. (2351,240).</w:t>
      </w:r>
    </w:p>
    <w:p w14:paraId="05EB3B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C93CD42"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12 августа 1929 г. в протоколе совещания у Начальника ВВС было согласовано с </w:t>
      </w:r>
      <w:proofErr w:type="spellStart"/>
      <w:r w:rsidRPr="00441F34">
        <w:rPr>
          <w:rFonts w:ascii="Times New Roman" w:hAnsi="Times New Roman"/>
          <w:color w:val="0070C0"/>
          <w:sz w:val="16"/>
          <w:szCs w:val="16"/>
        </w:rPr>
        <w:t>Авиатрестом</w:t>
      </w:r>
      <w:proofErr w:type="spellEnd"/>
      <w:r w:rsidRPr="00441F34">
        <w:rPr>
          <w:rFonts w:ascii="Times New Roman" w:hAnsi="Times New Roman"/>
          <w:color w:val="0070C0"/>
          <w:sz w:val="16"/>
          <w:szCs w:val="16"/>
        </w:rPr>
        <w:t xml:space="preserve">, что вопрос о заказе на дальнейший выпуск самолетов И-3 на 1929 / 1930 гг. будет окончательно решен через месяц после передачи в части ВВС для эксплуатации 12 самолетов И-3 с переделанными рулями высоты и др. доработками, изложенными в письме зам начальника ВВС №2401 и согласованными </w:t>
      </w:r>
      <w:proofErr w:type="spellStart"/>
      <w:r w:rsidRPr="00441F34">
        <w:rPr>
          <w:rFonts w:ascii="Times New Roman" w:hAnsi="Times New Roman"/>
          <w:color w:val="0070C0"/>
          <w:sz w:val="16"/>
          <w:szCs w:val="16"/>
        </w:rPr>
        <w:t>Авиатрестом</w:t>
      </w:r>
      <w:proofErr w:type="spellEnd"/>
      <w:r w:rsidRPr="00441F34">
        <w:rPr>
          <w:rFonts w:ascii="Times New Roman" w:hAnsi="Times New Roman"/>
          <w:color w:val="0070C0"/>
          <w:sz w:val="16"/>
          <w:szCs w:val="16"/>
        </w:rPr>
        <w:t xml:space="preserve"> и УВВС ранее (24887).</w:t>
      </w:r>
    </w:p>
    <w:p w14:paraId="5D3649EC" w14:textId="77777777" w:rsidR="00DF6949" w:rsidRPr="00441F34" w:rsidRDefault="00DF6949" w:rsidP="00DF6949">
      <w:pPr>
        <w:spacing w:after="0" w:line="240" w:lineRule="auto"/>
        <w:jc w:val="both"/>
        <w:rPr>
          <w:rFonts w:ascii="Times New Roman" w:hAnsi="Times New Roman"/>
          <w:color w:val="0070C0"/>
          <w:sz w:val="16"/>
          <w:szCs w:val="16"/>
        </w:rPr>
      </w:pPr>
    </w:p>
    <w:p w14:paraId="2C443CBB" w14:textId="77777777" w:rsidR="003E0887" w:rsidRPr="00A259BD" w:rsidRDefault="003E0887"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0DAACD2" w14:textId="77777777" w:rsidR="003E0887" w:rsidRPr="00A259BD" w:rsidRDefault="003E088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024DACA"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августа 1929:</w:t>
      </w:r>
    </w:p>
    <w:p w14:paraId="50EA63CE"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 12: О работниках военной промышленности</w:t>
      </w:r>
    </w:p>
    <w:p w14:paraId="4B03A961"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(ПБ от 8.VIII.29 г., пр. № 92, п. З).</w:t>
      </w:r>
    </w:p>
    <w:p w14:paraId="6685DC61"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(Лебедь,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w:t>
      </w:r>
    </w:p>
    <w:p w14:paraId="386475E4"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Принять с поправкой предложение президиума ЦКК о работниках военной промышленности.</w:t>
      </w:r>
    </w:p>
    <w:p w14:paraId="010B80F3"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Выписка из постановления Президиума ЦКК о наложении взысканий и привлечении к ответственности руководящего состава военной промышленности. (Протокол № 38, п. 1 от 12.VIII.1929 г.). Приложение № 1 к п. 12 пр. ПБ № 93.</w:t>
      </w:r>
    </w:p>
    <w:p w14:paraId="315EAAF1"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Архив: </w:t>
      </w:r>
    </w:p>
    <w:p w14:paraId="17D0B007"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РГАСПИ. Ф. 17. Оп. 3. Д. 753. Л. 10-11.</w:t>
      </w:r>
    </w:p>
    <w:p w14:paraId="3BFDBEAB"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 1</w:t>
      </w:r>
    </w:p>
    <w:p w14:paraId="10887835"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12 пр. ПБ № 93.</w:t>
      </w:r>
    </w:p>
    <w:p w14:paraId="5E784F63"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из постановления Президиума ЦКК о наложении взысканий и привлечении к ответственности руководящего состава военной промышленности.</w:t>
      </w:r>
    </w:p>
    <w:p w14:paraId="488A6367"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(Протокол № 38, п. 1 от 12.VIII.1929 г.).</w:t>
      </w:r>
    </w:p>
    <w:p w14:paraId="0014497A"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Политбюро ЦК ВКП(б) своим постановлением от 15 июля 1929 г. просило Президиум ЦКК:</w:t>
      </w:r>
    </w:p>
    <w:p w14:paraId="255385BE"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«Срочно рассмотреть вопрос о наложении взысканий и привлечении к ответственности как нынешнего, так и бывшего руководящего состава военной промышленности (</w:t>
      </w:r>
      <w:proofErr w:type="spellStart"/>
      <w:r w:rsidRPr="00A259BD">
        <w:rPr>
          <w:rFonts w:ascii="Times New Roman" w:hAnsi="Times New Roman"/>
          <w:color w:val="000000" w:themeColor="text1"/>
          <w:sz w:val="16"/>
          <w:szCs w:val="16"/>
        </w:rPr>
        <w:t>Военпром</w:t>
      </w:r>
      <w:proofErr w:type="spellEnd"/>
      <w:r w:rsidRPr="00A259BD">
        <w:rPr>
          <w:rFonts w:ascii="Times New Roman" w:hAnsi="Times New Roman"/>
          <w:color w:val="000000" w:themeColor="text1"/>
          <w:sz w:val="16"/>
          <w:szCs w:val="16"/>
        </w:rPr>
        <w:t>, ВПУ, трестов и заводов), виновного в недостаточной бдительности к многолетнему и явному вредительству и упущениям в военной промышленности и внести свои предложения в Политбюро».</w:t>
      </w:r>
    </w:p>
    <w:p w14:paraId="103E9B40"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Президиум ЦКК, рассмотрев вопрос о виновности руководящего состава военной промышленности постановляет:</w:t>
      </w:r>
    </w:p>
    <w:p w14:paraId="4CD6A377"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Бывшему начальнику ГВПУ т. Богданову объявить выговор за то, что т. Богданов в своей многолетней работе по руководству военной промышленностью (4</w:t>
      </w:r>
      <w:r w:rsidRPr="00A259BD">
        <w:rPr>
          <w:rFonts w:ascii="Times New Roman" w:hAnsi="Times New Roman"/>
          <w:color w:val="000000" w:themeColor="text1"/>
          <w:sz w:val="16"/>
          <w:szCs w:val="16"/>
        </w:rPr>
        <w:noBreakHyphen/>
        <w:t xml:space="preserve">5 лет было проявлено чрезмерное доверие к специалистам военной промышленности, в особенности к их верхушке —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Михайлову, </w:t>
      </w:r>
      <w:proofErr w:type="spellStart"/>
      <w:r w:rsidRPr="00A259BD">
        <w:rPr>
          <w:rFonts w:ascii="Times New Roman" w:hAnsi="Times New Roman"/>
          <w:color w:val="000000" w:themeColor="text1"/>
          <w:sz w:val="16"/>
          <w:szCs w:val="16"/>
        </w:rPr>
        <w:t>Дыману</w:t>
      </w:r>
      <w:proofErr w:type="spellEnd"/>
      <w:r w:rsidRPr="00A259BD">
        <w:rPr>
          <w:rFonts w:ascii="Times New Roman" w:hAnsi="Times New Roman"/>
          <w:color w:val="000000" w:themeColor="text1"/>
          <w:sz w:val="16"/>
          <w:szCs w:val="16"/>
        </w:rPr>
        <w:t xml:space="preserve"> и др., не было установлено должного контроля за работой специалистов и не проявлено необходимой бдительности к работе аппаратов военной промышленности, заполненных и зачастую руководимых, как теперь установлено, явно вредительскими элементами.</w:t>
      </w:r>
    </w:p>
    <w:p w14:paraId="6149F56E"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Бывшему начальнику ГВПУ т. </w:t>
      </w:r>
      <w:proofErr w:type="spellStart"/>
      <w:r w:rsidRPr="00A259BD">
        <w:rPr>
          <w:rFonts w:ascii="Times New Roman" w:hAnsi="Times New Roman"/>
          <w:color w:val="000000" w:themeColor="text1"/>
          <w:sz w:val="16"/>
          <w:szCs w:val="16"/>
        </w:rPr>
        <w:t>Толоконцеву</w:t>
      </w:r>
      <w:proofErr w:type="spellEnd"/>
      <w:r w:rsidRPr="00A259BD">
        <w:rPr>
          <w:rFonts w:ascii="Times New Roman" w:hAnsi="Times New Roman"/>
          <w:color w:val="000000" w:themeColor="text1"/>
          <w:sz w:val="16"/>
          <w:szCs w:val="16"/>
        </w:rPr>
        <w:t xml:space="preserve"> указать на его ошибки, выразившиеся в том что:</w:t>
      </w:r>
    </w:p>
    <w:p w14:paraId="6D5957B2"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Т. </w:t>
      </w:r>
      <w:proofErr w:type="spellStart"/>
      <w:r w:rsidRPr="00A259BD">
        <w:rPr>
          <w:rFonts w:ascii="Times New Roman" w:hAnsi="Times New Roman"/>
          <w:color w:val="000000" w:themeColor="text1"/>
          <w:sz w:val="16"/>
          <w:szCs w:val="16"/>
        </w:rPr>
        <w:t>Толоконцевым</w:t>
      </w:r>
      <w:proofErr w:type="spellEnd"/>
      <w:r w:rsidRPr="00A259BD">
        <w:rPr>
          <w:rFonts w:ascii="Times New Roman" w:hAnsi="Times New Roman"/>
          <w:color w:val="000000" w:themeColor="text1"/>
          <w:sz w:val="16"/>
          <w:szCs w:val="16"/>
        </w:rPr>
        <w:t xml:space="preserve"> в своей работе по руководству военной промышленностью (около двух лет; проявлено чрезмерное доверие к специалистам, в особенности к их верхушке —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Михайлову, </w:t>
      </w:r>
      <w:proofErr w:type="spellStart"/>
      <w:r w:rsidRPr="00A259BD">
        <w:rPr>
          <w:rFonts w:ascii="Times New Roman" w:hAnsi="Times New Roman"/>
          <w:color w:val="000000" w:themeColor="text1"/>
          <w:sz w:val="16"/>
          <w:szCs w:val="16"/>
        </w:rPr>
        <w:t>Высочанскому</w:t>
      </w:r>
      <w:proofErr w:type="spellEnd"/>
      <w:r w:rsidRPr="00A259BD">
        <w:rPr>
          <w:rFonts w:ascii="Times New Roman" w:hAnsi="Times New Roman"/>
          <w:color w:val="000000" w:themeColor="text1"/>
          <w:sz w:val="16"/>
          <w:szCs w:val="16"/>
        </w:rPr>
        <w:t xml:space="preserve"> и др., не было установлено должного контроля за работой специалистов и не проявлено необходимой бдительности к работе аппаратов военной промышленности, заполненных и зачастую руководимых, как теперь установлено, явно вредительскими элементами.</w:t>
      </w:r>
    </w:p>
    <w:p w14:paraId="17864698"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В своих докладах правительству и ЦК партии т.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xml:space="preserve"> давал оптимистическую оценку военной промышленности, принимая некоторые имевшиеся достижения в военной промышленности как показатели общего благополучия в военной промышленности, что содействовало прикрыванию фактического тяжелого положения подготовки военной промышленности.</w:t>
      </w:r>
    </w:p>
    <w:p w14:paraId="154F03AC"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Т. </w:t>
      </w:r>
      <w:proofErr w:type="spellStart"/>
      <w:r w:rsidRPr="00A259BD">
        <w:rPr>
          <w:rFonts w:ascii="Times New Roman" w:hAnsi="Times New Roman"/>
          <w:color w:val="000000" w:themeColor="text1"/>
          <w:sz w:val="16"/>
          <w:szCs w:val="16"/>
        </w:rPr>
        <w:t>Толоконцовым</w:t>
      </w:r>
      <w:proofErr w:type="spellEnd"/>
      <w:r w:rsidRPr="00A259BD">
        <w:rPr>
          <w:rFonts w:ascii="Times New Roman" w:hAnsi="Times New Roman"/>
          <w:color w:val="000000" w:themeColor="text1"/>
          <w:sz w:val="16"/>
          <w:szCs w:val="16"/>
        </w:rPr>
        <w:t xml:space="preserve"> не выполнено постановление комиссии ПБ о снятии с руководящей работы в военной промышленности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Михайлова.</w:t>
      </w:r>
    </w:p>
    <w:p w14:paraId="134C97C8"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Уже после произведенного ОГПУ ареста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Михайлова, как одного из руководителей </w:t>
      </w:r>
      <w:proofErr w:type="spellStart"/>
      <w:r w:rsidRPr="00A259BD">
        <w:rPr>
          <w:rFonts w:ascii="Times New Roman" w:hAnsi="Times New Roman"/>
          <w:color w:val="000000" w:themeColor="text1"/>
          <w:sz w:val="16"/>
          <w:szCs w:val="16"/>
        </w:rPr>
        <w:t>контр-революционной</w:t>
      </w:r>
      <w:proofErr w:type="spellEnd"/>
      <w:r w:rsidRPr="00A259BD">
        <w:rPr>
          <w:rFonts w:ascii="Times New Roman" w:hAnsi="Times New Roman"/>
          <w:color w:val="000000" w:themeColor="text1"/>
          <w:sz w:val="16"/>
          <w:szCs w:val="16"/>
        </w:rPr>
        <w:t xml:space="preserve"> вредительской организации в военной промышленности, т.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вместо того, чтобы приступить к тщательной проверке деятельности инженера Михайлова, для изжития последствий его работы, стал на его защиту. Так, например, т.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xml:space="preserve"> даже спустя 9 месяцев после ареста Михайлова писал в ЦК ВКП(б):</w:t>
      </w:r>
    </w:p>
    <w:p w14:paraId="7C679344"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«Считаю, что произведенные в военной промышленности аресты поименованных выше лиц (речь идет об арестованном Михайлове, </w:t>
      </w:r>
      <w:proofErr w:type="spellStart"/>
      <w:r w:rsidRPr="00A259BD">
        <w:rPr>
          <w:rFonts w:ascii="Times New Roman" w:hAnsi="Times New Roman"/>
          <w:color w:val="000000" w:themeColor="text1"/>
          <w:sz w:val="16"/>
          <w:szCs w:val="16"/>
        </w:rPr>
        <w:t>Дымане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Линберге</w:t>
      </w:r>
      <w:proofErr w:type="spellEnd"/>
      <w:r w:rsidRPr="00A259BD">
        <w:rPr>
          <w:rFonts w:ascii="Times New Roman" w:hAnsi="Times New Roman"/>
          <w:color w:val="000000" w:themeColor="text1"/>
          <w:sz w:val="16"/>
          <w:szCs w:val="16"/>
        </w:rPr>
        <w:t xml:space="preserve"> и Филипповском) основаны на недостаточном изучении и недостаточно проверенном материале».</w:t>
      </w:r>
    </w:p>
    <w:p w14:paraId="2C89A013"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Объявить строгий выговор и снять с занимаемой должности зам. начальника военной промышленности т. </w:t>
      </w:r>
      <w:proofErr w:type="spellStart"/>
      <w:r w:rsidRPr="00A259BD">
        <w:rPr>
          <w:rFonts w:ascii="Times New Roman" w:hAnsi="Times New Roman"/>
          <w:color w:val="000000" w:themeColor="text1"/>
          <w:sz w:val="16"/>
          <w:szCs w:val="16"/>
        </w:rPr>
        <w:t>Будневичаза</w:t>
      </w:r>
      <w:proofErr w:type="spellEnd"/>
      <w:r w:rsidRPr="00A259BD">
        <w:rPr>
          <w:rFonts w:ascii="Times New Roman" w:hAnsi="Times New Roman"/>
          <w:color w:val="000000" w:themeColor="text1"/>
          <w:sz w:val="16"/>
          <w:szCs w:val="16"/>
        </w:rPr>
        <w:t xml:space="preserve"> то, что:</w:t>
      </w:r>
    </w:p>
    <w:p w14:paraId="36CEC2DC"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Будучи руководителем финансово-плановой работы ВПУ, не принял должных мер к оздоровлению и удовлетворительному использованию оборотных капиталов военной промышленности, что привело, и не могло не привести, к напряженнейшему финансовому положению и кассовым прорывам по отдельным трестам.</w:t>
      </w:r>
    </w:p>
    <w:p w14:paraId="3516301D"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Не принял должных мер к учету и использованию громадного парка запасного оборудования (от 8</w:t>
      </w:r>
      <w:r w:rsidRPr="00A259BD">
        <w:rPr>
          <w:rFonts w:ascii="Times New Roman" w:hAnsi="Times New Roman"/>
          <w:color w:val="000000" w:themeColor="text1"/>
          <w:sz w:val="16"/>
          <w:szCs w:val="16"/>
        </w:rPr>
        <w:noBreakHyphen/>
        <w:t>10 тысяч станков) и в течение ряда лет выписку импортного оборудования проводил без учета имеющегося запаса оборудования у военной промышленности, что приводило и к выписке излишнего оборудования. Кроме того, при выписке оборудования из-заграницы, не принимал мер к ускорению сроков размещения заказов на оборудование.</w:t>
      </w:r>
    </w:p>
    <w:p w14:paraId="2F40993C"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Чрезмерное доверие к специалистам и отсутствие контроля за их работой.</w:t>
      </w:r>
    </w:p>
    <w:p w14:paraId="5C435E53"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Объявить строгий выговор и снять с занимаемой работы председателя Военно-Химического треста т. Хомутова за чрезмерное доверие к аппарату треста и </w:t>
      </w:r>
      <w:proofErr w:type="spellStart"/>
      <w:r w:rsidRPr="00A259BD">
        <w:rPr>
          <w:rFonts w:ascii="Times New Roman" w:hAnsi="Times New Roman"/>
          <w:color w:val="000000" w:themeColor="text1"/>
          <w:sz w:val="16"/>
          <w:szCs w:val="16"/>
        </w:rPr>
        <w:t>непроверку</w:t>
      </w:r>
      <w:proofErr w:type="spellEnd"/>
      <w:r w:rsidRPr="00A259BD">
        <w:rPr>
          <w:rFonts w:ascii="Times New Roman" w:hAnsi="Times New Roman"/>
          <w:color w:val="000000" w:themeColor="text1"/>
          <w:sz w:val="16"/>
          <w:szCs w:val="16"/>
        </w:rPr>
        <w:t xml:space="preserve"> выполнения работ аппарата, что объективно облегчало работу </w:t>
      </w:r>
      <w:proofErr w:type="spellStart"/>
      <w:r w:rsidRPr="00A259BD">
        <w:rPr>
          <w:rFonts w:ascii="Times New Roman" w:hAnsi="Times New Roman"/>
          <w:color w:val="000000" w:themeColor="text1"/>
          <w:sz w:val="16"/>
          <w:szCs w:val="16"/>
        </w:rPr>
        <w:t>контр-революционной</w:t>
      </w:r>
      <w:proofErr w:type="spellEnd"/>
      <w:r w:rsidRPr="00A259BD">
        <w:rPr>
          <w:rFonts w:ascii="Times New Roman" w:hAnsi="Times New Roman"/>
          <w:color w:val="000000" w:themeColor="text1"/>
          <w:sz w:val="16"/>
          <w:szCs w:val="16"/>
        </w:rPr>
        <w:t xml:space="preserve"> организации.</w:t>
      </w:r>
    </w:p>
    <w:p w14:paraId="1F867397"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 принял мер к своевременной подготовке и проведению плана капитального строительства на 1928/29 г.; не проверял работы своего аппарата по выполнению плана работ, в результате чего задерживается и оттягивается выполнение в установленный срок заданий правительства о </w:t>
      </w:r>
      <w:proofErr w:type="spellStart"/>
      <w:r w:rsidRPr="00A259BD">
        <w:rPr>
          <w:rFonts w:ascii="Times New Roman" w:hAnsi="Times New Roman"/>
          <w:color w:val="000000" w:themeColor="text1"/>
          <w:sz w:val="16"/>
          <w:szCs w:val="16"/>
        </w:rPr>
        <w:t>мобготовности</w:t>
      </w:r>
      <w:proofErr w:type="spellEnd"/>
      <w:r w:rsidRPr="00A259BD">
        <w:rPr>
          <w:rFonts w:ascii="Times New Roman" w:hAnsi="Times New Roman"/>
          <w:color w:val="000000" w:themeColor="text1"/>
          <w:sz w:val="16"/>
          <w:szCs w:val="16"/>
        </w:rPr>
        <w:t xml:space="preserve"> Военно-Химического треста.</w:t>
      </w:r>
    </w:p>
    <w:p w14:paraId="040D2EBE"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О6ъявить строгий выговор председателю Ружейно-Пулеметного треста т. Бруно за чрезмерное доверие к </w:t>
      </w:r>
      <w:proofErr w:type="spellStart"/>
      <w:r w:rsidRPr="00A259BD">
        <w:rPr>
          <w:rFonts w:ascii="Times New Roman" w:hAnsi="Times New Roman"/>
          <w:color w:val="000000" w:themeColor="text1"/>
          <w:sz w:val="16"/>
          <w:szCs w:val="16"/>
        </w:rPr>
        <w:t>аппврату</w:t>
      </w:r>
      <w:proofErr w:type="spellEnd"/>
      <w:r w:rsidRPr="00A259BD">
        <w:rPr>
          <w:rFonts w:ascii="Times New Roman" w:hAnsi="Times New Roman"/>
          <w:color w:val="000000" w:themeColor="text1"/>
          <w:sz w:val="16"/>
          <w:szCs w:val="16"/>
        </w:rPr>
        <w:t xml:space="preserve"> треста и </w:t>
      </w:r>
      <w:proofErr w:type="spellStart"/>
      <w:r w:rsidRPr="00A259BD">
        <w:rPr>
          <w:rFonts w:ascii="Times New Roman" w:hAnsi="Times New Roman"/>
          <w:color w:val="000000" w:themeColor="text1"/>
          <w:sz w:val="16"/>
          <w:szCs w:val="16"/>
        </w:rPr>
        <w:t>непроверку</w:t>
      </w:r>
      <w:proofErr w:type="spellEnd"/>
      <w:r w:rsidRPr="00A259BD">
        <w:rPr>
          <w:rFonts w:ascii="Times New Roman" w:hAnsi="Times New Roman"/>
          <w:color w:val="000000" w:themeColor="text1"/>
          <w:sz w:val="16"/>
          <w:szCs w:val="16"/>
        </w:rPr>
        <w:t xml:space="preserve"> выполнения работ аппарата, что объективно облегчало работу </w:t>
      </w:r>
      <w:proofErr w:type="spellStart"/>
      <w:r w:rsidRPr="00A259BD">
        <w:rPr>
          <w:rFonts w:ascii="Times New Roman" w:hAnsi="Times New Roman"/>
          <w:color w:val="000000" w:themeColor="text1"/>
          <w:sz w:val="16"/>
          <w:szCs w:val="16"/>
        </w:rPr>
        <w:t>контр-революционной</w:t>
      </w:r>
      <w:proofErr w:type="spellEnd"/>
      <w:r w:rsidRPr="00A259BD">
        <w:rPr>
          <w:rFonts w:ascii="Times New Roman" w:hAnsi="Times New Roman"/>
          <w:color w:val="000000" w:themeColor="text1"/>
          <w:sz w:val="16"/>
          <w:szCs w:val="16"/>
        </w:rPr>
        <w:t xml:space="preserve"> группы.</w:t>
      </w:r>
    </w:p>
    <w:p w14:paraId="08C6DC0F"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Принять к сведению заявление ВСНХ, что в нестоящее время т. Бруно от работы в Ружейно-Пулеметном тресте освобождается.</w:t>
      </w:r>
    </w:p>
    <w:p w14:paraId="4FF4E54B"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Объявить выговор председателю Орудийно-Арсенального Треста тов. Березину за чрезмерное доверие к своему </w:t>
      </w:r>
      <w:proofErr w:type="spellStart"/>
      <w:r w:rsidRPr="00A259BD">
        <w:rPr>
          <w:rFonts w:ascii="Times New Roman" w:hAnsi="Times New Roman"/>
          <w:color w:val="000000" w:themeColor="text1"/>
          <w:sz w:val="16"/>
          <w:szCs w:val="16"/>
        </w:rPr>
        <w:t>аппарату“и</w:t>
      </w:r>
      <w:proofErr w:type="spellEnd"/>
      <w:r w:rsidRPr="00A259BD">
        <w:rPr>
          <w:rFonts w:ascii="Times New Roman" w:hAnsi="Times New Roman"/>
          <w:color w:val="000000" w:themeColor="text1"/>
          <w:sz w:val="16"/>
          <w:szCs w:val="16"/>
        </w:rPr>
        <w:t xml:space="preserve"> отсутствие проверки работ аппарата, что объективно облегчило работу </w:t>
      </w:r>
      <w:proofErr w:type="spellStart"/>
      <w:r w:rsidRPr="00A259BD">
        <w:rPr>
          <w:rFonts w:ascii="Times New Roman" w:hAnsi="Times New Roman"/>
          <w:color w:val="000000" w:themeColor="text1"/>
          <w:sz w:val="16"/>
          <w:szCs w:val="16"/>
        </w:rPr>
        <w:t>контр-революционной</w:t>
      </w:r>
      <w:proofErr w:type="spellEnd"/>
      <w:r w:rsidRPr="00A259BD">
        <w:rPr>
          <w:rFonts w:ascii="Times New Roman" w:hAnsi="Times New Roman"/>
          <w:color w:val="000000" w:themeColor="text1"/>
          <w:sz w:val="16"/>
          <w:szCs w:val="16"/>
        </w:rPr>
        <w:t xml:space="preserve"> группы по расстройству подготовки заводов Орудийно-Арсенального треста к обороне.</w:t>
      </w:r>
    </w:p>
    <w:p w14:paraId="010D50C8"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Принять к сведению заявление ВСНХ о том, что т. Березин в настоящее время от работы в Орудийно-Арсенальном тресте освобожден.</w:t>
      </w:r>
    </w:p>
    <w:p w14:paraId="76E0B6A9"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Считать возможным оставление, т. Березина на работе в военной промышленности.</w:t>
      </w:r>
    </w:p>
    <w:p w14:paraId="25CC5F78"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Объявить строгий выговор и снять с занимаемых должностей директора завода “Большевик” т. Королева и директора Мотовилихинского завода т. Чекмарева.</w:t>
      </w:r>
    </w:p>
    <w:p w14:paraId="2C77372B"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За отсутствие всякого контроля за работой специалистов, что объективно облегчило работу вредительской организации по расстройству производств на этих заводах (танки, артиллерия).</w:t>
      </w:r>
    </w:p>
    <w:p w14:paraId="748C256A" w14:textId="77777777" w:rsidR="003E0887" w:rsidRPr="00A259BD" w:rsidRDefault="003E08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Тов. Королев и т. Чекмарев за время своего сравнительно длительного пребывания не должностях директоров заводов не сумели наладить хозяйства своих заводов, которые и до настоящего времени находятся в крайне неорганизованном состоянии (18100).</w:t>
      </w:r>
    </w:p>
    <w:p w14:paraId="3F844792" w14:textId="77777777" w:rsidR="003E0887" w:rsidRPr="00A259BD" w:rsidRDefault="003E0887" w:rsidP="009236E3">
      <w:pPr>
        <w:spacing w:after="0" w:line="240" w:lineRule="auto"/>
        <w:jc w:val="both"/>
        <w:rPr>
          <w:rFonts w:ascii="Times New Roman" w:hAnsi="Times New Roman"/>
          <w:color w:val="000000" w:themeColor="text1"/>
          <w:sz w:val="16"/>
          <w:szCs w:val="16"/>
        </w:rPr>
      </w:pPr>
    </w:p>
    <w:p w14:paraId="50BA93D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20C5825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426B7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августа 1929 Р-1 из 40-й эскадрильи им. В.И. Ленина бомбили китайские корабли. Авиация Чжан </w:t>
      </w:r>
      <w:proofErr w:type="spellStart"/>
      <w:r w:rsidRPr="00A259BD">
        <w:rPr>
          <w:rFonts w:ascii="Times New Roman" w:hAnsi="Times New Roman"/>
          <w:color w:val="000000" w:themeColor="text1"/>
          <w:sz w:val="16"/>
          <w:szCs w:val="16"/>
        </w:rPr>
        <w:t>Сюэляна</w:t>
      </w:r>
      <w:proofErr w:type="spellEnd"/>
      <w:r w:rsidRPr="00A259BD">
        <w:rPr>
          <w:rFonts w:ascii="Times New Roman" w:hAnsi="Times New Roman"/>
          <w:color w:val="000000" w:themeColor="text1"/>
          <w:sz w:val="16"/>
          <w:szCs w:val="16"/>
        </w:rPr>
        <w:t xml:space="preserve"> в боях участия не принимала. Лишь в разведсводке от 17 числа подтвердили наличие трех китайских самолетов в районе ст. Маньчжурия, а 28 августа в разведс</w:t>
      </w:r>
      <w:r w:rsidRPr="00A259BD">
        <w:rPr>
          <w:rFonts w:ascii="Times New Roman" w:hAnsi="Times New Roman"/>
          <w:color w:val="000000" w:themeColor="text1"/>
          <w:sz w:val="16"/>
          <w:szCs w:val="16"/>
        </w:rPr>
        <w:softHyphen/>
        <w:t>водке отметили, что в тот день в райо</w:t>
      </w:r>
      <w:r w:rsidRPr="00A259BD">
        <w:rPr>
          <w:rFonts w:ascii="Times New Roman" w:hAnsi="Times New Roman"/>
          <w:color w:val="000000" w:themeColor="text1"/>
          <w:sz w:val="16"/>
          <w:szCs w:val="16"/>
        </w:rPr>
        <w:softHyphen/>
        <w:t xml:space="preserve">не </w:t>
      </w:r>
      <w:proofErr w:type="spellStart"/>
      <w:r w:rsidRPr="00A259BD">
        <w:rPr>
          <w:rFonts w:ascii="Times New Roman" w:hAnsi="Times New Roman"/>
          <w:color w:val="000000" w:themeColor="text1"/>
          <w:sz w:val="16"/>
          <w:szCs w:val="16"/>
        </w:rPr>
        <w:t>Чжалайнор</w:t>
      </w:r>
      <w:proofErr w:type="spellEnd"/>
      <w:r w:rsidRPr="00A259BD">
        <w:rPr>
          <w:rFonts w:ascii="Times New Roman" w:hAnsi="Times New Roman"/>
          <w:color w:val="000000" w:themeColor="text1"/>
          <w:sz w:val="16"/>
          <w:szCs w:val="16"/>
        </w:rPr>
        <w:t xml:space="preserve"> разбился один из трех имевшихся там китайских самолетов. 31 августа разведчики сообщили, что из </w:t>
      </w:r>
      <w:proofErr w:type="spellStart"/>
      <w:r w:rsidRPr="00A259BD">
        <w:rPr>
          <w:rFonts w:ascii="Times New Roman" w:hAnsi="Times New Roman"/>
          <w:color w:val="000000" w:themeColor="text1"/>
          <w:sz w:val="16"/>
          <w:szCs w:val="16"/>
        </w:rPr>
        <w:t>Мукдена</w:t>
      </w:r>
      <w:proofErr w:type="spellEnd"/>
      <w:r w:rsidRPr="00A259BD">
        <w:rPr>
          <w:rFonts w:ascii="Times New Roman" w:hAnsi="Times New Roman"/>
          <w:color w:val="000000" w:themeColor="text1"/>
          <w:sz w:val="16"/>
          <w:szCs w:val="16"/>
        </w:rPr>
        <w:t xml:space="preserve"> в направлении ст. Маньч</w:t>
      </w:r>
      <w:r w:rsidRPr="00A259BD">
        <w:rPr>
          <w:rFonts w:ascii="Times New Roman" w:hAnsi="Times New Roman"/>
          <w:color w:val="000000" w:themeColor="text1"/>
          <w:sz w:val="16"/>
          <w:szCs w:val="16"/>
        </w:rPr>
        <w:softHyphen/>
        <w:t>журия отправлен авиаотряд из 20 са</w:t>
      </w:r>
      <w:r w:rsidRPr="00A259BD">
        <w:rPr>
          <w:rFonts w:ascii="Times New Roman" w:hAnsi="Times New Roman"/>
          <w:color w:val="000000" w:themeColor="text1"/>
          <w:sz w:val="16"/>
          <w:szCs w:val="16"/>
        </w:rPr>
        <w:softHyphen/>
        <w:t>молетов. Далее каких-либо упомина</w:t>
      </w:r>
      <w:r w:rsidRPr="00A259BD">
        <w:rPr>
          <w:rFonts w:ascii="Times New Roman" w:hAnsi="Times New Roman"/>
          <w:color w:val="000000" w:themeColor="text1"/>
          <w:sz w:val="16"/>
          <w:szCs w:val="16"/>
        </w:rPr>
        <w:softHyphen/>
        <w:t>ний о китайской авиации в советских донесениях не было до 5 октября, в тот день через Харбин на западную линию КВЖД проследовали два авиаотряда в составе: до 175 солдат, трех грузовых автомобилей, двух брезентовых анга</w:t>
      </w:r>
      <w:r w:rsidRPr="00A259BD">
        <w:rPr>
          <w:rFonts w:ascii="Times New Roman" w:hAnsi="Times New Roman"/>
          <w:color w:val="000000" w:themeColor="text1"/>
          <w:sz w:val="16"/>
          <w:szCs w:val="16"/>
        </w:rPr>
        <w:softHyphen/>
        <w:t>ров и двух зенитных орудий (тип и ко</w:t>
      </w:r>
      <w:r w:rsidRPr="00A259BD">
        <w:rPr>
          <w:rFonts w:ascii="Times New Roman" w:hAnsi="Times New Roman"/>
          <w:color w:val="000000" w:themeColor="text1"/>
          <w:sz w:val="16"/>
          <w:szCs w:val="16"/>
        </w:rPr>
        <w:softHyphen/>
        <w:t>личество самолетов разведчики не смогли установить) (11216).</w:t>
      </w:r>
    </w:p>
    <w:p w14:paraId="6C4EE6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F59D0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E95BEF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1CC67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августа 1929 г. в Нижнем Новгороде началась подготовка строительной площадки, а 2 мая 1930 г. состоялась торжественная церемония закладки первого камня автомобильного завода. Работы шли в таком темпе (на стройке трудилось свыше 5 тыс. человек), что уже в ноябре 1931 г. большая часть корпусов была готова для монтажа и отладки оборудования. На месте маленькой деревушки и окружавших ее пустырей быстро рос первоклассный современный автозавод. Первые 25 грузовиков ГАЗ-АА сошли с конвейера нового завода 29 января 1932 г., а с 1 апреля начался их непрерывный выпуск. Грандиозное предприятие, одно из крупнейших в Европе по производству автомобилей, выросло в неслыханно короткий срок - 19 месяцев. "Не дано нам историей тише идти",- говорил В. В. Куйбышев при подписании постановления о строительстве завода. Горьковский автомобильный завод (ГАЗ) не производил автомобили целиком - значительную часть комплектующих изделий поставляли почти четыре десятка предприятий-смежников. Согласовать их работу, добиться высокого качества изделий, строго придерживаться технологической дисциплины - вот нелегкие задачи, стоявшие перед новым заводом, люди которого порой не имели достаточного опыта. Насколько оправдан был путь, по которому пошло наше автомобилестроение? Не лучше ли все сделать своими силами, сэкономив миллионы валютных рублей. Наверное, другой путь был бы тоже возможен. Ознакомившись с постановкой массового производства за рубежом, мы подошли бы к необходимости создать новое станкостроение, которое лишь через несколько лет могло бы поставить нужное оборудование для будущих автозаводов. Параллельно пришлось бы методом проб и ошибок создавать конструкцию, которая бы полностью соответствовала конвейерной технологии. В конечном счете этот путь оказался бы более длинным, длиннее лет на пять. Этого наша экономика позволить себе не могла. И чтобы выиграть время, мы купили знания, опыт, производственное оборудование, начали делать современные автомобили ("Форд", "Автокар"), тракторы ("Интернационал", "Катер-</w:t>
      </w:r>
      <w:proofErr w:type="spellStart"/>
      <w:r w:rsidRPr="00A259BD">
        <w:rPr>
          <w:rFonts w:ascii="Times New Roman" w:hAnsi="Times New Roman"/>
          <w:color w:val="000000" w:themeColor="text1"/>
          <w:sz w:val="16"/>
          <w:szCs w:val="16"/>
        </w:rPr>
        <w:t>пиллер</w:t>
      </w:r>
      <w:proofErr w:type="spellEnd"/>
      <w:r w:rsidRPr="00A259BD">
        <w:rPr>
          <w:rFonts w:ascii="Times New Roman" w:hAnsi="Times New Roman"/>
          <w:color w:val="000000" w:themeColor="text1"/>
          <w:sz w:val="16"/>
          <w:szCs w:val="16"/>
        </w:rPr>
        <w:t xml:space="preserve">"), танки ("Виккерс", "Кристи") и многое другое. Стране нужен был быстрый рывок в индустриальную эпоху. Путь, на который она встала, оказался верным. С вводом в строй </w:t>
      </w:r>
      <w:proofErr w:type="spellStart"/>
      <w:r w:rsidRPr="00A259BD">
        <w:rPr>
          <w:rFonts w:ascii="Times New Roman" w:hAnsi="Times New Roman"/>
          <w:color w:val="000000" w:themeColor="text1"/>
          <w:sz w:val="16"/>
          <w:szCs w:val="16"/>
        </w:rPr>
        <w:t>ГАЗа</w:t>
      </w:r>
      <w:proofErr w:type="spellEnd"/>
      <w:r w:rsidRPr="00A259BD">
        <w:rPr>
          <w:rFonts w:ascii="Times New Roman" w:hAnsi="Times New Roman"/>
          <w:color w:val="000000" w:themeColor="text1"/>
          <w:sz w:val="16"/>
          <w:szCs w:val="16"/>
        </w:rPr>
        <w:t xml:space="preserve"> и АМО, а также целого ряда предприятий-смежников в нашем автомобилестроении была произведена технологическая революция. А когда они полностью освоили массовый выпуск трех базовых моделей, то наша страна смогла получать за год не 4 тыс. машин, как было в 1930 г., а 97 тыс. (1935 г.). Но не надо забывать, что дорогостоящие и высокопроизводительные специализированные станки, автоматизированные линии, с одной стороны, а с другой - необходимость сохранять имеющуюся инструментальную оснастку, служили и определенным тормозом техническому прогрессу. "Форд" и "Автокар" в 1935 г. уже перешли на более совершенные модели, и ГАЗ и ЗИС (такое наименование - "завод имени Сталина" - АМО получил 1 октября 1931 г.) вынуждены были держаться конструкций 1929 г., лишь в деталях их модернизируя. Сложное искусство подготовки </w:t>
      </w:r>
      <w:r w:rsidRPr="00A259BD">
        <w:rPr>
          <w:rFonts w:ascii="Times New Roman" w:hAnsi="Times New Roman"/>
          <w:color w:val="000000" w:themeColor="text1"/>
          <w:sz w:val="16"/>
          <w:szCs w:val="16"/>
        </w:rPr>
        <w:lastRenderedPageBreak/>
        <w:t>производства новых моделей и технологически непростой переход на них нашим заводам предстояло еще освоить. Вновь закупать в больших количествах за рубежом станки, оснастку, инструмент было в середине 30-х гг. не по карману. Приходилось развивать собственную станкостроительную промышленность, налаживать изготовление крупных штампов для кузовов, подтягивать смежные производства. Выпускаемые в 1931-1932 гг. нашими заводами модели были простыми. В них широко использовались чугун или сталь, а дорогостоящие легированные стали, алюминиевые сплавы, латунь, бронза применялись в очень ограниченном объеме. Бесспорно, это обстоятельство способствовало существенному снижению себестоимости, но тормозило создание легких конструкций. Наконец, надо учесть, что АМО-2, АМО-3, а позже и ЗИС-5 унаследовали от "Автокара" конструкцию, где все размеры деталей были кратны не миллиметрам, а дюймам. Кстати, так было и с ГАЗ-А и ГАЗ-АА, поскольку значительная часть станков и оборудования, также закупленных главным образом в США, имели фиксированные положения рабочих органов, выражавшиеся размерами, кратными дюймам и долям дюйма. Неудивительно поэтому, что ход поршней шестицилиндровых двигателей АМО, ЗИС и ЗИЛ, вплоть до выпускавшегося до недавного времени ЗИЛ-157К, не изменился-114,3 мм, то есть равнялся 4'/2 дюйма! То же самое можно сказать и о всех легковых автомобилях Горьковского автомобильного завода, включая и ГАЗ-3102: их колеса, начиная от ГАЗ-А, взаимозаменяемы, поскольку диаметр окружности колесных шпилек они унаследовали от "Форд-А" - 139,7 мм или 5'/2 дюйма (12098).</w:t>
      </w:r>
    </w:p>
    <w:p w14:paraId="79B7A5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531588" w14:textId="77777777" w:rsidR="00BD6F1B"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2F6DB37C" w14:textId="77777777" w:rsidR="00BD6F1B" w:rsidRPr="00A259BD" w:rsidRDefault="00BD6F1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E8B74EA" w14:textId="77777777" w:rsidR="00BD6F1B" w:rsidRPr="00A259BD" w:rsidRDefault="00BD6F1B"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и 11 августа 1929 г. Дальневосточный военный флот и приданные им десантные части произвели специальные операции в районах наибольшей активности китайских и белогвардейских формирований, а именно в селах Черняево, Полынь, Восемь Балаганов и Тю-</w:t>
      </w:r>
      <w:proofErr w:type="spellStart"/>
      <w:r w:rsidRPr="00A259BD">
        <w:rPr>
          <w:rFonts w:ascii="Times New Roman" w:hAnsi="Times New Roman"/>
          <w:color w:val="000000" w:themeColor="text1"/>
          <w:sz w:val="16"/>
          <w:szCs w:val="16"/>
        </w:rPr>
        <w:t>Тюнай</w:t>
      </w:r>
      <w:proofErr w:type="spellEnd"/>
      <w:r w:rsidRPr="00A259BD">
        <w:rPr>
          <w:rFonts w:ascii="Times New Roman" w:hAnsi="Times New Roman"/>
          <w:color w:val="000000" w:themeColor="text1"/>
          <w:sz w:val="16"/>
          <w:szCs w:val="16"/>
        </w:rPr>
        <w:t>. Но обстрелы и провокационные вылазки после этого усилились, особенно в начале октября (9978).</w:t>
      </w:r>
    </w:p>
    <w:p w14:paraId="6710F8D1" w14:textId="77777777" w:rsidR="00BD6F1B" w:rsidRPr="00A259BD" w:rsidRDefault="00BD6F1B" w:rsidP="009236E3">
      <w:pPr>
        <w:autoSpaceDE w:val="0"/>
        <w:autoSpaceDN w:val="0"/>
        <w:adjustRightInd w:val="0"/>
        <w:spacing w:after="0" w:line="240" w:lineRule="auto"/>
        <w:jc w:val="both"/>
        <w:rPr>
          <w:rFonts w:ascii="Times New Roman" w:hAnsi="Times New Roman"/>
          <w:color w:val="000000" w:themeColor="text1"/>
          <w:sz w:val="16"/>
          <w:szCs w:val="16"/>
        </w:rPr>
      </w:pPr>
    </w:p>
    <w:p w14:paraId="1126528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638CE6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52F23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14 августа по 20 сентября 1929 года в ходе испытаний самолет ТБ-1 № 602 совершил в НИИ ВВС 40 полетов, общей продолжительностью 31 час 38 минут, а затем был направлен в 51-ю эскадрилью (Воронеж) для технических и эксплуатационных испытаний (6942).</w:t>
      </w:r>
    </w:p>
    <w:p w14:paraId="2523666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1B39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августа 1929 сделали заказ в США на двигатель </w:t>
      </w:r>
      <w:proofErr w:type="spellStart"/>
      <w:r w:rsidRPr="00A259BD">
        <w:rPr>
          <w:rFonts w:ascii="Times New Roman" w:hAnsi="Times New Roman"/>
          <w:color w:val="000000" w:themeColor="text1"/>
          <w:sz w:val="16"/>
          <w:szCs w:val="16"/>
        </w:rPr>
        <w:t>Хорнет</w:t>
      </w:r>
      <w:proofErr w:type="spellEnd"/>
      <w:r w:rsidRPr="00A259BD">
        <w:rPr>
          <w:rFonts w:ascii="Times New Roman" w:hAnsi="Times New Roman"/>
          <w:color w:val="000000" w:themeColor="text1"/>
          <w:sz w:val="16"/>
          <w:szCs w:val="16"/>
        </w:rPr>
        <w:t xml:space="preserve"> для будущего К-5 (70,160).</w:t>
      </w:r>
    </w:p>
    <w:p w14:paraId="61761E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6AC4D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августа 1929 г. на заседании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обсуждалось серийное производство Р-5. Заводу № 1 в 1929/30 опера</w:t>
      </w:r>
      <w:r w:rsidRPr="00A259BD">
        <w:rPr>
          <w:rFonts w:ascii="Times New Roman" w:hAnsi="Times New Roman"/>
          <w:color w:val="000000" w:themeColor="text1"/>
          <w:sz w:val="16"/>
          <w:szCs w:val="16"/>
        </w:rPr>
        <w:softHyphen/>
        <w:t>ционном году поручили построить 40 экземпляров Р-5 с мотором (10667).</w:t>
      </w:r>
    </w:p>
    <w:p w14:paraId="1A0D4A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E998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августа 1929 состоялось заседание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65) с повесткой дня:</w:t>
      </w:r>
    </w:p>
    <w:p w14:paraId="3E9A25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Рассмотрение программы на 29/30 г.</w:t>
      </w:r>
    </w:p>
    <w:p w14:paraId="3A8BA0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 Программу утвердить в следующих количествах:</w:t>
      </w:r>
    </w:p>
    <w:p w14:paraId="1996BE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заводу 31</w:t>
      </w:r>
    </w:p>
    <w:p w14:paraId="470ACE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Р-1 М-5 - 429, групповые комплекты - 70.</w:t>
      </w:r>
    </w:p>
    <w:p w14:paraId="0495F6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заводу 1</w:t>
      </w:r>
    </w:p>
    <w:p w14:paraId="081354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Р-5 М-17 40 шт. (условно).</w:t>
      </w:r>
    </w:p>
    <w:p w14:paraId="689CA4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Предложить заводу 1 проработать планировку производства выпуска Р-5, с таким расчетом, чтобы в мае предъявить не менее 5 Р-5.</w:t>
      </w:r>
    </w:p>
    <w:p w14:paraId="5C6007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По заявлению УВВС, зафиксированному в протоколе совещания у нач. ВВС от 12 августа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xml:space="preserve">., что ТУ на Р-5 будут окончательно утверждены к 1 октября при условии, что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3-й экз. опытной машины обязан выпустить не позже 20 августа со всеми переделками и изменениями, которые внесены в процессе испытаний 1 и 2 экз.</w:t>
      </w:r>
    </w:p>
    <w:p w14:paraId="6B092E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И-3 - 344 маш.</w:t>
      </w:r>
    </w:p>
    <w:p w14:paraId="5A489D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Отметить, что на основании совещания у нач. ВВС от 12 августа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xml:space="preserve">. вопрос о заказе И-3 на 29/30 г. будет окончательно решен через месяц после передачи в части ВВС для эксплуатации 12 самолетов И-3 с переделанными рулями глубины и др. переделками, изложенными в письме зам. нач. ВВС N 2401 и согласованным между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и УВВС.</w:t>
      </w:r>
    </w:p>
    <w:p w14:paraId="2EDFF3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Предложить заводу 25 на основании указанного письма Зам. нач. ВВС срочно приступить к внесению изменений в машину И-3.</w:t>
      </w:r>
    </w:p>
    <w:p w14:paraId="6081E4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дальнейшем считать целесообразным все переделки в машинах серийного производства производить на заводах серийного производства путем ряда мероприятий, в т.ч. и создания спец. КБ.</w:t>
      </w:r>
    </w:p>
    <w:p w14:paraId="7231E2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Д-2 в договор не включать. Предложить заводу 25 продолжать работы по Д-2 и представить на машину соответствующие чертежи для завода 1.</w:t>
      </w:r>
    </w:p>
    <w:p w14:paraId="7ED039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заводу 22</w:t>
      </w:r>
    </w:p>
    <w:p w14:paraId="1548CB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И-4 - 112 шт.</w:t>
      </w:r>
    </w:p>
    <w:p w14:paraId="24AFC2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Предложить заводу 22 форсировать выпуск И-4 с пулеметами ПВ-1 в первой половине сентября.</w:t>
      </w:r>
    </w:p>
    <w:p w14:paraId="05B716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ТБ-1 - 40 шт., причем первая серия в 10 шт. (из новой продукции 1929/30) производится с изменениями, о которых УВВС должен заявить в месячный срок со дня сдачи в эксплуатацию 2-й серийной машины. (Для 2-й серии в 20 машин изменения должны быть внесены УВВС до 1 января 1930).</w:t>
      </w:r>
    </w:p>
    <w:p w14:paraId="5BEE99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Ввиду отсутствия результатов испытаний опытных машин Р-6, МР-5, РОМ в программу 1929/30 эти машины не вводить, а провести особым соглашением с УВВС.</w:t>
      </w:r>
    </w:p>
    <w:p w14:paraId="6B71B7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заводу 23</w:t>
      </w:r>
    </w:p>
    <w:p w14:paraId="048A29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По предложению УВВС, П-2 в программу 1929/30 эту машину не вводить.</w:t>
      </w:r>
    </w:p>
    <w:p w14:paraId="435B71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Предложить заводу 23 работы по заделу по П-2 на будущий год прекратить.</w:t>
      </w:r>
    </w:p>
    <w:p w14:paraId="2627C5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У-1 М-2 - 50 шт.</w:t>
      </w:r>
    </w:p>
    <w:p w14:paraId="5EE362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У-2 М-11 - 100 шт., из которых 20 шт. предъявить без моторов.</w:t>
      </w:r>
    </w:p>
    <w:p w14:paraId="544DC3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Му-1 - 16.</w:t>
      </w:r>
    </w:p>
    <w:p w14:paraId="464CC7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заводу 24</w:t>
      </w:r>
    </w:p>
    <w:p w14:paraId="0A8629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М-5 (В и дубль В) - 600 шт.</w:t>
      </w:r>
    </w:p>
    <w:p w14:paraId="57E23A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М-2 - 200 шт.</w:t>
      </w:r>
    </w:p>
    <w:p w14:paraId="1CDB07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заводу 26</w:t>
      </w:r>
    </w:p>
    <w:p w14:paraId="19B5EB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М-17 - 180 шт.</w:t>
      </w:r>
    </w:p>
    <w:p w14:paraId="732104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заводу 29</w:t>
      </w:r>
    </w:p>
    <w:p w14:paraId="54C407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М-6 - 64 шт.</w:t>
      </w:r>
    </w:p>
    <w:p w14:paraId="7F6346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М-11 - 130 шт.</w:t>
      </w:r>
    </w:p>
    <w:p w14:paraId="1EA4D8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М-22 - 10 шт. (условно) (2351,240).</w:t>
      </w:r>
    </w:p>
    <w:p w14:paraId="351652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0EDE2D4"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14 августа 1929 г. состоялось заседание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(протокол №65) по вопросу программы серийного производства самолетов на 1929 / 1930 гг., на котором постановили утвердить план выпуска самолетов И-3 в объеме 344 штуки – что с УВВС пока согласовано не было, при этом </w:t>
      </w:r>
      <w:proofErr w:type="spellStart"/>
      <w:r w:rsidRPr="00441F34">
        <w:rPr>
          <w:rFonts w:ascii="Times New Roman" w:hAnsi="Times New Roman"/>
          <w:color w:val="0070C0"/>
          <w:sz w:val="16"/>
          <w:szCs w:val="16"/>
        </w:rPr>
        <w:t>Авиатрест</w:t>
      </w:r>
      <w:proofErr w:type="spellEnd"/>
      <w:r w:rsidRPr="00441F34">
        <w:rPr>
          <w:rFonts w:ascii="Times New Roman" w:hAnsi="Times New Roman"/>
          <w:color w:val="0070C0"/>
          <w:sz w:val="16"/>
          <w:szCs w:val="16"/>
        </w:rPr>
        <w:t xml:space="preserve"> принял к сведению сроки и условия начала приемки, выдвинутые УВВС и постановил «Предложить заводу 25 на основании указанного письма Зам. нач. ВВС срочно приступить к внесению изменений в машину И-3. В дальнейшем считать целесообразным все переделки в машинах серийного производства производить на заводах серийного производства путем ряда мероприятий, в т.ч. и создания спец. КБ» (24887).</w:t>
      </w:r>
    </w:p>
    <w:p w14:paraId="0123AB5F" w14:textId="77777777" w:rsidR="00DF6949" w:rsidRPr="00441F34" w:rsidRDefault="00DF6949" w:rsidP="00DF6949">
      <w:pPr>
        <w:spacing w:after="0" w:line="240" w:lineRule="auto"/>
        <w:jc w:val="both"/>
        <w:rPr>
          <w:rFonts w:ascii="Times New Roman" w:hAnsi="Times New Roman"/>
          <w:color w:val="0070C0"/>
          <w:sz w:val="16"/>
          <w:szCs w:val="16"/>
        </w:rPr>
      </w:pPr>
    </w:p>
    <w:p w14:paraId="3454C3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августа 1929 года зам. наркома и председатель РВС </w:t>
      </w:r>
      <w:proofErr w:type="spellStart"/>
      <w:r w:rsidRPr="00A259BD">
        <w:rPr>
          <w:rFonts w:ascii="Times New Roman" w:hAnsi="Times New Roman"/>
          <w:color w:val="000000" w:themeColor="text1"/>
          <w:sz w:val="16"/>
          <w:szCs w:val="16"/>
        </w:rPr>
        <w:t>Уншлихт</w:t>
      </w:r>
      <w:proofErr w:type="spellEnd"/>
      <w:r w:rsidRPr="00A259BD">
        <w:rPr>
          <w:rFonts w:ascii="Times New Roman" w:hAnsi="Times New Roman"/>
          <w:color w:val="000000" w:themeColor="text1"/>
          <w:sz w:val="16"/>
          <w:szCs w:val="16"/>
        </w:rPr>
        <w:t xml:space="preserve"> писал письмо № 01310 председателю РЗ СТО Рудзутаку</w:t>
      </w:r>
    </w:p>
    <w:p w14:paraId="32E9A9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связи с тем, что составление проекта резолюции РЗ СТО по вопросу "О развитии авиапромышленности" требует большой предварительной работы, прошу срок окончания работ комиссии, назначенной протоколом РЗ СТО № 37 от 29 июля 1929 года увеличить на один месяц (3545, 70).</w:t>
      </w:r>
    </w:p>
    <w:p w14:paraId="491A8A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532D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августа 1929 года на Кузьминском полигоне был выполнен опыт по выливанию ОВ (это был хлорпикрин). Во время взлета на высоте 20-25 м неожиданно вскрылся один из </w:t>
      </w:r>
      <w:proofErr w:type="spellStart"/>
      <w:r w:rsidRPr="00A259BD">
        <w:rPr>
          <w:rFonts w:ascii="Times New Roman" w:hAnsi="Times New Roman"/>
          <w:color w:val="000000" w:themeColor="text1"/>
          <w:sz w:val="16"/>
          <w:szCs w:val="16"/>
        </w:rPr>
        <w:t>ВАПов</w:t>
      </w:r>
      <w:proofErr w:type="spellEnd"/>
      <w:r w:rsidRPr="00A259BD">
        <w:rPr>
          <w:rFonts w:ascii="Times New Roman" w:hAnsi="Times New Roman"/>
          <w:color w:val="000000" w:themeColor="text1"/>
          <w:sz w:val="16"/>
          <w:szCs w:val="16"/>
        </w:rPr>
        <w:t>. Другой ВАП вскрылся над самой целью нормально (9065).</w:t>
      </w:r>
    </w:p>
    <w:p w14:paraId="0400CC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BD2019" w14:textId="77777777" w:rsidR="00BD6F1B"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B853A32" w14:textId="77777777" w:rsidR="00BD6F1B" w:rsidRPr="00A259BD" w:rsidRDefault="00BD6F1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166535" w14:textId="77777777" w:rsidR="00BD6F1B" w:rsidRPr="00A259BD" w:rsidRDefault="00BD6F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14 августа 1929 г. Протокол закрытого заседания Президиума ВСНХ СССР. 1. Рассмотрение </w:t>
      </w:r>
      <w:proofErr w:type="spellStart"/>
      <w:r w:rsidRPr="00A259BD">
        <w:rPr>
          <w:rFonts w:ascii="Times New Roman" w:hAnsi="Times New Roman"/>
          <w:color w:val="000000" w:themeColor="text1"/>
          <w:sz w:val="16"/>
          <w:szCs w:val="16"/>
        </w:rPr>
        <w:t>промфинплана</w:t>
      </w:r>
      <w:proofErr w:type="spellEnd"/>
      <w:r w:rsidRPr="00A259BD">
        <w:rPr>
          <w:rFonts w:ascii="Times New Roman" w:hAnsi="Times New Roman"/>
          <w:color w:val="000000" w:themeColor="text1"/>
          <w:sz w:val="16"/>
          <w:szCs w:val="16"/>
        </w:rPr>
        <w:t xml:space="preserve"> на первый период войны. 2. О порядке и сроках представления оборонной части контрольных цифр гражданской промышленности и контрольных цифр военной промышленности на 1929/30 г. 3. О сроке представления </w:t>
      </w:r>
      <w:proofErr w:type="spellStart"/>
      <w:r w:rsidRPr="00A259BD">
        <w:rPr>
          <w:rFonts w:ascii="Times New Roman" w:hAnsi="Times New Roman"/>
          <w:color w:val="000000" w:themeColor="text1"/>
          <w:sz w:val="16"/>
          <w:szCs w:val="16"/>
        </w:rPr>
        <w:t>мобплана</w:t>
      </w:r>
      <w:proofErr w:type="spellEnd"/>
      <w:r w:rsidRPr="00A259BD">
        <w:rPr>
          <w:rFonts w:ascii="Times New Roman" w:hAnsi="Times New Roman"/>
          <w:color w:val="000000" w:themeColor="text1"/>
          <w:sz w:val="16"/>
          <w:szCs w:val="16"/>
        </w:rPr>
        <w:t xml:space="preserve"> по варианту лит[еры] «С» (РГАЭ. Ф. 3429. Оп. 6. Д. 193. Л. 3) (12417).</w:t>
      </w:r>
    </w:p>
    <w:p w14:paraId="6335824F" w14:textId="77777777" w:rsidR="00BD6F1B" w:rsidRPr="00A259BD" w:rsidRDefault="00BD6F1B" w:rsidP="009236E3">
      <w:pPr>
        <w:spacing w:after="0" w:line="240" w:lineRule="auto"/>
        <w:jc w:val="both"/>
        <w:rPr>
          <w:rFonts w:ascii="Times New Roman" w:hAnsi="Times New Roman"/>
          <w:color w:val="000000" w:themeColor="text1"/>
          <w:sz w:val="16"/>
          <w:szCs w:val="16"/>
        </w:rPr>
      </w:pPr>
    </w:p>
    <w:p w14:paraId="16D50BA9" w14:textId="77777777" w:rsidR="005A255E" w:rsidRPr="00A259BD" w:rsidRDefault="005A255E" w:rsidP="009236E3">
      <w:pPr>
        <w:spacing w:after="0" w:line="240" w:lineRule="auto"/>
        <w:jc w:val="both"/>
        <w:rPr>
          <w:rStyle w:val="af0"/>
          <w:rFonts w:ascii="Times New Roman" w:hAnsi="Times New Roman"/>
          <w:i w:val="0"/>
          <w:color w:val="000000" w:themeColor="text1"/>
          <w:sz w:val="16"/>
          <w:szCs w:val="16"/>
        </w:rPr>
      </w:pPr>
      <w:r w:rsidRPr="00A259BD">
        <w:rPr>
          <w:rFonts w:ascii="Times New Roman" w:hAnsi="Times New Roman"/>
          <w:bCs/>
          <w:color w:val="000000" w:themeColor="text1"/>
          <w:sz w:val="16"/>
          <w:szCs w:val="16"/>
        </w:rPr>
        <w:t>14 августа 1929 г. — Докладная записка председателя ВСНХ СССР В. В. Куйбышева в РЗ СТО СССР о передаче всей конструкторской работы в ведение промышленности</w:t>
      </w:r>
    </w:p>
    <w:p w14:paraId="062D08A5" w14:textId="77777777" w:rsidR="00BD6F1B" w:rsidRPr="00A259BD" w:rsidRDefault="00BD6F1B"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08B168E7" w14:textId="77777777" w:rsidR="00BD6F1B" w:rsidRPr="00A259BD" w:rsidRDefault="00BD6F1B" w:rsidP="009236E3">
      <w:pPr>
        <w:pStyle w:val="rtejustify"/>
        <w:spacing w:before="0" w:after="0"/>
        <w:rPr>
          <w:color w:val="000000" w:themeColor="text1"/>
          <w:sz w:val="16"/>
          <w:szCs w:val="16"/>
        </w:rPr>
      </w:pPr>
      <w:r w:rsidRPr="00A259BD">
        <w:rPr>
          <w:color w:val="000000" w:themeColor="text1"/>
          <w:sz w:val="16"/>
          <w:szCs w:val="16"/>
        </w:rPr>
        <w:t xml:space="preserve">Вопрос о передаче конструкторской работы в ведение промышленности в настоящее время является решенным, так как дальнейшее раздвоение этой важной отрасли работы между организациями промышленности и </w:t>
      </w:r>
      <w:proofErr w:type="spellStart"/>
      <w:r w:rsidRPr="00A259BD">
        <w:rPr>
          <w:color w:val="000000" w:themeColor="text1"/>
          <w:sz w:val="16"/>
          <w:szCs w:val="16"/>
        </w:rPr>
        <w:t>НКВМором</w:t>
      </w:r>
      <w:proofErr w:type="spellEnd"/>
      <w:r w:rsidRPr="00A259BD">
        <w:rPr>
          <w:color w:val="000000" w:themeColor="text1"/>
          <w:sz w:val="16"/>
          <w:szCs w:val="16"/>
        </w:rPr>
        <w:t>, при недостатке конструкторских сил и крупных специалистов, ослабляло бы эффективность наших достижений и недостаточно стимулировало широкие инженерно-технические силы, которыми располагает промышленность.</w:t>
      </w:r>
    </w:p>
    <w:p w14:paraId="191219EC" w14:textId="77777777" w:rsidR="00BD6F1B" w:rsidRPr="00A259BD" w:rsidRDefault="00BD6F1B" w:rsidP="009236E3">
      <w:pPr>
        <w:pStyle w:val="rtejustify"/>
        <w:spacing w:before="0" w:after="0"/>
        <w:rPr>
          <w:color w:val="000000" w:themeColor="text1"/>
          <w:sz w:val="16"/>
          <w:szCs w:val="16"/>
        </w:rPr>
      </w:pPr>
      <w:r w:rsidRPr="00A259BD">
        <w:rPr>
          <w:color w:val="000000" w:themeColor="text1"/>
          <w:sz w:val="16"/>
          <w:szCs w:val="16"/>
        </w:rPr>
        <w:t>Конструкторскую работу в промышленности решено главным образом сосредоточить в специальных конструкторских бюро при заводах в целях неразрывной и непосредственной связи с производством, и только как исключение и временную меру иметь такие бюро при некоторых трестах.</w:t>
      </w:r>
    </w:p>
    <w:p w14:paraId="66792875" w14:textId="77777777" w:rsidR="00BD6F1B" w:rsidRPr="00A259BD" w:rsidRDefault="00BD6F1B" w:rsidP="009236E3">
      <w:pPr>
        <w:pStyle w:val="rtejustify"/>
        <w:spacing w:before="0" w:after="0"/>
        <w:rPr>
          <w:color w:val="000000" w:themeColor="text1"/>
          <w:sz w:val="16"/>
          <w:szCs w:val="16"/>
        </w:rPr>
      </w:pPr>
      <w:r w:rsidRPr="00A259BD">
        <w:rPr>
          <w:color w:val="000000" w:themeColor="text1"/>
          <w:sz w:val="16"/>
          <w:szCs w:val="16"/>
        </w:rPr>
        <w:t xml:space="preserve">Существующие в настоящее время конструкторские бюро промышленности вследствие количественного увеличения заданий, поступающих от </w:t>
      </w:r>
      <w:proofErr w:type="spellStart"/>
      <w:r w:rsidRPr="00A259BD">
        <w:rPr>
          <w:color w:val="000000" w:themeColor="text1"/>
          <w:sz w:val="16"/>
          <w:szCs w:val="16"/>
        </w:rPr>
        <w:t>НКВМора</w:t>
      </w:r>
      <w:proofErr w:type="spellEnd"/>
      <w:r w:rsidRPr="00A259BD">
        <w:rPr>
          <w:color w:val="000000" w:themeColor="text1"/>
          <w:sz w:val="16"/>
          <w:szCs w:val="16"/>
        </w:rPr>
        <w:t xml:space="preserve"> в связи с расширением программы по модернизации и разработке новых образцов вооружения, требуют своего расширения и пополнения личным составом. Кроме того, и количество существующих в настоящее время конструкторских бюро в связи с увеличением заданий требует своего увеличения и организации при тех предприятиях, кои их или не имели вовсе, или имеют [в] виде отдельных конструкторов.</w:t>
      </w:r>
    </w:p>
    <w:p w14:paraId="5111F369" w14:textId="77777777" w:rsidR="00BD6F1B" w:rsidRPr="00A259BD" w:rsidRDefault="00BD6F1B" w:rsidP="009236E3">
      <w:pPr>
        <w:pStyle w:val="rtejustify"/>
        <w:spacing w:before="0" w:after="0"/>
        <w:rPr>
          <w:color w:val="000000" w:themeColor="text1"/>
          <w:sz w:val="16"/>
          <w:szCs w:val="16"/>
        </w:rPr>
      </w:pPr>
      <w:r w:rsidRPr="00A259BD">
        <w:rPr>
          <w:color w:val="000000" w:themeColor="text1"/>
          <w:sz w:val="16"/>
          <w:szCs w:val="16"/>
        </w:rPr>
        <w:t>Одним из важнейших затруднений, встречаемых промышленностью при организации и формировании конструкторских бюро, является вопрос укомплектования их надлежаще подготовленным кадром специалистов.</w:t>
      </w:r>
    </w:p>
    <w:p w14:paraId="38B3D3FE" w14:textId="77777777" w:rsidR="00BD6F1B" w:rsidRPr="00A259BD" w:rsidRDefault="00BD6F1B" w:rsidP="009236E3">
      <w:pPr>
        <w:pStyle w:val="rtejustify"/>
        <w:spacing w:before="0" w:after="0"/>
        <w:rPr>
          <w:color w:val="000000" w:themeColor="text1"/>
          <w:sz w:val="16"/>
          <w:szCs w:val="16"/>
        </w:rPr>
      </w:pPr>
      <w:r w:rsidRPr="00A259BD">
        <w:rPr>
          <w:color w:val="000000" w:themeColor="text1"/>
          <w:sz w:val="16"/>
          <w:szCs w:val="16"/>
        </w:rPr>
        <w:t>РЗ СТО в своих постановлениях от 6 марта 1929 г. и 31 мая 1929 г.¹* обратило внимание на необходимость усиления инженерно-технического персонала в промышленности и наметило ряд мероприятий.</w:t>
      </w:r>
    </w:p>
    <w:p w14:paraId="65D890BC" w14:textId="77777777" w:rsidR="00BD6F1B" w:rsidRPr="00A259BD" w:rsidRDefault="00BD6F1B" w:rsidP="009236E3">
      <w:pPr>
        <w:pStyle w:val="rtejustify"/>
        <w:spacing w:before="0" w:after="0"/>
        <w:rPr>
          <w:color w:val="000000" w:themeColor="text1"/>
          <w:sz w:val="16"/>
          <w:szCs w:val="16"/>
        </w:rPr>
      </w:pPr>
      <w:r w:rsidRPr="00A259BD">
        <w:rPr>
          <w:color w:val="000000" w:themeColor="text1"/>
          <w:sz w:val="16"/>
          <w:szCs w:val="16"/>
        </w:rPr>
        <w:t>Во исполнение решений РЗ СТО промышленность должна сделать все возможное по укомплектованию конструкторским составом конструкторских бюро как путем привлечения к этому делу конструкторов и работников с конструкторским уклоном, использованных в промышленности на другой работе, так и привлечением к ней молодняка из числа оканчивающих втузы и способных к ведению этой работы. Этим путем промышленность надеется усилить существующие конструкторские бюро личным составом, но в условиях настоящего момента, при той бедности в конструкторских силах, которую мы ощущаем в том масштабе работ, который намечен на ближайшее время, а также принимая во внимание решение о передаче конструкторского дела в ведение промышленности, ВСНХ СССР считает необходимым для этой работы полное использование тех конструкторских сил, кои имеются в распоряжении НКВМ, путем передачи их промышленности.</w:t>
      </w:r>
    </w:p>
    <w:p w14:paraId="403577DB" w14:textId="77777777" w:rsidR="00BD6F1B" w:rsidRPr="00A259BD" w:rsidRDefault="00BD6F1B" w:rsidP="009236E3">
      <w:pPr>
        <w:pStyle w:val="rtejustify"/>
        <w:spacing w:before="0" w:after="0"/>
        <w:rPr>
          <w:color w:val="000000" w:themeColor="text1"/>
          <w:sz w:val="16"/>
          <w:szCs w:val="16"/>
        </w:rPr>
      </w:pPr>
      <w:r w:rsidRPr="00A259BD">
        <w:rPr>
          <w:color w:val="000000" w:themeColor="text1"/>
          <w:sz w:val="16"/>
          <w:szCs w:val="16"/>
        </w:rPr>
        <w:t>Необходимость такой передачи из НКВМ в промышленность лиц, занятых конструкторской работой, в условиях настоящего момента является совершенно очевидной, так как почти каждое последнее выполнение серьезного задания НКВМ на разработку и изготовление новых образцов вооружения, как, например, 203</w:t>
      </w:r>
      <w:r w:rsidRPr="00A259BD">
        <w:rPr>
          <w:color w:val="000000" w:themeColor="text1"/>
          <w:sz w:val="16"/>
          <w:szCs w:val="16"/>
        </w:rPr>
        <w:noBreakHyphen/>
        <w:t>мм гаубицы, 45</w:t>
      </w:r>
      <w:r w:rsidRPr="00A259BD">
        <w:rPr>
          <w:color w:val="000000" w:themeColor="text1"/>
          <w:sz w:val="16"/>
          <w:szCs w:val="16"/>
        </w:rPr>
        <w:noBreakHyphen/>
        <w:t>мм батальонной пушки, 122</w:t>
      </w:r>
      <w:r w:rsidRPr="00A259BD">
        <w:rPr>
          <w:color w:val="000000" w:themeColor="text1"/>
          <w:sz w:val="16"/>
          <w:szCs w:val="16"/>
        </w:rPr>
        <w:noBreakHyphen/>
        <w:t>мм корпусной пушки, обуславливается необходимостью помощи конструкторскими силами НКВМ. Поскольку имеются налицо подобные обстоятельства и работникам НКВМ, занятым конструкторской работой, приходится производить эту работу уже в местах производства опытных образцов, т. е. фактически работать в промышленности, постольку ВСНХ СССР считает необходимым их закрепление за промышленностью.</w:t>
      </w:r>
    </w:p>
    <w:p w14:paraId="5E43D430" w14:textId="77777777" w:rsidR="00BD6F1B" w:rsidRPr="00A259BD" w:rsidRDefault="00BD6F1B" w:rsidP="009236E3">
      <w:pPr>
        <w:pStyle w:val="rtejustify"/>
        <w:spacing w:before="0" w:after="0"/>
        <w:rPr>
          <w:color w:val="000000" w:themeColor="text1"/>
          <w:sz w:val="16"/>
          <w:szCs w:val="16"/>
        </w:rPr>
      </w:pPr>
      <w:r w:rsidRPr="00A259BD">
        <w:rPr>
          <w:color w:val="000000" w:themeColor="text1"/>
          <w:sz w:val="16"/>
          <w:szCs w:val="16"/>
        </w:rPr>
        <w:t xml:space="preserve">На основании изложенного ВСНХ СССР ходатайствует о закреплении за промышленностью всех работников НКВМ, занятых в настоящее время конструкторской работой на предприятиях промышленности, а также о передаче из НКВМ в промышленность работников, занятых этой работой в техкомах НКВМ в связи </w:t>
      </w:r>
      <w:r w:rsidRPr="00A259BD">
        <w:rPr>
          <w:rStyle w:val="af0"/>
          <w:i w:val="0"/>
          <w:color w:val="000000" w:themeColor="text1"/>
          <w:sz w:val="16"/>
          <w:szCs w:val="16"/>
        </w:rPr>
        <w:t>с</w:t>
      </w:r>
      <w:r w:rsidRPr="00A259BD">
        <w:rPr>
          <w:color w:val="000000" w:themeColor="text1"/>
          <w:sz w:val="16"/>
          <w:szCs w:val="16"/>
        </w:rPr>
        <w:t xml:space="preserve"> реорганизаций последних.</w:t>
      </w:r>
    </w:p>
    <w:p w14:paraId="6B302827" w14:textId="77777777" w:rsidR="00BD6F1B" w:rsidRPr="00A259BD" w:rsidRDefault="00BD6F1B"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Председатель ВСНХ СССР </w:t>
      </w:r>
      <w:hyperlink r:id="rId159" w:history="1">
        <w:r w:rsidRPr="00A259BD">
          <w:rPr>
            <w:rStyle w:val="af0"/>
            <w:i w:val="0"/>
            <w:color w:val="000000" w:themeColor="text1"/>
            <w:sz w:val="16"/>
            <w:szCs w:val="16"/>
          </w:rPr>
          <w:t>Куйбышев</w:t>
        </w:r>
      </w:hyperlink>
    </w:p>
    <w:p w14:paraId="31813D88" w14:textId="77777777" w:rsidR="00BD6F1B" w:rsidRPr="00A259BD" w:rsidRDefault="00BD6F1B"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Примечание</w:t>
      </w:r>
      <w:r w:rsidRPr="00A259BD">
        <w:rPr>
          <w:color w:val="000000" w:themeColor="text1"/>
          <w:sz w:val="16"/>
          <w:szCs w:val="16"/>
        </w:rPr>
        <w:t>:</w:t>
      </w:r>
    </w:p>
    <w:p w14:paraId="46224A78" w14:textId="77777777" w:rsidR="00BD6F1B" w:rsidRPr="00A259BD" w:rsidRDefault="00BD6F1B" w:rsidP="009236E3">
      <w:pPr>
        <w:pStyle w:val="rtejustify"/>
        <w:spacing w:before="0" w:after="0"/>
        <w:rPr>
          <w:color w:val="000000" w:themeColor="text1"/>
          <w:sz w:val="16"/>
          <w:szCs w:val="16"/>
        </w:rPr>
      </w:pPr>
      <w:r w:rsidRPr="00A259BD">
        <w:rPr>
          <w:color w:val="000000" w:themeColor="text1"/>
          <w:sz w:val="16"/>
          <w:szCs w:val="16"/>
        </w:rPr>
        <w:t>1* </w:t>
      </w:r>
      <w:r w:rsidRPr="00A259BD">
        <w:rPr>
          <w:rStyle w:val="af0"/>
          <w:i w:val="0"/>
          <w:color w:val="000000" w:themeColor="text1"/>
          <w:sz w:val="16"/>
          <w:szCs w:val="16"/>
        </w:rPr>
        <w:t>Постановление РЗ СТО СССР от 31 мая 1929 г. «О мероприятиях по упорядочению капитального строительства военной промышленности»</w:t>
      </w:r>
      <w:r w:rsidRPr="00A259BD">
        <w:rPr>
          <w:color w:val="000000" w:themeColor="text1"/>
          <w:sz w:val="16"/>
          <w:szCs w:val="16"/>
        </w:rPr>
        <w:t xml:space="preserve"> предлагало усилить военную промышленность и военные производства гражданской промышленности личным составом за счет откомандирования из гражданской промышленности лучших передовиков производства, а также инженеров и техников, организовать систему подготовки в технических вузах персонала для укомплектования военной промышленности и военных производств в гражданской промышленности; совместно с НКВМ установить порядок использования военных академий для подготовки специалистов, необходимых военной промышленности.</w:t>
      </w:r>
    </w:p>
    <w:p w14:paraId="2C8FC30C" w14:textId="77777777" w:rsidR="00BD6F1B" w:rsidRPr="00A259BD" w:rsidRDefault="00BD6F1B" w:rsidP="009236E3">
      <w:pPr>
        <w:pStyle w:val="ae"/>
        <w:spacing w:before="0" w:after="0"/>
        <w:jc w:val="both"/>
        <w:rPr>
          <w:color w:val="000000" w:themeColor="text1"/>
          <w:sz w:val="16"/>
          <w:szCs w:val="16"/>
        </w:rPr>
      </w:pPr>
      <w:r w:rsidRPr="00A259BD">
        <w:rPr>
          <w:color w:val="000000" w:themeColor="text1"/>
          <w:sz w:val="16"/>
          <w:szCs w:val="16"/>
        </w:rPr>
        <w:t>ГА РФ. Ф. Р-8418. Оп. 3. Д. 9. Л. 259-259 об. Подлинник.</w:t>
      </w:r>
    </w:p>
    <w:p w14:paraId="223A7AF4" w14:textId="77777777" w:rsidR="00BD6F1B" w:rsidRPr="00A259BD" w:rsidRDefault="00BD6F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ГА РФ. Ф. Р-8418. Оп. 3. Д. 9. Л. 259-259 об. Подлинник. </w:t>
      </w:r>
    </w:p>
    <w:p w14:paraId="388BA314" w14:textId="77777777" w:rsidR="00BD6F1B" w:rsidRPr="00A259BD" w:rsidRDefault="00BD6F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354-355 (12463).</w:t>
      </w:r>
    </w:p>
    <w:p w14:paraId="5FFC1832" w14:textId="77777777" w:rsidR="00BD6F1B" w:rsidRPr="00A259BD" w:rsidRDefault="00BD6F1B" w:rsidP="009236E3">
      <w:pPr>
        <w:spacing w:after="0" w:line="240" w:lineRule="auto"/>
        <w:jc w:val="both"/>
        <w:rPr>
          <w:rFonts w:ascii="Times New Roman" w:hAnsi="Times New Roman"/>
          <w:color w:val="000000" w:themeColor="text1"/>
          <w:sz w:val="16"/>
          <w:szCs w:val="16"/>
        </w:rPr>
      </w:pPr>
    </w:p>
    <w:p w14:paraId="65391F83" w14:textId="77777777" w:rsidR="005A255E" w:rsidRPr="00A259BD" w:rsidRDefault="005A255E"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bCs/>
          <w:iCs/>
          <w:color w:val="000000" w:themeColor="text1"/>
          <w:sz w:val="16"/>
          <w:szCs w:val="16"/>
        </w:rPr>
        <w:t>14 августа-7 сентября 1929 г.</w:t>
      </w:r>
      <w:r w:rsidRPr="00A259BD">
        <w:rPr>
          <w:rFonts w:ascii="Times New Roman" w:hAnsi="Times New Roman"/>
          <w:color w:val="000000" w:themeColor="text1"/>
          <w:sz w:val="16"/>
          <w:szCs w:val="16"/>
        </w:rPr>
        <w:t xml:space="preserve"> Войсковые испытания новых образцов химического оружия на артиллерийском полигоне близ </w:t>
      </w:r>
      <w:proofErr w:type="spellStart"/>
      <w:r w:rsidRPr="00A259BD">
        <w:rPr>
          <w:rFonts w:ascii="Times New Roman" w:hAnsi="Times New Roman"/>
          <w:color w:val="000000" w:themeColor="text1"/>
          <w:sz w:val="16"/>
          <w:szCs w:val="16"/>
        </w:rPr>
        <w:t>ст.Дретунь</w:t>
      </w:r>
      <w:proofErr w:type="spellEnd"/>
      <w:r w:rsidRPr="00A259BD">
        <w:rPr>
          <w:rFonts w:ascii="Times New Roman" w:hAnsi="Times New Roman"/>
          <w:color w:val="000000" w:themeColor="text1"/>
          <w:sz w:val="16"/>
          <w:szCs w:val="16"/>
        </w:rPr>
        <w:t xml:space="preserve"> (Витебская обл., Белоруссия). В их числе были испытаны авиационные химические бомбы калибра 8, 16 и 32 кг в снаряжении ипритом с помощью бомбометания (17133).</w:t>
      </w:r>
    </w:p>
    <w:p w14:paraId="5B7ACD43" w14:textId="77777777" w:rsidR="005A255E" w:rsidRPr="00A259BD" w:rsidRDefault="005A255E" w:rsidP="009236E3">
      <w:pPr>
        <w:shd w:val="clear" w:color="auto" w:fill="FFFFFF"/>
        <w:spacing w:after="0" w:line="240" w:lineRule="auto"/>
        <w:jc w:val="both"/>
        <w:rPr>
          <w:rFonts w:ascii="Times New Roman" w:hAnsi="Times New Roman"/>
          <w:color w:val="000000" w:themeColor="text1"/>
          <w:sz w:val="16"/>
          <w:szCs w:val="16"/>
        </w:rPr>
      </w:pPr>
    </w:p>
    <w:p w14:paraId="11217A0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C532D9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08EB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августа 1929 г. иранский представитель Иса-хан </w:t>
      </w:r>
      <w:proofErr w:type="spellStart"/>
      <w:r w:rsidRPr="00A259BD">
        <w:rPr>
          <w:rFonts w:ascii="Times New Roman" w:hAnsi="Times New Roman"/>
          <w:color w:val="000000" w:themeColor="text1"/>
          <w:sz w:val="16"/>
          <w:szCs w:val="16"/>
        </w:rPr>
        <w:t>Штаудах</w:t>
      </w:r>
      <w:proofErr w:type="spellEnd"/>
      <w:r w:rsidRPr="00A259BD">
        <w:rPr>
          <w:rFonts w:ascii="Times New Roman" w:hAnsi="Times New Roman"/>
          <w:color w:val="000000" w:themeColor="text1"/>
          <w:sz w:val="16"/>
          <w:szCs w:val="16"/>
        </w:rPr>
        <w:t xml:space="preserve"> принял на заводе № 1 еще четыре Р-1. Иранская авиация использовала часть полученных самолетов для борьбы с мятежниками в разных районах страны (11923).</w:t>
      </w:r>
    </w:p>
    <w:p w14:paraId="274E9B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B2C852" w14:textId="77777777" w:rsidR="00976E04" w:rsidRPr="00A259BD" w:rsidRDefault="00976E04"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15 августа 1929 г. на АНТ-5 дублере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1EBB9F93" w14:textId="77777777" w:rsidR="00976E04" w:rsidRPr="00A259BD" w:rsidRDefault="00976E04" w:rsidP="009236E3">
      <w:pPr>
        <w:pStyle w:val="a8"/>
        <w:jc w:val="both"/>
        <w:rPr>
          <w:rFonts w:ascii="Times New Roman" w:hAnsi="Times New Roman" w:cs="Times New Roman"/>
          <w:color w:val="000000" w:themeColor="text1"/>
        </w:rPr>
      </w:pPr>
    </w:p>
    <w:p w14:paraId="1EE57D3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501139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558C684" w14:textId="77777777" w:rsidR="00BD6F1B" w:rsidRPr="00A259BD" w:rsidRDefault="00BD6F1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августа 1929 г. Протокол заседания Президиума ВСНХ СССР. 790. О передаче ЦАГИ и НАМИ ГВПУ (РГАЭ. Ф. 3429. Оп. 1. Д. 5162. Л. 158) (12417).</w:t>
      </w:r>
    </w:p>
    <w:p w14:paraId="69C4A72B" w14:textId="77777777" w:rsidR="00BD6F1B" w:rsidRPr="00A259BD" w:rsidRDefault="00BD6F1B" w:rsidP="009236E3">
      <w:pPr>
        <w:spacing w:after="0" w:line="240" w:lineRule="auto"/>
        <w:jc w:val="both"/>
        <w:rPr>
          <w:rFonts w:ascii="Times New Roman" w:hAnsi="Times New Roman"/>
          <w:color w:val="000000" w:themeColor="text1"/>
          <w:sz w:val="16"/>
          <w:szCs w:val="16"/>
        </w:rPr>
      </w:pPr>
    </w:p>
    <w:p w14:paraId="384E0825" w14:textId="77777777" w:rsidR="00BD6F1B" w:rsidRPr="00A259BD" w:rsidRDefault="00BD6F1B"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15 августа</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xml:space="preserve">. Протокол заседания Политбюро ЦК ВКП(б) № 93. 12. О работниках военной промышленности (ПБ от 8 августа 1929 г., пр. № 92, п. 3) (Лебедь, </w:t>
      </w:r>
      <w:proofErr w:type="spellStart"/>
      <w:r w:rsidRPr="00A259BD">
        <w:rPr>
          <w:rFonts w:ascii="Times New Roman" w:hAnsi="Times New Roman"/>
          <w:color w:val="000000" w:themeColor="text1"/>
          <w:sz w:val="16"/>
          <w:szCs w:val="16"/>
          <w:u w:color="002060"/>
        </w:rPr>
        <w:t>Толоконцев</w:t>
      </w:r>
      <w:proofErr w:type="spellEnd"/>
      <w:r w:rsidRPr="00A259BD">
        <w:rPr>
          <w:rFonts w:ascii="Times New Roman" w:hAnsi="Times New Roman"/>
          <w:color w:val="000000" w:themeColor="text1"/>
          <w:sz w:val="16"/>
          <w:szCs w:val="16"/>
          <w:u w:color="002060"/>
        </w:rPr>
        <w:t>). Решения ПБ от 12 августа 1929 г. 32. Предложение Сталина и Ворошилова [о создании комиссии по военным вопросам]. — ОП. (Политбюро... Т. 1. С. 715) (12416).</w:t>
      </w:r>
    </w:p>
    <w:p w14:paraId="249B4005" w14:textId="77777777" w:rsidR="00BD6F1B" w:rsidRPr="00A259BD" w:rsidRDefault="00BD6F1B" w:rsidP="009236E3">
      <w:pPr>
        <w:spacing w:after="0" w:line="240" w:lineRule="auto"/>
        <w:jc w:val="both"/>
        <w:rPr>
          <w:rFonts w:ascii="Times New Roman" w:hAnsi="Times New Roman"/>
          <w:color w:val="000000" w:themeColor="text1"/>
          <w:sz w:val="16"/>
          <w:szCs w:val="16"/>
          <w:u w:color="002060"/>
        </w:rPr>
      </w:pPr>
    </w:p>
    <w:p w14:paraId="72F3CB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августа 1929 г. советским военным атташе Путной был подготовлен доклад Ворошилову. Так, к началу августа 1929 г. общая сумма средств, выделенных на военные закупки в Германии, составила </w:t>
      </w:r>
      <w:proofErr w:type="spellStart"/>
      <w:r w:rsidRPr="00A259BD">
        <w:rPr>
          <w:rFonts w:ascii="Times New Roman" w:hAnsi="Times New Roman"/>
          <w:color w:val="000000" w:themeColor="text1"/>
          <w:sz w:val="16"/>
          <w:szCs w:val="16"/>
        </w:rPr>
        <w:t>ок</w:t>
      </w:r>
      <w:proofErr w:type="spellEnd"/>
      <w:r w:rsidRPr="00A259BD">
        <w:rPr>
          <w:rFonts w:ascii="Times New Roman" w:hAnsi="Times New Roman"/>
          <w:color w:val="000000" w:themeColor="text1"/>
          <w:sz w:val="16"/>
          <w:szCs w:val="16"/>
        </w:rPr>
        <w:t>. 7,2 млн. руб. Основные заказы были сделаны по линии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Орудартреста</w:t>
      </w:r>
      <w:proofErr w:type="spellEnd"/>
      <w:r w:rsidRPr="00A259BD">
        <w:rPr>
          <w:rFonts w:ascii="Times New Roman" w:hAnsi="Times New Roman"/>
          <w:color w:val="000000" w:themeColor="text1"/>
          <w:sz w:val="16"/>
          <w:szCs w:val="16"/>
        </w:rPr>
        <w:t xml:space="preserve">», «ВОХИМ-треста», «Оружейно-пулеметного треста» (РГВА, ф. 33988, </w:t>
      </w:r>
      <w:proofErr w:type="spellStart"/>
      <w:r w:rsidRPr="00A259BD">
        <w:rPr>
          <w:rFonts w:ascii="Times New Roman" w:hAnsi="Times New Roman"/>
          <w:color w:val="000000" w:themeColor="text1"/>
          <w:sz w:val="16"/>
          <w:szCs w:val="16"/>
        </w:rPr>
        <w:t>оп.З</w:t>
      </w:r>
      <w:proofErr w:type="spellEnd"/>
      <w:r w:rsidRPr="00A259BD">
        <w:rPr>
          <w:rFonts w:ascii="Times New Roman" w:hAnsi="Times New Roman"/>
          <w:color w:val="000000" w:themeColor="text1"/>
          <w:sz w:val="16"/>
          <w:szCs w:val="16"/>
        </w:rPr>
        <w:t>. д. 112, л. 18-19.) (11784).</w:t>
      </w:r>
    </w:p>
    <w:p w14:paraId="0DDB2B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C2A8A1E" w14:textId="77777777" w:rsidR="00976E04" w:rsidRPr="00A259BD" w:rsidRDefault="00976E0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августа 1929 г. советский военный атташе </w:t>
      </w:r>
      <w:proofErr w:type="spellStart"/>
      <w:r w:rsidRPr="00A259BD">
        <w:rPr>
          <w:rFonts w:ascii="Times New Roman" w:hAnsi="Times New Roman"/>
          <w:color w:val="000000" w:themeColor="text1"/>
          <w:sz w:val="16"/>
          <w:szCs w:val="16"/>
        </w:rPr>
        <w:t>Путна</w:t>
      </w:r>
      <w:proofErr w:type="spellEnd"/>
      <w:r w:rsidRPr="00A259BD">
        <w:rPr>
          <w:rFonts w:ascii="Times New Roman" w:hAnsi="Times New Roman"/>
          <w:color w:val="000000" w:themeColor="text1"/>
          <w:sz w:val="16"/>
          <w:szCs w:val="16"/>
        </w:rPr>
        <w:t xml:space="preserve"> в докладе Ворошилову сообщал, что к началу августа 1929 г. общая сумма средств, выделенных на военные закупки в Германии, составила </w:t>
      </w:r>
      <w:proofErr w:type="spellStart"/>
      <w:r w:rsidRPr="00A259BD">
        <w:rPr>
          <w:rFonts w:ascii="Times New Roman" w:hAnsi="Times New Roman"/>
          <w:color w:val="000000" w:themeColor="text1"/>
          <w:sz w:val="16"/>
          <w:szCs w:val="16"/>
        </w:rPr>
        <w:t>ок</w:t>
      </w:r>
      <w:proofErr w:type="spellEnd"/>
      <w:r w:rsidRPr="00A259BD">
        <w:rPr>
          <w:rFonts w:ascii="Times New Roman" w:hAnsi="Times New Roman"/>
          <w:color w:val="000000" w:themeColor="text1"/>
          <w:sz w:val="16"/>
          <w:szCs w:val="16"/>
        </w:rPr>
        <w:t>. 7,2 млн. руб. Основные заказы были сделаны по линии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Орудартреста</w:t>
      </w:r>
      <w:proofErr w:type="spellEnd"/>
      <w:r w:rsidRPr="00A259BD">
        <w:rPr>
          <w:rFonts w:ascii="Times New Roman" w:hAnsi="Times New Roman"/>
          <w:color w:val="000000" w:themeColor="text1"/>
          <w:sz w:val="16"/>
          <w:szCs w:val="16"/>
        </w:rPr>
        <w:t>», «ВОХИМ-треста», «Оружейно-пулеметного треста» (18265).</w:t>
      </w:r>
    </w:p>
    <w:p w14:paraId="7701762A" w14:textId="77777777" w:rsidR="00976E04" w:rsidRPr="00A259BD" w:rsidRDefault="00976E04" w:rsidP="009236E3">
      <w:pPr>
        <w:spacing w:after="0" w:line="240" w:lineRule="auto"/>
        <w:jc w:val="both"/>
        <w:rPr>
          <w:rFonts w:ascii="Times New Roman" w:hAnsi="Times New Roman"/>
          <w:color w:val="000000" w:themeColor="text1"/>
          <w:sz w:val="16"/>
          <w:szCs w:val="16"/>
        </w:rPr>
      </w:pPr>
    </w:p>
    <w:p w14:paraId="0E1F1E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августа 1929 г. двуколки с телеграфными </w:t>
      </w:r>
      <w:proofErr w:type="spellStart"/>
      <w:r w:rsidRPr="00A259BD">
        <w:rPr>
          <w:rFonts w:ascii="Times New Roman" w:hAnsi="Times New Roman"/>
          <w:color w:val="000000" w:themeColor="text1"/>
          <w:sz w:val="16"/>
          <w:szCs w:val="16"/>
        </w:rPr>
        <w:t>аппа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ратами</w:t>
      </w:r>
      <w:proofErr w:type="spellEnd"/>
      <w:r w:rsidRPr="00A259BD">
        <w:rPr>
          <w:rFonts w:ascii="Times New Roman" w:hAnsi="Times New Roman"/>
          <w:color w:val="000000" w:themeColor="text1"/>
          <w:sz w:val="16"/>
          <w:szCs w:val="16"/>
        </w:rPr>
        <w:t xml:space="preserve"> Шорина Ш-29 были сданы представителям Ленинградского военного округа (ЦГА СПб., ф. 478, оп. 1, д. 16, л. 53.). Одновременно с этим по заказу Научно-технического комитета (НТК) </w:t>
      </w:r>
      <w:proofErr w:type="spellStart"/>
      <w:r w:rsidRPr="00A259BD">
        <w:rPr>
          <w:rFonts w:ascii="Times New Roman" w:hAnsi="Times New Roman"/>
          <w:color w:val="000000" w:themeColor="text1"/>
          <w:sz w:val="16"/>
          <w:szCs w:val="16"/>
        </w:rPr>
        <w:t>Управле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ния</w:t>
      </w:r>
      <w:proofErr w:type="spellEnd"/>
      <w:r w:rsidRPr="00A259BD">
        <w:rPr>
          <w:rFonts w:ascii="Times New Roman" w:hAnsi="Times New Roman"/>
          <w:color w:val="000000" w:themeColor="text1"/>
          <w:sz w:val="16"/>
          <w:szCs w:val="16"/>
        </w:rPr>
        <w:t xml:space="preserve"> Военно-морских сил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w:t>
      </w:r>
      <w:proofErr w:type="spellStart"/>
      <w:r w:rsidRPr="00A259BD">
        <w:rPr>
          <w:rFonts w:ascii="Times New Roman" w:hAnsi="Times New Roman"/>
          <w:color w:val="000000" w:themeColor="text1"/>
          <w:sz w:val="16"/>
          <w:szCs w:val="16"/>
        </w:rPr>
        <w:t>радиовооружения</w:t>
      </w:r>
      <w:proofErr w:type="spellEnd"/>
      <w:r w:rsidRPr="00A259BD">
        <w:rPr>
          <w:rFonts w:ascii="Times New Roman" w:hAnsi="Times New Roman"/>
          <w:color w:val="000000" w:themeColor="text1"/>
          <w:sz w:val="16"/>
          <w:szCs w:val="16"/>
        </w:rPr>
        <w:t xml:space="preserve"> ВМФ «БЛОКАДА-1» (станции ШТОРМ, ШКВАЛ, УРАГАН) (ЦГА СПб., ф. 478, оп. 1, д. 16, л. 26.). Серийное производство аппаратов Ш-29 было осуществлено только в 1930 г., когда заводом им. Кулакова была выпущена партия в количестве пятидесяти комплектов (Нагорский В.М. </w:t>
      </w:r>
      <w:proofErr w:type="spellStart"/>
      <w:r w:rsidRPr="00A259BD">
        <w:rPr>
          <w:rFonts w:ascii="Times New Roman" w:hAnsi="Times New Roman"/>
          <w:color w:val="000000" w:themeColor="text1"/>
          <w:sz w:val="16"/>
          <w:szCs w:val="16"/>
        </w:rPr>
        <w:t>Указ.соч</w:t>
      </w:r>
      <w:proofErr w:type="spellEnd"/>
      <w:r w:rsidRPr="00A259BD">
        <w:rPr>
          <w:rFonts w:ascii="Times New Roman" w:hAnsi="Times New Roman"/>
          <w:color w:val="000000" w:themeColor="text1"/>
          <w:sz w:val="16"/>
          <w:szCs w:val="16"/>
        </w:rPr>
        <w:t xml:space="preserve">. // </w:t>
      </w:r>
      <w:proofErr w:type="spellStart"/>
      <w:r w:rsidRPr="00A259BD">
        <w:rPr>
          <w:rFonts w:ascii="Times New Roman" w:hAnsi="Times New Roman"/>
          <w:color w:val="000000" w:themeColor="text1"/>
          <w:sz w:val="16"/>
          <w:szCs w:val="16"/>
        </w:rPr>
        <w:t>Бюлл</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Электротех</w:t>
      </w:r>
      <w:proofErr w:type="spellEnd"/>
      <w:r w:rsidRPr="00A259BD">
        <w:rPr>
          <w:rFonts w:ascii="Times New Roman" w:hAnsi="Times New Roman"/>
          <w:color w:val="000000" w:themeColor="text1"/>
          <w:sz w:val="16"/>
          <w:szCs w:val="16"/>
        </w:rPr>
        <w:t xml:space="preserve">. треста зав. слабого). А уже в 1931 г. только по заказу УСКА было изготовлено 120 ап </w:t>
      </w:r>
      <w:proofErr w:type="spellStart"/>
      <w:r w:rsidRPr="00A259BD">
        <w:rPr>
          <w:rFonts w:ascii="Times New Roman" w:hAnsi="Times New Roman"/>
          <w:color w:val="000000" w:themeColor="text1"/>
          <w:sz w:val="16"/>
          <w:szCs w:val="16"/>
        </w:rPr>
        <w:t>паратов</w:t>
      </w:r>
      <w:proofErr w:type="spellEnd"/>
      <w:r w:rsidRPr="00A259BD">
        <w:rPr>
          <w:rFonts w:ascii="Times New Roman" w:hAnsi="Times New Roman"/>
          <w:color w:val="000000" w:themeColor="text1"/>
          <w:sz w:val="16"/>
          <w:szCs w:val="16"/>
        </w:rPr>
        <w:t xml:space="preserve">. Необходимо отметить, что практическая эксплуатация Ш-29 показала его существенные недостатки, основными из которых были малая скорость пе </w:t>
      </w:r>
      <w:proofErr w:type="spellStart"/>
      <w:r w:rsidRPr="00A259BD">
        <w:rPr>
          <w:rFonts w:ascii="Times New Roman" w:hAnsi="Times New Roman"/>
          <w:color w:val="000000" w:themeColor="text1"/>
          <w:sz w:val="16"/>
          <w:szCs w:val="16"/>
        </w:rPr>
        <w:t>редачи</w:t>
      </w:r>
      <w:proofErr w:type="spellEnd"/>
      <w:r w:rsidRPr="00A259BD">
        <w:rPr>
          <w:rFonts w:ascii="Times New Roman" w:hAnsi="Times New Roman"/>
          <w:color w:val="000000" w:themeColor="text1"/>
          <w:sz w:val="16"/>
          <w:szCs w:val="16"/>
        </w:rPr>
        <w:t xml:space="preserve"> (двести знаков в минуту) и большая стартстопная масса, которая </w:t>
      </w:r>
      <w:proofErr w:type="spellStart"/>
      <w:r w:rsidRPr="00A259BD">
        <w:rPr>
          <w:rFonts w:ascii="Times New Roman" w:hAnsi="Times New Roman"/>
          <w:color w:val="000000" w:themeColor="text1"/>
          <w:sz w:val="16"/>
          <w:szCs w:val="16"/>
        </w:rPr>
        <w:t>расша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тывала</w:t>
      </w:r>
      <w:proofErr w:type="spellEnd"/>
      <w:r w:rsidRPr="00A259BD">
        <w:rPr>
          <w:rFonts w:ascii="Times New Roman" w:hAnsi="Times New Roman"/>
          <w:color w:val="000000" w:themeColor="text1"/>
          <w:sz w:val="16"/>
          <w:szCs w:val="16"/>
        </w:rPr>
        <w:t xml:space="preserve"> механизм аппарата и часто выводила его из строя. Поэтому сразу после выпуска этого аппарата в производство А.Ф. Шорин совместно с сотрудниками завода им. Кулакова приступил к его </w:t>
      </w:r>
      <w:proofErr w:type="spellStart"/>
      <w:r w:rsidRPr="00A259BD">
        <w:rPr>
          <w:rFonts w:ascii="Times New Roman" w:hAnsi="Times New Roman"/>
          <w:color w:val="000000" w:themeColor="text1"/>
          <w:sz w:val="16"/>
          <w:szCs w:val="16"/>
        </w:rPr>
        <w:t>усовершенство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ванию</w:t>
      </w:r>
      <w:proofErr w:type="spellEnd"/>
      <w:r w:rsidRPr="00A259BD">
        <w:rPr>
          <w:rFonts w:ascii="Times New Roman" w:hAnsi="Times New Roman"/>
          <w:color w:val="000000" w:themeColor="text1"/>
          <w:sz w:val="16"/>
          <w:szCs w:val="16"/>
        </w:rPr>
        <w:t xml:space="preserve">, результатом чего стало появление в 1932 г. модернизированного </w:t>
      </w:r>
      <w:proofErr w:type="spellStart"/>
      <w:r w:rsidRPr="00A259BD">
        <w:rPr>
          <w:rFonts w:ascii="Times New Roman" w:hAnsi="Times New Roman"/>
          <w:color w:val="000000" w:themeColor="text1"/>
          <w:sz w:val="16"/>
          <w:szCs w:val="16"/>
        </w:rPr>
        <w:t>аппара</w:t>
      </w:r>
      <w:proofErr w:type="spellEnd"/>
      <w:r w:rsidRPr="00A259BD">
        <w:rPr>
          <w:rFonts w:ascii="Times New Roman" w:hAnsi="Times New Roman"/>
          <w:color w:val="000000" w:themeColor="text1"/>
          <w:sz w:val="16"/>
          <w:szCs w:val="16"/>
        </w:rPr>
        <w:t xml:space="preserve"> та Ш-32. Этот аппарат был принят на вооружение РККА и для эксплуатации на предприятиях Наркомата связи (НКС). Особенностью аппарата Шорина по срав нению с аналогичными аппаратами, применявшимися в то время в других </w:t>
      </w:r>
      <w:proofErr w:type="spellStart"/>
      <w:r w:rsidRPr="00A259BD">
        <w:rPr>
          <w:rFonts w:ascii="Times New Roman" w:hAnsi="Times New Roman"/>
          <w:color w:val="000000" w:themeColor="text1"/>
          <w:sz w:val="16"/>
          <w:szCs w:val="16"/>
        </w:rPr>
        <w:t>стра</w:t>
      </w:r>
      <w:proofErr w:type="spellEnd"/>
      <w:r w:rsidRPr="00A259BD">
        <w:rPr>
          <w:rFonts w:ascii="Times New Roman" w:hAnsi="Times New Roman"/>
          <w:color w:val="000000" w:themeColor="text1"/>
          <w:sz w:val="16"/>
          <w:szCs w:val="16"/>
        </w:rPr>
        <w:t xml:space="preserve"> нах, заключалась в том, что он мог работать в самых различных режимах и через целый ряд трансляций. Вес аппарата Шорина с кожухом составлял 25 </w:t>
      </w:r>
      <w:r w:rsidRPr="00A259BD">
        <w:rPr>
          <w:rFonts w:ascii="Times New Roman" w:hAnsi="Times New Roman"/>
          <w:color w:val="000000" w:themeColor="text1"/>
          <w:sz w:val="16"/>
          <w:szCs w:val="16"/>
        </w:rPr>
        <w:lastRenderedPageBreak/>
        <w:t xml:space="preserve">кг. Ско </w:t>
      </w:r>
      <w:proofErr w:type="spellStart"/>
      <w:r w:rsidRPr="00A259BD">
        <w:rPr>
          <w:rFonts w:ascii="Times New Roman" w:hAnsi="Times New Roman"/>
          <w:color w:val="000000" w:themeColor="text1"/>
          <w:sz w:val="16"/>
          <w:szCs w:val="16"/>
        </w:rPr>
        <w:t>рость</w:t>
      </w:r>
      <w:proofErr w:type="spellEnd"/>
      <w:r w:rsidRPr="00A259BD">
        <w:rPr>
          <w:rFonts w:ascii="Times New Roman" w:hAnsi="Times New Roman"/>
          <w:color w:val="000000" w:themeColor="text1"/>
          <w:sz w:val="16"/>
          <w:szCs w:val="16"/>
        </w:rPr>
        <w:t xml:space="preserve"> работы на дальних связях достигала 240 знаков в минуту. Конструкция ап </w:t>
      </w:r>
      <w:proofErr w:type="spellStart"/>
      <w:r w:rsidRPr="00A259BD">
        <w:rPr>
          <w:rFonts w:ascii="Times New Roman" w:hAnsi="Times New Roman"/>
          <w:color w:val="000000" w:themeColor="text1"/>
          <w:sz w:val="16"/>
          <w:szCs w:val="16"/>
        </w:rPr>
        <w:t>парата</w:t>
      </w:r>
      <w:proofErr w:type="spellEnd"/>
      <w:r w:rsidRPr="00A259BD">
        <w:rPr>
          <w:rFonts w:ascii="Times New Roman" w:hAnsi="Times New Roman"/>
          <w:color w:val="000000" w:themeColor="text1"/>
          <w:sz w:val="16"/>
          <w:szCs w:val="16"/>
        </w:rPr>
        <w:t xml:space="preserve"> была приспособлена к нашему производству, а клавиатура полностью со ответствовала клавиатуре стандартной пишущей машинки (Архив </w:t>
      </w:r>
      <w:proofErr w:type="spellStart"/>
      <w:r w:rsidRPr="00A259BD">
        <w:rPr>
          <w:rFonts w:ascii="Times New Roman" w:hAnsi="Times New Roman"/>
          <w:color w:val="000000" w:themeColor="text1"/>
          <w:sz w:val="16"/>
          <w:szCs w:val="16"/>
        </w:rPr>
        <w:t>ВИМАИВиВС</w:t>
      </w:r>
      <w:proofErr w:type="spellEnd"/>
      <w:r w:rsidRPr="00A259BD">
        <w:rPr>
          <w:rFonts w:ascii="Times New Roman" w:hAnsi="Times New Roman"/>
          <w:color w:val="000000" w:themeColor="text1"/>
          <w:sz w:val="16"/>
          <w:szCs w:val="16"/>
        </w:rPr>
        <w:t>, ф. 60р, оп. 1, д. 27, л. 244.). Выпуск аппаратов Шорина продолжался на заводе им. Кулакова до 1936 г. (11870).</w:t>
      </w:r>
    </w:p>
    <w:p w14:paraId="5AD739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B30CCC" w14:textId="77777777" w:rsidR="00976E04" w:rsidRPr="00A259BD" w:rsidRDefault="00976E0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августа 1929 г. двуколки с аппаратами Ш-29 были сданы представителям Ленинградского военного округа. Одновременно с этим по заказу НТК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w:t>
      </w:r>
      <w:proofErr w:type="spellStart"/>
      <w:r w:rsidRPr="00A259BD">
        <w:rPr>
          <w:rFonts w:ascii="Times New Roman" w:hAnsi="Times New Roman"/>
          <w:color w:val="000000" w:themeColor="text1"/>
          <w:sz w:val="16"/>
          <w:szCs w:val="16"/>
        </w:rPr>
        <w:t>радиовооружения</w:t>
      </w:r>
      <w:proofErr w:type="spellEnd"/>
      <w:r w:rsidRPr="00A259BD">
        <w:rPr>
          <w:rFonts w:ascii="Times New Roman" w:hAnsi="Times New Roman"/>
          <w:color w:val="000000" w:themeColor="text1"/>
          <w:sz w:val="16"/>
          <w:szCs w:val="16"/>
        </w:rPr>
        <w:t xml:space="preserve"> ВМФ «Блокада» (станции «Шторм», «Шквал», «Ураган»).</w:t>
      </w:r>
    </w:p>
    <w:p w14:paraId="28FEA662" w14:textId="77777777" w:rsidR="00976E04" w:rsidRPr="00A259BD" w:rsidRDefault="00976E0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Освоение аппарата Шорина на заводе им. Кулакова проходила чрезвычайно трудно. На весь процесс от технической разработки заказа и конструкции аппарата до выпуска первой партии изделий ушло около двенадцати месяцев4. В частности, доработки конструкции аппарата, который в процессе серийного производства получил наименование Ш-29, потребовало введение в промышленности стандартной 4-х разрядной клавиатуры. После проведенных доработок ВТУ сделало заказ на изготовление четырех аппаратов с размещением их в двуколках, которые предусматривалось вновь подвергнуть полевым испытаниям в 1929 г. на осенних маневрах РККА5. В результате напряженной совместной работы ЦЛПС и завода им. Кулакова заказ был выполнен (18297).</w:t>
      </w:r>
    </w:p>
    <w:p w14:paraId="4C41C0E3" w14:textId="77777777" w:rsidR="00976E04" w:rsidRPr="00A259BD" w:rsidRDefault="00976E04" w:rsidP="009236E3">
      <w:pPr>
        <w:spacing w:after="0" w:line="240" w:lineRule="auto"/>
        <w:jc w:val="both"/>
        <w:rPr>
          <w:rFonts w:ascii="Times New Roman" w:hAnsi="Times New Roman"/>
          <w:color w:val="000000" w:themeColor="text1"/>
          <w:sz w:val="16"/>
          <w:szCs w:val="16"/>
        </w:rPr>
      </w:pPr>
    </w:p>
    <w:p w14:paraId="5DB7E801" w14:textId="77777777" w:rsidR="00F365F3" w:rsidRPr="00A259BD" w:rsidRDefault="00F365F3" w:rsidP="009236E3">
      <w:pPr>
        <w:autoSpaceDE w:val="0"/>
        <w:autoSpaceDN w:val="0"/>
        <w:adjustRightInd w:val="0"/>
        <w:spacing w:after="0" w:line="240" w:lineRule="auto"/>
        <w:jc w:val="both"/>
        <w:rPr>
          <w:rFonts w:ascii="Times New Roman" w:hAnsi="Times New Roman"/>
          <w:iCs/>
          <w:color w:val="000000" w:themeColor="text1"/>
          <w:sz w:val="16"/>
          <w:szCs w:val="16"/>
        </w:rPr>
      </w:pPr>
      <w:bookmarkStart w:id="81" w:name="_Hlk56761935"/>
      <w:r w:rsidRPr="00A259BD">
        <w:rPr>
          <w:rFonts w:ascii="Times New Roman" w:hAnsi="Times New Roman"/>
          <w:i/>
          <w:iCs/>
          <w:color w:val="000000" w:themeColor="text1"/>
          <w:sz w:val="16"/>
          <w:szCs w:val="16"/>
        </w:rPr>
        <w:t>За рубежом:</w:t>
      </w:r>
    </w:p>
    <w:p w14:paraId="734C5097" w14:textId="77777777" w:rsidR="00F365F3" w:rsidRPr="00A259BD" w:rsidRDefault="00F365F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4AF85C" w14:textId="77777777" w:rsidR="00F365F3" w:rsidRPr="00A259BD" w:rsidRDefault="00F365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августа 1929 дирижабль «Граф Цеппелин» отправился в затяжной путь через Восточную Европу и Советский Союз в Токио.</w:t>
      </w:r>
    </w:p>
    <w:p w14:paraId="0E26AF80" w14:textId="77777777" w:rsidR="00F365F3" w:rsidRPr="00A259BD" w:rsidRDefault="00F365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Тогда же случился серьезный инцидент. Советские власти обратились к команде «Графа Цеппелина» по радио с просьбой пролететь над Москвой. Капитан </w:t>
      </w:r>
      <w:proofErr w:type="spellStart"/>
      <w:r w:rsidRPr="00A259BD">
        <w:rPr>
          <w:rFonts w:ascii="Times New Roman" w:hAnsi="Times New Roman"/>
          <w:color w:val="000000" w:themeColor="text1"/>
          <w:sz w:val="16"/>
          <w:szCs w:val="16"/>
        </w:rPr>
        <w:t>Эккенер</w:t>
      </w:r>
      <w:proofErr w:type="spellEnd"/>
      <w:r w:rsidRPr="00A259BD">
        <w:rPr>
          <w:rFonts w:ascii="Times New Roman" w:hAnsi="Times New Roman"/>
          <w:color w:val="000000" w:themeColor="text1"/>
          <w:sz w:val="16"/>
          <w:szCs w:val="16"/>
        </w:rPr>
        <w:t xml:space="preserve"> отказал Иосифу Сталину в такой прихоти из-за необходимости «воспользоваться попутным ветром и оставаться на прямой линии без отклонения от курса».</w:t>
      </w:r>
    </w:p>
    <w:p w14:paraId="7D277F50" w14:textId="77777777" w:rsidR="00F365F3" w:rsidRPr="00A259BD" w:rsidRDefault="00F365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вылетев из Фридрихсхафена, «Граф Цеппелин», прежде чем вновь пополнить топливные баки, увидел далеко внизу такие города, как Ульм, Нюрнберг, Лейпциг, Берлин, </w:t>
      </w:r>
      <w:proofErr w:type="spellStart"/>
      <w:r w:rsidRPr="00A259BD">
        <w:rPr>
          <w:rFonts w:ascii="Times New Roman" w:hAnsi="Times New Roman"/>
          <w:color w:val="000000" w:themeColor="text1"/>
          <w:sz w:val="16"/>
          <w:szCs w:val="16"/>
        </w:rPr>
        <w:t>Штеттин</w:t>
      </w:r>
      <w:proofErr w:type="spellEnd"/>
      <w:r w:rsidRPr="00A259BD">
        <w:rPr>
          <w:rFonts w:ascii="Times New Roman" w:hAnsi="Times New Roman"/>
          <w:color w:val="000000" w:themeColor="text1"/>
          <w:sz w:val="16"/>
          <w:szCs w:val="16"/>
        </w:rPr>
        <w:t>, Данциг (современный Гданьск), Кенигсберг (Калининград), Тильзит (Советск), Вологда, Пермь. Миновав затем устья Иртыша и Нижней Тунгуски, 18 августа дирижабль пролетел над Якутском, где его радостными криками и жестами встречали местные жители, Аяном и Николаевском-на-Амуре, пока не покинул территорию Советского Союза. Проведя в воздухе 101 час 40 минут, гигантский «летучий корабль» достиг, наконец, Токио. Попутно был установлен новый мировой рекорд по протяженности беспосадочного полета – 11 230 км. Во время отдыха на японских островах дирижабль базировался в бывшем немецком эллинге, доставшемся японцам после Первой мировой войны.</w:t>
      </w:r>
    </w:p>
    <w:p w14:paraId="6F4C1AA5" w14:textId="77777777" w:rsidR="00F365F3" w:rsidRPr="00A259BD" w:rsidRDefault="00F365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августа «Граф Цеппелин» попрощался с Токио, открыв свою миссию над Тихим океаном.</w:t>
      </w:r>
    </w:p>
    <w:p w14:paraId="55A70C13" w14:textId="77777777" w:rsidR="00F365F3" w:rsidRPr="00A259BD" w:rsidRDefault="00F365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Теперь курс лежал на Лос-Анджелес через Сан-Франциско. Этот отрезок прошел уже без каких-либо приключений, если не считать, конечно, самого факта первого в истории беспосадочного полета на средствах любого типа через Тихий океан. Установление очередного рекорда заняло 79 ч 54 мин.</w:t>
      </w:r>
    </w:p>
    <w:p w14:paraId="0487108B" w14:textId="77777777" w:rsidR="00F365F3" w:rsidRPr="00A259BD" w:rsidRDefault="00F365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последний раз дозаправившись в крупнейшем городе Калифорнии, «Граф Цеппелин» нанизал 13 штатов и 29 августа, через три недели после вылета на Восток, подлетел к </w:t>
      </w:r>
      <w:proofErr w:type="spellStart"/>
      <w:r w:rsidRPr="00A259BD">
        <w:rPr>
          <w:rFonts w:ascii="Times New Roman" w:hAnsi="Times New Roman"/>
          <w:color w:val="000000" w:themeColor="text1"/>
          <w:sz w:val="16"/>
          <w:szCs w:val="16"/>
        </w:rPr>
        <w:t>Лейкхерсту</w:t>
      </w:r>
      <w:proofErr w:type="spellEnd"/>
      <w:r w:rsidRPr="00A259BD">
        <w:rPr>
          <w:rFonts w:ascii="Times New Roman" w:hAnsi="Times New Roman"/>
          <w:color w:val="000000" w:themeColor="text1"/>
          <w:sz w:val="16"/>
          <w:szCs w:val="16"/>
        </w:rPr>
        <w:t xml:space="preserve"> с Запада. Суммарное время в полете составило 12 дней 12 часов и 13 минут. С учетом остановок – 21 д 5 ч 31 мин или 33 234 км. Заслуги капитана дирижабля </w:t>
      </w:r>
      <w:proofErr w:type="spellStart"/>
      <w:r w:rsidRPr="00A259BD">
        <w:rPr>
          <w:rFonts w:ascii="Times New Roman" w:hAnsi="Times New Roman"/>
          <w:color w:val="000000" w:themeColor="text1"/>
          <w:sz w:val="16"/>
          <w:szCs w:val="16"/>
        </w:rPr>
        <w:t>Эккенера</w:t>
      </w:r>
      <w:proofErr w:type="spellEnd"/>
      <w:r w:rsidRPr="00A259BD">
        <w:rPr>
          <w:rFonts w:ascii="Times New Roman" w:hAnsi="Times New Roman"/>
          <w:color w:val="000000" w:themeColor="text1"/>
          <w:sz w:val="16"/>
          <w:szCs w:val="16"/>
        </w:rPr>
        <w:t xml:space="preserve"> были оценены Золотой медалью Национального географического общества. Перед возвращением в Германию пилота принял президент США </w:t>
      </w:r>
      <w:hyperlink r:id="rId160" w:history="1">
        <w:r w:rsidRPr="00A259BD">
          <w:rPr>
            <w:rStyle w:val="a5"/>
            <w:rFonts w:ascii="Times New Roman" w:hAnsi="Times New Roman"/>
            <w:color w:val="000000" w:themeColor="text1"/>
            <w:sz w:val="16"/>
            <w:szCs w:val="16"/>
          </w:rPr>
          <w:t>Герберт Гувер</w:t>
        </w:r>
      </w:hyperlink>
    </w:p>
    <w:p w14:paraId="4C925D97" w14:textId="77777777" w:rsidR="00F365F3" w:rsidRPr="00A259BD" w:rsidRDefault="00F365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1930 года в качестве извинения за непринятие приглашения залететь в Москву «Графу Цеппелину» пришлось совершить отдельный рейс в советскую столицу. На Октябрьском поле дирижабль встречала 100-тысячная восторженная толпа (20175).</w:t>
      </w:r>
    </w:p>
    <w:p w14:paraId="261D536E" w14:textId="77777777" w:rsidR="00F365F3" w:rsidRPr="00A259BD" w:rsidRDefault="00F365F3" w:rsidP="009236E3">
      <w:pPr>
        <w:spacing w:after="0" w:line="240" w:lineRule="auto"/>
        <w:jc w:val="both"/>
        <w:rPr>
          <w:rFonts w:ascii="Times New Roman" w:hAnsi="Times New Roman"/>
          <w:color w:val="000000" w:themeColor="text1"/>
          <w:sz w:val="16"/>
          <w:szCs w:val="16"/>
        </w:rPr>
      </w:pPr>
    </w:p>
    <w:p w14:paraId="4E167A2D" w14:textId="77777777" w:rsidR="00F365F3" w:rsidRPr="00A259BD" w:rsidRDefault="00F365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августа 1929 г. в 4.15 дирижабль LZ-127 («Граф Цеппелин»), совершающий 8-29 августа 1929 г. кругосветный перелёт, вылетел из </w:t>
      </w:r>
      <w:proofErr w:type="spellStart"/>
      <w:r w:rsidRPr="00A259BD">
        <w:rPr>
          <w:rFonts w:ascii="Times New Roman" w:hAnsi="Times New Roman"/>
          <w:color w:val="000000" w:themeColor="text1"/>
          <w:sz w:val="16"/>
          <w:szCs w:val="16"/>
        </w:rPr>
        <w:t>Фридрихсгафена</w:t>
      </w:r>
      <w:proofErr w:type="spellEnd"/>
      <w:r w:rsidRPr="00A259BD">
        <w:rPr>
          <w:rFonts w:ascii="Times New Roman" w:hAnsi="Times New Roman"/>
          <w:color w:val="000000" w:themeColor="text1"/>
          <w:sz w:val="16"/>
          <w:szCs w:val="16"/>
        </w:rPr>
        <w:t>. Пройдя над Берлином, он взял курс через Польшу и страны Прибалтики в СССР. В 19.00 «Граф Цеппелин» пересёк грани</w:t>
      </w:r>
      <w:r w:rsidRPr="00A259BD">
        <w:rPr>
          <w:rFonts w:ascii="Times New Roman" w:hAnsi="Times New Roman"/>
          <w:color w:val="000000" w:themeColor="text1"/>
          <w:sz w:val="16"/>
          <w:szCs w:val="16"/>
        </w:rPr>
        <w:softHyphen/>
        <w:t>цу Латвии и СССР в районе Двинска, идя с опоз</w:t>
      </w:r>
      <w:r w:rsidRPr="00A259BD">
        <w:rPr>
          <w:rFonts w:ascii="Times New Roman" w:hAnsi="Times New Roman"/>
          <w:color w:val="000000" w:themeColor="text1"/>
          <w:sz w:val="16"/>
          <w:szCs w:val="16"/>
        </w:rPr>
        <w:softHyphen/>
        <w:t>данием в четыре-пять часов против первоначаль</w:t>
      </w:r>
      <w:r w:rsidRPr="00A259BD">
        <w:rPr>
          <w:rFonts w:ascii="Times New Roman" w:hAnsi="Times New Roman"/>
          <w:color w:val="000000" w:themeColor="text1"/>
          <w:sz w:val="16"/>
          <w:szCs w:val="16"/>
        </w:rPr>
        <w:softHyphen/>
        <w:t xml:space="preserve">ного графика из-за неблагоприятных погодных условий. В этих условиях командир дирижабля </w:t>
      </w:r>
      <w:proofErr w:type="spellStart"/>
      <w:r w:rsidRPr="00A259BD">
        <w:rPr>
          <w:rFonts w:ascii="Times New Roman" w:hAnsi="Times New Roman"/>
          <w:color w:val="000000" w:themeColor="text1"/>
          <w:sz w:val="16"/>
          <w:szCs w:val="16"/>
        </w:rPr>
        <w:t>Эккенер</w:t>
      </w:r>
      <w:proofErr w:type="spellEnd"/>
      <w:r w:rsidRPr="00A259BD">
        <w:rPr>
          <w:rFonts w:ascii="Times New Roman" w:hAnsi="Times New Roman"/>
          <w:color w:val="000000" w:themeColor="text1"/>
          <w:sz w:val="16"/>
          <w:szCs w:val="16"/>
        </w:rPr>
        <w:t xml:space="preserve"> радиограммой сообщил, что полёт на Москву, удлинявший путь на несколько сот ки</w:t>
      </w:r>
      <w:r w:rsidRPr="00A259BD">
        <w:rPr>
          <w:rFonts w:ascii="Times New Roman" w:hAnsi="Times New Roman"/>
          <w:color w:val="000000" w:themeColor="text1"/>
          <w:sz w:val="16"/>
          <w:szCs w:val="16"/>
        </w:rPr>
        <w:softHyphen/>
        <w:t>лометров, затрудняется погодой и поздним вре</w:t>
      </w:r>
      <w:r w:rsidRPr="00A259BD">
        <w:rPr>
          <w:rFonts w:ascii="Times New Roman" w:hAnsi="Times New Roman"/>
          <w:color w:val="000000" w:themeColor="text1"/>
          <w:sz w:val="16"/>
          <w:szCs w:val="16"/>
        </w:rPr>
        <w:softHyphen/>
        <w:t>менем, и что для дирижабля важнее сэкономить время и горючее. ОДВФ ответило, что «полёт над Москвой безусловно желателен, но окончатель</w:t>
      </w:r>
      <w:r w:rsidRPr="00A259BD">
        <w:rPr>
          <w:rFonts w:ascii="Times New Roman" w:hAnsi="Times New Roman"/>
          <w:color w:val="000000" w:themeColor="text1"/>
          <w:sz w:val="16"/>
          <w:szCs w:val="16"/>
        </w:rPr>
        <w:softHyphen/>
        <w:t xml:space="preserve">ное решение об этом предоставляется </w:t>
      </w:r>
      <w:proofErr w:type="spellStart"/>
      <w:r w:rsidRPr="00A259BD">
        <w:rPr>
          <w:rFonts w:ascii="Times New Roman" w:hAnsi="Times New Roman"/>
          <w:color w:val="000000" w:themeColor="text1"/>
          <w:sz w:val="16"/>
          <w:szCs w:val="16"/>
        </w:rPr>
        <w:t>Эккенеру</w:t>
      </w:r>
      <w:proofErr w:type="spellEnd"/>
      <w:r w:rsidRPr="00A259BD">
        <w:rPr>
          <w:rFonts w:ascii="Times New Roman" w:hAnsi="Times New Roman"/>
          <w:color w:val="000000" w:themeColor="text1"/>
          <w:sz w:val="16"/>
          <w:szCs w:val="16"/>
        </w:rPr>
        <w:t xml:space="preserve"> сообразно с метеорологическими условиями». 16 августа в 01.05 LZ-127 пролетел над Вышним Волочком, держа курс на северо-восток. Миновав Вологду, «Граф Цеппелин» круто повернул на восток, взяв курс на Вятку, над которой появился в 13.30 (по московскому времени) на большой высоте. Через несколько часов при усиливших</w:t>
      </w:r>
      <w:r w:rsidRPr="00A259BD">
        <w:rPr>
          <w:rFonts w:ascii="Times New Roman" w:hAnsi="Times New Roman"/>
          <w:color w:val="000000" w:themeColor="text1"/>
          <w:sz w:val="16"/>
          <w:szCs w:val="16"/>
        </w:rPr>
        <w:softHyphen/>
        <w:t>ся попутных ветрах он миновал Пермь и начал перелёт через Урал в направлении на Верхотурье. Над Кизелом с LZ-127 сбросили пакет с кор</w:t>
      </w:r>
      <w:r w:rsidRPr="00A259BD">
        <w:rPr>
          <w:rFonts w:ascii="Times New Roman" w:hAnsi="Times New Roman"/>
          <w:color w:val="000000" w:themeColor="text1"/>
          <w:sz w:val="16"/>
          <w:szCs w:val="16"/>
        </w:rPr>
        <w:softHyphen/>
        <w:t>респонденцией. Повернув ещё более к северу, к 21.00 дирижабль был в 500 км севернее Омска. Несмотря на сделанную перед полётом тёплую обивку пассажирской гондолы, в каютах жалова</w:t>
      </w:r>
      <w:r w:rsidRPr="00A259BD">
        <w:rPr>
          <w:rFonts w:ascii="Times New Roman" w:hAnsi="Times New Roman"/>
          <w:color w:val="000000" w:themeColor="text1"/>
          <w:sz w:val="16"/>
          <w:szCs w:val="16"/>
        </w:rPr>
        <w:softHyphen/>
        <w:t>лись на холод. Всю ночь LZ-127 шёл параллельно Транссибирской железнодорожной магистрали, держась в 800 км севернее от неё, над сплошной тайгой. В 13.50 (по среднеевропейскому време</w:t>
      </w:r>
      <w:r w:rsidRPr="00A259BD">
        <w:rPr>
          <w:rFonts w:ascii="Times New Roman" w:hAnsi="Times New Roman"/>
          <w:color w:val="000000" w:themeColor="text1"/>
          <w:sz w:val="16"/>
          <w:szCs w:val="16"/>
        </w:rPr>
        <w:softHyphen/>
        <w:t>ни) он находился в 300 км от Лены и 700 км се</w:t>
      </w:r>
      <w:r w:rsidRPr="00A259BD">
        <w:rPr>
          <w:rFonts w:ascii="Times New Roman" w:hAnsi="Times New Roman"/>
          <w:color w:val="000000" w:themeColor="text1"/>
          <w:sz w:val="16"/>
          <w:szCs w:val="16"/>
        </w:rPr>
        <w:softHyphen/>
        <w:t xml:space="preserve">вернее Байкала, а через 9 ч 40 мин пролетел над Якутском. Отсюда </w:t>
      </w:r>
      <w:proofErr w:type="spellStart"/>
      <w:r w:rsidRPr="00A259BD">
        <w:rPr>
          <w:rFonts w:ascii="Times New Roman" w:hAnsi="Times New Roman"/>
          <w:color w:val="000000" w:themeColor="text1"/>
          <w:sz w:val="16"/>
          <w:szCs w:val="16"/>
        </w:rPr>
        <w:t>Эккенер</w:t>
      </w:r>
      <w:proofErr w:type="spellEnd"/>
      <w:r w:rsidRPr="00A259BD">
        <w:rPr>
          <w:rFonts w:ascii="Times New Roman" w:hAnsi="Times New Roman"/>
          <w:color w:val="000000" w:themeColor="text1"/>
          <w:sz w:val="16"/>
          <w:szCs w:val="16"/>
        </w:rPr>
        <w:t>, сообразуясь с пого</w:t>
      </w:r>
      <w:r w:rsidRPr="00A259BD">
        <w:rPr>
          <w:rFonts w:ascii="Times New Roman" w:hAnsi="Times New Roman"/>
          <w:color w:val="000000" w:themeColor="text1"/>
          <w:sz w:val="16"/>
          <w:szCs w:val="16"/>
        </w:rPr>
        <w:softHyphen/>
        <w:t>дой, повернул на юго-восток к Охотскому морю.</w:t>
      </w:r>
    </w:p>
    <w:p w14:paraId="4F59FAAC" w14:textId="77777777" w:rsidR="00F365F3" w:rsidRPr="00A259BD" w:rsidRDefault="00F365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августа в 7.00 дирижабль достиг порта Аян, че</w:t>
      </w:r>
      <w:r w:rsidRPr="00A259BD">
        <w:rPr>
          <w:rFonts w:ascii="Times New Roman" w:hAnsi="Times New Roman"/>
          <w:color w:val="000000" w:themeColor="text1"/>
          <w:sz w:val="16"/>
          <w:szCs w:val="16"/>
        </w:rPr>
        <w:softHyphen/>
        <w:t>рез два часа прошёл над Николаевском-на-Аму</w:t>
      </w:r>
      <w:r w:rsidRPr="00A259BD">
        <w:rPr>
          <w:rFonts w:ascii="Times New Roman" w:hAnsi="Times New Roman"/>
          <w:color w:val="000000" w:themeColor="text1"/>
          <w:sz w:val="16"/>
          <w:szCs w:val="16"/>
        </w:rPr>
        <w:softHyphen/>
        <w:t>ре и взял курс на юг. Пролетев вдоль Сахалина, он после полуночи 18 августа появился у бере</w:t>
      </w:r>
      <w:r w:rsidRPr="00A259BD">
        <w:rPr>
          <w:rFonts w:ascii="Times New Roman" w:hAnsi="Times New Roman"/>
          <w:color w:val="000000" w:themeColor="text1"/>
          <w:sz w:val="16"/>
          <w:szCs w:val="16"/>
        </w:rPr>
        <w:softHyphen/>
        <w:t>гов Японии. 19 августа «Граф Цеппелин» сел на аэродроме близ Токио. За 101 ч 49 мин LZ-127 прошёл 11 744 км (мировой рекорд дальности). При попутном ветре он развивал скорость до 170 км/ч, хотя, экономя топливо, шёл на трёх- четырёх двигателях (из пяти). Полёт над Сиби</w:t>
      </w:r>
      <w:r w:rsidRPr="00A259BD">
        <w:rPr>
          <w:rFonts w:ascii="Times New Roman" w:hAnsi="Times New Roman"/>
          <w:color w:val="000000" w:themeColor="text1"/>
          <w:sz w:val="16"/>
          <w:szCs w:val="16"/>
        </w:rPr>
        <w:softHyphen/>
        <w:t>рью, вопреки опасениям, прошёл благополучно. Только при перелёте через Становой хребет име</w:t>
      </w:r>
      <w:r w:rsidRPr="00A259BD">
        <w:rPr>
          <w:rFonts w:ascii="Times New Roman" w:hAnsi="Times New Roman"/>
          <w:color w:val="000000" w:themeColor="text1"/>
          <w:sz w:val="16"/>
          <w:szCs w:val="16"/>
        </w:rPr>
        <w:softHyphen/>
        <w:t>ли место затруднения, так как высоты гор пре</w:t>
      </w:r>
      <w:r w:rsidRPr="00A259BD">
        <w:rPr>
          <w:rFonts w:ascii="Times New Roman" w:hAnsi="Times New Roman"/>
          <w:color w:val="000000" w:themeColor="text1"/>
          <w:sz w:val="16"/>
          <w:szCs w:val="16"/>
        </w:rPr>
        <w:softHyphen/>
        <w:t>вышали величины, указанные на картах.</w:t>
      </w:r>
    </w:p>
    <w:p w14:paraId="49F268A8" w14:textId="77777777" w:rsidR="00F365F3" w:rsidRPr="00A259BD" w:rsidRDefault="00F365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Визит «Графа Цеппелина» в Москву. Компен</w:t>
      </w:r>
      <w:r w:rsidRPr="00A259BD">
        <w:rPr>
          <w:rFonts w:ascii="Times New Roman" w:hAnsi="Times New Roman"/>
          <w:color w:val="000000" w:themeColor="text1"/>
          <w:sz w:val="16"/>
          <w:szCs w:val="16"/>
        </w:rPr>
        <w:softHyphen/>
        <w:t>сацией за облёт Москвы в 1929 г. стало посеще</w:t>
      </w:r>
      <w:r w:rsidRPr="00A259BD">
        <w:rPr>
          <w:rFonts w:ascii="Times New Roman" w:hAnsi="Times New Roman"/>
          <w:color w:val="000000" w:themeColor="text1"/>
          <w:sz w:val="16"/>
          <w:szCs w:val="16"/>
        </w:rPr>
        <w:softHyphen/>
        <w:t>ние столицы СССР 10 сентября 1930 г. дирижабль LZ-127 под командой главы фирмы «</w:t>
      </w:r>
      <w:proofErr w:type="spellStart"/>
      <w:r w:rsidRPr="00A259BD">
        <w:rPr>
          <w:rFonts w:ascii="Times New Roman" w:hAnsi="Times New Roman"/>
          <w:color w:val="000000" w:themeColor="text1"/>
          <w:sz w:val="16"/>
          <w:szCs w:val="16"/>
        </w:rPr>
        <w:t>Люфтшиф</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бау</w:t>
      </w:r>
      <w:proofErr w:type="spellEnd"/>
      <w:r w:rsidRPr="00A259BD">
        <w:rPr>
          <w:rFonts w:ascii="Times New Roman" w:hAnsi="Times New Roman"/>
          <w:color w:val="000000" w:themeColor="text1"/>
          <w:sz w:val="16"/>
          <w:szCs w:val="16"/>
        </w:rPr>
        <w:t xml:space="preserve"> Цеппелин» г. </w:t>
      </w:r>
      <w:proofErr w:type="spellStart"/>
      <w:r w:rsidRPr="00A259BD">
        <w:rPr>
          <w:rFonts w:ascii="Times New Roman" w:hAnsi="Times New Roman"/>
          <w:color w:val="000000" w:themeColor="text1"/>
          <w:sz w:val="16"/>
          <w:szCs w:val="16"/>
        </w:rPr>
        <w:t>Эккенера</w:t>
      </w:r>
      <w:proofErr w:type="spellEnd"/>
      <w:r w:rsidRPr="00A259BD">
        <w:rPr>
          <w:rFonts w:ascii="Times New Roman" w:hAnsi="Times New Roman"/>
          <w:color w:val="000000" w:themeColor="text1"/>
          <w:sz w:val="16"/>
          <w:szCs w:val="16"/>
        </w:rPr>
        <w:t xml:space="preserve">. С ним прибыли трое советских специалистов (в том числе инженер ЦАГИ А.Н. </w:t>
      </w:r>
      <w:proofErr w:type="spellStart"/>
      <w:r w:rsidRPr="00A259BD">
        <w:rPr>
          <w:rFonts w:ascii="Times New Roman" w:hAnsi="Times New Roman"/>
          <w:color w:val="000000" w:themeColor="text1"/>
          <w:sz w:val="16"/>
          <w:szCs w:val="16"/>
        </w:rPr>
        <w:t>Флаксерман</w:t>
      </w:r>
      <w:proofErr w:type="spellEnd"/>
      <w:r w:rsidRPr="00A259BD">
        <w:rPr>
          <w:rFonts w:ascii="Times New Roman" w:hAnsi="Times New Roman"/>
          <w:color w:val="000000" w:themeColor="text1"/>
          <w:sz w:val="16"/>
          <w:szCs w:val="16"/>
        </w:rPr>
        <w:t>), почта и группа туристов.</w:t>
      </w:r>
    </w:p>
    <w:p w14:paraId="73A5DC81" w14:textId="77777777" w:rsidR="00F365F3" w:rsidRPr="00A259BD" w:rsidRDefault="00F365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Дирижабль ожидался к 16.00, но данное Поль</w:t>
      </w:r>
      <w:r w:rsidRPr="00A259BD">
        <w:rPr>
          <w:rFonts w:ascii="Times New Roman" w:hAnsi="Times New Roman"/>
          <w:color w:val="000000" w:themeColor="text1"/>
          <w:sz w:val="16"/>
          <w:szCs w:val="16"/>
        </w:rPr>
        <w:softHyphen/>
        <w:t>шей в последний момент разрешение на пролёт по кратчайшему маршруту и попутный ветер ускорили его прибытие. Поэтому «Граф Цеппе</w:t>
      </w:r>
      <w:r w:rsidRPr="00A259BD">
        <w:rPr>
          <w:rFonts w:ascii="Times New Roman" w:hAnsi="Times New Roman"/>
          <w:color w:val="000000" w:themeColor="text1"/>
          <w:sz w:val="16"/>
          <w:szCs w:val="16"/>
        </w:rPr>
        <w:softHyphen/>
        <w:t>лин» показался на горизонте Москвы уже в 9.40. Навстречу ему вылетели несколько истребите</w:t>
      </w:r>
      <w:r w:rsidRPr="00A259BD">
        <w:rPr>
          <w:rFonts w:ascii="Times New Roman" w:hAnsi="Times New Roman"/>
          <w:color w:val="000000" w:themeColor="text1"/>
          <w:sz w:val="16"/>
          <w:szCs w:val="16"/>
        </w:rPr>
        <w:softHyphen/>
        <w:t>лей, два отряда разведывательных самолётов и бомбардировщик ТБ-1, на борту которого на</w:t>
      </w:r>
      <w:r w:rsidRPr="00A259BD">
        <w:rPr>
          <w:rFonts w:ascii="Times New Roman" w:hAnsi="Times New Roman"/>
          <w:color w:val="000000" w:themeColor="text1"/>
          <w:sz w:val="16"/>
          <w:szCs w:val="16"/>
        </w:rPr>
        <w:softHyphen/>
        <w:t>ходились представители прессы, кинооператор и фотограф.</w:t>
      </w:r>
    </w:p>
    <w:p w14:paraId="3D093B26" w14:textId="77777777" w:rsidR="00F365F3" w:rsidRPr="00A259BD" w:rsidRDefault="00F365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После двухчасового полёта над столицей LZ- 127 в 12.00 приземлился. Его приняла причальная команда под руководством старого опытного ди- </w:t>
      </w:r>
      <w:proofErr w:type="spellStart"/>
      <w:r w:rsidRPr="00A259BD">
        <w:rPr>
          <w:rFonts w:ascii="Times New Roman" w:hAnsi="Times New Roman"/>
          <w:color w:val="000000" w:themeColor="text1"/>
          <w:sz w:val="16"/>
          <w:szCs w:val="16"/>
        </w:rPr>
        <w:t>рижаблиста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Атурина</w:t>
      </w:r>
      <w:proofErr w:type="spellEnd"/>
      <w:r w:rsidRPr="00A259BD">
        <w:rPr>
          <w:rFonts w:ascii="Times New Roman" w:hAnsi="Times New Roman"/>
          <w:color w:val="000000" w:themeColor="text1"/>
          <w:sz w:val="16"/>
          <w:szCs w:val="16"/>
        </w:rPr>
        <w:t xml:space="preserve"> и его помощников — </w:t>
      </w:r>
      <w:proofErr w:type="spellStart"/>
      <w:r w:rsidRPr="00A259BD">
        <w:rPr>
          <w:rFonts w:ascii="Times New Roman" w:hAnsi="Times New Roman"/>
          <w:color w:val="000000" w:themeColor="text1"/>
          <w:sz w:val="16"/>
          <w:szCs w:val="16"/>
        </w:rPr>
        <w:t>Опп</w:t>
      </w:r>
      <w:proofErr w:type="spellEnd"/>
      <w:r w:rsidRPr="00A259BD">
        <w:rPr>
          <w:rFonts w:ascii="Times New Roman" w:hAnsi="Times New Roman"/>
          <w:color w:val="000000" w:themeColor="text1"/>
          <w:sz w:val="16"/>
          <w:szCs w:val="16"/>
        </w:rPr>
        <w:t>- мана и Шимановского. На борт дирижабля под</w:t>
      </w:r>
      <w:r w:rsidRPr="00A259BD">
        <w:rPr>
          <w:rFonts w:ascii="Times New Roman" w:hAnsi="Times New Roman"/>
          <w:color w:val="000000" w:themeColor="text1"/>
          <w:sz w:val="16"/>
          <w:szCs w:val="16"/>
        </w:rPr>
        <w:softHyphen/>
        <w:t>нялись начальник ВВС РККА П.И. Баранов, гер</w:t>
      </w:r>
      <w:r w:rsidRPr="00A259BD">
        <w:rPr>
          <w:rFonts w:ascii="Times New Roman" w:hAnsi="Times New Roman"/>
          <w:color w:val="000000" w:themeColor="text1"/>
          <w:sz w:val="16"/>
          <w:szCs w:val="16"/>
        </w:rPr>
        <w:softHyphen/>
        <w:t>манский поверенный в делах фон Твардовский, генеральный секретарь Союза Осоавиахима Ма</w:t>
      </w:r>
      <w:r w:rsidRPr="00A259BD">
        <w:rPr>
          <w:rFonts w:ascii="Times New Roman" w:hAnsi="Times New Roman"/>
          <w:color w:val="000000" w:themeColor="text1"/>
          <w:sz w:val="16"/>
          <w:szCs w:val="16"/>
        </w:rPr>
        <w:softHyphen/>
        <w:t>линовский и другие официальные лица. После осмотра LZ-127 состоялся обмен приветственны</w:t>
      </w:r>
      <w:r w:rsidRPr="00A259BD">
        <w:rPr>
          <w:rFonts w:ascii="Times New Roman" w:hAnsi="Times New Roman"/>
          <w:color w:val="000000" w:themeColor="text1"/>
          <w:sz w:val="16"/>
          <w:szCs w:val="16"/>
        </w:rPr>
        <w:softHyphen/>
        <w:t>ми речами, транслировавшимися по радио.</w:t>
      </w:r>
    </w:p>
    <w:p w14:paraId="262EE511" w14:textId="77777777" w:rsidR="00F365F3" w:rsidRPr="00A259BD" w:rsidRDefault="00F365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завтрака, устроенного для гостей в од</w:t>
      </w:r>
      <w:r w:rsidRPr="00A259BD">
        <w:rPr>
          <w:rFonts w:ascii="Times New Roman" w:hAnsi="Times New Roman"/>
          <w:color w:val="000000" w:themeColor="text1"/>
          <w:sz w:val="16"/>
          <w:szCs w:val="16"/>
        </w:rPr>
        <w:softHyphen/>
        <w:t>ном из ангаров аэродрома, прилетевшие отправились на автомобилях в экскурсию по Москве, тогда как группа членов правительства и до 250 приглашённых работников ВВС РККА и ави</w:t>
      </w:r>
      <w:r w:rsidRPr="00A259BD">
        <w:rPr>
          <w:rFonts w:ascii="Times New Roman" w:hAnsi="Times New Roman"/>
          <w:color w:val="000000" w:themeColor="text1"/>
          <w:sz w:val="16"/>
          <w:szCs w:val="16"/>
        </w:rPr>
        <w:softHyphen/>
        <w:t>апромышленности осмотрели внутреннее обо</w:t>
      </w:r>
      <w:r w:rsidRPr="00A259BD">
        <w:rPr>
          <w:rFonts w:ascii="Times New Roman" w:hAnsi="Times New Roman"/>
          <w:color w:val="000000" w:themeColor="text1"/>
          <w:sz w:val="16"/>
          <w:szCs w:val="16"/>
        </w:rPr>
        <w:softHyphen/>
        <w:t>рудование дирижабля. LZ-127 привлёк на Цен</w:t>
      </w:r>
      <w:r w:rsidRPr="00A259BD">
        <w:rPr>
          <w:rFonts w:ascii="Times New Roman" w:hAnsi="Times New Roman"/>
          <w:color w:val="000000" w:themeColor="text1"/>
          <w:sz w:val="16"/>
          <w:szCs w:val="16"/>
        </w:rPr>
        <w:softHyphen/>
        <w:t>тральный аэродром массу любопытных. Для его осмотра даже отпустили с работы на несколько часов сотрудников всех столичных авиационных учреждений. Благодаря тихой погоде удерживать LZ-127 у земли на аэродромном поле не состав</w:t>
      </w:r>
      <w:r w:rsidRPr="00A259BD">
        <w:rPr>
          <w:rFonts w:ascii="Times New Roman" w:hAnsi="Times New Roman"/>
          <w:color w:val="000000" w:themeColor="text1"/>
          <w:sz w:val="16"/>
          <w:szCs w:val="16"/>
        </w:rPr>
        <w:softHyphen/>
        <w:t>ляло труда. В 16.30 дирижабль взмыл вверх. На его борту находился корреспондент «Комсо</w:t>
      </w:r>
      <w:r w:rsidRPr="00A259BD">
        <w:rPr>
          <w:rFonts w:ascii="Times New Roman" w:hAnsi="Times New Roman"/>
          <w:color w:val="000000" w:themeColor="text1"/>
          <w:sz w:val="16"/>
          <w:szCs w:val="16"/>
        </w:rPr>
        <w:softHyphen/>
        <w:t xml:space="preserve">мольской правды» Ф.Ф. </w:t>
      </w:r>
      <w:proofErr w:type="spellStart"/>
      <w:r w:rsidRPr="00A259BD">
        <w:rPr>
          <w:rFonts w:ascii="Times New Roman" w:hAnsi="Times New Roman"/>
          <w:color w:val="000000" w:themeColor="text1"/>
          <w:sz w:val="16"/>
          <w:szCs w:val="16"/>
        </w:rPr>
        <w:t>Ассберг</w:t>
      </w:r>
      <w:proofErr w:type="spellEnd"/>
      <w:r w:rsidRPr="00A259BD">
        <w:rPr>
          <w:rFonts w:ascii="Times New Roman" w:hAnsi="Times New Roman"/>
          <w:color w:val="000000" w:themeColor="text1"/>
          <w:sz w:val="16"/>
          <w:szCs w:val="16"/>
        </w:rPr>
        <w:t>. В сопровожде</w:t>
      </w:r>
      <w:r w:rsidRPr="00A259BD">
        <w:rPr>
          <w:rFonts w:ascii="Times New Roman" w:hAnsi="Times New Roman"/>
          <w:color w:val="000000" w:themeColor="text1"/>
          <w:sz w:val="16"/>
          <w:szCs w:val="16"/>
        </w:rPr>
        <w:softHyphen/>
        <w:t>нии 15 советских самолётов LZ-127 взял курс на Германию (20120).</w:t>
      </w:r>
    </w:p>
    <w:p w14:paraId="701682DB" w14:textId="77777777" w:rsidR="00F365F3" w:rsidRPr="00A259BD" w:rsidRDefault="00F365F3" w:rsidP="009236E3">
      <w:pPr>
        <w:spacing w:after="0" w:line="240" w:lineRule="auto"/>
        <w:jc w:val="both"/>
        <w:rPr>
          <w:rFonts w:ascii="Times New Roman" w:hAnsi="Times New Roman"/>
          <w:color w:val="000000" w:themeColor="text1"/>
          <w:sz w:val="16"/>
          <w:szCs w:val="16"/>
        </w:rPr>
      </w:pPr>
    </w:p>
    <w:bookmarkEnd w:id="81"/>
    <w:p w14:paraId="38A551F0" w14:textId="77777777" w:rsidR="00573612" w:rsidRPr="00A259BD" w:rsidRDefault="00573612"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94540A6" w14:textId="77777777" w:rsidR="00573612" w:rsidRPr="00A259BD" w:rsidRDefault="0057361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2D216CB" w14:textId="77777777" w:rsidR="00573612" w:rsidRPr="00A259BD" w:rsidRDefault="0057361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середине августа 1929 г., после личного посещения завода начальником Бюро В. В. Ивановым, выяснилось, что ранее указанные заводом сроки выполнения этого заказа (март-апрель 1930 г.) опытного образца 76-мм батальонной мортиры (вар. 3) могут быть смещены на август 1930 г. в связи с большой загрузкой опытной мастерской завода пушками ДРП.162 К концу августа 1929 г. было принято решение о том, что завод №7 принимает заказ на 76-мм мортиру проекта КБ НКТ АУ со сроком готовности к 1 июня 1930 г., однако ввиду невозможности проведения термической обработки и нарезки ствола мортиры он должен был быть изготовлен на другом заводе и готов только к февралю 1930 г. Изготовление ствола было поручено заводу «Большевик», который к этому времени уже приступил к изготовлению мортиры по своему проекту. Для контроля над проведением работ на заводе №7 был назначен инженер КБ НТК АУ В. Е. Слухоцкий.163 Снаряды для 76-мм мортиры (вар. 3) были заказаны на </w:t>
      </w:r>
      <w:proofErr w:type="spellStart"/>
      <w:r w:rsidRPr="00A259BD">
        <w:rPr>
          <w:rFonts w:ascii="Times New Roman" w:hAnsi="Times New Roman"/>
          <w:color w:val="000000" w:themeColor="text1"/>
          <w:sz w:val="16"/>
          <w:szCs w:val="16"/>
        </w:rPr>
        <w:t>НИАПе</w:t>
      </w:r>
      <w:proofErr w:type="spellEnd"/>
      <w:r w:rsidRPr="00A259BD">
        <w:rPr>
          <w:rFonts w:ascii="Times New Roman" w:hAnsi="Times New Roman"/>
          <w:color w:val="000000" w:themeColor="text1"/>
          <w:sz w:val="16"/>
          <w:szCs w:val="16"/>
        </w:rPr>
        <w:t xml:space="preserve"> со сроком изготовления к 1 апреля 1930 г.164 Несмотря на значительный объем проведенных работ, вышеперечисленные проекты последующего развития не получили.</w:t>
      </w:r>
    </w:p>
    <w:p w14:paraId="60C14528" w14:textId="77777777" w:rsidR="00573612" w:rsidRPr="00A259BD" w:rsidRDefault="00573612" w:rsidP="009236E3">
      <w:pPr>
        <w:spacing w:after="0" w:line="240" w:lineRule="auto"/>
        <w:jc w:val="both"/>
        <w:rPr>
          <w:rFonts w:ascii="Times New Roman" w:hAnsi="Times New Roman"/>
          <w:color w:val="000000" w:themeColor="text1"/>
          <w:sz w:val="16"/>
          <w:szCs w:val="16"/>
        </w:rPr>
      </w:pPr>
    </w:p>
    <w:p w14:paraId="25975263" w14:textId="77777777" w:rsidR="00573612" w:rsidRPr="00A259BD" w:rsidRDefault="00573612"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9405491" w14:textId="77777777" w:rsidR="00573612" w:rsidRPr="00A259BD" w:rsidRDefault="0057361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6823E54" w14:textId="77777777" w:rsidR="00573612" w:rsidRPr="00A259BD" w:rsidRDefault="00573612" w:rsidP="009236E3">
      <w:pPr>
        <w:spacing w:after="0" w:line="240" w:lineRule="auto"/>
        <w:jc w:val="both"/>
        <w:rPr>
          <w:rFonts w:ascii="Times New Roman" w:hAnsi="Times New Roman"/>
          <w:color w:val="000000" w:themeColor="text1"/>
          <w:sz w:val="16"/>
          <w:szCs w:val="16"/>
          <w:lang w:eastAsia="ru-RU" w:bidi="ru-RU"/>
        </w:rPr>
      </w:pPr>
      <w:r w:rsidRPr="00A259BD">
        <w:rPr>
          <w:rFonts w:ascii="Times New Roman" w:hAnsi="Times New Roman"/>
          <w:color w:val="000000" w:themeColor="text1"/>
          <w:sz w:val="16"/>
          <w:szCs w:val="16"/>
          <w:lang w:eastAsia="ru-RU" w:bidi="ru-RU"/>
        </w:rPr>
        <w:t>16 августа 1929 г. учебный гидросамолет МУ-2 (тип «Е»), опять же конст</w:t>
      </w:r>
      <w:r w:rsidRPr="00A259BD">
        <w:rPr>
          <w:rFonts w:ascii="Times New Roman" w:hAnsi="Times New Roman"/>
          <w:color w:val="000000" w:themeColor="text1"/>
          <w:sz w:val="16"/>
          <w:szCs w:val="16"/>
          <w:lang w:eastAsia="ru-RU" w:bidi="ru-RU"/>
        </w:rPr>
        <w:softHyphen/>
        <w:t>рукции Д.П. Григоровича, прибыл в Таганрог по железной дороге. В тот же день самолет сняли с железнодорожной платформы и на следующий день при</w:t>
      </w:r>
      <w:r w:rsidRPr="00A259BD">
        <w:rPr>
          <w:rFonts w:ascii="Times New Roman" w:hAnsi="Times New Roman"/>
          <w:color w:val="000000" w:themeColor="text1"/>
          <w:sz w:val="16"/>
          <w:szCs w:val="16"/>
          <w:lang w:eastAsia="ru-RU" w:bidi="ru-RU"/>
        </w:rPr>
        <w:softHyphen/>
        <w:t>ступили к работам по его сборке под руководством И.В. Четверикова. Первый полет МУ-2 совершил в Тага</w:t>
      </w:r>
      <w:r w:rsidRPr="00A259BD">
        <w:rPr>
          <w:rFonts w:ascii="Times New Roman" w:hAnsi="Times New Roman"/>
          <w:color w:val="000000" w:themeColor="text1"/>
          <w:sz w:val="16"/>
          <w:szCs w:val="16"/>
          <w:lang w:eastAsia="ru-RU" w:bidi="ru-RU"/>
        </w:rPr>
        <w:softHyphen/>
        <w:t>нроге 21 сентября 1929 г. (20325).</w:t>
      </w:r>
    </w:p>
    <w:p w14:paraId="3D9DE439" w14:textId="77777777" w:rsidR="00573612" w:rsidRPr="00A259BD" w:rsidRDefault="00573612" w:rsidP="009236E3">
      <w:pPr>
        <w:spacing w:after="0" w:line="240" w:lineRule="auto"/>
        <w:jc w:val="both"/>
        <w:rPr>
          <w:rFonts w:ascii="Times New Roman" w:hAnsi="Times New Roman"/>
          <w:color w:val="000000" w:themeColor="text1"/>
          <w:sz w:val="16"/>
          <w:szCs w:val="16"/>
          <w:lang w:eastAsia="ru-RU" w:bidi="ru-RU"/>
        </w:rPr>
      </w:pPr>
    </w:p>
    <w:p w14:paraId="1191A2A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B19A08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12F6B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августа 1929 летные испытания АИР-3 и тренировочные полеты общей продолжительностью около 15 часов были закончены. Весь июль 1929 ушел на летные испытания и подготовку АИР-3 к дальнему перелету. Испытания проводил слушатель 3-го курса ВВА А. И. Филин, в будущем - видный деятель советских ВВС. Впоследствии на АИР-3 летали известные летчики Ю. И. Пионтковский, Д. А. Кошиц, А. Б. Юмашев. Все они дали машине высокую оценку: отмечали легкость взлета и посадки, короткий разбег и пробег, прекрасную устойчивость по всем осям, возможность полета с брошенной ручкой. Особенно удачной признавалась управляемость. Самолет легко ходил за ручкой, был простым, приятным и неутомительным в пилотировании.</w:t>
      </w:r>
    </w:p>
    <w:p w14:paraId="53466E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АИР-3 успешно прошел нормальные летные испытания, выполненные Инспекцией гражданской авиации. По заключению комиссии по испытаниям, АИР-3 показал прекрасные летные качества, большую грузоподъемность и большой запас топлива. Была отмечена чрезвычайно простая конструкция целиком из отечественных материалов и то, что конструктор предусмотрел возможность установки маломощного мотора НАМИ. Стоимость АИР-3 составила без мотора 4700 рублей, с мотором 8000, а в серийном производстве должна была быть еще ниже - 5000-6000 тысяч рублей.</w:t>
      </w:r>
    </w:p>
    <w:p w14:paraId="5018B9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особенно интересно, комиссия по испытаниям провела сравнение машины с зарубежными самолетами этого класса. И оказалось, что АИР-3 стоит в ряду лучших из них, в том числе по надежности и экономичности, и может смело конкурировать с новейшими серийными образцами известных западноевропейских фирм "Де </w:t>
      </w:r>
      <w:proofErr w:type="spellStart"/>
      <w:r w:rsidRPr="00A259BD">
        <w:rPr>
          <w:rFonts w:ascii="Times New Roman" w:hAnsi="Times New Roman"/>
          <w:color w:val="000000" w:themeColor="text1"/>
          <w:sz w:val="16"/>
          <w:szCs w:val="16"/>
        </w:rPr>
        <w:t>Хэвилленд</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Потез</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Авро</w:t>
      </w:r>
      <w:proofErr w:type="spellEnd"/>
      <w:r w:rsidRPr="00A259BD">
        <w:rPr>
          <w:rFonts w:ascii="Times New Roman" w:hAnsi="Times New Roman"/>
          <w:color w:val="000000" w:themeColor="text1"/>
          <w:sz w:val="16"/>
          <w:szCs w:val="16"/>
        </w:rPr>
        <w:t>" и др. (11981).</w:t>
      </w:r>
    </w:p>
    <w:p w14:paraId="5F9BF3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CE466D1" w14:textId="77777777" w:rsidR="005A255E" w:rsidRPr="00A259BD" w:rsidRDefault="005A25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августа в 1929 году закончены летные испытания </w:t>
      </w:r>
      <w:hyperlink r:id="rId161" w:tgtFrame="_blank" w:history="1">
        <w:r w:rsidRPr="00A259BD">
          <w:rPr>
            <w:rFonts w:ascii="Times New Roman" w:hAnsi="Times New Roman"/>
            <w:color w:val="000000" w:themeColor="text1"/>
            <w:sz w:val="16"/>
            <w:szCs w:val="16"/>
          </w:rPr>
          <w:t xml:space="preserve">«АИР-3» </w:t>
        </w:r>
      </w:hyperlink>
      <w:r w:rsidRPr="00A259BD">
        <w:rPr>
          <w:rFonts w:ascii="Times New Roman" w:hAnsi="Times New Roman"/>
          <w:color w:val="000000" w:themeColor="text1"/>
          <w:sz w:val="16"/>
          <w:szCs w:val="16"/>
        </w:rPr>
        <w:t>и последующие тренировочные полеты общей продолжительностью около 15 часов (14986).</w:t>
      </w:r>
    </w:p>
    <w:p w14:paraId="61496958" w14:textId="77777777" w:rsidR="005A255E" w:rsidRPr="00A259BD" w:rsidRDefault="005A255E" w:rsidP="009236E3">
      <w:pPr>
        <w:spacing w:after="0" w:line="240" w:lineRule="auto"/>
        <w:jc w:val="both"/>
        <w:rPr>
          <w:rFonts w:ascii="Times New Roman" w:hAnsi="Times New Roman"/>
          <w:color w:val="000000" w:themeColor="text1"/>
          <w:sz w:val="16"/>
          <w:szCs w:val="16"/>
        </w:rPr>
      </w:pPr>
    </w:p>
    <w:p w14:paraId="585B33E7" w14:textId="77777777" w:rsidR="005A255E" w:rsidRPr="00A259BD" w:rsidRDefault="005A25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августа 1929 года дирижабль «Цеппелин» пролетел над Якутском, сбросив точно во двор редактора газеты «Автономная Якутия» почту и подарки. Полезная нагрузка этого дирижабля до 55 т, максимальная скорость - 128 км/ч, крейсерская - около 115 км/ч. Дальность полёта - более 10 тыс. км. Экипаж насчитывал 40-45 человек. За 8 лет своей службы с 1929 по 1937 годы замечательный воздушный корабль выполнил 580 дальних полетов, в том числе около 150 рейсов в Северную и Южную Америку. Семь раз «Цеппелин» с пассажирами на борту проплывал над Северным полюсом (15476).</w:t>
      </w:r>
    </w:p>
    <w:p w14:paraId="3DE30414" w14:textId="77777777" w:rsidR="005A255E" w:rsidRPr="00A259BD" w:rsidRDefault="005A255E" w:rsidP="009236E3">
      <w:pPr>
        <w:spacing w:after="0" w:line="240" w:lineRule="auto"/>
        <w:jc w:val="both"/>
        <w:rPr>
          <w:rFonts w:ascii="Times New Roman" w:hAnsi="Times New Roman"/>
          <w:color w:val="000000" w:themeColor="text1"/>
          <w:sz w:val="16"/>
          <w:szCs w:val="16"/>
        </w:rPr>
      </w:pPr>
    </w:p>
    <w:p w14:paraId="492040F7" w14:textId="77777777" w:rsidR="005A255E"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75692B6E" w14:textId="77777777" w:rsidR="005A255E" w:rsidRPr="00A259BD" w:rsidRDefault="005A255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EB403C9" w14:textId="77777777" w:rsidR="005A255E" w:rsidRPr="00A259BD" w:rsidRDefault="005A255E" w:rsidP="009236E3">
      <w:pPr>
        <w:pStyle w:val="a3"/>
        <w:rPr>
          <w:color w:val="000000" w:themeColor="text1"/>
          <w:lang w:val="ru-RU"/>
        </w:rPr>
      </w:pPr>
      <w:r w:rsidRPr="00A259BD">
        <w:rPr>
          <w:color w:val="000000" w:themeColor="text1"/>
          <w:lang w:val="ru-RU"/>
        </w:rPr>
        <w:t>17 августа 1929 разведсводка РУ РККА сообщила: «Захват КВЖД, планомерно подготов</w:t>
      </w:r>
      <w:r w:rsidRPr="00A259BD">
        <w:rPr>
          <w:color w:val="000000" w:themeColor="text1"/>
          <w:lang w:val="ru-RU"/>
        </w:rPr>
        <w:softHyphen/>
        <w:t>ляющийся [в] течение последних лет, следует поставить [в] связь [с] известной консоли</w:t>
      </w:r>
      <w:r w:rsidRPr="00A259BD">
        <w:rPr>
          <w:color w:val="000000" w:themeColor="text1"/>
          <w:lang w:val="ru-RU"/>
        </w:rPr>
        <w:softHyphen/>
        <w:t xml:space="preserve">дацией основных сил реакции Китая. Вне сомнения существует договоренность </w:t>
      </w:r>
      <w:proofErr w:type="spellStart"/>
      <w:r w:rsidRPr="00A259BD">
        <w:rPr>
          <w:color w:val="000000" w:themeColor="text1"/>
          <w:lang w:val="ru-RU"/>
        </w:rPr>
        <w:t>Мукдена</w:t>
      </w:r>
      <w:proofErr w:type="spellEnd"/>
      <w:r w:rsidRPr="00A259BD">
        <w:rPr>
          <w:color w:val="000000" w:themeColor="text1"/>
          <w:lang w:val="ru-RU"/>
        </w:rPr>
        <w:t xml:space="preserve"> [с] Нанкином. Последнее совещание [в] Пекине имеет прямое отношение [к] захвату» (15820).</w:t>
      </w:r>
    </w:p>
    <w:p w14:paraId="3B02145B" w14:textId="77777777" w:rsidR="005A255E" w:rsidRPr="00A259BD" w:rsidRDefault="005A255E" w:rsidP="009236E3">
      <w:pPr>
        <w:pStyle w:val="a3"/>
        <w:rPr>
          <w:color w:val="000000" w:themeColor="text1"/>
          <w:lang w:val="ru-RU"/>
        </w:rPr>
      </w:pPr>
    </w:p>
    <w:p w14:paraId="59D3B4D5" w14:textId="77777777" w:rsidR="005A255E" w:rsidRPr="00A259BD" w:rsidRDefault="005A255E" w:rsidP="009236E3">
      <w:pPr>
        <w:pStyle w:val="a3"/>
        <w:rPr>
          <w:color w:val="000000" w:themeColor="text1"/>
          <w:lang w:val="ru-RU"/>
        </w:rPr>
      </w:pPr>
      <w:r w:rsidRPr="00A259BD">
        <w:rPr>
          <w:color w:val="000000" w:themeColor="text1"/>
          <w:lang w:val="ru-RU"/>
        </w:rPr>
        <w:t>17 августа 1929 в разведсводке от подтвердили нали</w:t>
      </w:r>
      <w:r w:rsidRPr="00A259BD">
        <w:rPr>
          <w:color w:val="000000" w:themeColor="text1"/>
          <w:lang w:val="ru-RU"/>
        </w:rPr>
        <w:softHyphen/>
        <w:t xml:space="preserve">чие трех китайских самолётов в районе ст. Маньчжурия, а 28 августа в разведсводке отметили, что в тот день в районе </w:t>
      </w:r>
      <w:proofErr w:type="spellStart"/>
      <w:r w:rsidRPr="00A259BD">
        <w:rPr>
          <w:color w:val="000000" w:themeColor="text1"/>
          <w:lang w:val="ru-RU"/>
        </w:rPr>
        <w:t>Чжалайнор</w:t>
      </w:r>
      <w:proofErr w:type="spellEnd"/>
      <w:r w:rsidRPr="00A259BD">
        <w:rPr>
          <w:color w:val="000000" w:themeColor="text1"/>
          <w:lang w:val="ru-RU"/>
        </w:rPr>
        <w:t xml:space="preserve"> разбился один из трёх имевшихся там китайских самолётов. 31 августа разведчики сообщили, что из </w:t>
      </w:r>
      <w:proofErr w:type="spellStart"/>
      <w:r w:rsidRPr="00A259BD">
        <w:rPr>
          <w:color w:val="000000" w:themeColor="text1"/>
          <w:lang w:val="ru-RU"/>
        </w:rPr>
        <w:t>Мукдена</w:t>
      </w:r>
      <w:proofErr w:type="spellEnd"/>
      <w:r w:rsidRPr="00A259BD">
        <w:rPr>
          <w:color w:val="000000" w:themeColor="text1"/>
          <w:lang w:val="ru-RU"/>
        </w:rPr>
        <w:t xml:space="preserve"> в направлении ст. Маньчжурия отправлен авиаотряд из 20 самолётов. Далее каких-либо упоминаний о китайской авиации в советских донесениях не было до 5 октября, в тот день через Харбин на западную линию КВЖД проследовали два авиаотряда в составе: до 175 сол</w:t>
      </w:r>
      <w:r w:rsidRPr="00A259BD">
        <w:rPr>
          <w:color w:val="000000" w:themeColor="text1"/>
          <w:lang w:val="ru-RU"/>
        </w:rPr>
        <w:softHyphen/>
        <w:t>дат, трёх грузовых автомобилей, двух брезентовых ангаров и двух зенитных орудий (тип и количество самолётов разведчики не смогли установить) (15820).</w:t>
      </w:r>
    </w:p>
    <w:p w14:paraId="29CD3E0D" w14:textId="77777777" w:rsidR="005A255E" w:rsidRPr="00A259BD" w:rsidRDefault="005A255E" w:rsidP="009236E3">
      <w:pPr>
        <w:pStyle w:val="a3"/>
        <w:rPr>
          <w:color w:val="000000" w:themeColor="text1"/>
          <w:lang w:val="ru-RU"/>
        </w:rPr>
      </w:pPr>
    </w:p>
    <w:p w14:paraId="41D23710"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8973F7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D69E2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17 и 23 августа 1929. Из протокола заседания Политбюро N 94, особая папка, 1929 г.</w:t>
      </w:r>
    </w:p>
    <w:p w14:paraId="02125E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телеграммах Раковского и др. </w:t>
      </w:r>
    </w:p>
    <w:p w14:paraId="15ACE5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Указать ОГПУ и </w:t>
      </w:r>
      <w:proofErr w:type="spellStart"/>
      <w:r w:rsidRPr="00A259BD">
        <w:rPr>
          <w:rFonts w:ascii="Times New Roman" w:hAnsi="Times New Roman"/>
          <w:color w:val="000000" w:themeColor="text1"/>
          <w:sz w:val="16"/>
          <w:szCs w:val="16"/>
        </w:rPr>
        <w:t>НКПочтелю</w:t>
      </w:r>
      <w:proofErr w:type="spellEnd"/>
      <w:r w:rsidRPr="00A259BD">
        <w:rPr>
          <w:rFonts w:ascii="Times New Roman" w:hAnsi="Times New Roman"/>
          <w:color w:val="000000" w:themeColor="text1"/>
          <w:sz w:val="16"/>
          <w:szCs w:val="16"/>
        </w:rPr>
        <w:t xml:space="preserve"> на недопустимость пропуска антисоветских телеграмм Раковского (в 1927 году как троцкист приговорен к четырем годам высылки) и др. и предложить впредь этого не допускать. </w:t>
      </w:r>
    </w:p>
    <w:p w14:paraId="24FA39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Предложить ОГПУ выслать из Саратова Раковского в отдаленные уезды Ср.-Волжской или другой области. Те же меры провести и в отношении других видных троцкистов, не прекращающих своей работы (11652).</w:t>
      </w:r>
    </w:p>
    <w:p w14:paraId="2E82B6A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A4F4B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3E4DBD9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77030C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авгу</w:t>
      </w:r>
      <w:r w:rsidRPr="00A259BD">
        <w:rPr>
          <w:rFonts w:ascii="Times New Roman" w:hAnsi="Times New Roman"/>
          <w:color w:val="000000" w:themeColor="text1"/>
          <w:sz w:val="16"/>
          <w:szCs w:val="16"/>
        </w:rPr>
        <w:softHyphen/>
        <w:t>ста 1929 в разведсводке РУ РККА от отмечалось: “...Захват КВЖД, пла</w:t>
      </w:r>
      <w:r w:rsidRPr="00A259BD">
        <w:rPr>
          <w:rFonts w:ascii="Times New Roman" w:hAnsi="Times New Roman"/>
          <w:color w:val="000000" w:themeColor="text1"/>
          <w:sz w:val="16"/>
          <w:szCs w:val="16"/>
        </w:rPr>
        <w:softHyphen/>
        <w:t>номерно подготовляющийся [в] тече</w:t>
      </w:r>
      <w:r w:rsidRPr="00A259BD">
        <w:rPr>
          <w:rFonts w:ascii="Times New Roman" w:hAnsi="Times New Roman"/>
          <w:color w:val="000000" w:themeColor="text1"/>
          <w:sz w:val="16"/>
          <w:szCs w:val="16"/>
        </w:rPr>
        <w:softHyphen/>
        <w:t>ние последних лет, следует поставить [в] связь [с] известной консолидаци</w:t>
      </w:r>
      <w:r w:rsidRPr="00A259BD">
        <w:rPr>
          <w:rFonts w:ascii="Times New Roman" w:hAnsi="Times New Roman"/>
          <w:color w:val="000000" w:themeColor="text1"/>
          <w:sz w:val="16"/>
          <w:szCs w:val="16"/>
        </w:rPr>
        <w:softHyphen/>
        <w:t xml:space="preserve">ей основных сил реакции Китая. Вне сомнения существует договоренность </w:t>
      </w:r>
      <w:proofErr w:type="spellStart"/>
      <w:r w:rsidRPr="00A259BD">
        <w:rPr>
          <w:rFonts w:ascii="Times New Roman" w:hAnsi="Times New Roman"/>
          <w:color w:val="000000" w:themeColor="text1"/>
          <w:sz w:val="16"/>
          <w:szCs w:val="16"/>
        </w:rPr>
        <w:t>Мукдена</w:t>
      </w:r>
      <w:proofErr w:type="spellEnd"/>
      <w:r w:rsidRPr="00A259BD">
        <w:rPr>
          <w:rFonts w:ascii="Times New Roman" w:hAnsi="Times New Roman"/>
          <w:color w:val="000000" w:themeColor="text1"/>
          <w:sz w:val="16"/>
          <w:szCs w:val="16"/>
        </w:rPr>
        <w:t xml:space="preserve"> [с] Нанкином**. Последнее совещание [в] Пекине имеет прямое отношение [к] захвату...” (11216).</w:t>
      </w:r>
    </w:p>
    <w:p w14:paraId="360B84E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F75B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августа 1929 в разведсводке подтвердили наличие трех китайских самолетов в районе ст. Маньчжурия, а 28 августа в разведс</w:t>
      </w:r>
      <w:r w:rsidRPr="00A259BD">
        <w:rPr>
          <w:rFonts w:ascii="Times New Roman" w:hAnsi="Times New Roman"/>
          <w:color w:val="000000" w:themeColor="text1"/>
          <w:sz w:val="16"/>
          <w:szCs w:val="16"/>
        </w:rPr>
        <w:softHyphen/>
        <w:t>водке отметили, что в тот день в райо</w:t>
      </w:r>
      <w:r w:rsidRPr="00A259BD">
        <w:rPr>
          <w:rFonts w:ascii="Times New Roman" w:hAnsi="Times New Roman"/>
          <w:color w:val="000000" w:themeColor="text1"/>
          <w:sz w:val="16"/>
          <w:szCs w:val="16"/>
        </w:rPr>
        <w:softHyphen/>
        <w:t xml:space="preserve">не </w:t>
      </w:r>
      <w:proofErr w:type="spellStart"/>
      <w:r w:rsidRPr="00A259BD">
        <w:rPr>
          <w:rFonts w:ascii="Times New Roman" w:hAnsi="Times New Roman"/>
          <w:color w:val="000000" w:themeColor="text1"/>
          <w:sz w:val="16"/>
          <w:szCs w:val="16"/>
        </w:rPr>
        <w:t>Чжалайнор</w:t>
      </w:r>
      <w:proofErr w:type="spellEnd"/>
      <w:r w:rsidRPr="00A259BD">
        <w:rPr>
          <w:rFonts w:ascii="Times New Roman" w:hAnsi="Times New Roman"/>
          <w:color w:val="000000" w:themeColor="text1"/>
          <w:sz w:val="16"/>
          <w:szCs w:val="16"/>
        </w:rPr>
        <w:t xml:space="preserve"> разбился один из трех имевшихся там китайских самолетов. 31 августа разведчики сообщили, что из </w:t>
      </w:r>
      <w:proofErr w:type="spellStart"/>
      <w:r w:rsidRPr="00A259BD">
        <w:rPr>
          <w:rFonts w:ascii="Times New Roman" w:hAnsi="Times New Roman"/>
          <w:color w:val="000000" w:themeColor="text1"/>
          <w:sz w:val="16"/>
          <w:szCs w:val="16"/>
        </w:rPr>
        <w:t>Мукдена</w:t>
      </w:r>
      <w:proofErr w:type="spellEnd"/>
      <w:r w:rsidRPr="00A259BD">
        <w:rPr>
          <w:rFonts w:ascii="Times New Roman" w:hAnsi="Times New Roman"/>
          <w:color w:val="000000" w:themeColor="text1"/>
          <w:sz w:val="16"/>
          <w:szCs w:val="16"/>
        </w:rPr>
        <w:t xml:space="preserve"> в направлении ст. Маньч</w:t>
      </w:r>
      <w:r w:rsidRPr="00A259BD">
        <w:rPr>
          <w:rFonts w:ascii="Times New Roman" w:hAnsi="Times New Roman"/>
          <w:color w:val="000000" w:themeColor="text1"/>
          <w:sz w:val="16"/>
          <w:szCs w:val="16"/>
        </w:rPr>
        <w:softHyphen/>
        <w:t>журия отправлен авиаотряд из 20 са</w:t>
      </w:r>
      <w:r w:rsidRPr="00A259BD">
        <w:rPr>
          <w:rFonts w:ascii="Times New Roman" w:hAnsi="Times New Roman"/>
          <w:color w:val="000000" w:themeColor="text1"/>
          <w:sz w:val="16"/>
          <w:szCs w:val="16"/>
        </w:rPr>
        <w:softHyphen/>
        <w:t>молетов. Далее каких-либо упомина</w:t>
      </w:r>
      <w:r w:rsidRPr="00A259BD">
        <w:rPr>
          <w:rFonts w:ascii="Times New Roman" w:hAnsi="Times New Roman"/>
          <w:color w:val="000000" w:themeColor="text1"/>
          <w:sz w:val="16"/>
          <w:szCs w:val="16"/>
        </w:rPr>
        <w:softHyphen/>
        <w:t>ний о китайской авиации в советских донесениях не было до 5 октября, в тот день через Харбин на западную линию КВЖД проследовали два авиаотряда в составе: до 175 солдат, трех грузовых автомобилей, двух брезентовых анга</w:t>
      </w:r>
      <w:r w:rsidRPr="00A259BD">
        <w:rPr>
          <w:rFonts w:ascii="Times New Roman" w:hAnsi="Times New Roman"/>
          <w:color w:val="000000" w:themeColor="text1"/>
          <w:sz w:val="16"/>
          <w:szCs w:val="16"/>
        </w:rPr>
        <w:softHyphen/>
        <w:t>ров и двух зенитных орудий (тип и ко</w:t>
      </w:r>
      <w:r w:rsidRPr="00A259BD">
        <w:rPr>
          <w:rFonts w:ascii="Times New Roman" w:hAnsi="Times New Roman"/>
          <w:color w:val="000000" w:themeColor="text1"/>
          <w:sz w:val="16"/>
          <w:szCs w:val="16"/>
        </w:rPr>
        <w:softHyphen/>
        <w:t>личество самолетов разведчики не смогли установить) (11216).</w:t>
      </w:r>
    </w:p>
    <w:p w14:paraId="166B063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DA1F29"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4EA1DB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481F9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августа 1929 в США начался первые женские </w:t>
      </w:r>
      <w:proofErr w:type="spellStart"/>
      <w:r w:rsidRPr="00A259BD">
        <w:rPr>
          <w:rFonts w:ascii="Times New Roman" w:hAnsi="Times New Roman"/>
          <w:color w:val="000000" w:themeColor="text1"/>
          <w:sz w:val="16"/>
          <w:szCs w:val="16"/>
        </w:rPr>
        <w:t>авиагонки</w:t>
      </w:r>
      <w:proofErr w:type="spellEnd"/>
      <w:r w:rsidRPr="00A259BD">
        <w:rPr>
          <w:rFonts w:ascii="Times New Roman" w:hAnsi="Times New Roman"/>
          <w:color w:val="000000" w:themeColor="text1"/>
          <w:sz w:val="16"/>
          <w:szCs w:val="16"/>
        </w:rPr>
        <w:t xml:space="preserve"> над американской территорией и победители были среди аппаратов тяжелее и легче воздуха (2100).</w:t>
      </w:r>
    </w:p>
    <w:p w14:paraId="494100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CFD4B8" w14:textId="77777777" w:rsidR="00FB22D8" w:rsidRPr="00A259BD" w:rsidRDefault="00FB22D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августа 1929 Имперские ВВС Эфиопии получают свой первый самолет </w:t>
      </w:r>
      <w:proofErr w:type="spellStart"/>
      <w:r w:rsidRPr="00A259BD">
        <w:rPr>
          <w:rFonts w:ascii="Times New Roman" w:hAnsi="Times New Roman"/>
          <w:color w:val="000000" w:themeColor="text1"/>
          <w:sz w:val="16"/>
          <w:szCs w:val="16"/>
        </w:rPr>
        <w:t>Potez</w:t>
      </w:r>
      <w:proofErr w:type="spellEnd"/>
      <w:r w:rsidRPr="00A259BD">
        <w:rPr>
          <w:rFonts w:ascii="Times New Roman" w:hAnsi="Times New Roman"/>
          <w:color w:val="000000" w:themeColor="text1"/>
          <w:sz w:val="16"/>
          <w:szCs w:val="16"/>
        </w:rPr>
        <w:t xml:space="preserve"> 25-A2 (20806).</w:t>
      </w:r>
    </w:p>
    <w:p w14:paraId="16208418" w14:textId="77777777" w:rsidR="00FB22D8" w:rsidRPr="00A259BD" w:rsidRDefault="00FB22D8" w:rsidP="009236E3">
      <w:pPr>
        <w:spacing w:after="0" w:line="240" w:lineRule="auto"/>
        <w:jc w:val="both"/>
        <w:rPr>
          <w:rFonts w:ascii="Times New Roman" w:hAnsi="Times New Roman"/>
          <w:color w:val="000000" w:themeColor="text1"/>
          <w:sz w:val="16"/>
          <w:szCs w:val="16"/>
        </w:rPr>
      </w:pPr>
    </w:p>
    <w:p w14:paraId="5DACB2B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августа 1929 в Австрии запрещена книга Э. Хемингуэя “На Западном фронте без перемен” (4962).</w:t>
      </w:r>
    </w:p>
    <w:p w14:paraId="4551F4B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252A0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0CB294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CFCAD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 августа 1929 Дорнье-Валь </w:t>
      </w:r>
      <w:proofErr w:type="spellStart"/>
      <w:r w:rsidRPr="00A259BD">
        <w:rPr>
          <w:rFonts w:ascii="Times New Roman" w:hAnsi="Times New Roman"/>
          <w:color w:val="000000" w:themeColor="text1"/>
          <w:sz w:val="16"/>
          <w:szCs w:val="16"/>
        </w:rPr>
        <w:t>Б.Г.Чухновского</w:t>
      </w:r>
      <w:proofErr w:type="spellEnd"/>
      <w:r w:rsidRPr="00A259BD">
        <w:rPr>
          <w:rFonts w:ascii="Times New Roman" w:hAnsi="Times New Roman"/>
          <w:color w:val="000000" w:themeColor="text1"/>
          <w:sz w:val="16"/>
          <w:szCs w:val="16"/>
        </w:rPr>
        <w:t xml:space="preserve"> Комсеверпуть-1 Н-1, который с 28 июля 1929 3 недели на разведку льдов, вылетел на восток к порту Диксон. Сел у Ямала на крупную зыбь. Болтались, пока 21 не были подняты на борт Красина, направлявшегося в Енисей. Потом, после смены аварийного мотора, полет на восток продолжился (99,156).</w:t>
      </w:r>
    </w:p>
    <w:p w14:paraId="24A4F6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A0DC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августа 1929 самолет Дорнье-Валь закончил работу в районе Югорского Шара и вылетел на Диксон. У берегов Ямала во время обхода тумана у одного из моторов сломался вертикальный распределительный валик, поэтому пришлось выполнить рискованную посадку на крупную зыбь. В дальнейшем штормовые волны залили рацию, и связь с землей прекратилась. Когда на следующий день непогода утихла, экипаж приступил к ремонту радио и мотора. В 15 часов, когда рация была уже настроена, запустили исправный мотор и пошли навстречу замеченному на горизонте судну. Это был ледокол "Красин", идущий к Енисею. 21 августа самолет подняли на его борт (по другим данным самолет погрузили на один из лесовозов Карской экспедиции). Через неделю летающая лодка с замененным мотором продолжила разведку в Карском море (11970).</w:t>
      </w:r>
    </w:p>
    <w:p w14:paraId="214378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857DEB" w14:textId="77777777" w:rsidR="00A40604"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03C6B74" w14:textId="77777777" w:rsidR="00A40604" w:rsidRPr="00A259BD" w:rsidRDefault="00A4060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8F2F4C5" w14:textId="77777777" w:rsidR="00A40604" w:rsidRPr="00A259BD" w:rsidRDefault="00A4060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августа 1929 г. Протокол совещания у заместителя председателя Постоянного мобилизационного совещания и члена Президиума ВСНХ СССР А. М. Постникова о ходе выполнения постановления совещания от 30 июля 1929 г. об авто- танкостроении (РГАЭ. Ф. 3429. Оп. 16. Д. 15. Л. 1?1 об.) (12417).</w:t>
      </w:r>
    </w:p>
    <w:p w14:paraId="0BA4E2D1" w14:textId="77777777" w:rsidR="00A40604" w:rsidRPr="00A259BD" w:rsidRDefault="00A40604" w:rsidP="009236E3">
      <w:pPr>
        <w:spacing w:after="0" w:line="240" w:lineRule="auto"/>
        <w:jc w:val="both"/>
        <w:rPr>
          <w:rFonts w:ascii="Times New Roman" w:hAnsi="Times New Roman"/>
          <w:color w:val="000000" w:themeColor="text1"/>
          <w:sz w:val="16"/>
          <w:szCs w:val="16"/>
        </w:rPr>
      </w:pPr>
    </w:p>
    <w:p w14:paraId="4F9E251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101FA4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EAAF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августа 1929 с письмом N 1081 в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сообщил, что НТК задерживает направление ТТТ к И-7 М-17Э, У-2 на поплавках, ИК-1 2М-17 и НД-2 М-17Э (2365).</w:t>
      </w:r>
    </w:p>
    <w:p w14:paraId="1D5920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2E5E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20 августа 1929 ди</w:t>
      </w:r>
      <w:r w:rsidRPr="00A259BD">
        <w:rPr>
          <w:rFonts w:ascii="Times New Roman" w:hAnsi="Times New Roman"/>
          <w:color w:val="000000" w:themeColor="text1"/>
          <w:sz w:val="16"/>
          <w:szCs w:val="16"/>
        </w:rPr>
        <w:softHyphen/>
        <w:t>ректор завода № 25 Горшков и его помощник по техни</w:t>
      </w:r>
      <w:r w:rsidRPr="00A259BD">
        <w:rPr>
          <w:rFonts w:ascii="Times New Roman" w:hAnsi="Times New Roman"/>
          <w:color w:val="000000" w:themeColor="text1"/>
          <w:sz w:val="16"/>
          <w:szCs w:val="16"/>
        </w:rPr>
        <w:softHyphen/>
        <w:t xml:space="preserve">ческой части Поликарпов направили в Технический отдел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письмо о ходе работ по И-7: “Согласно утвержденного трехлетнего плана опытного строитель</w:t>
      </w:r>
      <w:r w:rsidRPr="00A259BD">
        <w:rPr>
          <w:rFonts w:ascii="Times New Roman" w:hAnsi="Times New Roman"/>
          <w:color w:val="000000" w:themeColor="text1"/>
          <w:sz w:val="16"/>
          <w:szCs w:val="16"/>
        </w:rPr>
        <w:softHyphen/>
        <w:t>ства для завода № 25, с 1.У1.29 г. должны быть начаты работы по самолету И7-М17 (1 и 2 экз.), с 1.УШ.29 г. -крейсерский истребитель ИК-2М17, с 1.Х.29 г. - двухме</w:t>
      </w:r>
      <w:r w:rsidRPr="00A259BD">
        <w:rPr>
          <w:rFonts w:ascii="Times New Roman" w:hAnsi="Times New Roman"/>
          <w:color w:val="000000" w:themeColor="text1"/>
          <w:sz w:val="16"/>
          <w:szCs w:val="16"/>
        </w:rPr>
        <w:softHyphen/>
        <w:t>стный ночной истребитель НД2-М17. Однако до сих пор нет ни Технических требований, ни каких-либо других руководящих материалов по этим самолетам, ни от Правления Треста, ни от ВВС не поступало, вследствие чего работа по ИК-2М17, НД2-М17 не производится, а работа по И7-М17 ведется заводом применительно к об</w:t>
      </w:r>
      <w:r w:rsidRPr="00A259BD">
        <w:rPr>
          <w:rFonts w:ascii="Times New Roman" w:hAnsi="Times New Roman"/>
          <w:color w:val="000000" w:themeColor="text1"/>
          <w:sz w:val="16"/>
          <w:szCs w:val="16"/>
        </w:rPr>
        <w:softHyphen/>
        <w:t xml:space="preserve">щим Техническим требованиям ВВС к одноместным </w:t>
      </w:r>
      <w:proofErr w:type="spellStart"/>
      <w:r w:rsidRPr="00A259BD">
        <w:rPr>
          <w:rFonts w:ascii="Times New Roman" w:hAnsi="Times New Roman"/>
          <w:color w:val="000000" w:themeColor="text1"/>
          <w:sz w:val="16"/>
          <w:szCs w:val="16"/>
        </w:rPr>
        <w:t>ис-требителям</w:t>
      </w:r>
      <w:proofErr w:type="spellEnd"/>
      <w:r w:rsidRPr="00A259BD">
        <w:rPr>
          <w:rFonts w:ascii="Times New Roman" w:hAnsi="Times New Roman"/>
          <w:color w:val="000000" w:themeColor="text1"/>
          <w:sz w:val="16"/>
          <w:szCs w:val="16"/>
        </w:rPr>
        <w:t>. Во избежание дальнейших задержек, про</w:t>
      </w:r>
      <w:r w:rsidRPr="00A259BD">
        <w:rPr>
          <w:rFonts w:ascii="Times New Roman" w:hAnsi="Times New Roman"/>
          <w:color w:val="000000" w:themeColor="text1"/>
          <w:sz w:val="16"/>
          <w:szCs w:val="16"/>
        </w:rPr>
        <w:softHyphen/>
        <w:t>сим об ускорении высылки заданий и Технических тре</w:t>
      </w:r>
      <w:r w:rsidRPr="00A259BD">
        <w:rPr>
          <w:rFonts w:ascii="Times New Roman" w:hAnsi="Times New Roman"/>
          <w:color w:val="000000" w:themeColor="text1"/>
          <w:sz w:val="16"/>
          <w:szCs w:val="16"/>
        </w:rPr>
        <w:softHyphen/>
        <w:t>бований на указанные самолеты” (10667).</w:t>
      </w:r>
    </w:p>
    <w:p w14:paraId="30E454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891E6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августа 1929 в НИИ ВВС закончились испытания самолета СПАД 51 с мотором ЮПИТЕР VI, которые проходили с 29 июня 1929.</w:t>
      </w:r>
    </w:p>
    <w:p w14:paraId="215FAEE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испытаний самолета СПАД 51 с мотором ЮПИТЕР VI</w:t>
      </w:r>
    </w:p>
    <w:p w14:paraId="6EC5C62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Начало испытания 29 июня 1929 года</w:t>
      </w:r>
    </w:p>
    <w:p w14:paraId="3450D2F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 испытания 20 августа 1929 года</w:t>
      </w:r>
    </w:p>
    <w:p w14:paraId="1BBB0C8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Самолет СПАД 51 изготовлен во Франции фирмой “Товарищество </w:t>
      </w:r>
      <w:proofErr w:type="spellStart"/>
      <w:r w:rsidRPr="00A259BD">
        <w:rPr>
          <w:rFonts w:ascii="Times New Roman" w:hAnsi="Times New Roman"/>
          <w:color w:val="000000" w:themeColor="text1"/>
          <w:sz w:val="16"/>
          <w:szCs w:val="16"/>
        </w:rPr>
        <w:t>Блэрио-Аэронатик</w:t>
      </w:r>
      <w:proofErr w:type="spellEnd"/>
      <w:r w:rsidRPr="00A259BD">
        <w:rPr>
          <w:rFonts w:ascii="Times New Roman" w:hAnsi="Times New Roman"/>
          <w:color w:val="000000" w:themeColor="text1"/>
          <w:sz w:val="16"/>
          <w:szCs w:val="16"/>
        </w:rPr>
        <w:t>”.</w:t>
      </w:r>
    </w:p>
    <w:p w14:paraId="71DD527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Назначение самолета: одноместный истребитель, биплан.</w:t>
      </w:r>
    </w:p>
    <w:p w14:paraId="52B27A5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Конструкция смешанная.</w:t>
      </w:r>
    </w:p>
    <w:p w14:paraId="240D7D2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Общее выполнение самолета и его схема вполне идентичны с самолетом СПАД 61.</w:t>
      </w:r>
    </w:p>
    <w:p w14:paraId="3488326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6802EB24"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своим летным данным самолет СПАД 51, как боевой самолет, является достаточно сильным противником.</w:t>
      </w:r>
    </w:p>
    <w:p w14:paraId="5303ADBA"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Ввиду ряда существенных недостатков, введение самолета на снабжение ВВС не рационально (6989).</w:t>
      </w:r>
    </w:p>
    <w:p w14:paraId="4F2C96C1" w14:textId="77777777" w:rsidR="00F547C5" w:rsidRPr="00A259BD" w:rsidRDefault="00F547C5" w:rsidP="009236E3">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9D3305" w14:textId="77777777" w:rsidR="00181B4A" w:rsidRPr="006B74EB" w:rsidRDefault="00181B4A" w:rsidP="00181B4A">
      <w:pPr>
        <w:spacing w:after="0" w:line="240" w:lineRule="auto"/>
        <w:jc w:val="both"/>
        <w:rPr>
          <w:rFonts w:ascii="Times New Roman" w:hAnsi="Times New Roman"/>
          <w:color w:val="0070C0"/>
          <w:sz w:val="16"/>
          <w:szCs w:val="16"/>
        </w:rPr>
      </w:pPr>
      <w:r>
        <w:rPr>
          <w:rFonts w:ascii="Times New Roman" w:hAnsi="Times New Roman"/>
          <w:color w:val="0070C0"/>
          <w:sz w:val="16"/>
          <w:szCs w:val="16"/>
        </w:rPr>
        <w:t>20</w:t>
      </w:r>
      <w:r w:rsidRPr="006B74EB">
        <w:rPr>
          <w:rFonts w:ascii="Times New Roman" w:hAnsi="Times New Roman"/>
          <w:color w:val="0070C0"/>
          <w:sz w:val="16"/>
          <w:szCs w:val="16"/>
        </w:rPr>
        <w:t xml:space="preserve"> августа</w:t>
      </w:r>
      <w:r>
        <w:rPr>
          <w:rFonts w:ascii="Times New Roman" w:hAnsi="Times New Roman"/>
          <w:color w:val="0070C0"/>
          <w:sz w:val="16"/>
          <w:szCs w:val="16"/>
        </w:rPr>
        <w:t xml:space="preserve"> 1929 г</w:t>
      </w:r>
      <w:r w:rsidRPr="006B74EB">
        <w:rPr>
          <w:rFonts w:ascii="Times New Roman" w:hAnsi="Times New Roman"/>
          <w:color w:val="0070C0"/>
          <w:sz w:val="16"/>
          <w:szCs w:val="16"/>
        </w:rPr>
        <w:t>.</w:t>
      </w:r>
      <w:r>
        <w:rPr>
          <w:rFonts w:ascii="Times New Roman" w:hAnsi="Times New Roman"/>
          <w:color w:val="0070C0"/>
          <w:sz w:val="16"/>
          <w:szCs w:val="16"/>
        </w:rPr>
        <w:t xml:space="preserve"> з</w:t>
      </w:r>
      <w:r w:rsidRPr="006B74EB">
        <w:rPr>
          <w:rFonts w:ascii="Times New Roman" w:hAnsi="Times New Roman"/>
          <w:color w:val="0070C0"/>
          <w:sz w:val="16"/>
          <w:szCs w:val="16"/>
        </w:rPr>
        <w:t xml:space="preserve">акончился большой арктический перелет полярного </w:t>
      </w:r>
      <w:r>
        <w:rPr>
          <w:rFonts w:ascii="Times New Roman" w:hAnsi="Times New Roman"/>
          <w:color w:val="0070C0"/>
          <w:sz w:val="16"/>
          <w:szCs w:val="16"/>
        </w:rPr>
        <w:t xml:space="preserve">летчика </w:t>
      </w:r>
      <w:proofErr w:type="spellStart"/>
      <w:r>
        <w:rPr>
          <w:rFonts w:ascii="Times New Roman" w:hAnsi="Times New Roman"/>
          <w:color w:val="0070C0"/>
          <w:sz w:val="16"/>
          <w:szCs w:val="16"/>
        </w:rPr>
        <w:t>О.</w:t>
      </w:r>
      <w:r w:rsidRPr="006B74EB">
        <w:rPr>
          <w:rFonts w:ascii="Times New Roman" w:hAnsi="Times New Roman"/>
          <w:color w:val="0070C0"/>
          <w:sz w:val="16"/>
          <w:szCs w:val="16"/>
        </w:rPr>
        <w:t>А.Кал</w:t>
      </w:r>
      <w:r>
        <w:rPr>
          <w:rFonts w:ascii="Times New Roman" w:hAnsi="Times New Roman"/>
          <w:color w:val="0070C0"/>
          <w:sz w:val="16"/>
          <w:szCs w:val="16"/>
        </w:rPr>
        <w:t>ьви</w:t>
      </w:r>
      <w:r w:rsidRPr="006B74EB">
        <w:rPr>
          <w:rFonts w:ascii="Times New Roman" w:hAnsi="Times New Roman"/>
          <w:color w:val="0070C0"/>
          <w:sz w:val="16"/>
          <w:szCs w:val="16"/>
        </w:rPr>
        <w:t>ца</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2б-го июля </w:t>
      </w:r>
      <w:proofErr w:type="spellStart"/>
      <w:r w:rsidRPr="006B74EB">
        <w:rPr>
          <w:rFonts w:ascii="Times New Roman" w:hAnsi="Times New Roman"/>
          <w:color w:val="0070C0"/>
          <w:sz w:val="16"/>
          <w:szCs w:val="16"/>
        </w:rPr>
        <w:t>Кальвиц</w:t>
      </w:r>
      <w:proofErr w:type="spellEnd"/>
      <w:r w:rsidRPr="006B74EB">
        <w:rPr>
          <w:rFonts w:ascii="Times New Roman" w:hAnsi="Times New Roman"/>
          <w:color w:val="0070C0"/>
          <w:sz w:val="16"/>
          <w:szCs w:val="16"/>
        </w:rPr>
        <w:t xml:space="preserve"> на поплавковом самолете </w:t>
      </w:r>
      <w:r>
        <w:rPr>
          <w:rFonts w:ascii="Times New Roman" w:hAnsi="Times New Roman"/>
          <w:color w:val="0070C0"/>
          <w:sz w:val="16"/>
          <w:szCs w:val="16"/>
        </w:rPr>
        <w:t>Юнкерс В-</w:t>
      </w:r>
      <w:r w:rsidRPr="006B74EB">
        <w:rPr>
          <w:rFonts w:ascii="Times New Roman" w:hAnsi="Times New Roman"/>
          <w:color w:val="0070C0"/>
          <w:sz w:val="16"/>
          <w:szCs w:val="16"/>
        </w:rPr>
        <w:t>33 вылетел из бухты Лаврентия /Чукотка/,</w:t>
      </w:r>
      <w:r>
        <w:rPr>
          <w:rFonts w:ascii="Times New Roman" w:hAnsi="Times New Roman"/>
          <w:color w:val="0070C0"/>
          <w:sz w:val="16"/>
          <w:szCs w:val="16"/>
        </w:rPr>
        <w:t xml:space="preserve"> </w:t>
      </w:r>
      <w:r w:rsidRPr="006B74EB">
        <w:rPr>
          <w:rFonts w:ascii="Times New Roman" w:hAnsi="Times New Roman"/>
          <w:color w:val="0070C0"/>
          <w:sz w:val="16"/>
          <w:szCs w:val="16"/>
        </w:rPr>
        <w:t>куда был достав</w:t>
      </w:r>
      <w:r w:rsidRPr="006B74EB">
        <w:rPr>
          <w:rFonts w:ascii="Times New Roman" w:hAnsi="Times New Roman"/>
          <w:color w:val="0070C0"/>
          <w:sz w:val="16"/>
          <w:szCs w:val="16"/>
        </w:rPr>
        <w:softHyphen/>
      </w:r>
      <w:r>
        <w:rPr>
          <w:rFonts w:ascii="Times New Roman" w:hAnsi="Times New Roman"/>
          <w:color w:val="0070C0"/>
          <w:sz w:val="16"/>
          <w:szCs w:val="16"/>
        </w:rPr>
        <w:t>лен</w:t>
      </w:r>
      <w:r w:rsidRPr="006B74EB">
        <w:rPr>
          <w:rFonts w:ascii="Times New Roman" w:hAnsi="Times New Roman"/>
          <w:color w:val="0070C0"/>
          <w:sz w:val="16"/>
          <w:szCs w:val="16"/>
        </w:rPr>
        <w:t xml:space="preserve"> пароходом из </w:t>
      </w:r>
      <w:r>
        <w:rPr>
          <w:rFonts w:ascii="Times New Roman" w:hAnsi="Times New Roman"/>
          <w:color w:val="0070C0"/>
          <w:sz w:val="16"/>
          <w:szCs w:val="16"/>
        </w:rPr>
        <w:t>В</w:t>
      </w:r>
      <w:r w:rsidRPr="006B74EB">
        <w:rPr>
          <w:rFonts w:ascii="Times New Roman" w:hAnsi="Times New Roman"/>
          <w:color w:val="0070C0"/>
          <w:sz w:val="16"/>
          <w:szCs w:val="16"/>
        </w:rPr>
        <w:t>ладивостока, на остров Врангеля.</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по пути произвел </w:t>
      </w:r>
      <w:r>
        <w:rPr>
          <w:rFonts w:ascii="Times New Roman" w:hAnsi="Times New Roman"/>
          <w:color w:val="0070C0"/>
          <w:sz w:val="16"/>
          <w:szCs w:val="16"/>
        </w:rPr>
        <w:t>лед</w:t>
      </w:r>
      <w:r w:rsidRPr="006B74EB">
        <w:rPr>
          <w:rFonts w:ascii="Times New Roman" w:hAnsi="Times New Roman"/>
          <w:color w:val="0070C0"/>
          <w:sz w:val="16"/>
          <w:szCs w:val="16"/>
        </w:rPr>
        <w:t>о</w:t>
      </w:r>
      <w:r>
        <w:rPr>
          <w:rFonts w:ascii="Times New Roman" w:hAnsi="Times New Roman"/>
          <w:color w:val="0070C0"/>
          <w:sz w:val="16"/>
          <w:szCs w:val="16"/>
        </w:rPr>
        <w:t>в</w:t>
      </w:r>
      <w:r w:rsidRPr="006B74EB">
        <w:rPr>
          <w:rFonts w:ascii="Times New Roman" w:hAnsi="Times New Roman"/>
          <w:color w:val="0070C0"/>
          <w:sz w:val="16"/>
          <w:szCs w:val="16"/>
        </w:rPr>
        <w:t xml:space="preserve">ую разведку для ледокола </w:t>
      </w:r>
      <w:r>
        <w:rPr>
          <w:rFonts w:ascii="Times New Roman" w:hAnsi="Times New Roman"/>
          <w:color w:val="0070C0"/>
          <w:sz w:val="16"/>
          <w:szCs w:val="16"/>
        </w:rPr>
        <w:t>«</w:t>
      </w:r>
      <w:r w:rsidRPr="006B74EB">
        <w:rPr>
          <w:rFonts w:ascii="Times New Roman" w:hAnsi="Times New Roman"/>
          <w:color w:val="0070C0"/>
          <w:sz w:val="16"/>
          <w:szCs w:val="16"/>
        </w:rPr>
        <w:t>Литке» и помог ему завершить свой р</w:t>
      </w:r>
      <w:r>
        <w:rPr>
          <w:rFonts w:ascii="Times New Roman" w:hAnsi="Times New Roman"/>
          <w:color w:val="0070C0"/>
          <w:sz w:val="16"/>
          <w:szCs w:val="16"/>
        </w:rPr>
        <w:t>ей</w:t>
      </w:r>
      <w:r w:rsidRPr="006B74EB">
        <w:rPr>
          <w:rFonts w:ascii="Times New Roman" w:hAnsi="Times New Roman"/>
          <w:color w:val="0070C0"/>
          <w:sz w:val="16"/>
          <w:szCs w:val="16"/>
        </w:rPr>
        <w:t>с,</w:t>
      </w:r>
      <w:r>
        <w:rPr>
          <w:rFonts w:ascii="Times New Roman" w:hAnsi="Times New Roman"/>
          <w:color w:val="0070C0"/>
          <w:sz w:val="16"/>
          <w:szCs w:val="16"/>
        </w:rPr>
        <w:t xml:space="preserve"> </w:t>
      </w:r>
      <w:r w:rsidRPr="006B74EB">
        <w:rPr>
          <w:rFonts w:ascii="Times New Roman" w:hAnsi="Times New Roman"/>
          <w:color w:val="0070C0"/>
          <w:sz w:val="16"/>
          <w:szCs w:val="16"/>
        </w:rPr>
        <w:t>потом продолжил свой полет вдоль северного побережья до у</w:t>
      </w:r>
      <w:r>
        <w:rPr>
          <w:rFonts w:ascii="Times New Roman" w:hAnsi="Times New Roman"/>
          <w:color w:val="0070C0"/>
          <w:sz w:val="16"/>
          <w:szCs w:val="16"/>
        </w:rPr>
        <w:t xml:space="preserve">стья </w:t>
      </w:r>
      <w:r w:rsidRPr="006B74EB">
        <w:rPr>
          <w:rFonts w:ascii="Times New Roman" w:hAnsi="Times New Roman"/>
          <w:color w:val="0070C0"/>
          <w:sz w:val="16"/>
          <w:szCs w:val="16"/>
        </w:rPr>
        <w:t>Лен</w:t>
      </w:r>
      <w:r>
        <w:rPr>
          <w:rFonts w:ascii="Times New Roman" w:hAnsi="Times New Roman"/>
          <w:color w:val="0070C0"/>
          <w:sz w:val="16"/>
          <w:szCs w:val="16"/>
        </w:rPr>
        <w:t>ы</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пройдя всего 5460 км за 41 чао летного времени.</w:t>
      </w:r>
      <w:r>
        <w:rPr>
          <w:rFonts w:ascii="Times New Roman" w:hAnsi="Times New Roman"/>
          <w:color w:val="0070C0"/>
          <w:sz w:val="16"/>
          <w:szCs w:val="16"/>
        </w:rPr>
        <w:t xml:space="preserve"> Э</w:t>
      </w:r>
      <w:r w:rsidRPr="006B74EB">
        <w:rPr>
          <w:rFonts w:ascii="Times New Roman" w:hAnsi="Times New Roman"/>
          <w:color w:val="0070C0"/>
          <w:sz w:val="16"/>
          <w:szCs w:val="16"/>
        </w:rPr>
        <w:t xml:space="preserve">то </w:t>
      </w:r>
      <w:proofErr w:type="spellStart"/>
      <w:r w:rsidRPr="006B74EB">
        <w:rPr>
          <w:rFonts w:ascii="Times New Roman" w:hAnsi="Times New Roman"/>
          <w:color w:val="0070C0"/>
          <w:sz w:val="16"/>
          <w:szCs w:val="16"/>
        </w:rPr>
        <w:t>to</w:t>
      </w:r>
      <w:proofErr w:type="spellEnd"/>
      <w:r w:rsidRPr="006B74EB">
        <w:rPr>
          <w:rFonts w:ascii="Times New Roman" w:hAnsi="Times New Roman"/>
          <w:color w:val="0070C0"/>
          <w:sz w:val="16"/>
          <w:szCs w:val="16"/>
        </w:rPr>
        <w:t xml:space="preserve"> первый арктический перелет по освоению северо-восточного по</w:t>
      </w:r>
      <w:r>
        <w:rPr>
          <w:rFonts w:ascii="Times New Roman" w:hAnsi="Times New Roman"/>
          <w:color w:val="0070C0"/>
          <w:sz w:val="16"/>
          <w:szCs w:val="16"/>
        </w:rPr>
        <w:t>бережья</w:t>
      </w:r>
      <w:r w:rsidRPr="006B74EB">
        <w:rPr>
          <w:rFonts w:ascii="Times New Roman" w:hAnsi="Times New Roman"/>
          <w:color w:val="0070C0"/>
          <w:sz w:val="16"/>
          <w:szCs w:val="16"/>
        </w:rPr>
        <w:t xml:space="preserve"> СССР.</w:t>
      </w:r>
    </w:p>
    <w:p w14:paraId="03BB0A42" w14:textId="77777777" w:rsidR="00181B4A" w:rsidRPr="006B74EB" w:rsidRDefault="00181B4A" w:rsidP="00181B4A">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Возду</w:t>
      </w:r>
      <w:r>
        <w:rPr>
          <w:rFonts w:ascii="Times New Roman" w:hAnsi="Times New Roman"/>
          <w:color w:val="0070C0"/>
          <w:sz w:val="16"/>
          <w:szCs w:val="16"/>
        </w:rPr>
        <w:t>ш</w:t>
      </w:r>
      <w:r w:rsidRPr="006B74EB">
        <w:rPr>
          <w:rFonts w:ascii="Times New Roman" w:hAnsi="Times New Roman"/>
          <w:color w:val="0070C0"/>
          <w:sz w:val="16"/>
          <w:szCs w:val="16"/>
        </w:rPr>
        <w:t>ные пути Севера</w:t>
      </w:r>
      <w:r>
        <w:rPr>
          <w:rFonts w:ascii="Times New Roman" w:hAnsi="Times New Roman"/>
          <w:color w:val="0070C0"/>
          <w:sz w:val="16"/>
          <w:szCs w:val="16"/>
        </w:rPr>
        <w:t>»</w:t>
      </w:r>
      <w:r w:rsidRPr="006B74EB">
        <w:rPr>
          <w:rFonts w:ascii="Times New Roman" w:hAnsi="Times New Roman"/>
          <w:color w:val="0070C0"/>
          <w:sz w:val="16"/>
          <w:szCs w:val="16"/>
        </w:rPr>
        <w:t>, 1933/</w:t>
      </w:r>
      <w:r>
        <w:rPr>
          <w:rFonts w:ascii="Times New Roman" w:hAnsi="Times New Roman"/>
          <w:color w:val="0070C0"/>
          <w:sz w:val="16"/>
          <w:szCs w:val="16"/>
        </w:rPr>
        <w:t xml:space="preserve"> (23370).</w:t>
      </w:r>
    </w:p>
    <w:p w14:paraId="3985255F" w14:textId="77777777" w:rsidR="00181B4A" w:rsidRDefault="00181B4A" w:rsidP="00181B4A">
      <w:pPr>
        <w:spacing w:after="0" w:line="240" w:lineRule="auto"/>
        <w:jc w:val="both"/>
        <w:rPr>
          <w:rFonts w:ascii="Times New Roman" w:hAnsi="Times New Roman"/>
          <w:color w:val="0070C0"/>
          <w:sz w:val="16"/>
          <w:szCs w:val="16"/>
        </w:rPr>
      </w:pPr>
    </w:p>
    <w:p w14:paraId="7CA05050"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D3603F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434B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августа 1929 года методика зацепки под дирижаблем в полете была отработана. 28 августа в Кливленде прошла его публичная демонстрация. </w:t>
      </w:r>
      <w:proofErr w:type="spellStart"/>
      <w:r w:rsidRPr="00A259BD">
        <w:rPr>
          <w:rFonts w:ascii="Times New Roman" w:hAnsi="Times New Roman"/>
          <w:color w:val="000000" w:themeColor="text1"/>
          <w:sz w:val="16"/>
          <w:szCs w:val="16"/>
        </w:rPr>
        <w:t>Гортон</w:t>
      </w:r>
      <w:proofErr w:type="spellEnd"/>
      <w:r w:rsidRPr="00A259BD">
        <w:rPr>
          <w:rFonts w:ascii="Times New Roman" w:hAnsi="Times New Roman"/>
          <w:color w:val="000000" w:themeColor="text1"/>
          <w:sz w:val="16"/>
          <w:szCs w:val="16"/>
        </w:rPr>
        <w:t xml:space="preserve"> успешно произвел стыковку UO-1 с перекладиной, и самолет был подтянут к оболочке дирижабля. Затем </w:t>
      </w:r>
      <w:proofErr w:type="spellStart"/>
      <w:r w:rsidRPr="00A259BD">
        <w:rPr>
          <w:rFonts w:ascii="Times New Roman" w:hAnsi="Times New Roman"/>
          <w:color w:val="000000" w:themeColor="text1"/>
          <w:sz w:val="16"/>
          <w:szCs w:val="16"/>
        </w:rPr>
        <w:t>Гортон</w:t>
      </w:r>
      <w:proofErr w:type="spellEnd"/>
      <w:r w:rsidRPr="00A259BD">
        <w:rPr>
          <w:rFonts w:ascii="Times New Roman" w:hAnsi="Times New Roman"/>
          <w:color w:val="000000" w:themeColor="text1"/>
          <w:sz w:val="16"/>
          <w:szCs w:val="16"/>
        </w:rPr>
        <w:t xml:space="preserve"> покинул самолет, а его место в кабине занял С. </w:t>
      </w:r>
      <w:proofErr w:type="spellStart"/>
      <w:r w:rsidRPr="00A259BD">
        <w:rPr>
          <w:rFonts w:ascii="Times New Roman" w:hAnsi="Times New Roman"/>
          <w:color w:val="000000" w:themeColor="text1"/>
          <w:sz w:val="16"/>
          <w:szCs w:val="16"/>
        </w:rPr>
        <w:t>Болстер</w:t>
      </w:r>
      <w:proofErr w:type="spellEnd"/>
      <w:r w:rsidRPr="00A259BD">
        <w:rPr>
          <w:rFonts w:ascii="Times New Roman" w:hAnsi="Times New Roman"/>
          <w:color w:val="000000" w:themeColor="text1"/>
          <w:sz w:val="16"/>
          <w:szCs w:val="16"/>
        </w:rPr>
        <w:t xml:space="preserve">, который отстыковался от трапеции и благополучно приземлился. В мае 1930 года стыковку продемонстрировали перед президентом Гувером во время показа кораблей. Летчик Николсон на UO-1 взлетел с палубы авианосца “Саратога” и произвел стыковку с дирижаблем “Лос-Анджелес”. </w:t>
      </w:r>
    </w:p>
    <w:p w14:paraId="0CB3C0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Проект применения авиационной техники с борта дирижаблей обсуждался довольно долго и подробно, но не выходил за рамки экспериментов. Кроме того, так и не были выбраны самолеты для будущей службы на дирижаблях ZRS-4 и ZRS-5. </w:t>
      </w:r>
    </w:p>
    <w:p w14:paraId="66F42E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Было решено, что в нижней части оболочки дирижабля за гондолой управления будет построен ангар длинной 22 м. Система потолочных [435] рельсовых кран-балок могла принять 5 самолетов, находившихся в подвешенном состоянии. Любой самолет с помощью кран-балок мог быть подведен к жесткой причальной ферме и закреплен на перекладине, которая затем выдвигалась через специальный люк наружу. Двигатель запускался, летчик отцеплял самолет и уходил в полет. Подъем самолета на дирижабль осуществлялся в обратном порядке. </w:t>
      </w:r>
    </w:p>
    <w:p w14:paraId="40AF7D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Ворота ангара имели Т-образную форму, чтобы сквозь них мог пройти самолет с размахом крыла 9,2 м, стабилизаторов — 3 м и общей длиной 7,3 м. Это были максимальные размеры отверстия, которые не приводили к нарушению прочности конструкции дирижабля. Этими параметрами и были ограничены типы самолетов, которые могли быть использованы в качестве основного палубного разведчика или перехватчика. Для разработки специального самолета отсутствовали финансовые средства, поэтому необходимо было выбирать из уже имеющихся одноместных самолетов. </w:t>
      </w:r>
    </w:p>
    <w:p w14:paraId="27749B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Этот палубный самолет должен был быть очень легким, маневренным, при этом достаточно устойчивым, с большой дальностью полета и скоростью; летчик должен [436] был иметь хороший обзор во все стороны и, прежде всего, вверх для уверенного маневра стыковки с дирижаблем и вниз для наблюдения. Из самолетов, имевшихся под рукой в 1930-1931 годах, ни один не соответствовал этим требованиям на все сто процентов. Это были обычные палубные бипланы: “</w:t>
      </w:r>
      <w:proofErr w:type="spellStart"/>
      <w:r w:rsidRPr="00A259BD">
        <w:rPr>
          <w:rFonts w:ascii="Times New Roman" w:hAnsi="Times New Roman"/>
          <w:color w:val="000000" w:themeColor="text1"/>
          <w:sz w:val="16"/>
          <w:szCs w:val="16"/>
        </w:rPr>
        <w:t>Кертисс</w:t>
      </w:r>
      <w:proofErr w:type="spellEnd"/>
      <w:r w:rsidRPr="00A259BD">
        <w:rPr>
          <w:rFonts w:ascii="Times New Roman" w:hAnsi="Times New Roman"/>
          <w:color w:val="000000" w:themeColor="text1"/>
          <w:sz w:val="16"/>
          <w:szCs w:val="16"/>
        </w:rPr>
        <w:t>” XF9C-1, “Берлинер-Джойс” XFJ-1 и “Фоккер” XFA-1. После тщательного анализа предпочтение было отдано “</w:t>
      </w:r>
      <w:proofErr w:type="spellStart"/>
      <w:r w:rsidRPr="00A259BD">
        <w:rPr>
          <w:rFonts w:ascii="Times New Roman" w:hAnsi="Times New Roman"/>
          <w:color w:val="000000" w:themeColor="text1"/>
          <w:sz w:val="16"/>
          <w:szCs w:val="16"/>
        </w:rPr>
        <w:t>Кертиссу</w:t>
      </w:r>
      <w:proofErr w:type="spellEnd"/>
      <w:r w:rsidRPr="00A259BD">
        <w:rPr>
          <w:rFonts w:ascii="Times New Roman" w:hAnsi="Times New Roman"/>
          <w:color w:val="000000" w:themeColor="text1"/>
          <w:sz w:val="16"/>
          <w:szCs w:val="16"/>
        </w:rPr>
        <w:t>” как наиболее близкому к необходимым требованиям. Флот заказал 6 серийных самолетов, модернизированных для таких специальных целей. XF9C-1 оснащался мотором “Райт-Циклон” R-975-C мощностью 421 л. с., двумя пулеметами и развивал скорость 283 км/ч (11324).</w:t>
      </w:r>
    </w:p>
    <w:p w14:paraId="3F8EC3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F43DAC" w14:textId="77777777" w:rsidR="005A255E" w:rsidRPr="00A259BD" w:rsidRDefault="005A25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августа в 1929 году немецкий летчик </w:t>
      </w:r>
      <w:proofErr w:type="spellStart"/>
      <w:r w:rsidRPr="00A259BD">
        <w:rPr>
          <w:rFonts w:ascii="Times New Roman" w:hAnsi="Times New Roman"/>
          <w:color w:val="000000" w:themeColor="text1"/>
          <w:sz w:val="16"/>
          <w:szCs w:val="16"/>
        </w:rPr>
        <w:t>К.Эдцард</w:t>
      </w:r>
      <w:proofErr w:type="spellEnd"/>
      <w:r w:rsidRPr="00A259BD">
        <w:rPr>
          <w:rFonts w:ascii="Times New Roman" w:hAnsi="Times New Roman"/>
          <w:color w:val="000000" w:themeColor="text1"/>
          <w:sz w:val="16"/>
          <w:szCs w:val="16"/>
        </w:rPr>
        <w:t xml:space="preserve"> на биплане </w:t>
      </w:r>
      <w:hyperlink r:id="rId162" w:tgtFrame="_blank" w:history="1">
        <w:r w:rsidRPr="00A259BD">
          <w:rPr>
            <w:rFonts w:ascii="Times New Roman" w:hAnsi="Times New Roman"/>
            <w:color w:val="000000" w:themeColor="text1"/>
            <w:sz w:val="16"/>
            <w:szCs w:val="16"/>
          </w:rPr>
          <w:t>«Фокке-Вульф» «S24» "</w:t>
        </w:r>
        <w:proofErr w:type="spellStart"/>
        <w:r w:rsidRPr="00A259BD">
          <w:rPr>
            <w:rFonts w:ascii="Times New Roman" w:hAnsi="Times New Roman"/>
            <w:color w:val="000000" w:themeColor="text1"/>
            <w:sz w:val="16"/>
            <w:szCs w:val="16"/>
          </w:rPr>
          <w:t>Кибиц</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Fokke-Wulf</w:t>
        </w:r>
        <w:proofErr w:type="spellEnd"/>
        <w:r w:rsidRPr="00A259BD">
          <w:rPr>
            <w:rFonts w:ascii="Times New Roman" w:hAnsi="Times New Roman"/>
            <w:color w:val="000000" w:themeColor="text1"/>
            <w:sz w:val="16"/>
            <w:szCs w:val="16"/>
          </w:rPr>
          <w:t>» «S24» «</w:t>
        </w:r>
        <w:proofErr w:type="spellStart"/>
        <w:r w:rsidRPr="00A259BD">
          <w:rPr>
            <w:rFonts w:ascii="Times New Roman" w:hAnsi="Times New Roman"/>
            <w:color w:val="000000" w:themeColor="text1"/>
            <w:sz w:val="16"/>
            <w:szCs w:val="16"/>
          </w:rPr>
          <w:t>Kibitz</w:t>
        </w:r>
        <w:proofErr w:type="spellEnd"/>
        <w:r w:rsidRPr="00A259BD">
          <w:rPr>
            <w:rFonts w:ascii="Times New Roman" w:hAnsi="Times New Roman"/>
            <w:color w:val="000000" w:themeColor="text1"/>
            <w:sz w:val="16"/>
            <w:szCs w:val="16"/>
          </w:rPr>
          <w:t xml:space="preserve">») </w:t>
        </w:r>
      </w:hyperlink>
      <w:r w:rsidRPr="00A259BD">
        <w:rPr>
          <w:rFonts w:ascii="Times New Roman" w:hAnsi="Times New Roman"/>
          <w:color w:val="000000" w:themeColor="text1"/>
          <w:sz w:val="16"/>
          <w:szCs w:val="16"/>
        </w:rPr>
        <w:t>установил новый рекорд дальности по замкнутому маршруту 1601 км. Крылья «S 24» были сделаны складывающимися, чтобы обеспечить возможность его перевозки на буксире за автомобилем. Позднее, в 1931 году, он даже выиграл чемпионат по высшему пилотажу Германии (14989).</w:t>
      </w:r>
    </w:p>
    <w:p w14:paraId="4EEEDA2F" w14:textId="77777777" w:rsidR="005A255E" w:rsidRPr="00A259BD" w:rsidRDefault="005A255E" w:rsidP="009236E3">
      <w:pPr>
        <w:spacing w:after="0" w:line="240" w:lineRule="auto"/>
        <w:jc w:val="both"/>
        <w:rPr>
          <w:rFonts w:ascii="Times New Roman" w:hAnsi="Times New Roman"/>
          <w:color w:val="000000" w:themeColor="text1"/>
          <w:sz w:val="16"/>
          <w:szCs w:val="16"/>
        </w:rPr>
      </w:pPr>
    </w:p>
    <w:p w14:paraId="3C3509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августа 1929 </w:t>
      </w:r>
      <w:proofErr w:type="spellStart"/>
      <w:r w:rsidRPr="00A259BD">
        <w:rPr>
          <w:rFonts w:ascii="Times New Roman" w:hAnsi="Times New Roman"/>
          <w:color w:val="000000" w:themeColor="text1"/>
          <w:sz w:val="16"/>
          <w:szCs w:val="16"/>
        </w:rPr>
        <w:t>М.Валье</w:t>
      </w:r>
      <w:proofErr w:type="spellEnd"/>
      <w:r w:rsidRPr="00A259BD">
        <w:rPr>
          <w:rFonts w:ascii="Times New Roman" w:hAnsi="Times New Roman"/>
          <w:color w:val="000000" w:themeColor="text1"/>
          <w:sz w:val="16"/>
          <w:szCs w:val="16"/>
        </w:rPr>
        <w:t xml:space="preserve"> сообщил, что для Ф. фон Опеля строится ракетный самолет с двигателем и Зандера, который в ходе предварительных испытаний работал в течении получаса и дал тягу от трети до половины веса самолета (3814,27).</w:t>
      </w:r>
    </w:p>
    <w:p w14:paraId="59C2F7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9B7FD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3845A7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79018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августа 1929 самолет ДВ, будущий Н1 подняли на его борт (по другим данным самолет погрузили на один из лесовозов Карской экспедиции). Через неделю летающая лодка с замененным мотором продолжила разведку в Карском море (11970).</w:t>
      </w:r>
    </w:p>
    <w:p w14:paraId="4E1404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EE49E9" w14:textId="77777777" w:rsidR="00A40604"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0966224" w14:textId="77777777" w:rsidR="00A40604" w:rsidRPr="00A259BD" w:rsidRDefault="00A4060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B616330" w14:textId="77777777" w:rsidR="00FB22D8" w:rsidRPr="00A259BD" w:rsidRDefault="00FB22D8"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ночь с 21 на 22 августа 1929 года без всяких митингов и торжеств К-4 с надписью на борту «Червона Украина» взлетел с аэродрома харьковского авиационного завода. Экипаж самолета состоял из командира М.А. Снегирева, штурмана И.Т. Спирина и бортмеханика С.В. </w:t>
      </w:r>
      <w:proofErr w:type="spellStart"/>
      <w:r w:rsidRPr="00A259BD">
        <w:rPr>
          <w:rFonts w:ascii="Times New Roman" w:eastAsia="Times New Roman" w:hAnsi="Times New Roman"/>
          <w:color w:val="000000" w:themeColor="text1"/>
          <w:sz w:val="16"/>
          <w:szCs w:val="16"/>
          <w:lang w:eastAsia="ru-RU"/>
        </w:rPr>
        <w:t>Кеглевича</w:t>
      </w:r>
      <w:proofErr w:type="spellEnd"/>
      <w:r w:rsidRPr="00A259BD">
        <w:rPr>
          <w:rFonts w:ascii="Times New Roman" w:eastAsia="Times New Roman" w:hAnsi="Times New Roman"/>
          <w:color w:val="000000" w:themeColor="text1"/>
          <w:sz w:val="16"/>
          <w:szCs w:val="16"/>
          <w:lang w:eastAsia="ru-RU"/>
        </w:rPr>
        <w:t>.</w:t>
      </w:r>
    </w:p>
    <w:p w14:paraId="0226EE0D" w14:textId="77777777" w:rsidR="00FB22D8" w:rsidRPr="00A259BD" w:rsidRDefault="00FB22D8"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Сразу их встретила сплошная облачность и сильный дождь. В районе Курска самолет попал в настоящую бурю, со скоростью ветра до 22 м/сек. Только с рассветом, уже в районе Орла погода нормализовалась. От Москвы и дальше на восток «Червоной Украине» пришлось преодолевать сильный встречный ветер. На это «преодоление» ушел весь запас бензина. Для пополнения баков пришлось сесть в Казани. Над Уральскими горами попали в сильную «болтанку». У Новосибирска встретили снежный заряд. До Иркутска «Червона Украина» совершала посадки в Кургане, Новосибирске и Красноярске.</w:t>
      </w:r>
    </w:p>
    <w:p w14:paraId="2A871262" w14:textId="77777777" w:rsidR="00FB22D8" w:rsidRPr="00A259BD" w:rsidRDefault="00FB22D8"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После короткого отдыха в Иркутске было принято решение возвращаться в Харьков – начал сдавать мотор. И как ни старался бортмеханик его отрегулировать, на обратном пути двигатель пришлось дважды менять. Только 23 сентября самолет вернулся в Харьков. В этом перелете «Червона Украина» находилась в воздухе 73 часа и преодолела 10400 км.</w:t>
      </w:r>
    </w:p>
    <w:p w14:paraId="1AD91325" w14:textId="77777777" w:rsidR="00FB22D8" w:rsidRPr="00A259BD" w:rsidRDefault="00FB22D8"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Хотя рекордных результатов достичь не удалось, перелет был оценен положительно. Более того, при определенной поддержке, К-4 вполне мог стать первым в СССР мировым рекордсменом. Тем не менее, даже потенциальная возможность сконструированного и построенного в СССР самолета осуществить перелет мирового уровня говорит о стремительном росте отечественной авиации (21249).</w:t>
      </w:r>
    </w:p>
    <w:p w14:paraId="14C03F3F" w14:textId="77777777" w:rsidR="00FB22D8" w:rsidRPr="00A259BD" w:rsidRDefault="00FB22D8" w:rsidP="009236E3">
      <w:pPr>
        <w:spacing w:after="0" w:line="240" w:lineRule="auto"/>
        <w:jc w:val="both"/>
        <w:rPr>
          <w:rFonts w:ascii="Times New Roman" w:hAnsi="Times New Roman"/>
          <w:color w:val="000000" w:themeColor="text1"/>
          <w:sz w:val="16"/>
          <w:szCs w:val="16"/>
        </w:rPr>
      </w:pPr>
    </w:p>
    <w:p w14:paraId="243FA12C" w14:textId="77777777" w:rsidR="00A40604" w:rsidRPr="00A259BD" w:rsidRDefault="00A40604" w:rsidP="009236E3">
      <w:pPr>
        <w:pStyle w:val="rtejustify"/>
        <w:spacing w:before="0" w:after="0"/>
        <w:rPr>
          <w:color w:val="000000" w:themeColor="text1"/>
          <w:sz w:val="16"/>
          <w:szCs w:val="16"/>
        </w:rPr>
      </w:pPr>
      <w:r w:rsidRPr="00A259BD">
        <w:rPr>
          <w:rStyle w:val="af0"/>
          <w:i w:val="0"/>
          <w:color w:val="000000" w:themeColor="text1"/>
          <w:sz w:val="16"/>
          <w:szCs w:val="16"/>
        </w:rPr>
        <w:t xml:space="preserve">21 августа </w:t>
      </w:r>
      <w:r w:rsidRPr="00A259BD">
        <w:rPr>
          <w:color w:val="000000" w:themeColor="text1"/>
          <w:sz w:val="16"/>
          <w:szCs w:val="16"/>
        </w:rPr>
        <w:t>1929 г</w:t>
      </w:r>
      <w:r w:rsidRPr="00A259BD">
        <w:rPr>
          <w:rStyle w:val="af0"/>
          <w:i w:val="0"/>
          <w:color w:val="000000" w:themeColor="text1"/>
          <w:sz w:val="16"/>
          <w:szCs w:val="16"/>
        </w:rPr>
        <w:t>. Протокол Реввоенсовета № 32.</w:t>
      </w:r>
      <w:r w:rsidRPr="00A259BD">
        <w:rPr>
          <w:color w:val="000000" w:themeColor="text1"/>
          <w:sz w:val="16"/>
          <w:szCs w:val="16"/>
        </w:rPr>
        <w:t xml:space="preserve"> 6. Об увеличении содержания военно-техническим специалистам. (Лукин). 9. О введении на вооружение дальномеров для войсковой и зенитной артиллерии. (Кулик). (РГВА. Ф. 4. Оп. 18. Д. 15. Л. 217, 218) (12342).</w:t>
      </w:r>
    </w:p>
    <w:p w14:paraId="3816E143" w14:textId="77777777" w:rsidR="00A40604" w:rsidRPr="00A259BD" w:rsidRDefault="00A40604" w:rsidP="009236E3">
      <w:pPr>
        <w:pStyle w:val="rtejustify"/>
        <w:spacing w:before="0" w:after="0"/>
        <w:rPr>
          <w:color w:val="000000" w:themeColor="text1"/>
          <w:sz w:val="16"/>
          <w:szCs w:val="16"/>
        </w:rPr>
      </w:pPr>
    </w:p>
    <w:p w14:paraId="60CCA93B" w14:textId="77777777" w:rsidR="00A40604" w:rsidRPr="00A259BD" w:rsidRDefault="00A40604" w:rsidP="009236E3">
      <w:pPr>
        <w:pStyle w:val="rtejustify"/>
        <w:spacing w:before="0" w:after="0"/>
        <w:rPr>
          <w:color w:val="000000" w:themeColor="text1"/>
          <w:sz w:val="16"/>
          <w:szCs w:val="16"/>
        </w:rPr>
      </w:pPr>
      <w:r w:rsidRPr="00A259BD">
        <w:rPr>
          <w:rStyle w:val="af0"/>
          <w:i w:val="0"/>
          <w:color w:val="000000" w:themeColor="text1"/>
          <w:sz w:val="16"/>
          <w:szCs w:val="16"/>
        </w:rPr>
        <w:t xml:space="preserve">21 августа </w:t>
      </w:r>
      <w:r w:rsidRPr="00A259BD">
        <w:rPr>
          <w:color w:val="000000" w:themeColor="text1"/>
          <w:sz w:val="16"/>
          <w:szCs w:val="16"/>
        </w:rPr>
        <w:t>1929 г</w:t>
      </w:r>
      <w:r w:rsidRPr="00A259BD">
        <w:rPr>
          <w:rStyle w:val="af0"/>
          <w:i w:val="0"/>
          <w:color w:val="000000" w:themeColor="text1"/>
          <w:sz w:val="16"/>
          <w:szCs w:val="16"/>
        </w:rPr>
        <w:t>. Протокол Реввоенсовета № 33.</w:t>
      </w:r>
      <w:r w:rsidRPr="00A259BD">
        <w:rPr>
          <w:color w:val="000000" w:themeColor="text1"/>
          <w:sz w:val="16"/>
          <w:szCs w:val="16"/>
        </w:rPr>
        <w:t xml:space="preserve"> 6. Утверждение проекта постановления по вопросу об увеличении содержания военно-техническим специалистам. (Лукин). 7. О порядке обследования </w:t>
      </w:r>
      <w:proofErr w:type="spellStart"/>
      <w:r w:rsidRPr="00A259BD">
        <w:rPr>
          <w:color w:val="000000" w:themeColor="text1"/>
          <w:sz w:val="16"/>
          <w:szCs w:val="16"/>
        </w:rPr>
        <w:t>мобзапасов</w:t>
      </w:r>
      <w:proofErr w:type="spellEnd"/>
      <w:r w:rsidRPr="00A259BD">
        <w:rPr>
          <w:color w:val="000000" w:themeColor="text1"/>
          <w:sz w:val="16"/>
          <w:szCs w:val="16"/>
        </w:rPr>
        <w:t xml:space="preserve"> противогазов. (Каменев С. С.). 8. Об изготовлении взрывателя УГТ</w:t>
      </w:r>
      <w:r w:rsidRPr="00A259BD">
        <w:rPr>
          <w:color w:val="000000" w:themeColor="text1"/>
          <w:sz w:val="16"/>
          <w:szCs w:val="16"/>
        </w:rPr>
        <w:noBreakHyphen/>
        <w:t>2. (Каменев С. С.). 9. О введении на вооружение частей ВВС РККА кольцевого прицела КП</w:t>
      </w:r>
      <w:r w:rsidRPr="00A259BD">
        <w:rPr>
          <w:color w:val="000000" w:themeColor="text1"/>
          <w:sz w:val="16"/>
          <w:szCs w:val="16"/>
        </w:rPr>
        <w:noBreakHyphen/>
        <w:t>1. (Баранов П. И.). 10. О введении на вооружение самолета И</w:t>
      </w:r>
      <w:r w:rsidRPr="00A259BD">
        <w:rPr>
          <w:color w:val="000000" w:themeColor="text1"/>
          <w:sz w:val="16"/>
          <w:szCs w:val="16"/>
        </w:rPr>
        <w:noBreakHyphen/>
        <w:t>4</w:t>
      </w:r>
      <w:r w:rsidRPr="00A259BD">
        <w:rPr>
          <w:color w:val="000000" w:themeColor="text1"/>
          <w:sz w:val="16"/>
          <w:szCs w:val="16"/>
        </w:rPr>
        <w:noBreakHyphen/>
        <w:t>Ю</w:t>
      </w:r>
      <w:r w:rsidRPr="00A259BD">
        <w:rPr>
          <w:color w:val="000000" w:themeColor="text1"/>
          <w:sz w:val="16"/>
          <w:szCs w:val="16"/>
        </w:rPr>
        <w:noBreakHyphen/>
        <w:t xml:space="preserve">VI. (Баранов П. И.). 11. О допущении к изготовлению в 1929/30 г. предметов </w:t>
      </w:r>
      <w:proofErr w:type="spellStart"/>
      <w:r w:rsidRPr="00A259BD">
        <w:rPr>
          <w:color w:val="000000" w:themeColor="text1"/>
          <w:sz w:val="16"/>
          <w:szCs w:val="16"/>
        </w:rPr>
        <w:t>артдовольствия</w:t>
      </w:r>
      <w:proofErr w:type="spellEnd"/>
      <w:r w:rsidRPr="00A259BD">
        <w:rPr>
          <w:color w:val="000000" w:themeColor="text1"/>
          <w:sz w:val="16"/>
          <w:szCs w:val="16"/>
        </w:rPr>
        <w:t>, не введенных на вооружение РККА. (</w:t>
      </w:r>
      <w:proofErr w:type="spellStart"/>
      <w:r w:rsidRPr="00A259BD">
        <w:rPr>
          <w:color w:val="000000" w:themeColor="text1"/>
          <w:sz w:val="16"/>
          <w:szCs w:val="16"/>
        </w:rPr>
        <w:t>Гарф</w:t>
      </w:r>
      <w:proofErr w:type="spellEnd"/>
      <w:r w:rsidRPr="00A259BD">
        <w:rPr>
          <w:color w:val="000000" w:themeColor="text1"/>
          <w:sz w:val="16"/>
          <w:szCs w:val="16"/>
        </w:rPr>
        <w:t>). (РГВА. Ф. 4. Оп. 18. Д. 15. Л. 223, 224) (12342).</w:t>
      </w:r>
    </w:p>
    <w:p w14:paraId="26853585" w14:textId="77777777" w:rsidR="00A40604" w:rsidRPr="00A259BD" w:rsidRDefault="00A40604" w:rsidP="009236E3">
      <w:pPr>
        <w:pStyle w:val="rtejustify"/>
        <w:spacing w:before="0" w:after="0"/>
        <w:rPr>
          <w:color w:val="000000" w:themeColor="text1"/>
          <w:sz w:val="16"/>
          <w:szCs w:val="16"/>
        </w:rPr>
      </w:pPr>
    </w:p>
    <w:p w14:paraId="5F62F72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2B1343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32DFF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С 22 по 27 августа 1929 </w:t>
      </w:r>
      <w:proofErr w:type="spellStart"/>
      <w:r w:rsidRPr="00A259BD">
        <w:rPr>
          <w:rFonts w:ascii="Times New Roman" w:hAnsi="Times New Roman"/>
          <w:color w:val="000000" w:themeColor="text1"/>
          <w:sz w:val="16"/>
          <w:szCs w:val="16"/>
        </w:rPr>
        <w:t>М.А.Снегирев</w:t>
      </w:r>
      <w:proofErr w:type="spellEnd"/>
      <w:r w:rsidRPr="00A259BD">
        <w:rPr>
          <w:rFonts w:ascii="Times New Roman" w:hAnsi="Times New Roman"/>
          <w:color w:val="000000" w:themeColor="text1"/>
          <w:sz w:val="16"/>
          <w:szCs w:val="16"/>
        </w:rPr>
        <w:t xml:space="preserve"> и др. на К-4 выполнили перелет Харьков-Иркутск (272,374) на "Червоной Украине" и участвовал также </w:t>
      </w:r>
      <w:proofErr w:type="spellStart"/>
      <w:r w:rsidRPr="00A259BD">
        <w:rPr>
          <w:rFonts w:ascii="Times New Roman" w:hAnsi="Times New Roman"/>
          <w:color w:val="000000" w:themeColor="text1"/>
          <w:sz w:val="16"/>
          <w:szCs w:val="16"/>
        </w:rPr>
        <w:t>И.Т.Спирин</w:t>
      </w:r>
      <w:proofErr w:type="spellEnd"/>
      <w:r w:rsidRPr="00A259BD">
        <w:rPr>
          <w:rFonts w:ascii="Times New Roman" w:hAnsi="Times New Roman"/>
          <w:color w:val="000000" w:themeColor="text1"/>
          <w:sz w:val="16"/>
          <w:szCs w:val="16"/>
        </w:rPr>
        <w:t xml:space="preserve"> и м </w:t>
      </w:r>
      <w:proofErr w:type="spellStart"/>
      <w:r w:rsidRPr="00A259BD">
        <w:rPr>
          <w:rFonts w:ascii="Times New Roman" w:hAnsi="Times New Roman"/>
          <w:color w:val="000000" w:themeColor="text1"/>
          <w:sz w:val="16"/>
          <w:szCs w:val="16"/>
        </w:rPr>
        <w:t>С.В.Кеглевич</w:t>
      </w:r>
      <w:proofErr w:type="spellEnd"/>
      <w:r w:rsidRPr="00A259BD">
        <w:rPr>
          <w:rFonts w:ascii="Times New Roman" w:hAnsi="Times New Roman"/>
          <w:color w:val="000000" w:themeColor="text1"/>
          <w:sz w:val="16"/>
          <w:szCs w:val="16"/>
        </w:rPr>
        <w:t xml:space="preserve"> (172,16). Летели с полной нагрузкой в 1500 кг (438,602). Прошли 10400 км за 73 час. Вообще-то хотели, если удастся, идти до Читы или даже до Владивостока, но мотор начал сдавать (70,151).</w:t>
      </w:r>
    </w:p>
    <w:p w14:paraId="66B078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16D7AB" w14:textId="77777777" w:rsidR="005A255E" w:rsidRPr="00A259BD" w:rsidRDefault="005A25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августа в 1929 году начался перелет </w:t>
      </w:r>
      <w:hyperlink r:id="rId163" w:tgtFrame="_blank" w:history="1">
        <w:r w:rsidRPr="00A259BD">
          <w:rPr>
            <w:rFonts w:ascii="Times New Roman" w:hAnsi="Times New Roman"/>
            <w:color w:val="000000" w:themeColor="text1"/>
            <w:sz w:val="16"/>
            <w:szCs w:val="16"/>
          </w:rPr>
          <w:t xml:space="preserve">«К-4» </w:t>
        </w:r>
      </w:hyperlink>
      <w:r w:rsidRPr="00A259BD">
        <w:rPr>
          <w:rFonts w:ascii="Times New Roman" w:hAnsi="Times New Roman"/>
          <w:color w:val="000000" w:themeColor="text1"/>
          <w:sz w:val="16"/>
          <w:szCs w:val="16"/>
        </w:rPr>
        <w:t xml:space="preserve">конструктора Калинина с усовершенствованным мотором «L-5» и рядом специальных доработок (усиленное шасси, дополнительный топливный бак на 550 кг). От летчика </w:t>
      </w:r>
      <w:proofErr w:type="spellStart"/>
      <w:r w:rsidRPr="00A259BD">
        <w:rPr>
          <w:rFonts w:ascii="Times New Roman" w:hAnsi="Times New Roman"/>
          <w:color w:val="000000" w:themeColor="text1"/>
          <w:sz w:val="16"/>
          <w:szCs w:val="16"/>
        </w:rPr>
        <w:t>М.А.Снегирева</w:t>
      </w:r>
      <w:proofErr w:type="spellEnd"/>
      <w:r w:rsidRPr="00A259BD">
        <w:rPr>
          <w:rFonts w:ascii="Times New Roman" w:hAnsi="Times New Roman"/>
          <w:color w:val="000000" w:themeColor="text1"/>
          <w:sz w:val="16"/>
          <w:szCs w:val="16"/>
        </w:rPr>
        <w:t xml:space="preserve"> и штурмана </w:t>
      </w:r>
      <w:proofErr w:type="spellStart"/>
      <w:r w:rsidRPr="00A259BD">
        <w:rPr>
          <w:rFonts w:ascii="Times New Roman" w:hAnsi="Times New Roman"/>
          <w:color w:val="000000" w:themeColor="text1"/>
          <w:sz w:val="16"/>
          <w:szCs w:val="16"/>
        </w:rPr>
        <w:t>И.Т.Спирина</w:t>
      </w:r>
      <w:proofErr w:type="spellEnd"/>
      <w:r w:rsidRPr="00A259BD">
        <w:rPr>
          <w:rFonts w:ascii="Times New Roman" w:hAnsi="Times New Roman"/>
          <w:color w:val="000000" w:themeColor="text1"/>
          <w:sz w:val="16"/>
          <w:szCs w:val="16"/>
        </w:rPr>
        <w:t xml:space="preserve"> в Комиссию по перелетам при ОСОАВИАХИМе поступила заявка на беспосадочный перелет Харьков-Владивосток дальностью 7100 км с целью установить мировой рекорд продолжительности полета (14990).</w:t>
      </w:r>
    </w:p>
    <w:p w14:paraId="565C7F61" w14:textId="77777777" w:rsidR="005A255E" w:rsidRPr="00A259BD" w:rsidRDefault="005A255E" w:rsidP="009236E3">
      <w:pPr>
        <w:spacing w:after="0" w:line="240" w:lineRule="auto"/>
        <w:jc w:val="both"/>
        <w:rPr>
          <w:rFonts w:ascii="Times New Roman" w:hAnsi="Times New Roman"/>
          <w:color w:val="000000" w:themeColor="text1"/>
          <w:sz w:val="16"/>
          <w:szCs w:val="16"/>
        </w:rPr>
      </w:pPr>
    </w:p>
    <w:p w14:paraId="358F98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августа 1929 в Севастополе закончили испытания РОМ-1, которые шли со 2 июля 1929. Уже первые спуски на воду в бухте Голландия и по</w:t>
      </w:r>
      <w:r w:rsidRPr="00A259BD">
        <w:rPr>
          <w:rFonts w:ascii="Times New Roman" w:hAnsi="Times New Roman"/>
          <w:color w:val="000000" w:themeColor="text1"/>
          <w:sz w:val="16"/>
          <w:szCs w:val="16"/>
        </w:rPr>
        <w:softHyphen/>
        <w:t>пытки взлететь показали, что самолет с цент</w:t>
      </w:r>
      <w:r w:rsidRPr="00A259BD">
        <w:rPr>
          <w:rFonts w:ascii="Times New Roman" w:hAnsi="Times New Roman"/>
          <w:color w:val="000000" w:themeColor="text1"/>
          <w:sz w:val="16"/>
          <w:szCs w:val="16"/>
        </w:rPr>
        <w:softHyphen/>
        <w:t>ровкой 30,4% САХ не желает выходить на редан. Пришлось вернуться на базу в бухту Нахимова, где один человек перебрался из передней ка</w:t>
      </w:r>
      <w:r w:rsidRPr="00A259BD">
        <w:rPr>
          <w:rFonts w:ascii="Times New Roman" w:hAnsi="Times New Roman"/>
          <w:color w:val="000000" w:themeColor="text1"/>
          <w:sz w:val="16"/>
          <w:szCs w:val="16"/>
        </w:rPr>
        <w:softHyphen/>
        <w:t>бины назад, кроме этого, в кормовой отсек до</w:t>
      </w:r>
      <w:r w:rsidRPr="00A259BD">
        <w:rPr>
          <w:rFonts w:ascii="Times New Roman" w:hAnsi="Times New Roman"/>
          <w:color w:val="000000" w:themeColor="text1"/>
          <w:sz w:val="16"/>
          <w:szCs w:val="16"/>
        </w:rPr>
        <w:softHyphen/>
        <w:t>бавили балласт 40 кг и получили центровку примерно 35% САХ. Последующие попытки взлететь увенчались успехом, однако выясни</w:t>
      </w:r>
      <w:r w:rsidRPr="00A259BD">
        <w:rPr>
          <w:rFonts w:ascii="Times New Roman" w:hAnsi="Times New Roman"/>
          <w:color w:val="000000" w:themeColor="text1"/>
          <w:sz w:val="16"/>
          <w:szCs w:val="16"/>
        </w:rPr>
        <w:softHyphen/>
        <w:t>лось, что греются двигатели, температура воды в радиаторах охлаждения достигала 95-100°С. Вечером, когда температура окружающего воз</w:t>
      </w:r>
      <w:r w:rsidRPr="00A259BD">
        <w:rPr>
          <w:rFonts w:ascii="Times New Roman" w:hAnsi="Times New Roman"/>
          <w:color w:val="000000" w:themeColor="text1"/>
          <w:sz w:val="16"/>
          <w:szCs w:val="16"/>
        </w:rPr>
        <w:softHyphen/>
        <w:t xml:space="preserve">духа снизилась. </w:t>
      </w:r>
      <w:proofErr w:type="spellStart"/>
      <w:r w:rsidRPr="00A259BD">
        <w:rPr>
          <w:rFonts w:ascii="Times New Roman" w:hAnsi="Times New Roman"/>
          <w:color w:val="000000" w:themeColor="text1"/>
          <w:sz w:val="16"/>
          <w:szCs w:val="16"/>
        </w:rPr>
        <w:t>Рыбальчук</w:t>
      </w:r>
      <w:proofErr w:type="spellEnd"/>
      <w:r w:rsidRPr="00A259BD">
        <w:rPr>
          <w:rFonts w:ascii="Times New Roman" w:hAnsi="Times New Roman"/>
          <w:color w:val="000000" w:themeColor="text1"/>
          <w:sz w:val="16"/>
          <w:szCs w:val="16"/>
        </w:rPr>
        <w:t xml:space="preserve"> выполнил еще один полет, в котором достиг потолка 3470 метров. В последующие дни на РОМ-1 смонтировали новые радиаторы охлаждения, позаимствован</w:t>
      </w:r>
      <w:r w:rsidRPr="00A259BD">
        <w:rPr>
          <w:rFonts w:ascii="Times New Roman" w:hAnsi="Times New Roman"/>
          <w:color w:val="000000" w:themeColor="text1"/>
          <w:sz w:val="16"/>
          <w:szCs w:val="16"/>
        </w:rPr>
        <w:softHyphen/>
        <w:t xml:space="preserve">ные с летающей лодки Дорнье «Валь». После перестановки радиаторов выполнили еще несколько полетов до 22 августа. При подготовке окончательного решения по самолету инженер НИИ морской авиации Коровин записал. У РОМ-1 «плохой обзор с пилотского кресла, тугое управление, заметное давление педали на правую ногу, сложная система запуска. Кабина неглубокая, высокая палуба, летчикам в полете поменяться местами </w:t>
      </w:r>
      <w:proofErr w:type="spellStart"/>
      <w:r w:rsidRPr="00A259BD">
        <w:rPr>
          <w:rFonts w:ascii="Times New Roman" w:hAnsi="Times New Roman"/>
          <w:color w:val="000000" w:themeColor="text1"/>
          <w:sz w:val="16"/>
          <w:szCs w:val="16"/>
        </w:rPr>
        <w:t>невозможмо</w:t>
      </w:r>
      <w:proofErr w:type="spellEnd"/>
      <w:r w:rsidRPr="00A259BD">
        <w:rPr>
          <w:rFonts w:ascii="Times New Roman" w:hAnsi="Times New Roman"/>
          <w:color w:val="000000" w:themeColor="text1"/>
          <w:sz w:val="16"/>
          <w:szCs w:val="16"/>
        </w:rPr>
        <w:t xml:space="preserve">”. Кроме этого указывалось, что с нагрузкой 1305 кг при спокойном море (штиль) самолет взлететь не смог, даже не было отмечено стремления к выходу на редан. Взлететь и провести </w:t>
      </w:r>
      <w:proofErr w:type="spellStart"/>
      <w:r w:rsidRPr="00A259BD">
        <w:rPr>
          <w:rFonts w:ascii="Times New Roman" w:hAnsi="Times New Roman"/>
          <w:color w:val="000000" w:themeColor="text1"/>
          <w:sz w:val="16"/>
          <w:szCs w:val="16"/>
        </w:rPr>
        <w:t>ис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пытания</w:t>
      </w:r>
      <w:proofErr w:type="spellEnd"/>
      <w:r w:rsidRPr="00A259BD">
        <w:rPr>
          <w:rFonts w:ascii="Times New Roman" w:hAnsi="Times New Roman"/>
          <w:color w:val="000000" w:themeColor="text1"/>
          <w:sz w:val="16"/>
          <w:szCs w:val="16"/>
        </w:rPr>
        <w:t xml:space="preserve"> удалось при уменьшении нагрузки до 1135 кг (11978).</w:t>
      </w:r>
    </w:p>
    <w:p w14:paraId="60D1FF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3441A01" w14:textId="77777777" w:rsidR="00A40604" w:rsidRPr="00A259BD" w:rsidRDefault="00A40604"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До 22 августа 1928 летал РОМ-1 в Севастополе. При подготовке окон</w:t>
      </w:r>
      <w:r w:rsidRPr="00A259BD">
        <w:rPr>
          <w:rFonts w:ascii="Times New Roman" w:cs="Times New Roman"/>
          <w:color w:val="000000" w:themeColor="text1"/>
          <w:sz w:val="16"/>
          <w:szCs w:val="16"/>
        </w:rPr>
        <w:softHyphen/>
        <w:t>чательного решения по самолету инженер НИИ морской авиации Ко</w:t>
      </w:r>
      <w:r w:rsidRPr="00A259BD">
        <w:rPr>
          <w:rFonts w:ascii="Times New Roman" w:cs="Times New Roman"/>
          <w:color w:val="000000" w:themeColor="text1"/>
          <w:sz w:val="16"/>
          <w:szCs w:val="16"/>
        </w:rPr>
        <w:softHyphen/>
        <w:t>ровин записал, что у РОМ-1</w:t>
      </w:r>
      <w:r w:rsidRPr="00A259BD">
        <w:rPr>
          <w:rStyle w:val="41pt"/>
          <w:rFonts w:ascii="Times New Roman" w:hAnsi="Times New Roman" w:cs="Times New Roman"/>
          <w:i w:val="0"/>
          <w:color w:val="000000" w:themeColor="text1"/>
          <w:spacing w:val="0"/>
        </w:rPr>
        <w:t xml:space="preserve"> «плохой обзор с пилотского кресла, тугое управление, заметное давление педалей на правую ногу, сложная система запуска. Кабина неглубокая, высокая палуба, летчикам в полете поменяться местами невозможно». </w:t>
      </w:r>
      <w:r w:rsidRPr="00A259BD">
        <w:rPr>
          <w:rFonts w:ascii="Times New Roman" w:cs="Times New Roman"/>
          <w:color w:val="000000" w:themeColor="text1"/>
          <w:sz w:val="16"/>
          <w:szCs w:val="16"/>
        </w:rPr>
        <w:t>Кроме этого указывалось, что с на</w:t>
      </w:r>
      <w:r w:rsidRPr="00A259BD">
        <w:rPr>
          <w:rFonts w:ascii="Times New Roman" w:cs="Times New Roman"/>
          <w:color w:val="000000" w:themeColor="text1"/>
          <w:sz w:val="16"/>
          <w:szCs w:val="16"/>
        </w:rPr>
        <w:softHyphen/>
        <w:t>грузкой 1305 кг при спокойном море (штиль) самолет взлететь не смог, даже не было отмечено стремления к выходу на редан. Взлететь и провести испытания удалось при уменьшении нагрузки до 1135 кг.</w:t>
      </w:r>
    </w:p>
    <w:p w14:paraId="16A69B44" w14:textId="77777777" w:rsidR="00A40604" w:rsidRPr="00A259BD" w:rsidRDefault="00A40604" w:rsidP="009236E3">
      <w:pPr>
        <w:pStyle w:val="66"/>
        <w:shd w:val="clear" w:color="auto" w:fill="auto"/>
        <w:spacing w:before="0" w:line="240" w:lineRule="auto"/>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технические данные и летные характеристики</w:t>
      </w:r>
    </w:p>
    <w:p w14:paraId="109F3FC5" w14:textId="77777777" w:rsidR="00A40604" w:rsidRPr="00A259BD" w:rsidRDefault="00A4060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РОМ-1 (МР-3)</w:t>
      </w:r>
    </w:p>
    <w:p w14:paraId="485E27A8" w14:textId="77777777" w:rsidR="00A40604" w:rsidRPr="00A259BD" w:rsidRDefault="00A40604" w:rsidP="009236E3">
      <w:pPr>
        <w:tabs>
          <w:tab w:val="right" w:leader="dot" w:pos="315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Размах верхнего крыла (м)</w:t>
      </w:r>
      <w:r w:rsidRPr="00A259BD">
        <w:rPr>
          <w:rFonts w:ascii="Times New Roman" w:hAnsi="Times New Roman"/>
          <w:color w:val="000000" w:themeColor="text1"/>
          <w:sz w:val="16"/>
          <w:szCs w:val="16"/>
        </w:rPr>
        <w:tab/>
        <w:t>28,0</w:t>
      </w:r>
    </w:p>
    <w:p w14:paraId="5F242F9F" w14:textId="77777777" w:rsidR="00A40604" w:rsidRPr="00A259BD" w:rsidRDefault="00A40604" w:rsidP="009236E3">
      <w:pPr>
        <w:tabs>
          <w:tab w:val="left" w:leader="dot" w:pos="2493"/>
          <w:tab w:val="right" w:leader="dot" w:pos="315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Размах нижнего крыла (м)</w:t>
      </w:r>
      <w:r w:rsidRPr="00A259BD">
        <w:rPr>
          <w:rFonts w:ascii="Times New Roman" w:hAnsi="Times New Roman"/>
          <w:color w:val="000000" w:themeColor="text1"/>
          <w:sz w:val="16"/>
          <w:szCs w:val="16"/>
        </w:rPr>
        <w:tab/>
        <w:t>-.</w:t>
      </w:r>
      <w:r w:rsidRPr="00A259BD">
        <w:rPr>
          <w:rFonts w:ascii="Times New Roman" w:hAnsi="Times New Roman"/>
          <w:color w:val="000000" w:themeColor="text1"/>
          <w:sz w:val="16"/>
          <w:szCs w:val="16"/>
        </w:rPr>
        <w:tab/>
        <w:t>9,7</w:t>
      </w:r>
    </w:p>
    <w:p w14:paraId="0A43CD91" w14:textId="77777777" w:rsidR="00A40604" w:rsidRPr="00A259BD" w:rsidRDefault="00A40604" w:rsidP="009236E3">
      <w:pPr>
        <w:tabs>
          <w:tab w:val="right" w:leader="dot" w:pos="315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Длина в линии полета (м)</w:t>
      </w:r>
      <w:r w:rsidRPr="00A259BD">
        <w:rPr>
          <w:rFonts w:ascii="Times New Roman" w:hAnsi="Times New Roman"/>
          <w:color w:val="000000" w:themeColor="text1"/>
          <w:sz w:val="16"/>
          <w:szCs w:val="16"/>
        </w:rPr>
        <w:tab/>
        <w:t xml:space="preserve"> 16,0</w:t>
      </w:r>
    </w:p>
    <w:p w14:paraId="6631EF3E" w14:textId="77777777" w:rsidR="00A40604" w:rsidRPr="00A259BD" w:rsidRDefault="00A40604" w:rsidP="009236E3">
      <w:pPr>
        <w:tabs>
          <w:tab w:val="right" w:leader="dot" w:pos="315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в линии полета (м)</w:t>
      </w:r>
      <w:r w:rsidRPr="00A259BD">
        <w:rPr>
          <w:rFonts w:ascii="Times New Roman" w:hAnsi="Times New Roman"/>
          <w:color w:val="000000" w:themeColor="text1"/>
          <w:sz w:val="16"/>
          <w:szCs w:val="16"/>
        </w:rPr>
        <w:tab/>
        <w:t>6,06</w:t>
      </w:r>
    </w:p>
    <w:p w14:paraId="24B406E0" w14:textId="77777777" w:rsidR="00A40604" w:rsidRPr="00A259BD" w:rsidRDefault="00A40604" w:rsidP="009236E3">
      <w:pPr>
        <w:tabs>
          <w:tab w:val="right" w:leader="dot" w:pos="315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верхнего крыла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 xml:space="preserve">) </w:t>
      </w:r>
      <w:r w:rsidRPr="00A259BD">
        <w:rPr>
          <w:rFonts w:ascii="Times New Roman" w:hAnsi="Times New Roman"/>
          <w:color w:val="000000" w:themeColor="text1"/>
          <w:sz w:val="16"/>
          <w:szCs w:val="16"/>
        </w:rPr>
        <w:tab/>
        <w:t>86,6</w:t>
      </w:r>
    </w:p>
    <w:p w14:paraId="297881B0" w14:textId="77777777" w:rsidR="00A40604" w:rsidRPr="00A259BD" w:rsidRDefault="00A40604" w:rsidP="009236E3">
      <w:pPr>
        <w:tabs>
          <w:tab w:val="right" w:leader="dot" w:pos="315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нижнего крыла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 xml:space="preserve">) </w:t>
      </w:r>
      <w:r w:rsidRPr="00A259BD">
        <w:rPr>
          <w:rFonts w:ascii="Times New Roman" w:hAnsi="Times New Roman"/>
          <w:color w:val="000000" w:themeColor="text1"/>
          <w:sz w:val="16"/>
          <w:szCs w:val="16"/>
        </w:rPr>
        <w:tab/>
        <w:t>18,0</w:t>
      </w:r>
    </w:p>
    <w:p w14:paraId="0F140D44" w14:textId="77777777" w:rsidR="00A40604" w:rsidRPr="00A259BD" w:rsidRDefault="00A40604" w:rsidP="009236E3">
      <w:pPr>
        <w:tabs>
          <w:tab w:val="right" w:leader="dot" w:pos="315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 пустого (кг)</w:t>
      </w:r>
      <w:r w:rsidRPr="00A259BD">
        <w:rPr>
          <w:rFonts w:ascii="Times New Roman" w:hAnsi="Times New Roman"/>
          <w:color w:val="000000" w:themeColor="text1"/>
          <w:sz w:val="16"/>
          <w:szCs w:val="16"/>
        </w:rPr>
        <w:tab/>
        <w:t>4518</w:t>
      </w:r>
    </w:p>
    <w:p w14:paraId="0F4D9264" w14:textId="77777777" w:rsidR="00A40604" w:rsidRPr="00A259BD" w:rsidRDefault="00A40604" w:rsidP="009236E3">
      <w:pPr>
        <w:tabs>
          <w:tab w:val="left" w:leader="dot" w:pos="2142"/>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Полетный вес (кг) </w:t>
      </w:r>
      <w:r w:rsidRPr="00A259BD">
        <w:rPr>
          <w:rFonts w:ascii="Times New Roman" w:hAnsi="Times New Roman"/>
          <w:color w:val="000000" w:themeColor="text1"/>
          <w:sz w:val="16"/>
          <w:szCs w:val="16"/>
        </w:rPr>
        <w:tab/>
        <w:t>5829—6075</w:t>
      </w:r>
    </w:p>
    <w:p w14:paraId="2DF5D202" w14:textId="77777777" w:rsidR="00A40604" w:rsidRPr="00A259BD" w:rsidRDefault="00A4060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максимальная на 3000 м (км/ч)</w:t>
      </w:r>
      <w:r w:rsidRPr="00A259BD">
        <w:rPr>
          <w:rFonts w:ascii="Times New Roman" w:hAnsi="Times New Roman"/>
          <w:color w:val="000000" w:themeColor="text1"/>
          <w:sz w:val="16"/>
          <w:szCs w:val="16"/>
        </w:rPr>
        <w:tab/>
        <w:t>-</w:t>
      </w:r>
    </w:p>
    <w:p w14:paraId="4A865BBC" w14:textId="77777777" w:rsidR="00A40604" w:rsidRPr="00A259BD" w:rsidRDefault="00A40604" w:rsidP="009236E3">
      <w:pPr>
        <w:tabs>
          <w:tab w:val="right" w:leader="dot" w:pos="3154"/>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Посадочная скорость (км/ч)</w:t>
      </w:r>
      <w:r w:rsidRPr="00A259BD">
        <w:rPr>
          <w:rFonts w:ascii="Times New Roman" w:hAnsi="Times New Roman"/>
          <w:color w:val="000000" w:themeColor="text1"/>
          <w:sz w:val="16"/>
          <w:szCs w:val="16"/>
        </w:rPr>
        <w:tab/>
        <w:t>85</w:t>
      </w:r>
    </w:p>
    <w:p w14:paraId="1F7A204D" w14:textId="77777777" w:rsidR="00A40604" w:rsidRPr="00A259BD" w:rsidRDefault="00A4060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Практический потолок (м)3470</w:t>
      </w:r>
    </w:p>
    <w:p w14:paraId="2B35FE1E" w14:textId="77777777" w:rsidR="00A40604" w:rsidRPr="00A259BD" w:rsidRDefault="00A4060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Дальность полета максимальная (км) </w:t>
      </w:r>
      <w:r w:rsidRPr="00A259BD">
        <w:rPr>
          <w:rFonts w:ascii="Times New Roman" w:hAnsi="Times New Roman"/>
          <w:color w:val="000000" w:themeColor="text1"/>
          <w:sz w:val="16"/>
          <w:szCs w:val="16"/>
        </w:rPr>
        <w:tab/>
        <w:t>800 (12609).</w:t>
      </w:r>
    </w:p>
    <w:p w14:paraId="51629E10" w14:textId="77777777" w:rsidR="00A40604" w:rsidRPr="00A259BD" w:rsidRDefault="00A40604" w:rsidP="009236E3">
      <w:pPr>
        <w:pStyle w:val="59"/>
        <w:shd w:val="clear" w:color="auto" w:fill="auto"/>
        <w:spacing w:line="240" w:lineRule="auto"/>
        <w:ind w:firstLine="0"/>
        <w:jc w:val="both"/>
        <w:rPr>
          <w:rStyle w:val="50pt"/>
          <w:rFonts w:ascii="Times New Roman" w:hAnsi="Times New Roman" w:cs="Times New Roman"/>
          <w:i w:val="0"/>
          <w:color w:val="000000" w:themeColor="text1"/>
          <w:sz w:val="16"/>
          <w:szCs w:val="16"/>
        </w:rPr>
      </w:pPr>
    </w:p>
    <w:p w14:paraId="4F56AB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августа 1929 ГК-и </w:t>
      </w:r>
      <w:proofErr w:type="spellStart"/>
      <w:r w:rsidRPr="00A259BD">
        <w:rPr>
          <w:rFonts w:ascii="Times New Roman" w:hAnsi="Times New Roman"/>
          <w:color w:val="000000" w:themeColor="text1"/>
          <w:sz w:val="16"/>
          <w:szCs w:val="16"/>
        </w:rPr>
        <w:t>П.Ришар</w:t>
      </w:r>
      <w:proofErr w:type="spellEnd"/>
      <w:r w:rsidRPr="00A259BD">
        <w:rPr>
          <w:rFonts w:ascii="Times New Roman" w:hAnsi="Times New Roman"/>
          <w:color w:val="000000" w:themeColor="text1"/>
          <w:sz w:val="16"/>
          <w:szCs w:val="16"/>
        </w:rPr>
        <w:t xml:space="preserve">, Пом. ГК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Хомский и УД ОПО-4 Раскин писали письмо N 1/167с в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w:t>
      </w:r>
    </w:p>
    <w:p w14:paraId="4AFDFF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"Согласно Вашего распоряжения, ОПО-4 при сем препровождает для направления в НТК УВВС один экз. предварительного проекта ТОМ-1, со внесенными в него изменениями и уточнениями." (около 100 чертежей) (2363,320).</w:t>
      </w:r>
    </w:p>
    <w:p w14:paraId="0D362B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Согласно Вашего распоряжения, ОПО-4 при сем препровождает для направления з НТК УВВС один экземпляр предварительного проекта самолета ТОМ I, со внесенными в него изменениями и уточнениями.</w:t>
      </w:r>
    </w:p>
    <w:p w14:paraId="722E5F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w:t>
      </w:r>
    </w:p>
    <w:p w14:paraId="78195BD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Аэродинамическии</w:t>
      </w:r>
      <w:proofErr w:type="spellEnd"/>
      <w:r w:rsidRPr="00A259BD">
        <w:rPr>
          <w:rFonts w:ascii="Times New Roman" w:hAnsi="Times New Roman"/>
          <w:color w:val="000000" w:themeColor="text1"/>
          <w:sz w:val="16"/>
          <w:szCs w:val="16"/>
        </w:rPr>
        <w:t xml:space="preserve"> расчет на 13 листах с 8 чертежами.</w:t>
      </w:r>
    </w:p>
    <w:p w14:paraId="7FE4576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Расчет лодки на 70 листах с 22 чертежами</w:t>
      </w:r>
    </w:p>
    <w:p w14:paraId="75F9518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Одна таблица - синька.</w:t>
      </w:r>
    </w:p>
    <w:p w14:paraId="78BA46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Фюзеляж, </w:t>
      </w:r>
      <w:proofErr w:type="spellStart"/>
      <w:r w:rsidRPr="00A259BD">
        <w:rPr>
          <w:rFonts w:ascii="Times New Roman" w:hAnsi="Times New Roman"/>
          <w:color w:val="000000" w:themeColor="text1"/>
          <w:sz w:val="16"/>
          <w:szCs w:val="16"/>
        </w:rPr>
        <w:t>подмоторная</w:t>
      </w:r>
      <w:proofErr w:type="spellEnd"/>
      <w:r w:rsidRPr="00A259BD">
        <w:rPr>
          <w:rFonts w:ascii="Times New Roman" w:hAnsi="Times New Roman"/>
          <w:color w:val="000000" w:themeColor="text1"/>
          <w:sz w:val="16"/>
          <w:szCs w:val="16"/>
        </w:rPr>
        <w:t xml:space="preserve"> рама и хвостовое оперение на 54 листах с 14 чертежами.</w:t>
      </w:r>
    </w:p>
    <w:p w14:paraId="1D4078B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Дополнение к гидродинамическому расчету на 16 листах с 10 чертежами</w:t>
      </w:r>
    </w:p>
    <w:p w14:paraId="4D641D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Расчет крыла на 64 листах</w:t>
      </w:r>
    </w:p>
    <w:p w14:paraId="14D4940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Весовая ведомость на 2 листах</w:t>
      </w:r>
    </w:p>
    <w:p w14:paraId="3A4094C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Список изменений первоначального проекта - 1 лист</w:t>
      </w:r>
    </w:p>
    <w:p w14:paraId="5A97AE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Чертежеи</w:t>
      </w:r>
      <w:proofErr w:type="spellEnd"/>
      <w:r w:rsidRPr="00A259BD">
        <w:rPr>
          <w:rFonts w:ascii="Times New Roman" w:hAnsi="Times New Roman"/>
          <w:color w:val="000000" w:themeColor="text1"/>
          <w:sz w:val="16"/>
          <w:szCs w:val="16"/>
        </w:rPr>
        <w:t xml:space="preserve"> по списку - 75 (2363,320).</w:t>
      </w:r>
    </w:p>
    <w:p w14:paraId="081787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C219C5" w14:textId="77777777" w:rsidR="009D16EA"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66360EC" w14:textId="77777777" w:rsidR="009D16EA" w:rsidRPr="00A259BD" w:rsidRDefault="009D16E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D8A2D14" w14:textId="77777777" w:rsidR="005A255E" w:rsidRPr="00A259BD" w:rsidRDefault="005A25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августа в 1929 году первый итальянский гоночный самолет «</w:t>
      </w:r>
      <w:proofErr w:type="spellStart"/>
      <w:r w:rsidRPr="00A259BD">
        <w:rPr>
          <w:rFonts w:ascii="Times New Roman" w:hAnsi="Times New Roman"/>
          <w:color w:val="000000" w:themeColor="text1"/>
          <w:sz w:val="16"/>
          <w:szCs w:val="16"/>
        </w:rPr>
        <w:t>Macchi</w:t>
      </w:r>
      <w:proofErr w:type="spellEnd"/>
      <w:r w:rsidRPr="00A259BD">
        <w:rPr>
          <w:rFonts w:ascii="Times New Roman" w:hAnsi="Times New Roman"/>
          <w:color w:val="000000" w:themeColor="text1"/>
          <w:sz w:val="16"/>
          <w:szCs w:val="16"/>
        </w:rPr>
        <w:t>» «M.67» во время тренировок упал в озеро. Два остальных во время гонок "Шнайдер Трофи" выбыли из соревнований по техническим причинам (14990).</w:t>
      </w:r>
    </w:p>
    <w:p w14:paraId="18F02F1C" w14:textId="77777777" w:rsidR="005A255E" w:rsidRPr="00A259BD" w:rsidRDefault="005A255E" w:rsidP="009236E3">
      <w:pPr>
        <w:spacing w:after="0" w:line="240" w:lineRule="auto"/>
        <w:jc w:val="both"/>
        <w:rPr>
          <w:rFonts w:ascii="Times New Roman" w:hAnsi="Times New Roman"/>
          <w:color w:val="000000" w:themeColor="text1"/>
          <w:sz w:val="16"/>
          <w:szCs w:val="16"/>
        </w:rPr>
      </w:pPr>
    </w:p>
    <w:p w14:paraId="514C0CA7" w14:textId="77777777" w:rsidR="005A255E" w:rsidRPr="00A259BD" w:rsidRDefault="005A25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августа в 1929 году французский бомбардировщик-разведчик </w:t>
      </w:r>
      <w:hyperlink r:id="rId164" w:tgtFrame="_blank" w:history="1">
        <w:r w:rsidRPr="00A259BD">
          <w:rPr>
            <w:rFonts w:ascii="Times New Roman" w:hAnsi="Times New Roman"/>
            <w:color w:val="000000" w:themeColor="text1"/>
            <w:sz w:val="16"/>
            <w:szCs w:val="16"/>
          </w:rPr>
          <w:t xml:space="preserve">«Br.19TR», </w:t>
        </w:r>
      </w:hyperlink>
      <w:r w:rsidRPr="00A259BD">
        <w:rPr>
          <w:rFonts w:ascii="Times New Roman" w:hAnsi="Times New Roman"/>
          <w:color w:val="000000" w:themeColor="text1"/>
          <w:sz w:val="16"/>
          <w:szCs w:val="16"/>
        </w:rPr>
        <w:t xml:space="preserve">с мотором «Рено» «12Kg» (550 л.с.) и экипажем из пилотов </w:t>
      </w:r>
      <w:proofErr w:type="spellStart"/>
      <w:r w:rsidRPr="00A259BD">
        <w:rPr>
          <w:rFonts w:ascii="Times New Roman" w:hAnsi="Times New Roman"/>
          <w:color w:val="000000" w:themeColor="text1"/>
          <w:sz w:val="16"/>
          <w:szCs w:val="16"/>
        </w:rPr>
        <w:t>Аррашара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Риньо</w:t>
      </w:r>
      <w:proofErr w:type="spellEnd"/>
      <w:r w:rsidRPr="00A259BD">
        <w:rPr>
          <w:rFonts w:ascii="Times New Roman" w:hAnsi="Times New Roman"/>
          <w:color w:val="000000" w:themeColor="text1"/>
          <w:sz w:val="16"/>
          <w:szCs w:val="16"/>
        </w:rPr>
        <w:t xml:space="preserve">, совершил перелет из Брюсселя до </w:t>
      </w:r>
      <w:proofErr w:type="spellStart"/>
      <w:r w:rsidRPr="00A259BD">
        <w:rPr>
          <w:rFonts w:ascii="Times New Roman" w:hAnsi="Times New Roman"/>
          <w:color w:val="000000" w:themeColor="text1"/>
          <w:sz w:val="16"/>
          <w:szCs w:val="16"/>
        </w:rPr>
        <w:t>Мукдена</w:t>
      </w:r>
      <w:proofErr w:type="spellEnd"/>
      <w:r w:rsidRPr="00A259BD">
        <w:rPr>
          <w:rFonts w:ascii="Times New Roman" w:hAnsi="Times New Roman"/>
          <w:color w:val="000000" w:themeColor="text1"/>
          <w:sz w:val="16"/>
          <w:szCs w:val="16"/>
        </w:rPr>
        <w:t>. Самолет, вмещавший уйму топлива, прозвали "Бидоном" и лишь впоследствии эта модификация получила официальное обозначение (14990).</w:t>
      </w:r>
    </w:p>
    <w:p w14:paraId="6D8E4772" w14:textId="77777777" w:rsidR="005A255E" w:rsidRPr="00A259BD" w:rsidRDefault="005A255E" w:rsidP="009236E3">
      <w:pPr>
        <w:spacing w:after="0" w:line="240" w:lineRule="auto"/>
        <w:jc w:val="both"/>
        <w:rPr>
          <w:rFonts w:ascii="Times New Roman" w:hAnsi="Times New Roman"/>
          <w:color w:val="000000" w:themeColor="text1"/>
          <w:sz w:val="16"/>
          <w:szCs w:val="16"/>
        </w:rPr>
      </w:pPr>
    </w:p>
    <w:p w14:paraId="3A6EB64B" w14:textId="77777777" w:rsidR="00FB22D8" w:rsidRPr="00A259BD" w:rsidRDefault="00FB22D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августа 1929 - Французский бомбардировщик-разведчик Br.19TR, с мотором "Рено" 12Kg (550 л.с.) и экипажем из пилотов </w:t>
      </w:r>
      <w:proofErr w:type="spellStart"/>
      <w:r w:rsidRPr="00A259BD">
        <w:rPr>
          <w:rFonts w:ascii="Times New Roman" w:hAnsi="Times New Roman"/>
          <w:color w:val="000000" w:themeColor="text1"/>
          <w:sz w:val="16"/>
          <w:szCs w:val="16"/>
        </w:rPr>
        <w:t>Аррашара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Риньо</w:t>
      </w:r>
      <w:proofErr w:type="spellEnd"/>
      <w:r w:rsidRPr="00A259BD">
        <w:rPr>
          <w:rFonts w:ascii="Times New Roman" w:hAnsi="Times New Roman"/>
          <w:color w:val="000000" w:themeColor="text1"/>
          <w:sz w:val="16"/>
          <w:szCs w:val="16"/>
        </w:rPr>
        <w:t xml:space="preserve">, совершил перелет из Брюсселя до </w:t>
      </w:r>
      <w:proofErr w:type="spellStart"/>
      <w:r w:rsidRPr="00A259BD">
        <w:rPr>
          <w:rFonts w:ascii="Times New Roman" w:hAnsi="Times New Roman"/>
          <w:color w:val="000000" w:themeColor="text1"/>
          <w:sz w:val="16"/>
          <w:szCs w:val="16"/>
        </w:rPr>
        <w:t>Мукдена</w:t>
      </w:r>
      <w:proofErr w:type="spellEnd"/>
      <w:r w:rsidRPr="00A259BD">
        <w:rPr>
          <w:rFonts w:ascii="Times New Roman" w:hAnsi="Times New Roman"/>
          <w:color w:val="000000" w:themeColor="text1"/>
          <w:sz w:val="16"/>
          <w:szCs w:val="16"/>
        </w:rPr>
        <w:t>. Обратно эта машина не вернулась - ее продали китайцам. Самолет, вмещавший уйму топлива, прозвали "Бидоном" и лишь впоследствии эта модификация получила официальное обозначение (22390).</w:t>
      </w:r>
    </w:p>
    <w:p w14:paraId="44543C21" w14:textId="77777777" w:rsidR="00FB22D8" w:rsidRPr="00A259BD" w:rsidRDefault="00FB22D8" w:rsidP="009236E3">
      <w:pPr>
        <w:spacing w:after="0" w:line="240" w:lineRule="auto"/>
        <w:jc w:val="both"/>
        <w:rPr>
          <w:rFonts w:ascii="Times New Roman" w:hAnsi="Times New Roman"/>
          <w:color w:val="000000" w:themeColor="text1"/>
          <w:sz w:val="16"/>
          <w:szCs w:val="16"/>
        </w:rPr>
      </w:pPr>
    </w:p>
    <w:p w14:paraId="6E939281" w14:textId="77777777" w:rsidR="00FB22D8" w:rsidRPr="00A259BD" w:rsidRDefault="00FB22D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августа 1929 - Впервые взлетел американский гоночный самолет </w:t>
      </w:r>
      <w:proofErr w:type="spellStart"/>
      <w:r w:rsidRPr="00A259BD">
        <w:rPr>
          <w:rFonts w:ascii="Times New Roman" w:hAnsi="Times New Roman"/>
          <w:color w:val="000000" w:themeColor="text1"/>
          <w:sz w:val="16"/>
          <w:szCs w:val="16"/>
        </w:rPr>
        <w:t>Gee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Bee</w:t>
      </w:r>
      <w:proofErr w:type="spellEnd"/>
      <w:r w:rsidRPr="00A259BD">
        <w:rPr>
          <w:rFonts w:ascii="Times New Roman" w:hAnsi="Times New Roman"/>
          <w:color w:val="000000" w:themeColor="text1"/>
          <w:sz w:val="16"/>
          <w:szCs w:val="16"/>
        </w:rPr>
        <w:t xml:space="preserve"> Model Z Super </w:t>
      </w:r>
      <w:proofErr w:type="spellStart"/>
      <w:r w:rsidRPr="00A259BD">
        <w:rPr>
          <w:rFonts w:ascii="Times New Roman" w:hAnsi="Times New Roman"/>
          <w:color w:val="000000" w:themeColor="text1"/>
          <w:sz w:val="16"/>
          <w:szCs w:val="16"/>
        </w:rPr>
        <w:t>Sportster</w:t>
      </w:r>
      <w:proofErr w:type="spellEnd"/>
      <w:r w:rsidRPr="00A259BD">
        <w:rPr>
          <w:rFonts w:ascii="Times New Roman" w:hAnsi="Times New Roman"/>
          <w:color w:val="000000" w:themeColor="text1"/>
          <w:sz w:val="16"/>
          <w:szCs w:val="16"/>
        </w:rPr>
        <w:t>. Model "Z" был построен с оглядкой на самолёт Travel Air, и на первый взгляд казался просто его развитием. Из-за того, что форсированный "</w:t>
      </w:r>
      <w:proofErr w:type="spellStart"/>
      <w:r w:rsidRPr="00A259BD">
        <w:rPr>
          <w:rFonts w:ascii="Times New Roman" w:hAnsi="Times New Roman"/>
          <w:color w:val="000000" w:themeColor="text1"/>
          <w:sz w:val="16"/>
          <w:szCs w:val="16"/>
        </w:rPr>
        <w:t>Wasp</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Jr</w:t>
      </w:r>
      <w:proofErr w:type="spellEnd"/>
      <w:r w:rsidRPr="00A259BD">
        <w:rPr>
          <w:rFonts w:ascii="Times New Roman" w:hAnsi="Times New Roman"/>
          <w:color w:val="000000" w:themeColor="text1"/>
          <w:sz w:val="16"/>
          <w:szCs w:val="16"/>
        </w:rPr>
        <w:t xml:space="preserve">." имел 46 дюймов в диаметре, диаметр капота составил более 4 футов, а фюзеляж "Z" был более чем на фут короче такового у обычного одноместного </w:t>
      </w:r>
      <w:proofErr w:type="spellStart"/>
      <w:r w:rsidRPr="00A259BD">
        <w:rPr>
          <w:rFonts w:ascii="Times New Roman" w:hAnsi="Times New Roman"/>
          <w:color w:val="000000" w:themeColor="text1"/>
          <w:sz w:val="16"/>
          <w:szCs w:val="16"/>
        </w:rPr>
        <w:t>Sportster'а</w:t>
      </w:r>
      <w:proofErr w:type="spellEnd"/>
      <w:r w:rsidRPr="00A259BD">
        <w:rPr>
          <w:rFonts w:ascii="Times New Roman" w:hAnsi="Times New Roman"/>
          <w:color w:val="000000" w:themeColor="text1"/>
          <w:sz w:val="16"/>
          <w:szCs w:val="16"/>
        </w:rPr>
        <w:t>, самолёт получился настолько бочкообразным, как ни один другой ранее. Большинство гоночных самолётов традиционной конструкции создавалось вокруг компактных V-образных и рядных двигателей, имели минимальный мидель для уменьшения сопротивления. Первые гоночные самолёты с радиальными двигателями до появления Travel Air сочетали тонкий фюзеляж с мотором большого диметра.</w:t>
      </w:r>
    </w:p>
    <w:p w14:paraId="2E685ADF" w14:textId="77777777" w:rsidR="00FB22D8" w:rsidRPr="00A259BD" w:rsidRDefault="00FB22D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Сочетание тяжёлого мотора с коротким фюзеляжем стало причиной появления других особенностей, присущих </w:t>
      </w:r>
      <w:proofErr w:type="spellStart"/>
      <w:r w:rsidRPr="00A259BD">
        <w:rPr>
          <w:rFonts w:ascii="Times New Roman" w:hAnsi="Times New Roman"/>
          <w:color w:val="000000" w:themeColor="text1"/>
          <w:sz w:val="16"/>
          <w:szCs w:val="16"/>
        </w:rPr>
        <w:t>Gee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Bee</w:t>
      </w:r>
      <w:proofErr w:type="spellEnd"/>
      <w:r w:rsidRPr="00A259BD">
        <w:rPr>
          <w:rFonts w:ascii="Times New Roman" w:hAnsi="Times New Roman"/>
          <w:color w:val="000000" w:themeColor="text1"/>
          <w:sz w:val="16"/>
          <w:szCs w:val="16"/>
        </w:rPr>
        <w:t>. Для компенсации веса двигателя, кабину пилота пришлось существенно сместить назад от считавшегося типовым положения сразу за центром масс самолёта. Он сидел настолько близко к хвосту, что гаргрот за кабиной пилота превращался в стабилизатор самолёта. Очевидным новшеством Model "Z" стала и полностью закрытая кабина пилота. Впервые такие кабины появились ещё в 1920-х, но не стали стандартом для гоночных машин. Когда в связи с ростом скоростей до 200 миль в час лучшая обтекаемость и увеличение защиты пилота от набегающего потока стали более актуальными, необходимость закрытых кабин появилась вновь.</w:t>
      </w:r>
    </w:p>
    <w:p w14:paraId="7472E829" w14:textId="77777777" w:rsidR="00FB22D8" w:rsidRPr="00A259BD" w:rsidRDefault="00FB22D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Два пилота летали на напоминающем пузатую пивную бутылку маленьком </w:t>
      </w:r>
      <w:proofErr w:type="spellStart"/>
      <w:r w:rsidRPr="00A259BD">
        <w:rPr>
          <w:rFonts w:ascii="Times New Roman" w:hAnsi="Times New Roman"/>
          <w:color w:val="000000" w:themeColor="text1"/>
          <w:sz w:val="16"/>
          <w:szCs w:val="16"/>
        </w:rPr>
        <w:t>Speedster'е</w:t>
      </w:r>
      <w:proofErr w:type="spellEnd"/>
      <w:r w:rsidRPr="00A259BD">
        <w:rPr>
          <w:rFonts w:ascii="Times New Roman" w:hAnsi="Times New Roman"/>
          <w:color w:val="000000" w:themeColor="text1"/>
          <w:sz w:val="16"/>
          <w:szCs w:val="16"/>
        </w:rPr>
        <w:t xml:space="preserve"> - конструктор Боб </w:t>
      </w:r>
      <w:proofErr w:type="spellStart"/>
      <w:r w:rsidRPr="00A259BD">
        <w:rPr>
          <w:rFonts w:ascii="Times New Roman" w:hAnsi="Times New Roman"/>
          <w:color w:val="000000" w:themeColor="text1"/>
          <w:sz w:val="16"/>
          <w:szCs w:val="16"/>
        </w:rPr>
        <w:t>Хол</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Bob</w:t>
      </w:r>
      <w:proofErr w:type="spellEnd"/>
      <w:r w:rsidRPr="00A259BD">
        <w:rPr>
          <w:rFonts w:ascii="Times New Roman" w:hAnsi="Times New Roman"/>
          <w:color w:val="000000" w:themeColor="text1"/>
          <w:sz w:val="16"/>
          <w:szCs w:val="16"/>
        </w:rPr>
        <w:t xml:space="preserve"> Hall) выиграл General </w:t>
      </w:r>
      <w:proofErr w:type="spellStart"/>
      <w:r w:rsidRPr="00A259BD">
        <w:rPr>
          <w:rFonts w:ascii="Times New Roman" w:hAnsi="Times New Roman"/>
          <w:color w:val="000000" w:themeColor="text1"/>
          <w:sz w:val="16"/>
          <w:szCs w:val="16"/>
        </w:rPr>
        <w:t>Tire</w:t>
      </w:r>
      <w:proofErr w:type="spellEnd"/>
      <w:r w:rsidRPr="00A259BD">
        <w:rPr>
          <w:rFonts w:ascii="Times New Roman" w:hAnsi="Times New Roman"/>
          <w:color w:val="000000" w:themeColor="text1"/>
          <w:sz w:val="16"/>
          <w:szCs w:val="16"/>
        </w:rPr>
        <w:t xml:space="preserve"> &amp; </w:t>
      </w:r>
      <w:proofErr w:type="spellStart"/>
      <w:r w:rsidRPr="00A259BD">
        <w:rPr>
          <w:rFonts w:ascii="Times New Roman" w:hAnsi="Times New Roman"/>
          <w:color w:val="000000" w:themeColor="text1"/>
          <w:sz w:val="16"/>
          <w:szCs w:val="16"/>
        </w:rPr>
        <w:t>Rubber</w:t>
      </w:r>
      <w:proofErr w:type="spellEnd"/>
      <w:r w:rsidRPr="00A259BD">
        <w:rPr>
          <w:rFonts w:ascii="Times New Roman" w:hAnsi="Times New Roman"/>
          <w:color w:val="000000" w:themeColor="text1"/>
          <w:sz w:val="16"/>
          <w:szCs w:val="16"/>
        </w:rPr>
        <w:t xml:space="preserve"> Co. </w:t>
      </w:r>
      <w:proofErr w:type="spellStart"/>
      <w:r w:rsidRPr="00A259BD">
        <w:rPr>
          <w:rFonts w:ascii="Times New Roman" w:hAnsi="Times New Roman"/>
          <w:color w:val="000000" w:themeColor="text1"/>
          <w:sz w:val="16"/>
          <w:szCs w:val="16"/>
        </w:rPr>
        <w:t>Trophy</w:t>
      </w:r>
      <w:proofErr w:type="spellEnd"/>
      <w:r w:rsidRPr="00A259BD">
        <w:rPr>
          <w:rFonts w:ascii="Times New Roman" w:hAnsi="Times New Roman"/>
          <w:color w:val="000000" w:themeColor="text1"/>
          <w:sz w:val="16"/>
          <w:szCs w:val="16"/>
        </w:rPr>
        <w:t xml:space="preserve"> с результатом 189,545 миль в час и смешанную гонку Free </w:t>
      </w:r>
      <w:proofErr w:type="spellStart"/>
      <w:r w:rsidRPr="00A259BD">
        <w:rPr>
          <w:rFonts w:ascii="Times New Roman" w:hAnsi="Times New Roman"/>
          <w:color w:val="000000" w:themeColor="text1"/>
          <w:sz w:val="16"/>
          <w:szCs w:val="16"/>
        </w:rPr>
        <w:t>for</w:t>
      </w:r>
      <w:proofErr w:type="spellEnd"/>
      <w:r w:rsidRPr="00A259BD">
        <w:rPr>
          <w:rFonts w:ascii="Times New Roman" w:hAnsi="Times New Roman"/>
          <w:color w:val="000000" w:themeColor="text1"/>
          <w:sz w:val="16"/>
          <w:szCs w:val="16"/>
        </w:rPr>
        <w:t xml:space="preserve"> All с результатом 222,263 мили в час. </w:t>
      </w:r>
      <w:proofErr w:type="spellStart"/>
      <w:r w:rsidRPr="00A259BD">
        <w:rPr>
          <w:rFonts w:ascii="Times New Roman" w:hAnsi="Times New Roman"/>
          <w:color w:val="000000" w:themeColor="text1"/>
          <w:sz w:val="16"/>
          <w:szCs w:val="16"/>
        </w:rPr>
        <w:t>Лоувел</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Байлес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Lowell</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Bayles</w:t>
      </w:r>
      <w:proofErr w:type="spellEnd"/>
      <w:r w:rsidRPr="00A259BD">
        <w:rPr>
          <w:rFonts w:ascii="Times New Roman" w:hAnsi="Times New Roman"/>
          <w:color w:val="000000" w:themeColor="text1"/>
          <w:sz w:val="16"/>
          <w:szCs w:val="16"/>
        </w:rPr>
        <w:t xml:space="preserve">), пилотировавший год назад на Cirrus </w:t>
      </w:r>
      <w:proofErr w:type="spellStart"/>
      <w:r w:rsidRPr="00A259BD">
        <w:rPr>
          <w:rFonts w:ascii="Times New Roman" w:hAnsi="Times New Roman"/>
          <w:color w:val="000000" w:themeColor="text1"/>
          <w:sz w:val="16"/>
          <w:szCs w:val="16"/>
        </w:rPr>
        <w:t>Derby</w:t>
      </w:r>
      <w:proofErr w:type="spellEnd"/>
      <w:r w:rsidRPr="00A259BD">
        <w:rPr>
          <w:rFonts w:ascii="Times New Roman" w:hAnsi="Times New Roman"/>
          <w:color w:val="000000" w:themeColor="text1"/>
          <w:sz w:val="16"/>
          <w:szCs w:val="16"/>
        </w:rPr>
        <w:t xml:space="preserve"> Model "X", один из основных акционеров Ассоциации, фактически "купивший" для специальных полётов новый гоночный самолёт, выиграл Goodyear </w:t>
      </w:r>
      <w:proofErr w:type="spellStart"/>
      <w:r w:rsidRPr="00A259BD">
        <w:rPr>
          <w:rFonts w:ascii="Times New Roman" w:hAnsi="Times New Roman"/>
          <w:color w:val="000000" w:themeColor="text1"/>
          <w:sz w:val="16"/>
          <w:szCs w:val="16"/>
        </w:rPr>
        <w:t>Trophy</w:t>
      </w:r>
      <w:proofErr w:type="spellEnd"/>
      <w:r w:rsidRPr="00A259BD">
        <w:rPr>
          <w:rFonts w:ascii="Times New Roman" w:hAnsi="Times New Roman"/>
          <w:color w:val="000000" w:themeColor="text1"/>
          <w:sz w:val="16"/>
          <w:szCs w:val="16"/>
        </w:rPr>
        <w:t xml:space="preserve"> с результатом 206,001 мили в час, и главное событие Гонок, Thomson </w:t>
      </w:r>
      <w:proofErr w:type="spellStart"/>
      <w:r w:rsidRPr="00A259BD">
        <w:rPr>
          <w:rFonts w:ascii="Times New Roman" w:hAnsi="Times New Roman"/>
          <w:color w:val="000000" w:themeColor="text1"/>
          <w:sz w:val="16"/>
          <w:szCs w:val="16"/>
        </w:rPr>
        <w:t>Trophy</w:t>
      </w:r>
      <w:proofErr w:type="spellEnd"/>
      <w:r w:rsidRPr="00A259BD">
        <w:rPr>
          <w:rFonts w:ascii="Times New Roman" w:hAnsi="Times New Roman"/>
          <w:color w:val="000000" w:themeColor="text1"/>
          <w:sz w:val="16"/>
          <w:szCs w:val="16"/>
        </w:rPr>
        <w:t xml:space="preserve"> Race, с результатом 267,342 мили в час, а так же установив новый рекорд скорости в полётах по прямой на короткой дистанции Shell Speed </w:t>
      </w:r>
      <w:proofErr w:type="spellStart"/>
      <w:r w:rsidRPr="00A259BD">
        <w:rPr>
          <w:rFonts w:ascii="Times New Roman" w:hAnsi="Times New Roman"/>
          <w:color w:val="000000" w:themeColor="text1"/>
          <w:sz w:val="16"/>
          <w:szCs w:val="16"/>
        </w:rPr>
        <w:t>dash</w:t>
      </w:r>
      <w:proofErr w:type="spellEnd"/>
      <w:r w:rsidRPr="00A259BD">
        <w:rPr>
          <w:rFonts w:ascii="Times New Roman" w:hAnsi="Times New Roman"/>
          <w:color w:val="000000" w:themeColor="text1"/>
          <w:sz w:val="16"/>
          <w:szCs w:val="16"/>
        </w:rPr>
        <w:t>, равный 267,342 мили в час (22390).</w:t>
      </w:r>
    </w:p>
    <w:p w14:paraId="77417436" w14:textId="77777777" w:rsidR="00FB22D8" w:rsidRPr="00A259BD" w:rsidRDefault="00FB22D8" w:rsidP="009236E3">
      <w:pPr>
        <w:spacing w:after="0" w:line="240" w:lineRule="auto"/>
        <w:jc w:val="both"/>
        <w:rPr>
          <w:rFonts w:ascii="Times New Roman" w:hAnsi="Times New Roman"/>
          <w:color w:val="000000" w:themeColor="text1"/>
          <w:sz w:val="16"/>
          <w:szCs w:val="16"/>
        </w:rPr>
      </w:pPr>
    </w:p>
    <w:p w14:paraId="0657C605" w14:textId="77777777" w:rsidR="005A255E" w:rsidRPr="00A259BD" w:rsidRDefault="005A25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августа в 1929 году впервые взлетел американский гоночный самолет </w:t>
      </w:r>
      <w:hyperlink r:id="rId165" w:tgtFrame="_blank" w:history="1">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Gee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Bee</w:t>
        </w:r>
        <w:proofErr w:type="spellEnd"/>
        <w:r w:rsidRPr="00A259BD">
          <w:rPr>
            <w:rFonts w:ascii="Times New Roman" w:hAnsi="Times New Roman"/>
            <w:color w:val="000000" w:themeColor="text1"/>
            <w:sz w:val="16"/>
            <w:szCs w:val="16"/>
          </w:rPr>
          <w:t xml:space="preserve">» «Model Z» «Super </w:t>
        </w:r>
        <w:proofErr w:type="spellStart"/>
        <w:r w:rsidRPr="00A259BD">
          <w:rPr>
            <w:rFonts w:ascii="Times New Roman" w:hAnsi="Times New Roman"/>
            <w:color w:val="000000" w:themeColor="text1"/>
            <w:sz w:val="16"/>
            <w:szCs w:val="16"/>
          </w:rPr>
          <w:t>Sportster</w:t>
        </w:r>
        <w:proofErr w:type="spellEnd"/>
        <w:r w:rsidRPr="00A259BD">
          <w:rPr>
            <w:rFonts w:ascii="Times New Roman" w:hAnsi="Times New Roman"/>
            <w:color w:val="000000" w:themeColor="text1"/>
            <w:sz w:val="16"/>
            <w:szCs w:val="16"/>
          </w:rPr>
          <w:t>».</w:t>
        </w:r>
      </w:hyperlink>
    </w:p>
    <w:p w14:paraId="70546CFA" w14:textId="77777777" w:rsidR="005A255E" w:rsidRPr="00A259BD" w:rsidRDefault="005A255E" w:rsidP="009236E3">
      <w:pPr>
        <w:spacing w:after="0" w:line="240" w:lineRule="auto"/>
        <w:jc w:val="both"/>
        <w:rPr>
          <w:rFonts w:ascii="Times New Roman" w:hAnsi="Times New Roman"/>
          <w:color w:val="000000" w:themeColor="text1"/>
          <w:sz w:val="16"/>
          <w:szCs w:val="16"/>
        </w:rPr>
      </w:pPr>
    </w:p>
    <w:p w14:paraId="3F8B2447" w14:textId="77777777" w:rsidR="00FB22D8" w:rsidRPr="00A259BD" w:rsidRDefault="00FB22D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22 августа 1929 г. танковый комитет США предложил принять Christie M1928 на вооружение и включить его в текущую производственную программу. В серийное производство Christie М1928, естественно, не пошел, но 28 июня 1930 г. с Кристи (его фирмой U.S. </w:t>
      </w:r>
      <w:proofErr w:type="spellStart"/>
      <w:r w:rsidRPr="00A259BD">
        <w:rPr>
          <w:rFonts w:ascii="Times New Roman" w:hAnsi="Times New Roman"/>
          <w:color w:val="000000" w:themeColor="text1"/>
          <w:sz w:val="16"/>
          <w:szCs w:val="16"/>
        </w:rPr>
        <w:t>Wheel</w:t>
      </w:r>
      <w:proofErr w:type="spellEnd"/>
      <w:r w:rsidRPr="00A259BD">
        <w:rPr>
          <w:rFonts w:ascii="Times New Roman" w:hAnsi="Times New Roman"/>
          <w:color w:val="000000" w:themeColor="text1"/>
          <w:sz w:val="16"/>
          <w:szCs w:val="16"/>
        </w:rPr>
        <w:t xml:space="preserve"> Track Layer Corporation) был подписан контракт на разработку и выпуск улучшенной версии танка M1928. Кстати, двумя месяцами ранее был заключен контракт между компанией Кристи и «Амторгом», по которому СССР получил два экземпляра танка (он в документах именовался как Christie M1940), комплект патентов и право лицензионного производства сроком на 10 лет (22884).</w:t>
      </w:r>
    </w:p>
    <w:p w14:paraId="57FB8B69" w14:textId="77777777" w:rsidR="00FB22D8" w:rsidRPr="00A259BD" w:rsidRDefault="00FB22D8" w:rsidP="009236E3">
      <w:pPr>
        <w:spacing w:after="0" w:line="240" w:lineRule="auto"/>
        <w:jc w:val="both"/>
        <w:rPr>
          <w:rFonts w:ascii="Times New Roman" w:hAnsi="Times New Roman"/>
          <w:color w:val="000000" w:themeColor="text1"/>
          <w:sz w:val="16"/>
          <w:szCs w:val="16"/>
        </w:rPr>
      </w:pPr>
    </w:p>
    <w:p w14:paraId="71E5B7BE" w14:textId="77777777" w:rsidR="009D16EA" w:rsidRPr="00A259BD" w:rsidRDefault="009D16E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августа 1929 года танковый комитет рекомендовал принять М1928 на вооружение и включить его в текущую производственную программу. Однако, организовать серийный выпуск М1928 не получилось. В конце 1931 года Кристи создал улучшенную модель М1931, в котором он попытался избавиться от большей части недостатков. Конструкция корпуса подверглась небольшим изменениям – была немного уменьшена его высота и переделана кормовая часть. Появилась цилиндрическая одноместная башня с 37-мм орудием и небольшой командирской башенкой. </w:t>
      </w:r>
    </w:p>
    <w:p w14:paraId="14C6D6DB" w14:textId="77777777" w:rsidR="009D16EA" w:rsidRPr="00A259BD" w:rsidRDefault="009D16E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Ходовая часть танка подверглась частичным доработкам. Она состояла из восьми опорных обрезиненных колес диаметром 686 мм установленных на качающихся рычагах с длинными геликоидальными пружинами, обеспечивавшими колесу вертикальный ход до 40,65 см. Таким образом, каждое колесо могло подниматься до уровня днища танка, что обеспечивало ему очень высокую проходимость. Гусеницы Т3 состояли из стальных пластин площадью около 645 </w:t>
      </w:r>
      <w:proofErr w:type="spellStart"/>
      <w:r w:rsidRPr="00A259BD">
        <w:rPr>
          <w:rFonts w:ascii="Times New Roman" w:hAnsi="Times New Roman"/>
          <w:color w:val="000000" w:themeColor="text1"/>
          <w:sz w:val="16"/>
          <w:szCs w:val="16"/>
        </w:rPr>
        <w:t>см.кв</w:t>
      </w:r>
      <w:proofErr w:type="spellEnd"/>
      <w:r w:rsidRPr="00A259BD">
        <w:rPr>
          <w:rFonts w:ascii="Times New Roman" w:hAnsi="Times New Roman"/>
          <w:color w:val="000000" w:themeColor="text1"/>
          <w:sz w:val="16"/>
          <w:szCs w:val="16"/>
        </w:rPr>
        <w:t>. Время перехода с колес на гусеницы увеличилось до 30 минут, при том, что принцип смены хода не менялся (17214).</w:t>
      </w:r>
    </w:p>
    <w:p w14:paraId="2B2D5984" w14:textId="77777777" w:rsidR="009D16EA" w:rsidRPr="00A259BD" w:rsidRDefault="009D16EA" w:rsidP="009236E3">
      <w:pPr>
        <w:spacing w:after="0" w:line="240" w:lineRule="auto"/>
        <w:jc w:val="both"/>
        <w:rPr>
          <w:rFonts w:ascii="Times New Roman" w:hAnsi="Times New Roman"/>
          <w:color w:val="000000" w:themeColor="text1"/>
          <w:sz w:val="16"/>
          <w:szCs w:val="16"/>
          <w:highlight w:val="yellow"/>
        </w:rPr>
      </w:pPr>
    </w:p>
    <w:p w14:paraId="05CFDB2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216EB2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4478F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23 августа по 2 (1 - 237,157) ноября 1929 "Страна Советов", АНТ-4 участвовал в перелете Москва - Нью Йорк через Аляску (66,195). Приведено только потому, что было две "Страны". Первая вылетела 8 (6 - 2782) августа и разбилась в районе Читы. Пилоты вернулись и стартовали заново (92,349). Маршрут Москва - Челябинск - Новосибирск - Красноярск - Иркутск - Чита - Благовещенск - Хабаровск - Николаевск на Амуре - Петропавловск Камчатский - </w:t>
      </w:r>
      <w:proofErr w:type="spellStart"/>
      <w:r w:rsidRPr="00A259BD">
        <w:rPr>
          <w:rFonts w:ascii="Times New Roman" w:hAnsi="Times New Roman"/>
          <w:color w:val="000000" w:themeColor="text1"/>
          <w:sz w:val="16"/>
          <w:szCs w:val="16"/>
        </w:rPr>
        <w:t>Атту</w:t>
      </w:r>
      <w:proofErr w:type="spellEnd"/>
      <w:r w:rsidRPr="00A259BD">
        <w:rPr>
          <w:rFonts w:ascii="Times New Roman" w:hAnsi="Times New Roman"/>
          <w:color w:val="000000" w:themeColor="text1"/>
          <w:sz w:val="16"/>
          <w:szCs w:val="16"/>
        </w:rPr>
        <w:t xml:space="preserve"> - </w:t>
      </w:r>
      <w:proofErr w:type="spellStart"/>
      <w:r w:rsidRPr="00A259BD">
        <w:rPr>
          <w:rFonts w:ascii="Times New Roman" w:hAnsi="Times New Roman"/>
          <w:color w:val="000000" w:themeColor="text1"/>
          <w:sz w:val="16"/>
          <w:szCs w:val="16"/>
        </w:rPr>
        <w:t>Уналакша</w:t>
      </w:r>
      <w:proofErr w:type="spellEnd"/>
      <w:r w:rsidRPr="00A259BD">
        <w:rPr>
          <w:rFonts w:ascii="Times New Roman" w:hAnsi="Times New Roman"/>
          <w:color w:val="000000" w:themeColor="text1"/>
          <w:sz w:val="16"/>
          <w:szCs w:val="16"/>
        </w:rPr>
        <w:t xml:space="preserve"> - </w:t>
      </w:r>
      <w:proofErr w:type="spellStart"/>
      <w:r w:rsidRPr="00A259BD">
        <w:rPr>
          <w:rFonts w:ascii="Times New Roman" w:hAnsi="Times New Roman"/>
          <w:color w:val="000000" w:themeColor="text1"/>
          <w:sz w:val="16"/>
          <w:szCs w:val="16"/>
        </w:rPr>
        <w:t>Сьюярд</w:t>
      </w:r>
      <w:proofErr w:type="spellEnd"/>
      <w:r w:rsidRPr="00A259BD">
        <w:rPr>
          <w:rFonts w:ascii="Times New Roman" w:hAnsi="Times New Roman"/>
          <w:color w:val="000000" w:themeColor="text1"/>
          <w:sz w:val="16"/>
          <w:szCs w:val="16"/>
        </w:rPr>
        <w:t xml:space="preserve"> - </w:t>
      </w:r>
      <w:proofErr w:type="spellStart"/>
      <w:r w:rsidRPr="00A259BD">
        <w:rPr>
          <w:rFonts w:ascii="Times New Roman" w:hAnsi="Times New Roman"/>
          <w:color w:val="000000" w:themeColor="text1"/>
          <w:sz w:val="16"/>
          <w:szCs w:val="16"/>
        </w:rPr>
        <w:t>Ситка</w:t>
      </w:r>
      <w:proofErr w:type="spellEnd"/>
      <w:r w:rsidRPr="00A259BD">
        <w:rPr>
          <w:rFonts w:ascii="Times New Roman" w:hAnsi="Times New Roman"/>
          <w:color w:val="000000" w:themeColor="text1"/>
          <w:sz w:val="16"/>
          <w:szCs w:val="16"/>
        </w:rPr>
        <w:t xml:space="preserve"> - </w:t>
      </w:r>
      <w:proofErr w:type="spellStart"/>
      <w:r w:rsidRPr="00A259BD">
        <w:rPr>
          <w:rFonts w:ascii="Times New Roman" w:hAnsi="Times New Roman"/>
          <w:color w:val="000000" w:themeColor="text1"/>
          <w:sz w:val="16"/>
          <w:szCs w:val="16"/>
        </w:rPr>
        <w:t>Ватерфолл</w:t>
      </w:r>
      <w:proofErr w:type="spellEnd"/>
      <w:r w:rsidRPr="00A259BD">
        <w:rPr>
          <w:rFonts w:ascii="Times New Roman" w:hAnsi="Times New Roman"/>
          <w:color w:val="000000" w:themeColor="text1"/>
          <w:sz w:val="16"/>
          <w:szCs w:val="16"/>
        </w:rPr>
        <w:t xml:space="preserve"> - Сиэтл - Окленд - Сан-Франциско - Чикаго - Детройт - Нью-Йорк (21242 за 137 ч ЛВ). Летели </w:t>
      </w:r>
      <w:proofErr w:type="spellStart"/>
      <w:r w:rsidRPr="00A259BD">
        <w:rPr>
          <w:rFonts w:ascii="Times New Roman" w:hAnsi="Times New Roman"/>
          <w:color w:val="000000" w:themeColor="text1"/>
          <w:sz w:val="16"/>
          <w:szCs w:val="16"/>
        </w:rPr>
        <w:t>С.А.Шестаков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Ф.Е.Болотов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Б.В.Стерлигов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Д.В.Фуфаев</w:t>
      </w:r>
      <w:proofErr w:type="spellEnd"/>
      <w:r w:rsidRPr="00A259BD">
        <w:rPr>
          <w:rFonts w:ascii="Times New Roman" w:hAnsi="Times New Roman"/>
          <w:color w:val="000000" w:themeColor="text1"/>
          <w:sz w:val="16"/>
          <w:szCs w:val="16"/>
        </w:rPr>
        <w:t xml:space="preserve"> (237,157).</w:t>
      </w:r>
    </w:p>
    <w:p w14:paraId="185D0A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Наверное, этот опыт потом использовали не раз.</w:t>
      </w:r>
    </w:p>
    <w:p w14:paraId="447208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Сотрудники Амторга осуществляли работу по организации "американского" этапа перелёта аэроплана "Страна Советов" в 1929 г. Для обследования самолёта после трансконтинентального перелёта были выделены 2 инженера – В.М. Петляков должен был прибыть в Америку заранее и встречать самолёт, а М.М. Егоров летел непосредственно на "Стране Советов". На персонал Амторга была возложена обязанность по снабжению пилотов самолёта визами и доставка в Америку запасных частей. То что, самолёт, совершивший беспримерный по тем временам рейс, потребует замены некоторых деталей, было понятно. Непонятно было, как оценивать эти запчасти при пересылке. Так как их реальная себестоимость позволяла оценить стоимость всего самолёта, указывать её было нельзя по соображениям </w:t>
      </w:r>
      <w:proofErr w:type="spellStart"/>
      <w:r w:rsidRPr="00A259BD">
        <w:rPr>
          <w:rFonts w:ascii="Times New Roman" w:hAnsi="Times New Roman"/>
          <w:color w:val="000000" w:themeColor="text1"/>
          <w:sz w:val="16"/>
          <w:szCs w:val="16"/>
        </w:rPr>
        <w:t>государственноё</w:t>
      </w:r>
      <w:proofErr w:type="spellEnd"/>
      <w:r w:rsidRPr="00A259BD">
        <w:rPr>
          <w:rFonts w:ascii="Times New Roman" w:hAnsi="Times New Roman"/>
          <w:color w:val="000000" w:themeColor="text1"/>
          <w:sz w:val="16"/>
          <w:szCs w:val="16"/>
        </w:rPr>
        <w:t xml:space="preserve"> тайны. Пришлось брать "</w:t>
      </w:r>
      <w:proofErr w:type="spellStart"/>
      <w:r w:rsidRPr="00A259BD">
        <w:rPr>
          <w:rFonts w:ascii="Times New Roman" w:hAnsi="Times New Roman"/>
          <w:color w:val="000000" w:themeColor="text1"/>
          <w:sz w:val="16"/>
          <w:szCs w:val="16"/>
        </w:rPr>
        <w:t>среднепотолочные</w:t>
      </w:r>
      <w:proofErr w:type="spellEnd"/>
      <w:r w:rsidRPr="00A259BD">
        <w:rPr>
          <w:rFonts w:ascii="Times New Roman" w:hAnsi="Times New Roman"/>
          <w:color w:val="000000" w:themeColor="text1"/>
          <w:sz w:val="16"/>
          <w:szCs w:val="16"/>
        </w:rPr>
        <w:t>" цифры. Представители Амторга встретили "Страну Советов" в Сиэтле и сопровождали её до Нью-Йорка. Экипаж был готов лететь в Европу через Атлантический океан, но Москва, не желая рисковать, запретила такой перелёт. В связи с прилётом "Страны Советов" Форд устроил конференцию, посвящённую перспективам советско-американского сотрудничества. На этой конференции присутствовали Брон, экипаж "Страны Советов" и инженеры Петляков и Егоров (11507).</w:t>
      </w:r>
    </w:p>
    <w:p w14:paraId="65B412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3519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августа 1929 экипаж Шестакова отправился в путь на второй “Стране Сове</w:t>
      </w:r>
      <w:r w:rsidRPr="00A259BD">
        <w:rPr>
          <w:rFonts w:ascii="Times New Roman" w:hAnsi="Times New Roman"/>
          <w:color w:val="000000" w:themeColor="text1"/>
          <w:sz w:val="16"/>
          <w:szCs w:val="16"/>
        </w:rPr>
        <w:softHyphen/>
        <w:t>тов”. Провожатых на этот раз не было...Теперь полетные условия оказались куда более тяжелыми. Фактически в Сибири начина</w:t>
      </w:r>
      <w:r w:rsidRPr="00A259BD">
        <w:rPr>
          <w:rFonts w:ascii="Times New Roman" w:hAnsi="Times New Roman"/>
          <w:color w:val="000000" w:themeColor="text1"/>
          <w:sz w:val="16"/>
          <w:szCs w:val="16"/>
        </w:rPr>
        <w:softHyphen/>
        <w:t>лась осень, световой день стал заметно коро</w:t>
      </w:r>
      <w:r w:rsidRPr="00A259BD">
        <w:rPr>
          <w:rFonts w:ascii="Times New Roman" w:hAnsi="Times New Roman"/>
          <w:color w:val="000000" w:themeColor="text1"/>
          <w:sz w:val="16"/>
          <w:szCs w:val="16"/>
        </w:rPr>
        <w:softHyphen/>
        <w:t>че, а на маршруте приходилось постоянно по</w:t>
      </w:r>
      <w:r w:rsidRPr="00A259BD">
        <w:rPr>
          <w:rFonts w:ascii="Times New Roman" w:hAnsi="Times New Roman"/>
          <w:color w:val="000000" w:themeColor="text1"/>
          <w:sz w:val="16"/>
          <w:szCs w:val="16"/>
        </w:rPr>
        <w:softHyphen/>
        <w:t>падать в дожди и туманы. Кроме того, практи</w:t>
      </w:r>
      <w:r w:rsidRPr="00A259BD">
        <w:rPr>
          <w:rFonts w:ascii="Times New Roman" w:hAnsi="Times New Roman"/>
          <w:color w:val="000000" w:themeColor="text1"/>
          <w:sz w:val="16"/>
          <w:szCs w:val="16"/>
        </w:rPr>
        <w:softHyphen/>
        <w:t>чески сразу начались перебои в правом двигателе. Летчики перетянули Уральские горы и решили садиться в Челябинске. Здесь их не ждали, поэтому после устранения неисправ</w:t>
      </w:r>
      <w:r w:rsidRPr="00A259BD">
        <w:rPr>
          <w:rFonts w:ascii="Times New Roman" w:hAnsi="Times New Roman"/>
          <w:color w:val="000000" w:themeColor="text1"/>
          <w:sz w:val="16"/>
          <w:szCs w:val="16"/>
        </w:rPr>
        <w:softHyphen/>
        <w:t>ностей для дозаправки перелетели в Курган. Далее после посадок в Новосибирске и Крас</w:t>
      </w:r>
      <w:r w:rsidRPr="00A259BD">
        <w:rPr>
          <w:rFonts w:ascii="Times New Roman" w:hAnsi="Times New Roman"/>
          <w:color w:val="000000" w:themeColor="text1"/>
          <w:sz w:val="16"/>
          <w:szCs w:val="16"/>
        </w:rPr>
        <w:softHyphen/>
        <w:t>ноярске мотор вновь закапризничал. На его за</w:t>
      </w:r>
      <w:r w:rsidRPr="00A259BD">
        <w:rPr>
          <w:rFonts w:ascii="Times New Roman" w:hAnsi="Times New Roman"/>
          <w:color w:val="000000" w:themeColor="text1"/>
          <w:sz w:val="16"/>
          <w:szCs w:val="16"/>
        </w:rPr>
        <w:softHyphen/>
        <w:t>мену в Иркутске ушло 3 дня, затем проследова</w:t>
      </w:r>
      <w:r w:rsidRPr="00A259BD">
        <w:rPr>
          <w:rFonts w:ascii="Times New Roman" w:hAnsi="Times New Roman"/>
          <w:color w:val="000000" w:themeColor="text1"/>
          <w:sz w:val="16"/>
          <w:szCs w:val="16"/>
        </w:rPr>
        <w:softHyphen/>
        <w:t xml:space="preserve">ли через </w:t>
      </w:r>
      <w:proofErr w:type="spellStart"/>
      <w:r w:rsidRPr="00A259BD">
        <w:rPr>
          <w:rFonts w:ascii="Times New Roman" w:hAnsi="Times New Roman"/>
          <w:color w:val="000000" w:themeColor="text1"/>
          <w:sz w:val="16"/>
          <w:szCs w:val="16"/>
        </w:rPr>
        <w:t>Верхнеудинск</w:t>
      </w:r>
      <w:proofErr w:type="spellEnd"/>
      <w:r w:rsidRPr="00A259BD">
        <w:rPr>
          <w:rFonts w:ascii="Times New Roman" w:hAnsi="Times New Roman"/>
          <w:color w:val="000000" w:themeColor="text1"/>
          <w:sz w:val="16"/>
          <w:szCs w:val="16"/>
        </w:rPr>
        <w:t>, Читу, Благовещенск и 3 сентября прибыли в Хабаровск. Здесь начинал</w:t>
      </w:r>
      <w:r w:rsidRPr="00A259BD">
        <w:rPr>
          <w:rFonts w:ascii="Times New Roman" w:hAnsi="Times New Roman"/>
          <w:color w:val="000000" w:themeColor="text1"/>
          <w:sz w:val="16"/>
          <w:szCs w:val="16"/>
        </w:rPr>
        <w:softHyphen/>
        <w:t>ся морской этап перелета, для чего следовало сменить колеса на поплавки. Проблемой ока</w:t>
      </w:r>
      <w:r w:rsidRPr="00A259BD">
        <w:rPr>
          <w:rFonts w:ascii="Times New Roman" w:hAnsi="Times New Roman"/>
          <w:color w:val="000000" w:themeColor="text1"/>
          <w:sz w:val="16"/>
          <w:szCs w:val="16"/>
        </w:rPr>
        <w:softHyphen/>
        <w:t>залась доставка самолета с аэродрома на Амур. Машину с почти тридцатиметровым раз</w:t>
      </w:r>
      <w:r w:rsidRPr="00A259BD">
        <w:rPr>
          <w:rFonts w:ascii="Times New Roman" w:hAnsi="Times New Roman"/>
          <w:color w:val="000000" w:themeColor="text1"/>
          <w:sz w:val="16"/>
          <w:szCs w:val="16"/>
        </w:rPr>
        <w:softHyphen/>
        <w:t>махом крыла пришлось буксировать к реке в обход города, устраняя по пути неровности и препятствия. Наконец, через 2 дня добрались до базы Амурской речной флотилии, где прис</w:t>
      </w:r>
      <w:r w:rsidRPr="00A259BD">
        <w:rPr>
          <w:rFonts w:ascii="Times New Roman" w:hAnsi="Times New Roman"/>
          <w:color w:val="000000" w:themeColor="text1"/>
          <w:sz w:val="16"/>
          <w:szCs w:val="16"/>
        </w:rPr>
        <w:softHyphen/>
        <w:t>тупили к смене двигателей и установке поплав</w:t>
      </w:r>
      <w:r w:rsidRPr="00A259BD">
        <w:rPr>
          <w:rFonts w:ascii="Times New Roman" w:hAnsi="Times New Roman"/>
          <w:color w:val="000000" w:themeColor="text1"/>
          <w:sz w:val="16"/>
          <w:szCs w:val="16"/>
        </w:rPr>
        <w:softHyphen/>
        <w:t>ков. Одновременно машину оснастили радио</w:t>
      </w:r>
      <w:r w:rsidRPr="00A259BD">
        <w:rPr>
          <w:rFonts w:ascii="Times New Roman" w:hAnsi="Times New Roman"/>
          <w:color w:val="000000" w:themeColor="text1"/>
          <w:sz w:val="16"/>
          <w:szCs w:val="16"/>
        </w:rPr>
        <w:softHyphen/>
        <w:t>станцией для связи с морскими судами и пор</w:t>
      </w:r>
      <w:r w:rsidRPr="00A259BD">
        <w:rPr>
          <w:rFonts w:ascii="Times New Roman" w:hAnsi="Times New Roman"/>
          <w:color w:val="000000" w:themeColor="text1"/>
          <w:sz w:val="16"/>
          <w:szCs w:val="16"/>
        </w:rPr>
        <w:softHyphen/>
        <w:t>тами. При полете над Сибирью радиосвязь не велась по причине отсутствия там аэродром</w:t>
      </w:r>
      <w:r w:rsidRPr="00A259BD">
        <w:rPr>
          <w:rFonts w:ascii="Times New Roman" w:hAnsi="Times New Roman"/>
          <w:color w:val="000000" w:themeColor="text1"/>
          <w:sz w:val="16"/>
          <w:szCs w:val="16"/>
        </w:rPr>
        <w:softHyphen/>
        <w:t>ных радиостанций. Самолетная рация работа</w:t>
      </w:r>
      <w:r w:rsidRPr="00A259BD">
        <w:rPr>
          <w:rFonts w:ascii="Times New Roman" w:hAnsi="Times New Roman"/>
          <w:color w:val="000000" w:themeColor="text1"/>
          <w:sz w:val="16"/>
          <w:szCs w:val="16"/>
        </w:rPr>
        <w:softHyphen/>
        <w:t>ла в телеграфном режиме, поэтому Стерлигову пришлось в короткий срок изучить работу на телеграфном ключе (по нормам, требовалось принимать не менее 100 знаков в минуту). Погода в Хабаровске стояла прекрасная, поэтому экипаж даже смог искупаться в Аму</w:t>
      </w:r>
      <w:r w:rsidRPr="00A259BD">
        <w:rPr>
          <w:rFonts w:ascii="Times New Roman" w:hAnsi="Times New Roman"/>
          <w:color w:val="000000" w:themeColor="text1"/>
          <w:sz w:val="16"/>
          <w:szCs w:val="16"/>
        </w:rPr>
        <w:softHyphen/>
        <w:t>ре. В эти дни Шестаков с Болотовым крепко повздорили. Дело заключалось в том, что при полете над водой Болотов, как опытный мор</w:t>
      </w:r>
      <w:r w:rsidRPr="00A259BD">
        <w:rPr>
          <w:rFonts w:ascii="Times New Roman" w:hAnsi="Times New Roman"/>
          <w:color w:val="000000" w:themeColor="text1"/>
          <w:sz w:val="16"/>
          <w:szCs w:val="16"/>
        </w:rPr>
        <w:softHyphen/>
        <w:t>ской летчик, должен был сидеть в левом крес</w:t>
      </w:r>
      <w:r w:rsidRPr="00A259BD">
        <w:rPr>
          <w:rFonts w:ascii="Times New Roman" w:hAnsi="Times New Roman"/>
          <w:color w:val="000000" w:themeColor="text1"/>
          <w:sz w:val="16"/>
          <w:szCs w:val="16"/>
        </w:rPr>
        <w:softHyphen/>
        <w:t>ле. Однако Шестаков посчитал это посяга</w:t>
      </w:r>
      <w:r w:rsidRPr="00A259BD">
        <w:rPr>
          <w:rFonts w:ascii="Times New Roman" w:hAnsi="Times New Roman"/>
          <w:color w:val="000000" w:themeColor="text1"/>
          <w:sz w:val="16"/>
          <w:szCs w:val="16"/>
        </w:rPr>
        <w:softHyphen/>
        <w:t>тельством на свои командирские права и рез</w:t>
      </w:r>
      <w:r w:rsidRPr="00A259BD">
        <w:rPr>
          <w:rFonts w:ascii="Times New Roman" w:hAnsi="Times New Roman"/>
          <w:color w:val="000000" w:themeColor="text1"/>
          <w:sz w:val="16"/>
          <w:szCs w:val="16"/>
        </w:rPr>
        <w:softHyphen/>
        <w:t>ко воспротивился. Разбирательство дошло до Москвы, и Климент Ворошилов лично телегра</w:t>
      </w:r>
      <w:r w:rsidRPr="00A259BD">
        <w:rPr>
          <w:rFonts w:ascii="Times New Roman" w:hAnsi="Times New Roman"/>
          <w:color w:val="000000" w:themeColor="text1"/>
          <w:sz w:val="16"/>
          <w:szCs w:val="16"/>
        </w:rPr>
        <w:softHyphen/>
        <w:t>фировал Шестакову, что во время морского участка перелета ему придется сидеть справа (11286).</w:t>
      </w:r>
    </w:p>
    <w:p w14:paraId="380FD06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BC06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августа 1929, уже без особой помпы, Шестаков с товарищами вновь взял курс на восток. Над Уралом засбоил левый мотор, пришлось садиться в Челябинске. За ночь его починили, но на аэродроме не оказалось бензина. Понадобился незапланированный "крюк" в Курган. Чтобы наверстать график, Омск пролетели и сели в Новосибирске. На подходе к Иркутску отказал один двигатель - еле дотянули до аэродрома. Три дня меняли мотор, затем пошли дожди и низкая облачность затянула сопки. График летел ко всем чертям. Но "роковую" Читу миновали благополучно. В Хабаровске сменили колеса на поплавки. 9 сентября первый раз попробовали взлететь с воды. Машина взад и вперед носилась по Амуру, но подниматься в небо не хотела. Лишь оставив на берегу часть снаряжения и частично слив горючее, 12 сентября экипаж смог продолжить путь.</w:t>
      </w:r>
    </w:p>
    <w:p w14:paraId="3559A2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посадки в Николаевске-на-</w:t>
      </w:r>
      <w:proofErr w:type="spellStart"/>
      <w:r w:rsidRPr="00A259BD">
        <w:rPr>
          <w:rFonts w:ascii="Times New Roman" w:hAnsi="Times New Roman"/>
          <w:color w:val="000000" w:themeColor="text1"/>
          <w:sz w:val="16"/>
          <w:szCs w:val="16"/>
        </w:rPr>
        <w:t>Аму</w:t>
      </w:r>
      <w:proofErr w:type="spellEnd"/>
      <w:r w:rsidRPr="00A259BD">
        <w:rPr>
          <w:rFonts w:ascii="Times New Roman" w:hAnsi="Times New Roman"/>
          <w:color w:val="000000" w:themeColor="text1"/>
          <w:sz w:val="16"/>
          <w:szCs w:val="16"/>
        </w:rPr>
        <w:t xml:space="preserve">- ре самолет направился на Камчатку, а оттуда - на о. </w:t>
      </w:r>
      <w:proofErr w:type="spellStart"/>
      <w:r w:rsidRPr="00A259BD">
        <w:rPr>
          <w:rFonts w:ascii="Times New Roman" w:hAnsi="Times New Roman"/>
          <w:color w:val="000000" w:themeColor="text1"/>
          <w:sz w:val="16"/>
          <w:szCs w:val="16"/>
        </w:rPr>
        <w:t>Атту</w:t>
      </w:r>
      <w:proofErr w:type="spellEnd"/>
      <w:r w:rsidRPr="00A259BD">
        <w:rPr>
          <w:rFonts w:ascii="Times New Roman" w:hAnsi="Times New Roman"/>
          <w:color w:val="000000" w:themeColor="text1"/>
          <w:sz w:val="16"/>
          <w:szCs w:val="16"/>
        </w:rPr>
        <w:t xml:space="preserve"> (Алеутские о-ва).</w:t>
      </w:r>
    </w:p>
    <w:p w14:paraId="4AB6E9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Взлету с </w:t>
      </w:r>
      <w:proofErr w:type="spellStart"/>
      <w:r w:rsidRPr="00A259BD">
        <w:rPr>
          <w:rFonts w:ascii="Times New Roman" w:hAnsi="Times New Roman"/>
          <w:color w:val="000000" w:themeColor="text1"/>
          <w:sz w:val="16"/>
          <w:szCs w:val="16"/>
        </w:rPr>
        <w:t>Атту</w:t>
      </w:r>
      <w:proofErr w:type="spellEnd"/>
      <w:r w:rsidRPr="00A259BD">
        <w:rPr>
          <w:rFonts w:ascii="Times New Roman" w:hAnsi="Times New Roman"/>
          <w:color w:val="000000" w:themeColor="text1"/>
          <w:sz w:val="16"/>
          <w:szCs w:val="16"/>
        </w:rPr>
        <w:t xml:space="preserve"> мешали рифы. Стоявший в бухте корабль "Красный вымпел", подстраховывавший перелет, принял на борт часть груза и двух членов экипажа. На облегченной машине остались Болотов и Стерлигов. Через семь часов они сели у о. Уналашка. Летчиков перевез на берег военный катер. Но вернуться на нем они не смогли: начался отлив, и катер оказался на песке. Выручили местные рыбаки со своими лодками.</w:t>
      </w:r>
    </w:p>
    <w:p w14:paraId="663569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следующем этапе погода испортилась - к Ситхе подходили в тумане и дожде. Вдобавок из-за падения давления масла пришлось отключить левый мотор. Болотов приказал подать сигнал SOS, но радиостанция не работала - аккумулятор разрядился. За борт выбросили весь груз, якорь и слили часть бензина, но до места назначения все-таки добрались. От Ситхи экипаж опять летел в полном составе.</w:t>
      </w:r>
    </w:p>
    <w:p w14:paraId="2A21B9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 до Сиэтла не дотянули. Левый двигатель еще раз отказал. Сели в первой попавшейся бухте и стали ждать, пока привезут мотор. Менять его пришлось на плаву, потратив на ремонт 10 дней.</w:t>
      </w:r>
    </w:p>
    <w:p w14:paraId="6AC4FB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Сиэтле "Страну Советов" встречали В.М. Петляков и моторист М </w:t>
      </w:r>
      <w:proofErr w:type="spellStart"/>
      <w:r w:rsidRPr="00A259BD">
        <w:rPr>
          <w:rFonts w:ascii="Times New Roman" w:hAnsi="Times New Roman"/>
          <w:color w:val="000000" w:themeColor="text1"/>
          <w:sz w:val="16"/>
          <w:szCs w:val="16"/>
        </w:rPr>
        <w:t>М</w:t>
      </w:r>
      <w:proofErr w:type="spellEnd"/>
      <w:r w:rsidRPr="00A259BD">
        <w:rPr>
          <w:rFonts w:ascii="Times New Roman" w:hAnsi="Times New Roman"/>
          <w:color w:val="000000" w:themeColor="text1"/>
          <w:sz w:val="16"/>
          <w:szCs w:val="16"/>
        </w:rPr>
        <w:t>. Егоров. Машину переставили на колеса. Вылетели благополучно, но до Сан-Франциско не добрались - вышел из строя мотор (причем опять левый). На аэродроме в Портленде определили, что сломалась масляная помпа. Американцы ее быстро починили. В Сан-Франциско задержались ненадолго, вскоре взяв курс на Чикаго. Там советских летчиков встречали с оркестром при большом скоплении народа. Дальше Петляков летел на самолете. Перелет завершили в Нью-Йорке.</w:t>
      </w:r>
    </w:p>
    <w:p w14:paraId="21F98D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Европу машина и ее экипаж возвращались на пароходе "Мавритания". Через месяц в Москве всех участников первого перелета советского самолета в США наградили орденами Боевого Красного знамени и почетными грамотами ВЦИК (12001).</w:t>
      </w:r>
    </w:p>
    <w:p w14:paraId="7DA5D3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AE5398" w14:textId="77777777" w:rsidR="005A255E" w:rsidRPr="00A259BD" w:rsidRDefault="005A25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августа в 1929 году начинается перелет Москва—Омск—Хабаровск— Петропавловск-Камчатский—остров </w:t>
      </w:r>
      <w:proofErr w:type="spellStart"/>
      <w:r w:rsidRPr="00A259BD">
        <w:rPr>
          <w:rFonts w:ascii="Times New Roman" w:hAnsi="Times New Roman"/>
          <w:color w:val="000000" w:themeColor="text1"/>
          <w:sz w:val="16"/>
          <w:szCs w:val="16"/>
        </w:rPr>
        <w:t>Атту</w:t>
      </w:r>
      <w:proofErr w:type="spellEnd"/>
      <w:r w:rsidRPr="00A259BD">
        <w:rPr>
          <w:rFonts w:ascii="Times New Roman" w:hAnsi="Times New Roman"/>
          <w:color w:val="000000" w:themeColor="text1"/>
          <w:sz w:val="16"/>
          <w:szCs w:val="16"/>
        </w:rPr>
        <w:t>—Сиэтл—Сан-Франциско—Нью-Йорк через Сибирь и Аляску с посадками на самолете «АНТ-4» "Страна Советов".</w:t>
      </w:r>
    </w:p>
    <w:p w14:paraId="03C9E6A2" w14:textId="77777777" w:rsidR="005A255E" w:rsidRPr="00A259BD" w:rsidRDefault="005A25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Экипаж самолета, сконструированного </w:t>
      </w:r>
      <w:proofErr w:type="spellStart"/>
      <w:r w:rsidRPr="00A259BD">
        <w:rPr>
          <w:rFonts w:ascii="Times New Roman" w:hAnsi="Times New Roman"/>
          <w:color w:val="000000" w:themeColor="text1"/>
          <w:sz w:val="16"/>
          <w:szCs w:val="16"/>
        </w:rPr>
        <w:t>А.Н.Туполевым</w:t>
      </w:r>
      <w:proofErr w:type="spellEnd"/>
      <w:r w:rsidRPr="00A259BD">
        <w:rPr>
          <w:rFonts w:ascii="Times New Roman" w:hAnsi="Times New Roman"/>
          <w:color w:val="000000" w:themeColor="text1"/>
          <w:sz w:val="16"/>
          <w:szCs w:val="16"/>
        </w:rPr>
        <w:t xml:space="preserve">, состоял из четырех человек: командира </w:t>
      </w:r>
      <w:proofErr w:type="spellStart"/>
      <w:r w:rsidRPr="00A259BD">
        <w:rPr>
          <w:rFonts w:ascii="Times New Roman" w:hAnsi="Times New Roman"/>
          <w:color w:val="000000" w:themeColor="text1"/>
          <w:sz w:val="16"/>
          <w:szCs w:val="16"/>
        </w:rPr>
        <w:t>С.А.Шестакова</w:t>
      </w:r>
      <w:proofErr w:type="spellEnd"/>
      <w:r w:rsidRPr="00A259BD">
        <w:rPr>
          <w:rFonts w:ascii="Times New Roman" w:hAnsi="Times New Roman"/>
          <w:color w:val="000000" w:themeColor="text1"/>
          <w:sz w:val="16"/>
          <w:szCs w:val="16"/>
        </w:rPr>
        <w:t xml:space="preserve">, второго пилота </w:t>
      </w:r>
      <w:proofErr w:type="spellStart"/>
      <w:r w:rsidRPr="00A259BD">
        <w:rPr>
          <w:rFonts w:ascii="Times New Roman" w:hAnsi="Times New Roman"/>
          <w:color w:val="000000" w:themeColor="text1"/>
          <w:sz w:val="16"/>
          <w:szCs w:val="16"/>
        </w:rPr>
        <w:t>Ф.Е.Болотова</w:t>
      </w:r>
      <w:proofErr w:type="spellEnd"/>
      <w:r w:rsidRPr="00A259BD">
        <w:rPr>
          <w:rFonts w:ascii="Times New Roman" w:hAnsi="Times New Roman"/>
          <w:color w:val="000000" w:themeColor="text1"/>
          <w:sz w:val="16"/>
          <w:szCs w:val="16"/>
        </w:rPr>
        <w:t xml:space="preserve">, штурмана </w:t>
      </w:r>
      <w:proofErr w:type="spellStart"/>
      <w:r w:rsidRPr="00A259BD">
        <w:rPr>
          <w:rFonts w:ascii="Times New Roman" w:hAnsi="Times New Roman"/>
          <w:color w:val="000000" w:themeColor="text1"/>
          <w:sz w:val="16"/>
          <w:szCs w:val="16"/>
        </w:rPr>
        <w:t>Б.В.Стерлигова</w:t>
      </w:r>
      <w:proofErr w:type="spellEnd"/>
      <w:r w:rsidRPr="00A259BD">
        <w:rPr>
          <w:rFonts w:ascii="Times New Roman" w:hAnsi="Times New Roman"/>
          <w:color w:val="000000" w:themeColor="text1"/>
          <w:sz w:val="16"/>
          <w:szCs w:val="16"/>
        </w:rPr>
        <w:t xml:space="preserve">, бортмеханика </w:t>
      </w:r>
      <w:proofErr w:type="spellStart"/>
      <w:r w:rsidRPr="00A259BD">
        <w:rPr>
          <w:rFonts w:ascii="Times New Roman" w:hAnsi="Times New Roman"/>
          <w:color w:val="000000" w:themeColor="text1"/>
          <w:sz w:val="16"/>
          <w:szCs w:val="16"/>
        </w:rPr>
        <w:t>Д.В.Фуфаева</w:t>
      </w:r>
      <w:proofErr w:type="spellEnd"/>
      <w:r w:rsidRPr="00A259BD">
        <w:rPr>
          <w:rFonts w:ascii="Times New Roman" w:hAnsi="Times New Roman"/>
          <w:color w:val="000000" w:themeColor="text1"/>
          <w:sz w:val="16"/>
          <w:szCs w:val="16"/>
        </w:rPr>
        <w:t>. Машина преодолела более 20 тыс. км за 141 летный час, при этом 8 тысяч км было пройдено над океаном. 29 октября 1929 года «АНТ-4» приземлился в Нью-Йорке. Самолет «АНТ-4» длиной 18 м с размахом крыльев 28,7 м был в то время самым большим цельнометаллическим самолетом в мире. Внутри фюзеляжа размещались бомбовый отсек, места для пилота и члена экипажа;</w:t>
      </w:r>
    </w:p>
    <w:p w14:paraId="73A1845A" w14:textId="77777777" w:rsidR="005A255E" w:rsidRPr="00A259BD" w:rsidRDefault="005A255E" w:rsidP="009236E3">
      <w:pPr>
        <w:spacing w:after="0" w:line="240" w:lineRule="auto"/>
        <w:jc w:val="both"/>
        <w:rPr>
          <w:rFonts w:ascii="Times New Roman" w:hAnsi="Times New Roman"/>
          <w:color w:val="000000" w:themeColor="text1"/>
          <w:sz w:val="16"/>
          <w:szCs w:val="16"/>
        </w:rPr>
      </w:pPr>
    </w:p>
    <w:p w14:paraId="56814AE2" w14:textId="77777777" w:rsidR="00613729" w:rsidRDefault="00613729" w:rsidP="00613729">
      <w:pPr>
        <w:spacing w:after="0" w:line="240" w:lineRule="auto"/>
        <w:jc w:val="both"/>
        <w:rPr>
          <w:rFonts w:ascii="Times New Roman" w:hAnsi="Times New Roman"/>
          <w:color w:val="0070C0"/>
          <w:sz w:val="16"/>
          <w:szCs w:val="16"/>
        </w:rPr>
      </w:pPr>
      <w:r>
        <w:rPr>
          <w:rFonts w:ascii="Times New Roman" w:hAnsi="Times New Roman"/>
          <w:color w:val="0070C0"/>
          <w:sz w:val="16"/>
          <w:szCs w:val="16"/>
        </w:rPr>
        <w:t>23</w:t>
      </w:r>
      <w:r w:rsidRPr="006B74EB">
        <w:rPr>
          <w:rFonts w:ascii="Times New Roman" w:hAnsi="Times New Roman"/>
          <w:color w:val="0070C0"/>
          <w:sz w:val="16"/>
          <w:szCs w:val="16"/>
        </w:rPr>
        <w:t xml:space="preserve"> августа</w:t>
      </w:r>
      <w:r>
        <w:rPr>
          <w:rFonts w:ascii="Times New Roman" w:hAnsi="Times New Roman"/>
          <w:color w:val="0070C0"/>
          <w:sz w:val="16"/>
          <w:szCs w:val="16"/>
        </w:rPr>
        <w:t xml:space="preserve"> 1929 г</w:t>
      </w:r>
      <w:r w:rsidRPr="006B74EB">
        <w:rPr>
          <w:rFonts w:ascii="Times New Roman" w:hAnsi="Times New Roman"/>
          <w:color w:val="0070C0"/>
          <w:sz w:val="16"/>
          <w:szCs w:val="16"/>
        </w:rPr>
        <w:t xml:space="preserve"> э</w:t>
      </w:r>
      <w:r>
        <w:rPr>
          <w:rFonts w:ascii="Times New Roman" w:hAnsi="Times New Roman"/>
          <w:color w:val="0070C0"/>
          <w:sz w:val="16"/>
          <w:szCs w:val="16"/>
        </w:rPr>
        <w:t>ки</w:t>
      </w:r>
      <w:r w:rsidRPr="006B74EB">
        <w:rPr>
          <w:rFonts w:ascii="Times New Roman" w:hAnsi="Times New Roman"/>
          <w:color w:val="0070C0"/>
          <w:sz w:val="16"/>
          <w:szCs w:val="16"/>
        </w:rPr>
        <w:t>па</w:t>
      </w:r>
      <w:r>
        <w:rPr>
          <w:rFonts w:ascii="Times New Roman" w:hAnsi="Times New Roman"/>
          <w:color w:val="0070C0"/>
          <w:sz w:val="16"/>
          <w:szCs w:val="16"/>
        </w:rPr>
        <w:t>ж</w:t>
      </w:r>
      <w:r w:rsidRPr="006B74EB">
        <w:rPr>
          <w:rFonts w:ascii="Times New Roman" w:hAnsi="Times New Roman"/>
          <w:color w:val="0070C0"/>
          <w:sz w:val="16"/>
          <w:szCs w:val="16"/>
        </w:rPr>
        <w:t xml:space="preserve"> </w:t>
      </w:r>
      <w:r>
        <w:rPr>
          <w:rFonts w:ascii="Times New Roman" w:hAnsi="Times New Roman"/>
          <w:color w:val="0070C0"/>
          <w:sz w:val="16"/>
          <w:szCs w:val="16"/>
        </w:rPr>
        <w:t>«</w:t>
      </w:r>
      <w:r w:rsidRPr="006B74EB">
        <w:rPr>
          <w:rFonts w:ascii="Times New Roman" w:hAnsi="Times New Roman"/>
          <w:color w:val="0070C0"/>
          <w:sz w:val="16"/>
          <w:szCs w:val="16"/>
        </w:rPr>
        <w:t xml:space="preserve">Страны советов» возобновил перелет из Москвы в США в том </w:t>
      </w:r>
      <w:r>
        <w:rPr>
          <w:rFonts w:ascii="Times New Roman" w:hAnsi="Times New Roman"/>
          <w:color w:val="0070C0"/>
          <w:sz w:val="16"/>
          <w:szCs w:val="16"/>
        </w:rPr>
        <w:t>ж</w:t>
      </w:r>
      <w:r w:rsidRPr="006B74EB">
        <w:rPr>
          <w:rFonts w:ascii="Times New Roman" w:hAnsi="Times New Roman"/>
          <w:color w:val="0070C0"/>
          <w:sz w:val="16"/>
          <w:szCs w:val="16"/>
        </w:rPr>
        <w:t>е составе и на таком хе само</w:t>
      </w:r>
      <w:r>
        <w:rPr>
          <w:rFonts w:ascii="Times New Roman" w:hAnsi="Times New Roman"/>
          <w:color w:val="0070C0"/>
          <w:sz w:val="16"/>
          <w:szCs w:val="16"/>
        </w:rPr>
        <w:t>лете. Ввиду</w:t>
      </w:r>
      <w:r w:rsidRPr="006B74EB">
        <w:rPr>
          <w:rFonts w:ascii="Times New Roman" w:hAnsi="Times New Roman"/>
          <w:color w:val="0070C0"/>
          <w:sz w:val="16"/>
          <w:szCs w:val="16"/>
        </w:rPr>
        <w:t xml:space="preserve">-позднего временя </w:t>
      </w:r>
      <w:r>
        <w:rPr>
          <w:rFonts w:ascii="Times New Roman" w:hAnsi="Times New Roman"/>
          <w:color w:val="0070C0"/>
          <w:sz w:val="16"/>
          <w:szCs w:val="16"/>
        </w:rPr>
        <w:t>и</w:t>
      </w:r>
      <w:r w:rsidRPr="006B74EB">
        <w:rPr>
          <w:rFonts w:ascii="Times New Roman" w:hAnsi="Times New Roman"/>
          <w:color w:val="0070C0"/>
          <w:sz w:val="16"/>
          <w:szCs w:val="16"/>
        </w:rPr>
        <w:t xml:space="preserve"> возможных штормов в районах полета</w:t>
      </w:r>
      <w:r>
        <w:rPr>
          <w:rFonts w:ascii="Times New Roman" w:hAnsi="Times New Roman"/>
          <w:color w:val="0070C0"/>
          <w:sz w:val="16"/>
          <w:szCs w:val="16"/>
        </w:rPr>
        <w:t xml:space="preserve"> над Тихим </w:t>
      </w:r>
      <w:r w:rsidRPr="006B74EB">
        <w:rPr>
          <w:rFonts w:ascii="Times New Roman" w:hAnsi="Times New Roman"/>
          <w:color w:val="0070C0"/>
          <w:sz w:val="16"/>
          <w:szCs w:val="16"/>
        </w:rPr>
        <w:t>ок</w:t>
      </w:r>
      <w:r>
        <w:rPr>
          <w:rFonts w:ascii="Times New Roman" w:hAnsi="Times New Roman"/>
          <w:color w:val="0070C0"/>
          <w:sz w:val="16"/>
          <w:szCs w:val="16"/>
        </w:rPr>
        <w:t>еа</w:t>
      </w:r>
      <w:r w:rsidRPr="006B74EB">
        <w:rPr>
          <w:rFonts w:ascii="Times New Roman" w:hAnsi="Times New Roman"/>
          <w:color w:val="0070C0"/>
          <w:sz w:val="16"/>
          <w:szCs w:val="16"/>
        </w:rPr>
        <w:t>ном у организаторов перелета /Осоа</w:t>
      </w:r>
      <w:r>
        <w:rPr>
          <w:rFonts w:ascii="Times New Roman" w:hAnsi="Times New Roman"/>
          <w:color w:val="0070C0"/>
          <w:sz w:val="16"/>
          <w:szCs w:val="16"/>
        </w:rPr>
        <w:t>ви</w:t>
      </w:r>
      <w:r w:rsidRPr="006B74EB">
        <w:rPr>
          <w:rFonts w:ascii="Times New Roman" w:hAnsi="Times New Roman"/>
          <w:color w:val="0070C0"/>
          <w:sz w:val="16"/>
          <w:szCs w:val="16"/>
        </w:rPr>
        <w:t>ахим,</w:t>
      </w:r>
      <w:r>
        <w:rPr>
          <w:rFonts w:ascii="Times New Roman" w:hAnsi="Times New Roman"/>
          <w:color w:val="0070C0"/>
          <w:sz w:val="16"/>
          <w:szCs w:val="16"/>
        </w:rPr>
        <w:t xml:space="preserve"> </w:t>
      </w:r>
      <w:r w:rsidRPr="006B74EB">
        <w:rPr>
          <w:rFonts w:ascii="Times New Roman" w:hAnsi="Times New Roman"/>
          <w:color w:val="0070C0"/>
          <w:sz w:val="16"/>
          <w:szCs w:val="16"/>
        </w:rPr>
        <w:t>ВВС/ воз</w:t>
      </w:r>
      <w:r>
        <w:rPr>
          <w:rFonts w:ascii="Times New Roman" w:hAnsi="Times New Roman"/>
          <w:color w:val="0070C0"/>
          <w:sz w:val="16"/>
          <w:szCs w:val="16"/>
        </w:rPr>
        <w:t>никло</w:t>
      </w:r>
      <w:r w:rsidRPr="006B74EB">
        <w:rPr>
          <w:rFonts w:ascii="Times New Roman" w:hAnsi="Times New Roman"/>
          <w:color w:val="0070C0"/>
          <w:sz w:val="16"/>
          <w:szCs w:val="16"/>
        </w:rPr>
        <w:t xml:space="preserve"> сомнение в возможности </w:t>
      </w:r>
      <w:r>
        <w:rPr>
          <w:rFonts w:ascii="Times New Roman" w:hAnsi="Times New Roman"/>
          <w:color w:val="0070C0"/>
          <w:sz w:val="16"/>
          <w:szCs w:val="16"/>
        </w:rPr>
        <w:t>в</w:t>
      </w:r>
      <w:r w:rsidRPr="006B74EB">
        <w:rPr>
          <w:rFonts w:ascii="Times New Roman" w:hAnsi="Times New Roman"/>
          <w:color w:val="0070C0"/>
          <w:sz w:val="16"/>
          <w:szCs w:val="16"/>
        </w:rPr>
        <w:t>ыполнения данным экипажем постав</w:t>
      </w:r>
      <w:r>
        <w:rPr>
          <w:rFonts w:ascii="Times New Roman" w:hAnsi="Times New Roman"/>
          <w:color w:val="0070C0"/>
          <w:sz w:val="16"/>
          <w:szCs w:val="16"/>
        </w:rPr>
        <w:t>ленной</w:t>
      </w:r>
      <w:r w:rsidRPr="006B74EB">
        <w:rPr>
          <w:rFonts w:ascii="Times New Roman" w:hAnsi="Times New Roman"/>
          <w:color w:val="0070C0"/>
          <w:sz w:val="16"/>
          <w:szCs w:val="16"/>
        </w:rPr>
        <w:t xml:space="preserve"> п</w:t>
      </w:r>
      <w:r>
        <w:rPr>
          <w:rFonts w:ascii="Times New Roman" w:hAnsi="Times New Roman"/>
          <w:color w:val="0070C0"/>
          <w:sz w:val="16"/>
          <w:szCs w:val="16"/>
        </w:rPr>
        <w:t>е</w:t>
      </w:r>
      <w:r w:rsidRPr="006B74EB">
        <w:rPr>
          <w:rFonts w:ascii="Times New Roman" w:hAnsi="Times New Roman"/>
          <w:color w:val="0070C0"/>
          <w:sz w:val="16"/>
          <w:szCs w:val="16"/>
        </w:rPr>
        <w:t>ред ним</w:t>
      </w:r>
      <w:r>
        <w:rPr>
          <w:rFonts w:ascii="Times New Roman" w:hAnsi="Times New Roman"/>
          <w:color w:val="0070C0"/>
          <w:sz w:val="16"/>
          <w:szCs w:val="16"/>
        </w:rPr>
        <w:t xml:space="preserve">и </w:t>
      </w:r>
      <w:r w:rsidRPr="006B74EB">
        <w:rPr>
          <w:rFonts w:ascii="Times New Roman" w:hAnsi="Times New Roman"/>
          <w:color w:val="0070C0"/>
          <w:sz w:val="16"/>
          <w:szCs w:val="16"/>
        </w:rPr>
        <w:t>задачи,</w:t>
      </w:r>
      <w:r>
        <w:rPr>
          <w:rFonts w:ascii="Times New Roman" w:hAnsi="Times New Roman"/>
          <w:color w:val="0070C0"/>
          <w:sz w:val="16"/>
          <w:szCs w:val="16"/>
        </w:rPr>
        <w:t xml:space="preserve"> </w:t>
      </w:r>
      <w:r w:rsidRPr="006B74EB">
        <w:rPr>
          <w:rFonts w:ascii="Times New Roman" w:hAnsi="Times New Roman"/>
          <w:color w:val="0070C0"/>
          <w:sz w:val="16"/>
          <w:szCs w:val="16"/>
        </w:rPr>
        <w:t>но,</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учитывая настойчивость экипажа </w:t>
      </w:r>
      <w:r>
        <w:rPr>
          <w:rFonts w:ascii="Times New Roman" w:hAnsi="Times New Roman"/>
          <w:color w:val="0070C0"/>
          <w:sz w:val="16"/>
          <w:szCs w:val="16"/>
        </w:rPr>
        <w:t>и</w:t>
      </w:r>
      <w:r w:rsidRPr="006B74EB">
        <w:rPr>
          <w:rFonts w:ascii="Times New Roman" w:hAnsi="Times New Roman"/>
          <w:color w:val="0070C0"/>
          <w:sz w:val="16"/>
          <w:szCs w:val="16"/>
        </w:rPr>
        <w:t xml:space="preserve"> огром</w:t>
      </w:r>
      <w:r>
        <w:rPr>
          <w:rFonts w:ascii="Times New Roman" w:hAnsi="Times New Roman"/>
          <w:color w:val="0070C0"/>
          <w:sz w:val="16"/>
          <w:szCs w:val="16"/>
        </w:rPr>
        <w:t>ный ин</w:t>
      </w:r>
      <w:r w:rsidRPr="006B74EB">
        <w:rPr>
          <w:rFonts w:ascii="Times New Roman" w:hAnsi="Times New Roman"/>
          <w:color w:val="0070C0"/>
          <w:sz w:val="16"/>
          <w:szCs w:val="16"/>
        </w:rPr>
        <w:t xml:space="preserve">терес, всюду проявляемый к </w:t>
      </w:r>
      <w:r>
        <w:rPr>
          <w:rFonts w:ascii="Times New Roman" w:hAnsi="Times New Roman"/>
          <w:color w:val="0070C0"/>
          <w:sz w:val="16"/>
          <w:szCs w:val="16"/>
        </w:rPr>
        <w:t>э</w:t>
      </w:r>
      <w:r w:rsidRPr="006B74EB">
        <w:rPr>
          <w:rFonts w:ascii="Times New Roman" w:hAnsi="Times New Roman"/>
          <w:color w:val="0070C0"/>
          <w:sz w:val="16"/>
          <w:szCs w:val="16"/>
        </w:rPr>
        <w:t xml:space="preserve">тому перелету, правительство </w:t>
      </w:r>
      <w:r>
        <w:rPr>
          <w:rFonts w:ascii="Times New Roman" w:hAnsi="Times New Roman"/>
          <w:color w:val="0070C0"/>
          <w:sz w:val="16"/>
          <w:szCs w:val="16"/>
        </w:rPr>
        <w:t>разрешило</w:t>
      </w:r>
      <w:r w:rsidRPr="006B74EB">
        <w:rPr>
          <w:rFonts w:ascii="Times New Roman" w:hAnsi="Times New Roman"/>
          <w:color w:val="0070C0"/>
          <w:sz w:val="16"/>
          <w:szCs w:val="16"/>
        </w:rPr>
        <w:t xml:space="preserve"> это</w:t>
      </w:r>
      <w:r>
        <w:rPr>
          <w:rFonts w:ascii="Times New Roman" w:hAnsi="Times New Roman"/>
          <w:color w:val="0070C0"/>
          <w:sz w:val="16"/>
          <w:szCs w:val="16"/>
        </w:rPr>
        <w:t>м</w:t>
      </w:r>
      <w:r w:rsidRPr="006B74EB">
        <w:rPr>
          <w:rFonts w:ascii="Times New Roman" w:hAnsi="Times New Roman"/>
          <w:color w:val="0070C0"/>
          <w:sz w:val="16"/>
          <w:szCs w:val="16"/>
        </w:rPr>
        <w:t>у же экипажу возобновить перелет</w:t>
      </w:r>
      <w:r>
        <w:rPr>
          <w:rFonts w:ascii="Times New Roman" w:hAnsi="Times New Roman"/>
          <w:color w:val="0070C0"/>
          <w:sz w:val="16"/>
          <w:szCs w:val="16"/>
        </w:rPr>
        <w:t>. В первый же</w:t>
      </w:r>
      <w:r w:rsidRPr="006B74EB">
        <w:rPr>
          <w:rFonts w:ascii="Times New Roman" w:hAnsi="Times New Roman"/>
          <w:color w:val="0070C0"/>
          <w:sz w:val="16"/>
          <w:szCs w:val="16"/>
        </w:rPr>
        <w:t xml:space="preserve"> день экипаж без посадк</w:t>
      </w:r>
      <w:r>
        <w:rPr>
          <w:rFonts w:ascii="Times New Roman" w:hAnsi="Times New Roman"/>
          <w:color w:val="0070C0"/>
          <w:sz w:val="16"/>
          <w:szCs w:val="16"/>
        </w:rPr>
        <w:t>и</w:t>
      </w:r>
      <w:r w:rsidRPr="006B74EB">
        <w:rPr>
          <w:rFonts w:ascii="Times New Roman" w:hAnsi="Times New Roman"/>
          <w:color w:val="0070C0"/>
          <w:sz w:val="16"/>
          <w:szCs w:val="16"/>
        </w:rPr>
        <w:t xml:space="preserve"> долетел до Челябинска, </w:t>
      </w:r>
      <w:r>
        <w:rPr>
          <w:rFonts w:ascii="Times New Roman" w:hAnsi="Times New Roman"/>
          <w:color w:val="0070C0"/>
          <w:sz w:val="16"/>
          <w:szCs w:val="16"/>
        </w:rPr>
        <w:t>преодолев за</w:t>
      </w:r>
      <w:r w:rsidRPr="006B74EB">
        <w:rPr>
          <w:rFonts w:ascii="Times New Roman" w:hAnsi="Times New Roman"/>
          <w:color w:val="0070C0"/>
          <w:sz w:val="16"/>
          <w:szCs w:val="16"/>
        </w:rPr>
        <w:t xml:space="preserve"> 11 </w:t>
      </w:r>
      <w:r>
        <w:rPr>
          <w:rFonts w:ascii="Times New Roman" w:hAnsi="Times New Roman"/>
          <w:color w:val="0070C0"/>
          <w:sz w:val="16"/>
          <w:szCs w:val="16"/>
        </w:rPr>
        <w:t>и</w:t>
      </w:r>
      <w:r w:rsidRPr="006B74EB">
        <w:rPr>
          <w:rFonts w:ascii="Times New Roman" w:hAnsi="Times New Roman"/>
          <w:color w:val="0070C0"/>
          <w:sz w:val="16"/>
          <w:szCs w:val="16"/>
        </w:rPr>
        <w:t>.8 минут 1500 км.</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В дальнейшем перелет проходил </w:t>
      </w:r>
      <w:r>
        <w:rPr>
          <w:rFonts w:ascii="Times New Roman" w:hAnsi="Times New Roman"/>
          <w:color w:val="0070C0"/>
          <w:sz w:val="16"/>
          <w:szCs w:val="16"/>
        </w:rPr>
        <w:t>в борьбе с</w:t>
      </w:r>
      <w:r w:rsidRPr="006B74EB">
        <w:rPr>
          <w:rFonts w:ascii="Times New Roman" w:hAnsi="Times New Roman"/>
          <w:color w:val="0070C0"/>
          <w:sz w:val="16"/>
          <w:szCs w:val="16"/>
        </w:rPr>
        <w:t xml:space="preserve"> осенней непогодой </w:t>
      </w:r>
      <w:r>
        <w:rPr>
          <w:rFonts w:ascii="Times New Roman" w:hAnsi="Times New Roman"/>
          <w:color w:val="0070C0"/>
          <w:sz w:val="16"/>
          <w:szCs w:val="16"/>
        </w:rPr>
        <w:t>и</w:t>
      </w:r>
      <w:r w:rsidRPr="006B74EB">
        <w:rPr>
          <w:rFonts w:ascii="Times New Roman" w:hAnsi="Times New Roman"/>
          <w:color w:val="0070C0"/>
          <w:sz w:val="16"/>
          <w:szCs w:val="16"/>
        </w:rPr>
        <w:t xml:space="preserve"> жесток</w:t>
      </w:r>
      <w:r>
        <w:rPr>
          <w:rFonts w:ascii="Times New Roman" w:hAnsi="Times New Roman"/>
          <w:color w:val="0070C0"/>
          <w:sz w:val="16"/>
          <w:szCs w:val="16"/>
        </w:rPr>
        <w:t>ими</w:t>
      </w:r>
      <w:r w:rsidRPr="006B74EB">
        <w:rPr>
          <w:rFonts w:ascii="Times New Roman" w:hAnsi="Times New Roman"/>
          <w:color w:val="0070C0"/>
          <w:sz w:val="16"/>
          <w:szCs w:val="16"/>
        </w:rPr>
        <w:t xml:space="preserve"> штормами, </w:t>
      </w:r>
      <w:r>
        <w:rPr>
          <w:rFonts w:ascii="Times New Roman" w:hAnsi="Times New Roman"/>
          <w:color w:val="0070C0"/>
          <w:sz w:val="16"/>
          <w:szCs w:val="16"/>
        </w:rPr>
        <w:t>н</w:t>
      </w:r>
      <w:r w:rsidRPr="006B74EB">
        <w:rPr>
          <w:rFonts w:ascii="Times New Roman" w:hAnsi="Times New Roman"/>
          <w:color w:val="0070C0"/>
          <w:sz w:val="16"/>
          <w:szCs w:val="16"/>
        </w:rPr>
        <w:t xml:space="preserve">о закончен </w:t>
      </w:r>
      <w:r>
        <w:rPr>
          <w:rFonts w:ascii="Times New Roman" w:hAnsi="Times New Roman"/>
          <w:color w:val="0070C0"/>
          <w:sz w:val="16"/>
          <w:szCs w:val="16"/>
        </w:rPr>
        <w:t>был благополучно.</w:t>
      </w:r>
    </w:p>
    <w:p w14:paraId="39229CA4" w14:textId="77777777" w:rsidR="00613729" w:rsidRDefault="00613729" w:rsidP="00613729">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 xml:space="preserve">/"Красная звезда" за 26 августа 1929 </w:t>
      </w:r>
      <w:r>
        <w:rPr>
          <w:rFonts w:ascii="Times New Roman" w:hAnsi="Times New Roman"/>
          <w:color w:val="0070C0"/>
          <w:sz w:val="16"/>
          <w:szCs w:val="16"/>
        </w:rPr>
        <w:t>г</w:t>
      </w:r>
      <w:r w:rsidRPr="006B74EB">
        <w:rPr>
          <w:rFonts w:ascii="Times New Roman" w:hAnsi="Times New Roman"/>
          <w:color w:val="0070C0"/>
          <w:sz w:val="16"/>
          <w:szCs w:val="16"/>
        </w:rPr>
        <w:t>./</w:t>
      </w:r>
      <w:r>
        <w:rPr>
          <w:rFonts w:ascii="Times New Roman" w:hAnsi="Times New Roman"/>
          <w:color w:val="0070C0"/>
          <w:sz w:val="16"/>
          <w:szCs w:val="16"/>
        </w:rPr>
        <w:t xml:space="preserve"> (23370).</w:t>
      </w:r>
    </w:p>
    <w:p w14:paraId="7FDFFF90" w14:textId="77777777" w:rsidR="00613729" w:rsidRPr="006B74EB" w:rsidRDefault="00613729" w:rsidP="00613729">
      <w:pPr>
        <w:spacing w:after="0" w:line="240" w:lineRule="auto"/>
        <w:jc w:val="both"/>
        <w:rPr>
          <w:rFonts w:ascii="Times New Roman" w:hAnsi="Times New Roman"/>
          <w:color w:val="0070C0"/>
          <w:sz w:val="16"/>
          <w:szCs w:val="16"/>
        </w:rPr>
      </w:pPr>
    </w:p>
    <w:p w14:paraId="165F770B" w14:textId="77777777" w:rsidR="005A255E" w:rsidRPr="00A259BD" w:rsidRDefault="005A25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23 августа в 1929 году начало перелета из Москвы в США самолета «АНТ-4» «Страна Советов», </w:t>
      </w:r>
      <w:proofErr w:type="spellStart"/>
      <w:r w:rsidRPr="00A259BD">
        <w:rPr>
          <w:rFonts w:ascii="Times New Roman" w:hAnsi="Times New Roman"/>
          <w:color w:val="000000" w:themeColor="text1"/>
          <w:sz w:val="16"/>
          <w:szCs w:val="16"/>
        </w:rPr>
        <w:t>С.А.Шестаков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Ф.Е.Болотов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Б.В.Стерлигов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Д.В.Фуфаев</w:t>
      </w:r>
      <w:proofErr w:type="spellEnd"/>
      <w:r w:rsidRPr="00A259BD">
        <w:rPr>
          <w:rFonts w:ascii="Times New Roman" w:hAnsi="Times New Roman"/>
          <w:color w:val="000000" w:themeColor="text1"/>
          <w:sz w:val="16"/>
          <w:szCs w:val="16"/>
        </w:rPr>
        <w:t>. Самолет «АНТ-4» длиной 18 м с размахом крыльев 28,7 м был в то время самым большим цельнометаллическим самолетом в мире. Внутри фюзеляжа размещались бомбовый отсек, места для пилота и члена экипажа. «АНТ-4», «ТБ-1», «Г-1» - первый в мире цельнометаллический двухмоторный тяжёлый бомбардировщик свободнонесущей монопланной схемы. Строился с ПД "</w:t>
      </w:r>
      <w:proofErr w:type="spellStart"/>
      <w:r w:rsidRPr="00A259BD">
        <w:rPr>
          <w:rFonts w:ascii="Times New Roman" w:hAnsi="Times New Roman"/>
          <w:color w:val="000000" w:themeColor="text1"/>
          <w:sz w:val="16"/>
          <w:szCs w:val="16"/>
        </w:rPr>
        <w:t>Нэпир</w:t>
      </w:r>
      <w:proofErr w:type="spellEnd"/>
      <w:r w:rsidRPr="00A259BD">
        <w:rPr>
          <w:rFonts w:ascii="Times New Roman" w:hAnsi="Times New Roman"/>
          <w:color w:val="000000" w:themeColor="text1"/>
          <w:sz w:val="16"/>
          <w:szCs w:val="16"/>
        </w:rPr>
        <w:t xml:space="preserve">-Лайон" (на опытном самолёте), «БМВ-У1» (на дублёре "Страна Советов"), «М-17» (в серии). Крыло многолонжеронное, фюзеляж трапециевидного сечения, обшивка гофрированная. Кабина открытая. Вооружение - три спарки пулемётов «ДА», бомбовая нагрузка до 1 т. В зимних условиях эксплуатировался на лыжном шасси; в гидроавиации (обозначение «ТБ-1П») использовался на поплавковом шасси. После снятия с вооружения «ТБ-1» передавались в ГВФ, где с меньшими </w:t>
      </w:r>
      <w:proofErr w:type="spellStart"/>
      <w:r w:rsidRPr="00A259BD">
        <w:rPr>
          <w:rFonts w:ascii="Times New Roman" w:hAnsi="Times New Roman"/>
          <w:color w:val="000000" w:themeColor="text1"/>
          <w:sz w:val="16"/>
          <w:szCs w:val="16"/>
        </w:rPr>
        <w:t>эксплуатац</w:t>
      </w:r>
      <w:proofErr w:type="spellEnd"/>
      <w:r w:rsidRPr="00A259BD">
        <w:rPr>
          <w:rFonts w:ascii="Times New Roman" w:hAnsi="Times New Roman"/>
          <w:color w:val="000000" w:themeColor="text1"/>
          <w:sz w:val="16"/>
          <w:szCs w:val="16"/>
        </w:rPr>
        <w:t xml:space="preserve">. нагрузками под обозначением Г-1 применялись для транспортных перевозок. Для «АНТ-4» впервые была решена задача создания лёгкой свободнонесущей монопланной конструкции. Это позволило в дальнейшем строить самолёты-монопланы с весовой отдачей, не уступающей </w:t>
      </w:r>
      <w:proofErr w:type="spellStart"/>
      <w:r w:rsidRPr="00A259BD">
        <w:rPr>
          <w:rFonts w:ascii="Times New Roman" w:hAnsi="Times New Roman"/>
          <w:color w:val="000000" w:themeColor="text1"/>
          <w:sz w:val="16"/>
          <w:szCs w:val="16"/>
        </w:rPr>
        <w:t>бипланным</w:t>
      </w:r>
      <w:proofErr w:type="spellEnd"/>
      <w:r w:rsidRPr="00A259BD">
        <w:rPr>
          <w:rFonts w:ascii="Times New Roman" w:hAnsi="Times New Roman"/>
          <w:color w:val="000000" w:themeColor="text1"/>
          <w:sz w:val="16"/>
          <w:szCs w:val="16"/>
        </w:rPr>
        <w:t xml:space="preserve"> схемам. Конструкция стала классической и получила признание в мировом самолётостроении. На «АНТ-4» установлены мировые рекорды продолжительности полёта с грузом, выполнен ряд экспедиций и перелётов. Самолёт использовался для отработки пороховых ускорителей взлёта, дозаправки топливом в воздухе, системы десантирования людей и тяжёлой техники на парашютах, телемеханических средств управления, системы воздушного авианосца "Звено". «ТБ-1» принимали участие в боевых действиях в 1929 на станции Манчжурия, в 1938 у озера Хасан, в 1939 у озера </w:t>
      </w:r>
      <w:proofErr w:type="spellStart"/>
      <w:r w:rsidRPr="00A259BD">
        <w:rPr>
          <w:rFonts w:ascii="Times New Roman" w:hAnsi="Times New Roman"/>
          <w:color w:val="000000" w:themeColor="text1"/>
          <w:sz w:val="16"/>
          <w:szCs w:val="16"/>
        </w:rPr>
        <w:t>Буир</w:t>
      </w:r>
      <w:proofErr w:type="spellEnd"/>
      <w:r w:rsidRPr="00A259BD">
        <w:rPr>
          <w:rFonts w:ascii="Times New Roman" w:hAnsi="Times New Roman"/>
          <w:color w:val="000000" w:themeColor="text1"/>
          <w:sz w:val="16"/>
          <w:szCs w:val="16"/>
        </w:rPr>
        <w:t>-Нур. В 1939-1940 участвовали в военных действиях в Финляндии. Во время Великой Отечественной войны самолёты входили в состав авиагруппы ВВС Северного флота и использовались для транспортных перевозок. Строились серийно в 1929-1932 годах. Построено 216 экземпляров (14991).</w:t>
      </w:r>
    </w:p>
    <w:p w14:paraId="6766AEB2" w14:textId="77777777" w:rsidR="005A255E" w:rsidRPr="00A259BD" w:rsidRDefault="005A255E" w:rsidP="009236E3">
      <w:pPr>
        <w:spacing w:after="0" w:line="240" w:lineRule="auto"/>
        <w:jc w:val="both"/>
        <w:rPr>
          <w:rFonts w:ascii="Times New Roman" w:hAnsi="Times New Roman"/>
          <w:color w:val="000000" w:themeColor="text1"/>
          <w:sz w:val="16"/>
          <w:szCs w:val="16"/>
        </w:rPr>
      </w:pPr>
    </w:p>
    <w:p w14:paraId="6948CA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августа 1929 специалисты 1 секции НТК УВВС высказали сомнения в целесообразности постройки почтового К-8 К.А.К. (70,182).</w:t>
      </w:r>
    </w:p>
    <w:p w14:paraId="28883A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3D50E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0456A7A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69BE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августа 1929 г. была подготовлена ОБЪЯСНИТЕЛЬНАЯ ЗАПИСКА К СХЕМЕ УПРАВЛЕНИЯ МЕХАНИЗАЦИИ И МОТОРИЗАЦИИ РККА</w:t>
      </w:r>
    </w:p>
    <w:p w14:paraId="72B58E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Основой создания Управления механизации и моторизации армии является 5 отдел Артиллерийского управления, непосредственно ведающий основными элементами механизации и моторизации.</w:t>
      </w:r>
    </w:p>
    <w:p w14:paraId="3A1A1D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 создании УММА в 5 отдел АУ вливаются, броневая секция </w:t>
      </w:r>
      <w:proofErr w:type="spellStart"/>
      <w:r w:rsidRPr="00A259BD">
        <w:rPr>
          <w:rFonts w:ascii="Times New Roman" w:hAnsi="Times New Roman"/>
          <w:color w:val="000000" w:themeColor="text1"/>
          <w:sz w:val="16"/>
          <w:szCs w:val="16"/>
        </w:rPr>
        <w:t>арткома</w:t>
      </w:r>
      <w:proofErr w:type="spellEnd"/>
      <w:r w:rsidRPr="00A259BD">
        <w:rPr>
          <w:rFonts w:ascii="Times New Roman" w:hAnsi="Times New Roman"/>
          <w:color w:val="000000" w:themeColor="text1"/>
          <w:sz w:val="16"/>
          <w:szCs w:val="16"/>
        </w:rPr>
        <w:t xml:space="preserve"> АУ, приемный аппарат обслуживающий механическую тягу, 4 </w:t>
      </w:r>
      <w:proofErr w:type="spellStart"/>
      <w:r w:rsidRPr="00A259BD">
        <w:rPr>
          <w:rFonts w:ascii="Times New Roman" w:hAnsi="Times New Roman"/>
          <w:color w:val="000000" w:themeColor="text1"/>
          <w:sz w:val="16"/>
          <w:szCs w:val="16"/>
        </w:rPr>
        <w:t>автоотдел</w:t>
      </w:r>
      <w:proofErr w:type="spellEnd"/>
      <w:r w:rsidRPr="00A259BD">
        <w:rPr>
          <w:rFonts w:ascii="Times New Roman" w:hAnsi="Times New Roman"/>
          <w:color w:val="000000" w:themeColor="text1"/>
          <w:sz w:val="16"/>
          <w:szCs w:val="16"/>
        </w:rPr>
        <w:t xml:space="preserve"> ВТУ, со своим приемным аппаратом и </w:t>
      </w:r>
      <w:proofErr w:type="spellStart"/>
      <w:r w:rsidRPr="00A259BD">
        <w:rPr>
          <w:rFonts w:ascii="Times New Roman" w:hAnsi="Times New Roman"/>
          <w:color w:val="000000" w:themeColor="text1"/>
          <w:sz w:val="16"/>
          <w:szCs w:val="16"/>
        </w:rPr>
        <w:t>автосекцией</w:t>
      </w:r>
      <w:proofErr w:type="spellEnd"/>
      <w:r w:rsidRPr="00A259BD">
        <w:rPr>
          <w:rFonts w:ascii="Times New Roman" w:hAnsi="Times New Roman"/>
          <w:color w:val="000000" w:themeColor="text1"/>
          <w:sz w:val="16"/>
          <w:szCs w:val="16"/>
        </w:rPr>
        <w:t xml:space="preserve"> Техкома ВТУ.</w:t>
      </w:r>
    </w:p>
    <w:p w14:paraId="16E769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Ведению Управления механизации и моторизации подлежит:</w:t>
      </w:r>
    </w:p>
    <w:p w14:paraId="46D6F9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Танковое дело в полном его объеме.</w:t>
      </w:r>
    </w:p>
    <w:p w14:paraId="403D8F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w:t>
      </w:r>
      <w:proofErr w:type="spellStart"/>
      <w:r w:rsidRPr="00A259BD">
        <w:rPr>
          <w:rFonts w:ascii="Times New Roman" w:hAnsi="Times New Roman"/>
          <w:color w:val="000000" w:themeColor="text1"/>
          <w:sz w:val="16"/>
          <w:szCs w:val="16"/>
        </w:rPr>
        <w:t>Автоброневое</w:t>
      </w:r>
      <w:proofErr w:type="spellEnd"/>
      <w:r w:rsidRPr="00A259BD">
        <w:rPr>
          <w:rFonts w:ascii="Times New Roman" w:hAnsi="Times New Roman"/>
          <w:color w:val="000000" w:themeColor="text1"/>
          <w:sz w:val="16"/>
          <w:szCs w:val="16"/>
        </w:rPr>
        <w:t xml:space="preserve"> дело в полном его объеме.</w:t>
      </w:r>
    </w:p>
    <w:p w14:paraId="14B301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w:t>
      </w:r>
      <w:proofErr w:type="spellStart"/>
      <w:r w:rsidRPr="00A259BD">
        <w:rPr>
          <w:rFonts w:ascii="Times New Roman" w:hAnsi="Times New Roman"/>
          <w:color w:val="000000" w:themeColor="text1"/>
          <w:sz w:val="16"/>
          <w:szCs w:val="16"/>
        </w:rPr>
        <w:t>Автомото</w:t>
      </w:r>
      <w:proofErr w:type="spellEnd"/>
      <w:r w:rsidRPr="00A259BD">
        <w:rPr>
          <w:rFonts w:ascii="Times New Roman" w:hAnsi="Times New Roman"/>
          <w:color w:val="000000" w:themeColor="text1"/>
          <w:sz w:val="16"/>
          <w:szCs w:val="16"/>
        </w:rPr>
        <w:t xml:space="preserve"> и велохозяйство РККА и Ф.</w:t>
      </w:r>
    </w:p>
    <w:p w14:paraId="324547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Бронепоездное дело в полном его объеме с </w:t>
      </w:r>
      <w:proofErr w:type="spellStart"/>
      <w:r w:rsidRPr="00A259BD">
        <w:rPr>
          <w:rFonts w:ascii="Times New Roman" w:hAnsi="Times New Roman"/>
          <w:color w:val="000000" w:themeColor="text1"/>
          <w:sz w:val="16"/>
          <w:szCs w:val="16"/>
        </w:rPr>
        <w:t>автоматриссами</w:t>
      </w:r>
      <w:proofErr w:type="spellEnd"/>
      <w:r w:rsidRPr="00A259BD">
        <w:rPr>
          <w:rFonts w:ascii="Times New Roman" w:hAnsi="Times New Roman"/>
          <w:color w:val="000000" w:themeColor="text1"/>
          <w:sz w:val="16"/>
          <w:szCs w:val="16"/>
        </w:rPr>
        <w:t xml:space="preserve"> и бронедрезинами.</w:t>
      </w:r>
    </w:p>
    <w:p w14:paraId="26D20E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Снабжение тракторами и прицепками всех частей РККА и Ф.</w:t>
      </w:r>
    </w:p>
    <w:p w14:paraId="638C69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Снабжение </w:t>
      </w:r>
      <w:proofErr w:type="spellStart"/>
      <w:r w:rsidRPr="00A259BD">
        <w:rPr>
          <w:rFonts w:ascii="Times New Roman" w:hAnsi="Times New Roman"/>
          <w:color w:val="000000" w:themeColor="text1"/>
          <w:sz w:val="16"/>
          <w:szCs w:val="16"/>
        </w:rPr>
        <w:t>мехтяги</w:t>
      </w:r>
      <w:proofErr w:type="spellEnd"/>
      <w:r w:rsidRPr="00A259BD">
        <w:rPr>
          <w:rFonts w:ascii="Times New Roman" w:hAnsi="Times New Roman"/>
          <w:color w:val="000000" w:themeColor="text1"/>
          <w:sz w:val="16"/>
          <w:szCs w:val="16"/>
        </w:rPr>
        <w:t xml:space="preserve"> эксплуатационными материалами.</w:t>
      </w:r>
    </w:p>
    <w:p w14:paraId="1CB0F7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Колоссальный рост автомобилизации и тракторизации Советского Союза, заставляет военное ведомство диктовать свои условия в этих вопросах и промышленности, что может быть исполнено лишь авторитетным органом ВВ, каковым и должно быть УММА.</w:t>
      </w:r>
    </w:p>
    <w:p w14:paraId="4C0786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Использование автотранспорта тракторов и тракторных прицепок, а также двигателя внутреннего сгорания в разных отраслях военного дела ставят УММА задачу выбора типов автомашин, тракторов и двигателей, которые страна должна производить с таким расчетом, чтобы это имущество (уже и теперь достаточно большое) без переделок могло быть использовано целиком Красной Армией.</w:t>
      </w:r>
    </w:p>
    <w:p w14:paraId="57C8D1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Накопление </w:t>
      </w:r>
      <w:proofErr w:type="spellStart"/>
      <w:r w:rsidRPr="00A259BD">
        <w:rPr>
          <w:rFonts w:ascii="Times New Roman" w:hAnsi="Times New Roman"/>
          <w:color w:val="000000" w:themeColor="text1"/>
          <w:sz w:val="16"/>
          <w:szCs w:val="16"/>
        </w:rPr>
        <w:t>мобзапасов</w:t>
      </w:r>
      <w:proofErr w:type="spellEnd"/>
      <w:r w:rsidRPr="00A259BD">
        <w:rPr>
          <w:rFonts w:ascii="Times New Roman" w:hAnsi="Times New Roman"/>
          <w:color w:val="000000" w:themeColor="text1"/>
          <w:sz w:val="16"/>
          <w:szCs w:val="16"/>
        </w:rPr>
        <w:t xml:space="preserve"> этого имущества, внедрение его в армию, его эксплуатация, обслуживание, обеспечение подсобной наисложнейшей арматурой, обеспечение техперсоналом, пособиями, руководствами и т.п. В общем, руководство и снабжение этим капризным и чрезвычайно специфическим хозяйством требует того, чтобы этого рода хозяйством руководил специальный орган </w:t>
      </w:r>
      <w:proofErr w:type="spellStart"/>
      <w:r w:rsidRPr="00A259BD">
        <w:rPr>
          <w:rFonts w:ascii="Times New Roman" w:hAnsi="Times New Roman"/>
          <w:color w:val="000000" w:themeColor="text1"/>
          <w:sz w:val="16"/>
          <w:szCs w:val="16"/>
        </w:rPr>
        <w:t>до¬статочно</w:t>
      </w:r>
      <w:proofErr w:type="spellEnd"/>
      <w:r w:rsidRPr="00A259BD">
        <w:rPr>
          <w:rFonts w:ascii="Times New Roman" w:hAnsi="Times New Roman"/>
          <w:color w:val="000000" w:themeColor="text1"/>
          <w:sz w:val="16"/>
          <w:szCs w:val="16"/>
        </w:rPr>
        <w:t xml:space="preserve"> мощный и вполне авторитетный.</w:t>
      </w:r>
    </w:p>
    <w:p w14:paraId="4E0BE2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создании управления ММА части будут иметь единое довольствующее управление, которому будут понятны все нужды и наболевшие вопросы по механической тяге.</w:t>
      </w:r>
    </w:p>
    <w:p w14:paraId="38F6E7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Многие вопросы не разрешимые в данное время в частях, из-за распыленности вопросов </w:t>
      </w:r>
      <w:proofErr w:type="spellStart"/>
      <w:r w:rsidRPr="00A259BD">
        <w:rPr>
          <w:rFonts w:ascii="Times New Roman" w:hAnsi="Times New Roman"/>
          <w:color w:val="000000" w:themeColor="text1"/>
          <w:sz w:val="16"/>
          <w:szCs w:val="16"/>
        </w:rPr>
        <w:t>мехтяги</w:t>
      </w:r>
      <w:proofErr w:type="spellEnd"/>
      <w:r w:rsidRPr="00A259BD">
        <w:rPr>
          <w:rFonts w:ascii="Times New Roman" w:hAnsi="Times New Roman"/>
          <w:color w:val="000000" w:themeColor="text1"/>
          <w:sz w:val="16"/>
          <w:szCs w:val="16"/>
        </w:rPr>
        <w:t xml:space="preserve"> в разных управлениях, будут теперь объединены и разрешены самым естественным порядком.</w:t>
      </w:r>
    </w:p>
    <w:p w14:paraId="730A56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Ведая чисто узкими вопросами, связанными с механической тягой УММА, также как и УВВС будет связано с другими довольствующими Управлениями по роду того имущества, которым эти последние ведают. Это не вызовет никаких затруднений, а наоборот создаст необходимые в этом разграничительные линии, благодаря чему дублирование вопросов уничтожится совершенно.</w:t>
      </w:r>
    </w:p>
    <w:p w14:paraId="6EAF08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Необходимо отметить, что для наблюдения и непосредственного руководства имуществом, находящимся в округах в аппарате </w:t>
      </w:r>
      <w:proofErr w:type="spellStart"/>
      <w:r w:rsidRPr="00A259BD">
        <w:rPr>
          <w:rFonts w:ascii="Times New Roman" w:hAnsi="Times New Roman"/>
          <w:color w:val="000000" w:themeColor="text1"/>
          <w:sz w:val="16"/>
          <w:szCs w:val="16"/>
        </w:rPr>
        <w:t>артотделов</w:t>
      </w:r>
      <w:proofErr w:type="spellEnd"/>
      <w:r w:rsidRPr="00A259BD">
        <w:rPr>
          <w:rFonts w:ascii="Times New Roman" w:hAnsi="Times New Roman"/>
          <w:color w:val="000000" w:themeColor="text1"/>
          <w:sz w:val="16"/>
          <w:szCs w:val="16"/>
        </w:rPr>
        <w:t xml:space="preserve"> округов необходимо будет ввести двух-трех специалистов </w:t>
      </w:r>
      <w:proofErr w:type="spellStart"/>
      <w:r w:rsidRPr="00A259BD">
        <w:rPr>
          <w:rFonts w:ascii="Times New Roman" w:hAnsi="Times New Roman"/>
          <w:color w:val="000000" w:themeColor="text1"/>
          <w:sz w:val="16"/>
          <w:szCs w:val="16"/>
        </w:rPr>
        <w:t>мехтяги</w:t>
      </w:r>
      <w:proofErr w:type="spellEnd"/>
      <w:r w:rsidRPr="00A259BD">
        <w:rPr>
          <w:rFonts w:ascii="Times New Roman" w:hAnsi="Times New Roman"/>
          <w:color w:val="000000" w:themeColor="text1"/>
          <w:sz w:val="16"/>
          <w:szCs w:val="16"/>
        </w:rPr>
        <w:t>, в зависимости от количества имущества округа и его спецификации.</w:t>
      </w:r>
    </w:p>
    <w:p w14:paraId="4BD592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Предлагаемые два варианта УММА разнятся между собой тем, что во втором варианте увеличенное количество отделов позволяет сконцентрировать в них узко специальные вопросы.</w:t>
      </w:r>
    </w:p>
    <w:p w14:paraId="5B5C4B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Существующие штаты АУ и ВТУ для создания УММА могут выделить 37 специалистов, при этом нагрузки на </w:t>
      </w:r>
      <w:proofErr w:type="spellStart"/>
      <w:r w:rsidRPr="00A259BD">
        <w:rPr>
          <w:rFonts w:ascii="Times New Roman" w:hAnsi="Times New Roman"/>
          <w:color w:val="000000" w:themeColor="text1"/>
          <w:sz w:val="16"/>
          <w:szCs w:val="16"/>
        </w:rPr>
        <w:t>моботделы</w:t>
      </w:r>
      <w:proofErr w:type="spellEnd"/>
      <w:r w:rsidRPr="00A259BD">
        <w:rPr>
          <w:rFonts w:ascii="Times New Roman" w:hAnsi="Times New Roman"/>
          <w:color w:val="000000" w:themeColor="text1"/>
          <w:sz w:val="16"/>
          <w:szCs w:val="16"/>
        </w:rPr>
        <w:t>, калькуляционные комиссии, секретариаты, юрисконсультов и экспедиции в указанных управлениях будут значительно снижены.</w:t>
      </w:r>
    </w:p>
    <w:p w14:paraId="7EBFDE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Резюмируя все вышеизложенное можно сказать, что Управление механизации и моторизации РККА является центральным органом Наркомвоенмора по руководству организацией, развитием, комплектованием, мобилизации, боевой технической подготовкой, обучением и воспитанием по устройству и службе и по специальному снабжению танковым, </w:t>
      </w:r>
      <w:proofErr w:type="spellStart"/>
      <w:r w:rsidRPr="00A259BD">
        <w:rPr>
          <w:rFonts w:ascii="Times New Roman" w:hAnsi="Times New Roman"/>
          <w:color w:val="000000" w:themeColor="text1"/>
          <w:sz w:val="16"/>
          <w:szCs w:val="16"/>
        </w:rPr>
        <w:t>автоброневым</w:t>
      </w:r>
      <w:proofErr w:type="spellEnd"/>
      <w:r w:rsidRPr="00A259BD">
        <w:rPr>
          <w:rFonts w:ascii="Times New Roman" w:hAnsi="Times New Roman"/>
          <w:color w:val="000000" w:themeColor="text1"/>
          <w:sz w:val="16"/>
          <w:szCs w:val="16"/>
        </w:rPr>
        <w:t>, автомобильным, мотоциклетным, велосипедным, тракторным и бронепоездным имуществом частей РККА и Ф, снабжая по особому соглашению другие Наркоматы механизированными средствами вооружения.</w:t>
      </w:r>
    </w:p>
    <w:p w14:paraId="21BB04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 5 отдела АУ Поляков</w:t>
      </w:r>
    </w:p>
    <w:p w14:paraId="1EA82C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Помощник начальника отдела </w:t>
      </w:r>
      <w:proofErr w:type="spellStart"/>
      <w:r w:rsidRPr="00A259BD">
        <w:rPr>
          <w:rFonts w:ascii="Times New Roman" w:hAnsi="Times New Roman"/>
          <w:color w:val="000000" w:themeColor="text1"/>
          <w:sz w:val="16"/>
          <w:szCs w:val="16"/>
        </w:rPr>
        <w:t>Ростковский</w:t>
      </w:r>
      <w:proofErr w:type="spellEnd"/>
      <w:r w:rsidRPr="00A259BD">
        <w:rPr>
          <w:rFonts w:ascii="Times New Roman" w:hAnsi="Times New Roman"/>
          <w:color w:val="000000" w:themeColor="text1"/>
          <w:sz w:val="16"/>
          <w:szCs w:val="16"/>
        </w:rPr>
        <w:t xml:space="preserve"> (10977).</w:t>
      </w:r>
    </w:p>
    <w:p w14:paraId="34CA30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B8204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1BBE9F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0B60DA" w14:textId="77777777" w:rsidR="005A255E" w:rsidRPr="00A259BD" w:rsidRDefault="005A25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августа в 1929 году состоялся первый полет пассажирского самолета </w:t>
      </w:r>
      <w:hyperlink r:id="rId166" w:tgtFrame="_blank" w:history="1">
        <w:r w:rsidRPr="00A259BD">
          <w:rPr>
            <w:rFonts w:ascii="Times New Roman" w:hAnsi="Times New Roman"/>
            <w:color w:val="000000" w:themeColor="text1"/>
            <w:sz w:val="16"/>
            <w:szCs w:val="16"/>
          </w:rPr>
          <w:t xml:space="preserve">«Fokker» «F.IX». </w:t>
        </w:r>
      </w:hyperlink>
      <w:r w:rsidRPr="00A259BD">
        <w:rPr>
          <w:rFonts w:ascii="Times New Roman" w:hAnsi="Times New Roman"/>
          <w:color w:val="000000" w:themeColor="text1"/>
          <w:sz w:val="16"/>
          <w:szCs w:val="16"/>
        </w:rPr>
        <w:t xml:space="preserve">Пассажирский самолет «Fokker» «F.IX» был создан на базе самолета </w:t>
      </w:r>
      <w:proofErr w:type="spellStart"/>
      <w:r w:rsidRPr="00A259BD">
        <w:rPr>
          <w:rFonts w:ascii="Times New Roman" w:hAnsi="Times New Roman"/>
          <w:color w:val="000000" w:themeColor="text1"/>
          <w:sz w:val="16"/>
          <w:szCs w:val="16"/>
        </w:rPr>
        <w:t>трехдвигательного</w:t>
      </w:r>
      <w:proofErr w:type="spellEnd"/>
      <w:r w:rsidRPr="00A259BD">
        <w:rPr>
          <w:rFonts w:ascii="Times New Roman" w:hAnsi="Times New Roman"/>
          <w:color w:val="000000" w:themeColor="text1"/>
          <w:sz w:val="16"/>
          <w:szCs w:val="16"/>
        </w:rPr>
        <w:t xml:space="preserve"> самолета «F.VII/3m». «Fokker» «F.IX» стал самым большим </w:t>
      </w:r>
      <w:proofErr w:type="spellStart"/>
      <w:r w:rsidRPr="00A259BD">
        <w:rPr>
          <w:rFonts w:ascii="Times New Roman" w:hAnsi="Times New Roman"/>
          <w:color w:val="000000" w:themeColor="text1"/>
          <w:sz w:val="16"/>
          <w:szCs w:val="16"/>
        </w:rPr>
        <w:t>трехдвигательным</w:t>
      </w:r>
      <w:proofErr w:type="spellEnd"/>
      <w:r w:rsidRPr="00A259BD">
        <w:rPr>
          <w:rFonts w:ascii="Times New Roman" w:hAnsi="Times New Roman"/>
          <w:color w:val="000000" w:themeColor="text1"/>
          <w:sz w:val="16"/>
          <w:szCs w:val="16"/>
        </w:rPr>
        <w:t xml:space="preserve"> самолетом построенным на заводах фирмы «Fokker» в Голландии до Второй Мировой. «F.IX мог перевозить до 18 пассажиров (14991).</w:t>
      </w:r>
    </w:p>
    <w:p w14:paraId="3C8F66FC" w14:textId="77777777" w:rsidR="005A255E" w:rsidRPr="00A259BD" w:rsidRDefault="005A255E" w:rsidP="009236E3">
      <w:pPr>
        <w:spacing w:after="0" w:line="240" w:lineRule="auto"/>
        <w:jc w:val="both"/>
        <w:rPr>
          <w:rFonts w:ascii="Times New Roman" w:hAnsi="Times New Roman"/>
          <w:color w:val="000000" w:themeColor="text1"/>
          <w:sz w:val="16"/>
          <w:szCs w:val="16"/>
        </w:rPr>
      </w:pPr>
    </w:p>
    <w:p w14:paraId="646E98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августа 1929 арабы атаковали евреев в Израиле (3481).</w:t>
      </w:r>
    </w:p>
    <w:p w14:paraId="01E047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14620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D0249A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CFFC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августа 1929 третий самолет Р-5 совершил первый полет! Поэтому он остался практически таким же, как первый и второй. Отличие заключалось только в водяном радиаторе, в котором вместо шестигранных трубок использовали круглые. Военные все-таки требовали внести изменения.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предложил компромисс: оставить третий образец как есть, а четвертую, еще недостроенную машину подвергнуть переделке. Однако УВВС осталось непоколебимым и добилось своего. Заводу пришлось 10 сентября выслать бригаду рабочих, которые начали дорабатывать машину прямо в ангаре НИИ ВВС. В т.ч. они поставили новый костыль с дополнительными ребрами на пятке, смонтировали храповик для запуска двигателя от автостартера, полотняные обтекатели </w:t>
      </w:r>
      <w:proofErr w:type="spellStart"/>
      <w:r w:rsidRPr="00A259BD">
        <w:rPr>
          <w:rFonts w:ascii="Times New Roman" w:hAnsi="Times New Roman"/>
          <w:color w:val="000000" w:themeColor="text1"/>
          <w:sz w:val="16"/>
          <w:szCs w:val="16"/>
        </w:rPr>
        <w:t>спицованных</w:t>
      </w:r>
      <w:proofErr w:type="spellEnd"/>
      <w:r w:rsidRPr="00A259BD">
        <w:rPr>
          <w:rFonts w:ascii="Times New Roman" w:hAnsi="Times New Roman"/>
          <w:color w:val="000000" w:themeColor="text1"/>
          <w:sz w:val="16"/>
          <w:szCs w:val="16"/>
        </w:rPr>
        <w:t xml:space="preserve"> колес шасси заменили алюминиевыми, организовали дренаж внутренних объемов для стока воды. В полу кабины появилось окно для прицеливания при фотографировании. Выхлопная система стала выглядеть достаточно оригинально: слева стоял коллектор с выходом через трубу, загнутую вверх-назад, а справа - отдельные патрубки. 18 сентября комиссия НТК "удостоверила удовлетворительное внесение переделок". Машину выпустили на испытания.</w:t>
      </w:r>
    </w:p>
    <w:p w14:paraId="452632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Несмотря на новые выхлопные патрубки, угара в кабинах стало еще больше, чем раньше. Конец коллектора в полете вибрировал, а при высоких оборотах из него выбивалось пламя, ослеплявшее летчиков ночью. Хуже того, в самолет начало заносить искры. Если учесть, что Р-5 состоял из дерева и полотна, это казалось очень опасным. Летные данные третьего экземпляра были близки к показанным вторым, хотя несколько улучшилось поведение в штопоре из-за более передней центровки.</w:t>
      </w:r>
    </w:p>
    <w:p w14:paraId="656CAA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третьим экземпляром последовал четвертый. Он имел выхлопную трубу, идущую вдоль левого борта за кабину летнаба (фанеру под ней прикрыли полосой дюраля) и переделанное шасси - более высокое, с выносом колес вперед. Испытания показали, что опасность капотирования уменьшилась, но стало "не хватать" рулей при традиционной посадке "на три точки". Увеличилась также нагрузка на костыль. Длинная выхлопная труба избавила от заноса гари в кабины, но ухудшила обзор влево. Козырек пилотской кабины на четвертом самолете остался целлулоидным - триплекса просто не достали. Позднее четвертый самолет получил усиления нижнего крыла с расчетом на увеличение бомбовой нагрузки (11936).</w:t>
      </w:r>
    </w:p>
    <w:p w14:paraId="14D3D5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DC45C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августа 1928 третий самолет Р-5 совершил первый полет! Его сделали практически таким же, как первый и второй. Отличие заключалось только в водяном радиаторе. Вместо трубок Андрэ (шестигранных) использовали более дешевые обычные круглые, что при тех же габаритах резко уменьшило емкость. Зато каркас радиатора усилили - и гоже за счет внутреннего объема. Естественно, производительность радиатора уменьшилась.</w:t>
      </w:r>
    </w:p>
    <w:p w14:paraId="112D64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Военные заявили протест, требуя все-таки внести в третий самолет необходимые изменения.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предложил компромисс: оставить третий образец как есть, а вот четвертую, недостроенную, машину подвергнуть кардинальной переделке. Предложение УВВС не устроило. Оно продолжаю добиваться внесения наиболее важных изменений. И добилось. Под давлением сверху завод 10 сентября выслал бригаду рабочих, которые начали переделывать машину прямо в ангаре НИИ (12034).</w:t>
      </w:r>
    </w:p>
    <w:p w14:paraId="156EFD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F566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августа 1929 на К-4 погиб </w:t>
      </w:r>
      <w:proofErr w:type="spellStart"/>
      <w:r w:rsidRPr="00A259BD">
        <w:rPr>
          <w:rFonts w:ascii="Times New Roman" w:hAnsi="Times New Roman"/>
          <w:color w:val="000000" w:themeColor="text1"/>
          <w:sz w:val="16"/>
          <w:szCs w:val="16"/>
        </w:rPr>
        <w:t>Я.Ф.Фабрициус</w:t>
      </w:r>
      <w:proofErr w:type="spellEnd"/>
      <w:r w:rsidRPr="00A259BD">
        <w:rPr>
          <w:rFonts w:ascii="Times New Roman" w:hAnsi="Times New Roman"/>
          <w:color w:val="000000" w:themeColor="text1"/>
          <w:sz w:val="16"/>
          <w:szCs w:val="16"/>
        </w:rPr>
        <w:t xml:space="preserve"> (утонул при посадке на воду в районе Сочи). Комиссия отметила недостатки К-4 (70,152).</w:t>
      </w:r>
    </w:p>
    <w:p w14:paraId="2A6CDA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Машина - говно. 14 аварий с 23 мая до 24 августа 1929 в "УВП". Много производственных дефектов. Летные качества - неплохие. Комфортабельность - дрянь. Юнкерс или Дорнье по уверениям современников были много лучше (30,155).</w:t>
      </w:r>
    </w:p>
    <w:p w14:paraId="2D00F3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Комиссия установила, что машина была перегружена и виноват Нач. станции в Сочи - Веткин. Летели из Тихорецкой в Тифлис (2341).</w:t>
      </w:r>
    </w:p>
    <w:p w14:paraId="1881C3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24EF3D" w14:textId="77777777" w:rsidR="005A255E" w:rsidRPr="00A259BD" w:rsidRDefault="005A25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августа в 1929 году в Сочи произошла катастрофа «К-4». Вскоре после взлета самолет «СССР-217», пилотируемый летчиком Каланом, стал быстро снижаться. Как и в сухумском случае, садиться пришлось на море. Фюзеляж ушел под воду, но деревянное крыло удержало «К-4» на плаву. В пассажирском салоне находились женщина с маленькой дочкой и командующий Кавказской Краснознаменной армией </w:t>
      </w:r>
      <w:proofErr w:type="spellStart"/>
      <w:r w:rsidRPr="00A259BD">
        <w:rPr>
          <w:rFonts w:ascii="Times New Roman" w:hAnsi="Times New Roman"/>
          <w:color w:val="000000" w:themeColor="text1"/>
          <w:sz w:val="16"/>
          <w:szCs w:val="16"/>
        </w:rPr>
        <w:t>Я.Ф.Фабрициус</w:t>
      </w:r>
      <w:proofErr w:type="spellEnd"/>
      <w:r w:rsidRPr="00A259BD">
        <w:rPr>
          <w:rFonts w:ascii="Times New Roman" w:hAnsi="Times New Roman"/>
          <w:color w:val="000000" w:themeColor="text1"/>
          <w:sz w:val="16"/>
          <w:szCs w:val="16"/>
        </w:rPr>
        <w:t>, который, преодолевая сопротивление воды, стал помогать выбраться наружу своим спутницам. Пилота и механика выбросило из кабины при ударе, но они подплыли к самолету и также пытались помочь пассажирам. Случившееся наблюдали с пляжа отдыхающие. От них до терпящих бедствие было каких-нибудь 200 м, и нашлось немало добровольных спасателей, но пока они доплыли до самолета, то порядком устали и прежде всего взобрались на крыло отдохнуть. Этого «К-4» выдержать уже не смог и быстро затонул. Фабрициус так и не успел его покинуть (14992).</w:t>
      </w:r>
    </w:p>
    <w:p w14:paraId="34FADA5E" w14:textId="77777777" w:rsidR="005A255E" w:rsidRPr="00A259BD" w:rsidRDefault="005A255E" w:rsidP="009236E3">
      <w:pPr>
        <w:spacing w:after="0" w:line="240" w:lineRule="auto"/>
        <w:jc w:val="both"/>
        <w:rPr>
          <w:rFonts w:ascii="Times New Roman" w:hAnsi="Times New Roman"/>
          <w:color w:val="000000" w:themeColor="text1"/>
          <w:sz w:val="16"/>
          <w:szCs w:val="16"/>
        </w:rPr>
      </w:pPr>
    </w:p>
    <w:p w14:paraId="2DECCAE5" w14:textId="77777777" w:rsidR="00290D79" w:rsidRPr="006B74EB" w:rsidRDefault="00290D79" w:rsidP="00290D79">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24 </w:t>
      </w:r>
      <w:r w:rsidRPr="006B74EB">
        <w:rPr>
          <w:rFonts w:ascii="Times New Roman" w:hAnsi="Times New Roman"/>
          <w:color w:val="0070C0"/>
          <w:sz w:val="16"/>
          <w:szCs w:val="16"/>
        </w:rPr>
        <w:t>августа</w:t>
      </w:r>
      <w:r>
        <w:rPr>
          <w:rFonts w:ascii="Times New Roman" w:hAnsi="Times New Roman"/>
          <w:color w:val="0070C0"/>
          <w:sz w:val="16"/>
          <w:szCs w:val="16"/>
        </w:rPr>
        <w:t xml:space="preserve"> 1929 г</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в Сочи произошла тяжелая катастрофа с самолетом </w:t>
      </w:r>
      <w:proofErr w:type="spellStart"/>
      <w:r>
        <w:rPr>
          <w:rFonts w:ascii="Times New Roman" w:hAnsi="Times New Roman"/>
          <w:color w:val="0070C0"/>
          <w:sz w:val="16"/>
          <w:szCs w:val="16"/>
        </w:rPr>
        <w:t>Укрвоздухпути</w:t>
      </w:r>
      <w:proofErr w:type="spellEnd"/>
      <w:r>
        <w:rPr>
          <w:rFonts w:ascii="Times New Roman" w:hAnsi="Times New Roman"/>
          <w:color w:val="0070C0"/>
          <w:sz w:val="16"/>
          <w:szCs w:val="16"/>
        </w:rPr>
        <w:t xml:space="preserve">. Самолет, управляемый </w:t>
      </w:r>
      <w:r w:rsidRPr="006B74EB">
        <w:rPr>
          <w:rFonts w:ascii="Times New Roman" w:hAnsi="Times New Roman"/>
          <w:color w:val="0070C0"/>
          <w:sz w:val="16"/>
          <w:szCs w:val="16"/>
        </w:rPr>
        <w:t xml:space="preserve">летчиком </w:t>
      </w:r>
      <w:proofErr w:type="spellStart"/>
      <w:r w:rsidRPr="006B74EB">
        <w:rPr>
          <w:rFonts w:ascii="Times New Roman" w:hAnsi="Times New Roman"/>
          <w:color w:val="0070C0"/>
          <w:sz w:val="16"/>
          <w:szCs w:val="16"/>
        </w:rPr>
        <w:t>С.Г.Каланом</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после</w:t>
      </w:r>
      <w:r>
        <w:rPr>
          <w:rFonts w:ascii="Times New Roman" w:hAnsi="Times New Roman"/>
          <w:color w:val="0070C0"/>
          <w:sz w:val="16"/>
          <w:szCs w:val="16"/>
        </w:rPr>
        <w:t xml:space="preserve"> вылета упал </w:t>
      </w:r>
      <w:r w:rsidRPr="006B74EB">
        <w:rPr>
          <w:rFonts w:ascii="Times New Roman" w:hAnsi="Times New Roman"/>
          <w:color w:val="0070C0"/>
          <w:sz w:val="16"/>
          <w:szCs w:val="16"/>
        </w:rPr>
        <w:t xml:space="preserve">в море </w:t>
      </w:r>
      <w:r>
        <w:rPr>
          <w:rFonts w:ascii="Times New Roman" w:hAnsi="Times New Roman"/>
          <w:color w:val="0070C0"/>
          <w:sz w:val="16"/>
          <w:szCs w:val="16"/>
        </w:rPr>
        <w:t>и</w:t>
      </w:r>
      <w:r w:rsidRPr="006B74EB">
        <w:rPr>
          <w:rFonts w:ascii="Times New Roman" w:hAnsi="Times New Roman"/>
          <w:color w:val="0070C0"/>
          <w:sz w:val="16"/>
          <w:szCs w:val="16"/>
        </w:rPr>
        <w:t xml:space="preserve"> за</w:t>
      </w:r>
      <w:r>
        <w:rPr>
          <w:rFonts w:ascii="Times New Roman" w:hAnsi="Times New Roman"/>
          <w:color w:val="0070C0"/>
          <w:sz w:val="16"/>
          <w:szCs w:val="16"/>
        </w:rPr>
        <w:t>то</w:t>
      </w:r>
      <w:r w:rsidRPr="006B74EB">
        <w:rPr>
          <w:rFonts w:ascii="Times New Roman" w:hAnsi="Times New Roman"/>
          <w:color w:val="0070C0"/>
          <w:sz w:val="16"/>
          <w:szCs w:val="16"/>
        </w:rPr>
        <w:t>нул.</w:t>
      </w:r>
      <w:r>
        <w:rPr>
          <w:rFonts w:ascii="Times New Roman" w:hAnsi="Times New Roman"/>
          <w:color w:val="0070C0"/>
          <w:sz w:val="16"/>
          <w:szCs w:val="16"/>
        </w:rPr>
        <w:t xml:space="preserve"> П</w:t>
      </w:r>
      <w:r w:rsidRPr="006B74EB">
        <w:rPr>
          <w:rFonts w:ascii="Times New Roman" w:hAnsi="Times New Roman"/>
          <w:color w:val="0070C0"/>
          <w:sz w:val="16"/>
          <w:szCs w:val="16"/>
        </w:rPr>
        <w:t>огибло три пассажира,</w:t>
      </w:r>
      <w:r>
        <w:rPr>
          <w:rFonts w:ascii="Times New Roman" w:hAnsi="Times New Roman"/>
          <w:color w:val="0070C0"/>
          <w:sz w:val="16"/>
          <w:szCs w:val="16"/>
        </w:rPr>
        <w:t xml:space="preserve"> </w:t>
      </w:r>
      <w:r w:rsidRPr="006B74EB">
        <w:rPr>
          <w:rFonts w:ascii="Times New Roman" w:hAnsi="Times New Roman"/>
          <w:color w:val="0070C0"/>
          <w:sz w:val="16"/>
          <w:szCs w:val="16"/>
        </w:rPr>
        <w:t>в том числе</w:t>
      </w:r>
      <w:r>
        <w:rPr>
          <w:rFonts w:ascii="Times New Roman" w:hAnsi="Times New Roman"/>
          <w:color w:val="0070C0"/>
          <w:sz w:val="16"/>
          <w:szCs w:val="16"/>
        </w:rPr>
        <w:t xml:space="preserve"> </w:t>
      </w:r>
      <w:proofErr w:type="spellStart"/>
      <w:r>
        <w:rPr>
          <w:rFonts w:ascii="Times New Roman" w:hAnsi="Times New Roman"/>
          <w:color w:val="0070C0"/>
          <w:sz w:val="16"/>
          <w:szCs w:val="16"/>
        </w:rPr>
        <w:t>помошник</w:t>
      </w:r>
      <w:proofErr w:type="spellEnd"/>
      <w:r>
        <w:rPr>
          <w:rFonts w:ascii="Times New Roman" w:hAnsi="Times New Roman"/>
          <w:color w:val="0070C0"/>
          <w:sz w:val="16"/>
          <w:szCs w:val="16"/>
        </w:rPr>
        <w:t xml:space="preserve"> командующего</w:t>
      </w:r>
      <w:r w:rsidRPr="006B74EB">
        <w:rPr>
          <w:rFonts w:ascii="Times New Roman" w:hAnsi="Times New Roman"/>
          <w:color w:val="0070C0"/>
          <w:sz w:val="16"/>
          <w:szCs w:val="16"/>
        </w:rPr>
        <w:t xml:space="preserve"> Кавказской Краснознаменной армией </w:t>
      </w:r>
      <w:r>
        <w:rPr>
          <w:rFonts w:ascii="Times New Roman" w:hAnsi="Times New Roman"/>
          <w:color w:val="0070C0"/>
          <w:sz w:val="16"/>
          <w:szCs w:val="16"/>
        </w:rPr>
        <w:t xml:space="preserve">и др. </w:t>
      </w:r>
      <w:r w:rsidRPr="006B74EB">
        <w:rPr>
          <w:rFonts w:ascii="Times New Roman" w:hAnsi="Times New Roman"/>
          <w:color w:val="0070C0"/>
          <w:sz w:val="16"/>
          <w:szCs w:val="16"/>
        </w:rPr>
        <w:t xml:space="preserve">Причиной катастрофы были перегрузка самолета н </w:t>
      </w:r>
      <w:r>
        <w:rPr>
          <w:rFonts w:ascii="Times New Roman" w:hAnsi="Times New Roman"/>
          <w:color w:val="0070C0"/>
          <w:sz w:val="16"/>
          <w:szCs w:val="16"/>
        </w:rPr>
        <w:t>н</w:t>
      </w:r>
      <w:r w:rsidRPr="006B74EB">
        <w:rPr>
          <w:rFonts w:ascii="Times New Roman" w:hAnsi="Times New Roman"/>
          <w:color w:val="0070C0"/>
          <w:sz w:val="16"/>
          <w:szCs w:val="16"/>
        </w:rPr>
        <w:t>еправиль</w:t>
      </w:r>
      <w:r>
        <w:rPr>
          <w:rFonts w:ascii="Times New Roman" w:hAnsi="Times New Roman"/>
          <w:color w:val="0070C0"/>
          <w:sz w:val="16"/>
          <w:szCs w:val="16"/>
        </w:rPr>
        <w:t>ное</w:t>
      </w:r>
      <w:r w:rsidRPr="006B74EB">
        <w:rPr>
          <w:rFonts w:ascii="Times New Roman" w:hAnsi="Times New Roman"/>
          <w:color w:val="0070C0"/>
          <w:sz w:val="16"/>
          <w:szCs w:val="16"/>
        </w:rPr>
        <w:t xml:space="preserve"> размещение в нем грузов.</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Непорядки на линиях </w:t>
      </w:r>
      <w:proofErr w:type="spellStart"/>
      <w:r w:rsidRPr="006B74EB">
        <w:rPr>
          <w:rFonts w:ascii="Times New Roman" w:hAnsi="Times New Roman"/>
          <w:color w:val="0070C0"/>
          <w:sz w:val="16"/>
          <w:szCs w:val="16"/>
        </w:rPr>
        <w:t>Укрвоздухпути</w:t>
      </w:r>
      <w:proofErr w:type="spellEnd"/>
      <w:r w:rsidRPr="006B74EB">
        <w:rPr>
          <w:rFonts w:ascii="Times New Roman" w:hAnsi="Times New Roman"/>
          <w:color w:val="0070C0"/>
          <w:sz w:val="16"/>
          <w:szCs w:val="16"/>
        </w:rPr>
        <w:t xml:space="preserve">, </w:t>
      </w:r>
      <w:r>
        <w:rPr>
          <w:rFonts w:ascii="Times New Roman" w:hAnsi="Times New Roman"/>
          <w:color w:val="0070C0"/>
          <w:sz w:val="16"/>
          <w:szCs w:val="16"/>
        </w:rPr>
        <w:t>обна</w:t>
      </w:r>
      <w:r w:rsidRPr="006B74EB">
        <w:rPr>
          <w:rFonts w:ascii="Times New Roman" w:hAnsi="Times New Roman"/>
          <w:color w:val="0070C0"/>
          <w:sz w:val="16"/>
          <w:szCs w:val="16"/>
        </w:rPr>
        <w:t>руженные в связи с этой катастрофой,</w:t>
      </w:r>
      <w:r>
        <w:rPr>
          <w:rFonts w:ascii="Times New Roman" w:hAnsi="Times New Roman"/>
          <w:color w:val="0070C0"/>
          <w:sz w:val="16"/>
          <w:szCs w:val="16"/>
        </w:rPr>
        <w:t xml:space="preserve"> </w:t>
      </w:r>
      <w:r w:rsidRPr="006B74EB">
        <w:rPr>
          <w:rFonts w:ascii="Times New Roman" w:hAnsi="Times New Roman"/>
          <w:color w:val="0070C0"/>
          <w:sz w:val="16"/>
          <w:szCs w:val="16"/>
        </w:rPr>
        <w:t>послужили причиной об</w:t>
      </w:r>
      <w:r>
        <w:rPr>
          <w:rFonts w:ascii="Times New Roman" w:hAnsi="Times New Roman"/>
          <w:color w:val="0070C0"/>
          <w:sz w:val="16"/>
          <w:szCs w:val="16"/>
        </w:rPr>
        <w:t>ъе</w:t>
      </w:r>
      <w:r w:rsidRPr="006B74EB">
        <w:rPr>
          <w:rFonts w:ascii="Times New Roman" w:hAnsi="Times New Roman"/>
          <w:color w:val="0070C0"/>
          <w:sz w:val="16"/>
          <w:szCs w:val="16"/>
        </w:rPr>
        <w:t>ди</w:t>
      </w:r>
      <w:r>
        <w:rPr>
          <w:rFonts w:ascii="Times New Roman" w:hAnsi="Times New Roman"/>
          <w:color w:val="0070C0"/>
          <w:sz w:val="16"/>
          <w:szCs w:val="16"/>
        </w:rPr>
        <w:t>нения</w:t>
      </w:r>
      <w:r w:rsidRPr="006B74EB">
        <w:rPr>
          <w:rFonts w:ascii="Times New Roman" w:hAnsi="Times New Roman"/>
          <w:color w:val="0070C0"/>
          <w:sz w:val="16"/>
          <w:szCs w:val="16"/>
        </w:rPr>
        <w:t xml:space="preserve"> этого общества с обществом Добролет.</w:t>
      </w:r>
    </w:p>
    <w:p w14:paraId="70308383" w14:textId="77777777" w:rsidR="00290D79" w:rsidRDefault="00290D79" w:rsidP="00290D79">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/«Красная звезда</w:t>
      </w:r>
      <w:r>
        <w:rPr>
          <w:rFonts w:ascii="Times New Roman" w:hAnsi="Times New Roman"/>
          <w:color w:val="0070C0"/>
          <w:sz w:val="16"/>
          <w:szCs w:val="16"/>
        </w:rPr>
        <w:t>»</w:t>
      </w:r>
      <w:r w:rsidRPr="006B74EB">
        <w:rPr>
          <w:rFonts w:ascii="Times New Roman" w:hAnsi="Times New Roman"/>
          <w:color w:val="0070C0"/>
          <w:sz w:val="16"/>
          <w:szCs w:val="16"/>
        </w:rPr>
        <w:t xml:space="preserve"> за 27 августа и 11 октября 1929 г./</w:t>
      </w:r>
      <w:r>
        <w:rPr>
          <w:rFonts w:ascii="Times New Roman" w:hAnsi="Times New Roman"/>
          <w:color w:val="0070C0"/>
          <w:sz w:val="16"/>
          <w:szCs w:val="16"/>
        </w:rPr>
        <w:t xml:space="preserve"> (23370).</w:t>
      </w:r>
    </w:p>
    <w:p w14:paraId="10322E01" w14:textId="77777777" w:rsidR="00290D79" w:rsidRPr="006B74EB" w:rsidRDefault="00290D79" w:rsidP="00290D79">
      <w:pPr>
        <w:spacing w:after="0" w:line="240" w:lineRule="auto"/>
        <w:jc w:val="both"/>
        <w:rPr>
          <w:rFonts w:ascii="Times New Roman" w:hAnsi="Times New Roman"/>
          <w:color w:val="0070C0"/>
          <w:sz w:val="16"/>
          <w:szCs w:val="16"/>
        </w:rPr>
      </w:pPr>
    </w:p>
    <w:p w14:paraId="16980E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Вечером 24 августа 1929 года на Октябрьском (Ходынском) поле в Москве состоялся митинг. Всесоюзный слет пионеров передавал самолет АИР-3 Красному воздушному флоту. На трибуне - пионерка, затем выступает Сергей Сергеевич Каменев, заместитель наркомвоенмора и председателя Реввоенсовета СССР. В это время в воздухе застрекотал мотор. Легкая красная птица описывает круг, другой, третий. На самолете видны надписи: с левого борта - "СССР-310", с правого - "Пионерская правда". Летчик машет рукой. Неудержимый восторг охватывает всех - и пионеров, и красноармейцев (11981).</w:t>
      </w:r>
    </w:p>
    <w:p w14:paraId="62715A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9E79F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7B918D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2FA1D5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августа 1929 в Иерусалиме в ходе стычек евреев и арабов погибли 47 человек (4962).</w:t>
      </w:r>
    </w:p>
    <w:p w14:paraId="5043448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62AE64" w14:textId="0D4DA4DC" w:rsidR="00594F9E" w:rsidRPr="00594F9E" w:rsidRDefault="00594F9E" w:rsidP="00594F9E">
      <w:pPr>
        <w:spacing w:after="0" w:line="240" w:lineRule="auto"/>
        <w:jc w:val="both"/>
        <w:rPr>
          <w:rFonts w:ascii="Times New Roman" w:hAnsi="Times New Roman"/>
          <w:i/>
          <w:iCs/>
          <w:color w:val="0070C0"/>
          <w:sz w:val="16"/>
          <w:szCs w:val="16"/>
        </w:rPr>
      </w:pPr>
      <w:r w:rsidRPr="00594F9E">
        <w:rPr>
          <w:rFonts w:ascii="Times New Roman" w:hAnsi="Times New Roman"/>
          <w:i/>
          <w:iCs/>
          <w:color w:val="0070C0"/>
          <w:sz w:val="16"/>
          <w:szCs w:val="16"/>
        </w:rPr>
        <w:t>Армия:</w:t>
      </w:r>
    </w:p>
    <w:p w14:paraId="70015DFF" w14:textId="77777777" w:rsidR="00594F9E" w:rsidRPr="00594F9E" w:rsidRDefault="00594F9E" w:rsidP="00594F9E">
      <w:pPr>
        <w:spacing w:after="0" w:line="240" w:lineRule="auto"/>
        <w:jc w:val="both"/>
        <w:rPr>
          <w:rFonts w:ascii="Times New Roman" w:hAnsi="Times New Roman"/>
          <w:i/>
          <w:iCs/>
          <w:color w:val="0070C0"/>
          <w:sz w:val="16"/>
          <w:szCs w:val="16"/>
        </w:rPr>
      </w:pPr>
    </w:p>
    <w:p w14:paraId="61E8901A" w14:textId="44C90CEB" w:rsidR="00594F9E" w:rsidRPr="006B74EB" w:rsidRDefault="00594F9E" w:rsidP="00594F9E">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25-</w:t>
      </w:r>
      <w:r>
        <w:rPr>
          <w:rFonts w:ascii="Times New Roman" w:hAnsi="Times New Roman"/>
          <w:color w:val="0070C0"/>
          <w:sz w:val="16"/>
          <w:szCs w:val="16"/>
        </w:rPr>
        <w:t>26</w:t>
      </w:r>
      <w:r w:rsidRPr="006B74EB">
        <w:rPr>
          <w:rFonts w:ascii="Times New Roman" w:hAnsi="Times New Roman"/>
          <w:color w:val="0070C0"/>
          <w:sz w:val="16"/>
          <w:szCs w:val="16"/>
        </w:rPr>
        <w:t xml:space="preserve"> августа</w:t>
      </w:r>
      <w:r>
        <w:rPr>
          <w:rFonts w:ascii="Times New Roman" w:hAnsi="Times New Roman"/>
          <w:color w:val="0070C0"/>
          <w:sz w:val="16"/>
          <w:szCs w:val="16"/>
        </w:rPr>
        <w:t xml:space="preserve"> 1929 г</w:t>
      </w:r>
      <w:r w:rsidRPr="006B74EB">
        <w:rPr>
          <w:rFonts w:ascii="Times New Roman" w:hAnsi="Times New Roman"/>
          <w:color w:val="0070C0"/>
          <w:sz w:val="16"/>
          <w:szCs w:val="16"/>
        </w:rPr>
        <w:t>.</w:t>
      </w:r>
      <w:r>
        <w:rPr>
          <w:rFonts w:ascii="Times New Roman" w:hAnsi="Times New Roman"/>
          <w:color w:val="0070C0"/>
          <w:sz w:val="16"/>
          <w:szCs w:val="16"/>
        </w:rPr>
        <w:t xml:space="preserve"> о</w:t>
      </w:r>
      <w:r w:rsidRPr="006B74EB">
        <w:rPr>
          <w:rFonts w:ascii="Times New Roman" w:hAnsi="Times New Roman"/>
          <w:color w:val="0070C0"/>
          <w:sz w:val="16"/>
          <w:szCs w:val="16"/>
        </w:rPr>
        <w:t xml:space="preserve">тряд № эскадрилий под командованием </w:t>
      </w:r>
      <w:proofErr w:type="spellStart"/>
      <w:r w:rsidRPr="006B74EB">
        <w:rPr>
          <w:rFonts w:ascii="Times New Roman" w:hAnsi="Times New Roman"/>
          <w:color w:val="0070C0"/>
          <w:sz w:val="16"/>
          <w:szCs w:val="16"/>
        </w:rPr>
        <w:t>В.Л.Новака</w:t>
      </w:r>
      <w:proofErr w:type="spellEnd"/>
      <w:r w:rsidRPr="006B74EB">
        <w:rPr>
          <w:rFonts w:ascii="Times New Roman" w:hAnsi="Times New Roman"/>
          <w:color w:val="0070C0"/>
          <w:sz w:val="16"/>
          <w:szCs w:val="16"/>
        </w:rPr>
        <w:t xml:space="preserve"> </w:t>
      </w:r>
      <w:r>
        <w:rPr>
          <w:rFonts w:ascii="Times New Roman" w:hAnsi="Times New Roman"/>
          <w:color w:val="0070C0"/>
          <w:sz w:val="16"/>
          <w:szCs w:val="16"/>
        </w:rPr>
        <w:t>совершил</w:t>
      </w:r>
    </w:p>
    <w:p w14:paraId="31ED18F4" w14:textId="77777777" w:rsidR="00594F9E" w:rsidRPr="006B74EB" w:rsidRDefault="00594F9E" w:rsidP="00594F9E">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 xml:space="preserve"> перелет в строю по маршруту </w:t>
      </w:r>
      <w:r>
        <w:rPr>
          <w:rFonts w:ascii="Times New Roman" w:hAnsi="Times New Roman"/>
          <w:color w:val="0070C0"/>
          <w:sz w:val="16"/>
          <w:szCs w:val="16"/>
        </w:rPr>
        <w:t>М</w:t>
      </w:r>
      <w:r w:rsidRPr="006B74EB">
        <w:rPr>
          <w:rFonts w:ascii="Times New Roman" w:hAnsi="Times New Roman"/>
          <w:color w:val="0070C0"/>
          <w:sz w:val="16"/>
          <w:szCs w:val="16"/>
        </w:rPr>
        <w:t>осква-Воро</w:t>
      </w:r>
      <w:r>
        <w:rPr>
          <w:rFonts w:ascii="Times New Roman" w:hAnsi="Times New Roman"/>
          <w:color w:val="0070C0"/>
          <w:sz w:val="16"/>
          <w:szCs w:val="16"/>
        </w:rPr>
        <w:t>н</w:t>
      </w:r>
      <w:r w:rsidRPr="006B74EB">
        <w:rPr>
          <w:rFonts w:ascii="Times New Roman" w:hAnsi="Times New Roman"/>
          <w:color w:val="0070C0"/>
          <w:sz w:val="16"/>
          <w:szCs w:val="16"/>
        </w:rPr>
        <w:t>еж-Харьков-К</w:t>
      </w:r>
      <w:r>
        <w:rPr>
          <w:rFonts w:ascii="Times New Roman" w:hAnsi="Times New Roman"/>
          <w:color w:val="0070C0"/>
          <w:sz w:val="16"/>
          <w:szCs w:val="16"/>
        </w:rPr>
        <w:t>и</w:t>
      </w:r>
      <w:r w:rsidRPr="006B74EB">
        <w:rPr>
          <w:rFonts w:ascii="Times New Roman" w:hAnsi="Times New Roman"/>
          <w:color w:val="0070C0"/>
          <w:sz w:val="16"/>
          <w:szCs w:val="16"/>
        </w:rPr>
        <w:t>ев-</w:t>
      </w:r>
      <w:r>
        <w:rPr>
          <w:rFonts w:ascii="Times New Roman" w:hAnsi="Times New Roman"/>
          <w:color w:val="0070C0"/>
          <w:sz w:val="16"/>
          <w:szCs w:val="16"/>
        </w:rPr>
        <w:t>Го</w:t>
      </w:r>
      <w:r w:rsidRPr="006B74EB">
        <w:rPr>
          <w:rFonts w:ascii="Times New Roman" w:hAnsi="Times New Roman"/>
          <w:color w:val="0070C0"/>
          <w:sz w:val="16"/>
          <w:szCs w:val="16"/>
        </w:rPr>
        <w:t>мел</w:t>
      </w:r>
      <w:r>
        <w:rPr>
          <w:rFonts w:ascii="Times New Roman" w:hAnsi="Times New Roman"/>
          <w:color w:val="0070C0"/>
          <w:sz w:val="16"/>
          <w:szCs w:val="16"/>
        </w:rPr>
        <w:t>ь-</w:t>
      </w:r>
      <w:r w:rsidRPr="006B74EB">
        <w:rPr>
          <w:rFonts w:ascii="Times New Roman" w:hAnsi="Times New Roman"/>
          <w:color w:val="0070C0"/>
          <w:sz w:val="16"/>
          <w:szCs w:val="16"/>
        </w:rPr>
        <w:t>Бря</w:t>
      </w:r>
      <w:r>
        <w:rPr>
          <w:rFonts w:ascii="Times New Roman" w:hAnsi="Times New Roman"/>
          <w:color w:val="0070C0"/>
          <w:sz w:val="16"/>
          <w:szCs w:val="16"/>
        </w:rPr>
        <w:t>н</w:t>
      </w:r>
      <w:r w:rsidRPr="006B74EB">
        <w:rPr>
          <w:rFonts w:ascii="Times New Roman" w:hAnsi="Times New Roman"/>
          <w:color w:val="0070C0"/>
          <w:sz w:val="16"/>
          <w:szCs w:val="16"/>
        </w:rPr>
        <w:t>ск-Воронеж-</w:t>
      </w:r>
      <w:r>
        <w:rPr>
          <w:rFonts w:ascii="Times New Roman" w:hAnsi="Times New Roman"/>
          <w:color w:val="0070C0"/>
          <w:sz w:val="16"/>
          <w:szCs w:val="16"/>
        </w:rPr>
        <w:t>М</w:t>
      </w:r>
      <w:r w:rsidRPr="006B74EB">
        <w:rPr>
          <w:rFonts w:ascii="Times New Roman" w:hAnsi="Times New Roman"/>
          <w:color w:val="0070C0"/>
          <w:sz w:val="16"/>
          <w:szCs w:val="16"/>
        </w:rPr>
        <w:t>осква, пройдя расстояние 2500 км за 15 лет</w:t>
      </w:r>
      <w:r>
        <w:rPr>
          <w:rFonts w:ascii="Times New Roman" w:hAnsi="Times New Roman"/>
          <w:color w:val="0070C0"/>
          <w:sz w:val="16"/>
          <w:szCs w:val="16"/>
        </w:rPr>
        <w:t>ных ч</w:t>
      </w:r>
      <w:r w:rsidRPr="006B74EB">
        <w:rPr>
          <w:rFonts w:ascii="Times New Roman" w:hAnsi="Times New Roman"/>
          <w:color w:val="0070C0"/>
          <w:sz w:val="16"/>
          <w:szCs w:val="16"/>
        </w:rPr>
        <w:t>асов при средней скорости 166 км/час .Перелет бил предпринят</w:t>
      </w:r>
      <w:r>
        <w:rPr>
          <w:rFonts w:ascii="Times New Roman" w:hAnsi="Times New Roman"/>
          <w:color w:val="0070C0"/>
          <w:sz w:val="16"/>
          <w:szCs w:val="16"/>
        </w:rPr>
        <w:t xml:space="preserve"> с т</w:t>
      </w:r>
      <w:r w:rsidRPr="006B74EB">
        <w:rPr>
          <w:rFonts w:ascii="Times New Roman" w:hAnsi="Times New Roman"/>
          <w:color w:val="0070C0"/>
          <w:sz w:val="16"/>
          <w:szCs w:val="16"/>
        </w:rPr>
        <w:t>ре</w:t>
      </w:r>
      <w:r>
        <w:rPr>
          <w:rFonts w:ascii="Times New Roman" w:hAnsi="Times New Roman"/>
          <w:color w:val="0070C0"/>
          <w:sz w:val="16"/>
          <w:szCs w:val="16"/>
        </w:rPr>
        <w:t>ни</w:t>
      </w:r>
      <w:r w:rsidRPr="006B74EB">
        <w:rPr>
          <w:rFonts w:ascii="Times New Roman" w:hAnsi="Times New Roman"/>
          <w:color w:val="0070C0"/>
          <w:sz w:val="16"/>
          <w:szCs w:val="16"/>
        </w:rPr>
        <w:t xml:space="preserve">ровочной целью </w:t>
      </w:r>
      <w:r>
        <w:rPr>
          <w:rFonts w:ascii="Times New Roman" w:hAnsi="Times New Roman"/>
          <w:color w:val="0070C0"/>
          <w:sz w:val="16"/>
          <w:szCs w:val="16"/>
        </w:rPr>
        <w:t>и</w:t>
      </w:r>
      <w:r w:rsidRPr="006B74EB">
        <w:rPr>
          <w:rFonts w:ascii="Times New Roman" w:hAnsi="Times New Roman"/>
          <w:color w:val="0070C0"/>
          <w:sz w:val="16"/>
          <w:szCs w:val="16"/>
        </w:rPr>
        <w:t xml:space="preserve"> с обязательным сохранением уставного строя </w:t>
      </w:r>
      <w:r>
        <w:rPr>
          <w:rFonts w:ascii="Times New Roman" w:hAnsi="Times New Roman"/>
          <w:color w:val="0070C0"/>
          <w:sz w:val="16"/>
          <w:szCs w:val="16"/>
        </w:rPr>
        <w:t xml:space="preserve">на </w:t>
      </w:r>
      <w:r w:rsidRPr="006B74EB">
        <w:rPr>
          <w:rFonts w:ascii="Times New Roman" w:hAnsi="Times New Roman"/>
          <w:color w:val="0070C0"/>
          <w:sz w:val="16"/>
          <w:szCs w:val="16"/>
        </w:rPr>
        <w:t>максимально возможной высоте.</w:t>
      </w:r>
    </w:p>
    <w:p w14:paraId="6FE30481" w14:textId="77777777" w:rsidR="00594F9E" w:rsidRDefault="00594F9E" w:rsidP="00594F9E">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/«Красная звезда</w:t>
      </w:r>
      <w:r>
        <w:rPr>
          <w:rFonts w:ascii="Times New Roman" w:hAnsi="Times New Roman"/>
          <w:color w:val="0070C0"/>
          <w:sz w:val="16"/>
          <w:szCs w:val="16"/>
        </w:rPr>
        <w:t>»</w:t>
      </w:r>
      <w:r w:rsidRPr="006B74EB">
        <w:rPr>
          <w:rFonts w:ascii="Times New Roman" w:hAnsi="Times New Roman"/>
          <w:color w:val="0070C0"/>
          <w:sz w:val="16"/>
          <w:szCs w:val="16"/>
        </w:rPr>
        <w:t xml:space="preserve"> за 30 августа 1929 г./</w:t>
      </w:r>
      <w:r>
        <w:rPr>
          <w:rFonts w:ascii="Times New Roman" w:hAnsi="Times New Roman"/>
          <w:color w:val="0070C0"/>
          <w:sz w:val="16"/>
          <w:szCs w:val="16"/>
        </w:rPr>
        <w:t xml:space="preserve"> (23370).</w:t>
      </w:r>
    </w:p>
    <w:p w14:paraId="7330CE15" w14:textId="77777777" w:rsidR="00594F9E" w:rsidRPr="006B74EB" w:rsidRDefault="00594F9E" w:rsidP="00594F9E">
      <w:pPr>
        <w:spacing w:after="0" w:line="240" w:lineRule="auto"/>
        <w:jc w:val="both"/>
        <w:rPr>
          <w:rFonts w:ascii="Times New Roman" w:hAnsi="Times New Roman"/>
          <w:color w:val="0070C0"/>
          <w:sz w:val="16"/>
          <w:szCs w:val="16"/>
        </w:rPr>
      </w:pPr>
    </w:p>
    <w:p w14:paraId="3FA9C1C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E7C812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3106AE5" w14:textId="77777777" w:rsidR="00FB22D8" w:rsidRPr="00A259BD" w:rsidRDefault="00FB22D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августа 1929 «Граф Цеппелин» попрощался с Токио, открыв свою миссию над Тихим океаном.</w:t>
      </w:r>
    </w:p>
    <w:p w14:paraId="17E1B247" w14:textId="77777777" w:rsidR="00FB22D8" w:rsidRPr="00A259BD" w:rsidRDefault="00FB22D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Теперь курс лежал на Лос-Анджелес через Сан-Франциско. Этот отрезок прошел уже без каких-либо приключений, если не считать, конечно, самого факта первого в истории беспосадочного полета на средствах любого типа через Тихий океан. Установление очередного рекорда заняло 79 ч 54 мин.</w:t>
      </w:r>
    </w:p>
    <w:p w14:paraId="48811486" w14:textId="77777777" w:rsidR="00FB22D8" w:rsidRPr="00A259BD" w:rsidRDefault="00FB22D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последний раз дозаправившись в крупнейшем городе Калифорнии, «Граф Цеппелин» нанизал 13 штатов и 29 августа, через три недели после вылета на Восток, подлетел к </w:t>
      </w:r>
      <w:proofErr w:type="spellStart"/>
      <w:r w:rsidRPr="00A259BD">
        <w:rPr>
          <w:rFonts w:ascii="Times New Roman" w:hAnsi="Times New Roman"/>
          <w:color w:val="000000" w:themeColor="text1"/>
          <w:sz w:val="16"/>
          <w:szCs w:val="16"/>
        </w:rPr>
        <w:t>Лейкхерсту</w:t>
      </w:r>
      <w:proofErr w:type="spellEnd"/>
      <w:r w:rsidRPr="00A259BD">
        <w:rPr>
          <w:rFonts w:ascii="Times New Roman" w:hAnsi="Times New Roman"/>
          <w:color w:val="000000" w:themeColor="text1"/>
          <w:sz w:val="16"/>
          <w:szCs w:val="16"/>
        </w:rPr>
        <w:t xml:space="preserve"> с Запада. Суммарное время в полете составило 12 дней 12 часов и 13 минут. С учетом остановок – 21 д 5 ч 31 мин или 33 234 км. Заслуги капитана дирижабля </w:t>
      </w:r>
      <w:proofErr w:type="spellStart"/>
      <w:r w:rsidRPr="00A259BD">
        <w:rPr>
          <w:rFonts w:ascii="Times New Roman" w:hAnsi="Times New Roman"/>
          <w:color w:val="000000" w:themeColor="text1"/>
          <w:sz w:val="16"/>
          <w:szCs w:val="16"/>
        </w:rPr>
        <w:t>Эккенера</w:t>
      </w:r>
      <w:proofErr w:type="spellEnd"/>
      <w:r w:rsidRPr="00A259BD">
        <w:rPr>
          <w:rFonts w:ascii="Times New Roman" w:hAnsi="Times New Roman"/>
          <w:color w:val="000000" w:themeColor="text1"/>
          <w:sz w:val="16"/>
          <w:szCs w:val="16"/>
        </w:rPr>
        <w:t xml:space="preserve"> были оценены Золотой медалью Национального географического общества. Перед возвращением в Германию пилота принял президент США </w:t>
      </w:r>
      <w:hyperlink r:id="rId167" w:history="1">
        <w:r w:rsidRPr="00A259BD">
          <w:rPr>
            <w:rStyle w:val="a5"/>
            <w:rFonts w:ascii="Times New Roman" w:hAnsi="Times New Roman"/>
            <w:color w:val="000000" w:themeColor="text1"/>
            <w:sz w:val="16"/>
            <w:szCs w:val="16"/>
          </w:rPr>
          <w:t>Герберт Гувер</w:t>
        </w:r>
      </w:hyperlink>
    </w:p>
    <w:p w14:paraId="1AFD4481" w14:textId="77777777" w:rsidR="00FB22D8" w:rsidRPr="00A259BD" w:rsidRDefault="00FB22D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1930 года в качестве извинения за непринятие приглашения залететь в Москву «Графу Цеппелину» пришлось совершить отдельный рейс в советскую столицу. На Октябрьском поле дирижабль встречала 100-тысячная восторженная толпа (20175).</w:t>
      </w:r>
    </w:p>
    <w:p w14:paraId="0139CAF4" w14:textId="77777777" w:rsidR="00FB22D8" w:rsidRPr="00A259BD" w:rsidRDefault="00FB22D8" w:rsidP="009236E3">
      <w:pPr>
        <w:spacing w:after="0" w:line="240" w:lineRule="auto"/>
        <w:jc w:val="both"/>
        <w:rPr>
          <w:rFonts w:ascii="Times New Roman" w:hAnsi="Times New Roman"/>
          <w:color w:val="000000" w:themeColor="text1"/>
          <w:sz w:val="16"/>
          <w:szCs w:val="16"/>
        </w:rPr>
      </w:pPr>
    </w:p>
    <w:p w14:paraId="212BAE10" w14:textId="77777777" w:rsidR="00FB22D8" w:rsidRPr="00A259BD" w:rsidRDefault="00FB22D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августа 1929 года — первый полёт гоночного гидросамолёта </w:t>
      </w:r>
      <w:proofErr w:type="spellStart"/>
      <w:r w:rsidRPr="00A259BD">
        <w:rPr>
          <w:rFonts w:ascii="Times New Roman" w:hAnsi="Times New Roman"/>
          <w:color w:val="000000" w:themeColor="text1"/>
          <w:sz w:val="16"/>
          <w:szCs w:val="16"/>
        </w:rPr>
        <w:t>Gloster</w:t>
      </w:r>
      <w:proofErr w:type="spellEnd"/>
      <w:r w:rsidRPr="00A259BD">
        <w:rPr>
          <w:rFonts w:ascii="Times New Roman" w:hAnsi="Times New Roman"/>
          <w:color w:val="000000" w:themeColor="text1"/>
          <w:sz w:val="16"/>
          <w:szCs w:val="16"/>
        </w:rPr>
        <w:t xml:space="preserve"> VI. /Великобритания/</w:t>
      </w:r>
    </w:p>
    <w:p w14:paraId="23C150DD" w14:textId="77777777" w:rsidR="00FB22D8" w:rsidRPr="00A259BD" w:rsidRDefault="00FB22D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1927 году британский </w:t>
      </w:r>
      <w:proofErr w:type="spellStart"/>
      <w:r w:rsidRPr="00A259BD">
        <w:rPr>
          <w:rFonts w:ascii="Times New Roman" w:hAnsi="Times New Roman"/>
          <w:color w:val="000000" w:themeColor="text1"/>
          <w:sz w:val="16"/>
          <w:szCs w:val="16"/>
        </w:rPr>
        <w:t>Supermarine</w:t>
      </w:r>
      <w:proofErr w:type="spellEnd"/>
      <w:r w:rsidRPr="00A259BD">
        <w:rPr>
          <w:rFonts w:ascii="Times New Roman" w:hAnsi="Times New Roman"/>
          <w:color w:val="000000" w:themeColor="text1"/>
          <w:sz w:val="16"/>
          <w:szCs w:val="16"/>
        </w:rPr>
        <w:t xml:space="preserve"> S.5 принёс стране третью победу в Кубке Шнайдера. Для закрепления успеха, к следующей гонке англичане построили 2 новых гоночных гидросамолёта. Ими стали </w:t>
      </w:r>
      <w:proofErr w:type="spellStart"/>
      <w:r w:rsidRPr="00A259BD">
        <w:rPr>
          <w:rFonts w:ascii="Times New Roman" w:hAnsi="Times New Roman"/>
          <w:color w:val="000000" w:themeColor="text1"/>
          <w:sz w:val="16"/>
          <w:szCs w:val="16"/>
        </w:rPr>
        <w:t>Supermarine</w:t>
      </w:r>
      <w:proofErr w:type="spellEnd"/>
      <w:r w:rsidRPr="00A259BD">
        <w:rPr>
          <w:rFonts w:ascii="Times New Roman" w:hAnsi="Times New Roman"/>
          <w:color w:val="000000" w:themeColor="text1"/>
          <w:sz w:val="16"/>
          <w:szCs w:val="16"/>
        </w:rPr>
        <w:t xml:space="preserve"> S.6 и </w:t>
      </w:r>
      <w:proofErr w:type="spellStart"/>
      <w:r w:rsidRPr="00A259BD">
        <w:rPr>
          <w:rFonts w:ascii="Times New Roman" w:hAnsi="Times New Roman"/>
          <w:color w:val="000000" w:themeColor="text1"/>
          <w:sz w:val="16"/>
          <w:szCs w:val="16"/>
        </w:rPr>
        <w:t>Gloster</w:t>
      </w:r>
      <w:proofErr w:type="spellEnd"/>
      <w:r w:rsidRPr="00A259BD">
        <w:rPr>
          <w:rFonts w:ascii="Times New Roman" w:hAnsi="Times New Roman"/>
          <w:color w:val="000000" w:themeColor="text1"/>
          <w:sz w:val="16"/>
          <w:szCs w:val="16"/>
        </w:rPr>
        <w:t xml:space="preserve"> VI.</w:t>
      </w:r>
    </w:p>
    <w:p w14:paraId="4A480457" w14:textId="77777777" w:rsidR="00FB22D8" w:rsidRPr="00A259BD" w:rsidRDefault="00FB22D8"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Gloster</w:t>
      </w:r>
      <w:proofErr w:type="spellEnd"/>
      <w:r w:rsidRPr="00A259BD">
        <w:rPr>
          <w:rFonts w:ascii="Times New Roman" w:hAnsi="Times New Roman"/>
          <w:color w:val="000000" w:themeColor="text1"/>
          <w:sz w:val="16"/>
          <w:szCs w:val="16"/>
        </w:rPr>
        <w:t xml:space="preserve"> VI представлял собой низкоплан (первый гоночный моноплан компании </w:t>
      </w:r>
      <w:proofErr w:type="spellStart"/>
      <w:r w:rsidRPr="00A259BD">
        <w:rPr>
          <w:rFonts w:ascii="Times New Roman" w:hAnsi="Times New Roman"/>
          <w:color w:val="000000" w:themeColor="text1"/>
          <w:sz w:val="16"/>
          <w:szCs w:val="16"/>
        </w:rPr>
        <w:t>Gloster</w:t>
      </w:r>
      <w:proofErr w:type="spellEnd"/>
      <w:r w:rsidRPr="00A259BD">
        <w:rPr>
          <w:rFonts w:ascii="Times New Roman" w:hAnsi="Times New Roman"/>
          <w:color w:val="000000" w:themeColor="text1"/>
          <w:sz w:val="16"/>
          <w:szCs w:val="16"/>
        </w:rPr>
        <w:t xml:space="preserve">) с проволочными расчалками. Внешне сильно напоминал успешный </w:t>
      </w:r>
      <w:proofErr w:type="spellStart"/>
      <w:r w:rsidRPr="00A259BD">
        <w:rPr>
          <w:rFonts w:ascii="Times New Roman" w:hAnsi="Times New Roman"/>
          <w:color w:val="000000" w:themeColor="text1"/>
          <w:sz w:val="16"/>
          <w:szCs w:val="16"/>
        </w:rPr>
        <w:t>Supermarine</w:t>
      </w:r>
      <w:proofErr w:type="spellEnd"/>
      <w:r w:rsidRPr="00A259BD">
        <w:rPr>
          <w:rFonts w:ascii="Times New Roman" w:hAnsi="Times New Roman"/>
          <w:color w:val="000000" w:themeColor="text1"/>
          <w:sz w:val="16"/>
          <w:szCs w:val="16"/>
        </w:rPr>
        <w:t xml:space="preserve"> S.5. В двух поплавках находились топливные баки, а поверхность крыла была покрыта радиаторами. На самолёт установили двигатель </w:t>
      </w:r>
      <w:proofErr w:type="spellStart"/>
      <w:r w:rsidRPr="00A259BD">
        <w:rPr>
          <w:rFonts w:ascii="Times New Roman" w:hAnsi="Times New Roman"/>
          <w:color w:val="000000" w:themeColor="text1"/>
          <w:sz w:val="16"/>
          <w:szCs w:val="16"/>
        </w:rPr>
        <w:t>Napier</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Lion</w:t>
      </w:r>
      <w:proofErr w:type="spellEnd"/>
      <w:r w:rsidRPr="00A259BD">
        <w:rPr>
          <w:rFonts w:ascii="Times New Roman" w:hAnsi="Times New Roman"/>
          <w:color w:val="000000" w:themeColor="text1"/>
          <w:sz w:val="16"/>
          <w:szCs w:val="16"/>
        </w:rPr>
        <w:t xml:space="preserve"> VIID мощностью 1320 лошадиных сил.</w:t>
      </w:r>
    </w:p>
    <w:p w14:paraId="47DB5BD4" w14:textId="77777777" w:rsidR="00FB22D8" w:rsidRPr="00A259BD" w:rsidRDefault="00FB22D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гонке закончили 2 экземпляра </w:t>
      </w:r>
      <w:proofErr w:type="spellStart"/>
      <w:r w:rsidRPr="00A259BD">
        <w:rPr>
          <w:rFonts w:ascii="Times New Roman" w:hAnsi="Times New Roman"/>
          <w:color w:val="000000" w:themeColor="text1"/>
          <w:sz w:val="16"/>
          <w:szCs w:val="16"/>
        </w:rPr>
        <w:t>Gloster</w:t>
      </w:r>
      <w:proofErr w:type="spellEnd"/>
      <w:r w:rsidRPr="00A259BD">
        <w:rPr>
          <w:rFonts w:ascii="Times New Roman" w:hAnsi="Times New Roman"/>
          <w:color w:val="000000" w:themeColor="text1"/>
          <w:sz w:val="16"/>
          <w:szCs w:val="16"/>
        </w:rPr>
        <w:t xml:space="preserve"> VI. Но из-за проблем с двигателем ни один из них не вышел на старт. Лишь на следующий день после гонки на одном </w:t>
      </w:r>
      <w:proofErr w:type="spellStart"/>
      <w:r w:rsidRPr="00A259BD">
        <w:rPr>
          <w:rFonts w:ascii="Times New Roman" w:hAnsi="Times New Roman"/>
          <w:color w:val="000000" w:themeColor="text1"/>
          <w:sz w:val="16"/>
          <w:szCs w:val="16"/>
        </w:rPr>
        <w:t>Gloster</w:t>
      </w:r>
      <w:proofErr w:type="spellEnd"/>
      <w:r w:rsidRPr="00A259BD">
        <w:rPr>
          <w:rFonts w:ascii="Times New Roman" w:hAnsi="Times New Roman"/>
          <w:color w:val="000000" w:themeColor="text1"/>
          <w:sz w:val="16"/>
          <w:szCs w:val="16"/>
        </w:rPr>
        <w:t xml:space="preserve"> VI установили мировой рекорд скорости 584,9 км/ч. Он продержался лишь полчаса и был побит на </w:t>
      </w:r>
      <w:proofErr w:type="spellStart"/>
      <w:r w:rsidRPr="00A259BD">
        <w:rPr>
          <w:rFonts w:ascii="Times New Roman" w:hAnsi="Times New Roman"/>
          <w:color w:val="000000" w:themeColor="text1"/>
          <w:sz w:val="16"/>
          <w:szCs w:val="16"/>
        </w:rPr>
        <w:t>Supermarine</w:t>
      </w:r>
      <w:proofErr w:type="spellEnd"/>
      <w:r w:rsidRPr="00A259BD">
        <w:rPr>
          <w:rFonts w:ascii="Times New Roman" w:hAnsi="Times New Roman"/>
          <w:color w:val="000000" w:themeColor="text1"/>
          <w:sz w:val="16"/>
          <w:szCs w:val="16"/>
        </w:rPr>
        <w:t xml:space="preserve"> S.6. Оба </w:t>
      </w:r>
      <w:proofErr w:type="spellStart"/>
      <w:r w:rsidRPr="00A259BD">
        <w:rPr>
          <w:rFonts w:ascii="Times New Roman" w:hAnsi="Times New Roman"/>
          <w:color w:val="000000" w:themeColor="text1"/>
          <w:sz w:val="16"/>
          <w:szCs w:val="16"/>
        </w:rPr>
        <w:t>Gloster</w:t>
      </w:r>
      <w:proofErr w:type="spellEnd"/>
      <w:r w:rsidRPr="00A259BD">
        <w:rPr>
          <w:rFonts w:ascii="Times New Roman" w:hAnsi="Times New Roman"/>
          <w:color w:val="000000" w:themeColor="text1"/>
          <w:sz w:val="16"/>
          <w:szCs w:val="16"/>
        </w:rPr>
        <w:t xml:space="preserve"> VI позже передали в гоночную эскадрилью Королевских ВВС для тренировок (22300).</w:t>
      </w:r>
    </w:p>
    <w:p w14:paraId="455EAA7C" w14:textId="77777777" w:rsidR="00FB22D8" w:rsidRPr="00A259BD" w:rsidRDefault="00FB22D8" w:rsidP="009236E3">
      <w:pPr>
        <w:spacing w:after="0" w:line="240" w:lineRule="auto"/>
        <w:jc w:val="both"/>
        <w:rPr>
          <w:rFonts w:ascii="Times New Roman" w:hAnsi="Times New Roman"/>
          <w:color w:val="000000" w:themeColor="text1"/>
          <w:sz w:val="16"/>
          <w:szCs w:val="16"/>
        </w:rPr>
      </w:pPr>
    </w:p>
    <w:p w14:paraId="3973B16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августа 1929 англичанами объявлено чрезвычайное положение в Иерусалиме в связи со стычками между арабами и евреями (4962).</w:t>
      </w:r>
    </w:p>
    <w:p w14:paraId="2669763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E7EB0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A2F377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070A4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августа 1929 был закончен строительством АНТ-7 (Р-6) и в первые дни сентября 1929 он появился на аэродроме (346,34).</w:t>
      </w:r>
    </w:p>
    <w:p w14:paraId="7C5476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DDC65B"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26 августа 1929 г. все основные работы по постройке АНТ-7 были закончены, и в начале сентября АНТ—7 перевезли на аэродром (23474).</w:t>
      </w:r>
    </w:p>
    <w:p w14:paraId="300F4B5B" w14:textId="77777777" w:rsidR="00DF6949" w:rsidRPr="00441F34" w:rsidRDefault="00DF6949" w:rsidP="00DF6949">
      <w:pPr>
        <w:spacing w:after="0" w:line="240" w:lineRule="auto"/>
        <w:jc w:val="both"/>
        <w:rPr>
          <w:rFonts w:ascii="Times New Roman" w:hAnsi="Times New Roman"/>
          <w:color w:val="0070C0"/>
          <w:sz w:val="16"/>
          <w:szCs w:val="16"/>
        </w:rPr>
      </w:pPr>
    </w:p>
    <w:p w14:paraId="4F58AC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августа 1929 г. первый Р-6 в основном уже собрали. На самолете смонтировали пару моторов BMW VIЕ 7,3 с максимальной мощностью 730 л.с. Они вращали двухлопастные деревянные винты (разумеется, постоянного шага). Идя в ногу со временем, конструкторы ЦАГИ предусмотрели установку новых пулеметов ДА, хотя в задании были заложены устаревшие "Льюисы" обр. 1924 г. (12036).</w:t>
      </w:r>
    </w:p>
    <w:p w14:paraId="17D11E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C7D6FD1" w14:textId="77777777" w:rsidR="00A40604" w:rsidRPr="00A259BD" w:rsidRDefault="00A4060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августа 1929 г. первый образец Р-6 в основном уже собрали. На самолёте смонтировали пару моторов ВМ\А/ VIЕ7,3 (500/730 л.с.). Идя в ногу со временем, конструкторы ЦАГИ предусмотрели установку новых пулемётов ДА вместо устаревших «</w:t>
      </w:r>
      <w:proofErr w:type="spellStart"/>
      <w:r w:rsidRPr="00A259BD">
        <w:rPr>
          <w:rFonts w:ascii="Times New Roman" w:hAnsi="Times New Roman"/>
          <w:color w:val="000000" w:themeColor="text1"/>
          <w:sz w:val="16"/>
          <w:szCs w:val="16"/>
        </w:rPr>
        <w:t>льюисов</w:t>
      </w:r>
      <w:proofErr w:type="spellEnd"/>
      <w:r w:rsidRPr="00A259BD">
        <w:rPr>
          <w:rFonts w:ascii="Times New Roman" w:hAnsi="Times New Roman"/>
          <w:color w:val="000000" w:themeColor="text1"/>
          <w:sz w:val="16"/>
          <w:szCs w:val="16"/>
        </w:rPr>
        <w:t>». В начале сентября опытный образец Р-6 перевезли на Центральный аэродром (12264).</w:t>
      </w:r>
    </w:p>
    <w:p w14:paraId="033775A1" w14:textId="77777777" w:rsidR="00A40604" w:rsidRPr="00A259BD" w:rsidRDefault="00A40604" w:rsidP="009236E3">
      <w:pPr>
        <w:spacing w:after="0" w:line="240" w:lineRule="auto"/>
        <w:jc w:val="both"/>
        <w:rPr>
          <w:rFonts w:ascii="Times New Roman" w:hAnsi="Times New Roman"/>
          <w:color w:val="000000" w:themeColor="text1"/>
          <w:sz w:val="16"/>
          <w:szCs w:val="16"/>
        </w:rPr>
      </w:pPr>
    </w:p>
    <w:p w14:paraId="01A846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26 августа по 5 сентября 1929 в НИИ ВВС проходил гос. испытания головной У-2 М-11 Н.Н.П., изготовленного заводом 23 (2371).</w:t>
      </w:r>
    </w:p>
    <w:p w14:paraId="2FAB52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79B3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26/28 августа Чл. Коллегии ГВПУ ВСНХ писал письмо N 4632с в НТУ ВСНХ (копия УВВС и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о том, что постановлением закрытого заседания Президиума ВСНХ от 30 июля 1929 (протокол 9) было поручено ГВПУ и НТУ с привлечением УВВС разработать мероприятия и направления улучшения деловых </w:t>
      </w:r>
      <w:r w:rsidRPr="00A259BD">
        <w:rPr>
          <w:rFonts w:ascii="Times New Roman" w:hAnsi="Times New Roman"/>
          <w:color w:val="000000" w:themeColor="text1"/>
          <w:sz w:val="16"/>
          <w:szCs w:val="16"/>
        </w:rPr>
        <w:lastRenderedPageBreak/>
        <w:t>взаимоотношений, обмена опытом и максимального использования НИИ АП. ГВПУ просило сообщить, возможно ли начать обмен мнениями. Считало, что в области опытного строительства АП должно быть предоставлено гораздо больше самостоятельности, т.к. АП уже доказала свой опыт (2339,339).</w:t>
      </w:r>
    </w:p>
    <w:p w14:paraId="09EF44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Постановлением закрытого заседания Президиума ВСНХ от 30/УП-29 г. (протокол № 9/ было поручено ГВПУ и НТУ, с привлечением УВВС, разработать мероприятия в направлении улучшения деловых взаимоотношений, </w:t>
      </w:r>
      <w:proofErr w:type="spellStart"/>
      <w:r w:rsidRPr="00A259BD">
        <w:rPr>
          <w:rFonts w:ascii="Times New Roman" w:hAnsi="Times New Roman"/>
          <w:color w:val="000000" w:themeColor="text1"/>
          <w:sz w:val="16"/>
          <w:szCs w:val="16"/>
        </w:rPr>
        <w:t>обамена</w:t>
      </w:r>
      <w:proofErr w:type="spellEnd"/>
      <w:r w:rsidRPr="00A259BD">
        <w:rPr>
          <w:rFonts w:ascii="Times New Roman" w:hAnsi="Times New Roman"/>
          <w:color w:val="000000" w:themeColor="text1"/>
          <w:sz w:val="16"/>
          <w:szCs w:val="16"/>
        </w:rPr>
        <w:t xml:space="preserve"> опытом и максимального использования научно-исследовательских институтов авиапромышленности, доложив о результатах, для сведения ПМС, в месячный срок.</w:t>
      </w:r>
    </w:p>
    <w:p w14:paraId="3B232D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Подагая</w:t>
      </w:r>
      <w:proofErr w:type="spellEnd"/>
      <w:r w:rsidRPr="00A259BD">
        <w:rPr>
          <w:rFonts w:ascii="Times New Roman" w:hAnsi="Times New Roman"/>
          <w:color w:val="000000" w:themeColor="text1"/>
          <w:sz w:val="16"/>
          <w:szCs w:val="16"/>
        </w:rPr>
        <w:t xml:space="preserve">, что НТУ выписка из протокола заседания послана, Главное Военно-Промышленное Управление просит сообщить, имеется ли </w:t>
      </w:r>
      <w:proofErr w:type="spellStart"/>
      <w:r w:rsidRPr="00A259BD">
        <w:rPr>
          <w:rFonts w:ascii="Times New Roman" w:hAnsi="Times New Roman"/>
          <w:color w:val="000000" w:themeColor="text1"/>
          <w:sz w:val="16"/>
          <w:szCs w:val="16"/>
        </w:rPr>
        <w:t>возможнзсть</w:t>
      </w:r>
      <w:proofErr w:type="spellEnd"/>
      <w:r w:rsidRPr="00A259BD">
        <w:rPr>
          <w:rFonts w:ascii="Times New Roman" w:hAnsi="Times New Roman"/>
          <w:color w:val="000000" w:themeColor="text1"/>
          <w:sz w:val="16"/>
          <w:szCs w:val="16"/>
        </w:rPr>
        <w:t xml:space="preserve"> приступить к обмену мнений по этому вопросу. Одновременно ГВПУ считает нужным уведомить НТУ, ч о представленные в ГВПУ программы работ на предстоящий год по НАМИ и ЦАГИ представляют собой голые титула, почему ГВПУ, не зная программы, по которой будут вестись работы по отдельным титулам, лишено возможности установить желательность и необходимость данных титулов.</w:t>
      </w:r>
    </w:p>
    <w:p w14:paraId="4F993D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как об этом сообщалось в НТУ и соответствующие правительственные органы, ГВПУ держится определенного мнения, что работа НИИ в области авиастроения (по линии ЦАГИ и НАМИ), может быть только тогда плодотворной и реальной в отношении результатов, когда эти институты будут всецело опираться на производственные объединения авиапромышленности.</w:t>
      </w:r>
    </w:p>
    <w:p w14:paraId="44DEAE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Вместе с тем, Главное-Военно-Промышленное Управление считает, что в области опытного авиастроения должно быть предоставлено гораздо больше самостоятельности авиапромышленности, которая уже показала свой опыт в </w:t>
      </w:r>
      <w:proofErr w:type="spellStart"/>
      <w:r w:rsidRPr="00A259BD">
        <w:rPr>
          <w:rFonts w:ascii="Times New Roman" w:hAnsi="Times New Roman"/>
          <w:color w:val="000000" w:themeColor="text1"/>
          <w:sz w:val="16"/>
          <w:szCs w:val="16"/>
        </w:rPr>
        <w:t>авиастроениивнедрением</w:t>
      </w:r>
      <w:proofErr w:type="spellEnd"/>
      <w:r w:rsidRPr="00A259BD">
        <w:rPr>
          <w:rFonts w:ascii="Times New Roman" w:hAnsi="Times New Roman"/>
          <w:color w:val="000000" w:themeColor="text1"/>
          <w:sz w:val="16"/>
          <w:szCs w:val="16"/>
        </w:rPr>
        <w:t xml:space="preserve"> на вооружение целого ряда образцов боевой техники.</w:t>
      </w:r>
    </w:p>
    <w:p w14:paraId="2DD80F0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Настоящим ГВПУ просит Вас срочно выслать план НИР по институтам, находящимся в подчинении НТУ, с увязкой объектов работ с работами, которые должны проводится в объеме военной промышленности.</w:t>
      </w:r>
    </w:p>
    <w:p w14:paraId="54C56C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увязки вопроса, подлежащего проработке согласно вышеупомянутого постановления Президиума, в ГВТУ во вторник 31-го ы 12 час. 30 мин. назначается совещание, на которое </w:t>
      </w:r>
      <w:proofErr w:type="spellStart"/>
      <w:r w:rsidRPr="00A259BD">
        <w:rPr>
          <w:rFonts w:ascii="Times New Roman" w:hAnsi="Times New Roman"/>
          <w:color w:val="000000" w:themeColor="text1"/>
          <w:sz w:val="16"/>
          <w:szCs w:val="16"/>
        </w:rPr>
        <w:t>ппросьбы</w:t>
      </w:r>
      <w:proofErr w:type="spellEnd"/>
      <w:r w:rsidRPr="00A259BD">
        <w:rPr>
          <w:rFonts w:ascii="Times New Roman" w:hAnsi="Times New Roman"/>
          <w:color w:val="000000" w:themeColor="text1"/>
          <w:sz w:val="16"/>
          <w:szCs w:val="16"/>
        </w:rPr>
        <w:t xml:space="preserve"> прислать ответственных представителей (по линии НТУУВВС 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(2339,339).</w:t>
      </w:r>
    </w:p>
    <w:p w14:paraId="34EB54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2036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августа 1929 в 4 часа утра АИР-3 с запасом топлива на 14 часов стартовал под управлением слушателей ВВА летчика А. И. Филина и летчика-наблюдателя А. Ф. </w:t>
      </w:r>
      <w:proofErr w:type="spellStart"/>
      <w:r w:rsidRPr="00A259BD">
        <w:rPr>
          <w:rFonts w:ascii="Times New Roman" w:hAnsi="Times New Roman"/>
          <w:color w:val="000000" w:themeColor="text1"/>
          <w:sz w:val="16"/>
          <w:szCs w:val="16"/>
        </w:rPr>
        <w:t>Ковалькова</w:t>
      </w:r>
      <w:proofErr w:type="spellEnd"/>
      <w:r w:rsidRPr="00A259BD">
        <w:rPr>
          <w:rFonts w:ascii="Times New Roman" w:hAnsi="Times New Roman"/>
          <w:color w:val="000000" w:themeColor="text1"/>
          <w:sz w:val="16"/>
          <w:szCs w:val="16"/>
        </w:rPr>
        <w:t>, специального корреспондента газеты "Пионерская правда". Экипаж имел задание совершить беспосадочный перелет Москва-Минеральные Воды протяженностью 1750 км, и поскольку погода была подходящей, летчики намеревались достичь конечного пункта за 12 часов.</w:t>
      </w:r>
    </w:p>
    <w:p w14:paraId="45D7AF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взлете перегруженная машина долго бежала - метров 350-400, а затем полет проходил нормально. Стартовали строго на юг, стараясь идти по компасному курсу. Заря на востоке была чуть светлее алого фюзеляжа "Пионерской правды". Ветра почти не было. Низкий густой туман покрывал сырые луга и водные пространства. Высота 500 м. Указатель скорости "</w:t>
      </w:r>
      <w:proofErr w:type="spellStart"/>
      <w:r w:rsidRPr="00A259BD">
        <w:rPr>
          <w:rFonts w:ascii="Times New Roman" w:hAnsi="Times New Roman"/>
          <w:color w:val="000000" w:themeColor="text1"/>
          <w:sz w:val="16"/>
          <w:szCs w:val="16"/>
        </w:rPr>
        <w:t>саф</w:t>
      </w:r>
      <w:proofErr w:type="spellEnd"/>
      <w:r w:rsidRPr="00A259BD">
        <w:rPr>
          <w:rFonts w:ascii="Times New Roman" w:hAnsi="Times New Roman"/>
          <w:color w:val="000000" w:themeColor="text1"/>
          <w:sz w:val="16"/>
          <w:szCs w:val="16"/>
        </w:rPr>
        <w:t>" показывает 115-120 км/ч. В 4 часа 45 минут под самолетом Серпухов, в 5 часов 25 минут - Тула. На горизонте сквозь туман и густой дым заводских труб виден Воронеж. Миновали его в 7 часов 40 минут. Это почти треть тяжелого пути. Благодаря попутному ветру прошли его на 45 минут раньше расчетного срока. АИР-3 геройски преодолевает воздушные ямы, создаваемые восходящими потоками от нагревающейся земли. В 9 часов 45 минут на карте отмечается 750 км пройденного пути. Вдруг ритмичные звуки мотора оборвались. Несколько хлопков - и мотор замолчал. Внизу степная равнина, пересеченная оврагами. Выбирать площадку некогда, и через минуту самолет уже на земле. Сели у хутора Калиновка в 12 км от станции Кантемировка. Посадка выполнена прекрасно, только лопнула резиновая камера правого колеса.</w:t>
      </w:r>
    </w:p>
    <w:p w14:paraId="7E629A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Через несколько минут "Пионерской правдой" любовались сотни крестьян, впервые в своей жизни видевшие самолет. </w:t>
      </w:r>
      <w:proofErr w:type="spellStart"/>
      <w:r w:rsidRPr="00A259BD">
        <w:rPr>
          <w:rFonts w:ascii="Times New Roman" w:hAnsi="Times New Roman"/>
          <w:color w:val="000000" w:themeColor="text1"/>
          <w:sz w:val="16"/>
          <w:szCs w:val="16"/>
        </w:rPr>
        <w:t>Ковалькову</w:t>
      </w:r>
      <w:proofErr w:type="spellEnd"/>
      <w:r w:rsidRPr="00A259BD">
        <w:rPr>
          <w:rFonts w:ascii="Times New Roman" w:hAnsi="Times New Roman"/>
          <w:color w:val="000000" w:themeColor="text1"/>
          <w:sz w:val="16"/>
          <w:szCs w:val="16"/>
        </w:rPr>
        <w:t xml:space="preserve"> пришлось сделать 40-минутный доклад, первый из многих в этом агитационном перелете.</w:t>
      </w:r>
    </w:p>
    <w:p w14:paraId="27C55D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Причиной остановки мотора оказалось полное отсутствие бензина в среднем баке, а в крайних оставалось 10-12 кг, но и из этих баков бензин поступал в карбюратор ненормально. К вечеру перелетели в Кантемировку, а на следующее утро, с запасом на 4,5 часа, направились в </w:t>
      </w:r>
      <w:proofErr w:type="spellStart"/>
      <w:r w:rsidRPr="00A259BD">
        <w:rPr>
          <w:rFonts w:ascii="Times New Roman" w:hAnsi="Times New Roman"/>
          <w:color w:val="000000" w:themeColor="text1"/>
          <w:sz w:val="16"/>
          <w:szCs w:val="16"/>
        </w:rPr>
        <w:t>Ростов</w:t>
      </w:r>
      <w:proofErr w:type="spellEnd"/>
      <w:r w:rsidRPr="00A259BD">
        <w:rPr>
          <w:rFonts w:ascii="Times New Roman" w:hAnsi="Times New Roman"/>
          <w:color w:val="000000" w:themeColor="text1"/>
          <w:sz w:val="16"/>
          <w:szCs w:val="16"/>
        </w:rPr>
        <w:t xml:space="preserve">. Причина исчезновения бензина из баков оставалась неизвестной, но летчики надеялись при попутном ветре быть в </w:t>
      </w:r>
      <w:proofErr w:type="spellStart"/>
      <w:r w:rsidRPr="00A259BD">
        <w:rPr>
          <w:rFonts w:ascii="Times New Roman" w:hAnsi="Times New Roman"/>
          <w:color w:val="000000" w:themeColor="text1"/>
          <w:sz w:val="16"/>
          <w:szCs w:val="16"/>
        </w:rPr>
        <w:t>Ростове</w:t>
      </w:r>
      <w:proofErr w:type="spellEnd"/>
      <w:r w:rsidRPr="00A259BD">
        <w:rPr>
          <w:rFonts w:ascii="Times New Roman" w:hAnsi="Times New Roman"/>
          <w:color w:val="000000" w:themeColor="text1"/>
          <w:sz w:val="16"/>
          <w:szCs w:val="16"/>
        </w:rPr>
        <w:t xml:space="preserve"> через 2,5 часа и там все выяснить. Однако при подлете к Шахтам мотор опять заглох. Положение создавалось весьма критическое - кругом изрытая земля, постройки, шахты, а впереди - город. Пришлось садиться на одну из окраинных улиц - буквально на огород. Только благодаря исключительному хладнокровию, находчивости и умению летчика Филина и прекрасной управляемости самолета оба летчика и сам самолет остались целы.</w:t>
      </w:r>
    </w:p>
    <w:p w14:paraId="59A0CA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Посадка прямо на улице вызвала у жителей восторг, толпы людей осматривали авиетку и удивлялись искусству пилотов. Как это ни странно, меньше всех заинтересовался этим событием местный Осоавиахим. Помог начальник угрозыска - в ближайшей авиачасти удалось получить бензин. И на другой день при сильнейшем северном ветре, оставшиеся 75 км до </w:t>
      </w:r>
      <w:proofErr w:type="spellStart"/>
      <w:r w:rsidRPr="00A259BD">
        <w:rPr>
          <w:rFonts w:ascii="Times New Roman" w:hAnsi="Times New Roman"/>
          <w:color w:val="000000" w:themeColor="text1"/>
          <w:sz w:val="16"/>
          <w:szCs w:val="16"/>
        </w:rPr>
        <w:t>Ростова</w:t>
      </w:r>
      <w:proofErr w:type="spellEnd"/>
      <w:r w:rsidRPr="00A259BD">
        <w:rPr>
          <w:rFonts w:ascii="Times New Roman" w:hAnsi="Times New Roman"/>
          <w:color w:val="000000" w:themeColor="text1"/>
          <w:sz w:val="16"/>
          <w:szCs w:val="16"/>
        </w:rPr>
        <w:t xml:space="preserve"> прошли за 21 минуту, т. е. со скоростью 214 км/ч.</w:t>
      </w:r>
    </w:p>
    <w:p w14:paraId="089493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Здесь летчики встретили исключительно теплый и заботливый прием, в том числе со стороны авиационного командования в лице известного боевого летчика, героя гражданской войны И. К. </w:t>
      </w:r>
      <w:proofErr w:type="spellStart"/>
      <w:r w:rsidRPr="00A259BD">
        <w:rPr>
          <w:rFonts w:ascii="Times New Roman" w:hAnsi="Times New Roman"/>
          <w:color w:val="000000" w:themeColor="text1"/>
          <w:sz w:val="16"/>
          <w:szCs w:val="16"/>
        </w:rPr>
        <w:t>Спатареля</w:t>
      </w:r>
      <w:proofErr w:type="spellEnd"/>
      <w:r w:rsidRPr="00A259BD">
        <w:rPr>
          <w:rFonts w:ascii="Times New Roman" w:hAnsi="Times New Roman"/>
          <w:color w:val="000000" w:themeColor="text1"/>
          <w:sz w:val="16"/>
          <w:szCs w:val="16"/>
        </w:rPr>
        <w:t xml:space="preserve">. После испытания под давлением всех трех баков была окончательно выяснена причина обеих вынужденных посадок. Оказалось, что бензин, вследствие разрежения над крылом, высасывало через отверстия в пробках баков, сделанные для сообщения баков с атмосферой. Таким образом, в полете бензин бил фонтаном, как из пульверизатора. Этот курьезный и трудно предсказуемый промах был быстро устранен путем установки на баках напорных трубок. (Нечто подобное произошло в неудавшемся трансарктическом перелете экипажа С. А. Леваневского на самолете АНТ-25 третьего августа1935 года. Дренажная трубка маслобака, перенесенная ради защиты от обледенения в теплую воздушную среду за </w:t>
      </w:r>
      <w:proofErr w:type="spellStart"/>
      <w:r w:rsidRPr="00A259BD">
        <w:rPr>
          <w:rFonts w:ascii="Times New Roman" w:hAnsi="Times New Roman"/>
          <w:color w:val="000000" w:themeColor="text1"/>
          <w:sz w:val="16"/>
          <w:szCs w:val="16"/>
        </w:rPr>
        <w:t>водорадиатором</w:t>
      </w:r>
      <w:proofErr w:type="spellEnd"/>
      <w:r w:rsidRPr="00A259BD">
        <w:rPr>
          <w:rFonts w:ascii="Times New Roman" w:hAnsi="Times New Roman"/>
          <w:color w:val="000000" w:themeColor="text1"/>
          <w:sz w:val="16"/>
          <w:szCs w:val="16"/>
        </w:rPr>
        <w:t xml:space="preserve">, была установлена в зоне сильного разрежения, и в полете появился эффект сифона, приведший к выбросу масла, и летчики </w:t>
      </w:r>
      <w:proofErr w:type="spellStart"/>
      <w:r w:rsidRPr="00A259BD">
        <w:rPr>
          <w:rFonts w:ascii="Times New Roman" w:hAnsi="Times New Roman"/>
          <w:color w:val="000000" w:themeColor="text1"/>
          <w:sz w:val="16"/>
          <w:szCs w:val="16"/>
        </w:rPr>
        <w:t>вынуж</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дены</w:t>
      </w:r>
      <w:proofErr w:type="spellEnd"/>
      <w:r w:rsidRPr="00A259BD">
        <w:rPr>
          <w:rFonts w:ascii="Times New Roman" w:hAnsi="Times New Roman"/>
          <w:color w:val="000000" w:themeColor="text1"/>
          <w:sz w:val="16"/>
          <w:szCs w:val="16"/>
        </w:rPr>
        <w:t xml:space="preserve"> были прекратить полет. Об этом подробно написано в других источниках) (11981).</w:t>
      </w:r>
    </w:p>
    <w:p w14:paraId="46E792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CEF58DD"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4530DDF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EC12C9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августа 1929 года правительство установило пятидневную рабочую неделю - пять дней работы и один день отдыха, выходной; таким образом, указ устранял воскресенье как день отдыха для всех групп населения. Эта мера как бы должна была помочь "искоренению религии" (6804).</w:t>
      </w:r>
    </w:p>
    <w:p w14:paraId="53D89C7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FB8B88" w14:textId="77777777" w:rsidR="00F0612C" w:rsidRPr="00A259BD" w:rsidRDefault="00F0612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августа 1929 года Совет Народных Комиссаров СССР в постановлении «О переходе на непрерывное производство в предприятиях и учреждениях СССР» признал необходимым с 1929-1930 хозяйственного года (с 1 октября) приступить к планомерному и последовательному переводу предприятий и учреждений на непрерывное производство. Переход на «непрерывку», начавшийся с осени 1929 г., был закреплен весной 1930 г. постановлением специальной правительственной комиссии при Совете Труда и Обороны, которым был введен единый производственный табель-календарь.</w:t>
      </w:r>
    </w:p>
    <w:p w14:paraId="292499CE" w14:textId="77777777" w:rsidR="00F0612C" w:rsidRPr="00A259BD" w:rsidRDefault="00F0612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календарном году предусматривалось 360 дней, и соответственно 72 пятидневки. Каждый из 12 месяцев состоял ровно из 30 дней, в том числе февраль. Остальные 5 или 6 дней (в високосном году) были объявлены «</w:t>
      </w:r>
      <w:proofErr w:type="spellStart"/>
      <w:r w:rsidRPr="00A259BD">
        <w:rPr>
          <w:rFonts w:ascii="Times New Roman" w:hAnsi="Times New Roman"/>
          <w:color w:val="000000" w:themeColor="text1"/>
          <w:sz w:val="16"/>
          <w:szCs w:val="16"/>
        </w:rPr>
        <w:t>безмесячными</w:t>
      </w:r>
      <w:proofErr w:type="spellEnd"/>
      <w:r w:rsidRPr="00A259BD">
        <w:rPr>
          <w:rFonts w:ascii="Times New Roman" w:hAnsi="Times New Roman"/>
          <w:color w:val="000000" w:themeColor="text1"/>
          <w:sz w:val="16"/>
          <w:szCs w:val="16"/>
        </w:rPr>
        <w:t xml:space="preserve"> каникулами» и не входили ни в один месяц и ни в одну неделю, зато имели собственные имена:</w:t>
      </w:r>
    </w:p>
    <w:p w14:paraId="7C2D2C8E" w14:textId="77777777" w:rsidR="00F0612C" w:rsidRPr="00A259BD" w:rsidRDefault="00F0612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День Ленина, следовавший за 22 января.</w:t>
      </w:r>
    </w:p>
    <w:p w14:paraId="6C1330AE" w14:textId="77777777" w:rsidR="00F0612C" w:rsidRPr="00A259BD" w:rsidRDefault="00F0612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Дни труда (два), следовавшие за 30 апреля.</w:t>
      </w:r>
    </w:p>
    <w:p w14:paraId="373F6F09" w14:textId="77777777" w:rsidR="00F0612C" w:rsidRPr="00A259BD" w:rsidRDefault="00F0612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Индустриальные дни (два), следовавшие за 7 ноября.</w:t>
      </w:r>
    </w:p>
    <w:p w14:paraId="17936E6F" w14:textId="77777777" w:rsidR="00F0612C" w:rsidRPr="00A259BD" w:rsidRDefault="00F0612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В високосные года, добавочный високосный день следовал за 30 февраля.</w:t>
      </w:r>
    </w:p>
    <w:p w14:paraId="0E005AB7" w14:textId="77777777" w:rsidR="00F0612C" w:rsidRPr="00A259BD" w:rsidRDefault="00F0612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Неделя в СССР в 1929–1930 гг. состояла из 5 дней, при этом они были разделены на пять групп, названных по цветам (жёлтый, розовый, красный, фиолетовый, зелёный), и каждая группа имела свой собственный выходной день в неделю.</w:t>
      </w:r>
    </w:p>
    <w:p w14:paraId="3EA4CF69" w14:textId="77777777" w:rsidR="00F0612C" w:rsidRPr="00A259BD" w:rsidRDefault="00F0612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Пятидневка приживалась с исключительным трудом – фактически это было постоянным насилием также и над привычным биологическим ритмом жизни людей. Поэтому большевики решили слегка отступить.</w:t>
      </w:r>
    </w:p>
    <w:p w14:paraId="53B5BA12" w14:textId="77777777" w:rsidR="00F0612C" w:rsidRPr="00A259BD" w:rsidRDefault="00F0612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Постановлением СНК СССР от 21 ноября 1931 г. «О прерывной производственной неделе в учреждениях», с 1 декабря 1931 г. пятидневная неделя была заменена шестидневной неделей с фиксированным днём отдыха, приходящимся на 6, 12, 18, 24 и 30 число каждого месяца (1 марта использовалось вместо 30 февраля, каждое 31 число рассматривалось как дополнительный рабочий день). Следы этого видны, например, в титрах фильма «Волга-Волга» («первый день шестидневки», «второй день шестидневки»…).</w:t>
      </w:r>
    </w:p>
    <w:p w14:paraId="7DB036F3" w14:textId="77777777" w:rsidR="00F0612C" w:rsidRPr="00A259BD" w:rsidRDefault="00F0612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1931 г. число дней в месяце было возвращено в прежний вид.</w:t>
      </w:r>
    </w:p>
    <w:p w14:paraId="6C39167D" w14:textId="77777777" w:rsidR="00F0612C" w:rsidRPr="00A259BD" w:rsidRDefault="00F0612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Возврат к 7-дневной неделе произошел 26 июня 1940 г. в соответствии с указом Президиума Верховного Совета СССР «О переходе на восьмичасовой рабочий день, на семидневную рабочую неделю и о запрещении самовольного ухода рабочих и служащих с предприятий и учреждений». Однако неделя в СССР начиналась с воскресенья, лишь в более поздние годы – с понедельника. (21168).</w:t>
      </w:r>
    </w:p>
    <w:p w14:paraId="6520B052" w14:textId="77777777" w:rsidR="00F0612C" w:rsidRPr="00A259BD" w:rsidRDefault="00F0612C" w:rsidP="009236E3">
      <w:pPr>
        <w:spacing w:after="0" w:line="240" w:lineRule="auto"/>
        <w:jc w:val="both"/>
        <w:rPr>
          <w:rFonts w:ascii="Times New Roman" w:hAnsi="Times New Roman"/>
          <w:color w:val="000000" w:themeColor="text1"/>
          <w:sz w:val="16"/>
          <w:szCs w:val="16"/>
        </w:rPr>
      </w:pPr>
    </w:p>
    <w:p w14:paraId="2E47B6AF" w14:textId="77777777" w:rsidR="00D9002B" w:rsidRPr="00A259BD" w:rsidRDefault="00D9002B"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0381F22" w14:textId="77777777" w:rsidR="00D9002B" w:rsidRPr="00A259BD" w:rsidRDefault="00D9002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8D9B694" w14:textId="77777777" w:rsidR="00D9002B" w:rsidRPr="00A259BD" w:rsidRDefault="00D9002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августа 1929 - Дирижабль LZ 127 прибыл в </w:t>
      </w:r>
      <w:proofErr w:type="spellStart"/>
      <w:r w:rsidRPr="00A259BD">
        <w:rPr>
          <w:rFonts w:ascii="Times New Roman" w:hAnsi="Times New Roman"/>
          <w:color w:val="000000" w:themeColor="text1"/>
          <w:sz w:val="16"/>
          <w:szCs w:val="16"/>
        </w:rPr>
        <w:t>Mines</w:t>
      </w:r>
      <w:proofErr w:type="spellEnd"/>
      <w:r w:rsidRPr="00A259BD">
        <w:rPr>
          <w:rFonts w:ascii="Times New Roman" w:hAnsi="Times New Roman"/>
          <w:color w:val="000000" w:themeColor="text1"/>
          <w:sz w:val="16"/>
          <w:szCs w:val="16"/>
        </w:rPr>
        <w:t xml:space="preserve"> Field (в настоящее время аэропорт Лос-Анджелеса).</w:t>
      </w:r>
    </w:p>
    <w:p w14:paraId="633E230E" w14:textId="77777777" w:rsidR="00D9002B" w:rsidRPr="00A259BD" w:rsidRDefault="00D9002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Жесткий дирижабль Граф Цеппелин, LZ 127, под командованием д-ра </w:t>
      </w:r>
      <w:proofErr w:type="spellStart"/>
      <w:r w:rsidRPr="00A259BD">
        <w:rPr>
          <w:rFonts w:ascii="Times New Roman" w:hAnsi="Times New Roman"/>
          <w:color w:val="000000" w:themeColor="text1"/>
          <w:sz w:val="16"/>
          <w:szCs w:val="16"/>
        </w:rPr>
        <w:t>Эккенера</w:t>
      </w:r>
      <w:proofErr w:type="spellEnd"/>
      <w:r w:rsidRPr="00A259BD">
        <w:rPr>
          <w:rFonts w:ascii="Times New Roman" w:hAnsi="Times New Roman"/>
          <w:color w:val="000000" w:themeColor="text1"/>
          <w:sz w:val="16"/>
          <w:szCs w:val="16"/>
        </w:rPr>
        <w:t xml:space="preserve">, покинул </w:t>
      </w:r>
      <w:proofErr w:type="spellStart"/>
      <w:r w:rsidRPr="00A259BD">
        <w:rPr>
          <w:rFonts w:ascii="Times New Roman" w:hAnsi="Times New Roman"/>
          <w:color w:val="000000" w:themeColor="text1"/>
          <w:sz w:val="16"/>
          <w:szCs w:val="16"/>
        </w:rPr>
        <w:t>Лейкхерст</w:t>
      </w:r>
      <w:proofErr w:type="spellEnd"/>
      <w:r w:rsidRPr="00A259BD">
        <w:rPr>
          <w:rFonts w:ascii="Times New Roman" w:hAnsi="Times New Roman"/>
          <w:color w:val="000000" w:themeColor="text1"/>
          <w:sz w:val="16"/>
          <w:szCs w:val="16"/>
        </w:rPr>
        <w:t xml:space="preserve"> в Нью-Джерси 8 августа 1929 года, направляясь на восток через Атлантический океан в первое кругосветное </w:t>
      </w:r>
      <w:proofErr w:type="spellStart"/>
      <w:r w:rsidRPr="00A259BD">
        <w:rPr>
          <w:rFonts w:ascii="Times New Roman" w:hAnsi="Times New Roman"/>
          <w:color w:val="000000" w:themeColor="text1"/>
          <w:sz w:val="16"/>
          <w:szCs w:val="16"/>
        </w:rPr>
        <w:t>пктешествие</w:t>
      </w:r>
      <w:proofErr w:type="spellEnd"/>
      <w:r w:rsidRPr="00A259BD">
        <w:rPr>
          <w:rFonts w:ascii="Times New Roman" w:hAnsi="Times New Roman"/>
          <w:color w:val="000000" w:themeColor="text1"/>
          <w:sz w:val="16"/>
          <w:szCs w:val="16"/>
        </w:rPr>
        <w:t xml:space="preserve"> по воздуху. Полет был организован издателем Херстом, который отправил несколько корреспондентов на борту.</w:t>
      </w:r>
    </w:p>
    <w:p w14:paraId="61D3C160" w14:textId="77777777" w:rsidR="00D9002B" w:rsidRPr="00A259BD" w:rsidRDefault="00D9002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После дозаправки на аэродроме ВМФ </w:t>
      </w:r>
      <w:proofErr w:type="spellStart"/>
      <w:r w:rsidRPr="00A259BD">
        <w:rPr>
          <w:rFonts w:ascii="Times New Roman" w:hAnsi="Times New Roman"/>
          <w:color w:val="000000" w:themeColor="text1"/>
          <w:sz w:val="16"/>
          <w:szCs w:val="16"/>
        </w:rPr>
        <w:t>Касумигаура</w:t>
      </w:r>
      <w:proofErr w:type="spellEnd"/>
      <w:r w:rsidRPr="00A259BD">
        <w:rPr>
          <w:rFonts w:ascii="Times New Roman" w:hAnsi="Times New Roman"/>
          <w:color w:val="000000" w:themeColor="text1"/>
          <w:sz w:val="16"/>
          <w:szCs w:val="16"/>
        </w:rPr>
        <w:t xml:space="preserve"> в Токио дирижабль отправился на восток через Тихий океан в Лос-Анджелес, штат Калифорния. Это был первый в истории беспосадочный перелет через Тихий океан. Расстояние было 5986 миль (9634 км) и полёт занял 79 часов 54 минут (22387).</w:t>
      </w:r>
    </w:p>
    <w:p w14:paraId="13AE724B" w14:textId="77777777" w:rsidR="00D9002B" w:rsidRPr="00A259BD" w:rsidRDefault="00D9002B" w:rsidP="009236E3">
      <w:pPr>
        <w:spacing w:after="0" w:line="240" w:lineRule="auto"/>
        <w:jc w:val="both"/>
        <w:rPr>
          <w:rFonts w:ascii="Times New Roman" w:hAnsi="Times New Roman"/>
          <w:color w:val="000000" w:themeColor="text1"/>
          <w:sz w:val="16"/>
          <w:szCs w:val="16"/>
        </w:rPr>
      </w:pPr>
    </w:p>
    <w:p w14:paraId="37F71B3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DDC816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5CED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августа 1929 г. состоялось заседание макетной комиссии по са</w:t>
      </w:r>
      <w:r w:rsidRPr="00A259BD">
        <w:rPr>
          <w:rFonts w:ascii="Times New Roman" w:hAnsi="Times New Roman"/>
          <w:color w:val="000000" w:themeColor="text1"/>
          <w:sz w:val="16"/>
          <w:szCs w:val="16"/>
        </w:rPr>
        <w:softHyphen/>
        <w:t>молету И-7 на заводе № 25 (10667).</w:t>
      </w:r>
    </w:p>
    <w:p w14:paraId="1B0326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DD200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августа 1929 в НИИ ВВС закончились испытания самолет AVIA В.Н. 33 – истребитель одноместный биплан с мотором Юпитер серии VI, которые проходили с 11 декабря 1928.</w:t>
      </w:r>
    </w:p>
    <w:p w14:paraId="5821D06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AVIA В.Н. 33 № 1004 с мотором Юпитер VII № 6002 прибыл в НИИ 11 декабря 1928 года.</w:t>
      </w:r>
    </w:p>
    <w:p w14:paraId="2444096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25 января 1929 года произведено два полета летчиком фирмы и установлено, что мотор не дает необходимой мощности вследствие переохлаждения.</w:t>
      </w:r>
    </w:p>
    <w:p w14:paraId="6129B16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мая 1929 года не дождавшись измененных капотов, летчика фирмы НИИ приступил к испытаниям.</w:t>
      </w:r>
    </w:p>
    <w:p w14:paraId="17876EF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при испытании было произведено 18 полетов общей продолжительностью 11 часов 12 минут.</w:t>
      </w:r>
    </w:p>
    <w:p w14:paraId="41B9F76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июня 1929 года мотор при полете дал сбои в работе.</w:t>
      </w:r>
    </w:p>
    <w:p w14:paraId="165581F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июня 1929 года мотор был снят с самолета.</w:t>
      </w:r>
    </w:p>
    <w:p w14:paraId="696890A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августа 1929 года был получен второй экземпляр самолета АВИА-33 № 1005 с мотором ЮПИТЕР VII № 6004.</w:t>
      </w:r>
    </w:p>
    <w:p w14:paraId="6B81B33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20-21 августа 1929 года был опробован мотор, обнаружилась плохая его работа.</w:t>
      </w:r>
    </w:p>
    <w:p w14:paraId="69C5952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 был снят с самолета 27 августа 1929 года (6974).</w:t>
      </w:r>
    </w:p>
    <w:p w14:paraId="5BF703E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5DAA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августа 1929 </w:t>
      </w:r>
      <w:proofErr w:type="spellStart"/>
      <w:r w:rsidRPr="00A259BD">
        <w:rPr>
          <w:rFonts w:ascii="Times New Roman" w:hAnsi="Times New Roman"/>
          <w:color w:val="000000" w:themeColor="text1"/>
          <w:sz w:val="16"/>
          <w:szCs w:val="16"/>
        </w:rPr>
        <w:t>Вр</w:t>
      </w:r>
      <w:proofErr w:type="spellEnd"/>
      <w:r w:rsidRPr="00A259BD">
        <w:rPr>
          <w:rFonts w:ascii="Times New Roman" w:hAnsi="Times New Roman"/>
          <w:color w:val="000000" w:themeColor="text1"/>
          <w:sz w:val="16"/>
          <w:szCs w:val="16"/>
        </w:rPr>
        <w:t xml:space="preserve">. Председатель 3 Секции НТК УВВС </w:t>
      </w:r>
      <w:proofErr w:type="spellStart"/>
      <w:r w:rsidRPr="00A259BD">
        <w:rPr>
          <w:rFonts w:ascii="Times New Roman" w:hAnsi="Times New Roman"/>
          <w:color w:val="000000" w:themeColor="text1"/>
          <w:sz w:val="16"/>
          <w:szCs w:val="16"/>
        </w:rPr>
        <w:t>Надашкевич</w:t>
      </w:r>
      <w:proofErr w:type="spellEnd"/>
      <w:r w:rsidRPr="00A259BD">
        <w:rPr>
          <w:rFonts w:ascii="Times New Roman" w:hAnsi="Times New Roman"/>
          <w:color w:val="000000" w:themeColor="text1"/>
          <w:sz w:val="16"/>
          <w:szCs w:val="16"/>
        </w:rPr>
        <w:t xml:space="preserve"> и посторонний член </w:t>
      </w:r>
      <w:proofErr w:type="spellStart"/>
      <w:r w:rsidRPr="00A259BD">
        <w:rPr>
          <w:rFonts w:ascii="Times New Roman" w:hAnsi="Times New Roman"/>
          <w:color w:val="000000" w:themeColor="text1"/>
          <w:sz w:val="16"/>
          <w:szCs w:val="16"/>
        </w:rPr>
        <w:t>Богорадов</w:t>
      </w:r>
      <w:proofErr w:type="spellEnd"/>
      <w:r w:rsidRPr="00A259BD">
        <w:rPr>
          <w:rFonts w:ascii="Times New Roman" w:hAnsi="Times New Roman"/>
          <w:color w:val="000000" w:themeColor="text1"/>
          <w:sz w:val="16"/>
          <w:szCs w:val="16"/>
        </w:rPr>
        <w:t xml:space="preserve"> подготовили справку для пятилетнего плана:</w:t>
      </w:r>
    </w:p>
    <w:p w14:paraId="5A7069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Необходимость проектирования различных типов турелей вызывается с од</w:t>
      </w:r>
      <w:r w:rsidRPr="00A259BD">
        <w:rPr>
          <w:rFonts w:ascii="Times New Roman" w:hAnsi="Times New Roman"/>
          <w:color w:val="000000" w:themeColor="text1"/>
          <w:sz w:val="16"/>
          <w:szCs w:val="16"/>
        </w:rPr>
        <w:softHyphen/>
        <w:t xml:space="preserve">ной стороны </w:t>
      </w:r>
      <w:proofErr w:type="spellStart"/>
      <w:r w:rsidRPr="00A259BD">
        <w:rPr>
          <w:rFonts w:ascii="Times New Roman" w:hAnsi="Times New Roman"/>
          <w:color w:val="000000" w:themeColor="text1"/>
          <w:sz w:val="16"/>
          <w:szCs w:val="16"/>
        </w:rPr>
        <w:t>опециальным</w:t>
      </w:r>
      <w:proofErr w:type="spellEnd"/>
      <w:r w:rsidRPr="00A259BD">
        <w:rPr>
          <w:rFonts w:ascii="Times New Roman" w:hAnsi="Times New Roman"/>
          <w:color w:val="000000" w:themeColor="text1"/>
          <w:sz w:val="16"/>
          <w:szCs w:val="16"/>
        </w:rPr>
        <w:t xml:space="preserve"> назначением их, зависящим от места установки турели или от нагрузки на нее, а с другой стороны, необходимостью по</w:t>
      </w:r>
      <w:r w:rsidRPr="00A259BD">
        <w:rPr>
          <w:rFonts w:ascii="Times New Roman" w:hAnsi="Times New Roman"/>
          <w:color w:val="000000" w:themeColor="text1"/>
          <w:sz w:val="16"/>
          <w:szCs w:val="16"/>
        </w:rPr>
        <w:softHyphen/>
        <w:t>лучить механическую турель, вращающуюся посредством вспомогательной установки.</w:t>
      </w:r>
    </w:p>
    <w:p w14:paraId="2591FA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745. Турель Т7 уменьшенного диаметра с облегчающим механиз</w:t>
      </w:r>
      <w:r w:rsidRPr="00A259BD">
        <w:rPr>
          <w:rFonts w:ascii="Times New Roman" w:hAnsi="Times New Roman"/>
          <w:color w:val="000000" w:themeColor="text1"/>
          <w:sz w:val="16"/>
          <w:szCs w:val="16"/>
        </w:rPr>
        <w:softHyphen/>
        <w:t>мом предполагается к установке в прицепных кабинках, устанавливаемых на самолетах Д2. ИТБ2 и дающих возможность обстрела нижней полусферы,</w:t>
      </w:r>
    </w:p>
    <w:p w14:paraId="6C3811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746. Турель Т8 увеличенного диаметра (метровая) с облегчаю</w:t>
      </w:r>
      <w:r w:rsidRPr="00A259BD">
        <w:rPr>
          <w:rFonts w:ascii="Times New Roman" w:hAnsi="Times New Roman"/>
          <w:color w:val="000000" w:themeColor="text1"/>
          <w:sz w:val="16"/>
          <w:szCs w:val="16"/>
        </w:rPr>
        <w:softHyphen/>
        <w:t>щим механизмом предполагается к установке на самолете Р6,</w:t>
      </w:r>
    </w:p>
    <w:p w14:paraId="3E0164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п. 747. Турель Т9 системы </w:t>
      </w:r>
      <w:proofErr w:type="spellStart"/>
      <w:r w:rsidRPr="00A259BD">
        <w:rPr>
          <w:rFonts w:ascii="Times New Roman" w:hAnsi="Times New Roman"/>
          <w:color w:val="000000" w:themeColor="text1"/>
          <w:sz w:val="16"/>
          <w:szCs w:val="16"/>
        </w:rPr>
        <w:t>Виневидова</w:t>
      </w:r>
      <w:proofErr w:type="spellEnd"/>
      <w:r w:rsidRPr="00A259BD">
        <w:rPr>
          <w:rFonts w:ascii="Times New Roman" w:hAnsi="Times New Roman"/>
          <w:color w:val="000000" w:themeColor="text1"/>
          <w:sz w:val="16"/>
          <w:szCs w:val="16"/>
        </w:rPr>
        <w:t xml:space="preserve"> и Гаврилова с новым вариан</w:t>
      </w:r>
      <w:r w:rsidRPr="00A259BD">
        <w:rPr>
          <w:rFonts w:ascii="Times New Roman" w:hAnsi="Times New Roman"/>
          <w:color w:val="000000" w:themeColor="text1"/>
          <w:sz w:val="16"/>
          <w:szCs w:val="16"/>
        </w:rPr>
        <w:softHyphen/>
        <w:t xml:space="preserve">том </w:t>
      </w:r>
      <w:proofErr w:type="spellStart"/>
      <w:r w:rsidRPr="00A259BD">
        <w:rPr>
          <w:rFonts w:ascii="Times New Roman" w:hAnsi="Times New Roman"/>
          <w:color w:val="000000" w:themeColor="text1"/>
          <w:sz w:val="16"/>
          <w:szCs w:val="16"/>
        </w:rPr>
        <w:t>облегчающе</w:t>
      </w:r>
      <w:proofErr w:type="spellEnd"/>
      <w:r w:rsidRPr="00A259BD">
        <w:rPr>
          <w:rFonts w:ascii="Times New Roman" w:hAnsi="Times New Roman"/>
          <w:color w:val="000000" w:themeColor="text1"/>
          <w:sz w:val="16"/>
          <w:szCs w:val="16"/>
        </w:rPr>
        <w:t xml:space="preserve"> го механизма является опытной работой. Проектирование этой турели уже закончено и в настоящее время турель заканчивается из</w:t>
      </w:r>
      <w:r w:rsidRPr="00A259BD">
        <w:rPr>
          <w:rFonts w:ascii="Times New Roman" w:hAnsi="Times New Roman"/>
          <w:color w:val="000000" w:themeColor="text1"/>
          <w:sz w:val="16"/>
          <w:szCs w:val="16"/>
        </w:rPr>
        <w:softHyphen/>
        <w:t>готовлением.</w:t>
      </w:r>
    </w:p>
    <w:p w14:paraId="567798A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п. 748 и 749. Неподвижная турель Т10 о </w:t>
      </w:r>
      <w:proofErr w:type="spellStart"/>
      <w:r w:rsidRPr="00A259BD">
        <w:rPr>
          <w:rFonts w:ascii="Times New Roman" w:hAnsi="Times New Roman"/>
          <w:color w:val="000000" w:themeColor="text1"/>
          <w:sz w:val="16"/>
          <w:szCs w:val="16"/>
        </w:rPr>
        <w:t>облегчающе</w:t>
      </w:r>
      <w:proofErr w:type="spellEnd"/>
      <w:r w:rsidRPr="00A259BD">
        <w:rPr>
          <w:rFonts w:ascii="Times New Roman" w:hAnsi="Times New Roman"/>
          <w:color w:val="000000" w:themeColor="text1"/>
          <w:sz w:val="16"/>
          <w:szCs w:val="16"/>
        </w:rPr>
        <w:t xml:space="preserve"> меха </w:t>
      </w:r>
      <w:proofErr w:type="spellStart"/>
      <w:r w:rsidRPr="00A259BD">
        <w:rPr>
          <w:rFonts w:ascii="Times New Roman" w:hAnsi="Times New Roman"/>
          <w:color w:val="000000" w:themeColor="text1"/>
          <w:sz w:val="16"/>
          <w:szCs w:val="16"/>
        </w:rPr>
        <w:t>нил</w:t>
      </w:r>
      <w:proofErr w:type="spellEnd"/>
      <w:r w:rsidRPr="00A259BD">
        <w:rPr>
          <w:rFonts w:ascii="Times New Roman" w:hAnsi="Times New Roman"/>
          <w:color w:val="000000" w:themeColor="text1"/>
          <w:sz w:val="16"/>
          <w:szCs w:val="16"/>
        </w:rPr>
        <w:t xml:space="preserve"> ном предполагается для установки на нее пулеметов калибром 7,62 мм. и круп но-</w:t>
      </w:r>
      <w:proofErr w:type="spellStart"/>
      <w:r w:rsidRPr="00A259BD">
        <w:rPr>
          <w:rFonts w:ascii="Times New Roman" w:hAnsi="Times New Roman"/>
          <w:color w:val="000000" w:themeColor="text1"/>
          <w:sz w:val="16"/>
          <w:szCs w:val="16"/>
        </w:rPr>
        <w:t>калиберных</w:t>
      </w:r>
      <w:proofErr w:type="spellEnd"/>
      <w:r w:rsidRPr="00A259BD">
        <w:rPr>
          <w:rFonts w:ascii="Times New Roman" w:hAnsi="Times New Roman"/>
          <w:color w:val="000000" w:themeColor="text1"/>
          <w:sz w:val="16"/>
          <w:szCs w:val="16"/>
        </w:rPr>
        <w:t>, что даст возможность иметь одну турель для двух типов пулеметов.</w:t>
      </w:r>
    </w:p>
    <w:p w14:paraId="4528D2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750. Турель Т11 устанавливается на скоростных самолетах для возможности обстрела задней полусферы.</w:t>
      </w:r>
    </w:p>
    <w:p w14:paraId="4A2DE3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751. Турель Т12 с облегчающим механизмом предназначается для установки безоткатной пушки.</w:t>
      </w:r>
    </w:p>
    <w:p w14:paraId="5D747B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752 Турель Т10П того же типа, что и Т10, но только перекаты</w:t>
      </w:r>
      <w:r w:rsidRPr="00A259BD">
        <w:rPr>
          <w:rFonts w:ascii="Times New Roman" w:hAnsi="Times New Roman"/>
          <w:color w:val="000000" w:themeColor="text1"/>
          <w:sz w:val="16"/>
          <w:szCs w:val="16"/>
        </w:rPr>
        <w:softHyphen/>
        <w:t>вающаяся с борта на борт.</w:t>
      </w:r>
    </w:p>
    <w:p w14:paraId="58A06E6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753 и. 754. Турель Т13 механическая, вращающаяся посредством вспомогательной установки.</w:t>
      </w:r>
    </w:p>
    <w:p w14:paraId="1DB8E5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Эта турель отличается от находящихся на вооружении турелей тем, что она значительно облегчает работу летнаба, посредством особого до</w:t>
      </w:r>
      <w:r w:rsidRPr="00A259BD">
        <w:rPr>
          <w:rFonts w:ascii="Times New Roman" w:hAnsi="Times New Roman"/>
          <w:color w:val="000000" w:themeColor="text1"/>
          <w:sz w:val="16"/>
          <w:szCs w:val="16"/>
        </w:rPr>
        <w:softHyphen/>
        <w:t>полнительного механизма; в существующих же турелях летнабу приходится затрачивать довольно большое количество энергии на проворачивание ту</w:t>
      </w:r>
      <w:r w:rsidRPr="00A259BD">
        <w:rPr>
          <w:rFonts w:ascii="Times New Roman" w:hAnsi="Times New Roman"/>
          <w:color w:val="000000" w:themeColor="text1"/>
          <w:sz w:val="16"/>
          <w:szCs w:val="16"/>
        </w:rPr>
        <w:softHyphen/>
        <w:t>рели и другие движения.</w:t>
      </w:r>
    </w:p>
    <w:p w14:paraId="594A19A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w:t>
      </w:r>
      <w:proofErr w:type="spellStart"/>
      <w:r w:rsidRPr="00A259BD">
        <w:rPr>
          <w:rFonts w:ascii="Times New Roman" w:hAnsi="Times New Roman"/>
          <w:color w:val="000000" w:themeColor="text1"/>
          <w:sz w:val="16"/>
          <w:szCs w:val="16"/>
        </w:rPr>
        <w:t>п.п</w:t>
      </w:r>
      <w:proofErr w:type="spellEnd"/>
      <w:r w:rsidRPr="00A259BD">
        <w:rPr>
          <w:rFonts w:ascii="Times New Roman" w:hAnsi="Times New Roman"/>
          <w:color w:val="000000" w:themeColor="text1"/>
          <w:sz w:val="16"/>
          <w:szCs w:val="16"/>
        </w:rPr>
        <w:t>. 755 и 756. Турель Т13П того же типа, что и Т13, но перекатывающаяся с борта на борт.</w:t>
      </w:r>
    </w:p>
    <w:p w14:paraId="0AC7CD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w:t>
      </w:r>
      <w:proofErr w:type="spellStart"/>
      <w:r w:rsidRPr="00A259BD">
        <w:rPr>
          <w:rFonts w:ascii="Times New Roman" w:hAnsi="Times New Roman"/>
          <w:color w:val="000000" w:themeColor="text1"/>
          <w:sz w:val="16"/>
          <w:szCs w:val="16"/>
        </w:rPr>
        <w:t>п.п</w:t>
      </w:r>
      <w:proofErr w:type="spellEnd"/>
      <w:r w:rsidRPr="00A259BD">
        <w:rPr>
          <w:rFonts w:ascii="Times New Roman" w:hAnsi="Times New Roman"/>
          <w:color w:val="000000" w:themeColor="text1"/>
          <w:sz w:val="16"/>
          <w:szCs w:val="16"/>
        </w:rPr>
        <w:t>. 757 и 758. Трели Т14 и Т15 того же типа, что и Т13, только первая предназначается для установки безоткатной пушки, а вторая для установки автоматической пушки калибром 25-35 мм.</w:t>
      </w:r>
    </w:p>
    <w:p w14:paraId="2E1339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Разработка и постройка образцов производится из кредитов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В указанную в плане стоимость разработки и постройки образцов включены и суммы, необходимый для монтировки образцов на самолете при испытании в воздухе и суммы, необходимые для сбора </w:t>
      </w:r>
      <w:proofErr w:type="spellStart"/>
      <w:r w:rsidRPr="00A259BD">
        <w:rPr>
          <w:rFonts w:ascii="Times New Roman" w:hAnsi="Times New Roman"/>
          <w:color w:val="000000" w:themeColor="text1"/>
          <w:sz w:val="16"/>
          <w:szCs w:val="16"/>
        </w:rPr>
        <w:t>материалаю</w:t>
      </w:r>
      <w:proofErr w:type="spellEnd"/>
    </w:p>
    <w:p w14:paraId="329E516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Турели проектируются в 2-х образцах. Изготовление второго образца идет уступам в один месяц по отношению к первому (351).</w:t>
      </w:r>
    </w:p>
    <w:p w14:paraId="7EA4EE7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5E6C6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7972A02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781E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августа 1929 был введен трехсменные режим работы и пятидневная неделя (пятидневка + один выходной) (3908,329).</w:t>
      </w:r>
    </w:p>
    <w:p w14:paraId="442FCA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8B2346" w14:textId="77777777" w:rsidR="005A255E" w:rsidRPr="00A259BD" w:rsidRDefault="005A255E" w:rsidP="009236E3">
      <w:pPr>
        <w:spacing w:after="0" w:line="240" w:lineRule="auto"/>
        <w:jc w:val="both"/>
        <w:rPr>
          <w:rFonts w:ascii="Times New Roman" w:eastAsiaTheme="minorHAnsi" w:hAnsi="Times New Roman"/>
          <w:color w:val="000000" w:themeColor="text1"/>
          <w:sz w:val="16"/>
          <w:szCs w:val="16"/>
        </w:rPr>
      </w:pPr>
      <w:r w:rsidRPr="00A259BD">
        <w:rPr>
          <w:rFonts w:ascii="Times New Roman" w:hAnsi="Times New Roman"/>
          <w:color w:val="000000" w:themeColor="text1"/>
          <w:sz w:val="16"/>
          <w:szCs w:val="16"/>
        </w:rPr>
        <w:t>27 августа 1929 года в СССР введение трехсменного графика работы и пятидневной недели: была ликвидирована семидневная неделя, вместо нее введена пятидневка - 5 рабочих дней, один выходной</w:t>
      </w:r>
      <w:r w:rsidRPr="00A259BD">
        <w:rPr>
          <w:rStyle w:val="ucoz-forum-post"/>
          <w:rFonts w:ascii="Times New Roman" w:eastAsiaTheme="majorEastAsia" w:hAnsi="Times New Roman"/>
          <w:color w:val="000000" w:themeColor="text1"/>
          <w:sz w:val="16"/>
          <w:szCs w:val="16"/>
        </w:rPr>
        <w:t xml:space="preserve"> (14751)</w:t>
      </w:r>
      <w:r w:rsidRPr="00A259BD">
        <w:rPr>
          <w:rFonts w:ascii="Times New Roman" w:hAnsi="Times New Roman"/>
          <w:color w:val="000000" w:themeColor="text1"/>
          <w:sz w:val="16"/>
          <w:szCs w:val="16"/>
        </w:rPr>
        <w:t>.</w:t>
      </w:r>
    </w:p>
    <w:p w14:paraId="0CD52CB1" w14:textId="77777777" w:rsidR="005A255E" w:rsidRPr="00A259BD" w:rsidRDefault="005A255E" w:rsidP="009236E3">
      <w:pPr>
        <w:spacing w:after="0" w:line="240" w:lineRule="auto"/>
        <w:jc w:val="both"/>
        <w:rPr>
          <w:rFonts w:ascii="Times New Roman" w:hAnsi="Times New Roman"/>
          <w:color w:val="000000" w:themeColor="text1"/>
          <w:sz w:val="16"/>
          <w:szCs w:val="16"/>
        </w:rPr>
      </w:pPr>
    </w:p>
    <w:p w14:paraId="69204A4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6CF818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1A907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28-29 августа 1929 года состоялось совещание по переделкам самолета Р-5 и объяснение завода о ненормальностях в передних узлах крепления нижних крыльев самолета Р5 (1-2 экз.) (6999, 15).</w:t>
      </w:r>
    </w:p>
    <w:p w14:paraId="3C8498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C9CA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28-29 августа 1929 в ходе госиспытаний Р-5 на повторных стрельбах все прошло удовлетворительно и доработанная установка пулемета П В-1 работала нормально (12034).</w:t>
      </w:r>
    </w:p>
    <w:p w14:paraId="69617E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42A30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037414A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4973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августа 1929 в разведс</w:t>
      </w:r>
      <w:r w:rsidRPr="00A259BD">
        <w:rPr>
          <w:rFonts w:ascii="Times New Roman" w:hAnsi="Times New Roman"/>
          <w:color w:val="000000" w:themeColor="text1"/>
          <w:sz w:val="16"/>
          <w:szCs w:val="16"/>
        </w:rPr>
        <w:softHyphen/>
        <w:t>водке отметили, что в тот день в райо</w:t>
      </w:r>
      <w:r w:rsidRPr="00A259BD">
        <w:rPr>
          <w:rFonts w:ascii="Times New Roman" w:hAnsi="Times New Roman"/>
          <w:color w:val="000000" w:themeColor="text1"/>
          <w:sz w:val="16"/>
          <w:szCs w:val="16"/>
        </w:rPr>
        <w:softHyphen/>
        <w:t xml:space="preserve">не </w:t>
      </w:r>
      <w:proofErr w:type="spellStart"/>
      <w:r w:rsidRPr="00A259BD">
        <w:rPr>
          <w:rFonts w:ascii="Times New Roman" w:hAnsi="Times New Roman"/>
          <w:color w:val="000000" w:themeColor="text1"/>
          <w:sz w:val="16"/>
          <w:szCs w:val="16"/>
        </w:rPr>
        <w:t>Чжалайнор</w:t>
      </w:r>
      <w:proofErr w:type="spellEnd"/>
      <w:r w:rsidRPr="00A259BD">
        <w:rPr>
          <w:rFonts w:ascii="Times New Roman" w:hAnsi="Times New Roman"/>
          <w:color w:val="000000" w:themeColor="text1"/>
          <w:sz w:val="16"/>
          <w:szCs w:val="16"/>
        </w:rPr>
        <w:t xml:space="preserve"> разбился один из трех имевшихся там китайских самолетов. 31 августа разведчики сообщили, что из </w:t>
      </w:r>
      <w:proofErr w:type="spellStart"/>
      <w:r w:rsidRPr="00A259BD">
        <w:rPr>
          <w:rFonts w:ascii="Times New Roman" w:hAnsi="Times New Roman"/>
          <w:color w:val="000000" w:themeColor="text1"/>
          <w:sz w:val="16"/>
          <w:szCs w:val="16"/>
        </w:rPr>
        <w:t>Мукдена</w:t>
      </w:r>
      <w:proofErr w:type="spellEnd"/>
      <w:r w:rsidRPr="00A259BD">
        <w:rPr>
          <w:rFonts w:ascii="Times New Roman" w:hAnsi="Times New Roman"/>
          <w:color w:val="000000" w:themeColor="text1"/>
          <w:sz w:val="16"/>
          <w:szCs w:val="16"/>
        </w:rPr>
        <w:t xml:space="preserve"> в направлении ст. Маньч</w:t>
      </w:r>
      <w:r w:rsidRPr="00A259BD">
        <w:rPr>
          <w:rFonts w:ascii="Times New Roman" w:hAnsi="Times New Roman"/>
          <w:color w:val="000000" w:themeColor="text1"/>
          <w:sz w:val="16"/>
          <w:szCs w:val="16"/>
        </w:rPr>
        <w:softHyphen/>
        <w:t>журия отправлен авиаотряд из 20 са</w:t>
      </w:r>
      <w:r w:rsidRPr="00A259BD">
        <w:rPr>
          <w:rFonts w:ascii="Times New Roman" w:hAnsi="Times New Roman"/>
          <w:color w:val="000000" w:themeColor="text1"/>
          <w:sz w:val="16"/>
          <w:szCs w:val="16"/>
        </w:rPr>
        <w:softHyphen/>
        <w:t>молетов. Далее каких-либо упомина</w:t>
      </w:r>
      <w:r w:rsidRPr="00A259BD">
        <w:rPr>
          <w:rFonts w:ascii="Times New Roman" w:hAnsi="Times New Roman"/>
          <w:color w:val="000000" w:themeColor="text1"/>
          <w:sz w:val="16"/>
          <w:szCs w:val="16"/>
        </w:rPr>
        <w:softHyphen/>
        <w:t>ний о китайской авиации в советских донесениях не было до 5 октября, в тот день через Харбин на западную линию КВЖД проследовали два авиаотряда в составе: до 175 солдат, трех грузовых автомобилей, двух брезентовых анга</w:t>
      </w:r>
      <w:r w:rsidRPr="00A259BD">
        <w:rPr>
          <w:rFonts w:ascii="Times New Roman" w:hAnsi="Times New Roman"/>
          <w:color w:val="000000" w:themeColor="text1"/>
          <w:sz w:val="16"/>
          <w:szCs w:val="16"/>
        </w:rPr>
        <w:softHyphen/>
        <w:t>ров и двух зенитных орудий (тип и ко</w:t>
      </w:r>
      <w:r w:rsidRPr="00A259BD">
        <w:rPr>
          <w:rFonts w:ascii="Times New Roman" w:hAnsi="Times New Roman"/>
          <w:color w:val="000000" w:themeColor="text1"/>
          <w:sz w:val="16"/>
          <w:szCs w:val="16"/>
        </w:rPr>
        <w:softHyphen/>
        <w:t>личество самолетов разведчики не смогли установить) (11216).</w:t>
      </w:r>
    </w:p>
    <w:p w14:paraId="77D4991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028224"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547771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1B1A4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28 августа 1929 в Кливленде прошла публичная демонстрация </w:t>
      </w:r>
      <w:proofErr w:type="spellStart"/>
      <w:r w:rsidRPr="00A259BD">
        <w:rPr>
          <w:rFonts w:ascii="Times New Roman" w:hAnsi="Times New Roman"/>
          <w:color w:val="000000" w:themeColor="text1"/>
          <w:sz w:val="16"/>
          <w:szCs w:val="16"/>
        </w:rPr>
        <w:t>стыковски</w:t>
      </w:r>
      <w:proofErr w:type="spellEnd"/>
      <w:r w:rsidRPr="00A259BD">
        <w:rPr>
          <w:rFonts w:ascii="Times New Roman" w:hAnsi="Times New Roman"/>
          <w:color w:val="000000" w:themeColor="text1"/>
          <w:sz w:val="16"/>
          <w:szCs w:val="16"/>
        </w:rPr>
        <w:t xml:space="preserve"> самолета с дирижаблем. </w:t>
      </w:r>
      <w:proofErr w:type="spellStart"/>
      <w:r w:rsidRPr="00A259BD">
        <w:rPr>
          <w:rFonts w:ascii="Times New Roman" w:hAnsi="Times New Roman"/>
          <w:color w:val="000000" w:themeColor="text1"/>
          <w:sz w:val="16"/>
          <w:szCs w:val="16"/>
        </w:rPr>
        <w:t>Гортон</w:t>
      </w:r>
      <w:proofErr w:type="spellEnd"/>
      <w:r w:rsidRPr="00A259BD">
        <w:rPr>
          <w:rFonts w:ascii="Times New Roman" w:hAnsi="Times New Roman"/>
          <w:color w:val="000000" w:themeColor="text1"/>
          <w:sz w:val="16"/>
          <w:szCs w:val="16"/>
        </w:rPr>
        <w:t xml:space="preserve"> успешно произвел стыковку UO-1 с перекладиной, и самолет был подтянут к оболочке дирижабля. Затем </w:t>
      </w:r>
      <w:proofErr w:type="spellStart"/>
      <w:r w:rsidRPr="00A259BD">
        <w:rPr>
          <w:rFonts w:ascii="Times New Roman" w:hAnsi="Times New Roman"/>
          <w:color w:val="000000" w:themeColor="text1"/>
          <w:sz w:val="16"/>
          <w:szCs w:val="16"/>
        </w:rPr>
        <w:t>Гортон</w:t>
      </w:r>
      <w:proofErr w:type="spellEnd"/>
      <w:r w:rsidRPr="00A259BD">
        <w:rPr>
          <w:rFonts w:ascii="Times New Roman" w:hAnsi="Times New Roman"/>
          <w:color w:val="000000" w:themeColor="text1"/>
          <w:sz w:val="16"/>
          <w:szCs w:val="16"/>
        </w:rPr>
        <w:t xml:space="preserve"> покинул самолет, а его место в кабине занял С. </w:t>
      </w:r>
      <w:proofErr w:type="spellStart"/>
      <w:r w:rsidRPr="00A259BD">
        <w:rPr>
          <w:rFonts w:ascii="Times New Roman" w:hAnsi="Times New Roman"/>
          <w:color w:val="000000" w:themeColor="text1"/>
          <w:sz w:val="16"/>
          <w:szCs w:val="16"/>
        </w:rPr>
        <w:t>Болстер</w:t>
      </w:r>
      <w:proofErr w:type="spellEnd"/>
      <w:r w:rsidRPr="00A259BD">
        <w:rPr>
          <w:rFonts w:ascii="Times New Roman" w:hAnsi="Times New Roman"/>
          <w:color w:val="000000" w:themeColor="text1"/>
          <w:sz w:val="16"/>
          <w:szCs w:val="16"/>
        </w:rPr>
        <w:t xml:space="preserve">, который отстыковался от трапеции и благополучно приземлился. В мае 1930 года стыковку продемонстрировали перед президентом Гувером во время показа кораблей. Летчик Николсон на UO-1 взлетел с палубы авианосца “Саратога” и произвел стыковку с дирижаблем “Лос-Анджелес”. </w:t>
      </w:r>
    </w:p>
    <w:p w14:paraId="56F30F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Проект применения авиационной техники с борта дирижаблей обсуждался довольно долго и подробно, но не выходил за рамки экспериментов. Кроме того, так и не были выбраны самолеты для будущей службы на дирижаблях ZRS-4 и ZRS-5. </w:t>
      </w:r>
    </w:p>
    <w:p w14:paraId="4593AB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Было решено, что в нижней части оболочки дирижабля за гондолой управления будет построен ангар длинной 22 м. Система потолочных [435] рельсовых кран-балок могла принять 5 самолетов, находившихся в подвешенном состоянии. Любой самолет с помощью кран-балок мог быть подведен к жесткой причальной ферме и закреплен на перекладине, которая затем выдвигалась через специальный люк наружу. Двигатель запускался, летчик отцеплял самолет и уходил в полет. Подъем самолета на дирижабль осуществлялся в обратном порядке. </w:t>
      </w:r>
    </w:p>
    <w:p w14:paraId="4D2062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Ворота ангара имели Т-образную форму, чтобы сквозь них мог пройти самолет с размахом крыла 9,2 м, стабилизаторов — 3 м и общей длиной 7,3 м. Это были максимальные размеры отверстия, которые не приводили к нарушению прочности конструкции дирижабля. Этими параметрами и были ограничены типы самолетов, которые могли быть использованы в качестве основного палубного разведчика или перехватчика. Для разработки специального самолета отсутствовали финансовые средства, поэтому необходимо было выбирать из уже имеющихся одноместных самолетов. </w:t>
      </w:r>
    </w:p>
    <w:p w14:paraId="6E7734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Этот палубный самолет должен был быть очень легким, маневренным, при этом достаточно устойчивым, с большой дальностью полета и скоростью; летчик должен [436] был иметь хороший обзор во все стороны и, прежде всего, вверх для уверенного маневра стыковки с дирижаблем и вниз для наблюдения. Из самолетов, имевшихся под рукой в 1930-1931 годах, ни один не соответствовал этим требованиям на все сто процентов. Это были обычные палубные бипланы: “</w:t>
      </w:r>
      <w:proofErr w:type="spellStart"/>
      <w:r w:rsidRPr="00A259BD">
        <w:rPr>
          <w:rFonts w:ascii="Times New Roman" w:hAnsi="Times New Roman"/>
          <w:color w:val="000000" w:themeColor="text1"/>
          <w:sz w:val="16"/>
          <w:szCs w:val="16"/>
        </w:rPr>
        <w:t>Кертисс</w:t>
      </w:r>
      <w:proofErr w:type="spellEnd"/>
      <w:r w:rsidRPr="00A259BD">
        <w:rPr>
          <w:rFonts w:ascii="Times New Roman" w:hAnsi="Times New Roman"/>
          <w:color w:val="000000" w:themeColor="text1"/>
          <w:sz w:val="16"/>
          <w:szCs w:val="16"/>
        </w:rPr>
        <w:t>” XF9C-1, “Берлинер-Джойс” XFJ-1 и “Фоккер” XFA-1. После тщательного анализа предпочтение было отдано “</w:t>
      </w:r>
      <w:proofErr w:type="spellStart"/>
      <w:r w:rsidRPr="00A259BD">
        <w:rPr>
          <w:rFonts w:ascii="Times New Roman" w:hAnsi="Times New Roman"/>
          <w:color w:val="000000" w:themeColor="text1"/>
          <w:sz w:val="16"/>
          <w:szCs w:val="16"/>
        </w:rPr>
        <w:t>Кертиссу</w:t>
      </w:r>
      <w:proofErr w:type="spellEnd"/>
      <w:r w:rsidRPr="00A259BD">
        <w:rPr>
          <w:rFonts w:ascii="Times New Roman" w:hAnsi="Times New Roman"/>
          <w:color w:val="000000" w:themeColor="text1"/>
          <w:sz w:val="16"/>
          <w:szCs w:val="16"/>
        </w:rPr>
        <w:t>” как наиболее близкому к необходимым требованиям. Флот заказал 6 серийных самолетов, модернизированных для таких специальных целей. XF9C-1 оснащался мотором “Райт-Циклон” R-975-C мощностью 421 л. с., двумя пулеметами и развивал скорость 283 км/ч (11324).</w:t>
      </w:r>
    </w:p>
    <w:p w14:paraId="6E31C3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25679C" w14:textId="77777777" w:rsidR="005A255E" w:rsidRPr="00A259BD" w:rsidRDefault="005A25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lastRenderedPageBreak/>
        <w:t xml:space="preserve">28 августа </w:t>
      </w:r>
      <w:r w:rsidRPr="00A259BD">
        <w:rPr>
          <w:rFonts w:ascii="Times New Roman" w:hAnsi="Times New Roman"/>
          <w:color w:val="000000" w:themeColor="text1"/>
          <w:sz w:val="16"/>
          <w:szCs w:val="16"/>
        </w:rPr>
        <w:t>в 1929 году завершился первый кругосветный перелёт (с тремя остановками в пути) на дирижабле «</w:t>
      </w:r>
      <w:proofErr w:type="spellStart"/>
      <w:r w:rsidRPr="00A259BD">
        <w:rPr>
          <w:rFonts w:ascii="Times New Roman" w:hAnsi="Times New Roman"/>
          <w:color w:val="000000" w:themeColor="text1"/>
          <w:sz w:val="16"/>
          <w:szCs w:val="16"/>
        </w:rPr>
        <w:t>Graf</w:t>
      </w:r>
      <w:proofErr w:type="spellEnd"/>
      <w:r w:rsidRPr="00A259BD">
        <w:rPr>
          <w:rFonts w:ascii="Times New Roman" w:hAnsi="Times New Roman"/>
          <w:color w:val="000000" w:themeColor="text1"/>
          <w:sz w:val="16"/>
          <w:szCs w:val="16"/>
        </w:rPr>
        <w:t xml:space="preserve"> Zeppelin» под руководством </w:t>
      </w:r>
      <w:proofErr w:type="spellStart"/>
      <w:r w:rsidRPr="00A259BD">
        <w:rPr>
          <w:rFonts w:ascii="Times New Roman" w:hAnsi="Times New Roman"/>
          <w:color w:val="000000" w:themeColor="text1"/>
          <w:sz w:val="16"/>
          <w:szCs w:val="16"/>
        </w:rPr>
        <w:t>X.Эккенера</w:t>
      </w:r>
      <w:proofErr w:type="spellEnd"/>
      <w:r w:rsidRPr="00A259BD">
        <w:rPr>
          <w:rFonts w:ascii="Times New Roman" w:hAnsi="Times New Roman"/>
          <w:color w:val="000000" w:themeColor="text1"/>
          <w:sz w:val="16"/>
          <w:szCs w:val="16"/>
        </w:rPr>
        <w:t xml:space="preserve"> (14752).</w:t>
      </w:r>
    </w:p>
    <w:p w14:paraId="64046D03" w14:textId="77777777" w:rsidR="005A255E" w:rsidRPr="00A259BD" w:rsidRDefault="005A255E" w:rsidP="009236E3">
      <w:pPr>
        <w:spacing w:after="0" w:line="240" w:lineRule="auto"/>
        <w:jc w:val="both"/>
        <w:rPr>
          <w:rFonts w:ascii="Times New Roman" w:hAnsi="Times New Roman"/>
          <w:color w:val="000000" w:themeColor="text1"/>
          <w:sz w:val="16"/>
          <w:szCs w:val="16"/>
        </w:rPr>
      </w:pPr>
    </w:p>
    <w:p w14:paraId="18D705C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C05562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C796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августа 1929 завершились летные испытания второго Р-5, которые возобновились 29 июля. Полеты оставили вполне положительное впечатление у летчиков В.О. Писаренко и B.C. </w:t>
      </w:r>
      <w:proofErr w:type="spellStart"/>
      <w:r w:rsidRPr="00A259BD">
        <w:rPr>
          <w:rFonts w:ascii="Times New Roman" w:hAnsi="Times New Roman"/>
          <w:color w:val="000000" w:themeColor="text1"/>
          <w:sz w:val="16"/>
          <w:szCs w:val="16"/>
        </w:rPr>
        <w:t>Волковойнова</w:t>
      </w:r>
      <w:proofErr w:type="spellEnd"/>
      <w:r w:rsidRPr="00A259BD">
        <w:rPr>
          <w:rFonts w:ascii="Times New Roman" w:hAnsi="Times New Roman"/>
          <w:color w:val="000000" w:themeColor="text1"/>
          <w:sz w:val="16"/>
          <w:szCs w:val="16"/>
        </w:rPr>
        <w:t xml:space="preserve">, которые дали очень благоприятное заключение. Несмотря на некоторое увеличение веса, переделка </w:t>
      </w:r>
      <w:proofErr w:type="spellStart"/>
      <w:r w:rsidRPr="00A259BD">
        <w:rPr>
          <w:rFonts w:ascii="Times New Roman" w:hAnsi="Times New Roman"/>
          <w:color w:val="000000" w:themeColor="text1"/>
          <w:sz w:val="16"/>
          <w:szCs w:val="16"/>
        </w:rPr>
        <w:t>мотоустановки</w:t>
      </w:r>
      <w:proofErr w:type="spellEnd"/>
      <w:r w:rsidRPr="00A259BD">
        <w:rPr>
          <w:rFonts w:ascii="Times New Roman" w:hAnsi="Times New Roman"/>
          <w:color w:val="000000" w:themeColor="text1"/>
          <w:sz w:val="16"/>
          <w:szCs w:val="16"/>
        </w:rPr>
        <w:t xml:space="preserve"> принесла свои результаты. В отчете записали: "...летные качества значительно повысились и полностью удовлетворяют предъявленным техническим требованиям". Правда, пробег остался слишком большим.</w:t>
      </w:r>
    </w:p>
    <w:p w14:paraId="5ADCCF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самолет испытывали в двух вариантах: как разведчик и как легкий бомбардировщик, причем бомбовая нагрузка доходила до 800 кг - намного больше, чем предусматривалось заданием (250-300 кг). Под фюзеляжем поставили балки для бомб калибром до 250 кг, скопированные с французского образца (потом их приняли на вооружение под обозначением Дер-13). Значительное увеличение нагрузки не прошло бесследно, появились деформации нижнего крыла. Поэтому предложили усилить передний лонжерон и поставить бобышки в местах установки бомбодержателей.</w:t>
      </w:r>
    </w:p>
    <w:p w14:paraId="640E53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образец унаследовал часть дефектов первого. Испытатели отметили склонность к капотированию, запаздывание с выходом из штопора, потерю устойчивости на пикировании, разбалтывание панелей капота, течь радиатора. Изношенную пятку костыля пришлось дважды менять.</w:t>
      </w:r>
    </w:p>
    <w:p w14:paraId="14B2AD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Испытания завершились перелетом Москва-Севастополь-Москва. Для этого машину оснастили дополнительным баком на 161 кг бензина. Экипаж состоял из Писаренко и заместителя начальника УВВС Я.И. Алксниса. Не следует переоценивать роль последнего: тогда Алкснис был лишь поспешно обученным любителем. Так что основную работу делал, конечно, Писаренко. Между Тарусой и Алексином пришлось сделать вынужденную посадку - потек радиатор. Долив три ведра воды из речки, полетели дальше. Перелет завершился благополучно. </w:t>
      </w:r>
    </w:p>
    <w:p w14:paraId="25B9DE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Эталонами для серии должны были стать третий и четвертый Р-5 (11936).</w:t>
      </w:r>
    </w:p>
    <w:p w14:paraId="668B90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29AF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августа 1929 закончились государственные летные испытания Р-5, которые были продолжены 29 июля 1929 после ремонта. Полеты оставили вполне положительное впечатление. Проводившие испытания летчики В.О. Писаренко и B.C. Волковой нов дал и очень благоприятное заключение. Несмотря на некоторое увеличение веса, переделка </w:t>
      </w:r>
      <w:proofErr w:type="spellStart"/>
      <w:r w:rsidRPr="00A259BD">
        <w:rPr>
          <w:rFonts w:ascii="Times New Roman" w:hAnsi="Times New Roman"/>
          <w:color w:val="000000" w:themeColor="text1"/>
          <w:sz w:val="16"/>
          <w:szCs w:val="16"/>
        </w:rPr>
        <w:t>мотоустановки</w:t>
      </w:r>
      <w:proofErr w:type="spellEnd"/>
      <w:r w:rsidRPr="00A259BD">
        <w:rPr>
          <w:rFonts w:ascii="Times New Roman" w:hAnsi="Times New Roman"/>
          <w:color w:val="000000" w:themeColor="text1"/>
          <w:sz w:val="16"/>
          <w:szCs w:val="16"/>
        </w:rPr>
        <w:t xml:space="preserve"> принесла свои результаты. В отчете записали: "..летные качества значительно повысились и полностью удовлетворяют предъявленным техническим требованиям". Единственный пункт, который выдержать не удалось, - пробег на посадке, который оставался слишком велик.</w:t>
      </w:r>
    </w:p>
    <w:p w14:paraId="41325F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Второй самолет испытывали с двумя вариантами загрузки: как разведчик и как легкий бомбардировщик, причем бомбовая нагрузка доходила до 800 кг - значительно больше, чем предусматривалось техническим заданием. Последнее требовало нагрузку из восьми бомб по 32 кг (в сумме 256 кг) или четырех по 75 кг (300 кг). Для этого под фюзеляжем поставили балки для бомб калибром до 250 кг, скопированные с французского образца (потом их приняли на вооружение как Дер-13). Однако столь значительное увеличение нагрузки не прошло бесследно. Выявились нежелательные деформации нижнего крыла. Поэтому предложили впоследствии усилить передний лонжерон и установить дополнительные бобышки в местах установки бомбодержателей. В качестве бомбардировщика Р-5 сравнивался с </w:t>
      </w:r>
      <w:proofErr w:type="spellStart"/>
      <w:r w:rsidRPr="00A259BD">
        <w:rPr>
          <w:rFonts w:ascii="Times New Roman" w:hAnsi="Times New Roman"/>
          <w:color w:val="000000" w:themeColor="text1"/>
          <w:sz w:val="16"/>
          <w:szCs w:val="16"/>
        </w:rPr>
        <w:t>испытывавшимися</w:t>
      </w:r>
      <w:proofErr w:type="spellEnd"/>
      <w:r w:rsidRPr="00A259BD">
        <w:rPr>
          <w:rFonts w:ascii="Times New Roman" w:hAnsi="Times New Roman"/>
          <w:color w:val="000000" w:themeColor="text1"/>
          <w:sz w:val="16"/>
          <w:szCs w:val="16"/>
        </w:rPr>
        <w:t xml:space="preserve"> в НИИ ВВС французскими самолетами Бреге </w:t>
      </w:r>
      <w:proofErr w:type="spellStart"/>
      <w:r w:rsidRPr="00A259BD">
        <w:rPr>
          <w:rFonts w:ascii="Times New Roman" w:hAnsi="Times New Roman"/>
          <w:color w:val="000000" w:themeColor="text1"/>
          <w:sz w:val="16"/>
          <w:szCs w:val="16"/>
        </w:rPr>
        <w:t>Br</w:t>
      </w:r>
      <w:proofErr w:type="spellEnd"/>
      <w:r w:rsidRPr="00A259BD">
        <w:rPr>
          <w:rFonts w:ascii="Times New Roman" w:hAnsi="Times New Roman"/>
          <w:color w:val="000000" w:themeColor="text1"/>
          <w:sz w:val="16"/>
          <w:szCs w:val="16"/>
        </w:rPr>
        <w:t xml:space="preserve"> 19В2 и </w:t>
      </w:r>
      <w:proofErr w:type="spellStart"/>
      <w:r w:rsidRPr="00A259BD">
        <w:rPr>
          <w:rFonts w:ascii="Times New Roman" w:hAnsi="Times New Roman"/>
          <w:color w:val="000000" w:themeColor="text1"/>
          <w:sz w:val="16"/>
          <w:szCs w:val="16"/>
        </w:rPr>
        <w:t>Потэ</w:t>
      </w:r>
      <w:proofErr w:type="spellEnd"/>
      <w:r w:rsidRPr="00A259BD">
        <w:rPr>
          <w:rFonts w:ascii="Times New Roman" w:hAnsi="Times New Roman"/>
          <w:color w:val="000000" w:themeColor="text1"/>
          <w:sz w:val="16"/>
          <w:szCs w:val="16"/>
        </w:rPr>
        <w:t xml:space="preserve"> 25А2, которые при куда меньшем полетном весе уступали советской машине по всем показателям.</w:t>
      </w:r>
    </w:p>
    <w:p w14:paraId="449747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ходе испытаний доработали установку пулемета П В-1. 28-29 августа на повторных стрельбах все прошло удовлетворительно.</w:t>
      </w:r>
    </w:p>
    <w:p w14:paraId="7A8E18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Второй опытный образец унаследовал часть дефектов первого. Испытатели отметили склонность к капотированию, запаздывание с выходом из штопора, потерю устойчивости на пикировании, разбалтывание панелей капота, течь радиатора. Изношенную пятку костыля пришлось дважды заменять. Штурвал подъема радиатора "дышал", когда его </w:t>
      </w:r>
      <w:proofErr w:type="spellStart"/>
      <w:r w:rsidRPr="00A259BD">
        <w:rPr>
          <w:rFonts w:ascii="Times New Roman" w:hAnsi="Times New Roman"/>
          <w:color w:val="000000" w:themeColor="text1"/>
          <w:sz w:val="16"/>
          <w:szCs w:val="16"/>
        </w:rPr>
        <w:t>кругили</w:t>
      </w:r>
      <w:proofErr w:type="spellEnd"/>
      <w:r w:rsidRPr="00A259BD">
        <w:rPr>
          <w:rFonts w:ascii="Times New Roman" w:hAnsi="Times New Roman"/>
          <w:color w:val="000000" w:themeColor="text1"/>
          <w:sz w:val="16"/>
          <w:szCs w:val="16"/>
        </w:rPr>
        <w:t>.</w:t>
      </w:r>
    </w:p>
    <w:p w14:paraId="385222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Испытания завершились перелетом Москва - Севастополь - Москва. Для этого машину оснастили дополнительным баком на 161 кг бензина. Экипаж состоял из Писаренко и заместителя начальника УВВС Я.И. </w:t>
      </w:r>
      <w:proofErr w:type="spellStart"/>
      <w:r w:rsidRPr="00A259BD">
        <w:rPr>
          <w:rFonts w:ascii="Times New Roman" w:hAnsi="Times New Roman"/>
          <w:color w:val="000000" w:themeColor="text1"/>
          <w:sz w:val="16"/>
          <w:szCs w:val="16"/>
        </w:rPr>
        <w:t>Алкснilea</w:t>
      </w:r>
      <w:proofErr w:type="spellEnd"/>
      <w:r w:rsidRPr="00A259BD">
        <w:rPr>
          <w:rFonts w:ascii="Times New Roman" w:hAnsi="Times New Roman"/>
          <w:color w:val="000000" w:themeColor="text1"/>
          <w:sz w:val="16"/>
          <w:szCs w:val="16"/>
        </w:rPr>
        <w:t>. Не следует переоценивать роль последнего: его вместе с ромбами в петлицах перевели в ВВС из пехоты. Тогда Алкснис был лишь поспешно обученным любителем без пилотского диплома. Так что основную работу делал, конечно, Писаренко.</w:t>
      </w:r>
    </w:p>
    <w:p w14:paraId="41FA24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обратном пути произошло неприятное событие. Между Тарусой и Алексином пришлось сделать вынужденную посадку на лугу - потек радиатор. Но все оказалось просто. Долив три ведра воды из речки, полетели дальше (12034).</w:t>
      </w:r>
    </w:p>
    <w:p w14:paraId="345D2E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D0AC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августа 1929 г. из НИИ ВВС на завод в ОСС отправили письмо, в котором изложили требования по ликвидации недостатков, выявленных на испытаниях. Но 24 августа третий самолет уже совершил первый полет! Поэтому он остался практически таким же, как первый и второй. Отличие заключалось только в водяном радиаторе, в котором вместо шестигранных трубок использовали круглые. Военные все-таки требовали внести изменения.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предложил компромисс: оставить третий образец как есть, а четвертую, еще недостроенную машину подвергнуть переделке. Однако УВВС осталось непоколебимым и добилось своего. Заводу пришлось 10 сентября выслать бригаду рабочих, которые начали дорабатывать машину прямо в ангаре НИИ ВВС. В т.ч. они поставили новый костыль с дополнительными ребрами на пятке, смонтировали храповик для запуска двигателя от автостартера, полотняные обтекатели </w:t>
      </w:r>
      <w:proofErr w:type="spellStart"/>
      <w:r w:rsidRPr="00A259BD">
        <w:rPr>
          <w:rFonts w:ascii="Times New Roman" w:hAnsi="Times New Roman"/>
          <w:color w:val="000000" w:themeColor="text1"/>
          <w:sz w:val="16"/>
          <w:szCs w:val="16"/>
        </w:rPr>
        <w:t>спицованных</w:t>
      </w:r>
      <w:proofErr w:type="spellEnd"/>
      <w:r w:rsidRPr="00A259BD">
        <w:rPr>
          <w:rFonts w:ascii="Times New Roman" w:hAnsi="Times New Roman"/>
          <w:color w:val="000000" w:themeColor="text1"/>
          <w:sz w:val="16"/>
          <w:szCs w:val="16"/>
        </w:rPr>
        <w:t xml:space="preserve"> колес шасси заменили алюминиевыми, организовали дренаж внутренних объемов для стока воды. В полу кабины появилось окно для прицеливания при фотографировании. Выхлопная система стала выглядеть достаточно оригинально: слева стоял коллектор с выходом через трубу, загнутую вверх-назад, а справа - отдельные патрубки. 18 сентября комиссия НТК "удостоверила удовлетворительное внесение переделок". Машину выпустили на испытания.</w:t>
      </w:r>
    </w:p>
    <w:p w14:paraId="617D12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Несмотря на новые выхлопные патрубки, угара в кабинах стало еще больше, чем раньше. Конец коллектора в полете вибрировал, а при высоких оборотах из него выбивалось пламя, ослеплявшее летчиков ночью. Хуже того, в самолет начало заносить искры. Если учесть, что Р-5 состоял из дерева и полотна, это казалось очень опасным. Летные данные третьего экземпляра были близки к показанным вторым, хотя несколько улучшилось поведение в штопоре из-за более передней центровки.</w:t>
      </w:r>
    </w:p>
    <w:p w14:paraId="16305F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третьим экземпляром последовал четвертый. Он имел выхлопную трубу, идущую вдоль левого борта за кабину летнаба (фанеру под ней прикрыли полосой дюраля) и переделанное шасси - более высокое, с выносом колес вперед. Испытания показали, что опасность капотирования уменьшилась, но стало "не хватать" рулей при традиционной посадке "на три точки". Увеличилась также нагрузка на костыль. Длинная выхлопная труба избавила от заноса гари в кабины, но ухудшила обзор влево. Козырек пилотской кабины на четвертом самолете остался целлулоидным - триплекса просто не достали. Позднее четвертый самолет получил усиления нижнего крыла с расчетом на увеличение бомбовой нагрузки (11936).</w:t>
      </w:r>
    </w:p>
    <w:p w14:paraId="58C439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EA55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августа 1929 г. из НИИ на завод № 25 поступил перечень недостатков Р-5, выявленные в ходе испытаний, которые должны были быть устранены на машинах 3 и 4 (12034)</w:t>
      </w:r>
    </w:p>
    <w:p w14:paraId="0AEC40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9E0DF9B" w14:textId="77777777" w:rsidR="00827B08" w:rsidRPr="00A259BD" w:rsidRDefault="00827B08" w:rsidP="009236E3">
      <w:pPr>
        <w:spacing w:after="0" w:line="240" w:lineRule="auto"/>
        <w:jc w:val="both"/>
        <w:rPr>
          <w:rFonts w:ascii="Times New Roman" w:hAnsi="Times New Roman"/>
          <w:color w:val="000000" w:themeColor="text1"/>
          <w:sz w:val="16"/>
          <w:szCs w:val="16"/>
        </w:rPr>
      </w:pPr>
      <w:bookmarkStart w:id="82" w:name="_Hlk56761968"/>
      <w:r w:rsidRPr="00A259BD">
        <w:rPr>
          <w:rFonts w:ascii="Times New Roman" w:hAnsi="Times New Roman"/>
          <w:color w:val="000000" w:themeColor="text1"/>
          <w:sz w:val="16"/>
          <w:szCs w:val="16"/>
        </w:rPr>
        <w:t xml:space="preserve">В период 29-31 августа 1929 на заводе № 39 по сокращенной программе доработанный (по предложениям </w:t>
      </w:r>
      <w:proofErr w:type="spellStart"/>
      <w:r w:rsidRPr="00A259BD">
        <w:rPr>
          <w:rFonts w:ascii="Times New Roman" w:hAnsi="Times New Roman"/>
          <w:color w:val="000000" w:themeColor="text1"/>
          <w:sz w:val="16"/>
          <w:szCs w:val="16"/>
        </w:rPr>
        <w:t>Шекунова</w:t>
      </w:r>
      <w:proofErr w:type="spellEnd"/>
      <w:r w:rsidRPr="00A259BD">
        <w:rPr>
          <w:rFonts w:ascii="Times New Roman" w:hAnsi="Times New Roman"/>
          <w:color w:val="000000" w:themeColor="text1"/>
          <w:sz w:val="16"/>
          <w:szCs w:val="16"/>
        </w:rPr>
        <w:t xml:space="preserve"> об усилении коробки крыльев) «Фоккер» ДХI № 4777 облетал Ю.И. Пионтковский. С 11 февраля этот самолет проходил на заводе капитальный ремонт и был выбран для доработки. В первом полете выявилось значительное ослабление тросовых расчалок с которым удалось в некоторой степени справиться в двух последующих вылетах. Заводская комиссия посчитала продемонстрированные самолетом характеристики удовлетворительными, однако рекомендовала доработать конструкцию и узлы крепления расчалок. К N-образным стойкам претензий не было. Стоит отметить, что 4777 испытывался на колесах от И-2бис (23030).</w:t>
      </w:r>
    </w:p>
    <w:p w14:paraId="32EF1533" w14:textId="77777777" w:rsidR="00827B08" w:rsidRPr="00A259BD" w:rsidRDefault="00827B08" w:rsidP="009236E3">
      <w:pPr>
        <w:spacing w:after="0" w:line="240" w:lineRule="auto"/>
        <w:jc w:val="both"/>
        <w:rPr>
          <w:rFonts w:ascii="Times New Roman" w:hAnsi="Times New Roman"/>
          <w:color w:val="000000" w:themeColor="text1"/>
          <w:sz w:val="16"/>
          <w:szCs w:val="16"/>
        </w:rPr>
      </w:pPr>
    </w:p>
    <w:bookmarkEnd w:id="82"/>
    <w:p w14:paraId="2478D97A" w14:textId="77777777" w:rsidR="00A40604" w:rsidRPr="00A259BD" w:rsidRDefault="00A40604" w:rsidP="009236E3">
      <w:pPr>
        <w:pStyle w:val="83"/>
        <w:shd w:val="clear" w:color="auto" w:fill="auto"/>
        <w:spacing w:after="0" w:line="240" w:lineRule="auto"/>
        <w:ind w:firstLine="0"/>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августа 1929 г. на </w:t>
      </w:r>
      <w:proofErr w:type="spellStart"/>
      <w:r w:rsidRPr="00A259BD">
        <w:rPr>
          <w:rFonts w:ascii="Times New Roman" w:hAnsi="Times New Roman"/>
          <w:color w:val="000000" w:themeColor="text1"/>
          <w:sz w:val="16"/>
          <w:szCs w:val="16"/>
        </w:rPr>
        <w:t>гидробазе</w:t>
      </w:r>
      <w:proofErr w:type="spellEnd"/>
      <w:r w:rsidRPr="00A259BD">
        <w:rPr>
          <w:rFonts w:ascii="Times New Roman" w:hAnsi="Times New Roman"/>
          <w:color w:val="000000" w:themeColor="text1"/>
          <w:sz w:val="16"/>
          <w:szCs w:val="16"/>
        </w:rPr>
        <w:t xml:space="preserve"> авиазавода №31 в Таганроге начались испытания самолета МУ-2. 6 сентября 1929 г. судьбу самолета решали на заседании технического совета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Присутствовали Поли</w:t>
      </w:r>
      <w:r w:rsidRPr="00A259BD">
        <w:rPr>
          <w:rFonts w:ascii="Times New Roman" w:hAnsi="Times New Roman"/>
          <w:color w:val="000000" w:themeColor="text1"/>
          <w:sz w:val="16"/>
          <w:szCs w:val="16"/>
        </w:rPr>
        <w:softHyphen/>
        <w:t xml:space="preserve">карпов, Ришар, Артамонов, </w:t>
      </w:r>
      <w:proofErr w:type="spellStart"/>
      <w:r w:rsidRPr="00A259BD">
        <w:rPr>
          <w:rFonts w:ascii="Times New Roman" w:hAnsi="Times New Roman"/>
          <w:color w:val="000000" w:themeColor="text1"/>
          <w:sz w:val="16"/>
          <w:szCs w:val="16"/>
        </w:rPr>
        <w:t>Журав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ченко</w:t>
      </w:r>
      <w:proofErr w:type="spellEnd"/>
      <w:r w:rsidRPr="00A259BD">
        <w:rPr>
          <w:rFonts w:ascii="Times New Roman" w:hAnsi="Times New Roman"/>
          <w:color w:val="000000" w:themeColor="text1"/>
          <w:sz w:val="16"/>
          <w:szCs w:val="16"/>
        </w:rPr>
        <w:t>, Самсонов, Четвериков. Со</w:t>
      </w:r>
      <w:r w:rsidRPr="00A259BD">
        <w:rPr>
          <w:rFonts w:ascii="Times New Roman" w:hAnsi="Times New Roman"/>
          <w:color w:val="000000" w:themeColor="text1"/>
          <w:sz w:val="16"/>
          <w:szCs w:val="16"/>
        </w:rPr>
        <w:softHyphen/>
        <w:t xml:space="preserve">общалось, что МУ-2 находится в Таганроге, где летчик </w:t>
      </w:r>
      <w:proofErr w:type="spellStart"/>
      <w:r w:rsidRPr="00A259BD">
        <w:rPr>
          <w:rFonts w:ascii="Times New Roman" w:hAnsi="Times New Roman"/>
          <w:color w:val="000000" w:themeColor="text1"/>
          <w:sz w:val="16"/>
          <w:szCs w:val="16"/>
        </w:rPr>
        <w:t>Рыбальчук</w:t>
      </w:r>
      <w:proofErr w:type="spellEnd"/>
      <w:r w:rsidRPr="00A259BD">
        <w:rPr>
          <w:rFonts w:ascii="Times New Roman" w:hAnsi="Times New Roman"/>
          <w:color w:val="000000" w:themeColor="text1"/>
          <w:sz w:val="16"/>
          <w:szCs w:val="16"/>
        </w:rPr>
        <w:t xml:space="preserve"> вы</w:t>
      </w:r>
      <w:r w:rsidRPr="00A259BD">
        <w:rPr>
          <w:rFonts w:ascii="Times New Roman" w:hAnsi="Times New Roman"/>
          <w:color w:val="000000" w:themeColor="text1"/>
          <w:sz w:val="16"/>
          <w:szCs w:val="16"/>
        </w:rPr>
        <w:softHyphen/>
        <w:t>полнил на нем первый полет. Он отметил, что кабина пилотов тес</w:t>
      </w:r>
      <w:r w:rsidRPr="00A259BD">
        <w:rPr>
          <w:rFonts w:ascii="Times New Roman" w:hAnsi="Times New Roman"/>
          <w:color w:val="000000" w:themeColor="text1"/>
          <w:sz w:val="16"/>
          <w:szCs w:val="16"/>
        </w:rPr>
        <w:softHyphen/>
        <w:t>ная, одновременно вырез кабины очень большой (это наглядно де</w:t>
      </w:r>
      <w:r w:rsidRPr="00A259BD">
        <w:rPr>
          <w:rFonts w:ascii="Times New Roman" w:hAnsi="Times New Roman"/>
          <w:color w:val="000000" w:themeColor="text1"/>
          <w:sz w:val="16"/>
          <w:szCs w:val="16"/>
        </w:rPr>
        <w:softHyphen/>
        <w:t>монстрируют представленные фотографии). Летные качества са</w:t>
      </w:r>
      <w:r w:rsidRPr="00A259BD">
        <w:rPr>
          <w:rFonts w:ascii="Times New Roman" w:hAnsi="Times New Roman"/>
          <w:color w:val="000000" w:themeColor="text1"/>
          <w:sz w:val="16"/>
          <w:szCs w:val="16"/>
        </w:rPr>
        <w:softHyphen/>
        <w:t xml:space="preserve">молета </w:t>
      </w:r>
      <w:proofErr w:type="spellStart"/>
      <w:r w:rsidRPr="00A259BD">
        <w:rPr>
          <w:rFonts w:ascii="Times New Roman" w:hAnsi="Times New Roman"/>
          <w:color w:val="000000" w:themeColor="text1"/>
          <w:sz w:val="16"/>
          <w:szCs w:val="16"/>
        </w:rPr>
        <w:t>Рыбальчук</w:t>
      </w:r>
      <w:proofErr w:type="spellEnd"/>
      <w:r w:rsidRPr="00A259BD">
        <w:rPr>
          <w:rFonts w:ascii="Times New Roman" w:hAnsi="Times New Roman"/>
          <w:color w:val="000000" w:themeColor="text1"/>
          <w:sz w:val="16"/>
          <w:szCs w:val="16"/>
        </w:rPr>
        <w:t xml:space="preserve"> оценил как не</w:t>
      </w:r>
      <w:r w:rsidRPr="00A259BD">
        <w:rPr>
          <w:rFonts w:ascii="Times New Roman" w:hAnsi="Times New Roman"/>
          <w:color w:val="000000" w:themeColor="text1"/>
          <w:sz w:val="16"/>
          <w:szCs w:val="16"/>
        </w:rPr>
        <w:softHyphen/>
        <w:t>высокие. Он утверждал, что нет га</w:t>
      </w:r>
      <w:r w:rsidRPr="00A259BD">
        <w:rPr>
          <w:rFonts w:ascii="Times New Roman" w:hAnsi="Times New Roman"/>
          <w:color w:val="000000" w:themeColor="text1"/>
          <w:sz w:val="16"/>
          <w:szCs w:val="16"/>
        </w:rPr>
        <w:softHyphen/>
        <w:t>рантии выхода из штопора. Кроме того, лодка имела длинный разбег и тяжелый взлет. Скороподъемность тоже оказалась скромная — на практический потолок 3500 м учеб</w:t>
      </w:r>
      <w:r w:rsidRPr="00A259BD">
        <w:rPr>
          <w:rFonts w:ascii="Times New Roman" w:hAnsi="Times New Roman"/>
          <w:color w:val="000000" w:themeColor="text1"/>
          <w:sz w:val="16"/>
          <w:szCs w:val="16"/>
        </w:rPr>
        <w:softHyphen/>
        <w:t>ная лодка забиралась за 85 мин. Одновременно указывалось, что центровка МУ-2 такая же, как у итальянской летающей лодки Савойя С-16 — 38% САХ. Далее предлагалось произвести аэроди</w:t>
      </w:r>
      <w:r w:rsidRPr="00A259BD">
        <w:rPr>
          <w:rFonts w:ascii="Times New Roman" w:hAnsi="Times New Roman"/>
          <w:color w:val="000000" w:themeColor="text1"/>
          <w:sz w:val="16"/>
          <w:szCs w:val="16"/>
        </w:rPr>
        <w:softHyphen/>
        <w:t>намические продувки модели в ЦАГИ, а затем продолжить дора</w:t>
      </w:r>
      <w:r w:rsidRPr="00A259BD">
        <w:rPr>
          <w:rFonts w:ascii="Times New Roman" w:hAnsi="Times New Roman"/>
          <w:color w:val="000000" w:themeColor="text1"/>
          <w:sz w:val="16"/>
          <w:szCs w:val="16"/>
        </w:rPr>
        <w:softHyphen/>
        <w:t>ботки самолета.</w:t>
      </w:r>
    </w:p>
    <w:tbl>
      <w:tblPr>
        <w:tblW w:w="0" w:type="auto"/>
        <w:tblInd w:w="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 w:type="dxa"/>
          <w:right w:w="10" w:type="dxa"/>
        </w:tblCellMar>
        <w:tblLook w:val="0000" w:firstRow="0" w:lastRow="0" w:firstColumn="0" w:lastColumn="0" w:noHBand="0" w:noVBand="0"/>
      </w:tblPr>
      <w:tblGrid>
        <w:gridCol w:w="3023"/>
        <w:gridCol w:w="990"/>
        <w:gridCol w:w="930"/>
      </w:tblGrid>
      <w:tr w:rsidR="00A259BD" w:rsidRPr="00A259BD" w14:paraId="18EE9D07" w14:textId="77777777" w:rsidTr="00E6155B">
        <w:trPr>
          <w:trHeight w:val="435"/>
        </w:trPr>
        <w:tc>
          <w:tcPr>
            <w:tcW w:w="3023" w:type="dxa"/>
            <w:shd w:val="clear" w:color="auto" w:fill="FFFFFF"/>
          </w:tcPr>
          <w:p w14:paraId="4B3BE780" w14:textId="77777777" w:rsidR="00A40604" w:rsidRPr="00A259BD" w:rsidRDefault="00A40604" w:rsidP="009236E3">
            <w:pPr>
              <w:spacing w:after="0" w:line="240" w:lineRule="auto"/>
              <w:jc w:val="both"/>
              <w:rPr>
                <w:rFonts w:ascii="Times New Roman" w:hAnsi="Times New Roman"/>
                <w:color w:val="000000" w:themeColor="text1"/>
                <w:sz w:val="16"/>
                <w:szCs w:val="16"/>
              </w:rPr>
            </w:pPr>
          </w:p>
        </w:tc>
        <w:tc>
          <w:tcPr>
            <w:tcW w:w="990" w:type="dxa"/>
            <w:shd w:val="clear" w:color="auto" w:fill="FFFFFF"/>
          </w:tcPr>
          <w:p w14:paraId="542CEC98" w14:textId="77777777" w:rsidR="00A40604" w:rsidRPr="00A259BD" w:rsidRDefault="00A40604" w:rsidP="009236E3">
            <w:pPr>
              <w:pStyle w:val="32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МУР-1</w:t>
            </w:r>
          </w:p>
        </w:tc>
        <w:tc>
          <w:tcPr>
            <w:tcW w:w="930" w:type="dxa"/>
            <w:shd w:val="clear" w:color="auto" w:fill="FFFFFF"/>
          </w:tcPr>
          <w:p w14:paraId="5A7D6DEA" w14:textId="77777777" w:rsidR="00A40604" w:rsidRPr="00A259BD" w:rsidRDefault="00A40604" w:rsidP="009236E3">
            <w:pPr>
              <w:pStyle w:val="320"/>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МУ-2</w:t>
            </w:r>
          </w:p>
        </w:tc>
      </w:tr>
      <w:tr w:rsidR="00A259BD" w:rsidRPr="00A259BD" w14:paraId="64D4EDD7" w14:textId="77777777" w:rsidTr="00E6155B">
        <w:trPr>
          <w:trHeight w:val="465"/>
        </w:trPr>
        <w:tc>
          <w:tcPr>
            <w:tcW w:w="3023" w:type="dxa"/>
            <w:shd w:val="clear" w:color="auto" w:fill="FFFFFF"/>
          </w:tcPr>
          <w:p w14:paraId="150AC20E"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Размах крыльев, м</w:t>
            </w:r>
          </w:p>
        </w:tc>
        <w:tc>
          <w:tcPr>
            <w:tcW w:w="990" w:type="dxa"/>
            <w:shd w:val="clear" w:color="auto" w:fill="FFFFFF"/>
          </w:tcPr>
          <w:p w14:paraId="58C34284"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11,5</w:t>
            </w:r>
          </w:p>
        </w:tc>
        <w:tc>
          <w:tcPr>
            <w:tcW w:w="930" w:type="dxa"/>
            <w:shd w:val="clear" w:color="auto" w:fill="FFFFFF"/>
          </w:tcPr>
          <w:p w14:paraId="55DB9AF8"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118</w:t>
            </w:r>
          </w:p>
        </w:tc>
      </w:tr>
      <w:tr w:rsidR="00A259BD" w:rsidRPr="00A259BD" w14:paraId="72A963F7" w14:textId="77777777" w:rsidTr="00E6155B">
        <w:trPr>
          <w:trHeight w:val="300"/>
        </w:trPr>
        <w:tc>
          <w:tcPr>
            <w:tcW w:w="3023" w:type="dxa"/>
            <w:shd w:val="clear" w:color="auto" w:fill="FFFFFF"/>
          </w:tcPr>
          <w:p w14:paraId="57B53176"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Длина в линии полета, м</w:t>
            </w:r>
          </w:p>
        </w:tc>
        <w:tc>
          <w:tcPr>
            <w:tcW w:w="990" w:type="dxa"/>
            <w:shd w:val="clear" w:color="auto" w:fill="FFFFFF"/>
          </w:tcPr>
          <w:p w14:paraId="5D376C55"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8,04</w:t>
            </w:r>
          </w:p>
        </w:tc>
        <w:tc>
          <w:tcPr>
            <w:tcW w:w="930" w:type="dxa"/>
            <w:shd w:val="clear" w:color="auto" w:fill="FFFFFF"/>
          </w:tcPr>
          <w:p w14:paraId="3243EB5F"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8,6</w:t>
            </w:r>
          </w:p>
        </w:tc>
      </w:tr>
      <w:tr w:rsidR="00A259BD" w:rsidRPr="00A259BD" w14:paraId="0DEDF95A" w14:textId="77777777" w:rsidTr="00E6155B">
        <w:trPr>
          <w:trHeight w:val="308"/>
        </w:trPr>
        <w:tc>
          <w:tcPr>
            <w:tcW w:w="3023" w:type="dxa"/>
            <w:shd w:val="clear" w:color="auto" w:fill="FFFFFF"/>
          </w:tcPr>
          <w:p w14:paraId="676CED5E"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крыльев, м</w:t>
            </w:r>
            <w:r w:rsidRPr="00A259BD">
              <w:rPr>
                <w:rFonts w:ascii="Times New Roman" w:hAnsi="Times New Roman"/>
                <w:color w:val="000000" w:themeColor="text1"/>
                <w:sz w:val="16"/>
                <w:szCs w:val="16"/>
                <w:vertAlign w:val="superscript"/>
              </w:rPr>
              <w:t>2</w:t>
            </w:r>
          </w:p>
        </w:tc>
        <w:tc>
          <w:tcPr>
            <w:tcW w:w="990" w:type="dxa"/>
            <w:shd w:val="clear" w:color="auto" w:fill="FFFFFF"/>
          </w:tcPr>
          <w:p w14:paraId="58DB2C0D"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33,0</w:t>
            </w:r>
          </w:p>
        </w:tc>
        <w:tc>
          <w:tcPr>
            <w:tcW w:w="930" w:type="dxa"/>
            <w:shd w:val="clear" w:color="auto" w:fill="FFFFFF"/>
          </w:tcPr>
          <w:p w14:paraId="6B35E70E"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35,66</w:t>
            </w:r>
          </w:p>
        </w:tc>
      </w:tr>
      <w:tr w:rsidR="00A259BD" w:rsidRPr="00A259BD" w14:paraId="1D311172" w14:textId="77777777" w:rsidTr="00E6155B">
        <w:trPr>
          <w:trHeight w:val="300"/>
        </w:trPr>
        <w:tc>
          <w:tcPr>
            <w:tcW w:w="3023" w:type="dxa"/>
            <w:shd w:val="clear" w:color="auto" w:fill="FFFFFF"/>
          </w:tcPr>
          <w:p w14:paraId="7D83AF82"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 пустого&gt;, кг</w:t>
            </w:r>
          </w:p>
        </w:tc>
        <w:tc>
          <w:tcPr>
            <w:tcW w:w="990" w:type="dxa"/>
            <w:shd w:val="clear" w:color="auto" w:fill="FFFFFF"/>
          </w:tcPr>
          <w:p w14:paraId="3FF108CF"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700</w:t>
            </w:r>
          </w:p>
        </w:tc>
        <w:tc>
          <w:tcPr>
            <w:tcW w:w="930" w:type="dxa"/>
            <w:shd w:val="clear" w:color="auto" w:fill="FFFFFF"/>
          </w:tcPr>
          <w:p w14:paraId="1CEBCD56"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854</w:t>
            </w:r>
          </w:p>
        </w:tc>
      </w:tr>
      <w:tr w:rsidR="00A259BD" w:rsidRPr="00A259BD" w14:paraId="5E288567" w14:textId="77777777" w:rsidTr="00E6155B">
        <w:trPr>
          <w:trHeight w:val="293"/>
        </w:trPr>
        <w:tc>
          <w:tcPr>
            <w:tcW w:w="3023" w:type="dxa"/>
            <w:shd w:val="clear" w:color="auto" w:fill="FFFFFF"/>
          </w:tcPr>
          <w:p w14:paraId="7E76F48A"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Полезная нагрузка, кг</w:t>
            </w:r>
          </w:p>
        </w:tc>
        <w:tc>
          <w:tcPr>
            <w:tcW w:w="990" w:type="dxa"/>
            <w:shd w:val="clear" w:color="auto" w:fill="FFFFFF"/>
          </w:tcPr>
          <w:p w14:paraId="34903FD4"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tc>
        <w:tc>
          <w:tcPr>
            <w:tcW w:w="930" w:type="dxa"/>
            <w:shd w:val="clear" w:color="auto" w:fill="FFFFFF"/>
          </w:tcPr>
          <w:p w14:paraId="1CED7EDC"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257</w:t>
            </w:r>
          </w:p>
        </w:tc>
      </w:tr>
      <w:tr w:rsidR="00A259BD" w:rsidRPr="00A259BD" w14:paraId="1E798C7F" w14:textId="77777777" w:rsidTr="00E6155B">
        <w:trPr>
          <w:trHeight w:val="293"/>
        </w:trPr>
        <w:tc>
          <w:tcPr>
            <w:tcW w:w="3023" w:type="dxa"/>
            <w:shd w:val="clear" w:color="auto" w:fill="FFFFFF"/>
          </w:tcPr>
          <w:p w14:paraId="5392A532"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Полетный вес, кг</w:t>
            </w:r>
          </w:p>
        </w:tc>
        <w:tc>
          <w:tcPr>
            <w:tcW w:w="990" w:type="dxa"/>
            <w:shd w:val="clear" w:color="auto" w:fill="FFFFFF"/>
          </w:tcPr>
          <w:p w14:paraId="3BD854C4"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w:t>
            </w:r>
          </w:p>
        </w:tc>
        <w:tc>
          <w:tcPr>
            <w:tcW w:w="930" w:type="dxa"/>
            <w:shd w:val="clear" w:color="auto" w:fill="FFFFFF"/>
          </w:tcPr>
          <w:p w14:paraId="7538C8BA"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Style w:val="311pt"/>
                <w:rFonts w:ascii="Times New Roman" w:hAnsi="Times New Roman"/>
                <w:color w:val="000000" w:themeColor="text1"/>
                <w:spacing w:val="0"/>
                <w:sz w:val="16"/>
                <w:szCs w:val="16"/>
              </w:rPr>
              <w:t>1111</w:t>
            </w:r>
          </w:p>
        </w:tc>
      </w:tr>
      <w:tr w:rsidR="00A259BD" w:rsidRPr="00A259BD" w14:paraId="7B1A71FF" w14:textId="77777777" w:rsidTr="00E6155B">
        <w:trPr>
          <w:trHeight w:val="300"/>
        </w:trPr>
        <w:tc>
          <w:tcPr>
            <w:tcW w:w="3023" w:type="dxa"/>
            <w:shd w:val="clear" w:color="auto" w:fill="FFFFFF"/>
          </w:tcPr>
          <w:p w14:paraId="380FA09B"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Нагрузка на крыло, кг/м</w:t>
            </w:r>
            <w:r w:rsidRPr="00A259BD">
              <w:rPr>
                <w:rFonts w:ascii="Times New Roman" w:hAnsi="Times New Roman"/>
                <w:color w:val="000000" w:themeColor="text1"/>
                <w:sz w:val="16"/>
                <w:szCs w:val="16"/>
                <w:vertAlign w:val="superscript"/>
              </w:rPr>
              <w:t>2</w:t>
            </w:r>
          </w:p>
        </w:tc>
        <w:tc>
          <w:tcPr>
            <w:tcW w:w="990" w:type="dxa"/>
            <w:shd w:val="clear" w:color="auto" w:fill="FFFFFF"/>
          </w:tcPr>
          <w:p w14:paraId="4A912430"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30,3</w:t>
            </w:r>
          </w:p>
        </w:tc>
        <w:tc>
          <w:tcPr>
            <w:tcW w:w="930" w:type="dxa"/>
            <w:shd w:val="clear" w:color="auto" w:fill="FFFFFF"/>
          </w:tcPr>
          <w:p w14:paraId="3D262306"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31,2</w:t>
            </w:r>
          </w:p>
        </w:tc>
      </w:tr>
      <w:tr w:rsidR="00A259BD" w:rsidRPr="00A259BD" w14:paraId="542088F2" w14:textId="77777777" w:rsidTr="00E6155B">
        <w:trPr>
          <w:trHeight w:val="285"/>
        </w:trPr>
        <w:tc>
          <w:tcPr>
            <w:tcW w:w="3023" w:type="dxa"/>
            <w:shd w:val="clear" w:color="auto" w:fill="FFFFFF"/>
          </w:tcPr>
          <w:p w14:paraId="40943527"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максимальная у земли, км/ч</w:t>
            </w:r>
          </w:p>
        </w:tc>
        <w:tc>
          <w:tcPr>
            <w:tcW w:w="990" w:type="dxa"/>
            <w:shd w:val="clear" w:color="auto" w:fill="FFFFFF"/>
          </w:tcPr>
          <w:p w14:paraId="10C7FA34"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129</w:t>
            </w:r>
          </w:p>
        </w:tc>
        <w:tc>
          <w:tcPr>
            <w:tcW w:w="930" w:type="dxa"/>
            <w:shd w:val="clear" w:color="auto" w:fill="FFFFFF"/>
          </w:tcPr>
          <w:p w14:paraId="62D658FB"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136</w:t>
            </w:r>
          </w:p>
        </w:tc>
      </w:tr>
      <w:tr w:rsidR="00A259BD" w:rsidRPr="00A259BD" w14:paraId="44A05224" w14:textId="77777777" w:rsidTr="00E6155B">
        <w:trPr>
          <w:trHeight w:val="293"/>
        </w:trPr>
        <w:tc>
          <w:tcPr>
            <w:tcW w:w="3023" w:type="dxa"/>
            <w:shd w:val="clear" w:color="auto" w:fill="FFFFFF"/>
          </w:tcPr>
          <w:p w14:paraId="7F329E1A"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посадочная; км/ч</w:t>
            </w:r>
          </w:p>
        </w:tc>
        <w:tc>
          <w:tcPr>
            <w:tcW w:w="990" w:type="dxa"/>
            <w:shd w:val="clear" w:color="auto" w:fill="FFFFFF"/>
          </w:tcPr>
          <w:p w14:paraId="53E844C1"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w:t>
            </w:r>
          </w:p>
        </w:tc>
        <w:tc>
          <w:tcPr>
            <w:tcW w:w="930" w:type="dxa"/>
            <w:shd w:val="clear" w:color="auto" w:fill="FFFFFF"/>
          </w:tcPr>
          <w:p w14:paraId="10A27CF4"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74</w:t>
            </w:r>
          </w:p>
        </w:tc>
      </w:tr>
      <w:tr w:rsidR="00A259BD" w:rsidRPr="00A259BD" w14:paraId="3D288027" w14:textId="77777777" w:rsidTr="00E6155B">
        <w:trPr>
          <w:trHeight w:val="285"/>
        </w:trPr>
        <w:tc>
          <w:tcPr>
            <w:tcW w:w="3023" w:type="dxa"/>
            <w:shd w:val="clear" w:color="auto" w:fill="FFFFFF"/>
          </w:tcPr>
          <w:p w14:paraId="557BFD14"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Практический потолок; м</w:t>
            </w:r>
          </w:p>
        </w:tc>
        <w:tc>
          <w:tcPr>
            <w:tcW w:w="990" w:type="dxa"/>
            <w:shd w:val="clear" w:color="auto" w:fill="FFFFFF"/>
          </w:tcPr>
          <w:p w14:paraId="10A8C57B"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3500</w:t>
            </w:r>
          </w:p>
        </w:tc>
        <w:tc>
          <w:tcPr>
            <w:tcW w:w="930" w:type="dxa"/>
            <w:shd w:val="clear" w:color="auto" w:fill="FFFFFF"/>
          </w:tcPr>
          <w:p w14:paraId="35ACB1A9"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3500</w:t>
            </w:r>
          </w:p>
        </w:tc>
      </w:tr>
      <w:tr w:rsidR="00A259BD" w:rsidRPr="00A259BD" w14:paraId="68B0B3D5" w14:textId="77777777" w:rsidTr="00E6155B">
        <w:trPr>
          <w:trHeight w:val="390"/>
        </w:trPr>
        <w:tc>
          <w:tcPr>
            <w:tcW w:w="3023" w:type="dxa"/>
            <w:shd w:val="clear" w:color="auto" w:fill="FFFFFF"/>
          </w:tcPr>
          <w:p w14:paraId="55C93740"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Максимальная продолжи тельность полета, ч</w:t>
            </w:r>
          </w:p>
        </w:tc>
        <w:tc>
          <w:tcPr>
            <w:tcW w:w="990" w:type="dxa"/>
            <w:shd w:val="clear" w:color="auto" w:fill="FFFFFF"/>
          </w:tcPr>
          <w:p w14:paraId="23597F59"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930" w:type="dxa"/>
            <w:shd w:val="clear" w:color="auto" w:fill="FFFFFF"/>
          </w:tcPr>
          <w:p w14:paraId="3B773ECB" w14:textId="77777777" w:rsidR="00A40604" w:rsidRPr="00A259BD" w:rsidRDefault="00A40604" w:rsidP="009236E3">
            <w:pPr>
              <w:pStyle w:val="312"/>
              <w:shd w:val="clear" w:color="auto" w:fill="auto"/>
              <w:spacing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r>
    </w:tbl>
    <w:p w14:paraId="5DEFD429" w14:textId="77777777" w:rsidR="00A40604" w:rsidRPr="00A259BD" w:rsidRDefault="00A40604" w:rsidP="009236E3">
      <w:pPr>
        <w:pStyle w:val="83"/>
        <w:shd w:val="clear" w:color="auto" w:fill="auto"/>
        <w:spacing w:after="0" w:line="240" w:lineRule="auto"/>
        <w:ind w:firstLine="0"/>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практике совершенствовани</w:t>
      </w:r>
      <w:r w:rsidRPr="00A259BD">
        <w:rPr>
          <w:rFonts w:ascii="Times New Roman" w:hAnsi="Times New Roman"/>
          <w:color w:val="000000" w:themeColor="text1"/>
          <w:sz w:val="16"/>
          <w:szCs w:val="16"/>
        </w:rPr>
        <w:softHyphen/>
        <w:t>ем учебной лодки МУ-2 более не занимались. Чуть позднее на ее ос</w:t>
      </w:r>
      <w:r w:rsidRPr="00A259BD">
        <w:rPr>
          <w:rFonts w:ascii="Times New Roman" w:hAnsi="Times New Roman"/>
          <w:color w:val="000000" w:themeColor="text1"/>
          <w:sz w:val="16"/>
          <w:szCs w:val="16"/>
        </w:rPr>
        <w:softHyphen/>
        <w:t>нове конструктор авиазавода №23</w:t>
      </w:r>
    </w:p>
    <w:p w14:paraId="54AB044E" w14:textId="77777777" w:rsidR="00A40604" w:rsidRPr="00A259BD" w:rsidRDefault="00A40604" w:rsidP="009236E3">
      <w:pPr>
        <w:pStyle w:val="83"/>
        <w:shd w:val="clear" w:color="auto" w:fill="auto"/>
        <w:tabs>
          <w:tab w:val="left" w:pos="665"/>
        </w:tabs>
        <w:spacing w:after="0" w:line="240" w:lineRule="auto"/>
        <w:ind w:firstLine="0"/>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А.С.Москалев</w:t>
      </w:r>
      <w:proofErr w:type="spellEnd"/>
      <w:r w:rsidRPr="00A259BD">
        <w:rPr>
          <w:rFonts w:ascii="Times New Roman" w:hAnsi="Times New Roman"/>
          <w:color w:val="000000" w:themeColor="text1"/>
          <w:sz w:val="16"/>
          <w:szCs w:val="16"/>
        </w:rPr>
        <w:t xml:space="preserve"> подготовил свой про</w:t>
      </w:r>
      <w:r w:rsidRPr="00A259BD">
        <w:rPr>
          <w:rFonts w:ascii="Times New Roman" w:hAnsi="Times New Roman"/>
          <w:color w:val="000000" w:themeColor="text1"/>
          <w:sz w:val="16"/>
          <w:szCs w:val="16"/>
        </w:rPr>
        <w:softHyphen/>
        <w:t>ект учебной летающей лодки (с де</w:t>
      </w:r>
      <w:r w:rsidRPr="00A259BD">
        <w:rPr>
          <w:rFonts w:ascii="Times New Roman" w:hAnsi="Times New Roman"/>
          <w:color w:val="000000" w:themeColor="text1"/>
          <w:sz w:val="16"/>
          <w:szCs w:val="16"/>
        </w:rPr>
        <w:softHyphen/>
        <w:t>ревянным фюзеляжем), получившей обозначение МУ-3. Ее построили в начале 1931 г., а затем вполне ус</w:t>
      </w:r>
      <w:r w:rsidRPr="00A259BD">
        <w:rPr>
          <w:rFonts w:ascii="Times New Roman" w:hAnsi="Times New Roman"/>
          <w:color w:val="000000" w:themeColor="text1"/>
          <w:sz w:val="16"/>
          <w:szCs w:val="16"/>
        </w:rPr>
        <w:softHyphen/>
        <w:t>пешно испытали. Впрочем, в серию пошел совершенно другой самолет с двигателем М-11 — многоцелевая амфибия В.Б. Шаврова Ш-2, кото</w:t>
      </w:r>
      <w:r w:rsidRPr="00A259BD">
        <w:rPr>
          <w:rFonts w:ascii="Times New Roman" w:hAnsi="Times New Roman"/>
          <w:color w:val="000000" w:themeColor="text1"/>
          <w:sz w:val="16"/>
          <w:szCs w:val="16"/>
        </w:rPr>
        <w:softHyphen/>
        <w:t>рая широко использовалась также и для обучения морских летчиков (12119).</w:t>
      </w:r>
    </w:p>
    <w:p w14:paraId="3FD11541" w14:textId="77777777" w:rsidR="00A40604" w:rsidRPr="00A259BD" w:rsidRDefault="00A40604" w:rsidP="009236E3">
      <w:pPr>
        <w:pStyle w:val="83"/>
        <w:shd w:val="clear" w:color="auto" w:fill="auto"/>
        <w:tabs>
          <w:tab w:val="left" w:pos="665"/>
        </w:tabs>
        <w:spacing w:after="0" w:line="240" w:lineRule="auto"/>
        <w:ind w:firstLine="0"/>
        <w:jc w:val="both"/>
        <w:rPr>
          <w:rFonts w:ascii="Times New Roman" w:hAnsi="Times New Roman"/>
          <w:color w:val="000000" w:themeColor="text1"/>
          <w:sz w:val="16"/>
          <w:szCs w:val="16"/>
        </w:rPr>
      </w:pPr>
    </w:p>
    <w:p w14:paraId="53292E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августа 1929 состоялось заседание комиссии по вопросу об аварии П-2 и переделке конструкции крыльев (по сношению НИИ от 22 августа 1929). Отметили, что стат. испытаний П-2 не было и взяли данные П-1. Решили П-2 к полетам не допускать (2365).</w:t>
      </w:r>
    </w:p>
    <w:p w14:paraId="6DDDBD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EBCD8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августа 1929 на Ш-1 был выполнен перелет из Ленинграда в Москву (438,596).</w:t>
      </w:r>
    </w:p>
    <w:p w14:paraId="5DDB0A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1ECF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29 августа по 1 октября 1929 </w:t>
      </w:r>
      <w:proofErr w:type="spellStart"/>
      <w:r w:rsidRPr="00A259BD">
        <w:rPr>
          <w:rFonts w:ascii="Times New Roman" w:hAnsi="Times New Roman"/>
          <w:color w:val="000000" w:themeColor="text1"/>
          <w:sz w:val="16"/>
          <w:szCs w:val="16"/>
        </w:rPr>
        <w:t>М.А.Снегирев</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И.Т.Спирин</w:t>
      </w:r>
      <w:proofErr w:type="spellEnd"/>
      <w:r w:rsidRPr="00A259BD">
        <w:rPr>
          <w:rFonts w:ascii="Times New Roman" w:hAnsi="Times New Roman"/>
          <w:color w:val="000000" w:themeColor="text1"/>
          <w:sz w:val="16"/>
          <w:szCs w:val="16"/>
        </w:rPr>
        <w:t xml:space="preserve"> на К-4 "Червона Украина" вернулись из Иркутска в Москву за 39 час. 11 мин. (172,16).</w:t>
      </w:r>
    </w:p>
    <w:p w14:paraId="341B7A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D27604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августа 1929 г. был образован завод "Пирометр" (6395).</w:t>
      </w:r>
    </w:p>
    <w:p w14:paraId="0AA660A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2300A6" w14:textId="77777777" w:rsidR="00D10878" w:rsidRPr="00170D8A" w:rsidRDefault="00D10878" w:rsidP="00D10878">
      <w:pPr>
        <w:spacing w:after="0" w:line="240" w:lineRule="auto"/>
        <w:jc w:val="both"/>
        <w:rPr>
          <w:rFonts w:ascii="Times New Roman" w:hAnsi="Times New Roman"/>
          <w:color w:val="0070C0"/>
          <w:sz w:val="16"/>
          <w:szCs w:val="16"/>
        </w:rPr>
      </w:pPr>
      <w:r w:rsidRPr="00170D8A">
        <w:rPr>
          <w:rFonts w:ascii="Times New Roman" w:hAnsi="Times New Roman"/>
          <w:color w:val="0070C0"/>
          <w:sz w:val="16"/>
          <w:szCs w:val="16"/>
        </w:rPr>
        <w:t xml:space="preserve">29 августа 1929 г. работник </w:t>
      </w:r>
      <w:proofErr w:type="spellStart"/>
      <w:r>
        <w:rPr>
          <w:rFonts w:ascii="Times New Roman" w:hAnsi="Times New Roman"/>
          <w:color w:val="0070C0"/>
          <w:sz w:val="16"/>
          <w:szCs w:val="16"/>
        </w:rPr>
        <w:t>Н</w:t>
      </w:r>
      <w:r w:rsidRPr="00170D8A">
        <w:rPr>
          <w:rFonts w:ascii="Times New Roman" w:hAnsi="Times New Roman"/>
          <w:color w:val="0070C0"/>
          <w:sz w:val="16"/>
          <w:szCs w:val="16"/>
        </w:rPr>
        <w:t>аркомвнешторга</w:t>
      </w:r>
      <w:proofErr w:type="spellEnd"/>
      <w:r w:rsidRPr="00170D8A">
        <w:rPr>
          <w:rFonts w:ascii="Times New Roman" w:hAnsi="Times New Roman"/>
          <w:color w:val="0070C0"/>
          <w:sz w:val="16"/>
          <w:szCs w:val="16"/>
        </w:rPr>
        <w:t xml:space="preserve"> Б.Я </w:t>
      </w:r>
      <w:proofErr w:type="spellStart"/>
      <w:r w:rsidRPr="00170D8A">
        <w:rPr>
          <w:rFonts w:ascii="Times New Roman" w:hAnsi="Times New Roman"/>
          <w:color w:val="0070C0"/>
          <w:sz w:val="16"/>
          <w:szCs w:val="16"/>
        </w:rPr>
        <w:t>Корак</w:t>
      </w:r>
      <w:proofErr w:type="spellEnd"/>
      <w:r w:rsidRPr="00170D8A">
        <w:rPr>
          <w:rFonts w:ascii="Times New Roman" w:hAnsi="Times New Roman"/>
          <w:color w:val="0070C0"/>
          <w:sz w:val="16"/>
          <w:szCs w:val="16"/>
        </w:rPr>
        <w:t xml:space="preserve"> предложил идею создания специального института по изучению проблемы межпланетных сообщений в составе секций: энергетической, радиотехнической, конструкторского бюро и секции приспособления - </w:t>
      </w:r>
      <w:proofErr w:type="spellStart"/>
      <w:r w:rsidRPr="00170D8A">
        <w:rPr>
          <w:rFonts w:ascii="Times New Roman" w:hAnsi="Times New Roman"/>
          <w:color w:val="0070C0"/>
          <w:sz w:val="16"/>
          <w:szCs w:val="16"/>
        </w:rPr>
        <w:t>ммикробиологической</w:t>
      </w:r>
      <w:proofErr w:type="spellEnd"/>
      <w:r w:rsidRPr="00170D8A">
        <w:rPr>
          <w:rFonts w:ascii="Times New Roman" w:hAnsi="Times New Roman"/>
          <w:color w:val="0070C0"/>
          <w:sz w:val="16"/>
          <w:szCs w:val="16"/>
        </w:rPr>
        <w:t xml:space="preserve">. Во главе института стоит Научный Совет. Основная идея </w:t>
      </w:r>
      <w:proofErr w:type="spellStart"/>
      <w:r w:rsidRPr="00170D8A">
        <w:rPr>
          <w:rFonts w:ascii="Times New Roman" w:hAnsi="Times New Roman"/>
          <w:color w:val="0070C0"/>
          <w:sz w:val="16"/>
          <w:szCs w:val="16"/>
        </w:rPr>
        <w:t>Корака</w:t>
      </w:r>
      <w:proofErr w:type="spellEnd"/>
      <w:r w:rsidRPr="00170D8A">
        <w:rPr>
          <w:rFonts w:ascii="Times New Roman" w:hAnsi="Times New Roman"/>
          <w:color w:val="0070C0"/>
          <w:sz w:val="16"/>
          <w:szCs w:val="16"/>
        </w:rPr>
        <w:t xml:space="preserve"> - - </w:t>
      </w:r>
      <w:proofErr w:type="spellStart"/>
      <w:r w:rsidRPr="00170D8A">
        <w:rPr>
          <w:rFonts w:ascii="Times New Roman" w:hAnsi="Times New Roman"/>
          <w:color w:val="0070C0"/>
          <w:sz w:val="16"/>
          <w:szCs w:val="16"/>
        </w:rPr>
        <w:t>СССРдолжен</w:t>
      </w:r>
      <w:proofErr w:type="spellEnd"/>
      <w:r w:rsidRPr="00170D8A">
        <w:rPr>
          <w:rFonts w:ascii="Times New Roman" w:hAnsi="Times New Roman"/>
          <w:color w:val="0070C0"/>
          <w:sz w:val="16"/>
          <w:szCs w:val="16"/>
        </w:rPr>
        <w:t xml:space="preserve"> стать родиной для всех, кто отдает своя силы и мысли этому делу. Идея </w:t>
      </w:r>
      <w:proofErr w:type="spellStart"/>
      <w:r w:rsidRPr="00170D8A">
        <w:rPr>
          <w:rFonts w:ascii="Times New Roman" w:hAnsi="Times New Roman"/>
          <w:color w:val="0070C0"/>
          <w:sz w:val="16"/>
          <w:szCs w:val="16"/>
        </w:rPr>
        <w:t>Корака</w:t>
      </w:r>
      <w:proofErr w:type="spellEnd"/>
      <w:r w:rsidRPr="00170D8A">
        <w:rPr>
          <w:rFonts w:ascii="Times New Roman" w:hAnsi="Times New Roman"/>
          <w:color w:val="0070C0"/>
          <w:sz w:val="16"/>
          <w:szCs w:val="16"/>
        </w:rPr>
        <w:t xml:space="preserve"> была преждевременной, так как в СССР пока было ни научной, ни технической базы для занятий проблемой </w:t>
      </w:r>
      <w:proofErr w:type="spellStart"/>
      <w:r w:rsidRPr="00170D8A">
        <w:rPr>
          <w:rFonts w:ascii="Times New Roman" w:hAnsi="Times New Roman"/>
          <w:color w:val="0070C0"/>
          <w:sz w:val="16"/>
          <w:szCs w:val="16"/>
        </w:rPr>
        <w:t>мнжпланетных</w:t>
      </w:r>
      <w:proofErr w:type="spellEnd"/>
      <w:r w:rsidRPr="00170D8A">
        <w:rPr>
          <w:rFonts w:ascii="Times New Roman" w:hAnsi="Times New Roman"/>
          <w:color w:val="0070C0"/>
          <w:sz w:val="16"/>
          <w:szCs w:val="16"/>
        </w:rPr>
        <w:t xml:space="preserve"> сообщений.</w:t>
      </w:r>
    </w:p>
    <w:p w14:paraId="29DC8C97" w14:textId="77777777" w:rsidR="00D10878" w:rsidRPr="00170D8A" w:rsidRDefault="00D10878" w:rsidP="00D10878">
      <w:pPr>
        <w:spacing w:after="0" w:line="240" w:lineRule="auto"/>
        <w:jc w:val="both"/>
        <w:rPr>
          <w:rFonts w:ascii="Times New Roman" w:hAnsi="Times New Roman"/>
          <w:color w:val="0070C0"/>
          <w:sz w:val="16"/>
          <w:szCs w:val="16"/>
        </w:rPr>
      </w:pPr>
      <w:r w:rsidRPr="00170D8A">
        <w:rPr>
          <w:rFonts w:ascii="Times New Roman" w:hAnsi="Times New Roman"/>
          <w:color w:val="0070C0"/>
          <w:sz w:val="16"/>
          <w:szCs w:val="16"/>
        </w:rPr>
        <w:t>/ «Знание – сила», 1966 № 9, стр.44/ (23370).</w:t>
      </w:r>
    </w:p>
    <w:p w14:paraId="0D0A3DBF" w14:textId="77777777" w:rsidR="00D10878" w:rsidRPr="00170D8A" w:rsidRDefault="00D10878" w:rsidP="00D10878">
      <w:pPr>
        <w:spacing w:after="0" w:line="240" w:lineRule="auto"/>
        <w:jc w:val="both"/>
        <w:rPr>
          <w:rFonts w:ascii="Times New Roman" w:hAnsi="Times New Roman"/>
          <w:color w:val="0070C0"/>
          <w:sz w:val="16"/>
          <w:szCs w:val="16"/>
        </w:rPr>
      </w:pPr>
    </w:p>
    <w:p w14:paraId="2BD70272" w14:textId="77777777" w:rsidR="00A40604"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2859B17" w14:textId="77777777" w:rsidR="00A40604" w:rsidRPr="00A259BD" w:rsidRDefault="00A4060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9BACBB" w14:textId="77777777" w:rsidR="00A40604" w:rsidRPr="00A259BD" w:rsidRDefault="00A40604"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29 августа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 xml:space="preserve">Политбюро ЦК ВКП (б) утвердило проект постановления ЦК ВКП (б) «О деятельности Северного химического треста»; приняло предложения В. В. Куйбышева о регулировании взаимоотношений между правлением </w:t>
      </w:r>
      <w:proofErr w:type="spellStart"/>
      <w:r w:rsidRPr="00A259BD">
        <w:rPr>
          <w:rFonts w:ascii="Times New Roman" w:hAnsi="Times New Roman"/>
          <w:color w:val="000000" w:themeColor="text1"/>
          <w:sz w:val="16"/>
          <w:szCs w:val="16"/>
        </w:rPr>
        <w:t>Днепростроя</w:t>
      </w:r>
      <w:proofErr w:type="spellEnd"/>
      <w:r w:rsidRPr="00A259BD">
        <w:rPr>
          <w:rFonts w:ascii="Times New Roman" w:hAnsi="Times New Roman"/>
          <w:color w:val="000000" w:themeColor="text1"/>
          <w:sz w:val="16"/>
          <w:szCs w:val="16"/>
        </w:rPr>
        <w:t xml:space="preserve"> и консультантом Купером; поручило Оргбюро ЦК ВКП (б) разработать мероприятия для партийных организаций по реализации постановления СНК о переходе на непрерывное производство (12265).</w:t>
      </w:r>
    </w:p>
    <w:p w14:paraId="113E40A7" w14:textId="77777777" w:rsidR="00A40604" w:rsidRPr="00A259BD" w:rsidRDefault="00A4060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1C42FB6C" w14:textId="77777777" w:rsidR="005A255E" w:rsidRPr="00A259BD" w:rsidRDefault="005A255E" w:rsidP="009236E3">
      <w:pPr>
        <w:spacing w:after="0" w:line="240" w:lineRule="auto"/>
        <w:jc w:val="both"/>
        <w:rPr>
          <w:rFonts w:ascii="Times New Roman" w:eastAsiaTheme="minorHAnsi" w:hAnsi="Times New Roman"/>
          <w:color w:val="000000" w:themeColor="text1"/>
          <w:sz w:val="16"/>
          <w:szCs w:val="16"/>
        </w:rPr>
      </w:pPr>
      <w:r w:rsidRPr="00A259BD">
        <w:rPr>
          <w:rFonts w:ascii="Times New Roman" w:hAnsi="Times New Roman"/>
          <w:bCs/>
          <w:color w:val="000000" w:themeColor="text1"/>
          <w:sz w:val="16"/>
          <w:szCs w:val="16"/>
        </w:rPr>
        <w:t>29 августа 1929 года</w:t>
      </w:r>
      <w:r w:rsidRPr="00A259BD">
        <w:rPr>
          <w:rFonts w:ascii="Times New Roman" w:hAnsi="Times New Roman"/>
          <w:color w:val="000000" w:themeColor="text1"/>
          <w:sz w:val="16"/>
          <w:szCs w:val="16"/>
        </w:rPr>
        <w:t xml:space="preserve"> Образован завод «Пирометр». Сегодня завод "Пирометр" - это крупное предприятие по производству авиационных приборов и систем автоматического управления</w:t>
      </w:r>
    </w:p>
    <w:p w14:paraId="50B40CEA" w14:textId="77777777" w:rsidR="005A255E" w:rsidRPr="00A259BD" w:rsidRDefault="005A255E" w:rsidP="009236E3">
      <w:pPr>
        <w:spacing w:after="0" w:line="240" w:lineRule="auto"/>
        <w:jc w:val="both"/>
        <w:rPr>
          <w:rFonts w:ascii="Times New Roman" w:eastAsiaTheme="minorHAnsi" w:hAnsi="Times New Roman"/>
          <w:color w:val="000000" w:themeColor="text1"/>
          <w:sz w:val="16"/>
          <w:szCs w:val="16"/>
        </w:rPr>
      </w:pPr>
    </w:p>
    <w:p w14:paraId="26604D11" w14:textId="77777777" w:rsidR="000F21AA"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577959C5" w14:textId="77777777" w:rsidR="000F21AA" w:rsidRPr="00A259BD" w:rsidRDefault="000F21A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575B72D" w14:textId="77777777" w:rsidR="005A255E" w:rsidRPr="00A259BD" w:rsidRDefault="005A255E"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 xml:space="preserve">29 августа </w:t>
      </w:r>
      <w:r w:rsidRPr="00A259BD">
        <w:rPr>
          <w:rFonts w:ascii="Times New Roman" w:hAnsi="Times New Roman"/>
          <w:color w:val="000000" w:themeColor="text1"/>
          <w:sz w:val="16"/>
          <w:szCs w:val="16"/>
        </w:rPr>
        <w:t>в 1929 году началось движение пассажирских электричек на первом в СССР магистральном электрифицированном участке Москва – Мытищи Московской железной дороги (14753).</w:t>
      </w:r>
    </w:p>
    <w:p w14:paraId="700126AA" w14:textId="77777777" w:rsidR="005A255E" w:rsidRPr="00A259BD" w:rsidRDefault="005A255E" w:rsidP="009236E3">
      <w:pPr>
        <w:spacing w:after="0" w:line="240" w:lineRule="auto"/>
        <w:jc w:val="both"/>
        <w:rPr>
          <w:rFonts w:ascii="Times New Roman" w:hAnsi="Times New Roman"/>
          <w:color w:val="000000" w:themeColor="text1"/>
          <w:sz w:val="16"/>
          <w:szCs w:val="16"/>
        </w:rPr>
      </w:pPr>
    </w:p>
    <w:p w14:paraId="7735487B"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22A994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6A6DDF" w14:textId="77777777" w:rsidR="007F4340" w:rsidRPr="00A259BD" w:rsidRDefault="007F434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августа 1929, пока Мэри, леди Хит тренируется в национальных гонках в Кливленде, штат Огайо, самолет, который она пилотирует, пробивает дымоход и врезается в крышу завода. Она неделями находится в коме, но оправляется от травм (20806).</w:t>
      </w:r>
    </w:p>
    <w:p w14:paraId="2105D144" w14:textId="77777777" w:rsidR="007F4340" w:rsidRPr="00A259BD" w:rsidRDefault="007F4340" w:rsidP="009236E3">
      <w:pPr>
        <w:spacing w:after="0" w:line="240" w:lineRule="auto"/>
        <w:jc w:val="both"/>
        <w:rPr>
          <w:rFonts w:ascii="Times New Roman" w:hAnsi="Times New Roman"/>
          <w:color w:val="000000" w:themeColor="text1"/>
          <w:sz w:val="16"/>
          <w:szCs w:val="16"/>
        </w:rPr>
      </w:pPr>
    </w:p>
    <w:p w14:paraId="7739DB97" w14:textId="77777777" w:rsidR="007F4340" w:rsidRPr="00A259BD" w:rsidRDefault="007F434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августа 1929 - Немецкий дирижабль LZ 127 «Граф Цеппелин» завершил первое кругосветное путешествие. С тремя остановками в пути, под руководством </w:t>
      </w:r>
      <w:proofErr w:type="spellStart"/>
      <w:r w:rsidRPr="00A259BD">
        <w:rPr>
          <w:rFonts w:ascii="Times New Roman" w:hAnsi="Times New Roman"/>
          <w:color w:val="000000" w:themeColor="text1"/>
          <w:sz w:val="16"/>
          <w:szCs w:val="16"/>
        </w:rPr>
        <w:t>Xуго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Эккенера</w:t>
      </w:r>
      <w:proofErr w:type="spellEnd"/>
      <w:r w:rsidRPr="00A259BD">
        <w:rPr>
          <w:rFonts w:ascii="Times New Roman" w:hAnsi="Times New Roman"/>
          <w:color w:val="000000" w:themeColor="text1"/>
          <w:sz w:val="16"/>
          <w:szCs w:val="16"/>
        </w:rPr>
        <w:t>. Перелёт стартовал 8 августа 1929-го (22382).</w:t>
      </w:r>
    </w:p>
    <w:p w14:paraId="01AA3169" w14:textId="77777777" w:rsidR="007F4340" w:rsidRPr="00A259BD" w:rsidRDefault="007F4340" w:rsidP="009236E3">
      <w:pPr>
        <w:spacing w:after="0" w:line="240" w:lineRule="auto"/>
        <w:jc w:val="both"/>
        <w:rPr>
          <w:rFonts w:ascii="Times New Roman" w:hAnsi="Times New Roman"/>
          <w:color w:val="000000" w:themeColor="text1"/>
          <w:sz w:val="16"/>
          <w:szCs w:val="16"/>
        </w:rPr>
      </w:pPr>
    </w:p>
    <w:p w14:paraId="474750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августа 1929 закончился кругосветный перелет дирижабля Граф Цеппелин (3481).</w:t>
      </w:r>
    </w:p>
    <w:p w14:paraId="15D7B8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CCF66B" w14:textId="77777777" w:rsidR="005A255E" w:rsidRPr="00A259BD" w:rsidRDefault="005A255E"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 xml:space="preserve">29 августа </w:t>
      </w:r>
      <w:r w:rsidRPr="00A259BD">
        <w:rPr>
          <w:rFonts w:ascii="Times New Roman" w:hAnsi="Times New Roman"/>
          <w:color w:val="000000" w:themeColor="text1"/>
          <w:sz w:val="16"/>
          <w:szCs w:val="16"/>
        </w:rPr>
        <w:t>в 1929 году завершился первый кругосветный перелет (с тремя остановками в пути) на дирижабле «</w:t>
      </w:r>
      <w:proofErr w:type="spellStart"/>
      <w:r w:rsidRPr="00A259BD">
        <w:rPr>
          <w:rFonts w:ascii="Times New Roman" w:hAnsi="Times New Roman"/>
          <w:color w:val="000000" w:themeColor="text1"/>
          <w:sz w:val="16"/>
          <w:szCs w:val="16"/>
        </w:rPr>
        <w:t>Graf</w:t>
      </w:r>
      <w:proofErr w:type="spellEnd"/>
      <w:r w:rsidRPr="00A259BD">
        <w:rPr>
          <w:rFonts w:ascii="Times New Roman" w:hAnsi="Times New Roman"/>
          <w:color w:val="000000" w:themeColor="text1"/>
          <w:sz w:val="16"/>
          <w:szCs w:val="16"/>
        </w:rPr>
        <w:t xml:space="preserve"> Zeppelin» под руководством </w:t>
      </w:r>
      <w:proofErr w:type="spellStart"/>
      <w:r w:rsidRPr="00A259BD">
        <w:rPr>
          <w:rFonts w:ascii="Times New Roman" w:hAnsi="Times New Roman"/>
          <w:color w:val="000000" w:themeColor="text1"/>
          <w:sz w:val="16"/>
          <w:szCs w:val="16"/>
        </w:rPr>
        <w:t>X.Эккенера</w:t>
      </w:r>
      <w:proofErr w:type="spellEnd"/>
      <w:r w:rsidRPr="00A259BD">
        <w:rPr>
          <w:rFonts w:ascii="Times New Roman" w:hAnsi="Times New Roman"/>
          <w:color w:val="000000" w:themeColor="text1"/>
          <w:sz w:val="16"/>
          <w:szCs w:val="16"/>
        </w:rPr>
        <w:t>. Перелет стартовал 8 августа (14753).</w:t>
      </w:r>
    </w:p>
    <w:p w14:paraId="45160F08" w14:textId="77777777" w:rsidR="005A255E" w:rsidRPr="00A259BD" w:rsidRDefault="005A255E" w:rsidP="009236E3">
      <w:pPr>
        <w:spacing w:after="0" w:line="240" w:lineRule="auto"/>
        <w:jc w:val="both"/>
        <w:rPr>
          <w:rFonts w:ascii="Times New Roman" w:hAnsi="Times New Roman"/>
          <w:color w:val="000000" w:themeColor="text1"/>
          <w:sz w:val="16"/>
          <w:szCs w:val="16"/>
        </w:rPr>
      </w:pPr>
    </w:p>
    <w:p w14:paraId="7A4B8D87" w14:textId="77777777" w:rsidR="00A40604"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F817C43" w14:textId="77777777" w:rsidR="00A40604" w:rsidRPr="00A259BD" w:rsidRDefault="00A4060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588F8DE" w14:textId="77777777" w:rsidR="00A40604" w:rsidRPr="00A259BD" w:rsidRDefault="00A40604"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30 августа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СТО принял постановления «О заготовке лома и отходов цветных металлов», «О снабжении промысловой кооперации и сбыте ее продукции» (12265).</w:t>
      </w:r>
    </w:p>
    <w:p w14:paraId="52C05761" w14:textId="77777777" w:rsidR="00A40604" w:rsidRPr="00A259BD" w:rsidRDefault="00A4060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3D27E0F0" w14:textId="77777777" w:rsidR="003737F3" w:rsidRPr="00A259BD" w:rsidRDefault="003737F3"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3DED3F1D" w14:textId="77777777" w:rsidR="003737F3" w:rsidRPr="00A259BD" w:rsidRDefault="003737F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2B373C" w14:textId="77777777" w:rsidR="000C6350" w:rsidRPr="00A259BD" w:rsidRDefault="000C635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С 30 августа по 4 сентября 1929 состоялся перелет командиров авиационных эскадрилий и их начальников штабов, в качестве летчиков-наблюдателей. Он выполнялся из Ленинграда по маршруту Ленинград – Ярославль – Вятка – Пермь – Уфа – Оренбург – Казань – Москва – Витебск – Ленинград, общей протяженностью 4875 километров (21249).</w:t>
      </w:r>
    </w:p>
    <w:p w14:paraId="27F2BACF" w14:textId="77777777" w:rsidR="000C6350" w:rsidRPr="00A259BD" w:rsidRDefault="000C6350" w:rsidP="009236E3">
      <w:pPr>
        <w:spacing w:after="0" w:line="240" w:lineRule="auto"/>
        <w:jc w:val="both"/>
        <w:rPr>
          <w:rFonts w:ascii="Times New Roman" w:hAnsi="Times New Roman"/>
          <w:color w:val="000000" w:themeColor="text1"/>
          <w:sz w:val="16"/>
          <w:szCs w:val="16"/>
        </w:rPr>
      </w:pPr>
    </w:p>
    <w:p w14:paraId="37E5124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9FC340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647D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августа 1929 </w:t>
      </w:r>
      <w:proofErr w:type="spellStart"/>
      <w:r w:rsidRPr="00A259BD">
        <w:rPr>
          <w:rFonts w:ascii="Times New Roman" w:hAnsi="Times New Roman"/>
          <w:color w:val="000000" w:themeColor="text1"/>
          <w:sz w:val="16"/>
          <w:szCs w:val="16"/>
        </w:rPr>
        <w:t>Б.В.Глаголев</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Н.Н.Фунтиков</w:t>
      </w:r>
      <w:proofErr w:type="spellEnd"/>
      <w:r w:rsidRPr="00A259BD">
        <w:rPr>
          <w:rFonts w:ascii="Times New Roman" w:hAnsi="Times New Roman"/>
          <w:color w:val="000000" w:themeColor="text1"/>
          <w:sz w:val="16"/>
          <w:szCs w:val="16"/>
        </w:rPr>
        <w:t xml:space="preserve"> перелетел на Ш-1 из Ленинграда с воды в Москву на колесах (99,147). До этого на хвосте и крыльях нанесли слова СССР и номер (99,147). Потом передали в НИИ ВВС, где полностью испытали за 3 дня. В серию не пошел, т.к. мощность двигателя в 80 </w:t>
      </w:r>
      <w:proofErr w:type="spellStart"/>
      <w:r w:rsidRPr="00A259BD">
        <w:rPr>
          <w:rFonts w:ascii="Times New Roman" w:hAnsi="Times New Roman"/>
          <w:color w:val="000000" w:themeColor="text1"/>
          <w:sz w:val="16"/>
          <w:szCs w:val="16"/>
        </w:rPr>
        <w:t>нр</w:t>
      </w:r>
      <w:proofErr w:type="spellEnd"/>
      <w:r w:rsidRPr="00A259BD">
        <w:rPr>
          <w:rFonts w:ascii="Times New Roman" w:hAnsi="Times New Roman"/>
          <w:color w:val="000000" w:themeColor="text1"/>
          <w:sz w:val="16"/>
          <w:szCs w:val="16"/>
        </w:rPr>
        <w:t xml:space="preserve"> оказалась мала (2766,63). Сел на ЦА (7621, 33).</w:t>
      </w:r>
    </w:p>
    <w:p w14:paraId="291E68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EA4EE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августа 1929 АИР-3 полетел дальше. Погода была отвратительная, сильный встречный ветер, невероятная бол танка ("болтовня" или "рему", как тогда говорили), к тому же весь горизонт затянуло темными грозовыми тучами, не предвещавшими ничего хорошего. Пришлось сесть в Тихорецкой. В Минеральные Воды прилетели вечером 1 сентября, всего за 8 минут до наступления темноты и урагана небывалой силы. Весь путь от Москвы прошли примерно за 12 часов летного времени.</w:t>
      </w:r>
    </w:p>
    <w:p w14:paraId="68646E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Велико было агитационное значение перелета. В Кантемировке, Шахтах, </w:t>
      </w:r>
      <w:proofErr w:type="spellStart"/>
      <w:r w:rsidRPr="00A259BD">
        <w:rPr>
          <w:rFonts w:ascii="Times New Roman" w:hAnsi="Times New Roman"/>
          <w:color w:val="000000" w:themeColor="text1"/>
          <w:sz w:val="16"/>
          <w:szCs w:val="16"/>
        </w:rPr>
        <w:t>Ростове</w:t>
      </w:r>
      <w:proofErr w:type="spellEnd"/>
      <w:r w:rsidRPr="00A259BD">
        <w:rPr>
          <w:rFonts w:ascii="Times New Roman" w:hAnsi="Times New Roman"/>
          <w:color w:val="000000" w:themeColor="text1"/>
          <w:sz w:val="16"/>
          <w:szCs w:val="16"/>
        </w:rPr>
        <w:t xml:space="preserve">, Тихорецкой, Минеральных водах экипаж проводил беседы об авиации, показательные полеты, подъемы пионеров - "воздушные </w:t>
      </w:r>
      <w:proofErr w:type="spellStart"/>
      <w:r w:rsidRPr="00A259BD">
        <w:rPr>
          <w:rFonts w:ascii="Times New Roman" w:hAnsi="Times New Roman"/>
          <w:color w:val="000000" w:themeColor="text1"/>
          <w:sz w:val="16"/>
          <w:szCs w:val="16"/>
        </w:rPr>
        <w:t>октябрины</w:t>
      </w:r>
      <w:proofErr w:type="spellEnd"/>
      <w:r w:rsidRPr="00A259BD">
        <w:rPr>
          <w:rFonts w:ascii="Times New Roman" w:hAnsi="Times New Roman"/>
          <w:color w:val="000000" w:themeColor="text1"/>
          <w:sz w:val="16"/>
          <w:szCs w:val="16"/>
        </w:rPr>
        <w:t xml:space="preserve">". В </w:t>
      </w:r>
      <w:proofErr w:type="spellStart"/>
      <w:r w:rsidRPr="00A259BD">
        <w:rPr>
          <w:rFonts w:ascii="Times New Roman" w:hAnsi="Times New Roman"/>
          <w:color w:val="000000" w:themeColor="text1"/>
          <w:sz w:val="16"/>
          <w:szCs w:val="16"/>
        </w:rPr>
        <w:t>Ростове</w:t>
      </w:r>
      <w:proofErr w:type="spellEnd"/>
      <w:r w:rsidRPr="00A259BD">
        <w:rPr>
          <w:rFonts w:ascii="Times New Roman" w:hAnsi="Times New Roman"/>
          <w:color w:val="000000" w:themeColor="text1"/>
          <w:sz w:val="16"/>
          <w:szCs w:val="16"/>
        </w:rPr>
        <w:t xml:space="preserve"> на аэродром пришла тысяча пионеров. Пионеры и комсомольцы Нахичевани и </w:t>
      </w:r>
      <w:proofErr w:type="spellStart"/>
      <w:r w:rsidRPr="00A259BD">
        <w:rPr>
          <w:rFonts w:ascii="Times New Roman" w:hAnsi="Times New Roman"/>
          <w:color w:val="000000" w:themeColor="text1"/>
          <w:sz w:val="16"/>
          <w:szCs w:val="16"/>
        </w:rPr>
        <w:t>Ростова</w:t>
      </w:r>
      <w:proofErr w:type="spellEnd"/>
      <w:r w:rsidRPr="00A259BD">
        <w:rPr>
          <w:rFonts w:ascii="Times New Roman" w:hAnsi="Times New Roman"/>
          <w:color w:val="000000" w:themeColor="text1"/>
          <w:sz w:val="16"/>
          <w:szCs w:val="16"/>
        </w:rPr>
        <w:t>, Кисловодска и Минеральных Вод и Пятигорска единодушно принимали решения о сборе средств на постройку самолетов.</w:t>
      </w:r>
    </w:p>
    <w:p w14:paraId="6FE6C1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Суровое испытание выдержал АИР-3. Он оказался надежным, выносливым, не утомляющим летчиков в болтанку, нетребовательным к аэродромам. Площадка для взлета в Шахтах измерялась всего 60 шагами. Посадки на пахоту поперек борозд, посадки вообще на неровные площадки машина переносила великолепно, несмотря </w:t>
      </w:r>
      <w:r w:rsidRPr="00A259BD">
        <w:rPr>
          <w:rFonts w:ascii="Times New Roman" w:hAnsi="Times New Roman"/>
          <w:color w:val="000000" w:themeColor="text1"/>
          <w:sz w:val="16"/>
          <w:szCs w:val="16"/>
        </w:rPr>
        <w:lastRenderedPageBreak/>
        <w:t xml:space="preserve">на свойственное </w:t>
      </w:r>
      <w:proofErr w:type="spellStart"/>
      <w:r w:rsidRPr="00A259BD">
        <w:rPr>
          <w:rFonts w:ascii="Times New Roman" w:hAnsi="Times New Roman"/>
          <w:color w:val="000000" w:themeColor="text1"/>
          <w:sz w:val="16"/>
          <w:szCs w:val="16"/>
        </w:rPr>
        <w:t>парасольной</w:t>
      </w:r>
      <w:proofErr w:type="spellEnd"/>
      <w:r w:rsidRPr="00A259BD">
        <w:rPr>
          <w:rFonts w:ascii="Times New Roman" w:hAnsi="Times New Roman"/>
          <w:color w:val="000000" w:themeColor="text1"/>
          <w:sz w:val="16"/>
          <w:szCs w:val="16"/>
        </w:rPr>
        <w:t xml:space="preserve"> схеме высокое расположение центра тяжести. И в отношении обслуживания АИР-3 проявил себя очень хорошо - свободный доступ со всех сторон к мотору, масло- и </w:t>
      </w:r>
      <w:proofErr w:type="spellStart"/>
      <w:r w:rsidRPr="00A259BD">
        <w:rPr>
          <w:rFonts w:ascii="Times New Roman" w:hAnsi="Times New Roman"/>
          <w:color w:val="000000" w:themeColor="text1"/>
          <w:sz w:val="16"/>
          <w:szCs w:val="16"/>
        </w:rPr>
        <w:t>бензосистемам</w:t>
      </w:r>
      <w:proofErr w:type="spellEnd"/>
      <w:r w:rsidRPr="00A259BD">
        <w:rPr>
          <w:rFonts w:ascii="Times New Roman" w:hAnsi="Times New Roman"/>
          <w:color w:val="000000" w:themeColor="text1"/>
          <w:sz w:val="16"/>
          <w:szCs w:val="16"/>
        </w:rPr>
        <w:t>, управлению. Все ответственные детали на виду, так что осмотр можно было производить быстро и беспрепятственно. Это ценнейшие качества для подобного типа самолета, ибо весь смысл авиетки теряется, если она требует хорошего аэродрома и трудоемкого обслуживания (11981).</w:t>
      </w:r>
    </w:p>
    <w:p w14:paraId="02A992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E5DCC91" w14:textId="77777777" w:rsidR="00217D0F" w:rsidRPr="00A259BD" w:rsidRDefault="00217D0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августа 1929 года состоялось совещание производственно-технического отдела Главного военно-промышленного управления ВСНХ, на котором было решено приобрести у фирмы «Хейнкель» лицензию, включавшую в себя «право постройки; комплект рабочих чертежей с производственными допусками; расчеты самолета и его деталей; подробные спецификации материалов и данные статических расчетов и испытаний», обеспечить производство технической и консультационной помощью фирм — то есть подробным описанием всех технологических процессов, правом делегировать советских инженеров в Германию на завод «Хейнкель» и приглашать инженеров фирмы в СССР.</w:t>
      </w:r>
    </w:p>
    <w:p w14:paraId="2F7DAC8C" w14:textId="77777777" w:rsidR="00217D0F" w:rsidRPr="00A259BD" w:rsidRDefault="00217D0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 HD-37 в Советском Союзе прошли в целом успешно, хотя и не без инцидентов. 20 июля 1928 года самолет, управляемый летчиком-испытателем В. Писаренко, свалился в плоский штопор, и пилоту пришлось покинуть машину с парашютом. Но по общим результатам испытаний НИИ ВВС рекомендовал HD-37 на снабжение ВВС РККА как «хороший самолет-истребитель», при этом особенно отметив его превосходство в характеристиках над модернизированным «Фоккером D-XI», И-2, И2-бис и И-4 и другими истребителями, состоявшими на вооружении ВВС РККА или проходившими испытания.</w:t>
      </w:r>
    </w:p>
    <w:p w14:paraId="0351477C" w14:textId="77777777" w:rsidR="00217D0F" w:rsidRPr="00A259BD" w:rsidRDefault="00217D0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удовлетворившись полученными результатами, заместитель начальника ВВС РККА Я.В. Алкснис,[282] проводивший в Берлине переговоры с Хейнкелем, категорически потребовал доработать самолет для улучшения штопорных характеристик. Фактически речь шла о создании нового самолета: от фирмы потребовали изменения профиля крыла, соотношения площадей верхней и нижней плоскостей, изменения конструкций шасси и хвостового оперения. Этот новый самолет был представлен советским специалистам летом 1929 года под названием HD-43, однако в процессе испытаний выяснилось, что внесенные советской стороной доработки отрицательно сказались на характеристиках машины, и НИИ ВВС не рекомендовал HD-43 к производству. Однако советские представители на переговорах продолжали требовать от Хейнкеля предоставить им лицензию на производство «самолетов HD-37, включая улучшения, произведенные на типе HD-43».</w:t>
      </w:r>
    </w:p>
    <w:p w14:paraId="6030249B" w14:textId="77777777" w:rsidR="00217D0F" w:rsidRPr="00A259BD" w:rsidRDefault="00217D0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Вопрос об оплате также вызвал длительные споры: фирма предлагала СССР на выбор лицензию трех типов: «неограниченную» (240 тыс. марок за исключительное право производства HD-37 и 43 с полной передачей оригинальных чертежей и патентов), «ограниченную» (за 200 тыс. марок фирма сохраняла право производства, но не имела права продавать самолет двум третьим странам по выбору Советского Союза) и «нормальную» (за 140 тыс. марок фирма могла продолжать производство самолета и продавать его кому угодно). После длительного торга стороны сошлись на сумме в 150 тысяч марок, за которую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получал лицензию сроком на три года, а «Хейнкель» брал на себя обязательство не перепродавать HD-37 иностранным покупателям в течение 10 лет.[283]</w:t>
      </w:r>
    </w:p>
    <w:p w14:paraId="31F92FDE" w14:textId="77777777" w:rsidR="00217D0F" w:rsidRPr="00A259BD" w:rsidRDefault="00217D0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истребителя Хейнкеля решено было организовать на авиазаводе № 1, где он и выпускался вплоть до 1934 года под маркой И-7, а затем был снят с производства в связи с появлением И-15 </w:t>
      </w:r>
      <w:proofErr w:type="spellStart"/>
      <w:r w:rsidRPr="00A259BD">
        <w:rPr>
          <w:rFonts w:ascii="Times New Roman" w:hAnsi="Times New Roman"/>
          <w:color w:val="000000" w:themeColor="text1"/>
          <w:sz w:val="16"/>
          <w:szCs w:val="16"/>
        </w:rPr>
        <w:t>Н.Н.Поликарпова</w:t>
      </w:r>
      <w:proofErr w:type="spellEnd"/>
      <w:r w:rsidRPr="00A259BD">
        <w:rPr>
          <w:rFonts w:ascii="Times New Roman" w:hAnsi="Times New Roman"/>
          <w:color w:val="000000" w:themeColor="text1"/>
          <w:sz w:val="16"/>
          <w:szCs w:val="16"/>
        </w:rPr>
        <w:t xml:space="preserve">. Суммарный выпуск всех серий самолета в различных модификациях составил 131 шт. Выдвигаемая в книгах Соболева-Хазанова и </w:t>
      </w:r>
      <w:proofErr w:type="spellStart"/>
      <w:r w:rsidRPr="00A259BD">
        <w:rPr>
          <w:rFonts w:ascii="Times New Roman" w:hAnsi="Times New Roman"/>
          <w:color w:val="000000" w:themeColor="text1"/>
          <w:sz w:val="16"/>
          <w:szCs w:val="16"/>
        </w:rPr>
        <w:t>Широкорада</w:t>
      </w:r>
      <w:proofErr w:type="spellEnd"/>
      <w:r w:rsidRPr="00A259BD">
        <w:rPr>
          <w:rFonts w:ascii="Times New Roman" w:hAnsi="Times New Roman"/>
          <w:color w:val="000000" w:themeColor="text1"/>
          <w:sz w:val="16"/>
          <w:szCs w:val="16"/>
        </w:rPr>
        <w:t xml:space="preserve"> версия о секретном производстве «русского Хейнкеля» на заводе сельскохозяйственного машиностроения «</w:t>
      </w:r>
      <w:proofErr w:type="spellStart"/>
      <w:r w:rsidRPr="00A259BD">
        <w:rPr>
          <w:rFonts w:ascii="Times New Roman" w:hAnsi="Times New Roman"/>
          <w:color w:val="000000" w:themeColor="text1"/>
          <w:sz w:val="16"/>
          <w:szCs w:val="16"/>
        </w:rPr>
        <w:t>Саркомбайн</w:t>
      </w:r>
      <w:proofErr w:type="spellEnd"/>
      <w:r w:rsidRPr="00A259BD">
        <w:rPr>
          <w:rFonts w:ascii="Times New Roman" w:hAnsi="Times New Roman"/>
          <w:color w:val="000000" w:themeColor="text1"/>
          <w:sz w:val="16"/>
          <w:szCs w:val="16"/>
        </w:rPr>
        <w:t xml:space="preserve">», в том числе и для поставок на вооружение рейхсвера, к настоящему времени так и не была подтверждена документами. Согласно архивным данным, второй из </w:t>
      </w:r>
      <w:proofErr w:type="spellStart"/>
      <w:r w:rsidRPr="00A259BD">
        <w:rPr>
          <w:rFonts w:ascii="Times New Roman" w:hAnsi="Times New Roman"/>
          <w:color w:val="000000" w:themeColor="text1"/>
          <w:sz w:val="16"/>
          <w:szCs w:val="16"/>
        </w:rPr>
        <w:t>испытывавшихся</w:t>
      </w:r>
      <w:proofErr w:type="spellEnd"/>
      <w:r w:rsidRPr="00A259BD">
        <w:rPr>
          <w:rFonts w:ascii="Times New Roman" w:hAnsi="Times New Roman"/>
          <w:color w:val="000000" w:themeColor="text1"/>
          <w:sz w:val="16"/>
          <w:szCs w:val="16"/>
        </w:rPr>
        <w:t xml:space="preserve"> в 1928 году HD-37 был по завершении показательных полетов передан для эксплуатации в войсковую часть. Самолет этот носил индивидуальный номер 292 (№ 291, как мы помним, разбился при испытаниях). А завод «</w:t>
      </w:r>
      <w:proofErr w:type="spellStart"/>
      <w:r w:rsidRPr="00A259BD">
        <w:rPr>
          <w:rFonts w:ascii="Times New Roman" w:hAnsi="Times New Roman"/>
          <w:color w:val="000000" w:themeColor="text1"/>
          <w:sz w:val="16"/>
          <w:szCs w:val="16"/>
        </w:rPr>
        <w:t>Саркомбайн</w:t>
      </w:r>
      <w:proofErr w:type="spellEnd"/>
      <w:r w:rsidRPr="00A259BD">
        <w:rPr>
          <w:rFonts w:ascii="Times New Roman" w:hAnsi="Times New Roman"/>
          <w:color w:val="000000" w:themeColor="text1"/>
          <w:sz w:val="16"/>
          <w:szCs w:val="16"/>
        </w:rPr>
        <w:t>» через несколько лет был реорганизован в авиазавод № 292. Иных достоверных обоснований эта версия до сих пор не встречает. Также не существует сведений об эксплуатации этого самолета в Германии.</w:t>
      </w:r>
    </w:p>
    <w:p w14:paraId="3FAE3529" w14:textId="77777777" w:rsidR="00217D0F" w:rsidRPr="00A259BD" w:rsidRDefault="00217D0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 упомянуть и еще одну область авиационного строительства, в которой фирма Хейнкеля оказала СССР техническую помощь — гидроавиацию и создание для отечественного ВМФ системы катапультного старта самолетов (18263).</w:t>
      </w:r>
    </w:p>
    <w:p w14:paraId="193A33BF" w14:textId="77777777" w:rsidR="00217D0F" w:rsidRPr="00A259BD" w:rsidRDefault="00217D0F" w:rsidP="009236E3">
      <w:pPr>
        <w:spacing w:after="0" w:line="240" w:lineRule="auto"/>
        <w:jc w:val="both"/>
        <w:rPr>
          <w:rFonts w:ascii="Times New Roman" w:hAnsi="Times New Roman"/>
          <w:color w:val="000000" w:themeColor="text1"/>
          <w:sz w:val="16"/>
          <w:szCs w:val="16"/>
        </w:rPr>
      </w:pPr>
    </w:p>
    <w:p w14:paraId="68DFF5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августа 1929 Комиссия, назначенная Нач. УВВС РККА для исследования причин катастрофы 24 августа 1929 в Сочи (Бойцов - председатель, члены - Ангелов, Фаддеев, Смолин, Попов, Наумкин, </w:t>
      </w:r>
      <w:proofErr w:type="spellStart"/>
      <w:r w:rsidRPr="00A259BD">
        <w:rPr>
          <w:rFonts w:ascii="Times New Roman" w:hAnsi="Times New Roman"/>
          <w:color w:val="000000" w:themeColor="text1"/>
          <w:sz w:val="16"/>
          <w:szCs w:val="16"/>
        </w:rPr>
        <w:t>Розаренов</w:t>
      </w:r>
      <w:proofErr w:type="spellEnd"/>
      <w:r w:rsidRPr="00A259BD">
        <w:rPr>
          <w:rFonts w:ascii="Times New Roman" w:hAnsi="Times New Roman"/>
          <w:color w:val="000000" w:themeColor="text1"/>
          <w:sz w:val="16"/>
          <w:szCs w:val="16"/>
        </w:rPr>
        <w:t>), провела заседание и установила, что:</w:t>
      </w:r>
    </w:p>
    <w:p w14:paraId="72E034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Техсостояние самолета и мотора влияния на данную аварию не имели,</w:t>
      </w:r>
    </w:p>
    <w:p w14:paraId="1E5D39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Загрузка самолета была произведена недопустимо небрежно, ответственность за что лежит на начальнике станции т. Веткине, допустившем неправильную запись в борт-</w:t>
      </w:r>
      <w:proofErr w:type="spellStart"/>
      <w:r w:rsidRPr="00A259BD">
        <w:rPr>
          <w:rFonts w:ascii="Times New Roman" w:hAnsi="Times New Roman"/>
          <w:color w:val="000000" w:themeColor="text1"/>
          <w:sz w:val="16"/>
          <w:szCs w:val="16"/>
        </w:rPr>
        <w:t>бухе</w:t>
      </w:r>
      <w:proofErr w:type="spellEnd"/>
      <w:r w:rsidRPr="00A259BD">
        <w:rPr>
          <w:rFonts w:ascii="Times New Roman" w:hAnsi="Times New Roman"/>
          <w:color w:val="000000" w:themeColor="text1"/>
          <w:sz w:val="16"/>
          <w:szCs w:val="16"/>
        </w:rPr>
        <w:t>, а также на начальнике Московской станции, не записавшем в борт-бух вес ребенка.</w:t>
      </w:r>
    </w:p>
    <w:p w14:paraId="798060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Из опыта эксплуатации К-4 и следственного материала следует, что эксплуатация машины при полной нагрузке на данном участке опасна, на что летным составом линии обращалось внимание УВП, но последнее никак на это не реагировало</w:t>
      </w:r>
    </w:p>
    <w:p w14:paraId="4CF535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Комиссия усматривает со стороны пилота т. </w:t>
      </w:r>
      <w:proofErr w:type="spellStart"/>
      <w:r w:rsidRPr="00A259BD">
        <w:rPr>
          <w:rFonts w:ascii="Times New Roman" w:hAnsi="Times New Roman"/>
          <w:color w:val="000000" w:themeColor="text1"/>
          <w:sz w:val="16"/>
          <w:szCs w:val="16"/>
        </w:rPr>
        <w:t>Кадан</w:t>
      </w:r>
      <w:proofErr w:type="spellEnd"/>
      <w:r w:rsidRPr="00A259BD">
        <w:rPr>
          <w:rFonts w:ascii="Times New Roman" w:hAnsi="Times New Roman"/>
          <w:color w:val="000000" w:themeColor="text1"/>
          <w:sz w:val="16"/>
          <w:szCs w:val="16"/>
        </w:rPr>
        <w:t xml:space="preserve"> формальное отношение к загрузке самолета и допущенные вследствие этого ошибки при взлете.</w:t>
      </w:r>
    </w:p>
    <w:p w14:paraId="75FFE9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Комиссия констатирует недостаточность технического надзора на станции Сочи, выражающуюся в:</w:t>
      </w:r>
    </w:p>
    <w:p w14:paraId="759C17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w:t>
      </w:r>
      <w:proofErr w:type="spellStart"/>
      <w:r w:rsidRPr="00A259BD">
        <w:rPr>
          <w:rFonts w:ascii="Times New Roman" w:hAnsi="Times New Roman"/>
          <w:color w:val="000000" w:themeColor="text1"/>
          <w:sz w:val="16"/>
          <w:szCs w:val="16"/>
        </w:rPr>
        <w:t>отсутсии</w:t>
      </w:r>
      <w:proofErr w:type="spellEnd"/>
      <w:r w:rsidRPr="00A259BD">
        <w:rPr>
          <w:rFonts w:ascii="Times New Roman" w:hAnsi="Times New Roman"/>
          <w:color w:val="000000" w:themeColor="text1"/>
          <w:sz w:val="16"/>
          <w:szCs w:val="16"/>
        </w:rPr>
        <w:t xml:space="preserve"> надзора за нагрузкой и инструктирования пассажиров,</w:t>
      </w:r>
    </w:p>
    <w:p w14:paraId="004CAD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отсутствия метеорологического оборудования и обслуживания,</w:t>
      </w:r>
    </w:p>
    <w:p w14:paraId="18B9A7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недостаточности оборудования аэродромов,</w:t>
      </w:r>
    </w:p>
    <w:p w14:paraId="2560A4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небрежно-формальном отношении к ведению формуляров и борт-</w:t>
      </w:r>
      <w:proofErr w:type="spellStart"/>
      <w:r w:rsidRPr="00A259BD">
        <w:rPr>
          <w:rFonts w:ascii="Times New Roman" w:hAnsi="Times New Roman"/>
          <w:color w:val="000000" w:themeColor="text1"/>
          <w:sz w:val="16"/>
          <w:szCs w:val="16"/>
        </w:rPr>
        <w:t>бухов</w:t>
      </w:r>
      <w:proofErr w:type="spellEnd"/>
      <w:r w:rsidRPr="00A259BD">
        <w:rPr>
          <w:rFonts w:ascii="Times New Roman" w:hAnsi="Times New Roman"/>
          <w:color w:val="000000" w:themeColor="text1"/>
          <w:sz w:val="16"/>
          <w:szCs w:val="16"/>
        </w:rPr>
        <w:t>,</w:t>
      </w:r>
    </w:p>
    <w:p w14:paraId="078E09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w:t>
      </w:r>
      <w:proofErr w:type="spellStart"/>
      <w:r w:rsidRPr="00A259BD">
        <w:rPr>
          <w:rFonts w:ascii="Times New Roman" w:hAnsi="Times New Roman"/>
          <w:color w:val="000000" w:themeColor="text1"/>
          <w:sz w:val="16"/>
          <w:szCs w:val="16"/>
        </w:rPr>
        <w:t>Обстоятельствамси</w:t>
      </w:r>
      <w:proofErr w:type="spellEnd"/>
      <w:r w:rsidRPr="00A259BD">
        <w:rPr>
          <w:rFonts w:ascii="Times New Roman" w:hAnsi="Times New Roman"/>
          <w:color w:val="000000" w:themeColor="text1"/>
          <w:sz w:val="16"/>
          <w:szCs w:val="16"/>
        </w:rPr>
        <w:t>, способствовавшими гибели части пассажиров, комиссия считает:</w:t>
      </w:r>
    </w:p>
    <w:p w14:paraId="6F052E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возможное получение ими ушибов при капоте </w:t>
      </w:r>
      <w:proofErr w:type="spellStart"/>
      <w:r w:rsidRPr="00A259BD">
        <w:rPr>
          <w:rFonts w:ascii="Times New Roman" w:hAnsi="Times New Roman"/>
          <w:color w:val="000000" w:themeColor="text1"/>
          <w:sz w:val="16"/>
          <w:szCs w:val="16"/>
        </w:rPr>
        <w:t>самолетапричем</w:t>
      </w:r>
      <w:proofErr w:type="spellEnd"/>
      <w:r w:rsidRPr="00A259BD">
        <w:rPr>
          <w:rFonts w:ascii="Times New Roman" w:hAnsi="Times New Roman"/>
          <w:color w:val="000000" w:themeColor="text1"/>
          <w:sz w:val="16"/>
          <w:szCs w:val="16"/>
        </w:rPr>
        <w:t xml:space="preserve"> ушибы эти могли произойти как от падения багажа, так и от того, что некоторые пассажиры не были привязаны. Отсутствием ушибов могло явиться бессознательное состояние части пассажиров.</w:t>
      </w:r>
    </w:p>
    <w:p w14:paraId="34D48C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неорганизованность спасения ускорила погружение самолета в воду.</w:t>
      </w:r>
    </w:p>
    <w:p w14:paraId="590FD1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Комиссия считает необходимым направить настоящий акт в прокуратуру для привлечения к ответственности непосредственных виновников катастрофы начальника станции Сочи т. Веткина, пилота </w:t>
      </w:r>
      <w:proofErr w:type="spellStart"/>
      <w:r w:rsidRPr="00A259BD">
        <w:rPr>
          <w:rFonts w:ascii="Times New Roman" w:hAnsi="Times New Roman"/>
          <w:color w:val="000000" w:themeColor="text1"/>
          <w:sz w:val="16"/>
          <w:szCs w:val="16"/>
        </w:rPr>
        <w:t>Кадан</w:t>
      </w:r>
      <w:proofErr w:type="spellEnd"/>
      <w:r w:rsidRPr="00A259BD">
        <w:rPr>
          <w:rFonts w:ascii="Times New Roman" w:hAnsi="Times New Roman"/>
          <w:color w:val="000000" w:themeColor="text1"/>
          <w:sz w:val="16"/>
          <w:szCs w:val="16"/>
        </w:rPr>
        <w:t xml:space="preserve"> и других лиц, виновность которых будет установлена следствием (2341).</w:t>
      </w:r>
    </w:p>
    <w:p w14:paraId="4EF1B3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96E7E9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0EFB5FA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A279E65" w14:textId="77777777" w:rsidR="00B01D07" w:rsidRPr="006B74EB" w:rsidRDefault="00B01D07" w:rsidP="00B01D07">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31 </w:t>
      </w:r>
      <w:r w:rsidRPr="006B74EB">
        <w:rPr>
          <w:rFonts w:ascii="Times New Roman" w:hAnsi="Times New Roman"/>
          <w:color w:val="0070C0"/>
          <w:sz w:val="16"/>
          <w:szCs w:val="16"/>
        </w:rPr>
        <w:t>авг</w:t>
      </w:r>
      <w:r>
        <w:rPr>
          <w:rFonts w:ascii="Times New Roman" w:hAnsi="Times New Roman"/>
          <w:color w:val="0070C0"/>
          <w:sz w:val="16"/>
          <w:szCs w:val="16"/>
        </w:rPr>
        <w:t xml:space="preserve">уста </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4 сентября </w:t>
      </w:r>
      <w:r>
        <w:rPr>
          <w:rFonts w:ascii="Times New Roman" w:hAnsi="Times New Roman"/>
          <w:color w:val="0070C0"/>
          <w:sz w:val="16"/>
          <w:szCs w:val="16"/>
        </w:rPr>
        <w:t>1929 г</w:t>
      </w:r>
      <w:r w:rsidRPr="006B74EB">
        <w:rPr>
          <w:rFonts w:ascii="Times New Roman" w:hAnsi="Times New Roman"/>
          <w:color w:val="0070C0"/>
          <w:sz w:val="16"/>
          <w:szCs w:val="16"/>
        </w:rPr>
        <w:t>.</w:t>
      </w:r>
      <w:r>
        <w:rPr>
          <w:rFonts w:ascii="Times New Roman" w:hAnsi="Times New Roman"/>
          <w:color w:val="0070C0"/>
          <w:sz w:val="16"/>
          <w:szCs w:val="16"/>
        </w:rPr>
        <w:t xml:space="preserve"> с</w:t>
      </w:r>
      <w:r w:rsidRPr="006B74EB">
        <w:rPr>
          <w:rFonts w:ascii="Times New Roman" w:hAnsi="Times New Roman"/>
          <w:color w:val="0070C0"/>
          <w:sz w:val="16"/>
          <w:szCs w:val="16"/>
        </w:rPr>
        <w:t>остоялся круговой перелет командиров эс</w:t>
      </w:r>
      <w:r>
        <w:rPr>
          <w:rFonts w:ascii="Times New Roman" w:hAnsi="Times New Roman"/>
          <w:color w:val="0070C0"/>
          <w:sz w:val="16"/>
          <w:szCs w:val="16"/>
        </w:rPr>
        <w:t>кадрилий и</w:t>
      </w:r>
      <w:r w:rsidRPr="006B74EB">
        <w:rPr>
          <w:rFonts w:ascii="Times New Roman" w:hAnsi="Times New Roman"/>
          <w:color w:val="0070C0"/>
          <w:sz w:val="16"/>
          <w:szCs w:val="16"/>
        </w:rPr>
        <w:t xml:space="preserve"> их начальников штабов в качестве летнабов,</w:t>
      </w:r>
      <w:r>
        <w:rPr>
          <w:rFonts w:ascii="Times New Roman" w:hAnsi="Times New Roman"/>
          <w:color w:val="0070C0"/>
          <w:sz w:val="16"/>
          <w:szCs w:val="16"/>
        </w:rPr>
        <w:t xml:space="preserve"> </w:t>
      </w:r>
      <w:r w:rsidRPr="006B74EB">
        <w:rPr>
          <w:rFonts w:ascii="Times New Roman" w:hAnsi="Times New Roman"/>
          <w:color w:val="0070C0"/>
          <w:sz w:val="16"/>
          <w:szCs w:val="16"/>
        </w:rPr>
        <w:t>организован</w:t>
      </w:r>
      <w:r>
        <w:rPr>
          <w:rFonts w:ascii="Times New Roman" w:hAnsi="Times New Roman"/>
          <w:color w:val="0070C0"/>
          <w:sz w:val="16"/>
          <w:szCs w:val="16"/>
        </w:rPr>
        <w:t>ный</w:t>
      </w:r>
      <w:r w:rsidRPr="006B74EB">
        <w:rPr>
          <w:rFonts w:ascii="Times New Roman" w:hAnsi="Times New Roman"/>
          <w:color w:val="0070C0"/>
          <w:sz w:val="16"/>
          <w:szCs w:val="16"/>
        </w:rPr>
        <w:t xml:space="preserve"> ВВС</w:t>
      </w:r>
      <w:r>
        <w:rPr>
          <w:rFonts w:ascii="Times New Roman" w:hAnsi="Times New Roman"/>
          <w:color w:val="0070C0"/>
          <w:sz w:val="16"/>
          <w:szCs w:val="16"/>
        </w:rPr>
        <w:t xml:space="preserve"> в</w:t>
      </w:r>
      <w:r w:rsidRPr="006B74EB">
        <w:rPr>
          <w:rFonts w:ascii="Times New Roman" w:hAnsi="Times New Roman"/>
          <w:color w:val="0070C0"/>
          <w:sz w:val="16"/>
          <w:szCs w:val="16"/>
        </w:rPr>
        <w:t xml:space="preserve"> целях тренировки. В перелете участвовали экипажи ВВС окру</w:t>
      </w:r>
      <w:r>
        <w:rPr>
          <w:rFonts w:ascii="Times New Roman" w:hAnsi="Times New Roman"/>
          <w:color w:val="0070C0"/>
          <w:sz w:val="16"/>
          <w:szCs w:val="16"/>
        </w:rPr>
        <w:t>гов и</w:t>
      </w:r>
      <w:r w:rsidRPr="006B74EB">
        <w:rPr>
          <w:rFonts w:ascii="Times New Roman" w:hAnsi="Times New Roman"/>
          <w:color w:val="0070C0"/>
          <w:sz w:val="16"/>
          <w:szCs w:val="16"/>
        </w:rPr>
        <w:t xml:space="preserve"> летных </w:t>
      </w:r>
      <w:r>
        <w:rPr>
          <w:rFonts w:ascii="Times New Roman" w:hAnsi="Times New Roman"/>
          <w:color w:val="0070C0"/>
          <w:sz w:val="16"/>
          <w:szCs w:val="16"/>
        </w:rPr>
        <w:t>ш</w:t>
      </w:r>
      <w:r w:rsidRPr="006B74EB">
        <w:rPr>
          <w:rFonts w:ascii="Times New Roman" w:hAnsi="Times New Roman"/>
          <w:color w:val="0070C0"/>
          <w:sz w:val="16"/>
          <w:szCs w:val="16"/>
        </w:rPr>
        <w:t>кол,</w:t>
      </w:r>
      <w:r>
        <w:rPr>
          <w:rFonts w:ascii="Times New Roman" w:hAnsi="Times New Roman"/>
          <w:color w:val="0070C0"/>
          <w:sz w:val="16"/>
          <w:szCs w:val="16"/>
        </w:rPr>
        <w:t xml:space="preserve"> в</w:t>
      </w:r>
      <w:r w:rsidRPr="006B74EB">
        <w:rPr>
          <w:rFonts w:ascii="Times New Roman" w:hAnsi="Times New Roman"/>
          <w:color w:val="0070C0"/>
          <w:sz w:val="16"/>
          <w:szCs w:val="16"/>
        </w:rPr>
        <w:t>сего - экипажей.</w:t>
      </w:r>
      <w:r>
        <w:rPr>
          <w:rFonts w:ascii="Times New Roman" w:hAnsi="Times New Roman"/>
          <w:color w:val="0070C0"/>
          <w:sz w:val="16"/>
          <w:szCs w:val="16"/>
        </w:rPr>
        <w:t xml:space="preserve"> </w:t>
      </w:r>
      <w:r w:rsidRPr="006B74EB">
        <w:rPr>
          <w:rFonts w:ascii="Times New Roman" w:hAnsi="Times New Roman"/>
          <w:color w:val="0070C0"/>
          <w:sz w:val="16"/>
          <w:szCs w:val="16"/>
        </w:rPr>
        <w:t>Маршрут перелета:</w:t>
      </w:r>
      <w:r>
        <w:rPr>
          <w:rFonts w:ascii="Times New Roman" w:hAnsi="Times New Roman"/>
          <w:color w:val="0070C0"/>
          <w:sz w:val="16"/>
          <w:szCs w:val="16"/>
        </w:rPr>
        <w:t xml:space="preserve"> </w:t>
      </w:r>
      <w:r w:rsidRPr="006B74EB">
        <w:rPr>
          <w:rFonts w:ascii="Times New Roman" w:hAnsi="Times New Roman"/>
          <w:color w:val="0070C0"/>
          <w:sz w:val="16"/>
          <w:szCs w:val="16"/>
        </w:rPr>
        <w:t>Ленинград-</w:t>
      </w:r>
      <w:r>
        <w:rPr>
          <w:rFonts w:ascii="Times New Roman" w:hAnsi="Times New Roman"/>
          <w:color w:val="0070C0"/>
          <w:sz w:val="16"/>
          <w:szCs w:val="16"/>
        </w:rPr>
        <w:t>Ярославль</w:t>
      </w:r>
      <w:r w:rsidRPr="006B74EB">
        <w:rPr>
          <w:rFonts w:ascii="Times New Roman" w:hAnsi="Times New Roman"/>
          <w:color w:val="0070C0"/>
          <w:sz w:val="16"/>
          <w:szCs w:val="16"/>
        </w:rPr>
        <w:t>-Вятка-Пермь-</w:t>
      </w:r>
      <w:r>
        <w:rPr>
          <w:rFonts w:ascii="Times New Roman" w:hAnsi="Times New Roman"/>
          <w:color w:val="0070C0"/>
          <w:sz w:val="16"/>
          <w:szCs w:val="16"/>
        </w:rPr>
        <w:t>С</w:t>
      </w:r>
      <w:r w:rsidRPr="006B74EB">
        <w:rPr>
          <w:rFonts w:ascii="Times New Roman" w:hAnsi="Times New Roman"/>
          <w:color w:val="0070C0"/>
          <w:sz w:val="16"/>
          <w:szCs w:val="16"/>
        </w:rPr>
        <w:t>вердловск-Уфа-Оренбург-</w:t>
      </w:r>
      <w:r>
        <w:rPr>
          <w:rFonts w:ascii="Times New Roman" w:hAnsi="Times New Roman"/>
          <w:color w:val="0070C0"/>
          <w:sz w:val="16"/>
          <w:szCs w:val="16"/>
        </w:rPr>
        <w:t>Н</w:t>
      </w:r>
      <w:r w:rsidRPr="006B74EB">
        <w:rPr>
          <w:rFonts w:ascii="Times New Roman" w:hAnsi="Times New Roman"/>
          <w:color w:val="0070C0"/>
          <w:sz w:val="16"/>
          <w:szCs w:val="16"/>
        </w:rPr>
        <w:t>ижний Новгород-</w:t>
      </w:r>
      <w:r>
        <w:rPr>
          <w:rFonts w:ascii="Times New Roman" w:hAnsi="Times New Roman"/>
          <w:color w:val="0070C0"/>
          <w:sz w:val="16"/>
          <w:szCs w:val="16"/>
        </w:rPr>
        <w:t>М</w:t>
      </w:r>
      <w:r w:rsidRPr="006B74EB">
        <w:rPr>
          <w:rFonts w:ascii="Times New Roman" w:hAnsi="Times New Roman"/>
          <w:color w:val="0070C0"/>
          <w:sz w:val="16"/>
          <w:szCs w:val="16"/>
        </w:rPr>
        <w:t>ос</w:t>
      </w:r>
      <w:r>
        <w:rPr>
          <w:rFonts w:ascii="Times New Roman" w:hAnsi="Times New Roman"/>
          <w:color w:val="0070C0"/>
          <w:sz w:val="16"/>
          <w:szCs w:val="16"/>
        </w:rPr>
        <w:t>ква</w:t>
      </w:r>
      <w:r w:rsidRPr="006B74EB">
        <w:rPr>
          <w:rFonts w:ascii="Times New Roman" w:hAnsi="Times New Roman"/>
          <w:color w:val="0070C0"/>
          <w:sz w:val="16"/>
          <w:szCs w:val="16"/>
        </w:rPr>
        <w:t>-</w:t>
      </w:r>
      <w:proofErr w:type="spellStart"/>
      <w:r w:rsidRPr="006B74EB">
        <w:rPr>
          <w:rFonts w:ascii="Times New Roman" w:hAnsi="Times New Roman"/>
          <w:color w:val="0070C0"/>
          <w:sz w:val="16"/>
          <w:szCs w:val="16"/>
        </w:rPr>
        <w:t>Ватебск</w:t>
      </w:r>
      <w:proofErr w:type="spellEnd"/>
      <w:r w:rsidRPr="006B74EB">
        <w:rPr>
          <w:rFonts w:ascii="Times New Roman" w:hAnsi="Times New Roman"/>
          <w:color w:val="0070C0"/>
          <w:sz w:val="16"/>
          <w:szCs w:val="16"/>
        </w:rPr>
        <w:t xml:space="preserve">-Ленинград общим </w:t>
      </w:r>
      <w:r>
        <w:rPr>
          <w:rFonts w:ascii="Times New Roman" w:hAnsi="Times New Roman"/>
          <w:color w:val="0070C0"/>
          <w:sz w:val="16"/>
          <w:szCs w:val="16"/>
        </w:rPr>
        <w:t>пр</w:t>
      </w:r>
      <w:r w:rsidRPr="006B74EB">
        <w:rPr>
          <w:rFonts w:ascii="Times New Roman" w:hAnsi="Times New Roman"/>
          <w:color w:val="0070C0"/>
          <w:sz w:val="16"/>
          <w:szCs w:val="16"/>
        </w:rPr>
        <w:t>отя</w:t>
      </w:r>
      <w:r>
        <w:rPr>
          <w:rFonts w:ascii="Times New Roman" w:hAnsi="Times New Roman"/>
          <w:color w:val="0070C0"/>
          <w:sz w:val="16"/>
          <w:szCs w:val="16"/>
        </w:rPr>
        <w:t>жением</w:t>
      </w:r>
      <w:r w:rsidRPr="006B74EB">
        <w:rPr>
          <w:rFonts w:ascii="Times New Roman" w:hAnsi="Times New Roman"/>
          <w:color w:val="0070C0"/>
          <w:sz w:val="16"/>
          <w:szCs w:val="16"/>
        </w:rPr>
        <w:t xml:space="preserve"> 4875 км.</w:t>
      </w:r>
      <w:r>
        <w:rPr>
          <w:rFonts w:ascii="Times New Roman" w:hAnsi="Times New Roman"/>
          <w:color w:val="0070C0"/>
          <w:sz w:val="16"/>
          <w:szCs w:val="16"/>
        </w:rPr>
        <w:t xml:space="preserve"> </w:t>
      </w:r>
      <w:r w:rsidRPr="006B74EB">
        <w:rPr>
          <w:rFonts w:ascii="Times New Roman" w:hAnsi="Times New Roman"/>
          <w:color w:val="0070C0"/>
          <w:sz w:val="16"/>
          <w:szCs w:val="16"/>
        </w:rPr>
        <w:t>Первое место за</w:t>
      </w:r>
      <w:r>
        <w:rPr>
          <w:rFonts w:ascii="Times New Roman" w:hAnsi="Times New Roman"/>
          <w:color w:val="0070C0"/>
          <w:sz w:val="16"/>
          <w:szCs w:val="16"/>
        </w:rPr>
        <w:t>нял</w:t>
      </w:r>
      <w:r w:rsidRPr="006B74EB">
        <w:rPr>
          <w:rFonts w:ascii="Times New Roman" w:hAnsi="Times New Roman"/>
          <w:color w:val="0070C0"/>
          <w:sz w:val="16"/>
          <w:szCs w:val="16"/>
        </w:rPr>
        <w:t xml:space="preserve"> командир </w:t>
      </w:r>
      <w:proofErr w:type="spellStart"/>
      <w:r>
        <w:rPr>
          <w:rFonts w:ascii="Times New Roman" w:hAnsi="Times New Roman"/>
          <w:color w:val="0070C0"/>
          <w:sz w:val="16"/>
          <w:szCs w:val="16"/>
        </w:rPr>
        <w:t>э</w:t>
      </w:r>
      <w:r w:rsidRPr="006B74EB">
        <w:rPr>
          <w:rFonts w:ascii="Times New Roman" w:hAnsi="Times New Roman"/>
          <w:color w:val="0070C0"/>
          <w:sz w:val="16"/>
          <w:szCs w:val="16"/>
        </w:rPr>
        <w:t>скедрн</w:t>
      </w:r>
      <w:r>
        <w:rPr>
          <w:rFonts w:ascii="Times New Roman" w:hAnsi="Times New Roman"/>
          <w:color w:val="0070C0"/>
          <w:sz w:val="16"/>
          <w:szCs w:val="16"/>
        </w:rPr>
        <w:t>л</w:t>
      </w:r>
      <w:r w:rsidRPr="006B74EB">
        <w:rPr>
          <w:rFonts w:ascii="Times New Roman" w:hAnsi="Times New Roman"/>
          <w:color w:val="0070C0"/>
          <w:sz w:val="16"/>
          <w:szCs w:val="16"/>
        </w:rPr>
        <w:t>ии</w:t>
      </w:r>
      <w:proofErr w:type="spellEnd"/>
      <w:r w:rsidRPr="006B74EB">
        <w:rPr>
          <w:rFonts w:ascii="Times New Roman" w:hAnsi="Times New Roman"/>
          <w:color w:val="0070C0"/>
          <w:sz w:val="16"/>
          <w:szCs w:val="16"/>
        </w:rPr>
        <w:t xml:space="preserve"> НИИ </w:t>
      </w:r>
      <w:r>
        <w:rPr>
          <w:rFonts w:ascii="Times New Roman" w:hAnsi="Times New Roman"/>
          <w:color w:val="0070C0"/>
          <w:sz w:val="16"/>
          <w:szCs w:val="16"/>
        </w:rPr>
        <w:t xml:space="preserve">ВВС </w:t>
      </w:r>
      <w:proofErr w:type="spellStart"/>
      <w:r>
        <w:rPr>
          <w:rFonts w:ascii="Times New Roman" w:hAnsi="Times New Roman"/>
          <w:color w:val="0070C0"/>
          <w:sz w:val="16"/>
          <w:szCs w:val="16"/>
        </w:rPr>
        <w:t>И.Ф.Козлов</w:t>
      </w:r>
      <w:proofErr w:type="spellEnd"/>
      <w:r>
        <w:rPr>
          <w:rFonts w:ascii="Times New Roman" w:hAnsi="Times New Roman"/>
          <w:color w:val="0070C0"/>
          <w:sz w:val="16"/>
          <w:szCs w:val="16"/>
        </w:rPr>
        <w:t xml:space="preserve"> с</w:t>
      </w:r>
      <w:r w:rsidRPr="006B74EB">
        <w:rPr>
          <w:rFonts w:ascii="Times New Roman" w:hAnsi="Times New Roman"/>
          <w:color w:val="0070C0"/>
          <w:sz w:val="16"/>
          <w:szCs w:val="16"/>
        </w:rPr>
        <w:t xml:space="preserve"> летнабом </w:t>
      </w:r>
      <w:proofErr w:type="spellStart"/>
      <w:r>
        <w:rPr>
          <w:rFonts w:ascii="Times New Roman" w:hAnsi="Times New Roman"/>
          <w:color w:val="0070C0"/>
          <w:sz w:val="16"/>
          <w:szCs w:val="16"/>
        </w:rPr>
        <w:t>С</w:t>
      </w:r>
      <w:r w:rsidRPr="006B74EB">
        <w:rPr>
          <w:rFonts w:ascii="Times New Roman" w:hAnsi="Times New Roman"/>
          <w:color w:val="0070C0"/>
          <w:sz w:val="16"/>
          <w:szCs w:val="16"/>
        </w:rPr>
        <w:t>.А.Да</w:t>
      </w:r>
      <w:r>
        <w:rPr>
          <w:rFonts w:ascii="Times New Roman" w:hAnsi="Times New Roman"/>
          <w:color w:val="0070C0"/>
          <w:sz w:val="16"/>
          <w:szCs w:val="16"/>
        </w:rPr>
        <w:t>н</w:t>
      </w:r>
      <w:r w:rsidRPr="006B74EB">
        <w:rPr>
          <w:rFonts w:ascii="Times New Roman" w:hAnsi="Times New Roman"/>
          <w:color w:val="0070C0"/>
          <w:sz w:val="16"/>
          <w:szCs w:val="16"/>
        </w:rPr>
        <w:t>нли</w:t>
      </w:r>
      <w:r>
        <w:rPr>
          <w:rFonts w:ascii="Times New Roman" w:hAnsi="Times New Roman"/>
          <w:color w:val="0070C0"/>
          <w:sz w:val="16"/>
          <w:szCs w:val="16"/>
        </w:rPr>
        <w:t>ным</w:t>
      </w:r>
      <w:proofErr w:type="spellEnd"/>
      <w:r>
        <w:rPr>
          <w:rFonts w:ascii="Times New Roman" w:hAnsi="Times New Roman"/>
          <w:color w:val="0070C0"/>
          <w:sz w:val="16"/>
          <w:szCs w:val="16"/>
        </w:rPr>
        <w:t xml:space="preserve">, </w:t>
      </w:r>
      <w:r w:rsidRPr="006B74EB">
        <w:rPr>
          <w:rFonts w:ascii="Times New Roman" w:hAnsi="Times New Roman"/>
          <w:color w:val="0070C0"/>
          <w:sz w:val="16"/>
          <w:szCs w:val="16"/>
        </w:rPr>
        <w:t>про</w:t>
      </w:r>
      <w:r>
        <w:rPr>
          <w:rFonts w:ascii="Times New Roman" w:hAnsi="Times New Roman"/>
          <w:color w:val="0070C0"/>
          <w:sz w:val="16"/>
          <w:szCs w:val="16"/>
        </w:rPr>
        <w:t>ш</w:t>
      </w:r>
      <w:r w:rsidRPr="006B74EB">
        <w:rPr>
          <w:rFonts w:ascii="Times New Roman" w:hAnsi="Times New Roman"/>
          <w:color w:val="0070C0"/>
          <w:sz w:val="16"/>
          <w:szCs w:val="16"/>
        </w:rPr>
        <w:t>ед</w:t>
      </w:r>
      <w:r>
        <w:rPr>
          <w:rFonts w:ascii="Times New Roman" w:hAnsi="Times New Roman"/>
          <w:color w:val="0070C0"/>
          <w:sz w:val="16"/>
          <w:szCs w:val="16"/>
        </w:rPr>
        <w:t>ш</w:t>
      </w:r>
      <w:r w:rsidRPr="006B74EB">
        <w:rPr>
          <w:rFonts w:ascii="Times New Roman" w:hAnsi="Times New Roman"/>
          <w:color w:val="0070C0"/>
          <w:sz w:val="16"/>
          <w:szCs w:val="16"/>
        </w:rPr>
        <w:t xml:space="preserve">ий весь маршрут в наименьшее время </w:t>
      </w:r>
      <w:r>
        <w:rPr>
          <w:rFonts w:ascii="Times New Roman" w:hAnsi="Times New Roman"/>
          <w:color w:val="0070C0"/>
          <w:sz w:val="16"/>
          <w:szCs w:val="16"/>
        </w:rPr>
        <w:t>–</w:t>
      </w:r>
      <w:r w:rsidRPr="006B74EB">
        <w:rPr>
          <w:rFonts w:ascii="Times New Roman" w:hAnsi="Times New Roman"/>
          <w:color w:val="0070C0"/>
          <w:sz w:val="16"/>
          <w:szCs w:val="16"/>
        </w:rPr>
        <w:t xml:space="preserve"> 76</w:t>
      </w:r>
      <w:r>
        <w:rPr>
          <w:rFonts w:ascii="Times New Roman" w:hAnsi="Times New Roman"/>
          <w:color w:val="0070C0"/>
          <w:sz w:val="16"/>
          <w:szCs w:val="16"/>
        </w:rPr>
        <w:t xml:space="preserve"> ч. </w:t>
      </w:r>
      <w:r w:rsidRPr="006B74EB">
        <w:rPr>
          <w:rFonts w:ascii="Times New Roman" w:hAnsi="Times New Roman"/>
          <w:color w:val="0070C0"/>
          <w:sz w:val="16"/>
          <w:szCs w:val="16"/>
        </w:rPr>
        <w:t xml:space="preserve">б минут </w:t>
      </w:r>
      <w:r>
        <w:rPr>
          <w:rFonts w:ascii="Times New Roman" w:hAnsi="Times New Roman"/>
          <w:color w:val="0070C0"/>
          <w:sz w:val="16"/>
          <w:szCs w:val="16"/>
        </w:rPr>
        <w:t>с</w:t>
      </w:r>
      <w:r w:rsidRPr="006B74EB">
        <w:rPr>
          <w:rFonts w:ascii="Times New Roman" w:hAnsi="Times New Roman"/>
          <w:color w:val="0070C0"/>
          <w:sz w:val="16"/>
          <w:szCs w:val="16"/>
        </w:rPr>
        <w:t xml:space="preserve"> за</w:t>
      </w:r>
      <w:r>
        <w:rPr>
          <w:rFonts w:ascii="Times New Roman" w:hAnsi="Times New Roman"/>
          <w:color w:val="0070C0"/>
          <w:sz w:val="16"/>
          <w:szCs w:val="16"/>
        </w:rPr>
        <w:t>тра</w:t>
      </w:r>
      <w:r w:rsidRPr="006B74EB">
        <w:rPr>
          <w:rFonts w:ascii="Times New Roman" w:hAnsi="Times New Roman"/>
          <w:color w:val="0070C0"/>
          <w:sz w:val="16"/>
          <w:szCs w:val="16"/>
        </w:rPr>
        <w:t xml:space="preserve">той 31 </w:t>
      </w:r>
      <w:r>
        <w:rPr>
          <w:rFonts w:ascii="Times New Roman" w:hAnsi="Times New Roman"/>
          <w:color w:val="0070C0"/>
          <w:sz w:val="16"/>
          <w:szCs w:val="16"/>
        </w:rPr>
        <w:t>ч</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40 минут летного времени</w:t>
      </w:r>
      <w:r>
        <w:rPr>
          <w:rFonts w:ascii="Times New Roman" w:hAnsi="Times New Roman"/>
          <w:color w:val="0070C0"/>
          <w:sz w:val="16"/>
          <w:szCs w:val="16"/>
        </w:rPr>
        <w:t>.</w:t>
      </w:r>
    </w:p>
    <w:p w14:paraId="6CF46C32" w14:textId="77777777" w:rsidR="00B01D07" w:rsidRDefault="00B01D07" w:rsidP="00B01D07">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w:t>
      </w:r>
      <w:r>
        <w:rPr>
          <w:rFonts w:ascii="Times New Roman" w:hAnsi="Times New Roman"/>
          <w:color w:val="0070C0"/>
          <w:sz w:val="16"/>
          <w:szCs w:val="16"/>
        </w:rPr>
        <w:t>«</w:t>
      </w:r>
      <w:r w:rsidRPr="006B74EB">
        <w:rPr>
          <w:rFonts w:ascii="Times New Roman" w:hAnsi="Times New Roman"/>
          <w:color w:val="0070C0"/>
          <w:sz w:val="16"/>
          <w:szCs w:val="16"/>
        </w:rPr>
        <w:t>Красная звезда</w:t>
      </w:r>
      <w:r>
        <w:rPr>
          <w:rFonts w:ascii="Times New Roman" w:hAnsi="Times New Roman"/>
          <w:color w:val="0070C0"/>
          <w:sz w:val="16"/>
          <w:szCs w:val="16"/>
        </w:rPr>
        <w:t>»</w:t>
      </w:r>
      <w:r w:rsidRPr="006B74EB">
        <w:rPr>
          <w:rFonts w:ascii="Times New Roman" w:hAnsi="Times New Roman"/>
          <w:color w:val="0070C0"/>
          <w:sz w:val="16"/>
          <w:szCs w:val="16"/>
        </w:rPr>
        <w:t xml:space="preserve"> за 1</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3, </w:t>
      </w:r>
      <w:r>
        <w:rPr>
          <w:rFonts w:ascii="Times New Roman" w:hAnsi="Times New Roman"/>
          <w:color w:val="0070C0"/>
          <w:sz w:val="16"/>
          <w:szCs w:val="16"/>
        </w:rPr>
        <w:t>6</w:t>
      </w:r>
      <w:r w:rsidRPr="006B74EB">
        <w:rPr>
          <w:rFonts w:ascii="Times New Roman" w:hAnsi="Times New Roman"/>
          <w:color w:val="0070C0"/>
          <w:sz w:val="16"/>
          <w:szCs w:val="16"/>
        </w:rPr>
        <w:t xml:space="preserve"> </w:t>
      </w:r>
      <w:r>
        <w:rPr>
          <w:rFonts w:ascii="Times New Roman" w:hAnsi="Times New Roman"/>
          <w:color w:val="0070C0"/>
          <w:sz w:val="16"/>
          <w:szCs w:val="16"/>
        </w:rPr>
        <w:t>с</w:t>
      </w:r>
      <w:r w:rsidRPr="006B74EB">
        <w:rPr>
          <w:rFonts w:ascii="Times New Roman" w:hAnsi="Times New Roman"/>
          <w:color w:val="0070C0"/>
          <w:sz w:val="16"/>
          <w:szCs w:val="16"/>
        </w:rPr>
        <w:t xml:space="preserve">ентября </w:t>
      </w:r>
      <w:r>
        <w:rPr>
          <w:rFonts w:ascii="Times New Roman" w:hAnsi="Times New Roman"/>
          <w:color w:val="0070C0"/>
          <w:sz w:val="16"/>
          <w:szCs w:val="16"/>
        </w:rPr>
        <w:t>1929 г</w:t>
      </w:r>
      <w:r w:rsidRPr="006B74EB">
        <w:rPr>
          <w:rFonts w:ascii="Times New Roman" w:hAnsi="Times New Roman"/>
          <w:color w:val="0070C0"/>
          <w:sz w:val="16"/>
          <w:szCs w:val="16"/>
        </w:rPr>
        <w:t>./</w:t>
      </w:r>
      <w:r>
        <w:rPr>
          <w:rFonts w:ascii="Times New Roman" w:hAnsi="Times New Roman"/>
          <w:color w:val="0070C0"/>
          <w:sz w:val="16"/>
          <w:szCs w:val="16"/>
        </w:rPr>
        <w:t xml:space="preserve"> (23370).</w:t>
      </w:r>
    </w:p>
    <w:p w14:paraId="77E79C64" w14:textId="77777777" w:rsidR="00B01D07" w:rsidRPr="006B74EB" w:rsidRDefault="00B01D07" w:rsidP="00B01D07">
      <w:pPr>
        <w:spacing w:after="0" w:line="240" w:lineRule="auto"/>
        <w:jc w:val="both"/>
        <w:rPr>
          <w:rFonts w:ascii="Times New Roman" w:hAnsi="Times New Roman"/>
          <w:color w:val="0070C0"/>
          <w:sz w:val="16"/>
          <w:szCs w:val="16"/>
        </w:rPr>
      </w:pPr>
    </w:p>
    <w:p w14:paraId="5C90E8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августа 1929 разведчики сообщили, что из </w:t>
      </w:r>
      <w:proofErr w:type="spellStart"/>
      <w:r w:rsidRPr="00A259BD">
        <w:rPr>
          <w:rFonts w:ascii="Times New Roman" w:hAnsi="Times New Roman"/>
          <w:color w:val="000000" w:themeColor="text1"/>
          <w:sz w:val="16"/>
          <w:szCs w:val="16"/>
        </w:rPr>
        <w:t>Мукдена</w:t>
      </w:r>
      <w:proofErr w:type="spellEnd"/>
      <w:r w:rsidRPr="00A259BD">
        <w:rPr>
          <w:rFonts w:ascii="Times New Roman" w:hAnsi="Times New Roman"/>
          <w:color w:val="000000" w:themeColor="text1"/>
          <w:sz w:val="16"/>
          <w:szCs w:val="16"/>
        </w:rPr>
        <w:t xml:space="preserve"> в направлении ст. Маньч</w:t>
      </w:r>
      <w:r w:rsidRPr="00A259BD">
        <w:rPr>
          <w:rFonts w:ascii="Times New Roman" w:hAnsi="Times New Roman"/>
          <w:color w:val="000000" w:themeColor="text1"/>
          <w:sz w:val="16"/>
          <w:szCs w:val="16"/>
        </w:rPr>
        <w:softHyphen/>
        <w:t>журия отправлен авиаотряд из 20 са</w:t>
      </w:r>
      <w:r w:rsidRPr="00A259BD">
        <w:rPr>
          <w:rFonts w:ascii="Times New Roman" w:hAnsi="Times New Roman"/>
          <w:color w:val="000000" w:themeColor="text1"/>
          <w:sz w:val="16"/>
          <w:szCs w:val="16"/>
        </w:rPr>
        <w:softHyphen/>
        <w:t>молетов. Далее каких-либо упомина</w:t>
      </w:r>
      <w:r w:rsidRPr="00A259BD">
        <w:rPr>
          <w:rFonts w:ascii="Times New Roman" w:hAnsi="Times New Roman"/>
          <w:color w:val="000000" w:themeColor="text1"/>
          <w:sz w:val="16"/>
          <w:szCs w:val="16"/>
        </w:rPr>
        <w:softHyphen/>
        <w:t>ний о китайской авиации в советских донесениях не было до 5 октября, в тот день через Харбин на западную линию КВЖД проследовали два авиаотряда в составе: до 175 солдат, трех грузовых автомобилей, двух брезентовых анга</w:t>
      </w:r>
      <w:r w:rsidRPr="00A259BD">
        <w:rPr>
          <w:rFonts w:ascii="Times New Roman" w:hAnsi="Times New Roman"/>
          <w:color w:val="000000" w:themeColor="text1"/>
          <w:sz w:val="16"/>
          <w:szCs w:val="16"/>
        </w:rPr>
        <w:softHyphen/>
        <w:t>ров и двух зенитных орудий (тип и ко</w:t>
      </w:r>
      <w:r w:rsidRPr="00A259BD">
        <w:rPr>
          <w:rFonts w:ascii="Times New Roman" w:hAnsi="Times New Roman"/>
          <w:color w:val="000000" w:themeColor="text1"/>
          <w:sz w:val="16"/>
          <w:szCs w:val="16"/>
        </w:rPr>
        <w:softHyphen/>
        <w:t>личество самолетов разведчики не смогли установить) (11216).</w:t>
      </w:r>
    </w:p>
    <w:p w14:paraId="3E4497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73F2D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337316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76F8228"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color w:val="000000" w:themeColor="text1"/>
          <w:sz w:val="16"/>
          <w:szCs w:val="16"/>
        </w:rPr>
        <w:t>В конце августа 1929 года был подготовлен проект пятилетнего плана опытного самолетостроения, подготовленный, включал в себя и «план опытного строительства предметов стрелкового вооружения самолетов ВВС РККА». В объяснительной записке к плану отмечалось, что:</w:t>
      </w:r>
    </w:p>
    <w:p w14:paraId="4BE0F96B"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«В настоящее время, за границей и у нас тактика воздушного боя намечает переход от стрельбы с близкого расстояния к стрельбе на дальние дистанции. С увеличением же дистанции стрельбы вероятность поражения самолетов противника убывает. Чтобы компенсировать это уменьшение вероятности поражения, приходится или увеличивать количество пулеметов, стреляющих по данному направлению, или увеличивать скорострельность пулеметов, или, наконец, увеличивать сферу поражения, даваемую отдельным снарядом.</w:t>
      </w:r>
    </w:p>
    <w:p w14:paraId="10CD6341"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В соответствии с этим при составлении плана опытных работ обращено внимание на усиление вооружения самолетов в количественном и качественном отношении, а также на разработку новых образцов вооружения.</w:t>
      </w:r>
    </w:p>
    <w:p w14:paraId="32655EE0"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7"/>
          <w:b w:val="0"/>
          <w:color w:val="000000" w:themeColor="text1"/>
          <w:sz w:val="16"/>
          <w:szCs w:val="16"/>
          <w:bdr w:val="none" w:sz="0" w:space="0" w:color="auto" w:frame="1"/>
        </w:rPr>
        <w:t>ПУШКИ</w:t>
      </w:r>
    </w:p>
    <w:p w14:paraId="75F57BEE"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Введение для вооружения самолетов орудий разных калибров вызывается необходимостью более действенного поражения воздушного противника не только при прямом попадании снаряда в летчика или в жизненную часть самолета, но и при разрыве снаряда вблизи от самолета.</w:t>
      </w:r>
    </w:p>
    <w:p w14:paraId="65A06161"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В виду отсутствия опыта в конструировании таких орудий, в установке их на самолет, в ведении стрельбы из таких орудий и в том, какое разрушительное действие производят различные снаряды на самолет, в план опытных работ включена разработка нескольких типов орудий, устанавливаемых на самолет.</w:t>
      </w:r>
    </w:p>
    <w:p w14:paraId="54C4B342"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 xml:space="preserve">Безоткатная пушка калибром 76,2 мм разрабатывается конструкторским бюро </w:t>
      </w:r>
      <w:proofErr w:type="spellStart"/>
      <w:r w:rsidRPr="00A259BD">
        <w:rPr>
          <w:rStyle w:val="af0"/>
          <w:i w:val="0"/>
          <w:color w:val="000000" w:themeColor="text1"/>
          <w:sz w:val="16"/>
          <w:szCs w:val="16"/>
          <w:bdr w:val="none" w:sz="0" w:space="0" w:color="auto" w:frame="1"/>
        </w:rPr>
        <w:t>Арткома</w:t>
      </w:r>
      <w:proofErr w:type="spellEnd"/>
      <w:r w:rsidRPr="00A259BD">
        <w:rPr>
          <w:rStyle w:val="af0"/>
          <w:i w:val="0"/>
          <w:color w:val="000000" w:themeColor="text1"/>
          <w:sz w:val="16"/>
          <w:szCs w:val="16"/>
          <w:bdr w:val="none" w:sz="0" w:space="0" w:color="auto" w:frame="1"/>
        </w:rPr>
        <w:t xml:space="preserve"> совместно с Главным Артиллерийским Полигоном и предполагается к установке на самолет Р-6 для стрельбы с турели.</w:t>
      </w:r>
    </w:p>
    <w:p w14:paraId="191DCFD5"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 xml:space="preserve">В течение полутора лет после окончательного рассмотрения результатов </w:t>
      </w:r>
      <w:proofErr w:type="spellStart"/>
      <w:r w:rsidRPr="00A259BD">
        <w:rPr>
          <w:rStyle w:val="af0"/>
          <w:i w:val="0"/>
          <w:color w:val="000000" w:themeColor="text1"/>
          <w:sz w:val="16"/>
          <w:szCs w:val="16"/>
          <w:bdr w:val="none" w:sz="0" w:space="0" w:color="auto" w:frame="1"/>
        </w:rPr>
        <w:t>испытывавшейся</w:t>
      </w:r>
      <w:proofErr w:type="spellEnd"/>
      <w:r w:rsidRPr="00A259BD">
        <w:rPr>
          <w:rStyle w:val="af0"/>
          <w:i w:val="0"/>
          <w:color w:val="000000" w:themeColor="text1"/>
          <w:sz w:val="16"/>
          <w:szCs w:val="16"/>
          <w:bdr w:val="none" w:sz="0" w:space="0" w:color="auto" w:frame="1"/>
        </w:rPr>
        <w:t xml:space="preserve"> пушки собирается материал об ее эксплуатации, и выясняются те недочеты, которые необходимо устранить при последующем проектировании и постройке пушек этого типа.</w:t>
      </w:r>
    </w:p>
    <w:p w14:paraId="27BAE497"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lastRenderedPageBreak/>
        <w:t>В 1932 году начинается проектирование 2-го варианта, более совершенного, чем 1-й.</w:t>
      </w:r>
    </w:p>
    <w:p w14:paraId="47E02FE6"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 xml:space="preserve">Три типа безоткатных пушек разрабатываются гр. </w:t>
      </w:r>
      <w:proofErr w:type="spellStart"/>
      <w:r w:rsidRPr="00A259BD">
        <w:rPr>
          <w:rStyle w:val="af0"/>
          <w:i w:val="0"/>
          <w:color w:val="000000" w:themeColor="text1"/>
          <w:sz w:val="16"/>
          <w:szCs w:val="16"/>
          <w:bdr w:val="none" w:sz="0" w:space="0" w:color="auto" w:frame="1"/>
        </w:rPr>
        <w:t>Курчевским</w:t>
      </w:r>
      <w:proofErr w:type="spellEnd"/>
      <w:r w:rsidRPr="00A259BD">
        <w:rPr>
          <w:rStyle w:val="af0"/>
          <w:i w:val="0"/>
          <w:color w:val="000000" w:themeColor="text1"/>
          <w:sz w:val="16"/>
          <w:szCs w:val="16"/>
          <w:bdr w:val="none" w:sz="0" w:space="0" w:color="auto" w:frame="1"/>
        </w:rPr>
        <w:t xml:space="preserve"> и изготавливаются под его руководством в особых мастерских АУ.</w:t>
      </w:r>
    </w:p>
    <w:p w14:paraId="7E9A697C"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Первый тип пушки калибром 76,2 мм предполагается использовать для изучения баллистики картечного выстрела, т.к. в настоящее время этот вопрос совершенно не изучен.</w:t>
      </w:r>
    </w:p>
    <w:p w14:paraId="04CDBF93"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Второй тип пушки калибром 76,2 мм предполагается к установке на истребитель. Питание этой пушки должно производиться из магазина на 5-6 штук снарядов. После накопления опыта по эксплуатации этой пушки и выяснения могущих обнаружиться у нее дефектов начинается проработка 2-го варианта этой пушки.</w:t>
      </w:r>
    </w:p>
    <w:p w14:paraId="643B11E3"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Третий тип пушки калибром 100 мм предполагается устанавливать неподвижно на крыльях или под фюзеляжем самолетов воздушного боя – крейсеров. Направление стрельбы параллельно продольной оси самолета.</w:t>
      </w:r>
    </w:p>
    <w:p w14:paraId="492A271A"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Безоткатная гаубица калибром 150 мм предполагается для установки на самолетах специального назначения (морские крейсера) и главное назначение этой гаубицы – стрельба фугасной бомбой по защищенным земным объектам и легким судам морского флота.</w:t>
      </w:r>
    </w:p>
    <w:p w14:paraId="712AF106"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 xml:space="preserve">Кроме вышеуказанных пушек предполагается также разработка двух образцов пушек калибром 25-35 мм. Одна из пушек безоткатная, по типу </w:t>
      </w:r>
      <w:proofErr w:type="spellStart"/>
      <w:r w:rsidRPr="00A259BD">
        <w:rPr>
          <w:rStyle w:val="af0"/>
          <w:i w:val="0"/>
          <w:color w:val="000000" w:themeColor="text1"/>
          <w:sz w:val="16"/>
          <w:szCs w:val="16"/>
          <w:bdr w:val="none" w:sz="0" w:space="0" w:color="auto" w:frame="1"/>
        </w:rPr>
        <w:t>Девиса</w:t>
      </w:r>
      <w:proofErr w:type="spellEnd"/>
      <w:r w:rsidRPr="00A259BD">
        <w:rPr>
          <w:rStyle w:val="af0"/>
          <w:i w:val="0"/>
          <w:color w:val="000000" w:themeColor="text1"/>
          <w:sz w:val="16"/>
          <w:szCs w:val="16"/>
          <w:bdr w:val="none" w:sz="0" w:space="0" w:color="auto" w:frame="1"/>
        </w:rPr>
        <w:t>, а другая автоматическая, обычного типа.</w:t>
      </w:r>
    </w:p>
    <w:p w14:paraId="176D788E"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По мощности разрушительного действия снарядов этой пушки являются промежуточными между орудиями калибра 76,2 мм и крупнокалиберным пулеметом 12,7 мм. Такого калибра орудия уже устанавливаются за границей на самолеты.</w:t>
      </w:r>
    </w:p>
    <w:p w14:paraId="5DB69F59"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 xml:space="preserve">Примером может служить опытная установка 20 мм пушки </w:t>
      </w:r>
      <w:proofErr w:type="spellStart"/>
      <w:r w:rsidRPr="00A259BD">
        <w:rPr>
          <w:rStyle w:val="af0"/>
          <w:i w:val="0"/>
          <w:color w:val="000000" w:themeColor="text1"/>
          <w:sz w:val="16"/>
          <w:szCs w:val="16"/>
          <w:bdr w:val="none" w:sz="0" w:space="0" w:color="auto" w:frame="1"/>
        </w:rPr>
        <w:t>Мадсена</w:t>
      </w:r>
      <w:proofErr w:type="spellEnd"/>
      <w:r w:rsidRPr="00A259BD">
        <w:rPr>
          <w:rStyle w:val="af0"/>
          <w:i w:val="0"/>
          <w:color w:val="000000" w:themeColor="text1"/>
          <w:sz w:val="16"/>
          <w:szCs w:val="16"/>
          <w:bdr w:val="none" w:sz="0" w:space="0" w:color="auto" w:frame="1"/>
        </w:rPr>
        <w:t>, производимая фирмой Юнкере на самолете Ю-37.</w:t>
      </w:r>
    </w:p>
    <w:p w14:paraId="420C0946"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Для метания ружейных гранат предполагается разработать мортир-ку, которая будет устанавливаться на самолете и применяться в некоторых специальных случаях.</w:t>
      </w:r>
    </w:p>
    <w:p w14:paraId="62CCAA81"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7"/>
          <w:b w:val="0"/>
          <w:color w:val="000000" w:themeColor="text1"/>
          <w:sz w:val="16"/>
          <w:szCs w:val="16"/>
          <w:bdr w:val="none" w:sz="0" w:space="0" w:color="auto" w:frame="1"/>
        </w:rPr>
        <w:t>КРУПНОКАЛИБЕРНЫЕ ПУЛЕМЕТЫ</w:t>
      </w:r>
    </w:p>
    <w:p w14:paraId="60B5FC2A"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Крупнокалиберные пулеметы дают возможность получить при стрельбе более сильное разрушительное действие, чем при стрельбе из 7,62 мм пулемета, а также допускают стрельбу на большие дистанции без учета поправок на траекторию полета пули.</w:t>
      </w:r>
    </w:p>
    <w:p w14:paraId="4097C747"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Пулеметы предполагаются к установке на самолеты для стрельбы через винт (установка неподвижная) и с турели (подвижная пулеметная установка).</w:t>
      </w:r>
    </w:p>
    <w:p w14:paraId="19C4B77A"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Калибр пулеметов 12,7 мм.</w:t>
      </w:r>
    </w:p>
    <w:p w14:paraId="2ABF7E24"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Установка крупнокалиберных пулеметов на самолеты за границей уже производится.</w:t>
      </w:r>
    </w:p>
    <w:p w14:paraId="0F56F51C"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 xml:space="preserve">В настоящее время разрабатываются два типа крупнокалиберных пулеметов: один по системе Дегтярева, другой по типу </w:t>
      </w:r>
      <w:proofErr w:type="spellStart"/>
      <w:r w:rsidRPr="00A259BD">
        <w:rPr>
          <w:rStyle w:val="af0"/>
          <w:i w:val="0"/>
          <w:color w:val="000000" w:themeColor="text1"/>
          <w:sz w:val="16"/>
          <w:szCs w:val="16"/>
          <w:bdr w:val="none" w:sz="0" w:space="0" w:color="auto" w:frame="1"/>
        </w:rPr>
        <w:t>Драйзе</w:t>
      </w:r>
      <w:proofErr w:type="spellEnd"/>
      <w:r w:rsidRPr="00A259BD">
        <w:rPr>
          <w:rStyle w:val="af0"/>
          <w:i w:val="0"/>
          <w:color w:val="000000" w:themeColor="text1"/>
          <w:sz w:val="16"/>
          <w:szCs w:val="16"/>
          <w:bdr w:val="none" w:sz="0" w:space="0" w:color="auto" w:frame="1"/>
        </w:rPr>
        <w:t>.</w:t>
      </w:r>
    </w:p>
    <w:p w14:paraId="1605F855"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 xml:space="preserve">Пулемет системы Дегтярева изготавливается на инструментальном заводе №2, пулемет по типу </w:t>
      </w:r>
      <w:proofErr w:type="spellStart"/>
      <w:r w:rsidRPr="00A259BD">
        <w:rPr>
          <w:rStyle w:val="af0"/>
          <w:i w:val="0"/>
          <w:color w:val="000000" w:themeColor="text1"/>
          <w:sz w:val="16"/>
          <w:szCs w:val="16"/>
          <w:bdr w:val="none" w:sz="0" w:space="0" w:color="auto" w:frame="1"/>
        </w:rPr>
        <w:t>Дрейзе</w:t>
      </w:r>
      <w:proofErr w:type="spellEnd"/>
      <w:r w:rsidRPr="00A259BD">
        <w:rPr>
          <w:rStyle w:val="af0"/>
          <w:i w:val="0"/>
          <w:color w:val="000000" w:themeColor="text1"/>
          <w:sz w:val="16"/>
          <w:szCs w:val="16"/>
          <w:bdr w:val="none" w:sz="0" w:space="0" w:color="auto" w:frame="1"/>
        </w:rPr>
        <w:t xml:space="preserve"> на 1-х тульских оружейных заводах. …</w:t>
      </w:r>
    </w:p>
    <w:p w14:paraId="7E14A174"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Так как эти пулеметы … полностью всем требованиям, предъявляемым ВВС к крупнокалиберным пулеметам не удовлетворяют, предполагается разработать новый тип пулемета… Окончание проектирования нового образца пулемета выходит за пределы данного пятилетнего плана.</w:t>
      </w:r>
    </w:p>
    <w:p w14:paraId="7882D167" w14:textId="77777777" w:rsidR="008D2F15" w:rsidRPr="00A259BD" w:rsidRDefault="008D2F15" w:rsidP="009236E3">
      <w:pPr>
        <w:pStyle w:val="rtejustify"/>
        <w:shd w:val="clear" w:color="auto" w:fill="FFFFFF"/>
        <w:spacing w:before="0" w:after="0"/>
        <w:rPr>
          <w:color w:val="000000" w:themeColor="text1"/>
          <w:sz w:val="16"/>
          <w:szCs w:val="16"/>
        </w:rPr>
      </w:pPr>
      <w:r w:rsidRPr="00A259BD">
        <w:rPr>
          <w:rStyle w:val="a7"/>
          <w:b w:val="0"/>
          <w:color w:val="000000" w:themeColor="text1"/>
          <w:sz w:val="16"/>
          <w:szCs w:val="16"/>
          <w:bdr w:val="none" w:sz="0" w:space="0" w:color="auto" w:frame="1"/>
        </w:rPr>
        <w:t>7,62 ММ АВИАЦИОННЫЕ ПУЛЕМЕТЫ.</w:t>
      </w:r>
    </w:p>
    <w:p w14:paraId="4DA85CC5" w14:textId="77777777" w:rsidR="008D2F15" w:rsidRPr="00A259BD" w:rsidRDefault="008D2F15" w:rsidP="009236E3">
      <w:pPr>
        <w:pStyle w:val="rtejustify"/>
        <w:shd w:val="clear" w:color="auto" w:fill="FFFFFF"/>
        <w:spacing w:before="0" w:after="0"/>
        <w:rPr>
          <w:rStyle w:val="af0"/>
          <w:i w:val="0"/>
          <w:color w:val="000000" w:themeColor="text1"/>
          <w:sz w:val="16"/>
          <w:szCs w:val="16"/>
          <w:bdr w:val="none" w:sz="0" w:space="0" w:color="auto" w:frame="1"/>
        </w:rPr>
      </w:pPr>
      <w:r w:rsidRPr="00A259BD">
        <w:rPr>
          <w:rStyle w:val="af0"/>
          <w:i w:val="0"/>
          <w:color w:val="000000" w:themeColor="text1"/>
          <w:sz w:val="16"/>
          <w:szCs w:val="16"/>
          <w:bdr w:val="none" w:sz="0" w:space="0" w:color="auto" w:frame="1"/>
        </w:rPr>
        <w:t xml:space="preserve">Разработка </w:t>
      </w:r>
      <w:proofErr w:type="spellStart"/>
      <w:r w:rsidRPr="00A259BD">
        <w:rPr>
          <w:rStyle w:val="af0"/>
          <w:i w:val="0"/>
          <w:color w:val="000000" w:themeColor="text1"/>
          <w:sz w:val="16"/>
          <w:szCs w:val="16"/>
          <w:bdr w:val="none" w:sz="0" w:space="0" w:color="auto" w:frame="1"/>
        </w:rPr>
        <w:t>сверхскорострельных</w:t>
      </w:r>
      <w:proofErr w:type="spellEnd"/>
      <w:r w:rsidRPr="00A259BD">
        <w:rPr>
          <w:rStyle w:val="af0"/>
          <w:i w:val="0"/>
          <w:color w:val="000000" w:themeColor="text1"/>
          <w:sz w:val="16"/>
          <w:szCs w:val="16"/>
          <w:bdr w:val="none" w:sz="0" w:space="0" w:color="auto" w:frame="1"/>
        </w:rPr>
        <w:t xml:space="preserve"> пулеметов вызывается необходимостью увеличения поражения при стрельбе. … » (19172).</w:t>
      </w:r>
    </w:p>
    <w:p w14:paraId="4EFBD140" w14:textId="77777777" w:rsidR="008D2F15" w:rsidRPr="00A259BD" w:rsidRDefault="008D2F15" w:rsidP="009236E3">
      <w:pPr>
        <w:pStyle w:val="rtejustify"/>
        <w:shd w:val="clear" w:color="auto" w:fill="FFFFFF"/>
        <w:spacing w:before="0" w:after="0"/>
        <w:rPr>
          <w:color w:val="000000" w:themeColor="text1"/>
          <w:sz w:val="16"/>
          <w:szCs w:val="16"/>
        </w:rPr>
      </w:pPr>
    </w:p>
    <w:p w14:paraId="2D975C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августа 1929 была подготовлена за № 182/5725</w:t>
      </w:r>
    </w:p>
    <w:p w14:paraId="22BF4D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СЛУЖЕБНАЯ ЗАПИСКА члена Правления</w:t>
      </w:r>
    </w:p>
    <w:p w14:paraId="1FF9E4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Председателю Правления </w:t>
      </w:r>
      <w:proofErr w:type="spellStart"/>
      <w:r w:rsidRPr="00A259BD">
        <w:rPr>
          <w:rFonts w:ascii="Times New Roman" w:hAnsi="Times New Roman"/>
          <w:color w:val="000000" w:themeColor="text1"/>
          <w:sz w:val="16"/>
          <w:szCs w:val="16"/>
        </w:rPr>
        <w:t>Авиатреста</w:t>
      </w:r>
      <w:proofErr w:type="spellEnd"/>
    </w:p>
    <w:p w14:paraId="50BDD5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Письмо Правления от 27 июля за № 182/5141 в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по принятии им на себя работы по минному вооружению с-та ТОМ, а равно письмо Управляющего делами СНК т. Горбунова об оказании содействия в этом деле от 27 июля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xml:space="preserve">. за № 5141 </w:t>
      </w:r>
      <w:proofErr w:type="spellStart"/>
      <w:r w:rsidRPr="00A259BD">
        <w:rPr>
          <w:rFonts w:ascii="Times New Roman" w:hAnsi="Times New Roman"/>
          <w:color w:val="000000" w:themeColor="text1"/>
          <w:sz w:val="16"/>
          <w:szCs w:val="16"/>
        </w:rPr>
        <w:t>ддо</w:t>
      </w:r>
      <w:proofErr w:type="spellEnd"/>
      <w:r w:rsidRPr="00A259BD">
        <w:rPr>
          <w:rFonts w:ascii="Times New Roman" w:hAnsi="Times New Roman"/>
          <w:color w:val="000000" w:themeColor="text1"/>
          <w:sz w:val="16"/>
          <w:szCs w:val="16"/>
        </w:rPr>
        <w:t xml:space="preserve"> сего времени остаются без ответа.</w:t>
      </w:r>
    </w:p>
    <w:p w14:paraId="1DB006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Считая единственным рациональным разрешением вопроса о минном вооружении ТОМА - поручение его разработки ОСТЕХБЮРО, прошу Вас принять меры к продвижению этого дела, т.к. оно принимает затяжной характер, что может привести к нежелательным, а в дальнейшим может быть непоправимым осложнениям при постройке и выпуске машины (2363,324).</w:t>
      </w:r>
    </w:p>
    <w:p w14:paraId="0508F1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23A4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августа 1929 было подготовлено письмо ВРИД Предправления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Северова-Одоевского в СНК:</w:t>
      </w:r>
    </w:p>
    <w:p w14:paraId="497B75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Письмо Правления от 27 июля за № 182/5141 в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по принятии им на себя работы по минному вооружению с-та ТОМ, а равно письмо Управляющего делами СНК т. Горбунова об оказании содействия в этом деле от 27 июля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xml:space="preserve">. за № 5141 </w:t>
      </w:r>
      <w:proofErr w:type="spellStart"/>
      <w:r w:rsidRPr="00A259BD">
        <w:rPr>
          <w:rFonts w:ascii="Times New Roman" w:hAnsi="Times New Roman"/>
          <w:color w:val="000000" w:themeColor="text1"/>
          <w:sz w:val="16"/>
          <w:szCs w:val="16"/>
        </w:rPr>
        <w:t>ддо</w:t>
      </w:r>
      <w:proofErr w:type="spellEnd"/>
      <w:r w:rsidRPr="00A259BD">
        <w:rPr>
          <w:rFonts w:ascii="Times New Roman" w:hAnsi="Times New Roman"/>
          <w:color w:val="000000" w:themeColor="text1"/>
          <w:sz w:val="16"/>
          <w:szCs w:val="16"/>
        </w:rPr>
        <w:t xml:space="preserve"> сего времени остаются без ответа.</w:t>
      </w:r>
    </w:p>
    <w:p w14:paraId="2046B3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Считая единственным рациональным разрешением вопроса о минном вооружении ТОМА - поручение его разработки ОСТЕХБЮРО, прошу Вас принять меры к продвижению этого дела, т.к. оно принимает затяжной характер, что может привести к нежелательным, а в дальнейшим может быть непоправимым осложнениям при постройке и выпуске машины (2363,324).</w:t>
      </w:r>
    </w:p>
    <w:p w14:paraId="53628E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713B822" w14:textId="77777777" w:rsidR="00A40604"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A8BA361" w14:textId="77777777" w:rsidR="00A40604" w:rsidRPr="00A259BD" w:rsidRDefault="00A4060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A078E76" w14:textId="77777777" w:rsidR="00A40604" w:rsidRPr="00A259BD" w:rsidRDefault="00A40604" w:rsidP="009236E3">
      <w:pPr>
        <w:pStyle w:val="83"/>
        <w:shd w:val="clear" w:color="auto" w:fill="auto"/>
        <w:spacing w:after="0" w:line="240" w:lineRule="auto"/>
        <w:ind w:firstLine="0"/>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августа 1929 года Совнарком СССР принял решение о строительстве сразу двух алюминиевых комбинатов на базе Волховской и Днепровской гидроэлектростанций (12245).</w:t>
      </w:r>
    </w:p>
    <w:p w14:paraId="0EF136FC" w14:textId="77777777" w:rsidR="00A40604" w:rsidRPr="00A259BD" w:rsidRDefault="00A40604" w:rsidP="009236E3">
      <w:pPr>
        <w:pStyle w:val="83"/>
        <w:shd w:val="clear" w:color="auto" w:fill="auto"/>
        <w:spacing w:after="0" w:line="240" w:lineRule="auto"/>
        <w:ind w:firstLine="0"/>
        <w:jc w:val="both"/>
        <w:rPr>
          <w:rFonts w:ascii="Times New Roman" w:hAnsi="Times New Roman"/>
          <w:color w:val="000000" w:themeColor="text1"/>
          <w:sz w:val="16"/>
          <w:szCs w:val="16"/>
        </w:rPr>
      </w:pPr>
    </w:p>
    <w:p w14:paraId="56D72D9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7FD2E6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6EB28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С.В.И. принял личное участие в гос. испытаниях АНТ-9, которые продолжались до августа 1929 (24,347).</w:t>
      </w:r>
    </w:p>
    <w:p w14:paraId="668617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135D3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августе 1929 в Таганроге завершились испытания МР-3 - развитие МР-2, но с металлической лодкой, начатые в июле 1929. Не пошел и его передали Ришару, а потом в ЦКБ. </w:t>
      </w:r>
      <w:proofErr w:type="spellStart"/>
      <w:r w:rsidRPr="00A259BD">
        <w:rPr>
          <w:rFonts w:ascii="Times New Roman" w:hAnsi="Times New Roman"/>
          <w:color w:val="000000" w:themeColor="text1"/>
          <w:sz w:val="16"/>
          <w:szCs w:val="16"/>
        </w:rPr>
        <w:t>И.В.Червериков</w:t>
      </w:r>
      <w:proofErr w:type="spellEnd"/>
      <w:r w:rsidRPr="00A259BD">
        <w:rPr>
          <w:rFonts w:ascii="Times New Roman" w:hAnsi="Times New Roman"/>
          <w:color w:val="000000" w:themeColor="text1"/>
          <w:sz w:val="16"/>
          <w:szCs w:val="16"/>
        </w:rPr>
        <w:t xml:space="preserve"> в ЦКБ решил доделать и испытать в 1931 (92,378).</w:t>
      </w:r>
    </w:p>
    <w:p w14:paraId="49048C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9D28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августе 1929 первых 12 И-3, построенных за 1928 и 1929 гг. на заводах 1 и 25 и облетанных л Ширинкиным, поступили на вооружение 15 авиабригады в Брянске. Помощь в освоении оказал л Бухгольц. Хвостовое оперение было старым (недостаточным). В 1929 И-3 стали поступать и в истребительные отряды МВО, Белоруссии и Украины. На 40 машинах первой серии из 79 были РВ с роговой компенсацией, а другие с еще большими рулями с роговой компенсацией, которые стали стандартными для машин, начиная с N 4027 (3410,17).</w:t>
      </w:r>
    </w:p>
    <w:p w14:paraId="7E274F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287AE3" w14:textId="77777777" w:rsidR="00A40604" w:rsidRPr="00A259BD" w:rsidRDefault="00A4060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августе 1929 первая дюжина И-3 поступила в 15-ю авиабригаду, базирующуюся в Брян</w:t>
      </w:r>
      <w:r w:rsidRPr="00A259BD">
        <w:rPr>
          <w:rFonts w:ascii="Times New Roman" w:hAnsi="Times New Roman"/>
          <w:color w:val="000000" w:themeColor="text1"/>
          <w:sz w:val="16"/>
          <w:szCs w:val="16"/>
        </w:rPr>
        <w:softHyphen/>
        <w:t>ске. Помогать осваивать новые истребители туда был направлен летчик-испытатель Б.Л. Бухгольц. До наступления холодов и ненаст</w:t>
      </w:r>
      <w:r w:rsidRPr="00A259BD">
        <w:rPr>
          <w:rFonts w:ascii="Times New Roman" w:hAnsi="Times New Roman"/>
          <w:color w:val="000000" w:themeColor="text1"/>
          <w:sz w:val="16"/>
          <w:szCs w:val="16"/>
        </w:rPr>
        <w:softHyphen/>
        <w:t>ной погоды Ширинкин и Бухгольц совмест</w:t>
      </w:r>
      <w:r w:rsidRPr="00A259BD">
        <w:rPr>
          <w:rFonts w:ascii="Times New Roman" w:hAnsi="Times New Roman"/>
          <w:color w:val="000000" w:themeColor="text1"/>
          <w:sz w:val="16"/>
          <w:szCs w:val="16"/>
        </w:rPr>
        <w:softHyphen/>
        <w:t>но со строевыми пилотами стремились нале</w:t>
      </w:r>
      <w:r w:rsidRPr="00A259BD">
        <w:rPr>
          <w:rFonts w:ascii="Times New Roman" w:hAnsi="Times New Roman"/>
          <w:color w:val="000000" w:themeColor="text1"/>
          <w:sz w:val="16"/>
          <w:szCs w:val="16"/>
        </w:rPr>
        <w:softHyphen/>
        <w:t>тать на И-3 как можно больше часов с целью выявления особенностей его эксплуатации.</w:t>
      </w:r>
    </w:p>
    <w:p w14:paraId="3CFF249E" w14:textId="77777777" w:rsidR="00A40604" w:rsidRPr="00A259BD" w:rsidRDefault="00A4060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Когда строился второй летный экземпляр, появились, по крайней мере, два предложе</w:t>
      </w:r>
      <w:r w:rsidRPr="00A259BD">
        <w:rPr>
          <w:rFonts w:ascii="Times New Roman" w:hAnsi="Times New Roman"/>
          <w:color w:val="000000" w:themeColor="text1"/>
          <w:sz w:val="16"/>
          <w:szCs w:val="16"/>
        </w:rPr>
        <w:softHyphen/>
        <w:t>ния по модификации самолета. Первое - установить на И-3 один из имеющихся аме</w:t>
      </w:r>
      <w:r w:rsidRPr="00A259BD">
        <w:rPr>
          <w:rFonts w:ascii="Times New Roman" w:hAnsi="Times New Roman"/>
          <w:color w:val="000000" w:themeColor="text1"/>
          <w:sz w:val="16"/>
          <w:szCs w:val="16"/>
        </w:rPr>
        <w:softHyphen/>
        <w:t>риканских двигателей «Паккард» мощно</w:t>
      </w:r>
      <w:r w:rsidRPr="00A259BD">
        <w:rPr>
          <w:rFonts w:ascii="Times New Roman" w:hAnsi="Times New Roman"/>
          <w:color w:val="000000" w:themeColor="text1"/>
          <w:sz w:val="16"/>
          <w:szCs w:val="16"/>
        </w:rPr>
        <w:softHyphen/>
        <w:t>стью 600 л.с. Второе - построить поплавко</w:t>
      </w:r>
      <w:r w:rsidRPr="00A259BD">
        <w:rPr>
          <w:rFonts w:ascii="Times New Roman" w:hAnsi="Times New Roman"/>
          <w:color w:val="000000" w:themeColor="text1"/>
          <w:sz w:val="16"/>
          <w:szCs w:val="16"/>
        </w:rPr>
        <w:softHyphen/>
        <w:t>вый вариант истребителя. Оба предложения реализованы не были. Таким образом, И-3 оказался одним из немногих советских само</w:t>
      </w:r>
      <w:r w:rsidRPr="00A259BD">
        <w:rPr>
          <w:rFonts w:ascii="Times New Roman" w:hAnsi="Times New Roman"/>
          <w:color w:val="000000" w:themeColor="text1"/>
          <w:sz w:val="16"/>
          <w:szCs w:val="16"/>
        </w:rPr>
        <w:softHyphen/>
        <w:t>летов, не имеющих модификаций.</w:t>
      </w:r>
    </w:p>
    <w:p w14:paraId="232C862F" w14:textId="77777777" w:rsidR="00A40604" w:rsidRPr="00A259BD" w:rsidRDefault="00A4060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Изготовление Р-1 в Москве достигло сво</w:t>
      </w:r>
      <w:r w:rsidRPr="00A259BD">
        <w:rPr>
          <w:rFonts w:ascii="Times New Roman" w:hAnsi="Times New Roman"/>
          <w:color w:val="000000" w:themeColor="text1"/>
          <w:sz w:val="16"/>
          <w:szCs w:val="16"/>
        </w:rPr>
        <w:softHyphen/>
        <w:t>его пика как раз в 1928 году (в тот год выпу</w:t>
      </w:r>
      <w:r w:rsidRPr="00A259BD">
        <w:rPr>
          <w:rFonts w:ascii="Times New Roman" w:hAnsi="Times New Roman"/>
          <w:color w:val="000000" w:themeColor="text1"/>
          <w:sz w:val="16"/>
          <w:szCs w:val="16"/>
        </w:rPr>
        <w:softHyphen/>
        <w:t>стили 445 разведчиков) и продолжалось по 1930-й год включительно. Вплоть до 1929 го</w:t>
      </w:r>
      <w:r w:rsidRPr="00A259BD">
        <w:rPr>
          <w:rFonts w:ascii="Times New Roman" w:hAnsi="Times New Roman"/>
          <w:color w:val="000000" w:themeColor="text1"/>
          <w:sz w:val="16"/>
          <w:szCs w:val="16"/>
        </w:rPr>
        <w:softHyphen/>
        <w:t>да выпускались бипланы И-2 Григоровича. Поэтому освоение И-3 шло медленно — пол</w:t>
      </w:r>
      <w:r w:rsidRPr="00A259BD">
        <w:rPr>
          <w:rFonts w:ascii="Times New Roman" w:hAnsi="Times New Roman"/>
          <w:color w:val="000000" w:themeColor="text1"/>
          <w:sz w:val="16"/>
          <w:szCs w:val="16"/>
        </w:rPr>
        <w:softHyphen/>
        <w:t>ноценное серийное строительство разверну</w:t>
      </w:r>
      <w:r w:rsidRPr="00A259BD">
        <w:rPr>
          <w:rFonts w:ascii="Times New Roman" w:hAnsi="Times New Roman"/>
          <w:color w:val="000000" w:themeColor="text1"/>
          <w:sz w:val="16"/>
          <w:szCs w:val="16"/>
        </w:rPr>
        <w:softHyphen/>
        <w:t>лось во второй половине 1929 года (в тот год построили 45 самолетов) (12295).</w:t>
      </w:r>
    </w:p>
    <w:p w14:paraId="7E24892B" w14:textId="77777777" w:rsidR="00A40604" w:rsidRPr="00A259BD" w:rsidRDefault="00A40604" w:rsidP="009236E3">
      <w:pPr>
        <w:spacing w:after="0" w:line="240" w:lineRule="auto"/>
        <w:jc w:val="both"/>
        <w:rPr>
          <w:rFonts w:ascii="Times New Roman" w:hAnsi="Times New Roman"/>
          <w:color w:val="000000" w:themeColor="text1"/>
          <w:sz w:val="16"/>
          <w:szCs w:val="16"/>
        </w:rPr>
      </w:pPr>
    </w:p>
    <w:p w14:paraId="3B2BF8E1"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августе 1929 г. первые 12 серийных истребителей И-3, построенных заводом №1 без никаких доработок по типу 2-го опытного образца поставлены 15-й авиабригаде ВВС РККА. К тому времени самолет на вооружение ВВС РККА еще не был принят.</w:t>
      </w:r>
    </w:p>
    <w:p w14:paraId="20F791AD"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сентября по 1 (по др. данным 6) октября 1929 г. в 15-й авиабригаде проведены войсковые испытания полученных 12 самолетов И-3, на которых отмечен быстрый выход из строя самолетов (к концу испытаний исправных осталось 7).</w:t>
      </w:r>
    </w:p>
    <w:p w14:paraId="549C6DB1"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 октября 1929 г. командир 15-й авиабригады ст. военный летчик Лопатин письмом №2275с доложил о результатах войсковых испытаний начальнику ВВС, начальнику НИИ УВВС, начальнику УСС УВВС и начальнику ВВС БВО, обратив внимание на выход из строя двух самолетов.</w:t>
      </w:r>
    </w:p>
    <w:p w14:paraId="102902F5"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8 октября 1929 г. результаты войсковых испытаний И-3 обсуждены на заседании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(протокол №4) (24887).</w:t>
      </w:r>
    </w:p>
    <w:p w14:paraId="10633AD0" w14:textId="77777777" w:rsidR="00DF6949" w:rsidRPr="00441F34" w:rsidRDefault="00DF6949" w:rsidP="00DF6949">
      <w:pPr>
        <w:spacing w:after="0" w:line="240" w:lineRule="auto"/>
        <w:jc w:val="both"/>
        <w:rPr>
          <w:rFonts w:ascii="Times New Roman" w:hAnsi="Times New Roman"/>
          <w:color w:val="0070C0"/>
          <w:sz w:val="16"/>
          <w:szCs w:val="16"/>
        </w:rPr>
      </w:pPr>
    </w:p>
    <w:p w14:paraId="49D3EDD1"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августе 1929 г. первые 12 серийных истребителей И-3, построенных заводом №1 без никаких доработок по типу 2-го опытного образца и облетанных имевшим большой авторитет военным летчиком Алексеем Дмитриевичем Ширинкиным, поступили на вооружение 15-й авиабригады ВВС РККА в Брянске. Помощь в их освоении оказал летчик-испытатель военной приемки завода №25 (базовое предприятие разработчика самолета ЦКБ) Бенедикт Леонович Бухгольц.</w:t>
      </w:r>
    </w:p>
    <w:p w14:paraId="625743DD"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тому времени самолет на вооружение ВВС РККА еще не был принят.</w:t>
      </w:r>
    </w:p>
    <w:p w14:paraId="48D3666D"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В сентябре 1929 г. в 15-й авиабригаде проведены войсковые испытания полученных 12 самолетов И-3 БМВ-6. Самолеты поступили без запчастей и три из них использованы как их фонд для поддержания эксплуатации остальных машин, а испытания велись на девяти самолетах, но он быстро был израсходован и самолеты И-3 зав. №№ 3833 и 3823 почти сразу вышли из эксплуатации и число испытываемых машин сократилось до семи.</w:t>
      </w:r>
    </w:p>
    <w:p w14:paraId="710D4813"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(по др. данным 6) октября 1929 г. войсковые испытания завершены (24887).</w:t>
      </w:r>
    </w:p>
    <w:p w14:paraId="2592F0FF" w14:textId="77777777" w:rsidR="00DF6949" w:rsidRPr="00441F34" w:rsidRDefault="00DF6949" w:rsidP="00DF6949">
      <w:pPr>
        <w:spacing w:after="0" w:line="240" w:lineRule="auto"/>
        <w:jc w:val="both"/>
        <w:rPr>
          <w:rFonts w:ascii="Times New Roman" w:hAnsi="Times New Roman"/>
          <w:color w:val="0070C0"/>
          <w:sz w:val="16"/>
          <w:szCs w:val="16"/>
        </w:rPr>
      </w:pPr>
    </w:p>
    <w:p w14:paraId="5AAF3D7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августе 1929 были подготовлены Сведения о выполнении заданий Отдела применения НИИ за июль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1919"/>
        <w:gridCol w:w="2900"/>
        <w:gridCol w:w="2693"/>
      </w:tblGrid>
      <w:tr w:rsidR="00A259BD" w:rsidRPr="00A259BD" w14:paraId="7FCBED04" w14:textId="77777777">
        <w:tc>
          <w:tcPr>
            <w:tcW w:w="3369" w:type="dxa"/>
          </w:tcPr>
          <w:p w14:paraId="0FD6E2D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Наименование задания</w:t>
            </w:r>
          </w:p>
        </w:tc>
        <w:tc>
          <w:tcPr>
            <w:tcW w:w="1919" w:type="dxa"/>
          </w:tcPr>
          <w:p w14:paraId="41C82FD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Когда дано задание</w:t>
            </w:r>
          </w:p>
        </w:tc>
        <w:tc>
          <w:tcPr>
            <w:tcW w:w="2900" w:type="dxa"/>
          </w:tcPr>
          <w:p w14:paraId="37DF07C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Срок выполнения</w:t>
            </w:r>
          </w:p>
        </w:tc>
        <w:tc>
          <w:tcPr>
            <w:tcW w:w="2693" w:type="dxa"/>
          </w:tcPr>
          <w:p w14:paraId="0239D5C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каком состоянии находится задание </w:t>
            </w:r>
          </w:p>
        </w:tc>
      </w:tr>
      <w:tr w:rsidR="00A259BD" w:rsidRPr="00A259BD" w14:paraId="5A7D8060" w14:textId="77777777">
        <w:tc>
          <w:tcPr>
            <w:tcW w:w="3369" w:type="dxa"/>
          </w:tcPr>
          <w:p w14:paraId="4D50A09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Р-V БМВ</w:t>
            </w:r>
          </w:p>
        </w:tc>
        <w:tc>
          <w:tcPr>
            <w:tcW w:w="1919" w:type="dxa"/>
          </w:tcPr>
          <w:p w14:paraId="292DFEF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00" w:type="dxa"/>
          </w:tcPr>
          <w:p w14:paraId="649A834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Выполнено</w:t>
            </w:r>
          </w:p>
        </w:tc>
        <w:tc>
          <w:tcPr>
            <w:tcW w:w="2693" w:type="dxa"/>
          </w:tcPr>
          <w:p w14:paraId="16ABDE5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r>
      <w:tr w:rsidR="00A259BD" w:rsidRPr="00A259BD" w14:paraId="79AA4BDC" w14:textId="77777777">
        <w:tc>
          <w:tcPr>
            <w:tcW w:w="3369" w:type="dxa"/>
          </w:tcPr>
          <w:p w14:paraId="1BB2DBB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И-3 БМВ VI № 3820 (серийный)</w:t>
            </w:r>
          </w:p>
        </w:tc>
        <w:tc>
          <w:tcPr>
            <w:tcW w:w="1919" w:type="dxa"/>
          </w:tcPr>
          <w:p w14:paraId="37A4949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00" w:type="dxa"/>
          </w:tcPr>
          <w:p w14:paraId="3FE6124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процессе испытания</w:t>
            </w:r>
          </w:p>
        </w:tc>
        <w:tc>
          <w:tcPr>
            <w:tcW w:w="2693" w:type="dxa"/>
          </w:tcPr>
          <w:p w14:paraId="7858971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w:t>
            </w:r>
          </w:p>
        </w:tc>
      </w:tr>
      <w:tr w:rsidR="00A259BD" w:rsidRPr="00A259BD" w14:paraId="3FEFF66C" w14:textId="77777777">
        <w:tc>
          <w:tcPr>
            <w:tcW w:w="3369" w:type="dxa"/>
          </w:tcPr>
          <w:p w14:paraId="152D41C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Испытание самолета БРЕГЕ 19 В-2 </w:t>
            </w:r>
            <w:proofErr w:type="spellStart"/>
            <w:r w:rsidRPr="00A259BD">
              <w:rPr>
                <w:rFonts w:ascii="Times New Roman" w:hAnsi="Times New Roman"/>
                <w:color w:val="000000" w:themeColor="text1"/>
                <w:sz w:val="16"/>
                <w:szCs w:val="16"/>
              </w:rPr>
              <w:t>Лоррен</w:t>
            </w:r>
            <w:proofErr w:type="spellEnd"/>
            <w:r w:rsidRPr="00A259BD">
              <w:rPr>
                <w:rFonts w:ascii="Times New Roman" w:hAnsi="Times New Roman"/>
                <w:color w:val="000000" w:themeColor="text1"/>
                <w:sz w:val="16"/>
                <w:szCs w:val="16"/>
              </w:rPr>
              <w:t xml:space="preserve"> Дитрих</w:t>
            </w:r>
          </w:p>
        </w:tc>
        <w:tc>
          <w:tcPr>
            <w:tcW w:w="1919" w:type="dxa"/>
          </w:tcPr>
          <w:p w14:paraId="0440C60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00" w:type="dxa"/>
          </w:tcPr>
          <w:p w14:paraId="43F9115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не собран</w:t>
            </w:r>
          </w:p>
        </w:tc>
        <w:tc>
          <w:tcPr>
            <w:tcW w:w="2693" w:type="dxa"/>
          </w:tcPr>
          <w:p w14:paraId="451B35E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095909C" w14:textId="77777777">
        <w:tc>
          <w:tcPr>
            <w:tcW w:w="3369" w:type="dxa"/>
          </w:tcPr>
          <w:p w14:paraId="73CD71B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Испытание самолет Спад 61 </w:t>
            </w:r>
            <w:proofErr w:type="spellStart"/>
            <w:r w:rsidRPr="00A259BD">
              <w:rPr>
                <w:rFonts w:ascii="Times New Roman" w:hAnsi="Times New Roman"/>
                <w:color w:val="000000" w:themeColor="text1"/>
                <w:sz w:val="16"/>
                <w:szCs w:val="16"/>
              </w:rPr>
              <w:t>Лоррен</w:t>
            </w:r>
            <w:proofErr w:type="spellEnd"/>
            <w:r w:rsidRPr="00A259BD">
              <w:rPr>
                <w:rFonts w:ascii="Times New Roman" w:hAnsi="Times New Roman"/>
                <w:color w:val="000000" w:themeColor="text1"/>
                <w:sz w:val="16"/>
                <w:szCs w:val="16"/>
              </w:rPr>
              <w:t xml:space="preserve"> Дитрих</w:t>
            </w:r>
          </w:p>
        </w:tc>
        <w:tc>
          <w:tcPr>
            <w:tcW w:w="1919" w:type="dxa"/>
          </w:tcPr>
          <w:p w14:paraId="2B90433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00" w:type="dxa"/>
          </w:tcPr>
          <w:p w14:paraId="586F3E4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процессе испытания</w:t>
            </w:r>
          </w:p>
        </w:tc>
        <w:tc>
          <w:tcPr>
            <w:tcW w:w="2693" w:type="dxa"/>
          </w:tcPr>
          <w:p w14:paraId="3EB493C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w:t>
            </w:r>
          </w:p>
        </w:tc>
      </w:tr>
      <w:tr w:rsidR="00A259BD" w:rsidRPr="00A259BD" w14:paraId="77DFC680" w14:textId="77777777">
        <w:tc>
          <w:tcPr>
            <w:tcW w:w="3369" w:type="dxa"/>
          </w:tcPr>
          <w:p w14:paraId="74D9724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 Спад 51 Юпитер</w:t>
            </w:r>
          </w:p>
        </w:tc>
        <w:tc>
          <w:tcPr>
            <w:tcW w:w="1919" w:type="dxa"/>
          </w:tcPr>
          <w:p w14:paraId="55031F0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00" w:type="dxa"/>
          </w:tcPr>
          <w:p w14:paraId="73CA6A1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процессе испытания</w:t>
            </w:r>
          </w:p>
        </w:tc>
        <w:tc>
          <w:tcPr>
            <w:tcW w:w="2693" w:type="dxa"/>
          </w:tcPr>
          <w:p w14:paraId="3755F68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w:t>
            </w:r>
          </w:p>
        </w:tc>
      </w:tr>
      <w:tr w:rsidR="00A259BD" w:rsidRPr="00A259BD" w14:paraId="0B97943A" w14:textId="77777777">
        <w:tc>
          <w:tcPr>
            <w:tcW w:w="3369" w:type="dxa"/>
          </w:tcPr>
          <w:p w14:paraId="5ECF097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Р-V БМВ VI Z 2-й экземпляр</w:t>
            </w:r>
          </w:p>
        </w:tc>
        <w:tc>
          <w:tcPr>
            <w:tcW w:w="1919" w:type="dxa"/>
          </w:tcPr>
          <w:p w14:paraId="47AA387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00" w:type="dxa"/>
          </w:tcPr>
          <w:p w14:paraId="68446C0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процессе испытания</w:t>
            </w:r>
          </w:p>
        </w:tc>
        <w:tc>
          <w:tcPr>
            <w:tcW w:w="2693" w:type="dxa"/>
          </w:tcPr>
          <w:p w14:paraId="23F1BAC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w:t>
            </w:r>
          </w:p>
        </w:tc>
      </w:tr>
    </w:tbl>
    <w:p w14:paraId="511E3B6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(6953, 47-49).</w:t>
      </w:r>
    </w:p>
    <w:p w14:paraId="0FDAB3F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2462E6"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августе 1929 г. на заводе № 22 построили головной экземпляр двухмоторного ТБ-1 с двигателями БМВ-VI. В то время это был самый большой в мире металлический бомбардировщик. По плану до конца 1929 г. предполагалось передать на вооружение 29 ТБ-1, сдали же только два. Производственные проблемы удалось в основном разрешить в 1930 г., за год смогли выпустить 66 самолетов. В 1931 г. план сдачи был выполнен на 100% — в этом году на вооружение поступили 146 ТБ-1. На них стояли моторы М-17 советского производства (23472).</w:t>
      </w:r>
    </w:p>
    <w:p w14:paraId="5BF2D1EB" w14:textId="77777777" w:rsidR="00DF6949" w:rsidRPr="00441F34" w:rsidRDefault="00DF6949" w:rsidP="00DF6949">
      <w:pPr>
        <w:spacing w:after="0" w:line="240" w:lineRule="auto"/>
        <w:jc w:val="both"/>
        <w:rPr>
          <w:rFonts w:ascii="Times New Roman" w:hAnsi="Times New Roman"/>
          <w:color w:val="0070C0"/>
          <w:sz w:val="16"/>
          <w:szCs w:val="16"/>
        </w:rPr>
      </w:pPr>
    </w:p>
    <w:p w14:paraId="5435FB3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августе 1929 г. закончили третий эк</w:t>
      </w:r>
      <w:r w:rsidRPr="00A259BD">
        <w:rPr>
          <w:rFonts w:ascii="Times New Roman" w:hAnsi="Times New Roman"/>
          <w:color w:val="000000" w:themeColor="text1"/>
          <w:sz w:val="16"/>
          <w:szCs w:val="16"/>
        </w:rPr>
        <w:softHyphen/>
        <w:t>земпляр М-15 и в том же месяце приступили к стендовым испытаниям. У конструкторов возникла идея создания на базе 2М-15 унифицирован</w:t>
      </w:r>
      <w:r w:rsidRPr="00A259BD">
        <w:rPr>
          <w:rFonts w:ascii="Times New Roman" w:hAnsi="Times New Roman"/>
          <w:color w:val="000000" w:themeColor="text1"/>
          <w:sz w:val="16"/>
          <w:szCs w:val="16"/>
        </w:rPr>
        <w:softHyphen/>
        <w:t>ного семейства моторов разной мощности. В него вошли 7-цилиндровый М-26 (300 л.с.) и 14-цилиндровый М-29 (750 л.с.). Проекты М-26 и М-29 кончили к февралю 1929 г. До стадии опытных образцов дошел только М-26, по М-29 работы прекратили раньше. Еще до завершения полных заводских испытаний один 2М-15 устано</w:t>
      </w:r>
      <w:r w:rsidRPr="00A259BD">
        <w:rPr>
          <w:rFonts w:ascii="Times New Roman" w:hAnsi="Times New Roman"/>
          <w:color w:val="000000" w:themeColor="text1"/>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A259BD">
        <w:rPr>
          <w:rFonts w:ascii="Times New Roman" w:hAnsi="Times New Roman"/>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A259BD">
        <w:rPr>
          <w:rFonts w:ascii="Times New Roman" w:hAnsi="Times New Roman"/>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A259BD">
        <w:rPr>
          <w:rFonts w:ascii="Times New Roman" w:hAnsi="Times New Roman"/>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A259BD">
        <w:rPr>
          <w:rFonts w:ascii="Times New Roman" w:hAnsi="Times New Roman"/>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A259BD">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35F4596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Характеристики:</w:t>
      </w:r>
    </w:p>
    <w:p w14:paraId="7A17BD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9-цилиндровый, звездообразный, четырехтактный, воздушного охлаж</w:t>
      </w:r>
      <w:r w:rsidRPr="00A259BD">
        <w:rPr>
          <w:rFonts w:ascii="Times New Roman" w:hAnsi="Times New Roman"/>
          <w:color w:val="000000" w:themeColor="text1"/>
          <w:sz w:val="16"/>
          <w:szCs w:val="16"/>
        </w:rPr>
        <w:softHyphen/>
        <w:t>дения;</w:t>
      </w:r>
    </w:p>
    <w:p w14:paraId="7BE02B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мощность 450/660 л.с.;</w:t>
      </w:r>
    </w:p>
    <w:p w14:paraId="61DFE4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диаметр цилиндра/ход поршня 150/170 мм;</w:t>
      </w:r>
    </w:p>
    <w:p w14:paraId="6560AD5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объем 27,02 л;</w:t>
      </w:r>
    </w:p>
    <w:p w14:paraId="48E64D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степень сжатия 5,4 (фактически 5,5-5,7);</w:t>
      </w:r>
    </w:p>
    <w:p w14:paraId="462B932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безредукторный</w:t>
      </w:r>
      <w:proofErr w:type="spellEnd"/>
      <w:r w:rsidRPr="00A259BD">
        <w:rPr>
          <w:rFonts w:ascii="Times New Roman" w:hAnsi="Times New Roman"/>
          <w:color w:val="000000" w:themeColor="text1"/>
          <w:sz w:val="16"/>
          <w:szCs w:val="16"/>
        </w:rPr>
        <w:t>;</w:t>
      </w:r>
    </w:p>
    <w:p w14:paraId="10B86CC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мощность и вес в зависимости от модификации и серии;</w:t>
      </w:r>
    </w:p>
    <w:p w14:paraId="0E30BCB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имел ПЦН и синхронизатор. Известны варианты:</w:t>
      </w:r>
    </w:p>
    <w:p w14:paraId="7EC4B6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М-15, первоначальный вариант. Изготовлен в двух опытных экзем</w:t>
      </w:r>
      <w:r w:rsidRPr="00A259BD">
        <w:rPr>
          <w:rFonts w:ascii="Times New Roman" w:hAnsi="Times New Roman"/>
          <w:color w:val="000000" w:themeColor="text1"/>
          <w:sz w:val="16"/>
          <w:szCs w:val="16"/>
        </w:rPr>
        <w:softHyphen/>
        <w:t>плярах. Мощность по проекту 500/600 л.с., вес 420 кг.</w:t>
      </w:r>
    </w:p>
    <w:p w14:paraId="5BA606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2М-15, второй вариант конструкции с усиленными головками цилин</w:t>
      </w:r>
      <w:r w:rsidRPr="00A259BD">
        <w:rPr>
          <w:rFonts w:ascii="Times New Roman" w:hAnsi="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A259BD">
        <w:rPr>
          <w:rFonts w:ascii="Times New Roman" w:hAnsi="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0B536A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 устанавливался на самолетах К-5, И-5 (опытные образцы), пред</w:t>
      </w:r>
      <w:r w:rsidRPr="00A259BD">
        <w:rPr>
          <w:rFonts w:ascii="Times New Roman" w:hAnsi="Times New Roman"/>
          <w:color w:val="000000" w:themeColor="text1"/>
          <w:sz w:val="16"/>
          <w:szCs w:val="16"/>
        </w:rPr>
        <w:softHyphen/>
        <w:t>лагался для установки на И-4 (11852).</w:t>
      </w:r>
    </w:p>
    <w:p w14:paraId="1A1999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2EE0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августе 1929 года был основан завод № 41. На месте его до 1925 года находился корпус строившегося неизвестно кем лесопильного завода.</w:t>
      </w:r>
    </w:p>
    <w:p w14:paraId="185D3A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востока завод примыкает к заводу редких элементов и с севера к двум пересекающимся линиям ж/дорог.</w:t>
      </w:r>
    </w:p>
    <w:p w14:paraId="4B9C54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Завод № 41 до июня 1931 года представлял собой цех завода № 28. В июле 1931 года распоряжением ГУАП завод № 41 из подчинения заводу № 28 был изъят и передан в распоряжение </w:t>
      </w:r>
      <w:proofErr w:type="spellStart"/>
      <w:r w:rsidRPr="00A259BD">
        <w:rPr>
          <w:rFonts w:ascii="Times New Roman" w:hAnsi="Times New Roman"/>
          <w:color w:val="000000" w:themeColor="text1"/>
          <w:sz w:val="16"/>
          <w:szCs w:val="16"/>
        </w:rPr>
        <w:t>Авиаснаббазы</w:t>
      </w:r>
      <w:proofErr w:type="spellEnd"/>
      <w:r w:rsidRPr="00A259BD">
        <w:rPr>
          <w:rFonts w:ascii="Times New Roman" w:hAnsi="Times New Roman"/>
          <w:color w:val="000000" w:themeColor="text1"/>
          <w:sz w:val="16"/>
          <w:szCs w:val="16"/>
        </w:rPr>
        <w:t xml:space="preserve">, а последняя его передала в мае 1932 года </w:t>
      </w:r>
      <w:proofErr w:type="spellStart"/>
      <w:r w:rsidRPr="00A259BD">
        <w:rPr>
          <w:rFonts w:ascii="Times New Roman" w:hAnsi="Times New Roman"/>
          <w:color w:val="000000" w:themeColor="text1"/>
          <w:sz w:val="16"/>
          <w:szCs w:val="16"/>
        </w:rPr>
        <w:t>Авиаподсобтресту</w:t>
      </w:r>
      <w:proofErr w:type="spellEnd"/>
      <w:r w:rsidRPr="00A259BD">
        <w:rPr>
          <w:rFonts w:ascii="Times New Roman" w:hAnsi="Times New Roman"/>
          <w:color w:val="000000" w:themeColor="text1"/>
          <w:sz w:val="16"/>
          <w:szCs w:val="16"/>
        </w:rPr>
        <w:t xml:space="preserve"> (9368).</w:t>
      </w:r>
    </w:p>
    <w:p w14:paraId="476FB4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6FE1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августе 1929 г. журнал “Вестник Воздушного флота” писал о беспосадочным перелете из Москвы в Севастополь Виктора Писаренко совместно с заместителем начальника ВВС РККА Яковом Алкснисом: “21 июля заместитель начальника Военно-воздушных сил РККА </w:t>
      </w:r>
      <w:proofErr w:type="spellStart"/>
      <w:r w:rsidRPr="00A259BD">
        <w:rPr>
          <w:rFonts w:ascii="Times New Roman" w:hAnsi="Times New Roman"/>
          <w:color w:val="000000" w:themeColor="text1"/>
          <w:sz w:val="16"/>
          <w:szCs w:val="16"/>
        </w:rPr>
        <w:t>тов.Алкснис</w:t>
      </w:r>
      <w:proofErr w:type="spellEnd"/>
      <w:r w:rsidRPr="00A259BD">
        <w:rPr>
          <w:rFonts w:ascii="Times New Roman" w:hAnsi="Times New Roman"/>
          <w:color w:val="000000" w:themeColor="text1"/>
          <w:sz w:val="16"/>
          <w:szCs w:val="16"/>
        </w:rPr>
        <w:t xml:space="preserve"> и старший летчик Научно-исследовательского института тов. Писаренко вылетели на самолете новой конструкции. Поднявшись с московского Центрального аэродрома в 2 часа 32 мин. утра, они совершили беспосадочный перелет до Севастополя, где и снизились в 8 часов утра” (5016).</w:t>
      </w:r>
    </w:p>
    <w:p w14:paraId="16321F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E25C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августе 1929 состоялся рекордный перелет самолета К-4 “Червона Украина” по маршруту Харьков-Иркутск (10674).</w:t>
      </w:r>
    </w:p>
    <w:p w14:paraId="55FA2D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9A462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w:t>
      </w:r>
      <w:r w:rsidRPr="00A259BD">
        <w:rPr>
          <w:rFonts w:ascii="Times New Roman" w:hAnsi="Times New Roman"/>
          <w:color w:val="000000" w:themeColor="text1"/>
          <w:sz w:val="16"/>
          <w:szCs w:val="16"/>
        </w:rPr>
        <w:softHyphen/>
        <w:t>густе 1929 г. Управление ВВС объявило о намерении заказать в Бер</w:t>
      </w:r>
      <w:r w:rsidRPr="00A259BD">
        <w:rPr>
          <w:rFonts w:ascii="Times New Roman" w:hAnsi="Times New Roman"/>
          <w:color w:val="000000" w:themeColor="text1"/>
          <w:sz w:val="16"/>
          <w:szCs w:val="16"/>
        </w:rPr>
        <w:softHyphen/>
        <w:t xml:space="preserve">дянске 40 самолетов и 100 моторов в год. Но </w:t>
      </w:r>
      <w:proofErr w:type="spellStart"/>
      <w:r w:rsidRPr="00A259BD">
        <w:rPr>
          <w:rFonts w:ascii="Times New Roman" w:hAnsi="Times New Roman"/>
          <w:color w:val="000000" w:themeColor="text1"/>
          <w:sz w:val="16"/>
          <w:szCs w:val="16"/>
        </w:rPr>
        <w:t>Главконцесском</w:t>
      </w:r>
      <w:proofErr w:type="spellEnd"/>
      <w:r w:rsidRPr="00A259BD">
        <w:rPr>
          <w:rFonts w:ascii="Times New Roman" w:hAnsi="Times New Roman"/>
          <w:color w:val="000000" w:themeColor="text1"/>
          <w:sz w:val="16"/>
          <w:szCs w:val="16"/>
        </w:rPr>
        <w:t xml:space="preserve"> про</w:t>
      </w:r>
      <w:r w:rsidRPr="00A259BD">
        <w:rPr>
          <w:rFonts w:ascii="Times New Roman" w:hAnsi="Times New Roman"/>
          <w:color w:val="000000" w:themeColor="text1"/>
          <w:sz w:val="16"/>
          <w:szCs w:val="16"/>
        </w:rPr>
        <w:softHyphen/>
        <w:t>должал настаивать на своих требованиях при передаче завода в концессию, и в конечном итоге дело свелось к покупке советской стороной партии летающих лодок в Италии, а также приобретению лицензии на выпуск 3.62. Но строили эти гидросамолеты не в Бер</w:t>
      </w:r>
      <w:r w:rsidRPr="00A259BD">
        <w:rPr>
          <w:rFonts w:ascii="Times New Roman" w:hAnsi="Times New Roman"/>
          <w:color w:val="000000" w:themeColor="text1"/>
          <w:sz w:val="16"/>
          <w:szCs w:val="16"/>
        </w:rPr>
        <w:softHyphen/>
        <w:t>дянске, а в Таганроге (11154).</w:t>
      </w:r>
    </w:p>
    <w:p w14:paraId="326E4C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686DF5" w14:textId="77777777" w:rsidR="00C854C2" w:rsidRPr="00A259BD" w:rsidRDefault="00C854C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августе 1929 г. подготовили проект пятилетнего плана самолётостроения, включав</w:t>
      </w:r>
      <w:r w:rsidRPr="00A259BD">
        <w:rPr>
          <w:rFonts w:ascii="Times New Roman" w:hAnsi="Times New Roman"/>
          <w:color w:val="000000" w:themeColor="text1"/>
          <w:sz w:val="16"/>
          <w:szCs w:val="16"/>
        </w:rPr>
        <w:softHyphen/>
        <w:t>ший в себя и план опытного строительства предметов стрелкового вооружения самолё</w:t>
      </w:r>
      <w:r w:rsidRPr="00A259BD">
        <w:rPr>
          <w:rFonts w:ascii="Times New Roman" w:hAnsi="Times New Roman"/>
          <w:color w:val="000000" w:themeColor="text1"/>
          <w:sz w:val="16"/>
          <w:szCs w:val="16"/>
        </w:rPr>
        <w:softHyphen/>
        <w:t>тов ВВС КА. В объяснительной записке к нему отмечалось, что «введение для вооружения самолётов орудий разных калибров вызывается необходимостью более действенного поражения воздушного противника не только при прямом попадании снаряда в лётчика или в жизненную часть самолёта, но и при разрыве снаряда вблизи от самолёта (15823).</w:t>
      </w:r>
    </w:p>
    <w:p w14:paraId="5D4F24AC" w14:textId="77777777" w:rsidR="00C854C2" w:rsidRPr="00A259BD" w:rsidRDefault="00C854C2" w:rsidP="009236E3">
      <w:pPr>
        <w:spacing w:after="0" w:line="240" w:lineRule="auto"/>
        <w:jc w:val="both"/>
        <w:rPr>
          <w:rFonts w:ascii="Times New Roman" w:hAnsi="Times New Roman"/>
          <w:color w:val="000000" w:themeColor="text1"/>
          <w:sz w:val="16"/>
          <w:szCs w:val="16"/>
        </w:rPr>
      </w:pPr>
    </w:p>
    <w:p w14:paraId="3D38B98A" w14:textId="77777777" w:rsidR="00EC4830" w:rsidRPr="00A259BD" w:rsidRDefault="00EC483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августе 1929 года был организован воздушный рейд вдоль северо-восточного побережья Северного Ледовитого океана от Берингова моря до низовьев реки Лены. Это было повторение прошлогодней незаконченной экспедиции «Советского севера».</w:t>
      </w:r>
    </w:p>
    <w:p w14:paraId="4432B9C0" w14:textId="77777777" w:rsidR="00EC4830" w:rsidRPr="00A259BD" w:rsidRDefault="00EC483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Для выполнения перелета был выделен поплавковый самолет «Юнкерс» W.33 под регистрационным номером СССР-176, с экипажем в составе летчика О.А. </w:t>
      </w:r>
      <w:proofErr w:type="spellStart"/>
      <w:r w:rsidRPr="00A259BD">
        <w:rPr>
          <w:rFonts w:ascii="Times New Roman" w:eastAsia="Times New Roman" w:hAnsi="Times New Roman"/>
          <w:color w:val="000000" w:themeColor="text1"/>
          <w:sz w:val="16"/>
          <w:szCs w:val="16"/>
          <w:lang w:eastAsia="ru-RU"/>
        </w:rPr>
        <w:t>Кальвица</w:t>
      </w:r>
      <w:proofErr w:type="spellEnd"/>
      <w:r w:rsidRPr="00A259BD">
        <w:rPr>
          <w:rFonts w:ascii="Times New Roman" w:eastAsia="Times New Roman" w:hAnsi="Times New Roman"/>
          <w:color w:val="000000" w:themeColor="text1"/>
          <w:sz w:val="16"/>
          <w:szCs w:val="16"/>
          <w:lang w:eastAsia="ru-RU"/>
        </w:rPr>
        <w:t xml:space="preserve">, механика Ф.Ф. </w:t>
      </w:r>
      <w:proofErr w:type="spellStart"/>
      <w:r w:rsidRPr="00A259BD">
        <w:rPr>
          <w:rFonts w:ascii="Times New Roman" w:eastAsia="Times New Roman" w:hAnsi="Times New Roman"/>
          <w:color w:val="000000" w:themeColor="text1"/>
          <w:sz w:val="16"/>
          <w:szCs w:val="16"/>
          <w:lang w:eastAsia="ru-RU"/>
        </w:rPr>
        <w:t>Леонгардта</w:t>
      </w:r>
      <w:proofErr w:type="spellEnd"/>
      <w:r w:rsidRPr="00A259BD">
        <w:rPr>
          <w:rFonts w:ascii="Times New Roman" w:eastAsia="Times New Roman" w:hAnsi="Times New Roman"/>
          <w:color w:val="000000" w:themeColor="text1"/>
          <w:sz w:val="16"/>
          <w:szCs w:val="16"/>
          <w:lang w:eastAsia="ru-RU"/>
        </w:rPr>
        <w:t xml:space="preserve"> и пассажира Г.Д. Красинского.</w:t>
      </w:r>
    </w:p>
    <w:p w14:paraId="690CD3B0" w14:textId="77777777" w:rsidR="00EC4830" w:rsidRPr="00A259BD" w:rsidRDefault="00EC483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lastRenderedPageBreak/>
        <w:t>Самолет был перевезен из Иркутска во Владивосток по железной дороге и там 30 июня погружен на пароход «Лозовский». 24 июля самолет был выгружен на берег в бухте Лаврентия и собран. На следующий день, после неудачной попытки подняться и разгрузки самолета от всего лишнего имущества (часть продуктов, спасательная лодка, теплые вещи) самолет вылетел в Уэлен. Сильный туман над морем заставил экипаж вернуться через 25 минут.</w:t>
      </w:r>
    </w:p>
    <w:p w14:paraId="2C21F815" w14:textId="77777777" w:rsidR="00EC4830" w:rsidRPr="00A259BD" w:rsidRDefault="00EC483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26 июля попытка была повторена, самолет долетел до мыса Дежнева (в 8 км от цели) и к вечеру прибыл на место. 27 июля </w:t>
      </w:r>
      <w:proofErr w:type="spellStart"/>
      <w:r w:rsidRPr="00A259BD">
        <w:rPr>
          <w:rFonts w:ascii="Times New Roman" w:eastAsia="Times New Roman" w:hAnsi="Times New Roman"/>
          <w:color w:val="000000" w:themeColor="text1"/>
          <w:sz w:val="16"/>
          <w:szCs w:val="16"/>
          <w:lang w:eastAsia="ru-RU"/>
        </w:rPr>
        <w:t>Кальвица</w:t>
      </w:r>
      <w:proofErr w:type="spellEnd"/>
      <w:r w:rsidRPr="00A259BD">
        <w:rPr>
          <w:rFonts w:ascii="Times New Roman" w:eastAsia="Times New Roman" w:hAnsi="Times New Roman"/>
          <w:color w:val="000000" w:themeColor="text1"/>
          <w:sz w:val="16"/>
          <w:szCs w:val="16"/>
          <w:lang w:eastAsia="ru-RU"/>
        </w:rPr>
        <w:t xml:space="preserve"> вылетел дальше и совершил посадку у мыса Сердце Камень. 29 июля льды стали надвигаться на самолет, грозя опрокинуть и раздавить его. Несмотря на исключительно сильный туман, был совершен полет для поисков чистой ото льда бухты. Из-за тумана экипаж был вынужден заночевать у мыса </w:t>
      </w:r>
      <w:proofErr w:type="spellStart"/>
      <w:r w:rsidRPr="00A259BD">
        <w:rPr>
          <w:rFonts w:ascii="Times New Roman" w:eastAsia="Times New Roman" w:hAnsi="Times New Roman"/>
          <w:color w:val="000000" w:themeColor="text1"/>
          <w:sz w:val="16"/>
          <w:szCs w:val="16"/>
          <w:lang w:eastAsia="ru-RU"/>
        </w:rPr>
        <w:t>Джикрельтон</w:t>
      </w:r>
      <w:proofErr w:type="spellEnd"/>
      <w:r w:rsidRPr="00A259BD">
        <w:rPr>
          <w:rFonts w:ascii="Times New Roman" w:eastAsia="Times New Roman" w:hAnsi="Times New Roman"/>
          <w:color w:val="000000" w:themeColor="text1"/>
          <w:sz w:val="16"/>
          <w:szCs w:val="16"/>
          <w:lang w:eastAsia="ru-RU"/>
        </w:rPr>
        <w:t>.</w:t>
      </w:r>
    </w:p>
    <w:p w14:paraId="2E36FBBF" w14:textId="77777777" w:rsidR="00EC4830" w:rsidRPr="00A259BD" w:rsidRDefault="00EC483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30-го при ясной погоде самолет прибыл к мысу Северному, где сел среди отдельных глыб льда. В тот же день в 17 часов летчики вылетели на остров Врангеля, куда прибыли через 1 час 50 минут и сели на лагуне в бухте Роджерса.</w:t>
      </w:r>
    </w:p>
    <w:p w14:paraId="0E64981F" w14:textId="77777777" w:rsidR="00EC4830" w:rsidRPr="00A259BD" w:rsidRDefault="00EC483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1 августа, после ряда неудачных, из-за льда, попыток взлететь, полетели, но через 1 час 35 минут сели из-за тумана между мысом Якан и Биллингс на открытом берегу. 2 августа пробовали лететь дальше, но через 8 минут сели из-за густого тумана. Немного погодя они взлетели снова, но снова через 1 час 45 минут сели из-за тумана на западном берегу мыса </w:t>
      </w:r>
      <w:proofErr w:type="spellStart"/>
      <w:r w:rsidRPr="00A259BD">
        <w:rPr>
          <w:rFonts w:ascii="Times New Roman" w:eastAsia="Times New Roman" w:hAnsi="Times New Roman"/>
          <w:color w:val="000000" w:themeColor="text1"/>
          <w:sz w:val="16"/>
          <w:szCs w:val="16"/>
          <w:lang w:eastAsia="ru-RU"/>
        </w:rPr>
        <w:t>Шелагский</w:t>
      </w:r>
      <w:proofErr w:type="spellEnd"/>
      <w:r w:rsidRPr="00A259BD">
        <w:rPr>
          <w:rFonts w:ascii="Times New Roman" w:eastAsia="Times New Roman" w:hAnsi="Times New Roman"/>
          <w:color w:val="000000" w:themeColor="text1"/>
          <w:sz w:val="16"/>
          <w:szCs w:val="16"/>
          <w:lang w:eastAsia="ru-RU"/>
        </w:rPr>
        <w:t xml:space="preserve"> в бухте Чаун. Несколько дней стоял сильный туман. В ночь с 3-го на 4-е прошел шторм. В ночь на 7 августа ветром нагнало много льда и днем, расчистив с помощью чукчей прибрежную полосу, в 18 часов 20 минут вылетели и через 3 часа прилетели в поселок </w:t>
      </w:r>
      <w:proofErr w:type="spellStart"/>
      <w:r w:rsidRPr="00A259BD">
        <w:rPr>
          <w:rFonts w:ascii="Times New Roman" w:eastAsia="Times New Roman" w:hAnsi="Times New Roman"/>
          <w:color w:val="000000" w:themeColor="text1"/>
          <w:sz w:val="16"/>
          <w:szCs w:val="16"/>
          <w:lang w:eastAsia="ru-RU"/>
        </w:rPr>
        <w:t>Шалаурово</w:t>
      </w:r>
      <w:proofErr w:type="spellEnd"/>
      <w:r w:rsidRPr="00A259BD">
        <w:rPr>
          <w:rFonts w:ascii="Times New Roman" w:eastAsia="Times New Roman" w:hAnsi="Times New Roman"/>
          <w:color w:val="000000" w:themeColor="text1"/>
          <w:sz w:val="16"/>
          <w:szCs w:val="16"/>
          <w:lang w:eastAsia="ru-RU"/>
        </w:rPr>
        <w:t xml:space="preserve"> у маяка Лаптева, против острова Сухарного. Здесь дозаправились и 8 августа прилетели в </w:t>
      </w:r>
      <w:proofErr w:type="spellStart"/>
      <w:r w:rsidRPr="00A259BD">
        <w:rPr>
          <w:rFonts w:ascii="Times New Roman" w:eastAsia="Times New Roman" w:hAnsi="Times New Roman"/>
          <w:color w:val="000000" w:themeColor="text1"/>
          <w:sz w:val="16"/>
          <w:szCs w:val="16"/>
          <w:lang w:eastAsia="ru-RU"/>
        </w:rPr>
        <w:t>Нижнеколымск</w:t>
      </w:r>
      <w:proofErr w:type="spellEnd"/>
      <w:r w:rsidRPr="00A259BD">
        <w:rPr>
          <w:rFonts w:ascii="Times New Roman" w:eastAsia="Times New Roman" w:hAnsi="Times New Roman"/>
          <w:color w:val="000000" w:themeColor="text1"/>
          <w:sz w:val="16"/>
          <w:szCs w:val="16"/>
          <w:lang w:eastAsia="ru-RU"/>
        </w:rPr>
        <w:t>.</w:t>
      </w:r>
    </w:p>
    <w:p w14:paraId="442C868C" w14:textId="77777777" w:rsidR="00EC4830" w:rsidRPr="00A259BD" w:rsidRDefault="00EC483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 В этот же день прилетели в Среднеколымск и договорились с местным </w:t>
      </w:r>
      <w:proofErr w:type="spellStart"/>
      <w:r w:rsidRPr="00A259BD">
        <w:rPr>
          <w:rFonts w:ascii="Times New Roman" w:eastAsia="Times New Roman" w:hAnsi="Times New Roman"/>
          <w:color w:val="000000" w:themeColor="text1"/>
          <w:sz w:val="16"/>
          <w:szCs w:val="16"/>
          <w:lang w:eastAsia="ru-RU"/>
        </w:rPr>
        <w:t>Госторгом</w:t>
      </w:r>
      <w:proofErr w:type="spellEnd"/>
      <w:r w:rsidRPr="00A259BD">
        <w:rPr>
          <w:rFonts w:ascii="Times New Roman" w:eastAsia="Times New Roman" w:hAnsi="Times New Roman"/>
          <w:color w:val="000000" w:themeColor="text1"/>
          <w:sz w:val="16"/>
          <w:szCs w:val="16"/>
          <w:lang w:eastAsia="ru-RU"/>
        </w:rPr>
        <w:t xml:space="preserve"> о переброске шхуной на остров Крестовский горючего для дальнейшего полета. 10 августа самолет вернулся в </w:t>
      </w:r>
      <w:proofErr w:type="spellStart"/>
      <w:r w:rsidRPr="00A259BD">
        <w:rPr>
          <w:rFonts w:ascii="Times New Roman" w:eastAsia="Times New Roman" w:hAnsi="Times New Roman"/>
          <w:color w:val="000000" w:themeColor="text1"/>
          <w:sz w:val="16"/>
          <w:szCs w:val="16"/>
          <w:lang w:eastAsia="ru-RU"/>
        </w:rPr>
        <w:t>Нижнеколымск</w:t>
      </w:r>
      <w:proofErr w:type="spellEnd"/>
      <w:r w:rsidRPr="00A259BD">
        <w:rPr>
          <w:rFonts w:ascii="Times New Roman" w:eastAsia="Times New Roman" w:hAnsi="Times New Roman"/>
          <w:color w:val="000000" w:themeColor="text1"/>
          <w:sz w:val="16"/>
          <w:szCs w:val="16"/>
          <w:lang w:eastAsia="ru-RU"/>
        </w:rPr>
        <w:t xml:space="preserve"> и через день продолжал полет на остров Крестовский, где летчики узнали, что шхуна из-за льдов не пришла. Снова вернулись в </w:t>
      </w:r>
      <w:proofErr w:type="spellStart"/>
      <w:r w:rsidRPr="00A259BD">
        <w:rPr>
          <w:rFonts w:ascii="Times New Roman" w:eastAsia="Times New Roman" w:hAnsi="Times New Roman"/>
          <w:color w:val="000000" w:themeColor="text1"/>
          <w:sz w:val="16"/>
          <w:szCs w:val="16"/>
          <w:lang w:eastAsia="ru-RU"/>
        </w:rPr>
        <w:t>Шалаурово</w:t>
      </w:r>
      <w:proofErr w:type="spellEnd"/>
      <w:r w:rsidRPr="00A259BD">
        <w:rPr>
          <w:rFonts w:ascii="Times New Roman" w:eastAsia="Times New Roman" w:hAnsi="Times New Roman"/>
          <w:color w:val="000000" w:themeColor="text1"/>
          <w:sz w:val="16"/>
          <w:szCs w:val="16"/>
          <w:lang w:eastAsia="ru-RU"/>
        </w:rPr>
        <w:t>, где встретили и шхуну, шедшую обратно окружным путем. 12 августа, заправившись и с трудом запустив мотор, вылетели на Ляховские острова. Попав в сильный дождь, сели в устье реки Алазея.</w:t>
      </w:r>
    </w:p>
    <w:p w14:paraId="7B3285EB" w14:textId="77777777" w:rsidR="00EC4830" w:rsidRPr="00A259BD" w:rsidRDefault="00EC483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13 августа, несмотря на туман, летчики решили идти дальше, но из-за отсутствия компрессии мотор запустить не удалось. Было решено перебрать мотор. 15-го мотор был в порядке, но Алазея обмелела, и самолет оказался стоящим на берегу. С большим трудом с помощью эвенков, на полном газу, самолет «прыгнул» в воду и с риском для жизни летчика, лавируя среди отмелей, в 21 часа 40 минут поднялся в воздух.</w:t>
      </w:r>
    </w:p>
    <w:p w14:paraId="5C487923" w14:textId="77777777" w:rsidR="00EC4830" w:rsidRPr="00A259BD" w:rsidRDefault="00EC483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22 часа 40 минут самолет прибыл в поселок Русское устье и здесь летчики переночевали. 16-го они прибыли на остров Ляховский. Лишь 18 августа удалось вылететь в Казачье и, заправившись там, отправиться в трудный перелет через пролив Лаптева. С приключениями они добрались до селения </w:t>
      </w:r>
      <w:proofErr w:type="spellStart"/>
      <w:r w:rsidRPr="00A259BD">
        <w:rPr>
          <w:rFonts w:ascii="Times New Roman" w:eastAsia="Times New Roman" w:hAnsi="Times New Roman"/>
          <w:color w:val="000000" w:themeColor="text1"/>
          <w:sz w:val="16"/>
          <w:szCs w:val="16"/>
          <w:lang w:eastAsia="ru-RU"/>
        </w:rPr>
        <w:t>Булун</w:t>
      </w:r>
      <w:proofErr w:type="spellEnd"/>
      <w:r w:rsidRPr="00A259BD">
        <w:rPr>
          <w:rFonts w:ascii="Times New Roman" w:eastAsia="Times New Roman" w:hAnsi="Times New Roman"/>
          <w:color w:val="000000" w:themeColor="text1"/>
          <w:sz w:val="16"/>
          <w:szCs w:val="16"/>
          <w:lang w:eastAsia="ru-RU"/>
        </w:rPr>
        <w:t>, пробыв в воздухе 3 часа 40 минут.</w:t>
      </w:r>
    </w:p>
    <w:p w14:paraId="635C1BCA" w14:textId="77777777" w:rsidR="00EC4830" w:rsidRPr="00A259BD" w:rsidRDefault="00EC483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Работа двигателя в </w:t>
      </w:r>
      <w:proofErr w:type="spellStart"/>
      <w:r w:rsidRPr="00A259BD">
        <w:rPr>
          <w:rFonts w:ascii="Times New Roman" w:eastAsia="Times New Roman" w:hAnsi="Times New Roman"/>
          <w:color w:val="000000" w:themeColor="text1"/>
          <w:sz w:val="16"/>
          <w:szCs w:val="16"/>
          <w:lang w:eastAsia="ru-RU"/>
        </w:rPr>
        <w:t>Булуне</w:t>
      </w:r>
      <w:proofErr w:type="spellEnd"/>
      <w:r w:rsidRPr="00A259BD">
        <w:rPr>
          <w:rFonts w:ascii="Times New Roman" w:eastAsia="Times New Roman" w:hAnsi="Times New Roman"/>
          <w:color w:val="000000" w:themeColor="text1"/>
          <w:sz w:val="16"/>
          <w:szCs w:val="16"/>
          <w:lang w:eastAsia="ru-RU"/>
        </w:rPr>
        <w:t xml:space="preserve"> стала внушать серьезные опасения. Поэтому было решено его перебрать.</w:t>
      </w:r>
    </w:p>
    <w:p w14:paraId="5FA2F9AF" w14:textId="77777777" w:rsidR="00EC4830" w:rsidRPr="00A259BD" w:rsidRDefault="00EC483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После переборки мотора взлетели 20 августа. Минут через 5 после взлета на высоте 300 м мотор так сильно стало трясти, что дрожали все приборы, а компасная катушка стала вертеться. Сбавив газ, стали планировать. На малых оборотах тряска прекратилась, стали снова подниматься, но едва довели обороты то 1300, как тряска снова усилилась. Решили садиться и, постепенно планируя, дотянули до селения </w:t>
      </w:r>
      <w:proofErr w:type="spellStart"/>
      <w:r w:rsidRPr="00A259BD">
        <w:rPr>
          <w:rFonts w:ascii="Times New Roman" w:eastAsia="Times New Roman" w:hAnsi="Times New Roman"/>
          <w:color w:val="000000" w:themeColor="text1"/>
          <w:sz w:val="16"/>
          <w:szCs w:val="16"/>
          <w:lang w:eastAsia="ru-RU"/>
        </w:rPr>
        <w:t>Говорово</w:t>
      </w:r>
      <w:proofErr w:type="spellEnd"/>
      <w:r w:rsidRPr="00A259BD">
        <w:rPr>
          <w:rFonts w:ascii="Times New Roman" w:eastAsia="Times New Roman" w:hAnsi="Times New Roman"/>
          <w:color w:val="000000" w:themeColor="text1"/>
          <w:sz w:val="16"/>
          <w:szCs w:val="16"/>
          <w:lang w:eastAsia="ru-RU"/>
        </w:rPr>
        <w:t>, где и сели у рыбачьей стоянки.</w:t>
      </w:r>
    </w:p>
    <w:p w14:paraId="0A519E98" w14:textId="77777777" w:rsidR="00EC4830" w:rsidRPr="00A259BD" w:rsidRDefault="00EC4830"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При осмотре оказалось, что лопнул коленчатый вал, и двигатель вышел из строя. Однако основная задача была выполнена. Экспедицией было пройдено от бухты Лаврентия до селения </w:t>
      </w:r>
      <w:proofErr w:type="spellStart"/>
      <w:r w:rsidRPr="00A259BD">
        <w:rPr>
          <w:rFonts w:ascii="Times New Roman" w:eastAsia="Times New Roman" w:hAnsi="Times New Roman"/>
          <w:color w:val="000000" w:themeColor="text1"/>
          <w:sz w:val="16"/>
          <w:szCs w:val="16"/>
          <w:lang w:eastAsia="ru-RU"/>
        </w:rPr>
        <w:t>Говорово</w:t>
      </w:r>
      <w:proofErr w:type="spellEnd"/>
      <w:r w:rsidRPr="00A259BD">
        <w:rPr>
          <w:rFonts w:ascii="Times New Roman" w:eastAsia="Times New Roman" w:hAnsi="Times New Roman"/>
          <w:color w:val="000000" w:themeColor="text1"/>
          <w:sz w:val="16"/>
          <w:szCs w:val="16"/>
          <w:lang w:eastAsia="ru-RU"/>
        </w:rPr>
        <w:t xml:space="preserve"> 5460 км за 27 дней (из них 19 летных) и 41 час полета (21249).</w:t>
      </w:r>
    </w:p>
    <w:p w14:paraId="783DF5E5" w14:textId="77777777" w:rsidR="00EC4830" w:rsidRPr="00A259BD" w:rsidRDefault="00EC4830" w:rsidP="009236E3">
      <w:pPr>
        <w:spacing w:after="0" w:line="240" w:lineRule="auto"/>
        <w:jc w:val="both"/>
        <w:rPr>
          <w:rFonts w:ascii="Times New Roman" w:hAnsi="Times New Roman"/>
          <w:color w:val="000000" w:themeColor="text1"/>
          <w:sz w:val="16"/>
          <w:szCs w:val="16"/>
        </w:rPr>
      </w:pPr>
    </w:p>
    <w:p w14:paraId="403EBE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августе 1929 г. первые катера АНТ-4, которые строились на средст</w:t>
      </w:r>
      <w:r w:rsidRPr="00A259BD">
        <w:rPr>
          <w:rFonts w:ascii="Times New Roman" w:hAnsi="Times New Roman"/>
          <w:color w:val="000000" w:themeColor="text1"/>
          <w:sz w:val="16"/>
          <w:szCs w:val="16"/>
        </w:rPr>
        <w:softHyphen/>
        <w:t>ва, собранные по подписке, вошли в строй Морских сил Балтий</w:t>
      </w:r>
      <w:r w:rsidRPr="00A259BD">
        <w:rPr>
          <w:rFonts w:ascii="Times New Roman" w:hAnsi="Times New Roman"/>
          <w:color w:val="000000" w:themeColor="text1"/>
          <w:sz w:val="16"/>
          <w:szCs w:val="16"/>
        </w:rPr>
        <w:softHyphen/>
        <w:t>ского моря. Они получили названия "Революционный металлист", "</w:t>
      </w:r>
      <w:proofErr w:type="spellStart"/>
      <w:r w:rsidRPr="00A259BD">
        <w:rPr>
          <w:rFonts w:ascii="Times New Roman" w:hAnsi="Times New Roman"/>
          <w:color w:val="000000" w:themeColor="text1"/>
          <w:sz w:val="16"/>
          <w:szCs w:val="16"/>
        </w:rPr>
        <w:t>Осовиахимовец</w:t>
      </w:r>
      <w:proofErr w:type="spellEnd"/>
      <w:r w:rsidRPr="00A259BD">
        <w:rPr>
          <w:rFonts w:ascii="Times New Roman" w:hAnsi="Times New Roman"/>
          <w:color w:val="000000" w:themeColor="text1"/>
          <w:sz w:val="16"/>
          <w:szCs w:val="16"/>
        </w:rPr>
        <w:t>", "Сибиряк" и "Пролетарий Украины". Кроме на</w:t>
      </w:r>
      <w:r w:rsidRPr="00A259BD">
        <w:rPr>
          <w:rFonts w:ascii="Times New Roman" w:hAnsi="Times New Roman"/>
          <w:color w:val="000000" w:themeColor="text1"/>
          <w:sz w:val="16"/>
          <w:szCs w:val="16"/>
        </w:rPr>
        <w:softHyphen/>
        <w:t>званий эти катера имели также номера. Большинству же серийных катеров в дальнейшем присваивались только номера, которые во время нахождения их (катеров) в составе флота неоднократно ме</w:t>
      </w:r>
      <w:r w:rsidRPr="00A259BD">
        <w:rPr>
          <w:rFonts w:ascii="Times New Roman" w:hAnsi="Times New Roman"/>
          <w:color w:val="000000" w:themeColor="text1"/>
          <w:sz w:val="16"/>
          <w:szCs w:val="16"/>
        </w:rPr>
        <w:softHyphen/>
        <w:t>нялись. Всего до конца 1932 г. завод им. А. Марти построил 59 тор</w:t>
      </w:r>
      <w:r w:rsidRPr="00A259BD">
        <w:rPr>
          <w:rFonts w:ascii="Times New Roman" w:hAnsi="Times New Roman"/>
          <w:color w:val="000000" w:themeColor="text1"/>
          <w:sz w:val="16"/>
          <w:szCs w:val="16"/>
        </w:rPr>
        <w:softHyphen/>
        <w:t>педных катеров типа Ш-4 для Балтийского и Черноморского фло</w:t>
      </w:r>
      <w:r w:rsidRPr="00A259BD">
        <w:rPr>
          <w:rFonts w:ascii="Times New Roman" w:hAnsi="Times New Roman"/>
          <w:color w:val="000000" w:themeColor="text1"/>
          <w:sz w:val="16"/>
          <w:szCs w:val="16"/>
        </w:rPr>
        <w:softHyphen/>
        <w:t xml:space="preserve">тов. В 1932—1933 гг. 29 из них </w:t>
      </w:r>
      <w:proofErr w:type="spellStart"/>
      <w:r w:rsidRPr="00A259BD">
        <w:rPr>
          <w:rFonts w:ascii="Times New Roman" w:hAnsi="Times New Roman"/>
          <w:color w:val="000000" w:themeColor="text1"/>
          <w:sz w:val="16"/>
          <w:szCs w:val="16"/>
        </w:rPr>
        <w:t>бьши</w:t>
      </w:r>
      <w:proofErr w:type="spellEnd"/>
      <w:r w:rsidRPr="00A259BD">
        <w:rPr>
          <w:rFonts w:ascii="Times New Roman" w:hAnsi="Times New Roman"/>
          <w:color w:val="000000" w:themeColor="text1"/>
          <w:sz w:val="16"/>
          <w:szCs w:val="16"/>
        </w:rPr>
        <w:t xml:space="preserve"> перевезены по железной до</w:t>
      </w:r>
      <w:r w:rsidRPr="00A259BD">
        <w:rPr>
          <w:rFonts w:ascii="Times New Roman" w:hAnsi="Times New Roman"/>
          <w:color w:val="000000" w:themeColor="text1"/>
          <w:sz w:val="16"/>
          <w:szCs w:val="16"/>
        </w:rPr>
        <w:softHyphen/>
        <w:t>роге к берегам Тихого океана, где вошли в состав первой бригады торпедных катеров Морских сил Дальнего Востока.</w:t>
      </w:r>
    </w:p>
    <w:p w14:paraId="420E55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серийных катерах </w:t>
      </w:r>
      <w:proofErr w:type="spellStart"/>
      <w:r w:rsidRPr="00A259BD">
        <w:rPr>
          <w:rFonts w:ascii="Times New Roman" w:hAnsi="Times New Roman"/>
          <w:color w:val="000000" w:themeColor="text1"/>
          <w:sz w:val="16"/>
          <w:szCs w:val="16"/>
        </w:rPr>
        <w:t>бьшо</w:t>
      </w:r>
      <w:proofErr w:type="spellEnd"/>
      <w:r w:rsidRPr="00A259BD">
        <w:rPr>
          <w:rFonts w:ascii="Times New Roman" w:hAnsi="Times New Roman"/>
          <w:color w:val="000000" w:themeColor="text1"/>
          <w:sz w:val="16"/>
          <w:szCs w:val="16"/>
        </w:rPr>
        <w:t xml:space="preserve"> выполнено подкрепление корпусов, что вызвало увеличение водоизмещения. Соответственно скорость катеров с теми же импортными моторами "Райт-тайфун" несколько уменьшилась. Мореходность их, соответствовавшая заданию, ока</w:t>
      </w:r>
      <w:r w:rsidRPr="00A259BD">
        <w:rPr>
          <w:rFonts w:ascii="Times New Roman" w:hAnsi="Times New Roman"/>
          <w:color w:val="000000" w:themeColor="text1"/>
          <w:sz w:val="16"/>
          <w:szCs w:val="16"/>
        </w:rPr>
        <w:softHyphen/>
        <w:t>залась недостаточной не только для Тихоокеанского театра, но и для осенне-зимних условий Балтики и Черного моря. Интенсив</w:t>
      </w:r>
      <w:r w:rsidRPr="00A259BD">
        <w:rPr>
          <w:rFonts w:ascii="Times New Roman" w:hAnsi="Times New Roman"/>
          <w:color w:val="000000" w:themeColor="text1"/>
          <w:sz w:val="16"/>
          <w:szCs w:val="16"/>
        </w:rPr>
        <w:softHyphen/>
        <w:t>ной оказалась коррозия дюралевых корпусов в соленой воде, что потребовало сооружения в пунктах базирования торпедных катеров специальных мест стоянки, оборудованных подъемниками арочно</w:t>
      </w:r>
      <w:r w:rsidRPr="00A259BD">
        <w:rPr>
          <w:rFonts w:ascii="Times New Roman" w:hAnsi="Times New Roman"/>
          <w:color w:val="000000" w:themeColor="text1"/>
          <w:sz w:val="16"/>
          <w:szCs w:val="16"/>
        </w:rPr>
        <w:softHyphen/>
        <w:t>го типа с использованием талей. Каждый катер после возвращения из похода поднимался из воды, протирался керосином и спускался на воду только перед новым выходом в море.</w:t>
      </w:r>
    </w:p>
    <w:p w14:paraId="3AE02E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Вооружение первых серийных советских катеров 450-мм тор</w:t>
      </w:r>
      <w:r w:rsidRPr="00A259BD">
        <w:rPr>
          <w:rFonts w:ascii="Times New Roman" w:hAnsi="Times New Roman"/>
          <w:color w:val="000000" w:themeColor="text1"/>
          <w:sz w:val="16"/>
          <w:szCs w:val="16"/>
        </w:rPr>
        <w:softHyphen/>
        <w:t>педами было в известной мере вынужденным и не отвечало требо</w:t>
      </w:r>
      <w:r w:rsidRPr="00A259BD">
        <w:rPr>
          <w:rFonts w:ascii="Times New Roman" w:hAnsi="Times New Roman"/>
          <w:color w:val="000000" w:themeColor="text1"/>
          <w:sz w:val="16"/>
          <w:szCs w:val="16"/>
        </w:rPr>
        <w:softHyphen/>
        <w:t>ваниям начала 30-х гг. В то же время, создание торпедных катеров типа Ш-4 позволило накопить опыт массовой постройки малых боевь1Х кораблей, освоить новый конструкционный материал и, на</w:t>
      </w:r>
      <w:r w:rsidRPr="00A259BD">
        <w:rPr>
          <w:rFonts w:ascii="Times New Roman" w:hAnsi="Times New Roman"/>
          <w:color w:val="000000" w:themeColor="text1"/>
          <w:sz w:val="16"/>
          <w:szCs w:val="16"/>
        </w:rPr>
        <w:softHyphen/>
        <w:t>конец, значительно усилить оборону прибрежных районов на трех важных морских театрах (3898).</w:t>
      </w:r>
    </w:p>
    <w:p w14:paraId="457153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A0496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B2DD3A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7FAD313" w14:textId="77777777" w:rsidR="00EC4830" w:rsidRPr="00A259BD" w:rsidRDefault="00EC4830" w:rsidP="009236E3">
      <w:pPr>
        <w:spacing w:after="0" w:line="240" w:lineRule="auto"/>
        <w:jc w:val="both"/>
        <w:rPr>
          <w:rFonts w:ascii="Times New Roman" w:eastAsia="TimesNewRomanPSMT" w:hAnsi="Times New Roman"/>
          <w:color w:val="000000" w:themeColor="text1"/>
          <w:sz w:val="16"/>
          <w:szCs w:val="16"/>
        </w:rPr>
      </w:pPr>
      <w:r w:rsidRPr="00A259BD">
        <w:rPr>
          <w:rFonts w:ascii="Times New Roman" w:hAnsi="Times New Roman"/>
          <w:color w:val="000000" w:themeColor="text1"/>
          <w:sz w:val="16"/>
          <w:szCs w:val="16"/>
        </w:rPr>
        <w:t xml:space="preserve">В августе 1929 г. на </w:t>
      </w:r>
      <w:proofErr w:type="spellStart"/>
      <w:r w:rsidRPr="00A259BD">
        <w:rPr>
          <w:rFonts w:ascii="Times New Roman" w:hAnsi="Times New Roman"/>
          <w:color w:val="000000" w:themeColor="text1"/>
          <w:sz w:val="16"/>
          <w:szCs w:val="16"/>
        </w:rPr>
        <w:t>НИХПе</w:t>
      </w:r>
      <w:proofErr w:type="spellEnd"/>
      <w:r w:rsidRPr="00A259BD">
        <w:rPr>
          <w:rFonts w:ascii="Times New Roman" w:hAnsi="Times New Roman"/>
          <w:color w:val="000000" w:themeColor="text1"/>
          <w:sz w:val="16"/>
          <w:szCs w:val="16"/>
        </w:rPr>
        <w:t xml:space="preserve"> были проведены войсковые испытания 165-мм нарезного </w:t>
      </w:r>
      <w:proofErr w:type="spellStart"/>
      <w:r w:rsidRPr="00A259BD">
        <w:rPr>
          <w:rFonts w:ascii="Times New Roman" w:hAnsi="Times New Roman"/>
          <w:color w:val="000000" w:themeColor="text1"/>
          <w:sz w:val="16"/>
          <w:szCs w:val="16"/>
        </w:rPr>
        <w:t>газоминомета</w:t>
      </w:r>
      <w:proofErr w:type="spellEnd"/>
      <w:r w:rsidRPr="00A259BD">
        <w:rPr>
          <w:rFonts w:ascii="Times New Roman" w:hAnsi="Times New Roman"/>
          <w:color w:val="000000" w:themeColor="text1"/>
          <w:sz w:val="16"/>
          <w:szCs w:val="16"/>
        </w:rPr>
        <w:t xml:space="preserve"> «В-1», разработанного НТК ВОХИМУ.362 В 1930 г., до передачи всех дел по химическим минометам из ВОХИМУ в ведение АУ, НТК ВОХИМУ была проведена работа по модернизации 165-мм </w:t>
      </w:r>
      <w:proofErr w:type="spellStart"/>
      <w:r w:rsidRPr="00A259BD">
        <w:rPr>
          <w:rFonts w:ascii="Times New Roman" w:hAnsi="Times New Roman"/>
          <w:color w:val="000000" w:themeColor="text1"/>
          <w:sz w:val="16"/>
          <w:szCs w:val="16"/>
        </w:rPr>
        <w:t>газоминомета</w:t>
      </w:r>
      <w:proofErr w:type="spellEnd"/>
      <w:r w:rsidRPr="00A259BD">
        <w:rPr>
          <w:rFonts w:ascii="Times New Roman" w:hAnsi="Times New Roman"/>
          <w:color w:val="000000" w:themeColor="text1"/>
          <w:sz w:val="16"/>
          <w:szCs w:val="16"/>
        </w:rPr>
        <w:t>, в результате чего был разработан опытный образец, получивший название 165-ПМ-1 (</w:t>
      </w:r>
      <w:proofErr w:type="spellStart"/>
      <w:r w:rsidRPr="00A259BD">
        <w:rPr>
          <w:rFonts w:ascii="Times New Roman" w:hAnsi="Times New Roman"/>
          <w:color w:val="000000" w:themeColor="text1"/>
          <w:sz w:val="16"/>
          <w:szCs w:val="16"/>
        </w:rPr>
        <w:t>газоминомет</w:t>
      </w:r>
      <w:proofErr w:type="spellEnd"/>
      <w:r w:rsidRPr="00A259BD">
        <w:rPr>
          <w:rFonts w:ascii="Times New Roman" w:hAnsi="Times New Roman"/>
          <w:color w:val="000000" w:themeColor="text1"/>
          <w:sz w:val="16"/>
          <w:szCs w:val="16"/>
        </w:rPr>
        <w:t xml:space="preserve"> «В»). В течение 1930 г. на заводе №8 им М. И. Калинина по заказу ВОХИМУ осуществлялись работы по изготовлению затворов к </w:t>
      </w:r>
      <w:proofErr w:type="spellStart"/>
      <w:r w:rsidRPr="00A259BD">
        <w:rPr>
          <w:rFonts w:ascii="Times New Roman" w:hAnsi="Times New Roman"/>
          <w:color w:val="000000" w:themeColor="text1"/>
          <w:sz w:val="16"/>
          <w:szCs w:val="16"/>
        </w:rPr>
        <w:t>газоминомету</w:t>
      </w:r>
      <w:proofErr w:type="spellEnd"/>
      <w:r w:rsidRPr="00A259BD">
        <w:rPr>
          <w:rFonts w:ascii="Times New Roman" w:hAnsi="Times New Roman"/>
          <w:color w:val="000000" w:themeColor="text1"/>
          <w:sz w:val="16"/>
          <w:szCs w:val="16"/>
        </w:rPr>
        <w:t xml:space="preserve"> «В».363 (20074).</w:t>
      </w:r>
    </w:p>
    <w:p w14:paraId="7C80601B" w14:textId="77777777" w:rsidR="00EC4830" w:rsidRPr="00A259BD" w:rsidRDefault="00EC4830" w:rsidP="009236E3">
      <w:pPr>
        <w:spacing w:after="0" w:line="240" w:lineRule="auto"/>
        <w:jc w:val="both"/>
        <w:rPr>
          <w:rFonts w:ascii="Times New Roman" w:eastAsia="TimesNewRomanPSMT" w:hAnsi="Times New Roman"/>
          <w:color w:val="000000" w:themeColor="text1"/>
          <w:sz w:val="16"/>
          <w:szCs w:val="16"/>
        </w:rPr>
      </w:pPr>
    </w:p>
    <w:p w14:paraId="381EA8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августе 1929 года началось строительство будущего ЗИЛ, а в декабре строительство было объявлено ударной стройкой Москвы. 15 мая 1930 года было завершено строительство главного заводского корпуса и начался монтаж оборудования, а уже 6 ноября завод вступил в число действующих. Его производственный цикл, помимо собственно сборки автомобиля, включал клепку рам, сборку кузовов, их окраску и обойку. 26 декабря 1930 года постановлением Всесоюзного автотракторного объединения ВСНХ СССР (протокол № 138) заводу было присвоено наименование Государственный автосборочный завод имени КИМ – Коммунистического Интернационала Молодежи – в Москве. Помимо производства автомобилей, до конца апреля 1933 года на базе предприятия производился и их средний и капитальный ремонт, а в 1932 году предприятие начало производство двигателей для комбайнов завода “Коммунар” на базе автомобильного двигателя (10766).</w:t>
      </w:r>
    </w:p>
    <w:p w14:paraId="0B3065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A7E6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августе 1929 г. посетивший СССР </w:t>
      </w:r>
      <w:proofErr w:type="spellStart"/>
      <w:r w:rsidRPr="00A259BD">
        <w:rPr>
          <w:rFonts w:ascii="Times New Roman" w:hAnsi="Times New Roman"/>
          <w:color w:val="000000" w:themeColor="text1"/>
          <w:sz w:val="16"/>
          <w:szCs w:val="16"/>
        </w:rPr>
        <w:t>Соренсен</w:t>
      </w:r>
      <w:proofErr w:type="spellEnd"/>
      <w:r w:rsidRPr="00A259BD">
        <w:rPr>
          <w:rFonts w:ascii="Times New Roman" w:hAnsi="Times New Roman"/>
          <w:color w:val="000000" w:themeColor="text1"/>
          <w:sz w:val="16"/>
          <w:szCs w:val="16"/>
        </w:rPr>
        <w:t xml:space="preserve"> лично осмотрел места для строительства автозаводов — основного (полного цикла) в Нижнем Новгороде и двух сборочных — в этом городе и в Москве. Были согласованы все детали контракта. </w:t>
      </w:r>
      <w:proofErr w:type="spellStart"/>
      <w:r w:rsidRPr="00A259BD">
        <w:rPr>
          <w:rFonts w:ascii="Times New Roman" w:hAnsi="Times New Roman"/>
          <w:color w:val="000000" w:themeColor="text1"/>
          <w:sz w:val="16"/>
          <w:szCs w:val="16"/>
        </w:rPr>
        <w:t>Соренсен</w:t>
      </w:r>
      <w:proofErr w:type="spellEnd"/>
      <w:r w:rsidRPr="00A259BD">
        <w:rPr>
          <w:rFonts w:ascii="Times New Roman" w:hAnsi="Times New Roman"/>
          <w:color w:val="000000" w:themeColor="text1"/>
          <w:sz w:val="16"/>
          <w:szCs w:val="16"/>
        </w:rPr>
        <w:t xml:space="preserve"> и трое его коллег встречали самый теплый прием, и никаких серьезных разногласий не возникало.</w:t>
      </w:r>
    </w:p>
    <w:p w14:paraId="763C7F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Представитель американской фирмы познакомился с руководителями ведомств, участвовавших в создании советской автоиндустрии, и с некоторыми членами правительства, включая </w:t>
      </w:r>
      <w:proofErr w:type="spellStart"/>
      <w:r w:rsidRPr="00A259BD">
        <w:rPr>
          <w:rFonts w:ascii="Times New Roman" w:hAnsi="Times New Roman"/>
          <w:color w:val="000000" w:themeColor="text1"/>
          <w:sz w:val="16"/>
          <w:szCs w:val="16"/>
        </w:rPr>
        <w:t>А.И.Микояна</w:t>
      </w:r>
      <w:proofErr w:type="spellEnd"/>
      <w:r w:rsidRPr="00A259BD">
        <w:rPr>
          <w:rFonts w:ascii="Times New Roman" w:hAnsi="Times New Roman"/>
          <w:color w:val="000000" w:themeColor="text1"/>
          <w:sz w:val="16"/>
          <w:szCs w:val="16"/>
        </w:rPr>
        <w:t xml:space="preserve">. Официальные переговоры проходили в Кремле, где с посланцем Форда поздоровался </w:t>
      </w:r>
      <w:proofErr w:type="spellStart"/>
      <w:r w:rsidRPr="00A259BD">
        <w:rPr>
          <w:rFonts w:ascii="Times New Roman" w:hAnsi="Times New Roman"/>
          <w:color w:val="000000" w:themeColor="text1"/>
          <w:sz w:val="16"/>
          <w:szCs w:val="16"/>
        </w:rPr>
        <w:t>И.В.Сталин</w:t>
      </w:r>
      <w:proofErr w:type="spellEnd"/>
      <w:r w:rsidRPr="00A259BD">
        <w:rPr>
          <w:rFonts w:ascii="Times New Roman" w:hAnsi="Times New Roman"/>
          <w:color w:val="000000" w:themeColor="text1"/>
          <w:sz w:val="16"/>
          <w:szCs w:val="16"/>
        </w:rPr>
        <w:t xml:space="preserve">, сказав ему “Алло, Чарли”. </w:t>
      </w:r>
      <w:proofErr w:type="spellStart"/>
      <w:r w:rsidRPr="00A259BD">
        <w:rPr>
          <w:rFonts w:ascii="Times New Roman" w:hAnsi="Times New Roman"/>
          <w:color w:val="000000" w:themeColor="text1"/>
          <w:sz w:val="16"/>
          <w:szCs w:val="16"/>
        </w:rPr>
        <w:t>Соренсен</w:t>
      </w:r>
      <w:proofErr w:type="spellEnd"/>
      <w:r w:rsidRPr="00A259BD">
        <w:rPr>
          <w:rFonts w:ascii="Times New Roman" w:hAnsi="Times New Roman"/>
          <w:color w:val="000000" w:themeColor="text1"/>
          <w:sz w:val="16"/>
          <w:szCs w:val="16"/>
        </w:rPr>
        <w:t xml:space="preserve"> позднее вспоминал, что в России его везде приветствовали на американский манер.</w:t>
      </w:r>
    </w:p>
    <w:p w14:paraId="09E13C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Менеджер Форд Мотор хорошо запомнил и русское хлебосольство. </w:t>
      </w:r>
    </w:p>
    <w:p w14:paraId="20E1A7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прибытии в Нижний американских гостей посадили на “роскошную яхту” и устроили прогулку по Волге, после чего началась обильная трапеза. “Душой общества” был руководитель треста тяжелого машиностроения </w:t>
      </w:r>
      <w:proofErr w:type="spellStart"/>
      <w:r w:rsidRPr="00A259BD">
        <w:rPr>
          <w:rFonts w:ascii="Times New Roman" w:hAnsi="Times New Roman"/>
          <w:color w:val="000000" w:themeColor="text1"/>
          <w:sz w:val="16"/>
          <w:szCs w:val="16"/>
        </w:rPr>
        <w:t>А.Ф.Толоконцев</w:t>
      </w:r>
      <w:proofErr w:type="spellEnd"/>
      <w:r w:rsidRPr="00A259BD">
        <w:rPr>
          <w:rFonts w:ascii="Times New Roman" w:hAnsi="Times New Roman"/>
          <w:color w:val="000000" w:themeColor="text1"/>
          <w:sz w:val="16"/>
          <w:szCs w:val="16"/>
        </w:rPr>
        <w:t xml:space="preserve">, который замечательно пел. Таким талантом, отметил </w:t>
      </w:r>
      <w:proofErr w:type="spellStart"/>
      <w:r w:rsidRPr="00A259BD">
        <w:rPr>
          <w:rFonts w:ascii="Times New Roman" w:hAnsi="Times New Roman"/>
          <w:color w:val="000000" w:themeColor="text1"/>
          <w:sz w:val="16"/>
          <w:szCs w:val="16"/>
        </w:rPr>
        <w:t>Соренсен</w:t>
      </w:r>
      <w:proofErr w:type="spellEnd"/>
      <w:r w:rsidRPr="00A259BD">
        <w:rPr>
          <w:rFonts w:ascii="Times New Roman" w:hAnsi="Times New Roman"/>
          <w:color w:val="000000" w:themeColor="text1"/>
          <w:sz w:val="16"/>
          <w:szCs w:val="16"/>
        </w:rPr>
        <w:t>, не обладал ни один из высокопоставленных чиновников США. Только через двадцать лет появился президент, который умел играть на пианино, — им был Трумэн.</w:t>
      </w:r>
    </w:p>
    <w:p w14:paraId="0BEA17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Отбыв в Стокгольм, </w:t>
      </w:r>
      <w:proofErr w:type="spellStart"/>
      <w:r w:rsidRPr="00A259BD">
        <w:rPr>
          <w:rFonts w:ascii="Times New Roman" w:hAnsi="Times New Roman"/>
          <w:color w:val="000000" w:themeColor="text1"/>
          <w:sz w:val="16"/>
          <w:szCs w:val="16"/>
        </w:rPr>
        <w:t>Соренсен</w:t>
      </w:r>
      <w:proofErr w:type="spellEnd"/>
      <w:r w:rsidRPr="00A259BD">
        <w:rPr>
          <w:rFonts w:ascii="Times New Roman" w:hAnsi="Times New Roman"/>
          <w:color w:val="000000" w:themeColor="text1"/>
          <w:sz w:val="16"/>
          <w:szCs w:val="16"/>
        </w:rPr>
        <w:t xml:space="preserve"> распечатал красиво упакованную коробку, врученную ему в Ленинграде </w:t>
      </w:r>
      <w:proofErr w:type="spellStart"/>
      <w:r w:rsidRPr="00A259BD">
        <w:rPr>
          <w:rFonts w:ascii="Times New Roman" w:hAnsi="Times New Roman"/>
          <w:color w:val="000000" w:themeColor="text1"/>
          <w:sz w:val="16"/>
          <w:szCs w:val="16"/>
        </w:rPr>
        <w:t>Межлауком</w:t>
      </w:r>
      <w:proofErr w:type="spellEnd"/>
      <w:r w:rsidRPr="00A259BD">
        <w:rPr>
          <w:rFonts w:ascii="Times New Roman" w:hAnsi="Times New Roman"/>
          <w:color w:val="000000" w:themeColor="text1"/>
          <w:sz w:val="16"/>
          <w:szCs w:val="16"/>
        </w:rPr>
        <w:t>. Там оказалась драгоценная серебряная шкатулка для украшений, принадлежавшая императрице Екатерине II.</w:t>
      </w:r>
    </w:p>
    <w:p w14:paraId="2E907A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Общее впечатление </w:t>
      </w:r>
      <w:proofErr w:type="spellStart"/>
      <w:r w:rsidRPr="00A259BD">
        <w:rPr>
          <w:rFonts w:ascii="Times New Roman" w:hAnsi="Times New Roman"/>
          <w:color w:val="000000" w:themeColor="text1"/>
          <w:sz w:val="16"/>
          <w:szCs w:val="16"/>
        </w:rPr>
        <w:t>Соренсена</w:t>
      </w:r>
      <w:proofErr w:type="spellEnd"/>
      <w:r w:rsidRPr="00A259BD">
        <w:rPr>
          <w:rFonts w:ascii="Times New Roman" w:hAnsi="Times New Roman"/>
          <w:color w:val="000000" w:themeColor="text1"/>
          <w:sz w:val="16"/>
          <w:szCs w:val="16"/>
        </w:rPr>
        <w:t xml:space="preserve"> от увиденного в СССР было более благоприятным, чем мнение фордовской комиссии 1926 г., хотя американский специалист и указал на такой существенный недостаток размещения автозавода в Нижнем, как большая удаленность от источников сырья и материалов. В Ленинграде </w:t>
      </w:r>
      <w:proofErr w:type="spellStart"/>
      <w:r w:rsidRPr="00A259BD">
        <w:rPr>
          <w:rFonts w:ascii="Times New Roman" w:hAnsi="Times New Roman"/>
          <w:color w:val="000000" w:themeColor="text1"/>
          <w:sz w:val="16"/>
          <w:szCs w:val="16"/>
        </w:rPr>
        <w:t>Соренсен</w:t>
      </w:r>
      <w:proofErr w:type="spellEnd"/>
      <w:r w:rsidRPr="00A259BD">
        <w:rPr>
          <w:rFonts w:ascii="Times New Roman" w:hAnsi="Times New Roman"/>
          <w:color w:val="000000" w:themeColor="text1"/>
          <w:sz w:val="16"/>
          <w:szCs w:val="16"/>
        </w:rPr>
        <w:t xml:space="preserve"> похвалил качество изготовления турбин, однако, по его словам, “всё, что относилось к массовому производству, ставило русских в тупик”.</w:t>
      </w:r>
    </w:p>
    <w:p w14:paraId="77B651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Путиловском заводе, который </w:t>
      </w:r>
      <w:proofErr w:type="spellStart"/>
      <w:r w:rsidRPr="00A259BD">
        <w:rPr>
          <w:rFonts w:ascii="Times New Roman" w:hAnsi="Times New Roman"/>
          <w:color w:val="000000" w:themeColor="text1"/>
          <w:sz w:val="16"/>
          <w:szCs w:val="16"/>
        </w:rPr>
        <w:t>Соренсен</w:t>
      </w:r>
      <w:proofErr w:type="spellEnd"/>
      <w:r w:rsidRPr="00A259BD">
        <w:rPr>
          <w:rFonts w:ascii="Times New Roman" w:hAnsi="Times New Roman"/>
          <w:color w:val="000000" w:themeColor="text1"/>
          <w:sz w:val="16"/>
          <w:szCs w:val="16"/>
        </w:rPr>
        <w:t xml:space="preserve"> назвал “самым допотопным из всех виденных им”, он с удивлением обнаружил, что предприятие выпускало трактора-</w:t>
      </w:r>
      <w:proofErr w:type="spellStart"/>
      <w:r w:rsidRPr="00A259BD">
        <w:rPr>
          <w:rFonts w:ascii="Times New Roman" w:hAnsi="Times New Roman"/>
          <w:color w:val="000000" w:themeColor="text1"/>
          <w:sz w:val="16"/>
          <w:szCs w:val="16"/>
        </w:rPr>
        <w:t>фордзоны</w:t>
      </w:r>
      <w:proofErr w:type="spellEnd"/>
      <w:r w:rsidRPr="00A259BD">
        <w:rPr>
          <w:rFonts w:ascii="Times New Roman" w:hAnsi="Times New Roman"/>
          <w:color w:val="000000" w:themeColor="text1"/>
          <w:sz w:val="16"/>
          <w:szCs w:val="16"/>
        </w:rPr>
        <w:t xml:space="preserve"> под названием “Красный путиловец”. Он тут же выяснил, что русские с помощью некоторых фордовских механиков, встреченных им на этом заводе, несколько лет назад разобрали один из </w:t>
      </w:r>
      <w:proofErr w:type="spellStart"/>
      <w:r w:rsidRPr="00A259BD">
        <w:rPr>
          <w:rFonts w:ascii="Times New Roman" w:hAnsi="Times New Roman"/>
          <w:color w:val="000000" w:themeColor="text1"/>
          <w:sz w:val="16"/>
          <w:szCs w:val="16"/>
        </w:rPr>
        <w:t>фордзонов</w:t>
      </w:r>
      <w:proofErr w:type="spellEnd"/>
      <w:r w:rsidRPr="00A259BD">
        <w:rPr>
          <w:rFonts w:ascii="Times New Roman" w:hAnsi="Times New Roman"/>
          <w:color w:val="000000" w:themeColor="text1"/>
          <w:sz w:val="16"/>
          <w:szCs w:val="16"/>
        </w:rPr>
        <w:t>, сделали его чертежи и попытались производить точную копию этого трактора, но, не зная технологии изготовления существенно важных деталей, не добились американского качества. Раскрыть секреты производства, похитив конструкцию трактора, было невозможно, и поэтому советская машина была ненадежной в эксплуатации.</w:t>
      </w:r>
    </w:p>
    <w:p w14:paraId="286D6F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Задав “настоящую головомойку” руководителям завода, </w:t>
      </w:r>
      <w:proofErr w:type="spellStart"/>
      <w:r w:rsidRPr="00A259BD">
        <w:rPr>
          <w:rFonts w:ascii="Times New Roman" w:hAnsi="Times New Roman"/>
          <w:color w:val="000000" w:themeColor="text1"/>
          <w:sz w:val="16"/>
          <w:szCs w:val="16"/>
        </w:rPr>
        <w:t>Соренсен</w:t>
      </w:r>
      <w:proofErr w:type="spellEnd"/>
      <w:r w:rsidRPr="00A259BD">
        <w:rPr>
          <w:rFonts w:ascii="Times New Roman" w:hAnsi="Times New Roman"/>
          <w:color w:val="000000" w:themeColor="text1"/>
          <w:sz w:val="16"/>
          <w:szCs w:val="16"/>
        </w:rPr>
        <w:t xml:space="preserve"> объяснил им технологию изготовления червячного привода, которая вызывала наибольшие затруднения. Хотя те “украли всё, что смогли, относительно трактора”, он великодушно обещал прислать на завод квалифицированного специалиста.</w:t>
      </w:r>
    </w:p>
    <w:p w14:paraId="09632F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Лозунг “учиться у американцев” превратился в главную практическую задачу на заводах Автотреста. В конце 1920-х гг., когда со всей остротой ставился вопрос — быть или не быть социалистическому эксперименту на одной шестой части планеты, в советской стране открыто говорилось и делалось то, что в период холодной войны власти однозначно расценили бы как “низкопоклонство перед Западом”. Идеалы “светлого будущего” опирались на прагматическое заимствование зарубежного, в первую очередь американского, опыта (11506).</w:t>
      </w:r>
    </w:p>
    <w:p w14:paraId="3D2E66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211234" w14:textId="77777777" w:rsidR="00C854C2" w:rsidRPr="00A259BD" w:rsidRDefault="00C854C2" w:rsidP="009236E3">
      <w:pPr>
        <w:widowControl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В августе </w:t>
      </w:r>
      <w:smartTag w:uri="urn:schemas-microsoft-com:office:smarttags" w:element="metricconverter">
        <w:smartTagPr>
          <w:attr w:name="ProductID" w:val="1929 г"/>
        </w:smartTagPr>
        <w:r w:rsidRPr="00A259BD">
          <w:rPr>
            <w:rFonts w:ascii="Times New Roman" w:hAnsi="Times New Roman"/>
            <w:color w:val="000000" w:themeColor="text1"/>
            <w:sz w:val="16"/>
            <w:szCs w:val="16"/>
          </w:rPr>
          <w:t>1929 г</w:t>
        </w:r>
      </w:smartTag>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Главмашинстрой</w:t>
      </w:r>
      <w:proofErr w:type="spellEnd"/>
      <w:r w:rsidRPr="00A259BD">
        <w:rPr>
          <w:rFonts w:ascii="Times New Roman" w:hAnsi="Times New Roman"/>
          <w:color w:val="000000" w:themeColor="text1"/>
          <w:sz w:val="16"/>
          <w:szCs w:val="16"/>
        </w:rPr>
        <w:t xml:space="preserve"> ВСНХ СССР передал все работы по строительству автозавода тресту </w:t>
      </w:r>
      <w:proofErr w:type="spellStart"/>
      <w:r w:rsidRPr="00A259BD">
        <w:rPr>
          <w:rFonts w:ascii="Times New Roman" w:hAnsi="Times New Roman"/>
          <w:color w:val="000000" w:themeColor="text1"/>
          <w:sz w:val="16"/>
          <w:szCs w:val="16"/>
        </w:rPr>
        <w:t>Металлстрой</w:t>
      </w:r>
      <w:proofErr w:type="spellEnd"/>
      <w:r w:rsidRPr="00A259BD">
        <w:rPr>
          <w:rFonts w:ascii="Times New Roman" w:hAnsi="Times New Roman"/>
          <w:color w:val="000000" w:themeColor="text1"/>
          <w:sz w:val="16"/>
          <w:szCs w:val="16"/>
        </w:rPr>
        <w:t xml:space="preserve">. Для руководства строительством и производственной деятельностью автомобильных и тракторных заводов в масштабе страны ВСНХ СССР образовал Всесоюзное автотракторное объединение (ВАТО). В сентябре-октябре </w:t>
      </w:r>
      <w:proofErr w:type="spellStart"/>
      <w:r w:rsidRPr="00A259BD">
        <w:rPr>
          <w:rFonts w:ascii="Times New Roman" w:hAnsi="Times New Roman"/>
          <w:color w:val="000000" w:themeColor="text1"/>
          <w:sz w:val="16"/>
          <w:szCs w:val="16"/>
        </w:rPr>
        <w:t>Металлстрой</w:t>
      </w:r>
      <w:proofErr w:type="spellEnd"/>
      <w:r w:rsidRPr="00A259BD">
        <w:rPr>
          <w:rFonts w:ascii="Times New Roman" w:hAnsi="Times New Roman"/>
          <w:color w:val="000000" w:themeColor="text1"/>
          <w:sz w:val="16"/>
          <w:szCs w:val="16"/>
        </w:rPr>
        <w:t xml:space="preserve"> составляет проект подготовительных работ. Предстояло очистить огромную территорию от кустарника и мелколесья, срыть бугры и холмы, засыпать овраги и ямы; разработать проекты организации строительства, подсобных предприятий и поселков; проложить к строительной площадке железнодорожные ветки от завода «Двигатель революции» Московской железной дороги; построить десятки складских помещений, бетонные заводы и мастерские, жилые дома и бараки, здания административного центра, магазины, столовые, бани; дать воду и электричество (15218).</w:t>
      </w:r>
    </w:p>
    <w:p w14:paraId="67C42CB4" w14:textId="77777777" w:rsidR="00C854C2" w:rsidRPr="00A259BD" w:rsidRDefault="00C854C2" w:rsidP="009236E3">
      <w:pPr>
        <w:widowControl w:val="0"/>
        <w:spacing w:after="0" w:line="240" w:lineRule="auto"/>
        <w:jc w:val="both"/>
        <w:rPr>
          <w:rFonts w:ascii="Times New Roman" w:hAnsi="Times New Roman"/>
          <w:color w:val="000000" w:themeColor="text1"/>
          <w:sz w:val="16"/>
          <w:szCs w:val="16"/>
        </w:rPr>
      </w:pPr>
    </w:p>
    <w:p w14:paraId="6BF3F118" w14:textId="77777777" w:rsidR="004B4828" w:rsidRPr="00A259BD" w:rsidRDefault="004B48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августе 1929 г. Совет Труда и Обороны принял решение о строительстве в СССР Волховского и Днепровского алюминиевых заводов. В 1929 г. на Ленинградском опытном заводе “Красный Выборжец” под руководством П.П. Федотьева были проведены длительные производственные испытания по получению алюминия электролитическим путем из отечественных материалов (12249).</w:t>
      </w:r>
    </w:p>
    <w:p w14:paraId="087521A7" w14:textId="77777777" w:rsidR="004B4828" w:rsidRPr="00A259BD" w:rsidRDefault="004B4828" w:rsidP="009236E3">
      <w:pPr>
        <w:spacing w:after="0" w:line="240" w:lineRule="auto"/>
        <w:jc w:val="both"/>
        <w:rPr>
          <w:rFonts w:ascii="Times New Roman" w:hAnsi="Times New Roman"/>
          <w:color w:val="000000" w:themeColor="text1"/>
          <w:sz w:val="16"/>
          <w:szCs w:val="16"/>
        </w:rPr>
      </w:pPr>
    </w:p>
    <w:p w14:paraId="1197BD49" w14:textId="77777777" w:rsidR="00EC4830" w:rsidRPr="00A259BD" w:rsidRDefault="00EC4830"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августе 1929 г. в «Автодоре» был заслушан доклад о глиссере коллектива №89, в результате рассмотрения которого приняли решение назначить комиссию «по выяснению вопроса о глиссере». Комиссии поручалось «выяснить возможность серьезного испытания глиссера в навигацию 29 г. и составить смету на необходимые для этого доделки и оборудование глиссера».</w:t>
      </w:r>
    </w:p>
    <w:p w14:paraId="05454249" w14:textId="77777777" w:rsidR="00EC4830" w:rsidRPr="00A259BD" w:rsidRDefault="00EC4830"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следующем месяце обсуждался вопрос об испытании глиссера ДМ-1, в связи с чем в «Автодоре» приняли решение «выделить на ремонт200руб., командировочные 200 руб., на непредвиденное 200руб. Просить УВВС РККА отпустить авиационное горючее и смазочное, потребное для испытаний. В комиссию выделить тт. Бойкова, Емельянова, Елагина, Карпова, Мещерина, Неверова» (21504).</w:t>
      </w:r>
    </w:p>
    <w:p w14:paraId="4D0C96CD" w14:textId="77777777" w:rsidR="00EC4830" w:rsidRPr="00A259BD" w:rsidRDefault="00EC4830" w:rsidP="009236E3">
      <w:pPr>
        <w:spacing w:after="0" w:line="240" w:lineRule="auto"/>
        <w:jc w:val="both"/>
        <w:rPr>
          <w:rFonts w:ascii="Times New Roman" w:hAnsi="Times New Roman"/>
          <w:color w:val="000000" w:themeColor="text1"/>
          <w:sz w:val="16"/>
          <w:szCs w:val="16"/>
        </w:rPr>
      </w:pPr>
    </w:p>
    <w:p w14:paraId="1098C7E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503ABB2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2A51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августе 1929 провели учения трех ДВ 9-й авиабригады совместно с крейсером "Червона Украина". Лодки вели поиск крейсера в открытом море и производили на него учебные атаки. Также указывалось, что летом 1929 г. в учениях принимали участие летающие лодки ДВ 60-й отдельной эскадрильи Никитина, отряд Волынского и отряд </w:t>
      </w:r>
      <w:proofErr w:type="spellStart"/>
      <w:r w:rsidRPr="00A259BD">
        <w:rPr>
          <w:rFonts w:ascii="Times New Roman" w:hAnsi="Times New Roman"/>
          <w:color w:val="000000" w:themeColor="text1"/>
          <w:sz w:val="16"/>
          <w:szCs w:val="16"/>
        </w:rPr>
        <w:t>Порцеля</w:t>
      </w:r>
      <w:proofErr w:type="spellEnd"/>
      <w:r w:rsidRPr="00A259BD">
        <w:rPr>
          <w:rFonts w:ascii="Times New Roman" w:hAnsi="Times New Roman"/>
          <w:color w:val="000000" w:themeColor="text1"/>
          <w:sz w:val="16"/>
          <w:szCs w:val="16"/>
        </w:rPr>
        <w:t xml:space="preserve"> на ЮГ-1.</w:t>
      </w:r>
    </w:p>
    <w:p w14:paraId="0A82E4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Отметим, что трехмоторные поплавковые Юнкере ЮГ-1 в 1927 г. решили перевести на Балтийское море, одновременно возник вопрос и о базировании ожидаемых лодок ДВ.</w:t>
      </w:r>
    </w:p>
    <w:p w14:paraId="5A8E29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Еще в январе 1928 г, когда ожидалось поступление второй партии машин в количестве 20 экземпляров, первые два поступивших Дорнье "Валь" с двигателями "</w:t>
      </w:r>
      <w:proofErr w:type="spellStart"/>
      <w:r w:rsidRPr="00A259BD">
        <w:rPr>
          <w:rFonts w:ascii="Times New Roman" w:hAnsi="Times New Roman"/>
          <w:color w:val="000000" w:themeColor="text1"/>
          <w:sz w:val="16"/>
          <w:szCs w:val="16"/>
        </w:rPr>
        <w:t>Лоррен</w:t>
      </w:r>
      <w:proofErr w:type="spellEnd"/>
      <w:r w:rsidRPr="00A259BD">
        <w:rPr>
          <w:rFonts w:ascii="Times New Roman" w:hAnsi="Times New Roman"/>
          <w:color w:val="000000" w:themeColor="text1"/>
          <w:sz w:val="16"/>
          <w:szCs w:val="16"/>
        </w:rPr>
        <w:t xml:space="preserve">-Дитрих" решили передислоцировать на Балтику (существовал план сразу перегнать две машины из Италии, однако затем вернулись к первому решению). Перелет двух лодок предполагался вдоль системы рек (Днепр, Припять, Двина, Волхов), однако длительные отрезки полета над сушей предопределили провести его как агитационную акцию. Одним словом, переброску летающих лодок на север обозначили как перелет </w:t>
      </w:r>
      <w:proofErr w:type="spellStart"/>
      <w:r w:rsidRPr="00A259BD">
        <w:rPr>
          <w:rFonts w:ascii="Times New Roman" w:hAnsi="Times New Roman"/>
          <w:color w:val="000000" w:themeColor="text1"/>
          <w:sz w:val="16"/>
          <w:szCs w:val="16"/>
        </w:rPr>
        <w:t>Осоавиа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хима</w:t>
      </w:r>
      <w:proofErr w:type="spellEnd"/>
      <w:r w:rsidRPr="00A259BD">
        <w:rPr>
          <w:rFonts w:ascii="Times New Roman" w:hAnsi="Times New Roman"/>
          <w:color w:val="000000" w:themeColor="text1"/>
          <w:sz w:val="16"/>
          <w:szCs w:val="16"/>
        </w:rPr>
        <w:t>, который его и оплатил.</w:t>
      </w:r>
    </w:p>
    <w:p w14:paraId="1ADD39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Впрочем, вылетели ДВ с Черного моря порознь. Сначала, в период 26-28 мая 1928 г. перелетела одна лодка. Второй ДВ ЛД остался в Севастополе. После окончания планового ремонта этот экземпляр использовался при оценочных испытаниях немецкого бомбового прицела "Герц-Бойков" BL200. В августе и эта машина ушла на Балтику.</w:t>
      </w:r>
    </w:p>
    <w:p w14:paraId="33EC1D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Базировались оба ДВ ЛД в Ленинграде, в Гребном порту, числились за 66-м авиаотрядом. Эксплуатировались активно, мореходность и дальность полета для Балтийского моря, а в основном для Финского залива, были вполне удовлетворительны (11961).</w:t>
      </w:r>
    </w:p>
    <w:p w14:paraId="0432ED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C33D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августе 1929 началось формирование Особой дальневосточной армии под командованием Блюхера и со штабом в Хабаровске. У Блюхера было 65 самолетов, в основном Р-1 (1493,26).</w:t>
      </w:r>
    </w:p>
    <w:p w14:paraId="4D17A4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0469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августа 1929 г. ГВСУ продолжало оставаться в составе НКЗ (9090).</w:t>
      </w:r>
    </w:p>
    <w:p w14:paraId="074BE1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20FE2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5DC247B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14586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августе 1929 В.М.М. сменил </w:t>
      </w:r>
      <w:proofErr w:type="spellStart"/>
      <w:r w:rsidRPr="00A259BD">
        <w:rPr>
          <w:rFonts w:ascii="Times New Roman" w:hAnsi="Times New Roman"/>
          <w:color w:val="000000" w:themeColor="text1"/>
          <w:sz w:val="16"/>
          <w:szCs w:val="16"/>
        </w:rPr>
        <w:t>Н.Бухарина</w:t>
      </w:r>
      <w:proofErr w:type="spellEnd"/>
      <w:r w:rsidRPr="00A259BD">
        <w:rPr>
          <w:rFonts w:ascii="Times New Roman" w:hAnsi="Times New Roman"/>
          <w:color w:val="000000" w:themeColor="text1"/>
          <w:sz w:val="16"/>
          <w:szCs w:val="16"/>
        </w:rPr>
        <w:t xml:space="preserve"> в качестве руководителя исполкома Интернационала (3908,329).</w:t>
      </w:r>
    </w:p>
    <w:p w14:paraId="634D77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F676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августе 1929 года началось регулярное движение электричек на участке Москва — Мытищи (11612).</w:t>
      </w:r>
    </w:p>
    <w:p w14:paraId="632E16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23DC36"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4CC3FE4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FEAA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августе 1929 Амторг заключил договор с </w:t>
      </w:r>
      <w:proofErr w:type="spellStart"/>
      <w:r w:rsidRPr="00A259BD">
        <w:rPr>
          <w:rFonts w:ascii="Times New Roman" w:hAnsi="Times New Roman"/>
          <w:color w:val="000000" w:themeColor="text1"/>
          <w:sz w:val="16"/>
          <w:szCs w:val="16"/>
        </w:rPr>
        <w:t>Cleveland</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Tractor</w:t>
      </w:r>
      <w:proofErr w:type="spellEnd"/>
      <w:r w:rsidRPr="00A259BD">
        <w:rPr>
          <w:rFonts w:ascii="Times New Roman" w:hAnsi="Times New Roman"/>
          <w:color w:val="000000" w:themeColor="text1"/>
          <w:sz w:val="16"/>
          <w:szCs w:val="16"/>
        </w:rPr>
        <w:t xml:space="preserve"> Co. объемом 1.67 млн. долл. под закупку тракторов и запчастей (4347).</w:t>
      </w:r>
    </w:p>
    <w:p w14:paraId="65E3DA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4A99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августе 1929 г. впервые состоялся заход военных кораблей советского Балтфлота в порты Германии. Два крейсера «Профинтерн» и «Аврора» посетили </w:t>
      </w:r>
      <w:proofErr w:type="spellStart"/>
      <w:r w:rsidRPr="00A259BD">
        <w:rPr>
          <w:rFonts w:ascii="Times New Roman" w:hAnsi="Times New Roman"/>
          <w:color w:val="000000" w:themeColor="text1"/>
          <w:sz w:val="16"/>
          <w:szCs w:val="16"/>
        </w:rPr>
        <w:t>Свинемюнде</w:t>
      </w:r>
      <w:proofErr w:type="spellEnd"/>
      <w:r w:rsidRPr="00A259BD">
        <w:rPr>
          <w:rFonts w:ascii="Times New Roman" w:hAnsi="Times New Roman"/>
          <w:color w:val="000000" w:themeColor="text1"/>
          <w:sz w:val="16"/>
          <w:szCs w:val="16"/>
        </w:rPr>
        <w:t>, а отряд эскадренных миноносцев («Ленин» и «Рыков») — Пиллау (АВП РФ, ф. 0165, оп. 14, п. 157, д. 8, л. 59-61.). Эта акция, — в общем-то рядовое явление в международной практике, тогда, будучи первой для военных кораблей СССР, выбиравшегося из тупика внешнеполитической изоляции и поэтому придававшего ей политическое значение, — прошла успешно. Если не считать того факта, что моряки, оказавшись в иностранных портах без валюты, ловко дурачили местных торговцев, расплачиваясь неконвертируемыми советскими рублями (Те затем обращались в советские представительства с просьбой обменять «советскую валюту» на германские марки, тоже в ту пору, кстати, неконвертируемые.). Таким образом, этот заход кораблей сразу же поставил и вопрос о необходимости обеспечения моряков валютой на стоянках в иностранных портах. В 1929 г. полпредство трижды (в августе, сентябре и ноябре) поднимало перед руководством НКИД и РВС СССР вопрос о посылке в Берлин советской военно-морской делегации. Оно подчеркивало благоприятность момента для изменения длительное время отрицательного отношения германского флота к такому сотрудничеству и настаивало на необходимости закрепить «перемену курса» в этом отношении. Эта «перемена курса» проявилась между прочим и в ставшем известном в июне 1929 г. намерении германских ВМС создать в СССР школу морской авиации. Берлинская фирма «</w:t>
      </w:r>
      <w:proofErr w:type="spellStart"/>
      <w:r w:rsidRPr="00A259BD">
        <w:rPr>
          <w:rFonts w:ascii="Times New Roman" w:hAnsi="Times New Roman"/>
          <w:color w:val="000000" w:themeColor="text1"/>
          <w:sz w:val="16"/>
          <w:szCs w:val="16"/>
        </w:rPr>
        <w:t>Рорбах</w:t>
      </w:r>
      <w:proofErr w:type="spellEnd"/>
      <w:r w:rsidRPr="00A259BD">
        <w:rPr>
          <w:rFonts w:ascii="Times New Roman" w:hAnsi="Times New Roman"/>
          <w:color w:val="000000" w:themeColor="text1"/>
          <w:sz w:val="16"/>
          <w:szCs w:val="16"/>
        </w:rPr>
        <w:t xml:space="preserve"> Металл-</w:t>
      </w:r>
      <w:proofErr w:type="spellStart"/>
      <w:r w:rsidRPr="00A259BD">
        <w:rPr>
          <w:rFonts w:ascii="Times New Roman" w:hAnsi="Times New Roman"/>
          <w:color w:val="000000" w:themeColor="text1"/>
          <w:sz w:val="16"/>
          <w:szCs w:val="16"/>
        </w:rPr>
        <w:t>Флюгцойгбау</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ГмбХ</w:t>
      </w:r>
      <w:proofErr w:type="spellEnd"/>
      <w:r w:rsidRPr="00A259BD">
        <w:rPr>
          <w:rFonts w:ascii="Times New Roman" w:hAnsi="Times New Roman"/>
          <w:color w:val="000000" w:themeColor="text1"/>
          <w:sz w:val="16"/>
          <w:szCs w:val="16"/>
        </w:rPr>
        <w:t xml:space="preserve">» намеревалась возвести на северном берегу Азовского моря советско-германский авиационный завод и проводить там на море и на суше необходимые испытания. Однако военный министр </w:t>
      </w:r>
      <w:proofErr w:type="spellStart"/>
      <w:r w:rsidRPr="00A259BD">
        <w:rPr>
          <w:rFonts w:ascii="Times New Roman" w:hAnsi="Times New Roman"/>
          <w:color w:val="000000" w:themeColor="text1"/>
          <w:sz w:val="16"/>
          <w:szCs w:val="16"/>
        </w:rPr>
        <w:t>Гренер</w:t>
      </w:r>
      <w:proofErr w:type="spellEnd"/>
      <w:r w:rsidRPr="00A259BD">
        <w:rPr>
          <w:rFonts w:ascii="Times New Roman" w:hAnsi="Times New Roman"/>
          <w:color w:val="000000" w:themeColor="text1"/>
          <w:sz w:val="16"/>
          <w:szCs w:val="16"/>
        </w:rPr>
        <w:t xml:space="preserve"> и МИД Германии энергично воспрепятствовали этой «самодеятельной» акции «</w:t>
      </w:r>
      <w:proofErr w:type="spellStart"/>
      <w:r w:rsidRPr="00A259BD">
        <w:rPr>
          <w:rFonts w:ascii="Times New Roman" w:hAnsi="Times New Roman"/>
          <w:color w:val="000000" w:themeColor="text1"/>
          <w:sz w:val="16"/>
          <w:szCs w:val="16"/>
        </w:rPr>
        <w:t>райхсмарине</w:t>
      </w:r>
      <w:proofErr w:type="spellEnd"/>
      <w:r w:rsidRPr="00A259BD">
        <w:rPr>
          <w:rFonts w:ascii="Times New Roman" w:hAnsi="Times New Roman"/>
          <w:color w:val="000000" w:themeColor="text1"/>
          <w:sz w:val="16"/>
          <w:szCs w:val="16"/>
        </w:rPr>
        <w:t xml:space="preserve">» (ADAP, Ser.B,Bd.XII.S.66.). Полпредство придавало этому большое политическое значение (АВП РФ, ф. 0165, </w:t>
      </w:r>
      <w:proofErr w:type="spellStart"/>
      <w:r w:rsidRPr="00A259BD">
        <w:rPr>
          <w:rFonts w:ascii="Times New Roman" w:hAnsi="Times New Roman"/>
          <w:color w:val="000000" w:themeColor="text1"/>
          <w:sz w:val="16"/>
          <w:szCs w:val="16"/>
        </w:rPr>
        <w:t>on</w:t>
      </w:r>
      <w:proofErr w:type="spellEnd"/>
      <w:r w:rsidRPr="00A259BD">
        <w:rPr>
          <w:rFonts w:ascii="Times New Roman" w:hAnsi="Times New Roman"/>
          <w:color w:val="000000" w:themeColor="text1"/>
          <w:sz w:val="16"/>
          <w:szCs w:val="16"/>
        </w:rPr>
        <w:t>. 14, п. 157, д. 8, л. 62—64.). Ведь таким образом в Германии расширялась бы база поддержки «</w:t>
      </w:r>
      <w:proofErr w:type="spellStart"/>
      <w:r w:rsidRPr="00A259BD">
        <w:rPr>
          <w:rFonts w:ascii="Times New Roman" w:hAnsi="Times New Roman"/>
          <w:color w:val="000000" w:themeColor="text1"/>
          <w:sz w:val="16"/>
          <w:szCs w:val="16"/>
        </w:rPr>
        <w:t>рапалльской</w:t>
      </w:r>
      <w:proofErr w:type="spellEnd"/>
      <w:r w:rsidRPr="00A259BD">
        <w:rPr>
          <w:rFonts w:ascii="Times New Roman" w:hAnsi="Times New Roman"/>
          <w:color w:val="000000" w:themeColor="text1"/>
          <w:sz w:val="16"/>
          <w:szCs w:val="16"/>
        </w:rPr>
        <w:t xml:space="preserve"> политики» (Поторапливая Ворошилова дать ориентирующие направления для беседы на обеде с </w:t>
      </w:r>
      <w:proofErr w:type="spellStart"/>
      <w:r w:rsidRPr="00A259BD">
        <w:rPr>
          <w:rFonts w:ascii="Times New Roman" w:hAnsi="Times New Roman"/>
          <w:color w:val="000000" w:themeColor="text1"/>
          <w:sz w:val="16"/>
          <w:szCs w:val="16"/>
        </w:rPr>
        <w:t>Рэдером</w:t>
      </w:r>
      <w:proofErr w:type="spellEnd"/>
      <w:r w:rsidRPr="00A259BD">
        <w:rPr>
          <w:rFonts w:ascii="Times New Roman" w:hAnsi="Times New Roman"/>
          <w:color w:val="000000" w:themeColor="text1"/>
          <w:sz w:val="16"/>
          <w:szCs w:val="16"/>
        </w:rPr>
        <w:t xml:space="preserve">, которая должна была состояться и состоялась 26 ноября 1929 г., Крестинский в письме от 16 ноября 1929 г. напоминал наркомвоенмору о его положительном решении вопроса «о сотрудничестве с немецкими военными и по флотской линии», а также о намерении Ворошилова «переговорить на эту тему с тов. Сталиным». Крестинский просил </w:t>
      </w:r>
      <w:proofErr w:type="spellStart"/>
      <w:r w:rsidRPr="00A259BD">
        <w:rPr>
          <w:rFonts w:ascii="Times New Roman" w:hAnsi="Times New Roman"/>
          <w:color w:val="000000" w:themeColor="text1"/>
          <w:sz w:val="16"/>
          <w:szCs w:val="16"/>
        </w:rPr>
        <w:t>написатьему</w:t>
      </w:r>
      <w:proofErr w:type="spellEnd"/>
      <w:r w:rsidRPr="00A259BD">
        <w:rPr>
          <w:rFonts w:ascii="Times New Roman" w:hAnsi="Times New Roman"/>
          <w:color w:val="000000" w:themeColor="text1"/>
          <w:sz w:val="16"/>
          <w:szCs w:val="16"/>
        </w:rPr>
        <w:t xml:space="preserve"> «пару слов» относительно того, что ответить шефу «</w:t>
      </w:r>
      <w:proofErr w:type="spellStart"/>
      <w:r w:rsidRPr="00A259BD">
        <w:rPr>
          <w:rFonts w:ascii="Times New Roman" w:hAnsi="Times New Roman"/>
          <w:color w:val="000000" w:themeColor="text1"/>
          <w:sz w:val="16"/>
          <w:szCs w:val="16"/>
        </w:rPr>
        <w:t>райхсмарине</w:t>
      </w:r>
      <w:proofErr w:type="spellEnd"/>
      <w:r w:rsidRPr="00A259BD">
        <w:rPr>
          <w:rFonts w:ascii="Times New Roman" w:hAnsi="Times New Roman"/>
          <w:color w:val="000000" w:themeColor="text1"/>
          <w:sz w:val="16"/>
          <w:szCs w:val="16"/>
        </w:rPr>
        <w:t xml:space="preserve">», если тот заговорит «о сотрудничестве и приезде наших моряков». Однако на обеде 26 ноября 1929 г. </w:t>
      </w:r>
      <w:proofErr w:type="spellStart"/>
      <w:r w:rsidRPr="00A259BD">
        <w:rPr>
          <w:rFonts w:ascii="Times New Roman" w:hAnsi="Times New Roman"/>
          <w:color w:val="000000" w:themeColor="text1"/>
          <w:sz w:val="16"/>
          <w:szCs w:val="16"/>
        </w:rPr>
        <w:t>Рэдер</w:t>
      </w:r>
      <w:proofErr w:type="spellEnd"/>
      <w:r w:rsidRPr="00A259BD">
        <w:rPr>
          <w:rFonts w:ascii="Times New Roman" w:hAnsi="Times New Roman"/>
          <w:color w:val="000000" w:themeColor="text1"/>
          <w:sz w:val="16"/>
          <w:szCs w:val="16"/>
        </w:rPr>
        <w:t xml:space="preserve"> данный вопрос не поднимал. (Там же, л. 63—64). Документы его были выправлены на имя Адамова. (</w:t>
      </w:r>
      <w:proofErr w:type="spellStart"/>
      <w:r w:rsidRPr="00A259BD">
        <w:rPr>
          <w:rFonts w:ascii="Times New Roman" w:hAnsi="Times New Roman"/>
          <w:color w:val="000000" w:themeColor="text1"/>
          <w:sz w:val="16"/>
          <w:szCs w:val="16"/>
          <w:lang w:val="en-US"/>
        </w:rPr>
        <w:t>JohnErickson</w:t>
      </w:r>
      <w:proofErr w:type="spellEnd"/>
      <w:r w:rsidRPr="00A259BD">
        <w:rPr>
          <w:rFonts w:ascii="Times New Roman" w:hAnsi="Times New Roman"/>
          <w:color w:val="000000" w:themeColor="text1"/>
          <w:sz w:val="16"/>
          <w:szCs w:val="16"/>
        </w:rPr>
        <w:t xml:space="preserve">. </w:t>
      </w:r>
      <w:r w:rsidRPr="00A259BD">
        <w:rPr>
          <w:rFonts w:ascii="Times New Roman" w:hAnsi="Times New Roman"/>
          <w:color w:val="000000" w:themeColor="text1"/>
          <w:sz w:val="16"/>
          <w:szCs w:val="16"/>
          <w:lang w:val="en-US"/>
        </w:rPr>
        <w:t>Op</w:t>
      </w: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lang w:val="en-US"/>
        </w:rPr>
        <w:t>cit</w:t>
      </w:r>
      <w:proofErr w:type="spellEnd"/>
      <w:r w:rsidRPr="00A259BD">
        <w:rPr>
          <w:rFonts w:ascii="Times New Roman" w:hAnsi="Times New Roman"/>
          <w:color w:val="000000" w:themeColor="text1"/>
          <w:sz w:val="16"/>
          <w:szCs w:val="16"/>
        </w:rPr>
        <w:t xml:space="preserve">., </w:t>
      </w:r>
      <w:r w:rsidRPr="00A259BD">
        <w:rPr>
          <w:rFonts w:ascii="Times New Roman" w:hAnsi="Times New Roman"/>
          <w:color w:val="000000" w:themeColor="text1"/>
          <w:sz w:val="16"/>
          <w:szCs w:val="16"/>
          <w:lang w:val="en-US"/>
        </w:rPr>
        <w:t>p</w:t>
      </w:r>
      <w:r w:rsidRPr="00A259BD">
        <w:rPr>
          <w:rFonts w:ascii="Times New Roman" w:hAnsi="Times New Roman"/>
          <w:color w:val="000000" w:themeColor="text1"/>
          <w:sz w:val="16"/>
          <w:szCs w:val="16"/>
        </w:rPr>
        <w:t>. 713).) (11784).</w:t>
      </w:r>
    </w:p>
    <w:p w14:paraId="55F2FA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4BE342" w14:textId="77777777" w:rsidR="00771930" w:rsidRPr="00A259BD" w:rsidRDefault="007719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августе 1929 г. впервые состоялся заход военных кораблей советского Балтфлота в порты Германии. Два крейсера «Профинтерн» и «Аврора» посетили </w:t>
      </w:r>
      <w:proofErr w:type="spellStart"/>
      <w:r w:rsidRPr="00A259BD">
        <w:rPr>
          <w:rFonts w:ascii="Times New Roman" w:hAnsi="Times New Roman"/>
          <w:color w:val="000000" w:themeColor="text1"/>
          <w:sz w:val="16"/>
          <w:szCs w:val="16"/>
        </w:rPr>
        <w:t>Свинемюнде</w:t>
      </w:r>
      <w:proofErr w:type="spellEnd"/>
      <w:r w:rsidRPr="00A259BD">
        <w:rPr>
          <w:rFonts w:ascii="Times New Roman" w:hAnsi="Times New Roman"/>
          <w:color w:val="000000" w:themeColor="text1"/>
          <w:sz w:val="16"/>
          <w:szCs w:val="16"/>
        </w:rPr>
        <w:t>, а отряд эскадренных миноносцев («Ленин» и «Рыков») — Пиллау. Эта акция, — в общем-то рядовое явление в международной практике, тогда, будучи первой для военных кораблей СССР, выбиравшегося из тупика внешнеполитической изоляции и поэтому придававшего ей политическое значение, — прошла успешно. Если не считать того факта, что моряки, оказавшись в иностранных портах без валюты, ловко дурачили местных торговцев, расплачиваясь неконвертируемыми советскими рублями. Таким образом, этот заход кораблей сразу же поставил и вопрос о необходимости обеспечения моряков валютой на стоянках в иностранных портах.</w:t>
      </w:r>
    </w:p>
    <w:p w14:paraId="215A3BDC" w14:textId="77777777" w:rsidR="00771930" w:rsidRPr="00A259BD" w:rsidRDefault="007719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полпредство трижды (в августе, сентябре и ноябре) поднимало перед руководством НКИД и РВС СССР вопрос о посылке в Берлин советской военно-морской делегации. Оно подчеркивало благоприятность момента для изменения длительное время отрицательного отношения германского флота к такому сотрудничеству и настаивало на необходимости закрепить «перемену курса» в этом отношении. Эта «перемена курса» проявилась между прочим и в ставшем известном в июне 1929 г. намерении германских ВМС создать в СССР школу морской авиации. Берлинская фирма «</w:t>
      </w:r>
      <w:proofErr w:type="spellStart"/>
      <w:r w:rsidRPr="00A259BD">
        <w:rPr>
          <w:rFonts w:ascii="Times New Roman" w:hAnsi="Times New Roman"/>
          <w:color w:val="000000" w:themeColor="text1"/>
          <w:sz w:val="16"/>
          <w:szCs w:val="16"/>
        </w:rPr>
        <w:t>Рорбах</w:t>
      </w:r>
      <w:proofErr w:type="spellEnd"/>
      <w:r w:rsidRPr="00A259BD">
        <w:rPr>
          <w:rFonts w:ascii="Times New Roman" w:hAnsi="Times New Roman"/>
          <w:color w:val="000000" w:themeColor="text1"/>
          <w:sz w:val="16"/>
          <w:szCs w:val="16"/>
        </w:rPr>
        <w:t xml:space="preserve"> Металл-</w:t>
      </w:r>
      <w:proofErr w:type="spellStart"/>
      <w:r w:rsidRPr="00A259BD">
        <w:rPr>
          <w:rFonts w:ascii="Times New Roman" w:hAnsi="Times New Roman"/>
          <w:color w:val="000000" w:themeColor="text1"/>
          <w:sz w:val="16"/>
          <w:szCs w:val="16"/>
        </w:rPr>
        <w:t>Флюгцойгбау</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ГмбХ</w:t>
      </w:r>
      <w:proofErr w:type="spellEnd"/>
      <w:r w:rsidRPr="00A259BD">
        <w:rPr>
          <w:rFonts w:ascii="Times New Roman" w:hAnsi="Times New Roman"/>
          <w:color w:val="000000" w:themeColor="text1"/>
          <w:sz w:val="16"/>
          <w:szCs w:val="16"/>
        </w:rPr>
        <w:t xml:space="preserve">» намеревалась возвести на северном берегу Азовского моря советско-германский авиационный завод и проводить там на море и на суше необходимые испытания. Однако военный министр </w:t>
      </w:r>
      <w:proofErr w:type="spellStart"/>
      <w:r w:rsidRPr="00A259BD">
        <w:rPr>
          <w:rFonts w:ascii="Times New Roman" w:hAnsi="Times New Roman"/>
          <w:color w:val="000000" w:themeColor="text1"/>
          <w:sz w:val="16"/>
          <w:szCs w:val="16"/>
        </w:rPr>
        <w:t>Гренер</w:t>
      </w:r>
      <w:proofErr w:type="spellEnd"/>
      <w:r w:rsidRPr="00A259BD">
        <w:rPr>
          <w:rFonts w:ascii="Times New Roman" w:hAnsi="Times New Roman"/>
          <w:color w:val="000000" w:themeColor="text1"/>
          <w:sz w:val="16"/>
          <w:szCs w:val="16"/>
        </w:rPr>
        <w:t xml:space="preserve"> и МИД Германии энергично воспрепятствовали этой «самодеятельной» акции «</w:t>
      </w:r>
      <w:proofErr w:type="spellStart"/>
      <w:r w:rsidRPr="00A259BD">
        <w:rPr>
          <w:rFonts w:ascii="Times New Roman" w:hAnsi="Times New Roman"/>
          <w:color w:val="000000" w:themeColor="text1"/>
          <w:sz w:val="16"/>
          <w:szCs w:val="16"/>
        </w:rPr>
        <w:t>райхсмарине</w:t>
      </w:r>
      <w:proofErr w:type="spellEnd"/>
      <w:r w:rsidRPr="00A259BD">
        <w:rPr>
          <w:rFonts w:ascii="Times New Roman" w:hAnsi="Times New Roman"/>
          <w:color w:val="000000" w:themeColor="text1"/>
          <w:sz w:val="16"/>
          <w:szCs w:val="16"/>
        </w:rPr>
        <w:t>». Полпредство придавало этому большое политическое значение. Ведь таким образом в Германии расширялась бы база поддержки «</w:t>
      </w:r>
      <w:proofErr w:type="spellStart"/>
      <w:r w:rsidRPr="00A259BD">
        <w:rPr>
          <w:rFonts w:ascii="Times New Roman" w:hAnsi="Times New Roman"/>
          <w:color w:val="000000" w:themeColor="text1"/>
          <w:sz w:val="16"/>
          <w:szCs w:val="16"/>
        </w:rPr>
        <w:t>рапалльской</w:t>
      </w:r>
      <w:proofErr w:type="spellEnd"/>
      <w:r w:rsidRPr="00A259BD">
        <w:rPr>
          <w:rFonts w:ascii="Times New Roman" w:hAnsi="Times New Roman"/>
          <w:color w:val="000000" w:themeColor="text1"/>
          <w:sz w:val="16"/>
          <w:szCs w:val="16"/>
        </w:rPr>
        <w:t xml:space="preserve"> политики» (18265).</w:t>
      </w:r>
    </w:p>
    <w:p w14:paraId="1DB73B72" w14:textId="77777777" w:rsidR="00771930" w:rsidRPr="00A259BD" w:rsidRDefault="00771930" w:rsidP="009236E3">
      <w:pPr>
        <w:spacing w:after="0" w:line="240" w:lineRule="auto"/>
        <w:jc w:val="both"/>
        <w:rPr>
          <w:rFonts w:ascii="Times New Roman" w:hAnsi="Times New Roman"/>
          <w:color w:val="000000" w:themeColor="text1"/>
          <w:sz w:val="16"/>
          <w:szCs w:val="16"/>
        </w:rPr>
      </w:pPr>
    </w:p>
    <w:p w14:paraId="197033B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07BFEB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E89903" w14:textId="77777777" w:rsidR="0055524C" w:rsidRPr="00A259BD" w:rsidRDefault="0055524C" w:rsidP="009236E3">
      <w:pPr>
        <w:pStyle w:val="a3"/>
        <w:rPr>
          <w:color w:val="000000" w:themeColor="text1"/>
          <w:lang w:val="ru-RU"/>
        </w:rPr>
      </w:pPr>
      <w:r w:rsidRPr="00A259BD">
        <w:rPr>
          <w:color w:val="000000" w:themeColor="text1"/>
          <w:lang w:val="ru-RU"/>
        </w:rPr>
        <w:t>В августе 1929 г. дирижабль «Граф Цеппе</w:t>
      </w:r>
      <w:r w:rsidRPr="00A259BD">
        <w:rPr>
          <w:color w:val="000000" w:themeColor="text1"/>
          <w:lang w:val="ru-RU"/>
        </w:rPr>
        <w:softHyphen/>
        <w:t>лин» (объем -105000 м</w:t>
      </w:r>
      <w:r w:rsidRPr="00A259BD">
        <w:rPr>
          <w:color w:val="000000" w:themeColor="text1"/>
          <w:vertAlign w:val="superscript"/>
          <w:lang w:val="ru-RU"/>
        </w:rPr>
        <w:t>3</w:t>
      </w:r>
      <w:r w:rsidRPr="00A259BD">
        <w:rPr>
          <w:color w:val="000000" w:themeColor="text1"/>
          <w:lang w:val="ru-RU"/>
        </w:rPr>
        <w:t xml:space="preserve">, длина 235 м, мощность пяти моторов - 2650 л.с.), совершая перелет из Германии в США, </w:t>
      </w:r>
      <w:r w:rsidRPr="00A259BD">
        <w:rPr>
          <w:color w:val="000000" w:themeColor="text1"/>
          <w:lang w:val="ru-RU"/>
        </w:rPr>
        <w:lastRenderedPageBreak/>
        <w:t xml:space="preserve">благополучно проследовал через всю Россию: Брест - Рыбинск - Вятка - Верхотурье – Сибирь - Охотское море - Сахалин. И далее: Токио - Лос-Анджелес - Нью-Йорк - </w:t>
      </w:r>
      <w:proofErr w:type="spellStart"/>
      <w:r w:rsidRPr="00A259BD">
        <w:rPr>
          <w:color w:val="000000" w:themeColor="text1"/>
          <w:lang w:val="ru-RU"/>
        </w:rPr>
        <w:t>Лекхерст</w:t>
      </w:r>
      <w:proofErr w:type="spellEnd"/>
      <w:r w:rsidRPr="00A259BD">
        <w:rPr>
          <w:color w:val="000000" w:themeColor="text1"/>
          <w:lang w:val="ru-RU"/>
        </w:rPr>
        <w:t>, покрыв расстояние в 32000 км (12732).</w:t>
      </w:r>
    </w:p>
    <w:p w14:paraId="0942E7B4" w14:textId="77777777" w:rsidR="0055524C" w:rsidRPr="00A259BD" w:rsidRDefault="0055524C" w:rsidP="009236E3">
      <w:pPr>
        <w:pStyle w:val="a3"/>
        <w:tabs>
          <w:tab w:val="left" w:pos="150"/>
        </w:tabs>
        <w:autoSpaceDE/>
        <w:autoSpaceDN/>
        <w:adjustRightInd/>
        <w:rPr>
          <w:color w:val="000000" w:themeColor="text1"/>
          <w:lang w:val="ru-RU"/>
        </w:rPr>
      </w:pPr>
    </w:p>
    <w:p w14:paraId="66BF9A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r w:rsidRPr="00A259BD">
        <w:rPr>
          <w:rFonts w:ascii="Times New Roman" w:hAnsi="Times New Roman"/>
          <w:color w:val="000000" w:themeColor="text1"/>
          <w:sz w:val="16"/>
          <w:szCs w:val="16"/>
          <w:lang w:val="en-US"/>
        </w:rPr>
        <w:t>During August 1929 Use of a battery of solid-propellant rockets on Junkers-33 seaplane, the first recorded jet-assisted take-off of an airplane, made in tests near Dessau, Germany (1038).</w:t>
      </w:r>
    </w:p>
    <w:p w14:paraId="5F9DBC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p>
    <w:p w14:paraId="4154330B" w14:textId="77777777" w:rsidR="005A5C20" w:rsidRPr="00A259BD" w:rsidRDefault="005A5C2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августе 1929 г. «</w:t>
      </w:r>
      <w:proofErr w:type="spellStart"/>
      <w:r w:rsidRPr="00A259BD">
        <w:rPr>
          <w:rFonts w:ascii="Times New Roman" w:hAnsi="Times New Roman"/>
          <w:color w:val="000000" w:themeColor="text1"/>
          <w:sz w:val="16"/>
          <w:szCs w:val="16"/>
        </w:rPr>
        <w:t>Тексако</w:t>
      </w:r>
      <w:proofErr w:type="spellEnd"/>
      <w:r w:rsidRPr="00A259BD">
        <w:rPr>
          <w:rFonts w:ascii="Times New Roman" w:hAnsi="Times New Roman"/>
          <w:color w:val="000000" w:themeColor="text1"/>
          <w:sz w:val="16"/>
          <w:szCs w:val="16"/>
        </w:rPr>
        <w:t>» или «</w:t>
      </w:r>
      <w:proofErr w:type="spellStart"/>
      <w:r w:rsidR="00000000">
        <w:fldChar w:fldCharType="begin"/>
      </w:r>
      <w:r w:rsidR="00000000">
        <w:instrText>HYPERLINK "http://alternathistory.org.ua/gonochnyi-samolet-travel-air-mystery-ship"</w:instrText>
      </w:r>
      <w:r w:rsidR="00000000">
        <w:fldChar w:fldCharType="separate"/>
      </w:r>
      <w:r w:rsidRPr="00A259BD">
        <w:rPr>
          <w:rFonts w:ascii="Times New Roman" w:hAnsi="Times New Roman"/>
          <w:color w:val="000000" w:themeColor="text1"/>
          <w:sz w:val="16"/>
          <w:szCs w:val="16"/>
        </w:rPr>
        <w:t>Мистери</w:t>
      </w:r>
      <w:proofErr w:type="spellEnd"/>
      <w:r w:rsidRPr="00A259BD">
        <w:rPr>
          <w:rFonts w:ascii="Times New Roman" w:hAnsi="Times New Roman"/>
          <w:color w:val="000000" w:themeColor="text1"/>
          <w:sz w:val="16"/>
          <w:szCs w:val="16"/>
        </w:rPr>
        <w:t xml:space="preserve"> Шип</w:t>
      </w:r>
      <w:r w:rsidR="00000000">
        <w:rPr>
          <w:rFonts w:ascii="Times New Roman" w:hAnsi="Times New Roman"/>
          <w:color w:val="000000" w:themeColor="text1"/>
          <w:sz w:val="16"/>
          <w:szCs w:val="16"/>
        </w:rPr>
        <w:fldChar w:fldCharType="end"/>
      </w:r>
      <w:r w:rsidRPr="00A259BD">
        <w:rPr>
          <w:rFonts w:ascii="Times New Roman" w:hAnsi="Times New Roman"/>
          <w:color w:val="000000" w:themeColor="text1"/>
          <w:sz w:val="16"/>
          <w:szCs w:val="16"/>
        </w:rPr>
        <w:t xml:space="preserve">» фирмы «Трэвел Эйр», который создали в 1924 г. три человека, ставшие впоследствии знаменитыми и основавшие собственные фирмы: Уолтер Бич, Клайд </w:t>
      </w:r>
      <w:proofErr w:type="spellStart"/>
      <w:r w:rsidRPr="00A259BD">
        <w:rPr>
          <w:rFonts w:ascii="Times New Roman" w:hAnsi="Times New Roman"/>
          <w:color w:val="000000" w:themeColor="text1"/>
          <w:sz w:val="16"/>
          <w:szCs w:val="16"/>
        </w:rPr>
        <w:t>Цессна</w:t>
      </w:r>
      <w:proofErr w:type="spellEnd"/>
      <w:r w:rsidRPr="00A259BD">
        <w:rPr>
          <w:rFonts w:ascii="Times New Roman" w:hAnsi="Times New Roman"/>
          <w:color w:val="000000" w:themeColor="text1"/>
          <w:sz w:val="16"/>
          <w:szCs w:val="16"/>
        </w:rPr>
        <w:t xml:space="preserve"> и Ллойд </w:t>
      </w:r>
      <w:proofErr w:type="spellStart"/>
      <w:r w:rsidRPr="00A259BD">
        <w:rPr>
          <w:rFonts w:ascii="Times New Roman" w:hAnsi="Times New Roman"/>
          <w:color w:val="000000" w:themeColor="text1"/>
          <w:sz w:val="16"/>
          <w:szCs w:val="16"/>
        </w:rPr>
        <w:t>СтирменЭ</w:t>
      </w:r>
      <w:proofErr w:type="spellEnd"/>
      <w:r w:rsidRPr="00A259BD">
        <w:rPr>
          <w:rFonts w:ascii="Times New Roman" w:hAnsi="Times New Roman"/>
          <w:color w:val="000000" w:themeColor="text1"/>
          <w:sz w:val="16"/>
          <w:szCs w:val="16"/>
        </w:rPr>
        <w:t xml:space="preserve"> поднялся в воздух. На нем была достигнута скорость 314 км/ч (15547).</w:t>
      </w:r>
    </w:p>
    <w:p w14:paraId="5636F29A" w14:textId="77777777" w:rsidR="005A5C20" w:rsidRPr="00A259BD" w:rsidRDefault="005A5C20" w:rsidP="009236E3">
      <w:pPr>
        <w:spacing w:after="0" w:line="240" w:lineRule="auto"/>
        <w:jc w:val="both"/>
        <w:rPr>
          <w:rFonts w:ascii="Times New Roman" w:hAnsi="Times New Roman"/>
          <w:color w:val="000000" w:themeColor="text1"/>
          <w:sz w:val="16"/>
          <w:szCs w:val="16"/>
        </w:rPr>
      </w:pPr>
    </w:p>
    <w:p w14:paraId="236A7631" w14:textId="77777777" w:rsidR="00EC4830" w:rsidRPr="00A259BD" w:rsidRDefault="00EC48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августе 1929, чтобы справиться со вспышкой арабских набегов на еврейские деревни в Палестине, британский авианосец HMS </w:t>
      </w:r>
      <w:proofErr w:type="spellStart"/>
      <w:r w:rsidRPr="00A259BD">
        <w:rPr>
          <w:rFonts w:ascii="Times New Roman" w:hAnsi="Times New Roman"/>
          <w:color w:val="000000" w:themeColor="text1"/>
          <w:sz w:val="16"/>
          <w:szCs w:val="16"/>
        </w:rPr>
        <w:t>Courageous</w:t>
      </w:r>
      <w:proofErr w:type="spellEnd"/>
      <w:r w:rsidRPr="00A259BD">
        <w:rPr>
          <w:rFonts w:ascii="Times New Roman" w:hAnsi="Times New Roman"/>
          <w:color w:val="000000" w:themeColor="text1"/>
          <w:sz w:val="16"/>
          <w:szCs w:val="16"/>
        </w:rPr>
        <w:t xml:space="preserve"> прибывает из Яффо и высаживает все свои самолеты, чтобы действовать с посадочной полосы в пустыне в Газе. Они работают над Палестиной в течение четырех недель до возвращения на борт в сентябре (20806).</w:t>
      </w:r>
    </w:p>
    <w:p w14:paraId="46450154" w14:textId="77777777" w:rsidR="00EC4830" w:rsidRPr="00A259BD" w:rsidRDefault="00EC4830" w:rsidP="009236E3">
      <w:pPr>
        <w:spacing w:after="0" w:line="240" w:lineRule="auto"/>
        <w:jc w:val="both"/>
        <w:rPr>
          <w:rFonts w:ascii="Times New Roman" w:hAnsi="Times New Roman"/>
          <w:color w:val="000000" w:themeColor="text1"/>
          <w:sz w:val="16"/>
          <w:szCs w:val="16"/>
        </w:rPr>
      </w:pPr>
    </w:p>
    <w:p w14:paraId="1505F4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августе 1929 г. в Иерусалиме у "стены плача" произошла стычка между еврейскими и арабскими религиозными экстремистами, которая послужила толчком к началу массовых арабо-еврейских вооруженных столкновений. Именно эту дату можно считать началом арабо-еврейского конфликта.</w:t>
      </w:r>
    </w:p>
    <w:p w14:paraId="207B3A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августе 1929 НЕДЖД. Саудовские войска под разгромили мятежников-</w:t>
      </w:r>
      <w:proofErr w:type="spellStart"/>
      <w:r w:rsidRPr="00A259BD">
        <w:rPr>
          <w:rFonts w:ascii="Times New Roman" w:hAnsi="Times New Roman"/>
          <w:color w:val="000000" w:themeColor="text1"/>
          <w:sz w:val="16"/>
          <w:szCs w:val="16"/>
        </w:rPr>
        <w:t>ихванов</w:t>
      </w:r>
      <w:proofErr w:type="spellEnd"/>
      <w:r w:rsidRPr="00A259BD">
        <w:rPr>
          <w:rFonts w:ascii="Times New Roman" w:hAnsi="Times New Roman"/>
          <w:color w:val="000000" w:themeColor="text1"/>
          <w:sz w:val="16"/>
          <w:szCs w:val="16"/>
        </w:rPr>
        <w:t xml:space="preserve">. Лидер мятежников </w:t>
      </w:r>
      <w:proofErr w:type="spellStart"/>
      <w:r w:rsidRPr="00A259BD">
        <w:rPr>
          <w:rFonts w:ascii="Times New Roman" w:hAnsi="Times New Roman"/>
          <w:color w:val="000000" w:themeColor="text1"/>
          <w:sz w:val="16"/>
          <w:szCs w:val="16"/>
        </w:rPr>
        <w:t>Узаиз</w:t>
      </w:r>
      <w:proofErr w:type="spellEnd"/>
      <w:r w:rsidRPr="00A259BD">
        <w:rPr>
          <w:rFonts w:ascii="Times New Roman" w:hAnsi="Times New Roman"/>
          <w:color w:val="000000" w:themeColor="text1"/>
          <w:sz w:val="16"/>
          <w:szCs w:val="16"/>
        </w:rPr>
        <w:t xml:space="preserve">, сын </w:t>
      </w:r>
      <w:proofErr w:type="spellStart"/>
      <w:r w:rsidRPr="00A259BD">
        <w:rPr>
          <w:rFonts w:ascii="Times New Roman" w:hAnsi="Times New Roman"/>
          <w:color w:val="000000" w:themeColor="text1"/>
          <w:sz w:val="16"/>
          <w:szCs w:val="16"/>
        </w:rPr>
        <w:t>Дэвиша</w:t>
      </w:r>
      <w:proofErr w:type="spellEnd"/>
      <w:r w:rsidRPr="00A259BD">
        <w:rPr>
          <w:rFonts w:ascii="Times New Roman" w:hAnsi="Times New Roman"/>
          <w:color w:val="000000" w:themeColor="text1"/>
          <w:sz w:val="16"/>
          <w:szCs w:val="16"/>
        </w:rPr>
        <w:t>, и сотни его бедуинов были убиты в сражении на краю пустыни ан-</w:t>
      </w:r>
      <w:proofErr w:type="spellStart"/>
      <w:r w:rsidRPr="00A259BD">
        <w:rPr>
          <w:rFonts w:ascii="Times New Roman" w:hAnsi="Times New Roman"/>
          <w:color w:val="000000" w:themeColor="text1"/>
          <w:sz w:val="16"/>
          <w:szCs w:val="16"/>
        </w:rPr>
        <w:t>Нафуд</w:t>
      </w:r>
      <w:proofErr w:type="spellEnd"/>
      <w:r w:rsidRPr="00A259BD">
        <w:rPr>
          <w:rFonts w:ascii="Times New Roman" w:hAnsi="Times New Roman"/>
          <w:color w:val="000000" w:themeColor="text1"/>
          <w:sz w:val="16"/>
          <w:szCs w:val="16"/>
        </w:rPr>
        <w:t xml:space="preserve"> (7558).</w:t>
      </w:r>
    </w:p>
    <w:p w14:paraId="327CF7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0BE66B"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августе 1929 г., за два месяца до биржевого краха, в США началась полномасштабная рецессия, но в октябре США постиг разрушительный кризис. Падение ценных бумаг на Нью-Йорской фондовой бирже посеяло панику среди дельцов Уолл-стрит. Начавшаяся паника переместилась в банковскую сферу, и почти мгновенно обанкротилось более половины банков. Волна банкротств докатилась до производственных отраслей. Цены на промышленную и сельскохозяйственную продукцию упали в десятки раз. Если до кризиса пароход стоил 300 тыс. долларов, то после стал стоить не более 3 тыс. Цена легкового автомобиля в 1 тыс. долларов во время кризиса снизилась до сотни. Продукция не находила спроса. Безработица и недоедание достигли небывалых для США размеров. В 1932 г. ВВП сократился на 31 %. Уровень безработицы в 1932 г. увеличился до 23,6 %. За три с небольшим года с начала кризиса лишились работы более 13 млн. американцев. Промышленные запасы потеряли 80 % их стоимости с 1930 года, а сельскохозяйственные цены упали на 53 % с 1929 г.</w:t>
      </w:r>
    </w:p>
    <w:p w14:paraId="1F939654"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1932 г. в Детройте полиция и частная охрана службы Генри Форда расстреляла 6 рабочих, которые проводили голодный марш. Кризис сильно затронул наиболее развитые страны Запада, включая США, Канаду, Великобританию, Германию и Францию, коснулся и других государств. В наибольшей степени пострадали промышленные города. В ряде стран практически прекратилось строительство. Из-за сокращения платежеспособного спроса цены на зерно упали на 40-60 %.</w:t>
      </w:r>
    </w:p>
    <w:p w14:paraId="7BFAC6F0"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Естественный прирост населения в США в период Великой депрессии резко снизился. В результате уровень промышленного производства был отброшен к началу XX века. В индустриальных странах с рыночной экономикой более 30 млн. оказались безработными. Значительно ухудшилось положение фермеров, мелких торговцев, представителей среднего класса. Многие из них оказались за чертой бедности.</w:t>
      </w:r>
    </w:p>
    <w:p w14:paraId="5EAEEEC1"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Америке и другим индустриально развитым странам в период Всемирной экономической депрессии были необходимы новые рынки сбыта. Вот здесь и пригодилась экономическая помощь Стране Советов как огромному потребителю промышленной продукции и стройиндустрии (23485).</w:t>
      </w:r>
    </w:p>
    <w:p w14:paraId="780A4ED5" w14:textId="77777777" w:rsidR="00DF6949" w:rsidRPr="00441F34" w:rsidRDefault="00DF6949" w:rsidP="00DF6949">
      <w:pPr>
        <w:spacing w:after="0" w:line="240" w:lineRule="auto"/>
        <w:jc w:val="both"/>
        <w:rPr>
          <w:rFonts w:ascii="Times New Roman" w:hAnsi="Times New Roman"/>
          <w:color w:val="0070C0"/>
          <w:sz w:val="16"/>
          <w:szCs w:val="16"/>
        </w:rPr>
      </w:pPr>
    </w:p>
    <w:p w14:paraId="7F1DD7C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6EBE06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0BE97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августе—октябре 1929 г. Николай Николаевич сделал наброски </w:t>
      </w:r>
      <w:proofErr w:type="spellStart"/>
      <w:r w:rsidRPr="00A259BD">
        <w:rPr>
          <w:rFonts w:ascii="Times New Roman" w:hAnsi="Times New Roman"/>
          <w:color w:val="000000" w:themeColor="text1"/>
          <w:sz w:val="16"/>
          <w:szCs w:val="16"/>
        </w:rPr>
        <w:t>предэскизный</w:t>
      </w:r>
      <w:proofErr w:type="spellEnd"/>
      <w:r w:rsidRPr="00A259BD">
        <w:rPr>
          <w:rFonts w:ascii="Times New Roman" w:hAnsi="Times New Roman"/>
          <w:color w:val="000000" w:themeColor="text1"/>
          <w:sz w:val="16"/>
          <w:szCs w:val="16"/>
        </w:rPr>
        <w:t xml:space="preserve"> проектов И-9 в схемах полутораплана и моноплана. Его за</w:t>
      </w:r>
      <w:r w:rsidRPr="00A259BD">
        <w:rPr>
          <w:rFonts w:ascii="Times New Roman" w:hAnsi="Times New Roman"/>
          <w:color w:val="000000" w:themeColor="text1"/>
          <w:sz w:val="16"/>
          <w:szCs w:val="16"/>
        </w:rPr>
        <w:softHyphen/>
        <w:t>дел был использован новым главным конструктором за</w:t>
      </w:r>
      <w:r w:rsidRPr="00A259BD">
        <w:rPr>
          <w:rFonts w:ascii="Times New Roman" w:hAnsi="Times New Roman"/>
          <w:color w:val="000000" w:themeColor="text1"/>
          <w:sz w:val="16"/>
          <w:szCs w:val="16"/>
        </w:rPr>
        <w:softHyphen/>
        <w:t xml:space="preserve">вода № 25 </w:t>
      </w:r>
      <w:proofErr w:type="spellStart"/>
      <w:r w:rsidRPr="00A259BD">
        <w:rPr>
          <w:rFonts w:ascii="Times New Roman" w:hAnsi="Times New Roman"/>
          <w:color w:val="000000" w:themeColor="text1"/>
          <w:sz w:val="16"/>
          <w:szCs w:val="16"/>
        </w:rPr>
        <w:t>С.А.Кочеригиным</w:t>
      </w:r>
      <w:proofErr w:type="spellEnd"/>
      <w:r w:rsidRPr="00A259BD">
        <w:rPr>
          <w:rFonts w:ascii="Times New Roman" w:hAnsi="Times New Roman"/>
          <w:color w:val="000000" w:themeColor="text1"/>
          <w:sz w:val="16"/>
          <w:szCs w:val="16"/>
        </w:rPr>
        <w:t xml:space="preserve"> при проектировании вариантов И-9 с моторами </w:t>
      </w:r>
      <w:proofErr w:type="spellStart"/>
      <w:r w:rsidRPr="00A259BD">
        <w:rPr>
          <w:rFonts w:ascii="Times New Roman" w:hAnsi="Times New Roman"/>
          <w:color w:val="000000" w:themeColor="text1"/>
          <w:sz w:val="16"/>
          <w:szCs w:val="16"/>
        </w:rPr>
        <w:t>Кертисс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Конкверрор</w:t>
      </w:r>
      <w:proofErr w:type="spellEnd"/>
      <w:r w:rsidRPr="00A259BD">
        <w:rPr>
          <w:rFonts w:ascii="Times New Roman" w:hAnsi="Times New Roman"/>
          <w:color w:val="000000" w:themeColor="text1"/>
          <w:sz w:val="16"/>
          <w:szCs w:val="16"/>
        </w:rPr>
        <w:t>”, М-19, М-32. К началу 1931 г. ВВС аннулировали задание на И-9. В целом пятилетие с октября 1924 г. до октября 1929 г. было очень плодотворными для Поликарпова. За это время под его руководством разработали свыше 100 про</w:t>
      </w:r>
      <w:r w:rsidRPr="00A259BD">
        <w:rPr>
          <w:rFonts w:ascii="Times New Roman" w:hAnsi="Times New Roman"/>
          <w:color w:val="000000" w:themeColor="text1"/>
          <w:sz w:val="16"/>
          <w:szCs w:val="16"/>
        </w:rPr>
        <w:softHyphen/>
        <w:t>ектов самолетов различного назначения, оборудования, вооружения. Были построены и прошли летные испыта</w:t>
      </w:r>
      <w:r w:rsidRPr="00A259BD">
        <w:rPr>
          <w:rFonts w:ascii="Times New Roman" w:hAnsi="Times New Roman"/>
          <w:color w:val="000000" w:themeColor="text1"/>
          <w:sz w:val="16"/>
          <w:szCs w:val="16"/>
        </w:rPr>
        <w:softHyphen/>
        <w:t>ния разведчики Р-1 (5 модификаций), МР-1, Р-4, Р-5, учебные и переходные самолеты 2УБ-3, П-1, П-2, У-2 (2 экземпляра), пассажирский самолет П-2 (ПМ-1), бом</w:t>
      </w:r>
      <w:r w:rsidRPr="00A259BD">
        <w:rPr>
          <w:rFonts w:ascii="Times New Roman" w:hAnsi="Times New Roman"/>
          <w:color w:val="000000" w:themeColor="text1"/>
          <w:sz w:val="16"/>
          <w:szCs w:val="16"/>
        </w:rPr>
        <w:softHyphen/>
        <w:t xml:space="preserve">бардировщики Б-2, ТБ-2, истребители ИЛ-3, И-1, 2ИН-1, И-3, Д-2, И-6. </w:t>
      </w:r>
      <w:proofErr w:type="spellStart"/>
      <w:r w:rsidRPr="00A259BD">
        <w:rPr>
          <w:rFonts w:ascii="Times New Roman" w:hAnsi="Times New Roman"/>
          <w:color w:val="000000" w:themeColor="text1"/>
          <w:sz w:val="16"/>
          <w:szCs w:val="16"/>
        </w:rPr>
        <w:t>Турельные</w:t>
      </w:r>
      <w:proofErr w:type="spellEnd"/>
      <w:r w:rsidRPr="00A259BD">
        <w:rPr>
          <w:rFonts w:ascii="Times New Roman" w:hAnsi="Times New Roman"/>
          <w:color w:val="000000" w:themeColor="text1"/>
          <w:sz w:val="16"/>
          <w:szCs w:val="16"/>
        </w:rPr>
        <w:t xml:space="preserve"> установки, созданные в ОКБ </w:t>
      </w:r>
      <w:proofErr w:type="spellStart"/>
      <w:r w:rsidRPr="00A259BD">
        <w:rPr>
          <w:rFonts w:ascii="Times New Roman" w:hAnsi="Times New Roman"/>
          <w:color w:val="000000" w:themeColor="text1"/>
          <w:sz w:val="16"/>
          <w:szCs w:val="16"/>
        </w:rPr>
        <w:t>Н.Н.Поликарпова</w:t>
      </w:r>
      <w:proofErr w:type="spellEnd"/>
      <w:r w:rsidRPr="00A259BD">
        <w:rPr>
          <w:rFonts w:ascii="Times New Roman" w:hAnsi="Times New Roman"/>
          <w:color w:val="000000" w:themeColor="text1"/>
          <w:sz w:val="16"/>
          <w:szCs w:val="16"/>
        </w:rPr>
        <w:t>, нашли применение не только в отече</w:t>
      </w:r>
      <w:r w:rsidRPr="00A259BD">
        <w:rPr>
          <w:rFonts w:ascii="Times New Roman" w:hAnsi="Times New Roman"/>
          <w:color w:val="000000" w:themeColor="text1"/>
          <w:sz w:val="16"/>
          <w:szCs w:val="16"/>
        </w:rPr>
        <w:softHyphen/>
        <w:t>ственной авиации, но и на флоте. Пожалуй, ни одно КБ не работало столь эффективно. Накопив знания, опыт, конструкторское бюро под руководством Николая Нико</w:t>
      </w:r>
      <w:r w:rsidRPr="00A259BD">
        <w:rPr>
          <w:rFonts w:ascii="Times New Roman" w:hAnsi="Times New Roman"/>
          <w:color w:val="000000" w:themeColor="text1"/>
          <w:sz w:val="16"/>
          <w:szCs w:val="16"/>
        </w:rPr>
        <w:softHyphen/>
        <w:t>лаевича было способно быстро и качественно проектиро</w:t>
      </w:r>
      <w:r w:rsidRPr="00A259BD">
        <w:rPr>
          <w:rFonts w:ascii="Times New Roman" w:hAnsi="Times New Roman"/>
          <w:color w:val="000000" w:themeColor="text1"/>
          <w:sz w:val="16"/>
          <w:szCs w:val="16"/>
        </w:rPr>
        <w:softHyphen/>
        <w:t xml:space="preserve">вать самолеты различных типов и назначений, составляя серьезную конкуренцию другим конструкторским бюро. В июле 1927 г. на заседании Технического совета </w:t>
      </w:r>
      <w:proofErr w:type="spellStart"/>
      <w:r w:rsidRPr="00A259BD">
        <w:rPr>
          <w:rFonts w:ascii="Times New Roman" w:hAnsi="Times New Roman"/>
          <w:color w:val="000000" w:themeColor="text1"/>
          <w:sz w:val="16"/>
          <w:szCs w:val="16"/>
        </w:rPr>
        <w:t>Авиатре</w:t>
      </w:r>
      <w:r w:rsidRPr="00A259BD">
        <w:rPr>
          <w:rFonts w:ascii="Times New Roman" w:hAnsi="Times New Roman"/>
          <w:color w:val="000000" w:themeColor="text1"/>
          <w:sz w:val="16"/>
          <w:szCs w:val="16"/>
        </w:rPr>
        <w:softHyphen/>
        <w:t>ста</w:t>
      </w:r>
      <w:proofErr w:type="spellEnd"/>
      <w:r w:rsidRPr="00A259BD">
        <w:rPr>
          <w:rFonts w:ascii="Times New Roman" w:hAnsi="Times New Roman"/>
          <w:color w:val="000000" w:themeColor="text1"/>
          <w:sz w:val="16"/>
          <w:szCs w:val="16"/>
        </w:rPr>
        <w:t xml:space="preserve"> при обсуждении плана работ ОСС ЦКБ </w:t>
      </w:r>
      <w:proofErr w:type="spellStart"/>
      <w:r w:rsidRPr="00A259BD">
        <w:rPr>
          <w:rFonts w:ascii="Times New Roman" w:hAnsi="Times New Roman"/>
          <w:color w:val="000000" w:themeColor="text1"/>
          <w:sz w:val="16"/>
          <w:szCs w:val="16"/>
        </w:rPr>
        <w:t>А.Н.Туполев</w:t>
      </w:r>
      <w:proofErr w:type="spellEnd"/>
      <w:r w:rsidRPr="00A259BD">
        <w:rPr>
          <w:rFonts w:ascii="Times New Roman" w:hAnsi="Times New Roman"/>
          <w:color w:val="000000" w:themeColor="text1"/>
          <w:sz w:val="16"/>
          <w:szCs w:val="16"/>
        </w:rPr>
        <w:t xml:space="preserve"> (10667).</w:t>
      </w:r>
    </w:p>
    <w:p w14:paraId="6E0765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D6439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августе — сентябре 1929 г. завод № 29 (так теперь именовался ГАЗ № 9) сдал военной приемке 1-ю серию из 10 мо</w:t>
      </w:r>
      <w:r w:rsidRPr="00A259BD">
        <w:rPr>
          <w:rFonts w:ascii="Times New Roman" w:hAnsi="Times New Roman"/>
          <w:color w:val="000000" w:themeColor="text1"/>
          <w:sz w:val="16"/>
          <w:szCs w:val="16"/>
        </w:rPr>
        <w:softHyphen/>
        <w:t>торов М-11. Он стал первым авиамотором советской конструкции, запущенным в серийное производство. В октябре за ней последовала 2-я — тоже 10 двигателей, в январе 1930 г. — 3-я (еще 10 М-11). Серийные моторы именовались М-11а (или М-11/А). Все эти серии являлись полуэкспери</w:t>
      </w:r>
      <w:r w:rsidRPr="00A259BD">
        <w:rPr>
          <w:rFonts w:ascii="Times New Roman" w:hAnsi="Times New Roman"/>
          <w:color w:val="000000" w:themeColor="text1"/>
          <w:sz w:val="16"/>
          <w:szCs w:val="16"/>
        </w:rPr>
        <w:softHyphen/>
        <w:t>ментальными. Например, на моторах 2-й серии встречались три типа кре</w:t>
      </w:r>
      <w:r w:rsidRPr="00A259BD">
        <w:rPr>
          <w:rFonts w:ascii="Times New Roman" w:hAnsi="Times New Roman"/>
          <w:color w:val="000000" w:themeColor="text1"/>
          <w:sz w:val="16"/>
          <w:szCs w:val="16"/>
        </w:rPr>
        <w:softHyphen/>
        <w:t>пления всасывающих патрубков, два типа коренных подшипников. Бывший завод «Мотор» (к тому времени вошедший в состав завода № 24) далее никакого отношения к совершенствованию М-11 не имел. Всю работу в этом направлении вели конструкторы завода № 29. В январе 1930 г. они разработали новую головку цилиндра с ребром жесткости вни</w:t>
      </w:r>
      <w:r w:rsidRPr="00A259BD">
        <w:rPr>
          <w:rFonts w:ascii="Times New Roman" w:hAnsi="Times New Roman"/>
          <w:color w:val="000000" w:themeColor="text1"/>
          <w:sz w:val="16"/>
          <w:szCs w:val="16"/>
        </w:rPr>
        <w:softHyphen/>
        <w:t>зу, фланец крепления цилиндра по образцу мотора «Юпитер» и главный шатун на подшипнике скольжения вместо роликового (11852).</w:t>
      </w:r>
    </w:p>
    <w:p w14:paraId="32EC12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Характеристики:</w:t>
      </w:r>
    </w:p>
    <w:p w14:paraId="259D3AD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5-цилиндровый, звездообразный, четырехтактный, воздушного охлаж</w:t>
      </w:r>
      <w:r w:rsidRPr="00A259BD">
        <w:rPr>
          <w:rFonts w:ascii="Times New Roman" w:hAnsi="Times New Roman"/>
          <w:color w:val="000000" w:themeColor="text1"/>
          <w:sz w:val="16"/>
          <w:szCs w:val="16"/>
        </w:rPr>
        <w:softHyphen/>
        <w:t>дения;</w:t>
      </w:r>
    </w:p>
    <w:p w14:paraId="1BE6788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диаметр цилиндра/ход поршня 125/140 мм;</w:t>
      </w:r>
    </w:p>
    <w:p w14:paraId="73A9F47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объем 8,6 л;</w:t>
      </w:r>
    </w:p>
    <w:p w14:paraId="5A150A0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степень сжатия 5,0 (у большинства вариантов);</w:t>
      </w:r>
    </w:p>
    <w:p w14:paraId="742F2F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безредукторный</w:t>
      </w:r>
      <w:proofErr w:type="spellEnd"/>
      <w:r w:rsidRPr="00A259BD">
        <w:rPr>
          <w:rFonts w:ascii="Times New Roman" w:hAnsi="Times New Roman"/>
          <w:color w:val="000000" w:themeColor="text1"/>
          <w:sz w:val="16"/>
          <w:szCs w:val="16"/>
        </w:rPr>
        <w:t>;</w:t>
      </w:r>
    </w:p>
    <w:p w14:paraId="513D08E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мощность и вес в зависимости от модификации.</w:t>
      </w:r>
    </w:p>
    <w:p w14:paraId="2D8A64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Первые образцы изготовлены на заводе ГАЗ № 4 («Мотор») в октябре 1925 г. Дорабатывался в Москве, а затем в Запорожье в 1926-1928 гг. В декабре 1928 г. выиграл сравнительные испытания с мотором М-12. Серий</w:t>
      </w:r>
      <w:r w:rsidRPr="00A259BD">
        <w:rPr>
          <w:rFonts w:ascii="Times New Roman" w:hAnsi="Times New Roman"/>
          <w:color w:val="000000" w:themeColor="text1"/>
          <w:sz w:val="16"/>
          <w:szCs w:val="16"/>
        </w:rPr>
        <w:softHyphen/>
        <w:t>но выпускался с 1929 г. на заводе № 29 в Запорожье. Впоследствии неодно</w:t>
      </w:r>
      <w:r w:rsidRPr="00A259BD">
        <w:rPr>
          <w:rFonts w:ascii="Times New Roman" w:hAnsi="Times New Roman"/>
          <w:color w:val="000000" w:themeColor="text1"/>
          <w:sz w:val="16"/>
          <w:szCs w:val="16"/>
        </w:rPr>
        <w:softHyphen/>
        <w:t xml:space="preserve">кратно модернизировался под руководством А.С. Назарова, С.Д. Колосова, М.А. Коссова, Е.В. </w:t>
      </w:r>
      <w:proofErr w:type="spellStart"/>
      <w:r w:rsidRPr="00A259BD">
        <w:rPr>
          <w:rFonts w:ascii="Times New Roman" w:hAnsi="Times New Roman"/>
          <w:color w:val="000000" w:themeColor="text1"/>
          <w:sz w:val="16"/>
          <w:szCs w:val="16"/>
        </w:rPr>
        <w:t>Урмина</w:t>
      </w:r>
      <w:proofErr w:type="spellEnd"/>
      <w:r w:rsidRPr="00A259BD">
        <w:rPr>
          <w:rFonts w:ascii="Times New Roman" w:hAnsi="Times New Roman"/>
          <w:color w:val="000000" w:themeColor="text1"/>
          <w:sz w:val="16"/>
          <w:szCs w:val="16"/>
        </w:rPr>
        <w:t>, А.И. Ивченко, С.С. Самсонова. С 1935 г. произ</w:t>
      </w:r>
      <w:r w:rsidRPr="00A259BD">
        <w:rPr>
          <w:rFonts w:ascii="Times New Roman" w:hAnsi="Times New Roman"/>
          <w:color w:val="000000" w:themeColor="text1"/>
          <w:sz w:val="16"/>
          <w:szCs w:val="16"/>
        </w:rPr>
        <w:softHyphen/>
        <w:t>водство перенесено на завод № 16 в Воронеж, а затем на завод № 154 там же. Изготовлялся также на заводах № 478 (Запорожье) и № 41 (Москва).</w:t>
      </w:r>
    </w:p>
    <w:p w14:paraId="312B19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Соединение коленчатого вала по кривошипной шейке, выполнявшееся на М-11 А</w:t>
      </w:r>
    </w:p>
    <w:p w14:paraId="5D8525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Всего изготовлено 74 734 экз. Мотор </w:t>
      </w:r>
      <w:proofErr w:type="spellStart"/>
      <w:r w:rsidRPr="00A259BD">
        <w:rPr>
          <w:rFonts w:ascii="Times New Roman" w:hAnsi="Times New Roman"/>
          <w:color w:val="000000" w:themeColor="text1"/>
          <w:sz w:val="16"/>
          <w:szCs w:val="16"/>
        </w:rPr>
        <w:t>бьш</w:t>
      </w:r>
      <w:proofErr w:type="spellEnd"/>
      <w:r w:rsidRPr="00A259BD">
        <w:rPr>
          <w:rFonts w:ascii="Times New Roman" w:hAnsi="Times New Roman"/>
          <w:color w:val="000000" w:themeColor="text1"/>
          <w:sz w:val="16"/>
          <w:szCs w:val="16"/>
        </w:rPr>
        <w:t xml:space="preserve"> нетребователен к качеству горючего и масла, надежен и довольно экономичен. Снят с производства в 1959 г. Выпускался в модификациях:</w:t>
      </w:r>
    </w:p>
    <w:p w14:paraId="57FF01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МИ-100 (М-100), 100/110 л.с., выпуск завода ГАЗ № 4; восемь опыт</w:t>
      </w:r>
      <w:r w:rsidRPr="00A259BD">
        <w:rPr>
          <w:rFonts w:ascii="Times New Roman" w:hAnsi="Times New Roman"/>
          <w:color w:val="000000" w:themeColor="text1"/>
          <w:sz w:val="16"/>
          <w:szCs w:val="16"/>
        </w:rPr>
        <w:softHyphen/>
        <w:t>ных образцов; вес 152 кг.</w:t>
      </w:r>
    </w:p>
    <w:p w14:paraId="6CD9D24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М-11 А (М-11а или М-11/А), 100/110 л.с., выпуск завода № 29, позд</w:t>
      </w:r>
      <w:r w:rsidRPr="00A259BD">
        <w:rPr>
          <w:rFonts w:ascii="Times New Roman" w:hAnsi="Times New Roman"/>
          <w:color w:val="000000" w:themeColor="text1"/>
          <w:sz w:val="16"/>
          <w:szCs w:val="16"/>
        </w:rPr>
        <w:softHyphen/>
        <w:t>ние серии с карбюратором «Клодель» (ранее «Зенит»), литым мас</w:t>
      </w:r>
      <w:r w:rsidRPr="00A259BD">
        <w:rPr>
          <w:rFonts w:ascii="Times New Roman" w:hAnsi="Times New Roman"/>
          <w:color w:val="000000" w:themeColor="text1"/>
          <w:sz w:val="16"/>
          <w:szCs w:val="16"/>
        </w:rPr>
        <w:softHyphen/>
        <w:t>лосборником, другими агрегатами; вес 160 кг, выпущено 250 экз.</w:t>
      </w:r>
    </w:p>
    <w:p w14:paraId="7B63ED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М-ПБ, 100/110 л.с., с новыми поршнями, выпущено 125 экз.</w:t>
      </w:r>
    </w:p>
    <w:p w14:paraId="43ACFB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М-11В, 100/110 л.с., вариант 1932 г. с подшипниками скольжения на шатунной шейке (вместо роликовых), советским карбюратором К-И-4, измененной конструкцией коленчатого вала (с </w:t>
      </w:r>
      <w:proofErr w:type="spellStart"/>
      <w:r w:rsidRPr="00A259BD">
        <w:rPr>
          <w:rFonts w:ascii="Times New Roman" w:hAnsi="Times New Roman"/>
          <w:color w:val="000000" w:themeColor="text1"/>
          <w:sz w:val="16"/>
          <w:szCs w:val="16"/>
        </w:rPr>
        <w:t>клеммовым</w:t>
      </w:r>
      <w:proofErr w:type="spellEnd"/>
      <w:r w:rsidRPr="00A259BD">
        <w:rPr>
          <w:rFonts w:ascii="Times New Roman" w:hAnsi="Times New Roman"/>
          <w:color w:val="000000" w:themeColor="text1"/>
          <w:sz w:val="16"/>
          <w:szCs w:val="16"/>
        </w:rPr>
        <w:t xml:space="preserve"> соедине</w:t>
      </w:r>
      <w:r w:rsidRPr="00A259BD">
        <w:rPr>
          <w:rFonts w:ascii="Times New Roman" w:hAnsi="Times New Roman"/>
          <w:color w:val="000000" w:themeColor="text1"/>
          <w:sz w:val="16"/>
          <w:szCs w:val="16"/>
        </w:rPr>
        <w:softHyphen/>
        <w:t>нием по задней щеке вместо радиальных шлицов на кривошипной шейке), цилиндров, шатунов; выпущено 505 экз.</w:t>
      </w:r>
    </w:p>
    <w:p w14:paraId="5E3408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М-11 Г, 100/110 л.с., вариант 1933 г. с измененным комплек</w:t>
      </w:r>
      <w:r w:rsidRPr="00A259BD">
        <w:rPr>
          <w:rFonts w:ascii="Times New Roman" w:hAnsi="Times New Roman"/>
          <w:color w:val="000000" w:themeColor="text1"/>
          <w:sz w:val="16"/>
          <w:szCs w:val="16"/>
        </w:rPr>
        <w:softHyphen/>
        <w:t>том поршневых колец, облег</w:t>
      </w:r>
      <w:r w:rsidRPr="00A259BD">
        <w:rPr>
          <w:rFonts w:ascii="Times New Roman" w:hAnsi="Times New Roman"/>
          <w:color w:val="000000" w:themeColor="text1"/>
          <w:sz w:val="16"/>
          <w:szCs w:val="16"/>
        </w:rPr>
        <w:softHyphen/>
        <w:t>ченным главным шатуном и возможностью установки син</w:t>
      </w:r>
      <w:r w:rsidRPr="00A259BD">
        <w:rPr>
          <w:rFonts w:ascii="Times New Roman" w:hAnsi="Times New Roman"/>
          <w:color w:val="000000" w:themeColor="text1"/>
          <w:sz w:val="16"/>
          <w:szCs w:val="16"/>
        </w:rPr>
        <w:softHyphen/>
        <w:t>хронизатора, находился в мас</w:t>
      </w:r>
      <w:r w:rsidRPr="00A259BD">
        <w:rPr>
          <w:rFonts w:ascii="Times New Roman" w:hAnsi="Times New Roman"/>
          <w:color w:val="000000" w:themeColor="text1"/>
          <w:sz w:val="16"/>
          <w:szCs w:val="16"/>
        </w:rPr>
        <w:softHyphen/>
        <w:t>совом производстве до 1940 г., выпущено более 15 000 экз.; в 1937-1939 гг. модернизиро</w:t>
      </w:r>
      <w:r w:rsidRPr="00A259BD">
        <w:rPr>
          <w:rFonts w:ascii="Times New Roman" w:hAnsi="Times New Roman"/>
          <w:color w:val="000000" w:themeColor="text1"/>
          <w:sz w:val="16"/>
          <w:szCs w:val="16"/>
        </w:rPr>
        <w:softHyphen/>
        <w:t xml:space="preserve">ван — изменены носок картера, носок коленчатого вала, введен </w:t>
      </w:r>
      <w:proofErr w:type="spellStart"/>
      <w:r w:rsidRPr="00A259BD">
        <w:rPr>
          <w:rFonts w:ascii="Times New Roman" w:hAnsi="Times New Roman"/>
          <w:color w:val="000000" w:themeColor="text1"/>
          <w:sz w:val="16"/>
          <w:szCs w:val="16"/>
        </w:rPr>
        <w:t>пневмопуск</w:t>
      </w:r>
      <w:proofErr w:type="spellEnd"/>
      <w:r w:rsidRPr="00A259BD">
        <w:rPr>
          <w:rFonts w:ascii="Times New Roman" w:hAnsi="Times New Roman"/>
          <w:color w:val="000000" w:themeColor="text1"/>
          <w:sz w:val="16"/>
          <w:szCs w:val="16"/>
        </w:rPr>
        <w:t>, капотированы тяги, введены клапанные коробки. М-11 Г, приспособленный для ра</w:t>
      </w:r>
      <w:r w:rsidRPr="00A259BD">
        <w:rPr>
          <w:rFonts w:ascii="Times New Roman" w:hAnsi="Times New Roman"/>
          <w:color w:val="000000" w:themeColor="text1"/>
          <w:sz w:val="16"/>
          <w:szCs w:val="16"/>
        </w:rPr>
        <w:softHyphen/>
        <w:t>боты в горизонтальном положе</w:t>
      </w:r>
      <w:r w:rsidRPr="00A259BD">
        <w:rPr>
          <w:rFonts w:ascii="Times New Roman" w:hAnsi="Times New Roman"/>
          <w:color w:val="000000" w:themeColor="text1"/>
          <w:sz w:val="16"/>
          <w:szCs w:val="16"/>
        </w:rPr>
        <w:softHyphen/>
        <w:t>нии (М-11Х). Выпущен в 10 экз. в октябре — декабре 1939 г. на заводе № 16 для катера на воз</w:t>
      </w:r>
      <w:r w:rsidRPr="00A259BD">
        <w:rPr>
          <w:rFonts w:ascii="Times New Roman" w:hAnsi="Times New Roman"/>
          <w:color w:val="000000" w:themeColor="text1"/>
          <w:sz w:val="16"/>
          <w:szCs w:val="16"/>
        </w:rPr>
        <w:softHyphen/>
        <w:t>душной подушке.</w:t>
      </w:r>
    </w:p>
    <w:p w14:paraId="0D3748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М-11Д, опытный образец соз</w:t>
      </w:r>
      <w:r w:rsidRPr="00A259BD">
        <w:rPr>
          <w:rFonts w:ascii="Times New Roman" w:hAnsi="Times New Roman"/>
          <w:color w:val="000000" w:themeColor="text1"/>
          <w:sz w:val="16"/>
          <w:szCs w:val="16"/>
        </w:rPr>
        <w:softHyphen/>
        <w:t>дан в 1939 г., серия с 1940 г., 115/125 л.с., вес 158 кг, форсирован по оборотам, карбюратор К-11А или К-11 Б. Строился в больших количествах до 1947 г. В 1943 г. мотор подвергся значительному упрощению с целью удешевления и ускоре</w:t>
      </w:r>
      <w:r w:rsidRPr="00A259BD">
        <w:rPr>
          <w:rFonts w:ascii="Times New Roman" w:hAnsi="Times New Roman"/>
          <w:color w:val="000000" w:themeColor="text1"/>
          <w:sz w:val="16"/>
          <w:szCs w:val="16"/>
        </w:rPr>
        <w:softHyphen/>
        <w:t>ния производства — изменена конструкция головок цилиндров, колен</w:t>
      </w:r>
      <w:r w:rsidRPr="00A259BD">
        <w:rPr>
          <w:rFonts w:ascii="Times New Roman" w:hAnsi="Times New Roman"/>
          <w:color w:val="000000" w:themeColor="text1"/>
          <w:sz w:val="16"/>
          <w:szCs w:val="16"/>
        </w:rPr>
        <w:softHyphen/>
        <w:t xml:space="preserve">чатого вала, комплектация агрегатами, снят </w:t>
      </w:r>
      <w:proofErr w:type="spellStart"/>
      <w:r w:rsidRPr="00A259BD">
        <w:rPr>
          <w:rFonts w:ascii="Times New Roman" w:hAnsi="Times New Roman"/>
          <w:color w:val="000000" w:themeColor="text1"/>
          <w:sz w:val="16"/>
          <w:szCs w:val="16"/>
        </w:rPr>
        <w:t>пневмопуск</w:t>
      </w:r>
      <w:proofErr w:type="spellEnd"/>
      <w:r w:rsidRPr="00A259BD">
        <w:rPr>
          <w:rFonts w:ascii="Times New Roman" w:hAnsi="Times New Roman"/>
          <w:color w:val="000000" w:themeColor="text1"/>
          <w:sz w:val="16"/>
          <w:szCs w:val="16"/>
        </w:rPr>
        <w:t xml:space="preserve">. В сентябре 1947 г. документация на эту модификацию передана в Польшу. - М-ИД, работающий на газе от газогенератора. Эскизный проект выполнялся в ОКБ-41 под руководством И.А. </w:t>
      </w:r>
      <w:proofErr w:type="spellStart"/>
      <w:r w:rsidRPr="00A259BD">
        <w:rPr>
          <w:rFonts w:ascii="Times New Roman" w:hAnsi="Times New Roman"/>
          <w:color w:val="000000" w:themeColor="text1"/>
          <w:sz w:val="16"/>
          <w:szCs w:val="16"/>
        </w:rPr>
        <w:t>Мужилова</w:t>
      </w:r>
      <w:proofErr w:type="spellEnd"/>
      <w:r w:rsidRPr="00A259BD">
        <w:rPr>
          <w:rFonts w:ascii="Times New Roman" w:hAnsi="Times New Roman"/>
          <w:color w:val="000000" w:themeColor="text1"/>
          <w:sz w:val="16"/>
          <w:szCs w:val="16"/>
        </w:rPr>
        <w:t xml:space="preserve"> в октябре 1944 г. Мощность 115/125 л.с.</w:t>
      </w:r>
    </w:p>
    <w:p w14:paraId="1CE0935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М-11Е, 150/160 л.с., степень сжатия 6,0, вес 154 кг. Вариант, создан</w:t>
      </w:r>
      <w:r w:rsidRPr="00A259BD">
        <w:rPr>
          <w:rFonts w:ascii="Times New Roman" w:hAnsi="Times New Roman"/>
          <w:color w:val="000000" w:themeColor="text1"/>
          <w:sz w:val="16"/>
          <w:szCs w:val="16"/>
        </w:rPr>
        <w:softHyphen/>
        <w:t>ный на заводе № 16. Выпущена малая серия в 1936-1938 гг. Прохо</w:t>
      </w:r>
      <w:r w:rsidRPr="00A259BD">
        <w:rPr>
          <w:rFonts w:ascii="Times New Roman" w:hAnsi="Times New Roman"/>
          <w:color w:val="000000" w:themeColor="text1"/>
          <w:sz w:val="16"/>
          <w:szCs w:val="16"/>
        </w:rPr>
        <w:softHyphen/>
        <w:t>дил госиспытания в октябре 1937 г., но был отвергнут. Испытывался на самолете УТ-1.</w:t>
      </w:r>
    </w:p>
    <w:p w14:paraId="6E8081B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М-11 И, опытный образец, созданный в 1938 г., серийно не выпу</w:t>
      </w:r>
      <w:r w:rsidRPr="00A259BD">
        <w:rPr>
          <w:rFonts w:ascii="Times New Roman" w:hAnsi="Times New Roman"/>
          <w:color w:val="000000" w:themeColor="text1"/>
          <w:sz w:val="16"/>
          <w:szCs w:val="16"/>
        </w:rPr>
        <w:softHyphen/>
        <w:t xml:space="preserve">скался; 170/200 л.с., степень сжатия 5,5; новая </w:t>
      </w:r>
      <w:proofErr w:type="spellStart"/>
      <w:r w:rsidRPr="00A259BD">
        <w:rPr>
          <w:rFonts w:ascii="Times New Roman" w:hAnsi="Times New Roman"/>
          <w:color w:val="000000" w:themeColor="text1"/>
          <w:sz w:val="16"/>
          <w:szCs w:val="16"/>
        </w:rPr>
        <w:t>цилиндро</w:t>
      </w:r>
      <w:proofErr w:type="spellEnd"/>
      <w:r w:rsidRPr="00A259BD">
        <w:rPr>
          <w:rFonts w:ascii="Times New Roman" w:hAnsi="Times New Roman"/>
          <w:color w:val="000000" w:themeColor="text1"/>
          <w:sz w:val="16"/>
          <w:szCs w:val="16"/>
        </w:rPr>
        <w:t xml:space="preserve">-поршневая группа, привод механизма газораспределения от кулачковой шайбы, </w:t>
      </w:r>
      <w:proofErr w:type="spellStart"/>
      <w:r w:rsidRPr="00A259BD">
        <w:rPr>
          <w:rFonts w:ascii="Times New Roman" w:hAnsi="Times New Roman"/>
          <w:color w:val="000000" w:themeColor="text1"/>
          <w:sz w:val="16"/>
          <w:szCs w:val="16"/>
        </w:rPr>
        <w:t>пневмопуск</w:t>
      </w:r>
      <w:proofErr w:type="spellEnd"/>
      <w:r w:rsidRPr="00A259BD">
        <w:rPr>
          <w:rFonts w:ascii="Times New Roman" w:hAnsi="Times New Roman"/>
          <w:color w:val="000000" w:themeColor="text1"/>
          <w:sz w:val="16"/>
          <w:szCs w:val="16"/>
        </w:rPr>
        <w:t>, носок коленвала под ВИШ.</w:t>
      </w:r>
    </w:p>
    <w:p w14:paraId="52FD038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М-11Ф, форсированный мотор мощностью 140/145 л.с., созданный под руководством М.А. Коссова на заводе № 154 в 1941 г. Сте</w:t>
      </w:r>
      <w:r w:rsidRPr="00A259BD">
        <w:rPr>
          <w:rFonts w:ascii="Times New Roman" w:hAnsi="Times New Roman"/>
          <w:color w:val="000000" w:themeColor="text1"/>
          <w:sz w:val="16"/>
          <w:szCs w:val="16"/>
        </w:rPr>
        <w:softHyphen/>
        <w:t>пень сжатия 5,45. В 1942 г. успешно прошел заводские испытания, с государственных был снят из-за растрескивания головки одного из цилиндров. После внедрения усиленных головок в 1943 г. прошел госиспытания. Строился серийно на заводе № 154 в 1943-1944 гг., выпущено 400-500 экз.</w:t>
      </w:r>
    </w:p>
    <w:p w14:paraId="4F7E09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М-11К, 115/125 л.с., выпускался в Воронеже серийно с января 1948 г. Являлся дальнейшим развитием М-11 Д. По сравнению с последним изменены коленвал, передняя крышка картера, цилиндры; с 3-й серии введен </w:t>
      </w:r>
      <w:proofErr w:type="spellStart"/>
      <w:r w:rsidRPr="00A259BD">
        <w:rPr>
          <w:rFonts w:ascii="Times New Roman" w:hAnsi="Times New Roman"/>
          <w:color w:val="000000" w:themeColor="text1"/>
          <w:sz w:val="16"/>
          <w:szCs w:val="16"/>
        </w:rPr>
        <w:t>пневмопуск</w:t>
      </w:r>
      <w:proofErr w:type="spellEnd"/>
      <w:r w:rsidRPr="00A259BD">
        <w:rPr>
          <w:rFonts w:ascii="Times New Roman" w:hAnsi="Times New Roman"/>
          <w:color w:val="000000" w:themeColor="text1"/>
          <w:sz w:val="16"/>
          <w:szCs w:val="16"/>
        </w:rPr>
        <w:t>.</w:t>
      </w:r>
    </w:p>
    <w:p w14:paraId="313A50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М-11Л, 115/125 л.с., выпускался на заводе № 154 серийно с сентября 1949 г. Создан на базе М-ПК 3-й серии. Отличался экранированным зажиганием, наличием генератора, развитым оребрением головок, до</w:t>
      </w:r>
      <w:r w:rsidRPr="00A259BD">
        <w:rPr>
          <w:rFonts w:ascii="Times New Roman" w:hAnsi="Times New Roman"/>
          <w:color w:val="000000" w:themeColor="text1"/>
          <w:sz w:val="16"/>
          <w:szCs w:val="16"/>
        </w:rPr>
        <w:softHyphen/>
        <w:t xml:space="preserve">полнительным </w:t>
      </w:r>
      <w:proofErr w:type="spellStart"/>
      <w:r w:rsidRPr="00A259BD">
        <w:rPr>
          <w:rFonts w:ascii="Times New Roman" w:hAnsi="Times New Roman"/>
          <w:color w:val="000000" w:themeColor="text1"/>
          <w:sz w:val="16"/>
          <w:szCs w:val="16"/>
        </w:rPr>
        <w:t>газоуплотнительным</w:t>
      </w:r>
      <w:proofErr w:type="spellEnd"/>
      <w:r w:rsidRPr="00A259BD">
        <w:rPr>
          <w:rFonts w:ascii="Times New Roman" w:hAnsi="Times New Roman"/>
          <w:color w:val="000000" w:themeColor="text1"/>
          <w:sz w:val="16"/>
          <w:szCs w:val="16"/>
        </w:rPr>
        <w:t xml:space="preserve"> кольцом. Заводские испытания проходили в 1948 г.</w:t>
      </w:r>
    </w:p>
    <w:p w14:paraId="252E90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М-11 М, проект 1943 г. на базе М-11Ф, созданный под руководством И.А. </w:t>
      </w:r>
      <w:proofErr w:type="spellStart"/>
      <w:r w:rsidRPr="00A259BD">
        <w:rPr>
          <w:rFonts w:ascii="Times New Roman" w:hAnsi="Times New Roman"/>
          <w:color w:val="000000" w:themeColor="text1"/>
          <w:sz w:val="16"/>
          <w:szCs w:val="16"/>
        </w:rPr>
        <w:t>Мужилова</w:t>
      </w:r>
      <w:proofErr w:type="spellEnd"/>
      <w:r w:rsidRPr="00A259BD">
        <w:rPr>
          <w:rFonts w:ascii="Times New Roman" w:hAnsi="Times New Roman"/>
          <w:color w:val="000000" w:themeColor="text1"/>
          <w:sz w:val="16"/>
          <w:szCs w:val="16"/>
        </w:rPr>
        <w:t>. От типа Ф отличался приводами агрегатов. Мощ</w:t>
      </w:r>
      <w:r w:rsidRPr="00A259BD">
        <w:rPr>
          <w:rFonts w:ascii="Times New Roman" w:hAnsi="Times New Roman"/>
          <w:color w:val="000000" w:themeColor="text1"/>
          <w:sz w:val="16"/>
          <w:szCs w:val="16"/>
        </w:rPr>
        <w:softHyphen/>
        <w:t>ность 140/145 л.с. В мае 1943 г. прошел совместные испытания, в 1944 г — летные испытания на самолете Як-12. М-11ФМ, дальнейшее развитие типа М. Спроектирован в ОКБ-41 в 1944 г. Изменена задняя крышка картера, сделан носок коленвала под ВИШ, привод электрогенератора. Первая партия из 10 моторов изготовлена в апреле 1944 г., заводские испытания с мая того же года. При доработке степень сжатия довели до 6,2. Проходил летные испытания на самолете Як-8. Мощность 180/200 л.с., вес 186-190 кг. В апреле 1946 г. предъявлялся на госиспытания. М-ИФР-1, 140/160 л.с., на базе М-12 Коссова с цилиндровой группой от М-11Д и носком коленвала под ВИШ. Спроектирован в ОКБ-41 в начале 1946 г. В октябре того же года прошел госиспытания. Серий</w:t>
      </w:r>
      <w:r w:rsidRPr="00A259BD">
        <w:rPr>
          <w:rFonts w:ascii="Times New Roman" w:hAnsi="Times New Roman"/>
          <w:color w:val="000000" w:themeColor="text1"/>
          <w:sz w:val="16"/>
          <w:szCs w:val="16"/>
        </w:rPr>
        <w:softHyphen/>
        <w:t xml:space="preserve">но выпускался с середины 1947 г., степень сжатия 5,5, вес 180 кг; имел компрессор, экранированную систему зажигания, вакуум-насос, электрогенератор, </w:t>
      </w:r>
      <w:proofErr w:type="spellStart"/>
      <w:r w:rsidRPr="00A259BD">
        <w:rPr>
          <w:rFonts w:ascii="Times New Roman" w:hAnsi="Times New Roman"/>
          <w:color w:val="000000" w:themeColor="text1"/>
          <w:sz w:val="16"/>
          <w:szCs w:val="16"/>
        </w:rPr>
        <w:t>пневмопуск</w:t>
      </w:r>
      <w:proofErr w:type="spellEnd"/>
      <w:r w:rsidRPr="00A259BD">
        <w:rPr>
          <w:rFonts w:ascii="Times New Roman" w:hAnsi="Times New Roman"/>
          <w:color w:val="000000" w:themeColor="text1"/>
          <w:sz w:val="16"/>
          <w:szCs w:val="16"/>
        </w:rPr>
        <w:t>.</w:t>
      </w:r>
    </w:p>
    <w:p w14:paraId="065BBE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М-11ФР, последняя модификация М-11, вариант М-11ФР-1 с усовер</w:t>
      </w:r>
      <w:r w:rsidRPr="00A259BD">
        <w:rPr>
          <w:rFonts w:ascii="Times New Roman" w:hAnsi="Times New Roman"/>
          <w:color w:val="000000" w:themeColor="text1"/>
          <w:sz w:val="16"/>
          <w:szCs w:val="16"/>
        </w:rPr>
        <w:softHyphen/>
        <w:t xml:space="preserve">шенствованной маслосистемой, </w:t>
      </w:r>
      <w:proofErr w:type="spellStart"/>
      <w:r w:rsidRPr="00A259BD">
        <w:rPr>
          <w:rFonts w:ascii="Times New Roman" w:hAnsi="Times New Roman"/>
          <w:color w:val="000000" w:themeColor="text1"/>
          <w:sz w:val="16"/>
          <w:szCs w:val="16"/>
        </w:rPr>
        <w:t>беспоплавковым</w:t>
      </w:r>
      <w:proofErr w:type="spellEnd"/>
      <w:r w:rsidRPr="00A259BD">
        <w:rPr>
          <w:rFonts w:ascii="Times New Roman" w:hAnsi="Times New Roman"/>
          <w:color w:val="000000" w:themeColor="text1"/>
          <w:sz w:val="16"/>
          <w:szCs w:val="16"/>
        </w:rPr>
        <w:t xml:space="preserve"> карбюратором К-13БП, регулятором оборотов Р-2, коваными (вместо литых) поршнями; вес (без компрессора, вакуум-насоса и генератора) 180 кг. Разработан в ОКБ-478. Первый образец изготовлен в октябре 1946 г. Первый раз представлялся на госиспытания в ноябре 1946 г., но снят с них из-за разрушения коренного подшипника и обрыва выхлопного клапана. М-11ФР серийно выпускался с конца 1948 г. до 1952 г. На базе М-11 было создано большое количество моторов, описанных отдельно.</w:t>
      </w:r>
    </w:p>
    <w:p w14:paraId="08A3E6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М-11 использовался на серийных самолетах: У-2 (По-2), Ш-2, АИР-6 (Я-6), УТ-1, УТ-2, Як-6, Як-18, САМ-5бис, Ще-2 (ТС-1), ЛК-1, опытных БОК-2 (РК), БОК-5, АИР-9, АИР-9бис, АИР-10, АИР-12, САМ-5, САМ-5-2бис, САМ-25, НВ-1, НВ-2, НВ-4, У-5, Г-15, Г-20, Г-23бис, Г-27, Г-30 (мо</w:t>
      </w:r>
      <w:r w:rsidRPr="00A259BD">
        <w:rPr>
          <w:rFonts w:ascii="Times New Roman" w:hAnsi="Times New Roman"/>
          <w:color w:val="000000" w:themeColor="text1"/>
          <w:sz w:val="16"/>
          <w:szCs w:val="16"/>
        </w:rPr>
        <w:softHyphen/>
        <w:t>топланер), ЛИГ-7, МП (мотопланер), МиГ-8 «Утка», «Пегас», Як-5, Як-8, Як-10, Як-13, Ц-25М (мотопланер), МУ-3, ИТ-9, К-10, Гюп-1, «Кукарача», СПЛ, ВВА-1, Анито-1, АТ-1, МБ-1, ЛЕМ-2, ЛЕМ-3, ХАИ-1 (УПБ), ХАИ-4, ХАИ-8 (недостроен), СК-7 (недостроен), Авиавнито-3, ЛК-4, БИЧ-14, Э-3, опытных автожирах А-6, А-8, А-13, А-14 (11852).</w:t>
      </w:r>
    </w:p>
    <w:p w14:paraId="12E01CA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B8B9E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BC03DA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9097F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августе-сентябре 1929 ГКБ ОАТ получило заказ на проектирование Т-19 и предполагалось закончить разработку 15 января 1930 (4243,15).</w:t>
      </w:r>
    </w:p>
    <w:p w14:paraId="7C7DFF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8B98ED7" w14:textId="77777777" w:rsidR="004B4828" w:rsidRPr="00A259BD" w:rsidRDefault="004B48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августе-сентябре 1929 г. отдельные механизмы и корпус танка Т-12, которые на заводе ХПЗ изготовили раньше срока, были предъявлены артиллерийскому приемщику УММ В. М. Иванову для испытаний. К этому времени собрали распорный механизм, гусеницу, нижние и верхние каретки, тормоз, ведущее колесо и ленивец, малую и большую башни, коробку передач, корпус, рычаги управления, вентилятор, двигатель, радиатор, главный фрикцион, глушитель и баки. Собранные узлы в основном уже смонтировали в машине, а окончательную сборку планировали закончить к 12-й годовщине Октября. Однако во время испытаний коробки передач и двигателя был выявлен ряд существенных недостатков, потребовавших изменения конструкции отдельных частей и введения дополнительных механизмов.</w:t>
      </w:r>
    </w:p>
    <w:p w14:paraId="51A986AD" w14:textId="77777777" w:rsidR="004B4828" w:rsidRPr="00A259BD" w:rsidRDefault="004B48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Поскольку изготовление опытного танка Т-12 на ХПЗ велось параллельно с разработкой чертежей конструкторским бюро ОАТ, то имели место частые задержки из-за несвоевременной подачи чертежей в производство. Для ускорения работ в Центральное конструкторское бюро с ХПЗ откомандировали нескольких конструкторов (12303).</w:t>
      </w:r>
    </w:p>
    <w:p w14:paraId="6FA07A01" w14:textId="77777777" w:rsidR="004B4828" w:rsidRPr="00A259BD" w:rsidRDefault="004B4828" w:rsidP="009236E3">
      <w:pPr>
        <w:spacing w:after="0" w:line="240" w:lineRule="auto"/>
        <w:jc w:val="both"/>
        <w:rPr>
          <w:rFonts w:ascii="Times New Roman" w:hAnsi="Times New Roman"/>
          <w:color w:val="000000" w:themeColor="text1"/>
          <w:sz w:val="16"/>
          <w:szCs w:val="16"/>
        </w:rPr>
      </w:pPr>
    </w:p>
    <w:p w14:paraId="7A756C6D" w14:textId="77777777" w:rsidR="00A41ACD" w:rsidRPr="00A259BD" w:rsidRDefault="00A41AC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августе — сентябре 1929 г. </w:t>
      </w:r>
      <w:proofErr w:type="spellStart"/>
      <w:r w:rsidRPr="00A259BD">
        <w:rPr>
          <w:rFonts w:ascii="Times New Roman" w:hAnsi="Times New Roman"/>
          <w:color w:val="000000" w:themeColor="text1"/>
          <w:sz w:val="16"/>
          <w:szCs w:val="16"/>
        </w:rPr>
        <w:t>Хаммерштайн</w:t>
      </w:r>
      <w:proofErr w:type="spellEnd"/>
      <w:r w:rsidRPr="00A259BD">
        <w:rPr>
          <w:rFonts w:ascii="Times New Roman" w:hAnsi="Times New Roman"/>
          <w:color w:val="000000" w:themeColor="text1"/>
          <w:sz w:val="16"/>
          <w:szCs w:val="16"/>
        </w:rPr>
        <w:t xml:space="preserve"> во главе небольшой делегации — «группы </w:t>
      </w:r>
      <w:proofErr w:type="spellStart"/>
      <w:r w:rsidRPr="00A259BD">
        <w:rPr>
          <w:rFonts w:ascii="Times New Roman" w:hAnsi="Times New Roman"/>
          <w:color w:val="000000" w:themeColor="text1"/>
          <w:sz w:val="16"/>
          <w:szCs w:val="16"/>
        </w:rPr>
        <w:t>Хаммерштайна-Кюленталя</w:t>
      </w:r>
      <w:proofErr w:type="spellEnd"/>
      <w:r w:rsidRPr="00A259BD">
        <w:rPr>
          <w:rFonts w:ascii="Times New Roman" w:hAnsi="Times New Roman"/>
          <w:color w:val="000000" w:themeColor="text1"/>
          <w:sz w:val="16"/>
          <w:szCs w:val="16"/>
        </w:rPr>
        <w:t>»</w:t>
      </w:r>
      <w:hyperlink r:id="rId168" w:anchor="n_338" w:history="1">
        <w:r w:rsidRPr="00A259BD">
          <w:rPr>
            <w:rStyle w:val="a5"/>
            <w:rFonts w:ascii="Times New Roman" w:hAnsi="Times New Roman"/>
            <w:color w:val="000000" w:themeColor="text1"/>
            <w:sz w:val="16"/>
            <w:szCs w:val="16"/>
          </w:rPr>
          <w:t>[338]</w:t>
        </w:r>
      </w:hyperlink>
      <w:r w:rsidRPr="00A259BD">
        <w:rPr>
          <w:rFonts w:ascii="Times New Roman" w:hAnsi="Times New Roman"/>
          <w:color w:val="000000" w:themeColor="text1"/>
          <w:sz w:val="16"/>
          <w:szCs w:val="16"/>
        </w:rPr>
        <w:t xml:space="preserve"> почти 6 недель(!) по приглашению советского правительства находился в СССР. Он осмотрел </w:t>
      </w:r>
      <w:proofErr w:type="spellStart"/>
      <w:r w:rsidRPr="00A259BD">
        <w:rPr>
          <w:rFonts w:ascii="Times New Roman" w:hAnsi="Times New Roman"/>
          <w:color w:val="000000" w:themeColor="text1"/>
          <w:sz w:val="16"/>
          <w:szCs w:val="16"/>
        </w:rPr>
        <w:t>райхсверовские</w:t>
      </w:r>
      <w:proofErr w:type="spellEnd"/>
      <w:r w:rsidRPr="00A259BD">
        <w:rPr>
          <w:rFonts w:ascii="Times New Roman" w:hAnsi="Times New Roman"/>
          <w:color w:val="000000" w:themeColor="text1"/>
          <w:sz w:val="16"/>
          <w:szCs w:val="16"/>
        </w:rPr>
        <w:t xml:space="preserve"> «объекты» в Липецке, Казани и «Томку», а также несколько советских военных объектов, в т. ч. Центральный военный химический полигон (ЦВХП) в Шиханах (близ г. Вольска), почти две недели провел на осенних маневрах УВО под Киевом. В Казани </w:t>
      </w:r>
      <w:proofErr w:type="spellStart"/>
      <w:r w:rsidRPr="00A259BD">
        <w:rPr>
          <w:rFonts w:ascii="Times New Roman" w:hAnsi="Times New Roman"/>
          <w:color w:val="000000" w:themeColor="text1"/>
          <w:sz w:val="16"/>
          <w:szCs w:val="16"/>
        </w:rPr>
        <w:t>Хаммерштайна</w:t>
      </w:r>
      <w:proofErr w:type="spellEnd"/>
      <w:r w:rsidRPr="00A259BD">
        <w:rPr>
          <w:rFonts w:ascii="Times New Roman" w:hAnsi="Times New Roman"/>
          <w:color w:val="000000" w:themeColor="text1"/>
          <w:sz w:val="16"/>
          <w:szCs w:val="16"/>
        </w:rPr>
        <w:t xml:space="preserve"> сопровождал начальник Артиллерийского управления РККА Г. И. Кулик, в «Томке» и в Шиханах — начальник ВОХИМУ РККА Я. М. Фишман.</w:t>
      </w:r>
    </w:p>
    <w:p w14:paraId="05CD7961" w14:textId="77777777" w:rsidR="00A41ACD" w:rsidRPr="00A259BD" w:rsidRDefault="00A41AC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Москве 5 сентября 1929 г. состоялись продолжительные переговоры Ворошилова с </w:t>
      </w:r>
      <w:proofErr w:type="spellStart"/>
      <w:r w:rsidRPr="00A259BD">
        <w:rPr>
          <w:rFonts w:ascii="Times New Roman" w:hAnsi="Times New Roman"/>
          <w:color w:val="000000" w:themeColor="text1"/>
          <w:sz w:val="16"/>
          <w:szCs w:val="16"/>
        </w:rPr>
        <w:t>Хаммерштайном</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Кюленталем</w:t>
      </w:r>
      <w:proofErr w:type="spellEnd"/>
      <w:r w:rsidRPr="00A259BD">
        <w:rPr>
          <w:rFonts w:ascii="Times New Roman" w:hAnsi="Times New Roman"/>
          <w:color w:val="000000" w:themeColor="text1"/>
          <w:sz w:val="16"/>
          <w:szCs w:val="16"/>
        </w:rPr>
        <w:t>.</w:t>
      </w:r>
    </w:p>
    <w:p w14:paraId="36B62161" w14:textId="77777777" w:rsidR="00A41ACD" w:rsidRPr="00A259BD" w:rsidRDefault="00A41AC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Подход Ворошилова был сугубо прагматичным. На деликатно высказанное </w:t>
      </w:r>
      <w:proofErr w:type="spellStart"/>
      <w:r w:rsidRPr="00A259BD">
        <w:rPr>
          <w:rFonts w:ascii="Times New Roman" w:hAnsi="Times New Roman"/>
          <w:color w:val="000000" w:themeColor="text1"/>
          <w:sz w:val="16"/>
          <w:szCs w:val="16"/>
        </w:rPr>
        <w:t>Хаммерштайном</w:t>
      </w:r>
      <w:proofErr w:type="spellEnd"/>
      <w:r w:rsidRPr="00A259BD">
        <w:rPr>
          <w:rFonts w:ascii="Times New Roman" w:hAnsi="Times New Roman"/>
          <w:color w:val="000000" w:themeColor="text1"/>
          <w:sz w:val="16"/>
          <w:szCs w:val="16"/>
        </w:rPr>
        <w:t xml:space="preserve"> пожелание «предупреждать такие вещи, которые немецкой армии затруднили бы дружбу с Красной Армией», — он имел в виду тему о невмешательстве во внутреннюю политику, а также поддержку из Москвы деятельности КПГ и III Интернационала, — Ворошилов коротко заявил:</w:t>
      </w:r>
    </w:p>
    <w:p w14:paraId="042B6759" w14:textId="77777777" w:rsidR="00A41ACD" w:rsidRPr="00A259BD" w:rsidRDefault="00A41AC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«Нам незачем впутывать III Интернационал или партии к нашим чисто деловым отношениям. Мы стоим на почве деловых отношений и кроме обоюдовыгодных вопросов никаких других обсуждать не можем и не должны» (18265).</w:t>
      </w:r>
    </w:p>
    <w:p w14:paraId="10288465" w14:textId="77777777" w:rsidR="00A41ACD" w:rsidRPr="00A259BD" w:rsidRDefault="00A41ACD" w:rsidP="009236E3">
      <w:pPr>
        <w:spacing w:after="0" w:line="240" w:lineRule="auto"/>
        <w:jc w:val="both"/>
        <w:rPr>
          <w:rFonts w:ascii="Times New Roman" w:hAnsi="Times New Roman"/>
          <w:color w:val="000000" w:themeColor="text1"/>
          <w:sz w:val="16"/>
          <w:szCs w:val="16"/>
        </w:rPr>
      </w:pPr>
    </w:p>
    <w:p w14:paraId="7D6BDFF8"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E7C1FA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D765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августе-сентябре 1929 г. дирижабль "Граф Цеппелин" за 12,5 суток совершил кругосветное путешествие (11013).</w:t>
      </w:r>
    </w:p>
    <w:p w14:paraId="646CD15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C69B8F" w14:textId="77777777" w:rsidR="00DF6949" w:rsidRPr="00A259BD" w:rsidRDefault="00DF6949" w:rsidP="00DF6949">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44A8B06" w14:textId="77777777" w:rsidR="00DF6949" w:rsidRPr="00A259BD" w:rsidRDefault="00DF6949" w:rsidP="00DF6949">
      <w:pPr>
        <w:autoSpaceDE w:val="0"/>
        <w:autoSpaceDN w:val="0"/>
        <w:adjustRightInd w:val="0"/>
        <w:spacing w:after="0" w:line="240" w:lineRule="auto"/>
        <w:jc w:val="both"/>
        <w:rPr>
          <w:rFonts w:ascii="Times New Roman" w:hAnsi="Times New Roman"/>
          <w:iCs/>
          <w:color w:val="000000" w:themeColor="text1"/>
          <w:sz w:val="16"/>
          <w:szCs w:val="16"/>
        </w:rPr>
      </w:pPr>
    </w:p>
    <w:p w14:paraId="13F1B78E"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Во второй половине лета 1929 г. освободившийся в начале этого года из тюрьмы (СЛОН – </w:t>
      </w:r>
      <w:proofErr w:type="spellStart"/>
      <w:r w:rsidRPr="00441F34">
        <w:rPr>
          <w:rFonts w:ascii="Times New Roman" w:hAnsi="Times New Roman"/>
          <w:color w:val="0070C0"/>
          <w:sz w:val="16"/>
          <w:szCs w:val="16"/>
        </w:rPr>
        <w:t>Соовецкий</w:t>
      </w:r>
      <w:proofErr w:type="spellEnd"/>
      <w:r w:rsidRPr="00441F34">
        <w:rPr>
          <w:rFonts w:ascii="Times New Roman" w:hAnsi="Times New Roman"/>
          <w:color w:val="0070C0"/>
          <w:sz w:val="16"/>
          <w:szCs w:val="16"/>
        </w:rPr>
        <w:t xml:space="preserve"> лагерь особого назначения, отбывал наказание за растрату государственных средств и финансовые махинации) изобретатель Л.В. </w:t>
      </w:r>
      <w:proofErr w:type="spellStart"/>
      <w:r w:rsidRPr="00441F34">
        <w:rPr>
          <w:rFonts w:ascii="Times New Roman" w:hAnsi="Times New Roman"/>
          <w:color w:val="0070C0"/>
          <w:sz w:val="16"/>
          <w:szCs w:val="16"/>
        </w:rPr>
        <w:t>Курчевский</w:t>
      </w:r>
      <w:proofErr w:type="spellEnd"/>
      <w:r w:rsidRPr="00441F34">
        <w:rPr>
          <w:rFonts w:ascii="Times New Roman" w:hAnsi="Times New Roman"/>
          <w:color w:val="0070C0"/>
          <w:sz w:val="16"/>
          <w:szCs w:val="16"/>
        </w:rPr>
        <w:t xml:space="preserve"> и возглавивший конструкторское бюро на заводе артиллерийского вооружения №8 в пос. </w:t>
      </w:r>
      <w:proofErr w:type="spellStart"/>
      <w:r w:rsidRPr="00441F34">
        <w:rPr>
          <w:rFonts w:ascii="Times New Roman" w:hAnsi="Times New Roman"/>
          <w:color w:val="0070C0"/>
          <w:sz w:val="16"/>
          <w:szCs w:val="16"/>
        </w:rPr>
        <w:t>Калиинский</w:t>
      </w:r>
      <w:proofErr w:type="spellEnd"/>
      <w:r w:rsidRPr="00441F34">
        <w:rPr>
          <w:rFonts w:ascii="Times New Roman" w:hAnsi="Times New Roman"/>
          <w:color w:val="0070C0"/>
          <w:sz w:val="16"/>
          <w:szCs w:val="16"/>
        </w:rPr>
        <w:t xml:space="preserve"> (до 1928 г. – Подлипки), предложил </w:t>
      </w:r>
      <w:proofErr w:type="spellStart"/>
      <w:r w:rsidRPr="00441F34">
        <w:rPr>
          <w:rFonts w:ascii="Times New Roman" w:hAnsi="Times New Roman"/>
          <w:color w:val="0070C0"/>
          <w:sz w:val="16"/>
          <w:szCs w:val="16"/>
        </w:rPr>
        <w:t>Авиатресту</w:t>
      </w:r>
      <w:proofErr w:type="spellEnd"/>
      <w:r w:rsidRPr="00441F34">
        <w:rPr>
          <w:rFonts w:ascii="Times New Roman" w:hAnsi="Times New Roman"/>
          <w:color w:val="0070C0"/>
          <w:sz w:val="16"/>
          <w:szCs w:val="16"/>
        </w:rPr>
        <w:t xml:space="preserve"> разработать модификацию самолета И-3 с установкой на крыле проектируемых им динамо-реактивных пушек АПК-1 калибра 76,2 мм.</w:t>
      </w:r>
    </w:p>
    <w:p w14:paraId="3B1B8B58"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Предложение было принято, но осуществлено на самолете Туполев И-4 (АНТ-5).</w:t>
      </w:r>
    </w:p>
    <w:p w14:paraId="2ABD70C2" w14:textId="77777777" w:rsidR="00DF6949" w:rsidRPr="00441F34" w:rsidRDefault="00DF6949" w:rsidP="00DF694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МИ-3 БМВ-6 (1-й в СССР с таким обозначением, ПИ-3) проект, морской истребитель, истребитель-бомбардировщик и перехватчик ПВО (24887).</w:t>
      </w:r>
    </w:p>
    <w:p w14:paraId="409B8863" w14:textId="77777777" w:rsidR="00DF6949" w:rsidRPr="00441F34" w:rsidRDefault="00DF6949" w:rsidP="00DF6949">
      <w:pPr>
        <w:spacing w:after="0" w:line="240" w:lineRule="auto"/>
        <w:jc w:val="both"/>
        <w:rPr>
          <w:rFonts w:ascii="Times New Roman" w:hAnsi="Times New Roman"/>
          <w:color w:val="0070C0"/>
          <w:sz w:val="16"/>
          <w:szCs w:val="16"/>
        </w:rPr>
      </w:pPr>
    </w:p>
    <w:p w14:paraId="3DA6E312" w14:textId="626A3D86" w:rsidR="0064324B" w:rsidRPr="00A259BD" w:rsidRDefault="0064324B"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66210CA" w14:textId="77777777" w:rsidR="0064324B" w:rsidRPr="00A259BD" w:rsidRDefault="0064324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2AFAC3" w14:textId="77777777" w:rsidR="0064324B" w:rsidRPr="00A259BD" w:rsidRDefault="0064324B"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 xml:space="preserve">К концу лета 1929 г. на заводе № 22 </w:t>
      </w:r>
      <w:proofErr w:type="spellStart"/>
      <w:r w:rsidRPr="00A259BD">
        <w:rPr>
          <w:rFonts w:ascii="Times New Roman" w:hAnsi="Times New Roman" w:cs="Times New Roman"/>
          <w:color w:val="000000" w:themeColor="text1"/>
        </w:rPr>
        <w:t>выпустали</w:t>
      </w:r>
      <w:proofErr w:type="spellEnd"/>
      <w:r w:rsidRPr="00A259BD">
        <w:rPr>
          <w:rFonts w:ascii="Times New Roman" w:hAnsi="Times New Roman" w:cs="Times New Roman"/>
          <w:color w:val="000000" w:themeColor="text1"/>
        </w:rPr>
        <w:t xml:space="preserve"> головной самолет АНТ-5, имевший № 1513. Планер его в целом соответствовал второму опытному образцу. Мотор Гном-Рон 9Aq снабдили карбюратором «Триплекс» (на обоих опытных экземплярах стоял менее совершенный «Клодель»). Использовались приборы исключительно советского производства, кроме часов, </w:t>
      </w:r>
      <w:proofErr w:type="spellStart"/>
      <w:r w:rsidRPr="00A259BD">
        <w:rPr>
          <w:rFonts w:ascii="Times New Roman" w:hAnsi="Times New Roman" w:cs="Times New Roman"/>
          <w:color w:val="000000" w:themeColor="text1"/>
        </w:rPr>
        <w:t>приобретавшихся</w:t>
      </w:r>
      <w:proofErr w:type="spellEnd"/>
      <w:r w:rsidRPr="00A259BD">
        <w:rPr>
          <w:rFonts w:ascii="Times New Roman" w:hAnsi="Times New Roman" w:cs="Times New Roman"/>
          <w:color w:val="000000" w:themeColor="text1"/>
        </w:rPr>
        <w:t xml:space="preserve"> в Германии (19100).</w:t>
      </w:r>
    </w:p>
    <w:p w14:paraId="7AE2DB76" w14:textId="77777777" w:rsidR="0064324B" w:rsidRPr="00A259BD" w:rsidRDefault="0064324B" w:rsidP="009236E3">
      <w:pPr>
        <w:pStyle w:val="a8"/>
        <w:jc w:val="both"/>
        <w:rPr>
          <w:rFonts w:ascii="Times New Roman" w:hAnsi="Times New Roman" w:cs="Times New Roman"/>
          <w:color w:val="000000" w:themeColor="text1"/>
        </w:rPr>
      </w:pPr>
    </w:p>
    <w:p w14:paraId="31393188" w14:textId="77777777" w:rsidR="00BE71A6" w:rsidRPr="00A259BD" w:rsidRDefault="00BE71A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лета 1929 г. первый советский автожир КАСКР был готов. Для проведения его испытаний, начавшихся 1 сентября 1929 г., пригласили из</w:t>
      </w:r>
      <w:r w:rsidRPr="00A259BD">
        <w:rPr>
          <w:rFonts w:ascii="Times New Roman" w:hAnsi="Times New Roman"/>
          <w:color w:val="000000" w:themeColor="text1"/>
          <w:sz w:val="16"/>
          <w:szCs w:val="16"/>
        </w:rPr>
        <w:softHyphen/>
        <w:t>вестного летчика И. Михеева. Однако первое появление ав</w:t>
      </w:r>
      <w:r w:rsidRPr="00A259BD">
        <w:rPr>
          <w:rFonts w:ascii="Times New Roman" w:hAnsi="Times New Roman"/>
          <w:color w:val="000000" w:themeColor="text1"/>
          <w:sz w:val="16"/>
          <w:szCs w:val="16"/>
        </w:rPr>
        <w:softHyphen/>
        <w:t>тожира на аэродроме закончилось неудачей - при раскрут</w:t>
      </w:r>
      <w:r w:rsidRPr="00A259BD">
        <w:rPr>
          <w:rFonts w:ascii="Times New Roman" w:hAnsi="Times New Roman"/>
          <w:color w:val="000000" w:themeColor="text1"/>
          <w:sz w:val="16"/>
          <w:szCs w:val="16"/>
        </w:rPr>
        <w:softHyphen/>
        <w:t>ке ротора оборвались поддерживающие тросовые растяжки (20361).</w:t>
      </w:r>
    </w:p>
    <w:p w14:paraId="7A2DF835" w14:textId="77777777" w:rsidR="00BE71A6" w:rsidRPr="00A259BD" w:rsidRDefault="00BE71A6" w:rsidP="009236E3">
      <w:pPr>
        <w:shd w:val="clear" w:color="auto" w:fill="FFFFFF"/>
        <w:spacing w:after="0" w:line="240" w:lineRule="auto"/>
        <w:jc w:val="both"/>
        <w:rPr>
          <w:rFonts w:ascii="Times New Roman" w:hAnsi="Times New Roman"/>
          <w:color w:val="000000" w:themeColor="text1"/>
          <w:sz w:val="16"/>
          <w:szCs w:val="16"/>
        </w:rPr>
      </w:pPr>
    </w:p>
    <w:p w14:paraId="6C0A28CA" w14:textId="77777777" w:rsidR="004C593A" w:rsidRPr="00A259BD" w:rsidRDefault="004C593A"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5CCBAF03" w14:textId="77777777" w:rsidR="004C593A" w:rsidRPr="00A259BD" w:rsidRDefault="004C593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D05FA02" w14:textId="77777777" w:rsidR="004C593A" w:rsidRPr="00A259BD" w:rsidRDefault="004C593A" w:rsidP="009236E3">
      <w:pPr>
        <w:pStyle w:val="ae"/>
        <w:shd w:val="clear" w:color="auto" w:fill="FFFFFF"/>
        <w:spacing w:before="0" w:after="0"/>
        <w:jc w:val="both"/>
        <w:rPr>
          <w:color w:val="000000" w:themeColor="text1"/>
          <w:sz w:val="16"/>
          <w:szCs w:val="16"/>
        </w:rPr>
      </w:pPr>
      <w:r w:rsidRPr="00A259BD">
        <w:rPr>
          <w:color w:val="000000" w:themeColor="text1"/>
          <w:sz w:val="16"/>
          <w:szCs w:val="16"/>
        </w:rPr>
        <w:t>К концу лета 1929 года наибольшее количество Т-18 находилось в составе Сводного механизированного полка. Всего он имел 28 таких танков, из которых 13 относились к машинам первой серии, а оставшиеся 15 — ко второй серии. Этот полк участвовал в крупных манёврах, проходивших в Белоруссии в сентябре 1929 года. Самыми распространёнными проблемами танков на манёврах стали износ ведущих колёс (18 машин) и выход из строя опорных катков (27 машин). Несмотря на это, машины оказались достаточно надёжными. Одной из причин проблем с эксплуатацией танков стала недостаточная квалификация механиков-водителей.</w:t>
      </w:r>
    </w:p>
    <w:p w14:paraId="3954D221" w14:textId="77777777" w:rsidR="004C593A" w:rsidRPr="00A259BD" w:rsidRDefault="004C593A" w:rsidP="009236E3">
      <w:pPr>
        <w:pStyle w:val="ae"/>
        <w:shd w:val="clear" w:color="auto" w:fill="FFFFFF"/>
        <w:spacing w:before="0" w:after="0"/>
        <w:jc w:val="both"/>
        <w:rPr>
          <w:color w:val="000000" w:themeColor="text1"/>
          <w:sz w:val="16"/>
          <w:szCs w:val="16"/>
        </w:rPr>
      </w:pPr>
      <w:r w:rsidRPr="00A259BD">
        <w:rPr>
          <w:color w:val="000000" w:themeColor="text1"/>
          <w:sz w:val="16"/>
          <w:szCs w:val="16"/>
        </w:rPr>
        <w:t>Вместе с тем, уже тогда была высказана претензия в адрес тихоходности Т-18. Именно по этой причине были запущены работы по созданию Т-19 и более скоростных вариантов Т-18 (17724).</w:t>
      </w:r>
    </w:p>
    <w:p w14:paraId="060E06B2" w14:textId="77777777" w:rsidR="004C593A" w:rsidRPr="00A259BD" w:rsidRDefault="004C593A" w:rsidP="009236E3">
      <w:pPr>
        <w:spacing w:after="0" w:line="240" w:lineRule="auto"/>
        <w:jc w:val="both"/>
        <w:textAlignment w:val="baseline"/>
        <w:rPr>
          <w:rFonts w:ascii="Times New Roman" w:eastAsia="Times New Roman" w:hAnsi="Times New Roman"/>
          <w:color w:val="000000" w:themeColor="text1"/>
          <w:sz w:val="16"/>
          <w:szCs w:val="16"/>
          <w:lang w:eastAsia="ru-RU"/>
        </w:rPr>
      </w:pPr>
    </w:p>
    <w:p w14:paraId="632391CF" w14:textId="77777777" w:rsidR="004B4828"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69DA669" w14:textId="77777777" w:rsidR="004B4828" w:rsidRPr="00A259BD" w:rsidRDefault="004B482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05FFC8" w14:textId="77777777" w:rsidR="004B4828" w:rsidRPr="00A259BD" w:rsidRDefault="004B48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осени 1929 года полностью построили более 30 самолетов И-4 на авиазаводе №22 в Филях, однако от</w:t>
      </w:r>
      <w:r w:rsidRPr="00A259BD">
        <w:rPr>
          <w:rFonts w:ascii="Times New Roman" w:hAnsi="Times New Roman"/>
          <w:color w:val="000000" w:themeColor="text1"/>
          <w:sz w:val="16"/>
          <w:szCs w:val="16"/>
        </w:rPr>
        <w:softHyphen/>
        <w:t>дельные недоработки и неукомплектован</w:t>
      </w:r>
      <w:r w:rsidRPr="00A259BD">
        <w:rPr>
          <w:rFonts w:ascii="Times New Roman" w:hAnsi="Times New Roman"/>
          <w:color w:val="000000" w:themeColor="text1"/>
          <w:sz w:val="16"/>
          <w:szCs w:val="16"/>
        </w:rPr>
        <w:softHyphen/>
        <w:t>ность оборудованием не позволяли их не</w:t>
      </w:r>
      <w:r w:rsidRPr="00A259BD">
        <w:rPr>
          <w:rFonts w:ascii="Times New Roman" w:hAnsi="Times New Roman"/>
          <w:color w:val="000000" w:themeColor="text1"/>
          <w:sz w:val="16"/>
          <w:szCs w:val="16"/>
        </w:rPr>
        <w:softHyphen/>
        <w:t>медленно передать заказчику. В октябре 1929 года в строевых подразделениях значилось всего 4 экземпляра И-4. Первым из них на службу в 15-</w:t>
      </w:r>
      <w:r w:rsidRPr="00A259BD">
        <w:rPr>
          <w:rFonts w:ascii="Times New Roman" w:hAnsi="Times New Roman"/>
          <w:color w:val="000000" w:themeColor="text1"/>
          <w:sz w:val="16"/>
          <w:szCs w:val="16"/>
        </w:rPr>
        <w:lastRenderedPageBreak/>
        <w:t>ю авиабригаду Белорусского во</w:t>
      </w:r>
      <w:r w:rsidRPr="00A259BD">
        <w:rPr>
          <w:rFonts w:ascii="Times New Roman" w:hAnsi="Times New Roman"/>
          <w:color w:val="000000" w:themeColor="text1"/>
          <w:sz w:val="16"/>
          <w:szCs w:val="16"/>
        </w:rPr>
        <w:softHyphen/>
        <w:t>енного округа (Брянск) еще в 1928 году по</w:t>
      </w:r>
      <w:r w:rsidRPr="00A259BD">
        <w:rPr>
          <w:rFonts w:ascii="Times New Roman" w:hAnsi="Times New Roman"/>
          <w:color w:val="000000" w:themeColor="text1"/>
          <w:sz w:val="16"/>
          <w:szCs w:val="16"/>
        </w:rPr>
        <w:softHyphen/>
        <w:t>пал опытный экземпляр АНТ-5. Судя по все</w:t>
      </w:r>
      <w:r w:rsidRPr="00A259BD">
        <w:rPr>
          <w:rFonts w:ascii="Times New Roman" w:hAnsi="Times New Roman"/>
          <w:color w:val="000000" w:themeColor="text1"/>
          <w:sz w:val="16"/>
          <w:szCs w:val="16"/>
        </w:rPr>
        <w:softHyphen/>
        <w:t xml:space="preserve">му именно этот самолет значился в 1933 году в 53-й </w:t>
      </w:r>
      <w:proofErr w:type="spellStart"/>
      <w:r w:rsidRPr="00A259BD">
        <w:rPr>
          <w:rFonts w:ascii="Times New Roman" w:hAnsi="Times New Roman"/>
          <w:color w:val="000000" w:themeColor="text1"/>
          <w:sz w:val="16"/>
          <w:szCs w:val="16"/>
        </w:rPr>
        <w:t>каэ</w:t>
      </w:r>
      <w:proofErr w:type="spellEnd"/>
      <w:r w:rsidRPr="00A259BD">
        <w:rPr>
          <w:rFonts w:ascii="Times New Roman" w:hAnsi="Times New Roman"/>
          <w:color w:val="000000" w:themeColor="text1"/>
          <w:sz w:val="16"/>
          <w:szCs w:val="16"/>
        </w:rPr>
        <w:t>, базирующейся в Бобруйске. Дру</w:t>
      </w:r>
      <w:r w:rsidRPr="00A259BD">
        <w:rPr>
          <w:rFonts w:ascii="Times New Roman" w:hAnsi="Times New Roman"/>
          <w:color w:val="000000" w:themeColor="text1"/>
          <w:sz w:val="16"/>
          <w:szCs w:val="16"/>
        </w:rPr>
        <w:softHyphen/>
        <w:t>гих И-4 в Б ВО в этот период не отмечалось.</w:t>
      </w:r>
    </w:p>
    <w:p w14:paraId="06327C3E" w14:textId="77777777" w:rsidR="004B4828" w:rsidRPr="00A259BD" w:rsidRDefault="004B48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Одним из первых, осенью 1929 года И-4 по</w:t>
      </w:r>
      <w:r w:rsidRPr="00A259BD">
        <w:rPr>
          <w:rFonts w:ascii="Times New Roman" w:hAnsi="Times New Roman"/>
          <w:color w:val="000000" w:themeColor="text1"/>
          <w:sz w:val="16"/>
          <w:szCs w:val="16"/>
        </w:rPr>
        <w:softHyphen/>
        <w:t>лучил дислоцирующийся в Петергофе 46-й авиаотряд ВВС Балтийского моря. Ранее в от</w:t>
      </w:r>
      <w:r w:rsidRPr="00A259BD">
        <w:rPr>
          <w:rFonts w:ascii="Times New Roman" w:hAnsi="Times New Roman"/>
          <w:color w:val="000000" w:themeColor="text1"/>
          <w:sz w:val="16"/>
          <w:szCs w:val="16"/>
        </w:rPr>
        <w:softHyphen/>
        <w:t>ряде летали на истребителях И-2, которые большей частью хранились в ангаре, вмещав</w:t>
      </w:r>
      <w:r w:rsidRPr="00A259BD">
        <w:rPr>
          <w:rFonts w:ascii="Times New Roman" w:hAnsi="Times New Roman"/>
          <w:color w:val="000000" w:themeColor="text1"/>
          <w:sz w:val="16"/>
          <w:szCs w:val="16"/>
        </w:rPr>
        <w:softHyphen/>
        <w:t>шем 7 самолетов. С получением пятерки но</w:t>
      </w:r>
      <w:r w:rsidRPr="00A259BD">
        <w:rPr>
          <w:rFonts w:ascii="Times New Roman" w:hAnsi="Times New Roman"/>
          <w:color w:val="000000" w:themeColor="text1"/>
          <w:sz w:val="16"/>
          <w:szCs w:val="16"/>
        </w:rPr>
        <w:softHyphen/>
        <w:t>вых истребителей (зав. № 1532, № 1518, № 1533, № 1535, № 1521, № 1559, № 1541) их на зиму по</w:t>
      </w:r>
      <w:r w:rsidRPr="00A259BD">
        <w:rPr>
          <w:rFonts w:ascii="Times New Roman" w:hAnsi="Times New Roman"/>
          <w:color w:val="000000" w:themeColor="text1"/>
          <w:sz w:val="16"/>
          <w:szCs w:val="16"/>
        </w:rPr>
        <w:softHyphen/>
        <w:t>местили в ангар, а два старых И-2 выкатили на улицу.</w:t>
      </w:r>
    </w:p>
    <w:p w14:paraId="59D50F2B" w14:textId="77777777" w:rsidR="004B4828" w:rsidRPr="00A259BD" w:rsidRDefault="004B48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Практически одновременно с 46-м </w:t>
      </w:r>
      <w:proofErr w:type="spellStart"/>
      <w:r w:rsidRPr="00A259BD">
        <w:rPr>
          <w:rFonts w:ascii="Times New Roman" w:hAnsi="Times New Roman"/>
          <w:color w:val="000000" w:themeColor="text1"/>
          <w:sz w:val="16"/>
          <w:szCs w:val="16"/>
        </w:rPr>
        <w:t>ао</w:t>
      </w:r>
      <w:proofErr w:type="spellEnd"/>
      <w:r w:rsidRPr="00A259BD">
        <w:rPr>
          <w:rFonts w:ascii="Times New Roman" w:hAnsi="Times New Roman"/>
          <w:color w:val="000000" w:themeColor="text1"/>
          <w:sz w:val="16"/>
          <w:szCs w:val="16"/>
        </w:rPr>
        <w:t xml:space="preserve"> при</w:t>
      </w:r>
      <w:r w:rsidRPr="00A259BD">
        <w:rPr>
          <w:rFonts w:ascii="Times New Roman" w:hAnsi="Times New Roman"/>
          <w:color w:val="000000" w:themeColor="text1"/>
          <w:sz w:val="16"/>
          <w:szCs w:val="16"/>
        </w:rPr>
        <w:softHyphen/>
        <w:t>ступили к освоению И-4 в 1-й Краснозна</w:t>
      </w:r>
      <w:r w:rsidRPr="00A259BD">
        <w:rPr>
          <w:rFonts w:ascii="Times New Roman" w:hAnsi="Times New Roman"/>
          <w:color w:val="000000" w:themeColor="text1"/>
          <w:sz w:val="16"/>
          <w:szCs w:val="16"/>
        </w:rPr>
        <w:softHyphen/>
        <w:t>менной эскадрилье Ленинградского воен</w:t>
      </w:r>
      <w:r w:rsidRPr="00A259BD">
        <w:rPr>
          <w:rFonts w:ascii="Times New Roman" w:hAnsi="Times New Roman"/>
          <w:color w:val="000000" w:themeColor="text1"/>
          <w:sz w:val="16"/>
          <w:szCs w:val="16"/>
        </w:rPr>
        <w:softHyphen/>
        <w:t>ного округа. 1-я эскадрилья базировалась в Красногвардейске и ранее также эксплуати</w:t>
      </w:r>
      <w:r w:rsidRPr="00A259BD">
        <w:rPr>
          <w:rFonts w:ascii="Times New Roman" w:hAnsi="Times New Roman"/>
          <w:color w:val="000000" w:themeColor="text1"/>
          <w:sz w:val="16"/>
          <w:szCs w:val="16"/>
        </w:rPr>
        <w:softHyphen/>
        <w:t>ровала И-2. Так как поначалу здесь получили только три истребителя И-4, то на них переу</w:t>
      </w:r>
      <w:r w:rsidRPr="00A259BD">
        <w:rPr>
          <w:rFonts w:ascii="Times New Roman" w:hAnsi="Times New Roman"/>
          <w:color w:val="000000" w:themeColor="text1"/>
          <w:sz w:val="16"/>
          <w:szCs w:val="16"/>
        </w:rPr>
        <w:softHyphen/>
        <w:t>чивался весь личный состав и 11-й авиаэска</w:t>
      </w:r>
      <w:r w:rsidRPr="00A259BD">
        <w:rPr>
          <w:rFonts w:ascii="Times New Roman" w:hAnsi="Times New Roman"/>
          <w:color w:val="000000" w:themeColor="text1"/>
          <w:sz w:val="16"/>
          <w:szCs w:val="16"/>
        </w:rPr>
        <w:softHyphen/>
        <w:t>дрильи ВВС Л ВО (ё12295).</w:t>
      </w:r>
    </w:p>
    <w:p w14:paraId="5DB3CABF" w14:textId="77777777" w:rsidR="004B4828" w:rsidRPr="00A259BD" w:rsidRDefault="004B4828" w:rsidP="009236E3">
      <w:pPr>
        <w:spacing w:after="0" w:line="240" w:lineRule="auto"/>
        <w:jc w:val="both"/>
        <w:rPr>
          <w:rFonts w:ascii="Times New Roman" w:hAnsi="Times New Roman"/>
          <w:color w:val="000000" w:themeColor="text1"/>
          <w:sz w:val="16"/>
          <w:szCs w:val="16"/>
        </w:rPr>
      </w:pPr>
    </w:p>
    <w:p w14:paraId="243E1A80" w14:textId="77777777" w:rsidR="009C4CDA" w:rsidRPr="00441F34" w:rsidRDefault="009C4CDA" w:rsidP="009C4CDA">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осени 1929 года на заводе № 22 полностью построили более 30 са</w:t>
      </w:r>
      <w:r w:rsidRPr="00441F34">
        <w:rPr>
          <w:rFonts w:ascii="Times New Roman" w:hAnsi="Times New Roman"/>
          <w:color w:val="0070C0"/>
          <w:sz w:val="16"/>
          <w:szCs w:val="16"/>
        </w:rPr>
        <w:softHyphen/>
        <w:t>молетов И-4 (АНТ-5), однако отдельные недоработки не позволя</w:t>
      </w:r>
      <w:r w:rsidRPr="00441F34">
        <w:rPr>
          <w:rFonts w:ascii="Times New Roman" w:hAnsi="Times New Roman"/>
          <w:color w:val="0070C0"/>
          <w:sz w:val="16"/>
          <w:szCs w:val="16"/>
        </w:rPr>
        <w:softHyphen/>
        <w:t>ли их немедленно передать заказчику. В октябре 1929 года в строевых подразделениях ВВС значилось всего 4 экземпляра И-4. Но летом 1930 года число истре</w:t>
      </w:r>
      <w:r w:rsidRPr="00441F34">
        <w:rPr>
          <w:rFonts w:ascii="Times New Roman" w:hAnsi="Times New Roman"/>
          <w:color w:val="0070C0"/>
          <w:sz w:val="16"/>
          <w:szCs w:val="16"/>
        </w:rPr>
        <w:softHyphen/>
        <w:t>бителей И-4 в войсках было уже заметным и соста</w:t>
      </w:r>
      <w:r w:rsidRPr="00441F34">
        <w:rPr>
          <w:rFonts w:ascii="Times New Roman" w:hAnsi="Times New Roman"/>
          <w:color w:val="0070C0"/>
          <w:sz w:val="16"/>
          <w:szCs w:val="16"/>
        </w:rPr>
        <w:softHyphen/>
        <w:t>вило порядка 60 самолетов. Из этого количества 11 И-4 числились в 29-й эскадрилье ВВС Черного моря в Евпатории, 12 — в 70-м отдельном авиаотряде Кав</w:t>
      </w:r>
      <w:r w:rsidRPr="00441F34">
        <w:rPr>
          <w:rFonts w:ascii="Times New Roman" w:hAnsi="Times New Roman"/>
          <w:color w:val="0070C0"/>
          <w:sz w:val="16"/>
          <w:szCs w:val="16"/>
        </w:rPr>
        <w:softHyphen/>
        <w:t>казской Красной Армии в Баку, а также в 44-м авиа</w:t>
      </w:r>
      <w:r w:rsidRPr="00441F34">
        <w:rPr>
          <w:rFonts w:ascii="Times New Roman" w:hAnsi="Times New Roman"/>
          <w:color w:val="0070C0"/>
          <w:sz w:val="16"/>
          <w:szCs w:val="16"/>
        </w:rPr>
        <w:softHyphen/>
        <w:t>отряде в Тифлисе, в 46-м авиаотряде, в 1-й и 11-й эс</w:t>
      </w:r>
      <w:r w:rsidRPr="00441F34">
        <w:rPr>
          <w:rFonts w:ascii="Times New Roman" w:hAnsi="Times New Roman"/>
          <w:color w:val="0070C0"/>
          <w:sz w:val="16"/>
          <w:szCs w:val="16"/>
        </w:rPr>
        <w:softHyphen/>
        <w:t>кадрильях Московского военного округа. Далее их количество продолжало увеличиваться. По состоя</w:t>
      </w:r>
      <w:r w:rsidRPr="00441F34">
        <w:rPr>
          <w:rFonts w:ascii="Times New Roman" w:hAnsi="Times New Roman"/>
          <w:color w:val="0070C0"/>
          <w:sz w:val="16"/>
          <w:szCs w:val="16"/>
        </w:rPr>
        <w:softHyphen/>
        <w:t>нию на 1 января 1931 г. в строю находилось 150 И-4 (23378).</w:t>
      </w:r>
    </w:p>
    <w:p w14:paraId="7D8B589E" w14:textId="77777777" w:rsidR="009C4CDA" w:rsidRPr="00441F34" w:rsidRDefault="009C4CDA" w:rsidP="009C4CDA">
      <w:pPr>
        <w:spacing w:after="0" w:line="240" w:lineRule="auto"/>
        <w:jc w:val="both"/>
        <w:rPr>
          <w:rFonts w:ascii="Times New Roman" w:hAnsi="Times New Roman"/>
          <w:color w:val="0070C0"/>
          <w:sz w:val="16"/>
          <w:szCs w:val="16"/>
        </w:rPr>
      </w:pPr>
    </w:p>
    <w:p w14:paraId="5575F154" w14:textId="77777777" w:rsidR="0064324B" w:rsidRPr="00A259BD" w:rsidRDefault="0064324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осени 1929 года следствие по делу Д. П. Григоровича и сотрудников было закончено (18526).</w:t>
      </w:r>
    </w:p>
    <w:p w14:paraId="28B80B98" w14:textId="77777777" w:rsidR="0064324B" w:rsidRPr="00A259BD" w:rsidRDefault="0064324B" w:rsidP="009236E3">
      <w:pPr>
        <w:spacing w:after="0" w:line="240" w:lineRule="auto"/>
        <w:jc w:val="both"/>
        <w:rPr>
          <w:rFonts w:ascii="Times New Roman" w:hAnsi="Times New Roman"/>
          <w:color w:val="000000" w:themeColor="text1"/>
          <w:sz w:val="16"/>
          <w:szCs w:val="16"/>
        </w:rPr>
      </w:pPr>
    </w:p>
    <w:p w14:paraId="37A18529" w14:textId="77777777" w:rsidR="0064324B" w:rsidRPr="00A259BD" w:rsidRDefault="0064324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осени 1929 года в ОГПУ окончательно созрел план создания первой авиационной </w:t>
      </w:r>
      <w:hyperlink r:id="rId169" w:tooltip="Шарашка" w:history="1">
        <w:r w:rsidRPr="00A259BD">
          <w:rPr>
            <w:rStyle w:val="a5"/>
            <w:rFonts w:ascii="Times New Roman" w:hAnsi="Times New Roman"/>
            <w:color w:val="000000" w:themeColor="text1"/>
            <w:sz w:val="16"/>
            <w:szCs w:val="16"/>
          </w:rPr>
          <w:t>«шараги»</w:t>
        </w:r>
      </w:hyperlink>
      <w:r w:rsidRPr="00A259BD">
        <w:rPr>
          <w:rFonts w:ascii="Times New Roman" w:hAnsi="Times New Roman"/>
          <w:color w:val="000000" w:themeColor="text1"/>
          <w:sz w:val="16"/>
          <w:szCs w:val="16"/>
        </w:rPr>
        <w:t>, однако было очевидно, что пятеро осужденных при всей своей квалификации не справятся с грандиозными задачами. По крайней мере в сентябре 1929 года (перед судом или после — неизвестно) Д. П. Григоровичу было предложено составить списки авиационных работников, которых следовало привлечь к выполнению особого задания правительства. Григорович не был посвящён в окончательный замысел ОГПУ и не мог предположить, что произойдет, когда списки будут готовы.</w:t>
      </w:r>
    </w:p>
    <w:p w14:paraId="4A7E3F8C" w14:textId="77777777" w:rsidR="0064324B" w:rsidRPr="00A259BD" w:rsidRDefault="0064324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произошли новые аресты. В октябре 1929 года в Ленинграде был взят под стражу бывший сотрудник ОМОС </w:t>
      </w:r>
      <w:hyperlink r:id="rId170" w:tooltip="Михельсон, Николай Густавович" w:history="1">
        <w:r w:rsidRPr="00A259BD">
          <w:rPr>
            <w:rStyle w:val="a5"/>
            <w:rFonts w:ascii="Times New Roman" w:hAnsi="Times New Roman"/>
            <w:color w:val="000000" w:themeColor="text1"/>
            <w:sz w:val="16"/>
            <w:szCs w:val="16"/>
          </w:rPr>
          <w:t>Н. Г. Михельсон</w:t>
        </w:r>
      </w:hyperlink>
      <w:r w:rsidRPr="00A259BD">
        <w:rPr>
          <w:rFonts w:ascii="Times New Roman" w:hAnsi="Times New Roman"/>
          <w:color w:val="000000" w:themeColor="text1"/>
          <w:sz w:val="16"/>
          <w:szCs w:val="16"/>
        </w:rPr>
        <w:t>, который был соавтором первых летающих лодок Д. П. Григоровича, построенных на заводе «Гамаюн». В Москве взяли начальника ОСС </w:t>
      </w:r>
      <w:hyperlink r:id="rId171" w:tooltip="Поликарпов, Николай Николаевич" w:history="1">
        <w:r w:rsidRPr="00A259BD">
          <w:rPr>
            <w:rStyle w:val="a5"/>
            <w:rFonts w:ascii="Times New Roman" w:hAnsi="Times New Roman"/>
            <w:color w:val="000000" w:themeColor="text1"/>
            <w:sz w:val="16"/>
            <w:szCs w:val="16"/>
          </w:rPr>
          <w:t>Н. Н. Поликарпова</w:t>
        </w:r>
      </w:hyperlink>
      <w:r w:rsidRPr="00A259BD">
        <w:rPr>
          <w:rFonts w:ascii="Times New Roman" w:hAnsi="Times New Roman"/>
          <w:color w:val="000000" w:themeColor="text1"/>
          <w:sz w:val="16"/>
          <w:szCs w:val="16"/>
        </w:rPr>
        <w:t> и его сослуживцев — И. М. Косткина, В. А. </w:t>
      </w:r>
      <w:proofErr w:type="spellStart"/>
      <w:r w:rsidRPr="00A259BD">
        <w:rPr>
          <w:rFonts w:ascii="Times New Roman" w:hAnsi="Times New Roman"/>
          <w:color w:val="000000" w:themeColor="text1"/>
          <w:sz w:val="16"/>
          <w:szCs w:val="16"/>
        </w:rPr>
        <w:t>Тисова</w:t>
      </w:r>
      <w:proofErr w:type="spellEnd"/>
      <w:r w:rsidRPr="00A259BD">
        <w:rPr>
          <w:rFonts w:ascii="Times New Roman" w:hAnsi="Times New Roman"/>
          <w:color w:val="000000" w:themeColor="text1"/>
          <w:sz w:val="16"/>
          <w:szCs w:val="16"/>
        </w:rPr>
        <w:t>, Е. И. </w:t>
      </w:r>
      <w:proofErr w:type="spellStart"/>
      <w:r w:rsidRPr="00A259BD">
        <w:rPr>
          <w:rFonts w:ascii="Times New Roman" w:hAnsi="Times New Roman"/>
          <w:color w:val="000000" w:themeColor="text1"/>
          <w:sz w:val="16"/>
          <w:szCs w:val="16"/>
        </w:rPr>
        <w:t>Майоранова</w:t>
      </w:r>
      <w:proofErr w:type="spellEnd"/>
      <w:r w:rsidRPr="00A259BD">
        <w:rPr>
          <w:rFonts w:ascii="Times New Roman" w:hAnsi="Times New Roman"/>
          <w:color w:val="000000" w:themeColor="text1"/>
          <w:sz w:val="16"/>
          <w:szCs w:val="16"/>
        </w:rPr>
        <w:t>, В. Ф. Гончарова, П. М. </w:t>
      </w:r>
      <w:proofErr w:type="spellStart"/>
      <w:r w:rsidRPr="00A259BD">
        <w:rPr>
          <w:rFonts w:ascii="Times New Roman" w:hAnsi="Times New Roman"/>
          <w:color w:val="000000" w:themeColor="text1"/>
          <w:sz w:val="16"/>
          <w:szCs w:val="16"/>
        </w:rPr>
        <w:t>Крейсона</w:t>
      </w:r>
      <w:proofErr w:type="spellEnd"/>
      <w:r w:rsidRPr="00A259BD">
        <w:rPr>
          <w:rFonts w:ascii="Times New Roman" w:hAnsi="Times New Roman"/>
          <w:color w:val="000000" w:themeColor="text1"/>
          <w:sz w:val="16"/>
          <w:szCs w:val="16"/>
        </w:rPr>
        <w:t>, В. В. Калинина. Несколько позже арестовали ведущего специалиста в СССР по самолетному вооружению А. В. </w:t>
      </w:r>
      <w:proofErr w:type="spellStart"/>
      <w:r w:rsidRPr="00A259BD">
        <w:rPr>
          <w:rFonts w:ascii="Times New Roman" w:hAnsi="Times New Roman"/>
          <w:color w:val="000000" w:themeColor="text1"/>
          <w:sz w:val="16"/>
          <w:szCs w:val="16"/>
        </w:rPr>
        <w:t>Надашкевича</w:t>
      </w:r>
      <w:proofErr w:type="spellEnd"/>
      <w:r w:rsidRPr="00A259BD">
        <w:rPr>
          <w:rFonts w:ascii="Times New Roman" w:hAnsi="Times New Roman"/>
          <w:color w:val="000000" w:themeColor="text1"/>
          <w:sz w:val="16"/>
          <w:szCs w:val="16"/>
        </w:rPr>
        <w:t>. Доказательствами их вины следователи теперь себя не утруждали. Судебные заседания коллегии ОГПУ начались уже в ноябре, и к декабрю все было закончено. Приговоры были самые разнообразные, но в отличие от группы Григоровича, без какой-либо ясной мотивации. Так, Н. Н. Поликарпов, которому невозможно было предъявить и половины того, что было поставлено в вину Григоровичу, был тем не менее приговорен к расстрелу. Задача была простая. Тот процесс деморализации, которому фигуранты по делу Григоровича подвергались почти в течение года, новая партия заключенных должна была пройти ударными темпами за две — три недели. Когда подготовительный период был завершен и, с точки зрения «психологов» </w:t>
      </w:r>
      <w:hyperlink r:id="rId172" w:tooltip="ОГПУ при СНК СССР" w:history="1">
        <w:r w:rsidRPr="00A259BD">
          <w:rPr>
            <w:rStyle w:val="a5"/>
            <w:rFonts w:ascii="Times New Roman" w:hAnsi="Times New Roman"/>
            <w:color w:val="000000" w:themeColor="text1"/>
            <w:sz w:val="16"/>
            <w:szCs w:val="16"/>
          </w:rPr>
          <w:t>ОГПУ</w:t>
        </w:r>
      </w:hyperlink>
      <w:r w:rsidRPr="00A259BD">
        <w:rPr>
          <w:rFonts w:ascii="Times New Roman" w:hAnsi="Times New Roman"/>
          <w:color w:val="000000" w:themeColor="text1"/>
          <w:sz w:val="16"/>
          <w:szCs w:val="16"/>
        </w:rPr>
        <w:t>, коллектив (где все пока сидели по одиночным камерам и даже не догадывались, что они члены коллектива) был полностью готов к «творческим свершениям», в последний осенний день 1929 года произошло рождение первого отечественного Особого конструкторского бюро (ОКБ ОГПУ), или иначе — </w:t>
      </w:r>
      <w:hyperlink r:id="rId173" w:tooltip="Шарашка" w:history="1">
        <w:r w:rsidRPr="00A259BD">
          <w:rPr>
            <w:rStyle w:val="a5"/>
            <w:rFonts w:ascii="Times New Roman" w:hAnsi="Times New Roman"/>
            <w:color w:val="000000" w:themeColor="text1"/>
            <w:sz w:val="16"/>
            <w:szCs w:val="16"/>
          </w:rPr>
          <w:t>«шараги»</w:t>
        </w:r>
      </w:hyperlink>
      <w:r w:rsidRPr="00A259BD">
        <w:rPr>
          <w:rFonts w:ascii="Times New Roman" w:hAnsi="Times New Roman"/>
          <w:color w:val="000000" w:themeColor="text1"/>
          <w:sz w:val="16"/>
          <w:szCs w:val="16"/>
        </w:rPr>
        <w:t xml:space="preserve"> (18530).</w:t>
      </w:r>
    </w:p>
    <w:p w14:paraId="6858CCE7" w14:textId="77777777" w:rsidR="0064324B" w:rsidRPr="00A259BD" w:rsidRDefault="0064324B" w:rsidP="009236E3">
      <w:pPr>
        <w:spacing w:after="0" w:line="240" w:lineRule="auto"/>
        <w:jc w:val="both"/>
        <w:rPr>
          <w:rFonts w:ascii="Times New Roman" w:hAnsi="Times New Roman"/>
          <w:color w:val="000000" w:themeColor="text1"/>
          <w:sz w:val="16"/>
          <w:szCs w:val="16"/>
        </w:rPr>
      </w:pPr>
    </w:p>
    <w:p w14:paraId="31B99B1A" w14:textId="77777777" w:rsidR="005A5C20"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87FFE7A" w14:textId="77777777" w:rsidR="005A5C20" w:rsidRPr="00A259BD" w:rsidRDefault="005A5C2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52537B" w14:textId="77777777" w:rsidR="0064324B" w:rsidRPr="00A259BD" w:rsidRDefault="0064324B"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К осени 1929 года был готов первый образец Т-17. Несмотря на неполадки, танкетка была испытана пробегом в январе 1930 г., а затем - в июне того же года, и показала лучшую подвижность, чем танк Т-18, однако одним из наиболее крупных недостатков танкетки стал одноместный кузов. Поэтому одна из трех танкеток, заказанных к лету 1930 г., должна была стать уже двухместной. Второй вариант Т-17 имел резиновую гусеницу типа "</w:t>
      </w:r>
      <w:proofErr w:type="spellStart"/>
      <w:r w:rsidRPr="00A259BD">
        <w:rPr>
          <w:rFonts w:ascii="Times New Roman" w:hAnsi="Times New Roman"/>
          <w:color w:val="000000" w:themeColor="text1"/>
          <w:sz w:val="16"/>
          <w:szCs w:val="16"/>
          <w:shd w:val="clear" w:color="auto" w:fill="FFFFFF"/>
        </w:rPr>
        <w:t>Кегресс</w:t>
      </w:r>
      <w:proofErr w:type="spellEnd"/>
      <w:r w:rsidRPr="00A259BD">
        <w:rPr>
          <w:rFonts w:ascii="Times New Roman" w:hAnsi="Times New Roman"/>
          <w:color w:val="000000" w:themeColor="text1"/>
          <w:sz w:val="16"/>
          <w:szCs w:val="16"/>
          <w:shd w:val="clear" w:color="auto" w:fill="FFFFFF"/>
        </w:rPr>
        <w:t>". Серийное производство Т-17 сочли нецелесообразным и было принято решение о продолжении работ над двухместной танкеткой с использованием стандартных узлов Т-18 (19553).</w:t>
      </w:r>
    </w:p>
    <w:p w14:paraId="6E596242" w14:textId="77777777" w:rsidR="0064324B" w:rsidRPr="00A259BD" w:rsidRDefault="0064324B" w:rsidP="009236E3">
      <w:pPr>
        <w:spacing w:after="0" w:line="240" w:lineRule="auto"/>
        <w:jc w:val="both"/>
        <w:rPr>
          <w:rFonts w:ascii="Times New Roman" w:hAnsi="Times New Roman"/>
          <w:color w:val="000000" w:themeColor="text1"/>
          <w:sz w:val="16"/>
          <w:szCs w:val="16"/>
          <w:shd w:val="clear" w:color="auto" w:fill="FFFFFF"/>
        </w:rPr>
      </w:pPr>
    </w:p>
    <w:p w14:paraId="761B703D" w14:textId="77777777" w:rsidR="005A5C20" w:rsidRPr="00A259BD" w:rsidRDefault="005A5C20" w:rsidP="009236E3">
      <w:pPr>
        <w:pStyle w:val="ae"/>
        <w:spacing w:before="0" w:after="0"/>
        <w:jc w:val="both"/>
        <w:rPr>
          <w:color w:val="000000" w:themeColor="text1"/>
          <w:sz w:val="16"/>
          <w:szCs w:val="16"/>
        </w:rPr>
      </w:pPr>
      <w:r w:rsidRPr="00A259BD">
        <w:rPr>
          <w:color w:val="000000" w:themeColor="text1"/>
          <w:sz w:val="16"/>
          <w:szCs w:val="16"/>
        </w:rPr>
        <w:t xml:space="preserve">К осени 1929 г. сформировали Военно-морскую часть завода «Электроприбор», для чего сюда был переведен военно-морской отдел завода «Красная Заря». Первоначально большая часть внимания ее сотрудников под руководством С.А. </w:t>
      </w:r>
      <w:proofErr w:type="spellStart"/>
      <w:r w:rsidRPr="00A259BD">
        <w:rPr>
          <w:color w:val="000000" w:themeColor="text1"/>
          <w:sz w:val="16"/>
          <w:szCs w:val="16"/>
        </w:rPr>
        <w:t>Изенбека</w:t>
      </w:r>
      <w:proofErr w:type="spellEnd"/>
      <w:r w:rsidRPr="00A259BD">
        <w:rPr>
          <w:color w:val="000000" w:themeColor="text1"/>
          <w:sz w:val="16"/>
          <w:szCs w:val="16"/>
        </w:rPr>
        <w:t xml:space="preserve"> была уделена разработке систем ПУС для береговой артиллерии. Были созданы системы ПУС железнодорожных («Дуга») и стационарных («Баррикада») береговых батарей среднего калибра; береговых батарей крупного калибра («Бугель», «Бомба», «Бот»). Затем приступили и к ПУС корабельной артиллерии, в частности для крейсера «Красный Кавказ» (15736).</w:t>
      </w:r>
    </w:p>
    <w:p w14:paraId="15ADD484" w14:textId="77777777" w:rsidR="005A5C20" w:rsidRPr="00A259BD" w:rsidRDefault="005A5C20" w:rsidP="009236E3">
      <w:pPr>
        <w:pStyle w:val="ae"/>
        <w:spacing w:before="0" w:after="0"/>
        <w:jc w:val="both"/>
        <w:rPr>
          <w:color w:val="000000" w:themeColor="text1"/>
          <w:sz w:val="16"/>
          <w:szCs w:val="16"/>
        </w:rPr>
      </w:pPr>
    </w:p>
    <w:p w14:paraId="48BE854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00BA68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0113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сентября 1929 начались испытания КАСКР-1 (Камов - </w:t>
      </w:r>
      <w:proofErr w:type="spellStart"/>
      <w:r w:rsidRPr="00A259BD">
        <w:rPr>
          <w:rFonts w:ascii="Times New Roman" w:hAnsi="Times New Roman"/>
          <w:color w:val="000000" w:themeColor="text1"/>
          <w:sz w:val="16"/>
          <w:szCs w:val="16"/>
        </w:rPr>
        <w:t>И.К.Скржинский</w:t>
      </w:r>
      <w:proofErr w:type="spellEnd"/>
      <w:r w:rsidRPr="00A259BD">
        <w:rPr>
          <w:rFonts w:ascii="Times New Roman" w:hAnsi="Times New Roman"/>
          <w:color w:val="000000" w:themeColor="text1"/>
          <w:sz w:val="16"/>
          <w:szCs w:val="16"/>
        </w:rPr>
        <w:t xml:space="preserve">) (63,46). Переделали из У-1 с М-2 120 </w:t>
      </w:r>
      <w:proofErr w:type="spellStart"/>
      <w:r w:rsidRPr="00A259BD">
        <w:rPr>
          <w:rFonts w:ascii="Times New Roman" w:hAnsi="Times New Roman"/>
          <w:color w:val="000000" w:themeColor="text1"/>
          <w:sz w:val="16"/>
          <w:szCs w:val="16"/>
        </w:rPr>
        <w:t>нр</w:t>
      </w:r>
      <w:proofErr w:type="spellEnd"/>
      <w:r w:rsidRPr="00A259BD">
        <w:rPr>
          <w:rFonts w:ascii="Times New Roman" w:hAnsi="Times New Roman"/>
          <w:color w:val="000000" w:themeColor="text1"/>
          <w:sz w:val="16"/>
          <w:szCs w:val="16"/>
        </w:rPr>
        <w:t xml:space="preserve">. Летал </w:t>
      </w:r>
      <w:proofErr w:type="spellStart"/>
      <w:r w:rsidRPr="00A259BD">
        <w:rPr>
          <w:rFonts w:ascii="Times New Roman" w:hAnsi="Times New Roman"/>
          <w:color w:val="000000" w:themeColor="text1"/>
          <w:sz w:val="16"/>
          <w:szCs w:val="16"/>
        </w:rPr>
        <w:t>И.В.Михеев</w:t>
      </w:r>
      <w:proofErr w:type="spellEnd"/>
      <w:r w:rsidRPr="00A259BD">
        <w:rPr>
          <w:rFonts w:ascii="Times New Roman" w:hAnsi="Times New Roman"/>
          <w:color w:val="000000" w:themeColor="text1"/>
          <w:sz w:val="16"/>
          <w:szCs w:val="16"/>
        </w:rPr>
        <w:t xml:space="preserve">. Сделали 3-4 полета на 2-3 м. 26 октября - сломали и испытания закончились (438,600). Вывезли на аэродром. Сделали - - за три месяца и неделю. В ходе производства были приостановки “Машина не входит в план работ по военным заказам и ее изготовление не является срочным. </w:t>
      </w:r>
      <w:proofErr w:type="spellStart"/>
      <w:r w:rsidRPr="00A259BD">
        <w:rPr>
          <w:rFonts w:ascii="Times New Roman" w:hAnsi="Times New Roman"/>
          <w:color w:val="000000" w:themeColor="text1"/>
          <w:sz w:val="16"/>
          <w:szCs w:val="16"/>
        </w:rPr>
        <w:t>Н.И.Камов</w:t>
      </w:r>
      <w:proofErr w:type="spellEnd"/>
      <w:r w:rsidRPr="00A259BD">
        <w:rPr>
          <w:rFonts w:ascii="Times New Roman" w:hAnsi="Times New Roman"/>
          <w:color w:val="000000" w:themeColor="text1"/>
          <w:sz w:val="16"/>
          <w:szCs w:val="16"/>
        </w:rPr>
        <w:t xml:space="preserve"> жаловался П.И.Б. (8320,17).</w:t>
      </w:r>
    </w:p>
    <w:p w14:paraId="465E18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E138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сентября 1929 г. КАСКР выкатили на аэродром. Так получилось, что его сразу поставили хвостом к ветру, и ротор начал вращаться хвостиками лопастей вперед. Конструкторы среагировали быстро: остановили ротор, руками раскрутили его в нужном направлении. Под порывами ветра ротор стал быстро набирать обороты и лопнули поддерживающие </w:t>
      </w:r>
      <w:proofErr w:type="spellStart"/>
      <w:r w:rsidRPr="00A259BD">
        <w:rPr>
          <w:rFonts w:ascii="Times New Roman" w:hAnsi="Times New Roman"/>
          <w:color w:val="000000" w:themeColor="text1"/>
          <w:sz w:val="16"/>
          <w:szCs w:val="16"/>
        </w:rPr>
        <w:t>троссы</w:t>
      </w:r>
      <w:proofErr w:type="spellEnd"/>
      <w:r w:rsidRPr="00A259BD">
        <w:rPr>
          <w:rFonts w:ascii="Times New Roman" w:hAnsi="Times New Roman"/>
          <w:color w:val="000000" w:themeColor="text1"/>
          <w:sz w:val="16"/>
          <w:szCs w:val="16"/>
        </w:rPr>
        <w:t xml:space="preserve"> (9975).</w:t>
      </w:r>
    </w:p>
    <w:p w14:paraId="353918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A6F66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сентября 1929 в первом вылете автожир КАСКР (Камов - </w:t>
      </w:r>
      <w:proofErr w:type="spellStart"/>
      <w:r w:rsidRPr="00A259BD">
        <w:rPr>
          <w:rFonts w:ascii="Times New Roman" w:hAnsi="Times New Roman"/>
          <w:color w:val="000000" w:themeColor="text1"/>
          <w:sz w:val="16"/>
          <w:szCs w:val="16"/>
        </w:rPr>
        <w:t>Скрижинский</w:t>
      </w:r>
      <w:proofErr w:type="spellEnd"/>
      <w:r w:rsidRPr="00A259BD">
        <w:rPr>
          <w:rFonts w:ascii="Times New Roman" w:hAnsi="Times New Roman"/>
          <w:color w:val="000000" w:themeColor="text1"/>
          <w:sz w:val="16"/>
          <w:szCs w:val="16"/>
        </w:rPr>
        <w:t xml:space="preserve">), получившем собственное имя «Красный инженер» (по своей схеме, размерам, параметрам и конструктивной схеме эта машина полностью повторяла один из автожиров </w:t>
      </w:r>
      <w:proofErr w:type="spellStart"/>
      <w:r w:rsidRPr="00A259BD">
        <w:rPr>
          <w:rFonts w:ascii="Times New Roman" w:hAnsi="Times New Roman"/>
          <w:color w:val="000000" w:themeColor="text1"/>
          <w:sz w:val="16"/>
          <w:szCs w:val="16"/>
        </w:rPr>
        <w:t>Сиерва</w:t>
      </w:r>
      <w:proofErr w:type="spellEnd"/>
      <w:r w:rsidRPr="00A259BD">
        <w:rPr>
          <w:rFonts w:ascii="Times New Roman" w:hAnsi="Times New Roman"/>
          <w:color w:val="000000" w:themeColor="text1"/>
          <w:sz w:val="16"/>
          <w:szCs w:val="16"/>
        </w:rPr>
        <w:t xml:space="preserve"> - С-8), который и продолжался всего 80 секунд, участвовали сам Камов и летчик Михеев. Из-за недостаточной устойчивости </w:t>
      </w:r>
      <w:proofErr w:type="spellStart"/>
      <w:r w:rsidRPr="00A259BD">
        <w:rPr>
          <w:rFonts w:ascii="Times New Roman" w:hAnsi="Times New Roman"/>
          <w:color w:val="000000" w:themeColor="text1"/>
          <w:sz w:val="16"/>
          <w:szCs w:val="16"/>
        </w:rPr>
        <w:t>КАСКРа</w:t>
      </w:r>
      <w:proofErr w:type="spellEnd"/>
      <w:r w:rsidRPr="00A259BD">
        <w:rPr>
          <w:rFonts w:ascii="Times New Roman" w:hAnsi="Times New Roman"/>
          <w:color w:val="000000" w:themeColor="text1"/>
          <w:sz w:val="16"/>
          <w:szCs w:val="16"/>
        </w:rPr>
        <w:t xml:space="preserve"> во время взлета 12 октября случилась авария и автожир перевернулся. Пилоты отделались лишь ушибами, и после ремонта и доработок испытания продолжались. Н. И. Камову удалось заручиться согласием руководства НИИ ВВС о выделении ему двух инженеров по испытаниям, а также откомандировании на полеты летчика-испытателя </w:t>
      </w:r>
      <w:proofErr w:type="spellStart"/>
      <w:r w:rsidRPr="00A259BD">
        <w:rPr>
          <w:rFonts w:ascii="Times New Roman" w:hAnsi="Times New Roman"/>
          <w:color w:val="000000" w:themeColor="text1"/>
          <w:sz w:val="16"/>
          <w:szCs w:val="16"/>
        </w:rPr>
        <w:t>Д.А.Кошица</w:t>
      </w:r>
      <w:proofErr w:type="spellEnd"/>
      <w:r w:rsidRPr="00A259BD">
        <w:rPr>
          <w:rFonts w:ascii="Times New Roman" w:hAnsi="Times New Roman"/>
          <w:color w:val="000000" w:themeColor="text1"/>
          <w:sz w:val="16"/>
          <w:szCs w:val="16"/>
        </w:rPr>
        <w:t xml:space="preserve">. Однажды, 2 сентября 1930 г., на полет «Красного инженера» приехал посмотреть начальник ВВС РККА П. И. Баранов, и машина не подвела. КАСКР выполнил на высоте 12 - 15 м три полета продолжительностью секунд по тридцать каждый. Показательный полет не прошел напрасно. Командующий Красным воздушным флотом помог достать для автожира новый двигатель «Титан» (235 </w:t>
      </w:r>
      <w:proofErr w:type="spellStart"/>
      <w:r w:rsidRPr="00A259BD">
        <w:rPr>
          <w:rFonts w:ascii="Times New Roman" w:hAnsi="Times New Roman"/>
          <w:color w:val="000000" w:themeColor="text1"/>
          <w:sz w:val="16"/>
          <w:szCs w:val="16"/>
        </w:rPr>
        <w:t>л.с</w:t>
      </w:r>
      <w:proofErr w:type="spellEnd"/>
      <w:r w:rsidRPr="00A259BD">
        <w:rPr>
          <w:rFonts w:ascii="Times New Roman" w:hAnsi="Times New Roman"/>
          <w:color w:val="000000" w:themeColor="text1"/>
          <w:sz w:val="16"/>
          <w:szCs w:val="16"/>
        </w:rPr>
        <w:t xml:space="preserve">), поскольку мощность старого «Рона» (120 л.с.) была явно недостаточной. С новым мотором автожир стал называться КАСКР-2 и впервые поднялся в воздух 11 января 1931 г. 21 мая 1931 г. на Центральном аэродроме в Тушино автожир Камова и </w:t>
      </w:r>
      <w:proofErr w:type="spellStart"/>
      <w:r w:rsidRPr="00A259BD">
        <w:rPr>
          <w:rFonts w:ascii="Times New Roman" w:hAnsi="Times New Roman"/>
          <w:color w:val="000000" w:themeColor="text1"/>
          <w:sz w:val="16"/>
          <w:szCs w:val="16"/>
        </w:rPr>
        <w:t>Скрижинского</w:t>
      </w:r>
      <w:proofErr w:type="spellEnd"/>
      <w:r w:rsidRPr="00A259BD">
        <w:rPr>
          <w:rFonts w:ascii="Times New Roman" w:hAnsi="Times New Roman"/>
          <w:color w:val="000000" w:themeColor="text1"/>
          <w:sz w:val="16"/>
          <w:szCs w:val="16"/>
        </w:rPr>
        <w:t xml:space="preserve"> участвовал в показе новейшей авиационной техники руководству страны. Сталин, Ворошилов и Молотов обходили длинную шеренгу истребителей и бомбардировщиков, а замыкал «парад» необычный винтокрылый аппарат. Камов сам доложил Сталину о машине, и «лучший друг советских авиаторов» очень заинтересовался </w:t>
      </w:r>
      <w:proofErr w:type="spellStart"/>
      <w:r w:rsidRPr="00A259BD">
        <w:rPr>
          <w:rFonts w:ascii="Times New Roman" w:hAnsi="Times New Roman"/>
          <w:color w:val="000000" w:themeColor="text1"/>
          <w:sz w:val="16"/>
          <w:szCs w:val="16"/>
        </w:rPr>
        <w:t>КАСКРом</w:t>
      </w:r>
      <w:proofErr w:type="spellEnd"/>
      <w:r w:rsidRPr="00A259BD">
        <w:rPr>
          <w:rFonts w:ascii="Times New Roman" w:hAnsi="Times New Roman"/>
          <w:color w:val="000000" w:themeColor="text1"/>
          <w:sz w:val="16"/>
          <w:szCs w:val="16"/>
        </w:rPr>
        <w:t>. Поддержал конструктора эффектным полетом и Кошиц. Сделав три круга над аэродромом, летчик красиво спланировал и посадил КАСКР-2 вблизи трибуны с членами правительства, совершив пробег на посадке всего в несколько метров. Позже Баранов рассказывал, что автожир очень понравился высокому руководству и, в первую очередь, Сталину (11860).</w:t>
      </w:r>
    </w:p>
    <w:p w14:paraId="4EAA43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2405E70" w14:textId="77777777" w:rsidR="00A66A25" w:rsidRPr="00A259BD" w:rsidRDefault="00A66A2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сентября 1929 г. первый день испытаний КАСКР, для проведения которых пригласили из</w:t>
      </w:r>
      <w:r w:rsidRPr="00A259BD">
        <w:rPr>
          <w:rFonts w:ascii="Times New Roman" w:hAnsi="Times New Roman"/>
          <w:color w:val="000000" w:themeColor="text1"/>
          <w:sz w:val="16"/>
          <w:szCs w:val="16"/>
        </w:rPr>
        <w:softHyphen/>
        <w:t>вестного летчика И. Михеева, закончился неудачей - при раскрут</w:t>
      </w:r>
      <w:r w:rsidRPr="00A259BD">
        <w:rPr>
          <w:rFonts w:ascii="Times New Roman" w:hAnsi="Times New Roman"/>
          <w:color w:val="000000" w:themeColor="text1"/>
          <w:sz w:val="16"/>
          <w:szCs w:val="16"/>
        </w:rPr>
        <w:softHyphen/>
        <w:t>ке ротора оборвались поддерживающие тросовые растяжки (20361).</w:t>
      </w:r>
    </w:p>
    <w:p w14:paraId="4A73B20C" w14:textId="77777777" w:rsidR="00A66A25" w:rsidRPr="00A259BD" w:rsidRDefault="00A66A25" w:rsidP="009236E3">
      <w:pPr>
        <w:shd w:val="clear" w:color="auto" w:fill="FFFFFF"/>
        <w:spacing w:after="0" w:line="240" w:lineRule="auto"/>
        <w:jc w:val="both"/>
        <w:rPr>
          <w:rFonts w:ascii="Times New Roman" w:hAnsi="Times New Roman"/>
          <w:color w:val="000000" w:themeColor="text1"/>
          <w:sz w:val="16"/>
          <w:szCs w:val="16"/>
        </w:rPr>
      </w:pPr>
    </w:p>
    <w:p w14:paraId="0527D081" w14:textId="51CF913C" w:rsidR="00273483" w:rsidRPr="006B74EB" w:rsidRDefault="00273483" w:rsidP="00273483">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1 сентября</w:t>
      </w:r>
      <w:r>
        <w:rPr>
          <w:rFonts w:ascii="Times New Roman" w:hAnsi="Times New Roman"/>
          <w:color w:val="0070C0"/>
          <w:sz w:val="16"/>
          <w:szCs w:val="16"/>
        </w:rPr>
        <w:t xml:space="preserve"> 1929 г</w:t>
      </w:r>
      <w:r w:rsidRPr="006B74EB">
        <w:rPr>
          <w:rFonts w:ascii="Times New Roman" w:hAnsi="Times New Roman"/>
          <w:color w:val="0070C0"/>
          <w:sz w:val="16"/>
          <w:szCs w:val="16"/>
        </w:rPr>
        <w:t>.</w:t>
      </w:r>
      <w:r>
        <w:rPr>
          <w:rFonts w:ascii="Times New Roman" w:hAnsi="Times New Roman"/>
          <w:color w:val="0070C0"/>
          <w:sz w:val="16"/>
          <w:szCs w:val="16"/>
        </w:rPr>
        <w:t xml:space="preserve"> н</w:t>
      </w:r>
      <w:r w:rsidRPr="006B74EB">
        <w:rPr>
          <w:rFonts w:ascii="Times New Roman" w:hAnsi="Times New Roman"/>
          <w:color w:val="0070C0"/>
          <w:sz w:val="16"/>
          <w:szCs w:val="16"/>
        </w:rPr>
        <w:t xml:space="preserve">ачались летные испытания первого советского автожира </w:t>
      </w:r>
      <w:r>
        <w:rPr>
          <w:rFonts w:ascii="Times New Roman" w:hAnsi="Times New Roman"/>
          <w:color w:val="0070C0"/>
          <w:sz w:val="16"/>
          <w:szCs w:val="16"/>
        </w:rPr>
        <w:t>КАСКР</w:t>
      </w:r>
      <w:r w:rsidRPr="006B74EB">
        <w:rPr>
          <w:rFonts w:ascii="Times New Roman" w:hAnsi="Times New Roman"/>
          <w:color w:val="0070C0"/>
          <w:sz w:val="16"/>
          <w:szCs w:val="16"/>
        </w:rPr>
        <w:t xml:space="preserve">-1 конструкции инженеров </w:t>
      </w:r>
      <w:r>
        <w:rPr>
          <w:rFonts w:ascii="Times New Roman" w:hAnsi="Times New Roman"/>
          <w:color w:val="0070C0"/>
          <w:sz w:val="16"/>
          <w:szCs w:val="16"/>
        </w:rPr>
        <w:t>Н</w:t>
      </w:r>
      <w:r w:rsidRPr="006B74EB">
        <w:rPr>
          <w:rFonts w:ascii="Times New Roman" w:hAnsi="Times New Roman"/>
          <w:color w:val="0070C0"/>
          <w:sz w:val="16"/>
          <w:szCs w:val="16"/>
        </w:rPr>
        <w:t>ик</w:t>
      </w:r>
      <w:r>
        <w:rPr>
          <w:rFonts w:ascii="Times New Roman" w:hAnsi="Times New Roman"/>
          <w:color w:val="0070C0"/>
          <w:sz w:val="16"/>
          <w:szCs w:val="16"/>
        </w:rPr>
        <w:t>о</w:t>
      </w:r>
      <w:r w:rsidRPr="006B74EB">
        <w:rPr>
          <w:rFonts w:ascii="Times New Roman" w:hAnsi="Times New Roman"/>
          <w:color w:val="0070C0"/>
          <w:sz w:val="16"/>
          <w:szCs w:val="16"/>
        </w:rPr>
        <w:t xml:space="preserve">лая Ильича </w:t>
      </w:r>
      <w:r>
        <w:rPr>
          <w:rFonts w:ascii="Times New Roman" w:hAnsi="Times New Roman"/>
          <w:color w:val="0070C0"/>
          <w:sz w:val="16"/>
          <w:szCs w:val="16"/>
        </w:rPr>
        <w:t>К</w:t>
      </w:r>
      <w:r w:rsidRPr="006B74EB">
        <w:rPr>
          <w:rFonts w:ascii="Times New Roman" w:hAnsi="Times New Roman"/>
          <w:color w:val="0070C0"/>
          <w:sz w:val="16"/>
          <w:szCs w:val="16"/>
        </w:rPr>
        <w:t>а</w:t>
      </w:r>
      <w:r>
        <w:rPr>
          <w:rFonts w:ascii="Times New Roman" w:hAnsi="Times New Roman"/>
          <w:color w:val="0070C0"/>
          <w:sz w:val="16"/>
          <w:szCs w:val="16"/>
        </w:rPr>
        <w:t>м</w:t>
      </w:r>
      <w:r w:rsidRPr="006B74EB">
        <w:rPr>
          <w:rFonts w:ascii="Times New Roman" w:hAnsi="Times New Roman"/>
          <w:color w:val="0070C0"/>
          <w:sz w:val="16"/>
          <w:szCs w:val="16"/>
        </w:rPr>
        <w:t xml:space="preserve">ова </w:t>
      </w:r>
      <w:r>
        <w:rPr>
          <w:rFonts w:ascii="Times New Roman" w:hAnsi="Times New Roman"/>
          <w:color w:val="0070C0"/>
          <w:sz w:val="16"/>
          <w:szCs w:val="16"/>
        </w:rPr>
        <w:t>и</w:t>
      </w:r>
      <w:r w:rsidRPr="006B74EB">
        <w:rPr>
          <w:rFonts w:ascii="Times New Roman" w:hAnsi="Times New Roman"/>
          <w:color w:val="0070C0"/>
          <w:sz w:val="16"/>
          <w:szCs w:val="16"/>
        </w:rPr>
        <w:t xml:space="preserve"> Николая К</w:t>
      </w:r>
      <w:r>
        <w:rPr>
          <w:rFonts w:ascii="Times New Roman" w:hAnsi="Times New Roman"/>
          <w:color w:val="0070C0"/>
          <w:sz w:val="16"/>
          <w:szCs w:val="16"/>
        </w:rPr>
        <w:t xml:space="preserve">ирилловича </w:t>
      </w:r>
      <w:proofErr w:type="spellStart"/>
      <w:r w:rsidRPr="006B74EB">
        <w:rPr>
          <w:rFonts w:ascii="Times New Roman" w:hAnsi="Times New Roman"/>
          <w:color w:val="0070C0"/>
          <w:sz w:val="16"/>
          <w:szCs w:val="16"/>
        </w:rPr>
        <w:t>Скрж</w:t>
      </w:r>
      <w:r>
        <w:rPr>
          <w:rFonts w:ascii="Times New Roman" w:hAnsi="Times New Roman"/>
          <w:color w:val="0070C0"/>
          <w:sz w:val="16"/>
          <w:szCs w:val="16"/>
        </w:rPr>
        <w:t>и</w:t>
      </w:r>
      <w:r w:rsidRPr="006B74EB">
        <w:rPr>
          <w:rFonts w:ascii="Times New Roman" w:hAnsi="Times New Roman"/>
          <w:color w:val="0070C0"/>
          <w:sz w:val="16"/>
          <w:szCs w:val="16"/>
        </w:rPr>
        <w:t>нского</w:t>
      </w:r>
      <w:proofErr w:type="spellEnd"/>
      <w:r>
        <w:rPr>
          <w:rFonts w:ascii="Times New Roman" w:hAnsi="Times New Roman"/>
          <w:color w:val="0070C0"/>
          <w:sz w:val="16"/>
          <w:szCs w:val="16"/>
        </w:rPr>
        <w:t>.</w:t>
      </w:r>
      <w:r w:rsidRPr="006B74EB">
        <w:rPr>
          <w:rFonts w:ascii="Times New Roman" w:hAnsi="Times New Roman"/>
          <w:color w:val="0070C0"/>
          <w:sz w:val="16"/>
          <w:szCs w:val="16"/>
        </w:rPr>
        <w:t xml:space="preserve"> Ав</w:t>
      </w:r>
      <w:r>
        <w:rPr>
          <w:rFonts w:ascii="Times New Roman" w:hAnsi="Times New Roman"/>
          <w:color w:val="0070C0"/>
          <w:sz w:val="16"/>
          <w:szCs w:val="16"/>
        </w:rPr>
        <w:t>тожир был переделан из у</w:t>
      </w:r>
      <w:r w:rsidRPr="006B74EB">
        <w:rPr>
          <w:rFonts w:ascii="Times New Roman" w:hAnsi="Times New Roman"/>
          <w:color w:val="0070C0"/>
          <w:sz w:val="16"/>
          <w:szCs w:val="16"/>
        </w:rPr>
        <w:t>чебного самолета</w:t>
      </w:r>
      <w:r>
        <w:rPr>
          <w:rFonts w:ascii="Times New Roman" w:hAnsi="Times New Roman"/>
          <w:color w:val="0070C0"/>
          <w:sz w:val="16"/>
          <w:szCs w:val="16"/>
        </w:rPr>
        <w:t xml:space="preserve"> У-1 путем </w:t>
      </w:r>
      <w:r w:rsidRPr="006B74EB">
        <w:rPr>
          <w:rFonts w:ascii="Times New Roman" w:hAnsi="Times New Roman"/>
          <w:color w:val="0070C0"/>
          <w:sz w:val="16"/>
          <w:szCs w:val="16"/>
        </w:rPr>
        <w:t xml:space="preserve">превращения последнего в низкоплан </w:t>
      </w:r>
      <w:r>
        <w:rPr>
          <w:rFonts w:ascii="Times New Roman" w:hAnsi="Times New Roman"/>
          <w:color w:val="0070C0"/>
          <w:sz w:val="16"/>
          <w:szCs w:val="16"/>
        </w:rPr>
        <w:t>и</w:t>
      </w:r>
      <w:r w:rsidRPr="006B74EB">
        <w:rPr>
          <w:rFonts w:ascii="Times New Roman" w:hAnsi="Times New Roman"/>
          <w:color w:val="0070C0"/>
          <w:sz w:val="16"/>
          <w:szCs w:val="16"/>
        </w:rPr>
        <w:t xml:space="preserve"> установки чет</w:t>
      </w:r>
      <w:r>
        <w:rPr>
          <w:rFonts w:ascii="Times New Roman" w:hAnsi="Times New Roman"/>
          <w:color w:val="0070C0"/>
          <w:sz w:val="16"/>
          <w:szCs w:val="16"/>
        </w:rPr>
        <w:t>ы</w:t>
      </w:r>
      <w:r w:rsidRPr="006B74EB">
        <w:rPr>
          <w:rFonts w:ascii="Times New Roman" w:hAnsi="Times New Roman"/>
          <w:color w:val="0070C0"/>
          <w:sz w:val="16"/>
          <w:szCs w:val="16"/>
        </w:rPr>
        <w:t>рех</w:t>
      </w:r>
      <w:r>
        <w:rPr>
          <w:rFonts w:ascii="Times New Roman" w:hAnsi="Times New Roman"/>
          <w:color w:val="0070C0"/>
          <w:sz w:val="16"/>
          <w:szCs w:val="16"/>
        </w:rPr>
        <w:t>лопастного</w:t>
      </w:r>
      <w:r w:rsidRPr="006B74EB">
        <w:rPr>
          <w:rFonts w:ascii="Times New Roman" w:hAnsi="Times New Roman"/>
          <w:color w:val="0070C0"/>
          <w:sz w:val="16"/>
          <w:szCs w:val="16"/>
        </w:rPr>
        <w:t xml:space="preserve"> ротора </w:t>
      </w:r>
      <w:proofErr w:type="spellStart"/>
      <w:r w:rsidRPr="006B74EB">
        <w:rPr>
          <w:rFonts w:ascii="Times New Roman" w:hAnsi="Times New Roman"/>
          <w:color w:val="0070C0"/>
          <w:sz w:val="16"/>
          <w:szCs w:val="16"/>
        </w:rPr>
        <w:t>расчалочиого</w:t>
      </w:r>
      <w:proofErr w:type="spellEnd"/>
      <w:r w:rsidRPr="006B74EB">
        <w:rPr>
          <w:rFonts w:ascii="Times New Roman" w:hAnsi="Times New Roman"/>
          <w:color w:val="0070C0"/>
          <w:sz w:val="16"/>
          <w:szCs w:val="16"/>
        </w:rPr>
        <w:t xml:space="preserve"> типа.</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Испытывал летчик </w:t>
      </w:r>
      <w:proofErr w:type="spellStart"/>
      <w:r w:rsidRPr="006B74EB">
        <w:rPr>
          <w:rFonts w:ascii="Times New Roman" w:hAnsi="Times New Roman"/>
          <w:color w:val="0070C0"/>
          <w:sz w:val="16"/>
          <w:szCs w:val="16"/>
        </w:rPr>
        <w:t>И.В.Михеев</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w:t>
      </w:r>
      <w:proofErr w:type="spellStart"/>
      <w:r>
        <w:rPr>
          <w:rFonts w:ascii="Times New Roman" w:hAnsi="Times New Roman"/>
          <w:color w:val="0070C0"/>
          <w:sz w:val="16"/>
          <w:szCs w:val="16"/>
        </w:rPr>
        <w:t>С</w:t>
      </w:r>
      <w:r w:rsidRPr="006B74EB">
        <w:rPr>
          <w:rFonts w:ascii="Times New Roman" w:hAnsi="Times New Roman"/>
          <w:color w:val="0070C0"/>
          <w:sz w:val="16"/>
          <w:szCs w:val="16"/>
        </w:rPr>
        <w:t>дсла</w:t>
      </w:r>
      <w:r>
        <w:rPr>
          <w:rFonts w:ascii="Times New Roman" w:hAnsi="Times New Roman"/>
          <w:color w:val="0070C0"/>
          <w:sz w:val="16"/>
          <w:szCs w:val="16"/>
        </w:rPr>
        <w:t>л</w:t>
      </w:r>
      <w:proofErr w:type="spellEnd"/>
      <w:r w:rsidRPr="006B74EB">
        <w:rPr>
          <w:rFonts w:ascii="Times New Roman" w:hAnsi="Times New Roman"/>
          <w:color w:val="0070C0"/>
          <w:sz w:val="16"/>
          <w:szCs w:val="16"/>
        </w:rPr>
        <w:t xml:space="preserve"> 3-4 полета на высоте 2-3 метров, </w:t>
      </w:r>
      <w:proofErr w:type="spellStart"/>
      <w:r w:rsidRPr="006B74EB">
        <w:rPr>
          <w:rFonts w:ascii="Times New Roman" w:hAnsi="Times New Roman"/>
          <w:color w:val="0070C0"/>
          <w:sz w:val="16"/>
          <w:szCs w:val="16"/>
        </w:rPr>
        <w:t>закончивкиеся</w:t>
      </w:r>
      <w:proofErr w:type="spellEnd"/>
      <w:r w:rsidRPr="006B74EB">
        <w:rPr>
          <w:rFonts w:ascii="Times New Roman" w:hAnsi="Times New Roman"/>
          <w:color w:val="0070C0"/>
          <w:sz w:val="16"/>
          <w:szCs w:val="16"/>
        </w:rPr>
        <w:t xml:space="preserve"> полом</w:t>
      </w:r>
      <w:r>
        <w:rPr>
          <w:rFonts w:ascii="Times New Roman" w:hAnsi="Times New Roman"/>
          <w:color w:val="0070C0"/>
          <w:sz w:val="16"/>
          <w:szCs w:val="16"/>
        </w:rPr>
        <w:t>кой.</w:t>
      </w:r>
    </w:p>
    <w:p w14:paraId="63769B8F" w14:textId="77777777" w:rsidR="00273483" w:rsidRPr="006B74EB" w:rsidRDefault="00273483" w:rsidP="00273483">
      <w:pPr>
        <w:spacing w:after="0" w:line="240" w:lineRule="auto"/>
        <w:jc w:val="both"/>
        <w:rPr>
          <w:rFonts w:ascii="Times New Roman" w:hAnsi="Times New Roman"/>
          <w:color w:val="0070C0"/>
          <w:sz w:val="16"/>
          <w:szCs w:val="16"/>
        </w:rPr>
      </w:pPr>
      <w:r>
        <w:rPr>
          <w:rFonts w:ascii="Times New Roman" w:hAnsi="Times New Roman"/>
          <w:color w:val="0070C0"/>
          <w:sz w:val="16"/>
          <w:szCs w:val="16"/>
        </w:rPr>
        <w:t>Испы</w:t>
      </w:r>
      <w:r w:rsidRPr="006B74EB">
        <w:rPr>
          <w:rFonts w:ascii="Times New Roman" w:hAnsi="Times New Roman"/>
          <w:color w:val="0070C0"/>
          <w:sz w:val="16"/>
          <w:szCs w:val="16"/>
        </w:rPr>
        <w:t>тания выявили ряд конструктивных недостатков,</w:t>
      </w:r>
      <w:r>
        <w:rPr>
          <w:rFonts w:ascii="Times New Roman" w:hAnsi="Times New Roman"/>
          <w:color w:val="0070C0"/>
          <w:sz w:val="16"/>
          <w:szCs w:val="16"/>
        </w:rPr>
        <w:t xml:space="preserve"> </w:t>
      </w:r>
      <w:r w:rsidRPr="006B74EB">
        <w:rPr>
          <w:rFonts w:ascii="Times New Roman" w:hAnsi="Times New Roman"/>
          <w:color w:val="0070C0"/>
          <w:sz w:val="16"/>
          <w:szCs w:val="16"/>
        </w:rPr>
        <w:t>присущих авто</w:t>
      </w:r>
      <w:r>
        <w:rPr>
          <w:rFonts w:ascii="Times New Roman" w:hAnsi="Times New Roman"/>
          <w:color w:val="0070C0"/>
          <w:sz w:val="16"/>
          <w:szCs w:val="16"/>
        </w:rPr>
        <w:t>жирам данного типа</w:t>
      </w:r>
      <w:r w:rsidRPr="006B74EB">
        <w:rPr>
          <w:rFonts w:ascii="Times New Roman" w:hAnsi="Times New Roman"/>
          <w:color w:val="0070C0"/>
          <w:sz w:val="16"/>
          <w:szCs w:val="16"/>
        </w:rPr>
        <w:t>, и послужили опытом при конструировании сле</w:t>
      </w:r>
      <w:r>
        <w:rPr>
          <w:rFonts w:ascii="Times New Roman" w:hAnsi="Times New Roman"/>
          <w:color w:val="0070C0"/>
          <w:sz w:val="16"/>
          <w:szCs w:val="16"/>
        </w:rPr>
        <w:t>дующих</w:t>
      </w:r>
      <w:r w:rsidRPr="006B74EB">
        <w:rPr>
          <w:rFonts w:ascii="Times New Roman" w:hAnsi="Times New Roman"/>
          <w:color w:val="0070C0"/>
          <w:sz w:val="16"/>
          <w:szCs w:val="16"/>
        </w:rPr>
        <w:t xml:space="preserve"> образ</w:t>
      </w:r>
      <w:r>
        <w:rPr>
          <w:rFonts w:ascii="Times New Roman" w:hAnsi="Times New Roman"/>
          <w:color w:val="0070C0"/>
          <w:sz w:val="16"/>
          <w:szCs w:val="16"/>
        </w:rPr>
        <w:t>цов</w:t>
      </w:r>
      <w:r w:rsidRPr="006B74EB">
        <w:rPr>
          <w:rFonts w:ascii="Times New Roman" w:hAnsi="Times New Roman"/>
          <w:color w:val="0070C0"/>
          <w:sz w:val="16"/>
          <w:szCs w:val="16"/>
        </w:rPr>
        <w:t xml:space="preserve"> автожиров.</w:t>
      </w:r>
    </w:p>
    <w:p w14:paraId="583AADB7" w14:textId="77777777" w:rsidR="00273483" w:rsidRDefault="00273483" w:rsidP="00273483">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w:t>
      </w:r>
      <w:r>
        <w:rPr>
          <w:rFonts w:ascii="Times New Roman" w:hAnsi="Times New Roman"/>
          <w:color w:val="0070C0"/>
          <w:sz w:val="16"/>
          <w:szCs w:val="16"/>
        </w:rPr>
        <w:t xml:space="preserve"> «</w:t>
      </w:r>
      <w:proofErr w:type="spellStart"/>
      <w:r w:rsidRPr="006B74EB">
        <w:rPr>
          <w:rFonts w:ascii="Times New Roman" w:hAnsi="Times New Roman"/>
          <w:color w:val="0070C0"/>
          <w:sz w:val="16"/>
          <w:szCs w:val="16"/>
        </w:rPr>
        <w:t>И</w:t>
      </w:r>
      <w:r>
        <w:rPr>
          <w:rFonts w:ascii="Times New Roman" w:hAnsi="Times New Roman"/>
          <w:color w:val="0070C0"/>
          <w:sz w:val="16"/>
          <w:szCs w:val="16"/>
        </w:rPr>
        <w:t>зв</w:t>
      </w:r>
      <w:r w:rsidRPr="006B74EB">
        <w:rPr>
          <w:rFonts w:ascii="Times New Roman" w:hAnsi="Times New Roman"/>
          <w:color w:val="0070C0"/>
          <w:sz w:val="16"/>
          <w:szCs w:val="16"/>
        </w:rPr>
        <w:t>есг</w:t>
      </w:r>
      <w:r>
        <w:rPr>
          <w:rFonts w:ascii="Times New Roman" w:hAnsi="Times New Roman"/>
          <w:color w:val="0070C0"/>
          <w:sz w:val="16"/>
          <w:szCs w:val="16"/>
        </w:rPr>
        <w:t>и</w:t>
      </w:r>
      <w:r w:rsidRPr="006B74EB">
        <w:rPr>
          <w:rFonts w:ascii="Times New Roman" w:hAnsi="Times New Roman"/>
          <w:color w:val="0070C0"/>
          <w:sz w:val="16"/>
          <w:szCs w:val="16"/>
        </w:rPr>
        <w:t>я</w:t>
      </w:r>
      <w:proofErr w:type="spellEnd"/>
      <w:r w:rsidRPr="006B74EB">
        <w:rPr>
          <w:rFonts w:ascii="Times New Roman" w:hAnsi="Times New Roman"/>
          <w:color w:val="0070C0"/>
          <w:sz w:val="16"/>
          <w:szCs w:val="16"/>
        </w:rPr>
        <w:t xml:space="preserve"> </w:t>
      </w:r>
      <w:r>
        <w:rPr>
          <w:rFonts w:ascii="Times New Roman" w:hAnsi="Times New Roman"/>
          <w:color w:val="0070C0"/>
          <w:sz w:val="16"/>
          <w:szCs w:val="16"/>
        </w:rPr>
        <w:t xml:space="preserve">ЦИК» за </w:t>
      </w:r>
      <w:r w:rsidRPr="006B74EB">
        <w:rPr>
          <w:rFonts w:ascii="Times New Roman" w:hAnsi="Times New Roman"/>
          <w:color w:val="0070C0"/>
          <w:sz w:val="16"/>
          <w:szCs w:val="16"/>
        </w:rPr>
        <w:t xml:space="preserve">10 марта </w:t>
      </w:r>
      <w:r>
        <w:rPr>
          <w:rFonts w:ascii="Times New Roman" w:hAnsi="Times New Roman"/>
          <w:color w:val="0070C0"/>
          <w:sz w:val="16"/>
          <w:szCs w:val="16"/>
        </w:rPr>
        <w:t>1033 г., статья</w:t>
      </w:r>
      <w:r w:rsidRPr="006B74EB">
        <w:rPr>
          <w:rFonts w:ascii="Times New Roman" w:hAnsi="Times New Roman"/>
          <w:color w:val="0070C0"/>
          <w:sz w:val="16"/>
          <w:szCs w:val="16"/>
        </w:rPr>
        <w:t xml:space="preserve"> </w:t>
      </w:r>
      <w:proofErr w:type="spellStart"/>
      <w:r w:rsidRPr="006B74EB">
        <w:rPr>
          <w:rFonts w:ascii="Times New Roman" w:hAnsi="Times New Roman"/>
          <w:color w:val="0070C0"/>
          <w:sz w:val="16"/>
          <w:szCs w:val="16"/>
        </w:rPr>
        <w:t>И.Н.К</w:t>
      </w:r>
      <w:r>
        <w:rPr>
          <w:rFonts w:ascii="Times New Roman" w:hAnsi="Times New Roman"/>
          <w:color w:val="0070C0"/>
          <w:sz w:val="16"/>
          <w:szCs w:val="16"/>
        </w:rPr>
        <w:t>а</w:t>
      </w:r>
      <w:r w:rsidRPr="006B74EB">
        <w:rPr>
          <w:rFonts w:ascii="Times New Roman" w:hAnsi="Times New Roman"/>
          <w:color w:val="0070C0"/>
          <w:sz w:val="16"/>
          <w:szCs w:val="16"/>
        </w:rPr>
        <w:t>мо</w:t>
      </w:r>
      <w:r>
        <w:rPr>
          <w:rFonts w:ascii="Times New Roman" w:hAnsi="Times New Roman"/>
          <w:color w:val="0070C0"/>
          <w:sz w:val="16"/>
          <w:szCs w:val="16"/>
        </w:rPr>
        <w:t>в</w:t>
      </w:r>
      <w:r w:rsidRPr="006B74EB">
        <w:rPr>
          <w:rFonts w:ascii="Times New Roman" w:hAnsi="Times New Roman"/>
          <w:color w:val="0070C0"/>
          <w:sz w:val="16"/>
          <w:szCs w:val="16"/>
        </w:rPr>
        <w:t>а</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(23370).</w:t>
      </w:r>
    </w:p>
    <w:p w14:paraId="5E272D7B" w14:textId="77777777" w:rsidR="00273483" w:rsidRPr="006B74EB" w:rsidRDefault="00273483" w:rsidP="00273483">
      <w:pPr>
        <w:spacing w:after="0" w:line="240" w:lineRule="auto"/>
        <w:jc w:val="both"/>
        <w:rPr>
          <w:rFonts w:ascii="Times New Roman" w:hAnsi="Times New Roman"/>
          <w:color w:val="0070C0"/>
          <w:sz w:val="16"/>
          <w:szCs w:val="16"/>
        </w:rPr>
      </w:pPr>
    </w:p>
    <w:p w14:paraId="74E9BCD5" w14:textId="77777777" w:rsidR="00D74AD9" w:rsidRPr="00A259BD" w:rsidRDefault="00D74AD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сентября 1929 года в ВВС имелось 15 ЮГ-1 на колесах и 7 на поплавках, а ровно через год их осталось 7 и 7. К январю 1933 года — всего 4, из которых 3 использовались как учебные (один в Военно-воздушной академии и два — в школе морских летчиков в Ейске), а четвертый, приписанный к 70-му отряду особого назначения, обслуживал Реввоенсовет ОКДВА. В январе 1934 года летал уже всего один самолет в Ейске (15479).</w:t>
      </w:r>
    </w:p>
    <w:p w14:paraId="45FE2A78" w14:textId="77777777" w:rsidR="00D74AD9" w:rsidRPr="00A259BD" w:rsidRDefault="00D74AD9" w:rsidP="009236E3">
      <w:pPr>
        <w:spacing w:after="0" w:line="240" w:lineRule="auto"/>
        <w:jc w:val="both"/>
        <w:rPr>
          <w:rFonts w:ascii="Times New Roman" w:hAnsi="Times New Roman"/>
          <w:color w:val="000000" w:themeColor="text1"/>
          <w:sz w:val="16"/>
          <w:szCs w:val="16"/>
        </w:rPr>
      </w:pPr>
    </w:p>
    <w:p w14:paraId="42B0176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87FCEF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A34E60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сентября 1929 у здания рейхстага взорвалась бомба, причинившая ущерб фасаду здания (4962).</w:t>
      </w:r>
    </w:p>
    <w:p w14:paraId="3A6968D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E7F93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64F94A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606D2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2 сентября по 4 октября 1929 проходили войсковые испытания самолета Р5 № 1 с мотором БМВ 6 № 16237 в 84 авиаотряде 6 авиабригады.</w:t>
      </w:r>
    </w:p>
    <w:p w14:paraId="2EC111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Дневник тактико-эксплуатационных испытаний самолета Р5 № 1 с мотором БМВ 6 № 16237 84 авиаотряда 6 авиабригады</w:t>
      </w:r>
    </w:p>
    <w:p w14:paraId="3FD5B5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Начат 2 сентября 1929 года</w:t>
      </w:r>
    </w:p>
    <w:p w14:paraId="04B028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Окончен 4 октября 1929 года</w:t>
      </w:r>
    </w:p>
    <w:p w14:paraId="750018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Экипаж ведет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85"/>
        <w:gridCol w:w="5802"/>
      </w:tblGrid>
      <w:tr w:rsidR="00A259BD" w:rsidRPr="00A259BD" w14:paraId="44D0CF09" w14:textId="77777777">
        <w:tc>
          <w:tcPr>
            <w:tcW w:w="1985" w:type="dxa"/>
          </w:tcPr>
          <w:p w14:paraId="1FC683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Дата</w:t>
            </w:r>
          </w:p>
        </w:tc>
        <w:tc>
          <w:tcPr>
            <w:tcW w:w="5802" w:type="dxa"/>
          </w:tcPr>
          <w:p w14:paraId="1DAE5A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Какая работа производилась</w:t>
            </w:r>
          </w:p>
        </w:tc>
      </w:tr>
      <w:tr w:rsidR="00A259BD" w:rsidRPr="00A259BD" w14:paraId="467F8713" w14:textId="77777777">
        <w:tc>
          <w:tcPr>
            <w:tcW w:w="1985" w:type="dxa"/>
          </w:tcPr>
          <w:p w14:paraId="19A35D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сентября 1929</w:t>
            </w:r>
          </w:p>
        </w:tc>
        <w:tc>
          <w:tcPr>
            <w:tcW w:w="5802" w:type="dxa"/>
          </w:tcPr>
          <w:p w14:paraId="2B3DE1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Вывозной полет на Московском аэродроме.</w:t>
            </w:r>
          </w:p>
          <w:p w14:paraId="7FF195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 Кушаков</w:t>
            </w:r>
          </w:p>
          <w:p w14:paraId="720B22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 Громов</w:t>
            </w:r>
          </w:p>
          <w:p w14:paraId="302CAA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400 м</w:t>
            </w:r>
          </w:p>
          <w:p w14:paraId="3C88F5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 час 1 мин.</w:t>
            </w:r>
          </w:p>
          <w:p w14:paraId="6D49E2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Сделано 3 полета с целью с целью вывозки для самостоятельного вылета.</w:t>
            </w:r>
          </w:p>
        </w:tc>
      </w:tr>
      <w:tr w:rsidR="00A259BD" w:rsidRPr="00A259BD" w14:paraId="0EFF7897" w14:textId="77777777">
        <w:tc>
          <w:tcPr>
            <w:tcW w:w="1985" w:type="dxa"/>
          </w:tcPr>
          <w:p w14:paraId="256DAE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сентября 1929</w:t>
            </w:r>
          </w:p>
        </w:tc>
        <w:tc>
          <w:tcPr>
            <w:tcW w:w="5802" w:type="dxa"/>
          </w:tcPr>
          <w:p w14:paraId="7BDBCD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Тренировочный полет в районе Московского аэродрома.</w:t>
            </w:r>
          </w:p>
          <w:p w14:paraId="3A5FE6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0C2258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Пальмбах</w:t>
            </w:r>
            <w:proofErr w:type="spellEnd"/>
          </w:p>
          <w:p w14:paraId="1C9FF5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700 м</w:t>
            </w:r>
          </w:p>
          <w:p w14:paraId="3F9ED0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27 мин.</w:t>
            </w:r>
          </w:p>
          <w:p w14:paraId="4AAAA1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Сделано фигур – 1 петля</w:t>
            </w:r>
          </w:p>
        </w:tc>
      </w:tr>
      <w:tr w:rsidR="00A259BD" w:rsidRPr="00A259BD" w14:paraId="43614B2D" w14:textId="77777777">
        <w:tc>
          <w:tcPr>
            <w:tcW w:w="1985" w:type="dxa"/>
          </w:tcPr>
          <w:p w14:paraId="79C1EF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сентября 1929</w:t>
            </w:r>
          </w:p>
        </w:tc>
        <w:tc>
          <w:tcPr>
            <w:tcW w:w="5802" w:type="dxa"/>
          </w:tcPr>
          <w:p w14:paraId="201B64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Перелет Москва-Смоленск</w:t>
            </w:r>
          </w:p>
          <w:p w14:paraId="55EA4D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18ADDA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Пальмбах</w:t>
            </w:r>
            <w:proofErr w:type="spellEnd"/>
          </w:p>
          <w:p w14:paraId="60AA67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150-800 м</w:t>
            </w:r>
          </w:p>
          <w:p w14:paraId="044AC4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3 часа 10 мин.</w:t>
            </w:r>
          </w:p>
        </w:tc>
      </w:tr>
      <w:tr w:rsidR="00A259BD" w:rsidRPr="00A259BD" w14:paraId="796F2234" w14:textId="77777777">
        <w:tc>
          <w:tcPr>
            <w:tcW w:w="1985" w:type="dxa"/>
          </w:tcPr>
          <w:p w14:paraId="068DCD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сентября 1929</w:t>
            </w:r>
          </w:p>
        </w:tc>
        <w:tc>
          <w:tcPr>
            <w:tcW w:w="5802" w:type="dxa"/>
          </w:tcPr>
          <w:p w14:paraId="09180E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Тренировочный полет в районе Смоленского аэродрома.</w:t>
            </w:r>
          </w:p>
          <w:p w14:paraId="7AF269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 Кушаков</w:t>
            </w:r>
          </w:p>
          <w:p w14:paraId="40C425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Гельфер</w:t>
            </w:r>
            <w:proofErr w:type="spellEnd"/>
          </w:p>
          <w:p w14:paraId="3FEA75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500 м</w:t>
            </w:r>
          </w:p>
          <w:p w14:paraId="209B1B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15 мин.</w:t>
            </w:r>
          </w:p>
        </w:tc>
      </w:tr>
      <w:tr w:rsidR="00A259BD" w:rsidRPr="00A259BD" w14:paraId="2EF54C33" w14:textId="77777777">
        <w:tc>
          <w:tcPr>
            <w:tcW w:w="1985" w:type="dxa"/>
          </w:tcPr>
          <w:p w14:paraId="37802B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сентября 1929</w:t>
            </w:r>
          </w:p>
        </w:tc>
        <w:tc>
          <w:tcPr>
            <w:tcW w:w="5802" w:type="dxa"/>
          </w:tcPr>
          <w:p w14:paraId="4B0A70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Тренировочный полет в районе Смоленского аэродрома.</w:t>
            </w:r>
          </w:p>
          <w:p w14:paraId="6A9679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29BB89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300 м</w:t>
            </w:r>
          </w:p>
          <w:p w14:paraId="1A9DB3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8 мин.</w:t>
            </w:r>
          </w:p>
        </w:tc>
      </w:tr>
      <w:tr w:rsidR="00A259BD" w:rsidRPr="00A259BD" w14:paraId="5128B8FB" w14:textId="77777777">
        <w:tc>
          <w:tcPr>
            <w:tcW w:w="1985" w:type="dxa"/>
          </w:tcPr>
          <w:p w14:paraId="1378FA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сентября 1929</w:t>
            </w:r>
          </w:p>
        </w:tc>
        <w:tc>
          <w:tcPr>
            <w:tcW w:w="5802" w:type="dxa"/>
          </w:tcPr>
          <w:p w14:paraId="232431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Тренировочный полет в районе Смоленского аэродрома.</w:t>
            </w:r>
          </w:p>
          <w:p w14:paraId="3E8433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70BBC8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800 м</w:t>
            </w:r>
          </w:p>
          <w:p w14:paraId="6F05BE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25 мин.</w:t>
            </w:r>
          </w:p>
          <w:p w14:paraId="4A5C47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Сделано 9 фигур</w:t>
            </w:r>
          </w:p>
        </w:tc>
      </w:tr>
      <w:tr w:rsidR="00A259BD" w:rsidRPr="00A259BD" w14:paraId="6250B760" w14:textId="77777777">
        <w:tc>
          <w:tcPr>
            <w:tcW w:w="1985" w:type="dxa"/>
          </w:tcPr>
          <w:p w14:paraId="224D44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сентября 1929</w:t>
            </w:r>
          </w:p>
        </w:tc>
        <w:tc>
          <w:tcPr>
            <w:tcW w:w="5802" w:type="dxa"/>
          </w:tcPr>
          <w:p w14:paraId="09539C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Тренировочный полет в районе Смоленского аэродрома.</w:t>
            </w:r>
          </w:p>
          <w:p w14:paraId="67AA5B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0D878A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800 м</w:t>
            </w:r>
          </w:p>
          <w:p w14:paraId="23E9FB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20 мин.</w:t>
            </w:r>
          </w:p>
        </w:tc>
      </w:tr>
      <w:tr w:rsidR="00A259BD" w:rsidRPr="00A259BD" w14:paraId="002D8CC2" w14:textId="77777777">
        <w:tc>
          <w:tcPr>
            <w:tcW w:w="1985" w:type="dxa"/>
          </w:tcPr>
          <w:p w14:paraId="4D97CA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сентября 1929</w:t>
            </w:r>
          </w:p>
        </w:tc>
        <w:tc>
          <w:tcPr>
            <w:tcW w:w="5802" w:type="dxa"/>
          </w:tcPr>
          <w:p w14:paraId="5346F8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Пробный полет</w:t>
            </w:r>
          </w:p>
          <w:p w14:paraId="64B58C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23EB0D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300 м</w:t>
            </w:r>
          </w:p>
          <w:p w14:paraId="0B70C4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6 мин.</w:t>
            </w:r>
          </w:p>
        </w:tc>
      </w:tr>
      <w:tr w:rsidR="00A259BD" w:rsidRPr="00A259BD" w14:paraId="2A7E92D6" w14:textId="77777777">
        <w:tc>
          <w:tcPr>
            <w:tcW w:w="1985" w:type="dxa"/>
          </w:tcPr>
          <w:p w14:paraId="6E7D90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сентября 1929</w:t>
            </w:r>
          </w:p>
        </w:tc>
        <w:tc>
          <w:tcPr>
            <w:tcW w:w="5802" w:type="dxa"/>
          </w:tcPr>
          <w:p w14:paraId="62119D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 и продолжительность.</w:t>
            </w:r>
          </w:p>
          <w:p w14:paraId="58E5DF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05C88C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1500 м</w:t>
            </w:r>
          </w:p>
          <w:p w14:paraId="79BD25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 часа 31 мин.</w:t>
            </w:r>
          </w:p>
          <w:p w14:paraId="684E9A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78271FBE" w14:textId="77777777">
        <w:tc>
          <w:tcPr>
            <w:tcW w:w="1985" w:type="dxa"/>
          </w:tcPr>
          <w:p w14:paraId="54D3DC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сентября 1929</w:t>
            </w:r>
          </w:p>
        </w:tc>
        <w:tc>
          <w:tcPr>
            <w:tcW w:w="5802" w:type="dxa"/>
          </w:tcPr>
          <w:p w14:paraId="5EB872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 в районе Смоленского аэродрома.</w:t>
            </w:r>
          </w:p>
          <w:p w14:paraId="6508FA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2486DB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2200 м</w:t>
            </w:r>
          </w:p>
          <w:p w14:paraId="64933C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4 часа 10 мин.</w:t>
            </w:r>
          </w:p>
          <w:p w14:paraId="7F97A8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7E255445" w14:textId="77777777">
        <w:tc>
          <w:tcPr>
            <w:tcW w:w="1985" w:type="dxa"/>
          </w:tcPr>
          <w:p w14:paraId="0FF9AA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сентября 1929</w:t>
            </w:r>
          </w:p>
        </w:tc>
        <w:tc>
          <w:tcPr>
            <w:tcW w:w="5802" w:type="dxa"/>
          </w:tcPr>
          <w:p w14:paraId="78106D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w:t>
            </w:r>
          </w:p>
          <w:p w14:paraId="293F6A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00D5B2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2100 м</w:t>
            </w:r>
          </w:p>
          <w:p w14:paraId="213DD4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 часа 20 мин.</w:t>
            </w:r>
          </w:p>
          <w:p w14:paraId="5C1DCB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0E11C5B2" w14:textId="77777777">
        <w:tc>
          <w:tcPr>
            <w:tcW w:w="1985" w:type="dxa"/>
          </w:tcPr>
          <w:p w14:paraId="791EC5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сентября 1929</w:t>
            </w:r>
          </w:p>
        </w:tc>
        <w:tc>
          <w:tcPr>
            <w:tcW w:w="5802" w:type="dxa"/>
          </w:tcPr>
          <w:p w14:paraId="2C847D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 в районе Смоленского аэродрома.</w:t>
            </w:r>
          </w:p>
          <w:p w14:paraId="71DA34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5B2C54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2300 м</w:t>
            </w:r>
          </w:p>
          <w:p w14:paraId="4EA6A0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 часа 35 мин.</w:t>
            </w:r>
          </w:p>
          <w:p w14:paraId="6962CA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5D2C2F24" w14:textId="77777777">
        <w:tc>
          <w:tcPr>
            <w:tcW w:w="1985" w:type="dxa"/>
          </w:tcPr>
          <w:p w14:paraId="5AD9EE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сентября 1929</w:t>
            </w:r>
          </w:p>
        </w:tc>
        <w:tc>
          <w:tcPr>
            <w:tcW w:w="5802" w:type="dxa"/>
          </w:tcPr>
          <w:p w14:paraId="7594A8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 и на высоту.</w:t>
            </w:r>
          </w:p>
          <w:p w14:paraId="631C54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50DED9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4000 м</w:t>
            </w:r>
          </w:p>
          <w:p w14:paraId="104C99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 часа 50 мин.</w:t>
            </w:r>
          </w:p>
          <w:p w14:paraId="65A745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0759DD0C" w14:textId="77777777">
        <w:tc>
          <w:tcPr>
            <w:tcW w:w="1985" w:type="dxa"/>
          </w:tcPr>
          <w:p w14:paraId="031968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сентября 1929</w:t>
            </w:r>
          </w:p>
        </w:tc>
        <w:tc>
          <w:tcPr>
            <w:tcW w:w="5802" w:type="dxa"/>
          </w:tcPr>
          <w:p w14:paraId="00BB4F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 и на высоту.</w:t>
            </w:r>
          </w:p>
          <w:p w14:paraId="2CEFCD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069940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4400 м</w:t>
            </w:r>
          </w:p>
          <w:p w14:paraId="404100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 часа 10 мин.</w:t>
            </w:r>
          </w:p>
          <w:p w14:paraId="18BF8B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7CD57049" w14:textId="77777777">
        <w:tc>
          <w:tcPr>
            <w:tcW w:w="1985" w:type="dxa"/>
          </w:tcPr>
          <w:p w14:paraId="1D81BE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сентября 1929</w:t>
            </w:r>
          </w:p>
        </w:tc>
        <w:tc>
          <w:tcPr>
            <w:tcW w:w="5802" w:type="dxa"/>
          </w:tcPr>
          <w:p w14:paraId="157B9D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высший пилотаж.</w:t>
            </w:r>
          </w:p>
          <w:p w14:paraId="4242F9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1E74BC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3200 м</w:t>
            </w:r>
          </w:p>
          <w:p w14:paraId="7F64F5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3 часа 15 мин.</w:t>
            </w:r>
          </w:p>
          <w:p w14:paraId="5F207F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670FB43E" w14:textId="77777777">
        <w:tc>
          <w:tcPr>
            <w:tcW w:w="1985" w:type="dxa"/>
          </w:tcPr>
          <w:p w14:paraId="234193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18 сентября 1929</w:t>
            </w:r>
          </w:p>
        </w:tc>
        <w:tc>
          <w:tcPr>
            <w:tcW w:w="5802" w:type="dxa"/>
          </w:tcPr>
          <w:p w14:paraId="25B762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w:t>
            </w:r>
          </w:p>
          <w:p w14:paraId="074834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781906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3200 м</w:t>
            </w:r>
          </w:p>
          <w:p w14:paraId="73134F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 часа 20 мин.</w:t>
            </w:r>
          </w:p>
          <w:p w14:paraId="46D7FC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79AE3A78" w14:textId="77777777">
        <w:tc>
          <w:tcPr>
            <w:tcW w:w="1985" w:type="dxa"/>
          </w:tcPr>
          <w:p w14:paraId="608290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сентября 1929</w:t>
            </w:r>
          </w:p>
        </w:tc>
        <w:tc>
          <w:tcPr>
            <w:tcW w:w="5802" w:type="dxa"/>
          </w:tcPr>
          <w:p w14:paraId="0BF53B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 и продолжительность.</w:t>
            </w:r>
          </w:p>
          <w:p w14:paraId="59E930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620053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3200 м</w:t>
            </w:r>
          </w:p>
          <w:p w14:paraId="41A06F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4 часа 10 мин.</w:t>
            </w:r>
          </w:p>
          <w:p w14:paraId="42E581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4609FDAF" w14:textId="77777777">
        <w:tc>
          <w:tcPr>
            <w:tcW w:w="1985" w:type="dxa"/>
          </w:tcPr>
          <w:p w14:paraId="2C060A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сентября 1929</w:t>
            </w:r>
          </w:p>
        </w:tc>
        <w:tc>
          <w:tcPr>
            <w:tcW w:w="5802" w:type="dxa"/>
          </w:tcPr>
          <w:p w14:paraId="7ECDA2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w:t>
            </w:r>
          </w:p>
          <w:p w14:paraId="31E1AA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395F81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1200 м</w:t>
            </w:r>
          </w:p>
          <w:p w14:paraId="1FFFB1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 час 20 мин.</w:t>
            </w:r>
          </w:p>
          <w:p w14:paraId="2F5AB6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3922C86B" w14:textId="77777777">
        <w:tc>
          <w:tcPr>
            <w:tcW w:w="1985" w:type="dxa"/>
          </w:tcPr>
          <w:p w14:paraId="0855F9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сентября 1929</w:t>
            </w:r>
          </w:p>
        </w:tc>
        <w:tc>
          <w:tcPr>
            <w:tcW w:w="5802" w:type="dxa"/>
          </w:tcPr>
          <w:p w14:paraId="654E45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w:t>
            </w:r>
          </w:p>
          <w:p w14:paraId="06C772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2C7F71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2100 м</w:t>
            </w:r>
          </w:p>
          <w:p w14:paraId="303460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3 часа 19 мин.</w:t>
            </w:r>
          </w:p>
          <w:p w14:paraId="646606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1EC74279" w14:textId="77777777">
        <w:tc>
          <w:tcPr>
            <w:tcW w:w="1985" w:type="dxa"/>
          </w:tcPr>
          <w:p w14:paraId="066F93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сентября 1929</w:t>
            </w:r>
          </w:p>
        </w:tc>
        <w:tc>
          <w:tcPr>
            <w:tcW w:w="5802" w:type="dxa"/>
          </w:tcPr>
          <w:p w14:paraId="016E0B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w:t>
            </w:r>
          </w:p>
          <w:p w14:paraId="75AF91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6B6A88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2400 м</w:t>
            </w:r>
          </w:p>
          <w:p w14:paraId="70F2E3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 часа 15 мин.</w:t>
            </w:r>
          </w:p>
          <w:p w14:paraId="31121B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7AE3A802" w14:textId="77777777">
        <w:tc>
          <w:tcPr>
            <w:tcW w:w="1985" w:type="dxa"/>
          </w:tcPr>
          <w:p w14:paraId="5D4DE5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сентября 1929</w:t>
            </w:r>
          </w:p>
        </w:tc>
        <w:tc>
          <w:tcPr>
            <w:tcW w:w="5802" w:type="dxa"/>
          </w:tcPr>
          <w:p w14:paraId="107720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w:t>
            </w:r>
          </w:p>
          <w:p w14:paraId="45200B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795FAD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2500 м</w:t>
            </w:r>
          </w:p>
          <w:p w14:paraId="668BDC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4 часа 15 мин.</w:t>
            </w:r>
          </w:p>
          <w:p w14:paraId="1E9CA7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29B747C0" w14:textId="77777777">
        <w:tc>
          <w:tcPr>
            <w:tcW w:w="1985" w:type="dxa"/>
          </w:tcPr>
          <w:p w14:paraId="0AB13E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сентября 1929</w:t>
            </w:r>
          </w:p>
        </w:tc>
        <w:tc>
          <w:tcPr>
            <w:tcW w:w="5802" w:type="dxa"/>
          </w:tcPr>
          <w:p w14:paraId="4CAFE7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w:t>
            </w:r>
          </w:p>
          <w:p w14:paraId="1347E6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4867A0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1500 м</w:t>
            </w:r>
          </w:p>
          <w:p w14:paraId="4A94A5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 час 23 мин.</w:t>
            </w:r>
          </w:p>
          <w:p w14:paraId="43A846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1A6DAA0B" w14:textId="77777777">
        <w:tc>
          <w:tcPr>
            <w:tcW w:w="1985" w:type="dxa"/>
          </w:tcPr>
          <w:p w14:paraId="774858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сентября 1929</w:t>
            </w:r>
          </w:p>
        </w:tc>
        <w:tc>
          <w:tcPr>
            <w:tcW w:w="5802" w:type="dxa"/>
          </w:tcPr>
          <w:p w14:paraId="2D7094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52EDCB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079B96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2000 м</w:t>
            </w:r>
          </w:p>
          <w:p w14:paraId="76F5A2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 часа 31 мин.</w:t>
            </w:r>
          </w:p>
          <w:p w14:paraId="487062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3F365C0F" w14:textId="77777777">
        <w:tc>
          <w:tcPr>
            <w:tcW w:w="1985" w:type="dxa"/>
          </w:tcPr>
          <w:p w14:paraId="7C2139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сентября 1929</w:t>
            </w:r>
          </w:p>
        </w:tc>
        <w:tc>
          <w:tcPr>
            <w:tcW w:w="5802" w:type="dxa"/>
          </w:tcPr>
          <w:p w14:paraId="21A2AF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w:t>
            </w:r>
          </w:p>
          <w:p w14:paraId="79217E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14F82D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2100 м</w:t>
            </w:r>
          </w:p>
          <w:p w14:paraId="0FFF81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3 часа 25 мин.</w:t>
            </w:r>
          </w:p>
          <w:p w14:paraId="581BD7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4900FB74" w14:textId="77777777">
        <w:tc>
          <w:tcPr>
            <w:tcW w:w="1985" w:type="dxa"/>
          </w:tcPr>
          <w:p w14:paraId="23768C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сентября 1929</w:t>
            </w:r>
          </w:p>
        </w:tc>
        <w:tc>
          <w:tcPr>
            <w:tcW w:w="5802" w:type="dxa"/>
          </w:tcPr>
          <w:p w14:paraId="15FB0D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5B2EF5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338809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2000 м</w:t>
            </w:r>
          </w:p>
          <w:p w14:paraId="04E980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 час 35 мин.</w:t>
            </w:r>
          </w:p>
          <w:p w14:paraId="0D030C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028E05A3" w14:textId="77777777">
        <w:tc>
          <w:tcPr>
            <w:tcW w:w="1985" w:type="dxa"/>
          </w:tcPr>
          <w:p w14:paraId="45BB78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сентября 1929</w:t>
            </w:r>
          </w:p>
        </w:tc>
        <w:tc>
          <w:tcPr>
            <w:tcW w:w="5802" w:type="dxa"/>
          </w:tcPr>
          <w:p w14:paraId="43F81A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2017D3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4D29ED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2300 м</w:t>
            </w:r>
          </w:p>
          <w:p w14:paraId="5C9404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3 часа 30 мин.</w:t>
            </w:r>
          </w:p>
          <w:p w14:paraId="3589CD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05F9D888" w14:textId="77777777">
        <w:tc>
          <w:tcPr>
            <w:tcW w:w="1985" w:type="dxa"/>
          </w:tcPr>
          <w:p w14:paraId="1D7AF1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сентября 1929</w:t>
            </w:r>
          </w:p>
        </w:tc>
        <w:tc>
          <w:tcPr>
            <w:tcW w:w="5802" w:type="dxa"/>
          </w:tcPr>
          <w:p w14:paraId="109405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1994AA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776F64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2100 м</w:t>
            </w:r>
          </w:p>
          <w:p w14:paraId="0761FC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 час 25 мин.</w:t>
            </w:r>
          </w:p>
          <w:p w14:paraId="55179D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085736E4" w14:textId="77777777">
        <w:tc>
          <w:tcPr>
            <w:tcW w:w="1985" w:type="dxa"/>
          </w:tcPr>
          <w:p w14:paraId="5CF499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сентября 1929</w:t>
            </w:r>
          </w:p>
        </w:tc>
        <w:tc>
          <w:tcPr>
            <w:tcW w:w="5802" w:type="dxa"/>
          </w:tcPr>
          <w:p w14:paraId="2EA4F6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0993DA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082DED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300 м</w:t>
            </w:r>
          </w:p>
          <w:p w14:paraId="64F439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–7 мин.</w:t>
            </w:r>
          </w:p>
        </w:tc>
      </w:tr>
      <w:tr w:rsidR="00A259BD" w:rsidRPr="00A259BD" w14:paraId="454F1B00" w14:textId="77777777">
        <w:tc>
          <w:tcPr>
            <w:tcW w:w="1985" w:type="dxa"/>
          </w:tcPr>
          <w:p w14:paraId="14E183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сентября 1929</w:t>
            </w:r>
          </w:p>
        </w:tc>
        <w:tc>
          <w:tcPr>
            <w:tcW w:w="5802" w:type="dxa"/>
          </w:tcPr>
          <w:p w14:paraId="2A8441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Тренировочный полет в районе Смоленского аэродрома.</w:t>
            </w:r>
          </w:p>
          <w:p w14:paraId="2ECB45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 Кушаков</w:t>
            </w:r>
          </w:p>
          <w:p w14:paraId="47324C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600 м</w:t>
            </w:r>
          </w:p>
          <w:p w14:paraId="6FC09E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35 мин.</w:t>
            </w:r>
          </w:p>
          <w:p w14:paraId="4B8EEE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(Сделано 3 полета).</w:t>
            </w:r>
          </w:p>
        </w:tc>
      </w:tr>
      <w:tr w:rsidR="00A259BD" w:rsidRPr="00A259BD" w14:paraId="74ECD5B5" w14:textId="77777777">
        <w:tc>
          <w:tcPr>
            <w:tcW w:w="1985" w:type="dxa"/>
          </w:tcPr>
          <w:p w14:paraId="06CBA4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сентября 1929</w:t>
            </w:r>
          </w:p>
        </w:tc>
        <w:tc>
          <w:tcPr>
            <w:tcW w:w="5802" w:type="dxa"/>
          </w:tcPr>
          <w:p w14:paraId="4D69B9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6C049D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 Кушаков</w:t>
            </w:r>
          </w:p>
          <w:p w14:paraId="081563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300-700 м</w:t>
            </w:r>
          </w:p>
          <w:p w14:paraId="379455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–34 мин.</w:t>
            </w:r>
          </w:p>
          <w:p w14:paraId="50AC16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(Сделано 4 полета).</w:t>
            </w:r>
          </w:p>
        </w:tc>
      </w:tr>
      <w:tr w:rsidR="00A259BD" w:rsidRPr="00A259BD" w14:paraId="4051063B" w14:textId="77777777">
        <w:tc>
          <w:tcPr>
            <w:tcW w:w="1985" w:type="dxa"/>
          </w:tcPr>
          <w:p w14:paraId="3CCF7B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сентября 1929</w:t>
            </w:r>
          </w:p>
        </w:tc>
        <w:tc>
          <w:tcPr>
            <w:tcW w:w="5802" w:type="dxa"/>
          </w:tcPr>
          <w:p w14:paraId="7ED271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6A52F7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0BF02A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2000 м</w:t>
            </w:r>
          </w:p>
          <w:p w14:paraId="17AC8B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 час 13 мин.</w:t>
            </w:r>
          </w:p>
          <w:p w14:paraId="517994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3500F1D0" w14:textId="77777777">
        <w:tc>
          <w:tcPr>
            <w:tcW w:w="1985" w:type="dxa"/>
          </w:tcPr>
          <w:p w14:paraId="7F68C9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сентября 1929</w:t>
            </w:r>
          </w:p>
        </w:tc>
        <w:tc>
          <w:tcPr>
            <w:tcW w:w="5802" w:type="dxa"/>
          </w:tcPr>
          <w:p w14:paraId="7202F7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76EBC0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4D548C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1000 м</w:t>
            </w:r>
          </w:p>
          <w:p w14:paraId="3FA1CC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19 мин.</w:t>
            </w:r>
          </w:p>
          <w:p w14:paraId="3D3BAA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Сделаны фигуры.</w:t>
            </w:r>
          </w:p>
        </w:tc>
      </w:tr>
      <w:tr w:rsidR="00A259BD" w:rsidRPr="00A259BD" w14:paraId="4270D5C4" w14:textId="77777777">
        <w:tc>
          <w:tcPr>
            <w:tcW w:w="1985" w:type="dxa"/>
          </w:tcPr>
          <w:p w14:paraId="004987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30 сентября 1929</w:t>
            </w:r>
          </w:p>
        </w:tc>
        <w:tc>
          <w:tcPr>
            <w:tcW w:w="5802" w:type="dxa"/>
          </w:tcPr>
          <w:p w14:paraId="1FF2BD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3E4C0B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067311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2200 м</w:t>
            </w:r>
          </w:p>
          <w:p w14:paraId="077F3C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55 мин.</w:t>
            </w:r>
          </w:p>
          <w:p w14:paraId="374739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00165982" w14:textId="77777777">
        <w:tc>
          <w:tcPr>
            <w:tcW w:w="1985" w:type="dxa"/>
          </w:tcPr>
          <w:p w14:paraId="7DC59B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сентября 1929</w:t>
            </w:r>
          </w:p>
        </w:tc>
        <w:tc>
          <w:tcPr>
            <w:tcW w:w="5802" w:type="dxa"/>
          </w:tcPr>
          <w:p w14:paraId="20E727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Тренировочный полет в районе Смоленского аэродрома.</w:t>
            </w:r>
          </w:p>
          <w:p w14:paraId="5EDD10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 Кушаков</w:t>
            </w:r>
          </w:p>
          <w:p w14:paraId="61D079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1000 м</w:t>
            </w:r>
          </w:p>
          <w:p w14:paraId="15D0A3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27 мин.</w:t>
            </w:r>
          </w:p>
        </w:tc>
      </w:tr>
      <w:tr w:rsidR="00A259BD" w:rsidRPr="00A259BD" w14:paraId="38ECF5AA" w14:textId="77777777">
        <w:tc>
          <w:tcPr>
            <w:tcW w:w="1985" w:type="dxa"/>
          </w:tcPr>
          <w:p w14:paraId="747486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сентября 1929</w:t>
            </w:r>
          </w:p>
        </w:tc>
        <w:tc>
          <w:tcPr>
            <w:tcW w:w="5802" w:type="dxa"/>
          </w:tcPr>
          <w:p w14:paraId="35495D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 и провозной полет.</w:t>
            </w:r>
          </w:p>
          <w:p w14:paraId="5AA523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Пристром</w:t>
            </w:r>
            <w:proofErr w:type="spellEnd"/>
          </w:p>
          <w:p w14:paraId="0C4F5C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900 м</w:t>
            </w:r>
          </w:p>
          <w:p w14:paraId="5BA848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35 мин.</w:t>
            </w:r>
          </w:p>
          <w:p w14:paraId="61EC14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127F0A48" w14:textId="77777777">
        <w:tc>
          <w:tcPr>
            <w:tcW w:w="1985" w:type="dxa"/>
          </w:tcPr>
          <w:p w14:paraId="75993B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сентября 1929</w:t>
            </w:r>
          </w:p>
        </w:tc>
        <w:tc>
          <w:tcPr>
            <w:tcW w:w="5802" w:type="dxa"/>
          </w:tcPr>
          <w:p w14:paraId="128C4E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2BAF5C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Пристром</w:t>
            </w:r>
            <w:proofErr w:type="spellEnd"/>
          </w:p>
          <w:p w14:paraId="018456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800 м</w:t>
            </w:r>
          </w:p>
          <w:p w14:paraId="4CF883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55 мин.</w:t>
            </w:r>
          </w:p>
          <w:p w14:paraId="74E865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37B09521" w14:textId="77777777">
        <w:tc>
          <w:tcPr>
            <w:tcW w:w="1985" w:type="dxa"/>
          </w:tcPr>
          <w:p w14:paraId="2EBA1A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сентября 1929</w:t>
            </w:r>
          </w:p>
        </w:tc>
        <w:tc>
          <w:tcPr>
            <w:tcW w:w="5802" w:type="dxa"/>
          </w:tcPr>
          <w:p w14:paraId="34A463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Тренировочный полет в районе Смоленского аэродрома.</w:t>
            </w:r>
          </w:p>
          <w:p w14:paraId="219584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 Кушаков</w:t>
            </w:r>
          </w:p>
          <w:p w14:paraId="7FF85C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900 м</w:t>
            </w:r>
          </w:p>
          <w:p w14:paraId="760C78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18 мин.</w:t>
            </w:r>
          </w:p>
          <w:p w14:paraId="57717C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732A726C" w14:textId="77777777">
        <w:tc>
          <w:tcPr>
            <w:tcW w:w="1985" w:type="dxa"/>
          </w:tcPr>
          <w:p w14:paraId="0C55D2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сентября 1929</w:t>
            </w:r>
          </w:p>
        </w:tc>
        <w:tc>
          <w:tcPr>
            <w:tcW w:w="5802" w:type="dxa"/>
          </w:tcPr>
          <w:p w14:paraId="5374A0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3C37FF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4B61E4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1000 м</w:t>
            </w:r>
          </w:p>
          <w:p w14:paraId="057AFA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28 мин.</w:t>
            </w:r>
          </w:p>
          <w:p w14:paraId="59E9A3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689A3DD2" w14:textId="77777777">
        <w:tc>
          <w:tcPr>
            <w:tcW w:w="1985" w:type="dxa"/>
          </w:tcPr>
          <w:p w14:paraId="3E7494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октября 1929 года</w:t>
            </w:r>
          </w:p>
        </w:tc>
        <w:tc>
          <w:tcPr>
            <w:tcW w:w="5802" w:type="dxa"/>
          </w:tcPr>
          <w:p w14:paraId="1982B7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46BAC4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060758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1200 м</w:t>
            </w:r>
          </w:p>
          <w:p w14:paraId="62DB79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 час 25 мин.</w:t>
            </w:r>
          </w:p>
          <w:p w14:paraId="18C56A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03202F5A" w14:textId="77777777">
        <w:tc>
          <w:tcPr>
            <w:tcW w:w="1985" w:type="dxa"/>
          </w:tcPr>
          <w:p w14:paraId="00428C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октября 1929 года</w:t>
            </w:r>
          </w:p>
        </w:tc>
        <w:tc>
          <w:tcPr>
            <w:tcW w:w="5802" w:type="dxa"/>
          </w:tcPr>
          <w:p w14:paraId="140F94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34D0B9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Пристром</w:t>
            </w:r>
            <w:proofErr w:type="spellEnd"/>
          </w:p>
          <w:p w14:paraId="466E88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1000 м</w:t>
            </w:r>
          </w:p>
          <w:p w14:paraId="196DC9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 час 10 мин.</w:t>
            </w:r>
          </w:p>
          <w:p w14:paraId="23E0D3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bl>
    <w:p w14:paraId="04C537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(6999, 158-160).</w:t>
      </w:r>
    </w:p>
    <w:p w14:paraId="1CEE54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E3956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сентября 1929 приезжал </w:t>
      </w:r>
      <w:proofErr w:type="spellStart"/>
      <w:r w:rsidRPr="00A259BD">
        <w:rPr>
          <w:rFonts w:ascii="Times New Roman" w:hAnsi="Times New Roman"/>
          <w:color w:val="000000" w:themeColor="text1"/>
          <w:sz w:val="16"/>
          <w:szCs w:val="16"/>
        </w:rPr>
        <w:t>П.И.Баранов</w:t>
      </w:r>
      <w:proofErr w:type="spellEnd"/>
      <w:r w:rsidRPr="00A259BD">
        <w:rPr>
          <w:rFonts w:ascii="Times New Roman" w:hAnsi="Times New Roman"/>
          <w:color w:val="000000" w:themeColor="text1"/>
          <w:sz w:val="16"/>
          <w:szCs w:val="16"/>
        </w:rPr>
        <w:t xml:space="preserve"> и с членом НТК УВВС </w:t>
      </w:r>
      <w:proofErr w:type="spellStart"/>
      <w:r w:rsidRPr="00A259BD">
        <w:rPr>
          <w:rFonts w:ascii="Times New Roman" w:hAnsi="Times New Roman"/>
          <w:color w:val="000000" w:themeColor="text1"/>
          <w:sz w:val="16"/>
          <w:szCs w:val="16"/>
        </w:rPr>
        <w:t>Б.Т.Горощенко</w:t>
      </w:r>
      <w:proofErr w:type="spellEnd"/>
      <w:r w:rsidRPr="00A259BD">
        <w:rPr>
          <w:rFonts w:ascii="Times New Roman" w:hAnsi="Times New Roman"/>
          <w:color w:val="000000" w:themeColor="text1"/>
          <w:sz w:val="16"/>
          <w:szCs w:val="16"/>
        </w:rPr>
        <w:t xml:space="preserve"> на КАСКР-1 было совершено три полета на 15-20 м (79,154).</w:t>
      </w:r>
    </w:p>
    <w:p w14:paraId="78B728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8C274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CCB90C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7F09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сентября 1929 было направлено письмо в УММ РККА Зам. Наркомвоенмора и пред РВСС Тухачевскому:</w:t>
      </w:r>
    </w:p>
    <w:p w14:paraId="3CA204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“...Хочу сообщить вам некоторые итоги прошедшего года и </w:t>
      </w:r>
      <w:proofErr w:type="spellStart"/>
      <w:r w:rsidRPr="00A259BD">
        <w:rPr>
          <w:rFonts w:ascii="Times New Roman" w:hAnsi="Times New Roman"/>
          <w:color w:val="000000" w:themeColor="text1"/>
          <w:sz w:val="16"/>
          <w:szCs w:val="16"/>
        </w:rPr>
        <w:t>сделанны</w:t>
      </w:r>
      <w:proofErr w:type="spellEnd"/>
      <w:r w:rsidRPr="00A259BD">
        <w:rPr>
          <w:rFonts w:ascii="Times New Roman" w:hAnsi="Times New Roman"/>
          <w:color w:val="000000" w:themeColor="text1"/>
          <w:sz w:val="16"/>
          <w:szCs w:val="16"/>
        </w:rPr>
        <w:t xml:space="preserve"> нами выводы::</w:t>
      </w:r>
    </w:p>
    <w:p w14:paraId="2EA076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Относительно учений механизированных частей в зимнее время имею сообщить следующее.</w:t>
      </w:r>
    </w:p>
    <w:p w14:paraId="5CE981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Запланированные учения проведены не более, чем на треть... Причиной этого является большой уровень снега - не менее 0.5 м...</w:t>
      </w:r>
    </w:p>
    <w:p w14:paraId="051958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Мотоциклетная рота не смогла двигаться даже по дорогам потому, что мотоциклет-одиночка типа Харлей </w:t>
      </w:r>
      <w:proofErr w:type="spellStart"/>
      <w:r w:rsidRPr="00A259BD">
        <w:rPr>
          <w:rFonts w:ascii="Times New Roman" w:hAnsi="Times New Roman"/>
          <w:color w:val="000000" w:themeColor="text1"/>
          <w:sz w:val="16"/>
          <w:szCs w:val="16"/>
        </w:rPr>
        <w:t>Давидсон</w:t>
      </w:r>
      <w:proofErr w:type="spellEnd"/>
      <w:r w:rsidRPr="00A259BD">
        <w:rPr>
          <w:rFonts w:ascii="Times New Roman" w:hAnsi="Times New Roman"/>
          <w:color w:val="000000" w:themeColor="text1"/>
          <w:sz w:val="16"/>
          <w:szCs w:val="16"/>
        </w:rPr>
        <w:t xml:space="preserve"> слишком тяжел... и удержаться на нем по не укатанной дороге практически невозможно. </w:t>
      </w:r>
      <w:proofErr w:type="spellStart"/>
      <w:r w:rsidRPr="00A259BD">
        <w:rPr>
          <w:rFonts w:ascii="Times New Roman" w:hAnsi="Times New Roman"/>
          <w:color w:val="000000" w:themeColor="text1"/>
          <w:sz w:val="16"/>
          <w:szCs w:val="16"/>
        </w:rPr>
        <w:t>КЕще</w:t>
      </w:r>
      <w:proofErr w:type="spellEnd"/>
      <w:r w:rsidRPr="00A259BD">
        <w:rPr>
          <w:rFonts w:ascii="Times New Roman" w:hAnsi="Times New Roman"/>
          <w:color w:val="000000" w:themeColor="text1"/>
          <w:sz w:val="16"/>
          <w:szCs w:val="16"/>
        </w:rPr>
        <w:t xml:space="preserve"> хуже ведут себя на заснеженных дорогах мотоциклеты с прицепками, т.к. они не только тяжелы, но имеют неудачно распределенный вес из-за расположения прицепки сбоку от ведущего колеса.</w:t>
      </w:r>
    </w:p>
    <w:p w14:paraId="3869BF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Считаю, что назрела пора нашим инженерам дать КА средство, при помощи которого наша механизация не будет условной... с тем, чтобы выходя на зимние учения или даже боевые действия, мы не подменяли наши быстрые мотоциклеты </w:t>
      </w:r>
      <w:proofErr w:type="spellStart"/>
      <w:r w:rsidRPr="00A259BD">
        <w:rPr>
          <w:rFonts w:ascii="Times New Roman" w:hAnsi="Times New Roman"/>
          <w:color w:val="000000" w:themeColor="text1"/>
          <w:sz w:val="16"/>
          <w:szCs w:val="16"/>
        </w:rPr>
        <w:t>мобилизлованной</w:t>
      </w:r>
      <w:proofErr w:type="spellEnd"/>
      <w:r w:rsidRPr="00A259BD">
        <w:rPr>
          <w:rFonts w:ascii="Times New Roman" w:hAnsi="Times New Roman"/>
          <w:color w:val="000000" w:themeColor="text1"/>
          <w:sz w:val="16"/>
          <w:szCs w:val="16"/>
        </w:rPr>
        <w:t xml:space="preserve"> крестьянской клячей...”</w:t>
      </w:r>
    </w:p>
    <w:p w14:paraId="4BD70A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Резолюция: Нач. управления по </w:t>
      </w:r>
      <w:proofErr w:type="spellStart"/>
      <w:r w:rsidRPr="00A259BD">
        <w:rPr>
          <w:rFonts w:ascii="Times New Roman" w:hAnsi="Times New Roman"/>
          <w:color w:val="000000" w:themeColor="text1"/>
          <w:sz w:val="16"/>
          <w:szCs w:val="16"/>
        </w:rPr>
        <w:t>механиз</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моторизз</w:t>
      </w:r>
      <w:proofErr w:type="spellEnd"/>
      <w:r w:rsidRPr="00A259BD">
        <w:rPr>
          <w:rFonts w:ascii="Times New Roman" w:hAnsi="Times New Roman"/>
          <w:color w:val="000000" w:themeColor="text1"/>
          <w:sz w:val="16"/>
          <w:szCs w:val="16"/>
        </w:rPr>
        <w:t xml:space="preserve">. КА т </w:t>
      </w:r>
      <w:proofErr w:type="spellStart"/>
      <w:r w:rsidRPr="00A259BD">
        <w:rPr>
          <w:rFonts w:ascii="Times New Roman" w:hAnsi="Times New Roman"/>
          <w:color w:val="000000" w:themeColor="text1"/>
          <w:sz w:val="16"/>
          <w:szCs w:val="16"/>
        </w:rPr>
        <w:t>Халепскому</w:t>
      </w:r>
      <w:proofErr w:type="spellEnd"/>
      <w:r w:rsidRPr="00A259BD">
        <w:rPr>
          <w:rFonts w:ascii="Times New Roman" w:hAnsi="Times New Roman"/>
          <w:color w:val="000000" w:themeColor="text1"/>
          <w:sz w:val="16"/>
          <w:szCs w:val="16"/>
        </w:rPr>
        <w:t xml:space="preserve">: И.А.! Прошу заняться, т.к. зимой КА не в состоянии! </w:t>
      </w:r>
      <w:proofErr w:type="spellStart"/>
      <w:r w:rsidRPr="00A259BD">
        <w:rPr>
          <w:rFonts w:ascii="Times New Roman" w:hAnsi="Times New Roman"/>
          <w:color w:val="000000" w:themeColor="text1"/>
          <w:sz w:val="16"/>
          <w:szCs w:val="16"/>
        </w:rPr>
        <w:t>Тухачевск</w:t>
      </w:r>
      <w:proofErr w:type="spellEnd"/>
      <w:r w:rsidRPr="00A259BD">
        <w:rPr>
          <w:rFonts w:ascii="Times New Roman" w:hAnsi="Times New Roman"/>
          <w:color w:val="000000" w:themeColor="text1"/>
          <w:sz w:val="16"/>
          <w:szCs w:val="16"/>
        </w:rPr>
        <w:t>...(7690,16).</w:t>
      </w:r>
    </w:p>
    <w:p w14:paraId="13BB51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329C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сентября 1929 газета “Ижевская прав</w:t>
      </w:r>
      <w:r w:rsidRPr="00A259BD">
        <w:rPr>
          <w:rFonts w:ascii="Times New Roman" w:hAnsi="Times New Roman"/>
          <w:color w:val="000000" w:themeColor="text1"/>
          <w:sz w:val="16"/>
          <w:szCs w:val="16"/>
        </w:rPr>
        <w:softHyphen/>
        <w:t>да” проинформировала, что “из Москвы от АВТОДОРА получе</w:t>
      </w:r>
      <w:r w:rsidRPr="00A259BD">
        <w:rPr>
          <w:rFonts w:ascii="Times New Roman" w:hAnsi="Times New Roman"/>
          <w:color w:val="000000" w:themeColor="text1"/>
          <w:sz w:val="16"/>
          <w:szCs w:val="16"/>
        </w:rPr>
        <w:softHyphen/>
        <w:t>но телеграфное сообщение, о переносе начала пробега с 9 сентяб</w:t>
      </w:r>
      <w:r w:rsidRPr="00A259BD">
        <w:rPr>
          <w:rFonts w:ascii="Times New Roman" w:hAnsi="Times New Roman"/>
          <w:color w:val="000000" w:themeColor="text1"/>
          <w:sz w:val="16"/>
          <w:szCs w:val="16"/>
        </w:rPr>
        <w:softHyphen/>
        <w:t xml:space="preserve">ря на одно из ближайших воскресений - 15 или 22 сентября”. [3.78]. На следующий день в той же газете опубликовали статью о том, как идут дела с подготовкой мотоциклов. Читатели узнали что, в </w:t>
      </w:r>
      <w:proofErr w:type="spellStart"/>
      <w:r w:rsidRPr="00A259BD">
        <w:rPr>
          <w:rFonts w:ascii="Times New Roman" w:hAnsi="Times New Roman"/>
          <w:color w:val="000000" w:themeColor="text1"/>
          <w:sz w:val="16"/>
          <w:szCs w:val="16"/>
        </w:rPr>
        <w:t>мотосекции</w:t>
      </w:r>
      <w:proofErr w:type="spellEnd"/>
      <w:r w:rsidRPr="00A259BD">
        <w:rPr>
          <w:rFonts w:ascii="Times New Roman" w:hAnsi="Times New Roman"/>
          <w:color w:val="000000" w:themeColor="text1"/>
          <w:sz w:val="16"/>
          <w:szCs w:val="16"/>
        </w:rPr>
        <w:t xml:space="preserve"> работали по 12-14 часов, П.В. Можаров болел, но трудился наравне со всеми, мотоциклы ИЖ-1 и ИЖ-2 ещё не испытали. Показательно, что об ИЖ-6 в этой публикации не упо</w:t>
      </w:r>
      <w:r w:rsidRPr="00A259BD">
        <w:rPr>
          <w:rFonts w:ascii="Times New Roman" w:hAnsi="Times New Roman"/>
          <w:color w:val="000000" w:themeColor="text1"/>
          <w:sz w:val="16"/>
          <w:szCs w:val="16"/>
        </w:rPr>
        <w:softHyphen/>
        <w:t>миналось [3.79] (11429).</w:t>
      </w:r>
    </w:p>
    <w:p w14:paraId="74B4584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AA7BAC" w14:textId="4637EE75" w:rsidR="00F547C5" w:rsidRPr="00A259BD" w:rsidRDefault="00F547C5" w:rsidP="009236E3">
      <w:pPr>
        <w:autoSpaceDE w:val="0"/>
        <w:autoSpaceDN w:val="0"/>
        <w:adjustRightInd w:val="0"/>
        <w:spacing w:after="0" w:line="240" w:lineRule="auto"/>
        <w:jc w:val="both"/>
        <w:rPr>
          <w:rFonts w:ascii="Times New Roman" w:hAnsi="Times New Roman"/>
          <w:i/>
          <w:color w:val="000000" w:themeColor="text1"/>
          <w:sz w:val="16"/>
          <w:szCs w:val="16"/>
        </w:rPr>
      </w:pPr>
      <w:r w:rsidRPr="00A259BD">
        <w:rPr>
          <w:rFonts w:ascii="Times New Roman" w:hAnsi="Times New Roman"/>
          <w:i/>
          <w:color w:val="000000" w:themeColor="text1"/>
          <w:sz w:val="16"/>
          <w:szCs w:val="16"/>
        </w:rPr>
        <w:t>Авиа</w:t>
      </w:r>
      <w:r w:rsidR="00A66A25" w:rsidRPr="00A259BD">
        <w:rPr>
          <w:rFonts w:ascii="Times New Roman" w:hAnsi="Times New Roman"/>
          <w:i/>
          <w:color w:val="000000" w:themeColor="text1"/>
          <w:sz w:val="16"/>
          <w:szCs w:val="16"/>
        </w:rPr>
        <w:t>промышленность</w:t>
      </w:r>
      <w:r w:rsidRPr="00A259BD">
        <w:rPr>
          <w:rFonts w:ascii="Times New Roman" w:hAnsi="Times New Roman"/>
          <w:i/>
          <w:color w:val="000000" w:themeColor="text1"/>
          <w:sz w:val="16"/>
          <w:szCs w:val="16"/>
        </w:rPr>
        <w:t>:</w:t>
      </w:r>
    </w:p>
    <w:p w14:paraId="38574908" w14:textId="77777777" w:rsidR="00F547C5" w:rsidRPr="00A259BD" w:rsidRDefault="00F547C5" w:rsidP="009236E3">
      <w:pPr>
        <w:autoSpaceDE w:val="0"/>
        <w:autoSpaceDN w:val="0"/>
        <w:adjustRightInd w:val="0"/>
        <w:spacing w:after="0" w:line="240" w:lineRule="auto"/>
        <w:jc w:val="both"/>
        <w:rPr>
          <w:rFonts w:ascii="Times New Roman" w:hAnsi="Times New Roman"/>
          <w:i/>
          <w:color w:val="000000" w:themeColor="text1"/>
          <w:sz w:val="16"/>
          <w:szCs w:val="16"/>
        </w:rPr>
      </w:pPr>
    </w:p>
    <w:p w14:paraId="786BCE2D" w14:textId="77777777" w:rsidR="00A66A25" w:rsidRPr="00A259BD" w:rsidRDefault="00A66A2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lang w:eastAsia="ru-RU" w:bidi="ru-RU"/>
        </w:rPr>
        <w:t>3 сентября 1929 г. во время взве</w:t>
      </w:r>
      <w:r w:rsidRPr="00A259BD">
        <w:rPr>
          <w:rFonts w:ascii="Times New Roman" w:hAnsi="Times New Roman"/>
          <w:color w:val="000000" w:themeColor="text1"/>
          <w:sz w:val="16"/>
          <w:szCs w:val="16"/>
          <w:lang w:eastAsia="ru-RU" w:bidi="ru-RU"/>
        </w:rPr>
        <w:softHyphen/>
        <w:t>шивания при спуске самолета РОМ-2 с весов вырвало зажимной замок левого нижнего узла крепления пере</w:t>
      </w:r>
      <w:r w:rsidRPr="00A259BD">
        <w:rPr>
          <w:rFonts w:ascii="Times New Roman" w:hAnsi="Times New Roman"/>
          <w:color w:val="000000" w:themeColor="text1"/>
          <w:sz w:val="16"/>
          <w:szCs w:val="16"/>
          <w:lang w:eastAsia="ru-RU" w:bidi="ru-RU"/>
        </w:rPr>
        <w:softHyphen/>
        <w:t>катного шасси, после чего оси обоих колес вышли из нижних узлов крепления. Ноги шасси, не имея второй точки опоры, не выдержали и надломились, и самолет, опу</w:t>
      </w:r>
      <w:r w:rsidRPr="00A259BD">
        <w:rPr>
          <w:rFonts w:ascii="Times New Roman" w:hAnsi="Times New Roman"/>
          <w:color w:val="000000" w:themeColor="text1"/>
          <w:sz w:val="16"/>
          <w:szCs w:val="16"/>
          <w:lang w:eastAsia="ru-RU" w:bidi="ru-RU"/>
        </w:rPr>
        <w:softHyphen/>
        <w:t>стившись на киль, накренился на правый поплавок. Как от</w:t>
      </w:r>
      <w:r w:rsidRPr="00A259BD">
        <w:rPr>
          <w:rFonts w:ascii="Times New Roman" w:hAnsi="Times New Roman"/>
          <w:color w:val="000000" w:themeColor="text1"/>
          <w:sz w:val="16"/>
          <w:szCs w:val="16"/>
          <w:lang w:eastAsia="ru-RU" w:bidi="ru-RU"/>
        </w:rPr>
        <w:softHyphen/>
        <w:t>мечено в соответствующем акте: «Комиссия нашла:</w:t>
      </w:r>
    </w:p>
    <w:p w14:paraId="5AD19F57" w14:textId="77777777" w:rsidR="00A66A25" w:rsidRPr="00A259BD" w:rsidRDefault="00A66A25" w:rsidP="009236E3">
      <w:pPr>
        <w:widowControl w:val="0"/>
        <w:tabs>
          <w:tab w:val="left" w:pos="452"/>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lang w:eastAsia="ru-RU" w:bidi="ru-RU"/>
        </w:rPr>
        <w:t>На нижнем узле крепления шасси срезало валик крепления зажимного замка и смяло стопорный болт за</w:t>
      </w:r>
      <w:r w:rsidRPr="00A259BD">
        <w:rPr>
          <w:rFonts w:ascii="Times New Roman" w:hAnsi="Times New Roman"/>
          <w:color w:val="000000" w:themeColor="text1"/>
          <w:sz w:val="16"/>
          <w:szCs w:val="16"/>
          <w:lang w:eastAsia="ru-RU" w:bidi="ru-RU"/>
        </w:rPr>
        <w:softHyphen/>
        <w:t>щелки зажимного замка.</w:t>
      </w:r>
    </w:p>
    <w:p w14:paraId="36DAA459" w14:textId="77777777" w:rsidR="00A66A25" w:rsidRPr="00A259BD" w:rsidRDefault="00A66A25" w:rsidP="009236E3">
      <w:pPr>
        <w:widowControl w:val="0"/>
        <w:tabs>
          <w:tab w:val="left" w:pos="632"/>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lang w:eastAsia="ru-RU" w:bidi="ru-RU"/>
        </w:rPr>
        <w:t>Поломаны ноги правого и левого шасси.</w:t>
      </w:r>
    </w:p>
    <w:p w14:paraId="7CDFB8B4" w14:textId="77777777" w:rsidR="00A66A25" w:rsidRPr="00A259BD" w:rsidRDefault="00A66A25" w:rsidP="009236E3">
      <w:pPr>
        <w:widowControl w:val="0"/>
        <w:tabs>
          <w:tab w:val="left" w:pos="44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lang w:eastAsia="ru-RU" w:bidi="ru-RU"/>
        </w:rPr>
        <w:t>Имеется вмятина у хвоста деревянного киля правого поплавка.</w:t>
      </w:r>
    </w:p>
    <w:p w14:paraId="2DBDD172" w14:textId="77777777" w:rsidR="00A66A25" w:rsidRPr="00A259BD" w:rsidRDefault="00A66A25" w:rsidP="009236E3">
      <w:pPr>
        <w:widowControl w:val="0"/>
        <w:tabs>
          <w:tab w:val="left" w:pos="44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lang w:eastAsia="ru-RU" w:bidi="ru-RU"/>
        </w:rPr>
        <w:t>Прорезан тросом правый и левый кильсон в отсеке уз</w:t>
      </w:r>
      <w:r w:rsidRPr="00A259BD">
        <w:rPr>
          <w:rFonts w:ascii="Times New Roman" w:hAnsi="Times New Roman"/>
          <w:color w:val="000000" w:themeColor="text1"/>
          <w:sz w:val="16"/>
          <w:szCs w:val="16"/>
          <w:lang w:eastAsia="ru-RU" w:bidi="ru-RU"/>
        </w:rPr>
        <w:softHyphen/>
        <w:t>лов крепления шасси.</w:t>
      </w:r>
    </w:p>
    <w:p w14:paraId="6618C639" w14:textId="77777777" w:rsidR="00A66A25" w:rsidRPr="00A259BD" w:rsidRDefault="00A66A25" w:rsidP="009236E3">
      <w:pPr>
        <w:spacing w:after="0" w:line="240" w:lineRule="auto"/>
        <w:jc w:val="both"/>
        <w:rPr>
          <w:rFonts w:ascii="Times New Roman" w:hAnsi="Times New Roman"/>
          <w:color w:val="000000" w:themeColor="text1"/>
          <w:sz w:val="16"/>
          <w:szCs w:val="16"/>
          <w:lang w:eastAsia="ru-RU" w:bidi="ru-RU"/>
        </w:rPr>
      </w:pPr>
      <w:r w:rsidRPr="00A259BD">
        <w:rPr>
          <w:rFonts w:ascii="Times New Roman" w:hAnsi="Times New Roman"/>
          <w:color w:val="000000" w:themeColor="text1"/>
          <w:sz w:val="16"/>
          <w:szCs w:val="16"/>
          <w:lang w:eastAsia="ru-RU" w:bidi="ru-RU"/>
        </w:rPr>
        <w:t>Основной причиной поломки Комиссия считает недоста</w:t>
      </w:r>
      <w:r w:rsidRPr="00A259BD">
        <w:rPr>
          <w:rFonts w:ascii="Times New Roman" w:hAnsi="Times New Roman"/>
          <w:color w:val="000000" w:themeColor="text1"/>
          <w:sz w:val="16"/>
          <w:szCs w:val="16"/>
          <w:lang w:eastAsia="ru-RU" w:bidi="ru-RU"/>
        </w:rPr>
        <w:softHyphen/>
        <w:t>точно конструктивно проработанный нижний узел крепле</w:t>
      </w:r>
      <w:r w:rsidRPr="00A259BD">
        <w:rPr>
          <w:rFonts w:ascii="Times New Roman" w:hAnsi="Times New Roman"/>
          <w:color w:val="000000" w:themeColor="text1"/>
          <w:sz w:val="16"/>
          <w:szCs w:val="16"/>
          <w:lang w:eastAsia="ru-RU" w:bidi="ru-RU"/>
        </w:rPr>
        <w:softHyphen/>
        <w:t>ния шасси, так как главное усилие воспринимается защел</w:t>
      </w:r>
      <w:r w:rsidRPr="00A259BD">
        <w:rPr>
          <w:rFonts w:ascii="Times New Roman" w:hAnsi="Times New Roman"/>
          <w:color w:val="000000" w:themeColor="text1"/>
          <w:sz w:val="16"/>
          <w:szCs w:val="16"/>
          <w:lang w:eastAsia="ru-RU" w:bidi="ru-RU"/>
        </w:rPr>
        <w:softHyphen/>
        <w:t>кой зажимного болта, которая была закреплена стопорным болтом, державшимся на трении» (20325).</w:t>
      </w:r>
    </w:p>
    <w:p w14:paraId="5F79614E" w14:textId="77777777" w:rsidR="00A66A25" w:rsidRPr="00A259BD" w:rsidRDefault="00A66A25" w:rsidP="009236E3">
      <w:pPr>
        <w:spacing w:after="0" w:line="240" w:lineRule="auto"/>
        <w:jc w:val="both"/>
        <w:rPr>
          <w:rFonts w:ascii="Times New Roman" w:hAnsi="Times New Roman"/>
          <w:color w:val="000000" w:themeColor="text1"/>
          <w:sz w:val="16"/>
          <w:szCs w:val="16"/>
        </w:rPr>
      </w:pPr>
    </w:p>
    <w:p w14:paraId="3A9A5084" w14:textId="77777777" w:rsidR="00A66A25" w:rsidRPr="00A259BD" w:rsidRDefault="00A66A2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сентября 1929 АНТ-4 Страна Советов дублер прибыл в Хабаровск. Здесь начинал</w:t>
      </w:r>
      <w:r w:rsidRPr="00A259BD">
        <w:rPr>
          <w:rFonts w:ascii="Times New Roman" w:hAnsi="Times New Roman"/>
          <w:color w:val="000000" w:themeColor="text1"/>
          <w:sz w:val="16"/>
          <w:szCs w:val="16"/>
        </w:rPr>
        <w:softHyphen/>
        <w:t>ся морской этап перелета, для чего следовало сменить колеса на поплавки. Проблемой ока</w:t>
      </w:r>
      <w:r w:rsidRPr="00A259BD">
        <w:rPr>
          <w:rFonts w:ascii="Times New Roman" w:hAnsi="Times New Roman"/>
          <w:color w:val="000000" w:themeColor="text1"/>
          <w:sz w:val="16"/>
          <w:szCs w:val="16"/>
        </w:rPr>
        <w:softHyphen/>
        <w:t>залась доставка самолета с аэродрома на Амур. Машину с почти тридцатиметровым раз</w:t>
      </w:r>
      <w:r w:rsidRPr="00A259BD">
        <w:rPr>
          <w:rFonts w:ascii="Times New Roman" w:hAnsi="Times New Roman"/>
          <w:color w:val="000000" w:themeColor="text1"/>
          <w:sz w:val="16"/>
          <w:szCs w:val="16"/>
        </w:rPr>
        <w:softHyphen/>
        <w:t>махом крыла пришлось буксировать к реке в обход города, устраняя по пути неровности и препятствия. Наконец, через 2 дня добрались до базы Амурской речной флотилии, где прис</w:t>
      </w:r>
      <w:r w:rsidRPr="00A259BD">
        <w:rPr>
          <w:rFonts w:ascii="Times New Roman" w:hAnsi="Times New Roman"/>
          <w:color w:val="000000" w:themeColor="text1"/>
          <w:sz w:val="16"/>
          <w:szCs w:val="16"/>
        </w:rPr>
        <w:softHyphen/>
        <w:t>тупили к смене двигателей и установке поплав</w:t>
      </w:r>
      <w:r w:rsidRPr="00A259BD">
        <w:rPr>
          <w:rFonts w:ascii="Times New Roman" w:hAnsi="Times New Roman"/>
          <w:color w:val="000000" w:themeColor="text1"/>
          <w:sz w:val="16"/>
          <w:szCs w:val="16"/>
        </w:rPr>
        <w:softHyphen/>
        <w:t>ков. Одновременно машину оснастили радио</w:t>
      </w:r>
      <w:r w:rsidRPr="00A259BD">
        <w:rPr>
          <w:rFonts w:ascii="Times New Roman" w:hAnsi="Times New Roman"/>
          <w:color w:val="000000" w:themeColor="text1"/>
          <w:sz w:val="16"/>
          <w:szCs w:val="16"/>
        </w:rPr>
        <w:softHyphen/>
        <w:t>станцией для связи с морскими судами и пор</w:t>
      </w:r>
      <w:r w:rsidRPr="00A259BD">
        <w:rPr>
          <w:rFonts w:ascii="Times New Roman" w:hAnsi="Times New Roman"/>
          <w:color w:val="000000" w:themeColor="text1"/>
          <w:sz w:val="16"/>
          <w:szCs w:val="16"/>
        </w:rPr>
        <w:softHyphen/>
        <w:t>тами. При полете над Сибирью радиосвязь не велась по причине отсутствия там аэродром</w:t>
      </w:r>
      <w:r w:rsidRPr="00A259BD">
        <w:rPr>
          <w:rFonts w:ascii="Times New Roman" w:hAnsi="Times New Roman"/>
          <w:color w:val="000000" w:themeColor="text1"/>
          <w:sz w:val="16"/>
          <w:szCs w:val="16"/>
        </w:rPr>
        <w:softHyphen/>
        <w:t>ных радиостанций. Самолетная рация работа</w:t>
      </w:r>
      <w:r w:rsidRPr="00A259BD">
        <w:rPr>
          <w:rFonts w:ascii="Times New Roman" w:hAnsi="Times New Roman"/>
          <w:color w:val="000000" w:themeColor="text1"/>
          <w:sz w:val="16"/>
          <w:szCs w:val="16"/>
        </w:rPr>
        <w:softHyphen/>
        <w:t>ла в телеграфном режиме, поэтому Стерлигову пришлось в короткий срок изучить работу на телеграфном ключе (по нормам, требовалось принимать не менее 100 знаков в минуту). Погода в Хабаровске стояла прекрасная, поэтому экипаж даже смог искупаться в Аму</w:t>
      </w:r>
      <w:r w:rsidRPr="00A259BD">
        <w:rPr>
          <w:rFonts w:ascii="Times New Roman" w:hAnsi="Times New Roman"/>
          <w:color w:val="000000" w:themeColor="text1"/>
          <w:sz w:val="16"/>
          <w:szCs w:val="16"/>
        </w:rPr>
        <w:softHyphen/>
        <w:t>ре. В эти дни Шестаков с Болотовым крепко повздорили. Дело заключалось в том, что при полете над водой Болотов, как опытный мор</w:t>
      </w:r>
      <w:r w:rsidRPr="00A259BD">
        <w:rPr>
          <w:rFonts w:ascii="Times New Roman" w:hAnsi="Times New Roman"/>
          <w:color w:val="000000" w:themeColor="text1"/>
          <w:sz w:val="16"/>
          <w:szCs w:val="16"/>
        </w:rPr>
        <w:softHyphen/>
        <w:t>ской летчик, должен был сидеть в левом крес</w:t>
      </w:r>
      <w:r w:rsidRPr="00A259BD">
        <w:rPr>
          <w:rFonts w:ascii="Times New Roman" w:hAnsi="Times New Roman"/>
          <w:color w:val="000000" w:themeColor="text1"/>
          <w:sz w:val="16"/>
          <w:szCs w:val="16"/>
        </w:rPr>
        <w:softHyphen/>
        <w:t>ле. Однако Шестаков посчитал это посяга</w:t>
      </w:r>
      <w:r w:rsidRPr="00A259BD">
        <w:rPr>
          <w:rFonts w:ascii="Times New Roman" w:hAnsi="Times New Roman"/>
          <w:color w:val="000000" w:themeColor="text1"/>
          <w:sz w:val="16"/>
          <w:szCs w:val="16"/>
        </w:rPr>
        <w:softHyphen/>
        <w:t>тельством на свои командирские права и рез</w:t>
      </w:r>
      <w:r w:rsidRPr="00A259BD">
        <w:rPr>
          <w:rFonts w:ascii="Times New Roman" w:hAnsi="Times New Roman"/>
          <w:color w:val="000000" w:themeColor="text1"/>
          <w:sz w:val="16"/>
          <w:szCs w:val="16"/>
        </w:rPr>
        <w:softHyphen/>
        <w:t>ко воспротивился. Разбирательство дошло до Москвы, и Климент Ворошилов лично телегра</w:t>
      </w:r>
      <w:r w:rsidRPr="00A259BD">
        <w:rPr>
          <w:rFonts w:ascii="Times New Roman" w:hAnsi="Times New Roman"/>
          <w:color w:val="000000" w:themeColor="text1"/>
          <w:sz w:val="16"/>
          <w:szCs w:val="16"/>
        </w:rPr>
        <w:softHyphen/>
        <w:t>фировал Шестакову, что во время морского участка перелета ему придется сидеть справа (11286).</w:t>
      </w:r>
    </w:p>
    <w:p w14:paraId="4D0FA44E" w14:textId="77777777" w:rsidR="00A66A25" w:rsidRPr="00A259BD" w:rsidRDefault="00A66A2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394F3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lastRenderedPageBreak/>
        <w:t>Армия:</w:t>
      </w:r>
    </w:p>
    <w:p w14:paraId="6F9FCB7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04D64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сентября 1929 Даурская авиа</w:t>
      </w:r>
      <w:r w:rsidRPr="00A259BD">
        <w:rPr>
          <w:rFonts w:ascii="Times New Roman" w:hAnsi="Times New Roman"/>
          <w:color w:val="000000" w:themeColor="text1"/>
          <w:sz w:val="16"/>
          <w:szCs w:val="16"/>
        </w:rPr>
        <w:softHyphen/>
        <w:t>ция совершила отдельные полеты в районе ст. Маньчжурия - Далайнор. 7 сентября китайцы обстреляли ружей</w:t>
      </w:r>
      <w:r w:rsidRPr="00A259BD">
        <w:rPr>
          <w:rFonts w:ascii="Times New Roman" w:hAnsi="Times New Roman"/>
          <w:color w:val="000000" w:themeColor="text1"/>
          <w:sz w:val="16"/>
          <w:szCs w:val="16"/>
        </w:rPr>
        <w:softHyphen/>
        <w:t xml:space="preserve">ным огнем советский Р-1 при пролете </w:t>
      </w:r>
      <w:proofErr w:type="spellStart"/>
      <w:r w:rsidRPr="00A259BD">
        <w:rPr>
          <w:rFonts w:ascii="Times New Roman" w:hAnsi="Times New Roman"/>
          <w:color w:val="000000" w:themeColor="text1"/>
          <w:sz w:val="16"/>
          <w:szCs w:val="16"/>
        </w:rPr>
        <w:t>надлинией</w:t>
      </w:r>
      <w:proofErr w:type="spellEnd"/>
      <w:r w:rsidRPr="00A259BD">
        <w:rPr>
          <w:rFonts w:ascii="Times New Roman" w:hAnsi="Times New Roman"/>
          <w:color w:val="000000" w:themeColor="text1"/>
          <w:sz w:val="16"/>
          <w:szCs w:val="16"/>
        </w:rPr>
        <w:t xml:space="preserve"> окопов у Далайнор. Когда в тот же день они начали обстреливать другой наш самолет, также пролетав</w:t>
      </w:r>
      <w:r w:rsidRPr="00A259BD">
        <w:rPr>
          <w:rFonts w:ascii="Times New Roman" w:hAnsi="Times New Roman"/>
          <w:color w:val="000000" w:themeColor="text1"/>
          <w:sz w:val="16"/>
          <w:szCs w:val="16"/>
        </w:rPr>
        <w:softHyphen/>
        <w:t>ший над вражескими окопами, по про</w:t>
      </w:r>
      <w:r w:rsidRPr="00A259BD">
        <w:rPr>
          <w:rFonts w:ascii="Times New Roman" w:hAnsi="Times New Roman"/>
          <w:color w:val="000000" w:themeColor="text1"/>
          <w:sz w:val="16"/>
          <w:szCs w:val="16"/>
        </w:rPr>
        <w:softHyphen/>
        <w:t>тивнику открыли огонь наши пулемет</w:t>
      </w:r>
      <w:r w:rsidRPr="00A259BD">
        <w:rPr>
          <w:rFonts w:ascii="Times New Roman" w:hAnsi="Times New Roman"/>
          <w:color w:val="000000" w:themeColor="text1"/>
          <w:sz w:val="16"/>
          <w:szCs w:val="16"/>
        </w:rPr>
        <w:softHyphen/>
        <w:t>чики и артиллерия. Однако почти сразу же последовал приказ командования: без особой нужды по “</w:t>
      </w:r>
      <w:proofErr w:type="spellStart"/>
      <w:r w:rsidRPr="00A259BD">
        <w:rPr>
          <w:rFonts w:ascii="Times New Roman" w:hAnsi="Times New Roman"/>
          <w:color w:val="000000" w:themeColor="text1"/>
          <w:sz w:val="16"/>
          <w:szCs w:val="16"/>
        </w:rPr>
        <w:t>белокитайцам</w:t>
      </w:r>
      <w:proofErr w:type="spellEnd"/>
      <w:r w:rsidRPr="00A259BD">
        <w:rPr>
          <w:rFonts w:ascii="Times New Roman" w:hAnsi="Times New Roman"/>
          <w:color w:val="000000" w:themeColor="text1"/>
          <w:sz w:val="16"/>
          <w:szCs w:val="16"/>
        </w:rPr>
        <w:t>” не стрелять, чтобы не “раздувать” кон</w:t>
      </w:r>
      <w:r w:rsidRPr="00A259BD">
        <w:rPr>
          <w:rFonts w:ascii="Times New Roman" w:hAnsi="Times New Roman"/>
          <w:color w:val="000000" w:themeColor="text1"/>
          <w:sz w:val="16"/>
          <w:szCs w:val="16"/>
        </w:rPr>
        <w:softHyphen/>
        <w:t>фликт. 10 сентября в авиачастях про</w:t>
      </w:r>
      <w:r w:rsidRPr="00A259BD">
        <w:rPr>
          <w:rFonts w:ascii="Times New Roman" w:hAnsi="Times New Roman"/>
          <w:color w:val="000000" w:themeColor="text1"/>
          <w:sz w:val="16"/>
          <w:szCs w:val="16"/>
        </w:rPr>
        <w:softHyphen/>
        <w:t xml:space="preserve">вели учебные полеты со стрельбой по наземным мишеням, 15 и 20 сентября также организовали учебные полеты. Лишь 2 октября состоялись </w:t>
      </w:r>
      <w:proofErr w:type="spellStart"/>
      <w:r w:rsidRPr="00A259BD">
        <w:rPr>
          <w:rFonts w:ascii="Times New Roman" w:hAnsi="Times New Roman"/>
          <w:color w:val="000000" w:themeColor="text1"/>
          <w:sz w:val="16"/>
          <w:szCs w:val="16"/>
        </w:rPr>
        <w:t>разведпо-леты</w:t>
      </w:r>
      <w:proofErr w:type="spellEnd"/>
      <w:r w:rsidRPr="00A259BD">
        <w:rPr>
          <w:rFonts w:ascii="Times New Roman" w:hAnsi="Times New Roman"/>
          <w:color w:val="000000" w:themeColor="text1"/>
          <w:sz w:val="16"/>
          <w:szCs w:val="16"/>
        </w:rPr>
        <w:t xml:space="preserve"> в районе ст. Маньчжурия - Далай</w:t>
      </w:r>
      <w:r w:rsidRPr="00A259BD">
        <w:rPr>
          <w:rFonts w:ascii="Times New Roman" w:hAnsi="Times New Roman"/>
          <w:color w:val="000000" w:themeColor="text1"/>
          <w:sz w:val="16"/>
          <w:szCs w:val="16"/>
        </w:rPr>
        <w:softHyphen/>
        <w:t>нор. Р-1, высланный в Нерчинский за</w:t>
      </w:r>
      <w:r w:rsidRPr="00A259BD">
        <w:rPr>
          <w:rFonts w:ascii="Times New Roman" w:hAnsi="Times New Roman"/>
          <w:color w:val="000000" w:themeColor="text1"/>
          <w:sz w:val="16"/>
          <w:szCs w:val="16"/>
        </w:rPr>
        <w:softHyphen/>
        <w:t>вод, из-за нехватки горючего удач но сел на вынужденную в 50 км северо-</w:t>
      </w:r>
      <w:proofErr w:type="spellStart"/>
      <w:r w:rsidRPr="00A259BD">
        <w:rPr>
          <w:rFonts w:ascii="Times New Roman" w:hAnsi="Times New Roman"/>
          <w:color w:val="000000" w:themeColor="text1"/>
          <w:sz w:val="16"/>
          <w:szCs w:val="16"/>
        </w:rPr>
        <w:t>вос</w:t>
      </w:r>
      <w:proofErr w:type="spellEnd"/>
      <w:r w:rsidRPr="00A259BD">
        <w:rPr>
          <w:rFonts w:ascii="Times New Roman" w:hAnsi="Times New Roman"/>
          <w:color w:val="000000" w:themeColor="text1"/>
          <w:sz w:val="16"/>
          <w:szCs w:val="16"/>
        </w:rPr>
        <w:t>-точнее ст. Даурия (11216).</w:t>
      </w:r>
    </w:p>
    <w:p w14:paraId="141D2A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F54E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сентября 1929 в </w:t>
      </w:r>
      <w:proofErr w:type="spellStart"/>
      <w:r w:rsidRPr="00A259BD">
        <w:rPr>
          <w:rFonts w:ascii="Times New Roman" w:hAnsi="Times New Roman"/>
          <w:color w:val="000000" w:themeColor="text1"/>
          <w:sz w:val="16"/>
          <w:szCs w:val="16"/>
        </w:rPr>
        <w:t>Гродековской</w:t>
      </w:r>
      <w:proofErr w:type="spellEnd"/>
      <w:r w:rsidRPr="00A259BD">
        <w:rPr>
          <w:rFonts w:ascii="Times New Roman" w:hAnsi="Times New Roman"/>
          <w:color w:val="000000" w:themeColor="text1"/>
          <w:sz w:val="16"/>
          <w:szCs w:val="16"/>
        </w:rPr>
        <w:t xml:space="preserve"> авиационной груп</w:t>
      </w:r>
      <w:r w:rsidRPr="00A259BD">
        <w:rPr>
          <w:rFonts w:ascii="Times New Roman" w:hAnsi="Times New Roman"/>
          <w:color w:val="000000" w:themeColor="text1"/>
          <w:sz w:val="16"/>
          <w:szCs w:val="16"/>
        </w:rPr>
        <w:softHyphen/>
        <w:t>пировке при возвращении с оперативного задания в 2 км север</w:t>
      </w:r>
      <w:r w:rsidRPr="00A259BD">
        <w:rPr>
          <w:rFonts w:ascii="Times New Roman" w:hAnsi="Times New Roman"/>
          <w:color w:val="000000" w:themeColor="text1"/>
          <w:sz w:val="16"/>
          <w:szCs w:val="16"/>
        </w:rPr>
        <w:softHyphen/>
        <w:t>нее ст. Пограничная с высоты 346,6 ружейно-пулеметным огнем был об</w:t>
      </w:r>
      <w:r w:rsidRPr="00A259BD">
        <w:rPr>
          <w:rFonts w:ascii="Times New Roman" w:hAnsi="Times New Roman"/>
          <w:color w:val="000000" w:themeColor="text1"/>
          <w:sz w:val="16"/>
          <w:szCs w:val="16"/>
        </w:rPr>
        <w:softHyphen/>
        <w:t>стрелян самолет 19-го авиаотряда. 8 сентября в 2-00 по местному времени там же произошел крупный бой назем</w:t>
      </w:r>
      <w:r w:rsidRPr="00A259BD">
        <w:rPr>
          <w:rFonts w:ascii="Times New Roman" w:hAnsi="Times New Roman"/>
          <w:color w:val="000000" w:themeColor="text1"/>
          <w:sz w:val="16"/>
          <w:szCs w:val="16"/>
        </w:rPr>
        <w:softHyphen/>
        <w:t>ных войск с участием авиации.</w:t>
      </w:r>
    </w:p>
    <w:p w14:paraId="06CE1C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 следует из дополнения к опер</w:t>
      </w:r>
      <w:r w:rsidRPr="00A259BD">
        <w:rPr>
          <w:rFonts w:ascii="Times New Roman" w:hAnsi="Times New Roman"/>
          <w:color w:val="000000" w:themeColor="text1"/>
          <w:sz w:val="16"/>
          <w:szCs w:val="16"/>
        </w:rPr>
        <w:softHyphen/>
        <w:t>сводке, китайцы в 2-00 открыли ружей-но-пулеметный огонь по нашему ох</w:t>
      </w:r>
      <w:r w:rsidRPr="00A259BD">
        <w:rPr>
          <w:rFonts w:ascii="Times New Roman" w:hAnsi="Times New Roman"/>
          <w:color w:val="000000" w:themeColor="text1"/>
          <w:sz w:val="16"/>
          <w:szCs w:val="16"/>
        </w:rPr>
        <w:softHyphen/>
        <w:t>ранению и выпустили три снаряда, они почему-то не разорвались. Причиной обстрела могло стать крушение пасса</w:t>
      </w:r>
      <w:r w:rsidRPr="00A259BD">
        <w:rPr>
          <w:rFonts w:ascii="Times New Roman" w:hAnsi="Times New Roman"/>
          <w:color w:val="000000" w:themeColor="text1"/>
          <w:sz w:val="16"/>
          <w:szCs w:val="16"/>
        </w:rPr>
        <w:softHyphen/>
        <w:t xml:space="preserve">жирского поезда на перегоне </w:t>
      </w:r>
      <w:proofErr w:type="spellStart"/>
      <w:r w:rsidRPr="00A259BD">
        <w:rPr>
          <w:rFonts w:ascii="Times New Roman" w:hAnsi="Times New Roman"/>
          <w:color w:val="000000" w:themeColor="text1"/>
          <w:sz w:val="16"/>
          <w:szCs w:val="16"/>
        </w:rPr>
        <w:t>Бадахе</w:t>
      </w:r>
      <w:proofErr w:type="spellEnd"/>
      <w:r w:rsidRPr="00A259BD">
        <w:rPr>
          <w:rFonts w:ascii="Times New Roman" w:hAnsi="Times New Roman"/>
          <w:color w:val="000000" w:themeColor="text1"/>
          <w:sz w:val="16"/>
          <w:szCs w:val="16"/>
        </w:rPr>
        <w:t>-за - Пограничная 7 сентября в 21-00. Позже разведчики лично убедились, что поезд действительно упал с насы</w:t>
      </w:r>
      <w:r w:rsidRPr="00A259BD">
        <w:rPr>
          <w:rFonts w:ascii="Times New Roman" w:hAnsi="Times New Roman"/>
          <w:color w:val="000000" w:themeColor="text1"/>
          <w:sz w:val="16"/>
          <w:szCs w:val="16"/>
        </w:rPr>
        <w:softHyphen/>
        <w:t>пи под откос, но что явилось причи</w:t>
      </w:r>
      <w:r w:rsidRPr="00A259BD">
        <w:rPr>
          <w:rFonts w:ascii="Times New Roman" w:hAnsi="Times New Roman"/>
          <w:color w:val="000000" w:themeColor="text1"/>
          <w:sz w:val="16"/>
          <w:szCs w:val="16"/>
        </w:rPr>
        <w:softHyphen/>
        <w:t>ной крушения - не сообщали.</w:t>
      </w:r>
    </w:p>
    <w:p w14:paraId="2C23E0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ответ на огонь с китайской сторо</w:t>
      </w:r>
      <w:r w:rsidRPr="00A259BD">
        <w:rPr>
          <w:rFonts w:ascii="Times New Roman" w:hAnsi="Times New Roman"/>
          <w:color w:val="000000" w:themeColor="text1"/>
          <w:sz w:val="16"/>
          <w:szCs w:val="16"/>
        </w:rPr>
        <w:softHyphen/>
        <w:t>ны наше охранение тоже начало стре</w:t>
      </w:r>
      <w:r w:rsidRPr="00A259BD">
        <w:rPr>
          <w:rFonts w:ascii="Times New Roman" w:hAnsi="Times New Roman"/>
          <w:color w:val="000000" w:themeColor="text1"/>
          <w:sz w:val="16"/>
          <w:szCs w:val="16"/>
        </w:rPr>
        <w:softHyphen/>
        <w:t>лять, однако в отличие от предыдущих перестрелок китайцы огонь не прекра</w:t>
      </w:r>
      <w:r w:rsidRPr="00A259BD">
        <w:rPr>
          <w:rFonts w:ascii="Times New Roman" w:hAnsi="Times New Roman"/>
          <w:color w:val="000000" w:themeColor="text1"/>
          <w:sz w:val="16"/>
          <w:szCs w:val="16"/>
        </w:rPr>
        <w:softHyphen/>
        <w:t>тили. В б-ОО о боестолкновении донес</w:t>
      </w:r>
      <w:r w:rsidRPr="00A259BD">
        <w:rPr>
          <w:rFonts w:ascii="Times New Roman" w:hAnsi="Times New Roman"/>
          <w:color w:val="000000" w:themeColor="text1"/>
          <w:sz w:val="16"/>
          <w:szCs w:val="16"/>
        </w:rPr>
        <w:softHyphen/>
        <w:t>ли командарму В.К. Блюхеру, и спустя час последовал его приказ: “Сильным, но коротким шквалом артогня обстре</w:t>
      </w:r>
      <w:r w:rsidRPr="00A259BD">
        <w:rPr>
          <w:rFonts w:ascii="Times New Roman" w:hAnsi="Times New Roman"/>
          <w:color w:val="000000" w:themeColor="text1"/>
          <w:sz w:val="16"/>
          <w:szCs w:val="16"/>
        </w:rPr>
        <w:softHyphen/>
        <w:t>лять один - два наиболее насыщенных района кит[</w:t>
      </w:r>
      <w:proofErr w:type="spellStart"/>
      <w:r w:rsidRPr="00A259BD">
        <w:rPr>
          <w:rFonts w:ascii="Times New Roman" w:hAnsi="Times New Roman"/>
          <w:color w:val="000000" w:themeColor="text1"/>
          <w:sz w:val="16"/>
          <w:szCs w:val="16"/>
        </w:rPr>
        <w:t>айских</w:t>
      </w:r>
      <w:proofErr w:type="spellEnd"/>
      <w:r w:rsidRPr="00A259BD">
        <w:rPr>
          <w:rFonts w:ascii="Times New Roman" w:hAnsi="Times New Roman"/>
          <w:color w:val="000000" w:themeColor="text1"/>
          <w:sz w:val="16"/>
          <w:szCs w:val="16"/>
        </w:rPr>
        <w:t>] окопов, причем не допускать обстрела Пограничной и не переходить границу...”.</w:t>
      </w:r>
    </w:p>
    <w:p w14:paraId="776F171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Пока приказ Командующего дошел до командира 1-й дивизии, он “про</w:t>
      </w:r>
      <w:r w:rsidRPr="00A259BD">
        <w:rPr>
          <w:rFonts w:ascii="Times New Roman" w:hAnsi="Times New Roman"/>
          <w:color w:val="000000" w:themeColor="text1"/>
          <w:sz w:val="16"/>
          <w:szCs w:val="16"/>
        </w:rPr>
        <w:softHyphen/>
        <w:t>явил инициативу”, послав самолеты бомбить позиции противника и ст. Пограничная. Около 7-00 пятерка Р-1 сбросила бомбы на передовые окопы и станцию, повредив три пути. Артил</w:t>
      </w:r>
      <w:r w:rsidRPr="00A259BD">
        <w:rPr>
          <w:rFonts w:ascii="Times New Roman" w:hAnsi="Times New Roman"/>
          <w:color w:val="000000" w:themeColor="text1"/>
          <w:sz w:val="16"/>
          <w:szCs w:val="16"/>
        </w:rPr>
        <w:softHyphen/>
        <w:t>лерийские наблюдатели засекли раз</w:t>
      </w:r>
      <w:r w:rsidRPr="00A259BD">
        <w:rPr>
          <w:rFonts w:ascii="Times New Roman" w:hAnsi="Times New Roman"/>
          <w:color w:val="000000" w:themeColor="text1"/>
          <w:sz w:val="16"/>
          <w:szCs w:val="16"/>
        </w:rPr>
        <w:softHyphen/>
        <w:t>рывы бомб между эшелонами, там воз</w:t>
      </w:r>
      <w:r w:rsidRPr="00A259BD">
        <w:rPr>
          <w:rFonts w:ascii="Times New Roman" w:hAnsi="Times New Roman"/>
          <w:color w:val="000000" w:themeColor="text1"/>
          <w:sz w:val="16"/>
          <w:szCs w:val="16"/>
        </w:rPr>
        <w:softHyphen/>
        <w:t>ник большой пожар - загорелся эше</w:t>
      </w:r>
      <w:r w:rsidRPr="00A259BD">
        <w:rPr>
          <w:rFonts w:ascii="Times New Roman" w:hAnsi="Times New Roman"/>
          <w:color w:val="000000" w:themeColor="text1"/>
          <w:sz w:val="16"/>
          <w:szCs w:val="16"/>
        </w:rPr>
        <w:softHyphen/>
        <w:t>лон с боеприпасами. Отмечено также, что при бомбежке китайские солдаты в панике убегали даже из блиндажей. Позже выяснилось, что паника возник</w:t>
      </w:r>
      <w:r w:rsidRPr="00A259BD">
        <w:rPr>
          <w:rFonts w:ascii="Times New Roman" w:hAnsi="Times New Roman"/>
          <w:color w:val="000000" w:themeColor="text1"/>
          <w:sz w:val="16"/>
          <w:szCs w:val="16"/>
        </w:rPr>
        <w:softHyphen/>
        <w:t>ла не только на Пограничной, но и на соседней ст. Мулино. В оперсводке также отмечалось, что бомбардиров</w:t>
      </w:r>
      <w:r w:rsidRPr="00A259BD">
        <w:rPr>
          <w:rFonts w:ascii="Times New Roman" w:hAnsi="Times New Roman"/>
          <w:color w:val="000000" w:themeColor="text1"/>
          <w:sz w:val="16"/>
          <w:szCs w:val="16"/>
        </w:rPr>
        <w:softHyphen/>
        <w:t>кой и артиллерийским огнем с нашей стороны “приведены в молчание” (т.е. подавлены) бронепоезда, бомбометы и батарея. Все попытки китайцев вес</w:t>
      </w:r>
      <w:r w:rsidRPr="00A259BD">
        <w:rPr>
          <w:rFonts w:ascii="Times New Roman" w:hAnsi="Times New Roman"/>
          <w:color w:val="000000" w:themeColor="text1"/>
          <w:sz w:val="16"/>
          <w:szCs w:val="16"/>
        </w:rPr>
        <w:softHyphen/>
        <w:t xml:space="preserve">ти ответный ружейно-пулеметный огонь и </w:t>
      </w:r>
      <w:proofErr w:type="spellStart"/>
      <w:r w:rsidRPr="00A259BD">
        <w:rPr>
          <w:rFonts w:ascii="Times New Roman" w:hAnsi="Times New Roman"/>
          <w:color w:val="000000" w:themeColor="text1"/>
          <w:sz w:val="16"/>
          <w:szCs w:val="16"/>
        </w:rPr>
        <w:t>артстрельбу</w:t>
      </w:r>
      <w:proofErr w:type="spellEnd"/>
      <w:r w:rsidRPr="00A259BD">
        <w:rPr>
          <w:rFonts w:ascii="Times New Roman" w:hAnsi="Times New Roman"/>
          <w:color w:val="000000" w:themeColor="text1"/>
          <w:sz w:val="16"/>
          <w:szCs w:val="16"/>
        </w:rPr>
        <w:t xml:space="preserve"> силами одной ба</w:t>
      </w:r>
      <w:r w:rsidRPr="00A259BD">
        <w:rPr>
          <w:rFonts w:ascii="Times New Roman" w:hAnsi="Times New Roman"/>
          <w:color w:val="000000" w:themeColor="text1"/>
          <w:sz w:val="16"/>
          <w:szCs w:val="16"/>
        </w:rPr>
        <w:softHyphen/>
        <w:t>тареи успеха не имели. Неизвестно, была ли отмечена инициатива комди</w:t>
      </w:r>
      <w:r w:rsidRPr="00A259BD">
        <w:rPr>
          <w:rFonts w:ascii="Times New Roman" w:hAnsi="Times New Roman"/>
          <w:color w:val="000000" w:themeColor="text1"/>
          <w:sz w:val="16"/>
          <w:szCs w:val="16"/>
        </w:rPr>
        <w:softHyphen/>
        <w:t>ва Блюхером и если да, то как (11216).</w:t>
      </w:r>
    </w:p>
    <w:p w14:paraId="7BD61A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47F28B" w14:textId="77777777" w:rsidR="00A66A25" w:rsidRPr="00A259BD" w:rsidRDefault="00A66A2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7307B6A" w14:textId="77777777" w:rsidR="00A66A25" w:rsidRPr="00A259BD" w:rsidRDefault="00A66A2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70AE824" w14:textId="77777777" w:rsidR="00A66A25" w:rsidRPr="00A259BD" w:rsidRDefault="00A66A2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сентября 1929 трансконтинентальный авиалайнер Ford 5-AT-B </w:t>
      </w:r>
      <w:proofErr w:type="spellStart"/>
      <w:r w:rsidRPr="00A259BD">
        <w:rPr>
          <w:rFonts w:ascii="Times New Roman" w:hAnsi="Times New Roman"/>
          <w:color w:val="000000" w:themeColor="text1"/>
          <w:sz w:val="16"/>
          <w:szCs w:val="16"/>
        </w:rPr>
        <w:t>Trimotor</w:t>
      </w:r>
      <w:proofErr w:type="spellEnd"/>
      <w:r w:rsidRPr="00A259BD">
        <w:rPr>
          <w:rFonts w:ascii="Times New Roman" w:hAnsi="Times New Roman"/>
          <w:color w:val="000000" w:themeColor="text1"/>
          <w:sz w:val="16"/>
          <w:szCs w:val="16"/>
        </w:rPr>
        <w:t xml:space="preserve"> City Сан-Франциско (регистрация NC9649) врезался в гору Тейлор возле Грантса, штат Нью-Мексико, во время грозы в ходе обычного пассажирского рейса из аэропорта Альбукерке в Альбукерке, штат Нью-Мексико, в Лос-Анджелес, Калифорния; погибли все восемь человек на борту (20806).</w:t>
      </w:r>
    </w:p>
    <w:p w14:paraId="587893E1" w14:textId="77777777" w:rsidR="00A66A25" w:rsidRPr="00A259BD" w:rsidRDefault="00A66A25" w:rsidP="009236E3">
      <w:pPr>
        <w:spacing w:after="0" w:line="240" w:lineRule="auto"/>
        <w:jc w:val="both"/>
        <w:rPr>
          <w:rFonts w:ascii="Times New Roman" w:hAnsi="Times New Roman"/>
          <w:color w:val="000000" w:themeColor="text1"/>
          <w:sz w:val="16"/>
          <w:szCs w:val="16"/>
        </w:rPr>
      </w:pPr>
    </w:p>
    <w:p w14:paraId="5FC3D3F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6A712A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2846B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сентября 1929 Зам. председателя НТК УВВС </w:t>
      </w:r>
      <w:proofErr w:type="spellStart"/>
      <w:r w:rsidRPr="00A259BD">
        <w:rPr>
          <w:rFonts w:ascii="Times New Roman" w:hAnsi="Times New Roman"/>
          <w:color w:val="000000" w:themeColor="text1"/>
          <w:sz w:val="16"/>
          <w:szCs w:val="16"/>
        </w:rPr>
        <w:t>Н.М.Харламов</w:t>
      </w:r>
      <w:proofErr w:type="spellEnd"/>
      <w:r w:rsidRPr="00A259BD">
        <w:rPr>
          <w:rFonts w:ascii="Times New Roman" w:hAnsi="Times New Roman"/>
          <w:color w:val="000000" w:themeColor="text1"/>
          <w:sz w:val="16"/>
          <w:szCs w:val="16"/>
        </w:rPr>
        <w:t xml:space="preserve"> (но подписал не он) писал в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(копия ЦАГИ) письмо № 168сс. Входящий ЦАГИ 866с от 05 сентября 1929, Попало Петренко и тот 5 сентября расписал АГОС</w:t>
      </w:r>
    </w:p>
    <w:p w14:paraId="2D14B3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сем препровождается Вам пятилетний план опытного строительства ВВС по самолетам для согласования сроков в той части, которая предназначена для выполнения Вашими конструкторским бюро.</w:t>
      </w:r>
    </w:p>
    <w:p w14:paraId="0E446D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Ваш ответ ожидается к 1 октября 1929 г., при этом просим сообщить Ваши соображения о мероприятиях, проводимых вами для выполнения данного плана." (351,12).</w:t>
      </w:r>
    </w:p>
    <w:p w14:paraId="723C71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ОБЪЯСНИТЕЛЬНАЯ ЗАПИСКА</w:t>
      </w:r>
    </w:p>
    <w:p w14:paraId="13E6BF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пятилетнему </w:t>
      </w:r>
      <w:r w:rsidRPr="00A259BD">
        <w:rPr>
          <w:rFonts w:ascii="Times New Roman" w:hAnsi="Times New Roman"/>
          <w:smallCaps/>
          <w:color w:val="000000" w:themeColor="text1"/>
          <w:sz w:val="16"/>
          <w:szCs w:val="16"/>
        </w:rPr>
        <w:t xml:space="preserve">плану </w:t>
      </w:r>
      <w:r w:rsidRPr="00A259BD">
        <w:rPr>
          <w:rFonts w:ascii="Times New Roman" w:hAnsi="Times New Roman"/>
          <w:color w:val="000000" w:themeColor="text1"/>
          <w:sz w:val="16"/>
          <w:szCs w:val="16"/>
        </w:rPr>
        <w:t xml:space="preserve">опытного </w:t>
      </w:r>
      <w:r w:rsidRPr="00A259BD">
        <w:rPr>
          <w:rFonts w:ascii="Times New Roman" w:hAnsi="Times New Roman"/>
          <w:smallCaps/>
          <w:color w:val="000000" w:themeColor="text1"/>
          <w:sz w:val="16"/>
          <w:szCs w:val="16"/>
        </w:rPr>
        <w:t>самолетостроения</w:t>
      </w:r>
    </w:p>
    <w:p w14:paraId="163D5A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/Тактические обоснования требовании/.</w:t>
      </w:r>
    </w:p>
    <w:p w14:paraId="4AD7F4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Массовый характер будущих воин - факт, получивший общее призна</w:t>
      </w:r>
      <w:r w:rsidRPr="00A259BD">
        <w:rPr>
          <w:rFonts w:ascii="Times New Roman" w:hAnsi="Times New Roman"/>
          <w:color w:val="000000" w:themeColor="text1"/>
          <w:sz w:val="16"/>
          <w:szCs w:val="16"/>
        </w:rPr>
        <w:softHyphen/>
        <w:t xml:space="preserve">ние. Массовость их заключается в том, что для проведения их, каждая из воющих сторон принуждена будет мобилизовать не только весь свой людской </w:t>
      </w:r>
      <w:proofErr w:type="spellStart"/>
      <w:r w:rsidRPr="00A259BD">
        <w:rPr>
          <w:rFonts w:ascii="Times New Roman" w:hAnsi="Times New Roman"/>
          <w:color w:val="000000" w:themeColor="text1"/>
          <w:sz w:val="16"/>
          <w:szCs w:val="16"/>
        </w:rPr>
        <w:t>рессурс</w:t>
      </w:r>
      <w:proofErr w:type="spellEnd"/>
      <w:r w:rsidRPr="00A259BD">
        <w:rPr>
          <w:rFonts w:ascii="Times New Roman" w:hAnsi="Times New Roman"/>
          <w:color w:val="000000" w:themeColor="text1"/>
          <w:sz w:val="16"/>
          <w:szCs w:val="16"/>
        </w:rPr>
        <w:t xml:space="preserve"> - весь свой народ, но и все свои материальные сред</w:t>
      </w:r>
      <w:r w:rsidRPr="00A259BD">
        <w:rPr>
          <w:rFonts w:ascii="Times New Roman" w:hAnsi="Times New Roman"/>
          <w:color w:val="000000" w:themeColor="text1"/>
          <w:sz w:val="16"/>
          <w:szCs w:val="16"/>
        </w:rPr>
        <w:softHyphen/>
        <w:t>ства, включая сюда всю свою промышленность, науку и технику. Нечего говорить о том, что и весь государственный аппарат будет с первого же дня войны перестроен в интересах проведения последней.</w:t>
      </w:r>
    </w:p>
    <w:p w14:paraId="59C018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Совершенно очевидно, что такая постановка вопроса, такая боевая дей</w:t>
      </w:r>
      <w:r w:rsidRPr="00A259BD">
        <w:rPr>
          <w:rFonts w:ascii="Times New Roman" w:hAnsi="Times New Roman"/>
          <w:color w:val="000000" w:themeColor="text1"/>
          <w:sz w:val="16"/>
          <w:szCs w:val="16"/>
        </w:rPr>
        <w:softHyphen/>
        <w:t>ствительность расширяет и задачи, которые стоят перед каждой воющей страной; перед ее вооруженной до зубов армией будет стоять задача не только уничтожения, деморализации действующей перед ней армии противника, но и дезорганизации его глубокого тыла, нарушение всех его жизненных функций. Последнее же, при современном состоянии воен</w:t>
      </w:r>
      <w:r w:rsidRPr="00A259BD">
        <w:rPr>
          <w:rFonts w:ascii="Times New Roman" w:hAnsi="Times New Roman"/>
          <w:color w:val="000000" w:themeColor="text1"/>
          <w:sz w:val="16"/>
          <w:szCs w:val="16"/>
        </w:rPr>
        <w:softHyphen/>
        <w:t>ной техники, возможно и вполне осуществимо. Военный воздушный флот является таким орудием борьбы каждой армии, которое не знает линий преграждающих ее поступательное движение вперед, не знает таких преград, которые могли бы его сдержать в абсолютном понимании этого слова. Глубокие тылы противника, его промышленные, административные политические центры, его главные, питающие армию, железнодорожные узлы и магистрали и т.д., все это теперь подвергается непосредствен</w:t>
      </w:r>
      <w:r w:rsidRPr="00A259BD">
        <w:rPr>
          <w:rFonts w:ascii="Times New Roman" w:hAnsi="Times New Roman"/>
          <w:color w:val="000000" w:themeColor="text1"/>
          <w:sz w:val="16"/>
          <w:szCs w:val="16"/>
        </w:rPr>
        <w:softHyphen/>
        <w:t>ной угрозе разрушения с воздуха.</w:t>
      </w:r>
    </w:p>
    <w:p w14:paraId="396693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Опыт последней мировой войны, равно как и вся последующая дина</w:t>
      </w:r>
      <w:r w:rsidRPr="00A259BD">
        <w:rPr>
          <w:rFonts w:ascii="Times New Roman" w:hAnsi="Times New Roman"/>
          <w:color w:val="000000" w:themeColor="text1"/>
          <w:sz w:val="16"/>
          <w:szCs w:val="16"/>
        </w:rPr>
        <w:softHyphen/>
        <w:t>мика развития вооруженных сил всех капиталистических государств го</w:t>
      </w:r>
      <w:r w:rsidRPr="00A259BD">
        <w:rPr>
          <w:rFonts w:ascii="Times New Roman" w:hAnsi="Times New Roman"/>
          <w:color w:val="000000" w:themeColor="text1"/>
          <w:sz w:val="16"/>
          <w:szCs w:val="16"/>
        </w:rPr>
        <w:softHyphen/>
        <w:t>ворят о том, что предстоящая война, увидит участвующие с ней армии насыщенными техническими средствами борьбы в таких пропорциях, о ко</w:t>
      </w:r>
      <w:r w:rsidRPr="00A259BD">
        <w:rPr>
          <w:rFonts w:ascii="Times New Roman" w:hAnsi="Times New Roman"/>
          <w:color w:val="000000" w:themeColor="text1"/>
          <w:sz w:val="16"/>
          <w:szCs w:val="16"/>
        </w:rPr>
        <w:softHyphen/>
        <w:t>торых ранее не приходилось и думать. &amp; частности это особенное насы</w:t>
      </w:r>
      <w:r w:rsidRPr="00A259BD">
        <w:rPr>
          <w:rFonts w:ascii="Times New Roman" w:hAnsi="Times New Roman"/>
          <w:color w:val="000000" w:themeColor="text1"/>
          <w:sz w:val="16"/>
          <w:szCs w:val="16"/>
        </w:rPr>
        <w:softHyphen/>
        <w:t>щение будет отмечено в отношении воздушного флота, который в послед</w:t>
      </w:r>
      <w:r w:rsidRPr="00A259BD">
        <w:rPr>
          <w:rFonts w:ascii="Times New Roman" w:hAnsi="Times New Roman"/>
          <w:color w:val="000000" w:themeColor="text1"/>
          <w:sz w:val="16"/>
          <w:szCs w:val="16"/>
        </w:rPr>
        <w:softHyphen/>
        <w:t>ние годы показывает наиболее бурное свое развитие, как качественное, так и количественное:</w:t>
      </w:r>
    </w:p>
    <w:p w14:paraId="2F3BD9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Его способность сочетать широкий маневр по фронту и глубине с дей...</w:t>
      </w:r>
    </w:p>
    <w:p w14:paraId="261E1B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...Наряду с задачами по совместной работе со своими сухопутными вой</w:t>
      </w:r>
      <w:r w:rsidRPr="00A259BD">
        <w:rPr>
          <w:rFonts w:ascii="Times New Roman" w:hAnsi="Times New Roman"/>
          <w:color w:val="000000" w:themeColor="text1"/>
          <w:sz w:val="16"/>
          <w:szCs w:val="16"/>
        </w:rPr>
        <w:softHyphen/>
        <w:t>сками и со своим морским флотом, современное состояние материаль</w:t>
      </w:r>
      <w:r w:rsidRPr="00A259BD">
        <w:rPr>
          <w:rFonts w:ascii="Times New Roman" w:hAnsi="Times New Roman"/>
          <w:color w:val="000000" w:themeColor="text1"/>
          <w:sz w:val="16"/>
          <w:szCs w:val="16"/>
        </w:rPr>
        <w:softHyphen/>
        <w:t>ной части воздушного флота позволяет поставить перед ним более ши</w:t>
      </w:r>
      <w:r w:rsidRPr="00A259BD">
        <w:rPr>
          <w:rFonts w:ascii="Times New Roman" w:hAnsi="Times New Roman"/>
          <w:color w:val="000000" w:themeColor="text1"/>
          <w:sz w:val="16"/>
          <w:szCs w:val="16"/>
        </w:rPr>
        <w:softHyphen/>
        <w:t>рокие задачи, задачи по проведению операций самостоятельного, "не</w:t>
      </w:r>
      <w:r w:rsidRPr="00A259BD">
        <w:rPr>
          <w:rFonts w:ascii="Times New Roman" w:hAnsi="Times New Roman"/>
          <w:color w:val="000000" w:themeColor="text1"/>
          <w:sz w:val="16"/>
          <w:szCs w:val="16"/>
        </w:rPr>
        <w:softHyphen/>
        <w:t>зависимого" характера. Воздушный флот сегодняшнего дня имеет все предпосылки к тому, чтобы при известных условиях, нести службу борьбы, как самостоятельный, "независимый" элемент вооруженных сил. Отказаться от этой, возможности - значит не использовать, не реали</w:t>
      </w:r>
      <w:r w:rsidRPr="00A259BD">
        <w:rPr>
          <w:rFonts w:ascii="Times New Roman" w:hAnsi="Times New Roman"/>
          <w:color w:val="000000" w:themeColor="text1"/>
          <w:sz w:val="16"/>
          <w:szCs w:val="16"/>
        </w:rPr>
        <w:softHyphen/>
        <w:t>зовать до конца всей мощности этого современного боевого средства, при чем средства нами полностью освоенного и изученного.</w:t>
      </w:r>
    </w:p>
    <w:p w14:paraId="6C10168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 собою разумеется, подобные "независимые" операции воздушного флота совершенно не мыслятся проводимыми вне связи с армией и фло</w:t>
      </w:r>
      <w:r w:rsidRPr="00A259BD">
        <w:rPr>
          <w:rFonts w:ascii="Times New Roman" w:hAnsi="Times New Roman"/>
          <w:color w:val="000000" w:themeColor="text1"/>
          <w:sz w:val="16"/>
          <w:szCs w:val="16"/>
        </w:rPr>
        <w:softHyphen/>
        <w:t>том, Они должны проводиться в интересах общего дела и согласованно с общим положением на фронтах.</w:t>
      </w:r>
    </w:p>
    <w:p w14:paraId="403CBC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Сугубо классовой характер будущих войн, кои придется вести Со</w:t>
      </w:r>
      <w:r w:rsidRPr="00A259BD">
        <w:rPr>
          <w:rFonts w:ascii="Times New Roman" w:hAnsi="Times New Roman"/>
          <w:color w:val="000000" w:themeColor="text1"/>
          <w:sz w:val="16"/>
          <w:szCs w:val="16"/>
        </w:rPr>
        <w:softHyphen/>
        <w:t xml:space="preserve">ветскому Союзу, неминуемо должен поставить последний перед фактом наличия у его противников технических </w:t>
      </w:r>
      <w:proofErr w:type="spellStart"/>
      <w:r w:rsidRPr="00A259BD">
        <w:rPr>
          <w:rFonts w:ascii="Times New Roman" w:hAnsi="Times New Roman"/>
          <w:color w:val="000000" w:themeColor="text1"/>
          <w:sz w:val="16"/>
          <w:szCs w:val="16"/>
        </w:rPr>
        <w:t>рессурсов</w:t>
      </w:r>
      <w:proofErr w:type="spellEnd"/>
      <w:r w:rsidRPr="00A259BD">
        <w:rPr>
          <w:rFonts w:ascii="Times New Roman" w:hAnsi="Times New Roman"/>
          <w:color w:val="000000" w:themeColor="text1"/>
          <w:sz w:val="16"/>
          <w:szCs w:val="16"/>
        </w:rPr>
        <w:t>, принадлежащих пе</w:t>
      </w:r>
      <w:r w:rsidRPr="00A259BD">
        <w:rPr>
          <w:rFonts w:ascii="Times New Roman" w:hAnsi="Times New Roman"/>
          <w:color w:val="000000" w:themeColor="text1"/>
          <w:sz w:val="16"/>
          <w:szCs w:val="16"/>
        </w:rPr>
        <w:softHyphen/>
        <w:t>редовым, высоко развитым капиталистическим государствам, хотя бы даже этот противник до войны и представлял собой государство тех</w:t>
      </w:r>
      <w:r w:rsidRPr="00A259BD">
        <w:rPr>
          <w:rFonts w:ascii="Times New Roman" w:hAnsi="Times New Roman"/>
          <w:color w:val="000000" w:themeColor="text1"/>
          <w:sz w:val="16"/>
          <w:szCs w:val="16"/>
        </w:rPr>
        <w:softHyphen/>
        <w:t>нически и экономически слабое. Иными словами, в подготовке к буду</w:t>
      </w:r>
      <w:r w:rsidRPr="00A259BD">
        <w:rPr>
          <w:rFonts w:ascii="Times New Roman" w:hAnsi="Times New Roman"/>
          <w:color w:val="000000" w:themeColor="text1"/>
          <w:sz w:val="16"/>
          <w:szCs w:val="16"/>
        </w:rPr>
        <w:softHyphen/>
        <w:t>щей войне. Советский Союз должен ориентироваться на худший случай и равняться на самые последние мировые достижения в науке и техни</w:t>
      </w:r>
      <w:r w:rsidRPr="00A259BD">
        <w:rPr>
          <w:rFonts w:ascii="Times New Roman" w:hAnsi="Times New Roman"/>
          <w:color w:val="000000" w:themeColor="text1"/>
          <w:sz w:val="16"/>
          <w:szCs w:val="16"/>
        </w:rPr>
        <w:softHyphen/>
        <w:t>ке, кои ему надлежит не только прививать у себя, но и изучать с точки зрения их возможного использования.</w:t>
      </w:r>
    </w:p>
    <w:p w14:paraId="75292E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Однако, сказанное не значит, что нужно все принадлежащее передовым капиталистическим государствам перенимать и внедрять в нашу прак</w:t>
      </w:r>
      <w:r w:rsidRPr="00A259BD">
        <w:rPr>
          <w:rFonts w:ascii="Times New Roman" w:hAnsi="Times New Roman"/>
          <w:color w:val="000000" w:themeColor="text1"/>
          <w:sz w:val="16"/>
          <w:szCs w:val="16"/>
        </w:rPr>
        <w:softHyphen/>
        <w:t xml:space="preserve">тику в голом его виде и без каких либо поправок и изменений. Это было бы не разумным и ничем </w:t>
      </w:r>
      <w:proofErr w:type="spellStart"/>
      <w:r w:rsidRPr="00A259BD">
        <w:rPr>
          <w:rFonts w:ascii="Times New Roman" w:hAnsi="Times New Roman"/>
          <w:color w:val="000000" w:themeColor="text1"/>
          <w:sz w:val="16"/>
          <w:szCs w:val="16"/>
        </w:rPr>
        <w:t>неоправдывающимся</w:t>
      </w:r>
      <w:proofErr w:type="spellEnd"/>
      <w:r w:rsidRPr="00A259BD">
        <w:rPr>
          <w:rFonts w:ascii="Times New Roman" w:hAnsi="Times New Roman"/>
          <w:color w:val="000000" w:themeColor="text1"/>
          <w:sz w:val="16"/>
          <w:szCs w:val="16"/>
        </w:rPr>
        <w:t xml:space="preserve"> пустым делом, кото</w:t>
      </w:r>
      <w:r w:rsidRPr="00A259BD">
        <w:rPr>
          <w:rFonts w:ascii="Times New Roman" w:hAnsi="Times New Roman"/>
          <w:color w:val="000000" w:themeColor="text1"/>
          <w:sz w:val="16"/>
          <w:szCs w:val="16"/>
        </w:rPr>
        <w:softHyphen/>
        <w:t>рое несло бы в себе скорее поражение, чем победу. Учет специфичес</w:t>
      </w:r>
      <w:r w:rsidRPr="00A259BD">
        <w:rPr>
          <w:rFonts w:ascii="Times New Roman" w:hAnsi="Times New Roman"/>
          <w:color w:val="000000" w:themeColor="text1"/>
          <w:sz w:val="16"/>
          <w:szCs w:val="16"/>
        </w:rPr>
        <w:softHyphen/>
        <w:t xml:space="preserve">ких особенностей наших возможных театров военных действий /Полесье, Карелия и т.д./ дает нам возможность вносить во все перенимаемое нами и </w:t>
      </w:r>
      <w:proofErr w:type="spellStart"/>
      <w:r w:rsidRPr="00A259BD">
        <w:rPr>
          <w:rFonts w:ascii="Times New Roman" w:hAnsi="Times New Roman"/>
          <w:color w:val="000000" w:themeColor="text1"/>
          <w:sz w:val="16"/>
          <w:szCs w:val="16"/>
        </w:rPr>
        <w:t>освояемое</w:t>
      </w:r>
      <w:proofErr w:type="spellEnd"/>
      <w:r w:rsidRPr="00A259BD">
        <w:rPr>
          <w:rFonts w:ascii="Times New Roman" w:hAnsi="Times New Roman"/>
          <w:color w:val="000000" w:themeColor="text1"/>
          <w:sz w:val="16"/>
          <w:szCs w:val="16"/>
        </w:rPr>
        <w:t xml:space="preserve"> некоторые коррективы, и создавая иногда свое специфическое, искать в последнем скрытое в нем </w:t>
      </w:r>
      <w:proofErr w:type="spellStart"/>
      <w:r w:rsidRPr="00A259BD">
        <w:rPr>
          <w:rFonts w:ascii="Times New Roman" w:hAnsi="Times New Roman"/>
          <w:color w:val="000000" w:themeColor="text1"/>
          <w:sz w:val="16"/>
          <w:szCs w:val="16"/>
        </w:rPr>
        <w:t>преимущенство</w:t>
      </w:r>
      <w:proofErr w:type="spellEnd"/>
      <w:r w:rsidRPr="00A259BD">
        <w:rPr>
          <w:rFonts w:ascii="Times New Roman" w:hAnsi="Times New Roman"/>
          <w:color w:val="000000" w:themeColor="text1"/>
          <w:sz w:val="16"/>
          <w:szCs w:val="16"/>
        </w:rPr>
        <w:t xml:space="preserve"> перед...</w:t>
      </w:r>
    </w:p>
    <w:p w14:paraId="47DAC9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использовать его для самых разнообразных целей и задач, то, что было в этом отношении в последнюю мировую войну, оставлено далеко по</w:t>
      </w:r>
      <w:r w:rsidRPr="00A259BD">
        <w:rPr>
          <w:rFonts w:ascii="Times New Roman" w:hAnsi="Times New Roman"/>
          <w:color w:val="000000" w:themeColor="text1"/>
          <w:sz w:val="16"/>
          <w:szCs w:val="16"/>
        </w:rPr>
        <w:softHyphen/>
        <w:t xml:space="preserve">зади и кажется мизерно малым и незначительным. Однако, несмотря на все указанное разнообразие задач, могущих быть в своем </w:t>
      </w:r>
      <w:proofErr w:type="spellStart"/>
      <w:r w:rsidRPr="00A259BD">
        <w:rPr>
          <w:rFonts w:ascii="Times New Roman" w:hAnsi="Times New Roman"/>
          <w:color w:val="000000" w:themeColor="text1"/>
          <w:sz w:val="16"/>
          <w:szCs w:val="16"/>
        </w:rPr>
        <w:t>рарешении</w:t>
      </w:r>
      <w:proofErr w:type="spellEnd"/>
      <w:r w:rsidRPr="00A259BD">
        <w:rPr>
          <w:rFonts w:ascii="Times New Roman" w:hAnsi="Times New Roman"/>
          <w:color w:val="000000" w:themeColor="text1"/>
          <w:sz w:val="16"/>
          <w:szCs w:val="16"/>
        </w:rPr>
        <w:t xml:space="preserve"> возложенными на воздушный флот, их можно свести в четыре основных целевых группы:</w:t>
      </w:r>
    </w:p>
    <w:p w14:paraId="2F79D1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Непосредственное обслуживание своих сухопутных и морских сил /разведка, корректирование артиллерийской стрельбы, связь, служба командования и т.д./;</w:t>
      </w:r>
    </w:p>
    <w:p w14:paraId="6F6A72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Ударное действие с воздуха по сухопутным и морским силам про</w:t>
      </w:r>
      <w:r w:rsidRPr="00A259BD">
        <w:rPr>
          <w:rFonts w:ascii="Times New Roman" w:hAnsi="Times New Roman"/>
          <w:color w:val="000000" w:themeColor="text1"/>
          <w:sz w:val="16"/>
          <w:szCs w:val="16"/>
        </w:rPr>
        <w:softHyphen/>
        <w:t xml:space="preserve">тивника /бомбардировка, торпедирование, штурмовые действия, </w:t>
      </w:r>
      <w:proofErr w:type="spellStart"/>
      <w:r w:rsidRPr="00A259BD">
        <w:rPr>
          <w:rFonts w:ascii="Times New Roman" w:hAnsi="Times New Roman"/>
          <w:color w:val="000000" w:themeColor="text1"/>
          <w:sz w:val="16"/>
          <w:szCs w:val="16"/>
        </w:rPr>
        <w:t>химнападение</w:t>
      </w:r>
      <w:proofErr w:type="spellEnd"/>
      <w:r w:rsidRPr="00A259BD">
        <w:rPr>
          <w:rFonts w:ascii="Times New Roman" w:hAnsi="Times New Roman"/>
          <w:color w:val="000000" w:themeColor="text1"/>
          <w:sz w:val="16"/>
          <w:szCs w:val="16"/>
        </w:rPr>
        <w:t xml:space="preserve"> и т.д./;</w:t>
      </w:r>
    </w:p>
    <w:p w14:paraId="61BF76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Ударные действия с воздуха по глубоким /до 1000-2000 </w:t>
      </w:r>
      <w:proofErr w:type="spellStart"/>
      <w:r w:rsidRPr="00A259BD">
        <w:rPr>
          <w:rFonts w:ascii="Times New Roman" w:hAnsi="Times New Roman"/>
          <w:color w:val="000000" w:themeColor="text1"/>
          <w:sz w:val="16"/>
          <w:szCs w:val="16"/>
        </w:rPr>
        <w:t>клм</w:t>
      </w:r>
      <w:proofErr w:type="spellEnd"/>
      <w:r w:rsidRPr="00A259BD">
        <w:rPr>
          <w:rFonts w:ascii="Times New Roman" w:hAnsi="Times New Roman"/>
          <w:color w:val="000000" w:themeColor="text1"/>
          <w:sz w:val="16"/>
          <w:szCs w:val="16"/>
        </w:rPr>
        <w:t>./ ты</w:t>
      </w:r>
      <w:r w:rsidRPr="00A259BD">
        <w:rPr>
          <w:rFonts w:ascii="Times New Roman" w:hAnsi="Times New Roman"/>
          <w:color w:val="000000" w:themeColor="text1"/>
          <w:sz w:val="16"/>
          <w:szCs w:val="16"/>
        </w:rPr>
        <w:softHyphen/>
        <w:t xml:space="preserve">лам </w:t>
      </w:r>
      <w:proofErr w:type="spellStart"/>
      <w:r w:rsidRPr="00A259BD">
        <w:rPr>
          <w:rFonts w:ascii="Times New Roman" w:hAnsi="Times New Roman"/>
          <w:color w:val="000000" w:themeColor="text1"/>
          <w:sz w:val="16"/>
          <w:szCs w:val="16"/>
        </w:rPr>
        <w:t>проталаиха</w:t>
      </w:r>
      <w:proofErr w:type="spellEnd"/>
      <w:r w:rsidRPr="00A259BD">
        <w:rPr>
          <w:rFonts w:ascii="Times New Roman" w:hAnsi="Times New Roman"/>
          <w:color w:val="000000" w:themeColor="text1"/>
          <w:sz w:val="16"/>
          <w:szCs w:val="16"/>
        </w:rPr>
        <w:t xml:space="preserve"> /бомбардировка крупных административно-политических я промышленных центров, </w:t>
      </w:r>
      <w:proofErr w:type="spellStart"/>
      <w:r w:rsidRPr="00A259BD">
        <w:rPr>
          <w:rFonts w:ascii="Times New Roman" w:hAnsi="Times New Roman"/>
          <w:color w:val="000000" w:themeColor="text1"/>
          <w:sz w:val="16"/>
          <w:szCs w:val="16"/>
        </w:rPr>
        <w:t>железнодорожнкх</w:t>
      </w:r>
      <w:proofErr w:type="spellEnd"/>
      <w:r w:rsidRPr="00A259BD">
        <w:rPr>
          <w:rFonts w:ascii="Times New Roman" w:hAnsi="Times New Roman"/>
          <w:color w:val="000000" w:themeColor="text1"/>
          <w:sz w:val="16"/>
          <w:szCs w:val="16"/>
        </w:rPr>
        <w:t xml:space="preserve"> узлов и т.д./ и, наконец,</w:t>
      </w:r>
    </w:p>
    <w:p w14:paraId="092B2FA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Борьба с военными воздушными силами противника, препятствующ</w:t>
      </w:r>
      <w:r w:rsidRPr="00A259BD">
        <w:rPr>
          <w:rFonts w:ascii="Times New Roman" w:hAnsi="Times New Roman"/>
          <w:color w:val="000000" w:themeColor="text1"/>
          <w:sz w:val="16"/>
          <w:szCs w:val="16"/>
        </w:rPr>
        <w:softHyphen/>
        <w:t>ий выполнению операций, как своего воздушного Флота, так и своих сухопутных и морских сил.</w:t>
      </w:r>
    </w:p>
    <w:p w14:paraId="58CF3F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своем пятилетнем плане мы группируем авиацию насколько по иному признаку, а </w:t>
      </w:r>
      <w:proofErr w:type="spellStart"/>
      <w:r w:rsidRPr="00A259BD">
        <w:rPr>
          <w:rFonts w:ascii="Times New Roman" w:hAnsi="Times New Roman"/>
          <w:color w:val="000000" w:themeColor="text1"/>
          <w:sz w:val="16"/>
          <w:szCs w:val="16"/>
        </w:rPr>
        <w:t>уменно</w:t>
      </w:r>
      <w:proofErr w:type="spellEnd"/>
      <w:r w:rsidRPr="00A259BD">
        <w:rPr>
          <w:rFonts w:ascii="Times New Roman" w:hAnsi="Times New Roman"/>
          <w:color w:val="000000" w:themeColor="text1"/>
          <w:sz w:val="16"/>
          <w:szCs w:val="16"/>
        </w:rPr>
        <w:t>; для сухопутной авиаций - по признаку целевого назначения каждого типа самолета, для морской - по наиболее харак</w:t>
      </w:r>
      <w:r w:rsidRPr="00A259BD">
        <w:rPr>
          <w:rFonts w:ascii="Times New Roman" w:hAnsi="Times New Roman"/>
          <w:color w:val="000000" w:themeColor="text1"/>
          <w:sz w:val="16"/>
          <w:szCs w:val="16"/>
        </w:rPr>
        <w:softHyphen/>
        <w:t xml:space="preserve">терному для нее признаку </w:t>
      </w:r>
      <w:proofErr w:type="spellStart"/>
      <w:r w:rsidRPr="00A259BD">
        <w:rPr>
          <w:rFonts w:ascii="Times New Roman" w:hAnsi="Times New Roman"/>
          <w:color w:val="000000" w:themeColor="text1"/>
          <w:sz w:val="16"/>
          <w:szCs w:val="16"/>
        </w:rPr>
        <w:t>еа</w:t>
      </w:r>
      <w:proofErr w:type="spellEnd"/>
      <w:r w:rsidRPr="00A259BD">
        <w:rPr>
          <w:rFonts w:ascii="Times New Roman" w:hAnsi="Times New Roman"/>
          <w:color w:val="000000" w:themeColor="text1"/>
          <w:sz w:val="16"/>
          <w:szCs w:val="16"/>
        </w:rPr>
        <w:t xml:space="preserve"> базирования и району действий, с подразделением основных групп на части по тому же целевому назначению.</w:t>
      </w:r>
    </w:p>
    <w:p w14:paraId="21CDAA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со сказанным военно-воздушные силы подразделяются: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A259BD" w:rsidRPr="00A259BD" w14:paraId="11112B9D" w14:textId="77777777">
        <w:tc>
          <w:tcPr>
            <w:tcW w:w="5605" w:type="dxa"/>
            <w:tcBorders>
              <w:top w:val="single" w:sz="12" w:space="0" w:color="auto"/>
            </w:tcBorders>
          </w:tcPr>
          <w:p w14:paraId="6A0568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По сухопутное авиации:</w:t>
            </w:r>
          </w:p>
        </w:tc>
        <w:tc>
          <w:tcPr>
            <w:tcW w:w="5605" w:type="dxa"/>
            <w:tcBorders>
              <w:top w:val="single" w:sz="12" w:space="0" w:color="auto"/>
            </w:tcBorders>
          </w:tcPr>
          <w:p w14:paraId="6C7CF6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морской авиации:</w:t>
            </w:r>
          </w:p>
        </w:tc>
      </w:tr>
      <w:tr w:rsidR="00A259BD" w:rsidRPr="00A259BD" w14:paraId="7A3ECA8B" w14:textId="77777777">
        <w:tc>
          <w:tcPr>
            <w:tcW w:w="5605" w:type="dxa"/>
          </w:tcPr>
          <w:p w14:paraId="5AC2DF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Боевую авиацию, предназна</w:t>
            </w:r>
            <w:r w:rsidRPr="00A259BD">
              <w:rPr>
                <w:rFonts w:ascii="Times New Roman" w:hAnsi="Times New Roman"/>
                <w:color w:val="000000" w:themeColor="text1"/>
                <w:sz w:val="16"/>
                <w:szCs w:val="16"/>
              </w:rPr>
              <w:softHyphen/>
              <w:t>чаемую для самостоятельных действий по воздушным и зем</w:t>
            </w:r>
            <w:r w:rsidRPr="00A259BD">
              <w:rPr>
                <w:rFonts w:ascii="Times New Roman" w:hAnsi="Times New Roman"/>
                <w:color w:val="000000" w:themeColor="text1"/>
                <w:sz w:val="16"/>
                <w:szCs w:val="16"/>
              </w:rPr>
              <w:softHyphen/>
              <w:t>ным целям противника в такти</w:t>
            </w:r>
            <w:r w:rsidRPr="00A259BD">
              <w:rPr>
                <w:rFonts w:ascii="Times New Roman" w:hAnsi="Times New Roman"/>
                <w:color w:val="000000" w:themeColor="text1"/>
                <w:sz w:val="16"/>
                <w:szCs w:val="16"/>
              </w:rPr>
              <w:softHyphen/>
              <w:t>ческой и стратегической зо</w:t>
            </w:r>
            <w:r w:rsidRPr="00A259BD">
              <w:rPr>
                <w:rFonts w:ascii="Times New Roman" w:hAnsi="Times New Roman"/>
                <w:color w:val="000000" w:themeColor="text1"/>
                <w:sz w:val="16"/>
                <w:szCs w:val="16"/>
              </w:rPr>
              <w:softHyphen/>
              <w:t>нах;</w:t>
            </w:r>
          </w:p>
        </w:tc>
        <w:tc>
          <w:tcPr>
            <w:tcW w:w="5605" w:type="dxa"/>
          </w:tcPr>
          <w:p w14:paraId="0110BD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Морскую авиацию базовую, предназначаемую для борьбы с воздуш</w:t>
            </w:r>
            <w:r w:rsidRPr="00A259BD">
              <w:rPr>
                <w:rFonts w:ascii="Times New Roman" w:hAnsi="Times New Roman"/>
                <w:color w:val="000000" w:themeColor="text1"/>
                <w:sz w:val="16"/>
                <w:szCs w:val="16"/>
              </w:rPr>
              <w:softHyphen/>
              <w:t>ным противником и обслуживания своего морского флота при его стоянках в базах;</w:t>
            </w:r>
          </w:p>
        </w:tc>
      </w:tr>
      <w:tr w:rsidR="00A259BD" w:rsidRPr="00A259BD" w14:paraId="58CE2781" w14:textId="77777777">
        <w:tc>
          <w:tcPr>
            <w:tcW w:w="5605" w:type="dxa"/>
          </w:tcPr>
          <w:p w14:paraId="55ED24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Войсковую, пред назначаемую для совместной и непосредст</w:t>
            </w:r>
            <w:r w:rsidRPr="00A259BD">
              <w:rPr>
                <w:rFonts w:ascii="Times New Roman" w:hAnsi="Times New Roman"/>
                <w:color w:val="000000" w:themeColor="text1"/>
                <w:sz w:val="16"/>
                <w:szCs w:val="16"/>
              </w:rPr>
              <w:softHyphen/>
              <w:t>венной работы со своими войсками и</w:t>
            </w:r>
          </w:p>
        </w:tc>
        <w:tc>
          <w:tcPr>
            <w:tcW w:w="5605" w:type="dxa"/>
          </w:tcPr>
          <w:p w14:paraId="05924E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Морскую авиацию открытого моря, предназначаемую для самостоятельных операций в открытом море и базам противника, удаленным на значительные расстояния.</w:t>
            </w:r>
          </w:p>
        </w:tc>
      </w:tr>
      <w:tr w:rsidR="00A259BD" w:rsidRPr="00A259BD" w14:paraId="60E40DCD" w14:textId="77777777">
        <w:tc>
          <w:tcPr>
            <w:tcW w:w="5605" w:type="dxa"/>
            <w:tcBorders>
              <w:bottom w:val="single" w:sz="12" w:space="0" w:color="auto"/>
            </w:tcBorders>
          </w:tcPr>
          <w:p w14:paraId="77CE76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Авиацию специального назначения...</w:t>
            </w:r>
          </w:p>
        </w:tc>
        <w:tc>
          <w:tcPr>
            <w:tcW w:w="5605" w:type="dxa"/>
            <w:tcBorders>
              <w:bottom w:val="single" w:sz="12" w:space="0" w:color="auto"/>
            </w:tcBorders>
          </w:tcPr>
          <w:p w14:paraId="46986E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Морскую авиацию корабельную...</w:t>
            </w:r>
          </w:p>
        </w:tc>
      </w:tr>
    </w:tbl>
    <w:p w14:paraId="27F268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Переходя к непосредственному рассмотрению отдельных типов </w:t>
      </w:r>
      <w:proofErr w:type="spellStart"/>
      <w:r w:rsidRPr="00A259BD">
        <w:rPr>
          <w:rFonts w:ascii="Times New Roman" w:hAnsi="Times New Roman"/>
          <w:color w:val="000000" w:themeColor="text1"/>
          <w:sz w:val="16"/>
          <w:szCs w:val="16"/>
        </w:rPr>
        <w:t>самолегов</w:t>
      </w:r>
      <w:proofErr w:type="spellEnd"/>
      <w:r w:rsidRPr="00A259BD">
        <w:rPr>
          <w:rFonts w:ascii="Times New Roman" w:hAnsi="Times New Roman"/>
          <w:color w:val="000000" w:themeColor="text1"/>
          <w:sz w:val="16"/>
          <w:szCs w:val="16"/>
        </w:rPr>
        <w:t>, можно обнаружить еще большую дифференциацию воздушного флота. При</w:t>
      </w:r>
      <w:r w:rsidRPr="00A259BD">
        <w:rPr>
          <w:rFonts w:ascii="Times New Roman" w:hAnsi="Times New Roman"/>
          <w:color w:val="000000" w:themeColor="text1"/>
          <w:sz w:val="16"/>
          <w:szCs w:val="16"/>
        </w:rPr>
        <w:softHyphen/>
        <w:t>веденные основные целевые подразделения разбиваются в свою очередь по специальностям более узким, давая тому или иному типу самолета свое ограниченное назначение.</w:t>
      </w:r>
    </w:p>
    <w:p w14:paraId="19AF7A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Пятилетний план опытного самолетостроения предлагает получение та</w:t>
      </w:r>
      <w:r w:rsidRPr="00A259BD">
        <w:rPr>
          <w:rFonts w:ascii="Times New Roman" w:hAnsi="Times New Roman"/>
          <w:color w:val="000000" w:themeColor="text1"/>
          <w:sz w:val="16"/>
          <w:szCs w:val="16"/>
        </w:rPr>
        <w:softHyphen/>
        <w:t xml:space="preserve">ких типов самолетов, которые бы могли действительно обеспечить нужды армии и Республики во время </w:t>
      </w:r>
      <w:proofErr w:type="spellStart"/>
      <w:r w:rsidRPr="00A259BD">
        <w:rPr>
          <w:rFonts w:ascii="Times New Roman" w:hAnsi="Times New Roman"/>
          <w:color w:val="000000" w:themeColor="text1"/>
          <w:sz w:val="16"/>
          <w:szCs w:val="16"/>
        </w:rPr>
        <w:t>всйны</w:t>
      </w:r>
      <w:proofErr w:type="spellEnd"/>
      <w:r w:rsidRPr="00A259BD">
        <w:rPr>
          <w:rFonts w:ascii="Times New Roman" w:hAnsi="Times New Roman"/>
          <w:color w:val="000000" w:themeColor="text1"/>
          <w:sz w:val="16"/>
          <w:szCs w:val="16"/>
        </w:rPr>
        <w:t>, которые бы могли обеспечить выполнение всех задач, возможных к постановке ему во время войны командо</w:t>
      </w:r>
      <w:r w:rsidRPr="00A259BD">
        <w:rPr>
          <w:rFonts w:ascii="Times New Roman" w:hAnsi="Times New Roman"/>
          <w:color w:val="000000" w:themeColor="text1"/>
          <w:sz w:val="16"/>
          <w:szCs w:val="16"/>
        </w:rPr>
        <w:softHyphen/>
        <w:t>ванием.</w:t>
      </w:r>
    </w:p>
    <w:p w14:paraId="7C01217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Исходя из этого, при проведений в жизнь предлагаемого плана опыт</w:t>
      </w:r>
      <w:r w:rsidRPr="00A259BD">
        <w:rPr>
          <w:rFonts w:ascii="Times New Roman" w:hAnsi="Times New Roman"/>
          <w:color w:val="000000" w:themeColor="text1"/>
          <w:sz w:val="16"/>
          <w:szCs w:val="16"/>
        </w:rPr>
        <w:softHyphen/>
        <w:t>ного самолетостроения, надлежит руководствоваться нижеследующими со</w:t>
      </w:r>
      <w:r w:rsidRPr="00A259BD">
        <w:rPr>
          <w:rFonts w:ascii="Times New Roman" w:hAnsi="Times New Roman"/>
          <w:color w:val="000000" w:themeColor="text1"/>
          <w:sz w:val="16"/>
          <w:szCs w:val="16"/>
        </w:rPr>
        <w:softHyphen/>
        <w:t xml:space="preserve">ображениями и </w:t>
      </w:r>
      <w:proofErr w:type="spellStart"/>
      <w:r w:rsidRPr="00A259BD">
        <w:rPr>
          <w:rFonts w:ascii="Times New Roman" w:hAnsi="Times New Roman"/>
          <w:color w:val="000000" w:themeColor="text1"/>
          <w:sz w:val="16"/>
          <w:szCs w:val="16"/>
        </w:rPr>
        <w:t>летно</w:t>
      </w:r>
      <w:proofErr w:type="spellEnd"/>
      <w:r w:rsidRPr="00A259BD">
        <w:rPr>
          <w:rFonts w:ascii="Times New Roman" w:hAnsi="Times New Roman"/>
          <w:color w:val="000000" w:themeColor="text1"/>
          <w:sz w:val="16"/>
          <w:szCs w:val="16"/>
        </w:rPr>
        <w:t xml:space="preserve"> -тактически ми требованиями.</w:t>
      </w:r>
    </w:p>
    <w:p w14:paraId="526EF44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СУХОПУТНАЯ АВИАЦИЯ</w:t>
      </w:r>
    </w:p>
    <w:p w14:paraId="059D49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Самолеты боевой авиации</w:t>
      </w:r>
    </w:p>
    <w:p w14:paraId="7E2689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ИСТРЕБИТЕЛИ. Развитие этого типа самолетов на западе продолжает идти в основном по пути увеличения его горизонтальной и вертикаль</w:t>
      </w:r>
      <w:r w:rsidRPr="00A259BD">
        <w:rPr>
          <w:rFonts w:ascii="Times New Roman" w:hAnsi="Times New Roman"/>
          <w:color w:val="000000" w:themeColor="text1"/>
          <w:sz w:val="16"/>
          <w:szCs w:val="16"/>
        </w:rPr>
        <w:softHyphen/>
        <w:t>ной скорости, усиления его огневой мощи /до 4-6 пулеметов/ и уве</w:t>
      </w:r>
      <w:r w:rsidRPr="00A259BD">
        <w:rPr>
          <w:rFonts w:ascii="Times New Roman" w:hAnsi="Times New Roman"/>
          <w:color w:val="000000" w:themeColor="text1"/>
          <w:sz w:val="16"/>
          <w:szCs w:val="16"/>
        </w:rPr>
        <w:softHyphen/>
        <w:t>личения его продолжительности полета. В отношении одноместных истребителей, по своим летно-тактическим характеристикам, к настоя</w:t>
      </w:r>
      <w:r w:rsidRPr="00A259BD">
        <w:rPr>
          <w:rFonts w:ascii="Times New Roman" w:hAnsi="Times New Roman"/>
          <w:color w:val="000000" w:themeColor="text1"/>
          <w:sz w:val="16"/>
          <w:szCs w:val="16"/>
        </w:rPr>
        <w:softHyphen/>
        <w:t>щему моменту вполне отчетливо выявились два основных типа одномест</w:t>
      </w:r>
      <w:r w:rsidRPr="00A259BD">
        <w:rPr>
          <w:rFonts w:ascii="Times New Roman" w:hAnsi="Times New Roman"/>
          <w:color w:val="000000" w:themeColor="text1"/>
          <w:sz w:val="16"/>
          <w:szCs w:val="16"/>
        </w:rPr>
        <w:softHyphen/>
        <w:t xml:space="preserve">ных истребителей, а именно: скоростной и так </w:t>
      </w:r>
      <w:proofErr w:type="spellStart"/>
      <w:r w:rsidRPr="00A259BD">
        <w:rPr>
          <w:rFonts w:ascii="Times New Roman" w:hAnsi="Times New Roman"/>
          <w:color w:val="000000" w:themeColor="text1"/>
          <w:sz w:val="16"/>
          <w:szCs w:val="16"/>
        </w:rPr>
        <w:t>ывываемой</w:t>
      </w:r>
      <w:proofErr w:type="spellEnd"/>
      <w:r w:rsidRPr="00A259BD">
        <w:rPr>
          <w:rFonts w:ascii="Times New Roman" w:hAnsi="Times New Roman"/>
          <w:color w:val="000000" w:themeColor="text1"/>
          <w:sz w:val="16"/>
          <w:szCs w:val="16"/>
        </w:rPr>
        <w:t xml:space="preserve"> "жокей”, первый, обладая повышенными горизонтальными скоростями, предназна</w:t>
      </w:r>
      <w:r w:rsidRPr="00A259BD">
        <w:rPr>
          <w:rFonts w:ascii="Times New Roman" w:hAnsi="Times New Roman"/>
          <w:color w:val="000000" w:themeColor="text1"/>
          <w:sz w:val="16"/>
          <w:szCs w:val="16"/>
        </w:rPr>
        <w:softHyphen/>
        <w:t>чается к выполнению задач по ведению активного воздушного боя над своей и неприятельской территорией и главным образом в районах расположения и действия своих воздушных н сухопутных сил. Частич</w:t>
      </w:r>
      <w:r w:rsidRPr="00A259BD">
        <w:rPr>
          <w:rFonts w:ascii="Times New Roman" w:hAnsi="Times New Roman"/>
          <w:color w:val="000000" w:themeColor="text1"/>
          <w:sz w:val="16"/>
          <w:szCs w:val="16"/>
        </w:rPr>
        <w:softHyphen/>
        <w:t>но на него возлагается задача обеспечения операций своего воздуш</w:t>
      </w:r>
      <w:r w:rsidRPr="00A259BD">
        <w:rPr>
          <w:rFonts w:ascii="Times New Roman" w:hAnsi="Times New Roman"/>
          <w:color w:val="000000" w:themeColor="text1"/>
          <w:sz w:val="16"/>
          <w:szCs w:val="16"/>
        </w:rPr>
        <w:softHyphen/>
        <w:t>ного флота, хотя полного решения этой задачи сопровождения своих воздушных сил и глубокий тыл противника на него возлагать и нельзя из-за ограниченного его радиуса действий, относительно слабой огневой его мощи /беззащитность сзади/ и большой разности в скоростях с обеспечиваемыми им самолетами.</w:t>
      </w:r>
    </w:p>
    <w:p w14:paraId="278849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т.е. "жокей", обладающий особо повышенными данными в своей...</w:t>
      </w:r>
      <w:proofErr w:type="spellStart"/>
      <w:r w:rsidRPr="00A259BD">
        <w:rPr>
          <w:rFonts w:ascii="Times New Roman" w:hAnsi="Times New Roman"/>
          <w:color w:val="000000" w:themeColor="text1"/>
          <w:sz w:val="16"/>
          <w:szCs w:val="16"/>
        </w:rPr>
        <w:t>добваемыми</w:t>
      </w:r>
      <w:proofErr w:type="spellEnd"/>
      <w:r w:rsidRPr="00A259BD">
        <w:rPr>
          <w:rFonts w:ascii="Times New Roman" w:hAnsi="Times New Roman"/>
          <w:color w:val="000000" w:themeColor="text1"/>
          <w:sz w:val="16"/>
          <w:szCs w:val="16"/>
        </w:rPr>
        <w:t xml:space="preserve"> за счет максимально...</w:t>
      </w:r>
    </w:p>
    <w:p w14:paraId="328A2BD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струкции</w:t>
      </w:r>
      <w:proofErr w:type="spellEnd"/>
      <w:r w:rsidRPr="00A259BD">
        <w:rPr>
          <w:rFonts w:ascii="Times New Roman" w:hAnsi="Times New Roman"/>
          <w:color w:val="000000" w:themeColor="text1"/>
          <w:sz w:val="16"/>
          <w:szCs w:val="16"/>
        </w:rPr>
        <w:t>, экономии горючего, уменьшения радиуса действия/ пред</w:t>
      </w:r>
      <w:r w:rsidRPr="00A259BD">
        <w:rPr>
          <w:rFonts w:ascii="Times New Roman" w:hAnsi="Times New Roman"/>
          <w:color w:val="000000" w:themeColor="text1"/>
          <w:sz w:val="16"/>
          <w:szCs w:val="16"/>
        </w:rPr>
        <w:softHyphen/>
        <w:t>назначается главным образом, для борьбы с воздушным флотом противника над своей территорией и в большинстве случаев рассматривает</w:t>
      </w:r>
      <w:r w:rsidRPr="00A259BD">
        <w:rPr>
          <w:rFonts w:ascii="Times New Roman" w:hAnsi="Times New Roman"/>
          <w:color w:val="000000" w:themeColor="text1"/>
          <w:sz w:val="16"/>
          <w:szCs w:val="16"/>
        </w:rPr>
        <w:softHyphen/>
        <w:t>ся, как истребитель специального назначения - обороны пунктов.</w:t>
      </w:r>
    </w:p>
    <w:p w14:paraId="79C1EB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Целый ряд соображений и в первую очередь соответствующие подсчеты в определении тактической ценности, той или иной разновидности одноместного истребителя приводят к мысли о нецелесообразности создания самолета "жокей" и для наших условий пока ограничить строительство одним типом скоростного истребителя, совместив в нем, по воз </w:t>
      </w:r>
      <w:proofErr w:type="spellStart"/>
      <w:r w:rsidRPr="00A259BD">
        <w:rPr>
          <w:rFonts w:ascii="Times New Roman" w:hAnsi="Times New Roman"/>
          <w:color w:val="000000" w:themeColor="text1"/>
          <w:sz w:val="16"/>
          <w:szCs w:val="16"/>
        </w:rPr>
        <w:t>можности</w:t>
      </w:r>
      <w:proofErr w:type="spellEnd"/>
      <w:r w:rsidRPr="00A259BD">
        <w:rPr>
          <w:rFonts w:ascii="Times New Roman" w:hAnsi="Times New Roman"/>
          <w:color w:val="000000" w:themeColor="text1"/>
          <w:sz w:val="16"/>
          <w:szCs w:val="16"/>
        </w:rPr>
        <w:t xml:space="preserve"> лучшие качества и “жокея". Техническая возможность выжать из "жокея” одну-две минуты на </w:t>
      </w:r>
      <w:proofErr w:type="spellStart"/>
      <w:r w:rsidRPr="00A259BD">
        <w:rPr>
          <w:rFonts w:ascii="Times New Roman" w:hAnsi="Times New Roman"/>
          <w:color w:val="000000" w:themeColor="text1"/>
          <w:sz w:val="16"/>
          <w:szCs w:val="16"/>
        </w:rPr>
        <w:t>скоропод"емноеть</w:t>
      </w:r>
      <w:proofErr w:type="spellEnd"/>
      <w:r w:rsidRPr="00A259BD">
        <w:rPr>
          <w:rFonts w:ascii="Times New Roman" w:hAnsi="Times New Roman"/>
          <w:color w:val="000000" w:themeColor="text1"/>
          <w:sz w:val="16"/>
          <w:szCs w:val="16"/>
        </w:rPr>
        <w:t xml:space="preserve">, очень </w:t>
      </w:r>
      <w:proofErr w:type="spellStart"/>
      <w:r w:rsidRPr="00A259BD">
        <w:rPr>
          <w:rFonts w:ascii="Times New Roman" w:hAnsi="Times New Roman"/>
          <w:color w:val="000000" w:themeColor="text1"/>
          <w:sz w:val="16"/>
          <w:szCs w:val="16"/>
        </w:rPr>
        <w:t>незна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чительно</w:t>
      </w:r>
      <w:proofErr w:type="spellEnd"/>
      <w:r w:rsidRPr="00A259BD">
        <w:rPr>
          <w:rFonts w:ascii="Times New Roman" w:hAnsi="Times New Roman"/>
          <w:color w:val="000000" w:themeColor="text1"/>
          <w:sz w:val="16"/>
          <w:szCs w:val="16"/>
        </w:rPr>
        <w:t xml:space="preserve"> выиграть на маневренности, не окупает всех потерь его как истребителя и в первую очередь в огневой его мощи /2 пулемета вместо 4-6/ и в продолжительности полета /2 часа вместо 4-6/. Не менее существенным мотивом </w:t>
      </w:r>
      <w:proofErr w:type="spellStart"/>
      <w:r w:rsidRPr="00A259BD">
        <w:rPr>
          <w:rFonts w:ascii="Times New Roman" w:hAnsi="Times New Roman"/>
          <w:color w:val="000000" w:themeColor="text1"/>
          <w:sz w:val="16"/>
          <w:szCs w:val="16"/>
        </w:rPr>
        <w:t>вотказе</w:t>
      </w:r>
      <w:proofErr w:type="spellEnd"/>
      <w:r w:rsidRPr="00A259BD">
        <w:rPr>
          <w:rFonts w:ascii="Times New Roman" w:hAnsi="Times New Roman"/>
          <w:color w:val="000000" w:themeColor="text1"/>
          <w:sz w:val="16"/>
          <w:szCs w:val="16"/>
        </w:rPr>
        <w:t xml:space="preserve"> от строительства "жокея" должно служить и дальнейшее развитие огнестрельного оружия авиации /пу</w:t>
      </w:r>
      <w:r w:rsidRPr="00A259BD">
        <w:rPr>
          <w:rFonts w:ascii="Times New Roman" w:hAnsi="Times New Roman"/>
          <w:color w:val="000000" w:themeColor="text1"/>
          <w:sz w:val="16"/>
          <w:szCs w:val="16"/>
        </w:rPr>
        <w:softHyphen/>
        <w:t>леметы, пушки/, которое уже начинает класть свою печать на всю тактику истребительной авиации, раздвигая дистанции дерущихся в воздухе сторон и тем самым отодвигая несколько назад значение ее маневренности, в прежнем понимании слова.</w:t>
      </w:r>
    </w:p>
    <w:p w14:paraId="1F65C7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Недостатки одноместного истребителя /слепота назад и наличие огня только вперед/ уже давно поставили на разрешение проблему созда</w:t>
      </w:r>
      <w:r w:rsidRPr="00A259BD">
        <w:rPr>
          <w:rFonts w:ascii="Times New Roman" w:hAnsi="Times New Roman"/>
          <w:color w:val="000000" w:themeColor="text1"/>
          <w:sz w:val="16"/>
          <w:szCs w:val="16"/>
        </w:rPr>
        <w:softHyphen/>
        <w:t>ния двухместного истребителя, хотя до сих пор, все попытки в этом направлении и не дали особо положительных результатов.</w:t>
      </w:r>
    </w:p>
    <w:p w14:paraId="1E9C84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плане "Ф" постройка такого типа самолета /Д2/ предусмотрена и до изучения его фактической ценности, о нужности его в </w:t>
      </w:r>
      <w:proofErr w:type="spellStart"/>
      <w:r w:rsidRPr="00A259BD">
        <w:rPr>
          <w:rFonts w:ascii="Times New Roman" w:hAnsi="Times New Roman"/>
          <w:color w:val="000000" w:themeColor="text1"/>
          <w:sz w:val="16"/>
          <w:szCs w:val="16"/>
        </w:rPr>
        <w:t>дальнейше</w:t>
      </w:r>
      <w:proofErr w:type="spellEnd"/>
      <w:r w:rsidRPr="00A259BD">
        <w:rPr>
          <w:rFonts w:ascii="Times New Roman" w:hAnsi="Times New Roman"/>
          <w:color w:val="000000" w:themeColor="text1"/>
          <w:sz w:val="16"/>
          <w:szCs w:val="16"/>
        </w:rPr>
        <w:t xml:space="preserve"> судить пока трудно. В общем от создания двухместного </w:t>
      </w:r>
      <w:proofErr w:type="spellStart"/>
      <w:r w:rsidRPr="00A259BD">
        <w:rPr>
          <w:rFonts w:ascii="Times New Roman" w:hAnsi="Times New Roman"/>
          <w:color w:val="000000" w:themeColor="text1"/>
          <w:sz w:val="16"/>
          <w:szCs w:val="16"/>
        </w:rPr>
        <w:t>истребитал</w:t>
      </w:r>
      <w:proofErr w:type="spellEnd"/>
      <w:r w:rsidRPr="00A259BD">
        <w:rPr>
          <w:rFonts w:ascii="Times New Roman" w:hAnsi="Times New Roman"/>
          <w:color w:val="000000" w:themeColor="text1"/>
          <w:sz w:val="16"/>
          <w:szCs w:val="16"/>
        </w:rPr>
        <w:t xml:space="preserve"> предлагается пока не отказываться и работать над его </w:t>
      </w:r>
      <w:proofErr w:type="spellStart"/>
      <w:r w:rsidRPr="00A259BD">
        <w:rPr>
          <w:rFonts w:ascii="Times New Roman" w:hAnsi="Times New Roman"/>
          <w:color w:val="000000" w:themeColor="text1"/>
          <w:sz w:val="16"/>
          <w:szCs w:val="16"/>
        </w:rPr>
        <w:t>усоврешенствованием</w:t>
      </w:r>
      <w:proofErr w:type="spellEnd"/>
      <w:r w:rsidRPr="00A259BD">
        <w:rPr>
          <w:rFonts w:ascii="Times New Roman" w:hAnsi="Times New Roman"/>
          <w:color w:val="000000" w:themeColor="text1"/>
          <w:sz w:val="16"/>
          <w:szCs w:val="16"/>
        </w:rPr>
        <w:t>.</w:t>
      </w:r>
    </w:p>
    <w:p w14:paraId="759442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Совершенно особо стоит вопрос о новом типе истребителя, продукте последнего времени - </w:t>
      </w:r>
      <w:proofErr w:type="spellStart"/>
      <w:r w:rsidRPr="00A259BD">
        <w:rPr>
          <w:rFonts w:ascii="Times New Roman" w:hAnsi="Times New Roman"/>
          <w:color w:val="000000" w:themeColor="text1"/>
          <w:sz w:val="16"/>
          <w:szCs w:val="16"/>
        </w:rPr>
        <w:t>истребитзле</w:t>
      </w:r>
      <w:proofErr w:type="spellEnd"/>
      <w:r w:rsidRPr="00A259BD">
        <w:rPr>
          <w:rFonts w:ascii="Times New Roman" w:hAnsi="Times New Roman"/>
          <w:color w:val="000000" w:themeColor="text1"/>
          <w:sz w:val="16"/>
          <w:szCs w:val="16"/>
        </w:rPr>
        <w:t xml:space="preserve"> крейсере /к/. Благодаря тому, </w:t>
      </w:r>
      <w:proofErr w:type="spellStart"/>
      <w:r w:rsidRPr="00A259BD">
        <w:rPr>
          <w:rFonts w:ascii="Times New Roman" w:hAnsi="Times New Roman"/>
          <w:color w:val="000000" w:themeColor="text1"/>
          <w:sz w:val="16"/>
          <w:szCs w:val="16"/>
        </w:rPr>
        <w:t>чт</w:t>
      </w:r>
      <w:proofErr w:type="spellEnd"/>
      <w:r w:rsidRPr="00A259BD">
        <w:rPr>
          <w:rFonts w:ascii="Times New Roman" w:hAnsi="Times New Roman"/>
          <w:color w:val="000000" w:themeColor="text1"/>
          <w:sz w:val="16"/>
          <w:szCs w:val="16"/>
        </w:rPr>
        <w:t xml:space="preserve"> задача обеспечения операций своих воздушных сил имеющимися истребительными средствами /одноместные истребители/ еще ни полностью...из-за ограниченности радиуса действия...</w:t>
      </w:r>
    </w:p>
    <w:p w14:paraId="53C40E5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леднего</w:t>
      </w:r>
      <w:proofErr w:type="spellEnd"/>
      <w:r w:rsidRPr="00A259BD">
        <w:rPr>
          <w:rFonts w:ascii="Times New Roman" w:hAnsi="Times New Roman"/>
          <w:color w:val="000000" w:themeColor="text1"/>
          <w:sz w:val="16"/>
          <w:szCs w:val="16"/>
        </w:rPr>
        <w:t xml:space="preserve"> времени, выдвинула вопрос о создании воздушного истребите</w:t>
      </w:r>
      <w:r w:rsidRPr="00A259BD">
        <w:rPr>
          <w:rFonts w:ascii="Times New Roman" w:hAnsi="Times New Roman"/>
          <w:color w:val="000000" w:themeColor="text1"/>
          <w:sz w:val="16"/>
          <w:szCs w:val="16"/>
        </w:rPr>
        <w:softHyphen/>
        <w:t>ля - крейсера, который, с одной стороны, обладал бы дальностью поле</w:t>
      </w:r>
      <w:r w:rsidRPr="00A259BD">
        <w:rPr>
          <w:rFonts w:ascii="Times New Roman" w:hAnsi="Times New Roman"/>
          <w:color w:val="000000" w:themeColor="text1"/>
          <w:sz w:val="16"/>
          <w:szCs w:val="16"/>
        </w:rPr>
        <w:softHyphen/>
        <w:t>та не меньшей таковой бомбардировщика, с другой - скоростью, обес</w:t>
      </w:r>
      <w:r w:rsidRPr="00A259BD">
        <w:rPr>
          <w:rFonts w:ascii="Times New Roman" w:hAnsi="Times New Roman"/>
          <w:color w:val="000000" w:themeColor="text1"/>
          <w:sz w:val="16"/>
          <w:szCs w:val="16"/>
        </w:rPr>
        <w:softHyphen/>
        <w:t>печивающей маневренность и ведение активного воздушного боя и, на</w:t>
      </w:r>
      <w:r w:rsidRPr="00A259BD">
        <w:rPr>
          <w:rFonts w:ascii="Times New Roman" w:hAnsi="Times New Roman"/>
          <w:color w:val="000000" w:themeColor="text1"/>
          <w:sz w:val="16"/>
          <w:szCs w:val="16"/>
        </w:rPr>
        <w:softHyphen/>
        <w:t>конец, мощным вооружением со сферическим обстрелом. При этом мыс</w:t>
      </w:r>
      <w:r w:rsidRPr="00A259BD">
        <w:rPr>
          <w:rFonts w:ascii="Times New Roman" w:hAnsi="Times New Roman"/>
          <w:color w:val="000000" w:themeColor="text1"/>
          <w:sz w:val="16"/>
          <w:szCs w:val="16"/>
        </w:rPr>
        <w:softHyphen/>
        <w:t>лится, что этот же тип самолета, должен допускать использование его как сверх дальнего разведчика "независимого действия".</w:t>
      </w:r>
    </w:p>
    <w:p w14:paraId="2367A80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Наличие разобранных выше самолетов истребительной авиации, должно в полной мере обеспечить успешное выполнение задач связанных с обеспечением операций наших воздушных сил, равно как и ведение ак</w:t>
      </w:r>
      <w:r w:rsidRPr="00A259BD">
        <w:rPr>
          <w:rFonts w:ascii="Times New Roman" w:hAnsi="Times New Roman"/>
          <w:color w:val="000000" w:themeColor="text1"/>
          <w:sz w:val="16"/>
          <w:szCs w:val="16"/>
        </w:rPr>
        <w:softHyphen/>
        <w:t>тивной борьбы с неприятельским воздушным флотом вообще. С ночных истребителях нет упоминания лишь потому, что в основном создание их мыслится путем приспособления под них одного из существующих типов самолетов, в частности двухместного истребителя.</w:t>
      </w:r>
    </w:p>
    <w:p w14:paraId="5AA5EE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Тактические требования к одноместному истребителю /И/.</w:t>
      </w:r>
    </w:p>
    <w:p w14:paraId="2AC556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отношения одноместных истребителей предполагается дальнейшее усовершенствование уже имеющихся типов, причем в первые три года летно-тактические их данные должны быть достигнуты следующие:</w:t>
      </w:r>
    </w:p>
    <w:p w14:paraId="6F9923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горизонт. скорость на высоте 5000 </w:t>
      </w:r>
      <w:proofErr w:type="spellStart"/>
      <w:r w:rsidRPr="00A259BD">
        <w:rPr>
          <w:rFonts w:ascii="Times New Roman" w:hAnsi="Times New Roman"/>
          <w:color w:val="000000" w:themeColor="text1"/>
          <w:sz w:val="16"/>
          <w:szCs w:val="16"/>
        </w:rPr>
        <w:t>мт</w:t>
      </w:r>
      <w:proofErr w:type="spellEnd"/>
      <w:r w:rsidRPr="00A259BD">
        <w:rPr>
          <w:rFonts w:ascii="Times New Roman" w:hAnsi="Times New Roman"/>
          <w:color w:val="000000" w:themeColor="text1"/>
          <w:sz w:val="16"/>
          <w:szCs w:val="16"/>
        </w:rPr>
        <w:t xml:space="preserve">. - 310-325 </w:t>
      </w:r>
      <w:proofErr w:type="spellStart"/>
      <w:r w:rsidRPr="00A259BD">
        <w:rPr>
          <w:rFonts w:ascii="Times New Roman" w:hAnsi="Times New Roman"/>
          <w:color w:val="000000" w:themeColor="text1"/>
          <w:sz w:val="16"/>
          <w:szCs w:val="16"/>
        </w:rPr>
        <w:t>кл</w:t>
      </w:r>
      <w:proofErr w:type="spellEnd"/>
      <w:r w:rsidRPr="00A259BD">
        <w:rPr>
          <w:rFonts w:ascii="Times New Roman" w:hAnsi="Times New Roman"/>
          <w:color w:val="000000" w:themeColor="text1"/>
          <w:sz w:val="16"/>
          <w:szCs w:val="16"/>
        </w:rPr>
        <w:t>.</w:t>
      </w:r>
    </w:p>
    <w:p w14:paraId="60EB048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скороподъемность на 5000 м. - 8 мин.</w:t>
      </w:r>
    </w:p>
    <w:p w14:paraId="33198FA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продолжительность полета на </w:t>
      </w:r>
      <w:proofErr w:type="spellStart"/>
      <w:r w:rsidRPr="00A259BD">
        <w:rPr>
          <w:rFonts w:ascii="Times New Roman" w:hAnsi="Times New Roman"/>
          <w:color w:val="000000" w:themeColor="text1"/>
          <w:sz w:val="16"/>
          <w:szCs w:val="16"/>
        </w:rPr>
        <w:t>эксплоатац</w:t>
      </w:r>
      <w:proofErr w:type="spellEnd"/>
      <w:r w:rsidRPr="00A259BD">
        <w:rPr>
          <w:rFonts w:ascii="Times New Roman" w:hAnsi="Times New Roman"/>
          <w:color w:val="000000" w:themeColor="text1"/>
          <w:sz w:val="16"/>
          <w:szCs w:val="16"/>
        </w:rPr>
        <w:t>. скорости 3,5- 4 часа,</w:t>
      </w:r>
    </w:p>
    <w:p w14:paraId="76A7CC2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вооружение - 4 пулемета.</w:t>
      </w:r>
    </w:p>
    <w:p w14:paraId="1E4F1A7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концу пятилетия эти данные должны быть увеличены и достигнуты следующие:</w:t>
      </w:r>
    </w:p>
    <w:p w14:paraId="5BB7AA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горизонтальная скорость на высоте 5000 </w:t>
      </w:r>
      <w:proofErr w:type="spellStart"/>
      <w:r w:rsidRPr="00A259BD">
        <w:rPr>
          <w:rFonts w:ascii="Times New Roman" w:hAnsi="Times New Roman"/>
          <w:color w:val="000000" w:themeColor="text1"/>
          <w:sz w:val="16"/>
          <w:szCs w:val="16"/>
        </w:rPr>
        <w:t>мт</w:t>
      </w:r>
      <w:proofErr w:type="spellEnd"/>
      <w:r w:rsidRPr="00A259BD">
        <w:rPr>
          <w:rFonts w:ascii="Times New Roman" w:hAnsi="Times New Roman"/>
          <w:color w:val="000000" w:themeColor="text1"/>
          <w:sz w:val="16"/>
          <w:szCs w:val="16"/>
        </w:rPr>
        <w:t xml:space="preserve">. - 350 </w:t>
      </w:r>
      <w:proofErr w:type="spellStart"/>
      <w:r w:rsidRPr="00A259BD">
        <w:rPr>
          <w:rFonts w:ascii="Times New Roman" w:hAnsi="Times New Roman"/>
          <w:color w:val="000000" w:themeColor="text1"/>
          <w:sz w:val="16"/>
          <w:szCs w:val="16"/>
        </w:rPr>
        <w:t>кл</w:t>
      </w:r>
      <w:proofErr w:type="spellEnd"/>
      <w:r w:rsidRPr="00A259BD">
        <w:rPr>
          <w:rFonts w:ascii="Times New Roman" w:hAnsi="Times New Roman"/>
          <w:color w:val="000000" w:themeColor="text1"/>
          <w:sz w:val="16"/>
          <w:szCs w:val="16"/>
        </w:rPr>
        <w:t>.</w:t>
      </w:r>
    </w:p>
    <w:p w14:paraId="300E94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скороподъемность на высоту 5000 </w:t>
      </w:r>
      <w:proofErr w:type="spellStart"/>
      <w:r w:rsidRPr="00A259BD">
        <w:rPr>
          <w:rFonts w:ascii="Times New Roman" w:hAnsi="Times New Roman"/>
          <w:color w:val="000000" w:themeColor="text1"/>
          <w:sz w:val="16"/>
          <w:szCs w:val="16"/>
        </w:rPr>
        <w:t>мт</w:t>
      </w:r>
      <w:proofErr w:type="spellEnd"/>
      <w:r w:rsidRPr="00A259BD">
        <w:rPr>
          <w:rFonts w:ascii="Times New Roman" w:hAnsi="Times New Roman"/>
          <w:color w:val="000000" w:themeColor="text1"/>
          <w:sz w:val="16"/>
          <w:szCs w:val="16"/>
        </w:rPr>
        <w:t>. - 6 мин.</w:t>
      </w:r>
    </w:p>
    <w:p w14:paraId="3A5B95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продолжительность полета на </w:t>
      </w:r>
      <w:proofErr w:type="spellStart"/>
      <w:r w:rsidRPr="00A259BD">
        <w:rPr>
          <w:rFonts w:ascii="Times New Roman" w:hAnsi="Times New Roman"/>
          <w:color w:val="000000" w:themeColor="text1"/>
          <w:sz w:val="16"/>
          <w:szCs w:val="16"/>
        </w:rPr>
        <w:t>эксплоат</w:t>
      </w:r>
      <w:proofErr w:type="spellEnd"/>
      <w:r w:rsidRPr="00A259BD">
        <w:rPr>
          <w:rFonts w:ascii="Times New Roman" w:hAnsi="Times New Roman"/>
          <w:color w:val="000000" w:themeColor="text1"/>
          <w:sz w:val="16"/>
          <w:szCs w:val="16"/>
        </w:rPr>
        <w:t>. скор. - 4 часа</w:t>
      </w:r>
    </w:p>
    <w:p w14:paraId="668AE46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вооружение - 4, с возможностью установки 6 пул.</w:t>
      </w:r>
    </w:p>
    <w:p w14:paraId="7969C8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обоих случаях посадочная скорость не должна превышать 100 </w:t>
      </w:r>
      <w:proofErr w:type="spellStart"/>
      <w:r w:rsidRPr="00A259BD">
        <w:rPr>
          <w:rFonts w:ascii="Times New Roman" w:hAnsi="Times New Roman"/>
          <w:color w:val="000000" w:themeColor="text1"/>
          <w:sz w:val="16"/>
          <w:szCs w:val="16"/>
        </w:rPr>
        <w:t>клм</w:t>
      </w:r>
      <w:proofErr w:type="spellEnd"/>
      <w:r w:rsidRPr="00A259BD">
        <w:rPr>
          <w:rFonts w:ascii="Times New Roman" w:hAnsi="Times New Roman"/>
          <w:color w:val="000000" w:themeColor="text1"/>
          <w:sz w:val="16"/>
          <w:szCs w:val="16"/>
        </w:rPr>
        <w:t>/час. Несмотря на отказ от создания истребителя типа "жокей" все же в пя</w:t>
      </w:r>
      <w:r w:rsidRPr="00A259BD">
        <w:rPr>
          <w:rFonts w:ascii="Times New Roman" w:hAnsi="Times New Roman"/>
          <w:color w:val="000000" w:themeColor="text1"/>
          <w:sz w:val="16"/>
          <w:szCs w:val="16"/>
        </w:rPr>
        <w:softHyphen/>
        <w:t>тилетнем плане опытного самолетостроения включить разработку и по</w:t>
      </w:r>
      <w:r w:rsidRPr="00A259BD">
        <w:rPr>
          <w:rFonts w:ascii="Times New Roman" w:hAnsi="Times New Roman"/>
          <w:color w:val="000000" w:themeColor="text1"/>
          <w:sz w:val="16"/>
          <w:szCs w:val="16"/>
        </w:rPr>
        <w:softHyphen/>
        <w:t>стройку варианта одноместного истребителя облегченного типа, с по</w:t>
      </w:r>
      <w:r w:rsidRPr="00A259BD">
        <w:rPr>
          <w:rFonts w:ascii="Times New Roman" w:hAnsi="Times New Roman"/>
          <w:color w:val="000000" w:themeColor="text1"/>
          <w:sz w:val="16"/>
          <w:szCs w:val="16"/>
        </w:rPr>
        <w:softHyphen/>
        <w:t>ниженной нагрузкой и вооружением /горючее на 2 1/2 часа полета, во</w:t>
      </w:r>
      <w:r w:rsidRPr="00A259BD">
        <w:rPr>
          <w:rFonts w:ascii="Times New Roman" w:hAnsi="Times New Roman"/>
          <w:color w:val="000000" w:themeColor="text1"/>
          <w:sz w:val="16"/>
          <w:szCs w:val="16"/>
        </w:rPr>
        <w:softHyphen/>
        <w:t>оружение - 2 пулемета/ и под мотор с воздушным охлаждением.</w:t>
      </w:r>
    </w:p>
    <w:p w14:paraId="6A3997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Требования к двухместному истребителю /Д/</w:t>
      </w:r>
    </w:p>
    <w:p w14:paraId="3E6CFE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Несмотря на отсутствие достаточного опыта в строительстве двух</w:t>
      </w:r>
      <w:r w:rsidRPr="00A259BD">
        <w:rPr>
          <w:rFonts w:ascii="Times New Roman" w:hAnsi="Times New Roman"/>
          <w:color w:val="000000" w:themeColor="text1"/>
          <w:sz w:val="16"/>
          <w:szCs w:val="16"/>
        </w:rPr>
        <w:softHyphen/>
        <w:t xml:space="preserve">местных истребителей, несмотря на отсутствие достаточных материалов, могущих быть положенными в основу </w:t>
      </w:r>
      <w:proofErr w:type="spellStart"/>
      <w:r w:rsidRPr="00A259BD">
        <w:rPr>
          <w:rFonts w:ascii="Times New Roman" w:hAnsi="Times New Roman"/>
          <w:color w:val="000000" w:themeColor="text1"/>
          <w:sz w:val="16"/>
          <w:szCs w:val="16"/>
        </w:rPr>
        <w:t>пред"являемых</w:t>
      </w:r>
      <w:proofErr w:type="spellEnd"/>
      <w:r w:rsidRPr="00A259BD">
        <w:rPr>
          <w:rFonts w:ascii="Times New Roman" w:hAnsi="Times New Roman"/>
          <w:color w:val="000000" w:themeColor="text1"/>
          <w:sz w:val="16"/>
          <w:szCs w:val="16"/>
        </w:rPr>
        <w:t xml:space="preserve"> нами требований, а также в основном базируясь на изучении динамики в развитии других видов авиации, предлагается считать минимальными нашими требованиями к двухместному истребителю следующие:</w:t>
      </w:r>
    </w:p>
    <w:p w14:paraId="765DAC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горизонтальная скорость на </w:t>
      </w:r>
      <w:proofErr w:type="spellStart"/>
      <w:r w:rsidRPr="00A259BD">
        <w:rPr>
          <w:rFonts w:ascii="Times New Roman" w:hAnsi="Times New Roman"/>
          <w:color w:val="000000" w:themeColor="text1"/>
          <w:sz w:val="16"/>
          <w:szCs w:val="16"/>
        </w:rPr>
        <w:t>выс</w:t>
      </w:r>
      <w:proofErr w:type="spellEnd"/>
      <w:r w:rsidRPr="00A259BD">
        <w:rPr>
          <w:rFonts w:ascii="Times New Roman" w:hAnsi="Times New Roman"/>
          <w:color w:val="000000" w:themeColor="text1"/>
          <w:sz w:val="16"/>
          <w:szCs w:val="16"/>
        </w:rPr>
        <w:t xml:space="preserve">. 5000 </w:t>
      </w:r>
      <w:proofErr w:type="spellStart"/>
      <w:r w:rsidRPr="00A259BD">
        <w:rPr>
          <w:rFonts w:ascii="Times New Roman" w:hAnsi="Times New Roman"/>
          <w:color w:val="000000" w:themeColor="text1"/>
          <w:sz w:val="16"/>
          <w:szCs w:val="16"/>
        </w:rPr>
        <w:t>мт</w:t>
      </w:r>
      <w:proofErr w:type="spellEnd"/>
      <w:r w:rsidRPr="00A259BD">
        <w:rPr>
          <w:rFonts w:ascii="Times New Roman" w:hAnsi="Times New Roman"/>
          <w:color w:val="000000" w:themeColor="text1"/>
          <w:sz w:val="16"/>
          <w:szCs w:val="16"/>
        </w:rPr>
        <w:t xml:space="preserve">. - 300-325 </w:t>
      </w:r>
      <w:proofErr w:type="spellStart"/>
      <w:r w:rsidRPr="00A259BD">
        <w:rPr>
          <w:rFonts w:ascii="Times New Roman" w:hAnsi="Times New Roman"/>
          <w:color w:val="000000" w:themeColor="text1"/>
          <w:sz w:val="16"/>
          <w:szCs w:val="16"/>
        </w:rPr>
        <w:t>кл</w:t>
      </w:r>
      <w:proofErr w:type="spellEnd"/>
      <w:r w:rsidRPr="00A259BD">
        <w:rPr>
          <w:rFonts w:ascii="Times New Roman" w:hAnsi="Times New Roman"/>
          <w:color w:val="000000" w:themeColor="text1"/>
          <w:sz w:val="16"/>
          <w:szCs w:val="16"/>
        </w:rPr>
        <w:t>.</w:t>
      </w:r>
    </w:p>
    <w:p w14:paraId="02B912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время </w:t>
      </w:r>
      <w:proofErr w:type="spellStart"/>
      <w:r w:rsidRPr="00A259BD">
        <w:rPr>
          <w:rFonts w:ascii="Times New Roman" w:hAnsi="Times New Roman"/>
          <w:color w:val="000000" w:themeColor="text1"/>
          <w:sz w:val="16"/>
          <w:szCs w:val="16"/>
        </w:rPr>
        <w:t>под"ема</w:t>
      </w:r>
      <w:proofErr w:type="spellEnd"/>
      <w:r w:rsidRPr="00A259BD">
        <w:rPr>
          <w:rFonts w:ascii="Times New Roman" w:hAnsi="Times New Roman"/>
          <w:color w:val="000000" w:themeColor="text1"/>
          <w:sz w:val="16"/>
          <w:szCs w:val="16"/>
        </w:rPr>
        <w:t xml:space="preserve"> на </w:t>
      </w:r>
      <w:proofErr w:type="spellStart"/>
      <w:r w:rsidRPr="00A259BD">
        <w:rPr>
          <w:rFonts w:ascii="Times New Roman" w:hAnsi="Times New Roman"/>
          <w:color w:val="000000" w:themeColor="text1"/>
          <w:sz w:val="16"/>
          <w:szCs w:val="16"/>
        </w:rPr>
        <w:t>выс</w:t>
      </w:r>
      <w:proofErr w:type="spellEnd"/>
      <w:r w:rsidRPr="00A259BD">
        <w:rPr>
          <w:rFonts w:ascii="Times New Roman" w:hAnsi="Times New Roman"/>
          <w:color w:val="000000" w:themeColor="text1"/>
          <w:sz w:val="16"/>
          <w:szCs w:val="16"/>
        </w:rPr>
        <w:t xml:space="preserve">. 5000 </w:t>
      </w:r>
      <w:proofErr w:type="spellStart"/>
      <w:r w:rsidRPr="00A259BD">
        <w:rPr>
          <w:rFonts w:ascii="Times New Roman" w:hAnsi="Times New Roman"/>
          <w:color w:val="000000" w:themeColor="text1"/>
          <w:sz w:val="16"/>
          <w:szCs w:val="16"/>
        </w:rPr>
        <w:t>мт</w:t>
      </w:r>
      <w:proofErr w:type="spellEnd"/>
      <w:r w:rsidRPr="00A259BD">
        <w:rPr>
          <w:rFonts w:ascii="Times New Roman" w:hAnsi="Times New Roman"/>
          <w:color w:val="000000" w:themeColor="text1"/>
          <w:sz w:val="16"/>
          <w:szCs w:val="16"/>
        </w:rPr>
        <w:t>. - 8-10 мин.</w:t>
      </w:r>
    </w:p>
    <w:p w14:paraId="10FA11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продолжительность полета на </w:t>
      </w:r>
      <w:proofErr w:type="spellStart"/>
      <w:r w:rsidRPr="00A259BD">
        <w:rPr>
          <w:rFonts w:ascii="Times New Roman" w:hAnsi="Times New Roman"/>
          <w:color w:val="000000" w:themeColor="text1"/>
          <w:sz w:val="16"/>
          <w:szCs w:val="16"/>
        </w:rPr>
        <w:t>эксплоат</w:t>
      </w:r>
      <w:proofErr w:type="spellEnd"/>
      <w:r w:rsidRPr="00A259BD">
        <w:rPr>
          <w:rFonts w:ascii="Times New Roman" w:hAnsi="Times New Roman"/>
          <w:color w:val="000000" w:themeColor="text1"/>
          <w:sz w:val="16"/>
          <w:szCs w:val="16"/>
        </w:rPr>
        <w:t>. скор. - 4,5 час.</w:t>
      </w:r>
    </w:p>
    <w:p w14:paraId="648D73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вооружение - 4 пулемета.</w:t>
      </w:r>
    </w:p>
    <w:p w14:paraId="2184C4E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Требования к многоместному истребителю "Крейсеру" /К/.</w:t>
      </w:r>
    </w:p>
    <w:p w14:paraId="7D825D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Ввиду полного отсутствия опыта в строительстве этих типов самолетов, а равно и отсутствия соответствующих материалов по таковым из заграницы, окончательные требования к истребителю Крейсеру н устанавливаются. Последние могут быть даны только после испыта</w:t>
      </w:r>
      <w:r w:rsidRPr="00A259BD">
        <w:rPr>
          <w:rFonts w:ascii="Times New Roman" w:hAnsi="Times New Roman"/>
          <w:color w:val="000000" w:themeColor="text1"/>
          <w:sz w:val="16"/>
          <w:szCs w:val="16"/>
        </w:rPr>
        <w:softHyphen/>
        <w:t>ния самолета Р-6.</w:t>
      </w:r>
    </w:p>
    <w:p w14:paraId="0D5C49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Ориентировочными требованиями к истребителю Крейсеру /К/ можно считать следующие:</w:t>
      </w:r>
    </w:p>
    <w:p w14:paraId="287847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горизонтальная скорость на высоте 5000 </w:t>
      </w:r>
      <w:proofErr w:type="spellStart"/>
      <w:r w:rsidRPr="00A259BD">
        <w:rPr>
          <w:rFonts w:ascii="Times New Roman" w:hAnsi="Times New Roman"/>
          <w:color w:val="000000" w:themeColor="text1"/>
          <w:sz w:val="16"/>
          <w:szCs w:val="16"/>
        </w:rPr>
        <w:t>мт</w:t>
      </w:r>
      <w:proofErr w:type="spellEnd"/>
      <w:r w:rsidRPr="00A259BD">
        <w:rPr>
          <w:rFonts w:ascii="Times New Roman" w:hAnsi="Times New Roman"/>
          <w:color w:val="000000" w:themeColor="text1"/>
          <w:sz w:val="16"/>
          <w:szCs w:val="16"/>
        </w:rPr>
        <w:t xml:space="preserve">. - 280-300 </w:t>
      </w:r>
      <w:proofErr w:type="spellStart"/>
      <w:r w:rsidRPr="00A259BD">
        <w:rPr>
          <w:rFonts w:ascii="Times New Roman" w:hAnsi="Times New Roman"/>
          <w:color w:val="000000" w:themeColor="text1"/>
          <w:sz w:val="16"/>
          <w:szCs w:val="16"/>
        </w:rPr>
        <w:t>кл</w:t>
      </w:r>
      <w:proofErr w:type="spellEnd"/>
      <w:r w:rsidRPr="00A259BD">
        <w:rPr>
          <w:rFonts w:ascii="Times New Roman" w:hAnsi="Times New Roman"/>
          <w:color w:val="000000" w:themeColor="text1"/>
          <w:sz w:val="16"/>
          <w:szCs w:val="16"/>
        </w:rPr>
        <w:t>.</w:t>
      </w:r>
    </w:p>
    <w:p w14:paraId="2962F3E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дальность действия, равная дальности действия сверх</w:t>
      </w:r>
      <w:r w:rsidRPr="00A259BD">
        <w:rPr>
          <w:rFonts w:ascii="Times New Roman" w:hAnsi="Times New Roman"/>
          <w:color w:val="000000" w:themeColor="text1"/>
          <w:sz w:val="16"/>
          <w:szCs w:val="16"/>
        </w:rPr>
        <w:softHyphen/>
        <w:t xml:space="preserve">тяжелых бомбардировщиков, примерно - 1800-1200 </w:t>
      </w:r>
      <w:proofErr w:type="spellStart"/>
      <w:r w:rsidRPr="00A259BD">
        <w:rPr>
          <w:rFonts w:ascii="Times New Roman" w:hAnsi="Times New Roman"/>
          <w:color w:val="000000" w:themeColor="text1"/>
          <w:sz w:val="16"/>
          <w:szCs w:val="16"/>
        </w:rPr>
        <w:t>клм</w:t>
      </w:r>
      <w:proofErr w:type="spellEnd"/>
      <w:r w:rsidRPr="00A259BD">
        <w:rPr>
          <w:rFonts w:ascii="Times New Roman" w:hAnsi="Times New Roman"/>
          <w:color w:val="000000" w:themeColor="text1"/>
          <w:sz w:val="16"/>
          <w:szCs w:val="16"/>
        </w:rPr>
        <w:t>.</w:t>
      </w:r>
    </w:p>
    <w:p w14:paraId="543455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вооружение - 6-8 пулеметов</w:t>
      </w:r>
    </w:p>
    <w:p w14:paraId="76B026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сферический обстрел</w:t>
      </w:r>
    </w:p>
    <w:p w14:paraId="5ECA4D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экипаж - 4 человека,</w:t>
      </w:r>
    </w:p>
    <w:p w14:paraId="1219FC3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Истребитель "Крейсер" должен обладать достаточно маневренными качествами и допускать резкие эволюции в воздухе, на что обра</w:t>
      </w:r>
      <w:r w:rsidRPr="00A259BD">
        <w:rPr>
          <w:rFonts w:ascii="Times New Roman" w:hAnsi="Times New Roman"/>
          <w:color w:val="000000" w:themeColor="text1"/>
          <w:sz w:val="16"/>
          <w:szCs w:val="16"/>
        </w:rPr>
        <w:softHyphen/>
        <w:t>щается особое внимание конструкторов.</w:t>
      </w:r>
    </w:p>
    <w:p w14:paraId="09ED97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Требование к ночному истребителю</w:t>
      </w:r>
    </w:p>
    <w:p w14:paraId="7ACCB6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Первые опыты строительства ночных истребителей должны базироваться на приспосабливании под них двухместных истребителей /Д/, причем главное внимание конструкторов должно быть обращено на уменьшение посадочных скоростей приспосабливаемого самолета, доводя...</w:t>
      </w:r>
    </w:p>
    <w:p w14:paraId="1A8E4F3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приспосабливание имеющихся типов самолетов под ночные, неизбеж</w:t>
      </w:r>
      <w:r w:rsidRPr="00A259BD">
        <w:rPr>
          <w:rFonts w:ascii="Times New Roman" w:hAnsi="Times New Roman"/>
          <w:color w:val="000000" w:themeColor="text1"/>
          <w:sz w:val="16"/>
          <w:szCs w:val="16"/>
        </w:rPr>
        <w:softHyphen/>
        <w:t>но вызовет и увеличение полезной нагрузки самолета, которое полу</w:t>
      </w:r>
      <w:r w:rsidRPr="00A259BD">
        <w:rPr>
          <w:rFonts w:ascii="Times New Roman" w:hAnsi="Times New Roman"/>
          <w:color w:val="000000" w:themeColor="text1"/>
          <w:sz w:val="16"/>
          <w:szCs w:val="16"/>
        </w:rPr>
        <w:softHyphen/>
        <w:t>чится от установки на них добавочного специального ночного обору</w:t>
      </w:r>
      <w:r w:rsidRPr="00A259BD">
        <w:rPr>
          <w:rFonts w:ascii="Times New Roman" w:hAnsi="Times New Roman"/>
          <w:color w:val="000000" w:themeColor="text1"/>
          <w:sz w:val="16"/>
          <w:szCs w:val="16"/>
        </w:rPr>
        <w:softHyphen/>
        <w:t>дования.</w:t>
      </w:r>
    </w:p>
    <w:p w14:paraId="60828C6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дальнейшем, в следующей "пятилетке” мыслится создать специаль</w:t>
      </w:r>
      <w:r w:rsidRPr="00A259BD">
        <w:rPr>
          <w:rFonts w:ascii="Times New Roman" w:hAnsi="Times New Roman"/>
          <w:color w:val="000000" w:themeColor="text1"/>
          <w:sz w:val="16"/>
          <w:szCs w:val="16"/>
        </w:rPr>
        <w:softHyphen/>
        <w:t>ный тип ночного истребителя, который будет по меньшей мере трех</w:t>
      </w:r>
      <w:r w:rsidRPr="00A259BD">
        <w:rPr>
          <w:rFonts w:ascii="Times New Roman" w:hAnsi="Times New Roman"/>
          <w:color w:val="000000" w:themeColor="text1"/>
          <w:sz w:val="16"/>
          <w:szCs w:val="16"/>
        </w:rPr>
        <w:softHyphen/>
        <w:t>местным.</w:t>
      </w:r>
    </w:p>
    <w:p w14:paraId="0B525DC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Армейские разведчики /Р/, или </w:t>
      </w:r>
      <w:proofErr w:type="spellStart"/>
      <w:r w:rsidRPr="00A259BD">
        <w:rPr>
          <w:rFonts w:ascii="Times New Roman" w:hAnsi="Times New Roman"/>
          <w:color w:val="000000" w:themeColor="text1"/>
          <w:sz w:val="16"/>
          <w:szCs w:val="16"/>
        </w:rPr>
        <w:t>разв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едчики</w:t>
      </w:r>
      <w:proofErr w:type="spellEnd"/>
      <w:r w:rsidRPr="00A259BD">
        <w:rPr>
          <w:rFonts w:ascii="Times New Roman" w:hAnsi="Times New Roman"/>
          <w:color w:val="000000" w:themeColor="text1"/>
          <w:sz w:val="16"/>
          <w:szCs w:val="16"/>
        </w:rPr>
        <w:t xml:space="preserve"> дальнего действия.</w:t>
      </w:r>
    </w:p>
    <w:p w14:paraId="71E4AB3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полного и всестороннего обеспечения разведкой главного и армей</w:t>
      </w:r>
      <w:r w:rsidRPr="00A259BD">
        <w:rPr>
          <w:rFonts w:ascii="Times New Roman" w:hAnsi="Times New Roman"/>
          <w:color w:val="000000" w:themeColor="text1"/>
          <w:sz w:val="16"/>
          <w:szCs w:val="16"/>
        </w:rPr>
        <w:softHyphen/>
        <w:t>ского командования, а равно и для обеспечения разведкой своих воз</w:t>
      </w:r>
      <w:r w:rsidRPr="00A259BD">
        <w:rPr>
          <w:rFonts w:ascii="Times New Roman" w:hAnsi="Times New Roman"/>
          <w:color w:val="000000" w:themeColor="text1"/>
          <w:sz w:val="16"/>
          <w:szCs w:val="16"/>
        </w:rPr>
        <w:softHyphen/>
        <w:t>душных сил - "себя", признается достаточным иметь только один тип двухместного самолета - разведчика, отказываясь от воздушного боя, как средства к цели, а тем самым и ограничивая разведчика в воору</w:t>
      </w:r>
      <w:r w:rsidRPr="00A259BD">
        <w:rPr>
          <w:rFonts w:ascii="Times New Roman" w:hAnsi="Times New Roman"/>
          <w:color w:val="000000" w:themeColor="text1"/>
          <w:sz w:val="16"/>
          <w:szCs w:val="16"/>
        </w:rPr>
        <w:softHyphen/>
        <w:t>жении, выдвигается на первое место потребность большой, приближаю</w:t>
      </w:r>
      <w:r w:rsidRPr="00A259BD">
        <w:rPr>
          <w:rFonts w:ascii="Times New Roman" w:hAnsi="Times New Roman"/>
          <w:color w:val="000000" w:themeColor="text1"/>
          <w:sz w:val="16"/>
          <w:szCs w:val="16"/>
        </w:rPr>
        <w:softHyphen/>
        <w:t>щейся к таковой истребителя, скорости и большого радиуса действия.</w:t>
      </w:r>
    </w:p>
    <w:p w14:paraId="6C89CD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Помимо сказанного, на основании уже имеющегося опыта, решено впредь отказаться от использования разведчика в качестве легкого бомбардировщика, как не дающего нужного боевого эффекта, более того, та же незначительность достигаемого боевого эффекта легкой бомбарди</w:t>
      </w:r>
      <w:r w:rsidRPr="00A259BD">
        <w:rPr>
          <w:rFonts w:ascii="Times New Roman" w:hAnsi="Times New Roman"/>
          <w:color w:val="000000" w:themeColor="text1"/>
          <w:sz w:val="16"/>
          <w:szCs w:val="16"/>
        </w:rPr>
        <w:softHyphen/>
        <w:t>ровочной авиации, заставляет от таковой отказаться вообще и бази</w:t>
      </w:r>
      <w:r w:rsidRPr="00A259BD">
        <w:rPr>
          <w:rFonts w:ascii="Times New Roman" w:hAnsi="Times New Roman"/>
          <w:color w:val="000000" w:themeColor="text1"/>
          <w:sz w:val="16"/>
          <w:szCs w:val="16"/>
        </w:rPr>
        <w:softHyphen/>
        <w:t xml:space="preserve">ровать свои бомбардировочные действия на самолетах более тяжелого типа. Мыслится, что в будущем легкий одномоторный бомбардировщик уступит свое место бомбардировочному самолету, по своей </w:t>
      </w:r>
      <w:proofErr w:type="spellStart"/>
      <w:r w:rsidRPr="00A259BD">
        <w:rPr>
          <w:rFonts w:ascii="Times New Roman" w:hAnsi="Times New Roman"/>
          <w:color w:val="000000" w:themeColor="text1"/>
          <w:sz w:val="16"/>
          <w:szCs w:val="16"/>
        </w:rPr>
        <w:t>грузопод"емности</w:t>
      </w:r>
      <w:proofErr w:type="spellEnd"/>
      <w:r w:rsidRPr="00A259BD">
        <w:rPr>
          <w:rFonts w:ascii="Times New Roman" w:hAnsi="Times New Roman"/>
          <w:color w:val="000000" w:themeColor="text1"/>
          <w:sz w:val="16"/>
          <w:szCs w:val="16"/>
        </w:rPr>
        <w:t>, близкому к ТБ1.</w:t>
      </w:r>
    </w:p>
    <w:p w14:paraId="7DA343A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 временная мера обеспечения себя бомбардировочными средствами, предусматривается возможность использования под легкие бомбарди</w:t>
      </w:r>
      <w:r w:rsidRPr="00A259BD">
        <w:rPr>
          <w:rFonts w:ascii="Times New Roman" w:hAnsi="Times New Roman"/>
          <w:color w:val="000000" w:themeColor="text1"/>
          <w:sz w:val="16"/>
          <w:szCs w:val="16"/>
        </w:rPr>
        <w:softHyphen/>
        <w:t>ровщики разведчиков Р5 и Р7.</w:t>
      </w:r>
    </w:p>
    <w:p w14:paraId="7B6647B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Требования к армейским разведчикам /Р/</w:t>
      </w:r>
    </w:p>
    <w:p w14:paraId="1DDAE5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Армейский разведчик, конца пятилетия, должен представлять собой дальнейшее усовершенствование и развитие самолетов Р5 и Р7. Ориен</w:t>
      </w:r>
      <w:r w:rsidRPr="00A259BD">
        <w:rPr>
          <w:rFonts w:ascii="Times New Roman" w:hAnsi="Times New Roman"/>
          <w:color w:val="000000" w:themeColor="text1"/>
          <w:sz w:val="16"/>
          <w:szCs w:val="16"/>
        </w:rPr>
        <w:softHyphen/>
        <w:t>тировочно он должен удовлетворять следующим летно-тактическим тре</w:t>
      </w:r>
      <w:r w:rsidRPr="00A259BD">
        <w:rPr>
          <w:rFonts w:ascii="Times New Roman" w:hAnsi="Times New Roman"/>
          <w:color w:val="000000" w:themeColor="text1"/>
          <w:sz w:val="16"/>
          <w:szCs w:val="16"/>
        </w:rPr>
        <w:softHyphen/>
        <w:t>бованиям /для Р8/:</w:t>
      </w:r>
    </w:p>
    <w:p w14:paraId="71AF59C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а/...У максимальная на 5000 м - 280-300 </w:t>
      </w:r>
      <w:proofErr w:type="spellStart"/>
      <w:r w:rsidRPr="00A259BD">
        <w:rPr>
          <w:rFonts w:ascii="Times New Roman" w:hAnsi="Times New Roman"/>
          <w:color w:val="000000" w:themeColor="text1"/>
          <w:sz w:val="16"/>
          <w:szCs w:val="16"/>
        </w:rPr>
        <w:t>клм</w:t>
      </w:r>
      <w:proofErr w:type="spellEnd"/>
      <w:r w:rsidRPr="00A259BD">
        <w:rPr>
          <w:rFonts w:ascii="Times New Roman" w:hAnsi="Times New Roman"/>
          <w:color w:val="000000" w:themeColor="text1"/>
          <w:sz w:val="16"/>
          <w:szCs w:val="16"/>
        </w:rPr>
        <w:t>.</w:t>
      </w:r>
    </w:p>
    <w:p w14:paraId="6F13A20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w:t>
      </w:r>
    </w:p>
    <w:p w14:paraId="5F3C8B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продолжительность полета - 6-8 часов</w:t>
      </w:r>
    </w:p>
    <w:p w14:paraId="30B8632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потолок - 8000 </w:t>
      </w:r>
      <w:proofErr w:type="spellStart"/>
      <w:r w:rsidRPr="00A259BD">
        <w:rPr>
          <w:rFonts w:ascii="Times New Roman" w:hAnsi="Times New Roman"/>
          <w:color w:val="000000" w:themeColor="text1"/>
          <w:sz w:val="16"/>
          <w:szCs w:val="16"/>
        </w:rPr>
        <w:t>мт</w:t>
      </w:r>
      <w:proofErr w:type="spellEnd"/>
      <w:r w:rsidRPr="00A259BD">
        <w:rPr>
          <w:rFonts w:ascii="Times New Roman" w:hAnsi="Times New Roman"/>
          <w:color w:val="000000" w:themeColor="text1"/>
          <w:sz w:val="16"/>
          <w:szCs w:val="16"/>
        </w:rPr>
        <w:t>.</w:t>
      </w:r>
    </w:p>
    <w:p w14:paraId="2CBFF39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вооружение - 3-4 пул.</w:t>
      </w:r>
    </w:p>
    <w:p w14:paraId="5AF15C7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Следует попытаться осуществить новую схему Бреге, как заключающую в себе целый ряд ценных преимуществ в огневом и обзорном отноше</w:t>
      </w:r>
      <w:r w:rsidRPr="00A259BD">
        <w:rPr>
          <w:rFonts w:ascii="Times New Roman" w:hAnsi="Times New Roman"/>
          <w:color w:val="000000" w:themeColor="text1"/>
          <w:sz w:val="16"/>
          <w:szCs w:val="16"/>
        </w:rPr>
        <w:softHyphen/>
        <w:t>ниях.</w:t>
      </w:r>
    </w:p>
    <w:p w14:paraId="787650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в пятилетний план опытного самолетостроения надлежит включить создание ночного разведчика, который для текущей пятилет</w:t>
      </w:r>
      <w:r w:rsidRPr="00A259BD">
        <w:rPr>
          <w:rFonts w:ascii="Times New Roman" w:hAnsi="Times New Roman"/>
          <w:color w:val="000000" w:themeColor="text1"/>
          <w:sz w:val="16"/>
          <w:szCs w:val="16"/>
        </w:rPr>
        <w:softHyphen/>
        <w:t>ки может быть получен путем приспособления под него одного из по</w:t>
      </w:r>
      <w:r w:rsidRPr="00A259BD">
        <w:rPr>
          <w:rFonts w:ascii="Times New Roman" w:hAnsi="Times New Roman"/>
          <w:color w:val="000000" w:themeColor="text1"/>
          <w:sz w:val="16"/>
          <w:szCs w:val="16"/>
        </w:rPr>
        <w:softHyphen/>
        <w:t>следних дневных разведчиков. Для уменьшения посадочных скоростей представляется возможным установка на них разрезных крыльев. Уве</w:t>
      </w:r>
      <w:r w:rsidRPr="00A259BD">
        <w:rPr>
          <w:rFonts w:ascii="Times New Roman" w:hAnsi="Times New Roman"/>
          <w:color w:val="000000" w:themeColor="text1"/>
          <w:sz w:val="16"/>
          <w:szCs w:val="16"/>
        </w:rPr>
        <w:softHyphen/>
        <w:t>личение полезной нагрузки вызываемое установкой специального ноч</w:t>
      </w:r>
      <w:r w:rsidRPr="00A259BD">
        <w:rPr>
          <w:rFonts w:ascii="Times New Roman" w:hAnsi="Times New Roman"/>
          <w:color w:val="000000" w:themeColor="text1"/>
          <w:sz w:val="16"/>
          <w:szCs w:val="16"/>
        </w:rPr>
        <w:softHyphen/>
        <w:t>ного оборудования можно будет избежать путем снятия 1-2 пулеметов и уменьшения запаса горючего.</w:t>
      </w:r>
    </w:p>
    <w:p w14:paraId="6DED9D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Бомбардировщики /Б/.</w:t>
      </w:r>
    </w:p>
    <w:p w14:paraId="4FC957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Рассмотрение и соответственное изучение динамики развития бомбар</w:t>
      </w:r>
      <w:r w:rsidRPr="00A259BD">
        <w:rPr>
          <w:rFonts w:ascii="Times New Roman" w:hAnsi="Times New Roman"/>
          <w:color w:val="000000" w:themeColor="text1"/>
          <w:sz w:val="16"/>
          <w:szCs w:val="16"/>
        </w:rPr>
        <w:softHyphen/>
        <w:t>дировочной авиации последних дней, указывается на то, что здесь выявилась определенная тенденция к переходу на строительство исклю</w:t>
      </w:r>
      <w:r w:rsidRPr="00A259BD">
        <w:rPr>
          <w:rFonts w:ascii="Times New Roman" w:hAnsi="Times New Roman"/>
          <w:color w:val="000000" w:themeColor="text1"/>
          <w:sz w:val="16"/>
          <w:szCs w:val="16"/>
        </w:rPr>
        <w:softHyphen/>
        <w:t>чительно тяжелых и сверхтяжелых типов бомбардировочных самолетов. При этом под последними понимаются также бомбардировщики, которые могут нести на себе сбрасываемый бомбовой груз до 5000 и более килограмм. Наш собственный опыт подтверждает, что возить на само</w:t>
      </w:r>
      <w:r w:rsidRPr="00A259BD">
        <w:rPr>
          <w:rFonts w:ascii="Times New Roman" w:hAnsi="Times New Roman"/>
          <w:color w:val="000000" w:themeColor="text1"/>
          <w:sz w:val="16"/>
          <w:szCs w:val="16"/>
        </w:rPr>
        <w:softHyphen/>
        <w:t xml:space="preserve">летах бомбовый груз менее 1000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является делом малорентабельным и оправдываемым лишь в некоторых немногочисленных случаях.</w:t>
      </w:r>
    </w:p>
    <w:p w14:paraId="7A1E07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Требования к бомбардировщикам /Б/ средней грузоподъемности /типа ранее тяжелого бомбардировщика - ТБ1, ТБ2/ не даются. В этом отно</w:t>
      </w:r>
      <w:r w:rsidRPr="00A259BD">
        <w:rPr>
          <w:rFonts w:ascii="Times New Roman" w:hAnsi="Times New Roman"/>
          <w:color w:val="000000" w:themeColor="text1"/>
          <w:sz w:val="16"/>
          <w:szCs w:val="16"/>
        </w:rPr>
        <w:softHyphen/>
        <w:t>шении пятилетний план опытного самолетостроения должен лишь пре</w:t>
      </w:r>
      <w:r w:rsidRPr="00A259BD">
        <w:rPr>
          <w:rFonts w:ascii="Times New Roman" w:hAnsi="Times New Roman"/>
          <w:color w:val="000000" w:themeColor="text1"/>
          <w:sz w:val="16"/>
          <w:szCs w:val="16"/>
        </w:rPr>
        <w:softHyphen/>
        <w:t>дусмотреть дальнейшее усовершенствование ТБ1, направляя конструк</w:t>
      </w:r>
      <w:r w:rsidRPr="00A259BD">
        <w:rPr>
          <w:rFonts w:ascii="Times New Roman" w:hAnsi="Times New Roman"/>
          <w:color w:val="000000" w:themeColor="text1"/>
          <w:sz w:val="16"/>
          <w:szCs w:val="16"/>
        </w:rPr>
        <w:softHyphen/>
        <w:t>торскую мысль в сторону увеличения его грузоподъемности, без пони</w:t>
      </w:r>
      <w:r w:rsidRPr="00A259BD">
        <w:rPr>
          <w:rFonts w:ascii="Times New Roman" w:hAnsi="Times New Roman"/>
          <w:color w:val="000000" w:themeColor="text1"/>
          <w:sz w:val="16"/>
          <w:szCs w:val="16"/>
        </w:rPr>
        <w:softHyphen/>
        <w:t>жения прочих свойств.</w:t>
      </w:r>
    </w:p>
    <w:p w14:paraId="6D0B3D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Требования к тяжелому /</w:t>
      </w:r>
      <w:proofErr w:type="spellStart"/>
      <w:r w:rsidRPr="00A259BD">
        <w:rPr>
          <w:rFonts w:ascii="Times New Roman" w:hAnsi="Times New Roman"/>
          <w:color w:val="000000" w:themeColor="text1"/>
          <w:sz w:val="16"/>
          <w:szCs w:val="16"/>
        </w:rPr>
        <w:t>сьерх-тяжолому</w:t>
      </w:r>
      <w:proofErr w:type="spellEnd"/>
      <w:r w:rsidRPr="00A259BD">
        <w:rPr>
          <w:rFonts w:ascii="Times New Roman" w:hAnsi="Times New Roman"/>
          <w:color w:val="000000" w:themeColor="text1"/>
          <w:sz w:val="16"/>
          <w:szCs w:val="16"/>
        </w:rPr>
        <w:t>/ бомбардировщику /ТБ/.</w:t>
      </w:r>
    </w:p>
    <w:p w14:paraId="633A0B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...тактическим требованиям:</w:t>
      </w:r>
    </w:p>
    <w:p w14:paraId="44EA718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сбрасываемая бомбовая нагрузка не менее 5000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w:t>
      </w:r>
    </w:p>
    <w:p w14:paraId="71121D9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горизонтальная скорость на </w:t>
      </w:r>
      <w:proofErr w:type="spellStart"/>
      <w:r w:rsidRPr="00A259BD">
        <w:rPr>
          <w:rFonts w:ascii="Times New Roman" w:hAnsi="Times New Roman"/>
          <w:color w:val="000000" w:themeColor="text1"/>
          <w:sz w:val="16"/>
          <w:szCs w:val="16"/>
        </w:rPr>
        <w:t>выс</w:t>
      </w:r>
      <w:proofErr w:type="spellEnd"/>
      <w:r w:rsidRPr="00A259BD">
        <w:rPr>
          <w:rFonts w:ascii="Times New Roman" w:hAnsi="Times New Roman"/>
          <w:color w:val="000000" w:themeColor="text1"/>
          <w:sz w:val="16"/>
          <w:szCs w:val="16"/>
        </w:rPr>
        <w:t xml:space="preserve">. 5000 </w:t>
      </w:r>
      <w:proofErr w:type="spellStart"/>
      <w:r w:rsidRPr="00A259BD">
        <w:rPr>
          <w:rFonts w:ascii="Times New Roman" w:hAnsi="Times New Roman"/>
          <w:color w:val="000000" w:themeColor="text1"/>
          <w:sz w:val="16"/>
          <w:szCs w:val="16"/>
        </w:rPr>
        <w:t>мт</w:t>
      </w:r>
      <w:proofErr w:type="spellEnd"/>
      <w:r w:rsidRPr="00A259BD">
        <w:rPr>
          <w:rFonts w:ascii="Times New Roman" w:hAnsi="Times New Roman"/>
          <w:color w:val="000000" w:themeColor="text1"/>
          <w:sz w:val="16"/>
          <w:szCs w:val="16"/>
        </w:rPr>
        <w:t xml:space="preserve">. - 230-250 </w:t>
      </w:r>
      <w:proofErr w:type="spellStart"/>
      <w:r w:rsidRPr="00A259BD">
        <w:rPr>
          <w:rFonts w:ascii="Times New Roman" w:hAnsi="Times New Roman"/>
          <w:color w:val="000000" w:themeColor="text1"/>
          <w:sz w:val="16"/>
          <w:szCs w:val="16"/>
        </w:rPr>
        <w:t>клм</w:t>
      </w:r>
      <w:proofErr w:type="spellEnd"/>
      <w:r w:rsidRPr="00A259BD">
        <w:rPr>
          <w:rFonts w:ascii="Times New Roman" w:hAnsi="Times New Roman"/>
          <w:color w:val="000000" w:themeColor="text1"/>
          <w:sz w:val="16"/>
          <w:szCs w:val="16"/>
        </w:rPr>
        <w:t>/час.</w:t>
      </w:r>
    </w:p>
    <w:p w14:paraId="5F06D4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подъем на 3000 </w:t>
      </w:r>
      <w:proofErr w:type="spellStart"/>
      <w:r w:rsidRPr="00A259BD">
        <w:rPr>
          <w:rFonts w:ascii="Times New Roman" w:hAnsi="Times New Roman"/>
          <w:color w:val="000000" w:themeColor="text1"/>
          <w:sz w:val="16"/>
          <w:szCs w:val="16"/>
        </w:rPr>
        <w:t>мт</w:t>
      </w:r>
      <w:proofErr w:type="spellEnd"/>
      <w:r w:rsidRPr="00A259BD">
        <w:rPr>
          <w:rFonts w:ascii="Times New Roman" w:hAnsi="Times New Roman"/>
          <w:color w:val="000000" w:themeColor="text1"/>
          <w:sz w:val="16"/>
          <w:szCs w:val="16"/>
        </w:rPr>
        <w:t>. около - 20 мин.</w:t>
      </w:r>
    </w:p>
    <w:p w14:paraId="24056D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дальность действия не менее - 1800-2000 </w:t>
      </w:r>
      <w:proofErr w:type="spellStart"/>
      <w:r w:rsidRPr="00A259BD">
        <w:rPr>
          <w:rFonts w:ascii="Times New Roman" w:hAnsi="Times New Roman"/>
          <w:color w:val="000000" w:themeColor="text1"/>
          <w:sz w:val="16"/>
          <w:szCs w:val="16"/>
        </w:rPr>
        <w:t>клм</w:t>
      </w:r>
      <w:proofErr w:type="spellEnd"/>
      <w:r w:rsidRPr="00A259BD">
        <w:rPr>
          <w:rFonts w:ascii="Times New Roman" w:hAnsi="Times New Roman"/>
          <w:color w:val="000000" w:themeColor="text1"/>
          <w:sz w:val="16"/>
          <w:szCs w:val="16"/>
        </w:rPr>
        <w:t>.</w:t>
      </w:r>
    </w:p>
    <w:p w14:paraId="7F4B79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 потолок - 6000-7000 </w:t>
      </w:r>
      <w:proofErr w:type="spellStart"/>
      <w:r w:rsidRPr="00A259BD">
        <w:rPr>
          <w:rFonts w:ascii="Times New Roman" w:hAnsi="Times New Roman"/>
          <w:color w:val="000000" w:themeColor="text1"/>
          <w:sz w:val="16"/>
          <w:szCs w:val="16"/>
        </w:rPr>
        <w:t>мт</w:t>
      </w:r>
      <w:proofErr w:type="spellEnd"/>
      <w:r w:rsidRPr="00A259BD">
        <w:rPr>
          <w:rFonts w:ascii="Times New Roman" w:hAnsi="Times New Roman"/>
          <w:color w:val="000000" w:themeColor="text1"/>
          <w:sz w:val="16"/>
          <w:szCs w:val="16"/>
        </w:rPr>
        <w:t>.</w:t>
      </w:r>
    </w:p>
    <w:p w14:paraId="0D7A5C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 вооружение количественно и качественно определяемое перед началом проектирования самолета, обеспечивающее сферический обстрел "независимость" действий бомбардировщика и воздушный бой на больших дистанциях /1-2 </w:t>
      </w:r>
      <w:proofErr w:type="spellStart"/>
      <w:r w:rsidRPr="00A259BD">
        <w:rPr>
          <w:rFonts w:ascii="Times New Roman" w:hAnsi="Times New Roman"/>
          <w:color w:val="000000" w:themeColor="text1"/>
          <w:sz w:val="16"/>
          <w:szCs w:val="16"/>
        </w:rPr>
        <w:t>клм</w:t>
      </w:r>
      <w:proofErr w:type="spellEnd"/>
      <w:r w:rsidRPr="00A259BD">
        <w:rPr>
          <w:rFonts w:ascii="Times New Roman" w:hAnsi="Times New Roman"/>
          <w:color w:val="000000" w:themeColor="text1"/>
          <w:sz w:val="16"/>
          <w:szCs w:val="16"/>
        </w:rPr>
        <w:t>./</w:t>
      </w:r>
    </w:p>
    <w:p w14:paraId="2A2AB5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возможность длительного хранения самолета под открытым небом /нержавеющая сталь и т.д./</w:t>
      </w:r>
    </w:p>
    <w:p w14:paraId="438EE5C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Торпедоносцы-бомбардировщики /Тор./</w:t>
      </w:r>
    </w:p>
    <w:p w14:paraId="5C10DF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Целый ряд исследований, а также соответствующее изучение опыта заграничных воздушных флотов, приводят к мысли целесообразности постройки такого, нового для нам, типа сухопутного самолета /могу</w:t>
      </w:r>
      <w:r w:rsidRPr="00A259BD">
        <w:rPr>
          <w:rFonts w:ascii="Times New Roman" w:hAnsi="Times New Roman"/>
          <w:color w:val="000000" w:themeColor="text1"/>
          <w:sz w:val="16"/>
          <w:szCs w:val="16"/>
        </w:rPr>
        <w:softHyphen/>
        <w:t>щего быстро быть устанавливаемым на поплавки/, который мог бы нес</w:t>
      </w:r>
      <w:r w:rsidRPr="00A259BD">
        <w:rPr>
          <w:rFonts w:ascii="Times New Roman" w:hAnsi="Times New Roman"/>
          <w:color w:val="000000" w:themeColor="text1"/>
          <w:sz w:val="16"/>
          <w:szCs w:val="16"/>
        </w:rPr>
        <w:softHyphen/>
        <w:t xml:space="preserve">ти на себе одну торпеду в 1000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заменяемую, в случае необхо</w:t>
      </w:r>
      <w:r w:rsidRPr="00A259BD">
        <w:rPr>
          <w:rFonts w:ascii="Times New Roman" w:hAnsi="Times New Roman"/>
          <w:color w:val="000000" w:themeColor="text1"/>
          <w:sz w:val="16"/>
          <w:szCs w:val="16"/>
        </w:rPr>
        <w:softHyphen/>
        <w:t xml:space="preserve">димости, двумя /2/ бомбами по 1000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каждая.</w:t>
      </w:r>
    </w:p>
    <w:p w14:paraId="0E4CA9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Летно-тактические требования к этому самолету устанавливаются сле</w:t>
      </w:r>
      <w:r w:rsidRPr="00A259BD">
        <w:rPr>
          <w:rFonts w:ascii="Times New Roman" w:hAnsi="Times New Roman"/>
          <w:color w:val="000000" w:themeColor="text1"/>
          <w:sz w:val="16"/>
          <w:szCs w:val="16"/>
        </w:rPr>
        <w:softHyphen/>
        <w:t>дующие:</w:t>
      </w:r>
    </w:p>
    <w:p w14:paraId="2E0D0D3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способность к крутому планированию,</w:t>
      </w:r>
    </w:p>
    <w:p w14:paraId="45C10DE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достаточная маневренность,</w:t>
      </w:r>
    </w:p>
    <w:p w14:paraId="1A3E90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горизонтальная скорость на </w:t>
      </w:r>
      <w:proofErr w:type="spellStart"/>
      <w:r w:rsidRPr="00A259BD">
        <w:rPr>
          <w:rFonts w:ascii="Times New Roman" w:hAnsi="Times New Roman"/>
          <w:color w:val="000000" w:themeColor="text1"/>
          <w:sz w:val="16"/>
          <w:szCs w:val="16"/>
        </w:rPr>
        <w:t>выс</w:t>
      </w:r>
      <w:proofErr w:type="spellEnd"/>
      <w:r w:rsidRPr="00A259BD">
        <w:rPr>
          <w:rFonts w:ascii="Times New Roman" w:hAnsi="Times New Roman"/>
          <w:color w:val="000000" w:themeColor="text1"/>
          <w:sz w:val="16"/>
          <w:szCs w:val="16"/>
        </w:rPr>
        <w:t xml:space="preserve">. 3000 </w:t>
      </w:r>
      <w:proofErr w:type="spellStart"/>
      <w:r w:rsidRPr="00A259BD">
        <w:rPr>
          <w:rFonts w:ascii="Times New Roman" w:hAnsi="Times New Roman"/>
          <w:color w:val="000000" w:themeColor="text1"/>
          <w:sz w:val="16"/>
          <w:szCs w:val="16"/>
        </w:rPr>
        <w:t>мт</w:t>
      </w:r>
      <w:proofErr w:type="spellEnd"/>
      <w:r w:rsidRPr="00A259BD">
        <w:rPr>
          <w:rFonts w:ascii="Times New Roman" w:hAnsi="Times New Roman"/>
          <w:color w:val="000000" w:themeColor="text1"/>
          <w:sz w:val="16"/>
          <w:szCs w:val="16"/>
        </w:rPr>
        <w:t xml:space="preserve">. 250 </w:t>
      </w:r>
      <w:proofErr w:type="spellStart"/>
      <w:r w:rsidRPr="00A259BD">
        <w:rPr>
          <w:rFonts w:ascii="Times New Roman" w:hAnsi="Times New Roman"/>
          <w:color w:val="000000" w:themeColor="text1"/>
          <w:sz w:val="16"/>
          <w:szCs w:val="16"/>
        </w:rPr>
        <w:t>клм</w:t>
      </w:r>
      <w:proofErr w:type="spellEnd"/>
      <w:r w:rsidRPr="00A259BD">
        <w:rPr>
          <w:rFonts w:ascii="Times New Roman" w:hAnsi="Times New Roman"/>
          <w:color w:val="000000" w:themeColor="text1"/>
          <w:sz w:val="16"/>
          <w:szCs w:val="16"/>
        </w:rPr>
        <w:t>/час</w:t>
      </w:r>
    </w:p>
    <w:p w14:paraId="6D3CA8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продолжительность полета на </w:t>
      </w:r>
      <w:proofErr w:type="spellStart"/>
      <w:r w:rsidRPr="00A259BD">
        <w:rPr>
          <w:rFonts w:ascii="Times New Roman" w:hAnsi="Times New Roman"/>
          <w:color w:val="000000" w:themeColor="text1"/>
          <w:sz w:val="16"/>
          <w:szCs w:val="16"/>
        </w:rPr>
        <w:t>эксплоат</w:t>
      </w:r>
      <w:proofErr w:type="spellEnd"/>
      <w:r w:rsidRPr="00A259BD">
        <w:rPr>
          <w:rFonts w:ascii="Times New Roman" w:hAnsi="Times New Roman"/>
          <w:color w:val="000000" w:themeColor="text1"/>
          <w:sz w:val="16"/>
          <w:szCs w:val="16"/>
        </w:rPr>
        <w:t>. скорости - 4 час.</w:t>
      </w:r>
    </w:p>
    <w:p w14:paraId="4B1EB4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экипаж - 2 человека.</w:t>
      </w:r>
    </w:p>
    <w:p w14:paraId="7410ED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Штурмовики.</w:t>
      </w:r>
    </w:p>
    <w:p w14:paraId="4885600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Штурмовая авиация имеет в виду быть использованной для нападения и огневого удара с воздуха по живым силам противника, находящихся на поле сражения, в колоннах и на биваках; для нападения на тран</w:t>
      </w:r>
      <w:r w:rsidRPr="00A259BD">
        <w:rPr>
          <w:rFonts w:ascii="Times New Roman" w:hAnsi="Times New Roman"/>
          <w:color w:val="000000" w:themeColor="text1"/>
          <w:sz w:val="16"/>
          <w:szCs w:val="16"/>
        </w:rPr>
        <w:softHyphen/>
        <w:t>спорты и обозы противника, его железно-дорожные станции и узлы, в периоды наибольшего на них боевого оживления /военные погрузки, разгрузки и т.д./.</w:t>
      </w:r>
    </w:p>
    <w:p w14:paraId="3FC234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максимального эффектного воздействия на такого рода цели, признано необходимым иметь специальные типы самолетов - штурмовики, причем один тип легкого </w:t>
      </w:r>
      <w:proofErr w:type="spellStart"/>
      <w:r w:rsidRPr="00A259BD">
        <w:rPr>
          <w:rFonts w:ascii="Times New Roman" w:hAnsi="Times New Roman"/>
          <w:color w:val="000000" w:themeColor="text1"/>
          <w:sz w:val="16"/>
          <w:szCs w:val="16"/>
        </w:rPr>
        <w:t>штуомовика</w:t>
      </w:r>
      <w:proofErr w:type="spellEnd"/>
      <w:r w:rsidRPr="00A259BD">
        <w:rPr>
          <w:rFonts w:ascii="Times New Roman" w:hAnsi="Times New Roman"/>
          <w:color w:val="000000" w:themeColor="text1"/>
          <w:sz w:val="16"/>
          <w:szCs w:val="16"/>
        </w:rPr>
        <w:t xml:space="preserve"> и один тип тяжелого штурмовика...</w:t>
      </w:r>
    </w:p>
    <w:p w14:paraId="186BB0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...вика с большой бомбовой нагрузкой /в общей сложности до 1000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xml:space="preserve">/, бронированный и с вооружением /стрелковым/, достаточным для самостоятельного ведения оборонительного боя. Легкий </w:t>
      </w:r>
      <w:proofErr w:type="spellStart"/>
      <w:r w:rsidRPr="00A259BD">
        <w:rPr>
          <w:rFonts w:ascii="Times New Roman" w:hAnsi="Times New Roman"/>
          <w:color w:val="000000" w:themeColor="text1"/>
          <w:sz w:val="16"/>
          <w:szCs w:val="16"/>
        </w:rPr>
        <w:t>штуомозик</w:t>
      </w:r>
      <w:proofErr w:type="spellEnd"/>
      <w:r w:rsidRPr="00A259BD">
        <w:rPr>
          <w:rFonts w:ascii="Times New Roman" w:hAnsi="Times New Roman"/>
          <w:color w:val="000000" w:themeColor="text1"/>
          <w:sz w:val="16"/>
          <w:szCs w:val="16"/>
        </w:rPr>
        <w:t xml:space="preserve"> /ЛД / предназначается для действий по войскам, тяжелый же и по легким сооружениями противника. Последний в некотором смысле может выпол</w:t>
      </w:r>
      <w:r w:rsidRPr="00A259BD">
        <w:rPr>
          <w:rFonts w:ascii="Times New Roman" w:hAnsi="Times New Roman"/>
          <w:color w:val="000000" w:themeColor="text1"/>
          <w:sz w:val="16"/>
          <w:szCs w:val="16"/>
        </w:rPr>
        <w:softHyphen/>
        <w:t>нять функции легкого бомбардировщика. Окончательные требования к легкому штурмовику не даются» Признается, что он в своих основных летно-тактических данных будет больше всего соответствовать самолету Р7, что и дает право пока ограничиться соответствующим прис</w:t>
      </w:r>
      <w:r w:rsidRPr="00A259BD">
        <w:rPr>
          <w:rFonts w:ascii="Times New Roman" w:hAnsi="Times New Roman"/>
          <w:color w:val="000000" w:themeColor="text1"/>
          <w:sz w:val="16"/>
          <w:szCs w:val="16"/>
        </w:rPr>
        <w:softHyphen/>
        <w:t>пособлением под него последнего.</w:t>
      </w:r>
    </w:p>
    <w:p w14:paraId="766E88D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Вооружение легкого штурмовика должно состоять из 6-8 пулеметов вперед и 2-х на турели назад. Высота применения легкого штурмови</w:t>
      </w:r>
      <w:r w:rsidRPr="00A259BD">
        <w:rPr>
          <w:rFonts w:ascii="Times New Roman" w:hAnsi="Times New Roman"/>
          <w:color w:val="000000" w:themeColor="text1"/>
          <w:sz w:val="16"/>
          <w:szCs w:val="16"/>
        </w:rPr>
        <w:softHyphen/>
        <w:t>ка считается колеблющейся в пределах 25-150 метров.</w:t>
      </w:r>
    </w:p>
    <w:p w14:paraId="0985D5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Требования к тяжелому штурмовику.</w:t>
      </w:r>
    </w:p>
    <w:p w14:paraId="6E6F11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Тяжелый штурмовик в своих основных лет но-тактических данных дол</w:t>
      </w:r>
      <w:r w:rsidRPr="00A259BD">
        <w:rPr>
          <w:rFonts w:ascii="Times New Roman" w:hAnsi="Times New Roman"/>
          <w:color w:val="000000" w:themeColor="text1"/>
          <w:sz w:val="16"/>
          <w:szCs w:val="16"/>
        </w:rPr>
        <w:softHyphen/>
        <w:t>жен обладать следующими показателями:</w:t>
      </w:r>
    </w:p>
    <w:p w14:paraId="360D4C0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горизонтальная скорость у земли 200-210 </w:t>
      </w:r>
      <w:proofErr w:type="spellStart"/>
      <w:r w:rsidRPr="00A259BD">
        <w:rPr>
          <w:rFonts w:ascii="Times New Roman" w:hAnsi="Times New Roman"/>
          <w:color w:val="000000" w:themeColor="text1"/>
          <w:sz w:val="16"/>
          <w:szCs w:val="16"/>
        </w:rPr>
        <w:t>клм</w:t>
      </w:r>
      <w:proofErr w:type="spellEnd"/>
      <w:r w:rsidRPr="00A259BD">
        <w:rPr>
          <w:rFonts w:ascii="Times New Roman" w:hAnsi="Times New Roman"/>
          <w:color w:val="000000" w:themeColor="text1"/>
          <w:sz w:val="16"/>
          <w:szCs w:val="16"/>
        </w:rPr>
        <w:t>/час.</w:t>
      </w:r>
    </w:p>
    <w:p w14:paraId="3729EB5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бомбовая нагрузка не менее - 1000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w:t>
      </w:r>
    </w:p>
    <w:p w14:paraId="5E35BFF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вооружение - 6-8 пулеметов.</w:t>
      </w:r>
    </w:p>
    <w:p w14:paraId="4F13623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потолок - 4000 метр,</w:t>
      </w:r>
    </w:p>
    <w:p w14:paraId="35ACBE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экипаж -4 чел.</w:t>
      </w:r>
    </w:p>
    <w:p w14:paraId="3F1E26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запас горючего на 4 часа полета на эксплуатационной скорости.</w:t>
      </w:r>
    </w:p>
    <w:p w14:paraId="02C3BE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Тяжелый </w:t>
      </w:r>
      <w:proofErr w:type="spellStart"/>
      <w:r w:rsidRPr="00A259BD">
        <w:rPr>
          <w:rFonts w:ascii="Times New Roman" w:hAnsi="Times New Roman"/>
          <w:color w:val="000000" w:themeColor="text1"/>
          <w:sz w:val="16"/>
          <w:szCs w:val="16"/>
        </w:rPr>
        <w:t>штурмоьик</w:t>
      </w:r>
      <w:proofErr w:type="spellEnd"/>
      <w:r w:rsidRPr="00A259BD">
        <w:rPr>
          <w:rFonts w:ascii="Times New Roman" w:hAnsi="Times New Roman"/>
          <w:color w:val="000000" w:themeColor="text1"/>
          <w:sz w:val="16"/>
          <w:szCs w:val="16"/>
        </w:rPr>
        <w:t xml:space="preserve"> должен быть металлический и забронированным по специальной схеме разрабатываемой в НТК УВВС и даваемой перед на</w:t>
      </w:r>
      <w:r w:rsidRPr="00A259BD">
        <w:rPr>
          <w:rFonts w:ascii="Times New Roman" w:hAnsi="Times New Roman"/>
          <w:color w:val="000000" w:themeColor="text1"/>
          <w:sz w:val="16"/>
          <w:szCs w:val="16"/>
        </w:rPr>
        <w:softHyphen/>
        <w:t>чалом проектирования самолета.</w:t>
      </w:r>
    </w:p>
    <w:p w14:paraId="2A6A2C6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ПРИМЕЧАНИЙ: по всем данным, тяжелый штурмовик будет не менее, как двухмоторный.</w:t>
      </w:r>
    </w:p>
    <w:p w14:paraId="463758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Корпусные разведчики - корректировщики</w:t>
      </w:r>
    </w:p>
    <w:p w14:paraId="5449E2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Самолеты войсковой авиации имеют своим прямым назначением непос</w:t>
      </w:r>
      <w:r w:rsidRPr="00A259BD">
        <w:rPr>
          <w:rFonts w:ascii="Times New Roman" w:hAnsi="Times New Roman"/>
          <w:color w:val="000000" w:themeColor="text1"/>
          <w:sz w:val="16"/>
          <w:szCs w:val="16"/>
        </w:rPr>
        <w:softHyphen/>
        <w:t>редственное обслуживание своих земных войск, как в отношении всех видов требуемой для них разведки, так и в отношении корректирова</w:t>
      </w:r>
      <w:r w:rsidRPr="00A259BD">
        <w:rPr>
          <w:rFonts w:ascii="Times New Roman" w:hAnsi="Times New Roman"/>
          <w:color w:val="000000" w:themeColor="text1"/>
          <w:sz w:val="16"/>
          <w:szCs w:val="16"/>
        </w:rPr>
        <w:softHyphen/>
        <w:t>ния артиллерийской стрельбы, ранее эти две функции войсковой авиа</w:t>
      </w:r>
      <w:r w:rsidRPr="00A259BD">
        <w:rPr>
          <w:rFonts w:ascii="Times New Roman" w:hAnsi="Times New Roman"/>
          <w:color w:val="000000" w:themeColor="text1"/>
          <w:sz w:val="16"/>
          <w:szCs w:val="16"/>
        </w:rPr>
        <w:softHyphen/>
        <w:t>ции рассматривались отдельно и естественно вызывали стремление к...</w:t>
      </w:r>
    </w:p>
    <w:p w14:paraId="318868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...тов. Однако более детальное изучение вопроса привело к мысли их объединить в одном типе самолета, тем более что </w:t>
      </w:r>
      <w:proofErr w:type="spellStart"/>
      <w:r w:rsidRPr="00A259BD">
        <w:rPr>
          <w:rFonts w:ascii="Times New Roman" w:hAnsi="Times New Roman"/>
          <w:color w:val="000000" w:themeColor="text1"/>
          <w:sz w:val="16"/>
          <w:szCs w:val="16"/>
        </w:rPr>
        <w:t>восновных</w:t>
      </w:r>
      <w:proofErr w:type="spellEnd"/>
      <w:r w:rsidRPr="00A259BD">
        <w:rPr>
          <w:rFonts w:ascii="Times New Roman" w:hAnsi="Times New Roman"/>
          <w:color w:val="000000" w:themeColor="text1"/>
          <w:sz w:val="16"/>
          <w:szCs w:val="16"/>
        </w:rPr>
        <w:t xml:space="preserve"> летно-тактических характеристиках, созданные два специальных самолета оказались бы во многом идентичны.</w:t>
      </w:r>
    </w:p>
    <w:p w14:paraId="5919DB1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Помимо указанных основных, на самолеты войсковой авиации могут быть возлагаемы задачи и несколько второстепенного характера, /напри</w:t>
      </w:r>
      <w:r w:rsidRPr="00A259BD">
        <w:rPr>
          <w:rFonts w:ascii="Times New Roman" w:hAnsi="Times New Roman"/>
          <w:color w:val="000000" w:themeColor="text1"/>
          <w:sz w:val="16"/>
          <w:szCs w:val="16"/>
        </w:rPr>
        <w:softHyphen/>
        <w:t>мер, по службе связи, командования и т.д./</w:t>
      </w:r>
    </w:p>
    <w:p w14:paraId="4FF6A0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Более углубленное изучение вопроса показывает, что в войсковой авиации, как нигде в другом месте, представляется возможным универсализировать самолет, давая ему различные в зависимости от нужды и располагаемых средств, назначения. и, если имеется необходимость в создании, еще одного специального типа самолета, то это касается только самолета обслуживания </w:t>
      </w:r>
      <w:proofErr w:type="spellStart"/>
      <w:r w:rsidRPr="00A259BD">
        <w:rPr>
          <w:rFonts w:ascii="Times New Roman" w:hAnsi="Times New Roman"/>
          <w:color w:val="000000" w:themeColor="text1"/>
          <w:sz w:val="16"/>
          <w:szCs w:val="16"/>
        </w:rPr>
        <w:t>каваллерии</w:t>
      </w:r>
      <w:proofErr w:type="spellEnd"/>
      <w:r w:rsidRPr="00A259BD">
        <w:rPr>
          <w:rFonts w:ascii="Times New Roman" w:hAnsi="Times New Roman"/>
          <w:color w:val="000000" w:themeColor="text1"/>
          <w:sz w:val="16"/>
          <w:szCs w:val="16"/>
        </w:rPr>
        <w:t>, которая выдвигает ряд со</w:t>
      </w:r>
      <w:r w:rsidRPr="00A259BD">
        <w:rPr>
          <w:rFonts w:ascii="Times New Roman" w:hAnsi="Times New Roman"/>
          <w:color w:val="000000" w:themeColor="text1"/>
          <w:sz w:val="16"/>
          <w:szCs w:val="16"/>
        </w:rPr>
        <w:softHyphen/>
        <w:t>вершенно специфических особенностей в конструкции самолета /склады</w:t>
      </w:r>
      <w:r w:rsidRPr="00A259BD">
        <w:rPr>
          <w:rFonts w:ascii="Times New Roman" w:hAnsi="Times New Roman"/>
          <w:color w:val="000000" w:themeColor="text1"/>
          <w:sz w:val="16"/>
          <w:szCs w:val="16"/>
        </w:rPr>
        <w:softHyphen/>
        <w:t>вающиеся крылья, способность передвигаться со своей частью по грун</w:t>
      </w:r>
      <w:r w:rsidRPr="00A259BD">
        <w:rPr>
          <w:rFonts w:ascii="Times New Roman" w:hAnsi="Times New Roman"/>
          <w:color w:val="000000" w:themeColor="text1"/>
          <w:sz w:val="16"/>
          <w:szCs w:val="16"/>
        </w:rPr>
        <w:softHyphen/>
        <w:t>товым дорогам и т.д./</w:t>
      </w:r>
    </w:p>
    <w:p w14:paraId="436AC4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основании изложенного, в план опытного самолетостроения предла</w:t>
      </w:r>
      <w:r w:rsidRPr="00A259BD">
        <w:rPr>
          <w:rFonts w:ascii="Times New Roman" w:hAnsi="Times New Roman"/>
          <w:color w:val="000000" w:themeColor="text1"/>
          <w:sz w:val="16"/>
          <w:szCs w:val="16"/>
        </w:rPr>
        <w:softHyphen/>
        <w:t xml:space="preserve">гается включить только два основных типа войсковых самолетов - корпусной разведчик </w:t>
      </w:r>
      <w:proofErr w:type="spellStart"/>
      <w:r w:rsidRPr="00A259BD">
        <w:rPr>
          <w:rFonts w:ascii="Times New Roman" w:hAnsi="Times New Roman"/>
          <w:color w:val="000000" w:themeColor="text1"/>
          <w:sz w:val="16"/>
          <w:szCs w:val="16"/>
        </w:rPr>
        <w:t>коррестировщик</w:t>
      </w:r>
      <w:proofErr w:type="spellEnd"/>
      <w:r w:rsidRPr="00A259BD">
        <w:rPr>
          <w:rFonts w:ascii="Times New Roman" w:hAnsi="Times New Roman"/>
          <w:color w:val="000000" w:themeColor="text1"/>
          <w:sz w:val="16"/>
          <w:szCs w:val="16"/>
        </w:rPr>
        <w:t xml:space="preserve"> /КРК/ и самолет </w:t>
      </w:r>
      <w:proofErr w:type="spellStart"/>
      <w:r w:rsidRPr="00A259BD">
        <w:rPr>
          <w:rFonts w:ascii="Times New Roman" w:hAnsi="Times New Roman"/>
          <w:color w:val="000000" w:themeColor="text1"/>
          <w:sz w:val="16"/>
          <w:szCs w:val="16"/>
        </w:rPr>
        <w:t>каваллерии</w:t>
      </w:r>
      <w:proofErr w:type="spellEnd"/>
      <w:r w:rsidRPr="00A259BD">
        <w:rPr>
          <w:rFonts w:ascii="Times New Roman" w:hAnsi="Times New Roman"/>
          <w:color w:val="000000" w:themeColor="text1"/>
          <w:sz w:val="16"/>
          <w:szCs w:val="16"/>
        </w:rPr>
        <w:t xml:space="preserve"> /СК/.</w:t>
      </w:r>
    </w:p>
    <w:p w14:paraId="720A9F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Требования к самолету корпусной разведчик - корректировщик в основном этот тип самолета должен удовлетворять следующим мини</w:t>
      </w:r>
      <w:r w:rsidRPr="00A259BD">
        <w:rPr>
          <w:rFonts w:ascii="Times New Roman" w:hAnsi="Times New Roman"/>
          <w:color w:val="000000" w:themeColor="text1"/>
          <w:sz w:val="16"/>
          <w:szCs w:val="16"/>
        </w:rPr>
        <w:softHyphen/>
        <w:t>мальным летно-тактическим требованиям:</w:t>
      </w:r>
    </w:p>
    <w:p w14:paraId="1C8DB3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горизонтальная скорость на боевой высоте /2000 </w:t>
      </w:r>
      <w:proofErr w:type="spellStart"/>
      <w:r w:rsidRPr="00A259BD">
        <w:rPr>
          <w:rFonts w:ascii="Times New Roman" w:hAnsi="Times New Roman"/>
          <w:color w:val="000000" w:themeColor="text1"/>
          <w:sz w:val="16"/>
          <w:szCs w:val="16"/>
        </w:rPr>
        <w:t>мт</w:t>
      </w:r>
      <w:proofErr w:type="spellEnd"/>
      <w:r w:rsidRPr="00A259BD">
        <w:rPr>
          <w:rFonts w:ascii="Times New Roman" w:hAnsi="Times New Roman"/>
          <w:color w:val="000000" w:themeColor="text1"/>
          <w:sz w:val="16"/>
          <w:szCs w:val="16"/>
        </w:rPr>
        <w:t>./</w:t>
      </w:r>
    </w:p>
    <w:p w14:paraId="033771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эксплуатационная скорость на той же высоте - 130 </w:t>
      </w:r>
      <w:proofErr w:type="spellStart"/>
      <w:r w:rsidRPr="00A259BD">
        <w:rPr>
          <w:rFonts w:ascii="Times New Roman" w:hAnsi="Times New Roman"/>
          <w:color w:val="000000" w:themeColor="text1"/>
          <w:sz w:val="16"/>
          <w:szCs w:val="16"/>
        </w:rPr>
        <w:t>клм</w:t>
      </w:r>
      <w:proofErr w:type="spellEnd"/>
      <w:r w:rsidRPr="00A259BD">
        <w:rPr>
          <w:rFonts w:ascii="Times New Roman" w:hAnsi="Times New Roman"/>
          <w:color w:val="000000" w:themeColor="text1"/>
          <w:sz w:val="16"/>
          <w:szCs w:val="16"/>
        </w:rPr>
        <w:t>.</w:t>
      </w:r>
    </w:p>
    <w:p w14:paraId="0113A8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 наиважнейшее требование - обеспечить наличие устойчивого широкого диапазона в скоростях.</w:t>
      </w:r>
    </w:p>
    <w:p w14:paraId="6A21966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время подъема на </w:t>
      </w:r>
      <w:proofErr w:type="spellStart"/>
      <w:r w:rsidRPr="00A259BD">
        <w:rPr>
          <w:rFonts w:ascii="Times New Roman" w:hAnsi="Times New Roman"/>
          <w:color w:val="000000" w:themeColor="text1"/>
          <w:sz w:val="16"/>
          <w:szCs w:val="16"/>
        </w:rPr>
        <w:t>выс</w:t>
      </w:r>
      <w:proofErr w:type="spellEnd"/>
      <w:r w:rsidRPr="00A259BD">
        <w:rPr>
          <w:rFonts w:ascii="Times New Roman" w:hAnsi="Times New Roman"/>
          <w:color w:val="000000" w:themeColor="text1"/>
          <w:sz w:val="16"/>
          <w:szCs w:val="16"/>
        </w:rPr>
        <w:t xml:space="preserve">. 2000 </w:t>
      </w:r>
      <w:proofErr w:type="spellStart"/>
      <w:r w:rsidRPr="00A259BD">
        <w:rPr>
          <w:rFonts w:ascii="Times New Roman" w:hAnsi="Times New Roman"/>
          <w:color w:val="000000" w:themeColor="text1"/>
          <w:sz w:val="16"/>
          <w:szCs w:val="16"/>
        </w:rPr>
        <w:t>мт</w:t>
      </w:r>
      <w:proofErr w:type="spellEnd"/>
      <w:r w:rsidRPr="00A259BD">
        <w:rPr>
          <w:rFonts w:ascii="Times New Roman" w:hAnsi="Times New Roman"/>
          <w:color w:val="000000" w:themeColor="text1"/>
          <w:sz w:val="16"/>
          <w:szCs w:val="16"/>
        </w:rPr>
        <w:t>. не более 6 мин.</w:t>
      </w:r>
    </w:p>
    <w:p w14:paraId="2594661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пробег и разбег не более - 1000 </w:t>
      </w:r>
      <w:proofErr w:type="spellStart"/>
      <w:r w:rsidRPr="00A259BD">
        <w:rPr>
          <w:rFonts w:ascii="Times New Roman" w:hAnsi="Times New Roman"/>
          <w:color w:val="000000" w:themeColor="text1"/>
          <w:sz w:val="16"/>
          <w:szCs w:val="16"/>
        </w:rPr>
        <w:t>мт</w:t>
      </w:r>
      <w:proofErr w:type="spellEnd"/>
      <w:r w:rsidRPr="00A259BD">
        <w:rPr>
          <w:rFonts w:ascii="Times New Roman" w:hAnsi="Times New Roman"/>
          <w:color w:val="000000" w:themeColor="text1"/>
          <w:sz w:val="16"/>
          <w:szCs w:val="16"/>
        </w:rPr>
        <w:t>.</w:t>
      </w:r>
    </w:p>
    <w:p w14:paraId="491DB5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 посадочная скорость не более 70-75 </w:t>
      </w:r>
      <w:proofErr w:type="spellStart"/>
      <w:r w:rsidRPr="00A259BD">
        <w:rPr>
          <w:rFonts w:ascii="Times New Roman" w:hAnsi="Times New Roman"/>
          <w:color w:val="000000" w:themeColor="text1"/>
          <w:sz w:val="16"/>
          <w:szCs w:val="16"/>
        </w:rPr>
        <w:t>клм</w:t>
      </w:r>
      <w:proofErr w:type="spellEnd"/>
      <w:r w:rsidRPr="00A259BD">
        <w:rPr>
          <w:rFonts w:ascii="Times New Roman" w:hAnsi="Times New Roman"/>
          <w:color w:val="000000" w:themeColor="text1"/>
          <w:sz w:val="16"/>
          <w:szCs w:val="16"/>
        </w:rPr>
        <w:t>.</w:t>
      </w:r>
    </w:p>
    <w:p w14:paraId="13B5E51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вооружение - 5 пул.</w:t>
      </w:r>
    </w:p>
    <w:p w14:paraId="44229B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э к и п а ж - 3 чел.</w:t>
      </w:r>
    </w:p>
    <w:p w14:paraId="7EB8C4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радио и фотооборудование</w:t>
      </w:r>
    </w:p>
    <w:p w14:paraId="1150B2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запас горючего на 3 1/2 часа /до 5/ полета на эксплуатацион</w:t>
      </w:r>
      <w:r w:rsidRPr="00A259BD">
        <w:rPr>
          <w:rFonts w:ascii="Times New Roman" w:hAnsi="Times New Roman"/>
          <w:color w:val="000000" w:themeColor="text1"/>
          <w:sz w:val="16"/>
          <w:szCs w:val="16"/>
        </w:rPr>
        <w:softHyphen/>
        <w:t>ной скорости.</w:t>
      </w:r>
    </w:p>
    <w:p w14:paraId="5FE5EFF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Самолет </w:t>
      </w:r>
      <w:proofErr w:type="spellStart"/>
      <w:r w:rsidRPr="00A259BD">
        <w:rPr>
          <w:rFonts w:ascii="Times New Roman" w:hAnsi="Times New Roman"/>
          <w:color w:val="000000" w:themeColor="text1"/>
          <w:sz w:val="16"/>
          <w:szCs w:val="16"/>
        </w:rPr>
        <w:t>каваллерии</w:t>
      </w:r>
      <w:proofErr w:type="spellEnd"/>
      <w:r w:rsidRPr="00A259BD">
        <w:rPr>
          <w:rFonts w:ascii="Times New Roman" w:hAnsi="Times New Roman"/>
          <w:color w:val="000000" w:themeColor="text1"/>
          <w:sz w:val="16"/>
          <w:szCs w:val="16"/>
        </w:rPr>
        <w:t xml:space="preserve"> и моторизован н их отрядов /СК/.</w:t>
      </w:r>
    </w:p>
    <w:p w14:paraId="1334123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Специальность службы самолета, приданного </w:t>
      </w:r>
      <w:proofErr w:type="spellStart"/>
      <w:r w:rsidRPr="00A259BD">
        <w:rPr>
          <w:rFonts w:ascii="Times New Roman" w:hAnsi="Times New Roman"/>
          <w:color w:val="000000" w:themeColor="text1"/>
          <w:sz w:val="16"/>
          <w:szCs w:val="16"/>
        </w:rPr>
        <w:t>каваллерийскому</w:t>
      </w:r>
      <w:proofErr w:type="spellEnd"/>
      <w:r w:rsidRPr="00A259BD">
        <w:rPr>
          <w:rFonts w:ascii="Times New Roman" w:hAnsi="Times New Roman"/>
          <w:color w:val="000000" w:themeColor="text1"/>
          <w:sz w:val="16"/>
          <w:szCs w:val="16"/>
        </w:rPr>
        <w:t xml:space="preserve"> соедине</w:t>
      </w:r>
      <w:r w:rsidRPr="00A259BD">
        <w:rPr>
          <w:rFonts w:ascii="Times New Roman" w:hAnsi="Times New Roman"/>
          <w:color w:val="000000" w:themeColor="text1"/>
          <w:sz w:val="16"/>
          <w:szCs w:val="16"/>
        </w:rPr>
        <w:softHyphen/>
        <w:t xml:space="preserve">нию, особенно в моменты его </w:t>
      </w:r>
      <w:proofErr w:type="spellStart"/>
      <w:r w:rsidRPr="00A259BD">
        <w:rPr>
          <w:rFonts w:ascii="Times New Roman" w:hAnsi="Times New Roman"/>
          <w:color w:val="000000" w:themeColor="text1"/>
          <w:sz w:val="16"/>
          <w:szCs w:val="16"/>
        </w:rPr>
        <w:t>рейдирования</w:t>
      </w:r>
      <w:proofErr w:type="spellEnd"/>
      <w:r w:rsidRPr="00A259BD">
        <w:rPr>
          <w:rFonts w:ascii="Times New Roman" w:hAnsi="Times New Roman"/>
          <w:color w:val="000000" w:themeColor="text1"/>
          <w:sz w:val="16"/>
          <w:szCs w:val="16"/>
        </w:rPr>
        <w:t>, заключающаяся в требова</w:t>
      </w:r>
      <w:r w:rsidRPr="00A259BD">
        <w:rPr>
          <w:rFonts w:ascii="Times New Roman" w:hAnsi="Times New Roman"/>
          <w:color w:val="000000" w:themeColor="text1"/>
          <w:sz w:val="16"/>
          <w:szCs w:val="16"/>
        </w:rPr>
        <w:softHyphen/>
        <w:t xml:space="preserve">нии следовать непосредственно за обслуживаемой частью, заставляет нас включить в план опытного самолетостроения ближайшей пятилетки специальный тип самолета </w:t>
      </w:r>
      <w:proofErr w:type="spellStart"/>
      <w:r w:rsidRPr="00A259BD">
        <w:rPr>
          <w:rFonts w:ascii="Times New Roman" w:hAnsi="Times New Roman"/>
          <w:color w:val="000000" w:themeColor="text1"/>
          <w:sz w:val="16"/>
          <w:szCs w:val="16"/>
        </w:rPr>
        <w:t>каваллерии</w:t>
      </w:r>
      <w:proofErr w:type="spellEnd"/>
      <w:r w:rsidRPr="00A259BD">
        <w:rPr>
          <w:rFonts w:ascii="Times New Roman" w:hAnsi="Times New Roman"/>
          <w:color w:val="000000" w:themeColor="text1"/>
          <w:sz w:val="16"/>
          <w:szCs w:val="16"/>
        </w:rPr>
        <w:t xml:space="preserve"> /СК/. В основном /его летно-тактические данные будут соответствовать данным КРК, за исключе</w:t>
      </w:r>
      <w:r w:rsidRPr="00A259BD">
        <w:rPr>
          <w:rFonts w:ascii="Times New Roman" w:hAnsi="Times New Roman"/>
          <w:color w:val="000000" w:themeColor="text1"/>
          <w:sz w:val="16"/>
          <w:szCs w:val="16"/>
        </w:rPr>
        <w:softHyphen/>
        <w:t xml:space="preserve">нием экипажа и вооружения, </w:t>
      </w:r>
      <w:proofErr w:type="spellStart"/>
      <w:r w:rsidRPr="00A259BD">
        <w:rPr>
          <w:rFonts w:ascii="Times New Roman" w:hAnsi="Times New Roman"/>
          <w:color w:val="000000" w:themeColor="text1"/>
          <w:sz w:val="16"/>
          <w:szCs w:val="16"/>
        </w:rPr>
        <w:t>которьв</w:t>
      </w:r>
      <w:proofErr w:type="spellEnd"/>
      <w:r w:rsidRPr="00A259BD">
        <w:rPr>
          <w:rFonts w:ascii="Times New Roman" w:hAnsi="Times New Roman"/>
          <w:color w:val="000000" w:themeColor="text1"/>
          <w:sz w:val="16"/>
          <w:szCs w:val="16"/>
        </w:rPr>
        <w:t xml:space="preserve"> могут быть соответственно снижены до 2 человек и 2-х пулеметов. Самолет этот должен быть метал</w:t>
      </w:r>
      <w:r w:rsidRPr="00A259BD">
        <w:rPr>
          <w:rFonts w:ascii="Times New Roman" w:hAnsi="Times New Roman"/>
          <w:color w:val="000000" w:themeColor="text1"/>
          <w:sz w:val="16"/>
          <w:szCs w:val="16"/>
        </w:rPr>
        <w:softHyphen/>
        <w:t>лическим, быстро и легко собираемым и разбираемым, со складываю</w:t>
      </w:r>
      <w:r w:rsidRPr="00A259BD">
        <w:rPr>
          <w:rFonts w:ascii="Times New Roman" w:hAnsi="Times New Roman"/>
          <w:color w:val="000000" w:themeColor="text1"/>
          <w:sz w:val="16"/>
          <w:szCs w:val="16"/>
        </w:rPr>
        <w:softHyphen/>
        <w:t>щимися крыльями и прочным шасси, дающим возможность возить его по грунтовым дорогам на переменном аллюре, Особое требование к само</w:t>
      </w:r>
      <w:r w:rsidRPr="00A259BD">
        <w:rPr>
          <w:rFonts w:ascii="Times New Roman" w:hAnsi="Times New Roman"/>
          <w:color w:val="000000" w:themeColor="text1"/>
          <w:sz w:val="16"/>
          <w:szCs w:val="16"/>
        </w:rPr>
        <w:softHyphen/>
        <w:t xml:space="preserve">лету </w:t>
      </w:r>
      <w:proofErr w:type="spellStart"/>
      <w:r w:rsidRPr="00A259BD">
        <w:rPr>
          <w:rFonts w:ascii="Times New Roman" w:hAnsi="Times New Roman"/>
          <w:color w:val="000000" w:themeColor="text1"/>
          <w:sz w:val="16"/>
          <w:szCs w:val="16"/>
        </w:rPr>
        <w:t>каваллерии</w:t>
      </w:r>
      <w:proofErr w:type="spellEnd"/>
      <w:r w:rsidRPr="00A259BD">
        <w:rPr>
          <w:rFonts w:ascii="Times New Roman" w:hAnsi="Times New Roman"/>
          <w:color w:val="000000" w:themeColor="text1"/>
          <w:sz w:val="16"/>
          <w:szCs w:val="16"/>
        </w:rPr>
        <w:t xml:space="preserve"> - это способность его подъема с минимальным пробе</w:t>
      </w:r>
      <w:r w:rsidRPr="00A259BD">
        <w:rPr>
          <w:rFonts w:ascii="Times New Roman" w:hAnsi="Times New Roman"/>
          <w:color w:val="000000" w:themeColor="text1"/>
          <w:sz w:val="16"/>
          <w:szCs w:val="16"/>
        </w:rPr>
        <w:softHyphen/>
        <w:t>гом и посадки в "точку". Желательна разработка для этого типа са</w:t>
      </w:r>
      <w:r w:rsidRPr="00A259BD">
        <w:rPr>
          <w:rFonts w:ascii="Times New Roman" w:hAnsi="Times New Roman"/>
          <w:color w:val="000000" w:themeColor="text1"/>
          <w:sz w:val="16"/>
          <w:szCs w:val="16"/>
        </w:rPr>
        <w:softHyphen/>
        <w:t>молета специальной, возимой, складной катапульты.</w:t>
      </w:r>
    </w:p>
    <w:p w14:paraId="4FAB1A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САМОЛЕТЫ СПЕЦИАЛЬНОГОГ НАЗНАЧЕНИЯ</w:t>
      </w:r>
    </w:p>
    <w:p w14:paraId="7218F10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Химические боевики /ХБ/</w:t>
      </w:r>
    </w:p>
    <w:p w14:paraId="41E3F6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Химические средства борьбы найдут себе самое широкое применение в войне будущего. В частности они будут одним из основных средств нападения и военных воздушных сил.</w:t>
      </w:r>
    </w:p>
    <w:p w14:paraId="617A65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Ряд особенностей в конструкции самолета, возникающих при примене</w:t>
      </w:r>
      <w:r w:rsidRPr="00A259BD">
        <w:rPr>
          <w:rFonts w:ascii="Times New Roman" w:hAnsi="Times New Roman"/>
          <w:color w:val="000000" w:themeColor="text1"/>
          <w:sz w:val="16"/>
          <w:szCs w:val="16"/>
        </w:rPr>
        <w:softHyphen/>
        <w:t>нии химических средств в дозах, обеспечивающих наибольший эффект, выявляют необходимость создания специального типа самолета, несу</w:t>
      </w:r>
      <w:r w:rsidRPr="00A259BD">
        <w:rPr>
          <w:rFonts w:ascii="Times New Roman" w:hAnsi="Times New Roman"/>
          <w:color w:val="000000" w:themeColor="text1"/>
          <w:sz w:val="16"/>
          <w:szCs w:val="16"/>
        </w:rPr>
        <w:softHyphen/>
        <w:t>щего в себе специальную и, по некоторым данным, громоздкую хими</w:t>
      </w:r>
      <w:r w:rsidRPr="00A259BD">
        <w:rPr>
          <w:rFonts w:ascii="Times New Roman" w:hAnsi="Times New Roman"/>
          <w:color w:val="000000" w:themeColor="text1"/>
          <w:sz w:val="16"/>
          <w:szCs w:val="16"/>
        </w:rPr>
        <w:softHyphen/>
        <w:t>ческую аппаратуру. По предварительным и подлежащим практической проверке мыслям, этот тип самолета может быть предназначаем для выполнения следующих задач:</w:t>
      </w:r>
    </w:p>
    <w:p w14:paraId="2F9F0F2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заградитель маскировщик поля боя /завесы/,</w:t>
      </w:r>
    </w:p>
    <w:p w14:paraId="041459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заградитель - маскировщик сопровождаемых им своих воздушных кораблей,</w:t>
      </w:r>
    </w:p>
    <w:p w14:paraId="1BC02E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разбрызгиватель химических веществ в </w:t>
      </w:r>
      <w:proofErr w:type="spellStart"/>
      <w:r w:rsidRPr="00A259BD">
        <w:rPr>
          <w:rFonts w:ascii="Times New Roman" w:hAnsi="Times New Roman"/>
          <w:color w:val="000000" w:themeColor="text1"/>
          <w:sz w:val="16"/>
          <w:szCs w:val="16"/>
        </w:rPr>
        <w:t>такческих</w:t>
      </w:r>
      <w:proofErr w:type="spellEnd"/>
      <w:r w:rsidRPr="00A259BD">
        <w:rPr>
          <w:rFonts w:ascii="Times New Roman" w:hAnsi="Times New Roman"/>
          <w:color w:val="000000" w:themeColor="text1"/>
          <w:sz w:val="16"/>
          <w:szCs w:val="16"/>
        </w:rPr>
        <w:t xml:space="preserve"> и оперативных зонах противника.</w:t>
      </w:r>
    </w:p>
    <w:p w14:paraId="36C07A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Летно-тактические требования к химическому боевику не </w:t>
      </w:r>
      <w:proofErr w:type="spellStart"/>
      <w:r w:rsidRPr="00A259BD">
        <w:rPr>
          <w:rFonts w:ascii="Times New Roman" w:hAnsi="Times New Roman"/>
          <w:color w:val="000000" w:themeColor="text1"/>
          <w:sz w:val="16"/>
          <w:szCs w:val="16"/>
        </w:rPr>
        <w:t>устаналиваются</w:t>
      </w:r>
      <w:proofErr w:type="spellEnd"/>
      <w:r w:rsidRPr="00A259BD">
        <w:rPr>
          <w:rFonts w:ascii="Times New Roman" w:hAnsi="Times New Roman"/>
          <w:color w:val="000000" w:themeColor="text1"/>
          <w:sz w:val="16"/>
          <w:szCs w:val="16"/>
        </w:rPr>
        <w:t>. В основном он должен быть очень близким к самолету - армейский разведчик с той лишь разницей, что его радиус действия можно ограничить примерно половиной последнего.</w:t>
      </w:r>
    </w:p>
    <w:p w14:paraId="111C3E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Создание специального типа самолета, как химического боевика, не исключает возможности применения химических средств борьбы и про</w:t>
      </w:r>
      <w:r w:rsidRPr="00A259BD">
        <w:rPr>
          <w:rFonts w:ascii="Times New Roman" w:hAnsi="Times New Roman"/>
          <w:color w:val="000000" w:themeColor="text1"/>
          <w:sz w:val="16"/>
          <w:szCs w:val="16"/>
        </w:rPr>
        <w:softHyphen/>
        <w:t xml:space="preserve">чими /всеми без исключения/ видами авиации боевого </w:t>
      </w:r>
      <w:proofErr w:type="spellStart"/>
      <w:r w:rsidRPr="00A259BD">
        <w:rPr>
          <w:rFonts w:ascii="Times New Roman" w:hAnsi="Times New Roman"/>
          <w:color w:val="000000" w:themeColor="text1"/>
          <w:sz w:val="16"/>
          <w:szCs w:val="16"/>
        </w:rPr>
        <w:t>назначения.Эта</w:t>
      </w:r>
      <w:proofErr w:type="spellEnd"/>
      <w:r w:rsidRPr="00A259BD">
        <w:rPr>
          <w:rFonts w:ascii="Times New Roman" w:hAnsi="Times New Roman"/>
          <w:color w:val="000000" w:themeColor="text1"/>
          <w:sz w:val="16"/>
          <w:szCs w:val="16"/>
        </w:rPr>
        <w:t xml:space="preserve"> задача может быть с успехом выполнена при условии, если будут сконструированы специальные, легко устанавливаемые на всех типах самолетов, удобные и не опасные для самого самолета и летчика со</w:t>
      </w:r>
      <w:r w:rsidRPr="00A259BD">
        <w:rPr>
          <w:rFonts w:ascii="Times New Roman" w:hAnsi="Times New Roman"/>
          <w:color w:val="000000" w:themeColor="text1"/>
          <w:sz w:val="16"/>
          <w:szCs w:val="16"/>
        </w:rPr>
        <w:softHyphen/>
        <w:t>ответствующие приспособления.</w:t>
      </w:r>
    </w:p>
    <w:p w14:paraId="039013E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Самолеты транспорта /Т/.</w:t>
      </w:r>
    </w:p>
    <w:p w14:paraId="49575F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Способность современных самолетов перевозить значительные грузы и на большие расстояния, выдвинула требование разработки вопросов использования их и для перевозки грузов боевого значения, исполь</w:t>
      </w:r>
      <w:r w:rsidRPr="00A259BD">
        <w:rPr>
          <w:rFonts w:ascii="Times New Roman" w:hAnsi="Times New Roman"/>
          <w:color w:val="000000" w:themeColor="text1"/>
          <w:sz w:val="16"/>
          <w:szCs w:val="16"/>
        </w:rPr>
        <w:softHyphen/>
        <w:t>зования их для службы транспортирования людей, вооружения, различ</w:t>
      </w:r>
      <w:r w:rsidRPr="00A259BD">
        <w:rPr>
          <w:rFonts w:ascii="Times New Roman" w:hAnsi="Times New Roman"/>
          <w:color w:val="000000" w:themeColor="text1"/>
          <w:sz w:val="16"/>
          <w:szCs w:val="16"/>
        </w:rPr>
        <w:softHyphen/>
        <w:t>ного рода оборудования, продовольствия и т.д. В ближайшее пятиле</w:t>
      </w:r>
      <w:r w:rsidRPr="00A259BD">
        <w:rPr>
          <w:rFonts w:ascii="Times New Roman" w:hAnsi="Times New Roman"/>
          <w:color w:val="000000" w:themeColor="text1"/>
          <w:sz w:val="16"/>
          <w:szCs w:val="16"/>
        </w:rPr>
        <w:softHyphen/>
        <w:t>тие этот вопрос следует разработать и практически осуществить, ба</w:t>
      </w:r>
      <w:r w:rsidRPr="00A259BD">
        <w:rPr>
          <w:rFonts w:ascii="Times New Roman" w:hAnsi="Times New Roman"/>
          <w:color w:val="000000" w:themeColor="text1"/>
          <w:sz w:val="16"/>
          <w:szCs w:val="16"/>
        </w:rPr>
        <w:softHyphen/>
        <w:t>зируясь при этом как на военные, так и гражданские самолеты. Сле</w:t>
      </w:r>
      <w:r w:rsidRPr="00A259BD">
        <w:rPr>
          <w:rFonts w:ascii="Times New Roman" w:hAnsi="Times New Roman"/>
          <w:color w:val="000000" w:themeColor="text1"/>
          <w:sz w:val="16"/>
          <w:szCs w:val="16"/>
        </w:rPr>
        <w:softHyphen/>
        <w:t>дует также разработать наиболее рациональные способы размещения перевозимых предметов, для чего предварительно установив и разра</w:t>
      </w:r>
      <w:r w:rsidRPr="00A259BD">
        <w:rPr>
          <w:rFonts w:ascii="Times New Roman" w:hAnsi="Times New Roman"/>
          <w:color w:val="000000" w:themeColor="text1"/>
          <w:sz w:val="16"/>
          <w:szCs w:val="16"/>
        </w:rPr>
        <w:softHyphen/>
        <w:t>ботав типовые укладки различного военного имущества /пушки, снаря</w:t>
      </w:r>
      <w:r w:rsidRPr="00A259BD">
        <w:rPr>
          <w:rFonts w:ascii="Times New Roman" w:hAnsi="Times New Roman"/>
          <w:color w:val="000000" w:themeColor="text1"/>
          <w:sz w:val="16"/>
          <w:szCs w:val="16"/>
        </w:rPr>
        <w:softHyphen/>
        <w:t>ды, пулеметы, патроны и т.п./</w:t>
      </w:r>
    </w:p>
    <w:p w14:paraId="380222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 О Р С К А Я  А В И А Ц И Я.</w:t>
      </w:r>
    </w:p>
    <w:p w14:paraId="44E893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МОСРСКАЯ АВИАЦИЯ БАЗОВАЯ.</w:t>
      </w:r>
    </w:p>
    <w:p w14:paraId="2966836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Базовая авиация имеет своим назначением: разведку прибрежных райо</w:t>
      </w:r>
      <w:r w:rsidRPr="00A259BD">
        <w:rPr>
          <w:rFonts w:ascii="Times New Roman" w:hAnsi="Times New Roman"/>
          <w:color w:val="000000" w:themeColor="text1"/>
          <w:sz w:val="16"/>
          <w:szCs w:val="16"/>
        </w:rPr>
        <w:softHyphen/>
        <w:t xml:space="preserve">нов моря, охрану </w:t>
      </w:r>
      <w:proofErr w:type="spellStart"/>
      <w:r w:rsidRPr="00A259BD">
        <w:rPr>
          <w:rFonts w:ascii="Times New Roman" w:hAnsi="Times New Roman"/>
          <w:color w:val="000000" w:themeColor="text1"/>
          <w:sz w:val="16"/>
          <w:szCs w:val="16"/>
        </w:rPr>
        <w:t>форватеров</w:t>
      </w:r>
      <w:proofErr w:type="spellEnd"/>
      <w:r w:rsidRPr="00A259BD">
        <w:rPr>
          <w:rFonts w:ascii="Times New Roman" w:hAnsi="Times New Roman"/>
          <w:color w:val="000000" w:themeColor="text1"/>
          <w:sz w:val="16"/>
          <w:szCs w:val="16"/>
        </w:rPr>
        <w:t>, поиски подводных лодок и охрану мин</w:t>
      </w:r>
      <w:r w:rsidRPr="00A259BD">
        <w:rPr>
          <w:rFonts w:ascii="Times New Roman" w:hAnsi="Times New Roman"/>
          <w:color w:val="000000" w:themeColor="text1"/>
          <w:sz w:val="16"/>
          <w:szCs w:val="16"/>
        </w:rPr>
        <w:softHyphen/>
        <w:t xml:space="preserve">ных заграждений, корректирование стрельбы по </w:t>
      </w:r>
      <w:proofErr w:type="spellStart"/>
      <w:r w:rsidRPr="00A259BD">
        <w:rPr>
          <w:rFonts w:ascii="Times New Roman" w:hAnsi="Times New Roman"/>
          <w:color w:val="000000" w:themeColor="text1"/>
          <w:sz w:val="16"/>
          <w:szCs w:val="16"/>
        </w:rPr>
        <w:t>дессантам</w:t>
      </w:r>
      <w:proofErr w:type="spellEnd"/>
      <w:r w:rsidRPr="00A259BD">
        <w:rPr>
          <w:rFonts w:ascii="Times New Roman" w:hAnsi="Times New Roman"/>
          <w:color w:val="000000" w:themeColor="text1"/>
          <w:sz w:val="16"/>
          <w:szCs w:val="16"/>
        </w:rPr>
        <w:t xml:space="preserve"> противника и наконец активную борьбу с воздушным флотом противника, появившим</w:t>
      </w:r>
      <w:r w:rsidRPr="00A259BD">
        <w:rPr>
          <w:rFonts w:ascii="Times New Roman" w:hAnsi="Times New Roman"/>
          <w:color w:val="000000" w:themeColor="text1"/>
          <w:sz w:val="16"/>
          <w:szCs w:val="16"/>
        </w:rPr>
        <w:softHyphen/>
        <w:t>ся в районе действия базовой авиации.</w:t>
      </w:r>
    </w:p>
    <w:p w14:paraId="5CCAD4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 перечисленные задачи могут быть с успехом выполнены с одной стороны разведывательными самолетами, с другой - истребителям.</w:t>
      </w:r>
    </w:p>
    <w:p w14:paraId="6C42C3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морских разведчиков /МР/, летно-тактические к ним требования не ставятся до получения соответствующих данных испыта</w:t>
      </w:r>
      <w:r w:rsidRPr="00A259BD">
        <w:rPr>
          <w:rFonts w:ascii="Times New Roman" w:hAnsi="Times New Roman"/>
          <w:color w:val="000000" w:themeColor="text1"/>
          <w:sz w:val="16"/>
          <w:szCs w:val="16"/>
        </w:rPr>
        <w:softHyphen/>
        <w:t>ний МР5. Морской разведчик конца пятилетия будет дальнейшим усо</w:t>
      </w:r>
      <w:r w:rsidRPr="00A259BD">
        <w:rPr>
          <w:rFonts w:ascii="Times New Roman" w:hAnsi="Times New Roman"/>
          <w:color w:val="000000" w:themeColor="text1"/>
          <w:sz w:val="16"/>
          <w:szCs w:val="16"/>
        </w:rPr>
        <w:softHyphen/>
        <w:t>вершенствованием указанного самолета.</w:t>
      </w:r>
    </w:p>
    <w:p w14:paraId="58659B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отношении же береговой истребительной авиации, признано </w:t>
      </w:r>
      <w:proofErr w:type="spellStart"/>
      <w:r w:rsidRPr="00A259BD">
        <w:rPr>
          <w:rFonts w:ascii="Times New Roman" w:hAnsi="Times New Roman"/>
          <w:color w:val="000000" w:themeColor="text1"/>
          <w:sz w:val="16"/>
          <w:szCs w:val="16"/>
        </w:rPr>
        <w:t>наибо</w:t>
      </w:r>
      <w:proofErr w:type="spellEnd"/>
      <w:r w:rsidRPr="00A259BD">
        <w:rPr>
          <w:rFonts w:ascii="Times New Roman" w:hAnsi="Times New Roman"/>
          <w:color w:val="000000" w:themeColor="text1"/>
          <w:sz w:val="16"/>
          <w:szCs w:val="16"/>
        </w:rPr>
        <w:t>...</w:t>
      </w:r>
    </w:p>
    <w:p w14:paraId="4D0E28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...ной авиации сухопутной.</w:t>
      </w:r>
    </w:p>
    <w:p w14:paraId="33271A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баз, имеющих защищенный водный бассейн /реки, озера/, а равно и для специфических условий финского залива, признается рациональ</w:t>
      </w:r>
      <w:r w:rsidRPr="00A259BD">
        <w:rPr>
          <w:rFonts w:ascii="Times New Roman" w:hAnsi="Times New Roman"/>
          <w:color w:val="000000" w:themeColor="text1"/>
          <w:sz w:val="16"/>
          <w:szCs w:val="16"/>
        </w:rPr>
        <w:softHyphen/>
        <w:t>ные применение самолетов-разведчиков поплавковых, причем считая, что наиболее выгодным является перестановка на поплавки соответствующих сухопутных машин, важно предусмотреть строительство пос</w:t>
      </w:r>
      <w:r w:rsidRPr="00A259BD">
        <w:rPr>
          <w:rFonts w:ascii="Times New Roman" w:hAnsi="Times New Roman"/>
          <w:color w:val="000000" w:themeColor="text1"/>
          <w:sz w:val="16"/>
          <w:szCs w:val="16"/>
        </w:rPr>
        <w:softHyphen/>
        <w:t xml:space="preserve">ледних с таким расчетом, что бы эта замена колес на поплавки могла быть произведена без всяких </w:t>
      </w:r>
      <w:proofErr w:type="spellStart"/>
      <w:r w:rsidRPr="00A259BD">
        <w:rPr>
          <w:rFonts w:ascii="Times New Roman" w:hAnsi="Times New Roman"/>
          <w:color w:val="000000" w:themeColor="text1"/>
          <w:sz w:val="16"/>
          <w:szCs w:val="16"/>
        </w:rPr>
        <w:t>передзлок</w:t>
      </w:r>
      <w:proofErr w:type="spellEnd"/>
      <w:r w:rsidRPr="00A259BD">
        <w:rPr>
          <w:rFonts w:ascii="Times New Roman" w:hAnsi="Times New Roman"/>
          <w:color w:val="000000" w:themeColor="text1"/>
          <w:sz w:val="16"/>
          <w:szCs w:val="16"/>
        </w:rPr>
        <w:t xml:space="preserve"> самолета. Последнее обстоя</w:t>
      </w:r>
      <w:r w:rsidRPr="00A259BD">
        <w:rPr>
          <w:rFonts w:ascii="Times New Roman" w:hAnsi="Times New Roman"/>
          <w:color w:val="000000" w:themeColor="text1"/>
          <w:sz w:val="16"/>
          <w:szCs w:val="16"/>
        </w:rPr>
        <w:softHyphen/>
        <w:t>тельство является важным потому, что в этом случае легко обеспечи</w:t>
      </w:r>
      <w:r w:rsidRPr="00A259BD">
        <w:rPr>
          <w:rFonts w:ascii="Times New Roman" w:hAnsi="Times New Roman"/>
          <w:color w:val="000000" w:themeColor="text1"/>
          <w:sz w:val="16"/>
          <w:szCs w:val="16"/>
        </w:rPr>
        <w:softHyphen/>
        <w:t>вается непрерывность летной работы, вне всякой ее зависимости от времени года.</w:t>
      </w:r>
    </w:p>
    <w:p w14:paraId="7E2387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м ф и б и </w:t>
      </w:r>
      <w:proofErr w:type="spellStart"/>
      <w:r w:rsidRPr="00A259BD">
        <w:rPr>
          <w:rFonts w:ascii="Times New Roman" w:hAnsi="Times New Roman"/>
          <w:color w:val="000000" w:themeColor="text1"/>
          <w:sz w:val="16"/>
          <w:szCs w:val="16"/>
        </w:rPr>
        <w:t>и</w:t>
      </w:r>
      <w:proofErr w:type="spellEnd"/>
      <w:r w:rsidRPr="00A259BD">
        <w:rPr>
          <w:rFonts w:ascii="Times New Roman" w:hAnsi="Times New Roman"/>
          <w:color w:val="000000" w:themeColor="text1"/>
          <w:sz w:val="16"/>
          <w:szCs w:val="16"/>
        </w:rPr>
        <w:t xml:space="preserve"> Помимо указанных возможностей в применении сухо</w:t>
      </w:r>
      <w:r w:rsidRPr="00A259BD">
        <w:rPr>
          <w:rFonts w:ascii="Times New Roman" w:hAnsi="Times New Roman"/>
          <w:color w:val="000000" w:themeColor="text1"/>
          <w:sz w:val="16"/>
          <w:szCs w:val="16"/>
        </w:rPr>
        <w:softHyphen/>
        <w:t>путных самолетов на поплавках, для наших возможных театров воен</w:t>
      </w:r>
      <w:r w:rsidRPr="00A259BD">
        <w:rPr>
          <w:rFonts w:ascii="Times New Roman" w:hAnsi="Times New Roman"/>
          <w:color w:val="000000" w:themeColor="text1"/>
          <w:sz w:val="16"/>
          <w:szCs w:val="16"/>
        </w:rPr>
        <w:softHyphen/>
        <w:t xml:space="preserve">ных действий, изобилующих озерными и речными пространствами, </w:t>
      </w:r>
      <w:proofErr w:type="spellStart"/>
      <w:r w:rsidRPr="00A259BD">
        <w:rPr>
          <w:rFonts w:ascii="Times New Roman" w:hAnsi="Times New Roman"/>
          <w:color w:val="000000" w:themeColor="text1"/>
          <w:sz w:val="16"/>
          <w:szCs w:val="16"/>
        </w:rPr>
        <w:t>выдьи-гаэтся</w:t>
      </w:r>
      <w:proofErr w:type="spellEnd"/>
      <w:r w:rsidRPr="00A259BD">
        <w:rPr>
          <w:rFonts w:ascii="Times New Roman" w:hAnsi="Times New Roman"/>
          <w:color w:val="000000" w:themeColor="text1"/>
          <w:sz w:val="16"/>
          <w:szCs w:val="16"/>
        </w:rPr>
        <w:t xml:space="preserve"> на разрешение задача постройки и специального типа лодоч</w:t>
      </w:r>
      <w:r w:rsidRPr="00A259BD">
        <w:rPr>
          <w:rFonts w:ascii="Times New Roman" w:hAnsi="Times New Roman"/>
          <w:color w:val="000000" w:themeColor="text1"/>
          <w:sz w:val="16"/>
          <w:szCs w:val="16"/>
        </w:rPr>
        <w:softHyphen/>
        <w:t>ного самолета, так называемой амфибии, т.е. самолета, способного производить подъем и посадку на землю и на воду.</w:t>
      </w:r>
    </w:p>
    <w:p w14:paraId="340CC6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Ввиду отсутствия соответствующего опыта в строительстве этих само</w:t>
      </w:r>
      <w:r w:rsidRPr="00A259BD">
        <w:rPr>
          <w:rFonts w:ascii="Times New Roman" w:hAnsi="Times New Roman"/>
          <w:color w:val="000000" w:themeColor="text1"/>
          <w:sz w:val="16"/>
          <w:szCs w:val="16"/>
        </w:rPr>
        <w:softHyphen/>
        <w:t>летов, предлагается на первое время, в основу их строительства по</w:t>
      </w:r>
      <w:r w:rsidRPr="00A259BD">
        <w:rPr>
          <w:rFonts w:ascii="Times New Roman" w:hAnsi="Times New Roman"/>
          <w:color w:val="000000" w:themeColor="text1"/>
          <w:sz w:val="16"/>
          <w:szCs w:val="16"/>
        </w:rPr>
        <w:softHyphen/>
        <w:t>ложить летно-</w:t>
      </w:r>
      <w:proofErr w:type="spellStart"/>
      <w:r w:rsidRPr="00A259BD">
        <w:rPr>
          <w:rFonts w:ascii="Times New Roman" w:hAnsi="Times New Roman"/>
          <w:color w:val="000000" w:themeColor="text1"/>
          <w:sz w:val="16"/>
          <w:szCs w:val="16"/>
        </w:rPr>
        <w:t>тактическиз</w:t>
      </w:r>
      <w:proofErr w:type="spellEnd"/>
      <w:r w:rsidRPr="00A259BD">
        <w:rPr>
          <w:rFonts w:ascii="Times New Roman" w:hAnsi="Times New Roman"/>
          <w:color w:val="000000" w:themeColor="text1"/>
          <w:sz w:val="16"/>
          <w:szCs w:val="16"/>
        </w:rPr>
        <w:t xml:space="preserve"> требования к самолету Корпусной Разведчик Корректировщик.</w:t>
      </w:r>
    </w:p>
    <w:p w14:paraId="6937C77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Дальнейший путь в развитии амфибий представляется нам в создании таковой тяжелого типа /ТА/, который мог бы служить с одной стороны целям бомбардировки, с другой - транспорта. Летно-тактические тре</w:t>
      </w:r>
      <w:r w:rsidRPr="00A259BD">
        <w:rPr>
          <w:rFonts w:ascii="Times New Roman" w:hAnsi="Times New Roman"/>
          <w:color w:val="000000" w:themeColor="text1"/>
          <w:sz w:val="16"/>
          <w:szCs w:val="16"/>
        </w:rPr>
        <w:softHyphen/>
        <w:t>бования к тяжелой амфибии не устанавливаются, но по всем данным они будут очень близкими к таковым для двухмоторных бомбардировщи</w:t>
      </w:r>
      <w:r w:rsidRPr="00A259BD">
        <w:rPr>
          <w:rFonts w:ascii="Times New Roman" w:hAnsi="Times New Roman"/>
          <w:color w:val="000000" w:themeColor="text1"/>
          <w:sz w:val="16"/>
          <w:szCs w:val="16"/>
        </w:rPr>
        <w:softHyphen/>
        <w:t>ков.</w:t>
      </w:r>
    </w:p>
    <w:p w14:paraId="1BEBEC8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smallCaps/>
          <w:color w:val="000000" w:themeColor="text1"/>
          <w:sz w:val="16"/>
          <w:szCs w:val="16"/>
        </w:rPr>
        <w:t>Б. АВИАЦИЯ ОТКРЫТОГО МОРЯ</w:t>
      </w:r>
      <w:r w:rsidRPr="00A259BD">
        <w:rPr>
          <w:rFonts w:ascii="Times New Roman" w:hAnsi="Times New Roman"/>
          <w:color w:val="000000" w:themeColor="text1"/>
          <w:sz w:val="16"/>
          <w:szCs w:val="16"/>
        </w:rPr>
        <w:t>.</w:t>
      </w:r>
    </w:p>
    <w:p w14:paraId="44DD0D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Разведчики открытого моря /РСМ/. Дальняя разведка в открытом море, разведка баз флота и укрепленных районов побережья противни</w:t>
      </w:r>
      <w:r w:rsidRPr="00A259BD">
        <w:rPr>
          <w:rFonts w:ascii="Times New Roman" w:hAnsi="Times New Roman"/>
          <w:color w:val="000000" w:themeColor="text1"/>
          <w:sz w:val="16"/>
          <w:szCs w:val="16"/>
        </w:rPr>
        <w:softHyphen/>
        <w:t>ка, задачи бомбардирования легких его судов и транспортов с десантами и т.д. Все это требует создания специального типа самолетов-разведчиков открытого моря /РСМ/, которые бы обладали следую</w:t>
      </w:r>
      <w:r w:rsidRPr="00A259BD">
        <w:rPr>
          <w:rFonts w:ascii="Times New Roman" w:hAnsi="Times New Roman"/>
          <w:color w:val="000000" w:themeColor="text1"/>
          <w:sz w:val="16"/>
          <w:szCs w:val="16"/>
        </w:rPr>
        <w:softHyphen/>
        <w:t>щими основными данными:</w:t>
      </w:r>
    </w:p>
    <w:p w14:paraId="6F6050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хорошими мореходными качествами,</w:t>
      </w:r>
    </w:p>
    <w:p w14:paraId="5D08794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достаточным запасом горючего, обеспечивающим ему большой радиус действия,</w:t>
      </w:r>
    </w:p>
    <w:p w14:paraId="29206FA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вооружением, достаточным для ведения самостоятельного оборо</w:t>
      </w:r>
      <w:r w:rsidRPr="00A259BD">
        <w:rPr>
          <w:rFonts w:ascii="Times New Roman" w:hAnsi="Times New Roman"/>
          <w:color w:val="000000" w:themeColor="text1"/>
          <w:sz w:val="16"/>
          <w:szCs w:val="16"/>
        </w:rPr>
        <w:softHyphen/>
        <w:t>нительного боя и наконец, соответственно хорошими современны</w:t>
      </w:r>
      <w:r w:rsidRPr="00A259BD">
        <w:rPr>
          <w:rFonts w:ascii="Times New Roman" w:hAnsi="Times New Roman"/>
          <w:color w:val="000000" w:themeColor="text1"/>
          <w:sz w:val="16"/>
          <w:szCs w:val="16"/>
        </w:rPr>
        <w:softHyphen/>
        <w:t>ми скоростями, как горизонтальной, так и вертикальной. Основ</w:t>
      </w:r>
      <w:r w:rsidRPr="00A259BD">
        <w:rPr>
          <w:rFonts w:ascii="Times New Roman" w:hAnsi="Times New Roman"/>
          <w:color w:val="000000" w:themeColor="text1"/>
          <w:sz w:val="16"/>
          <w:szCs w:val="16"/>
        </w:rPr>
        <w:softHyphen/>
        <w:t>ные летно-тактические требования к разведчику открытого моря определяются следующими минимальными цифрами:</w:t>
      </w:r>
    </w:p>
    <w:p w14:paraId="5C6941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горизонтальная скорость на высоте 3000 </w:t>
      </w:r>
      <w:proofErr w:type="spellStart"/>
      <w:r w:rsidRPr="00A259BD">
        <w:rPr>
          <w:rFonts w:ascii="Times New Roman" w:hAnsi="Times New Roman"/>
          <w:color w:val="000000" w:themeColor="text1"/>
          <w:sz w:val="16"/>
          <w:szCs w:val="16"/>
        </w:rPr>
        <w:t>мт</w:t>
      </w:r>
      <w:proofErr w:type="spellEnd"/>
      <w:r w:rsidRPr="00A259BD">
        <w:rPr>
          <w:rFonts w:ascii="Times New Roman" w:hAnsi="Times New Roman"/>
          <w:color w:val="000000" w:themeColor="text1"/>
          <w:sz w:val="16"/>
          <w:szCs w:val="16"/>
        </w:rPr>
        <w:t xml:space="preserve">. - 240-250 </w:t>
      </w:r>
      <w:proofErr w:type="spellStart"/>
      <w:r w:rsidRPr="00A259BD">
        <w:rPr>
          <w:rFonts w:ascii="Times New Roman" w:hAnsi="Times New Roman"/>
          <w:color w:val="000000" w:themeColor="text1"/>
          <w:sz w:val="16"/>
          <w:szCs w:val="16"/>
        </w:rPr>
        <w:t>клм</w:t>
      </w:r>
      <w:proofErr w:type="spellEnd"/>
      <w:r w:rsidRPr="00A259BD">
        <w:rPr>
          <w:rFonts w:ascii="Times New Roman" w:hAnsi="Times New Roman"/>
          <w:color w:val="000000" w:themeColor="text1"/>
          <w:sz w:val="16"/>
          <w:szCs w:val="16"/>
        </w:rPr>
        <w:t>/час</w:t>
      </w:r>
    </w:p>
    <w:p w14:paraId="4D01A1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 о т о л о к - 6000-7000 м.</w:t>
      </w:r>
    </w:p>
    <w:p w14:paraId="52AE4C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продолжительность полета на </w:t>
      </w:r>
      <w:proofErr w:type="spellStart"/>
      <w:r w:rsidRPr="00A259BD">
        <w:rPr>
          <w:rFonts w:ascii="Times New Roman" w:hAnsi="Times New Roman"/>
          <w:color w:val="000000" w:themeColor="text1"/>
          <w:sz w:val="16"/>
          <w:szCs w:val="16"/>
        </w:rPr>
        <w:t>эксплоат</w:t>
      </w:r>
      <w:proofErr w:type="spellEnd"/>
      <w:r w:rsidRPr="00A259BD">
        <w:rPr>
          <w:rFonts w:ascii="Times New Roman" w:hAnsi="Times New Roman"/>
          <w:color w:val="000000" w:themeColor="text1"/>
          <w:sz w:val="16"/>
          <w:szCs w:val="16"/>
        </w:rPr>
        <w:t>. скор. - 6-7 час.</w:t>
      </w:r>
    </w:p>
    <w:p w14:paraId="03A697B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вооружение и оборудование - 4-5 </w:t>
      </w:r>
      <w:proofErr w:type="spellStart"/>
      <w:r w:rsidRPr="00A259BD">
        <w:rPr>
          <w:rFonts w:ascii="Times New Roman" w:hAnsi="Times New Roman"/>
          <w:color w:val="000000" w:themeColor="text1"/>
          <w:sz w:val="16"/>
          <w:szCs w:val="16"/>
        </w:rPr>
        <w:t>пулем</w:t>
      </w:r>
      <w:proofErr w:type="spellEnd"/>
      <w:r w:rsidRPr="00A259BD">
        <w:rPr>
          <w:rFonts w:ascii="Times New Roman" w:hAnsi="Times New Roman"/>
          <w:color w:val="000000" w:themeColor="text1"/>
          <w:sz w:val="16"/>
          <w:szCs w:val="16"/>
        </w:rPr>
        <w:t>.</w:t>
      </w:r>
    </w:p>
    <w:p w14:paraId="2916D0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радио и фото-оборудование.</w:t>
      </w:r>
    </w:p>
    <w:p w14:paraId="6B42C4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аварийное приспособление.</w:t>
      </w:r>
    </w:p>
    <w:p w14:paraId="7B701C7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экипаж - 3-4 чел.</w:t>
      </w:r>
    </w:p>
    <w:p w14:paraId="170047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Торпедоносцы-бомбардировщики открытого моря.</w:t>
      </w:r>
    </w:p>
    <w:p w14:paraId="00B112D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атаки флота противника, как в открытом море, так и в его базах для разрушения укрепленных районов побережья противника, необходима постройка тяжелых бомбардировщиков и торпедоносцев, которые обладали бы значительной бомбово-торпедной </w:t>
      </w:r>
      <w:proofErr w:type="spellStart"/>
      <w:r w:rsidRPr="00A259BD">
        <w:rPr>
          <w:rFonts w:ascii="Times New Roman" w:hAnsi="Times New Roman"/>
          <w:color w:val="000000" w:themeColor="text1"/>
          <w:sz w:val="16"/>
          <w:szCs w:val="16"/>
        </w:rPr>
        <w:t>грузодод"емностъю</w:t>
      </w:r>
      <w:proofErr w:type="spellEnd"/>
      <w:r w:rsidRPr="00A259BD">
        <w:rPr>
          <w:rFonts w:ascii="Times New Roman" w:hAnsi="Times New Roman"/>
          <w:color w:val="000000" w:themeColor="text1"/>
          <w:sz w:val="16"/>
          <w:szCs w:val="16"/>
        </w:rPr>
        <w:t>.</w:t>
      </w:r>
    </w:p>
    <w:p w14:paraId="242C5F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Целый ряд соображений тактического порядка, а равно и экономического, приводят к мысли о целесообразности при постройках объединить эти два самолета в одном типе, который бы и мог, в зависимости от потребности, нести ту или иную службу.</w:t>
      </w:r>
    </w:p>
    <w:p w14:paraId="5568EC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Летно-тактические требования к этому типу самолета остаются старые предусмотренные по плану опытного строительства.</w:t>
      </w:r>
    </w:p>
    <w:p w14:paraId="353960F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Морские крейсера</w:t>
      </w:r>
    </w:p>
    <w:p w14:paraId="7549A1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Отсутствие авианосцев, крайняя ограниченность применения корабельной авиации, которая бы могла полностью обеспечить операции своего морского флота и своей морской авиации, предлагается построить специальный тип самолета Морской Крейсер. Летно-тактические данные, которые должны лечь в основу расчета такой машины, должны быть следующие:</w:t>
      </w:r>
    </w:p>
    <w:p w14:paraId="24B32C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хорошие мореходные качества, позволяющие ему </w:t>
      </w:r>
      <w:proofErr w:type="spellStart"/>
      <w:r w:rsidRPr="00A259BD">
        <w:rPr>
          <w:rFonts w:ascii="Times New Roman" w:hAnsi="Times New Roman"/>
          <w:color w:val="000000" w:themeColor="text1"/>
          <w:sz w:val="16"/>
          <w:szCs w:val="16"/>
        </w:rPr>
        <w:t>перздвигаться</w:t>
      </w:r>
      <w:proofErr w:type="spellEnd"/>
      <w:r w:rsidRPr="00A259BD">
        <w:rPr>
          <w:rFonts w:ascii="Times New Roman" w:hAnsi="Times New Roman"/>
          <w:color w:val="000000" w:themeColor="text1"/>
          <w:sz w:val="16"/>
          <w:szCs w:val="16"/>
        </w:rPr>
        <w:t xml:space="preserve"> вместе со своим морским флотом /можно скачками/,</w:t>
      </w:r>
    </w:p>
    <w:p w14:paraId="08D1963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большой радиус действия, обеспечивающий непрерывное сопровождение...</w:t>
      </w:r>
    </w:p>
    <w:p w14:paraId="6B7D82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хорошее и вполне обеспечивающее успешность ведения активного боя вооружение.</w:t>
      </w:r>
    </w:p>
    <w:p w14:paraId="48F3B3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Горизонтальная скорость для морского </w:t>
      </w:r>
      <w:proofErr w:type="spellStart"/>
      <w:r w:rsidRPr="00A259BD">
        <w:rPr>
          <w:rFonts w:ascii="Times New Roman" w:hAnsi="Times New Roman"/>
          <w:color w:val="000000" w:themeColor="text1"/>
          <w:sz w:val="16"/>
          <w:szCs w:val="16"/>
        </w:rPr>
        <w:t>крейсэза</w:t>
      </w:r>
      <w:proofErr w:type="spellEnd"/>
      <w:r w:rsidRPr="00A259BD">
        <w:rPr>
          <w:rFonts w:ascii="Times New Roman" w:hAnsi="Times New Roman"/>
          <w:color w:val="000000" w:themeColor="text1"/>
          <w:sz w:val="16"/>
          <w:szCs w:val="16"/>
        </w:rPr>
        <w:t xml:space="preserve"> оп</w:t>
      </w:r>
      <w:r w:rsidRPr="00A259BD">
        <w:rPr>
          <w:rFonts w:ascii="Times New Roman" w:hAnsi="Times New Roman"/>
          <w:color w:val="000000" w:themeColor="text1"/>
          <w:sz w:val="16"/>
          <w:szCs w:val="16"/>
        </w:rPr>
        <w:softHyphen/>
        <w:t xml:space="preserve">ределяется в250 </w:t>
      </w:r>
      <w:proofErr w:type="spellStart"/>
      <w:r w:rsidRPr="00A259BD">
        <w:rPr>
          <w:rFonts w:ascii="Times New Roman" w:hAnsi="Times New Roman"/>
          <w:color w:val="000000" w:themeColor="text1"/>
          <w:sz w:val="16"/>
          <w:szCs w:val="16"/>
        </w:rPr>
        <w:t>клм</w:t>
      </w:r>
      <w:proofErr w:type="spellEnd"/>
      <w:r w:rsidRPr="00A259BD">
        <w:rPr>
          <w:rFonts w:ascii="Times New Roman" w:hAnsi="Times New Roman"/>
          <w:color w:val="000000" w:themeColor="text1"/>
          <w:sz w:val="16"/>
          <w:szCs w:val="16"/>
        </w:rPr>
        <w:t xml:space="preserve">/час, потолок - 6000-7000 </w:t>
      </w:r>
      <w:proofErr w:type="spellStart"/>
      <w:r w:rsidRPr="00A259BD">
        <w:rPr>
          <w:rFonts w:ascii="Times New Roman" w:hAnsi="Times New Roman"/>
          <w:color w:val="000000" w:themeColor="text1"/>
          <w:sz w:val="16"/>
          <w:szCs w:val="16"/>
        </w:rPr>
        <w:t>мт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под"ем</w:t>
      </w:r>
      <w:proofErr w:type="spellEnd"/>
      <w:r w:rsidRPr="00A259BD">
        <w:rPr>
          <w:rFonts w:ascii="Times New Roman" w:hAnsi="Times New Roman"/>
          <w:color w:val="000000" w:themeColor="text1"/>
          <w:sz w:val="16"/>
          <w:szCs w:val="16"/>
        </w:rPr>
        <w:t xml:space="preserve"> на 3000 м- 15 минут, экипаж 5-6 чел. и вооружение - 12 пулеметов.</w:t>
      </w:r>
    </w:p>
    <w:p w14:paraId="482E6A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Ввиду невозможности получить обозначенные цифры с первой построен</w:t>
      </w:r>
      <w:r w:rsidRPr="00A259BD">
        <w:rPr>
          <w:rFonts w:ascii="Times New Roman" w:hAnsi="Times New Roman"/>
          <w:color w:val="000000" w:themeColor="text1"/>
          <w:sz w:val="16"/>
          <w:szCs w:val="16"/>
        </w:rPr>
        <w:softHyphen/>
        <w:t>ной машины, допускается постройка промежуточного типа этого само</w:t>
      </w:r>
      <w:r w:rsidRPr="00A259BD">
        <w:rPr>
          <w:rFonts w:ascii="Times New Roman" w:hAnsi="Times New Roman"/>
          <w:color w:val="000000" w:themeColor="text1"/>
          <w:sz w:val="16"/>
          <w:szCs w:val="16"/>
        </w:rPr>
        <w:softHyphen/>
        <w:t xml:space="preserve">лета, для которого полезная нагрузка равная 1500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для основ</w:t>
      </w:r>
      <w:r w:rsidRPr="00A259BD">
        <w:rPr>
          <w:rFonts w:ascii="Times New Roman" w:hAnsi="Times New Roman"/>
          <w:color w:val="000000" w:themeColor="text1"/>
          <w:sz w:val="16"/>
          <w:szCs w:val="16"/>
        </w:rPr>
        <w:softHyphen/>
        <w:t xml:space="preserve">ного типа, снижается до 955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за счет уменьшения продолжительности полета с 7 час. до 5 и уменьшения вооружения с 12 пулеметов до 6.</w:t>
      </w:r>
    </w:p>
    <w:p w14:paraId="37A8E7E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КОРАБЕЛЬНАЯ АВИАЦИЯ.</w:t>
      </w:r>
    </w:p>
    <w:p w14:paraId="65D519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отсутствие достаточного количества плавучих средств в нашем мор</w:t>
      </w:r>
      <w:r w:rsidRPr="00A259BD">
        <w:rPr>
          <w:rFonts w:ascii="Times New Roman" w:hAnsi="Times New Roman"/>
          <w:color w:val="000000" w:themeColor="text1"/>
          <w:sz w:val="16"/>
          <w:szCs w:val="16"/>
        </w:rPr>
        <w:softHyphen/>
        <w:t>ском флота, а также и ограниченные возможности размещения самоле</w:t>
      </w:r>
      <w:r w:rsidRPr="00A259BD">
        <w:rPr>
          <w:rFonts w:ascii="Times New Roman" w:hAnsi="Times New Roman"/>
          <w:color w:val="000000" w:themeColor="text1"/>
          <w:sz w:val="16"/>
          <w:szCs w:val="16"/>
        </w:rPr>
        <w:softHyphen/>
        <w:t xml:space="preserve">тов на имеющихся в нашем </w:t>
      </w:r>
      <w:proofErr w:type="spellStart"/>
      <w:r w:rsidRPr="00A259BD">
        <w:rPr>
          <w:rFonts w:ascii="Times New Roman" w:hAnsi="Times New Roman"/>
          <w:color w:val="000000" w:themeColor="text1"/>
          <w:sz w:val="16"/>
          <w:szCs w:val="16"/>
        </w:rPr>
        <w:t>распорялении</w:t>
      </w:r>
      <w:proofErr w:type="spellEnd"/>
      <w:r w:rsidRPr="00A259BD">
        <w:rPr>
          <w:rFonts w:ascii="Times New Roman" w:hAnsi="Times New Roman"/>
          <w:color w:val="000000" w:themeColor="text1"/>
          <w:sz w:val="16"/>
          <w:szCs w:val="16"/>
        </w:rPr>
        <w:t xml:space="preserve"> военных морских кораблях, заставляет нас отказаться от применения корабельной истребитель</w:t>
      </w:r>
      <w:r w:rsidRPr="00A259BD">
        <w:rPr>
          <w:rFonts w:ascii="Times New Roman" w:hAnsi="Times New Roman"/>
          <w:color w:val="000000" w:themeColor="text1"/>
          <w:sz w:val="16"/>
          <w:szCs w:val="16"/>
        </w:rPr>
        <w:softHyphen/>
        <w:t xml:space="preserve">ной авиации и использовать наличные плавучие </w:t>
      </w:r>
      <w:proofErr w:type="spellStart"/>
      <w:r w:rsidRPr="00A259BD">
        <w:rPr>
          <w:rFonts w:ascii="Times New Roman" w:hAnsi="Times New Roman"/>
          <w:color w:val="000000" w:themeColor="text1"/>
          <w:sz w:val="16"/>
          <w:szCs w:val="16"/>
        </w:rPr>
        <w:t>рессурсы</w:t>
      </w:r>
      <w:proofErr w:type="spellEnd"/>
      <w:r w:rsidRPr="00A259BD">
        <w:rPr>
          <w:rFonts w:ascii="Times New Roman" w:hAnsi="Times New Roman"/>
          <w:color w:val="000000" w:themeColor="text1"/>
          <w:sz w:val="16"/>
          <w:szCs w:val="16"/>
        </w:rPr>
        <w:t xml:space="preserve"> для катапультных разведчиков - корректировки ков /КР/.</w:t>
      </w:r>
    </w:p>
    <w:p w14:paraId="3B3F3C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Летно-тактические требования к этому самолету будут определены только после всесторонних испытаний КР1 “П”, так как он будет представлять собой развитие последнего.</w:t>
      </w:r>
    </w:p>
    <w:p w14:paraId="0405C82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Помимо всего вышеизложенного, предлагается включить в пятилетний план опытного самолетостроения нижеследующие работы:</w:t>
      </w:r>
    </w:p>
    <w:p w14:paraId="6CDB531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Разработка, исследование и, по возможности, тактическое осу</w:t>
      </w:r>
      <w:r w:rsidRPr="00A259BD">
        <w:rPr>
          <w:rFonts w:ascii="Times New Roman" w:hAnsi="Times New Roman"/>
          <w:color w:val="000000" w:themeColor="text1"/>
          <w:sz w:val="16"/>
          <w:szCs w:val="16"/>
        </w:rPr>
        <w:softHyphen/>
        <w:t>ществление вопросов из области строительства Геликоптеров.</w:t>
      </w:r>
    </w:p>
    <w:p w14:paraId="350F363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Тоже самое в отношении автожиров.</w:t>
      </w:r>
    </w:p>
    <w:p w14:paraId="239F40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Разработка сухопутной катапульты для современных тяжелых са</w:t>
      </w:r>
      <w:r w:rsidRPr="00A259BD">
        <w:rPr>
          <w:rFonts w:ascii="Times New Roman" w:hAnsi="Times New Roman"/>
          <w:color w:val="000000" w:themeColor="text1"/>
          <w:sz w:val="16"/>
          <w:szCs w:val="16"/>
        </w:rPr>
        <w:softHyphen/>
        <w:t>молетов.</w:t>
      </w:r>
    </w:p>
    <w:p w14:paraId="2F6E16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Разработка и практическое осуществление идей торможения су</w:t>
      </w:r>
      <w:r w:rsidRPr="00A259BD">
        <w:rPr>
          <w:rFonts w:ascii="Times New Roman" w:hAnsi="Times New Roman"/>
          <w:color w:val="000000" w:themeColor="text1"/>
          <w:sz w:val="16"/>
          <w:szCs w:val="16"/>
        </w:rPr>
        <w:softHyphen/>
        <w:t>хопутных самолетов при пробеге, для каждого колеса самостоятель</w:t>
      </w:r>
      <w:r w:rsidRPr="00A259BD">
        <w:rPr>
          <w:rFonts w:ascii="Times New Roman" w:hAnsi="Times New Roman"/>
          <w:color w:val="000000" w:themeColor="text1"/>
          <w:sz w:val="16"/>
          <w:szCs w:val="16"/>
        </w:rPr>
        <w:softHyphen/>
        <w:t>но.</w:t>
      </w:r>
    </w:p>
    <w:p w14:paraId="2D4EF0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заключение следует отметить, что </w:t>
      </w:r>
      <w:proofErr w:type="spellStart"/>
      <w:r w:rsidRPr="00A259BD">
        <w:rPr>
          <w:rFonts w:ascii="Times New Roman" w:hAnsi="Times New Roman"/>
          <w:color w:val="000000" w:themeColor="text1"/>
          <w:sz w:val="16"/>
          <w:szCs w:val="16"/>
        </w:rPr>
        <w:t>всевышеуказанные</w:t>
      </w:r>
      <w:proofErr w:type="spellEnd"/>
      <w:r w:rsidRPr="00A259BD">
        <w:rPr>
          <w:rFonts w:ascii="Times New Roman" w:hAnsi="Times New Roman"/>
          <w:color w:val="000000" w:themeColor="text1"/>
          <w:sz w:val="16"/>
          <w:szCs w:val="16"/>
        </w:rPr>
        <w:t xml:space="preserve"> требования к </w:t>
      </w:r>
      <w:proofErr w:type="spellStart"/>
      <w:r w:rsidRPr="00A259BD">
        <w:rPr>
          <w:rFonts w:ascii="Times New Roman" w:hAnsi="Times New Roman"/>
          <w:color w:val="000000" w:themeColor="text1"/>
          <w:sz w:val="16"/>
          <w:szCs w:val="16"/>
        </w:rPr>
        <w:t>отдельньм</w:t>
      </w:r>
      <w:proofErr w:type="spellEnd"/>
      <w:r w:rsidRPr="00A259BD">
        <w:rPr>
          <w:rFonts w:ascii="Times New Roman" w:hAnsi="Times New Roman"/>
          <w:color w:val="000000" w:themeColor="text1"/>
          <w:sz w:val="16"/>
          <w:szCs w:val="16"/>
        </w:rPr>
        <w:t xml:space="preserve"> типам самолета, ни в </w:t>
      </w:r>
      <w:proofErr w:type="spellStart"/>
      <w:r w:rsidRPr="00A259BD">
        <w:rPr>
          <w:rFonts w:ascii="Times New Roman" w:hAnsi="Times New Roman"/>
          <w:color w:val="000000" w:themeColor="text1"/>
          <w:sz w:val="16"/>
          <w:szCs w:val="16"/>
        </w:rPr>
        <w:t>коэм</w:t>
      </w:r>
      <w:proofErr w:type="spellEnd"/>
      <w:r w:rsidRPr="00A259BD">
        <w:rPr>
          <w:rFonts w:ascii="Times New Roman" w:hAnsi="Times New Roman"/>
          <w:color w:val="000000" w:themeColor="text1"/>
          <w:sz w:val="16"/>
          <w:szCs w:val="16"/>
        </w:rPr>
        <w:t xml:space="preserve"> случае, нельзя рассматри</w:t>
      </w:r>
      <w:r w:rsidRPr="00A259BD">
        <w:rPr>
          <w:rFonts w:ascii="Times New Roman" w:hAnsi="Times New Roman"/>
          <w:color w:val="000000" w:themeColor="text1"/>
          <w:sz w:val="16"/>
          <w:szCs w:val="16"/>
        </w:rPr>
        <w:softHyphen/>
        <w:t>вать как окончательные и не подлежащие тем или иным изменениям.</w:t>
      </w:r>
    </w:p>
    <w:p w14:paraId="4869FA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...Развитие современного воздушного флота скорее позволяет их </w:t>
      </w:r>
      <w:proofErr w:type="spellStart"/>
      <w:r w:rsidRPr="00A259BD">
        <w:rPr>
          <w:rFonts w:ascii="Times New Roman" w:hAnsi="Times New Roman"/>
          <w:color w:val="000000" w:themeColor="text1"/>
          <w:sz w:val="16"/>
          <w:szCs w:val="16"/>
        </w:rPr>
        <w:t>расматривать</w:t>
      </w:r>
      <w:proofErr w:type="spellEnd"/>
      <w:r w:rsidRPr="00A259BD">
        <w:rPr>
          <w:rFonts w:ascii="Times New Roman" w:hAnsi="Times New Roman"/>
          <w:color w:val="000000" w:themeColor="text1"/>
          <w:sz w:val="16"/>
          <w:szCs w:val="16"/>
        </w:rPr>
        <w:t xml:space="preserve">, как минимальные и заставляет </w:t>
      </w:r>
      <w:proofErr w:type="spellStart"/>
      <w:r w:rsidRPr="00A259BD">
        <w:rPr>
          <w:rFonts w:ascii="Times New Roman" w:hAnsi="Times New Roman"/>
          <w:color w:val="000000" w:themeColor="text1"/>
          <w:sz w:val="16"/>
          <w:szCs w:val="16"/>
        </w:rPr>
        <w:t>устаналиватъ</w:t>
      </w:r>
      <w:proofErr w:type="spellEnd"/>
      <w:r w:rsidRPr="00A259BD">
        <w:rPr>
          <w:rFonts w:ascii="Times New Roman" w:hAnsi="Times New Roman"/>
          <w:color w:val="000000" w:themeColor="text1"/>
          <w:sz w:val="16"/>
          <w:szCs w:val="16"/>
        </w:rPr>
        <w:t xml:space="preserve"> окончательные цифры лишь в самый последний момент начала проектирования той или иной машины (351,87).</w:t>
      </w:r>
    </w:p>
    <w:p w14:paraId="24B66B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ОБ"ЯСНИТЕЛЬНАЯ ЗАПИСКА</w:t>
      </w:r>
    </w:p>
    <w:p w14:paraId="05532D5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smallCaps/>
          <w:color w:val="000000" w:themeColor="text1"/>
          <w:sz w:val="16"/>
          <w:szCs w:val="16"/>
        </w:rPr>
        <w:t xml:space="preserve">о средствах на опытное строительство </w:t>
      </w:r>
      <w:r w:rsidRPr="00A259BD">
        <w:rPr>
          <w:rFonts w:ascii="Times New Roman" w:hAnsi="Times New Roman"/>
          <w:color w:val="000000" w:themeColor="text1"/>
          <w:sz w:val="16"/>
          <w:szCs w:val="16"/>
        </w:rPr>
        <w:t xml:space="preserve">по 5-ти </w:t>
      </w:r>
      <w:r w:rsidRPr="00A259BD">
        <w:rPr>
          <w:rFonts w:ascii="Times New Roman" w:hAnsi="Times New Roman"/>
          <w:smallCaps/>
          <w:color w:val="000000" w:themeColor="text1"/>
          <w:sz w:val="16"/>
          <w:szCs w:val="16"/>
        </w:rPr>
        <w:t xml:space="preserve">летнему </w:t>
      </w:r>
      <w:r w:rsidRPr="00A259BD">
        <w:rPr>
          <w:rFonts w:ascii="Times New Roman" w:hAnsi="Times New Roman"/>
          <w:color w:val="000000" w:themeColor="text1"/>
          <w:sz w:val="16"/>
          <w:szCs w:val="16"/>
        </w:rPr>
        <w:t>ПЛАНУ НТК УВВС.</w:t>
      </w:r>
    </w:p>
    <w:p w14:paraId="62FDF74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стоимость работ по 5-ти летнему плану </w:t>
      </w:r>
      <w:proofErr w:type="spellStart"/>
      <w:r w:rsidRPr="00A259BD">
        <w:rPr>
          <w:rFonts w:ascii="Times New Roman" w:hAnsi="Times New Roman"/>
          <w:color w:val="000000" w:themeColor="text1"/>
          <w:sz w:val="16"/>
          <w:szCs w:val="16"/>
        </w:rPr>
        <w:t>опнткого</w:t>
      </w:r>
      <w:proofErr w:type="spellEnd"/>
      <w:r w:rsidRPr="00A259BD">
        <w:rPr>
          <w:rFonts w:ascii="Times New Roman" w:hAnsi="Times New Roman"/>
          <w:color w:val="000000" w:themeColor="text1"/>
          <w:sz w:val="16"/>
          <w:szCs w:val="16"/>
        </w:rPr>
        <w:t xml:space="preserve"> строительства НТК УВВС входит нижеследующее:</w:t>
      </w:r>
    </w:p>
    <w:p w14:paraId="440364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Стоимость опытных конструкций для серийного производства.</w:t>
      </w:r>
    </w:p>
    <w:p w14:paraId="512DFE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Экспериментальные работы, необходимые для проверки элементов опытного строительства и проверки новых принципов.</w:t>
      </w:r>
    </w:p>
    <w:p w14:paraId="6C98C9D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Научно-исследовательские работы по теоретической проработке новых принципов и лабораторная проработка их.</w:t>
      </w:r>
    </w:p>
    <w:p w14:paraId="3C83585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Смета предусматривает расходы на оплату:</w:t>
      </w:r>
    </w:p>
    <w:p w14:paraId="15E05C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проектирования, изготовления и испытания конструкций;</w:t>
      </w:r>
    </w:p>
    <w:p w14:paraId="5B4FD0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теоретическую и лабораторную проработку вопросов;</w:t>
      </w:r>
    </w:p>
    <w:p w14:paraId="200E246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 специальное оборудование и инструмент требуемый для данной работы.</w:t>
      </w:r>
    </w:p>
    <w:p w14:paraId="59967D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Планом не учитываются работы на развитие и оборудование:</w:t>
      </w:r>
    </w:p>
    <w:p w14:paraId="7D62E0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w:t>
      </w:r>
      <w:proofErr w:type="spellStart"/>
      <w:r w:rsidRPr="00A259BD">
        <w:rPr>
          <w:rFonts w:ascii="Times New Roman" w:hAnsi="Times New Roman"/>
          <w:color w:val="000000" w:themeColor="text1"/>
          <w:sz w:val="16"/>
          <w:szCs w:val="16"/>
        </w:rPr>
        <w:t>научннх</w:t>
      </w:r>
      <w:proofErr w:type="spellEnd"/>
      <w:r w:rsidRPr="00A259BD">
        <w:rPr>
          <w:rFonts w:ascii="Times New Roman" w:hAnsi="Times New Roman"/>
          <w:color w:val="000000" w:themeColor="text1"/>
          <w:sz w:val="16"/>
          <w:szCs w:val="16"/>
        </w:rPr>
        <w:t xml:space="preserve"> Институтов ВСНХ /ЦАГИ, НАМИ и друг./ и УВВС /НИИ/.</w:t>
      </w:r>
    </w:p>
    <w:p w14:paraId="55489F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Опытных мастерских и заводов :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Рудийно</w:t>
      </w:r>
      <w:proofErr w:type="spellEnd"/>
      <w:r w:rsidRPr="00A259BD">
        <w:rPr>
          <w:rFonts w:ascii="Times New Roman" w:hAnsi="Times New Roman"/>
          <w:color w:val="000000" w:themeColor="text1"/>
          <w:sz w:val="16"/>
          <w:szCs w:val="16"/>
        </w:rPr>
        <w:t>-Арсенального Треста и др. .организаций, на которые возлагается осуществление плана</w:t>
      </w:r>
    </w:p>
    <w:p w14:paraId="5E2911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Оборудование металлургических заводов, строящихся для добывания новых металлов /электрон, </w:t>
      </w:r>
      <w:proofErr w:type="spellStart"/>
      <w:r w:rsidRPr="00A259BD">
        <w:rPr>
          <w:rFonts w:ascii="Times New Roman" w:hAnsi="Times New Roman"/>
          <w:color w:val="000000" w:themeColor="text1"/>
          <w:sz w:val="16"/>
          <w:szCs w:val="16"/>
        </w:rPr>
        <w:t>аллюминия</w:t>
      </w:r>
      <w:proofErr w:type="spellEnd"/>
      <w:r w:rsidRPr="00A259BD">
        <w:rPr>
          <w:rFonts w:ascii="Times New Roman" w:hAnsi="Times New Roman"/>
          <w:color w:val="000000" w:themeColor="text1"/>
          <w:sz w:val="16"/>
          <w:szCs w:val="16"/>
        </w:rPr>
        <w:t xml:space="preserve"> и проч./, а также устанавливаю</w:t>
      </w:r>
      <w:r w:rsidRPr="00A259BD">
        <w:rPr>
          <w:rFonts w:ascii="Times New Roman" w:hAnsi="Times New Roman"/>
          <w:color w:val="000000" w:themeColor="text1"/>
          <w:sz w:val="16"/>
          <w:szCs w:val="16"/>
        </w:rPr>
        <w:softHyphen/>
        <w:t>щих оборудование для новых производств;</w:t>
      </w:r>
    </w:p>
    <w:p w14:paraId="6885319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Не предусмотрены работы по дирижаблестроению, оцениваемые около 20.000.000 руб.</w:t>
      </w:r>
    </w:p>
    <w:p w14:paraId="58CCF8F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Не предусмотрены средства на работы по стрелковому и химическому вооружению.</w:t>
      </w:r>
    </w:p>
    <w:p w14:paraId="4A7857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По аэродромному строительству и защита аэродромов.</w:t>
      </w:r>
    </w:p>
    <w:p w14:paraId="05BBEA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Средства , </w:t>
      </w:r>
      <w:proofErr w:type="spellStart"/>
      <w:r w:rsidRPr="00A259BD">
        <w:rPr>
          <w:rFonts w:ascii="Times New Roman" w:hAnsi="Times New Roman"/>
          <w:color w:val="000000" w:themeColor="text1"/>
          <w:sz w:val="16"/>
          <w:szCs w:val="16"/>
        </w:rPr>
        <w:t>исправшивазмые</w:t>
      </w:r>
      <w:proofErr w:type="spellEnd"/>
      <w:r w:rsidRPr="00A259BD">
        <w:rPr>
          <w:rFonts w:ascii="Times New Roman" w:hAnsi="Times New Roman"/>
          <w:color w:val="000000" w:themeColor="text1"/>
          <w:sz w:val="16"/>
          <w:szCs w:val="16"/>
        </w:rPr>
        <w:t xml:space="preserve"> по 5-ти летнему плану предположено израсхо</w:t>
      </w:r>
      <w:r w:rsidRPr="00A259BD">
        <w:rPr>
          <w:rFonts w:ascii="Times New Roman" w:hAnsi="Times New Roman"/>
          <w:color w:val="000000" w:themeColor="text1"/>
          <w:sz w:val="16"/>
          <w:szCs w:val="16"/>
        </w:rPr>
        <w:softHyphen/>
        <w:t>довать на следующие работы:</w:t>
      </w:r>
    </w:p>
    <w:p w14:paraId="1530F1D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Самолетостроение - 10.495.000 руб.</w:t>
      </w:r>
    </w:p>
    <w:p w14:paraId="11B9F0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Моторостроение - 14.500.000 руб.</w:t>
      </w:r>
    </w:p>
    <w:p w14:paraId="253B69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734896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Издание НТК, инструкции, описания и пр. - 510.000 руб.</w:t>
      </w:r>
    </w:p>
    <w:p w14:paraId="42B22D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 39.575.000</w:t>
      </w:r>
    </w:p>
    <w:p w14:paraId="4877E1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Средства, потребные по годам показаны в отдельном приложении.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307"/>
        <w:gridCol w:w="1307"/>
        <w:gridCol w:w="1307"/>
        <w:gridCol w:w="1307"/>
        <w:gridCol w:w="1307"/>
        <w:gridCol w:w="1307"/>
      </w:tblGrid>
      <w:tr w:rsidR="00A259BD" w:rsidRPr="00A259BD" w14:paraId="546299C0" w14:textId="77777777">
        <w:tc>
          <w:tcPr>
            <w:tcW w:w="3369" w:type="dxa"/>
            <w:tcBorders>
              <w:top w:val="single" w:sz="12" w:space="0" w:color="auto"/>
            </w:tcBorders>
          </w:tcPr>
          <w:p w14:paraId="3A0693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1928/29</w:t>
            </w:r>
          </w:p>
        </w:tc>
        <w:tc>
          <w:tcPr>
            <w:tcW w:w="1307" w:type="dxa"/>
            <w:tcBorders>
              <w:top w:val="single" w:sz="12" w:space="0" w:color="auto"/>
            </w:tcBorders>
          </w:tcPr>
          <w:p w14:paraId="294819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1929/30</w:t>
            </w:r>
          </w:p>
        </w:tc>
        <w:tc>
          <w:tcPr>
            <w:tcW w:w="1307" w:type="dxa"/>
            <w:tcBorders>
              <w:top w:val="single" w:sz="12" w:space="0" w:color="auto"/>
            </w:tcBorders>
          </w:tcPr>
          <w:p w14:paraId="4DF9F3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1930/31</w:t>
            </w:r>
          </w:p>
        </w:tc>
        <w:tc>
          <w:tcPr>
            <w:tcW w:w="1307" w:type="dxa"/>
            <w:tcBorders>
              <w:top w:val="single" w:sz="12" w:space="0" w:color="auto"/>
            </w:tcBorders>
          </w:tcPr>
          <w:p w14:paraId="08F17D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1931/32</w:t>
            </w:r>
          </w:p>
        </w:tc>
        <w:tc>
          <w:tcPr>
            <w:tcW w:w="1307" w:type="dxa"/>
            <w:tcBorders>
              <w:top w:val="single" w:sz="12" w:space="0" w:color="auto"/>
            </w:tcBorders>
          </w:tcPr>
          <w:p w14:paraId="335DE9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1932/33</w:t>
            </w:r>
          </w:p>
        </w:tc>
        <w:tc>
          <w:tcPr>
            <w:tcW w:w="1307" w:type="dxa"/>
            <w:tcBorders>
              <w:top w:val="single" w:sz="12" w:space="0" w:color="auto"/>
            </w:tcBorders>
          </w:tcPr>
          <w:p w14:paraId="34C236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Всего</w:t>
            </w:r>
          </w:p>
        </w:tc>
        <w:tc>
          <w:tcPr>
            <w:tcW w:w="1307" w:type="dxa"/>
            <w:tcBorders>
              <w:top w:val="single" w:sz="12" w:space="0" w:color="auto"/>
            </w:tcBorders>
          </w:tcPr>
          <w:p w14:paraId="19A119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A6D8005" w14:textId="77777777">
        <w:tc>
          <w:tcPr>
            <w:tcW w:w="3369" w:type="dxa"/>
          </w:tcPr>
          <w:p w14:paraId="65B132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Самолетостроение</w:t>
            </w:r>
          </w:p>
        </w:tc>
        <w:tc>
          <w:tcPr>
            <w:tcW w:w="1307" w:type="dxa"/>
          </w:tcPr>
          <w:p w14:paraId="59E7FA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1500000</w:t>
            </w:r>
          </w:p>
        </w:tc>
        <w:tc>
          <w:tcPr>
            <w:tcW w:w="1307" w:type="dxa"/>
          </w:tcPr>
          <w:p w14:paraId="337953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2350000</w:t>
            </w:r>
          </w:p>
        </w:tc>
        <w:tc>
          <w:tcPr>
            <w:tcW w:w="1307" w:type="dxa"/>
          </w:tcPr>
          <w:p w14:paraId="508924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2175000</w:t>
            </w:r>
          </w:p>
        </w:tc>
        <w:tc>
          <w:tcPr>
            <w:tcW w:w="1307" w:type="dxa"/>
          </w:tcPr>
          <w:p w14:paraId="385099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2220000</w:t>
            </w:r>
          </w:p>
        </w:tc>
        <w:tc>
          <w:tcPr>
            <w:tcW w:w="1307" w:type="dxa"/>
          </w:tcPr>
          <w:p w14:paraId="0714F4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2250000</w:t>
            </w:r>
          </w:p>
        </w:tc>
        <w:tc>
          <w:tcPr>
            <w:tcW w:w="1307" w:type="dxa"/>
          </w:tcPr>
          <w:p w14:paraId="49F516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10495000</w:t>
            </w:r>
          </w:p>
        </w:tc>
      </w:tr>
      <w:tr w:rsidR="00A259BD" w:rsidRPr="00A259BD" w14:paraId="6AE1A3F9" w14:textId="77777777">
        <w:tc>
          <w:tcPr>
            <w:tcW w:w="3369" w:type="dxa"/>
          </w:tcPr>
          <w:p w14:paraId="35D537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Воздухоплавание</w:t>
            </w:r>
          </w:p>
        </w:tc>
        <w:tc>
          <w:tcPr>
            <w:tcW w:w="1307" w:type="dxa"/>
          </w:tcPr>
          <w:p w14:paraId="4FB580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46000</w:t>
            </w:r>
          </w:p>
        </w:tc>
        <w:tc>
          <w:tcPr>
            <w:tcW w:w="1307" w:type="dxa"/>
          </w:tcPr>
          <w:p w14:paraId="01141C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300000</w:t>
            </w:r>
          </w:p>
        </w:tc>
        <w:tc>
          <w:tcPr>
            <w:tcW w:w="1307" w:type="dxa"/>
          </w:tcPr>
          <w:p w14:paraId="7B99BB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400000</w:t>
            </w:r>
          </w:p>
        </w:tc>
        <w:tc>
          <w:tcPr>
            <w:tcW w:w="1307" w:type="dxa"/>
          </w:tcPr>
          <w:p w14:paraId="53CD27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650000</w:t>
            </w:r>
          </w:p>
        </w:tc>
        <w:tc>
          <w:tcPr>
            <w:tcW w:w="1307" w:type="dxa"/>
          </w:tcPr>
          <w:p w14:paraId="00755D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654000</w:t>
            </w:r>
          </w:p>
        </w:tc>
        <w:tc>
          <w:tcPr>
            <w:tcW w:w="1307" w:type="dxa"/>
          </w:tcPr>
          <w:p w14:paraId="318232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2600000</w:t>
            </w:r>
          </w:p>
        </w:tc>
      </w:tr>
      <w:tr w:rsidR="00A259BD" w:rsidRPr="00A259BD" w14:paraId="084D2890" w14:textId="77777777">
        <w:tc>
          <w:tcPr>
            <w:tcW w:w="3369" w:type="dxa"/>
          </w:tcPr>
          <w:p w14:paraId="6D5C83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Моторостроение</w:t>
            </w:r>
          </w:p>
        </w:tc>
        <w:tc>
          <w:tcPr>
            <w:tcW w:w="1307" w:type="dxa"/>
          </w:tcPr>
          <w:p w14:paraId="113EE6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900000</w:t>
            </w:r>
          </w:p>
        </w:tc>
        <w:tc>
          <w:tcPr>
            <w:tcW w:w="1307" w:type="dxa"/>
          </w:tcPr>
          <w:p w14:paraId="351DCB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3250000</w:t>
            </w:r>
          </w:p>
        </w:tc>
        <w:tc>
          <w:tcPr>
            <w:tcW w:w="1307" w:type="dxa"/>
          </w:tcPr>
          <w:p w14:paraId="53277C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3655000</w:t>
            </w:r>
          </w:p>
        </w:tc>
        <w:tc>
          <w:tcPr>
            <w:tcW w:w="1307" w:type="dxa"/>
          </w:tcPr>
          <w:p w14:paraId="2CE6FB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3300000</w:t>
            </w:r>
          </w:p>
        </w:tc>
        <w:tc>
          <w:tcPr>
            <w:tcW w:w="1307" w:type="dxa"/>
          </w:tcPr>
          <w:p w14:paraId="345A74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3400000</w:t>
            </w:r>
          </w:p>
        </w:tc>
        <w:tc>
          <w:tcPr>
            <w:tcW w:w="1307" w:type="dxa"/>
          </w:tcPr>
          <w:p w14:paraId="0D3368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14500000</w:t>
            </w:r>
          </w:p>
        </w:tc>
      </w:tr>
      <w:tr w:rsidR="00A259BD" w:rsidRPr="00A259BD" w14:paraId="53B58B5C" w14:textId="77777777">
        <w:tc>
          <w:tcPr>
            <w:tcW w:w="3369" w:type="dxa"/>
          </w:tcPr>
          <w:p w14:paraId="1319D5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Вооружение и оборудование самолетов</w:t>
            </w:r>
          </w:p>
        </w:tc>
        <w:tc>
          <w:tcPr>
            <w:tcW w:w="1307" w:type="dxa"/>
          </w:tcPr>
          <w:p w14:paraId="611A00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520000</w:t>
            </w:r>
          </w:p>
        </w:tc>
        <w:tc>
          <w:tcPr>
            <w:tcW w:w="1307" w:type="dxa"/>
          </w:tcPr>
          <w:p w14:paraId="3D9170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1100000</w:t>
            </w:r>
          </w:p>
        </w:tc>
        <w:tc>
          <w:tcPr>
            <w:tcW w:w="1307" w:type="dxa"/>
          </w:tcPr>
          <w:p w14:paraId="0F9149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1150000</w:t>
            </w:r>
          </w:p>
        </w:tc>
        <w:tc>
          <w:tcPr>
            <w:tcW w:w="1307" w:type="dxa"/>
          </w:tcPr>
          <w:p w14:paraId="53BF79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1200000</w:t>
            </w:r>
          </w:p>
        </w:tc>
        <w:tc>
          <w:tcPr>
            <w:tcW w:w="1307" w:type="dxa"/>
          </w:tcPr>
          <w:p w14:paraId="73B502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1300000</w:t>
            </w:r>
          </w:p>
        </w:tc>
        <w:tc>
          <w:tcPr>
            <w:tcW w:w="1307" w:type="dxa"/>
          </w:tcPr>
          <w:p w14:paraId="021DFE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5270000</w:t>
            </w:r>
          </w:p>
        </w:tc>
      </w:tr>
      <w:tr w:rsidR="00A259BD" w:rsidRPr="00A259BD" w14:paraId="370F4EDD" w14:textId="77777777">
        <w:tc>
          <w:tcPr>
            <w:tcW w:w="3369" w:type="dxa"/>
          </w:tcPr>
          <w:p w14:paraId="76B02F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Материаловедение и стандартизация</w:t>
            </w:r>
          </w:p>
        </w:tc>
        <w:tc>
          <w:tcPr>
            <w:tcW w:w="1307" w:type="dxa"/>
          </w:tcPr>
          <w:p w14:paraId="601656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600000</w:t>
            </w:r>
          </w:p>
        </w:tc>
        <w:tc>
          <w:tcPr>
            <w:tcW w:w="1307" w:type="dxa"/>
          </w:tcPr>
          <w:p w14:paraId="53FCC5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850000</w:t>
            </w:r>
          </w:p>
        </w:tc>
        <w:tc>
          <w:tcPr>
            <w:tcW w:w="1307" w:type="dxa"/>
          </w:tcPr>
          <w:p w14:paraId="23370E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1250000</w:t>
            </w:r>
          </w:p>
        </w:tc>
        <w:tc>
          <w:tcPr>
            <w:tcW w:w="1307" w:type="dxa"/>
          </w:tcPr>
          <w:p w14:paraId="1240A4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1400000</w:t>
            </w:r>
          </w:p>
        </w:tc>
        <w:tc>
          <w:tcPr>
            <w:tcW w:w="1307" w:type="dxa"/>
          </w:tcPr>
          <w:p w14:paraId="54E8E3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1500000</w:t>
            </w:r>
          </w:p>
        </w:tc>
        <w:tc>
          <w:tcPr>
            <w:tcW w:w="1307" w:type="dxa"/>
          </w:tcPr>
          <w:p w14:paraId="057D68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5600000</w:t>
            </w:r>
          </w:p>
        </w:tc>
      </w:tr>
      <w:tr w:rsidR="00A259BD" w:rsidRPr="00A259BD" w14:paraId="5F158391" w14:textId="77777777">
        <w:tc>
          <w:tcPr>
            <w:tcW w:w="3369" w:type="dxa"/>
          </w:tcPr>
          <w:p w14:paraId="61514E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Аэродромное оборудование</w:t>
            </w:r>
          </w:p>
        </w:tc>
        <w:tc>
          <w:tcPr>
            <w:tcW w:w="1307" w:type="dxa"/>
          </w:tcPr>
          <w:p w14:paraId="074032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54000</w:t>
            </w:r>
          </w:p>
        </w:tc>
        <w:tc>
          <w:tcPr>
            <w:tcW w:w="1307" w:type="dxa"/>
          </w:tcPr>
          <w:p w14:paraId="44DEFF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201050</w:t>
            </w:r>
          </w:p>
        </w:tc>
        <w:tc>
          <w:tcPr>
            <w:tcW w:w="1307" w:type="dxa"/>
          </w:tcPr>
          <w:p w14:paraId="39F6A3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299050</w:t>
            </w:r>
          </w:p>
        </w:tc>
        <w:tc>
          <w:tcPr>
            <w:tcW w:w="1307" w:type="dxa"/>
          </w:tcPr>
          <w:p w14:paraId="45E903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350200</w:t>
            </w:r>
          </w:p>
        </w:tc>
        <w:tc>
          <w:tcPr>
            <w:tcW w:w="1307" w:type="dxa"/>
          </w:tcPr>
          <w:p w14:paraId="17265A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295700</w:t>
            </w:r>
          </w:p>
        </w:tc>
        <w:tc>
          <w:tcPr>
            <w:tcW w:w="1307" w:type="dxa"/>
          </w:tcPr>
          <w:p w14:paraId="355A2A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1200000</w:t>
            </w:r>
          </w:p>
        </w:tc>
      </w:tr>
      <w:tr w:rsidR="00A259BD" w:rsidRPr="00A259BD" w14:paraId="560952A1" w14:textId="77777777">
        <w:tc>
          <w:tcPr>
            <w:tcW w:w="3369" w:type="dxa"/>
          </w:tcPr>
          <w:p w14:paraId="576549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Издания НТК, инструкции, описания и пр.</w:t>
            </w:r>
          </w:p>
        </w:tc>
        <w:tc>
          <w:tcPr>
            <w:tcW w:w="1307" w:type="dxa"/>
          </w:tcPr>
          <w:p w14:paraId="63BB45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50000</w:t>
            </w:r>
          </w:p>
        </w:tc>
        <w:tc>
          <w:tcPr>
            <w:tcW w:w="1307" w:type="dxa"/>
          </w:tcPr>
          <w:p w14:paraId="2258CC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80000</w:t>
            </w:r>
          </w:p>
        </w:tc>
        <w:tc>
          <w:tcPr>
            <w:tcW w:w="1307" w:type="dxa"/>
          </w:tcPr>
          <w:p w14:paraId="4396E5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100000</w:t>
            </w:r>
          </w:p>
        </w:tc>
        <w:tc>
          <w:tcPr>
            <w:tcW w:w="1307" w:type="dxa"/>
          </w:tcPr>
          <w:p w14:paraId="0EFDC6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130000</w:t>
            </w:r>
          </w:p>
        </w:tc>
        <w:tc>
          <w:tcPr>
            <w:tcW w:w="1307" w:type="dxa"/>
          </w:tcPr>
          <w:p w14:paraId="38AE32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150000</w:t>
            </w:r>
          </w:p>
        </w:tc>
        <w:tc>
          <w:tcPr>
            <w:tcW w:w="1307" w:type="dxa"/>
          </w:tcPr>
          <w:p w14:paraId="0DE645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510000</w:t>
            </w:r>
          </w:p>
        </w:tc>
      </w:tr>
      <w:tr w:rsidR="00A259BD" w:rsidRPr="00A259BD" w14:paraId="099E10AF" w14:textId="77777777">
        <w:tc>
          <w:tcPr>
            <w:tcW w:w="3369" w:type="dxa"/>
            <w:tcBorders>
              <w:bottom w:val="single" w:sz="12" w:space="0" w:color="auto"/>
            </w:tcBorders>
          </w:tcPr>
          <w:p w14:paraId="3EB3C5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1307" w:type="dxa"/>
            <w:tcBorders>
              <w:bottom w:val="single" w:sz="12" w:space="0" w:color="auto"/>
            </w:tcBorders>
          </w:tcPr>
          <w:p w14:paraId="11BED9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5670000</w:t>
            </w:r>
          </w:p>
        </w:tc>
        <w:tc>
          <w:tcPr>
            <w:tcW w:w="1307" w:type="dxa"/>
            <w:tcBorders>
              <w:bottom w:val="single" w:sz="12" w:space="0" w:color="auto"/>
            </w:tcBorders>
          </w:tcPr>
          <w:p w14:paraId="61A4D0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8131050</w:t>
            </w:r>
          </w:p>
        </w:tc>
        <w:tc>
          <w:tcPr>
            <w:tcW w:w="1307" w:type="dxa"/>
            <w:tcBorders>
              <w:bottom w:val="single" w:sz="12" w:space="0" w:color="auto"/>
            </w:tcBorders>
          </w:tcPr>
          <w:p w14:paraId="0ADC95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9024050</w:t>
            </w:r>
          </w:p>
        </w:tc>
        <w:tc>
          <w:tcPr>
            <w:tcW w:w="1307" w:type="dxa"/>
            <w:tcBorders>
              <w:bottom w:val="single" w:sz="12" w:space="0" w:color="auto"/>
            </w:tcBorders>
          </w:tcPr>
          <w:p w14:paraId="4B67E5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9250200</w:t>
            </w:r>
          </w:p>
        </w:tc>
        <w:tc>
          <w:tcPr>
            <w:tcW w:w="1307" w:type="dxa"/>
            <w:tcBorders>
              <w:bottom w:val="single" w:sz="12" w:space="0" w:color="auto"/>
            </w:tcBorders>
          </w:tcPr>
          <w:p w14:paraId="6BD826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9499700</w:t>
            </w:r>
          </w:p>
        </w:tc>
        <w:tc>
          <w:tcPr>
            <w:tcW w:w="1307" w:type="dxa"/>
            <w:tcBorders>
              <w:bottom w:val="single" w:sz="12" w:space="0" w:color="auto"/>
            </w:tcBorders>
          </w:tcPr>
          <w:p w14:paraId="5E51F7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39575000</w:t>
            </w:r>
          </w:p>
        </w:tc>
      </w:tr>
    </w:tbl>
    <w:p w14:paraId="0FF2BC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испрашиваемую сумму предположено провести следующие основные работы:</w:t>
      </w:r>
    </w:p>
    <w:p w14:paraId="6E3D0E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Самолетостроение</w:t>
      </w:r>
    </w:p>
    <w:p w14:paraId="375083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Сухопутные самолеты</w:t>
      </w:r>
    </w:p>
    <w:p w14:paraId="26D683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 г.</w:t>
      </w:r>
    </w:p>
    <w:p w14:paraId="0E8CAC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Должна быть закончена постройка и испытание:</w:t>
      </w:r>
    </w:p>
    <w:p w14:paraId="45C137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Истребителей - 3</w:t>
      </w:r>
    </w:p>
    <w:p w14:paraId="207B4D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Разведчиков - 3</w:t>
      </w:r>
    </w:p>
    <w:p w14:paraId="356251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Бомбардировщиков - I</w:t>
      </w:r>
    </w:p>
    <w:p w14:paraId="17EB24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Приступлено к проектированию и постройке:</w:t>
      </w:r>
    </w:p>
    <w:p w14:paraId="32E85D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Истребителей - 4</w:t>
      </w:r>
    </w:p>
    <w:p w14:paraId="175D6F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Бомбардировщиков - I</w:t>
      </w:r>
    </w:p>
    <w:p w14:paraId="767D76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w:t>
      </w:r>
    </w:p>
    <w:p w14:paraId="463D65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Должны быть закончены постройкой, начатые в 1929:</w:t>
      </w:r>
    </w:p>
    <w:p w14:paraId="3C5D0D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Истребителей - 3</w:t>
      </w:r>
    </w:p>
    <w:p w14:paraId="58D563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Бомбардировщиков - I</w:t>
      </w:r>
    </w:p>
    <w:p w14:paraId="0D4896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Продолжаются работы по самолетам, начатые в 1929:</w:t>
      </w:r>
    </w:p>
    <w:p w14:paraId="34B01E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Истребитель - I</w:t>
      </w:r>
    </w:p>
    <w:p w14:paraId="637CAE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Начинается проектирование и постройка:</w:t>
      </w:r>
    </w:p>
    <w:p w14:paraId="414750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Истребителей - I</w:t>
      </w:r>
    </w:p>
    <w:p w14:paraId="67E793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Разведчиков - 4</w:t>
      </w:r>
    </w:p>
    <w:p w14:paraId="3A03B9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Специальных - 2</w:t>
      </w:r>
    </w:p>
    <w:p w14:paraId="3BE572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Бомбардиронциков</w:t>
      </w:r>
      <w:proofErr w:type="spellEnd"/>
      <w:r w:rsidRPr="00A259BD">
        <w:rPr>
          <w:rFonts w:ascii="Times New Roman" w:hAnsi="Times New Roman"/>
          <w:color w:val="000000" w:themeColor="text1"/>
          <w:sz w:val="16"/>
          <w:szCs w:val="16"/>
        </w:rPr>
        <w:t xml:space="preserve"> - 2</w:t>
      </w:r>
    </w:p>
    <w:p w14:paraId="6C69A4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w:t>
      </w:r>
    </w:p>
    <w:p w14:paraId="2BE360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Должны быть закончены постройкой и испытаны:</w:t>
      </w:r>
    </w:p>
    <w:p w14:paraId="4CFFB1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Начатый в 1929г. - истребитель - I</w:t>
      </w:r>
    </w:p>
    <w:p w14:paraId="085B65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1930 г. - истребитель - 2</w:t>
      </w:r>
    </w:p>
    <w:p w14:paraId="35646E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разведчиков - 4</w:t>
      </w:r>
    </w:p>
    <w:p w14:paraId="68E2C6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специальных - 2</w:t>
      </w:r>
    </w:p>
    <w:p w14:paraId="5EF191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Продолжаются работы по постройке начатые в 1931</w:t>
      </w:r>
    </w:p>
    <w:p w14:paraId="745DF1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бомбардировщиков - 2</w:t>
      </w:r>
    </w:p>
    <w:p w14:paraId="5306D6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Начинается </w:t>
      </w:r>
      <w:proofErr w:type="spellStart"/>
      <w:r w:rsidRPr="00A259BD">
        <w:rPr>
          <w:rFonts w:ascii="Times New Roman" w:hAnsi="Times New Roman"/>
          <w:color w:val="000000" w:themeColor="text1"/>
          <w:sz w:val="16"/>
          <w:szCs w:val="16"/>
        </w:rPr>
        <w:t>проектипование</w:t>
      </w:r>
      <w:proofErr w:type="spellEnd"/>
      <w:r w:rsidRPr="00A259BD">
        <w:rPr>
          <w:rFonts w:ascii="Times New Roman" w:hAnsi="Times New Roman"/>
          <w:color w:val="000000" w:themeColor="text1"/>
          <w:sz w:val="16"/>
          <w:szCs w:val="16"/>
        </w:rPr>
        <w:t xml:space="preserve"> и постройка:</w:t>
      </w:r>
    </w:p>
    <w:p w14:paraId="48720B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истребителей - 2</w:t>
      </w:r>
    </w:p>
    <w:p w14:paraId="5A1F41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разведчиков - 2</w:t>
      </w:r>
    </w:p>
    <w:p w14:paraId="7C17F9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ED783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Специальных - I</w:t>
      </w:r>
    </w:p>
    <w:p w14:paraId="6CCFE3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Продолжается постройка, начатая</w:t>
      </w:r>
    </w:p>
    <w:p w14:paraId="7E6917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Истребитель - I</w:t>
      </w:r>
    </w:p>
    <w:p w14:paraId="20C8BF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Разведчиков - 2</w:t>
      </w:r>
    </w:p>
    <w:p w14:paraId="5066DB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Начинается проектирование и постройка:</w:t>
      </w:r>
    </w:p>
    <w:p w14:paraId="150A32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Истребителей -4</w:t>
      </w:r>
    </w:p>
    <w:p w14:paraId="432F88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Разведчиков - 1</w:t>
      </w:r>
    </w:p>
    <w:p w14:paraId="119B07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Бомбардировщиков I</w:t>
      </w:r>
    </w:p>
    <w:p w14:paraId="03870A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Специальных - 1</w:t>
      </w:r>
    </w:p>
    <w:p w14:paraId="6EB377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1933 г. I. Должны быть закончены:</w:t>
      </w:r>
    </w:p>
    <w:p w14:paraId="76080B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Начатые в 1931 г.:</w:t>
      </w:r>
    </w:p>
    <w:p w14:paraId="2DB99B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истребитель - I</w:t>
      </w:r>
    </w:p>
    <w:p w14:paraId="44A0A9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разведчиков - 2</w:t>
      </w:r>
    </w:p>
    <w:p w14:paraId="629151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Начатые в 1932 г.</w:t>
      </w:r>
    </w:p>
    <w:p w14:paraId="7BDE78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истребителей - 2</w:t>
      </w:r>
    </w:p>
    <w:p w14:paraId="20CEE7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разведчиков - I</w:t>
      </w:r>
    </w:p>
    <w:p w14:paraId="3C9830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специальных - I</w:t>
      </w:r>
    </w:p>
    <w:p w14:paraId="3581D1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Проводятся работы по постройке начатые в 1932 г.</w:t>
      </w:r>
    </w:p>
    <w:p w14:paraId="505447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Истребителей - 2</w:t>
      </w:r>
    </w:p>
    <w:p w14:paraId="4C5A6C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Бомбардировщиков - I </w:t>
      </w:r>
    </w:p>
    <w:p w14:paraId="43FBC8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самолетов сухопутных будет построено - 34</w:t>
      </w:r>
    </w:p>
    <w:p w14:paraId="2D5285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Морские самолеты.</w:t>
      </w:r>
    </w:p>
    <w:p w14:paraId="51E438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w:t>
      </w:r>
    </w:p>
    <w:p w14:paraId="3B4FF3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Должны быть закончены постройкой и испытаны опытные самолеты: один тяжелый , один базовый и один учебный.</w:t>
      </w:r>
    </w:p>
    <w:p w14:paraId="052D26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Строятся и будут частично приняты закупленные по </w:t>
      </w:r>
      <w:proofErr w:type="spellStart"/>
      <w:r w:rsidRPr="00A259BD">
        <w:rPr>
          <w:rFonts w:ascii="Times New Roman" w:hAnsi="Times New Roman"/>
          <w:color w:val="000000" w:themeColor="text1"/>
          <w:sz w:val="16"/>
          <w:szCs w:val="16"/>
        </w:rPr>
        <w:t>линензии</w:t>
      </w:r>
      <w:proofErr w:type="spellEnd"/>
      <w:r w:rsidRPr="00A259BD">
        <w:rPr>
          <w:rFonts w:ascii="Times New Roman" w:hAnsi="Times New Roman"/>
          <w:color w:val="000000" w:themeColor="text1"/>
          <w:sz w:val="16"/>
          <w:szCs w:val="16"/>
        </w:rPr>
        <w:t xml:space="preserve"> 6 </w:t>
      </w:r>
      <w:proofErr w:type="spellStart"/>
      <w:r w:rsidRPr="00A259BD">
        <w:rPr>
          <w:rFonts w:ascii="Times New Roman" w:hAnsi="Times New Roman"/>
          <w:color w:val="000000" w:themeColor="text1"/>
          <w:sz w:val="16"/>
          <w:szCs w:val="16"/>
        </w:rPr>
        <w:t>спепиальных</w:t>
      </w:r>
      <w:proofErr w:type="spellEnd"/>
      <w:r w:rsidRPr="00A259BD">
        <w:rPr>
          <w:rFonts w:ascii="Times New Roman" w:hAnsi="Times New Roman"/>
          <w:color w:val="000000" w:themeColor="text1"/>
          <w:sz w:val="16"/>
          <w:szCs w:val="16"/>
        </w:rPr>
        <w:t xml:space="preserve"> самолетов /катапультных/ и катапульта.</w:t>
      </w:r>
    </w:p>
    <w:p w14:paraId="303272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В постройке и разработке будут следующие опытные самолеты : один базовый самолет , один тяжелый и один экспериментальный.</w:t>
      </w:r>
    </w:p>
    <w:p w14:paraId="1A5017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w:t>
      </w:r>
    </w:p>
    <w:p w14:paraId="0DA085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Должны быть закончены и испытаны опытные самолеты разных типов, начатые в 1929 г. и дин базовый, один тяжелый и один экспериментальный.</w:t>
      </w:r>
    </w:p>
    <w:p w14:paraId="62406A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Приняты все б самолетов и катапульта, заказанные по лицензии в 1929</w:t>
      </w:r>
    </w:p>
    <w:p w14:paraId="5C3781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Приступлено к проектированию и постройке 5-ти типов опытных самолетов : учебного самолета, тяжелого дальнего </w:t>
      </w:r>
      <w:proofErr w:type="spellStart"/>
      <w:r w:rsidRPr="00A259BD">
        <w:rPr>
          <w:rFonts w:ascii="Times New Roman" w:hAnsi="Times New Roman"/>
          <w:color w:val="000000" w:themeColor="text1"/>
          <w:sz w:val="16"/>
          <w:szCs w:val="16"/>
        </w:rPr>
        <w:t>дейстния</w:t>
      </w:r>
      <w:proofErr w:type="spellEnd"/>
      <w:r w:rsidRPr="00A259BD">
        <w:rPr>
          <w:rFonts w:ascii="Times New Roman" w:hAnsi="Times New Roman"/>
          <w:color w:val="000000" w:themeColor="text1"/>
          <w:sz w:val="16"/>
          <w:szCs w:val="16"/>
        </w:rPr>
        <w:t>, двух тяжелых и базового.</w:t>
      </w:r>
    </w:p>
    <w:p w14:paraId="587A28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616F95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двух типов...</w:t>
      </w:r>
    </w:p>
    <w:p w14:paraId="10D4BB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тированию</w:t>
      </w:r>
      <w:proofErr w:type="spellEnd"/>
      <w:r w:rsidRPr="00A259BD">
        <w:rPr>
          <w:rFonts w:ascii="Times New Roman" w:hAnsi="Times New Roman"/>
          <w:color w:val="000000" w:themeColor="text1"/>
          <w:sz w:val="16"/>
          <w:szCs w:val="16"/>
        </w:rPr>
        <w:t xml:space="preserve"> поплавковых шасси для двух других типов сухопутных самолетов.</w:t>
      </w:r>
    </w:p>
    <w:p w14:paraId="4C2E53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 г.</w:t>
      </w:r>
    </w:p>
    <w:p w14:paraId="284DAF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Должны быть закончены и испытаны, начатые в 1930 г. 4 опытных самолета: учебный, два тяжелых и базовый и поплавковые шасси для двух сухопутных самолетов.</w:t>
      </w:r>
    </w:p>
    <w:p w14:paraId="4750BC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Будут продолжаться работой по постройке начатого постройкой в 1930 г. тяжелого опытного самолета.</w:t>
      </w:r>
    </w:p>
    <w:p w14:paraId="7F4FC5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Начнется проектирование и постройка одного опытного тяжелого самолета.</w:t>
      </w:r>
    </w:p>
    <w:p w14:paraId="32518C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 г.</w:t>
      </w:r>
    </w:p>
    <w:p w14:paraId="7D83BB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Должны быть закончены и испытаны 2 опытных самолета: тяжелый, начатый в 1931 г. и тяжелый, начатый в 1932 г.</w:t>
      </w:r>
    </w:p>
    <w:p w14:paraId="41C6DC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Начинаются работы по проектированию и постройке следующих пяти </w:t>
      </w:r>
      <w:proofErr w:type="spellStart"/>
      <w:r w:rsidRPr="00A259BD">
        <w:rPr>
          <w:rFonts w:ascii="Times New Roman" w:hAnsi="Times New Roman"/>
          <w:color w:val="000000" w:themeColor="text1"/>
          <w:sz w:val="16"/>
          <w:szCs w:val="16"/>
        </w:rPr>
        <w:t>оптытных</w:t>
      </w:r>
      <w:proofErr w:type="spellEnd"/>
      <w:r w:rsidRPr="00A259BD">
        <w:rPr>
          <w:rFonts w:ascii="Times New Roman" w:hAnsi="Times New Roman"/>
          <w:color w:val="000000" w:themeColor="text1"/>
          <w:sz w:val="16"/>
          <w:szCs w:val="16"/>
        </w:rPr>
        <w:t xml:space="preserve"> самолетов: 2-х тяжелых, 2-х легких специальных /катапультного и амфибии / и тяжелого специального /амфибии/.</w:t>
      </w:r>
    </w:p>
    <w:p w14:paraId="050F21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1933 г.</w:t>
      </w:r>
    </w:p>
    <w:p w14:paraId="309028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Должны быть закончены и испытаны пять опытных </w:t>
      </w:r>
      <w:proofErr w:type="spellStart"/>
      <w:r w:rsidRPr="00A259BD">
        <w:rPr>
          <w:rFonts w:ascii="Times New Roman" w:hAnsi="Times New Roman"/>
          <w:color w:val="000000" w:themeColor="text1"/>
          <w:sz w:val="16"/>
          <w:szCs w:val="16"/>
        </w:rPr>
        <w:t>саммолетов</w:t>
      </w:r>
      <w:proofErr w:type="spellEnd"/>
      <w:r w:rsidRPr="00A259BD">
        <w:rPr>
          <w:rFonts w:ascii="Times New Roman" w:hAnsi="Times New Roman"/>
          <w:color w:val="000000" w:themeColor="text1"/>
          <w:sz w:val="16"/>
          <w:szCs w:val="16"/>
        </w:rPr>
        <w:t>, начатых в 1932 г.: 2 тяжелых, 2 легких специальных /</w:t>
      </w:r>
      <w:proofErr w:type="spellStart"/>
      <w:r w:rsidRPr="00A259BD">
        <w:rPr>
          <w:rFonts w:ascii="Times New Roman" w:hAnsi="Times New Roman"/>
          <w:color w:val="000000" w:themeColor="text1"/>
          <w:sz w:val="16"/>
          <w:szCs w:val="16"/>
        </w:rPr>
        <w:t>каталультный</w:t>
      </w:r>
      <w:proofErr w:type="spellEnd"/>
      <w:r w:rsidRPr="00A259BD">
        <w:rPr>
          <w:rFonts w:ascii="Times New Roman" w:hAnsi="Times New Roman"/>
          <w:color w:val="000000" w:themeColor="text1"/>
          <w:sz w:val="16"/>
          <w:szCs w:val="16"/>
        </w:rPr>
        <w:t xml:space="preserve"> и амфибия / и тяжелый </w:t>
      </w:r>
      <w:proofErr w:type="spellStart"/>
      <w:r w:rsidRPr="00A259BD">
        <w:rPr>
          <w:rFonts w:ascii="Times New Roman" w:hAnsi="Times New Roman"/>
          <w:color w:val="000000" w:themeColor="text1"/>
          <w:sz w:val="16"/>
          <w:szCs w:val="16"/>
        </w:rPr>
        <w:t>спепиальный</w:t>
      </w:r>
      <w:proofErr w:type="spellEnd"/>
      <w:r w:rsidRPr="00A259BD">
        <w:rPr>
          <w:rFonts w:ascii="Times New Roman" w:hAnsi="Times New Roman"/>
          <w:color w:val="000000" w:themeColor="text1"/>
          <w:sz w:val="16"/>
          <w:szCs w:val="16"/>
        </w:rPr>
        <w:t xml:space="preserve"> /амфибия/</w:t>
      </w:r>
    </w:p>
    <w:p w14:paraId="256093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18 типовые самолетов.</w:t>
      </w:r>
    </w:p>
    <w:p w14:paraId="05138F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Моторостроение.</w:t>
      </w:r>
    </w:p>
    <w:p w14:paraId="5A6B20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 работы этого разряда подразделяются на три основных группы:</w:t>
      </w:r>
    </w:p>
    <w:p w14:paraId="5ADC0B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Опытные боевые моторы доля серийного производства</w:t>
      </w:r>
    </w:p>
    <w:p w14:paraId="46C17F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Экспериментальные моторы, строящиеся для проверки новых принципов.</w:t>
      </w:r>
    </w:p>
    <w:p w14:paraId="085472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Моторы для гражданской, учебной и спортивной авиации.</w:t>
      </w:r>
    </w:p>
    <w:p w14:paraId="2AB47B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первой группе опытных моторов, предназначаемых для боевой авиации предложено построить:</w:t>
      </w:r>
    </w:p>
    <w:p w14:paraId="690056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Для истребительных самолетов 6 моторов водяного охлаждения и 10 моторов воздушного охлаждения. К моторам не ставится больших требований в отношении экономичности и длительности работы, но они должны обладать высокой </w:t>
      </w:r>
      <w:proofErr w:type="spellStart"/>
      <w:r w:rsidRPr="00A259BD">
        <w:rPr>
          <w:rFonts w:ascii="Times New Roman" w:hAnsi="Times New Roman"/>
          <w:color w:val="000000" w:themeColor="text1"/>
          <w:sz w:val="16"/>
          <w:szCs w:val="16"/>
        </w:rPr>
        <w:t>мощностъю</w:t>
      </w:r>
      <w:proofErr w:type="spellEnd"/>
      <w:r w:rsidRPr="00A259BD">
        <w:rPr>
          <w:rFonts w:ascii="Times New Roman" w:hAnsi="Times New Roman"/>
          <w:color w:val="000000" w:themeColor="text1"/>
          <w:sz w:val="16"/>
          <w:szCs w:val="16"/>
        </w:rPr>
        <w:t>, должны сохранять эту мощность до большей высоты и обладать возможно малым...</w:t>
      </w:r>
    </w:p>
    <w:p w14:paraId="4CF4F4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Для </w:t>
      </w:r>
      <w:proofErr w:type="spellStart"/>
      <w:r w:rsidRPr="00A259BD">
        <w:rPr>
          <w:rFonts w:ascii="Times New Roman" w:hAnsi="Times New Roman"/>
          <w:color w:val="000000" w:themeColor="text1"/>
          <w:sz w:val="16"/>
          <w:szCs w:val="16"/>
        </w:rPr>
        <w:t>разведывательныхз</w:t>
      </w:r>
      <w:proofErr w:type="spellEnd"/>
      <w:r w:rsidRPr="00A259BD">
        <w:rPr>
          <w:rFonts w:ascii="Times New Roman" w:hAnsi="Times New Roman"/>
          <w:color w:val="000000" w:themeColor="text1"/>
          <w:sz w:val="16"/>
          <w:szCs w:val="16"/>
        </w:rPr>
        <w:t xml:space="preserve"> самолетов 6 моторов водяного охлаждения и 4 мотора воздушного охлаждения.</w:t>
      </w:r>
    </w:p>
    <w:p w14:paraId="6C4541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Эти моторы должны обладать большой экономичностью и большей длительностью срока службы, чем моторы первой группы.</w:t>
      </w:r>
    </w:p>
    <w:p w14:paraId="37E2D4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Для бомбардировщиков и тяжелых самолетов 6 моторов водяного охлаждения, в которых главным требованием является как можно большая мощность в одном аггрегате.</w:t>
      </w:r>
    </w:p>
    <w:p w14:paraId="13ED32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Из числа моторов этой группы должны </w:t>
      </w:r>
      <w:proofErr w:type="spellStart"/>
      <w:r w:rsidRPr="00A259BD">
        <w:rPr>
          <w:rFonts w:ascii="Times New Roman" w:hAnsi="Times New Roman"/>
          <w:color w:val="000000" w:themeColor="text1"/>
          <w:sz w:val="16"/>
          <w:szCs w:val="16"/>
        </w:rPr>
        <w:t>бытъ</w:t>
      </w:r>
      <w:proofErr w:type="spellEnd"/>
      <w:r w:rsidRPr="00A259BD">
        <w:rPr>
          <w:rFonts w:ascii="Times New Roman" w:hAnsi="Times New Roman"/>
          <w:color w:val="000000" w:themeColor="text1"/>
          <w:sz w:val="16"/>
          <w:szCs w:val="16"/>
        </w:rPr>
        <w:t xml:space="preserve"> построены всего 18 моторов водяного охлаждения и 14 моторов воздушного охлаждения, из которых:</w:t>
      </w:r>
    </w:p>
    <w:p w14:paraId="0DA487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1929/30 г. 2 мотора водяного охлаждения </w:t>
      </w:r>
      <w:proofErr w:type="spellStart"/>
      <w:r w:rsidRPr="00A259BD">
        <w:rPr>
          <w:rFonts w:ascii="Times New Roman" w:hAnsi="Times New Roman"/>
          <w:color w:val="000000" w:themeColor="text1"/>
          <w:sz w:val="16"/>
          <w:szCs w:val="16"/>
        </w:rPr>
        <w:t>мошноотьтс</w:t>
      </w:r>
      <w:proofErr w:type="spellEnd"/>
      <w:r w:rsidRPr="00A259BD">
        <w:rPr>
          <w:rFonts w:ascii="Times New Roman" w:hAnsi="Times New Roman"/>
          <w:color w:val="000000" w:themeColor="text1"/>
          <w:sz w:val="16"/>
          <w:szCs w:val="16"/>
        </w:rPr>
        <w:t xml:space="preserve"> в 550 </w:t>
      </w:r>
      <w:proofErr w:type="spellStart"/>
      <w:r w:rsidRPr="00A259BD">
        <w:rPr>
          <w:rFonts w:ascii="Times New Roman" w:hAnsi="Times New Roman"/>
          <w:color w:val="000000" w:themeColor="text1"/>
          <w:sz w:val="16"/>
          <w:szCs w:val="16"/>
        </w:rPr>
        <w:t>нр</w:t>
      </w:r>
      <w:proofErr w:type="spellEnd"/>
    </w:p>
    <w:p w14:paraId="7BF45D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1930/31 г. 4 мотора водяного охлаждения мощностью в 600 и в 700/800 л.с.</w:t>
      </w:r>
    </w:p>
    <w:p w14:paraId="68ABE1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мотора воздушного охлаждения мощностью в 500/600 л.с.</w:t>
      </w:r>
    </w:p>
    <w:p w14:paraId="24F15B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1931/32 г. 8 моторов водяного охлаждения мощностью в .. л.с., 750/900 л.с., 750/1000 л.с. и 1000/1200 л.с.</w:t>
      </w:r>
    </w:p>
    <w:p w14:paraId="5A4EC4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моторов воздушного охлаждения </w:t>
      </w:r>
      <w:proofErr w:type="spellStart"/>
      <w:r w:rsidRPr="00A259BD">
        <w:rPr>
          <w:rFonts w:ascii="Times New Roman" w:hAnsi="Times New Roman"/>
          <w:color w:val="000000" w:themeColor="text1"/>
          <w:sz w:val="16"/>
          <w:szCs w:val="16"/>
        </w:rPr>
        <w:t>можностью</w:t>
      </w:r>
      <w:proofErr w:type="spellEnd"/>
      <w:r w:rsidRPr="00A259BD">
        <w:rPr>
          <w:rFonts w:ascii="Times New Roman" w:hAnsi="Times New Roman"/>
          <w:color w:val="000000" w:themeColor="text1"/>
          <w:sz w:val="16"/>
          <w:szCs w:val="16"/>
        </w:rPr>
        <w:t xml:space="preserve"> .. 550/660 л.с., 700/800 л.с., 500/750 л.с.</w:t>
      </w:r>
    </w:p>
    <w:p w14:paraId="1ACD1F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1932/33 г. 4 мотора водяного охлаждения мощностью 1250 ..л.с. и 2000/2200 л.с.</w:t>
      </w:r>
    </w:p>
    <w:p w14:paraId="4A3D67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моторок воздушного охлаждения, мощностью 600/720 л.с., 750/900 л.с. и 550/900 л.с.</w:t>
      </w:r>
    </w:p>
    <w:p w14:paraId="30C902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второй группе экспериментальных машин предположено построить 6 двигателей для проверки новых принципов работы и новых принципов конструкции авиамоторов и 6 двигателей авиационных, работающих на нефти. Из числа этих машин:</w:t>
      </w:r>
    </w:p>
    <w:p w14:paraId="2A7C8D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1929/30 г. Должна быть закончена и испытана - I</w:t>
      </w:r>
    </w:p>
    <w:p w14:paraId="073AD4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1930/31 г. - 2</w:t>
      </w:r>
    </w:p>
    <w:p w14:paraId="770684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1931/32 г. - 4</w:t>
      </w:r>
    </w:p>
    <w:p w14:paraId="502263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1932/33 г. - 4</w:t>
      </w:r>
    </w:p>
    <w:p w14:paraId="524FFF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третьей группе моторов для гражданской авиации предложено построить 12 моторов воздушного охлаждения, из которых:</w:t>
      </w:r>
    </w:p>
    <w:p w14:paraId="61F7FE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1929/30 г. 2 двигателя</w:t>
      </w:r>
    </w:p>
    <w:p w14:paraId="01F69B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постройке 23 типа моторов, а т.к. некоторые строятся в 2-х экземплярах, то за 5 лет будет построено 53 экземпляра, </w:t>
      </w:r>
      <w:proofErr w:type="spellStart"/>
      <w:r w:rsidRPr="00A259BD">
        <w:rPr>
          <w:rFonts w:ascii="Times New Roman" w:hAnsi="Times New Roman"/>
          <w:color w:val="000000" w:themeColor="text1"/>
          <w:sz w:val="16"/>
          <w:szCs w:val="16"/>
        </w:rPr>
        <w:t>ко_торые</w:t>
      </w:r>
      <w:proofErr w:type="spellEnd"/>
      <w:r w:rsidRPr="00A259BD">
        <w:rPr>
          <w:rFonts w:ascii="Times New Roman" w:hAnsi="Times New Roman"/>
          <w:color w:val="000000" w:themeColor="text1"/>
          <w:sz w:val="16"/>
          <w:szCs w:val="16"/>
        </w:rPr>
        <w:t xml:space="preserve"> распределяются по годам следующим образом:</w:t>
      </w:r>
    </w:p>
    <w:p w14:paraId="6CBCEF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/30 г. - 5 моторов.</w:t>
      </w:r>
    </w:p>
    <w:p w14:paraId="273C68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1930/31 г. - 16 моторов .</w:t>
      </w:r>
    </w:p>
    <w:p w14:paraId="537847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1931 /32 г. - 18 моторов</w:t>
      </w:r>
    </w:p>
    <w:p w14:paraId="486C1F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1932/33 г. - 14 моторов.</w:t>
      </w:r>
    </w:p>
    <w:p w14:paraId="76FE41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стоимость опытного строительства по моторам включены также расходы необходимых экспериментальных работ, на испытание </w:t>
      </w:r>
      <w:proofErr w:type="spellStart"/>
      <w:r w:rsidRPr="00A259BD">
        <w:rPr>
          <w:rFonts w:ascii="Times New Roman" w:hAnsi="Times New Roman"/>
          <w:color w:val="000000" w:themeColor="text1"/>
          <w:sz w:val="16"/>
          <w:szCs w:val="16"/>
        </w:rPr>
        <w:t>двигаттелей</w:t>
      </w:r>
      <w:proofErr w:type="spellEnd"/>
      <w:r w:rsidRPr="00A259BD">
        <w:rPr>
          <w:rFonts w:ascii="Times New Roman" w:hAnsi="Times New Roman"/>
          <w:color w:val="000000" w:themeColor="text1"/>
          <w:sz w:val="16"/>
          <w:szCs w:val="16"/>
        </w:rPr>
        <w:t xml:space="preserve"> и машин на станках, в высотной камере и на специальных установках.</w:t>
      </w:r>
    </w:p>
    <w:p w14:paraId="131B59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Вооружение и оборудование самолетов</w:t>
      </w:r>
    </w:p>
    <w:p w14:paraId="1B39BE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Пятилетним планом опытного строительства по вооружению и </w:t>
      </w:r>
      <w:proofErr w:type="spellStart"/>
      <w:r w:rsidRPr="00A259BD">
        <w:rPr>
          <w:rFonts w:ascii="Times New Roman" w:hAnsi="Times New Roman"/>
          <w:color w:val="000000" w:themeColor="text1"/>
          <w:sz w:val="16"/>
          <w:szCs w:val="16"/>
        </w:rPr>
        <w:t>спецмальным</w:t>
      </w:r>
      <w:proofErr w:type="spellEnd"/>
      <w:r w:rsidRPr="00A259BD">
        <w:rPr>
          <w:rFonts w:ascii="Times New Roman" w:hAnsi="Times New Roman"/>
          <w:color w:val="000000" w:themeColor="text1"/>
          <w:sz w:val="16"/>
          <w:szCs w:val="16"/>
        </w:rPr>
        <w:t xml:space="preserve"> службам предусматривается постройка следующих образцов:</w:t>
      </w:r>
    </w:p>
    <w:p w14:paraId="115532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 По стрелковому </w:t>
      </w:r>
      <w:proofErr w:type="spellStart"/>
      <w:r w:rsidRPr="00A259BD">
        <w:rPr>
          <w:rFonts w:ascii="Times New Roman" w:hAnsi="Times New Roman"/>
          <w:color w:val="000000" w:themeColor="text1"/>
          <w:sz w:val="16"/>
          <w:szCs w:val="16"/>
        </w:rPr>
        <w:t>зоорузеник</w:t>
      </w:r>
      <w:proofErr w:type="spellEnd"/>
      <w:r w:rsidRPr="00A259BD">
        <w:rPr>
          <w:rFonts w:ascii="Times New Roman" w:hAnsi="Times New Roman"/>
          <w:color w:val="000000" w:themeColor="text1"/>
          <w:sz w:val="16"/>
          <w:szCs w:val="16"/>
        </w:rPr>
        <w:t xml:space="preserve"> самолетов.</w:t>
      </w:r>
    </w:p>
    <w:p w14:paraId="0C7FBD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типов х/ </w:t>
      </w:r>
      <w:proofErr w:type="spellStart"/>
      <w:r w:rsidRPr="00A259BD">
        <w:rPr>
          <w:rFonts w:ascii="Times New Roman" w:hAnsi="Times New Roman"/>
          <w:color w:val="000000" w:themeColor="text1"/>
          <w:sz w:val="16"/>
          <w:szCs w:val="16"/>
        </w:rPr>
        <w:t>самолетнкх</w:t>
      </w:r>
      <w:proofErr w:type="spellEnd"/>
      <w:r w:rsidRPr="00A259BD">
        <w:rPr>
          <w:rFonts w:ascii="Times New Roman" w:hAnsi="Times New Roman"/>
          <w:color w:val="000000" w:themeColor="text1"/>
          <w:sz w:val="16"/>
          <w:szCs w:val="16"/>
        </w:rPr>
        <w:t xml:space="preserve"> пушек со снарядами к ним.</w:t>
      </w:r>
    </w:p>
    <w:p w14:paraId="1BA354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типа х/ крупнокалиберных пулеметов со специальными патронов к ним</w:t>
      </w:r>
    </w:p>
    <w:p w14:paraId="63EC7E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типов х/ скорострельных пулеметов.</w:t>
      </w:r>
    </w:p>
    <w:p w14:paraId="02C188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образец прицелов для стрельбы из пулеметов кал.7,62 и 12,7 и самолетных пушек.</w:t>
      </w:r>
    </w:p>
    <w:p w14:paraId="55ABE1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По бронированию самолетов.</w:t>
      </w:r>
    </w:p>
    <w:p w14:paraId="3E0217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6 образцов броней и двух опытных бронирований отдельных частей самолета.</w:t>
      </w:r>
    </w:p>
    <w:p w14:paraId="714659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По бомбардировочному и торпедному вооружение самолетов,</w:t>
      </w:r>
    </w:p>
    <w:p w14:paraId="32DE5E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56 </w:t>
      </w:r>
      <w:proofErr w:type="spellStart"/>
      <w:r w:rsidRPr="00A259BD">
        <w:rPr>
          <w:rFonts w:ascii="Times New Roman" w:hAnsi="Times New Roman"/>
          <w:color w:val="000000" w:themeColor="text1"/>
          <w:sz w:val="16"/>
          <w:szCs w:val="16"/>
        </w:rPr>
        <w:t>аэробомб</w:t>
      </w:r>
      <w:proofErr w:type="spellEnd"/>
      <w:r w:rsidRPr="00A259BD">
        <w:rPr>
          <w:rFonts w:ascii="Times New Roman" w:hAnsi="Times New Roman"/>
          <w:color w:val="000000" w:themeColor="text1"/>
          <w:sz w:val="16"/>
          <w:szCs w:val="16"/>
        </w:rPr>
        <w:t xml:space="preserve"> разного назначений /фугасных, осколочных, </w:t>
      </w:r>
      <w:proofErr w:type="spellStart"/>
      <w:r w:rsidRPr="00A259BD">
        <w:rPr>
          <w:rFonts w:ascii="Times New Roman" w:hAnsi="Times New Roman"/>
          <w:color w:val="000000" w:themeColor="text1"/>
          <w:sz w:val="16"/>
          <w:szCs w:val="16"/>
        </w:rPr>
        <w:t>хими_ческих</w:t>
      </w:r>
      <w:proofErr w:type="spellEnd"/>
      <w:r w:rsidRPr="00A259BD">
        <w:rPr>
          <w:rFonts w:ascii="Times New Roman" w:hAnsi="Times New Roman"/>
          <w:color w:val="000000" w:themeColor="text1"/>
          <w:sz w:val="16"/>
          <w:szCs w:val="16"/>
        </w:rPr>
        <w:t xml:space="preserve">, дымовых, зажигательных, светящих, аэронавигационных, пристрелочных, практических, для сбрасывания </w:t>
      </w:r>
      <w:proofErr w:type="spellStart"/>
      <w:r w:rsidRPr="00A259BD">
        <w:rPr>
          <w:rFonts w:ascii="Times New Roman" w:hAnsi="Times New Roman"/>
          <w:color w:val="000000" w:themeColor="text1"/>
          <w:sz w:val="16"/>
          <w:szCs w:val="16"/>
        </w:rPr>
        <w:t>литерату</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ры</w:t>
      </w:r>
      <w:proofErr w:type="spellEnd"/>
      <w:r w:rsidRPr="00A259BD">
        <w:rPr>
          <w:rFonts w:ascii="Times New Roman" w:hAnsi="Times New Roman"/>
          <w:color w:val="000000" w:themeColor="text1"/>
          <w:sz w:val="16"/>
          <w:szCs w:val="16"/>
        </w:rPr>
        <w:t xml:space="preserve"> и др./.</w:t>
      </w:r>
    </w:p>
    <w:p w14:paraId="17E23D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5D52DC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образцов прицелов для бомбардирования для штурмовиков, легких и тяжелых бомбардировщиков.</w:t>
      </w:r>
    </w:p>
    <w:p w14:paraId="4EE197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образца приборов для автоматического вождения самолета при бомбардировании.</w:t>
      </w:r>
    </w:p>
    <w:p w14:paraId="3F6FA0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образца торпед для низкого торпедометания</w:t>
      </w:r>
    </w:p>
    <w:p w14:paraId="386010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образца мин заграждения.</w:t>
      </w:r>
    </w:p>
    <w:p w14:paraId="585A3D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образцов прицелов для торпедометания.</w:t>
      </w:r>
    </w:p>
    <w:p w14:paraId="18E53B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По химической службе ВВС .</w:t>
      </w:r>
    </w:p>
    <w:p w14:paraId="2D2FED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образцов дымообразующих приборов.</w:t>
      </w:r>
    </w:p>
    <w:p w14:paraId="22C7D4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образцов приборов для свободного вливания ОВ,</w:t>
      </w:r>
    </w:p>
    <w:p w14:paraId="6733C5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образца разливочных станций для приборов ВАП</w:t>
      </w:r>
    </w:p>
    <w:p w14:paraId="48212A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образца противогазовых самолетных масок и шлемов.</w:t>
      </w:r>
    </w:p>
    <w:p w14:paraId="3B6DAB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образца противогазовых летних костюмов.</w:t>
      </w:r>
    </w:p>
    <w:p w14:paraId="796293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По новым средствам </w:t>
      </w:r>
      <w:proofErr w:type="spellStart"/>
      <w:r w:rsidRPr="00A259BD">
        <w:rPr>
          <w:rFonts w:ascii="Times New Roman" w:hAnsi="Times New Roman"/>
          <w:color w:val="000000" w:themeColor="text1"/>
          <w:sz w:val="16"/>
          <w:szCs w:val="16"/>
        </w:rPr>
        <w:t>боръбы</w:t>
      </w:r>
      <w:proofErr w:type="spellEnd"/>
      <w:r w:rsidRPr="00A259BD">
        <w:rPr>
          <w:rFonts w:ascii="Times New Roman" w:hAnsi="Times New Roman"/>
          <w:color w:val="000000" w:themeColor="text1"/>
          <w:sz w:val="16"/>
          <w:szCs w:val="16"/>
        </w:rPr>
        <w:t xml:space="preserve"> ВВС с земными объектами.</w:t>
      </w:r>
    </w:p>
    <w:p w14:paraId="55D002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образца планирующей мины,</w:t>
      </w:r>
    </w:p>
    <w:p w14:paraId="27F2E6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образца ротативной мины с парашютами.</w:t>
      </w:r>
    </w:p>
    <w:p w14:paraId="2C8B58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Пиротехнические средства ВВС.</w:t>
      </w:r>
    </w:p>
    <w:p w14:paraId="78E120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образцов сигнальных, осветительных к аварийных средств ВВС дневных и ночных.</w:t>
      </w:r>
    </w:p>
    <w:p w14:paraId="6FAE52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Корректирование артиллерийской стрельбы с самолета.</w:t>
      </w:r>
    </w:p>
    <w:p w14:paraId="0D917C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образцов приборов для корректирования арт. стрельбы по неподвижным и движущимся объектам.</w:t>
      </w:r>
    </w:p>
    <w:p w14:paraId="217362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образца зрительных труб для визуальной разведки.</w:t>
      </w:r>
    </w:p>
    <w:p w14:paraId="629E40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По аэронавигации.</w:t>
      </w:r>
    </w:p>
    <w:p w14:paraId="6C1D2F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образцов аэронавигационных и контрольных приборов,</w:t>
      </w:r>
    </w:p>
    <w:p w14:paraId="36ACEE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образцов походных </w:t>
      </w:r>
      <w:proofErr w:type="spellStart"/>
      <w:r w:rsidRPr="00A259BD">
        <w:rPr>
          <w:rFonts w:ascii="Times New Roman" w:hAnsi="Times New Roman"/>
          <w:color w:val="000000" w:themeColor="text1"/>
          <w:sz w:val="16"/>
          <w:szCs w:val="16"/>
        </w:rPr>
        <w:t>поверительных</w:t>
      </w:r>
      <w:proofErr w:type="spellEnd"/>
      <w:r w:rsidRPr="00A259BD">
        <w:rPr>
          <w:rFonts w:ascii="Times New Roman" w:hAnsi="Times New Roman"/>
          <w:color w:val="000000" w:themeColor="text1"/>
          <w:sz w:val="16"/>
          <w:szCs w:val="16"/>
        </w:rPr>
        <w:t xml:space="preserve"> приборов.</w:t>
      </w:r>
    </w:p>
    <w:p w14:paraId="23456C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По метеорологии.</w:t>
      </w:r>
    </w:p>
    <w:p w14:paraId="3967F9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образцов метеорологических приборов /стандартных образцов/</w:t>
      </w:r>
    </w:p>
    <w:p w14:paraId="64DE61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По фотослужбе.</w:t>
      </w:r>
    </w:p>
    <w:p w14:paraId="424E86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образцов аэрофотоаппаратов с </w:t>
      </w:r>
      <w:proofErr w:type="spellStart"/>
      <w:r w:rsidRPr="00A259BD">
        <w:rPr>
          <w:rFonts w:ascii="Times New Roman" w:hAnsi="Times New Roman"/>
          <w:color w:val="000000" w:themeColor="text1"/>
          <w:sz w:val="16"/>
          <w:szCs w:val="16"/>
        </w:rPr>
        <w:t>об"ективами</w:t>
      </w:r>
      <w:proofErr w:type="spellEnd"/>
      <w:r w:rsidRPr="00A259BD">
        <w:rPr>
          <w:rFonts w:ascii="Times New Roman" w:hAnsi="Times New Roman"/>
          <w:color w:val="000000" w:themeColor="text1"/>
          <w:sz w:val="16"/>
          <w:szCs w:val="16"/>
        </w:rPr>
        <w:t xml:space="preserve"> к ним /аэрофотоаппаратов, фотопулеметы и камеры специального назначения/</w:t>
      </w:r>
    </w:p>
    <w:p w14:paraId="599615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образцов </w:t>
      </w:r>
      <w:proofErr w:type="spellStart"/>
      <w:r w:rsidRPr="00A259BD">
        <w:rPr>
          <w:rFonts w:ascii="Times New Roman" w:hAnsi="Times New Roman"/>
          <w:color w:val="000000" w:themeColor="text1"/>
          <w:sz w:val="16"/>
          <w:szCs w:val="16"/>
        </w:rPr>
        <w:t>аэрофотоустановок</w:t>
      </w:r>
      <w:proofErr w:type="spellEnd"/>
      <w:r w:rsidRPr="00A259BD">
        <w:rPr>
          <w:rFonts w:ascii="Times New Roman" w:hAnsi="Times New Roman"/>
          <w:color w:val="000000" w:themeColor="text1"/>
          <w:sz w:val="16"/>
          <w:szCs w:val="16"/>
        </w:rPr>
        <w:t>.</w:t>
      </w:r>
    </w:p>
    <w:p w14:paraId="6DB659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образцов </w:t>
      </w:r>
      <w:proofErr w:type="spellStart"/>
      <w:r w:rsidRPr="00A259BD">
        <w:rPr>
          <w:rFonts w:ascii="Times New Roman" w:hAnsi="Times New Roman"/>
          <w:color w:val="000000" w:themeColor="text1"/>
          <w:sz w:val="16"/>
          <w:szCs w:val="16"/>
        </w:rPr>
        <w:t>походних</w:t>
      </w:r>
      <w:proofErr w:type="spellEnd"/>
      <w:r w:rsidRPr="00A259BD">
        <w:rPr>
          <w:rFonts w:ascii="Times New Roman" w:hAnsi="Times New Roman"/>
          <w:color w:val="000000" w:themeColor="text1"/>
          <w:sz w:val="16"/>
          <w:szCs w:val="16"/>
        </w:rPr>
        <w:t xml:space="preserve"> фотолабораторий.</w:t>
      </w:r>
    </w:p>
    <w:p w14:paraId="0789DA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образцов предметов оборудования фотолабораторий.</w:t>
      </w:r>
    </w:p>
    <w:p w14:paraId="4E9688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По радиоделу.</w:t>
      </w:r>
    </w:p>
    <w:p w14:paraId="7FFD4B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образцов приемно-передающих радиостанций по разным линиям связи.</w:t>
      </w:r>
    </w:p>
    <w:p w14:paraId="33401E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образцов приемников специального назначения.</w:t>
      </w:r>
    </w:p>
    <w:p w14:paraId="3DEC47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образца передающих станций.</w:t>
      </w:r>
    </w:p>
    <w:p w14:paraId="2C7AC7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образца динамомашины</w:t>
      </w:r>
    </w:p>
    <w:p w14:paraId="7D4457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образца аварийных самолетных раций.</w:t>
      </w:r>
    </w:p>
    <w:p w14:paraId="41F03A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образцов отдельных частей рации.</w:t>
      </w:r>
    </w:p>
    <w:p w14:paraId="37F7DC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образца прибора для управления самолетом по радио.</w:t>
      </w:r>
    </w:p>
    <w:p w14:paraId="3ACF40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По службе электротехники и светотехники</w:t>
      </w:r>
    </w:p>
    <w:p w14:paraId="3BF882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образцов прожекторных установок для освещения места посадки</w:t>
      </w:r>
    </w:p>
    <w:p w14:paraId="47B734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образцов вспомогательного оборудования аэродромов.</w:t>
      </w:r>
    </w:p>
    <w:p w14:paraId="5A6F65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образца маяка.</w:t>
      </w:r>
    </w:p>
    <w:p w14:paraId="7E8EBD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образцов комплектов электрооборудования самолетов для ночных полетов.</w:t>
      </w:r>
    </w:p>
    <w:p w14:paraId="45133D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Вспомогательные оборудование самолетов.</w:t>
      </w:r>
    </w:p>
    <w:p w14:paraId="0E2F33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образцов парашютов.</w:t>
      </w:r>
    </w:p>
    <w:p w14:paraId="43DF7C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образца приборов связи на самолете.</w:t>
      </w:r>
    </w:p>
    <w:p w14:paraId="6FC27F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образца кислородных приборов.</w:t>
      </w:r>
    </w:p>
    <w:p w14:paraId="13A1A3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образца огнетушителей</w:t>
      </w:r>
    </w:p>
    <w:p w14:paraId="3B1584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образца </w:t>
      </w:r>
      <w:proofErr w:type="spellStart"/>
      <w:r w:rsidRPr="00A259BD">
        <w:rPr>
          <w:rFonts w:ascii="Times New Roman" w:hAnsi="Times New Roman"/>
          <w:color w:val="000000" w:themeColor="text1"/>
          <w:sz w:val="16"/>
          <w:szCs w:val="16"/>
        </w:rPr>
        <w:t>непротекающих</w:t>
      </w:r>
      <w:proofErr w:type="spellEnd"/>
      <w:r w:rsidRPr="00A259BD">
        <w:rPr>
          <w:rFonts w:ascii="Times New Roman" w:hAnsi="Times New Roman"/>
          <w:color w:val="000000" w:themeColor="text1"/>
          <w:sz w:val="16"/>
          <w:szCs w:val="16"/>
        </w:rPr>
        <w:t xml:space="preserve"> баков.</w:t>
      </w:r>
    </w:p>
    <w:p w14:paraId="43844A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Приборы для обучения стрельбе и бомбардированию</w:t>
      </w:r>
    </w:p>
    <w:p w14:paraId="453321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образцов приборов для обучения стрельбе и бомбардировав: 8 образцов воздушных мишеней .</w:t>
      </w:r>
    </w:p>
    <w:p w14:paraId="55906F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Стрелковое .бомбардировочное и торпедное вооружение самолетов.</w:t>
      </w:r>
    </w:p>
    <w:p w14:paraId="2116DD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образцов специальных пулеметных установок, синхронизаторов, турелей для разных образцов </w:t>
      </w:r>
      <w:proofErr w:type="spellStart"/>
      <w:r w:rsidRPr="00A259BD">
        <w:rPr>
          <w:rFonts w:ascii="Times New Roman" w:hAnsi="Times New Roman"/>
          <w:color w:val="000000" w:themeColor="text1"/>
          <w:sz w:val="16"/>
          <w:szCs w:val="16"/>
        </w:rPr>
        <w:t>оржия</w:t>
      </w:r>
      <w:proofErr w:type="spellEnd"/>
      <w:r w:rsidRPr="00A259BD">
        <w:rPr>
          <w:rFonts w:ascii="Times New Roman" w:hAnsi="Times New Roman"/>
          <w:color w:val="000000" w:themeColor="text1"/>
          <w:sz w:val="16"/>
          <w:szCs w:val="16"/>
        </w:rPr>
        <w:t xml:space="preserve"> и самолетов.</w:t>
      </w:r>
    </w:p>
    <w:p w14:paraId="053DA2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288222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образцов торпедосбрасывателей</w:t>
      </w:r>
    </w:p>
    <w:p w14:paraId="2383EF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образцов предметов вспомогательного бомбардировочного аэродромного оборудования</w:t>
      </w:r>
    </w:p>
    <w:p w14:paraId="179009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Приспособление образцов вооружения к самолетам, состоящим на вооружении ВВС и предусмотренных пятилетним планом опытного </w:t>
      </w:r>
      <w:proofErr w:type="spellStart"/>
      <w:r w:rsidRPr="00A259BD">
        <w:rPr>
          <w:rFonts w:ascii="Times New Roman" w:hAnsi="Times New Roman"/>
          <w:color w:val="000000" w:themeColor="text1"/>
          <w:sz w:val="16"/>
          <w:szCs w:val="16"/>
        </w:rPr>
        <w:t>сотроительства</w:t>
      </w:r>
      <w:proofErr w:type="spellEnd"/>
      <w:r w:rsidRPr="00A259BD">
        <w:rPr>
          <w:rFonts w:ascii="Times New Roman" w:hAnsi="Times New Roman"/>
          <w:color w:val="000000" w:themeColor="text1"/>
          <w:sz w:val="16"/>
          <w:szCs w:val="16"/>
        </w:rPr>
        <w:t>.</w:t>
      </w:r>
    </w:p>
    <w:p w14:paraId="0BD24B5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Этой группой работ предусматривается 129 приспособлений /разработок установок/.</w:t>
      </w:r>
    </w:p>
    <w:p w14:paraId="1DA1EF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Кроме разработки вышеперечисленных образцов по всем отделам вооружения и специальных служб, </w:t>
      </w:r>
      <w:proofErr w:type="spellStart"/>
      <w:r w:rsidRPr="00A259BD">
        <w:rPr>
          <w:rFonts w:ascii="Times New Roman" w:hAnsi="Times New Roman"/>
          <w:color w:val="000000" w:themeColor="text1"/>
          <w:sz w:val="16"/>
          <w:szCs w:val="16"/>
        </w:rPr>
        <w:t>намечепн</w:t>
      </w:r>
      <w:proofErr w:type="spellEnd"/>
      <w:r w:rsidRPr="00A259BD">
        <w:rPr>
          <w:rFonts w:ascii="Times New Roman" w:hAnsi="Times New Roman"/>
          <w:color w:val="000000" w:themeColor="text1"/>
          <w:sz w:val="16"/>
          <w:szCs w:val="16"/>
        </w:rPr>
        <w:t xml:space="preserve"> соответствующие научно-иссле</w:t>
      </w:r>
      <w:r w:rsidRPr="00A259BD">
        <w:rPr>
          <w:rFonts w:ascii="Times New Roman" w:hAnsi="Times New Roman"/>
          <w:color w:val="000000" w:themeColor="text1"/>
          <w:sz w:val="16"/>
          <w:szCs w:val="16"/>
        </w:rPr>
        <w:softHyphen/>
        <w:t xml:space="preserve">довательские работы и оставлен 20% запас кредитов и маневренного времени на улучшение существующей материальной части и для выполнения работ, не охваченных пятилетним </w:t>
      </w:r>
      <w:proofErr w:type="spellStart"/>
      <w:r w:rsidRPr="00A259BD">
        <w:rPr>
          <w:rFonts w:ascii="Times New Roman" w:hAnsi="Times New Roman"/>
          <w:color w:val="000000" w:themeColor="text1"/>
          <w:sz w:val="16"/>
          <w:szCs w:val="16"/>
        </w:rPr>
        <w:t>пльном</w:t>
      </w:r>
      <w:proofErr w:type="spellEnd"/>
      <w:r w:rsidRPr="00A259BD">
        <w:rPr>
          <w:rFonts w:ascii="Times New Roman" w:hAnsi="Times New Roman"/>
          <w:color w:val="000000" w:themeColor="text1"/>
          <w:sz w:val="16"/>
          <w:szCs w:val="16"/>
        </w:rPr>
        <w:t>.</w:t>
      </w:r>
    </w:p>
    <w:p w14:paraId="685AA0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Материаловедение и стандартизация.</w:t>
      </w:r>
    </w:p>
    <w:p w14:paraId="77B9FB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На ближайшие пять лет по плану надлежит выполнить следующие работы:</w:t>
      </w:r>
    </w:p>
    <w:p w14:paraId="3501416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По стандартизации</w:t>
      </w:r>
    </w:p>
    <w:p w14:paraId="0C36014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По авиационным материалам</w:t>
      </w:r>
    </w:p>
    <w:p w14:paraId="0EDBCED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По </w:t>
      </w:r>
      <w:proofErr w:type="spellStart"/>
      <w:r w:rsidRPr="00A259BD">
        <w:rPr>
          <w:rFonts w:ascii="Times New Roman" w:hAnsi="Times New Roman"/>
          <w:color w:val="000000" w:themeColor="text1"/>
          <w:sz w:val="16"/>
          <w:szCs w:val="16"/>
        </w:rPr>
        <w:t>суррогатириванию</w:t>
      </w:r>
      <w:proofErr w:type="spellEnd"/>
      <w:r w:rsidRPr="00A259BD">
        <w:rPr>
          <w:rFonts w:ascii="Times New Roman" w:hAnsi="Times New Roman"/>
          <w:color w:val="000000" w:themeColor="text1"/>
          <w:sz w:val="16"/>
          <w:szCs w:val="16"/>
        </w:rPr>
        <w:t>.</w:t>
      </w:r>
    </w:p>
    <w:p w14:paraId="219BFE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По разработке технических условий, требований и номенкла</w:t>
      </w:r>
      <w:r w:rsidRPr="00A259BD">
        <w:rPr>
          <w:rFonts w:ascii="Times New Roman" w:hAnsi="Times New Roman"/>
          <w:color w:val="000000" w:themeColor="text1"/>
          <w:sz w:val="16"/>
          <w:szCs w:val="16"/>
        </w:rPr>
        <w:softHyphen/>
        <w:t>туры по авиатехнике и имуществу.</w:t>
      </w:r>
    </w:p>
    <w:p w14:paraId="788BDF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1923-29 год</w:t>
      </w:r>
    </w:p>
    <w:p w14:paraId="28FFE0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стандартизации .</w:t>
      </w:r>
    </w:p>
    <w:p w14:paraId="7B64E6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w:t>
      </w:r>
      <w:proofErr w:type="spellStart"/>
      <w:r w:rsidRPr="00A259BD">
        <w:rPr>
          <w:rFonts w:ascii="Times New Roman" w:hAnsi="Times New Roman"/>
          <w:color w:val="000000" w:themeColor="text1"/>
          <w:sz w:val="16"/>
          <w:szCs w:val="16"/>
        </w:rPr>
        <w:t>Рязработка</w:t>
      </w:r>
      <w:proofErr w:type="spellEnd"/>
      <w:r w:rsidRPr="00A259BD">
        <w:rPr>
          <w:rFonts w:ascii="Times New Roman" w:hAnsi="Times New Roman"/>
          <w:color w:val="000000" w:themeColor="text1"/>
          <w:sz w:val="16"/>
          <w:szCs w:val="16"/>
        </w:rPr>
        <w:t xml:space="preserve"> и издание единой номенклатура УВВС.</w:t>
      </w:r>
    </w:p>
    <w:p w14:paraId="68DC2C8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Разработка стандартов и технических условий по </w:t>
      </w:r>
      <w:proofErr w:type="spellStart"/>
      <w:r w:rsidRPr="00A259BD">
        <w:rPr>
          <w:rFonts w:ascii="Times New Roman" w:hAnsi="Times New Roman"/>
          <w:color w:val="000000" w:themeColor="text1"/>
          <w:sz w:val="16"/>
          <w:szCs w:val="16"/>
        </w:rPr>
        <w:t>авиаматериалам</w:t>
      </w:r>
      <w:proofErr w:type="spellEnd"/>
      <w:r w:rsidRPr="00A259BD">
        <w:rPr>
          <w:rFonts w:ascii="Times New Roman" w:hAnsi="Times New Roman"/>
          <w:color w:val="000000" w:themeColor="text1"/>
          <w:sz w:val="16"/>
          <w:szCs w:val="16"/>
        </w:rPr>
        <w:t xml:space="preserve">, полуфабрикатам, изделиям самолетов и моторов, а также и отдельный деталям самолетов, как то: </w:t>
      </w:r>
      <w:proofErr w:type="spellStart"/>
      <w:r w:rsidRPr="00A259BD">
        <w:rPr>
          <w:rFonts w:ascii="Times New Roman" w:hAnsi="Times New Roman"/>
          <w:color w:val="000000" w:themeColor="text1"/>
          <w:sz w:val="16"/>
          <w:szCs w:val="16"/>
        </w:rPr>
        <w:t>авиаколеса</w:t>
      </w:r>
      <w:proofErr w:type="spellEnd"/>
      <w:r w:rsidRPr="00A259BD">
        <w:rPr>
          <w:rFonts w:ascii="Times New Roman" w:hAnsi="Times New Roman"/>
          <w:color w:val="000000" w:themeColor="text1"/>
          <w:sz w:val="16"/>
          <w:szCs w:val="16"/>
        </w:rPr>
        <w:t>, профили, трубы, арматура самолета и др.</w:t>
      </w:r>
    </w:p>
    <w:p w14:paraId="61A593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авиационным материалам :</w:t>
      </w:r>
    </w:p>
    <w:p w14:paraId="28261D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Подняты проблемы стального самолетостроения, организации производства легких металлов типа электрон. Поставлен ряд </w:t>
      </w:r>
      <w:proofErr w:type="spellStart"/>
      <w:r w:rsidRPr="00A259BD">
        <w:rPr>
          <w:rFonts w:ascii="Times New Roman" w:hAnsi="Times New Roman"/>
          <w:color w:val="000000" w:themeColor="text1"/>
          <w:sz w:val="16"/>
          <w:szCs w:val="16"/>
        </w:rPr>
        <w:t>научио</w:t>
      </w:r>
      <w:proofErr w:type="spellEnd"/>
      <w:r w:rsidRPr="00A259BD">
        <w:rPr>
          <w:rFonts w:ascii="Times New Roman" w:hAnsi="Times New Roman"/>
          <w:color w:val="000000" w:themeColor="text1"/>
          <w:sz w:val="16"/>
          <w:szCs w:val="16"/>
        </w:rPr>
        <w:t>-исследовательских работ по изучении предохранения металлов от коррозии. Проводится большая робота по изучению покрытий самолетов. Проходится изучение материалов полностью конструкции смешанных металлических самолетов Хейнкель и поступающих аварийных материалов.</w:t>
      </w:r>
    </w:p>
    <w:p w14:paraId="594EB1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указанные работы в общей сложности за 1928/29 г. будет израсходовано, включал научное исследование, изготовление образцов, </w:t>
      </w:r>
      <w:proofErr w:type="spellStart"/>
      <w:r w:rsidRPr="00A259BD">
        <w:rPr>
          <w:rFonts w:ascii="Times New Roman" w:hAnsi="Times New Roman"/>
          <w:color w:val="000000" w:themeColor="text1"/>
          <w:sz w:val="16"/>
          <w:szCs w:val="16"/>
        </w:rPr>
        <w:t>изиос</w:t>
      </w:r>
      <w:proofErr w:type="spellEnd"/>
      <w:r w:rsidRPr="00A259BD">
        <w:rPr>
          <w:rFonts w:ascii="Times New Roman" w:hAnsi="Times New Roman"/>
          <w:color w:val="000000" w:themeColor="text1"/>
          <w:sz w:val="16"/>
          <w:szCs w:val="16"/>
        </w:rPr>
        <w:t xml:space="preserve"> материальной части моторов и самолетов, изготовление образца и издание трудов, приобретение оборудования и другого, всего - 600.000 руб.</w:t>
      </w:r>
    </w:p>
    <w:p w14:paraId="3AF0C27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1929030 г.</w:t>
      </w:r>
    </w:p>
    <w:p w14:paraId="4160963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стандартизации. Предположена разработка следующих стандартов:</w:t>
      </w:r>
    </w:p>
    <w:p w14:paraId="316F66B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управление кабины летчика.</w:t>
      </w:r>
    </w:p>
    <w:p w14:paraId="19C35C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летные и весовые допуска для самолетов.</w:t>
      </w:r>
    </w:p>
    <w:p w14:paraId="76B90B8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аэродромное оборудование.</w:t>
      </w:r>
    </w:p>
    <w:p w14:paraId="33FC29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складское оборудование</w:t>
      </w:r>
    </w:p>
    <w:p w14:paraId="6BC3F2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оборудование мастерских, парков и т.п.</w:t>
      </w:r>
    </w:p>
    <w:p w14:paraId="572C5C2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 дальнейшая разработка стандартизации деталей самолетов и моторов, как то окончание робот по стандартизации </w:t>
      </w:r>
      <w:proofErr w:type="spellStart"/>
      <w:r w:rsidRPr="00A259BD">
        <w:rPr>
          <w:rFonts w:ascii="Times New Roman" w:hAnsi="Times New Roman"/>
          <w:color w:val="000000" w:themeColor="text1"/>
          <w:sz w:val="16"/>
          <w:szCs w:val="16"/>
        </w:rPr>
        <w:t>авиаколес</w:t>
      </w:r>
      <w:proofErr w:type="spellEnd"/>
      <w:r w:rsidRPr="00A259BD">
        <w:rPr>
          <w:rFonts w:ascii="Times New Roman" w:hAnsi="Times New Roman"/>
          <w:color w:val="000000" w:themeColor="text1"/>
          <w:sz w:val="16"/>
          <w:szCs w:val="16"/>
        </w:rPr>
        <w:t xml:space="preserve"> и покрышек /раз</w:t>
      </w:r>
      <w:r w:rsidRPr="00A259BD">
        <w:rPr>
          <w:rFonts w:ascii="Times New Roman" w:hAnsi="Times New Roman"/>
          <w:color w:val="000000" w:themeColor="text1"/>
          <w:sz w:val="16"/>
          <w:szCs w:val="16"/>
        </w:rPr>
        <w:softHyphen/>
        <w:t>работка стандарта лыж, поплавков.</w:t>
      </w:r>
    </w:p>
    <w:p w14:paraId="5BD792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 разработка стандартных </w:t>
      </w:r>
      <w:proofErr w:type="spellStart"/>
      <w:r w:rsidRPr="00A259BD">
        <w:rPr>
          <w:rFonts w:ascii="Times New Roman" w:hAnsi="Times New Roman"/>
          <w:color w:val="000000" w:themeColor="text1"/>
          <w:sz w:val="16"/>
          <w:szCs w:val="16"/>
        </w:rPr>
        <w:t>техническия</w:t>
      </w:r>
      <w:proofErr w:type="spellEnd"/>
      <w:r w:rsidRPr="00A259BD">
        <w:rPr>
          <w:rFonts w:ascii="Times New Roman" w:hAnsi="Times New Roman"/>
          <w:color w:val="000000" w:themeColor="text1"/>
          <w:sz w:val="16"/>
          <w:szCs w:val="16"/>
        </w:rPr>
        <w:t xml:space="preserve"> условий.</w:t>
      </w:r>
    </w:p>
    <w:p w14:paraId="782174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w:t>
      </w:r>
      <w:proofErr w:type="spellStart"/>
      <w:r w:rsidRPr="00A259BD">
        <w:rPr>
          <w:rFonts w:ascii="Times New Roman" w:hAnsi="Times New Roman"/>
          <w:color w:val="000000" w:themeColor="text1"/>
          <w:sz w:val="16"/>
          <w:szCs w:val="16"/>
        </w:rPr>
        <w:t>авиаматериалам</w:t>
      </w:r>
      <w:proofErr w:type="spellEnd"/>
    </w:p>
    <w:p w14:paraId="369039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Центральное место в научно-исследовательских работах займет изучение высокосортных авиационных сталей для стального самолетостроения.</w:t>
      </w:r>
    </w:p>
    <w:p w14:paraId="5606A8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Наряду с этим так же будут развернуты работы по научение электронных сплавов, как с производственной стороны, так и со стороны коррозии и изучения условий </w:t>
      </w:r>
      <w:proofErr w:type="spellStart"/>
      <w:r w:rsidRPr="00A259BD">
        <w:rPr>
          <w:rFonts w:ascii="Times New Roman" w:hAnsi="Times New Roman"/>
          <w:color w:val="000000" w:themeColor="text1"/>
          <w:sz w:val="16"/>
          <w:szCs w:val="16"/>
        </w:rPr>
        <w:t>эксплоатации</w:t>
      </w:r>
      <w:proofErr w:type="spellEnd"/>
      <w:r w:rsidRPr="00A259BD">
        <w:rPr>
          <w:rFonts w:ascii="Times New Roman" w:hAnsi="Times New Roman"/>
          <w:color w:val="000000" w:themeColor="text1"/>
          <w:sz w:val="16"/>
          <w:szCs w:val="16"/>
        </w:rPr>
        <w:t>.</w:t>
      </w:r>
    </w:p>
    <w:p w14:paraId="587DB1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Предполагается организация испытательной станции по изучению коррозии металлических самолетов на Черном море.</w:t>
      </w:r>
    </w:p>
    <w:p w14:paraId="691D80C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Намечено </w:t>
      </w:r>
      <w:proofErr w:type="spellStart"/>
      <w:r w:rsidRPr="00A259BD">
        <w:rPr>
          <w:rFonts w:ascii="Times New Roman" w:hAnsi="Times New Roman"/>
          <w:color w:val="000000" w:themeColor="text1"/>
          <w:sz w:val="16"/>
          <w:szCs w:val="16"/>
        </w:rPr>
        <w:t>изучениз</w:t>
      </w:r>
      <w:proofErr w:type="spellEnd"/>
      <w:r w:rsidRPr="00A259BD">
        <w:rPr>
          <w:rFonts w:ascii="Times New Roman" w:hAnsi="Times New Roman"/>
          <w:color w:val="000000" w:themeColor="text1"/>
          <w:sz w:val="16"/>
          <w:szCs w:val="16"/>
        </w:rPr>
        <w:t xml:space="preserve"> технологических и термических процессов </w:t>
      </w:r>
      <w:proofErr w:type="spellStart"/>
      <w:r w:rsidRPr="00A259BD">
        <w:rPr>
          <w:rFonts w:ascii="Times New Roman" w:hAnsi="Times New Roman"/>
          <w:color w:val="000000" w:themeColor="text1"/>
          <w:sz w:val="16"/>
          <w:szCs w:val="16"/>
        </w:rPr>
        <w:t>авиаматериллов</w:t>
      </w:r>
      <w:proofErr w:type="spellEnd"/>
      <w:r w:rsidRPr="00A259BD">
        <w:rPr>
          <w:rFonts w:ascii="Times New Roman" w:hAnsi="Times New Roman"/>
          <w:color w:val="000000" w:themeColor="text1"/>
          <w:sz w:val="16"/>
          <w:szCs w:val="16"/>
        </w:rPr>
        <w:t>, как-то: сварка, закалка, штамповка, ковка и т.п. как по сталям, так и по легким металлам.</w:t>
      </w:r>
    </w:p>
    <w:p w14:paraId="2BE1C75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0FA9B3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следующие основные работы, а также и окончание предыдущих:</w:t>
      </w:r>
    </w:p>
    <w:p w14:paraId="7C69F6A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стандартизация кабины летчика /окончание/</w:t>
      </w:r>
    </w:p>
    <w:p w14:paraId="0827478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стандартизация кабины наблюдателя, стрелка и т.п.</w:t>
      </w:r>
    </w:p>
    <w:p w14:paraId="65F07D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стандартизация воздухоплавательных приборов и парашютов.</w:t>
      </w:r>
    </w:p>
    <w:p w14:paraId="560123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продолжение работ по стандартизации </w:t>
      </w:r>
      <w:proofErr w:type="spellStart"/>
      <w:r w:rsidRPr="00A259BD">
        <w:rPr>
          <w:rFonts w:ascii="Times New Roman" w:hAnsi="Times New Roman"/>
          <w:color w:val="000000" w:themeColor="text1"/>
          <w:sz w:val="16"/>
          <w:szCs w:val="16"/>
        </w:rPr>
        <w:t>авиалыж</w:t>
      </w:r>
      <w:proofErr w:type="spellEnd"/>
      <w:r w:rsidRPr="00A259BD">
        <w:rPr>
          <w:rFonts w:ascii="Times New Roman" w:hAnsi="Times New Roman"/>
          <w:color w:val="000000" w:themeColor="text1"/>
          <w:sz w:val="16"/>
          <w:szCs w:val="16"/>
        </w:rPr>
        <w:t xml:space="preserve"> и поплавков.</w:t>
      </w:r>
    </w:p>
    <w:p w14:paraId="04AFD1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разработка стандарта на учебные самолеты сухопутные и морские</w:t>
      </w:r>
    </w:p>
    <w:p w14:paraId="680D14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стандартизация аэродромного и полевого оборудования и т.п.</w:t>
      </w:r>
    </w:p>
    <w:p w14:paraId="58E4B7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разработка других второстепенных стандартов по арматуре самолета и мотора и пр.</w:t>
      </w:r>
    </w:p>
    <w:p w14:paraId="595108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w:t>
      </w:r>
      <w:proofErr w:type="spellStart"/>
      <w:r w:rsidRPr="00A259BD">
        <w:rPr>
          <w:rFonts w:ascii="Times New Roman" w:hAnsi="Times New Roman"/>
          <w:color w:val="000000" w:themeColor="text1"/>
          <w:sz w:val="16"/>
          <w:szCs w:val="16"/>
        </w:rPr>
        <w:t>авиаматериалам</w:t>
      </w:r>
      <w:proofErr w:type="spellEnd"/>
    </w:p>
    <w:p w14:paraId="14C9C9A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Проблемы стального и электронного </w:t>
      </w:r>
      <w:proofErr w:type="spellStart"/>
      <w:r w:rsidRPr="00A259BD">
        <w:rPr>
          <w:rFonts w:ascii="Times New Roman" w:hAnsi="Times New Roman"/>
          <w:color w:val="000000" w:themeColor="text1"/>
          <w:sz w:val="16"/>
          <w:szCs w:val="16"/>
        </w:rPr>
        <w:t>ссамолетостроения</w:t>
      </w:r>
      <w:proofErr w:type="spellEnd"/>
      <w:r w:rsidRPr="00A259BD">
        <w:rPr>
          <w:rFonts w:ascii="Times New Roman" w:hAnsi="Times New Roman"/>
          <w:color w:val="000000" w:themeColor="text1"/>
          <w:sz w:val="16"/>
          <w:szCs w:val="16"/>
        </w:rPr>
        <w:t xml:space="preserve"> поднимут целый ряд новых научно-исследовательских тем в связи с внедрением этих материалов в производство.</w:t>
      </w:r>
    </w:p>
    <w:p w14:paraId="1C4ACB7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Предполагается постановка научно-исследовательских работ по изучению производственных процессор данных материалов и создания элементов конструкции, как-то:</w:t>
      </w:r>
    </w:p>
    <w:p w14:paraId="7C6C50F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установление стальных и электронных профилей изделий.</w:t>
      </w:r>
    </w:p>
    <w:p w14:paraId="626C2C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влияние термической обработки на их крепость.</w:t>
      </w:r>
    </w:p>
    <w:p w14:paraId="6AEFC59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коррозии металлов и способы предохранения.</w:t>
      </w:r>
    </w:p>
    <w:p w14:paraId="0B7BA3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развитие и продолжение работ по ковке, штамповке , закалке и т.п. деталей самолетов и моторов.</w:t>
      </w:r>
    </w:p>
    <w:p w14:paraId="2129D22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электросварка, закалка, сопротивление и т.д.</w:t>
      </w:r>
    </w:p>
    <w:p w14:paraId="5C700C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 Получении образцов нержавеющей свариваемой стали для самолетостроения с крепостью до 130 </w:t>
      </w:r>
      <w:proofErr w:type="spellStart"/>
      <w:r w:rsidRPr="00A259BD">
        <w:rPr>
          <w:rFonts w:ascii="Times New Roman" w:hAnsi="Times New Roman"/>
          <w:color w:val="000000" w:themeColor="text1"/>
          <w:sz w:val="16"/>
          <w:szCs w:val="16"/>
        </w:rPr>
        <w:t>кгрю</w:t>
      </w:r>
      <w:proofErr w:type="spellEnd"/>
      <w:r w:rsidRPr="00A259BD">
        <w:rPr>
          <w:rFonts w:ascii="Times New Roman" w:hAnsi="Times New Roman"/>
          <w:color w:val="000000" w:themeColor="text1"/>
          <w:sz w:val="16"/>
          <w:szCs w:val="16"/>
        </w:rPr>
        <w:t xml:space="preserve"> на мм2.</w:t>
      </w:r>
    </w:p>
    <w:p w14:paraId="518DAE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 и другие работы </w:t>
      </w:r>
      <w:proofErr w:type="spellStart"/>
      <w:r w:rsidRPr="00A259BD">
        <w:rPr>
          <w:rFonts w:ascii="Times New Roman" w:hAnsi="Times New Roman"/>
          <w:color w:val="000000" w:themeColor="text1"/>
          <w:sz w:val="16"/>
          <w:szCs w:val="16"/>
        </w:rPr>
        <w:t>пс</w:t>
      </w:r>
      <w:proofErr w:type="spellEnd"/>
      <w:r w:rsidRPr="00A259BD">
        <w:rPr>
          <w:rFonts w:ascii="Times New Roman" w:hAnsi="Times New Roman"/>
          <w:color w:val="000000" w:themeColor="text1"/>
          <w:sz w:val="16"/>
          <w:szCs w:val="16"/>
        </w:rPr>
        <w:t xml:space="preserve"> изучению химических продуктов, покрытий, дерева и </w:t>
      </w:r>
      <w:proofErr w:type="spellStart"/>
      <w:r w:rsidRPr="00A259BD">
        <w:rPr>
          <w:rFonts w:ascii="Times New Roman" w:hAnsi="Times New Roman"/>
          <w:color w:val="000000" w:themeColor="text1"/>
          <w:sz w:val="16"/>
          <w:szCs w:val="16"/>
        </w:rPr>
        <w:t>т.р</w:t>
      </w:r>
      <w:proofErr w:type="spellEnd"/>
      <w:r w:rsidRPr="00A259BD">
        <w:rPr>
          <w:rFonts w:ascii="Times New Roman" w:hAnsi="Times New Roman"/>
          <w:color w:val="000000" w:themeColor="text1"/>
          <w:sz w:val="16"/>
          <w:szCs w:val="16"/>
        </w:rPr>
        <w:t>.</w:t>
      </w:r>
    </w:p>
    <w:p w14:paraId="436FD2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все работы, включая научную проработку стандартов, издание научных трудов, изготовление образцов и приобретение заграничных образцов, износ материальной части </w:t>
      </w:r>
      <w:proofErr w:type="spellStart"/>
      <w:r w:rsidRPr="00A259BD">
        <w:rPr>
          <w:rFonts w:ascii="Times New Roman" w:hAnsi="Times New Roman"/>
          <w:color w:val="000000" w:themeColor="text1"/>
          <w:sz w:val="16"/>
          <w:szCs w:val="16"/>
        </w:rPr>
        <w:t>мотторов</w:t>
      </w:r>
      <w:proofErr w:type="spellEnd"/>
      <w:r w:rsidRPr="00A259BD">
        <w:rPr>
          <w:rFonts w:ascii="Times New Roman" w:hAnsi="Times New Roman"/>
          <w:color w:val="000000" w:themeColor="text1"/>
          <w:sz w:val="16"/>
          <w:szCs w:val="16"/>
        </w:rPr>
        <w:t xml:space="preserve"> самолета в связи с этим потребуется - 1.250.000</w:t>
      </w:r>
    </w:p>
    <w:p w14:paraId="33FC13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 г.</w:t>
      </w:r>
    </w:p>
    <w:p w14:paraId="687ABA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стандартизации</w:t>
      </w:r>
    </w:p>
    <w:p w14:paraId="4757EB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Окончание и продолжение начатых работ по стандартизации оборудования кабины самолета, наблюдателя, стрелка, летчика...</w:t>
      </w:r>
    </w:p>
    <w:p w14:paraId="12FBA5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Начало работ по деталям самолетов и моторов, как то металлическое шасси.</w:t>
      </w:r>
    </w:p>
    <w:p w14:paraId="5B0EB2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Стандартизация аэродромного оборудования, полевого оборудования. Полный комплект походных палаток, оборудования парков и мастерских.</w:t>
      </w:r>
    </w:p>
    <w:p w14:paraId="5DD0F03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Разработка дополнительных номенклатур</w:t>
      </w:r>
    </w:p>
    <w:p w14:paraId="339C4B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Разработка стандартных технических условий.</w:t>
      </w:r>
    </w:p>
    <w:p w14:paraId="0E174DF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Разработка стандартных учебных самолетов сухопутных и морских.</w:t>
      </w:r>
    </w:p>
    <w:p w14:paraId="2F1750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Продолжение работ по разработке стандартов воздухоплавательного имущества и др.</w:t>
      </w:r>
    </w:p>
    <w:p w14:paraId="2C859D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w:t>
      </w:r>
      <w:proofErr w:type="spellStart"/>
      <w:r w:rsidRPr="00A259BD">
        <w:rPr>
          <w:rFonts w:ascii="Times New Roman" w:hAnsi="Times New Roman"/>
          <w:color w:val="000000" w:themeColor="text1"/>
          <w:sz w:val="16"/>
          <w:szCs w:val="16"/>
        </w:rPr>
        <w:t>авиаматериалам</w:t>
      </w:r>
      <w:proofErr w:type="spellEnd"/>
      <w:r w:rsidRPr="00A259BD">
        <w:rPr>
          <w:rFonts w:ascii="Times New Roman" w:hAnsi="Times New Roman"/>
          <w:color w:val="000000" w:themeColor="text1"/>
          <w:sz w:val="16"/>
          <w:szCs w:val="16"/>
        </w:rPr>
        <w:t>.</w:t>
      </w:r>
    </w:p>
    <w:p w14:paraId="1CFDDD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Получение </w:t>
      </w:r>
      <w:proofErr w:type="spellStart"/>
      <w:r w:rsidRPr="00A259BD">
        <w:rPr>
          <w:rFonts w:ascii="Times New Roman" w:hAnsi="Times New Roman"/>
          <w:color w:val="000000" w:themeColor="text1"/>
          <w:sz w:val="16"/>
          <w:szCs w:val="16"/>
        </w:rPr>
        <w:t>образцоа</w:t>
      </w:r>
      <w:proofErr w:type="spellEnd"/>
      <w:r w:rsidRPr="00A259BD">
        <w:rPr>
          <w:rFonts w:ascii="Times New Roman" w:hAnsi="Times New Roman"/>
          <w:color w:val="000000" w:themeColor="text1"/>
          <w:sz w:val="16"/>
          <w:szCs w:val="16"/>
        </w:rPr>
        <w:t xml:space="preserve"> нержавеющей стали листовой с крепостью до 140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/мм2</w:t>
      </w:r>
    </w:p>
    <w:p w14:paraId="5216C75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Продолжение научно-исследовательских работ по сплавам из легких металлов.</w:t>
      </w:r>
    </w:p>
    <w:p w14:paraId="4EEB34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Изучение новейших легких </w:t>
      </w:r>
      <w:proofErr w:type="spellStart"/>
      <w:r w:rsidRPr="00A259BD">
        <w:rPr>
          <w:rFonts w:ascii="Times New Roman" w:hAnsi="Times New Roman"/>
          <w:color w:val="000000" w:themeColor="text1"/>
          <w:sz w:val="16"/>
          <w:szCs w:val="16"/>
        </w:rPr>
        <w:t>мплавоа</w:t>
      </w:r>
      <w:proofErr w:type="spellEnd"/>
      <w:r w:rsidRPr="00A259BD">
        <w:rPr>
          <w:rFonts w:ascii="Times New Roman" w:hAnsi="Times New Roman"/>
          <w:color w:val="000000" w:themeColor="text1"/>
          <w:sz w:val="16"/>
          <w:szCs w:val="16"/>
        </w:rPr>
        <w:t xml:space="preserve"> типа </w:t>
      </w:r>
      <w:proofErr w:type="spellStart"/>
      <w:r w:rsidRPr="00A259BD">
        <w:rPr>
          <w:rFonts w:ascii="Times New Roman" w:hAnsi="Times New Roman"/>
          <w:color w:val="000000" w:themeColor="text1"/>
          <w:sz w:val="16"/>
          <w:szCs w:val="16"/>
        </w:rPr>
        <w:t>Берилий</w:t>
      </w:r>
      <w:proofErr w:type="spellEnd"/>
      <w:r w:rsidRPr="00A259BD">
        <w:rPr>
          <w:rFonts w:ascii="Times New Roman" w:hAnsi="Times New Roman"/>
          <w:color w:val="000000" w:themeColor="text1"/>
          <w:sz w:val="16"/>
          <w:szCs w:val="16"/>
        </w:rPr>
        <w:t xml:space="preserve"> высокой твердости.</w:t>
      </w:r>
    </w:p>
    <w:p w14:paraId="303A597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Изучение термической обработки, ковки, штамповки деталей моторов и самолетов.</w:t>
      </w:r>
    </w:p>
    <w:p w14:paraId="4987989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Изучение элементов конструкций, сварки, клепки, спайки и т.п.</w:t>
      </w:r>
    </w:p>
    <w:p w14:paraId="71F537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Научно-исследовательские работы в области смешанных конструкций из дерева и металла и т.п.</w:t>
      </w:r>
    </w:p>
    <w:p w14:paraId="676DDC4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Научные работы по коррозии металла и изучению предохранительных покрытии для сухопутных и морских самолетов.</w:t>
      </w:r>
    </w:p>
    <w:p w14:paraId="7CA951E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все работы, включая научную проработку вопросов, издание трудов, изготовления образцов </w:t>
      </w:r>
      <w:proofErr w:type="spellStart"/>
      <w:r w:rsidRPr="00A259BD">
        <w:rPr>
          <w:rFonts w:ascii="Times New Roman" w:hAnsi="Times New Roman"/>
          <w:color w:val="000000" w:themeColor="text1"/>
          <w:sz w:val="16"/>
          <w:szCs w:val="16"/>
        </w:rPr>
        <w:t>оборудовааия</w:t>
      </w:r>
      <w:proofErr w:type="spellEnd"/>
      <w:r w:rsidRPr="00A259BD">
        <w:rPr>
          <w:rFonts w:ascii="Times New Roman" w:hAnsi="Times New Roman"/>
          <w:color w:val="000000" w:themeColor="text1"/>
          <w:sz w:val="16"/>
          <w:szCs w:val="16"/>
        </w:rPr>
        <w:t xml:space="preserve"> и износ мат. части в связи с опытами потребуется - 1.400.000 руб.</w:t>
      </w:r>
    </w:p>
    <w:p w14:paraId="06B82C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год.</w:t>
      </w:r>
    </w:p>
    <w:p w14:paraId="62945C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стандартизация.</w:t>
      </w:r>
    </w:p>
    <w:p w14:paraId="70A4D0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Окончание работ по стандартизации кабины наблюдателя...</w:t>
      </w:r>
    </w:p>
    <w:p w14:paraId="7DCF899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Окончание работ по стандартизации учебных </w:t>
      </w:r>
      <w:proofErr w:type="spellStart"/>
      <w:r w:rsidRPr="00A259BD">
        <w:rPr>
          <w:rFonts w:ascii="Times New Roman" w:hAnsi="Times New Roman"/>
          <w:color w:val="000000" w:themeColor="text1"/>
          <w:sz w:val="16"/>
          <w:szCs w:val="16"/>
        </w:rPr>
        <w:t>самолетовморских</w:t>
      </w:r>
      <w:proofErr w:type="spellEnd"/>
      <w:r w:rsidRPr="00A259BD">
        <w:rPr>
          <w:rFonts w:ascii="Times New Roman" w:hAnsi="Times New Roman"/>
          <w:color w:val="000000" w:themeColor="text1"/>
          <w:sz w:val="16"/>
          <w:szCs w:val="16"/>
        </w:rPr>
        <w:t xml:space="preserve"> и сухопутных.</w:t>
      </w:r>
    </w:p>
    <w:p w14:paraId="1DDF8A6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Окончание разработки стандартов по оборудованию мастерских и парков , начатых в прошлом.</w:t>
      </w:r>
    </w:p>
    <w:p w14:paraId="23CE66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стандартизация тары.</w:t>
      </w:r>
    </w:p>
    <w:p w14:paraId="4041A2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w:t>
      </w:r>
      <w:proofErr w:type="spellStart"/>
      <w:r w:rsidRPr="00A259BD">
        <w:rPr>
          <w:rFonts w:ascii="Times New Roman" w:hAnsi="Times New Roman"/>
          <w:color w:val="000000" w:themeColor="text1"/>
          <w:sz w:val="16"/>
          <w:szCs w:val="16"/>
        </w:rPr>
        <w:t>авиаматериалам</w:t>
      </w:r>
      <w:proofErr w:type="spellEnd"/>
    </w:p>
    <w:p w14:paraId="3112D2F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Получение образцов нержавеющей стали, свариваемой, крепостью до 150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/мм2 для стального самолетостроения.</w:t>
      </w:r>
    </w:p>
    <w:p w14:paraId="3A34AB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Изучение производственных термических процессов легких металлов новых марок</w:t>
      </w:r>
    </w:p>
    <w:p w14:paraId="11B619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Изучение легких металлов в условиях </w:t>
      </w:r>
      <w:proofErr w:type="spellStart"/>
      <w:r w:rsidRPr="00A259BD">
        <w:rPr>
          <w:rFonts w:ascii="Times New Roman" w:hAnsi="Times New Roman"/>
          <w:color w:val="000000" w:themeColor="text1"/>
          <w:sz w:val="16"/>
          <w:szCs w:val="16"/>
        </w:rPr>
        <w:t>экоплоатации</w:t>
      </w:r>
      <w:proofErr w:type="spellEnd"/>
      <w:r w:rsidRPr="00A259BD">
        <w:rPr>
          <w:rFonts w:ascii="Times New Roman" w:hAnsi="Times New Roman"/>
          <w:color w:val="000000" w:themeColor="text1"/>
          <w:sz w:val="16"/>
          <w:szCs w:val="16"/>
        </w:rPr>
        <w:t xml:space="preserve"> и коррозии их как сухопутных, так и морских.</w:t>
      </w:r>
    </w:p>
    <w:p w14:paraId="11F14D5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г/ Изучение новейших авиационных заграничных материалов в образцах и конструкциях с точки зрения физико-механических свойств термической и технологической обработки и т.п.</w:t>
      </w:r>
    </w:p>
    <w:p w14:paraId="712FA7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 Изучение прочих </w:t>
      </w:r>
      <w:proofErr w:type="spellStart"/>
      <w:r w:rsidRPr="00A259BD">
        <w:rPr>
          <w:rFonts w:ascii="Times New Roman" w:hAnsi="Times New Roman"/>
          <w:color w:val="000000" w:themeColor="text1"/>
          <w:sz w:val="16"/>
          <w:szCs w:val="16"/>
        </w:rPr>
        <w:t>авиаматериалов</w:t>
      </w:r>
      <w:proofErr w:type="spellEnd"/>
      <w:r w:rsidRPr="00A259BD">
        <w:rPr>
          <w:rFonts w:ascii="Times New Roman" w:hAnsi="Times New Roman"/>
          <w:color w:val="000000" w:themeColor="text1"/>
          <w:sz w:val="16"/>
          <w:szCs w:val="16"/>
        </w:rPr>
        <w:t xml:space="preserve">, тканей для самолетостроения, </w:t>
      </w:r>
      <w:proofErr w:type="spellStart"/>
      <w:r w:rsidRPr="00A259BD">
        <w:rPr>
          <w:rFonts w:ascii="Times New Roman" w:hAnsi="Times New Roman"/>
          <w:color w:val="000000" w:themeColor="text1"/>
          <w:sz w:val="16"/>
          <w:szCs w:val="16"/>
        </w:rPr>
        <w:t>вовдухоплевания</w:t>
      </w:r>
      <w:proofErr w:type="spellEnd"/>
      <w:r w:rsidRPr="00A259BD">
        <w:rPr>
          <w:rFonts w:ascii="Times New Roman" w:hAnsi="Times New Roman"/>
          <w:color w:val="000000" w:themeColor="text1"/>
          <w:sz w:val="16"/>
          <w:szCs w:val="16"/>
        </w:rPr>
        <w:t>, парашютов и т.п.</w:t>
      </w:r>
    </w:p>
    <w:p w14:paraId="4C42E7E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Изучение химических материалов, дерева и т.п.</w:t>
      </w:r>
    </w:p>
    <w:p w14:paraId="3DC79F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Принимая во внимание рост воздушного флота и развитие техники, а также соответствующее переоборудование лабораторий и институтов всего потребуется - 1.500.000 руб.</w:t>
      </w:r>
    </w:p>
    <w:p w14:paraId="2E2B962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всего по материалам, стандартизации в пятилетие необходимо израсходовать в соответствии с ростом Воздушного </w:t>
      </w:r>
      <w:proofErr w:type="spellStart"/>
      <w:r w:rsidRPr="00A259BD">
        <w:rPr>
          <w:rFonts w:ascii="Times New Roman" w:hAnsi="Times New Roman"/>
          <w:color w:val="000000" w:themeColor="text1"/>
          <w:sz w:val="16"/>
          <w:szCs w:val="16"/>
        </w:rPr>
        <w:t>флотиа</w:t>
      </w:r>
      <w:proofErr w:type="spellEnd"/>
      <w:r w:rsidRPr="00A259BD">
        <w:rPr>
          <w:rFonts w:ascii="Times New Roman" w:hAnsi="Times New Roman"/>
          <w:color w:val="000000" w:themeColor="text1"/>
          <w:sz w:val="16"/>
          <w:szCs w:val="16"/>
        </w:rPr>
        <w:t xml:space="preserve"> и опытного строительства - 5.300.000 рублей , что даст нам возможность полу</w:t>
      </w:r>
      <w:r w:rsidRPr="00A259BD">
        <w:rPr>
          <w:rFonts w:ascii="Times New Roman" w:hAnsi="Times New Roman"/>
          <w:color w:val="000000" w:themeColor="text1"/>
          <w:sz w:val="16"/>
          <w:szCs w:val="16"/>
        </w:rPr>
        <w:softHyphen/>
        <w:t xml:space="preserve">чить новые сорта стали высокой крепости, новые ультралегкие </w:t>
      </w:r>
      <w:proofErr w:type="spellStart"/>
      <w:r w:rsidRPr="00A259BD">
        <w:rPr>
          <w:rFonts w:ascii="Times New Roman" w:hAnsi="Times New Roman"/>
          <w:color w:val="000000" w:themeColor="text1"/>
          <w:sz w:val="16"/>
          <w:szCs w:val="16"/>
        </w:rPr>
        <w:t>сплаввы</w:t>
      </w:r>
      <w:proofErr w:type="spellEnd"/>
      <w:r w:rsidRPr="00A259BD">
        <w:rPr>
          <w:rFonts w:ascii="Times New Roman" w:hAnsi="Times New Roman"/>
          <w:color w:val="000000" w:themeColor="text1"/>
          <w:sz w:val="16"/>
          <w:szCs w:val="16"/>
        </w:rPr>
        <w:t xml:space="preserve"> /типа электрон/, новые способы применения </w:t>
      </w:r>
      <w:proofErr w:type="spellStart"/>
      <w:r w:rsidRPr="00A259BD">
        <w:rPr>
          <w:rFonts w:ascii="Times New Roman" w:hAnsi="Times New Roman"/>
          <w:color w:val="000000" w:themeColor="text1"/>
          <w:sz w:val="16"/>
          <w:szCs w:val="16"/>
        </w:rPr>
        <w:t>ддерева</w:t>
      </w:r>
      <w:proofErr w:type="spellEnd"/>
      <w:r w:rsidRPr="00A259BD">
        <w:rPr>
          <w:rFonts w:ascii="Times New Roman" w:hAnsi="Times New Roman"/>
          <w:color w:val="000000" w:themeColor="text1"/>
          <w:sz w:val="16"/>
          <w:szCs w:val="16"/>
        </w:rPr>
        <w:t xml:space="preserve"> и металла, новые предохранители /негорючие и </w:t>
      </w:r>
      <w:proofErr w:type="spellStart"/>
      <w:r w:rsidRPr="00A259BD">
        <w:rPr>
          <w:rFonts w:ascii="Times New Roman" w:hAnsi="Times New Roman"/>
          <w:color w:val="000000" w:themeColor="text1"/>
          <w:sz w:val="16"/>
          <w:szCs w:val="16"/>
        </w:rPr>
        <w:t>протовокоррозионные</w:t>
      </w:r>
      <w:proofErr w:type="spellEnd"/>
      <w:r w:rsidRPr="00A259BD">
        <w:rPr>
          <w:rFonts w:ascii="Times New Roman" w:hAnsi="Times New Roman"/>
          <w:color w:val="000000" w:themeColor="text1"/>
          <w:sz w:val="16"/>
          <w:szCs w:val="16"/>
        </w:rPr>
        <w:t xml:space="preserve"> покрытия/ , а равным образом мы получим ряд </w:t>
      </w:r>
      <w:proofErr w:type="spellStart"/>
      <w:r w:rsidRPr="00A259BD">
        <w:rPr>
          <w:rFonts w:ascii="Times New Roman" w:hAnsi="Times New Roman"/>
          <w:color w:val="000000" w:themeColor="text1"/>
          <w:sz w:val="16"/>
          <w:szCs w:val="16"/>
        </w:rPr>
        <w:t>упрщений</w:t>
      </w:r>
      <w:proofErr w:type="spellEnd"/>
      <w:r w:rsidRPr="00A259BD">
        <w:rPr>
          <w:rFonts w:ascii="Times New Roman" w:hAnsi="Times New Roman"/>
          <w:color w:val="000000" w:themeColor="text1"/>
          <w:sz w:val="16"/>
          <w:szCs w:val="16"/>
        </w:rPr>
        <w:t xml:space="preserve"> в кон</w:t>
      </w:r>
      <w:r w:rsidRPr="00A259BD">
        <w:rPr>
          <w:rFonts w:ascii="Times New Roman" w:hAnsi="Times New Roman"/>
          <w:color w:val="000000" w:themeColor="text1"/>
          <w:sz w:val="16"/>
          <w:szCs w:val="16"/>
        </w:rPr>
        <w:softHyphen/>
        <w:t xml:space="preserve">струкции и производстве за счет стандартизации и </w:t>
      </w:r>
      <w:proofErr w:type="spellStart"/>
      <w:r w:rsidRPr="00A259BD">
        <w:rPr>
          <w:rFonts w:ascii="Times New Roman" w:hAnsi="Times New Roman"/>
          <w:color w:val="000000" w:themeColor="text1"/>
          <w:sz w:val="16"/>
          <w:szCs w:val="16"/>
        </w:rPr>
        <w:t>суррогатирования</w:t>
      </w:r>
      <w:proofErr w:type="spellEnd"/>
      <w:r w:rsidRPr="00A259BD">
        <w:rPr>
          <w:rFonts w:ascii="Times New Roman" w:hAnsi="Times New Roman"/>
          <w:color w:val="000000" w:themeColor="text1"/>
          <w:sz w:val="16"/>
          <w:szCs w:val="16"/>
        </w:rPr>
        <w:t xml:space="preserve"> материалов.</w:t>
      </w:r>
    </w:p>
    <w:p w14:paraId="592CE1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Аэродромное оборудование и аэростаты.</w:t>
      </w:r>
    </w:p>
    <w:p w14:paraId="29CB9C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воздухоплаванию</w:t>
      </w:r>
    </w:p>
    <w:p w14:paraId="033C61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предположено за пять лет построить и испытать:</w:t>
      </w:r>
    </w:p>
    <w:p w14:paraId="3E7EFB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7 аэростатов</w:t>
      </w:r>
    </w:p>
    <w:p w14:paraId="287EC96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5 лебедок</w:t>
      </w:r>
    </w:p>
    <w:p w14:paraId="230052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Разборный металлический ангар для аэростатов</w:t>
      </w:r>
    </w:p>
    <w:p w14:paraId="5E69BE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I водородный завод-поезд с компрессорной установкой</w:t>
      </w:r>
    </w:p>
    <w:p w14:paraId="19B1E8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I полевой газодобывающий аппарат.</w:t>
      </w:r>
    </w:p>
    <w:p w14:paraId="5920A9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6. 1 </w:t>
      </w:r>
      <w:proofErr w:type="spellStart"/>
      <w:r w:rsidRPr="00A259BD">
        <w:rPr>
          <w:rFonts w:ascii="Times New Roman" w:hAnsi="Times New Roman"/>
          <w:color w:val="000000" w:themeColor="text1"/>
          <w:sz w:val="16"/>
          <w:szCs w:val="16"/>
        </w:rPr>
        <w:t>иолевой</w:t>
      </w:r>
      <w:proofErr w:type="spellEnd"/>
      <w:r w:rsidRPr="00A259BD">
        <w:rPr>
          <w:rFonts w:ascii="Times New Roman" w:hAnsi="Times New Roman"/>
          <w:color w:val="000000" w:themeColor="text1"/>
          <w:sz w:val="16"/>
          <w:szCs w:val="16"/>
        </w:rPr>
        <w:t xml:space="preserve"> коллектор.</w:t>
      </w:r>
    </w:p>
    <w:p w14:paraId="551708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аэродромному </w:t>
      </w:r>
      <w:proofErr w:type="spellStart"/>
      <w:r w:rsidRPr="00A259BD">
        <w:rPr>
          <w:rFonts w:ascii="Times New Roman" w:hAnsi="Times New Roman"/>
          <w:color w:val="000000" w:themeColor="text1"/>
          <w:sz w:val="16"/>
          <w:szCs w:val="16"/>
        </w:rPr>
        <w:t>эбопудованию</w:t>
      </w:r>
      <w:proofErr w:type="spellEnd"/>
      <w:r w:rsidRPr="00A259BD">
        <w:rPr>
          <w:rFonts w:ascii="Times New Roman" w:hAnsi="Times New Roman"/>
          <w:color w:val="000000" w:themeColor="text1"/>
          <w:sz w:val="16"/>
          <w:szCs w:val="16"/>
        </w:rPr>
        <w:t xml:space="preserve"> и обслуживанию летного состава.</w:t>
      </w:r>
    </w:p>
    <w:p w14:paraId="6FB7BA7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Построить и испытать:</w:t>
      </w:r>
    </w:p>
    <w:p w14:paraId="767945B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- 1 автомобиль для обслуживания аэродрома.</w:t>
      </w:r>
    </w:p>
    <w:p w14:paraId="257459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 I трактор для транспортирования самолетов.</w:t>
      </w:r>
    </w:p>
    <w:p w14:paraId="7B91732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-2 отеплителя на группу самолетов.</w:t>
      </w:r>
    </w:p>
    <w:p w14:paraId="15FC47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- 2 стартера /тяжелого и легкого </w:t>
      </w:r>
      <w:proofErr w:type="spellStart"/>
      <w:r w:rsidRPr="00A259BD">
        <w:rPr>
          <w:rFonts w:ascii="Times New Roman" w:hAnsi="Times New Roman"/>
          <w:color w:val="000000" w:themeColor="text1"/>
          <w:sz w:val="16"/>
          <w:szCs w:val="16"/>
        </w:rPr>
        <w:t>титпа</w:t>
      </w:r>
      <w:proofErr w:type="spellEnd"/>
      <w:r w:rsidRPr="00A259BD">
        <w:rPr>
          <w:rFonts w:ascii="Times New Roman" w:hAnsi="Times New Roman"/>
          <w:color w:val="000000" w:themeColor="text1"/>
          <w:sz w:val="16"/>
          <w:szCs w:val="16"/>
        </w:rPr>
        <w:t>/</w:t>
      </w:r>
    </w:p>
    <w:p w14:paraId="0A478F5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 Несколько кранов для подъема самолетов и моторов.</w:t>
      </w:r>
    </w:p>
    <w:p w14:paraId="7653C67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- 2 аэросаней /</w:t>
      </w:r>
      <w:proofErr w:type="spellStart"/>
      <w:r w:rsidRPr="00A259BD">
        <w:rPr>
          <w:rFonts w:ascii="Times New Roman" w:hAnsi="Times New Roman"/>
          <w:color w:val="000000" w:themeColor="text1"/>
          <w:sz w:val="16"/>
          <w:szCs w:val="16"/>
        </w:rPr>
        <w:t>санит</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обслуж</w:t>
      </w:r>
      <w:proofErr w:type="spellEnd"/>
      <w:r w:rsidRPr="00A259BD">
        <w:rPr>
          <w:rFonts w:ascii="Times New Roman" w:hAnsi="Times New Roman"/>
          <w:color w:val="000000" w:themeColor="text1"/>
          <w:sz w:val="16"/>
          <w:szCs w:val="16"/>
        </w:rPr>
        <w:t>. аэродром /</w:t>
      </w:r>
    </w:p>
    <w:p w14:paraId="06F0A6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 Плавучий дом и 2 баржи для питания самолетов.</w:t>
      </w:r>
    </w:p>
    <w:p w14:paraId="593DF64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 Несколько катеров для обслуживания гидроаэродрома</w:t>
      </w:r>
    </w:p>
    <w:p w14:paraId="391CD5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 Несколько якорей и </w:t>
      </w:r>
      <w:proofErr w:type="spellStart"/>
      <w:r w:rsidRPr="00A259BD">
        <w:rPr>
          <w:rFonts w:ascii="Times New Roman" w:hAnsi="Times New Roman"/>
          <w:color w:val="000000" w:themeColor="text1"/>
          <w:sz w:val="16"/>
          <w:szCs w:val="16"/>
        </w:rPr>
        <w:t>различнее</w:t>
      </w:r>
      <w:proofErr w:type="spellEnd"/>
      <w:r w:rsidRPr="00A259BD">
        <w:rPr>
          <w:rFonts w:ascii="Times New Roman" w:hAnsi="Times New Roman"/>
          <w:color w:val="000000" w:themeColor="text1"/>
          <w:sz w:val="16"/>
          <w:szCs w:val="16"/>
        </w:rPr>
        <w:t xml:space="preserve"> тележки.</w:t>
      </w:r>
    </w:p>
    <w:p w14:paraId="222A4C8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Издания НТК и инструкций.</w:t>
      </w:r>
    </w:p>
    <w:p w14:paraId="4BC7A2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эти работы предусмотрены средства, идущие лишь по линии НТК., т.к. по всем другим учреждениям это идет за счет госбюджета.</w:t>
      </w:r>
    </w:p>
    <w:p w14:paraId="44A19F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заключение необходимо отметить , что смета предусматривает средства на все работы, кредитование ее будет </w:t>
      </w:r>
      <w:proofErr w:type="spellStart"/>
      <w:r w:rsidRPr="00A259BD">
        <w:rPr>
          <w:rFonts w:ascii="Times New Roman" w:hAnsi="Times New Roman"/>
          <w:color w:val="000000" w:themeColor="text1"/>
          <w:sz w:val="16"/>
          <w:szCs w:val="16"/>
        </w:rPr>
        <w:t>итти</w:t>
      </w:r>
      <w:proofErr w:type="spellEnd"/>
      <w:r w:rsidRPr="00A259BD">
        <w:rPr>
          <w:rFonts w:ascii="Times New Roman" w:hAnsi="Times New Roman"/>
          <w:color w:val="000000" w:themeColor="text1"/>
          <w:sz w:val="16"/>
          <w:szCs w:val="16"/>
        </w:rPr>
        <w:t xml:space="preserve"> согласно существующих правил частично по линии Военного ведомства /УВВС/, а частично по линии ВСНХ и ГВПУ -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и др.</w:t>
      </w:r>
    </w:p>
    <w:p w14:paraId="076FC65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Детально это будет проведено после </w:t>
      </w:r>
      <w:proofErr w:type="spellStart"/>
      <w:r w:rsidRPr="00A259BD">
        <w:rPr>
          <w:rFonts w:ascii="Times New Roman" w:hAnsi="Times New Roman"/>
          <w:color w:val="000000" w:themeColor="text1"/>
          <w:sz w:val="16"/>
          <w:szCs w:val="16"/>
        </w:rPr>
        <w:t>согласовани</w:t>
      </w:r>
      <w:proofErr w:type="spellEnd"/>
      <w:r w:rsidRPr="00A259BD">
        <w:rPr>
          <w:rFonts w:ascii="Times New Roman" w:hAnsi="Times New Roman"/>
          <w:color w:val="000000" w:themeColor="text1"/>
          <w:sz w:val="16"/>
          <w:szCs w:val="16"/>
        </w:rPr>
        <w:t xml:space="preserve"> плана с исполнителями.</w:t>
      </w:r>
    </w:p>
    <w:p w14:paraId="6619BC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Председателя НТК /Харламов/ (351,78).</w:t>
      </w:r>
    </w:p>
    <w:p w14:paraId="0469BE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Объяснительная записка к пятилетнему плану развития самолетостроения СССР</w:t>
      </w:r>
    </w:p>
    <w:p w14:paraId="67AAFA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Сухопутные самолеты .</w:t>
      </w:r>
    </w:p>
    <w:p w14:paraId="25481F8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основу развития пятилетнего плана опытного самолетостроения были взяты предпосылки к тактическим требованиям, разработанным 1У Секцией НТК УВВС.</w:t>
      </w:r>
    </w:p>
    <w:p w14:paraId="5AEDCD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 составлении плана помимо требования 1 </w:t>
      </w:r>
      <w:proofErr w:type="spellStart"/>
      <w:r w:rsidRPr="00A259BD">
        <w:rPr>
          <w:rFonts w:ascii="Times New Roman" w:hAnsi="Times New Roman"/>
          <w:color w:val="000000" w:themeColor="text1"/>
          <w:sz w:val="16"/>
          <w:szCs w:val="16"/>
        </w:rPr>
        <w:t>Упр.УВВС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Морск</w:t>
      </w:r>
      <w:proofErr w:type="spellEnd"/>
      <w:r w:rsidRPr="00A259BD">
        <w:rPr>
          <w:rFonts w:ascii="Times New Roman" w:hAnsi="Times New Roman"/>
          <w:color w:val="000000" w:themeColor="text1"/>
          <w:sz w:val="16"/>
          <w:szCs w:val="16"/>
        </w:rPr>
        <w:t xml:space="preserve">. и РККА учтены производственные возможности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емкость его заводов, развитие металлообрабатывающей промышленности /высоко</w:t>
      </w:r>
      <w:r w:rsidRPr="00A259BD">
        <w:rPr>
          <w:rFonts w:ascii="Times New Roman" w:hAnsi="Times New Roman"/>
          <w:color w:val="000000" w:themeColor="text1"/>
          <w:sz w:val="16"/>
          <w:szCs w:val="16"/>
        </w:rPr>
        <w:softHyphen/>
        <w:t>сортные стали, электрон и др. /, исследовательские возможности научных институтов и промышленности в области постройки винтов с переменным шагом в полете, разрезных крыльев, тормозных и пр. приспособлений для уменьшения пробега самолетов и облегчения по</w:t>
      </w:r>
      <w:r w:rsidRPr="00A259BD">
        <w:rPr>
          <w:rFonts w:ascii="Times New Roman" w:hAnsi="Times New Roman"/>
          <w:color w:val="000000" w:themeColor="text1"/>
          <w:sz w:val="16"/>
          <w:szCs w:val="16"/>
        </w:rPr>
        <w:softHyphen/>
        <w:t>садки и т.п.</w:t>
      </w:r>
    </w:p>
    <w:p w14:paraId="6FEE39C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в план развития входит 11 основных типов, сводящихся к пяти основным группам:</w:t>
      </w:r>
    </w:p>
    <w:p w14:paraId="212B016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Истребители</w:t>
      </w:r>
    </w:p>
    <w:p w14:paraId="09E08C6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Разведчики</w:t>
      </w:r>
    </w:p>
    <w:p w14:paraId="06762A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Бомбардировщики</w:t>
      </w:r>
    </w:p>
    <w:p w14:paraId="7E3CB8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Войсковые самолеты</w:t>
      </w:r>
    </w:p>
    <w:p w14:paraId="7A6C70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Специального назначения</w:t>
      </w:r>
    </w:p>
    <w:p w14:paraId="2D14AE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Осуществление развития основных типов вызывает необходимость в постройке 34 моделей, включая сюда и приспособления отдельных </w:t>
      </w:r>
      <w:proofErr w:type="spellStart"/>
      <w:r w:rsidRPr="00A259BD">
        <w:rPr>
          <w:rFonts w:ascii="Times New Roman" w:hAnsi="Times New Roman"/>
          <w:color w:val="000000" w:themeColor="text1"/>
          <w:sz w:val="16"/>
          <w:szCs w:val="16"/>
        </w:rPr>
        <w:t>осуществленах</w:t>
      </w:r>
      <w:proofErr w:type="spellEnd"/>
      <w:r w:rsidRPr="00A259BD">
        <w:rPr>
          <w:rFonts w:ascii="Times New Roman" w:hAnsi="Times New Roman"/>
          <w:color w:val="000000" w:themeColor="text1"/>
          <w:sz w:val="16"/>
          <w:szCs w:val="16"/>
        </w:rPr>
        <w:t xml:space="preserve"> типов самолетов для специальных заданий. При пла</w:t>
      </w:r>
      <w:r w:rsidRPr="00A259BD">
        <w:rPr>
          <w:rFonts w:ascii="Times New Roman" w:hAnsi="Times New Roman"/>
          <w:color w:val="000000" w:themeColor="text1"/>
          <w:sz w:val="16"/>
          <w:szCs w:val="16"/>
        </w:rPr>
        <w:softHyphen/>
        <w:t>нировке самолетов по срокам их выпуска были приняты в основу производственные возможности и 5-ти летний план развития и выпуск моторов, начиная с 1930/31 г. некоторые типы самолетов предусмат</w:t>
      </w:r>
      <w:r w:rsidRPr="00A259BD">
        <w:rPr>
          <w:rFonts w:ascii="Times New Roman" w:hAnsi="Times New Roman"/>
          <w:color w:val="000000" w:themeColor="text1"/>
          <w:sz w:val="16"/>
          <w:szCs w:val="16"/>
        </w:rPr>
        <w:softHyphen/>
        <w:t xml:space="preserve">риваются под моторы отечественной конструкции, доработанные до состояния их вывода в серийном порядке. До этого времени постройка опытных самолетов базируется на заграничные моторы /Юпитер, БМВ/. Ко второй половине 5-тилетний план построен базируясь </w:t>
      </w:r>
      <w:proofErr w:type="spellStart"/>
      <w:r w:rsidRPr="00A259BD">
        <w:rPr>
          <w:rFonts w:ascii="Times New Roman" w:hAnsi="Times New Roman"/>
          <w:color w:val="000000" w:themeColor="text1"/>
          <w:sz w:val="16"/>
          <w:szCs w:val="16"/>
        </w:rPr>
        <w:t>полностю</w:t>
      </w:r>
      <w:proofErr w:type="spellEnd"/>
      <w:r w:rsidRPr="00A259BD">
        <w:rPr>
          <w:rFonts w:ascii="Times New Roman" w:hAnsi="Times New Roman"/>
          <w:color w:val="000000" w:themeColor="text1"/>
          <w:sz w:val="16"/>
          <w:szCs w:val="16"/>
        </w:rPr>
        <w:t xml:space="preserve"> на отечественных моторах...</w:t>
      </w:r>
    </w:p>
    <w:p w14:paraId="0D79E1E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...представляется в следующем виде:</w:t>
      </w:r>
    </w:p>
    <w:p w14:paraId="17DBD3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Группа истребителей .</w:t>
      </w:r>
    </w:p>
    <w:p w14:paraId="674510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Одноместные</w:t>
      </w:r>
    </w:p>
    <w:p w14:paraId="5F930F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 мотором воздушного охлаждения</w:t>
      </w:r>
    </w:p>
    <w:p w14:paraId="27C43B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 И6-Юп УП - вариант деревянной конструкции легкого </w:t>
      </w:r>
      <w:proofErr w:type="spellStart"/>
      <w:r w:rsidRPr="00A259BD">
        <w:rPr>
          <w:rFonts w:ascii="Times New Roman" w:hAnsi="Times New Roman"/>
          <w:color w:val="000000" w:themeColor="text1"/>
          <w:sz w:val="16"/>
          <w:szCs w:val="16"/>
        </w:rPr>
        <w:t>нстребителя</w:t>
      </w:r>
      <w:proofErr w:type="spellEnd"/>
      <w:r w:rsidRPr="00A259BD">
        <w:rPr>
          <w:rFonts w:ascii="Times New Roman" w:hAnsi="Times New Roman"/>
          <w:color w:val="000000" w:themeColor="text1"/>
          <w:sz w:val="16"/>
          <w:szCs w:val="16"/>
        </w:rPr>
        <w:t xml:space="preserve"> типа "Жокей” - летные качества : У </w:t>
      </w:r>
      <w:proofErr w:type="spellStart"/>
      <w:r w:rsidRPr="00A259BD">
        <w:rPr>
          <w:rFonts w:ascii="Times New Roman" w:hAnsi="Times New Roman"/>
          <w:color w:val="000000" w:themeColor="text1"/>
          <w:sz w:val="16"/>
          <w:szCs w:val="16"/>
        </w:rPr>
        <w:t>макс.на</w:t>
      </w:r>
      <w:proofErr w:type="spellEnd"/>
      <w:r w:rsidRPr="00A259BD">
        <w:rPr>
          <w:rFonts w:ascii="Times New Roman" w:hAnsi="Times New Roman"/>
          <w:color w:val="000000" w:themeColor="text1"/>
          <w:sz w:val="16"/>
          <w:szCs w:val="16"/>
        </w:rPr>
        <w:t xml:space="preserve"> 5000 м. - 260-270 км/ч. </w:t>
      </w:r>
      <w:proofErr w:type="spellStart"/>
      <w:r w:rsidRPr="00A259BD">
        <w:rPr>
          <w:rFonts w:ascii="Times New Roman" w:hAnsi="Times New Roman"/>
          <w:color w:val="000000" w:themeColor="text1"/>
          <w:sz w:val="16"/>
          <w:szCs w:val="16"/>
        </w:rPr>
        <w:t>Под"ем</w:t>
      </w:r>
      <w:proofErr w:type="spellEnd"/>
      <w:r w:rsidRPr="00A259BD">
        <w:rPr>
          <w:rFonts w:ascii="Times New Roman" w:hAnsi="Times New Roman"/>
          <w:color w:val="000000" w:themeColor="text1"/>
          <w:sz w:val="16"/>
          <w:szCs w:val="16"/>
        </w:rPr>
        <w:t xml:space="preserve"> на 5000 м. - 8-9 мин.</w:t>
      </w:r>
    </w:p>
    <w:p w14:paraId="2E2EEC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И4-Юп УП - металлический истребитель - приспособление одного из серийных самолетов И4-Юп У1. Ожидаемые летные данные 5000 м. 250-260 км/час. Подъем на 5000 м. - 9-10 мин.</w:t>
      </w:r>
    </w:p>
    <w:p w14:paraId="59213F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И5-Юп УП - подобный самолету И6 вариант истребителя смешанной конструкции. Летные данные - 5000 м. - 260/270 км/ч. Подъем на 5000 м.  9-10 мин.</w:t>
      </w:r>
    </w:p>
    <w:p w14:paraId="6B87463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И3-Юп УП - металлический истребитель моноплан, модернизированный самолет И4-ЮУ1, предполагается его осуществление на одном из серийных самолетов И4-Юп У1.</w:t>
      </w:r>
    </w:p>
    <w:p w14:paraId="3F9E925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Летные качества аналогичны самолету И5</w:t>
      </w:r>
    </w:p>
    <w:p w14:paraId="4161CB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И10-М37 - Дальнейшее развитие самолета И6 под более мощный /500/600 НР/ и высотный мотор воздушного охлаждения с винтом пе</w:t>
      </w:r>
      <w:r w:rsidRPr="00A259BD">
        <w:rPr>
          <w:rFonts w:ascii="Times New Roman" w:hAnsi="Times New Roman"/>
          <w:color w:val="000000" w:themeColor="text1"/>
          <w:sz w:val="16"/>
          <w:szCs w:val="16"/>
        </w:rPr>
        <w:softHyphen/>
        <w:t>ременного шага и более повышенными тактическими требованиями.</w:t>
      </w:r>
    </w:p>
    <w:p w14:paraId="5FCA00C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Летные данные: 5000 м. - 350/360 км/час. </w:t>
      </w:r>
      <w:proofErr w:type="spellStart"/>
      <w:r w:rsidRPr="00A259BD">
        <w:rPr>
          <w:rFonts w:ascii="Times New Roman" w:hAnsi="Times New Roman"/>
          <w:color w:val="000000" w:themeColor="text1"/>
          <w:sz w:val="16"/>
          <w:szCs w:val="16"/>
        </w:rPr>
        <w:t>Подеем</w:t>
      </w:r>
      <w:proofErr w:type="spellEnd"/>
      <w:r w:rsidRPr="00A259BD">
        <w:rPr>
          <w:rFonts w:ascii="Times New Roman" w:hAnsi="Times New Roman"/>
          <w:color w:val="000000" w:themeColor="text1"/>
          <w:sz w:val="16"/>
          <w:szCs w:val="16"/>
        </w:rPr>
        <w:t xml:space="preserve"> на 5000 м. 3-4 м.</w:t>
      </w:r>
    </w:p>
    <w:p w14:paraId="638C29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И11-М37 - подобный И10 вариант </w:t>
      </w:r>
      <w:proofErr w:type="spellStart"/>
      <w:r w:rsidRPr="00A259BD">
        <w:rPr>
          <w:rFonts w:ascii="Times New Roman" w:hAnsi="Times New Roman"/>
          <w:color w:val="000000" w:themeColor="text1"/>
          <w:sz w:val="16"/>
          <w:szCs w:val="16"/>
        </w:rPr>
        <w:t>металиической</w:t>
      </w:r>
      <w:proofErr w:type="spellEnd"/>
      <w:r w:rsidRPr="00A259BD">
        <w:rPr>
          <w:rFonts w:ascii="Times New Roman" w:hAnsi="Times New Roman"/>
          <w:color w:val="000000" w:themeColor="text1"/>
          <w:sz w:val="16"/>
          <w:szCs w:val="16"/>
        </w:rPr>
        <w:t xml:space="preserve"> конструкции. Основным самолетом этой группы является самолет И4-Юп УП.</w:t>
      </w:r>
    </w:p>
    <w:p w14:paraId="131987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С моторам водяного охлаждения.</w:t>
      </w:r>
    </w:p>
    <w:p w14:paraId="557C98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и 8. И7-БМВ У1 - 7,3 - развитие осуществленного самолета И3</w:t>
      </w:r>
      <w:r w:rsidRPr="00A259BD">
        <w:rPr>
          <w:rFonts w:ascii="Times New Roman" w:hAnsi="Times New Roman"/>
          <w:color w:val="000000" w:themeColor="text1"/>
          <w:sz w:val="16"/>
          <w:szCs w:val="16"/>
        </w:rPr>
        <w:softHyphen/>
        <w:t xml:space="preserve">БМВ У1, </w:t>
      </w:r>
      <w:proofErr w:type="spellStart"/>
      <w:r w:rsidRPr="00A259BD">
        <w:rPr>
          <w:rFonts w:ascii="Times New Roman" w:hAnsi="Times New Roman"/>
          <w:color w:val="000000" w:themeColor="text1"/>
          <w:sz w:val="16"/>
          <w:szCs w:val="16"/>
        </w:rPr>
        <w:t>строющегося</w:t>
      </w:r>
      <w:proofErr w:type="spellEnd"/>
      <w:r w:rsidRPr="00A259BD">
        <w:rPr>
          <w:rFonts w:ascii="Times New Roman" w:hAnsi="Times New Roman"/>
          <w:color w:val="000000" w:themeColor="text1"/>
          <w:sz w:val="16"/>
          <w:szCs w:val="16"/>
        </w:rPr>
        <w:t xml:space="preserve"> в серии в отношении его облегчения в весо</w:t>
      </w:r>
      <w:r w:rsidRPr="00A259BD">
        <w:rPr>
          <w:rFonts w:ascii="Times New Roman" w:hAnsi="Times New Roman"/>
          <w:color w:val="000000" w:themeColor="text1"/>
          <w:sz w:val="16"/>
          <w:szCs w:val="16"/>
        </w:rPr>
        <w:softHyphen/>
        <w:t>вом отношении путем замены на мотор более легковесный с целью повышения летних качеств И3 и его маневренности; в последую</w:t>
      </w:r>
      <w:r w:rsidRPr="00A259BD">
        <w:rPr>
          <w:rFonts w:ascii="Times New Roman" w:hAnsi="Times New Roman"/>
          <w:color w:val="000000" w:themeColor="text1"/>
          <w:sz w:val="16"/>
          <w:szCs w:val="16"/>
        </w:rPr>
        <w:softHyphen/>
        <w:t xml:space="preserve">щих вариантах </w:t>
      </w:r>
      <w:proofErr w:type="spellStart"/>
      <w:r w:rsidRPr="00A259BD">
        <w:rPr>
          <w:rFonts w:ascii="Times New Roman" w:hAnsi="Times New Roman"/>
          <w:color w:val="000000" w:themeColor="text1"/>
          <w:sz w:val="16"/>
          <w:szCs w:val="16"/>
        </w:rPr>
        <w:t>преду</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оматривается</w:t>
      </w:r>
      <w:proofErr w:type="spellEnd"/>
      <w:r w:rsidRPr="00A259BD">
        <w:rPr>
          <w:rFonts w:ascii="Times New Roman" w:hAnsi="Times New Roman"/>
          <w:color w:val="000000" w:themeColor="text1"/>
          <w:sz w:val="16"/>
          <w:szCs w:val="16"/>
        </w:rPr>
        <w:t xml:space="preserve"> установка мотора М30 отечественного производства.</w:t>
      </w:r>
    </w:p>
    <w:p w14:paraId="27F226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Летные данные 5000 м. - 270/280 км/ч. Подъем на 5000 м. 9-10 мин...</w:t>
      </w:r>
    </w:p>
    <w:p w14:paraId="0FB1A2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...том переменного шага и более повышенным тактическим требованиям и высоких летных качеств, повышенных нагрузок и огневого действия.</w:t>
      </w:r>
    </w:p>
    <w:p w14:paraId="2CA7F5D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Летные данные: 5000 м. - 350 км/час. Подъем на 500 м. 5-6 мин.</w:t>
      </w:r>
    </w:p>
    <w:p w14:paraId="428EE9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И12-М34- подобный И9, вариант самолета металлической конструк</w:t>
      </w:r>
      <w:r w:rsidRPr="00A259BD">
        <w:rPr>
          <w:rFonts w:ascii="Times New Roman" w:hAnsi="Times New Roman"/>
          <w:color w:val="000000" w:themeColor="text1"/>
          <w:sz w:val="16"/>
          <w:szCs w:val="16"/>
        </w:rPr>
        <w:softHyphen/>
        <w:t>ции.</w:t>
      </w:r>
    </w:p>
    <w:p w14:paraId="7FAF66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Двухместные.</w:t>
      </w:r>
    </w:p>
    <w:p w14:paraId="06FA6A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Д2-БМВ У1 7,3 - опытный двухместный истребитель деревянной кон </w:t>
      </w:r>
      <w:proofErr w:type="spellStart"/>
      <w:r w:rsidRPr="00A259BD">
        <w:rPr>
          <w:rFonts w:ascii="Times New Roman" w:hAnsi="Times New Roman"/>
          <w:color w:val="000000" w:themeColor="text1"/>
          <w:sz w:val="16"/>
          <w:szCs w:val="16"/>
        </w:rPr>
        <w:t>струкцйи</w:t>
      </w:r>
      <w:proofErr w:type="spellEnd"/>
      <w:r w:rsidRPr="00A259BD">
        <w:rPr>
          <w:rFonts w:ascii="Times New Roman" w:hAnsi="Times New Roman"/>
          <w:color w:val="000000" w:themeColor="text1"/>
          <w:sz w:val="16"/>
          <w:szCs w:val="16"/>
        </w:rPr>
        <w:t>, построенный применительно к тактическим требованиям 1928/29 г. Летные данные 5000 м. - 260/270 км/час. Подъем на 5000 м. 14-15 мин.</w:t>
      </w:r>
    </w:p>
    <w:p w14:paraId="4FDFFB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Д2-БМВ У1 - модифицированный вариант Д2-БМВ У1 применительно к заданиям ночного истребителя, путем увеличения метража крыльев или введения конструкции разрезных крыльев для уменьшения посадочной скорости.</w:t>
      </w:r>
    </w:p>
    <w:p w14:paraId="5EB7FDE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НДЗ-М32 или М34 - дальнейшее развитие самолета Д2 под более мощный и высотный мотор с винтом переменного шага по повышенным тактическим данным.</w:t>
      </w:r>
    </w:p>
    <w:p w14:paraId="5395683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Летные качества: 5000 м. - 300-325 км/час. Подъем на 5000 м.- 8-10 мин.</w:t>
      </w:r>
    </w:p>
    <w:p w14:paraId="25CB7D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Многоместные.</w:t>
      </w:r>
    </w:p>
    <w:p w14:paraId="0A9816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14. и 15 ИК1-2БМВУ1 - 7,3. Крейсерский двухмоторный многоместный истребитель, отличающийся большой огневой мощью. Летные данные и пр. тактические свойства ставятся в зависимость от результатов испытаний построенного самолета крейсерского разведчика Р6-2БМВ /</w:t>
      </w:r>
      <w:proofErr w:type="spellStart"/>
      <w:r w:rsidRPr="00A259BD">
        <w:rPr>
          <w:rFonts w:ascii="Times New Roman" w:hAnsi="Times New Roman"/>
          <w:color w:val="000000" w:themeColor="text1"/>
          <w:sz w:val="16"/>
          <w:szCs w:val="16"/>
        </w:rPr>
        <w:t>авг</w:t>
      </w:r>
      <w:proofErr w:type="spellEnd"/>
      <w:r w:rsidRPr="00A259BD">
        <w:rPr>
          <w:rFonts w:ascii="Times New Roman" w:hAnsi="Times New Roman"/>
          <w:color w:val="000000" w:themeColor="text1"/>
          <w:sz w:val="16"/>
          <w:szCs w:val="16"/>
        </w:rPr>
        <w:t>-сент. 1929 г./. Дальнейшее развитие этого самолета предусматри</w:t>
      </w:r>
      <w:r w:rsidRPr="00A259BD">
        <w:rPr>
          <w:rFonts w:ascii="Times New Roman" w:hAnsi="Times New Roman"/>
          <w:color w:val="000000" w:themeColor="text1"/>
          <w:sz w:val="16"/>
          <w:szCs w:val="16"/>
        </w:rPr>
        <w:softHyphen/>
        <w:t>вается под более мощные и высотные моторы /М32 или М34/ с винтом переменного шага под более повышенные тактические и летные качест</w:t>
      </w:r>
      <w:r w:rsidRPr="00A259BD">
        <w:rPr>
          <w:rFonts w:ascii="Times New Roman" w:hAnsi="Times New Roman"/>
          <w:color w:val="000000" w:themeColor="text1"/>
          <w:sz w:val="16"/>
          <w:szCs w:val="16"/>
        </w:rPr>
        <w:softHyphen/>
        <w:t xml:space="preserve">ва. Для этой цели самолет ИК1 должен иметь съемные </w:t>
      </w:r>
      <w:proofErr w:type="spellStart"/>
      <w:r w:rsidRPr="00A259BD">
        <w:rPr>
          <w:rFonts w:ascii="Times New Roman" w:hAnsi="Times New Roman"/>
          <w:color w:val="000000" w:themeColor="text1"/>
          <w:sz w:val="16"/>
          <w:szCs w:val="16"/>
        </w:rPr>
        <w:t>мотоустановки</w:t>
      </w:r>
      <w:proofErr w:type="spellEnd"/>
      <w:r w:rsidRPr="00A259BD">
        <w:rPr>
          <w:rFonts w:ascii="Times New Roman" w:hAnsi="Times New Roman"/>
          <w:color w:val="000000" w:themeColor="text1"/>
          <w:sz w:val="16"/>
          <w:szCs w:val="16"/>
        </w:rPr>
        <w:t>.</w:t>
      </w:r>
    </w:p>
    <w:p w14:paraId="07AE385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Задания на 2 половину пятилетки: 5000 м. - 300-310 км/час. Подъем на 5000 м. - 10-12 мин.</w:t>
      </w:r>
    </w:p>
    <w:p w14:paraId="41B350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 Группа разведчиков.</w:t>
      </w:r>
    </w:p>
    <w:p w14:paraId="1722EB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Армейские</w:t>
      </w:r>
    </w:p>
    <w:p w14:paraId="31B73A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Р5-БМВ У1 - армейский разведчик, он же легкий бомбардировщик деревянной конструкции </w:t>
      </w:r>
      <w:proofErr w:type="spellStart"/>
      <w:r w:rsidRPr="00A259BD">
        <w:rPr>
          <w:rFonts w:ascii="Times New Roman" w:hAnsi="Times New Roman"/>
          <w:color w:val="000000" w:themeColor="text1"/>
          <w:sz w:val="16"/>
          <w:szCs w:val="16"/>
        </w:rPr>
        <w:t>построени</w:t>
      </w:r>
      <w:proofErr w:type="spellEnd"/>
      <w:r w:rsidRPr="00A259BD">
        <w:rPr>
          <w:rFonts w:ascii="Times New Roman" w:hAnsi="Times New Roman"/>
          <w:color w:val="000000" w:themeColor="text1"/>
          <w:sz w:val="16"/>
          <w:szCs w:val="16"/>
        </w:rPr>
        <w:t xml:space="preserve"> по требованиям 1927/28 г. 3000 м....</w:t>
      </w:r>
    </w:p>
    <w:p w14:paraId="5D42F8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...Летные качества те же.</w:t>
      </w:r>
    </w:p>
    <w:p w14:paraId="6D556F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 Р8-М33 - дальнейшее развитие самолета Р7 под более мощный и высотный мотор /М33 - 700/800 НР/ с винтом переменного </w:t>
      </w:r>
      <w:proofErr w:type="spellStart"/>
      <w:r w:rsidRPr="00A259BD">
        <w:rPr>
          <w:rFonts w:ascii="Times New Roman" w:hAnsi="Times New Roman"/>
          <w:color w:val="000000" w:themeColor="text1"/>
          <w:sz w:val="16"/>
          <w:szCs w:val="16"/>
        </w:rPr>
        <w:t>шга</w:t>
      </w:r>
      <w:proofErr w:type="spellEnd"/>
      <w:r w:rsidRPr="00A259BD">
        <w:rPr>
          <w:rFonts w:ascii="Times New Roman" w:hAnsi="Times New Roman"/>
          <w:color w:val="000000" w:themeColor="text1"/>
          <w:sz w:val="16"/>
          <w:szCs w:val="16"/>
        </w:rPr>
        <w:t xml:space="preserve"> и более повышенным тактическим требованием, как для армейского раз</w:t>
      </w:r>
      <w:r w:rsidRPr="00A259BD">
        <w:rPr>
          <w:rFonts w:ascii="Times New Roman" w:hAnsi="Times New Roman"/>
          <w:color w:val="000000" w:themeColor="text1"/>
          <w:sz w:val="16"/>
          <w:szCs w:val="16"/>
        </w:rPr>
        <w:softHyphen/>
        <w:t xml:space="preserve">ведчика /без бомб/ с увеличенном запасом горючего /8-10 час./. Летные данные: 5000 м.- 250/260 км/час. </w:t>
      </w:r>
      <w:proofErr w:type="spellStart"/>
      <w:r w:rsidRPr="00A259BD">
        <w:rPr>
          <w:rFonts w:ascii="Times New Roman" w:hAnsi="Times New Roman"/>
          <w:color w:val="000000" w:themeColor="text1"/>
          <w:sz w:val="16"/>
          <w:szCs w:val="16"/>
        </w:rPr>
        <w:t>Под"ем</w:t>
      </w:r>
      <w:proofErr w:type="spellEnd"/>
      <w:r w:rsidRPr="00A259BD">
        <w:rPr>
          <w:rFonts w:ascii="Times New Roman" w:hAnsi="Times New Roman"/>
          <w:color w:val="000000" w:themeColor="text1"/>
          <w:sz w:val="16"/>
          <w:szCs w:val="16"/>
        </w:rPr>
        <w:t xml:space="preserve"> на 5000 м. - 10-12 мин.</w:t>
      </w:r>
    </w:p>
    <w:p w14:paraId="01A71A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Р9-М33 - подобный самолету Р8-М33 вариант смешанной конструкции.</w:t>
      </w:r>
    </w:p>
    <w:p w14:paraId="02C1922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Крейсерские.</w:t>
      </w:r>
    </w:p>
    <w:p w14:paraId="5710AC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22 и 23. Р6-2БМВ У1 - дальний крейсерский многоместный двухмоторный металлический разведчик /он же самолет воздушного боя/. Строится по тактическим требованием 1927/28 г. при данных 5000 - 220/230 км/час. </w:t>
      </w:r>
      <w:proofErr w:type="spellStart"/>
      <w:r w:rsidRPr="00A259BD">
        <w:rPr>
          <w:rFonts w:ascii="Times New Roman" w:hAnsi="Times New Roman"/>
          <w:color w:val="000000" w:themeColor="text1"/>
          <w:sz w:val="16"/>
          <w:szCs w:val="16"/>
        </w:rPr>
        <w:t>Под"ем</w:t>
      </w:r>
      <w:proofErr w:type="spellEnd"/>
      <w:r w:rsidRPr="00A259BD">
        <w:rPr>
          <w:rFonts w:ascii="Times New Roman" w:hAnsi="Times New Roman"/>
          <w:color w:val="000000" w:themeColor="text1"/>
          <w:sz w:val="16"/>
          <w:szCs w:val="16"/>
        </w:rPr>
        <w:t xml:space="preserve"> на 5000 м - 20-22 мин. Дальнейшее развитие этого типа после получения результатов испытаний Р6 предусматри</w:t>
      </w:r>
      <w:r w:rsidRPr="00A259BD">
        <w:rPr>
          <w:rFonts w:ascii="Times New Roman" w:hAnsi="Times New Roman"/>
          <w:color w:val="000000" w:themeColor="text1"/>
          <w:sz w:val="16"/>
          <w:szCs w:val="16"/>
        </w:rPr>
        <w:softHyphen/>
        <w:t>вается под моторы М33 /или М34 - 700/840 и 750/900 л.с./. Ориентиро</w:t>
      </w:r>
      <w:r w:rsidRPr="00A259BD">
        <w:rPr>
          <w:rFonts w:ascii="Times New Roman" w:hAnsi="Times New Roman"/>
          <w:color w:val="000000" w:themeColor="text1"/>
          <w:sz w:val="16"/>
          <w:szCs w:val="16"/>
        </w:rPr>
        <w:softHyphen/>
        <w:t xml:space="preserve">вочные летные качества У 5000 - 250/270 км/час. Подъем на 5000 м. - 16-18 м. Установка моторов М33 и М34 может быть произведена на самолете Р6 , </w:t>
      </w:r>
      <w:proofErr w:type="spellStart"/>
      <w:r w:rsidRPr="00A259BD">
        <w:rPr>
          <w:rFonts w:ascii="Times New Roman" w:hAnsi="Times New Roman"/>
          <w:color w:val="000000" w:themeColor="text1"/>
          <w:sz w:val="16"/>
          <w:szCs w:val="16"/>
        </w:rPr>
        <w:t>предусматришющем</w:t>
      </w:r>
      <w:proofErr w:type="spellEnd"/>
      <w:r w:rsidRPr="00A259BD">
        <w:rPr>
          <w:rFonts w:ascii="Times New Roman" w:hAnsi="Times New Roman"/>
          <w:color w:val="000000" w:themeColor="text1"/>
          <w:sz w:val="16"/>
          <w:szCs w:val="16"/>
        </w:rPr>
        <w:t xml:space="preserve"> съемную </w:t>
      </w:r>
      <w:proofErr w:type="spellStart"/>
      <w:r w:rsidRPr="00A259BD">
        <w:rPr>
          <w:rFonts w:ascii="Times New Roman" w:hAnsi="Times New Roman"/>
          <w:color w:val="000000" w:themeColor="text1"/>
          <w:sz w:val="16"/>
          <w:szCs w:val="16"/>
        </w:rPr>
        <w:t>мотоустановку</w:t>
      </w:r>
      <w:proofErr w:type="spellEnd"/>
      <w:r w:rsidRPr="00A259BD">
        <w:rPr>
          <w:rFonts w:ascii="Times New Roman" w:hAnsi="Times New Roman"/>
          <w:color w:val="000000" w:themeColor="text1"/>
          <w:sz w:val="16"/>
          <w:szCs w:val="16"/>
        </w:rPr>
        <w:t xml:space="preserve"> на серийном самолете.</w:t>
      </w:r>
    </w:p>
    <w:p w14:paraId="35BC306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НР-500/700 НР - ночной разведчик, рассматривается как приспо</w:t>
      </w:r>
      <w:r w:rsidRPr="00A259BD">
        <w:rPr>
          <w:rFonts w:ascii="Times New Roman" w:hAnsi="Times New Roman"/>
          <w:color w:val="000000" w:themeColor="text1"/>
          <w:sz w:val="16"/>
          <w:szCs w:val="16"/>
        </w:rPr>
        <w:softHyphen/>
        <w:t>собление типа Р5 или Р7 под задания ночного разведчика.</w:t>
      </w:r>
    </w:p>
    <w:p w14:paraId="0F99FE0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III. Войсковые самолеты .</w:t>
      </w:r>
    </w:p>
    <w:p w14:paraId="21B3B3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КРК1-2 м. 300/400 НР. Двухмоторный, трехместный корпусной разведчик - корректировщик. Летные качества еще не определены.</w:t>
      </w:r>
    </w:p>
    <w:p w14:paraId="060A735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IV. Специального назначения.</w:t>
      </w:r>
    </w:p>
    <w:p w14:paraId="59F704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ХБ-М30 НР - химический боевик для химического действия разбрызгиванием в оперативной и тактической зонах и маскировка </w:t>
      </w:r>
      <w:proofErr w:type="spellStart"/>
      <w:r w:rsidRPr="00A259BD">
        <w:rPr>
          <w:rFonts w:ascii="Times New Roman" w:hAnsi="Times New Roman"/>
          <w:color w:val="000000" w:themeColor="text1"/>
          <w:sz w:val="16"/>
          <w:szCs w:val="16"/>
        </w:rPr>
        <w:t>химвещест</w:t>
      </w:r>
      <w:r w:rsidRPr="00A259BD">
        <w:rPr>
          <w:rFonts w:ascii="Times New Roman" w:hAnsi="Times New Roman"/>
          <w:color w:val="000000" w:themeColor="text1"/>
          <w:sz w:val="16"/>
          <w:szCs w:val="16"/>
        </w:rPr>
        <w:softHyphen/>
        <w:t>вами</w:t>
      </w:r>
      <w:proofErr w:type="spellEnd"/>
      <w:r w:rsidRPr="00A259BD">
        <w:rPr>
          <w:rFonts w:ascii="Times New Roman" w:hAnsi="Times New Roman"/>
          <w:color w:val="000000" w:themeColor="text1"/>
          <w:sz w:val="16"/>
          <w:szCs w:val="16"/>
        </w:rPr>
        <w:t xml:space="preserve"> на поле боя. Может быть приспособлен для этой цели либо самолет </w:t>
      </w:r>
      <w:proofErr w:type="spellStart"/>
      <w:r w:rsidRPr="00A259BD">
        <w:rPr>
          <w:rFonts w:ascii="Times New Roman" w:hAnsi="Times New Roman"/>
          <w:color w:val="000000" w:themeColor="text1"/>
          <w:sz w:val="16"/>
          <w:szCs w:val="16"/>
        </w:rPr>
        <w:t>сярийной</w:t>
      </w:r>
      <w:proofErr w:type="spellEnd"/>
      <w:r w:rsidRPr="00A259BD">
        <w:rPr>
          <w:rFonts w:ascii="Times New Roman" w:hAnsi="Times New Roman"/>
          <w:color w:val="000000" w:themeColor="text1"/>
          <w:sz w:val="16"/>
          <w:szCs w:val="16"/>
        </w:rPr>
        <w:t xml:space="preserve"> постройки Р3-М5, либо Р7-БМВ У1.</w:t>
      </w:r>
    </w:p>
    <w:p w14:paraId="746268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КС1-65/80 НР - самолет для связи кавалерии двухместный, метал</w:t>
      </w:r>
      <w:r w:rsidRPr="00A259BD">
        <w:rPr>
          <w:rFonts w:ascii="Times New Roman" w:hAnsi="Times New Roman"/>
          <w:color w:val="000000" w:themeColor="text1"/>
          <w:sz w:val="16"/>
          <w:szCs w:val="16"/>
        </w:rPr>
        <w:softHyphen/>
        <w:t>лический со складными крыльями. Летные качества еще не определены...</w:t>
      </w:r>
    </w:p>
    <w:p w14:paraId="7E48DB3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...строящийся применительно к требованиям 1927/28 г. /</w:t>
      </w:r>
      <w:proofErr w:type="spellStart"/>
      <w:r w:rsidRPr="00A259BD">
        <w:rPr>
          <w:rFonts w:ascii="Times New Roman" w:hAnsi="Times New Roman"/>
          <w:color w:val="000000" w:themeColor="text1"/>
          <w:sz w:val="16"/>
          <w:szCs w:val="16"/>
        </w:rPr>
        <w:t>параллельнно</w:t>
      </w:r>
      <w:proofErr w:type="spellEnd"/>
      <w:r w:rsidRPr="00A259BD">
        <w:rPr>
          <w:rFonts w:ascii="Times New Roman" w:hAnsi="Times New Roman"/>
          <w:color w:val="000000" w:themeColor="text1"/>
          <w:sz w:val="16"/>
          <w:szCs w:val="16"/>
        </w:rPr>
        <w:t xml:space="preserve"> строящемуся в серии металлическому самолету - ТБ1/. Летные данные: 3000 м. - 195-197 км /час. Подъем на 3000 м - 11.19-20 мин. Сбрасывае</w:t>
      </w:r>
      <w:r w:rsidRPr="00A259BD">
        <w:rPr>
          <w:rFonts w:ascii="Times New Roman" w:hAnsi="Times New Roman"/>
          <w:color w:val="000000" w:themeColor="text1"/>
          <w:sz w:val="16"/>
          <w:szCs w:val="16"/>
        </w:rPr>
        <w:softHyphen/>
        <w:t xml:space="preserve">мый груз - 800-1200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w:t>
      </w:r>
    </w:p>
    <w:p w14:paraId="4C0ECD7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ТБЗ-2000/2400 НР - металлический 4-х моторный тяжелый </w:t>
      </w:r>
      <w:proofErr w:type="spellStart"/>
      <w:r w:rsidRPr="00A259BD">
        <w:rPr>
          <w:rFonts w:ascii="Times New Roman" w:hAnsi="Times New Roman"/>
          <w:color w:val="000000" w:themeColor="text1"/>
          <w:sz w:val="16"/>
          <w:szCs w:val="16"/>
        </w:rPr>
        <w:t>бомбардирозщик</w:t>
      </w:r>
      <w:proofErr w:type="spellEnd"/>
      <w:r w:rsidRPr="00A259BD">
        <w:rPr>
          <w:rFonts w:ascii="Times New Roman" w:hAnsi="Times New Roman"/>
          <w:color w:val="000000" w:themeColor="text1"/>
          <w:sz w:val="16"/>
          <w:szCs w:val="16"/>
        </w:rPr>
        <w:t xml:space="preserve">, строящийся по заданию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с </w:t>
      </w:r>
      <w:proofErr w:type="spellStart"/>
      <w:r w:rsidRPr="00A259BD">
        <w:rPr>
          <w:rFonts w:ascii="Times New Roman" w:hAnsi="Times New Roman"/>
          <w:color w:val="000000" w:themeColor="text1"/>
          <w:sz w:val="16"/>
          <w:szCs w:val="16"/>
        </w:rPr>
        <w:t>предусмотреннием</w:t>
      </w:r>
      <w:proofErr w:type="spellEnd"/>
      <w:r w:rsidRPr="00A259BD">
        <w:rPr>
          <w:rFonts w:ascii="Times New Roman" w:hAnsi="Times New Roman"/>
          <w:color w:val="000000" w:themeColor="text1"/>
          <w:sz w:val="16"/>
          <w:szCs w:val="16"/>
        </w:rPr>
        <w:t xml:space="preserve"> требований УВВС. Требования предусматриваются.</w:t>
      </w:r>
    </w:p>
    <w:p w14:paraId="6EEDD54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ТБ4-4 М39 или М40 - дальнейшее развитие ТБ2 под моторы 700/840 и 750/900 НР, путем увеличения количества сбрасываемого груза до 3000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xml:space="preserve">. Летные данные: 3000 м. - 230/240 км/час. </w:t>
      </w:r>
      <w:proofErr w:type="spellStart"/>
      <w:r w:rsidRPr="00A259BD">
        <w:rPr>
          <w:rFonts w:ascii="Times New Roman" w:hAnsi="Times New Roman"/>
          <w:color w:val="000000" w:themeColor="text1"/>
          <w:sz w:val="16"/>
          <w:szCs w:val="16"/>
        </w:rPr>
        <w:t>Под"ем</w:t>
      </w:r>
      <w:proofErr w:type="spellEnd"/>
      <w:r w:rsidRPr="00A259BD">
        <w:rPr>
          <w:rFonts w:ascii="Times New Roman" w:hAnsi="Times New Roman"/>
          <w:color w:val="000000" w:themeColor="text1"/>
          <w:sz w:val="16"/>
          <w:szCs w:val="16"/>
        </w:rPr>
        <w:t xml:space="preserve"> на 3000 м. - 12-15 м.</w:t>
      </w:r>
    </w:p>
    <w:p w14:paraId="351CE13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ТБ-4 М35 - то же под моторы мощностью 1250/1500 НР, с доведением количества сбрасываемого груза до 5000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xml:space="preserve">. Летные </w:t>
      </w:r>
      <w:proofErr w:type="spellStart"/>
      <w:r w:rsidRPr="00A259BD">
        <w:rPr>
          <w:rFonts w:ascii="Times New Roman" w:hAnsi="Times New Roman"/>
          <w:color w:val="000000" w:themeColor="text1"/>
          <w:sz w:val="16"/>
          <w:szCs w:val="16"/>
        </w:rPr>
        <w:t>даннь</w:t>
      </w:r>
      <w:proofErr w:type="spellEnd"/>
      <w:r w:rsidRPr="00A259BD">
        <w:rPr>
          <w:rFonts w:ascii="Times New Roman" w:hAnsi="Times New Roman"/>
          <w:color w:val="000000" w:themeColor="text1"/>
          <w:sz w:val="16"/>
          <w:szCs w:val="16"/>
        </w:rPr>
        <w:t xml:space="preserve"> 3000 м. - 250-270 км/час. </w:t>
      </w:r>
      <w:proofErr w:type="spellStart"/>
      <w:r w:rsidRPr="00A259BD">
        <w:rPr>
          <w:rFonts w:ascii="Times New Roman" w:hAnsi="Times New Roman"/>
          <w:color w:val="000000" w:themeColor="text1"/>
          <w:sz w:val="16"/>
          <w:szCs w:val="16"/>
        </w:rPr>
        <w:t>Под"ем</w:t>
      </w:r>
      <w:proofErr w:type="spellEnd"/>
      <w:r w:rsidRPr="00A259BD">
        <w:rPr>
          <w:rFonts w:ascii="Times New Roman" w:hAnsi="Times New Roman"/>
          <w:color w:val="000000" w:themeColor="text1"/>
          <w:sz w:val="16"/>
          <w:szCs w:val="16"/>
        </w:rPr>
        <w:t xml:space="preserve"> на 3000 м. - 15-20 мин.</w:t>
      </w:r>
    </w:p>
    <w:p w14:paraId="2FF8A0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32. Т-БМВУ1 или М30 - сухопутный одномоторный ближнего действия </w:t>
      </w:r>
      <w:proofErr w:type="spellStart"/>
      <w:r w:rsidRPr="00A259BD">
        <w:rPr>
          <w:rFonts w:ascii="Times New Roman" w:hAnsi="Times New Roman"/>
          <w:color w:val="000000" w:themeColor="text1"/>
          <w:sz w:val="16"/>
          <w:szCs w:val="16"/>
        </w:rPr>
        <w:t>торпедоно.сец</w:t>
      </w:r>
      <w:proofErr w:type="spellEnd"/>
      <w:r w:rsidRPr="00A259BD">
        <w:rPr>
          <w:rFonts w:ascii="Times New Roman" w:hAnsi="Times New Roman"/>
          <w:color w:val="000000" w:themeColor="text1"/>
          <w:sz w:val="16"/>
          <w:szCs w:val="16"/>
        </w:rPr>
        <w:t xml:space="preserve"> по типу английских Блэкберн, Х-Пейджи и др. может быть приспособлен самолет Р5 или Р7 - путем изменения конструкции шасси.</w:t>
      </w:r>
    </w:p>
    <w:p w14:paraId="702D28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У1. Приспособления самолетов для </w:t>
      </w:r>
      <w:proofErr w:type="spellStart"/>
      <w:r w:rsidRPr="00A259BD">
        <w:rPr>
          <w:rFonts w:ascii="Times New Roman" w:hAnsi="Times New Roman"/>
          <w:color w:val="000000" w:themeColor="text1"/>
          <w:sz w:val="16"/>
          <w:szCs w:val="16"/>
        </w:rPr>
        <w:t>штурювиков</w:t>
      </w:r>
      <w:proofErr w:type="spellEnd"/>
      <w:r w:rsidRPr="00A259BD">
        <w:rPr>
          <w:rFonts w:ascii="Times New Roman" w:hAnsi="Times New Roman"/>
          <w:color w:val="000000" w:themeColor="text1"/>
          <w:sz w:val="16"/>
          <w:szCs w:val="16"/>
        </w:rPr>
        <w:t>.</w:t>
      </w:r>
    </w:p>
    <w:p w14:paraId="0F77244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 ШЛ-400/600 НР - легкий штурмовой металлический самолет предполагается путем приспособления одного из серийных самолетов РЗ-М5 или Р7-БМВУ1.</w:t>
      </w:r>
    </w:p>
    <w:p w14:paraId="68B825D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34. ШТ-2БМВУ1 - тяжелый штурмовой металлический самолет, </w:t>
      </w:r>
      <w:proofErr w:type="spellStart"/>
      <w:r w:rsidRPr="00A259BD">
        <w:rPr>
          <w:rFonts w:ascii="Times New Roman" w:hAnsi="Times New Roman"/>
          <w:color w:val="000000" w:themeColor="text1"/>
          <w:sz w:val="16"/>
          <w:szCs w:val="16"/>
        </w:rPr>
        <w:t>предпо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лагается</w:t>
      </w:r>
      <w:proofErr w:type="spellEnd"/>
      <w:r w:rsidRPr="00A259BD">
        <w:rPr>
          <w:rFonts w:ascii="Times New Roman" w:hAnsi="Times New Roman"/>
          <w:color w:val="000000" w:themeColor="text1"/>
          <w:sz w:val="16"/>
          <w:szCs w:val="16"/>
        </w:rPr>
        <w:t xml:space="preserve"> путем приспособления - один-из серийных самолетов ТБ1-2БМВУ1.</w:t>
      </w:r>
    </w:p>
    <w:p w14:paraId="7B9085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указанных работ предусматриваются дополнительные работы по постройке стальных сварных фюзеляжей для самолетов: Р5-БМВУ1, И7-БМВУ1, Д2-БМВУ1, Р7-БИМУ1.</w:t>
      </w:r>
    </w:p>
    <w:p w14:paraId="7266AA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Ориентировочная стоимость опытных сухопутных самолетов.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850"/>
        <w:gridCol w:w="2661"/>
      </w:tblGrid>
      <w:tr w:rsidR="00A259BD" w:rsidRPr="00A259BD" w14:paraId="10C6FEAF" w14:textId="77777777">
        <w:trPr>
          <w:trHeight w:val="357"/>
        </w:trPr>
        <w:tc>
          <w:tcPr>
            <w:tcW w:w="4850" w:type="dxa"/>
            <w:tcBorders>
              <w:top w:val="single" w:sz="12" w:space="0" w:color="auto"/>
            </w:tcBorders>
          </w:tcPr>
          <w:p w14:paraId="67B354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И6-Юп У1 /</w:t>
            </w:r>
            <w:proofErr w:type="spellStart"/>
            <w:r w:rsidRPr="00A259BD">
              <w:rPr>
                <w:rFonts w:ascii="Times New Roman" w:hAnsi="Times New Roman"/>
                <w:color w:val="000000" w:themeColor="text1"/>
                <w:sz w:val="16"/>
                <w:szCs w:val="16"/>
              </w:rPr>
              <w:t>Юп</w:t>
            </w:r>
            <w:proofErr w:type="spellEnd"/>
            <w:r w:rsidRPr="00A259BD">
              <w:rPr>
                <w:rFonts w:ascii="Times New Roman" w:hAnsi="Times New Roman"/>
                <w:color w:val="000000" w:themeColor="text1"/>
                <w:sz w:val="16"/>
                <w:szCs w:val="16"/>
              </w:rPr>
              <w:t>-УП/</w:t>
            </w:r>
          </w:p>
        </w:tc>
        <w:tc>
          <w:tcPr>
            <w:tcW w:w="2661" w:type="dxa"/>
            <w:tcBorders>
              <w:top w:val="single" w:sz="12" w:space="0" w:color="auto"/>
            </w:tcBorders>
          </w:tcPr>
          <w:p w14:paraId="65CD51C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80.000 руб.</w:t>
            </w:r>
          </w:p>
        </w:tc>
      </w:tr>
      <w:tr w:rsidR="00A259BD" w:rsidRPr="00A259BD" w14:paraId="787EB1AF" w14:textId="77777777">
        <w:trPr>
          <w:trHeight w:val="357"/>
        </w:trPr>
        <w:tc>
          <w:tcPr>
            <w:tcW w:w="4850" w:type="dxa"/>
          </w:tcPr>
          <w:p w14:paraId="3D254C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И4-Юп УП</w:t>
            </w:r>
          </w:p>
        </w:tc>
        <w:tc>
          <w:tcPr>
            <w:tcW w:w="2661" w:type="dxa"/>
          </w:tcPr>
          <w:p w14:paraId="5AFB5F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 руб.</w:t>
            </w:r>
          </w:p>
        </w:tc>
      </w:tr>
      <w:tr w:rsidR="00A259BD" w:rsidRPr="00A259BD" w14:paraId="02C2E5CA" w14:textId="77777777">
        <w:trPr>
          <w:trHeight w:val="357"/>
        </w:trPr>
        <w:tc>
          <w:tcPr>
            <w:tcW w:w="4850" w:type="dxa"/>
          </w:tcPr>
          <w:p w14:paraId="2F73883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И5-Юп УП</w:t>
            </w:r>
          </w:p>
        </w:tc>
        <w:tc>
          <w:tcPr>
            <w:tcW w:w="2661" w:type="dxa"/>
          </w:tcPr>
          <w:p w14:paraId="7E3CEF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 руб.</w:t>
            </w:r>
          </w:p>
        </w:tc>
      </w:tr>
      <w:tr w:rsidR="00A259BD" w:rsidRPr="00A259BD" w14:paraId="0DF16FF9" w14:textId="77777777">
        <w:trPr>
          <w:trHeight w:val="357"/>
        </w:trPr>
        <w:tc>
          <w:tcPr>
            <w:tcW w:w="4850" w:type="dxa"/>
          </w:tcPr>
          <w:p w14:paraId="09F61D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И3-Юп УП</w:t>
            </w:r>
          </w:p>
        </w:tc>
        <w:tc>
          <w:tcPr>
            <w:tcW w:w="2661" w:type="dxa"/>
          </w:tcPr>
          <w:p w14:paraId="41CDC4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42A99EA" w14:textId="77777777">
        <w:trPr>
          <w:trHeight w:val="357"/>
        </w:trPr>
        <w:tc>
          <w:tcPr>
            <w:tcW w:w="4850" w:type="dxa"/>
          </w:tcPr>
          <w:p w14:paraId="026167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И10-М37</w:t>
            </w:r>
          </w:p>
        </w:tc>
        <w:tc>
          <w:tcPr>
            <w:tcW w:w="2661" w:type="dxa"/>
          </w:tcPr>
          <w:p w14:paraId="6DBDC4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77C647E" w14:textId="77777777">
        <w:trPr>
          <w:trHeight w:val="357"/>
        </w:trPr>
        <w:tc>
          <w:tcPr>
            <w:tcW w:w="4850" w:type="dxa"/>
          </w:tcPr>
          <w:p w14:paraId="115F69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ИИ-М37 .</w:t>
            </w:r>
          </w:p>
        </w:tc>
        <w:tc>
          <w:tcPr>
            <w:tcW w:w="2661" w:type="dxa"/>
          </w:tcPr>
          <w:p w14:paraId="144EA0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 руб.</w:t>
            </w:r>
          </w:p>
        </w:tc>
      </w:tr>
      <w:tr w:rsidR="00A259BD" w:rsidRPr="00A259BD" w14:paraId="19B73958" w14:textId="77777777">
        <w:trPr>
          <w:trHeight w:val="426"/>
        </w:trPr>
        <w:tc>
          <w:tcPr>
            <w:tcW w:w="4850" w:type="dxa"/>
          </w:tcPr>
          <w:p w14:paraId="6A2805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И7-БМВУ1 7.3 .</w:t>
            </w:r>
          </w:p>
        </w:tc>
        <w:tc>
          <w:tcPr>
            <w:tcW w:w="2661" w:type="dxa"/>
          </w:tcPr>
          <w:p w14:paraId="1C5C3D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90.000 руб.</w:t>
            </w:r>
          </w:p>
        </w:tc>
      </w:tr>
      <w:tr w:rsidR="00A259BD" w:rsidRPr="00A259BD" w14:paraId="3A19615C" w14:textId="77777777">
        <w:trPr>
          <w:trHeight w:val="403"/>
        </w:trPr>
        <w:tc>
          <w:tcPr>
            <w:tcW w:w="4850" w:type="dxa"/>
          </w:tcPr>
          <w:p w14:paraId="251FA5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И7-М30 .</w:t>
            </w:r>
          </w:p>
        </w:tc>
        <w:tc>
          <w:tcPr>
            <w:tcW w:w="2661" w:type="dxa"/>
          </w:tcPr>
          <w:p w14:paraId="4A1C489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80.000 руб.</w:t>
            </w:r>
          </w:p>
        </w:tc>
      </w:tr>
      <w:tr w:rsidR="00A259BD" w:rsidRPr="00A259BD" w14:paraId="348D4857" w14:textId="77777777">
        <w:trPr>
          <w:trHeight w:val="449"/>
        </w:trPr>
        <w:tc>
          <w:tcPr>
            <w:tcW w:w="4850" w:type="dxa"/>
          </w:tcPr>
          <w:p w14:paraId="7AB8C91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И9-М22/М34/ .</w:t>
            </w:r>
          </w:p>
        </w:tc>
        <w:tc>
          <w:tcPr>
            <w:tcW w:w="2661" w:type="dxa"/>
          </w:tcPr>
          <w:p w14:paraId="1E0803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120.000 руб.</w:t>
            </w:r>
          </w:p>
        </w:tc>
      </w:tr>
      <w:tr w:rsidR="00A259BD" w:rsidRPr="00A259BD" w14:paraId="4F9C5525" w14:textId="77777777">
        <w:trPr>
          <w:trHeight w:val="426"/>
        </w:trPr>
        <w:tc>
          <w:tcPr>
            <w:tcW w:w="4850" w:type="dxa"/>
          </w:tcPr>
          <w:p w14:paraId="2B1D06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И12-М34 .</w:t>
            </w:r>
          </w:p>
        </w:tc>
        <w:tc>
          <w:tcPr>
            <w:tcW w:w="2661" w:type="dxa"/>
          </w:tcPr>
          <w:p w14:paraId="1380CF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 руб.</w:t>
            </w:r>
          </w:p>
        </w:tc>
      </w:tr>
      <w:tr w:rsidR="00A259BD" w:rsidRPr="00A259BD" w14:paraId="40C6B730" w14:textId="77777777">
        <w:trPr>
          <w:trHeight w:val="438"/>
        </w:trPr>
        <w:tc>
          <w:tcPr>
            <w:tcW w:w="4850" w:type="dxa"/>
          </w:tcPr>
          <w:p w14:paraId="3B7B466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Д2-БМВУ1 </w:t>
            </w:r>
          </w:p>
        </w:tc>
        <w:tc>
          <w:tcPr>
            <w:tcW w:w="2661" w:type="dxa"/>
          </w:tcPr>
          <w:p w14:paraId="0349C9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 руб.</w:t>
            </w:r>
          </w:p>
        </w:tc>
      </w:tr>
      <w:tr w:rsidR="00A259BD" w:rsidRPr="00A259BD" w14:paraId="1747E3C6" w14:textId="77777777">
        <w:trPr>
          <w:trHeight w:val="426"/>
        </w:trPr>
        <w:tc>
          <w:tcPr>
            <w:tcW w:w="4850" w:type="dxa"/>
          </w:tcPr>
          <w:p w14:paraId="226E7B6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НД3-БМВУ1 .</w:t>
            </w:r>
          </w:p>
        </w:tc>
        <w:tc>
          <w:tcPr>
            <w:tcW w:w="2661" w:type="dxa"/>
          </w:tcPr>
          <w:p w14:paraId="03816D3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 руб.</w:t>
            </w:r>
          </w:p>
        </w:tc>
      </w:tr>
      <w:tr w:rsidR="00A259BD" w:rsidRPr="00A259BD" w14:paraId="2482C996" w14:textId="77777777">
        <w:trPr>
          <w:trHeight w:val="426"/>
        </w:trPr>
        <w:tc>
          <w:tcPr>
            <w:tcW w:w="4850" w:type="dxa"/>
          </w:tcPr>
          <w:p w14:paraId="3BF9E2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ДЗ-М32 или М34 </w:t>
            </w:r>
          </w:p>
        </w:tc>
        <w:tc>
          <w:tcPr>
            <w:tcW w:w="2661" w:type="dxa"/>
          </w:tcPr>
          <w:p w14:paraId="7C60B1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 руб.</w:t>
            </w:r>
          </w:p>
        </w:tc>
      </w:tr>
      <w:tr w:rsidR="00A259BD" w:rsidRPr="00A259BD" w14:paraId="55B655C8" w14:textId="77777777">
        <w:trPr>
          <w:trHeight w:val="426"/>
        </w:trPr>
        <w:tc>
          <w:tcPr>
            <w:tcW w:w="4850" w:type="dxa"/>
          </w:tcPr>
          <w:p w14:paraId="487C3B0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ИК1-2БМВУ1  .</w:t>
            </w:r>
          </w:p>
        </w:tc>
        <w:tc>
          <w:tcPr>
            <w:tcW w:w="2661" w:type="dxa"/>
          </w:tcPr>
          <w:p w14:paraId="60F297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 руб.</w:t>
            </w:r>
          </w:p>
        </w:tc>
      </w:tr>
      <w:tr w:rsidR="00A259BD" w:rsidRPr="00A259BD" w14:paraId="55797E7E" w14:textId="77777777">
        <w:trPr>
          <w:trHeight w:val="426"/>
        </w:trPr>
        <w:tc>
          <w:tcPr>
            <w:tcW w:w="4850" w:type="dxa"/>
          </w:tcPr>
          <w:p w14:paraId="4F05D0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ИК1-2 М34 . .</w:t>
            </w:r>
          </w:p>
        </w:tc>
        <w:tc>
          <w:tcPr>
            <w:tcW w:w="2661" w:type="dxa"/>
          </w:tcPr>
          <w:p w14:paraId="2D168F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50.000 руб.</w:t>
            </w:r>
          </w:p>
        </w:tc>
      </w:tr>
      <w:tr w:rsidR="00A259BD" w:rsidRPr="00A259BD" w14:paraId="5691048F" w14:textId="77777777">
        <w:trPr>
          <w:trHeight w:val="426"/>
        </w:trPr>
        <w:tc>
          <w:tcPr>
            <w:tcW w:w="4850" w:type="dxa"/>
          </w:tcPr>
          <w:p w14:paraId="30F693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Р5-БМВУ1 </w:t>
            </w:r>
          </w:p>
        </w:tc>
        <w:tc>
          <w:tcPr>
            <w:tcW w:w="2661" w:type="dxa"/>
          </w:tcPr>
          <w:p w14:paraId="7E77D7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120.000 руб.</w:t>
            </w:r>
          </w:p>
        </w:tc>
      </w:tr>
      <w:tr w:rsidR="00A259BD" w:rsidRPr="00A259BD" w14:paraId="4A36D15A" w14:textId="77777777">
        <w:trPr>
          <w:trHeight w:val="438"/>
        </w:trPr>
        <w:tc>
          <w:tcPr>
            <w:tcW w:w="4850" w:type="dxa"/>
          </w:tcPr>
          <w:p w14:paraId="1468BB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Р7-БМВУ1 </w:t>
            </w:r>
          </w:p>
        </w:tc>
        <w:tc>
          <w:tcPr>
            <w:tcW w:w="2661" w:type="dxa"/>
          </w:tcPr>
          <w:p w14:paraId="10E207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 руб.</w:t>
            </w:r>
          </w:p>
        </w:tc>
      </w:tr>
      <w:tr w:rsidR="00A259BD" w:rsidRPr="00A259BD" w14:paraId="56540FC3" w14:textId="77777777">
        <w:trPr>
          <w:trHeight w:val="426"/>
        </w:trPr>
        <w:tc>
          <w:tcPr>
            <w:tcW w:w="4850" w:type="dxa"/>
          </w:tcPr>
          <w:p w14:paraId="340A34E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Р7-М30 </w:t>
            </w:r>
          </w:p>
        </w:tc>
        <w:tc>
          <w:tcPr>
            <w:tcW w:w="2661" w:type="dxa"/>
          </w:tcPr>
          <w:p w14:paraId="069D29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 руб.</w:t>
            </w:r>
          </w:p>
        </w:tc>
      </w:tr>
      <w:tr w:rsidR="00A259BD" w:rsidRPr="00A259BD" w14:paraId="1EAE2015" w14:textId="77777777">
        <w:trPr>
          <w:trHeight w:val="426"/>
        </w:trPr>
        <w:tc>
          <w:tcPr>
            <w:tcW w:w="4850" w:type="dxa"/>
          </w:tcPr>
          <w:p w14:paraId="71ED7DB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РЗ-М33.</w:t>
            </w:r>
          </w:p>
        </w:tc>
        <w:tc>
          <w:tcPr>
            <w:tcW w:w="2661" w:type="dxa"/>
          </w:tcPr>
          <w:p w14:paraId="3EFD83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 руб.</w:t>
            </w:r>
          </w:p>
        </w:tc>
      </w:tr>
      <w:tr w:rsidR="00A259BD" w:rsidRPr="00A259BD" w14:paraId="5458CB02" w14:textId="77777777">
        <w:trPr>
          <w:trHeight w:val="426"/>
        </w:trPr>
        <w:tc>
          <w:tcPr>
            <w:tcW w:w="4850" w:type="dxa"/>
          </w:tcPr>
          <w:p w14:paraId="191192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20. Р9-М33.</w:t>
            </w:r>
          </w:p>
        </w:tc>
        <w:tc>
          <w:tcPr>
            <w:tcW w:w="2661" w:type="dxa"/>
          </w:tcPr>
          <w:p w14:paraId="522E46A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 руб.</w:t>
            </w:r>
          </w:p>
        </w:tc>
      </w:tr>
      <w:tr w:rsidR="00A259BD" w:rsidRPr="00A259BD" w14:paraId="723D806E" w14:textId="77777777">
        <w:trPr>
          <w:trHeight w:val="426"/>
        </w:trPr>
        <w:tc>
          <w:tcPr>
            <w:tcW w:w="4850" w:type="dxa"/>
          </w:tcPr>
          <w:p w14:paraId="6D70E5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НР-М30 </w:t>
            </w:r>
          </w:p>
        </w:tc>
        <w:tc>
          <w:tcPr>
            <w:tcW w:w="2661" w:type="dxa"/>
          </w:tcPr>
          <w:p w14:paraId="1F2F3C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30.000 </w:t>
            </w:r>
            <w:proofErr w:type="spellStart"/>
            <w:r w:rsidRPr="00A259BD">
              <w:rPr>
                <w:rFonts w:ascii="Times New Roman" w:hAnsi="Times New Roman"/>
                <w:color w:val="000000" w:themeColor="text1"/>
                <w:sz w:val="16"/>
                <w:szCs w:val="16"/>
              </w:rPr>
              <w:t>ру^б</w:t>
            </w:r>
            <w:proofErr w:type="spellEnd"/>
            <w:r w:rsidRPr="00A259BD">
              <w:rPr>
                <w:rFonts w:ascii="Times New Roman" w:hAnsi="Times New Roman"/>
                <w:color w:val="000000" w:themeColor="text1"/>
                <w:sz w:val="16"/>
                <w:szCs w:val="16"/>
              </w:rPr>
              <w:t>.</w:t>
            </w:r>
          </w:p>
        </w:tc>
      </w:tr>
      <w:tr w:rsidR="00A259BD" w:rsidRPr="00A259BD" w14:paraId="193C6405" w14:textId="77777777">
        <w:trPr>
          <w:trHeight w:val="426"/>
        </w:trPr>
        <w:tc>
          <w:tcPr>
            <w:tcW w:w="4850" w:type="dxa"/>
          </w:tcPr>
          <w:p w14:paraId="3C74FF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Р6-2БМВУ1 7,3 </w:t>
            </w:r>
          </w:p>
        </w:tc>
        <w:tc>
          <w:tcPr>
            <w:tcW w:w="2661" w:type="dxa"/>
          </w:tcPr>
          <w:p w14:paraId="6F8D427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450.000 руб.</w:t>
            </w:r>
          </w:p>
        </w:tc>
      </w:tr>
      <w:tr w:rsidR="00A259BD" w:rsidRPr="00A259BD" w14:paraId="239216A3" w14:textId="77777777">
        <w:trPr>
          <w:trHeight w:val="426"/>
        </w:trPr>
        <w:tc>
          <w:tcPr>
            <w:tcW w:w="4850" w:type="dxa"/>
          </w:tcPr>
          <w:p w14:paraId="3CD5C6B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Р6-2М30 </w:t>
            </w:r>
          </w:p>
        </w:tc>
        <w:tc>
          <w:tcPr>
            <w:tcW w:w="2661" w:type="dxa"/>
          </w:tcPr>
          <w:p w14:paraId="70345A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50.000 руб.</w:t>
            </w:r>
          </w:p>
        </w:tc>
      </w:tr>
      <w:tr w:rsidR="00A259BD" w:rsidRPr="00A259BD" w14:paraId="58AEDC14" w14:textId="77777777">
        <w:trPr>
          <w:trHeight w:val="403"/>
        </w:trPr>
        <w:tc>
          <w:tcPr>
            <w:tcW w:w="4850" w:type="dxa"/>
          </w:tcPr>
          <w:p w14:paraId="367B368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Р6-2М34 </w:t>
            </w:r>
          </w:p>
        </w:tc>
        <w:tc>
          <w:tcPr>
            <w:tcW w:w="2661" w:type="dxa"/>
          </w:tcPr>
          <w:p w14:paraId="2FE754D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50.000 руб.</w:t>
            </w:r>
          </w:p>
        </w:tc>
      </w:tr>
      <w:tr w:rsidR="00A259BD" w:rsidRPr="00A259BD" w14:paraId="7436771D" w14:textId="77777777">
        <w:trPr>
          <w:trHeight w:val="449"/>
        </w:trPr>
        <w:tc>
          <w:tcPr>
            <w:tcW w:w="4850" w:type="dxa"/>
          </w:tcPr>
          <w:p w14:paraId="473DBD8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КРК1-2М6 /2М26/ .</w:t>
            </w:r>
          </w:p>
        </w:tc>
        <w:tc>
          <w:tcPr>
            <w:tcW w:w="2661" w:type="dxa"/>
          </w:tcPr>
          <w:p w14:paraId="269D1B8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 руб.</w:t>
            </w:r>
          </w:p>
        </w:tc>
      </w:tr>
      <w:tr w:rsidR="00A259BD" w:rsidRPr="00A259BD" w14:paraId="714FBD51" w14:textId="77777777">
        <w:trPr>
          <w:trHeight w:val="438"/>
        </w:trPr>
        <w:tc>
          <w:tcPr>
            <w:tcW w:w="4850" w:type="dxa"/>
          </w:tcPr>
          <w:p w14:paraId="688488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ХВ-М30 .</w:t>
            </w:r>
          </w:p>
        </w:tc>
        <w:tc>
          <w:tcPr>
            <w:tcW w:w="2661" w:type="dxa"/>
          </w:tcPr>
          <w:p w14:paraId="3F7B1E8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50.000 руб.</w:t>
            </w:r>
          </w:p>
        </w:tc>
      </w:tr>
      <w:tr w:rsidR="00A259BD" w:rsidRPr="00A259BD" w14:paraId="0F929011" w14:textId="77777777">
        <w:trPr>
          <w:trHeight w:val="426"/>
        </w:trPr>
        <w:tc>
          <w:tcPr>
            <w:tcW w:w="4850" w:type="dxa"/>
          </w:tcPr>
          <w:p w14:paraId="1B1ED2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КС1-65НР .</w:t>
            </w:r>
          </w:p>
        </w:tc>
        <w:tc>
          <w:tcPr>
            <w:tcW w:w="2661" w:type="dxa"/>
          </w:tcPr>
          <w:p w14:paraId="0871C4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 руб.</w:t>
            </w:r>
          </w:p>
        </w:tc>
      </w:tr>
      <w:tr w:rsidR="00A259BD" w:rsidRPr="00A259BD" w14:paraId="01C3D081" w14:textId="77777777">
        <w:trPr>
          <w:trHeight w:val="403"/>
        </w:trPr>
        <w:tc>
          <w:tcPr>
            <w:tcW w:w="4850" w:type="dxa"/>
          </w:tcPr>
          <w:p w14:paraId="04AD9B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ТБ2-2БМВУ1 .</w:t>
            </w:r>
          </w:p>
        </w:tc>
        <w:tc>
          <w:tcPr>
            <w:tcW w:w="2661" w:type="dxa"/>
          </w:tcPr>
          <w:p w14:paraId="1338B6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450.000 руб.</w:t>
            </w:r>
          </w:p>
        </w:tc>
      </w:tr>
      <w:tr w:rsidR="00A259BD" w:rsidRPr="00A259BD" w14:paraId="71F47EA4" w14:textId="77777777">
        <w:trPr>
          <w:trHeight w:val="426"/>
        </w:trPr>
        <w:tc>
          <w:tcPr>
            <w:tcW w:w="4850" w:type="dxa"/>
          </w:tcPr>
          <w:p w14:paraId="5022A2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ТБЗ-2000/2400 НР .</w:t>
            </w:r>
          </w:p>
        </w:tc>
        <w:tc>
          <w:tcPr>
            <w:tcW w:w="2661" w:type="dxa"/>
          </w:tcPr>
          <w:p w14:paraId="5BB962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 руб.</w:t>
            </w:r>
          </w:p>
        </w:tc>
      </w:tr>
      <w:tr w:rsidR="00A259BD" w:rsidRPr="00A259BD" w14:paraId="2909D25B" w14:textId="77777777">
        <w:trPr>
          <w:trHeight w:val="461"/>
        </w:trPr>
        <w:tc>
          <w:tcPr>
            <w:tcW w:w="4850" w:type="dxa"/>
          </w:tcPr>
          <w:p w14:paraId="4BAB50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ТБ4-4М39/2400 НР .</w:t>
            </w:r>
          </w:p>
        </w:tc>
        <w:tc>
          <w:tcPr>
            <w:tcW w:w="2661" w:type="dxa"/>
          </w:tcPr>
          <w:p w14:paraId="063E8F3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450.000 руб.</w:t>
            </w:r>
          </w:p>
        </w:tc>
      </w:tr>
      <w:tr w:rsidR="00A259BD" w:rsidRPr="00A259BD" w14:paraId="45BACDAB" w14:textId="77777777">
        <w:trPr>
          <w:trHeight w:val="392"/>
        </w:trPr>
        <w:tc>
          <w:tcPr>
            <w:tcW w:w="4850" w:type="dxa"/>
          </w:tcPr>
          <w:p w14:paraId="78D7B3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ТБ5-4М35 .</w:t>
            </w:r>
          </w:p>
        </w:tc>
        <w:tc>
          <w:tcPr>
            <w:tcW w:w="2661" w:type="dxa"/>
          </w:tcPr>
          <w:p w14:paraId="0610989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250.000 руб.</w:t>
            </w:r>
          </w:p>
        </w:tc>
      </w:tr>
      <w:tr w:rsidR="00A259BD" w:rsidRPr="00A259BD" w14:paraId="52749212" w14:textId="77777777">
        <w:trPr>
          <w:trHeight w:val="438"/>
        </w:trPr>
        <w:tc>
          <w:tcPr>
            <w:tcW w:w="4850" w:type="dxa"/>
          </w:tcPr>
          <w:p w14:paraId="2A70F9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32. Т-БМВ1 /М30/ </w:t>
            </w:r>
          </w:p>
        </w:tc>
        <w:tc>
          <w:tcPr>
            <w:tcW w:w="2661" w:type="dxa"/>
          </w:tcPr>
          <w:p w14:paraId="4B2B2D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50.000 руб.</w:t>
            </w:r>
          </w:p>
        </w:tc>
      </w:tr>
      <w:tr w:rsidR="00A259BD" w:rsidRPr="00A259BD" w14:paraId="6FE7533B" w14:textId="77777777">
        <w:trPr>
          <w:trHeight w:val="461"/>
        </w:trPr>
        <w:tc>
          <w:tcPr>
            <w:tcW w:w="4850" w:type="dxa"/>
          </w:tcPr>
          <w:p w14:paraId="5D14AC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33. ШЛ-400/600/НР </w:t>
            </w:r>
          </w:p>
        </w:tc>
        <w:tc>
          <w:tcPr>
            <w:tcW w:w="2661" w:type="dxa"/>
          </w:tcPr>
          <w:p w14:paraId="7D3832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 руб.</w:t>
            </w:r>
          </w:p>
        </w:tc>
      </w:tr>
      <w:tr w:rsidR="00A259BD" w:rsidRPr="00A259BD" w14:paraId="44E81A80" w14:textId="77777777">
        <w:trPr>
          <w:trHeight w:val="426"/>
        </w:trPr>
        <w:tc>
          <w:tcPr>
            <w:tcW w:w="4850" w:type="dxa"/>
          </w:tcPr>
          <w:p w14:paraId="1870F0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34 . ШТ-2БМВУ1 </w:t>
            </w:r>
          </w:p>
        </w:tc>
        <w:tc>
          <w:tcPr>
            <w:tcW w:w="2661" w:type="dxa"/>
          </w:tcPr>
          <w:p w14:paraId="3FC35D8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50.000 руб.</w:t>
            </w:r>
          </w:p>
        </w:tc>
      </w:tr>
      <w:tr w:rsidR="00A259BD" w:rsidRPr="00A259BD" w14:paraId="397C950E" w14:textId="77777777">
        <w:trPr>
          <w:trHeight w:val="634"/>
        </w:trPr>
        <w:tc>
          <w:tcPr>
            <w:tcW w:w="4850" w:type="dxa"/>
          </w:tcPr>
          <w:p w14:paraId="174D70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 Постройка сварных стальных фюзеляжей к сам оде ту Р5-БМВУ1</w:t>
            </w:r>
          </w:p>
        </w:tc>
        <w:tc>
          <w:tcPr>
            <w:tcW w:w="2661" w:type="dxa"/>
          </w:tcPr>
          <w:p w14:paraId="10D43E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60.000 руб.</w:t>
            </w:r>
          </w:p>
        </w:tc>
      </w:tr>
      <w:tr w:rsidR="00A259BD" w:rsidRPr="00A259BD" w14:paraId="1DBC9059" w14:textId="77777777">
        <w:trPr>
          <w:trHeight w:val="415"/>
        </w:trPr>
        <w:tc>
          <w:tcPr>
            <w:tcW w:w="4850" w:type="dxa"/>
          </w:tcPr>
          <w:p w14:paraId="7B6EFB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 То же И7-БМВУ1</w:t>
            </w:r>
          </w:p>
        </w:tc>
        <w:tc>
          <w:tcPr>
            <w:tcW w:w="2661" w:type="dxa"/>
          </w:tcPr>
          <w:p w14:paraId="6BBBC68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55.000 руб.</w:t>
            </w:r>
          </w:p>
        </w:tc>
      </w:tr>
      <w:tr w:rsidR="00A259BD" w:rsidRPr="00A259BD" w14:paraId="0675C2BB" w14:textId="77777777">
        <w:trPr>
          <w:trHeight w:val="438"/>
        </w:trPr>
        <w:tc>
          <w:tcPr>
            <w:tcW w:w="4850" w:type="dxa"/>
          </w:tcPr>
          <w:p w14:paraId="65FA75A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59. То же Д2-БМВУ1 </w:t>
            </w:r>
          </w:p>
        </w:tc>
        <w:tc>
          <w:tcPr>
            <w:tcW w:w="2661" w:type="dxa"/>
          </w:tcPr>
          <w:p w14:paraId="54817BC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55.00.0 руб.</w:t>
            </w:r>
          </w:p>
        </w:tc>
      </w:tr>
      <w:tr w:rsidR="00A259BD" w:rsidRPr="00A259BD" w14:paraId="6E6056E9" w14:textId="77777777">
        <w:trPr>
          <w:trHeight w:val="426"/>
        </w:trPr>
        <w:tc>
          <w:tcPr>
            <w:tcW w:w="4850" w:type="dxa"/>
          </w:tcPr>
          <w:p w14:paraId="6EBC40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 То же Р7-БМВУ1 .</w:t>
            </w:r>
          </w:p>
        </w:tc>
        <w:tc>
          <w:tcPr>
            <w:tcW w:w="2661" w:type="dxa"/>
          </w:tcPr>
          <w:p w14:paraId="46F2DE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60.000 руб.</w:t>
            </w:r>
          </w:p>
        </w:tc>
      </w:tr>
      <w:tr w:rsidR="00A259BD" w:rsidRPr="00A259BD" w14:paraId="008AE45A" w14:textId="77777777">
        <w:trPr>
          <w:trHeight w:val="357"/>
        </w:trPr>
        <w:tc>
          <w:tcPr>
            <w:tcW w:w="4850" w:type="dxa"/>
            <w:tcBorders>
              <w:bottom w:val="single" w:sz="12" w:space="0" w:color="auto"/>
            </w:tcBorders>
          </w:tcPr>
          <w:p w14:paraId="00F316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2661" w:type="dxa"/>
            <w:tcBorders>
              <w:bottom w:val="single" w:sz="12" w:space="0" w:color="auto"/>
            </w:tcBorders>
          </w:tcPr>
          <w:p w14:paraId="08BE1DD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4.425.000 руб. (351,70)</w:t>
            </w:r>
          </w:p>
        </w:tc>
      </w:tr>
    </w:tbl>
    <w:p w14:paraId="6B66EE4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ОБ'ЯСНИТЕЛЬНАЯ ЗАПИСКА</w:t>
      </w:r>
    </w:p>
    <w:p w14:paraId="66CF13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w:t>
      </w:r>
      <w:r w:rsidRPr="00A259BD">
        <w:rPr>
          <w:rFonts w:ascii="Times New Roman" w:hAnsi="Times New Roman"/>
          <w:smallCaps/>
          <w:color w:val="000000" w:themeColor="text1"/>
          <w:sz w:val="16"/>
          <w:szCs w:val="16"/>
        </w:rPr>
        <w:t xml:space="preserve">пятилетнему плану </w:t>
      </w:r>
      <w:r w:rsidRPr="00A259BD">
        <w:rPr>
          <w:rFonts w:ascii="Times New Roman" w:hAnsi="Times New Roman"/>
          <w:color w:val="000000" w:themeColor="text1"/>
          <w:sz w:val="16"/>
          <w:szCs w:val="16"/>
        </w:rPr>
        <w:t xml:space="preserve">по </w:t>
      </w:r>
      <w:r w:rsidRPr="00A259BD">
        <w:rPr>
          <w:rFonts w:ascii="Times New Roman" w:hAnsi="Times New Roman"/>
          <w:smallCaps/>
          <w:color w:val="000000" w:themeColor="text1"/>
          <w:sz w:val="16"/>
          <w:szCs w:val="16"/>
        </w:rPr>
        <w:t>морским самолетам</w:t>
      </w:r>
    </w:p>
    <w:p w14:paraId="312B5DF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Морские самолеты .</w:t>
      </w:r>
    </w:p>
    <w:p w14:paraId="67C1292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Пятилетний план разработан на основе тактических требований к морским самолетам, разработанным 1-й Секцией НТК для </w:t>
      </w:r>
      <w:proofErr w:type="spellStart"/>
      <w:r w:rsidRPr="00A259BD">
        <w:rPr>
          <w:rFonts w:ascii="Times New Roman" w:hAnsi="Times New Roman"/>
          <w:color w:val="000000" w:themeColor="text1"/>
          <w:sz w:val="16"/>
          <w:szCs w:val="16"/>
        </w:rPr>
        <w:t>патилетки</w:t>
      </w:r>
      <w:proofErr w:type="spellEnd"/>
      <w:r w:rsidRPr="00A259BD">
        <w:rPr>
          <w:rFonts w:ascii="Times New Roman" w:hAnsi="Times New Roman"/>
          <w:color w:val="000000" w:themeColor="text1"/>
          <w:sz w:val="16"/>
          <w:szCs w:val="16"/>
        </w:rPr>
        <w:t>. Обоснование необходимости отдельных типов и требования к ним изло</w:t>
      </w:r>
      <w:r w:rsidRPr="00A259BD">
        <w:rPr>
          <w:rFonts w:ascii="Times New Roman" w:hAnsi="Times New Roman"/>
          <w:color w:val="000000" w:themeColor="text1"/>
          <w:sz w:val="16"/>
          <w:szCs w:val="16"/>
        </w:rPr>
        <w:softHyphen/>
        <w:t>жены в объяснительной записке 3-й Секции НТК, где отдельные самоле</w:t>
      </w:r>
      <w:r w:rsidRPr="00A259BD">
        <w:rPr>
          <w:rFonts w:ascii="Times New Roman" w:hAnsi="Times New Roman"/>
          <w:color w:val="000000" w:themeColor="text1"/>
          <w:sz w:val="16"/>
          <w:szCs w:val="16"/>
        </w:rPr>
        <w:softHyphen/>
        <w:t>ты различных основных типов разбиты на три очереди.</w:t>
      </w:r>
    </w:p>
    <w:p w14:paraId="78553F4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выборе моторов для отдельных самолетов, руководствовались пла</w:t>
      </w:r>
      <w:r w:rsidRPr="00A259BD">
        <w:rPr>
          <w:rFonts w:ascii="Times New Roman" w:hAnsi="Times New Roman"/>
          <w:color w:val="000000" w:themeColor="text1"/>
          <w:sz w:val="16"/>
          <w:szCs w:val="16"/>
        </w:rPr>
        <w:softHyphen/>
        <w:t>ном моторостроения, подгоняя сроки вывода самолетов к срокам окон</w:t>
      </w:r>
      <w:r w:rsidRPr="00A259BD">
        <w:rPr>
          <w:rFonts w:ascii="Times New Roman" w:hAnsi="Times New Roman"/>
          <w:color w:val="000000" w:themeColor="text1"/>
          <w:sz w:val="16"/>
          <w:szCs w:val="16"/>
        </w:rPr>
        <w:softHyphen/>
        <w:t>чания испытаний соответствующих моторов. При расчете весов кон</w:t>
      </w:r>
      <w:r w:rsidRPr="00A259BD">
        <w:rPr>
          <w:rFonts w:ascii="Times New Roman" w:hAnsi="Times New Roman"/>
          <w:color w:val="000000" w:themeColor="text1"/>
          <w:sz w:val="16"/>
          <w:szCs w:val="16"/>
        </w:rPr>
        <w:softHyphen/>
        <w:t>струкций самолетов учитывались возможные снижения веса в определенном, установленном Секцией, % для каждой очереди по плану, в рас чете на более детальную проработку конструкции и повышения качества материалов.</w:t>
      </w:r>
    </w:p>
    <w:p w14:paraId="796A16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Тактические требования проработаны недостаточно полно, почему для многих самолетов указано лишь и дальнейшее развитие самолета и в таких случаях это развитие понималось как повышение летных данных путем облегчения конструкции и установки более мощного мотора.</w:t>
      </w:r>
    </w:p>
    <w:p w14:paraId="75FE9DD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случае установки моторов с большей высотностью /5000 м./ винт принимался с переменным шагом в полете, т.к. в противном случае использовать рационально преимущества этого мотора не представля</w:t>
      </w:r>
      <w:r w:rsidRPr="00A259BD">
        <w:rPr>
          <w:rFonts w:ascii="Times New Roman" w:hAnsi="Times New Roman"/>
          <w:color w:val="000000" w:themeColor="text1"/>
          <w:sz w:val="16"/>
          <w:szCs w:val="16"/>
        </w:rPr>
        <w:softHyphen/>
        <w:t>лось возможным, почему появление таких винтов вместе с соответст</w:t>
      </w:r>
      <w:r w:rsidRPr="00A259BD">
        <w:rPr>
          <w:rFonts w:ascii="Times New Roman" w:hAnsi="Times New Roman"/>
          <w:color w:val="000000" w:themeColor="text1"/>
          <w:sz w:val="16"/>
          <w:szCs w:val="16"/>
        </w:rPr>
        <w:softHyphen/>
        <w:t>вующими моторами совершенно необходимо .</w:t>
      </w:r>
    </w:p>
    <w:p w14:paraId="43FB662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Степень удовлетворения тактическим требованиям.</w:t>
      </w:r>
    </w:p>
    <w:p w14:paraId="1E89CC0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МК1-морской крейсер</w:t>
      </w:r>
    </w:p>
    <w:p w14:paraId="276583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виду невозможности удовлетворить заданным летным данным с мото</w:t>
      </w:r>
      <w:r w:rsidRPr="00A259BD">
        <w:rPr>
          <w:rFonts w:ascii="Times New Roman" w:hAnsi="Times New Roman"/>
          <w:color w:val="000000" w:themeColor="text1"/>
          <w:sz w:val="16"/>
          <w:szCs w:val="16"/>
        </w:rPr>
        <w:softHyphen/>
        <w:t xml:space="preserve">ром 1-й очереди, было произведено 3-й секцией снижение полезной нагрузки с 1500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xml:space="preserve">. до 955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за счет уменьшения продолжительности полета, на номинале до 5, вместо 7 и уменьшения вооружения до 6 пулеметов, вместо 12 требуемых.</w:t>
      </w:r>
    </w:p>
    <w:p w14:paraId="7C71FC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...макс. 3000 - 255, 3000 - 9 мин. и Игр. -7650, т.е. больше требуемых.</w:t>
      </w:r>
    </w:p>
    <w:p w14:paraId="3BEE776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МК-2 - развитие МК-1, перенесенный в 3-ю очередь, с мотором той же очередности М-35 в 1250 НР сможет поднимать заданную нагрузку в 1500, нести вооружение 12 пулеметов и иметь запас горючего на 7 час., превышал требуемые летные данные. Его данные: У мак. 3000 - 242, 3000 - 11 мин. и </w:t>
      </w:r>
      <w:proofErr w:type="spellStart"/>
      <w:r w:rsidRPr="00A259BD">
        <w:rPr>
          <w:rFonts w:ascii="Times New Roman" w:hAnsi="Times New Roman"/>
          <w:color w:val="000000" w:themeColor="text1"/>
          <w:sz w:val="16"/>
          <w:szCs w:val="16"/>
        </w:rPr>
        <w:t>НГр</w:t>
      </w:r>
      <w:proofErr w:type="spellEnd"/>
      <w:r w:rsidRPr="00A259BD">
        <w:rPr>
          <w:rFonts w:ascii="Times New Roman" w:hAnsi="Times New Roman"/>
          <w:color w:val="000000" w:themeColor="text1"/>
          <w:sz w:val="16"/>
          <w:szCs w:val="16"/>
        </w:rPr>
        <w:t>. - 6250 м.</w:t>
      </w:r>
    </w:p>
    <w:p w14:paraId="4668A4E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МР-7, развитие МР5 с мотором БМВУ1 7,3 дает улучшение летных качеств сравнительно с МР5, а именно:</w:t>
      </w:r>
    </w:p>
    <w:p w14:paraId="378A37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РОМ-4 - развитие РОМ II , в 3-ю очередь с моторами М34Р 750-900 НР с полезной нагрузкой не удовлетворяет требованиям по скорости У мак. 3000 - 236, всего 240-250, но имеет боль</w:t>
      </w:r>
      <w:r w:rsidRPr="00A259BD">
        <w:rPr>
          <w:rFonts w:ascii="Times New Roman" w:hAnsi="Times New Roman"/>
          <w:color w:val="000000" w:themeColor="text1"/>
          <w:sz w:val="16"/>
          <w:szCs w:val="16"/>
        </w:rPr>
        <w:softHyphen/>
        <w:t>шую скороподъемность 3000 - 9 мин., вместо требуемых 15 мин. Требуемую скорость он развивает только на 4000 м - имея У мак. 4000 - 246 км/час.</w:t>
      </w:r>
    </w:p>
    <w:p w14:paraId="4C7F718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АЛ - амфибия легкая.</w:t>
      </w:r>
    </w:p>
    <w:p w14:paraId="50332D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 подсчетах оказалось, что может быть применен </w:t>
      </w:r>
      <w:proofErr w:type="spellStart"/>
      <w:r w:rsidRPr="00A259BD">
        <w:rPr>
          <w:rFonts w:ascii="Times New Roman" w:hAnsi="Times New Roman"/>
          <w:color w:val="000000" w:themeColor="text1"/>
          <w:sz w:val="16"/>
          <w:szCs w:val="16"/>
        </w:rPr>
        <w:t>лодочннй</w:t>
      </w:r>
      <w:proofErr w:type="spellEnd"/>
      <w:r w:rsidRPr="00A259BD">
        <w:rPr>
          <w:rFonts w:ascii="Times New Roman" w:hAnsi="Times New Roman"/>
          <w:color w:val="000000" w:themeColor="text1"/>
          <w:sz w:val="16"/>
          <w:szCs w:val="16"/>
        </w:rPr>
        <w:t xml:space="preserve"> самолет КР-11, с другой коробкой крыльев и усилениями для </w:t>
      </w:r>
      <w:proofErr w:type="spellStart"/>
      <w:r w:rsidRPr="00A259BD">
        <w:rPr>
          <w:rFonts w:ascii="Times New Roman" w:hAnsi="Times New Roman"/>
          <w:color w:val="000000" w:themeColor="text1"/>
          <w:sz w:val="16"/>
          <w:szCs w:val="16"/>
        </w:rPr>
        <w:t>устанозок</w:t>
      </w:r>
      <w:proofErr w:type="spellEnd"/>
      <w:r w:rsidRPr="00A259BD">
        <w:rPr>
          <w:rFonts w:ascii="Times New Roman" w:hAnsi="Times New Roman"/>
          <w:color w:val="000000" w:themeColor="text1"/>
          <w:sz w:val="16"/>
          <w:szCs w:val="16"/>
        </w:rPr>
        <w:t xml:space="preserve"> шасси. Самолет 3 очереди с мотором М30 удовлетворяет </w:t>
      </w:r>
      <w:proofErr w:type="spellStart"/>
      <w:r w:rsidRPr="00A259BD">
        <w:rPr>
          <w:rFonts w:ascii="Times New Roman" w:hAnsi="Times New Roman"/>
          <w:color w:val="000000" w:themeColor="text1"/>
          <w:sz w:val="16"/>
          <w:szCs w:val="16"/>
        </w:rPr>
        <w:t>техтребозаниям</w:t>
      </w:r>
      <w:proofErr w:type="spellEnd"/>
      <w:r w:rsidRPr="00A259BD">
        <w:rPr>
          <w:rFonts w:ascii="Times New Roman" w:hAnsi="Times New Roman"/>
          <w:color w:val="000000" w:themeColor="text1"/>
          <w:sz w:val="16"/>
          <w:szCs w:val="16"/>
        </w:rPr>
        <w:t xml:space="preserve"> , давая:</w:t>
      </w:r>
    </w:p>
    <w:p w14:paraId="567677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 макс. 3000 - 216 , вместо 130 км/час, 3000 - 7,2 мин., вместо 6-8 </w:t>
      </w:r>
      <w:proofErr w:type="spellStart"/>
      <w:r w:rsidRPr="00A259BD">
        <w:rPr>
          <w:rFonts w:ascii="Times New Roman" w:hAnsi="Times New Roman"/>
          <w:color w:val="000000" w:themeColor="text1"/>
          <w:sz w:val="16"/>
          <w:szCs w:val="16"/>
        </w:rPr>
        <w:t>мин.и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Нгр</w:t>
      </w:r>
      <w:proofErr w:type="spellEnd"/>
      <w:r w:rsidRPr="00A259BD">
        <w:rPr>
          <w:rFonts w:ascii="Times New Roman" w:hAnsi="Times New Roman"/>
          <w:color w:val="000000" w:themeColor="text1"/>
          <w:sz w:val="16"/>
          <w:szCs w:val="16"/>
        </w:rPr>
        <w:t>. - 7300 м. вместо 4500 м. У пост. - 78 км/час.</w:t>
      </w:r>
    </w:p>
    <w:p w14:paraId="19E499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КР-2 - катапультный разведчик и улучшение МР1 с мотором М38 удовлетворяет требованиям после снижения 3-й Секцией запаса горючего до 3,5 часов полета на номинале, вместо 4-х часов по первоначальные требованиям. Это </w:t>
      </w:r>
      <w:proofErr w:type="spellStart"/>
      <w:r w:rsidRPr="00A259BD">
        <w:rPr>
          <w:rFonts w:ascii="Times New Roman" w:hAnsi="Times New Roman"/>
          <w:color w:val="000000" w:themeColor="text1"/>
          <w:sz w:val="16"/>
          <w:szCs w:val="16"/>
        </w:rPr>
        <w:t>знижение</w:t>
      </w:r>
      <w:proofErr w:type="spellEnd"/>
      <w:r w:rsidRPr="00A259BD">
        <w:rPr>
          <w:rFonts w:ascii="Times New Roman" w:hAnsi="Times New Roman"/>
          <w:color w:val="000000" w:themeColor="text1"/>
          <w:sz w:val="16"/>
          <w:szCs w:val="16"/>
        </w:rPr>
        <w:t xml:space="preserve"> вызывается заданным полетным весом, для существующей катапульты. Если ко времени начал проектирования будет построена более мощная катапульта, требования в части нагрузок, за счет снижения летных качеств, могут быть повышены.</w:t>
      </w:r>
    </w:p>
    <w:p w14:paraId="71E9E5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подсчетам с полезной нагрузкой 430 игр. самолет даст: У макс. 4000 - 237, 3000 - 7,2 мин. </w:t>
      </w:r>
      <w:proofErr w:type="spellStart"/>
      <w:r w:rsidRPr="00A259BD">
        <w:rPr>
          <w:rFonts w:ascii="Times New Roman" w:hAnsi="Times New Roman"/>
          <w:color w:val="000000" w:themeColor="text1"/>
          <w:sz w:val="16"/>
          <w:szCs w:val="16"/>
        </w:rPr>
        <w:t>Нгр</w:t>
      </w:r>
      <w:proofErr w:type="spellEnd"/>
      <w:r w:rsidRPr="00A259BD">
        <w:rPr>
          <w:rFonts w:ascii="Times New Roman" w:hAnsi="Times New Roman"/>
          <w:color w:val="000000" w:themeColor="text1"/>
          <w:sz w:val="16"/>
          <w:szCs w:val="16"/>
        </w:rPr>
        <w:t>.- 8600 м.</w:t>
      </w:r>
    </w:p>
    <w:p w14:paraId="351C58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РОМ-2 -БМВУ1 - по расчетам на основе продувок техническим требованиям удовлетворяет...</w:t>
      </w:r>
    </w:p>
    <w:p w14:paraId="1B805F2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...требованиям не удовлетворяют в части:</w:t>
      </w:r>
    </w:p>
    <w:p w14:paraId="26CFD0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 мак. 188/204/3000 - вместо 195/205/3000, У пост. 104, вместо 95 и 3000 - 18, вместо 11 минут.</w:t>
      </w:r>
    </w:p>
    <w:p w14:paraId="0D7273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ТОМ "2" - не удовлетворяет требованиям в части мореходности</w:t>
      </w:r>
    </w:p>
    <w:p w14:paraId="7AC849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10. ТБОМ - проект не закончен.</w:t>
      </w:r>
    </w:p>
    <w:p w14:paraId="70A5A8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ЭР1-ЦАГИ -проект закончен, но не представлен.</w:t>
      </w:r>
    </w:p>
    <w:p w14:paraId="1E40B09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КР1-Юп У1 - строится. Летные данные </w:t>
      </w:r>
      <w:proofErr w:type="spellStart"/>
      <w:r w:rsidRPr="00A259BD">
        <w:rPr>
          <w:rFonts w:ascii="Times New Roman" w:hAnsi="Times New Roman"/>
          <w:color w:val="000000" w:themeColor="text1"/>
          <w:sz w:val="16"/>
          <w:szCs w:val="16"/>
        </w:rPr>
        <w:t>техтребованиям</w:t>
      </w:r>
      <w:proofErr w:type="spellEnd"/>
      <w:r w:rsidRPr="00A259BD">
        <w:rPr>
          <w:rFonts w:ascii="Times New Roman" w:hAnsi="Times New Roman"/>
          <w:color w:val="000000" w:themeColor="text1"/>
          <w:sz w:val="16"/>
          <w:szCs w:val="16"/>
        </w:rPr>
        <w:t xml:space="preserve"> гарантированы фирмой Хейнкель.</w:t>
      </w:r>
    </w:p>
    <w:p w14:paraId="32C3A30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МУ-2 - требованиям по расчетам, соответствует.</w:t>
      </w:r>
    </w:p>
    <w:p w14:paraId="16529F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МУ-3 - с мотором М11, как развитие МУП, </w:t>
      </w:r>
      <w:proofErr w:type="spellStart"/>
      <w:r w:rsidRPr="00A259BD">
        <w:rPr>
          <w:rFonts w:ascii="Times New Roman" w:hAnsi="Times New Roman"/>
          <w:color w:val="000000" w:themeColor="text1"/>
          <w:sz w:val="16"/>
          <w:szCs w:val="16"/>
        </w:rPr>
        <w:t>техтребований</w:t>
      </w:r>
      <w:proofErr w:type="spellEnd"/>
      <w:r w:rsidRPr="00A259BD">
        <w:rPr>
          <w:rFonts w:ascii="Times New Roman" w:hAnsi="Times New Roman"/>
          <w:color w:val="000000" w:themeColor="text1"/>
          <w:sz w:val="16"/>
          <w:szCs w:val="16"/>
        </w:rPr>
        <w:t xml:space="preserve"> нет.</w:t>
      </w:r>
    </w:p>
    <w:p w14:paraId="7AADCA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Ориентировочная стоимость опытных самолетов с Октября 1929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1701"/>
      </w:tblGrid>
      <w:tr w:rsidR="00A259BD" w:rsidRPr="00A259BD" w14:paraId="4200FD83" w14:textId="77777777">
        <w:tc>
          <w:tcPr>
            <w:tcW w:w="3085" w:type="dxa"/>
            <w:tcBorders>
              <w:top w:val="single" w:sz="12" w:space="0" w:color="auto"/>
            </w:tcBorders>
            <w:shd w:val="clear" w:color="auto" w:fill="FFFFFF"/>
          </w:tcPr>
          <w:p w14:paraId="783AF9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РОМ-2</w:t>
            </w:r>
          </w:p>
        </w:tc>
        <w:tc>
          <w:tcPr>
            <w:tcW w:w="1701" w:type="dxa"/>
            <w:tcBorders>
              <w:top w:val="single" w:sz="12" w:space="0" w:color="auto"/>
            </w:tcBorders>
            <w:shd w:val="clear" w:color="auto" w:fill="FFFFFF"/>
          </w:tcPr>
          <w:p w14:paraId="0984AD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350.000 руб.</w:t>
            </w:r>
          </w:p>
        </w:tc>
      </w:tr>
      <w:tr w:rsidR="00A259BD" w:rsidRPr="00A259BD" w14:paraId="77086689" w14:textId="77777777">
        <w:tc>
          <w:tcPr>
            <w:tcW w:w="3085" w:type="dxa"/>
            <w:shd w:val="clear" w:color="auto" w:fill="FFFFFF"/>
          </w:tcPr>
          <w:p w14:paraId="3B0A67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РОМ-4</w:t>
            </w:r>
          </w:p>
        </w:tc>
        <w:tc>
          <w:tcPr>
            <w:tcW w:w="1701" w:type="dxa"/>
            <w:shd w:val="clear" w:color="auto" w:fill="FFFFFF"/>
          </w:tcPr>
          <w:p w14:paraId="19373C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375.000 руб.</w:t>
            </w:r>
          </w:p>
        </w:tc>
      </w:tr>
      <w:tr w:rsidR="00A259BD" w:rsidRPr="00A259BD" w14:paraId="01AFD3B1" w14:textId="77777777">
        <w:tc>
          <w:tcPr>
            <w:tcW w:w="3085" w:type="dxa"/>
            <w:shd w:val="clear" w:color="auto" w:fill="FFFFFF"/>
          </w:tcPr>
          <w:p w14:paraId="18529A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МР-6</w:t>
            </w:r>
          </w:p>
        </w:tc>
        <w:tc>
          <w:tcPr>
            <w:tcW w:w="1701" w:type="dxa"/>
            <w:shd w:val="clear" w:color="auto" w:fill="FFFFFF"/>
          </w:tcPr>
          <w:p w14:paraId="33FCBB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 руб.</w:t>
            </w:r>
          </w:p>
        </w:tc>
      </w:tr>
      <w:tr w:rsidR="00A259BD" w:rsidRPr="00A259BD" w14:paraId="2ECA4549" w14:textId="77777777">
        <w:tc>
          <w:tcPr>
            <w:tcW w:w="3085" w:type="dxa"/>
            <w:shd w:val="clear" w:color="auto" w:fill="FFFFFF"/>
          </w:tcPr>
          <w:p w14:paraId="5158E7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ТОМ-2</w:t>
            </w:r>
          </w:p>
        </w:tc>
        <w:tc>
          <w:tcPr>
            <w:tcW w:w="1701" w:type="dxa"/>
            <w:shd w:val="clear" w:color="auto" w:fill="FFFFFF"/>
          </w:tcPr>
          <w:p w14:paraId="5AB6B8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 руб.</w:t>
            </w:r>
          </w:p>
        </w:tc>
      </w:tr>
      <w:tr w:rsidR="00A259BD" w:rsidRPr="00A259BD" w14:paraId="286FE511" w14:textId="77777777">
        <w:tc>
          <w:tcPr>
            <w:tcW w:w="3085" w:type="dxa"/>
            <w:shd w:val="clear" w:color="auto" w:fill="FFFFFF"/>
          </w:tcPr>
          <w:p w14:paraId="20D0C2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ТОМ-3</w:t>
            </w:r>
          </w:p>
        </w:tc>
        <w:tc>
          <w:tcPr>
            <w:tcW w:w="1701" w:type="dxa"/>
            <w:shd w:val="clear" w:color="auto" w:fill="FFFFFF"/>
          </w:tcPr>
          <w:p w14:paraId="03B095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400.000 руб.</w:t>
            </w:r>
          </w:p>
        </w:tc>
      </w:tr>
      <w:tr w:rsidR="00A259BD" w:rsidRPr="00A259BD" w14:paraId="7D5242CC" w14:textId="77777777">
        <w:tc>
          <w:tcPr>
            <w:tcW w:w="3085" w:type="dxa"/>
            <w:shd w:val="clear" w:color="auto" w:fill="FFFFFF"/>
          </w:tcPr>
          <w:p w14:paraId="67B37F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МК-1</w:t>
            </w:r>
          </w:p>
        </w:tc>
        <w:tc>
          <w:tcPr>
            <w:tcW w:w="1701" w:type="dxa"/>
            <w:shd w:val="clear" w:color="auto" w:fill="FFFFFF"/>
          </w:tcPr>
          <w:p w14:paraId="6C3D0E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550.000 руб.</w:t>
            </w:r>
          </w:p>
        </w:tc>
      </w:tr>
      <w:tr w:rsidR="00A259BD" w:rsidRPr="00A259BD" w14:paraId="06D1D17E" w14:textId="77777777">
        <w:tc>
          <w:tcPr>
            <w:tcW w:w="3085" w:type="dxa"/>
            <w:shd w:val="clear" w:color="auto" w:fill="FFFFFF"/>
          </w:tcPr>
          <w:p w14:paraId="57D980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МК-2</w:t>
            </w:r>
          </w:p>
        </w:tc>
        <w:tc>
          <w:tcPr>
            <w:tcW w:w="1701" w:type="dxa"/>
            <w:shd w:val="clear" w:color="auto" w:fill="FFFFFF"/>
          </w:tcPr>
          <w:p w14:paraId="4E1140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450.000 руб.</w:t>
            </w:r>
          </w:p>
        </w:tc>
      </w:tr>
      <w:tr w:rsidR="00A259BD" w:rsidRPr="00A259BD" w14:paraId="484B95C8" w14:textId="77777777">
        <w:tc>
          <w:tcPr>
            <w:tcW w:w="3085" w:type="dxa"/>
            <w:shd w:val="clear" w:color="auto" w:fill="FFFFFF"/>
          </w:tcPr>
          <w:p w14:paraId="3A5E81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МР-7</w:t>
            </w:r>
          </w:p>
        </w:tc>
        <w:tc>
          <w:tcPr>
            <w:tcW w:w="1701" w:type="dxa"/>
            <w:shd w:val="clear" w:color="auto" w:fill="FFFFFF"/>
          </w:tcPr>
          <w:p w14:paraId="56A663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 руб.</w:t>
            </w:r>
          </w:p>
        </w:tc>
      </w:tr>
      <w:tr w:rsidR="00A259BD" w:rsidRPr="00A259BD" w14:paraId="639BF8D0" w14:textId="77777777">
        <w:tc>
          <w:tcPr>
            <w:tcW w:w="3085" w:type="dxa"/>
            <w:shd w:val="clear" w:color="auto" w:fill="FFFFFF"/>
          </w:tcPr>
          <w:p w14:paraId="16BDE5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КР-2</w:t>
            </w:r>
          </w:p>
        </w:tc>
        <w:tc>
          <w:tcPr>
            <w:tcW w:w="1701" w:type="dxa"/>
            <w:shd w:val="clear" w:color="auto" w:fill="FFFFFF"/>
          </w:tcPr>
          <w:p w14:paraId="0E1F58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120.000 руб.</w:t>
            </w:r>
          </w:p>
        </w:tc>
      </w:tr>
      <w:tr w:rsidR="00A259BD" w:rsidRPr="00A259BD" w14:paraId="57734C09" w14:textId="77777777">
        <w:tc>
          <w:tcPr>
            <w:tcW w:w="3085" w:type="dxa"/>
            <w:shd w:val="clear" w:color="auto" w:fill="FFFFFF"/>
          </w:tcPr>
          <w:p w14:paraId="71A53F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ТБОМ-ЦАГИ</w:t>
            </w:r>
          </w:p>
        </w:tc>
        <w:tc>
          <w:tcPr>
            <w:tcW w:w="1701" w:type="dxa"/>
            <w:shd w:val="clear" w:color="auto" w:fill="FFFFFF"/>
          </w:tcPr>
          <w:p w14:paraId="6B848F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500.000 руб.</w:t>
            </w:r>
          </w:p>
        </w:tc>
      </w:tr>
      <w:tr w:rsidR="00A259BD" w:rsidRPr="00A259BD" w14:paraId="62D80924" w14:textId="77777777">
        <w:tc>
          <w:tcPr>
            <w:tcW w:w="3085" w:type="dxa"/>
            <w:shd w:val="clear" w:color="auto" w:fill="FFFFFF"/>
          </w:tcPr>
          <w:p w14:paraId="7D38E2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ЭР1-ЦАГИ</w:t>
            </w:r>
          </w:p>
        </w:tc>
        <w:tc>
          <w:tcPr>
            <w:tcW w:w="1701" w:type="dxa"/>
            <w:shd w:val="clear" w:color="auto" w:fill="FFFFFF"/>
          </w:tcPr>
          <w:p w14:paraId="0A6514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 руб.</w:t>
            </w:r>
          </w:p>
        </w:tc>
      </w:tr>
      <w:tr w:rsidR="00A259BD" w:rsidRPr="00A259BD" w14:paraId="1421E1A3" w14:textId="77777777">
        <w:tc>
          <w:tcPr>
            <w:tcW w:w="3085" w:type="dxa"/>
            <w:shd w:val="clear" w:color="auto" w:fill="FFFFFF"/>
          </w:tcPr>
          <w:p w14:paraId="14E39C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А.Д.</w:t>
            </w:r>
          </w:p>
        </w:tc>
        <w:tc>
          <w:tcPr>
            <w:tcW w:w="1701" w:type="dxa"/>
            <w:shd w:val="clear" w:color="auto" w:fill="FFFFFF"/>
          </w:tcPr>
          <w:p w14:paraId="7AF495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130.000 руб.</w:t>
            </w:r>
          </w:p>
        </w:tc>
      </w:tr>
      <w:tr w:rsidR="00A259BD" w:rsidRPr="00A259BD" w14:paraId="1837201F" w14:textId="77777777">
        <w:tc>
          <w:tcPr>
            <w:tcW w:w="3085" w:type="dxa"/>
            <w:shd w:val="clear" w:color="auto" w:fill="FFFFFF"/>
          </w:tcPr>
          <w:p w14:paraId="72D9D9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А.Т.</w:t>
            </w:r>
          </w:p>
        </w:tc>
        <w:tc>
          <w:tcPr>
            <w:tcW w:w="1701" w:type="dxa"/>
            <w:shd w:val="clear" w:color="auto" w:fill="FFFFFF"/>
          </w:tcPr>
          <w:p w14:paraId="2A79A8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 руб.</w:t>
            </w:r>
          </w:p>
        </w:tc>
      </w:tr>
      <w:tr w:rsidR="00A259BD" w:rsidRPr="00A259BD" w14:paraId="7F642B82" w14:textId="77777777">
        <w:tc>
          <w:tcPr>
            <w:tcW w:w="3085" w:type="dxa"/>
            <w:shd w:val="clear" w:color="auto" w:fill="FFFFFF"/>
          </w:tcPr>
          <w:p w14:paraId="15D80C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МУ-3</w:t>
            </w:r>
          </w:p>
        </w:tc>
        <w:tc>
          <w:tcPr>
            <w:tcW w:w="1701" w:type="dxa"/>
            <w:shd w:val="clear" w:color="auto" w:fill="FFFFFF"/>
          </w:tcPr>
          <w:p w14:paraId="1C623A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120.000 руб.</w:t>
            </w:r>
          </w:p>
        </w:tc>
      </w:tr>
      <w:tr w:rsidR="00A259BD" w:rsidRPr="00A259BD" w14:paraId="1F7FA43F" w14:textId="77777777">
        <w:tc>
          <w:tcPr>
            <w:tcW w:w="3085" w:type="dxa"/>
            <w:shd w:val="clear" w:color="auto" w:fill="FFFFFF"/>
          </w:tcPr>
          <w:p w14:paraId="40E624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w:t>
            </w:r>
            <w:proofErr w:type="spellStart"/>
            <w:r w:rsidRPr="00A259BD">
              <w:rPr>
                <w:rFonts w:ascii="Times New Roman" w:hAnsi="Times New Roman"/>
                <w:color w:val="000000" w:themeColor="text1"/>
                <w:sz w:val="16"/>
                <w:szCs w:val="16"/>
              </w:rPr>
              <w:t>Постаноаса</w:t>
            </w:r>
            <w:proofErr w:type="spellEnd"/>
            <w:r w:rsidRPr="00A259BD">
              <w:rPr>
                <w:rFonts w:ascii="Times New Roman" w:hAnsi="Times New Roman"/>
                <w:color w:val="000000" w:themeColor="text1"/>
                <w:sz w:val="16"/>
                <w:szCs w:val="16"/>
              </w:rPr>
              <w:t xml:space="preserve"> 4-х машин на поп</w:t>
            </w:r>
            <w:r w:rsidRPr="00A259BD">
              <w:rPr>
                <w:rFonts w:ascii="Times New Roman" w:hAnsi="Times New Roman"/>
                <w:color w:val="000000" w:themeColor="text1"/>
                <w:sz w:val="16"/>
                <w:szCs w:val="16"/>
              </w:rPr>
              <w:softHyphen/>
              <w:t>лавки</w:t>
            </w:r>
          </w:p>
        </w:tc>
        <w:tc>
          <w:tcPr>
            <w:tcW w:w="1701" w:type="dxa"/>
            <w:shd w:val="clear" w:color="auto" w:fill="FFFFFF"/>
          </w:tcPr>
          <w:p w14:paraId="5817AE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 руб.</w:t>
            </w:r>
          </w:p>
        </w:tc>
      </w:tr>
      <w:tr w:rsidR="00A259BD" w:rsidRPr="00A259BD" w14:paraId="4F83977C" w14:textId="77777777">
        <w:tc>
          <w:tcPr>
            <w:tcW w:w="3085" w:type="dxa"/>
            <w:tcBorders>
              <w:bottom w:val="single" w:sz="12" w:space="0" w:color="auto"/>
            </w:tcBorders>
            <w:shd w:val="clear" w:color="auto" w:fill="FFFFFF"/>
          </w:tcPr>
          <w:p w14:paraId="7ECCB5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1701" w:type="dxa"/>
            <w:tcBorders>
              <w:bottom w:val="single" w:sz="12" w:space="0" w:color="auto"/>
            </w:tcBorders>
            <w:shd w:val="clear" w:color="auto" w:fill="FFFFFF"/>
          </w:tcPr>
          <w:p w14:paraId="0E50DE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4.375.000 руб.</w:t>
            </w:r>
          </w:p>
        </w:tc>
      </w:tr>
    </w:tbl>
    <w:p w14:paraId="065754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ОСНОВНОЙ ТИП. Разведчик открытого моря лодочного типа в двумя моторами.</w:t>
      </w:r>
    </w:p>
    <w:p w14:paraId="5F60E8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1/РОМ-2 с моторами 2БМВУ1 .Готов, находится в стадии сборки...</w:t>
      </w:r>
    </w:p>
    <w:p w14:paraId="23B5F5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...летными данными и уменьшенным весом конструкции. Летные данные по тактическим требованиям У макс. - 240-250, 3000-15 м. Задано два варианта полезной нагрузки 1310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xml:space="preserve">. и 1710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w:t>
      </w:r>
    </w:p>
    <w:p w14:paraId="168612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3.3а/Экспериментальный самолет ЦАГИ - Р1 см. ГУ - б/РОМ-3 - усовершенствование РОМ-2 с мотором БМВУ1.</w:t>
      </w:r>
    </w:p>
    <w:p w14:paraId="308DA1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 Основной тип. Разведчик базовый лодочного типа одномоторный</w:t>
      </w:r>
    </w:p>
    <w:p w14:paraId="44707B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4.1/МР5-БМВУ1. Проходит заводские испытания.</w:t>
      </w:r>
    </w:p>
    <w:p w14:paraId="2A3B06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5.2/МР6-БМВУI. Строится по инициативе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и является дуб</w:t>
      </w:r>
      <w:r w:rsidRPr="00A259BD">
        <w:rPr>
          <w:rFonts w:ascii="Times New Roman" w:hAnsi="Times New Roman"/>
          <w:color w:val="000000" w:themeColor="text1"/>
          <w:sz w:val="16"/>
          <w:szCs w:val="16"/>
        </w:rPr>
        <w:softHyphen/>
        <w:t>лированием типа МР5. Мотор БМВУ1. Летных данных нет. Технические требования те же, что для первого самолета МР5.</w:t>
      </w:r>
    </w:p>
    <w:p w14:paraId="356695B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6.3/МР7 - развитие МР5 , с мотором БМВУ1 7,3 /или с мотором второй очереди/. Самолет отнесен во вторую очередь. Увеличенная полезная нагрузка - 700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xml:space="preserve">. Летных данных не </w:t>
      </w:r>
      <w:proofErr w:type="spellStart"/>
      <w:r w:rsidRPr="00A259BD">
        <w:rPr>
          <w:rFonts w:ascii="Times New Roman" w:hAnsi="Times New Roman"/>
          <w:color w:val="000000" w:themeColor="text1"/>
          <w:sz w:val="16"/>
          <w:szCs w:val="16"/>
        </w:rPr>
        <w:t>задано.Принято</w:t>
      </w:r>
      <w:proofErr w:type="spellEnd"/>
      <w:r w:rsidRPr="00A259BD">
        <w:rPr>
          <w:rFonts w:ascii="Times New Roman" w:hAnsi="Times New Roman"/>
          <w:color w:val="000000" w:themeColor="text1"/>
          <w:sz w:val="16"/>
          <w:szCs w:val="16"/>
        </w:rPr>
        <w:t xml:space="preserve"> облегчение веса конструкции по статистике к 1931 г.</w:t>
      </w:r>
    </w:p>
    <w:p w14:paraId="3B8AB8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III. Основной тип. Торпедоносец открытого моря ТОМ двухмоторный</w:t>
      </w:r>
    </w:p>
    <w:p w14:paraId="53D39A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7.1/ТОМ-2-2БМВУ1. Поплавковый неудовлетворяющий требованиям УВВС в части мореходности. Заканчивается проектирование.</w:t>
      </w:r>
    </w:p>
    <w:p w14:paraId="77D72DD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2/ТОМ-3 -2 мотора БМВУ1. После испытания ТОМ "Р" с учетом данных испытаний. Может быть видоизменением первой конструкции, либо </w:t>
      </w:r>
      <w:proofErr w:type="spellStart"/>
      <w:r w:rsidRPr="00A259BD">
        <w:rPr>
          <w:rFonts w:ascii="Times New Roman" w:hAnsi="Times New Roman"/>
          <w:color w:val="000000" w:themeColor="text1"/>
          <w:sz w:val="16"/>
          <w:szCs w:val="16"/>
        </w:rPr>
        <w:t>тнпа</w:t>
      </w:r>
      <w:proofErr w:type="spellEnd"/>
      <w:r w:rsidRPr="00A259BD">
        <w:rPr>
          <w:rFonts w:ascii="Times New Roman" w:hAnsi="Times New Roman"/>
          <w:color w:val="000000" w:themeColor="text1"/>
          <w:sz w:val="16"/>
          <w:szCs w:val="16"/>
        </w:rPr>
        <w:t xml:space="preserve"> лодочного самолета.</w:t>
      </w:r>
    </w:p>
    <w:p w14:paraId="15069B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IV. Основной тип. Торпедоносец, бомбардировок открытого моря лодочного типа ТБОМ.</w:t>
      </w:r>
    </w:p>
    <w:p w14:paraId="3993C3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I/ Экспериментальный лодочный самолет ЦАГИ /АНТ3/ с 2 мотора</w:t>
      </w:r>
      <w:r w:rsidRPr="00A259BD">
        <w:rPr>
          <w:rFonts w:ascii="Times New Roman" w:hAnsi="Times New Roman"/>
          <w:color w:val="000000" w:themeColor="text1"/>
          <w:sz w:val="16"/>
          <w:szCs w:val="16"/>
        </w:rPr>
        <w:softHyphen/>
        <w:t>ми БМВУ1. Опытный тип, переходный к самолету ТБОМ. Предусматривается нагрузка разведчика-</w:t>
      </w:r>
      <w:proofErr w:type="spellStart"/>
      <w:r w:rsidRPr="00A259BD">
        <w:rPr>
          <w:rFonts w:ascii="Times New Roman" w:hAnsi="Times New Roman"/>
          <w:color w:val="000000" w:themeColor="text1"/>
          <w:sz w:val="16"/>
          <w:szCs w:val="16"/>
        </w:rPr>
        <w:t>бамбардировщика</w:t>
      </w:r>
      <w:proofErr w:type="spellEnd"/>
      <w:r w:rsidRPr="00A259BD">
        <w:rPr>
          <w:rFonts w:ascii="Times New Roman" w:hAnsi="Times New Roman"/>
          <w:color w:val="000000" w:themeColor="text1"/>
          <w:sz w:val="16"/>
          <w:szCs w:val="16"/>
        </w:rPr>
        <w:t>.</w:t>
      </w:r>
    </w:p>
    <w:p w14:paraId="74B9BF7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2/ТБОМ - </w:t>
      </w:r>
      <w:proofErr w:type="spellStart"/>
      <w:r w:rsidRPr="00A259BD">
        <w:rPr>
          <w:rFonts w:ascii="Times New Roman" w:hAnsi="Times New Roman"/>
          <w:color w:val="000000" w:themeColor="text1"/>
          <w:sz w:val="16"/>
          <w:szCs w:val="16"/>
        </w:rPr>
        <w:t>торпедоноогц</w:t>
      </w:r>
      <w:proofErr w:type="spellEnd"/>
      <w:r w:rsidRPr="00A259BD">
        <w:rPr>
          <w:rFonts w:ascii="Times New Roman" w:hAnsi="Times New Roman"/>
          <w:color w:val="000000" w:themeColor="text1"/>
          <w:sz w:val="16"/>
          <w:szCs w:val="16"/>
        </w:rPr>
        <w:t xml:space="preserve"> бомбардировщик открытого моря, лодоч</w:t>
      </w:r>
      <w:r w:rsidRPr="00A259BD">
        <w:rPr>
          <w:rFonts w:ascii="Times New Roman" w:hAnsi="Times New Roman"/>
          <w:color w:val="000000" w:themeColor="text1"/>
          <w:sz w:val="16"/>
          <w:szCs w:val="16"/>
        </w:rPr>
        <w:softHyphen/>
        <w:t xml:space="preserve">ного типа с 3 моторами М33. Технические требования разработаны и утверждены. К постройке приступят после </w:t>
      </w:r>
      <w:proofErr w:type="spellStart"/>
      <w:r w:rsidRPr="00A259BD">
        <w:rPr>
          <w:rFonts w:ascii="Times New Roman" w:hAnsi="Times New Roman"/>
          <w:color w:val="000000" w:themeColor="text1"/>
          <w:sz w:val="16"/>
          <w:szCs w:val="16"/>
        </w:rPr>
        <w:t>нспптаний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экпериментального</w:t>
      </w:r>
      <w:proofErr w:type="spellEnd"/>
      <w:r w:rsidRPr="00A259BD">
        <w:rPr>
          <w:rFonts w:ascii="Times New Roman" w:hAnsi="Times New Roman"/>
          <w:color w:val="000000" w:themeColor="text1"/>
          <w:sz w:val="16"/>
          <w:szCs w:val="16"/>
        </w:rPr>
        <w:t xml:space="preserve"> самолета.</w:t>
      </w:r>
    </w:p>
    <w:p w14:paraId="14F310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V. Основной тип. Морской крейсер МК.</w:t>
      </w:r>
    </w:p>
    <w:p w14:paraId="4BC9D1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1/МК1 - лодочная машина с 3 моторами 1-й очереди /М33/.</w:t>
      </w:r>
    </w:p>
    <w:p w14:paraId="1868CD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....очереди, 2-х моторный с мотором М35-х1250 НР /3 очередь/ о теми же летными данными, но с повышенной полезной нагрузкой 1500 кг и измененной схемой.</w:t>
      </w:r>
    </w:p>
    <w:p w14:paraId="07982B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У1. Основной тип. </w:t>
      </w:r>
      <w:proofErr w:type="spellStart"/>
      <w:r w:rsidRPr="00A259BD">
        <w:rPr>
          <w:rFonts w:ascii="Times New Roman" w:hAnsi="Times New Roman"/>
          <w:color w:val="000000" w:themeColor="text1"/>
          <w:sz w:val="16"/>
          <w:szCs w:val="16"/>
        </w:rPr>
        <w:t>КатапулътныЯ</w:t>
      </w:r>
      <w:proofErr w:type="spellEnd"/>
      <w:r w:rsidRPr="00A259BD">
        <w:rPr>
          <w:rFonts w:ascii="Times New Roman" w:hAnsi="Times New Roman"/>
          <w:color w:val="000000" w:themeColor="text1"/>
          <w:sz w:val="16"/>
          <w:szCs w:val="16"/>
        </w:rPr>
        <w:t xml:space="preserve"> разведчик КР.</w:t>
      </w:r>
    </w:p>
    <w:p w14:paraId="73C51B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1/Катапультный разведчик КР1 заказывается по лицензии, мо</w:t>
      </w:r>
      <w:r w:rsidRPr="00A259BD">
        <w:rPr>
          <w:rFonts w:ascii="Times New Roman" w:hAnsi="Times New Roman"/>
          <w:color w:val="000000" w:themeColor="text1"/>
          <w:sz w:val="16"/>
          <w:szCs w:val="16"/>
        </w:rPr>
        <w:softHyphen/>
        <w:t>тор Юпитер У1.</w:t>
      </w:r>
    </w:p>
    <w:p w14:paraId="6BBBFF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2/КР2 - развитие типа “1” за счет снижения веса конструкции и установки более мощного мотора /А7-500/600/3-й очереди. Повышенная полезная нагрузка - 430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Улучшение летных данных.</w:t>
      </w:r>
    </w:p>
    <w:p w14:paraId="26362B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УП. Основной тип. Амфибия.</w:t>
      </w:r>
    </w:p>
    <w:p w14:paraId="0732FAA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А/АЛ - Амфибия легкая одномоторная.</w:t>
      </w:r>
    </w:p>
    <w:p w14:paraId="49C788E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Заданы: У-120-180, У пост. - 75-80, 3000 - 6-8 минут. </w:t>
      </w:r>
      <w:proofErr w:type="spellStart"/>
      <w:r w:rsidRPr="00A259BD">
        <w:rPr>
          <w:rFonts w:ascii="Times New Roman" w:hAnsi="Times New Roman"/>
          <w:color w:val="000000" w:themeColor="text1"/>
          <w:sz w:val="16"/>
          <w:szCs w:val="16"/>
        </w:rPr>
        <w:t>Нпр</w:t>
      </w:r>
      <w:proofErr w:type="spellEnd"/>
      <w:r w:rsidRPr="00A259BD">
        <w:rPr>
          <w:rFonts w:ascii="Times New Roman" w:hAnsi="Times New Roman"/>
          <w:color w:val="000000" w:themeColor="text1"/>
          <w:sz w:val="16"/>
          <w:szCs w:val="16"/>
        </w:rPr>
        <w:t xml:space="preserve"> - 4000-4500. Может быть применен лодочный самолет КР-11с другой короб</w:t>
      </w:r>
      <w:r w:rsidRPr="00A259BD">
        <w:rPr>
          <w:rFonts w:ascii="Times New Roman" w:hAnsi="Times New Roman"/>
          <w:color w:val="000000" w:themeColor="text1"/>
          <w:sz w:val="16"/>
          <w:szCs w:val="16"/>
        </w:rPr>
        <w:softHyphen/>
        <w:t xml:space="preserve">кой крыльев и с соответствующими изменениями и конструкции лодки для установки колесного шасси. Самолет 2-й очереди и </w:t>
      </w:r>
      <w:proofErr w:type="spellStart"/>
      <w:r w:rsidRPr="00A259BD">
        <w:rPr>
          <w:rFonts w:ascii="Times New Roman" w:hAnsi="Times New Roman"/>
          <w:color w:val="000000" w:themeColor="text1"/>
          <w:sz w:val="16"/>
          <w:szCs w:val="16"/>
        </w:rPr>
        <w:t>моэет</w:t>
      </w:r>
      <w:proofErr w:type="spellEnd"/>
      <w:r w:rsidRPr="00A259BD">
        <w:rPr>
          <w:rFonts w:ascii="Times New Roman" w:hAnsi="Times New Roman"/>
          <w:color w:val="000000" w:themeColor="text1"/>
          <w:sz w:val="16"/>
          <w:szCs w:val="16"/>
        </w:rPr>
        <w:t xml:space="preserve"> быть построен с мотором 2-й очереди А5-500/600 НР.</w:t>
      </w:r>
    </w:p>
    <w:p w14:paraId="06DAE4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2/АТ - Амфибия тяжелая.</w:t>
      </w:r>
    </w:p>
    <w:p w14:paraId="168C182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Тактических требования пока еще нет. Тип сомнительный, так как по статистике амфибии с полетным весом выше 3000-4000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нет, а в этот вес едва ли можно уложить тяжелый самолет.</w:t>
      </w:r>
    </w:p>
    <w:p w14:paraId="17869C4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УШ. Основной тип. Учебный самолет АУ.</w:t>
      </w:r>
    </w:p>
    <w:p w14:paraId="222543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1/МУ2 - МП лодочного типа . Самолет закончен. Ведется установка мотора М11, задержавшего выпуск самолет свыше, чем на I 1/2 года.</w:t>
      </w:r>
    </w:p>
    <w:p w14:paraId="0A9C6A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2/МУЗ - мотор 120/150 НР. Развитие МУ2 в части удовлетворения требования учебного отдела на основе испытаний самоле</w:t>
      </w:r>
      <w:r w:rsidRPr="00A259BD">
        <w:rPr>
          <w:rFonts w:ascii="Times New Roman" w:hAnsi="Times New Roman"/>
          <w:color w:val="000000" w:themeColor="text1"/>
          <w:sz w:val="16"/>
          <w:szCs w:val="16"/>
        </w:rPr>
        <w:softHyphen/>
        <w:t>та МУ2.</w:t>
      </w:r>
    </w:p>
    <w:p w14:paraId="2DB590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типов - 8 . Самолетов опытных - 18 .</w:t>
      </w:r>
    </w:p>
    <w:p w14:paraId="29827D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изготовление поплавковых шасси для самолетов Р5 (351,67).</w:t>
      </w:r>
    </w:p>
    <w:p w14:paraId="0E04E3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A2DA4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E9D9EB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FDF2E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сентября 1929 в НИИ ВВС закончились гос. испытания головного У-2 М-11 Н.Н.П., изготовленного заводом 23, которые шли с 26 августа 1928 (2371).</w:t>
      </w:r>
    </w:p>
    <w:p w14:paraId="701AB5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C1C4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сентября 1929 завод 25 получил от НТК ТТ на И-7 М-17 (2365).</w:t>
      </w:r>
    </w:p>
    <w:p w14:paraId="639F0A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720F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сентября 1929 г. поступили новые требования к истребителю И-7 и началась доработка эскизного проекта и постройка ма</w:t>
      </w:r>
      <w:r w:rsidRPr="00A259BD">
        <w:rPr>
          <w:rFonts w:ascii="Times New Roman" w:hAnsi="Times New Roman"/>
          <w:color w:val="000000" w:themeColor="text1"/>
          <w:sz w:val="16"/>
          <w:szCs w:val="16"/>
        </w:rPr>
        <w:softHyphen/>
        <w:t>кет, которые до этого разрабатывали, ориентируясь на более ранние, предварительные технические требования. 27 августа 1929 г. состоялось заседание макетной комиссии по са</w:t>
      </w:r>
      <w:r w:rsidRPr="00A259BD">
        <w:rPr>
          <w:rFonts w:ascii="Times New Roman" w:hAnsi="Times New Roman"/>
          <w:color w:val="000000" w:themeColor="text1"/>
          <w:sz w:val="16"/>
          <w:szCs w:val="16"/>
        </w:rPr>
        <w:softHyphen/>
        <w:t>молету И-7 на заводе № 25 (10667).</w:t>
      </w:r>
    </w:p>
    <w:p w14:paraId="1DB7EB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3D7D9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сентября 1929 г.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направил письмо в НТК ВВС за подписью заведующего техническим отделом </w:t>
      </w:r>
      <w:proofErr w:type="spellStart"/>
      <w:r w:rsidRPr="00A259BD">
        <w:rPr>
          <w:rFonts w:ascii="Times New Roman" w:hAnsi="Times New Roman"/>
          <w:color w:val="000000" w:themeColor="text1"/>
          <w:sz w:val="16"/>
          <w:szCs w:val="16"/>
        </w:rPr>
        <w:t>Окромешко</w:t>
      </w:r>
      <w:proofErr w:type="spellEnd"/>
      <w:r w:rsidRPr="00A259BD">
        <w:rPr>
          <w:rFonts w:ascii="Times New Roman" w:hAnsi="Times New Roman"/>
          <w:color w:val="000000" w:themeColor="text1"/>
          <w:sz w:val="16"/>
          <w:szCs w:val="16"/>
        </w:rPr>
        <w:t>, в котором упоминается о проектировании двух вариантов И-7: деревянного и металлического, а также о требованиях ВВС предусмотреть возможность замены мотора М-17 на новые М-30 и М-32, испытания которых еще не начались. Для этой цели предполага</w:t>
      </w:r>
      <w:r w:rsidRPr="00A259BD">
        <w:rPr>
          <w:rFonts w:ascii="Times New Roman" w:hAnsi="Times New Roman"/>
          <w:color w:val="000000" w:themeColor="text1"/>
          <w:sz w:val="16"/>
          <w:szCs w:val="16"/>
        </w:rPr>
        <w:softHyphen/>
        <w:t xml:space="preserve">лось сделать </w:t>
      </w:r>
      <w:proofErr w:type="spellStart"/>
      <w:r w:rsidRPr="00A259BD">
        <w:rPr>
          <w:rFonts w:ascii="Times New Roman" w:hAnsi="Times New Roman"/>
          <w:color w:val="000000" w:themeColor="text1"/>
          <w:sz w:val="16"/>
          <w:szCs w:val="16"/>
        </w:rPr>
        <w:t>мотоустановку</w:t>
      </w:r>
      <w:proofErr w:type="spellEnd"/>
      <w:r w:rsidRPr="00A259BD">
        <w:rPr>
          <w:rFonts w:ascii="Times New Roman" w:hAnsi="Times New Roman"/>
          <w:color w:val="000000" w:themeColor="text1"/>
          <w:sz w:val="16"/>
          <w:szCs w:val="16"/>
        </w:rPr>
        <w:t xml:space="preserve"> легкосъемной.</w:t>
      </w:r>
    </w:p>
    <w:p w14:paraId="7ACC7F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конструкции самолета И7-М17 предпо</w:t>
      </w:r>
      <w:r w:rsidRPr="00A259BD">
        <w:rPr>
          <w:rFonts w:ascii="Times New Roman" w:hAnsi="Times New Roman"/>
          <w:color w:val="000000" w:themeColor="text1"/>
          <w:sz w:val="16"/>
          <w:szCs w:val="16"/>
        </w:rPr>
        <w:softHyphen/>
        <w:t>ложена в нескольких вариантах: из них два с металличе</w:t>
      </w:r>
      <w:r w:rsidRPr="00A259BD">
        <w:rPr>
          <w:rFonts w:ascii="Times New Roman" w:hAnsi="Times New Roman"/>
          <w:color w:val="000000" w:themeColor="text1"/>
          <w:sz w:val="16"/>
          <w:szCs w:val="16"/>
        </w:rPr>
        <w:softHyphen/>
        <w:t>ским фюзеляжем и два с деревянным, один из последних будет иметь трапециевидные крылья”, - от</w:t>
      </w:r>
      <w:r w:rsidRPr="00A259BD">
        <w:rPr>
          <w:rFonts w:ascii="Times New Roman" w:hAnsi="Times New Roman"/>
          <w:color w:val="000000" w:themeColor="text1"/>
          <w:sz w:val="16"/>
          <w:szCs w:val="16"/>
        </w:rPr>
        <w:softHyphen/>
        <w:t>мечал Николай Николаевич в переписке по опытному строительству (10667).</w:t>
      </w:r>
    </w:p>
    <w:p w14:paraId="1240165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A4E5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сентября 1929 г. НТК ВВС наконец сформулировал технические требования на постройку И-7. Они включа</w:t>
      </w:r>
      <w:r w:rsidRPr="00A259BD">
        <w:rPr>
          <w:rFonts w:ascii="Times New Roman" w:hAnsi="Times New Roman"/>
          <w:color w:val="000000" w:themeColor="text1"/>
          <w:sz w:val="16"/>
          <w:szCs w:val="16"/>
        </w:rPr>
        <w:softHyphen/>
        <w:t>ли в себя следующие пункты: максимальная горизон</w:t>
      </w:r>
      <w:r w:rsidRPr="00A259BD">
        <w:rPr>
          <w:rFonts w:ascii="Times New Roman" w:hAnsi="Times New Roman"/>
          <w:color w:val="000000" w:themeColor="text1"/>
          <w:sz w:val="16"/>
          <w:szCs w:val="16"/>
        </w:rPr>
        <w:softHyphen/>
        <w:t>тальная скорость на высоте 5000 метров не менее 270 км/ч, посадочная скорость не более 90 км/ч, время подъ</w:t>
      </w:r>
      <w:r w:rsidRPr="00A259BD">
        <w:rPr>
          <w:rFonts w:ascii="Times New Roman" w:hAnsi="Times New Roman"/>
          <w:color w:val="000000" w:themeColor="text1"/>
          <w:sz w:val="16"/>
          <w:szCs w:val="16"/>
        </w:rPr>
        <w:softHyphen/>
        <w:t>ема на высоту 5000 м 8 минут, потолок - 7500 метров. На И-7 предполагалось установить вооружение, состояв</w:t>
      </w:r>
      <w:r w:rsidRPr="00A259BD">
        <w:rPr>
          <w:rFonts w:ascii="Times New Roman" w:hAnsi="Times New Roman"/>
          <w:color w:val="000000" w:themeColor="text1"/>
          <w:sz w:val="16"/>
          <w:szCs w:val="16"/>
        </w:rPr>
        <w:softHyphen/>
        <w:t>шее из двух синхронных пулеметов ПВ-1 с 1500 патро</w:t>
      </w:r>
      <w:r w:rsidRPr="00A259BD">
        <w:rPr>
          <w:rFonts w:ascii="Times New Roman" w:hAnsi="Times New Roman"/>
          <w:color w:val="000000" w:themeColor="text1"/>
          <w:sz w:val="16"/>
          <w:szCs w:val="16"/>
        </w:rPr>
        <w:softHyphen/>
        <w:t>нами, фото- и радиооборудование. Предписывалось предусмотреть установку еще двух пулеметов ПВ-1 (10667).</w:t>
      </w:r>
    </w:p>
    <w:p w14:paraId="3417D6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17D90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сентября 1929 ЦАГИ получил и присвоил N 866с от УВВС письмо, отправленное 4 сентября 1929 за N 168с "При сем препровождается Вам пятилетний план опытного строительства ВВС по самолетам для согласования сроков в той части, которая предназначена для выполнения Вашим КБ.</w:t>
      </w:r>
    </w:p>
    <w:p w14:paraId="19164A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Ваш ответ ожидается к 1 октября 1929, при этом просим сообщить Ваши соображения о мероприятиях, проводимых Вами для выполнения данного плана". Подписал Зам. пред. НТК </w:t>
      </w:r>
      <w:proofErr w:type="spellStart"/>
      <w:r w:rsidRPr="00A259BD">
        <w:rPr>
          <w:rFonts w:ascii="Times New Roman" w:hAnsi="Times New Roman"/>
          <w:color w:val="000000" w:themeColor="text1"/>
          <w:sz w:val="16"/>
          <w:szCs w:val="16"/>
        </w:rPr>
        <w:t>Н.М.Харламов</w:t>
      </w:r>
      <w:proofErr w:type="spellEnd"/>
      <w:r w:rsidRPr="00A259BD">
        <w:rPr>
          <w:rFonts w:ascii="Times New Roman" w:hAnsi="Times New Roman"/>
          <w:color w:val="000000" w:themeColor="text1"/>
          <w:sz w:val="16"/>
          <w:szCs w:val="16"/>
        </w:rPr>
        <w:t xml:space="preserve"> (351).</w:t>
      </w:r>
    </w:p>
    <w:p w14:paraId="072EE0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 ответил 21 октября 1929 письмом N 597с (351).</w:t>
      </w:r>
    </w:p>
    <w:p w14:paraId="2C6449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65A60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C9EEFD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8633B9B"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сентября 1929</w:t>
      </w:r>
    </w:p>
    <w:p w14:paraId="51F28DDD"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 1</w:t>
      </w:r>
    </w:p>
    <w:p w14:paraId="613927FB"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21 пр. ПБ № 96.</w:t>
      </w:r>
    </w:p>
    <w:p w14:paraId="68BFBA13"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Всем партийным организациям, всем членам партии.</w:t>
      </w:r>
    </w:p>
    <w:p w14:paraId="1E524857"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 ЦК ВКП(б).</w:t>
      </w:r>
    </w:p>
    <w:p w14:paraId="55ADF87D"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мерах по упорядочению управления производством и установления единоначалия.</w:t>
      </w:r>
    </w:p>
    <w:p w14:paraId="0E22A6CF"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(Окончательная редакция).</w:t>
      </w:r>
    </w:p>
    <w:p w14:paraId="62660D0B"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Успешное проведение курса партии на индустриализацию, успешное развитие промышленности, особенно в сложных условиях ее технической реконструкции, зависит от правильной организации производства и управления им, т. е. от обеспечения твердого порядка и крепкой внутренней дисциплины на производстве. Между тем ЦК ВКП(б) вынужден констатировать, что, несмотря на большие достижения в области развития промышленности, до сих пор мы еще не добились необходимого порядка в деле управления предприятиями: нет четкого и достаточно строгого ограничения функций и обязанностей между заводскими организациями — между директором, завкомом и партячейкой; на предприятиях все еще имеет место непосредственное вмешательство партийных и профсоюзных органов в оперативно-производственную работу заводоуправлений.</w:t>
      </w:r>
    </w:p>
    <w:p w14:paraId="000F4188"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Следствием этого является случайное и подчас ошибочное решение хозяйственных вопросов, фактическое прикрытие различных ошибок и недочетов в руководстве и управлении производством решениями ячеек и завкомов и ослабление ответственности директоров за производство. С другой стороны, имеют место факты совершенно недопустимого отношения заводской администрации к партийным и профсоюзным организациям, бюрократического игнорирования совершенно правильных, основанных на директивах партии, решений партячеек и заводских комитетов, а также производственной инициативы масс.</w:t>
      </w:r>
    </w:p>
    <w:p w14:paraId="6451AC69"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Сложность хозяйственной работы в нынешний период, введение новых методов и процессов производства, громадное развертывание производства и строительства требуют решительного устранения этих ненормальностей, так как без этого невозможно обеспечить укрепление трудовой дисциплины, поднятие производительности труда, улучшение организации производства и осуществление режима экономии — этих важнейших задач рабочего класса по интересам пролетарской диктатуры. Поэтому необходимо установить такой порядок управления производством, который гарантировал бы подчиненность и ответственность каждого занятого в производстве лица — от директора до рядового рабочего — за порученное ему дело и который исключал бы безответственность, путаницу и фактическое безначалие на производстве, вытекающее из вмешательства одного органа в функции другого.</w:t>
      </w:r>
    </w:p>
    <w:p w14:paraId="2C502638"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Именно в этих целях партия не один раз выносила решения о проведении единоначалия в деле управления производством. Тем более возможно и необходимо в настоящее время сосредоточить в руках руководителей фабрик и заводов все нити управления хозяйственной жизнью предприятий, когда мы имеем безусловный рост хозяйственных кадров из состава рабочих, повышение их деловой квалификации на практической работе.</w:t>
      </w:r>
    </w:p>
    <w:p w14:paraId="19D6ECF1"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Проведение партийных директив об единоначалии на предприятиях в обстановке роста организованных форм участия рабочих в управлении производством должно быть теснейшим образом соединено с дальнейшим развитием творческой активности и инициативы масс а деле организации производства и управления им. «Надо научиться соединять вместе бурный, бьющий весенним половодьем, выходящий из всех берегов, митинговый демократизм трудящихся масс с железной дисциплиной во время труда, с беспрекословным повиновением воле одного лица — советского руководителя во время труда». (Ленин. “Очередные задачи советской власти”, т. XV).</w:t>
      </w:r>
    </w:p>
    <w:p w14:paraId="654C8EAC"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Ввиду того, что не все партийные организации, коммунисты и рабочие уяснили себе этот важнейший для успешного развития социалистической промышленности принцип управления производством ЦК считает нужным дать следующие указания:</w:t>
      </w:r>
    </w:p>
    <w:p w14:paraId="450A545F"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В организации управления производством необходимо исходить из того, что администрация (директор) непосредственно отвечает за выполнение </w:t>
      </w:r>
      <w:proofErr w:type="spellStart"/>
      <w:r w:rsidRPr="00A259BD">
        <w:rPr>
          <w:rFonts w:ascii="Times New Roman" w:hAnsi="Times New Roman"/>
          <w:color w:val="000000" w:themeColor="text1"/>
          <w:sz w:val="16"/>
          <w:szCs w:val="16"/>
        </w:rPr>
        <w:t>промфинплана</w:t>
      </w:r>
      <w:proofErr w:type="spellEnd"/>
      <w:r w:rsidRPr="00A259BD">
        <w:rPr>
          <w:rFonts w:ascii="Times New Roman" w:hAnsi="Times New Roman"/>
          <w:color w:val="000000" w:themeColor="text1"/>
          <w:sz w:val="16"/>
          <w:szCs w:val="16"/>
        </w:rPr>
        <w:t xml:space="preserve"> и всех производственных заданий. Администрация руководит как аппаратом управления, так и всеми организационно-техническими процессами производства на предприятии. Все его оперативно-хозяйственные распоряжения как для нижестоящей администрации, так к для рабочих безусловно обязательны, какое бы положение они не занимали в партийных, профессиональных и иных организациях. Администрация предприятия непосредственно назначает весь административно-технический персонал предприятия, причем во взаимоотношениях между директором предприятия и цеховой администрацией необходимо исходить из расширения прав и предоставления большей самостоятельности цеховой администрации, в том числе и в деле подбора административно-технических сил в цеху (мастера, бригады и т. п.). При назначении и смещении того или иного работника администрация обязана учитывать мнение партийной и профессиональной организации, за которыми, в случае несогласия с назначением или смещением, остается право апелляции к вышестоящим партийным, профессиональным и хозяйственным органам, что, однако, не приостанавливает проведения в жизнь решения администрации.</w:t>
      </w:r>
    </w:p>
    <w:p w14:paraId="38538BF7"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Администрация предприятия и цеха, проводя все необходимые мероприятия по укреплению к внедрению производственной дисциплины на предприятии, должна в то же время уметь сочетать методы всей своей организационно-административной деятельности с необходимостью развития творческого почина рабочих масс, с вовлечением их в управление производством, с обязательным учетом их предложений и реализацией принятых предложений, всемерно поощряя рационализаторскую инициативу и рабочее изобретательство и т. д., с максимально чутким отношением к нуждам рабочих и их указаниям как на технические, тек и на управленческие недостатки. «Чем решительнее мы должны стоять теперь за беспощадно твердую власть, за диктатуру отдельных лиц для определенных процессов работы, в определенные моменты чисто исполнительских функций, тем разнообразнее должны быть фермы и способы контроля снизу». (Ленин «Очередные задачи советской власти». т. XV).</w:t>
      </w:r>
    </w:p>
    <w:p w14:paraId="782D5932"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Профессиональные организации на предприятиях, непосредственно отстаивая и защищая повседневные культурно-бытовые и экономические нужды рабочих, должны в то же время быть энергичными организаторами производственной активности и самодеятельности рабочих масс. Фабзавкомы должны принимать активное участие, в особенности через производственные совещания, в обсуждении и разработке основных вопросов производства </w:t>
      </w:r>
      <w:proofErr w:type="spellStart"/>
      <w:r w:rsidRPr="00A259BD">
        <w:rPr>
          <w:rFonts w:ascii="Times New Roman" w:hAnsi="Times New Roman"/>
          <w:color w:val="000000" w:themeColor="text1"/>
          <w:sz w:val="16"/>
          <w:szCs w:val="16"/>
        </w:rPr>
        <w:t>промфинпланов</w:t>
      </w:r>
      <w:proofErr w:type="spellEnd"/>
      <w:r w:rsidRPr="00A259BD">
        <w:rPr>
          <w:rFonts w:ascii="Times New Roman" w:hAnsi="Times New Roman"/>
          <w:color w:val="000000" w:themeColor="text1"/>
          <w:sz w:val="16"/>
          <w:szCs w:val="16"/>
        </w:rPr>
        <w:t xml:space="preserve"> и реконструктивных мероприятий на предприятиях, наблюдать за проведением в жизнь целесообразных предложений рабочих, содействовать рационализации производства, улучшению организации труда и т. п. Заслушивая регулярно отчеты администрации, изучая материалы по производству и вынося свои предложения, профорганизации не должны, однако, вмешиваться непосредственно в руководство предприятием и тем более не подменять собой администрации, всемерно способствуя действительному проведению и укреплению единоначалия, росту производства, развитию предприятия и тем самым, улучшению материального положения рабочего класса.</w:t>
      </w:r>
    </w:p>
    <w:p w14:paraId="7EC3C487"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Партячейки, являясь основой партии особенно на предприятиях, должны своей работой осуществлять руководство общественно-политической и хозяйственной жизнью предприятий таким образом, чтобы обеспечить выполнение профессиональными и хозяйственными органами основных директив партии, не вмешиваясь при этом в детали работы завкома и директора, в особенности в оперативные распоряжения администрации. Партячейки должны активно содействовать осуществлению во всей системе управления производством принципа единоначалия. Партийные ячейки ни в коем случае не должны подменять собою администрацию предприятий в назначении нижестоящей администрации; тем более недопустимо вмешательство в распоряжения администрации по распределению рабочих в цехах. При назначении и смещении основных должностных лиц на предприятиях ниже директора (заведующие крупными цехами и т. п.) ячейки и фабзавкомы обсуждают эти назначения и смещения, однако, в случае несогласия с той или иной кандидатурой, не могут задерживать распоряжений администрации, перенося спорные вопросы в вышестоящие партийные профессиональные и хозяйственные органы.</w:t>
      </w:r>
    </w:p>
    <w:p w14:paraId="37576881"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Ячейки разным образом не должны подменять собою завком. В частности, ячейки не должны подменять собой завком и администрацию в деле рассмотрения поступающих от рабочих жалоб и разрешения отдельных производственных конфликтов. Принимая жалобы от рабочих, вникая в содержание этих жалоб, наблюдая за тем, чтобы они не были игнорированы, ячейки должны в то же время предоставить возможность соответствующим органам и организациям самим исчерпать все существующие возможности для разрешения конфликтов.</w:t>
      </w:r>
    </w:p>
    <w:p w14:paraId="2F50E146"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Заслушивая доклады директоров предприятий и заведующих крупными цехами об основных вопросах производства, о перспективах и выполнении </w:t>
      </w:r>
      <w:proofErr w:type="spellStart"/>
      <w:r w:rsidRPr="00A259BD">
        <w:rPr>
          <w:rFonts w:ascii="Times New Roman" w:hAnsi="Times New Roman"/>
          <w:color w:val="000000" w:themeColor="text1"/>
          <w:sz w:val="16"/>
          <w:szCs w:val="16"/>
        </w:rPr>
        <w:t>промфинпланов</w:t>
      </w:r>
      <w:proofErr w:type="spellEnd"/>
      <w:r w:rsidRPr="00A259BD">
        <w:rPr>
          <w:rFonts w:ascii="Times New Roman" w:hAnsi="Times New Roman"/>
          <w:color w:val="000000" w:themeColor="text1"/>
          <w:sz w:val="16"/>
          <w:szCs w:val="16"/>
        </w:rPr>
        <w:t xml:space="preserve"> и важнейших производственных заданий, о реконструктивных мероприятиях, о труддисциплине, о производительности труда и других важных сторонах производственной жизни предприятий, ячейка должна при этом не допускать мелочного дерганья хозяйственников, соблюдая плановость в постановке этих вопросов. Не увлекаясь мелкими вопросами жизни предприятия, ячейки тем самым получат больше возможности осуществить важнейшую задачу политического руководства массами и их организациями и воспитания в них классовой бдительности и сознательного отношения к интересам социалистического предприятия, что облегчит борьбу с вредительством в промышленности и на транспорте и будет способствовать выполнению </w:t>
      </w:r>
      <w:proofErr w:type="spellStart"/>
      <w:r w:rsidRPr="00A259BD">
        <w:rPr>
          <w:rFonts w:ascii="Times New Roman" w:hAnsi="Times New Roman"/>
          <w:color w:val="000000" w:themeColor="text1"/>
          <w:sz w:val="16"/>
          <w:szCs w:val="16"/>
        </w:rPr>
        <w:t>промфинпланов</w:t>
      </w:r>
      <w:proofErr w:type="spellEnd"/>
      <w:r w:rsidRPr="00A259BD">
        <w:rPr>
          <w:rFonts w:ascii="Times New Roman" w:hAnsi="Times New Roman"/>
          <w:color w:val="000000" w:themeColor="text1"/>
          <w:sz w:val="16"/>
          <w:szCs w:val="16"/>
        </w:rPr>
        <w:t>.</w:t>
      </w:r>
    </w:p>
    <w:p w14:paraId="4CDF0E0D"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Эти основы разделения функций между партийными, профессиональными и административными органами не только не отрицают а, наоборот, предполагают теснейшую связь, взаимную помощь и создание действительно товарищеской атмосферы в работе, исключающей возможность семейственности и взаимного </w:t>
      </w:r>
      <w:r w:rsidRPr="00A259BD">
        <w:rPr>
          <w:rFonts w:ascii="Times New Roman" w:hAnsi="Times New Roman"/>
          <w:color w:val="000000" w:themeColor="text1"/>
          <w:sz w:val="16"/>
          <w:szCs w:val="16"/>
        </w:rPr>
        <w:lastRenderedPageBreak/>
        <w:t xml:space="preserve">покрывания друг друга. Самое тесное взаимодействие и обогащение опытом особенно нужны при разработке и осуществлении </w:t>
      </w:r>
      <w:proofErr w:type="spellStart"/>
      <w:r w:rsidRPr="00A259BD">
        <w:rPr>
          <w:rFonts w:ascii="Times New Roman" w:hAnsi="Times New Roman"/>
          <w:color w:val="000000" w:themeColor="text1"/>
          <w:sz w:val="16"/>
          <w:szCs w:val="16"/>
        </w:rPr>
        <w:t>промфинплана</w:t>
      </w:r>
      <w:proofErr w:type="spellEnd"/>
      <w:r w:rsidRPr="00A259BD">
        <w:rPr>
          <w:rFonts w:ascii="Times New Roman" w:hAnsi="Times New Roman"/>
          <w:color w:val="000000" w:themeColor="text1"/>
          <w:sz w:val="16"/>
          <w:szCs w:val="16"/>
        </w:rPr>
        <w:t xml:space="preserve">. Партийные, профессиональные и хозяйственные органы должны поднимать активность масс на всех стадиях разработки и выполнения </w:t>
      </w:r>
      <w:proofErr w:type="spellStart"/>
      <w:r w:rsidRPr="00A259BD">
        <w:rPr>
          <w:rFonts w:ascii="Times New Roman" w:hAnsi="Times New Roman"/>
          <w:color w:val="000000" w:themeColor="text1"/>
          <w:sz w:val="16"/>
          <w:szCs w:val="16"/>
        </w:rPr>
        <w:t>промфинплана</w:t>
      </w:r>
      <w:proofErr w:type="spellEnd"/>
      <w:r w:rsidRPr="00A259BD">
        <w:rPr>
          <w:rFonts w:ascii="Times New Roman" w:hAnsi="Times New Roman"/>
          <w:color w:val="000000" w:themeColor="text1"/>
          <w:sz w:val="16"/>
          <w:szCs w:val="16"/>
        </w:rPr>
        <w:t xml:space="preserve">. При разработке </w:t>
      </w:r>
      <w:proofErr w:type="spellStart"/>
      <w:r w:rsidRPr="00A259BD">
        <w:rPr>
          <w:rFonts w:ascii="Times New Roman" w:hAnsi="Times New Roman"/>
          <w:color w:val="000000" w:themeColor="text1"/>
          <w:sz w:val="16"/>
          <w:szCs w:val="16"/>
        </w:rPr>
        <w:t>промфинплана</w:t>
      </w:r>
      <w:proofErr w:type="spellEnd"/>
      <w:r w:rsidRPr="00A259BD">
        <w:rPr>
          <w:rFonts w:ascii="Times New Roman" w:hAnsi="Times New Roman"/>
          <w:color w:val="000000" w:themeColor="text1"/>
          <w:sz w:val="16"/>
          <w:szCs w:val="16"/>
        </w:rPr>
        <w:t xml:space="preserve"> необходимо обеспечить деловое обсуждение его на производственных совещаниях, на цеховых собраниях и общезаводских конференциях, способствуя выявлению всех производственных возможностей предприятия для установления более высоких заданий по производственной программе, улучшению положения рабочих масс, повышению производительности труда, снижению себестоимости, улучшению качества продукции и. т. п., ведя самую решительную борьбу со всеми случаями нарушения установленных правил внутреннего распорядка и нарушениями трудовой производственной дисциплины. После принятия </w:t>
      </w:r>
      <w:proofErr w:type="spellStart"/>
      <w:r w:rsidRPr="00A259BD">
        <w:rPr>
          <w:rFonts w:ascii="Times New Roman" w:hAnsi="Times New Roman"/>
          <w:color w:val="000000" w:themeColor="text1"/>
          <w:sz w:val="16"/>
          <w:szCs w:val="16"/>
        </w:rPr>
        <w:t>промфинплана</w:t>
      </w:r>
      <w:proofErr w:type="spellEnd"/>
      <w:r w:rsidRPr="00A259BD">
        <w:rPr>
          <w:rFonts w:ascii="Times New Roman" w:hAnsi="Times New Roman"/>
          <w:color w:val="000000" w:themeColor="text1"/>
          <w:sz w:val="16"/>
          <w:szCs w:val="16"/>
        </w:rPr>
        <w:t xml:space="preserve"> партийные и профессиональные организации должны всячески содействовать администрации в деле его осуществления. При этом работа парт. и профорганов на предприятиях должна быть перестроена таким образом, чтобы возглавить творческий энтузиазм месс, быстро подхватывать идущую со стороны рабочих инициативу в области улучшения организации производства, активно руководить социалистическим соревнованием и направлять деятельность производственных комиссий, совещаний и временных контрольных комиссий в первую очередь на выполнение </w:t>
      </w:r>
      <w:proofErr w:type="spellStart"/>
      <w:r w:rsidRPr="00A259BD">
        <w:rPr>
          <w:rFonts w:ascii="Times New Roman" w:hAnsi="Times New Roman"/>
          <w:color w:val="000000" w:themeColor="text1"/>
          <w:sz w:val="16"/>
          <w:szCs w:val="16"/>
        </w:rPr>
        <w:t>промфинпланов</w:t>
      </w:r>
      <w:proofErr w:type="spellEnd"/>
      <w:r w:rsidRPr="00A259BD">
        <w:rPr>
          <w:rFonts w:ascii="Times New Roman" w:hAnsi="Times New Roman"/>
          <w:color w:val="000000" w:themeColor="text1"/>
          <w:sz w:val="16"/>
          <w:szCs w:val="16"/>
        </w:rPr>
        <w:t>.</w:t>
      </w:r>
    </w:p>
    <w:p w14:paraId="242AD779"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Партийные и профессиональные организации должны систематически внедрять в сознание рабочих масс, что мероприятия, проводимые руководителями предприятий, направленные к укреплению производственной дисциплины, поднятию производительности труда, рационализации производства, являются мероприятиями, вытекающими из директив партии, советской власти и профсоюзов и направлены к улучшению положения рабочих и укреплению пролетарской диктатуры.</w:t>
      </w:r>
    </w:p>
    <w:p w14:paraId="1A991321"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В целях наиболее полного использования инициативы рабочих масс и обеспечения осуществления предложений рабочих, решений производственных комиссий и совещаний, а также в целях установления большей связи администрации предприятия с этими органами рабочей самодеятельности, ЦК признает целесообразным, в виде опыта, назначить на нескольких предприятиях председателей производственных совещаний, на время их выборности, помощниками директоров специально по реализации решений производственных совещаний и комиссий и предложений рабочих. Это отнюдь не должно означать, что сам директор предприятия не несет ответственности за проведение в жизнь постановлений производственных совещаний, принимаемых администрацией к выполнению. Директор обязан всемерно содействовать работе производственных совещаний и поднимать инициативность рабочих, привлекая внимание участников производственных совещаний к наиболее важным недочетам в работе предприятия, разрабатывая и тщательно подготовляя вносимые на рассмотрение производственных совещаний вопросы.</w:t>
      </w:r>
    </w:p>
    <w:p w14:paraId="7D7F881D"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Вместе с тем, ЦК партии предлагает всем партийным организациям, фракциям профсоюзов и хозяйственным органам более решительно и более активно продвигать рабочих на административно-хозяйственные посты, планомерно продвигая их с одной ступени управления на другую и отбирал рабочих, проявляющих сознательное отношение к производству, умеющих руководить рабочей массой и техническим персоналом, в частности обнаруживших эти качества на работе в производственных и контрольных комиссиях. Выдвигаемые рабочими кандидатуры зачисляются партийными и профессиональными организациями в резерв, из которого черпаются силы для назначения на соответствующие административно-хозяйственные посты.</w:t>
      </w:r>
    </w:p>
    <w:p w14:paraId="2095CA68"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Поскольку задачи руководства предприятиями усложняются и директора предприятий должны овладеть не только вопросами общего администрирования, но и знанием всех процессов производства, одновременно укрепляя связь с массами, ЦК предлагает партийным организациям создать благоприятную постановку для работы администраторов и обеспечить им возможность дальнейшего повышения своей технической и политической квалификации.</w:t>
      </w:r>
    </w:p>
    <w:p w14:paraId="2D82B3A7"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этим необходимо: а) обеспечить закрепление директоров предприятий на более длительные сроки. Смена директора производится теми органами, которые его назначили, причем при обсуждении на партийных ячейках либо в райкомах вопроса о целесообразности оставления его директором, ячейки и райкомы должны своевременно поставить в известность и вызвать на свое заседание представителя вышестоящего хозяйственного органа, назначавшего этого директора и вышестоящей профсоюзной организации; б) всемерно привлекая хозяйственников в соответствующие парторганы, местные парторганизации обязана максимально разгрузить директоров предприятии от работы, не, связанной с их прямыми обязанностями на заводе; в) кроме установленного очередного отпуска, ВСНХ должен предоставлять директорам предприятий дополнительный отпуск, примерно, на 1½</w:t>
      </w:r>
      <w:r w:rsidRPr="00A259BD">
        <w:rPr>
          <w:rFonts w:ascii="Times New Roman" w:hAnsi="Times New Roman"/>
          <w:color w:val="000000" w:themeColor="text1"/>
          <w:sz w:val="16"/>
          <w:szCs w:val="16"/>
        </w:rPr>
        <w:noBreakHyphen/>
        <w:t>2 месяца для повышения их теоретической квалификации.</w:t>
      </w:r>
    </w:p>
    <w:p w14:paraId="0A32C62B"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Применение новых опытов и методов в области рационализации производства и неизбежный диск, связанный с этими опытами, требует глубокого изучения и знаний процессов производства и особо серьезного подхода. При вскрытии тех или иных ошибок и недочетов, необходимо отделять действительные ошибки от сознательного вредительства. Необходимо направлять усилия рабочих, их бдительность,, их активную творческую критику на положительное исправление ошибок и недочетов и на решительную борьбу с классовым врагом, вредителем на предприятиях.</w:t>
      </w:r>
    </w:p>
    <w:p w14:paraId="58E91172"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Возросшая на основе подъема хозяйства активность рабочих масс, трудности реконструкции промышленности требуют еще большего усиления внимания профессиональных, партийных и советских организаций к жизни и работе основных низовых звеньев фабрично-заводских организаций, которые должны свою работу перестроить в соответствии с вышеизложенными директивами.</w:t>
      </w:r>
    </w:p>
    <w:p w14:paraId="004F3A9A"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x </w:t>
      </w:r>
      <w:proofErr w:type="spellStart"/>
      <w:r w:rsidRPr="00A259BD">
        <w:rPr>
          <w:rFonts w:ascii="Times New Roman" w:hAnsi="Times New Roman"/>
          <w:color w:val="000000" w:themeColor="text1"/>
          <w:sz w:val="16"/>
          <w:szCs w:val="16"/>
        </w:rPr>
        <w:t>x</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x</w:t>
      </w:r>
      <w:proofErr w:type="spellEnd"/>
    </w:p>
    <w:p w14:paraId="7A87E6E8"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Обязать настоящее постановление огласить и обсудить на всех партийных, общезаводских и цеховых ячейках.</w:t>
      </w:r>
    </w:p>
    <w:p w14:paraId="4AB23EA1"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Поручить Оргбюро ЦК через три месяца начать систематическую проверку проведения в жизнь настоящего постановления на местах, заслушивая соответствующие доклады.</w:t>
      </w:r>
    </w:p>
    <w:p w14:paraId="33198161"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Предложить местным партийным, профессиональным и хозяйственным организациям строго соблюдать установленный номенклатурой ЦК ВКП(б) порядок назначения и согласования директоров предприятий.</w:t>
      </w:r>
    </w:p>
    <w:p w14:paraId="74852660"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Предложить ВСНХ СССР, изменить формулировку приказа ВСНХ от 4</w:t>
      </w:r>
      <w:r w:rsidRPr="00A259BD">
        <w:rPr>
          <w:rFonts w:ascii="Times New Roman" w:hAnsi="Times New Roman"/>
          <w:color w:val="000000" w:themeColor="text1"/>
          <w:sz w:val="16"/>
          <w:szCs w:val="16"/>
        </w:rPr>
        <w:noBreakHyphen/>
        <w:t>го октября 1927 г.</w:t>
      </w:r>
    </w:p>
    <w:p w14:paraId="331E1D4C"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ЦК ВКП(б) (18205).</w:t>
      </w:r>
    </w:p>
    <w:p w14:paraId="2556C028" w14:textId="77777777" w:rsidR="00114B37" w:rsidRPr="00A259BD" w:rsidRDefault="00114B37" w:rsidP="009236E3">
      <w:pPr>
        <w:spacing w:after="0" w:line="240" w:lineRule="auto"/>
        <w:jc w:val="both"/>
        <w:rPr>
          <w:rFonts w:ascii="Times New Roman" w:hAnsi="Times New Roman"/>
          <w:color w:val="000000" w:themeColor="text1"/>
          <w:sz w:val="16"/>
          <w:szCs w:val="16"/>
        </w:rPr>
      </w:pPr>
    </w:p>
    <w:p w14:paraId="0C1686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сентября 1929 г. Ворошилов открыто сказал о проблемах на переговорах с генералом </w:t>
      </w:r>
      <w:proofErr w:type="spellStart"/>
      <w:r w:rsidRPr="00A259BD">
        <w:rPr>
          <w:rFonts w:ascii="Times New Roman" w:hAnsi="Times New Roman"/>
          <w:color w:val="000000" w:themeColor="text1"/>
          <w:sz w:val="16"/>
          <w:szCs w:val="16"/>
        </w:rPr>
        <w:t>Хаммерштайном</w:t>
      </w:r>
      <w:proofErr w:type="spellEnd"/>
      <w:r w:rsidRPr="00A259BD">
        <w:rPr>
          <w:rFonts w:ascii="Times New Roman" w:hAnsi="Times New Roman"/>
          <w:color w:val="000000" w:themeColor="text1"/>
          <w:sz w:val="16"/>
          <w:szCs w:val="16"/>
        </w:rPr>
        <w:t xml:space="preserve">: «В течение года «Томка» не дала того. Что мы, согласно договора, ожидали. Ряд технических дефектов в приборах, присланных немцами, в частности взрыватель газовой бомбы, сделали их негодными. Бедность технических средств, которые немцы представляют на этот полигон, не оправдывает существование института. В первый год были серьезные опыты для обеих сторон, затем только опыты незначительного характера. &lt;...&gt; Это наводит на мысль, что здесь или недоразумение, или же нежелание вводить нас в курс новых и старых химических средств борьбы, которые рейхсвер имеет. Наша просьба заключается в усилении техники института, в пересылке разнообразной и новой аппаратуры. &lt;...&gt; Иначе существование института становится проблематичным» (РГВА, ф. 33987, оп. 3, д. 295, л. 74-79.). </w:t>
      </w:r>
      <w:proofErr w:type="spellStart"/>
      <w:r w:rsidRPr="00A259BD">
        <w:rPr>
          <w:rFonts w:ascii="Times New Roman" w:hAnsi="Times New Roman"/>
          <w:color w:val="000000" w:themeColor="text1"/>
          <w:sz w:val="16"/>
          <w:szCs w:val="16"/>
        </w:rPr>
        <w:t>Хаммерштайн</w:t>
      </w:r>
      <w:proofErr w:type="spellEnd"/>
      <w:r w:rsidRPr="00A259BD">
        <w:rPr>
          <w:rFonts w:ascii="Times New Roman" w:hAnsi="Times New Roman"/>
          <w:color w:val="000000" w:themeColor="text1"/>
          <w:sz w:val="16"/>
          <w:szCs w:val="16"/>
        </w:rPr>
        <w:t xml:space="preserve"> деликатно обошел эти проблемы, хотя и признал, что некоторые опыты (в частности, с дистанционным взрывателем) не привели к ожидаемым результатам. Просьба о поставках новой аппаратуры была им вежливо отклонена, потому что, по словам </w:t>
      </w:r>
      <w:proofErr w:type="spellStart"/>
      <w:r w:rsidRPr="00A259BD">
        <w:rPr>
          <w:rFonts w:ascii="Times New Roman" w:hAnsi="Times New Roman"/>
          <w:color w:val="000000" w:themeColor="text1"/>
          <w:sz w:val="16"/>
          <w:szCs w:val="16"/>
        </w:rPr>
        <w:t>Хаммерштайна</w:t>
      </w:r>
      <w:proofErr w:type="spellEnd"/>
      <w:r w:rsidRPr="00A259BD">
        <w:rPr>
          <w:rFonts w:ascii="Times New Roman" w:hAnsi="Times New Roman"/>
          <w:color w:val="000000" w:themeColor="text1"/>
          <w:sz w:val="16"/>
          <w:szCs w:val="16"/>
        </w:rPr>
        <w:t xml:space="preserve">, «все, что мы имеем, все это находится в Томке». Правда, он признал, что в Германии ведутся лабораторные опыты по синтезу новых ОВ, но они держатся в секрете. «Как только будут получены результаты, я даю гарантию, что эти результаты дойдут до Томки. У нас нет повода скрывать перед русской армией наши достижения», — заверил </w:t>
      </w:r>
      <w:proofErr w:type="spellStart"/>
      <w:r w:rsidRPr="00A259BD">
        <w:rPr>
          <w:rFonts w:ascii="Times New Roman" w:hAnsi="Times New Roman"/>
          <w:color w:val="000000" w:themeColor="text1"/>
          <w:sz w:val="16"/>
          <w:szCs w:val="16"/>
        </w:rPr>
        <w:t>Хаммерштайн</w:t>
      </w:r>
      <w:proofErr w:type="spellEnd"/>
      <w:r w:rsidRPr="00A259BD">
        <w:rPr>
          <w:rFonts w:ascii="Times New Roman" w:hAnsi="Times New Roman"/>
          <w:color w:val="000000" w:themeColor="text1"/>
          <w:sz w:val="16"/>
          <w:szCs w:val="16"/>
        </w:rPr>
        <w:t xml:space="preserve">. Действительно, начиная с 1928 г. в ведущих лабораториях Германии было опробовано около 10 тысяч различных </w:t>
      </w:r>
      <w:proofErr w:type="spellStart"/>
      <w:r w:rsidRPr="00A259BD">
        <w:rPr>
          <w:rFonts w:ascii="Times New Roman" w:hAnsi="Times New Roman"/>
          <w:color w:val="000000" w:themeColor="text1"/>
          <w:sz w:val="16"/>
          <w:szCs w:val="16"/>
        </w:rPr>
        <w:t>химсоединений</w:t>
      </w:r>
      <w:proofErr w:type="spellEnd"/>
      <w:r w:rsidRPr="00A259BD">
        <w:rPr>
          <w:rFonts w:ascii="Times New Roman" w:hAnsi="Times New Roman"/>
          <w:color w:val="000000" w:themeColor="text1"/>
          <w:sz w:val="16"/>
          <w:szCs w:val="16"/>
        </w:rPr>
        <w:t xml:space="preserve">. Советская сторона знала об этих опытах, — один из заместителей Фишмана В. М. </w:t>
      </w:r>
      <w:proofErr w:type="spellStart"/>
      <w:r w:rsidRPr="00A259BD">
        <w:rPr>
          <w:rFonts w:ascii="Times New Roman" w:hAnsi="Times New Roman"/>
          <w:color w:val="000000" w:themeColor="text1"/>
          <w:sz w:val="16"/>
          <w:szCs w:val="16"/>
        </w:rPr>
        <w:t>Рохинсон</w:t>
      </w:r>
      <w:proofErr w:type="spellEnd"/>
      <w:r w:rsidRPr="00A259BD">
        <w:rPr>
          <w:rFonts w:ascii="Times New Roman" w:hAnsi="Times New Roman"/>
          <w:color w:val="000000" w:themeColor="text1"/>
          <w:sz w:val="16"/>
          <w:szCs w:val="16"/>
        </w:rPr>
        <w:t xml:space="preserve"> постоянно пропадал на «Томке», а в 1929 г. объездил несколько полигонов и лабораторий Германии. В 1930-1931 гг. в «Томке» прошли испытания газовой смеси «</w:t>
      </w:r>
      <w:proofErr w:type="spellStart"/>
      <w:r w:rsidRPr="00A259BD">
        <w:rPr>
          <w:rFonts w:ascii="Times New Roman" w:hAnsi="Times New Roman"/>
          <w:color w:val="000000" w:themeColor="text1"/>
          <w:sz w:val="16"/>
          <w:szCs w:val="16"/>
        </w:rPr>
        <w:t>пфификус</w:t>
      </w:r>
      <w:proofErr w:type="spellEnd"/>
      <w:r w:rsidRPr="00A259BD">
        <w:rPr>
          <w:rFonts w:ascii="Times New Roman" w:hAnsi="Times New Roman"/>
          <w:color w:val="000000" w:themeColor="text1"/>
          <w:sz w:val="16"/>
          <w:szCs w:val="16"/>
        </w:rPr>
        <w:t>». Однако в основном испытания вплоть до 1933 г. проводились с уже известными ОВ ипритом и фосгеном (</w:t>
      </w:r>
      <w:proofErr w:type="spellStart"/>
      <w:r w:rsidRPr="00A259BD">
        <w:rPr>
          <w:rFonts w:ascii="Times New Roman" w:hAnsi="Times New Roman"/>
          <w:color w:val="000000" w:themeColor="text1"/>
          <w:sz w:val="16"/>
          <w:szCs w:val="16"/>
        </w:rPr>
        <w:t>Gelb</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und</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Grilnkreuz</w:t>
      </w:r>
      <w:proofErr w:type="spellEnd"/>
      <w:r w:rsidRPr="00A259BD">
        <w:rPr>
          <w:rFonts w:ascii="Times New Roman" w:hAnsi="Times New Roman"/>
          <w:color w:val="000000" w:themeColor="text1"/>
          <w:sz w:val="16"/>
          <w:szCs w:val="16"/>
        </w:rPr>
        <w:t xml:space="preserve">). Аналогичной была реакция и на два других советских предложения. Первое касалось советского участия в научных работах, проводившихся в Германии. Для этого предлагалось направить советских специалистов по химии в качестве ассистентов немецких ученых. </w:t>
      </w:r>
      <w:proofErr w:type="spellStart"/>
      <w:r w:rsidRPr="00A259BD">
        <w:rPr>
          <w:rFonts w:ascii="Times New Roman" w:hAnsi="Times New Roman"/>
          <w:color w:val="000000" w:themeColor="text1"/>
          <w:sz w:val="16"/>
          <w:szCs w:val="16"/>
        </w:rPr>
        <w:t>Хаммерштайн</w:t>
      </w:r>
      <w:proofErr w:type="spellEnd"/>
      <w:r w:rsidRPr="00A259BD">
        <w:rPr>
          <w:rFonts w:ascii="Times New Roman" w:hAnsi="Times New Roman"/>
          <w:color w:val="000000" w:themeColor="text1"/>
          <w:sz w:val="16"/>
          <w:szCs w:val="16"/>
        </w:rPr>
        <w:t xml:space="preserve"> предложил сделать это в будущем, сославшись на необходимость получения предварительного согласия этих ученых. Во втором предложении речь шла об организации общего института в Берлине, где обе стороны занимались бы научной работой, а полученные результаты испытывали в «Томке». </w:t>
      </w:r>
      <w:proofErr w:type="spellStart"/>
      <w:r w:rsidRPr="00A259BD">
        <w:rPr>
          <w:rFonts w:ascii="Times New Roman" w:hAnsi="Times New Roman"/>
          <w:color w:val="000000" w:themeColor="text1"/>
          <w:sz w:val="16"/>
          <w:szCs w:val="16"/>
        </w:rPr>
        <w:t>Хаммерштайн</w:t>
      </w:r>
      <w:proofErr w:type="spellEnd"/>
      <w:r w:rsidRPr="00A259BD">
        <w:rPr>
          <w:rFonts w:ascii="Times New Roman" w:hAnsi="Times New Roman"/>
          <w:color w:val="000000" w:themeColor="text1"/>
          <w:sz w:val="16"/>
          <w:szCs w:val="16"/>
        </w:rPr>
        <w:t xml:space="preserve"> ответил: «Эта мысль хороша и это было бы очень полезно, будь то возможно. Но, первое — это стоило бы очень много денег и, второе — было бы трудно сохранить секретность. &lt;...&gt; Нам, кроме того, не удалось бы привлечь к участию в работах института наших лучших ученых, от которых мы зависим. Поэтому, я думаю, нам следует пока ограничиться тем, что мы оба в состоянии сделать. Что это, к сожалению, немного — в этом я вполне согласен с господином Фишманом, но, к сожалению, не вижу возможности расширения работ в настоящее время». В советских архивах сохранился документ — проект создания специальной военно-химической лаборатории, научным руководителем которой должен был быть немецкий химик, а административным директором — представитель наркомвоенмора. К работе лаборатории должны были быть привлечены 5 ассистентов-немцев, а остальной персонал — укомплектовываться из советских специалистов. В документе говорится, что «назначением лаборатории с привлечением крупных немецких специалистов по ОВ является: 1) Обучение наших работников методам научной работы немцев по военно-химическому делу. 2) Получение высокой научной консультации по особо сложным вопросам военно-химической техники. 3) Усовершенствование старых и открытие новых средств химической борьбы» (РГВА,ф.4,оп. 1,д. 1259, л. 6.). Основное внимание в работе лаборатории должно было быть направлено на синтез новых препаратов, изучение действия ОВ на организм человека, выработку рациональных методов анализа ОВ, проверку технических условий для приемки ОВ, резины и активированного угля, а также на разработку новых дегазирующих веществ. Однако идею создания совместного </w:t>
      </w:r>
      <w:proofErr w:type="spellStart"/>
      <w:r w:rsidRPr="00A259BD">
        <w:rPr>
          <w:rFonts w:ascii="Times New Roman" w:hAnsi="Times New Roman"/>
          <w:color w:val="000000" w:themeColor="text1"/>
          <w:sz w:val="16"/>
          <w:szCs w:val="16"/>
        </w:rPr>
        <w:t>химинститута</w:t>
      </w:r>
      <w:proofErr w:type="spellEnd"/>
      <w:r w:rsidRPr="00A259BD">
        <w:rPr>
          <w:rFonts w:ascii="Times New Roman" w:hAnsi="Times New Roman"/>
          <w:color w:val="000000" w:themeColor="text1"/>
          <w:sz w:val="16"/>
          <w:szCs w:val="16"/>
        </w:rPr>
        <w:t xml:space="preserve"> в Берлине немцы отклонили. Несмотря на отсутствие у немцев желания или возможности для расширения и углубления совместных работ у советской стороны дела в этой области шли не плохо, особенно если учесть, что пришлось начинать практически с нуля, поскольку имевшиеся в СССР заводы по выпуску боевых химических средств безнадежно устарели, а сохранившиеся после Первой мировой войны 400 тыс. химснарядов имели негодную рецептуру. Постепенно, пусть и с определенными задержками, но химическая промышленность в СССР развивалась. Если в середине 20-х годов был заложен первый завод по производству отравляющих газов («</w:t>
      </w:r>
      <w:proofErr w:type="spellStart"/>
      <w:r w:rsidRPr="00A259BD">
        <w:rPr>
          <w:rFonts w:ascii="Times New Roman" w:hAnsi="Times New Roman"/>
          <w:color w:val="000000" w:themeColor="text1"/>
          <w:sz w:val="16"/>
          <w:szCs w:val="16"/>
        </w:rPr>
        <w:t>Берсоль</w:t>
      </w:r>
      <w:proofErr w:type="spellEnd"/>
      <w:r w:rsidRPr="00A259BD">
        <w:rPr>
          <w:rFonts w:ascii="Times New Roman" w:hAnsi="Times New Roman"/>
          <w:color w:val="000000" w:themeColor="text1"/>
          <w:sz w:val="16"/>
          <w:szCs w:val="16"/>
        </w:rPr>
        <w:t xml:space="preserve">»), то в 1931 г. их было уже четыре: </w:t>
      </w:r>
      <w:proofErr w:type="spellStart"/>
      <w:r w:rsidRPr="00A259BD">
        <w:rPr>
          <w:rFonts w:ascii="Times New Roman" w:hAnsi="Times New Roman"/>
          <w:color w:val="000000" w:themeColor="text1"/>
          <w:sz w:val="16"/>
          <w:szCs w:val="16"/>
        </w:rPr>
        <w:t>Березняковский</w:t>
      </w:r>
      <w:proofErr w:type="spellEnd"/>
      <w:r w:rsidRPr="00A259BD">
        <w:rPr>
          <w:rFonts w:ascii="Times New Roman" w:hAnsi="Times New Roman"/>
          <w:color w:val="000000" w:themeColor="text1"/>
          <w:sz w:val="16"/>
          <w:szCs w:val="16"/>
        </w:rPr>
        <w:t xml:space="preserve"> (иприт), Черноречье, Рубежная (фосген, дифосген). </w:t>
      </w:r>
      <w:proofErr w:type="spellStart"/>
      <w:r w:rsidRPr="00A259BD">
        <w:rPr>
          <w:rFonts w:ascii="Times New Roman" w:hAnsi="Times New Roman"/>
          <w:color w:val="000000" w:themeColor="text1"/>
          <w:sz w:val="16"/>
          <w:szCs w:val="16"/>
        </w:rPr>
        <w:t>Угрешский</w:t>
      </w:r>
      <w:proofErr w:type="spellEnd"/>
      <w:r w:rsidRPr="00A259BD">
        <w:rPr>
          <w:rFonts w:ascii="Times New Roman" w:hAnsi="Times New Roman"/>
          <w:color w:val="000000" w:themeColor="text1"/>
          <w:sz w:val="16"/>
          <w:szCs w:val="16"/>
        </w:rPr>
        <w:t xml:space="preserve"> (хлор) (11784).</w:t>
      </w:r>
    </w:p>
    <w:p w14:paraId="572B85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A7A2D0" w14:textId="77777777" w:rsidR="003D3BC7" w:rsidRPr="00A259BD" w:rsidRDefault="003D3BC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5 сентября 1929 состоялась секретная беседа — о военно-техническом сотрудничестве СССР и Германии — между Ворошиловым и немецким генералом Гаммерштейном. "Гаммерштейн. Мы хотели бы увеличить число курсантов с 10 до 20, чтобы лучше использовать затраченный капитал. Мы предполагаем весною сделать опыты с более новыми танками. Мы предполагаем 10 курсантов обучать еще технически на германских заводах, поставляющих нам танки и тактически - по теоретическому курсу в аудитории. (...) По соседству со школой в Казани находится артиллерийская часть. Было бы полезно, если бы туда поместить танковый взвод, так как целью являются не только технические работы, но и тактическое применение, и поэтому было бы приятно, если здесь участвовали бы и русские части. К тому времени в Казани будут, кроме 3 тяжелых, еще 3 легких танка. (...)</w:t>
      </w:r>
    </w:p>
    <w:p w14:paraId="291DEC97" w14:textId="77777777" w:rsidR="003D3BC7" w:rsidRPr="00A259BD" w:rsidRDefault="003D3BC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Ворошилов. </w:t>
      </w:r>
      <w:proofErr w:type="spellStart"/>
      <w:r w:rsidRPr="00A259BD">
        <w:rPr>
          <w:rFonts w:ascii="Times New Roman" w:hAnsi="Times New Roman"/>
          <w:color w:val="000000" w:themeColor="text1"/>
          <w:sz w:val="16"/>
          <w:szCs w:val="16"/>
        </w:rPr>
        <w:t>Hаши</w:t>
      </w:r>
      <w:proofErr w:type="spellEnd"/>
      <w:r w:rsidRPr="00A259BD">
        <w:rPr>
          <w:rFonts w:ascii="Times New Roman" w:hAnsi="Times New Roman"/>
          <w:color w:val="000000" w:themeColor="text1"/>
          <w:sz w:val="16"/>
          <w:szCs w:val="16"/>
        </w:rPr>
        <w:t xml:space="preserve"> взаимоотношения построены на своеобразных началах. Мы заинтересованы по-разному в совместной работе. Рейхсвер желает иметь базу для опытов вновь сконструированных танков, обучения танкистов-специалистов, изучения тактики и свойств танков. Мы же заинтересованы, кроме указанного, еще и в том, чтобы получить техническую помощь. Конкретно: я хотел бы, чтобы господин генерал Гаммерштейн и господин полковник </w:t>
      </w:r>
      <w:proofErr w:type="spellStart"/>
      <w:r w:rsidRPr="00A259BD">
        <w:rPr>
          <w:rFonts w:ascii="Times New Roman" w:hAnsi="Times New Roman"/>
          <w:color w:val="000000" w:themeColor="text1"/>
          <w:sz w:val="16"/>
          <w:szCs w:val="16"/>
        </w:rPr>
        <w:t>Кюлленталь</w:t>
      </w:r>
      <w:proofErr w:type="spellEnd"/>
      <w:r w:rsidRPr="00A259BD">
        <w:rPr>
          <w:rFonts w:ascii="Times New Roman" w:hAnsi="Times New Roman"/>
          <w:color w:val="000000" w:themeColor="text1"/>
          <w:sz w:val="16"/>
          <w:szCs w:val="16"/>
        </w:rPr>
        <w:t xml:space="preserve"> откровенно мне сказали, до каких пределов могут простираться наши взаимоотношения в смысле получения нами помощи со стороны Рейхсвера (...) Два слова о политических вопросах. Мы должны исходить из того, что по социально-политическому строю наши государства являются антиподами. (...) Разумеется, речь может идти только о наших деловых взаимоотношениях. Обе стороны в своей совместной работе, как я понимаю, не должны допускать таких действий, которые наносили бы ущерб нашим государствам. </w:t>
      </w:r>
      <w:proofErr w:type="spellStart"/>
      <w:r w:rsidRPr="00A259BD">
        <w:rPr>
          <w:rFonts w:ascii="Times New Roman" w:hAnsi="Times New Roman"/>
          <w:color w:val="000000" w:themeColor="text1"/>
          <w:sz w:val="16"/>
          <w:szCs w:val="16"/>
        </w:rPr>
        <w:t>Hам</w:t>
      </w:r>
      <w:proofErr w:type="spellEnd"/>
      <w:r w:rsidRPr="00A259BD">
        <w:rPr>
          <w:rFonts w:ascii="Times New Roman" w:hAnsi="Times New Roman"/>
          <w:color w:val="000000" w:themeColor="text1"/>
          <w:sz w:val="16"/>
          <w:szCs w:val="16"/>
        </w:rPr>
        <w:t xml:space="preserve"> незачем припутывать III Интернационал или партии к нашим чисто деловым отношениям. (...) В # 8 журнала "</w:t>
      </w:r>
      <w:proofErr w:type="spellStart"/>
      <w:r w:rsidRPr="00A259BD">
        <w:rPr>
          <w:rFonts w:ascii="Times New Roman" w:hAnsi="Times New Roman"/>
          <w:color w:val="000000" w:themeColor="text1"/>
          <w:sz w:val="16"/>
          <w:szCs w:val="16"/>
        </w:rPr>
        <w:t>Милитер</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Вохенблатт</w:t>
      </w:r>
      <w:proofErr w:type="spellEnd"/>
      <w:r w:rsidRPr="00A259BD">
        <w:rPr>
          <w:rFonts w:ascii="Times New Roman" w:hAnsi="Times New Roman"/>
          <w:color w:val="000000" w:themeColor="text1"/>
          <w:sz w:val="16"/>
          <w:szCs w:val="16"/>
        </w:rPr>
        <w:t>" появилась статья генерала в запасе фон Мирка о мощи СССР на Дальнем Востоке. Статья пропитана ненавистью и враждой к нам и представляет "богатый" извращенный материал, главное лживый, для Антанты, против которой мы, казалось бы, должны идти единым фронтом. (...) Можно не любить большевиков, но следует уважать наш народ, который ведет жесточайшую борьбу за свое существование. (...)". И так далее. Что бы ни говорили о Ворошилове, но он был профи (12629).</w:t>
      </w:r>
    </w:p>
    <w:p w14:paraId="7C0A2D53" w14:textId="77777777" w:rsidR="003D3BC7" w:rsidRPr="00A259BD" w:rsidRDefault="003D3BC7" w:rsidP="009236E3">
      <w:pPr>
        <w:spacing w:after="0" w:line="240" w:lineRule="auto"/>
        <w:jc w:val="both"/>
        <w:rPr>
          <w:rStyle w:val="a7"/>
          <w:rFonts w:ascii="Times New Roman" w:hAnsi="Times New Roman"/>
          <w:b w:val="0"/>
          <w:color w:val="000000" w:themeColor="text1"/>
          <w:sz w:val="16"/>
          <w:szCs w:val="16"/>
        </w:rPr>
      </w:pPr>
    </w:p>
    <w:p w14:paraId="2D79CC81"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сентября 1929 г. в Москве состоялись продолжительные переговоры Ворошилова с </w:t>
      </w:r>
      <w:proofErr w:type="spellStart"/>
      <w:r w:rsidRPr="00A259BD">
        <w:rPr>
          <w:rFonts w:ascii="Times New Roman" w:hAnsi="Times New Roman"/>
          <w:color w:val="000000" w:themeColor="text1"/>
          <w:sz w:val="16"/>
          <w:szCs w:val="16"/>
        </w:rPr>
        <w:t>Хаммерштайном</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Кюленталем</w:t>
      </w:r>
      <w:proofErr w:type="spellEnd"/>
      <w:r w:rsidRPr="00A259BD">
        <w:rPr>
          <w:rFonts w:ascii="Times New Roman" w:hAnsi="Times New Roman"/>
          <w:color w:val="000000" w:themeColor="text1"/>
          <w:sz w:val="16"/>
          <w:szCs w:val="16"/>
        </w:rPr>
        <w:t>.</w:t>
      </w:r>
    </w:p>
    <w:p w14:paraId="34A73460"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Подход Ворошилова был сугубо прагматичным. На деликатно высказанное </w:t>
      </w:r>
      <w:proofErr w:type="spellStart"/>
      <w:r w:rsidRPr="00A259BD">
        <w:rPr>
          <w:rFonts w:ascii="Times New Roman" w:hAnsi="Times New Roman"/>
          <w:color w:val="000000" w:themeColor="text1"/>
          <w:sz w:val="16"/>
          <w:szCs w:val="16"/>
        </w:rPr>
        <w:t>Хаммерштайном</w:t>
      </w:r>
      <w:proofErr w:type="spellEnd"/>
      <w:r w:rsidRPr="00A259BD">
        <w:rPr>
          <w:rFonts w:ascii="Times New Roman" w:hAnsi="Times New Roman"/>
          <w:color w:val="000000" w:themeColor="text1"/>
          <w:sz w:val="16"/>
          <w:szCs w:val="16"/>
        </w:rPr>
        <w:t xml:space="preserve"> пожелание «предупреждать такие вещи, которые немецкой армии затруднили бы дружбу с Красной Армией», — он имел в виду тему о невмешательстве во внутреннюю политику, а также поддержку из Москвы деятельности КПГ и III Интернационала, — Ворошилов коротко заявил:</w:t>
      </w:r>
    </w:p>
    <w:p w14:paraId="0D91139B"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«Нам незачем впутывать III Интернационал или партии к нашим чисто деловым отношениям. Мы стоим на почве деловых отношений и кроме обоюдовыгодных вопросов никаких других обсуждать не можем и не должны».</w:t>
      </w:r>
    </w:p>
    <w:p w14:paraId="11A9D4CA"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Он поднял практически все волновавшие его вопросы, — здесь и деятельность школ, включая пополнение их оборудования современными моделями танков, самолетов, и использование результатов опытных работ, проводившихся немцами в Казани и Липецке для советского танко- и самолетостроения, и организация технической помощи «по артиллерийской линии», включая приглашение немецких спецов на советские оборонные заводы, и организация при их помощи КБ. Он просил предоставить все чертежи артиллерийских систем и танков, а также «возможность ознакомиться со всей работой по танковому вопросу во всем его объеме, как она проводится в Германии» за «соответствующие компенсации». В этой связи был поднят вопрос о сотрудничестве с «Круппом».</w:t>
      </w:r>
    </w:p>
    <w:p w14:paraId="3B54F4B1"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Ворошилов предложил «иначе организовать посылку советских комкоров для обучения в Германию. Если раньше интерес был к военной подготовке в общем, то теперь речь шла о том, чтобы создать несколько специализированных групп (общевойсковую, артиллерийскую, военного сообщения и т. д.) по два — три человека с обеспечением доступа «во все части и учреждения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по соответствующим специальностям». </w:t>
      </w:r>
      <w:proofErr w:type="spellStart"/>
      <w:r w:rsidRPr="00A259BD">
        <w:rPr>
          <w:rFonts w:ascii="Times New Roman" w:hAnsi="Times New Roman"/>
          <w:color w:val="000000" w:themeColor="text1"/>
          <w:sz w:val="16"/>
          <w:szCs w:val="16"/>
        </w:rPr>
        <w:t>Хаммерштайн</w:t>
      </w:r>
      <w:proofErr w:type="spellEnd"/>
      <w:r w:rsidRPr="00A259BD">
        <w:rPr>
          <w:rFonts w:ascii="Times New Roman" w:hAnsi="Times New Roman"/>
          <w:color w:val="000000" w:themeColor="text1"/>
          <w:sz w:val="16"/>
          <w:szCs w:val="16"/>
        </w:rPr>
        <w:t xml:space="preserve"> обещал данную просьбу исполнить, и уже в 1930 г. в Германию был высажен целый «учебный десант» нескольких групп военных специалистов: общевойсковая группа, группа ВВС, военно-техническая группа, группа УММ и др.</w:t>
      </w:r>
    </w:p>
    <w:p w14:paraId="453C03B1"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Особенно мощным был поток целевых групп представителей РККА в 1931 г.: общевойсковая группа, военно-техническая группа и вооружений (дважды) группа военного сообщения (</w:t>
      </w:r>
      <w:proofErr w:type="spellStart"/>
      <w:r w:rsidRPr="00A259BD">
        <w:rPr>
          <w:rFonts w:ascii="Times New Roman" w:hAnsi="Times New Roman"/>
          <w:color w:val="000000" w:themeColor="text1"/>
          <w:sz w:val="16"/>
          <w:szCs w:val="16"/>
        </w:rPr>
        <w:t>ВоСо</w:t>
      </w:r>
      <w:proofErr w:type="spellEnd"/>
      <w:r w:rsidRPr="00A259BD">
        <w:rPr>
          <w:rFonts w:ascii="Times New Roman" w:hAnsi="Times New Roman"/>
          <w:color w:val="000000" w:themeColor="text1"/>
          <w:sz w:val="16"/>
          <w:szCs w:val="16"/>
        </w:rPr>
        <w:t>), штабная группа, группа УММ, топографическая группа, группа Управления военно-конных заводов и еще одна группа специалистов (18265).</w:t>
      </w:r>
    </w:p>
    <w:p w14:paraId="2A666B87" w14:textId="77777777" w:rsidR="00114B37" w:rsidRPr="00A259BD" w:rsidRDefault="00114B37" w:rsidP="009236E3">
      <w:pPr>
        <w:spacing w:after="0" w:line="240" w:lineRule="auto"/>
        <w:jc w:val="both"/>
        <w:rPr>
          <w:rFonts w:ascii="Times New Roman" w:hAnsi="Times New Roman"/>
          <w:color w:val="000000" w:themeColor="text1"/>
          <w:sz w:val="16"/>
          <w:szCs w:val="16"/>
        </w:rPr>
      </w:pPr>
    </w:p>
    <w:p w14:paraId="3637E5CC"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сентября 1929 г. в ходе официального визита в СССР начальника генштаба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генерала К. фон </w:t>
      </w:r>
      <w:proofErr w:type="spellStart"/>
      <w:r w:rsidRPr="00A259BD">
        <w:rPr>
          <w:rFonts w:ascii="Times New Roman" w:hAnsi="Times New Roman"/>
          <w:color w:val="000000" w:themeColor="text1"/>
          <w:sz w:val="16"/>
          <w:szCs w:val="16"/>
        </w:rPr>
        <w:t>Хаммерштайна-Экворда</w:t>
      </w:r>
      <w:proofErr w:type="spellEnd"/>
      <w:r w:rsidRPr="00A259BD">
        <w:rPr>
          <w:rFonts w:ascii="Times New Roman" w:hAnsi="Times New Roman"/>
          <w:color w:val="000000" w:themeColor="text1"/>
          <w:sz w:val="16"/>
          <w:szCs w:val="16"/>
        </w:rPr>
        <w:t xml:space="preserve"> Ворошилов жаловался, что «авиасредства школы устарели и неинтересны для нас. Эта техника нам ничего не дает. Германские фирмы имеют более современные самолеты». </w:t>
      </w:r>
      <w:proofErr w:type="spellStart"/>
      <w:r w:rsidRPr="00A259BD">
        <w:rPr>
          <w:rFonts w:ascii="Times New Roman" w:hAnsi="Times New Roman"/>
          <w:color w:val="000000" w:themeColor="text1"/>
          <w:sz w:val="16"/>
          <w:szCs w:val="16"/>
        </w:rPr>
        <w:t>Хаммерштайн</w:t>
      </w:r>
      <w:proofErr w:type="spellEnd"/>
      <w:r w:rsidRPr="00A259BD">
        <w:rPr>
          <w:rFonts w:ascii="Times New Roman" w:hAnsi="Times New Roman"/>
          <w:color w:val="000000" w:themeColor="text1"/>
          <w:sz w:val="16"/>
          <w:szCs w:val="16"/>
        </w:rPr>
        <w:t xml:space="preserve"> обещал расширить исследовательскую работу и увеличить в школе количество техники. Кроме того, Ворошилов настоятельно просил </w:t>
      </w:r>
      <w:proofErr w:type="spellStart"/>
      <w:r w:rsidRPr="00A259BD">
        <w:rPr>
          <w:rFonts w:ascii="Times New Roman" w:hAnsi="Times New Roman"/>
          <w:color w:val="000000" w:themeColor="text1"/>
          <w:sz w:val="16"/>
          <w:szCs w:val="16"/>
        </w:rPr>
        <w:t>Хаммерштайна</w:t>
      </w:r>
      <w:proofErr w:type="spellEnd"/>
      <w:r w:rsidRPr="00A259BD">
        <w:rPr>
          <w:rFonts w:ascii="Times New Roman" w:hAnsi="Times New Roman"/>
          <w:color w:val="000000" w:themeColor="text1"/>
          <w:sz w:val="16"/>
          <w:szCs w:val="16"/>
        </w:rPr>
        <w:t xml:space="preserve"> «повлиять на то, чтобы отношения представителей в школе были более нормальные и дружественные». Данная фраза говорит о том, что работа шла при отсутствии взаимного доверия, что весьма существенно для понимания атмосферы сотрудничества в Липецкой школе (18265).</w:t>
      </w:r>
    </w:p>
    <w:p w14:paraId="19778F17" w14:textId="77777777" w:rsidR="00114B37" w:rsidRPr="00A259BD" w:rsidRDefault="00114B37" w:rsidP="009236E3">
      <w:pPr>
        <w:spacing w:after="0" w:line="240" w:lineRule="auto"/>
        <w:jc w:val="both"/>
        <w:rPr>
          <w:rFonts w:ascii="Times New Roman" w:hAnsi="Times New Roman"/>
          <w:color w:val="000000" w:themeColor="text1"/>
          <w:sz w:val="16"/>
          <w:szCs w:val="16"/>
        </w:rPr>
      </w:pPr>
    </w:p>
    <w:p w14:paraId="1AB91FE1"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сентября 1929 г. во время беседы наркома обороны СССР Ворошилова с новым начальником генштаба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генералом </w:t>
      </w:r>
      <w:proofErr w:type="spellStart"/>
      <w:r w:rsidRPr="00A259BD">
        <w:rPr>
          <w:rFonts w:ascii="Times New Roman" w:hAnsi="Times New Roman"/>
          <w:color w:val="000000" w:themeColor="text1"/>
          <w:sz w:val="16"/>
          <w:szCs w:val="16"/>
        </w:rPr>
        <w:t>Хаммерштайном-Эквордом</w:t>
      </w:r>
      <w:proofErr w:type="spellEnd"/>
      <w:r w:rsidRPr="00A259BD">
        <w:rPr>
          <w:rFonts w:ascii="Times New Roman" w:hAnsi="Times New Roman"/>
          <w:color w:val="000000" w:themeColor="text1"/>
          <w:sz w:val="16"/>
          <w:szCs w:val="16"/>
        </w:rPr>
        <w:t>, прибывшим в Советский Союз с визитом Немец выразил удовлетворение состоянием дел и высказал пожелание, «чтобы в Казани дальше все шло по-прежнему, как оно есть сейчас: производство опытов с одной стороны и обучение — с другой стороны. Но мы хотели бы увеличить число курсантов с 10 до 20, чтобы лучше использовать затраченный капитал».</w:t>
      </w:r>
    </w:p>
    <w:p w14:paraId="4B08A8E5"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Касаясь ранее сделанного советским военным руководством предложения о создании при школе научно-исследовательского отдела, </w:t>
      </w:r>
      <w:proofErr w:type="spellStart"/>
      <w:r w:rsidRPr="00A259BD">
        <w:rPr>
          <w:rFonts w:ascii="Times New Roman" w:hAnsi="Times New Roman"/>
          <w:color w:val="000000" w:themeColor="text1"/>
          <w:sz w:val="16"/>
          <w:szCs w:val="16"/>
        </w:rPr>
        <w:t>Хаммерштайн</w:t>
      </w:r>
      <w:proofErr w:type="spellEnd"/>
      <w:r w:rsidRPr="00A259BD">
        <w:rPr>
          <w:rFonts w:ascii="Times New Roman" w:hAnsi="Times New Roman"/>
          <w:color w:val="000000" w:themeColor="text1"/>
          <w:sz w:val="16"/>
          <w:szCs w:val="16"/>
        </w:rPr>
        <w:t xml:space="preserve"> заявил:</w:t>
      </w:r>
    </w:p>
    <w:p w14:paraId="26442ED6"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«Мы в Казани не хотим организовывать конструкторское бюро. Там имеются инженеры тех заводов, которые нам танки доставляют и которые ищут ошибки в их конструкции. Последние, в свою очередь, устраняются конструкторскими бюро соответствующих заводов в Германии &lt;…&gt; Было бы хорошо, — продолжил он, — если несколько русских инженеров работали бы с нами. Нам это было бы приятно, так как русские специалисты могли бы помогать и сами знакомиться с нашей работой. Кроме того, мы могли бы тогда обменяться теми чертежами и описаниями танков, которые имеются в (нашем) распоряжении — заграничные материалы — и ознакомиться с русскими танками».</w:t>
      </w:r>
    </w:p>
    <w:p w14:paraId="20C592D3"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Находившиеся в школе танки являлись опытными конструкциями и нуждались, по мнению генерала, в доработке и модернизации. Поэтому немецкие курсанты проходили не только теоретический курс по тактике, но и техническое обучение на германских заводах, поставлявших танки.</w:t>
      </w:r>
    </w:p>
    <w:p w14:paraId="569E5C47"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«Мы приветствовали бы, — добавил </w:t>
      </w:r>
      <w:proofErr w:type="spellStart"/>
      <w:r w:rsidRPr="00A259BD">
        <w:rPr>
          <w:rFonts w:ascii="Times New Roman" w:hAnsi="Times New Roman"/>
          <w:color w:val="000000" w:themeColor="text1"/>
          <w:sz w:val="16"/>
          <w:szCs w:val="16"/>
        </w:rPr>
        <w:t>Хаммерштейн</w:t>
      </w:r>
      <w:proofErr w:type="spellEnd"/>
      <w:r w:rsidRPr="00A259BD">
        <w:rPr>
          <w:rFonts w:ascii="Times New Roman" w:hAnsi="Times New Roman"/>
          <w:color w:val="000000" w:themeColor="text1"/>
          <w:sz w:val="16"/>
          <w:szCs w:val="16"/>
        </w:rPr>
        <w:t>, — если из числа русских курсантов 2 или 3 человека участвовали бы в прохождении зимнего курса в Германии &lt;…&gt;» (18265).</w:t>
      </w:r>
    </w:p>
    <w:p w14:paraId="1446EF68" w14:textId="77777777" w:rsidR="00114B37" w:rsidRPr="00A259BD" w:rsidRDefault="00114B37" w:rsidP="009236E3">
      <w:pPr>
        <w:spacing w:after="0" w:line="240" w:lineRule="auto"/>
        <w:jc w:val="both"/>
        <w:rPr>
          <w:rFonts w:ascii="Times New Roman" w:hAnsi="Times New Roman"/>
          <w:color w:val="000000" w:themeColor="text1"/>
          <w:sz w:val="16"/>
          <w:szCs w:val="16"/>
        </w:rPr>
      </w:pPr>
    </w:p>
    <w:p w14:paraId="005B1392"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сентября 1929 г. Ворошилов сказал об проблемах Томки на переговорах с генералом </w:t>
      </w:r>
      <w:proofErr w:type="spellStart"/>
      <w:r w:rsidRPr="00A259BD">
        <w:rPr>
          <w:rFonts w:ascii="Times New Roman" w:hAnsi="Times New Roman"/>
          <w:color w:val="000000" w:themeColor="text1"/>
          <w:sz w:val="16"/>
          <w:szCs w:val="16"/>
        </w:rPr>
        <w:t>Хаммерштайном</w:t>
      </w:r>
      <w:proofErr w:type="spellEnd"/>
      <w:r w:rsidRPr="00A259BD">
        <w:rPr>
          <w:rFonts w:ascii="Times New Roman" w:hAnsi="Times New Roman"/>
          <w:color w:val="000000" w:themeColor="text1"/>
          <w:sz w:val="16"/>
          <w:szCs w:val="16"/>
        </w:rPr>
        <w:t>:</w:t>
      </w:r>
    </w:p>
    <w:p w14:paraId="410A70A7"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течение года «Томка» не дала того, что мы, согласно договора, ожидали. Ряд технических дефектов в приборах, присланных немцами, в частности взрыватель газовой бомбы, сделали их негодными. Бедность технических средств, которые немцы представляют на этот полигон, не оправдывает существование института. В первый год были серьезные опыты для обеих сторон, затем только опыты незначительного характера. &lt;…&gt; Это наводит на мысль, что здесь или недоразумение, или же нежелание вводить нас в курс новых и старых химических средств борьбы, которые рейхсвер имеет. Наша просьба заключается в усилении техники института, в пересылке разнообразной и новой аппаратуры. &lt;…&gt; Иначе существование института становится проблематичным»</w:t>
      </w:r>
      <w:hyperlink r:id="rId174" w:anchor="n_324" w:history="1">
        <w:r w:rsidRPr="00A259BD">
          <w:rPr>
            <w:rStyle w:val="a5"/>
            <w:rFonts w:ascii="Times New Roman" w:hAnsi="Times New Roman"/>
            <w:color w:val="000000" w:themeColor="text1"/>
            <w:sz w:val="16"/>
            <w:szCs w:val="16"/>
          </w:rPr>
          <w:t>[324]</w:t>
        </w:r>
      </w:hyperlink>
      <w:r w:rsidRPr="00A259BD">
        <w:rPr>
          <w:rFonts w:ascii="Times New Roman" w:hAnsi="Times New Roman"/>
          <w:color w:val="000000" w:themeColor="text1"/>
          <w:sz w:val="16"/>
          <w:szCs w:val="16"/>
        </w:rPr>
        <w:t>.</w:t>
      </w:r>
    </w:p>
    <w:p w14:paraId="48907B61" w14:textId="77777777" w:rsidR="00114B37" w:rsidRPr="00A259BD" w:rsidRDefault="00114B37"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Хаммерштайн</w:t>
      </w:r>
      <w:proofErr w:type="spellEnd"/>
      <w:r w:rsidRPr="00A259BD">
        <w:rPr>
          <w:rFonts w:ascii="Times New Roman" w:hAnsi="Times New Roman"/>
          <w:color w:val="000000" w:themeColor="text1"/>
          <w:sz w:val="16"/>
          <w:szCs w:val="16"/>
        </w:rPr>
        <w:t xml:space="preserve"> деликатно обошел эти проблемы, хотя и признал, что некоторые опыты (в частности, с дистанционным взрывателем) не привели к ожидаемым результатам. Просьба о поставках новой аппаратуры была им вежливо отклонена, потому что, по словам </w:t>
      </w:r>
      <w:proofErr w:type="spellStart"/>
      <w:r w:rsidRPr="00A259BD">
        <w:rPr>
          <w:rFonts w:ascii="Times New Roman" w:hAnsi="Times New Roman"/>
          <w:color w:val="000000" w:themeColor="text1"/>
          <w:sz w:val="16"/>
          <w:szCs w:val="16"/>
        </w:rPr>
        <w:t>Хаммерштайна</w:t>
      </w:r>
      <w:proofErr w:type="spellEnd"/>
      <w:r w:rsidRPr="00A259BD">
        <w:rPr>
          <w:rFonts w:ascii="Times New Roman" w:hAnsi="Times New Roman"/>
          <w:color w:val="000000" w:themeColor="text1"/>
          <w:sz w:val="16"/>
          <w:szCs w:val="16"/>
        </w:rPr>
        <w:t>, «все, что мы имеем, все это находится в Томке». Правда, он признал, что в Германии ведутся лабораторные опыты по синтезу новых ОВ, но они держатся в секрете.</w:t>
      </w:r>
    </w:p>
    <w:p w14:paraId="69DA0FC1"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«Как только будут получены результаты, я даю гарантию, что эти результаты дойдут до Томки. У нас нет повода скрывать перед русской армией наши достижения», — заверил </w:t>
      </w:r>
      <w:proofErr w:type="spellStart"/>
      <w:r w:rsidRPr="00A259BD">
        <w:rPr>
          <w:rFonts w:ascii="Times New Roman" w:hAnsi="Times New Roman"/>
          <w:color w:val="000000" w:themeColor="text1"/>
          <w:sz w:val="16"/>
          <w:szCs w:val="16"/>
        </w:rPr>
        <w:t>Хаммерштайн</w:t>
      </w:r>
      <w:proofErr w:type="spellEnd"/>
      <w:r w:rsidRPr="00A259BD">
        <w:rPr>
          <w:rFonts w:ascii="Times New Roman" w:hAnsi="Times New Roman"/>
          <w:color w:val="000000" w:themeColor="text1"/>
          <w:sz w:val="16"/>
          <w:szCs w:val="16"/>
        </w:rPr>
        <w:t>.</w:t>
      </w:r>
    </w:p>
    <w:p w14:paraId="6D9B3EF2"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начиная с 1928 г. в ведущих лабораториях Германии было опробовано около 10 тысяч различных </w:t>
      </w:r>
      <w:proofErr w:type="spellStart"/>
      <w:r w:rsidRPr="00A259BD">
        <w:rPr>
          <w:rFonts w:ascii="Times New Roman" w:hAnsi="Times New Roman"/>
          <w:color w:val="000000" w:themeColor="text1"/>
          <w:sz w:val="16"/>
          <w:szCs w:val="16"/>
        </w:rPr>
        <w:t>химсоединений</w:t>
      </w:r>
      <w:proofErr w:type="spellEnd"/>
      <w:r w:rsidRPr="00A259BD">
        <w:rPr>
          <w:rFonts w:ascii="Times New Roman" w:hAnsi="Times New Roman"/>
          <w:color w:val="000000" w:themeColor="text1"/>
          <w:sz w:val="16"/>
          <w:szCs w:val="16"/>
        </w:rPr>
        <w:t xml:space="preserve">. Советская сторона знала об этих опытах, — один из заместителей Фишмана В. М. </w:t>
      </w:r>
      <w:proofErr w:type="spellStart"/>
      <w:r w:rsidRPr="00A259BD">
        <w:rPr>
          <w:rFonts w:ascii="Times New Roman" w:hAnsi="Times New Roman"/>
          <w:color w:val="000000" w:themeColor="text1"/>
          <w:sz w:val="16"/>
          <w:szCs w:val="16"/>
        </w:rPr>
        <w:t>Рохинсон</w:t>
      </w:r>
      <w:proofErr w:type="spellEnd"/>
      <w:r w:rsidRPr="00A259BD">
        <w:rPr>
          <w:rFonts w:ascii="Times New Roman" w:hAnsi="Times New Roman"/>
          <w:color w:val="000000" w:themeColor="text1"/>
          <w:sz w:val="16"/>
          <w:szCs w:val="16"/>
        </w:rPr>
        <w:t xml:space="preserve"> постоянно пропадал на «Томке», а в 1929 г. объездил несколько полигонов и лабораторий Германии. В 1930–1931 гг. в «Томке» прошли испытания газовой смеси «</w:t>
      </w:r>
      <w:proofErr w:type="spellStart"/>
      <w:r w:rsidRPr="00A259BD">
        <w:rPr>
          <w:rFonts w:ascii="Times New Roman" w:hAnsi="Times New Roman"/>
          <w:color w:val="000000" w:themeColor="text1"/>
          <w:sz w:val="16"/>
          <w:szCs w:val="16"/>
        </w:rPr>
        <w:t>пфификус</w:t>
      </w:r>
      <w:proofErr w:type="spellEnd"/>
      <w:r w:rsidRPr="00A259BD">
        <w:rPr>
          <w:rFonts w:ascii="Times New Roman" w:hAnsi="Times New Roman"/>
          <w:color w:val="000000" w:themeColor="text1"/>
          <w:sz w:val="16"/>
          <w:szCs w:val="16"/>
        </w:rPr>
        <w:t>». Однако в основном испытания вплоть до 1933 г. проводились с уже известными ОВ ипритом и фосгеном (</w:t>
      </w:r>
      <w:proofErr w:type="spellStart"/>
      <w:r w:rsidRPr="00A259BD">
        <w:rPr>
          <w:rFonts w:ascii="Times New Roman" w:hAnsi="Times New Roman"/>
          <w:color w:val="000000" w:themeColor="text1"/>
          <w:sz w:val="16"/>
          <w:szCs w:val="16"/>
        </w:rPr>
        <w:t>Gelb</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und</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Grilnkreuz</w:t>
      </w:r>
      <w:proofErr w:type="spellEnd"/>
      <w:r w:rsidRPr="00A259BD">
        <w:rPr>
          <w:rFonts w:ascii="Times New Roman" w:hAnsi="Times New Roman"/>
          <w:color w:val="000000" w:themeColor="text1"/>
          <w:sz w:val="16"/>
          <w:szCs w:val="16"/>
        </w:rPr>
        <w:t>).</w:t>
      </w:r>
    </w:p>
    <w:p w14:paraId="77CAAFF7"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Аналогичной была реакция и на два других советских предложения. Первое касалось советского участия в научных работах, проводившихся в Германии. Для этого предлагалось направить советских специалистов по химии в качестве ассистентов немецких ученых. </w:t>
      </w:r>
      <w:proofErr w:type="spellStart"/>
      <w:r w:rsidRPr="00A259BD">
        <w:rPr>
          <w:rFonts w:ascii="Times New Roman" w:hAnsi="Times New Roman"/>
          <w:color w:val="000000" w:themeColor="text1"/>
          <w:sz w:val="16"/>
          <w:szCs w:val="16"/>
        </w:rPr>
        <w:t>Хаммерштайн</w:t>
      </w:r>
      <w:proofErr w:type="spellEnd"/>
      <w:r w:rsidRPr="00A259BD">
        <w:rPr>
          <w:rFonts w:ascii="Times New Roman" w:hAnsi="Times New Roman"/>
          <w:color w:val="000000" w:themeColor="text1"/>
          <w:sz w:val="16"/>
          <w:szCs w:val="16"/>
        </w:rPr>
        <w:t xml:space="preserve"> предложил сделать это в будущем, сославшись на необходимость получения предварительного согласия этих ученых.</w:t>
      </w:r>
    </w:p>
    <w:p w14:paraId="35CD7FDB"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 втором предложении речь шла об организации общего института в Берлине, где обе стороны занимались бы научной работой, а полученные результаты испытывали в «Томке». </w:t>
      </w:r>
      <w:proofErr w:type="spellStart"/>
      <w:r w:rsidRPr="00A259BD">
        <w:rPr>
          <w:rFonts w:ascii="Times New Roman" w:hAnsi="Times New Roman"/>
          <w:color w:val="000000" w:themeColor="text1"/>
          <w:sz w:val="16"/>
          <w:szCs w:val="16"/>
        </w:rPr>
        <w:t>Хаммерштайн</w:t>
      </w:r>
      <w:proofErr w:type="spellEnd"/>
      <w:r w:rsidRPr="00A259BD">
        <w:rPr>
          <w:rFonts w:ascii="Times New Roman" w:hAnsi="Times New Roman"/>
          <w:color w:val="000000" w:themeColor="text1"/>
          <w:sz w:val="16"/>
          <w:szCs w:val="16"/>
        </w:rPr>
        <w:t xml:space="preserve"> ответил:</w:t>
      </w:r>
    </w:p>
    <w:p w14:paraId="27AEC868"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«Эта мысль хороша и это было бы очень полезно, будь то возможно. Но, первое — это стоило бы очень много денег и, второе — было бы трудно сохранить секретность. &lt;…&gt; Нам, кроме того, не удалось бы привлечь к участию в работах института наших лучших ученых, от которых мы зависим. Поэтому, я думаю, нам следует пока ограничиться тем, что мы оба в состоянии сделать. Что это, к сожалению, немного — в этом я вполне согласен с господином Фишманом, но, к сожалению, не вижу возможности расширения работ в настоящее время».</w:t>
      </w:r>
    </w:p>
    <w:p w14:paraId="774AFB12"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советских архивах сохранился документ — проект создания специальной военно-химической лаборатории, научным руководителем которой должен был быть немецкий химик, а административным директором — представитель наркомвоенмора. К работе лаборатории должны были быть привлечены 5 ассистентов-немцев, а остальной персонал — укомплектовываться из советских специалистов. В документе говорится, что</w:t>
      </w:r>
    </w:p>
    <w:p w14:paraId="128ED1B6"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«назначением лаборатории с привлечением крупных немецких специалистов по ОВ является:</w:t>
      </w:r>
    </w:p>
    <w:p w14:paraId="0C0FE373"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Обучение наших работников методам научной работы немцев по военно-химическому делу.</w:t>
      </w:r>
    </w:p>
    <w:p w14:paraId="58956C52"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Получение высокой научной консультации по особо сложным вопросам военно-химической техники.</w:t>
      </w:r>
    </w:p>
    <w:p w14:paraId="776972CF"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Усовершенствование старых и открытие новых средств химической борьбы»</w:t>
      </w:r>
      <w:hyperlink r:id="rId175" w:anchor="n_325" w:history="1">
        <w:r w:rsidRPr="00A259BD">
          <w:rPr>
            <w:rStyle w:val="a5"/>
            <w:rFonts w:ascii="Times New Roman" w:hAnsi="Times New Roman"/>
            <w:color w:val="000000" w:themeColor="text1"/>
            <w:sz w:val="16"/>
            <w:szCs w:val="16"/>
          </w:rPr>
          <w:t>[325]</w:t>
        </w:r>
      </w:hyperlink>
      <w:r w:rsidRPr="00A259BD">
        <w:rPr>
          <w:rFonts w:ascii="Times New Roman" w:hAnsi="Times New Roman"/>
          <w:color w:val="000000" w:themeColor="text1"/>
          <w:sz w:val="16"/>
          <w:szCs w:val="16"/>
        </w:rPr>
        <w:t>.</w:t>
      </w:r>
    </w:p>
    <w:p w14:paraId="2366540E" w14:textId="77777777" w:rsidR="00114B37" w:rsidRPr="00A259BD" w:rsidRDefault="00114B3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Основное внимание в работе лаборатории должно было быть направлено на синтез новых препаратов, изучение действия ОВ на организм человека, выработку рациональных методов анализа ОВ, проверку технических условий для приемки ОВ, резины и активированного угля, а также на разработку новых дегазирующих веществ. Однако идею создания совместного </w:t>
      </w:r>
      <w:proofErr w:type="spellStart"/>
      <w:r w:rsidRPr="00A259BD">
        <w:rPr>
          <w:rFonts w:ascii="Times New Roman" w:hAnsi="Times New Roman"/>
          <w:color w:val="000000" w:themeColor="text1"/>
          <w:sz w:val="16"/>
          <w:szCs w:val="16"/>
        </w:rPr>
        <w:t>химинститута</w:t>
      </w:r>
      <w:proofErr w:type="spellEnd"/>
      <w:r w:rsidRPr="00A259BD">
        <w:rPr>
          <w:rFonts w:ascii="Times New Roman" w:hAnsi="Times New Roman"/>
          <w:color w:val="000000" w:themeColor="text1"/>
          <w:sz w:val="16"/>
          <w:szCs w:val="16"/>
        </w:rPr>
        <w:t xml:space="preserve"> в Берлине немцы отклонили (18265).</w:t>
      </w:r>
    </w:p>
    <w:p w14:paraId="27B36372" w14:textId="77777777" w:rsidR="00114B37" w:rsidRPr="00A259BD" w:rsidRDefault="00114B37" w:rsidP="009236E3">
      <w:pPr>
        <w:spacing w:after="0" w:line="240" w:lineRule="auto"/>
        <w:jc w:val="both"/>
        <w:rPr>
          <w:rFonts w:ascii="Times New Roman" w:hAnsi="Times New Roman"/>
          <w:color w:val="000000" w:themeColor="text1"/>
          <w:sz w:val="16"/>
          <w:szCs w:val="16"/>
        </w:rPr>
      </w:pPr>
    </w:p>
    <w:p w14:paraId="27FAD565" w14:textId="77777777" w:rsidR="004B4828" w:rsidRPr="00A259BD" w:rsidRDefault="004B4828"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5 сентября </w:t>
      </w:r>
      <w:r w:rsidRPr="00A259BD">
        <w:rPr>
          <w:rStyle w:val="a7"/>
          <w:rFonts w:ascii="Times New Roman" w:hAnsi="Times New Roman"/>
          <w:b w:val="0"/>
          <w:bCs w:val="0"/>
          <w:color w:val="000000" w:themeColor="text1"/>
          <w:sz w:val="16"/>
          <w:szCs w:val="16"/>
        </w:rPr>
        <w:t>1929 год</w:t>
      </w:r>
      <w:r w:rsidRPr="00A259BD">
        <w:rPr>
          <w:rStyle w:val="a7"/>
          <w:rFonts w:ascii="Times New Roman" w:hAnsi="Times New Roman"/>
          <w:b w:val="0"/>
          <w:bCs w:val="0"/>
          <w:color w:val="000000" w:themeColor="text1"/>
          <w:sz w:val="16"/>
          <w:szCs w:val="16"/>
          <w:lang w:val="en-US"/>
        </w:rPr>
        <w:t>a</w:t>
      </w:r>
      <w:r w:rsidRPr="00A259BD">
        <w:rPr>
          <w:rFonts w:ascii="Times New Roman" w:hAnsi="Times New Roman"/>
          <w:color w:val="000000" w:themeColor="text1"/>
          <w:sz w:val="16"/>
          <w:szCs w:val="16"/>
        </w:rPr>
        <w:t xml:space="preserve">Политбюро ЦК ВКП (б) утвердило проект постановления ЦК ВКП (б) «О мерах по упорядочению управления производством и установлению единоначалия»; указало СТО и Госплану на необходимость увеличить в контрольных цифрах на 1929/30 г. ассигнования на капитальное строительство </w:t>
      </w:r>
      <w:proofErr w:type="spellStart"/>
      <w:r w:rsidRPr="00A259BD">
        <w:rPr>
          <w:rFonts w:ascii="Times New Roman" w:hAnsi="Times New Roman"/>
          <w:color w:val="000000" w:themeColor="text1"/>
          <w:sz w:val="16"/>
          <w:szCs w:val="16"/>
        </w:rPr>
        <w:t>Уралнефти.до</w:t>
      </w:r>
      <w:proofErr w:type="spellEnd"/>
      <w:r w:rsidRPr="00A259BD">
        <w:rPr>
          <w:rFonts w:ascii="Times New Roman" w:hAnsi="Times New Roman"/>
          <w:color w:val="000000" w:themeColor="text1"/>
          <w:sz w:val="16"/>
          <w:szCs w:val="16"/>
        </w:rPr>
        <w:t xml:space="preserve"> 15 млн. </w:t>
      </w:r>
      <w:proofErr w:type="spellStart"/>
      <w:r w:rsidRPr="00A259BD">
        <w:rPr>
          <w:rFonts w:ascii="Times New Roman" w:hAnsi="Times New Roman"/>
          <w:color w:val="000000" w:themeColor="text1"/>
          <w:sz w:val="16"/>
          <w:szCs w:val="16"/>
        </w:rPr>
        <w:t>руб</w:t>
      </w:r>
      <w:proofErr w:type="spellEnd"/>
      <w:r w:rsidRPr="00A259BD">
        <w:rPr>
          <w:rFonts w:ascii="Times New Roman" w:hAnsi="Times New Roman"/>
          <w:color w:val="000000" w:themeColor="text1"/>
          <w:sz w:val="16"/>
          <w:szCs w:val="16"/>
        </w:rPr>
        <w:t xml:space="preserve"> (12265).</w:t>
      </w:r>
    </w:p>
    <w:p w14:paraId="5CD95A62" w14:textId="77777777" w:rsidR="004B4828" w:rsidRPr="00A259BD" w:rsidRDefault="004B48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196D4183"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0F77054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41126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сентября 1929 г. в ходе официального визита в СССР начальника генштаба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генерала К. фон </w:t>
      </w:r>
      <w:proofErr w:type="spellStart"/>
      <w:r w:rsidRPr="00A259BD">
        <w:rPr>
          <w:rFonts w:ascii="Times New Roman" w:hAnsi="Times New Roman"/>
          <w:color w:val="000000" w:themeColor="text1"/>
          <w:sz w:val="16"/>
          <w:szCs w:val="16"/>
        </w:rPr>
        <w:t>Хаммерштайна-Экворда</w:t>
      </w:r>
      <w:proofErr w:type="spellEnd"/>
      <w:r w:rsidRPr="00A259BD">
        <w:rPr>
          <w:rFonts w:ascii="Times New Roman" w:hAnsi="Times New Roman"/>
          <w:color w:val="000000" w:themeColor="text1"/>
          <w:sz w:val="16"/>
          <w:szCs w:val="16"/>
        </w:rPr>
        <w:t xml:space="preserve"> Ворошилов жаловался, что «авиасредства школы устарели и неинтересны для нас. Эта техника нам ничего не дает. Германские фирмы имеют более современные самолеты». </w:t>
      </w:r>
      <w:proofErr w:type="spellStart"/>
      <w:r w:rsidRPr="00A259BD">
        <w:rPr>
          <w:rFonts w:ascii="Times New Roman" w:hAnsi="Times New Roman"/>
          <w:color w:val="000000" w:themeColor="text1"/>
          <w:sz w:val="16"/>
          <w:szCs w:val="16"/>
        </w:rPr>
        <w:t>Хаммерштайн</w:t>
      </w:r>
      <w:proofErr w:type="spellEnd"/>
      <w:r w:rsidRPr="00A259BD">
        <w:rPr>
          <w:rFonts w:ascii="Times New Roman" w:hAnsi="Times New Roman"/>
          <w:color w:val="000000" w:themeColor="text1"/>
          <w:sz w:val="16"/>
          <w:szCs w:val="16"/>
        </w:rPr>
        <w:t xml:space="preserve"> обещал расширить исследовательскую работу и увеличить в школе количество техники. Кроме того, Ворошилов настоятельно просил </w:t>
      </w:r>
      <w:proofErr w:type="spellStart"/>
      <w:r w:rsidRPr="00A259BD">
        <w:rPr>
          <w:rFonts w:ascii="Times New Roman" w:hAnsi="Times New Roman"/>
          <w:color w:val="000000" w:themeColor="text1"/>
          <w:sz w:val="16"/>
          <w:szCs w:val="16"/>
        </w:rPr>
        <w:t>Хаммерштайна</w:t>
      </w:r>
      <w:proofErr w:type="spellEnd"/>
      <w:r w:rsidRPr="00A259BD">
        <w:rPr>
          <w:rFonts w:ascii="Times New Roman" w:hAnsi="Times New Roman"/>
          <w:color w:val="000000" w:themeColor="text1"/>
          <w:sz w:val="16"/>
          <w:szCs w:val="16"/>
        </w:rPr>
        <w:t xml:space="preserve"> «повлиять на то, чтобы отношения представителей в школе были более нормальные и дружественные». Данная фраза говорит о том, что работа шла при отсутствии взаимного доверия, что весьма существенно для понимания атмосферы сотрудничества в Липецкой школе (11784). </w:t>
      </w:r>
    </w:p>
    <w:p w14:paraId="01080D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CF071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сентября 1929 г. во время беседы наркома обороны СССР Ворошилова с новым начальником генштаба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генералом </w:t>
      </w:r>
      <w:proofErr w:type="spellStart"/>
      <w:r w:rsidRPr="00A259BD">
        <w:rPr>
          <w:rFonts w:ascii="Times New Roman" w:hAnsi="Times New Roman"/>
          <w:color w:val="000000" w:themeColor="text1"/>
          <w:sz w:val="16"/>
          <w:szCs w:val="16"/>
        </w:rPr>
        <w:t>Хаммерштайном-Эквордом</w:t>
      </w:r>
      <w:proofErr w:type="spellEnd"/>
      <w:r w:rsidRPr="00A259BD">
        <w:rPr>
          <w:rFonts w:ascii="Times New Roman" w:hAnsi="Times New Roman"/>
          <w:color w:val="000000" w:themeColor="text1"/>
          <w:sz w:val="16"/>
          <w:szCs w:val="16"/>
        </w:rPr>
        <w:t xml:space="preserve">, прибывшим в Советский Союз с визитом была дана первая совместная оценка танковой школы. Немец выразил удовлетворение состоянием дел и высказал пожелание, «чтобы в Казани дальше все шло по-прежнему, как оно есть сейчас: производство опытов с одной стороны и обучение — с другой стороны. Но мы хотели бы увеличить число курсантов с 10 до 20, чтобы лучше использовать затраченный капитал». Касаясь ранее сделанного советским военным руководством предложения о создании при школе научно-исследовательского отдела, </w:t>
      </w:r>
      <w:proofErr w:type="spellStart"/>
      <w:r w:rsidRPr="00A259BD">
        <w:rPr>
          <w:rFonts w:ascii="Times New Roman" w:hAnsi="Times New Roman"/>
          <w:color w:val="000000" w:themeColor="text1"/>
          <w:sz w:val="16"/>
          <w:szCs w:val="16"/>
        </w:rPr>
        <w:t>Хаммерштайн</w:t>
      </w:r>
      <w:proofErr w:type="spellEnd"/>
      <w:r w:rsidRPr="00A259BD">
        <w:rPr>
          <w:rFonts w:ascii="Times New Roman" w:hAnsi="Times New Roman"/>
          <w:color w:val="000000" w:themeColor="text1"/>
          <w:sz w:val="16"/>
          <w:szCs w:val="16"/>
        </w:rPr>
        <w:t xml:space="preserve"> заявил: «Мы в Казани не хотим организовывать конструкторское бюро. Там имеются инженеры тех заводов, которые нам танки доставляют и которые ищут ошибки в их конструкции. Последние, в свою очередь, устраняются конструкторскими бюро соответствующих заводов в Германии &lt;...&gt; Было бы хорошо, — продолжил он, — если несколько русских инженеров работали бы с нами. Нам это было бы приятно, так как русские специалисты могли бы помогать и сами знакомиться с нашей работой. Кроме того, мы могли бы тогда обменяться теми чертежами и описаниями танков, которые имеются в (нашем) распоряжении — заграничные материалы — и ознакомиться с русскими танками». Находившиеся в школе танки являлись опытными конструкциями и нуждались, по мнению генерала, в доработке и модернизации. Поэтому немецкие курсанты проходили не только теоретический курс по тактике, но и техническое обучение на германских заводах, поставлявших танки. «Мы приветствовали бы, — добавил </w:t>
      </w:r>
      <w:proofErr w:type="spellStart"/>
      <w:r w:rsidRPr="00A259BD">
        <w:rPr>
          <w:rFonts w:ascii="Times New Roman" w:hAnsi="Times New Roman"/>
          <w:color w:val="000000" w:themeColor="text1"/>
          <w:sz w:val="16"/>
          <w:szCs w:val="16"/>
        </w:rPr>
        <w:t>Хаммерштейн</w:t>
      </w:r>
      <w:proofErr w:type="spellEnd"/>
      <w:r w:rsidRPr="00A259BD">
        <w:rPr>
          <w:rFonts w:ascii="Times New Roman" w:hAnsi="Times New Roman"/>
          <w:color w:val="000000" w:themeColor="text1"/>
          <w:sz w:val="16"/>
          <w:szCs w:val="16"/>
        </w:rPr>
        <w:t xml:space="preserve">, — если из числа русских курсантов 2 или 3 человека участвовали бы в прохождении зимнего курса в Германии &lt;...&gt;» (РГВА, ф. 33987, </w:t>
      </w:r>
      <w:proofErr w:type="spellStart"/>
      <w:r w:rsidRPr="00A259BD">
        <w:rPr>
          <w:rFonts w:ascii="Times New Roman" w:hAnsi="Times New Roman"/>
          <w:color w:val="000000" w:themeColor="text1"/>
          <w:sz w:val="16"/>
          <w:szCs w:val="16"/>
        </w:rPr>
        <w:t>on</w:t>
      </w:r>
      <w:proofErr w:type="spellEnd"/>
      <w:r w:rsidRPr="00A259BD">
        <w:rPr>
          <w:rFonts w:ascii="Times New Roman" w:hAnsi="Times New Roman"/>
          <w:color w:val="000000" w:themeColor="text1"/>
          <w:sz w:val="16"/>
          <w:szCs w:val="16"/>
        </w:rPr>
        <w:t>. 3,д. 375, л. 2-3.) (11784).</w:t>
      </w:r>
    </w:p>
    <w:p w14:paraId="1F4C24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70F7E4B" w14:textId="77777777" w:rsidR="00D74AD9" w:rsidRPr="00A259BD" w:rsidRDefault="00D74AD9" w:rsidP="009236E3">
      <w:pPr>
        <w:spacing w:after="0" w:line="240" w:lineRule="auto"/>
        <w:jc w:val="both"/>
        <w:rPr>
          <w:rFonts w:ascii="Times New Roman" w:hAnsi="Times New Roman"/>
          <w:iCs/>
          <w:color w:val="000000" w:themeColor="text1"/>
          <w:sz w:val="16"/>
          <w:szCs w:val="16"/>
        </w:rPr>
      </w:pPr>
      <w:r w:rsidRPr="00A259BD">
        <w:rPr>
          <w:rFonts w:ascii="Times New Roman" w:hAnsi="Times New Roman"/>
          <w:color w:val="000000" w:themeColor="text1"/>
          <w:sz w:val="16"/>
          <w:szCs w:val="16"/>
        </w:rPr>
        <w:t xml:space="preserve">5 сентября 1930 г. Протокол ПБ № 6 п.16: О НАМИ. (Уборевич, Куйбышев, Осинский, Одоевский, Зелинский). Приняты решения: а) в дополнение к постановлению ПБ от 20-7-1930 г. передать опытный завод, авиационную испытательную станцию специального назначения, авиационный отдел с лабораториями и конструкторскими кабинетами и со всем личным составом в ведение </w:t>
      </w:r>
      <w:proofErr w:type="spellStart"/>
      <w:r w:rsidRPr="00A259BD">
        <w:rPr>
          <w:rFonts w:ascii="Times New Roman" w:hAnsi="Times New Roman"/>
          <w:color w:val="000000" w:themeColor="text1"/>
          <w:sz w:val="16"/>
          <w:szCs w:val="16"/>
        </w:rPr>
        <w:t>авиаобъединения</w:t>
      </w:r>
      <w:proofErr w:type="spellEnd"/>
      <w:r w:rsidRPr="00A259BD">
        <w:rPr>
          <w:rFonts w:ascii="Times New Roman" w:hAnsi="Times New Roman"/>
          <w:color w:val="000000" w:themeColor="text1"/>
          <w:sz w:val="16"/>
          <w:szCs w:val="16"/>
        </w:rPr>
        <w:t xml:space="preserve"> при </w:t>
      </w:r>
      <w:proofErr w:type="spellStart"/>
      <w:r w:rsidRPr="00A259BD">
        <w:rPr>
          <w:rFonts w:ascii="Times New Roman" w:hAnsi="Times New Roman"/>
          <w:color w:val="000000" w:themeColor="text1"/>
          <w:sz w:val="16"/>
          <w:szCs w:val="16"/>
        </w:rPr>
        <w:t>НКВМора</w:t>
      </w:r>
      <w:proofErr w:type="spellEnd"/>
      <w:r w:rsidRPr="00A259BD">
        <w:rPr>
          <w:rFonts w:ascii="Times New Roman" w:hAnsi="Times New Roman"/>
          <w:color w:val="000000" w:themeColor="text1"/>
          <w:sz w:val="16"/>
          <w:szCs w:val="16"/>
        </w:rPr>
        <w:t xml:space="preserve">; б) в связи с настоящим решением (п. «а») обязать ВСНХ в срочном порядке создать достаточную материальную базу для организации самостоятельного института по </w:t>
      </w:r>
      <w:proofErr w:type="spellStart"/>
      <w:r w:rsidRPr="00A259BD">
        <w:rPr>
          <w:rFonts w:ascii="Times New Roman" w:hAnsi="Times New Roman"/>
          <w:color w:val="000000" w:themeColor="text1"/>
          <w:sz w:val="16"/>
          <w:szCs w:val="16"/>
        </w:rPr>
        <w:t>автомоторостроению</w:t>
      </w:r>
      <w:proofErr w:type="spellEnd"/>
      <w:r w:rsidRPr="00A259BD">
        <w:rPr>
          <w:rFonts w:ascii="Times New Roman" w:hAnsi="Times New Roman"/>
          <w:color w:val="000000" w:themeColor="text1"/>
          <w:sz w:val="16"/>
          <w:szCs w:val="16"/>
        </w:rPr>
        <w:t xml:space="preserve"> (15867).</w:t>
      </w:r>
    </w:p>
    <w:p w14:paraId="386CDF99" w14:textId="77777777" w:rsidR="00D74AD9" w:rsidRPr="00A259BD" w:rsidRDefault="00D74AD9" w:rsidP="009236E3">
      <w:pPr>
        <w:spacing w:after="0" w:line="240" w:lineRule="auto"/>
        <w:jc w:val="both"/>
        <w:rPr>
          <w:rFonts w:ascii="Times New Roman" w:hAnsi="Times New Roman"/>
          <w:iCs/>
          <w:color w:val="000000" w:themeColor="text1"/>
          <w:sz w:val="16"/>
          <w:szCs w:val="16"/>
        </w:rPr>
      </w:pPr>
    </w:p>
    <w:p w14:paraId="43CAB25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5229AC6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C870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сентября 1929 вышло постановление ЦК ВКП(б) "О мерах по упорядочению управления производством и установлении единоначалия" (423,108).</w:t>
      </w:r>
    </w:p>
    <w:p w14:paraId="5B9AFE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426F76C" w14:textId="77777777" w:rsidR="00D74AD9" w:rsidRPr="00A259BD" w:rsidRDefault="00D74AD9"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 xml:space="preserve">5 сентября </w:t>
      </w:r>
      <w:r w:rsidRPr="00A259BD">
        <w:rPr>
          <w:rFonts w:ascii="Times New Roman" w:hAnsi="Times New Roman"/>
          <w:color w:val="000000" w:themeColor="text1"/>
          <w:sz w:val="16"/>
          <w:szCs w:val="16"/>
        </w:rPr>
        <w:t>в 1929 году ЦК ВКП(б) принимает постановление "О мерах по упорядочению управления производством и установлению единоначалия". Если раньше предприятием руководил треугольник (директор, секретарь парторганизации и председатель профкома), то теперь на первое место выдвигается партийный секретарь: рабочего можно уволить и без санкции профсоюза, а директор вынужден согласовывать все производственные вопросы с партийным надзирателем. Кроме того, отныне руководящие должности может занимать только член ВКП(б) (14760).</w:t>
      </w:r>
    </w:p>
    <w:p w14:paraId="45EEC606" w14:textId="77777777" w:rsidR="00D74AD9" w:rsidRPr="00A259BD" w:rsidRDefault="00D74AD9" w:rsidP="009236E3">
      <w:pPr>
        <w:spacing w:after="0" w:line="240" w:lineRule="auto"/>
        <w:jc w:val="both"/>
        <w:rPr>
          <w:rFonts w:ascii="Times New Roman" w:hAnsi="Times New Roman"/>
          <w:color w:val="000000" w:themeColor="text1"/>
          <w:sz w:val="16"/>
          <w:szCs w:val="16"/>
        </w:rPr>
      </w:pPr>
    </w:p>
    <w:p w14:paraId="742F9B35" w14:textId="77777777" w:rsidR="00847C8B" w:rsidRPr="00A259BD" w:rsidRDefault="00847C8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5</w:t>
      </w:r>
      <w:r w:rsidRPr="00A259BD">
        <w:rPr>
          <w:rFonts w:ascii="Times New Roman" w:eastAsia="Times New Roman" w:hAnsi="Times New Roman"/>
          <w:color w:val="000000" w:themeColor="text1"/>
          <w:sz w:val="16"/>
          <w:szCs w:val="16"/>
          <w:lang w:val="en-US" w:eastAsia="ru-RU"/>
        </w:rPr>
        <w:t> </w:t>
      </w:r>
      <w:r w:rsidRPr="00A259BD">
        <w:rPr>
          <w:rFonts w:ascii="Times New Roman" w:eastAsia="Times New Roman" w:hAnsi="Times New Roman"/>
          <w:color w:val="000000" w:themeColor="text1"/>
          <w:sz w:val="16"/>
          <w:szCs w:val="16"/>
          <w:lang w:eastAsia="ru-RU"/>
        </w:rPr>
        <w:t>сентября 1929</w:t>
      </w:r>
      <w:r w:rsidRPr="00A259BD">
        <w:rPr>
          <w:rFonts w:ascii="Times New Roman" w:eastAsia="Times New Roman" w:hAnsi="Times New Roman"/>
          <w:color w:val="000000" w:themeColor="text1"/>
          <w:sz w:val="16"/>
          <w:szCs w:val="16"/>
          <w:lang w:val="en-US" w:eastAsia="ru-RU"/>
        </w:rPr>
        <w:t> </w:t>
      </w:r>
      <w:r w:rsidRPr="00A259BD">
        <w:rPr>
          <w:rFonts w:ascii="Times New Roman" w:eastAsia="Times New Roman" w:hAnsi="Times New Roman"/>
          <w:color w:val="000000" w:themeColor="text1"/>
          <w:sz w:val="16"/>
          <w:szCs w:val="16"/>
          <w:lang w:eastAsia="ru-RU"/>
        </w:rPr>
        <w:t>г. в соответствии с Постановлением ЦИК и СНК СССР от О</w:t>
      </w:r>
      <w:r w:rsidRPr="00A259BD">
        <w:rPr>
          <w:rFonts w:ascii="Times New Roman" w:eastAsia="Times New Roman" w:hAnsi="Times New Roman"/>
          <w:color w:val="000000" w:themeColor="text1"/>
          <w:sz w:val="16"/>
          <w:szCs w:val="16"/>
          <w:lang w:val="en-US" w:eastAsia="ru-RU"/>
        </w:rPr>
        <w:t> </w:t>
      </w:r>
      <w:r w:rsidRPr="00A259BD">
        <w:rPr>
          <w:rFonts w:ascii="Times New Roman" w:eastAsia="Times New Roman" w:hAnsi="Times New Roman"/>
          <w:color w:val="000000" w:themeColor="text1"/>
          <w:sz w:val="16"/>
          <w:szCs w:val="16"/>
          <w:lang w:eastAsia="ru-RU"/>
        </w:rPr>
        <w:t>мерах по упорядочиванию управления производством и установлению единоначалия начались экономические реформы.</w:t>
      </w:r>
    </w:p>
    <w:p w14:paraId="616247F3" w14:textId="77777777" w:rsidR="00847C8B" w:rsidRPr="00A259BD" w:rsidRDefault="00847C8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Целью реформ было, во-первых, снижение себестоимости производимой продукции, во-вторых, решение проблемы накоплений в промышленности. Созданный в результате реформ механизм накопления в промышленности позволял добиваться выполнения плановых заданий любой ценой.</w:t>
      </w:r>
    </w:p>
    <w:p w14:paraId="126F0D52" w14:textId="77777777" w:rsidR="00847C8B" w:rsidRPr="00A259BD" w:rsidRDefault="00847C8B" w:rsidP="009236E3">
      <w:pPr>
        <w:spacing w:after="0" w:line="240" w:lineRule="auto"/>
        <w:jc w:val="both"/>
        <w:rPr>
          <w:rFonts w:ascii="Times New Roman" w:hAnsi="Times New Roman"/>
          <w:color w:val="000000" w:themeColor="text1"/>
          <w:sz w:val="16"/>
          <w:szCs w:val="16"/>
        </w:rPr>
      </w:pPr>
      <w:r w:rsidRPr="00A259BD">
        <w:rPr>
          <w:rFonts w:ascii="Times New Roman" w:eastAsia="Times New Roman" w:hAnsi="Times New Roman"/>
          <w:color w:val="000000" w:themeColor="text1"/>
          <w:sz w:val="16"/>
          <w:szCs w:val="16"/>
          <w:lang w:eastAsia="ru-RU"/>
        </w:rPr>
        <w:t>Налоговая реформа оградила государство от возможных последствий уменьшения платежей населения в казну. После вытеснения из розничной торговли частника Наркомфин начал контролировать большую часть товаропотоков (предметов первой необходимости и продуктов питания) (17238).</w:t>
      </w:r>
    </w:p>
    <w:p w14:paraId="495EC6AD" w14:textId="77777777" w:rsidR="00847C8B" w:rsidRPr="00A259BD" w:rsidRDefault="00847C8B" w:rsidP="009236E3">
      <w:pPr>
        <w:spacing w:after="0" w:line="240" w:lineRule="auto"/>
        <w:jc w:val="both"/>
        <w:rPr>
          <w:rFonts w:ascii="Times New Roman" w:hAnsi="Times New Roman"/>
          <w:color w:val="000000" w:themeColor="text1"/>
          <w:sz w:val="16"/>
          <w:szCs w:val="16"/>
        </w:rPr>
      </w:pPr>
    </w:p>
    <w:p w14:paraId="53F8A40D" w14:textId="77777777" w:rsidR="00D74AD9"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04BA7253" w14:textId="77777777" w:rsidR="00D74AD9" w:rsidRPr="00A259BD" w:rsidRDefault="00D74AD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FC08755" w14:textId="77777777" w:rsidR="00D74AD9" w:rsidRPr="00A259BD" w:rsidRDefault="00D74AD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сентября 1929 г. Протокол ПБ № 96 п.47: Вопрос РЗ СТО (ПБ от 8-8-1929, протокол № 92, п.9; </w:t>
      </w:r>
      <w:proofErr w:type="spellStart"/>
      <w:r w:rsidRPr="00A259BD">
        <w:rPr>
          <w:rFonts w:ascii="Times New Roman" w:hAnsi="Times New Roman"/>
          <w:color w:val="000000" w:themeColor="text1"/>
          <w:sz w:val="16"/>
          <w:szCs w:val="16"/>
        </w:rPr>
        <w:t>Хинчук</w:t>
      </w:r>
      <w:proofErr w:type="spellEnd"/>
      <w:r w:rsidRPr="00A259BD">
        <w:rPr>
          <w:rFonts w:ascii="Times New Roman" w:hAnsi="Times New Roman"/>
          <w:color w:val="000000" w:themeColor="text1"/>
          <w:sz w:val="16"/>
          <w:szCs w:val="16"/>
        </w:rPr>
        <w:t xml:space="preserve">) – ОП. Решено разрешить ГВПУ ВСНХ СССР совершить продажу персидскому военному министерству за наличный расчет четырех – пяти тысяч </w:t>
      </w:r>
      <w:proofErr w:type="spellStart"/>
      <w:r w:rsidRPr="00A259BD">
        <w:rPr>
          <w:rFonts w:ascii="Times New Roman" w:hAnsi="Times New Roman"/>
          <w:color w:val="000000" w:themeColor="text1"/>
          <w:sz w:val="16"/>
          <w:szCs w:val="16"/>
        </w:rPr>
        <w:t>аэробомб</w:t>
      </w:r>
      <w:proofErr w:type="spellEnd"/>
      <w:r w:rsidRPr="00A259BD">
        <w:rPr>
          <w:rFonts w:ascii="Times New Roman" w:hAnsi="Times New Roman"/>
          <w:color w:val="000000" w:themeColor="text1"/>
          <w:sz w:val="16"/>
          <w:szCs w:val="16"/>
        </w:rPr>
        <w:t>, при условии получения одновременно заказов на винтовки, патроны и артиллерию (15963).</w:t>
      </w:r>
    </w:p>
    <w:p w14:paraId="1814B607" w14:textId="77777777" w:rsidR="00D74AD9" w:rsidRPr="00A259BD" w:rsidRDefault="00D74AD9" w:rsidP="009236E3">
      <w:pPr>
        <w:spacing w:after="0" w:line="240" w:lineRule="auto"/>
        <w:jc w:val="both"/>
        <w:rPr>
          <w:rFonts w:ascii="Times New Roman" w:hAnsi="Times New Roman"/>
          <w:color w:val="000000" w:themeColor="text1"/>
          <w:sz w:val="16"/>
          <w:szCs w:val="16"/>
        </w:rPr>
      </w:pPr>
    </w:p>
    <w:p w14:paraId="2ABC5B7E" w14:textId="77777777" w:rsidR="00890A9C" w:rsidRPr="00A259BD" w:rsidRDefault="00890A9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сентября 1929 состоялось заседание ПБ (Протокол № 96. Особый № 94)</w:t>
      </w:r>
    </w:p>
    <w:p w14:paraId="170EBA81" w14:textId="77777777" w:rsidR="00890A9C" w:rsidRPr="00A259BD" w:rsidRDefault="00890A9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сентября 1929 опросом членов ПБ</w:t>
      </w:r>
    </w:p>
    <w:p w14:paraId="2B15B683" w14:textId="77777777" w:rsidR="00890A9C" w:rsidRPr="00A259BD" w:rsidRDefault="00890A9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47.-Вопрос РЗ СТО</w:t>
      </w:r>
    </w:p>
    <w:p w14:paraId="7B079CA6" w14:textId="77777777" w:rsidR="00890A9C" w:rsidRPr="00A259BD" w:rsidRDefault="00890A9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(ПБ от 8.УШ.29 г., пр. № 92, п.9).</w:t>
      </w:r>
    </w:p>
    <w:p w14:paraId="6E117D12" w14:textId="77777777" w:rsidR="00890A9C" w:rsidRPr="00A259BD" w:rsidRDefault="00890A9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т.Хинчук</w:t>
      </w:r>
      <w:proofErr w:type="spellEnd"/>
      <w:r w:rsidRPr="00A259BD">
        <w:rPr>
          <w:rFonts w:ascii="Times New Roman" w:hAnsi="Times New Roman"/>
          <w:color w:val="000000" w:themeColor="text1"/>
          <w:sz w:val="16"/>
          <w:szCs w:val="16"/>
        </w:rPr>
        <w:t>).</w:t>
      </w:r>
    </w:p>
    <w:p w14:paraId="2FF8039E" w14:textId="77777777" w:rsidR="00890A9C" w:rsidRPr="00A259BD" w:rsidRDefault="00890A9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Разрешить ГВПУ ВСНХ СССР совершить продажу </w:t>
      </w:r>
      <w:proofErr w:type="spellStart"/>
      <w:r w:rsidRPr="00A259BD">
        <w:rPr>
          <w:rFonts w:ascii="Times New Roman" w:hAnsi="Times New Roman"/>
          <w:color w:val="000000" w:themeColor="text1"/>
          <w:sz w:val="16"/>
          <w:szCs w:val="16"/>
        </w:rPr>
        <w:t>нерсидскому</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военмину</w:t>
      </w:r>
      <w:proofErr w:type="spellEnd"/>
      <w:r w:rsidRPr="00A259BD">
        <w:rPr>
          <w:rFonts w:ascii="Times New Roman" w:hAnsi="Times New Roman"/>
          <w:color w:val="000000" w:themeColor="text1"/>
          <w:sz w:val="16"/>
          <w:szCs w:val="16"/>
        </w:rPr>
        <w:t xml:space="preserve"> за наличный расчет четыре-пять тысяч </w:t>
      </w:r>
      <w:proofErr w:type="spellStart"/>
      <w:r w:rsidRPr="00A259BD">
        <w:rPr>
          <w:rFonts w:ascii="Times New Roman" w:hAnsi="Times New Roman"/>
          <w:color w:val="000000" w:themeColor="text1"/>
          <w:sz w:val="16"/>
          <w:szCs w:val="16"/>
        </w:rPr>
        <w:t>аэро</w:t>
      </w:r>
      <w:proofErr w:type="spellEnd"/>
      <w:r w:rsidRPr="00A259BD">
        <w:rPr>
          <w:rFonts w:ascii="Times New Roman" w:hAnsi="Times New Roman"/>
          <w:color w:val="000000" w:themeColor="text1"/>
          <w:sz w:val="16"/>
          <w:szCs w:val="16"/>
        </w:rPr>
        <w:t>- бомб, при условии получения одновременно заказов на винтовки, патроны и артиллерию.</w:t>
      </w:r>
    </w:p>
    <w:p w14:paraId="58AF8369" w14:textId="77777777" w:rsidR="00890A9C" w:rsidRPr="00A259BD" w:rsidRDefault="00890A9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Выписки посланы: т. </w:t>
      </w:r>
      <w:proofErr w:type="spellStart"/>
      <w:r w:rsidRPr="00A259BD">
        <w:rPr>
          <w:rFonts w:ascii="Times New Roman" w:hAnsi="Times New Roman"/>
          <w:color w:val="000000" w:themeColor="text1"/>
          <w:sz w:val="16"/>
          <w:szCs w:val="16"/>
        </w:rPr>
        <w:t>Хинчуку</w:t>
      </w:r>
      <w:proofErr w:type="spellEnd"/>
      <w:r w:rsidRPr="00A259BD">
        <w:rPr>
          <w:rFonts w:ascii="Times New Roman" w:hAnsi="Times New Roman"/>
          <w:color w:val="000000" w:themeColor="text1"/>
          <w:sz w:val="16"/>
          <w:szCs w:val="16"/>
        </w:rPr>
        <w:t xml:space="preserve">; т. Урываеву; т. </w:t>
      </w:r>
      <w:proofErr w:type="spellStart"/>
      <w:r w:rsidRPr="00A259BD">
        <w:rPr>
          <w:rFonts w:ascii="Times New Roman" w:hAnsi="Times New Roman"/>
          <w:color w:val="000000" w:themeColor="text1"/>
          <w:sz w:val="16"/>
          <w:szCs w:val="16"/>
        </w:rPr>
        <w:t>Уншлихту</w:t>
      </w:r>
      <w:proofErr w:type="spellEnd"/>
      <w:r w:rsidRPr="00A259BD">
        <w:rPr>
          <w:rFonts w:ascii="Times New Roman" w:hAnsi="Times New Roman"/>
          <w:color w:val="000000" w:themeColor="text1"/>
          <w:sz w:val="16"/>
          <w:szCs w:val="16"/>
        </w:rPr>
        <w:t>; т. Карахану (23084).</w:t>
      </w:r>
    </w:p>
    <w:p w14:paraId="60514A21" w14:textId="77777777" w:rsidR="00890A9C" w:rsidRPr="00A259BD" w:rsidRDefault="00890A9C" w:rsidP="009236E3">
      <w:pPr>
        <w:spacing w:after="0" w:line="240" w:lineRule="auto"/>
        <w:jc w:val="both"/>
        <w:rPr>
          <w:rFonts w:ascii="Times New Roman" w:hAnsi="Times New Roman"/>
          <w:color w:val="000000" w:themeColor="text1"/>
          <w:sz w:val="16"/>
          <w:szCs w:val="16"/>
        </w:rPr>
      </w:pPr>
    </w:p>
    <w:p w14:paraId="6D97DE9E"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644367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1E9DF1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сентября 1929 премьер Франции А. </w:t>
      </w:r>
      <w:proofErr w:type="spellStart"/>
      <w:r w:rsidRPr="00A259BD">
        <w:rPr>
          <w:rFonts w:ascii="Times New Roman" w:hAnsi="Times New Roman"/>
          <w:color w:val="000000" w:themeColor="text1"/>
          <w:sz w:val="16"/>
          <w:szCs w:val="16"/>
        </w:rPr>
        <w:t>Бриан</w:t>
      </w:r>
      <w:proofErr w:type="spellEnd"/>
      <w:r w:rsidRPr="00A259BD">
        <w:rPr>
          <w:rFonts w:ascii="Times New Roman" w:hAnsi="Times New Roman"/>
          <w:color w:val="000000" w:themeColor="text1"/>
          <w:sz w:val="16"/>
          <w:szCs w:val="16"/>
        </w:rPr>
        <w:t xml:space="preserve"> предложил объединение европейских государств в одно (4962).</w:t>
      </w:r>
    </w:p>
    <w:p w14:paraId="741FBB2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5B02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сентября 1929 </w:t>
      </w:r>
      <w:proofErr w:type="spellStart"/>
      <w:r w:rsidRPr="00A259BD">
        <w:rPr>
          <w:rFonts w:ascii="Times New Roman" w:hAnsi="Times New Roman"/>
          <w:color w:val="000000" w:themeColor="text1"/>
          <w:sz w:val="16"/>
          <w:szCs w:val="16"/>
        </w:rPr>
        <w:t>А.Бриан</w:t>
      </w:r>
      <w:proofErr w:type="spellEnd"/>
      <w:r w:rsidRPr="00A259BD">
        <w:rPr>
          <w:rFonts w:ascii="Times New Roman" w:hAnsi="Times New Roman"/>
          <w:color w:val="000000" w:themeColor="text1"/>
          <w:sz w:val="16"/>
          <w:szCs w:val="16"/>
        </w:rPr>
        <w:t xml:space="preserve"> предложил создать Европейский федеральный союз (3481).</w:t>
      </w:r>
    </w:p>
    <w:p w14:paraId="3E774D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DE86A8" w14:textId="77777777" w:rsidR="00D74AD9" w:rsidRPr="00A259BD" w:rsidRDefault="00D74AD9"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 xml:space="preserve">5 сентября </w:t>
      </w:r>
      <w:r w:rsidRPr="00A259BD">
        <w:rPr>
          <w:rFonts w:ascii="Times New Roman" w:hAnsi="Times New Roman"/>
          <w:color w:val="000000" w:themeColor="text1"/>
          <w:sz w:val="16"/>
          <w:szCs w:val="16"/>
        </w:rPr>
        <w:t>в 1929 году в США в разгар "сухого закона" начинает быстро расти количество "безалкогольных" баров, где нелегально торгуют спиртными напитками (14760).</w:t>
      </w:r>
    </w:p>
    <w:p w14:paraId="50E0958D" w14:textId="77777777" w:rsidR="00D74AD9" w:rsidRPr="00A259BD" w:rsidRDefault="00D74AD9" w:rsidP="009236E3">
      <w:pPr>
        <w:spacing w:after="0" w:line="240" w:lineRule="auto"/>
        <w:jc w:val="both"/>
        <w:rPr>
          <w:rFonts w:ascii="Times New Roman" w:hAnsi="Times New Roman"/>
          <w:color w:val="000000" w:themeColor="text1"/>
          <w:sz w:val="16"/>
          <w:szCs w:val="16"/>
        </w:rPr>
      </w:pPr>
    </w:p>
    <w:p w14:paraId="52D616B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A3363A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837F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сентября 1929 Отд. </w:t>
      </w:r>
      <w:proofErr w:type="spellStart"/>
      <w:r w:rsidRPr="00A259BD">
        <w:rPr>
          <w:rFonts w:ascii="Times New Roman" w:hAnsi="Times New Roman"/>
          <w:color w:val="000000" w:themeColor="text1"/>
          <w:sz w:val="16"/>
          <w:szCs w:val="16"/>
        </w:rPr>
        <w:t>Научн</w:t>
      </w:r>
      <w:proofErr w:type="spellEnd"/>
      <w:r w:rsidRPr="00A259BD">
        <w:rPr>
          <w:rFonts w:ascii="Times New Roman" w:hAnsi="Times New Roman"/>
          <w:color w:val="000000" w:themeColor="text1"/>
          <w:sz w:val="16"/>
          <w:szCs w:val="16"/>
        </w:rPr>
        <w:t xml:space="preserve">. учреждений при УД СНК и СТО писал </w:t>
      </w:r>
      <w:proofErr w:type="spellStart"/>
      <w:r w:rsidRPr="00A259BD">
        <w:rPr>
          <w:rFonts w:ascii="Times New Roman" w:hAnsi="Times New Roman"/>
          <w:color w:val="000000" w:themeColor="text1"/>
          <w:sz w:val="16"/>
          <w:szCs w:val="16"/>
        </w:rPr>
        <w:t>Бекаури</w:t>
      </w:r>
      <w:proofErr w:type="spellEnd"/>
      <w:r w:rsidRPr="00A259BD">
        <w:rPr>
          <w:rFonts w:ascii="Times New Roman" w:hAnsi="Times New Roman"/>
          <w:color w:val="000000" w:themeColor="text1"/>
          <w:sz w:val="16"/>
          <w:szCs w:val="16"/>
        </w:rPr>
        <w:t xml:space="preserve"> в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(копия в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Северову-Одоевскому) письмо N 12221:</w:t>
      </w:r>
    </w:p>
    <w:p w14:paraId="6FBF06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"Прилагаю при сем копию отношения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N 182/5114 по вопросу привлечения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к работе по минному вооружению ТОМ, просьба срочно прислать свои соображения по этому вопросу.</w:t>
      </w:r>
    </w:p>
    <w:p w14:paraId="0E56FA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не мог быть разрешен раньше за нахождением т. Горбунова в отпуске. Требуется Ваш срочный ответ по данному вопросу." (2363,325).</w:t>
      </w:r>
    </w:p>
    <w:p w14:paraId="39DBD1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1060752" w14:textId="77777777" w:rsidR="004B4828" w:rsidRPr="00A259BD" w:rsidRDefault="004B4828" w:rsidP="009236E3">
      <w:pPr>
        <w:pStyle w:val="83"/>
        <w:shd w:val="clear" w:color="auto" w:fill="auto"/>
        <w:spacing w:after="0" w:line="240" w:lineRule="auto"/>
        <w:ind w:firstLine="0"/>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6 сентября 1929 г. судьбу самолета МУ-2 решали на заседании технического совета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Присутствовали Поли</w:t>
      </w:r>
      <w:r w:rsidRPr="00A259BD">
        <w:rPr>
          <w:rFonts w:ascii="Times New Roman" w:hAnsi="Times New Roman"/>
          <w:color w:val="000000" w:themeColor="text1"/>
          <w:sz w:val="16"/>
          <w:szCs w:val="16"/>
        </w:rPr>
        <w:softHyphen/>
        <w:t xml:space="preserve">карпов, Ришар, Артамонов, </w:t>
      </w:r>
      <w:proofErr w:type="spellStart"/>
      <w:r w:rsidRPr="00A259BD">
        <w:rPr>
          <w:rFonts w:ascii="Times New Roman" w:hAnsi="Times New Roman"/>
          <w:color w:val="000000" w:themeColor="text1"/>
          <w:sz w:val="16"/>
          <w:szCs w:val="16"/>
        </w:rPr>
        <w:t>Журав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ченко</w:t>
      </w:r>
      <w:proofErr w:type="spellEnd"/>
      <w:r w:rsidRPr="00A259BD">
        <w:rPr>
          <w:rFonts w:ascii="Times New Roman" w:hAnsi="Times New Roman"/>
          <w:color w:val="000000" w:themeColor="text1"/>
          <w:sz w:val="16"/>
          <w:szCs w:val="16"/>
        </w:rPr>
        <w:t>, Самсонов, Четвериков. Со</w:t>
      </w:r>
      <w:r w:rsidRPr="00A259BD">
        <w:rPr>
          <w:rFonts w:ascii="Times New Roman" w:hAnsi="Times New Roman"/>
          <w:color w:val="000000" w:themeColor="text1"/>
          <w:sz w:val="16"/>
          <w:szCs w:val="16"/>
        </w:rPr>
        <w:softHyphen/>
        <w:t xml:space="preserve">общалось, что МУ-2 находится в Таганроге, где летчик </w:t>
      </w:r>
      <w:proofErr w:type="spellStart"/>
      <w:r w:rsidRPr="00A259BD">
        <w:rPr>
          <w:rFonts w:ascii="Times New Roman" w:hAnsi="Times New Roman"/>
          <w:color w:val="000000" w:themeColor="text1"/>
          <w:sz w:val="16"/>
          <w:szCs w:val="16"/>
        </w:rPr>
        <w:t>Рыбальчук</w:t>
      </w:r>
      <w:proofErr w:type="spellEnd"/>
      <w:r w:rsidRPr="00A259BD">
        <w:rPr>
          <w:rFonts w:ascii="Times New Roman" w:hAnsi="Times New Roman"/>
          <w:color w:val="000000" w:themeColor="text1"/>
          <w:sz w:val="16"/>
          <w:szCs w:val="16"/>
        </w:rPr>
        <w:t xml:space="preserve"> вы</w:t>
      </w:r>
      <w:r w:rsidRPr="00A259BD">
        <w:rPr>
          <w:rFonts w:ascii="Times New Roman" w:hAnsi="Times New Roman"/>
          <w:color w:val="000000" w:themeColor="text1"/>
          <w:sz w:val="16"/>
          <w:szCs w:val="16"/>
        </w:rPr>
        <w:softHyphen/>
        <w:t>полнил на нем первый полет. Он отметил, что кабина пилотов тес</w:t>
      </w:r>
      <w:r w:rsidRPr="00A259BD">
        <w:rPr>
          <w:rFonts w:ascii="Times New Roman" w:hAnsi="Times New Roman"/>
          <w:color w:val="000000" w:themeColor="text1"/>
          <w:sz w:val="16"/>
          <w:szCs w:val="16"/>
        </w:rPr>
        <w:softHyphen/>
        <w:t>ная, одновременно вырез кабины очень большой (это наглядно де</w:t>
      </w:r>
      <w:r w:rsidRPr="00A259BD">
        <w:rPr>
          <w:rFonts w:ascii="Times New Roman" w:hAnsi="Times New Roman"/>
          <w:color w:val="000000" w:themeColor="text1"/>
          <w:sz w:val="16"/>
          <w:szCs w:val="16"/>
        </w:rPr>
        <w:softHyphen/>
        <w:t>монстрируют представленные фотографии). Летные качества са</w:t>
      </w:r>
      <w:r w:rsidRPr="00A259BD">
        <w:rPr>
          <w:rFonts w:ascii="Times New Roman" w:hAnsi="Times New Roman"/>
          <w:color w:val="000000" w:themeColor="text1"/>
          <w:sz w:val="16"/>
          <w:szCs w:val="16"/>
        </w:rPr>
        <w:softHyphen/>
        <w:t xml:space="preserve">молета </w:t>
      </w:r>
      <w:proofErr w:type="spellStart"/>
      <w:r w:rsidRPr="00A259BD">
        <w:rPr>
          <w:rFonts w:ascii="Times New Roman" w:hAnsi="Times New Roman"/>
          <w:color w:val="000000" w:themeColor="text1"/>
          <w:sz w:val="16"/>
          <w:szCs w:val="16"/>
        </w:rPr>
        <w:t>Рыбальчук</w:t>
      </w:r>
      <w:proofErr w:type="spellEnd"/>
      <w:r w:rsidRPr="00A259BD">
        <w:rPr>
          <w:rFonts w:ascii="Times New Roman" w:hAnsi="Times New Roman"/>
          <w:color w:val="000000" w:themeColor="text1"/>
          <w:sz w:val="16"/>
          <w:szCs w:val="16"/>
        </w:rPr>
        <w:t xml:space="preserve"> оценил как не</w:t>
      </w:r>
      <w:r w:rsidRPr="00A259BD">
        <w:rPr>
          <w:rFonts w:ascii="Times New Roman" w:hAnsi="Times New Roman"/>
          <w:color w:val="000000" w:themeColor="text1"/>
          <w:sz w:val="16"/>
          <w:szCs w:val="16"/>
        </w:rPr>
        <w:softHyphen/>
        <w:t>высокие. Он утверждал, что нет га</w:t>
      </w:r>
      <w:r w:rsidRPr="00A259BD">
        <w:rPr>
          <w:rFonts w:ascii="Times New Roman" w:hAnsi="Times New Roman"/>
          <w:color w:val="000000" w:themeColor="text1"/>
          <w:sz w:val="16"/>
          <w:szCs w:val="16"/>
        </w:rPr>
        <w:softHyphen/>
        <w:t>рантии выхода из штопора. Кроме того, лодка имела длинный разбег и тяжелый взлет. Скороподъемность тоже оказалась скромная — на практический потолок 3500 м учеб</w:t>
      </w:r>
      <w:r w:rsidRPr="00A259BD">
        <w:rPr>
          <w:rFonts w:ascii="Times New Roman" w:hAnsi="Times New Roman"/>
          <w:color w:val="000000" w:themeColor="text1"/>
          <w:sz w:val="16"/>
          <w:szCs w:val="16"/>
        </w:rPr>
        <w:softHyphen/>
        <w:t>ная лодка забиралась за 85 мин. Одновременно указывалось, что центровка МУ-2 такая же, как у итальянской летающей лодки Савойя С-16 — 38% САХ. Далее предлагалось произвести аэроди</w:t>
      </w:r>
      <w:r w:rsidRPr="00A259BD">
        <w:rPr>
          <w:rFonts w:ascii="Times New Roman" w:hAnsi="Times New Roman"/>
          <w:color w:val="000000" w:themeColor="text1"/>
          <w:sz w:val="16"/>
          <w:szCs w:val="16"/>
        </w:rPr>
        <w:softHyphen/>
        <w:t>намические продувки модели в ЦАГИ, а затем продолжить дора</w:t>
      </w:r>
      <w:r w:rsidRPr="00A259BD">
        <w:rPr>
          <w:rFonts w:ascii="Times New Roman" w:hAnsi="Times New Roman"/>
          <w:color w:val="000000" w:themeColor="text1"/>
          <w:sz w:val="16"/>
          <w:szCs w:val="16"/>
        </w:rPr>
        <w:softHyphen/>
        <w:t>ботки самолета.</w:t>
      </w:r>
    </w:p>
    <w:p w14:paraId="1F53BBF8" w14:textId="77777777" w:rsidR="004B4828" w:rsidRPr="00A259BD" w:rsidRDefault="004B4828" w:rsidP="009236E3">
      <w:pPr>
        <w:pStyle w:val="83"/>
        <w:shd w:val="clear" w:color="auto" w:fill="auto"/>
        <w:spacing w:after="0" w:line="240" w:lineRule="auto"/>
        <w:ind w:firstLine="0"/>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практике совершенствовани</w:t>
      </w:r>
      <w:r w:rsidRPr="00A259BD">
        <w:rPr>
          <w:rFonts w:ascii="Times New Roman" w:hAnsi="Times New Roman"/>
          <w:color w:val="000000" w:themeColor="text1"/>
          <w:sz w:val="16"/>
          <w:szCs w:val="16"/>
        </w:rPr>
        <w:softHyphen/>
        <w:t>ем учебной лодки МУ-2 более не занимались. Чуть позднее на ее ос</w:t>
      </w:r>
      <w:r w:rsidRPr="00A259BD">
        <w:rPr>
          <w:rFonts w:ascii="Times New Roman" w:hAnsi="Times New Roman"/>
          <w:color w:val="000000" w:themeColor="text1"/>
          <w:sz w:val="16"/>
          <w:szCs w:val="16"/>
        </w:rPr>
        <w:softHyphen/>
        <w:t>нове конструктор авиазавода №23</w:t>
      </w:r>
    </w:p>
    <w:p w14:paraId="6A5ED123" w14:textId="77777777" w:rsidR="004B4828" w:rsidRPr="00A259BD" w:rsidRDefault="004B4828" w:rsidP="009236E3">
      <w:pPr>
        <w:pStyle w:val="83"/>
        <w:shd w:val="clear" w:color="auto" w:fill="auto"/>
        <w:spacing w:after="0" w:line="240" w:lineRule="auto"/>
        <w:ind w:firstLine="0"/>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А.С.Москалев</w:t>
      </w:r>
      <w:proofErr w:type="spellEnd"/>
      <w:r w:rsidRPr="00A259BD">
        <w:rPr>
          <w:rFonts w:ascii="Times New Roman" w:hAnsi="Times New Roman"/>
          <w:color w:val="000000" w:themeColor="text1"/>
          <w:sz w:val="16"/>
          <w:szCs w:val="16"/>
        </w:rPr>
        <w:t xml:space="preserve"> подготовил свой про</w:t>
      </w:r>
      <w:r w:rsidRPr="00A259BD">
        <w:rPr>
          <w:rFonts w:ascii="Times New Roman" w:hAnsi="Times New Roman"/>
          <w:color w:val="000000" w:themeColor="text1"/>
          <w:sz w:val="16"/>
          <w:szCs w:val="16"/>
        </w:rPr>
        <w:softHyphen/>
        <w:t>ект учебной летающей лодки (с де</w:t>
      </w:r>
      <w:r w:rsidRPr="00A259BD">
        <w:rPr>
          <w:rFonts w:ascii="Times New Roman" w:hAnsi="Times New Roman"/>
          <w:color w:val="000000" w:themeColor="text1"/>
          <w:sz w:val="16"/>
          <w:szCs w:val="16"/>
        </w:rPr>
        <w:softHyphen/>
        <w:t>ревянным фюзеляжем), получившей обозначение МУ-3. Ее построили в начале 1931 г., а затем вполне ус</w:t>
      </w:r>
      <w:r w:rsidRPr="00A259BD">
        <w:rPr>
          <w:rFonts w:ascii="Times New Roman" w:hAnsi="Times New Roman"/>
          <w:color w:val="000000" w:themeColor="text1"/>
          <w:sz w:val="16"/>
          <w:szCs w:val="16"/>
        </w:rPr>
        <w:softHyphen/>
        <w:t>пешно испытали. Впрочем, в серию пошел совершенно другой самолет с двигателем М-11 — многоцелевая амфибия В.Б. Шаврова Ш-2, кото</w:t>
      </w:r>
      <w:r w:rsidRPr="00A259BD">
        <w:rPr>
          <w:rFonts w:ascii="Times New Roman" w:hAnsi="Times New Roman"/>
          <w:color w:val="000000" w:themeColor="text1"/>
          <w:sz w:val="16"/>
          <w:szCs w:val="16"/>
        </w:rPr>
        <w:softHyphen/>
        <w:t>рая широко использовалась также и для обучения морских летчиков (12119).</w:t>
      </w:r>
    </w:p>
    <w:p w14:paraId="528A26D2" w14:textId="77777777" w:rsidR="004B4828" w:rsidRPr="00A259BD" w:rsidRDefault="004B4828" w:rsidP="009236E3">
      <w:pPr>
        <w:spacing w:after="0" w:line="240" w:lineRule="auto"/>
        <w:jc w:val="both"/>
        <w:rPr>
          <w:rFonts w:ascii="Times New Roman" w:hAnsi="Times New Roman"/>
          <w:color w:val="000000" w:themeColor="text1"/>
          <w:sz w:val="16"/>
          <w:szCs w:val="16"/>
        </w:rPr>
      </w:pPr>
    </w:p>
    <w:p w14:paraId="190030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сентября 1929 W-33 Бремен </w:t>
      </w:r>
      <w:proofErr w:type="spellStart"/>
      <w:r w:rsidRPr="00A259BD">
        <w:rPr>
          <w:rFonts w:ascii="Times New Roman" w:hAnsi="Times New Roman"/>
          <w:color w:val="000000" w:themeColor="text1"/>
          <w:sz w:val="16"/>
          <w:szCs w:val="16"/>
        </w:rPr>
        <w:t>О.А.Кальвица</w:t>
      </w:r>
      <w:proofErr w:type="spellEnd"/>
      <w:r w:rsidRPr="00A259BD">
        <w:rPr>
          <w:rFonts w:ascii="Times New Roman" w:hAnsi="Times New Roman"/>
          <w:color w:val="000000" w:themeColor="text1"/>
          <w:sz w:val="16"/>
          <w:szCs w:val="16"/>
        </w:rPr>
        <w:t xml:space="preserve"> был погружен на баржу и отправлен вверх по Лене (99,152).</w:t>
      </w:r>
    </w:p>
    <w:p w14:paraId="375E66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9B61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сентября 1929 </w:t>
      </w:r>
      <w:proofErr w:type="spellStart"/>
      <w:r w:rsidRPr="00A259BD">
        <w:rPr>
          <w:rFonts w:ascii="Times New Roman" w:hAnsi="Times New Roman"/>
          <w:color w:val="000000" w:themeColor="text1"/>
          <w:sz w:val="16"/>
          <w:szCs w:val="16"/>
        </w:rPr>
        <w:t>А.И.Филин</w:t>
      </w:r>
      <w:proofErr w:type="spellEnd"/>
      <w:r w:rsidRPr="00A259BD">
        <w:rPr>
          <w:rFonts w:ascii="Times New Roman" w:hAnsi="Times New Roman"/>
          <w:color w:val="000000" w:themeColor="text1"/>
          <w:sz w:val="16"/>
          <w:szCs w:val="16"/>
        </w:rPr>
        <w:t xml:space="preserve"> на АИР-3 Пионерская Правда выполнил перелет Минеральные Воды - Москва (271,118) 1700 км за 10 час. 23 мин. вместе с </w:t>
      </w:r>
      <w:proofErr w:type="spellStart"/>
      <w:r w:rsidRPr="00A259BD">
        <w:rPr>
          <w:rFonts w:ascii="Times New Roman" w:hAnsi="Times New Roman"/>
          <w:color w:val="000000" w:themeColor="text1"/>
          <w:sz w:val="16"/>
          <w:szCs w:val="16"/>
        </w:rPr>
        <w:t>А.Ф.Ковальковым</w:t>
      </w:r>
      <w:proofErr w:type="spellEnd"/>
      <w:r w:rsidRPr="00A259BD">
        <w:rPr>
          <w:rFonts w:ascii="Times New Roman" w:hAnsi="Times New Roman"/>
          <w:color w:val="000000" w:themeColor="text1"/>
          <w:sz w:val="16"/>
          <w:szCs w:val="16"/>
        </w:rPr>
        <w:t xml:space="preserve"> (172,137).</w:t>
      </w:r>
    </w:p>
    <w:p w14:paraId="52F481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B7E36A" w14:textId="77777777" w:rsidR="001C4502" w:rsidRPr="006B74EB" w:rsidRDefault="001C4502" w:rsidP="001C4502">
      <w:pPr>
        <w:spacing w:after="0" w:line="240" w:lineRule="auto"/>
        <w:jc w:val="both"/>
        <w:rPr>
          <w:rFonts w:ascii="Times New Roman" w:hAnsi="Times New Roman"/>
          <w:color w:val="0070C0"/>
          <w:sz w:val="16"/>
          <w:szCs w:val="16"/>
        </w:rPr>
      </w:pPr>
      <w:r>
        <w:rPr>
          <w:rFonts w:ascii="Times New Roman" w:hAnsi="Times New Roman"/>
          <w:color w:val="0070C0"/>
          <w:sz w:val="16"/>
          <w:szCs w:val="16"/>
        </w:rPr>
        <w:t>6 сен</w:t>
      </w:r>
      <w:r w:rsidRPr="006B74EB">
        <w:rPr>
          <w:rFonts w:ascii="Times New Roman" w:hAnsi="Times New Roman"/>
          <w:color w:val="0070C0"/>
          <w:sz w:val="16"/>
          <w:szCs w:val="16"/>
        </w:rPr>
        <w:t>т</w:t>
      </w:r>
      <w:r>
        <w:rPr>
          <w:rFonts w:ascii="Times New Roman" w:hAnsi="Times New Roman"/>
          <w:color w:val="0070C0"/>
          <w:sz w:val="16"/>
          <w:szCs w:val="16"/>
        </w:rPr>
        <w:t>я</w:t>
      </w:r>
      <w:r w:rsidRPr="006B74EB">
        <w:rPr>
          <w:rFonts w:ascii="Times New Roman" w:hAnsi="Times New Roman"/>
          <w:color w:val="0070C0"/>
          <w:sz w:val="16"/>
          <w:szCs w:val="16"/>
        </w:rPr>
        <w:t xml:space="preserve">бря </w:t>
      </w:r>
      <w:r>
        <w:rPr>
          <w:rFonts w:ascii="Times New Roman" w:hAnsi="Times New Roman"/>
          <w:color w:val="0070C0"/>
          <w:sz w:val="16"/>
          <w:szCs w:val="16"/>
        </w:rPr>
        <w:t>1929 г</w:t>
      </w:r>
      <w:r w:rsidRPr="006B74EB">
        <w:rPr>
          <w:rFonts w:ascii="Times New Roman" w:hAnsi="Times New Roman"/>
          <w:color w:val="0070C0"/>
          <w:sz w:val="16"/>
          <w:szCs w:val="16"/>
        </w:rPr>
        <w:t>.</w:t>
      </w:r>
      <w:r>
        <w:rPr>
          <w:rFonts w:ascii="Times New Roman" w:hAnsi="Times New Roman"/>
          <w:color w:val="0070C0"/>
          <w:sz w:val="16"/>
          <w:szCs w:val="16"/>
        </w:rPr>
        <w:t xml:space="preserve"> с</w:t>
      </w:r>
      <w:r w:rsidRPr="006B74EB">
        <w:rPr>
          <w:rFonts w:ascii="Times New Roman" w:hAnsi="Times New Roman"/>
          <w:color w:val="0070C0"/>
          <w:sz w:val="16"/>
          <w:szCs w:val="16"/>
        </w:rPr>
        <w:t xml:space="preserve">лушатель ВВА Александр </w:t>
      </w:r>
      <w:r>
        <w:rPr>
          <w:rFonts w:ascii="Times New Roman" w:hAnsi="Times New Roman"/>
          <w:color w:val="0070C0"/>
          <w:sz w:val="16"/>
          <w:szCs w:val="16"/>
        </w:rPr>
        <w:t>Иванович Ф</w:t>
      </w:r>
      <w:r w:rsidRPr="006B74EB">
        <w:rPr>
          <w:rFonts w:ascii="Times New Roman" w:hAnsi="Times New Roman"/>
          <w:color w:val="0070C0"/>
          <w:sz w:val="16"/>
          <w:szCs w:val="16"/>
        </w:rPr>
        <w:t xml:space="preserve">илин </w:t>
      </w:r>
      <w:r>
        <w:rPr>
          <w:rFonts w:ascii="Times New Roman" w:hAnsi="Times New Roman"/>
          <w:color w:val="0070C0"/>
          <w:sz w:val="16"/>
          <w:szCs w:val="16"/>
        </w:rPr>
        <w:t>с</w:t>
      </w:r>
      <w:r w:rsidRPr="006B74EB">
        <w:rPr>
          <w:rFonts w:ascii="Times New Roman" w:hAnsi="Times New Roman"/>
          <w:color w:val="0070C0"/>
          <w:sz w:val="16"/>
          <w:szCs w:val="16"/>
        </w:rPr>
        <w:t xml:space="preserve"> летнабом</w:t>
      </w:r>
      <w:r>
        <w:rPr>
          <w:rFonts w:ascii="Times New Roman" w:hAnsi="Times New Roman"/>
          <w:color w:val="0070C0"/>
          <w:sz w:val="16"/>
          <w:szCs w:val="16"/>
        </w:rPr>
        <w:t xml:space="preserve"> </w:t>
      </w:r>
      <w:proofErr w:type="spellStart"/>
      <w:r>
        <w:rPr>
          <w:rFonts w:ascii="Times New Roman" w:hAnsi="Times New Roman"/>
          <w:color w:val="0070C0"/>
          <w:sz w:val="16"/>
          <w:szCs w:val="16"/>
        </w:rPr>
        <w:t>А.Ф.Ко</w:t>
      </w:r>
      <w:r w:rsidRPr="006B74EB">
        <w:rPr>
          <w:rFonts w:ascii="Times New Roman" w:hAnsi="Times New Roman"/>
          <w:color w:val="0070C0"/>
          <w:sz w:val="16"/>
          <w:szCs w:val="16"/>
        </w:rPr>
        <w:t>валько</w:t>
      </w:r>
      <w:r>
        <w:rPr>
          <w:rFonts w:ascii="Times New Roman" w:hAnsi="Times New Roman"/>
          <w:color w:val="0070C0"/>
          <w:sz w:val="16"/>
          <w:szCs w:val="16"/>
        </w:rPr>
        <w:t>вым</w:t>
      </w:r>
      <w:proofErr w:type="spellEnd"/>
      <w:r w:rsidRPr="006B74EB">
        <w:rPr>
          <w:rFonts w:ascii="Times New Roman" w:hAnsi="Times New Roman"/>
          <w:color w:val="0070C0"/>
          <w:sz w:val="16"/>
          <w:szCs w:val="16"/>
        </w:rPr>
        <w:t xml:space="preserve"> на спортивном самолете Я-3 "</w:t>
      </w:r>
      <w:r>
        <w:rPr>
          <w:rFonts w:ascii="Times New Roman" w:hAnsi="Times New Roman"/>
          <w:color w:val="0070C0"/>
          <w:sz w:val="16"/>
          <w:szCs w:val="16"/>
        </w:rPr>
        <w:t>П</w:t>
      </w:r>
      <w:r w:rsidRPr="006B74EB">
        <w:rPr>
          <w:rFonts w:ascii="Times New Roman" w:hAnsi="Times New Roman"/>
          <w:color w:val="0070C0"/>
          <w:sz w:val="16"/>
          <w:szCs w:val="16"/>
        </w:rPr>
        <w:t>и</w:t>
      </w:r>
      <w:r>
        <w:rPr>
          <w:rFonts w:ascii="Times New Roman" w:hAnsi="Times New Roman"/>
          <w:color w:val="0070C0"/>
          <w:sz w:val="16"/>
          <w:szCs w:val="16"/>
        </w:rPr>
        <w:t>онерс</w:t>
      </w:r>
      <w:r w:rsidRPr="006B74EB">
        <w:rPr>
          <w:rFonts w:ascii="Times New Roman" w:hAnsi="Times New Roman"/>
          <w:color w:val="0070C0"/>
          <w:sz w:val="16"/>
          <w:szCs w:val="16"/>
        </w:rPr>
        <w:t>ка</w:t>
      </w:r>
      <w:r>
        <w:rPr>
          <w:rFonts w:ascii="Times New Roman" w:hAnsi="Times New Roman"/>
          <w:color w:val="0070C0"/>
          <w:sz w:val="16"/>
          <w:szCs w:val="16"/>
        </w:rPr>
        <w:t>я</w:t>
      </w:r>
      <w:r w:rsidRPr="006B74EB">
        <w:rPr>
          <w:rFonts w:ascii="Times New Roman" w:hAnsi="Times New Roman"/>
          <w:color w:val="0070C0"/>
          <w:sz w:val="16"/>
          <w:szCs w:val="16"/>
        </w:rPr>
        <w:t xml:space="preserve"> правда" </w:t>
      </w:r>
      <w:r>
        <w:rPr>
          <w:rFonts w:ascii="Times New Roman" w:hAnsi="Times New Roman"/>
          <w:color w:val="0070C0"/>
          <w:sz w:val="16"/>
          <w:szCs w:val="16"/>
        </w:rPr>
        <w:t>конструкции</w:t>
      </w:r>
      <w:r w:rsidRPr="006B74EB">
        <w:rPr>
          <w:rFonts w:ascii="Times New Roman" w:hAnsi="Times New Roman"/>
          <w:color w:val="0070C0"/>
          <w:sz w:val="16"/>
          <w:szCs w:val="16"/>
        </w:rPr>
        <w:t xml:space="preserve"> А. С. Яковлева совер</w:t>
      </w:r>
      <w:r>
        <w:rPr>
          <w:rFonts w:ascii="Times New Roman" w:hAnsi="Times New Roman"/>
          <w:color w:val="0070C0"/>
          <w:sz w:val="16"/>
          <w:szCs w:val="16"/>
        </w:rPr>
        <w:t>шили</w:t>
      </w:r>
      <w:r w:rsidRPr="006B74EB">
        <w:rPr>
          <w:rFonts w:ascii="Times New Roman" w:hAnsi="Times New Roman"/>
          <w:color w:val="0070C0"/>
          <w:sz w:val="16"/>
          <w:szCs w:val="16"/>
        </w:rPr>
        <w:t xml:space="preserve"> беспосадочный перелет из </w:t>
      </w:r>
      <w:r>
        <w:rPr>
          <w:rFonts w:ascii="Times New Roman" w:hAnsi="Times New Roman"/>
          <w:color w:val="0070C0"/>
          <w:sz w:val="16"/>
          <w:szCs w:val="16"/>
        </w:rPr>
        <w:t>М</w:t>
      </w:r>
      <w:r w:rsidRPr="006B74EB">
        <w:rPr>
          <w:rFonts w:ascii="Times New Roman" w:hAnsi="Times New Roman"/>
          <w:color w:val="0070C0"/>
          <w:sz w:val="16"/>
          <w:szCs w:val="16"/>
        </w:rPr>
        <w:t>ине</w:t>
      </w:r>
      <w:r>
        <w:rPr>
          <w:rFonts w:ascii="Times New Roman" w:hAnsi="Times New Roman"/>
          <w:color w:val="0070C0"/>
          <w:sz w:val="16"/>
          <w:szCs w:val="16"/>
        </w:rPr>
        <w:t xml:space="preserve">ральных </w:t>
      </w:r>
      <w:r w:rsidRPr="006B74EB">
        <w:rPr>
          <w:rFonts w:ascii="Times New Roman" w:hAnsi="Times New Roman"/>
          <w:color w:val="0070C0"/>
          <w:sz w:val="16"/>
          <w:szCs w:val="16"/>
        </w:rPr>
        <w:t>Вод в Москву,</w:t>
      </w:r>
      <w:r>
        <w:rPr>
          <w:rFonts w:ascii="Times New Roman" w:hAnsi="Times New Roman"/>
          <w:color w:val="0070C0"/>
          <w:sz w:val="16"/>
          <w:szCs w:val="16"/>
        </w:rPr>
        <w:t xml:space="preserve"> </w:t>
      </w:r>
      <w:r w:rsidRPr="006B74EB">
        <w:rPr>
          <w:rFonts w:ascii="Times New Roman" w:hAnsi="Times New Roman"/>
          <w:color w:val="0070C0"/>
          <w:sz w:val="16"/>
          <w:szCs w:val="16"/>
        </w:rPr>
        <w:t>покрыв расстояние 1700 км по прямой со сред</w:t>
      </w:r>
      <w:r>
        <w:rPr>
          <w:rFonts w:ascii="Times New Roman" w:hAnsi="Times New Roman"/>
          <w:color w:val="0070C0"/>
          <w:sz w:val="16"/>
          <w:szCs w:val="16"/>
        </w:rPr>
        <w:t>ней ско</w:t>
      </w:r>
      <w:r w:rsidRPr="006B74EB">
        <w:rPr>
          <w:rFonts w:ascii="Times New Roman" w:hAnsi="Times New Roman"/>
          <w:color w:val="0070C0"/>
          <w:sz w:val="16"/>
          <w:szCs w:val="16"/>
        </w:rPr>
        <w:t>ро</w:t>
      </w:r>
      <w:r>
        <w:rPr>
          <w:rFonts w:ascii="Times New Roman" w:hAnsi="Times New Roman"/>
          <w:color w:val="0070C0"/>
          <w:sz w:val="16"/>
          <w:szCs w:val="16"/>
        </w:rPr>
        <w:t>с</w:t>
      </w:r>
      <w:r w:rsidRPr="006B74EB">
        <w:rPr>
          <w:rFonts w:ascii="Times New Roman" w:hAnsi="Times New Roman"/>
          <w:color w:val="0070C0"/>
          <w:sz w:val="16"/>
          <w:szCs w:val="16"/>
        </w:rPr>
        <w:t>тью 166,8 км/час</w:t>
      </w:r>
      <w:r>
        <w:rPr>
          <w:rFonts w:ascii="Times New Roman" w:hAnsi="Times New Roman"/>
          <w:color w:val="0070C0"/>
          <w:sz w:val="16"/>
          <w:szCs w:val="16"/>
        </w:rPr>
        <w:t>. К</w:t>
      </w:r>
      <w:r w:rsidRPr="006B74EB">
        <w:rPr>
          <w:rFonts w:ascii="Times New Roman" w:hAnsi="Times New Roman"/>
          <w:color w:val="0070C0"/>
          <w:sz w:val="16"/>
          <w:szCs w:val="16"/>
        </w:rPr>
        <w:t xml:space="preserve">ак по дальности, так и по скорости на </w:t>
      </w:r>
      <w:r>
        <w:rPr>
          <w:rFonts w:ascii="Times New Roman" w:hAnsi="Times New Roman"/>
          <w:color w:val="0070C0"/>
          <w:sz w:val="16"/>
          <w:szCs w:val="16"/>
        </w:rPr>
        <w:t>такой</w:t>
      </w:r>
      <w:r w:rsidRPr="006B74EB">
        <w:rPr>
          <w:rFonts w:ascii="Times New Roman" w:hAnsi="Times New Roman"/>
          <w:color w:val="0070C0"/>
          <w:sz w:val="16"/>
          <w:szCs w:val="16"/>
        </w:rPr>
        <w:t xml:space="preserve"> дистанции перелет был рекордным,</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превышавшим официальные </w:t>
      </w:r>
      <w:r>
        <w:rPr>
          <w:rFonts w:ascii="Times New Roman" w:hAnsi="Times New Roman"/>
          <w:color w:val="0070C0"/>
          <w:sz w:val="16"/>
          <w:szCs w:val="16"/>
        </w:rPr>
        <w:t>между</w:t>
      </w:r>
      <w:r w:rsidRPr="006B74EB">
        <w:rPr>
          <w:rFonts w:ascii="Times New Roman" w:hAnsi="Times New Roman"/>
          <w:color w:val="0070C0"/>
          <w:sz w:val="16"/>
          <w:szCs w:val="16"/>
        </w:rPr>
        <w:t>н</w:t>
      </w:r>
      <w:r>
        <w:rPr>
          <w:rFonts w:ascii="Times New Roman" w:hAnsi="Times New Roman"/>
          <w:color w:val="0070C0"/>
          <w:sz w:val="16"/>
          <w:szCs w:val="16"/>
        </w:rPr>
        <w:t>а</w:t>
      </w:r>
      <w:r w:rsidRPr="006B74EB">
        <w:rPr>
          <w:rFonts w:ascii="Times New Roman" w:hAnsi="Times New Roman"/>
          <w:color w:val="0070C0"/>
          <w:sz w:val="16"/>
          <w:szCs w:val="16"/>
        </w:rPr>
        <w:t>родные достижения.</w:t>
      </w:r>
    </w:p>
    <w:p w14:paraId="199C2CE8" w14:textId="77777777" w:rsidR="001C4502" w:rsidRDefault="001C4502" w:rsidP="001C4502">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/'Красная звезда" за 7</w:t>
      </w:r>
      <w:r>
        <w:rPr>
          <w:rFonts w:ascii="Times New Roman" w:hAnsi="Times New Roman"/>
          <w:color w:val="0070C0"/>
          <w:sz w:val="16"/>
          <w:szCs w:val="16"/>
        </w:rPr>
        <w:t xml:space="preserve"> сентября 1929 г./ (23370)</w:t>
      </w:r>
    </w:p>
    <w:p w14:paraId="17737A21" w14:textId="77777777" w:rsidR="001C4502" w:rsidRPr="006B74EB" w:rsidRDefault="001C4502" w:rsidP="001C4502">
      <w:pPr>
        <w:spacing w:after="0" w:line="240" w:lineRule="auto"/>
        <w:jc w:val="both"/>
        <w:rPr>
          <w:rFonts w:ascii="Times New Roman" w:hAnsi="Times New Roman"/>
          <w:color w:val="0070C0"/>
          <w:sz w:val="16"/>
          <w:szCs w:val="16"/>
        </w:rPr>
      </w:pPr>
    </w:p>
    <w:p w14:paraId="09176B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сентября 1929 начался обратный перелет, оказавшийся рекордным. В 4 часа 7 минут самолет покинул Минеральные воды, идя строго по компасному курсу на высоте 300-500 м. Ровно через 3 часа прошли над Ростовом, через 6 часов 50 минут - над Воронежем, через 9 часов 8 минут над Тулой и, в конце концов, через 10 часов 23 минуты, в 14 часов 30 минут опустились на Центральном московском аэродроме, преодолев 1750 км со средней скоростью около 170 км/ч.</w:t>
      </w:r>
    </w:p>
    <w:p w14:paraId="629437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Филин и Ковальков установили два мировых рекорда дальности полета и средней скорости для легких самолетов первой категории. По действовавшей тогда классификации Международной авиационной федерации (ФАИ) к этой категории относились двухместные </w:t>
      </w:r>
      <w:proofErr w:type="spellStart"/>
      <w:r w:rsidRPr="00A259BD">
        <w:rPr>
          <w:rFonts w:ascii="Times New Roman" w:hAnsi="Times New Roman"/>
          <w:color w:val="000000" w:themeColor="text1"/>
          <w:sz w:val="16"/>
          <w:szCs w:val="16"/>
        </w:rPr>
        <w:t>са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молеты</w:t>
      </w:r>
      <w:proofErr w:type="spellEnd"/>
      <w:r w:rsidRPr="00A259BD">
        <w:rPr>
          <w:rFonts w:ascii="Times New Roman" w:hAnsi="Times New Roman"/>
          <w:color w:val="000000" w:themeColor="text1"/>
          <w:sz w:val="16"/>
          <w:szCs w:val="16"/>
        </w:rPr>
        <w:t xml:space="preserve"> с весом пустого до 400 кг. Достигнутая дальность существенно превышала официальный рекорд 1305,5 км, установленный 16 октября 1928 года швейцарцами Гансом Виртом и Эрикой Науманн на моноплане Клемм-Даймлер (</w:t>
      </w:r>
      <w:proofErr w:type="spellStart"/>
      <w:r w:rsidRPr="00A259BD">
        <w:rPr>
          <w:rFonts w:ascii="Times New Roman" w:hAnsi="Times New Roman"/>
          <w:color w:val="000000" w:themeColor="text1"/>
          <w:sz w:val="16"/>
          <w:szCs w:val="16"/>
        </w:rPr>
        <w:t>Klemm</w:t>
      </w:r>
      <w:proofErr w:type="spellEnd"/>
      <w:r w:rsidRPr="00A259BD">
        <w:rPr>
          <w:rFonts w:ascii="Times New Roman" w:hAnsi="Times New Roman"/>
          <w:color w:val="000000" w:themeColor="text1"/>
          <w:sz w:val="16"/>
          <w:szCs w:val="16"/>
        </w:rPr>
        <w:t xml:space="preserve">-Daimler). Даже более простые рекорды дальности по замкнутому маршруту были в то время ниже: и действовавшая цифра 1500 км, достигнутая чехословацкими летчиками И. Германским и Ф. </w:t>
      </w:r>
      <w:proofErr w:type="spellStart"/>
      <w:r w:rsidRPr="00A259BD">
        <w:rPr>
          <w:rFonts w:ascii="Times New Roman" w:hAnsi="Times New Roman"/>
          <w:color w:val="000000" w:themeColor="text1"/>
          <w:sz w:val="16"/>
          <w:szCs w:val="16"/>
        </w:rPr>
        <w:t>Махачеком</w:t>
      </w:r>
      <w:proofErr w:type="spellEnd"/>
      <w:r w:rsidRPr="00A259BD">
        <w:rPr>
          <w:rFonts w:ascii="Times New Roman" w:hAnsi="Times New Roman"/>
          <w:color w:val="000000" w:themeColor="text1"/>
          <w:sz w:val="16"/>
          <w:szCs w:val="16"/>
        </w:rPr>
        <w:t xml:space="preserve"> 11 июля 1928 года на Авиа ВН-9 (</w:t>
      </w:r>
      <w:proofErr w:type="spellStart"/>
      <w:r w:rsidRPr="00A259BD">
        <w:rPr>
          <w:rFonts w:ascii="Times New Roman" w:hAnsi="Times New Roman"/>
          <w:color w:val="000000" w:themeColor="text1"/>
          <w:sz w:val="16"/>
          <w:szCs w:val="16"/>
        </w:rPr>
        <w:t>Avia</w:t>
      </w:r>
      <w:proofErr w:type="spellEnd"/>
      <w:r w:rsidRPr="00A259BD">
        <w:rPr>
          <w:rFonts w:ascii="Times New Roman" w:hAnsi="Times New Roman"/>
          <w:color w:val="000000" w:themeColor="text1"/>
          <w:sz w:val="16"/>
          <w:szCs w:val="16"/>
        </w:rPr>
        <w:t xml:space="preserve"> ВН-9) с таким же, как у АИР-3, мотором "Вальтер" (60 л. е.), и новый, еще не утвержденный ФАИ рекорд 1601 км немецкого летчика К. </w:t>
      </w:r>
      <w:proofErr w:type="spellStart"/>
      <w:r w:rsidRPr="00A259BD">
        <w:rPr>
          <w:rFonts w:ascii="Times New Roman" w:hAnsi="Times New Roman"/>
          <w:color w:val="000000" w:themeColor="text1"/>
          <w:sz w:val="16"/>
          <w:szCs w:val="16"/>
        </w:rPr>
        <w:t>Эдцарда</w:t>
      </w:r>
      <w:proofErr w:type="spellEnd"/>
      <w:r w:rsidRPr="00A259BD">
        <w:rPr>
          <w:rFonts w:ascii="Times New Roman" w:hAnsi="Times New Roman"/>
          <w:color w:val="000000" w:themeColor="text1"/>
          <w:sz w:val="16"/>
          <w:szCs w:val="16"/>
        </w:rPr>
        <w:t xml:space="preserve"> от 20 августа 1929 года на биплане Фокке-Вульф S24 "</w:t>
      </w:r>
      <w:proofErr w:type="spellStart"/>
      <w:r w:rsidRPr="00A259BD">
        <w:rPr>
          <w:rFonts w:ascii="Times New Roman" w:hAnsi="Times New Roman"/>
          <w:color w:val="000000" w:themeColor="text1"/>
          <w:sz w:val="16"/>
          <w:szCs w:val="16"/>
        </w:rPr>
        <w:t>Кибиц</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Fokke-Wulf</w:t>
      </w:r>
      <w:proofErr w:type="spellEnd"/>
      <w:r w:rsidRPr="00A259BD">
        <w:rPr>
          <w:rFonts w:ascii="Times New Roman" w:hAnsi="Times New Roman"/>
          <w:color w:val="000000" w:themeColor="text1"/>
          <w:sz w:val="16"/>
          <w:szCs w:val="16"/>
        </w:rPr>
        <w:t xml:space="preserve"> S24 </w:t>
      </w:r>
      <w:proofErr w:type="spellStart"/>
      <w:r w:rsidRPr="00A259BD">
        <w:rPr>
          <w:rFonts w:ascii="Times New Roman" w:hAnsi="Times New Roman"/>
          <w:color w:val="000000" w:themeColor="text1"/>
          <w:sz w:val="16"/>
          <w:szCs w:val="16"/>
        </w:rPr>
        <w:t>Kibitz</w:t>
      </w:r>
      <w:proofErr w:type="spellEnd"/>
      <w:r w:rsidRPr="00A259BD">
        <w:rPr>
          <w:rFonts w:ascii="Times New Roman" w:hAnsi="Times New Roman"/>
          <w:color w:val="000000" w:themeColor="text1"/>
          <w:sz w:val="16"/>
          <w:szCs w:val="16"/>
        </w:rPr>
        <w:t>).</w:t>
      </w:r>
    </w:p>
    <w:p w14:paraId="6B295D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Дальность АИР-3 была превышена лишь 12 января 1931 года французами на Фармане 231 (</w:t>
      </w:r>
      <w:proofErr w:type="spellStart"/>
      <w:r w:rsidRPr="00A259BD">
        <w:rPr>
          <w:rFonts w:ascii="Times New Roman" w:hAnsi="Times New Roman"/>
          <w:color w:val="000000" w:themeColor="text1"/>
          <w:sz w:val="16"/>
          <w:szCs w:val="16"/>
        </w:rPr>
        <w:t>Farman</w:t>
      </w:r>
      <w:proofErr w:type="spellEnd"/>
      <w:r w:rsidRPr="00A259BD">
        <w:rPr>
          <w:rFonts w:ascii="Times New Roman" w:hAnsi="Times New Roman"/>
          <w:color w:val="000000" w:themeColor="text1"/>
          <w:sz w:val="16"/>
          <w:szCs w:val="16"/>
        </w:rPr>
        <w:t xml:space="preserve"> 231).</w:t>
      </w:r>
    </w:p>
    <w:p w14:paraId="2D04A0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 и в случае с рекордами АИР-1, достижения АИР-3 официально не регистрировались, так как СССР еще не входил в ФАИ.</w:t>
      </w:r>
    </w:p>
    <w:p w14:paraId="259FFE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Советская общественность оценила перелет АИР-3 как выдающееся событие, и это на фоне замечательных перелетов 1929 года самолетов "Крылья Советов" и "Страна Советов". Отмечалось, что АИР-3 подвел итог пройденному этапу кропотливой, настойчивой работы. Открывались широкие перспективы для развития легкомоторных самолетов и использования их в деле строительства местной авиации.</w:t>
      </w:r>
    </w:p>
    <w:p w14:paraId="05E69A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Газета "Правда" писала: "Этот рейд показал, что ВВА умеет не только строить прекрасные самолеты, обгоняя западную капиталистическую технику, но имеет прекрасных будущих инженеров, которые летают на своих машинах не хуже рекордсменов буржуазного мира" (11981).</w:t>
      </w:r>
    </w:p>
    <w:p w14:paraId="7AC8BD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21FC1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6-8 сентября 1929 состоялись первые в СССР опытные полеты по уничтожению личинок малярийного комара путем опыления порошковыми ядами. Организовал Осоавиахим и </w:t>
      </w:r>
      <w:proofErr w:type="spellStart"/>
      <w:r w:rsidRPr="00A259BD">
        <w:rPr>
          <w:rFonts w:ascii="Times New Roman" w:hAnsi="Times New Roman"/>
          <w:color w:val="000000" w:themeColor="text1"/>
          <w:sz w:val="16"/>
          <w:szCs w:val="16"/>
        </w:rPr>
        <w:t>Н.К.Турицын</w:t>
      </w:r>
      <w:proofErr w:type="spellEnd"/>
      <w:r w:rsidRPr="00A259BD">
        <w:rPr>
          <w:rFonts w:ascii="Times New Roman" w:hAnsi="Times New Roman"/>
          <w:color w:val="000000" w:themeColor="text1"/>
          <w:sz w:val="16"/>
          <w:szCs w:val="16"/>
        </w:rPr>
        <w:t xml:space="preserve"> летал на Коньке-Горбунке (438,602).</w:t>
      </w:r>
    </w:p>
    <w:p w14:paraId="173ECB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6DD81B" w14:textId="77777777" w:rsidR="00E21656" w:rsidRPr="006B74EB" w:rsidRDefault="00E21656" w:rsidP="00E21656">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6-8 сентября 1929 г. состоялись </w:t>
      </w:r>
      <w:r w:rsidRPr="006B74EB">
        <w:rPr>
          <w:rFonts w:ascii="Times New Roman" w:hAnsi="Times New Roman"/>
          <w:color w:val="0070C0"/>
          <w:sz w:val="16"/>
          <w:szCs w:val="16"/>
        </w:rPr>
        <w:t>первые в СССР опытные полеты по унич</w:t>
      </w:r>
      <w:r>
        <w:rPr>
          <w:rFonts w:ascii="Times New Roman" w:hAnsi="Times New Roman"/>
          <w:color w:val="0070C0"/>
          <w:sz w:val="16"/>
          <w:szCs w:val="16"/>
        </w:rPr>
        <w:t>тожению личинок малярийного</w:t>
      </w:r>
      <w:r w:rsidRPr="006B74EB">
        <w:rPr>
          <w:rFonts w:ascii="Times New Roman" w:hAnsi="Times New Roman"/>
          <w:color w:val="0070C0"/>
          <w:sz w:val="16"/>
          <w:szCs w:val="16"/>
        </w:rPr>
        <w:t xml:space="preserve"> комара путем опыления поро</w:t>
      </w:r>
      <w:r>
        <w:rPr>
          <w:rFonts w:ascii="Times New Roman" w:hAnsi="Times New Roman"/>
          <w:color w:val="0070C0"/>
          <w:sz w:val="16"/>
          <w:szCs w:val="16"/>
        </w:rPr>
        <w:t>ш</w:t>
      </w:r>
      <w:r w:rsidRPr="006B74EB">
        <w:rPr>
          <w:rFonts w:ascii="Times New Roman" w:hAnsi="Times New Roman"/>
          <w:color w:val="0070C0"/>
          <w:sz w:val="16"/>
          <w:szCs w:val="16"/>
        </w:rPr>
        <w:t>кооб</w:t>
      </w:r>
      <w:r>
        <w:rPr>
          <w:rFonts w:ascii="Times New Roman" w:hAnsi="Times New Roman"/>
          <w:color w:val="0070C0"/>
          <w:sz w:val="16"/>
          <w:szCs w:val="16"/>
        </w:rPr>
        <w:t>р</w:t>
      </w:r>
      <w:r w:rsidRPr="006B74EB">
        <w:rPr>
          <w:rFonts w:ascii="Times New Roman" w:hAnsi="Times New Roman"/>
          <w:color w:val="0070C0"/>
          <w:sz w:val="16"/>
          <w:szCs w:val="16"/>
        </w:rPr>
        <w:t>азны</w:t>
      </w:r>
      <w:r>
        <w:rPr>
          <w:rFonts w:ascii="Times New Roman" w:hAnsi="Times New Roman"/>
          <w:color w:val="0070C0"/>
          <w:sz w:val="16"/>
          <w:szCs w:val="16"/>
        </w:rPr>
        <w:t xml:space="preserve">ми </w:t>
      </w:r>
      <w:r w:rsidRPr="006B74EB">
        <w:rPr>
          <w:rFonts w:ascii="Times New Roman" w:hAnsi="Times New Roman"/>
          <w:color w:val="0070C0"/>
          <w:sz w:val="16"/>
          <w:szCs w:val="16"/>
        </w:rPr>
        <w:t>ядами водоемов - гнездилищ комара</w:t>
      </w:r>
      <w:r>
        <w:rPr>
          <w:rFonts w:ascii="Times New Roman" w:hAnsi="Times New Roman"/>
          <w:color w:val="0070C0"/>
          <w:sz w:val="16"/>
          <w:szCs w:val="16"/>
        </w:rPr>
        <w:t>. П</w:t>
      </w:r>
      <w:r w:rsidRPr="006B74EB">
        <w:rPr>
          <w:rFonts w:ascii="Times New Roman" w:hAnsi="Times New Roman"/>
          <w:color w:val="0070C0"/>
          <w:sz w:val="16"/>
          <w:szCs w:val="16"/>
        </w:rPr>
        <w:t>олеты были организованы Осо</w:t>
      </w:r>
      <w:r>
        <w:rPr>
          <w:rFonts w:ascii="Times New Roman" w:hAnsi="Times New Roman"/>
          <w:color w:val="0070C0"/>
          <w:sz w:val="16"/>
          <w:szCs w:val="16"/>
        </w:rPr>
        <w:t>авиахи</w:t>
      </w:r>
      <w:r w:rsidRPr="006B74EB">
        <w:rPr>
          <w:rFonts w:ascii="Times New Roman" w:hAnsi="Times New Roman"/>
          <w:color w:val="0070C0"/>
          <w:sz w:val="16"/>
          <w:szCs w:val="16"/>
        </w:rPr>
        <w:t xml:space="preserve">мом совместно </w:t>
      </w:r>
      <w:r>
        <w:rPr>
          <w:rFonts w:ascii="Times New Roman" w:hAnsi="Times New Roman"/>
          <w:color w:val="0070C0"/>
          <w:sz w:val="16"/>
          <w:szCs w:val="16"/>
        </w:rPr>
        <w:t>с</w:t>
      </w:r>
      <w:r w:rsidRPr="006B74EB">
        <w:rPr>
          <w:rFonts w:ascii="Times New Roman" w:hAnsi="Times New Roman"/>
          <w:color w:val="0070C0"/>
          <w:sz w:val="16"/>
          <w:szCs w:val="16"/>
        </w:rPr>
        <w:t xml:space="preserve"> Наркомземом и Наркомздравом СССР и проводи</w:t>
      </w:r>
      <w:r>
        <w:rPr>
          <w:rFonts w:ascii="Times New Roman" w:hAnsi="Times New Roman"/>
          <w:color w:val="0070C0"/>
          <w:sz w:val="16"/>
          <w:szCs w:val="16"/>
        </w:rPr>
        <w:t>лись</w:t>
      </w:r>
      <w:r w:rsidRPr="006B74EB">
        <w:rPr>
          <w:rFonts w:ascii="Times New Roman" w:hAnsi="Times New Roman"/>
          <w:color w:val="0070C0"/>
          <w:sz w:val="16"/>
          <w:szCs w:val="16"/>
        </w:rPr>
        <w:t xml:space="preserve"> над торфяными болотами в районе </w:t>
      </w:r>
      <w:r>
        <w:rPr>
          <w:rFonts w:ascii="Times New Roman" w:hAnsi="Times New Roman"/>
          <w:color w:val="0070C0"/>
          <w:sz w:val="16"/>
          <w:szCs w:val="16"/>
        </w:rPr>
        <w:t>с</w:t>
      </w:r>
      <w:r w:rsidRPr="006B74EB">
        <w:rPr>
          <w:rFonts w:ascii="Times New Roman" w:hAnsi="Times New Roman"/>
          <w:color w:val="0070C0"/>
          <w:sz w:val="16"/>
          <w:szCs w:val="16"/>
        </w:rPr>
        <w:t xml:space="preserve">т. </w:t>
      </w:r>
      <w:proofErr w:type="spellStart"/>
      <w:r w:rsidRPr="006B74EB">
        <w:rPr>
          <w:rFonts w:ascii="Times New Roman" w:hAnsi="Times New Roman"/>
          <w:color w:val="0070C0"/>
          <w:sz w:val="16"/>
          <w:szCs w:val="16"/>
        </w:rPr>
        <w:t>Храпуново</w:t>
      </w:r>
      <w:proofErr w:type="spellEnd"/>
      <w:r w:rsidRPr="006B74EB">
        <w:rPr>
          <w:rFonts w:ascii="Times New Roman" w:hAnsi="Times New Roman"/>
          <w:color w:val="0070C0"/>
          <w:sz w:val="16"/>
          <w:szCs w:val="16"/>
        </w:rPr>
        <w:t xml:space="preserve"> </w:t>
      </w:r>
      <w:r>
        <w:rPr>
          <w:rFonts w:ascii="Times New Roman" w:hAnsi="Times New Roman"/>
          <w:color w:val="0070C0"/>
          <w:sz w:val="16"/>
          <w:szCs w:val="16"/>
        </w:rPr>
        <w:t>М</w:t>
      </w:r>
      <w:r w:rsidRPr="006B74EB">
        <w:rPr>
          <w:rFonts w:ascii="Times New Roman" w:hAnsi="Times New Roman"/>
          <w:color w:val="0070C0"/>
          <w:sz w:val="16"/>
          <w:szCs w:val="16"/>
        </w:rPr>
        <w:t>осков</w:t>
      </w:r>
      <w:r>
        <w:rPr>
          <w:rFonts w:ascii="Times New Roman" w:hAnsi="Times New Roman"/>
          <w:color w:val="0070C0"/>
          <w:sz w:val="16"/>
          <w:szCs w:val="16"/>
        </w:rPr>
        <w:t>с</w:t>
      </w:r>
      <w:r w:rsidRPr="006B74EB">
        <w:rPr>
          <w:rFonts w:ascii="Times New Roman" w:hAnsi="Times New Roman"/>
          <w:color w:val="0070C0"/>
          <w:sz w:val="16"/>
          <w:szCs w:val="16"/>
        </w:rPr>
        <w:t>ко-Ниже</w:t>
      </w:r>
      <w:r>
        <w:rPr>
          <w:rFonts w:ascii="Times New Roman" w:hAnsi="Times New Roman"/>
          <w:color w:val="0070C0"/>
          <w:sz w:val="16"/>
          <w:szCs w:val="16"/>
        </w:rPr>
        <w:t>го</w:t>
      </w:r>
      <w:r w:rsidRPr="006B74EB">
        <w:rPr>
          <w:rFonts w:ascii="Times New Roman" w:hAnsi="Times New Roman"/>
          <w:color w:val="0070C0"/>
          <w:sz w:val="16"/>
          <w:szCs w:val="16"/>
        </w:rPr>
        <w:t>родской ж. д.</w:t>
      </w:r>
      <w:r>
        <w:rPr>
          <w:rFonts w:ascii="Times New Roman" w:hAnsi="Times New Roman"/>
          <w:color w:val="0070C0"/>
          <w:sz w:val="16"/>
          <w:szCs w:val="16"/>
        </w:rPr>
        <w:t xml:space="preserve"> Л</w:t>
      </w:r>
      <w:r w:rsidRPr="006B74EB">
        <w:rPr>
          <w:rFonts w:ascii="Times New Roman" w:hAnsi="Times New Roman"/>
          <w:color w:val="0070C0"/>
          <w:sz w:val="16"/>
          <w:szCs w:val="16"/>
        </w:rPr>
        <w:t xml:space="preserve">етчик Добролета Николай Константинович </w:t>
      </w:r>
      <w:proofErr w:type="spellStart"/>
      <w:r w:rsidRPr="006B74EB">
        <w:rPr>
          <w:rFonts w:ascii="Times New Roman" w:hAnsi="Times New Roman"/>
          <w:color w:val="0070C0"/>
          <w:sz w:val="16"/>
          <w:szCs w:val="16"/>
        </w:rPr>
        <w:t>Тур</w:t>
      </w:r>
      <w:r>
        <w:rPr>
          <w:rFonts w:ascii="Times New Roman" w:hAnsi="Times New Roman"/>
          <w:color w:val="0070C0"/>
          <w:sz w:val="16"/>
          <w:szCs w:val="16"/>
        </w:rPr>
        <w:t>и</w:t>
      </w:r>
      <w:r w:rsidRPr="006B74EB">
        <w:rPr>
          <w:rFonts w:ascii="Times New Roman" w:hAnsi="Times New Roman"/>
          <w:color w:val="0070C0"/>
          <w:sz w:val="16"/>
          <w:szCs w:val="16"/>
        </w:rPr>
        <w:t>цын</w:t>
      </w:r>
      <w:proofErr w:type="spellEnd"/>
      <w:r w:rsidRPr="006B74EB">
        <w:rPr>
          <w:rFonts w:ascii="Times New Roman" w:hAnsi="Times New Roman"/>
          <w:color w:val="0070C0"/>
          <w:sz w:val="16"/>
          <w:szCs w:val="16"/>
        </w:rPr>
        <w:t xml:space="preserve"> на </w:t>
      </w:r>
      <w:r>
        <w:rPr>
          <w:rFonts w:ascii="Times New Roman" w:hAnsi="Times New Roman"/>
          <w:color w:val="0070C0"/>
          <w:sz w:val="16"/>
          <w:szCs w:val="16"/>
        </w:rPr>
        <w:t>самолете</w:t>
      </w:r>
      <w:r w:rsidRPr="006B74EB">
        <w:rPr>
          <w:rFonts w:ascii="Times New Roman" w:hAnsi="Times New Roman"/>
          <w:color w:val="0070C0"/>
          <w:sz w:val="16"/>
          <w:szCs w:val="16"/>
        </w:rPr>
        <w:t xml:space="preserve"> «Конек-горбунок</w:t>
      </w:r>
      <w:r>
        <w:rPr>
          <w:rFonts w:ascii="Times New Roman" w:hAnsi="Times New Roman"/>
          <w:color w:val="0070C0"/>
          <w:sz w:val="16"/>
          <w:szCs w:val="16"/>
        </w:rPr>
        <w:t>»</w:t>
      </w:r>
      <w:r w:rsidRPr="006B74EB">
        <w:rPr>
          <w:rFonts w:ascii="Times New Roman" w:hAnsi="Times New Roman"/>
          <w:color w:val="0070C0"/>
          <w:sz w:val="16"/>
          <w:szCs w:val="16"/>
        </w:rPr>
        <w:t xml:space="preserve"> сделал несколько пробных полетов,</w:t>
      </w:r>
      <w:r>
        <w:rPr>
          <w:rFonts w:ascii="Times New Roman" w:hAnsi="Times New Roman"/>
          <w:color w:val="0070C0"/>
          <w:sz w:val="16"/>
          <w:szCs w:val="16"/>
        </w:rPr>
        <w:t xml:space="preserve"> </w:t>
      </w:r>
      <w:r w:rsidRPr="006B74EB">
        <w:rPr>
          <w:rFonts w:ascii="Times New Roman" w:hAnsi="Times New Roman"/>
          <w:color w:val="0070C0"/>
          <w:sz w:val="16"/>
          <w:szCs w:val="16"/>
        </w:rPr>
        <w:t>пока</w:t>
      </w:r>
      <w:r>
        <w:rPr>
          <w:rFonts w:ascii="Times New Roman" w:hAnsi="Times New Roman"/>
          <w:color w:val="0070C0"/>
          <w:sz w:val="16"/>
          <w:szCs w:val="16"/>
        </w:rPr>
        <w:t xml:space="preserve">зав </w:t>
      </w:r>
      <w:r w:rsidRPr="006B74EB">
        <w:rPr>
          <w:rFonts w:ascii="Times New Roman" w:hAnsi="Times New Roman"/>
          <w:color w:val="0070C0"/>
          <w:sz w:val="16"/>
          <w:szCs w:val="16"/>
        </w:rPr>
        <w:t>эффективность авиахимического метода борьбы с распростр</w:t>
      </w:r>
      <w:r>
        <w:rPr>
          <w:rFonts w:ascii="Times New Roman" w:hAnsi="Times New Roman"/>
          <w:color w:val="0070C0"/>
          <w:sz w:val="16"/>
          <w:szCs w:val="16"/>
        </w:rPr>
        <w:t>анением</w:t>
      </w:r>
      <w:r w:rsidRPr="006B74EB">
        <w:rPr>
          <w:rFonts w:ascii="Times New Roman" w:hAnsi="Times New Roman"/>
          <w:color w:val="0070C0"/>
          <w:sz w:val="16"/>
          <w:szCs w:val="16"/>
        </w:rPr>
        <w:t xml:space="preserve"> малярии</w:t>
      </w:r>
      <w:r>
        <w:rPr>
          <w:rFonts w:ascii="Times New Roman" w:hAnsi="Times New Roman"/>
          <w:color w:val="0070C0"/>
          <w:sz w:val="16"/>
          <w:szCs w:val="16"/>
        </w:rPr>
        <w:t>.</w:t>
      </w:r>
    </w:p>
    <w:p w14:paraId="54084F69" w14:textId="77777777" w:rsidR="00E21656" w:rsidRDefault="00E21656" w:rsidP="00E21656">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/'Авиация и ХИМИЯ",</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1929 № </w:t>
      </w:r>
      <w:r>
        <w:rPr>
          <w:rFonts w:ascii="Times New Roman" w:hAnsi="Times New Roman"/>
          <w:color w:val="0070C0"/>
          <w:sz w:val="16"/>
          <w:szCs w:val="16"/>
        </w:rPr>
        <w:t>10</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ВВ</w:t>
      </w:r>
      <w:r>
        <w:rPr>
          <w:rFonts w:ascii="Times New Roman" w:hAnsi="Times New Roman"/>
          <w:color w:val="0070C0"/>
          <w:sz w:val="16"/>
          <w:szCs w:val="16"/>
        </w:rPr>
        <w:t>Ф</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1929 </w:t>
      </w:r>
      <w:r>
        <w:rPr>
          <w:rFonts w:ascii="Times New Roman" w:hAnsi="Times New Roman"/>
          <w:color w:val="0070C0"/>
          <w:sz w:val="16"/>
          <w:szCs w:val="16"/>
        </w:rPr>
        <w:t>№№</w:t>
      </w:r>
      <w:r w:rsidRPr="006B74EB">
        <w:rPr>
          <w:rFonts w:ascii="Times New Roman" w:hAnsi="Times New Roman"/>
          <w:color w:val="0070C0"/>
          <w:sz w:val="16"/>
          <w:szCs w:val="16"/>
        </w:rPr>
        <w:t xml:space="preserve"> 10-11/</w:t>
      </w:r>
      <w:r>
        <w:rPr>
          <w:rFonts w:ascii="Times New Roman" w:hAnsi="Times New Roman"/>
          <w:color w:val="0070C0"/>
          <w:sz w:val="16"/>
          <w:szCs w:val="16"/>
        </w:rPr>
        <w:t xml:space="preserve"> (23370).</w:t>
      </w:r>
    </w:p>
    <w:p w14:paraId="5DDB538C" w14:textId="77777777" w:rsidR="00E21656" w:rsidRDefault="00E21656" w:rsidP="00E21656">
      <w:pPr>
        <w:spacing w:after="0" w:line="240" w:lineRule="auto"/>
        <w:jc w:val="both"/>
        <w:rPr>
          <w:rFonts w:ascii="Times New Roman" w:hAnsi="Times New Roman"/>
          <w:color w:val="0070C0"/>
          <w:sz w:val="16"/>
          <w:szCs w:val="16"/>
        </w:rPr>
      </w:pPr>
    </w:p>
    <w:p w14:paraId="5F1F046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3F983B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3FE810" w14:textId="77777777" w:rsidR="004B4828" w:rsidRPr="00A259BD" w:rsidRDefault="004B48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сентября 1929 г. Протокол заседания Президиума ВСНХ СССР. 855. О реорганизации управления промышленностью (12417).</w:t>
      </w:r>
    </w:p>
    <w:p w14:paraId="6CB6980F" w14:textId="77777777" w:rsidR="004B4828" w:rsidRPr="00A259BD" w:rsidRDefault="004B4828" w:rsidP="009236E3">
      <w:pPr>
        <w:spacing w:after="0" w:line="240" w:lineRule="auto"/>
        <w:jc w:val="both"/>
        <w:rPr>
          <w:rFonts w:ascii="Times New Roman" w:hAnsi="Times New Roman"/>
          <w:color w:val="000000" w:themeColor="text1"/>
          <w:sz w:val="16"/>
          <w:szCs w:val="16"/>
        </w:rPr>
      </w:pPr>
    </w:p>
    <w:p w14:paraId="33F46705" w14:textId="77777777" w:rsidR="00A248A0" w:rsidRPr="00A259BD" w:rsidRDefault="00A248A0" w:rsidP="009236E3">
      <w:pPr>
        <w:spacing w:after="0" w:line="240" w:lineRule="auto"/>
        <w:jc w:val="both"/>
        <w:rPr>
          <w:rStyle w:val="af0"/>
          <w:rFonts w:ascii="Times New Roman" w:hAnsi="Times New Roman"/>
          <w:i w:val="0"/>
          <w:color w:val="000000" w:themeColor="text1"/>
          <w:sz w:val="16"/>
          <w:szCs w:val="16"/>
        </w:rPr>
      </w:pPr>
      <w:r w:rsidRPr="00A259BD">
        <w:rPr>
          <w:rFonts w:ascii="Times New Roman" w:hAnsi="Times New Roman"/>
          <w:bCs/>
          <w:color w:val="000000" w:themeColor="text1"/>
          <w:sz w:val="16"/>
          <w:szCs w:val="16"/>
        </w:rPr>
        <w:t>6 сентября 1929 г. — Директивное письмо научно-технического совета ГВПУ в Орудийно-арсенальный трест о мероприятиях в связи с перевооружением РККА</w:t>
      </w:r>
    </w:p>
    <w:p w14:paraId="4220F020" w14:textId="77777777" w:rsidR="004B4828" w:rsidRPr="00A259BD" w:rsidRDefault="004B4828"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04A8D624"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rPr>
        <w:t>Постановлением Реввоенсовета от 18 июля с. г. установлен план перевооружения Красной армии, тяжесть выполнения которого по линии артиллерии и танкового вооружения в значительной части ложится на заводы вверенного Вам треста.</w:t>
      </w:r>
    </w:p>
    <w:p w14:paraId="5C2BE6BD"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rPr>
        <w:t>Несмотря на довольно значительный прошедший срок с 18 июля и также несмотря на ряд совещаний по вопросу относительно реализации плана перевооружения, конкретных мероприятий, характеризующих начало работы в этой области, не имеется. Такое положение в значительной части объясняется важностью возлагаемой на промышленность задачи, а также необходимостью проведения ряда ответственных совещаний (в МПУ, Штабе РККА, ГВПУ и т. д.), но тем не менее положение дела обязывает немедленно приступить к этой ответственной и важной работе.</w:t>
      </w:r>
    </w:p>
    <w:p w14:paraId="1B3FBB53"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rPr>
        <w:t>В связи с вышеизложенным предлагается Вам:</w:t>
      </w:r>
    </w:p>
    <w:p w14:paraId="770230BF"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rPr>
        <w:t>1. Немедленно приступить к развертыванию двух конструкторских бюро: одного — по конструированию артиллерии и другого — по конструированию танко-</w:t>
      </w:r>
      <w:proofErr w:type="spellStart"/>
      <w:r w:rsidRPr="00A259BD">
        <w:rPr>
          <w:color w:val="000000" w:themeColor="text1"/>
          <w:sz w:val="16"/>
          <w:szCs w:val="16"/>
        </w:rPr>
        <w:t>тракторо</w:t>
      </w:r>
      <w:proofErr w:type="spellEnd"/>
      <w:r w:rsidRPr="00A259BD">
        <w:rPr>
          <w:color w:val="000000" w:themeColor="text1"/>
          <w:sz w:val="16"/>
          <w:szCs w:val="16"/>
        </w:rPr>
        <w:t>-автомобильных предметов вооружения Красной армии. Примерный состав этих бюро должен быть: артиллерийского — не менее 35</w:t>
      </w:r>
      <w:r w:rsidRPr="00A259BD">
        <w:rPr>
          <w:color w:val="000000" w:themeColor="text1"/>
          <w:sz w:val="16"/>
          <w:szCs w:val="16"/>
        </w:rPr>
        <w:noBreakHyphen/>
        <w:t>40 чел. и танкового — не менее 50 чел. При формировании этих бюро необходимо руководствоваться следующими данными: каждое бюро должно быть совершенно самостоятельно, возглавляться своим начальником и формироваться из следующих 3 групп:</w:t>
      </w:r>
    </w:p>
    <w:p w14:paraId="2A15082C"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rPr>
        <w:t>1) группа, составляющая основное ядро и руководящая работой всего бюро, — из основных военных конструкторов, работавших в области конструирования военных образцов в течение продолжительного времени и зарекомендовавших себя как опытные военные конструктора;</w:t>
      </w:r>
    </w:p>
    <w:p w14:paraId="03E75256"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rPr>
        <w:t>2) иностранные специалисты-конструкторы, которые должны быть приглашены специально по Вашему представлению в ГВПУ, с указанием тех задач, которые будут возложены на них;</w:t>
      </w:r>
    </w:p>
    <w:p w14:paraId="5C4E5241"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rPr>
        <w:t>3) молодые конструкторы из числа оканчивающих втузы, зарекомендовавшие себя склонностью к конструкторскому делу, причем подбор этой группы должен происходить по согласованию с соответствующими органами втузов.</w:t>
      </w:r>
    </w:p>
    <w:p w14:paraId="43B67D7A"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rPr>
        <w:t>[2.] Задачами вышеуказанных бюро должны явиться:</w:t>
      </w:r>
    </w:p>
    <w:p w14:paraId="4AF88072"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rPr>
        <w:t>а) конструирование опытных образцов согласно прилагаемой при сем сводной ведомости²* и выдержанность в обязательном порядке сроков, установленных в той же ведомости;</w:t>
      </w:r>
    </w:p>
    <w:p w14:paraId="3A646810"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rPr>
        <w:t>б) наблюдение за постановкой на производство опытных образцов проектируемых объектов;</w:t>
      </w:r>
    </w:p>
    <w:p w14:paraId="38F8EEB3"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rPr>
        <w:t>в) помощь производственно-техническим отделам заводов при переходе от производства опытных образцов к постановке их на валовое производство; помощь эта должна выражаться в соответствующем инструктаже, находящемся в пределах ведения конструкторских бюро.</w:t>
      </w:r>
    </w:p>
    <w:p w14:paraId="40EA2E68"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rPr>
        <w:t>На задачу развертывания конструкторских бюро и их работу в отношении конструирования образцов (которая должна начаться немедленно, не дожидаясь момента окончательного развертывания и формирования укрупненных конструкторских бюро) предлагаю обратить особое внимание, выделив для этой цели из ответственных руководителей технической работы в тресте особое ответственное лицо, ведущее постоянное наблюдение за ходом этой работы, причем обязываю Вас через месяц представить доклад в Главное военно-промышленное управление, в котором были бы конкретно освещены мероприятия и ход работы по выполнению настоящего задания.</w:t>
      </w:r>
    </w:p>
    <w:p w14:paraId="73031C67"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rPr>
        <w:t xml:space="preserve">Обязываю Вас, в развитие выполнения настоящего задания, в кратчайший срок и, во всяком случае, не позже чем через неделю от получения настоящего распоряжения представить в ГВПУ мотивированную докладную записку с указанием всех необходимых мероприятий материального и административного характера, которые необходимы Вам для выполнения возложенного на Вас задания как в части конструирования, так и в части развертывания конструкторских бюро. Эти мероприятия </w:t>
      </w:r>
      <w:r w:rsidRPr="00A259BD">
        <w:rPr>
          <w:color w:val="000000" w:themeColor="text1"/>
          <w:sz w:val="16"/>
          <w:szCs w:val="16"/>
        </w:rPr>
        <w:lastRenderedPageBreak/>
        <w:t>должны выражаться: 1) в представлении разработанной сметы необходимых денежных расходов, с деталировкой этих расходов по отдельным элементам работ и с календарным планом необходимого отпуска средств; 2) в требовании на рабочую силу, с указанием — какие специалисты откуда могут быть взяты и для какой работы могут быть использованы для конструирования военных образцов; 3) какая иностранная помощь (в виде получения готовых образцов, чертежей, методов производства и т. д.) должна быть получена и как она может быть освоена в конструкторских бюро; 4) какие молодые силы и в каких втузах могут быть получены для укомплектования и усиления конструкторских бюро.</w:t>
      </w:r>
    </w:p>
    <w:p w14:paraId="59658657"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rPr>
        <w:t>Одновременно предлагается по линии главного конструкторского бюро Орудийно-арсенального треста разработать вопрос относительно выделения из конструирования военных образцов тех элементов конструирования, которые могут быть поручены организациям и лицам, специализировавшимся в области конструирования по линии гражданской промышленности с тем, чтобы таким путем снять часть работы с конструкторов, специализировавшихся в области военного конструирования.</w:t>
      </w:r>
    </w:p>
    <w:p w14:paraId="26DF993D"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rPr>
        <w:t>Одновременно обращается Ваше внимание на то, что постановлением Президиума ВСНХ СССР набор конструкторских сил в пределах текущего года разрешается производить, не стесняясь штатами, донося о соответствующих расходах, связанных с внештатным приемом, через ГВПУ в Президиум ВСНХ СССР. Кроме того, Вам предоставляется право набора конструкторских сил в развертываемые конструкторские бюро в зависимости от возможности, не стесняясь необходимостью брать работников там, где только это представляется возможным, причем в случае необходимости возможная помощь со стороны ГВПУ будет Вам оказана так же, как предоставляется Вам право войти с ходатайством в ГВПУ относительно повышения ставок с целью привлечения наиболее ценных конструкторских сил из гражданской промышленности. Помимо развертывания основных конструкторских бюро, предлагается приступить к усилению и фактическому развертыванию конструкторских бюро на заводах «Большевик» и № 8. Эти конструкторские бюро при заводах должны явиться филиалами Центрального конструкторского бюро, причем со временем центр тяжести работы должен быть перенесен на них. Принципы формирования и методы организации таковы, как и для центрального конструкторского бюро Орудийно-арсенального треста.</w:t>
      </w:r>
    </w:p>
    <w:p w14:paraId="6B0686A2"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rPr>
        <w:t>На основании препровождаемой дополнительно при сем программы с перечнем объектов, подлежащих конструированию как по артиллерии, так и по танкам, тракторам и автомобилям (программа эта в общих чертах Орудийно-арсенальному тресту известна и подвергалась неоднократно обсуждению совместно с техническими руководителями треста), предлагаю в 10</w:t>
      </w:r>
      <w:r w:rsidRPr="00A259BD">
        <w:rPr>
          <w:color w:val="000000" w:themeColor="text1"/>
          <w:sz w:val="16"/>
          <w:szCs w:val="16"/>
        </w:rPr>
        <w:noBreakHyphen/>
        <w:t xml:space="preserve">дневный срок представить в ГВПУ календарный план и программу выполнения назначенных заданий с таким расчетом, чтобы сроки выполнения уложились в сроки, намеченные ГВПУ совместно с представителями </w:t>
      </w:r>
      <w:proofErr w:type="spellStart"/>
      <w:r w:rsidRPr="00A259BD">
        <w:rPr>
          <w:color w:val="000000" w:themeColor="text1"/>
          <w:sz w:val="16"/>
          <w:szCs w:val="16"/>
        </w:rPr>
        <w:t>Орудартреста</w:t>
      </w:r>
      <w:proofErr w:type="spellEnd"/>
      <w:r w:rsidRPr="00A259BD">
        <w:rPr>
          <w:color w:val="000000" w:themeColor="text1"/>
          <w:sz w:val="16"/>
          <w:szCs w:val="16"/>
        </w:rPr>
        <w:t xml:space="preserve"> и объявленные через МПУ Штабу РККА. Так как работа по конструированию и выполнению опытных образцов связана с необходимостью обеспечения соответствующим сырьем и полуфабрикатами, то предлагается в 10</w:t>
      </w:r>
      <w:r w:rsidRPr="00A259BD">
        <w:rPr>
          <w:color w:val="000000" w:themeColor="text1"/>
          <w:sz w:val="16"/>
          <w:szCs w:val="16"/>
        </w:rPr>
        <w:noBreakHyphen/>
        <w:t>дневный срок представить в ГВПУ спецификации всех необходимых материалов и полуфабрикатов, которыми должно быть обеспечено опытное конструирование и производство опытных образцов (как-то: магнето, динамо, стартеры, освещение, сигнализация, резина и т. д.) для тракторов и танков и соответствующие материалы по артиллерии. От срочности представления Вами материалов будет зависеть своевременность постановки вопроса о снабжении сырьем и полуфабрикатами перед правительственными органами. Ввиду трудности составления точной заявки на материалы заявка может быть ориентировочная, но эта ориентировочная заявка должна быть составлена в наикратчайший срок и, во всяком случае, намеченный срок — 10 дней — должен быть выдержан.</w:t>
      </w:r>
    </w:p>
    <w:p w14:paraId="7467EE02"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rPr>
        <w:t>Попутно с организационными мерами необходимо продумать четкую систему прохождения образца по этапам, начиная от конструирования, изготовления опытного образца и вплоть до постановки на валовое производство. Эта система должна быть продумана в области четкого разделения этапов, соответствующих стадий прохождения, системы выделения отдельных заводов и цехов под опытные работы и увязки работы по конструированию, изготовлению опытного образца и валовому производству между конструкторскими органами, научно-исследовательскими институтами, опытными отделами на заводах и производственно-техническими отделами треста и заводов в целом.</w:t>
      </w:r>
    </w:p>
    <w:p w14:paraId="5222B7FD"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rPr>
        <w:t>Свои предварительные предложения по этому вопросу предлагается проработать и сообщить через НТС Главному военно-промышленному управлению для организации при последнем специального совещания по этому вопросу в целях выработки основного положения о прохождении опытного строительства по всем системам производства в военной промышленности.</w:t>
      </w:r>
    </w:p>
    <w:p w14:paraId="18F94918"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rPr>
        <w:t>Программы по артсистемам, танкам и тракторам препровождаются дополнительно³*.</w:t>
      </w:r>
    </w:p>
    <w:p w14:paraId="2E75CB94" w14:textId="77777777" w:rsidR="004B4828" w:rsidRPr="00A259BD" w:rsidRDefault="004B4828"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Член Президиума ВСНХ СССР и начальник ГВПУ </w:t>
      </w:r>
      <w:hyperlink r:id="rId176" w:history="1">
        <w:r w:rsidRPr="00A259BD">
          <w:rPr>
            <w:rStyle w:val="af0"/>
            <w:i w:val="0"/>
            <w:color w:val="000000" w:themeColor="text1"/>
            <w:sz w:val="16"/>
            <w:szCs w:val="16"/>
          </w:rPr>
          <w:t>Урываев</w:t>
        </w:r>
      </w:hyperlink>
    </w:p>
    <w:p w14:paraId="780FA688" w14:textId="77777777" w:rsidR="004B4828" w:rsidRPr="00A259BD" w:rsidRDefault="004B4828" w:rsidP="009236E3">
      <w:pPr>
        <w:pStyle w:val="ae"/>
        <w:spacing w:before="0" w:after="0"/>
        <w:jc w:val="both"/>
        <w:rPr>
          <w:color w:val="000000" w:themeColor="text1"/>
          <w:sz w:val="16"/>
          <w:szCs w:val="16"/>
        </w:rPr>
      </w:pPr>
      <w:r w:rsidRPr="00A259BD">
        <w:rPr>
          <w:rStyle w:val="af0"/>
          <w:i w:val="0"/>
          <w:color w:val="000000" w:themeColor="text1"/>
          <w:sz w:val="16"/>
          <w:szCs w:val="16"/>
        </w:rPr>
        <w:t>Председатель НТС ГВПУ Лавровский</w:t>
      </w:r>
    </w:p>
    <w:p w14:paraId="0B74B156" w14:textId="77777777" w:rsidR="004B4828" w:rsidRPr="00A259BD" w:rsidRDefault="004B4828"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r w:rsidRPr="00A259BD">
        <w:rPr>
          <w:color w:val="000000" w:themeColor="text1"/>
          <w:sz w:val="16"/>
          <w:szCs w:val="16"/>
        </w:rPr>
        <w:t>:</w:t>
      </w:r>
    </w:p>
    <w:p w14:paraId="16C3E286"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Копии направлены: в Мобилизационно-плановое управление ВСНХ СССР и во 2</w:t>
      </w:r>
      <w:r w:rsidRPr="00A259BD">
        <w:rPr>
          <w:color w:val="000000" w:themeColor="text1"/>
          <w:sz w:val="16"/>
          <w:szCs w:val="16"/>
        </w:rPr>
        <w:noBreakHyphen/>
        <w:t>е управление Штаба РККА.</w:t>
      </w:r>
    </w:p>
    <w:p w14:paraId="73D5DD95"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Приложение в деле не обнаружено.</w:t>
      </w:r>
    </w:p>
    <w:p w14:paraId="6EA29217" w14:textId="77777777" w:rsidR="004B4828" w:rsidRPr="00A259BD" w:rsidRDefault="004B4828" w:rsidP="009236E3">
      <w:pPr>
        <w:pStyle w:val="rtejustify"/>
        <w:spacing w:before="0" w:after="0"/>
        <w:rPr>
          <w:color w:val="000000" w:themeColor="text1"/>
          <w:sz w:val="16"/>
          <w:szCs w:val="16"/>
        </w:rPr>
      </w:pPr>
      <w:r w:rsidRPr="00A259BD">
        <w:rPr>
          <w:color w:val="000000" w:themeColor="text1"/>
          <w:sz w:val="16"/>
          <w:szCs w:val="16"/>
          <w:vertAlign w:val="superscript"/>
        </w:rPr>
        <w:t>3</w:t>
      </w:r>
      <w:r w:rsidRPr="00A259BD">
        <w:rPr>
          <w:color w:val="000000" w:themeColor="text1"/>
          <w:sz w:val="16"/>
          <w:szCs w:val="16"/>
        </w:rPr>
        <w:t>* Предложение написано от руки.</w:t>
      </w:r>
    </w:p>
    <w:p w14:paraId="6DCB6B06" w14:textId="77777777" w:rsidR="004B4828" w:rsidRPr="00A259BD" w:rsidRDefault="004B4828" w:rsidP="009236E3">
      <w:pPr>
        <w:pStyle w:val="ae"/>
        <w:spacing w:before="0" w:after="0"/>
        <w:jc w:val="both"/>
        <w:rPr>
          <w:color w:val="000000" w:themeColor="text1"/>
          <w:sz w:val="16"/>
          <w:szCs w:val="16"/>
        </w:rPr>
      </w:pPr>
      <w:r w:rsidRPr="00A259BD">
        <w:rPr>
          <w:color w:val="000000" w:themeColor="text1"/>
          <w:sz w:val="16"/>
          <w:szCs w:val="16"/>
        </w:rPr>
        <w:t>РГАЭ. Ф. 2097. Оп. 1. Д. 1084. Л. 107— 08 об. Заверенная копия.</w:t>
      </w:r>
    </w:p>
    <w:p w14:paraId="2FD5A9F6" w14:textId="77777777" w:rsidR="004B4828" w:rsidRPr="00A259BD" w:rsidRDefault="004B48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2097. Оп. 1. Д. 1084. Л. 107— 08 об. Заверенная копия. </w:t>
      </w:r>
    </w:p>
    <w:p w14:paraId="32E601AF" w14:textId="77777777" w:rsidR="004B4828" w:rsidRPr="00A259BD" w:rsidRDefault="004B482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355-358 (12464).</w:t>
      </w:r>
    </w:p>
    <w:p w14:paraId="3CDB5CB5" w14:textId="77777777" w:rsidR="004B4828" w:rsidRPr="00A259BD" w:rsidRDefault="004B4828" w:rsidP="009236E3">
      <w:pPr>
        <w:spacing w:after="0" w:line="240" w:lineRule="auto"/>
        <w:jc w:val="both"/>
        <w:rPr>
          <w:rFonts w:ascii="Times New Roman" w:hAnsi="Times New Roman"/>
          <w:color w:val="000000" w:themeColor="text1"/>
          <w:sz w:val="16"/>
          <w:szCs w:val="16"/>
        </w:rPr>
      </w:pPr>
    </w:p>
    <w:p w14:paraId="468066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сентября 1929 вышел приказ ВСНХ № 109сс:</w:t>
      </w:r>
    </w:p>
    <w:p w14:paraId="46DD48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Механический з-д № 13 (Брянск) - ОАТ (орудийно-арсенальный трест).</w:t>
      </w:r>
    </w:p>
    <w:p w14:paraId="3240D8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з-д № 50 (Пенза) “Пензенский велосипедный завод”- ПТТ (патронно-трубочный трест).</w:t>
      </w:r>
    </w:p>
    <w:p w14:paraId="7CB879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з-д № 42 (Самара) - ПТТ</w:t>
      </w:r>
    </w:p>
    <w:p w14:paraId="4C0E22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з-д № 3 (Ульяновск) - ПТТ</w:t>
      </w:r>
    </w:p>
    <w:p w14:paraId="5557BA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з-д № 60 (Луганск) - ПТТ</w:t>
      </w:r>
    </w:p>
    <w:p w14:paraId="218955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з-д 40 (Казань) - ВХТ (военно-химический трест).</w:t>
      </w:r>
    </w:p>
    <w:p w14:paraId="2C963C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з-д 80 (</w:t>
      </w:r>
      <w:proofErr w:type="spellStart"/>
      <w:r w:rsidRPr="00A259BD">
        <w:rPr>
          <w:rFonts w:ascii="Times New Roman" w:hAnsi="Times New Roman"/>
          <w:color w:val="000000" w:themeColor="text1"/>
          <w:sz w:val="16"/>
          <w:szCs w:val="16"/>
        </w:rPr>
        <w:t>Н.Новгород</w:t>
      </w:r>
      <w:proofErr w:type="spellEnd"/>
      <w:r w:rsidRPr="00A259BD">
        <w:rPr>
          <w:rFonts w:ascii="Times New Roman" w:hAnsi="Times New Roman"/>
          <w:color w:val="000000" w:themeColor="text1"/>
          <w:sz w:val="16"/>
          <w:szCs w:val="16"/>
        </w:rPr>
        <w:t>) - ВХТ (2352).</w:t>
      </w:r>
    </w:p>
    <w:p w14:paraId="1A8E67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4296B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сентября 1929 г. был заложен головной корабль Ленинец (Л-1) конструкторского бюро под руководством Б. М. </w:t>
      </w:r>
      <w:proofErr w:type="spellStart"/>
      <w:r w:rsidRPr="00A259BD">
        <w:rPr>
          <w:rFonts w:ascii="Times New Roman" w:hAnsi="Times New Roman"/>
          <w:color w:val="000000" w:themeColor="text1"/>
          <w:sz w:val="16"/>
          <w:szCs w:val="16"/>
        </w:rPr>
        <w:t>Малининаю</w:t>
      </w:r>
      <w:proofErr w:type="spellEnd"/>
      <w:r w:rsidRPr="00A259BD">
        <w:rPr>
          <w:rFonts w:ascii="Times New Roman" w:hAnsi="Times New Roman"/>
          <w:color w:val="000000" w:themeColor="text1"/>
          <w:sz w:val="16"/>
          <w:szCs w:val="16"/>
        </w:rPr>
        <w:t xml:space="preserve"> Он имел водоизмещение 1123/1416 т. Мощность главных дизелей составляла 6030 кВт, электромоторов- 1760 кВт. Скорость надводного хода 17 уз, подводного 10 уз. Ленинец мог пройти в надводном положении без пополнения запасов 14 тыс. миль. Кроме торпедного оружия, состоявшего из шести труб в носу и двух в корме, лодку оборудовали кормовыми минными трубами для сухого хранения и постановки 20 мин (10700).</w:t>
      </w:r>
    </w:p>
    <w:p w14:paraId="23FD49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EB9503" w14:textId="77777777" w:rsidR="0019544B" w:rsidRPr="00A259BD" w:rsidRDefault="0019544B" w:rsidP="009236E3">
      <w:pPr>
        <w:spacing w:after="0" w:line="240" w:lineRule="auto"/>
        <w:jc w:val="both"/>
        <w:rPr>
          <w:rFonts w:ascii="Times New Roman" w:hAnsi="Times New Roman"/>
          <w:color w:val="000000" w:themeColor="text1"/>
          <w:sz w:val="16"/>
          <w:szCs w:val="16"/>
        </w:rPr>
      </w:pPr>
      <w:r w:rsidRPr="00A259BD">
        <w:rPr>
          <w:rFonts w:ascii="Times New Roman" w:eastAsiaTheme="minorHAnsi" w:hAnsi="Times New Roman"/>
          <w:color w:val="000000" w:themeColor="text1"/>
          <w:sz w:val="16"/>
          <w:szCs w:val="16"/>
        </w:rPr>
        <w:t>6 сентября</w:t>
      </w:r>
      <w:r w:rsidRPr="00A259BD">
        <w:rPr>
          <w:rFonts w:ascii="Times New Roman" w:hAnsi="Times New Roman"/>
          <w:color w:val="000000" w:themeColor="text1"/>
          <w:sz w:val="16"/>
          <w:szCs w:val="16"/>
        </w:rPr>
        <w:t xml:space="preserve"> в 1929 году закладка в Ленинграде подводных лодок «Л-1», «Л-2» и «Л-3», первых советских подводных минных заградителей (14761).</w:t>
      </w:r>
    </w:p>
    <w:p w14:paraId="56C07100" w14:textId="77777777" w:rsidR="0019544B" w:rsidRPr="00A259BD" w:rsidRDefault="0019544B" w:rsidP="009236E3">
      <w:pPr>
        <w:spacing w:after="0" w:line="240" w:lineRule="auto"/>
        <w:jc w:val="both"/>
        <w:rPr>
          <w:rFonts w:ascii="Times New Roman" w:hAnsi="Times New Roman"/>
          <w:color w:val="000000" w:themeColor="text1"/>
          <w:sz w:val="16"/>
          <w:szCs w:val="16"/>
        </w:rPr>
      </w:pPr>
    </w:p>
    <w:p w14:paraId="2FBBEFD5" w14:textId="77777777" w:rsidR="0019544B" w:rsidRPr="00A259BD" w:rsidRDefault="0019544B" w:rsidP="009236E3">
      <w:pPr>
        <w:pStyle w:val="rtejustify"/>
        <w:spacing w:before="0" w:after="0"/>
        <w:rPr>
          <w:color w:val="000000" w:themeColor="text1"/>
          <w:sz w:val="16"/>
          <w:szCs w:val="16"/>
        </w:rPr>
      </w:pPr>
      <w:r w:rsidRPr="00A259BD">
        <w:rPr>
          <w:color w:val="000000" w:themeColor="text1"/>
          <w:sz w:val="16"/>
          <w:szCs w:val="16"/>
        </w:rPr>
        <w:t>6 сентября 1929 г. первые три лодки II серии — «</w:t>
      </w:r>
      <w:r w:rsidRPr="00A259BD">
        <w:rPr>
          <w:rStyle w:val="af0"/>
          <w:bCs/>
          <w:i w:val="0"/>
          <w:color w:val="000000" w:themeColor="text1"/>
          <w:sz w:val="16"/>
          <w:szCs w:val="16"/>
        </w:rPr>
        <w:t>Ленинец» (Л-1)</w:t>
      </w:r>
      <w:r w:rsidRPr="00A259BD">
        <w:rPr>
          <w:color w:val="000000" w:themeColor="text1"/>
          <w:sz w:val="16"/>
          <w:szCs w:val="16"/>
        </w:rPr>
        <w:t>, «Марксист» (с 1931 г. — «</w:t>
      </w:r>
      <w:proofErr w:type="spellStart"/>
      <w:r w:rsidRPr="00A259BD">
        <w:rPr>
          <w:color w:val="000000" w:themeColor="text1"/>
          <w:sz w:val="16"/>
          <w:szCs w:val="16"/>
        </w:rPr>
        <w:t>Сталинец</w:t>
      </w:r>
      <w:proofErr w:type="spellEnd"/>
      <w:r w:rsidRPr="00A259BD">
        <w:rPr>
          <w:color w:val="000000" w:themeColor="text1"/>
          <w:sz w:val="16"/>
          <w:szCs w:val="16"/>
        </w:rPr>
        <w:t>») и «Большевик» (с 1931 г. — «</w:t>
      </w:r>
      <w:proofErr w:type="spellStart"/>
      <w:r w:rsidRPr="00A259BD">
        <w:rPr>
          <w:color w:val="000000" w:themeColor="text1"/>
          <w:sz w:val="16"/>
          <w:szCs w:val="16"/>
        </w:rPr>
        <w:t>Фрунзовец</w:t>
      </w:r>
      <w:proofErr w:type="spellEnd"/>
      <w:r w:rsidRPr="00A259BD">
        <w:rPr>
          <w:color w:val="000000" w:themeColor="text1"/>
          <w:sz w:val="16"/>
          <w:szCs w:val="16"/>
        </w:rPr>
        <w:t>») — были заложены на Балтийском заводе. Технический проект лодок II серии разрабатывался в Техбюро № 4 под руководством Б. М. Малинина в 1928</w:t>
      </w:r>
      <w:r w:rsidRPr="00A259BD">
        <w:rPr>
          <w:color w:val="000000" w:themeColor="text1"/>
          <w:sz w:val="16"/>
          <w:szCs w:val="16"/>
        </w:rPr>
        <w:noBreakHyphen/>
        <w:t xml:space="preserve">1929 гг. В марте-апреле 1930 года на заводе им. А. Марти заложили однотипные «Гарибальдиец», «Чартист» и </w:t>
      </w:r>
      <w:r w:rsidRPr="00A259BD">
        <w:rPr>
          <w:rStyle w:val="af0"/>
          <w:bCs/>
          <w:i w:val="0"/>
          <w:color w:val="000000" w:themeColor="text1"/>
          <w:sz w:val="16"/>
          <w:szCs w:val="16"/>
        </w:rPr>
        <w:t>«Карбонарий»</w:t>
      </w:r>
      <w:r w:rsidRPr="00A259BD">
        <w:rPr>
          <w:color w:val="000000" w:themeColor="text1"/>
          <w:sz w:val="16"/>
          <w:szCs w:val="16"/>
        </w:rPr>
        <w:t xml:space="preserve">), Головная лодка «Ленинец» была спущена на воду 28 февраля 1931 г. и вступила в строй 22 октября 1933 г. Параллельно с ней строилась и вся серия. На создание пяти лодок было затрачено около 50 месяцев. Впервые в отечественном кораблестроении лодки типа «Ленинец» получили стальные торпедные аппараты вместо прежних бронзовых. Однако создать предусмотренную заданием систему </w:t>
      </w:r>
      <w:proofErr w:type="spellStart"/>
      <w:r w:rsidRPr="00A259BD">
        <w:rPr>
          <w:color w:val="000000" w:themeColor="text1"/>
          <w:sz w:val="16"/>
          <w:szCs w:val="16"/>
        </w:rPr>
        <w:t>беспузырной</w:t>
      </w:r>
      <w:proofErr w:type="spellEnd"/>
      <w:r w:rsidRPr="00A259BD">
        <w:rPr>
          <w:color w:val="000000" w:themeColor="text1"/>
          <w:sz w:val="16"/>
          <w:szCs w:val="16"/>
        </w:rPr>
        <w:t xml:space="preserve"> торпедной стрельбы для них не удалось. К недостаткам лодок II серии относились длительное погружение, большая шумность механизмов, скорость погрузки торпед. Наибольшие нарекания моряков вызывали низкие качества элементов аккумуляторных батарей и плохая система вентиляции ям. Опыт этих аварий был учтен и система вентиляции и устройство аккумуляторных ям лодок типа «Ленинец» были усовершенствованы. Усовершенствованный проект «Ленинца» был реализован при постройке шести больших подводных лодок для Дальнего Востока. Эти лодки первоначально были отнесены к II</w:t>
      </w:r>
      <w:r w:rsidRPr="00A259BD">
        <w:rPr>
          <w:color w:val="000000" w:themeColor="text1"/>
          <w:sz w:val="16"/>
          <w:szCs w:val="16"/>
        </w:rPr>
        <w:noBreakHyphen/>
        <w:t>бис, а затем к XI серии. «</w:t>
      </w:r>
      <w:proofErr w:type="spellStart"/>
      <w:r w:rsidRPr="00A259BD">
        <w:rPr>
          <w:color w:val="000000" w:themeColor="text1"/>
          <w:sz w:val="16"/>
          <w:szCs w:val="16"/>
        </w:rPr>
        <w:t>Ворошиловец</w:t>
      </w:r>
      <w:proofErr w:type="spellEnd"/>
      <w:r w:rsidRPr="00A259BD">
        <w:rPr>
          <w:color w:val="000000" w:themeColor="text1"/>
          <w:sz w:val="16"/>
          <w:szCs w:val="16"/>
        </w:rPr>
        <w:t>», «Дзержинец» и «Кировец», заложенные в апреле-июне 1934 г., строились ударными темпами на Балтийском заводе, а собирались и сдавались на Дальзаводе во Владивостоке. Они вступили в строй в конце 1936 г. «</w:t>
      </w:r>
      <w:proofErr w:type="spellStart"/>
      <w:r w:rsidRPr="00A259BD">
        <w:rPr>
          <w:color w:val="000000" w:themeColor="text1"/>
          <w:sz w:val="16"/>
          <w:szCs w:val="16"/>
        </w:rPr>
        <w:t>Менжинец</w:t>
      </w:r>
      <w:proofErr w:type="spellEnd"/>
      <w:r w:rsidRPr="00A259BD">
        <w:rPr>
          <w:color w:val="000000" w:themeColor="text1"/>
          <w:sz w:val="16"/>
          <w:szCs w:val="16"/>
        </w:rPr>
        <w:t>» строился на заводе им. А. Марти в Николаеве и был закончен на Дальзаводе в декабре 1937 г. Заложенные с ним одновременно (июнь 1934 г.) николаевскими корабелами Л</w:t>
      </w:r>
      <w:r w:rsidRPr="00A259BD">
        <w:rPr>
          <w:color w:val="000000" w:themeColor="text1"/>
          <w:sz w:val="16"/>
          <w:szCs w:val="16"/>
        </w:rPr>
        <w:noBreakHyphen/>
        <w:t>11 и Л</w:t>
      </w:r>
      <w:r w:rsidRPr="00A259BD">
        <w:rPr>
          <w:color w:val="000000" w:themeColor="text1"/>
          <w:sz w:val="16"/>
          <w:szCs w:val="16"/>
        </w:rPr>
        <w:noBreakHyphen/>
        <w:t>12 были собраны на еще строящейся Амурской верфи в Комсомольске-на-Амуре и вступили в строй в конце 1938 г. (15280).</w:t>
      </w:r>
    </w:p>
    <w:p w14:paraId="57EC8842" w14:textId="77777777" w:rsidR="0019544B" w:rsidRPr="00A259BD" w:rsidRDefault="0019544B" w:rsidP="009236E3">
      <w:pPr>
        <w:pStyle w:val="rtejustify"/>
        <w:spacing w:before="0" w:after="0"/>
        <w:rPr>
          <w:color w:val="000000" w:themeColor="text1"/>
          <w:sz w:val="16"/>
          <w:szCs w:val="16"/>
        </w:rPr>
      </w:pPr>
    </w:p>
    <w:p w14:paraId="1BF8CB09" w14:textId="77777777" w:rsidR="00913B9A" w:rsidRPr="00A259BD" w:rsidRDefault="00913B9A"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291C7DA" w14:textId="77777777" w:rsidR="00913B9A" w:rsidRPr="00A259BD" w:rsidRDefault="00913B9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3AF6B3" w14:textId="77777777" w:rsidR="00913B9A" w:rsidRPr="00A259BD" w:rsidRDefault="00913B9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сентября 1929 де </w:t>
      </w:r>
      <w:proofErr w:type="spellStart"/>
      <w:r w:rsidRPr="00A259BD">
        <w:rPr>
          <w:rFonts w:ascii="Times New Roman" w:hAnsi="Times New Roman"/>
          <w:color w:val="000000" w:themeColor="text1"/>
          <w:sz w:val="16"/>
          <w:szCs w:val="16"/>
        </w:rPr>
        <w:t>Хэвилленд</w:t>
      </w:r>
      <w:proofErr w:type="spellEnd"/>
      <w:r w:rsidRPr="00A259BD">
        <w:rPr>
          <w:rFonts w:ascii="Times New Roman" w:hAnsi="Times New Roman"/>
          <w:color w:val="000000" w:themeColor="text1"/>
          <w:sz w:val="16"/>
          <w:szCs w:val="16"/>
        </w:rPr>
        <w:t xml:space="preserve"> DH.66 </w:t>
      </w:r>
      <w:proofErr w:type="spellStart"/>
      <w:r w:rsidRPr="00A259BD">
        <w:rPr>
          <w:rFonts w:ascii="Times New Roman" w:hAnsi="Times New Roman"/>
          <w:color w:val="000000" w:themeColor="text1"/>
          <w:sz w:val="16"/>
          <w:szCs w:val="16"/>
        </w:rPr>
        <w:t>Hercules</w:t>
      </w:r>
      <w:proofErr w:type="spellEnd"/>
      <w:r w:rsidRPr="00A259BD">
        <w:rPr>
          <w:rFonts w:ascii="Times New Roman" w:hAnsi="Times New Roman"/>
          <w:color w:val="000000" w:themeColor="text1"/>
          <w:sz w:val="16"/>
          <w:szCs w:val="16"/>
        </w:rPr>
        <w:t xml:space="preserve"> G-EBMZ Imperial Airways глохнет во время ночной посадки в аэропорту </w:t>
      </w:r>
      <w:proofErr w:type="spellStart"/>
      <w:r w:rsidRPr="00A259BD">
        <w:rPr>
          <w:rFonts w:ascii="Times New Roman" w:hAnsi="Times New Roman"/>
          <w:color w:val="000000" w:themeColor="text1"/>
          <w:sz w:val="16"/>
          <w:szCs w:val="16"/>
        </w:rPr>
        <w:t>Джаск</w:t>
      </w:r>
      <w:proofErr w:type="spellEnd"/>
      <w:r w:rsidRPr="00A259BD">
        <w:rPr>
          <w:rFonts w:ascii="Times New Roman" w:hAnsi="Times New Roman"/>
          <w:color w:val="000000" w:themeColor="text1"/>
          <w:sz w:val="16"/>
          <w:szCs w:val="16"/>
        </w:rPr>
        <w:t xml:space="preserve"> в </w:t>
      </w:r>
      <w:proofErr w:type="spellStart"/>
      <w:r w:rsidRPr="00A259BD">
        <w:rPr>
          <w:rFonts w:ascii="Times New Roman" w:hAnsi="Times New Roman"/>
          <w:color w:val="000000" w:themeColor="text1"/>
          <w:sz w:val="16"/>
          <w:szCs w:val="16"/>
        </w:rPr>
        <w:t>Jask</w:t>
      </w:r>
      <w:proofErr w:type="spellEnd"/>
      <w:r w:rsidRPr="00A259BD">
        <w:rPr>
          <w:rFonts w:ascii="Times New Roman" w:hAnsi="Times New Roman"/>
          <w:color w:val="000000" w:themeColor="text1"/>
          <w:sz w:val="16"/>
          <w:szCs w:val="16"/>
        </w:rPr>
        <w:t xml:space="preserve">, Персия. Он разбивается и загорается при разрыве топливных баков крыльев, а аварийные ракеты на </w:t>
      </w:r>
      <w:proofErr w:type="spellStart"/>
      <w:r w:rsidRPr="00A259BD">
        <w:rPr>
          <w:rFonts w:ascii="Times New Roman" w:hAnsi="Times New Roman"/>
          <w:color w:val="000000" w:themeColor="text1"/>
          <w:sz w:val="16"/>
          <w:szCs w:val="16"/>
        </w:rPr>
        <w:t>законцовках</w:t>
      </w:r>
      <w:proofErr w:type="spellEnd"/>
      <w:r w:rsidRPr="00A259BD">
        <w:rPr>
          <w:rFonts w:ascii="Times New Roman" w:hAnsi="Times New Roman"/>
          <w:color w:val="000000" w:themeColor="text1"/>
          <w:sz w:val="16"/>
          <w:szCs w:val="16"/>
        </w:rPr>
        <w:t xml:space="preserve"> крыльев воспламеняют топливо. Оба члена экипажа и один из три пассажира погибают. Погибший пилот, А.Е. Вудбридж, во время Первой мировой войны сбил и ранил немецкого аса-истребителя Манфреда фон </w:t>
      </w:r>
      <w:proofErr w:type="spellStart"/>
      <w:r w:rsidRPr="00A259BD">
        <w:rPr>
          <w:rFonts w:ascii="Times New Roman" w:hAnsi="Times New Roman"/>
          <w:color w:val="000000" w:themeColor="text1"/>
          <w:sz w:val="16"/>
          <w:szCs w:val="16"/>
        </w:rPr>
        <w:t>Рихтгофена</w:t>
      </w:r>
      <w:proofErr w:type="spellEnd"/>
      <w:r w:rsidRPr="00A259BD">
        <w:rPr>
          <w:rFonts w:ascii="Times New Roman" w:hAnsi="Times New Roman"/>
          <w:color w:val="000000" w:themeColor="text1"/>
          <w:sz w:val="16"/>
          <w:szCs w:val="16"/>
        </w:rPr>
        <w:t xml:space="preserve"> (20806).</w:t>
      </w:r>
    </w:p>
    <w:p w14:paraId="4D16DC30" w14:textId="77777777" w:rsidR="00913B9A" w:rsidRPr="00A259BD" w:rsidRDefault="00913B9A" w:rsidP="009236E3">
      <w:pPr>
        <w:spacing w:after="0" w:line="240" w:lineRule="auto"/>
        <w:jc w:val="both"/>
        <w:rPr>
          <w:rFonts w:ascii="Times New Roman" w:hAnsi="Times New Roman"/>
          <w:color w:val="000000" w:themeColor="text1"/>
          <w:sz w:val="16"/>
          <w:szCs w:val="16"/>
        </w:rPr>
      </w:pPr>
    </w:p>
    <w:p w14:paraId="0109E8E5" w14:textId="77777777" w:rsidR="00913B9A" w:rsidRPr="00A259BD" w:rsidRDefault="00913B9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6 сентября 1929 гонка Schneider </w:t>
      </w:r>
      <w:proofErr w:type="spellStart"/>
      <w:r w:rsidRPr="00A259BD">
        <w:rPr>
          <w:rFonts w:ascii="Times New Roman" w:hAnsi="Times New Roman"/>
          <w:color w:val="000000" w:themeColor="text1"/>
          <w:sz w:val="16"/>
          <w:szCs w:val="16"/>
        </w:rPr>
        <w:t>Trophy</w:t>
      </w:r>
      <w:proofErr w:type="spellEnd"/>
      <w:r w:rsidRPr="00A259BD">
        <w:rPr>
          <w:rFonts w:ascii="Times New Roman" w:hAnsi="Times New Roman"/>
          <w:color w:val="000000" w:themeColor="text1"/>
          <w:sz w:val="16"/>
          <w:szCs w:val="16"/>
        </w:rPr>
        <w:t xml:space="preserve"> 1929 года проводится на косе </w:t>
      </w:r>
      <w:proofErr w:type="spellStart"/>
      <w:r w:rsidRPr="00A259BD">
        <w:rPr>
          <w:rFonts w:ascii="Times New Roman" w:hAnsi="Times New Roman"/>
          <w:color w:val="000000" w:themeColor="text1"/>
          <w:sz w:val="16"/>
          <w:szCs w:val="16"/>
        </w:rPr>
        <w:t>Калшот</w:t>
      </w:r>
      <w:proofErr w:type="spellEnd"/>
      <w:r w:rsidRPr="00A259BD">
        <w:rPr>
          <w:rFonts w:ascii="Times New Roman" w:hAnsi="Times New Roman"/>
          <w:color w:val="000000" w:themeColor="text1"/>
          <w:sz w:val="16"/>
          <w:szCs w:val="16"/>
        </w:rPr>
        <w:t xml:space="preserve"> в Соединенном Королевстве. Летный офицер Королевских ВВС Генри </w:t>
      </w:r>
      <w:proofErr w:type="spellStart"/>
      <w:r w:rsidRPr="00A259BD">
        <w:rPr>
          <w:rFonts w:ascii="Times New Roman" w:hAnsi="Times New Roman"/>
          <w:color w:val="000000" w:themeColor="text1"/>
          <w:sz w:val="16"/>
          <w:szCs w:val="16"/>
        </w:rPr>
        <w:t>Вагхорн</w:t>
      </w:r>
      <w:proofErr w:type="spellEnd"/>
      <w:r w:rsidRPr="00A259BD">
        <w:rPr>
          <w:rFonts w:ascii="Times New Roman" w:hAnsi="Times New Roman"/>
          <w:color w:val="000000" w:themeColor="text1"/>
          <w:sz w:val="16"/>
          <w:szCs w:val="16"/>
        </w:rPr>
        <w:t xml:space="preserve"> побеждает на </w:t>
      </w:r>
      <w:proofErr w:type="spellStart"/>
      <w:r w:rsidRPr="00A259BD">
        <w:rPr>
          <w:rFonts w:ascii="Times New Roman" w:hAnsi="Times New Roman"/>
          <w:color w:val="000000" w:themeColor="text1"/>
          <w:sz w:val="16"/>
          <w:szCs w:val="16"/>
        </w:rPr>
        <w:t>Supermarine</w:t>
      </w:r>
      <w:proofErr w:type="spellEnd"/>
      <w:r w:rsidRPr="00A259BD">
        <w:rPr>
          <w:rFonts w:ascii="Times New Roman" w:hAnsi="Times New Roman"/>
          <w:color w:val="000000" w:themeColor="text1"/>
          <w:sz w:val="16"/>
          <w:szCs w:val="16"/>
        </w:rPr>
        <w:t xml:space="preserve"> S.6 со средней скоростью 528,9 км / ч (328,7 миль в час). На Райт XF3W-1 Apache, оснащенным поплавками, лейтенант Аполлон </w:t>
      </w:r>
      <w:proofErr w:type="spellStart"/>
      <w:r w:rsidRPr="00A259BD">
        <w:rPr>
          <w:rFonts w:ascii="Times New Roman" w:hAnsi="Times New Roman"/>
          <w:color w:val="000000" w:themeColor="text1"/>
          <w:sz w:val="16"/>
          <w:szCs w:val="16"/>
        </w:rPr>
        <w:t>Соучки</w:t>
      </w:r>
      <w:proofErr w:type="spellEnd"/>
      <w:r w:rsidRPr="00A259BD">
        <w:rPr>
          <w:rFonts w:ascii="Times New Roman" w:hAnsi="Times New Roman"/>
          <w:color w:val="000000" w:themeColor="text1"/>
          <w:sz w:val="16"/>
          <w:szCs w:val="16"/>
        </w:rPr>
        <w:t xml:space="preserve"> ВМС США устанавливают мировой рекорд высоты для гидросамолетов, поднявшись на 38,500 футов (11,735 м) (20806).</w:t>
      </w:r>
    </w:p>
    <w:p w14:paraId="7438494B" w14:textId="77777777" w:rsidR="00913B9A" w:rsidRPr="00A259BD" w:rsidRDefault="00913B9A" w:rsidP="009236E3">
      <w:pPr>
        <w:spacing w:after="0" w:line="240" w:lineRule="auto"/>
        <w:jc w:val="both"/>
        <w:rPr>
          <w:rFonts w:ascii="Times New Roman" w:hAnsi="Times New Roman"/>
          <w:color w:val="000000" w:themeColor="text1"/>
          <w:sz w:val="16"/>
          <w:szCs w:val="16"/>
        </w:rPr>
      </w:pPr>
    </w:p>
    <w:p w14:paraId="2E60B39D" w14:textId="77777777" w:rsidR="00913B9A" w:rsidRPr="00A259BD" w:rsidRDefault="00913B9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и 7 сентября 1929 прошла очередная гонка на приз Шнейдера, </w:t>
      </w:r>
      <w:proofErr w:type="spellStart"/>
      <w:r w:rsidRPr="00A259BD">
        <w:rPr>
          <w:rFonts w:ascii="Times New Roman" w:hAnsi="Times New Roman"/>
          <w:color w:val="000000" w:themeColor="text1"/>
          <w:sz w:val="16"/>
          <w:szCs w:val="16"/>
        </w:rPr>
        <w:t>кторые</w:t>
      </w:r>
      <w:proofErr w:type="spellEnd"/>
      <w:r w:rsidRPr="00A259BD">
        <w:rPr>
          <w:rFonts w:ascii="Times New Roman" w:hAnsi="Times New Roman"/>
          <w:color w:val="000000" w:themeColor="text1"/>
          <w:sz w:val="16"/>
          <w:szCs w:val="16"/>
        </w:rPr>
        <w:t xml:space="preserve"> с </w:t>
      </w:r>
      <w:proofErr w:type="spellStart"/>
      <w:r w:rsidRPr="00A259BD">
        <w:rPr>
          <w:rFonts w:ascii="Times New Roman" w:hAnsi="Times New Roman"/>
          <w:color w:val="000000" w:themeColor="text1"/>
          <w:sz w:val="16"/>
          <w:szCs w:val="16"/>
        </w:rPr>
        <w:t>этогой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гоки</w:t>
      </w:r>
      <w:proofErr w:type="spellEnd"/>
      <w:r w:rsidRPr="00A259BD">
        <w:rPr>
          <w:rFonts w:ascii="Times New Roman" w:hAnsi="Times New Roman"/>
          <w:color w:val="000000" w:themeColor="text1"/>
          <w:sz w:val="16"/>
          <w:szCs w:val="16"/>
        </w:rPr>
        <w:t xml:space="preserve"> стали проводить не раз в года, а раз в два года. Место было выбрано в английском вкусе — на обширной песчаной банке </w:t>
      </w:r>
      <w:proofErr w:type="spellStart"/>
      <w:r w:rsidRPr="00A259BD">
        <w:rPr>
          <w:rFonts w:ascii="Times New Roman" w:hAnsi="Times New Roman"/>
          <w:color w:val="000000" w:themeColor="text1"/>
          <w:sz w:val="16"/>
          <w:szCs w:val="16"/>
        </w:rPr>
        <w:t>Калшот</w:t>
      </w:r>
      <w:proofErr w:type="spellEnd"/>
      <w:r w:rsidRPr="00A259BD">
        <w:rPr>
          <w:rFonts w:ascii="Times New Roman" w:hAnsi="Times New Roman"/>
          <w:color w:val="000000" w:themeColor="text1"/>
          <w:sz w:val="16"/>
          <w:szCs w:val="16"/>
        </w:rPr>
        <w:t xml:space="preserve">-Спит в заливе </w:t>
      </w:r>
      <w:proofErr w:type="spellStart"/>
      <w:r w:rsidRPr="00A259BD">
        <w:rPr>
          <w:rFonts w:ascii="Times New Roman" w:hAnsi="Times New Roman"/>
          <w:color w:val="000000" w:themeColor="text1"/>
          <w:sz w:val="16"/>
          <w:szCs w:val="16"/>
        </w:rPr>
        <w:t>Солент</w:t>
      </w:r>
      <w:proofErr w:type="spellEnd"/>
      <w:r w:rsidRPr="00A259BD">
        <w:rPr>
          <w:rFonts w:ascii="Times New Roman" w:hAnsi="Times New Roman"/>
          <w:color w:val="000000" w:themeColor="text1"/>
          <w:sz w:val="16"/>
          <w:szCs w:val="16"/>
        </w:rPr>
        <w:t xml:space="preserve"> у города Саутгемптон на южном побережье Англии, что было максимально удобно фирме «</w:t>
      </w:r>
      <w:proofErr w:type="spellStart"/>
      <w:r w:rsidRPr="00A259BD">
        <w:rPr>
          <w:rFonts w:ascii="Times New Roman" w:hAnsi="Times New Roman"/>
          <w:color w:val="000000" w:themeColor="text1"/>
          <w:sz w:val="16"/>
          <w:szCs w:val="16"/>
        </w:rPr>
        <w:t>Супермарин</w:t>
      </w:r>
      <w:proofErr w:type="spellEnd"/>
      <w:r w:rsidRPr="00A259BD">
        <w:rPr>
          <w:rFonts w:ascii="Times New Roman" w:hAnsi="Times New Roman"/>
          <w:color w:val="000000" w:themeColor="text1"/>
          <w:sz w:val="16"/>
          <w:szCs w:val="16"/>
        </w:rPr>
        <w:t>» и экипажам Высокоскоростного звена — никуда ехать не надо, они базировались именно там. Эта местность была курортной, там присутствовало достаточное количество капитальных сооружений для любых водных видов спорта, отелей, ресторанов и прочих заведений, был древний замок, единственное, чего там не оказалось, так это естественных ориентиров для трассы. Конечно, столбы-пилоны, вокруг которых летчикам предстояло «нарезать» семь 50-километровых кругов, можно было поставить и на понтонах, но зрителям на берегу было «не за что зацепиться глазом», и они не могли ощущать той громадной скорости, с которой будут летать гидропланы.</w:t>
      </w:r>
    </w:p>
    <w:p w14:paraId="4ED76CAB" w14:textId="77777777" w:rsidR="00913B9A" w:rsidRPr="00A259BD" w:rsidRDefault="00913B9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Гонка началась с пропуска — так и не явился американец Уильямс, самолету «</w:t>
      </w:r>
      <w:proofErr w:type="spellStart"/>
      <w:r w:rsidRPr="00A259BD">
        <w:rPr>
          <w:rFonts w:ascii="Times New Roman" w:hAnsi="Times New Roman"/>
          <w:color w:val="000000" w:themeColor="text1"/>
          <w:sz w:val="16"/>
          <w:szCs w:val="16"/>
        </w:rPr>
        <w:t>Меркюри</w:t>
      </w:r>
      <w:proofErr w:type="spellEnd"/>
      <w:r w:rsidRPr="00A259BD">
        <w:rPr>
          <w:rFonts w:ascii="Times New Roman" w:hAnsi="Times New Roman"/>
          <w:color w:val="000000" w:themeColor="text1"/>
          <w:sz w:val="16"/>
          <w:szCs w:val="16"/>
        </w:rPr>
        <w:t xml:space="preserve">» которого на жеребьевке достался стартовый номер «1». Потому честь открыть турнир досталась принимающей стороне. Генри </w:t>
      </w:r>
      <w:proofErr w:type="spellStart"/>
      <w:r w:rsidRPr="00A259BD">
        <w:rPr>
          <w:rFonts w:ascii="Times New Roman" w:hAnsi="Times New Roman"/>
          <w:color w:val="000000" w:themeColor="text1"/>
          <w:sz w:val="16"/>
          <w:szCs w:val="16"/>
        </w:rPr>
        <w:t>Вагорн</w:t>
      </w:r>
      <w:proofErr w:type="spellEnd"/>
      <w:r w:rsidRPr="00A259BD">
        <w:rPr>
          <w:rFonts w:ascii="Times New Roman" w:hAnsi="Times New Roman"/>
          <w:color w:val="000000" w:themeColor="text1"/>
          <w:sz w:val="16"/>
          <w:szCs w:val="16"/>
        </w:rPr>
        <w:t xml:space="preserve"> на своем ярко-синем S.6 борт N247 с номером «2» на фюзеляже чисто прошел дистанцию за 39 минут и 42,8 секунды, показав среднюю скорость 528,790 км/ч.</w:t>
      </w:r>
    </w:p>
    <w:p w14:paraId="3970C5C5" w14:textId="77777777" w:rsidR="00913B9A" w:rsidRPr="00A259BD" w:rsidRDefault="00913B9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 ним должны были летать два итальянца, но машина с номером «3» на старт не вышла, и следующей оказалась «четверка» — красный Макки M.52R. </w:t>
      </w:r>
      <w:proofErr w:type="spellStart"/>
      <w:r w:rsidRPr="00A259BD">
        <w:rPr>
          <w:rFonts w:ascii="Times New Roman" w:hAnsi="Times New Roman"/>
          <w:color w:val="000000" w:themeColor="text1"/>
          <w:sz w:val="16"/>
          <w:szCs w:val="16"/>
        </w:rPr>
        <w:t>Томмассо</w:t>
      </w:r>
      <w:proofErr w:type="spellEnd"/>
      <w:r w:rsidRPr="00A259BD">
        <w:rPr>
          <w:rFonts w:ascii="Times New Roman" w:hAnsi="Times New Roman"/>
          <w:color w:val="000000" w:themeColor="text1"/>
          <w:sz w:val="16"/>
          <w:szCs w:val="16"/>
        </w:rPr>
        <w:t xml:space="preserve"> Дал </w:t>
      </w:r>
      <w:proofErr w:type="spellStart"/>
      <w:r w:rsidRPr="00A259BD">
        <w:rPr>
          <w:rFonts w:ascii="Times New Roman" w:hAnsi="Times New Roman"/>
          <w:color w:val="000000" w:themeColor="text1"/>
          <w:sz w:val="16"/>
          <w:szCs w:val="16"/>
        </w:rPr>
        <w:t>Молин</w:t>
      </w:r>
      <w:proofErr w:type="spellEnd"/>
      <w:r w:rsidRPr="00A259BD">
        <w:rPr>
          <w:rFonts w:ascii="Times New Roman" w:hAnsi="Times New Roman"/>
          <w:color w:val="000000" w:themeColor="text1"/>
          <w:sz w:val="16"/>
          <w:szCs w:val="16"/>
        </w:rPr>
        <w:t xml:space="preserve"> тоже полностью справился с задачей, но его время было лишь 45 минут и 54,4 секунды, и средняя скорость оказалась на целых 71 км/ч меньше — 457,450 км/ч.</w:t>
      </w:r>
    </w:p>
    <w:p w14:paraId="365FF4C1" w14:textId="77777777" w:rsidR="00913B9A" w:rsidRPr="00A259BD" w:rsidRDefault="00913B9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Следующим летел </w:t>
      </w:r>
      <w:proofErr w:type="spellStart"/>
      <w:r w:rsidRPr="00A259BD">
        <w:rPr>
          <w:rFonts w:ascii="Times New Roman" w:hAnsi="Times New Roman"/>
          <w:color w:val="000000" w:themeColor="text1"/>
          <w:sz w:val="16"/>
          <w:szCs w:val="16"/>
        </w:rPr>
        <w:t>д’Арси</w:t>
      </w:r>
      <w:proofErr w:type="spellEnd"/>
      <w:r w:rsidRPr="00A259BD">
        <w:rPr>
          <w:rFonts w:ascii="Times New Roman" w:hAnsi="Times New Roman"/>
          <w:color w:val="000000" w:themeColor="text1"/>
          <w:sz w:val="16"/>
          <w:szCs w:val="16"/>
        </w:rPr>
        <w:t xml:space="preserve"> Грейг на </w:t>
      </w:r>
      <w:proofErr w:type="spellStart"/>
      <w:r w:rsidRPr="00A259BD">
        <w:rPr>
          <w:rFonts w:ascii="Times New Roman" w:hAnsi="Times New Roman"/>
          <w:color w:val="000000" w:themeColor="text1"/>
          <w:sz w:val="16"/>
          <w:szCs w:val="16"/>
        </w:rPr>
        <w:t>Супермарине</w:t>
      </w:r>
      <w:proofErr w:type="spellEnd"/>
      <w:r w:rsidRPr="00A259BD">
        <w:rPr>
          <w:rFonts w:ascii="Times New Roman" w:hAnsi="Times New Roman"/>
          <w:color w:val="000000" w:themeColor="text1"/>
          <w:sz w:val="16"/>
          <w:szCs w:val="16"/>
        </w:rPr>
        <w:t xml:space="preserve"> S.5 борт N220 (стартовый номер «5»). Его результат был почти как у Дал Молина — 46 минут 15,2 секунды и 453,021 км/ч.</w:t>
      </w:r>
    </w:p>
    <w:p w14:paraId="1A3D4FF4" w14:textId="77777777" w:rsidR="00913B9A" w:rsidRPr="00A259BD" w:rsidRDefault="00913B9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Основные надежды итальянцы возлагали, конечно же, на новейшие М.67. Шестой (также итальянский) участник на старт не вышел, и продолжил гонку Ремо </w:t>
      </w:r>
      <w:proofErr w:type="spellStart"/>
      <w:r w:rsidRPr="00A259BD">
        <w:rPr>
          <w:rFonts w:ascii="Times New Roman" w:hAnsi="Times New Roman"/>
          <w:color w:val="000000" w:themeColor="text1"/>
          <w:sz w:val="16"/>
          <w:szCs w:val="16"/>
        </w:rPr>
        <w:t>Кадрингер</w:t>
      </w:r>
      <w:proofErr w:type="spellEnd"/>
      <w:r w:rsidRPr="00A259BD">
        <w:rPr>
          <w:rFonts w:ascii="Times New Roman" w:hAnsi="Times New Roman"/>
          <w:color w:val="000000" w:themeColor="text1"/>
          <w:sz w:val="16"/>
          <w:szCs w:val="16"/>
        </w:rPr>
        <w:t xml:space="preserve"> на М.67 борт М.М.103 со стартовым номером «7». Однако уже на втором круге он оказался на воде — кашляющий и почти ослепший от выхлопных газов, паров топлива и масла, которые заполнили всю кабину, хотя она была открытой! Но даже если бы </w:t>
      </w:r>
      <w:proofErr w:type="spellStart"/>
      <w:r w:rsidRPr="00A259BD">
        <w:rPr>
          <w:rFonts w:ascii="Times New Roman" w:hAnsi="Times New Roman"/>
          <w:color w:val="000000" w:themeColor="text1"/>
          <w:sz w:val="16"/>
          <w:szCs w:val="16"/>
        </w:rPr>
        <w:t>Кадрингеру</w:t>
      </w:r>
      <w:proofErr w:type="spellEnd"/>
      <w:r w:rsidRPr="00A259BD">
        <w:rPr>
          <w:rFonts w:ascii="Times New Roman" w:hAnsi="Times New Roman"/>
          <w:color w:val="000000" w:themeColor="text1"/>
          <w:sz w:val="16"/>
          <w:szCs w:val="16"/>
        </w:rPr>
        <w:t xml:space="preserve"> удалось пройти весь маршрут, его предварительный результат не впечатлял — на первом круге он показал скорость лишь 456,763 км/ч.</w:t>
      </w:r>
    </w:p>
    <w:p w14:paraId="3D311430" w14:textId="77777777" w:rsidR="00913B9A" w:rsidRPr="00A259BD" w:rsidRDefault="00913B9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 номером «8» стартовал </w:t>
      </w:r>
      <w:proofErr w:type="spellStart"/>
      <w:r w:rsidRPr="00A259BD">
        <w:rPr>
          <w:rFonts w:ascii="Times New Roman" w:hAnsi="Times New Roman"/>
          <w:color w:val="000000" w:themeColor="text1"/>
          <w:sz w:val="16"/>
          <w:szCs w:val="16"/>
        </w:rPr>
        <w:t>Супермарин</w:t>
      </w:r>
      <w:proofErr w:type="spellEnd"/>
      <w:r w:rsidRPr="00A259BD">
        <w:rPr>
          <w:rFonts w:ascii="Times New Roman" w:hAnsi="Times New Roman"/>
          <w:color w:val="000000" w:themeColor="text1"/>
          <w:sz w:val="16"/>
          <w:szCs w:val="16"/>
        </w:rPr>
        <w:t xml:space="preserve"> S.6 борт N248 Ричарда </w:t>
      </w:r>
      <w:proofErr w:type="spellStart"/>
      <w:r w:rsidRPr="00A259BD">
        <w:rPr>
          <w:rFonts w:ascii="Times New Roman" w:hAnsi="Times New Roman"/>
          <w:color w:val="000000" w:themeColor="text1"/>
          <w:sz w:val="16"/>
          <w:szCs w:val="16"/>
        </w:rPr>
        <w:t>Этчерли</w:t>
      </w:r>
      <w:proofErr w:type="spellEnd"/>
      <w:r w:rsidRPr="00A259BD">
        <w:rPr>
          <w:rFonts w:ascii="Times New Roman" w:hAnsi="Times New Roman"/>
          <w:color w:val="000000" w:themeColor="text1"/>
          <w:sz w:val="16"/>
          <w:szCs w:val="16"/>
        </w:rPr>
        <w:t xml:space="preserve">. Трассу он прошел всю, показав хорошее время 40 минут и 3,69 секунды (средняя скорость 523,794 км/ч), но результат был аннулирован — английский пилот как минимум один раз «подрезал пилон». Тем не менее комиссия ФАИ сочла возможным зачесть полет </w:t>
      </w:r>
      <w:proofErr w:type="spellStart"/>
      <w:r w:rsidRPr="00A259BD">
        <w:rPr>
          <w:rFonts w:ascii="Times New Roman" w:hAnsi="Times New Roman"/>
          <w:color w:val="000000" w:themeColor="text1"/>
          <w:sz w:val="16"/>
          <w:szCs w:val="16"/>
        </w:rPr>
        <w:t>Этчерли</w:t>
      </w:r>
      <w:proofErr w:type="spellEnd"/>
      <w:r w:rsidRPr="00A259BD">
        <w:rPr>
          <w:rFonts w:ascii="Times New Roman" w:hAnsi="Times New Roman"/>
          <w:color w:val="000000" w:themeColor="text1"/>
          <w:sz w:val="16"/>
          <w:szCs w:val="16"/>
        </w:rPr>
        <w:t xml:space="preserve"> как мировой рекорд скорости по замкнутому маршруту 50 и 100 км, потому что первые четыре круга он прошел чисто и быстрее, чем </w:t>
      </w:r>
      <w:proofErr w:type="spellStart"/>
      <w:r w:rsidRPr="00A259BD">
        <w:rPr>
          <w:rFonts w:ascii="Times New Roman" w:hAnsi="Times New Roman"/>
          <w:color w:val="000000" w:themeColor="text1"/>
          <w:sz w:val="16"/>
          <w:szCs w:val="16"/>
        </w:rPr>
        <w:t>Вагорн</w:t>
      </w:r>
      <w:proofErr w:type="spellEnd"/>
      <w:r w:rsidRPr="00A259BD">
        <w:rPr>
          <w:rFonts w:ascii="Times New Roman" w:hAnsi="Times New Roman"/>
          <w:color w:val="000000" w:themeColor="text1"/>
          <w:sz w:val="16"/>
          <w:szCs w:val="16"/>
        </w:rPr>
        <w:t>, который предпочел финишный «спурт».</w:t>
      </w:r>
    </w:p>
    <w:p w14:paraId="1EE05965" w14:textId="77777777" w:rsidR="00913B9A" w:rsidRPr="00A259BD" w:rsidRDefault="00913B9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Итальянский гонщик с номером «10» — Джованни Монти взлетел на своем М.67 борт М.М.105. Он тоже выдержал полностью лишь один круг, но его «приключения» были гораздо более драматичны, чем у товарища по команде </w:t>
      </w:r>
      <w:proofErr w:type="spellStart"/>
      <w:r w:rsidRPr="00A259BD">
        <w:rPr>
          <w:rFonts w:ascii="Times New Roman" w:hAnsi="Times New Roman"/>
          <w:color w:val="000000" w:themeColor="text1"/>
          <w:sz w:val="16"/>
          <w:szCs w:val="16"/>
        </w:rPr>
        <w:t>Кадрингера</w:t>
      </w:r>
      <w:proofErr w:type="spellEnd"/>
      <w:r w:rsidRPr="00A259BD">
        <w:rPr>
          <w:rFonts w:ascii="Times New Roman" w:hAnsi="Times New Roman"/>
          <w:color w:val="000000" w:themeColor="text1"/>
          <w:sz w:val="16"/>
          <w:szCs w:val="16"/>
        </w:rPr>
        <w:t xml:space="preserve">. После выхода на второй виток его машина внезапно окуталась белым облачком и пошла на посадку. Когда спасатели до нее добрались, они увидели, что пилот сильно обожжен: лопнули трубопроводы системы охлаждения мотора, находившиеся в них под давлением кипящая вода и пар устремились в кабину, и Монти лишь чудом остался жив. Его увезли в госпиталь, а самолет вытащили на берег. Таким образом, Англия второй раз подряд выиграла Кубок — </w:t>
      </w:r>
      <w:proofErr w:type="spellStart"/>
      <w:r w:rsidRPr="00A259BD">
        <w:rPr>
          <w:rFonts w:ascii="Times New Roman" w:hAnsi="Times New Roman"/>
          <w:color w:val="000000" w:themeColor="text1"/>
          <w:sz w:val="16"/>
          <w:szCs w:val="16"/>
        </w:rPr>
        <w:t>Вагорн</w:t>
      </w:r>
      <w:proofErr w:type="spellEnd"/>
      <w:r w:rsidRPr="00A259BD">
        <w:rPr>
          <w:rFonts w:ascii="Times New Roman" w:hAnsi="Times New Roman"/>
          <w:color w:val="000000" w:themeColor="text1"/>
          <w:sz w:val="16"/>
          <w:szCs w:val="16"/>
        </w:rPr>
        <w:t xml:space="preserve"> на своем S.6 занял I место. «Серебро» взял итальянец Дал </w:t>
      </w:r>
      <w:proofErr w:type="spellStart"/>
      <w:r w:rsidRPr="00A259BD">
        <w:rPr>
          <w:rFonts w:ascii="Times New Roman" w:hAnsi="Times New Roman"/>
          <w:color w:val="000000" w:themeColor="text1"/>
          <w:sz w:val="16"/>
          <w:szCs w:val="16"/>
        </w:rPr>
        <w:t>Молин</w:t>
      </w:r>
      <w:proofErr w:type="spellEnd"/>
      <w:r w:rsidRPr="00A259BD">
        <w:rPr>
          <w:rFonts w:ascii="Times New Roman" w:hAnsi="Times New Roman"/>
          <w:color w:val="000000" w:themeColor="text1"/>
          <w:sz w:val="16"/>
          <w:szCs w:val="16"/>
        </w:rPr>
        <w:t xml:space="preserve"> на M.52R, а «бронзу» — англичанин </w:t>
      </w:r>
      <w:proofErr w:type="spellStart"/>
      <w:r w:rsidRPr="00A259BD">
        <w:rPr>
          <w:rFonts w:ascii="Times New Roman" w:hAnsi="Times New Roman"/>
          <w:color w:val="000000" w:themeColor="text1"/>
          <w:sz w:val="16"/>
          <w:szCs w:val="16"/>
        </w:rPr>
        <w:t>д’Арси</w:t>
      </w:r>
      <w:proofErr w:type="spellEnd"/>
      <w:r w:rsidRPr="00A259BD">
        <w:rPr>
          <w:rFonts w:ascii="Times New Roman" w:hAnsi="Times New Roman"/>
          <w:color w:val="000000" w:themeColor="text1"/>
          <w:sz w:val="16"/>
          <w:szCs w:val="16"/>
        </w:rPr>
        <w:t xml:space="preserve"> Грейг на S.5. Не дошедшие до финиша Монти и Ремо получили в утешение соответственно IV и V места. Вот и весь зачет. (22764).</w:t>
      </w:r>
    </w:p>
    <w:p w14:paraId="1FD23702" w14:textId="77777777" w:rsidR="00913B9A" w:rsidRPr="00A259BD" w:rsidRDefault="00913B9A" w:rsidP="009236E3">
      <w:pPr>
        <w:spacing w:after="0" w:line="240" w:lineRule="auto"/>
        <w:jc w:val="both"/>
        <w:rPr>
          <w:rFonts w:ascii="Times New Roman" w:hAnsi="Times New Roman"/>
          <w:color w:val="000000" w:themeColor="text1"/>
          <w:sz w:val="16"/>
          <w:szCs w:val="16"/>
        </w:rPr>
      </w:pPr>
    </w:p>
    <w:p w14:paraId="5E950DDC" w14:textId="77777777" w:rsidR="00913B9A" w:rsidRPr="00A259BD" w:rsidRDefault="00913B9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сентября 1929 - Лейтенант ВМС США Аполлон Сучек (Apollo </w:t>
      </w:r>
      <w:proofErr w:type="spellStart"/>
      <w:r w:rsidRPr="00A259BD">
        <w:rPr>
          <w:rFonts w:ascii="Times New Roman" w:hAnsi="Times New Roman"/>
          <w:color w:val="000000" w:themeColor="text1"/>
          <w:sz w:val="16"/>
          <w:szCs w:val="16"/>
        </w:rPr>
        <w:t>Soucek</w:t>
      </w:r>
      <w:proofErr w:type="spellEnd"/>
      <w:r w:rsidRPr="00A259BD">
        <w:rPr>
          <w:rFonts w:ascii="Times New Roman" w:hAnsi="Times New Roman"/>
          <w:color w:val="000000" w:themeColor="text1"/>
          <w:sz w:val="16"/>
          <w:szCs w:val="16"/>
        </w:rPr>
        <w:t xml:space="preserve">) на </w:t>
      </w:r>
      <w:proofErr w:type="spellStart"/>
      <w:r w:rsidRPr="00A259BD">
        <w:rPr>
          <w:rFonts w:ascii="Times New Roman" w:hAnsi="Times New Roman"/>
          <w:color w:val="000000" w:themeColor="text1"/>
          <w:sz w:val="16"/>
          <w:szCs w:val="16"/>
        </w:rPr>
        <w:t>Wright</w:t>
      </w:r>
      <w:proofErr w:type="spellEnd"/>
      <w:r w:rsidRPr="00A259BD">
        <w:rPr>
          <w:rFonts w:ascii="Times New Roman" w:hAnsi="Times New Roman"/>
          <w:color w:val="000000" w:themeColor="text1"/>
          <w:sz w:val="16"/>
          <w:szCs w:val="16"/>
        </w:rPr>
        <w:t xml:space="preserve"> XF3 W-1 Apache, оснащенном поплавками,  устанавливает мировой рекорд высоты для гидросамолетов, поднявшись на 38 500 футов (11 735 м) (22373).</w:t>
      </w:r>
    </w:p>
    <w:p w14:paraId="17418B5D" w14:textId="77777777" w:rsidR="00913B9A" w:rsidRPr="00A259BD" w:rsidRDefault="00913B9A" w:rsidP="009236E3">
      <w:pPr>
        <w:spacing w:after="0" w:line="240" w:lineRule="auto"/>
        <w:jc w:val="both"/>
        <w:rPr>
          <w:rFonts w:ascii="Times New Roman" w:hAnsi="Times New Roman"/>
          <w:color w:val="000000" w:themeColor="text1"/>
          <w:sz w:val="16"/>
          <w:szCs w:val="16"/>
        </w:rPr>
      </w:pPr>
    </w:p>
    <w:p w14:paraId="2834299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42B4E2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C6139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сентября 1929 опытный образец Р-6 перевезли на аэродром. Как и предполагалось, "крейсер" выглядел уменьшенным подобием ТБ-1. Это был такой же цельнометаллический свободнонесущий моноплан с гофрированной обшивкой. Шасси не убиралось, сзади машина опиралась на металлический костыль. Но пилотская кабина - одноместная, смещенная влево от оси самолета. Но задняя турель - только одна, зато под фюзеляж выдвигается "башня Б" (в просторечии - "штаны") с пулеметом ДА на шкворне, такая же, как потом монтировалась под крыльями ТБ-3.</w:t>
      </w:r>
    </w:p>
    <w:p w14:paraId="78E7EA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 - пять пулеметов против шести на ТБ-1. Бомбовая нагрузка предусматривалась, но мизерная (192 кг) и только в виде бомб малого калибра; самой большой могла быть двухпудовая АФ-32.</w:t>
      </w:r>
    </w:p>
    <w:p w14:paraId="742B35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 испытания Р-6 проходил в НИИ ВВС. Первые полеты совершил М.М. Громов. Выявилось немало недостатков и машину вернули ЦАГИ на доработку. На государственные испытания самолет попал лишь 11 марта 1930 г.</w:t>
      </w:r>
    </w:p>
    <w:p w14:paraId="38B5EE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Эти испытания прошли тоже не очень удачно. Общая оценка оказалась неутешительной. В выводах отчета НИИ ВВС четко сказано, что самолет не удовлетворяет техническим условиям. Взлетный вес оказался больше заданного на 355 кг. Скорость у земли была меньше требуемой на 14 км/ч, на высоте 3000 м - на 42 км/ч. Потолок "недобрали" на 1560 м. На высоту 5000 м Р-6 забирался за 30 мин вместо 15,3 по заданию. Нормальный радиус действия самолета, который должен был стать и дальним разведчиком, оказался всего 268 км/ч, в то время как у более легкого и дешевого одномоторного биплана Р-5 - 398 км!</w:t>
      </w:r>
    </w:p>
    <w:p w14:paraId="369921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выводах отчета записано: "Преимущество перед ТБ-1 минимально". А ведь за счет уменьшения габаритов и веса, фактического отказа от полноценной бомбовой нагрузки, как раз и собирались получить прирост летных данных по сравнению с бомбардировщиком. Кроме того, выявились вибрации хвостового оперения, фюзеляжа и моторов. В одном из полетов сорвало переднюю кромку крыла (она была задвижной, без фиксации). Протекали </w:t>
      </w:r>
      <w:proofErr w:type="spellStart"/>
      <w:r w:rsidRPr="00A259BD">
        <w:rPr>
          <w:rFonts w:ascii="Times New Roman" w:hAnsi="Times New Roman"/>
          <w:color w:val="000000" w:themeColor="text1"/>
          <w:sz w:val="16"/>
          <w:szCs w:val="16"/>
        </w:rPr>
        <w:t>бензокраны</w:t>
      </w:r>
      <w:proofErr w:type="spellEnd"/>
      <w:r w:rsidRPr="00A259BD">
        <w:rPr>
          <w:rFonts w:ascii="Times New Roman" w:hAnsi="Times New Roman"/>
          <w:color w:val="000000" w:themeColor="text1"/>
          <w:sz w:val="16"/>
          <w:szCs w:val="16"/>
        </w:rPr>
        <w:t xml:space="preserve">, слишком жесткой была амортизация шасси. Обзор у </w:t>
      </w:r>
      <w:proofErr w:type="spellStart"/>
      <w:r w:rsidRPr="00A259BD">
        <w:rPr>
          <w:rFonts w:ascii="Times New Roman" w:hAnsi="Times New Roman"/>
          <w:color w:val="000000" w:themeColor="text1"/>
          <w:sz w:val="16"/>
          <w:szCs w:val="16"/>
        </w:rPr>
        <w:t>летна</w:t>
      </w:r>
      <w:proofErr w:type="spellEnd"/>
      <w:r w:rsidRPr="00A259BD">
        <w:rPr>
          <w:rFonts w:ascii="Times New Roman" w:hAnsi="Times New Roman"/>
          <w:color w:val="000000" w:themeColor="text1"/>
          <w:sz w:val="16"/>
          <w:szCs w:val="16"/>
        </w:rPr>
        <w:t>- ба (штурмана-стрелка), сидевшего в передней кабине, сочли недостаточным. Он мог смотреть, только высовываясь вверх из проема турели. Всего специалисты НИИ ВВС отметили 73 дефекта.</w:t>
      </w:r>
    </w:p>
    <w:p w14:paraId="2BA317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Конечно, нашли и кое-что положительное. В отчете указано, что самолет "прост и не утомителен в пилотировании", отметили "хорошую устойчивость и управляемость", по достоинству оценили небольшой (100 - 120 м) разбег и огневую мощь Р-6.</w:t>
      </w:r>
    </w:p>
    <w:p w14:paraId="2AD213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Испытания закончились 30 марта. Самолет </w:t>
      </w:r>
      <w:proofErr w:type="spellStart"/>
      <w:r w:rsidRPr="00A259BD">
        <w:rPr>
          <w:rFonts w:ascii="Times New Roman" w:hAnsi="Times New Roman"/>
          <w:color w:val="000000" w:themeColor="text1"/>
          <w:sz w:val="16"/>
          <w:szCs w:val="16"/>
        </w:rPr>
        <w:t>еше</w:t>
      </w:r>
      <w:proofErr w:type="spellEnd"/>
      <w:r w:rsidRPr="00A259BD">
        <w:rPr>
          <w:rFonts w:ascii="Times New Roman" w:hAnsi="Times New Roman"/>
          <w:color w:val="000000" w:themeColor="text1"/>
          <w:sz w:val="16"/>
          <w:szCs w:val="16"/>
        </w:rPr>
        <w:t xml:space="preserve"> раз вернули в ЦАГИ, где его подвергли значительной доработке. Переделки заняли около четырех месяцев. Причиной вибраций задней части и оперения сочли завихрения потоков воздуха, сбегающего по крылу. В борьбе с этим заднюю кромку крыла у фюзеляжа приподняли, оставив у концов в прежнем положении. Существенные изменения внесли и в </w:t>
      </w:r>
      <w:proofErr w:type="spellStart"/>
      <w:r w:rsidRPr="00A259BD">
        <w:rPr>
          <w:rFonts w:ascii="Times New Roman" w:hAnsi="Times New Roman"/>
          <w:color w:val="000000" w:themeColor="text1"/>
          <w:sz w:val="16"/>
          <w:szCs w:val="16"/>
        </w:rPr>
        <w:t>мотоустановку</w:t>
      </w:r>
      <w:proofErr w:type="spellEnd"/>
      <w:r w:rsidRPr="00A259BD">
        <w:rPr>
          <w:rFonts w:ascii="Times New Roman" w:hAnsi="Times New Roman"/>
          <w:color w:val="000000" w:themeColor="text1"/>
          <w:sz w:val="16"/>
          <w:szCs w:val="16"/>
        </w:rPr>
        <w:t xml:space="preserve">. На двигатели надели новые капоты. Под моторы перенесли водяные радиаторы, установив их в наклонном положении. Ранее они стояли под плоскостями между фюзеляжем и </w:t>
      </w:r>
      <w:proofErr w:type="spellStart"/>
      <w:r w:rsidRPr="00A259BD">
        <w:rPr>
          <w:rFonts w:ascii="Times New Roman" w:hAnsi="Times New Roman"/>
          <w:color w:val="000000" w:themeColor="text1"/>
          <w:sz w:val="16"/>
          <w:szCs w:val="16"/>
        </w:rPr>
        <w:t>мотогондолами</w:t>
      </w:r>
      <w:proofErr w:type="spellEnd"/>
      <w:r w:rsidRPr="00A259BD">
        <w:rPr>
          <w:rFonts w:ascii="Times New Roman" w:hAnsi="Times New Roman"/>
          <w:color w:val="000000" w:themeColor="text1"/>
          <w:sz w:val="16"/>
          <w:szCs w:val="16"/>
        </w:rPr>
        <w:t>, и могли в полете для уменьшения сопротивления втягиваться в крыло. Изменением положения радиатора собирались и регулировать охлаждение. Теперь это сочли ненужным усложнением. Радиаторы сделали неподвижными, а наклон должен был уменьшить лобовое сопротивление до приемлемых пределов. На выхлопных патрубках моторов появились новые плоские глушители, выхлоп из которых был направлен вверх.</w:t>
      </w:r>
    </w:p>
    <w:p w14:paraId="585492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Переднюю кромку крыла прихватили проволокой. У лет- </w:t>
      </w:r>
      <w:proofErr w:type="spellStart"/>
      <w:r w:rsidRPr="00A259BD">
        <w:rPr>
          <w:rFonts w:ascii="Times New Roman" w:hAnsi="Times New Roman"/>
          <w:color w:val="000000" w:themeColor="text1"/>
          <w:sz w:val="16"/>
          <w:szCs w:val="16"/>
        </w:rPr>
        <w:t>наба</w:t>
      </w:r>
      <w:proofErr w:type="spellEnd"/>
      <w:r w:rsidRPr="00A259BD">
        <w:rPr>
          <w:rFonts w:ascii="Times New Roman" w:hAnsi="Times New Roman"/>
          <w:color w:val="000000" w:themeColor="text1"/>
          <w:sz w:val="16"/>
          <w:szCs w:val="16"/>
        </w:rPr>
        <w:t xml:space="preserve"> сделали спереди подслеповатое целлулоидное окошко. Заменили носовую пулеметную турель, теперь обе они, передняя и задняя, были одного типа - Тур-5. Задняя перекатывалась с борта на борт, увеличивая поле обстрела. Кресло пилота приподняли, чтобы улучшить обзор. Перед пилотской кабиной из-за этого пришлось сделать небольшой </w:t>
      </w:r>
      <w:proofErr w:type="spellStart"/>
      <w:r w:rsidRPr="00A259BD">
        <w:rPr>
          <w:rFonts w:ascii="Times New Roman" w:hAnsi="Times New Roman"/>
          <w:color w:val="000000" w:themeColor="text1"/>
          <w:sz w:val="16"/>
          <w:szCs w:val="16"/>
        </w:rPr>
        <w:t>гар</w:t>
      </w:r>
      <w:proofErr w:type="spellEnd"/>
      <w:r w:rsidRPr="00A259BD">
        <w:rPr>
          <w:rFonts w:ascii="Times New Roman" w:hAnsi="Times New Roman"/>
          <w:color w:val="000000" w:themeColor="text1"/>
          <w:sz w:val="16"/>
          <w:szCs w:val="16"/>
        </w:rPr>
        <w:t>- грот-обтекатель. Ввели козырек перед задней турелью, увеличили вырез выпускной нижней башни и изменили в ней крепление пулемета. Колеса заменили на большие по размеру, метрового диаметра. Но после всех переделок машина не только не потяжелела, но конструкторам удалось даже "сбросить" около 80 кг (12036).</w:t>
      </w:r>
    </w:p>
    <w:p w14:paraId="3F889C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FAC86E" w14:textId="77777777" w:rsidR="00F86BBA" w:rsidRPr="00A259BD" w:rsidRDefault="00F86B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сентября 1929 опытный образец Р-6 перевезли на Центральный аэродром (12264).</w:t>
      </w:r>
    </w:p>
    <w:p w14:paraId="0DE82B36" w14:textId="77777777" w:rsidR="00F86BBA" w:rsidRPr="00A259BD" w:rsidRDefault="00F86BBA" w:rsidP="009236E3">
      <w:pPr>
        <w:spacing w:after="0" w:line="240" w:lineRule="auto"/>
        <w:jc w:val="both"/>
        <w:rPr>
          <w:rFonts w:ascii="Times New Roman" w:hAnsi="Times New Roman"/>
          <w:color w:val="000000" w:themeColor="text1"/>
          <w:sz w:val="16"/>
          <w:szCs w:val="16"/>
        </w:rPr>
      </w:pPr>
    </w:p>
    <w:p w14:paraId="063D3AEE"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начале сентября 1929 г. АНТ—7 перевезли на аэродром (23474).</w:t>
      </w:r>
    </w:p>
    <w:p w14:paraId="760A5F00" w14:textId="77777777" w:rsidR="002F3A10" w:rsidRPr="00441F34" w:rsidRDefault="002F3A10" w:rsidP="002F3A10">
      <w:pPr>
        <w:spacing w:after="0" w:line="240" w:lineRule="auto"/>
        <w:jc w:val="both"/>
        <w:rPr>
          <w:rFonts w:ascii="Times New Roman" w:hAnsi="Times New Roman"/>
          <w:color w:val="0070C0"/>
          <w:sz w:val="16"/>
          <w:szCs w:val="16"/>
        </w:rPr>
      </w:pPr>
    </w:p>
    <w:p w14:paraId="1ECE64D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EFFB57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E09D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сентября 1929 г. </w:t>
      </w:r>
      <w:proofErr w:type="spellStart"/>
      <w:r w:rsidRPr="00A259BD">
        <w:rPr>
          <w:rFonts w:ascii="Times New Roman" w:hAnsi="Times New Roman"/>
          <w:color w:val="000000" w:themeColor="text1"/>
          <w:sz w:val="16"/>
          <w:szCs w:val="16"/>
        </w:rPr>
        <w:t>Замнаркомвоенмора</w:t>
      </w:r>
      <w:proofErr w:type="spellEnd"/>
      <w:r w:rsidRPr="00A259BD">
        <w:rPr>
          <w:rFonts w:ascii="Times New Roman" w:hAnsi="Times New Roman"/>
          <w:color w:val="000000" w:themeColor="text1"/>
          <w:sz w:val="16"/>
          <w:szCs w:val="16"/>
        </w:rPr>
        <w:t xml:space="preserve"> и Зампред РВС </w:t>
      </w:r>
      <w:proofErr w:type="spellStart"/>
      <w:r w:rsidRPr="00A259BD">
        <w:rPr>
          <w:rFonts w:ascii="Times New Roman" w:hAnsi="Times New Roman"/>
          <w:color w:val="000000" w:themeColor="text1"/>
          <w:sz w:val="16"/>
          <w:szCs w:val="16"/>
        </w:rPr>
        <w:t>Уншлихт</w:t>
      </w:r>
      <w:proofErr w:type="spellEnd"/>
      <w:r w:rsidRPr="00A259BD">
        <w:rPr>
          <w:rFonts w:ascii="Times New Roman" w:hAnsi="Times New Roman"/>
          <w:color w:val="000000" w:themeColor="text1"/>
          <w:sz w:val="16"/>
          <w:szCs w:val="16"/>
        </w:rPr>
        <w:t xml:space="preserve"> подготовил ПРЕДЛОЖЕНИЯ РВС СССР О МЕРАХ ПО РАЗРЕШЕНИЮ КРИЗИСА В ОБЛАСТИ ОПЫТНОГО АВИАСТРОЕНИЯ - в ВСНХ (Куйбышеву), ГВПУ (Урываеву) и ОГПУ (Ольскому).</w:t>
      </w:r>
    </w:p>
    <w:p w14:paraId="5E021F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"Уважаемые товарищи!</w:t>
      </w:r>
    </w:p>
    <w:p w14:paraId="129090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исключительно быстром росте нашего военного и граж</w:t>
      </w:r>
      <w:r w:rsidRPr="00A259BD">
        <w:rPr>
          <w:rFonts w:ascii="Times New Roman" w:hAnsi="Times New Roman"/>
          <w:color w:val="000000" w:themeColor="text1"/>
          <w:sz w:val="16"/>
          <w:szCs w:val="16"/>
        </w:rPr>
        <w:softHyphen/>
        <w:t>данского воздушного флота и громадной его нужде в современ</w:t>
      </w:r>
      <w:r w:rsidRPr="00A259BD">
        <w:rPr>
          <w:rFonts w:ascii="Times New Roman" w:hAnsi="Times New Roman"/>
          <w:color w:val="000000" w:themeColor="text1"/>
          <w:sz w:val="16"/>
          <w:szCs w:val="16"/>
        </w:rPr>
        <w:softHyphen/>
        <w:t>ных самолетах и моторах, Государственный авиационный завод № 1 (бывш. "Дукс"), являющийся главным и крупнейшим заво</w:t>
      </w:r>
      <w:r w:rsidRPr="00A259BD">
        <w:rPr>
          <w:rFonts w:ascii="Times New Roman" w:hAnsi="Times New Roman"/>
          <w:color w:val="000000" w:themeColor="text1"/>
          <w:sz w:val="16"/>
          <w:szCs w:val="16"/>
        </w:rPr>
        <w:softHyphen/>
        <w:t>дом по серийному производству самолетов деревянной конструк</w:t>
      </w:r>
      <w:r w:rsidRPr="00A259BD">
        <w:rPr>
          <w:rFonts w:ascii="Times New Roman" w:hAnsi="Times New Roman"/>
          <w:color w:val="000000" w:themeColor="text1"/>
          <w:sz w:val="16"/>
          <w:szCs w:val="16"/>
        </w:rPr>
        <w:softHyphen/>
        <w:t>ции, станет уже в 1929/30 г. перед серьезнейшей угрозой не</w:t>
      </w:r>
      <w:r w:rsidRPr="00A259BD">
        <w:rPr>
          <w:rFonts w:ascii="Times New Roman" w:hAnsi="Times New Roman"/>
          <w:color w:val="000000" w:themeColor="text1"/>
          <w:sz w:val="16"/>
          <w:szCs w:val="16"/>
        </w:rPr>
        <w:softHyphen/>
        <w:t>догруза и связанным с этим недогрузом сокращением рабочих и служащих.</w:t>
      </w:r>
    </w:p>
    <w:p w14:paraId="4EFDEB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капитальное строительство ГАЗ-1 за 1927/28 и 1928/29 гг. уже затрачено свыше ТРЕХ мил. р., а за ближайшие годы пятилетки еще предназначено затратить около шести мил. р.)</w:t>
      </w:r>
    </w:p>
    <w:p w14:paraId="7E46A9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Перед такой же перспективой и необходимостью станут в ближайшие годы остальные серийные заводы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в пер</w:t>
      </w:r>
      <w:r w:rsidRPr="00A259BD">
        <w:rPr>
          <w:rFonts w:ascii="Times New Roman" w:hAnsi="Times New Roman"/>
          <w:color w:val="000000" w:themeColor="text1"/>
          <w:sz w:val="16"/>
          <w:szCs w:val="16"/>
        </w:rPr>
        <w:softHyphen/>
        <w:t>вую очередь заводы по серийному производству самолетов дере</w:t>
      </w:r>
      <w:r w:rsidRPr="00A259BD">
        <w:rPr>
          <w:rFonts w:ascii="Times New Roman" w:hAnsi="Times New Roman"/>
          <w:color w:val="000000" w:themeColor="text1"/>
          <w:sz w:val="16"/>
          <w:szCs w:val="16"/>
        </w:rPr>
        <w:softHyphen/>
        <w:t>вянных конструкций (ГАЗ-23 и ГАЗ-31), если, и преду</w:t>
      </w:r>
      <w:r w:rsidRPr="00A259BD">
        <w:rPr>
          <w:rFonts w:ascii="Times New Roman" w:hAnsi="Times New Roman"/>
          <w:color w:val="000000" w:themeColor="text1"/>
          <w:sz w:val="16"/>
          <w:szCs w:val="16"/>
        </w:rPr>
        <w:softHyphen/>
        <w:t>преждению, и устранению этой угрозы и перспективы не будут приняты немедленно соответствующие решительные меры.</w:t>
      </w:r>
    </w:p>
    <w:p w14:paraId="77F3D8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мнению РВС Союза, главнейшей причиной, создаю</w:t>
      </w:r>
      <w:r w:rsidRPr="00A259BD">
        <w:rPr>
          <w:rFonts w:ascii="Times New Roman" w:hAnsi="Times New Roman"/>
          <w:color w:val="000000" w:themeColor="text1"/>
          <w:sz w:val="16"/>
          <w:szCs w:val="16"/>
        </w:rPr>
        <w:softHyphen/>
        <w:t>щей эту угрозу и обусловливающей недогруз серийных заводов являются:</w:t>
      </w:r>
    </w:p>
    <w:p w14:paraId="60B72A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Во-первых, медленный темп опытного строительства, то есть конструирование и постройка новых, более современных типов самолетов и, особенно, моторов.</w:t>
      </w:r>
    </w:p>
    <w:p w14:paraId="6DEC193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Во-вторых, длительный процесс внедрения новых типов кон</w:t>
      </w:r>
      <w:r w:rsidRPr="00A259BD">
        <w:rPr>
          <w:rFonts w:ascii="Times New Roman" w:hAnsi="Times New Roman"/>
          <w:color w:val="000000" w:themeColor="text1"/>
          <w:sz w:val="16"/>
          <w:szCs w:val="16"/>
        </w:rPr>
        <w:softHyphen/>
        <w:t>струкций в серийное производство.</w:t>
      </w:r>
    </w:p>
    <w:p w14:paraId="159036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 видно из прилагаемой таблицы, у нас в Союзе требуется на конструирование и постройку:</w:t>
      </w:r>
    </w:p>
    <w:p w14:paraId="589854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самолета - от 1 до 3 и более лет, против 6-8 месяцев на</w:t>
      </w:r>
      <w:r w:rsidRPr="00A259BD">
        <w:rPr>
          <w:rFonts w:ascii="Times New Roman" w:hAnsi="Times New Roman"/>
          <w:color w:val="000000" w:themeColor="text1"/>
          <w:sz w:val="16"/>
          <w:szCs w:val="16"/>
        </w:rPr>
        <w:softHyphen/>
        <w:t>ших противников, в т.ч. и Польши, где авиапромышленность и ее опытное строительство является более молодым, чем у нас.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A259BD" w:rsidRPr="00A259BD" w14:paraId="38AAA287" w14:textId="77777777">
        <w:tc>
          <w:tcPr>
            <w:tcW w:w="3192" w:type="dxa"/>
            <w:tcBorders>
              <w:top w:val="single" w:sz="12" w:space="0" w:color="auto"/>
            </w:tcBorders>
          </w:tcPr>
          <w:p w14:paraId="66F45EB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Тип конструкции</w:t>
            </w:r>
          </w:p>
        </w:tc>
        <w:tc>
          <w:tcPr>
            <w:tcW w:w="3192" w:type="dxa"/>
            <w:tcBorders>
              <w:top w:val="single" w:sz="12" w:space="0" w:color="auto"/>
            </w:tcBorders>
          </w:tcPr>
          <w:p w14:paraId="47E34A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Опоздание против плана</w:t>
            </w:r>
          </w:p>
        </w:tc>
        <w:tc>
          <w:tcPr>
            <w:tcW w:w="3192" w:type="dxa"/>
            <w:tcBorders>
              <w:top w:val="single" w:sz="12" w:space="0" w:color="auto"/>
            </w:tcBorders>
          </w:tcPr>
          <w:p w14:paraId="75BB97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Итоговый срок осуществления</w:t>
            </w:r>
          </w:p>
        </w:tc>
      </w:tr>
      <w:tr w:rsidR="00A259BD" w:rsidRPr="00A259BD" w14:paraId="3995D732" w14:textId="77777777">
        <w:tc>
          <w:tcPr>
            <w:tcW w:w="3192" w:type="dxa"/>
          </w:tcPr>
          <w:p w14:paraId="0529E37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Истребитель И-3 БМВ-У1 I экземпляр</w:t>
            </w:r>
          </w:p>
        </w:tc>
        <w:tc>
          <w:tcPr>
            <w:tcW w:w="3192" w:type="dxa"/>
          </w:tcPr>
          <w:p w14:paraId="3309396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 месяца</w:t>
            </w:r>
          </w:p>
        </w:tc>
        <w:tc>
          <w:tcPr>
            <w:tcW w:w="3192" w:type="dxa"/>
          </w:tcPr>
          <w:p w14:paraId="03ED16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месяцев</w:t>
            </w:r>
          </w:p>
        </w:tc>
      </w:tr>
      <w:tr w:rsidR="00A259BD" w:rsidRPr="00A259BD" w14:paraId="48C9D7A2" w14:textId="77777777">
        <w:tc>
          <w:tcPr>
            <w:tcW w:w="3192" w:type="dxa"/>
          </w:tcPr>
          <w:p w14:paraId="446D63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II экземпляр</w:t>
            </w:r>
          </w:p>
        </w:tc>
        <w:tc>
          <w:tcPr>
            <w:tcW w:w="3192" w:type="dxa"/>
          </w:tcPr>
          <w:p w14:paraId="33805A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месяцев</w:t>
            </w:r>
          </w:p>
        </w:tc>
        <w:tc>
          <w:tcPr>
            <w:tcW w:w="3192" w:type="dxa"/>
          </w:tcPr>
          <w:p w14:paraId="5E1AE4D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месяцев</w:t>
            </w:r>
          </w:p>
        </w:tc>
      </w:tr>
      <w:tr w:rsidR="00A259BD" w:rsidRPr="00A259BD" w14:paraId="3DECCECB" w14:textId="77777777">
        <w:tc>
          <w:tcPr>
            <w:tcW w:w="3192" w:type="dxa"/>
          </w:tcPr>
          <w:p w14:paraId="02623F4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 Р-5 БМВ-У1 I экземпляр</w:t>
            </w:r>
          </w:p>
        </w:tc>
        <w:tc>
          <w:tcPr>
            <w:tcW w:w="3192" w:type="dxa"/>
          </w:tcPr>
          <w:p w14:paraId="0E22C0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 месяцев</w:t>
            </w:r>
          </w:p>
        </w:tc>
        <w:tc>
          <w:tcPr>
            <w:tcW w:w="3192" w:type="dxa"/>
          </w:tcPr>
          <w:p w14:paraId="6649F29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24,5 месяцев</w:t>
            </w:r>
          </w:p>
        </w:tc>
      </w:tr>
      <w:tr w:rsidR="00A259BD" w:rsidRPr="00A259BD" w14:paraId="13BD6485" w14:textId="77777777">
        <w:tc>
          <w:tcPr>
            <w:tcW w:w="3192" w:type="dxa"/>
          </w:tcPr>
          <w:p w14:paraId="40C61B3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II экземпляр</w:t>
            </w:r>
          </w:p>
        </w:tc>
        <w:tc>
          <w:tcPr>
            <w:tcW w:w="3192" w:type="dxa"/>
          </w:tcPr>
          <w:p w14:paraId="0B0EBB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 месяца</w:t>
            </w:r>
          </w:p>
        </w:tc>
        <w:tc>
          <w:tcPr>
            <w:tcW w:w="3192" w:type="dxa"/>
          </w:tcPr>
          <w:p w14:paraId="4F47E2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,5 месяцев</w:t>
            </w:r>
          </w:p>
        </w:tc>
      </w:tr>
      <w:tr w:rsidR="00A259BD" w:rsidRPr="00A259BD" w14:paraId="26655A19" w14:textId="77777777">
        <w:tc>
          <w:tcPr>
            <w:tcW w:w="3192" w:type="dxa"/>
          </w:tcPr>
          <w:p w14:paraId="63C5F95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Бомбардировщик ТБ-2 2 БМВ-У1</w:t>
            </w:r>
          </w:p>
        </w:tc>
        <w:tc>
          <w:tcPr>
            <w:tcW w:w="3192" w:type="dxa"/>
          </w:tcPr>
          <w:p w14:paraId="3CFA58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сентября опаз</w:t>
            </w:r>
            <w:r w:rsidRPr="00A259BD">
              <w:rPr>
                <w:rFonts w:ascii="Times New Roman" w:hAnsi="Times New Roman"/>
                <w:color w:val="000000" w:themeColor="text1"/>
                <w:sz w:val="16"/>
                <w:szCs w:val="16"/>
              </w:rPr>
              <w:softHyphen/>
              <w:t>дывал на 18 месяцев</w:t>
            </w:r>
          </w:p>
        </w:tc>
        <w:tc>
          <w:tcPr>
            <w:tcW w:w="3192" w:type="dxa"/>
          </w:tcPr>
          <w:p w14:paraId="6B1BD9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сих пор не закон</w:t>
            </w:r>
            <w:r w:rsidRPr="00A259BD">
              <w:rPr>
                <w:rFonts w:ascii="Times New Roman" w:hAnsi="Times New Roman"/>
                <w:color w:val="000000" w:themeColor="text1"/>
                <w:sz w:val="16"/>
                <w:szCs w:val="16"/>
              </w:rPr>
              <w:softHyphen/>
              <w:t>чен, всего в работе 30 месяцев</w:t>
            </w:r>
          </w:p>
        </w:tc>
      </w:tr>
      <w:tr w:rsidR="00A259BD" w:rsidRPr="00A259BD" w14:paraId="53B40BA6" w14:textId="77777777">
        <w:tc>
          <w:tcPr>
            <w:tcW w:w="3192" w:type="dxa"/>
          </w:tcPr>
          <w:p w14:paraId="193E30D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2-х местный истребитель Д-2</w:t>
            </w:r>
          </w:p>
        </w:tc>
        <w:tc>
          <w:tcPr>
            <w:tcW w:w="3192" w:type="dxa"/>
          </w:tcPr>
          <w:p w14:paraId="01E4BE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сентября опаз</w:t>
            </w:r>
            <w:r w:rsidRPr="00A259BD">
              <w:rPr>
                <w:rFonts w:ascii="Times New Roman" w:hAnsi="Times New Roman"/>
                <w:color w:val="000000" w:themeColor="text1"/>
                <w:sz w:val="16"/>
                <w:szCs w:val="16"/>
              </w:rPr>
              <w:softHyphen/>
              <w:t>дывал на 7 месяцев</w:t>
            </w:r>
          </w:p>
        </w:tc>
        <w:tc>
          <w:tcPr>
            <w:tcW w:w="3192" w:type="dxa"/>
          </w:tcPr>
          <w:p w14:paraId="3F69AA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сих пор не закон</w:t>
            </w:r>
            <w:r w:rsidRPr="00A259BD">
              <w:rPr>
                <w:rFonts w:ascii="Times New Roman" w:hAnsi="Times New Roman"/>
                <w:color w:val="000000" w:themeColor="text1"/>
                <w:sz w:val="16"/>
                <w:szCs w:val="16"/>
              </w:rPr>
              <w:softHyphen/>
              <w:t>чен, всего в работе 19,5 месяцев</w:t>
            </w:r>
          </w:p>
        </w:tc>
      </w:tr>
      <w:tr w:rsidR="00A259BD" w:rsidRPr="00A259BD" w14:paraId="526043C6" w14:textId="77777777">
        <w:tc>
          <w:tcPr>
            <w:tcW w:w="3192" w:type="dxa"/>
          </w:tcPr>
          <w:p w14:paraId="3D2FBF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 Р-6</w:t>
            </w:r>
          </w:p>
        </w:tc>
        <w:tc>
          <w:tcPr>
            <w:tcW w:w="3192" w:type="dxa"/>
          </w:tcPr>
          <w:p w14:paraId="6BE426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сентября опаз</w:t>
            </w:r>
            <w:r w:rsidRPr="00A259BD">
              <w:rPr>
                <w:rFonts w:ascii="Times New Roman" w:hAnsi="Times New Roman"/>
                <w:color w:val="000000" w:themeColor="text1"/>
                <w:sz w:val="16"/>
                <w:szCs w:val="16"/>
              </w:rPr>
              <w:softHyphen/>
              <w:t>дывал на 13 месяцев</w:t>
            </w:r>
          </w:p>
        </w:tc>
        <w:tc>
          <w:tcPr>
            <w:tcW w:w="3192" w:type="dxa"/>
          </w:tcPr>
          <w:p w14:paraId="2A9FDF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сих пор не закон</w:t>
            </w:r>
            <w:r w:rsidRPr="00A259BD">
              <w:rPr>
                <w:rFonts w:ascii="Times New Roman" w:hAnsi="Times New Roman"/>
                <w:color w:val="000000" w:themeColor="text1"/>
                <w:sz w:val="16"/>
                <w:szCs w:val="16"/>
              </w:rPr>
              <w:softHyphen/>
              <w:t>чен, всего в работе 25 месяцев</w:t>
            </w:r>
          </w:p>
        </w:tc>
      </w:tr>
      <w:tr w:rsidR="00A259BD" w:rsidRPr="00A259BD" w14:paraId="470F4071" w14:textId="77777777">
        <w:tc>
          <w:tcPr>
            <w:tcW w:w="3192" w:type="dxa"/>
          </w:tcPr>
          <w:p w14:paraId="5214E7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 водяного охлаж</w:t>
            </w:r>
            <w:r w:rsidRPr="00A259BD">
              <w:rPr>
                <w:rFonts w:ascii="Times New Roman" w:hAnsi="Times New Roman"/>
                <w:color w:val="000000" w:themeColor="text1"/>
                <w:sz w:val="16"/>
                <w:szCs w:val="16"/>
              </w:rPr>
              <w:softHyphen/>
              <w:t xml:space="preserve">дения М- 13 600 л. с., </w:t>
            </w:r>
            <w:proofErr w:type="spellStart"/>
            <w:r w:rsidRPr="00A259BD">
              <w:rPr>
                <w:rFonts w:ascii="Times New Roman" w:hAnsi="Times New Roman"/>
                <w:color w:val="000000" w:themeColor="text1"/>
                <w:sz w:val="16"/>
                <w:szCs w:val="16"/>
              </w:rPr>
              <w:t>конструк</w:t>
            </w:r>
            <w:proofErr w:type="spellEnd"/>
            <w:r w:rsidRPr="00A259BD">
              <w:rPr>
                <w:rFonts w:ascii="Times New Roman" w:hAnsi="Times New Roman"/>
                <w:color w:val="000000" w:themeColor="text1"/>
                <w:sz w:val="16"/>
                <w:szCs w:val="16"/>
              </w:rPr>
              <w:t xml:space="preserve">. НАМИ </w:t>
            </w:r>
          </w:p>
        </w:tc>
        <w:tc>
          <w:tcPr>
            <w:tcW w:w="3192" w:type="dxa"/>
          </w:tcPr>
          <w:p w14:paraId="070150C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сентября опаз</w:t>
            </w:r>
            <w:r w:rsidRPr="00A259BD">
              <w:rPr>
                <w:rFonts w:ascii="Times New Roman" w:hAnsi="Times New Roman"/>
                <w:color w:val="000000" w:themeColor="text1"/>
                <w:sz w:val="16"/>
                <w:szCs w:val="16"/>
              </w:rPr>
              <w:softHyphen/>
              <w:t xml:space="preserve">дывал на 28,5 </w:t>
            </w:r>
          </w:p>
        </w:tc>
        <w:tc>
          <w:tcPr>
            <w:tcW w:w="3192" w:type="dxa"/>
          </w:tcPr>
          <w:p w14:paraId="58837A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сих пор не закон</w:t>
            </w:r>
            <w:r w:rsidRPr="00A259BD">
              <w:rPr>
                <w:rFonts w:ascii="Times New Roman" w:hAnsi="Times New Roman"/>
                <w:color w:val="000000" w:themeColor="text1"/>
                <w:sz w:val="16"/>
                <w:szCs w:val="16"/>
              </w:rPr>
              <w:softHyphen/>
              <w:t xml:space="preserve">чен, всего в работе 46,5 месяцев </w:t>
            </w:r>
          </w:p>
        </w:tc>
      </w:tr>
      <w:tr w:rsidR="00A259BD" w:rsidRPr="00A259BD" w14:paraId="6308AC91" w14:textId="77777777">
        <w:tc>
          <w:tcPr>
            <w:tcW w:w="3192" w:type="dxa"/>
          </w:tcPr>
          <w:p w14:paraId="2F281C4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 Киреева водяного охлаждения 850-950 л.с.</w:t>
            </w:r>
          </w:p>
        </w:tc>
        <w:tc>
          <w:tcPr>
            <w:tcW w:w="3192" w:type="dxa"/>
          </w:tcPr>
          <w:p w14:paraId="30D263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месяцевНа</w:t>
            </w:r>
            <w:proofErr w:type="spellEnd"/>
            <w:r w:rsidRPr="00A259BD">
              <w:rPr>
                <w:rFonts w:ascii="Times New Roman" w:hAnsi="Times New Roman"/>
                <w:color w:val="000000" w:themeColor="text1"/>
                <w:sz w:val="16"/>
                <w:szCs w:val="16"/>
              </w:rPr>
              <w:t xml:space="preserve"> 1 сентября опаз</w:t>
            </w:r>
            <w:r w:rsidRPr="00A259BD">
              <w:rPr>
                <w:rFonts w:ascii="Times New Roman" w:hAnsi="Times New Roman"/>
                <w:color w:val="000000" w:themeColor="text1"/>
                <w:sz w:val="16"/>
                <w:szCs w:val="16"/>
              </w:rPr>
              <w:softHyphen/>
              <w:t>дывал на 15 месяцев</w:t>
            </w:r>
          </w:p>
        </w:tc>
        <w:tc>
          <w:tcPr>
            <w:tcW w:w="3192" w:type="dxa"/>
          </w:tcPr>
          <w:p w14:paraId="122CFD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сих пор не закон</w:t>
            </w:r>
            <w:r w:rsidRPr="00A259BD">
              <w:rPr>
                <w:rFonts w:ascii="Times New Roman" w:hAnsi="Times New Roman"/>
                <w:color w:val="000000" w:themeColor="text1"/>
                <w:sz w:val="16"/>
                <w:szCs w:val="16"/>
              </w:rPr>
              <w:softHyphen/>
              <w:t>чен, всего в работе 77 месяцев</w:t>
            </w:r>
          </w:p>
        </w:tc>
      </w:tr>
      <w:tr w:rsidR="00A259BD" w:rsidRPr="00A259BD" w14:paraId="79D33731" w14:textId="77777777">
        <w:tc>
          <w:tcPr>
            <w:tcW w:w="3192" w:type="dxa"/>
          </w:tcPr>
          <w:p w14:paraId="5ED131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 № 15 воздушного охлаждения 500 л.с.</w:t>
            </w:r>
          </w:p>
        </w:tc>
        <w:tc>
          <w:tcPr>
            <w:tcW w:w="3192" w:type="dxa"/>
          </w:tcPr>
          <w:p w14:paraId="1A6150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сентября опаз</w:t>
            </w:r>
            <w:r w:rsidRPr="00A259BD">
              <w:rPr>
                <w:rFonts w:ascii="Times New Roman" w:hAnsi="Times New Roman"/>
                <w:color w:val="000000" w:themeColor="text1"/>
                <w:sz w:val="16"/>
                <w:szCs w:val="16"/>
              </w:rPr>
              <w:softHyphen/>
              <w:t>дывал на 16 месяцев</w:t>
            </w:r>
          </w:p>
        </w:tc>
        <w:tc>
          <w:tcPr>
            <w:tcW w:w="3192" w:type="dxa"/>
          </w:tcPr>
          <w:p w14:paraId="22678E8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сих пор не закон</w:t>
            </w:r>
            <w:r w:rsidRPr="00A259BD">
              <w:rPr>
                <w:rFonts w:ascii="Times New Roman" w:hAnsi="Times New Roman"/>
                <w:color w:val="000000" w:themeColor="text1"/>
                <w:sz w:val="16"/>
                <w:szCs w:val="16"/>
              </w:rPr>
              <w:softHyphen/>
              <w:t>чен, всего в работе 35 месяцев</w:t>
            </w:r>
          </w:p>
        </w:tc>
      </w:tr>
      <w:tr w:rsidR="00A259BD" w:rsidRPr="00A259BD" w14:paraId="1F9DA143" w14:textId="77777777">
        <w:tc>
          <w:tcPr>
            <w:tcW w:w="3192" w:type="dxa"/>
          </w:tcPr>
          <w:p w14:paraId="36F939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Учебный мотор воздуш</w:t>
            </w:r>
            <w:r w:rsidRPr="00A259BD">
              <w:rPr>
                <w:rFonts w:ascii="Times New Roman" w:hAnsi="Times New Roman"/>
                <w:color w:val="000000" w:themeColor="text1"/>
                <w:sz w:val="16"/>
                <w:szCs w:val="16"/>
              </w:rPr>
              <w:softHyphen/>
              <w:t>ного охлаждения М-11 100 л.с.</w:t>
            </w:r>
          </w:p>
        </w:tc>
        <w:tc>
          <w:tcPr>
            <w:tcW w:w="3192" w:type="dxa"/>
          </w:tcPr>
          <w:p w14:paraId="121DEB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месяцев</w:t>
            </w:r>
          </w:p>
        </w:tc>
        <w:tc>
          <w:tcPr>
            <w:tcW w:w="3192" w:type="dxa"/>
          </w:tcPr>
          <w:p w14:paraId="20D828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месяцев</w:t>
            </w:r>
          </w:p>
        </w:tc>
      </w:tr>
      <w:tr w:rsidR="00A259BD" w:rsidRPr="00A259BD" w14:paraId="70CC54E3" w14:textId="77777777">
        <w:tc>
          <w:tcPr>
            <w:tcW w:w="3192" w:type="dxa"/>
            <w:tcBorders>
              <w:bottom w:val="single" w:sz="12" w:space="0" w:color="auto"/>
            </w:tcBorders>
          </w:tcPr>
          <w:p w14:paraId="7D4039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Учебный мотор воздуш</w:t>
            </w:r>
            <w:r w:rsidRPr="00A259BD">
              <w:rPr>
                <w:rFonts w:ascii="Times New Roman" w:hAnsi="Times New Roman"/>
                <w:color w:val="000000" w:themeColor="text1"/>
                <w:sz w:val="16"/>
                <w:szCs w:val="16"/>
              </w:rPr>
              <w:softHyphen/>
              <w:t>ного охлаждения М- 12 100 л.с. (</w:t>
            </w:r>
            <w:proofErr w:type="spellStart"/>
            <w:r w:rsidRPr="00A259BD">
              <w:rPr>
                <w:rFonts w:ascii="Times New Roman" w:hAnsi="Times New Roman"/>
                <w:color w:val="000000" w:themeColor="text1"/>
                <w:sz w:val="16"/>
                <w:szCs w:val="16"/>
              </w:rPr>
              <w:t>конструк</w:t>
            </w:r>
            <w:proofErr w:type="spellEnd"/>
            <w:r w:rsidRPr="00A259BD">
              <w:rPr>
                <w:rFonts w:ascii="Times New Roman" w:hAnsi="Times New Roman"/>
                <w:color w:val="000000" w:themeColor="text1"/>
                <w:sz w:val="16"/>
                <w:szCs w:val="16"/>
              </w:rPr>
              <w:t>. НАМИ)</w:t>
            </w:r>
          </w:p>
        </w:tc>
        <w:tc>
          <w:tcPr>
            <w:tcW w:w="3192" w:type="dxa"/>
            <w:tcBorders>
              <w:bottom w:val="single" w:sz="12" w:space="0" w:color="auto"/>
            </w:tcBorders>
          </w:tcPr>
          <w:p w14:paraId="23DB18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месяца</w:t>
            </w:r>
          </w:p>
        </w:tc>
        <w:tc>
          <w:tcPr>
            <w:tcW w:w="3192" w:type="dxa"/>
            <w:tcBorders>
              <w:bottom w:val="single" w:sz="12" w:space="0" w:color="auto"/>
            </w:tcBorders>
          </w:tcPr>
          <w:p w14:paraId="274A84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месяца</w:t>
            </w:r>
          </w:p>
        </w:tc>
      </w:tr>
    </w:tbl>
    <w:p w14:paraId="69E17A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Таблица приведена в сокращении.</w:t>
      </w:r>
    </w:p>
    <w:p w14:paraId="0A2E31E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моторов от 2 до 4 и более лет против средних сроков в 10-15 месяцев почти во всех странах Европы, не говоря уж о САСШ, где эти сроки значительно короче европейских.</w:t>
      </w:r>
    </w:p>
    <w:p w14:paraId="293E0A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несмотря на эти длительные сроки конструирования и опытного производства почти все образцы новых типов выхо</w:t>
      </w:r>
      <w:r w:rsidRPr="00A259BD">
        <w:rPr>
          <w:rFonts w:ascii="Times New Roman" w:hAnsi="Times New Roman"/>
          <w:color w:val="000000" w:themeColor="text1"/>
          <w:sz w:val="16"/>
          <w:szCs w:val="16"/>
        </w:rPr>
        <w:softHyphen/>
        <w:t xml:space="preserve">дят недоделанными и не завершенными, имея несколько крупных конструкторских и производственных дефектов (течь радиатора (И-3 и Р-5), невыход из штопора (П-2 и Д-2) или 100% запаздывание выхода из штопора (И-3 и Р-5), недостаток площади руля глубины (И-3) и т.п.), опасных для полетов, и несколько десятков </w:t>
      </w:r>
      <w:proofErr w:type="spellStart"/>
      <w:r w:rsidRPr="00A259BD">
        <w:rPr>
          <w:rFonts w:ascii="Times New Roman" w:hAnsi="Times New Roman"/>
          <w:color w:val="000000" w:themeColor="text1"/>
          <w:sz w:val="16"/>
          <w:szCs w:val="16"/>
        </w:rPr>
        <w:t>и^даже</w:t>
      </w:r>
      <w:proofErr w:type="spellEnd"/>
      <w:r w:rsidRPr="00A259BD">
        <w:rPr>
          <w:rFonts w:ascii="Times New Roman" w:hAnsi="Times New Roman"/>
          <w:color w:val="000000" w:themeColor="text1"/>
          <w:sz w:val="16"/>
          <w:szCs w:val="16"/>
        </w:rPr>
        <w:t xml:space="preserve"> сотен всяких более мелких, но весьма существенных недоделов, сильно затрудняющих ремонт и боевое применение данной конструкции.</w:t>
      </w:r>
    </w:p>
    <w:p w14:paraId="4C1FA3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 этом особенно отличается выпуском своей продукции в недоделанном и незавершенном виде 25-й опытный завод </w:t>
      </w:r>
      <w:proofErr w:type="spellStart"/>
      <w:r w:rsidRPr="00A259BD">
        <w:rPr>
          <w:rFonts w:ascii="Times New Roman" w:hAnsi="Times New Roman"/>
          <w:color w:val="000000" w:themeColor="text1"/>
          <w:sz w:val="16"/>
          <w:szCs w:val="16"/>
        </w:rPr>
        <w:t>Авиа</w:t>
      </w:r>
      <w:r w:rsidRPr="00A259BD">
        <w:rPr>
          <w:rFonts w:ascii="Times New Roman" w:hAnsi="Times New Roman"/>
          <w:color w:val="000000" w:themeColor="text1"/>
          <w:sz w:val="16"/>
          <w:szCs w:val="16"/>
        </w:rPr>
        <w:softHyphen/>
        <w:t>треста</w:t>
      </w:r>
      <w:proofErr w:type="spellEnd"/>
      <w:r w:rsidRPr="00A259BD">
        <w:rPr>
          <w:rFonts w:ascii="Times New Roman" w:hAnsi="Times New Roman"/>
          <w:color w:val="000000" w:themeColor="text1"/>
          <w:sz w:val="16"/>
          <w:szCs w:val="16"/>
        </w:rPr>
        <w:t>, являющийся МОНОПОЛИСТОМ по конструированию и постройке образцов самолетов деревянной конструкции.</w:t>
      </w:r>
    </w:p>
    <w:p w14:paraId="74C184D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современном исключительно быстром общем развитии и усовершенствовании авиационной техники, такой длительный срок конструирования и постройки у нас в Союзе опытных об</w:t>
      </w:r>
      <w:r w:rsidRPr="00A259BD">
        <w:rPr>
          <w:rFonts w:ascii="Times New Roman" w:hAnsi="Times New Roman"/>
          <w:color w:val="000000" w:themeColor="text1"/>
          <w:sz w:val="16"/>
          <w:szCs w:val="16"/>
        </w:rPr>
        <w:softHyphen/>
        <w:t>разцов и выпуск их вдобавок еще не завершенными, то есть с большим количеством крупных и мелких дефектов и недоделок, влечет за собою:</w:t>
      </w:r>
    </w:p>
    <w:p w14:paraId="3F134A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Во-первых, устаревание некоторых типов наших опытных конструкций еще до окончания выхода их из серийного и даже опытного производства, как, например, И-2, И-2бис, М-13.</w:t>
      </w:r>
    </w:p>
    <w:p w14:paraId="620DF7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Во-вторых, длительное (от 2-х до 3-х лет) и мучительное вне</w:t>
      </w:r>
      <w:r w:rsidRPr="00A259BD">
        <w:rPr>
          <w:rFonts w:ascii="Times New Roman" w:hAnsi="Times New Roman"/>
          <w:color w:val="000000" w:themeColor="text1"/>
          <w:sz w:val="16"/>
          <w:szCs w:val="16"/>
        </w:rPr>
        <w:softHyphen/>
        <w:t>дрение опытных образцов в серийное производство из-за того, что в процессе серийного производства приходится устранять в конструкции целый ряд дефектов, опасных для полетов, как это имело место в отношении И-2, И-2бис, И-3, М-11. Это, в свою очередь, ведет к сверхурочным в одних цехах и недогрузу в дру</w:t>
      </w:r>
      <w:r w:rsidRPr="00A259BD">
        <w:rPr>
          <w:rFonts w:ascii="Times New Roman" w:hAnsi="Times New Roman"/>
          <w:color w:val="000000" w:themeColor="text1"/>
          <w:sz w:val="16"/>
          <w:szCs w:val="16"/>
        </w:rPr>
        <w:softHyphen/>
        <w:t>гих, недовольству рабочих этими неурядицами, ничем не оправ</w:t>
      </w:r>
      <w:r w:rsidRPr="00A259BD">
        <w:rPr>
          <w:rFonts w:ascii="Times New Roman" w:hAnsi="Times New Roman"/>
          <w:color w:val="000000" w:themeColor="text1"/>
          <w:sz w:val="16"/>
          <w:szCs w:val="16"/>
        </w:rPr>
        <w:softHyphen/>
        <w:t>данному значительному удорожанию продукции и т.п.</w:t>
      </w:r>
    </w:p>
    <w:p w14:paraId="4CD124C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В-третьих, вынуждение воздушный флот продолжать иметь и сохранять на вооружении и в производстве такие конструкции, как ФД-УИ, ФД-1Х, Р-1, МР-1, Савойя-16, И-2, И-2бис, У-1, М-2, М-5, М-6, сильно устаревших и значительно уступающих по сво</w:t>
      </w:r>
      <w:r w:rsidRPr="00A259BD">
        <w:rPr>
          <w:rFonts w:ascii="Times New Roman" w:hAnsi="Times New Roman"/>
          <w:color w:val="000000" w:themeColor="text1"/>
          <w:sz w:val="16"/>
          <w:szCs w:val="16"/>
        </w:rPr>
        <w:softHyphen/>
        <w:t>им летным, тактическим и техническим данным однотипным и однородным самолетам и моторам наших противников.</w:t>
      </w:r>
    </w:p>
    <w:p w14:paraId="0E7C20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 не только недоделанные и незавершенные в своей конст</w:t>
      </w:r>
      <w:r w:rsidRPr="00A259BD">
        <w:rPr>
          <w:rFonts w:ascii="Times New Roman" w:hAnsi="Times New Roman"/>
          <w:color w:val="000000" w:themeColor="text1"/>
          <w:sz w:val="16"/>
          <w:szCs w:val="16"/>
        </w:rPr>
        <w:softHyphen/>
        <w:t>рукции новые типы самолетов и моторов, долго внедряемые в се</w:t>
      </w:r>
      <w:r w:rsidRPr="00A259BD">
        <w:rPr>
          <w:rFonts w:ascii="Times New Roman" w:hAnsi="Times New Roman"/>
          <w:color w:val="000000" w:themeColor="text1"/>
          <w:sz w:val="16"/>
          <w:szCs w:val="16"/>
        </w:rPr>
        <w:softHyphen/>
        <w:t xml:space="preserve">рийное производство; но даже и такие вполне законченные типы конструкций, как мотор БМВ-У1 в 450-600 НР и мотор Юпитер-VI в 420-520 НР, имеющие все рабочие чертежи и спецификации,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внедряются в серийное производство в течении двух и более лет, что объясняется недостаточной подготовленно</w:t>
      </w:r>
      <w:r w:rsidRPr="00A259BD">
        <w:rPr>
          <w:rFonts w:ascii="Times New Roman" w:hAnsi="Times New Roman"/>
          <w:color w:val="000000" w:themeColor="text1"/>
          <w:sz w:val="16"/>
          <w:szCs w:val="16"/>
        </w:rPr>
        <w:softHyphen/>
        <w:t>стью подобных производств по стали, дюралюминию и т.п. и от</w:t>
      </w:r>
      <w:r w:rsidRPr="00A259BD">
        <w:rPr>
          <w:rFonts w:ascii="Times New Roman" w:hAnsi="Times New Roman"/>
          <w:color w:val="000000" w:themeColor="text1"/>
          <w:sz w:val="16"/>
          <w:szCs w:val="16"/>
        </w:rPr>
        <w:softHyphen/>
        <w:t xml:space="preserve">сутствию со стороны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интереса к новым типам.</w:t>
      </w:r>
    </w:p>
    <w:p w14:paraId="4AF33D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таком темпе опытного строительства и внедрения новых самолетов и моторов в серийное производство НЕ МОЖЕТ БЫТЬ И РЕЧИ О ТОМ, ЧТОБЫ НАМ "ДОГНАТЬ И ПЕРЕ</w:t>
      </w:r>
      <w:r w:rsidRPr="00A259BD">
        <w:rPr>
          <w:rFonts w:ascii="Times New Roman" w:hAnsi="Times New Roman"/>
          <w:color w:val="000000" w:themeColor="text1"/>
          <w:sz w:val="16"/>
          <w:szCs w:val="16"/>
        </w:rPr>
        <w:softHyphen/>
        <w:t>ГНАТЬ" ПО ЧАСТИ СТРОИТЕЛЬСТВА ВОЗДУШНОГО ФЛОТА ПЕРЕДОВЫХ КАПИТАЛИСТИЧЕСКИХ СТРАН, не смотря на железную необходимость в этом.</w:t>
      </w:r>
    </w:p>
    <w:p w14:paraId="7094A2A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именно такой темп и результаты нашего опытного строи</w:t>
      </w:r>
      <w:r w:rsidRPr="00A259BD">
        <w:rPr>
          <w:rFonts w:ascii="Times New Roman" w:hAnsi="Times New Roman"/>
          <w:color w:val="000000" w:themeColor="text1"/>
          <w:sz w:val="16"/>
          <w:szCs w:val="16"/>
        </w:rPr>
        <w:softHyphen/>
        <w:t>тельства, особенно опытного завода № 25, обуславливают и влекут за собою недогруз серийных заводов, в первую очередь -ГАЗ-1.</w:t>
      </w:r>
    </w:p>
    <w:p w14:paraId="11319B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Военное ведомство не может идти на увеличение заказа по деревянному сухопутному разведчику Р-1 с М-5, производящегося с 1923 г. до сих пор на ГАЗ-1, сильно устаревшем по своим летно-техническим данным, а потому подлежащем снятию с вооруже</w:t>
      </w:r>
      <w:r w:rsidRPr="00A259BD">
        <w:rPr>
          <w:rFonts w:ascii="Times New Roman" w:hAnsi="Times New Roman"/>
          <w:color w:val="000000" w:themeColor="text1"/>
          <w:sz w:val="16"/>
          <w:szCs w:val="16"/>
        </w:rPr>
        <w:softHyphen/>
        <w:t>ния ВВС в ближайшие годы.</w:t>
      </w:r>
    </w:p>
    <w:p w14:paraId="373939C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Наше же опытное строительство в лице его опытного завода № 25, пока ничего не может предложить военному ведомству на замену устаревшим Р-1 с М-5, кроме Р-5 с БМВ-1У.</w:t>
      </w:r>
    </w:p>
    <w:p w14:paraId="296997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между тем этот новый тип разведчика деревянной конст</w:t>
      </w:r>
      <w:r w:rsidRPr="00A259BD">
        <w:rPr>
          <w:rFonts w:ascii="Times New Roman" w:hAnsi="Times New Roman"/>
          <w:color w:val="000000" w:themeColor="text1"/>
          <w:sz w:val="16"/>
          <w:szCs w:val="16"/>
        </w:rPr>
        <w:softHyphen/>
        <w:t>рукции (Р-5 с БМВ-1У) из-за опоздания своим выходом из опыт</w:t>
      </w:r>
      <w:r w:rsidRPr="00A259BD">
        <w:rPr>
          <w:rFonts w:ascii="Times New Roman" w:hAnsi="Times New Roman"/>
          <w:color w:val="000000" w:themeColor="text1"/>
          <w:sz w:val="16"/>
          <w:szCs w:val="16"/>
        </w:rPr>
        <w:softHyphen/>
        <w:t>ного строительства, еще не успел пройти полностью необходи</w:t>
      </w:r>
      <w:r w:rsidRPr="00A259BD">
        <w:rPr>
          <w:rFonts w:ascii="Times New Roman" w:hAnsi="Times New Roman"/>
          <w:color w:val="000000" w:themeColor="text1"/>
          <w:sz w:val="16"/>
          <w:szCs w:val="16"/>
        </w:rPr>
        <w:softHyphen/>
        <w:t>мые (войсковые) испытания, но уже обнаружил целый ряд ОПАСНЫХ ДЛЯ ПОЛЕТОВ конструктивных и производствен</w:t>
      </w:r>
      <w:r w:rsidRPr="00A259BD">
        <w:rPr>
          <w:rFonts w:ascii="Times New Roman" w:hAnsi="Times New Roman"/>
          <w:color w:val="000000" w:themeColor="text1"/>
          <w:sz w:val="16"/>
          <w:szCs w:val="16"/>
        </w:rPr>
        <w:softHyphen/>
        <w:t>ных дефектов, как, например, течь радиатора, сильное попадание отработанных газов в кабину летчика и особенно - летнаба, мо</w:t>
      </w:r>
      <w:r w:rsidRPr="00A259BD">
        <w:rPr>
          <w:rFonts w:ascii="Times New Roman" w:hAnsi="Times New Roman"/>
          <w:color w:val="000000" w:themeColor="text1"/>
          <w:sz w:val="16"/>
          <w:szCs w:val="16"/>
        </w:rPr>
        <w:softHyphen/>
        <w:t>гущее привести того и другого к обморочному состоянию во вре</w:t>
      </w:r>
      <w:r w:rsidRPr="00A259BD">
        <w:rPr>
          <w:rFonts w:ascii="Times New Roman" w:hAnsi="Times New Roman"/>
          <w:color w:val="000000" w:themeColor="text1"/>
          <w:sz w:val="16"/>
          <w:szCs w:val="16"/>
        </w:rPr>
        <w:softHyphen/>
        <w:t>мя длительного перелета, необходимость длинного пробега при посадке и т.д., и т.п.</w:t>
      </w:r>
    </w:p>
    <w:p w14:paraId="52F722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Весь опыт и история внедрения и серийной постройки И-2, И-2бис, И-3 и М-11 в недоделанном и </w:t>
      </w:r>
      <w:proofErr w:type="spellStart"/>
      <w:r w:rsidRPr="00A259BD">
        <w:rPr>
          <w:rFonts w:ascii="Times New Roman" w:hAnsi="Times New Roman"/>
          <w:color w:val="000000" w:themeColor="text1"/>
          <w:sz w:val="16"/>
          <w:szCs w:val="16"/>
        </w:rPr>
        <w:t>недоиспытанном</w:t>
      </w:r>
      <w:proofErr w:type="spellEnd"/>
      <w:r w:rsidRPr="00A259BD">
        <w:rPr>
          <w:rFonts w:ascii="Times New Roman" w:hAnsi="Times New Roman"/>
          <w:color w:val="000000" w:themeColor="text1"/>
          <w:sz w:val="16"/>
          <w:szCs w:val="16"/>
        </w:rPr>
        <w:t xml:space="preserve"> виде обу</w:t>
      </w:r>
      <w:r w:rsidRPr="00A259BD">
        <w:rPr>
          <w:rFonts w:ascii="Times New Roman" w:hAnsi="Times New Roman"/>
          <w:color w:val="000000" w:themeColor="text1"/>
          <w:sz w:val="16"/>
          <w:szCs w:val="16"/>
        </w:rPr>
        <w:softHyphen/>
        <w:t>славливает и повелевает отказаться от впуска в серию новых конструкций, особенно Р-5, впредь до полного окончания техни</w:t>
      </w:r>
      <w:r w:rsidRPr="00A259BD">
        <w:rPr>
          <w:rFonts w:ascii="Times New Roman" w:hAnsi="Times New Roman"/>
          <w:color w:val="000000" w:themeColor="text1"/>
          <w:sz w:val="16"/>
          <w:szCs w:val="16"/>
        </w:rPr>
        <w:softHyphen/>
        <w:t xml:space="preserve">ческих и эксплуатационных (войсковых) испытаний и устранения в опытных экземплярах этих новых типов (в первую очередь Р-5), всех тех дефектов и </w:t>
      </w:r>
      <w:proofErr w:type="spellStart"/>
      <w:r w:rsidRPr="00A259BD">
        <w:rPr>
          <w:rFonts w:ascii="Times New Roman" w:hAnsi="Times New Roman"/>
          <w:color w:val="000000" w:themeColor="text1"/>
          <w:sz w:val="16"/>
          <w:szCs w:val="16"/>
        </w:rPr>
        <w:t>недоладок</w:t>
      </w:r>
      <w:proofErr w:type="spellEnd"/>
      <w:r w:rsidRPr="00A259BD">
        <w:rPr>
          <w:rFonts w:ascii="Times New Roman" w:hAnsi="Times New Roman"/>
          <w:color w:val="000000" w:themeColor="text1"/>
          <w:sz w:val="16"/>
          <w:szCs w:val="16"/>
        </w:rPr>
        <w:t>, необходимость устранения которых диктуют и повелевают результаты испытаний. Несоб</w:t>
      </w:r>
      <w:r w:rsidRPr="00A259BD">
        <w:rPr>
          <w:rFonts w:ascii="Times New Roman" w:hAnsi="Times New Roman"/>
          <w:color w:val="000000" w:themeColor="text1"/>
          <w:sz w:val="16"/>
          <w:szCs w:val="16"/>
        </w:rPr>
        <w:softHyphen/>
        <w:t>людение этого требования, кроме лишней, ненужной и даже пре</w:t>
      </w:r>
      <w:r w:rsidRPr="00A259BD">
        <w:rPr>
          <w:rFonts w:ascii="Times New Roman" w:hAnsi="Times New Roman"/>
          <w:color w:val="000000" w:themeColor="text1"/>
          <w:sz w:val="16"/>
          <w:szCs w:val="16"/>
        </w:rPr>
        <w:softHyphen/>
        <w:t>ступной траты сил, средств и времени ничего не дает ни для обо</w:t>
      </w:r>
      <w:r w:rsidRPr="00A259BD">
        <w:rPr>
          <w:rFonts w:ascii="Times New Roman" w:hAnsi="Times New Roman"/>
          <w:color w:val="000000" w:themeColor="text1"/>
          <w:sz w:val="16"/>
          <w:szCs w:val="16"/>
        </w:rPr>
        <w:softHyphen/>
        <w:t>роны, ни для экономики страны.</w:t>
      </w:r>
    </w:p>
    <w:p w14:paraId="6DEA4E2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целях устранения и изжития недогруза наших серийных за</w:t>
      </w:r>
      <w:r w:rsidRPr="00A259BD">
        <w:rPr>
          <w:rFonts w:ascii="Times New Roman" w:hAnsi="Times New Roman"/>
          <w:color w:val="000000" w:themeColor="text1"/>
          <w:sz w:val="16"/>
          <w:szCs w:val="16"/>
        </w:rPr>
        <w:softHyphen/>
        <w:t>водов и авиапромышленности, обеспечения нашего Воздушного флота самолетами и моторами, стоящими по своим летно-</w:t>
      </w:r>
      <w:proofErr w:type="spellStart"/>
      <w:r w:rsidRPr="00A259BD">
        <w:rPr>
          <w:rFonts w:ascii="Times New Roman" w:hAnsi="Times New Roman"/>
          <w:color w:val="000000" w:themeColor="text1"/>
          <w:sz w:val="16"/>
          <w:szCs w:val="16"/>
        </w:rPr>
        <w:t>такти</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ческим</w:t>
      </w:r>
      <w:proofErr w:type="spellEnd"/>
      <w:r w:rsidRPr="00A259BD">
        <w:rPr>
          <w:rFonts w:ascii="Times New Roman" w:hAnsi="Times New Roman"/>
          <w:color w:val="000000" w:themeColor="text1"/>
          <w:sz w:val="16"/>
          <w:szCs w:val="16"/>
        </w:rPr>
        <w:t xml:space="preserve"> и техническим данным на уровне современных достиже</w:t>
      </w:r>
      <w:r w:rsidRPr="00A259BD">
        <w:rPr>
          <w:rFonts w:ascii="Times New Roman" w:hAnsi="Times New Roman"/>
          <w:color w:val="000000" w:themeColor="text1"/>
          <w:sz w:val="16"/>
          <w:szCs w:val="16"/>
        </w:rPr>
        <w:softHyphen/>
        <w:t>ний наших врагов, РВС Союза, в подтверждении и развитие сво</w:t>
      </w:r>
      <w:r w:rsidRPr="00A259BD">
        <w:rPr>
          <w:rFonts w:ascii="Times New Roman" w:hAnsi="Times New Roman"/>
          <w:color w:val="000000" w:themeColor="text1"/>
          <w:sz w:val="16"/>
          <w:szCs w:val="16"/>
        </w:rPr>
        <w:softHyphen/>
        <w:t>его постановления об опытном строительстве воздушного флота (21 мая 1929 г.) ПРЕДЛАГАЕТ:</w:t>
      </w:r>
    </w:p>
    <w:p w14:paraId="50C480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Немедленно приступить к выделению опытного строитель</w:t>
      </w:r>
      <w:r w:rsidRPr="00A259BD">
        <w:rPr>
          <w:rFonts w:ascii="Times New Roman" w:hAnsi="Times New Roman"/>
          <w:color w:val="000000" w:themeColor="text1"/>
          <w:sz w:val="16"/>
          <w:szCs w:val="16"/>
        </w:rPr>
        <w:softHyphen/>
        <w:t>ства самолетов и моторов из серийного производства и сосредо</w:t>
      </w:r>
      <w:r w:rsidRPr="00A259BD">
        <w:rPr>
          <w:rFonts w:ascii="Times New Roman" w:hAnsi="Times New Roman"/>
          <w:color w:val="000000" w:themeColor="text1"/>
          <w:sz w:val="16"/>
          <w:szCs w:val="16"/>
        </w:rPr>
        <w:softHyphen/>
        <w:t>точения его на отдельных опытных заводах, достаточно мощных по своим пропускным возможностям, оборудованных по послед</w:t>
      </w:r>
      <w:r w:rsidRPr="00A259BD">
        <w:rPr>
          <w:rFonts w:ascii="Times New Roman" w:hAnsi="Times New Roman"/>
          <w:color w:val="000000" w:themeColor="text1"/>
          <w:sz w:val="16"/>
          <w:szCs w:val="16"/>
        </w:rPr>
        <w:softHyphen/>
        <w:t>нему слову техники и обеспеченных сильным конструкторским бюро.</w:t>
      </w:r>
    </w:p>
    <w:p w14:paraId="1D8F6F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Начиная с 1929/30 г. обеспечить опытное строительство Воздушного флота достаточными ежегодными ассигнованиями путем установления твердого процента от общей суммы серийно</w:t>
      </w:r>
      <w:r w:rsidRPr="00A259BD">
        <w:rPr>
          <w:rFonts w:ascii="Times New Roman" w:hAnsi="Times New Roman"/>
          <w:color w:val="000000" w:themeColor="text1"/>
          <w:sz w:val="16"/>
          <w:szCs w:val="16"/>
        </w:rPr>
        <w:softHyphen/>
        <w:t>го заказа. По мнению РВС Союза эти ассигнования на опытное строительство должны ежегодно составлять не менее 5% от ас</w:t>
      </w:r>
      <w:r w:rsidRPr="00A259BD">
        <w:rPr>
          <w:rFonts w:ascii="Times New Roman" w:hAnsi="Times New Roman"/>
          <w:color w:val="000000" w:themeColor="text1"/>
          <w:sz w:val="16"/>
          <w:szCs w:val="16"/>
        </w:rPr>
        <w:softHyphen/>
        <w:t>сигнований на серийные заказы авиапромышленности.</w:t>
      </w:r>
    </w:p>
    <w:p w14:paraId="22BFFD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Оставляя и развивая опытное строительство по самолетам и моторам в </w:t>
      </w:r>
      <w:proofErr w:type="spellStart"/>
      <w:r w:rsidRPr="00A259BD">
        <w:rPr>
          <w:rFonts w:ascii="Times New Roman" w:hAnsi="Times New Roman"/>
          <w:color w:val="000000" w:themeColor="text1"/>
          <w:sz w:val="16"/>
          <w:szCs w:val="16"/>
        </w:rPr>
        <w:t>Авиатресте</w:t>
      </w:r>
      <w:proofErr w:type="spellEnd"/>
      <w:r w:rsidRPr="00A259BD">
        <w:rPr>
          <w:rFonts w:ascii="Times New Roman" w:hAnsi="Times New Roman"/>
          <w:color w:val="000000" w:themeColor="text1"/>
          <w:sz w:val="16"/>
          <w:szCs w:val="16"/>
        </w:rPr>
        <w:t>, немедленно приступить к организации в Центральном Аэрогидродинамическом Институте (ЦАГИ) опытного строительства самолетов деревянного и смешанного строительства, наряду с имеющимся опытным металлическим са</w:t>
      </w:r>
      <w:r w:rsidRPr="00A259BD">
        <w:rPr>
          <w:rFonts w:ascii="Times New Roman" w:hAnsi="Times New Roman"/>
          <w:color w:val="000000" w:themeColor="text1"/>
          <w:sz w:val="16"/>
          <w:szCs w:val="16"/>
        </w:rPr>
        <w:softHyphen/>
        <w:t>молетостроением, ассигновав для этого развития ЦАГИ ЕДИ</w:t>
      </w:r>
      <w:r w:rsidRPr="00A259BD">
        <w:rPr>
          <w:rFonts w:ascii="Times New Roman" w:hAnsi="Times New Roman"/>
          <w:color w:val="000000" w:themeColor="text1"/>
          <w:sz w:val="16"/>
          <w:szCs w:val="16"/>
        </w:rPr>
        <w:softHyphen/>
        <w:t>НОВРЕМЕННО НЕОБХОДИМЫЕ СРЕДСТВА ПО СМЕТЕ 1929/30 Г.</w:t>
      </w:r>
    </w:p>
    <w:p w14:paraId="3A6F2F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4. Всемерно форсировать строительство, оборудование и раз</w:t>
      </w:r>
      <w:r w:rsidRPr="00A259BD">
        <w:rPr>
          <w:rFonts w:ascii="Times New Roman" w:hAnsi="Times New Roman"/>
          <w:color w:val="000000" w:themeColor="text1"/>
          <w:sz w:val="16"/>
          <w:szCs w:val="16"/>
        </w:rPr>
        <w:softHyphen/>
        <w:t>вертывание Научного Авто-Моторного института (НАМИ), ор</w:t>
      </w:r>
      <w:r w:rsidRPr="00A259BD">
        <w:rPr>
          <w:rFonts w:ascii="Times New Roman" w:hAnsi="Times New Roman"/>
          <w:color w:val="000000" w:themeColor="text1"/>
          <w:sz w:val="16"/>
          <w:szCs w:val="16"/>
        </w:rPr>
        <w:softHyphen/>
        <w:t>ганизуя в нем опытное строительство авиамоторов всех видов, родов и назначения.</w:t>
      </w:r>
    </w:p>
    <w:p w14:paraId="568748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Всеми мерами принудительно сокращать сроки опытного строительства новых типов самолетов и моторов, в частности за счет снижения числа типов, конструируемых и производимых на заводах опытного строительства и в институтах одновременно.</w:t>
      </w:r>
    </w:p>
    <w:p w14:paraId="1F0333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Потребовать под строжайшую ответственность от руково</w:t>
      </w:r>
      <w:r w:rsidRPr="00A259BD">
        <w:rPr>
          <w:rFonts w:ascii="Times New Roman" w:hAnsi="Times New Roman"/>
          <w:color w:val="000000" w:themeColor="text1"/>
          <w:sz w:val="16"/>
          <w:szCs w:val="16"/>
        </w:rPr>
        <w:softHyphen/>
        <w:t>дителей опытных заводов и институтов (ЦАГИ и НАМИ) выпу</w:t>
      </w:r>
      <w:r w:rsidRPr="00A259BD">
        <w:rPr>
          <w:rFonts w:ascii="Times New Roman" w:hAnsi="Times New Roman"/>
          <w:color w:val="000000" w:themeColor="text1"/>
          <w:sz w:val="16"/>
          <w:szCs w:val="16"/>
        </w:rPr>
        <w:softHyphen/>
        <w:t>скать новые конструкции точно в обусловленный планом срок и вдобавок в доделанном и завершенном виде, то есть без констру</w:t>
      </w:r>
      <w:r w:rsidRPr="00A259BD">
        <w:rPr>
          <w:rFonts w:ascii="Times New Roman" w:hAnsi="Times New Roman"/>
          <w:color w:val="000000" w:themeColor="text1"/>
          <w:sz w:val="16"/>
          <w:szCs w:val="16"/>
        </w:rPr>
        <w:softHyphen/>
        <w:t>ктивных и производственных дефектов, опасных для полета.</w:t>
      </w:r>
    </w:p>
    <w:p w14:paraId="58C89C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От слов перейти к делу - привлечь из-за границы высоко</w:t>
      </w:r>
      <w:r w:rsidRPr="00A259BD">
        <w:rPr>
          <w:rFonts w:ascii="Times New Roman" w:hAnsi="Times New Roman"/>
          <w:color w:val="000000" w:themeColor="text1"/>
          <w:sz w:val="16"/>
          <w:szCs w:val="16"/>
        </w:rPr>
        <w:softHyphen/>
        <w:t>квалифицированных авторитетных специалистов - конструкто</w:t>
      </w:r>
      <w:r w:rsidRPr="00A259BD">
        <w:rPr>
          <w:rFonts w:ascii="Times New Roman" w:hAnsi="Times New Roman"/>
          <w:color w:val="000000" w:themeColor="text1"/>
          <w:sz w:val="16"/>
          <w:szCs w:val="16"/>
        </w:rPr>
        <w:softHyphen/>
        <w:t>ров и организаторов производства как по самолетам, так и осо</w:t>
      </w:r>
      <w:r w:rsidRPr="00A259BD">
        <w:rPr>
          <w:rFonts w:ascii="Times New Roman" w:hAnsi="Times New Roman"/>
          <w:color w:val="000000" w:themeColor="text1"/>
          <w:sz w:val="16"/>
          <w:szCs w:val="16"/>
        </w:rPr>
        <w:softHyphen/>
        <w:t>бенно по моторам, создать для их привлечения и плодотворной работы в Союзе необходимые материальные и бытовые условия.</w:t>
      </w:r>
    </w:p>
    <w:p w14:paraId="2330A27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Установить такой порядок, при котором ни один из новых типов самолетов или моторов не может быть впущен в серию до тех пор, пока образцы его не будут доработаны и не пройдет пол</w:t>
      </w:r>
      <w:r w:rsidRPr="00A259BD">
        <w:rPr>
          <w:rFonts w:ascii="Times New Roman" w:hAnsi="Times New Roman"/>
          <w:color w:val="000000" w:themeColor="text1"/>
          <w:sz w:val="16"/>
          <w:szCs w:val="16"/>
        </w:rPr>
        <w:softHyphen/>
        <w:t>ностью установленные технические и эксплуатационные (вой</w:t>
      </w:r>
      <w:r w:rsidRPr="00A259BD">
        <w:rPr>
          <w:rFonts w:ascii="Times New Roman" w:hAnsi="Times New Roman"/>
          <w:color w:val="000000" w:themeColor="text1"/>
          <w:sz w:val="16"/>
          <w:szCs w:val="16"/>
        </w:rPr>
        <w:softHyphen/>
        <w:t>сковые) испытания с положительным результатом.</w:t>
      </w:r>
    </w:p>
    <w:p w14:paraId="1BD4CF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Обязать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брать под особое наблюдение и конт</w:t>
      </w:r>
      <w:r w:rsidRPr="00A259BD">
        <w:rPr>
          <w:rFonts w:ascii="Times New Roman" w:hAnsi="Times New Roman"/>
          <w:color w:val="000000" w:themeColor="text1"/>
          <w:sz w:val="16"/>
          <w:szCs w:val="16"/>
        </w:rPr>
        <w:softHyphen/>
        <w:t>роль внедрение в серийное производство новых типов самолетов и моторов, принятых на вооружение Воздушного флота.</w:t>
      </w:r>
    </w:p>
    <w:p w14:paraId="4E2269C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Незамедлительно заключить договор с какой-либо загра</w:t>
      </w:r>
      <w:r w:rsidRPr="00A259BD">
        <w:rPr>
          <w:rFonts w:ascii="Times New Roman" w:hAnsi="Times New Roman"/>
          <w:color w:val="000000" w:themeColor="text1"/>
          <w:sz w:val="16"/>
          <w:szCs w:val="16"/>
        </w:rPr>
        <w:softHyphen/>
        <w:t xml:space="preserve">ничной фирмой на </w:t>
      </w:r>
      <w:proofErr w:type="spellStart"/>
      <w:r w:rsidRPr="00A259BD">
        <w:rPr>
          <w:rFonts w:ascii="Times New Roman" w:hAnsi="Times New Roman"/>
          <w:color w:val="000000" w:themeColor="text1"/>
          <w:sz w:val="16"/>
          <w:szCs w:val="16"/>
        </w:rPr>
        <w:t>сконструирование</w:t>
      </w:r>
      <w:proofErr w:type="spellEnd"/>
      <w:r w:rsidRPr="00A259BD">
        <w:rPr>
          <w:rFonts w:ascii="Times New Roman" w:hAnsi="Times New Roman"/>
          <w:color w:val="000000" w:themeColor="text1"/>
          <w:sz w:val="16"/>
          <w:szCs w:val="16"/>
        </w:rPr>
        <w:t xml:space="preserve"> и постройку в самом сроч</w:t>
      </w:r>
      <w:r w:rsidRPr="00A259BD">
        <w:rPr>
          <w:rFonts w:ascii="Times New Roman" w:hAnsi="Times New Roman"/>
          <w:color w:val="000000" w:themeColor="text1"/>
          <w:sz w:val="16"/>
          <w:szCs w:val="16"/>
        </w:rPr>
        <w:softHyphen/>
        <w:t>ном порядке опытного образца сухопутного армейского развед</w:t>
      </w:r>
      <w:r w:rsidRPr="00A259BD">
        <w:rPr>
          <w:rFonts w:ascii="Times New Roman" w:hAnsi="Times New Roman"/>
          <w:color w:val="000000" w:themeColor="text1"/>
          <w:sz w:val="16"/>
          <w:szCs w:val="16"/>
        </w:rPr>
        <w:softHyphen/>
        <w:t>чика и легкого бомбардировщика под мотор БМВ-1У (М-17) по нашим техническим условиям, с целью внедрения этого нового типа в серийное производство на ГАЗ № 1.</w:t>
      </w:r>
    </w:p>
    <w:p w14:paraId="19420F0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Сигнализируя о надвигающихся затруднениях в области стро</w:t>
      </w:r>
      <w:r w:rsidRPr="00A259BD">
        <w:rPr>
          <w:rFonts w:ascii="Times New Roman" w:hAnsi="Times New Roman"/>
          <w:color w:val="000000" w:themeColor="text1"/>
          <w:sz w:val="16"/>
          <w:szCs w:val="16"/>
        </w:rPr>
        <w:softHyphen/>
        <w:t>ительства нашего Воздушного флота и предлагая ряд мер прак</w:t>
      </w:r>
      <w:r w:rsidRPr="00A259BD">
        <w:rPr>
          <w:rFonts w:ascii="Times New Roman" w:hAnsi="Times New Roman"/>
          <w:color w:val="000000" w:themeColor="text1"/>
          <w:sz w:val="16"/>
          <w:szCs w:val="16"/>
        </w:rPr>
        <w:softHyphen/>
        <w:t>тических мероприятий по предупреждению и устранению этой серьезной угрозы и опасности, РВС Союза настаивает на скорей</w:t>
      </w:r>
      <w:r w:rsidRPr="00A259BD">
        <w:rPr>
          <w:rFonts w:ascii="Times New Roman" w:hAnsi="Times New Roman"/>
          <w:color w:val="000000" w:themeColor="text1"/>
          <w:sz w:val="16"/>
          <w:szCs w:val="16"/>
        </w:rPr>
        <w:softHyphen/>
        <w:t>шем проведении этих мероприятий. В случае несогласия ВСНХ с предложениями, выдвинутыми РВС Союза, прошу НК РКИ на</w:t>
      </w:r>
      <w:r w:rsidRPr="00A259BD">
        <w:rPr>
          <w:rFonts w:ascii="Times New Roman" w:hAnsi="Times New Roman"/>
          <w:color w:val="000000" w:themeColor="text1"/>
          <w:sz w:val="16"/>
          <w:szCs w:val="16"/>
        </w:rPr>
        <w:softHyphen/>
        <w:t>значить специальную авторитетную Комиссию для обследования в срочном порядке состояния и темпа опытного строительства и внедрения новых типов самолетов и моторов в серийное производ</w:t>
      </w:r>
      <w:r w:rsidRPr="00A259BD">
        <w:rPr>
          <w:rFonts w:ascii="Times New Roman" w:hAnsi="Times New Roman"/>
          <w:color w:val="000000" w:themeColor="text1"/>
          <w:sz w:val="16"/>
          <w:szCs w:val="16"/>
        </w:rPr>
        <w:softHyphen/>
        <w:t>ство с целью разработки и принятия всех необходимых мер по предупреждению недогрузки наших серийных заводов и срыва строительства нашего воздушного флота...</w:t>
      </w:r>
    </w:p>
    <w:p w14:paraId="164852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"Центральный архив общественных движений г. Москвы. Ф. 3. Оп. 11. Д. 722. Документ не имеет официального заголовка. Здесь и далее кур</w:t>
      </w:r>
      <w:r w:rsidRPr="00A259BD">
        <w:rPr>
          <w:rFonts w:ascii="Times New Roman" w:hAnsi="Times New Roman"/>
          <w:color w:val="000000" w:themeColor="text1"/>
          <w:sz w:val="16"/>
          <w:szCs w:val="16"/>
        </w:rPr>
        <w:softHyphen/>
        <w:t>сивом и звездочкой отмечены примечания публикатора (10788).</w:t>
      </w:r>
    </w:p>
    <w:p w14:paraId="6F89E8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8AF2D9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13754C2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F85562" w14:textId="09677CC1"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сентября 1929 китайцы обстреляли ружей</w:t>
      </w:r>
      <w:r w:rsidRPr="00A259BD">
        <w:rPr>
          <w:rFonts w:ascii="Times New Roman" w:hAnsi="Times New Roman"/>
          <w:color w:val="000000" w:themeColor="text1"/>
          <w:sz w:val="16"/>
          <w:szCs w:val="16"/>
        </w:rPr>
        <w:softHyphen/>
        <w:t>ным огнем советский Р-1 при пролете над</w:t>
      </w:r>
      <w:r w:rsidR="00F14BD9">
        <w:rPr>
          <w:rFonts w:ascii="Times New Roman" w:hAnsi="Times New Roman"/>
          <w:color w:val="000000" w:themeColor="text1"/>
          <w:sz w:val="16"/>
          <w:szCs w:val="16"/>
        </w:rPr>
        <w:t xml:space="preserve"> </w:t>
      </w:r>
      <w:r w:rsidRPr="00A259BD">
        <w:rPr>
          <w:rFonts w:ascii="Times New Roman" w:hAnsi="Times New Roman"/>
          <w:color w:val="000000" w:themeColor="text1"/>
          <w:sz w:val="16"/>
          <w:szCs w:val="16"/>
        </w:rPr>
        <w:t>линией окопов у Далайнор. Когда в тот же день они начали обстреливать другой наш самолет, также пролетав</w:t>
      </w:r>
      <w:r w:rsidRPr="00A259BD">
        <w:rPr>
          <w:rFonts w:ascii="Times New Roman" w:hAnsi="Times New Roman"/>
          <w:color w:val="000000" w:themeColor="text1"/>
          <w:sz w:val="16"/>
          <w:szCs w:val="16"/>
        </w:rPr>
        <w:softHyphen/>
        <w:t>ший над вражескими окопами, по про</w:t>
      </w:r>
      <w:r w:rsidRPr="00A259BD">
        <w:rPr>
          <w:rFonts w:ascii="Times New Roman" w:hAnsi="Times New Roman"/>
          <w:color w:val="000000" w:themeColor="text1"/>
          <w:sz w:val="16"/>
          <w:szCs w:val="16"/>
        </w:rPr>
        <w:softHyphen/>
        <w:t>тивнику открыли огонь наши пулемет</w:t>
      </w:r>
      <w:r w:rsidRPr="00A259BD">
        <w:rPr>
          <w:rFonts w:ascii="Times New Roman" w:hAnsi="Times New Roman"/>
          <w:color w:val="000000" w:themeColor="text1"/>
          <w:sz w:val="16"/>
          <w:szCs w:val="16"/>
        </w:rPr>
        <w:softHyphen/>
        <w:t>чики и артиллерия. Однако почти сразу же последовал приказ командования: без особой нужды по “</w:t>
      </w:r>
      <w:proofErr w:type="spellStart"/>
      <w:r w:rsidRPr="00A259BD">
        <w:rPr>
          <w:rFonts w:ascii="Times New Roman" w:hAnsi="Times New Roman"/>
          <w:color w:val="000000" w:themeColor="text1"/>
          <w:sz w:val="16"/>
          <w:szCs w:val="16"/>
        </w:rPr>
        <w:t>белокитайцам</w:t>
      </w:r>
      <w:proofErr w:type="spellEnd"/>
      <w:r w:rsidRPr="00A259BD">
        <w:rPr>
          <w:rFonts w:ascii="Times New Roman" w:hAnsi="Times New Roman"/>
          <w:color w:val="000000" w:themeColor="text1"/>
          <w:sz w:val="16"/>
          <w:szCs w:val="16"/>
        </w:rPr>
        <w:t>” не стрелять, чтобы не “раздувать” кон</w:t>
      </w:r>
      <w:r w:rsidRPr="00A259BD">
        <w:rPr>
          <w:rFonts w:ascii="Times New Roman" w:hAnsi="Times New Roman"/>
          <w:color w:val="000000" w:themeColor="text1"/>
          <w:sz w:val="16"/>
          <w:szCs w:val="16"/>
        </w:rPr>
        <w:softHyphen/>
        <w:t>фликт. 10 сентября в авиачастях про</w:t>
      </w:r>
      <w:r w:rsidRPr="00A259BD">
        <w:rPr>
          <w:rFonts w:ascii="Times New Roman" w:hAnsi="Times New Roman"/>
          <w:color w:val="000000" w:themeColor="text1"/>
          <w:sz w:val="16"/>
          <w:szCs w:val="16"/>
        </w:rPr>
        <w:softHyphen/>
        <w:t xml:space="preserve">вели учебные полеты со стрельбой по наземным мишеням, 15 и 20 сентября также организовали учебные полеты. Лишь 2 октября состоялись </w:t>
      </w:r>
      <w:proofErr w:type="spellStart"/>
      <w:r w:rsidRPr="00A259BD">
        <w:rPr>
          <w:rFonts w:ascii="Times New Roman" w:hAnsi="Times New Roman"/>
          <w:color w:val="000000" w:themeColor="text1"/>
          <w:sz w:val="16"/>
          <w:szCs w:val="16"/>
        </w:rPr>
        <w:t>разведпо-леты</w:t>
      </w:r>
      <w:proofErr w:type="spellEnd"/>
      <w:r w:rsidRPr="00A259BD">
        <w:rPr>
          <w:rFonts w:ascii="Times New Roman" w:hAnsi="Times New Roman"/>
          <w:color w:val="000000" w:themeColor="text1"/>
          <w:sz w:val="16"/>
          <w:szCs w:val="16"/>
        </w:rPr>
        <w:t xml:space="preserve"> в районе ст. Маньчжурия - Далай</w:t>
      </w:r>
      <w:r w:rsidRPr="00A259BD">
        <w:rPr>
          <w:rFonts w:ascii="Times New Roman" w:hAnsi="Times New Roman"/>
          <w:color w:val="000000" w:themeColor="text1"/>
          <w:sz w:val="16"/>
          <w:szCs w:val="16"/>
        </w:rPr>
        <w:softHyphen/>
        <w:t>нор. Р-1, высланный в Нерчинский за</w:t>
      </w:r>
      <w:r w:rsidRPr="00A259BD">
        <w:rPr>
          <w:rFonts w:ascii="Times New Roman" w:hAnsi="Times New Roman"/>
          <w:color w:val="000000" w:themeColor="text1"/>
          <w:sz w:val="16"/>
          <w:szCs w:val="16"/>
        </w:rPr>
        <w:softHyphen/>
        <w:t>вод, из-за нехватки горючего удач но сел на вынужденную в 50 км северо-</w:t>
      </w:r>
      <w:proofErr w:type="spellStart"/>
      <w:r w:rsidRPr="00A259BD">
        <w:rPr>
          <w:rFonts w:ascii="Times New Roman" w:hAnsi="Times New Roman"/>
          <w:color w:val="000000" w:themeColor="text1"/>
          <w:sz w:val="16"/>
          <w:szCs w:val="16"/>
        </w:rPr>
        <w:t>вос</w:t>
      </w:r>
      <w:proofErr w:type="spellEnd"/>
      <w:r w:rsidRPr="00A259BD">
        <w:rPr>
          <w:rFonts w:ascii="Times New Roman" w:hAnsi="Times New Roman"/>
          <w:color w:val="000000" w:themeColor="text1"/>
          <w:sz w:val="16"/>
          <w:szCs w:val="16"/>
        </w:rPr>
        <w:t>-точнее ст. Даурия (11216).</w:t>
      </w:r>
    </w:p>
    <w:p w14:paraId="72F04DD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FEA87B" w14:textId="554F0EED" w:rsidR="004E7169" w:rsidRPr="006B74EB" w:rsidRDefault="004E7169" w:rsidP="004E7169">
      <w:pPr>
        <w:spacing w:after="0" w:line="240" w:lineRule="auto"/>
        <w:jc w:val="both"/>
        <w:rPr>
          <w:rFonts w:ascii="Times New Roman" w:hAnsi="Times New Roman"/>
          <w:color w:val="0070C0"/>
          <w:sz w:val="16"/>
          <w:szCs w:val="16"/>
        </w:rPr>
      </w:pPr>
      <w:r>
        <w:rPr>
          <w:rFonts w:ascii="Times New Roman" w:hAnsi="Times New Roman"/>
          <w:color w:val="0070C0"/>
          <w:sz w:val="16"/>
          <w:szCs w:val="16"/>
        </w:rPr>
        <w:t>7 с</w:t>
      </w:r>
      <w:r w:rsidRPr="006B74EB">
        <w:rPr>
          <w:rFonts w:ascii="Times New Roman" w:hAnsi="Times New Roman"/>
          <w:color w:val="0070C0"/>
          <w:sz w:val="16"/>
          <w:szCs w:val="16"/>
        </w:rPr>
        <w:t>ентября</w:t>
      </w:r>
      <w:r>
        <w:rPr>
          <w:rFonts w:ascii="Times New Roman" w:hAnsi="Times New Roman"/>
          <w:color w:val="0070C0"/>
          <w:sz w:val="16"/>
          <w:szCs w:val="16"/>
        </w:rPr>
        <w:t xml:space="preserve"> 1929 г.</w:t>
      </w:r>
      <w:r w:rsidRPr="006B74EB">
        <w:rPr>
          <w:rFonts w:ascii="Times New Roman" w:hAnsi="Times New Roman"/>
          <w:color w:val="0070C0"/>
          <w:sz w:val="16"/>
          <w:szCs w:val="16"/>
        </w:rPr>
        <w:t xml:space="preserve"> летчик СКВО П</w:t>
      </w:r>
      <w:r>
        <w:rPr>
          <w:rFonts w:ascii="Times New Roman" w:hAnsi="Times New Roman"/>
          <w:color w:val="0070C0"/>
          <w:sz w:val="16"/>
          <w:szCs w:val="16"/>
        </w:rPr>
        <w:t>.</w:t>
      </w:r>
      <w:r w:rsidRPr="006B74EB">
        <w:rPr>
          <w:rFonts w:ascii="Times New Roman" w:hAnsi="Times New Roman"/>
          <w:color w:val="0070C0"/>
          <w:sz w:val="16"/>
          <w:szCs w:val="16"/>
        </w:rPr>
        <w:t xml:space="preserve"> </w:t>
      </w:r>
      <w:proofErr w:type="spellStart"/>
      <w:r w:rsidRPr="006B74EB">
        <w:rPr>
          <w:rFonts w:ascii="Times New Roman" w:hAnsi="Times New Roman"/>
          <w:color w:val="0070C0"/>
          <w:sz w:val="16"/>
          <w:szCs w:val="16"/>
        </w:rPr>
        <w:t>И</w:t>
      </w:r>
      <w:r>
        <w:rPr>
          <w:rFonts w:ascii="Times New Roman" w:hAnsi="Times New Roman"/>
          <w:color w:val="0070C0"/>
          <w:sz w:val="16"/>
          <w:szCs w:val="16"/>
        </w:rPr>
        <w:t>.</w:t>
      </w:r>
      <w:r w:rsidRPr="006B74EB">
        <w:rPr>
          <w:rFonts w:ascii="Times New Roman" w:hAnsi="Times New Roman"/>
          <w:color w:val="0070C0"/>
          <w:sz w:val="16"/>
          <w:szCs w:val="16"/>
        </w:rPr>
        <w:t>Лазарев</w:t>
      </w:r>
      <w:proofErr w:type="spellEnd"/>
      <w:r w:rsidRPr="006B74EB">
        <w:rPr>
          <w:rFonts w:ascii="Times New Roman" w:hAnsi="Times New Roman"/>
          <w:color w:val="0070C0"/>
          <w:sz w:val="16"/>
          <w:szCs w:val="16"/>
        </w:rPr>
        <w:t xml:space="preserve"> </w:t>
      </w:r>
      <w:r>
        <w:rPr>
          <w:rFonts w:ascii="Times New Roman" w:hAnsi="Times New Roman"/>
          <w:color w:val="0070C0"/>
          <w:sz w:val="16"/>
          <w:szCs w:val="16"/>
        </w:rPr>
        <w:t>с</w:t>
      </w:r>
      <w:r w:rsidRPr="006B74EB">
        <w:rPr>
          <w:rFonts w:ascii="Times New Roman" w:hAnsi="Times New Roman"/>
          <w:color w:val="0070C0"/>
          <w:sz w:val="16"/>
          <w:szCs w:val="16"/>
        </w:rPr>
        <w:t xml:space="preserve"> летнабом Бондаренко на</w:t>
      </w:r>
      <w:r>
        <w:rPr>
          <w:rFonts w:ascii="Times New Roman" w:hAnsi="Times New Roman"/>
          <w:color w:val="0070C0"/>
          <w:sz w:val="16"/>
          <w:szCs w:val="16"/>
        </w:rPr>
        <w:t xml:space="preserve"> самолете Р-1 </w:t>
      </w:r>
      <w:r w:rsidRPr="006B74EB">
        <w:rPr>
          <w:rFonts w:ascii="Times New Roman" w:hAnsi="Times New Roman"/>
          <w:color w:val="0070C0"/>
          <w:sz w:val="16"/>
          <w:szCs w:val="16"/>
        </w:rPr>
        <w:t xml:space="preserve">на высоте 1500 м стал выполнять </w:t>
      </w:r>
      <w:proofErr w:type="spellStart"/>
      <w:r w:rsidRPr="006B74EB">
        <w:rPr>
          <w:rFonts w:ascii="Times New Roman" w:hAnsi="Times New Roman"/>
          <w:color w:val="0070C0"/>
          <w:sz w:val="16"/>
          <w:szCs w:val="16"/>
        </w:rPr>
        <w:t>втопор</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После двух</w:t>
      </w:r>
      <w:r>
        <w:rPr>
          <w:rFonts w:ascii="Times New Roman" w:hAnsi="Times New Roman"/>
          <w:color w:val="0070C0"/>
          <w:sz w:val="16"/>
          <w:szCs w:val="16"/>
        </w:rPr>
        <w:t xml:space="preserve"> витков </w:t>
      </w:r>
      <w:r w:rsidRPr="006B74EB">
        <w:rPr>
          <w:rFonts w:ascii="Times New Roman" w:hAnsi="Times New Roman"/>
          <w:color w:val="0070C0"/>
          <w:sz w:val="16"/>
          <w:szCs w:val="16"/>
        </w:rPr>
        <w:t>при выводе самолета из штопора заклинилось управление и</w:t>
      </w:r>
      <w:r>
        <w:rPr>
          <w:rFonts w:ascii="Times New Roman" w:hAnsi="Times New Roman"/>
          <w:color w:val="0070C0"/>
          <w:sz w:val="16"/>
          <w:szCs w:val="16"/>
        </w:rPr>
        <w:t xml:space="preserve"> самолет </w:t>
      </w:r>
      <w:r w:rsidRPr="006B74EB">
        <w:rPr>
          <w:rFonts w:ascii="Times New Roman" w:hAnsi="Times New Roman"/>
          <w:color w:val="0070C0"/>
          <w:sz w:val="16"/>
          <w:szCs w:val="16"/>
        </w:rPr>
        <w:t>продолжал штопорить</w:t>
      </w:r>
      <w:r>
        <w:rPr>
          <w:rFonts w:ascii="Times New Roman" w:hAnsi="Times New Roman"/>
          <w:color w:val="0070C0"/>
          <w:sz w:val="16"/>
          <w:szCs w:val="16"/>
        </w:rPr>
        <w:t>.</w:t>
      </w:r>
      <w:r w:rsidRPr="006B74EB">
        <w:rPr>
          <w:rFonts w:ascii="Times New Roman" w:hAnsi="Times New Roman"/>
          <w:color w:val="0070C0"/>
          <w:sz w:val="16"/>
          <w:szCs w:val="16"/>
        </w:rPr>
        <w:t xml:space="preserve"> Приказав летнабу взять управление, спустился в кабину,</w:t>
      </w:r>
      <w:r>
        <w:rPr>
          <w:rFonts w:ascii="Times New Roman" w:hAnsi="Times New Roman"/>
          <w:color w:val="0070C0"/>
          <w:sz w:val="16"/>
          <w:szCs w:val="16"/>
        </w:rPr>
        <w:t xml:space="preserve"> </w:t>
      </w:r>
      <w:r w:rsidRPr="006B74EB">
        <w:rPr>
          <w:rFonts w:ascii="Times New Roman" w:hAnsi="Times New Roman"/>
          <w:color w:val="0070C0"/>
          <w:sz w:val="16"/>
          <w:szCs w:val="16"/>
        </w:rPr>
        <w:t>устранил дефект и вывел самолет из</w:t>
      </w:r>
      <w:r>
        <w:rPr>
          <w:rFonts w:ascii="Times New Roman" w:hAnsi="Times New Roman"/>
          <w:color w:val="0070C0"/>
          <w:sz w:val="16"/>
          <w:szCs w:val="16"/>
        </w:rPr>
        <w:t xml:space="preserve"> штопора </w:t>
      </w:r>
      <w:r w:rsidRPr="006B74EB">
        <w:rPr>
          <w:rFonts w:ascii="Times New Roman" w:hAnsi="Times New Roman"/>
          <w:color w:val="0070C0"/>
          <w:sz w:val="16"/>
          <w:szCs w:val="16"/>
        </w:rPr>
        <w:t>на высоте 100</w:t>
      </w:r>
      <w:r>
        <w:rPr>
          <w:rFonts w:ascii="Times New Roman" w:hAnsi="Times New Roman"/>
          <w:color w:val="0070C0"/>
          <w:sz w:val="16"/>
          <w:szCs w:val="16"/>
        </w:rPr>
        <w:t xml:space="preserve"> </w:t>
      </w:r>
      <w:r w:rsidRPr="006B74EB">
        <w:rPr>
          <w:rFonts w:ascii="Times New Roman" w:hAnsi="Times New Roman"/>
          <w:color w:val="0070C0"/>
          <w:sz w:val="16"/>
          <w:szCs w:val="16"/>
        </w:rPr>
        <w:t>м</w:t>
      </w:r>
      <w:r>
        <w:rPr>
          <w:rFonts w:ascii="Times New Roman" w:hAnsi="Times New Roman"/>
          <w:color w:val="0070C0"/>
          <w:sz w:val="16"/>
          <w:szCs w:val="16"/>
        </w:rPr>
        <w:t>. С</w:t>
      </w:r>
      <w:r w:rsidRPr="006B74EB">
        <w:rPr>
          <w:rFonts w:ascii="Times New Roman" w:hAnsi="Times New Roman"/>
          <w:color w:val="0070C0"/>
          <w:sz w:val="16"/>
          <w:szCs w:val="16"/>
        </w:rPr>
        <w:t>амолет сделал 17 витков штопора.</w:t>
      </w:r>
      <w:r>
        <w:rPr>
          <w:rFonts w:ascii="Times New Roman" w:hAnsi="Times New Roman"/>
          <w:color w:val="0070C0"/>
          <w:sz w:val="16"/>
          <w:szCs w:val="16"/>
        </w:rPr>
        <w:t xml:space="preserve"> З</w:t>
      </w:r>
      <w:r w:rsidRPr="006B74EB">
        <w:rPr>
          <w:rFonts w:ascii="Times New Roman" w:hAnsi="Times New Roman"/>
          <w:color w:val="0070C0"/>
          <w:sz w:val="16"/>
          <w:szCs w:val="16"/>
        </w:rPr>
        <w:t>а вы</w:t>
      </w:r>
      <w:r>
        <w:rPr>
          <w:rFonts w:ascii="Times New Roman" w:hAnsi="Times New Roman"/>
          <w:color w:val="0070C0"/>
          <w:sz w:val="16"/>
          <w:szCs w:val="16"/>
        </w:rPr>
        <w:t xml:space="preserve">вод </w:t>
      </w:r>
      <w:proofErr w:type="spellStart"/>
      <w:r>
        <w:rPr>
          <w:rFonts w:ascii="Times New Roman" w:hAnsi="Times New Roman"/>
          <w:color w:val="0070C0"/>
          <w:sz w:val="16"/>
          <w:szCs w:val="16"/>
        </w:rPr>
        <w:t>савмолета</w:t>
      </w:r>
      <w:proofErr w:type="spellEnd"/>
      <w:r>
        <w:rPr>
          <w:rFonts w:ascii="Times New Roman" w:hAnsi="Times New Roman"/>
          <w:color w:val="0070C0"/>
          <w:sz w:val="16"/>
          <w:szCs w:val="16"/>
        </w:rPr>
        <w:t xml:space="preserve"> из штопора </w:t>
      </w:r>
      <w:r w:rsidRPr="006B74EB">
        <w:rPr>
          <w:rFonts w:ascii="Times New Roman" w:hAnsi="Times New Roman"/>
          <w:color w:val="0070C0"/>
          <w:sz w:val="16"/>
          <w:szCs w:val="16"/>
        </w:rPr>
        <w:t xml:space="preserve">и самообладание </w:t>
      </w:r>
      <w:r>
        <w:rPr>
          <w:rFonts w:ascii="Times New Roman" w:hAnsi="Times New Roman"/>
          <w:color w:val="0070C0"/>
          <w:sz w:val="16"/>
          <w:szCs w:val="16"/>
        </w:rPr>
        <w:t>э</w:t>
      </w:r>
      <w:r w:rsidRPr="006B74EB">
        <w:rPr>
          <w:rFonts w:ascii="Times New Roman" w:hAnsi="Times New Roman"/>
          <w:color w:val="0070C0"/>
          <w:sz w:val="16"/>
          <w:szCs w:val="16"/>
        </w:rPr>
        <w:t xml:space="preserve">кипажу была объявлена благодарность </w:t>
      </w:r>
      <w:r>
        <w:rPr>
          <w:rFonts w:ascii="Times New Roman" w:hAnsi="Times New Roman"/>
          <w:color w:val="0070C0"/>
          <w:sz w:val="16"/>
          <w:szCs w:val="16"/>
        </w:rPr>
        <w:t>и выд</w:t>
      </w:r>
      <w:r w:rsidRPr="006B74EB">
        <w:rPr>
          <w:rFonts w:ascii="Times New Roman" w:hAnsi="Times New Roman"/>
          <w:color w:val="0070C0"/>
          <w:sz w:val="16"/>
          <w:szCs w:val="16"/>
        </w:rPr>
        <w:t>ана денежная премия.</w:t>
      </w:r>
    </w:p>
    <w:p w14:paraId="6E923984" w14:textId="77777777" w:rsidR="004E7169" w:rsidRDefault="004E7169" w:rsidP="004E7169">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w:t>
      </w:r>
      <w:proofErr w:type="spellStart"/>
      <w:r>
        <w:rPr>
          <w:rFonts w:ascii="Times New Roman" w:hAnsi="Times New Roman"/>
          <w:color w:val="0070C0"/>
          <w:sz w:val="16"/>
          <w:szCs w:val="16"/>
        </w:rPr>
        <w:t>К</w:t>
      </w:r>
      <w:r w:rsidRPr="006B74EB">
        <w:rPr>
          <w:rFonts w:ascii="Times New Roman" w:hAnsi="Times New Roman"/>
          <w:color w:val="0070C0"/>
          <w:sz w:val="16"/>
          <w:szCs w:val="16"/>
        </w:rPr>
        <w:t>расмая</w:t>
      </w:r>
      <w:proofErr w:type="spellEnd"/>
      <w:r w:rsidRPr="006B74EB">
        <w:rPr>
          <w:rFonts w:ascii="Times New Roman" w:hAnsi="Times New Roman"/>
          <w:color w:val="0070C0"/>
          <w:sz w:val="16"/>
          <w:szCs w:val="16"/>
        </w:rPr>
        <w:t xml:space="preserve"> звезда» за 7 сентября 1929 г./</w:t>
      </w:r>
      <w:r>
        <w:rPr>
          <w:rFonts w:ascii="Times New Roman" w:hAnsi="Times New Roman"/>
          <w:color w:val="0070C0"/>
          <w:sz w:val="16"/>
          <w:szCs w:val="16"/>
        </w:rPr>
        <w:t xml:space="preserve"> (23370).</w:t>
      </w:r>
    </w:p>
    <w:p w14:paraId="7AB57E0D" w14:textId="77777777" w:rsidR="004E7169" w:rsidRPr="006B74EB" w:rsidRDefault="004E7169" w:rsidP="004E7169">
      <w:pPr>
        <w:spacing w:after="0" w:line="240" w:lineRule="auto"/>
        <w:jc w:val="both"/>
        <w:rPr>
          <w:rFonts w:ascii="Times New Roman" w:hAnsi="Times New Roman"/>
          <w:color w:val="0070C0"/>
          <w:sz w:val="16"/>
          <w:szCs w:val="16"/>
        </w:rPr>
      </w:pPr>
    </w:p>
    <w:p w14:paraId="07E6342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сентября 1929 двумя гидросамолетами МР-1 из 68-го отдельного </w:t>
      </w:r>
      <w:proofErr w:type="spellStart"/>
      <w:r w:rsidRPr="00A259BD">
        <w:rPr>
          <w:rFonts w:ascii="Times New Roman" w:hAnsi="Times New Roman"/>
          <w:color w:val="000000" w:themeColor="text1"/>
          <w:sz w:val="16"/>
          <w:szCs w:val="16"/>
        </w:rPr>
        <w:t>авиаразве-дотряда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оаро</w:t>
      </w:r>
      <w:proofErr w:type="spellEnd"/>
      <w:r w:rsidRPr="00A259BD">
        <w:rPr>
          <w:rFonts w:ascii="Times New Roman" w:hAnsi="Times New Roman"/>
          <w:color w:val="000000" w:themeColor="text1"/>
          <w:sz w:val="16"/>
          <w:szCs w:val="16"/>
        </w:rPr>
        <w:t>) была выполнена разведка и фотографирование. Вылетев с базы 7.09 в 10-00, они вернулись в Благовещенск 8 сентября в 12-00 (11216).</w:t>
      </w:r>
    </w:p>
    <w:p w14:paraId="256A8A5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4AEA5B" w14:textId="77777777" w:rsidR="00A53486"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6C0D4CFE" w14:textId="77777777" w:rsidR="00A53486" w:rsidRPr="00A259BD" w:rsidRDefault="00A5348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54FA55C" w14:textId="77777777" w:rsidR="00A53486" w:rsidRPr="00A259BD" w:rsidRDefault="00A53486" w:rsidP="009236E3">
      <w:pPr>
        <w:spacing w:after="0" w:line="240" w:lineRule="auto"/>
        <w:jc w:val="both"/>
        <w:rPr>
          <w:rFonts w:ascii="Times New Roman" w:hAnsi="Times New Roman"/>
          <w:color w:val="000000" w:themeColor="text1"/>
          <w:sz w:val="16"/>
          <w:szCs w:val="16"/>
        </w:rPr>
      </w:pPr>
      <w:r w:rsidRPr="00A259BD">
        <w:rPr>
          <w:rFonts w:ascii="Times New Roman" w:eastAsiaTheme="minorHAnsi" w:hAnsi="Times New Roman"/>
          <w:color w:val="000000" w:themeColor="text1"/>
          <w:sz w:val="16"/>
          <w:szCs w:val="16"/>
        </w:rPr>
        <w:t>7 сентября</w:t>
      </w:r>
      <w:r w:rsidRPr="00A259BD">
        <w:rPr>
          <w:rFonts w:ascii="Times New Roman" w:hAnsi="Times New Roman"/>
          <w:color w:val="000000" w:themeColor="text1"/>
          <w:sz w:val="16"/>
          <w:szCs w:val="16"/>
        </w:rPr>
        <w:t xml:space="preserve"> в 1929 году руководством советской разведки принято решение об установлении связи с Вилли Леманом, начальником канцелярии контрразведывательного отдела берлинской полиции, который сам предложил свои услуги. В Центре его ему дадут номер А/201, назовут Брайтенбах и будут плодотворно сотрудничать 10 лет. Отдел Лемана войдет в гестапо, он будет принят в СС, станет работать под непосредственным началом Вальтера Шелленберга, через его руки будут проходить все документы, ложащиеся на стол начальника гестапо Гейдриха. Связь с Леманом прервется в конце 1938 года, когда умрет поддерживавший ее сотрудник советской резидентуры. Летом 40-го года Леман сумеет восстановить контакт. Последняя встреча с ним состоялась 19 июня 1941 года, на которой Леман сообщил о предстоящем нападении Германии на СССР. О дальнейшей его судьбе долгое время ничего не знали. Он будет арестован и казнен в декабре 1942 года после провала посланного для связи с ним агента. Одного из лучших агентов советской разведки иногда называют прототипом Штирлица (14762).</w:t>
      </w:r>
    </w:p>
    <w:p w14:paraId="6B87995B" w14:textId="77777777" w:rsidR="00A53486" w:rsidRPr="00A259BD" w:rsidRDefault="00A53486" w:rsidP="009236E3">
      <w:pPr>
        <w:spacing w:after="0" w:line="240" w:lineRule="auto"/>
        <w:jc w:val="both"/>
        <w:rPr>
          <w:rFonts w:ascii="Times New Roman" w:hAnsi="Times New Roman"/>
          <w:color w:val="000000" w:themeColor="text1"/>
          <w:sz w:val="16"/>
          <w:szCs w:val="16"/>
        </w:rPr>
      </w:pPr>
    </w:p>
    <w:p w14:paraId="4C13173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136E8D3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32B86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сентября 1929 в 2-00 по местному времени в 2 км север</w:t>
      </w:r>
      <w:r w:rsidRPr="00A259BD">
        <w:rPr>
          <w:rFonts w:ascii="Times New Roman" w:hAnsi="Times New Roman"/>
          <w:color w:val="000000" w:themeColor="text1"/>
          <w:sz w:val="16"/>
          <w:szCs w:val="16"/>
        </w:rPr>
        <w:softHyphen/>
        <w:t>нее ст. Пограничная с высоты 346,6 произошел крупный бой назем</w:t>
      </w:r>
      <w:r w:rsidRPr="00A259BD">
        <w:rPr>
          <w:rFonts w:ascii="Times New Roman" w:hAnsi="Times New Roman"/>
          <w:color w:val="000000" w:themeColor="text1"/>
          <w:sz w:val="16"/>
          <w:szCs w:val="16"/>
        </w:rPr>
        <w:softHyphen/>
        <w:t>ных войск с участием авиации.</w:t>
      </w:r>
    </w:p>
    <w:p w14:paraId="07D157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 следует из дополнения к опер</w:t>
      </w:r>
      <w:r w:rsidRPr="00A259BD">
        <w:rPr>
          <w:rFonts w:ascii="Times New Roman" w:hAnsi="Times New Roman"/>
          <w:color w:val="000000" w:themeColor="text1"/>
          <w:sz w:val="16"/>
          <w:szCs w:val="16"/>
        </w:rPr>
        <w:softHyphen/>
        <w:t>сводке, китайцы в 2-00 открыли ружей-но-пулеметный огонь по нашему ох</w:t>
      </w:r>
      <w:r w:rsidRPr="00A259BD">
        <w:rPr>
          <w:rFonts w:ascii="Times New Roman" w:hAnsi="Times New Roman"/>
          <w:color w:val="000000" w:themeColor="text1"/>
          <w:sz w:val="16"/>
          <w:szCs w:val="16"/>
        </w:rPr>
        <w:softHyphen/>
        <w:t>ранению и выпустили три снаряда, они почему-то не разорвались. Причиной обстрела могло стать крушение пасса</w:t>
      </w:r>
      <w:r w:rsidRPr="00A259BD">
        <w:rPr>
          <w:rFonts w:ascii="Times New Roman" w:hAnsi="Times New Roman"/>
          <w:color w:val="000000" w:themeColor="text1"/>
          <w:sz w:val="16"/>
          <w:szCs w:val="16"/>
        </w:rPr>
        <w:softHyphen/>
        <w:t xml:space="preserve">жирского поезда на перегоне </w:t>
      </w:r>
      <w:proofErr w:type="spellStart"/>
      <w:r w:rsidRPr="00A259BD">
        <w:rPr>
          <w:rFonts w:ascii="Times New Roman" w:hAnsi="Times New Roman"/>
          <w:color w:val="000000" w:themeColor="text1"/>
          <w:sz w:val="16"/>
          <w:szCs w:val="16"/>
        </w:rPr>
        <w:t>Бадахе</w:t>
      </w:r>
      <w:proofErr w:type="spellEnd"/>
      <w:r w:rsidRPr="00A259BD">
        <w:rPr>
          <w:rFonts w:ascii="Times New Roman" w:hAnsi="Times New Roman"/>
          <w:color w:val="000000" w:themeColor="text1"/>
          <w:sz w:val="16"/>
          <w:szCs w:val="16"/>
        </w:rPr>
        <w:t>-за - Пограничная 7 сентября в 21-00. Позже разведчики лично убедились, что поезд действительно упал с насы</w:t>
      </w:r>
      <w:r w:rsidRPr="00A259BD">
        <w:rPr>
          <w:rFonts w:ascii="Times New Roman" w:hAnsi="Times New Roman"/>
          <w:color w:val="000000" w:themeColor="text1"/>
          <w:sz w:val="16"/>
          <w:szCs w:val="16"/>
        </w:rPr>
        <w:softHyphen/>
        <w:t>пи под откос, но что явилось причи</w:t>
      </w:r>
      <w:r w:rsidRPr="00A259BD">
        <w:rPr>
          <w:rFonts w:ascii="Times New Roman" w:hAnsi="Times New Roman"/>
          <w:color w:val="000000" w:themeColor="text1"/>
          <w:sz w:val="16"/>
          <w:szCs w:val="16"/>
        </w:rPr>
        <w:softHyphen/>
        <w:t>ной крушения - не сообщали.</w:t>
      </w:r>
    </w:p>
    <w:p w14:paraId="050DD1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ответ на огонь с китайской сторо</w:t>
      </w:r>
      <w:r w:rsidRPr="00A259BD">
        <w:rPr>
          <w:rFonts w:ascii="Times New Roman" w:hAnsi="Times New Roman"/>
          <w:color w:val="000000" w:themeColor="text1"/>
          <w:sz w:val="16"/>
          <w:szCs w:val="16"/>
        </w:rPr>
        <w:softHyphen/>
        <w:t>ны наше охранение тоже начало стре</w:t>
      </w:r>
      <w:r w:rsidRPr="00A259BD">
        <w:rPr>
          <w:rFonts w:ascii="Times New Roman" w:hAnsi="Times New Roman"/>
          <w:color w:val="000000" w:themeColor="text1"/>
          <w:sz w:val="16"/>
          <w:szCs w:val="16"/>
        </w:rPr>
        <w:softHyphen/>
        <w:t>лять, однако в отличие от предыдущих перестрелок китайцы огонь не прекра</w:t>
      </w:r>
      <w:r w:rsidRPr="00A259BD">
        <w:rPr>
          <w:rFonts w:ascii="Times New Roman" w:hAnsi="Times New Roman"/>
          <w:color w:val="000000" w:themeColor="text1"/>
          <w:sz w:val="16"/>
          <w:szCs w:val="16"/>
        </w:rPr>
        <w:softHyphen/>
        <w:t>тили. В 6:00 о боестолкновении донес</w:t>
      </w:r>
      <w:r w:rsidRPr="00A259BD">
        <w:rPr>
          <w:rFonts w:ascii="Times New Roman" w:hAnsi="Times New Roman"/>
          <w:color w:val="000000" w:themeColor="text1"/>
          <w:sz w:val="16"/>
          <w:szCs w:val="16"/>
        </w:rPr>
        <w:softHyphen/>
        <w:t>ли командарму В.К. Блюхеру, и спустя час последовал его приказ: “Сильным, но коротким шквалом артогня обстре</w:t>
      </w:r>
      <w:r w:rsidRPr="00A259BD">
        <w:rPr>
          <w:rFonts w:ascii="Times New Roman" w:hAnsi="Times New Roman"/>
          <w:color w:val="000000" w:themeColor="text1"/>
          <w:sz w:val="16"/>
          <w:szCs w:val="16"/>
        </w:rPr>
        <w:softHyphen/>
        <w:t>лять один - два наиболее насыщенных района кит[</w:t>
      </w:r>
      <w:proofErr w:type="spellStart"/>
      <w:r w:rsidRPr="00A259BD">
        <w:rPr>
          <w:rFonts w:ascii="Times New Roman" w:hAnsi="Times New Roman"/>
          <w:color w:val="000000" w:themeColor="text1"/>
          <w:sz w:val="16"/>
          <w:szCs w:val="16"/>
        </w:rPr>
        <w:t>айских</w:t>
      </w:r>
      <w:proofErr w:type="spellEnd"/>
      <w:r w:rsidRPr="00A259BD">
        <w:rPr>
          <w:rFonts w:ascii="Times New Roman" w:hAnsi="Times New Roman"/>
          <w:color w:val="000000" w:themeColor="text1"/>
          <w:sz w:val="16"/>
          <w:szCs w:val="16"/>
        </w:rPr>
        <w:t>] окопов, причем не допускать обстрела Пограничной и не переходить границу...”.</w:t>
      </w:r>
    </w:p>
    <w:p w14:paraId="7E1AAC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Пока приказ Командующего дошел до командира 1-й дивизии, он “про</w:t>
      </w:r>
      <w:r w:rsidRPr="00A259BD">
        <w:rPr>
          <w:rFonts w:ascii="Times New Roman" w:hAnsi="Times New Roman"/>
          <w:color w:val="000000" w:themeColor="text1"/>
          <w:sz w:val="16"/>
          <w:szCs w:val="16"/>
        </w:rPr>
        <w:softHyphen/>
        <w:t>явил инициативу”, послав самолеты бомбить позиции противника и ст. Пограничная. Около 7-00 пятерка Р-1 сбросила бомбы на передовые окопы и станцию, повредив три пути. Артил</w:t>
      </w:r>
      <w:r w:rsidRPr="00A259BD">
        <w:rPr>
          <w:rFonts w:ascii="Times New Roman" w:hAnsi="Times New Roman"/>
          <w:color w:val="000000" w:themeColor="text1"/>
          <w:sz w:val="16"/>
          <w:szCs w:val="16"/>
        </w:rPr>
        <w:softHyphen/>
        <w:t>лерийские наблюдатели засекли раз</w:t>
      </w:r>
      <w:r w:rsidRPr="00A259BD">
        <w:rPr>
          <w:rFonts w:ascii="Times New Roman" w:hAnsi="Times New Roman"/>
          <w:color w:val="000000" w:themeColor="text1"/>
          <w:sz w:val="16"/>
          <w:szCs w:val="16"/>
        </w:rPr>
        <w:softHyphen/>
        <w:t>рывы бомб между эшелонами, там воз</w:t>
      </w:r>
      <w:r w:rsidRPr="00A259BD">
        <w:rPr>
          <w:rFonts w:ascii="Times New Roman" w:hAnsi="Times New Roman"/>
          <w:color w:val="000000" w:themeColor="text1"/>
          <w:sz w:val="16"/>
          <w:szCs w:val="16"/>
        </w:rPr>
        <w:softHyphen/>
        <w:t>ник большой пожар - загорелся эше</w:t>
      </w:r>
      <w:r w:rsidRPr="00A259BD">
        <w:rPr>
          <w:rFonts w:ascii="Times New Roman" w:hAnsi="Times New Roman"/>
          <w:color w:val="000000" w:themeColor="text1"/>
          <w:sz w:val="16"/>
          <w:szCs w:val="16"/>
        </w:rPr>
        <w:softHyphen/>
        <w:t>лон с боеприпасами. Отмечено также, что при бомбежке китайские солдаты в панике убегали даже из блиндажей. Позже выяснилось, что паника возник</w:t>
      </w:r>
      <w:r w:rsidRPr="00A259BD">
        <w:rPr>
          <w:rFonts w:ascii="Times New Roman" w:hAnsi="Times New Roman"/>
          <w:color w:val="000000" w:themeColor="text1"/>
          <w:sz w:val="16"/>
          <w:szCs w:val="16"/>
        </w:rPr>
        <w:softHyphen/>
        <w:t>ла не только на Пограничной, но и на соседней ст. Мулино. В оперсводке также отмечалось, что бомбардиров</w:t>
      </w:r>
      <w:r w:rsidRPr="00A259BD">
        <w:rPr>
          <w:rFonts w:ascii="Times New Roman" w:hAnsi="Times New Roman"/>
          <w:color w:val="000000" w:themeColor="text1"/>
          <w:sz w:val="16"/>
          <w:szCs w:val="16"/>
        </w:rPr>
        <w:softHyphen/>
        <w:t>кой и артиллерийским огнем с нашей стороны “приведены в молчание” (т.е. подавлены) бронепоезда, бомбометы и батарея. Все попытки китайцев вес</w:t>
      </w:r>
      <w:r w:rsidRPr="00A259BD">
        <w:rPr>
          <w:rFonts w:ascii="Times New Roman" w:hAnsi="Times New Roman"/>
          <w:color w:val="000000" w:themeColor="text1"/>
          <w:sz w:val="16"/>
          <w:szCs w:val="16"/>
        </w:rPr>
        <w:softHyphen/>
        <w:t xml:space="preserve">ти ответный ружейно-пулеметный огонь и </w:t>
      </w:r>
      <w:proofErr w:type="spellStart"/>
      <w:r w:rsidRPr="00A259BD">
        <w:rPr>
          <w:rFonts w:ascii="Times New Roman" w:hAnsi="Times New Roman"/>
          <w:color w:val="000000" w:themeColor="text1"/>
          <w:sz w:val="16"/>
          <w:szCs w:val="16"/>
        </w:rPr>
        <w:t>артстрельбу</w:t>
      </w:r>
      <w:proofErr w:type="spellEnd"/>
      <w:r w:rsidRPr="00A259BD">
        <w:rPr>
          <w:rFonts w:ascii="Times New Roman" w:hAnsi="Times New Roman"/>
          <w:color w:val="000000" w:themeColor="text1"/>
          <w:sz w:val="16"/>
          <w:szCs w:val="16"/>
        </w:rPr>
        <w:t xml:space="preserve"> силами одной ба</w:t>
      </w:r>
      <w:r w:rsidRPr="00A259BD">
        <w:rPr>
          <w:rFonts w:ascii="Times New Roman" w:hAnsi="Times New Roman"/>
          <w:color w:val="000000" w:themeColor="text1"/>
          <w:sz w:val="16"/>
          <w:szCs w:val="16"/>
        </w:rPr>
        <w:softHyphen/>
        <w:t>тареи успеха не имели. Неизвестно, была ли отмечена инициатива комди</w:t>
      </w:r>
      <w:r w:rsidRPr="00A259BD">
        <w:rPr>
          <w:rFonts w:ascii="Times New Roman" w:hAnsi="Times New Roman"/>
          <w:color w:val="000000" w:themeColor="text1"/>
          <w:sz w:val="16"/>
          <w:szCs w:val="16"/>
        </w:rPr>
        <w:softHyphen/>
        <w:t>ва Блюхером и если да, то как (11216).</w:t>
      </w:r>
    </w:p>
    <w:p w14:paraId="604678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8915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сентября 1929 г. войска Особой Дальневосточной армии (ОДВА) из Приморья, поддерживаемые 19-м авиаотрядом с аэродрома Гродеково, начали наступление на запад, в направлении станции Пограничная. Китайцы понесли потери и отошли.</w:t>
      </w:r>
    </w:p>
    <w:p w14:paraId="4801EB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октября советская Амурская флотилия вошла в устье реки Сунгари. Бомбовым ударом 40-й эскадрильи и огнем кораблей были выведены из строя канонерская лодка, три вооруженных парохода (причем один - только авиацией) и баржа-</w:t>
      </w:r>
      <w:proofErr w:type="spellStart"/>
      <w:r w:rsidRPr="00A259BD">
        <w:rPr>
          <w:rFonts w:ascii="Times New Roman" w:hAnsi="Times New Roman"/>
          <w:color w:val="000000" w:themeColor="text1"/>
          <w:sz w:val="16"/>
          <w:szCs w:val="16"/>
        </w:rPr>
        <w:t>плавбатарея</w:t>
      </w:r>
      <w:proofErr w:type="spellEnd"/>
      <w:r w:rsidRPr="00A259BD">
        <w:rPr>
          <w:rFonts w:ascii="Times New Roman" w:hAnsi="Times New Roman"/>
          <w:color w:val="000000" w:themeColor="text1"/>
          <w:sz w:val="16"/>
          <w:szCs w:val="16"/>
        </w:rPr>
        <w:t xml:space="preserve">, захваченная позже нашим десантом. Высадку войск на берег у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xml:space="preserve"> поддерживал 68-й отряд на МР-1, базировавшийся на плавбазе «Амур». Он подавил китайскую батарею у деревни </w:t>
      </w:r>
      <w:proofErr w:type="spellStart"/>
      <w:r w:rsidRPr="00A259BD">
        <w:rPr>
          <w:rFonts w:ascii="Times New Roman" w:hAnsi="Times New Roman"/>
          <w:color w:val="000000" w:themeColor="text1"/>
          <w:sz w:val="16"/>
          <w:szCs w:val="16"/>
        </w:rPr>
        <w:t>Чичиха</w:t>
      </w:r>
      <w:proofErr w:type="spellEnd"/>
      <w:r w:rsidRPr="00A259BD">
        <w:rPr>
          <w:rFonts w:ascii="Times New Roman" w:hAnsi="Times New Roman"/>
          <w:color w:val="000000" w:themeColor="text1"/>
          <w:sz w:val="16"/>
          <w:szCs w:val="16"/>
        </w:rPr>
        <w:t>.</w:t>
      </w:r>
    </w:p>
    <w:p w14:paraId="0CACF7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«Амур» сопровождал флотилию при движении вверх по реке. Его гидропланы вели разведку и наносили удары по кораблям и береговым позициям китайцев. В частности, 30 октября они пресекли попытку загородить фарватер затоплением барж с камнем. Летчики потопили один пароход и баржу, а остальные отогнали вверх по реке. При этом также значительные повреждения получила канонерка «</w:t>
      </w:r>
      <w:proofErr w:type="spellStart"/>
      <w:r w:rsidRPr="00A259BD">
        <w:rPr>
          <w:rFonts w:ascii="Times New Roman" w:hAnsi="Times New Roman"/>
          <w:color w:val="000000" w:themeColor="text1"/>
          <w:sz w:val="16"/>
          <w:szCs w:val="16"/>
        </w:rPr>
        <w:t>Кианг-Хын</w:t>
      </w:r>
      <w:proofErr w:type="spellEnd"/>
      <w:r w:rsidRPr="00A259BD">
        <w:rPr>
          <w:rFonts w:ascii="Times New Roman" w:hAnsi="Times New Roman"/>
          <w:color w:val="000000" w:themeColor="text1"/>
          <w:sz w:val="16"/>
          <w:szCs w:val="16"/>
        </w:rPr>
        <w:t xml:space="preserve">», которая позже затонула на рейде </w:t>
      </w:r>
      <w:proofErr w:type="spellStart"/>
      <w:r w:rsidRPr="00A259BD">
        <w:rPr>
          <w:rFonts w:ascii="Times New Roman" w:hAnsi="Times New Roman"/>
          <w:color w:val="000000" w:themeColor="text1"/>
          <w:sz w:val="16"/>
          <w:szCs w:val="16"/>
        </w:rPr>
        <w:t>Фугдина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Фуцзиня</w:t>
      </w:r>
      <w:proofErr w:type="spellEnd"/>
      <w:r w:rsidRPr="00A259BD">
        <w:rPr>
          <w:rFonts w:ascii="Times New Roman" w:hAnsi="Times New Roman"/>
          <w:color w:val="000000" w:themeColor="text1"/>
          <w:sz w:val="16"/>
          <w:szCs w:val="16"/>
        </w:rPr>
        <w:t xml:space="preserve">). Через оставшийся свободным проход корабли Амурской флотилии с десантом на борту поднялись вверх по реке и при поддержке самолетов взяли </w:t>
      </w:r>
      <w:proofErr w:type="spellStart"/>
      <w:r w:rsidRPr="00A259BD">
        <w:rPr>
          <w:rFonts w:ascii="Times New Roman" w:hAnsi="Times New Roman"/>
          <w:color w:val="000000" w:themeColor="text1"/>
          <w:sz w:val="16"/>
          <w:szCs w:val="16"/>
        </w:rPr>
        <w:t>Фугдин</w:t>
      </w:r>
      <w:proofErr w:type="spellEnd"/>
      <w:r w:rsidRPr="00A259BD">
        <w:rPr>
          <w:rFonts w:ascii="Times New Roman" w:hAnsi="Times New Roman"/>
          <w:color w:val="000000" w:themeColor="text1"/>
          <w:sz w:val="16"/>
          <w:szCs w:val="16"/>
        </w:rPr>
        <w:t>.</w:t>
      </w:r>
    </w:p>
    <w:p w14:paraId="6290DC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запада на восток по трассе КВЖД наносила удар Забайкальская группа войск; в нее входила одна эскадрилья и два авиаотряда (всего 31 Р-1), располагавшиеся на аэродроме Даурия. 17 ноября после налета авиации танки перерезали железную дорогу на участке Манчжурия-</w:t>
      </w:r>
      <w:proofErr w:type="spellStart"/>
      <w:r w:rsidRPr="00A259BD">
        <w:rPr>
          <w:rFonts w:ascii="Times New Roman" w:hAnsi="Times New Roman"/>
          <w:color w:val="000000" w:themeColor="text1"/>
          <w:sz w:val="16"/>
          <w:szCs w:val="16"/>
        </w:rPr>
        <w:t>Джайланор</w:t>
      </w:r>
      <w:proofErr w:type="spellEnd"/>
      <w:r w:rsidRPr="00A259BD">
        <w:rPr>
          <w:rFonts w:ascii="Times New Roman" w:hAnsi="Times New Roman"/>
          <w:color w:val="000000" w:themeColor="text1"/>
          <w:sz w:val="16"/>
          <w:szCs w:val="16"/>
        </w:rPr>
        <w:t>. Кавалерия начала развивать прорыв, авиация бомбила скопления китайцев. В одном случае произошел конфуз: вместо пехоты и кавалерии под бомбы попали стада скота, которые гнали по дороге кочевники-монголы. Оправдываясь, летчики объясняли, что с высоты овцы очень похожи на пехоту в серых шинелях, а коровы и верблюды — на кавалерию.</w:t>
      </w:r>
    </w:p>
    <w:p w14:paraId="6A79C9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 </w:t>
      </w:r>
      <w:proofErr w:type="spellStart"/>
      <w:r w:rsidRPr="00A259BD">
        <w:rPr>
          <w:rFonts w:ascii="Times New Roman" w:hAnsi="Times New Roman"/>
          <w:color w:val="000000" w:themeColor="text1"/>
          <w:sz w:val="16"/>
          <w:szCs w:val="16"/>
        </w:rPr>
        <w:t>Джайланором</w:t>
      </w:r>
      <w:proofErr w:type="spellEnd"/>
      <w:r w:rsidRPr="00A259BD">
        <w:rPr>
          <w:rFonts w:ascii="Times New Roman" w:hAnsi="Times New Roman"/>
          <w:color w:val="000000" w:themeColor="text1"/>
          <w:sz w:val="16"/>
          <w:szCs w:val="16"/>
        </w:rPr>
        <w:t xml:space="preserve"> впервые имело место взаимодействие авиации и мотопехоты. Пресекая попытку китайцев вырваться из окружения, летчики сработали как загонщики. Они пулеметным огнем погнали врага на цепь грузовиков АМО с пулеметами, которые окончательно добили противника.</w:t>
      </w:r>
    </w:p>
    <w:p w14:paraId="5D4237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Одновременно с запада вновь начала наступать Приморская группа войск; она шла на </w:t>
      </w:r>
      <w:proofErr w:type="spellStart"/>
      <w:r w:rsidRPr="00A259BD">
        <w:rPr>
          <w:rFonts w:ascii="Times New Roman" w:hAnsi="Times New Roman"/>
          <w:color w:val="000000" w:themeColor="text1"/>
          <w:sz w:val="16"/>
          <w:szCs w:val="16"/>
        </w:rPr>
        <w:t>Мишаньфу</w:t>
      </w:r>
      <w:proofErr w:type="spellEnd"/>
      <w:r w:rsidRPr="00A259BD">
        <w:rPr>
          <w:rFonts w:ascii="Times New Roman" w:hAnsi="Times New Roman"/>
          <w:color w:val="000000" w:themeColor="text1"/>
          <w:sz w:val="16"/>
          <w:szCs w:val="16"/>
        </w:rPr>
        <w:t xml:space="preserve">. Очень эффективно работала авиация по переправам через реку </w:t>
      </w:r>
      <w:proofErr w:type="spellStart"/>
      <w:r w:rsidRPr="00A259BD">
        <w:rPr>
          <w:rFonts w:ascii="Times New Roman" w:hAnsi="Times New Roman"/>
          <w:color w:val="000000" w:themeColor="text1"/>
          <w:sz w:val="16"/>
          <w:szCs w:val="16"/>
        </w:rPr>
        <w:t>Мурень</w:t>
      </w:r>
      <w:proofErr w:type="spellEnd"/>
      <w:r w:rsidRPr="00A259BD">
        <w:rPr>
          <w:rFonts w:ascii="Times New Roman" w:hAnsi="Times New Roman"/>
          <w:color w:val="000000" w:themeColor="text1"/>
          <w:sz w:val="16"/>
          <w:szCs w:val="16"/>
        </w:rPr>
        <w:t>, по которым отходили китайские войска. Плотные скопления солдат представляли собой отличную цель и для пулеметного огня, и для мелких осколочных бомб. Последние рвались, поражая по пять-восемь человек одновременно.</w:t>
      </w:r>
    </w:p>
    <w:p w14:paraId="504C42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Наступление холодов существенно осложнило работу авиации. Уже при 15 градусах мороза приборы на Р-1 начинали «врать», воздушные пузырьки делали невидимой стрелку компаса. При 25 градусах останавливались часы на приборной доске, переставала перематываться пленка в фотоаппарате. Еще раньше замерзала резиновая груша, при помощи которой летнаб спускал затвор фотокамеры; ее для отогрева попросту засовывали в штаны...</w:t>
      </w:r>
    </w:p>
    <w:p w14:paraId="188F7C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Увеличилось время подготовки самолетов к вылету. На группу из 12-14 машин уходило до двух часов. Воду и масло грели в «гончарках» (обогревателях Гончарова) или полевых кухнях.</w:t>
      </w:r>
    </w:p>
    <w:p w14:paraId="539EFA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Самолеты бомбили вражеские аэродромы, склады, казармы, железнодорожные станции. После капитуляции гарнизона станции Манчжурия летчики искали в степи разбегающихся вражеских солдат и наводили на них красноармейцев.</w:t>
      </w:r>
    </w:p>
    <w:p w14:paraId="14F7D4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Весь период боевых действий китайская авиация не проявляла большой активности; не было зафиксировано ни одного воздушного боя. Зенитной артиллерии у противника почти не имелось, от атакующих самолетов китайские солдаты отбивались только огнем винтовок и пулеметов.</w:t>
      </w:r>
    </w:p>
    <w:p w14:paraId="02AB58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Боевые действия шли до 6 декабря и кончились полной капитуляцией врага. Советская авиация потеряла четыре Р-1 и два МР-1; ни один из них не был сбит китайцами. Три Р-1 сожгли сами экипажи после вынужденных посадок (из них два - по ошибке, на своей территории), один разбился в тренировочном полете. Два МР-1 тоже совершили вынужденные посадки (причем один на поплавках - на суше!). Один из них сожгли сами, второй разбил бронированным бортом монитор «Ленин», снимавший с самолета экипаж.</w:t>
      </w:r>
    </w:p>
    <w:p w14:paraId="026078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Имелись потери среди летного состава, один экипаж попал в плен к китайцам; его дальнейшая судьба осталась неизвестной.</w:t>
      </w:r>
    </w:p>
    <w:p w14:paraId="49EB50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Хотя Р-1 состояли на вооружении еще около пяти лет, воевать в рядах ВВС РККА им более не довелось (11923).</w:t>
      </w:r>
    </w:p>
    <w:p w14:paraId="6379B9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FDC3C09" w14:textId="77777777" w:rsidR="00A53486" w:rsidRPr="00A259BD" w:rsidRDefault="00A53486" w:rsidP="009236E3">
      <w:pPr>
        <w:pStyle w:val="a3"/>
        <w:rPr>
          <w:color w:val="000000" w:themeColor="text1"/>
          <w:lang w:val="ru-RU"/>
        </w:rPr>
      </w:pPr>
      <w:r w:rsidRPr="00A259BD">
        <w:rPr>
          <w:color w:val="000000" w:themeColor="text1"/>
          <w:lang w:val="ru-RU"/>
        </w:rPr>
        <w:t>8 сентября 1929 г. советские войска перешли гра</w:t>
      </w:r>
      <w:r w:rsidRPr="00A259BD">
        <w:rPr>
          <w:color w:val="000000" w:themeColor="text1"/>
          <w:lang w:val="ru-RU"/>
        </w:rPr>
        <w:softHyphen/>
        <w:t xml:space="preserve">ницу и атаковали станцию Пограничная. Пехоту и кавалерию поддерживал 19-й </w:t>
      </w:r>
      <w:proofErr w:type="spellStart"/>
      <w:r w:rsidRPr="00A259BD">
        <w:rPr>
          <w:color w:val="000000" w:themeColor="text1"/>
          <w:lang w:val="ru-RU"/>
        </w:rPr>
        <w:t>оао</w:t>
      </w:r>
      <w:proofErr w:type="spellEnd"/>
      <w:r w:rsidRPr="00A259BD">
        <w:rPr>
          <w:color w:val="000000" w:themeColor="text1"/>
          <w:lang w:val="ru-RU"/>
        </w:rPr>
        <w:t>. Он совершил два налёта на оборонительные рубежи китайцев и на саму станцию. Первый вылет рано утром совершили пять Р-1. Две машины обстреливали и бомбили укрепле</w:t>
      </w:r>
      <w:r w:rsidRPr="00A259BD">
        <w:rPr>
          <w:color w:val="000000" w:themeColor="text1"/>
          <w:lang w:val="ru-RU"/>
        </w:rPr>
        <w:softHyphen/>
        <w:t>ния, остальные нанесли удар по составам на путях. К вечеру налёт повторили; в этот раз на бомбометание вылетали два звена по три самолёта. В связи с отсутствием у против</w:t>
      </w:r>
      <w:r w:rsidRPr="00A259BD">
        <w:rPr>
          <w:color w:val="000000" w:themeColor="text1"/>
          <w:lang w:val="ru-RU"/>
        </w:rPr>
        <w:softHyphen/>
        <w:t>ника средств ПВО экипажи работали с высоты 600-700 м. Всего сбросили 43 бомбы; у Пограничной впервые применили новые фугасные бомбы АФ-82. Согласно отчёту ВВС ОДВА, они «оправдали себя как мощное средство разрушения».</w:t>
      </w:r>
    </w:p>
    <w:p w14:paraId="4EF7FC8F" w14:textId="77777777" w:rsidR="00A53486" w:rsidRPr="00A259BD" w:rsidRDefault="00A53486" w:rsidP="009236E3">
      <w:pPr>
        <w:pStyle w:val="a3"/>
        <w:rPr>
          <w:color w:val="000000" w:themeColor="text1"/>
          <w:lang w:val="ru-RU"/>
        </w:rPr>
      </w:pPr>
      <w:r w:rsidRPr="00A259BD">
        <w:rPr>
          <w:color w:val="000000" w:themeColor="text1"/>
          <w:lang w:val="ru-RU"/>
        </w:rPr>
        <w:t>Действительно, лёт</w:t>
      </w:r>
      <w:r w:rsidRPr="00A259BD">
        <w:rPr>
          <w:color w:val="000000" w:themeColor="text1"/>
          <w:lang w:val="ru-RU"/>
        </w:rPr>
        <w:softHyphen/>
        <w:t>чики полностью разру</w:t>
      </w:r>
      <w:r w:rsidRPr="00A259BD">
        <w:rPr>
          <w:color w:val="000000" w:themeColor="text1"/>
          <w:lang w:val="ru-RU"/>
        </w:rPr>
        <w:softHyphen/>
        <w:t>шили здание вокзала, телеграф, билетную кассу и военную ко</w:t>
      </w:r>
      <w:r w:rsidRPr="00A259BD">
        <w:rPr>
          <w:color w:val="000000" w:themeColor="text1"/>
          <w:lang w:val="ru-RU"/>
        </w:rPr>
        <w:softHyphen/>
        <w:t>мендатуру. На путях они разбили и подожг</w:t>
      </w:r>
      <w:r w:rsidRPr="00A259BD">
        <w:rPr>
          <w:color w:val="000000" w:themeColor="text1"/>
          <w:lang w:val="ru-RU"/>
        </w:rPr>
        <w:softHyphen/>
      </w:r>
      <w:r w:rsidRPr="00A259BD">
        <w:rPr>
          <w:rStyle w:val="84"/>
          <w:rFonts w:ascii="Times New Roman" w:hAnsi="Times New Roman" w:cs="Times New Roman"/>
          <w:b w:val="0"/>
          <w:color w:val="000000" w:themeColor="text1"/>
          <w:sz w:val="16"/>
          <w:szCs w:val="16"/>
          <w:lang w:val="ru-RU"/>
        </w:rPr>
        <w:t>ли</w:t>
      </w:r>
      <w:r w:rsidRPr="00A259BD">
        <w:rPr>
          <w:color w:val="000000" w:themeColor="text1"/>
          <w:lang w:val="ru-RU"/>
        </w:rPr>
        <w:t xml:space="preserve"> состав из десяти вагонов с боеприпаса</w:t>
      </w:r>
      <w:r w:rsidRPr="00A259BD">
        <w:rPr>
          <w:color w:val="000000" w:themeColor="text1"/>
          <w:lang w:val="ru-RU"/>
        </w:rPr>
        <w:softHyphen/>
        <w:t>ми и продовольстви</w:t>
      </w:r>
      <w:r w:rsidRPr="00A259BD">
        <w:rPr>
          <w:color w:val="000000" w:themeColor="text1"/>
          <w:lang w:val="ru-RU"/>
        </w:rPr>
        <w:softHyphen/>
        <w:t>ем, повредили броне</w:t>
      </w:r>
      <w:r w:rsidRPr="00A259BD">
        <w:rPr>
          <w:color w:val="000000" w:themeColor="text1"/>
          <w:lang w:val="ru-RU"/>
        </w:rPr>
        <w:softHyphen/>
        <w:t>поезд и личный вагон помощника командую</w:t>
      </w:r>
      <w:r w:rsidRPr="00A259BD">
        <w:rPr>
          <w:color w:val="000000" w:themeColor="text1"/>
          <w:lang w:val="ru-RU"/>
        </w:rPr>
        <w:softHyphen/>
        <w:t>щего китайским гар</w:t>
      </w:r>
      <w:r w:rsidRPr="00A259BD">
        <w:rPr>
          <w:color w:val="000000" w:themeColor="text1"/>
          <w:lang w:val="ru-RU"/>
        </w:rPr>
        <w:softHyphen/>
        <w:t>низоном.</w:t>
      </w:r>
    </w:p>
    <w:p w14:paraId="1AA0EB3E" w14:textId="77777777" w:rsidR="00A53486" w:rsidRPr="00A259BD" w:rsidRDefault="00A53486" w:rsidP="009236E3">
      <w:pPr>
        <w:pStyle w:val="a3"/>
        <w:rPr>
          <w:color w:val="000000" w:themeColor="text1"/>
          <w:lang w:val="ru-RU"/>
        </w:rPr>
      </w:pPr>
      <w:r w:rsidRPr="00A259BD">
        <w:rPr>
          <w:color w:val="000000" w:themeColor="text1"/>
          <w:lang w:val="ru-RU"/>
        </w:rPr>
        <w:t xml:space="preserve">Далее </w:t>
      </w:r>
      <w:r w:rsidRPr="00A259BD">
        <w:rPr>
          <w:rStyle w:val="1pt4"/>
          <w:rFonts w:ascii="Times New Roman" w:hAnsi="Times New Roman" w:cs="Times New Roman"/>
          <w:color w:val="000000" w:themeColor="text1"/>
          <w:spacing w:val="0"/>
          <w:sz w:val="16"/>
          <w:szCs w:val="16"/>
          <w:lang w:val="ru-RU"/>
        </w:rPr>
        <w:t>19-й</w:t>
      </w:r>
      <w:r w:rsidRPr="00A259BD">
        <w:rPr>
          <w:color w:val="000000" w:themeColor="text1"/>
          <w:lang w:val="ru-RU"/>
        </w:rPr>
        <w:t xml:space="preserve"> отряд ограничивался раз</w:t>
      </w:r>
      <w:r w:rsidRPr="00A259BD">
        <w:rPr>
          <w:color w:val="000000" w:themeColor="text1"/>
          <w:lang w:val="ru-RU"/>
        </w:rPr>
        <w:softHyphen/>
        <w:t>ведкой. Китайцы ста</w:t>
      </w:r>
      <w:r w:rsidRPr="00A259BD">
        <w:rPr>
          <w:color w:val="000000" w:themeColor="text1"/>
          <w:lang w:val="ru-RU"/>
        </w:rPr>
        <w:softHyphen/>
      </w:r>
      <w:r w:rsidRPr="00A259BD">
        <w:rPr>
          <w:rStyle w:val="84"/>
          <w:rFonts w:ascii="Times New Roman" w:hAnsi="Times New Roman" w:cs="Times New Roman"/>
          <w:b w:val="0"/>
          <w:color w:val="000000" w:themeColor="text1"/>
          <w:sz w:val="16"/>
          <w:szCs w:val="16"/>
          <w:lang w:val="ru-RU"/>
        </w:rPr>
        <w:t>ли</w:t>
      </w:r>
      <w:r w:rsidRPr="00A259BD">
        <w:rPr>
          <w:color w:val="000000" w:themeColor="text1"/>
          <w:lang w:val="ru-RU"/>
        </w:rPr>
        <w:t xml:space="preserve"> более осторожны, они начали вести наблюдение за самолётами, рассре</w:t>
      </w:r>
      <w:r w:rsidRPr="00A259BD">
        <w:rPr>
          <w:color w:val="000000" w:themeColor="text1"/>
          <w:lang w:val="ru-RU"/>
        </w:rPr>
        <w:softHyphen/>
        <w:t>доточиваться и маскироваться. Но это не помешало на</w:t>
      </w:r>
      <w:r w:rsidRPr="00A259BD">
        <w:rPr>
          <w:color w:val="000000" w:themeColor="text1"/>
          <w:lang w:val="ru-RU"/>
        </w:rPr>
        <w:softHyphen/>
        <w:t>шим лётчикам следить за отходом войск противника. По разведчикам изредка стреляли из винтовок и руч</w:t>
      </w:r>
      <w:r w:rsidRPr="00A259BD">
        <w:rPr>
          <w:color w:val="000000" w:themeColor="text1"/>
          <w:lang w:val="ru-RU"/>
        </w:rPr>
        <w:softHyphen/>
        <w:t>ных пулемётов, но до 10 октября на все машины 19-го отряда пришлось всего четыре пулевых пробоины, при</w:t>
      </w:r>
      <w:r w:rsidRPr="00A259BD">
        <w:rPr>
          <w:color w:val="000000" w:themeColor="text1"/>
          <w:lang w:val="ru-RU"/>
        </w:rPr>
        <w:softHyphen/>
        <w:t>чем серьёзная только одна — в верхнем бензобаке.</w:t>
      </w:r>
    </w:p>
    <w:p w14:paraId="2A6D7594" w14:textId="77777777" w:rsidR="00A53486" w:rsidRPr="00A259BD" w:rsidRDefault="00A53486" w:rsidP="009236E3">
      <w:pPr>
        <w:pStyle w:val="a3"/>
        <w:rPr>
          <w:color w:val="000000" w:themeColor="text1"/>
          <w:lang w:val="ru-RU"/>
        </w:rPr>
      </w:pPr>
      <w:r w:rsidRPr="00A259BD">
        <w:rPr>
          <w:color w:val="000000" w:themeColor="text1"/>
          <w:lang w:val="ru-RU"/>
        </w:rPr>
        <w:t>Следующий удар нанесла Амурская флотилия. Круп</w:t>
      </w:r>
      <w:r w:rsidRPr="00A259BD">
        <w:rPr>
          <w:color w:val="000000" w:themeColor="text1"/>
          <w:lang w:val="ru-RU"/>
        </w:rPr>
        <w:softHyphen/>
        <w:t xml:space="preserve">ные силы противника сосредотачивались у города Ла- </w:t>
      </w:r>
      <w:proofErr w:type="spellStart"/>
      <w:r w:rsidRPr="00A259BD">
        <w:rPr>
          <w:color w:val="000000" w:themeColor="text1"/>
          <w:lang w:val="ru-RU"/>
        </w:rPr>
        <w:t>хасусу</w:t>
      </w:r>
      <w:proofErr w:type="spellEnd"/>
      <w:r w:rsidRPr="00A259BD">
        <w:rPr>
          <w:color w:val="000000" w:themeColor="text1"/>
          <w:lang w:val="ru-RU"/>
        </w:rPr>
        <w:t xml:space="preserve"> (ныне — </w:t>
      </w:r>
      <w:proofErr w:type="spellStart"/>
      <w:r w:rsidRPr="00A259BD">
        <w:rPr>
          <w:color w:val="000000" w:themeColor="text1"/>
          <w:lang w:val="ru-RU"/>
        </w:rPr>
        <w:t>Тунцзян</w:t>
      </w:r>
      <w:proofErr w:type="spellEnd"/>
      <w:r w:rsidRPr="00A259BD">
        <w:rPr>
          <w:color w:val="000000" w:themeColor="text1"/>
          <w:lang w:val="ru-RU"/>
        </w:rPr>
        <w:t xml:space="preserve">) в устье Сунгари. Вдоль берега отрыли окопы, в порту стояли корабли </w:t>
      </w:r>
      <w:proofErr w:type="spellStart"/>
      <w:r w:rsidRPr="00A259BD">
        <w:rPr>
          <w:color w:val="000000" w:themeColor="text1"/>
          <w:lang w:val="ru-RU"/>
        </w:rPr>
        <w:t>Сунгарийской</w:t>
      </w:r>
      <w:proofErr w:type="spellEnd"/>
      <w:r w:rsidRPr="00A259BD">
        <w:rPr>
          <w:color w:val="000000" w:themeColor="text1"/>
          <w:lang w:val="ru-RU"/>
        </w:rPr>
        <w:t xml:space="preserve"> флотилии, которых прикрывали береговые батареи. С укреплениями начальник штаба ОДВА Лапин озна</w:t>
      </w:r>
      <w:r w:rsidRPr="00A259BD">
        <w:rPr>
          <w:color w:val="000000" w:themeColor="text1"/>
          <w:lang w:val="ru-RU"/>
        </w:rPr>
        <w:softHyphen/>
        <w:t>комился лично, совершив над ними полёт в задней ка</w:t>
      </w:r>
      <w:r w:rsidRPr="00A259BD">
        <w:rPr>
          <w:color w:val="000000" w:themeColor="text1"/>
          <w:lang w:val="ru-RU"/>
        </w:rPr>
        <w:softHyphen/>
        <w:t>бине Р-1. Такие же ознакомительные полёты соверши</w:t>
      </w:r>
      <w:r w:rsidRPr="00A259BD">
        <w:rPr>
          <w:color w:val="000000" w:themeColor="text1"/>
          <w:lang w:val="ru-RU"/>
        </w:rPr>
        <w:softHyphen/>
        <w:t>ли командующий флотилией Озолин и начальник шта</w:t>
      </w:r>
      <w:r w:rsidRPr="00A259BD">
        <w:rPr>
          <w:color w:val="000000" w:themeColor="text1"/>
          <w:lang w:val="ru-RU"/>
        </w:rPr>
        <w:softHyphen/>
        <w:t>ба 2-й дивизии.</w:t>
      </w:r>
    </w:p>
    <w:p w14:paraId="44447041" w14:textId="77777777" w:rsidR="00A53486" w:rsidRPr="00A259BD" w:rsidRDefault="00A53486" w:rsidP="009236E3">
      <w:pPr>
        <w:pStyle w:val="a3"/>
        <w:rPr>
          <w:color w:val="000000" w:themeColor="text1"/>
          <w:lang w:val="ru-RU"/>
        </w:rPr>
      </w:pPr>
      <w:r w:rsidRPr="00A259BD">
        <w:rPr>
          <w:color w:val="000000" w:themeColor="text1"/>
          <w:lang w:val="ru-RU"/>
        </w:rPr>
        <w:t>К этому времени ВВС ОДВА остались без начальни</w:t>
      </w:r>
      <w:r w:rsidRPr="00A259BD">
        <w:rPr>
          <w:color w:val="000000" w:themeColor="text1"/>
          <w:lang w:val="ru-RU"/>
        </w:rPr>
        <w:softHyphen/>
        <w:t xml:space="preserve">ка. Эрвин Киш почему-то решил, что важнее отправиться в Москву, чтобы «вытрясти» дополнительное </w:t>
      </w:r>
      <w:proofErr w:type="spellStart"/>
      <w:r w:rsidRPr="00A259BD">
        <w:rPr>
          <w:color w:val="000000" w:themeColor="text1"/>
          <w:lang w:val="ru-RU"/>
        </w:rPr>
        <w:t>снабже</w:t>
      </w:r>
      <w:proofErr w:type="spellEnd"/>
      <w:r w:rsidRPr="00A259BD">
        <w:rPr>
          <w:color w:val="000000" w:themeColor="text1"/>
          <w:lang w:val="ru-RU"/>
        </w:rPr>
        <w:t xml:space="preserve"> </w:t>
      </w:r>
      <w:proofErr w:type="spellStart"/>
      <w:r w:rsidRPr="00A259BD">
        <w:rPr>
          <w:color w:val="000000" w:themeColor="text1"/>
          <w:lang w:val="ru-RU"/>
        </w:rPr>
        <w:t>ние</w:t>
      </w:r>
      <w:proofErr w:type="spellEnd"/>
      <w:r w:rsidRPr="00A259BD">
        <w:rPr>
          <w:color w:val="000000" w:themeColor="text1"/>
          <w:lang w:val="ru-RU"/>
        </w:rPr>
        <w:t>. Путь до столицы тогда был долгим, и Киш вернул</w:t>
      </w:r>
      <w:r w:rsidRPr="00A259BD">
        <w:rPr>
          <w:color w:val="000000" w:themeColor="text1"/>
          <w:lang w:val="ru-RU"/>
        </w:rPr>
        <w:softHyphen/>
        <w:t>ся только в ноябре. На него к тому времени успели написать донос, что в Москву он на самом деле ездил, чтобы перевезти оттуда жену и до</w:t>
      </w:r>
      <w:r w:rsidRPr="00A259BD">
        <w:rPr>
          <w:color w:val="000000" w:themeColor="text1"/>
          <w:lang w:val="ru-RU"/>
        </w:rPr>
        <w:softHyphen/>
        <w:t>машнее имущество. Но и без Киша кампанию организовали неплохо (15819).</w:t>
      </w:r>
    </w:p>
    <w:p w14:paraId="10933E04" w14:textId="77777777" w:rsidR="00A53486" w:rsidRPr="00A259BD" w:rsidRDefault="00A53486" w:rsidP="009236E3">
      <w:pPr>
        <w:pStyle w:val="a3"/>
        <w:rPr>
          <w:color w:val="000000" w:themeColor="text1"/>
          <w:lang w:val="ru-RU"/>
        </w:rPr>
      </w:pPr>
    </w:p>
    <w:p w14:paraId="7BBECF1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21C2CB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DECC7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сентября 1929 в ходе перелета на ТБ-1 в США первый раз попробовали взлететь с воды. Машина взад и вперед носилась по Амуру, но подниматься в небо не хотела. Лишь оставив на берегу часть снаряжения и частично слив горючее, 12 сентября экипаж смог продолжить путь.</w:t>
      </w:r>
    </w:p>
    <w:p w14:paraId="2FAA2F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посадки в Николаевске-на-</w:t>
      </w:r>
      <w:proofErr w:type="spellStart"/>
      <w:r w:rsidRPr="00A259BD">
        <w:rPr>
          <w:rFonts w:ascii="Times New Roman" w:hAnsi="Times New Roman"/>
          <w:color w:val="000000" w:themeColor="text1"/>
          <w:sz w:val="16"/>
          <w:szCs w:val="16"/>
        </w:rPr>
        <w:t>Аму</w:t>
      </w:r>
      <w:proofErr w:type="spellEnd"/>
      <w:r w:rsidRPr="00A259BD">
        <w:rPr>
          <w:rFonts w:ascii="Times New Roman" w:hAnsi="Times New Roman"/>
          <w:color w:val="000000" w:themeColor="text1"/>
          <w:sz w:val="16"/>
          <w:szCs w:val="16"/>
        </w:rPr>
        <w:t xml:space="preserve">- ре самолет направился на Камчатку, а оттуда - на о. </w:t>
      </w:r>
      <w:proofErr w:type="spellStart"/>
      <w:r w:rsidRPr="00A259BD">
        <w:rPr>
          <w:rFonts w:ascii="Times New Roman" w:hAnsi="Times New Roman"/>
          <w:color w:val="000000" w:themeColor="text1"/>
          <w:sz w:val="16"/>
          <w:szCs w:val="16"/>
        </w:rPr>
        <w:t>Атту</w:t>
      </w:r>
      <w:proofErr w:type="spellEnd"/>
      <w:r w:rsidRPr="00A259BD">
        <w:rPr>
          <w:rFonts w:ascii="Times New Roman" w:hAnsi="Times New Roman"/>
          <w:color w:val="000000" w:themeColor="text1"/>
          <w:sz w:val="16"/>
          <w:szCs w:val="16"/>
        </w:rPr>
        <w:t xml:space="preserve"> (Алеутские о-ва).</w:t>
      </w:r>
    </w:p>
    <w:p w14:paraId="2EF7C7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Взлету с </w:t>
      </w:r>
      <w:proofErr w:type="spellStart"/>
      <w:r w:rsidRPr="00A259BD">
        <w:rPr>
          <w:rFonts w:ascii="Times New Roman" w:hAnsi="Times New Roman"/>
          <w:color w:val="000000" w:themeColor="text1"/>
          <w:sz w:val="16"/>
          <w:szCs w:val="16"/>
        </w:rPr>
        <w:t>Атту</w:t>
      </w:r>
      <w:proofErr w:type="spellEnd"/>
      <w:r w:rsidRPr="00A259BD">
        <w:rPr>
          <w:rFonts w:ascii="Times New Roman" w:hAnsi="Times New Roman"/>
          <w:color w:val="000000" w:themeColor="text1"/>
          <w:sz w:val="16"/>
          <w:szCs w:val="16"/>
        </w:rPr>
        <w:t xml:space="preserve"> мешали рифы. Стоявший в бухте корабль "Красный вымпел", подстраховывавший перелет, принял на борт часть груза и двух членов экипажа. На облегченной машине остались Болотов и Стерлигов. Через семь часов они сели у о. Уналашка. Летчиков перевез на берег военный катер. Но вернуться на нем они не смогли: начался отлив, и катер оказался на песке. Выручили местные рыбаки со своими лодками.</w:t>
      </w:r>
    </w:p>
    <w:p w14:paraId="72A2BF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следующем этапе погода испортилась - к Ситхе подходили в тумане и дожде. Вдобавок из-за падения давления масла пришлось отключить левый мотор. Болотов приказал подать сигнал SOS, но радиостанция не работала - аккумулятор разрядился. За борт выбросили весь груз, якорь и слили часть бензина, но до места назначения все-таки добрались. От Ситхи экипаж опять летел в полном составе.</w:t>
      </w:r>
    </w:p>
    <w:p w14:paraId="688864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 до Сиэтла не дотянули. Левый двигатель еще раз отказал. Сели в первой попавшейся бухте и стали ждать, пока привезут мотор. Менять его пришлось на плаву, потратив на ремонт 10 дней.</w:t>
      </w:r>
    </w:p>
    <w:p w14:paraId="538E5D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Сиэтле "Страну Советов" встречали В.М. Петляков и моторист М </w:t>
      </w:r>
      <w:proofErr w:type="spellStart"/>
      <w:r w:rsidRPr="00A259BD">
        <w:rPr>
          <w:rFonts w:ascii="Times New Roman" w:hAnsi="Times New Roman"/>
          <w:color w:val="000000" w:themeColor="text1"/>
          <w:sz w:val="16"/>
          <w:szCs w:val="16"/>
        </w:rPr>
        <w:t>М</w:t>
      </w:r>
      <w:proofErr w:type="spellEnd"/>
      <w:r w:rsidRPr="00A259BD">
        <w:rPr>
          <w:rFonts w:ascii="Times New Roman" w:hAnsi="Times New Roman"/>
          <w:color w:val="000000" w:themeColor="text1"/>
          <w:sz w:val="16"/>
          <w:szCs w:val="16"/>
        </w:rPr>
        <w:t>. Егоров. Машину переставили на колеса. Вылетели благополучно, но до Сан-Франциско не добрались - вышел из строя мотор (причем опять левый). На аэродроме в Портленде определили, что сломалась масляная помпа. Американцы ее быстро починили. В Сан-Франциско задержались ненадолго, вскоре взяв курс на Чикаго. Там советских летчиков встречали с оркестром при большом скоплении народа. Дальше Петляков летел на самолете. Перелет завершили в Нью-Йорке.</w:t>
      </w:r>
    </w:p>
    <w:p w14:paraId="179BC3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Европу машина и ее экипаж возвращались на пароходе "Мавритания". Через месяц в Москве всех участников первого перелета советского самолета в США наградили орденами Боевого Красного знамени и почетными грамотами ВЦИК (12001).</w:t>
      </w:r>
    </w:p>
    <w:p w14:paraId="4D9B83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88C45D" w14:textId="77777777" w:rsidR="00175EC7" w:rsidRPr="006B74EB" w:rsidRDefault="00175EC7" w:rsidP="00175EC7">
      <w:pPr>
        <w:spacing w:after="0" w:line="240" w:lineRule="auto"/>
        <w:jc w:val="both"/>
        <w:rPr>
          <w:rFonts w:ascii="Times New Roman" w:hAnsi="Times New Roman"/>
          <w:color w:val="0070C0"/>
          <w:sz w:val="16"/>
          <w:szCs w:val="16"/>
        </w:rPr>
      </w:pPr>
      <w:r w:rsidRPr="00630DD9">
        <w:rPr>
          <w:rFonts w:ascii="Times New Roman" w:hAnsi="Times New Roman"/>
          <w:color w:val="0070C0"/>
          <w:sz w:val="16"/>
          <w:szCs w:val="16"/>
        </w:rPr>
        <w:t xml:space="preserve">9 </w:t>
      </w:r>
      <w:r>
        <w:rPr>
          <w:rFonts w:ascii="Times New Roman" w:hAnsi="Times New Roman"/>
          <w:color w:val="0070C0"/>
          <w:sz w:val="16"/>
          <w:szCs w:val="16"/>
        </w:rPr>
        <w:t xml:space="preserve">сентября 1929 г. партийная </w:t>
      </w:r>
      <w:r w:rsidRPr="006B74EB">
        <w:rPr>
          <w:rFonts w:ascii="Times New Roman" w:hAnsi="Times New Roman"/>
          <w:color w:val="0070C0"/>
          <w:sz w:val="16"/>
          <w:szCs w:val="16"/>
        </w:rPr>
        <w:t xml:space="preserve">комиссия завода </w:t>
      </w:r>
      <w:r>
        <w:rPr>
          <w:rFonts w:ascii="Times New Roman" w:hAnsi="Times New Roman"/>
          <w:color w:val="0070C0"/>
          <w:sz w:val="16"/>
          <w:szCs w:val="16"/>
        </w:rPr>
        <w:t>№</w:t>
      </w:r>
      <w:r w:rsidRPr="006B74EB">
        <w:rPr>
          <w:rFonts w:ascii="Times New Roman" w:hAnsi="Times New Roman"/>
          <w:color w:val="0070C0"/>
          <w:sz w:val="16"/>
          <w:szCs w:val="16"/>
        </w:rPr>
        <w:t xml:space="preserve"> 1 имени </w:t>
      </w:r>
      <w:proofErr w:type="spellStart"/>
      <w:r w:rsidRPr="006B74EB">
        <w:rPr>
          <w:rFonts w:ascii="Times New Roman" w:hAnsi="Times New Roman"/>
          <w:color w:val="0070C0"/>
          <w:sz w:val="16"/>
          <w:szCs w:val="16"/>
        </w:rPr>
        <w:t>Авиахима</w:t>
      </w:r>
      <w:proofErr w:type="spellEnd"/>
      <w:r w:rsidRPr="006B74EB">
        <w:rPr>
          <w:rFonts w:ascii="Times New Roman" w:hAnsi="Times New Roman"/>
          <w:color w:val="0070C0"/>
          <w:sz w:val="16"/>
          <w:szCs w:val="16"/>
        </w:rPr>
        <w:t xml:space="preserve"> обра</w:t>
      </w:r>
      <w:r>
        <w:rPr>
          <w:rFonts w:ascii="Times New Roman" w:hAnsi="Times New Roman"/>
          <w:color w:val="0070C0"/>
          <w:sz w:val="16"/>
          <w:szCs w:val="16"/>
        </w:rPr>
        <w:t xml:space="preserve">тилась </w:t>
      </w:r>
      <w:r w:rsidRPr="006B74EB">
        <w:rPr>
          <w:rFonts w:ascii="Times New Roman" w:hAnsi="Times New Roman"/>
          <w:color w:val="0070C0"/>
          <w:sz w:val="16"/>
          <w:szCs w:val="16"/>
        </w:rPr>
        <w:t xml:space="preserve">в вышестоящие партийные органы и Наркомат РКИ о жалобой </w:t>
      </w:r>
      <w:r>
        <w:rPr>
          <w:rFonts w:ascii="Times New Roman" w:hAnsi="Times New Roman"/>
          <w:color w:val="0070C0"/>
          <w:sz w:val="16"/>
          <w:szCs w:val="16"/>
        </w:rPr>
        <w:t>на не</w:t>
      </w:r>
      <w:r w:rsidRPr="006B74EB">
        <w:rPr>
          <w:rFonts w:ascii="Times New Roman" w:hAnsi="Times New Roman"/>
          <w:color w:val="0070C0"/>
          <w:sz w:val="16"/>
          <w:szCs w:val="16"/>
        </w:rPr>
        <w:t>поладки в постройке самолетов Р-1,</w:t>
      </w:r>
      <w:r>
        <w:rPr>
          <w:rFonts w:ascii="Times New Roman" w:hAnsi="Times New Roman"/>
          <w:color w:val="0070C0"/>
          <w:sz w:val="16"/>
          <w:szCs w:val="16"/>
        </w:rPr>
        <w:t xml:space="preserve"> </w:t>
      </w:r>
      <w:r w:rsidRPr="006B74EB">
        <w:rPr>
          <w:rFonts w:ascii="Times New Roman" w:hAnsi="Times New Roman"/>
          <w:color w:val="0070C0"/>
          <w:sz w:val="16"/>
          <w:szCs w:val="16"/>
        </w:rPr>
        <w:t>И-2би</w:t>
      </w:r>
      <w:r>
        <w:rPr>
          <w:rFonts w:ascii="Times New Roman" w:hAnsi="Times New Roman"/>
          <w:color w:val="0070C0"/>
          <w:sz w:val="16"/>
          <w:szCs w:val="16"/>
        </w:rPr>
        <w:t>с</w:t>
      </w:r>
      <w:r w:rsidRPr="006B74EB">
        <w:rPr>
          <w:rFonts w:ascii="Times New Roman" w:hAnsi="Times New Roman"/>
          <w:color w:val="0070C0"/>
          <w:sz w:val="16"/>
          <w:szCs w:val="16"/>
        </w:rPr>
        <w:t xml:space="preserve"> и др.,</w:t>
      </w:r>
      <w:r>
        <w:rPr>
          <w:rFonts w:ascii="Times New Roman" w:hAnsi="Times New Roman"/>
          <w:color w:val="0070C0"/>
          <w:sz w:val="16"/>
          <w:szCs w:val="16"/>
        </w:rPr>
        <w:t xml:space="preserve"> </w:t>
      </w:r>
      <w:r w:rsidRPr="006B74EB">
        <w:rPr>
          <w:rFonts w:ascii="Times New Roman" w:hAnsi="Times New Roman"/>
          <w:color w:val="0070C0"/>
          <w:sz w:val="16"/>
          <w:szCs w:val="16"/>
        </w:rPr>
        <w:t>подозревая вредительство.</w:t>
      </w:r>
      <w:r>
        <w:rPr>
          <w:rFonts w:ascii="Times New Roman" w:hAnsi="Times New Roman"/>
          <w:color w:val="0070C0"/>
          <w:sz w:val="16"/>
          <w:szCs w:val="16"/>
        </w:rPr>
        <w:t xml:space="preserve"> П</w:t>
      </w:r>
      <w:r w:rsidRPr="006B74EB">
        <w:rPr>
          <w:rFonts w:ascii="Times New Roman" w:hAnsi="Times New Roman"/>
          <w:color w:val="0070C0"/>
          <w:sz w:val="16"/>
          <w:szCs w:val="16"/>
        </w:rPr>
        <w:t xml:space="preserve">о жалобе было произведено обследование н </w:t>
      </w:r>
      <w:r>
        <w:rPr>
          <w:rFonts w:ascii="Times New Roman" w:hAnsi="Times New Roman"/>
          <w:color w:val="0070C0"/>
          <w:sz w:val="16"/>
          <w:szCs w:val="16"/>
        </w:rPr>
        <w:t>с</w:t>
      </w:r>
      <w:r w:rsidRPr="006B74EB">
        <w:rPr>
          <w:rFonts w:ascii="Times New Roman" w:hAnsi="Times New Roman"/>
          <w:color w:val="0070C0"/>
          <w:sz w:val="16"/>
          <w:szCs w:val="16"/>
        </w:rPr>
        <w:t>де</w:t>
      </w:r>
      <w:r>
        <w:rPr>
          <w:rFonts w:ascii="Times New Roman" w:hAnsi="Times New Roman"/>
          <w:color w:val="0070C0"/>
          <w:sz w:val="16"/>
          <w:szCs w:val="16"/>
        </w:rPr>
        <w:t>ланы</w:t>
      </w:r>
      <w:r w:rsidRPr="006B74EB">
        <w:rPr>
          <w:rFonts w:ascii="Times New Roman" w:hAnsi="Times New Roman"/>
          <w:color w:val="0070C0"/>
          <w:sz w:val="16"/>
          <w:szCs w:val="16"/>
        </w:rPr>
        <w:t xml:space="preserve"> соответствующие оргвыводы</w:t>
      </w:r>
      <w:r>
        <w:rPr>
          <w:rFonts w:ascii="Times New Roman" w:hAnsi="Times New Roman"/>
          <w:color w:val="0070C0"/>
          <w:sz w:val="16"/>
          <w:szCs w:val="16"/>
        </w:rPr>
        <w:t>.</w:t>
      </w:r>
      <w:r w:rsidRPr="006B74EB">
        <w:rPr>
          <w:rFonts w:ascii="Times New Roman" w:hAnsi="Times New Roman"/>
          <w:color w:val="0070C0"/>
          <w:sz w:val="16"/>
          <w:szCs w:val="16"/>
        </w:rPr>
        <w:t xml:space="preserve"> Та</w:t>
      </w:r>
      <w:r>
        <w:rPr>
          <w:rFonts w:ascii="Times New Roman" w:hAnsi="Times New Roman"/>
          <w:color w:val="0070C0"/>
          <w:sz w:val="16"/>
          <w:szCs w:val="16"/>
        </w:rPr>
        <w:t>к</w:t>
      </w:r>
      <w:r w:rsidRPr="006B74EB">
        <w:rPr>
          <w:rFonts w:ascii="Times New Roman" w:hAnsi="Times New Roman"/>
          <w:color w:val="0070C0"/>
          <w:sz w:val="16"/>
          <w:szCs w:val="16"/>
        </w:rPr>
        <w:t xml:space="preserve"> на деле осуществлялся рабочий </w:t>
      </w:r>
      <w:r>
        <w:rPr>
          <w:rFonts w:ascii="Times New Roman" w:hAnsi="Times New Roman"/>
          <w:color w:val="0070C0"/>
          <w:sz w:val="16"/>
          <w:szCs w:val="16"/>
        </w:rPr>
        <w:t>кон</w:t>
      </w:r>
      <w:r w:rsidRPr="006B74EB">
        <w:rPr>
          <w:rFonts w:ascii="Times New Roman" w:hAnsi="Times New Roman"/>
          <w:color w:val="0070C0"/>
          <w:sz w:val="16"/>
          <w:szCs w:val="16"/>
        </w:rPr>
        <w:t>троль над производством</w:t>
      </w:r>
      <w:r>
        <w:rPr>
          <w:rFonts w:ascii="Times New Roman" w:hAnsi="Times New Roman"/>
          <w:color w:val="0070C0"/>
          <w:sz w:val="16"/>
          <w:szCs w:val="16"/>
        </w:rPr>
        <w:t>.</w:t>
      </w:r>
    </w:p>
    <w:p w14:paraId="06E215FB" w14:textId="77777777" w:rsidR="00175EC7" w:rsidRDefault="00175EC7" w:rsidP="00175EC7">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/ЦГАСА,</w:t>
      </w:r>
      <w:r>
        <w:rPr>
          <w:rFonts w:ascii="Times New Roman" w:hAnsi="Times New Roman"/>
          <w:color w:val="0070C0"/>
          <w:sz w:val="16"/>
          <w:szCs w:val="16"/>
        </w:rPr>
        <w:t xml:space="preserve"> ф. </w:t>
      </w:r>
      <w:r w:rsidRPr="006B74EB">
        <w:rPr>
          <w:rFonts w:ascii="Times New Roman" w:hAnsi="Times New Roman"/>
          <w:color w:val="0070C0"/>
          <w:sz w:val="16"/>
          <w:szCs w:val="16"/>
        </w:rPr>
        <w:t>4</w:t>
      </w:r>
      <w:r>
        <w:rPr>
          <w:rFonts w:ascii="Times New Roman" w:hAnsi="Times New Roman"/>
          <w:color w:val="0070C0"/>
          <w:sz w:val="16"/>
          <w:szCs w:val="16"/>
        </w:rPr>
        <w:t>, оп</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2,</w:t>
      </w:r>
      <w:r>
        <w:rPr>
          <w:rFonts w:ascii="Times New Roman" w:hAnsi="Times New Roman"/>
          <w:color w:val="0070C0"/>
          <w:sz w:val="16"/>
          <w:szCs w:val="16"/>
        </w:rPr>
        <w:t xml:space="preserve"> д</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389,</w:t>
      </w:r>
      <w:r>
        <w:rPr>
          <w:rFonts w:ascii="Times New Roman" w:hAnsi="Times New Roman"/>
          <w:color w:val="0070C0"/>
          <w:sz w:val="16"/>
          <w:szCs w:val="16"/>
        </w:rPr>
        <w:t xml:space="preserve"> л</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330 </w:t>
      </w:r>
      <w:r>
        <w:rPr>
          <w:rFonts w:ascii="Times New Roman" w:hAnsi="Times New Roman"/>
          <w:color w:val="0070C0"/>
          <w:sz w:val="16"/>
          <w:szCs w:val="16"/>
        </w:rPr>
        <w:t>с сл.</w:t>
      </w:r>
      <w:r w:rsidRPr="006B74EB">
        <w:rPr>
          <w:rFonts w:ascii="Times New Roman" w:hAnsi="Times New Roman"/>
          <w:color w:val="0070C0"/>
          <w:sz w:val="16"/>
          <w:szCs w:val="16"/>
        </w:rPr>
        <w:t>./</w:t>
      </w:r>
      <w:r>
        <w:rPr>
          <w:rFonts w:ascii="Times New Roman" w:hAnsi="Times New Roman"/>
          <w:color w:val="0070C0"/>
          <w:sz w:val="16"/>
          <w:szCs w:val="16"/>
        </w:rPr>
        <w:t xml:space="preserve"> (23370).</w:t>
      </w:r>
    </w:p>
    <w:p w14:paraId="2A71EAC4" w14:textId="77777777" w:rsidR="00175EC7" w:rsidRPr="006B74EB" w:rsidRDefault="00175EC7" w:rsidP="00175EC7">
      <w:pPr>
        <w:spacing w:after="0" w:line="240" w:lineRule="auto"/>
        <w:jc w:val="both"/>
        <w:rPr>
          <w:rFonts w:ascii="Times New Roman" w:hAnsi="Times New Roman"/>
          <w:color w:val="0070C0"/>
          <w:sz w:val="16"/>
          <w:szCs w:val="16"/>
        </w:rPr>
      </w:pPr>
    </w:p>
    <w:p w14:paraId="6207B373" w14:textId="77777777" w:rsidR="00F86BBA"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C7C2442" w14:textId="77777777" w:rsidR="00F86BBA" w:rsidRPr="00A259BD" w:rsidRDefault="00F86BB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87DDE2" w14:textId="77777777" w:rsidR="00F86BBA" w:rsidRPr="00A259BD" w:rsidRDefault="00F86BBA"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9 сентября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Выписка из протокола № 38 РЗ СТО СССР о порядке рассмотрения контрольных цифр военной промышленности на 1929/30 г. (РГАЭ. Ф. 4372. Оп. 91. Д. 384. Л. 23?23 об.) (12415).</w:t>
      </w:r>
    </w:p>
    <w:p w14:paraId="7457DBC6" w14:textId="77777777" w:rsidR="00F86BBA" w:rsidRPr="00A259BD" w:rsidRDefault="00F86BBA" w:rsidP="009236E3">
      <w:pPr>
        <w:spacing w:after="0" w:line="240" w:lineRule="auto"/>
        <w:jc w:val="both"/>
        <w:rPr>
          <w:rFonts w:ascii="Times New Roman" w:hAnsi="Times New Roman"/>
          <w:color w:val="000000" w:themeColor="text1"/>
          <w:sz w:val="16"/>
          <w:szCs w:val="16"/>
          <w:u w:color="002060"/>
        </w:rPr>
      </w:pPr>
    </w:p>
    <w:p w14:paraId="2F380185" w14:textId="77777777" w:rsidR="00021FA1" w:rsidRPr="00A259BD" w:rsidRDefault="00021FA1"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83" w:name="_Hlk83625644"/>
      <w:r w:rsidRPr="00A259BD">
        <w:rPr>
          <w:rFonts w:ascii="Times New Roman" w:eastAsia="Times New Roman" w:hAnsi="Times New Roman"/>
          <w:color w:val="000000" w:themeColor="text1"/>
          <w:sz w:val="16"/>
          <w:szCs w:val="16"/>
          <w:lang w:eastAsia="ru-RU"/>
        </w:rPr>
        <w:t>9 сентября 1929 г. состоялось заседание РЗ СТО</w:t>
      </w:r>
    </w:p>
    <w:p w14:paraId="129F20D0" w14:textId="77777777" w:rsidR="00021FA1" w:rsidRPr="00A259BD" w:rsidRDefault="00021FA1"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Протокол № 38 от 9 сентября 1929 г.:</w:t>
      </w:r>
    </w:p>
    <w:p w14:paraId="7DBA88B3" w14:textId="77777777" w:rsidR="00021FA1" w:rsidRPr="00A259BD" w:rsidRDefault="00021FA1"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…Об учреждении Междуведомственной комиссии по авиатопливам и маслам (постановление РЗ СТО от 23.8.1929 г. к протоколу РЗ СТО № 38 от 9.9.1929 г. по п. 13) (21567).</w:t>
      </w:r>
    </w:p>
    <w:bookmarkEnd w:id="83"/>
    <w:p w14:paraId="781B439E" w14:textId="77777777" w:rsidR="00021FA1" w:rsidRPr="00A259BD" w:rsidRDefault="00021FA1" w:rsidP="009236E3">
      <w:pPr>
        <w:spacing w:after="0" w:line="240" w:lineRule="auto"/>
        <w:jc w:val="both"/>
        <w:rPr>
          <w:rFonts w:ascii="Times New Roman" w:hAnsi="Times New Roman"/>
          <w:color w:val="000000" w:themeColor="text1"/>
          <w:sz w:val="16"/>
          <w:szCs w:val="16"/>
        </w:rPr>
      </w:pPr>
    </w:p>
    <w:p w14:paraId="700AAA80" w14:textId="77777777" w:rsidR="00021FA1" w:rsidRPr="00A259BD" w:rsidRDefault="00021FA1"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43BF44C" w14:textId="77777777" w:rsidR="00021FA1" w:rsidRPr="00A259BD" w:rsidRDefault="00021FA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076A052" w14:textId="77777777" w:rsidR="00021FA1" w:rsidRPr="00A259BD" w:rsidRDefault="00021FA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сентября1928 г. первый полет De </w:t>
      </w:r>
      <w:proofErr w:type="spellStart"/>
      <w:r w:rsidRPr="00A259BD">
        <w:rPr>
          <w:rFonts w:ascii="Times New Roman" w:hAnsi="Times New Roman"/>
          <w:color w:val="000000" w:themeColor="text1"/>
          <w:sz w:val="16"/>
          <w:szCs w:val="16"/>
        </w:rPr>
        <w:t>Havilland</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Puss</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Moth</w:t>
      </w:r>
      <w:proofErr w:type="spellEnd"/>
      <w:r w:rsidRPr="00A259BD">
        <w:rPr>
          <w:rFonts w:ascii="Times New Roman" w:hAnsi="Times New Roman"/>
          <w:color w:val="000000" w:themeColor="text1"/>
          <w:sz w:val="16"/>
          <w:szCs w:val="16"/>
        </w:rPr>
        <w:t xml:space="preserve"> (20806).</w:t>
      </w:r>
    </w:p>
    <w:p w14:paraId="41F14B59" w14:textId="77777777" w:rsidR="00021FA1" w:rsidRPr="00A259BD" w:rsidRDefault="00021FA1" w:rsidP="009236E3">
      <w:pPr>
        <w:spacing w:after="0" w:line="240" w:lineRule="auto"/>
        <w:jc w:val="both"/>
        <w:rPr>
          <w:rFonts w:ascii="Times New Roman" w:hAnsi="Times New Roman"/>
          <w:color w:val="000000" w:themeColor="text1"/>
          <w:sz w:val="16"/>
          <w:szCs w:val="16"/>
        </w:rPr>
      </w:pPr>
    </w:p>
    <w:p w14:paraId="60E45BD6" w14:textId="77777777" w:rsidR="00021FA1" w:rsidRPr="00A259BD" w:rsidRDefault="00021FA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сентября 1929 года — первый полёт лёгкого многоцелевого самолёта </w:t>
      </w:r>
      <w:proofErr w:type="spellStart"/>
      <w:r w:rsidRPr="00A259BD">
        <w:rPr>
          <w:rFonts w:ascii="Times New Roman" w:hAnsi="Times New Roman"/>
          <w:color w:val="000000" w:themeColor="text1"/>
          <w:sz w:val="16"/>
          <w:szCs w:val="16"/>
        </w:rPr>
        <w:t>de</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Havilland</w:t>
      </w:r>
      <w:proofErr w:type="spellEnd"/>
      <w:r w:rsidRPr="00A259BD">
        <w:rPr>
          <w:rFonts w:ascii="Times New Roman" w:hAnsi="Times New Roman"/>
          <w:color w:val="000000" w:themeColor="text1"/>
          <w:sz w:val="16"/>
          <w:szCs w:val="16"/>
        </w:rPr>
        <w:t xml:space="preserve"> DH.80A </w:t>
      </w:r>
      <w:proofErr w:type="spellStart"/>
      <w:r w:rsidRPr="00A259BD">
        <w:rPr>
          <w:rFonts w:ascii="Times New Roman" w:hAnsi="Times New Roman"/>
          <w:color w:val="000000" w:themeColor="text1"/>
          <w:sz w:val="16"/>
          <w:szCs w:val="16"/>
        </w:rPr>
        <w:t>Puss</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Moth</w:t>
      </w:r>
      <w:proofErr w:type="spellEnd"/>
      <w:r w:rsidRPr="00A259BD">
        <w:rPr>
          <w:rFonts w:ascii="Times New Roman" w:hAnsi="Times New Roman"/>
          <w:color w:val="000000" w:themeColor="text1"/>
          <w:sz w:val="16"/>
          <w:szCs w:val="16"/>
        </w:rPr>
        <w:t>. /Англия/</w:t>
      </w:r>
    </w:p>
    <w:p w14:paraId="33A41E06" w14:textId="77777777" w:rsidR="00021FA1" w:rsidRPr="00A259BD" w:rsidRDefault="00021FA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1920-х годов начался бум пилотов-любителей. Им нужны были простые и надёжные туристические самолёты. Чтобы удовлетворить этот спрос, компания </w:t>
      </w:r>
      <w:proofErr w:type="spellStart"/>
      <w:r w:rsidRPr="00A259BD">
        <w:rPr>
          <w:rFonts w:ascii="Times New Roman" w:hAnsi="Times New Roman"/>
          <w:color w:val="000000" w:themeColor="text1"/>
          <w:sz w:val="16"/>
          <w:szCs w:val="16"/>
        </w:rPr>
        <w:t>de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Havilland</w:t>
      </w:r>
      <w:proofErr w:type="spellEnd"/>
      <w:r w:rsidRPr="00A259BD">
        <w:rPr>
          <w:rFonts w:ascii="Times New Roman" w:hAnsi="Times New Roman"/>
          <w:color w:val="000000" w:themeColor="text1"/>
          <w:sz w:val="16"/>
          <w:szCs w:val="16"/>
        </w:rPr>
        <w:t xml:space="preserve"> Aircraft в 1929 году начала работу над новым проектом — DH.80A </w:t>
      </w:r>
      <w:proofErr w:type="spellStart"/>
      <w:r w:rsidRPr="00A259BD">
        <w:rPr>
          <w:rFonts w:ascii="Times New Roman" w:hAnsi="Times New Roman"/>
          <w:color w:val="000000" w:themeColor="text1"/>
          <w:sz w:val="16"/>
          <w:szCs w:val="16"/>
        </w:rPr>
        <w:t>Puss</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Moth</w:t>
      </w:r>
      <w:proofErr w:type="spellEnd"/>
      <w:r w:rsidRPr="00A259BD">
        <w:rPr>
          <w:rFonts w:ascii="Times New Roman" w:hAnsi="Times New Roman"/>
          <w:color w:val="000000" w:themeColor="text1"/>
          <w:sz w:val="16"/>
          <w:szCs w:val="16"/>
        </w:rPr>
        <w:t>.</w:t>
      </w:r>
    </w:p>
    <w:p w14:paraId="3A209AA1" w14:textId="77777777" w:rsidR="00021FA1" w:rsidRPr="00A259BD" w:rsidRDefault="00021FA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DH.80A представлял собой трёхместный высокоплан с </w:t>
      </w:r>
      <w:proofErr w:type="spellStart"/>
      <w:r w:rsidRPr="00A259BD">
        <w:rPr>
          <w:rFonts w:ascii="Times New Roman" w:hAnsi="Times New Roman"/>
          <w:color w:val="000000" w:themeColor="text1"/>
          <w:sz w:val="16"/>
          <w:szCs w:val="16"/>
        </w:rPr>
        <w:t>неубираемым</w:t>
      </w:r>
      <w:proofErr w:type="spellEnd"/>
      <w:r w:rsidRPr="00A259BD">
        <w:rPr>
          <w:rFonts w:ascii="Times New Roman" w:hAnsi="Times New Roman"/>
          <w:color w:val="000000" w:themeColor="text1"/>
          <w:sz w:val="16"/>
          <w:szCs w:val="16"/>
        </w:rPr>
        <w:t xml:space="preserve"> шасси. Каркас фюзеляжа был выполнен из стальных труб и обтянут полотном. Оснащался двигателем </w:t>
      </w:r>
      <w:proofErr w:type="spellStart"/>
      <w:r w:rsidRPr="00A259BD">
        <w:rPr>
          <w:rFonts w:ascii="Times New Roman" w:hAnsi="Times New Roman"/>
          <w:color w:val="000000" w:themeColor="text1"/>
          <w:sz w:val="16"/>
          <w:szCs w:val="16"/>
        </w:rPr>
        <w:t>de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Havilland</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Gipsy</w:t>
      </w:r>
      <w:proofErr w:type="spellEnd"/>
      <w:r w:rsidRPr="00A259BD">
        <w:rPr>
          <w:rFonts w:ascii="Times New Roman" w:hAnsi="Times New Roman"/>
          <w:color w:val="000000" w:themeColor="text1"/>
          <w:sz w:val="16"/>
          <w:szCs w:val="16"/>
        </w:rPr>
        <w:t xml:space="preserve"> Major (130 л.с.) Крейсерская скорость — 174 км/ч, дальность полёта — 480 км.</w:t>
      </w:r>
    </w:p>
    <w:p w14:paraId="0FD8F326" w14:textId="77777777" w:rsidR="00021FA1" w:rsidRPr="00A259BD" w:rsidRDefault="00021FA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Самолёт получился с отличными лётными характеристиками и серийно производился до 1933 года. Всего выпустили 284 единицы DH.80A </w:t>
      </w:r>
      <w:proofErr w:type="spellStart"/>
      <w:r w:rsidRPr="00A259BD">
        <w:rPr>
          <w:rFonts w:ascii="Times New Roman" w:hAnsi="Times New Roman"/>
          <w:color w:val="000000" w:themeColor="text1"/>
          <w:sz w:val="16"/>
          <w:szCs w:val="16"/>
        </w:rPr>
        <w:t>Puss</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Moth</w:t>
      </w:r>
      <w:proofErr w:type="spellEnd"/>
      <w:r w:rsidRPr="00A259BD">
        <w:rPr>
          <w:rFonts w:ascii="Times New Roman" w:hAnsi="Times New Roman"/>
          <w:color w:val="000000" w:themeColor="text1"/>
          <w:sz w:val="16"/>
          <w:szCs w:val="16"/>
        </w:rPr>
        <w:t>. Они пользовались большим спросом и часто использовались для дальних перелётов. Несколько самолётов DH.80A сохранились до наших дней (22300).</w:t>
      </w:r>
    </w:p>
    <w:p w14:paraId="10F4B86C" w14:textId="77777777" w:rsidR="00021FA1" w:rsidRPr="00A259BD" w:rsidRDefault="00021FA1" w:rsidP="009236E3">
      <w:pPr>
        <w:spacing w:after="0" w:line="240" w:lineRule="auto"/>
        <w:jc w:val="both"/>
        <w:rPr>
          <w:rFonts w:ascii="Times New Roman" w:hAnsi="Times New Roman"/>
          <w:color w:val="000000" w:themeColor="text1"/>
          <w:sz w:val="16"/>
          <w:szCs w:val="16"/>
        </w:rPr>
      </w:pPr>
    </w:p>
    <w:p w14:paraId="1753C2E1" w14:textId="77777777" w:rsidR="00021FA1" w:rsidRPr="00A259BD" w:rsidRDefault="00021FA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сентября 1929 - В </w:t>
      </w:r>
      <w:proofErr w:type="spellStart"/>
      <w:r w:rsidRPr="00A259BD">
        <w:rPr>
          <w:rFonts w:ascii="Times New Roman" w:hAnsi="Times New Roman"/>
          <w:color w:val="000000" w:themeColor="text1"/>
          <w:sz w:val="16"/>
          <w:szCs w:val="16"/>
        </w:rPr>
        <w:t>Стэг</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Лэйне</w:t>
      </w:r>
      <w:proofErr w:type="spellEnd"/>
      <w:r w:rsidRPr="00A259BD">
        <w:rPr>
          <w:rFonts w:ascii="Times New Roman" w:hAnsi="Times New Roman"/>
          <w:color w:val="000000" w:themeColor="text1"/>
          <w:sz w:val="16"/>
          <w:szCs w:val="16"/>
        </w:rPr>
        <w:t xml:space="preserve"> впервые полетел Прототип </w:t>
      </w:r>
      <w:proofErr w:type="spellStart"/>
      <w:r w:rsidRPr="00A259BD">
        <w:rPr>
          <w:rFonts w:ascii="Times New Roman" w:hAnsi="Times New Roman"/>
          <w:color w:val="000000" w:themeColor="text1"/>
          <w:sz w:val="16"/>
          <w:szCs w:val="16"/>
        </w:rPr>
        <w:t>de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Havilland</w:t>
      </w:r>
      <w:proofErr w:type="spellEnd"/>
      <w:r w:rsidRPr="00A259BD">
        <w:rPr>
          <w:rFonts w:ascii="Times New Roman" w:hAnsi="Times New Roman"/>
          <w:color w:val="000000" w:themeColor="text1"/>
          <w:sz w:val="16"/>
          <w:szCs w:val="16"/>
        </w:rPr>
        <w:t xml:space="preserve"> D.H.80. Он был оснащён перевернутым двигателем </w:t>
      </w:r>
      <w:proofErr w:type="spellStart"/>
      <w:r w:rsidRPr="00A259BD">
        <w:rPr>
          <w:rFonts w:ascii="Times New Roman" w:hAnsi="Times New Roman"/>
          <w:color w:val="000000" w:themeColor="text1"/>
          <w:sz w:val="16"/>
          <w:szCs w:val="16"/>
        </w:rPr>
        <w:t>de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Havilland</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Gipsy</w:t>
      </w:r>
      <w:proofErr w:type="spellEnd"/>
      <w:r w:rsidRPr="00A259BD">
        <w:rPr>
          <w:rFonts w:ascii="Times New Roman" w:hAnsi="Times New Roman"/>
          <w:color w:val="000000" w:themeColor="text1"/>
          <w:sz w:val="16"/>
          <w:szCs w:val="16"/>
        </w:rPr>
        <w:t xml:space="preserve"> II, который позволил улучшить передний обзор над носовой частью самолёта и имел фюзеляж с обшивкой из клееной фанеры и плоскими боковинами, в котором размещался пилот (впереди) и два пассажира рядом в задней части кабины. С правого борта имелись две двери. Серийно самолёт начал выпускаться в марте 1930 года под обозначением D.H.80А </w:t>
      </w:r>
      <w:proofErr w:type="spellStart"/>
      <w:r w:rsidRPr="00A259BD">
        <w:rPr>
          <w:rFonts w:ascii="Times New Roman" w:hAnsi="Times New Roman"/>
          <w:color w:val="000000" w:themeColor="text1"/>
          <w:sz w:val="16"/>
          <w:szCs w:val="16"/>
        </w:rPr>
        <w:t>Puss</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Moth</w:t>
      </w:r>
      <w:proofErr w:type="spellEnd"/>
      <w:r w:rsidRPr="00A259BD">
        <w:rPr>
          <w:rFonts w:ascii="Times New Roman" w:hAnsi="Times New Roman"/>
          <w:color w:val="000000" w:themeColor="text1"/>
          <w:sz w:val="16"/>
          <w:szCs w:val="16"/>
        </w:rPr>
        <w:t xml:space="preserve">. Это был первый лёгкий самолёт компании </w:t>
      </w:r>
      <w:proofErr w:type="spellStart"/>
      <w:r w:rsidRPr="00A259BD">
        <w:rPr>
          <w:rFonts w:ascii="Times New Roman" w:hAnsi="Times New Roman"/>
          <w:color w:val="000000" w:themeColor="text1"/>
          <w:sz w:val="16"/>
          <w:szCs w:val="16"/>
        </w:rPr>
        <w:t>de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Havilland</w:t>
      </w:r>
      <w:proofErr w:type="spellEnd"/>
      <w:r w:rsidRPr="00A259BD">
        <w:rPr>
          <w:rFonts w:ascii="Times New Roman" w:hAnsi="Times New Roman"/>
          <w:color w:val="000000" w:themeColor="text1"/>
          <w:sz w:val="16"/>
          <w:szCs w:val="16"/>
        </w:rPr>
        <w:t xml:space="preserve">, на котором использовался сваренный из стальных труб фюзеляж с полотняной обшивкой. Необходимо также отметить обтекатели амортизаторов главных стоек шасси, которые могли поворачиваться перпендикулярно к набегающему потоку и </w:t>
      </w:r>
      <w:r w:rsidRPr="00A259BD">
        <w:rPr>
          <w:rFonts w:ascii="Times New Roman" w:hAnsi="Times New Roman"/>
          <w:color w:val="000000" w:themeColor="text1"/>
          <w:sz w:val="16"/>
          <w:szCs w:val="16"/>
        </w:rPr>
        <w:lastRenderedPageBreak/>
        <w:t xml:space="preserve">использоваться как воздушные тормоза. Другие изменения включали наличие по одной двери с каждого борта фюзеляжа и установку модифицированного двигателя </w:t>
      </w:r>
      <w:proofErr w:type="spellStart"/>
      <w:r w:rsidRPr="00A259BD">
        <w:rPr>
          <w:rFonts w:ascii="Times New Roman" w:hAnsi="Times New Roman"/>
          <w:color w:val="000000" w:themeColor="text1"/>
          <w:sz w:val="16"/>
          <w:szCs w:val="16"/>
        </w:rPr>
        <w:t>Gipsy</w:t>
      </w:r>
      <w:proofErr w:type="spellEnd"/>
      <w:r w:rsidRPr="00A259BD">
        <w:rPr>
          <w:rFonts w:ascii="Times New Roman" w:hAnsi="Times New Roman"/>
          <w:color w:val="000000" w:themeColor="text1"/>
          <w:sz w:val="16"/>
          <w:szCs w:val="16"/>
        </w:rPr>
        <w:t xml:space="preserve"> III мощностью 120 л.с. (22370).</w:t>
      </w:r>
    </w:p>
    <w:p w14:paraId="0367FBB2" w14:textId="77777777" w:rsidR="00021FA1" w:rsidRPr="00A259BD" w:rsidRDefault="00021FA1" w:rsidP="009236E3">
      <w:pPr>
        <w:spacing w:after="0" w:line="240" w:lineRule="auto"/>
        <w:jc w:val="both"/>
        <w:rPr>
          <w:rFonts w:ascii="Times New Roman" w:hAnsi="Times New Roman"/>
          <w:color w:val="000000" w:themeColor="text1"/>
          <w:sz w:val="16"/>
          <w:szCs w:val="16"/>
        </w:rPr>
      </w:pPr>
    </w:p>
    <w:p w14:paraId="69972F5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8010D7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6EE3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сентября 1929 завод № 25 выслал в НИИ ВВС бригаду рабочих, которые начали переделывать третью машину Р-5 прямо в ангаре НИИ.</w:t>
      </w:r>
    </w:p>
    <w:p w14:paraId="381997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Поставили новый костыль с дополнительными ребрами на пятке, сделали третью подножку на борту кабины летнаба, доработали кок винта, смонтировав на нем храповик для запуска двигателя от автостартера. Полотняные обтекатели </w:t>
      </w:r>
      <w:proofErr w:type="spellStart"/>
      <w:r w:rsidRPr="00A259BD">
        <w:rPr>
          <w:rFonts w:ascii="Times New Roman" w:hAnsi="Times New Roman"/>
          <w:color w:val="000000" w:themeColor="text1"/>
          <w:sz w:val="16"/>
          <w:szCs w:val="16"/>
        </w:rPr>
        <w:t>спицованных</w:t>
      </w:r>
      <w:proofErr w:type="spellEnd"/>
      <w:r w:rsidRPr="00A259BD">
        <w:rPr>
          <w:rFonts w:ascii="Times New Roman" w:hAnsi="Times New Roman"/>
          <w:color w:val="000000" w:themeColor="text1"/>
          <w:sz w:val="16"/>
          <w:szCs w:val="16"/>
        </w:rPr>
        <w:t xml:space="preserve"> колес шасси заменили алюминиевыми, организовали дренаж внутренних объемов для стока дождевой воды. В полу кабины появилось окно для прицеливания при фотографировании. Выхлопная система стала выглядеть достаточно оригинально: слева стоял коллектор с выходом через трубу, загнутую вверх-назад, а справа - отдельные патрубки. Считали, что это предотвратит занос выхлопных газов в кабины. Шасси и ножное управление в задней кабине переделывать не стали. 18 сентября специальная комиссия НТК "удостоверила удовлетворительное внесение переделок". Машину выпустили на испытания в НИИ ВВС (12034).</w:t>
      </w:r>
    </w:p>
    <w:p w14:paraId="48CACE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7151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сентября 1929 состоялось заседание у Зам. Нач. ВВС РККА Алксниса по вопросу о заключении договора на постройку самолетов АНТ-9 и там были приняты решения:</w:t>
      </w:r>
    </w:p>
    <w:p w14:paraId="41601C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Для устранения дефектов, обнаруженных при испытании образцового самолета Крылья Советов в НИИ в мае месяце и обнаруженных в процессе эксплуатации, ЦАГИ д. внести соответствующие изменения и дополнения в конструктивные чертежи, переданные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причем обусловлено, что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принимает к производству лишь те изменения, которые будут ему переданы до 1 октября 1929.</w:t>
      </w:r>
    </w:p>
    <w:p w14:paraId="1F23F8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обязался построить на самолете приспособления для монтажа радио и поставить электрооборудование при условии, если ему будут переданы схемы монтажа и чертежи установок не позднее 15 декабря 1929.</w:t>
      </w:r>
    </w:p>
    <w:p w14:paraId="420410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Обязать НТК УВВС и Инспекцию ГА в трехдневный срок определить тип радиостанции, передаваемой УВВС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для установки на АНТ-9, а НИИ и ЦАГИ не позднее 15 декабря разработать и дать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вышеуказанные схемы и чертежи, установив тип электроосветительного оборудования, совместно с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w:t>
      </w:r>
    </w:p>
    <w:p w14:paraId="30F5C9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Для обеспечения строящихся самолетов АНТ-9 лыжами к зиме будущего 30 года, обязать НТК подобрать или разработать совместно с ЦАГИ и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конструкцию лыж для АНТ-9, закончив эту работу не позднее 1 февраля 1930.</w:t>
      </w:r>
    </w:p>
    <w:p w14:paraId="6035D4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Обязать ЦАГИ произвести тарировку </w:t>
      </w:r>
      <w:proofErr w:type="spellStart"/>
      <w:r w:rsidRPr="00A259BD">
        <w:rPr>
          <w:rFonts w:ascii="Times New Roman" w:hAnsi="Times New Roman"/>
          <w:color w:val="000000" w:themeColor="text1"/>
          <w:sz w:val="16"/>
          <w:szCs w:val="16"/>
        </w:rPr>
        <w:t>бензиномеров</w:t>
      </w:r>
      <w:proofErr w:type="spellEnd"/>
      <w:r w:rsidRPr="00A259BD">
        <w:rPr>
          <w:rFonts w:ascii="Times New Roman" w:hAnsi="Times New Roman"/>
          <w:color w:val="000000" w:themeColor="text1"/>
          <w:sz w:val="16"/>
          <w:szCs w:val="16"/>
        </w:rPr>
        <w:t xml:space="preserve"> в 2-х недельный срок по представлению их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не позднее 1 октября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w:t>
      </w:r>
    </w:p>
    <w:p w14:paraId="0C3058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Обязать ЦАГИ под наблюдением НТК проработать новую конструкцию воздушных винтов к самолету АНТ-9 с тем, чтобы такая конструкция была утверждена не позднее 1 марта 1930, т.к.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принято обязательство выпустить самолеты с новыми винтами при условии сообщения ему конструкции винта не позднее, чем за 3 месяца до срока отправки самолетов..." (2341,117).</w:t>
      </w:r>
    </w:p>
    <w:p w14:paraId="35BEB1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A5FD7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сентября 1929 состоялась первая безус</w:t>
      </w:r>
      <w:r w:rsidRPr="00A259BD">
        <w:rPr>
          <w:rFonts w:ascii="Times New Roman" w:hAnsi="Times New Roman"/>
          <w:color w:val="000000" w:themeColor="text1"/>
          <w:sz w:val="16"/>
          <w:szCs w:val="16"/>
        </w:rPr>
        <w:softHyphen/>
        <w:t>пешная попытка стартовать на поплавках с поверхности Амура. Самолет долго разго</w:t>
      </w:r>
      <w:r w:rsidRPr="00A259BD">
        <w:rPr>
          <w:rFonts w:ascii="Times New Roman" w:hAnsi="Times New Roman"/>
          <w:color w:val="000000" w:themeColor="text1"/>
          <w:sz w:val="16"/>
          <w:szCs w:val="16"/>
        </w:rPr>
        <w:softHyphen/>
        <w:t>нялся, однако необходимой скорости для отрыва от воды не набирал. На этот счет имелось много предположений. Пробовали менять угол установки поплавков, грешили на пресную речную воду, однако в конце концов пришлось облегчить перегруженную машину. Наконец, 12 сентября самолет старто</w:t>
      </w:r>
      <w:r w:rsidRPr="00A259BD">
        <w:rPr>
          <w:rFonts w:ascii="Times New Roman" w:hAnsi="Times New Roman"/>
          <w:color w:val="000000" w:themeColor="text1"/>
          <w:sz w:val="16"/>
          <w:szCs w:val="16"/>
        </w:rPr>
        <w:softHyphen/>
        <w:t>вал и в тот же день прибыл в Николаевск-на-Амуре. Здесь повторилась хабаровская история — самолет не хотел взлетать. Пришлось снять часть оборудования, а топлива оставить в обрез, ровно столько, сколько требовалось, чтобы пролететь 1200 км до Петропавловска-Камчатского (11286).</w:t>
      </w:r>
    </w:p>
    <w:p w14:paraId="4DFAAF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197AE2" w14:textId="77777777" w:rsidR="00A53486"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D8BF3AF" w14:textId="77777777" w:rsidR="00A53486" w:rsidRPr="00A259BD" w:rsidRDefault="00A5348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D107AA2" w14:textId="77777777" w:rsidR="00A53486" w:rsidRPr="00A259BD" w:rsidRDefault="00A53486"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bCs/>
          <w:iCs/>
          <w:color w:val="000000" w:themeColor="text1"/>
          <w:sz w:val="16"/>
          <w:szCs w:val="16"/>
        </w:rPr>
        <w:t>9 сентября 1929 г.</w:t>
      </w:r>
      <w:r w:rsidRPr="00A259BD">
        <w:rPr>
          <w:rFonts w:ascii="Times New Roman" w:hAnsi="Times New Roman"/>
          <w:color w:val="000000" w:themeColor="text1"/>
          <w:sz w:val="16"/>
          <w:szCs w:val="16"/>
        </w:rPr>
        <w:t xml:space="preserve"> Распорядительное заседание (РЗ) СТО на тему «</w:t>
      </w:r>
      <w:r w:rsidRPr="00A259BD">
        <w:rPr>
          <w:rFonts w:ascii="Times New Roman" w:hAnsi="Times New Roman"/>
          <w:iCs/>
          <w:color w:val="000000" w:themeColor="text1"/>
          <w:sz w:val="16"/>
          <w:szCs w:val="16"/>
        </w:rPr>
        <w:t>О капитальном строительстве хлорной промышленности</w:t>
      </w:r>
      <w:r w:rsidRPr="00A259BD">
        <w:rPr>
          <w:rFonts w:ascii="Times New Roman" w:hAnsi="Times New Roman"/>
          <w:color w:val="000000" w:themeColor="text1"/>
          <w:sz w:val="16"/>
          <w:szCs w:val="16"/>
        </w:rPr>
        <w:t>». В представленной записке ВОХИМУ РККА указал, что на год ведения войны Советскому Союзу требуется 40 000 тонн хлора в год (другие нужды были много меньше: изготовление порохов и ВВ — 20 000 тонн хлора в год, гражданские нужды — 20 000 тонн в год). РЗ указал, что за 1926-1929 годы ВСНХ допустил отставание в осуществлении планов возведения хлорных цехов на Березниковском, Московском, Чернореченском, Рубежанском и Славянском, заводах. РЗ решило завершить строительство хлорных заводов в течение одного года. Поскольку этот хлор был нужен армии для выпуска ОВ, но не нужен стране, решили «</w:t>
      </w:r>
      <w:r w:rsidRPr="00A259BD">
        <w:rPr>
          <w:rFonts w:ascii="Times New Roman" w:hAnsi="Times New Roman"/>
          <w:iCs/>
          <w:color w:val="000000" w:themeColor="text1"/>
          <w:sz w:val="16"/>
          <w:szCs w:val="16"/>
        </w:rPr>
        <w:t>обязать ВСНХ СССР наметить конкретные мероприятия по расширению потребления хлора и его продуктов отдельными отраслями промышленности (бумажная, текстильная и другие)</w:t>
      </w:r>
      <w:r w:rsidRPr="00A259BD">
        <w:rPr>
          <w:rFonts w:ascii="Times New Roman" w:hAnsi="Times New Roman"/>
          <w:color w:val="000000" w:themeColor="text1"/>
          <w:sz w:val="16"/>
          <w:szCs w:val="16"/>
        </w:rPr>
        <w:t>». Так родился уродливый путь развития химической промышленности со сверхнеобходимым возведением хлорных производств (17133).</w:t>
      </w:r>
    </w:p>
    <w:p w14:paraId="5C3D6E91" w14:textId="77777777" w:rsidR="00A53486" w:rsidRPr="00A259BD" w:rsidRDefault="00A53486" w:rsidP="009236E3">
      <w:pPr>
        <w:shd w:val="clear" w:color="auto" w:fill="FFFFFF"/>
        <w:spacing w:after="0" w:line="240" w:lineRule="auto"/>
        <w:jc w:val="both"/>
        <w:rPr>
          <w:rFonts w:ascii="Times New Roman" w:hAnsi="Times New Roman"/>
          <w:color w:val="000000" w:themeColor="text1"/>
          <w:sz w:val="16"/>
          <w:szCs w:val="16"/>
        </w:rPr>
      </w:pPr>
    </w:p>
    <w:p w14:paraId="3BC7A916" w14:textId="77777777" w:rsidR="00A53486"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5AE86DB" w14:textId="77777777" w:rsidR="00A53486" w:rsidRPr="00A259BD" w:rsidRDefault="00A5348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7885E8" w14:textId="77777777" w:rsidR="00A53486" w:rsidRPr="00A259BD" w:rsidRDefault="00A5348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сентября в 1929 году в Гусь-Хрустальном пущен механизированный стекольный завод, ныне Гусевский стекольный завод (14765).</w:t>
      </w:r>
    </w:p>
    <w:p w14:paraId="01B5E2FC" w14:textId="77777777" w:rsidR="00A53486" w:rsidRPr="00A259BD" w:rsidRDefault="00A53486" w:rsidP="009236E3">
      <w:pPr>
        <w:spacing w:after="0" w:line="240" w:lineRule="auto"/>
        <w:jc w:val="both"/>
        <w:rPr>
          <w:rFonts w:ascii="Times New Roman" w:hAnsi="Times New Roman"/>
          <w:color w:val="000000" w:themeColor="text1"/>
          <w:sz w:val="16"/>
          <w:szCs w:val="16"/>
        </w:rPr>
      </w:pPr>
    </w:p>
    <w:p w14:paraId="28907A58" w14:textId="77777777" w:rsidR="00B56190" w:rsidRPr="00A259BD" w:rsidRDefault="00B5619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сентября 1929 года 91 год назад - в городе Гусь-Хрустальном Владимирской области начал свою работу Гусевской стекольный завод имени Ф. Э. Дзержинского.</w:t>
      </w:r>
    </w:p>
    <w:p w14:paraId="49B2396A" w14:textId="77777777" w:rsidR="00B56190" w:rsidRPr="00A259BD" w:rsidRDefault="00B5619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Его строительство началось в 1926 г. Для строительства «первенца первой пятилетки» были приглашены немецкие специалисты, начиная от электромонтеров и заканчивая инженерами. Присутствие иностранцев на заводе не афишировалось.</w:t>
      </w:r>
    </w:p>
    <w:p w14:paraId="5551813B" w14:textId="77777777" w:rsidR="00B56190" w:rsidRPr="00A259BD" w:rsidRDefault="00B5619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сентября 1929 г. он выпустив первые метры стекла. До конца года было произведено 358, 2 тыс. кв. метров оконного стекла. На 1 апреля 1930 г. число работающих на заводе составляло 1592 человека (21168).</w:t>
      </w:r>
    </w:p>
    <w:p w14:paraId="32D79997" w14:textId="77777777" w:rsidR="00B56190" w:rsidRPr="00A259BD" w:rsidRDefault="00B56190" w:rsidP="009236E3">
      <w:pPr>
        <w:spacing w:after="0" w:line="240" w:lineRule="auto"/>
        <w:jc w:val="both"/>
        <w:rPr>
          <w:rFonts w:ascii="Times New Roman" w:hAnsi="Times New Roman"/>
          <w:color w:val="000000" w:themeColor="text1"/>
          <w:sz w:val="16"/>
          <w:szCs w:val="16"/>
        </w:rPr>
      </w:pPr>
    </w:p>
    <w:p w14:paraId="39D19EE3"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39C92CE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5CD75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сентября 1929 в авиачастях про</w:t>
      </w:r>
      <w:r w:rsidRPr="00A259BD">
        <w:rPr>
          <w:rFonts w:ascii="Times New Roman" w:hAnsi="Times New Roman"/>
          <w:color w:val="000000" w:themeColor="text1"/>
          <w:sz w:val="16"/>
          <w:szCs w:val="16"/>
        </w:rPr>
        <w:softHyphen/>
        <w:t xml:space="preserve">вели учебные полеты со стрельбой по наземным мишеням, 15 и 20 сентября также организовали учебные полеты. Лишь 2 октября состоялись </w:t>
      </w:r>
      <w:proofErr w:type="spellStart"/>
      <w:r w:rsidRPr="00A259BD">
        <w:rPr>
          <w:rFonts w:ascii="Times New Roman" w:hAnsi="Times New Roman"/>
          <w:color w:val="000000" w:themeColor="text1"/>
          <w:sz w:val="16"/>
          <w:szCs w:val="16"/>
        </w:rPr>
        <w:t>разведпо-леты</w:t>
      </w:r>
      <w:proofErr w:type="spellEnd"/>
      <w:r w:rsidRPr="00A259BD">
        <w:rPr>
          <w:rFonts w:ascii="Times New Roman" w:hAnsi="Times New Roman"/>
          <w:color w:val="000000" w:themeColor="text1"/>
          <w:sz w:val="16"/>
          <w:szCs w:val="16"/>
        </w:rPr>
        <w:t xml:space="preserve"> в районе ст. Маньчжурия - Далай</w:t>
      </w:r>
      <w:r w:rsidRPr="00A259BD">
        <w:rPr>
          <w:rFonts w:ascii="Times New Roman" w:hAnsi="Times New Roman"/>
          <w:color w:val="000000" w:themeColor="text1"/>
          <w:sz w:val="16"/>
          <w:szCs w:val="16"/>
        </w:rPr>
        <w:softHyphen/>
        <w:t>нор. Р-1, высланный в Нерчинский за</w:t>
      </w:r>
      <w:r w:rsidRPr="00A259BD">
        <w:rPr>
          <w:rFonts w:ascii="Times New Roman" w:hAnsi="Times New Roman"/>
          <w:color w:val="000000" w:themeColor="text1"/>
          <w:sz w:val="16"/>
          <w:szCs w:val="16"/>
        </w:rPr>
        <w:softHyphen/>
        <w:t>вод, из-за нехватки горючего удач но сел на вынужденную в 50 км северо-</w:t>
      </w:r>
      <w:proofErr w:type="spellStart"/>
      <w:r w:rsidRPr="00A259BD">
        <w:rPr>
          <w:rFonts w:ascii="Times New Roman" w:hAnsi="Times New Roman"/>
          <w:color w:val="000000" w:themeColor="text1"/>
          <w:sz w:val="16"/>
          <w:szCs w:val="16"/>
        </w:rPr>
        <w:t>вос</w:t>
      </w:r>
      <w:proofErr w:type="spellEnd"/>
      <w:r w:rsidRPr="00A259BD">
        <w:rPr>
          <w:rFonts w:ascii="Times New Roman" w:hAnsi="Times New Roman"/>
          <w:color w:val="000000" w:themeColor="text1"/>
          <w:sz w:val="16"/>
          <w:szCs w:val="16"/>
        </w:rPr>
        <w:t>-точнее ст. Даурия (11216).</w:t>
      </w:r>
    </w:p>
    <w:p w14:paraId="661C2E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31BE4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сентября 1929 три само</w:t>
      </w:r>
      <w:r w:rsidRPr="00A259BD">
        <w:rPr>
          <w:rFonts w:ascii="Times New Roman" w:hAnsi="Times New Roman"/>
          <w:color w:val="000000" w:themeColor="text1"/>
          <w:sz w:val="16"/>
          <w:szCs w:val="16"/>
        </w:rPr>
        <w:softHyphen/>
        <w:t>лета 19-го авиаотряда с 4-00 до 5-00 проводили разведку в районе Погра</w:t>
      </w:r>
      <w:r w:rsidRPr="00A259BD">
        <w:rPr>
          <w:rFonts w:ascii="Times New Roman" w:hAnsi="Times New Roman"/>
          <w:color w:val="000000" w:themeColor="text1"/>
          <w:sz w:val="16"/>
          <w:szCs w:val="16"/>
        </w:rPr>
        <w:softHyphen/>
        <w:t>ничной. 12 сентября авиации поста</w:t>
      </w:r>
      <w:r w:rsidRPr="00A259BD">
        <w:rPr>
          <w:rFonts w:ascii="Times New Roman" w:hAnsi="Times New Roman"/>
          <w:color w:val="000000" w:themeColor="text1"/>
          <w:sz w:val="16"/>
          <w:szCs w:val="16"/>
        </w:rPr>
        <w:softHyphen/>
        <w:t xml:space="preserve">вили задачу обнаружить банду Мохова, однако вылетевшие на разведку в район разъезда </w:t>
      </w:r>
      <w:proofErr w:type="spellStart"/>
      <w:r w:rsidRPr="00A259BD">
        <w:rPr>
          <w:rFonts w:ascii="Times New Roman" w:hAnsi="Times New Roman"/>
          <w:color w:val="000000" w:themeColor="text1"/>
          <w:sz w:val="16"/>
          <w:szCs w:val="16"/>
        </w:rPr>
        <w:t>Кноринг</w:t>
      </w:r>
      <w:proofErr w:type="spellEnd"/>
      <w:r w:rsidRPr="00A259BD">
        <w:rPr>
          <w:rFonts w:ascii="Times New Roman" w:hAnsi="Times New Roman"/>
          <w:color w:val="000000" w:themeColor="text1"/>
          <w:sz w:val="16"/>
          <w:szCs w:val="16"/>
        </w:rPr>
        <w:t xml:space="preserve"> и ст. </w:t>
      </w:r>
      <w:proofErr w:type="spellStart"/>
      <w:r w:rsidRPr="00A259BD">
        <w:rPr>
          <w:rFonts w:ascii="Times New Roman" w:hAnsi="Times New Roman"/>
          <w:color w:val="000000" w:themeColor="text1"/>
          <w:sz w:val="16"/>
          <w:szCs w:val="16"/>
        </w:rPr>
        <w:t>Манзовка</w:t>
      </w:r>
      <w:proofErr w:type="spellEnd"/>
      <w:r w:rsidRPr="00A259BD">
        <w:rPr>
          <w:rFonts w:ascii="Times New Roman" w:hAnsi="Times New Roman"/>
          <w:color w:val="000000" w:themeColor="text1"/>
          <w:sz w:val="16"/>
          <w:szCs w:val="16"/>
        </w:rPr>
        <w:t xml:space="preserve">, Хорольское и </w:t>
      </w:r>
      <w:proofErr w:type="spellStart"/>
      <w:r w:rsidRPr="00A259BD">
        <w:rPr>
          <w:rFonts w:ascii="Times New Roman" w:hAnsi="Times New Roman"/>
          <w:color w:val="000000" w:themeColor="text1"/>
          <w:sz w:val="16"/>
          <w:szCs w:val="16"/>
        </w:rPr>
        <w:t>Стардеви-ца</w:t>
      </w:r>
      <w:proofErr w:type="spellEnd"/>
      <w:r w:rsidRPr="00A259BD">
        <w:rPr>
          <w:rFonts w:ascii="Times New Roman" w:hAnsi="Times New Roman"/>
          <w:color w:val="000000" w:themeColor="text1"/>
          <w:sz w:val="16"/>
          <w:szCs w:val="16"/>
        </w:rPr>
        <w:t xml:space="preserve"> самолеты никаких сле</w:t>
      </w:r>
      <w:r w:rsidRPr="00A259BD">
        <w:rPr>
          <w:rFonts w:ascii="Times New Roman" w:hAnsi="Times New Roman"/>
          <w:color w:val="000000" w:themeColor="text1"/>
          <w:sz w:val="16"/>
          <w:szCs w:val="16"/>
        </w:rPr>
        <w:softHyphen/>
        <w:t>дов бандитов не обнару</w:t>
      </w:r>
      <w:r w:rsidRPr="00A259BD">
        <w:rPr>
          <w:rFonts w:ascii="Times New Roman" w:hAnsi="Times New Roman"/>
          <w:color w:val="000000" w:themeColor="text1"/>
          <w:sz w:val="16"/>
          <w:szCs w:val="16"/>
        </w:rPr>
        <w:softHyphen/>
        <w:t>жили. 15 сентября прове</w:t>
      </w:r>
      <w:r w:rsidRPr="00A259BD">
        <w:rPr>
          <w:rFonts w:ascii="Times New Roman" w:hAnsi="Times New Roman"/>
          <w:color w:val="000000" w:themeColor="text1"/>
          <w:sz w:val="16"/>
          <w:szCs w:val="16"/>
        </w:rPr>
        <w:softHyphen/>
        <w:t xml:space="preserve">ли авиаразведку района Пограничная - </w:t>
      </w:r>
      <w:proofErr w:type="spellStart"/>
      <w:r w:rsidRPr="00A259BD">
        <w:rPr>
          <w:rFonts w:ascii="Times New Roman" w:hAnsi="Times New Roman"/>
          <w:color w:val="000000" w:themeColor="text1"/>
          <w:sz w:val="16"/>
          <w:szCs w:val="16"/>
        </w:rPr>
        <w:t>Сочнево</w:t>
      </w:r>
      <w:proofErr w:type="spellEnd"/>
      <w:r w:rsidRPr="00A259BD">
        <w:rPr>
          <w:rFonts w:ascii="Times New Roman" w:hAnsi="Times New Roman"/>
          <w:color w:val="000000" w:themeColor="text1"/>
          <w:sz w:val="16"/>
          <w:szCs w:val="16"/>
        </w:rPr>
        <w:t xml:space="preserve"> -Мулин. Через пять дней, 20 сентября, с 9-00 до 14-00 выполнялись полеты в район Пограничной с опе</w:t>
      </w:r>
      <w:r w:rsidRPr="00A259BD">
        <w:rPr>
          <w:rFonts w:ascii="Times New Roman" w:hAnsi="Times New Roman"/>
          <w:color w:val="000000" w:themeColor="text1"/>
          <w:sz w:val="16"/>
          <w:szCs w:val="16"/>
        </w:rPr>
        <w:softHyphen/>
        <w:t>ративными заданиями. 26 сентября на разведку в район Мишань - Мулин вы</w:t>
      </w:r>
      <w:r w:rsidRPr="00A259BD">
        <w:rPr>
          <w:rFonts w:ascii="Times New Roman" w:hAnsi="Times New Roman"/>
          <w:color w:val="000000" w:themeColor="text1"/>
          <w:sz w:val="16"/>
          <w:szCs w:val="16"/>
        </w:rPr>
        <w:softHyphen/>
        <w:t xml:space="preserve">летали четыре самолета 40-й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3 октября звено 40-й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провело авиаразведку района Турий рог, погранпост 25, Дворянка, Рыболов (11216).</w:t>
      </w:r>
    </w:p>
    <w:p w14:paraId="295E27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1E34B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DD81FF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74E893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сентября 1929 г. состоялся первый полет многоцелевого боевого самолета АНТ-7 (Р-6) "воздушный крейсер</w:t>
      </w:r>
    </w:p>
    <w:p w14:paraId="1AF2D7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535E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сентября 1929 был выпущен Р-6 (АНТ-7), но потом потребовались переделки (92,352). Полетел первый раз. Потом - продолжили в 1931 (80,222). Сделали 400 (237,158).</w:t>
      </w:r>
    </w:p>
    <w:p w14:paraId="265DD4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Тянули на совесть</w:t>
      </w:r>
    </w:p>
    <w:p w14:paraId="78B212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Есть данные, что испытывался и в 1930</w:t>
      </w:r>
    </w:p>
    <w:p w14:paraId="627AC5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другим данным в этот день его только взвесили и определили ЦТ как начало заводских испытаний, которые вел </w:t>
      </w:r>
      <w:proofErr w:type="spellStart"/>
      <w:r w:rsidRPr="00A259BD">
        <w:rPr>
          <w:rFonts w:ascii="Times New Roman" w:hAnsi="Times New Roman"/>
          <w:color w:val="000000" w:themeColor="text1"/>
          <w:sz w:val="16"/>
          <w:szCs w:val="16"/>
        </w:rPr>
        <w:t>М.М.Громов</w:t>
      </w:r>
      <w:proofErr w:type="spellEnd"/>
      <w:r w:rsidRPr="00A259BD">
        <w:rPr>
          <w:rFonts w:ascii="Times New Roman" w:hAnsi="Times New Roman"/>
          <w:color w:val="000000" w:themeColor="text1"/>
          <w:sz w:val="16"/>
          <w:szCs w:val="16"/>
        </w:rPr>
        <w:t>. Пришлось дорабатывать и закончили только в феврале 1930 (346,34).</w:t>
      </w:r>
    </w:p>
    <w:p w14:paraId="1AF021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третьим данным в этот день перевезли на аэродром и в сентябре 1929 М.М.Г. начал заводские испытания, которые шли до марта 1930 (1852,46).</w:t>
      </w:r>
    </w:p>
    <w:p w14:paraId="093554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FE33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C 11 сентября 1929 по 10 марта 1930 проходили заводские испытания АНТ-7 Р-6 (1017,198), а по другим данным - до 11 мая 1930 (438,609).</w:t>
      </w:r>
    </w:p>
    <w:p w14:paraId="7C08FB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ACE6F4" w14:textId="77777777" w:rsidR="00A53486" w:rsidRPr="00A259BD" w:rsidRDefault="00A5348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сентября в 1929 году первый полет многоцелевого боевого самолета АНТ-7 (Р-6) «воздушный крейсер» конструкции ОКБ </w:t>
      </w:r>
      <w:proofErr w:type="spellStart"/>
      <w:r w:rsidRPr="00A259BD">
        <w:rPr>
          <w:rFonts w:ascii="Times New Roman" w:hAnsi="Times New Roman"/>
          <w:color w:val="000000" w:themeColor="text1"/>
          <w:sz w:val="16"/>
          <w:szCs w:val="16"/>
        </w:rPr>
        <w:t>А.Н.Туполева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М.М.Громов</w:t>
      </w:r>
      <w:proofErr w:type="spellEnd"/>
      <w:r w:rsidRPr="00A259BD">
        <w:rPr>
          <w:rFonts w:ascii="Times New Roman" w:hAnsi="Times New Roman"/>
          <w:color w:val="000000" w:themeColor="text1"/>
          <w:sz w:val="16"/>
          <w:szCs w:val="16"/>
        </w:rPr>
        <w:t xml:space="preserve">. Первый в мире двухмоторный тяжелый разведчик Р-6 и первый самолет с двойным управлением. Первый советский самолет, пролетевший над Северным полюсом, широко использовался в деле освоения Сибири и Дальнего Востока. Построено было около 400 таких машин; </w:t>
      </w:r>
    </w:p>
    <w:p w14:paraId="27251242" w14:textId="77777777" w:rsidR="00A53486" w:rsidRPr="00A259BD" w:rsidRDefault="00A53486" w:rsidP="009236E3">
      <w:pPr>
        <w:spacing w:after="0" w:line="240" w:lineRule="auto"/>
        <w:jc w:val="both"/>
        <w:rPr>
          <w:rFonts w:ascii="Times New Roman" w:hAnsi="Times New Roman"/>
          <w:color w:val="000000" w:themeColor="text1"/>
          <w:sz w:val="16"/>
          <w:szCs w:val="16"/>
        </w:rPr>
      </w:pPr>
    </w:p>
    <w:p w14:paraId="543A2BF1" w14:textId="77777777" w:rsidR="00A53486" w:rsidRPr="00A259BD" w:rsidRDefault="00A53486" w:rsidP="009236E3">
      <w:pPr>
        <w:spacing w:after="0" w:line="240" w:lineRule="auto"/>
        <w:jc w:val="both"/>
        <w:rPr>
          <w:rStyle w:val="ucoz-forum-post"/>
          <w:rFonts w:ascii="Times New Roman" w:eastAsiaTheme="majorEastAsia" w:hAnsi="Times New Roman"/>
          <w:color w:val="000000" w:themeColor="text1"/>
          <w:sz w:val="16"/>
          <w:szCs w:val="16"/>
        </w:rPr>
      </w:pPr>
      <w:r w:rsidRPr="00A259BD">
        <w:rPr>
          <w:rFonts w:ascii="Times New Roman" w:hAnsi="Times New Roman"/>
          <w:color w:val="000000" w:themeColor="text1"/>
          <w:sz w:val="16"/>
          <w:szCs w:val="16"/>
        </w:rPr>
        <w:t>11 сентября</w:t>
      </w:r>
      <w:r w:rsidRPr="00A259BD">
        <w:rPr>
          <w:rStyle w:val="ucoz-forum-post"/>
          <w:rFonts w:ascii="Times New Roman" w:eastAsiaTheme="majorEastAsia" w:hAnsi="Times New Roman"/>
          <w:bCs/>
          <w:color w:val="000000" w:themeColor="text1"/>
          <w:sz w:val="16"/>
          <w:szCs w:val="16"/>
        </w:rPr>
        <w:t xml:space="preserve"> 1929 г.</w:t>
      </w:r>
      <w:r w:rsidRPr="00A259BD">
        <w:rPr>
          <w:rStyle w:val="ucoz-forum-post"/>
          <w:rFonts w:ascii="Times New Roman" w:eastAsiaTheme="majorEastAsia" w:hAnsi="Times New Roman"/>
          <w:color w:val="000000" w:themeColor="text1"/>
          <w:sz w:val="16"/>
          <w:szCs w:val="16"/>
        </w:rPr>
        <w:t xml:space="preserve"> – первый полёт многоцелевого боевого самолёта АНТ-7 (Р-6), М.М. Громов (14766).</w:t>
      </w:r>
    </w:p>
    <w:p w14:paraId="56B49EB5" w14:textId="77777777" w:rsidR="00A53486" w:rsidRPr="00A259BD" w:rsidRDefault="00A53486" w:rsidP="009236E3">
      <w:pPr>
        <w:spacing w:after="0" w:line="240" w:lineRule="auto"/>
        <w:jc w:val="both"/>
        <w:rPr>
          <w:rStyle w:val="ucoz-forum-post"/>
          <w:rFonts w:ascii="Times New Roman" w:eastAsiaTheme="majorEastAsia" w:hAnsi="Times New Roman"/>
          <w:color w:val="000000" w:themeColor="text1"/>
          <w:sz w:val="16"/>
          <w:szCs w:val="16"/>
        </w:rPr>
      </w:pPr>
    </w:p>
    <w:p w14:paraId="6A395DA4" w14:textId="77777777" w:rsidR="00F86BBA" w:rsidRPr="00A259BD" w:rsidRDefault="00F86B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сентября 1929 Р-6 взвесили и осмотрели, составив список дефектов, а после устранения части последних допустили к полётам. Первый раз машину поднял в воздух М.М. Громов. В своих мемуарах он потом написал: «...я чуть было не угодил на «тот свет». Через три минуты после взлёта правый мотор перегрелся, и его заклинило. Громову пришлось поспешно садиться поперёк направления старта. Оказалось, что разрушился радиатор, и вода вытекла.</w:t>
      </w:r>
    </w:p>
    <w:p w14:paraId="35CA5F41" w14:textId="77777777" w:rsidR="00F86BBA" w:rsidRPr="00A259BD" w:rsidRDefault="00F86B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Эффективность руля направления Громов счёл недостаточной, и его нарастили. Во втором полёте выявилась </w:t>
      </w:r>
      <w:proofErr w:type="spellStart"/>
      <w:r w:rsidRPr="00A259BD">
        <w:rPr>
          <w:rFonts w:ascii="Times New Roman" w:hAnsi="Times New Roman"/>
          <w:color w:val="000000" w:themeColor="text1"/>
          <w:sz w:val="16"/>
          <w:szCs w:val="16"/>
        </w:rPr>
        <w:t>переком-пенсация</w:t>
      </w:r>
      <w:proofErr w:type="spellEnd"/>
      <w:r w:rsidRPr="00A259BD">
        <w:rPr>
          <w:rFonts w:ascii="Times New Roman" w:hAnsi="Times New Roman"/>
          <w:color w:val="000000" w:themeColor="text1"/>
          <w:sz w:val="16"/>
          <w:szCs w:val="16"/>
        </w:rPr>
        <w:t xml:space="preserve"> рулей высоты. Площадь рулей увеличили, наклепав дюралюминиевую полосу на заднюю кромку. При этом роговые компенсаторы уменьшились. В третьем полёте управление более-ме- нее пришло в норму.</w:t>
      </w:r>
    </w:p>
    <w:p w14:paraId="2FB51210" w14:textId="77777777" w:rsidR="00F86BBA" w:rsidRPr="00A259BD" w:rsidRDefault="00F86B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Громов совершил на первом образце Р-6 ещё несколько полётов. Вообще обнаружилось немало недостатков; самолёт пришлось вернуть в цех на доработку, но дел было много, и на государственные испытания машина попала лишь 11 марта 1930 г. (12264).</w:t>
      </w:r>
    </w:p>
    <w:p w14:paraId="5082B44C" w14:textId="77777777" w:rsidR="00F86BBA" w:rsidRPr="00A259BD" w:rsidRDefault="00F86BBA" w:rsidP="009236E3">
      <w:pPr>
        <w:spacing w:after="0" w:line="240" w:lineRule="auto"/>
        <w:jc w:val="both"/>
        <w:rPr>
          <w:rFonts w:ascii="Times New Roman" w:hAnsi="Times New Roman"/>
          <w:color w:val="000000" w:themeColor="text1"/>
          <w:sz w:val="16"/>
          <w:szCs w:val="16"/>
        </w:rPr>
      </w:pPr>
    </w:p>
    <w:p w14:paraId="107F17C2"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11 сентября 1929 г. в НИИ ВВС само</w:t>
      </w:r>
      <w:r w:rsidRPr="00441F34">
        <w:rPr>
          <w:rFonts w:ascii="Times New Roman" w:hAnsi="Times New Roman"/>
          <w:color w:val="0070C0"/>
          <w:sz w:val="16"/>
          <w:szCs w:val="16"/>
        </w:rPr>
        <w:softHyphen/>
        <w:t>лет АНТ-7 взвесили и определили центр тяжести. Начались заводские испытания, которые проводил М.М. Громов. Он обнаружил дефекты, потребовавшие немедленного устранения: вибрацию силовых устано</w:t>
      </w:r>
      <w:r w:rsidRPr="00441F34">
        <w:rPr>
          <w:rFonts w:ascii="Times New Roman" w:hAnsi="Times New Roman"/>
          <w:color w:val="0070C0"/>
          <w:sz w:val="16"/>
          <w:szCs w:val="16"/>
        </w:rPr>
        <w:softHyphen/>
        <w:t>вок и оперения. К началу февраля сделали необходимые доработки, и с 11 марта 1930 г. АНТ—7 вышел на государственные испытания. Они показали, что у само</w:t>
      </w:r>
      <w:r w:rsidRPr="00441F34">
        <w:rPr>
          <w:rFonts w:ascii="Times New Roman" w:hAnsi="Times New Roman"/>
          <w:color w:val="0070C0"/>
          <w:sz w:val="16"/>
          <w:szCs w:val="16"/>
        </w:rPr>
        <w:softHyphen/>
        <w:t>лета хорошая управляемость, устойчи</w:t>
      </w:r>
      <w:r w:rsidRPr="00441F34">
        <w:rPr>
          <w:rFonts w:ascii="Times New Roman" w:hAnsi="Times New Roman"/>
          <w:color w:val="0070C0"/>
          <w:sz w:val="16"/>
          <w:szCs w:val="16"/>
        </w:rPr>
        <w:softHyphen/>
        <w:t>вость и маневренность. Были, конечно, и недостатки. После их устранения са</w:t>
      </w:r>
      <w:r w:rsidRPr="00441F34">
        <w:rPr>
          <w:rFonts w:ascii="Times New Roman" w:hAnsi="Times New Roman"/>
          <w:color w:val="0070C0"/>
          <w:sz w:val="16"/>
          <w:szCs w:val="16"/>
        </w:rPr>
        <w:softHyphen/>
        <w:t>молет проходил с 24 июля по 1 сентября 1930 г. повторные испытания в двух ва</w:t>
      </w:r>
      <w:r w:rsidRPr="00441F34">
        <w:rPr>
          <w:rFonts w:ascii="Times New Roman" w:hAnsi="Times New Roman"/>
          <w:color w:val="0070C0"/>
          <w:sz w:val="16"/>
          <w:szCs w:val="16"/>
        </w:rPr>
        <w:softHyphen/>
        <w:t>риантах:</w:t>
      </w:r>
    </w:p>
    <w:p w14:paraId="76BF17E2"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 воздушного боя (много</w:t>
      </w:r>
      <w:r w:rsidRPr="00441F34">
        <w:rPr>
          <w:rFonts w:ascii="Times New Roman" w:hAnsi="Times New Roman"/>
          <w:color w:val="0070C0"/>
          <w:sz w:val="16"/>
          <w:szCs w:val="16"/>
        </w:rPr>
        <w:softHyphen/>
        <w:t>местный истребитель),</w:t>
      </w:r>
    </w:p>
    <w:p w14:paraId="1C0431F7"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разведчик.</w:t>
      </w:r>
    </w:p>
    <w:p w14:paraId="67FD83C1"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результатам испытаний заказчик признал, что Р—6 вполне удовлетворяет требованиям, предъявляемым к самолету воздушного боя.</w:t>
      </w:r>
    </w:p>
    <w:p w14:paraId="03B477B5"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дальнейшем машину доработали, снова проверили в полетах с 25 сентября по 17 октября 1930 г., после чего НИИ ВВС сделал вывод, что самолет может быть запущен в серию в качестве «самолета дальней разведки» и «самолета сопро</w:t>
      </w:r>
      <w:r w:rsidRPr="00441F34">
        <w:rPr>
          <w:rFonts w:ascii="Times New Roman" w:hAnsi="Times New Roman"/>
          <w:color w:val="0070C0"/>
          <w:sz w:val="16"/>
          <w:szCs w:val="16"/>
        </w:rPr>
        <w:softHyphen/>
        <w:t>вождения» (т.е. многоместного истреби</w:t>
      </w:r>
      <w:r w:rsidRPr="00441F34">
        <w:rPr>
          <w:rFonts w:ascii="Times New Roman" w:hAnsi="Times New Roman"/>
          <w:color w:val="0070C0"/>
          <w:sz w:val="16"/>
          <w:szCs w:val="16"/>
        </w:rPr>
        <w:softHyphen/>
        <w:t>теля или воздушного крейсера) (23474).</w:t>
      </w:r>
    </w:p>
    <w:p w14:paraId="3D610025" w14:textId="77777777" w:rsidR="002F3A10" w:rsidRPr="00441F34" w:rsidRDefault="002F3A10" w:rsidP="002F3A10">
      <w:pPr>
        <w:spacing w:after="0" w:line="240" w:lineRule="auto"/>
        <w:jc w:val="both"/>
        <w:rPr>
          <w:rFonts w:ascii="Times New Roman" w:hAnsi="Times New Roman"/>
          <w:color w:val="0070C0"/>
          <w:sz w:val="16"/>
          <w:szCs w:val="16"/>
        </w:rPr>
      </w:pPr>
    </w:p>
    <w:p w14:paraId="414BA2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сентября 1929 Нач. 3 отдела УСС Попов писал письмо N СЗК/1271с Зам. Пред. НТК УВВС Харламову (копии ЦАГИ, Инспекции ГА, Добролету,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о том, что на совещании у Зам. Нач. ВВС Алксниса 10 сентября приняты решения по заключению договора на постройку АНТ-9 с учетом дефектов, обнаруженных при испытаниях Крыльев Советов в мае 1929 (2341,116).</w:t>
      </w:r>
    </w:p>
    <w:p w14:paraId="0D9A49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заседании у Зам. Нач. ВВС РККА т. АЛКСНИСА 10.IX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по вопросу о заключении договора на постройку самолетов АНТ-9 приняты нижеследующие решения:</w:t>
      </w:r>
    </w:p>
    <w:p w14:paraId="72F55A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Для устранения дефектов, обнаруженных при испытании образцового самолета "Крылья Советов" в НИИ в Мае мес. и обнаруженных в процессе </w:t>
      </w:r>
      <w:proofErr w:type="spellStart"/>
      <w:r w:rsidRPr="00A259BD">
        <w:rPr>
          <w:rFonts w:ascii="Times New Roman" w:hAnsi="Times New Roman"/>
          <w:color w:val="000000" w:themeColor="text1"/>
          <w:sz w:val="16"/>
          <w:szCs w:val="16"/>
        </w:rPr>
        <w:t>эксплоатации</w:t>
      </w:r>
      <w:proofErr w:type="spellEnd"/>
      <w:r w:rsidRPr="00A259BD">
        <w:rPr>
          <w:rFonts w:ascii="Times New Roman" w:hAnsi="Times New Roman"/>
          <w:color w:val="000000" w:themeColor="text1"/>
          <w:sz w:val="16"/>
          <w:szCs w:val="16"/>
        </w:rPr>
        <w:t xml:space="preserve"> этого самолета ЦАГИ должно внести соответствующие изменения и дополнения в конструктивные чертежи этого самолета, переданные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причем </w:t>
      </w:r>
      <w:proofErr w:type="spellStart"/>
      <w:r w:rsidRPr="00A259BD">
        <w:rPr>
          <w:rFonts w:ascii="Times New Roman" w:hAnsi="Times New Roman"/>
          <w:color w:val="000000" w:themeColor="text1"/>
          <w:sz w:val="16"/>
          <w:szCs w:val="16"/>
        </w:rPr>
        <w:t>обсуловлено</w:t>
      </w:r>
      <w:proofErr w:type="spellEnd"/>
      <w:r w:rsidRPr="00A259BD">
        <w:rPr>
          <w:rFonts w:ascii="Times New Roman" w:hAnsi="Times New Roman"/>
          <w:color w:val="000000" w:themeColor="text1"/>
          <w:sz w:val="16"/>
          <w:szCs w:val="16"/>
        </w:rPr>
        <w:t xml:space="preserve">, что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принимает к производству лишь те изменения, которые будут ему переданы до 1.Х.29 г.</w:t>
      </w:r>
    </w:p>
    <w:p w14:paraId="498D5CE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обязался построить на самолете приспособления для монтажа радио и поставить электрооборудование при условии, если ему </w:t>
      </w:r>
      <w:proofErr w:type="spellStart"/>
      <w:r w:rsidRPr="00A259BD">
        <w:rPr>
          <w:rFonts w:ascii="Times New Roman" w:hAnsi="Times New Roman"/>
          <w:color w:val="000000" w:themeColor="text1"/>
          <w:sz w:val="16"/>
          <w:szCs w:val="16"/>
        </w:rPr>
        <w:t>будут~переданы</w:t>
      </w:r>
      <w:proofErr w:type="spellEnd"/>
      <w:r w:rsidRPr="00A259BD">
        <w:rPr>
          <w:rFonts w:ascii="Times New Roman" w:hAnsi="Times New Roman"/>
          <w:color w:val="000000" w:themeColor="text1"/>
          <w:sz w:val="16"/>
          <w:szCs w:val="16"/>
        </w:rPr>
        <w:t xml:space="preserve"> схемы монтажа и чертежи установок не позднее 15.ХП.29 г.</w:t>
      </w:r>
    </w:p>
    <w:p w14:paraId="4F30CC6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Обязать НТК УВВС и Инспекцию Гражданской Авиации в трехднев</w:t>
      </w:r>
      <w:r w:rsidRPr="00A259BD">
        <w:rPr>
          <w:rFonts w:ascii="Times New Roman" w:hAnsi="Times New Roman"/>
          <w:color w:val="000000" w:themeColor="text1"/>
          <w:sz w:val="16"/>
          <w:szCs w:val="16"/>
        </w:rPr>
        <w:softHyphen/>
        <w:t xml:space="preserve">ный срок определить тип радиостанции, передаваемой УВВС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для установки на самолеты АНТ-9, а НИИ и ЦАГИ - не позднее 15.ХП.с.с. разработать и дать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вышеука</w:t>
      </w:r>
      <w:r w:rsidRPr="00A259BD">
        <w:rPr>
          <w:rFonts w:ascii="Times New Roman" w:hAnsi="Times New Roman"/>
          <w:color w:val="000000" w:themeColor="text1"/>
          <w:sz w:val="16"/>
          <w:szCs w:val="16"/>
        </w:rPr>
        <w:softHyphen/>
        <w:t xml:space="preserve">занные схемы и чертежи, установив тип электроосветительного оборудования, совместно с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w:t>
      </w:r>
    </w:p>
    <w:p w14:paraId="1E1F3D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Для обеспечения </w:t>
      </w:r>
      <w:proofErr w:type="spellStart"/>
      <w:r w:rsidRPr="00A259BD">
        <w:rPr>
          <w:rFonts w:ascii="Times New Roman" w:hAnsi="Times New Roman"/>
          <w:color w:val="000000" w:themeColor="text1"/>
          <w:sz w:val="16"/>
          <w:szCs w:val="16"/>
        </w:rPr>
        <w:t>строющихся</w:t>
      </w:r>
      <w:proofErr w:type="spellEnd"/>
      <w:r w:rsidRPr="00A259BD">
        <w:rPr>
          <w:rFonts w:ascii="Times New Roman" w:hAnsi="Times New Roman"/>
          <w:color w:val="000000" w:themeColor="text1"/>
          <w:sz w:val="16"/>
          <w:szCs w:val="16"/>
        </w:rPr>
        <w:t xml:space="preserve"> самолетов АНТ-9 лыжами к зиме будущего 30 года, обязать НТК подобрать или разработать сов</w:t>
      </w:r>
      <w:r w:rsidRPr="00A259BD">
        <w:rPr>
          <w:rFonts w:ascii="Times New Roman" w:hAnsi="Times New Roman"/>
          <w:color w:val="000000" w:themeColor="text1"/>
          <w:sz w:val="16"/>
          <w:szCs w:val="16"/>
        </w:rPr>
        <w:softHyphen/>
        <w:t xml:space="preserve">местно с ЦАГИ и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конструкцию лыж для АНТ-9, закон</w:t>
      </w:r>
      <w:r w:rsidRPr="00A259BD">
        <w:rPr>
          <w:rFonts w:ascii="Times New Roman" w:hAnsi="Times New Roman"/>
          <w:color w:val="000000" w:themeColor="text1"/>
          <w:sz w:val="16"/>
          <w:szCs w:val="16"/>
        </w:rPr>
        <w:softHyphen/>
        <w:t>чив эту работу не позднее 1.П.30 г.</w:t>
      </w:r>
    </w:p>
    <w:p w14:paraId="2F7E91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Обязать ЦАГИ произвести тарировку </w:t>
      </w:r>
      <w:proofErr w:type="spellStart"/>
      <w:r w:rsidRPr="00A259BD">
        <w:rPr>
          <w:rFonts w:ascii="Times New Roman" w:hAnsi="Times New Roman"/>
          <w:color w:val="000000" w:themeColor="text1"/>
          <w:sz w:val="16"/>
          <w:szCs w:val="16"/>
        </w:rPr>
        <w:t>бензиномеров</w:t>
      </w:r>
      <w:proofErr w:type="spellEnd"/>
      <w:r w:rsidRPr="00A259BD">
        <w:rPr>
          <w:rFonts w:ascii="Times New Roman" w:hAnsi="Times New Roman"/>
          <w:color w:val="000000" w:themeColor="text1"/>
          <w:sz w:val="16"/>
          <w:szCs w:val="16"/>
        </w:rPr>
        <w:t xml:space="preserve"> в 2-х недельный срок по представлении их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и не позднее 1.Х.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w:t>
      </w:r>
    </w:p>
    <w:p w14:paraId="25AC4A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5.Обязать ЦАГИ под наблюдением НТК проработать новую конструкцию воздушных винтов к сам. АНТ-9 с тем, чтобы такая </w:t>
      </w:r>
      <w:proofErr w:type="spellStart"/>
      <w:r w:rsidRPr="00A259BD">
        <w:rPr>
          <w:rFonts w:ascii="Times New Roman" w:hAnsi="Times New Roman"/>
          <w:color w:val="000000" w:themeColor="text1"/>
          <w:sz w:val="16"/>
          <w:szCs w:val="16"/>
        </w:rPr>
        <w:t>конструкциия</w:t>
      </w:r>
      <w:proofErr w:type="spellEnd"/>
      <w:r w:rsidRPr="00A259BD">
        <w:rPr>
          <w:rFonts w:ascii="Times New Roman" w:hAnsi="Times New Roman"/>
          <w:color w:val="000000" w:themeColor="text1"/>
          <w:sz w:val="16"/>
          <w:szCs w:val="16"/>
        </w:rPr>
        <w:t xml:space="preserve"> была утверждена не позднее 1.Ш.30 г., т.к.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принято обязательство выпустить самолеты с новыми винтами /при условии сообщения ему конструкции винта не позднее, чем через 3 месяца до сроков отправка самолетов.</w:t>
      </w:r>
    </w:p>
    <w:p w14:paraId="5DB1FE7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вышеизложенном сообщаю, для дачи соответствую Ваших распоряжений (2341,117).</w:t>
      </w:r>
    </w:p>
    <w:p w14:paraId="107BF4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3F0196" w14:textId="77777777" w:rsidR="00B56190" w:rsidRPr="00A259BD" w:rsidRDefault="00B56190" w:rsidP="009236E3">
      <w:pPr>
        <w:spacing w:after="0" w:line="240" w:lineRule="auto"/>
        <w:jc w:val="both"/>
        <w:rPr>
          <w:rFonts w:ascii="Times New Roman" w:hAnsi="Times New Roman"/>
          <w:color w:val="000000" w:themeColor="text1"/>
          <w:sz w:val="16"/>
          <w:szCs w:val="16"/>
          <w:lang w:eastAsia="ru-RU" w:bidi="ru-RU"/>
        </w:rPr>
      </w:pPr>
      <w:r w:rsidRPr="00A259BD">
        <w:rPr>
          <w:rFonts w:ascii="Times New Roman" w:hAnsi="Times New Roman"/>
          <w:color w:val="000000" w:themeColor="text1"/>
          <w:sz w:val="16"/>
          <w:szCs w:val="16"/>
          <w:lang w:eastAsia="ru-RU" w:bidi="ru-RU"/>
        </w:rPr>
        <w:t xml:space="preserve">11 сентября 1929 г. все тот же летчик </w:t>
      </w:r>
      <w:proofErr w:type="spellStart"/>
      <w:r w:rsidRPr="00A259BD">
        <w:rPr>
          <w:rFonts w:ascii="Times New Roman" w:hAnsi="Times New Roman"/>
          <w:color w:val="000000" w:themeColor="text1"/>
          <w:sz w:val="16"/>
          <w:szCs w:val="16"/>
          <w:lang w:eastAsia="ru-RU" w:bidi="ru-RU"/>
        </w:rPr>
        <w:t>Рыбальчук</w:t>
      </w:r>
      <w:proofErr w:type="spellEnd"/>
      <w:r w:rsidRPr="00A259BD">
        <w:rPr>
          <w:rFonts w:ascii="Times New Roman" w:hAnsi="Times New Roman"/>
          <w:color w:val="000000" w:themeColor="text1"/>
          <w:sz w:val="16"/>
          <w:szCs w:val="16"/>
          <w:lang w:eastAsia="ru-RU" w:bidi="ru-RU"/>
        </w:rPr>
        <w:t xml:space="preserve"> поднял РОМ-2 в воздух с акватории Таганрог</w:t>
      </w:r>
      <w:r w:rsidRPr="00A259BD">
        <w:rPr>
          <w:rFonts w:ascii="Times New Roman" w:hAnsi="Times New Roman"/>
          <w:color w:val="000000" w:themeColor="text1"/>
          <w:sz w:val="16"/>
          <w:szCs w:val="16"/>
          <w:lang w:eastAsia="ru-RU" w:bidi="ru-RU"/>
        </w:rPr>
        <w:softHyphen/>
        <w:t>ского залива (20325).</w:t>
      </w:r>
    </w:p>
    <w:p w14:paraId="412CA8A4" w14:textId="77777777" w:rsidR="00B56190" w:rsidRPr="00A259BD" w:rsidRDefault="00B56190" w:rsidP="009236E3">
      <w:pPr>
        <w:spacing w:after="0" w:line="240" w:lineRule="auto"/>
        <w:jc w:val="both"/>
        <w:rPr>
          <w:rFonts w:ascii="Times New Roman" w:hAnsi="Times New Roman"/>
          <w:color w:val="000000" w:themeColor="text1"/>
          <w:sz w:val="16"/>
          <w:szCs w:val="16"/>
        </w:rPr>
      </w:pPr>
    </w:p>
    <w:p w14:paraId="7E5BA65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D0A88F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83643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сентября 1929 г. приказом </w:t>
      </w:r>
      <w:proofErr w:type="spellStart"/>
      <w:r w:rsidRPr="00A259BD">
        <w:rPr>
          <w:rFonts w:ascii="Times New Roman" w:hAnsi="Times New Roman"/>
          <w:color w:val="000000" w:themeColor="text1"/>
          <w:sz w:val="16"/>
          <w:szCs w:val="16"/>
        </w:rPr>
        <w:t>Вохимтреста</w:t>
      </w:r>
      <w:proofErr w:type="spellEnd"/>
      <w:r w:rsidRPr="00A259BD">
        <w:rPr>
          <w:rFonts w:ascii="Times New Roman" w:hAnsi="Times New Roman"/>
          <w:color w:val="000000" w:themeColor="text1"/>
          <w:sz w:val="16"/>
          <w:szCs w:val="16"/>
        </w:rPr>
        <w:t xml:space="preserve"> № 148 был организован завод (Завод № 55 ВСНХ, НКОП, НКБ, МСХМ, ММ, МОП, п/я 28, Павлоградский химический завод (ПХЗ) </w:t>
      </w:r>
      <w:r w:rsidRPr="00A259BD">
        <w:rPr>
          <w:rFonts w:ascii="Times New Roman" w:hAnsi="Times New Roman"/>
          <w:color w:val="000000" w:themeColor="text1"/>
          <w:sz w:val="16"/>
          <w:szCs w:val="16"/>
          <w:lang w:val="en-US"/>
        </w:rPr>
        <w:t>MOM</w:t>
      </w:r>
      <w:r w:rsidRPr="00A259BD">
        <w:rPr>
          <w:rFonts w:ascii="Times New Roman" w:hAnsi="Times New Roman"/>
          <w:color w:val="000000" w:themeColor="text1"/>
          <w:sz w:val="16"/>
          <w:szCs w:val="16"/>
        </w:rPr>
        <w:t xml:space="preserve">, ГП «НПО «ПХЗ» /Украина 51402  г. Павлоград ул. Заводская, 44 тел. 26-60-08/) для производства взрывчатых веществ и снаряжения боеприпасов, начальником строительства назначен М.Ф. Маслов. В 1932-34 г. введена в строй 1-я очередь завода, ему присвоен № 55; выпущена первая продукция, начато снаряжение снарядов мелкого и среднего калибра, производство тротила. Приказом НКОП № 0025 от 4.02.1937 г. заводу предписано к 1.01.1938 г. создать мощности по снаряжению снарядов - 15 млн. шт. в год, авиабомб - 66300 шт. Приказом № 0044 от 8/9.03.1937 г. заводу поручено обеспечить освоение шнековой мастерской снаряжение 76-мм снарядов. Во исполнение постановления СНК № 334 от 26.02.1937 г. приказом № 060 от 23.03.1937 г. заводу предписано создать к 1.01.1938 г. производство </w:t>
      </w:r>
      <w:proofErr w:type="spellStart"/>
      <w:r w:rsidRPr="00A259BD">
        <w:rPr>
          <w:rFonts w:ascii="Times New Roman" w:hAnsi="Times New Roman"/>
          <w:color w:val="000000" w:themeColor="text1"/>
          <w:sz w:val="16"/>
          <w:szCs w:val="16"/>
        </w:rPr>
        <w:t>динафталита</w:t>
      </w:r>
      <w:proofErr w:type="spellEnd"/>
      <w:r w:rsidRPr="00A259BD">
        <w:rPr>
          <w:rFonts w:ascii="Times New Roman" w:hAnsi="Times New Roman"/>
          <w:color w:val="000000" w:themeColor="text1"/>
          <w:sz w:val="16"/>
          <w:szCs w:val="16"/>
        </w:rPr>
        <w:t xml:space="preserve"> мощностью 3000 т в год. Пр. № 147сс от 4.05.1938 г. требовалось закончить строительство к 1.07.1938 г. бомбовой линии. В 1938-40 г. пущены в эксплуатацию цеха № 1, 2, 3, 5, 6, 7. Перед войной - производство артиллерийских, в т.ч. бронебойных снарядов, мин, морских мин, авиабомб, глубинных бомб. Мощность производства: снаряжение артснарядов: мелкого калибра и 76-мм бронебойных- 10,5 млн. шт. в год; среднего калибра- 8,7 млн. шт.; мин 56-мм, 82-мм- 10,8 млн. шт.; бомб: АО- 3 млн. шт.; ФАБ и БРАБ- 792 тыс. шт. в год.</w:t>
      </w:r>
    </w:p>
    <w:p w14:paraId="14BA0E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НКОП № 91 от 13.03.1937 г. утвержден Устав ГС завода № 55 4ГУ. В 02.1939 г. завод № 55 4ГУ НКОП передан в ведение 4ГУ НКБ.</w:t>
      </w:r>
    </w:p>
    <w:p w14:paraId="40BAB4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пост. ГКО № 510 от 18.08.1941 г. завод № 55 1ГУ планировалось эвакуировать на заводы: № 312 (Новосибирск), № 114 ( г. Копейск), № 56 ( г. Нижний Тагил), № 15 ( г. Чапаевск). В итоге 10-29.08.1941 г. завод эвакуирован: основная часть (снаряжение артснарядов, 270 ед. оборудования, 250 чел.) на завод № 635; часть - (снаряжение ФАБ и мин, 51 ед. оборудования, 452 чел.) на завод № 56.</w:t>
      </w:r>
      <w:r w:rsidRPr="00A259BD">
        <w:rPr>
          <w:rFonts w:ascii="Times New Roman" w:hAnsi="Times New Roman"/>
          <w:color w:val="000000" w:themeColor="text1"/>
          <w:sz w:val="16"/>
          <w:szCs w:val="16"/>
          <w:vertAlign w:val="superscript"/>
        </w:rPr>
        <w:t>132</w:t>
      </w:r>
    </w:p>
    <w:p w14:paraId="55ABD5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1943 г. завод № 55 НКБ восстановлен в Павлограде, в 08.1943-09.1944 г. - в ведении 1ГУ. 6.11.1943 г. вышло постановление ГКО № 4505 о мобилизации на завод 1000 рабочих. 1.07.1944 г. вышло постановление ГКО № 6123 об организации снаряжения боеприпасов на заводе.</w:t>
      </w:r>
    </w:p>
    <w:p w14:paraId="3C2EC1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приказу МСХМ № 04 от 1946 г. завод передан в ведение ГУ по производству уборочных машин. В 1953 г.- в ведении ММ, с 08.1953 г.- в МОП. Далее завод переименован в ПХЗ. Имел наименование «п/я 28».</w:t>
      </w:r>
    </w:p>
    <w:p w14:paraId="68C500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соответствии с ПСМ № 316-137 от 4.04.1961 г. завод № 55 Днепровского СНХ привлечен к разработке высокоэнергетических смесевых твердых топлив (СТРТ) для малогабаритной ракеты с РДТТ; создано производство СТРТ и снаряжения корпусов РДТТ массой от 1 кг до 50 т. В 1966 г. освоен выпуск 19 видов новых боеприпасов. Пост, правительства № 544-166 в 1976 г. завод определен головным по выпуску зарядов для МБР </w:t>
      </w:r>
      <w:r w:rsidRPr="00A259BD">
        <w:rPr>
          <w:rFonts w:ascii="Times New Roman" w:hAnsi="Times New Roman"/>
          <w:color w:val="000000" w:themeColor="text1"/>
          <w:sz w:val="16"/>
          <w:szCs w:val="16"/>
          <w:lang w:val="en-US"/>
        </w:rPr>
        <w:t>SS</w:t>
      </w:r>
      <w:r w:rsidRPr="00A259BD">
        <w:rPr>
          <w:rFonts w:ascii="Times New Roman" w:hAnsi="Times New Roman"/>
          <w:color w:val="000000" w:themeColor="text1"/>
          <w:sz w:val="16"/>
          <w:szCs w:val="16"/>
        </w:rPr>
        <w:t>-24.</w:t>
      </w:r>
    </w:p>
    <w:p w14:paraId="68B37E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1954 г. освоен выпуск игрушек из целлулоида; в 1975 г.- производство пенорезины для мебели; в 1986 г.- производство масляных красок; в конце 1980-х- выпуск мебельного пенополиуретана, зубной пасты.</w:t>
      </w:r>
    </w:p>
    <w:p w14:paraId="48FCC4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1995 г. созданы мощности по утилизации боеприпасов. В 2002-03 г. совместно с КБЮ проведены работы по возможности продления сроков хранения снаряженных корпусов РДТТ, разработана технология утилизации твердого ракетного топлива методом </w:t>
      </w:r>
      <w:proofErr w:type="spellStart"/>
      <w:r w:rsidRPr="00A259BD">
        <w:rPr>
          <w:rFonts w:ascii="Times New Roman" w:hAnsi="Times New Roman"/>
          <w:color w:val="000000" w:themeColor="text1"/>
          <w:sz w:val="16"/>
          <w:szCs w:val="16"/>
        </w:rPr>
        <w:t>гидроразмыва</w:t>
      </w:r>
      <w:proofErr w:type="spellEnd"/>
      <w:r w:rsidRPr="00A259BD">
        <w:rPr>
          <w:rFonts w:ascii="Times New Roman" w:hAnsi="Times New Roman"/>
          <w:color w:val="000000" w:themeColor="text1"/>
          <w:sz w:val="16"/>
          <w:szCs w:val="16"/>
        </w:rPr>
        <w:t>. В 2003 г. на заводе введена в строй пилотная установка для вымывания твердого ракетного топлива.</w:t>
      </w:r>
    </w:p>
    <w:p w14:paraId="23FE59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приказу НКАУ № 141 от 07.2003 г. завод преобразован в НПО «ПХЗ». В 2006 г. - в ведении НКАУ.</w:t>
      </w:r>
    </w:p>
    <w:p w14:paraId="6FACE5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Работы (2005 г.): производство: ВВ, смесевые твердые ракетные топлива; боеприпасы; утилизация боеприпасов; научные исследования в области: высокоэнергетические материалы и изделия; технологии изготовления и утилизации ВВ; разработка: процессы и оборудование для производства и утилизации взрывопожароопасных материалов и изделий; процессы и нестандартное оборудование для производства полимеров и композитов. В 2006 г. велась подготовка к утилизации твердого ракетного топлива.</w:t>
      </w:r>
    </w:p>
    <w:p w14:paraId="56F6F6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(1938 г.)- 3786 чел. (рабочих), (1939 г.)- 4788 чел. (рабочих), (1940 г.)- 6320 чел. (рабочих), (08.1941 г.)- 8792 чел., (11.1943 г.)- 350 чел.</w:t>
      </w:r>
    </w:p>
    <w:p w14:paraId="5B5B81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(1929-1932 г.)- М.Ф. Маслов, (1932-1934 г.)- Н.Д. Жиляев, (1934-19.11.1937; 1941 г.)- С.А. Невструев, (19.11.1937-15.12.1938 г.)- А.Н. Фоменко, (15.12.1938 г.-)- А.К. </w:t>
      </w:r>
      <w:proofErr w:type="spellStart"/>
      <w:r w:rsidRPr="00A259BD">
        <w:rPr>
          <w:rFonts w:ascii="Times New Roman" w:hAnsi="Times New Roman"/>
          <w:color w:val="000000" w:themeColor="text1"/>
          <w:sz w:val="16"/>
          <w:szCs w:val="16"/>
        </w:rPr>
        <w:t>Баканичев</w:t>
      </w:r>
      <w:proofErr w:type="spellEnd"/>
      <w:r w:rsidRPr="00A259BD">
        <w:rPr>
          <w:rFonts w:ascii="Times New Roman" w:hAnsi="Times New Roman"/>
          <w:color w:val="000000" w:themeColor="text1"/>
          <w:sz w:val="16"/>
          <w:szCs w:val="16"/>
        </w:rPr>
        <w:t xml:space="preserve">, (1939-1940 г.)- Н.П. Соболев, (1941 г.)-Ф.С. Гордиенко, (1942-1943 г.)- И.П. Савосин, (1945 г.)- Ю.Б. Хохряков, (1946 г.)- М.И. </w:t>
      </w:r>
      <w:proofErr w:type="spellStart"/>
      <w:r w:rsidRPr="00A259BD">
        <w:rPr>
          <w:rFonts w:ascii="Times New Roman" w:hAnsi="Times New Roman"/>
          <w:color w:val="000000" w:themeColor="text1"/>
          <w:sz w:val="16"/>
          <w:szCs w:val="16"/>
        </w:rPr>
        <w:t>Печковский</w:t>
      </w:r>
      <w:proofErr w:type="spellEnd"/>
      <w:r w:rsidRPr="00A259BD">
        <w:rPr>
          <w:rFonts w:ascii="Times New Roman" w:hAnsi="Times New Roman"/>
          <w:color w:val="000000" w:themeColor="text1"/>
          <w:sz w:val="16"/>
          <w:szCs w:val="16"/>
        </w:rPr>
        <w:t xml:space="preserve">, (1946-1950 г.)- В.М. Лопухин, (1950-1954 г.)- Я.Ф. Савченко, (1954-1960 г.)- М.В. </w:t>
      </w:r>
      <w:proofErr w:type="spellStart"/>
      <w:r w:rsidRPr="00A259BD">
        <w:rPr>
          <w:rFonts w:ascii="Times New Roman" w:hAnsi="Times New Roman"/>
          <w:color w:val="000000" w:themeColor="text1"/>
          <w:sz w:val="16"/>
          <w:szCs w:val="16"/>
        </w:rPr>
        <w:t>Дерлюк</w:t>
      </w:r>
      <w:proofErr w:type="spellEnd"/>
      <w:r w:rsidRPr="00A259BD">
        <w:rPr>
          <w:rFonts w:ascii="Times New Roman" w:hAnsi="Times New Roman"/>
          <w:color w:val="000000" w:themeColor="text1"/>
          <w:sz w:val="16"/>
          <w:szCs w:val="16"/>
        </w:rPr>
        <w:t>, (1960-1966 г.)- Л.А. Фоменко, (1961 г.)- И.А. Сухих,</w:t>
      </w:r>
      <w:r w:rsidRPr="00A259BD">
        <w:rPr>
          <w:rFonts w:ascii="Times New Roman" w:hAnsi="Times New Roman"/>
          <w:color w:val="000000" w:themeColor="text1"/>
          <w:sz w:val="16"/>
          <w:szCs w:val="16"/>
          <w:vertAlign w:val="superscript"/>
        </w:rPr>
        <w:t>120</w:t>
      </w:r>
      <w:r w:rsidRPr="00A259BD">
        <w:rPr>
          <w:rFonts w:ascii="Times New Roman" w:hAnsi="Times New Roman"/>
          <w:color w:val="000000" w:themeColor="text1"/>
          <w:sz w:val="16"/>
          <w:szCs w:val="16"/>
        </w:rPr>
        <w:t xml:space="preserve"> (1966-1973 г.)- А.Н. </w:t>
      </w:r>
      <w:proofErr w:type="spellStart"/>
      <w:r w:rsidRPr="00A259BD">
        <w:rPr>
          <w:rFonts w:ascii="Times New Roman" w:hAnsi="Times New Roman"/>
          <w:color w:val="000000" w:themeColor="text1"/>
          <w:sz w:val="16"/>
          <w:szCs w:val="16"/>
        </w:rPr>
        <w:t>Шохпин</w:t>
      </w:r>
      <w:proofErr w:type="spellEnd"/>
      <w:r w:rsidRPr="00A259BD">
        <w:rPr>
          <w:rFonts w:ascii="Times New Roman" w:hAnsi="Times New Roman"/>
          <w:color w:val="000000" w:themeColor="text1"/>
          <w:sz w:val="16"/>
          <w:szCs w:val="16"/>
        </w:rPr>
        <w:t xml:space="preserve">, (1973-1985 г.)- В.А. Шиманский, (1985-1987 г.)- А.Ф. Ромашкин, (1987- 1991 г.)- А.К. Лобов, (1991-2000 г.)- </w:t>
      </w:r>
      <w:r w:rsidRPr="00A259BD">
        <w:rPr>
          <w:rFonts w:ascii="Times New Roman" w:hAnsi="Times New Roman"/>
          <w:color w:val="000000" w:themeColor="text1"/>
          <w:sz w:val="16"/>
          <w:szCs w:val="16"/>
          <w:lang w:val="en-US"/>
        </w:rPr>
        <w:t>B</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C</w:t>
      </w:r>
      <w:r w:rsidRPr="00A259BD">
        <w:rPr>
          <w:rFonts w:ascii="Times New Roman" w:hAnsi="Times New Roman"/>
          <w:color w:val="000000" w:themeColor="text1"/>
          <w:sz w:val="16"/>
          <w:szCs w:val="16"/>
        </w:rPr>
        <w:t xml:space="preserve">. Дудко, (2000-2004 г.-&gt; Л.Н. </w:t>
      </w:r>
      <w:proofErr w:type="spellStart"/>
      <w:r w:rsidRPr="00A259BD">
        <w:rPr>
          <w:rFonts w:ascii="Times New Roman" w:hAnsi="Times New Roman"/>
          <w:color w:val="000000" w:themeColor="text1"/>
          <w:sz w:val="16"/>
          <w:szCs w:val="16"/>
        </w:rPr>
        <w:t>Шиман</w:t>
      </w:r>
      <w:proofErr w:type="spellEnd"/>
      <w:r w:rsidRPr="00A259BD">
        <w:rPr>
          <w:rFonts w:ascii="Times New Roman" w:hAnsi="Times New Roman"/>
          <w:color w:val="000000" w:themeColor="text1"/>
          <w:sz w:val="16"/>
          <w:szCs w:val="16"/>
        </w:rPr>
        <w:t>.</w:t>
      </w:r>
    </w:p>
    <w:p w14:paraId="6076FA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 строительства (1929 г.-)- М.Ф. Маслов. Зам. директора (16.05-23.06.1937 г.)- А.Н. Щербаков, (3- 17.10.1937 г.)- И.П. Трофимов. Помощник директора по найму и увольнению (-20.04.1937 г.)- И.П. Литвинов (снят), (19.07.1937 г.-)- Ф.А. Воронов.</w:t>
      </w:r>
    </w:p>
    <w:p w14:paraId="4F8737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инженер (-16.05.1937 г.)- М.В. Абрамов, (16.05-23.06.1937 г.)- А.Н. Щербаков, (3-17.10.1937 г.)- И(Н).П. Трофимов, (9.05.1938 г.-)- С.Ф. Дроздов.</w:t>
      </w:r>
    </w:p>
    <w:p w14:paraId="11575B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lastRenderedPageBreak/>
        <w:t>Производство:</w:t>
      </w:r>
      <w:r w:rsidRPr="00A259BD">
        <w:rPr>
          <w:rFonts w:ascii="Times New Roman" w:hAnsi="Times New Roman"/>
          <w:color w:val="000000" w:themeColor="text1"/>
          <w:sz w:val="16"/>
          <w:szCs w:val="16"/>
        </w:rPr>
        <w:t xml:space="preserve"> артиллерийские снаряды мелкого и среднего калибра (-1941); авиабомбы: ФАБ-100, -250, -500 (-1941; 1944); АО, БРАБ (-1941); мины: калибра 82 мм, 120 мм (-1941; 1944); </w:t>
      </w:r>
      <w:r w:rsidRPr="00A259BD">
        <w:rPr>
          <w:rFonts w:ascii="Times New Roman" w:hAnsi="Times New Roman"/>
          <w:color w:val="000000" w:themeColor="text1"/>
          <w:sz w:val="16"/>
          <w:szCs w:val="16"/>
          <w:lang w:val="en-US"/>
        </w:rPr>
        <w:t>PC</w:t>
      </w:r>
      <w:r w:rsidRPr="00A259BD">
        <w:rPr>
          <w:rFonts w:ascii="Times New Roman" w:hAnsi="Times New Roman"/>
          <w:color w:val="000000" w:themeColor="text1"/>
          <w:sz w:val="16"/>
          <w:szCs w:val="16"/>
        </w:rPr>
        <w:t xml:space="preserve"> М-8, М-13 (1944); твердотопливные заряды: СТРТ 9x12 для БР «Темп» (1965-), КР «Метель», «Аметист», «Малахит» (1966-), 9x152 для ЗРК «Стрела-2М» (1971-), для МБР «Пионер» (1972-), для разделяющихся БЧ МБР </w:t>
      </w:r>
      <w:r w:rsidRPr="00A259BD">
        <w:rPr>
          <w:rFonts w:ascii="Times New Roman" w:hAnsi="Times New Roman"/>
          <w:color w:val="000000" w:themeColor="text1"/>
          <w:sz w:val="16"/>
          <w:szCs w:val="16"/>
          <w:lang w:val="en-US"/>
        </w:rPr>
        <w:t>SS</w:t>
      </w:r>
      <w:r w:rsidRPr="00A259BD">
        <w:rPr>
          <w:rFonts w:ascii="Times New Roman" w:hAnsi="Times New Roman"/>
          <w:color w:val="000000" w:themeColor="text1"/>
          <w:sz w:val="16"/>
          <w:szCs w:val="16"/>
        </w:rPr>
        <w:t xml:space="preserve">-17 (1974-); БЧ: авиабомбы ФАБ-500М62 (1966-), ракет КЕР-11, «Кондор» (1967-); мины: морская «Кальмар» (1967-), противотанковая ТМ-57 (1967-); ВВ: </w:t>
      </w:r>
      <w:proofErr w:type="spellStart"/>
      <w:r w:rsidRPr="00A259BD">
        <w:rPr>
          <w:rFonts w:ascii="Times New Roman" w:hAnsi="Times New Roman"/>
          <w:color w:val="000000" w:themeColor="text1"/>
          <w:sz w:val="16"/>
          <w:szCs w:val="16"/>
        </w:rPr>
        <w:t>зерногранулит</w:t>
      </w:r>
      <w:proofErr w:type="spellEnd"/>
      <w:r w:rsidRPr="00A259BD">
        <w:rPr>
          <w:rFonts w:ascii="Times New Roman" w:hAnsi="Times New Roman"/>
          <w:color w:val="000000" w:themeColor="text1"/>
          <w:sz w:val="16"/>
          <w:szCs w:val="16"/>
        </w:rPr>
        <w:t xml:space="preserve"> 30/70А (1967-); (2006): ВВ: гранулированное: </w:t>
      </w:r>
      <w:proofErr w:type="spellStart"/>
      <w:r w:rsidRPr="00A259BD">
        <w:rPr>
          <w:rFonts w:ascii="Times New Roman" w:hAnsi="Times New Roman"/>
          <w:color w:val="000000" w:themeColor="text1"/>
          <w:sz w:val="16"/>
          <w:szCs w:val="16"/>
        </w:rPr>
        <w:t>граммонит</w:t>
      </w:r>
      <w:proofErr w:type="spellEnd"/>
      <w:r w:rsidRPr="00A259BD">
        <w:rPr>
          <w:rFonts w:ascii="Times New Roman" w:hAnsi="Times New Roman"/>
          <w:color w:val="000000" w:themeColor="text1"/>
          <w:sz w:val="16"/>
          <w:szCs w:val="16"/>
        </w:rPr>
        <w:t xml:space="preserve"> 79/21, 50/50, А, </w:t>
      </w:r>
      <w:proofErr w:type="spellStart"/>
      <w:r w:rsidRPr="00A259BD">
        <w:rPr>
          <w:rFonts w:ascii="Times New Roman" w:hAnsi="Times New Roman"/>
          <w:color w:val="000000" w:themeColor="text1"/>
          <w:sz w:val="16"/>
          <w:szCs w:val="16"/>
        </w:rPr>
        <w:t>гранулит</w:t>
      </w:r>
      <w:proofErr w:type="spellEnd"/>
      <w:r w:rsidRPr="00A259BD">
        <w:rPr>
          <w:rFonts w:ascii="Times New Roman" w:hAnsi="Times New Roman"/>
          <w:color w:val="000000" w:themeColor="text1"/>
          <w:sz w:val="16"/>
          <w:szCs w:val="16"/>
        </w:rPr>
        <w:t xml:space="preserve">-М, -АС-4, -АС-8; порошкообразное: аммонит 6ЖВ; патронированное: аммонит 6ЖВ, А, АВ, Гелекс-230, -420, -650, Р80, Р100; эмульсионное: наливные и патронированные «ЭРА», «ЭРА-1, -2, -П»; шашки-детонаторы Т-800, ТГ-400, -500, -800; блоки шашек-детонаторов ТЕ-500, АТЕ-120, АТЕ-1660, АГФА-140, АГФА-1670; заряды: кумулятивные накладные: </w:t>
      </w:r>
      <w:proofErr w:type="spellStart"/>
      <w:r w:rsidRPr="00A259BD">
        <w:rPr>
          <w:rFonts w:ascii="Times New Roman" w:hAnsi="Times New Roman"/>
          <w:color w:val="000000" w:themeColor="text1"/>
          <w:sz w:val="16"/>
          <w:szCs w:val="16"/>
        </w:rPr>
        <w:t>водногелевые</w:t>
      </w:r>
      <w:proofErr w:type="spellEnd"/>
      <w:r w:rsidRPr="00A259BD">
        <w:rPr>
          <w:rFonts w:ascii="Times New Roman" w:hAnsi="Times New Roman"/>
          <w:color w:val="000000" w:themeColor="text1"/>
          <w:sz w:val="16"/>
          <w:szCs w:val="16"/>
        </w:rPr>
        <w:t xml:space="preserve"> ЗКНВГ-1000, -2000, -4000; из аммонита ЗКН А6ЖВ; сейсмические </w:t>
      </w:r>
      <w:proofErr w:type="spellStart"/>
      <w:r w:rsidRPr="00A259BD">
        <w:rPr>
          <w:rFonts w:ascii="Times New Roman" w:hAnsi="Times New Roman"/>
          <w:color w:val="000000" w:themeColor="text1"/>
          <w:sz w:val="16"/>
          <w:szCs w:val="16"/>
        </w:rPr>
        <w:t>водногелевые</w:t>
      </w:r>
      <w:proofErr w:type="spellEnd"/>
      <w:r w:rsidRPr="00A259BD">
        <w:rPr>
          <w:rFonts w:ascii="Times New Roman" w:hAnsi="Times New Roman"/>
          <w:color w:val="000000" w:themeColor="text1"/>
          <w:sz w:val="16"/>
          <w:szCs w:val="16"/>
        </w:rPr>
        <w:t xml:space="preserve"> ЗСВГ-35, -70, -120; неэлектрические системы инициирования (НСИ): «Прима-ЭРА-С, -Д, -СД, -Т, -</w:t>
      </w:r>
      <w:r w:rsidRPr="00A259BD">
        <w:rPr>
          <w:rFonts w:ascii="Times New Roman" w:hAnsi="Times New Roman"/>
          <w:color w:val="000000" w:themeColor="text1"/>
          <w:sz w:val="16"/>
          <w:szCs w:val="16"/>
          <w:lang w:val="en-US"/>
        </w:rPr>
        <w:t>TM</w:t>
      </w:r>
      <w:r w:rsidRPr="00A259BD">
        <w:rPr>
          <w:rFonts w:ascii="Times New Roman" w:hAnsi="Times New Roman"/>
          <w:color w:val="000000" w:themeColor="text1"/>
          <w:sz w:val="16"/>
          <w:szCs w:val="16"/>
        </w:rPr>
        <w:t>» (11982).</w:t>
      </w:r>
    </w:p>
    <w:p w14:paraId="5F6D0AD3" w14:textId="77777777" w:rsidR="002B4513" w:rsidRPr="00A259BD" w:rsidRDefault="002B4513"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7689044E" w14:textId="77777777" w:rsidR="00B56190" w:rsidRPr="00A259BD" w:rsidRDefault="00B56190"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1770945" w14:textId="77777777" w:rsidR="00B56190" w:rsidRPr="00A259BD" w:rsidRDefault="00B5619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D11C2BE" w14:textId="77777777" w:rsidR="00B56190" w:rsidRPr="00A259BD" w:rsidRDefault="00B5619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сентября 1929 Гватемала учреждает </w:t>
      </w:r>
      <w:proofErr w:type="spellStart"/>
      <w:r w:rsidRPr="00A259BD">
        <w:rPr>
          <w:rFonts w:ascii="Times New Roman" w:hAnsi="Times New Roman"/>
          <w:color w:val="000000" w:themeColor="text1"/>
          <w:sz w:val="16"/>
          <w:szCs w:val="16"/>
        </w:rPr>
        <w:t>Dirección</w:t>
      </w:r>
      <w:proofErr w:type="spellEnd"/>
      <w:r w:rsidRPr="00A259BD">
        <w:rPr>
          <w:rFonts w:ascii="Times New Roman" w:hAnsi="Times New Roman"/>
          <w:color w:val="000000" w:themeColor="text1"/>
          <w:sz w:val="16"/>
          <w:szCs w:val="16"/>
        </w:rPr>
        <w:t xml:space="preserve"> General </w:t>
      </w:r>
      <w:proofErr w:type="spellStart"/>
      <w:r w:rsidRPr="00A259BD">
        <w:rPr>
          <w:rFonts w:ascii="Times New Roman" w:hAnsi="Times New Roman"/>
          <w:color w:val="000000" w:themeColor="text1"/>
          <w:sz w:val="16"/>
          <w:szCs w:val="16"/>
        </w:rPr>
        <w:t>de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Aeronáutica</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Civil</w:t>
      </w:r>
      <w:proofErr w:type="spellEnd"/>
      <w:r w:rsidRPr="00A259BD">
        <w:rPr>
          <w:rFonts w:ascii="Times New Roman" w:hAnsi="Times New Roman"/>
          <w:color w:val="000000" w:themeColor="text1"/>
          <w:sz w:val="16"/>
          <w:szCs w:val="16"/>
        </w:rPr>
        <w:t xml:space="preserve"> («Главное управление гражданской аэронавтики») в качестве национального управления гражданской авиации (20806).</w:t>
      </w:r>
    </w:p>
    <w:p w14:paraId="1D68B14B" w14:textId="77777777" w:rsidR="00B56190" w:rsidRPr="00A259BD" w:rsidRDefault="00B56190" w:rsidP="009236E3">
      <w:pPr>
        <w:spacing w:after="0" w:line="240" w:lineRule="auto"/>
        <w:jc w:val="both"/>
        <w:rPr>
          <w:rFonts w:ascii="Times New Roman" w:hAnsi="Times New Roman"/>
          <w:color w:val="000000" w:themeColor="text1"/>
          <w:sz w:val="16"/>
          <w:szCs w:val="16"/>
        </w:rPr>
      </w:pPr>
    </w:p>
    <w:p w14:paraId="7545280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91E6E0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F703E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сентя</w:t>
      </w:r>
      <w:r w:rsidRPr="00A259BD">
        <w:rPr>
          <w:rFonts w:ascii="Times New Roman" w:hAnsi="Times New Roman"/>
          <w:color w:val="000000" w:themeColor="text1"/>
          <w:sz w:val="16"/>
          <w:szCs w:val="16"/>
        </w:rPr>
        <w:softHyphen/>
        <w:t>бря 1929 г. Н.Н.П. по поводу И-7 в письме в НТК он писал: “В своей работе за</w:t>
      </w:r>
      <w:r w:rsidRPr="00A259BD">
        <w:rPr>
          <w:rFonts w:ascii="Times New Roman" w:hAnsi="Times New Roman"/>
          <w:color w:val="000000" w:themeColor="text1"/>
          <w:sz w:val="16"/>
          <w:szCs w:val="16"/>
        </w:rPr>
        <w:softHyphen/>
        <w:t>вод в первую очередь стремился добиться наилучших летных данных этого самолета с тем, чтобы этот само</w:t>
      </w:r>
      <w:r w:rsidRPr="00A259BD">
        <w:rPr>
          <w:rFonts w:ascii="Times New Roman" w:hAnsi="Times New Roman"/>
          <w:color w:val="000000" w:themeColor="text1"/>
          <w:sz w:val="16"/>
          <w:szCs w:val="16"/>
        </w:rPr>
        <w:softHyphen/>
        <w:t>лет был бы действительно шагом вперед на пути завода. Это при данном моторе достижимо только за счет уменьшения веса самолета путем уменьшения нагрузки и уменьшения размерности самолета. Последнее требо</w:t>
      </w:r>
      <w:r w:rsidRPr="00A259BD">
        <w:rPr>
          <w:rFonts w:ascii="Times New Roman" w:hAnsi="Times New Roman"/>
          <w:color w:val="000000" w:themeColor="text1"/>
          <w:sz w:val="16"/>
          <w:szCs w:val="16"/>
        </w:rPr>
        <w:softHyphen/>
        <w:t>вание влечет за собою увеличение посадочной скорости. Попутно заводом № 25 улучшалась как схема самолета, так и конструкция его”. В этом же документе Николай Николаевич остано</w:t>
      </w:r>
      <w:r w:rsidRPr="00A259BD">
        <w:rPr>
          <w:rFonts w:ascii="Times New Roman" w:hAnsi="Times New Roman"/>
          <w:color w:val="000000" w:themeColor="text1"/>
          <w:sz w:val="16"/>
          <w:szCs w:val="16"/>
        </w:rPr>
        <w:softHyphen/>
        <w:t>вился на пунктах требований, с которыми он не согла</w:t>
      </w:r>
      <w:r w:rsidRPr="00A259BD">
        <w:rPr>
          <w:rFonts w:ascii="Times New Roman" w:hAnsi="Times New Roman"/>
          <w:color w:val="000000" w:themeColor="text1"/>
          <w:sz w:val="16"/>
          <w:szCs w:val="16"/>
        </w:rPr>
        <w:softHyphen/>
        <w:t>сился. У него вызывала недоумение установленная НТК для И7-М17 полезная нагрузка 225 кг, в то время как для проекта близкой по типу машины И7-Пк600 она состав</w:t>
      </w:r>
      <w:r w:rsidRPr="00A259BD">
        <w:rPr>
          <w:rFonts w:ascii="Times New Roman" w:hAnsi="Times New Roman"/>
          <w:color w:val="000000" w:themeColor="text1"/>
          <w:sz w:val="16"/>
          <w:szCs w:val="16"/>
        </w:rPr>
        <w:softHyphen/>
        <w:t>ляла 210 кг, для И6-Юп.6 - 200 кг, для ИЗ-М17 - 210 кг. Заданную в требованиях посадочную скорость (не более 90 км/ч) он расценивал как шаг назад, отмечая, что для построенного, испытанного и принятого на вооружение истребителя ИЗ-М17 она равнялась 100 км/ч (10667).</w:t>
      </w:r>
    </w:p>
    <w:p w14:paraId="300AC4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2931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сентября 1929 в докладе N 1390с завод 25 доводил до сведения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о тяжелом положении, которое сложилось на заводе в связи с отсутствием программы и задела на предстоящий операционный год (2365).</w:t>
      </w:r>
    </w:p>
    <w:p w14:paraId="4F4E0B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02802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сентября 1929 на заседании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завод 25 ставил перед Правлением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вопрос о тяжелом положении, которое сложилось на заводе в связи с отсутствием программы и задела на предстоящий операционный год. Работы по ТБ-2, Р-5 4-й экз., И-6 Юп-7 и Му-2 М-11 по заготовительным цехам были в основном закончены, а работы по И-7 М-17 задерживались из-за необходимости согласования ТТ с НТК. Работы по и-3 М-17 велись в КО и давали незначительную нагрузку (2365).</w:t>
      </w:r>
    </w:p>
    <w:p w14:paraId="19E499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A4BC555"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12 сентября 1929 г. на заседании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руководство завода №25 поставило перед Правлением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вопрос о тяжелом положении, которое сложилось на заводе в связи с отсутствием загрузки и задела на предстоящий операционный год. Развертывание серийного выпуска И-3 могло необходимую загрузку предприятию дать.</w:t>
      </w:r>
    </w:p>
    <w:p w14:paraId="77DE4683"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Но и это обращение действия не возымело, и ни один самолет И-3 этим предприятием построен не был, в период с мая по август 1930 г. оборудование и площади завода переданы заводу №39 и ЦКБ-39.</w:t>
      </w:r>
    </w:p>
    <w:p w14:paraId="2543FA5D"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Подключение завода №25 к серийному выпуску самолета И-3 могло бы решить вопрос с его загрузкой и обеспечить выполнение плана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но его директор Б.Ф. Гончаров и заведующий находящегося на его базе ОСС ЦКБ Н.Н. Поликарпов этому не способствовали, что было вменено им в вину среди прочего, и оба они были арестованы (24887).</w:t>
      </w:r>
    </w:p>
    <w:p w14:paraId="3BE8957B" w14:textId="77777777" w:rsidR="002F3A10" w:rsidRPr="00441F34" w:rsidRDefault="002F3A10" w:rsidP="002F3A10">
      <w:pPr>
        <w:spacing w:after="0" w:line="240" w:lineRule="auto"/>
        <w:jc w:val="both"/>
        <w:rPr>
          <w:rFonts w:ascii="Times New Roman" w:hAnsi="Times New Roman"/>
          <w:color w:val="0070C0"/>
          <w:sz w:val="16"/>
          <w:szCs w:val="16"/>
        </w:rPr>
      </w:pPr>
    </w:p>
    <w:p w14:paraId="71D23A2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сентября 1929 самолет АНТ-4 Страна Советов дублер старто</w:t>
      </w:r>
      <w:r w:rsidRPr="00A259BD">
        <w:rPr>
          <w:rFonts w:ascii="Times New Roman" w:hAnsi="Times New Roman"/>
          <w:color w:val="000000" w:themeColor="text1"/>
          <w:sz w:val="16"/>
          <w:szCs w:val="16"/>
        </w:rPr>
        <w:softHyphen/>
        <w:t>вал и в тот же день прибыл в Николаевск-на-Амуре. Здесь повторилась хабаровская история — самолет не хотел взлетать. Пришлось снять часть оборудования, а топлива оставить в обрез, ровно столько, сколько требовалось, чтобы пролететь 1200 км до Петропавловска-Камчатского (11286).</w:t>
      </w:r>
    </w:p>
    <w:p w14:paraId="290D21B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D272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сентября 1929 экипаж ТБ-1 смог продолжить путь. 9 сентября 1929 в ходе перелета на ТБ-1 в США первый раз попробовали взлететь с воды. Машина взад и вперед носилась по Амуру, но подниматься в небо не хотела. Лишь оставив на берегу часть снаряжения и частично слив горючее смогли взлететь.</w:t>
      </w:r>
    </w:p>
    <w:p w14:paraId="5F821A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посадки в Николаевске-на-</w:t>
      </w:r>
      <w:proofErr w:type="spellStart"/>
      <w:r w:rsidRPr="00A259BD">
        <w:rPr>
          <w:rFonts w:ascii="Times New Roman" w:hAnsi="Times New Roman"/>
          <w:color w:val="000000" w:themeColor="text1"/>
          <w:sz w:val="16"/>
          <w:szCs w:val="16"/>
        </w:rPr>
        <w:t>Аму</w:t>
      </w:r>
      <w:proofErr w:type="spellEnd"/>
      <w:r w:rsidRPr="00A259BD">
        <w:rPr>
          <w:rFonts w:ascii="Times New Roman" w:hAnsi="Times New Roman"/>
          <w:color w:val="000000" w:themeColor="text1"/>
          <w:sz w:val="16"/>
          <w:szCs w:val="16"/>
        </w:rPr>
        <w:t xml:space="preserve">- ре самолет направился на Камчатку, а оттуда - на о. </w:t>
      </w:r>
      <w:proofErr w:type="spellStart"/>
      <w:r w:rsidRPr="00A259BD">
        <w:rPr>
          <w:rFonts w:ascii="Times New Roman" w:hAnsi="Times New Roman"/>
          <w:color w:val="000000" w:themeColor="text1"/>
          <w:sz w:val="16"/>
          <w:szCs w:val="16"/>
        </w:rPr>
        <w:t>Атту</w:t>
      </w:r>
      <w:proofErr w:type="spellEnd"/>
      <w:r w:rsidRPr="00A259BD">
        <w:rPr>
          <w:rFonts w:ascii="Times New Roman" w:hAnsi="Times New Roman"/>
          <w:color w:val="000000" w:themeColor="text1"/>
          <w:sz w:val="16"/>
          <w:szCs w:val="16"/>
        </w:rPr>
        <w:t xml:space="preserve"> (Алеутские о-ва).</w:t>
      </w:r>
    </w:p>
    <w:p w14:paraId="1D498E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Взлету с </w:t>
      </w:r>
      <w:proofErr w:type="spellStart"/>
      <w:r w:rsidRPr="00A259BD">
        <w:rPr>
          <w:rFonts w:ascii="Times New Roman" w:hAnsi="Times New Roman"/>
          <w:color w:val="000000" w:themeColor="text1"/>
          <w:sz w:val="16"/>
          <w:szCs w:val="16"/>
        </w:rPr>
        <w:t>Атту</w:t>
      </w:r>
      <w:proofErr w:type="spellEnd"/>
      <w:r w:rsidRPr="00A259BD">
        <w:rPr>
          <w:rFonts w:ascii="Times New Roman" w:hAnsi="Times New Roman"/>
          <w:color w:val="000000" w:themeColor="text1"/>
          <w:sz w:val="16"/>
          <w:szCs w:val="16"/>
        </w:rPr>
        <w:t xml:space="preserve"> мешали рифы. Стоявший в бухте корабль "Красный вымпел", подстраховывавший перелет, принял на борт часть груза и двух членов экипажа. На облегченной машине остались Болотов и Стерлигов. Через семь часов они сели у о. Уналашка. Летчиков перевез на берег военный катер. Но вернуться на нем они не смогли: начался отлив, и катер оказался на песке. Выручили местные рыбаки со своими лодками.</w:t>
      </w:r>
    </w:p>
    <w:p w14:paraId="29FAC7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следующем этапе погода испортилась - к Ситхе подходили в тумане и дожде. Вдобавок из-за падения давления масла пришлось отключить левый мотор. Болотов приказал подать сигнал SOS, но радиостанция не работала - аккумулятор разрядился. За борт выбросили весь груз, якорь и слили часть бензина, но до места назначения все-таки добрались. От Ситхи экипаж опять летел в полном составе.</w:t>
      </w:r>
    </w:p>
    <w:p w14:paraId="14BC70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 до Сиэтла не дотянули. Левый двигатель еще раз отказал. Сели в первой попавшейся бухте и стали ждать, пока привезут мотор. Менять его пришлось на плаву, потратив на ремонт 10 дней.</w:t>
      </w:r>
    </w:p>
    <w:p w14:paraId="1C395E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Сиэтле "Страну Советов" встречали В.М. Петляков и моторист М </w:t>
      </w:r>
      <w:proofErr w:type="spellStart"/>
      <w:r w:rsidRPr="00A259BD">
        <w:rPr>
          <w:rFonts w:ascii="Times New Roman" w:hAnsi="Times New Roman"/>
          <w:color w:val="000000" w:themeColor="text1"/>
          <w:sz w:val="16"/>
          <w:szCs w:val="16"/>
        </w:rPr>
        <w:t>М</w:t>
      </w:r>
      <w:proofErr w:type="spellEnd"/>
      <w:r w:rsidRPr="00A259BD">
        <w:rPr>
          <w:rFonts w:ascii="Times New Roman" w:hAnsi="Times New Roman"/>
          <w:color w:val="000000" w:themeColor="text1"/>
          <w:sz w:val="16"/>
          <w:szCs w:val="16"/>
        </w:rPr>
        <w:t>. Егоров. Машину переставили на колеса. Вылетели благополучно, но до Сан-Франциско не добрались - вышел из строя мотор (причем опять левый). На аэродроме в Портленде определили, что сломалась масляная помпа. Американцы ее быстро починили. В Сан-Франциско задержались ненадолго, вскоре взяв курс на Чикаго. Там советских летчиков встречали с оркестром при большом скоплении народа. Дальше Петляков летел на самолете. Перелет завершили в Нью-Йорке.</w:t>
      </w:r>
    </w:p>
    <w:p w14:paraId="5FEE0C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Европу машина и ее экипаж возвращались на пароходе "Мавритания". Через месяц в Москве всех участников первого перелета советского самолета в США наградили орденами Боевого Красного знамени и почетными грамотами ВЦИК (12001).</w:t>
      </w:r>
    </w:p>
    <w:p w14:paraId="4A731D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3A723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63D9F3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4991F76" w14:textId="77777777" w:rsidR="00B56190" w:rsidRPr="00A259BD" w:rsidRDefault="00B5619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сентября 1929 лидер итальянских фашистов </w:t>
      </w:r>
      <w:proofErr w:type="spellStart"/>
      <w:r w:rsidRPr="00A259BD">
        <w:rPr>
          <w:rFonts w:ascii="Times New Roman" w:hAnsi="Times New Roman"/>
          <w:color w:val="000000" w:themeColor="text1"/>
          <w:sz w:val="16"/>
          <w:szCs w:val="16"/>
        </w:rPr>
        <w:t>Итало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Бальбо</w:t>
      </w:r>
      <w:proofErr w:type="spellEnd"/>
      <w:r w:rsidRPr="00A259BD">
        <w:rPr>
          <w:rFonts w:ascii="Times New Roman" w:hAnsi="Times New Roman"/>
          <w:color w:val="000000" w:themeColor="text1"/>
          <w:sz w:val="16"/>
          <w:szCs w:val="16"/>
        </w:rPr>
        <w:t xml:space="preserve"> становится министром военно-воздушных сил Италии (20806).</w:t>
      </w:r>
    </w:p>
    <w:p w14:paraId="5158B36E" w14:textId="77777777" w:rsidR="00B56190" w:rsidRPr="00A259BD" w:rsidRDefault="00B56190" w:rsidP="009236E3">
      <w:pPr>
        <w:spacing w:after="0" w:line="240" w:lineRule="auto"/>
        <w:jc w:val="both"/>
        <w:rPr>
          <w:rFonts w:ascii="Times New Roman" w:hAnsi="Times New Roman"/>
          <w:color w:val="000000" w:themeColor="text1"/>
          <w:sz w:val="16"/>
          <w:szCs w:val="16"/>
        </w:rPr>
      </w:pPr>
    </w:p>
    <w:p w14:paraId="52E85A54" w14:textId="77777777" w:rsidR="00B56190" w:rsidRPr="00A259BD" w:rsidRDefault="00B5619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сентября 1929 - Английский пилот </w:t>
      </w:r>
      <w:proofErr w:type="spellStart"/>
      <w:r w:rsidRPr="00A259BD">
        <w:rPr>
          <w:rFonts w:ascii="Times New Roman" w:hAnsi="Times New Roman"/>
          <w:color w:val="000000" w:themeColor="text1"/>
          <w:sz w:val="16"/>
          <w:szCs w:val="16"/>
        </w:rPr>
        <w:t>Орлебар</w:t>
      </w:r>
      <w:proofErr w:type="spellEnd"/>
      <w:r w:rsidRPr="00A259BD">
        <w:rPr>
          <w:rFonts w:ascii="Times New Roman" w:hAnsi="Times New Roman"/>
          <w:color w:val="000000" w:themeColor="text1"/>
          <w:sz w:val="16"/>
          <w:szCs w:val="16"/>
        </w:rPr>
        <w:t xml:space="preserve"> устанавливает абсолютный рекорд скорости на </w:t>
      </w:r>
      <w:proofErr w:type="spellStart"/>
      <w:r w:rsidRPr="00A259BD">
        <w:rPr>
          <w:rFonts w:ascii="Times New Roman" w:hAnsi="Times New Roman"/>
          <w:color w:val="000000" w:themeColor="text1"/>
          <w:sz w:val="16"/>
          <w:szCs w:val="16"/>
        </w:rPr>
        <w:t>Супермарине</w:t>
      </w:r>
      <w:proofErr w:type="spellEnd"/>
      <w:r w:rsidRPr="00A259BD">
        <w:rPr>
          <w:rFonts w:ascii="Times New Roman" w:hAnsi="Times New Roman"/>
          <w:color w:val="000000" w:themeColor="text1"/>
          <w:sz w:val="16"/>
          <w:szCs w:val="16"/>
        </w:rPr>
        <w:t xml:space="preserve"> S.6 - 575,5 км/ч (22367).</w:t>
      </w:r>
    </w:p>
    <w:p w14:paraId="36DE1A6A" w14:textId="77777777" w:rsidR="00B56190" w:rsidRPr="00A259BD" w:rsidRDefault="00B56190" w:rsidP="009236E3">
      <w:pPr>
        <w:spacing w:after="0" w:line="240" w:lineRule="auto"/>
        <w:jc w:val="both"/>
        <w:rPr>
          <w:rFonts w:ascii="Times New Roman" w:hAnsi="Times New Roman"/>
          <w:color w:val="000000" w:themeColor="text1"/>
          <w:sz w:val="16"/>
          <w:szCs w:val="16"/>
        </w:rPr>
      </w:pPr>
    </w:p>
    <w:p w14:paraId="05121A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сентября 1929 </w:t>
      </w:r>
      <w:proofErr w:type="spellStart"/>
      <w:r w:rsidRPr="00A259BD">
        <w:rPr>
          <w:rFonts w:ascii="Times New Roman" w:hAnsi="Times New Roman"/>
          <w:color w:val="000000" w:themeColor="text1"/>
          <w:sz w:val="16"/>
          <w:szCs w:val="16"/>
        </w:rPr>
        <w:t>Орлебар</w:t>
      </w:r>
      <w:proofErr w:type="spellEnd"/>
      <w:r w:rsidRPr="00A259BD">
        <w:rPr>
          <w:rFonts w:ascii="Times New Roman" w:hAnsi="Times New Roman"/>
          <w:color w:val="000000" w:themeColor="text1"/>
          <w:sz w:val="16"/>
          <w:szCs w:val="16"/>
        </w:rPr>
        <w:t xml:space="preserve"> во время </w:t>
      </w:r>
      <w:proofErr w:type="spellStart"/>
      <w:r w:rsidRPr="00A259BD">
        <w:rPr>
          <w:rFonts w:ascii="Times New Roman" w:hAnsi="Times New Roman"/>
          <w:color w:val="000000" w:themeColor="text1"/>
          <w:sz w:val="16"/>
          <w:szCs w:val="16"/>
        </w:rPr>
        <w:t>Шнейдеровских</w:t>
      </w:r>
      <w:proofErr w:type="spellEnd"/>
      <w:r w:rsidRPr="00A259BD">
        <w:rPr>
          <w:rFonts w:ascii="Times New Roman" w:hAnsi="Times New Roman"/>
          <w:color w:val="000000" w:themeColor="text1"/>
          <w:sz w:val="16"/>
          <w:szCs w:val="16"/>
        </w:rPr>
        <w:t xml:space="preserve"> гонок на </w:t>
      </w:r>
      <w:proofErr w:type="spellStart"/>
      <w:r w:rsidRPr="00A259BD">
        <w:rPr>
          <w:rFonts w:ascii="Times New Roman" w:hAnsi="Times New Roman"/>
          <w:color w:val="000000" w:themeColor="text1"/>
          <w:sz w:val="16"/>
          <w:szCs w:val="16"/>
        </w:rPr>
        <w:t>Супермарине</w:t>
      </w:r>
      <w:proofErr w:type="spellEnd"/>
      <w:r w:rsidRPr="00A259BD">
        <w:rPr>
          <w:rFonts w:ascii="Times New Roman" w:hAnsi="Times New Roman"/>
          <w:color w:val="000000" w:themeColor="text1"/>
          <w:sz w:val="16"/>
          <w:szCs w:val="16"/>
        </w:rPr>
        <w:t xml:space="preserve"> S.6 установил абсолютный мировой рекорд скорости 575.5 км/час (4207, 64).</w:t>
      </w:r>
    </w:p>
    <w:p w14:paraId="228A0E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07912F" w14:textId="77777777" w:rsidR="00B56190" w:rsidRPr="00A259BD" w:rsidRDefault="00B56190"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6599429" w14:textId="77777777" w:rsidR="00B56190" w:rsidRPr="00A259BD" w:rsidRDefault="00B5619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AC2C9E3" w14:textId="77777777" w:rsidR="00B56190" w:rsidRPr="00A259BD" w:rsidRDefault="00B5619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сентября 1929 г. (7-й разряд - 9 февраля 1930 г.)</w:t>
      </w:r>
      <w:r w:rsidRPr="00A259BD">
        <w:rPr>
          <w:rFonts w:ascii="Times New Roman" w:hAnsi="Times New Roman"/>
          <w:color w:val="000000" w:themeColor="text1"/>
          <w:sz w:val="16"/>
          <w:szCs w:val="16"/>
          <w:shd w:val="clear" w:color="auto" w:fill="FFFFFF"/>
        </w:rPr>
        <w:t xml:space="preserve"> Народным Комиссариатом Финансов Союза С.С.Р была утверждена 4-я Лотерея ОСОАВИАХИМА с проведением тиража</w:t>
      </w:r>
      <w:r w:rsidRPr="00A259BD">
        <w:rPr>
          <w:rFonts w:ascii="Times New Roman" w:hAnsi="Times New Roman"/>
          <w:color w:val="000000" w:themeColor="text1"/>
          <w:sz w:val="16"/>
          <w:szCs w:val="16"/>
        </w:rPr>
        <w:t xml:space="preserve"> с марта 1930 каждые 30-40 дней (по каждому разряду отдельно). </w:t>
      </w:r>
      <w:r w:rsidRPr="00A259BD">
        <w:rPr>
          <w:rFonts w:ascii="Times New Roman" w:hAnsi="Times New Roman"/>
          <w:color w:val="000000" w:themeColor="text1"/>
          <w:sz w:val="16"/>
          <w:szCs w:val="16"/>
          <w:shd w:val="clear" w:color="auto" w:fill="FFFFFF"/>
        </w:rPr>
        <w:t xml:space="preserve">Выигрыши: </w:t>
      </w:r>
      <w:r w:rsidRPr="00A259BD">
        <w:rPr>
          <w:rFonts w:ascii="Times New Roman" w:hAnsi="Times New Roman"/>
          <w:color w:val="000000" w:themeColor="text1"/>
          <w:sz w:val="16"/>
          <w:szCs w:val="16"/>
        </w:rPr>
        <w:t xml:space="preserve">Главный приз – кругосветное путешествие на 2 месяца (5 000 руб. – 10 000 номиналов, в некоторых разрядах главный приз был меньше). </w:t>
      </w:r>
      <w:r w:rsidRPr="00A259BD">
        <w:rPr>
          <w:rFonts w:ascii="Times New Roman" w:hAnsi="Times New Roman"/>
          <w:color w:val="000000" w:themeColor="text1"/>
          <w:sz w:val="16"/>
          <w:szCs w:val="16"/>
          <w:shd w:val="clear" w:color="auto" w:fill="FFFFFF"/>
        </w:rPr>
        <w:t xml:space="preserve">В лотерее разыгрывалось 22'500 </w:t>
      </w:r>
      <w:proofErr w:type="spellStart"/>
      <w:r w:rsidRPr="00A259BD">
        <w:rPr>
          <w:rFonts w:ascii="Times New Roman" w:hAnsi="Times New Roman"/>
          <w:color w:val="000000" w:themeColor="text1"/>
          <w:sz w:val="16"/>
          <w:szCs w:val="16"/>
          <w:shd w:val="clear" w:color="auto" w:fill="FFFFFF"/>
        </w:rPr>
        <w:t>выйгрышей</w:t>
      </w:r>
      <w:proofErr w:type="spellEnd"/>
      <w:r w:rsidRPr="00A259BD">
        <w:rPr>
          <w:rFonts w:ascii="Times New Roman" w:hAnsi="Times New Roman"/>
          <w:color w:val="000000" w:themeColor="text1"/>
          <w:sz w:val="16"/>
          <w:szCs w:val="16"/>
          <w:shd w:val="clear" w:color="auto" w:fill="FFFFFF"/>
        </w:rPr>
        <w:t xml:space="preserve"> на сумму 336'300 рублей. (21464).</w:t>
      </w:r>
    </w:p>
    <w:p w14:paraId="0DC7D662" w14:textId="77777777" w:rsidR="00B56190" w:rsidRPr="00A259BD" w:rsidRDefault="00B56190"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553290A"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025A3DA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AFBDB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сентября 1929 </w:t>
      </w:r>
      <w:proofErr w:type="spellStart"/>
      <w:r w:rsidRPr="00A259BD">
        <w:rPr>
          <w:rFonts w:ascii="Times New Roman" w:hAnsi="Times New Roman"/>
          <w:color w:val="000000" w:themeColor="text1"/>
          <w:sz w:val="16"/>
          <w:szCs w:val="16"/>
        </w:rPr>
        <w:t>А.Луначарский</w:t>
      </w:r>
      <w:proofErr w:type="spellEnd"/>
      <w:r w:rsidRPr="00A259BD">
        <w:rPr>
          <w:rFonts w:ascii="Times New Roman" w:hAnsi="Times New Roman"/>
          <w:color w:val="000000" w:themeColor="text1"/>
          <w:sz w:val="16"/>
          <w:szCs w:val="16"/>
        </w:rPr>
        <w:t xml:space="preserve"> был снят с поста наркома просвещения (3908,329).</w:t>
      </w:r>
    </w:p>
    <w:p w14:paraId="0B0F62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32A0BC" w14:textId="77777777" w:rsidR="003D3BC7" w:rsidRPr="00A259BD" w:rsidRDefault="003D3BC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сентября 1929 </w:t>
      </w:r>
      <w:proofErr w:type="spellStart"/>
      <w:r w:rsidRPr="00A259BD">
        <w:rPr>
          <w:rFonts w:ascii="Times New Roman" w:hAnsi="Times New Roman"/>
          <w:color w:val="000000" w:themeColor="text1"/>
          <w:sz w:val="16"/>
          <w:szCs w:val="16"/>
        </w:rPr>
        <w:t>А.Луначарский</w:t>
      </w:r>
      <w:proofErr w:type="spellEnd"/>
      <w:r w:rsidRPr="00A259BD">
        <w:rPr>
          <w:rFonts w:ascii="Times New Roman" w:hAnsi="Times New Roman"/>
          <w:color w:val="000000" w:themeColor="text1"/>
          <w:sz w:val="16"/>
          <w:szCs w:val="16"/>
        </w:rPr>
        <w:t xml:space="preserve"> снят с поста наркома просвещения и назначен пред. Ученого комитета при СНК СССР. В 1929-1930 годы значительная часть технических учебных заведений переходит в ведение ВСНХ (12629).</w:t>
      </w:r>
    </w:p>
    <w:p w14:paraId="794D35B8" w14:textId="77777777" w:rsidR="003D3BC7" w:rsidRPr="00A259BD"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7F4D654" w14:textId="77777777" w:rsidR="00BA7241" w:rsidRPr="00A259BD" w:rsidRDefault="00BA7241"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46CF1F85" w14:textId="77777777" w:rsidR="00BA7241" w:rsidRPr="00A259BD" w:rsidRDefault="00BA724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3064A94" w14:textId="77777777" w:rsidR="00BA7241" w:rsidRPr="00A259BD" w:rsidRDefault="00BA72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сентября 1929 года — первый полёт пассажирского самолёта Fokker F-32. /США, Голландия/</w:t>
      </w:r>
    </w:p>
    <w:p w14:paraId="53680C98" w14:textId="77777777" w:rsidR="00BA7241" w:rsidRPr="00A259BD" w:rsidRDefault="00BA72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Компания Fokker Aircraft Corporation </w:t>
      </w:r>
      <w:proofErr w:type="spellStart"/>
      <w:r w:rsidRPr="00A259BD">
        <w:rPr>
          <w:rFonts w:ascii="Times New Roman" w:hAnsi="Times New Roman"/>
          <w:color w:val="000000" w:themeColor="text1"/>
          <w:sz w:val="16"/>
          <w:szCs w:val="16"/>
        </w:rPr>
        <w:t>of</w:t>
      </w:r>
      <w:proofErr w:type="spellEnd"/>
      <w:r w:rsidRPr="00A259BD">
        <w:rPr>
          <w:rFonts w:ascii="Times New Roman" w:hAnsi="Times New Roman"/>
          <w:color w:val="000000" w:themeColor="text1"/>
          <w:sz w:val="16"/>
          <w:szCs w:val="16"/>
        </w:rPr>
        <w:t xml:space="preserve"> America (она же Atlantic-Fokker) отвечала за продажи и импорт самолётов голландской Fokker в США. Но пассажирские авиаперевозки развивались и требовались авиалайнеры большей вместимости. В начале 1929 года Atlantic-Fokker на своём заводе в </w:t>
      </w:r>
      <w:proofErr w:type="spellStart"/>
      <w:r w:rsidRPr="00A259BD">
        <w:rPr>
          <w:rFonts w:ascii="Times New Roman" w:hAnsi="Times New Roman"/>
          <w:color w:val="000000" w:themeColor="text1"/>
          <w:sz w:val="16"/>
          <w:szCs w:val="16"/>
        </w:rPr>
        <w:t>Титерборо</w:t>
      </w:r>
      <w:proofErr w:type="spellEnd"/>
      <w:r w:rsidRPr="00A259BD">
        <w:rPr>
          <w:rFonts w:ascii="Times New Roman" w:hAnsi="Times New Roman"/>
          <w:color w:val="000000" w:themeColor="text1"/>
          <w:sz w:val="16"/>
          <w:szCs w:val="16"/>
        </w:rPr>
        <w:t xml:space="preserve"> начала работы над самолётом Fokker F-32.</w:t>
      </w:r>
    </w:p>
    <w:p w14:paraId="59B814BC" w14:textId="77777777" w:rsidR="00BA7241" w:rsidRPr="00A259BD" w:rsidRDefault="00BA72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F-32 представлял собой подкосный высокоплан с неубирающимся шасси. 4 × двигателя Pratt &amp; Whitney R-1860 </w:t>
      </w:r>
      <w:proofErr w:type="spellStart"/>
      <w:r w:rsidRPr="00A259BD">
        <w:rPr>
          <w:rFonts w:ascii="Times New Roman" w:hAnsi="Times New Roman"/>
          <w:color w:val="000000" w:themeColor="text1"/>
          <w:sz w:val="16"/>
          <w:szCs w:val="16"/>
        </w:rPr>
        <w:t>Hornet</w:t>
      </w:r>
      <w:proofErr w:type="spellEnd"/>
      <w:r w:rsidRPr="00A259BD">
        <w:rPr>
          <w:rFonts w:ascii="Times New Roman" w:hAnsi="Times New Roman"/>
          <w:color w:val="000000" w:themeColor="text1"/>
          <w:sz w:val="16"/>
          <w:szCs w:val="16"/>
        </w:rPr>
        <w:t xml:space="preserve"> B были установлены попарно тандемом в двух </w:t>
      </w:r>
      <w:proofErr w:type="spellStart"/>
      <w:r w:rsidRPr="00A259BD">
        <w:rPr>
          <w:rFonts w:ascii="Times New Roman" w:hAnsi="Times New Roman"/>
          <w:color w:val="000000" w:themeColor="text1"/>
          <w:sz w:val="16"/>
          <w:szCs w:val="16"/>
        </w:rPr>
        <w:t>мотогондолах</w:t>
      </w:r>
      <w:proofErr w:type="spellEnd"/>
      <w:r w:rsidRPr="00A259BD">
        <w:rPr>
          <w:rFonts w:ascii="Times New Roman" w:hAnsi="Times New Roman"/>
          <w:color w:val="000000" w:themeColor="text1"/>
          <w:sz w:val="16"/>
          <w:szCs w:val="16"/>
        </w:rPr>
        <w:t xml:space="preserve"> под крылом. Самолёт мог брать на борт 32 пассажира (или 16 в конфигурации салона для ночных полётов). Максимальная скорость — 230 км/ч, дальность полёта — 800 км.</w:t>
      </w:r>
    </w:p>
    <w:p w14:paraId="06005142" w14:textId="77777777" w:rsidR="00BA7241" w:rsidRPr="00A259BD" w:rsidRDefault="00BA72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выпустили 10 самолётов Fokker F-32. Несколько из них эксплуатировались авиакомпаниями Universal Air Lines и Western Air Express. Но карьера их была короткой из-за проблем с мощностью двигателей и охлаждением толкающих моторов. Fokker F-32 стал одновременно первым четырёхмоторным самолётом, спроектированным в США, и последним самолётом Fokker, производившемся в США (22300).</w:t>
      </w:r>
    </w:p>
    <w:p w14:paraId="553A061A" w14:textId="77777777" w:rsidR="00BA7241" w:rsidRPr="00A259BD" w:rsidRDefault="00BA7241"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212C37D" w14:textId="77777777" w:rsidR="00F86BBA"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4E25EC3" w14:textId="77777777" w:rsidR="00F86BBA" w:rsidRPr="00A259BD" w:rsidRDefault="00F86BB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5A3C33" w14:textId="77777777" w:rsidR="00F86BBA" w:rsidRPr="00A259BD" w:rsidRDefault="00F86B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сентября 1929 г. для определения программы тракторостроения по постановлению ВСНХ СССР была организована комиссия, в состав которой вошли представители Совета колхозов, Союза рабочих металлистов, </w:t>
      </w:r>
      <w:proofErr w:type="spellStart"/>
      <w:r w:rsidRPr="00A259BD">
        <w:rPr>
          <w:rFonts w:ascii="Times New Roman" w:hAnsi="Times New Roman"/>
          <w:color w:val="000000" w:themeColor="text1"/>
          <w:sz w:val="16"/>
          <w:szCs w:val="16"/>
        </w:rPr>
        <w:t>Главмашстроя</w:t>
      </w:r>
      <w:proofErr w:type="spellEnd"/>
      <w:r w:rsidRPr="00A259BD">
        <w:rPr>
          <w:rFonts w:ascii="Times New Roman" w:hAnsi="Times New Roman"/>
          <w:color w:val="000000" w:themeColor="text1"/>
          <w:sz w:val="16"/>
          <w:szCs w:val="16"/>
        </w:rPr>
        <w:t>, Гипромеза, военного ведомства, заводов и других учреждений и организаций.</w:t>
      </w:r>
    </w:p>
    <w:p w14:paraId="0FC456CF" w14:textId="77777777" w:rsidR="00F86BBA" w:rsidRPr="00A259BD" w:rsidRDefault="00F86B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Заслушав доклады, 18 сентября комиссия по вопросу о типе тракторов, намеченных к производству, их мощности, плане выпуска по годам и распределении по заводам постановила:</w:t>
      </w:r>
    </w:p>
    <w:p w14:paraId="7A42F459" w14:textId="77777777" w:rsidR="00F86BBA" w:rsidRPr="00A259BD" w:rsidRDefault="00F86B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На Путиловском заводе может производиться до 20 тыс. тракторов мощностью 10-20 </w:t>
      </w:r>
      <w:proofErr w:type="spellStart"/>
      <w:r w:rsidRPr="00A259BD">
        <w:rPr>
          <w:rFonts w:ascii="Times New Roman" w:hAnsi="Times New Roman"/>
          <w:color w:val="000000" w:themeColor="text1"/>
          <w:sz w:val="16"/>
          <w:szCs w:val="16"/>
        </w:rPr>
        <w:t>л.е</w:t>
      </w:r>
      <w:proofErr w:type="spellEnd"/>
      <w:r w:rsidRPr="00A259BD">
        <w:rPr>
          <w:rFonts w:ascii="Times New Roman" w:hAnsi="Times New Roman"/>
          <w:color w:val="000000" w:themeColor="text1"/>
          <w:sz w:val="16"/>
          <w:szCs w:val="16"/>
        </w:rPr>
        <w:t>., допуская переход со временем на более мощный тип трактора.</w:t>
      </w:r>
    </w:p>
    <w:p w14:paraId="75A50087" w14:textId="77777777" w:rsidR="00F86BBA" w:rsidRPr="00A259BD" w:rsidRDefault="00F86B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На Сталинградском заводе - 50 тыс. тракторов мощностью 15-30 л. с.</w:t>
      </w:r>
    </w:p>
    <w:p w14:paraId="5612212B" w14:textId="77777777" w:rsidR="00F86BBA" w:rsidRPr="00A259BD" w:rsidRDefault="00F86B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 Харьковском заводе - 20 тыс. тракторов с доведением до 30 тыс. тракторов мощностью 50-60 л. с.</w:t>
      </w:r>
    </w:p>
    <w:p w14:paraId="108F5EA4" w14:textId="77777777" w:rsidR="00F86BBA" w:rsidRPr="00A259BD" w:rsidRDefault="00F86B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Считать целесообразным организовать производство тракторов мощностью 100-120 л. с. на заводе, производящем 50-60 силовые трактора, создав для этого специальный цех.</w:t>
      </w:r>
    </w:p>
    <w:p w14:paraId="672E8242" w14:textId="77777777" w:rsidR="00F86BBA" w:rsidRPr="00A259BD" w:rsidRDefault="00F86B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Принимая во внимание имеющийся у Украины опыт в производстве мощных тракторов, наличность опытного технического персонала, подготовленного кадра рабочей силы, считать возможным сосредоточить производство 100-120 силовых тракторов в Харькове.</w:t>
      </w:r>
    </w:p>
    <w:p w14:paraId="7E47FF28" w14:textId="77777777" w:rsidR="00F86BBA" w:rsidRPr="00A259BD" w:rsidRDefault="00F86B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Предложить </w:t>
      </w:r>
      <w:proofErr w:type="spellStart"/>
      <w:r w:rsidRPr="00A259BD">
        <w:rPr>
          <w:rFonts w:ascii="Times New Roman" w:hAnsi="Times New Roman"/>
          <w:color w:val="000000" w:themeColor="text1"/>
          <w:sz w:val="16"/>
          <w:szCs w:val="16"/>
        </w:rPr>
        <w:t>Главмашстрою</w:t>
      </w:r>
      <w:proofErr w:type="spellEnd"/>
      <w:r w:rsidRPr="00A259BD">
        <w:rPr>
          <w:rFonts w:ascii="Times New Roman" w:hAnsi="Times New Roman"/>
          <w:color w:val="000000" w:themeColor="text1"/>
          <w:sz w:val="16"/>
          <w:szCs w:val="16"/>
        </w:rPr>
        <w:t xml:space="preserve"> при разработке производственного задания учесть возможность постройки нового тракторного завода для производства 50-60 силовых тракторов в иных, кроме Харькова, пунктах Украины.</w:t>
      </w:r>
    </w:p>
    <w:p w14:paraId="2B1491ED" w14:textId="77777777" w:rsidR="00F86BBA" w:rsidRPr="00A259BD" w:rsidRDefault="00F86B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w:t>
      </w:r>
      <w:r w:rsidRPr="00A259BD">
        <w:rPr>
          <w:rFonts w:ascii="Times New Roman" w:hAnsi="Times New Roman"/>
          <w:color w:val="000000" w:themeColor="text1"/>
          <w:sz w:val="16"/>
          <w:szCs w:val="16"/>
        </w:rPr>
        <w:tab/>
        <w:t>На Челябинском заводе - 40 тыс. тракторов мощностью 30-40 л. с.</w:t>
      </w:r>
    </w:p>
    <w:p w14:paraId="4F2EF642" w14:textId="77777777" w:rsidR="00F86BBA" w:rsidRPr="00A259BD" w:rsidRDefault="00F86B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w:t>
      </w:r>
      <w:r w:rsidRPr="00A259BD">
        <w:rPr>
          <w:rFonts w:ascii="Times New Roman" w:hAnsi="Times New Roman"/>
          <w:color w:val="000000" w:themeColor="text1"/>
          <w:sz w:val="16"/>
          <w:szCs w:val="16"/>
        </w:rPr>
        <w:tab/>
        <w:t>Вопрос о потребности, мощности и типа фрезерных машин считать подлежащим дальнейшей проработке.</w:t>
      </w:r>
    </w:p>
    <w:p w14:paraId="57AA0E8D" w14:textId="77777777" w:rsidR="00F86BBA" w:rsidRPr="00A259BD" w:rsidRDefault="00F86B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w:t>
      </w:r>
      <w:r w:rsidRPr="00A259BD">
        <w:rPr>
          <w:rFonts w:ascii="Times New Roman" w:hAnsi="Times New Roman"/>
          <w:color w:val="000000" w:themeColor="text1"/>
          <w:sz w:val="16"/>
          <w:szCs w:val="16"/>
        </w:rPr>
        <w:tab/>
        <w:t>Строительство тракторов для пропашных культур, мощностью 10-12 л.с. считать целесообразным организовать на каком-либо из существующих заводов среднего машиностроения с доведением производительности таковых к концу 1-го пятилетия до 15 тыс. штук.</w:t>
      </w:r>
    </w:p>
    <w:p w14:paraId="31FD297D" w14:textId="77777777" w:rsidR="00F86BBA" w:rsidRPr="00A259BD" w:rsidRDefault="00F86B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Поручить </w:t>
      </w:r>
      <w:proofErr w:type="spellStart"/>
      <w:r w:rsidRPr="00A259BD">
        <w:rPr>
          <w:rFonts w:ascii="Times New Roman" w:hAnsi="Times New Roman"/>
          <w:color w:val="000000" w:themeColor="text1"/>
          <w:sz w:val="16"/>
          <w:szCs w:val="16"/>
        </w:rPr>
        <w:t>Главмашстрою</w:t>
      </w:r>
      <w:proofErr w:type="spellEnd"/>
      <w:r w:rsidRPr="00A259BD">
        <w:rPr>
          <w:rFonts w:ascii="Times New Roman" w:hAnsi="Times New Roman"/>
          <w:color w:val="000000" w:themeColor="text1"/>
          <w:sz w:val="16"/>
          <w:szCs w:val="16"/>
        </w:rPr>
        <w:t xml:space="preserve"> выяснить возможность приспособления одного из существующих заводов, типа «Возрождение», «Большой Токмак», Воронежский и т.п., для производства тракторов для пропашных культур.</w:t>
      </w:r>
    </w:p>
    <w:p w14:paraId="582D7A53" w14:textId="77777777" w:rsidR="00F86BBA" w:rsidRPr="00A259BD" w:rsidRDefault="00F86B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w:t>
      </w:r>
      <w:r w:rsidRPr="00A259BD">
        <w:rPr>
          <w:rFonts w:ascii="Times New Roman" w:hAnsi="Times New Roman"/>
          <w:color w:val="000000" w:themeColor="text1"/>
          <w:sz w:val="16"/>
          <w:szCs w:val="16"/>
        </w:rPr>
        <w:tab/>
        <w:t xml:space="preserve">В виду отсутствия у </w:t>
      </w:r>
      <w:proofErr w:type="spellStart"/>
      <w:r w:rsidRPr="00A259BD">
        <w:rPr>
          <w:rFonts w:ascii="Times New Roman" w:hAnsi="Times New Roman"/>
          <w:color w:val="000000" w:themeColor="text1"/>
          <w:sz w:val="16"/>
          <w:szCs w:val="16"/>
        </w:rPr>
        <w:t>Главмашстроя</w:t>
      </w:r>
      <w:proofErr w:type="spellEnd"/>
      <w:r w:rsidRPr="00A259BD">
        <w:rPr>
          <w:rFonts w:ascii="Times New Roman" w:hAnsi="Times New Roman"/>
          <w:color w:val="000000" w:themeColor="text1"/>
          <w:sz w:val="16"/>
          <w:szCs w:val="16"/>
        </w:rPr>
        <w:t xml:space="preserve"> данных для определения в данное время себестоимости трактора, считать возможным руководствоваться для ориентировки существующими ценами в Америке Нью-Йорк по переводному курсу на наши рубли.</w:t>
      </w:r>
    </w:p>
    <w:p w14:paraId="63BA9ACA" w14:textId="77777777" w:rsidR="00F86BBA" w:rsidRPr="00A259BD" w:rsidRDefault="00F86B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Констатировать, что в отношении выбора марки для трактора мощностью 50-60 л.с. существуют разногласия, так как трактор типа «Катерпиллар» потребует переделок в смысле увеличения скорости, переделки двигателя с бензина на керосин. Производство же у нас трактора «Коммунар» пока не вышло из стадии опытного, применять этот тип для массового производства было бы рискованно.</w:t>
      </w:r>
    </w:p>
    <w:p w14:paraId="08D13305" w14:textId="77777777" w:rsidR="00F86BBA" w:rsidRPr="00A259BD" w:rsidRDefault="00F86B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Согласиться с </w:t>
      </w:r>
      <w:proofErr w:type="spellStart"/>
      <w:r w:rsidRPr="00A259BD">
        <w:rPr>
          <w:rFonts w:ascii="Times New Roman" w:hAnsi="Times New Roman"/>
          <w:color w:val="000000" w:themeColor="text1"/>
          <w:sz w:val="16"/>
          <w:szCs w:val="16"/>
        </w:rPr>
        <w:t>Главмашстроем</w:t>
      </w:r>
      <w:proofErr w:type="spellEnd"/>
      <w:r w:rsidRPr="00A259BD">
        <w:rPr>
          <w:rFonts w:ascii="Times New Roman" w:hAnsi="Times New Roman"/>
          <w:color w:val="000000" w:themeColor="text1"/>
          <w:sz w:val="16"/>
          <w:szCs w:val="16"/>
        </w:rPr>
        <w:t>, что запасные части для тракторов должны производиться на тех же заводах где и тракторы.</w:t>
      </w:r>
    </w:p>
    <w:p w14:paraId="5C9EEF0D" w14:textId="77777777" w:rsidR="00F86BBA" w:rsidRPr="00A259BD" w:rsidRDefault="00F86B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обеспечения запасными частями в течение 2-3 лет, производимых в данное время у нас тракторов, предложить </w:t>
      </w:r>
      <w:proofErr w:type="spellStart"/>
      <w:r w:rsidRPr="00A259BD">
        <w:rPr>
          <w:rFonts w:ascii="Times New Roman" w:hAnsi="Times New Roman"/>
          <w:color w:val="000000" w:themeColor="text1"/>
          <w:sz w:val="16"/>
          <w:szCs w:val="16"/>
        </w:rPr>
        <w:t>Главмашстрою</w:t>
      </w:r>
      <w:proofErr w:type="spellEnd"/>
      <w:r w:rsidRPr="00A259BD">
        <w:rPr>
          <w:rFonts w:ascii="Times New Roman" w:hAnsi="Times New Roman"/>
          <w:color w:val="000000" w:themeColor="text1"/>
          <w:sz w:val="16"/>
          <w:szCs w:val="16"/>
        </w:rPr>
        <w:t xml:space="preserve"> разработать вопрос дополнительно, с указанием заводов, вложений и специализаций» (12258).</w:t>
      </w:r>
    </w:p>
    <w:p w14:paraId="5845B451" w14:textId="77777777" w:rsidR="00F86BBA" w:rsidRPr="00A259BD" w:rsidRDefault="00F86BBA" w:rsidP="009236E3">
      <w:pPr>
        <w:spacing w:after="0" w:line="240" w:lineRule="auto"/>
        <w:jc w:val="both"/>
        <w:rPr>
          <w:rFonts w:ascii="Times New Roman" w:hAnsi="Times New Roman"/>
          <w:color w:val="000000" w:themeColor="text1"/>
          <w:sz w:val="16"/>
          <w:szCs w:val="16"/>
        </w:rPr>
      </w:pPr>
    </w:p>
    <w:p w14:paraId="0523652A"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9ECB8A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74A19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сентября 1929 футболисты киевского “Динамо” провели свой первый международный матч (со сборной рабочих Нижней Австрии) (4962).</w:t>
      </w:r>
    </w:p>
    <w:p w14:paraId="1A678C7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84D268"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F88881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D9CF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сентября 1929 США присоединились к Постоянной палате международного правосудия в Гааге (3907,157).</w:t>
      </w:r>
    </w:p>
    <w:p w14:paraId="760A43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2DEFDA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3FB6BBA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04AAFE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и 20 сентября 1929 также организовали учебные полеты. Лишь 2 октября состоялись </w:t>
      </w:r>
      <w:proofErr w:type="spellStart"/>
      <w:r w:rsidRPr="00A259BD">
        <w:rPr>
          <w:rFonts w:ascii="Times New Roman" w:hAnsi="Times New Roman"/>
          <w:color w:val="000000" w:themeColor="text1"/>
          <w:sz w:val="16"/>
          <w:szCs w:val="16"/>
        </w:rPr>
        <w:t>разведпо-леты</w:t>
      </w:r>
      <w:proofErr w:type="spellEnd"/>
      <w:r w:rsidRPr="00A259BD">
        <w:rPr>
          <w:rFonts w:ascii="Times New Roman" w:hAnsi="Times New Roman"/>
          <w:color w:val="000000" w:themeColor="text1"/>
          <w:sz w:val="16"/>
          <w:szCs w:val="16"/>
        </w:rPr>
        <w:t xml:space="preserve"> в районе ст. Маньчжурия - Далай</w:t>
      </w:r>
      <w:r w:rsidRPr="00A259BD">
        <w:rPr>
          <w:rFonts w:ascii="Times New Roman" w:hAnsi="Times New Roman"/>
          <w:color w:val="000000" w:themeColor="text1"/>
          <w:sz w:val="16"/>
          <w:szCs w:val="16"/>
        </w:rPr>
        <w:softHyphen/>
        <w:t>нор. Р-1, высланный в Нерчинский за</w:t>
      </w:r>
      <w:r w:rsidRPr="00A259BD">
        <w:rPr>
          <w:rFonts w:ascii="Times New Roman" w:hAnsi="Times New Roman"/>
          <w:color w:val="000000" w:themeColor="text1"/>
          <w:sz w:val="16"/>
          <w:szCs w:val="16"/>
        </w:rPr>
        <w:softHyphen/>
        <w:t>вод, из-за нехватки горючего удач но сел на вынужденную в 50 км северо-</w:t>
      </w:r>
      <w:proofErr w:type="spellStart"/>
      <w:r w:rsidRPr="00A259BD">
        <w:rPr>
          <w:rFonts w:ascii="Times New Roman" w:hAnsi="Times New Roman"/>
          <w:color w:val="000000" w:themeColor="text1"/>
          <w:sz w:val="16"/>
          <w:szCs w:val="16"/>
        </w:rPr>
        <w:t>вос</w:t>
      </w:r>
      <w:proofErr w:type="spellEnd"/>
      <w:r w:rsidRPr="00A259BD">
        <w:rPr>
          <w:rFonts w:ascii="Times New Roman" w:hAnsi="Times New Roman"/>
          <w:color w:val="000000" w:themeColor="text1"/>
          <w:sz w:val="16"/>
          <w:szCs w:val="16"/>
        </w:rPr>
        <w:t>-точнее ст. Даурия (11216).</w:t>
      </w:r>
    </w:p>
    <w:p w14:paraId="2C4BB3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34C2C6" w14:textId="77777777" w:rsidR="002B4513" w:rsidRPr="00A259BD" w:rsidRDefault="002B4513"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562124DB" w14:textId="77777777" w:rsidR="002B4513" w:rsidRPr="00A259BD" w:rsidRDefault="002B451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08FDA5F" w14:textId="77777777" w:rsidR="002B4513" w:rsidRPr="00A259BD" w:rsidRDefault="002B451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сентября 1929 г. началась вторая полугодовая «миссия» в Москве в качестве советника по всем тактико-оперативным вопросам Германского штабного офицера полковника X. </w:t>
      </w:r>
      <w:proofErr w:type="spellStart"/>
      <w:r w:rsidRPr="00A259BD">
        <w:rPr>
          <w:rFonts w:ascii="Times New Roman" w:hAnsi="Times New Roman"/>
          <w:color w:val="000000" w:themeColor="text1"/>
          <w:sz w:val="16"/>
          <w:szCs w:val="16"/>
        </w:rPr>
        <w:t>Хальма</w:t>
      </w:r>
      <w:proofErr w:type="spellEnd"/>
      <w:r w:rsidRPr="00A259BD">
        <w:rPr>
          <w:rFonts w:ascii="Times New Roman" w:hAnsi="Times New Roman"/>
          <w:color w:val="000000" w:themeColor="text1"/>
          <w:sz w:val="16"/>
          <w:szCs w:val="16"/>
        </w:rPr>
        <w:t xml:space="preserve">, который в 1926 г. и в 1927 г. дважды побывал в СССР на осенних маневрах РККА. Об этом упоминается в беседе Ворошилова с </w:t>
      </w:r>
      <w:proofErr w:type="spellStart"/>
      <w:r w:rsidRPr="00A259BD">
        <w:rPr>
          <w:rFonts w:ascii="Times New Roman" w:hAnsi="Times New Roman"/>
          <w:color w:val="000000" w:themeColor="text1"/>
          <w:sz w:val="16"/>
          <w:szCs w:val="16"/>
        </w:rPr>
        <w:t>Хамерштайном</w:t>
      </w:r>
      <w:proofErr w:type="spellEnd"/>
      <w:r w:rsidRPr="00A259BD">
        <w:rPr>
          <w:rFonts w:ascii="Times New Roman" w:hAnsi="Times New Roman"/>
          <w:color w:val="000000" w:themeColor="text1"/>
          <w:sz w:val="16"/>
          <w:szCs w:val="16"/>
        </w:rPr>
        <w:t xml:space="preserve"> от 5 сентября 1929 г. В своем отчете от 2 ноября 1929 г. о военной академии им. Фрунзе, составленном на основе трехнедельного пребывания в ней (5 — 26 октября 1929 г.), он, отметив несколько хорошо подготовленных фигур из числа руководства и профессорского состава академии (Р. П. </w:t>
      </w:r>
      <w:proofErr w:type="spellStart"/>
      <w:r w:rsidRPr="00A259BD">
        <w:rPr>
          <w:rFonts w:ascii="Times New Roman" w:hAnsi="Times New Roman"/>
          <w:color w:val="000000" w:themeColor="text1"/>
          <w:sz w:val="16"/>
          <w:szCs w:val="16"/>
        </w:rPr>
        <w:t>Эйдеман</w:t>
      </w:r>
      <w:proofErr w:type="spellEnd"/>
      <w:r w:rsidRPr="00A259BD">
        <w:rPr>
          <w:rFonts w:ascii="Times New Roman" w:hAnsi="Times New Roman"/>
          <w:color w:val="000000" w:themeColor="text1"/>
          <w:sz w:val="16"/>
          <w:szCs w:val="16"/>
        </w:rPr>
        <w:t xml:space="preserve">, А. А. Свечин, А. И. Верховский, И. И. Вацетис, Ф. Ф. Новицкий и др. — почти все служили в царской армии), невысоко оценил работу академии в целом, поскольку «на самых ответственных преподавательских постах» академия не располагала профессорско-преподавательским составом с опытом руководства соединениями всех родов войск в мирное либо в военное время. Гражданская же война в этом смысле не могла сравниться с масштабами современной войны. По заключению </w:t>
      </w:r>
      <w:proofErr w:type="spellStart"/>
      <w:r w:rsidRPr="00A259BD">
        <w:rPr>
          <w:rFonts w:ascii="Times New Roman" w:hAnsi="Times New Roman"/>
          <w:color w:val="000000" w:themeColor="text1"/>
          <w:sz w:val="16"/>
          <w:szCs w:val="16"/>
        </w:rPr>
        <w:t>Хальма</w:t>
      </w:r>
      <w:proofErr w:type="spellEnd"/>
      <w:r w:rsidRPr="00A259BD">
        <w:rPr>
          <w:rFonts w:ascii="Times New Roman" w:hAnsi="Times New Roman"/>
          <w:color w:val="000000" w:themeColor="text1"/>
          <w:sz w:val="16"/>
          <w:szCs w:val="16"/>
        </w:rPr>
        <w:t xml:space="preserve">, «надо было бы вести прежде всего подготовку руководителей по другому руслу». А пока слушатели академии по завершении обучения уходили в армию без хорошо «натренированных способностей командира». Иными словами, самая главная задача академии — подготовка офицеров генштаба и командиров высшего звена — оказывалась невыполненной. Копия отчета германского офицера хранится в РГВА, и, судя по всему (Ворошилов и </w:t>
      </w:r>
      <w:proofErr w:type="spellStart"/>
      <w:r w:rsidRPr="00A259BD">
        <w:rPr>
          <w:rFonts w:ascii="Times New Roman" w:hAnsi="Times New Roman"/>
          <w:color w:val="000000" w:themeColor="text1"/>
          <w:sz w:val="16"/>
          <w:szCs w:val="16"/>
        </w:rPr>
        <w:t>Хальм</w:t>
      </w:r>
      <w:proofErr w:type="spellEnd"/>
      <w:r w:rsidRPr="00A259BD">
        <w:rPr>
          <w:rFonts w:ascii="Times New Roman" w:hAnsi="Times New Roman"/>
          <w:color w:val="000000" w:themeColor="text1"/>
          <w:sz w:val="16"/>
          <w:szCs w:val="16"/>
        </w:rPr>
        <w:t xml:space="preserve"> дружили), была передана самим </w:t>
      </w:r>
      <w:proofErr w:type="spellStart"/>
      <w:r w:rsidRPr="00A259BD">
        <w:rPr>
          <w:rFonts w:ascii="Times New Roman" w:hAnsi="Times New Roman"/>
          <w:color w:val="000000" w:themeColor="text1"/>
          <w:sz w:val="16"/>
          <w:szCs w:val="16"/>
        </w:rPr>
        <w:t>Хальмом</w:t>
      </w:r>
      <w:proofErr w:type="spellEnd"/>
      <w:r w:rsidRPr="00A259BD">
        <w:rPr>
          <w:rFonts w:ascii="Times New Roman" w:hAnsi="Times New Roman"/>
          <w:color w:val="000000" w:themeColor="text1"/>
          <w:sz w:val="16"/>
          <w:szCs w:val="16"/>
        </w:rPr>
        <w:t xml:space="preserve">. Возможно, однако, что она была добыта «агентурным путем». К мнению </w:t>
      </w:r>
      <w:proofErr w:type="spellStart"/>
      <w:r w:rsidRPr="00A259BD">
        <w:rPr>
          <w:rFonts w:ascii="Times New Roman" w:hAnsi="Times New Roman"/>
          <w:color w:val="000000" w:themeColor="text1"/>
          <w:sz w:val="16"/>
          <w:szCs w:val="16"/>
        </w:rPr>
        <w:t>Хальма</w:t>
      </w:r>
      <w:proofErr w:type="spellEnd"/>
      <w:r w:rsidRPr="00A259BD">
        <w:rPr>
          <w:rFonts w:ascii="Times New Roman" w:hAnsi="Times New Roman"/>
          <w:color w:val="000000" w:themeColor="text1"/>
          <w:sz w:val="16"/>
          <w:szCs w:val="16"/>
        </w:rPr>
        <w:t xml:space="preserve"> в Штабе РККА прислушивались. В 1930 г. в Академии в качестве преподавателей военной истории 2–3 курсов начали работать майоры Фр. Паулюс (будущий генерал-фельдмаршал), К. </w:t>
      </w:r>
      <w:proofErr w:type="spellStart"/>
      <w:r w:rsidRPr="00A259BD">
        <w:rPr>
          <w:rFonts w:ascii="Times New Roman" w:hAnsi="Times New Roman"/>
          <w:color w:val="000000" w:themeColor="text1"/>
          <w:sz w:val="16"/>
          <w:szCs w:val="16"/>
        </w:rPr>
        <w:t>Бреннеке</w:t>
      </w:r>
      <w:proofErr w:type="spellEnd"/>
      <w:r w:rsidRPr="00A259BD">
        <w:rPr>
          <w:rFonts w:ascii="Times New Roman" w:hAnsi="Times New Roman"/>
          <w:color w:val="000000" w:themeColor="text1"/>
          <w:sz w:val="16"/>
          <w:szCs w:val="16"/>
        </w:rPr>
        <w:t xml:space="preserve"> и Г.-Х. </w:t>
      </w:r>
      <w:proofErr w:type="spellStart"/>
      <w:r w:rsidRPr="00A259BD">
        <w:rPr>
          <w:rFonts w:ascii="Times New Roman" w:hAnsi="Times New Roman"/>
          <w:color w:val="000000" w:themeColor="text1"/>
          <w:sz w:val="16"/>
          <w:szCs w:val="16"/>
        </w:rPr>
        <w:t>Райнхардт</w:t>
      </w:r>
      <w:proofErr w:type="spellEnd"/>
      <w:r w:rsidRPr="00A259BD">
        <w:rPr>
          <w:rFonts w:ascii="Times New Roman" w:hAnsi="Times New Roman"/>
          <w:color w:val="000000" w:themeColor="text1"/>
          <w:sz w:val="16"/>
          <w:szCs w:val="16"/>
        </w:rPr>
        <w:t xml:space="preserve">. По распоряжению военного министерства Германии они в течение трех лет, с 1930 по 1933 гг., работали в СССР в качестве военных советников. Занятия по тактической подготовке в Академии вели подполковник. В. </w:t>
      </w:r>
      <w:proofErr w:type="spellStart"/>
      <w:r w:rsidRPr="00A259BD">
        <w:rPr>
          <w:rFonts w:ascii="Times New Roman" w:hAnsi="Times New Roman"/>
          <w:color w:val="000000" w:themeColor="text1"/>
          <w:sz w:val="16"/>
          <w:szCs w:val="16"/>
        </w:rPr>
        <w:t>Кайтель</w:t>
      </w:r>
      <w:proofErr w:type="spellEnd"/>
      <w:r w:rsidRPr="00A259BD">
        <w:rPr>
          <w:rFonts w:ascii="Times New Roman" w:hAnsi="Times New Roman"/>
          <w:color w:val="000000" w:themeColor="text1"/>
          <w:sz w:val="16"/>
          <w:szCs w:val="16"/>
        </w:rPr>
        <w:t xml:space="preserve"> (Кейтель) и майор В. Модель (оба — будущие генерал-фельдмаршалы) (18265).</w:t>
      </w:r>
    </w:p>
    <w:p w14:paraId="39B94F2C" w14:textId="77777777" w:rsidR="002B4513" w:rsidRPr="00A259BD" w:rsidRDefault="002B4513" w:rsidP="009236E3">
      <w:pPr>
        <w:spacing w:after="0" w:line="240" w:lineRule="auto"/>
        <w:jc w:val="both"/>
        <w:rPr>
          <w:rFonts w:ascii="Times New Roman" w:hAnsi="Times New Roman"/>
          <w:color w:val="000000" w:themeColor="text1"/>
          <w:sz w:val="16"/>
          <w:szCs w:val="16"/>
        </w:rPr>
      </w:pPr>
    </w:p>
    <w:p w14:paraId="61A7838A" w14:textId="77777777" w:rsidR="00BA7241" w:rsidRPr="00A259BD" w:rsidRDefault="00BA7241"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26E2962" w14:textId="77777777" w:rsidR="00BA7241" w:rsidRPr="00A259BD" w:rsidRDefault="00BA724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CB724A4" w14:textId="77777777" w:rsidR="00BA7241" w:rsidRPr="00A259BD" w:rsidRDefault="00BA72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сентября 1929 г. первый полет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K 47 (20806).</w:t>
      </w:r>
    </w:p>
    <w:p w14:paraId="590575F4" w14:textId="77777777" w:rsidR="00BA7241" w:rsidRPr="00A259BD" w:rsidRDefault="00BA7241" w:rsidP="009236E3">
      <w:pPr>
        <w:spacing w:after="0" w:line="240" w:lineRule="auto"/>
        <w:jc w:val="both"/>
        <w:rPr>
          <w:rFonts w:ascii="Times New Roman" w:hAnsi="Times New Roman"/>
          <w:color w:val="000000" w:themeColor="text1"/>
          <w:sz w:val="16"/>
          <w:szCs w:val="16"/>
        </w:rPr>
      </w:pPr>
    </w:p>
    <w:p w14:paraId="418AEB54" w14:textId="77777777" w:rsidR="00BA7241" w:rsidRPr="00A259BD" w:rsidRDefault="00BA72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сентября 1929 года — первый полёт лёгкого спортивно-тренировочного самолёта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A 48. /Германия/</w:t>
      </w:r>
    </w:p>
    <w:p w14:paraId="0972DF9E" w14:textId="77777777" w:rsidR="00BA7241" w:rsidRPr="00A259BD" w:rsidRDefault="00BA72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условиям Версальского договора Германия могла производить только самолёты гражданского назначения. В 1927 году инженеры Карл </w:t>
      </w:r>
      <w:proofErr w:type="spellStart"/>
      <w:r w:rsidRPr="00A259BD">
        <w:rPr>
          <w:rFonts w:ascii="Times New Roman" w:hAnsi="Times New Roman"/>
          <w:color w:val="000000" w:themeColor="text1"/>
          <w:sz w:val="16"/>
          <w:szCs w:val="16"/>
        </w:rPr>
        <w:t>Плаут</w:t>
      </w:r>
      <w:proofErr w:type="spellEnd"/>
      <w:r w:rsidRPr="00A259BD">
        <w:rPr>
          <w:rFonts w:ascii="Times New Roman" w:hAnsi="Times New Roman"/>
          <w:color w:val="000000" w:themeColor="text1"/>
          <w:sz w:val="16"/>
          <w:szCs w:val="16"/>
        </w:rPr>
        <w:t xml:space="preserve"> и Герман </w:t>
      </w:r>
      <w:proofErr w:type="spellStart"/>
      <w:r w:rsidRPr="00A259BD">
        <w:rPr>
          <w:rFonts w:ascii="Times New Roman" w:hAnsi="Times New Roman"/>
          <w:color w:val="000000" w:themeColor="text1"/>
          <w:sz w:val="16"/>
          <w:szCs w:val="16"/>
        </w:rPr>
        <w:t>Польман</w:t>
      </w:r>
      <w:proofErr w:type="spellEnd"/>
      <w:r w:rsidRPr="00A259BD">
        <w:rPr>
          <w:rFonts w:ascii="Times New Roman" w:hAnsi="Times New Roman"/>
          <w:color w:val="000000" w:themeColor="text1"/>
          <w:sz w:val="16"/>
          <w:szCs w:val="16"/>
        </w:rPr>
        <w:t xml:space="preserve"> фирмы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Flugzeugwerke</w:t>
      </w:r>
      <w:proofErr w:type="spellEnd"/>
      <w:r w:rsidRPr="00A259BD">
        <w:rPr>
          <w:rFonts w:ascii="Times New Roman" w:hAnsi="Times New Roman"/>
          <w:color w:val="000000" w:themeColor="text1"/>
          <w:sz w:val="16"/>
          <w:szCs w:val="16"/>
        </w:rPr>
        <w:t> приступили к работе над проектом А 48. Самолёт планировали использовать для спортивных соревнований и тренировки пилотов.</w:t>
      </w:r>
    </w:p>
    <w:p w14:paraId="16F96BAB" w14:textId="77777777" w:rsidR="00BA7241" w:rsidRPr="00A259BD" w:rsidRDefault="00BA72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A 48 представлял собой цельнометаллический низкоплан с неубирающимся шасси. Самолёт был рассчитан на 2 человек. На первом прототипе установили двигатель Bristol </w:t>
      </w:r>
      <w:proofErr w:type="spellStart"/>
      <w:r w:rsidRPr="00A259BD">
        <w:rPr>
          <w:rFonts w:ascii="Times New Roman" w:hAnsi="Times New Roman"/>
          <w:color w:val="000000" w:themeColor="text1"/>
          <w:sz w:val="16"/>
          <w:szCs w:val="16"/>
        </w:rPr>
        <w:t>Jupiter</w:t>
      </w:r>
      <w:proofErr w:type="spellEnd"/>
      <w:r w:rsidRPr="00A259BD">
        <w:rPr>
          <w:rFonts w:ascii="Times New Roman" w:hAnsi="Times New Roman"/>
          <w:color w:val="000000" w:themeColor="text1"/>
          <w:sz w:val="16"/>
          <w:szCs w:val="16"/>
        </w:rPr>
        <w:t xml:space="preserve"> VII, позволявший развить скорость до 265 км/ч. Дальность полёта — 500 км.</w:t>
      </w:r>
    </w:p>
    <w:p w14:paraId="79A44C98" w14:textId="77777777" w:rsidR="00BA7241" w:rsidRPr="00A259BD" w:rsidRDefault="00BA72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Всего построили 7 единиц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A 48. Самолёт получился двойного назначения. Часть построенных А 48 передали в Швецию, дочерней компании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 AB </w:t>
      </w:r>
      <w:proofErr w:type="spellStart"/>
      <w:r w:rsidRPr="00A259BD">
        <w:rPr>
          <w:rFonts w:ascii="Times New Roman" w:hAnsi="Times New Roman"/>
          <w:color w:val="000000" w:themeColor="text1"/>
          <w:sz w:val="16"/>
          <w:szCs w:val="16"/>
        </w:rPr>
        <w:t>Flygindustri</w:t>
      </w:r>
      <w:proofErr w:type="spellEnd"/>
      <w:r w:rsidRPr="00A259BD">
        <w:rPr>
          <w:rFonts w:ascii="Times New Roman" w:hAnsi="Times New Roman"/>
          <w:color w:val="000000" w:themeColor="text1"/>
          <w:sz w:val="16"/>
          <w:szCs w:val="16"/>
        </w:rPr>
        <w:t xml:space="preserve">. На их базе был разработан лёгкий истребитель-штурмовик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K 47, вооружённый 2 × 7,92-мм пулемётами LMG 08/15 </w:t>
      </w:r>
      <w:proofErr w:type="spellStart"/>
      <w:r w:rsidRPr="00A259BD">
        <w:rPr>
          <w:rFonts w:ascii="Times New Roman" w:hAnsi="Times New Roman"/>
          <w:color w:val="000000" w:themeColor="text1"/>
          <w:sz w:val="16"/>
          <w:szCs w:val="16"/>
        </w:rPr>
        <w:t>Spandau</w:t>
      </w:r>
      <w:proofErr w:type="spellEnd"/>
      <w:r w:rsidRPr="00A259BD">
        <w:rPr>
          <w:rFonts w:ascii="Times New Roman" w:hAnsi="Times New Roman"/>
          <w:color w:val="000000" w:themeColor="text1"/>
          <w:sz w:val="16"/>
          <w:szCs w:val="16"/>
        </w:rPr>
        <w:t>, и выпущенный в количестве 12 экземпляров (22300).</w:t>
      </w:r>
    </w:p>
    <w:p w14:paraId="2F1B5C61" w14:textId="77777777" w:rsidR="00BA7241" w:rsidRPr="00A259BD" w:rsidRDefault="00BA7241" w:rsidP="009236E3">
      <w:pPr>
        <w:spacing w:after="0" w:line="240" w:lineRule="auto"/>
        <w:jc w:val="both"/>
        <w:rPr>
          <w:rFonts w:ascii="Times New Roman" w:hAnsi="Times New Roman"/>
          <w:color w:val="000000" w:themeColor="text1"/>
          <w:sz w:val="16"/>
          <w:szCs w:val="16"/>
        </w:rPr>
      </w:pPr>
    </w:p>
    <w:p w14:paraId="151F0A9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lastRenderedPageBreak/>
        <w:t>Другие оборонные отрасли:</w:t>
      </w:r>
    </w:p>
    <w:p w14:paraId="62E6719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A077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сентября 1929 г. постановлением Совета Труда и Обороны СССР был создан Научно-исследовательский институт по цветным металлам Институт неоднократно переименовывался: 17 января 1930 г. - в Государственный центральный научно-исследовательский институт цветных металлов "</w:t>
      </w:r>
      <w:proofErr w:type="spellStart"/>
      <w:r w:rsidRPr="00A259BD">
        <w:rPr>
          <w:rFonts w:ascii="Times New Roman" w:hAnsi="Times New Roman"/>
          <w:color w:val="000000" w:themeColor="text1"/>
          <w:sz w:val="16"/>
          <w:szCs w:val="16"/>
        </w:rPr>
        <w:t>Гинцветмет</w:t>
      </w:r>
      <w:proofErr w:type="spellEnd"/>
      <w:r w:rsidRPr="00A259BD">
        <w:rPr>
          <w:rFonts w:ascii="Times New Roman" w:hAnsi="Times New Roman"/>
          <w:color w:val="000000" w:themeColor="text1"/>
          <w:sz w:val="16"/>
          <w:szCs w:val="16"/>
        </w:rPr>
        <w:t>"; 9 апреля 1931 г. - в Московский государственный институт цветных металлов "</w:t>
      </w:r>
      <w:proofErr w:type="spellStart"/>
      <w:r w:rsidRPr="00A259BD">
        <w:rPr>
          <w:rFonts w:ascii="Times New Roman" w:hAnsi="Times New Roman"/>
          <w:color w:val="000000" w:themeColor="text1"/>
          <w:sz w:val="16"/>
          <w:szCs w:val="16"/>
        </w:rPr>
        <w:t>Мосгинцветмет</w:t>
      </w:r>
      <w:proofErr w:type="spellEnd"/>
      <w:r w:rsidRPr="00A259BD">
        <w:rPr>
          <w:rFonts w:ascii="Times New Roman" w:hAnsi="Times New Roman"/>
          <w:color w:val="000000" w:themeColor="text1"/>
          <w:sz w:val="16"/>
          <w:szCs w:val="16"/>
        </w:rPr>
        <w:t>"; 25 февраля 1932 г. - в Центральный государственный научно-исследовательский институт цветных металлов, золота и платины; 23 апреля 1933 г. - в Государственный центральный научно-исследовательский институт цветных металлов "</w:t>
      </w:r>
      <w:proofErr w:type="spellStart"/>
      <w:r w:rsidRPr="00A259BD">
        <w:rPr>
          <w:rFonts w:ascii="Times New Roman" w:hAnsi="Times New Roman"/>
          <w:color w:val="000000" w:themeColor="text1"/>
          <w:sz w:val="16"/>
          <w:szCs w:val="16"/>
        </w:rPr>
        <w:t>Цгинцветмет</w:t>
      </w:r>
      <w:proofErr w:type="spellEnd"/>
      <w:r w:rsidRPr="00A259BD">
        <w:rPr>
          <w:rFonts w:ascii="Times New Roman" w:hAnsi="Times New Roman"/>
          <w:color w:val="000000" w:themeColor="text1"/>
          <w:sz w:val="16"/>
          <w:szCs w:val="16"/>
        </w:rPr>
        <w:t>"; 25 марта 1942 г. - в Государственный научно-исследовательский и производственный институт цветных металлов "</w:t>
      </w:r>
      <w:proofErr w:type="spellStart"/>
      <w:r w:rsidRPr="00A259BD">
        <w:rPr>
          <w:rFonts w:ascii="Times New Roman" w:hAnsi="Times New Roman"/>
          <w:color w:val="000000" w:themeColor="text1"/>
          <w:sz w:val="16"/>
          <w:szCs w:val="16"/>
        </w:rPr>
        <w:t>Гинцветмет</w:t>
      </w:r>
      <w:proofErr w:type="spellEnd"/>
      <w:r w:rsidRPr="00A259BD">
        <w:rPr>
          <w:rFonts w:ascii="Times New Roman" w:hAnsi="Times New Roman"/>
          <w:color w:val="000000" w:themeColor="text1"/>
          <w:sz w:val="16"/>
          <w:szCs w:val="16"/>
        </w:rPr>
        <w:t>"; 21 марта 1946 г. - в Государственный научно-исследовательский институт цветных металлов "</w:t>
      </w:r>
      <w:proofErr w:type="spellStart"/>
      <w:r w:rsidRPr="00A259BD">
        <w:rPr>
          <w:rFonts w:ascii="Times New Roman" w:hAnsi="Times New Roman"/>
          <w:color w:val="000000" w:themeColor="text1"/>
          <w:sz w:val="16"/>
          <w:szCs w:val="16"/>
        </w:rPr>
        <w:t>Гинцветмет</w:t>
      </w:r>
      <w:proofErr w:type="spellEnd"/>
      <w:r w:rsidRPr="00A259BD">
        <w:rPr>
          <w:rFonts w:ascii="Times New Roman" w:hAnsi="Times New Roman"/>
          <w:color w:val="000000" w:themeColor="text1"/>
          <w:sz w:val="16"/>
          <w:szCs w:val="16"/>
        </w:rPr>
        <w:t xml:space="preserve">". Приказом Государственного научно-экономического совета </w:t>
      </w:r>
      <w:proofErr w:type="spellStart"/>
      <w:r w:rsidRPr="00A259BD">
        <w:rPr>
          <w:rFonts w:ascii="Times New Roman" w:hAnsi="Times New Roman"/>
          <w:color w:val="000000" w:themeColor="text1"/>
          <w:sz w:val="16"/>
          <w:szCs w:val="16"/>
        </w:rPr>
        <w:t>Совета</w:t>
      </w:r>
      <w:proofErr w:type="spellEnd"/>
      <w:r w:rsidRPr="00A259BD">
        <w:rPr>
          <w:rFonts w:ascii="Times New Roman" w:hAnsi="Times New Roman"/>
          <w:color w:val="000000" w:themeColor="text1"/>
          <w:sz w:val="16"/>
          <w:szCs w:val="16"/>
        </w:rPr>
        <w:t xml:space="preserve"> Министров СССР от 12 сентября 1960 г. при институте организовано СКВ тяжелых цветных металлов на самостоятельном балансе (12102).</w:t>
      </w:r>
    </w:p>
    <w:p w14:paraId="502124C1" w14:textId="77777777" w:rsidR="002B4513" w:rsidRPr="00A259BD" w:rsidRDefault="002B4513"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228BD0D0" w14:textId="77777777" w:rsidR="00AF3F3F"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68D68717" w14:textId="77777777" w:rsidR="00AF3F3F" w:rsidRPr="00A259BD" w:rsidRDefault="00AF3F3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9095ACB" w14:textId="77777777" w:rsidR="00AF3F3F" w:rsidRPr="00A259BD" w:rsidRDefault="00AF3F3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сентября 1929 г. Совет Труда и Обороны (СТО) принял очередное постановление об усилении охраны Тихоокеанского побережья СССР. Решено было организовать три авиационных отряда по количеству пограничных от</w:t>
      </w:r>
      <w:r w:rsidRPr="00A259BD">
        <w:rPr>
          <w:rFonts w:ascii="Times New Roman" w:hAnsi="Times New Roman"/>
          <w:color w:val="000000" w:themeColor="text1"/>
          <w:sz w:val="16"/>
          <w:szCs w:val="16"/>
        </w:rPr>
        <w:softHyphen/>
        <w:t xml:space="preserve">рядов на Камчатке. После годичных изыскательных работ базирование их предполагалось осуществить в Хайрюзове и </w:t>
      </w:r>
      <w:proofErr w:type="spellStart"/>
      <w:r w:rsidRPr="00A259BD">
        <w:rPr>
          <w:rFonts w:ascii="Times New Roman" w:hAnsi="Times New Roman"/>
          <w:color w:val="000000" w:themeColor="text1"/>
          <w:sz w:val="16"/>
          <w:szCs w:val="16"/>
        </w:rPr>
        <w:t>Усть-Болынерецке</w:t>
      </w:r>
      <w:proofErr w:type="spellEnd"/>
      <w:r w:rsidRPr="00A259BD">
        <w:rPr>
          <w:rFonts w:ascii="Times New Roman" w:hAnsi="Times New Roman"/>
          <w:color w:val="000000" w:themeColor="text1"/>
          <w:sz w:val="16"/>
          <w:szCs w:val="16"/>
        </w:rPr>
        <w:t xml:space="preserve"> на западном побережье и Петропавловске-Камчатском на восточном побережье при тех</w:t>
      </w:r>
      <w:r w:rsidRPr="00A259BD">
        <w:rPr>
          <w:rFonts w:ascii="Times New Roman" w:hAnsi="Times New Roman"/>
          <w:color w:val="000000" w:themeColor="text1"/>
          <w:sz w:val="16"/>
          <w:szCs w:val="16"/>
        </w:rPr>
        <w:softHyphen/>
        <w:t>нической поддержке общества Гражданского воздушного флота «Добролет», а финансовой и организационной — от ОГПУ (12299).</w:t>
      </w:r>
    </w:p>
    <w:p w14:paraId="46ECE4A1" w14:textId="77777777" w:rsidR="00AF3F3F" w:rsidRPr="00A259BD" w:rsidRDefault="00AF3F3F" w:rsidP="009236E3">
      <w:pPr>
        <w:spacing w:after="0" w:line="240" w:lineRule="auto"/>
        <w:jc w:val="both"/>
        <w:rPr>
          <w:rFonts w:ascii="Times New Roman" w:hAnsi="Times New Roman"/>
          <w:color w:val="000000" w:themeColor="text1"/>
          <w:sz w:val="16"/>
          <w:szCs w:val="16"/>
        </w:rPr>
      </w:pPr>
    </w:p>
    <w:p w14:paraId="090BC7E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400095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71FE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сентября 1929 года Сталин писал Менжинскому, который в это время находился на отдыхе: </w:t>
      </w:r>
    </w:p>
    <w:p w14:paraId="2032F1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“Прежде всего, как Ваше здоровье? </w:t>
      </w:r>
    </w:p>
    <w:p w14:paraId="5D7333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потом - два слова о делах чекистских. Дело в том, что считаю нужным предупредить Вас о некоторых болезненных явлениях в организациях ГПУ, о которых рассказал мне на днях Реденс. </w:t>
      </w:r>
    </w:p>
    <w:p w14:paraId="278D2E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Оказывается у вас (у чекистов) взят теперь курс на развернутую самокритику внутри ГПУ. </w:t>
      </w:r>
    </w:p>
    <w:p w14:paraId="6E49E1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Иначе говоря, чекисты допускают те же ошибки, которые были допущены недавно в </w:t>
      </w:r>
      <w:proofErr w:type="spellStart"/>
      <w:r w:rsidRPr="00A259BD">
        <w:rPr>
          <w:rFonts w:ascii="Times New Roman" w:hAnsi="Times New Roman"/>
          <w:color w:val="000000" w:themeColor="text1"/>
          <w:sz w:val="16"/>
          <w:szCs w:val="16"/>
        </w:rPr>
        <w:t>военводе</w:t>
      </w:r>
      <w:proofErr w:type="spellEnd"/>
      <w:r w:rsidRPr="00A259BD">
        <w:rPr>
          <w:rFonts w:ascii="Times New Roman" w:hAnsi="Times New Roman"/>
          <w:color w:val="000000" w:themeColor="text1"/>
          <w:sz w:val="16"/>
          <w:szCs w:val="16"/>
        </w:rPr>
        <w:t xml:space="preserve">. </w:t>
      </w:r>
    </w:p>
    <w:p w14:paraId="234FEE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Если же верно, то это грозит разложением ГПУ и развалом чекистской дисциплины. Не забудьте, что ГПУ не менее военная организация, чем </w:t>
      </w:r>
      <w:proofErr w:type="spellStart"/>
      <w:r w:rsidRPr="00A259BD">
        <w:rPr>
          <w:rFonts w:ascii="Times New Roman" w:hAnsi="Times New Roman"/>
          <w:color w:val="000000" w:themeColor="text1"/>
          <w:sz w:val="16"/>
          <w:szCs w:val="16"/>
        </w:rPr>
        <w:t>военвод</w:t>
      </w:r>
      <w:proofErr w:type="spellEnd"/>
      <w:r w:rsidRPr="00A259BD">
        <w:rPr>
          <w:rFonts w:ascii="Times New Roman" w:hAnsi="Times New Roman"/>
          <w:color w:val="000000" w:themeColor="text1"/>
          <w:sz w:val="16"/>
          <w:szCs w:val="16"/>
        </w:rPr>
        <w:t xml:space="preserve">. </w:t>
      </w:r>
    </w:p>
    <w:p w14:paraId="4C8D34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Нельзя ли проверить это дело и, если оно подтвердится, принять решительные меры против этого зла” (11248).</w:t>
      </w:r>
    </w:p>
    <w:p w14:paraId="602F02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81948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342C709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7E901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сентября 1929 г. в донесении советского полпредства из Берлина сообщалось, что «из Москвы приезжает много работников военной промышленности, причем эти представители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подчинявшегося ВСНХ СССР, находясь в Германии, зачастую действовали без согласования с советским военным атташе». Фирмы информировали о контактах с ними военное министерство Германии, которое, опираясь на эти данные, выражало недовольство подобным положением военному атташе СССР в Берлине В. К. </w:t>
      </w:r>
      <w:proofErr w:type="spellStart"/>
      <w:r w:rsidRPr="00A259BD">
        <w:rPr>
          <w:rFonts w:ascii="Times New Roman" w:hAnsi="Times New Roman"/>
          <w:color w:val="000000" w:themeColor="text1"/>
          <w:sz w:val="16"/>
          <w:szCs w:val="16"/>
        </w:rPr>
        <w:t>Путне</w:t>
      </w:r>
      <w:proofErr w:type="spellEnd"/>
      <w:r w:rsidRPr="00A259BD">
        <w:rPr>
          <w:rFonts w:ascii="Times New Roman" w:hAnsi="Times New Roman"/>
          <w:color w:val="000000" w:themeColor="text1"/>
          <w:sz w:val="16"/>
          <w:szCs w:val="16"/>
        </w:rPr>
        <w:t xml:space="preserve"> (АВП РФ, ф. 05, оп. 9, п. 45, д. 32, л. 20.). Видимо, отдельные визиты заканчивались заключением контрактов. Однако все это как бы «броуновское движение» советских закупщиков было весьма упорядоченным, поскольку закупки производились в соответствии с верно определенными перспективными направлениями развития военной и военно-технической мысли, получившей мощный импульс в ходе империалистической войны (химия, авиация, артиллерия, моторизация, производство танков, подводных лодок, минных заграждений и т. д. ). Именно по этим «полочкам» с удивительной точностью раскладываются выявленные в архивах сделки и контракты, заключенные советским ВПК с иностранными партнерами. Конечно, приоритетными контрагентами здесь вплоть до начала 30-х годов были германские фирмы, однако, сделки заключались с фирмами практически всех стран, имевших соответствующий военно-промышленный потенциал (11784).</w:t>
      </w:r>
    </w:p>
    <w:p w14:paraId="30FA4C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65729F" w14:textId="77777777" w:rsidR="002D01AA" w:rsidRPr="00A259BD" w:rsidRDefault="002D01A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сентября 1929 г. в донесение советского полпредства из Берлина сообщалось, что «из Москвы приезжает много работников военной промышленности, причем эти представители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подчинявшегося ВСНХ СССР, находясь в Германии, зачастую действовали без согласования с советским военным атташе». Фирмы информировали о контактах с ними военное министерство Германии, которое, опираясь на эти данные, выражало недовольство подобным положением военному атташе СССР в Берлине В. К. </w:t>
      </w:r>
      <w:proofErr w:type="spellStart"/>
      <w:r w:rsidRPr="00A259BD">
        <w:rPr>
          <w:rFonts w:ascii="Times New Roman" w:hAnsi="Times New Roman"/>
          <w:color w:val="000000" w:themeColor="text1"/>
          <w:sz w:val="16"/>
          <w:szCs w:val="16"/>
        </w:rPr>
        <w:t>Путне</w:t>
      </w:r>
      <w:proofErr w:type="spellEnd"/>
      <w:r w:rsidRPr="00A259BD">
        <w:rPr>
          <w:rFonts w:ascii="Times New Roman" w:hAnsi="Times New Roman"/>
          <w:color w:val="000000" w:themeColor="text1"/>
          <w:sz w:val="16"/>
          <w:szCs w:val="16"/>
        </w:rPr>
        <w:t>. Видимо, отдельные визиты заканчивались заключением контрактов (18265).</w:t>
      </w:r>
    </w:p>
    <w:p w14:paraId="07EAE76D" w14:textId="77777777" w:rsidR="002D01AA" w:rsidRPr="00A259BD" w:rsidRDefault="002D01AA" w:rsidP="009236E3">
      <w:pPr>
        <w:spacing w:after="0" w:line="240" w:lineRule="auto"/>
        <w:jc w:val="both"/>
        <w:rPr>
          <w:rFonts w:ascii="Times New Roman" w:hAnsi="Times New Roman"/>
          <w:color w:val="000000" w:themeColor="text1"/>
          <w:sz w:val="16"/>
          <w:szCs w:val="16"/>
        </w:rPr>
      </w:pPr>
    </w:p>
    <w:p w14:paraId="59BCF3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сентября 1929 китайцы 5 часов штурмовали наш пограничный дозор (1851,37).</w:t>
      </w:r>
    </w:p>
    <w:p w14:paraId="40E0CF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758F3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804972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27D9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сентября 1929 было подписано мирное соглашение между Боливией и Парагваем (3481).</w:t>
      </w:r>
    </w:p>
    <w:p w14:paraId="4AD8D2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B224D7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E035C4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F7B5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сентября 1929 года появился протокол заседания комиссии РЗ СТО (протокол № 37 от 29 июля 1929 года) по вопросу "О развитии авиапромышленности"</w:t>
      </w:r>
    </w:p>
    <w:p w14:paraId="66EE98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Присутствовали: </w:t>
      </w:r>
      <w:proofErr w:type="spellStart"/>
      <w:r w:rsidRPr="00A259BD">
        <w:rPr>
          <w:rFonts w:ascii="Times New Roman" w:hAnsi="Times New Roman"/>
          <w:color w:val="000000" w:themeColor="text1"/>
          <w:sz w:val="16"/>
          <w:szCs w:val="16"/>
        </w:rPr>
        <w:t>Уншлихт</w:t>
      </w:r>
      <w:proofErr w:type="spellEnd"/>
      <w:r w:rsidRPr="00A259BD">
        <w:rPr>
          <w:rFonts w:ascii="Times New Roman" w:hAnsi="Times New Roman"/>
          <w:color w:val="000000" w:themeColor="text1"/>
          <w:sz w:val="16"/>
          <w:szCs w:val="16"/>
        </w:rPr>
        <w:t xml:space="preserve">, Баранов, Урываев, Шпекторов, Михайлов, Мехоношин, </w:t>
      </w:r>
      <w:proofErr w:type="spellStart"/>
      <w:r w:rsidRPr="00A259BD">
        <w:rPr>
          <w:rFonts w:ascii="Times New Roman" w:hAnsi="Times New Roman"/>
          <w:color w:val="000000" w:themeColor="text1"/>
          <w:sz w:val="16"/>
          <w:szCs w:val="16"/>
        </w:rPr>
        <w:t>Бокис</w:t>
      </w:r>
      <w:proofErr w:type="spellEnd"/>
      <w:r w:rsidRPr="00A259BD">
        <w:rPr>
          <w:rFonts w:ascii="Times New Roman" w:hAnsi="Times New Roman"/>
          <w:color w:val="000000" w:themeColor="text1"/>
          <w:sz w:val="16"/>
          <w:szCs w:val="16"/>
        </w:rPr>
        <w:t>, Шиловский</w:t>
      </w:r>
    </w:p>
    <w:p w14:paraId="6A4EEB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Слушали: Результаты проработки подкомиссией Алксниса вопроса об увязке в пятилетке по годам потребностей в самолетах и моторах всего воздушного флота в мирное и военное время.</w:t>
      </w:r>
    </w:p>
    <w:p w14:paraId="70AC77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w:t>
      </w:r>
    </w:p>
    <w:p w14:paraId="2379A3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Включить в проект резолюции РЗ СТО окончательно проработанные и полностью согласованные пункты в следующей редакции:</w:t>
      </w:r>
    </w:p>
    <w:p w14:paraId="0C901CD8"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Определить в качестве минимальной потребности ВФ на год ведения войны:</w:t>
      </w:r>
    </w:p>
    <w:p w14:paraId="0FAF4F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701"/>
        <w:gridCol w:w="2268"/>
        <w:gridCol w:w="1843"/>
      </w:tblGrid>
      <w:tr w:rsidR="00A259BD" w:rsidRPr="00A259BD" w14:paraId="380D5C8E" w14:textId="77777777">
        <w:trPr>
          <w:cantSplit/>
        </w:trPr>
        <w:tc>
          <w:tcPr>
            <w:tcW w:w="1951" w:type="dxa"/>
          </w:tcPr>
          <w:p w14:paraId="53973F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C72B5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ВВС</w:t>
            </w:r>
          </w:p>
        </w:tc>
        <w:tc>
          <w:tcPr>
            <w:tcW w:w="2268" w:type="dxa"/>
          </w:tcPr>
          <w:p w14:paraId="07B361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Гражданская авиация</w:t>
            </w:r>
          </w:p>
        </w:tc>
        <w:tc>
          <w:tcPr>
            <w:tcW w:w="1843" w:type="dxa"/>
          </w:tcPr>
          <w:p w14:paraId="07BB50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r>
      <w:tr w:rsidR="00A259BD" w:rsidRPr="00A259BD" w14:paraId="7D0541B7" w14:textId="77777777">
        <w:trPr>
          <w:cantSplit/>
        </w:trPr>
        <w:tc>
          <w:tcPr>
            <w:tcW w:w="1951" w:type="dxa"/>
          </w:tcPr>
          <w:p w14:paraId="73A483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год</w:t>
            </w:r>
          </w:p>
        </w:tc>
        <w:tc>
          <w:tcPr>
            <w:tcW w:w="1701" w:type="dxa"/>
          </w:tcPr>
          <w:p w14:paraId="095CB1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3980</w:t>
            </w:r>
          </w:p>
        </w:tc>
        <w:tc>
          <w:tcPr>
            <w:tcW w:w="2268" w:type="dxa"/>
          </w:tcPr>
          <w:p w14:paraId="44024A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126</w:t>
            </w:r>
          </w:p>
        </w:tc>
        <w:tc>
          <w:tcPr>
            <w:tcW w:w="1843" w:type="dxa"/>
          </w:tcPr>
          <w:p w14:paraId="26F76C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4106</w:t>
            </w:r>
          </w:p>
        </w:tc>
      </w:tr>
      <w:tr w:rsidR="00A259BD" w:rsidRPr="00A259BD" w14:paraId="0E4704D7" w14:textId="77777777">
        <w:trPr>
          <w:cantSplit/>
        </w:trPr>
        <w:tc>
          <w:tcPr>
            <w:tcW w:w="1951" w:type="dxa"/>
          </w:tcPr>
          <w:p w14:paraId="4DB6F5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 год</w:t>
            </w:r>
          </w:p>
        </w:tc>
        <w:tc>
          <w:tcPr>
            <w:tcW w:w="1701" w:type="dxa"/>
          </w:tcPr>
          <w:p w14:paraId="7EE4D3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4350</w:t>
            </w:r>
          </w:p>
        </w:tc>
        <w:tc>
          <w:tcPr>
            <w:tcW w:w="2268" w:type="dxa"/>
          </w:tcPr>
          <w:p w14:paraId="2B9E9A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139</w:t>
            </w:r>
          </w:p>
        </w:tc>
        <w:tc>
          <w:tcPr>
            <w:tcW w:w="1843" w:type="dxa"/>
          </w:tcPr>
          <w:p w14:paraId="7E93FC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4489</w:t>
            </w:r>
          </w:p>
        </w:tc>
      </w:tr>
      <w:tr w:rsidR="00A259BD" w:rsidRPr="00A259BD" w14:paraId="71517F6E" w14:textId="77777777">
        <w:trPr>
          <w:cantSplit/>
        </w:trPr>
        <w:tc>
          <w:tcPr>
            <w:tcW w:w="1951" w:type="dxa"/>
          </w:tcPr>
          <w:p w14:paraId="559164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 год</w:t>
            </w:r>
          </w:p>
        </w:tc>
        <w:tc>
          <w:tcPr>
            <w:tcW w:w="1701" w:type="dxa"/>
          </w:tcPr>
          <w:p w14:paraId="45D020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4710</w:t>
            </w:r>
          </w:p>
        </w:tc>
        <w:tc>
          <w:tcPr>
            <w:tcW w:w="2268" w:type="dxa"/>
          </w:tcPr>
          <w:p w14:paraId="5C68BA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182</w:t>
            </w:r>
          </w:p>
        </w:tc>
        <w:tc>
          <w:tcPr>
            <w:tcW w:w="1843" w:type="dxa"/>
          </w:tcPr>
          <w:p w14:paraId="38C4CF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4892</w:t>
            </w:r>
          </w:p>
        </w:tc>
      </w:tr>
      <w:tr w:rsidR="00A259BD" w:rsidRPr="00A259BD" w14:paraId="4BFC692A" w14:textId="77777777">
        <w:trPr>
          <w:cantSplit/>
        </w:trPr>
        <w:tc>
          <w:tcPr>
            <w:tcW w:w="1951" w:type="dxa"/>
          </w:tcPr>
          <w:p w14:paraId="5E92A3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год</w:t>
            </w:r>
          </w:p>
        </w:tc>
        <w:tc>
          <w:tcPr>
            <w:tcW w:w="1701" w:type="dxa"/>
          </w:tcPr>
          <w:p w14:paraId="3A9A78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6865</w:t>
            </w:r>
          </w:p>
        </w:tc>
        <w:tc>
          <w:tcPr>
            <w:tcW w:w="2268" w:type="dxa"/>
          </w:tcPr>
          <w:p w14:paraId="530BAE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233</w:t>
            </w:r>
          </w:p>
        </w:tc>
        <w:tc>
          <w:tcPr>
            <w:tcW w:w="1843" w:type="dxa"/>
          </w:tcPr>
          <w:p w14:paraId="022477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7098</w:t>
            </w:r>
          </w:p>
        </w:tc>
      </w:tr>
    </w:tbl>
    <w:p w14:paraId="2D5B41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701"/>
        <w:gridCol w:w="2268"/>
        <w:gridCol w:w="1843"/>
      </w:tblGrid>
      <w:tr w:rsidR="00A259BD" w:rsidRPr="00A259BD" w14:paraId="1E3DB39B" w14:textId="77777777">
        <w:trPr>
          <w:cantSplit/>
        </w:trPr>
        <w:tc>
          <w:tcPr>
            <w:tcW w:w="1951" w:type="dxa"/>
          </w:tcPr>
          <w:p w14:paraId="20DD99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04E04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ВВС</w:t>
            </w:r>
          </w:p>
        </w:tc>
        <w:tc>
          <w:tcPr>
            <w:tcW w:w="2268" w:type="dxa"/>
          </w:tcPr>
          <w:p w14:paraId="7C1F9A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Гражданская авиация</w:t>
            </w:r>
          </w:p>
        </w:tc>
        <w:tc>
          <w:tcPr>
            <w:tcW w:w="1843" w:type="dxa"/>
          </w:tcPr>
          <w:p w14:paraId="636B16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r>
      <w:tr w:rsidR="00A259BD" w:rsidRPr="00A259BD" w14:paraId="6041EA5D" w14:textId="77777777">
        <w:trPr>
          <w:cantSplit/>
        </w:trPr>
        <w:tc>
          <w:tcPr>
            <w:tcW w:w="1951" w:type="dxa"/>
          </w:tcPr>
          <w:p w14:paraId="402008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год</w:t>
            </w:r>
          </w:p>
        </w:tc>
        <w:tc>
          <w:tcPr>
            <w:tcW w:w="1701" w:type="dxa"/>
          </w:tcPr>
          <w:p w14:paraId="27E713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4297</w:t>
            </w:r>
          </w:p>
        </w:tc>
        <w:tc>
          <w:tcPr>
            <w:tcW w:w="2268" w:type="dxa"/>
          </w:tcPr>
          <w:p w14:paraId="66D845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366</w:t>
            </w:r>
          </w:p>
        </w:tc>
        <w:tc>
          <w:tcPr>
            <w:tcW w:w="1843" w:type="dxa"/>
          </w:tcPr>
          <w:p w14:paraId="11EA30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4663</w:t>
            </w:r>
          </w:p>
        </w:tc>
      </w:tr>
      <w:tr w:rsidR="00A259BD" w:rsidRPr="00A259BD" w14:paraId="1AD3121B" w14:textId="77777777">
        <w:trPr>
          <w:cantSplit/>
        </w:trPr>
        <w:tc>
          <w:tcPr>
            <w:tcW w:w="1951" w:type="dxa"/>
          </w:tcPr>
          <w:p w14:paraId="5BC8DF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 год</w:t>
            </w:r>
          </w:p>
        </w:tc>
        <w:tc>
          <w:tcPr>
            <w:tcW w:w="1701" w:type="dxa"/>
          </w:tcPr>
          <w:p w14:paraId="4440A7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4848</w:t>
            </w:r>
          </w:p>
        </w:tc>
        <w:tc>
          <w:tcPr>
            <w:tcW w:w="2268" w:type="dxa"/>
          </w:tcPr>
          <w:p w14:paraId="7F753B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482</w:t>
            </w:r>
          </w:p>
        </w:tc>
        <w:tc>
          <w:tcPr>
            <w:tcW w:w="1843" w:type="dxa"/>
          </w:tcPr>
          <w:p w14:paraId="4F8ACC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5330</w:t>
            </w:r>
          </w:p>
        </w:tc>
      </w:tr>
      <w:tr w:rsidR="00A259BD" w:rsidRPr="00A259BD" w14:paraId="328EF00D" w14:textId="77777777">
        <w:trPr>
          <w:cantSplit/>
        </w:trPr>
        <w:tc>
          <w:tcPr>
            <w:tcW w:w="1951" w:type="dxa"/>
          </w:tcPr>
          <w:p w14:paraId="2E6A48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 год</w:t>
            </w:r>
          </w:p>
        </w:tc>
        <w:tc>
          <w:tcPr>
            <w:tcW w:w="1701" w:type="dxa"/>
          </w:tcPr>
          <w:p w14:paraId="3E7068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5500</w:t>
            </w:r>
          </w:p>
        </w:tc>
        <w:tc>
          <w:tcPr>
            <w:tcW w:w="2268" w:type="dxa"/>
          </w:tcPr>
          <w:p w14:paraId="796043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724</w:t>
            </w:r>
          </w:p>
        </w:tc>
        <w:tc>
          <w:tcPr>
            <w:tcW w:w="1843" w:type="dxa"/>
          </w:tcPr>
          <w:p w14:paraId="7CFDE0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6224</w:t>
            </w:r>
          </w:p>
        </w:tc>
      </w:tr>
      <w:tr w:rsidR="00A259BD" w:rsidRPr="00A259BD" w14:paraId="5DB75F51" w14:textId="77777777">
        <w:trPr>
          <w:cantSplit/>
        </w:trPr>
        <w:tc>
          <w:tcPr>
            <w:tcW w:w="1951" w:type="dxa"/>
          </w:tcPr>
          <w:p w14:paraId="309BEF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год</w:t>
            </w:r>
          </w:p>
        </w:tc>
        <w:tc>
          <w:tcPr>
            <w:tcW w:w="1701" w:type="dxa"/>
          </w:tcPr>
          <w:p w14:paraId="693B08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8010</w:t>
            </w:r>
          </w:p>
        </w:tc>
        <w:tc>
          <w:tcPr>
            <w:tcW w:w="2268" w:type="dxa"/>
          </w:tcPr>
          <w:p w14:paraId="18CB5D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1287</w:t>
            </w:r>
          </w:p>
        </w:tc>
        <w:tc>
          <w:tcPr>
            <w:tcW w:w="1843" w:type="dxa"/>
          </w:tcPr>
          <w:p w14:paraId="4CC286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9297</w:t>
            </w:r>
          </w:p>
        </w:tc>
      </w:tr>
    </w:tbl>
    <w:p w14:paraId="5ED086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Возложить на Наркомвоенмор определение, по согласованию с промышленностью, типов и конструкций самолетов и моторов в пределах, указанных выше цифр по годам, предоставляя РВС право окончательного решения по этому вопросу.</w:t>
      </w:r>
    </w:p>
    <w:p w14:paraId="00CF9721"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покрытия указанной минимальной потребности ВФ в самолетах и моторах на военное время признать необходимым следующие мероприятия:</w:t>
      </w:r>
    </w:p>
    <w:p w14:paraId="36E572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По самолетам:</w:t>
      </w:r>
    </w:p>
    <w:p w14:paraId="1B701E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отпустить по смете 1929/30 года средства и приступить в 1929/30 году к постройке новых заводов: А – по разведчикам и истребителям деревянной и смешанной конструкции и Б – по легким и тяжелым бомбардировщикам и штурмовикам металлической конструкции, с расчетом начать в 1931/32 году выпуск продукции в размерах: завод А – 260 и завод Б – 196 самолетов;</w:t>
      </w:r>
    </w:p>
    <w:p w14:paraId="37519E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развернуть существующие заводы, доведя их пропускную способность по сдаче при работе в 2 смены по 10 рабочих часов каждая, вместе с продукцией новых заводов А и Б, до полного удовлетворения в 1932/33 году минимальной потребности ВФ в самолетах на год ведения войны, а именно: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701"/>
        <w:gridCol w:w="1701"/>
        <w:gridCol w:w="1843"/>
        <w:gridCol w:w="1843"/>
      </w:tblGrid>
      <w:tr w:rsidR="00A259BD" w:rsidRPr="00A259BD" w14:paraId="502569C3" w14:textId="77777777">
        <w:trPr>
          <w:cantSplit/>
        </w:trPr>
        <w:tc>
          <w:tcPr>
            <w:tcW w:w="1809" w:type="dxa"/>
          </w:tcPr>
          <w:p w14:paraId="51452D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701" w:type="dxa"/>
          </w:tcPr>
          <w:p w14:paraId="65DD65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год</w:t>
            </w:r>
          </w:p>
        </w:tc>
        <w:tc>
          <w:tcPr>
            <w:tcW w:w="1701" w:type="dxa"/>
          </w:tcPr>
          <w:p w14:paraId="798F62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 год</w:t>
            </w:r>
          </w:p>
        </w:tc>
        <w:tc>
          <w:tcPr>
            <w:tcW w:w="1843" w:type="dxa"/>
          </w:tcPr>
          <w:p w14:paraId="0CBB9F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 год</w:t>
            </w:r>
          </w:p>
        </w:tc>
        <w:tc>
          <w:tcPr>
            <w:tcW w:w="1843" w:type="dxa"/>
          </w:tcPr>
          <w:p w14:paraId="14D1D0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год</w:t>
            </w:r>
          </w:p>
        </w:tc>
      </w:tr>
      <w:tr w:rsidR="00A259BD" w:rsidRPr="00A259BD" w14:paraId="3B1D0DD4" w14:textId="77777777">
        <w:trPr>
          <w:cantSplit/>
        </w:trPr>
        <w:tc>
          <w:tcPr>
            <w:tcW w:w="1809" w:type="dxa"/>
          </w:tcPr>
          <w:p w14:paraId="46574E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w:t>
            </w:r>
          </w:p>
        </w:tc>
        <w:tc>
          <w:tcPr>
            <w:tcW w:w="1701" w:type="dxa"/>
          </w:tcPr>
          <w:p w14:paraId="1E7AF7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910</w:t>
            </w:r>
          </w:p>
        </w:tc>
        <w:tc>
          <w:tcPr>
            <w:tcW w:w="1701" w:type="dxa"/>
          </w:tcPr>
          <w:p w14:paraId="6E80F4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1610</w:t>
            </w:r>
          </w:p>
        </w:tc>
        <w:tc>
          <w:tcPr>
            <w:tcW w:w="1843" w:type="dxa"/>
          </w:tcPr>
          <w:p w14:paraId="643460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2047</w:t>
            </w:r>
          </w:p>
        </w:tc>
        <w:tc>
          <w:tcPr>
            <w:tcW w:w="1843" w:type="dxa"/>
          </w:tcPr>
          <w:p w14:paraId="487492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2300</w:t>
            </w:r>
          </w:p>
        </w:tc>
      </w:tr>
      <w:tr w:rsidR="00A259BD" w:rsidRPr="00A259BD" w14:paraId="45263BB3" w14:textId="77777777">
        <w:trPr>
          <w:cantSplit/>
        </w:trPr>
        <w:tc>
          <w:tcPr>
            <w:tcW w:w="1809" w:type="dxa"/>
          </w:tcPr>
          <w:p w14:paraId="64A85B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22</w:t>
            </w:r>
          </w:p>
        </w:tc>
        <w:tc>
          <w:tcPr>
            <w:tcW w:w="1701" w:type="dxa"/>
          </w:tcPr>
          <w:p w14:paraId="29DA77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329</w:t>
            </w:r>
          </w:p>
        </w:tc>
        <w:tc>
          <w:tcPr>
            <w:tcW w:w="1701" w:type="dxa"/>
          </w:tcPr>
          <w:p w14:paraId="3D1D8C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w:t>
            </w:r>
          </w:p>
        </w:tc>
        <w:tc>
          <w:tcPr>
            <w:tcW w:w="1843" w:type="dxa"/>
          </w:tcPr>
          <w:p w14:paraId="31B3F5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650</w:t>
            </w:r>
          </w:p>
        </w:tc>
        <w:tc>
          <w:tcPr>
            <w:tcW w:w="1843" w:type="dxa"/>
          </w:tcPr>
          <w:p w14:paraId="5FEA93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709</w:t>
            </w:r>
          </w:p>
        </w:tc>
      </w:tr>
      <w:tr w:rsidR="00A259BD" w:rsidRPr="00A259BD" w14:paraId="73D9BE22" w14:textId="77777777">
        <w:trPr>
          <w:cantSplit/>
        </w:trPr>
        <w:tc>
          <w:tcPr>
            <w:tcW w:w="1809" w:type="dxa"/>
          </w:tcPr>
          <w:p w14:paraId="66CD14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23</w:t>
            </w:r>
          </w:p>
        </w:tc>
        <w:tc>
          <w:tcPr>
            <w:tcW w:w="1701" w:type="dxa"/>
          </w:tcPr>
          <w:p w14:paraId="64AA71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437</w:t>
            </w:r>
          </w:p>
        </w:tc>
        <w:tc>
          <w:tcPr>
            <w:tcW w:w="1701" w:type="dxa"/>
          </w:tcPr>
          <w:p w14:paraId="79C646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573</w:t>
            </w:r>
          </w:p>
        </w:tc>
        <w:tc>
          <w:tcPr>
            <w:tcW w:w="1843" w:type="dxa"/>
          </w:tcPr>
          <w:p w14:paraId="468164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574</w:t>
            </w:r>
          </w:p>
        </w:tc>
        <w:tc>
          <w:tcPr>
            <w:tcW w:w="1843" w:type="dxa"/>
          </w:tcPr>
          <w:p w14:paraId="6CF0FA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586</w:t>
            </w:r>
          </w:p>
        </w:tc>
      </w:tr>
      <w:tr w:rsidR="00A259BD" w:rsidRPr="00A259BD" w14:paraId="4E9C986E" w14:textId="77777777">
        <w:trPr>
          <w:cantSplit/>
        </w:trPr>
        <w:tc>
          <w:tcPr>
            <w:tcW w:w="1809" w:type="dxa"/>
          </w:tcPr>
          <w:p w14:paraId="036012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31</w:t>
            </w:r>
          </w:p>
        </w:tc>
        <w:tc>
          <w:tcPr>
            <w:tcW w:w="1701" w:type="dxa"/>
          </w:tcPr>
          <w:p w14:paraId="17C093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710</w:t>
            </w:r>
          </w:p>
        </w:tc>
        <w:tc>
          <w:tcPr>
            <w:tcW w:w="1701" w:type="dxa"/>
          </w:tcPr>
          <w:p w14:paraId="51E7B9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246</w:t>
            </w:r>
          </w:p>
        </w:tc>
        <w:tc>
          <w:tcPr>
            <w:tcW w:w="1843" w:type="dxa"/>
          </w:tcPr>
          <w:p w14:paraId="41BC4E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356</w:t>
            </w:r>
          </w:p>
        </w:tc>
        <w:tc>
          <w:tcPr>
            <w:tcW w:w="1843" w:type="dxa"/>
          </w:tcPr>
          <w:p w14:paraId="702175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560</w:t>
            </w:r>
          </w:p>
        </w:tc>
      </w:tr>
      <w:tr w:rsidR="00A259BD" w:rsidRPr="00A259BD" w14:paraId="480BF64B" w14:textId="77777777">
        <w:trPr>
          <w:cantSplit/>
        </w:trPr>
        <w:tc>
          <w:tcPr>
            <w:tcW w:w="1809" w:type="dxa"/>
          </w:tcPr>
          <w:p w14:paraId="68908E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Укрвоздухпуть</w:t>
            </w:r>
            <w:proofErr w:type="spellEnd"/>
          </w:p>
        </w:tc>
        <w:tc>
          <w:tcPr>
            <w:tcW w:w="1701" w:type="dxa"/>
          </w:tcPr>
          <w:p w14:paraId="0CCAC1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87</w:t>
            </w:r>
          </w:p>
        </w:tc>
        <w:tc>
          <w:tcPr>
            <w:tcW w:w="1701" w:type="dxa"/>
          </w:tcPr>
          <w:p w14:paraId="595DDA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124</w:t>
            </w:r>
          </w:p>
        </w:tc>
        <w:tc>
          <w:tcPr>
            <w:tcW w:w="1843" w:type="dxa"/>
          </w:tcPr>
          <w:p w14:paraId="00842B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w:t>
            </w:r>
          </w:p>
        </w:tc>
        <w:tc>
          <w:tcPr>
            <w:tcW w:w="1843" w:type="dxa"/>
          </w:tcPr>
          <w:p w14:paraId="699303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232</w:t>
            </w:r>
          </w:p>
        </w:tc>
      </w:tr>
      <w:tr w:rsidR="00A259BD" w:rsidRPr="00A259BD" w14:paraId="2789CABE" w14:textId="77777777">
        <w:trPr>
          <w:cantSplit/>
        </w:trPr>
        <w:tc>
          <w:tcPr>
            <w:tcW w:w="1809" w:type="dxa"/>
          </w:tcPr>
          <w:p w14:paraId="0DF47F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w:t>
            </w:r>
          </w:p>
        </w:tc>
        <w:tc>
          <w:tcPr>
            <w:tcW w:w="1701" w:type="dxa"/>
          </w:tcPr>
          <w:p w14:paraId="77C0AD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701" w:type="dxa"/>
          </w:tcPr>
          <w:p w14:paraId="35C190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843" w:type="dxa"/>
          </w:tcPr>
          <w:p w14:paraId="5DCD00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860</w:t>
            </w:r>
          </w:p>
        </w:tc>
        <w:tc>
          <w:tcPr>
            <w:tcW w:w="1843" w:type="dxa"/>
          </w:tcPr>
          <w:p w14:paraId="1C9552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2142</w:t>
            </w:r>
          </w:p>
        </w:tc>
      </w:tr>
      <w:tr w:rsidR="00A259BD" w:rsidRPr="00A259BD" w14:paraId="0A9EF391" w14:textId="77777777">
        <w:trPr>
          <w:cantSplit/>
        </w:trPr>
        <w:tc>
          <w:tcPr>
            <w:tcW w:w="1809" w:type="dxa"/>
          </w:tcPr>
          <w:p w14:paraId="6C33AC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w:t>
            </w:r>
          </w:p>
        </w:tc>
        <w:tc>
          <w:tcPr>
            <w:tcW w:w="1701" w:type="dxa"/>
          </w:tcPr>
          <w:p w14:paraId="1563C2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701" w:type="dxa"/>
          </w:tcPr>
          <w:p w14:paraId="2F3626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843" w:type="dxa"/>
          </w:tcPr>
          <w:p w14:paraId="4B5E44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196</w:t>
            </w:r>
          </w:p>
        </w:tc>
        <w:tc>
          <w:tcPr>
            <w:tcW w:w="1843" w:type="dxa"/>
          </w:tcPr>
          <w:p w14:paraId="7A758C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579</w:t>
            </w:r>
          </w:p>
        </w:tc>
      </w:tr>
      <w:tr w:rsidR="00A259BD" w:rsidRPr="00A259BD" w14:paraId="7A101347" w14:textId="77777777">
        <w:trPr>
          <w:cantSplit/>
        </w:trPr>
        <w:tc>
          <w:tcPr>
            <w:tcW w:w="1809" w:type="dxa"/>
          </w:tcPr>
          <w:p w14:paraId="0EF2C7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1701" w:type="dxa"/>
          </w:tcPr>
          <w:p w14:paraId="12D9CB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2473</w:t>
            </w:r>
          </w:p>
        </w:tc>
        <w:tc>
          <w:tcPr>
            <w:tcW w:w="1701" w:type="dxa"/>
          </w:tcPr>
          <w:p w14:paraId="485880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3003</w:t>
            </w:r>
          </w:p>
        </w:tc>
        <w:tc>
          <w:tcPr>
            <w:tcW w:w="1843" w:type="dxa"/>
          </w:tcPr>
          <w:p w14:paraId="0652AE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4875</w:t>
            </w:r>
          </w:p>
        </w:tc>
        <w:tc>
          <w:tcPr>
            <w:tcW w:w="1843" w:type="dxa"/>
          </w:tcPr>
          <w:p w14:paraId="2D0A2A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7098</w:t>
            </w:r>
          </w:p>
        </w:tc>
      </w:tr>
    </w:tbl>
    <w:p w14:paraId="55C08E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передать завод </w:t>
      </w: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с сохранением конструкторской группы Калинина в виде отдельного самостоятельного конструкторского бюро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по смешанным конструкциям;</w:t>
      </w:r>
    </w:p>
    <w:p w14:paraId="5730E3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закончить к 1931/32 году выделение производства установок авиационного вооружения (турелей, синхронизаторов и пр.) из завода № 1 на отдельный новый завод, подлежащий для этой цели постройке и оборудованию с расчетом на удовлетворение полностью всех нужд воздушного флота; при этом заводе иметь конструкторское бюро и цех опытного производства по упомянутым установкам.</w:t>
      </w:r>
    </w:p>
    <w:p w14:paraId="09A480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 моторам.</w:t>
      </w:r>
    </w:p>
    <w:p w14:paraId="06E23E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Закончить к 1931/32 году выделение производства вспомогательных механизмов и деталей моторов (карбюраторов, помп всех видов и назначений, поршневых колец, пружин, болтов и других нормалей) из основных серийных заводов и сосредоточить их производство на отдельный новый завод, подлежащий постройке и оборудованию с расчетом на удовлетворение полностью потребности ВФ в этих агрегатах; средства на проектирование завода предусмотреть в смете 1929/30 года.</w:t>
      </w:r>
    </w:p>
    <w:p w14:paraId="3088C2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Признать в принципе необходимым, чтобы новый завод производящий вспомогательные механизмы и детали моторов, одновременно удовлетворял потребности авиации и автопромышленности. Поэтому, не приостанавливая работ по проектированию завода, поручить ВСНХ в трехмесячный срок проработать этот вопрос и не позднее 1 января 1930 года внести свои предложения с заключением РВС в РЗ СТО.</w:t>
      </w:r>
    </w:p>
    <w:p w14:paraId="099BCF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Развернуть существующие заводы и построить один новый завод с пропускной способностью по сдаче при работе в две смены по 10 часов каждая: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726"/>
        <w:gridCol w:w="1676"/>
        <w:gridCol w:w="1843"/>
        <w:gridCol w:w="1843"/>
      </w:tblGrid>
      <w:tr w:rsidR="00A259BD" w:rsidRPr="00A259BD" w14:paraId="2FB7A214" w14:textId="77777777">
        <w:trPr>
          <w:cantSplit/>
        </w:trPr>
        <w:tc>
          <w:tcPr>
            <w:tcW w:w="1809" w:type="dxa"/>
          </w:tcPr>
          <w:p w14:paraId="397E95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726" w:type="dxa"/>
          </w:tcPr>
          <w:p w14:paraId="4844CB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год</w:t>
            </w:r>
          </w:p>
        </w:tc>
        <w:tc>
          <w:tcPr>
            <w:tcW w:w="1676" w:type="dxa"/>
          </w:tcPr>
          <w:p w14:paraId="1244E5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 год</w:t>
            </w:r>
          </w:p>
        </w:tc>
        <w:tc>
          <w:tcPr>
            <w:tcW w:w="1843" w:type="dxa"/>
          </w:tcPr>
          <w:p w14:paraId="782970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 год</w:t>
            </w:r>
          </w:p>
        </w:tc>
        <w:tc>
          <w:tcPr>
            <w:tcW w:w="1843" w:type="dxa"/>
          </w:tcPr>
          <w:p w14:paraId="68D789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год</w:t>
            </w:r>
          </w:p>
        </w:tc>
      </w:tr>
      <w:tr w:rsidR="00A259BD" w:rsidRPr="00A259BD" w14:paraId="59BFBFCF" w14:textId="77777777">
        <w:trPr>
          <w:cantSplit/>
        </w:trPr>
        <w:tc>
          <w:tcPr>
            <w:tcW w:w="1809" w:type="dxa"/>
          </w:tcPr>
          <w:p w14:paraId="32D19B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24</w:t>
            </w:r>
          </w:p>
        </w:tc>
        <w:tc>
          <w:tcPr>
            <w:tcW w:w="1726" w:type="dxa"/>
          </w:tcPr>
          <w:p w14:paraId="2E41AD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1915</w:t>
            </w:r>
          </w:p>
        </w:tc>
        <w:tc>
          <w:tcPr>
            <w:tcW w:w="1676" w:type="dxa"/>
          </w:tcPr>
          <w:p w14:paraId="28A8FC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2080</w:t>
            </w:r>
          </w:p>
        </w:tc>
        <w:tc>
          <w:tcPr>
            <w:tcW w:w="1843" w:type="dxa"/>
          </w:tcPr>
          <w:p w14:paraId="75F482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1850</w:t>
            </w:r>
          </w:p>
        </w:tc>
        <w:tc>
          <w:tcPr>
            <w:tcW w:w="1843" w:type="dxa"/>
          </w:tcPr>
          <w:p w14:paraId="404CB4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2385</w:t>
            </w:r>
          </w:p>
        </w:tc>
      </w:tr>
      <w:tr w:rsidR="00A259BD" w:rsidRPr="00A259BD" w14:paraId="0F7595FE" w14:textId="77777777">
        <w:trPr>
          <w:cantSplit/>
        </w:trPr>
        <w:tc>
          <w:tcPr>
            <w:tcW w:w="1809" w:type="dxa"/>
          </w:tcPr>
          <w:p w14:paraId="2C2E44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26</w:t>
            </w:r>
          </w:p>
        </w:tc>
        <w:tc>
          <w:tcPr>
            <w:tcW w:w="1726" w:type="dxa"/>
          </w:tcPr>
          <w:p w14:paraId="060CE6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1676" w:type="dxa"/>
          </w:tcPr>
          <w:p w14:paraId="37FE42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875</w:t>
            </w:r>
          </w:p>
        </w:tc>
        <w:tc>
          <w:tcPr>
            <w:tcW w:w="1843" w:type="dxa"/>
          </w:tcPr>
          <w:p w14:paraId="30594C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2300</w:t>
            </w:r>
          </w:p>
        </w:tc>
        <w:tc>
          <w:tcPr>
            <w:tcW w:w="1843" w:type="dxa"/>
          </w:tcPr>
          <w:p w14:paraId="6CE7B0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3350</w:t>
            </w:r>
          </w:p>
        </w:tc>
      </w:tr>
      <w:tr w:rsidR="00A259BD" w:rsidRPr="00A259BD" w14:paraId="4E959DCE" w14:textId="77777777">
        <w:trPr>
          <w:cantSplit/>
        </w:trPr>
        <w:tc>
          <w:tcPr>
            <w:tcW w:w="1809" w:type="dxa"/>
          </w:tcPr>
          <w:p w14:paraId="2D07E0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29</w:t>
            </w:r>
          </w:p>
        </w:tc>
        <w:tc>
          <w:tcPr>
            <w:tcW w:w="1726" w:type="dxa"/>
          </w:tcPr>
          <w:p w14:paraId="224432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360</w:t>
            </w:r>
          </w:p>
        </w:tc>
        <w:tc>
          <w:tcPr>
            <w:tcW w:w="1676" w:type="dxa"/>
          </w:tcPr>
          <w:p w14:paraId="2D4E91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700</w:t>
            </w:r>
          </w:p>
        </w:tc>
        <w:tc>
          <w:tcPr>
            <w:tcW w:w="1843" w:type="dxa"/>
          </w:tcPr>
          <w:p w14:paraId="3A31C8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1210</w:t>
            </w:r>
          </w:p>
        </w:tc>
        <w:tc>
          <w:tcPr>
            <w:tcW w:w="1843" w:type="dxa"/>
          </w:tcPr>
          <w:p w14:paraId="22E1E1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1725</w:t>
            </w:r>
          </w:p>
        </w:tc>
      </w:tr>
      <w:tr w:rsidR="00A259BD" w:rsidRPr="00A259BD" w14:paraId="10107C0C" w14:textId="77777777">
        <w:trPr>
          <w:cantSplit/>
        </w:trPr>
        <w:tc>
          <w:tcPr>
            <w:tcW w:w="1809" w:type="dxa"/>
          </w:tcPr>
          <w:p w14:paraId="5CD3D6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Новый</w:t>
            </w:r>
          </w:p>
        </w:tc>
        <w:tc>
          <w:tcPr>
            <w:tcW w:w="1726" w:type="dxa"/>
          </w:tcPr>
          <w:p w14:paraId="45DEB7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676" w:type="dxa"/>
          </w:tcPr>
          <w:p w14:paraId="0C2B28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843" w:type="dxa"/>
          </w:tcPr>
          <w:p w14:paraId="6EADE4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tc>
        <w:tc>
          <w:tcPr>
            <w:tcW w:w="1843" w:type="dxa"/>
          </w:tcPr>
          <w:p w14:paraId="202D97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w:t>
            </w:r>
          </w:p>
        </w:tc>
      </w:tr>
      <w:tr w:rsidR="00A259BD" w:rsidRPr="00A259BD" w14:paraId="0B136938" w14:textId="77777777">
        <w:trPr>
          <w:cantSplit/>
        </w:trPr>
        <w:tc>
          <w:tcPr>
            <w:tcW w:w="1809" w:type="dxa"/>
          </w:tcPr>
          <w:p w14:paraId="63738D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1726" w:type="dxa"/>
          </w:tcPr>
          <w:p w14:paraId="62FEFF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2775</w:t>
            </w:r>
          </w:p>
        </w:tc>
        <w:tc>
          <w:tcPr>
            <w:tcW w:w="1676" w:type="dxa"/>
          </w:tcPr>
          <w:p w14:paraId="6BAE31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3655</w:t>
            </w:r>
          </w:p>
        </w:tc>
        <w:tc>
          <w:tcPr>
            <w:tcW w:w="1843" w:type="dxa"/>
          </w:tcPr>
          <w:p w14:paraId="14BA1A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5660</w:t>
            </w:r>
          </w:p>
        </w:tc>
        <w:tc>
          <w:tcPr>
            <w:tcW w:w="1843" w:type="dxa"/>
          </w:tcPr>
          <w:p w14:paraId="429C8E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9460</w:t>
            </w:r>
          </w:p>
        </w:tc>
      </w:tr>
    </w:tbl>
    <w:p w14:paraId="02B83CF9"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Проектирование и составление смет, а равно и строительство и оборудование новых заводов авиапромышленности вести форсированным темпом, всемерно упрощая утверждение проектов, планов и смет.</w:t>
      </w:r>
    </w:p>
    <w:p w14:paraId="7107D5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Слушали: Тезисы Урываева по вопросу о привлечен и промышленности ВСНХ к удовлетворению потребностей ВФ, а также кооперирования и ассимиляции производства авиапромышленности с гражданскими отраслями промышленности.</w:t>
      </w:r>
    </w:p>
    <w:p w14:paraId="549E2B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Постановили: Принять тезисы Урываева за основу при проработке этого вопроса специальной технической комиссией, выделенной 5 сентября 1929 года в составе Михеля (председатель), </w:t>
      </w:r>
      <w:proofErr w:type="spellStart"/>
      <w:r w:rsidRPr="00A259BD">
        <w:rPr>
          <w:rFonts w:ascii="Times New Roman" w:hAnsi="Times New Roman"/>
          <w:color w:val="000000" w:themeColor="text1"/>
          <w:sz w:val="16"/>
          <w:szCs w:val="16"/>
        </w:rPr>
        <w:t>Клышко</w:t>
      </w:r>
      <w:proofErr w:type="spellEnd"/>
      <w:r w:rsidRPr="00A259BD">
        <w:rPr>
          <w:rFonts w:ascii="Times New Roman" w:hAnsi="Times New Roman"/>
          <w:color w:val="000000" w:themeColor="text1"/>
          <w:sz w:val="16"/>
          <w:szCs w:val="16"/>
        </w:rPr>
        <w:t xml:space="preserve">, Котовского, </w:t>
      </w:r>
      <w:proofErr w:type="spellStart"/>
      <w:r w:rsidRPr="00A259BD">
        <w:rPr>
          <w:rFonts w:ascii="Times New Roman" w:hAnsi="Times New Roman"/>
          <w:color w:val="000000" w:themeColor="text1"/>
          <w:sz w:val="16"/>
          <w:szCs w:val="16"/>
        </w:rPr>
        <w:t>Петрожицкого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Макарука</w:t>
      </w:r>
      <w:proofErr w:type="spellEnd"/>
      <w:r w:rsidRPr="00A259BD">
        <w:rPr>
          <w:rFonts w:ascii="Times New Roman" w:hAnsi="Times New Roman"/>
          <w:color w:val="000000" w:themeColor="text1"/>
          <w:sz w:val="16"/>
          <w:szCs w:val="16"/>
        </w:rPr>
        <w:t>, Бубенчика и Воробьева. Срок работы комиссии 1 ноября 1929 года (3545, 53-56).</w:t>
      </w:r>
    </w:p>
    <w:p w14:paraId="52F933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2A9B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сентября 1929 состоялось заседание Совета по ГА под пред. П.И.Б. (протокол 43) и обсудили контрольные цифры на 1929/30 и текущие дела, решили создать комиссию для детального рассмотрения материалов, представленных </w:t>
      </w:r>
      <w:proofErr w:type="spellStart"/>
      <w:r w:rsidRPr="00A259BD">
        <w:rPr>
          <w:rFonts w:ascii="Times New Roman" w:hAnsi="Times New Roman"/>
          <w:color w:val="000000" w:themeColor="text1"/>
          <w:sz w:val="16"/>
          <w:szCs w:val="16"/>
        </w:rPr>
        <w:t>Зарзаром</w:t>
      </w:r>
      <w:proofErr w:type="spellEnd"/>
      <w:r w:rsidRPr="00A259BD">
        <w:rPr>
          <w:rFonts w:ascii="Times New Roman" w:hAnsi="Times New Roman"/>
          <w:color w:val="000000" w:themeColor="text1"/>
          <w:sz w:val="16"/>
          <w:szCs w:val="16"/>
        </w:rPr>
        <w:t xml:space="preserve"> по контрольным цифрам (2341,112).</w:t>
      </w:r>
    </w:p>
    <w:p w14:paraId="268FFD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Присутствовали: Пред. Совета т. Баранов Н.И.</w:t>
      </w:r>
    </w:p>
    <w:p w14:paraId="7D0347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Члены Совета:</w:t>
      </w:r>
    </w:p>
    <w:p w14:paraId="01D398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Главный инспектор ГВФ </w:t>
      </w:r>
      <w:proofErr w:type="spellStart"/>
      <w:r w:rsidRPr="00A259BD">
        <w:rPr>
          <w:rFonts w:ascii="Times New Roman" w:hAnsi="Times New Roman"/>
          <w:color w:val="000000" w:themeColor="text1"/>
          <w:sz w:val="16"/>
          <w:szCs w:val="16"/>
        </w:rPr>
        <w:t>Зарзар</w:t>
      </w:r>
      <w:proofErr w:type="spellEnd"/>
      <w:r w:rsidRPr="00A259BD">
        <w:rPr>
          <w:rFonts w:ascii="Times New Roman" w:hAnsi="Times New Roman"/>
          <w:color w:val="000000" w:themeColor="text1"/>
          <w:sz w:val="16"/>
          <w:szCs w:val="16"/>
        </w:rPr>
        <w:t xml:space="preserve"> В.А.</w:t>
      </w:r>
    </w:p>
    <w:p w14:paraId="2D983C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НКИД Цукерман В.М.</w:t>
      </w:r>
    </w:p>
    <w:p w14:paraId="44539F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НКЗ Союза Розит Д.И.</w:t>
      </w:r>
    </w:p>
    <w:p w14:paraId="571925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НКО Зайцев</w:t>
      </w:r>
    </w:p>
    <w:p w14:paraId="7AB792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 </w:t>
      </w:r>
      <w:proofErr w:type="spellStart"/>
      <w:r w:rsidRPr="00A259BD">
        <w:rPr>
          <w:rFonts w:ascii="Times New Roman" w:hAnsi="Times New Roman"/>
          <w:color w:val="000000" w:themeColor="text1"/>
          <w:sz w:val="16"/>
          <w:szCs w:val="16"/>
        </w:rPr>
        <w:t>НКТорг</w:t>
      </w:r>
      <w:proofErr w:type="spellEnd"/>
      <w:r w:rsidRPr="00A259BD">
        <w:rPr>
          <w:rFonts w:ascii="Times New Roman" w:hAnsi="Times New Roman"/>
          <w:color w:val="000000" w:themeColor="text1"/>
          <w:sz w:val="16"/>
          <w:szCs w:val="16"/>
        </w:rPr>
        <w:t xml:space="preserve"> Орлов</w:t>
      </w:r>
    </w:p>
    <w:p w14:paraId="6F866D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 ВСНХ </w:t>
      </w:r>
      <w:proofErr w:type="spellStart"/>
      <w:r w:rsidRPr="00A259BD">
        <w:rPr>
          <w:rFonts w:ascii="Times New Roman" w:hAnsi="Times New Roman"/>
          <w:color w:val="000000" w:themeColor="text1"/>
          <w:sz w:val="16"/>
          <w:szCs w:val="16"/>
        </w:rPr>
        <w:t>Окромешко</w:t>
      </w:r>
      <w:proofErr w:type="spellEnd"/>
      <w:r w:rsidRPr="00A259BD">
        <w:rPr>
          <w:rFonts w:ascii="Times New Roman" w:hAnsi="Times New Roman"/>
          <w:color w:val="000000" w:themeColor="text1"/>
          <w:sz w:val="16"/>
          <w:szCs w:val="16"/>
        </w:rPr>
        <w:t xml:space="preserve"> Н.В.</w:t>
      </w:r>
    </w:p>
    <w:p w14:paraId="131366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Осоавиахим Лахтин В.Л.</w:t>
      </w:r>
    </w:p>
    <w:p w14:paraId="6A415C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Добролета Андерс А.К.</w:t>
      </w:r>
    </w:p>
    <w:p w14:paraId="687CC4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 </w:t>
      </w:r>
      <w:proofErr w:type="spellStart"/>
      <w:r w:rsidRPr="00A259BD">
        <w:rPr>
          <w:rFonts w:ascii="Times New Roman" w:hAnsi="Times New Roman"/>
          <w:color w:val="000000" w:themeColor="text1"/>
          <w:sz w:val="16"/>
          <w:szCs w:val="16"/>
        </w:rPr>
        <w:t>Укрвоздузпуть</w:t>
      </w:r>
      <w:proofErr w:type="spellEnd"/>
      <w:r w:rsidRPr="00A259BD">
        <w:rPr>
          <w:rFonts w:ascii="Times New Roman" w:hAnsi="Times New Roman"/>
          <w:color w:val="000000" w:themeColor="text1"/>
          <w:sz w:val="16"/>
          <w:szCs w:val="16"/>
        </w:rPr>
        <w:t xml:space="preserve"> Щербаков А.Я.</w:t>
      </w:r>
    </w:p>
    <w:p w14:paraId="1588D7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Секретарь Совета Кирилов Н.Н.</w:t>
      </w:r>
    </w:p>
    <w:p w14:paraId="3DC308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Представители от учреждений:</w:t>
      </w:r>
    </w:p>
    <w:p w14:paraId="7E3972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Инспекции ГВФ Силин Г.И., Гинзбург Е.М., Ангелов А.Д.</w:t>
      </w:r>
    </w:p>
    <w:p w14:paraId="7CE447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ВВА Бойцов М.В.</w:t>
      </w:r>
    </w:p>
    <w:p w14:paraId="5C878B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Добролета Макеев Б.В.</w:t>
      </w:r>
    </w:p>
    <w:p w14:paraId="56F51C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 Ред. </w:t>
      </w:r>
      <w:proofErr w:type="spellStart"/>
      <w:r w:rsidRPr="00A259BD">
        <w:rPr>
          <w:rFonts w:ascii="Times New Roman" w:hAnsi="Times New Roman"/>
          <w:color w:val="000000" w:themeColor="text1"/>
          <w:sz w:val="16"/>
          <w:szCs w:val="16"/>
        </w:rPr>
        <w:t>Комс</w:t>
      </w:r>
      <w:proofErr w:type="spellEnd"/>
      <w:r w:rsidRPr="00A259BD">
        <w:rPr>
          <w:rFonts w:ascii="Times New Roman" w:hAnsi="Times New Roman"/>
          <w:color w:val="000000" w:themeColor="text1"/>
          <w:sz w:val="16"/>
          <w:szCs w:val="16"/>
        </w:rPr>
        <w:t>. Правда Бабушкин</w:t>
      </w:r>
    </w:p>
    <w:p w14:paraId="1452E1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Ред. Вечерняя Москва Лазаревский</w:t>
      </w:r>
    </w:p>
    <w:p w14:paraId="4A97EE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Председатель т. Баранов П.И.</w:t>
      </w:r>
    </w:p>
    <w:p w14:paraId="41AD27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Секретарь т. Кириллов Н.</w:t>
      </w:r>
    </w:p>
    <w:p w14:paraId="2ACEC8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Повестка дня:</w:t>
      </w:r>
    </w:p>
    <w:p w14:paraId="59EC0E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Контрольные цифра развития ГА на 1929-30 г. (</w:t>
      </w:r>
      <w:proofErr w:type="spellStart"/>
      <w:r w:rsidRPr="00A259BD">
        <w:rPr>
          <w:rFonts w:ascii="Times New Roman" w:hAnsi="Times New Roman"/>
          <w:color w:val="000000" w:themeColor="text1"/>
          <w:sz w:val="16"/>
          <w:szCs w:val="16"/>
        </w:rPr>
        <w:t>Зарзар</w:t>
      </w:r>
      <w:proofErr w:type="spellEnd"/>
      <w:r w:rsidRPr="00A259BD">
        <w:rPr>
          <w:rFonts w:ascii="Times New Roman" w:hAnsi="Times New Roman"/>
          <w:color w:val="000000" w:themeColor="text1"/>
          <w:sz w:val="16"/>
          <w:szCs w:val="16"/>
        </w:rPr>
        <w:t>)</w:t>
      </w:r>
    </w:p>
    <w:p w14:paraId="4FF576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w:t>
      </w:r>
      <w:proofErr w:type="spellStart"/>
      <w:r w:rsidRPr="00A259BD">
        <w:rPr>
          <w:rFonts w:ascii="Times New Roman" w:hAnsi="Times New Roman"/>
          <w:color w:val="000000" w:themeColor="text1"/>
          <w:sz w:val="16"/>
          <w:szCs w:val="16"/>
        </w:rPr>
        <w:t>Текущике</w:t>
      </w:r>
      <w:proofErr w:type="spellEnd"/>
      <w:r w:rsidRPr="00A259BD">
        <w:rPr>
          <w:rFonts w:ascii="Times New Roman" w:hAnsi="Times New Roman"/>
          <w:color w:val="000000" w:themeColor="text1"/>
          <w:sz w:val="16"/>
          <w:szCs w:val="16"/>
        </w:rPr>
        <w:t xml:space="preserve"> дела</w:t>
      </w:r>
    </w:p>
    <w:p w14:paraId="16C869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Слушали:</w:t>
      </w:r>
    </w:p>
    <w:p w14:paraId="218235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Доклад </w:t>
      </w:r>
      <w:proofErr w:type="spellStart"/>
      <w:r w:rsidRPr="00A259BD">
        <w:rPr>
          <w:rFonts w:ascii="Times New Roman" w:hAnsi="Times New Roman"/>
          <w:color w:val="000000" w:themeColor="text1"/>
          <w:sz w:val="16"/>
          <w:szCs w:val="16"/>
        </w:rPr>
        <w:t>т.арзара</w:t>
      </w:r>
      <w:proofErr w:type="spellEnd"/>
      <w:r w:rsidRPr="00A259BD">
        <w:rPr>
          <w:rFonts w:ascii="Times New Roman" w:hAnsi="Times New Roman"/>
          <w:color w:val="000000" w:themeColor="text1"/>
          <w:sz w:val="16"/>
          <w:szCs w:val="16"/>
        </w:rPr>
        <w:t xml:space="preserve"> В.А. о контрольных цифрах развития ГА на 1929/30 гг.</w:t>
      </w:r>
    </w:p>
    <w:p w14:paraId="1B5799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обмене </w:t>
      </w:r>
      <w:proofErr w:type="spellStart"/>
      <w:r w:rsidRPr="00A259BD">
        <w:rPr>
          <w:rFonts w:ascii="Times New Roman" w:hAnsi="Times New Roman"/>
          <w:color w:val="000000" w:themeColor="text1"/>
          <w:sz w:val="16"/>
          <w:szCs w:val="16"/>
        </w:rPr>
        <w:t>вниниями</w:t>
      </w:r>
      <w:proofErr w:type="spellEnd"/>
      <w:r w:rsidRPr="00A259BD">
        <w:rPr>
          <w:rFonts w:ascii="Times New Roman" w:hAnsi="Times New Roman"/>
          <w:color w:val="000000" w:themeColor="text1"/>
          <w:sz w:val="16"/>
          <w:szCs w:val="16"/>
        </w:rPr>
        <w:t xml:space="preserve"> по вопросу о контрольных цифрах приняли участие Зайцев, </w:t>
      </w:r>
      <w:proofErr w:type="spellStart"/>
      <w:r w:rsidRPr="00A259BD">
        <w:rPr>
          <w:rFonts w:ascii="Times New Roman" w:hAnsi="Times New Roman"/>
          <w:color w:val="000000" w:themeColor="text1"/>
          <w:sz w:val="16"/>
          <w:szCs w:val="16"/>
        </w:rPr>
        <w:t>Окромешко</w:t>
      </w:r>
      <w:proofErr w:type="spellEnd"/>
      <w:r w:rsidRPr="00A259BD">
        <w:rPr>
          <w:rFonts w:ascii="Times New Roman" w:hAnsi="Times New Roman"/>
          <w:color w:val="000000" w:themeColor="text1"/>
          <w:sz w:val="16"/>
          <w:szCs w:val="16"/>
        </w:rPr>
        <w:t>, Андерс, Розит, Цукерман, Баранов.</w:t>
      </w:r>
    </w:p>
    <w:p w14:paraId="0AA2BF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w:t>
      </w:r>
    </w:p>
    <w:p w14:paraId="20A9C3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Создать Комиссию из числа присутствующих на заседании Совета Силина ГИ (Инспекция ГВФ), Андерса А.К. (Добролет), Зайцева (НКО) - последние два с правом замены их - Щербакова А.Н. (</w:t>
      </w: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 xml:space="preserve">), просить войти в эту Комиссию т. </w:t>
      </w:r>
      <w:proofErr w:type="spellStart"/>
      <w:r w:rsidRPr="00A259BD">
        <w:rPr>
          <w:rFonts w:ascii="Times New Roman" w:hAnsi="Times New Roman"/>
          <w:color w:val="000000" w:themeColor="text1"/>
          <w:sz w:val="16"/>
          <w:szCs w:val="16"/>
        </w:rPr>
        <w:t>Ходоева</w:t>
      </w:r>
      <w:proofErr w:type="spellEnd"/>
      <w:r w:rsidRPr="00A259BD">
        <w:rPr>
          <w:rFonts w:ascii="Times New Roman" w:hAnsi="Times New Roman"/>
          <w:color w:val="000000" w:themeColor="text1"/>
          <w:sz w:val="16"/>
          <w:szCs w:val="16"/>
        </w:rPr>
        <w:t xml:space="preserve"> М.В. (</w:t>
      </w:r>
      <w:proofErr w:type="spellStart"/>
      <w:r w:rsidRPr="00A259BD">
        <w:rPr>
          <w:rFonts w:ascii="Times New Roman" w:hAnsi="Times New Roman"/>
          <w:color w:val="000000" w:themeColor="text1"/>
          <w:sz w:val="16"/>
          <w:szCs w:val="16"/>
        </w:rPr>
        <w:t>Наркомпочтель</w:t>
      </w:r>
      <w:proofErr w:type="spellEnd"/>
      <w:r w:rsidRPr="00A259BD">
        <w:rPr>
          <w:rFonts w:ascii="Times New Roman" w:hAnsi="Times New Roman"/>
          <w:color w:val="000000" w:themeColor="text1"/>
          <w:sz w:val="16"/>
          <w:szCs w:val="16"/>
        </w:rPr>
        <w:t xml:space="preserve">) и просить </w:t>
      </w:r>
      <w:proofErr w:type="spellStart"/>
      <w:r w:rsidRPr="00A259BD">
        <w:rPr>
          <w:rFonts w:ascii="Times New Roman" w:hAnsi="Times New Roman"/>
          <w:color w:val="000000" w:themeColor="text1"/>
          <w:sz w:val="16"/>
          <w:szCs w:val="16"/>
        </w:rPr>
        <w:t>Нелюдова</w:t>
      </w:r>
      <w:proofErr w:type="spellEnd"/>
      <w:r w:rsidRPr="00A259BD">
        <w:rPr>
          <w:rFonts w:ascii="Times New Roman" w:hAnsi="Times New Roman"/>
          <w:color w:val="000000" w:themeColor="text1"/>
          <w:sz w:val="16"/>
          <w:szCs w:val="16"/>
        </w:rPr>
        <w:t xml:space="preserve"> Е.В. (НКПС) дать </w:t>
      </w:r>
      <w:proofErr w:type="spellStart"/>
      <w:r w:rsidRPr="00A259BD">
        <w:rPr>
          <w:rFonts w:ascii="Times New Roman" w:hAnsi="Times New Roman"/>
          <w:color w:val="000000" w:themeColor="text1"/>
          <w:sz w:val="16"/>
          <w:szCs w:val="16"/>
        </w:rPr>
        <w:t>своено</w:t>
      </w:r>
      <w:proofErr w:type="spellEnd"/>
      <w:r w:rsidRPr="00A259BD">
        <w:rPr>
          <w:rFonts w:ascii="Times New Roman" w:hAnsi="Times New Roman"/>
          <w:color w:val="000000" w:themeColor="text1"/>
          <w:sz w:val="16"/>
          <w:szCs w:val="16"/>
        </w:rPr>
        <w:t xml:space="preserve"> представителя. Комиссии поручить в </w:t>
      </w:r>
      <w:proofErr w:type="spellStart"/>
      <w:r w:rsidRPr="00A259BD">
        <w:rPr>
          <w:rFonts w:ascii="Times New Roman" w:hAnsi="Times New Roman"/>
          <w:color w:val="000000" w:themeColor="text1"/>
          <w:sz w:val="16"/>
          <w:szCs w:val="16"/>
        </w:rPr>
        <w:t>нельный</w:t>
      </w:r>
      <w:proofErr w:type="spellEnd"/>
      <w:r w:rsidRPr="00A259BD">
        <w:rPr>
          <w:rFonts w:ascii="Times New Roman" w:hAnsi="Times New Roman"/>
          <w:color w:val="000000" w:themeColor="text1"/>
          <w:sz w:val="16"/>
          <w:szCs w:val="16"/>
        </w:rPr>
        <w:t xml:space="preserve"> срок рассмотреть детально доложенный т. </w:t>
      </w:r>
      <w:proofErr w:type="spellStart"/>
      <w:r w:rsidRPr="00A259BD">
        <w:rPr>
          <w:rFonts w:ascii="Times New Roman" w:hAnsi="Times New Roman"/>
          <w:color w:val="000000" w:themeColor="text1"/>
          <w:sz w:val="16"/>
          <w:szCs w:val="16"/>
        </w:rPr>
        <w:t>Зарзаром</w:t>
      </w:r>
      <w:proofErr w:type="spellEnd"/>
      <w:r w:rsidRPr="00A259BD">
        <w:rPr>
          <w:rFonts w:ascii="Times New Roman" w:hAnsi="Times New Roman"/>
          <w:color w:val="000000" w:themeColor="text1"/>
          <w:sz w:val="16"/>
          <w:szCs w:val="16"/>
        </w:rPr>
        <w:t xml:space="preserve"> материал по контрольным цифрам ГА на 1929/30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xml:space="preserve">, обратив особое внимание на </w:t>
      </w:r>
      <w:proofErr w:type="spellStart"/>
      <w:r w:rsidRPr="00A259BD">
        <w:rPr>
          <w:rFonts w:ascii="Times New Roman" w:hAnsi="Times New Roman"/>
          <w:color w:val="000000" w:themeColor="text1"/>
          <w:sz w:val="16"/>
          <w:szCs w:val="16"/>
        </w:rPr>
        <w:t>чило</w:t>
      </w:r>
      <w:proofErr w:type="spellEnd"/>
      <w:r w:rsidRPr="00A259BD">
        <w:rPr>
          <w:rFonts w:ascii="Times New Roman" w:hAnsi="Times New Roman"/>
          <w:color w:val="000000" w:themeColor="text1"/>
          <w:sz w:val="16"/>
          <w:szCs w:val="16"/>
        </w:rPr>
        <w:t xml:space="preserve"> организуемых в 1929/30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xml:space="preserve"> воздушных линий с точки зрения целей их открытия в предстоящем году. Комиссии также проверить подготовку авиаспециалистов, потребных ГА в 1929/30 гг., проверить намеченный расход на содержание Совета ГА и инспекции ГВФ в </w:t>
      </w:r>
      <w:proofErr w:type="spellStart"/>
      <w:r w:rsidRPr="00A259BD">
        <w:rPr>
          <w:rFonts w:ascii="Times New Roman" w:hAnsi="Times New Roman"/>
          <w:color w:val="000000" w:themeColor="text1"/>
          <w:sz w:val="16"/>
          <w:szCs w:val="16"/>
        </w:rPr>
        <w:t>в</w:t>
      </w:r>
      <w:proofErr w:type="spellEnd"/>
      <w:r w:rsidRPr="00A259BD">
        <w:rPr>
          <w:rFonts w:ascii="Times New Roman" w:hAnsi="Times New Roman"/>
          <w:color w:val="000000" w:themeColor="text1"/>
          <w:sz w:val="16"/>
          <w:szCs w:val="16"/>
        </w:rPr>
        <w:t xml:space="preserve"> 1929/30 гг....(2341,112).</w:t>
      </w:r>
    </w:p>
    <w:p w14:paraId="2BC5E4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17 сентября 1929 были подготовлены:</w:t>
      </w:r>
    </w:p>
    <w:p w14:paraId="61CB87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КОНТРОЛЬНЫХ ЦИФР ГА на 1929-30 г.</w:t>
      </w:r>
    </w:p>
    <w:p w14:paraId="581117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Данные об исполнении и о контрольных цифрах-работы 1928-29 г.</w:t>
      </w:r>
    </w:p>
    <w:p w14:paraId="22CA83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Воздушные сообщения. Сеть воздушных линий по обществам /реально достигнутые результаты/:</w:t>
      </w:r>
    </w:p>
    <w:p w14:paraId="4E1B7E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Дерулюфт</w:t>
      </w:r>
      <w:proofErr w:type="spellEnd"/>
      <w:r w:rsidRPr="00A259BD">
        <w:rPr>
          <w:rFonts w:ascii="Times New Roman" w:hAnsi="Times New Roman"/>
          <w:color w:val="000000" w:themeColor="text1"/>
          <w:sz w:val="16"/>
          <w:szCs w:val="16"/>
        </w:rPr>
        <w:t>:</w:t>
      </w:r>
    </w:p>
    <w:p w14:paraId="0FD9A5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Москва-Рига-Кенигсберг /1340 км/, Кенигсберг— Берлин /545км/ и Ленинград-Таллин-Рига /660 км/, общая протяженность 2,645 км.</w:t>
      </w:r>
    </w:p>
    <w:p w14:paraId="2BAB0F4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Добролет:</w:t>
      </w:r>
    </w:p>
    <w:p w14:paraId="5C74D1E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Москва-Иркутск /почтовая линия 4700 км/, </w:t>
      </w:r>
      <w:proofErr w:type="spellStart"/>
      <w:r w:rsidRPr="00A259BD">
        <w:rPr>
          <w:rFonts w:ascii="Times New Roman" w:hAnsi="Times New Roman"/>
          <w:color w:val="000000" w:themeColor="text1"/>
          <w:sz w:val="16"/>
          <w:szCs w:val="16"/>
        </w:rPr>
        <w:t>Верхнеудинск</w:t>
      </w:r>
      <w:proofErr w:type="spellEnd"/>
      <w:r w:rsidRPr="00A259BD">
        <w:rPr>
          <w:rFonts w:ascii="Times New Roman" w:hAnsi="Times New Roman"/>
          <w:color w:val="000000" w:themeColor="text1"/>
          <w:sz w:val="16"/>
          <w:szCs w:val="16"/>
        </w:rPr>
        <w:t>-Урга /640 км/, Иркутск-Витим-Якутск /2706 км/, Витим-</w:t>
      </w:r>
      <w:proofErr w:type="spellStart"/>
      <w:r w:rsidRPr="00A259BD">
        <w:rPr>
          <w:rFonts w:ascii="Times New Roman" w:hAnsi="Times New Roman"/>
          <w:color w:val="000000" w:themeColor="text1"/>
          <w:sz w:val="16"/>
          <w:szCs w:val="16"/>
        </w:rPr>
        <w:t>Бодабо</w:t>
      </w:r>
      <w:proofErr w:type="spellEnd"/>
      <w:r w:rsidRPr="00A259BD">
        <w:rPr>
          <w:rFonts w:ascii="Times New Roman" w:hAnsi="Times New Roman"/>
          <w:color w:val="000000" w:themeColor="text1"/>
          <w:sz w:val="16"/>
          <w:szCs w:val="16"/>
        </w:rPr>
        <w:t xml:space="preserve"> /288 км/, Ташкент-Самарканд-</w:t>
      </w:r>
      <w:proofErr w:type="spellStart"/>
      <w:r w:rsidRPr="00A259BD">
        <w:rPr>
          <w:rFonts w:ascii="Times New Roman" w:hAnsi="Times New Roman"/>
          <w:color w:val="000000" w:themeColor="text1"/>
          <w:sz w:val="16"/>
          <w:szCs w:val="16"/>
        </w:rPr>
        <w:t>Дюшамбе</w:t>
      </w:r>
      <w:proofErr w:type="spellEnd"/>
      <w:r w:rsidRPr="00A259BD">
        <w:rPr>
          <w:rFonts w:ascii="Times New Roman" w:hAnsi="Times New Roman"/>
          <w:color w:val="000000" w:themeColor="text1"/>
          <w:sz w:val="16"/>
          <w:szCs w:val="16"/>
        </w:rPr>
        <w:t xml:space="preserve"> /963 км/, </w:t>
      </w:r>
      <w:proofErr w:type="spellStart"/>
      <w:r w:rsidRPr="00A259BD">
        <w:rPr>
          <w:rFonts w:ascii="Times New Roman" w:hAnsi="Times New Roman"/>
          <w:color w:val="000000" w:themeColor="text1"/>
          <w:sz w:val="16"/>
          <w:szCs w:val="16"/>
        </w:rPr>
        <w:t>Чарджок</w:t>
      </w:r>
      <w:proofErr w:type="spellEnd"/>
      <w:r w:rsidRPr="00A259BD">
        <w:rPr>
          <w:rFonts w:ascii="Times New Roman" w:hAnsi="Times New Roman"/>
          <w:color w:val="000000" w:themeColor="text1"/>
          <w:sz w:val="16"/>
          <w:szCs w:val="16"/>
        </w:rPr>
        <w:t xml:space="preserve">-Хива-Чимбай /600 км/, Фрунзе-Алма-Ата /240 км/, </w:t>
      </w:r>
      <w:proofErr w:type="spellStart"/>
      <w:r w:rsidRPr="00A259BD">
        <w:rPr>
          <w:rFonts w:ascii="Times New Roman" w:hAnsi="Times New Roman"/>
          <w:color w:val="000000" w:themeColor="text1"/>
          <w:sz w:val="16"/>
          <w:szCs w:val="16"/>
        </w:rPr>
        <w:t>Алта</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Ата</w:t>
      </w:r>
      <w:proofErr w:type="spellEnd"/>
      <w:r w:rsidRPr="00A259BD">
        <w:rPr>
          <w:rFonts w:ascii="Times New Roman" w:hAnsi="Times New Roman"/>
          <w:color w:val="000000" w:themeColor="text1"/>
          <w:sz w:val="16"/>
          <w:szCs w:val="16"/>
        </w:rPr>
        <w:t>-Семипалатинск /1100 км/, общим протяжением 12557 км.</w:t>
      </w:r>
    </w:p>
    <w:p w14:paraId="08A497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 xml:space="preserve"> Москва-Харьков-Тихорецкая /1260 км/. Тихорецкая—Пятигорск /340 км/, Тихо ре </w:t>
      </w:r>
      <w:proofErr w:type="spellStart"/>
      <w:r w:rsidRPr="00A259BD">
        <w:rPr>
          <w:rFonts w:ascii="Times New Roman" w:hAnsi="Times New Roman"/>
          <w:color w:val="000000" w:themeColor="text1"/>
          <w:sz w:val="16"/>
          <w:szCs w:val="16"/>
        </w:rPr>
        <w:t>цкая</w:t>
      </w:r>
      <w:proofErr w:type="spellEnd"/>
      <w:r w:rsidRPr="00A259BD">
        <w:rPr>
          <w:rFonts w:ascii="Times New Roman" w:hAnsi="Times New Roman"/>
          <w:color w:val="000000" w:themeColor="text1"/>
          <w:sz w:val="16"/>
          <w:szCs w:val="16"/>
        </w:rPr>
        <w:t>-Сочи / 295 км/, Сочи-Тифлис-Баку /995 км/, Баку-Пехлеви /390 км/, общим протяжением 3.280 км.</w:t>
      </w:r>
    </w:p>
    <w:p w14:paraId="2D531A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Всей воздушной сети СССР - 18.482 км; по сравнению с длиною сети в 1928 г. - 11.971 .км - рост выразился в 6.511 км, что составляет 54%.</w:t>
      </w:r>
    </w:p>
    <w:p w14:paraId="682C86C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smallCaps/>
          <w:color w:val="000000" w:themeColor="text1"/>
          <w:sz w:val="16"/>
          <w:szCs w:val="16"/>
        </w:rPr>
        <w:t xml:space="preserve">Эффективность </w:t>
      </w:r>
      <w:r w:rsidRPr="00A259BD">
        <w:rPr>
          <w:rFonts w:ascii="Times New Roman" w:hAnsi="Times New Roman"/>
          <w:color w:val="000000" w:themeColor="text1"/>
          <w:sz w:val="16"/>
          <w:szCs w:val="16"/>
        </w:rPr>
        <w:t>работы воздушных линий в 1928-29 г., и процентное соотношение цифрами эффективности 1927-28 г. выражается в следующем /согласно контрольным цифрам/: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A259BD" w:rsidRPr="00A259BD" w14:paraId="7C88D820" w14:textId="77777777">
        <w:tc>
          <w:tcPr>
            <w:tcW w:w="2802" w:type="dxa"/>
            <w:tcBorders>
              <w:top w:val="single" w:sz="12" w:space="0" w:color="auto"/>
            </w:tcBorders>
            <w:shd w:val="clear" w:color="auto" w:fill="FFFFFF"/>
          </w:tcPr>
          <w:p w14:paraId="0F3B57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shd w:val="clear" w:color="auto" w:fill="FFFFFF"/>
          </w:tcPr>
          <w:p w14:paraId="72A480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shd w:val="clear" w:color="auto" w:fill="FFFFFF"/>
          </w:tcPr>
          <w:p w14:paraId="2BD098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Рос т по </w:t>
            </w:r>
            <w:proofErr w:type="spellStart"/>
            <w:r w:rsidRPr="00A259BD">
              <w:rPr>
                <w:rFonts w:ascii="Times New Roman" w:hAnsi="Times New Roman"/>
                <w:color w:val="000000" w:themeColor="text1"/>
                <w:sz w:val="16"/>
                <w:szCs w:val="16"/>
              </w:rPr>
              <w:t>отнош</w:t>
            </w:r>
            <w:proofErr w:type="spellEnd"/>
            <w:r w:rsidRPr="00A259BD">
              <w:rPr>
                <w:rFonts w:ascii="Times New Roman" w:hAnsi="Times New Roman"/>
                <w:color w:val="000000" w:themeColor="text1"/>
                <w:sz w:val="16"/>
                <w:szCs w:val="16"/>
              </w:rPr>
              <w:t>. к 1927-28 г.</w:t>
            </w:r>
          </w:p>
        </w:tc>
      </w:tr>
      <w:tr w:rsidR="00A259BD" w:rsidRPr="00A259BD" w14:paraId="4087A219" w14:textId="77777777">
        <w:tc>
          <w:tcPr>
            <w:tcW w:w="2802" w:type="dxa"/>
            <w:shd w:val="clear" w:color="auto" w:fill="FFFFFF"/>
          </w:tcPr>
          <w:p w14:paraId="28D83D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километров</w:t>
            </w:r>
          </w:p>
        </w:tc>
        <w:tc>
          <w:tcPr>
            <w:tcW w:w="2802" w:type="dxa"/>
            <w:shd w:val="clear" w:color="auto" w:fill="FFFFFF"/>
          </w:tcPr>
          <w:p w14:paraId="0AC618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4.399.944 км</w:t>
            </w:r>
          </w:p>
        </w:tc>
        <w:tc>
          <w:tcPr>
            <w:tcW w:w="2802" w:type="dxa"/>
            <w:shd w:val="clear" w:color="auto" w:fill="FFFFFF"/>
          </w:tcPr>
          <w:p w14:paraId="6C9F90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84%</w:t>
            </w:r>
          </w:p>
        </w:tc>
      </w:tr>
      <w:tr w:rsidR="00A259BD" w:rsidRPr="00A259BD" w14:paraId="081C438A" w14:textId="77777777">
        <w:tc>
          <w:tcPr>
            <w:tcW w:w="2802" w:type="dxa"/>
            <w:shd w:val="clear" w:color="auto" w:fill="FFFFFF"/>
          </w:tcPr>
          <w:p w14:paraId="2E6276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пассажиров</w:t>
            </w:r>
          </w:p>
        </w:tc>
        <w:tc>
          <w:tcPr>
            <w:tcW w:w="2802" w:type="dxa"/>
            <w:shd w:val="clear" w:color="auto" w:fill="FFFFFF"/>
          </w:tcPr>
          <w:p w14:paraId="1263D3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12.820 чел.</w:t>
            </w:r>
          </w:p>
        </w:tc>
        <w:tc>
          <w:tcPr>
            <w:tcW w:w="2802" w:type="dxa"/>
            <w:shd w:val="clear" w:color="auto" w:fill="FFFFFF"/>
          </w:tcPr>
          <w:p w14:paraId="1AB40B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w:t>
            </w:r>
          </w:p>
        </w:tc>
      </w:tr>
      <w:tr w:rsidR="00A259BD" w:rsidRPr="00A259BD" w14:paraId="484B813A" w14:textId="77777777">
        <w:tc>
          <w:tcPr>
            <w:tcW w:w="2802" w:type="dxa"/>
            <w:shd w:val="clear" w:color="auto" w:fill="FFFFFF"/>
          </w:tcPr>
          <w:p w14:paraId="3F57C8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почты</w:t>
            </w:r>
          </w:p>
        </w:tc>
        <w:tc>
          <w:tcPr>
            <w:tcW w:w="2802" w:type="dxa"/>
            <w:shd w:val="clear" w:color="auto" w:fill="FFFFFF"/>
          </w:tcPr>
          <w:p w14:paraId="25ADAF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192.210 </w:t>
            </w:r>
            <w:proofErr w:type="spellStart"/>
            <w:r w:rsidRPr="00A259BD">
              <w:rPr>
                <w:rFonts w:ascii="Times New Roman" w:hAnsi="Times New Roman"/>
                <w:color w:val="000000" w:themeColor="text1"/>
                <w:sz w:val="16"/>
                <w:szCs w:val="16"/>
              </w:rPr>
              <w:t>кгр</w:t>
            </w:r>
            <w:proofErr w:type="spellEnd"/>
          </w:p>
        </w:tc>
        <w:tc>
          <w:tcPr>
            <w:tcW w:w="2802" w:type="dxa"/>
            <w:shd w:val="clear" w:color="auto" w:fill="FFFFFF"/>
          </w:tcPr>
          <w:p w14:paraId="132688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tc>
      </w:tr>
      <w:tr w:rsidR="00A259BD" w:rsidRPr="00A259BD" w14:paraId="7AF6500D" w14:textId="77777777">
        <w:tc>
          <w:tcPr>
            <w:tcW w:w="2802" w:type="dxa"/>
            <w:tcBorders>
              <w:bottom w:val="single" w:sz="12" w:space="0" w:color="auto"/>
            </w:tcBorders>
            <w:shd w:val="clear" w:color="auto" w:fill="FFFFFF"/>
          </w:tcPr>
          <w:p w14:paraId="13A975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грузов</w:t>
            </w:r>
          </w:p>
        </w:tc>
        <w:tc>
          <w:tcPr>
            <w:tcW w:w="2802" w:type="dxa"/>
            <w:tcBorders>
              <w:bottom w:val="single" w:sz="12" w:space="0" w:color="auto"/>
            </w:tcBorders>
            <w:shd w:val="clear" w:color="auto" w:fill="FFFFFF"/>
          </w:tcPr>
          <w:p w14:paraId="670F4F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143.480 </w:t>
            </w:r>
            <w:proofErr w:type="spellStart"/>
            <w:r w:rsidRPr="00A259BD">
              <w:rPr>
                <w:rFonts w:ascii="Times New Roman" w:hAnsi="Times New Roman"/>
                <w:color w:val="000000" w:themeColor="text1"/>
                <w:sz w:val="16"/>
                <w:szCs w:val="16"/>
              </w:rPr>
              <w:t>кгр</w:t>
            </w:r>
            <w:proofErr w:type="spellEnd"/>
          </w:p>
        </w:tc>
        <w:tc>
          <w:tcPr>
            <w:tcW w:w="2802" w:type="dxa"/>
            <w:tcBorders>
              <w:bottom w:val="single" w:sz="12" w:space="0" w:color="auto"/>
            </w:tcBorders>
            <w:shd w:val="clear" w:color="auto" w:fill="FFFFFF"/>
          </w:tcPr>
          <w:p w14:paraId="51746F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tc>
      </w:tr>
    </w:tbl>
    <w:p w14:paraId="566A00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самолетно-моторный парк /реально достигнутый результат/: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259BD" w:rsidRPr="00A259BD" w14:paraId="4ED1F46A" w14:textId="77777777">
        <w:tc>
          <w:tcPr>
            <w:tcW w:w="5636" w:type="dxa"/>
            <w:tcBorders>
              <w:top w:val="single" w:sz="12" w:space="0" w:color="auto"/>
            </w:tcBorders>
            <w:shd w:val="clear" w:color="auto" w:fill="FFFFFF"/>
          </w:tcPr>
          <w:p w14:paraId="3B91D4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пассажирских одномоторных</w:t>
            </w:r>
          </w:p>
        </w:tc>
        <w:tc>
          <w:tcPr>
            <w:tcW w:w="5636" w:type="dxa"/>
            <w:tcBorders>
              <w:top w:val="single" w:sz="12" w:space="0" w:color="auto"/>
            </w:tcBorders>
            <w:shd w:val="clear" w:color="auto" w:fill="FFFFFF"/>
          </w:tcPr>
          <w:p w14:paraId="649BF9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w:t>
            </w:r>
          </w:p>
        </w:tc>
      </w:tr>
      <w:tr w:rsidR="00A259BD" w:rsidRPr="00A259BD" w14:paraId="23009E6E" w14:textId="77777777">
        <w:tc>
          <w:tcPr>
            <w:tcW w:w="5636" w:type="dxa"/>
            <w:shd w:val="clear" w:color="auto" w:fill="FFFFFF"/>
          </w:tcPr>
          <w:p w14:paraId="679A65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пассажирских многомоторных</w:t>
            </w:r>
          </w:p>
        </w:tc>
        <w:tc>
          <w:tcPr>
            <w:tcW w:w="5636" w:type="dxa"/>
            <w:shd w:val="clear" w:color="auto" w:fill="FFFFFF"/>
          </w:tcPr>
          <w:p w14:paraId="292F9F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2E4A0622" w14:textId="77777777">
        <w:tc>
          <w:tcPr>
            <w:tcW w:w="5636" w:type="dxa"/>
            <w:shd w:val="clear" w:color="auto" w:fill="FFFFFF"/>
          </w:tcPr>
          <w:p w14:paraId="69CAA2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почтовых</w:t>
            </w:r>
          </w:p>
        </w:tc>
        <w:tc>
          <w:tcPr>
            <w:tcW w:w="5636" w:type="dxa"/>
            <w:shd w:val="clear" w:color="auto" w:fill="FFFFFF"/>
          </w:tcPr>
          <w:p w14:paraId="1DD924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r>
      <w:tr w:rsidR="00A259BD" w:rsidRPr="00A259BD" w14:paraId="7DAD98D9" w14:textId="77777777">
        <w:tc>
          <w:tcPr>
            <w:tcW w:w="5636" w:type="dxa"/>
            <w:shd w:val="clear" w:color="auto" w:fill="FFFFFF"/>
          </w:tcPr>
          <w:p w14:paraId="68DA0B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5636" w:type="dxa"/>
            <w:shd w:val="clear" w:color="auto" w:fill="FFFFFF"/>
          </w:tcPr>
          <w:p w14:paraId="0FEFCD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w:t>
            </w:r>
          </w:p>
        </w:tc>
      </w:tr>
      <w:tr w:rsidR="00A259BD" w:rsidRPr="00A259BD" w14:paraId="09CDB358" w14:textId="77777777">
        <w:tc>
          <w:tcPr>
            <w:tcW w:w="5636" w:type="dxa"/>
            <w:tcBorders>
              <w:bottom w:val="single" w:sz="12" w:space="0" w:color="auto"/>
            </w:tcBorders>
            <w:shd w:val="clear" w:color="auto" w:fill="FFFFFF"/>
          </w:tcPr>
          <w:p w14:paraId="07CDBB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146-460 </w:t>
            </w:r>
            <w:proofErr w:type="spellStart"/>
            <w:r w:rsidRPr="00A259BD">
              <w:rPr>
                <w:rFonts w:ascii="Times New Roman" w:hAnsi="Times New Roman"/>
                <w:color w:val="000000" w:themeColor="text1"/>
                <w:sz w:val="16"/>
                <w:szCs w:val="16"/>
              </w:rPr>
              <w:t>нр</w:t>
            </w:r>
            <w:proofErr w:type="spellEnd"/>
            <w:r w:rsidRPr="00A259BD">
              <w:rPr>
                <w:rFonts w:ascii="Times New Roman" w:hAnsi="Times New Roman"/>
                <w:color w:val="000000" w:themeColor="text1"/>
                <w:sz w:val="16"/>
                <w:szCs w:val="16"/>
              </w:rPr>
              <w:t xml:space="preserve"> моторов</w:t>
            </w:r>
          </w:p>
        </w:tc>
        <w:tc>
          <w:tcPr>
            <w:tcW w:w="5636" w:type="dxa"/>
            <w:tcBorders>
              <w:bottom w:val="single" w:sz="12" w:space="0" w:color="auto"/>
            </w:tcBorders>
            <w:shd w:val="clear" w:color="auto" w:fill="FFFFFF"/>
          </w:tcPr>
          <w:p w14:paraId="7AB195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174</w:t>
            </w:r>
          </w:p>
        </w:tc>
      </w:tr>
    </w:tbl>
    <w:p w14:paraId="3365FB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Составляет рост по отношению контрольным цифрам 1928-29 г. на 9%, к 1927-28 г. на 114% - самолетов и к контрольным </w:t>
      </w:r>
      <w:proofErr w:type="spellStart"/>
      <w:r w:rsidRPr="00A259BD">
        <w:rPr>
          <w:rFonts w:ascii="Times New Roman" w:hAnsi="Times New Roman"/>
          <w:color w:val="000000" w:themeColor="text1"/>
          <w:sz w:val="16"/>
          <w:szCs w:val="16"/>
        </w:rPr>
        <w:t>цффрам</w:t>
      </w:r>
      <w:proofErr w:type="spellEnd"/>
      <w:r w:rsidRPr="00A259BD">
        <w:rPr>
          <w:rFonts w:ascii="Times New Roman" w:hAnsi="Times New Roman"/>
          <w:color w:val="000000" w:themeColor="text1"/>
          <w:sz w:val="16"/>
          <w:szCs w:val="16"/>
        </w:rPr>
        <w:t xml:space="preserve"> - на 45% и по отношению к 1927-28 г. - 118% - для моторов.</w:t>
      </w:r>
    </w:p>
    <w:p w14:paraId="6A7ACB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Состав: пилотов - 57, </w:t>
      </w:r>
      <w:proofErr w:type="spellStart"/>
      <w:r w:rsidRPr="00A259BD">
        <w:rPr>
          <w:rFonts w:ascii="Times New Roman" w:hAnsi="Times New Roman"/>
          <w:color w:val="000000" w:themeColor="text1"/>
          <w:sz w:val="16"/>
          <w:szCs w:val="16"/>
        </w:rPr>
        <w:t>брттехников</w:t>
      </w:r>
      <w:proofErr w:type="spellEnd"/>
      <w:r w:rsidRPr="00A259BD">
        <w:rPr>
          <w:rFonts w:ascii="Times New Roman" w:hAnsi="Times New Roman"/>
          <w:color w:val="000000" w:themeColor="text1"/>
          <w:sz w:val="16"/>
          <w:szCs w:val="16"/>
        </w:rPr>
        <w:t xml:space="preserve"> - 57, что составляет рост... к контрольным цифрам 1928-29 г на 6% и по отношению к...</w:t>
      </w:r>
    </w:p>
    <w:p w14:paraId="03CDC1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Содержание Совета </w:t>
      </w:r>
      <w:proofErr w:type="spellStart"/>
      <w:r w:rsidRPr="00A259BD">
        <w:rPr>
          <w:rFonts w:ascii="Times New Roman" w:hAnsi="Times New Roman"/>
          <w:color w:val="000000" w:themeColor="text1"/>
          <w:sz w:val="16"/>
          <w:szCs w:val="16"/>
        </w:rPr>
        <w:t>ппо</w:t>
      </w:r>
      <w:proofErr w:type="spellEnd"/>
      <w:r w:rsidRPr="00A259BD">
        <w:rPr>
          <w:rFonts w:ascii="Times New Roman" w:hAnsi="Times New Roman"/>
          <w:color w:val="000000" w:themeColor="text1"/>
          <w:sz w:val="16"/>
          <w:szCs w:val="16"/>
        </w:rPr>
        <w:t xml:space="preserve"> ГА</w:t>
      </w:r>
      <w:r w:rsidRPr="00A259BD">
        <w:rPr>
          <w:rFonts w:ascii="Times New Roman" w:hAnsi="Times New Roman"/>
          <w:color w:val="000000" w:themeColor="text1"/>
          <w:sz w:val="16"/>
          <w:szCs w:val="16"/>
        </w:rPr>
        <w:tab/>
        <w:t>150.000 руб.</w:t>
      </w:r>
    </w:p>
    <w:p w14:paraId="07728ED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Финансирование ГА в целом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259BD" w:rsidRPr="00A259BD" w14:paraId="2F4BB137" w14:textId="77777777">
        <w:tc>
          <w:tcPr>
            <w:tcW w:w="5636" w:type="dxa"/>
            <w:tcBorders>
              <w:top w:val="single" w:sz="12" w:space="0" w:color="auto"/>
            </w:tcBorders>
            <w:shd w:val="clear" w:color="auto" w:fill="FFFFFF"/>
          </w:tcPr>
          <w:p w14:paraId="50DFC1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Бюджет Совета по ГА</w:t>
            </w:r>
          </w:p>
        </w:tc>
        <w:tc>
          <w:tcPr>
            <w:tcW w:w="5636" w:type="dxa"/>
            <w:tcBorders>
              <w:top w:val="single" w:sz="12" w:space="0" w:color="auto"/>
            </w:tcBorders>
            <w:shd w:val="clear" w:color="auto" w:fill="FFFFFF"/>
          </w:tcPr>
          <w:p w14:paraId="330A5A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3ACCCA3" w14:textId="77777777">
        <w:tc>
          <w:tcPr>
            <w:tcW w:w="5636" w:type="dxa"/>
            <w:shd w:val="clear" w:color="auto" w:fill="FFFFFF"/>
          </w:tcPr>
          <w:p w14:paraId="05DA4C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конструирование и опытное строительство самолетов, моторов, технического оборудования</w:t>
            </w:r>
          </w:p>
        </w:tc>
        <w:tc>
          <w:tcPr>
            <w:tcW w:w="5636" w:type="dxa"/>
            <w:shd w:val="clear" w:color="auto" w:fill="FFFFFF"/>
          </w:tcPr>
          <w:p w14:paraId="22C5A7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1.630.000</w:t>
            </w:r>
          </w:p>
        </w:tc>
      </w:tr>
      <w:tr w:rsidR="00A259BD" w:rsidRPr="00A259BD" w14:paraId="4BE42444" w14:textId="77777777">
        <w:tc>
          <w:tcPr>
            <w:tcW w:w="5636" w:type="dxa"/>
            <w:shd w:val="clear" w:color="auto" w:fill="FFFFFF"/>
          </w:tcPr>
          <w:p w14:paraId="673353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содержание Совета по ГА</w:t>
            </w:r>
          </w:p>
        </w:tc>
        <w:tc>
          <w:tcPr>
            <w:tcW w:w="5636" w:type="dxa"/>
            <w:shd w:val="clear" w:color="auto" w:fill="FFFFFF"/>
          </w:tcPr>
          <w:p w14:paraId="3704BD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w:t>
            </w:r>
          </w:p>
        </w:tc>
      </w:tr>
      <w:tr w:rsidR="00A259BD" w:rsidRPr="00A259BD" w14:paraId="00B502FE" w14:textId="77777777">
        <w:tc>
          <w:tcPr>
            <w:tcW w:w="5636" w:type="dxa"/>
            <w:shd w:val="clear" w:color="auto" w:fill="FFFFFF"/>
          </w:tcPr>
          <w:p w14:paraId="0A500F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расширение серийного гражданского самолетостроения</w:t>
            </w:r>
          </w:p>
        </w:tc>
        <w:tc>
          <w:tcPr>
            <w:tcW w:w="5636" w:type="dxa"/>
            <w:shd w:val="clear" w:color="auto" w:fill="FFFFFF"/>
          </w:tcPr>
          <w:p w14:paraId="3C6EC6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4.500.000</w:t>
            </w:r>
          </w:p>
        </w:tc>
      </w:tr>
      <w:tr w:rsidR="00A259BD" w:rsidRPr="00A259BD" w14:paraId="7525D2F4" w14:textId="77777777">
        <w:tc>
          <w:tcPr>
            <w:tcW w:w="5636" w:type="dxa"/>
            <w:shd w:val="clear" w:color="auto" w:fill="FFFFFF"/>
          </w:tcPr>
          <w:p w14:paraId="3B4073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5636" w:type="dxa"/>
            <w:shd w:val="clear" w:color="auto" w:fill="FFFFFF"/>
          </w:tcPr>
          <w:p w14:paraId="329E12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6.280.000</w:t>
            </w:r>
          </w:p>
        </w:tc>
      </w:tr>
      <w:tr w:rsidR="00A259BD" w:rsidRPr="00A259BD" w14:paraId="4F34A35F" w14:textId="77777777">
        <w:tc>
          <w:tcPr>
            <w:tcW w:w="5636" w:type="dxa"/>
            <w:shd w:val="clear" w:color="auto" w:fill="FFFFFF"/>
          </w:tcPr>
          <w:p w14:paraId="471AE0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Правительственные субвенции на капитальное строительство воздушных сообщений</w:t>
            </w:r>
          </w:p>
        </w:tc>
        <w:tc>
          <w:tcPr>
            <w:tcW w:w="5636" w:type="dxa"/>
            <w:shd w:val="clear" w:color="auto" w:fill="FFFFFF"/>
          </w:tcPr>
          <w:p w14:paraId="6D3617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82174AC" w14:textId="77777777">
        <w:tc>
          <w:tcPr>
            <w:tcW w:w="5636" w:type="dxa"/>
            <w:shd w:val="clear" w:color="auto" w:fill="FFFFFF"/>
          </w:tcPr>
          <w:p w14:paraId="316C5C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воздушные сообщения</w:t>
            </w:r>
          </w:p>
        </w:tc>
        <w:tc>
          <w:tcPr>
            <w:tcW w:w="5636" w:type="dxa"/>
            <w:shd w:val="clear" w:color="auto" w:fill="FFFFFF"/>
          </w:tcPr>
          <w:p w14:paraId="251F2D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20.792.000</w:t>
            </w:r>
          </w:p>
        </w:tc>
      </w:tr>
      <w:tr w:rsidR="00A259BD" w:rsidRPr="00A259BD" w14:paraId="247DEEB1" w14:textId="77777777">
        <w:tc>
          <w:tcPr>
            <w:tcW w:w="5636" w:type="dxa"/>
            <w:shd w:val="clear" w:color="auto" w:fill="FFFFFF"/>
          </w:tcPr>
          <w:p w14:paraId="7685B6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аэрофотосъемка</w:t>
            </w:r>
          </w:p>
        </w:tc>
        <w:tc>
          <w:tcPr>
            <w:tcW w:w="5636" w:type="dxa"/>
            <w:shd w:val="clear" w:color="auto" w:fill="FFFFFF"/>
          </w:tcPr>
          <w:p w14:paraId="02C6EC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1.994.000</w:t>
            </w:r>
          </w:p>
        </w:tc>
      </w:tr>
      <w:tr w:rsidR="00A259BD" w:rsidRPr="00A259BD" w14:paraId="3E07AA17" w14:textId="77777777">
        <w:tc>
          <w:tcPr>
            <w:tcW w:w="5636" w:type="dxa"/>
            <w:shd w:val="clear" w:color="auto" w:fill="FFFFFF"/>
          </w:tcPr>
          <w:p w14:paraId="0E3AB4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борьба с вредителями с/х и лесов</w:t>
            </w:r>
          </w:p>
        </w:tc>
        <w:tc>
          <w:tcPr>
            <w:tcW w:w="5636" w:type="dxa"/>
            <w:shd w:val="clear" w:color="auto" w:fill="FFFFFF"/>
          </w:tcPr>
          <w:p w14:paraId="7D36E5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838.000</w:t>
            </w:r>
          </w:p>
        </w:tc>
      </w:tr>
      <w:tr w:rsidR="00A259BD" w:rsidRPr="00A259BD" w14:paraId="76F50723" w14:textId="77777777">
        <w:tc>
          <w:tcPr>
            <w:tcW w:w="5636" w:type="dxa"/>
            <w:shd w:val="clear" w:color="auto" w:fill="FFFFFF"/>
          </w:tcPr>
          <w:p w14:paraId="47151C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разного рода применения авиации</w:t>
            </w:r>
          </w:p>
        </w:tc>
        <w:tc>
          <w:tcPr>
            <w:tcW w:w="5636" w:type="dxa"/>
            <w:shd w:val="clear" w:color="auto" w:fill="FFFFFF"/>
          </w:tcPr>
          <w:p w14:paraId="0FF64D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280.000</w:t>
            </w:r>
          </w:p>
        </w:tc>
      </w:tr>
      <w:tr w:rsidR="00A259BD" w:rsidRPr="00A259BD" w14:paraId="46F4FF55" w14:textId="77777777">
        <w:tc>
          <w:tcPr>
            <w:tcW w:w="5636" w:type="dxa"/>
            <w:tcBorders>
              <w:bottom w:val="single" w:sz="12" w:space="0" w:color="auto"/>
            </w:tcBorders>
            <w:shd w:val="clear" w:color="auto" w:fill="FFFFFF"/>
          </w:tcPr>
          <w:p w14:paraId="311FB9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5636" w:type="dxa"/>
            <w:tcBorders>
              <w:bottom w:val="single" w:sz="12" w:space="0" w:color="auto"/>
            </w:tcBorders>
            <w:shd w:val="clear" w:color="auto" w:fill="FFFFFF"/>
          </w:tcPr>
          <w:p w14:paraId="291C8A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23.904.000</w:t>
            </w:r>
          </w:p>
        </w:tc>
      </w:tr>
    </w:tbl>
    <w:p w14:paraId="3FF428C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Ш. Правительственные субсидии на </w:t>
      </w:r>
      <w:proofErr w:type="spellStart"/>
      <w:r w:rsidRPr="00A259BD">
        <w:rPr>
          <w:rFonts w:ascii="Times New Roman" w:hAnsi="Times New Roman"/>
          <w:color w:val="000000" w:themeColor="text1"/>
          <w:sz w:val="16"/>
          <w:szCs w:val="16"/>
        </w:rPr>
        <w:t>покилометровую</w:t>
      </w:r>
      <w:proofErr w:type="spellEnd"/>
      <w:r w:rsidRPr="00A259BD">
        <w:rPr>
          <w:rFonts w:ascii="Times New Roman" w:hAnsi="Times New Roman"/>
          <w:color w:val="000000" w:themeColor="text1"/>
          <w:sz w:val="16"/>
          <w:szCs w:val="16"/>
        </w:rPr>
        <w:t xml:space="preserve"> оплату</w:t>
      </w:r>
      <w:r w:rsidRPr="00A259BD">
        <w:rPr>
          <w:rFonts w:ascii="Times New Roman" w:hAnsi="Times New Roman"/>
          <w:color w:val="000000" w:themeColor="text1"/>
          <w:sz w:val="16"/>
          <w:szCs w:val="16"/>
        </w:rPr>
        <w:tab/>
        <w:t>6.647.000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259BD" w:rsidRPr="00A259BD" w14:paraId="2C534E5F" w14:textId="77777777">
        <w:tc>
          <w:tcPr>
            <w:tcW w:w="5636" w:type="dxa"/>
            <w:tcBorders>
              <w:top w:val="single" w:sz="12" w:space="0" w:color="auto"/>
            </w:tcBorders>
            <w:shd w:val="clear" w:color="auto" w:fill="FFFFFF"/>
          </w:tcPr>
          <w:p w14:paraId="14CD76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правительственных субвенций на гражданскую авиацию</w:t>
            </w:r>
          </w:p>
        </w:tc>
        <w:tc>
          <w:tcPr>
            <w:tcW w:w="5636" w:type="dxa"/>
            <w:tcBorders>
              <w:top w:val="single" w:sz="12" w:space="0" w:color="auto"/>
            </w:tcBorders>
            <w:shd w:val="clear" w:color="auto" w:fill="FFFFFF"/>
          </w:tcPr>
          <w:p w14:paraId="29513B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36.000.000</w:t>
            </w:r>
          </w:p>
        </w:tc>
      </w:tr>
      <w:tr w:rsidR="00A259BD" w:rsidRPr="00A259BD" w14:paraId="4DD8884E" w14:textId="77777777">
        <w:tc>
          <w:tcPr>
            <w:tcW w:w="5636" w:type="dxa"/>
            <w:tcBorders>
              <w:bottom w:val="single" w:sz="12" w:space="0" w:color="auto"/>
            </w:tcBorders>
            <w:shd w:val="clear" w:color="auto" w:fill="FFFFFF"/>
          </w:tcPr>
          <w:p w14:paraId="12F254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них в инвалюте</w:t>
            </w:r>
          </w:p>
        </w:tc>
        <w:tc>
          <w:tcPr>
            <w:tcW w:w="5636" w:type="dxa"/>
            <w:tcBorders>
              <w:bottom w:val="single" w:sz="12" w:space="0" w:color="auto"/>
            </w:tcBorders>
            <w:shd w:val="clear" w:color="auto" w:fill="FFFFFF"/>
          </w:tcPr>
          <w:p w14:paraId="75A173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6.558.400 руб. (2341).</w:t>
            </w:r>
          </w:p>
        </w:tc>
      </w:tr>
    </w:tbl>
    <w:p w14:paraId="06F208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00CAE0" w14:textId="77777777" w:rsidR="003315EC" w:rsidRPr="00A259BD" w:rsidRDefault="003315E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сентября 1929 состоялось заседание Совета по гражданской авиации под председательством П.И. Баранова по обсуждению контрольных цифр на 1929-30 год и рассмотрения материалов, представленных Главным инспектором ГВФ В.А. </w:t>
      </w:r>
      <w:proofErr w:type="spellStart"/>
      <w:r w:rsidRPr="00A259BD">
        <w:rPr>
          <w:rFonts w:ascii="Times New Roman" w:hAnsi="Times New Roman"/>
          <w:color w:val="000000" w:themeColor="text1"/>
          <w:sz w:val="16"/>
          <w:szCs w:val="16"/>
        </w:rPr>
        <w:t>Зарзаром</w:t>
      </w:r>
      <w:proofErr w:type="spellEnd"/>
      <w:r w:rsidRPr="00A259BD">
        <w:rPr>
          <w:rFonts w:ascii="Times New Roman" w:hAnsi="Times New Roman"/>
          <w:color w:val="000000" w:themeColor="text1"/>
          <w:sz w:val="16"/>
          <w:szCs w:val="16"/>
        </w:rPr>
        <w:t xml:space="preserve"> об исполнении контрольных цифр работы 1928-29 года. Было отмечено, что протяженность всей воздушной сети СССР составляет 18482 км, по сравнению с длиною сети в 1928 году (11971 км) прирост составил 6511 км – в основном за счет открытия почтовой линии Москва – Иркутск протяженностью 4700 км. Авиапарк гражданской авиации состоял из 75 машин, из которых 23 были почтовые «Фоккеры» (21125).</w:t>
      </w:r>
    </w:p>
    <w:p w14:paraId="2873B5B0" w14:textId="77777777" w:rsidR="003315EC" w:rsidRPr="00A259BD" w:rsidRDefault="003315EC" w:rsidP="009236E3">
      <w:pPr>
        <w:spacing w:after="0" w:line="240" w:lineRule="auto"/>
        <w:jc w:val="both"/>
        <w:rPr>
          <w:rFonts w:ascii="Times New Roman" w:hAnsi="Times New Roman"/>
          <w:color w:val="000000" w:themeColor="text1"/>
          <w:sz w:val="16"/>
          <w:szCs w:val="16"/>
        </w:rPr>
      </w:pPr>
    </w:p>
    <w:p w14:paraId="0E4E52B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DC7A9F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FD05C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состоянию на 17 сентября 1929 казна по заключенным контрактам об иностранной тех. помощи намечала истратить 13 млн. долл. (1566,77).</w:t>
      </w:r>
    </w:p>
    <w:p w14:paraId="176AE0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37A8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состоянию на 17 сентября 1929 г. советской казной в те</w:t>
      </w:r>
      <w:r w:rsidRPr="00A259BD">
        <w:rPr>
          <w:rFonts w:ascii="Times New Roman" w:hAnsi="Times New Roman"/>
          <w:color w:val="000000" w:themeColor="text1"/>
          <w:sz w:val="16"/>
          <w:szCs w:val="16"/>
        </w:rPr>
        <w:softHyphen/>
        <w:t>чение 1929/30 г. по заключенным договорам об иностранной технической помощи трестам военной промышленности намеча</w:t>
      </w:r>
      <w:r w:rsidRPr="00A259BD">
        <w:rPr>
          <w:rFonts w:ascii="Times New Roman" w:hAnsi="Times New Roman"/>
          <w:color w:val="000000" w:themeColor="text1"/>
          <w:sz w:val="16"/>
          <w:szCs w:val="16"/>
        </w:rPr>
        <w:softHyphen/>
        <w:t>лось отпустить 1318250 американских долларов (РГАЭ ф. 2097, оп. 1, д. 1110, л. 20). В допол</w:t>
      </w:r>
      <w:r w:rsidRPr="00A259BD">
        <w:rPr>
          <w:rFonts w:ascii="Times New Roman" w:hAnsi="Times New Roman"/>
          <w:color w:val="000000" w:themeColor="text1"/>
          <w:sz w:val="16"/>
          <w:szCs w:val="16"/>
        </w:rPr>
        <w:softHyphen/>
        <w:t xml:space="preserve">нение к этой, весьма кругленькой сумме, РВС СССР убедительно просил председателя ВСНХ СССР </w:t>
      </w:r>
      <w:proofErr w:type="spellStart"/>
      <w:r w:rsidRPr="00A259BD">
        <w:rPr>
          <w:rFonts w:ascii="Times New Roman" w:hAnsi="Times New Roman"/>
          <w:color w:val="000000" w:themeColor="text1"/>
          <w:sz w:val="16"/>
          <w:szCs w:val="16"/>
        </w:rPr>
        <w:t>В.В.Куйбышева</w:t>
      </w:r>
      <w:proofErr w:type="spellEnd"/>
      <w:r w:rsidRPr="00A259BD">
        <w:rPr>
          <w:rFonts w:ascii="Times New Roman" w:hAnsi="Times New Roman"/>
          <w:color w:val="000000" w:themeColor="text1"/>
          <w:sz w:val="16"/>
          <w:szCs w:val="16"/>
        </w:rPr>
        <w:t xml:space="preserve"> отпустить еще хотя бы 70 тыс. американских долларов для организации работы “по получению из-за границы агентурным путем рабочих черте</w:t>
      </w:r>
      <w:r w:rsidRPr="00A259BD">
        <w:rPr>
          <w:rFonts w:ascii="Times New Roman" w:hAnsi="Times New Roman"/>
          <w:color w:val="000000" w:themeColor="text1"/>
          <w:sz w:val="16"/>
          <w:szCs w:val="16"/>
        </w:rPr>
        <w:softHyphen/>
        <w:t xml:space="preserve">жей и готовых образцов орудий”, поскольку, как сказано в письме </w:t>
      </w:r>
      <w:proofErr w:type="spellStart"/>
      <w:r w:rsidRPr="00A259BD">
        <w:rPr>
          <w:rFonts w:ascii="Times New Roman" w:hAnsi="Times New Roman"/>
          <w:color w:val="000000" w:themeColor="text1"/>
          <w:sz w:val="16"/>
          <w:szCs w:val="16"/>
        </w:rPr>
        <w:t>И.С.Уншлихта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В.В.Куйбышеву</w:t>
      </w:r>
      <w:proofErr w:type="spellEnd"/>
      <w:r w:rsidRPr="00A259BD">
        <w:rPr>
          <w:rFonts w:ascii="Times New Roman" w:hAnsi="Times New Roman"/>
          <w:color w:val="000000" w:themeColor="text1"/>
          <w:sz w:val="16"/>
          <w:szCs w:val="16"/>
        </w:rPr>
        <w:t xml:space="preserve"> от 28 сентября 1929 г., “состо</w:t>
      </w:r>
      <w:r w:rsidRPr="00A259BD">
        <w:rPr>
          <w:rFonts w:ascii="Times New Roman" w:hAnsi="Times New Roman"/>
          <w:color w:val="000000" w:themeColor="text1"/>
          <w:sz w:val="16"/>
          <w:szCs w:val="16"/>
        </w:rPr>
        <w:softHyphen/>
        <w:t>яние наших конструкторских организаций на сегодняшний день не может обеспечить требуемых сроков конструирования и про-</w:t>
      </w:r>
      <w:proofErr w:type="spellStart"/>
      <w:r w:rsidRPr="00A259BD">
        <w:rPr>
          <w:rFonts w:ascii="Times New Roman" w:hAnsi="Times New Roman"/>
          <w:color w:val="000000" w:themeColor="text1"/>
          <w:sz w:val="16"/>
          <w:szCs w:val="16"/>
        </w:rPr>
        <w:t>изводства</w:t>
      </w:r>
      <w:proofErr w:type="spellEnd"/>
      <w:r w:rsidRPr="00A259BD">
        <w:rPr>
          <w:rFonts w:ascii="Times New Roman" w:hAnsi="Times New Roman"/>
          <w:color w:val="000000" w:themeColor="text1"/>
          <w:sz w:val="16"/>
          <w:szCs w:val="16"/>
        </w:rPr>
        <w:t xml:space="preserve"> новых систем артиллерийского вооружения для РККА” (РГАЭ ф. 2097, оп. 1, д. 890, л. 1) (1566,77).</w:t>
      </w:r>
    </w:p>
    <w:p w14:paraId="443D6D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A246CD" w14:textId="77777777" w:rsidR="00A53486" w:rsidRPr="00A259BD" w:rsidRDefault="00A53486" w:rsidP="009236E3">
      <w:pPr>
        <w:pStyle w:val="a3"/>
        <w:rPr>
          <w:color w:val="000000" w:themeColor="text1"/>
          <w:lang w:val="ru-RU"/>
        </w:rPr>
      </w:pPr>
      <w:r w:rsidRPr="00A259BD">
        <w:rPr>
          <w:color w:val="000000" w:themeColor="text1"/>
          <w:lang w:val="ru-RU"/>
        </w:rPr>
        <w:t>С 17 сентября по 20 октября 1929 прошел мотопробег, к которому успели изготовить пять мотоциклов. Пробег прошел успешно, особенно много положительных отзывов получил ИЖ-3, но только строить мотоциклы оказалось негде (15753).</w:t>
      </w:r>
    </w:p>
    <w:p w14:paraId="0382CD24" w14:textId="77777777" w:rsidR="00A53486" w:rsidRPr="00A259BD" w:rsidRDefault="00A53486" w:rsidP="009236E3">
      <w:pPr>
        <w:pStyle w:val="a3"/>
        <w:rPr>
          <w:color w:val="000000" w:themeColor="text1"/>
          <w:lang w:val="ru-RU"/>
        </w:rPr>
      </w:pPr>
    </w:p>
    <w:p w14:paraId="4C048710"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сентября 1929 года к началу 2-го Всесоюзного мотопробега подготовили только Иж-1 (бригада слесарей И. Щадрина, ИЖ-2 и ИЖ-3, а еще два ИЖ-4 и ИЖ-5 налаживали, но к старту они безнадежно опаздывали. Так их и отправили в пробег необкатанными, с неотрегулированными карбюраторами... Тем не менее вся пятерка успешно прошла 3300-километровый маршрут и финишировала в Москве. Что же представляли собой ижевские первенцы?</w:t>
      </w:r>
    </w:p>
    <w:p w14:paraId="64BE585D"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ИЖ-1 и ИЖ-2 были почти одинаковыми, оснащенными V-образными моторами максимальной мощностью 24 л. с. при 3000 об./мин., установленными осью коленчатого вала вдоль машины; третья передача напрямую связывала через карданный вал двигатель с редуктором заднего колеса. Заметим, что подобное техническое решение до тех пор на тяжелых мотоциклах не применялось.</w:t>
      </w:r>
    </w:p>
    <w:p w14:paraId="7550C2AC"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Приводилось и колесо бокового прицепа (коляски), поэтому машины уверенно шли по бездорожью; 23 л топлива в бензобаке хватало на 300 км пути, максимальная скорость достигала 65 км/ч.</w:t>
      </w:r>
    </w:p>
    <w:p w14:paraId="364926FD"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Особенно хорошо показал себя ИЖ-2, двигатель которого принудительно охлаждался центробежным вентилятором и не издавал громкого выхлопа. Оправдались и другие технические новинки, примененные создателями первых </w:t>
      </w:r>
      <w:proofErr w:type="spellStart"/>
      <w:r w:rsidRPr="00A259BD">
        <w:rPr>
          <w:rFonts w:ascii="Times New Roman" w:hAnsi="Times New Roman"/>
          <w:color w:val="000000" w:themeColor="text1"/>
          <w:sz w:val="16"/>
          <w:szCs w:val="16"/>
        </w:rPr>
        <w:t>ИЖей</w:t>
      </w:r>
      <w:proofErr w:type="spellEnd"/>
      <w:r w:rsidRPr="00A259BD">
        <w:rPr>
          <w:rFonts w:ascii="Times New Roman" w:hAnsi="Times New Roman"/>
          <w:color w:val="000000" w:themeColor="text1"/>
          <w:sz w:val="16"/>
          <w:szCs w:val="16"/>
        </w:rPr>
        <w:t>,— масляный радиатор, штампованная рама с большим запасом прочности (в некоторых частях до 10!), выпуск выхлопных газов через коробчатые элементы рамы.</w:t>
      </w:r>
    </w:p>
    <w:p w14:paraId="2F697DF8"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ИЖ-3 Можаров попробовал плотно закрыть цепь заднего колеса и несколько изменил устройство штампованной рамы, остальное же заимствовал от других мотоциклов, в частности, двигатель взял с того самого “Не-</w:t>
      </w:r>
      <w:proofErr w:type="spellStart"/>
      <w:r w:rsidRPr="00A259BD">
        <w:rPr>
          <w:rFonts w:ascii="Times New Roman" w:hAnsi="Times New Roman"/>
          <w:color w:val="000000" w:themeColor="text1"/>
          <w:sz w:val="16"/>
          <w:szCs w:val="16"/>
        </w:rPr>
        <w:t>андра</w:t>
      </w:r>
      <w:proofErr w:type="spellEnd"/>
      <w:r w:rsidRPr="00A259BD">
        <w:rPr>
          <w:rFonts w:ascii="Times New Roman" w:hAnsi="Times New Roman"/>
          <w:color w:val="000000" w:themeColor="text1"/>
          <w:sz w:val="16"/>
          <w:szCs w:val="16"/>
        </w:rPr>
        <w:t>”.</w:t>
      </w:r>
    </w:p>
    <w:p w14:paraId="7D12668F"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Особо приглянулся технической комиссии малолитражный ИЖ-4. Она рекомендовала побыстрее устранить выявленные в пробеге недостатки и незамедлительно запустить эту машину в массовое производство.</w:t>
      </w:r>
    </w:p>
    <w:p w14:paraId="45F5897D"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ИЖ-5 Можаров испытал новые варианты устройства рамы и вилки переднего колеса, другие же узлы и детали заимствовал от серийных машин.</w:t>
      </w:r>
    </w:p>
    <w:p w14:paraId="77A85EE4"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Таким образом, на первой пятерке </w:t>
      </w:r>
      <w:proofErr w:type="spellStart"/>
      <w:r w:rsidRPr="00A259BD">
        <w:rPr>
          <w:rFonts w:ascii="Times New Roman" w:hAnsi="Times New Roman"/>
          <w:color w:val="000000" w:themeColor="text1"/>
          <w:sz w:val="16"/>
          <w:szCs w:val="16"/>
        </w:rPr>
        <w:t>ИЖей</w:t>
      </w:r>
      <w:proofErr w:type="spellEnd"/>
      <w:r w:rsidRPr="00A259BD">
        <w:rPr>
          <w:rFonts w:ascii="Times New Roman" w:hAnsi="Times New Roman"/>
          <w:color w:val="000000" w:themeColor="text1"/>
          <w:sz w:val="16"/>
          <w:szCs w:val="16"/>
        </w:rPr>
        <w:t xml:space="preserve"> удалось одновременно опробовать несколько оригинальных технических решений, предложенных Мо-жаровым и его товарищами по инициативной группе. Такой подход позволил отобрать, причем весьма оперативно, все лучшее, чтобы внедрить в будущий мотоцикл, предназначенный для массового производства на Ижевском заводе.</w:t>
      </w:r>
    </w:p>
    <w:p w14:paraId="114D52E8"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сожалению, этого не произошло, и только потому, что завод в то время был перегружен другими, не менее важными заказами. Тем не менее создание ижевских первенцев показало, на что способны кадры конструкторов, инженеров, рабочих — достаточно опытных и преданных новому делу. Накопленный ими опыт проектирования и сборки машин сыграл свою роль в развитии советского </w:t>
      </w:r>
      <w:proofErr w:type="spellStart"/>
      <w:r w:rsidRPr="00A259BD">
        <w:rPr>
          <w:rFonts w:ascii="Times New Roman" w:hAnsi="Times New Roman"/>
          <w:color w:val="000000" w:themeColor="text1"/>
          <w:sz w:val="16"/>
          <w:szCs w:val="16"/>
        </w:rPr>
        <w:t>мотоциклостроения</w:t>
      </w:r>
      <w:proofErr w:type="spellEnd"/>
      <w:r w:rsidRPr="00A259BD">
        <w:rPr>
          <w:rFonts w:ascii="Times New Roman" w:hAnsi="Times New Roman"/>
          <w:color w:val="000000" w:themeColor="text1"/>
          <w:sz w:val="16"/>
          <w:szCs w:val="16"/>
        </w:rPr>
        <w:t>. Ныне ИЖ-1 и ИЖ-4 бережно хранятся в музее Ижевского завода (11395).</w:t>
      </w:r>
    </w:p>
    <w:p w14:paraId="5E724E58"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46B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Дождливым утром 17 сентября 1929 г. из ворот ИОЗ на виду у многих заводчан торжественно выехал мотоцикл ИЖ-1, ведомый бригадиром слесарей </w:t>
      </w:r>
      <w:proofErr w:type="spellStart"/>
      <w:r w:rsidRPr="00A259BD">
        <w:rPr>
          <w:rFonts w:ascii="Times New Roman" w:hAnsi="Times New Roman"/>
          <w:color w:val="000000" w:themeColor="text1"/>
          <w:sz w:val="16"/>
          <w:szCs w:val="16"/>
        </w:rPr>
        <w:t>мотосекции</w:t>
      </w:r>
      <w:proofErr w:type="spellEnd"/>
      <w:r w:rsidRPr="00A259BD">
        <w:rPr>
          <w:rFonts w:ascii="Times New Roman" w:hAnsi="Times New Roman"/>
          <w:color w:val="000000" w:themeColor="text1"/>
          <w:sz w:val="16"/>
          <w:szCs w:val="16"/>
        </w:rPr>
        <w:t xml:space="preserve"> Иосифом Шадриным. Этот день историки техники считают датой создания первого Ижевского мотоцикла, но это заблуждение. В действительности ИЖ-1 сделали после ИЖ-3. “Тройку” изготовили и обкатали еще весной 1929 г. А в это время специалисты </w:t>
      </w:r>
      <w:proofErr w:type="spellStart"/>
      <w:r w:rsidRPr="00A259BD">
        <w:rPr>
          <w:rFonts w:ascii="Times New Roman" w:hAnsi="Times New Roman"/>
          <w:color w:val="000000" w:themeColor="text1"/>
          <w:sz w:val="16"/>
          <w:szCs w:val="16"/>
        </w:rPr>
        <w:t>мотосекции</w:t>
      </w:r>
      <w:proofErr w:type="spellEnd"/>
      <w:r w:rsidRPr="00A259BD">
        <w:rPr>
          <w:rFonts w:ascii="Times New Roman" w:hAnsi="Times New Roman"/>
          <w:color w:val="000000" w:themeColor="text1"/>
          <w:sz w:val="16"/>
          <w:szCs w:val="16"/>
        </w:rPr>
        <w:t xml:space="preserve"> торопливо доделывали ИЖ-2, ИЖ-4, ИЖ-5 (11398).</w:t>
      </w:r>
    </w:p>
    <w:p w14:paraId="1009E5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6C2B674" w14:textId="77777777" w:rsidR="00D828EE" w:rsidRPr="00A259BD" w:rsidRDefault="00D828EE"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hAnsi="Times New Roman"/>
          <w:color w:val="000000" w:themeColor="text1"/>
          <w:sz w:val="16"/>
          <w:szCs w:val="16"/>
          <w:shd w:val="clear" w:color="auto" w:fill="FFFFFF"/>
        </w:rPr>
        <w:t>17 сентября 1929 из ворот ижевской мастерской выкатили №1, собранный бригадой Иосифа Шадрина. Можаров говорил на митинге:« — То, что сделали мы, для педантичного немца было бы безумием. Но это безумие кончится победой советского мотоцикла. Конструктивно независимая машина создана нами всего за восемь месяцев, вдвое быстрее, чем создают в Берлине…».</w:t>
      </w:r>
    </w:p>
    <w:p w14:paraId="56DE6212" w14:textId="77777777" w:rsidR="00D828EE" w:rsidRPr="00A259BD" w:rsidRDefault="00D828EE"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hAnsi="Times New Roman"/>
          <w:color w:val="000000" w:themeColor="text1"/>
          <w:sz w:val="16"/>
          <w:szCs w:val="16"/>
          <w:shd w:val="clear" w:color="auto" w:fill="FFFFFF"/>
        </w:rPr>
        <w:lastRenderedPageBreak/>
        <w:t>В сентябре 1929 г. первый серийный Иж-1, еще первенцы-</w:t>
      </w:r>
      <w:proofErr w:type="spellStart"/>
      <w:r w:rsidRPr="00A259BD">
        <w:rPr>
          <w:rFonts w:ascii="Times New Roman" w:hAnsi="Times New Roman"/>
          <w:color w:val="000000" w:themeColor="text1"/>
          <w:sz w:val="16"/>
          <w:szCs w:val="16"/>
          <w:shd w:val="clear" w:color="auto" w:fill="FFFFFF"/>
        </w:rPr>
        <w:t>Ижи</w:t>
      </w:r>
      <w:proofErr w:type="spellEnd"/>
      <w:r w:rsidRPr="00A259BD">
        <w:rPr>
          <w:rFonts w:ascii="Times New Roman" w:hAnsi="Times New Roman"/>
          <w:color w:val="000000" w:themeColor="text1"/>
          <w:sz w:val="16"/>
          <w:szCs w:val="16"/>
          <w:shd w:val="clear" w:color="auto" w:fill="FFFFFF"/>
        </w:rPr>
        <w:t xml:space="preserve"> выезжают из ворот завода, и сразу – в длительный мотопробег из Ижевска (на пароходе) в </w:t>
      </w:r>
      <w:proofErr w:type="spellStart"/>
      <w:r w:rsidRPr="00A259BD">
        <w:rPr>
          <w:rFonts w:ascii="Times New Roman" w:hAnsi="Times New Roman"/>
          <w:color w:val="000000" w:themeColor="text1"/>
          <w:sz w:val="16"/>
          <w:szCs w:val="16"/>
          <w:shd w:val="clear" w:color="auto" w:fill="FFFFFF"/>
        </w:rPr>
        <w:t>Н.Новгород</w:t>
      </w:r>
      <w:proofErr w:type="spellEnd"/>
      <w:r w:rsidRPr="00A259BD">
        <w:rPr>
          <w:rFonts w:ascii="Times New Roman" w:hAnsi="Times New Roman"/>
          <w:color w:val="000000" w:themeColor="text1"/>
          <w:sz w:val="16"/>
          <w:szCs w:val="16"/>
          <w:shd w:val="clear" w:color="auto" w:fill="FFFFFF"/>
        </w:rPr>
        <w:t>, и далее своим ходом в – Москву-Ленинград-Псков-далее Брянск-Харьков и вновь Москва; итого 3.300 км! (19148)</w:t>
      </w:r>
    </w:p>
    <w:p w14:paraId="2C6535E4" w14:textId="77777777" w:rsidR="00D828EE" w:rsidRPr="00A259BD" w:rsidRDefault="00D828EE" w:rsidP="009236E3">
      <w:pPr>
        <w:spacing w:after="0" w:line="240" w:lineRule="auto"/>
        <w:jc w:val="both"/>
        <w:rPr>
          <w:rFonts w:ascii="Times New Roman" w:eastAsia="Times New Roman" w:hAnsi="Times New Roman"/>
          <w:color w:val="000000" w:themeColor="text1"/>
          <w:sz w:val="16"/>
          <w:szCs w:val="16"/>
          <w:lang w:eastAsia="ru-RU"/>
        </w:rPr>
      </w:pPr>
    </w:p>
    <w:p w14:paraId="41D12E2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Утром во вторник 17 сентября 1929 из ворот завода под громкие возгласы и аплодисменты собравшихся выехали пять ижевских экспериментальных мотоциклов ИЖ-1, ИЖ-2, ИЖ-3, ИЖ-4, ИЖ-5. Чтобы сравнить их свойства с аналогичными иномарками, в мотопробег по договорённости с </w:t>
      </w:r>
      <w:proofErr w:type="spellStart"/>
      <w:r w:rsidRPr="00A259BD">
        <w:rPr>
          <w:rFonts w:ascii="Times New Roman" w:hAnsi="Times New Roman"/>
          <w:color w:val="000000" w:themeColor="text1"/>
          <w:sz w:val="16"/>
          <w:szCs w:val="16"/>
        </w:rPr>
        <w:t>АВТОДОРом</w:t>
      </w:r>
      <w:proofErr w:type="spellEnd"/>
      <w:r w:rsidRPr="00A259BD">
        <w:rPr>
          <w:rFonts w:ascii="Times New Roman" w:hAnsi="Times New Roman"/>
          <w:color w:val="000000" w:themeColor="text1"/>
          <w:sz w:val="16"/>
          <w:szCs w:val="16"/>
        </w:rPr>
        <w:t xml:space="preserve"> предстояло от</w:t>
      </w:r>
      <w:r w:rsidRPr="00A259BD">
        <w:rPr>
          <w:rFonts w:ascii="Times New Roman" w:hAnsi="Times New Roman"/>
          <w:color w:val="000000" w:themeColor="text1"/>
          <w:sz w:val="16"/>
          <w:szCs w:val="16"/>
        </w:rPr>
        <w:softHyphen/>
        <w:t xml:space="preserve">править имевшиеся на </w:t>
      </w:r>
      <w:proofErr w:type="spellStart"/>
      <w:r w:rsidRPr="00A259BD">
        <w:rPr>
          <w:rFonts w:ascii="Times New Roman" w:hAnsi="Times New Roman"/>
          <w:color w:val="000000" w:themeColor="text1"/>
          <w:sz w:val="16"/>
          <w:szCs w:val="16"/>
        </w:rPr>
        <w:t>ИОЗе</w:t>
      </w:r>
      <w:proofErr w:type="spellEnd"/>
      <w:r w:rsidRPr="00A259BD">
        <w:rPr>
          <w:rFonts w:ascii="Times New Roman" w:hAnsi="Times New Roman"/>
          <w:color w:val="000000" w:themeColor="text1"/>
          <w:sz w:val="16"/>
          <w:szCs w:val="16"/>
        </w:rPr>
        <w:t xml:space="preserve"> восемь зарубежных мотоциклов (Zundapp-750, Mabeco-750, Neader-500 и др.), а также два автомо</w:t>
      </w:r>
      <w:r w:rsidRPr="00A259BD">
        <w:rPr>
          <w:rFonts w:ascii="Times New Roman" w:hAnsi="Times New Roman"/>
          <w:color w:val="000000" w:themeColor="text1"/>
          <w:sz w:val="16"/>
          <w:szCs w:val="16"/>
        </w:rPr>
        <w:softHyphen/>
        <w:t>биля сопровождения: легковой “Форд-А” для командора пробега и грузовик “АМО-Ф-15” [3.80]. К тому времени в Удмуртской республике уже шли осенние дожди. Грунтовые дороги, по которым мотоциклистам предстоя</w:t>
      </w:r>
      <w:r w:rsidRPr="00A259BD">
        <w:rPr>
          <w:rFonts w:ascii="Times New Roman" w:hAnsi="Times New Roman"/>
          <w:color w:val="000000" w:themeColor="text1"/>
          <w:sz w:val="16"/>
          <w:szCs w:val="16"/>
        </w:rPr>
        <w:softHyphen/>
        <w:t>ло ехать в Нижний Новгород, превратились, как говаривали ижевчане, в “</w:t>
      </w:r>
      <w:proofErr w:type="spellStart"/>
      <w:r w:rsidRPr="00A259BD">
        <w:rPr>
          <w:rFonts w:ascii="Times New Roman" w:hAnsi="Times New Roman"/>
          <w:color w:val="000000" w:themeColor="text1"/>
          <w:sz w:val="16"/>
          <w:szCs w:val="16"/>
        </w:rPr>
        <w:t>ижгрязь</w:t>
      </w:r>
      <w:proofErr w:type="spellEnd"/>
      <w:r w:rsidRPr="00A259BD">
        <w:rPr>
          <w:rFonts w:ascii="Times New Roman" w:hAnsi="Times New Roman"/>
          <w:color w:val="000000" w:themeColor="text1"/>
          <w:sz w:val="16"/>
          <w:szCs w:val="16"/>
        </w:rPr>
        <w:t>”. Езда под дождем на неотрегулированных экспериментальных мотоциклах для неопытных заводских мото</w:t>
      </w:r>
      <w:r w:rsidRPr="00A259BD">
        <w:rPr>
          <w:rFonts w:ascii="Times New Roman" w:hAnsi="Times New Roman"/>
          <w:color w:val="000000" w:themeColor="text1"/>
          <w:sz w:val="16"/>
          <w:szCs w:val="16"/>
        </w:rPr>
        <w:softHyphen/>
        <w:t>циклистов обещала стать тяжёлым испытанием. Чтобы не под</w:t>
      </w:r>
      <w:r w:rsidRPr="00A259BD">
        <w:rPr>
          <w:rFonts w:ascii="Times New Roman" w:hAnsi="Times New Roman"/>
          <w:color w:val="000000" w:themeColor="text1"/>
          <w:sz w:val="16"/>
          <w:szCs w:val="16"/>
        </w:rPr>
        <w:softHyphen/>
        <w:t xml:space="preserve">вергать ненужному риску ни уникальные машины, ни уставших от чрезмерного труда водителей, руководство </w:t>
      </w:r>
      <w:proofErr w:type="spellStart"/>
      <w:r w:rsidRPr="00A259BD">
        <w:rPr>
          <w:rFonts w:ascii="Times New Roman" w:hAnsi="Times New Roman"/>
          <w:color w:val="000000" w:themeColor="text1"/>
          <w:sz w:val="16"/>
          <w:szCs w:val="16"/>
        </w:rPr>
        <w:t>ИОЗа</w:t>
      </w:r>
      <w:proofErr w:type="spellEnd"/>
      <w:r w:rsidRPr="00A259BD">
        <w:rPr>
          <w:rFonts w:ascii="Times New Roman" w:hAnsi="Times New Roman"/>
          <w:color w:val="000000" w:themeColor="text1"/>
          <w:sz w:val="16"/>
          <w:szCs w:val="16"/>
        </w:rPr>
        <w:t xml:space="preserve"> решило весь транспорт, отправлявшийся в пробег, доставить в Нижний Новго</w:t>
      </w:r>
      <w:r w:rsidRPr="00A259BD">
        <w:rPr>
          <w:rFonts w:ascii="Times New Roman" w:hAnsi="Times New Roman"/>
          <w:color w:val="000000" w:themeColor="text1"/>
          <w:sz w:val="16"/>
          <w:szCs w:val="16"/>
        </w:rPr>
        <w:softHyphen/>
        <w:t>род на грузовом пароходе. Это было оправданно потому, что в “город всероссийских ярмарок” следовало прибыть не позже утра 22 сентября, причём, все мотоциклы следовало привести к старту пробега в исправном состоянии (11429).</w:t>
      </w:r>
    </w:p>
    <w:p w14:paraId="10E3EB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CA9D78" w14:textId="77777777" w:rsidR="00A53486"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207D047" w14:textId="77777777" w:rsidR="00A53486" w:rsidRPr="00A259BD" w:rsidRDefault="00A5348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2A9E876" w14:textId="77777777" w:rsidR="007D078A" w:rsidRPr="00A259BD" w:rsidRDefault="007D078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сентября 1929 г. первый полет </w:t>
      </w:r>
      <w:proofErr w:type="spellStart"/>
      <w:r w:rsidRPr="00A259BD">
        <w:rPr>
          <w:rFonts w:ascii="Times New Roman" w:hAnsi="Times New Roman"/>
          <w:color w:val="000000" w:themeColor="text1"/>
          <w:sz w:val="16"/>
          <w:szCs w:val="16"/>
        </w:rPr>
        <w:t>Adcox</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Student</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Prince</w:t>
      </w:r>
      <w:proofErr w:type="spellEnd"/>
      <w:r w:rsidRPr="00A259BD">
        <w:rPr>
          <w:rFonts w:ascii="Times New Roman" w:hAnsi="Times New Roman"/>
          <w:color w:val="000000" w:themeColor="text1"/>
          <w:sz w:val="16"/>
          <w:szCs w:val="16"/>
        </w:rPr>
        <w:t xml:space="preserve"> (20806).</w:t>
      </w:r>
    </w:p>
    <w:p w14:paraId="4B479AC2" w14:textId="77777777" w:rsidR="007D078A" w:rsidRPr="00A259BD" w:rsidRDefault="007D078A" w:rsidP="009236E3">
      <w:pPr>
        <w:spacing w:after="0" w:line="240" w:lineRule="auto"/>
        <w:jc w:val="both"/>
        <w:rPr>
          <w:rFonts w:ascii="Times New Roman" w:hAnsi="Times New Roman"/>
          <w:color w:val="000000" w:themeColor="text1"/>
          <w:sz w:val="16"/>
          <w:szCs w:val="16"/>
        </w:rPr>
      </w:pPr>
    </w:p>
    <w:p w14:paraId="00CDD271" w14:textId="77777777" w:rsidR="00A53486" w:rsidRPr="00A259BD" w:rsidRDefault="00A53486"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 xml:space="preserve">17 сентября </w:t>
      </w:r>
      <w:r w:rsidRPr="00A259BD">
        <w:rPr>
          <w:rFonts w:ascii="Times New Roman" w:hAnsi="Times New Roman"/>
          <w:color w:val="000000" w:themeColor="text1"/>
          <w:sz w:val="16"/>
          <w:szCs w:val="16"/>
        </w:rPr>
        <w:t xml:space="preserve">в 1929 году американским пионером ракетной техники </w:t>
      </w:r>
      <w:proofErr w:type="spellStart"/>
      <w:r w:rsidRPr="00A259BD">
        <w:rPr>
          <w:rFonts w:ascii="Times New Roman" w:hAnsi="Times New Roman"/>
          <w:color w:val="000000" w:themeColor="text1"/>
          <w:sz w:val="16"/>
          <w:szCs w:val="16"/>
        </w:rPr>
        <w:t>Р.Годдардом</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R.Goddard</w:t>
      </w:r>
      <w:proofErr w:type="spellEnd"/>
      <w:r w:rsidRPr="00A259BD">
        <w:rPr>
          <w:rFonts w:ascii="Times New Roman" w:hAnsi="Times New Roman"/>
          <w:color w:val="000000" w:themeColor="text1"/>
          <w:sz w:val="16"/>
          <w:szCs w:val="16"/>
        </w:rPr>
        <w:t xml:space="preserve">) осуществлен пуск ракеты в местечке </w:t>
      </w:r>
      <w:proofErr w:type="spellStart"/>
      <w:r w:rsidRPr="00A259BD">
        <w:rPr>
          <w:rFonts w:ascii="Times New Roman" w:hAnsi="Times New Roman"/>
          <w:color w:val="000000" w:themeColor="text1"/>
          <w:sz w:val="16"/>
          <w:szCs w:val="16"/>
        </w:rPr>
        <w:t>Обурн</w:t>
      </w:r>
      <w:proofErr w:type="spellEnd"/>
      <w:r w:rsidRPr="00A259BD">
        <w:rPr>
          <w:rFonts w:ascii="Times New Roman" w:hAnsi="Times New Roman"/>
          <w:color w:val="000000" w:themeColor="text1"/>
          <w:sz w:val="16"/>
          <w:szCs w:val="16"/>
        </w:rPr>
        <w:t xml:space="preserve"> (штат Массачусетс). Впервые осуществлен пуск жидкостной ракеты снабженной приборами и фотокамерой. Ракета массой 25.7 кг поднялась на 28 метров (14772).</w:t>
      </w:r>
    </w:p>
    <w:p w14:paraId="730EF7B1" w14:textId="77777777" w:rsidR="00A53486" w:rsidRPr="00A259BD" w:rsidRDefault="00A53486" w:rsidP="009236E3">
      <w:pPr>
        <w:spacing w:after="0" w:line="240" w:lineRule="auto"/>
        <w:jc w:val="both"/>
        <w:rPr>
          <w:rFonts w:ascii="Times New Roman" w:hAnsi="Times New Roman"/>
          <w:color w:val="000000" w:themeColor="text1"/>
          <w:sz w:val="16"/>
          <w:szCs w:val="16"/>
        </w:rPr>
      </w:pPr>
    </w:p>
    <w:p w14:paraId="20412C7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F52CE7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6C81F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сентября 1929 специальная комиссия НТК "удостоверила удовлетворительное внесение переделок" в третий Р-3. Машину выпустили на испытания в НИИ ВВС.</w:t>
      </w:r>
    </w:p>
    <w:p w14:paraId="667E6A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Радиатор по-прежнему тек, и завод № 25 ничего не мог с этим поделать, объясняя несовершенной технологией пайки (радиаторы выпускало другое предприятие); деформировались амортизаторы. Несмотря на новые выхлопные патрубки, угара в кабинах стало </w:t>
      </w:r>
      <w:proofErr w:type="spellStart"/>
      <w:r w:rsidRPr="00A259BD">
        <w:rPr>
          <w:rFonts w:ascii="Times New Roman" w:hAnsi="Times New Roman"/>
          <w:color w:val="000000" w:themeColor="text1"/>
          <w:sz w:val="16"/>
          <w:szCs w:val="16"/>
        </w:rPr>
        <w:t>еше</w:t>
      </w:r>
      <w:proofErr w:type="spellEnd"/>
      <w:r w:rsidRPr="00A259BD">
        <w:rPr>
          <w:rFonts w:ascii="Times New Roman" w:hAnsi="Times New Roman"/>
          <w:color w:val="000000" w:themeColor="text1"/>
          <w:sz w:val="16"/>
          <w:szCs w:val="16"/>
        </w:rPr>
        <w:t xml:space="preserve"> больше, чем раньше. Конец коллектора в полете вибрировал, а при высоких оборотах из него выбивалось пламя, ослеплявшее летчиков </w:t>
      </w:r>
      <w:proofErr w:type="spellStart"/>
      <w:r w:rsidRPr="00A259BD">
        <w:rPr>
          <w:rFonts w:ascii="Times New Roman" w:hAnsi="Times New Roman"/>
          <w:color w:val="000000" w:themeColor="text1"/>
          <w:sz w:val="16"/>
          <w:szCs w:val="16"/>
        </w:rPr>
        <w:t>ночыо</w:t>
      </w:r>
      <w:proofErr w:type="spellEnd"/>
      <w:r w:rsidRPr="00A259BD">
        <w:rPr>
          <w:rFonts w:ascii="Times New Roman" w:hAnsi="Times New Roman"/>
          <w:color w:val="000000" w:themeColor="text1"/>
          <w:sz w:val="16"/>
          <w:szCs w:val="16"/>
        </w:rPr>
        <w:t>. Хуже того, в самолет начало заносить искры. Если учесть, что Р-5 состоял практически только из дерева и полотна, это казалось очень опасным.</w:t>
      </w:r>
    </w:p>
    <w:p w14:paraId="1AB70D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Летные данные третьего экземпляра были близки к показанным вторым. Несколько улучшилось поведение самолета в штопоре из-за более передней центровки (12034).</w:t>
      </w:r>
    </w:p>
    <w:p w14:paraId="7B974B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45C0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сентября 1929 (правильнее 1928) группа </w:t>
      </w:r>
      <w:proofErr w:type="spellStart"/>
      <w:r w:rsidRPr="00A259BD">
        <w:rPr>
          <w:rFonts w:ascii="Times New Roman" w:hAnsi="Times New Roman"/>
          <w:color w:val="000000" w:themeColor="text1"/>
          <w:sz w:val="16"/>
          <w:szCs w:val="16"/>
        </w:rPr>
        <w:t>П.Ришара</w:t>
      </w:r>
      <w:proofErr w:type="spellEnd"/>
      <w:r w:rsidRPr="00A259BD">
        <w:rPr>
          <w:rFonts w:ascii="Times New Roman" w:hAnsi="Times New Roman"/>
          <w:color w:val="000000" w:themeColor="text1"/>
          <w:sz w:val="16"/>
          <w:szCs w:val="16"/>
        </w:rPr>
        <w:t xml:space="preserve"> начала работы на заводе 28 по ТОМ (2363).</w:t>
      </w:r>
    </w:p>
    <w:p w14:paraId="6CF745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1FAC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сентября 1929 АНТ-4 Страна Советов дублер вылетел из Николаевска на Амуре. Шли под облака</w:t>
      </w:r>
      <w:r w:rsidRPr="00A259BD">
        <w:rPr>
          <w:rFonts w:ascii="Times New Roman" w:hAnsi="Times New Roman"/>
          <w:color w:val="000000" w:themeColor="text1"/>
          <w:sz w:val="16"/>
          <w:szCs w:val="16"/>
        </w:rPr>
        <w:softHyphen/>
        <w:t>ми, на высоте 100-200 м, однако с попут</w:t>
      </w:r>
      <w:r w:rsidRPr="00A259BD">
        <w:rPr>
          <w:rFonts w:ascii="Times New Roman" w:hAnsi="Times New Roman"/>
          <w:color w:val="000000" w:themeColor="text1"/>
          <w:sz w:val="16"/>
          <w:szCs w:val="16"/>
        </w:rPr>
        <w:softHyphen/>
        <w:t>ным ветром. В середине Охотского моря в дрейфе находился пароход “Боровский”, который подстраховывал этот участок пе</w:t>
      </w:r>
      <w:r w:rsidRPr="00A259BD">
        <w:rPr>
          <w:rFonts w:ascii="Times New Roman" w:hAnsi="Times New Roman"/>
          <w:color w:val="000000" w:themeColor="text1"/>
          <w:sz w:val="16"/>
          <w:szCs w:val="16"/>
        </w:rPr>
        <w:softHyphen/>
        <w:t>релета и сообщал по радио погоду. В Пет</w:t>
      </w:r>
      <w:r w:rsidRPr="00A259BD">
        <w:rPr>
          <w:rFonts w:ascii="Times New Roman" w:hAnsi="Times New Roman"/>
          <w:color w:val="000000" w:themeColor="text1"/>
          <w:sz w:val="16"/>
          <w:szCs w:val="16"/>
        </w:rPr>
        <w:softHyphen/>
        <w:t>ропавловск прибыли благополучно — это была последняя посадка на территории СССР. Следующим пунктом стал американ</w:t>
      </w:r>
      <w:r w:rsidRPr="00A259BD">
        <w:rPr>
          <w:rFonts w:ascii="Times New Roman" w:hAnsi="Times New Roman"/>
          <w:color w:val="000000" w:themeColor="text1"/>
          <w:sz w:val="16"/>
          <w:szCs w:val="16"/>
        </w:rPr>
        <w:softHyphen/>
        <w:t xml:space="preserve">ский о. </w:t>
      </w:r>
      <w:proofErr w:type="spellStart"/>
      <w:r w:rsidRPr="00A259BD">
        <w:rPr>
          <w:rFonts w:ascii="Times New Roman" w:hAnsi="Times New Roman"/>
          <w:color w:val="000000" w:themeColor="text1"/>
          <w:sz w:val="16"/>
          <w:szCs w:val="16"/>
        </w:rPr>
        <w:t>Атту</w:t>
      </w:r>
      <w:proofErr w:type="spellEnd"/>
      <w:r w:rsidRPr="00A259BD">
        <w:rPr>
          <w:rFonts w:ascii="Times New Roman" w:hAnsi="Times New Roman"/>
          <w:color w:val="000000" w:themeColor="text1"/>
          <w:sz w:val="16"/>
          <w:szCs w:val="16"/>
        </w:rPr>
        <w:t xml:space="preserve"> — самый крайний в Алеутском архипелаге. Этот участок длиной 1100 км считался опасным и напряженным. При не</w:t>
      </w:r>
      <w:r w:rsidRPr="00A259BD">
        <w:rPr>
          <w:rFonts w:ascii="Times New Roman" w:hAnsi="Times New Roman"/>
          <w:color w:val="000000" w:themeColor="text1"/>
          <w:sz w:val="16"/>
          <w:szCs w:val="16"/>
        </w:rPr>
        <w:softHyphen/>
        <w:t>достаточной видимости и отсутствии ра</w:t>
      </w:r>
      <w:r w:rsidRPr="00A259BD">
        <w:rPr>
          <w:rFonts w:ascii="Times New Roman" w:hAnsi="Times New Roman"/>
          <w:color w:val="000000" w:themeColor="text1"/>
          <w:sz w:val="16"/>
          <w:szCs w:val="16"/>
        </w:rPr>
        <w:softHyphen/>
        <w:t>диомаяков найти маленький остров пред</w:t>
      </w:r>
      <w:r w:rsidRPr="00A259BD">
        <w:rPr>
          <w:rFonts w:ascii="Times New Roman" w:hAnsi="Times New Roman"/>
          <w:color w:val="000000" w:themeColor="text1"/>
          <w:sz w:val="16"/>
          <w:szCs w:val="16"/>
        </w:rPr>
        <w:softHyphen/>
        <w:t>ставлялось сложной задачей. Для облегче</w:t>
      </w:r>
      <w:r w:rsidRPr="00A259BD">
        <w:rPr>
          <w:rFonts w:ascii="Times New Roman" w:hAnsi="Times New Roman"/>
          <w:color w:val="000000" w:themeColor="text1"/>
          <w:sz w:val="16"/>
          <w:szCs w:val="16"/>
        </w:rPr>
        <w:softHyphen/>
        <w:t xml:space="preserve">ния ее решения командование выслало к </w:t>
      </w:r>
      <w:proofErr w:type="spellStart"/>
      <w:r w:rsidRPr="00A259BD">
        <w:rPr>
          <w:rFonts w:ascii="Times New Roman" w:hAnsi="Times New Roman"/>
          <w:color w:val="000000" w:themeColor="text1"/>
          <w:sz w:val="16"/>
          <w:szCs w:val="16"/>
        </w:rPr>
        <w:t>Атту</w:t>
      </w:r>
      <w:proofErr w:type="spellEnd"/>
      <w:r w:rsidRPr="00A259BD">
        <w:rPr>
          <w:rFonts w:ascii="Times New Roman" w:hAnsi="Times New Roman"/>
          <w:color w:val="000000" w:themeColor="text1"/>
          <w:sz w:val="16"/>
          <w:szCs w:val="16"/>
        </w:rPr>
        <w:t xml:space="preserve"> старый сторожевой корабль “Красный вымпел”. На нем находился запас горючего для дозаправки самолета, морякам пред</w:t>
      </w:r>
      <w:r w:rsidRPr="00A259BD">
        <w:rPr>
          <w:rFonts w:ascii="Times New Roman" w:hAnsi="Times New Roman"/>
          <w:color w:val="000000" w:themeColor="text1"/>
          <w:sz w:val="16"/>
          <w:szCs w:val="16"/>
        </w:rPr>
        <w:softHyphen/>
        <w:t>стояло поддерживать постоянную радио</w:t>
      </w:r>
      <w:r w:rsidRPr="00A259BD">
        <w:rPr>
          <w:rFonts w:ascii="Times New Roman" w:hAnsi="Times New Roman"/>
          <w:color w:val="000000" w:themeColor="text1"/>
          <w:sz w:val="16"/>
          <w:szCs w:val="16"/>
        </w:rPr>
        <w:softHyphen/>
        <w:t>связь, а при сильному встречному ветру самолет легко оторвался от поверхности Авачинской бух</w:t>
      </w:r>
      <w:r w:rsidRPr="00A259BD">
        <w:rPr>
          <w:rFonts w:ascii="Times New Roman" w:hAnsi="Times New Roman"/>
          <w:color w:val="000000" w:themeColor="text1"/>
          <w:sz w:val="16"/>
          <w:szCs w:val="16"/>
        </w:rPr>
        <w:softHyphen/>
        <w:t>ты. Шли по компасу, при плохой видимости, с постоянно меняющимся ветром — как по скорости, так и по направлению. Стерлигов непрестанно вносил поправки, для чего пришлось сбрасывать снаряженные флуо</w:t>
      </w:r>
      <w:r w:rsidRPr="00A259BD">
        <w:rPr>
          <w:rFonts w:ascii="Times New Roman" w:hAnsi="Times New Roman"/>
          <w:color w:val="000000" w:themeColor="text1"/>
          <w:sz w:val="16"/>
          <w:szCs w:val="16"/>
        </w:rPr>
        <w:softHyphen/>
        <w:t>ресцентным составом навигационные бом</w:t>
      </w:r>
      <w:r w:rsidRPr="00A259BD">
        <w:rPr>
          <w:rFonts w:ascii="Times New Roman" w:hAnsi="Times New Roman"/>
          <w:color w:val="000000" w:themeColor="text1"/>
          <w:sz w:val="16"/>
          <w:szCs w:val="16"/>
        </w:rPr>
        <w:softHyphen/>
        <w:t>бы, после падения которых на воде долго сохранялись хорошо заметные зеленые пятна. Старания оказались не напрасны, и экипаж вышел к цели весьма точно (11286).</w:t>
      </w:r>
    </w:p>
    <w:p w14:paraId="0B1C3E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8AB87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5D37ED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DB55D6F" w14:textId="77777777" w:rsidR="00AF3F3F" w:rsidRPr="00A259BD" w:rsidRDefault="00AF3F3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сентября 1929 комиссия по вопросу о типе тракторов, намеченных к про-</w:t>
      </w:r>
      <w:proofErr w:type="spellStart"/>
      <w:r w:rsidRPr="00A259BD">
        <w:rPr>
          <w:rFonts w:ascii="Times New Roman" w:hAnsi="Times New Roman"/>
          <w:color w:val="000000" w:themeColor="text1"/>
          <w:sz w:val="16"/>
          <w:szCs w:val="16"/>
        </w:rPr>
        <w:t>изводству</w:t>
      </w:r>
      <w:proofErr w:type="spellEnd"/>
      <w:r w:rsidRPr="00A259BD">
        <w:rPr>
          <w:rFonts w:ascii="Times New Roman" w:hAnsi="Times New Roman"/>
          <w:color w:val="000000" w:themeColor="text1"/>
          <w:sz w:val="16"/>
          <w:szCs w:val="16"/>
        </w:rPr>
        <w:t>, их мощности, плане выпуска по го-дам и распределении по заводам, созданная 14 сентября, постановила:</w:t>
      </w:r>
    </w:p>
    <w:p w14:paraId="11CE6409" w14:textId="77777777" w:rsidR="00AF3F3F" w:rsidRPr="00A259BD" w:rsidRDefault="00AF3F3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На Путиловском заводе может про-изводиться до 20 тыс. тракторов мощностью 10-20 </w:t>
      </w:r>
      <w:proofErr w:type="spellStart"/>
      <w:r w:rsidRPr="00A259BD">
        <w:rPr>
          <w:rFonts w:ascii="Times New Roman" w:hAnsi="Times New Roman"/>
          <w:color w:val="000000" w:themeColor="text1"/>
          <w:sz w:val="16"/>
          <w:szCs w:val="16"/>
        </w:rPr>
        <w:t>л.е</w:t>
      </w:r>
      <w:proofErr w:type="spellEnd"/>
      <w:r w:rsidRPr="00A259BD">
        <w:rPr>
          <w:rFonts w:ascii="Times New Roman" w:hAnsi="Times New Roman"/>
          <w:color w:val="000000" w:themeColor="text1"/>
          <w:sz w:val="16"/>
          <w:szCs w:val="16"/>
        </w:rPr>
        <w:t>., допуская переход со временем на более мощный тип трактора.</w:t>
      </w:r>
    </w:p>
    <w:p w14:paraId="35E078A6" w14:textId="77777777" w:rsidR="00AF3F3F" w:rsidRPr="00A259BD" w:rsidRDefault="00AF3F3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На Сталинградском заводе - 50 тыс. тракторов мощностью 15-30 л. с.</w:t>
      </w:r>
    </w:p>
    <w:p w14:paraId="7F8147CD" w14:textId="77777777" w:rsidR="00AF3F3F" w:rsidRPr="00A259BD" w:rsidRDefault="00AF3F3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 Харьковском заводе - 20 тыс. </w:t>
      </w:r>
      <w:proofErr w:type="spellStart"/>
      <w:r w:rsidRPr="00A259BD">
        <w:rPr>
          <w:rFonts w:ascii="Times New Roman" w:hAnsi="Times New Roman"/>
          <w:color w:val="000000" w:themeColor="text1"/>
          <w:sz w:val="16"/>
          <w:szCs w:val="16"/>
        </w:rPr>
        <w:t>тракто</w:t>
      </w:r>
      <w:proofErr w:type="spellEnd"/>
      <w:r w:rsidRPr="00A259BD">
        <w:rPr>
          <w:rFonts w:ascii="Times New Roman" w:hAnsi="Times New Roman"/>
          <w:color w:val="000000" w:themeColor="text1"/>
          <w:sz w:val="16"/>
          <w:szCs w:val="16"/>
        </w:rPr>
        <w:t>-ров с доведением до 30 тыс. тракторов мощно-стью 50-60 л. с.</w:t>
      </w:r>
    </w:p>
    <w:p w14:paraId="1DAC78F6" w14:textId="77777777" w:rsidR="00AF3F3F" w:rsidRPr="00A259BD" w:rsidRDefault="00AF3F3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Считать целесообразным </w:t>
      </w:r>
      <w:proofErr w:type="spellStart"/>
      <w:r w:rsidRPr="00A259BD">
        <w:rPr>
          <w:rFonts w:ascii="Times New Roman" w:hAnsi="Times New Roman"/>
          <w:color w:val="000000" w:themeColor="text1"/>
          <w:sz w:val="16"/>
          <w:szCs w:val="16"/>
        </w:rPr>
        <w:t>организо-вать</w:t>
      </w:r>
      <w:proofErr w:type="spellEnd"/>
      <w:r w:rsidRPr="00A259BD">
        <w:rPr>
          <w:rFonts w:ascii="Times New Roman" w:hAnsi="Times New Roman"/>
          <w:color w:val="000000" w:themeColor="text1"/>
          <w:sz w:val="16"/>
          <w:szCs w:val="16"/>
        </w:rPr>
        <w:t xml:space="preserve"> производство тракторов мощностью 100-120 л. с. на заводе, производящем 50-60 силовые трактора, создав для этого </w:t>
      </w:r>
      <w:proofErr w:type="spellStart"/>
      <w:r w:rsidRPr="00A259BD">
        <w:rPr>
          <w:rFonts w:ascii="Times New Roman" w:hAnsi="Times New Roman"/>
          <w:color w:val="000000" w:themeColor="text1"/>
          <w:sz w:val="16"/>
          <w:szCs w:val="16"/>
        </w:rPr>
        <w:t>специаль-ный</w:t>
      </w:r>
      <w:proofErr w:type="spellEnd"/>
      <w:r w:rsidRPr="00A259BD">
        <w:rPr>
          <w:rFonts w:ascii="Times New Roman" w:hAnsi="Times New Roman"/>
          <w:color w:val="000000" w:themeColor="text1"/>
          <w:sz w:val="16"/>
          <w:szCs w:val="16"/>
        </w:rPr>
        <w:t xml:space="preserve"> цех.</w:t>
      </w:r>
    </w:p>
    <w:p w14:paraId="7CA94802" w14:textId="77777777" w:rsidR="00AF3F3F" w:rsidRPr="00A259BD" w:rsidRDefault="00AF3F3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Принимая во внимание имеющийся у Укра-</w:t>
      </w:r>
      <w:proofErr w:type="spellStart"/>
      <w:r w:rsidRPr="00A259BD">
        <w:rPr>
          <w:rFonts w:ascii="Times New Roman" w:hAnsi="Times New Roman"/>
          <w:color w:val="000000" w:themeColor="text1"/>
          <w:sz w:val="16"/>
          <w:szCs w:val="16"/>
        </w:rPr>
        <w:t>ины</w:t>
      </w:r>
      <w:proofErr w:type="spellEnd"/>
      <w:r w:rsidRPr="00A259BD">
        <w:rPr>
          <w:rFonts w:ascii="Times New Roman" w:hAnsi="Times New Roman"/>
          <w:color w:val="000000" w:themeColor="text1"/>
          <w:sz w:val="16"/>
          <w:szCs w:val="16"/>
        </w:rPr>
        <w:t xml:space="preserve"> опыт в производстве мощных тракторов, наличность опытного технического персонала, подготовленного кадра рабочей силы, </w:t>
      </w:r>
      <w:proofErr w:type="spellStart"/>
      <w:r w:rsidRPr="00A259BD">
        <w:rPr>
          <w:rFonts w:ascii="Times New Roman" w:hAnsi="Times New Roman"/>
          <w:color w:val="000000" w:themeColor="text1"/>
          <w:sz w:val="16"/>
          <w:szCs w:val="16"/>
        </w:rPr>
        <w:t>счи</w:t>
      </w:r>
      <w:proofErr w:type="spellEnd"/>
      <w:r w:rsidRPr="00A259BD">
        <w:rPr>
          <w:rFonts w:ascii="Times New Roman" w:hAnsi="Times New Roman"/>
          <w:color w:val="000000" w:themeColor="text1"/>
          <w:sz w:val="16"/>
          <w:szCs w:val="16"/>
        </w:rPr>
        <w:t>-тать возможным сосредоточить производство 100-120 силовых тракторов в Харькове.</w:t>
      </w:r>
    </w:p>
    <w:p w14:paraId="053C8258" w14:textId="77777777" w:rsidR="00AF3F3F" w:rsidRPr="00A259BD" w:rsidRDefault="00AF3F3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Предложить </w:t>
      </w:r>
      <w:proofErr w:type="spellStart"/>
      <w:r w:rsidRPr="00A259BD">
        <w:rPr>
          <w:rFonts w:ascii="Times New Roman" w:hAnsi="Times New Roman"/>
          <w:color w:val="000000" w:themeColor="text1"/>
          <w:sz w:val="16"/>
          <w:szCs w:val="16"/>
        </w:rPr>
        <w:t>Главмашстрою</w:t>
      </w:r>
      <w:proofErr w:type="spellEnd"/>
      <w:r w:rsidRPr="00A259BD">
        <w:rPr>
          <w:rFonts w:ascii="Times New Roman" w:hAnsi="Times New Roman"/>
          <w:color w:val="000000" w:themeColor="text1"/>
          <w:sz w:val="16"/>
          <w:szCs w:val="16"/>
        </w:rPr>
        <w:t xml:space="preserve"> при </w:t>
      </w:r>
      <w:proofErr w:type="spellStart"/>
      <w:r w:rsidRPr="00A259BD">
        <w:rPr>
          <w:rFonts w:ascii="Times New Roman" w:hAnsi="Times New Roman"/>
          <w:color w:val="000000" w:themeColor="text1"/>
          <w:sz w:val="16"/>
          <w:szCs w:val="16"/>
        </w:rPr>
        <w:t>разработ-ке</w:t>
      </w:r>
      <w:proofErr w:type="spellEnd"/>
      <w:r w:rsidRPr="00A259BD">
        <w:rPr>
          <w:rFonts w:ascii="Times New Roman" w:hAnsi="Times New Roman"/>
          <w:color w:val="000000" w:themeColor="text1"/>
          <w:sz w:val="16"/>
          <w:szCs w:val="16"/>
        </w:rPr>
        <w:t xml:space="preserve"> производственного задания учесть </w:t>
      </w:r>
      <w:proofErr w:type="spellStart"/>
      <w:r w:rsidRPr="00A259BD">
        <w:rPr>
          <w:rFonts w:ascii="Times New Roman" w:hAnsi="Times New Roman"/>
          <w:color w:val="000000" w:themeColor="text1"/>
          <w:sz w:val="16"/>
          <w:szCs w:val="16"/>
        </w:rPr>
        <w:t>возмож-ность</w:t>
      </w:r>
      <w:proofErr w:type="spellEnd"/>
      <w:r w:rsidRPr="00A259BD">
        <w:rPr>
          <w:rFonts w:ascii="Times New Roman" w:hAnsi="Times New Roman"/>
          <w:color w:val="000000" w:themeColor="text1"/>
          <w:sz w:val="16"/>
          <w:szCs w:val="16"/>
        </w:rPr>
        <w:t xml:space="preserve"> постройки нового тракторного завода для производства 50-60 силовых тракторов в иных, кроме Харькова, пунктах Украины.</w:t>
      </w:r>
    </w:p>
    <w:p w14:paraId="7D612921" w14:textId="77777777" w:rsidR="00AF3F3F" w:rsidRPr="00A259BD" w:rsidRDefault="00AF3F3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w:t>
      </w:r>
      <w:r w:rsidRPr="00A259BD">
        <w:rPr>
          <w:rFonts w:ascii="Times New Roman" w:hAnsi="Times New Roman"/>
          <w:color w:val="000000" w:themeColor="text1"/>
          <w:sz w:val="16"/>
          <w:szCs w:val="16"/>
        </w:rPr>
        <w:tab/>
        <w:t>На Челябинском заводе - 40 тыс. трак-торов мощностью 30-40 л. с.</w:t>
      </w:r>
    </w:p>
    <w:p w14:paraId="1373DBEA" w14:textId="77777777" w:rsidR="00AF3F3F" w:rsidRPr="00A259BD" w:rsidRDefault="00AF3F3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w:t>
      </w:r>
      <w:r w:rsidRPr="00A259BD">
        <w:rPr>
          <w:rFonts w:ascii="Times New Roman" w:hAnsi="Times New Roman"/>
          <w:color w:val="000000" w:themeColor="text1"/>
          <w:sz w:val="16"/>
          <w:szCs w:val="16"/>
        </w:rPr>
        <w:tab/>
        <w:t>Вопрос о потребности, мощности и типа фрезерных машин считать подлежащим даль-</w:t>
      </w:r>
      <w:proofErr w:type="spellStart"/>
      <w:r w:rsidRPr="00A259BD">
        <w:rPr>
          <w:rFonts w:ascii="Times New Roman" w:hAnsi="Times New Roman"/>
          <w:color w:val="000000" w:themeColor="text1"/>
          <w:sz w:val="16"/>
          <w:szCs w:val="16"/>
        </w:rPr>
        <w:t>нейшей</w:t>
      </w:r>
      <w:proofErr w:type="spellEnd"/>
      <w:r w:rsidRPr="00A259BD">
        <w:rPr>
          <w:rFonts w:ascii="Times New Roman" w:hAnsi="Times New Roman"/>
          <w:color w:val="000000" w:themeColor="text1"/>
          <w:sz w:val="16"/>
          <w:szCs w:val="16"/>
        </w:rPr>
        <w:t xml:space="preserve"> проработке.</w:t>
      </w:r>
    </w:p>
    <w:p w14:paraId="5EC85C79" w14:textId="77777777" w:rsidR="00AF3F3F" w:rsidRPr="00A259BD" w:rsidRDefault="00AF3F3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w:t>
      </w:r>
      <w:r w:rsidRPr="00A259BD">
        <w:rPr>
          <w:rFonts w:ascii="Times New Roman" w:hAnsi="Times New Roman"/>
          <w:color w:val="000000" w:themeColor="text1"/>
          <w:sz w:val="16"/>
          <w:szCs w:val="16"/>
        </w:rPr>
        <w:tab/>
        <w:t xml:space="preserve">Строительство тракторов для </w:t>
      </w:r>
      <w:proofErr w:type="spellStart"/>
      <w:r w:rsidRPr="00A259BD">
        <w:rPr>
          <w:rFonts w:ascii="Times New Roman" w:hAnsi="Times New Roman"/>
          <w:color w:val="000000" w:themeColor="text1"/>
          <w:sz w:val="16"/>
          <w:szCs w:val="16"/>
        </w:rPr>
        <w:t>пропаш-ных</w:t>
      </w:r>
      <w:proofErr w:type="spellEnd"/>
      <w:r w:rsidRPr="00A259BD">
        <w:rPr>
          <w:rFonts w:ascii="Times New Roman" w:hAnsi="Times New Roman"/>
          <w:color w:val="000000" w:themeColor="text1"/>
          <w:sz w:val="16"/>
          <w:szCs w:val="16"/>
        </w:rPr>
        <w:t xml:space="preserve"> культур, мощностью 10-12 л.с. считать целесообразным организовать на каком-либо из существующих заводов среднего </w:t>
      </w:r>
      <w:proofErr w:type="spellStart"/>
      <w:r w:rsidRPr="00A259BD">
        <w:rPr>
          <w:rFonts w:ascii="Times New Roman" w:hAnsi="Times New Roman"/>
          <w:color w:val="000000" w:themeColor="text1"/>
          <w:sz w:val="16"/>
          <w:szCs w:val="16"/>
        </w:rPr>
        <w:t>машино</w:t>
      </w:r>
      <w:proofErr w:type="spellEnd"/>
      <w:r w:rsidRPr="00A259BD">
        <w:rPr>
          <w:rFonts w:ascii="Times New Roman" w:hAnsi="Times New Roman"/>
          <w:color w:val="000000" w:themeColor="text1"/>
          <w:sz w:val="16"/>
          <w:szCs w:val="16"/>
        </w:rPr>
        <w:t>-строения с доведением производительности таковых к концу 1-го пятилетия до 15 тыс. штук.</w:t>
      </w:r>
    </w:p>
    <w:p w14:paraId="47907E33" w14:textId="77777777" w:rsidR="00AF3F3F" w:rsidRPr="00A259BD" w:rsidRDefault="00AF3F3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Поручить </w:t>
      </w:r>
      <w:proofErr w:type="spellStart"/>
      <w:r w:rsidRPr="00A259BD">
        <w:rPr>
          <w:rFonts w:ascii="Times New Roman" w:hAnsi="Times New Roman"/>
          <w:color w:val="000000" w:themeColor="text1"/>
          <w:sz w:val="16"/>
          <w:szCs w:val="16"/>
        </w:rPr>
        <w:t>Главмашстрою</w:t>
      </w:r>
      <w:proofErr w:type="spellEnd"/>
      <w:r w:rsidRPr="00A259BD">
        <w:rPr>
          <w:rFonts w:ascii="Times New Roman" w:hAnsi="Times New Roman"/>
          <w:color w:val="000000" w:themeColor="text1"/>
          <w:sz w:val="16"/>
          <w:szCs w:val="16"/>
        </w:rPr>
        <w:t xml:space="preserve"> выяснить </w:t>
      </w:r>
      <w:proofErr w:type="spellStart"/>
      <w:r w:rsidRPr="00A259BD">
        <w:rPr>
          <w:rFonts w:ascii="Times New Roman" w:hAnsi="Times New Roman"/>
          <w:color w:val="000000" w:themeColor="text1"/>
          <w:sz w:val="16"/>
          <w:szCs w:val="16"/>
        </w:rPr>
        <w:t>возмож-ность</w:t>
      </w:r>
      <w:proofErr w:type="spellEnd"/>
      <w:r w:rsidRPr="00A259BD">
        <w:rPr>
          <w:rFonts w:ascii="Times New Roman" w:hAnsi="Times New Roman"/>
          <w:color w:val="000000" w:themeColor="text1"/>
          <w:sz w:val="16"/>
          <w:szCs w:val="16"/>
        </w:rPr>
        <w:t xml:space="preserve"> приспособления одного из существую-</w:t>
      </w:r>
      <w:proofErr w:type="spellStart"/>
      <w:r w:rsidRPr="00A259BD">
        <w:rPr>
          <w:rFonts w:ascii="Times New Roman" w:hAnsi="Times New Roman"/>
          <w:color w:val="000000" w:themeColor="text1"/>
          <w:sz w:val="16"/>
          <w:szCs w:val="16"/>
        </w:rPr>
        <w:t>щих</w:t>
      </w:r>
      <w:proofErr w:type="spellEnd"/>
      <w:r w:rsidRPr="00A259BD">
        <w:rPr>
          <w:rFonts w:ascii="Times New Roman" w:hAnsi="Times New Roman"/>
          <w:color w:val="000000" w:themeColor="text1"/>
          <w:sz w:val="16"/>
          <w:szCs w:val="16"/>
        </w:rPr>
        <w:t xml:space="preserve"> заводов, типа «Возрождение», «Большой Токмак», Воронежский и т.п., для производства тракторов для пропашных культур.</w:t>
      </w:r>
    </w:p>
    <w:p w14:paraId="0D46481E" w14:textId="77777777" w:rsidR="00AF3F3F" w:rsidRPr="00A259BD" w:rsidRDefault="00AF3F3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w:t>
      </w:r>
      <w:r w:rsidRPr="00A259BD">
        <w:rPr>
          <w:rFonts w:ascii="Times New Roman" w:hAnsi="Times New Roman"/>
          <w:color w:val="000000" w:themeColor="text1"/>
          <w:sz w:val="16"/>
          <w:szCs w:val="16"/>
        </w:rPr>
        <w:tab/>
        <w:t xml:space="preserve">В виду отсутствия у </w:t>
      </w:r>
      <w:proofErr w:type="spellStart"/>
      <w:r w:rsidRPr="00A259BD">
        <w:rPr>
          <w:rFonts w:ascii="Times New Roman" w:hAnsi="Times New Roman"/>
          <w:color w:val="000000" w:themeColor="text1"/>
          <w:sz w:val="16"/>
          <w:szCs w:val="16"/>
        </w:rPr>
        <w:t>Главмашстроя</w:t>
      </w:r>
      <w:proofErr w:type="spellEnd"/>
      <w:r w:rsidRPr="00A259BD">
        <w:rPr>
          <w:rFonts w:ascii="Times New Roman" w:hAnsi="Times New Roman"/>
          <w:color w:val="000000" w:themeColor="text1"/>
          <w:sz w:val="16"/>
          <w:szCs w:val="16"/>
        </w:rPr>
        <w:t xml:space="preserve"> дан-</w:t>
      </w:r>
      <w:proofErr w:type="spellStart"/>
      <w:r w:rsidRPr="00A259BD">
        <w:rPr>
          <w:rFonts w:ascii="Times New Roman" w:hAnsi="Times New Roman"/>
          <w:color w:val="000000" w:themeColor="text1"/>
          <w:sz w:val="16"/>
          <w:szCs w:val="16"/>
        </w:rPr>
        <w:t>ных</w:t>
      </w:r>
      <w:proofErr w:type="spellEnd"/>
      <w:r w:rsidRPr="00A259BD">
        <w:rPr>
          <w:rFonts w:ascii="Times New Roman" w:hAnsi="Times New Roman"/>
          <w:color w:val="000000" w:themeColor="text1"/>
          <w:sz w:val="16"/>
          <w:szCs w:val="16"/>
        </w:rPr>
        <w:t xml:space="preserve"> для определения в данное время </w:t>
      </w:r>
      <w:proofErr w:type="spellStart"/>
      <w:r w:rsidRPr="00A259BD">
        <w:rPr>
          <w:rFonts w:ascii="Times New Roman" w:hAnsi="Times New Roman"/>
          <w:color w:val="000000" w:themeColor="text1"/>
          <w:sz w:val="16"/>
          <w:szCs w:val="16"/>
        </w:rPr>
        <w:t>себесто-имости</w:t>
      </w:r>
      <w:proofErr w:type="spellEnd"/>
      <w:r w:rsidRPr="00A259BD">
        <w:rPr>
          <w:rFonts w:ascii="Times New Roman" w:hAnsi="Times New Roman"/>
          <w:color w:val="000000" w:themeColor="text1"/>
          <w:sz w:val="16"/>
          <w:szCs w:val="16"/>
        </w:rPr>
        <w:t xml:space="preserve"> трактора, считать возможным руковод-</w:t>
      </w:r>
      <w:proofErr w:type="spellStart"/>
      <w:r w:rsidRPr="00A259BD">
        <w:rPr>
          <w:rFonts w:ascii="Times New Roman" w:hAnsi="Times New Roman"/>
          <w:color w:val="000000" w:themeColor="text1"/>
          <w:sz w:val="16"/>
          <w:szCs w:val="16"/>
        </w:rPr>
        <w:t>ствоваться</w:t>
      </w:r>
      <w:proofErr w:type="spellEnd"/>
      <w:r w:rsidRPr="00A259BD">
        <w:rPr>
          <w:rFonts w:ascii="Times New Roman" w:hAnsi="Times New Roman"/>
          <w:color w:val="000000" w:themeColor="text1"/>
          <w:sz w:val="16"/>
          <w:szCs w:val="16"/>
        </w:rPr>
        <w:t xml:space="preserve"> для ориентировки существующими ценами в Америке Нью-Йорк по переводному курсу на наши рубли.</w:t>
      </w:r>
    </w:p>
    <w:p w14:paraId="5C49555A" w14:textId="77777777" w:rsidR="00AF3F3F" w:rsidRPr="00A259BD" w:rsidRDefault="00AF3F3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 Констатировать, что в отношении </w:t>
      </w:r>
      <w:proofErr w:type="spellStart"/>
      <w:r w:rsidRPr="00A259BD">
        <w:rPr>
          <w:rFonts w:ascii="Times New Roman" w:hAnsi="Times New Roman"/>
          <w:color w:val="000000" w:themeColor="text1"/>
          <w:sz w:val="16"/>
          <w:szCs w:val="16"/>
        </w:rPr>
        <w:t>выбо-ра</w:t>
      </w:r>
      <w:proofErr w:type="spellEnd"/>
      <w:r w:rsidRPr="00A259BD">
        <w:rPr>
          <w:rFonts w:ascii="Times New Roman" w:hAnsi="Times New Roman"/>
          <w:color w:val="000000" w:themeColor="text1"/>
          <w:sz w:val="16"/>
          <w:szCs w:val="16"/>
        </w:rPr>
        <w:t xml:space="preserve"> марки для трактора мощностью 50-60 л.с. существуют разногласия, так как трактор типа «Катерпиллар» потребует переделок в </w:t>
      </w:r>
      <w:proofErr w:type="spellStart"/>
      <w:r w:rsidRPr="00A259BD">
        <w:rPr>
          <w:rFonts w:ascii="Times New Roman" w:hAnsi="Times New Roman"/>
          <w:color w:val="000000" w:themeColor="text1"/>
          <w:sz w:val="16"/>
          <w:szCs w:val="16"/>
        </w:rPr>
        <w:t>смыс-ле</w:t>
      </w:r>
      <w:proofErr w:type="spellEnd"/>
      <w:r w:rsidRPr="00A259BD">
        <w:rPr>
          <w:rFonts w:ascii="Times New Roman" w:hAnsi="Times New Roman"/>
          <w:color w:val="000000" w:themeColor="text1"/>
          <w:sz w:val="16"/>
          <w:szCs w:val="16"/>
        </w:rPr>
        <w:t xml:space="preserve"> увеличения скорости, переделки двигателя с бензина на керосин. Производство же у нас трактора «Коммунар» пока не вышло из стадии опытного, применять этот тип для массового производства было бы рискованно.</w:t>
      </w:r>
    </w:p>
    <w:p w14:paraId="045C4F37" w14:textId="77777777" w:rsidR="00AF3F3F" w:rsidRPr="00A259BD" w:rsidRDefault="00AF3F3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Согласиться с </w:t>
      </w:r>
      <w:proofErr w:type="spellStart"/>
      <w:r w:rsidRPr="00A259BD">
        <w:rPr>
          <w:rFonts w:ascii="Times New Roman" w:hAnsi="Times New Roman"/>
          <w:color w:val="000000" w:themeColor="text1"/>
          <w:sz w:val="16"/>
          <w:szCs w:val="16"/>
        </w:rPr>
        <w:t>Главмашстроем</w:t>
      </w:r>
      <w:proofErr w:type="spellEnd"/>
      <w:r w:rsidRPr="00A259BD">
        <w:rPr>
          <w:rFonts w:ascii="Times New Roman" w:hAnsi="Times New Roman"/>
          <w:color w:val="000000" w:themeColor="text1"/>
          <w:sz w:val="16"/>
          <w:szCs w:val="16"/>
        </w:rPr>
        <w:t>, что за-</w:t>
      </w:r>
      <w:proofErr w:type="spellStart"/>
      <w:r w:rsidRPr="00A259BD">
        <w:rPr>
          <w:rFonts w:ascii="Times New Roman" w:hAnsi="Times New Roman"/>
          <w:color w:val="000000" w:themeColor="text1"/>
          <w:sz w:val="16"/>
          <w:szCs w:val="16"/>
        </w:rPr>
        <w:t>пасные</w:t>
      </w:r>
      <w:proofErr w:type="spellEnd"/>
      <w:r w:rsidRPr="00A259BD">
        <w:rPr>
          <w:rFonts w:ascii="Times New Roman" w:hAnsi="Times New Roman"/>
          <w:color w:val="000000" w:themeColor="text1"/>
          <w:sz w:val="16"/>
          <w:szCs w:val="16"/>
        </w:rPr>
        <w:t xml:space="preserve"> части для тракторов должны </w:t>
      </w:r>
      <w:proofErr w:type="spellStart"/>
      <w:r w:rsidRPr="00A259BD">
        <w:rPr>
          <w:rFonts w:ascii="Times New Roman" w:hAnsi="Times New Roman"/>
          <w:color w:val="000000" w:themeColor="text1"/>
          <w:sz w:val="16"/>
          <w:szCs w:val="16"/>
        </w:rPr>
        <w:t>произво-диться</w:t>
      </w:r>
      <w:proofErr w:type="spellEnd"/>
      <w:r w:rsidRPr="00A259BD">
        <w:rPr>
          <w:rFonts w:ascii="Times New Roman" w:hAnsi="Times New Roman"/>
          <w:color w:val="000000" w:themeColor="text1"/>
          <w:sz w:val="16"/>
          <w:szCs w:val="16"/>
        </w:rPr>
        <w:t xml:space="preserve"> на тех же заводах где и тракторы.</w:t>
      </w:r>
    </w:p>
    <w:p w14:paraId="6457AB93" w14:textId="77777777" w:rsidR="00AF3F3F" w:rsidRPr="00A259BD" w:rsidRDefault="00AF3F3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обеспечения запасными частями в те-</w:t>
      </w:r>
      <w:proofErr w:type="spellStart"/>
      <w:r w:rsidRPr="00A259BD">
        <w:rPr>
          <w:rFonts w:ascii="Times New Roman" w:hAnsi="Times New Roman"/>
          <w:color w:val="000000" w:themeColor="text1"/>
          <w:sz w:val="16"/>
          <w:szCs w:val="16"/>
        </w:rPr>
        <w:t>чение</w:t>
      </w:r>
      <w:proofErr w:type="spellEnd"/>
      <w:r w:rsidRPr="00A259BD">
        <w:rPr>
          <w:rFonts w:ascii="Times New Roman" w:hAnsi="Times New Roman"/>
          <w:color w:val="000000" w:themeColor="text1"/>
          <w:sz w:val="16"/>
          <w:szCs w:val="16"/>
        </w:rPr>
        <w:t xml:space="preserve"> 2-3 лет, производимых в данное время у нас тракторов, предложить </w:t>
      </w:r>
      <w:proofErr w:type="spellStart"/>
      <w:r w:rsidRPr="00A259BD">
        <w:rPr>
          <w:rFonts w:ascii="Times New Roman" w:hAnsi="Times New Roman"/>
          <w:color w:val="000000" w:themeColor="text1"/>
          <w:sz w:val="16"/>
          <w:szCs w:val="16"/>
        </w:rPr>
        <w:t>Главмашстрою</w:t>
      </w:r>
      <w:proofErr w:type="spellEnd"/>
      <w:r w:rsidRPr="00A259BD">
        <w:rPr>
          <w:rFonts w:ascii="Times New Roman" w:hAnsi="Times New Roman"/>
          <w:color w:val="000000" w:themeColor="text1"/>
          <w:sz w:val="16"/>
          <w:szCs w:val="16"/>
        </w:rPr>
        <w:t xml:space="preserve"> раз-работать вопрос дополнительно, с указанием заводов, вложений и специализаций» (12258).</w:t>
      </w:r>
    </w:p>
    <w:p w14:paraId="125E01E5" w14:textId="77777777" w:rsidR="00AF3F3F" w:rsidRPr="00A259BD" w:rsidRDefault="00AF3F3F" w:rsidP="009236E3">
      <w:pPr>
        <w:spacing w:after="0" w:line="240" w:lineRule="auto"/>
        <w:jc w:val="both"/>
        <w:rPr>
          <w:rFonts w:ascii="Times New Roman" w:hAnsi="Times New Roman"/>
          <w:color w:val="000000" w:themeColor="text1"/>
          <w:sz w:val="16"/>
          <w:szCs w:val="16"/>
        </w:rPr>
      </w:pPr>
    </w:p>
    <w:p w14:paraId="3B7B59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Утром 18 сентября 1929 г. 12 мотоциклов погрузили на теле</w:t>
      </w:r>
      <w:r w:rsidRPr="00A259BD">
        <w:rPr>
          <w:rFonts w:ascii="Times New Roman" w:hAnsi="Times New Roman"/>
          <w:color w:val="000000" w:themeColor="text1"/>
          <w:sz w:val="16"/>
          <w:szCs w:val="16"/>
        </w:rPr>
        <w:softHyphen/>
        <w:t>ги, а ИЖ-2 и автомобилям сопровождения предстояло двигаться своим ходом 30 км по непролазной грязи до причала Гальяны на Каме. Колонна добралась благополучно. Особенно хорошо дви</w:t>
      </w:r>
      <w:r w:rsidRPr="00A259BD">
        <w:rPr>
          <w:rFonts w:ascii="Times New Roman" w:hAnsi="Times New Roman"/>
          <w:color w:val="000000" w:themeColor="text1"/>
          <w:sz w:val="16"/>
          <w:szCs w:val="16"/>
        </w:rPr>
        <w:softHyphen/>
        <w:t>гался ИЖ-2. Мотоцикл пришлось вести на второй и часто на пер</w:t>
      </w:r>
      <w:r w:rsidRPr="00A259BD">
        <w:rPr>
          <w:rFonts w:ascii="Times New Roman" w:hAnsi="Times New Roman"/>
          <w:color w:val="000000" w:themeColor="text1"/>
          <w:sz w:val="16"/>
          <w:szCs w:val="16"/>
        </w:rPr>
        <w:softHyphen/>
        <w:t>вой передаче, но несмотря на это мотор не перегревался. Всю технику расположили на грузовом пароходе. Пассажиры (мотоциклисты, шоферы и сопровождавшие) устроились на суд</w:t>
      </w:r>
      <w:r w:rsidRPr="00A259BD">
        <w:rPr>
          <w:rFonts w:ascii="Times New Roman" w:hAnsi="Times New Roman"/>
          <w:color w:val="000000" w:themeColor="text1"/>
          <w:sz w:val="16"/>
          <w:szCs w:val="16"/>
        </w:rPr>
        <w:softHyphen/>
        <w:t>не. Путешествие длилось три дня. За это время ижевчане отдох</w:t>
      </w:r>
      <w:r w:rsidRPr="00A259BD">
        <w:rPr>
          <w:rFonts w:ascii="Times New Roman" w:hAnsi="Times New Roman"/>
          <w:color w:val="000000" w:themeColor="text1"/>
          <w:sz w:val="16"/>
          <w:szCs w:val="16"/>
        </w:rPr>
        <w:softHyphen/>
        <w:t>нули и приготовились к дальнему путешествию. Утром 22 сентяб</w:t>
      </w:r>
      <w:r w:rsidRPr="00A259BD">
        <w:rPr>
          <w:rFonts w:ascii="Times New Roman" w:hAnsi="Times New Roman"/>
          <w:color w:val="000000" w:themeColor="text1"/>
          <w:sz w:val="16"/>
          <w:szCs w:val="16"/>
        </w:rPr>
        <w:softHyphen/>
        <w:t>ря 1929 г. пароход прибыл в Нижний Новгород. Разгрузились удачно. Ижевская колонна своевременно прибыла к старту и по</w:t>
      </w:r>
      <w:r w:rsidRPr="00A259BD">
        <w:rPr>
          <w:rFonts w:ascii="Times New Roman" w:hAnsi="Times New Roman"/>
          <w:color w:val="000000" w:themeColor="text1"/>
          <w:sz w:val="16"/>
          <w:szCs w:val="16"/>
        </w:rPr>
        <w:softHyphen/>
        <w:t>сле несложных формальностей своим ходом отправилась в Моск</w:t>
      </w:r>
      <w:r w:rsidRPr="00A259BD">
        <w:rPr>
          <w:rFonts w:ascii="Times New Roman" w:hAnsi="Times New Roman"/>
          <w:color w:val="000000" w:themeColor="text1"/>
          <w:sz w:val="16"/>
          <w:szCs w:val="16"/>
        </w:rPr>
        <w:softHyphen/>
        <w:t>ву. Ехали не торопясь, по дороге регулировали мотоциклы, наби</w:t>
      </w:r>
      <w:r w:rsidRPr="00A259BD">
        <w:rPr>
          <w:rFonts w:ascii="Times New Roman" w:hAnsi="Times New Roman"/>
          <w:color w:val="000000" w:themeColor="text1"/>
          <w:sz w:val="16"/>
          <w:szCs w:val="16"/>
        </w:rPr>
        <w:softHyphen/>
        <w:t xml:space="preserve">рались опыта движения в мотопробеге. 27 сентября в столицу прибыла колонна мотоциклов из Ижевска [3.81]. Её встречали машины </w:t>
      </w:r>
      <w:proofErr w:type="spellStart"/>
      <w:r w:rsidRPr="00A259BD">
        <w:rPr>
          <w:rFonts w:ascii="Times New Roman" w:hAnsi="Times New Roman"/>
          <w:color w:val="000000" w:themeColor="text1"/>
          <w:sz w:val="16"/>
          <w:szCs w:val="16"/>
        </w:rPr>
        <w:t>АВТОДОРа</w:t>
      </w:r>
      <w:proofErr w:type="spellEnd"/>
      <w:r w:rsidRPr="00A259BD">
        <w:rPr>
          <w:rFonts w:ascii="Times New Roman" w:hAnsi="Times New Roman"/>
          <w:color w:val="000000" w:themeColor="text1"/>
          <w:sz w:val="16"/>
          <w:szCs w:val="16"/>
        </w:rPr>
        <w:t xml:space="preserve"> и общественных организаций. В газетах и журналах печатали фотоснимки ижевских экспериментальных мотоциклов [3.82]. К прибывшим присоединились Э.Г. </w:t>
      </w:r>
      <w:proofErr w:type="spellStart"/>
      <w:r w:rsidRPr="00A259BD">
        <w:rPr>
          <w:rFonts w:ascii="Times New Roman" w:hAnsi="Times New Roman"/>
          <w:color w:val="000000" w:themeColor="text1"/>
          <w:sz w:val="16"/>
          <w:szCs w:val="16"/>
        </w:rPr>
        <w:t>Мауэр</w:t>
      </w:r>
      <w:proofErr w:type="spellEnd"/>
      <w:r w:rsidRPr="00A259BD">
        <w:rPr>
          <w:rFonts w:ascii="Times New Roman" w:hAnsi="Times New Roman"/>
          <w:color w:val="000000" w:themeColor="text1"/>
          <w:sz w:val="16"/>
          <w:szCs w:val="16"/>
        </w:rPr>
        <w:t xml:space="preserve"> на своём мотоцикле “Э.М. III” (рама собственной конструкции из уголковой конструкционной стали, мотор - от английского мото</w:t>
      </w:r>
      <w:r w:rsidRPr="00A259BD">
        <w:rPr>
          <w:rFonts w:ascii="Times New Roman" w:hAnsi="Times New Roman"/>
          <w:color w:val="000000" w:themeColor="text1"/>
          <w:sz w:val="16"/>
          <w:szCs w:val="16"/>
        </w:rPr>
        <w:softHyphen/>
        <w:t xml:space="preserve">цикла В8А-500) и Н. Токарев - на МТ-2 (раму изготовил Э.Г. </w:t>
      </w:r>
      <w:proofErr w:type="spellStart"/>
      <w:r w:rsidRPr="00A259BD">
        <w:rPr>
          <w:rFonts w:ascii="Times New Roman" w:hAnsi="Times New Roman"/>
          <w:color w:val="000000" w:themeColor="text1"/>
          <w:sz w:val="16"/>
          <w:szCs w:val="16"/>
        </w:rPr>
        <w:t>Мауэр</w:t>
      </w:r>
      <w:proofErr w:type="spellEnd"/>
      <w:r w:rsidRPr="00A259BD">
        <w:rPr>
          <w:rFonts w:ascii="Times New Roman" w:hAnsi="Times New Roman"/>
          <w:color w:val="000000" w:themeColor="text1"/>
          <w:sz w:val="16"/>
          <w:szCs w:val="16"/>
        </w:rPr>
        <w:t>, а иностранный мотор доработал Н. Токарев). Уча</w:t>
      </w:r>
      <w:r w:rsidRPr="00A259BD">
        <w:rPr>
          <w:rFonts w:ascii="Times New Roman" w:hAnsi="Times New Roman"/>
          <w:color w:val="000000" w:themeColor="text1"/>
          <w:sz w:val="16"/>
          <w:szCs w:val="16"/>
        </w:rPr>
        <w:softHyphen/>
        <w:t>стие в мотопробеге этих аппаратов освещалось в прессе [3.83] (11429).</w:t>
      </w:r>
    </w:p>
    <w:p w14:paraId="061F9D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DC914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сентября 1929 на запорожском заводе “Коммунар” создан первый советский комбайн (4962).</w:t>
      </w:r>
    </w:p>
    <w:p w14:paraId="79BDF56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7D76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сентября 1929 Завод "Коммунар" выпустил первый советский зерноуборочный комбайн (10687).</w:t>
      </w:r>
    </w:p>
    <w:p w14:paraId="7331F1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1230CC" w14:textId="77777777" w:rsidR="00E36401" w:rsidRPr="00A259BD" w:rsidRDefault="00E36401"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lastRenderedPageBreak/>
        <w:t xml:space="preserve">18 сентября </w:t>
      </w:r>
      <w:r w:rsidRPr="00A259BD">
        <w:rPr>
          <w:rFonts w:ascii="Times New Roman" w:hAnsi="Times New Roman"/>
          <w:color w:val="000000" w:themeColor="text1"/>
          <w:sz w:val="16"/>
          <w:szCs w:val="16"/>
        </w:rPr>
        <w:t>в 1929 году на Запорожском заводе "Коммунар" выпускается первый отечественный комбайн. Интересно, что первый российский комбайн был изобретен еще в 1868 году жителем Тверской губернии Власенко. Это была деревянная машина, которая сама подрезала колосья и тут же подавала их на молотилку (14773).</w:t>
      </w:r>
    </w:p>
    <w:p w14:paraId="7AE6FB1E" w14:textId="77777777" w:rsidR="00E36401" w:rsidRPr="00A259BD" w:rsidRDefault="00E36401" w:rsidP="009236E3">
      <w:pPr>
        <w:spacing w:after="0" w:line="240" w:lineRule="auto"/>
        <w:jc w:val="both"/>
        <w:rPr>
          <w:rFonts w:ascii="Times New Roman" w:hAnsi="Times New Roman"/>
          <w:color w:val="000000" w:themeColor="text1"/>
          <w:sz w:val="16"/>
          <w:szCs w:val="16"/>
        </w:rPr>
      </w:pPr>
    </w:p>
    <w:p w14:paraId="0A3C9527"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132B85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D673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сентября 1929 </w:t>
      </w:r>
      <w:proofErr w:type="spellStart"/>
      <w:r w:rsidRPr="00A259BD">
        <w:rPr>
          <w:rFonts w:ascii="Times New Roman" w:hAnsi="Times New Roman"/>
          <w:color w:val="000000" w:themeColor="text1"/>
          <w:sz w:val="16"/>
          <w:szCs w:val="16"/>
        </w:rPr>
        <w:t>Ч.Линдберг</w:t>
      </w:r>
      <w:proofErr w:type="spellEnd"/>
      <w:r w:rsidRPr="00A259BD">
        <w:rPr>
          <w:rFonts w:ascii="Times New Roman" w:hAnsi="Times New Roman"/>
          <w:color w:val="000000" w:themeColor="text1"/>
          <w:sz w:val="16"/>
          <w:szCs w:val="16"/>
        </w:rPr>
        <w:t xml:space="preserve"> отправился в 10 тыс. мильный перелет в Южную Америку (2100).</w:t>
      </w:r>
    </w:p>
    <w:p w14:paraId="3B1772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8B627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74CE1F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B85BB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сентября 1929 НТК УВВС (тетрадь 36с) утвердил результаты испытаний головного У-2 М-11 Н.Н.П., изготовленного заводом 23, которые шли с 26 августа 1928 по 5 сентября 1929 в НИИ ВВС. При полетах выявилась значительная тряска мотора и до 1 октября 1929 23 завод не смог сдать ни одного самолета (2371).</w:t>
      </w:r>
    </w:p>
    <w:p w14:paraId="746A0C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6CA1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сентября 1929 г. комиссия, состоящая из специалистов НИИ и под председатель</w:t>
      </w:r>
      <w:r w:rsidRPr="00A259BD">
        <w:rPr>
          <w:rFonts w:ascii="Times New Roman" w:hAnsi="Times New Roman"/>
          <w:color w:val="000000" w:themeColor="text1"/>
          <w:sz w:val="16"/>
          <w:szCs w:val="16"/>
        </w:rPr>
        <w:softHyphen/>
        <w:t>ством начальника ВВС Черного моря Лаврова констатировала, что РОМ-1 годится только для учебных целей, например для переучивания морских летчиков. «Считать РОМ-1 2ЛД450 как боевой тип непригодным для снабжения ВВС. ...Считать возможным оставить самолет РОМ-1 в распоряжение Начальника ВВС ЧМ для использования его в качестве тренировочного и переходного на многомоторные са</w:t>
      </w:r>
      <w:r w:rsidRPr="00A259BD">
        <w:rPr>
          <w:rFonts w:ascii="Times New Roman" w:hAnsi="Times New Roman"/>
          <w:color w:val="000000" w:themeColor="text1"/>
          <w:sz w:val="16"/>
          <w:szCs w:val="16"/>
        </w:rPr>
        <w:softHyphen/>
        <w:t>молеты».</w:t>
      </w:r>
    </w:p>
    <w:p w14:paraId="198D98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технические данные и летные характеристики РОМ-1 (МР-3)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1"/>
        <w:gridCol w:w="1333"/>
      </w:tblGrid>
      <w:tr w:rsidR="00A259BD" w:rsidRPr="00A259BD" w14:paraId="339243B1" w14:textId="77777777">
        <w:tc>
          <w:tcPr>
            <w:tcW w:w="3311" w:type="dxa"/>
            <w:tcBorders>
              <w:top w:val="single" w:sz="12" w:space="0" w:color="auto"/>
            </w:tcBorders>
          </w:tcPr>
          <w:p w14:paraId="682633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Размах верхнего крыла (м)</w:t>
            </w:r>
          </w:p>
        </w:tc>
        <w:tc>
          <w:tcPr>
            <w:tcW w:w="1333" w:type="dxa"/>
            <w:tcBorders>
              <w:top w:val="single" w:sz="12" w:space="0" w:color="auto"/>
            </w:tcBorders>
          </w:tcPr>
          <w:p w14:paraId="1C8EF6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28,0</w:t>
            </w:r>
          </w:p>
        </w:tc>
      </w:tr>
      <w:tr w:rsidR="00A259BD" w:rsidRPr="00A259BD" w14:paraId="7463F0C4" w14:textId="77777777">
        <w:tc>
          <w:tcPr>
            <w:tcW w:w="3311" w:type="dxa"/>
          </w:tcPr>
          <w:p w14:paraId="0D3BBE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Размах нижнего крыла (м)</w:t>
            </w:r>
          </w:p>
        </w:tc>
        <w:tc>
          <w:tcPr>
            <w:tcW w:w="1333" w:type="dxa"/>
          </w:tcPr>
          <w:p w14:paraId="4818A4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9,7</w:t>
            </w:r>
          </w:p>
        </w:tc>
      </w:tr>
      <w:tr w:rsidR="00A259BD" w:rsidRPr="00A259BD" w14:paraId="00261F9B" w14:textId="77777777">
        <w:tc>
          <w:tcPr>
            <w:tcW w:w="3311" w:type="dxa"/>
          </w:tcPr>
          <w:p w14:paraId="391884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Длина </w:t>
            </w:r>
            <w:proofErr w:type="spellStart"/>
            <w:r w:rsidRPr="00A259BD">
              <w:rPr>
                <w:rFonts w:ascii="Times New Roman" w:hAnsi="Times New Roman"/>
                <w:color w:val="000000" w:themeColor="text1"/>
                <w:sz w:val="16"/>
                <w:szCs w:val="16"/>
              </w:rPr>
              <w:t>влинии</w:t>
            </w:r>
            <w:proofErr w:type="spellEnd"/>
            <w:r w:rsidRPr="00A259BD">
              <w:rPr>
                <w:rFonts w:ascii="Times New Roman" w:hAnsi="Times New Roman"/>
                <w:color w:val="000000" w:themeColor="text1"/>
                <w:sz w:val="16"/>
                <w:szCs w:val="16"/>
              </w:rPr>
              <w:t xml:space="preserve"> полета (м) </w:t>
            </w:r>
          </w:p>
        </w:tc>
        <w:tc>
          <w:tcPr>
            <w:tcW w:w="1333" w:type="dxa"/>
          </w:tcPr>
          <w:p w14:paraId="7C9BCD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w:t>
            </w:r>
          </w:p>
        </w:tc>
      </w:tr>
      <w:tr w:rsidR="00A259BD" w:rsidRPr="00A259BD" w14:paraId="6CED8F34" w14:textId="77777777">
        <w:tc>
          <w:tcPr>
            <w:tcW w:w="3311" w:type="dxa"/>
          </w:tcPr>
          <w:p w14:paraId="51973A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в линии полета (м)</w:t>
            </w:r>
          </w:p>
        </w:tc>
        <w:tc>
          <w:tcPr>
            <w:tcW w:w="1333" w:type="dxa"/>
          </w:tcPr>
          <w:p w14:paraId="31BE4F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6,06</w:t>
            </w:r>
          </w:p>
        </w:tc>
      </w:tr>
      <w:tr w:rsidR="00A259BD" w:rsidRPr="00A259BD" w14:paraId="0F556D5F" w14:textId="77777777">
        <w:tc>
          <w:tcPr>
            <w:tcW w:w="3311" w:type="dxa"/>
          </w:tcPr>
          <w:p w14:paraId="709BBA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Шириналодки</w:t>
            </w:r>
            <w:proofErr w:type="spellEnd"/>
            <w:r w:rsidRPr="00A259BD">
              <w:rPr>
                <w:rFonts w:ascii="Times New Roman" w:hAnsi="Times New Roman"/>
                <w:color w:val="000000" w:themeColor="text1"/>
                <w:sz w:val="16"/>
                <w:szCs w:val="16"/>
              </w:rPr>
              <w:t xml:space="preserve"> (м)</w:t>
            </w:r>
          </w:p>
        </w:tc>
        <w:tc>
          <w:tcPr>
            <w:tcW w:w="1333" w:type="dxa"/>
          </w:tcPr>
          <w:p w14:paraId="2145D6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w:t>
            </w:r>
          </w:p>
        </w:tc>
      </w:tr>
      <w:tr w:rsidR="00A259BD" w:rsidRPr="00A259BD" w14:paraId="60618D32" w14:textId="77777777">
        <w:tc>
          <w:tcPr>
            <w:tcW w:w="3311" w:type="dxa"/>
          </w:tcPr>
          <w:p w14:paraId="5B5197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лодки (м)</w:t>
            </w:r>
          </w:p>
        </w:tc>
        <w:tc>
          <w:tcPr>
            <w:tcW w:w="1333" w:type="dxa"/>
          </w:tcPr>
          <w:p w14:paraId="6431AA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1,65</w:t>
            </w:r>
          </w:p>
        </w:tc>
      </w:tr>
      <w:tr w:rsidR="00A259BD" w:rsidRPr="00A259BD" w14:paraId="474C89FC" w14:textId="77777777">
        <w:tc>
          <w:tcPr>
            <w:tcW w:w="3311" w:type="dxa"/>
          </w:tcPr>
          <w:p w14:paraId="1972A8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верхнего крыла (м</w:t>
            </w:r>
            <w:r w:rsidRPr="00A259BD">
              <w:rPr>
                <w:rFonts w:ascii="Times New Roman" w:hAnsi="Times New Roman"/>
                <w:color w:val="000000" w:themeColor="text1"/>
                <w:sz w:val="16"/>
                <w:szCs w:val="16"/>
                <w:vertAlign w:val="superscript"/>
              </w:rPr>
              <w:t>г</w:t>
            </w:r>
            <w:r w:rsidRPr="00A259BD">
              <w:rPr>
                <w:rFonts w:ascii="Times New Roman" w:hAnsi="Times New Roman"/>
                <w:color w:val="000000" w:themeColor="text1"/>
                <w:sz w:val="16"/>
                <w:szCs w:val="16"/>
              </w:rPr>
              <w:t>)</w:t>
            </w:r>
          </w:p>
        </w:tc>
        <w:tc>
          <w:tcPr>
            <w:tcW w:w="1333" w:type="dxa"/>
          </w:tcPr>
          <w:p w14:paraId="5EA6FD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86,6</w:t>
            </w:r>
          </w:p>
        </w:tc>
      </w:tr>
      <w:tr w:rsidR="00A259BD" w:rsidRPr="00A259BD" w14:paraId="799F6E1C" w14:textId="77777777">
        <w:tc>
          <w:tcPr>
            <w:tcW w:w="3311" w:type="dxa"/>
          </w:tcPr>
          <w:p w14:paraId="5E5657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нижнего крыла (м</w:t>
            </w:r>
            <w:r w:rsidRPr="00A259BD">
              <w:rPr>
                <w:rFonts w:ascii="Times New Roman" w:hAnsi="Times New Roman"/>
                <w:color w:val="000000" w:themeColor="text1"/>
                <w:sz w:val="16"/>
                <w:szCs w:val="16"/>
                <w:vertAlign w:val="superscript"/>
              </w:rPr>
              <w:t>г</w:t>
            </w:r>
            <w:r w:rsidRPr="00A259BD">
              <w:rPr>
                <w:rFonts w:ascii="Times New Roman" w:hAnsi="Times New Roman"/>
                <w:color w:val="000000" w:themeColor="text1"/>
                <w:sz w:val="16"/>
                <w:szCs w:val="16"/>
              </w:rPr>
              <w:t>)</w:t>
            </w:r>
          </w:p>
        </w:tc>
        <w:tc>
          <w:tcPr>
            <w:tcW w:w="1333" w:type="dxa"/>
          </w:tcPr>
          <w:p w14:paraId="315735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18,0</w:t>
            </w:r>
          </w:p>
        </w:tc>
      </w:tr>
      <w:tr w:rsidR="00A259BD" w:rsidRPr="00A259BD" w14:paraId="719127BA" w14:textId="77777777">
        <w:tc>
          <w:tcPr>
            <w:tcW w:w="3311" w:type="dxa"/>
          </w:tcPr>
          <w:p w14:paraId="745030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 пустого (кг)</w:t>
            </w:r>
          </w:p>
        </w:tc>
        <w:tc>
          <w:tcPr>
            <w:tcW w:w="1333" w:type="dxa"/>
          </w:tcPr>
          <w:p w14:paraId="43716D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4518</w:t>
            </w:r>
          </w:p>
        </w:tc>
      </w:tr>
      <w:tr w:rsidR="00A259BD" w:rsidRPr="00A259BD" w14:paraId="01EEC8CA" w14:textId="77777777">
        <w:tc>
          <w:tcPr>
            <w:tcW w:w="3311" w:type="dxa"/>
          </w:tcPr>
          <w:p w14:paraId="68AE06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Полетный вес (кг)</w:t>
            </w:r>
          </w:p>
        </w:tc>
        <w:tc>
          <w:tcPr>
            <w:tcW w:w="1333" w:type="dxa"/>
          </w:tcPr>
          <w:p w14:paraId="773687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5829 - 6075</w:t>
            </w:r>
          </w:p>
        </w:tc>
      </w:tr>
      <w:tr w:rsidR="00A259BD" w:rsidRPr="00A259BD" w14:paraId="5BF4D59D" w14:textId="77777777">
        <w:tc>
          <w:tcPr>
            <w:tcW w:w="3311" w:type="dxa"/>
          </w:tcPr>
          <w:p w14:paraId="4099A5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Нагрузка на крыло (кг/м</w:t>
            </w:r>
            <w:r w:rsidRPr="00A259BD">
              <w:rPr>
                <w:rFonts w:ascii="Times New Roman" w:hAnsi="Times New Roman"/>
                <w:color w:val="000000" w:themeColor="text1"/>
                <w:sz w:val="16"/>
                <w:szCs w:val="16"/>
                <w:vertAlign w:val="superscript"/>
              </w:rPr>
              <w:t>г</w:t>
            </w:r>
            <w:r w:rsidRPr="00A259BD">
              <w:rPr>
                <w:rFonts w:ascii="Times New Roman" w:hAnsi="Times New Roman"/>
                <w:color w:val="000000" w:themeColor="text1"/>
                <w:sz w:val="16"/>
                <w:szCs w:val="16"/>
              </w:rPr>
              <w:t>)</w:t>
            </w:r>
          </w:p>
        </w:tc>
        <w:tc>
          <w:tcPr>
            <w:tcW w:w="1333" w:type="dxa"/>
          </w:tcPr>
          <w:p w14:paraId="6174E1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56,0 - 58,0</w:t>
            </w:r>
          </w:p>
        </w:tc>
      </w:tr>
      <w:tr w:rsidR="00A259BD" w:rsidRPr="00A259BD" w14:paraId="3D5458F0" w14:textId="77777777">
        <w:tc>
          <w:tcPr>
            <w:tcW w:w="3311" w:type="dxa"/>
          </w:tcPr>
          <w:p w14:paraId="5AB3C5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максимальная у земли (км/ч)</w:t>
            </w:r>
          </w:p>
        </w:tc>
        <w:tc>
          <w:tcPr>
            <w:tcW w:w="1333" w:type="dxa"/>
          </w:tcPr>
          <w:p w14:paraId="3D9FFA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165</w:t>
            </w:r>
          </w:p>
        </w:tc>
      </w:tr>
      <w:tr w:rsidR="00A259BD" w:rsidRPr="00A259BD" w14:paraId="6FFA7143" w14:textId="77777777">
        <w:tc>
          <w:tcPr>
            <w:tcW w:w="3311" w:type="dxa"/>
          </w:tcPr>
          <w:p w14:paraId="67E4CD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Посадочная скорость (км/ч) </w:t>
            </w:r>
          </w:p>
        </w:tc>
        <w:tc>
          <w:tcPr>
            <w:tcW w:w="1333" w:type="dxa"/>
          </w:tcPr>
          <w:p w14:paraId="4FBBBA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w:t>
            </w:r>
          </w:p>
        </w:tc>
      </w:tr>
      <w:tr w:rsidR="00A259BD" w:rsidRPr="00A259BD" w14:paraId="5B871159" w14:textId="77777777">
        <w:tc>
          <w:tcPr>
            <w:tcW w:w="3311" w:type="dxa"/>
          </w:tcPr>
          <w:p w14:paraId="75D7FD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Практический потолок (м)</w:t>
            </w:r>
          </w:p>
        </w:tc>
        <w:tc>
          <w:tcPr>
            <w:tcW w:w="1333" w:type="dxa"/>
          </w:tcPr>
          <w:p w14:paraId="7A34ED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3470</w:t>
            </w:r>
          </w:p>
        </w:tc>
      </w:tr>
      <w:tr w:rsidR="00A259BD" w:rsidRPr="00A259BD" w14:paraId="32C40426" w14:textId="77777777">
        <w:tc>
          <w:tcPr>
            <w:tcW w:w="3311" w:type="dxa"/>
            <w:tcBorders>
              <w:bottom w:val="single" w:sz="12" w:space="0" w:color="auto"/>
            </w:tcBorders>
          </w:tcPr>
          <w:p w14:paraId="67B16D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Дальность полета максимальная (км) </w:t>
            </w:r>
          </w:p>
        </w:tc>
        <w:tc>
          <w:tcPr>
            <w:tcW w:w="1333" w:type="dxa"/>
            <w:tcBorders>
              <w:bottom w:val="single" w:sz="12" w:space="0" w:color="auto"/>
            </w:tcBorders>
          </w:tcPr>
          <w:p w14:paraId="1CCE55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800</w:t>
            </w:r>
          </w:p>
        </w:tc>
      </w:tr>
    </w:tbl>
    <w:p w14:paraId="24DFFA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(11978).</w:t>
      </w:r>
    </w:p>
    <w:p w14:paraId="3F98D7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918BF8" w14:textId="77777777" w:rsidR="007F6856" w:rsidRPr="00A259BD" w:rsidRDefault="007F6856" w:rsidP="009236E3">
      <w:pPr>
        <w:pStyle w:val="59"/>
        <w:shd w:val="clear" w:color="auto" w:fill="auto"/>
        <w:spacing w:line="240" w:lineRule="auto"/>
        <w:ind w:firstLine="0"/>
        <w:jc w:val="both"/>
        <w:rPr>
          <w:rFonts w:ascii="Times New Roman" w:hAnsi="Times New Roman"/>
          <w:color w:val="000000" w:themeColor="text1"/>
          <w:spacing w:val="0"/>
          <w:sz w:val="16"/>
          <w:szCs w:val="16"/>
        </w:rPr>
      </w:pPr>
      <w:r w:rsidRPr="00A259BD">
        <w:rPr>
          <w:rStyle w:val="50pt"/>
          <w:rFonts w:ascii="Times New Roman" w:hAnsi="Times New Roman" w:cs="Times New Roman"/>
          <w:i w:val="0"/>
          <w:color w:val="000000" w:themeColor="text1"/>
          <w:sz w:val="16"/>
          <w:szCs w:val="16"/>
        </w:rPr>
        <w:t xml:space="preserve">19 сентября 1929 г. комиссия, состоящая из специалистов НИИ, и под председательством начальника ВВС Черного моря тов. Лаврова констатировала, что РОМ-1 годится только для учебных целей, например, для переучивания морских летчиков. </w:t>
      </w:r>
      <w:r w:rsidRPr="00A259BD">
        <w:rPr>
          <w:rFonts w:ascii="Times New Roman" w:hAnsi="Times New Roman"/>
          <w:color w:val="000000" w:themeColor="text1"/>
          <w:spacing w:val="0"/>
          <w:sz w:val="16"/>
          <w:szCs w:val="16"/>
        </w:rPr>
        <w:t>«Считать РОМ-1 2ЛД450, как боевой тип непригодным для снабжения ВВС.... Считать возможным оставить самолет РОМ-1 в распоряжение Нач. ВВС ЧМ для использования его в ка</w:t>
      </w:r>
      <w:r w:rsidRPr="00A259BD">
        <w:rPr>
          <w:rFonts w:ascii="Times New Roman" w:hAnsi="Times New Roman"/>
          <w:color w:val="000000" w:themeColor="text1"/>
          <w:spacing w:val="0"/>
          <w:sz w:val="16"/>
          <w:szCs w:val="16"/>
        </w:rPr>
        <w:softHyphen/>
        <w:t>честве тренировочного и переходно</w:t>
      </w:r>
      <w:r w:rsidRPr="00A259BD">
        <w:rPr>
          <w:rFonts w:ascii="Times New Roman" w:hAnsi="Times New Roman"/>
          <w:color w:val="000000" w:themeColor="text1"/>
          <w:spacing w:val="0"/>
          <w:sz w:val="16"/>
          <w:szCs w:val="16"/>
        </w:rPr>
        <w:softHyphen/>
        <w:t>го на многомоторные самолеты» (12609).</w:t>
      </w:r>
    </w:p>
    <w:p w14:paraId="1BB383D6" w14:textId="77777777" w:rsidR="007F6856" w:rsidRPr="00A259BD" w:rsidRDefault="007F6856" w:rsidP="009236E3">
      <w:pPr>
        <w:pStyle w:val="59"/>
        <w:shd w:val="clear" w:color="auto" w:fill="auto"/>
        <w:spacing w:line="240" w:lineRule="auto"/>
        <w:ind w:firstLine="0"/>
        <w:jc w:val="both"/>
        <w:rPr>
          <w:rFonts w:ascii="Times New Roman" w:hAnsi="Times New Roman"/>
          <w:color w:val="000000" w:themeColor="text1"/>
          <w:spacing w:val="0"/>
          <w:sz w:val="16"/>
          <w:szCs w:val="16"/>
        </w:rPr>
      </w:pPr>
    </w:p>
    <w:p w14:paraId="50D55AF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40EC43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58A44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сентября 1929 цена акций на Нью-Йоркской бирже была максимальной (3481).</w:t>
      </w:r>
    </w:p>
    <w:p w14:paraId="047A75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F0D32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9E1037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84DC7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20 сентября 1929 завод 22 предоставил только 32 из 70 заказанных И-4, но военная приемка приняла 2 (1060,5).</w:t>
      </w:r>
    </w:p>
    <w:p w14:paraId="6ADB8A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55C116" w14:textId="77777777" w:rsidR="003B66D0" w:rsidRPr="00A259BD" w:rsidRDefault="003B66D0"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К 20 сентября 1929 г. по плану требовалось предъявить 77 И-4, но фактически успели подготовить 32, из которых только два смогли пройти военную приемку; остальные имели различные дефекты. Среди них одним из наиболее существенных называли разрушение колпаков колес; их решили усиливать кольцевым гофром.</w:t>
      </w:r>
    </w:p>
    <w:p w14:paraId="0BDD0817" w14:textId="77777777" w:rsidR="003B66D0" w:rsidRPr="00A259BD" w:rsidRDefault="003B66D0"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Бывший тогда председателем 1-й (самолетостроительной) секции НТК УВВС С.В. Ильюшин предложил провести войсковые испытания небольшой партии самолетов, исправить выявленные недостатки, а уже потом закладывать большую серию. Но его не послушали, в УВВС торопились отправить новые машины в строевые части.</w:t>
      </w:r>
    </w:p>
    <w:p w14:paraId="398C1C71" w14:textId="77777777" w:rsidR="003B66D0" w:rsidRPr="00A259BD" w:rsidRDefault="003B66D0"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В результате в эксплуатации сразу же столкнулись с ненадежностью крепления капотов, разрушением коков винтов, выпадением заклепок, поломкой обтекателей колес, люфтами в управлении. Много неприятностей доставило вооружение. Дело в том, что для первых серий И-4 со складов ВВС отгрузили старые пулеметы «Виккерс», снятые при разборке списанных «фоккеров». Среди них попадались и ржавые, и с перепутанными деталями, что при тогдашнем уровне взаимозаменяемости приводило к постоянным отказам.</w:t>
      </w:r>
    </w:p>
    <w:p w14:paraId="4F2BFCD5" w14:textId="77777777" w:rsidR="003B66D0" w:rsidRPr="00A259BD" w:rsidRDefault="003B66D0"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 xml:space="preserve">Одно время серьезное беспокойство вызывала тряска коробки крыльев при оборотах мотора 1200 - 1400 об/мин. «1-я секция НТК констатирует, что вопрос вибраций (тряски) у самолета И-4 </w:t>
      </w:r>
      <w:proofErr w:type="spellStart"/>
      <w:r w:rsidRPr="00A259BD">
        <w:rPr>
          <w:rFonts w:ascii="Times New Roman" w:hAnsi="Times New Roman" w:cs="Times New Roman"/>
          <w:color w:val="000000" w:themeColor="text1"/>
        </w:rPr>
        <w:t>ЮпМ</w:t>
      </w:r>
      <w:proofErr w:type="spellEnd"/>
      <w:r w:rsidRPr="00A259BD">
        <w:rPr>
          <w:rFonts w:ascii="Times New Roman" w:hAnsi="Times New Roman" w:cs="Times New Roman"/>
          <w:color w:val="000000" w:themeColor="text1"/>
        </w:rPr>
        <w:t xml:space="preserve"> является весьма серьезным и требует тщательного анализа, как лабораторного, так и летного». Путем подбора и регулировки карбюраторов в ЦАГИ полностью избавились от вибрации верхних консолей, но амплитуда нижних оставалась на прежнем уровне - 15 мм. Окончательно этот вопрос решили в НИИ ВВС в июне 1930 г. Основной причиной колебаний на серийных истребителях оказались большие допуски на диаметр пропеллера и несимметричность его относительно втулки. Уменьшив допуски, с вибрациями справились.</w:t>
      </w:r>
    </w:p>
    <w:p w14:paraId="658F52CA" w14:textId="77777777" w:rsidR="003B66D0" w:rsidRPr="00A259BD" w:rsidRDefault="003B66D0"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 xml:space="preserve">Учитывая опыт эксплуатации, истребитель постоянно совершенствовали. C 13-го самолета усилили кок винта. Со 2-й серии (в начале 1930 г.) заменили медные трубопроводы дюралюминиевыми, что несколько снизило вес машины. На ней же ввели подогрев карбюраторов. Заводские бригады монтировали его и на самолетах более раннего выпуска. Для более тщательного весового контроля УВВС приказало военным приемщикам взвешивать каждую пятую машину. Это принесло свои плоды - серийные истребители стали чуть легче и, соответственно, чуть поднялись летные данные. В январе 1930 г. на моторах попробовали ставить карбюраторы «Зенит». Еще в декабре 1929 г. на И-4 в порядке эксперимента смонтировали </w:t>
      </w:r>
      <w:proofErr w:type="spellStart"/>
      <w:r w:rsidRPr="00A259BD">
        <w:rPr>
          <w:rFonts w:ascii="Times New Roman" w:hAnsi="Times New Roman" w:cs="Times New Roman"/>
          <w:color w:val="000000" w:themeColor="text1"/>
        </w:rPr>
        <w:t>пневмопуск</w:t>
      </w:r>
      <w:proofErr w:type="spellEnd"/>
      <w:r w:rsidRPr="00A259BD">
        <w:rPr>
          <w:rFonts w:ascii="Times New Roman" w:hAnsi="Times New Roman" w:cs="Times New Roman"/>
          <w:color w:val="000000" w:themeColor="text1"/>
        </w:rPr>
        <w:t xml:space="preserve"> «</w:t>
      </w:r>
      <w:proofErr w:type="spellStart"/>
      <w:r w:rsidRPr="00A259BD">
        <w:rPr>
          <w:rFonts w:ascii="Times New Roman" w:hAnsi="Times New Roman" w:cs="Times New Roman"/>
          <w:color w:val="000000" w:themeColor="text1"/>
        </w:rPr>
        <w:t>Летомб</w:t>
      </w:r>
      <w:proofErr w:type="spellEnd"/>
      <w:r w:rsidRPr="00A259BD">
        <w:rPr>
          <w:rFonts w:ascii="Times New Roman" w:hAnsi="Times New Roman" w:cs="Times New Roman"/>
          <w:color w:val="000000" w:themeColor="text1"/>
        </w:rPr>
        <w:t xml:space="preserve">- </w:t>
      </w:r>
      <w:proofErr w:type="spellStart"/>
      <w:r w:rsidRPr="00A259BD">
        <w:rPr>
          <w:rFonts w:ascii="Times New Roman" w:hAnsi="Times New Roman" w:cs="Times New Roman"/>
          <w:color w:val="000000" w:themeColor="text1"/>
        </w:rPr>
        <w:t>Люшар</w:t>
      </w:r>
      <w:proofErr w:type="spellEnd"/>
      <w:r w:rsidRPr="00A259BD">
        <w:rPr>
          <w:rFonts w:ascii="Times New Roman" w:hAnsi="Times New Roman" w:cs="Times New Roman"/>
          <w:color w:val="000000" w:themeColor="text1"/>
        </w:rPr>
        <w:t>», а в феврале следующего года его внедрили на серийной продукции (19100).</w:t>
      </w:r>
    </w:p>
    <w:p w14:paraId="4668004D" w14:textId="77777777" w:rsidR="003B66D0" w:rsidRPr="00A259BD" w:rsidRDefault="003B66D0" w:rsidP="009236E3">
      <w:pPr>
        <w:pStyle w:val="a8"/>
        <w:jc w:val="both"/>
        <w:rPr>
          <w:rFonts w:ascii="Times New Roman" w:hAnsi="Times New Roman" w:cs="Times New Roman"/>
          <w:color w:val="000000" w:themeColor="text1"/>
        </w:rPr>
      </w:pPr>
    </w:p>
    <w:p w14:paraId="1EE0598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сентября 1929 года закончились испытания самолета ТБ-1 № 602 в НИИ ВВС, которые проходили с 14 августа 1929. Совершил 40 полетов общей продолжительностью 31 час 38 минут, а затем был направлен в 51-ю эскадрилью (Воронеж) для технических и эксплуатационных испытаний (6942).</w:t>
      </w:r>
    </w:p>
    <w:p w14:paraId="1FD825F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34D0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сентября 1929 года пом. начальника НИИ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Стоман</w:t>
      </w:r>
      <w:proofErr w:type="spellEnd"/>
      <w:r w:rsidRPr="00A259BD">
        <w:rPr>
          <w:rFonts w:ascii="Times New Roman" w:hAnsi="Times New Roman"/>
          <w:color w:val="000000" w:themeColor="text1"/>
          <w:sz w:val="16"/>
          <w:szCs w:val="16"/>
        </w:rPr>
        <w:t>, начальник 5 отдела Машкевич писали письмо № 201/с председателю 1 секции НТК УВВС</w:t>
      </w:r>
    </w:p>
    <w:p w14:paraId="7F22C2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Препровождается при этом протокол объединенного совещания по просмотру степени устранения заводом № 25 недочетов, отмеченных в протоколе от 28-29 августа 1929 года; протокол совещания по пункту 10(1-А-4) протокола от 28-29 августа 1929 года по переделкам самолета Р-5 и объяснение завода о ненормальностях в передних узлах крепления нижних крыльев самолета Р5 (1-2 экз.) сообщаю, что испытания самолета Р5 сильно задерживаются постоянными работами завода № 25 на этой машине. Со дня поступления самолета в НИИ для испытаний 10 июля 1939 года – 30 дней потрачено на работы завода № 25 по установке вооружения и исправлению недочетов (пайка радиатора, устранение люфта стабилизатора, смена костыля, оклейка, окраска и т.п. под.). В настоящее время с 11 сентября машина не испытывается, так как завод еще не изменил узлов крепления нижних крыльев усиленными (6999, 15).</w:t>
      </w:r>
    </w:p>
    <w:p w14:paraId="739B39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0B4E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сентября 1929 вышел приказ ВСНХ N 1063 по разработке пятилетнего плана (2339,326).</w:t>
      </w:r>
    </w:p>
    <w:p w14:paraId="3DD0B2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A51B6A9" w14:textId="77777777" w:rsidR="003B66D0" w:rsidRPr="00A259BD" w:rsidRDefault="003B66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сентября 1929 состоялось Судебное заседание под председательством секретаря коллегии ОГПУ А. М. Шанина и приговорило всех пятерых к различным срокам «концлагерей», после чего осужденных перевели в Бутырки ожидать этапа. В сентябре 1929 года (перед судом или после — неизвестно) Д. П. Григоровичу было </w:t>
      </w:r>
      <w:r w:rsidRPr="00A259BD">
        <w:rPr>
          <w:rFonts w:ascii="Times New Roman" w:hAnsi="Times New Roman"/>
          <w:color w:val="000000" w:themeColor="text1"/>
          <w:sz w:val="16"/>
          <w:szCs w:val="16"/>
        </w:rPr>
        <w:lastRenderedPageBreak/>
        <w:t>предложено составить списки авиационных работников, которых следовало привлечь к выполнению особого задания правительства. Григорович и не мог предположить, что произойдет, когда списки будут готовы.</w:t>
      </w:r>
    </w:p>
    <w:p w14:paraId="7BD91A3A" w14:textId="77777777" w:rsidR="003B66D0" w:rsidRPr="00A259BD" w:rsidRDefault="003B66D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произошли новые аресты. В октябре 1929 года в Ленинграде был взят под стражу бывший сотрудник ОМОС Н. Г. Михельсон, который был соавтором первых летающих лодок Д. П. Григоровича, построенных на заводе «Гамаюн». В Москве взяли начальника ОСС Н. Н. Поликарпова и его сослуживцев — И. М. Косткина, В. А. </w:t>
      </w:r>
      <w:proofErr w:type="spellStart"/>
      <w:r w:rsidRPr="00A259BD">
        <w:rPr>
          <w:rFonts w:ascii="Times New Roman" w:hAnsi="Times New Roman"/>
          <w:color w:val="000000" w:themeColor="text1"/>
          <w:sz w:val="16"/>
          <w:szCs w:val="16"/>
        </w:rPr>
        <w:t>Тисова</w:t>
      </w:r>
      <w:proofErr w:type="spellEnd"/>
      <w:r w:rsidRPr="00A259BD">
        <w:rPr>
          <w:rFonts w:ascii="Times New Roman" w:hAnsi="Times New Roman"/>
          <w:color w:val="000000" w:themeColor="text1"/>
          <w:sz w:val="16"/>
          <w:szCs w:val="16"/>
        </w:rPr>
        <w:t>, Е. И. </w:t>
      </w:r>
      <w:proofErr w:type="spellStart"/>
      <w:r w:rsidRPr="00A259BD">
        <w:rPr>
          <w:rFonts w:ascii="Times New Roman" w:hAnsi="Times New Roman"/>
          <w:color w:val="000000" w:themeColor="text1"/>
          <w:sz w:val="16"/>
          <w:szCs w:val="16"/>
        </w:rPr>
        <w:t>Майоранова</w:t>
      </w:r>
      <w:proofErr w:type="spellEnd"/>
      <w:r w:rsidRPr="00A259BD">
        <w:rPr>
          <w:rFonts w:ascii="Times New Roman" w:hAnsi="Times New Roman"/>
          <w:color w:val="000000" w:themeColor="text1"/>
          <w:sz w:val="16"/>
          <w:szCs w:val="16"/>
        </w:rPr>
        <w:t>, В. Ф. Гончарова, П. М. </w:t>
      </w:r>
      <w:proofErr w:type="spellStart"/>
      <w:r w:rsidRPr="00A259BD">
        <w:rPr>
          <w:rFonts w:ascii="Times New Roman" w:hAnsi="Times New Roman"/>
          <w:color w:val="000000" w:themeColor="text1"/>
          <w:sz w:val="16"/>
          <w:szCs w:val="16"/>
        </w:rPr>
        <w:t>Крейсона</w:t>
      </w:r>
      <w:proofErr w:type="spellEnd"/>
      <w:r w:rsidRPr="00A259BD">
        <w:rPr>
          <w:rFonts w:ascii="Times New Roman" w:hAnsi="Times New Roman"/>
          <w:color w:val="000000" w:themeColor="text1"/>
          <w:sz w:val="16"/>
          <w:szCs w:val="16"/>
        </w:rPr>
        <w:t>, В. В. Калинина. Несколько позже арестовали ведущего специалиста в СССР по самолетному вооружению А. В. </w:t>
      </w:r>
      <w:proofErr w:type="spellStart"/>
      <w:r w:rsidRPr="00A259BD">
        <w:rPr>
          <w:rFonts w:ascii="Times New Roman" w:hAnsi="Times New Roman"/>
          <w:color w:val="000000" w:themeColor="text1"/>
          <w:sz w:val="16"/>
          <w:szCs w:val="16"/>
        </w:rPr>
        <w:t>Надашкевича</w:t>
      </w:r>
      <w:proofErr w:type="spellEnd"/>
      <w:r w:rsidRPr="00A259BD">
        <w:rPr>
          <w:rFonts w:ascii="Times New Roman" w:hAnsi="Times New Roman"/>
          <w:color w:val="000000" w:themeColor="text1"/>
          <w:sz w:val="16"/>
          <w:szCs w:val="16"/>
        </w:rPr>
        <w:t>. Судебные заседания коллегии ОГПУ начались уже в ноябре, и к декабрю все было закончено. Приговоры были самые разнообразные, но в отличие от группы Григоровича, без какой-либо ясной мотивации. Так, Н. Н. Поликарпов, которому невозможно было предъявить и половины того, что было поставлено в вину Григоровичу, был, тем не менее, приговорен к расстрелу (18526).</w:t>
      </w:r>
    </w:p>
    <w:p w14:paraId="52D0230C" w14:textId="77777777" w:rsidR="003B66D0" w:rsidRPr="00A259BD" w:rsidRDefault="003B66D0" w:rsidP="009236E3">
      <w:pPr>
        <w:spacing w:after="0" w:line="240" w:lineRule="auto"/>
        <w:jc w:val="both"/>
        <w:rPr>
          <w:rFonts w:ascii="Times New Roman" w:hAnsi="Times New Roman"/>
          <w:color w:val="000000" w:themeColor="text1"/>
          <w:sz w:val="16"/>
          <w:szCs w:val="16"/>
        </w:rPr>
      </w:pPr>
    </w:p>
    <w:p w14:paraId="15DD667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9B1AF2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099AB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сентября 1929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получил от НК УВВС ТТ к И6 и И7, хотя проектирование </w:t>
      </w:r>
      <w:proofErr w:type="spellStart"/>
      <w:r w:rsidRPr="00A259BD">
        <w:rPr>
          <w:rFonts w:ascii="Times New Roman" w:hAnsi="Times New Roman"/>
          <w:color w:val="000000" w:themeColor="text1"/>
          <w:sz w:val="16"/>
          <w:szCs w:val="16"/>
        </w:rPr>
        <w:t>д.б</w:t>
      </w:r>
      <w:proofErr w:type="spellEnd"/>
      <w:r w:rsidRPr="00A259BD">
        <w:rPr>
          <w:rFonts w:ascii="Times New Roman" w:hAnsi="Times New Roman"/>
          <w:color w:val="000000" w:themeColor="text1"/>
          <w:sz w:val="16"/>
          <w:szCs w:val="16"/>
        </w:rPr>
        <w:t>. начаться 1 сентября (2339,17).</w:t>
      </w:r>
    </w:p>
    <w:p w14:paraId="024FBE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5F7DB2" w14:textId="77777777" w:rsidR="006C5984" w:rsidRPr="00A259BD" w:rsidRDefault="006C5984" w:rsidP="009236E3">
      <w:pPr>
        <w:spacing w:after="0" w:line="240" w:lineRule="auto"/>
        <w:jc w:val="both"/>
        <w:rPr>
          <w:rFonts w:ascii="Times New Roman" w:hAnsi="Times New Roman"/>
          <w:color w:val="000000" w:themeColor="text1"/>
          <w:sz w:val="16"/>
          <w:szCs w:val="16"/>
          <w:lang w:eastAsia="ru-RU" w:bidi="ru-RU"/>
        </w:rPr>
      </w:pPr>
      <w:r w:rsidRPr="00A259BD">
        <w:rPr>
          <w:rFonts w:ascii="Times New Roman" w:hAnsi="Times New Roman"/>
          <w:color w:val="000000" w:themeColor="text1"/>
          <w:sz w:val="16"/>
          <w:szCs w:val="16"/>
          <w:lang w:eastAsia="ru-RU" w:bidi="ru-RU"/>
        </w:rPr>
        <w:t>21 сентября 1929 г. МУ-2 совершил в Тага</w:t>
      </w:r>
      <w:r w:rsidRPr="00A259BD">
        <w:rPr>
          <w:rFonts w:ascii="Times New Roman" w:hAnsi="Times New Roman"/>
          <w:color w:val="000000" w:themeColor="text1"/>
          <w:sz w:val="16"/>
          <w:szCs w:val="16"/>
          <w:lang w:eastAsia="ru-RU" w:bidi="ru-RU"/>
        </w:rPr>
        <w:softHyphen/>
        <w:t>нроге первый полет. Однако уже в октябре он был разобран и отправлен в Севастополь для продолжения ис</w:t>
      </w:r>
      <w:r w:rsidRPr="00A259BD">
        <w:rPr>
          <w:rFonts w:ascii="Times New Roman" w:hAnsi="Times New Roman"/>
          <w:color w:val="000000" w:themeColor="text1"/>
          <w:sz w:val="16"/>
          <w:szCs w:val="16"/>
          <w:lang w:eastAsia="ru-RU" w:bidi="ru-RU"/>
        </w:rPr>
        <w:softHyphen/>
        <w:t>пытаний (20325).</w:t>
      </w:r>
    </w:p>
    <w:p w14:paraId="4B65EC35" w14:textId="77777777" w:rsidR="006C5984" w:rsidRPr="00A259BD" w:rsidRDefault="006C5984" w:rsidP="009236E3">
      <w:pPr>
        <w:spacing w:after="0" w:line="240" w:lineRule="auto"/>
        <w:jc w:val="both"/>
        <w:rPr>
          <w:rFonts w:ascii="Times New Roman" w:hAnsi="Times New Roman"/>
          <w:color w:val="000000" w:themeColor="text1"/>
          <w:sz w:val="16"/>
          <w:szCs w:val="16"/>
          <w:lang w:eastAsia="ru-RU" w:bidi="ru-RU"/>
        </w:rPr>
      </w:pPr>
    </w:p>
    <w:p w14:paraId="48553C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сентября 1929 АНТ-4 Страна Советов дублер вылетел на о. </w:t>
      </w:r>
      <w:proofErr w:type="spellStart"/>
      <w:r w:rsidRPr="00A259BD">
        <w:rPr>
          <w:rFonts w:ascii="Times New Roman" w:hAnsi="Times New Roman"/>
          <w:color w:val="000000" w:themeColor="text1"/>
          <w:sz w:val="16"/>
          <w:szCs w:val="16"/>
        </w:rPr>
        <w:t>Атту</w:t>
      </w:r>
      <w:proofErr w:type="spellEnd"/>
      <w:r w:rsidRPr="00A259BD">
        <w:rPr>
          <w:rFonts w:ascii="Times New Roman" w:hAnsi="Times New Roman"/>
          <w:color w:val="000000" w:themeColor="text1"/>
          <w:sz w:val="16"/>
          <w:szCs w:val="16"/>
        </w:rPr>
        <w:t>. Шли по компасу, при плохой видимости, с постоянно меняющимся ветром — как по скорости, так и по направлению. Стерлигов непрестанно вносил поправки, для чего пришлось сбрасывать снаряженные флуо</w:t>
      </w:r>
      <w:r w:rsidRPr="00A259BD">
        <w:rPr>
          <w:rFonts w:ascii="Times New Roman" w:hAnsi="Times New Roman"/>
          <w:color w:val="000000" w:themeColor="text1"/>
          <w:sz w:val="16"/>
          <w:szCs w:val="16"/>
        </w:rPr>
        <w:softHyphen/>
        <w:t>ресцентным составом навигационные бом</w:t>
      </w:r>
      <w:r w:rsidRPr="00A259BD">
        <w:rPr>
          <w:rFonts w:ascii="Times New Roman" w:hAnsi="Times New Roman"/>
          <w:color w:val="000000" w:themeColor="text1"/>
          <w:sz w:val="16"/>
          <w:szCs w:val="16"/>
        </w:rPr>
        <w:softHyphen/>
        <w:t>бы, после падения которых на воде долго сохранялись хорошо заметные зеленые пятна. Старания оказались не напрасны, и экипаж вышел к цели весьма точно. На следующий день пришлось вернуть</w:t>
      </w:r>
      <w:r w:rsidRPr="00A259BD">
        <w:rPr>
          <w:rFonts w:ascii="Times New Roman" w:hAnsi="Times New Roman"/>
          <w:color w:val="000000" w:themeColor="text1"/>
          <w:sz w:val="16"/>
          <w:szCs w:val="16"/>
        </w:rPr>
        <w:softHyphen/>
        <w:t>ся в прошлое — опять в 21 сентября, т.к. двигавшийся с запада на восток самолет пересек линию смены дат — сто восьмиде</w:t>
      </w:r>
      <w:r w:rsidRPr="00A259BD">
        <w:rPr>
          <w:rFonts w:ascii="Times New Roman" w:hAnsi="Times New Roman"/>
          <w:color w:val="000000" w:themeColor="text1"/>
          <w:sz w:val="16"/>
          <w:szCs w:val="16"/>
        </w:rPr>
        <w:softHyphen/>
        <w:t>сятый меридиан. Однако стартовать уда</w:t>
      </w:r>
      <w:r w:rsidRPr="00A259BD">
        <w:rPr>
          <w:rFonts w:ascii="Times New Roman" w:hAnsi="Times New Roman"/>
          <w:color w:val="000000" w:themeColor="text1"/>
          <w:sz w:val="16"/>
          <w:szCs w:val="16"/>
        </w:rPr>
        <w:softHyphen/>
        <w:t>лось лишь с приходом тайфуна утром 24-го навстречу шквалистому ветру. Очередной участок пути длиной 1450 км прошли всего за 7 ч и совершили посадку в бухте Датч-Харбор на о. Уналашка. Здесь советский самолет встретил американский крейсер “</w:t>
      </w:r>
      <w:proofErr w:type="spellStart"/>
      <w:r w:rsidRPr="00A259BD">
        <w:rPr>
          <w:rFonts w:ascii="Times New Roman" w:hAnsi="Times New Roman"/>
          <w:color w:val="000000" w:themeColor="text1"/>
          <w:sz w:val="16"/>
          <w:szCs w:val="16"/>
        </w:rPr>
        <w:t>Челен</w:t>
      </w:r>
      <w:proofErr w:type="spellEnd"/>
      <w:r w:rsidRPr="00A259BD">
        <w:rPr>
          <w:rFonts w:ascii="Times New Roman" w:hAnsi="Times New Roman"/>
          <w:color w:val="000000" w:themeColor="text1"/>
          <w:sz w:val="16"/>
          <w:szCs w:val="16"/>
        </w:rPr>
        <w:t>” (11286).</w:t>
      </w:r>
    </w:p>
    <w:p w14:paraId="08EF19A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B6BC61" w14:textId="77777777" w:rsidR="00F547C5" w:rsidRPr="00A259BD" w:rsidRDefault="002E2A19"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865CA5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410B4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сентября 1929 года АУ выдало заводу "Большевик" тактико-технические требования на проектирование 152-мм пушки АРГК. 152-мм дальнобойная пушка Б-10 предназначалась для поражения глубоко расположенных резервов, передовых аэродромов, железнодорожных станций и других объектов в ближнем тылу противника, а также для разрушения бетонных сооружений вертикального типа (3861).</w:t>
      </w:r>
    </w:p>
    <w:p w14:paraId="5FF757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EEF50CD" w14:textId="0CD4A2F9" w:rsidR="00F547C5" w:rsidRPr="00A259BD" w:rsidRDefault="00F547C5" w:rsidP="009236E3">
      <w:pPr>
        <w:autoSpaceDE w:val="0"/>
        <w:autoSpaceDN w:val="0"/>
        <w:adjustRightInd w:val="0"/>
        <w:spacing w:after="0" w:line="240" w:lineRule="auto"/>
        <w:jc w:val="both"/>
        <w:rPr>
          <w:rFonts w:ascii="Times New Roman" w:hAnsi="Times New Roman"/>
          <w:i/>
          <w:color w:val="000000" w:themeColor="text1"/>
          <w:sz w:val="16"/>
          <w:szCs w:val="16"/>
        </w:rPr>
      </w:pPr>
      <w:r w:rsidRPr="00A259BD">
        <w:rPr>
          <w:rFonts w:ascii="Times New Roman" w:hAnsi="Times New Roman"/>
          <w:i/>
          <w:color w:val="000000" w:themeColor="text1"/>
          <w:sz w:val="16"/>
          <w:szCs w:val="16"/>
        </w:rPr>
        <w:t>Жи</w:t>
      </w:r>
      <w:r w:rsidR="006C5984" w:rsidRPr="00A259BD">
        <w:rPr>
          <w:rFonts w:ascii="Times New Roman" w:hAnsi="Times New Roman"/>
          <w:i/>
          <w:color w:val="000000" w:themeColor="text1"/>
          <w:sz w:val="16"/>
          <w:szCs w:val="16"/>
        </w:rPr>
        <w:t>з</w:t>
      </w:r>
      <w:r w:rsidRPr="00A259BD">
        <w:rPr>
          <w:rFonts w:ascii="Times New Roman" w:hAnsi="Times New Roman"/>
          <w:i/>
          <w:color w:val="000000" w:themeColor="text1"/>
          <w:sz w:val="16"/>
          <w:szCs w:val="16"/>
        </w:rPr>
        <w:t>нь и внутренняя политика:</w:t>
      </w:r>
    </w:p>
    <w:p w14:paraId="2DFB8457" w14:textId="77777777" w:rsidR="00F547C5" w:rsidRPr="00A259BD" w:rsidRDefault="00F547C5" w:rsidP="009236E3">
      <w:pPr>
        <w:autoSpaceDE w:val="0"/>
        <w:autoSpaceDN w:val="0"/>
        <w:adjustRightInd w:val="0"/>
        <w:spacing w:after="0" w:line="240" w:lineRule="auto"/>
        <w:jc w:val="both"/>
        <w:rPr>
          <w:rFonts w:ascii="Times New Roman" w:hAnsi="Times New Roman"/>
          <w:i/>
          <w:color w:val="000000" w:themeColor="text1"/>
          <w:sz w:val="16"/>
          <w:szCs w:val="16"/>
        </w:rPr>
      </w:pPr>
    </w:p>
    <w:p w14:paraId="2510DC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21 по 27 сентября 1929 г. Из протокола заседания Политбюро N 99, особая папка, 1929 г.</w:t>
      </w:r>
    </w:p>
    <w:p w14:paraId="12E699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Сообщение тт. Шеболдаева и </w:t>
      </w:r>
      <w:proofErr w:type="spellStart"/>
      <w:r w:rsidRPr="00A259BD">
        <w:rPr>
          <w:rFonts w:ascii="Times New Roman" w:hAnsi="Times New Roman"/>
          <w:color w:val="000000" w:themeColor="text1"/>
          <w:sz w:val="16"/>
          <w:szCs w:val="16"/>
        </w:rPr>
        <w:t>Трилиссера</w:t>
      </w:r>
      <w:proofErr w:type="spellEnd"/>
    </w:p>
    <w:p w14:paraId="339896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Ввиду раскрытия </w:t>
      </w:r>
      <w:proofErr w:type="spellStart"/>
      <w:r w:rsidRPr="00A259BD">
        <w:rPr>
          <w:rFonts w:ascii="Times New Roman" w:hAnsi="Times New Roman"/>
          <w:color w:val="000000" w:themeColor="text1"/>
          <w:sz w:val="16"/>
          <w:szCs w:val="16"/>
        </w:rPr>
        <w:t>эсеровско</w:t>
      </w:r>
      <w:proofErr w:type="spellEnd"/>
      <w:r w:rsidRPr="00A259BD">
        <w:rPr>
          <w:rFonts w:ascii="Times New Roman" w:hAnsi="Times New Roman"/>
          <w:color w:val="000000" w:themeColor="text1"/>
          <w:sz w:val="16"/>
          <w:szCs w:val="16"/>
        </w:rPr>
        <w:t>-кулацкой повстанческой организации в Нижнем Поволжье поручить ОГПУ принять решительные меры к ее ликвидации, расстреляв до 50 руководителей организации, особенно из числа крупных кулаков, кадровых офицеров и репатриантов. Дать соответствующее извещение в печать о приговоре с расстрелом наиболее видной группы дворянско-кулацко-эсеровских руководителей организации.</w:t>
      </w:r>
    </w:p>
    <w:p w14:paraId="7FC17E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Кроме дел по единичным терактам против представителей низовых советских и парторганизаций и общественников — активных сторонников Соввласти, рассматриваемых в судебном порядке, установить, что, как правило, и дела об антисоветских выступлениях в деревне также разбирались в судебном порядке (11652).</w:t>
      </w:r>
    </w:p>
    <w:p w14:paraId="3D1B6E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6AA46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7632BC7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3751D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сентября 1929 закончился конфликт на советско-китайской границе (2100).</w:t>
      </w:r>
    </w:p>
    <w:p w14:paraId="0EF538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7449C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84019B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E2725A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сентября 1929 на улицах Берлина состоялись вооруженные столкновения между коммунистами и нацистами (4962).</w:t>
      </w:r>
    </w:p>
    <w:p w14:paraId="0EDD071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64A08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F6FC30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997E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сентября 1929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было получено письмо N 124423 (</w:t>
      </w:r>
      <w:proofErr w:type="spellStart"/>
      <w:r w:rsidRPr="00A259BD">
        <w:rPr>
          <w:rFonts w:ascii="Times New Roman" w:hAnsi="Times New Roman"/>
          <w:color w:val="000000" w:themeColor="text1"/>
          <w:sz w:val="16"/>
          <w:szCs w:val="16"/>
        </w:rPr>
        <w:t>вх</w:t>
      </w:r>
      <w:proofErr w:type="spellEnd"/>
      <w:r w:rsidRPr="00A259BD">
        <w:rPr>
          <w:rFonts w:ascii="Times New Roman" w:hAnsi="Times New Roman"/>
          <w:color w:val="000000" w:themeColor="text1"/>
          <w:sz w:val="16"/>
          <w:szCs w:val="16"/>
        </w:rPr>
        <w:t xml:space="preserve">.) Дир. завода 25 Горшков и Пом. </w:t>
      </w:r>
      <w:proofErr w:type="spellStart"/>
      <w:r w:rsidRPr="00A259BD">
        <w:rPr>
          <w:rFonts w:ascii="Times New Roman" w:hAnsi="Times New Roman"/>
          <w:color w:val="000000" w:themeColor="text1"/>
          <w:sz w:val="16"/>
          <w:szCs w:val="16"/>
        </w:rPr>
        <w:t>дир</w:t>
      </w:r>
      <w:proofErr w:type="spellEnd"/>
      <w:r w:rsidRPr="00A259BD">
        <w:rPr>
          <w:rFonts w:ascii="Times New Roman" w:hAnsi="Times New Roman"/>
          <w:color w:val="000000" w:themeColor="text1"/>
          <w:sz w:val="16"/>
          <w:szCs w:val="16"/>
        </w:rPr>
        <w:t xml:space="preserve">.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Н.Н.П. о том, что завод 25 ожидает недогруз начиная с января 1930 (2365).</w:t>
      </w:r>
    </w:p>
    <w:p w14:paraId="449496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6E24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сентября 1929 закончился испытательный перелет </w:t>
      </w:r>
      <w:proofErr w:type="spellStart"/>
      <w:r w:rsidRPr="00A259BD">
        <w:rPr>
          <w:rFonts w:ascii="Times New Roman" w:hAnsi="Times New Roman"/>
          <w:color w:val="000000" w:themeColor="text1"/>
          <w:sz w:val="16"/>
          <w:szCs w:val="16"/>
        </w:rPr>
        <w:t>М.А.Снигирева</w:t>
      </w:r>
      <w:proofErr w:type="spellEnd"/>
      <w:r w:rsidRPr="00A259BD">
        <w:rPr>
          <w:rFonts w:ascii="Times New Roman" w:hAnsi="Times New Roman"/>
          <w:color w:val="000000" w:themeColor="text1"/>
          <w:sz w:val="16"/>
          <w:szCs w:val="16"/>
        </w:rPr>
        <w:t xml:space="preserve"> по маршруту Харьков-Иркутск-Харьков на К-4 "Червона Украина" (438,602).</w:t>
      </w:r>
    </w:p>
    <w:p w14:paraId="038154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0665A2" w14:textId="77777777" w:rsidR="00175EC7" w:rsidRPr="006B74EB" w:rsidRDefault="00175EC7" w:rsidP="00175EC7">
      <w:pPr>
        <w:spacing w:after="0" w:line="240" w:lineRule="auto"/>
        <w:jc w:val="both"/>
        <w:rPr>
          <w:rFonts w:ascii="Times New Roman" w:hAnsi="Times New Roman"/>
          <w:color w:val="0070C0"/>
          <w:sz w:val="16"/>
          <w:szCs w:val="16"/>
        </w:rPr>
      </w:pPr>
      <w:r>
        <w:rPr>
          <w:rFonts w:ascii="Times New Roman" w:hAnsi="Times New Roman"/>
          <w:color w:val="0070C0"/>
          <w:sz w:val="16"/>
          <w:szCs w:val="16"/>
        </w:rPr>
        <w:t>23</w:t>
      </w:r>
      <w:r w:rsidRPr="006B74EB">
        <w:rPr>
          <w:rFonts w:ascii="Times New Roman" w:hAnsi="Times New Roman"/>
          <w:color w:val="0070C0"/>
          <w:sz w:val="16"/>
          <w:szCs w:val="16"/>
        </w:rPr>
        <w:t xml:space="preserve"> сентября </w:t>
      </w:r>
      <w:r>
        <w:rPr>
          <w:rFonts w:ascii="Times New Roman" w:hAnsi="Times New Roman"/>
          <w:color w:val="0070C0"/>
          <w:sz w:val="16"/>
          <w:szCs w:val="16"/>
        </w:rPr>
        <w:t>1929 г. з</w:t>
      </w:r>
      <w:r w:rsidRPr="006B74EB">
        <w:rPr>
          <w:rFonts w:ascii="Times New Roman" w:hAnsi="Times New Roman"/>
          <w:color w:val="0070C0"/>
          <w:sz w:val="16"/>
          <w:szCs w:val="16"/>
        </w:rPr>
        <w:t>ако</w:t>
      </w:r>
      <w:r>
        <w:rPr>
          <w:rFonts w:ascii="Times New Roman" w:hAnsi="Times New Roman"/>
          <w:color w:val="0070C0"/>
          <w:sz w:val="16"/>
          <w:szCs w:val="16"/>
        </w:rPr>
        <w:t>н</w:t>
      </w:r>
      <w:r w:rsidRPr="006B74EB">
        <w:rPr>
          <w:rFonts w:ascii="Times New Roman" w:hAnsi="Times New Roman"/>
          <w:color w:val="0070C0"/>
          <w:sz w:val="16"/>
          <w:szCs w:val="16"/>
        </w:rPr>
        <w:t>чил</w:t>
      </w:r>
      <w:r>
        <w:rPr>
          <w:rFonts w:ascii="Times New Roman" w:hAnsi="Times New Roman"/>
          <w:color w:val="0070C0"/>
          <w:sz w:val="16"/>
          <w:szCs w:val="16"/>
        </w:rPr>
        <w:t>с</w:t>
      </w:r>
      <w:r w:rsidRPr="006B74EB">
        <w:rPr>
          <w:rFonts w:ascii="Times New Roman" w:hAnsi="Times New Roman"/>
          <w:color w:val="0070C0"/>
          <w:sz w:val="16"/>
          <w:szCs w:val="16"/>
        </w:rPr>
        <w:t>я большой испытательный перелет на само</w:t>
      </w:r>
      <w:r>
        <w:rPr>
          <w:rFonts w:ascii="Times New Roman" w:hAnsi="Times New Roman"/>
          <w:color w:val="0070C0"/>
          <w:sz w:val="16"/>
          <w:szCs w:val="16"/>
        </w:rPr>
        <w:t>лете</w:t>
      </w:r>
      <w:r w:rsidRPr="006B74EB">
        <w:rPr>
          <w:rFonts w:ascii="Times New Roman" w:hAnsi="Times New Roman"/>
          <w:color w:val="0070C0"/>
          <w:sz w:val="16"/>
          <w:szCs w:val="16"/>
        </w:rPr>
        <w:t xml:space="preserve"> К-4 «Червона Украина» </w:t>
      </w:r>
      <w:r>
        <w:rPr>
          <w:rFonts w:ascii="Times New Roman" w:hAnsi="Times New Roman"/>
          <w:color w:val="0070C0"/>
          <w:sz w:val="16"/>
          <w:szCs w:val="16"/>
        </w:rPr>
        <w:t>с</w:t>
      </w:r>
      <w:r w:rsidRPr="006B74EB">
        <w:rPr>
          <w:rFonts w:ascii="Times New Roman" w:hAnsi="Times New Roman"/>
          <w:color w:val="0070C0"/>
          <w:sz w:val="16"/>
          <w:szCs w:val="16"/>
        </w:rPr>
        <w:t xml:space="preserve"> мотором </w:t>
      </w:r>
      <w:r>
        <w:rPr>
          <w:rFonts w:ascii="Times New Roman" w:hAnsi="Times New Roman"/>
          <w:color w:val="0070C0"/>
          <w:sz w:val="16"/>
          <w:szCs w:val="16"/>
        </w:rPr>
        <w:t>Ю</w:t>
      </w:r>
      <w:r w:rsidRPr="006B74EB">
        <w:rPr>
          <w:rFonts w:ascii="Times New Roman" w:hAnsi="Times New Roman"/>
          <w:color w:val="0070C0"/>
          <w:sz w:val="16"/>
          <w:szCs w:val="16"/>
        </w:rPr>
        <w:t>нкере 300 л.</w:t>
      </w:r>
      <w:r>
        <w:rPr>
          <w:rFonts w:ascii="Times New Roman" w:hAnsi="Times New Roman"/>
          <w:color w:val="0070C0"/>
          <w:sz w:val="16"/>
          <w:szCs w:val="16"/>
        </w:rPr>
        <w:t>с</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Летч</w:t>
      </w:r>
      <w:r>
        <w:rPr>
          <w:rFonts w:ascii="Times New Roman" w:hAnsi="Times New Roman"/>
          <w:color w:val="0070C0"/>
          <w:sz w:val="16"/>
          <w:szCs w:val="16"/>
        </w:rPr>
        <w:t>ик-испытат</w:t>
      </w:r>
      <w:r w:rsidRPr="006B74EB">
        <w:rPr>
          <w:rFonts w:ascii="Times New Roman" w:hAnsi="Times New Roman"/>
          <w:color w:val="0070C0"/>
          <w:sz w:val="16"/>
          <w:szCs w:val="16"/>
        </w:rPr>
        <w:t xml:space="preserve">ель </w:t>
      </w:r>
      <w:proofErr w:type="spellStart"/>
      <w:r>
        <w:rPr>
          <w:rFonts w:ascii="Times New Roman" w:hAnsi="Times New Roman"/>
          <w:color w:val="0070C0"/>
          <w:sz w:val="16"/>
          <w:szCs w:val="16"/>
        </w:rPr>
        <w:t>М.</w:t>
      </w:r>
      <w:r w:rsidRPr="006B74EB">
        <w:rPr>
          <w:rFonts w:ascii="Times New Roman" w:hAnsi="Times New Roman"/>
          <w:color w:val="0070C0"/>
          <w:sz w:val="16"/>
          <w:szCs w:val="16"/>
        </w:rPr>
        <w:t>А.Снегирев</w:t>
      </w:r>
      <w:proofErr w:type="spellEnd"/>
      <w:r w:rsidRPr="006B74EB">
        <w:rPr>
          <w:rFonts w:ascii="Times New Roman" w:hAnsi="Times New Roman"/>
          <w:color w:val="0070C0"/>
          <w:sz w:val="16"/>
          <w:szCs w:val="16"/>
        </w:rPr>
        <w:t xml:space="preserve"> </w:t>
      </w:r>
      <w:r>
        <w:rPr>
          <w:rFonts w:ascii="Times New Roman" w:hAnsi="Times New Roman"/>
          <w:color w:val="0070C0"/>
          <w:sz w:val="16"/>
          <w:szCs w:val="16"/>
        </w:rPr>
        <w:t>и</w:t>
      </w:r>
      <w:r w:rsidRPr="006B74EB">
        <w:rPr>
          <w:rFonts w:ascii="Times New Roman" w:hAnsi="Times New Roman"/>
          <w:color w:val="0070C0"/>
          <w:sz w:val="16"/>
          <w:szCs w:val="16"/>
        </w:rPr>
        <w:t xml:space="preserve"> бортмеханик </w:t>
      </w:r>
      <w:proofErr w:type="spellStart"/>
      <w:r w:rsidRPr="006B74EB">
        <w:rPr>
          <w:rFonts w:ascii="Times New Roman" w:hAnsi="Times New Roman"/>
          <w:color w:val="0070C0"/>
          <w:sz w:val="16"/>
          <w:szCs w:val="16"/>
        </w:rPr>
        <w:t>Кеглевич</w:t>
      </w:r>
      <w:proofErr w:type="spellEnd"/>
      <w:r w:rsidRPr="006B74EB">
        <w:rPr>
          <w:rFonts w:ascii="Times New Roman" w:hAnsi="Times New Roman"/>
          <w:color w:val="0070C0"/>
          <w:sz w:val="16"/>
          <w:szCs w:val="16"/>
        </w:rPr>
        <w:t xml:space="preserve"> вылетели 22~го августа </w:t>
      </w:r>
      <w:r>
        <w:rPr>
          <w:rFonts w:ascii="Times New Roman" w:hAnsi="Times New Roman"/>
          <w:color w:val="0070C0"/>
          <w:sz w:val="16"/>
          <w:szCs w:val="16"/>
        </w:rPr>
        <w:t>по маршруту Харьков</w:t>
      </w:r>
      <w:r w:rsidRPr="006B74EB">
        <w:rPr>
          <w:rFonts w:ascii="Times New Roman" w:hAnsi="Times New Roman"/>
          <w:color w:val="0070C0"/>
          <w:sz w:val="16"/>
          <w:szCs w:val="16"/>
        </w:rPr>
        <w:t>-Иркутск-</w:t>
      </w:r>
      <w:r>
        <w:rPr>
          <w:rFonts w:ascii="Times New Roman" w:hAnsi="Times New Roman"/>
          <w:color w:val="0070C0"/>
          <w:sz w:val="16"/>
          <w:szCs w:val="16"/>
        </w:rPr>
        <w:t>Х</w:t>
      </w:r>
      <w:r w:rsidRPr="006B74EB">
        <w:rPr>
          <w:rFonts w:ascii="Times New Roman" w:hAnsi="Times New Roman"/>
          <w:color w:val="0070C0"/>
          <w:sz w:val="16"/>
          <w:szCs w:val="16"/>
        </w:rPr>
        <w:t xml:space="preserve">арьков с целью испытания самолета в </w:t>
      </w:r>
      <w:r>
        <w:rPr>
          <w:rFonts w:ascii="Times New Roman" w:hAnsi="Times New Roman"/>
          <w:color w:val="0070C0"/>
          <w:sz w:val="16"/>
          <w:szCs w:val="16"/>
        </w:rPr>
        <w:t>длительных</w:t>
      </w:r>
      <w:r w:rsidRPr="006B74EB">
        <w:rPr>
          <w:rFonts w:ascii="Times New Roman" w:hAnsi="Times New Roman"/>
          <w:color w:val="0070C0"/>
          <w:sz w:val="16"/>
          <w:szCs w:val="16"/>
        </w:rPr>
        <w:t xml:space="preserve"> полетах с полной нагрузкой /1500 кг./.</w:t>
      </w:r>
      <w:r>
        <w:rPr>
          <w:rFonts w:ascii="Times New Roman" w:hAnsi="Times New Roman"/>
          <w:color w:val="0070C0"/>
          <w:sz w:val="16"/>
          <w:szCs w:val="16"/>
        </w:rPr>
        <w:t xml:space="preserve"> </w:t>
      </w:r>
      <w:r w:rsidRPr="006B74EB">
        <w:rPr>
          <w:rFonts w:ascii="Times New Roman" w:hAnsi="Times New Roman"/>
          <w:color w:val="0070C0"/>
          <w:sz w:val="16"/>
          <w:szCs w:val="16"/>
        </w:rPr>
        <w:t>До Иркутска доле</w:t>
      </w:r>
      <w:r>
        <w:rPr>
          <w:rFonts w:ascii="Times New Roman" w:hAnsi="Times New Roman"/>
          <w:color w:val="0070C0"/>
          <w:sz w:val="16"/>
          <w:szCs w:val="16"/>
        </w:rPr>
        <w:t>тели за</w:t>
      </w:r>
      <w:r w:rsidRPr="006B74EB">
        <w:rPr>
          <w:rFonts w:ascii="Times New Roman" w:hAnsi="Times New Roman"/>
          <w:color w:val="0070C0"/>
          <w:sz w:val="16"/>
          <w:szCs w:val="16"/>
        </w:rPr>
        <w:t xml:space="preserve"> </w:t>
      </w:r>
      <w:r>
        <w:rPr>
          <w:rFonts w:ascii="Times New Roman" w:hAnsi="Times New Roman"/>
          <w:color w:val="0070C0"/>
          <w:sz w:val="16"/>
          <w:szCs w:val="16"/>
        </w:rPr>
        <w:t>ше</w:t>
      </w:r>
      <w:r w:rsidRPr="006B74EB">
        <w:rPr>
          <w:rFonts w:ascii="Times New Roman" w:hAnsi="Times New Roman"/>
          <w:color w:val="0070C0"/>
          <w:sz w:val="16"/>
          <w:szCs w:val="16"/>
        </w:rPr>
        <w:t>сть дней,</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на обратном полете </w:t>
      </w:r>
      <w:r>
        <w:rPr>
          <w:rFonts w:ascii="Times New Roman" w:hAnsi="Times New Roman"/>
          <w:color w:val="0070C0"/>
          <w:sz w:val="16"/>
          <w:szCs w:val="16"/>
        </w:rPr>
        <w:t xml:space="preserve">имели </w:t>
      </w:r>
      <w:r w:rsidRPr="006B74EB">
        <w:rPr>
          <w:rFonts w:ascii="Times New Roman" w:hAnsi="Times New Roman"/>
          <w:color w:val="0070C0"/>
          <w:sz w:val="16"/>
          <w:szCs w:val="16"/>
        </w:rPr>
        <w:t>три вынужденные посад</w:t>
      </w:r>
      <w:r>
        <w:rPr>
          <w:rFonts w:ascii="Times New Roman" w:hAnsi="Times New Roman"/>
          <w:color w:val="0070C0"/>
          <w:sz w:val="16"/>
          <w:szCs w:val="16"/>
        </w:rPr>
        <w:t>ки из-за</w:t>
      </w:r>
    </w:p>
    <w:p w14:paraId="3775E360" w14:textId="264369DB" w:rsidR="00175EC7" w:rsidRPr="006B74EB" w:rsidRDefault="00175EC7" w:rsidP="00175EC7">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 xml:space="preserve"> неисправности мотора,</w:t>
      </w:r>
      <w:r>
        <w:rPr>
          <w:rFonts w:ascii="Times New Roman" w:hAnsi="Times New Roman"/>
          <w:color w:val="0070C0"/>
          <w:sz w:val="16"/>
          <w:szCs w:val="16"/>
        </w:rPr>
        <w:t xml:space="preserve"> </w:t>
      </w:r>
      <w:r w:rsidRPr="006B74EB">
        <w:rPr>
          <w:rFonts w:ascii="Times New Roman" w:hAnsi="Times New Roman"/>
          <w:color w:val="0070C0"/>
          <w:sz w:val="16"/>
          <w:szCs w:val="16"/>
        </w:rPr>
        <w:t>который,</w:t>
      </w:r>
      <w:r>
        <w:rPr>
          <w:rFonts w:ascii="Times New Roman" w:hAnsi="Times New Roman"/>
          <w:color w:val="0070C0"/>
          <w:sz w:val="16"/>
          <w:szCs w:val="16"/>
        </w:rPr>
        <w:t xml:space="preserve"> </w:t>
      </w:r>
      <w:r w:rsidRPr="006B74EB">
        <w:rPr>
          <w:rFonts w:ascii="Times New Roman" w:hAnsi="Times New Roman"/>
          <w:color w:val="0070C0"/>
          <w:sz w:val="16"/>
          <w:szCs w:val="16"/>
        </w:rPr>
        <w:t>наконец,</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был заменен новым. </w:t>
      </w:r>
      <w:r>
        <w:rPr>
          <w:rFonts w:ascii="Times New Roman" w:hAnsi="Times New Roman"/>
          <w:color w:val="0070C0"/>
          <w:sz w:val="16"/>
          <w:szCs w:val="16"/>
        </w:rPr>
        <w:t>Пе</w:t>
      </w:r>
      <w:r w:rsidRPr="006B74EB">
        <w:rPr>
          <w:rFonts w:ascii="Times New Roman" w:hAnsi="Times New Roman"/>
          <w:color w:val="0070C0"/>
          <w:sz w:val="16"/>
          <w:szCs w:val="16"/>
        </w:rPr>
        <w:t>р</w:t>
      </w:r>
      <w:r>
        <w:rPr>
          <w:rFonts w:ascii="Times New Roman" w:hAnsi="Times New Roman"/>
          <w:color w:val="0070C0"/>
          <w:sz w:val="16"/>
          <w:szCs w:val="16"/>
        </w:rPr>
        <w:t>е</w:t>
      </w:r>
      <w:r w:rsidRPr="006B74EB">
        <w:rPr>
          <w:rFonts w:ascii="Times New Roman" w:hAnsi="Times New Roman"/>
          <w:color w:val="0070C0"/>
          <w:sz w:val="16"/>
          <w:szCs w:val="16"/>
        </w:rPr>
        <w:t>лет затянулся на целый месяц, но был завершен с хорошими пока</w:t>
      </w:r>
      <w:r>
        <w:rPr>
          <w:rFonts w:ascii="Times New Roman" w:hAnsi="Times New Roman"/>
          <w:color w:val="0070C0"/>
          <w:sz w:val="16"/>
          <w:szCs w:val="16"/>
        </w:rPr>
        <w:t xml:space="preserve">зателями </w:t>
      </w:r>
      <w:r w:rsidRPr="006B74EB">
        <w:rPr>
          <w:rFonts w:ascii="Times New Roman" w:hAnsi="Times New Roman"/>
          <w:color w:val="0070C0"/>
          <w:sz w:val="16"/>
          <w:szCs w:val="16"/>
        </w:rPr>
        <w:t>для самолета</w:t>
      </w:r>
      <w:r>
        <w:rPr>
          <w:rFonts w:ascii="Times New Roman" w:hAnsi="Times New Roman"/>
          <w:color w:val="0070C0"/>
          <w:sz w:val="16"/>
          <w:szCs w:val="16"/>
        </w:rPr>
        <w:t>.</w:t>
      </w:r>
      <w:r w:rsidRPr="006B74EB">
        <w:rPr>
          <w:rFonts w:ascii="Times New Roman" w:hAnsi="Times New Roman"/>
          <w:color w:val="0070C0"/>
          <w:sz w:val="16"/>
          <w:szCs w:val="16"/>
        </w:rPr>
        <w:t xml:space="preserve"> Всего было пройдено 10.400 км за 73 летных</w:t>
      </w:r>
      <w:r>
        <w:rPr>
          <w:rFonts w:ascii="Times New Roman" w:hAnsi="Times New Roman"/>
          <w:color w:val="0070C0"/>
          <w:sz w:val="16"/>
          <w:szCs w:val="16"/>
        </w:rPr>
        <w:t xml:space="preserve"> часа. П</w:t>
      </w:r>
      <w:r w:rsidRPr="006B74EB">
        <w:rPr>
          <w:rFonts w:ascii="Times New Roman" w:hAnsi="Times New Roman"/>
          <w:color w:val="0070C0"/>
          <w:sz w:val="16"/>
          <w:szCs w:val="16"/>
        </w:rPr>
        <w:t xml:space="preserve">ерелет был организован обществами Осоавиахим ж </w:t>
      </w:r>
      <w:proofErr w:type="spellStart"/>
      <w:r w:rsidRPr="006B74EB">
        <w:rPr>
          <w:rFonts w:ascii="Times New Roman" w:hAnsi="Times New Roman"/>
          <w:color w:val="0070C0"/>
          <w:sz w:val="16"/>
          <w:szCs w:val="16"/>
        </w:rPr>
        <w:t>Укрвоздухпуть</w:t>
      </w:r>
      <w:proofErr w:type="spellEnd"/>
      <w:r w:rsidRPr="006B74EB">
        <w:rPr>
          <w:rFonts w:ascii="Times New Roman" w:hAnsi="Times New Roman"/>
          <w:color w:val="0070C0"/>
          <w:sz w:val="16"/>
          <w:szCs w:val="16"/>
        </w:rPr>
        <w:t>.</w:t>
      </w:r>
    </w:p>
    <w:p w14:paraId="40A0A674" w14:textId="77777777" w:rsidR="00175EC7" w:rsidRDefault="00175EC7" w:rsidP="00175EC7">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/Харьковская газета "Коммунист" за 24 сент. 1929; BB</w:t>
      </w:r>
      <w:r>
        <w:rPr>
          <w:rFonts w:ascii="Times New Roman" w:hAnsi="Times New Roman"/>
          <w:color w:val="0070C0"/>
          <w:sz w:val="16"/>
          <w:szCs w:val="16"/>
        </w:rPr>
        <w:t>С</w:t>
      </w:r>
      <w:r w:rsidRPr="006B74EB">
        <w:rPr>
          <w:rFonts w:ascii="Times New Roman" w:hAnsi="Times New Roman"/>
          <w:color w:val="0070C0"/>
          <w:sz w:val="16"/>
          <w:szCs w:val="16"/>
        </w:rPr>
        <w:t xml:space="preserve">, 1934 № 8/ </w:t>
      </w:r>
      <w:r>
        <w:rPr>
          <w:rFonts w:ascii="Times New Roman" w:hAnsi="Times New Roman"/>
          <w:color w:val="0070C0"/>
          <w:sz w:val="16"/>
          <w:szCs w:val="16"/>
        </w:rPr>
        <w:t>(23370).</w:t>
      </w:r>
    </w:p>
    <w:p w14:paraId="6E1E7C0A" w14:textId="77777777" w:rsidR="00175EC7" w:rsidRDefault="00175EC7" w:rsidP="00175EC7">
      <w:pPr>
        <w:spacing w:after="0" w:line="240" w:lineRule="auto"/>
        <w:jc w:val="both"/>
        <w:rPr>
          <w:rFonts w:ascii="Times New Roman" w:hAnsi="Times New Roman"/>
          <w:color w:val="0070C0"/>
          <w:sz w:val="16"/>
          <w:szCs w:val="16"/>
        </w:rPr>
      </w:pPr>
    </w:p>
    <w:p w14:paraId="1387ABC1" w14:textId="77777777" w:rsidR="001C166D"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56D4B752" w14:textId="77777777" w:rsidR="001C166D" w:rsidRPr="00A259BD" w:rsidRDefault="001C166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989A513"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сентября 1929 г. посредством директивы ОГПУ № 482/а была развернута массовая кампания по сбору средств и среди пограничников дру</w:t>
      </w:r>
      <w:r w:rsidRPr="00A259BD">
        <w:rPr>
          <w:rFonts w:ascii="Times New Roman" w:hAnsi="Times New Roman"/>
          <w:color w:val="000000" w:themeColor="text1"/>
          <w:sz w:val="16"/>
          <w:szCs w:val="16"/>
        </w:rPr>
        <w:softHyphen/>
        <w:t>гих регионов, сотрудников ОГПУ и членов их семей. Рядовой и начсостав по</w:t>
      </w:r>
      <w:r w:rsidRPr="00A259BD">
        <w:rPr>
          <w:rFonts w:ascii="Times New Roman" w:hAnsi="Times New Roman"/>
          <w:color w:val="000000" w:themeColor="text1"/>
          <w:sz w:val="16"/>
          <w:szCs w:val="16"/>
        </w:rPr>
        <w:softHyphen/>
        <w:t>граничных войск с энтузиазмом откликнулся на проводимую кампанию, и вскоре была собрана значительная сумма. В циркуляре полномочного предста</w:t>
      </w:r>
      <w:r w:rsidRPr="00A259BD">
        <w:rPr>
          <w:rFonts w:ascii="Times New Roman" w:hAnsi="Times New Roman"/>
          <w:color w:val="000000" w:themeColor="text1"/>
          <w:sz w:val="16"/>
          <w:szCs w:val="16"/>
        </w:rPr>
        <w:softHyphen/>
        <w:t>вителя ОГПУ Дальневосточного края (ДВК) Медведя от 8 сентября 1929 г. за № 17-3-768 отмечалось, что «полное единодушие сотрудников показало..., что это ценное мероприятие является своевременным, вполне реальным и практи</w:t>
      </w:r>
      <w:r w:rsidRPr="00A259BD">
        <w:rPr>
          <w:rFonts w:ascii="Times New Roman" w:hAnsi="Times New Roman"/>
          <w:color w:val="000000" w:themeColor="text1"/>
          <w:sz w:val="16"/>
          <w:szCs w:val="16"/>
        </w:rPr>
        <w:softHyphen/>
        <w:t>чески в ближайшее время осуществимым». Это патриотическое движение го</w:t>
      </w:r>
      <w:r w:rsidRPr="00A259BD">
        <w:rPr>
          <w:rFonts w:ascii="Times New Roman" w:hAnsi="Times New Roman"/>
          <w:color w:val="000000" w:themeColor="text1"/>
          <w:sz w:val="16"/>
          <w:szCs w:val="16"/>
        </w:rPr>
        <w:softHyphen/>
        <w:t>ворит о том, что пограничники очень хотели иметь свою авиацию для более надежной охраны границы.</w:t>
      </w:r>
    </w:p>
    <w:p w14:paraId="708E8D09"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Оставался открытым главный вопрос: какой авиационной техникой ком</w:t>
      </w:r>
      <w:r w:rsidRPr="00A259BD">
        <w:rPr>
          <w:rFonts w:ascii="Times New Roman" w:hAnsi="Times New Roman"/>
          <w:color w:val="000000" w:themeColor="text1"/>
          <w:sz w:val="16"/>
          <w:szCs w:val="16"/>
        </w:rPr>
        <w:softHyphen/>
        <w:t>плектовать авиаотряды? Отечественная промышленность не могла предло</w:t>
      </w:r>
      <w:r w:rsidRPr="00A259BD">
        <w:rPr>
          <w:rFonts w:ascii="Times New Roman" w:hAnsi="Times New Roman"/>
          <w:color w:val="000000" w:themeColor="text1"/>
          <w:sz w:val="16"/>
          <w:szCs w:val="16"/>
        </w:rPr>
        <w:softHyphen/>
        <w:t>жить ничего подходящего. Специалисты «Добролета» первоначально ориен</w:t>
      </w:r>
      <w:r w:rsidRPr="00A259BD">
        <w:rPr>
          <w:rFonts w:ascii="Times New Roman" w:hAnsi="Times New Roman"/>
          <w:color w:val="000000" w:themeColor="text1"/>
          <w:sz w:val="16"/>
          <w:szCs w:val="16"/>
        </w:rPr>
        <w:softHyphen/>
        <w:t>тировались на приобретение в Италии цельнометаллических летающих лодок Дорнье «Валь», неплохо зарекомендовавших себя в Арктике. Но в ходе пре</w:t>
      </w:r>
      <w:r w:rsidRPr="00A259BD">
        <w:rPr>
          <w:rFonts w:ascii="Times New Roman" w:hAnsi="Times New Roman"/>
          <w:color w:val="000000" w:themeColor="text1"/>
          <w:sz w:val="16"/>
          <w:szCs w:val="16"/>
        </w:rPr>
        <w:softHyphen/>
        <w:t>бывания в США советской авиационной делегации во главе с начальником Управления ВВС РККА П. Барановым ей продемонстрировали ряд современ</w:t>
      </w:r>
      <w:r w:rsidRPr="00A259BD">
        <w:rPr>
          <w:rFonts w:ascii="Times New Roman" w:hAnsi="Times New Roman"/>
          <w:color w:val="000000" w:themeColor="text1"/>
          <w:sz w:val="16"/>
          <w:szCs w:val="16"/>
        </w:rPr>
        <w:softHyphen/>
        <w:t>ных гидросамолетов, заставивших изменить эту точку зрения. Вот что писал сам Баранов в Москву 13 января 1930 г.: «При посещении авиационного завода в Бристоле я ознакомился с конструкциями и производством амфибий и при</w:t>
      </w:r>
      <w:r w:rsidRPr="00A259BD">
        <w:rPr>
          <w:rFonts w:ascii="Times New Roman" w:hAnsi="Times New Roman"/>
          <w:color w:val="000000" w:themeColor="text1"/>
          <w:sz w:val="16"/>
          <w:szCs w:val="16"/>
        </w:rPr>
        <w:softHyphen/>
        <w:t>шел к выводу, что именно эти амфибии явятся наиболее желательным типом машин, как для пассажирских сообщений на Дальнем Востоке, так и для це</w:t>
      </w:r>
      <w:r w:rsidRPr="00A259BD">
        <w:rPr>
          <w:rFonts w:ascii="Times New Roman" w:hAnsi="Times New Roman"/>
          <w:color w:val="000000" w:themeColor="text1"/>
          <w:sz w:val="16"/>
          <w:szCs w:val="16"/>
        </w:rPr>
        <w:softHyphen/>
        <w:t>лей охраны побережья» (РГАЭ, ф. 9527, оп. 1, д. 156, л. 11) (12299).</w:t>
      </w:r>
    </w:p>
    <w:p w14:paraId="27C588E2" w14:textId="77777777" w:rsidR="001C166D" w:rsidRPr="00A259BD" w:rsidRDefault="001C166D" w:rsidP="009236E3">
      <w:pPr>
        <w:spacing w:after="0" w:line="240" w:lineRule="auto"/>
        <w:jc w:val="both"/>
        <w:rPr>
          <w:rFonts w:ascii="Times New Roman" w:hAnsi="Times New Roman"/>
          <w:color w:val="000000" w:themeColor="text1"/>
          <w:sz w:val="16"/>
          <w:szCs w:val="16"/>
        </w:rPr>
      </w:pPr>
    </w:p>
    <w:p w14:paraId="274513CE" w14:textId="77777777" w:rsidR="00B76DD3" w:rsidRPr="00A259BD" w:rsidRDefault="00B76D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сентября 1929 г. посредством директивы ОГПУ № 482/а была развернута массовая кампания по сбору средств и среди пограничников дру</w:t>
      </w:r>
      <w:r w:rsidRPr="00A259BD">
        <w:rPr>
          <w:rFonts w:ascii="Times New Roman" w:hAnsi="Times New Roman"/>
          <w:color w:val="000000" w:themeColor="text1"/>
          <w:sz w:val="16"/>
          <w:szCs w:val="16"/>
        </w:rPr>
        <w:softHyphen/>
        <w:t>гих регионов, сотрудников ОГПУ и членов их семей на постройку дальневосточной пограничной эскадрильи. </w:t>
      </w:r>
    </w:p>
    <w:p w14:paraId="20159CD4" w14:textId="77777777" w:rsidR="00B76DD3" w:rsidRPr="00A259BD" w:rsidRDefault="00B76D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Рядовой и начсостав по</w:t>
      </w:r>
      <w:r w:rsidRPr="00A259BD">
        <w:rPr>
          <w:rFonts w:ascii="Times New Roman" w:hAnsi="Times New Roman"/>
          <w:color w:val="000000" w:themeColor="text1"/>
          <w:sz w:val="16"/>
          <w:szCs w:val="16"/>
        </w:rPr>
        <w:softHyphen/>
        <w:t>граничных войск с энтузиазмом откликнулся на проводимую кампанию, и вскоре была собрана значительная сумма. В циркуляре полномочного предста</w:t>
      </w:r>
      <w:r w:rsidRPr="00A259BD">
        <w:rPr>
          <w:rFonts w:ascii="Times New Roman" w:hAnsi="Times New Roman"/>
          <w:color w:val="000000" w:themeColor="text1"/>
          <w:sz w:val="16"/>
          <w:szCs w:val="16"/>
        </w:rPr>
        <w:softHyphen/>
        <w:t>вителя ОГПУ Дальневосточного края (ДВК) Медведя от 8 сентября 1929 г. за № 17-3-768 отмечалось, что «полное единодушие сотрудников показало..., что это ценное мероприятие является своевременным, вполне реальным и практи</w:t>
      </w:r>
      <w:r w:rsidRPr="00A259BD">
        <w:rPr>
          <w:rFonts w:ascii="Times New Roman" w:hAnsi="Times New Roman"/>
          <w:color w:val="000000" w:themeColor="text1"/>
          <w:sz w:val="16"/>
          <w:szCs w:val="16"/>
        </w:rPr>
        <w:softHyphen/>
        <w:t>чески в ближайшее время осуществимым». Это патриотическое движение го</w:t>
      </w:r>
      <w:r w:rsidRPr="00A259BD">
        <w:rPr>
          <w:rFonts w:ascii="Times New Roman" w:hAnsi="Times New Roman"/>
          <w:color w:val="000000" w:themeColor="text1"/>
          <w:sz w:val="16"/>
          <w:szCs w:val="16"/>
        </w:rPr>
        <w:softHyphen/>
        <w:t>ворит о том, что пограничники очень хотели иметь свою авиацию для более надежной охраны границы.</w:t>
      </w:r>
    </w:p>
    <w:p w14:paraId="782E466E" w14:textId="77777777" w:rsidR="00B76DD3" w:rsidRPr="00A259BD" w:rsidRDefault="00B76D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Возникла идея воспользоваться кадрами и техникой Гражданского воз</w:t>
      </w:r>
      <w:r w:rsidRPr="00A259BD">
        <w:rPr>
          <w:rFonts w:ascii="Times New Roman" w:hAnsi="Times New Roman"/>
          <w:color w:val="000000" w:themeColor="text1"/>
          <w:sz w:val="16"/>
          <w:szCs w:val="16"/>
        </w:rPr>
        <w:softHyphen/>
        <w:t>душного флота, создав некоторую промежуточную военно-гражданскую ор</w:t>
      </w:r>
      <w:r w:rsidRPr="00A259BD">
        <w:rPr>
          <w:rFonts w:ascii="Times New Roman" w:hAnsi="Times New Roman"/>
          <w:color w:val="000000" w:themeColor="text1"/>
          <w:sz w:val="16"/>
          <w:szCs w:val="16"/>
        </w:rPr>
        <w:softHyphen/>
        <w:t>ганизацию, которая обеспечила бы и помощь пограничникам с воздуха и по</w:t>
      </w:r>
      <w:r w:rsidRPr="00A259BD">
        <w:rPr>
          <w:rFonts w:ascii="Times New Roman" w:hAnsi="Times New Roman"/>
          <w:color w:val="000000" w:themeColor="text1"/>
          <w:sz w:val="16"/>
          <w:szCs w:val="16"/>
        </w:rPr>
        <w:softHyphen/>
        <w:t>служила основой для развития воздушного транспорта на Камчатке. В этих целях было заключено соглашение между акционерным обществом «Добро-лет» и ОГПУ о формировании и обеспечении кадрами и техникой трех специ</w:t>
      </w:r>
      <w:r w:rsidRPr="00A259BD">
        <w:rPr>
          <w:rFonts w:ascii="Times New Roman" w:hAnsi="Times New Roman"/>
          <w:color w:val="000000" w:themeColor="text1"/>
          <w:sz w:val="16"/>
          <w:szCs w:val="16"/>
        </w:rPr>
        <w:softHyphen/>
        <w:t>альных авиаотрядов. В их функции входило патрулирование прибрежных вод и наведение пограничных кораблей на нарушителей границы, снабжение от</w:t>
      </w:r>
      <w:r w:rsidRPr="00A259BD">
        <w:rPr>
          <w:rFonts w:ascii="Times New Roman" w:hAnsi="Times New Roman"/>
          <w:color w:val="000000" w:themeColor="text1"/>
          <w:sz w:val="16"/>
          <w:szCs w:val="16"/>
        </w:rPr>
        <w:softHyphen/>
        <w:t>дельных пограничных застав, обеспечение связи между подразделениями по</w:t>
      </w:r>
      <w:r w:rsidRPr="00A259BD">
        <w:rPr>
          <w:rFonts w:ascii="Times New Roman" w:hAnsi="Times New Roman"/>
          <w:color w:val="000000" w:themeColor="text1"/>
          <w:sz w:val="16"/>
          <w:szCs w:val="16"/>
        </w:rPr>
        <w:softHyphen/>
        <w:t>граничников, а также перевозка людей и грузов по договоренностям с мест</w:t>
      </w:r>
      <w:r w:rsidRPr="00A259BD">
        <w:rPr>
          <w:rFonts w:ascii="Times New Roman" w:hAnsi="Times New Roman"/>
          <w:color w:val="000000" w:themeColor="text1"/>
          <w:sz w:val="16"/>
          <w:szCs w:val="16"/>
        </w:rPr>
        <w:softHyphen/>
        <w:t>ными властями и различными организациями.</w:t>
      </w:r>
    </w:p>
    <w:p w14:paraId="2250ECDD" w14:textId="77777777" w:rsidR="00B76DD3" w:rsidRPr="00A259BD" w:rsidRDefault="00B76D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По проекту договора «Добролета» с ОГПУ (РГАЭ, ф. 9527, оп. 1, д. 159, л. 12, 54, 60—62) и после долгих дебатов остановились на том, что весь личный состав специальных авиаотрядов будет считаться гражданским и лишь нахо</w:t>
      </w:r>
      <w:r w:rsidRPr="00A259BD">
        <w:rPr>
          <w:rFonts w:ascii="Times New Roman" w:hAnsi="Times New Roman"/>
          <w:color w:val="000000" w:themeColor="text1"/>
          <w:sz w:val="16"/>
          <w:szCs w:val="16"/>
        </w:rPr>
        <w:softHyphen/>
        <w:t>диться в оперативном подчинении ОГПУ. Командиры авиаотрядов должны были получать задания от начальников погранотрядов. Предложения воору</w:t>
      </w:r>
      <w:r w:rsidRPr="00A259BD">
        <w:rPr>
          <w:rFonts w:ascii="Times New Roman" w:hAnsi="Times New Roman"/>
          <w:color w:val="000000" w:themeColor="text1"/>
          <w:sz w:val="16"/>
          <w:szCs w:val="16"/>
        </w:rPr>
        <w:softHyphen/>
        <w:t>жить самолеты пулеметами отклонили. Предполагалось, что они будут только осуществлять поиск целей и сообщать сторожевым катерам об их местонахо</w:t>
      </w:r>
      <w:r w:rsidRPr="00A259BD">
        <w:rPr>
          <w:rFonts w:ascii="Times New Roman" w:hAnsi="Times New Roman"/>
          <w:color w:val="000000" w:themeColor="text1"/>
          <w:sz w:val="16"/>
          <w:szCs w:val="16"/>
        </w:rPr>
        <w:softHyphen/>
        <w:t>ждении вымпелами. То, что летному составу выдавалось боевое оружие -карабины и револьверы, считалось тогда нормальной практикой в труднодос</w:t>
      </w:r>
      <w:r w:rsidRPr="00A259BD">
        <w:rPr>
          <w:rFonts w:ascii="Times New Roman" w:hAnsi="Times New Roman"/>
          <w:color w:val="000000" w:themeColor="text1"/>
          <w:sz w:val="16"/>
          <w:szCs w:val="16"/>
        </w:rPr>
        <w:softHyphen/>
        <w:t>тупных районах. Их получали по всему Северу, в Сибири, на Дальнем Восто</w:t>
      </w:r>
      <w:r w:rsidRPr="00A259BD">
        <w:rPr>
          <w:rFonts w:ascii="Times New Roman" w:hAnsi="Times New Roman"/>
          <w:color w:val="000000" w:themeColor="text1"/>
          <w:sz w:val="16"/>
          <w:szCs w:val="16"/>
        </w:rPr>
        <w:softHyphen/>
        <w:t>ке, в Средней Азии и на Кавказе. В свободное от заданий пограничной службы время пилоты спецотрядов могли возить коммерческие грузы или пассажи</w:t>
      </w:r>
      <w:r w:rsidRPr="00A259BD">
        <w:rPr>
          <w:rFonts w:ascii="Times New Roman" w:hAnsi="Times New Roman"/>
          <w:color w:val="000000" w:themeColor="text1"/>
          <w:sz w:val="16"/>
          <w:szCs w:val="16"/>
        </w:rPr>
        <w:softHyphen/>
        <w:t>ров. Доходы от этого рассматривались как сверхплановые, ибо основная дея</w:t>
      </w:r>
      <w:r w:rsidRPr="00A259BD">
        <w:rPr>
          <w:rFonts w:ascii="Times New Roman" w:hAnsi="Times New Roman"/>
          <w:color w:val="000000" w:themeColor="text1"/>
          <w:sz w:val="16"/>
          <w:szCs w:val="16"/>
        </w:rPr>
        <w:softHyphen/>
        <w:t>тельность покрывалась государственной дотацией.</w:t>
      </w:r>
    </w:p>
    <w:p w14:paraId="159B9A5A" w14:textId="77777777" w:rsidR="00B76DD3" w:rsidRPr="00A259BD" w:rsidRDefault="00B76D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Оставался открытым главный вопрос: какой авиационной техникой ком</w:t>
      </w:r>
      <w:r w:rsidRPr="00A259BD">
        <w:rPr>
          <w:rFonts w:ascii="Times New Roman" w:hAnsi="Times New Roman"/>
          <w:color w:val="000000" w:themeColor="text1"/>
          <w:sz w:val="16"/>
          <w:szCs w:val="16"/>
        </w:rPr>
        <w:softHyphen/>
        <w:t>плектовать авиаотряды? Отечественная промышленность не могла предло</w:t>
      </w:r>
      <w:r w:rsidRPr="00A259BD">
        <w:rPr>
          <w:rFonts w:ascii="Times New Roman" w:hAnsi="Times New Roman"/>
          <w:color w:val="000000" w:themeColor="text1"/>
          <w:sz w:val="16"/>
          <w:szCs w:val="16"/>
        </w:rPr>
        <w:softHyphen/>
        <w:t>жить ничего подходящего. Специалисты «Добролета» первоначально ориен</w:t>
      </w:r>
      <w:r w:rsidRPr="00A259BD">
        <w:rPr>
          <w:rFonts w:ascii="Times New Roman" w:hAnsi="Times New Roman"/>
          <w:color w:val="000000" w:themeColor="text1"/>
          <w:sz w:val="16"/>
          <w:szCs w:val="16"/>
        </w:rPr>
        <w:softHyphen/>
        <w:t>тировались на приобретение в Италии цельнометаллических летающих лодок Дорнье «Валь», неплохо зарекомендовавших себя в Арктике.</w:t>
      </w:r>
    </w:p>
    <w:p w14:paraId="0D7D2DCA" w14:textId="77777777" w:rsidR="00B76DD3" w:rsidRPr="00A259BD" w:rsidRDefault="00B76DD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ходе пре</w:t>
      </w:r>
      <w:r w:rsidRPr="00A259BD">
        <w:rPr>
          <w:rFonts w:ascii="Times New Roman" w:hAnsi="Times New Roman"/>
          <w:color w:val="000000" w:themeColor="text1"/>
          <w:sz w:val="16"/>
          <w:szCs w:val="16"/>
        </w:rPr>
        <w:softHyphen/>
        <w:t>бывания в США советской авиационной делегации во главе с начальником Управления ВВС РККА П. Барановым ей продемонстрировали ряд современ</w:t>
      </w:r>
      <w:r w:rsidRPr="00A259BD">
        <w:rPr>
          <w:rFonts w:ascii="Times New Roman" w:hAnsi="Times New Roman"/>
          <w:color w:val="000000" w:themeColor="text1"/>
          <w:sz w:val="16"/>
          <w:szCs w:val="16"/>
        </w:rPr>
        <w:softHyphen/>
        <w:t>ных гидросамолетов, заставивших изменить эту точку зрения (20402).</w:t>
      </w:r>
    </w:p>
    <w:p w14:paraId="16524F9D" w14:textId="77777777" w:rsidR="00B76DD3" w:rsidRPr="00A259BD" w:rsidRDefault="00B76DD3" w:rsidP="009236E3">
      <w:pPr>
        <w:spacing w:after="0" w:line="240" w:lineRule="auto"/>
        <w:jc w:val="both"/>
        <w:rPr>
          <w:rFonts w:ascii="Times New Roman" w:hAnsi="Times New Roman"/>
          <w:color w:val="000000" w:themeColor="text1"/>
          <w:sz w:val="16"/>
          <w:szCs w:val="16"/>
        </w:rPr>
      </w:pPr>
    </w:p>
    <w:p w14:paraId="60210E42" w14:textId="77777777" w:rsidR="000A20C9"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F2CD0BE" w14:textId="77777777" w:rsidR="000A20C9" w:rsidRPr="00A259BD" w:rsidRDefault="000A20C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50EFE7" w14:textId="77777777" w:rsidR="000A20C9" w:rsidRPr="00A259BD" w:rsidRDefault="000A20C9" w:rsidP="009236E3">
      <w:pPr>
        <w:spacing w:after="0" w:line="240" w:lineRule="auto"/>
        <w:jc w:val="both"/>
        <w:rPr>
          <w:rStyle w:val="ucoz-forum-post"/>
          <w:rFonts w:ascii="Times New Roman" w:eastAsiaTheme="majorEastAsia"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24 сентября 1929 года</w:t>
      </w:r>
      <w:r w:rsidRPr="00A259BD">
        <w:rPr>
          <w:rStyle w:val="ucoz-forum-post"/>
          <w:rFonts w:ascii="Times New Roman" w:eastAsiaTheme="majorEastAsia" w:hAnsi="Times New Roman"/>
          <w:color w:val="000000" w:themeColor="text1"/>
          <w:sz w:val="16"/>
          <w:szCs w:val="16"/>
        </w:rPr>
        <w:t xml:space="preserve"> Образовано ОАО "Пирометр". В 40-х годах начал выпускать авиационные гироскопические приборы, автопилоты и системы автоматического управления для различных типов летательных аппаратов. В настоящее время АО "Пирометр" - крупное приборостроительное предприятие, выпускающее авионику для большинства летательных аппаратов, как гражданского, так и военного назначения (14779).</w:t>
      </w:r>
    </w:p>
    <w:p w14:paraId="2D103388" w14:textId="77777777" w:rsidR="000A20C9" w:rsidRPr="00A259BD" w:rsidRDefault="000A20C9" w:rsidP="009236E3">
      <w:pPr>
        <w:spacing w:after="0" w:line="240" w:lineRule="auto"/>
        <w:jc w:val="both"/>
        <w:rPr>
          <w:rStyle w:val="ucoz-forum-post"/>
          <w:rFonts w:ascii="Times New Roman" w:eastAsiaTheme="majorEastAsia" w:hAnsi="Times New Roman"/>
          <w:color w:val="000000" w:themeColor="text1"/>
          <w:sz w:val="16"/>
          <w:szCs w:val="16"/>
        </w:rPr>
      </w:pPr>
    </w:p>
    <w:p w14:paraId="6195AE3D" w14:textId="77777777" w:rsidR="000A20C9" w:rsidRPr="00A259BD" w:rsidRDefault="000A20C9"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 xml:space="preserve">24 сентября </w:t>
      </w:r>
      <w:r w:rsidRPr="00A259BD">
        <w:rPr>
          <w:rFonts w:ascii="Times New Roman" w:hAnsi="Times New Roman"/>
          <w:color w:val="000000" w:themeColor="text1"/>
          <w:sz w:val="16"/>
          <w:szCs w:val="16"/>
        </w:rPr>
        <w:t>в 1929 году образовано ОАО "Пирометр". Завод "Пирометр" основан в 1929 году, как завод по производству тепло- и электроизмерительных приборов. В 1940-х годах начал выпускать авиационные гироскопические приборы, автопилоты и системы автоматического управления для различных типов летательных аппаратов. В 1970-х - 1980-х годах выпускал приборы для пилотируемых космических кораблей. При ликвидации последствий Чернобыльской катастрофы, использовались дистанционные роботизированные тележки, снабженные оборудованием, изготовленным на «Пирометр». Преобразованный в 1992 г. в акционерное общество «Пирометр». В настоящее время АО "Пирометр" - крупное приборостроительное предприятие, выпускающее авионику для большинства летательных аппаратов, как гражданского, так и военного назначения (14779).</w:t>
      </w:r>
    </w:p>
    <w:p w14:paraId="464A3F17" w14:textId="77777777" w:rsidR="000A20C9" w:rsidRPr="00A259BD" w:rsidRDefault="000A20C9" w:rsidP="009236E3">
      <w:pPr>
        <w:spacing w:after="0" w:line="240" w:lineRule="auto"/>
        <w:jc w:val="both"/>
        <w:rPr>
          <w:rFonts w:ascii="Times New Roman" w:hAnsi="Times New Roman"/>
          <w:color w:val="000000" w:themeColor="text1"/>
          <w:sz w:val="16"/>
          <w:szCs w:val="16"/>
        </w:rPr>
      </w:pPr>
    </w:p>
    <w:p w14:paraId="29632289" w14:textId="77777777" w:rsidR="001C166D"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B3098B1" w14:textId="77777777" w:rsidR="001C166D" w:rsidRPr="00A259BD" w:rsidRDefault="001C166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25E9D9B"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сентября 1929 г. — Из доклада Орудийно-арсенального треста в ГВПУ о развитии танко- и тракторостроения</w:t>
      </w:r>
    </w:p>
    <w:p w14:paraId="32D1454F"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Совершенно секретно.</w:t>
      </w:r>
    </w:p>
    <w:p w14:paraId="215CC73C"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Состояние танко-тракторного производства на заводах </w:t>
      </w:r>
      <w:proofErr w:type="spellStart"/>
      <w:r w:rsidRPr="00A259BD">
        <w:rPr>
          <w:rFonts w:ascii="Times New Roman" w:hAnsi="Times New Roman"/>
          <w:color w:val="000000" w:themeColor="text1"/>
          <w:sz w:val="16"/>
          <w:szCs w:val="16"/>
        </w:rPr>
        <w:t>Орудартреста</w:t>
      </w:r>
      <w:proofErr w:type="spellEnd"/>
      <w:r w:rsidRPr="00A259BD">
        <w:rPr>
          <w:rFonts w:ascii="Times New Roman" w:hAnsi="Times New Roman"/>
          <w:color w:val="000000" w:themeColor="text1"/>
          <w:sz w:val="16"/>
          <w:szCs w:val="16"/>
        </w:rPr>
        <w:t xml:space="preserve"> и перспективы на 1929/30 и 1930/31 гг.</w:t>
      </w:r>
    </w:p>
    <w:p w14:paraId="7F5412F9"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Введение</w:t>
      </w:r>
    </w:p>
    <w:p w14:paraId="5768D3EA"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мая 1927 г. заводом «Большевик» были закончены все работы по изготовлению опытного танка. 3 июня машина была отправлена в Москву на испытание, назначенное на 15 июня 1927 г. Комиссией под председательством начальника снабжения т. Дыбенко 9</w:t>
      </w:r>
      <w:r w:rsidRPr="00A259BD">
        <w:rPr>
          <w:rFonts w:ascii="Times New Roman" w:hAnsi="Times New Roman"/>
          <w:color w:val="000000" w:themeColor="text1"/>
          <w:sz w:val="16"/>
          <w:szCs w:val="16"/>
        </w:rPr>
        <w:noBreakHyphen/>
        <w:t>15 июня произведено генеральное испытание машины, в результате которого было принято решение о серийном производстве.</w:t>
      </w:r>
    </w:p>
    <w:p w14:paraId="6B96A2C7"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Ввиду того, что на заводе «Большевик» существовало уже в то время серийное производство авиамоторов и тракторов, производство которых родственно с производством танков, решено было производство танков в первую очередь организовать на заводе «Большевик».</w:t>
      </w:r>
    </w:p>
    <w:p w14:paraId="0CEFA648"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танков невозможно было разместить по существующим площадям завода «Большевик», а посему комиссия под председательством заместителя начальника МПУ т. </w:t>
      </w:r>
      <w:proofErr w:type="spellStart"/>
      <w:r w:rsidRPr="00A259BD">
        <w:rPr>
          <w:rFonts w:ascii="Times New Roman" w:hAnsi="Times New Roman"/>
          <w:color w:val="000000" w:themeColor="text1"/>
          <w:sz w:val="16"/>
          <w:szCs w:val="16"/>
        </w:rPr>
        <w:t>Шпекторова</w:t>
      </w:r>
      <w:proofErr w:type="spellEnd"/>
      <w:r w:rsidRPr="00A259BD">
        <w:rPr>
          <w:rFonts w:ascii="Times New Roman" w:hAnsi="Times New Roman"/>
          <w:color w:val="000000" w:themeColor="text1"/>
          <w:sz w:val="16"/>
          <w:szCs w:val="16"/>
        </w:rPr>
        <w:t xml:space="preserve"> от 9 октября 1927 г. постановила построить специальный танко-тракторный цех на новых местах. 22—24 ноября 1927 г. коллегия ГВПУ постановила построить специальный цех на новых местах для организации производства по танкам, тракторам и авиамоторам. Кроме того, для создания завода-дублера правление </w:t>
      </w:r>
      <w:proofErr w:type="spellStart"/>
      <w:r w:rsidRPr="00A259BD">
        <w:rPr>
          <w:rFonts w:ascii="Times New Roman" w:hAnsi="Times New Roman"/>
          <w:color w:val="000000" w:themeColor="text1"/>
          <w:sz w:val="16"/>
          <w:szCs w:val="16"/>
        </w:rPr>
        <w:t>Орудартреста</w:t>
      </w:r>
      <w:proofErr w:type="spellEnd"/>
      <w:r w:rsidRPr="00A259BD">
        <w:rPr>
          <w:rFonts w:ascii="Times New Roman" w:hAnsi="Times New Roman"/>
          <w:color w:val="000000" w:themeColor="text1"/>
          <w:sz w:val="16"/>
          <w:szCs w:val="16"/>
        </w:rPr>
        <w:t xml:space="preserve"> решило в апреле 1928 г. организовать производство танков на заводе ММЗ, ввиду того что завод ММЗ располагает свободной площадью, независимой и совершенно изолированной от орудийного производства.</w:t>
      </w:r>
    </w:p>
    <w:p w14:paraId="60CAC08A"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1927/28 производственном году завод «Большевик» изготовил 23 машины Т</w:t>
      </w:r>
      <w:r w:rsidRPr="00A259BD">
        <w:rPr>
          <w:rFonts w:ascii="Times New Roman" w:hAnsi="Times New Roman"/>
          <w:color w:val="000000" w:themeColor="text1"/>
          <w:sz w:val="16"/>
          <w:szCs w:val="16"/>
        </w:rPr>
        <w:noBreakHyphen/>
        <w:t>18 и 57 гусеничных тракторов системы «</w:t>
      </w:r>
      <w:proofErr w:type="spellStart"/>
      <w:r w:rsidRPr="00A259BD">
        <w:rPr>
          <w:rFonts w:ascii="Times New Roman" w:hAnsi="Times New Roman"/>
          <w:color w:val="000000" w:themeColor="text1"/>
          <w:sz w:val="16"/>
          <w:szCs w:val="16"/>
        </w:rPr>
        <w:t>холт</w:t>
      </w:r>
      <w:proofErr w:type="spellEnd"/>
      <w:r w:rsidRPr="00A259BD">
        <w:rPr>
          <w:rFonts w:ascii="Times New Roman" w:hAnsi="Times New Roman"/>
          <w:color w:val="000000" w:themeColor="text1"/>
          <w:sz w:val="16"/>
          <w:szCs w:val="16"/>
        </w:rPr>
        <w:t>», а завод ММЗ только в апреле месяце 1928 г. приступил к организации производства по Т</w:t>
      </w:r>
      <w:r w:rsidRPr="00A259BD">
        <w:rPr>
          <w:rFonts w:ascii="Times New Roman" w:hAnsi="Times New Roman"/>
          <w:color w:val="000000" w:themeColor="text1"/>
          <w:sz w:val="16"/>
          <w:szCs w:val="16"/>
        </w:rPr>
        <w:noBreakHyphen/>
        <w:t>18.</w:t>
      </w:r>
    </w:p>
    <w:p w14:paraId="5D496AAA"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Задание на 1928/29 г. и выполнение этого задания</w:t>
      </w:r>
    </w:p>
    <w:p w14:paraId="648DD140"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Задание по Т-18 на 1928/29 г. по заводу «Большевик» было 85 шт., а по заводу ММЗ — 25 шт., которые завод должен был бы изготовить и предъявить к сдаче к 1 декабря 1929 г.</w:t>
      </w:r>
    </w:p>
    <w:p w14:paraId="2FA167C2"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«Большевик» с опозданием на 1</w:t>
      </w:r>
      <w:r w:rsidRPr="00A259BD">
        <w:rPr>
          <w:rFonts w:ascii="Times New Roman" w:hAnsi="Times New Roman"/>
          <w:color w:val="000000" w:themeColor="text1"/>
          <w:sz w:val="16"/>
          <w:szCs w:val="16"/>
        </w:rPr>
        <w:noBreakHyphen/>
        <w:t>2 месяца выполнит все свое задание; что же касается завода ММЗ, то опоздание будет месяцев на 8</w:t>
      </w:r>
      <w:r w:rsidRPr="00A259BD">
        <w:rPr>
          <w:rFonts w:ascii="Times New Roman" w:hAnsi="Times New Roman"/>
          <w:color w:val="000000" w:themeColor="text1"/>
          <w:sz w:val="16"/>
          <w:szCs w:val="16"/>
        </w:rPr>
        <w:noBreakHyphen/>
        <w:t>10. Первая машина с мотором завода «Большевик» будет готова в ноябре-декабре этого года; вся машина целиком вместе с мотором будет готова только в январе-феврале месяцах 1930 г. Причины невыполнения в срок задания по заводу «Большевик» объясняются следующим.</w:t>
      </w:r>
    </w:p>
    <w:p w14:paraId="5E163958"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новизной дела танкового производства при неустановившейся и меняющейся во время выполнения заказа конструкции Т</w:t>
      </w:r>
      <w:r w:rsidRPr="00A259BD">
        <w:rPr>
          <w:rFonts w:ascii="Times New Roman" w:hAnsi="Times New Roman"/>
          <w:color w:val="000000" w:themeColor="text1"/>
          <w:sz w:val="16"/>
          <w:szCs w:val="16"/>
        </w:rPr>
        <w:noBreakHyphen/>
        <w:t>18 по указанию АУ;</w:t>
      </w:r>
    </w:p>
    <w:p w14:paraId="15A2C3D5"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большой брак, обнаружившийся в процессе производства по алюминиевому литью, по стальному фасонному, по броне и по поковкам;</w:t>
      </w:r>
    </w:p>
    <w:p w14:paraId="203F7435"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позднее утверждение и получение технических условий на прием Т</w:t>
      </w:r>
      <w:r w:rsidRPr="00A259BD">
        <w:rPr>
          <w:rFonts w:ascii="Times New Roman" w:hAnsi="Times New Roman"/>
          <w:color w:val="000000" w:themeColor="text1"/>
          <w:sz w:val="16"/>
          <w:szCs w:val="16"/>
        </w:rPr>
        <w:noBreakHyphen/>
        <w:t>18 (технические условия утверждены АУ только 27 октября 1928 г.);</w:t>
      </w:r>
    </w:p>
    <w:p w14:paraId="3D59E713"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неувязки в снабжении как по импорту, так и на внутреннем рынке;</w:t>
      </w:r>
    </w:p>
    <w:p w14:paraId="3D02AB3B"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организационные неувязки производства, связанные с новизной танкостроения.</w:t>
      </w:r>
    </w:p>
    <w:p w14:paraId="2A6FBC6B"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же касается завода ММЗ, то, кроме вышеуказанных причин, следует еще указать на следующее: 1) отсутствие нормального и специального оборудования и инструмента; 2) отсутствие техперсонала, знакомого с моторостроением.</w:t>
      </w:r>
    </w:p>
    <w:p w14:paraId="1B9C2160"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 Строительство</w:t>
      </w:r>
    </w:p>
    <w:p w14:paraId="4FB924CF"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моторо-танко-тракторного производства на заводе «Большевик» строится специальный цех на «новых местах», площадь которого 18 тыс. м², и эта площадь будет построена в октябре-ноябре нынешнего года. В настоящее время изготовление танков и тракторов производится в </w:t>
      </w:r>
      <w:proofErr w:type="spellStart"/>
      <w:r w:rsidRPr="00A259BD">
        <w:rPr>
          <w:rFonts w:ascii="Times New Roman" w:hAnsi="Times New Roman"/>
          <w:color w:val="000000" w:themeColor="text1"/>
          <w:sz w:val="16"/>
          <w:szCs w:val="16"/>
        </w:rPr>
        <w:t>замочно</w:t>
      </w:r>
      <w:proofErr w:type="spellEnd"/>
      <w:r w:rsidRPr="00A259BD">
        <w:rPr>
          <w:rFonts w:ascii="Times New Roman" w:hAnsi="Times New Roman"/>
          <w:color w:val="000000" w:themeColor="text1"/>
          <w:sz w:val="16"/>
          <w:szCs w:val="16"/>
        </w:rPr>
        <w:t>-прицельном цехе (механическая обработка ходовой части), в пушечной мастерской (сборка) и в части готового помещения на «новых местах» (механическая обработка мотора).</w:t>
      </w:r>
    </w:p>
    <w:p w14:paraId="0CC5F73D"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заводе ММЗ постановка танкового производства производится в механической мастерской № 5, площадь которой 3910 м². В будущем при расширенной программе в 350 шт., кроме этого здания, специально для сборки машин придется еще приспособить и соседнюю мастерскую, быв. паровозосборочные, площадь которой около 300 м².</w:t>
      </w:r>
    </w:p>
    <w:p w14:paraId="21AA9111"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III. Оборудование</w:t>
      </w:r>
    </w:p>
    <w:p w14:paraId="278BEB9B"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Согласно </w:t>
      </w:r>
      <w:proofErr w:type="spellStart"/>
      <w:r w:rsidRPr="00A259BD">
        <w:rPr>
          <w:rFonts w:ascii="Times New Roman" w:hAnsi="Times New Roman"/>
          <w:color w:val="000000" w:themeColor="text1"/>
          <w:sz w:val="16"/>
          <w:szCs w:val="16"/>
        </w:rPr>
        <w:t>мобзаданию</w:t>
      </w:r>
      <w:proofErr w:type="spellEnd"/>
      <w:r w:rsidRPr="00A259BD">
        <w:rPr>
          <w:rFonts w:ascii="Times New Roman" w:hAnsi="Times New Roman"/>
          <w:color w:val="000000" w:themeColor="text1"/>
          <w:sz w:val="16"/>
          <w:szCs w:val="16"/>
        </w:rPr>
        <w:t xml:space="preserve"> по пятилетнему плану для завода «Большевик» выписывается по импорту в этом году последние 32 станка, инструмент и приборы для испытания мотора. Эти станки должны будут прибыть на завод «Большевик» в конце 1929 г. или же в начале 1930 г., и с прибытием этих станков можно считать, что цех для производства танков и тракторов будет окончательно оборудован на максимальную программу, т. е. в две 10</w:t>
      </w:r>
      <w:r w:rsidRPr="00A259BD">
        <w:rPr>
          <w:rFonts w:ascii="Times New Roman" w:hAnsi="Times New Roman"/>
          <w:color w:val="000000" w:themeColor="text1"/>
          <w:sz w:val="16"/>
          <w:szCs w:val="16"/>
        </w:rPr>
        <w:noBreakHyphen/>
        <w:t>часовые смены или же в три смены по 7 часов; в условиях военного времени цех должен будет изготовлять по 180 машин типа Т</w:t>
      </w:r>
      <w:r w:rsidRPr="00A259BD">
        <w:rPr>
          <w:rFonts w:ascii="Times New Roman" w:hAnsi="Times New Roman"/>
          <w:color w:val="000000" w:themeColor="text1"/>
          <w:sz w:val="16"/>
          <w:szCs w:val="16"/>
        </w:rPr>
        <w:noBreakHyphen/>
        <w:t>18 и 120 тракторов типа «</w:t>
      </w:r>
      <w:proofErr w:type="spellStart"/>
      <w:r w:rsidRPr="00A259BD">
        <w:rPr>
          <w:rFonts w:ascii="Times New Roman" w:hAnsi="Times New Roman"/>
          <w:color w:val="000000" w:themeColor="text1"/>
          <w:sz w:val="16"/>
          <w:szCs w:val="16"/>
        </w:rPr>
        <w:t>холт</w:t>
      </w:r>
      <w:proofErr w:type="spellEnd"/>
      <w:r w:rsidRPr="00A259BD">
        <w:rPr>
          <w:rFonts w:ascii="Times New Roman" w:hAnsi="Times New Roman"/>
          <w:color w:val="000000" w:themeColor="text1"/>
          <w:sz w:val="16"/>
          <w:szCs w:val="16"/>
        </w:rPr>
        <w:t>» в год. Всего станков в танко-тракторной мастерской в настоящее время работает 270 шт., из которых около 130 шт. станков прибыло из-за границы в последние два года.</w:t>
      </w:r>
    </w:p>
    <w:p w14:paraId="3DDA5627"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заводе ММЗ сейчас установлено для обработки деталей по Т</w:t>
      </w:r>
      <w:r w:rsidRPr="00A259BD">
        <w:rPr>
          <w:rFonts w:ascii="Times New Roman" w:hAnsi="Times New Roman"/>
          <w:color w:val="000000" w:themeColor="text1"/>
          <w:sz w:val="16"/>
          <w:szCs w:val="16"/>
        </w:rPr>
        <w:noBreakHyphen/>
        <w:t>18 59 станков, но из них только 11 станков новых, 7 станков имеют износ 25%, 23 станка — износ 50%, а остальные имеют износ до 75%. Таким образом, годных для точных работ есть только 18 станков.</w:t>
      </w:r>
    </w:p>
    <w:p w14:paraId="7C27DC86"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Сейчас по импорту заказано еще 28 станков, которые должны прибыть на завод в конце 1929 г. В 1929/30 г. предположено еще закупить по импорту около 100 станков, а остальные станки, число которых будет определено только после разработки технологического процесса, будут закуплены в 1930/31 производственном году.</w:t>
      </w:r>
    </w:p>
    <w:p w14:paraId="2043F007"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IV. Проработка технологического процесса</w:t>
      </w:r>
    </w:p>
    <w:p w14:paraId="695BED05"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Проработка технологического процесса по танкам и тракторам на заводе «Большевик» передана Гипромезу, который согласно договору с </w:t>
      </w:r>
      <w:proofErr w:type="spellStart"/>
      <w:r w:rsidRPr="00A259BD">
        <w:rPr>
          <w:rFonts w:ascii="Times New Roman" w:hAnsi="Times New Roman"/>
          <w:color w:val="000000" w:themeColor="text1"/>
          <w:sz w:val="16"/>
          <w:szCs w:val="16"/>
        </w:rPr>
        <w:t>Орудартрестом</w:t>
      </w:r>
      <w:proofErr w:type="spellEnd"/>
      <w:r w:rsidRPr="00A259BD">
        <w:rPr>
          <w:rFonts w:ascii="Times New Roman" w:hAnsi="Times New Roman"/>
          <w:color w:val="000000" w:themeColor="text1"/>
          <w:sz w:val="16"/>
          <w:szCs w:val="16"/>
        </w:rPr>
        <w:t xml:space="preserve"> от 16 июля 1929 г. должен передать весь разработанный технологический процесс к 1 января 1930 г. После получения от Гипромеза разработанного технологического процесса заводу нужно будет еще месяцев 6</w:t>
      </w:r>
      <w:r w:rsidRPr="00A259BD">
        <w:rPr>
          <w:rFonts w:ascii="Times New Roman" w:hAnsi="Times New Roman"/>
          <w:color w:val="000000" w:themeColor="text1"/>
          <w:sz w:val="16"/>
          <w:szCs w:val="16"/>
        </w:rPr>
        <w:noBreakHyphen/>
        <w:t>8 для установки оборудования согласно разработанной технической планировке, для «одевания» станков и для изготовления приспособлений и инструмента.</w:t>
      </w:r>
    </w:p>
    <w:p w14:paraId="06A0C6AA"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Таким образом, по разработанному Гипромезом технологическому процессу в мастерских на новых местах производство Т</w:t>
      </w:r>
      <w:r w:rsidRPr="00A259BD">
        <w:rPr>
          <w:rFonts w:ascii="Times New Roman" w:hAnsi="Times New Roman"/>
          <w:color w:val="000000" w:themeColor="text1"/>
          <w:sz w:val="16"/>
          <w:szCs w:val="16"/>
        </w:rPr>
        <w:noBreakHyphen/>
        <w:t>18 и тракторов можно начать только по заданию 1930/31 г.</w:t>
      </w:r>
    </w:p>
    <w:p w14:paraId="60F2262C"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ММЗ пока сам разрабатывает технологический процесс, но в будущем возможно, что его точно так же будет разрабатывать Гипромез, или же завод ММЗ воспользуется технологическим процессом завода «Большевик», переработав его по своему оборудованию и применительно специально к танкам.</w:t>
      </w:r>
    </w:p>
    <w:p w14:paraId="44AF4B96"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V. Снабжение</w:t>
      </w:r>
    </w:p>
    <w:p w14:paraId="13F39F06"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Полуфабрикаты (поковки, литье, фасонные отливки, броня) завод «Большевик» и завод ММЗ заготовляют в своих горячих цехах; недостающую же часть материалов закупают как на внутреннем рынке, также и за границей. За границей главным образом закупают электрооборудование (приборы для зажигания, электрический стартер, свечи, провода и т. п.), </w:t>
      </w:r>
      <w:proofErr w:type="spellStart"/>
      <w:r w:rsidRPr="00A259BD">
        <w:rPr>
          <w:rFonts w:ascii="Times New Roman" w:hAnsi="Times New Roman"/>
          <w:color w:val="000000" w:themeColor="text1"/>
          <w:sz w:val="16"/>
          <w:szCs w:val="16"/>
        </w:rPr>
        <w:t>шарико</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ролико</w:t>
      </w:r>
      <w:proofErr w:type="spellEnd"/>
      <w:r w:rsidRPr="00A259BD">
        <w:rPr>
          <w:rFonts w:ascii="Times New Roman" w:hAnsi="Times New Roman"/>
          <w:color w:val="000000" w:themeColor="text1"/>
          <w:sz w:val="16"/>
          <w:szCs w:val="16"/>
        </w:rPr>
        <w:t xml:space="preserve">-подшипники, карбюраторы, </w:t>
      </w:r>
      <w:proofErr w:type="spellStart"/>
      <w:r w:rsidRPr="00A259BD">
        <w:rPr>
          <w:rFonts w:ascii="Times New Roman" w:hAnsi="Times New Roman"/>
          <w:color w:val="000000" w:themeColor="text1"/>
          <w:sz w:val="16"/>
          <w:szCs w:val="16"/>
        </w:rPr>
        <w:t>феррадо</w:t>
      </w:r>
      <w:proofErr w:type="spellEnd"/>
      <w:r w:rsidRPr="00A259BD">
        <w:rPr>
          <w:rFonts w:ascii="Times New Roman" w:hAnsi="Times New Roman"/>
          <w:color w:val="000000" w:themeColor="text1"/>
          <w:sz w:val="16"/>
          <w:szCs w:val="16"/>
        </w:rPr>
        <w:t xml:space="preserve"> и др. В счет </w:t>
      </w:r>
      <w:proofErr w:type="spellStart"/>
      <w:r w:rsidRPr="00A259BD">
        <w:rPr>
          <w:rFonts w:ascii="Times New Roman" w:hAnsi="Times New Roman"/>
          <w:color w:val="000000" w:themeColor="text1"/>
          <w:sz w:val="16"/>
          <w:szCs w:val="16"/>
        </w:rPr>
        <w:t>имплана</w:t>
      </w:r>
      <w:proofErr w:type="spellEnd"/>
      <w:r w:rsidRPr="00A259BD">
        <w:rPr>
          <w:rFonts w:ascii="Times New Roman" w:hAnsi="Times New Roman"/>
          <w:color w:val="000000" w:themeColor="text1"/>
          <w:sz w:val="16"/>
          <w:szCs w:val="16"/>
        </w:rPr>
        <w:t xml:space="preserve"> 1928/29 г. заготовляется на 150 машин, из которых 25 комплектов для завода ММЗ, а остальные для завода «Большевик».</w:t>
      </w:r>
    </w:p>
    <w:p w14:paraId="04286161"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Согласно донесению </w:t>
      </w:r>
      <w:proofErr w:type="spellStart"/>
      <w:r w:rsidRPr="00A259BD">
        <w:rPr>
          <w:rFonts w:ascii="Times New Roman" w:hAnsi="Times New Roman"/>
          <w:color w:val="000000" w:themeColor="text1"/>
          <w:sz w:val="16"/>
          <w:szCs w:val="16"/>
        </w:rPr>
        <w:t>Госторга</w:t>
      </w:r>
      <w:proofErr w:type="spellEnd"/>
      <w:r w:rsidRPr="00A259BD">
        <w:rPr>
          <w:rFonts w:ascii="Times New Roman" w:hAnsi="Times New Roman"/>
          <w:color w:val="000000" w:themeColor="text1"/>
          <w:sz w:val="16"/>
          <w:szCs w:val="16"/>
        </w:rPr>
        <w:t xml:space="preserve">, который реализует эти заявки за границей, </w:t>
      </w:r>
      <w:proofErr w:type="spellStart"/>
      <w:r w:rsidRPr="00A259BD">
        <w:rPr>
          <w:rFonts w:ascii="Times New Roman" w:hAnsi="Times New Roman"/>
          <w:color w:val="000000" w:themeColor="text1"/>
          <w:sz w:val="16"/>
          <w:szCs w:val="16"/>
        </w:rPr>
        <w:t>имплан</w:t>
      </w:r>
      <w:proofErr w:type="spellEnd"/>
      <w:r w:rsidRPr="00A259BD">
        <w:rPr>
          <w:rFonts w:ascii="Times New Roman" w:hAnsi="Times New Roman"/>
          <w:color w:val="000000" w:themeColor="text1"/>
          <w:sz w:val="16"/>
          <w:szCs w:val="16"/>
        </w:rPr>
        <w:t xml:space="preserve"> полностью будет выполнен в течение 1928/29 г. и, таким образом, на этом участке как будто бы задержек не будет в этом году.</w:t>
      </w:r>
    </w:p>
    <w:p w14:paraId="1C2C828F"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же касается на будущее время, то нужно предусмотреть большую заготовку по импорту, так как в случае закрытия границы танки и тракторы могут остаться без электрооборудования и </w:t>
      </w:r>
      <w:proofErr w:type="spellStart"/>
      <w:r w:rsidRPr="00A259BD">
        <w:rPr>
          <w:rFonts w:ascii="Times New Roman" w:hAnsi="Times New Roman"/>
          <w:color w:val="000000" w:themeColor="text1"/>
          <w:sz w:val="16"/>
          <w:szCs w:val="16"/>
        </w:rPr>
        <w:t>феррадо</w:t>
      </w:r>
      <w:proofErr w:type="spellEnd"/>
      <w:r w:rsidRPr="00A259BD">
        <w:rPr>
          <w:rFonts w:ascii="Times New Roman" w:hAnsi="Times New Roman"/>
          <w:color w:val="000000" w:themeColor="text1"/>
          <w:sz w:val="16"/>
          <w:szCs w:val="16"/>
        </w:rPr>
        <w:t xml:space="preserve">, без </w:t>
      </w:r>
      <w:proofErr w:type="spellStart"/>
      <w:r w:rsidRPr="00A259BD">
        <w:rPr>
          <w:rFonts w:ascii="Times New Roman" w:hAnsi="Times New Roman"/>
          <w:color w:val="000000" w:themeColor="text1"/>
          <w:sz w:val="16"/>
          <w:szCs w:val="16"/>
        </w:rPr>
        <w:t>шарико</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ролико</w:t>
      </w:r>
      <w:proofErr w:type="spellEnd"/>
      <w:r w:rsidRPr="00A259BD">
        <w:rPr>
          <w:rFonts w:ascii="Times New Roman" w:hAnsi="Times New Roman"/>
          <w:color w:val="000000" w:themeColor="text1"/>
          <w:sz w:val="16"/>
          <w:szCs w:val="16"/>
        </w:rPr>
        <w:t>-подшипников, иначе говоря, заводы не смогут выпускать ни танков, ни тракторов, и по лит[ере] «С» импортными заготовками программа до сих пор не обеспечена. Импортные заготовки стоят на одну около 700 руб.¹*.</w:t>
      </w:r>
    </w:p>
    <w:p w14:paraId="729963E4"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касается полуфабрикатов, которые заводы изготовляют самостоятельно в своих горячих цехах, то завод «Большевик» вполне справился с этой задачей, и если в дальнейшем будут затруднения или же будет получаться большой брак, то эти затруднения и этот брак придется отнести за счет только плохих сырых материалов, что очень часто сейчас имеет место.</w:t>
      </w:r>
    </w:p>
    <w:p w14:paraId="019A07A9"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ММЗ с заготовкой полуфабрикатов еще окончательно вопроса не разрешил, и только месяца через 3</w:t>
      </w:r>
      <w:r w:rsidRPr="00A259BD">
        <w:rPr>
          <w:rFonts w:ascii="Times New Roman" w:hAnsi="Times New Roman"/>
          <w:color w:val="000000" w:themeColor="text1"/>
          <w:sz w:val="16"/>
          <w:szCs w:val="16"/>
        </w:rPr>
        <w:noBreakHyphen/>
        <w:t>4 можно будет ожидать окончательного положительного результата. Сейчас, например, есть еще 20 заготовок, в числе которых коленчатый вал, шатуны, цилиндры и т. п., с которыми завод ММЗ еще не справился.</w:t>
      </w:r>
    </w:p>
    <w:p w14:paraId="0D248C2E"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VI. Рабочая сила</w:t>
      </w:r>
    </w:p>
    <w:p w14:paraId="4E227383"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rPr>
        <w:t>На заводе «Большевик» уже сформировался основной кадр руководящего технического персонала как по горячей обработке металла, так и по холодной. Сейчас требуется только в связи с расширением производства усилить технический персонал. Что же касается рабочей силы, то здесь дело обстоит не совсем благополучно, и очень часто трудно бывает найти рабочих требуемой квалификации, знакомых с этой отраслью промышленности.</w:t>
      </w:r>
    </w:p>
    <w:p w14:paraId="1AB653C7"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rPr>
        <w:t>На заводе же ММЗ с инженерно-техническим персоналом дело обстоит очень плохо, так же плохо обстоит дело и с рабочей силой. По холодной обработке имеется только всего 2 инженера, а нужно, по крайней мере, человек 10</w:t>
      </w:r>
      <w:r w:rsidRPr="00A259BD">
        <w:rPr>
          <w:color w:val="000000" w:themeColor="text1"/>
          <w:sz w:val="16"/>
          <w:szCs w:val="16"/>
        </w:rPr>
        <w:noBreakHyphen/>
        <w:t>12; во второй смене работает только 6 чел., а нужно 20 рабочих. Завод не может выделить из других производств технический персонал и рабочих, а на рынке труда найти очень трудно²*.</w:t>
      </w:r>
    </w:p>
    <w:p w14:paraId="5FB8B9BB" w14:textId="77777777" w:rsidR="001C166D" w:rsidRPr="00A259BD" w:rsidRDefault="001C166D" w:rsidP="009236E3">
      <w:pPr>
        <w:pStyle w:val="ae"/>
        <w:spacing w:before="0" w:after="0"/>
        <w:jc w:val="both"/>
        <w:rPr>
          <w:color w:val="000000" w:themeColor="text1"/>
          <w:sz w:val="16"/>
          <w:szCs w:val="16"/>
        </w:rPr>
      </w:pPr>
      <w:proofErr w:type="spellStart"/>
      <w:r w:rsidRPr="00A259BD">
        <w:rPr>
          <w:rStyle w:val="af0"/>
          <w:i w:val="0"/>
          <w:color w:val="000000" w:themeColor="text1"/>
          <w:sz w:val="16"/>
          <w:szCs w:val="16"/>
        </w:rPr>
        <w:t>Чл</w:t>
      </w:r>
      <w:proofErr w:type="spellEnd"/>
      <w:r w:rsidRPr="00A259BD">
        <w:rPr>
          <w:rStyle w:val="af0"/>
          <w:i w:val="0"/>
          <w:color w:val="000000" w:themeColor="text1"/>
          <w:sz w:val="16"/>
          <w:szCs w:val="16"/>
        </w:rPr>
        <w:t>[</w:t>
      </w:r>
      <w:proofErr w:type="spellStart"/>
      <w:r w:rsidRPr="00A259BD">
        <w:rPr>
          <w:rStyle w:val="af0"/>
          <w:i w:val="0"/>
          <w:color w:val="000000" w:themeColor="text1"/>
          <w:sz w:val="16"/>
          <w:szCs w:val="16"/>
        </w:rPr>
        <w:t>ен</w:t>
      </w:r>
      <w:proofErr w:type="spellEnd"/>
      <w:r w:rsidRPr="00A259BD">
        <w:rPr>
          <w:rStyle w:val="af0"/>
          <w:i w:val="0"/>
          <w:color w:val="000000" w:themeColor="text1"/>
          <w:sz w:val="16"/>
          <w:szCs w:val="16"/>
        </w:rPr>
        <w:t>]</w:t>
      </w:r>
      <w:proofErr w:type="spellStart"/>
      <w:r w:rsidRPr="00A259BD">
        <w:rPr>
          <w:rStyle w:val="af0"/>
          <w:i w:val="0"/>
          <w:color w:val="000000" w:themeColor="text1"/>
          <w:sz w:val="16"/>
          <w:szCs w:val="16"/>
        </w:rPr>
        <w:t>пр</w:t>
      </w:r>
      <w:proofErr w:type="spellEnd"/>
      <w:r w:rsidRPr="00A259BD">
        <w:rPr>
          <w:rStyle w:val="af0"/>
          <w:i w:val="0"/>
          <w:color w:val="000000" w:themeColor="text1"/>
          <w:sz w:val="16"/>
          <w:szCs w:val="16"/>
        </w:rPr>
        <w:t>[</w:t>
      </w:r>
      <w:proofErr w:type="spellStart"/>
      <w:r w:rsidRPr="00A259BD">
        <w:rPr>
          <w:rStyle w:val="af0"/>
          <w:i w:val="0"/>
          <w:color w:val="000000" w:themeColor="text1"/>
          <w:sz w:val="16"/>
          <w:szCs w:val="16"/>
        </w:rPr>
        <w:t>авления</w:t>
      </w:r>
      <w:proofErr w:type="spellEnd"/>
      <w:r w:rsidRPr="00A259BD">
        <w:rPr>
          <w:rStyle w:val="af0"/>
          <w:i w:val="0"/>
          <w:color w:val="000000" w:themeColor="text1"/>
          <w:sz w:val="16"/>
          <w:szCs w:val="16"/>
        </w:rPr>
        <w:t xml:space="preserve">] ОАТ </w:t>
      </w:r>
      <w:proofErr w:type="spellStart"/>
      <w:r w:rsidRPr="00A259BD">
        <w:rPr>
          <w:rStyle w:val="af0"/>
          <w:i w:val="0"/>
          <w:color w:val="000000" w:themeColor="text1"/>
          <w:sz w:val="16"/>
          <w:szCs w:val="16"/>
        </w:rPr>
        <w:t>Моишеев</w:t>
      </w:r>
      <w:proofErr w:type="spellEnd"/>
    </w:p>
    <w:p w14:paraId="4CBA1CDD" w14:textId="77777777" w:rsidR="001C166D" w:rsidRPr="00A259BD" w:rsidRDefault="001C166D"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p>
    <w:p w14:paraId="1AF233A3"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1. Карбюраторы заводы в будущем смогут сами изготовлять. 2. </w:t>
      </w:r>
      <w:proofErr w:type="spellStart"/>
      <w:r w:rsidRPr="00A259BD">
        <w:rPr>
          <w:color w:val="000000" w:themeColor="text1"/>
          <w:sz w:val="16"/>
          <w:szCs w:val="16"/>
        </w:rPr>
        <w:t>Шарико</w:t>
      </w:r>
      <w:proofErr w:type="spellEnd"/>
      <w:r w:rsidRPr="00A259BD">
        <w:rPr>
          <w:color w:val="000000" w:themeColor="text1"/>
          <w:sz w:val="16"/>
          <w:szCs w:val="16"/>
        </w:rPr>
        <w:t xml:space="preserve">-роликовые подшипники будут изготовляться в будущем на специальном заводе в СССР (проектируемый завод </w:t>
      </w:r>
      <w:proofErr w:type="spellStart"/>
      <w:r w:rsidRPr="00A259BD">
        <w:rPr>
          <w:color w:val="000000" w:themeColor="text1"/>
          <w:sz w:val="16"/>
          <w:szCs w:val="16"/>
        </w:rPr>
        <w:t>Главмашстроя</w:t>
      </w:r>
      <w:proofErr w:type="spellEnd"/>
      <w:r w:rsidRPr="00A259BD">
        <w:rPr>
          <w:color w:val="000000" w:themeColor="text1"/>
          <w:sz w:val="16"/>
          <w:szCs w:val="16"/>
        </w:rPr>
        <w:t xml:space="preserve">). 3. Свечи будут в ближайшем будущем изготовлены на Трубочном заводе в Ленинграде. 4. Магнето в будущем будут изготовляться на заводе </w:t>
      </w:r>
      <w:proofErr w:type="spellStart"/>
      <w:r w:rsidRPr="00A259BD">
        <w:rPr>
          <w:color w:val="000000" w:themeColor="text1"/>
          <w:sz w:val="16"/>
          <w:szCs w:val="16"/>
        </w:rPr>
        <w:t>Главэлектро</w:t>
      </w:r>
      <w:proofErr w:type="spellEnd"/>
      <w:r w:rsidRPr="00A259BD">
        <w:rPr>
          <w:color w:val="000000" w:themeColor="text1"/>
          <w:sz w:val="16"/>
          <w:szCs w:val="16"/>
        </w:rPr>
        <w:t xml:space="preserve"> (</w:t>
      </w:r>
      <w:r w:rsidRPr="00A259BD">
        <w:rPr>
          <w:rStyle w:val="af0"/>
          <w:i w:val="0"/>
          <w:color w:val="000000" w:themeColor="text1"/>
          <w:sz w:val="16"/>
          <w:szCs w:val="16"/>
        </w:rPr>
        <w:t>Прим. док</w:t>
      </w:r>
      <w:r w:rsidRPr="00A259BD">
        <w:rPr>
          <w:color w:val="000000" w:themeColor="text1"/>
          <w:sz w:val="16"/>
          <w:szCs w:val="16"/>
        </w:rPr>
        <w:t>.).</w:t>
      </w:r>
    </w:p>
    <w:p w14:paraId="58B3B686"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xml:space="preserve">* Далее опущены разделы, касающиеся динамики себестоимости, готовности к </w:t>
      </w:r>
      <w:proofErr w:type="spellStart"/>
      <w:r w:rsidRPr="00A259BD">
        <w:rPr>
          <w:color w:val="000000" w:themeColor="text1"/>
          <w:sz w:val="16"/>
          <w:szCs w:val="16"/>
        </w:rPr>
        <w:t>мобзаданию</w:t>
      </w:r>
      <w:proofErr w:type="spellEnd"/>
      <w:r w:rsidRPr="00A259BD">
        <w:rPr>
          <w:color w:val="000000" w:themeColor="text1"/>
          <w:sz w:val="16"/>
          <w:szCs w:val="16"/>
        </w:rPr>
        <w:t>, перспектив по пятилетке, необходимых кредитах и заключение.</w:t>
      </w:r>
    </w:p>
    <w:p w14:paraId="016E295F"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rPr>
        <w:t>РГАЭ. Ф. 2097. Оп. 1. Д. 1073. Л. 9—10 об. Подлинник.</w:t>
      </w:r>
    </w:p>
    <w:p w14:paraId="7A35CA32"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2097. Оп. 1. Д. 1073. Л. 9—10 об. Подлинник. </w:t>
      </w:r>
    </w:p>
    <w:p w14:paraId="7C9AD234" w14:textId="77777777" w:rsidR="001C166D" w:rsidRPr="00A259BD" w:rsidRDefault="001C166D" w:rsidP="009236E3">
      <w:pPr>
        <w:spacing w:after="0" w:line="240" w:lineRule="auto"/>
        <w:jc w:val="both"/>
        <w:rPr>
          <w:rFonts w:ascii="Times New Roman" w:hAnsi="Times New Roman"/>
          <w:color w:val="000000" w:themeColor="text1"/>
          <w:sz w:val="16"/>
          <w:szCs w:val="16"/>
          <w:lang w:val="en-US"/>
        </w:rPr>
      </w:pPr>
      <w:r w:rsidRPr="00A259BD">
        <w:rPr>
          <w:rFonts w:ascii="Times New Roman" w:hAnsi="Times New Roman"/>
          <w:color w:val="000000" w:themeColor="text1"/>
          <w:sz w:val="16"/>
          <w:szCs w:val="16"/>
        </w:rPr>
        <w:t>Источник: Становление оборонно-промышленного комплекса СССР (1927-1932). М</w:t>
      </w:r>
      <w:r w:rsidRPr="00A259BD">
        <w:rPr>
          <w:rFonts w:ascii="Times New Roman" w:hAnsi="Times New Roman"/>
          <w:color w:val="000000" w:themeColor="text1"/>
          <w:sz w:val="16"/>
          <w:szCs w:val="16"/>
          <w:lang w:val="en-US"/>
        </w:rPr>
        <w:t xml:space="preserve">. 2008, </w:t>
      </w:r>
      <w:proofErr w:type="spellStart"/>
      <w:r w:rsidRPr="00A259BD">
        <w:rPr>
          <w:rFonts w:ascii="Times New Roman" w:hAnsi="Times New Roman"/>
          <w:color w:val="000000" w:themeColor="text1"/>
          <w:sz w:val="16"/>
          <w:szCs w:val="16"/>
        </w:rPr>
        <w:t>стр</w:t>
      </w:r>
      <w:proofErr w:type="spellEnd"/>
      <w:r w:rsidRPr="00A259BD">
        <w:rPr>
          <w:rFonts w:ascii="Times New Roman" w:hAnsi="Times New Roman"/>
          <w:color w:val="000000" w:themeColor="text1"/>
          <w:sz w:val="16"/>
          <w:szCs w:val="16"/>
          <w:lang w:val="en-US"/>
        </w:rPr>
        <w:t>. 358-361 (12465).</w:t>
      </w:r>
    </w:p>
    <w:p w14:paraId="5A7F0BCD" w14:textId="77777777" w:rsidR="001C166D" w:rsidRPr="00A259BD" w:rsidRDefault="001C166D" w:rsidP="009236E3">
      <w:pPr>
        <w:spacing w:after="0" w:line="240" w:lineRule="auto"/>
        <w:jc w:val="both"/>
        <w:rPr>
          <w:rFonts w:ascii="Times New Roman" w:hAnsi="Times New Roman"/>
          <w:color w:val="000000" w:themeColor="text1"/>
          <w:sz w:val="16"/>
          <w:szCs w:val="16"/>
          <w:lang w:val="en-US"/>
        </w:rPr>
      </w:pPr>
    </w:p>
    <w:p w14:paraId="56F49B80"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lang w:val="en-US"/>
        </w:rPr>
      </w:pPr>
      <w:r w:rsidRPr="00A259BD">
        <w:rPr>
          <w:rFonts w:ascii="Times New Roman" w:hAnsi="Times New Roman"/>
          <w:i/>
          <w:iCs/>
          <w:color w:val="000000" w:themeColor="text1"/>
          <w:sz w:val="16"/>
          <w:szCs w:val="16"/>
        </w:rPr>
        <w:t>За</w:t>
      </w:r>
      <w:r w:rsidRPr="00A259BD">
        <w:rPr>
          <w:rFonts w:ascii="Times New Roman" w:hAnsi="Times New Roman"/>
          <w:i/>
          <w:iCs/>
          <w:color w:val="000000" w:themeColor="text1"/>
          <w:sz w:val="16"/>
          <w:szCs w:val="16"/>
          <w:lang w:val="en-US"/>
        </w:rPr>
        <w:t xml:space="preserve"> </w:t>
      </w:r>
      <w:r w:rsidRPr="00A259BD">
        <w:rPr>
          <w:rFonts w:ascii="Times New Roman" w:hAnsi="Times New Roman"/>
          <w:i/>
          <w:iCs/>
          <w:color w:val="000000" w:themeColor="text1"/>
          <w:sz w:val="16"/>
          <w:szCs w:val="16"/>
        </w:rPr>
        <w:t>рубежом</w:t>
      </w:r>
      <w:r w:rsidRPr="00A259BD">
        <w:rPr>
          <w:rFonts w:ascii="Times New Roman" w:hAnsi="Times New Roman"/>
          <w:i/>
          <w:iCs/>
          <w:color w:val="000000" w:themeColor="text1"/>
          <w:sz w:val="16"/>
          <w:szCs w:val="16"/>
          <w:lang w:val="en-US"/>
        </w:rPr>
        <w:t>:</w:t>
      </w:r>
    </w:p>
    <w:p w14:paraId="00FE6A2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3B3AF5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r w:rsidRPr="00A259BD">
        <w:rPr>
          <w:rFonts w:ascii="Times New Roman" w:hAnsi="Times New Roman"/>
          <w:color w:val="000000" w:themeColor="text1"/>
          <w:sz w:val="16"/>
          <w:szCs w:val="16"/>
          <w:lang w:val="en-US"/>
        </w:rPr>
        <w:t>September 24, 1929. Lt. James H. Doolittle makes the first blind, all-instrument flight (1089).</w:t>
      </w:r>
    </w:p>
    <w:p w14:paraId="5FF52D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p>
    <w:p w14:paraId="5BE896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сентября 1929 Дулитл выполнил полностью слепой полет (1089).</w:t>
      </w:r>
    </w:p>
    <w:p w14:paraId="04E893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719755" w14:textId="77777777" w:rsidR="00E36401" w:rsidRPr="00A259BD" w:rsidRDefault="00E36401" w:rsidP="009236E3">
      <w:pPr>
        <w:spacing w:after="0" w:line="240" w:lineRule="auto"/>
        <w:jc w:val="both"/>
        <w:rPr>
          <w:rStyle w:val="ucoz-forum-post"/>
          <w:rFonts w:ascii="Times New Roman" w:eastAsiaTheme="majorEastAsia"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24 сентября 1929 года</w:t>
      </w:r>
      <w:r w:rsidRPr="00A259BD">
        <w:rPr>
          <w:rStyle w:val="ucoz-forum-post"/>
          <w:rFonts w:ascii="Times New Roman" w:eastAsiaTheme="majorEastAsia" w:hAnsi="Times New Roman"/>
          <w:color w:val="000000" w:themeColor="text1"/>
          <w:sz w:val="16"/>
          <w:szCs w:val="16"/>
        </w:rPr>
        <w:t xml:space="preserve"> Первый полёт без визуальной ориентировки. Джеймс Дулитл (США) совершил демонстрационный слепой полет (взлет, развороты над аэродромом и посадка без визуальной ориентировки) с использованием только бортовых приборов и сигналов радиомаяка; Демонстрационный слепой полёт с использованием только бортовых приборов и сигналов радиомаяка, без визуальной ориентировки выполнен над Митчел Филд, Лонг Айленд. Полет выполнялся в переоборудованном самолете </w:t>
      </w:r>
      <w:proofErr w:type="spellStart"/>
      <w:r w:rsidRPr="00A259BD">
        <w:rPr>
          <w:rStyle w:val="ucoz-forum-post"/>
          <w:rFonts w:ascii="Times New Roman" w:eastAsiaTheme="majorEastAsia" w:hAnsi="Times New Roman"/>
          <w:color w:val="000000" w:themeColor="text1"/>
          <w:sz w:val="16"/>
          <w:szCs w:val="16"/>
        </w:rPr>
        <w:t>Consolidated</w:t>
      </w:r>
      <w:proofErr w:type="spellEnd"/>
      <w:r w:rsidRPr="00A259BD">
        <w:rPr>
          <w:rStyle w:val="ucoz-forum-post"/>
          <w:rFonts w:ascii="Times New Roman" w:eastAsiaTheme="majorEastAsia" w:hAnsi="Times New Roman"/>
          <w:color w:val="000000" w:themeColor="text1"/>
          <w:sz w:val="16"/>
          <w:szCs w:val="16"/>
        </w:rPr>
        <w:t xml:space="preserve"> NY-2 </w:t>
      </w:r>
      <w:proofErr w:type="spellStart"/>
      <w:r w:rsidRPr="00A259BD">
        <w:rPr>
          <w:rStyle w:val="ucoz-forum-post"/>
          <w:rFonts w:ascii="Times New Roman" w:eastAsiaTheme="majorEastAsia" w:hAnsi="Times New Roman"/>
          <w:color w:val="000000" w:themeColor="text1"/>
          <w:sz w:val="16"/>
          <w:szCs w:val="16"/>
        </w:rPr>
        <w:t>Husky</w:t>
      </w:r>
      <w:proofErr w:type="spellEnd"/>
      <w:r w:rsidRPr="00A259BD">
        <w:rPr>
          <w:rStyle w:val="ucoz-forum-post"/>
          <w:rFonts w:ascii="Times New Roman" w:eastAsiaTheme="majorEastAsia" w:hAnsi="Times New Roman"/>
          <w:color w:val="000000" w:themeColor="text1"/>
          <w:sz w:val="16"/>
          <w:szCs w:val="16"/>
        </w:rPr>
        <w:t xml:space="preserve"> под контролем второго пилота (14779).</w:t>
      </w:r>
    </w:p>
    <w:p w14:paraId="45C79589" w14:textId="77777777" w:rsidR="00E36401" w:rsidRPr="00A259BD" w:rsidRDefault="00E36401" w:rsidP="009236E3">
      <w:pPr>
        <w:spacing w:after="0" w:line="240" w:lineRule="auto"/>
        <w:jc w:val="both"/>
        <w:rPr>
          <w:rStyle w:val="ucoz-forum-post"/>
          <w:rFonts w:ascii="Times New Roman" w:eastAsiaTheme="majorEastAsia" w:hAnsi="Times New Roman"/>
          <w:color w:val="000000" w:themeColor="text1"/>
          <w:sz w:val="16"/>
          <w:szCs w:val="16"/>
        </w:rPr>
      </w:pPr>
    </w:p>
    <w:p w14:paraId="14C073B3" w14:textId="77777777" w:rsidR="00E36401" w:rsidRPr="00A259BD" w:rsidRDefault="00E36401"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 xml:space="preserve">24 сентября </w:t>
      </w:r>
      <w:r w:rsidRPr="00A259BD">
        <w:rPr>
          <w:rFonts w:ascii="Times New Roman" w:hAnsi="Times New Roman"/>
          <w:color w:val="000000" w:themeColor="text1"/>
          <w:sz w:val="16"/>
          <w:szCs w:val="16"/>
        </w:rPr>
        <w:t xml:space="preserve">в 1929 году первый полёт без визуальной ориентировки. </w:t>
      </w:r>
      <w:proofErr w:type="spellStart"/>
      <w:r w:rsidRPr="00A259BD">
        <w:rPr>
          <w:rFonts w:ascii="Times New Roman" w:hAnsi="Times New Roman"/>
          <w:color w:val="000000" w:themeColor="text1"/>
          <w:sz w:val="16"/>
          <w:szCs w:val="16"/>
        </w:rPr>
        <w:t>Дж.Дулитл</w:t>
      </w:r>
      <w:proofErr w:type="spellEnd"/>
      <w:r w:rsidRPr="00A259BD">
        <w:rPr>
          <w:rFonts w:ascii="Times New Roman" w:hAnsi="Times New Roman"/>
          <w:color w:val="000000" w:themeColor="text1"/>
          <w:sz w:val="16"/>
          <w:szCs w:val="16"/>
        </w:rPr>
        <w:t xml:space="preserve"> (США) совершил демонстрационный слепой полет (взлет, развороты над аэродромом и посадка) с использованием только бортовых приборов и сигналов радиомаяка (14779).</w:t>
      </w:r>
    </w:p>
    <w:p w14:paraId="36236615" w14:textId="77777777" w:rsidR="00E36401" w:rsidRPr="00A259BD" w:rsidRDefault="00E36401" w:rsidP="009236E3">
      <w:pPr>
        <w:spacing w:after="0" w:line="240" w:lineRule="auto"/>
        <w:jc w:val="both"/>
        <w:rPr>
          <w:rFonts w:ascii="Times New Roman" w:hAnsi="Times New Roman"/>
          <w:color w:val="000000" w:themeColor="text1"/>
          <w:sz w:val="16"/>
          <w:szCs w:val="16"/>
        </w:rPr>
      </w:pPr>
    </w:p>
    <w:p w14:paraId="20861FD3" w14:textId="77777777" w:rsidR="001E7B21" w:rsidRPr="00A259BD" w:rsidRDefault="001E7B2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сентября 1929 лейтенант авиакорпуса армии США Джимми Дулиттл совершает слепой взлет, полет и посадку (20806).</w:t>
      </w:r>
    </w:p>
    <w:p w14:paraId="547F9E32" w14:textId="77777777" w:rsidR="001E7B21" w:rsidRPr="00A259BD" w:rsidRDefault="001E7B21" w:rsidP="009236E3">
      <w:pPr>
        <w:spacing w:after="0" w:line="240" w:lineRule="auto"/>
        <w:jc w:val="both"/>
        <w:rPr>
          <w:rFonts w:ascii="Times New Roman" w:hAnsi="Times New Roman"/>
          <w:color w:val="000000" w:themeColor="text1"/>
          <w:sz w:val="16"/>
          <w:szCs w:val="16"/>
        </w:rPr>
      </w:pPr>
    </w:p>
    <w:p w14:paraId="3EE4B503" w14:textId="77777777" w:rsidR="001E7B21" w:rsidRPr="00A259BD" w:rsidRDefault="001E7B2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сентября 1929 - Джеймс Х. Дулиттл, лейтенант армейской авиации США, на самолёте </w:t>
      </w:r>
      <w:proofErr w:type="spellStart"/>
      <w:r w:rsidRPr="00A259BD">
        <w:rPr>
          <w:rFonts w:ascii="Times New Roman" w:hAnsi="Times New Roman"/>
          <w:color w:val="000000" w:themeColor="text1"/>
          <w:sz w:val="16"/>
          <w:szCs w:val="16"/>
        </w:rPr>
        <w:t>Consolidated</w:t>
      </w:r>
      <w:proofErr w:type="spellEnd"/>
      <w:r w:rsidRPr="00A259BD">
        <w:rPr>
          <w:rFonts w:ascii="Times New Roman" w:hAnsi="Times New Roman"/>
          <w:color w:val="000000" w:themeColor="text1"/>
          <w:sz w:val="16"/>
          <w:szCs w:val="16"/>
        </w:rPr>
        <w:t xml:space="preserve"> NY-2 впервые в истории авиации осуществил полностью слепой взлёт и посадку. Весь полёт происходит исключительно по приборам (22356).</w:t>
      </w:r>
    </w:p>
    <w:p w14:paraId="67010D8D" w14:textId="77777777" w:rsidR="001E7B21" w:rsidRPr="00A259BD" w:rsidRDefault="001E7B21" w:rsidP="009236E3">
      <w:pPr>
        <w:spacing w:after="0" w:line="240" w:lineRule="auto"/>
        <w:jc w:val="both"/>
        <w:rPr>
          <w:rFonts w:ascii="Times New Roman" w:hAnsi="Times New Roman"/>
          <w:color w:val="000000" w:themeColor="text1"/>
          <w:sz w:val="16"/>
          <w:szCs w:val="16"/>
        </w:rPr>
      </w:pPr>
    </w:p>
    <w:p w14:paraId="070FF51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A3B504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8449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сентября 1929 </w:t>
      </w:r>
      <w:proofErr w:type="spellStart"/>
      <w:r w:rsidRPr="00A259BD">
        <w:rPr>
          <w:rFonts w:ascii="Times New Roman" w:hAnsi="Times New Roman"/>
          <w:color w:val="000000" w:themeColor="text1"/>
          <w:sz w:val="16"/>
          <w:szCs w:val="16"/>
        </w:rPr>
        <w:t>Л.Прандтль</w:t>
      </w:r>
      <w:proofErr w:type="spellEnd"/>
      <w:r w:rsidRPr="00A259BD">
        <w:rPr>
          <w:rFonts w:ascii="Times New Roman" w:hAnsi="Times New Roman"/>
          <w:color w:val="000000" w:themeColor="text1"/>
          <w:sz w:val="16"/>
          <w:szCs w:val="16"/>
        </w:rPr>
        <w:t xml:space="preserve"> посетил ЦАГИ (273,289).</w:t>
      </w:r>
    </w:p>
    <w:p w14:paraId="0E096D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A92A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Утром 24-го сентября 1929 удалось стартовать на АНТ-4 Страна Советов с о. </w:t>
      </w:r>
      <w:proofErr w:type="spellStart"/>
      <w:r w:rsidRPr="00A259BD">
        <w:rPr>
          <w:rFonts w:ascii="Times New Roman" w:hAnsi="Times New Roman"/>
          <w:color w:val="000000" w:themeColor="text1"/>
          <w:sz w:val="16"/>
          <w:szCs w:val="16"/>
        </w:rPr>
        <w:t>Атту</w:t>
      </w:r>
      <w:proofErr w:type="spellEnd"/>
      <w:r w:rsidRPr="00A259BD">
        <w:rPr>
          <w:rFonts w:ascii="Times New Roman" w:hAnsi="Times New Roman"/>
          <w:color w:val="000000" w:themeColor="text1"/>
          <w:sz w:val="16"/>
          <w:szCs w:val="16"/>
        </w:rPr>
        <w:t>. Пришел тайфун и лететь пришлось навстречу шквалистому ветру. Очередной участок пути длиной 1450 км прошли всего за 7 ч и совершили посадку в бухте Датч-Харбор на о. Уналашка. Здесь советский самолет встретил американский крейсер “</w:t>
      </w:r>
      <w:proofErr w:type="spellStart"/>
      <w:r w:rsidRPr="00A259BD">
        <w:rPr>
          <w:rFonts w:ascii="Times New Roman" w:hAnsi="Times New Roman"/>
          <w:color w:val="000000" w:themeColor="text1"/>
          <w:sz w:val="16"/>
          <w:szCs w:val="16"/>
        </w:rPr>
        <w:t>Челен</w:t>
      </w:r>
      <w:proofErr w:type="spellEnd"/>
      <w:r w:rsidRPr="00A259BD">
        <w:rPr>
          <w:rFonts w:ascii="Times New Roman" w:hAnsi="Times New Roman"/>
          <w:color w:val="000000" w:themeColor="text1"/>
          <w:sz w:val="16"/>
          <w:szCs w:val="16"/>
        </w:rPr>
        <w:t>” (11286).</w:t>
      </w:r>
    </w:p>
    <w:p w14:paraId="66D99C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55E6C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B82C83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348C09A"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сентября 1929 г. — Письмо начальника Военно-воздушных сил РККА П. И. Баранова первому секретарю Московского комитета ВКП(б) К. Я. Бауману о развитии авиапромышленности в СССР и работе завода № 1</w:t>
      </w:r>
    </w:p>
    <w:p w14:paraId="091191C4"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Совершенно секретно.</w:t>
      </w:r>
    </w:p>
    <w:p w14:paraId="0211BA10"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Вашему запросу и письму ячейки завода № 1, адресованному Вам и мне о положении на заводе, сообщаю следующее: наша молодая авиапромышленность, по существу создавшаяся с 1921 г., выросла и воспиталась на производстве самолетов типа Р</w:t>
      </w:r>
      <w:r w:rsidRPr="00A259BD">
        <w:rPr>
          <w:rFonts w:ascii="Times New Roman" w:hAnsi="Times New Roman"/>
          <w:color w:val="000000" w:themeColor="text1"/>
          <w:sz w:val="16"/>
          <w:szCs w:val="16"/>
        </w:rPr>
        <w:noBreakHyphen/>
        <w:t>1 (разведчик), У</w:t>
      </w:r>
      <w:r w:rsidRPr="00A259BD">
        <w:rPr>
          <w:rFonts w:ascii="Times New Roman" w:hAnsi="Times New Roman"/>
          <w:color w:val="000000" w:themeColor="text1"/>
          <w:sz w:val="16"/>
          <w:szCs w:val="16"/>
        </w:rPr>
        <w:noBreakHyphen/>
        <w:t>1 (учебный) и моторов М</w:t>
      </w:r>
      <w:r w:rsidRPr="00A259BD">
        <w:rPr>
          <w:rFonts w:ascii="Times New Roman" w:hAnsi="Times New Roman"/>
          <w:color w:val="000000" w:themeColor="text1"/>
          <w:sz w:val="16"/>
          <w:szCs w:val="16"/>
        </w:rPr>
        <w:noBreakHyphen/>
        <w:t>5, М</w:t>
      </w:r>
      <w:r w:rsidRPr="00A259BD">
        <w:rPr>
          <w:rFonts w:ascii="Times New Roman" w:hAnsi="Times New Roman"/>
          <w:color w:val="000000" w:themeColor="text1"/>
          <w:sz w:val="16"/>
          <w:szCs w:val="16"/>
        </w:rPr>
        <w:noBreakHyphen/>
        <w:t>6 и М</w:t>
      </w:r>
      <w:r w:rsidRPr="00A259BD">
        <w:rPr>
          <w:rFonts w:ascii="Times New Roman" w:hAnsi="Times New Roman"/>
          <w:color w:val="000000" w:themeColor="text1"/>
          <w:sz w:val="16"/>
          <w:szCs w:val="16"/>
        </w:rPr>
        <w:noBreakHyphen/>
        <w:t>2. Как самолеты, так и моторы эти были ею скопированы с заграничных образцов; на постановку их производства промышленность затратила уже 8 лет, и тем не менее даже и теперь сплошь и рядом имеют место срывы производства и постоянные требования промышленности на снижение кондиций. Происходит это оттого, что самолет и авиационный мотор — последнее слово мировой техники, от которой мы отстали; они являются конструкциями чрезвычайно сложными и все еще не вполне изученными, в некоторых случаях своей работы поддающиеся лишь приблизительному расчету. В то же время необходимость максимальной экономии в весе, наряду с необходимостью получения громадных мощностей — громадных напряжений конструкции, — приводит к тому, что точность производственного исполнения, наряду с конструкцией, получает существеннейшее значение.</w:t>
      </w:r>
    </w:p>
    <w:p w14:paraId="7D1BB194"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наших условиях отсутствия достаточного опыта у конструкторов, вызывающего чрезвычайно длительный период конструирования машины и наличие конструктивных дефектов в построенных образцах, в условиях отсутствия навыка и достаточной гибкости у авиапромышленности как по осуществлению первых образцов, так и по быстрому внедрению их в серийное производство, от задания на проектировку необходимого для воздушного флота типа самолета до его осуществления в виде образца, а затем выпуска его промышленностью на снабжение проходит, как показала практика, 3</w:t>
      </w:r>
      <w:r w:rsidRPr="00A259BD">
        <w:rPr>
          <w:rFonts w:ascii="Times New Roman" w:hAnsi="Times New Roman"/>
          <w:color w:val="000000" w:themeColor="text1"/>
          <w:sz w:val="16"/>
          <w:szCs w:val="16"/>
        </w:rPr>
        <w:noBreakHyphen/>
        <w:t>4 года. В условиях темпа развития военной авиации срок совершенно неприемлемый. В этих условиях проектируемый самолет, теоретические данные которого позволяли его считать пригодным для вооружения, устаревает уже ко времени выхода его из производства и в лучшем случае может быть использован лишь для тренировки летного состава.</w:t>
      </w:r>
    </w:p>
    <w:p w14:paraId="2A787CB2"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последние два года авиапромышленность внедряет в производство новые типы самолетов и моторов, при этом частично являющихся уже не копией заграничных образцов, а результатом творчества молодых конструкторских сил Союза. При внедрении этих типов в производство по существу должен был бы иметь место такой порядок, при котором самолет или мотор, построенный в 1</w:t>
      </w:r>
      <w:r w:rsidRPr="00A259BD">
        <w:rPr>
          <w:rFonts w:ascii="Times New Roman" w:hAnsi="Times New Roman"/>
          <w:color w:val="000000" w:themeColor="text1"/>
          <w:sz w:val="16"/>
          <w:szCs w:val="16"/>
        </w:rPr>
        <w:noBreakHyphen/>
        <w:t>2 экз., всесторонне испытывается научными и лабораторными методами, затем переделывается сообразно выявленным дефектам, еще раз испытывается, в небольшом количестве экземпляров заказывается для эксплуатационного испытания в частях и только после этого поступает в серийное производство для снабжения частей Воздушного флота.</w:t>
      </w:r>
    </w:p>
    <w:p w14:paraId="6B5481DE"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границей в настоящее время осуществление заданий на разработку нового типа самолета или мотора проводится конструкторским бюро какого-либо завода в течение 3</w:t>
      </w:r>
      <w:r w:rsidRPr="00A259BD">
        <w:rPr>
          <w:rFonts w:ascii="Times New Roman" w:hAnsi="Times New Roman"/>
          <w:color w:val="000000" w:themeColor="text1"/>
          <w:sz w:val="16"/>
          <w:szCs w:val="16"/>
        </w:rPr>
        <w:noBreakHyphen/>
        <w:t>4 месяцев. Опытный образец данной машины осуществляется также в течение 3</w:t>
      </w:r>
      <w:r w:rsidRPr="00A259BD">
        <w:rPr>
          <w:rFonts w:ascii="Times New Roman" w:hAnsi="Times New Roman"/>
          <w:color w:val="000000" w:themeColor="text1"/>
          <w:sz w:val="16"/>
          <w:szCs w:val="16"/>
        </w:rPr>
        <w:noBreakHyphen/>
        <w:t>4 месяцев, и заказчик, давший задание, в том случае, если расчетные данные спроектированной машины его удовлетворяют, имеет возможность таким образом через 3</w:t>
      </w:r>
      <w:r w:rsidRPr="00A259BD">
        <w:rPr>
          <w:rFonts w:ascii="Times New Roman" w:hAnsi="Times New Roman"/>
          <w:color w:val="000000" w:themeColor="text1"/>
          <w:sz w:val="16"/>
          <w:szCs w:val="16"/>
        </w:rPr>
        <w:noBreakHyphen/>
        <w:t xml:space="preserve">4 месяца получить опытный образец. Предъявленный образец обеспечен </w:t>
      </w:r>
      <w:r w:rsidRPr="00A259BD">
        <w:rPr>
          <w:rFonts w:ascii="Times New Roman" w:hAnsi="Times New Roman"/>
          <w:color w:val="000000" w:themeColor="text1"/>
          <w:sz w:val="16"/>
          <w:szCs w:val="16"/>
        </w:rPr>
        <w:lastRenderedPageBreak/>
        <w:t>чертежами. Переделки, необходимость которых выявляется в процессе испытания усилиями конструкторского бюро данного завода, проводятся параллельно с испытанием; выпускается второй исправленный тип самолета, иногда третий и т. д., пока машина не признается достаточно доработанной, после чего пускается уже небольшой партией.</w:t>
      </w:r>
    </w:p>
    <w:p w14:paraId="24070D3F"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размещении заказов на новые типы самолетов УВВС давало промышленности заказы на основе данных испытаний единичного образцового экземпляра, испытаний под нажимом обстоятельств, далеко недостаточных. В этом доля вины УВВС. Но, давая эти заказы, УВВС оказывалось перед проблемой: заказывать ли промышленности типы уже находящиеся в ее серийном производстве, типы, заведомо устарелые, но загружающие заводы; выходить ли за границу и своими заказами развивать чужую авиапромышленность, задерживая развитие своей или даже частично ее свертывая или же заказывать новые типы, предлагаемые своей авиапромышленностью или опытными институтами, типы, по своим данным если не вполне, то в значительной степени удовлетворяющие требованиям.</w:t>
      </w:r>
    </w:p>
    <w:p w14:paraId="3D93FD6F"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Внедряя новый тип в производство с образца, построенного кустарно, разрабатывая по конструктивным рабочие чертежи, заводы сталкивались с необходимостью внесения упрощений, целесообразных и необходимых с производственной точки зрения, а оказываясь перед фактом отсутствия на рынке необходимых материалов и полуфабрикатов, использованных на постройку этого единичного образца, вынуждены были ставить другие; иначе говоря, сама промышленность новые машины в процессе изготовления изменяла — дорабатывала.</w:t>
      </w:r>
    </w:p>
    <w:p w14:paraId="716E531A"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Выполнение заказов на новые типы самолетов, как указано выше, промышленность растягивала на 2</w:t>
      </w:r>
      <w:r w:rsidRPr="00A259BD">
        <w:rPr>
          <w:rFonts w:ascii="Times New Roman" w:hAnsi="Times New Roman"/>
          <w:color w:val="000000" w:themeColor="text1"/>
          <w:sz w:val="16"/>
          <w:szCs w:val="16"/>
        </w:rPr>
        <w:noBreakHyphen/>
        <w:t>3 года; в течение этого периода постепенно выявлялись различные конструктивные недочеты этого типа, и УВВС, естественно, настаивало на их устранении.</w:t>
      </w:r>
    </w:p>
    <w:p w14:paraId="30770D19"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Недостаточная гибкость авиапромышленности по заблаговременному </w:t>
      </w:r>
      <w:proofErr w:type="spellStart"/>
      <w:r w:rsidRPr="00A259BD">
        <w:rPr>
          <w:rFonts w:ascii="Times New Roman" w:hAnsi="Times New Roman"/>
          <w:color w:val="000000" w:themeColor="text1"/>
          <w:sz w:val="16"/>
          <w:szCs w:val="16"/>
        </w:rPr>
        <w:t>предусмотрению</w:t>
      </w:r>
      <w:proofErr w:type="spellEnd"/>
      <w:r w:rsidRPr="00A259BD">
        <w:rPr>
          <w:rFonts w:ascii="Times New Roman" w:hAnsi="Times New Roman"/>
          <w:color w:val="000000" w:themeColor="text1"/>
          <w:sz w:val="16"/>
          <w:szCs w:val="16"/>
        </w:rPr>
        <w:t xml:space="preserve"> размещения нужных заказов на материалы и полуфабрикаты, полная невозможность в некоторых случаях добиться производства нужных деталей в срок, подчас создавшаяся вследствие этого зависимость от заграницы не давали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возможности </w:t>
      </w:r>
      <w:proofErr w:type="spellStart"/>
      <w:r w:rsidRPr="00A259BD">
        <w:rPr>
          <w:rFonts w:ascii="Times New Roman" w:hAnsi="Times New Roman"/>
          <w:color w:val="000000" w:themeColor="text1"/>
          <w:sz w:val="16"/>
          <w:szCs w:val="16"/>
        </w:rPr>
        <w:t>планово</w:t>
      </w:r>
      <w:proofErr w:type="spellEnd"/>
      <w:r w:rsidRPr="00A259BD">
        <w:rPr>
          <w:rFonts w:ascii="Times New Roman" w:hAnsi="Times New Roman"/>
          <w:color w:val="000000" w:themeColor="text1"/>
          <w:sz w:val="16"/>
          <w:szCs w:val="16"/>
        </w:rPr>
        <w:t xml:space="preserve"> и своевременно снабжать свои заводы нужными материалами, поковками и пр.</w:t>
      </w:r>
    </w:p>
    <w:p w14:paraId="623E4D46"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вышеуказанным причинам на заводах получались задержки, простои, одни цеха уходили вперед, в других работа тормозилась. Оправдывая свои действия, свою непредусмотрительность и имея при этом факты требования со стороны УВВС о тех или иных переделках, не только мелочных, а и конструктивных, естественно, что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и правления заводов склонны были освещать все затруднения производства как затруднения, возникающие исключительно в связи с непомерной требовательностью УВВС, что в данном случае и нашло свое отражение в письме ячейки завода.</w:t>
      </w:r>
    </w:p>
    <w:p w14:paraId="0B27646E"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Переходя теперь к частным случаям неувязок и затруднений в работе завода № 1, указанным в письме бюро ячейки завода и приложениях к нему, необходимо отметить нижеследующее.</w:t>
      </w:r>
    </w:p>
    <w:p w14:paraId="014475F4"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Самолеты И</w:t>
      </w:r>
      <w:r w:rsidRPr="00A259BD">
        <w:rPr>
          <w:rFonts w:ascii="Times New Roman" w:hAnsi="Times New Roman"/>
          <w:color w:val="000000" w:themeColor="text1"/>
          <w:sz w:val="16"/>
          <w:szCs w:val="16"/>
        </w:rPr>
        <w:noBreakHyphen/>
        <w:t>2 бис</w:t>
      </w:r>
    </w:p>
    <w:p w14:paraId="3A6DC8A3"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Прохождение заказа и вносимые изменения. Самолет И</w:t>
      </w:r>
      <w:r w:rsidRPr="00A259BD">
        <w:rPr>
          <w:rFonts w:ascii="Times New Roman" w:hAnsi="Times New Roman"/>
          <w:color w:val="000000" w:themeColor="text1"/>
          <w:sz w:val="16"/>
          <w:szCs w:val="16"/>
        </w:rPr>
        <w:noBreakHyphen/>
        <w:t>2 бис — улучшенный переделкой самолет И</w:t>
      </w:r>
      <w:r w:rsidRPr="00A259BD">
        <w:rPr>
          <w:rFonts w:ascii="Times New Roman" w:hAnsi="Times New Roman"/>
          <w:color w:val="000000" w:themeColor="text1"/>
          <w:sz w:val="16"/>
          <w:szCs w:val="16"/>
        </w:rPr>
        <w:noBreakHyphen/>
        <w:t>2. Начало конструирования относится к 1923 г. В 1925 г. в виде опытного образца появился на аэродроме. Был забракован. С того времени до 1928 г. хронически переконструировался, В 1926/27 г, был дан заказ на 60 шт. И</w:t>
      </w:r>
      <w:r w:rsidRPr="00A259BD">
        <w:rPr>
          <w:rFonts w:ascii="Times New Roman" w:hAnsi="Times New Roman"/>
          <w:color w:val="000000" w:themeColor="text1"/>
          <w:sz w:val="16"/>
          <w:szCs w:val="16"/>
        </w:rPr>
        <w:noBreakHyphen/>
        <w:t>2; по программе 1927/28 г, был дан заказ на 140 шт. И</w:t>
      </w:r>
      <w:r w:rsidRPr="00A259BD">
        <w:rPr>
          <w:rFonts w:ascii="Times New Roman" w:hAnsi="Times New Roman"/>
          <w:color w:val="000000" w:themeColor="text1"/>
          <w:sz w:val="16"/>
          <w:szCs w:val="16"/>
        </w:rPr>
        <w:noBreakHyphen/>
        <w:t xml:space="preserve">2 бис. Заказ давался по образцу, с указанием необходимых изменений. Заказ закончен лишь в настоящем году. Вследствие того что самолет переконструировался и изготовлялся на протяжении 4 лет, он по своим тактическим данным устарел, а по качеству, ввиду того что конструктору не удалось справится с деформирующимися шасси, а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в течение 2 лет конструировал радиатор взамен непригодного пластинчатого, самолет был принят ВВС на вооружение и качестве истребительной тренировочной машины. Заказ ВВС на 140 самолетов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распределил между 23</w:t>
      </w:r>
      <w:r w:rsidRPr="00A259BD">
        <w:rPr>
          <w:rFonts w:ascii="Times New Roman" w:hAnsi="Times New Roman"/>
          <w:color w:val="000000" w:themeColor="text1"/>
          <w:sz w:val="16"/>
          <w:szCs w:val="16"/>
        </w:rPr>
        <w:noBreakHyphen/>
        <w:t>м заводом, имевшим опыт по постройке самолетов И</w:t>
      </w:r>
      <w:r w:rsidRPr="00A259BD">
        <w:rPr>
          <w:rFonts w:ascii="Times New Roman" w:hAnsi="Times New Roman"/>
          <w:color w:val="000000" w:themeColor="text1"/>
          <w:sz w:val="16"/>
          <w:szCs w:val="16"/>
        </w:rPr>
        <w:noBreakHyphen/>
        <w:t>2 и осуществлявшим первые образцы И</w:t>
      </w:r>
      <w:r w:rsidRPr="00A259BD">
        <w:rPr>
          <w:rFonts w:ascii="Times New Roman" w:hAnsi="Times New Roman"/>
          <w:color w:val="000000" w:themeColor="text1"/>
          <w:sz w:val="16"/>
          <w:szCs w:val="16"/>
        </w:rPr>
        <w:noBreakHyphen/>
        <w:t>2 бис, и заводом № 1, получившим от треста задание на выпуск 90 машин.</w:t>
      </w:r>
    </w:p>
    <w:p w14:paraId="20B6FB7F"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1 был обеспечен образцом машины, а необходимые для производства рабочие чертежи должен был получить с завода № 23. При передаче чертежей с одного завода треста на другой выявилось основное зло постановки работы на заводах треста, в котором трест и заводы обычно не хотят признаться, — это работа без чертежей, по не утвержденным схематическим наброскам, бесконечное число раз перечеркнутым и исправленным.</w:t>
      </w:r>
    </w:p>
    <w:p w14:paraId="26DAF3C1" w14:textId="77777777" w:rsidR="001C166D" w:rsidRPr="00A259BD" w:rsidRDefault="001C166D"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не сумел заставить 23</w:t>
      </w:r>
      <w:r w:rsidRPr="00A259BD">
        <w:rPr>
          <w:rFonts w:ascii="Times New Roman" w:hAnsi="Times New Roman"/>
          <w:color w:val="000000" w:themeColor="text1"/>
          <w:sz w:val="16"/>
          <w:szCs w:val="16"/>
        </w:rPr>
        <w:noBreakHyphen/>
        <w:t>й завод своевременно и полностью изготовить необходимые для переноса производства самолетов с одного завода на другой чертежи. Чертежи поступили с большими затяжками, и полный комплект завод получил лишь в апреле 1928 г., т. е. с опозданием на 8 месяцев. Чертежи эти имели громадное количество ошибок и неточностей, что заставило завод № 1 вносить ряд изменений; часть же изменений вносилась самим заводом для создания условий, облегчающих производство, а также в связи с теми конструктивными изменениями, которые пришлось сделать, вследствие обнаружения недостатка конструкции И</w:t>
      </w:r>
      <w:r w:rsidRPr="00A259BD">
        <w:rPr>
          <w:rFonts w:ascii="Times New Roman" w:hAnsi="Times New Roman"/>
          <w:color w:val="000000" w:themeColor="text1"/>
          <w:sz w:val="16"/>
          <w:szCs w:val="16"/>
        </w:rPr>
        <w:noBreakHyphen/>
        <w:t>2 бис в процессе эксплуатации первых самолетов 23</w:t>
      </w:r>
      <w:r w:rsidRPr="00A259BD">
        <w:rPr>
          <w:rFonts w:ascii="Times New Roman" w:hAnsi="Times New Roman"/>
          <w:color w:val="000000" w:themeColor="text1"/>
          <w:sz w:val="16"/>
          <w:szCs w:val="16"/>
        </w:rPr>
        <w:noBreakHyphen/>
        <w:t>го завода; таких изменений было не много.</w:t>
      </w:r>
    </w:p>
    <w:p w14:paraId="38C60AEE"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результате этой постройки по образцу, неточным и несвоевременно получавшихся чертежей и вносимых конструктивных изменений процесс постройки настолько затянулся, что к августу месяцу 1928 г. с завода не был выпущен ни один самолет и лишь самим заводом было проделано первое испытание головного самолета.</w:t>
      </w:r>
    </w:p>
    <w:p w14:paraId="209E21CE"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 как к этому времени выявилась возможность получить от промышленности лучшие и почти современные истребители И</w:t>
      </w:r>
      <w:r w:rsidRPr="00A259BD">
        <w:rPr>
          <w:rFonts w:ascii="Times New Roman" w:hAnsi="Times New Roman"/>
          <w:color w:val="000000" w:themeColor="text1"/>
          <w:sz w:val="16"/>
          <w:szCs w:val="16"/>
        </w:rPr>
        <w:noBreakHyphen/>
        <w:t>3 и И</w:t>
      </w:r>
      <w:r w:rsidRPr="00A259BD">
        <w:rPr>
          <w:rFonts w:ascii="Times New Roman" w:hAnsi="Times New Roman"/>
          <w:color w:val="000000" w:themeColor="text1"/>
          <w:sz w:val="16"/>
          <w:szCs w:val="16"/>
        </w:rPr>
        <w:noBreakHyphen/>
        <w:t xml:space="preserve">4, то по согласованию вопроса между УВВС и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была установлена возможность сокращения заказан количество самолетов И</w:t>
      </w:r>
      <w:r w:rsidRPr="00A259BD">
        <w:rPr>
          <w:rFonts w:ascii="Times New Roman" w:hAnsi="Times New Roman"/>
          <w:color w:val="000000" w:themeColor="text1"/>
          <w:sz w:val="16"/>
          <w:szCs w:val="16"/>
        </w:rPr>
        <w:noBreakHyphen/>
        <w:t>2, выпускаемых заводом № 1, было уменьшено до 50; заготовленные же детали были частично предназначены, как и приспособления, стапеля и пр., к использованию при ремонте и выполнении заказов на запасные части в дальнейшем. Само обеспечение заказа самолетов И</w:t>
      </w:r>
      <w:r w:rsidRPr="00A259BD">
        <w:rPr>
          <w:rFonts w:ascii="Times New Roman" w:hAnsi="Times New Roman"/>
          <w:color w:val="000000" w:themeColor="text1"/>
          <w:sz w:val="16"/>
          <w:szCs w:val="16"/>
        </w:rPr>
        <w:noBreakHyphen/>
        <w:t>2 бис стапелями и приспособлениями зависело как от размера заказа в 90 самолетов, так и от того что, не имея в своем распоряжении других типов самолетов, промышленность обеспечивала себе дальнейшую постройку самолетов И</w:t>
      </w:r>
      <w:r w:rsidRPr="00A259BD">
        <w:rPr>
          <w:rFonts w:ascii="Times New Roman" w:hAnsi="Times New Roman"/>
          <w:color w:val="000000" w:themeColor="text1"/>
          <w:sz w:val="16"/>
          <w:szCs w:val="16"/>
        </w:rPr>
        <w:noBreakHyphen/>
        <w:t xml:space="preserve">2 бис и свою </w:t>
      </w:r>
      <w:proofErr w:type="spellStart"/>
      <w:r w:rsidRPr="00A259BD">
        <w:rPr>
          <w:rFonts w:ascii="Times New Roman" w:hAnsi="Times New Roman"/>
          <w:color w:val="000000" w:themeColor="text1"/>
          <w:sz w:val="16"/>
          <w:szCs w:val="16"/>
        </w:rPr>
        <w:t>мобпрограмму</w:t>
      </w:r>
      <w:proofErr w:type="spellEnd"/>
      <w:r w:rsidRPr="00A259BD">
        <w:rPr>
          <w:rFonts w:ascii="Times New Roman" w:hAnsi="Times New Roman"/>
          <w:color w:val="000000" w:themeColor="text1"/>
          <w:sz w:val="16"/>
          <w:szCs w:val="16"/>
        </w:rPr>
        <w:t>.</w:t>
      </w:r>
    </w:p>
    <w:p w14:paraId="6D83B167"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Невязки²* с вооружением. Невязки с вооружением, являясь, с одной стороны, частным случаем среди остальных невязок, с другой стороны, зависели от того, что первоначально самолеты предполагалось, как и боевые истребители, выпускать с 2 пулеметами типа «Виккерс» образца 1924 г. (заграничной закупки, допускающих высокую частоту стрельбы). Затем, когда осенью 1928 г. выявилось вполне определенно, что самолет И</w:t>
      </w:r>
      <w:r w:rsidRPr="00A259BD">
        <w:rPr>
          <w:rFonts w:ascii="Times New Roman" w:hAnsi="Times New Roman"/>
          <w:color w:val="000000" w:themeColor="text1"/>
          <w:sz w:val="16"/>
          <w:szCs w:val="16"/>
        </w:rPr>
        <w:noBreakHyphen/>
        <w:t>2 бис будет использован только как тренировочный, и так как поспевали новые лучшие типы, а для этих новых типов нужны были именно пулеметы «Виккерс» образца 1924 г., как более скорострельные по сравнению с нашим типом пулемета «ПВ</w:t>
      </w:r>
      <w:r w:rsidRPr="00A259BD">
        <w:rPr>
          <w:rFonts w:ascii="Times New Roman" w:hAnsi="Times New Roman"/>
          <w:color w:val="000000" w:themeColor="text1"/>
          <w:sz w:val="16"/>
          <w:szCs w:val="16"/>
        </w:rPr>
        <w:noBreakHyphen/>
        <w:t>1», решено было на самолете И</w:t>
      </w:r>
      <w:r w:rsidRPr="00A259BD">
        <w:rPr>
          <w:rFonts w:ascii="Times New Roman" w:hAnsi="Times New Roman"/>
          <w:color w:val="000000" w:themeColor="text1"/>
          <w:sz w:val="16"/>
          <w:szCs w:val="16"/>
        </w:rPr>
        <w:noBreakHyphen/>
        <w:t>2 бис оставить только один пулемет «Виккерс», с тем, чтобы и его заменить впоследствии на «ПВ</w:t>
      </w:r>
      <w:r w:rsidRPr="00A259BD">
        <w:rPr>
          <w:rFonts w:ascii="Times New Roman" w:hAnsi="Times New Roman"/>
          <w:color w:val="000000" w:themeColor="text1"/>
          <w:sz w:val="16"/>
          <w:szCs w:val="16"/>
        </w:rPr>
        <w:noBreakHyphen/>
        <w:t>1», задание на разработку установки которого на И</w:t>
      </w:r>
      <w:r w:rsidRPr="00A259BD">
        <w:rPr>
          <w:rFonts w:ascii="Times New Roman" w:hAnsi="Times New Roman"/>
          <w:color w:val="000000" w:themeColor="text1"/>
          <w:sz w:val="16"/>
          <w:szCs w:val="16"/>
        </w:rPr>
        <w:noBreakHyphen/>
        <w:t>2 бис и было дано промышленности.</w:t>
      </w:r>
    </w:p>
    <w:p w14:paraId="7039A6E3"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Пулемет был оставлен левый, как ставится обычно на самолетах, вооруженных одним передним пулеметом. Но при испытании нескольких первых установок левых пулеметов обнаружилось, что сильное выбрасывание пламени при стрельбе у более изношенных пулеметов создает пожарную опасность благодаря близости </w:t>
      </w:r>
      <w:proofErr w:type="spellStart"/>
      <w:r w:rsidRPr="00A259BD">
        <w:rPr>
          <w:rFonts w:ascii="Times New Roman" w:hAnsi="Times New Roman"/>
          <w:color w:val="000000" w:themeColor="text1"/>
          <w:sz w:val="16"/>
          <w:szCs w:val="16"/>
        </w:rPr>
        <w:t>бензинопроводов</w:t>
      </w:r>
      <w:proofErr w:type="spellEnd"/>
      <w:r w:rsidRPr="00A259BD">
        <w:rPr>
          <w:rFonts w:ascii="Times New Roman" w:hAnsi="Times New Roman"/>
          <w:color w:val="000000" w:themeColor="text1"/>
          <w:sz w:val="16"/>
          <w:szCs w:val="16"/>
        </w:rPr>
        <w:t xml:space="preserve">, вследствие чего и пришлось оставлять правый пулемет вместо левого. Тогда же вследствие обнаружившихся поломок замков пулеметов при сверхускоренной стрельбе, на которой пулеметы, естественно, должны были испытываться, от такой стрельбы отказались и пошли на ускоренную. Остальные указанные изменения, например, указания на изменения ручек </w:t>
      </w:r>
      <w:proofErr w:type="spellStart"/>
      <w:r w:rsidRPr="00A259BD">
        <w:rPr>
          <w:rFonts w:ascii="Times New Roman" w:hAnsi="Times New Roman"/>
          <w:color w:val="000000" w:themeColor="text1"/>
          <w:sz w:val="16"/>
          <w:szCs w:val="16"/>
        </w:rPr>
        <w:t>перезаряжения</w:t>
      </w:r>
      <w:proofErr w:type="spellEnd"/>
      <w:r w:rsidRPr="00A259BD">
        <w:rPr>
          <w:rFonts w:ascii="Times New Roman" w:hAnsi="Times New Roman"/>
          <w:color w:val="000000" w:themeColor="text1"/>
          <w:sz w:val="16"/>
          <w:szCs w:val="16"/>
        </w:rPr>
        <w:t>, носят мелочной характер, так как здесь потребовалась лишь замена болта.</w:t>
      </w:r>
    </w:p>
    <w:p w14:paraId="6EC45703"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Козырьки и зеркала. Пожелания военной приемки об улучшении козырька и установки зеркала для обзора задней сферы, предусмотренных договором, являлись вполне целесообразными, но так как козырьки оказались заделанными, а зеркал не было, пожелания эти и остались не реализованными.</w:t>
      </w:r>
    </w:p>
    <w:p w14:paraId="7D4AF45D"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Радиаторы. Радиаторы типа «</w:t>
      </w:r>
      <w:proofErr w:type="spellStart"/>
      <w:r w:rsidRPr="00A259BD">
        <w:rPr>
          <w:rFonts w:ascii="Times New Roman" w:hAnsi="Times New Roman"/>
          <w:color w:val="000000" w:themeColor="text1"/>
          <w:sz w:val="16"/>
          <w:szCs w:val="16"/>
        </w:rPr>
        <w:t>Ламблен</w:t>
      </w:r>
      <w:proofErr w:type="spellEnd"/>
      <w:r w:rsidRPr="00A259BD">
        <w:rPr>
          <w:rFonts w:ascii="Times New Roman" w:hAnsi="Times New Roman"/>
          <w:color w:val="000000" w:themeColor="text1"/>
          <w:sz w:val="16"/>
          <w:szCs w:val="16"/>
        </w:rPr>
        <w:t>», пластинчатые, при испытании на опытном образце самолетов И</w:t>
      </w:r>
      <w:r w:rsidRPr="00A259BD">
        <w:rPr>
          <w:rFonts w:ascii="Times New Roman" w:hAnsi="Times New Roman"/>
          <w:color w:val="000000" w:themeColor="text1"/>
          <w:sz w:val="16"/>
          <w:szCs w:val="16"/>
        </w:rPr>
        <w:noBreakHyphen/>
        <w:t>2 и И</w:t>
      </w:r>
      <w:r w:rsidRPr="00A259BD">
        <w:rPr>
          <w:rFonts w:ascii="Times New Roman" w:hAnsi="Times New Roman"/>
          <w:color w:val="000000" w:themeColor="text1"/>
          <w:sz w:val="16"/>
          <w:szCs w:val="16"/>
        </w:rPr>
        <w:noBreakHyphen/>
        <w:t>2 бис дефектов не обнаружили, так как не текли, в эксплуатации же первых самолетов уже при сдаче самолетов И</w:t>
      </w:r>
      <w:r w:rsidRPr="00A259BD">
        <w:rPr>
          <w:rFonts w:ascii="Times New Roman" w:hAnsi="Times New Roman"/>
          <w:color w:val="000000" w:themeColor="text1"/>
          <w:sz w:val="16"/>
          <w:szCs w:val="16"/>
        </w:rPr>
        <w:noBreakHyphen/>
        <w:t>2 выявилась их непригодность. УВВС РККА, поставив перед промышленностью задание о замене радиатора, тем не менее вынуждено было согласиться на выпуск самолетов И</w:t>
      </w:r>
      <w:r w:rsidRPr="00A259BD">
        <w:rPr>
          <w:rFonts w:ascii="Times New Roman" w:hAnsi="Times New Roman"/>
          <w:color w:val="000000" w:themeColor="text1"/>
          <w:sz w:val="16"/>
          <w:szCs w:val="16"/>
        </w:rPr>
        <w:noBreakHyphen/>
        <w:t>2 бис с пластинчатыми радиаторами, так как иначе все самолеты до сего времени стояли бы на заводе, что подтверждается фактом невыполнения до настоящего времени заводом № 1 заказа на 100 сотовых радиаторов для обеспечения самолетов И</w:t>
      </w:r>
      <w:r w:rsidRPr="00A259BD">
        <w:rPr>
          <w:rFonts w:ascii="Times New Roman" w:hAnsi="Times New Roman"/>
          <w:color w:val="000000" w:themeColor="text1"/>
          <w:sz w:val="16"/>
          <w:szCs w:val="16"/>
        </w:rPr>
        <w:noBreakHyphen/>
        <w:t>2 бис.</w:t>
      </w:r>
    </w:p>
    <w:p w14:paraId="3F8D91BD"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Самолеты И-3</w:t>
      </w:r>
    </w:p>
    <w:p w14:paraId="351CE68A"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Постройка самолетов И</w:t>
      </w:r>
      <w:r w:rsidRPr="00A259BD">
        <w:rPr>
          <w:rFonts w:ascii="Times New Roman" w:hAnsi="Times New Roman"/>
          <w:color w:val="000000" w:themeColor="text1"/>
          <w:sz w:val="16"/>
          <w:szCs w:val="16"/>
        </w:rPr>
        <w:noBreakHyphen/>
        <w:t>3 производилась по окончании испытания первого опытного образца этого самолета в марте 1928 г. Так как прием заказа И</w:t>
      </w:r>
      <w:r w:rsidRPr="00A259BD">
        <w:rPr>
          <w:rFonts w:ascii="Times New Roman" w:hAnsi="Times New Roman"/>
          <w:color w:val="000000" w:themeColor="text1"/>
          <w:sz w:val="16"/>
          <w:szCs w:val="16"/>
        </w:rPr>
        <w:noBreakHyphen/>
        <w:t>3, размер его и сроки выпуска самолетов промышленность обусловливала получением образца на заводе не позднее апреля 1928 г., то испытания были кратковременными, а авиапромышленность дала гарантию устранения в серийном производстве недостатков, обнаруженных в образце.</w:t>
      </w:r>
    </w:p>
    <w:p w14:paraId="30C4FEAC"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феврале месяце 1929 г. состоялся осмотр комиссией с участием УВВС первых двух самолетов, изготовленных заводом, в не обтянутом виде для рассмотрения всех сделанных заводом изменений в конструкции изготовленного образца как для облегчения производства, так и в соответствии с ранее намеченными решениями по устранению дефектов образца. Решения этой комиссии были приняты заводом к исполнению.</w:t>
      </w:r>
    </w:p>
    <w:p w14:paraId="106ACB5A"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выпуском самолетов завод сильно опоздал и вместо того, чтобы дать первые 2 головные машины в феврале, как было обусловлено, дал их только в конце мая, хотя весь процесс производства шел уже гораздо спокойнее, чем по И</w:t>
      </w:r>
      <w:r w:rsidRPr="00A259BD">
        <w:rPr>
          <w:rFonts w:ascii="Times New Roman" w:hAnsi="Times New Roman"/>
          <w:color w:val="000000" w:themeColor="text1"/>
          <w:sz w:val="16"/>
          <w:szCs w:val="16"/>
        </w:rPr>
        <w:noBreakHyphen/>
        <w:t>2 бис, так как рабочие чертежи с образца изготовлялись самим заводом № 1.</w:t>
      </w:r>
    </w:p>
    <w:p w14:paraId="6C07FE61"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испытании головных машин все же выявился ряд дефектов как производственного характера, например, течь радиаторов, так и конструктивного, из которых основной — плохая посадка самолета на три точки, уже ранее отмеченный, но не устраненный промышленностью, — подтвердился вновь. Этот последний дефект, опасный для полетов, заставил УВВС категорически требовать его устранения, что задержало выпуск первых серийных самолетов на 2 месяца против фактической возможности сдачи их заводом. В отношении устранения остальных дефектов, обнаруженных при испытании самолетов, между УВВС и промышленностью была достигнута договоренность об устранении на предъявляемых в 1928/29 г. самолетах лишь главнейших из них.</w:t>
      </w:r>
    </w:p>
    <w:p w14:paraId="09B6C268"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Затрата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40 тыс. часов сверхурочных работ по И</w:t>
      </w:r>
      <w:r w:rsidRPr="00A259BD">
        <w:rPr>
          <w:rFonts w:ascii="Times New Roman" w:hAnsi="Times New Roman"/>
          <w:color w:val="000000" w:themeColor="text1"/>
          <w:sz w:val="16"/>
          <w:szCs w:val="16"/>
        </w:rPr>
        <w:noBreakHyphen/>
        <w:t>3 и согласие на это УВВС были вызваны опаздыванием завода по его вине с выпуском первых самолетов против намеченных программой сроков и желанием УВВС получить машины в течение лета для производства им войсковых испытаний и обеспечения заказа на 1929/30 г. уже вполне отработанной машины. Целесообразность затраты этих часов подтверждается тем, что если бы они допущены не были, то УВВС при сложившейся обстановке, несомненно, не получило бы даже и тех 12 самолетов И</w:t>
      </w:r>
      <w:r w:rsidRPr="00A259BD">
        <w:rPr>
          <w:rFonts w:ascii="Times New Roman" w:hAnsi="Times New Roman"/>
          <w:color w:val="000000" w:themeColor="text1"/>
          <w:sz w:val="16"/>
          <w:szCs w:val="16"/>
        </w:rPr>
        <w:noBreakHyphen/>
        <w:t>3, которые были сданы в части в первой половине сентября с. г.</w:t>
      </w:r>
    </w:p>
    <w:p w14:paraId="434CCA4D"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же касается нового заказа на 1929/30 г., то здесь УВВС считает необходимым требовать устранения дефектов из числа выявившихся как при испытании этих самолетов в НИИ, так и в эксплуатации 12 первых серийных самолетов в течение месячного срока со времени их подачи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о чем с председателем треста УВВС имело зафиксированную протоколом (от 12 августа) договоренность. Заявление о наличии 185 переделок, требуемых УВВС, не серьезно, так как в 80% эти переделки касаются устранения таких дефектов, как покраска деталей, </w:t>
      </w:r>
      <w:proofErr w:type="spellStart"/>
      <w:r w:rsidRPr="00A259BD">
        <w:rPr>
          <w:rFonts w:ascii="Times New Roman" w:hAnsi="Times New Roman"/>
          <w:color w:val="000000" w:themeColor="text1"/>
          <w:sz w:val="16"/>
          <w:szCs w:val="16"/>
        </w:rPr>
        <w:t>шплинтование</w:t>
      </w:r>
      <w:proofErr w:type="spellEnd"/>
      <w:r w:rsidRPr="00A259BD">
        <w:rPr>
          <w:rFonts w:ascii="Times New Roman" w:hAnsi="Times New Roman"/>
          <w:color w:val="000000" w:themeColor="text1"/>
          <w:sz w:val="16"/>
          <w:szCs w:val="16"/>
        </w:rPr>
        <w:t xml:space="preserve"> болтов, зарядка огнетушителей. Решение же вопроса о необходимости </w:t>
      </w:r>
      <w:r w:rsidRPr="00A259BD">
        <w:rPr>
          <w:rFonts w:ascii="Times New Roman" w:hAnsi="Times New Roman"/>
          <w:color w:val="000000" w:themeColor="text1"/>
          <w:sz w:val="16"/>
          <w:szCs w:val="16"/>
        </w:rPr>
        <w:lastRenderedPageBreak/>
        <w:t>устранения крупных конструктивных дефектов, определяющих летно-тактические данные самолета, УВВС откладывает до выявления результатов месячного эксплуатационного испытания этих самолетов.</w:t>
      </w:r>
    </w:p>
    <w:p w14:paraId="73F9C07D"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о заказе на самолеты И</w:t>
      </w:r>
      <w:r w:rsidRPr="00A259BD">
        <w:rPr>
          <w:rFonts w:ascii="Times New Roman" w:hAnsi="Times New Roman"/>
          <w:color w:val="000000" w:themeColor="text1"/>
          <w:sz w:val="16"/>
          <w:szCs w:val="16"/>
        </w:rPr>
        <w:noBreakHyphen/>
        <w:t xml:space="preserve">3 на 1929/30 г.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был вынесен в ГВПУ, где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указывал, что внесение со стороны УВВС изменений в самолет И</w:t>
      </w:r>
      <w:r w:rsidRPr="00A259BD">
        <w:rPr>
          <w:rFonts w:ascii="Times New Roman" w:hAnsi="Times New Roman"/>
          <w:color w:val="000000" w:themeColor="text1"/>
          <w:sz w:val="16"/>
          <w:szCs w:val="16"/>
        </w:rPr>
        <w:noBreakHyphen/>
        <w:t xml:space="preserve">3 или уменьшение ориентировочно намеченного к заказу количества (344 шт.) поставит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перед необходимостью закрыть завод № 1, уволив его рабочих. Представитель УВВС, отказываясь разрешить вопрос об изменениях на И</w:t>
      </w:r>
      <w:r w:rsidRPr="00A259BD">
        <w:rPr>
          <w:rFonts w:ascii="Times New Roman" w:hAnsi="Times New Roman"/>
          <w:color w:val="000000" w:themeColor="text1"/>
          <w:sz w:val="16"/>
          <w:szCs w:val="16"/>
        </w:rPr>
        <w:noBreakHyphen/>
        <w:t xml:space="preserve">3 до окончания результатов испытания машин, т. е. до 16 октября, указывал на то, что, ставя вопрос о закрытии завода в зависимость от внесения УВВС необходимых изменений по устранению выявленных недочетов самолета.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даже не проработал вопроса о каких-либо других способах разрешения кризиса завода, например, о загрузке этого завода другими типами машин и т. д. В результате коллегия ГВПУ постановила обратиться в НК РКИ с просьбой о назначении авторитетной арбитражной комиссии, где этот вопрос и будет разрешен.</w:t>
      </w:r>
    </w:p>
    <w:p w14:paraId="4F5A776A"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Самолеты И</w:t>
      </w:r>
      <w:r w:rsidRPr="00A259BD">
        <w:rPr>
          <w:rFonts w:ascii="Times New Roman" w:hAnsi="Times New Roman"/>
          <w:color w:val="000000" w:themeColor="text1"/>
          <w:sz w:val="16"/>
          <w:szCs w:val="16"/>
        </w:rPr>
        <w:noBreakHyphen/>
        <w:t>1</w:t>
      </w:r>
      <w:r w:rsidRPr="00A259BD">
        <w:rPr>
          <w:rFonts w:ascii="Times New Roman" w:hAnsi="Times New Roman"/>
          <w:color w:val="000000" w:themeColor="text1"/>
          <w:sz w:val="16"/>
          <w:szCs w:val="16"/>
        </w:rPr>
        <w:noBreakHyphen/>
        <w:t>М</w:t>
      </w:r>
      <w:r w:rsidRPr="00A259BD">
        <w:rPr>
          <w:rFonts w:ascii="Times New Roman" w:hAnsi="Times New Roman"/>
          <w:color w:val="000000" w:themeColor="text1"/>
          <w:sz w:val="16"/>
          <w:szCs w:val="16"/>
        </w:rPr>
        <w:noBreakHyphen/>
        <w:t>5 (ИЛ</w:t>
      </w:r>
      <w:r w:rsidRPr="00A259BD">
        <w:rPr>
          <w:rFonts w:ascii="Times New Roman" w:hAnsi="Times New Roman"/>
          <w:color w:val="000000" w:themeColor="text1"/>
          <w:sz w:val="16"/>
          <w:szCs w:val="16"/>
        </w:rPr>
        <w:noBreakHyphen/>
        <w:t>1)</w:t>
      </w:r>
    </w:p>
    <w:p w14:paraId="5CA40F06"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Чтобы закончить вопрос об истребителях, следует упомянуть еще о 12 самолетах И</w:t>
      </w:r>
      <w:r w:rsidRPr="00A259BD">
        <w:rPr>
          <w:rFonts w:ascii="Times New Roman" w:hAnsi="Times New Roman"/>
          <w:color w:val="000000" w:themeColor="text1"/>
          <w:sz w:val="16"/>
          <w:szCs w:val="16"/>
        </w:rPr>
        <w:noBreakHyphen/>
        <w:t xml:space="preserve">1, простаивающих на заводе с 1926 г. Эти самолеты были первыми истребителями, изготовленными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и оказались настолько неудачными, что допустить их к полетам без коренных переделок было невозможно. Построены они были заводом без согласия УВВС для загрузки завода № 1.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произвол некоторые переделки этих самолетов, но нужных результатов не достиг.</w:t>
      </w:r>
    </w:p>
    <w:p w14:paraId="1CE13A24"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последнее время на И</w:t>
      </w:r>
      <w:r w:rsidRPr="00A259BD">
        <w:rPr>
          <w:rFonts w:ascii="Times New Roman" w:hAnsi="Times New Roman"/>
          <w:color w:val="000000" w:themeColor="text1"/>
          <w:sz w:val="16"/>
          <w:szCs w:val="16"/>
        </w:rPr>
        <w:noBreakHyphen/>
        <w:t>1 были произведены заводские полеты со свинцовым грузом в 7 пуд. весом, размещенным в носовой части фюзеляжа, давшие сравнительно благоприятные результаты. После этих полетов поднимался вопрос об использовании И</w:t>
      </w:r>
      <w:r w:rsidRPr="00A259BD">
        <w:rPr>
          <w:rFonts w:ascii="Times New Roman" w:hAnsi="Times New Roman"/>
          <w:color w:val="000000" w:themeColor="text1"/>
          <w:sz w:val="16"/>
          <w:szCs w:val="16"/>
        </w:rPr>
        <w:noBreakHyphen/>
        <w:t>1</w:t>
      </w:r>
      <w:r w:rsidRPr="00A259BD">
        <w:rPr>
          <w:rFonts w:ascii="Times New Roman" w:hAnsi="Times New Roman"/>
          <w:color w:val="000000" w:themeColor="text1"/>
          <w:sz w:val="16"/>
          <w:szCs w:val="16"/>
        </w:rPr>
        <w:noBreakHyphen/>
        <w:t>М</w:t>
      </w:r>
      <w:r w:rsidRPr="00A259BD">
        <w:rPr>
          <w:rFonts w:ascii="Times New Roman" w:hAnsi="Times New Roman"/>
          <w:color w:val="000000" w:themeColor="text1"/>
          <w:sz w:val="16"/>
          <w:szCs w:val="16"/>
        </w:rPr>
        <w:noBreakHyphen/>
        <w:t>5 без дальнейших переделок в школах в качестве тренировочных самолетов, но, ввиду сомнений в их прочности из-за долгого хранения, вопрос остался открытым, и к официальному испытанию эти самолеты подготовлены и предъявлены заводом не были.</w:t>
      </w:r>
    </w:p>
    <w:p w14:paraId="07802C35"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Металлическое шасси самолетов Р</w:t>
      </w:r>
      <w:r w:rsidRPr="00A259BD">
        <w:rPr>
          <w:rFonts w:ascii="Times New Roman" w:hAnsi="Times New Roman"/>
          <w:color w:val="000000" w:themeColor="text1"/>
          <w:sz w:val="16"/>
          <w:szCs w:val="16"/>
        </w:rPr>
        <w:noBreakHyphen/>
        <w:t>1</w:t>
      </w:r>
      <w:r w:rsidRPr="00A259BD">
        <w:rPr>
          <w:rFonts w:ascii="Times New Roman" w:hAnsi="Times New Roman"/>
          <w:color w:val="000000" w:themeColor="text1"/>
          <w:sz w:val="16"/>
          <w:szCs w:val="16"/>
        </w:rPr>
        <w:noBreakHyphen/>
        <w:t>М</w:t>
      </w:r>
      <w:r w:rsidRPr="00A259BD">
        <w:rPr>
          <w:rFonts w:ascii="Times New Roman" w:hAnsi="Times New Roman"/>
          <w:color w:val="000000" w:themeColor="text1"/>
          <w:sz w:val="16"/>
          <w:szCs w:val="16"/>
        </w:rPr>
        <w:noBreakHyphen/>
        <w:t>5</w:t>
      </w:r>
    </w:p>
    <w:p w14:paraId="5B2C9869"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мере перехода частей ВВС к полетам на Р</w:t>
      </w:r>
      <w:r w:rsidRPr="00A259BD">
        <w:rPr>
          <w:rFonts w:ascii="Times New Roman" w:hAnsi="Times New Roman"/>
          <w:color w:val="000000" w:themeColor="text1"/>
          <w:sz w:val="16"/>
          <w:szCs w:val="16"/>
        </w:rPr>
        <w:noBreakHyphen/>
        <w:t>1 с полными нагрузками, имевшие место аварии и указания на недостаточную прочность деревянного шасси Р</w:t>
      </w:r>
      <w:r w:rsidRPr="00A259BD">
        <w:rPr>
          <w:rFonts w:ascii="Times New Roman" w:hAnsi="Times New Roman"/>
          <w:color w:val="000000" w:themeColor="text1"/>
          <w:sz w:val="16"/>
          <w:szCs w:val="16"/>
        </w:rPr>
        <w:noBreakHyphen/>
        <w:t>1</w:t>
      </w:r>
      <w:r w:rsidRPr="00A259BD">
        <w:rPr>
          <w:rFonts w:ascii="Times New Roman" w:hAnsi="Times New Roman"/>
          <w:color w:val="000000" w:themeColor="text1"/>
          <w:sz w:val="16"/>
          <w:szCs w:val="16"/>
        </w:rPr>
        <w:noBreakHyphen/>
        <w:t>М</w:t>
      </w:r>
      <w:r w:rsidRPr="00A259BD">
        <w:rPr>
          <w:rFonts w:ascii="Times New Roman" w:hAnsi="Times New Roman"/>
          <w:color w:val="000000" w:themeColor="text1"/>
          <w:sz w:val="16"/>
          <w:szCs w:val="16"/>
        </w:rPr>
        <w:noBreakHyphen/>
        <w:t>5, особенно при боковых посадках, стали повторяться все чаще и чаще.</w:t>
      </w:r>
    </w:p>
    <w:p w14:paraId="58DFE5F6"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проведения в жизнь этого, а также и других пожеланий частей по улучшению самолета Р</w:t>
      </w:r>
      <w:r w:rsidRPr="00A259BD">
        <w:rPr>
          <w:rFonts w:ascii="Times New Roman" w:hAnsi="Times New Roman"/>
          <w:color w:val="000000" w:themeColor="text1"/>
          <w:sz w:val="16"/>
          <w:szCs w:val="16"/>
        </w:rPr>
        <w:noBreakHyphen/>
        <w:t>1</w:t>
      </w:r>
      <w:r w:rsidRPr="00A259BD">
        <w:rPr>
          <w:rFonts w:ascii="Times New Roman" w:hAnsi="Times New Roman"/>
          <w:color w:val="000000" w:themeColor="text1"/>
          <w:sz w:val="16"/>
          <w:szCs w:val="16"/>
        </w:rPr>
        <w:noBreakHyphen/>
        <w:t>М</w:t>
      </w:r>
      <w:r w:rsidRPr="00A259BD">
        <w:rPr>
          <w:rFonts w:ascii="Times New Roman" w:hAnsi="Times New Roman"/>
          <w:color w:val="000000" w:themeColor="text1"/>
          <w:sz w:val="16"/>
          <w:szCs w:val="16"/>
        </w:rPr>
        <w:noBreakHyphen/>
        <w:t>5, был сконструирован и построен авиапромышленностью самолет Р</w:t>
      </w:r>
      <w:r w:rsidRPr="00A259BD">
        <w:rPr>
          <w:rFonts w:ascii="Times New Roman" w:hAnsi="Times New Roman"/>
          <w:color w:val="000000" w:themeColor="text1"/>
          <w:sz w:val="16"/>
          <w:szCs w:val="16"/>
        </w:rPr>
        <w:noBreakHyphen/>
        <w:t>4, на котором в числе прочих переделок было поставлено металлическое шасси. Самолет этот в целом по его летным качествам был забракован; некоторые же отдельные его детали, в том числе металлическое шасси, на испытании показали себя с хорошей стороны. Так как к тому времени участились случаи срыва болтов на верхнем башмаке обычного деревянного шасси и башмак этот приходилось усиливать, то техническим директором завода № 1 было сделано УВВС предложение перейти для остатка самолетов программы 1927/28 г. числом 80 шт. на металлическое шасси, на желательность введения которого УВВС указывалось ранее. Безболезненность такого перехода для плановости производства была обеспечена самим заводом.</w:t>
      </w:r>
    </w:p>
    <w:p w14:paraId="2085E4D6"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Однако первые же испытания серийных самолетов Р</w:t>
      </w:r>
      <w:r w:rsidRPr="00A259BD">
        <w:rPr>
          <w:rFonts w:ascii="Times New Roman" w:hAnsi="Times New Roman"/>
          <w:color w:val="000000" w:themeColor="text1"/>
          <w:sz w:val="16"/>
          <w:szCs w:val="16"/>
        </w:rPr>
        <w:noBreakHyphen/>
        <w:t>1, выпущенных на металлическом шасси, показали недостаточную его прочность, зависевшую как от производственного его выполнения заводом № 1, так и не учета им разницы между постановкой шасси на Р</w:t>
      </w:r>
      <w:r w:rsidRPr="00A259BD">
        <w:rPr>
          <w:rFonts w:ascii="Times New Roman" w:hAnsi="Times New Roman"/>
          <w:color w:val="000000" w:themeColor="text1"/>
          <w:sz w:val="16"/>
          <w:szCs w:val="16"/>
        </w:rPr>
        <w:noBreakHyphen/>
        <w:t>4 и Р</w:t>
      </w:r>
      <w:r w:rsidRPr="00A259BD">
        <w:rPr>
          <w:rFonts w:ascii="Times New Roman" w:hAnsi="Times New Roman"/>
          <w:color w:val="000000" w:themeColor="text1"/>
          <w:sz w:val="16"/>
          <w:szCs w:val="16"/>
        </w:rPr>
        <w:noBreakHyphen/>
        <w:t>1, а также из-за впоследствии обнаруженной ошибки в расчете шасси, сделанной при проектировании этого шасси промышленностью.</w:t>
      </w:r>
    </w:p>
    <w:p w14:paraId="4BA8B0BF"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Неточность эта была устранена внесением добавочных подкосов, дальнейшее же производство этих шасси, как себя не оправдавших по прочности и по цене, было прекращено и к укреплению шасси Р</w:t>
      </w:r>
      <w:r w:rsidRPr="00A259BD">
        <w:rPr>
          <w:rFonts w:ascii="Times New Roman" w:hAnsi="Times New Roman"/>
          <w:color w:val="000000" w:themeColor="text1"/>
          <w:sz w:val="16"/>
          <w:szCs w:val="16"/>
        </w:rPr>
        <w:noBreakHyphen/>
        <w:t>1 подошли другим путем — постановкой добавочных крестов. Что же касается программы 1927/28 г., якобы по этой причине сорванной, то она не была задержана выполнением и превысила 100% от намеченного заказа на Р</w:t>
      </w:r>
      <w:r w:rsidRPr="00A259BD">
        <w:rPr>
          <w:rFonts w:ascii="Times New Roman" w:hAnsi="Times New Roman"/>
          <w:color w:val="000000" w:themeColor="text1"/>
          <w:sz w:val="16"/>
          <w:szCs w:val="16"/>
        </w:rPr>
        <w:noBreakHyphen/>
        <w:t>1.</w:t>
      </w:r>
    </w:p>
    <w:p w14:paraId="21916269"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Отдельные нарекания на приемку</w:t>
      </w:r>
    </w:p>
    <w:p w14:paraId="61791382"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rPr>
        <w:t>Наконец, по отдельным нареканиям на работу военной приемки на заводе № 1 необходимо отметить:</w:t>
      </w:r>
    </w:p>
    <w:p w14:paraId="7CEE595C"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rPr>
        <w:t xml:space="preserve">1. Со стороны военной приемки задержки пуска в производство леса при полной его </w:t>
      </w:r>
      <w:proofErr w:type="spellStart"/>
      <w:r w:rsidRPr="00A259BD">
        <w:rPr>
          <w:color w:val="000000" w:themeColor="text1"/>
          <w:sz w:val="16"/>
          <w:szCs w:val="16"/>
        </w:rPr>
        <w:t>кондиционности</w:t>
      </w:r>
      <w:proofErr w:type="spellEnd"/>
      <w:r w:rsidRPr="00A259BD">
        <w:rPr>
          <w:color w:val="000000" w:themeColor="text1"/>
          <w:sz w:val="16"/>
          <w:szCs w:val="16"/>
        </w:rPr>
        <w:t xml:space="preserve"> «из-за того, что он пришел из разных районов», не было. Имел место следующий факт: при подаче с базисного склада треста леса, зараженного синевой, приемщик требовал от завода сообщения района заготовки этого леса для того, чтобы в дальнейшем иметь наблюдение за качеством леса, в зависимости от места его заготовки.</w:t>
      </w:r>
    </w:p>
    <w:p w14:paraId="5EE71748"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rPr>
        <w:t>2. 100 шт. шестерней ветрянок Р</w:t>
      </w:r>
      <w:r w:rsidRPr="00A259BD">
        <w:rPr>
          <w:color w:val="000000" w:themeColor="text1"/>
          <w:sz w:val="16"/>
          <w:szCs w:val="16"/>
        </w:rPr>
        <w:noBreakHyphen/>
        <w:t>1 были отклонены военной приемкой вследствие неправильной нарезки их зубьев (поэтому-то в работе эти шестерни и давали «большой шум»). Завод сначала против отклонения не возражал, но когда через месяц ему потребовались ветрянки, так как он их не заготовил, он обратился к военной приемке с просьбой пропустить эти шестерни с исправлением зубьев от руки. Шестерни эти после пригонки приемщиком частично были пропущены в производство, завод же, перенеся производство шестерней на новые станки с новыми приспособлениями, изжил причину возникновения дефекта.</w:t>
      </w:r>
    </w:p>
    <w:p w14:paraId="6274FE8B"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rPr>
        <w:t xml:space="preserve">Тяжелый опыт, который получили авиапромышленность и УВВС за последние 2 года при постройке новых типов самолетов и моторов, в полной мере учтен </w:t>
      </w:r>
      <w:proofErr w:type="spellStart"/>
      <w:r w:rsidRPr="00A259BD">
        <w:rPr>
          <w:color w:val="000000" w:themeColor="text1"/>
          <w:sz w:val="16"/>
          <w:szCs w:val="16"/>
        </w:rPr>
        <w:t>военведом</w:t>
      </w:r>
      <w:proofErr w:type="spellEnd"/>
      <w:r w:rsidRPr="00A259BD">
        <w:rPr>
          <w:color w:val="000000" w:themeColor="text1"/>
          <w:sz w:val="16"/>
          <w:szCs w:val="16"/>
        </w:rPr>
        <w:t>, что Вы можете видеть по ниже приводимой выписки из письма зам. наркомвоенмора т. </w:t>
      </w:r>
      <w:proofErr w:type="spellStart"/>
      <w:r w:rsidR="00000000">
        <w:fldChar w:fldCharType="begin"/>
      </w:r>
      <w:r w:rsidR="00000000">
        <w:instrText>HYPERLINK "http://www.hrono.ru/biograf/bio_u/unshliht_is.php"</w:instrText>
      </w:r>
      <w:r w:rsidR="00000000">
        <w:fldChar w:fldCharType="separate"/>
      </w:r>
      <w:r w:rsidRPr="00A259BD">
        <w:rPr>
          <w:color w:val="000000" w:themeColor="text1"/>
          <w:sz w:val="16"/>
          <w:szCs w:val="16"/>
        </w:rPr>
        <w:t>Уншлихта</w:t>
      </w:r>
      <w:proofErr w:type="spellEnd"/>
      <w:r w:rsidR="00000000">
        <w:rPr>
          <w:color w:val="000000" w:themeColor="text1"/>
          <w:sz w:val="16"/>
          <w:szCs w:val="16"/>
        </w:rPr>
        <w:fldChar w:fldCharType="end"/>
      </w:r>
      <w:r w:rsidRPr="00A259BD">
        <w:rPr>
          <w:color w:val="000000" w:themeColor="text1"/>
          <w:sz w:val="16"/>
          <w:szCs w:val="16"/>
        </w:rPr>
        <w:t> — ВСНХ, т. </w:t>
      </w:r>
      <w:hyperlink r:id="rId177" w:history="1">
        <w:r w:rsidRPr="00A259BD">
          <w:rPr>
            <w:color w:val="000000" w:themeColor="text1"/>
            <w:sz w:val="16"/>
            <w:szCs w:val="16"/>
          </w:rPr>
          <w:t>Куйбышеву</w:t>
        </w:r>
      </w:hyperlink>
      <w:r w:rsidRPr="00A259BD">
        <w:rPr>
          <w:color w:val="000000" w:themeColor="text1"/>
          <w:sz w:val="16"/>
          <w:szCs w:val="16"/>
        </w:rPr>
        <w:t>; ГВПУ, т. </w:t>
      </w:r>
      <w:hyperlink r:id="rId178" w:history="1">
        <w:r w:rsidRPr="00A259BD">
          <w:rPr>
            <w:color w:val="000000" w:themeColor="text1"/>
            <w:sz w:val="16"/>
            <w:szCs w:val="16"/>
          </w:rPr>
          <w:t>Урываеву</w:t>
        </w:r>
      </w:hyperlink>
      <w:r w:rsidRPr="00A259BD">
        <w:rPr>
          <w:color w:val="000000" w:themeColor="text1"/>
          <w:sz w:val="16"/>
          <w:szCs w:val="16"/>
        </w:rPr>
        <w:t>; ОГПУ, т. </w:t>
      </w:r>
      <w:hyperlink r:id="rId179" w:history="1">
        <w:r w:rsidRPr="00A259BD">
          <w:rPr>
            <w:color w:val="000000" w:themeColor="text1"/>
            <w:sz w:val="16"/>
            <w:szCs w:val="16"/>
          </w:rPr>
          <w:t>Ольскому</w:t>
        </w:r>
      </w:hyperlink>
      <w:r w:rsidRPr="00A259BD">
        <w:rPr>
          <w:color w:val="000000" w:themeColor="text1"/>
          <w:sz w:val="16"/>
          <w:szCs w:val="16"/>
        </w:rPr>
        <w:t>; НК РКИ, т. </w:t>
      </w:r>
      <w:proofErr w:type="spellStart"/>
      <w:r w:rsidR="00000000">
        <w:fldChar w:fldCharType="begin"/>
      </w:r>
      <w:r w:rsidR="00000000">
        <w:instrText>HYPERLINK "http://www.hrono.ru/biograf/bio_p/pavlunovski_ip.php"</w:instrText>
      </w:r>
      <w:r w:rsidR="00000000">
        <w:fldChar w:fldCharType="separate"/>
      </w:r>
      <w:r w:rsidRPr="00A259BD">
        <w:rPr>
          <w:color w:val="000000" w:themeColor="text1"/>
          <w:sz w:val="16"/>
          <w:szCs w:val="16"/>
        </w:rPr>
        <w:t>Павлуновскому</w:t>
      </w:r>
      <w:proofErr w:type="spellEnd"/>
      <w:r w:rsidR="00000000">
        <w:rPr>
          <w:color w:val="000000" w:themeColor="text1"/>
          <w:sz w:val="16"/>
          <w:szCs w:val="16"/>
        </w:rPr>
        <w:fldChar w:fldCharType="end"/>
      </w:r>
      <w:r w:rsidRPr="00A259BD">
        <w:rPr>
          <w:color w:val="000000" w:themeColor="text1"/>
          <w:sz w:val="16"/>
          <w:szCs w:val="16"/>
        </w:rPr>
        <w:t>; МК ВКП(б), т. </w:t>
      </w:r>
      <w:hyperlink r:id="rId180" w:history="1">
        <w:r w:rsidRPr="00A259BD">
          <w:rPr>
            <w:color w:val="000000" w:themeColor="text1"/>
            <w:sz w:val="16"/>
            <w:szCs w:val="16"/>
          </w:rPr>
          <w:t>Бауману</w:t>
        </w:r>
      </w:hyperlink>
      <w:r w:rsidRPr="00A259BD">
        <w:rPr>
          <w:color w:val="000000" w:themeColor="text1"/>
          <w:sz w:val="16"/>
          <w:szCs w:val="16"/>
        </w:rPr>
        <w:t>; НКВМ, т. </w:t>
      </w:r>
      <w:hyperlink r:id="rId181" w:history="1">
        <w:r w:rsidRPr="00A259BD">
          <w:rPr>
            <w:color w:val="000000" w:themeColor="text1"/>
            <w:sz w:val="16"/>
            <w:szCs w:val="16"/>
          </w:rPr>
          <w:t>Ворошилову</w:t>
        </w:r>
      </w:hyperlink>
      <w:r w:rsidRPr="00A259BD">
        <w:rPr>
          <w:color w:val="000000" w:themeColor="text1"/>
          <w:sz w:val="16"/>
          <w:szCs w:val="16"/>
        </w:rPr>
        <w:t>: «...³*Длительное (от 2 до 3 лет) и мучительное внедрение опытных образцов в серийное производство из-за того, что в процессе серийного производства приходится устранять в конструкции целый ряд дефектов, опасных для полетов, как это имело место в отношении И</w:t>
      </w:r>
      <w:r w:rsidRPr="00A259BD">
        <w:rPr>
          <w:color w:val="000000" w:themeColor="text1"/>
          <w:sz w:val="16"/>
          <w:szCs w:val="16"/>
        </w:rPr>
        <w:noBreakHyphen/>
        <w:t>2, И</w:t>
      </w:r>
      <w:r w:rsidRPr="00A259BD">
        <w:rPr>
          <w:color w:val="000000" w:themeColor="text1"/>
          <w:sz w:val="16"/>
          <w:szCs w:val="16"/>
        </w:rPr>
        <w:noBreakHyphen/>
        <w:t>2 бис, И</w:t>
      </w:r>
      <w:r w:rsidRPr="00A259BD">
        <w:rPr>
          <w:color w:val="000000" w:themeColor="text1"/>
          <w:sz w:val="16"/>
          <w:szCs w:val="16"/>
        </w:rPr>
        <w:noBreakHyphen/>
        <w:t>3, М</w:t>
      </w:r>
      <w:r w:rsidRPr="00A259BD">
        <w:rPr>
          <w:color w:val="000000" w:themeColor="text1"/>
          <w:sz w:val="16"/>
          <w:szCs w:val="16"/>
        </w:rPr>
        <w:noBreakHyphen/>
        <w:t>11. Это, в свою очередь, еще больше удлиняет сроки поступления новых типов на вооружение Воздушного флота и создает исключительно тяжелое положение на заводах серийного производства...» «Весь опыт и история внедрения в серийное производство И</w:t>
      </w:r>
      <w:r w:rsidRPr="00A259BD">
        <w:rPr>
          <w:color w:val="000000" w:themeColor="text1"/>
          <w:sz w:val="16"/>
          <w:szCs w:val="16"/>
        </w:rPr>
        <w:noBreakHyphen/>
        <w:t>2, И</w:t>
      </w:r>
      <w:r w:rsidRPr="00A259BD">
        <w:rPr>
          <w:color w:val="000000" w:themeColor="text1"/>
          <w:sz w:val="16"/>
          <w:szCs w:val="16"/>
        </w:rPr>
        <w:noBreakHyphen/>
        <w:t>2 бис, И</w:t>
      </w:r>
      <w:r w:rsidRPr="00A259BD">
        <w:rPr>
          <w:color w:val="000000" w:themeColor="text1"/>
          <w:sz w:val="16"/>
          <w:szCs w:val="16"/>
        </w:rPr>
        <w:noBreakHyphen/>
        <w:t>3 и М</w:t>
      </w:r>
      <w:r w:rsidRPr="00A259BD">
        <w:rPr>
          <w:color w:val="000000" w:themeColor="text1"/>
          <w:sz w:val="16"/>
          <w:szCs w:val="16"/>
        </w:rPr>
        <w:noBreakHyphen/>
        <w:t xml:space="preserve">11 в недоделанном и </w:t>
      </w:r>
      <w:proofErr w:type="spellStart"/>
      <w:r w:rsidRPr="00A259BD">
        <w:rPr>
          <w:color w:val="000000" w:themeColor="text1"/>
          <w:sz w:val="16"/>
          <w:szCs w:val="16"/>
        </w:rPr>
        <w:t>недоиспытанном</w:t>
      </w:r>
      <w:proofErr w:type="spellEnd"/>
      <w:r w:rsidRPr="00A259BD">
        <w:rPr>
          <w:color w:val="000000" w:themeColor="text1"/>
          <w:sz w:val="16"/>
          <w:szCs w:val="16"/>
        </w:rPr>
        <w:t xml:space="preserve"> виде обуславливает и повелевает отказаться от впуска в серию новых конструкций, в частности Р</w:t>
      </w:r>
      <w:r w:rsidRPr="00A259BD">
        <w:rPr>
          <w:color w:val="000000" w:themeColor="text1"/>
          <w:sz w:val="16"/>
          <w:szCs w:val="16"/>
        </w:rPr>
        <w:noBreakHyphen/>
        <w:t>5, впредь до полного окончания технических и эксплуатационных (войсковых) испытаний и устранения в опытных экземплярах этих новых типов (в первую очередь Р</w:t>
      </w:r>
      <w:r w:rsidRPr="00A259BD">
        <w:rPr>
          <w:color w:val="000000" w:themeColor="text1"/>
          <w:sz w:val="16"/>
          <w:szCs w:val="16"/>
        </w:rPr>
        <w:noBreakHyphen/>
        <w:t>5) всех тех дефектов и неполадок, необходимость устранения коих диктуют и повелевают результаты испытаний. Несоблюдение этого требования, кроме лишней, ненужной и даже преступной траты сил, средств и времени, ничего не дает ни для обороны, ни для экономики страны».</w:t>
      </w:r>
    </w:p>
    <w:p w14:paraId="3D560F16"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rPr>
        <w:t>Что же касается того затруднительного положения, в котором сейчас находится завод № 1 из-за необходимости внесения улучшений конструкции в уже имеющийся задел по И</w:t>
      </w:r>
      <w:r w:rsidRPr="00A259BD">
        <w:rPr>
          <w:color w:val="000000" w:themeColor="text1"/>
          <w:sz w:val="16"/>
          <w:szCs w:val="16"/>
        </w:rPr>
        <w:noBreakHyphen/>
        <w:t xml:space="preserve">3, то УВВС РККА, со своей стороны, готово обсуждать все предложения </w:t>
      </w:r>
      <w:proofErr w:type="spellStart"/>
      <w:r w:rsidRPr="00A259BD">
        <w:rPr>
          <w:color w:val="000000" w:themeColor="text1"/>
          <w:sz w:val="16"/>
          <w:szCs w:val="16"/>
        </w:rPr>
        <w:t>Авиатреста</w:t>
      </w:r>
      <w:proofErr w:type="spellEnd"/>
      <w:r w:rsidRPr="00A259BD">
        <w:rPr>
          <w:color w:val="000000" w:themeColor="text1"/>
          <w:sz w:val="16"/>
          <w:szCs w:val="16"/>
        </w:rPr>
        <w:t>, направленные к возможно безболезненному разрешению этого вопроса.</w:t>
      </w:r>
    </w:p>
    <w:p w14:paraId="298D8ABF"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rPr>
        <w:t>В заключение следует упомянуть, что вопрос о неполадках при постройке самолетов истребителей И</w:t>
      </w:r>
      <w:r w:rsidRPr="00A259BD">
        <w:rPr>
          <w:color w:val="000000" w:themeColor="text1"/>
          <w:sz w:val="16"/>
          <w:szCs w:val="16"/>
        </w:rPr>
        <w:noBreakHyphen/>
        <w:t>1, И</w:t>
      </w:r>
      <w:r w:rsidRPr="00A259BD">
        <w:rPr>
          <w:color w:val="000000" w:themeColor="text1"/>
          <w:sz w:val="16"/>
          <w:szCs w:val="16"/>
        </w:rPr>
        <w:noBreakHyphen/>
        <w:t>2 и И</w:t>
      </w:r>
      <w:r w:rsidRPr="00A259BD">
        <w:rPr>
          <w:color w:val="000000" w:themeColor="text1"/>
          <w:sz w:val="16"/>
          <w:szCs w:val="16"/>
        </w:rPr>
        <w:noBreakHyphen/>
        <w:t>2 бис в свое время разбирался Краснопресненским райкомом ВКП(б); вопрос о металлических шасси Р</w:t>
      </w:r>
      <w:r w:rsidRPr="00A259BD">
        <w:rPr>
          <w:color w:val="000000" w:themeColor="text1"/>
          <w:sz w:val="16"/>
          <w:szCs w:val="16"/>
        </w:rPr>
        <w:noBreakHyphen/>
        <w:t>1, перестановке пулеметов на И</w:t>
      </w:r>
      <w:r w:rsidRPr="00A259BD">
        <w:rPr>
          <w:color w:val="000000" w:themeColor="text1"/>
          <w:sz w:val="16"/>
          <w:szCs w:val="16"/>
        </w:rPr>
        <w:noBreakHyphen/>
        <w:t>2 бис и вообще прохождения заказа по И</w:t>
      </w:r>
      <w:r w:rsidRPr="00A259BD">
        <w:rPr>
          <w:color w:val="000000" w:themeColor="text1"/>
          <w:sz w:val="16"/>
          <w:szCs w:val="16"/>
        </w:rPr>
        <w:noBreakHyphen/>
        <w:t>2 бис недавно обследовался НК РКИ; дефекты, обнаружившиеся в первых самолетах И</w:t>
      </w:r>
      <w:r w:rsidRPr="00A259BD">
        <w:rPr>
          <w:color w:val="000000" w:themeColor="text1"/>
          <w:sz w:val="16"/>
          <w:szCs w:val="16"/>
        </w:rPr>
        <w:noBreakHyphen/>
        <w:t>3, были причиной специального расследования о[</w:t>
      </w:r>
      <w:proofErr w:type="spellStart"/>
      <w:r w:rsidRPr="00A259BD">
        <w:rPr>
          <w:color w:val="000000" w:themeColor="text1"/>
          <w:sz w:val="16"/>
          <w:szCs w:val="16"/>
        </w:rPr>
        <w:t>собого</w:t>
      </w:r>
      <w:proofErr w:type="spellEnd"/>
      <w:r w:rsidRPr="00A259BD">
        <w:rPr>
          <w:color w:val="000000" w:themeColor="text1"/>
          <w:sz w:val="16"/>
          <w:szCs w:val="16"/>
        </w:rPr>
        <w:t>] о[</w:t>
      </w:r>
      <w:proofErr w:type="spellStart"/>
      <w:r w:rsidRPr="00A259BD">
        <w:rPr>
          <w:color w:val="000000" w:themeColor="text1"/>
          <w:sz w:val="16"/>
          <w:szCs w:val="16"/>
        </w:rPr>
        <w:t>тдела</w:t>
      </w:r>
      <w:proofErr w:type="spellEnd"/>
      <w:r w:rsidRPr="00A259BD">
        <w:rPr>
          <w:color w:val="000000" w:themeColor="text1"/>
          <w:sz w:val="16"/>
          <w:szCs w:val="16"/>
        </w:rPr>
        <w:t>] ОГПУ, которое также было в курсе всех затруднений завода № 1 по постройке И</w:t>
      </w:r>
      <w:r w:rsidRPr="00A259BD">
        <w:rPr>
          <w:color w:val="000000" w:themeColor="text1"/>
          <w:sz w:val="16"/>
          <w:szCs w:val="16"/>
        </w:rPr>
        <w:noBreakHyphen/>
        <w:t>2 бис и по металлическому шасси Р</w:t>
      </w:r>
      <w:r w:rsidRPr="00A259BD">
        <w:rPr>
          <w:color w:val="000000" w:themeColor="text1"/>
          <w:sz w:val="16"/>
          <w:szCs w:val="16"/>
        </w:rPr>
        <w:noBreakHyphen/>
        <w:t>1, причем в отношении конструктора самолета И</w:t>
      </w:r>
      <w:r w:rsidRPr="00A259BD">
        <w:rPr>
          <w:color w:val="000000" w:themeColor="text1"/>
          <w:sz w:val="16"/>
          <w:szCs w:val="16"/>
        </w:rPr>
        <w:noBreakHyphen/>
        <w:t>2 бис были сделаны соответствующие организационные выводы.</w:t>
      </w:r>
    </w:p>
    <w:p w14:paraId="36108D5D" w14:textId="77777777" w:rsidR="001C166D" w:rsidRPr="00A259BD" w:rsidRDefault="001C166D"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Начальник Военных воздушных сил РККА </w:t>
      </w:r>
      <w:hyperlink r:id="rId182" w:history="1">
        <w:r w:rsidRPr="00A259BD">
          <w:rPr>
            <w:rStyle w:val="af0"/>
            <w:i w:val="0"/>
            <w:color w:val="000000" w:themeColor="text1"/>
            <w:sz w:val="16"/>
            <w:szCs w:val="16"/>
          </w:rPr>
          <w:t>Баранов</w:t>
        </w:r>
      </w:hyperlink>
    </w:p>
    <w:p w14:paraId="340C09AB" w14:textId="77777777" w:rsidR="001C166D" w:rsidRPr="00A259BD" w:rsidRDefault="001C166D"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p>
    <w:p w14:paraId="4CDBB9A4"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Копии направлены: председателю РВС СССР И. С. </w:t>
      </w:r>
      <w:proofErr w:type="spellStart"/>
      <w:r w:rsidRPr="00A259BD">
        <w:rPr>
          <w:color w:val="000000" w:themeColor="text1"/>
          <w:sz w:val="16"/>
          <w:szCs w:val="16"/>
        </w:rPr>
        <w:t>Уншлихту</w:t>
      </w:r>
      <w:proofErr w:type="spellEnd"/>
      <w:r w:rsidRPr="00A259BD">
        <w:rPr>
          <w:color w:val="000000" w:themeColor="text1"/>
          <w:sz w:val="16"/>
          <w:szCs w:val="16"/>
        </w:rPr>
        <w:t>, председателю ВСНХ СССР В. В. Куйбышеву, зам. наркома НК РКИ И. П. </w:t>
      </w:r>
      <w:proofErr w:type="spellStart"/>
      <w:r w:rsidRPr="00A259BD">
        <w:rPr>
          <w:color w:val="000000" w:themeColor="text1"/>
          <w:sz w:val="16"/>
          <w:szCs w:val="16"/>
        </w:rPr>
        <w:t>Павлуновскому</w:t>
      </w:r>
      <w:proofErr w:type="spellEnd"/>
      <w:r w:rsidRPr="00A259BD">
        <w:rPr>
          <w:color w:val="000000" w:themeColor="text1"/>
          <w:sz w:val="16"/>
          <w:szCs w:val="16"/>
        </w:rPr>
        <w:t xml:space="preserve">, в ОГПУ Я. К. Ольскому, начальнику ГВПУ М. Г. Урываеву, председателю правления </w:t>
      </w:r>
      <w:proofErr w:type="spellStart"/>
      <w:r w:rsidRPr="00A259BD">
        <w:rPr>
          <w:color w:val="000000" w:themeColor="text1"/>
          <w:sz w:val="16"/>
          <w:szCs w:val="16"/>
        </w:rPr>
        <w:t>Авиатреста</w:t>
      </w:r>
      <w:proofErr w:type="spellEnd"/>
      <w:r w:rsidRPr="00A259BD">
        <w:rPr>
          <w:color w:val="000000" w:themeColor="text1"/>
          <w:sz w:val="16"/>
          <w:szCs w:val="16"/>
        </w:rPr>
        <w:t xml:space="preserve"> И. К. Михайлову.</w:t>
      </w:r>
    </w:p>
    <w:p w14:paraId="246D9E39"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Так в тексте.</w:t>
      </w:r>
    </w:p>
    <w:p w14:paraId="1C5BBBCA"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vertAlign w:val="superscript"/>
        </w:rPr>
        <w:t>3</w:t>
      </w:r>
      <w:r w:rsidRPr="00A259BD">
        <w:rPr>
          <w:color w:val="000000" w:themeColor="text1"/>
          <w:sz w:val="16"/>
          <w:szCs w:val="16"/>
        </w:rPr>
        <w:t>* Здесь и далее отточия документа.</w:t>
      </w:r>
    </w:p>
    <w:p w14:paraId="063FE803" w14:textId="77777777" w:rsidR="001C166D" w:rsidRPr="00A259BD" w:rsidRDefault="001C166D" w:rsidP="009236E3">
      <w:pPr>
        <w:pStyle w:val="ae"/>
        <w:spacing w:before="0" w:after="0"/>
        <w:jc w:val="both"/>
        <w:rPr>
          <w:color w:val="000000" w:themeColor="text1"/>
          <w:sz w:val="16"/>
          <w:szCs w:val="16"/>
        </w:rPr>
      </w:pPr>
      <w:r w:rsidRPr="00A259BD">
        <w:rPr>
          <w:color w:val="000000" w:themeColor="text1"/>
          <w:sz w:val="16"/>
          <w:szCs w:val="16"/>
        </w:rPr>
        <w:t>РГВА. Ф. 29. Оп. 23. Д. 256. Л. 72 об.—77 об. Заверенная копия.</w:t>
      </w:r>
    </w:p>
    <w:p w14:paraId="5CB47455"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РГВА. Ф. 29. Оп. 23. Д. 256. Л. 72 об.—77 об. Заверенная копия. </w:t>
      </w:r>
    </w:p>
    <w:p w14:paraId="11DFD865"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361-368 (12466).</w:t>
      </w:r>
    </w:p>
    <w:p w14:paraId="537D434D" w14:textId="77777777" w:rsidR="001C166D" w:rsidRPr="00A259BD" w:rsidRDefault="001C166D" w:rsidP="009236E3">
      <w:pPr>
        <w:spacing w:after="0" w:line="240" w:lineRule="auto"/>
        <w:jc w:val="both"/>
        <w:rPr>
          <w:rFonts w:ascii="Times New Roman" w:hAnsi="Times New Roman"/>
          <w:color w:val="000000" w:themeColor="text1"/>
          <w:sz w:val="16"/>
          <w:szCs w:val="16"/>
        </w:rPr>
      </w:pPr>
    </w:p>
    <w:p w14:paraId="6011C5FF"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25 сентября 1929 г. Письмо директора завода № 23 А. Савельева начальнику ГВПУ М. Г. Урываеву о проблемах конструирования и опытного авиастроения</w:t>
      </w:r>
    </w:p>
    <w:p w14:paraId="24E5A0A7"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Секретно. I</w:t>
      </w:r>
    </w:p>
    <w:p w14:paraId="1850F86B"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Лично. 1</w:t>
      </w:r>
    </w:p>
    <w:p w14:paraId="7556DADD"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Уважаемый Михаил Георгиевич,</w:t>
      </w:r>
    </w:p>
    <w:p w14:paraId="201740C1"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разрешите мне высказать мнение по вопросу опытного строительства и новых типов машин. Последний разговор с Вами у Вас в кабинете заставляет задуматься, как двигаться вперед, чтобы догнать и перегнать Европу. Там уже подмечалось, что у нас конструкторов очень мало, да и те много теряют времени на всякие заседания, а конструкторскому творчеству остается очень немного времени. Это — одна из причин, влияющих на медленный прогресс. Кроме того, не менее важная причина — это та, что у нас не было возможности до сих пор нащупать практически подобных Поликарпову, а, может, и лучше по способностям среди рядового технического персонала в заводах. Сам Поликарпов заявлял, что работать ему не с кем — все молодежь, и эти недавно окунулись в работу.</w:t>
      </w:r>
    </w:p>
    <w:p w14:paraId="371BF851"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Мы должны искать новых способных конструкторов — это можно выявить практически, дав то или иное задание свыше (мое же мнение — такое задание можно получить от Вас).</w:t>
      </w:r>
    </w:p>
    <w:p w14:paraId="47120ADA"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Я думаю, найдутся люди, которые могли бы в это дело вложить все свои познания.</w:t>
      </w:r>
    </w:p>
    <w:p w14:paraId="1A37155B"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Мы в настоящее время много говорим и пишем о социалистическом соревновании, об изобретательстве и подчеркиваем, что много хороших моментов имеется у отдельных рабочих, которых в настоящее время всколыхнули, и видим уже плоды, полезные для нашего социалистического государства, и наблюдаем, что один начинает делать больше и лучше другого, этим самым заставляя подтягиваться и другого.</w:t>
      </w:r>
    </w:p>
    <w:p w14:paraId="4E3AF476"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Не менее важна перед нами задача специально всколыхнуть высший техперсонал в части соревнования конструкций новых машин или модификация существующих типов — взять все хорошее и придать что-то новое: 1) частичное изменение профиля крыльев; 2) соответствующим образом облегчить и приспособить более сильный </w:t>
      </w:r>
      <w:r w:rsidRPr="00441F34">
        <w:rPr>
          <w:rFonts w:ascii="Times New Roman" w:hAnsi="Times New Roman"/>
          <w:color w:val="0070C0"/>
          <w:sz w:val="16"/>
          <w:szCs w:val="16"/>
        </w:rPr>
        <w:lastRenderedPageBreak/>
        <w:t>мотор. Нам на одном Поликарпове далеко не уехать, мы вынуждены искать новых сил, и, кроме того, Поликарпов и другие главным образом работают, надеясь на подходящий коллектив работников, тот, который у него работает, а сам он подчеркивает, что силы молодые и опыта мало.</w:t>
      </w:r>
    </w:p>
    <w:p w14:paraId="46C139BE"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Я слышал от Вас и от других, что за границей много фирм, которые занимаются самолетным делом, и заводы небольшие. Это дело, без сомнения, идет по линии конкуренции, по линии опередить одна фирма другую. Это один из стимулов для прогресса.</w:t>
      </w:r>
    </w:p>
    <w:p w14:paraId="7DD116EB"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Большинство наших работников, в особенности технический персонал, имеет тенденцию стоять выше на голову другого, и к этому приложатся и прикладывают в отдельных случаях все силы.</w:t>
      </w:r>
    </w:p>
    <w:p w14:paraId="596940F6"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Все вышеизложенное сводится к тому, чтобы побудить зашевелиться тех людей, которые имеют практику в авиационном деле. Я много думал после разговора с Вами по этому вопросу и решил обменяться мнением. Думаю, что на этот вопрос нам нужно заострить внимание.</w:t>
      </w:r>
    </w:p>
    <w:p w14:paraId="35EE067E"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Разрешите мне теперь коснуться нашего ленинградского завода: какие он имеет силы, можно ли их использовать для коллективного творчества. Я думаю, это возможно. Завод с 1922 г. построил следующие типы самолетов: 1) М-9 — морской разведчик с мотором «</w:t>
      </w:r>
      <w:proofErr w:type="spellStart"/>
      <w:r w:rsidRPr="00441F34">
        <w:rPr>
          <w:rFonts w:ascii="Times New Roman" w:hAnsi="Times New Roman"/>
          <w:color w:val="0070C0"/>
          <w:sz w:val="16"/>
          <w:szCs w:val="16"/>
        </w:rPr>
        <w:t>Сальмсон</w:t>
      </w:r>
      <w:proofErr w:type="spellEnd"/>
      <w:r w:rsidRPr="00441F34">
        <w:rPr>
          <w:rFonts w:ascii="Times New Roman" w:hAnsi="Times New Roman"/>
          <w:color w:val="0070C0"/>
          <w:sz w:val="16"/>
          <w:szCs w:val="16"/>
        </w:rPr>
        <w:t>» 150 HP; 2) М-2[4] — морской разведчик с мотором «Рено» 260 HP; 3) М-5 — морская учебная лодка с мотором «Гном» 100 HP; 4) «</w:t>
      </w:r>
      <w:proofErr w:type="spellStart"/>
      <w:r w:rsidRPr="00441F34">
        <w:rPr>
          <w:rFonts w:ascii="Times New Roman" w:hAnsi="Times New Roman"/>
          <w:color w:val="0070C0"/>
          <w:sz w:val="16"/>
          <w:szCs w:val="16"/>
        </w:rPr>
        <w:t>Сопвич</w:t>
      </w:r>
      <w:proofErr w:type="spellEnd"/>
      <w:r w:rsidRPr="00441F34">
        <w:rPr>
          <w:rFonts w:ascii="Times New Roman" w:hAnsi="Times New Roman"/>
          <w:color w:val="0070C0"/>
          <w:sz w:val="16"/>
          <w:szCs w:val="16"/>
        </w:rPr>
        <w:t>» — сухопутный разведчик; 5) У-1 — сухопутный разведчик с мотором «Рено» 120 HP; 6) МУ-1 — морской разведчик с мотором «Рено»; 7) И-2 — сухопутный истребитель с мотором М-5 400 HP; 8) И-2бис — сухопутный истребитель с мотором М-5 400 HP; 9) У-2 — учебный сухопутный с мотором М-11 100 HP; 10) П-2 — переходный сухопутный с мотором М-11. Из вышеназванных типов М-24, И-2 и И-2бис проектировали при тесном участии завода, а постройку их вел завод. В эти моменты завод много пережил и приобрел большую практику. Так, в части конструкции и производства, когда завод № 25 выпустил И-3, то приходилось говорить на эту тему, что И-3 дал хорошие результаты, то мне говорили, что около него будет много разговоров и прибавляли, что если бы правление дало нам возможность модифицировать И-2бис с усиленным мотором, то результатов можно было бы достигнуть лучших. Это заявляет инженер Зверев, ссылаясь на моторы «БМВ» и «Юпитер». И-3 — очень машина дорогая и сложна в производстве (этот факт отрицать нельзя). И-2бис всего-навсего мы делали полгода и связаны со сроками, что не давало возможности улучшить машину в столь короткий срок и на одной партии машин.</w:t>
      </w:r>
    </w:p>
    <w:p w14:paraId="077BE38C"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1 октября наш завод имеет нагрузку по повторным типам У-1, МУ-1 и У-2, и конструкторские силы можно было бы использовать для более сложной работы, распускать их нет возможности, так как мы не знаем, какие могут быть задания в ближайший период, а работники очень ценные, которых потом не найдешь. Я подробно говорил на эту тему с инженером Зверевым, который заявляет, что с нашими работниками лучше всего было бы усовершенствовать машину И-2бис, о которой, как нам известно, отзывы удовлетворительны, но только с другим мотором, более сильным, лучше бы с «Юпитером».</w:t>
      </w:r>
    </w:p>
    <w:p w14:paraId="36D5282F"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Я по этому вопросу начал говорить с т. Михайловым, но считаю, что это бесполезно, и решил возбуждать этот вопрос через Вас. Над этим вопросом следует </w:t>
      </w:r>
      <w:proofErr w:type="spellStart"/>
      <w:r w:rsidRPr="00441F34">
        <w:rPr>
          <w:rFonts w:ascii="Times New Roman" w:hAnsi="Times New Roman"/>
          <w:color w:val="0070C0"/>
          <w:sz w:val="16"/>
          <w:szCs w:val="16"/>
        </w:rPr>
        <w:t>подзадуматься</w:t>
      </w:r>
      <w:proofErr w:type="spellEnd"/>
      <w:r w:rsidRPr="00441F34">
        <w:rPr>
          <w:rFonts w:ascii="Times New Roman" w:hAnsi="Times New Roman"/>
          <w:color w:val="0070C0"/>
          <w:sz w:val="16"/>
          <w:szCs w:val="16"/>
        </w:rPr>
        <w:t xml:space="preserve"> и сделать соответствующие выводы. Надеюсь, если я неправильно понимаю этот вопрос, то Вы мне ответите; если Вы согласны, то просил бы Вас оказать содействие.</w:t>
      </w:r>
    </w:p>
    <w:p w14:paraId="2A736100"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Работа, за которую мы бы взялись, вызовет много разговоров, но думаю, что надо это дело проталкивать при соревновании и правильно использовать работников, можно многое сделать для продвижения вперед. Жду Вашего ответа.</w:t>
      </w:r>
    </w:p>
    <w:p w14:paraId="275D133F"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товарищеским приветом, Савельев</w:t>
      </w:r>
    </w:p>
    <w:p w14:paraId="38B80DFC" w14:textId="77777777" w:rsidR="002F3A10" w:rsidRPr="00441F34" w:rsidRDefault="002F3A10" w:rsidP="002F3A10">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РГАЭ. Ф. 2097. Оп. 1. Д. 843. Л. 56—57. Подлинник (23659).</w:t>
      </w:r>
    </w:p>
    <w:p w14:paraId="07FD5BEF" w14:textId="77777777" w:rsidR="002F3A10" w:rsidRPr="00441F34" w:rsidRDefault="002F3A10" w:rsidP="002F3A10">
      <w:pPr>
        <w:spacing w:after="0" w:line="240" w:lineRule="auto"/>
        <w:jc w:val="both"/>
        <w:rPr>
          <w:rFonts w:ascii="Times New Roman" w:hAnsi="Times New Roman"/>
          <w:color w:val="0070C0"/>
          <w:sz w:val="16"/>
          <w:szCs w:val="16"/>
        </w:rPr>
      </w:pPr>
    </w:p>
    <w:p w14:paraId="078BCC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сентября 1929 на ЦА в 7:00 состоялись испытания КАСКР-1 “Красный инженер” </w:t>
      </w:r>
      <w:proofErr w:type="spellStart"/>
      <w:r w:rsidRPr="00A259BD">
        <w:rPr>
          <w:rFonts w:ascii="Times New Roman" w:hAnsi="Times New Roman"/>
          <w:color w:val="000000" w:themeColor="text1"/>
          <w:sz w:val="16"/>
          <w:szCs w:val="16"/>
        </w:rPr>
        <w:t>Н.И.Камова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Н.С.Скржинского</w:t>
      </w:r>
      <w:proofErr w:type="spellEnd"/>
      <w:r w:rsidRPr="00A259BD">
        <w:rPr>
          <w:rFonts w:ascii="Times New Roman" w:hAnsi="Times New Roman"/>
          <w:color w:val="000000" w:themeColor="text1"/>
          <w:sz w:val="16"/>
          <w:szCs w:val="16"/>
        </w:rPr>
        <w:t xml:space="preserve"> закончились, так как он перевернулся (93,120). По другим данным - перевернулся 27 сентября (79,150).</w:t>
      </w:r>
    </w:p>
    <w:p w14:paraId="191FB1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"Красный инженер" конструкции </w:t>
      </w:r>
      <w:proofErr w:type="spellStart"/>
      <w:r w:rsidRPr="00A259BD">
        <w:rPr>
          <w:rFonts w:ascii="Times New Roman" w:hAnsi="Times New Roman"/>
          <w:color w:val="000000" w:themeColor="text1"/>
          <w:sz w:val="16"/>
          <w:szCs w:val="16"/>
        </w:rPr>
        <w:t>Н.И.Камова</w:t>
      </w:r>
      <w:proofErr w:type="spellEnd"/>
      <w:r w:rsidRPr="00A259BD">
        <w:rPr>
          <w:rFonts w:ascii="Times New Roman" w:hAnsi="Times New Roman"/>
          <w:color w:val="000000" w:themeColor="text1"/>
          <w:sz w:val="16"/>
          <w:szCs w:val="16"/>
        </w:rPr>
        <w:t xml:space="preserve"> (274).</w:t>
      </w:r>
    </w:p>
    <w:p w14:paraId="6FE8ED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DA70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сентября 1929 г. После ремонта лопастей и оперения автожир вновь вывели на аэродром. Летчик Михеев занял место в передней кабине. Раскрутили ротор вручную. Как вспоминал Камов, сидевший в задней кабине, машина пробежала с полсотни метров и оторвалась от земли. Пролетела около 250 метров на высоте 2-3 метра. При этом ротор вращался со скоростью 120 об/мин. Ко всеобщей радости, исторический полет “автожира-вертолета” закончился успешно (9975).</w:t>
      </w:r>
    </w:p>
    <w:p w14:paraId="381301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8F3CA2A" w14:textId="77777777" w:rsidR="001E7B21" w:rsidRPr="00A259BD" w:rsidRDefault="001E7B2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сентября 1929 после ремонта и соответствующих доработок КАСКР вновь вывели на аэродром. Место в первой кабине занял Михеев, сзади разместился Камов. После раскрутки ротора вручную и дачи газа автожир пошел на взлет. Оторвавшись от земли на 2-3 метра, КАСКР проле</w:t>
      </w:r>
      <w:r w:rsidRPr="00A259BD">
        <w:rPr>
          <w:rFonts w:ascii="Times New Roman" w:hAnsi="Times New Roman"/>
          <w:color w:val="000000" w:themeColor="text1"/>
          <w:sz w:val="16"/>
          <w:szCs w:val="16"/>
        </w:rPr>
        <w:softHyphen/>
        <w:t>тел около 250 метров. Таким образом, первый полет со</w:t>
      </w:r>
      <w:r w:rsidRPr="00A259BD">
        <w:rPr>
          <w:rFonts w:ascii="Times New Roman" w:hAnsi="Times New Roman"/>
          <w:color w:val="000000" w:themeColor="text1"/>
          <w:sz w:val="16"/>
          <w:szCs w:val="16"/>
        </w:rPr>
        <w:softHyphen/>
        <w:t>стоялся вполне благополучно (20361).</w:t>
      </w:r>
    </w:p>
    <w:p w14:paraId="5B9F7A6F" w14:textId="77777777" w:rsidR="001E7B21" w:rsidRPr="00A259BD" w:rsidRDefault="001E7B21" w:rsidP="009236E3">
      <w:pPr>
        <w:shd w:val="clear" w:color="auto" w:fill="FFFFFF"/>
        <w:spacing w:after="0" w:line="240" w:lineRule="auto"/>
        <w:jc w:val="both"/>
        <w:rPr>
          <w:rFonts w:ascii="Times New Roman" w:hAnsi="Times New Roman"/>
          <w:color w:val="000000" w:themeColor="text1"/>
          <w:sz w:val="16"/>
          <w:szCs w:val="16"/>
        </w:rPr>
      </w:pPr>
    </w:p>
    <w:p w14:paraId="4C2E83CA" w14:textId="77777777" w:rsidR="00D64B3E" w:rsidRPr="00A259BD" w:rsidRDefault="00D64B3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сентября в 1929 году на Ходынском поле совершил первый полет автожир «КАСКР-1» «Красный инженер» </w:t>
      </w:r>
      <w:proofErr w:type="spellStart"/>
      <w:r w:rsidRPr="00A259BD">
        <w:rPr>
          <w:rFonts w:ascii="Times New Roman" w:hAnsi="Times New Roman"/>
          <w:color w:val="000000" w:themeColor="text1"/>
          <w:sz w:val="16"/>
          <w:szCs w:val="16"/>
        </w:rPr>
        <w:t>Н.И.Камова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Н.К.Скржинского</w:t>
      </w:r>
      <w:proofErr w:type="spellEnd"/>
      <w:r w:rsidRPr="00A259BD">
        <w:rPr>
          <w:rFonts w:ascii="Times New Roman" w:hAnsi="Times New Roman"/>
          <w:color w:val="000000" w:themeColor="text1"/>
          <w:sz w:val="16"/>
          <w:szCs w:val="16"/>
        </w:rPr>
        <w:t xml:space="preserve">, пилот </w:t>
      </w:r>
      <w:proofErr w:type="spellStart"/>
      <w:r w:rsidRPr="00A259BD">
        <w:rPr>
          <w:rFonts w:ascii="Times New Roman" w:hAnsi="Times New Roman"/>
          <w:color w:val="000000" w:themeColor="text1"/>
          <w:sz w:val="16"/>
          <w:szCs w:val="16"/>
        </w:rPr>
        <w:t>И.В.Михеев</w:t>
      </w:r>
      <w:proofErr w:type="spellEnd"/>
      <w:r w:rsidRPr="00A259BD">
        <w:rPr>
          <w:rFonts w:ascii="Times New Roman" w:hAnsi="Times New Roman"/>
          <w:color w:val="000000" w:themeColor="text1"/>
          <w:sz w:val="16"/>
          <w:szCs w:val="16"/>
        </w:rPr>
        <w:t>. Автожир пролетел за 15 секунд расстояние 250 м, высота полета составила 2-3 м. «КАСКР-1» вошел в мировую историю вертолетостроения как первый советский винтокрылый летательный аппарат и как первый летательный аппарат вертикального взлета и посадки, названный «вертолетом». Это название предложили сами конструкторы. После доработки конструкции лопастей автожир продержался в воздухе 2 минуты 15 секунд на высоте 40 м, горизонтальная скорость полета составляла 60 км/ч. Двухместный автожир «КАСКР-1» был построен на базе самолета «Avro-504K». Он был оснащен двигателем «М-2» мощностью 120 л.с., который приводил в движение два четырехлопастных несущих винта (14780).</w:t>
      </w:r>
    </w:p>
    <w:p w14:paraId="2F82BDDE" w14:textId="77777777" w:rsidR="00D64B3E" w:rsidRPr="00A259BD" w:rsidRDefault="00D64B3E" w:rsidP="009236E3">
      <w:pPr>
        <w:spacing w:after="0" w:line="240" w:lineRule="auto"/>
        <w:jc w:val="both"/>
        <w:rPr>
          <w:rFonts w:ascii="Times New Roman" w:hAnsi="Times New Roman"/>
          <w:color w:val="000000" w:themeColor="text1"/>
          <w:sz w:val="16"/>
          <w:szCs w:val="16"/>
        </w:rPr>
      </w:pPr>
    </w:p>
    <w:p w14:paraId="45BAAD30" w14:textId="77777777" w:rsidR="00D64B3E" w:rsidRPr="00A259BD" w:rsidRDefault="00D64B3E" w:rsidP="009236E3">
      <w:pPr>
        <w:spacing w:after="0" w:line="240" w:lineRule="auto"/>
        <w:jc w:val="both"/>
        <w:rPr>
          <w:rStyle w:val="ucoz-forum-post"/>
          <w:rFonts w:ascii="Times New Roman" w:eastAsiaTheme="majorEastAsia"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25 сентября 1929 года</w:t>
      </w:r>
      <w:r w:rsidRPr="00A259BD">
        <w:rPr>
          <w:rStyle w:val="ucoz-forum-post"/>
          <w:rFonts w:ascii="Times New Roman" w:eastAsiaTheme="majorEastAsia" w:hAnsi="Times New Roman"/>
          <w:color w:val="000000" w:themeColor="text1"/>
          <w:sz w:val="16"/>
          <w:szCs w:val="16"/>
        </w:rPr>
        <w:t xml:space="preserve"> </w:t>
      </w:r>
      <w:proofErr w:type="spellStart"/>
      <w:r w:rsidRPr="00A259BD">
        <w:rPr>
          <w:rStyle w:val="ucoz-forum-post"/>
          <w:rFonts w:ascii="Times New Roman" w:eastAsiaTheme="majorEastAsia" w:hAnsi="Times New Roman"/>
          <w:color w:val="000000" w:themeColor="text1"/>
          <w:sz w:val="16"/>
          <w:szCs w:val="16"/>
        </w:rPr>
        <w:t>Cостоялся</w:t>
      </w:r>
      <w:proofErr w:type="spellEnd"/>
      <w:r w:rsidRPr="00A259BD">
        <w:rPr>
          <w:rStyle w:val="ucoz-forum-post"/>
          <w:rFonts w:ascii="Times New Roman" w:eastAsiaTheme="majorEastAsia" w:hAnsi="Times New Roman"/>
          <w:color w:val="000000" w:themeColor="text1"/>
          <w:sz w:val="16"/>
          <w:szCs w:val="16"/>
        </w:rPr>
        <w:t xml:space="preserve"> первый полет автожира КАСКР-1 «Красный инженер» </w:t>
      </w:r>
      <w:proofErr w:type="spellStart"/>
      <w:r w:rsidRPr="00A259BD">
        <w:rPr>
          <w:rStyle w:val="ucoz-forum-post"/>
          <w:rFonts w:ascii="Times New Roman" w:eastAsiaTheme="majorEastAsia" w:hAnsi="Times New Roman"/>
          <w:color w:val="000000" w:themeColor="text1"/>
          <w:sz w:val="16"/>
          <w:szCs w:val="16"/>
        </w:rPr>
        <w:t>Н.И.Камова</w:t>
      </w:r>
      <w:proofErr w:type="spellEnd"/>
      <w:r w:rsidRPr="00A259BD">
        <w:rPr>
          <w:rStyle w:val="ucoz-forum-post"/>
          <w:rFonts w:ascii="Times New Roman" w:eastAsiaTheme="majorEastAsia" w:hAnsi="Times New Roman"/>
          <w:color w:val="000000" w:themeColor="text1"/>
          <w:sz w:val="16"/>
          <w:szCs w:val="16"/>
        </w:rPr>
        <w:t xml:space="preserve"> и </w:t>
      </w:r>
      <w:proofErr w:type="spellStart"/>
      <w:r w:rsidRPr="00A259BD">
        <w:rPr>
          <w:rStyle w:val="ucoz-forum-post"/>
          <w:rFonts w:ascii="Times New Roman" w:eastAsiaTheme="majorEastAsia" w:hAnsi="Times New Roman"/>
          <w:color w:val="000000" w:themeColor="text1"/>
          <w:sz w:val="16"/>
          <w:szCs w:val="16"/>
        </w:rPr>
        <w:t>Н.К.Скржинского</w:t>
      </w:r>
      <w:proofErr w:type="spellEnd"/>
      <w:r w:rsidRPr="00A259BD">
        <w:rPr>
          <w:rStyle w:val="ucoz-forum-post"/>
          <w:rFonts w:ascii="Times New Roman" w:eastAsiaTheme="majorEastAsia" w:hAnsi="Times New Roman"/>
          <w:color w:val="000000" w:themeColor="text1"/>
          <w:sz w:val="16"/>
          <w:szCs w:val="16"/>
        </w:rPr>
        <w:t xml:space="preserve">, первого советского винтокрылого летательного аппарата, пилот </w:t>
      </w:r>
      <w:proofErr w:type="spellStart"/>
      <w:r w:rsidRPr="00A259BD">
        <w:rPr>
          <w:rStyle w:val="ucoz-forum-post"/>
          <w:rFonts w:ascii="Times New Roman" w:eastAsiaTheme="majorEastAsia" w:hAnsi="Times New Roman"/>
          <w:color w:val="000000" w:themeColor="text1"/>
          <w:sz w:val="16"/>
          <w:szCs w:val="16"/>
        </w:rPr>
        <w:t>И.В.Михеев</w:t>
      </w:r>
      <w:proofErr w:type="spellEnd"/>
      <w:r w:rsidRPr="00A259BD">
        <w:rPr>
          <w:rStyle w:val="ucoz-forum-post"/>
          <w:rFonts w:ascii="Times New Roman" w:eastAsiaTheme="majorEastAsia" w:hAnsi="Times New Roman"/>
          <w:color w:val="000000" w:themeColor="text1"/>
          <w:sz w:val="16"/>
          <w:szCs w:val="16"/>
        </w:rPr>
        <w:t>. Первый полет автожира состоялся на Ходынском поле и продолжался всего 15 секунд на высоте 2-3 м, он пролетел расстояние 250 м. После доработки конструкции лопастей автожир продержался в воздухе 2 минуты 15 секунд на высоте 40 м, горизонтальная скорость полета составляла 60 км/ч (14780).</w:t>
      </w:r>
    </w:p>
    <w:p w14:paraId="2592E57A" w14:textId="77777777" w:rsidR="00D64B3E" w:rsidRPr="00A259BD" w:rsidRDefault="00D64B3E" w:rsidP="009236E3">
      <w:pPr>
        <w:spacing w:after="0" w:line="240" w:lineRule="auto"/>
        <w:jc w:val="both"/>
        <w:rPr>
          <w:rStyle w:val="ucoz-forum-post"/>
          <w:rFonts w:ascii="Times New Roman" w:eastAsiaTheme="majorEastAsia" w:hAnsi="Times New Roman"/>
          <w:color w:val="000000" w:themeColor="text1"/>
          <w:sz w:val="16"/>
          <w:szCs w:val="16"/>
        </w:rPr>
      </w:pPr>
    </w:p>
    <w:p w14:paraId="7B5553CE" w14:textId="77777777" w:rsidR="001E7B21" w:rsidRPr="00A259BD" w:rsidRDefault="001E7B2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сентября 1929 г. состоялся первый по</w:t>
      </w:r>
      <w:r w:rsidRPr="00A259BD">
        <w:rPr>
          <w:rFonts w:ascii="Times New Roman" w:hAnsi="Times New Roman"/>
          <w:color w:val="000000" w:themeColor="text1"/>
          <w:sz w:val="16"/>
          <w:szCs w:val="16"/>
        </w:rPr>
        <w:softHyphen/>
        <w:t xml:space="preserve">лет автожира КАСКР конструкции Камова и </w:t>
      </w:r>
      <w:proofErr w:type="spellStart"/>
      <w:r w:rsidRPr="00A259BD">
        <w:rPr>
          <w:rFonts w:ascii="Times New Roman" w:hAnsi="Times New Roman"/>
          <w:color w:val="000000" w:themeColor="text1"/>
          <w:sz w:val="16"/>
          <w:szCs w:val="16"/>
        </w:rPr>
        <w:t>Скржинского</w:t>
      </w:r>
      <w:proofErr w:type="spellEnd"/>
      <w:r w:rsidRPr="00A259BD">
        <w:rPr>
          <w:rFonts w:ascii="Times New Roman" w:hAnsi="Times New Roman"/>
          <w:color w:val="000000" w:themeColor="text1"/>
          <w:sz w:val="16"/>
          <w:szCs w:val="16"/>
        </w:rPr>
        <w:t>, кажущееся безразличие ЦАГИ к автожирам закончилось, здесь решили обобщить зарубежный опыт и теоретичес</w:t>
      </w:r>
      <w:r w:rsidRPr="00A259BD">
        <w:rPr>
          <w:rFonts w:ascii="Times New Roman" w:hAnsi="Times New Roman"/>
          <w:color w:val="000000" w:themeColor="text1"/>
          <w:sz w:val="16"/>
          <w:szCs w:val="16"/>
        </w:rPr>
        <w:softHyphen/>
        <w:t>кие исследования в этой области. Предпринятые изыска</w:t>
      </w:r>
      <w:r w:rsidRPr="00A259BD">
        <w:rPr>
          <w:rFonts w:ascii="Times New Roman" w:hAnsi="Times New Roman"/>
          <w:color w:val="000000" w:themeColor="text1"/>
          <w:sz w:val="16"/>
          <w:szCs w:val="16"/>
        </w:rPr>
        <w:softHyphen/>
        <w:t>ния завершились постройкой автожира ЦАГИ 2-ЭА, впер</w:t>
      </w:r>
      <w:r w:rsidRPr="00A259BD">
        <w:rPr>
          <w:rFonts w:ascii="Times New Roman" w:hAnsi="Times New Roman"/>
          <w:color w:val="000000" w:themeColor="text1"/>
          <w:sz w:val="16"/>
          <w:szCs w:val="16"/>
        </w:rPr>
        <w:softHyphen/>
        <w:t>вые поднявшегося в воздух 17 ноября 1931 г. (20361).</w:t>
      </w:r>
    </w:p>
    <w:p w14:paraId="137D03B8" w14:textId="77777777" w:rsidR="001E7B21" w:rsidRPr="00A259BD" w:rsidRDefault="001E7B21" w:rsidP="009236E3">
      <w:pPr>
        <w:shd w:val="clear" w:color="auto" w:fill="FFFFFF"/>
        <w:spacing w:after="0" w:line="240" w:lineRule="auto"/>
        <w:jc w:val="both"/>
        <w:rPr>
          <w:rFonts w:ascii="Times New Roman" w:hAnsi="Times New Roman"/>
          <w:color w:val="000000" w:themeColor="text1"/>
          <w:sz w:val="16"/>
          <w:szCs w:val="16"/>
        </w:rPr>
      </w:pPr>
    </w:p>
    <w:p w14:paraId="0F7A47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сентября 1929 г. Николай Николаевич направил письмо, в котором заявлял, что “...завод № 25, не имея согласованности с НТК ВВС, в настоящее время приоста</w:t>
      </w:r>
      <w:r w:rsidRPr="00A259BD">
        <w:rPr>
          <w:rFonts w:ascii="Times New Roman" w:hAnsi="Times New Roman"/>
          <w:color w:val="000000" w:themeColor="text1"/>
          <w:sz w:val="16"/>
          <w:szCs w:val="16"/>
        </w:rPr>
        <w:softHyphen/>
        <w:t>новил работу по разработке эскизного проекта И7-М17 как в деревянном, так и в металлическом варианте”. Вновь начался поиск взаимно приемлемых решений. Многое удалось сделать. Но в октябре 1929 г. Поликар</w:t>
      </w:r>
      <w:r w:rsidRPr="00A259BD">
        <w:rPr>
          <w:rFonts w:ascii="Times New Roman" w:hAnsi="Times New Roman"/>
          <w:color w:val="000000" w:themeColor="text1"/>
          <w:sz w:val="16"/>
          <w:szCs w:val="16"/>
        </w:rPr>
        <w:softHyphen/>
        <w:t>пова арестовали (10667).</w:t>
      </w:r>
    </w:p>
    <w:p w14:paraId="6111D1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1FB6F0" w14:textId="77777777" w:rsidR="00703315" w:rsidRPr="006B74EB" w:rsidRDefault="00703315" w:rsidP="00703315">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25 </w:t>
      </w:r>
      <w:r w:rsidRPr="006B74EB">
        <w:rPr>
          <w:rFonts w:ascii="Times New Roman" w:hAnsi="Times New Roman"/>
          <w:color w:val="0070C0"/>
          <w:sz w:val="16"/>
          <w:szCs w:val="16"/>
        </w:rPr>
        <w:t>сентября .</w:t>
      </w:r>
      <w:r>
        <w:rPr>
          <w:rFonts w:ascii="Times New Roman" w:hAnsi="Times New Roman"/>
          <w:color w:val="0070C0"/>
          <w:sz w:val="16"/>
          <w:szCs w:val="16"/>
        </w:rPr>
        <w:t xml:space="preserve">1929 г. </w:t>
      </w:r>
      <w:r w:rsidRPr="006B74EB">
        <w:rPr>
          <w:rFonts w:ascii="Times New Roman" w:hAnsi="Times New Roman"/>
          <w:color w:val="0070C0"/>
          <w:sz w:val="16"/>
          <w:szCs w:val="16"/>
        </w:rPr>
        <w:t>делегация Бауманского района г.</w:t>
      </w:r>
      <w:r>
        <w:rPr>
          <w:rFonts w:ascii="Times New Roman" w:hAnsi="Times New Roman"/>
          <w:color w:val="0070C0"/>
          <w:sz w:val="16"/>
          <w:szCs w:val="16"/>
        </w:rPr>
        <w:t xml:space="preserve"> </w:t>
      </w:r>
      <w:r w:rsidRPr="006B74EB">
        <w:rPr>
          <w:rFonts w:ascii="Times New Roman" w:hAnsi="Times New Roman"/>
          <w:color w:val="0070C0"/>
          <w:sz w:val="16"/>
          <w:szCs w:val="16"/>
        </w:rPr>
        <w:t>Мо</w:t>
      </w:r>
      <w:r>
        <w:rPr>
          <w:rFonts w:ascii="Times New Roman" w:hAnsi="Times New Roman"/>
          <w:color w:val="0070C0"/>
          <w:sz w:val="16"/>
          <w:szCs w:val="16"/>
        </w:rPr>
        <w:t>с</w:t>
      </w:r>
      <w:r w:rsidRPr="006B74EB">
        <w:rPr>
          <w:rFonts w:ascii="Times New Roman" w:hAnsi="Times New Roman"/>
          <w:color w:val="0070C0"/>
          <w:sz w:val="16"/>
          <w:szCs w:val="16"/>
        </w:rPr>
        <w:t xml:space="preserve">квы на 1-й </w:t>
      </w:r>
      <w:proofErr w:type="spellStart"/>
      <w:r w:rsidRPr="006B74EB">
        <w:rPr>
          <w:rFonts w:ascii="Times New Roman" w:hAnsi="Times New Roman"/>
          <w:color w:val="0070C0"/>
          <w:sz w:val="16"/>
          <w:szCs w:val="16"/>
        </w:rPr>
        <w:t>об</w:t>
      </w:r>
      <w:r>
        <w:rPr>
          <w:rFonts w:ascii="Times New Roman" w:hAnsi="Times New Roman"/>
          <w:color w:val="0070C0"/>
          <w:sz w:val="16"/>
          <w:szCs w:val="16"/>
        </w:rPr>
        <w:t>дастной</w:t>
      </w:r>
      <w:proofErr w:type="spellEnd"/>
      <w:r>
        <w:rPr>
          <w:rFonts w:ascii="Times New Roman" w:hAnsi="Times New Roman"/>
          <w:color w:val="0070C0"/>
          <w:sz w:val="16"/>
          <w:szCs w:val="16"/>
        </w:rPr>
        <w:t xml:space="preserve"> </w:t>
      </w:r>
      <w:r w:rsidRPr="006B74EB">
        <w:rPr>
          <w:rFonts w:ascii="Times New Roman" w:hAnsi="Times New Roman"/>
          <w:color w:val="0070C0"/>
          <w:sz w:val="16"/>
          <w:szCs w:val="16"/>
        </w:rPr>
        <w:t>с</w:t>
      </w:r>
      <w:r>
        <w:rPr>
          <w:rFonts w:ascii="Times New Roman" w:hAnsi="Times New Roman"/>
          <w:color w:val="0070C0"/>
          <w:sz w:val="16"/>
          <w:szCs w:val="16"/>
        </w:rPr>
        <w:t>ъ</w:t>
      </w:r>
      <w:r w:rsidRPr="006B74EB">
        <w:rPr>
          <w:rFonts w:ascii="Times New Roman" w:hAnsi="Times New Roman"/>
          <w:color w:val="0070C0"/>
          <w:sz w:val="16"/>
          <w:szCs w:val="16"/>
        </w:rPr>
        <w:t xml:space="preserve">езд советов взяла на себя инициативу </w:t>
      </w:r>
      <w:r>
        <w:rPr>
          <w:rFonts w:ascii="Times New Roman" w:hAnsi="Times New Roman"/>
          <w:color w:val="0070C0"/>
          <w:sz w:val="16"/>
          <w:szCs w:val="16"/>
        </w:rPr>
        <w:t>п</w:t>
      </w:r>
      <w:r w:rsidRPr="006B74EB">
        <w:rPr>
          <w:rFonts w:ascii="Times New Roman" w:hAnsi="Times New Roman"/>
          <w:color w:val="0070C0"/>
          <w:sz w:val="16"/>
          <w:szCs w:val="16"/>
        </w:rPr>
        <w:t xml:space="preserve">о сбору добровольных </w:t>
      </w:r>
      <w:r>
        <w:rPr>
          <w:rFonts w:ascii="Times New Roman" w:hAnsi="Times New Roman"/>
          <w:color w:val="0070C0"/>
          <w:sz w:val="16"/>
          <w:szCs w:val="16"/>
        </w:rPr>
        <w:t>пож</w:t>
      </w:r>
      <w:r w:rsidRPr="006B74EB">
        <w:rPr>
          <w:rFonts w:ascii="Times New Roman" w:hAnsi="Times New Roman"/>
          <w:color w:val="0070C0"/>
          <w:sz w:val="16"/>
          <w:szCs w:val="16"/>
        </w:rPr>
        <w:t>ертвований на постройку д</w:t>
      </w:r>
      <w:r>
        <w:rPr>
          <w:rFonts w:ascii="Times New Roman" w:hAnsi="Times New Roman"/>
          <w:color w:val="0070C0"/>
          <w:sz w:val="16"/>
          <w:szCs w:val="16"/>
        </w:rPr>
        <w:t>и</w:t>
      </w:r>
      <w:r w:rsidRPr="006B74EB">
        <w:rPr>
          <w:rFonts w:ascii="Times New Roman" w:hAnsi="Times New Roman"/>
          <w:color w:val="0070C0"/>
          <w:sz w:val="16"/>
          <w:szCs w:val="16"/>
        </w:rPr>
        <w:t>р</w:t>
      </w:r>
      <w:r>
        <w:rPr>
          <w:rFonts w:ascii="Times New Roman" w:hAnsi="Times New Roman"/>
          <w:color w:val="0070C0"/>
          <w:sz w:val="16"/>
          <w:szCs w:val="16"/>
        </w:rPr>
        <w:t>иж</w:t>
      </w:r>
      <w:r w:rsidRPr="006B74EB">
        <w:rPr>
          <w:rFonts w:ascii="Times New Roman" w:hAnsi="Times New Roman"/>
          <w:color w:val="0070C0"/>
          <w:sz w:val="16"/>
          <w:szCs w:val="16"/>
        </w:rPr>
        <w:t xml:space="preserve">аблей и тут </w:t>
      </w:r>
      <w:r>
        <w:rPr>
          <w:rFonts w:ascii="Times New Roman" w:hAnsi="Times New Roman"/>
          <w:color w:val="0070C0"/>
          <w:sz w:val="16"/>
          <w:szCs w:val="16"/>
        </w:rPr>
        <w:t>ж</w:t>
      </w:r>
      <w:r w:rsidRPr="006B74EB">
        <w:rPr>
          <w:rFonts w:ascii="Times New Roman" w:hAnsi="Times New Roman"/>
          <w:color w:val="0070C0"/>
          <w:sz w:val="16"/>
          <w:szCs w:val="16"/>
        </w:rPr>
        <w:t>е внесла 100 рублей</w:t>
      </w:r>
      <w:r>
        <w:rPr>
          <w:rFonts w:ascii="Times New Roman" w:hAnsi="Times New Roman"/>
          <w:color w:val="0070C0"/>
          <w:sz w:val="16"/>
          <w:szCs w:val="16"/>
        </w:rPr>
        <w:t>. Вс</w:t>
      </w:r>
      <w:r w:rsidRPr="006B74EB">
        <w:rPr>
          <w:rFonts w:ascii="Times New Roman" w:hAnsi="Times New Roman"/>
          <w:color w:val="0070C0"/>
          <w:sz w:val="16"/>
          <w:szCs w:val="16"/>
        </w:rPr>
        <w:t>е районы и округа московской области последовать ее</w:t>
      </w:r>
      <w:r>
        <w:rPr>
          <w:rFonts w:ascii="Times New Roman" w:hAnsi="Times New Roman"/>
          <w:color w:val="0070C0"/>
          <w:sz w:val="16"/>
          <w:szCs w:val="16"/>
        </w:rPr>
        <w:t xml:space="preserve"> примеру.</w:t>
      </w:r>
    </w:p>
    <w:p w14:paraId="3ABA0701" w14:textId="77777777" w:rsidR="00703315" w:rsidRDefault="00703315" w:rsidP="00703315">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w:t>
      </w:r>
      <w:r>
        <w:rPr>
          <w:rFonts w:ascii="Times New Roman" w:hAnsi="Times New Roman"/>
          <w:color w:val="0070C0"/>
          <w:sz w:val="16"/>
          <w:szCs w:val="16"/>
        </w:rPr>
        <w:t>«К</w:t>
      </w:r>
      <w:r w:rsidRPr="006B74EB">
        <w:rPr>
          <w:rFonts w:ascii="Times New Roman" w:hAnsi="Times New Roman"/>
          <w:color w:val="0070C0"/>
          <w:sz w:val="16"/>
          <w:szCs w:val="16"/>
        </w:rPr>
        <w:t>ра</w:t>
      </w:r>
      <w:r>
        <w:rPr>
          <w:rFonts w:ascii="Times New Roman" w:hAnsi="Times New Roman"/>
          <w:color w:val="0070C0"/>
          <w:sz w:val="16"/>
          <w:szCs w:val="16"/>
        </w:rPr>
        <w:t>с</w:t>
      </w:r>
      <w:r w:rsidRPr="006B74EB">
        <w:rPr>
          <w:rFonts w:ascii="Times New Roman" w:hAnsi="Times New Roman"/>
          <w:color w:val="0070C0"/>
          <w:sz w:val="16"/>
          <w:szCs w:val="16"/>
        </w:rPr>
        <w:t>ная звезда» за 25 сентября 1929 г</w:t>
      </w:r>
      <w:r>
        <w:rPr>
          <w:rFonts w:ascii="Times New Roman" w:hAnsi="Times New Roman"/>
          <w:color w:val="0070C0"/>
          <w:sz w:val="16"/>
          <w:szCs w:val="16"/>
        </w:rPr>
        <w:t>.</w:t>
      </w:r>
      <w:r w:rsidRPr="006B74EB">
        <w:rPr>
          <w:rFonts w:ascii="Times New Roman" w:hAnsi="Times New Roman"/>
          <w:color w:val="0070C0"/>
          <w:sz w:val="16"/>
          <w:szCs w:val="16"/>
        </w:rPr>
        <w:t>/</w:t>
      </w:r>
      <w:r>
        <w:rPr>
          <w:rFonts w:ascii="Times New Roman" w:hAnsi="Times New Roman"/>
          <w:color w:val="0070C0"/>
          <w:sz w:val="16"/>
          <w:szCs w:val="16"/>
        </w:rPr>
        <w:t xml:space="preserve"> (23370).</w:t>
      </w:r>
    </w:p>
    <w:p w14:paraId="0DAB87E9" w14:textId="77777777" w:rsidR="00703315" w:rsidRPr="006B74EB" w:rsidRDefault="00703315" w:rsidP="00703315">
      <w:pPr>
        <w:spacing w:after="0" w:line="240" w:lineRule="auto"/>
        <w:jc w:val="both"/>
        <w:rPr>
          <w:rFonts w:ascii="Times New Roman" w:hAnsi="Times New Roman"/>
          <w:color w:val="0070C0"/>
          <w:sz w:val="16"/>
          <w:szCs w:val="16"/>
        </w:rPr>
      </w:pPr>
    </w:p>
    <w:p w14:paraId="03AD2C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сентября 1929 Н.Н.П. арестовали дома вечером по адресу 1-й </w:t>
      </w:r>
      <w:proofErr w:type="spellStart"/>
      <w:r w:rsidRPr="00A259BD">
        <w:rPr>
          <w:rFonts w:ascii="Times New Roman" w:hAnsi="Times New Roman"/>
          <w:color w:val="000000" w:themeColor="text1"/>
          <w:sz w:val="16"/>
          <w:szCs w:val="16"/>
        </w:rPr>
        <w:t>Бабьегорский</w:t>
      </w:r>
      <w:proofErr w:type="spellEnd"/>
      <w:r w:rsidRPr="00A259BD">
        <w:rPr>
          <w:rFonts w:ascii="Times New Roman" w:hAnsi="Times New Roman"/>
          <w:color w:val="000000" w:themeColor="text1"/>
          <w:sz w:val="16"/>
          <w:szCs w:val="16"/>
        </w:rPr>
        <w:t>, 12. Не признал вину, но к расстрелу приговорили (228,74).</w:t>
      </w:r>
    </w:p>
    <w:p w14:paraId="2586B3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A39D3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ED405A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6E99EFF"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сентября 1929 г. — Письмо директора завода № 23 А. Савельева начальнику ГВПУ М. Г. Урываеву о проблемах конструирования и опытного авиастроения</w:t>
      </w:r>
    </w:p>
    <w:p w14:paraId="7B8599D7"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Секретно.</w:t>
      </w:r>
    </w:p>
    <w:p w14:paraId="4F6BBB06"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Лично.</w:t>
      </w:r>
    </w:p>
    <w:p w14:paraId="72F2C100"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rPr>
        <w:t>Уважаемый Михаил Георгиевич,</w:t>
      </w:r>
    </w:p>
    <w:p w14:paraId="65E30573"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rPr>
        <w:t xml:space="preserve">разрешите мне высказать мнение по вопросу опытного строительства и новых типов машин. Последний разговор с Вами у Вас в кабинете заставляет задуматься, как двигаться вперед, чтобы догнать и перегнать Европу. Там уже подмечалось, что у нас конструкторов очень мало, да и те много теряют времени на всякие заседания, а конструкторскому творчеству остается очень немного времени. Это — одна из причин, влияющих на медленный прогресс. Кроме того, не менее важная причина — это та, что у нас не было возможности до сих пор нащупать практически подобных </w:t>
      </w:r>
      <w:hyperlink r:id="rId183" w:history="1">
        <w:r w:rsidRPr="00A259BD">
          <w:rPr>
            <w:color w:val="000000" w:themeColor="text1"/>
            <w:sz w:val="16"/>
            <w:szCs w:val="16"/>
          </w:rPr>
          <w:t>Поликарпову</w:t>
        </w:r>
      </w:hyperlink>
      <w:r w:rsidRPr="00A259BD">
        <w:rPr>
          <w:color w:val="000000" w:themeColor="text1"/>
          <w:sz w:val="16"/>
          <w:szCs w:val="16"/>
        </w:rPr>
        <w:t>, а, может, и лучше по способностям среди рядового технического персонала в заводах. Сам Поликарпов заявлял, что работать ему не с кем — все молодежь, и эти недавно окунулись в работу. Мы должны искать новых способных конструкторов — это можно выявить практически, дав то или иное задание свыше (мое же мнение — такое задание можно получить от Вас). Я думаю, найдутся люди, которые могли бы в это дело вложить все свои познания.</w:t>
      </w:r>
    </w:p>
    <w:p w14:paraId="5154EEB5"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rPr>
        <w:t>Мы в настоящее время много говорим и пишем о социалистическом соревновании, об изобретательстве и подчеркиваем, что много хороших моментов имеется у отдельных рабочих, которых в настоящее время всколыхнули, и видим уже плоды, полезные для нашего социалистического государства, и наблюдаем, что один начинает делать больше и лучше другого, этим самым заставляя подтягиваться и другого.</w:t>
      </w:r>
    </w:p>
    <w:p w14:paraId="42567F1A"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rPr>
        <w:lastRenderedPageBreak/>
        <w:t>Не менее важна перед нами задача специально всколыхнуть высший техперсонал в части соревнования конструкций новых машин или модификация существующих типов — взять все хорошее и придать что-то новое. 1) частичное изменение профиля крыльев; 2) соответствующим образом облегчить и приспособить более сильный мотор. Нам на одном Поликарпове далеко не уехать, мы вынуждены искать новых сил, и, кроме того, Поликарпов и другие главным образом работают, надеясь на подходящий коллектив работников, тот, который у него работает, а сам он подчеркивает, что силы молодые и опыта мало.</w:t>
      </w:r>
    </w:p>
    <w:p w14:paraId="0B56F120"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rPr>
        <w:t>Я слышал от Вас и от других, что за границей много фирм, которые занимаются самолетным делом, и заводы небольшие. Это дело, без сомнения, идет по линии конкуренции, по линии опередить одна фирма другую. Это один из стимулов для прогресса. Большинство наших работников, в особенности технический персонал, имеет тенденцию стоять выше на голову другого, и к этому приложатся и прикладывают в отдельных случаях все силы.</w:t>
      </w:r>
    </w:p>
    <w:p w14:paraId="216D0296"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rPr>
        <w:t>Все вышеизложенное сводится к тому, чтобы побудить зашевелиться тех людей, которые имеют практику в авиационном деле. Я много думал после разговора с Вами по этому вопросу и решил обменяться мнением. Думаю, что на этот вопрос нам нужно заострить внимание.</w:t>
      </w:r>
    </w:p>
    <w:p w14:paraId="6E09038A"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rPr>
        <w:t>Разрешите мне теперь коснуться нашего ленинградского завода: какие он имеет силы, можно ли их использовать для коллективного творчества. Я думаю, это возможно. Завод с 1922 г. построил следующие типы самолетов: 1) М</w:t>
      </w:r>
      <w:r w:rsidRPr="00A259BD">
        <w:rPr>
          <w:color w:val="000000" w:themeColor="text1"/>
          <w:sz w:val="16"/>
          <w:szCs w:val="16"/>
        </w:rPr>
        <w:noBreakHyphen/>
        <w:t>9 — морской разведчик с мотором «</w:t>
      </w:r>
      <w:proofErr w:type="spellStart"/>
      <w:r w:rsidRPr="00A259BD">
        <w:rPr>
          <w:color w:val="000000" w:themeColor="text1"/>
          <w:sz w:val="16"/>
          <w:szCs w:val="16"/>
        </w:rPr>
        <w:t>Сальмсон</w:t>
      </w:r>
      <w:proofErr w:type="spellEnd"/>
      <w:r w:rsidRPr="00A259BD">
        <w:rPr>
          <w:color w:val="000000" w:themeColor="text1"/>
          <w:sz w:val="16"/>
          <w:szCs w:val="16"/>
        </w:rPr>
        <w:t>» 150 НР; 2) М</w:t>
      </w:r>
      <w:r w:rsidRPr="00A259BD">
        <w:rPr>
          <w:color w:val="000000" w:themeColor="text1"/>
          <w:sz w:val="16"/>
          <w:szCs w:val="16"/>
        </w:rPr>
        <w:noBreakHyphen/>
        <w:t>2[4] — морской разведчик с мотором «Рено» 260 НР; 3) М</w:t>
      </w:r>
      <w:r w:rsidRPr="00A259BD">
        <w:rPr>
          <w:color w:val="000000" w:themeColor="text1"/>
          <w:sz w:val="16"/>
          <w:szCs w:val="16"/>
        </w:rPr>
        <w:noBreakHyphen/>
        <w:t>5 — морская учебная лодка с мотором «Гном» 100 НР; 4) «</w:t>
      </w:r>
      <w:proofErr w:type="spellStart"/>
      <w:r w:rsidRPr="00A259BD">
        <w:rPr>
          <w:color w:val="000000" w:themeColor="text1"/>
          <w:sz w:val="16"/>
          <w:szCs w:val="16"/>
        </w:rPr>
        <w:t>Сопвич</w:t>
      </w:r>
      <w:proofErr w:type="spellEnd"/>
      <w:r w:rsidRPr="00A259BD">
        <w:rPr>
          <w:color w:val="000000" w:themeColor="text1"/>
          <w:sz w:val="16"/>
          <w:szCs w:val="16"/>
        </w:rPr>
        <w:t>» — сухопутный разведчик; 5) У</w:t>
      </w:r>
      <w:r w:rsidRPr="00A259BD">
        <w:rPr>
          <w:color w:val="000000" w:themeColor="text1"/>
          <w:sz w:val="16"/>
          <w:szCs w:val="16"/>
        </w:rPr>
        <w:noBreakHyphen/>
        <w:t>1 — сухопутный разведчик с мотором «Рено» 120 НР; 6) МУ</w:t>
      </w:r>
      <w:r w:rsidRPr="00A259BD">
        <w:rPr>
          <w:color w:val="000000" w:themeColor="text1"/>
          <w:sz w:val="16"/>
          <w:szCs w:val="16"/>
        </w:rPr>
        <w:noBreakHyphen/>
        <w:t>1 — морской разведчик с мотором «Рено»; 7) И</w:t>
      </w:r>
      <w:r w:rsidRPr="00A259BD">
        <w:rPr>
          <w:color w:val="000000" w:themeColor="text1"/>
          <w:sz w:val="16"/>
          <w:szCs w:val="16"/>
        </w:rPr>
        <w:noBreakHyphen/>
        <w:t>2 — сухопутный истребитель с мотором М</w:t>
      </w:r>
      <w:r w:rsidRPr="00A259BD">
        <w:rPr>
          <w:color w:val="000000" w:themeColor="text1"/>
          <w:sz w:val="16"/>
          <w:szCs w:val="16"/>
        </w:rPr>
        <w:noBreakHyphen/>
        <w:t>5 400 НР; 8) И</w:t>
      </w:r>
      <w:r w:rsidRPr="00A259BD">
        <w:rPr>
          <w:color w:val="000000" w:themeColor="text1"/>
          <w:sz w:val="16"/>
          <w:szCs w:val="16"/>
        </w:rPr>
        <w:noBreakHyphen/>
        <w:t>2 бис — сухопутный истребитель с мотором М</w:t>
      </w:r>
      <w:r w:rsidRPr="00A259BD">
        <w:rPr>
          <w:color w:val="000000" w:themeColor="text1"/>
          <w:sz w:val="16"/>
          <w:szCs w:val="16"/>
        </w:rPr>
        <w:noBreakHyphen/>
        <w:t>5 400 НР; 9) У</w:t>
      </w:r>
      <w:r w:rsidRPr="00A259BD">
        <w:rPr>
          <w:color w:val="000000" w:themeColor="text1"/>
          <w:sz w:val="16"/>
          <w:szCs w:val="16"/>
        </w:rPr>
        <w:noBreakHyphen/>
        <w:t>2 — учебный сухопутный с мотором М</w:t>
      </w:r>
      <w:r w:rsidRPr="00A259BD">
        <w:rPr>
          <w:color w:val="000000" w:themeColor="text1"/>
          <w:sz w:val="16"/>
          <w:szCs w:val="16"/>
        </w:rPr>
        <w:noBreakHyphen/>
        <w:t>11 100 НР; 10) П</w:t>
      </w:r>
      <w:r w:rsidRPr="00A259BD">
        <w:rPr>
          <w:color w:val="000000" w:themeColor="text1"/>
          <w:sz w:val="16"/>
          <w:szCs w:val="16"/>
        </w:rPr>
        <w:noBreakHyphen/>
        <w:t>2 — переходный сухопутный с мотором М</w:t>
      </w:r>
      <w:r w:rsidRPr="00A259BD">
        <w:rPr>
          <w:color w:val="000000" w:themeColor="text1"/>
          <w:sz w:val="16"/>
          <w:szCs w:val="16"/>
        </w:rPr>
        <w:noBreakHyphen/>
        <w:t>11. Из вышеназванных типов М</w:t>
      </w:r>
      <w:r w:rsidRPr="00A259BD">
        <w:rPr>
          <w:color w:val="000000" w:themeColor="text1"/>
          <w:sz w:val="16"/>
          <w:szCs w:val="16"/>
        </w:rPr>
        <w:noBreakHyphen/>
        <w:t>24, И</w:t>
      </w:r>
      <w:r w:rsidRPr="00A259BD">
        <w:rPr>
          <w:color w:val="000000" w:themeColor="text1"/>
          <w:sz w:val="16"/>
          <w:szCs w:val="16"/>
        </w:rPr>
        <w:noBreakHyphen/>
        <w:t>2 и И</w:t>
      </w:r>
      <w:r w:rsidRPr="00A259BD">
        <w:rPr>
          <w:color w:val="000000" w:themeColor="text1"/>
          <w:sz w:val="16"/>
          <w:szCs w:val="16"/>
        </w:rPr>
        <w:noBreakHyphen/>
        <w:t>2 бис проектировали при тесном участии завода, а постройку их вел завод. В эти моменты завод много пережил и приобрел большую практику. Так, в части конструкции и производства, когда завод № 25 выпустил И</w:t>
      </w:r>
      <w:r w:rsidRPr="00A259BD">
        <w:rPr>
          <w:color w:val="000000" w:themeColor="text1"/>
          <w:sz w:val="16"/>
          <w:szCs w:val="16"/>
        </w:rPr>
        <w:noBreakHyphen/>
        <w:t>3, то приходилось говорить на эту тему, что И</w:t>
      </w:r>
      <w:r w:rsidRPr="00A259BD">
        <w:rPr>
          <w:color w:val="000000" w:themeColor="text1"/>
          <w:sz w:val="16"/>
          <w:szCs w:val="16"/>
        </w:rPr>
        <w:noBreakHyphen/>
        <w:t>3 дал хорошие результаты, то мне говорили, что около него будет много разговоров и прибавляли, что если бы правление дало нам возможность модифицировать И</w:t>
      </w:r>
      <w:r w:rsidRPr="00A259BD">
        <w:rPr>
          <w:color w:val="000000" w:themeColor="text1"/>
          <w:sz w:val="16"/>
          <w:szCs w:val="16"/>
        </w:rPr>
        <w:noBreakHyphen/>
        <w:t>2 бис с усиленным мотором, то результатов можно было бы достигнуть лучших. Это заявляет инженер Зверев, ссылаясь на моторы «БМВ» и «Юпитер». И</w:t>
      </w:r>
      <w:r w:rsidRPr="00A259BD">
        <w:rPr>
          <w:color w:val="000000" w:themeColor="text1"/>
          <w:sz w:val="16"/>
          <w:szCs w:val="16"/>
        </w:rPr>
        <w:noBreakHyphen/>
        <w:t>3 — очень машина дорогая и сложна в производстве (этот факт отрицать нельзя). И</w:t>
      </w:r>
      <w:r w:rsidRPr="00A259BD">
        <w:rPr>
          <w:color w:val="000000" w:themeColor="text1"/>
          <w:sz w:val="16"/>
          <w:szCs w:val="16"/>
        </w:rPr>
        <w:noBreakHyphen/>
        <w:t>2 бис всего-навсего мы делали полгода и связаны со сроками, что не давало возможности улучшить машину в столь короткий срок и на одной партии машин.</w:t>
      </w:r>
    </w:p>
    <w:p w14:paraId="6AD9B72C"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rPr>
        <w:t>С 1 октября наш завод имеет нагрузку по повторным типам У</w:t>
      </w:r>
      <w:r w:rsidRPr="00A259BD">
        <w:rPr>
          <w:color w:val="000000" w:themeColor="text1"/>
          <w:sz w:val="16"/>
          <w:szCs w:val="16"/>
        </w:rPr>
        <w:noBreakHyphen/>
        <w:t>1, МУ</w:t>
      </w:r>
      <w:r w:rsidRPr="00A259BD">
        <w:rPr>
          <w:color w:val="000000" w:themeColor="text1"/>
          <w:sz w:val="16"/>
          <w:szCs w:val="16"/>
        </w:rPr>
        <w:noBreakHyphen/>
        <w:t>1 и У</w:t>
      </w:r>
      <w:r w:rsidRPr="00A259BD">
        <w:rPr>
          <w:color w:val="000000" w:themeColor="text1"/>
          <w:sz w:val="16"/>
          <w:szCs w:val="16"/>
        </w:rPr>
        <w:noBreakHyphen/>
        <w:t>2, и конструкторские силы можно было бы использовать для более сложной работы, распускать их нет возможности, так как мы не знаем, какие могут быть задания в ближайший период, а работники очень ценные, которых потом не найдешь. Я подробно говорил на эту тему с инженером Зверевым, который заявляет, что с нашими работниками лучше всего было бы усовершенствовать машину И</w:t>
      </w:r>
      <w:r w:rsidRPr="00A259BD">
        <w:rPr>
          <w:color w:val="000000" w:themeColor="text1"/>
          <w:sz w:val="16"/>
          <w:szCs w:val="16"/>
        </w:rPr>
        <w:noBreakHyphen/>
        <w:t>2 бис, о которой, как нам известно, отзывы удовлетворительны, но только с другим мотором, более сильным, лучше бы с «Юпитером».</w:t>
      </w:r>
    </w:p>
    <w:p w14:paraId="3D54FE82" w14:textId="77777777" w:rsidR="001C166D" w:rsidRPr="00A259BD" w:rsidRDefault="001C166D" w:rsidP="009236E3">
      <w:pPr>
        <w:pStyle w:val="rtejustify"/>
        <w:spacing w:before="0" w:after="0"/>
        <w:rPr>
          <w:color w:val="000000" w:themeColor="text1"/>
          <w:sz w:val="16"/>
          <w:szCs w:val="16"/>
        </w:rPr>
      </w:pPr>
      <w:r w:rsidRPr="00A259BD">
        <w:rPr>
          <w:color w:val="000000" w:themeColor="text1"/>
          <w:sz w:val="16"/>
          <w:szCs w:val="16"/>
        </w:rPr>
        <w:t xml:space="preserve">Я по этому вопросу начал говорить с т. Михайловым, но считаю, что это бесполезно, и решил возбуждать этот вопрос через Вас. Над этим вопросом следует </w:t>
      </w:r>
      <w:proofErr w:type="spellStart"/>
      <w:r w:rsidRPr="00A259BD">
        <w:rPr>
          <w:color w:val="000000" w:themeColor="text1"/>
          <w:sz w:val="16"/>
          <w:szCs w:val="16"/>
        </w:rPr>
        <w:t>подзадуматься</w:t>
      </w:r>
      <w:proofErr w:type="spellEnd"/>
      <w:r w:rsidRPr="00A259BD">
        <w:rPr>
          <w:color w:val="000000" w:themeColor="text1"/>
          <w:sz w:val="16"/>
          <w:szCs w:val="16"/>
        </w:rPr>
        <w:t xml:space="preserve"> и сделать соответствующие выводы. Надеюсь, если я неправильно понимаю этот вопрос, то Вы мне ответите; если Вы согласны, то просил бы Вас оказать содействие. Работа, за которую мы бы взялись, вызовет много разговоров, но думаю, что надо это дело проталкивать при соревновании и правильно использовать работников, можно многое сделать для продвижения вперед. Жду Вашего ответа.</w:t>
      </w:r>
    </w:p>
    <w:p w14:paraId="00B48DE2" w14:textId="77777777" w:rsidR="001C166D" w:rsidRPr="00A259BD" w:rsidRDefault="001C166D" w:rsidP="009236E3">
      <w:pPr>
        <w:pStyle w:val="ae"/>
        <w:spacing w:before="0" w:after="0"/>
        <w:jc w:val="both"/>
        <w:rPr>
          <w:color w:val="000000" w:themeColor="text1"/>
          <w:sz w:val="16"/>
          <w:szCs w:val="16"/>
        </w:rPr>
      </w:pPr>
      <w:r w:rsidRPr="00A259BD">
        <w:rPr>
          <w:rStyle w:val="af0"/>
          <w:i w:val="0"/>
          <w:color w:val="000000" w:themeColor="text1"/>
          <w:sz w:val="16"/>
          <w:szCs w:val="16"/>
        </w:rPr>
        <w:t>С товарищеским приветом, Савельев</w:t>
      </w:r>
    </w:p>
    <w:p w14:paraId="29B3C39C" w14:textId="77777777" w:rsidR="001C166D" w:rsidRPr="00A259BD" w:rsidRDefault="001C166D" w:rsidP="009236E3">
      <w:pPr>
        <w:pStyle w:val="ae"/>
        <w:spacing w:before="0" w:after="0"/>
        <w:jc w:val="both"/>
        <w:rPr>
          <w:color w:val="000000" w:themeColor="text1"/>
          <w:sz w:val="16"/>
          <w:szCs w:val="16"/>
        </w:rPr>
      </w:pPr>
      <w:r w:rsidRPr="00A259BD">
        <w:rPr>
          <w:color w:val="000000" w:themeColor="text1"/>
          <w:sz w:val="16"/>
          <w:szCs w:val="16"/>
        </w:rPr>
        <w:t>РГАЭ. Ф. 2097. Оп. 1. Д. 843. Л. 56—57. Подлинник.</w:t>
      </w:r>
    </w:p>
    <w:p w14:paraId="70640D77"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2097. Оп. 1. Д. 843. Л. 56—57. Подлинник. </w:t>
      </w:r>
    </w:p>
    <w:p w14:paraId="496572BF"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368-370 (12467).</w:t>
      </w:r>
    </w:p>
    <w:p w14:paraId="53EFE9D2" w14:textId="77777777" w:rsidR="001C166D" w:rsidRPr="00A259BD" w:rsidRDefault="001C166D" w:rsidP="009236E3">
      <w:pPr>
        <w:spacing w:after="0" w:line="240" w:lineRule="auto"/>
        <w:jc w:val="both"/>
        <w:rPr>
          <w:rFonts w:ascii="Times New Roman" w:hAnsi="Times New Roman"/>
          <w:color w:val="000000" w:themeColor="text1"/>
          <w:sz w:val="16"/>
          <w:szCs w:val="16"/>
        </w:rPr>
      </w:pPr>
    </w:p>
    <w:p w14:paraId="35E9EE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сентября 1929 был объявлен старт первого Всесоюзного пробега советских мотоциклов, который неоднократно откладывался. "Иж-6" не успели подготовить, поэтому в пробег отправилась первая пятерка "</w:t>
      </w:r>
      <w:proofErr w:type="spellStart"/>
      <w:r w:rsidRPr="00A259BD">
        <w:rPr>
          <w:rFonts w:ascii="Times New Roman" w:hAnsi="Times New Roman"/>
          <w:color w:val="000000" w:themeColor="text1"/>
          <w:sz w:val="16"/>
          <w:szCs w:val="16"/>
        </w:rPr>
        <w:t>Ижей</w:t>
      </w:r>
      <w:proofErr w:type="spellEnd"/>
      <w:r w:rsidRPr="00A259BD">
        <w:rPr>
          <w:rFonts w:ascii="Times New Roman" w:hAnsi="Times New Roman"/>
          <w:color w:val="000000" w:themeColor="text1"/>
          <w:sz w:val="16"/>
          <w:szCs w:val="16"/>
        </w:rPr>
        <w:t xml:space="preserve">". Из-за дождей, сделавших дороги совершенно непроезжими, ижевская команда до Нижнего Новгорода добиралась пароходом. В столице к ижевчанам присоединились москвич Э. </w:t>
      </w:r>
      <w:proofErr w:type="spellStart"/>
      <w:r w:rsidRPr="00A259BD">
        <w:rPr>
          <w:rFonts w:ascii="Times New Roman" w:hAnsi="Times New Roman"/>
          <w:color w:val="000000" w:themeColor="text1"/>
          <w:sz w:val="16"/>
          <w:szCs w:val="16"/>
        </w:rPr>
        <w:t>Мауэр</w:t>
      </w:r>
      <w:proofErr w:type="spellEnd"/>
      <w:r w:rsidRPr="00A259BD">
        <w:rPr>
          <w:rFonts w:ascii="Times New Roman" w:hAnsi="Times New Roman"/>
          <w:color w:val="000000" w:themeColor="text1"/>
          <w:sz w:val="16"/>
          <w:szCs w:val="16"/>
        </w:rPr>
        <w:t xml:space="preserve"> и туляк Н. Токарев на своих самодельных конструкциях, семь иностранных мотоциклов и два автомобиля сопровождения. Участники успешно преодолели более 3300 км по маршруту Москва - Ленинград - Псков - Витебск - Смоленск - Брянск - Харьков - Москва. Повсюду водителям оказывали радушный приём, а после финиша в здании Московского пассажа (ныне ГУМ) организовали выставку мотоциклов, вернувшихся из пробега. Там же работала техническая комиссия. Посетители отдали предпочтение "Иж-1" - они признали его самым красивым, иностранцы же были поражены его размерами и интересными техническими решениями. А вот эксперты думали об освоении наиболее технологичной - той, что проще в производстве машины. Им приглянулся "Иж-4" (11397).</w:t>
      </w:r>
    </w:p>
    <w:p w14:paraId="6A6A2D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F18271" w14:textId="77777777" w:rsidR="001E7B21" w:rsidRPr="00A259BD" w:rsidRDefault="001E7B21"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82624D6" w14:textId="77777777" w:rsidR="001E7B21" w:rsidRPr="00A259BD" w:rsidRDefault="001E7B2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75AF96" w14:textId="77777777" w:rsidR="001E7B21" w:rsidRPr="00A259BD" w:rsidRDefault="001E7B2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сентября 1929 года — первый полёт поршневого истребителя PZL P.1. /Польша/</w:t>
      </w:r>
    </w:p>
    <w:p w14:paraId="18DDD174" w14:textId="77777777" w:rsidR="001E7B21" w:rsidRPr="00A259BD" w:rsidRDefault="001E7B2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Основу ВВС Польши к концу 1920-х годов составляли устаревшие бипланы. Для разработки собственных боевых самолётов в 1928 году в Варшаве был создан Государственный авиационный завод (PZL, </w:t>
      </w:r>
      <w:proofErr w:type="spellStart"/>
      <w:r w:rsidRPr="00A259BD">
        <w:rPr>
          <w:rFonts w:ascii="Times New Roman" w:hAnsi="Times New Roman"/>
          <w:color w:val="000000" w:themeColor="text1"/>
          <w:sz w:val="16"/>
          <w:szCs w:val="16"/>
        </w:rPr>
        <w:t>Państwowe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Zakłady</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Lotnicze</w:t>
      </w:r>
      <w:proofErr w:type="spellEnd"/>
      <w:r w:rsidRPr="00A259BD">
        <w:rPr>
          <w:rFonts w:ascii="Times New Roman" w:hAnsi="Times New Roman"/>
          <w:color w:val="000000" w:themeColor="text1"/>
          <w:sz w:val="16"/>
          <w:szCs w:val="16"/>
        </w:rPr>
        <w:t xml:space="preserve">). Его первым самостоятельным проектом стал истребитель P.1, разработанный молодым конструктором Зигмундом </w:t>
      </w:r>
      <w:proofErr w:type="spellStart"/>
      <w:r w:rsidRPr="00A259BD">
        <w:rPr>
          <w:rFonts w:ascii="Times New Roman" w:hAnsi="Times New Roman"/>
          <w:color w:val="000000" w:themeColor="text1"/>
          <w:sz w:val="16"/>
          <w:szCs w:val="16"/>
        </w:rPr>
        <w:t>Пулавским</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Zygmunt</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Puławski</w:t>
      </w:r>
      <w:proofErr w:type="spellEnd"/>
      <w:r w:rsidRPr="00A259BD">
        <w:rPr>
          <w:rFonts w:ascii="Times New Roman" w:hAnsi="Times New Roman"/>
          <w:color w:val="000000" w:themeColor="text1"/>
          <w:sz w:val="16"/>
          <w:szCs w:val="16"/>
        </w:rPr>
        <w:t>).</w:t>
      </w:r>
    </w:p>
    <w:p w14:paraId="10B91F51" w14:textId="77777777" w:rsidR="001E7B21" w:rsidRPr="00A259BD" w:rsidRDefault="001E7B2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P.1 представлял собой цельнометаллический высокоплан с крылом типа «чайка» (т.н. «крыло </w:t>
      </w:r>
      <w:proofErr w:type="spellStart"/>
      <w:r w:rsidRPr="00A259BD">
        <w:rPr>
          <w:rFonts w:ascii="Times New Roman" w:hAnsi="Times New Roman"/>
          <w:color w:val="000000" w:themeColor="text1"/>
          <w:sz w:val="16"/>
          <w:szCs w:val="16"/>
        </w:rPr>
        <w:t>Пулавского</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неубираемым</w:t>
      </w:r>
      <w:proofErr w:type="spellEnd"/>
      <w:r w:rsidRPr="00A259BD">
        <w:rPr>
          <w:rFonts w:ascii="Times New Roman" w:hAnsi="Times New Roman"/>
          <w:color w:val="000000" w:themeColor="text1"/>
          <w:sz w:val="16"/>
          <w:szCs w:val="16"/>
        </w:rPr>
        <w:t xml:space="preserve"> шасси. Двигатель </w:t>
      </w:r>
      <w:proofErr w:type="spellStart"/>
      <w:r w:rsidRPr="00A259BD">
        <w:rPr>
          <w:rFonts w:ascii="Times New Roman" w:hAnsi="Times New Roman"/>
          <w:color w:val="000000" w:themeColor="text1"/>
          <w:sz w:val="16"/>
          <w:szCs w:val="16"/>
        </w:rPr>
        <w:t>Hispano-Suiza</w:t>
      </w:r>
      <w:proofErr w:type="spellEnd"/>
      <w:r w:rsidRPr="00A259BD">
        <w:rPr>
          <w:rFonts w:ascii="Times New Roman" w:hAnsi="Times New Roman"/>
          <w:color w:val="000000" w:themeColor="text1"/>
          <w:sz w:val="16"/>
          <w:szCs w:val="16"/>
        </w:rPr>
        <w:t xml:space="preserve"> 12Lb (640 л.с.) позволял развить скорость до 302 км/ч. Дальность полёта — 600 км. Вооружение — 2 × 7,92-мм пулемёта </w:t>
      </w:r>
      <w:proofErr w:type="spellStart"/>
      <w:r w:rsidRPr="00A259BD">
        <w:rPr>
          <w:rFonts w:ascii="Times New Roman" w:hAnsi="Times New Roman"/>
          <w:color w:val="000000" w:themeColor="text1"/>
          <w:sz w:val="16"/>
          <w:szCs w:val="16"/>
        </w:rPr>
        <w:t>Vickers</w:t>
      </w:r>
      <w:proofErr w:type="spellEnd"/>
      <w:r w:rsidRPr="00A259BD">
        <w:rPr>
          <w:rFonts w:ascii="Times New Roman" w:hAnsi="Times New Roman"/>
          <w:color w:val="000000" w:themeColor="text1"/>
          <w:sz w:val="16"/>
          <w:szCs w:val="16"/>
        </w:rPr>
        <w:t xml:space="preserve"> 09/18.</w:t>
      </w:r>
    </w:p>
    <w:p w14:paraId="28F3278A" w14:textId="77777777" w:rsidR="001E7B21" w:rsidRPr="00A259BD" w:rsidRDefault="001E7B2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Несмотря на свои хорошие характеристики, PZL P.1 остался в статусе экспериментального. Было построено 2 прототипа, отличавшихся хвостовым оперением и носовой частью. Опыт, полученный при разработке P.1, позже был успешно применён </w:t>
      </w:r>
      <w:proofErr w:type="spellStart"/>
      <w:r w:rsidRPr="00A259BD">
        <w:rPr>
          <w:rFonts w:ascii="Times New Roman" w:hAnsi="Times New Roman"/>
          <w:color w:val="000000" w:themeColor="text1"/>
          <w:sz w:val="16"/>
          <w:szCs w:val="16"/>
        </w:rPr>
        <w:t>Пулавским</w:t>
      </w:r>
      <w:proofErr w:type="spellEnd"/>
      <w:r w:rsidRPr="00A259BD">
        <w:rPr>
          <w:rFonts w:ascii="Times New Roman" w:hAnsi="Times New Roman"/>
          <w:color w:val="000000" w:themeColor="text1"/>
          <w:sz w:val="16"/>
          <w:szCs w:val="16"/>
        </w:rPr>
        <w:t xml:space="preserve"> в серийных истребителях PZL P.7 и P.11 (22300).</w:t>
      </w:r>
    </w:p>
    <w:p w14:paraId="1340AD0E" w14:textId="77777777" w:rsidR="001E7B21" w:rsidRPr="00A259BD" w:rsidRDefault="001E7B21" w:rsidP="009236E3">
      <w:pPr>
        <w:shd w:val="clear" w:color="auto" w:fill="FFFFFF"/>
        <w:spacing w:after="0" w:line="240" w:lineRule="auto"/>
        <w:jc w:val="both"/>
        <w:rPr>
          <w:rFonts w:ascii="Times New Roman" w:hAnsi="Times New Roman"/>
          <w:color w:val="000000" w:themeColor="text1"/>
          <w:sz w:val="16"/>
          <w:szCs w:val="16"/>
        </w:rPr>
      </w:pPr>
    </w:p>
    <w:p w14:paraId="066B8D9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7232F8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E2E9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сентября 1929 г.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предложило ВВС построить еще два опытных образца Р-5, пятый и шестой. На одном из них хотели установить опытный 18-цилиндровый мотор WI8. Но при почти той же мощности (600/750 л.с.) этот двигатель приводил к возрастанию веса пустого самолета более чем на 200 кг и увеличению аэродинамического сопротивления (за счет W-образ- </w:t>
      </w:r>
      <w:proofErr w:type="spellStart"/>
      <w:r w:rsidRPr="00A259BD">
        <w:rPr>
          <w:rFonts w:ascii="Times New Roman" w:hAnsi="Times New Roman"/>
          <w:color w:val="000000" w:themeColor="text1"/>
          <w:sz w:val="16"/>
          <w:szCs w:val="16"/>
        </w:rPr>
        <w:t>ного</w:t>
      </w:r>
      <w:proofErr w:type="spellEnd"/>
      <w:r w:rsidRPr="00A259BD">
        <w:rPr>
          <w:rFonts w:ascii="Times New Roman" w:hAnsi="Times New Roman"/>
          <w:color w:val="000000" w:themeColor="text1"/>
          <w:sz w:val="16"/>
          <w:szCs w:val="16"/>
        </w:rPr>
        <w:t xml:space="preserve"> расположения рядов цилиндров). УВВС от предложения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отказалось - его гораздо больше волновало скорейшее внедрение Р-5 в серийное производство (12034).</w:t>
      </w:r>
    </w:p>
    <w:p w14:paraId="5B2366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2028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сентября 1929 в НИИ ВВС был представлен для гос. испытаний И-4 А.Н.Т. 22 завода, но уже 10 октября 1929 он был возвращен на завод 22 для устранения тряски мотора (2371).</w:t>
      </w:r>
    </w:p>
    <w:p w14:paraId="04BA9A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B701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сентября 1929 Пред.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Михайлов и Зав. техотделом </w:t>
      </w:r>
      <w:proofErr w:type="spellStart"/>
      <w:r w:rsidRPr="00A259BD">
        <w:rPr>
          <w:rFonts w:ascii="Times New Roman" w:hAnsi="Times New Roman"/>
          <w:color w:val="000000" w:themeColor="text1"/>
          <w:sz w:val="16"/>
          <w:szCs w:val="16"/>
        </w:rPr>
        <w:t>Окромешко</w:t>
      </w:r>
      <w:proofErr w:type="spellEnd"/>
      <w:r w:rsidRPr="00A259BD">
        <w:rPr>
          <w:rFonts w:ascii="Times New Roman" w:hAnsi="Times New Roman"/>
          <w:color w:val="000000" w:themeColor="text1"/>
          <w:sz w:val="16"/>
          <w:szCs w:val="16"/>
        </w:rPr>
        <w:t xml:space="preserve"> писали письмо N 163/6294 на завод 22 по вопросу о планировании работ МОС на 1929/30 </w:t>
      </w:r>
      <w:proofErr w:type="spellStart"/>
      <w:r w:rsidRPr="00A259BD">
        <w:rPr>
          <w:rFonts w:ascii="Times New Roman" w:hAnsi="Times New Roman"/>
          <w:color w:val="000000" w:themeColor="text1"/>
          <w:sz w:val="16"/>
          <w:szCs w:val="16"/>
        </w:rPr>
        <w:t>опергод</w:t>
      </w:r>
      <w:proofErr w:type="spellEnd"/>
      <w:r w:rsidRPr="00A259BD">
        <w:rPr>
          <w:rFonts w:ascii="Times New Roman" w:hAnsi="Times New Roman"/>
          <w:color w:val="000000" w:themeColor="text1"/>
          <w:sz w:val="16"/>
          <w:szCs w:val="16"/>
        </w:rPr>
        <w:t>:</w:t>
      </w:r>
    </w:p>
    <w:p w14:paraId="58D104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"Разработанным УВВС пятилетним планом работ по опытному морскому самолетостроению по линии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предусматривается: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A259BD" w:rsidRPr="00A259BD" w14:paraId="4D78A356" w14:textId="77777777">
        <w:tc>
          <w:tcPr>
            <w:tcW w:w="2818" w:type="dxa"/>
          </w:tcPr>
          <w:p w14:paraId="6594B6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52BD4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Сдача НИИ</w:t>
            </w:r>
          </w:p>
        </w:tc>
      </w:tr>
      <w:tr w:rsidR="00A259BD" w:rsidRPr="00A259BD" w14:paraId="060510A8" w14:textId="77777777">
        <w:tc>
          <w:tcPr>
            <w:tcW w:w="2818" w:type="dxa"/>
          </w:tcPr>
          <w:p w14:paraId="281EE8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РОМ-2</w:t>
            </w:r>
          </w:p>
        </w:tc>
        <w:tc>
          <w:tcPr>
            <w:tcW w:w="2818" w:type="dxa"/>
          </w:tcPr>
          <w:p w14:paraId="44DA4E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01.07.29</w:t>
            </w:r>
          </w:p>
        </w:tc>
      </w:tr>
      <w:tr w:rsidR="00A259BD" w:rsidRPr="00A259BD" w14:paraId="55046763" w14:textId="77777777">
        <w:tc>
          <w:tcPr>
            <w:tcW w:w="2818" w:type="dxa"/>
          </w:tcPr>
          <w:p w14:paraId="0B5CB9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МР-5</w:t>
            </w:r>
          </w:p>
        </w:tc>
        <w:tc>
          <w:tcPr>
            <w:tcW w:w="2818" w:type="dxa"/>
          </w:tcPr>
          <w:p w14:paraId="7F50AC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01.06.29</w:t>
            </w:r>
          </w:p>
        </w:tc>
      </w:tr>
      <w:tr w:rsidR="00A259BD" w:rsidRPr="00A259BD" w14:paraId="6DF5A7A5" w14:textId="77777777">
        <w:tc>
          <w:tcPr>
            <w:tcW w:w="2818" w:type="dxa"/>
          </w:tcPr>
          <w:p w14:paraId="24FF17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МР-5 Ришара</w:t>
            </w:r>
          </w:p>
        </w:tc>
        <w:tc>
          <w:tcPr>
            <w:tcW w:w="2818" w:type="dxa"/>
          </w:tcPr>
          <w:p w14:paraId="692FE8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01.02.30</w:t>
            </w:r>
          </w:p>
        </w:tc>
      </w:tr>
      <w:tr w:rsidR="00A259BD" w:rsidRPr="00A259BD" w14:paraId="78E0C7C2" w14:textId="77777777">
        <w:tc>
          <w:tcPr>
            <w:tcW w:w="2818" w:type="dxa"/>
          </w:tcPr>
          <w:p w14:paraId="042D48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ТОМ-1 Ришара</w:t>
            </w:r>
          </w:p>
        </w:tc>
        <w:tc>
          <w:tcPr>
            <w:tcW w:w="2818" w:type="dxa"/>
          </w:tcPr>
          <w:p w14:paraId="583B60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01.05.30</w:t>
            </w:r>
          </w:p>
        </w:tc>
      </w:tr>
      <w:tr w:rsidR="00A259BD" w:rsidRPr="00A259BD" w14:paraId="6149B3E3" w14:textId="77777777">
        <w:tc>
          <w:tcPr>
            <w:tcW w:w="2818" w:type="dxa"/>
          </w:tcPr>
          <w:p w14:paraId="625C53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МУ-2</w:t>
            </w:r>
          </w:p>
        </w:tc>
        <w:tc>
          <w:tcPr>
            <w:tcW w:w="2818" w:type="dxa"/>
          </w:tcPr>
          <w:p w14:paraId="0AEA80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01.10.29</w:t>
            </w:r>
          </w:p>
        </w:tc>
      </w:tr>
      <w:tr w:rsidR="00A259BD" w:rsidRPr="00A259BD" w14:paraId="79D631BE" w14:textId="77777777">
        <w:tc>
          <w:tcPr>
            <w:tcW w:w="2818" w:type="dxa"/>
          </w:tcPr>
          <w:p w14:paraId="6386ED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МУ-3</w:t>
            </w:r>
          </w:p>
        </w:tc>
        <w:tc>
          <w:tcPr>
            <w:tcW w:w="2818" w:type="dxa"/>
          </w:tcPr>
          <w:p w14:paraId="4A42A5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01.04.29</w:t>
            </w:r>
          </w:p>
        </w:tc>
      </w:tr>
      <w:tr w:rsidR="00A259BD" w:rsidRPr="00A259BD" w14:paraId="2432B47D" w14:textId="77777777">
        <w:tc>
          <w:tcPr>
            <w:tcW w:w="2818" w:type="dxa"/>
          </w:tcPr>
          <w:p w14:paraId="293F3B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РОМ-III</w:t>
            </w:r>
          </w:p>
        </w:tc>
        <w:tc>
          <w:tcPr>
            <w:tcW w:w="2818" w:type="dxa"/>
          </w:tcPr>
          <w:p w14:paraId="79CF63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01.01.31</w:t>
            </w:r>
          </w:p>
        </w:tc>
      </w:tr>
      <w:tr w:rsidR="00A259BD" w:rsidRPr="00A259BD" w14:paraId="43C2F93C" w14:textId="77777777">
        <w:tc>
          <w:tcPr>
            <w:tcW w:w="2818" w:type="dxa"/>
          </w:tcPr>
          <w:p w14:paraId="4842DD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(развитие МР-5 и МР-6).</w:t>
            </w:r>
          </w:p>
        </w:tc>
        <w:tc>
          <w:tcPr>
            <w:tcW w:w="2818" w:type="dxa"/>
          </w:tcPr>
          <w:p w14:paraId="48280E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5B5706F" w14:textId="77777777">
        <w:tc>
          <w:tcPr>
            <w:tcW w:w="2818" w:type="dxa"/>
          </w:tcPr>
          <w:p w14:paraId="29E04D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Деревянная лодка МР-5</w:t>
            </w:r>
          </w:p>
        </w:tc>
        <w:tc>
          <w:tcPr>
            <w:tcW w:w="2818" w:type="dxa"/>
          </w:tcPr>
          <w:p w14:paraId="1D0E39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01.12.30</w:t>
            </w:r>
          </w:p>
        </w:tc>
      </w:tr>
      <w:tr w:rsidR="00A259BD" w:rsidRPr="00A259BD" w14:paraId="014601B2" w14:textId="77777777">
        <w:tc>
          <w:tcPr>
            <w:tcW w:w="2818" w:type="dxa"/>
          </w:tcPr>
          <w:p w14:paraId="5CA725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Деревянная лодка МР-6</w:t>
            </w:r>
          </w:p>
        </w:tc>
        <w:tc>
          <w:tcPr>
            <w:tcW w:w="2818" w:type="dxa"/>
          </w:tcPr>
          <w:p w14:paraId="135364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01.12.30</w:t>
            </w:r>
          </w:p>
        </w:tc>
      </w:tr>
    </w:tbl>
    <w:p w14:paraId="75BBB6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Правление предлагает МОС сообщить, какие из перечисленных заданий </w:t>
      </w:r>
      <w:proofErr w:type="spellStart"/>
      <w:r w:rsidRPr="00A259BD">
        <w:rPr>
          <w:rFonts w:ascii="Times New Roman" w:hAnsi="Times New Roman"/>
          <w:color w:val="000000" w:themeColor="text1"/>
          <w:sz w:val="16"/>
          <w:szCs w:val="16"/>
        </w:rPr>
        <w:t>м.б.</w:t>
      </w:r>
      <w:proofErr w:type="spellEnd"/>
      <w:r w:rsidRPr="00A259BD">
        <w:rPr>
          <w:rFonts w:ascii="Times New Roman" w:hAnsi="Times New Roman"/>
          <w:color w:val="000000" w:themeColor="text1"/>
          <w:sz w:val="16"/>
          <w:szCs w:val="16"/>
        </w:rPr>
        <w:t xml:space="preserve"> им приняты к исполнению...</w:t>
      </w:r>
    </w:p>
    <w:p w14:paraId="3D488B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...весьма желательно включить в планировку, допуская некоторое отклонение от планов НТК, проектирование и постройку улучшенных МР-5 и РОМ-2 с тем, чтобы они вышли на испытания весной или в крайнем случае летом 1930, хотя бы за счет работ по МР-6.</w:t>
      </w:r>
    </w:p>
    <w:p w14:paraId="232735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Желательна замена МУ-3 самолетом амфибией под М-11 (2365).</w:t>
      </w:r>
    </w:p>
    <w:p w14:paraId="324C76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A6714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сентября 1929 Пред.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Михайлов и Зав. техотделом </w:t>
      </w:r>
      <w:proofErr w:type="spellStart"/>
      <w:r w:rsidRPr="00A259BD">
        <w:rPr>
          <w:rFonts w:ascii="Times New Roman" w:hAnsi="Times New Roman"/>
          <w:color w:val="000000" w:themeColor="text1"/>
          <w:sz w:val="16"/>
          <w:szCs w:val="16"/>
        </w:rPr>
        <w:t>Окромешко</w:t>
      </w:r>
      <w:proofErr w:type="spellEnd"/>
      <w:r w:rsidRPr="00A259BD">
        <w:rPr>
          <w:rFonts w:ascii="Times New Roman" w:hAnsi="Times New Roman"/>
          <w:color w:val="000000" w:themeColor="text1"/>
          <w:sz w:val="16"/>
          <w:szCs w:val="16"/>
        </w:rPr>
        <w:t xml:space="preserve"> писали письмо N 163/6291 на завод 25 по вопросу о разработке планировки работ на 1929/30 </w:t>
      </w:r>
      <w:proofErr w:type="spellStart"/>
      <w:r w:rsidRPr="00A259BD">
        <w:rPr>
          <w:rFonts w:ascii="Times New Roman" w:hAnsi="Times New Roman"/>
          <w:color w:val="000000" w:themeColor="text1"/>
          <w:sz w:val="16"/>
          <w:szCs w:val="16"/>
        </w:rPr>
        <w:t>опергод</w:t>
      </w:r>
      <w:proofErr w:type="spellEnd"/>
      <w:r w:rsidRPr="00A259BD">
        <w:rPr>
          <w:rFonts w:ascii="Times New Roman" w:hAnsi="Times New Roman"/>
          <w:color w:val="000000" w:themeColor="text1"/>
          <w:sz w:val="16"/>
          <w:szCs w:val="16"/>
        </w:rPr>
        <w:t>:</w:t>
      </w:r>
    </w:p>
    <w:p w14:paraId="1F96C0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"Разработанным УВВС пятилетним планом работ по опытному морскому самолетостроению по линии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предусматривается: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tblGrid>
      <w:tr w:rsidR="00A259BD" w:rsidRPr="00A259BD" w14:paraId="2A07F4F6" w14:textId="77777777">
        <w:tc>
          <w:tcPr>
            <w:tcW w:w="2254" w:type="dxa"/>
          </w:tcPr>
          <w:p w14:paraId="756258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8ED7E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Сдача НИИ</w:t>
            </w:r>
          </w:p>
        </w:tc>
      </w:tr>
      <w:tr w:rsidR="00A259BD" w:rsidRPr="00A259BD" w14:paraId="120C3925" w14:textId="77777777">
        <w:tc>
          <w:tcPr>
            <w:tcW w:w="2254" w:type="dxa"/>
          </w:tcPr>
          <w:p w14:paraId="0E4D39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ТБ-2</w:t>
            </w:r>
          </w:p>
        </w:tc>
        <w:tc>
          <w:tcPr>
            <w:tcW w:w="2254" w:type="dxa"/>
          </w:tcPr>
          <w:p w14:paraId="43B1AB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01.11.29</w:t>
            </w:r>
          </w:p>
        </w:tc>
      </w:tr>
      <w:tr w:rsidR="00A259BD" w:rsidRPr="00A259BD" w14:paraId="033803DC" w14:textId="77777777">
        <w:tc>
          <w:tcPr>
            <w:tcW w:w="2254" w:type="dxa"/>
          </w:tcPr>
          <w:p w14:paraId="79F901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И-6</w:t>
            </w:r>
          </w:p>
        </w:tc>
        <w:tc>
          <w:tcPr>
            <w:tcW w:w="2254" w:type="dxa"/>
          </w:tcPr>
          <w:p w14:paraId="60B7B8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01.09.29</w:t>
            </w:r>
          </w:p>
        </w:tc>
      </w:tr>
      <w:tr w:rsidR="00A259BD" w:rsidRPr="00A259BD" w14:paraId="7F301C21" w14:textId="77777777">
        <w:tc>
          <w:tcPr>
            <w:tcW w:w="2254" w:type="dxa"/>
          </w:tcPr>
          <w:p w14:paraId="16F8BB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И-7</w:t>
            </w:r>
          </w:p>
        </w:tc>
        <w:tc>
          <w:tcPr>
            <w:tcW w:w="2254" w:type="dxa"/>
          </w:tcPr>
          <w:p w14:paraId="5F3B40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01.04.30</w:t>
            </w:r>
          </w:p>
        </w:tc>
      </w:tr>
      <w:tr w:rsidR="00A259BD" w:rsidRPr="00A259BD" w14:paraId="7F227533" w14:textId="77777777">
        <w:tc>
          <w:tcPr>
            <w:tcW w:w="2254" w:type="dxa"/>
          </w:tcPr>
          <w:p w14:paraId="73B40D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Д-2</w:t>
            </w:r>
          </w:p>
        </w:tc>
        <w:tc>
          <w:tcPr>
            <w:tcW w:w="2254" w:type="dxa"/>
          </w:tcPr>
          <w:p w14:paraId="5D64CD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01.05.29</w:t>
            </w:r>
          </w:p>
        </w:tc>
      </w:tr>
      <w:tr w:rsidR="00A259BD" w:rsidRPr="00A259BD" w14:paraId="04AFC97B" w14:textId="77777777">
        <w:tc>
          <w:tcPr>
            <w:tcW w:w="2254" w:type="dxa"/>
          </w:tcPr>
          <w:p w14:paraId="67F70F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НД-2</w:t>
            </w:r>
          </w:p>
        </w:tc>
        <w:tc>
          <w:tcPr>
            <w:tcW w:w="2254" w:type="dxa"/>
          </w:tcPr>
          <w:p w14:paraId="0C250E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01.09.30</w:t>
            </w:r>
          </w:p>
        </w:tc>
      </w:tr>
      <w:tr w:rsidR="00A259BD" w:rsidRPr="00A259BD" w14:paraId="6D305246" w14:textId="77777777">
        <w:tc>
          <w:tcPr>
            <w:tcW w:w="2254" w:type="dxa"/>
          </w:tcPr>
          <w:p w14:paraId="66D118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ИК-1</w:t>
            </w:r>
          </w:p>
        </w:tc>
        <w:tc>
          <w:tcPr>
            <w:tcW w:w="2254" w:type="dxa"/>
          </w:tcPr>
          <w:p w14:paraId="7EAA7A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01.09.31</w:t>
            </w:r>
          </w:p>
        </w:tc>
      </w:tr>
      <w:tr w:rsidR="00A259BD" w:rsidRPr="00A259BD" w14:paraId="3D67E7F3" w14:textId="77777777">
        <w:tc>
          <w:tcPr>
            <w:tcW w:w="2254" w:type="dxa"/>
          </w:tcPr>
          <w:p w14:paraId="71D140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КРК-1</w:t>
            </w:r>
          </w:p>
        </w:tc>
        <w:tc>
          <w:tcPr>
            <w:tcW w:w="2254" w:type="dxa"/>
          </w:tcPr>
          <w:p w14:paraId="039670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01.09.31</w:t>
            </w:r>
          </w:p>
        </w:tc>
      </w:tr>
      <w:tr w:rsidR="00A259BD" w:rsidRPr="00A259BD" w14:paraId="00CD42EA" w14:textId="77777777">
        <w:tc>
          <w:tcPr>
            <w:tcW w:w="2254" w:type="dxa"/>
          </w:tcPr>
          <w:p w14:paraId="563A27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Сух. </w:t>
            </w:r>
            <w:proofErr w:type="spellStart"/>
            <w:r w:rsidRPr="00A259BD">
              <w:rPr>
                <w:rFonts w:ascii="Times New Roman" w:hAnsi="Times New Roman"/>
                <w:color w:val="000000" w:themeColor="text1"/>
                <w:sz w:val="16"/>
                <w:szCs w:val="16"/>
              </w:rPr>
              <w:t>торп</w:t>
            </w:r>
            <w:proofErr w:type="spellEnd"/>
            <w:r w:rsidRPr="00A259BD">
              <w:rPr>
                <w:rFonts w:ascii="Times New Roman" w:hAnsi="Times New Roman"/>
                <w:color w:val="000000" w:themeColor="text1"/>
                <w:sz w:val="16"/>
                <w:szCs w:val="16"/>
              </w:rPr>
              <w:t>.</w:t>
            </w:r>
          </w:p>
        </w:tc>
        <w:tc>
          <w:tcPr>
            <w:tcW w:w="2254" w:type="dxa"/>
          </w:tcPr>
          <w:p w14:paraId="100091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01.04.31</w:t>
            </w:r>
          </w:p>
        </w:tc>
      </w:tr>
      <w:tr w:rsidR="00A259BD" w:rsidRPr="00A259BD" w14:paraId="5E463610" w14:textId="77777777">
        <w:tc>
          <w:tcPr>
            <w:tcW w:w="2254" w:type="dxa"/>
          </w:tcPr>
          <w:p w14:paraId="5D8CB1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БМВ-6</w:t>
            </w:r>
          </w:p>
        </w:tc>
        <w:tc>
          <w:tcPr>
            <w:tcW w:w="2254" w:type="dxa"/>
          </w:tcPr>
          <w:p w14:paraId="799182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AE03854" w14:textId="77777777">
        <w:tc>
          <w:tcPr>
            <w:tcW w:w="2254" w:type="dxa"/>
          </w:tcPr>
          <w:p w14:paraId="4694FE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Фюз</w:t>
            </w:r>
            <w:proofErr w:type="spellEnd"/>
            <w:r w:rsidRPr="00A259BD">
              <w:rPr>
                <w:rFonts w:ascii="Times New Roman" w:hAnsi="Times New Roman"/>
                <w:color w:val="000000" w:themeColor="text1"/>
                <w:sz w:val="16"/>
                <w:szCs w:val="16"/>
              </w:rPr>
              <w:t>. к Р-5</w:t>
            </w:r>
          </w:p>
        </w:tc>
        <w:tc>
          <w:tcPr>
            <w:tcW w:w="2254" w:type="dxa"/>
          </w:tcPr>
          <w:p w14:paraId="5CED68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01.08.30</w:t>
            </w:r>
          </w:p>
        </w:tc>
      </w:tr>
      <w:tr w:rsidR="00A259BD" w:rsidRPr="00A259BD" w14:paraId="649FBFD1" w14:textId="77777777">
        <w:tc>
          <w:tcPr>
            <w:tcW w:w="2254" w:type="dxa"/>
          </w:tcPr>
          <w:p w14:paraId="26DDA0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Фюз</w:t>
            </w:r>
            <w:proofErr w:type="spellEnd"/>
            <w:r w:rsidRPr="00A259BD">
              <w:rPr>
                <w:rFonts w:ascii="Times New Roman" w:hAnsi="Times New Roman"/>
                <w:color w:val="000000" w:themeColor="text1"/>
                <w:sz w:val="16"/>
                <w:szCs w:val="16"/>
              </w:rPr>
              <w:t>. к И-7</w:t>
            </w:r>
          </w:p>
        </w:tc>
        <w:tc>
          <w:tcPr>
            <w:tcW w:w="2254" w:type="dxa"/>
          </w:tcPr>
          <w:p w14:paraId="1F5A41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01.06.30</w:t>
            </w:r>
          </w:p>
        </w:tc>
      </w:tr>
      <w:tr w:rsidR="00A259BD" w:rsidRPr="00A259BD" w14:paraId="32F5724E" w14:textId="77777777">
        <w:tc>
          <w:tcPr>
            <w:tcW w:w="2254" w:type="dxa"/>
          </w:tcPr>
          <w:p w14:paraId="5F8EA0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Фюз</w:t>
            </w:r>
            <w:proofErr w:type="spellEnd"/>
            <w:r w:rsidRPr="00A259BD">
              <w:rPr>
                <w:rFonts w:ascii="Times New Roman" w:hAnsi="Times New Roman"/>
                <w:color w:val="000000" w:themeColor="text1"/>
                <w:sz w:val="16"/>
                <w:szCs w:val="16"/>
              </w:rPr>
              <w:t>. к Д-2</w:t>
            </w:r>
          </w:p>
        </w:tc>
        <w:tc>
          <w:tcPr>
            <w:tcW w:w="2254" w:type="dxa"/>
          </w:tcPr>
          <w:p w14:paraId="7DBF67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01.07.30 (2365, 248)</w:t>
            </w:r>
          </w:p>
        </w:tc>
      </w:tr>
    </w:tbl>
    <w:p w14:paraId="0D2EF6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вышеуказанных работ необходимо в плане на наступающий операционный год предусмотреть следующие работы:</w:t>
      </w:r>
    </w:p>
    <w:p w14:paraId="5DB62F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Замена 5 и 6 экз. Р-5 на проектирование и постройку почтовой скоростной машины за счет спец. средств по линии ГА</w:t>
      </w:r>
    </w:p>
    <w:p w14:paraId="3157B9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и постройка разрезных крыльев к Р-5</w:t>
      </w:r>
    </w:p>
    <w:p w14:paraId="0D7C2E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Р-5 под мотор УУ</w:t>
      </w:r>
    </w:p>
    <w:p w14:paraId="7022AE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И-3 или И-7 под мотор У</w:t>
      </w:r>
    </w:p>
    <w:p w14:paraId="7D836B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И-6 под мотор 2М-15</w:t>
      </w:r>
    </w:p>
    <w:p w14:paraId="35C675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Утверждено окончание ведущихся заводом работ по У-2 на поплавках и 3 Р-5 (2365).</w:t>
      </w:r>
    </w:p>
    <w:p w14:paraId="199F75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69B9E9"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40DE02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35D47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сентября 1929 </w:t>
      </w:r>
      <w:proofErr w:type="spellStart"/>
      <w:r w:rsidRPr="00A259BD">
        <w:rPr>
          <w:rFonts w:ascii="Times New Roman" w:hAnsi="Times New Roman"/>
          <w:color w:val="000000" w:themeColor="text1"/>
          <w:sz w:val="16"/>
          <w:szCs w:val="16"/>
        </w:rPr>
        <w:t>И.Шобер</w:t>
      </w:r>
      <w:proofErr w:type="spellEnd"/>
      <w:r w:rsidRPr="00A259BD">
        <w:rPr>
          <w:rFonts w:ascii="Times New Roman" w:hAnsi="Times New Roman"/>
          <w:color w:val="000000" w:themeColor="text1"/>
          <w:sz w:val="16"/>
          <w:szCs w:val="16"/>
        </w:rPr>
        <w:t xml:space="preserve"> сформировал правительство Австрии (3907,157).</w:t>
      </w:r>
    </w:p>
    <w:p w14:paraId="5C8A2C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CE16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сентября 1929 </w:t>
      </w:r>
      <w:proofErr w:type="spellStart"/>
      <w:r w:rsidRPr="00A259BD">
        <w:rPr>
          <w:rFonts w:ascii="Times New Roman" w:hAnsi="Times New Roman"/>
          <w:color w:val="000000" w:themeColor="text1"/>
          <w:sz w:val="16"/>
          <w:szCs w:val="16"/>
        </w:rPr>
        <w:t>Иоган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Шобер</w:t>
      </w:r>
      <w:proofErr w:type="spellEnd"/>
      <w:r w:rsidRPr="00A259BD">
        <w:rPr>
          <w:rFonts w:ascii="Times New Roman" w:hAnsi="Times New Roman"/>
          <w:color w:val="000000" w:themeColor="text1"/>
          <w:sz w:val="16"/>
          <w:szCs w:val="16"/>
        </w:rPr>
        <w:t xml:space="preserve"> формирует в Австрии правительство при поддержке христианских социалистов и националистов (7444).</w:t>
      </w:r>
    </w:p>
    <w:p w14:paraId="6C4466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0D105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B37C16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5044FCF" w14:textId="77777777" w:rsidR="00051DBD" w:rsidRPr="00A259BD" w:rsidRDefault="00051DBD" w:rsidP="009236E3">
      <w:pPr>
        <w:pStyle w:val="rtejustify"/>
        <w:shd w:val="clear" w:color="auto" w:fill="FFFFFF"/>
        <w:spacing w:before="0" w:after="0"/>
        <w:rPr>
          <w:color w:val="000000" w:themeColor="text1"/>
          <w:sz w:val="16"/>
          <w:szCs w:val="16"/>
        </w:rPr>
      </w:pPr>
      <w:r w:rsidRPr="00A259BD">
        <w:rPr>
          <w:color w:val="000000" w:themeColor="text1"/>
          <w:sz w:val="16"/>
          <w:szCs w:val="16"/>
        </w:rPr>
        <w:t>27 сентября 1929 года на совещании ответственных работников АГОС ЦАГИ были распределены обязанности сотрудников в процессе проектирования самолета «Жокей» </w:t>
      </w:r>
      <w:r w:rsidRPr="00A259BD">
        <w:rPr>
          <w:rStyle w:val="af0"/>
          <w:i w:val="0"/>
          <w:color w:val="000000" w:themeColor="text1"/>
          <w:sz w:val="16"/>
          <w:szCs w:val="16"/>
          <w:bdr w:val="none" w:sz="0" w:space="0" w:color="auto" w:frame="1"/>
        </w:rPr>
        <w:t>(В различных документах проходил под обозначением: И-8, АНТ-13, заказ 7012, «Жокей» – перехватчик, «Общественная машина»)</w:t>
      </w:r>
      <w:r w:rsidRPr="00A259BD">
        <w:rPr>
          <w:color w:val="000000" w:themeColor="text1"/>
          <w:sz w:val="16"/>
          <w:szCs w:val="16"/>
        </w:rPr>
        <w:t xml:space="preserve">. Общее руководство над проектом возлагалось на А. Н. Туполева; Ответственный по машине – А. И. Путилов; общая увязка – Б. М. </w:t>
      </w:r>
      <w:proofErr w:type="spellStart"/>
      <w:r w:rsidRPr="00A259BD">
        <w:rPr>
          <w:color w:val="000000" w:themeColor="text1"/>
          <w:sz w:val="16"/>
          <w:szCs w:val="16"/>
        </w:rPr>
        <w:t>Кондорский</w:t>
      </w:r>
      <w:proofErr w:type="spellEnd"/>
      <w:r w:rsidRPr="00A259BD">
        <w:rPr>
          <w:color w:val="000000" w:themeColor="text1"/>
          <w:sz w:val="16"/>
          <w:szCs w:val="16"/>
        </w:rPr>
        <w:t xml:space="preserve">; </w:t>
      </w:r>
      <w:proofErr w:type="spellStart"/>
      <w:r w:rsidRPr="00A259BD">
        <w:rPr>
          <w:color w:val="000000" w:themeColor="text1"/>
          <w:sz w:val="16"/>
          <w:szCs w:val="16"/>
        </w:rPr>
        <w:t>подмоторная</w:t>
      </w:r>
      <w:proofErr w:type="spellEnd"/>
      <w:r w:rsidRPr="00A259BD">
        <w:rPr>
          <w:color w:val="000000" w:themeColor="text1"/>
          <w:sz w:val="16"/>
          <w:szCs w:val="16"/>
        </w:rPr>
        <w:t xml:space="preserve"> рама, модели – И. И. </w:t>
      </w:r>
      <w:proofErr w:type="spellStart"/>
      <w:r w:rsidRPr="00A259BD">
        <w:rPr>
          <w:color w:val="000000" w:themeColor="text1"/>
          <w:sz w:val="16"/>
          <w:szCs w:val="16"/>
        </w:rPr>
        <w:t>Погосский</w:t>
      </w:r>
      <w:proofErr w:type="spellEnd"/>
      <w:r w:rsidRPr="00A259BD">
        <w:rPr>
          <w:color w:val="000000" w:themeColor="text1"/>
          <w:sz w:val="16"/>
          <w:szCs w:val="16"/>
        </w:rPr>
        <w:t xml:space="preserve">; крыло – В. М. Петляков; хвостовое оперение – Н. С. Некрасов; фюзеляж – А. И. Путилов; управление – А. А. Архангельский; шасси – М. Н. Петров; капоты – А. И. Путилов; мотор и проводка – Е. И. </w:t>
      </w:r>
      <w:proofErr w:type="spellStart"/>
      <w:r w:rsidRPr="00A259BD">
        <w:rPr>
          <w:color w:val="000000" w:themeColor="text1"/>
          <w:sz w:val="16"/>
          <w:szCs w:val="16"/>
        </w:rPr>
        <w:t>Погосский</w:t>
      </w:r>
      <w:proofErr w:type="spellEnd"/>
      <w:r w:rsidRPr="00A259BD">
        <w:rPr>
          <w:color w:val="000000" w:themeColor="text1"/>
          <w:sz w:val="16"/>
          <w:szCs w:val="16"/>
        </w:rPr>
        <w:t xml:space="preserve"> и А. И. Путилов; вооружение – И. П. Толстых; шаблоны, стапеля, приспособления – И. И. Петров (19171).</w:t>
      </w:r>
    </w:p>
    <w:p w14:paraId="2176908B" w14:textId="77777777" w:rsidR="00051DBD" w:rsidRPr="00A259BD" w:rsidRDefault="00051DBD" w:rsidP="009236E3">
      <w:pPr>
        <w:pStyle w:val="rtejustify"/>
        <w:shd w:val="clear" w:color="auto" w:fill="FFFFFF"/>
        <w:spacing w:before="0" w:after="0"/>
        <w:rPr>
          <w:color w:val="000000" w:themeColor="text1"/>
          <w:sz w:val="16"/>
          <w:szCs w:val="16"/>
        </w:rPr>
      </w:pPr>
    </w:p>
    <w:p w14:paraId="5C93DD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сентября 1929 автожир КАСКР-1 “Осоавиахим СССР”, названный по имени его конструкторов Н. И. Камова и Н. К. </w:t>
      </w:r>
      <w:proofErr w:type="spellStart"/>
      <w:r w:rsidRPr="00A259BD">
        <w:rPr>
          <w:rFonts w:ascii="Times New Roman" w:hAnsi="Times New Roman"/>
          <w:color w:val="000000" w:themeColor="text1"/>
          <w:sz w:val="16"/>
          <w:szCs w:val="16"/>
        </w:rPr>
        <w:t>Скржинского</w:t>
      </w:r>
      <w:proofErr w:type="spellEnd"/>
      <w:r w:rsidRPr="00A259BD">
        <w:rPr>
          <w:rFonts w:ascii="Times New Roman" w:hAnsi="Times New Roman"/>
          <w:color w:val="000000" w:themeColor="text1"/>
          <w:sz w:val="16"/>
          <w:szCs w:val="16"/>
        </w:rPr>
        <w:t>, который был построен в сентябре 1929 г. при поддержке общества содействия обороне и авиационно-химическому строительству (Осоавиахим), в демонстрацион</w:t>
      </w:r>
      <w:r w:rsidRPr="00A259BD">
        <w:rPr>
          <w:rFonts w:ascii="Times New Roman" w:hAnsi="Times New Roman"/>
          <w:color w:val="000000" w:themeColor="text1"/>
          <w:sz w:val="16"/>
          <w:szCs w:val="16"/>
        </w:rPr>
        <w:softHyphen/>
        <w:t>ном полете в присутствии члена президиума ВСНХ П. И. Барано</w:t>
      </w:r>
      <w:r w:rsidRPr="00A259BD">
        <w:rPr>
          <w:rFonts w:ascii="Times New Roman" w:hAnsi="Times New Roman"/>
          <w:color w:val="000000" w:themeColor="text1"/>
          <w:sz w:val="16"/>
          <w:szCs w:val="16"/>
        </w:rPr>
        <w:softHyphen/>
        <w:t>ва, пилотируемый И. В. Михеевым, взлетев, взмыл вверх и упал, повредив конструкцию. После восстановления автожира по</w:t>
      </w:r>
      <w:r w:rsidRPr="00A259BD">
        <w:rPr>
          <w:rFonts w:ascii="Times New Roman" w:hAnsi="Times New Roman"/>
          <w:color w:val="000000" w:themeColor="text1"/>
          <w:sz w:val="16"/>
          <w:szCs w:val="16"/>
        </w:rPr>
        <w:softHyphen/>
        <w:t xml:space="preserve">леты были </w:t>
      </w:r>
      <w:proofErr w:type="spellStart"/>
      <w:r w:rsidRPr="00A259BD">
        <w:rPr>
          <w:rFonts w:ascii="Times New Roman" w:hAnsi="Times New Roman"/>
          <w:color w:val="000000" w:themeColor="text1"/>
          <w:sz w:val="16"/>
          <w:szCs w:val="16"/>
        </w:rPr>
        <w:t>продрлжены</w:t>
      </w:r>
      <w:proofErr w:type="spellEnd"/>
      <w:r w:rsidRPr="00A259BD">
        <w:rPr>
          <w:rFonts w:ascii="Times New Roman" w:hAnsi="Times New Roman"/>
          <w:color w:val="000000" w:themeColor="text1"/>
          <w:sz w:val="16"/>
          <w:szCs w:val="16"/>
        </w:rPr>
        <w:t>, но в полете по кругу 12 октября автожир перевернулся и снова был поврежден (10736).</w:t>
      </w:r>
    </w:p>
    <w:p w14:paraId="2FB452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DDA1B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сентября 1929 был назначен демонстрационный полет КАСКР. На аэродром приехали гости, в том числе </w:t>
      </w:r>
      <w:proofErr w:type="spellStart"/>
      <w:r w:rsidRPr="00A259BD">
        <w:rPr>
          <w:rFonts w:ascii="Times New Roman" w:hAnsi="Times New Roman"/>
          <w:color w:val="000000" w:themeColor="text1"/>
          <w:sz w:val="16"/>
          <w:szCs w:val="16"/>
        </w:rPr>
        <w:t>П.И.Баранов</w:t>
      </w:r>
      <w:proofErr w:type="spellEnd"/>
      <w:r w:rsidRPr="00A259BD">
        <w:rPr>
          <w:rFonts w:ascii="Times New Roman" w:hAnsi="Times New Roman"/>
          <w:color w:val="000000" w:themeColor="text1"/>
          <w:sz w:val="16"/>
          <w:szCs w:val="16"/>
        </w:rPr>
        <w:t xml:space="preserve"> и отец Камова Илья Михай</w:t>
      </w:r>
      <w:r w:rsidRPr="00A259BD">
        <w:rPr>
          <w:rFonts w:ascii="Times New Roman" w:hAnsi="Times New Roman"/>
          <w:color w:val="000000" w:themeColor="text1"/>
          <w:sz w:val="16"/>
          <w:szCs w:val="16"/>
        </w:rPr>
        <w:softHyphen/>
        <w:t>лович. При раскрутке ротора Камов заметил, что не работает привод тахометра. Не желая срывать показ, Камов дал команду на взлет. Из-за недостаточных оборотов ротора при быстром разбеге автожира лопасти беспорядочно взмыли вверх, несбалансиро</w:t>
      </w:r>
      <w:r w:rsidRPr="00A259BD">
        <w:rPr>
          <w:rFonts w:ascii="Times New Roman" w:hAnsi="Times New Roman"/>
          <w:color w:val="000000" w:themeColor="text1"/>
          <w:sz w:val="16"/>
          <w:szCs w:val="16"/>
        </w:rPr>
        <w:softHyphen/>
        <w:t>ванные центробежные силы сорвали втулку, погнув подкосы опорной фермы.</w:t>
      </w:r>
    </w:p>
    <w:p w14:paraId="5892BB7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неделю удалось восстановить поврежденные лопасти, кабан, попе</w:t>
      </w:r>
      <w:r w:rsidRPr="00A259BD">
        <w:rPr>
          <w:rFonts w:ascii="Times New Roman" w:hAnsi="Times New Roman"/>
          <w:color w:val="000000" w:themeColor="text1"/>
          <w:sz w:val="16"/>
          <w:szCs w:val="16"/>
        </w:rPr>
        <w:softHyphen/>
        <w:t>речную трубу, ось ротора (10224,28)</w:t>
      </w:r>
    </w:p>
    <w:p w14:paraId="102F462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FE87988" w14:textId="77777777" w:rsidR="00C47EB1" w:rsidRPr="00A259BD" w:rsidRDefault="00C47EB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сентября 1929 г. принесло более серьезную неуда</w:t>
      </w:r>
      <w:r w:rsidRPr="00A259BD">
        <w:rPr>
          <w:rFonts w:ascii="Times New Roman" w:hAnsi="Times New Roman"/>
          <w:color w:val="000000" w:themeColor="text1"/>
          <w:sz w:val="16"/>
          <w:szCs w:val="16"/>
        </w:rPr>
        <w:softHyphen/>
        <w:t>чу - в присутствии начальника ВВС П.И. Баранова произо</w:t>
      </w:r>
      <w:r w:rsidRPr="00A259BD">
        <w:rPr>
          <w:rFonts w:ascii="Times New Roman" w:hAnsi="Times New Roman"/>
          <w:color w:val="000000" w:themeColor="text1"/>
          <w:sz w:val="16"/>
          <w:szCs w:val="16"/>
        </w:rPr>
        <w:softHyphen/>
        <w:t>шла поломка несущего ротора КАСКР. После ремонта, 4 октября состоялся еще один небольшой полет. Через восемь дней, 12 октября при попытке выполнения полета по кругу авто</w:t>
      </w:r>
      <w:r w:rsidRPr="00A259BD">
        <w:rPr>
          <w:rFonts w:ascii="Times New Roman" w:hAnsi="Times New Roman"/>
          <w:color w:val="000000" w:themeColor="text1"/>
          <w:sz w:val="16"/>
          <w:szCs w:val="16"/>
        </w:rPr>
        <w:softHyphen/>
        <w:t>жир перевернулся в воздухе и врезался в землю. Летчик Михеев и пассажир Камов чудом остались живы, но аппа</w:t>
      </w:r>
      <w:r w:rsidRPr="00A259BD">
        <w:rPr>
          <w:rFonts w:ascii="Times New Roman" w:hAnsi="Times New Roman"/>
          <w:color w:val="000000" w:themeColor="text1"/>
          <w:sz w:val="16"/>
          <w:szCs w:val="16"/>
        </w:rPr>
        <w:softHyphen/>
        <w:t>рат был сильно поврежден (20361).</w:t>
      </w:r>
    </w:p>
    <w:p w14:paraId="748B3A95" w14:textId="77777777" w:rsidR="00C47EB1" w:rsidRPr="00A259BD" w:rsidRDefault="00C47EB1" w:rsidP="009236E3">
      <w:pPr>
        <w:spacing w:after="0" w:line="240" w:lineRule="auto"/>
        <w:jc w:val="both"/>
        <w:rPr>
          <w:rFonts w:ascii="Times New Roman" w:hAnsi="Times New Roman"/>
          <w:color w:val="000000" w:themeColor="text1"/>
          <w:sz w:val="16"/>
          <w:szCs w:val="16"/>
        </w:rPr>
      </w:pPr>
    </w:p>
    <w:p w14:paraId="00A268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сентября 1929 Дир. завода 25 и Пом. </w:t>
      </w:r>
      <w:proofErr w:type="spellStart"/>
      <w:r w:rsidRPr="00A259BD">
        <w:rPr>
          <w:rFonts w:ascii="Times New Roman" w:hAnsi="Times New Roman"/>
          <w:color w:val="000000" w:themeColor="text1"/>
          <w:sz w:val="16"/>
          <w:szCs w:val="16"/>
        </w:rPr>
        <w:t>дир</w:t>
      </w:r>
      <w:proofErr w:type="spellEnd"/>
      <w:r w:rsidRPr="00A259BD">
        <w:rPr>
          <w:rFonts w:ascii="Times New Roman" w:hAnsi="Times New Roman"/>
          <w:color w:val="000000" w:themeColor="text1"/>
          <w:sz w:val="16"/>
          <w:szCs w:val="16"/>
        </w:rPr>
        <w:t xml:space="preserve">.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Н.Н.П. писали письмо N 1444с в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о том, что у завода 25 нет программы на 1929/30 операционный год (2365).</w:t>
      </w:r>
    </w:p>
    <w:p w14:paraId="7181BB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90D18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сентября 1929 года протокол заседания комиссии РЗ СТО (протокол № 37 от 29 июля 1929 года) по вопросу "О развитии авиапромышленности"</w:t>
      </w:r>
    </w:p>
    <w:p w14:paraId="267BA5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участвовали: </w:t>
      </w:r>
      <w:proofErr w:type="spellStart"/>
      <w:r w:rsidRPr="00A259BD">
        <w:rPr>
          <w:rFonts w:ascii="Times New Roman" w:hAnsi="Times New Roman"/>
          <w:color w:val="000000" w:themeColor="text1"/>
          <w:sz w:val="16"/>
          <w:szCs w:val="16"/>
        </w:rPr>
        <w:t>Уншлихт</w:t>
      </w:r>
      <w:proofErr w:type="spellEnd"/>
      <w:r w:rsidRPr="00A259BD">
        <w:rPr>
          <w:rFonts w:ascii="Times New Roman" w:hAnsi="Times New Roman"/>
          <w:color w:val="000000" w:themeColor="text1"/>
          <w:sz w:val="16"/>
          <w:szCs w:val="16"/>
        </w:rPr>
        <w:t xml:space="preserve">, Алкснис, Урываев, Мартынович, Мехоношин, </w:t>
      </w:r>
      <w:proofErr w:type="spellStart"/>
      <w:r w:rsidRPr="00A259BD">
        <w:rPr>
          <w:rFonts w:ascii="Times New Roman" w:hAnsi="Times New Roman"/>
          <w:color w:val="000000" w:themeColor="text1"/>
          <w:sz w:val="16"/>
          <w:szCs w:val="16"/>
        </w:rPr>
        <w:t>Бокис</w:t>
      </w:r>
      <w:proofErr w:type="spellEnd"/>
      <w:r w:rsidRPr="00A259BD">
        <w:rPr>
          <w:rFonts w:ascii="Times New Roman" w:hAnsi="Times New Roman"/>
          <w:color w:val="000000" w:themeColor="text1"/>
          <w:sz w:val="16"/>
          <w:szCs w:val="16"/>
        </w:rPr>
        <w:t>, Шиловский</w:t>
      </w:r>
    </w:p>
    <w:p w14:paraId="708F46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Слушали: Результаты проработки подкомиссией Алксниса вопроса о затратах по расширению и новому строительству заводов авиапромышленности.</w:t>
      </w:r>
    </w:p>
    <w:p w14:paraId="439ACF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w:t>
      </w:r>
    </w:p>
    <w:p w14:paraId="25175CE9"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Включить в проект резолюции РЗ СТО окончательно проработанные и полностью согласованные пункты в следующей редакции:</w:t>
      </w:r>
    </w:p>
    <w:p w14:paraId="0C541058"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осуществления программы развертывания авиапромышленности, указанной в п. 2-м сего постановления, определить ориентировочно следующий отпуск средств на капитальное промышленное строительство и оборудование заводов(в миллионах рублей):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418"/>
        <w:gridCol w:w="1417"/>
        <w:gridCol w:w="1560"/>
        <w:gridCol w:w="1559"/>
        <w:gridCol w:w="1559"/>
      </w:tblGrid>
      <w:tr w:rsidR="00A259BD" w:rsidRPr="00A259BD" w14:paraId="2BD5F3C5" w14:textId="77777777">
        <w:trPr>
          <w:cantSplit/>
        </w:trPr>
        <w:tc>
          <w:tcPr>
            <w:tcW w:w="1809" w:type="dxa"/>
          </w:tcPr>
          <w:p w14:paraId="1003AE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83EB7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год</w:t>
            </w:r>
          </w:p>
        </w:tc>
        <w:tc>
          <w:tcPr>
            <w:tcW w:w="1417" w:type="dxa"/>
          </w:tcPr>
          <w:p w14:paraId="1904A7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 год</w:t>
            </w:r>
          </w:p>
        </w:tc>
        <w:tc>
          <w:tcPr>
            <w:tcW w:w="1560" w:type="dxa"/>
          </w:tcPr>
          <w:p w14:paraId="6288DE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 год</w:t>
            </w:r>
          </w:p>
        </w:tc>
        <w:tc>
          <w:tcPr>
            <w:tcW w:w="1559" w:type="dxa"/>
          </w:tcPr>
          <w:p w14:paraId="37D4A8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год</w:t>
            </w:r>
          </w:p>
        </w:tc>
        <w:tc>
          <w:tcPr>
            <w:tcW w:w="1559" w:type="dxa"/>
          </w:tcPr>
          <w:p w14:paraId="745CEB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r>
      <w:tr w:rsidR="00A259BD" w:rsidRPr="00A259BD" w14:paraId="53221092" w14:textId="77777777">
        <w:trPr>
          <w:cantSplit/>
        </w:trPr>
        <w:tc>
          <w:tcPr>
            <w:tcW w:w="1809" w:type="dxa"/>
          </w:tcPr>
          <w:p w14:paraId="49F5A2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Общая сумма затрат</w:t>
            </w:r>
          </w:p>
        </w:tc>
        <w:tc>
          <w:tcPr>
            <w:tcW w:w="1418" w:type="dxa"/>
          </w:tcPr>
          <w:p w14:paraId="6F683C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34,2</w:t>
            </w:r>
          </w:p>
        </w:tc>
        <w:tc>
          <w:tcPr>
            <w:tcW w:w="1417" w:type="dxa"/>
          </w:tcPr>
          <w:p w14:paraId="0CD97A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48,9</w:t>
            </w:r>
          </w:p>
        </w:tc>
        <w:tc>
          <w:tcPr>
            <w:tcW w:w="1560" w:type="dxa"/>
          </w:tcPr>
          <w:p w14:paraId="0E3271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w:t>
            </w:r>
          </w:p>
        </w:tc>
        <w:tc>
          <w:tcPr>
            <w:tcW w:w="1559" w:type="dxa"/>
          </w:tcPr>
          <w:p w14:paraId="402C22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w:t>
            </w:r>
          </w:p>
        </w:tc>
        <w:tc>
          <w:tcPr>
            <w:tcW w:w="1559" w:type="dxa"/>
          </w:tcPr>
          <w:p w14:paraId="782C36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105,7</w:t>
            </w:r>
          </w:p>
        </w:tc>
      </w:tr>
      <w:tr w:rsidR="00A259BD" w:rsidRPr="00A259BD" w14:paraId="7790EB28" w14:textId="77777777">
        <w:trPr>
          <w:cantSplit/>
        </w:trPr>
        <w:tc>
          <w:tcPr>
            <w:tcW w:w="1809" w:type="dxa"/>
          </w:tcPr>
          <w:p w14:paraId="5CE2A3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том числе импорт</w:t>
            </w:r>
          </w:p>
        </w:tc>
        <w:tc>
          <w:tcPr>
            <w:tcW w:w="1418" w:type="dxa"/>
          </w:tcPr>
          <w:p w14:paraId="7DA580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w:t>
            </w:r>
          </w:p>
        </w:tc>
        <w:tc>
          <w:tcPr>
            <w:tcW w:w="1417" w:type="dxa"/>
          </w:tcPr>
          <w:p w14:paraId="515260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w:t>
            </w:r>
          </w:p>
        </w:tc>
        <w:tc>
          <w:tcPr>
            <w:tcW w:w="1560" w:type="dxa"/>
          </w:tcPr>
          <w:p w14:paraId="60537C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w:t>
            </w:r>
          </w:p>
        </w:tc>
        <w:tc>
          <w:tcPr>
            <w:tcW w:w="1559" w:type="dxa"/>
          </w:tcPr>
          <w:p w14:paraId="7DDF08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w:t>
            </w:r>
          </w:p>
        </w:tc>
        <w:tc>
          <w:tcPr>
            <w:tcW w:w="1559" w:type="dxa"/>
          </w:tcPr>
          <w:p w14:paraId="704DE6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15,7</w:t>
            </w:r>
          </w:p>
        </w:tc>
      </w:tr>
    </w:tbl>
    <w:p w14:paraId="0D9A46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Окончательное установление размеров отпусков производить при ежегодном прохождении бюджета на основе разработанных генеральных планов, проектов и смет расширения существующих и постройки новых заводов с учетом снижения цен на строительство и оборудование, однако без ущерба для темпов и размеров развертывания авиапромышленности, определенных настоящим постановлением.</w:t>
      </w:r>
    </w:p>
    <w:p w14:paraId="72A0EE5B"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Обязать ВСНХ предусмотреть по своим ежегодным сметам необходимые средства для рабочего жилищного строительства и для увеличения оборотных средств авиапромышленности.</w:t>
      </w:r>
    </w:p>
    <w:p w14:paraId="22E51298"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Обязать ВСНХ и </w:t>
      </w:r>
      <w:proofErr w:type="spellStart"/>
      <w:r w:rsidRPr="00A259BD">
        <w:rPr>
          <w:rFonts w:ascii="Times New Roman" w:hAnsi="Times New Roman"/>
          <w:color w:val="000000" w:themeColor="text1"/>
          <w:sz w:val="16"/>
          <w:szCs w:val="16"/>
        </w:rPr>
        <w:t>НКТруда</w:t>
      </w:r>
      <w:proofErr w:type="spellEnd"/>
      <w:r w:rsidRPr="00A259BD">
        <w:rPr>
          <w:rFonts w:ascii="Times New Roman" w:hAnsi="Times New Roman"/>
          <w:color w:val="000000" w:themeColor="text1"/>
          <w:sz w:val="16"/>
          <w:szCs w:val="16"/>
        </w:rPr>
        <w:t xml:space="preserve"> немедленно приступить к заблаговременной подготовке кадров высшего и среднего технического персонала, а также квалифицированной рабочей силы для покрытия полностью потребности плана развития авиапромышленности, утвержденного настоящим постановлением, предусмотрев по ежегодным сметам необходимые средства для этой цели.</w:t>
      </w:r>
    </w:p>
    <w:p w14:paraId="49071CAC"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 строительстве новых заводов и развертывании и реконструкции существующих ГВПУ и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широко использовать достижения Европы и Америки в обрасти рационализации, механизации и организации производства самолетов и моторов путем покупки технической помощи и консультаций, а равно путем приглашения из-за границы для руководства проектированием, постройкой и оборудованием заводов и организацией на них серийного производства высококвалифицированных специалистов, создавая для их привлечения и работы необходимые культурные и бытовые условия.</w:t>
      </w:r>
    </w:p>
    <w:p w14:paraId="30E3C8F4"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Предложить ВСНХ, по согласованию с </w:t>
      </w:r>
      <w:proofErr w:type="spellStart"/>
      <w:r w:rsidRPr="00A259BD">
        <w:rPr>
          <w:rFonts w:ascii="Times New Roman" w:hAnsi="Times New Roman"/>
          <w:color w:val="000000" w:themeColor="text1"/>
          <w:sz w:val="16"/>
          <w:szCs w:val="16"/>
        </w:rPr>
        <w:t>НКВМором</w:t>
      </w:r>
      <w:proofErr w:type="spellEnd"/>
      <w:r w:rsidRPr="00A259BD">
        <w:rPr>
          <w:rFonts w:ascii="Times New Roman" w:hAnsi="Times New Roman"/>
          <w:color w:val="000000" w:themeColor="text1"/>
          <w:sz w:val="16"/>
          <w:szCs w:val="16"/>
        </w:rPr>
        <w:t>, утвердить окончательную дислокацию вновь строящихся заводов авиапромышленности не позднее 1 декабря 1929 года.</w:t>
      </w:r>
    </w:p>
    <w:p w14:paraId="2DA103A5"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Обязать ВСНХ к 1 января 1930 года представить в РЗ СТО план загрузки с мирное время существующих и новых заводов авиапромышленности продукцией мирного времени.</w:t>
      </w:r>
    </w:p>
    <w:p w14:paraId="1515A3F7"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связи с разрывом в производстве самолетов и моторов по годам на военное время бронировать в резервном фонде СНК для закупки моторов за границей лицензионный контингент и валюту в следующих размерах (в миллионах американских долларов):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268"/>
        <w:gridCol w:w="2409"/>
        <w:gridCol w:w="2410"/>
      </w:tblGrid>
      <w:tr w:rsidR="00A259BD" w:rsidRPr="00A259BD" w14:paraId="47F91275" w14:textId="77777777">
        <w:trPr>
          <w:cantSplit/>
        </w:trPr>
        <w:tc>
          <w:tcPr>
            <w:tcW w:w="2235" w:type="dxa"/>
          </w:tcPr>
          <w:p w14:paraId="7A3FF8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31DA7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ВВС</w:t>
            </w:r>
          </w:p>
        </w:tc>
        <w:tc>
          <w:tcPr>
            <w:tcW w:w="2409" w:type="dxa"/>
          </w:tcPr>
          <w:p w14:paraId="23BD4F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гражданской авиации</w:t>
            </w:r>
          </w:p>
        </w:tc>
        <w:tc>
          <w:tcPr>
            <w:tcW w:w="2410" w:type="dxa"/>
          </w:tcPr>
          <w:p w14:paraId="309465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r>
      <w:tr w:rsidR="00A259BD" w:rsidRPr="00A259BD" w14:paraId="6BE3216E" w14:textId="77777777">
        <w:trPr>
          <w:cantSplit/>
        </w:trPr>
        <w:tc>
          <w:tcPr>
            <w:tcW w:w="2235" w:type="dxa"/>
          </w:tcPr>
          <w:p w14:paraId="394600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год</w:t>
            </w:r>
          </w:p>
        </w:tc>
        <w:tc>
          <w:tcPr>
            <w:tcW w:w="2268" w:type="dxa"/>
          </w:tcPr>
          <w:p w14:paraId="4D8B1A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14,0</w:t>
            </w:r>
          </w:p>
        </w:tc>
        <w:tc>
          <w:tcPr>
            <w:tcW w:w="2409" w:type="dxa"/>
          </w:tcPr>
          <w:p w14:paraId="6C96F0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2410" w:type="dxa"/>
          </w:tcPr>
          <w:p w14:paraId="759B8F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16,2</w:t>
            </w:r>
          </w:p>
        </w:tc>
      </w:tr>
      <w:tr w:rsidR="00A259BD" w:rsidRPr="00A259BD" w14:paraId="3F6632A0" w14:textId="77777777">
        <w:trPr>
          <w:cantSplit/>
        </w:trPr>
        <w:tc>
          <w:tcPr>
            <w:tcW w:w="2235" w:type="dxa"/>
          </w:tcPr>
          <w:p w14:paraId="03866D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1930/31 год</w:t>
            </w:r>
          </w:p>
        </w:tc>
        <w:tc>
          <w:tcPr>
            <w:tcW w:w="2268" w:type="dxa"/>
          </w:tcPr>
          <w:p w14:paraId="5722A6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w:t>
            </w:r>
          </w:p>
        </w:tc>
        <w:tc>
          <w:tcPr>
            <w:tcW w:w="2409" w:type="dxa"/>
          </w:tcPr>
          <w:p w14:paraId="674E09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2410" w:type="dxa"/>
          </w:tcPr>
          <w:p w14:paraId="37D9F3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13,1</w:t>
            </w:r>
          </w:p>
        </w:tc>
      </w:tr>
      <w:tr w:rsidR="00A259BD" w:rsidRPr="00A259BD" w14:paraId="6B7599B0" w14:textId="77777777">
        <w:trPr>
          <w:cantSplit/>
        </w:trPr>
        <w:tc>
          <w:tcPr>
            <w:tcW w:w="2235" w:type="dxa"/>
          </w:tcPr>
          <w:p w14:paraId="4EB10A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 год</w:t>
            </w:r>
          </w:p>
        </w:tc>
        <w:tc>
          <w:tcPr>
            <w:tcW w:w="2268" w:type="dxa"/>
          </w:tcPr>
          <w:p w14:paraId="78FA28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409" w:type="dxa"/>
          </w:tcPr>
          <w:p w14:paraId="2FE374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w:t>
            </w:r>
          </w:p>
        </w:tc>
        <w:tc>
          <w:tcPr>
            <w:tcW w:w="2410" w:type="dxa"/>
          </w:tcPr>
          <w:p w14:paraId="43E60C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w:t>
            </w:r>
          </w:p>
        </w:tc>
      </w:tr>
      <w:tr w:rsidR="00A259BD" w:rsidRPr="00A259BD" w14:paraId="2940707C" w14:textId="77777777">
        <w:trPr>
          <w:cantSplit/>
        </w:trPr>
        <w:tc>
          <w:tcPr>
            <w:tcW w:w="2235" w:type="dxa"/>
          </w:tcPr>
          <w:p w14:paraId="1995D4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год</w:t>
            </w:r>
          </w:p>
        </w:tc>
        <w:tc>
          <w:tcPr>
            <w:tcW w:w="2268" w:type="dxa"/>
          </w:tcPr>
          <w:p w14:paraId="2404F0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409" w:type="dxa"/>
          </w:tcPr>
          <w:p w14:paraId="6C8021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w:t>
            </w:r>
          </w:p>
        </w:tc>
        <w:tc>
          <w:tcPr>
            <w:tcW w:w="2410" w:type="dxa"/>
          </w:tcPr>
          <w:p w14:paraId="0A98F6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w:t>
            </w:r>
          </w:p>
        </w:tc>
      </w:tr>
    </w:tbl>
    <w:p w14:paraId="28281B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Приобретение означенных моторов для </w:t>
      </w:r>
      <w:proofErr w:type="spellStart"/>
      <w:r w:rsidRPr="00A259BD">
        <w:rPr>
          <w:rFonts w:ascii="Times New Roman" w:hAnsi="Times New Roman"/>
          <w:color w:val="000000" w:themeColor="text1"/>
          <w:sz w:val="16"/>
          <w:szCs w:val="16"/>
        </w:rPr>
        <w:t>мобзапаса</w:t>
      </w:r>
      <w:proofErr w:type="spellEnd"/>
      <w:r w:rsidRPr="00A259BD">
        <w:rPr>
          <w:rFonts w:ascii="Times New Roman" w:hAnsi="Times New Roman"/>
          <w:color w:val="000000" w:themeColor="text1"/>
          <w:sz w:val="16"/>
          <w:szCs w:val="16"/>
        </w:rPr>
        <w:t xml:space="preserve"> на год ведения войны произвести по особому докладу Реввоенсовета и постановлению РЗ СТО.</w:t>
      </w:r>
    </w:p>
    <w:p w14:paraId="25AEA238"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Обязать ВСНХ через каждые 6 месяцев, начиная с 1 октября 1929 года представлять РЗ СТО доклад об исполнении настоящего постановления с заключением Реввоенсовета.</w:t>
      </w:r>
    </w:p>
    <w:p w14:paraId="3791F33E"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Обязать комиссию </w:t>
      </w:r>
      <w:proofErr w:type="spellStart"/>
      <w:r w:rsidRPr="00A259BD">
        <w:rPr>
          <w:rFonts w:ascii="Times New Roman" w:hAnsi="Times New Roman"/>
          <w:color w:val="000000" w:themeColor="text1"/>
          <w:sz w:val="16"/>
          <w:szCs w:val="16"/>
        </w:rPr>
        <w:t>Уншлихта</w:t>
      </w:r>
      <w:proofErr w:type="spellEnd"/>
      <w:r w:rsidRPr="00A259BD">
        <w:rPr>
          <w:rFonts w:ascii="Times New Roman" w:hAnsi="Times New Roman"/>
          <w:color w:val="000000" w:themeColor="text1"/>
          <w:sz w:val="16"/>
          <w:szCs w:val="16"/>
        </w:rPr>
        <w:t xml:space="preserve">, образованную постановлением РЗ СТО (см. </w:t>
      </w:r>
      <w:proofErr w:type="spellStart"/>
      <w:r w:rsidRPr="00A259BD">
        <w:rPr>
          <w:rFonts w:ascii="Times New Roman" w:hAnsi="Times New Roman"/>
          <w:color w:val="000000" w:themeColor="text1"/>
          <w:sz w:val="16"/>
          <w:szCs w:val="16"/>
        </w:rPr>
        <w:t>прот</w:t>
      </w:r>
      <w:proofErr w:type="spellEnd"/>
      <w:r w:rsidRPr="00A259BD">
        <w:rPr>
          <w:rFonts w:ascii="Times New Roman" w:hAnsi="Times New Roman"/>
          <w:color w:val="000000" w:themeColor="text1"/>
          <w:sz w:val="16"/>
          <w:szCs w:val="16"/>
        </w:rPr>
        <w:t xml:space="preserve">. № 9 от 29 июля 1929 года п. 2), рассмотреть доклады </w:t>
      </w:r>
      <w:proofErr w:type="spellStart"/>
      <w:r w:rsidRPr="00A259BD">
        <w:rPr>
          <w:rFonts w:ascii="Times New Roman" w:hAnsi="Times New Roman"/>
          <w:color w:val="000000" w:themeColor="text1"/>
          <w:sz w:val="16"/>
          <w:szCs w:val="16"/>
        </w:rPr>
        <w:t>Ревовенсовета</w:t>
      </w:r>
      <w:proofErr w:type="spellEnd"/>
      <w:r w:rsidRPr="00A259BD">
        <w:rPr>
          <w:rFonts w:ascii="Times New Roman" w:hAnsi="Times New Roman"/>
          <w:color w:val="000000" w:themeColor="text1"/>
          <w:sz w:val="16"/>
          <w:szCs w:val="16"/>
        </w:rPr>
        <w:t xml:space="preserve"> к ВСНХ:</w:t>
      </w:r>
    </w:p>
    <w:p w14:paraId="752D74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об опытном строительстве по моторам, авиационному вооружению и оборудованию;</w:t>
      </w:r>
    </w:p>
    <w:p w14:paraId="6BDB50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о необходимых мероприятиях по обеспечению авиапромышленности сырьем и полуфабрикатами на год ведения войны и</w:t>
      </w:r>
    </w:p>
    <w:p w14:paraId="57B2F8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 плане кооперирования и ассимиляции авиапромышленности с авто- и тракторостроением и представить проект постановления по этим вопросам в РЗ СТО не позднее 1 декабря 1929 года.</w:t>
      </w:r>
    </w:p>
    <w:p w14:paraId="07F635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Слушали: О результатах проработки комиссией </w:t>
      </w:r>
      <w:proofErr w:type="spellStart"/>
      <w:r w:rsidRPr="00A259BD">
        <w:rPr>
          <w:rFonts w:ascii="Times New Roman" w:hAnsi="Times New Roman"/>
          <w:color w:val="000000" w:themeColor="text1"/>
          <w:sz w:val="16"/>
          <w:szCs w:val="16"/>
        </w:rPr>
        <w:t>Шпекторова</w:t>
      </w:r>
      <w:proofErr w:type="spellEnd"/>
      <w:r w:rsidRPr="00A259BD">
        <w:rPr>
          <w:rFonts w:ascii="Times New Roman" w:hAnsi="Times New Roman"/>
          <w:color w:val="000000" w:themeColor="text1"/>
          <w:sz w:val="16"/>
          <w:szCs w:val="16"/>
        </w:rPr>
        <w:t xml:space="preserve"> вопроса о материальной базе для авиапромышленности и ее требованиях к импорту.</w:t>
      </w:r>
    </w:p>
    <w:p w14:paraId="0B64E3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Постановили: Поручить </w:t>
      </w:r>
      <w:proofErr w:type="spellStart"/>
      <w:r w:rsidRPr="00A259BD">
        <w:rPr>
          <w:rFonts w:ascii="Times New Roman" w:hAnsi="Times New Roman"/>
          <w:color w:val="000000" w:themeColor="text1"/>
          <w:sz w:val="16"/>
          <w:szCs w:val="16"/>
        </w:rPr>
        <w:t>Шпекторову</w:t>
      </w:r>
      <w:proofErr w:type="spellEnd"/>
      <w:r w:rsidRPr="00A259BD">
        <w:rPr>
          <w:rFonts w:ascii="Times New Roman" w:hAnsi="Times New Roman"/>
          <w:color w:val="000000" w:themeColor="text1"/>
          <w:sz w:val="16"/>
          <w:szCs w:val="16"/>
        </w:rPr>
        <w:t xml:space="preserve"> к 1 октября 1929 года отредактировать в виде проекта постановления РЗ СТО тезисы своего доклада в части узких мест авиапромышленности.</w:t>
      </w:r>
    </w:p>
    <w:p w14:paraId="3878F2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Слушали: О представлении в РЗ СТО результатов работ Комиссии.</w:t>
      </w:r>
    </w:p>
    <w:p w14:paraId="12FEF7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Постановили: Составить проект постановления РЗ СТО по решениям, принятым на заседаниях комиссии от 17 и 27 сентября, а также материалам, кои будут представлены Алкснисом об опытном строительстве и </w:t>
      </w:r>
      <w:proofErr w:type="spellStart"/>
      <w:r w:rsidRPr="00A259BD">
        <w:rPr>
          <w:rFonts w:ascii="Times New Roman" w:hAnsi="Times New Roman"/>
          <w:color w:val="000000" w:themeColor="text1"/>
          <w:sz w:val="16"/>
          <w:szCs w:val="16"/>
        </w:rPr>
        <w:t>Шпекторовым</w:t>
      </w:r>
      <w:proofErr w:type="spellEnd"/>
      <w:r w:rsidRPr="00A259BD">
        <w:rPr>
          <w:rFonts w:ascii="Times New Roman" w:hAnsi="Times New Roman"/>
          <w:color w:val="000000" w:themeColor="text1"/>
          <w:sz w:val="16"/>
          <w:szCs w:val="16"/>
        </w:rPr>
        <w:t xml:space="preserve"> об узких местах авиапромышленности, разослать проект членам комиссии и, в случае отсутствия возражений со стороны последних, представить таковой в РЗ СТО (3545, 57-59).</w:t>
      </w:r>
    </w:p>
    <w:p w14:paraId="5A64EF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D3288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сентября 1929 после отдыха и мелкого ре</w:t>
      </w:r>
      <w:r w:rsidRPr="00A259BD">
        <w:rPr>
          <w:rFonts w:ascii="Times New Roman" w:hAnsi="Times New Roman"/>
          <w:color w:val="000000" w:themeColor="text1"/>
          <w:sz w:val="16"/>
          <w:szCs w:val="16"/>
        </w:rPr>
        <w:softHyphen/>
        <w:t xml:space="preserve">монта АНТ-4 Страна Советов дублер вылетели в с о. Уналашка в </w:t>
      </w:r>
      <w:proofErr w:type="spellStart"/>
      <w:r w:rsidRPr="00A259BD">
        <w:rPr>
          <w:rFonts w:ascii="Times New Roman" w:hAnsi="Times New Roman"/>
          <w:color w:val="000000" w:themeColor="text1"/>
          <w:sz w:val="16"/>
          <w:szCs w:val="16"/>
        </w:rPr>
        <w:t>Стьюард</w:t>
      </w:r>
      <w:proofErr w:type="spellEnd"/>
      <w:r w:rsidRPr="00A259BD">
        <w:rPr>
          <w:rFonts w:ascii="Times New Roman" w:hAnsi="Times New Roman"/>
          <w:color w:val="000000" w:themeColor="text1"/>
          <w:sz w:val="16"/>
          <w:szCs w:val="16"/>
        </w:rPr>
        <w:t xml:space="preserve"> на материковой Аляске. Оттуда 29 числа стартовали в на</w:t>
      </w:r>
      <w:r w:rsidRPr="00A259BD">
        <w:rPr>
          <w:rFonts w:ascii="Times New Roman" w:hAnsi="Times New Roman"/>
          <w:color w:val="000000" w:themeColor="text1"/>
          <w:sz w:val="16"/>
          <w:szCs w:val="16"/>
        </w:rPr>
        <w:softHyphen/>
        <w:t xml:space="preserve">правлении </w:t>
      </w:r>
      <w:proofErr w:type="spellStart"/>
      <w:r w:rsidRPr="00A259BD">
        <w:rPr>
          <w:rFonts w:ascii="Times New Roman" w:hAnsi="Times New Roman"/>
          <w:color w:val="000000" w:themeColor="text1"/>
          <w:sz w:val="16"/>
          <w:szCs w:val="16"/>
        </w:rPr>
        <w:t>Ситки</w:t>
      </w:r>
      <w:proofErr w:type="spellEnd"/>
      <w:r w:rsidRPr="00A259BD">
        <w:rPr>
          <w:rFonts w:ascii="Times New Roman" w:hAnsi="Times New Roman"/>
          <w:color w:val="000000" w:themeColor="text1"/>
          <w:sz w:val="16"/>
          <w:szCs w:val="16"/>
        </w:rPr>
        <w:t>. Шли над открытым океа</w:t>
      </w:r>
      <w:r w:rsidRPr="00A259BD">
        <w:rPr>
          <w:rFonts w:ascii="Times New Roman" w:hAnsi="Times New Roman"/>
          <w:color w:val="000000" w:themeColor="text1"/>
          <w:sz w:val="16"/>
          <w:szCs w:val="16"/>
        </w:rPr>
        <w:softHyphen/>
        <w:t>ном, который гнал волны высотой 15-20 м. Через 5 ч внезапно упало давление масла левого двигателя, который начал дымить и резко сбавил обороты. О посадке на воду не могло быть и речи — верная гибель. Шестаков приказал Стерлигову дать сигнал бедс</w:t>
      </w:r>
      <w:r w:rsidRPr="00A259BD">
        <w:rPr>
          <w:rFonts w:ascii="Times New Roman" w:hAnsi="Times New Roman"/>
          <w:color w:val="000000" w:themeColor="text1"/>
          <w:sz w:val="16"/>
          <w:szCs w:val="16"/>
        </w:rPr>
        <w:softHyphen/>
        <w:t>твия, одновременно слили часть горючего, сбросили морской якорь, аварийную ра</w:t>
      </w:r>
      <w:r w:rsidRPr="00A259BD">
        <w:rPr>
          <w:rFonts w:ascii="Times New Roman" w:hAnsi="Times New Roman"/>
          <w:color w:val="000000" w:themeColor="text1"/>
          <w:sz w:val="16"/>
          <w:szCs w:val="16"/>
        </w:rPr>
        <w:softHyphen/>
        <w:t>диостанцию, личные вещи. Через полтора часа воздушной эквилибристики над бушующими волнами “Страна Советов” приземлился. Далее провели 3 дня, занимались, в основном, ре</w:t>
      </w:r>
      <w:r w:rsidRPr="00A259BD">
        <w:rPr>
          <w:rFonts w:ascii="Times New Roman" w:hAnsi="Times New Roman"/>
          <w:color w:val="000000" w:themeColor="text1"/>
          <w:sz w:val="16"/>
          <w:szCs w:val="16"/>
        </w:rPr>
        <w:softHyphen/>
        <w:t>монтом двигателя. Следующий этап проходил вдоль побе</w:t>
      </w:r>
      <w:r w:rsidRPr="00A259BD">
        <w:rPr>
          <w:rFonts w:ascii="Times New Roman" w:hAnsi="Times New Roman"/>
          <w:color w:val="000000" w:themeColor="text1"/>
          <w:sz w:val="16"/>
          <w:szCs w:val="16"/>
        </w:rPr>
        <w:softHyphen/>
        <w:t>режья Канады. Так как договоренностей с канадскими властями не существовало, ле</w:t>
      </w:r>
      <w:r w:rsidRPr="00A259BD">
        <w:rPr>
          <w:rFonts w:ascii="Times New Roman" w:hAnsi="Times New Roman"/>
          <w:color w:val="000000" w:themeColor="text1"/>
          <w:sz w:val="16"/>
          <w:szCs w:val="16"/>
        </w:rPr>
        <w:softHyphen/>
        <w:t xml:space="preserve">теть предстояло вне территориальных вод, </w:t>
      </w:r>
      <w:proofErr w:type="spellStart"/>
      <w:r w:rsidRPr="00A259BD">
        <w:rPr>
          <w:rFonts w:ascii="Times New Roman" w:hAnsi="Times New Roman"/>
          <w:color w:val="000000" w:themeColor="text1"/>
          <w:sz w:val="16"/>
          <w:szCs w:val="16"/>
        </w:rPr>
        <w:t>мористее</w:t>
      </w:r>
      <w:proofErr w:type="spellEnd"/>
      <w:r w:rsidRPr="00A259BD">
        <w:rPr>
          <w:rFonts w:ascii="Times New Roman" w:hAnsi="Times New Roman"/>
          <w:color w:val="000000" w:themeColor="text1"/>
          <w:sz w:val="16"/>
          <w:szCs w:val="16"/>
        </w:rPr>
        <w:t xml:space="preserve"> берега на 15-20 км. Стартовали 3 октября, однако через 40 минут внезапно упало давление масла все того же левого двигателя. В результате пришлось повер</w:t>
      </w:r>
      <w:r w:rsidRPr="00A259BD">
        <w:rPr>
          <w:rFonts w:ascii="Times New Roman" w:hAnsi="Times New Roman"/>
          <w:color w:val="000000" w:themeColor="text1"/>
          <w:sz w:val="16"/>
          <w:szCs w:val="16"/>
        </w:rPr>
        <w:softHyphen/>
        <w:t>нуть к берегу, и Болотов с ходу совершил посадку у крутого берега, покрытого испо</w:t>
      </w:r>
      <w:r w:rsidRPr="00A259BD">
        <w:rPr>
          <w:rFonts w:ascii="Times New Roman" w:hAnsi="Times New Roman"/>
          <w:color w:val="000000" w:themeColor="text1"/>
          <w:sz w:val="16"/>
          <w:szCs w:val="16"/>
        </w:rPr>
        <w:softHyphen/>
        <w:t>линскими соснами. Вынужденная посадка произошла в 240 км от места старта. Нашли людей, затем по радио передали о своих трудностях. Через 5 дней сторожевой катер “</w:t>
      </w:r>
      <w:proofErr w:type="spellStart"/>
      <w:r w:rsidRPr="00A259BD">
        <w:rPr>
          <w:rFonts w:ascii="Times New Roman" w:hAnsi="Times New Roman"/>
          <w:color w:val="000000" w:themeColor="text1"/>
          <w:sz w:val="16"/>
          <w:szCs w:val="16"/>
        </w:rPr>
        <w:t>Сайган</w:t>
      </w:r>
      <w:proofErr w:type="spellEnd"/>
      <w:r w:rsidRPr="00A259BD">
        <w:rPr>
          <w:rFonts w:ascii="Times New Roman" w:hAnsi="Times New Roman"/>
          <w:color w:val="000000" w:themeColor="text1"/>
          <w:sz w:val="16"/>
          <w:szCs w:val="16"/>
        </w:rPr>
        <w:t>” доставил запасной двигатель. Ра</w:t>
      </w:r>
      <w:r w:rsidRPr="00A259BD">
        <w:rPr>
          <w:rFonts w:ascii="Times New Roman" w:hAnsi="Times New Roman"/>
          <w:color w:val="000000" w:themeColor="text1"/>
          <w:sz w:val="16"/>
          <w:szCs w:val="16"/>
        </w:rPr>
        <w:softHyphen/>
        <w:t>ботая на плаву, смогли вчетвером за 2 дня установить его взамен аварийного (11286).</w:t>
      </w:r>
    </w:p>
    <w:p w14:paraId="469E2B3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0AD31B" w14:textId="77777777" w:rsidR="00D8619D" w:rsidRPr="00A259BD" w:rsidRDefault="00D8619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 xml:space="preserve">27 сентября 1929 года Косте и </w:t>
      </w:r>
      <w:proofErr w:type="spellStart"/>
      <w:r w:rsidRPr="00A259BD">
        <w:rPr>
          <w:rFonts w:ascii="Times New Roman" w:hAnsi="Times New Roman"/>
          <w:color w:val="000000" w:themeColor="text1"/>
          <w:sz w:val="16"/>
          <w:szCs w:val="16"/>
          <w:shd w:val="clear" w:color="auto" w:fill="FFFFFF"/>
        </w:rPr>
        <w:t>Белонте</w:t>
      </w:r>
      <w:proofErr w:type="spellEnd"/>
      <w:r w:rsidRPr="00A259BD">
        <w:rPr>
          <w:rFonts w:ascii="Times New Roman" w:hAnsi="Times New Roman"/>
          <w:color w:val="000000" w:themeColor="text1"/>
          <w:sz w:val="16"/>
          <w:szCs w:val="16"/>
          <w:shd w:val="clear" w:color="auto" w:fill="FFFFFF"/>
        </w:rPr>
        <w:t xml:space="preserve"> вылетели на самолете «Бреге» 19TF «Супер Бидон» в беспосадочный полет из Парижа до Иркутска.</w:t>
      </w:r>
    </w:p>
    <w:p w14:paraId="155176FF" w14:textId="77777777" w:rsidR="00D8619D" w:rsidRPr="00A259BD" w:rsidRDefault="00D8619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Из Омска от начальника воздушной линии Москва – Иркутск было получено сообщение о том, что 28 сентября, в 13 часа 32 минут, Косте пролетел Новосибирск и направился в сторону Томска. После этого никаких сведений, о дальнейшем полете Косте не поступало.</w:t>
      </w:r>
    </w:p>
    <w:p w14:paraId="714ED359" w14:textId="77777777" w:rsidR="00D8619D" w:rsidRPr="00A259BD" w:rsidRDefault="00D8619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 xml:space="preserve">В связи с обращением французского посла </w:t>
      </w:r>
      <w:proofErr w:type="spellStart"/>
      <w:r w:rsidRPr="00A259BD">
        <w:rPr>
          <w:rFonts w:ascii="Times New Roman" w:hAnsi="Times New Roman"/>
          <w:color w:val="000000" w:themeColor="text1"/>
          <w:sz w:val="16"/>
          <w:szCs w:val="16"/>
          <w:shd w:val="clear" w:color="auto" w:fill="FFFFFF"/>
        </w:rPr>
        <w:t>Эрбетта</w:t>
      </w:r>
      <w:proofErr w:type="spellEnd"/>
      <w:r w:rsidRPr="00A259BD">
        <w:rPr>
          <w:rFonts w:ascii="Times New Roman" w:hAnsi="Times New Roman"/>
          <w:color w:val="000000" w:themeColor="text1"/>
          <w:sz w:val="16"/>
          <w:szCs w:val="16"/>
          <w:shd w:val="clear" w:color="auto" w:fill="FFFFFF"/>
        </w:rPr>
        <w:t xml:space="preserve"> в Наркомат иностранных дел с просьбой дать сведения о судьбе французского летчика Косте, Осоавиахиму было предложено установить судьбу французского самолета и его экипажа.</w:t>
      </w:r>
    </w:p>
    <w:p w14:paraId="780EFECE" w14:textId="77777777" w:rsidR="00D8619D" w:rsidRPr="00A259BD" w:rsidRDefault="00D8619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В результате выяснилось, что самолет, ожидавшийся в Иркутске 29 сентября, не прибыл. Предполагалось, что самолет взял курс на север и заблудился. В ночь с 28 на 29 сентября, в 2 часа ночи по местному времени, над Киренском (в 660 км севернее Иркутска) был замечен неопознанный самолет. Таким образом, решили, что Косте сбился с пути и вынужден был приземлиться в тайге.</w:t>
      </w:r>
    </w:p>
    <w:p w14:paraId="7252203D" w14:textId="77777777" w:rsidR="00D8619D" w:rsidRPr="00A259BD" w:rsidRDefault="00D8619D" w:rsidP="009236E3">
      <w:pPr>
        <w:spacing w:after="0" w:line="240" w:lineRule="auto"/>
        <w:jc w:val="both"/>
        <w:rPr>
          <w:rFonts w:ascii="Times New Roman" w:hAnsi="Times New Roman"/>
          <w:color w:val="000000" w:themeColor="text1"/>
          <w:sz w:val="16"/>
          <w:szCs w:val="16"/>
          <w:shd w:val="clear" w:color="auto" w:fill="FFFFFF"/>
        </w:rPr>
      </w:pPr>
      <w:proofErr w:type="spellStart"/>
      <w:r w:rsidRPr="00A259BD">
        <w:rPr>
          <w:rFonts w:ascii="Times New Roman" w:hAnsi="Times New Roman"/>
          <w:color w:val="000000" w:themeColor="text1"/>
          <w:sz w:val="16"/>
          <w:szCs w:val="16"/>
          <w:shd w:val="clear" w:color="auto" w:fill="FFFFFF"/>
        </w:rPr>
        <w:t>Осоавиахихмом</w:t>
      </w:r>
      <w:proofErr w:type="spellEnd"/>
      <w:r w:rsidRPr="00A259BD">
        <w:rPr>
          <w:rFonts w:ascii="Times New Roman" w:hAnsi="Times New Roman"/>
          <w:color w:val="000000" w:themeColor="text1"/>
          <w:sz w:val="16"/>
          <w:szCs w:val="16"/>
          <w:shd w:val="clear" w:color="auto" w:fill="FFFFFF"/>
        </w:rPr>
        <w:t xml:space="preserve"> по всему пути предполагавшегося маршрута Косте были разосланы телеграммы-молнии с запросом о судьбе французского самолета. В ответ из </w:t>
      </w:r>
      <w:proofErr w:type="spellStart"/>
      <w:r w:rsidRPr="00A259BD">
        <w:rPr>
          <w:rFonts w:ascii="Times New Roman" w:hAnsi="Times New Roman"/>
          <w:color w:val="000000" w:themeColor="text1"/>
          <w:sz w:val="16"/>
          <w:szCs w:val="16"/>
          <w:shd w:val="clear" w:color="auto" w:fill="FFFFFF"/>
        </w:rPr>
        <w:t>Верхнеудинска</w:t>
      </w:r>
      <w:proofErr w:type="spellEnd"/>
      <w:r w:rsidRPr="00A259BD">
        <w:rPr>
          <w:rFonts w:ascii="Times New Roman" w:hAnsi="Times New Roman"/>
          <w:color w:val="000000" w:themeColor="text1"/>
          <w:sz w:val="16"/>
          <w:szCs w:val="16"/>
          <w:shd w:val="clear" w:color="auto" w:fill="FFFFFF"/>
        </w:rPr>
        <w:t xml:space="preserve"> получена телеграмма, в которой сообщалось, что население села Адамово </w:t>
      </w:r>
      <w:proofErr w:type="spellStart"/>
      <w:r w:rsidRPr="00A259BD">
        <w:rPr>
          <w:rFonts w:ascii="Times New Roman" w:hAnsi="Times New Roman"/>
          <w:color w:val="000000" w:themeColor="text1"/>
          <w:sz w:val="16"/>
          <w:szCs w:val="16"/>
          <w:shd w:val="clear" w:color="auto" w:fill="FFFFFF"/>
        </w:rPr>
        <w:t>Усть</w:t>
      </w:r>
      <w:proofErr w:type="spellEnd"/>
      <w:r w:rsidRPr="00A259BD">
        <w:rPr>
          <w:rFonts w:ascii="Times New Roman" w:hAnsi="Times New Roman"/>
          <w:color w:val="000000" w:themeColor="text1"/>
          <w:sz w:val="16"/>
          <w:szCs w:val="16"/>
          <w:shd w:val="clear" w:color="auto" w:fill="FFFFFF"/>
        </w:rPr>
        <w:t>-Баргузинского района днем 29 сентября видело неизвестный самолет, сделавший два круга и взявший затем курс на Усть-Баргузин. Были даны предварительные распоряжения об организации поисковых экспедиций.</w:t>
      </w:r>
    </w:p>
    <w:p w14:paraId="53ABCAA8" w14:textId="77777777" w:rsidR="00D8619D" w:rsidRPr="00A259BD" w:rsidRDefault="00D8619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 xml:space="preserve">Однако вскоре стало известно, что Косте и </w:t>
      </w:r>
      <w:proofErr w:type="spellStart"/>
      <w:r w:rsidRPr="00A259BD">
        <w:rPr>
          <w:rFonts w:ascii="Times New Roman" w:hAnsi="Times New Roman"/>
          <w:color w:val="000000" w:themeColor="text1"/>
          <w:sz w:val="16"/>
          <w:szCs w:val="16"/>
          <w:shd w:val="clear" w:color="auto" w:fill="FFFFFF"/>
        </w:rPr>
        <w:t>Белонте</w:t>
      </w:r>
      <w:proofErr w:type="spellEnd"/>
      <w:r w:rsidRPr="00A259BD">
        <w:rPr>
          <w:rFonts w:ascii="Times New Roman" w:hAnsi="Times New Roman"/>
          <w:color w:val="000000" w:themeColor="text1"/>
          <w:sz w:val="16"/>
          <w:szCs w:val="16"/>
          <w:shd w:val="clear" w:color="auto" w:fill="FFFFFF"/>
        </w:rPr>
        <w:t xml:space="preserve"> совершили благополучную посадку в Китае на аэродроме </w:t>
      </w:r>
      <w:proofErr w:type="spellStart"/>
      <w:r w:rsidRPr="00A259BD">
        <w:rPr>
          <w:rFonts w:ascii="Times New Roman" w:hAnsi="Times New Roman"/>
          <w:color w:val="000000" w:themeColor="text1"/>
          <w:sz w:val="16"/>
          <w:szCs w:val="16"/>
          <w:shd w:val="clear" w:color="auto" w:fill="FFFFFF"/>
        </w:rPr>
        <w:t>Цицикар</w:t>
      </w:r>
      <w:proofErr w:type="spellEnd"/>
      <w:r w:rsidRPr="00A259BD">
        <w:rPr>
          <w:rFonts w:ascii="Times New Roman" w:hAnsi="Times New Roman"/>
          <w:color w:val="000000" w:themeColor="text1"/>
          <w:sz w:val="16"/>
          <w:szCs w:val="16"/>
          <w:shd w:val="clear" w:color="auto" w:fill="FFFFFF"/>
        </w:rPr>
        <w:t xml:space="preserve"> и установили новый мировой рекорд, преодолев 7905 км.</w:t>
      </w:r>
    </w:p>
    <w:p w14:paraId="008A6AAC" w14:textId="77777777" w:rsidR="00D8619D" w:rsidRPr="00A259BD" w:rsidRDefault="00D8619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Оказывается, что Косте изначально планировал перелет в Китай, однако в дело вмешалась политика. В это время советско-китайские отношения ухудшились настолько, что до открытого военного конфликта оставался один шаг. В таких условиях рассчитывать на согласие советского правительства на перелет границы враждебного нам государства иностранным самолетом не стоило. Поэтому Косте вынужден был пойти на хитрость, которая вызвала открытое возмущение в Советском Союзе. В «Известиях» в статье под названием «Авиационное мошенничество» журналист А. Гарри писал:</w:t>
      </w:r>
    </w:p>
    <w:p w14:paraId="592B0194" w14:textId="77777777" w:rsidR="00D8619D" w:rsidRPr="00A259BD" w:rsidRDefault="00D8619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«Летчик Кост … совершил мошенничество, если можно так выразиться, высшего порядка. Он преступно обманул доверие целой страны...</w:t>
      </w:r>
    </w:p>
    <w:p w14:paraId="61E87457" w14:textId="77777777" w:rsidR="00D8619D" w:rsidRPr="00A259BD" w:rsidRDefault="00D8619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Летчик Кост решил свой очередной рекорд на дальность поставить по маршруту Париж – Иркутск, правительство трудящихся Советского Союза с готовностью открыло для него ворота нашей страны.</w:t>
      </w:r>
    </w:p>
    <w:p w14:paraId="2DC4104A" w14:textId="77777777" w:rsidR="00D8619D" w:rsidRPr="00A259BD" w:rsidRDefault="00D8619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Летчик Кост, имея попутный ветер, «промазал» Иркутск и опустился на китайской территории. Талантливый пилот нечаянно просчитался: так примерно на тысячи полторы километров.</w:t>
      </w:r>
    </w:p>
    <w:p w14:paraId="55B1A2D3" w14:textId="77777777" w:rsidR="00D8619D" w:rsidRPr="00A259BD" w:rsidRDefault="00D8619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В течение нескольких дней о судьбе французского рекордсмена ничего не было известно. Советские летуны с обычной готовностью жертвовать жизнью во имя спасения коллеги целыми днями бороздили своими пропеллерами сибирское небо. Но искать в тайге французский самолет было бесполезно: летчик Кост был уже в Китае, с ним не случилось никакой аварии, жизнь его была вне опасности.</w:t>
      </w:r>
    </w:p>
    <w:p w14:paraId="1AC05E7C" w14:textId="77777777" w:rsidR="00D8619D" w:rsidRPr="00A259BD" w:rsidRDefault="00D8619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Летчик Кост не имел разрешения на транзитный перелет через СССР точно гак же, как не имел он разрешения на проход над советско-китайской границей, которая в силу целого ряда обстоятельств является в настоящее время запретной зоной для всякого иностранного самолета, что летчику Косту великолепно известно. Да летчик Кост и не нуждался в таком разрешении, зачем действовать легально, когда можно действовать нелегально? Попробуйте-ка, действительно, поймать Бреге-19 в воздухе!</w:t>
      </w:r>
    </w:p>
    <w:p w14:paraId="60F568C0" w14:textId="77777777" w:rsidR="00D8619D" w:rsidRPr="00A259BD" w:rsidRDefault="00D8619D" w:rsidP="009236E3">
      <w:pPr>
        <w:spacing w:after="0" w:line="240" w:lineRule="auto"/>
        <w:jc w:val="both"/>
        <w:rPr>
          <w:rFonts w:ascii="Times New Roman" w:hAnsi="Times New Roman"/>
          <w:bCs/>
          <w:color w:val="000000" w:themeColor="text1"/>
          <w:sz w:val="16"/>
          <w:szCs w:val="16"/>
        </w:rPr>
      </w:pPr>
      <w:r w:rsidRPr="00A259BD">
        <w:rPr>
          <w:rFonts w:ascii="Times New Roman" w:hAnsi="Times New Roman"/>
          <w:color w:val="000000" w:themeColor="text1"/>
          <w:sz w:val="16"/>
          <w:szCs w:val="16"/>
          <w:shd w:val="clear" w:color="auto" w:fill="FFFFFF"/>
        </w:rPr>
        <w:t>Летчик Кост является коммивояжером французской фирмы Бреге, которая в настоящее время организует сбыт своих самолетов китайским генералам... Фирма Бреге, вероятно, выдаст ему хорошую премию» (21438).</w:t>
      </w:r>
    </w:p>
    <w:p w14:paraId="41C0864F" w14:textId="77777777" w:rsidR="00D8619D" w:rsidRPr="00A259BD" w:rsidRDefault="00D8619D" w:rsidP="009236E3">
      <w:pPr>
        <w:spacing w:after="0" w:line="240" w:lineRule="auto"/>
        <w:jc w:val="both"/>
        <w:rPr>
          <w:rFonts w:ascii="Times New Roman" w:hAnsi="Times New Roman"/>
          <w:color w:val="000000" w:themeColor="text1"/>
          <w:sz w:val="16"/>
          <w:szCs w:val="16"/>
          <w:shd w:val="clear" w:color="auto" w:fill="FFFFFF"/>
        </w:rPr>
      </w:pPr>
    </w:p>
    <w:p w14:paraId="3CEDB2BB" w14:textId="77777777" w:rsidR="00694487"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05EE752C" w14:textId="77777777" w:rsidR="00694487" w:rsidRPr="00A259BD" w:rsidRDefault="0069448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811C62B" w14:textId="77777777" w:rsidR="00694487" w:rsidRPr="00A259BD" w:rsidRDefault="0069448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сентября в 1929 году некий </w:t>
      </w:r>
      <w:proofErr w:type="spellStart"/>
      <w:r w:rsidRPr="00A259BD">
        <w:rPr>
          <w:rFonts w:ascii="Times New Roman" w:hAnsi="Times New Roman"/>
          <w:color w:val="000000" w:themeColor="text1"/>
          <w:sz w:val="16"/>
          <w:szCs w:val="16"/>
        </w:rPr>
        <w:t>Уикстид</w:t>
      </w:r>
      <w:proofErr w:type="spellEnd"/>
      <w:r w:rsidRPr="00A259BD">
        <w:rPr>
          <w:rFonts w:ascii="Times New Roman" w:hAnsi="Times New Roman"/>
          <w:color w:val="000000" w:themeColor="text1"/>
          <w:sz w:val="16"/>
          <w:szCs w:val="16"/>
        </w:rPr>
        <w:t>, побывавший в СССР, делится впечатлениями на страницах лондонской газеты, что на него в Москве самое большое впечатление произвело обилие всевозможных курсов: общеобразовательных, политико-просветительных, медицинских, столярных, слесарных, кройки и шитья... "На этих курсах обучают всем мыслимым предметам, от пошива шляп до иностранных языков. Подозреваю, что многие из них довольно бесполезны" (14782).</w:t>
      </w:r>
    </w:p>
    <w:p w14:paraId="4CEC2767" w14:textId="77777777" w:rsidR="00694487" w:rsidRPr="00A259BD" w:rsidRDefault="00694487" w:rsidP="009236E3">
      <w:pPr>
        <w:spacing w:after="0" w:line="240" w:lineRule="auto"/>
        <w:jc w:val="both"/>
        <w:rPr>
          <w:rFonts w:ascii="Times New Roman" w:hAnsi="Times New Roman"/>
          <w:color w:val="000000" w:themeColor="text1"/>
          <w:sz w:val="16"/>
          <w:szCs w:val="16"/>
        </w:rPr>
      </w:pPr>
    </w:p>
    <w:p w14:paraId="18829C27" w14:textId="77777777" w:rsidR="00A56873" w:rsidRPr="00A259BD" w:rsidRDefault="00A56873"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5AD42A8" w14:textId="77777777" w:rsidR="00A56873" w:rsidRPr="00A259BD" w:rsidRDefault="00A5687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72F3905" w14:textId="77777777" w:rsidR="00A56873" w:rsidRPr="00A259BD" w:rsidRDefault="00A5687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27–29 сентября 1929 </w:t>
      </w:r>
      <w:proofErr w:type="spellStart"/>
      <w:r w:rsidRPr="00A259BD">
        <w:rPr>
          <w:rFonts w:ascii="Times New Roman" w:hAnsi="Times New Roman"/>
          <w:color w:val="000000" w:themeColor="text1"/>
          <w:sz w:val="16"/>
          <w:szCs w:val="16"/>
        </w:rPr>
        <w:t>Дьедонне</w:t>
      </w:r>
      <w:proofErr w:type="spellEnd"/>
      <w:r w:rsidRPr="00A259BD">
        <w:rPr>
          <w:rFonts w:ascii="Times New Roman" w:hAnsi="Times New Roman"/>
          <w:color w:val="000000" w:themeColor="text1"/>
          <w:sz w:val="16"/>
          <w:szCs w:val="16"/>
        </w:rPr>
        <w:t xml:space="preserve"> Кост и Морис </w:t>
      </w:r>
      <w:proofErr w:type="spellStart"/>
      <w:r w:rsidRPr="00A259BD">
        <w:rPr>
          <w:rFonts w:ascii="Times New Roman" w:hAnsi="Times New Roman"/>
          <w:color w:val="000000" w:themeColor="text1"/>
          <w:sz w:val="16"/>
          <w:szCs w:val="16"/>
        </w:rPr>
        <w:t>Беллонте</w:t>
      </w:r>
      <w:proofErr w:type="spellEnd"/>
      <w:r w:rsidRPr="00A259BD">
        <w:rPr>
          <w:rFonts w:ascii="Times New Roman" w:hAnsi="Times New Roman"/>
          <w:color w:val="000000" w:themeColor="text1"/>
          <w:sz w:val="16"/>
          <w:szCs w:val="16"/>
        </w:rPr>
        <w:t xml:space="preserve"> установили новый мировой рекорд дальности, пролетев 7 905 км (4 909 миль) из Ле Бурже , Париж, Франция, в </w:t>
      </w:r>
      <w:proofErr w:type="spellStart"/>
      <w:r w:rsidRPr="00A259BD">
        <w:rPr>
          <w:rFonts w:ascii="Times New Roman" w:hAnsi="Times New Roman"/>
          <w:color w:val="000000" w:themeColor="text1"/>
          <w:sz w:val="16"/>
          <w:szCs w:val="16"/>
        </w:rPr>
        <w:t>Цицикар</w:t>
      </w:r>
      <w:proofErr w:type="spellEnd"/>
      <w:r w:rsidRPr="00A259BD">
        <w:rPr>
          <w:rFonts w:ascii="Times New Roman" w:hAnsi="Times New Roman"/>
          <w:color w:val="000000" w:themeColor="text1"/>
          <w:sz w:val="16"/>
          <w:szCs w:val="16"/>
        </w:rPr>
        <w:t>, Маньчжурия, Китай, на Breguet 19 (20806).</w:t>
      </w:r>
    </w:p>
    <w:p w14:paraId="69AB6D73" w14:textId="77777777" w:rsidR="00A56873" w:rsidRPr="00A259BD" w:rsidRDefault="00A56873" w:rsidP="009236E3">
      <w:pPr>
        <w:spacing w:after="0" w:line="240" w:lineRule="auto"/>
        <w:jc w:val="both"/>
        <w:rPr>
          <w:rFonts w:ascii="Times New Roman" w:hAnsi="Times New Roman"/>
          <w:color w:val="000000" w:themeColor="text1"/>
          <w:sz w:val="16"/>
          <w:szCs w:val="16"/>
        </w:rPr>
      </w:pPr>
    </w:p>
    <w:p w14:paraId="1AB074B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E7A18D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D190A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28 сентября 1929 в Москве после визита к Хейнкелю советской делегации во главе с </w:t>
      </w:r>
      <w:proofErr w:type="spellStart"/>
      <w:r w:rsidRPr="00A259BD">
        <w:rPr>
          <w:rFonts w:ascii="Times New Roman" w:hAnsi="Times New Roman"/>
          <w:color w:val="000000" w:themeColor="text1"/>
          <w:sz w:val="16"/>
          <w:szCs w:val="16"/>
        </w:rPr>
        <w:t>Я.И.Алкснисом</w:t>
      </w:r>
      <w:proofErr w:type="spellEnd"/>
      <w:r w:rsidRPr="00A259BD">
        <w:rPr>
          <w:rFonts w:ascii="Times New Roman" w:hAnsi="Times New Roman"/>
          <w:color w:val="000000" w:themeColor="text1"/>
          <w:sz w:val="16"/>
          <w:szCs w:val="16"/>
        </w:rPr>
        <w:t xml:space="preserve"> состоялось заседание руководства ВВС РККА, на котором заказ Хейнкелю в соответствии с договором от 10 мая 1929 решили увеличить заказ на HD.55 до 20 машин (1083,6).</w:t>
      </w:r>
    </w:p>
    <w:p w14:paraId="34A2F2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A31B2A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FA0097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996D3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28 сентября 1929 </w:t>
      </w:r>
      <w:proofErr w:type="spellStart"/>
      <w:r w:rsidRPr="00A259BD">
        <w:rPr>
          <w:rFonts w:ascii="Times New Roman" w:hAnsi="Times New Roman"/>
          <w:color w:val="000000" w:themeColor="text1"/>
          <w:sz w:val="16"/>
          <w:szCs w:val="16"/>
        </w:rPr>
        <w:t>И.С.Уншлихт</w:t>
      </w:r>
      <w:proofErr w:type="spellEnd"/>
      <w:r w:rsidRPr="00A259BD">
        <w:rPr>
          <w:rFonts w:ascii="Times New Roman" w:hAnsi="Times New Roman"/>
          <w:color w:val="000000" w:themeColor="text1"/>
          <w:sz w:val="16"/>
          <w:szCs w:val="16"/>
        </w:rPr>
        <w:t xml:space="preserve"> писал </w:t>
      </w:r>
      <w:proofErr w:type="spellStart"/>
      <w:r w:rsidRPr="00A259BD">
        <w:rPr>
          <w:rFonts w:ascii="Times New Roman" w:hAnsi="Times New Roman"/>
          <w:color w:val="000000" w:themeColor="text1"/>
          <w:sz w:val="16"/>
          <w:szCs w:val="16"/>
        </w:rPr>
        <w:t>В.В.Куйбышеву</w:t>
      </w:r>
      <w:proofErr w:type="spellEnd"/>
      <w:r w:rsidRPr="00A259BD">
        <w:rPr>
          <w:rFonts w:ascii="Times New Roman" w:hAnsi="Times New Roman"/>
          <w:color w:val="000000" w:themeColor="text1"/>
          <w:sz w:val="16"/>
          <w:szCs w:val="16"/>
        </w:rPr>
        <w:t xml:space="preserve"> "состояние наших конструкторских организаций на сегодняшний день не может обеспечить требуемых сроков конструирования и производства новых систем артиллерийского вооружения РККА" (1566,77).</w:t>
      </w:r>
    </w:p>
    <w:p w14:paraId="7A48F9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A137A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28 сентября 1929 г. в письме </w:t>
      </w:r>
      <w:proofErr w:type="spellStart"/>
      <w:r w:rsidRPr="00A259BD">
        <w:rPr>
          <w:rFonts w:ascii="Times New Roman" w:hAnsi="Times New Roman"/>
          <w:color w:val="000000" w:themeColor="text1"/>
          <w:sz w:val="16"/>
          <w:szCs w:val="16"/>
        </w:rPr>
        <w:t>И.С.Уншлихта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В.В.Куйбышеву</w:t>
      </w:r>
      <w:proofErr w:type="spellEnd"/>
      <w:r w:rsidRPr="00A259BD">
        <w:rPr>
          <w:rFonts w:ascii="Times New Roman" w:hAnsi="Times New Roman"/>
          <w:color w:val="000000" w:themeColor="text1"/>
          <w:sz w:val="16"/>
          <w:szCs w:val="16"/>
        </w:rPr>
        <w:t xml:space="preserve"> говорилось, что “состо</w:t>
      </w:r>
      <w:r w:rsidRPr="00A259BD">
        <w:rPr>
          <w:rFonts w:ascii="Times New Roman" w:hAnsi="Times New Roman"/>
          <w:color w:val="000000" w:themeColor="text1"/>
          <w:sz w:val="16"/>
          <w:szCs w:val="16"/>
        </w:rPr>
        <w:softHyphen/>
        <w:t>яние наших конструкторских организаций на сегодняшний день не может обеспечить требуемых сроков конструирования и про-</w:t>
      </w:r>
      <w:proofErr w:type="spellStart"/>
      <w:r w:rsidRPr="00A259BD">
        <w:rPr>
          <w:rFonts w:ascii="Times New Roman" w:hAnsi="Times New Roman"/>
          <w:color w:val="000000" w:themeColor="text1"/>
          <w:sz w:val="16"/>
          <w:szCs w:val="16"/>
        </w:rPr>
        <w:t>изводства</w:t>
      </w:r>
      <w:proofErr w:type="spellEnd"/>
      <w:r w:rsidRPr="00A259BD">
        <w:rPr>
          <w:rFonts w:ascii="Times New Roman" w:hAnsi="Times New Roman"/>
          <w:color w:val="000000" w:themeColor="text1"/>
          <w:sz w:val="16"/>
          <w:szCs w:val="16"/>
        </w:rPr>
        <w:t xml:space="preserve"> новых систем артиллерийского вооружения для РККА” (РГАЭ ф. 2097, оп. 1, д. 890, л. 1) (1566,77).</w:t>
      </w:r>
    </w:p>
    <w:p w14:paraId="2FDFD40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D7229C" w14:textId="77777777" w:rsidR="00051DBD" w:rsidRPr="00A259BD" w:rsidRDefault="00051DBD" w:rsidP="009236E3">
      <w:pPr>
        <w:pStyle w:val="ae"/>
        <w:shd w:val="clear" w:color="auto" w:fill="FFFFFF"/>
        <w:spacing w:before="0" w:after="0"/>
        <w:jc w:val="both"/>
        <w:rPr>
          <w:color w:val="000000" w:themeColor="text1"/>
          <w:sz w:val="16"/>
          <w:szCs w:val="16"/>
        </w:rPr>
      </w:pPr>
      <w:r w:rsidRPr="00A259BD">
        <w:rPr>
          <w:color w:val="000000" w:themeColor="text1"/>
          <w:sz w:val="16"/>
          <w:szCs w:val="16"/>
        </w:rPr>
        <w:t xml:space="preserve">28 сентября 1929 г. И.С. </w:t>
      </w:r>
      <w:proofErr w:type="spellStart"/>
      <w:r w:rsidRPr="00A259BD">
        <w:rPr>
          <w:color w:val="000000" w:themeColor="text1"/>
          <w:sz w:val="16"/>
          <w:szCs w:val="16"/>
        </w:rPr>
        <w:t>Уншлихт</w:t>
      </w:r>
      <w:proofErr w:type="spellEnd"/>
      <w:r w:rsidRPr="00A259BD">
        <w:rPr>
          <w:color w:val="000000" w:themeColor="text1"/>
          <w:sz w:val="16"/>
          <w:szCs w:val="16"/>
        </w:rPr>
        <w:t xml:space="preserve"> в своем письме к В.В. Куйбышеву просил отпустить хотя бы 70 тыс. американских долларов для организации работы «по получению из-за границы агентурным путем рабочих чертежей и готовых образцов» (19855).</w:t>
      </w:r>
    </w:p>
    <w:p w14:paraId="30578860" w14:textId="77777777" w:rsidR="00051DBD" w:rsidRPr="00A259BD" w:rsidRDefault="00051DBD" w:rsidP="009236E3">
      <w:pPr>
        <w:spacing w:after="0" w:line="240" w:lineRule="auto"/>
        <w:jc w:val="both"/>
        <w:rPr>
          <w:rFonts w:ascii="Times New Roman" w:hAnsi="Times New Roman"/>
          <w:color w:val="000000" w:themeColor="text1"/>
          <w:sz w:val="16"/>
          <w:szCs w:val="16"/>
        </w:rPr>
      </w:pPr>
    </w:p>
    <w:p w14:paraId="29178C3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сентяб</w:t>
      </w:r>
      <w:r w:rsidRPr="00A259BD">
        <w:rPr>
          <w:rFonts w:ascii="Times New Roman" w:hAnsi="Times New Roman"/>
          <w:color w:val="000000" w:themeColor="text1"/>
          <w:sz w:val="16"/>
          <w:szCs w:val="16"/>
        </w:rPr>
        <w:softHyphen/>
        <w:t xml:space="preserve">ря 1929 </w:t>
      </w:r>
      <w:proofErr w:type="spellStart"/>
      <w:r w:rsidRPr="00A259BD">
        <w:rPr>
          <w:rFonts w:ascii="Times New Roman" w:hAnsi="Times New Roman"/>
          <w:color w:val="000000" w:themeColor="text1"/>
          <w:sz w:val="16"/>
          <w:szCs w:val="16"/>
        </w:rPr>
        <w:t>Мотоколонна</w:t>
      </w:r>
      <w:proofErr w:type="spellEnd"/>
      <w:r w:rsidRPr="00A259BD">
        <w:rPr>
          <w:rFonts w:ascii="Times New Roman" w:hAnsi="Times New Roman"/>
          <w:color w:val="000000" w:themeColor="text1"/>
          <w:sz w:val="16"/>
          <w:szCs w:val="16"/>
        </w:rPr>
        <w:t xml:space="preserve"> в полном сборе выехала из столицы и прибыла в Ленинград 3 октября. Все мотоциклы выставили для широкого обозрения на стадионе им. Ленина [3.84]. Утром 4 октября официально стартовал Первый Всесоюзный пробег со</w:t>
      </w:r>
      <w:r w:rsidRPr="00A259BD">
        <w:rPr>
          <w:rFonts w:ascii="Times New Roman" w:hAnsi="Times New Roman"/>
          <w:color w:val="000000" w:themeColor="text1"/>
          <w:sz w:val="16"/>
          <w:szCs w:val="16"/>
        </w:rPr>
        <w:softHyphen/>
        <w:t xml:space="preserve">ветских мотоциклов. К 9 часам вечера все участники прибыли в Псков [3.85]. 8 октября они были уже в Брянске, где им устроили тёплую встречу, а следующим утром отправились в Курск. Там их встречали местные </w:t>
      </w:r>
      <w:proofErr w:type="spellStart"/>
      <w:r w:rsidRPr="00A259BD">
        <w:rPr>
          <w:rFonts w:ascii="Times New Roman" w:hAnsi="Times New Roman"/>
          <w:color w:val="000000" w:themeColor="text1"/>
          <w:sz w:val="16"/>
          <w:szCs w:val="16"/>
        </w:rPr>
        <w:t>автодоровцы</w:t>
      </w:r>
      <w:proofErr w:type="spellEnd"/>
      <w:r w:rsidRPr="00A259BD">
        <w:rPr>
          <w:rFonts w:ascii="Times New Roman" w:hAnsi="Times New Roman"/>
          <w:color w:val="000000" w:themeColor="text1"/>
          <w:sz w:val="16"/>
          <w:szCs w:val="16"/>
        </w:rPr>
        <w:t>, и предстоял двухдневный от</w:t>
      </w:r>
      <w:r w:rsidRPr="00A259BD">
        <w:rPr>
          <w:rFonts w:ascii="Times New Roman" w:hAnsi="Times New Roman"/>
          <w:color w:val="000000" w:themeColor="text1"/>
          <w:sz w:val="16"/>
          <w:szCs w:val="16"/>
        </w:rPr>
        <w:softHyphen/>
        <w:t>дых [3.86]. Необычным оказался приём в Харькове, в то время столице Украины. Все улицы, по которым двигалась колона мо</w:t>
      </w:r>
      <w:r w:rsidRPr="00A259BD">
        <w:rPr>
          <w:rFonts w:ascii="Times New Roman" w:hAnsi="Times New Roman"/>
          <w:color w:val="000000" w:themeColor="text1"/>
          <w:sz w:val="16"/>
          <w:szCs w:val="16"/>
        </w:rPr>
        <w:softHyphen/>
        <w:t>топробега, заполнили восторженные люди. В центре города орга</w:t>
      </w:r>
      <w:r w:rsidRPr="00A259BD">
        <w:rPr>
          <w:rFonts w:ascii="Times New Roman" w:hAnsi="Times New Roman"/>
          <w:color w:val="000000" w:themeColor="text1"/>
          <w:sz w:val="16"/>
          <w:szCs w:val="16"/>
        </w:rPr>
        <w:softHyphen/>
        <w:t>низовали выставку прибывших мотоциклов, которую посетили около 100 тыс. человек [3.87]. На обратном пути в Туле провели технический финиш мотопробега. Контрольная комиссия изуча</w:t>
      </w:r>
      <w:r w:rsidRPr="00A259BD">
        <w:rPr>
          <w:rFonts w:ascii="Times New Roman" w:hAnsi="Times New Roman"/>
          <w:color w:val="000000" w:themeColor="text1"/>
          <w:sz w:val="16"/>
          <w:szCs w:val="16"/>
        </w:rPr>
        <w:softHyphen/>
        <w:t xml:space="preserve">ла состояние мотоциклов. К тому моменту успех мотопробега был очевиден, и некоторым членам </w:t>
      </w:r>
      <w:proofErr w:type="spellStart"/>
      <w:r w:rsidRPr="00A259BD">
        <w:rPr>
          <w:rFonts w:ascii="Times New Roman" w:hAnsi="Times New Roman"/>
          <w:color w:val="000000" w:themeColor="text1"/>
          <w:sz w:val="16"/>
          <w:szCs w:val="16"/>
        </w:rPr>
        <w:t>АВТОДОРа</w:t>
      </w:r>
      <w:proofErr w:type="spellEnd"/>
      <w:r w:rsidRPr="00A259BD">
        <w:rPr>
          <w:rFonts w:ascii="Times New Roman" w:hAnsi="Times New Roman"/>
          <w:color w:val="000000" w:themeColor="text1"/>
          <w:sz w:val="16"/>
          <w:szCs w:val="16"/>
        </w:rPr>
        <w:t xml:space="preserve"> из больших го</w:t>
      </w:r>
      <w:r w:rsidRPr="00A259BD">
        <w:rPr>
          <w:rFonts w:ascii="Times New Roman" w:hAnsi="Times New Roman"/>
          <w:color w:val="000000" w:themeColor="text1"/>
          <w:sz w:val="16"/>
          <w:szCs w:val="16"/>
        </w:rPr>
        <w:softHyphen/>
        <w:t xml:space="preserve">родов казалось несправедливым, что вели мотоциклы не </w:t>
      </w:r>
      <w:proofErr w:type="spellStart"/>
      <w:r w:rsidRPr="00A259BD">
        <w:rPr>
          <w:rFonts w:ascii="Times New Roman" w:hAnsi="Times New Roman"/>
          <w:color w:val="000000" w:themeColor="text1"/>
          <w:sz w:val="16"/>
          <w:szCs w:val="16"/>
        </w:rPr>
        <w:t>мото</w:t>
      </w:r>
      <w:r w:rsidRPr="00A259BD">
        <w:rPr>
          <w:rFonts w:ascii="Times New Roman" w:hAnsi="Times New Roman"/>
          <w:color w:val="000000" w:themeColor="text1"/>
          <w:sz w:val="16"/>
          <w:szCs w:val="16"/>
        </w:rPr>
        <w:softHyphen/>
        <w:t>спортсмены</w:t>
      </w:r>
      <w:proofErr w:type="spellEnd"/>
      <w:r w:rsidRPr="00A259BD">
        <w:rPr>
          <w:rFonts w:ascii="Times New Roman" w:hAnsi="Times New Roman"/>
          <w:color w:val="000000" w:themeColor="text1"/>
          <w:sz w:val="16"/>
          <w:szCs w:val="16"/>
        </w:rPr>
        <w:t xml:space="preserve">, а рабочие и инженеры </w:t>
      </w:r>
      <w:proofErr w:type="spellStart"/>
      <w:r w:rsidRPr="00A259BD">
        <w:rPr>
          <w:rFonts w:ascii="Times New Roman" w:hAnsi="Times New Roman"/>
          <w:color w:val="000000" w:themeColor="text1"/>
          <w:sz w:val="16"/>
          <w:szCs w:val="16"/>
        </w:rPr>
        <w:t>ИОЗа</w:t>
      </w:r>
      <w:proofErr w:type="spellEnd"/>
      <w:r w:rsidRPr="00A259BD">
        <w:rPr>
          <w:rFonts w:ascii="Times New Roman" w:hAnsi="Times New Roman"/>
          <w:color w:val="000000" w:themeColor="text1"/>
          <w:sz w:val="16"/>
          <w:szCs w:val="16"/>
        </w:rPr>
        <w:t>, то есть те самые лю</w:t>
      </w:r>
      <w:r w:rsidRPr="00A259BD">
        <w:rPr>
          <w:rFonts w:ascii="Times New Roman" w:hAnsi="Times New Roman"/>
          <w:color w:val="000000" w:themeColor="text1"/>
          <w:sz w:val="16"/>
          <w:szCs w:val="16"/>
        </w:rPr>
        <w:softHyphen/>
        <w:t>ди, которые непосредственно участвовали в создании экспери</w:t>
      </w:r>
      <w:r w:rsidRPr="00A259BD">
        <w:rPr>
          <w:rFonts w:ascii="Times New Roman" w:hAnsi="Times New Roman"/>
          <w:color w:val="000000" w:themeColor="text1"/>
          <w:sz w:val="16"/>
          <w:szCs w:val="16"/>
        </w:rPr>
        <w:softHyphen/>
        <w:t xml:space="preserve">ментальных ижевских мотоциклов. Однако на </w:t>
      </w:r>
      <w:proofErr w:type="spellStart"/>
      <w:r w:rsidRPr="00A259BD">
        <w:rPr>
          <w:rFonts w:ascii="Times New Roman" w:hAnsi="Times New Roman"/>
          <w:color w:val="000000" w:themeColor="text1"/>
          <w:sz w:val="16"/>
          <w:szCs w:val="16"/>
        </w:rPr>
        <w:t>ИОЗе</w:t>
      </w:r>
      <w:proofErr w:type="spellEnd"/>
      <w:r w:rsidRPr="00A259BD">
        <w:rPr>
          <w:rFonts w:ascii="Times New Roman" w:hAnsi="Times New Roman"/>
          <w:color w:val="000000" w:themeColor="text1"/>
          <w:sz w:val="16"/>
          <w:szCs w:val="16"/>
        </w:rPr>
        <w:t xml:space="preserve"> считали, что самой высокой наградой для создателей новых мотоциклов будет участия в мотопробеге на своей продукции [3.88]. Этот принцип использовался и в дальнейшем, как оправдавший себя в коллек</w:t>
      </w:r>
      <w:r w:rsidRPr="00A259BD">
        <w:rPr>
          <w:rFonts w:ascii="Times New Roman" w:hAnsi="Times New Roman"/>
          <w:color w:val="000000" w:themeColor="text1"/>
          <w:sz w:val="16"/>
          <w:szCs w:val="16"/>
        </w:rPr>
        <w:softHyphen/>
        <w:t xml:space="preserve">тиве </w:t>
      </w:r>
      <w:proofErr w:type="spellStart"/>
      <w:r w:rsidRPr="00A259BD">
        <w:rPr>
          <w:rFonts w:ascii="Times New Roman" w:hAnsi="Times New Roman"/>
          <w:color w:val="000000" w:themeColor="text1"/>
          <w:sz w:val="16"/>
          <w:szCs w:val="16"/>
        </w:rPr>
        <w:t>ИОЗа</w:t>
      </w:r>
      <w:proofErr w:type="spellEnd"/>
      <w:r w:rsidRPr="00A259BD">
        <w:rPr>
          <w:rFonts w:ascii="Times New Roman" w:hAnsi="Times New Roman"/>
          <w:color w:val="000000" w:themeColor="text1"/>
          <w:sz w:val="16"/>
          <w:szCs w:val="16"/>
        </w:rPr>
        <w:t xml:space="preserve"> (11429).</w:t>
      </w:r>
    </w:p>
    <w:p w14:paraId="076ADC7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97B9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сентября 1929 года представители машиностроительного концерна «Крупп», которому компания «</w:t>
      </w:r>
      <w:proofErr w:type="spellStart"/>
      <w:r w:rsidRPr="00A259BD">
        <w:rPr>
          <w:rFonts w:ascii="Times New Roman" w:hAnsi="Times New Roman"/>
          <w:color w:val="000000" w:themeColor="text1"/>
          <w:sz w:val="16"/>
          <w:szCs w:val="16"/>
        </w:rPr>
        <w:t>Осрам</w:t>
      </w:r>
      <w:proofErr w:type="spellEnd"/>
      <w:r w:rsidRPr="00A259BD">
        <w:rPr>
          <w:rFonts w:ascii="Times New Roman" w:hAnsi="Times New Roman"/>
          <w:color w:val="000000" w:themeColor="text1"/>
          <w:sz w:val="16"/>
          <w:szCs w:val="16"/>
        </w:rPr>
        <w:t>» в 1927 продала патент на производство сплава «</w:t>
      </w:r>
      <w:proofErr w:type="spellStart"/>
      <w:r w:rsidRPr="00A259BD">
        <w:rPr>
          <w:rFonts w:ascii="Times New Roman" w:hAnsi="Times New Roman"/>
          <w:color w:val="000000" w:themeColor="text1"/>
          <w:sz w:val="16"/>
          <w:szCs w:val="16"/>
        </w:rPr>
        <w:t>видиа</w:t>
      </w:r>
      <w:proofErr w:type="spellEnd"/>
      <w:r w:rsidRPr="00A259BD">
        <w:rPr>
          <w:rFonts w:ascii="Times New Roman" w:hAnsi="Times New Roman"/>
          <w:color w:val="000000" w:themeColor="text1"/>
          <w:sz w:val="16"/>
          <w:szCs w:val="16"/>
        </w:rPr>
        <w:t>», продемонстрировали советским специалистам выгоды от практического использования этого металлокерамического сплава для обработки металлов. В частности, в 3—5 раз возрастала скорость сверления и обработки, существенно повышалась точность и производительность труда. Гости из Германии надеялись, что, оценив уникальные свойства нового материала, Советский Союз заключит контракты на его импорт.</w:t>
      </w:r>
    </w:p>
    <w:p w14:paraId="3CACF8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СССР действительно заинтересовала новинка, но события развивались совсем по другому сценарию. В стране решили самостоятельно освоить промышленное производство этого сплава. Для начала из архивов были извлечены все отчеты лаборатории компании «</w:t>
      </w:r>
      <w:proofErr w:type="spellStart"/>
      <w:r w:rsidRPr="00A259BD">
        <w:rPr>
          <w:rFonts w:ascii="Times New Roman" w:hAnsi="Times New Roman"/>
          <w:color w:val="000000" w:themeColor="text1"/>
          <w:sz w:val="16"/>
          <w:szCs w:val="16"/>
        </w:rPr>
        <w:t>Осрам</w:t>
      </w:r>
      <w:proofErr w:type="spellEnd"/>
      <w:r w:rsidRPr="00A259BD">
        <w:rPr>
          <w:rFonts w:ascii="Times New Roman" w:hAnsi="Times New Roman"/>
          <w:color w:val="000000" w:themeColor="text1"/>
          <w:sz w:val="16"/>
          <w:szCs w:val="16"/>
        </w:rPr>
        <w:t>». На их основе в течение нескольких суток удалось получить сплав с аналогичными свойствами под названием «победит». Однако говорить о его производстве не в лабораторных условиях было еще рано. Нужно было добыть технологию.</w:t>
      </w:r>
    </w:p>
    <w:p w14:paraId="52D44F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этого в Германию выехал инженер Московского электрозавода Г. А. Меерсон. Он участвовал в разработке победита, поэтому прекрасно понимал, что именно нужно выяснить. С завода концерна «Крупп» он увез только сувенирный перочинный ножичек с надписью «</w:t>
      </w:r>
      <w:proofErr w:type="spellStart"/>
      <w:r w:rsidRPr="00A259BD">
        <w:rPr>
          <w:rFonts w:ascii="Times New Roman" w:hAnsi="Times New Roman"/>
          <w:color w:val="000000" w:themeColor="text1"/>
          <w:sz w:val="16"/>
          <w:szCs w:val="16"/>
        </w:rPr>
        <w:t>Видиа</w:t>
      </w:r>
      <w:proofErr w:type="spellEnd"/>
      <w:r w:rsidRPr="00A259BD">
        <w:rPr>
          <w:rFonts w:ascii="Times New Roman" w:hAnsi="Times New Roman"/>
          <w:color w:val="000000" w:themeColor="text1"/>
          <w:sz w:val="16"/>
          <w:szCs w:val="16"/>
        </w:rPr>
        <w:t xml:space="preserve"> Крупп».</w:t>
      </w:r>
    </w:p>
    <w:p w14:paraId="35F860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вот в США ему повезло больше. В библиотеке, где Меерсон педантично штудировал немногочисленную литературу по металлокерамике, он познакомился со своим американским коллегой — инженером Томсоном. который занимался той же проблемой и работал в одной из ведущих компаний страны.</w:t>
      </w:r>
    </w:p>
    <w:p w14:paraId="14885B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Американец предложил обменяться информацией: он устраивает экскурсию по своему заводу, а гость из Советского Союза предоставляет материалы по концерну «Крупп».</w:t>
      </w:r>
    </w:p>
    <w:p w14:paraId="4E2F47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Днем Г. И. Меерсон с новым знакомым ходил по цехам. Периодически он отлучался в туалет и записывал все, что запомнил. А по ночам писал отчет по Германии, используя в качестве основы наработки компании «</w:t>
      </w:r>
      <w:proofErr w:type="spellStart"/>
      <w:r w:rsidRPr="00A259BD">
        <w:rPr>
          <w:rFonts w:ascii="Times New Roman" w:hAnsi="Times New Roman"/>
          <w:color w:val="000000" w:themeColor="text1"/>
          <w:sz w:val="16"/>
          <w:szCs w:val="16"/>
        </w:rPr>
        <w:t>Осрам</w:t>
      </w:r>
      <w:proofErr w:type="spellEnd"/>
      <w:r w:rsidRPr="00A259BD">
        <w:rPr>
          <w:rFonts w:ascii="Times New Roman" w:hAnsi="Times New Roman"/>
          <w:color w:val="000000" w:themeColor="text1"/>
          <w:sz w:val="16"/>
          <w:szCs w:val="16"/>
        </w:rPr>
        <w:t>» и результаты московских опытов. Перед вручением американцу своего труда, Меерсон испачкал и помял тетрадь с записями. Тщательно изучив рукопись, Томсон не узнал ничего нового, а его советский коллега на основе собранной информации сумел наладить промышленный выпуск победита. В 1930 году было выпущено 3,8 т твердых сплавов, через год этот показатель составил уже 26, 2 т, а в 1932 году масса превысила 45 т (Журавлев С. В. «Маленькие люди» и «большая история»: Иностранцы Московского электрозавода в советском обществе 1920-1930 гг. — М., 2000, с. 54-55, 57, 71, 75.) (11765).</w:t>
      </w:r>
    </w:p>
    <w:p w14:paraId="06D93B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D13A92" w14:textId="77777777" w:rsidR="00F14B42" w:rsidRPr="00A259BD" w:rsidRDefault="00F14B42" w:rsidP="009236E3">
      <w:pPr>
        <w:spacing w:after="0" w:line="240" w:lineRule="auto"/>
        <w:jc w:val="both"/>
        <w:rPr>
          <w:rStyle w:val="aff5"/>
          <w:rFonts w:ascii="Times New Roman" w:eastAsia="Arial Narrow" w:hAnsi="Times New Roman" w:cs="Times New Roman"/>
          <w:i w:val="0"/>
          <w:color w:val="000000" w:themeColor="text1"/>
        </w:rPr>
      </w:pPr>
      <w:r w:rsidRPr="00A259BD">
        <w:rPr>
          <w:rFonts w:ascii="Times New Roman" w:hAnsi="Times New Roman"/>
          <w:color w:val="000000" w:themeColor="text1"/>
          <w:sz w:val="16"/>
          <w:szCs w:val="16"/>
        </w:rPr>
        <w:t>28 сентября 1929 г. в ра</w:t>
      </w:r>
      <w:r w:rsidRPr="00A259BD">
        <w:rPr>
          <w:rFonts w:ascii="Times New Roman" w:hAnsi="Times New Roman"/>
          <w:color w:val="000000" w:themeColor="text1"/>
          <w:sz w:val="16"/>
          <w:szCs w:val="16"/>
        </w:rPr>
        <w:softHyphen/>
        <w:t>порте оружейного техника В.М. Панова заве</w:t>
      </w:r>
      <w:r w:rsidRPr="00A259BD">
        <w:rPr>
          <w:rFonts w:ascii="Times New Roman" w:hAnsi="Times New Roman"/>
          <w:color w:val="000000" w:themeColor="text1"/>
          <w:sz w:val="16"/>
          <w:szCs w:val="16"/>
        </w:rPr>
        <w:softHyphen/>
        <w:t>дующему техническим отделом заводов говорилось:</w:t>
      </w:r>
      <w:r w:rsidRPr="00A259BD">
        <w:rPr>
          <w:rStyle w:val="aff5"/>
          <w:rFonts w:ascii="Times New Roman" w:eastAsia="Arial Narrow" w:hAnsi="Times New Roman" w:cs="Times New Roman"/>
          <w:i w:val="0"/>
          <w:color w:val="000000" w:themeColor="text1"/>
        </w:rPr>
        <w:t xml:space="preserve"> «Независимо от всех предыдущих работ Ф.В. Токаревым по его собственной инициативе и без заказа и отпуска средств сконструирован легкий кара</w:t>
      </w:r>
      <w:r w:rsidRPr="00A259BD">
        <w:rPr>
          <w:rStyle w:val="aff5"/>
          <w:rFonts w:ascii="Times New Roman" w:eastAsia="Arial Narrow" w:hAnsi="Times New Roman" w:cs="Times New Roman"/>
          <w:i w:val="0"/>
          <w:color w:val="000000" w:themeColor="text1"/>
        </w:rPr>
        <w:softHyphen/>
        <w:t xml:space="preserve">бин под револьверный </w:t>
      </w:r>
      <w:proofErr w:type="spellStart"/>
      <w:r w:rsidRPr="00A259BD">
        <w:rPr>
          <w:rStyle w:val="aff5"/>
          <w:rFonts w:ascii="Times New Roman" w:eastAsia="Arial Narrow" w:hAnsi="Times New Roman" w:cs="Times New Roman"/>
          <w:i w:val="0"/>
          <w:color w:val="000000" w:themeColor="text1"/>
        </w:rPr>
        <w:t>нагановский</w:t>
      </w:r>
      <w:proofErr w:type="spellEnd"/>
      <w:r w:rsidRPr="00A259BD">
        <w:rPr>
          <w:rStyle w:val="aff5"/>
          <w:rFonts w:ascii="Times New Roman" w:eastAsia="Arial Narrow" w:hAnsi="Times New Roman" w:cs="Times New Roman"/>
          <w:i w:val="0"/>
          <w:color w:val="000000" w:themeColor="text1"/>
        </w:rPr>
        <w:t xml:space="preserve"> патрон» (15766).</w:t>
      </w:r>
    </w:p>
    <w:p w14:paraId="33C0DDE3" w14:textId="77777777" w:rsidR="00F14B42" w:rsidRPr="00A259BD" w:rsidRDefault="00F14B42" w:rsidP="009236E3">
      <w:pPr>
        <w:spacing w:after="0" w:line="240" w:lineRule="auto"/>
        <w:jc w:val="both"/>
        <w:rPr>
          <w:rStyle w:val="aff5"/>
          <w:rFonts w:ascii="Times New Roman" w:eastAsia="Arial Narrow" w:hAnsi="Times New Roman" w:cs="Times New Roman"/>
          <w:i w:val="0"/>
          <w:color w:val="000000" w:themeColor="text1"/>
        </w:rPr>
      </w:pPr>
    </w:p>
    <w:p w14:paraId="090D280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8C66BB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1F22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сентября 1929, после тщательного осмотра самолета и мотора, АИР-3 вылетел в Крым для обслуживания шестых Всесоюзных планерных состязаний. Несмотря на чрезвычайно неблагоприятные встречные и боковые ветры, летчик Д. А. Кошиц и механик Б. Н. Подлесный прошли 1420 км за 10 часов 51 минуту летного времени, с одной посадкой в Запорожье, и 30 сентября АИР-3 прибыл в Коктебель в полном порядке.</w:t>
      </w:r>
    </w:p>
    <w:p w14:paraId="786912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планерных состязаниях авиетке пришлось выполнять самую разнообразную работу: связь с Севастополем, полеты для тарировки барографов, поиски улетевших далеко планеров и т. д. Аэродромные условия были очень скверные - приходилось подниматься со свежевспаханной земли, в которую глубоко проваливались небольшие и узкие колеса АИР-3, поэтому каждый полет сопровождался риском капотирования (опрокидывания вперед). Это обстоятельство усугублялось тем, что из-за отсутствия запасов бензина на горе Клементьева самолету приходилось весь бензин держать в собственных баках и взлетать с 14-часовым запасом, время от времени пополняя баки в Севастополе.</w:t>
      </w:r>
    </w:p>
    <w:p w14:paraId="71EA31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Кошица, летали Юмашев и другие. Старший летчик НИИ ВВС А. Б. Юмашев проделал на АИР-3 ряд фигур высшего пилотажа - развороты, горки с виражами, перевороты, мертвые петли, иммельман, глубокие виражи, скольжения, причем все фигуры машина выполняла очень хорошо и легко. Юмашев отмечал прекрасную устойчивость самолета, отсутствие тенденции к переходу в штопор, а управляемость сравнивал с управляемостью истребителя.</w:t>
      </w:r>
    </w:p>
    <w:p w14:paraId="40693D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Тот же Юмашев, возвращаясь на АИР-3 поздно вечером из Севастополя с полными баками, налетел в темноте при посадке на горе Клементьева на валун и сломал опору шасси. Шасси быстро отремонтировали, но из-за отсутствия стальных труб и автогенной сварки приспособили водопроводную трубу на олове.</w:t>
      </w:r>
    </w:p>
    <w:p w14:paraId="2063A0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закрытия состязаний АИР-3 перелетел в Севастополь и уже оттуда 27 октября отправился в обратный путь (11981).</w:t>
      </w:r>
    </w:p>
    <w:p w14:paraId="290B83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4B3844" w14:textId="77777777" w:rsidR="008A3C0F" w:rsidRPr="00A259BD" w:rsidRDefault="008A3C0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сентября 1929 года после короткого судебного разбирательства был оглашен приговор. Все осужденные получили различные сроки заключения с отбыванием наказания в концлагере (21481).</w:t>
      </w:r>
    </w:p>
    <w:p w14:paraId="70BA5B7F" w14:textId="77777777" w:rsidR="008A3C0F" w:rsidRPr="00A259BD" w:rsidRDefault="008A3C0F" w:rsidP="009236E3">
      <w:pPr>
        <w:spacing w:after="0" w:line="240" w:lineRule="auto"/>
        <w:jc w:val="both"/>
        <w:rPr>
          <w:rFonts w:ascii="Times New Roman" w:hAnsi="Times New Roman"/>
          <w:color w:val="000000" w:themeColor="text1"/>
          <w:sz w:val="16"/>
          <w:szCs w:val="16"/>
        </w:rPr>
      </w:pPr>
    </w:p>
    <w:p w14:paraId="71B5EE37" w14:textId="77777777" w:rsidR="00AF21DF" w:rsidRPr="006B74EB" w:rsidRDefault="00AF21DF" w:rsidP="00AF21DF">
      <w:pPr>
        <w:spacing w:after="0" w:line="240" w:lineRule="auto"/>
        <w:jc w:val="both"/>
        <w:rPr>
          <w:rFonts w:ascii="Times New Roman" w:hAnsi="Times New Roman"/>
          <w:color w:val="0070C0"/>
          <w:sz w:val="16"/>
          <w:szCs w:val="16"/>
        </w:rPr>
      </w:pPr>
      <w:r>
        <w:rPr>
          <w:rFonts w:ascii="Times New Roman" w:hAnsi="Times New Roman"/>
          <w:color w:val="0070C0"/>
          <w:sz w:val="16"/>
          <w:szCs w:val="16"/>
        </w:rPr>
        <w:t>29 сентяб</w:t>
      </w:r>
      <w:r w:rsidRPr="006B74EB">
        <w:rPr>
          <w:rFonts w:ascii="Times New Roman" w:hAnsi="Times New Roman"/>
          <w:color w:val="0070C0"/>
          <w:sz w:val="16"/>
          <w:szCs w:val="16"/>
        </w:rPr>
        <w:t xml:space="preserve">ря </w:t>
      </w:r>
      <w:r>
        <w:rPr>
          <w:rFonts w:ascii="Times New Roman" w:hAnsi="Times New Roman"/>
          <w:color w:val="0070C0"/>
          <w:sz w:val="16"/>
          <w:szCs w:val="16"/>
        </w:rPr>
        <w:t>1929 г</w:t>
      </w:r>
      <w:r w:rsidRPr="006B74EB">
        <w:rPr>
          <w:rFonts w:ascii="Times New Roman" w:hAnsi="Times New Roman"/>
          <w:color w:val="0070C0"/>
          <w:sz w:val="16"/>
          <w:szCs w:val="16"/>
        </w:rPr>
        <w:t>.</w:t>
      </w:r>
      <w:r>
        <w:rPr>
          <w:rFonts w:ascii="Times New Roman" w:hAnsi="Times New Roman"/>
          <w:color w:val="0070C0"/>
          <w:sz w:val="16"/>
          <w:szCs w:val="16"/>
        </w:rPr>
        <w:t xml:space="preserve"> ф</w:t>
      </w:r>
      <w:r w:rsidRPr="006B74EB">
        <w:rPr>
          <w:rFonts w:ascii="Times New Roman" w:hAnsi="Times New Roman"/>
          <w:color w:val="0070C0"/>
          <w:sz w:val="16"/>
          <w:szCs w:val="16"/>
        </w:rPr>
        <w:t xml:space="preserve">ранцузские летчики Кост к </w:t>
      </w:r>
      <w:proofErr w:type="spellStart"/>
      <w:r w:rsidRPr="006B74EB">
        <w:rPr>
          <w:rFonts w:ascii="Times New Roman" w:hAnsi="Times New Roman"/>
          <w:color w:val="0070C0"/>
          <w:sz w:val="16"/>
          <w:szCs w:val="16"/>
        </w:rPr>
        <w:t>Белло</w:t>
      </w:r>
      <w:r>
        <w:rPr>
          <w:rFonts w:ascii="Times New Roman" w:hAnsi="Times New Roman"/>
          <w:color w:val="0070C0"/>
          <w:sz w:val="16"/>
          <w:szCs w:val="16"/>
        </w:rPr>
        <w:t>н</w:t>
      </w:r>
      <w:r w:rsidRPr="006B74EB">
        <w:rPr>
          <w:rFonts w:ascii="Times New Roman" w:hAnsi="Times New Roman"/>
          <w:color w:val="0070C0"/>
          <w:sz w:val="16"/>
          <w:szCs w:val="16"/>
        </w:rPr>
        <w:t>т</w:t>
      </w:r>
      <w:proofErr w:type="spellEnd"/>
      <w:r w:rsidRPr="006B74EB">
        <w:rPr>
          <w:rFonts w:ascii="Times New Roman" w:hAnsi="Times New Roman"/>
          <w:color w:val="0070C0"/>
          <w:sz w:val="16"/>
          <w:szCs w:val="16"/>
        </w:rPr>
        <w:t xml:space="preserve"> во время своего </w:t>
      </w:r>
      <w:r>
        <w:rPr>
          <w:rFonts w:ascii="Times New Roman" w:hAnsi="Times New Roman"/>
          <w:color w:val="0070C0"/>
          <w:sz w:val="16"/>
          <w:szCs w:val="16"/>
        </w:rPr>
        <w:t xml:space="preserve">перелета </w:t>
      </w:r>
      <w:r w:rsidRPr="006B74EB">
        <w:rPr>
          <w:rFonts w:ascii="Times New Roman" w:hAnsi="Times New Roman"/>
          <w:color w:val="0070C0"/>
          <w:sz w:val="16"/>
          <w:szCs w:val="16"/>
        </w:rPr>
        <w:t>на побитие мирового рекорда дальности по прямой нарушили</w:t>
      </w:r>
      <w:r>
        <w:rPr>
          <w:rFonts w:ascii="Times New Roman" w:hAnsi="Times New Roman"/>
          <w:color w:val="0070C0"/>
          <w:sz w:val="16"/>
          <w:szCs w:val="16"/>
        </w:rPr>
        <w:t xml:space="preserve"> Советско</w:t>
      </w:r>
      <w:r w:rsidRPr="006B74EB">
        <w:rPr>
          <w:rFonts w:ascii="Times New Roman" w:hAnsi="Times New Roman"/>
          <w:color w:val="0070C0"/>
          <w:sz w:val="16"/>
          <w:szCs w:val="16"/>
        </w:rPr>
        <w:t>-Китай</w:t>
      </w:r>
      <w:r>
        <w:rPr>
          <w:rFonts w:ascii="Times New Roman" w:hAnsi="Times New Roman"/>
          <w:color w:val="0070C0"/>
          <w:sz w:val="16"/>
          <w:szCs w:val="16"/>
        </w:rPr>
        <w:t>с</w:t>
      </w:r>
      <w:r w:rsidRPr="006B74EB">
        <w:rPr>
          <w:rFonts w:ascii="Times New Roman" w:hAnsi="Times New Roman"/>
          <w:color w:val="0070C0"/>
          <w:sz w:val="16"/>
          <w:szCs w:val="16"/>
        </w:rPr>
        <w:t>кую границу,</w:t>
      </w:r>
      <w:r>
        <w:rPr>
          <w:rFonts w:ascii="Times New Roman" w:hAnsi="Times New Roman"/>
          <w:color w:val="0070C0"/>
          <w:sz w:val="16"/>
          <w:szCs w:val="16"/>
        </w:rPr>
        <w:t xml:space="preserve"> </w:t>
      </w:r>
      <w:r w:rsidRPr="006B74EB">
        <w:rPr>
          <w:rFonts w:ascii="Times New Roman" w:hAnsi="Times New Roman"/>
          <w:color w:val="0070C0"/>
          <w:sz w:val="16"/>
          <w:szCs w:val="16"/>
        </w:rPr>
        <w:t>пролетев обманным путем дальше Иркут</w:t>
      </w:r>
      <w:r>
        <w:rPr>
          <w:rFonts w:ascii="Times New Roman" w:hAnsi="Times New Roman"/>
          <w:color w:val="0070C0"/>
          <w:sz w:val="16"/>
          <w:szCs w:val="16"/>
        </w:rPr>
        <w:t>ска, д</w:t>
      </w:r>
      <w:r w:rsidRPr="006B74EB">
        <w:rPr>
          <w:rFonts w:ascii="Times New Roman" w:hAnsi="Times New Roman"/>
          <w:color w:val="0070C0"/>
          <w:sz w:val="16"/>
          <w:szCs w:val="16"/>
        </w:rPr>
        <w:t>о которого нм б</w:t>
      </w:r>
      <w:r>
        <w:rPr>
          <w:rFonts w:ascii="Times New Roman" w:hAnsi="Times New Roman"/>
          <w:color w:val="0070C0"/>
          <w:sz w:val="16"/>
          <w:szCs w:val="16"/>
        </w:rPr>
        <w:t>ы</w:t>
      </w:r>
      <w:r w:rsidRPr="006B74EB">
        <w:rPr>
          <w:rFonts w:ascii="Times New Roman" w:hAnsi="Times New Roman"/>
          <w:color w:val="0070C0"/>
          <w:sz w:val="16"/>
          <w:szCs w:val="16"/>
        </w:rPr>
        <w:t>ло д</w:t>
      </w:r>
      <w:r>
        <w:rPr>
          <w:rFonts w:ascii="Times New Roman" w:hAnsi="Times New Roman"/>
          <w:color w:val="0070C0"/>
          <w:sz w:val="16"/>
          <w:szCs w:val="16"/>
        </w:rPr>
        <w:t>ан</w:t>
      </w:r>
      <w:r w:rsidRPr="006B74EB">
        <w:rPr>
          <w:rFonts w:ascii="Times New Roman" w:hAnsi="Times New Roman"/>
          <w:color w:val="0070C0"/>
          <w:sz w:val="16"/>
          <w:szCs w:val="16"/>
        </w:rPr>
        <w:t>о разрешение.</w:t>
      </w:r>
      <w:r>
        <w:rPr>
          <w:rFonts w:ascii="Times New Roman" w:hAnsi="Times New Roman"/>
          <w:color w:val="0070C0"/>
          <w:sz w:val="16"/>
          <w:szCs w:val="16"/>
        </w:rPr>
        <w:t xml:space="preserve"> Ф</w:t>
      </w:r>
      <w:r w:rsidRPr="006B74EB">
        <w:rPr>
          <w:rFonts w:ascii="Times New Roman" w:hAnsi="Times New Roman"/>
          <w:color w:val="0070C0"/>
          <w:sz w:val="16"/>
          <w:szCs w:val="16"/>
        </w:rPr>
        <w:t>ранцуз</w:t>
      </w:r>
      <w:r>
        <w:rPr>
          <w:rFonts w:ascii="Times New Roman" w:hAnsi="Times New Roman"/>
          <w:color w:val="0070C0"/>
          <w:sz w:val="16"/>
          <w:szCs w:val="16"/>
        </w:rPr>
        <w:t>ы</w:t>
      </w:r>
      <w:r w:rsidRPr="006B74EB">
        <w:rPr>
          <w:rFonts w:ascii="Times New Roman" w:hAnsi="Times New Roman"/>
          <w:color w:val="0070C0"/>
          <w:sz w:val="16"/>
          <w:szCs w:val="16"/>
        </w:rPr>
        <w:t xml:space="preserve"> пролетели </w:t>
      </w:r>
      <w:r>
        <w:rPr>
          <w:rFonts w:ascii="Times New Roman" w:hAnsi="Times New Roman"/>
          <w:color w:val="0070C0"/>
          <w:sz w:val="16"/>
          <w:szCs w:val="16"/>
        </w:rPr>
        <w:t>на</w:t>
      </w:r>
      <w:r w:rsidRPr="006B74EB">
        <w:rPr>
          <w:rFonts w:ascii="Times New Roman" w:hAnsi="Times New Roman"/>
          <w:color w:val="0070C0"/>
          <w:sz w:val="16"/>
          <w:szCs w:val="16"/>
        </w:rPr>
        <w:t>д за</w:t>
      </w:r>
      <w:r>
        <w:rPr>
          <w:rFonts w:ascii="Times New Roman" w:hAnsi="Times New Roman"/>
          <w:color w:val="0070C0"/>
          <w:sz w:val="16"/>
          <w:szCs w:val="16"/>
        </w:rPr>
        <w:t>претной</w:t>
      </w:r>
      <w:r w:rsidRPr="006B74EB">
        <w:rPr>
          <w:rFonts w:ascii="Times New Roman" w:hAnsi="Times New Roman"/>
          <w:color w:val="0070C0"/>
          <w:sz w:val="16"/>
          <w:szCs w:val="16"/>
        </w:rPr>
        <w:t xml:space="preserve"> зоной - районом расположения Особой Дальне-Восточной ар</w:t>
      </w:r>
      <w:r>
        <w:rPr>
          <w:rFonts w:ascii="Times New Roman" w:hAnsi="Times New Roman"/>
          <w:color w:val="0070C0"/>
          <w:sz w:val="16"/>
          <w:szCs w:val="16"/>
        </w:rPr>
        <w:t xml:space="preserve">мии и </w:t>
      </w:r>
      <w:r w:rsidRPr="006B74EB">
        <w:rPr>
          <w:rFonts w:ascii="Times New Roman" w:hAnsi="Times New Roman"/>
          <w:color w:val="0070C0"/>
          <w:sz w:val="16"/>
          <w:szCs w:val="16"/>
        </w:rPr>
        <w:t xml:space="preserve">приземлились в </w:t>
      </w:r>
      <w:proofErr w:type="spellStart"/>
      <w:r>
        <w:rPr>
          <w:rFonts w:ascii="Times New Roman" w:hAnsi="Times New Roman"/>
          <w:color w:val="0070C0"/>
          <w:sz w:val="16"/>
          <w:szCs w:val="16"/>
        </w:rPr>
        <w:t>Ци</w:t>
      </w:r>
      <w:r w:rsidRPr="006B74EB">
        <w:rPr>
          <w:rFonts w:ascii="Times New Roman" w:hAnsi="Times New Roman"/>
          <w:color w:val="0070C0"/>
          <w:sz w:val="16"/>
          <w:szCs w:val="16"/>
        </w:rPr>
        <w:t>цикаре</w:t>
      </w:r>
      <w:proofErr w:type="spellEnd"/>
      <w:r w:rsidRPr="006B74EB">
        <w:rPr>
          <w:rFonts w:ascii="Times New Roman" w:hAnsi="Times New Roman"/>
          <w:color w:val="0070C0"/>
          <w:sz w:val="16"/>
          <w:szCs w:val="16"/>
        </w:rPr>
        <w:t xml:space="preserve"> /</w:t>
      </w:r>
      <w:r>
        <w:rPr>
          <w:rFonts w:ascii="Times New Roman" w:hAnsi="Times New Roman"/>
          <w:color w:val="0070C0"/>
          <w:sz w:val="16"/>
          <w:szCs w:val="16"/>
        </w:rPr>
        <w:t>М</w:t>
      </w:r>
      <w:r w:rsidRPr="006B74EB">
        <w:rPr>
          <w:rFonts w:ascii="Times New Roman" w:hAnsi="Times New Roman"/>
          <w:color w:val="0070C0"/>
          <w:sz w:val="16"/>
          <w:szCs w:val="16"/>
        </w:rPr>
        <w:t>анч</w:t>
      </w:r>
      <w:r>
        <w:rPr>
          <w:rFonts w:ascii="Times New Roman" w:hAnsi="Times New Roman"/>
          <w:color w:val="0070C0"/>
          <w:sz w:val="16"/>
          <w:szCs w:val="16"/>
        </w:rPr>
        <w:t>ж</w:t>
      </w:r>
      <w:r w:rsidRPr="006B74EB">
        <w:rPr>
          <w:rFonts w:ascii="Times New Roman" w:hAnsi="Times New Roman"/>
          <w:color w:val="0070C0"/>
          <w:sz w:val="16"/>
          <w:szCs w:val="16"/>
        </w:rPr>
        <w:t>урия</w:t>
      </w:r>
      <w:r>
        <w:rPr>
          <w:rFonts w:ascii="Times New Roman" w:hAnsi="Times New Roman"/>
          <w:color w:val="0070C0"/>
          <w:sz w:val="16"/>
          <w:szCs w:val="16"/>
        </w:rPr>
        <w:t>/</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Обман был совер</w:t>
      </w:r>
      <w:r>
        <w:rPr>
          <w:rFonts w:ascii="Times New Roman" w:hAnsi="Times New Roman"/>
          <w:color w:val="0070C0"/>
          <w:sz w:val="16"/>
          <w:szCs w:val="16"/>
        </w:rPr>
        <w:t>шен с</w:t>
      </w:r>
      <w:r w:rsidRPr="006B74EB">
        <w:rPr>
          <w:rFonts w:ascii="Times New Roman" w:hAnsi="Times New Roman"/>
          <w:color w:val="0070C0"/>
          <w:sz w:val="16"/>
          <w:szCs w:val="16"/>
        </w:rPr>
        <w:t xml:space="preserve"> за</w:t>
      </w:r>
      <w:r>
        <w:rPr>
          <w:rFonts w:ascii="Times New Roman" w:hAnsi="Times New Roman"/>
          <w:color w:val="0070C0"/>
          <w:sz w:val="16"/>
          <w:szCs w:val="16"/>
        </w:rPr>
        <w:t>ранее</w:t>
      </w:r>
      <w:r w:rsidRPr="006B74EB">
        <w:rPr>
          <w:rFonts w:ascii="Times New Roman" w:hAnsi="Times New Roman"/>
          <w:color w:val="0070C0"/>
          <w:sz w:val="16"/>
          <w:szCs w:val="16"/>
        </w:rPr>
        <w:t xml:space="preserve"> обдуманным намерением.</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В 1927 году Косту во время </w:t>
      </w:r>
      <w:r>
        <w:rPr>
          <w:rFonts w:ascii="Times New Roman" w:hAnsi="Times New Roman"/>
          <w:color w:val="0070C0"/>
          <w:sz w:val="16"/>
          <w:szCs w:val="16"/>
        </w:rPr>
        <w:t>е</w:t>
      </w:r>
      <w:r w:rsidRPr="006B74EB">
        <w:rPr>
          <w:rFonts w:ascii="Times New Roman" w:hAnsi="Times New Roman"/>
          <w:color w:val="0070C0"/>
          <w:sz w:val="16"/>
          <w:szCs w:val="16"/>
        </w:rPr>
        <w:t xml:space="preserve">го </w:t>
      </w:r>
      <w:r>
        <w:rPr>
          <w:rFonts w:ascii="Times New Roman" w:hAnsi="Times New Roman"/>
          <w:color w:val="0070C0"/>
          <w:sz w:val="16"/>
          <w:szCs w:val="16"/>
        </w:rPr>
        <w:t>н</w:t>
      </w:r>
      <w:r w:rsidRPr="006B74EB">
        <w:rPr>
          <w:rFonts w:ascii="Times New Roman" w:hAnsi="Times New Roman"/>
          <w:color w:val="0070C0"/>
          <w:sz w:val="16"/>
          <w:szCs w:val="16"/>
        </w:rPr>
        <w:t>еуда</w:t>
      </w:r>
      <w:r>
        <w:rPr>
          <w:rFonts w:ascii="Times New Roman" w:hAnsi="Times New Roman"/>
          <w:color w:val="0070C0"/>
          <w:sz w:val="16"/>
          <w:szCs w:val="16"/>
        </w:rPr>
        <w:t>чного</w:t>
      </w:r>
      <w:r w:rsidRPr="006B74EB">
        <w:rPr>
          <w:rFonts w:ascii="Times New Roman" w:hAnsi="Times New Roman"/>
          <w:color w:val="0070C0"/>
          <w:sz w:val="16"/>
          <w:szCs w:val="16"/>
        </w:rPr>
        <w:t xml:space="preserve"> полета по СССР было оказано гостеприимство</w:t>
      </w:r>
      <w:r>
        <w:rPr>
          <w:rFonts w:ascii="Times New Roman" w:hAnsi="Times New Roman"/>
          <w:color w:val="0070C0"/>
          <w:sz w:val="16"/>
          <w:szCs w:val="16"/>
        </w:rPr>
        <w:t>, на</w:t>
      </w:r>
      <w:r w:rsidRPr="006B74EB">
        <w:rPr>
          <w:rFonts w:ascii="Times New Roman" w:hAnsi="Times New Roman"/>
          <w:color w:val="0070C0"/>
          <w:sz w:val="16"/>
          <w:szCs w:val="16"/>
        </w:rPr>
        <w:t xml:space="preserve"> котор</w:t>
      </w:r>
      <w:r>
        <w:rPr>
          <w:rFonts w:ascii="Times New Roman" w:hAnsi="Times New Roman"/>
          <w:color w:val="0070C0"/>
          <w:sz w:val="16"/>
          <w:szCs w:val="16"/>
        </w:rPr>
        <w:t xml:space="preserve">ое </w:t>
      </w:r>
      <w:r w:rsidRPr="006B74EB">
        <w:rPr>
          <w:rFonts w:ascii="Times New Roman" w:hAnsi="Times New Roman"/>
          <w:color w:val="0070C0"/>
          <w:sz w:val="16"/>
          <w:szCs w:val="16"/>
        </w:rPr>
        <w:t xml:space="preserve">он теперь ответил </w:t>
      </w:r>
      <w:proofErr w:type="spellStart"/>
      <w:r w:rsidRPr="006B74EB">
        <w:rPr>
          <w:rFonts w:ascii="Times New Roman" w:hAnsi="Times New Roman"/>
          <w:color w:val="0070C0"/>
          <w:sz w:val="16"/>
          <w:szCs w:val="16"/>
        </w:rPr>
        <w:t>неблагодарисстью</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w:t>
      </w:r>
      <w:proofErr w:type="spellStart"/>
      <w:r w:rsidRPr="006B74EB">
        <w:rPr>
          <w:rFonts w:ascii="Times New Roman" w:hAnsi="Times New Roman"/>
          <w:color w:val="0070C0"/>
          <w:sz w:val="16"/>
          <w:szCs w:val="16"/>
        </w:rPr>
        <w:t>Осоааиахии</w:t>
      </w:r>
      <w:proofErr w:type="spellEnd"/>
      <w:r w:rsidRPr="006B74EB">
        <w:rPr>
          <w:rFonts w:ascii="Times New Roman" w:hAnsi="Times New Roman"/>
          <w:color w:val="0070C0"/>
          <w:sz w:val="16"/>
          <w:szCs w:val="16"/>
        </w:rPr>
        <w:t xml:space="preserve"> выразил протест </w:t>
      </w:r>
      <w:r>
        <w:rPr>
          <w:rFonts w:ascii="Times New Roman" w:hAnsi="Times New Roman"/>
          <w:color w:val="0070C0"/>
          <w:sz w:val="16"/>
          <w:szCs w:val="16"/>
        </w:rPr>
        <w:t>против</w:t>
      </w:r>
      <w:r w:rsidRPr="006B74EB">
        <w:rPr>
          <w:rFonts w:ascii="Times New Roman" w:hAnsi="Times New Roman"/>
          <w:color w:val="0070C0"/>
          <w:sz w:val="16"/>
          <w:szCs w:val="16"/>
        </w:rPr>
        <w:t xml:space="preserve"> обманных действий Французских летчиков.</w:t>
      </w:r>
    </w:p>
    <w:p w14:paraId="6B80B17C" w14:textId="77777777" w:rsidR="00AF21DF" w:rsidRDefault="00AF21DF" w:rsidP="00AF21DF">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w:t>
      </w:r>
      <w:r>
        <w:rPr>
          <w:rFonts w:ascii="Times New Roman" w:hAnsi="Times New Roman"/>
          <w:color w:val="0070C0"/>
          <w:sz w:val="16"/>
          <w:szCs w:val="16"/>
        </w:rPr>
        <w:t>ВВФ, 1930, № 1</w:t>
      </w:r>
      <w:r w:rsidRPr="006B74EB">
        <w:rPr>
          <w:rFonts w:ascii="Times New Roman" w:hAnsi="Times New Roman"/>
          <w:color w:val="0070C0"/>
          <w:sz w:val="16"/>
          <w:szCs w:val="16"/>
        </w:rPr>
        <w:t>/</w:t>
      </w:r>
      <w:r>
        <w:rPr>
          <w:rFonts w:ascii="Times New Roman" w:hAnsi="Times New Roman"/>
          <w:color w:val="0070C0"/>
          <w:sz w:val="16"/>
          <w:szCs w:val="16"/>
        </w:rPr>
        <w:t xml:space="preserve"> (23370).</w:t>
      </w:r>
    </w:p>
    <w:p w14:paraId="4325C57A" w14:textId="77777777" w:rsidR="00AF21DF" w:rsidRPr="006B74EB" w:rsidRDefault="00AF21DF" w:rsidP="00AF21DF">
      <w:pPr>
        <w:spacing w:after="0" w:line="240" w:lineRule="auto"/>
        <w:jc w:val="both"/>
        <w:rPr>
          <w:rFonts w:ascii="Times New Roman" w:hAnsi="Times New Roman"/>
          <w:color w:val="0070C0"/>
          <w:sz w:val="16"/>
          <w:szCs w:val="16"/>
        </w:rPr>
      </w:pPr>
    </w:p>
    <w:p w14:paraId="39CC008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23DFA1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EB008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сентября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76) и обсуждали вопросы бухгалтерии, о снабжении завода 26 и др. (2367,9).</w:t>
      </w:r>
    </w:p>
    <w:p w14:paraId="42361B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D79047" w14:textId="77777777" w:rsidR="00F14B42" w:rsidRPr="00A259BD" w:rsidRDefault="00F14B42"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 xml:space="preserve">30 сентября </w:t>
      </w:r>
      <w:r w:rsidRPr="00A259BD">
        <w:rPr>
          <w:rFonts w:ascii="Times New Roman" w:hAnsi="Times New Roman"/>
          <w:color w:val="000000" w:themeColor="text1"/>
          <w:sz w:val="16"/>
          <w:szCs w:val="16"/>
        </w:rPr>
        <w:t>в 1929 году на базе секретных курсов подготовки германских летчиков в Липецке (СССР) немецкий инженер Фриц фон Опель (внук знаменитого Адама Опеля) совершил первый полёт на специально сконструированном планере, оснащённом пороховым ракетным стартовым ускорителем. Полёт продолжался 10 минут, планер пролетел 1800 м и развил скорость 160 км/ч (14785).</w:t>
      </w:r>
    </w:p>
    <w:p w14:paraId="58C6C6F6" w14:textId="77777777" w:rsidR="00F14B42" w:rsidRPr="00A259BD" w:rsidRDefault="00F14B42" w:rsidP="009236E3">
      <w:pPr>
        <w:spacing w:after="0" w:line="240" w:lineRule="auto"/>
        <w:jc w:val="both"/>
        <w:rPr>
          <w:rFonts w:ascii="Times New Roman" w:hAnsi="Times New Roman"/>
          <w:color w:val="000000" w:themeColor="text1"/>
          <w:sz w:val="16"/>
          <w:szCs w:val="16"/>
        </w:rPr>
      </w:pPr>
    </w:p>
    <w:p w14:paraId="5CCBBD08" w14:textId="77777777" w:rsidR="00F14B42"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F1FCACE" w14:textId="77777777" w:rsidR="00F14B42" w:rsidRPr="00A259BD" w:rsidRDefault="00F14B4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B3EDB8" w14:textId="77777777" w:rsidR="00F14B42" w:rsidRPr="00A259BD" w:rsidRDefault="00F14B42"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сентября 1929 на Макеевском металлургическом заводе задута самая мощная в СССР домна (4962).</w:t>
      </w:r>
    </w:p>
    <w:p w14:paraId="7EB37E1D" w14:textId="77777777" w:rsidR="00F14B42" w:rsidRPr="00A259BD" w:rsidRDefault="00F14B42"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FA094F" w14:textId="77777777" w:rsidR="00F14B42" w:rsidRPr="00A259BD" w:rsidRDefault="00F14B42"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 xml:space="preserve">30 сентября </w:t>
      </w:r>
      <w:r w:rsidRPr="00A259BD">
        <w:rPr>
          <w:rFonts w:ascii="Times New Roman" w:hAnsi="Times New Roman"/>
          <w:color w:val="000000" w:themeColor="text1"/>
          <w:sz w:val="16"/>
          <w:szCs w:val="16"/>
        </w:rPr>
        <w:t>в 1929 году в Донбассе на Макеевском металлургическом заводе имени Кирова была пущена самая мощная в СССР полностью механизированная печь (14785).</w:t>
      </w:r>
    </w:p>
    <w:p w14:paraId="0143EF66" w14:textId="77777777" w:rsidR="00F14B42" w:rsidRPr="00A259BD" w:rsidRDefault="00F14B42" w:rsidP="009236E3">
      <w:pPr>
        <w:spacing w:after="0" w:line="240" w:lineRule="auto"/>
        <w:jc w:val="both"/>
        <w:rPr>
          <w:rFonts w:ascii="Times New Roman" w:hAnsi="Times New Roman"/>
          <w:color w:val="000000" w:themeColor="text1"/>
          <w:sz w:val="16"/>
          <w:szCs w:val="16"/>
        </w:rPr>
      </w:pPr>
    </w:p>
    <w:p w14:paraId="2643CB69"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11DF4D3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EA1322C" w14:textId="77777777" w:rsidR="00F14B42" w:rsidRPr="00A259BD" w:rsidRDefault="00F14B42"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lastRenderedPageBreak/>
        <w:t xml:space="preserve">30 сентября </w:t>
      </w:r>
      <w:r w:rsidRPr="00A259BD">
        <w:rPr>
          <w:rFonts w:ascii="Times New Roman" w:hAnsi="Times New Roman"/>
          <w:color w:val="000000" w:themeColor="text1"/>
          <w:sz w:val="16"/>
          <w:szCs w:val="16"/>
        </w:rPr>
        <w:t>в 1929 году писатель Евгений Замятин направил письмо председателю Совнаркома Алексею Рыкову. Замятин отмечал: "В Англии я видел такое развлечение: негр из окна будочки высунул голову, все время вертит ею, а публика издали швыряет в него мячами - по одному пенсу за мяч. В последние восемь лет я состою в должности такого негра для советской прессы". Ему разрешили покинуть родину лишь три года спустя (14785).</w:t>
      </w:r>
    </w:p>
    <w:p w14:paraId="490E8A41" w14:textId="77777777" w:rsidR="00F14B42" w:rsidRPr="00A259BD" w:rsidRDefault="00F14B42" w:rsidP="009236E3">
      <w:pPr>
        <w:spacing w:after="0" w:line="240" w:lineRule="auto"/>
        <w:jc w:val="both"/>
        <w:rPr>
          <w:rFonts w:ascii="Times New Roman" w:hAnsi="Times New Roman"/>
          <w:color w:val="000000" w:themeColor="text1"/>
          <w:sz w:val="16"/>
          <w:szCs w:val="16"/>
        </w:rPr>
      </w:pPr>
    </w:p>
    <w:p w14:paraId="4DDAADB0" w14:textId="77777777" w:rsidR="00051DBD" w:rsidRPr="00A259BD" w:rsidRDefault="00051DB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сентября 1929. Опубликованы результаты переписи в Москве неграмотных и малограмотных, которых насчитали 110 тысяч человек (18724).</w:t>
      </w:r>
    </w:p>
    <w:p w14:paraId="59461D1E" w14:textId="77777777" w:rsidR="00051DBD" w:rsidRPr="00A259BD" w:rsidRDefault="00051DBD" w:rsidP="009236E3">
      <w:pPr>
        <w:spacing w:after="0" w:line="240" w:lineRule="auto"/>
        <w:jc w:val="both"/>
        <w:rPr>
          <w:rFonts w:ascii="Times New Roman" w:hAnsi="Times New Roman"/>
          <w:color w:val="000000" w:themeColor="text1"/>
          <w:sz w:val="16"/>
          <w:szCs w:val="16"/>
        </w:rPr>
      </w:pPr>
    </w:p>
    <w:p w14:paraId="71D7DC1D"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lang w:val="en-US"/>
        </w:rPr>
      </w:pPr>
      <w:r w:rsidRPr="00A259BD">
        <w:rPr>
          <w:rFonts w:ascii="Times New Roman" w:hAnsi="Times New Roman"/>
          <w:i/>
          <w:iCs/>
          <w:color w:val="000000" w:themeColor="text1"/>
          <w:sz w:val="16"/>
          <w:szCs w:val="16"/>
        </w:rPr>
        <w:t>За</w:t>
      </w:r>
      <w:r w:rsidRPr="00A259BD">
        <w:rPr>
          <w:rFonts w:ascii="Times New Roman" w:hAnsi="Times New Roman"/>
          <w:i/>
          <w:iCs/>
          <w:color w:val="000000" w:themeColor="text1"/>
          <w:sz w:val="16"/>
          <w:szCs w:val="16"/>
          <w:lang w:val="en-US"/>
        </w:rPr>
        <w:t xml:space="preserve"> </w:t>
      </w:r>
      <w:r w:rsidRPr="00A259BD">
        <w:rPr>
          <w:rFonts w:ascii="Times New Roman" w:hAnsi="Times New Roman"/>
          <w:i/>
          <w:iCs/>
          <w:color w:val="000000" w:themeColor="text1"/>
          <w:sz w:val="16"/>
          <w:szCs w:val="16"/>
        </w:rPr>
        <w:t>рубежом</w:t>
      </w:r>
      <w:r w:rsidRPr="00A259BD">
        <w:rPr>
          <w:rFonts w:ascii="Times New Roman" w:hAnsi="Times New Roman"/>
          <w:i/>
          <w:iCs/>
          <w:color w:val="000000" w:themeColor="text1"/>
          <w:sz w:val="16"/>
          <w:szCs w:val="16"/>
          <w:lang w:val="en-US"/>
        </w:rPr>
        <w:t>:</w:t>
      </w:r>
    </w:p>
    <w:p w14:paraId="01244B0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46DD569E" w14:textId="77777777" w:rsidR="008A3C0F" w:rsidRPr="00A259BD" w:rsidRDefault="008A3C0F" w:rsidP="009236E3">
      <w:pPr>
        <w:autoSpaceDE w:val="0"/>
        <w:autoSpaceDN w:val="0"/>
        <w:adjustRightInd w:val="0"/>
        <w:spacing w:after="0" w:line="240" w:lineRule="auto"/>
        <w:jc w:val="both"/>
        <w:rPr>
          <w:rFonts w:ascii="Times New Roman" w:hAnsi="Times New Roman"/>
          <w:color w:val="000000" w:themeColor="text1"/>
          <w:sz w:val="16"/>
          <w:szCs w:val="16"/>
          <w:lang w:val="en-US"/>
        </w:rPr>
      </w:pPr>
      <w:r w:rsidRPr="00A259BD">
        <w:rPr>
          <w:rFonts w:ascii="Times New Roman" w:hAnsi="Times New Roman"/>
          <w:color w:val="000000" w:themeColor="text1"/>
          <w:sz w:val="16"/>
          <w:szCs w:val="16"/>
          <w:lang w:val="en-US"/>
        </w:rPr>
        <w:t>September 30 1929 Opel Sander Rak. 1, a glider powered with 16 rockets of 50 pounds of thrust each, made successful flight of 75 seconds, covering almost 2 miles near Frankfort-am-Main, Germany, Von Opel as pilot (1038).</w:t>
      </w:r>
    </w:p>
    <w:p w14:paraId="3450C670" w14:textId="77777777" w:rsidR="008A3C0F" w:rsidRPr="00A259BD" w:rsidRDefault="008A3C0F" w:rsidP="009236E3">
      <w:pPr>
        <w:autoSpaceDE w:val="0"/>
        <w:autoSpaceDN w:val="0"/>
        <w:adjustRightInd w:val="0"/>
        <w:spacing w:after="0" w:line="240" w:lineRule="auto"/>
        <w:jc w:val="both"/>
        <w:rPr>
          <w:rFonts w:ascii="Times New Roman" w:hAnsi="Times New Roman"/>
          <w:color w:val="000000" w:themeColor="text1"/>
          <w:sz w:val="16"/>
          <w:szCs w:val="16"/>
          <w:lang w:val="en-US"/>
        </w:rPr>
      </w:pPr>
    </w:p>
    <w:p w14:paraId="19D984C4" w14:textId="77777777" w:rsidR="008A3C0F" w:rsidRPr="00A259BD" w:rsidRDefault="008A3C0F"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сентября 1929 в Германии ракетный планер Opel Sander </w:t>
      </w:r>
      <w:proofErr w:type="spellStart"/>
      <w:r w:rsidRPr="00A259BD">
        <w:rPr>
          <w:rFonts w:ascii="Times New Roman" w:hAnsi="Times New Roman"/>
          <w:color w:val="000000" w:themeColor="text1"/>
          <w:sz w:val="16"/>
          <w:szCs w:val="16"/>
        </w:rPr>
        <w:t>Rak</w:t>
      </w:r>
      <w:proofErr w:type="spellEnd"/>
      <w:r w:rsidRPr="00A259BD">
        <w:rPr>
          <w:rFonts w:ascii="Times New Roman" w:hAnsi="Times New Roman"/>
          <w:color w:val="000000" w:themeColor="text1"/>
          <w:sz w:val="16"/>
          <w:szCs w:val="16"/>
        </w:rPr>
        <w:t>. 1 выполнил полет в течение 75 секунд, покрыв 2 мили, пока не разбился (1038).</w:t>
      </w:r>
    </w:p>
    <w:p w14:paraId="48C71105" w14:textId="77777777" w:rsidR="008A3C0F" w:rsidRPr="00A259BD" w:rsidRDefault="008A3C0F" w:rsidP="009236E3">
      <w:pPr>
        <w:autoSpaceDE w:val="0"/>
        <w:autoSpaceDN w:val="0"/>
        <w:adjustRightInd w:val="0"/>
        <w:spacing w:after="0" w:line="240" w:lineRule="auto"/>
        <w:jc w:val="both"/>
        <w:rPr>
          <w:rFonts w:ascii="Times New Roman" w:hAnsi="Times New Roman"/>
          <w:color w:val="000000" w:themeColor="text1"/>
          <w:sz w:val="16"/>
          <w:szCs w:val="16"/>
        </w:rPr>
      </w:pPr>
    </w:p>
    <w:p w14:paraId="17E4C10A" w14:textId="77777777" w:rsidR="008A3C0F" w:rsidRPr="00A259BD" w:rsidRDefault="008A3C0F"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30 сентября 1929 фон Опель на новом летательном аппарате, на этот раз с хвостовым оперением на балках за крылом и с батареей из 16 последовательно воспламеняющихся пороховых ракет, совершил полёт, во время которого скорость достигла 160 км/ч (17489).</w:t>
      </w:r>
    </w:p>
    <w:p w14:paraId="3DCE5667" w14:textId="77777777" w:rsidR="008A3C0F" w:rsidRPr="00A259BD" w:rsidRDefault="008A3C0F" w:rsidP="009236E3">
      <w:pPr>
        <w:spacing w:after="0" w:line="240" w:lineRule="auto"/>
        <w:jc w:val="both"/>
        <w:rPr>
          <w:rFonts w:ascii="Times New Roman" w:eastAsia="Times New Roman" w:hAnsi="Times New Roman"/>
          <w:color w:val="000000" w:themeColor="text1"/>
          <w:sz w:val="16"/>
          <w:szCs w:val="16"/>
          <w:lang w:eastAsia="ru-RU"/>
        </w:rPr>
      </w:pPr>
    </w:p>
    <w:p w14:paraId="2D594D42" w14:textId="2FD588FB" w:rsidR="008A3C0F" w:rsidRPr="00A259BD" w:rsidRDefault="008A3C0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сентября 1929 Фриц фон Опель пилотирует реактивный самолет RAK. 1 во время 75- секундного полета на 1,6 км (0,99 мили) недалеко от Франкфурта-на-Майне, Германия (20806).</w:t>
      </w:r>
    </w:p>
    <w:p w14:paraId="55F59A7E" w14:textId="77777777" w:rsidR="008A3C0F" w:rsidRPr="00A259BD" w:rsidRDefault="008A3C0F" w:rsidP="009236E3">
      <w:pPr>
        <w:spacing w:after="0" w:line="240" w:lineRule="auto"/>
        <w:jc w:val="both"/>
        <w:rPr>
          <w:rFonts w:ascii="Times New Roman" w:hAnsi="Times New Roman"/>
          <w:color w:val="000000" w:themeColor="text1"/>
          <w:sz w:val="16"/>
          <w:szCs w:val="16"/>
        </w:rPr>
      </w:pPr>
    </w:p>
    <w:p w14:paraId="685F4D8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сентября 1929 английская служба Би-би-си впервые провела телетрансляцию (4962).</w:t>
      </w:r>
    </w:p>
    <w:p w14:paraId="2B2EACF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AC5C3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D5A8DC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5FE2F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сентября 1929 Пред.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Урываев писал письмо Пред. НК УВВС N 162/4 в котором Правление просило распоряжения о срочной высылке ТТ к МИ3 и МИЛ и отмечал, что ТТ к И6 и И7 были получены от НТК 21 сентября, т.к. проектирование </w:t>
      </w:r>
      <w:proofErr w:type="spellStart"/>
      <w:r w:rsidRPr="00A259BD">
        <w:rPr>
          <w:rFonts w:ascii="Times New Roman" w:hAnsi="Times New Roman"/>
          <w:color w:val="000000" w:themeColor="text1"/>
          <w:sz w:val="16"/>
          <w:szCs w:val="16"/>
        </w:rPr>
        <w:t>д.б</w:t>
      </w:r>
      <w:proofErr w:type="spellEnd"/>
      <w:r w:rsidRPr="00A259BD">
        <w:rPr>
          <w:rFonts w:ascii="Times New Roman" w:hAnsi="Times New Roman"/>
          <w:color w:val="000000" w:themeColor="text1"/>
          <w:sz w:val="16"/>
          <w:szCs w:val="16"/>
        </w:rPr>
        <w:t>. начаться 1 сентября (2339,17).</w:t>
      </w:r>
    </w:p>
    <w:p w14:paraId="637B1A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923EA8" w14:textId="77777777" w:rsidR="00533384" w:rsidRPr="00441F34" w:rsidRDefault="00533384" w:rsidP="0053338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конце сентября 1929 г. Председатель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Урываев письмом №162/4 запросил у Председателя НТК УВВС подготовить распоряжение о срочной высылке в его адрес технических требований на самолет МИ-3, поскольку их отсутствие задерживает начало разработки. Однако НТК УВВС не отреагировал.</w:t>
      </w:r>
    </w:p>
    <w:p w14:paraId="1C7A6FE0" w14:textId="77777777" w:rsidR="00533384" w:rsidRPr="00441F34" w:rsidRDefault="00533384" w:rsidP="0053338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 октября 1929 г. Председатель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Урываев и заведующий ТПО Тарновский письмом №162/4 повторно запросили технические требования на МИ-3 (и другие самолеты программы на 1928/29 операционный год, указав, что «…задания не обеспеченные ТТ к исполнению </w:t>
      </w:r>
      <w:proofErr w:type="spellStart"/>
      <w:r w:rsidRPr="00441F34">
        <w:rPr>
          <w:rFonts w:ascii="Times New Roman" w:hAnsi="Times New Roman"/>
          <w:color w:val="0070C0"/>
          <w:sz w:val="16"/>
          <w:szCs w:val="16"/>
        </w:rPr>
        <w:t>Авиатрестом</w:t>
      </w:r>
      <w:proofErr w:type="spellEnd"/>
      <w:r w:rsidRPr="00441F34">
        <w:rPr>
          <w:rFonts w:ascii="Times New Roman" w:hAnsi="Times New Roman"/>
          <w:color w:val="0070C0"/>
          <w:sz w:val="16"/>
          <w:szCs w:val="16"/>
        </w:rPr>
        <w:t xml:space="preserve"> приняты не будут, с исключением их из программы работ».</w:t>
      </w:r>
    </w:p>
    <w:p w14:paraId="2022AABC" w14:textId="77777777" w:rsidR="00533384" w:rsidRPr="00441F34" w:rsidRDefault="00533384" w:rsidP="0053338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26 декабря 1929 г. на заседании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(протокол №32) среди прочих вопросов в изменение постановления Правления по протоколу 10 программу по морскому опытному самолетостроению утвердить в измененном виде, в частности 4-м пунктом срок готовности самолета МИ-3 к летным испытаниям установить на 1 августа 1931 г.</w:t>
      </w:r>
    </w:p>
    <w:p w14:paraId="6CFCB746" w14:textId="77777777" w:rsidR="00533384" w:rsidRPr="00441F34" w:rsidRDefault="00533384" w:rsidP="0053338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распоряжение заводу №25 строить опытный образец самолета МИ-3 так и не поступило, и задание это с плана было снято. Не ясно даже, был ли выполнен проект самолета (24887).</w:t>
      </w:r>
    </w:p>
    <w:p w14:paraId="360FF57C" w14:textId="77777777" w:rsidR="00533384" w:rsidRPr="00441F34" w:rsidRDefault="00533384" w:rsidP="00533384">
      <w:pPr>
        <w:spacing w:after="0" w:line="240" w:lineRule="auto"/>
        <w:jc w:val="both"/>
        <w:rPr>
          <w:rFonts w:ascii="Times New Roman" w:hAnsi="Times New Roman"/>
          <w:color w:val="0070C0"/>
          <w:sz w:val="16"/>
          <w:szCs w:val="16"/>
        </w:rPr>
      </w:pPr>
    </w:p>
    <w:p w14:paraId="04A989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сентября 1928 РОМ-2 перевезли по железной дороге в Севастополь, где подготовили к поле</w:t>
      </w:r>
      <w:r w:rsidRPr="00A259BD">
        <w:rPr>
          <w:rFonts w:ascii="Times New Roman" w:hAnsi="Times New Roman"/>
          <w:color w:val="000000" w:themeColor="text1"/>
          <w:sz w:val="16"/>
          <w:szCs w:val="16"/>
        </w:rPr>
        <w:softHyphen/>
        <w:t>там. Уже на месте при взвешивании определи</w:t>
      </w:r>
      <w:r w:rsidRPr="00A259BD">
        <w:rPr>
          <w:rFonts w:ascii="Times New Roman" w:hAnsi="Times New Roman"/>
          <w:color w:val="000000" w:themeColor="text1"/>
          <w:sz w:val="16"/>
          <w:szCs w:val="16"/>
        </w:rPr>
        <w:softHyphen/>
        <w:t xml:space="preserve">ли, что </w:t>
      </w:r>
      <w:proofErr w:type="spellStart"/>
      <w:r w:rsidRPr="00A259BD">
        <w:rPr>
          <w:rFonts w:ascii="Times New Roman" w:hAnsi="Times New Roman"/>
          <w:color w:val="000000" w:themeColor="text1"/>
          <w:sz w:val="16"/>
          <w:szCs w:val="16"/>
        </w:rPr>
        <w:t>перетяжеление</w:t>
      </w:r>
      <w:proofErr w:type="spellEnd"/>
      <w:r w:rsidRPr="00A259BD">
        <w:rPr>
          <w:rFonts w:ascii="Times New Roman" w:hAnsi="Times New Roman"/>
          <w:color w:val="000000" w:themeColor="text1"/>
          <w:sz w:val="16"/>
          <w:szCs w:val="16"/>
        </w:rPr>
        <w:t xml:space="preserve"> конструкции по сравнению с проектными значениями соста</w:t>
      </w:r>
      <w:r w:rsidRPr="00A259BD">
        <w:rPr>
          <w:rFonts w:ascii="Times New Roman" w:hAnsi="Times New Roman"/>
          <w:color w:val="000000" w:themeColor="text1"/>
          <w:sz w:val="16"/>
          <w:szCs w:val="16"/>
        </w:rPr>
        <w:softHyphen/>
        <w:t>вило 690 кг. Дата первого полета летающей лодки РОМ-2 точна не установлена, скорее всего, это произошло в октябре 1929 г. Однако известно, что небольшой период испытаний сопровож</w:t>
      </w:r>
      <w:r w:rsidRPr="00A259BD">
        <w:rPr>
          <w:rFonts w:ascii="Times New Roman" w:hAnsi="Times New Roman"/>
          <w:color w:val="000000" w:themeColor="text1"/>
          <w:sz w:val="16"/>
          <w:szCs w:val="16"/>
        </w:rPr>
        <w:softHyphen/>
        <w:t>дался досадными поломками. Так, 6 ноября при вытаскивании самолета на берег помяли правое нижнее крыло и поплавок (11978).</w:t>
      </w:r>
    </w:p>
    <w:p w14:paraId="77134F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AD2F8FA" w14:textId="77777777" w:rsidR="001C166D" w:rsidRPr="00A259BD" w:rsidRDefault="001C166D"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В конце сентября 1929 РОМ-2 перевезли по желез</w:t>
      </w:r>
      <w:r w:rsidRPr="00A259BD">
        <w:rPr>
          <w:rFonts w:ascii="Times New Roman" w:cs="Times New Roman"/>
          <w:color w:val="000000" w:themeColor="text1"/>
          <w:sz w:val="16"/>
          <w:szCs w:val="16"/>
        </w:rPr>
        <w:softHyphen/>
        <w:t>ной дороге в Севастополь, где под</w:t>
      </w:r>
      <w:r w:rsidRPr="00A259BD">
        <w:rPr>
          <w:rFonts w:ascii="Times New Roman" w:cs="Times New Roman"/>
          <w:color w:val="000000" w:themeColor="text1"/>
          <w:sz w:val="16"/>
          <w:szCs w:val="16"/>
        </w:rPr>
        <w:softHyphen/>
        <w:t xml:space="preserve">готовили к полетам. Уже на месте при взвешивании определили, что </w:t>
      </w:r>
      <w:proofErr w:type="spellStart"/>
      <w:r w:rsidRPr="00A259BD">
        <w:rPr>
          <w:rFonts w:ascii="Times New Roman" w:cs="Times New Roman"/>
          <w:color w:val="000000" w:themeColor="text1"/>
          <w:sz w:val="16"/>
          <w:szCs w:val="16"/>
        </w:rPr>
        <w:t>перетяжеление</w:t>
      </w:r>
      <w:proofErr w:type="spellEnd"/>
      <w:r w:rsidRPr="00A259BD">
        <w:rPr>
          <w:rFonts w:ascii="Times New Roman" w:cs="Times New Roman"/>
          <w:color w:val="000000" w:themeColor="text1"/>
          <w:sz w:val="16"/>
          <w:szCs w:val="16"/>
        </w:rPr>
        <w:t xml:space="preserve"> конструкции по срав</w:t>
      </w:r>
      <w:r w:rsidRPr="00A259BD">
        <w:rPr>
          <w:rFonts w:ascii="Times New Roman" w:cs="Times New Roman"/>
          <w:color w:val="000000" w:themeColor="text1"/>
          <w:sz w:val="16"/>
          <w:szCs w:val="16"/>
        </w:rPr>
        <w:softHyphen/>
        <w:t>нению с проектными значениями составило 690 кг.</w:t>
      </w:r>
    </w:p>
    <w:p w14:paraId="4AA65C5F" w14:textId="77777777" w:rsidR="001C166D" w:rsidRPr="00A259BD" w:rsidRDefault="001C166D"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РОМ-2 (МР-</w:t>
      </w:r>
      <w:proofErr w:type="spellStart"/>
      <w:r w:rsidRPr="00A259BD">
        <w:rPr>
          <w:rFonts w:ascii="Times New Roman" w:cs="Times New Roman"/>
          <w:color w:val="000000" w:themeColor="text1"/>
          <w:sz w:val="16"/>
          <w:szCs w:val="16"/>
        </w:rPr>
        <w:t>Збис</w:t>
      </w:r>
      <w:proofErr w:type="spellEnd"/>
      <w:r w:rsidRPr="00A259BD">
        <w:rPr>
          <w:rFonts w:ascii="Times New Roman" w:cs="Times New Roman"/>
          <w:color w:val="000000" w:themeColor="text1"/>
          <w:sz w:val="16"/>
          <w:szCs w:val="16"/>
        </w:rPr>
        <w:t>) по техническому заданию должен был иметь запас горючего на 5 часов полета и радиус действия до 500 км.</w:t>
      </w:r>
    </w:p>
    <w:p w14:paraId="6B328246" w14:textId="77777777" w:rsidR="001C166D" w:rsidRPr="00A259BD" w:rsidRDefault="001C166D"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Его изготовле</w:t>
      </w:r>
      <w:r w:rsidRPr="00A259BD">
        <w:rPr>
          <w:rFonts w:ascii="Times New Roman" w:cs="Times New Roman"/>
          <w:color w:val="000000" w:themeColor="text1"/>
          <w:sz w:val="16"/>
          <w:szCs w:val="16"/>
        </w:rPr>
        <w:softHyphen/>
        <w:t>ние началось еще в Ленинграде на авиазаводе №23, а продолжилось на московском заводе №22, располо</w:t>
      </w:r>
      <w:r w:rsidRPr="00A259BD">
        <w:rPr>
          <w:rFonts w:ascii="Times New Roman" w:cs="Times New Roman"/>
          <w:color w:val="000000" w:themeColor="text1"/>
          <w:sz w:val="16"/>
          <w:szCs w:val="16"/>
        </w:rPr>
        <w:softHyphen/>
        <w:t>женном в Филях. Поначалу основ</w:t>
      </w:r>
      <w:r w:rsidRPr="00A259BD">
        <w:rPr>
          <w:rFonts w:ascii="Times New Roman" w:cs="Times New Roman"/>
          <w:color w:val="000000" w:themeColor="text1"/>
          <w:sz w:val="16"/>
          <w:szCs w:val="16"/>
        </w:rPr>
        <w:softHyphen/>
        <w:t>ным отличием этого самолета от РОМ-1 явилась установка двигателей БМВ-\/1 (по 500/680 л.с.) в ряд на верхнем крыле. Однако в ходе стро</w:t>
      </w:r>
      <w:r w:rsidRPr="00A259BD">
        <w:rPr>
          <w:rFonts w:ascii="Times New Roman" w:cs="Times New Roman"/>
          <w:color w:val="000000" w:themeColor="text1"/>
          <w:sz w:val="16"/>
          <w:szCs w:val="16"/>
        </w:rPr>
        <w:softHyphen/>
        <w:t>ительства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w:t>
      </w:r>
    </w:p>
    <w:p w14:paraId="0BBCA880" w14:textId="77777777" w:rsidR="001C166D" w:rsidRPr="00A259BD" w:rsidRDefault="001C166D"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Цельнодеревянное верхнее кры</w:t>
      </w:r>
      <w:r w:rsidRPr="00A259BD">
        <w:rPr>
          <w:rFonts w:ascii="Times New Roman" w:cs="Times New Roman"/>
          <w:color w:val="000000" w:themeColor="text1"/>
          <w:sz w:val="16"/>
          <w:szCs w:val="16"/>
        </w:rPr>
        <w:softHyphen/>
        <w:t>ло, на виде в плане имело форму близкую к эллипсу, при этом передняя кромка имела меньшую кривизну, чем задняя. Верхняя часть центроплана между двигателями имела обшивку из гофрированного кольчугалюми</w:t>
      </w:r>
      <w:r w:rsidRPr="00A259BD">
        <w:rPr>
          <w:rFonts w:ascii="Times New Roman" w:cs="Times New Roman"/>
          <w:color w:val="000000" w:themeColor="text1"/>
          <w:sz w:val="16"/>
          <w:szCs w:val="16"/>
        </w:rPr>
        <w:softHyphen/>
        <w:t>ния. Элероны и хвостовое оперение обтягивались полотном.</w:t>
      </w:r>
    </w:p>
    <w:p w14:paraId="5F98EDB8"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Металлическое нижнее крыло конструктивно мало отличалось от такого крыла у РОМ-1. Поплавки бо</w:t>
      </w:r>
      <w:r w:rsidRPr="00A259BD">
        <w:rPr>
          <w:rFonts w:ascii="Times New Roman" w:hAnsi="Times New Roman"/>
          <w:color w:val="000000" w:themeColor="text1"/>
          <w:sz w:val="16"/>
          <w:szCs w:val="16"/>
        </w:rPr>
        <w:softHyphen/>
        <w:t xml:space="preserve">ковой остойчивости </w:t>
      </w:r>
      <w:proofErr w:type="spellStart"/>
      <w:r w:rsidRPr="00A259BD">
        <w:rPr>
          <w:rFonts w:ascii="Times New Roman" w:hAnsi="Times New Roman"/>
          <w:color w:val="000000" w:themeColor="text1"/>
          <w:sz w:val="16"/>
          <w:szCs w:val="16"/>
        </w:rPr>
        <w:t>безреданные</w:t>
      </w:r>
      <w:proofErr w:type="spellEnd"/>
      <w:r w:rsidRPr="00A259BD">
        <w:rPr>
          <w:rFonts w:ascii="Times New Roman" w:hAnsi="Times New Roman"/>
          <w:color w:val="000000" w:themeColor="text1"/>
          <w:sz w:val="16"/>
          <w:szCs w:val="16"/>
        </w:rPr>
        <w:t xml:space="preserve">, крепились на небольших стойках к </w:t>
      </w:r>
      <w:proofErr w:type="spellStart"/>
      <w:r w:rsidRPr="00A259BD">
        <w:rPr>
          <w:rFonts w:ascii="Times New Roman" w:hAnsi="Times New Roman"/>
          <w:color w:val="000000" w:themeColor="text1"/>
          <w:sz w:val="16"/>
          <w:szCs w:val="16"/>
        </w:rPr>
        <w:t>законцовкам</w:t>
      </w:r>
      <w:proofErr w:type="spellEnd"/>
      <w:r w:rsidRPr="00A259BD">
        <w:rPr>
          <w:rFonts w:ascii="Times New Roman" w:hAnsi="Times New Roman"/>
          <w:color w:val="000000" w:themeColor="text1"/>
          <w:sz w:val="16"/>
          <w:szCs w:val="16"/>
        </w:rPr>
        <w:t xml:space="preserve"> крыла.</w:t>
      </w:r>
    </w:p>
    <w:p w14:paraId="08E4A708" w14:textId="77777777" w:rsidR="001C166D" w:rsidRPr="00A259BD" w:rsidRDefault="001C166D"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Обводы лодки РОМ-2 были совер</w:t>
      </w:r>
      <w:r w:rsidRPr="00A259BD">
        <w:rPr>
          <w:rFonts w:ascii="Times New Roman" w:cs="Times New Roman"/>
          <w:color w:val="000000" w:themeColor="text1"/>
          <w:sz w:val="16"/>
          <w:szCs w:val="16"/>
        </w:rPr>
        <w:softHyphen/>
        <w:t xml:space="preserve">шенно иные, они характеризовались сильной поперечной </w:t>
      </w:r>
      <w:proofErr w:type="spellStart"/>
      <w:r w:rsidRPr="00A259BD">
        <w:rPr>
          <w:rFonts w:ascii="Times New Roman" w:cs="Times New Roman"/>
          <w:color w:val="000000" w:themeColor="text1"/>
          <w:sz w:val="16"/>
          <w:szCs w:val="16"/>
        </w:rPr>
        <w:t>килеватостью</w:t>
      </w:r>
      <w:proofErr w:type="spellEnd"/>
      <w:r w:rsidRPr="00A259BD">
        <w:rPr>
          <w:rFonts w:ascii="Times New Roman" w:cs="Times New Roman"/>
          <w:color w:val="000000" w:themeColor="text1"/>
          <w:sz w:val="16"/>
          <w:szCs w:val="16"/>
        </w:rPr>
        <w:t xml:space="preserve"> с вогнутыми </w:t>
      </w:r>
      <w:proofErr w:type="spellStart"/>
      <w:r w:rsidRPr="00A259BD">
        <w:rPr>
          <w:rFonts w:ascii="Times New Roman" w:cs="Times New Roman"/>
          <w:color w:val="000000" w:themeColor="text1"/>
          <w:sz w:val="16"/>
          <w:szCs w:val="16"/>
        </w:rPr>
        <w:t>участками'днища</w:t>
      </w:r>
      <w:proofErr w:type="spellEnd"/>
      <w:r w:rsidRPr="00A259BD">
        <w:rPr>
          <w:rFonts w:ascii="Times New Roman" w:cs="Times New Roman"/>
          <w:color w:val="000000" w:themeColor="text1"/>
          <w:sz w:val="16"/>
          <w:szCs w:val="16"/>
        </w:rPr>
        <w:t xml:space="preserve"> у скул, что благоприятствовало более мяг</w:t>
      </w:r>
      <w:r w:rsidRPr="00A259BD">
        <w:rPr>
          <w:rFonts w:ascii="Times New Roman" w:cs="Times New Roman"/>
          <w:color w:val="000000" w:themeColor="text1"/>
          <w:sz w:val="16"/>
          <w:szCs w:val="16"/>
        </w:rPr>
        <w:softHyphen/>
        <w:t>кой посадке, особенно при волне. Толщина нижней обшивки в районе первого редана составляла 1,5 мм, на других участках — 1,2 и 1,0 мм. В центральной части лодки были установлены 3 топливных бака общей емкостью 810 л, еще один бак на 310 л размещался в центроплане.</w:t>
      </w:r>
    </w:p>
    <w:p w14:paraId="46E882B2" w14:textId="77777777" w:rsidR="001C166D" w:rsidRPr="00A259BD" w:rsidRDefault="001C166D"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Оборонительное вооружение РОМ-2 состояло из двух стрелковых установок со спарками пулеметов «Льюис» или ДА. Впереди монтиро</w:t>
      </w:r>
      <w:r w:rsidRPr="00A259BD">
        <w:rPr>
          <w:rFonts w:ascii="Times New Roman" w:cs="Times New Roman"/>
          <w:color w:val="000000" w:themeColor="text1"/>
          <w:sz w:val="16"/>
          <w:szCs w:val="16"/>
        </w:rPr>
        <w:softHyphen/>
        <w:t>валась турель ТУР-6, сзади пере</w:t>
      </w:r>
      <w:r w:rsidRPr="00A259BD">
        <w:rPr>
          <w:rFonts w:ascii="Times New Roman" w:cs="Times New Roman"/>
          <w:color w:val="000000" w:themeColor="text1"/>
          <w:sz w:val="16"/>
          <w:szCs w:val="16"/>
        </w:rPr>
        <w:softHyphen/>
        <w:t>катываемая с борта на борт турель ТУР-5. Легкие бомбы размещались на бортовых фюзеляжных кронштейнах как у Дорнье «Валь». Крупные бомбы подвешивались на нижнем крыле. Общая бомбовая нагрузка составля</w:t>
      </w:r>
      <w:r w:rsidRPr="00A259BD">
        <w:rPr>
          <w:rFonts w:ascii="Times New Roman" w:cs="Times New Roman"/>
          <w:color w:val="000000" w:themeColor="text1"/>
          <w:sz w:val="16"/>
          <w:szCs w:val="16"/>
        </w:rPr>
        <w:softHyphen/>
        <w:t>ла 600 кг. В комплект необходимого оборудования входил якорь, закре</w:t>
      </w:r>
      <w:r w:rsidRPr="00A259BD">
        <w:rPr>
          <w:rFonts w:ascii="Times New Roman" w:cs="Times New Roman"/>
          <w:color w:val="000000" w:themeColor="text1"/>
          <w:sz w:val="16"/>
          <w:szCs w:val="16"/>
        </w:rPr>
        <w:softHyphen/>
        <w:t>пленный в походном положении на верхней палубе носовой части. К спе</w:t>
      </w:r>
      <w:r w:rsidRPr="00A259BD">
        <w:rPr>
          <w:rFonts w:ascii="Times New Roman" w:cs="Times New Roman"/>
          <w:color w:val="000000" w:themeColor="text1"/>
          <w:sz w:val="16"/>
          <w:szCs w:val="16"/>
        </w:rPr>
        <w:softHyphen/>
        <w:t>циальному оборудованию относился фотоаппарат Кодак в задней кабине, комплект неприкосновенного запаса (НЗ)</w:t>
      </w:r>
      <w:r w:rsidRPr="00A259BD">
        <w:rPr>
          <w:rStyle w:val="4ArialNarrow85pt"/>
          <w:rFonts w:ascii="Times New Roman" w:hAnsi="Times New Roman" w:cs="Times New Roman"/>
          <w:i w:val="0"/>
          <w:color w:val="000000" w:themeColor="text1"/>
          <w:sz w:val="16"/>
          <w:szCs w:val="16"/>
        </w:rPr>
        <w:t xml:space="preserve"> и</w:t>
      </w:r>
      <w:r w:rsidRPr="00A259BD">
        <w:rPr>
          <w:rFonts w:ascii="Times New Roman" w:cs="Times New Roman"/>
          <w:color w:val="000000" w:themeColor="text1"/>
          <w:sz w:val="16"/>
          <w:szCs w:val="16"/>
        </w:rPr>
        <w:t xml:space="preserve"> бак с питьевой водой.</w:t>
      </w:r>
    </w:p>
    <w:p w14:paraId="60EAC79F" w14:textId="77777777" w:rsidR="001C166D" w:rsidRPr="00A259BD" w:rsidRDefault="001C166D"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По требованиям транспортировки РОМ-2 мог разбираться и перевоз</w:t>
      </w:r>
      <w:r w:rsidRPr="00A259BD">
        <w:rPr>
          <w:rFonts w:ascii="Times New Roman" w:cs="Times New Roman"/>
          <w:color w:val="000000" w:themeColor="text1"/>
          <w:sz w:val="16"/>
          <w:szCs w:val="16"/>
        </w:rPr>
        <w:softHyphen/>
        <w:t>ился в таком виде на четырех желез</w:t>
      </w:r>
      <w:r w:rsidRPr="00A259BD">
        <w:rPr>
          <w:rFonts w:ascii="Times New Roman" w:cs="Times New Roman"/>
          <w:color w:val="000000" w:themeColor="text1"/>
          <w:sz w:val="16"/>
          <w:szCs w:val="16"/>
        </w:rPr>
        <w:softHyphen/>
        <w:t>нодорожных платформах.</w:t>
      </w:r>
    </w:p>
    <w:p w14:paraId="29F8FA40" w14:textId="77777777" w:rsidR="001C166D" w:rsidRPr="00A259BD" w:rsidRDefault="001C166D" w:rsidP="009236E3">
      <w:pPr>
        <w:pStyle w:val="66"/>
        <w:shd w:val="clear" w:color="auto" w:fill="auto"/>
        <w:spacing w:before="0" w:line="240" w:lineRule="auto"/>
        <w:rPr>
          <w:rFonts w:ascii="Times New Roman" w:hAnsi="Times New Roman"/>
          <w:color w:val="000000" w:themeColor="text1"/>
          <w:sz w:val="16"/>
          <w:szCs w:val="16"/>
        </w:rPr>
      </w:pPr>
      <w:r w:rsidRPr="00A259BD">
        <w:rPr>
          <w:rFonts w:ascii="Times New Roman" w:hAnsi="Times New Roman"/>
          <w:color w:val="000000" w:themeColor="text1"/>
          <w:sz w:val="16"/>
          <w:szCs w:val="16"/>
        </w:rPr>
        <w:t>Дополняя общее описание, ука</w:t>
      </w:r>
      <w:r w:rsidRPr="00A259BD">
        <w:rPr>
          <w:rFonts w:ascii="Times New Roman" w:hAnsi="Times New Roman"/>
          <w:color w:val="000000" w:themeColor="text1"/>
          <w:sz w:val="16"/>
          <w:szCs w:val="16"/>
        </w:rPr>
        <w:softHyphen/>
        <w:t>жем, что использовались два типа воздушных винтов: диаметром 3,25 и диаметром 3,5 м</w:t>
      </w:r>
    </w:p>
    <w:p w14:paraId="4FA53AC5" w14:textId="77777777" w:rsidR="001C166D" w:rsidRPr="00A259BD" w:rsidRDefault="001C166D" w:rsidP="009236E3">
      <w:pPr>
        <w:pStyle w:val="66"/>
        <w:shd w:val="clear" w:color="auto" w:fill="auto"/>
        <w:spacing w:before="0" w:line="240" w:lineRule="auto"/>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технические данные и летные характеристики РОМ-2</w:t>
      </w:r>
    </w:p>
    <w:p w14:paraId="10CC8963" w14:textId="77777777" w:rsidR="001C166D" w:rsidRPr="00A259BD" w:rsidRDefault="001C166D" w:rsidP="009236E3">
      <w:pPr>
        <w:tabs>
          <w:tab w:val="right" w:leader="dot" w:pos="314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Размах верхнего крыла (м)</w:t>
      </w:r>
      <w:r w:rsidRPr="00A259BD">
        <w:rPr>
          <w:rFonts w:ascii="Times New Roman" w:hAnsi="Times New Roman"/>
          <w:color w:val="000000" w:themeColor="text1"/>
          <w:sz w:val="16"/>
          <w:szCs w:val="16"/>
        </w:rPr>
        <w:tab/>
        <w:t>26,8</w:t>
      </w:r>
    </w:p>
    <w:p w14:paraId="11BF4B12" w14:textId="77777777" w:rsidR="001C166D" w:rsidRPr="00A259BD" w:rsidRDefault="001C166D" w:rsidP="009236E3">
      <w:pPr>
        <w:tabs>
          <w:tab w:val="right" w:leader="dot" w:pos="314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Размах нижнего крыла (м) </w:t>
      </w:r>
      <w:r w:rsidRPr="00A259BD">
        <w:rPr>
          <w:rFonts w:ascii="Times New Roman" w:hAnsi="Times New Roman"/>
          <w:color w:val="000000" w:themeColor="text1"/>
          <w:sz w:val="16"/>
          <w:szCs w:val="16"/>
        </w:rPr>
        <w:tab/>
        <w:t>8,2</w:t>
      </w:r>
    </w:p>
    <w:p w14:paraId="72AFBC8A" w14:textId="77777777" w:rsidR="001C166D" w:rsidRPr="00A259BD" w:rsidRDefault="001C166D" w:rsidP="009236E3">
      <w:pPr>
        <w:tabs>
          <w:tab w:val="left" w:leader="dot" w:pos="2555"/>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Длина в линии полета (м)</w:t>
      </w:r>
      <w:r w:rsidRPr="00A259BD">
        <w:rPr>
          <w:rFonts w:ascii="Times New Roman" w:hAnsi="Times New Roman"/>
          <w:color w:val="000000" w:themeColor="text1"/>
          <w:sz w:val="16"/>
          <w:szCs w:val="16"/>
        </w:rPr>
        <w:tab/>
        <w:t>17,455</w:t>
      </w:r>
    </w:p>
    <w:p w14:paraId="5AE0F384" w14:textId="77777777" w:rsidR="001C166D" w:rsidRPr="00A259BD" w:rsidRDefault="001C166D" w:rsidP="009236E3">
      <w:pPr>
        <w:tabs>
          <w:tab w:val="right" w:leader="dot" w:pos="314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в линии полета (м)</w:t>
      </w:r>
      <w:r w:rsidRPr="00A259BD">
        <w:rPr>
          <w:rFonts w:ascii="Times New Roman" w:hAnsi="Times New Roman"/>
          <w:color w:val="000000" w:themeColor="text1"/>
          <w:sz w:val="16"/>
          <w:szCs w:val="16"/>
        </w:rPr>
        <w:tab/>
        <w:t>6,06</w:t>
      </w:r>
    </w:p>
    <w:p w14:paraId="02EAF2B0" w14:textId="77777777" w:rsidR="001C166D" w:rsidRPr="00A259BD" w:rsidRDefault="001C166D" w:rsidP="009236E3">
      <w:pPr>
        <w:tabs>
          <w:tab w:val="left" w:leader="dot" w:pos="2632"/>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верхнего крыла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 xml:space="preserve">) </w:t>
      </w:r>
      <w:r w:rsidRPr="00A259BD">
        <w:rPr>
          <w:rFonts w:ascii="Times New Roman" w:hAnsi="Times New Roman"/>
          <w:color w:val="000000" w:themeColor="text1"/>
          <w:sz w:val="16"/>
          <w:szCs w:val="16"/>
        </w:rPr>
        <w:tab/>
        <w:t>91,43</w:t>
      </w:r>
    </w:p>
    <w:p w14:paraId="0A6CF45A" w14:textId="77777777" w:rsidR="001C166D" w:rsidRPr="00A259BD" w:rsidRDefault="001C166D" w:rsidP="009236E3">
      <w:pPr>
        <w:tabs>
          <w:tab w:val="left" w:leader="dot" w:pos="263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нижнего крыла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 xml:space="preserve">) </w:t>
      </w:r>
      <w:r w:rsidRPr="00A259BD">
        <w:rPr>
          <w:rFonts w:ascii="Times New Roman" w:hAnsi="Times New Roman"/>
          <w:color w:val="000000" w:themeColor="text1"/>
          <w:sz w:val="16"/>
          <w:szCs w:val="16"/>
        </w:rPr>
        <w:tab/>
        <w:t>16,76</w:t>
      </w:r>
    </w:p>
    <w:p w14:paraId="10E6CCD5" w14:textId="77777777" w:rsidR="001C166D" w:rsidRPr="00A259BD" w:rsidRDefault="001C166D" w:rsidP="009236E3">
      <w:pPr>
        <w:tabs>
          <w:tab w:val="right" w:leader="dot" w:pos="314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 конструкции (кг)</w:t>
      </w:r>
      <w:r w:rsidRPr="00A259BD">
        <w:rPr>
          <w:rFonts w:ascii="Times New Roman" w:hAnsi="Times New Roman"/>
          <w:color w:val="000000" w:themeColor="text1"/>
          <w:sz w:val="16"/>
          <w:szCs w:val="16"/>
        </w:rPr>
        <w:tab/>
        <w:t>4150</w:t>
      </w:r>
    </w:p>
    <w:p w14:paraId="014CD154" w14:textId="77777777" w:rsidR="001C166D" w:rsidRPr="00A259BD" w:rsidRDefault="001C166D" w:rsidP="009236E3">
      <w:pPr>
        <w:tabs>
          <w:tab w:val="left" w:leader="dot" w:pos="2642"/>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Полезная нагрузка (кг)</w:t>
      </w:r>
      <w:r w:rsidRPr="00A259BD">
        <w:rPr>
          <w:rFonts w:ascii="Times New Roman" w:hAnsi="Times New Roman"/>
          <w:color w:val="000000" w:themeColor="text1"/>
          <w:sz w:val="16"/>
          <w:szCs w:val="16"/>
        </w:rPr>
        <w:tab/>
        <w:t xml:space="preserve"> 1850</w:t>
      </w:r>
    </w:p>
    <w:p w14:paraId="7B073274" w14:textId="77777777" w:rsidR="001C166D" w:rsidRPr="00A259BD" w:rsidRDefault="001C166D" w:rsidP="009236E3">
      <w:pPr>
        <w:tabs>
          <w:tab w:val="right" w:leader="dot" w:pos="314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Полетный вес (кг) </w:t>
      </w:r>
      <w:r w:rsidRPr="00A259BD">
        <w:rPr>
          <w:rFonts w:ascii="Times New Roman" w:hAnsi="Times New Roman"/>
          <w:color w:val="000000" w:themeColor="text1"/>
          <w:sz w:val="16"/>
          <w:szCs w:val="16"/>
        </w:rPr>
        <w:tab/>
        <w:t>6000</w:t>
      </w:r>
    </w:p>
    <w:p w14:paraId="5E2797C5"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максимальная</w:t>
      </w:r>
    </w:p>
    <w:p w14:paraId="2FF6457F" w14:textId="77777777" w:rsidR="001C166D" w:rsidRPr="00A259BD" w:rsidRDefault="001C166D" w:rsidP="009236E3">
      <w:pPr>
        <w:tabs>
          <w:tab w:val="right" w:leader="dot" w:pos="314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 земли (км/ч) </w:t>
      </w:r>
      <w:r w:rsidRPr="00A259BD">
        <w:rPr>
          <w:rFonts w:ascii="Times New Roman" w:hAnsi="Times New Roman"/>
          <w:color w:val="000000" w:themeColor="text1"/>
          <w:sz w:val="16"/>
          <w:szCs w:val="16"/>
        </w:rPr>
        <w:tab/>
        <w:t xml:space="preserve"> 180</w:t>
      </w:r>
    </w:p>
    <w:p w14:paraId="15D4E651"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максимальная</w:t>
      </w:r>
    </w:p>
    <w:p w14:paraId="2394685A" w14:textId="77777777" w:rsidR="001C166D" w:rsidRPr="00A259BD" w:rsidRDefault="001C166D" w:rsidP="009236E3">
      <w:pPr>
        <w:tabs>
          <w:tab w:val="right" w:leader="dot" w:pos="314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1000 м (км/ч)</w:t>
      </w:r>
      <w:r w:rsidRPr="00A259BD">
        <w:rPr>
          <w:rFonts w:ascii="Times New Roman" w:hAnsi="Times New Roman"/>
          <w:color w:val="000000" w:themeColor="text1"/>
          <w:sz w:val="16"/>
          <w:szCs w:val="16"/>
        </w:rPr>
        <w:tab/>
        <w:t>175</w:t>
      </w:r>
    </w:p>
    <w:p w14:paraId="0F73FDA5" w14:textId="77777777" w:rsidR="001C166D" w:rsidRPr="00A259BD" w:rsidRDefault="001C166D" w:rsidP="009236E3">
      <w:pPr>
        <w:tabs>
          <w:tab w:val="right" w:leader="dot" w:pos="314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Посадочная скорость (км/ч)</w:t>
      </w:r>
      <w:r w:rsidRPr="00A259BD">
        <w:rPr>
          <w:rFonts w:ascii="Times New Roman" w:hAnsi="Times New Roman"/>
          <w:color w:val="000000" w:themeColor="text1"/>
          <w:sz w:val="16"/>
          <w:szCs w:val="16"/>
        </w:rPr>
        <w:tab/>
        <w:t>93</w:t>
      </w:r>
    </w:p>
    <w:p w14:paraId="6FD65836" w14:textId="77777777" w:rsidR="001C166D" w:rsidRPr="00A259BD" w:rsidRDefault="001C166D" w:rsidP="009236E3">
      <w:pPr>
        <w:tabs>
          <w:tab w:val="right" w:leader="dot" w:pos="314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Практический потолок (м)</w:t>
      </w:r>
      <w:r w:rsidRPr="00A259BD">
        <w:rPr>
          <w:rFonts w:ascii="Times New Roman" w:hAnsi="Times New Roman"/>
          <w:color w:val="000000" w:themeColor="text1"/>
          <w:sz w:val="16"/>
          <w:szCs w:val="16"/>
        </w:rPr>
        <w:tab/>
        <w:t>4500</w:t>
      </w:r>
    </w:p>
    <w:p w14:paraId="0D031571"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Дальность полета максимальная (км) </w:t>
      </w:r>
      <w:r w:rsidRPr="00A259BD">
        <w:rPr>
          <w:rFonts w:ascii="Times New Roman" w:hAnsi="Times New Roman"/>
          <w:color w:val="000000" w:themeColor="text1"/>
          <w:sz w:val="16"/>
          <w:szCs w:val="16"/>
        </w:rPr>
        <w:tab/>
        <w:t>900 (12609).</w:t>
      </w:r>
    </w:p>
    <w:p w14:paraId="4A5A5369" w14:textId="77777777" w:rsidR="001C166D" w:rsidRPr="00A259BD" w:rsidRDefault="001C166D" w:rsidP="009236E3">
      <w:pPr>
        <w:pStyle w:val="45"/>
        <w:shd w:val="clear" w:color="auto" w:fill="auto"/>
        <w:spacing w:before="0" w:line="240" w:lineRule="auto"/>
        <w:jc w:val="both"/>
        <w:rPr>
          <w:rFonts w:ascii="Times New Roman" w:cs="Times New Roman"/>
          <w:color w:val="000000" w:themeColor="text1"/>
          <w:sz w:val="16"/>
          <w:szCs w:val="16"/>
        </w:rPr>
      </w:pPr>
    </w:p>
    <w:p w14:paraId="063EC84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3196EDB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29703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самом конце сентября 1929 40-я эскадрилья им. Ленина, вооруженная Р-1 и дислоцировавшаяся ранее в Липецке она прибыла в Спасск. В ее оперативном подчинении находился 68-й отряд Амурской военной флотилии на МР-1. В состав Забайкальской группы входила 26-я отдельная легко</w:t>
      </w:r>
      <w:r w:rsidRPr="00A259BD">
        <w:rPr>
          <w:rFonts w:ascii="Times New Roman" w:hAnsi="Times New Roman"/>
          <w:color w:val="000000" w:themeColor="text1"/>
          <w:sz w:val="16"/>
          <w:szCs w:val="16"/>
        </w:rPr>
        <w:softHyphen/>
        <w:t>бомбардировочная эскадрилья, а также 6-й и 25-й отря</w:t>
      </w:r>
      <w:r w:rsidRPr="00A259BD">
        <w:rPr>
          <w:rFonts w:ascii="Times New Roman" w:hAnsi="Times New Roman"/>
          <w:color w:val="000000" w:themeColor="text1"/>
          <w:sz w:val="16"/>
          <w:szCs w:val="16"/>
        </w:rPr>
        <w:softHyphen/>
        <w:t>ды. Всего в ОКДВА имелось 69 боевых самолетов, в основном Р-1, 8 МР-1, несколько истребителей “Мар-</w:t>
      </w:r>
      <w:proofErr w:type="spellStart"/>
      <w:r w:rsidRPr="00A259BD">
        <w:rPr>
          <w:rFonts w:ascii="Times New Roman" w:hAnsi="Times New Roman"/>
          <w:color w:val="000000" w:themeColor="text1"/>
          <w:sz w:val="16"/>
          <w:szCs w:val="16"/>
        </w:rPr>
        <w:t>тинсайд</w:t>
      </w:r>
      <w:proofErr w:type="spellEnd"/>
      <w:r w:rsidRPr="00A259BD">
        <w:rPr>
          <w:rFonts w:ascii="Times New Roman" w:hAnsi="Times New Roman"/>
          <w:color w:val="000000" w:themeColor="text1"/>
          <w:sz w:val="16"/>
          <w:szCs w:val="16"/>
        </w:rPr>
        <w:t>”.</w:t>
      </w:r>
    </w:p>
    <w:p w14:paraId="7EC31B2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Китайцы в южных районах Манчжурии имели два самолета “Бреге”. Сначала была проведена </w:t>
      </w:r>
      <w:proofErr w:type="spellStart"/>
      <w:r w:rsidRPr="00A259BD">
        <w:rPr>
          <w:rFonts w:ascii="Times New Roman" w:hAnsi="Times New Roman"/>
          <w:color w:val="000000" w:themeColor="text1"/>
          <w:sz w:val="16"/>
          <w:szCs w:val="16"/>
        </w:rPr>
        <w:t>Сунгарийская</w:t>
      </w:r>
      <w:proofErr w:type="spellEnd"/>
      <w:r w:rsidRPr="00A259BD">
        <w:rPr>
          <w:rFonts w:ascii="Times New Roman" w:hAnsi="Times New Roman"/>
          <w:color w:val="000000" w:themeColor="text1"/>
          <w:sz w:val="16"/>
          <w:szCs w:val="16"/>
        </w:rPr>
        <w:t xml:space="preserve"> операция у г.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xml:space="preserve"> силами Амурской флотилии и </w:t>
      </w:r>
      <w:proofErr w:type="spellStart"/>
      <w:r w:rsidRPr="00A259BD">
        <w:rPr>
          <w:rFonts w:ascii="Times New Roman" w:hAnsi="Times New Roman"/>
          <w:color w:val="000000" w:themeColor="text1"/>
          <w:sz w:val="16"/>
          <w:szCs w:val="16"/>
        </w:rPr>
        <w:t>Сунгарийской</w:t>
      </w:r>
      <w:proofErr w:type="spellEnd"/>
      <w:r w:rsidRPr="00A259BD">
        <w:rPr>
          <w:rFonts w:ascii="Times New Roman" w:hAnsi="Times New Roman"/>
          <w:color w:val="000000" w:themeColor="text1"/>
          <w:sz w:val="16"/>
          <w:szCs w:val="16"/>
        </w:rPr>
        <w:t xml:space="preserve"> группы ОКДВА. Их действия поддерживал 68-й авиаци</w:t>
      </w:r>
      <w:r w:rsidRPr="00A259BD">
        <w:rPr>
          <w:rFonts w:ascii="Times New Roman" w:hAnsi="Times New Roman"/>
          <w:color w:val="000000" w:themeColor="text1"/>
          <w:sz w:val="16"/>
          <w:szCs w:val="16"/>
        </w:rPr>
        <w:softHyphen/>
        <w:t xml:space="preserve">онный отряд (командир </w:t>
      </w:r>
      <w:proofErr w:type="spellStart"/>
      <w:r w:rsidRPr="00A259BD">
        <w:rPr>
          <w:rFonts w:ascii="Times New Roman" w:hAnsi="Times New Roman"/>
          <w:color w:val="000000" w:themeColor="text1"/>
          <w:sz w:val="16"/>
          <w:szCs w:val="16"/>
        </w:rPr>
        <w:t>Э.М.Лухт</w:t>
      </w:r>
      <w:proofErr w:type="spellEnd"/>
      <w:r w:rsidRPr="00A259BD">
        <w:rPr>
          <w:rFonts w:ascii="Times New Roman" w:hAnsi="Times New Roman"/>
          <w:color w:val="000000" w:themeColor="text1"/>
          <w:sz w:val="16"/>
          <w:szCs w:val="16"/>
        </w:rPr>
        <w:t>) и часть переброшен</w:t>
      </w:r>
      <w:r w:rsidRPr="00A259BD">
        <w:rPr>
          <w:rFonts w:ascii="Times New Roman" w:hAnsi="Times New Roman"/>
          <w:color w:val="000000" w:themeColor="text1"/>
          <w:sz w:val="16"/>
          <w:szCs w:val="16"/>
        </w:rPr>
        <w:softHyphen/>
        <w:t>ной из Спасска 40-й эскадрильи, которой командовал Карклин, причем 68-й отряд находился в его оператив</w:t>
      </w:r>
      <w:r w:rsidRPr="00A259BD">
        <w:rPr>
          <w:rFonts w:ascii="Times New Roman" w:hAnsi="Times New Roman"/>
          <w:color w:val="000000" w:themeColor="text1"/>
          <w:sz w:val="16"/>
          <w:szCs w:val="16"/>
        </w:rPr>
        <w:softHyphen/>
        <w:t>ном подчинении. По пути эскадрилья сделала посадку на аэродроме в Хабаровске, где сухопутные летчики, не имеющие опыта в поражении морских целей, трениро</w:t>
      </w:r>
      <w:r w:rsidRPr="00A259BD">
        <w:rPr>
          <w:rFonts w:ascii="Times New Roman" w:hAnsi="Times New Roman"/>
          <w:color w:val="000000" w:themeColor="text1"/>
          <w:sz w:val="16"/>
          <w:szCs w:val="16"/>
        </w:rPr>
        <w:softHyphen/>
        <w:t xml:space="preserve">вались в бомбометании по неподвижному кораблю -старому списанному монитору “Смерч”. Пять самолетов бросали бомбы с высоты 600-800 м. Из 15 сброшенных </w:t>
      </w:r>
      <w:proofErr w:type="spellStart"/>
      <w:r w:rsidRPr="00A259BD">
        <w:rPr>
          <w:rFonts w:ascii="Times New Roman" w:hAnsi="Times New Roman"/>
          <w:color w:val="000000" w:themeColor="text1"/>
          <w:sz w:val="16"/>
          <w:szCs w:val="16"/>
        </w:rPr>
        <w:t>прицелочных</w:t>
      </w:r>
      <w:proofErr w:type="spellEnd"/>
      <w:r w:rsidRPr="00A259BD">
        <w:rPr>
          <w:rFonts w:ascii="Times New Roman" w:hAnsi="Times New Roman"/>
          <w:color w:val="000000" w:themeColor="text1"/>
          <w:sz w:val="16"/>
          <w:szCs w:val="16"/>
        </w:rPr>
        <w:t xml:space="preserve"> и 10 боевых фугасных бомб АФ-32 (вес 32 кг) ни одна не попала в цель. Разрыв бомб в 2-3 мет</w:t>
      </w:r>
      <w:r w:rsidRPr="00A259BD">
        <w:rPr>
          <w:rFonts w:ascii="Times New Roman" w:hAnsi="Times New Roman"/>
          <w:color w:val="000000" w:themeColor="text1"/>
          <w:sz w:val="16"/>
          <w:szCs w:val="16"/>
        </w:rPr>
        <w:softHyphen/>
        <w:t>рах от корабля не оказал никакого воздействия на кор</w:t>
      </w:r>
      <w:r w:rsidRPr="00A259BD">
        <w:rPr>
          <w:rFonts w:ascii="Times New Roman" w:hAnsi="Times New Roman"/>
          <w:color w:val="000000" w:themeColor="text1"/>
          <w:sz w:val="16"/>
          <w:szCs w:val="16"/>
        </w:rPr>
        <w:softHyphen/>
        <w:t>пус. Таким образом, ограниченные по срокам и мас</w:t>
      </w:r>
      <w:r w:rsidRPr="00A259BD">
        <w:rPr>
          <w:rFonts w:ascii="Times New Roman" w:hAnsi="Times New Roman"/>
          <w:color w:val="000000" w:themeColor="text1"/>
          <w:sz w:val="16"/>
          <w:szCs w:val="16"/>
        </w:rPr>
        <w:softHyphen/>
        <w:t>штабу учения не позволили существенно повысить бое</w:t>
      </w:r>
      <w:r w:rsidRPr="00A259BD">
        <w:rPr>
          <w:rFonts w:ascii="Times New Roman" w:hAnsi="Times New Roman"/>
          <w:color w:val="000000" w:themeColor="text1"/>
          <w:sz w:val="16"/>
          <w:szCs w:val="16"/>
        </w:rPr>
        <w:softHyphen/>
        <w:t>способность эскадрильи, однако выявили ее недостаточ</w:t>
      </w:r>
      <w:r w:rsidRPr="00A259BD">
        <w:rPr>
          <w:rFonts w:ascii="Times New Roman" w:hAnsi="Times New Roman"/>
          <w:color w:val="000000" w:themeColor="text1"/>
          <w:sz w:val="16"/>
          <w:szCs w:val="16"/>
        </w:rPr>
        <w:softHyphen/>
        <w:t>ную подготовку к боевой операции (10667).</w:t>
      </w:r>
    </w:p>
    <w:p w14:paraId="1DF505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2700D4" w14:textId="77777777" w:rsidR="004468C5" w:rsidRPr="00A259BD" w:rsidRDefault="004468C5" w:rsidP="009236E3">
      <w:pPr>
        <w:pStyle w:val="191"/>
        <w:shd w:val="clear" w:color="auto" w:fill="auto"/>
        <w:spacing w:before="0" w:after="0" w:line="240" w:lineRule="auto"/>
        <w:jc w:val="both"/>
        <w:rPr>
          <w:rFonts w:ascii="Times New Roman" w:hAnsi="Times New Roman" w:cs="Times New Roman"/>
          <w:color w:val="000000" w:themeColor="text1"/>
          <w:sz w:val="16"/>
          <w:szCs w:val="16"/>
        </w:rPr>
      </w:pPr>
      <w:r w:rsidRPr="00A259BD">
        <w:rPr>
          <w:rFonts w:ascii="Times New Roman" w:hAnsi="Times New Roman" w:cs="Times New Roman"/>
          <w:color w:val="000000" w:themeColor="text1"/>
          <w:sz w:val="16"/>
          <w:szCs w:val="16"/>
          <w:lang w:val="ru-RU"/>
        </w:rPr>
        <w:t>Д</w:t>
      </w:r>
      <w:r w:rsidRPr="00A259BD">
        <w:rPr>
          <w:rFonts w:ascii="Times New Roman" w:hAnsi="Times New Roman" w:cs="Times New Roman"/>
          <w:color w:val="000000" w:themeColor="text1"/>
          <w:sz w:val="16"/>
          <w:szCs w:val="16"/>
        </w:rPr>
        <w:t>о конца сентября 1929 года</w:t>
      </w:r>
      <w:r w:rsidRPr="00A259BD">
        <w:rPr>
          <w:rFonts w:ascii="Times New Roman" w:hAnsi="Times New Roman" w:cs="Times New Roman"/>
          <w:color w:val="000000" w:themeColor="text1"/>
          <w:sz w:val="16"/>
          <w:szCs w:val="16"/>
          <w:lang w:val="ru-RU"/>
        </w:rPr>
        <w:t xml:space="preserve"> летал </w:t>
      </w:r>
      <w:r w:rsidRPr="00A259BD">
        <w:rPr>
          <w:rFonts w:ascii="Times New Roman" w:hAnsi="Times New Roman" w:cs="Times New Roman"/>
          <w:color w:val="000000" w:themeColor="text1"/>
          <w:sz w:val="16"/>
          <w:szCs w:val="16"/>
          <w:lang w:val="en-US"/>
        </w:rPr>
        <w:t>Farman</w:t>
      </w:r>
      <w:r w:rsidRPr="00A259BD">
        <w:rPr>
          <w:rFonts w:ascii="Times New Roman" w:hAnsi="Times New Roman" w:cs="Times New Roman"/>
          <w:color w:val="000000" w:themeColor="text1"/>
          <w:sz w:val="16"/>
          <w:szCs w:val="16"/>
          <w:lang w:val="ru-RU"/>
        </w:rPr>
        <w:t xml:space="preserve"> </w:t>
      </w:r>
      <w:r w:rsidRPr="00A259BD">
        <w:rPr>
          <w:rFonts w:ascii="Times New Roman" w:hAnsi="Times New Roman" w:cs="Times New Roman"/>
          <w:color w:val="000000" w:themeColor="text1"/>
          <w:sz w:val="16"/>
          <w:szCs w:val="16"/>
          <w:lang w:val="en-US"/>
        </w:rPr>
        <w:t>H</w:t>
      </w:r>
      <w:r w:rsidRPr="00A259BD">
        <w:rPr>
          <w:rFonts w:ascii="Times New Roman" w:hAnsi="Times New Roman" w:cs="Times New Roman"/>
          <w:color w:val="000000" w:themeColor="text1"/>
          <w:sz w:val="16"/>
          <w:szCs w:val="16"/>
          <w:lang w:val="ru-RU"/>
        </w:rPr>
        <w:t>.</w:t>
      </w:r>
      <w:r w:rsidRPr="00A259BD">
        <w:rPr>
          <w:rFonts w:ascii="Times New Roman" w:hAnsi="Times New Roman" w:cs="Times New Roman"/>
          <w:color w:val="000000" w:themeColor="text1"/>
          <w:sz w:val="16"/>
          <w:szCs w:val="16"/>
          <w:lang w:val="en-US"/>
        </w:rPr>
        <w:t>F</w:t>
      </w:r>
      <w:r w:rsidRPr="00A259BD">
        <w:rPr>
          <w:rFonts w:ascii="Times New Roman" w:hAnsi="Times New Roman" w:cs="Times New Roman"/>
          <w:color w:val="000000" w:themeColor="text1"/>
          <w:sz w:val="16"/>
          <w:szCs w:val="16"/>
          <w:lang w:val="ru-RU"/>
        </w:rPr>
        <w:t xml:space="preserve">. </w:t>
      </w:r>
      <w:r w:rsidRPr="00A259BD">
        <w:rPr>
          <w:rFonts w:ascii="Times New Roman" w:hAnsi="Times New Roman" w:cs="Times New Roman"/>
          <w:color w:val="000000" w:themeColor="text1"/>
          <w:sz w:val="16"/>
          <w:szCs w:val="16"/>
        </w:rPr>
        <w:t xml:space="preserve">30 с серийным номером 259/310 и регистрационным кодом </w:t>
      </w:r>
      <w:r w:rsidRPr="00A259BD">
        <w:rPr>
          <w:rFonts w:ascii="Times New Roman" w:hAnsi="Times New Roman" w:cs="Times New Roman"/>
          <w:color w:val="000000" w:themeColor="text1"/>
          <w:sz w:val="16"/>
          <w:szCs w:val="16"/>
          <w:lang w:val="en-US"/>
        </w:rPr>
        <w:t>R</w:t>
      </w:r>
      <w:r w:rsidRPr="00A259BD">
        <w:rPr>
          <w:rFonts w:ascii="Times New Roman" w:hAnsi="Times New Roman" w:cs="Times New Roman"/>
          <w:color w:val="000000" w:themeColor="text1"/>
          <w:sz w:val="16"/>
          <w:szCs w:val="16"/>
          <w:lang w:val="ru-RU"/>
        </w:rPr>
        <w:t>-</w:t>
      </w:r>
      <w:r w:rsidRPr="00A259BD">
        <w:rPr>
          <w:rFonts w:ascii="Times New Roman" w:hAnsi="Times New Roman" w:cs="Times New Roman"/>
          <w:color w:val="000000" w:themeColor="text1"/>
          <w:sz w:val="16"/>
          <w:szCs w:val="16"/>
          <w:lang w:val="en-US"/>
        </w:rPr>
        <w:t>R</w:t>
      </w:r>
      <w:r w:rsidRPr="00A259BD">
        <w:rPr>
          <w:rFonts w:ascii="Times New Roman" w:hAnsi="Times New Roman" w:cs="Times New Roman"/>
          <w:color w:val="000000" w:themeColor="text1"/>
          <w:sz w:val="16"/>
          <w:szCs w:val="16"/>
          <w:lang w:val="ru-RU"/>
        </w:rPr>
        <w:t>0</w:t>
      </w:r>
      <w:r w:rsidRPr="00A259BD">
        <w:rPr>
          <w:rFonts w:ascii="Times New Roman" w:hAnsi="Times New Roman" w:cs="Times New Roman"/>
          <w:color w:val="000000" w:themeColor="text1"/>
          <w:sz w:val="16"/>
          <w:szCs w:val="16"/>
          <w:lang w:val="en-US"/>
        </w:rPr>
        <w:t>DP</w:t>
      </w:r>
      <w:r w:rsidRPr="00A259BD">
        <w:rPr>
          <w:rFonts w:ascii="Times New Roman" w:hAnsi="Times New Roman" w:cs="Times New Roman"/>
          <w:color w:val="000000" w:themeColor="text1"/>
          <w:sz w:val="16"/>
          <w:szCs w:val="16"/>
          <w:lang w:val="ru-RU"/>
        </w:rPr>
        <w:t xml:space="preserve">, </w:t>
      </w:r>
      <w:r w:rsidRPr="00A259BD">
        <w:rPr>
          <w:rFonts w:ascii="Times New Roman" w:hAnsi="Times New Roman" w:cs="Times New Roman"/>
          <w:color w:val="000000" w:themeColor="text1"/>
          <w:sz w:val="16"/>
          <w:szCs w:val="16"/>
        </w:rPr>
        <w:t>принадле</w:t>
      </w:r>
      <w:r w:rsidRPr="00A259BD">
        <w:rPr>
          <w:rFonts w:ascii="Times New Roman" w:hAnsi="Times New Roman" w:cs="Times New Roman"/>
          <w:color w:val="000000" w:themeColor="text1"/>
          <w:sz w:val="16"/>
          <w:szCs w:val="16"/>
        </w:rPr>
        <w:softHyphen/>
        <w:t>жавший Башкирскому отделению Осоавиахи</w:t>
      </w:r>
      <w:r w:rsidRPr="00A259BD">
        <w:rPr>
          <w:rFonts w:ascii="Times New Roman" w:hAnsi="Times New Roman" w:cs="Times New Roman"/>
          <w:color w:val="000000" w:themeColor="text1"/>
          <w:sz w:val="16"/>
          <w:szCs w:val="16"/>
        </w:rPr>
        <w:softHyphen/>
        <w:t>ма.</w:t>
      </w:r>
      <w:r w:rsidRPr="00A259BD">
        <w:rPr>
          <w:rFonts w:ascii="Times New Roman" w:hAnsi="Times New Roman" w:cs="Times New Roman"/>
          <w:color w:val="000000" w:themeColor="text1"/>
          <w:sz w:val="16"/>
          <w:szCs w:val="16"/>
          <w:lang w:val="ru-RU"/>
        </w:rPr>
        <w:t xml:space="preserve"> В</w:t>
      </w:r>
      <w:r w:rsidRPr="00A259BD">
        <w:rPr>
          <w:rFonts w:ascii="Times New Roman" w:hAnsi="Times New Roman" w:cs="Times New Roman"/>
          <w:color w:val="000000" w:themeColor="text1"/>
          <w:sz w:val="16"/>
          <w:szCs w:val="16"/>
        </w:rPr>
        <w:t xml:space="preserve"> Осоавиахим</w:t>
      </w:r>
      <w:r w:rsidRPr="00A259BD">
        <w:rPr>
          <w:rFonts w:ascii="Times New Roman" w:hAnsi="Times New Roman" w:cs="Times New Roman"/>
          <w:color w:val="000000" w:themeColor="text1"/>
          <w:sz w:val="16"/>
          <w:szCs w:val="16"/>
          <w:lang w:val="ru-RU"/>
        </w:rPr>
        <w:t>е</w:t>
      </w:r>
      <w:r w:rsidRPr="00A259BD">
        <w:rPr>
          <w:rFonts w:ascii="Times New Roman" w:hAnsi="Times New Roman" w:cs="Times New Roman"/>
          <w:color w:val="000000" w:themeColor="text1"/>
          <w:sz w:val="16"/>
          <w:szCs w:val="16"/>
        </w:rPr>
        <w:t xml:space="preserve"> «Фарманы», «Вуазены» и «девятки» </w:t>
      </w:r>
      <w:r w:rsidRPr="00A259BD">
        <w:rPr>
          <w:rFonts w:ascii="Times New Roman" w:hAnsi="Times New Roman" w:cs="Times New Roman"/>
          <w:color w:val="000000" w:themeColor="text1"/>
          <w:sz w:val="16"/>
          <w:szCs w:val="16"/>
          <w:lang w:val="ru-RU"/>
        </w:rPr>
        <w:t xml:space="preserve">Григоровича </w:t>
      </w:r>
      <w:r w:rsidRPr="00A259BD">
        <w:rPr>
          <w:rFonts w:ascii="Times New Roman" w:hAnsi="Times New Roman" w:cs="Times New Roman"/>
          <w:color w:val="000000" w:themeColor="text1"/>
          <w:sz w:val="16"/>
          <w:szCs w:val="16"/>
        </w:rPr>
        <w:t>летали до полного физического износа. Последней эксплуатировавшейся лодкой Григоровича, вероятно, стал самолет с серийным номером №1716 и регистрацион</w:t>
      </w:r>
      <w:r w:rsidRPr="00A259BD">
        <w:rPr>
          <w:rFonts w:ascii="Times New Roman" w:hAnsi="Times New Roman" w:cs="Times New Roman"/>
          <w:color w:val="000000" w:themeColor="text1"/>
          <w:sz w:val="16"/>
          <w:szCs w:val="16"/>
        </w:rPr>
        <w:softHyphen/>
        <w:t xml:space="preserve">ным кодом </w:t>
      </w:r>
      <w:r w:rsidRPr="00A259BD">
        <w:rPr>
          <w:rFonts w:ascii="Times New Roman" w:hAnsi="Times New Roman" w:cs="Times New Roman"/>
          <w:color w:val="000000" w:themeColor="text1"/>
          <w:sz w:val="16"/>
          <w:szCs w:val="16"/>
          <w:lang w:val="en-US"/>
        </w:rPr>
        <w:t>R</w:t>
      </w:r>
      <w:r w:rsidRPr="00A259BD">
        <w:rPr>
          <w:rFonts w:ascii="Times New Roman" w:hAnsi="Times New Roman" w:cs="Times New Roman"/>
          <w:color w:val="000000" w:themeColor="text1"/>
          <w:sz w:val="16"/>
          <w:szCs w:val="16"/>
          <w:lang w:val="ru-RU"/>
        </w:rPr>
        <w:t>-</w:t>
      </w:r>
      <w:r w:rsidRPr="00A259BD">
        <w:rPr>
          <w:rFonts w:ascii="Times New Roman" w:hAnsi="Times New Roman" w:cs="Times New Roman"/>
          <w:color w:val="000000" w:themeColor="text1"/>
          <w:sz w:val="16"/>
          <w:szCs w:val="16"/>
          <w:lang w:val="en-US"/>
        </w:rPr>
        <w:t>R</w:t>
      </w:r>
      <w:r w:rsidRPr="00A259BD">
        <w:rPr>
          <w:rFonts w:ascii="Times New Roman" w:hAnsi="Times New Roman" w:cs="Times New Roman"/>
          <w:color w:val="000000" w:themeColor="text1"/>
          <w:sz w:val="16"/>
          <w:szCs w:val="16"/>
          <w:lang w:val="ru-RU"/>
        </w:rPr>
        <w:t>0</w:t>
      </w:r>
      <w:r w:rsidRPr="00A259BD">
        <w:rPr>
          <w:rFonts w:ascii="Times New Roman" w:hAnsi="Times New Roman" w:cs="Times New Roman"/>
          <w:color w:val="000000" w:themeColor="text1"/>
          <w:sz w:val="16"/>
          <w:szCs w:val="16"/>
          <w:lang w:val="en-US"/>
        </w:rPr>
        <w:t>DM</w:t>
      </w:r>
      <w:r w:rsidRPr="00A259BD">
        <w:rPr>
          <w:rFonts w:ascii="Times New Roman" w:hAnsi="Times New Roman" w:cs="Times New Roman"/>
          <w:color w:val="000000" w:themeColor="text1"/>
          <w:sz w:val="16"/>
          <w:szCs w:val="16"/>
          <w:lang w:val="ru-RU"/>
        </w:rPr>
        <w:t xml:space="preserve">, </w:t>
      </w:r>
      <w:r w:rsidRPr="00A259BD">
        <w:rPr>
          <w:rFonts w:ascii="Times New Roman" w:hAnsi="Times New Roman" w:cs="Times New Roman"/>
          <w:color w:val="000000" w:themeColor="text1"/>
          <w:sz w:val="16"/>
          <w:szCs w:val="16"/>
        </w:rPr>
        <w:t>служивший в ульянов</w:t>
      </w:r>
      <w:r w:rsidRPr="00A259BD">
        <w:rPr>
          <w:rFonts w:ascii="Times New Roman" w:hAnsi="Times New Roman" w:cs="Times New Roman"/>
          <w:color w:val="000000" w:themeColor="text1"/>
          <w:sz w:val="16"/>
          <w:szCs w:val="16"/>
        </w:rPr>
        <w:softHyphen/>
        <w:t>ском отделении «Осоавиахима» до 1928 года включительно</w:t>
      </w:r>
      <w:r w:rsidRPr="00A259BD">
        <w:rPr>
          <w:rFonts w:ascii="Times New Roman" w:hAnsi="Times New Roman" w:cs="Times New Roman"/>
          <w:color w:val="000000" w:themeColor="text1"/>
          <w:sz w:val="16"/>
          <w:szCs w:val="16"/>
          <w:lang w:val="ru-RU"/>
        </w:rPr>
        <w:t xml:space="preserve">. </w:t>
      </w:r>
      <w:r w:rsidRPr="00A259BD">
        <w:rPr>
          <w:rFonts w:ascii="Times New Roman" w:hAnsi="Times New Roman" w:cs="Times New Roman"/>
          <w:color w:val="000000" w:themeColor="text1"/>
          <w:sz w:val="16"/>
          <w:szCs w:val="16"/>
        </w:rPr>
        <w:t xml:space="preserve">На сегодняшний день в </w:t>
      </w:r>
      <w:proofErr w:type="spellStart"/>
      <w:r w:rsidRPr="00A259BD">
        <w:rPr>
          <w:rFonts w:ascii="Times New Roman" w:hAnsi="Times New Roman" w:cs="Times New Roman"/>
          <w:color w:val="000000" w:themeColor="text1"/>
          <w:sz w:val="16"/>
          <w:szCs w:val="16"/>
        </w:rPr>
        <w:t>монинском</w:t>
      </w:r>
      <w:proofErr w:type="spellEnd"/>
      <w:r w:rsidRPr="00A259BD">
        <w:rPr>
          <w:rFonts w:ascii="Times New Roman" w:hAnsi="Times New Roman" w:cs="Times New Roman"/>
          <w:color w:val="000000" w:themeColor="text1"/>
          <w:sz w:val="16"/>
          <w:szCs w:val="16"/>
        </w:rPr>
        <w:t xml:space="preserve"> музее ВВС экспонируются, как минимум, два мотора семейства «</w:t>
      </w:r>
      <w:proofErr w:type="spellStart"/>
      <w:r w:rsidRPr="00A259BD">
        <w:rPr>
          <w:rFonts w:ascii="Times New Roman" w:hAnsi="Times New Roman" w:cs="Times New Roman"/>
          <w:color w:val="000000" w:themeColor="text1"/>
          <w:sz w:val="16"/>
          <w:szCs w:val="16"/>
        </w:rPr>
        <w:t>Сальмсон</w:t>
      </w:r>
      <w:proofErr w:type="spellEnd"/>
      <w:r w:rsidRPr="00A259BD">
        <w:rPr>
          <w:rFonts w:ascii="Times New Roman" w:hAnsi="Times New Roman" w:cs="Times New Roman"/>
          <w:color w:val="000000" w:themeColor="text1"/>
          <w:sz w:val="16"/>
          <w:szCs w:val="16"/>
        </w:rPr>
        <w:t xml:space="preserve">». Один Р-9 стоит на самолете </w:t>
      </w:r>
      <w:r w:rsidRPr="00A259BD">
        <w:rPr>
          <w:rFonts w:ascii="Times New Roman" w:hAnsi="Times New Roman" w:cs="Times New Roman"/>
          <w:color w:val="000000" w:themeColor="text1"/>
          <w:sz w:val="16"/>
          <w:szCs w:val="16"/>
          <w:lang w:val="en-US"/>
        </w:rPr>
        <w:t>Voisin</w:t>
      </w:r>
      <w:r w:rsidRPr="00A259BD">
        <w:rPr>
          <w:rFonts w:ascii="Times New Roman" w:hAnsi="Times New Roman" w:cs="Times New Roman"/>
          <w:color w:val="000000" w:themeColor="text1"/>
          <w:sz w:val="16"/>
          <w:szCs w:val="16"/>
          <w:lang w:val="ru-RU"/>
        </w:rPr>
        <w:t xml:space="preserve"> </w:t>
      </w:r>
      <w:r w:rsidRPr="00A259BD">
        <w:rPr>
          <w:rFonts w:ascii="Times New Roman" w:hAnsi="Times New Roman" w:cs="Times New Roman"/>
          <w:color w:val="000000" w:themeColor="text1"/>
          <w:sz w:val="16"/>
          <w:szCs w:val="16"/>
          <w:lang w:val="en-US"/>
        </w:rPr>
        <w:t>LAS</w:t>
      </w:r>
      <w:r w:rsidRPr="00A259BD">
        <w:rPr>
          <w:rFonts w:ascii="Times New Roman" w:hAnsi="Times New Roman" w:cs="Times New Roman"/>
          <w:color w:val="000000" w:themeColor="text1"/>
          <w:sz w:val="16"/>
          <w:szCs w:val="16"/>
          <w:lang w:val="ru-RU"/>
        </w:rPr>
        <w:t xml:space="preserve"> </w:t>
      </w:r>
      <w:r w:rsidRPr="00A259BD">
        <w:rPr>
          <w:rFonts w:ascii="Times New Roman" w:hAnsi="Times New Roman" w:cs="Times New Roman"/>
          <w:color w:val="000000" w:themeColor="text1"/>
          <w:sz w:val="16"/>
          <w:szCs w:val="16"/>
        </w:rPr>
        <w:t xml:space="preserve">и еще </w:t>
      </w:r>
      <w:r w:rsidRPr="00A259BD">
        <w:rPr>
          <w:rFonts w:ascii="Times New Roman" w:hAnsi="Times New Roman" w:cs="Times New Roman"/>
          <w:color w:val="000000" w:themeColor="text1"/>
          <w:sz w:val="16"/>
          <w:szCs w:val="16"/>
          <w:lang w:val="en-US"/>
        </w:rPr>
        <w:t>R</w:t>
      </w:r>
      <w:r w:rsidRPr="00A259BD">
        <w:rPr>
          <w:rFonts w:ascii="Times New Roman" w:hAnsi="Times New Roman" w:cs="Times New Roman"/>
          <w:color w:val="000000" w:themeColor="text1"/>
          <w:sz w:val="16"/>
          <w:szCs w:val="16"/>
          <w:lang w:val="ru-RU"/>
        </w:rPr>
        <w:t xml:space="preserve">9 </w:t>
      </w:r>
      <w:r w:rsidRPr="00A259BD">
        <w:rPr>
          <w:rFonts w:ascii="Times New Roman" w:hAnsi="Times New Roman" w:cs="Times New Roman"/>
          <w:color w:val="000000" w:themeColor="text1"/>
          <w:sz w:val="16"/>
          <w:szCs w:val="16"/>
        </w:rPr>
        <w:t>есть на стенде в зале авиадвигателей. «</w:t>
      </w:r>
      <w:proofErr w:type="spellStart"/>
      <w:r w:rsidRPr="00A259BD">
        <w:rPr>
          <w:rFonts w:ascii="Times New Roman" w:hAnsi="Times New Roman" w:cs="Times New Roman"/>
          <w:color w:val="000000" w:themeColor="text1"/>
          <w:sz w:val="16"/>
          <w:szCs w:val="16"/>
        </w:rPr>
        <w:t>Сальмсоны</w:t>
      </w:r>
      <w:proofErr w:type="spellEnd"/>
      <w:r w:rsidRPr="00A259BD">
        <w:rPr>
          <w:rFonts w:ascii="Times New Roman" w:hAnsi="Times New Roman" w:cs="Times New Roman"/>
          <w:color w:val="000000" w:themeColor="text1"/>
          <w:sz w:val="16"/>
          <w:szCs w:val="16"/>
        </w:rPr>
        <w:t>» Р-9 рос</w:t>
      </w:r>
      <w:r w:rsidRPr="00A259BD">
        <w:rPr>
          <w:rFonts w:ascii="Times New Roman" w:hAnsi="Times New Roman" w:cs="Times New Roman"/>
          <w:color w:val="000000" w:themeColor="text1"/>
          <w:sz w:val="16"/>
          <w:szCs w:val="16"/>
        </w:rPr>
        <w:softHyphen/>
        <w:t xml:space="preserve">сийского производства можно также увидеть в экспозиции </w:t>
      </w:r>
      <w:proofErr w:type="spellStart"/>
      <w:r w:rsidRPr="00A259BD">
        <w:rPr>
          <w:rFonts w:ascii="Times New Roman" w:hAnsi="Times New Roman" w:cs="Times New Roman"/>
          <w:color w:val="000000" w:themeColor="text1"/>
          <w:sz w:val="16"/>
          <w:szCs w:val="16"/>
        </w:rPr>
        <w:t>музев</w:t>
      </w:r>
      <w:proofErr w:type="spellEnd"/>
      <w:r w:rsidRPr="00A259BD">
        <w:rPr>
          <w:rFonts w:ascii="Times New Roman" w:hAnsi="Times New Roman" w:cs="Times New Roman"/>
          <w:color w:val="000000" w:themeColor="text1"/>
          <w:sz w:val="16"/>
          <w:szCs w:val="16"/>
        </w:rPr>
        <w:t xml:space="preserve"> в Загребе (Хорватии) и Кошице (Словакия). В Праге (Чехия) выстав</w:t>
      </w:r>
      <w:r w:rsidRPr="00A259BD">
        <w:rPr>
          <w:rFonts w:ascii="Times New Roman" w:hAnsi="Times New Roman" w:cs="Times New Roman"/>
          <w:color w:val="000000" w:themeColor="text1"/>
          <w:sz w:val="16"/>
          <w:szCs w:val="16"/>
        </w:rPr>
        <w:softHyphen/>
        <w:t>лено даже два мотора Р-9 - один на стенде, а второй на единственном сохранившемся самолете «</w:t>
      </w:r>
      <w:proofErr w:type="spellStart"/>
      <w:r w:rsidRPr="00A259BD">
        <w:rPr>
          <w:rFonts w:ascii="Times New Roman" w:hAnsi="Times New Roman" w:cs="Times New Roman"/>
          <w:color w:val="000000" w:themeColor="text1"/>
          <w:sz w:val="16"/>
          <w:szCs w:val="16"/>
        </w:rPr>
        <w:t>Анатра</w:t>
      </w:r>
      <w:proofErr w:type="spellEnd"/>
      <w:r w:rsidRPr="00A259BD">
        <w:rPr>
          <w:rFonts w:ascii="Times New Roman" w:hAnsi="Times New Roman" w:cs="Times New Roman"/>
          <w:color w:val="000000" w:themeColor="text1"/>
          <w:sz w:val="16"/>
          <w:szCs w:val="16"/>
        </w:rPr>
        <w:t xml:space="preserve"> </w:t>
      </w:r>
      <w:proofErr w:type="spellStart"/>
      <w:r w:rsidRPr="00A259BD">
        <w:rPr>
          <w:rFonts w:ascii="Times New Roman" w:hAnsi="Times New Roman" w:cs="Times New Roman"/>
          <w:color w:val="000000" w:themeColor="text1"/>
          <w:sz w:val="16"/>
          <w:szCs w:val="16"/>
        </w:rPr>
        <w:t>Анасаль</w:t>
      </w:r>
      <w:proofErr w:type="spellEnd"/>
      <w:r w:rsidRPr="00A259BD">
        <w:rPr>
          <w:rFonts w:ascii="Times New Roman" w:hAnsi="Times New Roman" w:cs="Times New Roman"/>
          <w:color w:val="000000" w:themeColor="text1"/>
          <w:sz w:val="16"/>
          <w:szCs w:val="16"/>
        </w:rPr>
        <w:t>»</w:t>
      </w:r>
      <w:r w:rsidRPr="00A259BD">
        <w:rPr>
          <w:rFonts w:ascii="Times New Roman" w:hAnsi="Times New Roman" w:cs="Times New Roman"/>
          <w:color w:val="000000" w:themeColor="text1"/>
          <w:sz w:val="16"/>
          <w:szCs w:val="16"/>
          <w:lang w:val="ru-RU"/>
        </w:rPr>
        <w:t xml:space="preserve"> (19862)</w:t>
      </w:r>
      <w:r w:rsidRPr="00A259BD">
        <w:rPr>
          <w:rFonts w:ascii="Times New Roman" w:hAnsi="Times New Roman" w:cs="Times New Roman"/>
          <w:color w:val="000000" w:themeColor="text1"/>
          <w:sz w:val="16"/>
          <w:szCs w:val="16"/>
        </w:rPr>
        <w:t>.</w:t>
      </w:r>
    </w:p>
    <w:p w14:paraId="6857CAB0" w14:textId="77777777" w:rsidR="004468C5" w:rsidRPr="00A259BD" w:rsidRDefault="004468C5" w:rsidP="009236E3">
      <w:pPr>
        <w:shd w:val="clear" w:color="auto" w:fill="FFFFFF"/>
        <w:spacing w:after="0" w:line="240" w:lineRule="auto"/>
        <w:jc w:val="both"/>
        <w:rPr>
          <w:rFonts w:ascii="Times New Roman" w:hAnsi="Times New Roman"/>
          <w:color w:val="000000" w:themeColor="text1"/>
          <w:sz w:val="16"/>
          <w:szCs w:val="16"/>
          <w:lang w:val="ru"/>
        </w:rPr>
      </w:pPr>
    </w:p>
    <w:p w14:paraId="5BD37153"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9AF53E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63345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сентября 1929 уже после ареста Н.Н.П. работы над ДИ-2 - двухместной версией И-3 - продолжались, т.к. хотели делать серию. Однако полеты были эпизодическими и работа тормозилась почти на год до 4 августа 1930, когда машина была разбита (3410).</w:t>
      </w:r>
    </w:p>
    <w:p w14:paraId="67F46A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6B186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1929 г. УВВС сообщило ЦАГИ о желании получить часть серийных ТБ-1 в морском варианте и сделало запрос о рекомендуемом типе поплавков. В ответе от 11 октября ЦАГИ предлагал использовать в качестве образца поплавки, поставляемые фирмой "Юнкере" для самолета ЮГ-1, с некоторой переделкой передней части. От проектирования новых поплавков институт отказался. 30 октября в УВВС решили заказать морское шасси в Англии, у известной фирмы "Шорт".</w:t>
      </w:r>
    </w:p>
    <w:p w14:paraId="037807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 тут срочно потребовались поплавки для перелета в Америку. Скопировав немецкую конструкцию, их изготовили по чертежам ЦАГИ на заводе № 22. В Таганроге поплавки смонтировали на "дублере" и успешно испытали. Там самолет потерпел аварию - разрушилась лопасть винта, но машину быстро отремонтировали. Впоследствии на этих поплавках "Страна Советов" благополучно проделала значительную часть своего маршрута.</w:t>
      </w:r>
    </w:p>
    <w:p w14:paraId="2ED54E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Тем временем "Шорт" продала Советскому Союзу пару поплавков подходящей грузоподъемности. Они были немного больше использованных ранее и имели более "полные" очертания. В апреле 1931 г. в Таганрог перегнали один из серийных ТБ-1. Три месяца заняли его сборка и установка на поплавки. 15 июня машину передали морскому отделу НИИ ВВС для госиспытаний. Их проводили в Севастополе до конца августа. Поплавковый вариант в АГОС назвали ТБ-1 а ("а" - от "</w:t>
      </w:r>
      <w:proofErr w:type="spellStart"/>
      <w:r w:rsidRPr="00A259BD">
        <w:rPr>
          <w:rFonts w:ascii="Times New Roman" w:hAnsi="Times New Roman"/>
          <w:color w:val="000000" w:themeColor="text1"/>
          <w:sz w:val="16"/>
          <w:szCs w:val="16"/>
        </w:rPr>
        <w:t>аква</w:t>
      </w:r>
      <w:proofErr w:type="spellEnd"/>
      <w:r w:rsidRPr="00A259BD">
        <w:rPr>
          <w:rFonts w:ascii="Times New Roman" w:hAnsi="Times New Roman"/>
          <w:color w:val="000000" w:themeColor="text1"/>
          <w:sz w:val="16"/>
          <w:szCs w:val="16"/>
        </w:rPr>
        <w:t>" - "вода").</w:t>
      </w:r>
    </w:p>
    <w:p w14:paraId="484420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Увеличение веса пустого самолета и дополнительное аэродинамическое сопротивление от поплавков, разумеется,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поплавковыми ЮГ-1 и летающими лодками "Валь", ТБ-1а выгодно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78A800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Начали готовиться к серийному производству поплавков. Английский образец обмерили и выполнили чертежи. Серию хотели поручить заводу № 22, но он был перегружен другими заказами. В результате документацию и поплавок-образец перевезли в Таганрог. Там их стали производить под названием "тип Ж" и устанавливать на самолеты, прибывавшие из Москвы.</w:t>
      </w:r>
    </w:p>
    <w:p w14:paraId="6023FC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Монтаж поплавков велся уже после прекращения производства ТБ-1. Всего доработке подверглись 66 самолетов. Серийные поплавковые бомбардировщики именовали ТБ-1П или иногда МТБ-1.</w:t>
      </w:r>
    </w:p>
    <w:p w14:paraId="5F98DF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Принятие на вооружение ТБ-1П сделало ненужным серийное производство другой машины, ТОМ-1. Этот самолет разрабатывался с августа 1928 г. в конструкторском бюро при заводе № 28 под руководством приглашенного из Франции конструктора П. Ришара. По схеме он был близок к ТБ-1П, но получился больше, тяжелее и имел гладкую, а не гофрированную обшивку. Опытный образец ТОМ-1 изготовили в декабре 1931 г. Хотя эта машина значительно превосходила ТБ-1 а по летным данным, от ее запуска в серию отказались из-за технологической сложности и дороговизны конструкции (12001).</w:t>
      </w:r>
    </w:p>
    <w:p w14:paraId="06BD91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E2E2F7" w14:textId="77777777" w:rsidR="00413B44" w:rsidRPr="00A259BD" w:rsidRDefault="00413B44" w:rsidP="009236E3">
      <w:pPr>
        <w:spacing w:after="0" w:line="240" w:lineRule="auto"/>
        <w:jc w:val="both"/>
        <w:rPr>
          <w:rFonts w:ascii="Times New Roman" w:hAnsi="Times New Roman"/>
          <w:color w:val="000000" w:themeColor="text1"/>
          <w:sz w:val="16"/>
          <w:szCs w:val="16"/>
          <w:lang w:eastAsia="ru-RU" w:bidi="ru-RU"/>
        </w:rPr>
      </w:pPr>
      <w:r w:rsidRPr="00A259BD">
        <w:rPr>
          <w:rFonts w:ascii="Times New Roman" w:hAnsi="Times New Roman"/>
          <w:color w:val="000000" w:themeColor="text1"/>
          <w:sz w:val="16"/>
          <w:szCs w:val="16"/>
          <w:lang w:eastAsia="ru-RU" w:bidi="ru-RU"/>
        </w:rPr>
        <w:t>В сентябре 1929 г. УВВС сообщило ЦАГИ о желании по</w:t>
      </w:r>
      <w:r w:rsidRPr="00A259BD">
        <w:rPr>
          <w:rFonts w:ascii="Times New Roman" w:hAnsi="Times New Roman"/>
          <w:color w:val="000000" w:themeColor="text1"/>
          <w:sz w:val="16"/>
          <w:szCs w:val="16"/>
          <w:lang w:eastAsia="ru-RU" w:bidi="ru-RU"/>
        </w:rPr>
        <w:softHyphen/>
        <w:t>лучить часть серийных ТБ-1 в морском варианте и сдела</w:t>
      </w:r>
      <w:r w:rsidRPr="00A259BD">
        <w:rPr>
          <w:rFonts w:ascii="Times New Roman" w:hAnsi="Times New Roman"/>
          <w:color w:val="000000" w:themeColor="text1"/>
          <w:sz w:val="16"/>
          <w:szCs w:val="16"/>
          <w:lang w:eastAsia="ru-RU" w:bidi="ru-RU"/>
        </w:rPr>
        <w:softHyphen/>
        <w:t>ло запрос о рекомендуемом типе поплавков (20325).</w:t>
      </w:r>
    </w:p>
    <w:p w14:paraId="432A0668" w14:textId="77777777" w:rsidR="00413B44" w:rsidRPr="00A259BD" w:rsidRDefault="00413B44" w:rsidP="009236E3">
      <w:pPr>
        <w:spacing w:after="0" w:line="240" w:lineRule="auto"/>
        <w:jc w:val="both"/>
        <w:rPr>
          <w:rFonts w:ascii="Times New Roman" w:hAnsi="Times New Roman"/>
          <w:color w:val="000000" w:themeColor="text1"/>
          <w:sz w:val="16"/>
          <w:szCs w:val="16"/>
          <w:lang w:eastAsia="ru-RU" w:bidi="ru-RU"/>
        </w:rPr>
      </w:pPr>
    </w:p>
    <w:p w14:paraId="218770A6" w14:textId="77777777" w:rsidR="00A863E1" w:rsidRPr="00441F34" w:rsidRDefault="00A863E1" w:rsidP="00A863E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сентябре 1929 г. НТК УВВС также поставило перед КБ А.Н.Т. задачу создать по</w:t>
      </w:r>
      <w:r w:rsidRPr="00441F34">
        <w:rPr>
          <w:rFonts w:ascii="Times New Roman" w:hAnsi="Times New Roman"/>
          <w:color w:val="0070C0"/>
          <w:sz w:val="16"/>
          <w:szCs w:val="16"/>
        </w:rPr>
        <w:softHyphen/>
        <w:t>плавковый вариант бомбардировщика. Он получил обозначение ТБ—1П. Однако Туполев взять на себя эту работу не смог, но сообщил, что для ТБ—1 подойдут по</w:t>
      </w:r>
      <w:r w:rsidRPr="00441F34">
        <w:rPr>
          <w:rFonts w:ascii="Times New Roman" w:hAnsi="Times New Roman"/>
          <w:color w:val="0070C0"/>
          <w:sz w:val="16"/>
          <w:szCs w:val="16"/>
        </w:rPr>
        <w:softHyphen/>
        <w:t>плавки от самолета ЮГ—1 с некоторой переделкой носовой части. ТБ—1П ус</w:t>
      </w:r>
      <w:r w:rsidRPr="00441F34">
        <w:rPr>
          <w:rFonts w:ascii="Times New Roman" w:hAnsi="Times New Roman"/>
          <w:color w:val="0070C0"/>
          <w:sz w:val="16"/>
          <w:szCs w:val="16"/>
        </w:rPr>
        <w:softHyphen/>
        <w:t>пешно прошел государственные испы</w:t>
      </w:r>
      <w:r w:rsidRPr="00441F34">
        <w:rPr>
          <w:rFonts w:ascii="Times New Roman" w:hAnsi="Times New Roman"/>
          <w:color w:val="0070C0"/>
          <w:sz w:val="16"/>
          <w:szCs w:val="16"/>
        </w:rPr>
        <w:softHyphen/>
        <w:t>тания и с 15 июня по август 1931 г. был запущен в серийное производство. Все</w:t>
      </w:r>
      <w:r w:rsidRPr="00441F34">
        <w:rPr>
          <w:rFonts w:ascii="Times New Roman" w:hAnsi="Times New Roman"/>
          <w:color w:val="0070C0"/>
          <w:sz w:val="16"/>
          <w:szCs w:val="16"/>
        </w:rPr>
        <w:softHyphen/>
        <w:t>го завод №31 в Таганроге построил 66 (23474).</w:t>
      </w:r>
    </w:p>
    <w:p w14:paraId="63F961AD" w14:textId="77777777" w:rsidR="00A863E1" w:rsidRPr="00441F34" w:rsidRDefault="00A863E1" w:rsidP="00A863E1">
      <w:pPr>
        <w:spacing w:after="0" w:line="240" w:lineRule="auto"/>
        <w:jc w:val="both"/>
        <w:rPr>
          <w:rFonts w:ascii="Times New Roman" w:hAnsi="Times New Roman"/>
          <w:color w:val="0070C0"/>
          <w:sz w:val="16"/>
          <w:szCs w:val="16"/>
        </w:rPr>
      </w:pPr>
    </w:p>
    <w:p w14:paraId="3183ED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сентябрю 1929 г. предваритель</w:t>
      </w:r>
      <w:r w:rsidRPr="00A259BD">
        <w:rPr>
          <w:rFonts w:ascii="Times New Roman" w:hAnsi="Times New Roman"/>
          <w:color w:val="000000" w:themeColor="text1"/>
          <w:sz w:val="16"/>
          <w:szCs w:val="16"/>
        </w:rPr>
        <w:softHyphen/>
        <w:t>ный эскизный проект И-3 на поплавках был завершен. После отстранения Николая Николаевича от активной конструкторской де</w:t>
      </w:r>
      <w:r w:rsidRPr="00A259BD">
        <w:rPr>
          <w:rFonts w:ascii="Times New Roman" w:hAnsi="Times New Roman"/>
          <w:color w:val="000000" w:themeColor="text1"/>
          <w:sz w:val="16"/>
          <w:szCs w:val="16"/>
        </w:rPr>
        <w:softHyphen/>
        <w:t>ятельности в октябре 1929 г. все работы над ним прекра</w:t>
      </w:r>
      <w:r w:rsidRPr="00A259BD">
        <w:rPr>
          <w:rFonts w:ascii="Times New Roman" w:hAnsi="Times New Roman"/>
          <w:color w:val="000000" w:themeColor="text1"/>
          <w:sz w:val="16"/>
          <w:szCs w:val="16"/>
        </w:rPr>
        <w:softHyphen/>
        <w:t>тились (10667).</w:t>
      </w:r>
    </w:p>
    <w:p w14:paraId="2D47FA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6C0A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1929 12 И-3 БМВ-6 были переданы на войсковые испытания, которые шли до 1 октября 1929 (1028,81).</w:t>
      </w:r>
    </w:p>
    <w:p w14:paraId="74E4F7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C564A3" w14:textId="77777777" w:rsidR="00A863E1" w:rsidRPr="00441F34" w:rsidRDefault="00A863E1" w:rsidP="00A863E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сентября по 1 (по др. данным 6) октября 1929 г. в 15-й авиабригаде проведены войсковые испытания полученных 12 самолетов И-3, на которых отмечен быстрый выход из строя самолетов (к концу испытаний исправных осталось 7).</w:t>
      </w:r>
    </w:p>
    <w:p w14:paraId="02B2A326" w14:textId="77777777" w:rsidR="00A863E1" w:rsidRPr="00441F34" w:rsidRDefault="00A863E1" w:rsidP="00A863E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 октября 1929 г. командир 15-й авиабригады ст. военный летчик Лопатин письмом №2275с доложил о результатах войсковых испытаний начальнику ВВС, начальнику НИИ УВВС, начальнику УСС УВВС и начальнику ВВС БВО, обратив внимание на выход из строя двух самолетов.</w:t>
      </w:r>
    </w:p>
    <w:p w14:paraId="1A29ABDE" w14:textId="77777777" w:rsidR="00A863E1" w:rsidRPr="00441F34" w:rsidRDefault="00A863E1" w:rsidP="00A863E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8 октября 1929 г. результаты войсковых испытаний И-3 обсуждены на заседании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(протокол №4) (24887).</w:t>
      </w:r>
    </w:p>
    <w:p w14:paraId="4BB32CEE" w14:textId="77777777" w:rsidR="00A863E1" w:rsidRPr="00441F34" w:rsidRDefault="00A863E1" w:rsidP="00A863E1">
      <w:pPr>
        <w:spacing w:after="0" w:line="240" w:lineRule="auto"/>
        <w:jc w:val="both"/>
        <w:rPr>
          <w:rFonts w:ascii="Times New Roman" w:hAnsi="Times New Roman"/>
          <w:color w:val="0070C0"/>
          <w:sz w:val="16"/>
          <w:szCs w:val="16"/>
        </w:rPr>
      </w:pPr>
    </w:p>
    <w:p w14:paraId="7CF51C84" w14:textId="77777777" w:rsidR="00A863E1" w:rsidRPr="00441F34" w:rsidRDefault="00A863E1" w:rsidP="00A863E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сентябре 1929 года опытный самолет АНТ-7 или Р-6 вышел на испытания.</w:t>
      </w:r>
    </w:p>
    <w:p w14:paraId="6253FE32" w14:textId="77777777" w:rsidR="00A863E1" w:rsidRPr="00441F34" w:rsidRDefault="00A863E1" w:rsidP="00A863E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Строился серийно с 1931 по 1936 год.</w:t>
      </w:r>
    </w:p>
    <w:p w14:paraId="4B4BA2F3" w14:textId="77777777" w:rsidR="00A863E1" w:rsidRPr="00441F34" w:rsidRDefault="00A863E1" w:rsidP="00A863E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Построено более 400 машин различных модификаций.</w:t>
      </w:r>
    </w:p>
    <w:p w14:paraId="2FB71580" w14:textId="77777777" w:rsidR="00A863E1" w:rsidRPr="00441F34" w:rsidRDefault="00A863E1" w:rsidP="00A863E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Состоял на вооружении частей ВВС РККА с начала 1930-х годов.</w:t>
      </w:r>
    </w:p>
    <w:p w14:paraId="1DC0A572" w14:textId="77777777" w:rsidR="00A863E1" w:rsidRPr="00441F34" w:rsidRDefault="00A863E1" w:rsidP="00A863E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Основные характеристики самолетов АНТ-7</w:t>
      </w:r>
    </w:p>
    <w:tbl>
      <w:tblPr>
        <w:tblOverlap w:val="never"/>
        <w:tblW w:w="0" w:type="auto"/>
        <w:tblLayout w:type="fixed"/>
        <w:tblCellMar>
          <w:left w:w="10" w:type="dxa"/>
          <w:right w:w="10" w:type="dxa"/>
        </w:tblCellMar>
        <w:tblLook w:val="04A0" w:firstRow="1" w:lastRow="0" w:firstColumn="1" w:lastColumn="0" w:noHBand="0" w:noVBand="1"/>
      </w:tblPr>
      <w:tblGrid>
        <w:gridCol w:w="2419"/>
        <w:gridCol w:w="955"/>
        <w:gridCol w:w="1128"/>
        <w:gridCol w:w="1219"/>
      </w:tblGrid>
      <w:tr w:rsidR="00A863E1" w:rsidRPr="00441F34" w14:paraId="63E37FB5" w14:textId="77777777" w:rsidTr="004B2EA4">
        <w:trPr>
          <w:trHeight w:val="480"/>
        </w:trPr>
        <w:tc>
          <w:tcPr>
            <w:tcW w:w="2419" w:type="dxa"/>
            <w:tcBorders>
              <w:top w:val="single" w:sz="4" w:space="0" w:color="auto"/>
              <w:left w:val="single" w:sz="4" w:space="0" w:color="auto"/>
            </w:tcBorders>
            <w:shd w:val="clear" w:color="auto" w:fill="auto"/>
          </w:tcPr>
          <w:p w14:paraId="0297C702" w14:textId="77777777" w:rsidR="00A863E1" w:rsidRPr="00441F34" w:rsidRDefault="00A863E1" w:rsidP="004B2EA4">
            <w:pPr>
              <w:spacing w:after="0" w:line="240" w:lineRule="auto"/>
              <w:jc w:val="both"/>
              <w:rPr>
                <w:rFonts w:ascii="Times New Roman" w:hAnsi="Times New Roman"/>
                <w:color w:val="0070C0"/>
                <w:sz w:val="16"/>
                <w:szCs w:val="16"/>
              </w:rPr>
            </w:pPr>
          </w:p>
        </w:tc>
        <w:tc>
          <w:tcPr>
            <w:tcW w:w="955" w:type="dxa"/>
            <w:tcBorders>
              <w:top w:val="single" w:sz="4" w:space="0" w:color="auto"/>
            </w:tcBorders>
            <w:shd w:val="clear" w:color="auto" w:fill="auto"/>
            <w:vAlign w:val="bottom"/>
          </w:tcPr>
          <w:p w14:paraId="13BA3ADF"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АНТ-7 опытный</w:t>
            </w:r>
          </w:p>
        </w:tc>
        <w:tc>
          <w:tcPr>
            <w:tcW w:w="1128" w:type="dxa"/>
            <w:tcBorders>
              <w:top w:val="single" w:sz="4" w:space="0" w:color="auto"/>
            </w:tcBorders>
            <w:shd w:val="clear" w:color="auto" w:fill="auto"/>
            <w:vAlign w:val="bottom"/>
          </w:tcPr>
          <w:p w14:paraId="6A7137C1"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Р-6 серийный</w:t>
            </w:r>
          </w:p>
        </w:tc>
        <w:tc>
          <w:tcPr>
            <w:tcW w:w="1219" w:type="dxa"/>
            <w:tcBorders>
              <w:top w:val="single" w:sz="4" w:space="0" w:color="auto"/>
              <w:right w:val="single" w:sz="4" w:space="0" w:color="auto"/>
            </w:tcBorders>
            <w:shd w:val="clear" w:color="auto" w:fill="auto"/>
            <w:vAlign w:val="bottom"/>
          </w:tcPr>
          <w:p w14:paraId="1474E78B"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КР-ба №2202</w:t>
            </w:r>
          </w:p>
        </w:tc>
      </w:tr>
      <w:tr w:rsidR="00A863E1" w:rsidRPr="00441F34" w14:paraId="5182AF9E" w14:textId="77777777" w:rsidTr="004B2EA4">
        <w:trPr>
          <w:trHeight w:val="206"/>
        </w:trPr>
        <w:tc>
          <w:tcPr>
            <w:tcW w:w="2419" w:type="dxa"/>
            <w:tcBorders>
              <w:left w:val="single" w:sz="4" w:space="0" w:color="auto"/>
            </w:tcBorders>
            <w:shd w:val="clear" w:color="auto" w:fill="auto"/>
          </w:tcPr>
          <w:p w14:paraId="29A73625"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Число и тип двигателя</w:t>
            </w:r>
          </w:p>
        </w:tc>
        <w:tc>
          <w:tcPr>
            <w:tcW w:w="955" w:type="dxa"/>
            <w:shd w:val="clear" w:color="auto" w:fill="auto"/>
          </w:tcPr>
          <w:p w14:paraId="0ED4F8CB"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2xBMW VI</w:t>
            </w:r>
          </w:p>
        </w:tc>
        <w:tc>
          <w:tcPr>
            <w:tcW w:w="1128" w:type="dxa"/>
            <w:shd w:val="clear" w:color="auto" w:fill="auto"/>
          </w:tcPr>
          <w:p w14:paraId="1B5944F0"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2xBMW VI</w:t>
            </w:r>
          </w:p>
        </w:tc>
        <w:tc>
          <w:tcPr>
            <w:tcW w:w="1219" w:type="dxa"/>
            <w:tcBorders>
              <w:right w:val="single" w:sz="4" w:space="0" w:color="auto"/>
            </w:tcBorders>
            <w:shd w:val="clear" w:color="auto" w:fill="auto"/>
          </w:tcPr>
          <w:p w14:paraId="4AB65FB6"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2xBMW VI</w:t>
            </w:r>
          </w:p>
        </w:tc>
      </w:tr>
      <w:tr w:rsidR="00A863E1" w:rsidRPr="00441F34" w14:paraId="0603C8F6" w14:textId="77777777" w:rsidTr="004B2EA4">
        <w:trPr>
          <w:trHeight w:val="226"/>
        </w:trPr>
        <w:tc>
          <w:tcPr>
            <w:tcW w:w="2419" w:type="dxa"/>
            <w:tcBorders>
              <w:left w:val="single" w:sz="4" w:space="0" w:color="auto"/>
            </w:tcBorders>
            <w:shd w:val="clear" w:color="auto" w:fill="auto"/>
          </w:tcPr>
          <w:p w14:paraId="1D982CD2"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Мощность, л. с.</w:t>
            </w:r>
          </w:p>
        </w:tc>
        <w:tc>
          <w:tcPr>
            <w:tcW w:w="955" w:type="dxa"/>
            <w:shd w:val="clear" w:color="auto" w:fill="auto"/>
          </w:tcPr>
          <w:p w14:paraId="71FC47C2"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2x730</w:t>
            </w:r>
          </w:p>
        </w:tc>
        <w:tc>
          <w:tcPr>
            <w:tcW w:w="1128" w:type="dxa"/>
            <w:shd w:val="clear" w:color="auto" w:fill="auto"/>
          </w:tcPr>
          <w:p w14:paraId="7659C4A6"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2x730</w:t>
            </w:r>
          </w:p>
        </w:tc>
        <w:tc>
          <w:tcPr>
            <w:tcW w:w="1219" w:type="dxa"/>
            <w:tcBorders>
              <w:right w:val="single" w:sz="4" w:space="0" w:color="auto"/>
            </w:tcBorders>
            <w:shd w:val="clear" w:color="auto" w:fill="auto"/>
          </w:tcPr>
          <w:p w14:paraId="6CDA1926"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2x730</w:t>
            </w:r>
          </w:p>
        </w:tc>
      </w:tr>
      <w:tr w:rsidR="00A863E1" w:rsidRPr="00441F34" w14:paraId="5B604CCB" w14:textId="77777777" w:rsidTr="004B2EA4">
        <w:trPr>
          <w:trHeight w:val="216"/>
        </w:trPr>
        <w:tc>
          <w:tcPr>
            <w:tcW w:w="2419" w:type="dxa"/>
            <w:tcBorders>
              <w:left w:val="single" w:sz="4" w:space="0" w:color="auto"/>
            </w:tcBorders>
            <w:shd w:val="clear" w:color="auto" w:fill="auto"/>
          </w:tcPr>
          <w:p w14:paraId="5A41261C"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максимальная</w:t>
            </w:r>
          </w:p>
        </w:tc>
        <w:tc>
          <w:tcPr>
            <w:tcW w:w="955" w:type="dxa"/>
            <w:shd w:val="clear" w:color="auto" w:fill="auto"/>
          </w:tcPr>
          <w:p w14:paraId="105FE87A"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2x730</w:t>
            </w:r>
          </w:p>
        </w:tc>
        <w:tc>
          <w:tcPr>
            <w:tcW w:w="1128" w:type="dxa"/>
            <w:shd w:val="clear" w:color="auto" w:fill="auto"/>
          </w:tcPr>
          <w:p w14:paraId="4A663DCD"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2x730</w:t>
            </w:r>
          </w:p>
        </w:tc>
        <w:tc>
          <w:tcPr>
            <w:tcW w:w="1219" w:type="dxa"/>
            <w:tcBorders>
              <w:right w:val="single" w:sz="4" w:space="0" w:color="auto"/>
            </w:tcBorders>
            <w:shd w:val="clear" w:color="auto" w:fill="auto"/>
          </w:tcPr>
          <w:p w14:paraId="4F5DC520"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2x730</w:t>
            </w:r>
          </w:p>
        </w:tc>
      </w:tr>
      <w:tr w:rsidR="00A863E1" w:rsidRPr="00441F34" w14:paraId="205F6709" w14:textId="77777777" w:rsidTr="004B2EA4">
        <w:trPr>
          <w:trHeight w:val="221"/>
        </w:trPr>
        <w:tc>
          <w:tcPr>
            <w:tcW w:w="2419" w:type="dxa"/>
            <w:tcBorders>
              <w:left w:val="single" w:sz="4" w:space="0" w:color="auto"/>
            </w:tcBorders>
            <w:shd w:val="clear" w:color="auto" w:fill="auto"/>
            <w:vAlign w:val="bottom"/>
          </w:tcPr>
          <w:p w14:paraId="186EDE5E"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номинальная</w:t>
            </w:r>
          </w:p>
        </w:tc>
        <w:tc>
          <w:tcPr>
            <w:tcW w:w="955" w:type="dxa"/>
            <w:shd w:val="clear" w:color="auto" w:fill="auto"/>
            <w:vAlign w:val="bottom"/>
          </w:tcPr>
          <w:p w14:paraId="70556EB9"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2x500</w:t>
            </w:r>
          </w:p>
        </w:tc>
        <w:tc>
          <w:tcPr>
            <w:tcW w:w="1128" w:type="dxa"/>
            <w:shd w:val="clear" w:color="auto" w:fill="auto"/>
            <w:vAlign w:val="bottom"/>
          </w:tcPr>
          <w:p w14:paraId="1885A05A"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2x500</w:t>
            </w:r>
          </w:p>
        </w:tc>
        <w:tc>
          <w:tcPr>
            <w:tcW w:w="1219" w:type="dxa"/>
            <w:tcBorders>
              <w:right w:val="single" w:sz="4" w:space="0" w:color="auto"/>
            </w:tcBorders>
            <w:shd w:val="clear" w:color="auto" w:fill="auto"/>
            <w:vAlign w:val="bottom"/>
          </w:tcPr>
          <w:p w14:paraId="59655AF6"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2x500</w:t>
            </w:r>
          </w:p>
        </w:tc>
      </w:tr>
      <w:tr w:rsidR="00A863E1" w:rsidRPr="00441F34" w14:paraId="2A63B2C9" w14:textId="77777777" w:rsidTr="004B2EA4">
        <w:trPr>
          <w:trHeight w:val="221"/>
        </w:trPr>
        <w:tc>
          <w:tcPr>
            <w:tcW w:w="2419" w:type="dxa"/>
            <w:tcBorders>
              <w:left w:val="single" w:sz="4" w:space="0" w:color="auto"/>
            </w:tcBorders>
            <w:shd w:val="clear" w:color="auto" w:fill="auto"/>
            <w:vAlign w:val="bottom"/>
          </w:tcPr>
          <w:p w14:paraId="07008BAE"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Длина самолета, м</w:t>
            </w:r>
          </w:p>
        </w:tc>
        <w:tc>
          <w:tcPr>
            <w:tcW w:w="955" w:type="dxa"/>
            <w:shd w:val="clear" w:color="auto" w:fill="auto"/>
            <w:vAlign w:val="bottom"/>
          </w:tcPr>
          <w:p w14:paraId="3AFB49A9"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14,75</w:t>
            </w:r>
          </w:p>
        </w:tc>
        <w:tc>
          <w:tcPr>
            <w:tcW w:w="1128" w:type="dxa"/>
            <w:shd w:val="clear" w:color="auto" w:fill="auto"/>
            <w:vAlign w:val="bottom"/>
          </w:tcPr>
          <w:p w14:paraId="55459BC1"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15,06</w:t>
            </w:r>
          </w:p>
        </w:tc>
        <w:tc>
          <w:tcPr>
            <w:tcW w:w="1219" w:type="dxa"/>
            <w:tcBorders>
              <w:right w:val="single" w:sz="4" w:space="0" w:color="auto"/>
            </w:tcBorders>
            <w:shd w:val="clear" w:color="auto" w:fill="auto"/>
            <w:vAlign w:val="bottom"/>
          </w:tcPr>
          <w:p w14:paraId="6A752044"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16,00</w:t>
            </w:r>
          </w:p>
        </w:tc>
      </w:tr>
      <w:tr w:rsidR="00A863E1" w:rsidRPr="00441F34" w14:paraId="1E49AB66" w14:textId="77777777" w:rsidTr="004B2EA4">
        <w:trPr>
          <w:trHeight w:val="226"/>
        </w:trPr>
        <w:tc>
          <w:tcPr>
            <w:tcW w:w="2419" w:type="dxa"/>
            <w:tcBorders>
              <w:left w:val="single" w:sz="4" w:space="0" w:color="auto"/>
            </w:tcBorders>
            <w:shd w:val="clear" w:color="auto" w:fill="auto"/>
            <w:vAlign w:val="bottom"/>
          </w:tcPr>
          <w:p w14:paraId="4DCE99F1"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Размах крыла, м</w:t>
            </w:r>
          </w:p>
        </w:tc>
        <w:tc>
          <w:tcPr>
            <w:tcW w:w="955" w:type="dxa"/>
            <w:shd w:val="clear" w:color="auto" w:fill="auto"/>
            <w:vAlign w:val="bottom"/>
          </w:tcPr>
          <w:p w14:paraId="09F492FD"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23,20</w:t>
            </w:r>
          </w:p>
        </w:tc>
        <w:tc>
          <w:tcPr>
            <w:tcW w:w="1128" w:type="dxa"/>
            <w:shd w:val="clear" w:color="auto" w:fill="auto"/>
            <w:vAlign w:val="bottom"/>
          </w:tcPr>
          <w:p w14:paraId="06B79EA0"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23,20</w:t>
            </w:r>
          </w:p>
        </w:tc>
        <w:tc>
          <w:tcPr>
            <w:tcW w:w="1219" w:type="dxa"/>
            <w:tcBorders>
              <w:right w:val="single" w:sz="4" w:space="0" w:color="auto"/>
            </w:tcBorders>
            <w:shd w:val="clear" w:color="auto" w:fill="auto"/>
            <w:vAlign w:val="bottom"/>
          </w:tcPr>
          <w:p w14:paraId="4D4D01C4"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r>
      <w:tr w:rsidR="00A863E1" w:rsidRPr="00441F34" w14:paraId="51FE6D86" w14:textId="77777777" w:rsidTr="004B2EA4">
        <w:trPr>
          <w:trHeight w:val="437"/>
        </w:trPr>
        <w:tc>
          <w:tcPr>
            <w:tcW w:w="2419" w:type="dxa"/>
            <w:tcBorders>
              <w:left w:val="single" w:sz="4" w:space="0" w:color="auto"/>
            </w:tcBorders>
            <w:shd w:val="clear" w:color="auto" w:fill="auto"/>
          </w:tcPr>
          <w:p w14:paraId="0B4130D0"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Высота самолета на стоянке, м Площадь, м'</w:t>
            </w:r>
          </w:p>
        </w:tc>
        <w:tc>
          <w:tcPr>
            <w:tcW w:w="955" w:type="dxa"/>
            <w:shd w:val="clear" w:color="auto" w:fill="auto"/>
          </w:tcPr>
          <w:p w14:paraId="5EFA5D59"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5,45</w:t>
            </w:r>
          </w:p>
        </w:tc>
        <w:tc>
          <w:tcPr>
            <w:tcW w:w="1128" w:type="dxa"/>
            <w:shd w:val="clear" w:color="auto" w:fill="auto"/>
          </w:tcPr>
          <w:p w14:paraId="45DC0B9A"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1219" w:type="dxa"/>
            <w:tcBorders>
              <w:right w:val="single" w:sz="4" w:space="0" w:color="auto"/>
            </w:tcBorders>
            <w:shd w:val="clear" w:color="auto" w:fill="auto"/>
          </w:tcPr>
          <w:p w14:paraId="25B5FED8"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r>
      <w:tr w:rsidR="00A863E1" w:rsidRPr="00441F34" w14:paraId="39F05D19" w14:textId="77777777" w:rsidTr="004B2EA4">
        <w:trPr>
          <w:trHeight w:val="230"/>
        </w:trPr>
        <w:tc>
          <w:tcPr>
            <w:tcW w:w="2419" w:type="dxa"/>
            <w:tcBorders>
              <w:left w:val="single" w:sz="4" w:space="0" w:color="auto"/>
            </w:tcBorders>
            <w:shd w:val="clear" w:color="auto" w:fill="auto"/>
            <w:vAlign w:val="bottom"/>
          </w:tcPr>
          <w:p w14:paraId="28BC8B58"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крыла</w:t>
            </w:r>
          </w:p>
        </w:tc>
        <w:tc>
          <w:tcPr>
            <w:tcW w:w="955" w:type="dxa"/>
            <w:shd w:val="clear" w:color="auto" w:fill="auto"/>
            <w:vAlign w:val="bottom"/>
          </w:tcPr>
          <w:p w14:paraId="643A6464"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80,00</w:t>
            </w:r>
          </w:p>
        </w:tc>
        <w:tc>
          <w:tcPr>
            <w:tcW w:w="1128" w:type="dxa"/>
            <w:shd w:val="clear" w:color="auto" w:fill="auto"/>
            <w:vAlign w:val="bottom"/>
          </w:tcPr>
          <w:p w14:paraId="2F2A3DBA"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80,00</w:t>
            </w:r>
          </w:p>
        </w:tc>
        <w:tc>
          <w:tcPr>
            <w:tcW w:w="1219" w:type="dxa"/>
            <w:tcBorders>
              <w:right w:val="single" w:sz="4" w:space="0" w:color="auto"/>
            </w:tcBorders>
            <w:shd w:val="clear" w:color="auto" w:fill="auto"/>
            <w:vAlign w:val="bottom"/>
          </w:tcPr>
          <w:p w14:paraId="028EC38B"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80,00</w:t>
            </w:r>
          </w:p>
        </w:tc>
      </w:tr>
      <w:tr w:rsidR="00A863E1" w:rsidRPr="00441F34" w14:paraId="2F68631D" w14:textId="77777777" w:rsidTr="004B2EA4">
        <w:trPr>
          <w:trHeight w:val="226"/>
        </w:trPr>
        <w:tc>
          <w:tcPr>
            <w:tcW w:w="2419" w:type="dxa"/>
            <w:tcBorders>
              <w:left w:val="single" w:sz="4" w:space="0" w:color="auto"/>
            </w:tcBorders>
            <w:shd w:val="clear" w:color="auto" w:fill="auto"/>
            <w:vAlign w:val="center"/>
          </w:tcPr>
          <w:p w14:paraId="55306B5D"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горизонтального оперения</w:t>
            </w:r>
          </w:p>
        </w:tc>
        <w:tc>
          <w:tcPr>
            <w:tcW w:w="955" w:type="dxa"/>
            <w:shd w:val="clear" w:color="auto" w:fill="auto"/>
            <w:vAlign w:val="center"/>
          </w:tcPr>
          <w:p w14:paraId="3D93B31D"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12,60</w:t>
            </w:r>
          </w:p>
        </w:tc>
        <w:tc>
          <w:tcPr>
            <w:tcW w:w="1128" w:type="dxa"/>
            <w:shd w:val="clear" w:color="auto" w:fill="auto"/>
            <w:vAlign w:val="center"/>
          </w:tcPr>
          <w:p w14:paraId="664B41B0"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1219" w:type="dxa"/>
            <w:tcBorders>
              <w:right w:val="single" w:sz="4" w:space="0" w:color="auto"/>
            </w:tcBorders>
            <w:shd w:val="clear" w:color="auto" w:fill="auto"/>
            <w:vAlign w:val="center"/>
          </w:tcPr>
          <w:p w14:paraId="7023FB30"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r>
      <w:tr w:rsidR="00A863E1" w:rsidRPr="00441F34" w14:paraId="109C7CC0" w14:textId="77777777" w:rsidTr="004B2EA4">
        <w:trPr>
          <w:trHeight w:val="211"/>
        </w:trPr>
        <w:tc>
          <w:tcPr>
            <w:tcW w:w="2419" w:type="dxa"/>
            <w:tcBorders>
              <w:left w:val="single" w:sz="4" w:space="0" w:color="auto"/>
            </w:tcBorders>
            <w:shd w:val="clear" w:color="auto" w:fill="auto"/>
            <w:vAlign w:val="center"/>
          </w:tcPr>
          <w:p w14:paraId="52AF20FB"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вертикального оперения</w:t>
            </w:r>
          </w:p>
        </w:tc>
        <w:tc>
          <w:tcPr>
            <w:tcW w:w="955" w:type="dxa"/>
            <w:shd w:val="clear" w:color="auto" w:fill="auto"/>
            <w:vAlign w:val="center"/>
          </w:tcPr>
          <w:p w14:paraId="23912809"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4,34</w:t>
            </w:r>
          </w:p>
        </w:tc>
        <w:tc>
          <w:tcPr>
            <w:tcW w:w="1128" w:type="dxa"/>
            <w:shd w:val="clear" w:color="auto" w:fill="auto"/>
            <w:vAlign w:val="center"/>
          </w:tcPr>
          <w:p w14:paraId="12B9957F"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1219" w:type="dxa"/>
            <w:tcBorders>
              <w:right w:val="single" w:sz="4" w:space="0" w:color="auto"/>
            </w:tcBorders>
            <w:shd w:val="clear" w:color="auto" w:fill="auto"/>
            <w:vAlign w:val="center"/>
          </w:tcPr>
          <w:p w14:paraId="74A8F3C3"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r>
      <w:tr w:rsidR="00A863E1" w:rsidRPr="00441F34" w14:paraId="162490A6" w14:textId="77777777" w:rsidTr="004B2EA4">
        <w:trPr>
          <w:trHeight w:val="211"/>
        </w:trPr>
        <w:tc>
          <w:tcPr>
            <w:tcW w:w="3374" w:type="dxa"/>
            <w:gridSpan w:val="2"/>
            <w:tcBorders>
              <w:left w:val="single" w:sz="4" w:space="0" w:color="auto"/>
            </w:tcBorders>
            <w:shd w:val="clear" w:color="auto" w:fill="auto"/>
          </w:tcPr>
          <w:p w14:paraId="5E6A7D6F"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Взлетная масса нормальная, кг 5 7 73</w:t>
            </w:r>
          </w:p>
        </w:tc>
        <w:tc>
          <w:tcPr>
            <w:tcW w:w="1128" w:type="dxa"/>
            <w:shd w:val="clear" w:color="auto" w:fill="auto"/>
          </w:tcPr>
          <w:p w14:paraId="365AE131"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5112</w:t>
            </w:r>
          </w:p>
        </w:tc>
        <w:tc>
          <w:tcPr>
            <w:tcW w:w="1219" w:type="dxa"/>
            <w:tcBorders>
              <w:right w:val="single" w:sz="4" w:space="0" w:color="auto"/>
            </w:tcBorders>
            <w:shd w:val="clear" w:color="auto" w:fill="auto"/>
          </w:tcPr>
          <w:p w14:paraId="577DF4C8"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7500</w:t>
            </w:r>
          </w:p>
        </w:tc>
      </w:tr>
      <w:tr w:rsidR="00A863E1" w:rsidRPr="00441F34" w14:paraId="20DE22EE" w14:textId="77777777" w:rsidTr="004B2EA4">
        <w:trPr>
          <w:trHeight w:val="216"/>
        </w:trPr>
        <w:tc>
          <w:tcPr>
            <w:tcW w:w="2419" w:type="dxa"/>
            <w:tcBorders>
              <w:left w:val="single" w:sz="4" w:space="0" w:color="auto"/>
            </w:tcBorders>
            <w:shd w:val="clear" w:color="auto" w:fill="auto"/>
            <w:vAlign w:val="bottom"/>
          </w:tcPr>
          <w:p w14:paraId="13CDEAAD"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Масса пустого самолета, кг</w:t>
            </w:r>
          </w:p>
        </w:tc>
        <w:tc>
          <w:tcPr>
            <w:tcW w:w="955" w:type="dxa"/>
            <w:shd w:val="clear" w:color="auto" w:fill="auto"/>
            <w:vAlign w:val="bottom"/>
          </w:tcPr>
          <w:p w14:paraId="5DB0B56E"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3790</w:t>
            </w:r>
          </w:p>
        </w:tc>
        <w:tc>
          <w:tcPr>
            <w:tcW w:w="1128" w:type="dxa"/>
            <w:shd w:val="clear" w:color="auto" w:fill="auto"/>
            <w:vAlign w:val="bottom"/>
          </w:tcPr>
          <w:p w14:paraId="5F2D1AD8"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3708</w:t>
            </w:r>
          </w:p>
        </w:tc>
        <w:tc>
          <w:tcPr>
            <w:tcW w:w="1219" w:type="dxa"/>
            <w:tcBorders>
              <w:right w:val="single" w:sz="4" w:space="0" w:color="auto"/>
            </w:tcBorders>
            <w:shd w:val="clear" w:color="auto" w:fill="auto"/>
            <w:vAlign w:val="bottom"/>
          </w:tcPr>
          <w:p w14:paraId="606BC129"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4640</w:t>
            </w:r>
          </w:p>
        </w:tc>
      </w:tr>
      <w:tr w:rsidR="00A863E1" w:rsidRPr="00441F34" w14:paraId="237AC912" w14:textId="77777777" w:rsidTr="004B2EA4">
        <w:trPr>
          <w:trHeight w:val="451"/>
        </w:trPr>
        <w:tc>
          <w:tcPr>
            <w:tcW w:w="2419" w:type="dxa"/>
            <w:tcBorders>
              <w:left w:val="single" w:sz="4" w:space="0" w:color="auto"/>
            </w:tcBorders>
            <w:shd w:val="clear" w:color="auto" w:fill="auto"/>
            <w:vAlign w:val="bottom"/>
          </w:tcPr>
          <w:p w14:paraId="04EEC08F"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Масса полезной нагрузки, кг Максимальная скорость, км/ч</w:t>
            </w:r>
          </w:p>
        </w:tc>
        <w:tc>
          <w:tcPr>
            <w:tcW w:w="955" w:type="dxa"/>
            <w:shd w:val="clear" w:color="auto" w:fill="auto"/>
          </w:tcPr>
          <w:p w14:paraId="565DD4FC"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1383</w:t>
            </w:r>
          </w:p>
        </w:tc>
        <w:tc>
          <w:tcPr>
            <w:tcW w:w="1128" w:type="dxa"/>
            <w:shd w:val="clear" w:color="auto" w:fill="auto"/>
          </w:tcPr>
          <w:p w14:paraId="68C0B9BC"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1413</w:t>
            </w:r>
          </w:p>
        </w:tc>
        <w:tc>
          <w:tcPr>
            <w:tcW w:w="1219" w:type="dxa"/>
            <w:tcBorders>
              <w:right w:val="single" w:sz="4" w:space="0" w:color="auto"/>
            </w:tcBorders>
            <w:shd w:val="clear" w:color="auto" w:fill="auto"/>
          </w:tcPr>
          <w:p w14:paraId="44A25A9B"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2860</w:t>
            </w:r>
          </w:p>
        </w:tc>
      </w:tr>
      <w:tr w:rsidR="00A863E1" w:rsidRPr="00441F34" w14:paraId="3AF17F89" w14:textId="77777777" w:rsidTr="004B2EA4">
        <w:trPr>
          <w:trHeight w:val="211"/>
        </w:trPr>
        <w:tc>
          <w:tcPr>
            <w:tcW w:w="2419" w:type="dxa"/>
            <w:tcBorders>
              <w:left w:val="single" w:sz="4" w:space="0" w:color="auto"/>
            </w:tcBorders>
            <w:shd w:val="clear" w:color="auto" w:fill="auto"/>
          </w:tcPr>
          <w:p w14:paraId="38808C6F"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у земли</w:t>
            </w:r>
          </w:p>
        </w:tc>
        <w:tc>
          <w:tcPr>
            <w:tcW w:w="955" w:type="dxa"/>
            <w:shd w:val="clear" w:color="auto" w:fill="auto"/>
          </w:tcPr>
          <w:p w14:paraId="36985072"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222</w:t>
            </w:r>
          </w:p>
        </w:tc>
        <w:tc>
          <w:tcPr>
            <w:tcW w:w="1128" w:type="dxa"/>
            <w:shd w:val="clear" w:color="auto" w:fill="auto"/>
          </w:tcPr>
          <w:p w14:paraId="0C530241"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220</w:t>
            </w:r>
          </w:p>
        </w:tc>
        <w:tc>
          <w:tcPr>
            <w:tcW w:w="1219" w:type="dxa"/>
            <w:tcBorders>
              <w:right w:val="single" w:sz="4" w:space="0" w:color="auto"/>
            </w:tcBorders>
            <w:shd w:val="clear" w:color="auto" w:fill="auto"/>
          </w:tcPr>
          <w:p w14:paraId="678A2D1C"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234</w:t>
            </w:r>
          </w:p>
        </w:tc>
      </w:tr>
      <w:tr w:rsidR="00A863E1" w:rsidRPr="00441F34" w14:paraId="3D7731AA" w14:textId="77777777" w:rsidTr="004B2EA4">
        <w:trPr>
          <w:trHeight w:val="230"/>
        </w:trPr>
        <w:tc>
          <w:tcPr>
            <w:tcW w:w="2419" w:type="dxa"/>
            <w:tcBorders>
              <w:left w:val="single" w:sz="4" w:space="0" w:color="auto"/>
            </w:tcBorders>
            <w:shd w:val="clear" w:color="auto" w:fill="auto"/>
            <w:vAlign w:val="bottom"/>
          </w:tcPr>
          <w:p w14:paraId="5DB687FB"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высоте, м</w:t>
            </w:r>
          </w:p>
        </w:tc>
        <w:tc>
          <w:tcPr>
            <w:tcW w:w="955" w:type="dxa"/>
            <w:shd w:val="clear" w:color="auto" w:fill="auto"/>
            <w:vAlign w:val="bottom"/>
          </w:tcPr>
          <w:p w14:paraId="3E8B8086"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214/3000</w:t>
            </w:r>
          </w:p>
        </w:tc>
        <w:tc>
          <w:tcPr>
            <w:tcW w:w="1128" w:type="dxa"/>
            <w:shd w:val="clear" w:color="auto" w:fill="auto"/>
            <w:vAlign w:val="bottom"/>
          </w:tcPr>
          <w:p w14:paraId="08CE7471"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225/5000</w:t>
            </w:r>
          </w:p>
        </w:tc>
        <w:tc>
          <w:tcPr>
            <w:tcW w:w="1219" w:type="dxa"/>
            <w:tcBorders>
              <w:right w:val="single" w:sz="4" w:space="0" w:color="auto"/>
            </w:tcBorders>
            <w:shd w:val="clear" w:color="auto" w:fill="auto"/>
            <w:vAlign w:val="bottom"/>
          </w:tcPr>
          <w:p w14:paraId="7355CBC5"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215/3000</w:t>
            </w:r>
          </w:p>
        </w:tc>
      </w:tr>
      <w:tr w:rsidR="00A863E1" w:rsidRPr="00441F34" w14:paraId="0053861E" w14:textId="77777777" w:rsidTr="004B2EA4">
        <w:trPr>
          <w:trHeight w:val="216"/>
        </w:trPr>
        <w:tc>
          <w:tcPr>
            <w:tcW w:w="2419" w:type="dxa"/>
            <w:tcBorders>
              <w:left w:val="single" w:sz="4" w:space="0" w:color="auto"/>
            </w:tcBorders>
            <w:shd w:val="clear" w:color="auto" w:fill="auto"/>
          </w:tcPr>
          <w:p w14:paraId="20B90C38"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Крейсерская скорость, км/ч</w:t>
            </w:r>
          </w:p>
        </w:tc>
        <w:tc>
          <w:tcPr>
            <w:tcW w:w="955" w:type="dxa"/>
            <w:shd w:val="clear" w:color="auto" w:fill="auto"/>
          </w:tcPr>
          <w:p w14:paraId="7616826D"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192</w:t>
            </w:r>
          </w:p>
        </w:tc>
        <w:tc>
          <w:tcPr>
            <w:tcW w:w="1128" w:type="dxa"/>
            <w:shd w:val="clear" w:color="auto" w:fill="auto"/>
            <w:vAlign w:val="center"/>
          </w:tcPr>
          <w:p w14:paraId="589697BE"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1219" w:type="dxa"/>
            <w:tcBorders>
              <w:right w:val="single" w:sz="4" w:space="0" w:color="auto"/>
            </w:tcBorders>
            <w:shd w:val="clear" w:color="auto" w:fill="auto"/>
            <w:vAlign w:val="center"/>
          </w:tcPr>
          <w:p w14:paraId="24482F83"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r>
      <w:tr w:rsidR="00A863E1" w:rsidRPr="00441F34" w14:paraId="23B31BF9" w14:textId="77777777" w:rsidTr="004B2EA4">
        <w:trPr>
          <w:trHeight w:val="442"/>
        </w:trPr>
        <w:tc>
          <w:tcPr>
            <w:tcW w:w="2419" w:type="dxa"/>
            <w:tcBorders>
              <w:left w:val="single" w:sz="4" w:space="0" w:color="auto"/>
            </w:tcBorders>
            <w:shd w:val="clear" w:color="auto" w:fill="auto"/>
          </w:tcPr>
          <w:p w14:paraId="1F4CD1FE"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Время набора высоты, мин</w:t>
            </w:r>
          </w:p>
        </w:tc>
        <w:tc>
          <w:tcPr>
            <w:tcW w:w="955" w:type="dxa"/>
            <w:shd w:val="clear" w:color="auto" w:fill="auto"/>
            <w:vAlign w:val="bottom"/>
          </w:tcPr>
          <w:p w14:paraId="6120AD61"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11,7/3000</w:t>
            </w:r>
          </w:p>
          <w:p w14:paraId="3DA83BA1"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30,0/5000</w:t>
            </w:r>
          </w:p>
        </w:tc>
        <w:tc>
          <w:tcPr>
            <w:tcW w:w="1128" w:type="dxa"/>
            <w:shd w:val="clear" w:color="auto" w:fill="auto"/>
            <w:vAlign w:val="bottom"/>
          </w:tcPr>
          <w:p w14:paraId="7A045DB6"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8,15/3000</w:t>
            </w:r>
          </w:p>
          <w:p w14:paraId="148C013C"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17,43/5000</w:t>
            </w:r>
          </w:p>
        </w:tc>
        <w:tc>
          <w:tcPr>
            <w:tcW w:w="1219" w:type="dxa"/>
            <w:tcBorders>
              <w:right w:val="single" w:sz="4" w:space="0" w:color="auto"/>
            </w:tcBorders>
            <w:shd w:val="clear" w:color="auto" w:fill="auto"/>
            <w:vAlign w:val="bottom"/>
          </w:tcPr>
          <w:p w14:paraId="5A1826D9"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6,63/1000</w:t>
            </w:r>
          </w:p>
          <w:p w14:paraId="6B973AAE"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26,5/3000</w:t>
            </w:r>
          </w:p>
        </w:tc>
      </w:tr>
      <w:tr w:rsidR="00A863E1" w:rsidRPr="00441F34" w14:paraId="3607594C" w14:textId="77777777" w:rsidTr="004B2EA4">
        <w:trPr>
          <w:trHeight w:val="216"/>
        </w:trPr>
        <w:tc>
          <w:tcPr>
            <w:tcW w:w="2419" w:type="dxa"/>
            <w:tcBorders>
              <w:left w:val="single" w:sz="4" w:space="0" w:color="auto"/>
            </w:tcBorders>
            <w:shd w:val="clear" w:color="auto" w:fill="auto"/>
            <w:vAlign w:val="bottom"/>
          </w:tcPr>
          <w:p w14:paraId="2944F58D"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Посадочная скорость, км/ч</w:t>
            </w:r>
          </w:p>
        </w:tc>
        <w:tc>
          <w:tcPr>
            <w:tcW w:w="955" w:type="dxa"/>
            <w:shd w:val="clear" w:color="auto" w:fill="auto"/>
          </w:tcPr>
          <w:p w14:paraId="558CF0BF"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100</w:t>
            </w:r>
          </w:p>
        </w:tc>
        <w:tc>
          <w:tcPr>
            <w:tcW w:w="1128" w:type="dxa"/>
            <w:shd w:val="clear" w:color="auto" w:fill="auto"/>
            <w:vAlign w:val="center"/>
          </w:tcPr>
          <w:p w14:paraId="1AFCB704"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1219" w:type="dxa"/>
            <w:tcBorders>
              <w:right w:val="single" w:sz="4" w:space="0" w:color="auto"/>
            </w:tcBorders>
            <w:shd w:val="clear" w:color="auto" w:fill="auto"/>
            <w:vAlign w:val="center"/>
          </w:tcPr>
          <w:p w14:paraId="6C05CFF2"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r>
      <w:tr w:rsidR="00A863E1" w:rsidRPr="00441F34" w14:paraId="69C81662" w14:textId="77777777" w:rsidTr="004B2EA4">
        <w:trPr>
          <w:trHeight w:val="211"/>
        </w:trPr>
        <w:tc>
          <w:tcPr>
            <w:tcW w:w="2419" w:type="dxa"/>
            <w:tcBorders>
              <w:left w:val="single" w:sz="4" w:space="0" w:color="auto"/>
            </w:tcBorders>
            <w:shd w:val="clear" w:color="auto" w:fill="auto"/>
          </w:tcPr>
          <w:p w14:paraId="52F97F1E"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Практический потолок, м</w:t>
            </w:r>
          </w:p>
        </w:tc>
        <w:tc>
          <w:tcPr>
            <w:tcW w:w="955" w:type="dxa"/>
            <w:shd w:val="clear" w:color="auto" w:fill="auto"/>
          </w:tcPr>
          <w:p w14:paraId="488E78D1"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5640</w:t>
            </w:r>
          </w:p>
        </w:tc>
        <w:tc>
          <w:tcPr>
            <w:tcW w:w="1128" w:type="dxa"/>
            <w:shd w:val="clear" w:color="auto" w:fill="auto"/>
          </w:tcPr>
          <w:p w14:paraId="1CBDB861"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7090</w:t>
            </w:r>
          </w:p>
        </w:tc>
        <w:tc>
          <w:tcPr>
            <w:tcW w:w="1219" w:type="dxa"/>
            <w:tcBorders>
              <w:right w:val="single" w:sz="4" w:space="0" w:color="auto"/>
            </w:tcBorders>
            <w:shd w:val="clear" w:color="auto" w:fill="auto"/>
          </w:tcPr>
          <w:p w14:paraId="35571B89"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3850</w:t>
            </w:r>
          </w:p>
        </w:tc>
      </w:tr>
      <w:tr w:rsidR="00A863E1" w:rsidRPr="00441F34" w14:paraId="799C0C2B" w14:textId="77777777" w:rsidTr="004B2EA4">
        <w:trPr>
          <w:trHeight w:val="216"/>
        </w:trPr>
        <w:tc>
          <w:tcPr>
            <w:tcW w:w="2419" w:type="dxa"/>
            <w:tcBorders>
              <w:left w:val="single" w:sz="4" w:space="0" w:color="auto"/>
            </w:tcBorders>
            <w:shd w:val="clear" w:color="auto" w:fill="auto"/>
            <w:vAlign w:val="bottom"/>
          </w:tcPr>
          <w:p w14:paraId="3C0F8F9C"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Дальность полета, км</w:t>
            </w:r>
          </w:p>
        </w:tc>
        <w:tc>
          <w:tcPr>
            <w:tcW w:w="955" w:type="dxa"/>
            <w:shd w:val="clear" w:color="auto" w:fill="auto"/>
            <w:vAlign w:val="bottom"/>
          </w:tcPr>
          <w:p w14:paraId="3C051DA0"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1780</w:t>
            </w:r>
          </w:p>
        </w:tc>
        <w:tc>
          <w:tcPr>
            <w:tcW w:w="1128" w:type="dxa"/>
            <w:shd w:val="clear" w:color="auto" w:fill="auto"/>
            <w:vAlign w:val="center"/>
          </w:tcPr>
          <w:p w14:paraId="2B4E67AE"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1219" w:type="dxa"/>
            <w:tcBorders>
              <w:right w:val="single" w:sz="4" w:space="0" w:color="auto"/>
            </w:tcBorders>
            <w:shd w:val="clear" w:color="auto" w:fill="auto"/>
            <w:vAlign w:val="center"/>
          </w:tcPr>
          <w:p w14:paraId="79EC4EE8"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r>
      <w:tr w:rsidR="00A863E1" w:rsidRPr="00441F34" w14:paraId="7FE538A2" w14:textId="77777777" w:rsidTr="004B2EA4">
        <w:trPr>
          <w:trHeight w:val="226"/>
        </w:trPr>
        <w:tc>
          <w:tcPr>
            <w:tcW w:w="2419" w:type="dxa"/>
            <w:tcBorders>
              <w:left w:val="single" w:sz="4" w:space="0" w:color="auto"/>
            </w:tcBorders>
            <w:shd w:val="clear" w:color="auto" w:fill="auto"/>
            <w:vAlign w:val="bottom"/>
          </w:tcPr>
          <w:p w14:paraId="728BD16B"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Длина разбега, м</w:t>
            </w:r>
          </w:p>
        </w:tc>
        <w:tc>
          <w:tcPr>
            <w:tcW w:w="955" w:type="dxa"/>
            <w:shd w:val="clear" w:color="auto" w:fill="auto"/>
            <w:vAlign w:val="bottom"/>
          </w:tcPr>
          <w:p w14:paraId="78EDE330"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100-125</w:t>
            </w:r>
          </w:p>
        </w:tc>
        <w:tc>
          <w:tcPr>
            <w:tcW w:w="1128" w:type="dxa"/>
            <w:shd w:val="clear" w:color="auto" w:fill="auto"/>
            <w:vAlign w:val="bottom"/>
          </w:tcPr>
          <w:p w14:paraId="5931A93D"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1219" w:type="dxa"/>
            <w:tcBorders>
              <w:right w:val="single" w:sz="4" w:space="0" w:color="auto"/>
            </w:tcBorders>
            <w:shd w:val="clear" w:color="auto" w:fill="auto"/>
            <w:vAlign w:val="bottom"/>
          </w:tcPr>
          <w:p w14:paraId="61366C4A"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600</w:t>
            </w:r>
          </w:p>
        </w:tc>
      </w:tr>
      <w:tr w:rsidR="00A863E1" w:rsidRPr="00441F34" w14:paraId="6AEC16AC" w14:textId="77777777" w:rsidTr="004B2EA4">
        <w:trPr>
          <w:trHeight w:val="446"/>
        </w:trPr>
        <w:tc>
          <w:tcPr>
            <w:tcW w:w="2419" w:type="dxa"/>
            <w:tcBorders>
              <w:left w:val="single" w:sz="4" w:space="0" w:color="auto"/>
            </w:tcBorders>
            <w:shd w:val="clear" w:color="auto" w:fill="auto"/>
            <w:vAlign w:val="bottom"/>
          </w:tcPr>
          <w:p w14:paraId="17BA9252"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Длина пробега, м Вооружение</w:t>
            </w:r>
          </w:p>
        </w:tc>
        <w:tc>
          <w:tcPr>
            <w:tcW w:w="955" w:type="dxa"/>
            <w:shd w:val="clear" w:color="auto" w:fill="auto"/>
          </w:tcPr>
          <w:p w14:paraId="6B8C03D1"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220-250</w:t>
            </w:r>
          </w:p>
        </w:tc>
        <w:tc>
          <w:tcPr>
            <w:tcW w:w="1128" w:type="dxa"/>
            <w:shd w:val="clear" w:color="auto" w:fill="auto"/>
          </w:tcPr>
          <w:p w14:paraId="757B5352"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1219" w:type="dxa"/>
            <w:tcBorders>
              <w:right w:val="single" w:sz="4" w:space="0" w:color="auto"/>
            </w:tcBorders>
            <w:shd w:val="clear" w:color="auto" w:fill="auto"/>
          </w:tcPr>
          <w:p w14:paraId="17386E4C"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350</w:t>
            </w:r>
          </w:p>
        </w:tc>
      </w:tr>
      <w:tr w:rsidR="00A863E1" w:rsidRPr="00441F34" w14:paraId="4F0A3A8B" w14:textId="77777777" w:rsidTr="004B2EA4">
        <w:trPr>
          <w:trHeight w:val="446"/>
        </w:trPr>
        <w:tc>
          <w:tcPr>
            <w:tcW w:w="3374" w:type="dxa"/>
            <w:gridSpan w:val="2"/>
            <w:tcBorders>
              <w:left w:val="single" w:sz="4" w:space="0" w:color="auto"/>
            </w:tcBorders>
            <w:shd w:val="clear" w:color="auto" w:fill="auto"/>
          </w:tcPr>
          <w:p w14:paraId="7E2EC61B"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стрелковое (число х калибр, мм) - Масса бомбовой нагрузки, кг</w:t>
            </w:r>
          </w:p>
        </w:tc>
        <w:tc>
          <w:tcPr>
            <w:tcW w:w="1128" w:type="dxa"/>
            <w:shd w:val="clear" w:color="auto" w:fill="auto"/>
          </w:tcPr>
          <w:p w14:paraId="6373034D"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5x7,62</w:t>
            </w:r>
          </w:p>
        </w:tc>
        <w:tc>
          <w:tcPr>
            <w:tcW w:w="1219" w:type="dxa"/>
            <w:tcBorders>
              <w:right w:val="single" w:sz="4" w:space="0" w:color="auto"/>
            </w:tcBorders>
            <w:shd w:val="clear" w:color="auto" w:fill="auto"/>
          </w:tcPr>
          <w:p w14:paraId="4E5286CD"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4x7,62</w:t>
            </w:r>
          </w:p>
        </w:tc>
      </w:tr>
      <w:tr w:rsidR="00A863E1" w:rsidRPr="00441F34" w14:paraId="50B21F45" w14:textId="77777777" w:rsidTr="004B2EA4">
        <w:trPr>
          <w:trHeight w:val="211"/>
        </w:trPr>
        <w:tc>
          <w:tcPr>
            <w:tcW w:w="2419" w:type="dxa"/>
            <w:tcBorders>
              <w:left w:val="single" w:sz="4" w:space="0" w:color="auto"/>
            </w:tcBorders>
            <w:shd w:val="clear" w:color="auto" w:fill="auto"/>
          </w:tcPr>
          <w:p w14:paraId="5674B8B1"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нормальная</w:t>
            </w:r>
          </w:p>
        </w:tc>
        <w:tc>
          <w:tcPr>
            <w:tcW w:w="955" w:type="dxa"/>
            <w:shd w:val="clear" w:color="auto" w:fill="auto"/>
          </w:tcPr>
          <w:p w14:paraId="56DE421B"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w:t>
            </w:r>
          </w:p>
        </w:tc>
        <w:tc>
          <w:tcPr>
            <w:tcW w:w="1128" w:type="dxa"/>
            <w:shd w:val="clear" w:color="auto" w:fill="auto"/>
          </w:tcPr>
          <w:p w14:paraId="279ADD8D"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192</w:t>
            </w:r>
          </w:p>
        </w:tc>
        <w:tc>
          <w:tcPr>
            <w:tcW w:w="1219" w:type="dxa"/>
            <w:tcBorders>
              <w:right w:val="single" w:sz="4" w:space="0" w:color="auto"/>
            </w:tcBorders>
            <w:shd w:val="clear" w:color="auto" w:fill="auto"/>
          </w:tcPr>
          <w:p w14:paraId="7B323898"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192</w:t>
            </w:r>
          </w:p>
        </w:tc>
      </w:tr>
      <w:tr w:rsidR="00A863E1" w:rsidRPr="00441F34" w14:paraId="1E92ADB3" w14:textId="77777777" w:rsidTr="004B2EA4">
        <w:trPr>
          <w:trHeight w:val="326"/>
        </w:trPr>
        <w:tc>
          <w:tcPr>
            <w:tcW w:w="2419" w:type="dxa"/>
            <w:tcBorders>
              <w:left w:val="single" w:sz="4" w:space="0" w:color="auto"/>
              <w:bottom w:val="single" w:sz="4" w:space="0" w:color="auto"/>
            </w:tcBorders>
            <w:shd w:val="clear" w:color="auto" w:fill="auto"/>
          </w:tcPr>
          <w:p w14:paraId="5C66843D"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Экипаж, чел.</w:t>
            </w:r>
          </w:p>
        </w:tc>
        <w:tc>
          <w:tcPr>
            <w:tcW w:w="955" w:type="dxa"/>
            <w:tcBorders>
              <w:bottom w:val="single" w:sz="4" w:space="0" w:color="auto"/>
            </w:tcBorders>
            <w:shd w:val="clear" w:color="auto" w:fill="auto"/>
          </w:tcPr>
          <w:p w14:paraId="63EC00C2"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4</w:t>
            </w:r>
          </w:p>
        </w:tc>
        <w:tc>
          <w:tcPr>
            <w:tcW w:w="1128" w:type="dxa"/>
            <w:tcBorders>
              <w:bottom w:val="single" w:sz="4" w:space="0" w:color="auto"/>
            </w:tcBorders>
            <w:shd w:val="clear" w:color="auto" w:fill="auto"/>
          </w:tcPr>
          <w:p w14:paraId="6FE60231"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4</w:t>
            </w:r>
          </w:p>
        </w:tc>
        <w:tc>
          <w:tcPr>
            <w:tcW w:w="1219" w:type="dxa"/>
            <w:tcBorders>
              <w:bottom w:val="single" w:sz="4" w:space="0" w:color="auto"/>
              <w:right w:val="single" w:sz="4" w:space="0" w:color="auto"/>
            </w:tcBorders>
            <w:shd w:val="clear" w:color="auto" w:fill="auto"/>
          </w:tcPr>
          <w:p w14:paraId="65EF0B55" w14:textId="77777777" w:rsidR="00A863E1" w:rsidRPr="00441F34" w:rsidRDefault="00A863E1"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w:t>
            </w:r>
          </w:p>
        </w:tc>
      </w:tr>
    </w:tbl>
    <w:p w14:paraId="7C1E5C21" w14:textId="77777777" w:rsidR="00A863E1" w:rsidRPr="00441F34" w:rsidRDefault="00A863E1" w:rsidP="00A863E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(23374).</w:t>
      </w:r>
    </w:p>
    <w:p w14:paraId="0EEBAF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1929 проходили испытания МУ-2 Д.П.Г., результат попытки исправить неудачу МУР-1, так как задание-то - осталось. Не приняли - оказался тяжелым (92,377).</w:t>
      </w:r>
    </w:p>
    <w:p w14:paraId="02C9CA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ясно как, ведь Д.П.Г. - то - сидел, но начал проектировать именно он в конце 1926, а постройка заняли 1927-1928 (92,376).</w:t>
      </w:r>
    </w:p>
    <w:p w14:paraId="125A42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4DD6AA" w14:textId="77777777" w:rsidR="00A863E1" w:rsidRPr="00441F34" w:rsidRDefault="00A863E1" w:rsidP="00A863E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сентябре 1929 г. начала испытания военная учебно-тренировочная летающая лодка начальной и повышенной летной подготовки Д.П. Григоровича – и она на вооружение принята не была (23559).</w:t>
      </w:r>
    </w:p>
    <w:p w14:paraId="6D310E73" w14:textId="77777777" w:rsidR="00A863E1" w:rsidRPr="00441F34" w:rsidRDefault="00A863E1" w:rsidP="00A863E1">
      <w:pPr>
        <w:spacing w:after="0" w:line="240" w:lineRule="auto"/>
        <w:jc w:val="both"/>
        <w:rPr>
          <w:rFonts w:ascii="Times New Roman" w:hAnsi="Times New Roman"/>
          <w:color w:val="0070C0"/>
          <w:sz w:val="16"/>
          <w:szCs w:val="16"/>
        </w:rPr>
      </w:pPr>
    </w:p>
    <w:p w14:paraId="2BA5A0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1929 НТК УВВС поставил перед КБ А.Н.Т. задачу создания поплавкового варианта ТБ-1П. А.Н.Т. - отказался, но предложил взять поплавки от ЮГ-1 и с ними были проведены испытания (346,17).</w:t>
      </w:r>
    </w:p>
    <w:p w14:paraId="0C0972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8A16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1929 директор завода № 1 приостановил работу группу конструкторов, которые с 25 апреля 1929 г. занялись рабочими чертежами Р-5, ссылаясь на отсутствие утвержденного эталона. Теперь таковым решили считать четвертый самолет. От длинной выхлопной трубы отказались, заменив ее индивидуальными патрубками, но несколько иной формы, чем на первой и второй машинах. Как типовой приняли усиленный (с внутренними косынками) водяной радиатор с трубками круглого сечения. Военные потребовали установить ручной стартер, смонтировать электрогенератор, освещение и навигационные огни. Электрооборудование проектом предусматривалось, но на опытных образцах отсутствовало. Но самое главное - следовало усилить планер под бомбовую нагрузку в 800 кг. Для этого предусмотрели подкрепления коробки крыльев, оперения и костыля (11936).</w:t>
      </w:r>
    </w:p>
    <w:p w14:paraId="0985A6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50FD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сентябре 1929 </w:t>
      </w:r>
      <w:proofErr w:type="spellStart"/>
      <w:r w:rsidRPr="00A259BD">
        <w:rPr>
          <w:rFonts w:ascii="Times New Roman" w:hAnsi="Times New Roman"/>
          <w:color w:val="000000" w:themeColor="text1"/>
          <w:sz w:val="16"/>
          <w:szCs w:val="16"/>
        </w:rPr>
        <w:t>В.К.Грибовский</w:t>
      </w:r>
      <w:proofErr w:type="spellEnd"/>
      <w:r w:rsidRPr="00A259BD">
        <w:rPr>
          <w:rFonts w:ascii="Times New Roman" w:hAnsi="Times New Roman"/>
          <w:color w:val="000000" w:themeColor="text1"/>
          <w:sz w:val="16"/>
          <w:szCs w:val="16"/>
        </w:rPr>
        <w:t xml:space="preserve"> облетал планер Г-6 на 5-х Всесоюзных планерных состязаниях (9080).</w:t>
      </w:r>
    </w:p>
    <w:p w14:paraId="291BD2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6869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1929 на ЧМ собрали все 20 доработанных Дорнье Валь, включая те, крылья которых утопили при выгрузке в Одессе. Машины пошли в 60 и новую 63 эскадрилью, созданную на базе 53 отряда. 2 эскадрильи по 8 машин базировались в бухте Голландия в Севастополе (2543,12).</w:t>
      </w:r>
    </w:p>
    <w:p w14:paraId="5FADA3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53E0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сентябре 1929 закончили сборку 20 Дорнье-Валь для ЧФ. Первые поступили в июне 1928. Один передали </w:t>
      </w:r>
      <w:proofErr w:type="spellStart"/>
      <w:r w:rsidRPr="00A259BD">
        <w:rPr>
          <w:rFonts w:ascii="Times New Roman" w:hAnsi="Times New Roman"/>
          <w:color w:val="000000" w:themeColor="text1"/>
          <w:sz w:val="16"/>
          <w:szCs w:val="16"/>
        </w:rPr>
        <w:t>Комсевморпуть</w:t>
      </w:r>
      <w:proofErr w:type="spellEnd"/>
      <w:r w:rsidRPr="00A259BD">
        <w:rPr>
          <w:rFonts w:ascii="Times New Roman" w:hAnsi="Times New Roman"/>
          <w:color w:val="000000" w:themeColor="text1"/>
          <w:sz w:val="16"/>
          <w:szCs w:val="16"/>
        </w:rPr>
        <w:t xml:space="preserve"> и самолет с этим номером в Архангельск из Севастополя перегонял </w:t>
      </w:r>
      <w:proofErr w:type="spellStart"/>
      <w:r w:rsidRPr="00A259BD">
        <w:rPr>
          <w:rFonts w:ascii="Times New Roman" w:hAnsi="Times New Roman"/>
          <w:color w:val="000000" w:themeColor="text1"/>
          <w:sz w:val="16"/>
          <w:szCs w:val="16"/>
        </w:rPr>
        <w:t>Б.Г.Чухновский</w:t>
      </w:r>
      <w:proofErr w:type="spellEnd"/>
      <w:r w:rsidRPr="00A259BD">
        <w:rPr>
          <w:rFonts w:ascii="Times New Roman" w:hAnsi="Times New Roman"/>
          <w:color w:val="000000" w:themeColor="text1"/>
          <w:sz w:val="16"/>
          <w:szCs w:val="16"/>
        </w:rPr>
        <w:t xml:space="preserve"> (1085,103).</w:t>
      </w:r>
    </w:p>
    <w:p w14:paraId="63D713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10AFB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1929 были подготовлены Сведения о выполнении заданий Отдела применения НИИ за август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1647"/>
        <w:gridCol w:w="1647"/>
        <w:gridCol w:w="2943"/>
      </w:tblGrid>
      <w:tr w:rsidR="00A259BD" w:rsidRPr="00A259BD" w14:paraId="371FA9F6" w14:textId="77777777">
        <w:tc>
          <w:tcPr>
            <w:tcW w:w="4361" w:type="dxa"/>
          </w:tcPr>
          <w:p w14:paraId="1431A9A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Наименование задания</w:t>
            </w:r>
          </w:p>
        </w:tc>
        <w:tc>
          <w:tcPr>
            <w:tcW w:w="1647" w:type="dxa"/>
          </w:tcPr>
          <w:p w14:paraId="5046C2B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Когда дано задание</w:t>
            </w:r>
          </w:p>
        </w:tc>
        <w:tc>
          <w:tcPr>
            <w:tcW w:w="1647" w:type="dxa"/>
          </w:tcPr>
          <w:p w14:paraId="45A8A5C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Срок выполнения</w:t>
            </w:r>
          </w:p>
        </w:tc>
        <w:tc>
          <w:tcPr>
            <w:tcW w:w="2943" w:type="dxa"/>
          </w:tcPr>
          <w:p w14:paraId="71ED493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каком состоянии находится задание </w:t>
            </w:r>
          </w:p>
        </w:tc>
      </w:tr>
      <w:tr w:rsidR="00A259BD" w:rsidRPr="00A259BD" w14:paraId="2A14FAB9" w14:textId="77777777">
        <w:tc>
          <w:tcPr>
            <w:tcW w:w="4361" w:type="dxa"/>
          </w:tcPr>
          <w:p w14:paraId="54C8257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И-3 БМВ VI № 3820 (серийный)</w:t>
            </w:r>
          </w:p>
        </w:tc>
        <w:tc>
          <w:tcPr>
            <w:tcW w:w="1647" w:type="dxa"/>
          </w:tcPr>
          <w:p w14:paraId="1D535EE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47" w:type="dxa"/>
          </w:tcPr>
          <w:p w14:paraId="226C1DE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Выполнено</w:t>
            </w:r>
          </w:p>
        </w:tc>
        <w:tc>
          <w:tcPr>
            <w:tcW w:w="2943" w:type="dxa"/>
          </w:tcPr>
          <w:p w14:paraId="28C509C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r>
      <w:tr w:rsidR="00A259BD" w:rsidRPr="00A259BD" w14:paraId="7183B9D2" w14:textId="77777777">
        <w:tc>
          <w:tcPr>
            <w:tcW w:w="4361" w:type="dxa"/>
          </w:tcPr>
          <w:p w14:paraId="01E3667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Испытание самолета БРЕГЕ 19 В-2 </w:t>
            </w:r>
            <w:proofErr w:type="spellStart"/>
            <w:r w:rsidRPr="00A259BD">
              <w:rPr>
                <w:rFonts w:ascii="Times New Roman" w:hAnsi="Times New Roman"/>
                <w:color w:val="000000" w:themeColor="text1"/>
                <w:sz w:val="16"/>
                <w:szCs w:val="16"/>
              </w:rPr>
              <w:t>Лоррен</w:t>
            </w:r>
            <w:proofErr w:type="spellEnd"/>
            <w:r w:rsidRPr="00A259BD">
              <w:rPr>
                <w:rFonts w:ascii="Times New Roman" w:hAnsi="Times New Roman"/>
                <w:color w:val="000000" w:themeColor="text1"/>
                <w:sz w:val="16"/>
                <w:szCs w:val="16"/>
              </w:rPr>
              <w:t xml:space="preserve"> Дитрих</w:t>
            </w:r>
          </w:p>
        </w:tc>
        <w:tc>
          <w:tcPr>
            <w:tcW w:w="1647" w:type="dxa"/>
          </w:tcPr>
          <w:p w14:paraId="0BDEEC9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47" w:type="dxa"/>
          </w:tcPr>
          <w:p w14:paraId="02269B3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Задерживается</w:t>
            </w:r>
          </w:p>
        </w:tc>
        <w:tc>
          <w:tcPr>
            <w:tcW w:w="2943" w:type="dxa"/>
          </w:tcPr>
          <w:p w14:paraId="1E1D9FA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8CE9151" w14:textId="77777777">
        <w:tc>
          <w:tcPr>
            <w:tcW w:w="4361" w:type="dxa"/>
          </w:tcPr>
          <w:p w14:paraId="657C8E8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Испытание самолет Спад 61 </w:t>
            </w:r>
            <w:proofErr w:type="spellStart"/>
            <w:r w:rsidRPr="00A259BD">
              <w:rPr>
                <w:rFonts w:ascii="Times New Roman" w:hAnsi="Times New Roman"/>
                <w:color w:val="000000" w:themeColor="text1"/>
                <w:sz w:val="16"/>
                <w:szCs w:val="16"/>
              </w:rPr>
              <w:t>Лоррен</w:t>
            </w:r>
            <w:proofErr w:type="spellEnd"/>
            <w:r w:rsidRPr="00A259BD">
              <w:rPr>
                <w:rFonts w:ascii="Times New Roman" w:hAnsi="Times New Roman"/>
                <w:color w:val="000000" w:themeColor="text1"/>
                <w:sz w:val="16"/>
                <w:szCs w:val="16"/>
              </w:rPr>
              <w:t xml:space="preserve"> Дитрих</w:t>
            </w:r>
          </w:p>
        </w:tc>
        <w:tc>
          <w:tcPr>
            <w:tcW w:w="1647" w:type="dxa"/>
          </w:tcPr>
          <w:p w14:paraId="7675620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47" w:type="dxa"/>
          </w:tcPr>
          <w:p w14:paraId="103DB5B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Выполнено</w:t>
            </w:r>
          </w:p>
        </w:tc>
        <w:tc>
          <w:tcPr>
            <w:tcW w:w="2943" w:type="dxa"/>
          </w:tcPr>
          <w:p w14:paraId="2A707F4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r>
      <w:tr w:rsidR="00A259BD" w:rsidRPr="00A259BD" w14:paraId="313926B5" w14:textId="77777777">
        <w:tc>
          <w:tcPr>
            <w:tcW w:w="4361" w:type="dxa"/>
          </w:tcPr>
          <w:p w14:paraId="67A9ACC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 Спад 51 Юпитер</w:t>
            </w:r>
          </w:p>
        </w:tc>
        <w:tc>
          <w:tcPr>
            <w:tcW w:w="1647" w:type="dxa"/>
          </w:tcPr>
          <w:p w14:paraId="73577FF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47" w:type="dxa"/>
          </w:tcPr>
          <w:p w14:paraId="7ED5808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Выполнено</w:t>
            </w:r>
          </w:p>
        </w:tc>
        <w:tc>
          <w:tcPr>
            <w:tcW w:w="2943" w:type="dxa"/>
          </w:tcPr>
          <w:p w14:paraId="5FB155E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r>
      <w:tr w:rsidR="00A259BD" w:rsidRPr="00A259BD" w14:paraId="25ED6CFF" w14:textId="77777777">
        <w:tc>
          <w:tcPr>
            <w:tcW w:w="4361" w:type="dxa"/>
          </w:tcPr>
          <w:p w14:paraId="788EB28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Р-V БМВ VI 2-й экземпляр</w:t>
            </w:r>
          </w:p>
        </w:tc>
        <w:tc>
          <w:tcPr>
            <w:tcW w:w="1647" w:type="dxa"/>
          </w:tcPr>
          <w:p w14:paraId="1564283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47" w:type="dxa"/>
          </w:tcPr>
          <w:p w14:paraId="3E68400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w:t>
            </w:r>
          </w:p>
        </w:tc>
        <w:tc>
          <w:tcPr>
            <w:tcW w:w="2943" w:type="dxa"/>
          </w:tcPr>
          <w:p w14:paraId="406CB87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tc>
      </w:tr>
      <w:tr w:rsidR="00A259BD" w:rsidRPr="00A259BD" w14:paraId="5EAC453A" w14:textId="77777777">
        <w:tc>
          <w:tcPr>
            <w:tcW w:w="4361" w:type="dxa"/>
          </w:tcPr>
          <w:p w14:paraId="207B3C3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ПОТЕЗ</w:t>
            </w:r>
          </w:p>
        </w:tc>
        <w:tc>
          <w:tcPr>
            <w:tcW w:w="1647" w:type="dxa"/>
          </w:tcPr>
          <w:p w14:paraId="32C1F20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47" w:type="dxa"/>
          </w:tcPr>
          <w:p w14:paraId="556FE86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w:t>
            </w:r>
          </w:p>
        </w:tc>
        <w:tc>
          <w:tcPr>
            <w:tcW w:w="2943" w:type="dxa"/>
          </w:tcPr>
          <w:p w14:paraId="41330DF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w:t>
            </w:r>
          </w:p>
        </w:tc>
      </w:tr>
    </w:tbl>
    <w:p w14:paraId="11E8A34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(6953, 56-58).</w:t>
      </w:r>
    </w:p>
    <w:p w14:paraId="24CBBEA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5D85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сентябре 1929 НТК УВВС обратилось к ЦАГИ с просьбой дать соображения о возможности постройки двух металлических самолетов с грузоподъемностью 10 и 25 т для перевозки танка. Спустя месяц </w:t>
      </w:r>
      <w:proofErr w:type="spellStart"/>
      <w:r w:rsidRPr="00A259BD">
        <w:rPr>
          <w:rFonts w:ascii="Times New Roman" w:hAnsi="Times New Roman"/>
          <w:color w:val="000000" w:themeColor="text1"/>
          <w:sz w:val="16"/>
          <w:szCs w:val="16"/>
        </w:rPr>
        <w:t>ЦАГи</w:t>
      </w:r>
      <w:proofErr w:type="spellEnd"/>
      <w:r w:rsidRPr="00A259BD">
        <w:rPr>
          <w:rFonts w:ascii="Times New Roman" w:hAnsi="Times New Roman"/>
          <w:color w:val="000000" w:themeColor="text1"/>
          <w:sz w:val="16"/>
          <w:szCs w:val="16"/>
        </w:rPr>
        <w:t xml:space="preserve"> представил смету на предварительные изыскания. </w:t>
      </w:r>
      <w:proofErr w:type="spellStart"/>
      <w:r w:rsidRPr="00A259BD">
        <w:rPr>
          <w:rFonts w:ascii="Times New Roman" w:hAnsi="Times New Roman"/>
          <w:color w:val="000000" w:themeColor="text1"/>
          <w:sz w:val="16"/>
          <w:szCs w:val="16"/>
        </w:rPr>
        <w:t>Расчсматривали</w:t>
      </w:r>
      <w:proofErr w:type="spellEnd"/>
      <w:r w:rsidRPr="00A259BD">
        <w:rPr>
          <w:rFonts w:ascii="Times New Roman" w:hAnsi="Times New Roman"/>
          <w:color w:val="000000" w:themeColor="text1"/>
          <w:sz w:val="16"/>
          <w:szCs w:val="16"/>
        </w:rPr>
        <w:t xml:space="preserve"> и возможность постройки гидросамолетов (7425, 19).</w:t>
      </w:r>
    </w:p>
    <w:p w14:paraId="19C803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928C91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сентябре 1929 года член НТК ВВС </w:t>
      </w:r>
      <w:proofErr w:type="spellStart"/>
      <w:r w:rsidRPr="00A259BD">
        <w:rPr>
          <w:rFonts w:ascii="Times New Roman" w:hAnsi="Times New Roman"/>
          <w:color w:val="000000" w:themeColor="text1"/>
          <w:sz w:val="16"/>
          <w:szCs w:val="16"/>
        </w:rPr>
        <w:t>Ганулич</w:t>
      </w:r>
      <w:proofErr w:type="spellEnd"/>
      <w:r w:rsidRPr="00A259BD">
        <w:rPr>
          <w:rFonts w:ascii="Times New Roman" w:hAnsi="Times New Roman"/>
          <w:color w:val="000000" w:themeColor="text1"/>
          <w:sz w:val="16"/>
          <w:szCs w:val="16"/>
        </w:rPr>
        <w:t>, представляя на заключение ЦАГИ проект Барти</w:t>
      </w:r>
      <w:r w:rsidRPr="00A259BD">
        <w:rPr>
          <w:rFonts w:ascii="Times New Roman" w:hAnsi="Times New Roman"/>
          <w:color w:val="000000" w:themeColor="text1"/>
          <w:sz w:val="16"/>
          <w:szCs w:val="16"/>
        </w:rPr>
        <w:softHyphen/>
        <w:t>ни, отмечал, что его целью является:</w:t>
      </w:r>
    </w:p>
    <w:p w14:paraId="1CB7048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Новое решение поперечной остойчивости гидросамолета.</w:t>
      </w:r>
    </w:p>
    <w:p w14:paraId="3436212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Тренировочный гидросамолет с [возмож</w:t>
      </w:r>
      <w:r w:rsidRPr="00A259BD">
        <w:rPr>
          <w:rFonts w:ascii="Times New Roman" w:hAnsi="Times New Roman"/>
          <w:color w:val="000000" w:themeColor="text1"/>
          <w:sz w:val="16"/>
          <w:szCs w:val="16"/>
        </w:rPr>
        <w:softHyphen/>
        <w:t>ностью выполнения] высшего пилотажа или в варианте применения самолета большого радиу</w:t>
      </w:r>
      <w:r w:rsidRPr="00A259BD">
        <w:rPr>
          <w:rFonts w:ascii="Times New Roman" w:hAnsi="Times New Roman"/>
          <w:color w:val="000000" w:themeColor="text1"/>
          <w:sz w:val="16"/>
          <w:szCs w:val="16"/>
        </w:rPr>
        <w:softHyphen/>
        <w:t>са действия”.</w:t>
      </w:r>
    </w:p>
    <w:p w14:paraId="1BA210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Гидросамолет представлял собой двухместный цельнодеревянный полутораплан, причем нижнее крыло служило одновременно и “плавника</w:t>
      </w:r>
      <w:r w:rsidRPr="00A259BD">
        <w:rPr>
          <w:rFonts w:ascii="Times New Roman" w:hAnsi="Times New Roman"/>
          <w:color w:val="000000" w:themeColor="text1"/>
          <w:sz w:val="16"/>
          <w:szCs w:val="16"/>
        </w:rPr>
        <w:softHyphen/>
        <w:t xml:space="preserve">ми с очень большим углом </w:t>
      </w:r>
      <w:proofErr w:type="spellStart"/>
      <w:r w:rsidRPr="00A259BD">
        <w:rPr>
          <w:rFonts w:ascii="Times New Roman" w:hAnsi="Times New Roman"/>
          <w:color w:val="000000" w:themeColor="text1"/>
          <w:sz w:val="16"/>
          <w:szCs w:val="16"/>
        </w:rPr>
        <w:t>килеобразования</w:t>
      </w:r>
      <w:proofErr w:type="spellEnd"/>
      <w:r w:rsidRPr="00A259BD">
        <w:rPr>
          <w:rFonts w:ascii="Times New Roman" w:hAnsi="Times New Roman"/>
          <w:color w:val="000000" w:themeColor="text1"/>
          <w:sz w:val="16"/>
          <w:szCs w:val="16"/>
        </w:rPr>
        <w:t>”. На конце плавников располагались поплавки попе</w:t>
      </w:r>
      <w:r w:rsidRPr="00A259BD">
        <w:rPr>
          <w:rFonts w:ascii="Times New Roman" w:hAnsi="Times New Roman"/>
          <w:color w:val="000000" w:themeColor="text1"/>
          <w:sz w:val="16"/>
          <w:szCs w:val="16"/>
        </w:rPr>
        <w:softHyphen/>
        <w:t>речной остойчивости. Если я правильно понял терминологию тех лет, то получается, что нижнее крыло выполняло роль водоизмещающей части гидросамолета, что позволяло уменьшить объем лодки и тем самым снизить ее лобовое сопротив</w:t>
      </w:r>
      <w:r w:rsidRPr="00A259BD">
        <w:rPr>
          <w:rFonts w:ascii="Times New Roman" w:hAnsi="Times New Roman"/>
          <w:color w:val="000000" w:themeColor="text1"/>
          <w:sz w:val="16"/>
          <w:szCs w:val="16"/>
        </w:rPr>
        <w:softHyphen/>
        <w:t>ление (11160).</w:t>
      </w:r>
    </w:p>
    <w:p w14:paraId="337262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Свой проект Бартини рассчитывал под мотор мощностью 120 лошадиных сил.</w:t>
      </w:r>
    </w:p>
    <w:p w14:paraId="462C14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 водится, инженеры ЦАГИ проверили пра</w:t>
      </w:r>
      <w:r w:rsidRPr="00A259BD">
        <w:rPr>
          <w:rFonts w:ascii="Times New Roman" w:hAnsi="Times New Roman"/>
          <w:color w:val="000000" w:themeColor="text1"/>
          <w:sz w:val="16"/>
          <w:szCs w:val="16"/>
        </w:rPr>
        <w:softHyphen/>
        <w:t>вильность расчетных данных, предложенных на</w:t>
      </w:r>
      <w:r w:rsidRPr="00A259BD">
        <w:rPr>
          <w:rFonts w:ascii="Times New Roman" w:hAnsi="Times New Roman"/>
          <w:color w:val="000000" w:themeColor="text1"/>
          <w:sz w:val="16"/>
          <w:szCs w:val="16"/>
        </w:rPr>
        <w:softHyphen/>
        <w:t>чинающим конструктором, и свели их в таблицу: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88"/>
        <w:gridCol w:w="2988"/>
        <w:gridCol w:w="2988"/>
      </w:tblGrid>
      <w:tr w:rsidR="00A259BD" w:rsidRPr="00A259BD" w14:paraId="16FEB9B2" w14:textId="77777777">
        <w:tc>
          <w:tcPr>
            <w:tcW w:w="2988" w:type="dxa"/>
            <w:tcBorders>
              <w:top w:val="single" w:sz="12" w:space="0" w:color="auto"/>
            </w:tcBorders>
          </w:tcPr>
          <w:p w14:paraId="24097B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88" w:type="dxa"/>
            <w:tcBorders>
              <w:top w:val="single" w:sz="12" w:space="0" w:color="auto"/>
            </w:tcBorders>
          </w:tcPr>
          <w:p w14:paraId="1AC0B8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проекту Бартини</w:t>
            </w:r>
          </w:p>
        </w:tc>
        <w:tc>
          <w:tcPr>
            <w:tcW w:w="2988" w:type="dxa"/>
            <w:tcBorders>
              <w:top w:val="single" w:sz="12" w:space="0" w:color="auto"/>
            </w:tcBorders>
          </w:tcPr>
          <w:p w14:paraId="6E64402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расчету ЦАГИ</w:t>
            </w:r>
          </w:p>
        </w:tc>
      </w:tr>
      <w:tr w:rsidR="00A259BD" w:rsidRPr="00A259BD" w14:paraId="03A7B6C8" w14:textId="77777777">
        <w:tc>
          <w:tcPr>
            <w:tcW w:w="2988" w:type="dxa"/>
          </w:tcPr>
          <w:p w14:paraId="45268F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 полетный, кг</w:t>
            </w:r>
          </w:p>
        </w:tc>
        <w:tc>
          <w:tcPr>
            <w:tcW w:w="2988" w:type="dxa"/>
          </w:tcPr>
          <w:p w14:paraId="7365610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680</w:t>
            </w:r>
          </w:p>
        </w:tc>
        <w:tc>
          <w:tcPr>
            <w:tcW w:w="2988" w:type="dxa"/>
          </w:tcPr>
          <w:p w14:paraId="134972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780</w:t>
            </w:r>
          </w:p>
        </w:tc>
      </w:tr>
      <w:tr w:rsidR="00A259BD" w:rsidRPr="00A259BD" w14:paraId="2E58BA44" w14:textId="77777777">
        <w:tc>
          <w:tcPr>
            <w:tcW w:w="2988" w:type="dxa"/>
          </w:tcPr>
          <w:p w14:paraId="541BDA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Мощность двигателя, л.с.</w:t>
            </w:r>
          </w:p>
        </w:tc>
        <w:tc>
          <w:tcPr>
            <w:tcW w:w="2988" w:type="dxa"/>
          </w:tcPr>
          <w:p w14:paraId="4B960F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w:t>
            </w:r>
          </w:p>
        </w:tc>
        <w:tc>
          <w:tcPr>
            <w:tcW w:w="2988" w:type="dxa"/>
          </w:tcPr>
          <w:p w14:paraId="56EF1D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w:t>
            </w:r>
          </w:p>
        </w:tc>
      </w:tr>
      <w:tr w:rsidR="00A259BD" w:rsidRPr="00A259BD" w14:paraId="76E1D481" w14:textId="77777777">
        <w:tc>
          <w:tcPr>
            <w:tcW w:w="2988" w:type="dxa"/>
          </w:tcPr>
          <w:p w14:paraId="1CEE91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Запас горючего и масла для полета, ч </w:t>
            </w:r>
          </w:p>
        </w:tc>
        <w:tc>
          <w:tcPr>
            <w:tcW w:w="2988" w:type="dxa"/>
          </w:tcPr>
          <w:p w14:paraId="0751C5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2988" w:type="dxa"/>
          </w:tcPr>
          <w:p w14:paraId="6706471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r>
      <w:tr w:rsidR="00A259BD" w:rsidRPr="00A259BD" w14:paraId="4A519E43" w14:textId="77777777">
        <w:tc>
          <w:tcPr>
            <w:tcW w:w="2988" w:type="dxa"/>
          </w:tcPr>
          <w:p w14:paraId="50A25DE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макс, у земли, км/ч</w:t>
            </w:r>
          </w:p>
        </w:tc>
        <w:tc>
          <w:tcPr>
            <w:tcW w:w="2988" w:type="dxa"/>
          </w:tcPr>
          <w:p w14:paraId="7FFA8A7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185</w:t>
            </w:r>
          </w:p>
        </w:tc>
        <w:tc>
          <w:tcPr>
            <w:tcW w:w="2988" w:type="dxa"/>
          </w:tcPr>
          <w:p w14:paraId="499DEB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165</w:t>
            </w:r>
          </w:p>
        </w:tc>
      </w:tr>
      <w:tr w:rsidR="00A259BD" w:rsidRPr="00A259BD" w14:paraId="6E7A518A" w14:textId="77777777">
        <w:tc>
          <w:tcPr>
            <w:tcW w:w="2988" w:type="dxa"/>
          </w:tcPr>
          <w:p w14:paraId="38314B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Скороподъемность у земли, м/с</w:t>
            </w:r>
          </w:p>
        </w:tc>
        <w:tc>
          <w:tcPr>
            <w:tcW w:w="2988" w:type="dxa"/>
          </w:tcPr>
          <w:p w14:paraId="5622B6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w:t>
            </w:r>
          </w:p>
        </w:tc>
        <w:tc>
          <w:tcPr>
            <w:tcW w:w="2988" w:type="dxa"/>
          </w:tcPr>
          <w:p w14:paraId="0CBDF55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r>
      <w:tr w:rsidR="00A259BD" w:rsidRPr="00A259BD" w14:paraId="63576AF5" w14:textId="77777777">
        <w:tc>
          <w:tcPr>
            <w:tcW w:w="2988" w:type="dxa"/>
          </w:tcPr>
          <w:p w14:paraId="6596FEC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набора высоты, мин.</w:t>
            </w:r>
          </w:p>
        </w:tc>
        <w:tc>
          <w:tcPr>
            <w:tcW w:w="2988" w:type="dxa"/>
          </w:tcPr>
          <w:p w14:paraId="6CB955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88" w:type="dxa"/>
          </w:tcPr>
          <w:p w14:paraId="1D0BA8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EDBC8CF" w14:textId="77777777">
        <w:tc>
          <w:tcPr>
            <w:tcW w:w="2988" w:type="dxa"/>
          </w:tcPr>
          <w:p w14:paraId="2BAF12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1000м</w:t>
            </w:r>
          </w:p>
        </w:tc>
        <w:tc>
          <w:tcPr>
            <w:tcW w:w="2988" w:type="dxa"/>
          </w:tcPr>
          <w:p w14:paraId="76645AC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988" w:type="dxa"/>
          </w:tcPr>
          <w:p w14:paraId="02FBBF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tc>
      </w:tr>
      <w:tr w:rsidR="00A259BD" w:rsidRPr="00A259BD" w14:paraId="413FFCF1" w14:textId="77777777">
        <w:tc>
          <w:tcPr>
            <w:tcW w:w="2988" w:type="dxa"/>
          </w:tcPr>
          <w:p w14:paraId="20B364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2000м</w:t>
            </w:r>
          </w:p>
        </w:tc>
        <w:tc>
          <w:tcPr>
            <w:tcW w:w="2988" w:type="dxa"/>
          </w:tcPr>
          <w:p w14:paraId="1D17CF7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988" w:type="dxa"/>
          </w:tcPr>
          <w:p w14:paraId="357E16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w:t>
            </w:r>
          </w:p>
        </w:tc>
      </w:tr>
      <w:tr w:rsidR="00A259BD" w:rsidRPr="00A259BD" w14:paraId="50BFAD67" w14:textId="77777777">
        <w:tc>
          <w:tcPr>
            <w:tcW w:w="2988" w:type="dxa"/>
          </w:tcPr>
          <w:p w14:paraId="4ED78F8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Практический потолок </w:t>
            </w:r>
          </w:p>
        </w:tc>
        <w:tc>
          <w:tcPr>
            <w:tcW w:w="2988" w:type="dxa"/>
          </w:tcPr>
          <w:p w14:paraId="3EAA10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w:t>
            </w:r>
          </w:p>
        </w:tc>
        <w:tc>
          <w:tcPr>
            <w:tcW w:w="2988" w:type="dxa"/>
          </w:tcPr>
          <w:p w14:paraId="1D368CA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4900</w:t>
            </w:r>
          </w:p>
        </w:tc>
      </w:tr>
      <w:tr w:rsidR="00A259BD" w:rsidRPr="00A259BD" w14:paraId="09153E28" w14:textId="77777777">
        <w:tc>
          <w:tcPr>
            <w:tcW w:w="2988" w:type="dxa"/>
            <w:tcBorders>
              <w:bottom w:val="single" w:sz="12" w:space="0" w:color="auto"/>
            </w:tcBorders>
          </w:tcPr>
          <w:p w14:paraId="646C19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корость</w:t>
            </w:r>
            <w:proofErr w:type="spellEnd"/>
            <w:r w:rsidRPr="00A259BD">
              <w:rPr>
                <w:rFonts w:ascii="Times New Roman" w:hAnsi="Times New Roman"/>
                <w:color w:val="000000" w:themeColor="text1"/>
                <w:sz w:val="16"/>
                <w:szCs w:val="16"/>
              </w:rPr>
              <w:t xml:space="preserve"> посадочная, км/ч</w:t>
            </w:r>
          </w:p>
        </w:tc>
        <w:tc>
          <w:tcPr>
            <w:tcW w:w="2988" w:type="dxa"/>
            <w:tcBorders>
              <w:bottom w:val="single" w:sz="12" w:space="0" w:color="auto"/>
            </w:tcBorders>
          </w:tcPr>
          <w:p w14:paraId="220C5F6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w:t>
            </w:r>
          </w:p>
        </w:tc>
        <w:tc>
          <w:tcPr>
            <w:tcW w:w="2988" w:type="dxa"/>
            <w:tcBorders>
              <w:bottom w:val="single" w:sz="12" w:space="0" w:color="auto"/>
            </w:tcBorders>
          </w:tcPr>
          <w:p w14:paraId="4FB5B60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w:t>
            </w:r>
          </w:p>
        </w:tc>
      </w:tr>
    </w:tbl>
    <w:p w14:paraId="0EFE31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по проекту инженера Бартини, — го</w:t>
      </w:r>
      <w:r w:rsidRPr="00A259BD">
        <w:rPr>
          <w:rFonts w:ascii="Times New Roman" w:hAnsi="Times New Roman"/>
          <w:color w:val="000000" w:themeColor="text1"/>
          <w:sz w:val="16"/>
          <w:szCs w:val="16"/>
        </w:rPr>
        <w:softHyphen/>
        <w:t>ворилось в заключении ЦАГИ, - не может быть использован в качестве морского самолета связи, так как он не удовлетворяет требованиям обзора и обстрела и мореходности.</w:t>
      </w:r>
    </w:p>
    <w:p w14:paraId="48C0418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Отмечается оригинальность схемы осуществ</w:t>
      </w:r>
      <w:r w:rsidRPr="00A259BD">
        <w:rPr>
          <w:rFonts w:ascii="Times New Roman" w:hAnsi="Times New Roman"/>
          <w:color w:val="000000" w:themeColor="text1"/>
          <w:sz w:val="16"/>
          <w:szCs w:val="16"/>
        </w:rPr>
        <w:softHyphen/>
        <w:t xml:space="preserve">ления поперечной остойчивости посредством комбинации </w:t>
      </w:r>
      <w:proofErr w:type="spellStart"/>
      <w:r w:rsidRPr="00A259BD">
        <w:rPr>
          <w:rFonts w:ascii="Times New Roman" w:hAnsi="Times New Roman"/>
          <w:color w:val="000000" w:themeColor="text1"/>
          <w:sz w:val="16"/>
          <w:szCs w:val="16"/>
        </w:rPr>
        <w:t>килеобразных</w:t>
      </w:r>
      <w:proofErr w:type="spellEnd"/>
      <w:r w:rsidRPr="00A259BD">
        <w:rPr>
          <w:rFonts w:ascii="Times New Roman" w:hAnsi="Times New Roman"/>
          <w:color w:val="000000" w:themeColor="text1"/>
          <w:sz w:val="16"/>
          <w:szCs w:val="16"/>
        </w:rPr>
        <w:t xml:space="preserve"> плавников с поплав</w:t>
      </w:r>
      <w:r w:rsidRPr="00A259BD">
        <w:rPr>
          <w:rFonts w:ascii="Times New Roman" w:hAnsi="Times New Roman"/>
          <w:color w:val="000000" w:themeColor="text1"/>
          <w:sz w:val="16"/>
          <w:szCs w:val="16"/>
        </w:rPr>
        <w:softHyphen/>
        <w:t>ками на концах.</w:t>
      </w:r>
    </w:p>
    <w:p w14:paraId="129E6DD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Так как самолет представляет интерес как спортивный и экспериментальный с возможным применением в речных и озерных районах, пере</w:t>
      </w:r>
      <w:r w:rsidRPr="00A259BD">
        <w:rPr>
          <w:rFonts w:ascii="Times New Roman" w:hAnsi="Times New Roman"/>
          <w:color w:val="000000" w:themeColor="text1"/>
          <w:sz w:val="16"/>
          <w:szCs w:val="16"/>
        </w:rPr>
        <w:softHyphen/>
        <w:t>дать проект в Осоавиахим с просьбой его осуще</w:t>
      </w:r>
      <w:r w:rsidRPr="00A259BD">
        <w:rPr>
          <w:rFonts w:ascii="Times New Roman" w:hAnsi="Times New Roman"/>
          <w:color w:val="000000" w:themeColor="text1"/>
          <w:sz w:val="16"/>
          <w:szCs w:val="16"/>
        </w:rPr>
        <w:softHyphen/>
        <w:t>ствления с учетом при этом сделанных 1-й секци</w:t>
      </w:r>
      <w:r w:rsidRPr="00A259BD">
        <w:rPr>
          <w:rFonts w:ascii="Times New Roman" w:hAnsi="Times New Roman"/>
          <w:color w:val="000000" w:themeColor="text1"/>
          <w:sz w:val="16"/>
          <w:szCs w:val="16"/>
        </w:rPr>
        <w:softHyphen/>
        <w:t>ей замечаний.</w:t>
      </w:r>
    </w:p>
    <w:p w14:paraId="62E8F2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w:t>
      </w:r>
    </w:p>
    <w:p w14:paraId="1DA07C9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Принять предложение докладчика с добавле</w:t>
      </w:r>
      <w:r w:rsidRPr="00A259BD">
        <w:rPr>
          <w:rFonts w:ascii="Times New Roman" w:hAnsi="Times New Roman"/>
          <w:color w:val="000000" w:themeColor="text1"/>
          <w:sz w:val="16"/>
          <w:szCs w:val="16"/>
        </w:rPr>
        <w:softHyphen/>
        <w:t>нием &lt;...&gt; о необходимости постановки мотора М-11 или М-12 и устройства разъемов по длине верхнего крыла (центроплана)” (11160).</w:t>
      </w:r>
    </w:p>
    <w:p w14:paraId="30D8CC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399329" w14:textId="77777777" w:rsidR="00CD77B7" w:rsidRPr="00A259BD" w:rsidRDefault="00CD77B7"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1929 г. Грибовский лично облетал планер Г-6 на очередных, 5-х Всесоюзных планерных состязаниях. Несмотря на вполне удовлетворительные характеристики, новая схема особенных достоинств не показала, поэтому планер дальнейшего развития не получил.</w:t>
      </w:r>
    </w:p>
    <w:p w14:paraId="23CF4C2F" w14:textId="77777777" w:rsidR="00CD77B7" w:rsidRPr="00A259BD" w:rsidRDefault="00CD77B7"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основу этого аппарата легли теоретические предположения о преимуществе высокорасположенного крыла. Постройка началась в Оренбурге зимой 1928 г.</w:t>
      </w:r>
    </w:p>
    <w:p w14:paraId="62AA7B11" w14:textId="77777777" w:rsidR="00CD77B7" w:rsidRPr="00A259BD" w:rsidRDefault="00CD77B7"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Г-6 имел темно-вишневую окраску, на его носовой части с левой стороны был нарисован весьма выразительный орел, распростерший крылья. После продолжительной эксплуатации планер разрушился, однако известно, что кусок обшивки с рисунком орла долгие годы сохранялся среди личных вещей Грибовского.</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0"/>
      </w:tblGrid>
      <w:tr w:rsidR="00A259BD" w:rsidRPr="00A259BD" w14:paraId="2FD6205B"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1402CC4"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6024321"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Г-6</w:t>
            </w:r>
          </w:p>
        </w:tc>
      </w:tr>
      <w:tr w:rsidR="00A259BD" w:rsidRPr="00A259BD" w14:paraId="4877330D"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A414F5"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5C4C2EF"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13.00</w:t>
            </w:r>
          </w:p>
        </w:tc>
      </w:tr>
      <w:tr w:rsidR="00A259BD" w:rsidRPr="00A259BD" w14:paraId="7E7FE9D9"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FEE469A"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17435C"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5.00</w:t>
            </w:r>
          </w:p>
        </w:tc>
      </w:tr>
      <w:tr w:rsidR="00A259BD" w:rsidRPr="00A259BD" w14:paraId="6124BA5F"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C3B2A56"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D3EC80"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r>
      <w:tr w:rsidR="00A259BD" w:rsidRPr="00A259BD" w14:paraId="26585E55"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0EC07A"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крыла, м</w:t>
            </w:r>
            <w:r w:rsidRPr="00A259BD">
              <w:rPr>
                <w:rFonts w:ascii="Times New Roman" w:hAnsi="Times New Roman"/>
                <w:color w:val="000000" w:themeColor="text1"/>
                <w:sz w:val="16"/>
                <w:szCs w:val="16"/>
                <w:shd w:val="clear" w:color="auto" w:fill="F7FBFF"/>
              </w:rPr>
              <w:t>²</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FAECBA"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13.00</w:t>
            </w:r>
          </w:p>
        </w:tc>
      </w:tr>
      <w:tr w:rsidR="00A259BD" w:rsidRPr="00A259BD" w14:paraId="6B5C1032"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727B6A7"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996DAFE"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r>
      <w:tr w:rsidR="00A259BD" w:rsidRPr="00A259BD" w14:paraId="60747FCC"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E64AC5"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пустого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ECF441B"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101</w:t>
            </w:r>
          </w:p>
        </w:tc>
      </w:tr>
      <w:tr w:rsidR="00A259BD" w:rsidRPr="00A259BD" w14:paraId="4A77D5E3"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0579397"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AC609EE"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r>
      <w:tr w:rsidR="00A259BD" w:rsidRPr="00A259BD" w14:paraId="7E9A5E35"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554AFD" w14:textId="77777777" w:rsidR="00CD77B7" w:rsidRPr="00A259BD" w:rsidRDefault="00CD77B7"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Макс.аэродинамическое</w:t>
            </w:r>
            <w:proofErr w:type="spellEnd"/>
            <w:r w:rsidRPr="00A259BD">
              <w:rPr>
                <w:rFonts w:ascii="Times New Roman" w:hAnsi="Times New Roman"/>
                <w:color w:val="000000" w:themeColor="text1"/>
                <w:sz w:val="16"/>
                <w:szCs w:val="16"/>
              </w:rPr>
              <w:t xml:space="preserve"> качество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D2AD0D5"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20</w:t>
            </w:r>
          </w:p>
        </w:tc>
      </w:tr>
      <w:tr w:rsidR="00A259BD" w:rsidRPr="00A259BD" w14:paraId="4AB7FDC5"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1D0780"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BB570E0"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w:t>
            </w:r>
          </w:p>
        </w:tc>
      </w:tr>
    </w:tbl>
    <w:p w14:paraId="0F8F4879" w14:textId="77777777" w:rsidR="00CD77B7" w:rsidRPr="00A259BD" w:rsidRDefault="00CD77B7" w:rsidP="009236E3">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(12682).</w:t>
      </w:r>
    </w:p>
    <w:p w14:paraId="06DC1351" w14:textId="77777777" w:rsidR="00CD77B7" w:rsidRPr="00A259BD" w:rsidRDefault="00CD77B7" w:rsidP="009236E3">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43DDB7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сентябре 1929 </w:t>
      </w:r>
      <w:proofErr w:type="spellStart"/>
      <w:r w:rsidRPr="00A259BD">
        <w:rPr>
          <w:rFonts w:ascii="Times New Roman" w:hAnsi="Times New Roman"/>
          <w:color w:val="000000" w:themeColor="text1"/>
          <w:sz w:val="16"/>
          <w:szCs w:val="16"/>
        </w:rPr>
        <w:t>И.С.Уншлихт</w:t>
      </w:r>
      <w:proofErr w:type="spellEnd"/>
      <w:r w:rsidRPr="00A259BD">
        <w:rPr>
          <w:rFonts w:ascii="Times New Roman" w:hAnsi="Times New Roman"/>
          <w:color w:val="000000" w:themeColor="text1"/>
          <w:sz w:val="16"/>
          <w:szCs w:val="16"/>
        </w:rPr>
        <w:t xml:space="preserve"> как зам. НКВМД и председатель Реввоенсовета писал письмом N 165/</w:t>
      </w:r>
      <w:proofErr w:type="spellStart"/>
      <w:r w:rsidRPr="00A259BD">
        <w:rPr>
          <w:rFonts w:ascii="Times New Roman" w:hAnsi="Times New Roman"/>
          <w:color w:val="000000" w:themeColor="text1"/>
          <w:sz w:val="16"/>
          <w:szCs w:val="16"/>
        </w:rPr>
        <w:t>нтк</w:t>
      </w:r>
      <w:proofErr w:type="spellEnd"/>
      <w:r w:rsidRPr="00A259BD">
        <w:rPr>
          <w:rFonts w:ascii="Times New Roman" w:hAnsi="Times New Roman"/>
          <w:color w:val="000000" w:themeColor="text1"/>
          <w:sz w:val="16"/>
          <w:szCs w:val="16"/>
        </w:rPr>
        <w:t xml:space="preserve">/сс </w:t>
      </w:r>
      <w:proofErr w:type="spellStart"/>
      <w:r w:rsidRPr="00A259BD">
        <w:rPr>
          <w:rFonts w:ascii="Times New Roman" w:hAnsi="Times New Roman"/>
          <w:color w:val="000000" w:themeColor="text1"/>
          <w:sz w:val="16"/>
          <w:szCs w:val="16"/>
        </w:rPr>
        <w:t>В.В.Куйбышеву</w:t>
      </w:r>
      <w:proofErr w:type="spellEnd"/>
      <w:r w:rsidRPr="00A259BD">
        <w:rPr>
          <w:rFonts w:ascii="Times New Roman" w:hAnsi="Times New Roman"/>
          <w:color w:val="000000" w:themeColor="text1"/>
          <w:sz w:val="16"/>
          <w:szCs w:val="16"/>
        </w:rPr>
        <w:t xml:space="preserve"> в ВСНХ, Урываеву в ГВПУ, </w:t>
      </w:r>
      <w:proofErr w:type="spellStart"/>
      <w:r w:rsidRPr="00A259BD">
        <w:rPr>
          <w:rFonts w:ascii="Times New Roman" w:hAnsi="Times New Roman"/>
          <w:color w:val="000000" w:themeColor="text1"/>
          <w:sz w:val="16"/>
          <w:szCs w:val="16"/>
        </w:rPr>
        <w:t>Павлуновскому</w:t>
      </w:r>
      <w:proofErr w:type="spellEnd"/>
      <w:r w:rsidRPr="00A259BD">
        <w:rPr>
          <w:rFonts w:ascii="Times New Roman" w:hAnsi="Times New Roman"/>
          <w:color w:val="000000" w:themeColor="text1"/>
          <w:sz w:val="16"/>
          <w:szCs w:val="16"/>
        </w:rPr>
        <w:t xml:space="preserve"> в НК РКИ, Бауману в МК ВКП(б), Ольскому в ОГПУ и </w:t>
      </w:r>
      <w:proofErr w:type="spellStart"/>
      <w:r w:rsidRPr="00A259BD">
        <w:rPr>
          <w:rFonts w:ascii="Times New Roman" w:hAnsi="Times New Roman"/>
          <w:color w:val="000000" w:themeColor="text1"/>
          <w:sz w:val="16"/>
          <w:szCs w:val="16"/>
        </w:rPr>
        <w:t>К.Е.Ворошилову</w:t>
      </w:r>
      <w:proofErr w:type="spellEnd"/>
      <w:r w:rsidRPr="00A259BD">
        <w:rPr>
          <w:rFonts w:ascii="Times New Roman" w:hAnsi="Times New Roman"/>
          <w:color w:val="000000" w:themeColor="text1"/>
          <w:sz w:val="16"/>
          <w:szCs w:val="16"/>
        </w:rPr>
        <w:t xml:space="preserve"> в НКВМД:</w:t>
      </w:r>
    </w:p>
    <w:p w14:paraId="2BCB441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"Оставляя и развивая опытное строительство по самолетам и авиамоторам в </w:t>
      </w:r>
      <w:proofErr w:type="spellStart"/>
      <w:r w:rsidRPr="00A259BD">
        <w:rPr>
          <w:rFonts w:ascii="Times New Roman" w:hAnsi="Times New Roman"/>
          <w:color w:val="000000" w:themeColor="text1"/>
          <w:sz w:val="16"/>
          <w:szCs w:val="16"/>
        </w:rPr>
        <w:t>Авиатресте</w:t>
      </w:r>
      <w:proofErr w:type="spellEnd"/>
      <w:r w:rsidRPr="00A259BD">
        <w:rPr>
          <w:rFonts w:ascii="Times New Roman" w:hAnsi="Times New Roman"/>
          <w:color w:val="000000" w:themeColor="text1"/>
          <w:sz w:val="16"/>
          <w:szCs w:val="16"/>
        </w:rPr>
        <w:t>, немедленно приступить к организации в ЦАГИ опытного строительства самолетов деревянной и смешанной конструкции, наряду с имеющимся опытным металлическим самолетостроением, ассигновав для этого развертывания единовременно необходимые средства по смете 1929/30 года</w:t>
      </w:r>
    </w:p>
    <w:p w14:paraId="300061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Всемерно форсировать строительство, оборудование и развертывание НАМИ, организуя в нем опытное строительство авиамоторов всех видов, родов и назначений.</w:t>
      </w:r>
    </w:p>
    <w:p w14:paraId="19BB87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Всеми мерами принудительно сокращать сроки опытного строительства новых типов самолетов и моторов, в частности за счет уменьшения количества типов, конструируемых и производимых на заводах опытного строительства и Институтах одновременно.</w:t>
      </w:r>
    </w:p>
    <w:p w14:paraId="4A3969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Потребовать, под строжайшей ответственностью руководителей опытных заводов и Институтов (ЦАГИ, НАМИ) выпуска новых конструкций точно в обусловленные планом сроки и вдобавок в доделанном и завершенном виде, т.е. без конструктивных и производственных дефектов, опасных для полета..." (1026,25).</w:t>
      </w:r>
    </w:p>
    <w:p w14:paraId="178F25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92760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сентября 1929 на заводе № 29 приступили к проектированию оснастки и приспособлений для производства двигателя Юпитер. Примерно четверть таких чертежей прибыла из Франции в готовом виде, остальные предстояло сделать самостоятель</w:t>
      </w:r>
      <w:r w:rsidRPr="00A259BD">
        <w:rPr>
          <w:rFonts w:ascii="Times New Roman" w:hAnsi="Times New Roman"/>
          <w:color w:val="000000" w:themeColor="text1"/>
          <w:sz w:val="16"/>
          <w:szCs w:val="16"/>
        </w:rPr>
        <w:softHyphen/>
        <w:t>но. В Запорожье в общей сложности спроектировали 367 приспособлений. К 1 января 1930 г. завершили разработку «операционных ведомостей» (технологических карт). Помощь в подготовке производства оказывали другие предприятия. Часть инструмента сделали на заводе № 26 в Рыбинске, приспособления изготавливали на заводе № 24 в Москве. Кое-какой инструмент хотели заказать за границей, но запоздали со сроками выдачи заказов и ограни</w:t>
      </w:r>
      <w:r w:rsidRPr="00A259BD">
        <w:rPr>
          <w:rFonts w:ascii="Times New Roman" w:hAnsi="Times New Roman"/>
          <w:color w:val="000000" w:themeColor="text1"/>
          <w:sz w:val="16"/>
          <w:szCs w:val="16"/>
        </w:rPr>
        <w:softHyphen/>
        <w:t>чились изготовлением его в СССР. Для первых серий моторов во Франции закупили свечи, карбюраторы, бензонасосы, магнето, детали механизма газораспределения. Комплектую</w:t>
      </w:r>
      <w:r w:rsidRPr="00A259BD">
        <w:rPr>
          <w:rFonts w:ascii="Times New Roman" w:hAnsi="Times New Roman"/>
          <w:color w:val="000000" w:themeColor="text1"/>
          <w:sz w:val="16"/>
          <w:szCs w:val="16"/>
        </w:rPr>
        <w:softHyphen/>
        <w:t>щие поступали через фирму «Гном-Рон», которая за это получала 5% ко</w:t>
      </w:r>
      <w:r w:rsidRPr="00A259BD">
        <w:rPr>
          <w:rFonts w:ascii="Times New Roman" w:hAnsi="Times New Roman"/>
          <w:color w:val="000000" w:themeColor="text1"/>
          <w:sz w:val="16"/>
          <w:szCs w:val="16"/>
        </w:rPr>
        <w:softHyphen/>
        <w:t>миссионных. На первые 10 двигателей приобрели также поковки и отлив</w:t>
      </w:r>
      <w:r w:rsidRPr="00A259BD">
        <w:rPr>
          <w:rFonts w:ascii="Times New Roman" w:hAnsi="Times New Roman"/>
          <w:color w:val="000000" w:themeColor="text1"/>
          <w:sz w:val="16"/>
          <w:szCs w:val="16"/>
        </w:rPr>
        <w:softHyphen/>
        <w:t>ки. Задержка с освоением их изготовления в Советском Союзе привела к заказу еще одной партии поковок, которую отправили морем из Гавра в Ревель (Таллин) 8 марта 1930 г. Советский двигатель, обозначенный М-22, первоначально должен был соответствовать французской модели 9А(1 мощностью 420 л.с., но с уси</w:t>
      </w:r>
      <w:r w:rsidRPr="00A259BD">
        <w:rPr>
          <w:rFonts w:ascii="Times New Roman" w:hAnsi="Times New Roman"/>
          <w:color w:val="000000" w:themeColor="text1"/>
          <w:sz w:val="16"/>
          <w:szCs w:val="16"/>
        </w:rPr>
        <w:softHyphen/>
        <w:t xml:space="preserve">ленным коленчатым валом. Но постепенно в ходе подготовки производства его приблизили к 9А^ в 480 л.с. Поскольку в СССР система допусков и посадок отличалась, то моторы из Запорожья оказались </w:t>
      </w:r>
      <w:proofErr w:type="spellStart"/>
      <w:r w:rsidRPr="00A259BD">
        <w:rPr>
          <w:rFonts w:ascii="Times New Roman" w:hAnsi="Times New Roman"/>
          <w:color w:val="000000" w:themeColor="text1"/>
          <w:sz w:val="16"/>
          <w:szCs w:val="16"/>
        </w:rPr>
        <w:t>невзаимозаменяе</w:t>
      </w:r>
      <w:r w:rsidRPr="00A259BD">
        <w:rPr>
          <w:rFonts w:ascii="Times New Roman" w:hAnsi="Times New Roman"/>
          <w:color w:val="000000" w:themeColor="text1"/>
          <w:sz w:val="16"/>
          <w:szCs w:val="16"/>
        </w:rPr>
        <w:softHyphen/>
        <w:t>мы</w:t>
      </w:r>
      <w:proofErr w:type="spellEnd"/>
      <w:r w:rsidRPr="00A259BD">
        <w:rPr>
          <w:rFonts w:ascii="Times New Roman" w:hAnsi="Times New Roman"/>
          <w:color w:val="000000" w:themeColor="text1"/>
          <w:sz w:val="16"/>
          <w:szCs w:val="16"/>
        </w:rPr>
        <w:t xml:space="preserve"> ни с французскими, ни с немецкими «Юпитерами». В декабре 1930 г., с опозданием на три месяца против плана, завод вы</w:t>
      </w:r>
      <w:r w:rsidRPr="00A259BD">
        <w:rPr>
          <w:rFonts w:ascii="Times New Roman" w:hAnsi="Times New Roman"/>
          <w:color w:val="000000" w:themeColor="text1"/>
          <w:sz w:val="16"/>
          <w:szCs w:val="16"/>
        </w:rPr>
        <w:softHyphen/>
        <w:t>ставил на испытания первый десяток М-22 (серия «А»). На испытаниях достигли максимальной мощности 567 л.с. Всего за 1930 г. изготовили 25 моторов со значительной долей импортных деталей. Вторая серия (серия «Б»), тоже из 10 моторов, сдавалась уже в апреле 1931 г. Все отливки уже были отечественными. Советское литье имело худшее качество, чем импортное. В Запорожье лили из другого сплава, более мягкого, и не сразу подобрали подходящую технологию. Поначалу много отливок браковали из-за трещин. На серии «Б» ввели стальные заглушки коленвала, изменили материалы некоторых деталей. Моторы серий «А» и «Б» отличались повышенной степенью сжатия (6,55-6,58). Межремонтный ресурс для них определили в 50 часов. Только на третьей серии (серии «В») из 40 двигателей удалось достичь ресурса 100 часов. На этой серии ввели фиксированные вкладыши глав</w:t>
      </w:r>
      <w:r w:rsidRPr="00A259BD">
        <w:rPr>
          <w:rFonts w:ascii="Times New Roman" w:hAnsi="Times New Roman"/>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Серию «В» завершили в августе 1931 г., а сдавали в сентябре.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A259BD">
        <w:rPr>
          <w:rFonts w:ascii="Times New Roman" w:hAnsi="Times New Roman"/>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A259BD">
        <w:rPr>
          <w:rFonts w:ascii="Times New Roman" w:hAnsi="Times New Roman"/>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A259BD">
        <w:rPr>
          <w:rFonts w:ascii="Times New Roman" w:hAnsi="Times New Roman"/>
          <w:color w:val="000000" w:themeColor="text1"/>
          <w:sz w:val="16"/>
          <w:szCs w:val="16"/>
        </w:rPr>
        <w:softHyphen/>
        <w:t>ловине 30-х годов (11852).</w:t>
      </w:r>
    </w:p>
    <w:p w14:paraId="32C7EC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BD36B2" w14:textId="77777777" w:rsidR="00051DBD" w:rsidRPr="00A259BD" w:rsidRDefault="00051DB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сентябре 1929 года командировало в Германию заместителя начальника УВВС РККА Алксниса, с тем, чтобы заключить договор с фирмой </w:t>
      </w:r>
      <w:proofErr w:type="spellStart"/>
      <w:r w:rsidRPr="00A259BD">
        <w:rPr>
          <w:rFonts w:ascii="Times New Roman" w:hAnsi="Times New Roman"/>
          <w:color w:val="000000" w:themeColor="text1"/>
          <w:sz w:val="16"/>
          <w:szCs w:val="16"/>
        </w:rPr>
        <w:t>Хейнкль</w:t>
      </w:r>
      <w:proofErr w:type="spellEnd"/>
      <w:r w:rsidRPr="00A259BD">
        <w:rPr>
          <w:rFonts w:ascii="Times New Roman" w:hAnsi="Times New Roman"/>
          <w:color w:val="000000" w:themeColor="text1"/>
          <w:sz w:val="16"/>
          <w:szCs w:val="16"/>
        </w:rPr>
        <w:t xml:space="preserve"> на изготовление для Советского Союза военной летающей лодки и катапульты для нее длиною не более 21,5 метра (поскольку установить ее планировали на 3-й башне линкора «Парижская коммуна»).</w:t>
      </w:r>
    </w:p>
    <w:p w14:paraId="07E82029" w14:textId="77777777" w:rsidR="00051DBD" w:rsidRPr="00A259BD" w:rsidRDefault="00051DB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1925 году фирма «Хейнкель» создала складную модель катапультного самолета и катапульту под него — заказ предназначался для японского ВМФ[284] и гражданской авиакомпании «Люфтганза».</w:t>
      </w:r>
    </w:p>
    <w:p w14:paraId="6F268209" w14:textId="77777777" w:rsidR="00051DBD" w:rsidRPr="00A259BD" w:rsidRDefault="00051DB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Хейнкель предложение принял и за месяц создал в своем конструкторском бюро гидросамолет HD-55. По результатам испытаний фирме был сделан заказ на 20 экземпляров этого самолета, а затем 11 октября 1929 года был подписан дополнительный контракт еще на 14 летающих лодок HD-55. Сам Хейнкель позднее написал </w:t>
      </w:r>
      <w:r w:rsidRPr="00A259BD">
        <w:rPr>
          <w:rFonts w:ascii="Times New Roman" w:hAnsi="Times New Roman"/>
          <w:color w:val="000000" w:themeColor="text1"/>
          <w:sz w:val="16"/>
          <w:szCs w:val="16"/>
        </w:rPr>
        <w:lastRenderedPageBreak/>
        <w:t xml:space="preserve">в своих воспоминаниях, что именно этот советский заказ помог его фирме пережить сложный период начала Великой депрессии, во время которого в </w:t>
      </w:r>
      <w:proofErr w:type="spellStart"/>
      <w:r w:rsidRPr="00A259BD">
        <w:rPr>
          <w:rFonts w:ascii="Times New Roman" w:hAnsi="Times New Roman"/>
          <w:color w:val="000000" w:themeColor="text1"/>
          <w:sz w:val="16"/>
          <w:szCs w:val="16"/>
        </w:rPr>
        <w:t>Германиии</w:t>
      </w:r>
      <w:proofErr w:type="spellEnd"/>
      <w:r w:rsidRPr="00A259BD">
        <w:rPr>
          <w:rFonts w:ascii="Times New Roman" w:hAnsi="Times New Roman"/>
          <w:color w:val="000000" w:themeColor="text1"/>
          <w:sz w:val="16"/>
          <w:szCs w:val="16"/>
        </w:rPr>
        <w:t xml:space="preserve"> разорилось множество авиазаводов.</w:t>
      </w:r>
    </w:p>
    <w:p w14:paraId="33577580" w14:textId="77777777" w:rsidR="00051DBD" w:rsidRPr="00A259BD" w:rsidRDefault="00051DB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Мы — из торгового представительства СССР в Берлине, — сказал мне старший посетитель через переводчика. — Я приехал с предложением построить летающую лодку и катапульту к ней. Скажите только, нет или да, больше мне ничего не надо. Условия мы вам вышлем. Вы должны сделать проект, если он вам понравится, мы сделаем заказ.</w:t>
      </w:r>
    </w:p>
    <w:p w14:paraId="3D438E6F" w14:textId="77777777" w:rsidR="00051DBD" w:rsidRPr="00A259BD" w:rsidRDefault="00051DB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Я еще ни от одного человека не слышал, чтобы русские нарушали договор или оказались неплатежеспособными. К тому же после события с гидросамолетом </w:t>
      </w:r>
      <w:proofErr w:type="spellStart"/>
      <w:r w:rsidRPr="00A259BD">
        <w:rPr>
          <w:rFonts w:ascii="Times New Roman" w:hAnsi="Times New Roman"/>
          <w:color w:val="000000" w:themeColor="text1"/>
          <w:sz w:val="16"/>
          <w:szCs w:val="16"/>
        </w:rPr>
        <w:t>Хебмне</w:t>
      </w:r>
      <w:proofErr w:type="spellEnd"/>
      <w:r w:rsidRPr="00A259BD">
        <w:rPr>
          <w:rFonts w:ascii="Times New Roman" w:hAnsi="Times New Roman"/>
          <w:color w:val="000000" w:themeColor="text1"/>
          <w:sz w:val="16"/>
          <w:szCs w:val="16"/>
        </w:rPr>
        <w:t xml:space="preserve"> нечего было раздумывать. Преодолевая неприязнь к этим странным посетителям, я произнес: «Да».</w:t>
      </w:r>
    </w:p>
    <w:p w14:paraId="63BC177B" w14:textId="77777777" w:rsidR="00051DBD" w:rsidRPr="00A259BD" w:rsidRDefault="00051DB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Первый HD-55 прибыл в СССР к началу 1930 года. На него установили отечественный двигатель М-22 мощностью 480 л.с. и приступили к повторным испытаниям в Гребном порту Ленинграда. Самолет был принят на вооружение под индексом КР-1 («Корабельный разведчик»-1). Машина представляла собой летающую лодку-биплан с деревянной, обтянутой полотном конструкцией. При необходимости крылья, для уменьшения объема, могли складываться назад. Взлетный вес КР-1 составлял 2200 кг, скорость (</w:t>
      </w:r>
      <w:proofErr w:type="spellStart"/>
      <w:r w:rsidRPr="00A259BD">
        <w:rPr>
          <w:rFonts w:ascii="Times New Roman" w:hAnsi="Times New Roman"/>
          <w:color w:val="000000" w:themeColor="text1"/>
          <w:sz w:val="16"/>
          <w:szCs w:val="16"/>
        </w:rPr>
        <w:t>max</w:t>
      </w:r>
      <w:proofErr w:type="spellEnd"/>
      <w:r w:rsidRPr="00A259BD">
        <w:rPr>
          <w:rFonts w:ascii="Times New Roman" w:hAnsi="Times New Roman"/>
          <w:color w:val="000000" w:themeColor="text1"/>
          <w:sz w:val="16"/>
          <w:szCs w:val="16"/>
        </w:rPr>
        <w:t>)-194 км/ч, запаса топлива хватало на 5,5 ч полета. Самолет был вооружен неподвижным пулеметом в передней части, и еще одна турель со спаренными пулеметами устанавливалась в заднюю кабину. В комплекте с самолетом поставлялась 19-тонная катапульта К-3 , разгонявшая КР-1 при старте до скорости 90-120 км/ч. В 1932 году катапульту установили на линкоре «Парижская коммуна», где она сломалась уже после третьего старта. Остальные КР-1 взлетали исключительно с воды. Всего по состоянию на 1931 год на вооружении ВМФ СССР состояло 19 разведчиков КР-1, из которых 12 находились в составе Балтфлота, 6 — на Черноморском флоте и один был передан в НИИ ВВС. В 1938 году КР-1 были сняты с вооружения как устаревшие (18263).</w:t>
      </w:r>
    </w:p>
    <w:p w14:paraId="41DDBDBF" w14:textId="77777777" w:rsidR="00051DBD" w:rsidRPr="00A259BD" w:rsidRDefault="00051DBD" w:rsidP="009236E3">
      <w:pPr>
        <w:spacing w:after="0" w:line="240" w:lineRule="auto"/>
        <w:jc w:val="both"/>
        <w:rPr>
          <w:rFonts w:ascii="Times New Roman" w:hAnsi="Times New Roman"/>
          <w:color w:val="000000" w:themeColor="text1"/>
          <w:sz w:val="16"/>
          <w:szCs w:val="16"/>
        </w:rPr>
      </w:pPr>
    </w:p>
    <w:p w14:paraId="72C53016" w14:textId="77777777" w:rsidR="00051DBD" w:rsidRPr="00A259BD" w:rsidRDefault="00051DB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1929 года первый отечественный автожир КАСКР совершил первый успешный полет (19010).</w:t>
      </w:r>
    </w:p>
    <w:p w14:paraId="11D2A4D2" w14:textId="77777777" w:rsidR="00051DBD" w:rsidRPr="00A259BD" w:rsidRDefault="00051DBD" w:rsidP="009236E3">
      <w:pPr>
        <w:spacing w:after="0" w:line="240" w:lineRule="auto"/>
        <w:jc w:val="both"/>
        <w:rPr>
          <w:rFonts w:ascii="Times New Roman" w:hAnsi="Times New Roman"/>
          <w:color w:val="000000" w:themeColor="text1"/>
          <w:sz w:val="16"/>
          <w:szCs w:val="16"/>
        </w:rPr>
      </w:pPr>
    </w:p>
    <w:p w14:paraId="5909C4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1929 г. испытания ВАП-3  (ВАП-Ш), разрабатывавшийся в НИХП на Дер-7 на Р-1 в 56-й эскадрилье 3-й авиабригады в Гомеле показали, что механизм открывания слишком сложен и весьма ненадежен. Постоянно ломались шестерни и барабаны привода. ВАП-3 забраковали, и на вооружение он не поступил. Прибор пытались дорабатывать. 7 января 1930 г. потерпел аварию на посадке в Ухтомской Р-1 летного отряда НИХП, пилотируемый летчиком Н. Васильевым. Машина несла два ВАП-3. Приборы считались настолько секретными, что перед фотографированием для аварийного акта их сняли. По-видимому, довести ВАП-3 так и не удалось. Это был короткий железный цилиндр с двумя полусферическими алюминиевыми днищами. Переднее днище крепилось намертво, а заднее открывалось. Это был довольно сложный процесс. Для обеспечения герметичности стык закрывала алюминиевая лента, которая отрывалась механизмом с приводом от часовой пружины после того, как тросиком из кабины самолета отодвигали стопорную собачку. Когда лента отрывалась полностью, днище откидывалось, и жидкость из бака сразу выливалась. Залповый слив обеспечивал большую концентрацию отравляющего вещества на месте попадания (11931).</w:t>
      </w:r>
    </w:p>
    <w:p w14:paraId="66BB0C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CCA3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1929 под Москвой опыляли малярийных комаров (271,118).</w:t>
      </w:r>
    </w:p>
    <w:p w14:paraId="359DE6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A433D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7661BD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3470BA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1929 ГАУ выдало задание на 152 мм дальнобойную пушку Б-10 и она была разработана и сделана на заводе Большевик (7437, 8).</w:t>
      </w:r>
    </w:p>
    <w:p w14:paraId="0796EBE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E39A8F" w14:textId="77777777" w:rsidR="00F14B42" w:rsidRPr="00A259BD" w:rsidRDefault="00F14B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1929 г. ГАУ выдал «Большевику» ТТТ на 152-мм дальнобойную пушку была создана по ТТТ Орудие предназначалось для поражения на большой дальности резервов, передовых аэродромов, железнодорожных станций и других объектов в ближнем тылу противника, а также для разрушения бетонных сооружений. Испытания пушки Б-10 с наземного станка на </w:t>
      </w:r>
      <w:proofErr w:type="spellStart"/>
      <w:r w:rsidRPr="00A259BD">
        <w:rPr>
          <w:rFonts w:ascii="Times New Roman" w:hAnsi="Times New Roman"/>
          <w:color w:val="000000" w:themeColor="text1"/>
          <w:sz w:val="16"/>
          <w:szCs w:val="16"/>
        </w:rPr>
        <w:t>НИАПе</w:t>
      </w:r>
      <w:proofErr w:type="spellEnd"/>
      <w:r w:rsidRPr="00A259BD">
        <w:rPr>
          <w:rFonts w:ascii="Times New Roman" w:hAnsi="Times New Roman"/>
          <w:color w:val="000000" w:themeColor="text1"/>
          <w:sz w:val="16"/>
          <w:szCs w:val="16"/>
        </w:rPr>
        <w:t xml:space="preserve"> проводились с мая 1932 г. по 1936 г. Пушка на вооружение не принималась, но наработки по ней в дальнейшем были использованы в конструкции 152-мм пушек Б-30 и Бр-2. Работы по самоходной пушке СУ-БУ-10 были прекращены на ранней стадии. До изготовления серийных образцов и принятия на вооружения дело не дошло (15132).</w:t>
      </w:r>
    </w:p>
    <w:p w14:paraId="0DAD43E8" w14:textId="77777777" w:rsidR="00F14B42" w:rsidRPr="00A259BD" w:rsidRDefault="00F14B42" w:rsidP="009236E3">
      <w:pPr>
        <w:spacing w:after="0" w:line="240" w:lineRule="auto"/>
        <w:jc w:val="both"/>
        <w:rPr>
          <w:rFonts w:ascii="Times New Roman" w:hAnsi="Times New Roman"/>
          <w:color w:val="000000" w:themeColor="text1"/>
          <w:sz w:val="16"/>
          <w:szCs w:val="16"/>
        </w:rPr>
      </w:pPr>
    </w:p>
    <w:p w14:paraId="4B12DA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1929 года артиллерийское управ</w:t>
      </w:r>
      <w:r w:rsidRPr="00A259BD">
        <w:rPr>
          <w:rFonts w:ascii="Times New Roman" w:hAnsi="Times New Roman"/>
          <w:color w:val="000000" w:themeColor="text1"/>
          <w:sz w:val="16"/>
          <w:szCs w:val="16"/>
        </w:rPr>
        <w:softHyphen/>
        <w:t>ление Красной Армии выдало задание на разработку установки пулеметов Максима и ДП на легковых автомобилях и мотоциклах мастерским научно-испытательного оружей</w:t>
      </w:r>
      <w:r w:rsidRPr="00A259BD">
        <w:rPr>
          <w:rFonts w:ascii="Times New Roman" w:hAnsi="Times New Roman"/>
          <w:color w:val="000000" w:themeColor="text1"/>
          <w:sz w:val="16"/>
          <w:szCs w:val="16"/>
        </w:rPr>
        <w:softHyphen/>
        <w:t>ного полигона (НИОП) и инструментальному заводу № 2 в городе Коврове (11284).</w:t>
      </w:r>
    </w:p>
    <w:p w14:paraId="2D58E5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7177E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сентябрю 1929 г. первая очередь завода - будущего Новое Сормово - была построена. Однако планы руководства быстро менялись, и в 1930 г., когда строительство было в самом разгаре, Всесоюзный Совет Народного Хозяйства (ВСНХ) принял решение выделить «Новое Сормово» в самостоятельное предприятие, а в следующем году строительство завода было и вовсе отнесено к «ударным стройкам». [3 — Товарищ завод: история становления и развития производственного объединения «Нижегородский машиностроительный завод», 1932–1992. Н. Новгород, 1992, с. 17.] После этого сооружение производственных мощностей ускорилось (11741).</w:t>
      </w:r>
    </w:p>
    <w:p w14:paraId="0A12556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6415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1929 приняли решение о начале строительства ХТЗ, а уже 15 августа 1931-го из ворот ХТЗ выехал первый трактор. Недостатки качества восполнялись валом: в апреле 1935-го с конвейера ХТЗ сошел 100-тысячный трактор! Успех был очевиден, и завод наградили орденами Ленина и Трудового Красного Знамени. А вскоре доверили и более ответственное дело: перевели в 1936 г. с выпуска колесных тракторов СХТЗ-15/30 на гусеничные - СХТЗ-НАТИ I ТА. Уже в 1938-м завод производил их более 1000 в месяц с перспективой создания танкового и танкоремонтного производства [63, с. 228]. В полном объеме она осталась нереализованной (11438).</w:t>
      </w:r>
    </w:p>
    <w:p w14:paraId="269521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3F71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1929 г. модели Иж-1 и Иж-4 были отправлены в мотопробег Москва-Ленинград-Харьков-Москва. Однако, по ряду причин эти первые опыты не получили логического завершения и вскоре вопрос об организации производства мотоциклов переместился в область проектирования и строительства нового завода. И здесь, преимущества Ижевска в качестве точки для развертывания крупного мотоциклетного завода были очевидны. Город располагал мощной металлургией, крупной индустриальной базой, талантливыми инженерами и конструкторами, высококвалифицированной рабочей силой. Эти обстоятельства склонили чашу весов на сторону столицы Удмуртии (11396).</w:t>
      </w:r>
    </w:p>
    <w:p w14:paraId="16F5BB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1A507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сентябре 1929 нач. ВОХИМУ </w:t>
      </w:r>
      <w:proofErr w:type="spellStart"/>
      <w:r w:rsidRPr="00A259BD">
        <w:rPr>
          <w:rFonts w:ascii="Times New Roman" w:hAnsi="Times New Roman"/>
          <w:color w:val="000000" w:themeColor="text1"/>
          <w:sz w:val="16"/>
          <w:szCs w:val="16"/>
        </w:rPr>
        <w:t>Я.М.Фишман</w:t>
      </w:r>
      <w:proofErr w:type="spellEnd"/>
      <w:r w:rsidRPr="00A259BD">
        <w:rPr>
          <w:rFonts w:ascii="Times New Roman" w:hAnsi="Times New Roman"/>
          <w:color w:val="000000" w:themeColor="text1"/>
          <w:sz w:val="16"/>
          <w:szCs w:val="16"/>
        </w:rPr>
        <w:t xml:space="preserve"> внес предложение создать в Берлине совместный </w:t>
      </w:r>
      <w:proofErr w:type="spellStart"/>
      <w:r w:rsidRPr="00A259BD">
        <w:rPr>
          <w:rFonts w:ascii="Times New Roman" w:hAnsi="Times New Roman"/>
          <w:color w:val="000000" w:themeColor="text1"/>
          <w:sz w:val="16"/>
          <w:szCs w:val="16"/>
        </w:rPr>
        <w:t>химинститут</w:t>
      </w:r>
      <w:proofErr w:type="spellEnd"/>
      <w:r w:rsidRPr="00A259BD">
        <w:rPr>
          <w:rFonts w:ascii="Times New Roman" w:hAnsi="Times New Roman"/>
          <w:color w:val="000000" w:themeColor="text1"/>
          <w:sz w:val="16"/>
          <w:szCs w:val="16"/>
        </w:rPr>
        <w:t xml:space="preserve"> под эгидой АО с привлечением туда как немцев, так и русских (6121).</w:t>
      </w:r>
    </w:p>
    <w:p w14:paraId="488EAC8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7D2D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сентябре 1929 г. </w:t>
      </w:r>
      <w:proofErr w:type="spellStart"/>
      <w:r w:rsidRPr="00A259BD">
        <w:rPr>
          <w:rFonts w:ascii="Times New Roman" w:hAnsi="Times New Roman"/>
          <w:color w:val="000000" w:themeColor="text1"/>
          <w:sz w:val="16"/>
          <w:szCs w:val="16"/>
        </w:rPr>
        <w:t>Хаммерштайн</w:t>
      </w:r>
      <w:proofErr w:type="spellEnd"/>
      <w:r w:rsidRPr="00A259BD">
        <w:rPr>
          <w:rFonts w:ascii="Times New Roman" w:hAnsi="Times New Roman"/>
          <w:color w:val="000000" w:themeColor="text1"/>
          <w:sz w:val="16"/>
          <w:szCs w:val="16"/>
        </w:rPr>
        <w:t xml:space="preserve"> на все просьбы Ворошилова о содействии со стороны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рекомендовал «для укрепления отношений во всех промышленных вопросах генерала Людвига» (РГВА, ф. 33987, </w:t>
      </w:r>
      <w:proofErr w:type="spellStart"/>
      <w:r w:rsidRPr="00A259BD">
        <w:rPr>
          <w:rFonts w:ascii="Times New Roman" w:hAnsi="Times New Roman"/>
          <w:color w:val="000000" w:themeColor="text1"/>
          <w:sz w:val="16"/>
          <w:szCs w:val="16"/>
        </w:rPr>
        <w:t>оп.З</w:t>
      </w:r>
      <w:proofErr w:type="spellEnd"/>
      <w:r w:rsidRPr="00A259BD">
        <w:rPr>
          <w:rFonts w:ascii="Times New Roman" w:hAnsi="Times New Roman"/>
          <w:color w:val="000000" w:themeColor="text1"/>
          <w:sz w:val="16"/>
          <w:szCs w:val="16"/>
        </w:rPr>
        <w:t xml:space="preserve">, д. 375, л. 1-13.). Свои усилия после переговоров в Москве с Ворошиловым и Уборевичем, состоявшихся в конце 1929 г., Людвиг сконцентрировал на трех направлениях: </w:t>
      </w:r>
    </w:p>
    <w:p w14:paraId="7142AB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Оказание помощи по модернизации советской военной промышленности за счет направления немецких инженеров на заводы в СССР и предоставление лицензий для серийного производства военной продукции. </w:t>
      </w:r>
    </w:p>
    <w:p w14:paraId="25BAD9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Проведение совместных научно-исследовательских работ. Причем данный пункт частично уже реализовывался в процессе деятельности военно-учебных центров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(«Липецк», «Кама», «Томка»). </w:t>
      </w:r>
    </w:p>
    <w:p w14:paraId="0C3792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Речь здесь шла, однако, о КБ фирмы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xml:space="preserve">» (в СССР и в Германии) и, в некоторой мере, — о деятельности созданного в Москве-КБ германского специалиста по артсистемам проф. О. </w:t>
      </w:r>
      <w:proofErr w:type="spellStart"/>
      <w:r w:rsidRPr="00A259BD">
        <w:rPr>
          <w:rFonts w:ascii="Times New Roman" w:hAnsi="Times New Roman"/>
          <w:color w:val="000000" w:themeColor="text1"/>
          <w:sz w:val="16"/>
          <w:szCs w:val="16"/>
        </w:rPr>
        <w:t>Шмица</w:t>
      </w:r>
      <w:proofErr w:type="spellEnd"/>
      <w:r w:rsidRPr="00A259BD">
        <w:rPr>
          <w:rFonts w:ascii="Times New Roman" w:hAnsi="Times New Roman"/>
          <w:color w:val="000000" w:themeColor="text1"/>
          <w:sz w:val="16"/>
          <w:szCs w:val="16"/>
        </w:rPr>
        <w:t xml:space="preserve"> из </w:t>
      </w:r>
      <w:proofErr w:type="spellStart"/>
      <w:r w:rsidRPr="00A259BD">
        <w:rPr>
          <w:rFonts w:ascii="Times New Roman" w:hAnsi="Times New Roman"/>
          <w:color w:val="000000" w:themeColor="text1"/>
          <w:sz w:val="16"/>
          <w:szCs w:val="16"/>
        </w:rPr>
        <w:t>Брауншвайга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Шмиц</w:t>
      </w:r>
      <w:proofErr w:type="spellEnd"/>
      <w:r w:rsidRPr="00A259BD">
        <w:rPr>
          <w:rFonts w:ascii="Times New Roman" w:hAnsi="Times New Roman"/>
          <w:color w:val="000000" w:themeColor="text1"/>
          <w:sz w:val="16"/>
          <w:szCs w:val="16"/>
        </w:rPr>
        <w:t xml:space="preserve"> начал сотрудничать в инженерной области с советским </w:t>
      </w:r>
      <w:proofErr w:type="spellStart"/>
      <w:r w:rsidRPr="00A259BD">
        <w:rPr>
          <w:rFonts w:ascii="Times New Roman" w:hAnsi="Times New Roman"/>
          <w:color w:val="000000" w:themeColor="text1"/>
          <w:sz w:val="16"/>
          <w:szCs w:val="16"/>
        </w:rPr>
        <w:t>военпромом</w:t>
      </w:r>
      <w:proofErr w:type="spellEnd"/>
      <w:r w:rsidRPr="00A259BD">
        <w:rPr>
          <w:rFonts w:ascii="Times New Roman" w:hAnsi="Times New Roman"/>
          <w:color w:val="000000" w:themeColor="text1"/>
          <w:sz w:val="16"/>
          <w:szCs w:val="16"/>
        </w:rPr>
        <w:t xml:space="preserve"> весной 1928 г., когда ему было предложено провести год в СССР в целях разработки зенитного орудия и авиационного вооружения. Он согласился работать в области артиллерии и пулеметного дела. В апреле 1929 г. </w:t>
      </w:r>
      <w:proofErr w:type="spellStart"/>
      <w:r w:rsidRPr="00A259BD">
        <w:rPr>
          <w:rFonts w:ascii="Times New Roman" w:hAnsi="Times New Roman"/>
          <w:color w:val="000000" w:themeColor="text1"/>
          <w:sz w:val="16"/>
          <w:szCs w:val="16"/>
        </w:rPr>
        <w:t>Шмиц</w:t>
      </w:r>
      <w:proofErr w:type="spellEnd"/>
      <w:r w:rsidRPr="00A259BD">
        <w:rPr>
          <w:rFonts w:ascii="Times New Roman" w:hAnsi="Times New Roman"/>
          <w:color w:val="000000" w:themeColor="text1"/>
          <w:sz w:val="16"/>
          <w:szCs w:val="16"/>
        </w:rPr>
        <w:t xml:space="preserve"> уже делал «доклад о проделанной работе» руководителю инженерного отдела советского торгпредства в Германии Александрову. Он информировал обо всем также германские МИД и военное министерство. С одобрения последнего, очевидно, и завязалось это взаимодействие. Военный атташе в Германии </w:t>
      </w:r>
      <w:proofErr w:type="spellStart"/>
      <w:r w:rsidRPr="00A259BD">
        <w:rPr>
          <w:rFonts w:ascii="Times New Roman" w:hAnsi="Times New Roman"/>
          <w:color w:val="000000" w:themeColor="text1"/>
          <w:sz w:val="16"/>
          <w:szCs w:val="16"/>
        </w:rPr>
        <w:t>Корк</w:t>
      </w:r>
      <w:proofErr w:type="spellEnd"/>
      <w:r w:rsidRPr="00A259BD">
        <w:rPr>
          <w:rFonts w:ascii="Times New Roman" w:hAnsi="Times New Roman"/>
          <w:color w:val="000000" w:themeColor="text1"/>
          <w:sz w:val="16"/>
          <w:szCs w:val="16"/>
        </w:rPr>
        <w:t xml:space="preserve"> 8 апреля 1929 г. докладывал Ворошилову, что в проекты гаубицы и пушки, над которыми работал </w:t>
      </w:r>
      <w:proofErr w:type="spellStart"/>
      <w:r w:rsidRPr="00A259BD">
        <w:rPr>
          <w:rFonts w:ascii="Times New Roman" w:hAnsi="Times New Roman"/>
          <w:color w:val="000000" w:themeColor="text1"/>
          <w:sz w:val="16"/>
          <w:szCs w:val="16"/>
        </w:rPr>
        <w:t>Шмиц</w:t>
      </w:r>
      <w:proofErr w:type="spellEnd"/>
      <w:r w:rsidRPr="00A259BD">
        <w:rPr>
          <w:rFonts w:ascii="Times New Roman" w:hAnsi="Times New Roman"/>
          <w:color w:val="000000" w:themeColor="text1"/>
          <w:sz w:val="16"/>
          <w:szCs w:val="16"/>
        </w:rPr>
        <w:t xml:space="preserve">, он внес «ряд конструктивных изменений, улучшивших их характеристики. Кроме того </w:t>
      </w:r>
      <w:proofErr w:type="spellStart"/>
      <w:r w:rsidRPr="00A259BD">
        <w:rPr>
          <w:rFonts w:ascii="Times New Roman" w:hAnsi="Times New Roman"/>
          <w:color w:val="000000" w:themeColor="text1"/>
          <w:sz w:val="16"/>
          <w:szCs w:val="16"/>
        </w:rPr>
        <w:t>Шмиц</w:t>
      </w:r>
      <w:proofErr w:type="spellEnd"/>
      <w:r w:rsidRPr="00A259BD">
        <w:rPr>
          <w:rFonts w:ascii="Times New Roman" w:hAnsi="Times New Roman"/>
          <w:color w:val="000000" w:themeColor="text1"/>
          <w:sz w:val="16"/>
          <w:szCs w:val="16"/>
        </w:rPr>
        <w:t xml:space="preserve"> подготовил эскиз дальнобойной (20 км) пушки калибра 10,67 см. В своем КБ в </w:t>
      </w:r>
      <w:proofErr w:type="spellStart"/>
      <w:r w:rsidRPr="00A259BD">
        <w:rPr>
          <w:rFonts w:ascii="Times New Roman" w:hAnsi="Times New Roman"/>
          <w:color w:val="000000" w:themeColor="text1"/>
          <w:sz w:val="16"/>
          <w:szCs w:val="16"/>
        </w:rPr>
        <w:t>Брауншвайге</w:t>
      </w:r>
      <w:proofErr w:type="spellEnd"/>
      <w:r w:rsidRPr="00A259BD">
        <w:rPr>
          <w:rFonts w:ascii="Times New Roman" w:hAnsi="Times New Roman"/>
          <w:color w:val="000000" w:themeColor="text1"/>
          <w:sz w:val="16"/>
          <w:szCs w:val="16"/>
        </w:rPr>
        <w:t xml:space="preserve"> (технический институт, в котором он был директором) он изготавливал и модели проектируемых орудий. (РГВА, ф. 33987, оп. 3, д. 295, л. 71-78,34; ADAP, Ser.B,Bd.XIV.S.7).).</w:t>
      </w:r>
    </w:p>
    <w:p w14:paraId="4B082B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Поставка в СССР полуфабрикатов, производство и экспорт которых формально не подпадали под запреты Версаля, но способствовали поддержанию занятости и высокого уровня квалификации военно-промышленных фирм Германии. </w:t>
      </w:r>
    </w:p>
    <w:p w14:paraId="136864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Руководство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в этой связи рассчитывало на сотрудничество нескольких крупных германских фирм («Крупп»,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xml:space="preserve">», «Сименс и </w:t>
      </w:r>
      <w:proofErr w:type="spellStart"/>
      <w:r w:rsidRPr="00A259BD">
        <w:rPr>
          <w:rFonts w:ascii="Times New Roman" w:hAnsi="Times New Roman"/>
          <w:color w:val="000000" w:themeColor="text1"/>
          <w:sz w:val="16"/>
          <w:szCs w:val="16"/>
        </w:rPr>
        <w:t>Хальске</w:t>
      </w:r>
      <w:proofErr w:type="spellEnd"/>
      <w:r w:rsidRPr="00A259BD">
        <w:rPr>
          <w:rFonts w:ascii="Times New Roman" w:hAnsi="Times New Roman"/>
          <w:color w:val="000000" w:themeColor="text1"/>
          <w:sz w:val="16"/>
          <w:szCs w:val="16"/>
        </w:rPr>
        <w:t xml:space="preserve">»), а также на то, что «Людвиг в качестве советника русского правительства» по вооружению будет рекомендовать Москве независимо от ее пожеланий подходящие германские фирмы. Здесь помимо политической выгоды руководству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виделась возможность распространения своего влияния на процесс оснащения РККА новым вооружением. </w:t>
      </w:r>
    </w:p>
    <w:p w14:paraId="26DF51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Интерес для Москвы представляли первые два пункта, тогда как военное министерство Германии делало упор на последнем пункте. В довольно выгодной ситуации оказалась здесь фирма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xml:space="preserve">». Конкретно речь шла о целом реестре согласованных двусторонних проектов, из которых, собственно, и состояла программа развития советской оборонной промышленности, так называемая «программа Людвига». Это: </w:t>
      </w:r>
    </w:p>
    <w:p w14:paraId="60429B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Поставка в СССР полуфабрикатов 75-миллиметровых зенитных орудий. Их сборка должна была осуществляться инженерами «</w:t>
      </w:r>
      <w:proofErr w:type="spellStart"/>
      <w:r w:rsidRPr="00A259BD">
        <w:rPr>
          <w:rFonts w:ascii="Times New Roman" w:hAnsi="Times New Roman"/>
          <w:color w:val="000000" w:themeColor="text1"/>
          <w:sz w:val="16"/>
          <w:szCs w:val="16"/>
        </w:rPr>
        <w:t>Райнметалла</w:t>
      </w:r>
      <w:proofErr w:type="spellEnd"/>
      <w:r w:rsidRPr="00A259BD">
        <w:rPr>
          <w:rFonts w:ascii="Times New Roman" w:hAnsi="Times New Roman"/>
          <w:color w:val="000000" w:themeColor="text1"/>
          <w:sz w:val="16"/>
          <w:szCs w:val="16"/>
        </w:rPr>
        <w:t xml:space="preserve">». </w:t>
      </w:r>
    </w:p>
    <w:p w14:paraId="7651C1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Поставка необходимых для этого приборов управления огнем фирмы «К. </w:t>
      </w:r>
      <w:proofErr w:type="spellStart"/>
      <w:r w:rsidRPr="00A259BD">
        <w:rPr>
          <w:rFonts w:ascii="Times New Roman" w:hAnsi="Times New Roman"/>
          <w:color w:val="000000" w:themeColor="text1"/>
          <w:sz w:val="16"/>
          <w:szCs w:val="16"/>
        </w:rPr>
        <w:t>Цайс</w:t>
      </w:r>
      <w:proofErr w:type="spellEnd"/>
      <w:r w:rsidRPr="00A259BD">
        <w:rPr>
          <w:rFonts w:ascii="Times New Roman" w:hAnsi="Times New Roman"/>
          <w:color w:val="000000" w:themeColor="text1"/>
          <w:sz w:val="16"/>
          <w:szCs w:val="16"/>
        </w:rPr>
        <w:t xml:space="preserve">» из расчета, что к осени 1930 г. будет собрано 20 — 30 орудий. </w:t>
      </w:r>
    </w:p>
    <w:p w14:paraId="398A4B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Ремонт и переоборудование одного из советских военных заводов с целью наладки лицензионного производства военного снаряжения. </w:t>
      </w:r>
    </w:p>
    <w:p w14:paraId="098C32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Строительство завода по производству взрывателей и поставка готовых часовых взрывателей и взрывателей для зенитных орудий. Для этого планировалось привлечь фирму «Тиль» из </w:t>
      </w:r>
      <w:proofErr w:type="spellStart"/>
      <w:r w:rsidRPr="00A259BD">
        <w:rPr>
          <w:rFonts w:ascii="Times New Roman" w:hAnsi="Times New Roman"/>
          <w:color w:val="000000" w:themeColor="text1"/>
          <w:sz w:val="16"/>
          <w:szCs w:val="16"/>
        </w:rPr>
        <w:t>Рулы</w:t>
      </w:r>
      <w:proofErr w:type="spellEnd"/>
      <w:r w:rsidRPr="00A259BD">
        <w:rPr>
          <w:rFonts w:ascii="Times New Roman" w:hAnsi="Times New Roman"/>
          <w:color w:val="000000" w:themeColor="text1"/>
          <w:sz w:val="16"/>
          <w:szCs w:val="16"/>
        </w:rPr>
        <w:t xml:space="preserve">. </w:t>
      </w:r>
    </w:p>
    <w:p w14:paraId="62755A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Поставка полуфабрикатов для изготовления в СССР 10 — 20 испытательных экземпляров минометов. </w:t>
      </w:r>
    </w:p>
    <w:p w14:paraId="4B1801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Поставка испытательного образца 20-миллиметрового автомата фирмы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(Гендиректор «</w:t>
      </w:r>
      <w:proofErr w:type="spellStart"/>
      <w:r w:rsidRPr="00A259BD">
        <w:rPr>
          <w:rFonts w:ascii="Times New Roman" w:hAnsi="Times New Roman"/>
          <w:color w:val="000000" w:themeColor="text1"/>
          <w:sz w:val="16"/>
          <w:szCs w:val="16"/>
        </w:rPr>
        <w:t>Райнметалла</w:t>
      </w:r>
      <w:proofErr w:type="spellEnd"/>
      <w:r w:rsidRPr="00A259BD">
        <w:rPr>
          <w:rFonts w:ascii="Times New Roman" w:hAnsi="Times New Roman"/>
          <w:color w:val="000000" w:themeColor="text1"/>
          <w:sz w:val="16"/>
          <w:szCs w:val="16"/>
        </w:rPr>
        <w:t xml:space="preserve">» X. </w:t>
      </w:r>
      <w:proofErr w:type="spellStart"/>
      <w:r w:rsidRPr="00A259BD">
        <w:rPr>
          <w:rFonts w:ascii="Times New Roman" w:hAnsi="Times New Roman"/>
          <w:color w:val="000000" w:themeColor="text1"/>
          <w:sz w:val="16"/>
          <w:szCs w:val="16"/>
        </w:rPr>
        <w:t>Эльце</w:t>
      </w:r>
      <w:proofErr w:type="spellEnd"/>
      <w:r w:rsidRPr="00A259BD">
        <w:rPr>
          <w:rFonts w:ascii="Times New Roman" w:hAnsi="Times New Roman"/>
          <w:color w:val="000000" w:themeColor="text1"/>
          <w:sz w:val="16"/>
          <w:szCs w:val="16"/>
        </w:rPr>
        <w:t xml:space="preserve"> намеревался скрытно переправить его в СССР в водопроводной трубе. (ADAP, </w:t>
      </w:r>
      <w:proofErr w:type="spellStart"/>
      <w:r w:rsidRPr="00A259BD">
        <w:rPr>
          <w:rFonts w:ascii="Times New Roman" w:hAnsi="Times New Roman"/>
          <w:color w:val="000000" w:themeColor="text1"/>
          <w:sz w:val="16"/>
          <w:szCs w:val="16"/>
        </w:rPr>
        <w:t>Ser</w:t>
      </w:r>
      <w:proofErr w:type="spellEnd"/>
      <w:r w:rsidRPr="00A259BD">
        <w:rPr>
          <w:rFonts w:ascii="Times New Roman" w:hAnsi="Times New Roman"/>
          <w:color w:val="000000" w:themeColor="text1"/>
          <w:sz w:val="16"/>
          <w:szCs w:val="16"/>
        </w:rPr>
        <w:t xml:space="preserve">. B, </w:t>
      </w:r>
      <w:proofErr w:type="spellStart"/>
      <w:r w:rsidRPr="00A259BD">
        <w:rPr>
          <w:rFonts w:ascii="Times New Roman" w:hAnsi="Times New Roman"/>
          <w:color w:val="000000" w:themeColor="text1"/>
          <w:sz w:val="16"/>
          <w:szCs w:val="16"/>
        </w:rPr>
        <w:t>Bd</w:t>
      </w:r>
      <w:proofErr w:type="spellEnd"/>
      <w:r w:rsidRPr="00A259BD">
        <w:rPr>
          <w:rFonts w:ascii="Times New Roman" w:hAnsi="Times New Roman"/>
          <w:color w:val="000000" w:themeColor="text1"/>
          <w:sz w:val="16"/>
          <w:szCs w:val="16"/>
        </w:rPr>
        <w:t>. XIV, S. 6).).</w:t>
      </w:r>
    </w:p>
    <w:p w14:paraId="72FE0D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Поставка в СССР трассирующих снарядов, производство которых намечалось осуществить в Австрии. </w:t>
      </w:r>
    </w:p>
    <w:p w14:paraId="175C83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Поставка в СССР оборудования по изготовлению снарядов для полевой артиллерии. </w:t>
      </w:r>
    </w:p>
    <w:p w14:paraId="5335FB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Поставка аппаратуры для производства полуфабрикатов, необходимых для изготовления ОВ. </w:t>
      </w:r>
    </w:p>
    <w:p w14:paraId="58F630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Переговоры советским торгпредством в Берлине велись с фирмами «Гольдшмидт» из </w:t>
      </w:r>
      <w:proofErr w:type="spellStart"/>
      <w:r w:rsidRPr="00A259BD">
        <w:rPr>
          <w:rFonts w:ascii="Times New Roman" w:hAnsi="Times New Roman"/>
          <w:color w:val="000000" w:themeColor="text1"/>
          <w:sz w:val="16"/>
          <w:szCs w:val="16"/>
        </w:rPr>
        <w:t>Аммендорфа</w:t>
      </w:r>
      <w:proofErr w:type="spellEnd"/>
      <w:r w:rsidRPr="00A259BD">
        <w:rPr>
          <w:rFonts w:ascii="Times New Roman" w:hAnsi="Times New Roman"/>
          <w:color w:val="000000" w:themeColor="text1"/>
          <w:sz w:val="16"/>
          <w:szCs w:val="16"/>
        </w:rPr>
        <w:t xml:space="preserve"> и «Рем и Хаас» из </w:t>
      </w:r>
      <w:proofErr w:type="spellStart"/>
      <w:r w:rsidRPr="00A259BD">
        <w:rPr>
          <w:rFonts w:ascii="Times New Roman" w:hAnsi="Times New Roman"/>
          <w:color w:val="000000" w:themeColor="text1"/>
          <w:sz w:val="16"/>
          <w:szCs w:val="16"/>
        </w:rPr>
        <w:t>Маннхайма</w:t>
      </w:r>
      <w:proofErr w:type="spellEnd"/>
      <w:r w:rsidRPr="00A259BD">
        <w:rPr>
          <w:rFonts w:ascii="Times New Roman" w:hAnsi="Times New Roman"/>
          <w:color w:val="000000" w:themeColor="text1"/>
          <w:sz w:val="16"/>
          <w:szCs w:val="16"/>
        </w:rPr>
        <w:t>, после того, как «ИГ-</w:t>
      </w:r>
      <w:proofErr w:type="spellStart"/>
      <w:r w:rsidRPr="00A259BD">
        <w:rPr>
          <w:rFonts w:ascii="Times New Roman" w:hAnsi="Times New Roman"/>
          <w:color w:val="000000" w:themeColor="text1"/>
          <w:sz w:val="16"/>
          <w:szCs w:val="16"/>
        </w:rPr>
        <w:t>Фарбен</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Гезельшафт</w:t>
      </w:r>
      <w:proofErr w:type="spellEnd"/>
      <w:r w:rsidRPr="00A259BD">
        <w:rPr>
          <w:rFonts w:ascii="Times New Roman" w:hAnsi="Times New Roman"/>
          <w:color w:val="000000" w:themeColor="text1"/>
          <w:sz w:val="16"/>
          <w:szCs w:val="16"/>
        </w:rPr>
        <w:t xml:space="preserve">» отказалась поставить советской стороне необходимое оборудование (ADAP, </w:t>
      </w:r>
      <w:proofErr w:type="spellStart"/>
      <w:r w:rsidRPr="00A259BD">
        <w:rPr>
          <w:rFonts w:ascii="Times New Roman" w:hAnsi="Times New Roman"/>
          <w:color w:val="000000" w:themeColor="text1"/>
          <w:sz w:val="16"/>
          <w:szCs w:val="16"/>
        </w:rPr>
        <w:t>Ser</w:t>
      </w:r>
      <w:proofErr w:type="spellEnd"/>
      <w:r w:rsidRPr="00A259BD">
        <w:rPr>
          <w:rFonts w:ascii="Times New Roman" w:hAnsi="Times New Roman"/>
          <w:color w:val="000000" w:themeColor="text1"/>
          <w:sz w:val="16"/>
          <w:szCs w:val="16"/>
        </w:rPr>
        <w:t xml:space="preserve">. B, </w:t>
      </w:r>
      <w:proofErr w:type="spellStart"/>
      <w:r w:rsidRPr="00A259BD">
        <w:rPr>
          <w:rFonts w:ascii="Times New Roman" w:hAnsi="Times New Roman"/>
          <w:color w:val="000000" w:themeColor="text1"/>
          <w:sz w:val="16"/>
          <w:szCs w:val="16"/>
        </w:rPr>
        <w:t>Bd</w:t>
      </w:r>
      <w:proofErr w:type="spellEnd"/>
      <w:r w:rsidRPr="00A259BD">
        <w:rPr>
          <w:rFonts w:ascii="Times New Roman" w:hAnsi="Times New Roman"/>
          <w:color w:val="000000" w:themeColor="text1"/>
          <w:sz w:val="16"/>
          <w:szCs w:val="16"/>
        </w:rPr>
        <w:t xml:space="preserve">. XIV. S. 4-7.). Внешне поставку полуфабрикатов, готовых изделий и оборудования намечалось осуществлять через подставные фирмы из нейтральных стран (Австрия, Швейцария, Швеция). </w:t>
      </w:r>
    </w:p>
    <w:p w14:paraId="77B850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 советской стороны, как понял Людвиг, было всего 30 танков и все они, как и 6 танков, поставленных «Крупном» летом 1929г., не функционировали. Причем немецкие танки, судя по всему, не были испытаны перед поставкой в СССР. Поэтому было предложено в случае, если «Крупп» будет участвовать в реализации «программы Людвига», поставлять в Советский Союз гусеничные тракторы (тягачи) для последующего их переоборудования. </w:t>
      </w:r>
    </w:p>
    <w:p w14:paraId="74F5EF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Свой выбор ПК обороны (Ворошилов и Уборевич) и представители советского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после отказа «Крупна» остановили на полугосударственном концерне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единственном, с кем советской стороне в конце концов удалось договориться. Переговоры с «</w:t>
      </w:r>
      <w:proofErr w:type="spellStart"/>
      <w:r w:rsidRPr="00A259BD">
        <w:rPr>
          <w:rFonts w:ascii="Times New Roman" w:hAnsi="Times New Roman"/>
          <w:color w:val="000000" w:themeColor="text1"/>
          <w:sz w:val="16"/>
          <w:szCs w:val="16"/>
        </w:rPr>
        <w:t>Райнметаллом</w:t>
      </w:r>
      <w:proofErr w:type="spellEnd"/>
      <w:r w:rsidRPr="00A259BD">
        <w:rPr>
          <w:rFonts w:ascii="Times New Roman" w:hAnsi="Times New Roman"/>
          <w:color w:val="000000" w:themeColor="text1"/>
          <w:sz w:val="16"/>
          <w:szCs w:val="16"/>
        </w:rPr>
        <w:t xml:space="preserve">» проводились спешным порядком. Советскую сторону возглавляли начальник вооружений РККА, зам. председателя РВС Уборевич и начальник ГВПУ ВСНХ Урываев. Согласованный сторонами договор состоял из трех больших частей. В первой речь шла о постановке производства 6 артсистем (3-дюймовая зенитная пушка, 15-сантиметровый миномет, 37 мм противотанковая пушка, 20 мм автоматическая пушка, а также 37 мм автоматическая зенитная пушка и 6-дюймовая гаубица). Уже к концу 1931 г. должно было быть налажено их производство. Во второй части говорилось об организации двух КБ по </w:t>
      </w:r>
      <w:proofErr w:type="spellStart"/>
      <w:r w:rsidRPr="00A259BD">
        <w:rPr>
          <w:rFonts w:ascii="Times New Roman" w:hAnsi="Times New Roman"/>
          <w:color w:val="000000" w:themeColor="text1"/>
          <w:sz w:val="16"/>
          <w:szCs w:val="16"/>
        </w:rPr>
        <w:t>артвооружению</w:t>
      </w:r>
      <w:proofErr w:type="spellEnd"/>
      <w:r w:rsidRPr="00A259BD">
        <w:rPr>
          <w:rFonts w:ascii="Times New Roman" w:hAnsi="Times New Roman"/>
          <w:color w:val="000000" w:themeColor="text1"/>
          <w:sz w:val="16"/>
          <w:szCs w:val="16"/>
        </w:rPr>
        <w:t xml:space="preserve"> с командированием в СССР на четыре года 20 конструкторов и выделением необходимого материала из архивов фирмы. В третьей части говорилось о купле 4 артсистем и необходимого готового технологического инструмента для их немедленного производства. За все эти услуги Москва обязалась уплатить </w:t>
      </w:r>
      <w:proofErr w:type="spellStart"/>
      <w:r w:rsidRPr="00A259BD">
        <w:rPr>
          <w:rFonts w:ascii="Times New Roman" w:hAnsi="Times New Roman"/>
          <w:color w:val="000000" w:themeColor="text1"/>
          <w:sz w:val="16"/>
          <w:szCs w:val="16"/>
        </w:rPr>
        <w:t>ок</w:t>
      </w:r>
      <w:proofErr w:type="spellEnd"/>
      <w:r w:rsidRPr="00A259BD">
        <w:rPr>
          <w:rFonts w:ascii="Times New Roman" w:hAnsi="Times New Roman"/>
          <w:color w:val="000000" w:themeColor="text1"/>
          <w:sz w:val="16"/>
          <w:szCs w:val="16"/>
        </w:rPr>
        <w:t xml:space="preserve">. 2,5 млн. американских долларов (РГВА, ф. 33987, </w:t>
      </w:r>
      <w:proofErr w:type="spellStart"/>
      <w:r w:rsidRPr="00A259BD">
        <w:rPr>
          <w:rFonts w:ascii="Times New Roman" w:hAnsi="Times New Roman"/>
          <w:color w:val="000000" w:themeColor="text1"/>
          <w:sz w:val="16"/>
          <w:szCs w:val="16"/>
        </w:rPr>
        <w:t>on</w:t>
      </w:r>
      <w:proofErr w:type="spellEnd"/>
      <w:r w:rsidRPr="00A259BD">
        <w:rPr>
          <w:rFonts w:ascii="Times New Roman" w:hAnsi="Times New Roman"/>
          <w:color w:val="000000" w:themeColor="text1"/>
          <w:sz w:val="16"/>
          <w:szCs w:val="16"/>
        </w:rPr>
        <w:t xml:space="preserve">. 3, д. 112, л. 75-77.). Кроме того, фирма обязалась помочь в организации производства в СССР танков. </w:t>
      </w:r>
    </w:p>
    <w:p w14:paraId="19EA80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Переговоры шли довольно трудно. Уборевич, чтобы уломать немцев, сослался на то, что американская фирма «Скотт» и шведская «</w:t>
      </w:r>
      <w:proofErr w:type="spellStart"/>
      <w:r w:rsidRPr="00A259BD">
        <w:rPr>
          <w:rFonts w:ascii="Times New Roman" w:hAnsi="Times New Roman"/>
          <w:color w:val="000000" w:themeColor="text1"/>
          <w:sz w:val="16"/>
          <w:szCs w:val="16"/>
        </w:rPr>
        <w:t>Бофорс</w:t>
      </w:r>
      <w:proofErr w:type="spellEnd"/>
      <w:r w:rsidRPr="00A259BD">
        <w:rPr>
          <w:rFonts w:ascii="Times New Roman" w:hAnsi="Times New Roman"/>
          <w:color w:val="000000" w:themeColor="text1"/>
          <w:sz w:val="16"/>
          <w:szCs w:val="16"/>
        </w:rPr>
        <w:t xml:space="preserve">» также готовы исполнить заказ на более выгодных, чем немцы условиях (Уборевич упоминал также фирму «Виккерс»); он, однако, сделал свой выбор на немецкой фирме, которую считал более толковой. Настаивая на подписании договора, Ворошилов и Уборевич пригрозили </w:t>
      </w:r>
      <w:proofErr w:type="spellStart"/>
      <w:r w:rsidRPr="00A259BD">
        <w:rPr>
          <w:rFonts w:ascii="Times New Roman" w:hAnsi="Times New Roman"/>
          <w:color w:val="000000" w:themeColor="text1"/>
          <w:sz w:val="16"/>
          <w:szCs w:val="16"/>
        </w:rPr>
        <w:t>Эльце</w:t>
      </w:r>
      <w:proofErr w:type="spellEnd"/>
      <w:r w:rsidRPr="00A259BD">
        <w:rPr>
          <w:rFonts w:ascii="Times New Roman" w:hAnsi="Times New Roman"/>
          <w:color w:val="000000" w:themeColor="text1"/>
          <w:sz w:val="16"/>
          <w:szCs w:val="16"/>
        </w:rPr>
        <w:t>, что затягивание переговоров потянет за собой не только ухудшение, но и пересмотр всего комплекса отношений между СССР и Германией, включая политический и экономический аспекты (11784).</w:t>
      </w:r>
    </w:p>
    <w:p w14:paraId="54469C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3F162E8"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сентябре 1929 г. начальник Мобилизационного отдела </w:t>
      </w:r>
      <w:proofErr w:type="spellStart"/>
      <w:r w:rsidRPr="00A259BD">
        <w:rPr>
          <w:rFonts w:ascii="Times New Roman" w:hAnsi="Times New Roman"/>
          <w:color w:val="000000" w:themeColor="text1"/>
          <w:sz w:val="16"/>
          <w:szCs w:val="16"/>
        </w:rPr>
        <w:t>Главэлектро</w:t>
      </w:r>
      <w:proofErr w:type="spellEnd"/>
      <w:r w:rsidRPr="00A259BD">
        <w:rPr>
          <w:rFonts w:ascii="Times New Roman" w:hAnsi="Times New Roman"/>
          <w:color w:val="000000" w:themeColor="text1"/>
          <w:sz w:val="16"/>
          <w:szCs w:val="16"/>
        </w:rPr>
        <w:t xml:space="preserve"> предписывает руководству треста принять меры к созданию конструкторских бюро на подчиненных предприятиях. Для этого ставилась задача выявить подходящих работников, составить планы организации, определить структуру и порядок укомплектования заводских конструкторских бюро (КБ) (18297).</w:t>
      </w:r>
    </w:p>
    <w:p w14:paraId="4E6C3E44" w14:textId="77777777" w:rsidR="004046F2" w:rsidRPr="00A259BD" w:rsidRDefault="004046F2" w:rsidP="009236E3">
      <w:pPr>
        <w:spacing w:after="0" w:line="240" w:lineRule="auto"/>
        <w:jc w:val="both"/>
        <w:rPr>
          <w:rFonts w:ascii="Times New Roman" w:hAnsi="Times New Roman"/>
          <w:color w:val="000000" w:themeColor="text1"/>
          <w:sz w:val="16"/>
          <w:szCs w:val="16"/>
        </w:rPr>
      </w:pPr>
    </w:p>
    <w:p w14:paraId="299D8455" w14:textId="77777777" w:rsidR="004046F2" w:rsidRPr="00A259BD" w:rsidRDefault="00000000" w:rsidP="009236E3">
      <w:pPr>
        <w:spacing w:after="0" w:line="240" w:lineRule="auto"/>
        <w:jc w:val="both"/>
        <w:rPr>
          <w:rFonts w:ascii="Times New Roman" w:hAnsi="Times New Roman"/>
          <w:color w:val="000000" w:themeColor="text1"/>
          <w:sz w:val="16"/>
          <w:szCs w:val="16"/>
        </w:rPr>
      </w:pPr>
      <w:hyperlink r:id="rId184" w:anchor="n_401" w:history="1">
        <w:r w:rsidR="004046F2" w:rsidRPr="00A259BD">
          <w:rPr>
            <w:rStyle w:val="a5"/>
            <w:rFonts w:ascii="Times New Roman" w:hAnsi="Times New Roman"/>
            <w:color w:val="000000" w:themeColor="text1"/>
            <w:sz w:val="16"/>
            <w:szCs w:val="16"/>
          </w:rPr>
          <w:t xml:space="preserve">С сентября 1929 г. </w:t>
        </w:r>
        <w:proofErr w:type="spellStart"/>
        <w:r w:rsidR="004046F2" w:rsidRPr="00A259BD">
          <w:rPr>
            <w:rStyle w:val="a5"/>
            <w:rFonts w:ascii="Times New Roman" w:hAnsi="Times New Roman"/>
            <w:color w:val="000000" w:themeColor="text1"/>
            <w:sz w:val="16"/>
            <w:szCs w:val="16"/>
          </w:rPr>
          <w:t>Хаммерштайн</w:t>
        </w:r>
        <w:proofErr w:type="spellEnd"/>
        <w:r w:rsidR="004046F2" w:rsidRPr="00A259BD">
          <w:rPr>
            <w:rStyle w:val="a5"/>
            <w:rFonts w:ascii="Times New Roman" w:hAnsi="Times New Roman"/>
            <w:color w:val="000000" w:themeColor="text1"/>
            <w:sz w:val="16"/>
            <w:szCs w:val="16"/>
          </w:rPr>
          <w:t xml:space="preserve"> на все просьбы Ворошилова о содействии со стороны </w:t>
        </w:r>
        <w:proofErr w:type="spellStart"/>
        <w:r w:rsidR="004046F2" w:rsidRPr="00A259BD">
          <w:rPr>
            <w:rStyle w:val="a5"/>
            <w:rFonts w:ascii="Times New Roman" w:hAnsi="Times New Roman"/>
            <w:color w:val="000000" w:themeColor="text1"/>
            <w:sz w:val="16"/>
            <w:szCs w:val="16"/>
          </w:rPr>
          <w:t>райхсвера</w:t>
        </w:r>
        <w:proofErr w:type="spellEnd"/>
        <w:r w:rsidR="004046F2" w:rsidRPr="00A259BD">
          <w:rPr>
            <w:rStyle w:val="a5"/>
            <w:rFonts w:ascii="Times New Roman" w:hAnsi="Times New Roman"/>
            <w:color w:val="000000" w:themeColor="text1"/>
            <w:sz w:val="16"/>
            <w:szCs w:val="16"/>
          </w:rPr>
          <w:t xml:space="preserve"> рекомендовал «для укрепления отношений во всех промышленных вопросах генерала Людвига»</w:t>
        </w:r>
      </w:hyperlink>
      <w:r w:rsidR="004046F2" w:rsidRPr="00A259BD">
        <w:rPr>
          <w:rFonts w:ascii="Times New Roman" w:hAnsi="Times New Roman"/>
          <w:color w:val="000000" w:themeColor="text1"/>
          <w:sz w:val="16"/>
          <w:szCs w:val="16"/>
        </w:rPr>
        <w:t xml:space="preserve">, ушедший в отставку с поста начальника вооружений </w:t>
      </w:r>
      <w:proofErr w:type="spellStart"/>
      <w:r w:rsidR="004046F2" w:rsidRPr="00A259BD">
        <w:rPr>
          <w:rFonts w:ascii="Times New Roman" w:hAnsi="Times New Roman"/>
          <w:color w:val="000000" w:themeColor="text1"/>
          <w:sz w:val="16"/>
          <w:szCs w:val="16"/>
        </w:rPr>
        <w:t>райхсвера</w:t>
      </w:r>
      <w:proofErr w:type="spellEnd"/>
      <w:r w:rsidR="004046F2" w:rsidRPr="00A259BD">
        <w:rPr>
          <w:rFonts w:ascii="Times New Roman" w:hAnsi="Times New Roman"/>
          <w:color w:val="000000" w:themeColor="text1"/>
          <w:sz w:val="16"/>
          <w:szCs w:val="16"/>
        </w:rPr>
        <w:t>.</w:t>
      </w:r>
    </w:p>
    <w:p w14:paraId="1AEA6B40"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Свои усилия после переговоров в Москве с Ворошиловым и Уборевичем, состоявшихся в конце 1929 г., Людвиг сконцентрировал на трех направлениях:</w:t>
      </w:r>
    </w:p>
    <w:p w14:paraId="2E213CD5"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Оказание помощи по модернизации советской военной промышленности за счет направления немецких инженеров на заводы в СССР и предоставление лицензий для серийного производства военной продукции.</w:t>
      </w:r>
    </w:p>
    <w:p w14:paraId="4C279543"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Проведение совместных научно-исследовательских работ. Причем данный пункт частично уже реализовывался в процессе деятельности военно-учебных центров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(«Липецк», «Кама», «Томка»).</w:t>
      </w:r>
    </w:p>
    <w:p w14:paraId="25961C09"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Речь здесь шла, однако, о КБ фирмы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xml:space="preserve">» (в СССР и в Германии) и, в некоторой мере, — о деятельности созданного в Москве КБ германского специалиста по артсистемам проф. О. </w:t>
      </w:r>
      <w:proofErr w:type="spellStart"/>
      <w:r w:rsidRPr="00A259BD">
        <w:rPr>
          <w:rFonts w:ascii="Times New Roman" w:hAnsi="Times New Roman"/>
          <w:color w:val="000000" w:themeColor="text1"/>
          <w:sz w:val="16"/>
          <w:szCs w:val="16"/>
        </w:rPr>
        <w:t>Шмица</w:t>
      </w:r>
      <w:proofErr w:type="spellEnd"/>
      <w:r w:rsidRPr="00A259BD">
        <w:rPr>
          <w:rFonts w:ascii="Times New Roman" w:hAnsi="Times New Roman"/>
          <w:color w:val="000000" w:themeColor="text1"/>
          <w:sz w:val="16"/>
          <w:szCs w:val="16"/>
        </w:rPr>
        <w:t xml:space="preserve"> из </w:t>
      </w:r>
      <w:proofErr w:type="spellStart"/>
      <w:r w:rsidRPr="00A259BD">
        <w:rPr>
          <w:rFonts w:ascii="Times New Roman" w:hAnsi="Times New Roman"/>
          <w:color w:val="000000" w:themeColor="text1"/>
          <w:sz w:val="16"/>
          <w:szCs w:val="16"/>
        </w:rPr>
        <w:t>Брауншвайга</w:t>
      </w:r>
      <w:proofErr w:type="spellEnd"/>
      <w:r w:rsidR="00000000">
        <w:fldChar w:fldCharType="begin"/>
      </w:r>
      <w:r w:rsidR="00000000">
        <w:instrText>HYPERLINK "http://www.e-reading.club/chapter.php/1005087/39/Gorlov_Sergey_-_Sovershenno_sekretno__Alyans_Moskva_-_Berlin_1920-1933_gg..html" \l "n_403"</w:instrText>
      </w:r>
      <w:r w:rsidR="00000000">
        <w:fldChar w:fldCharType="separate"/>
      </w:r>
      <w:r w:rsidRPr="00A259BD">
        <w:rPr>
          <w:rStyle w:val="a5"/>
          <w:rFonts w:ascii="Times New Roman" w:hAnsi="Times New Roman"/>
          <w:color w:val="000000" w:themeColor="text1"/>
          <w:sz w:val="16"/>
          <w:szCs w:val="16"/>
        </w:rPr>
        <w:t>[403]</w:t>
      </w:r>
      <w:r w:rsidR="00000000">
        <w:rPr>
          <w:rStyle w:val="a5"/>
          <w:rFonts w:ascii="Times New Roman" w:hAnsi="Times New Roman"/>
          <w:color w:val="000000" w:themeColor="text1"/>
          <w:sz w:val="16"/>
          <w:szCs w:val="16"/>
        </w:rPr>
        <w:fldChar w:fldCharType="end"/>
      </w:r>
      <w:r w:rsidRPr="00A259BD">
        <w:rPr>
          <w:rFonts w:ascii="Times New Roman" w:hAnsi="Times New Roman"/>
          <w:color w:val="000000" w:themeColor="text1"/>
          <w:sz w:val="16"/>
          <w:szCs w:val="16"/>
        </w:rPr>
        <w:t>.</w:t>
      </w:r>
    </w:p>
    <w:p w14:paraId="0ABE3FF1"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Поставка в СССР полуфабрикатов, производство и экспорт которых формально не подпадали под запреты Версаля, но способствовали поддержанию занятости и высокого уровня квалификации военно-промышленных фирм Германии.</w:t>
      </w:r>
    </w:p>
    <w:p w14:paraId="3FA7BCA5"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Руководство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в этой связи рассчитывало на сотрудничество нескольких крупных германских фирм («Крупп»,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xml:space="preserve">», «Сименс и </w:t>
      </w:r>
      <w:proofErr w:type="spellStart"/>
      <w:r w:rsidRPr="00A259BD">
        <w:rPr>
          <w:rFonts w:ascii="Times New Roman" w:hAnsi="Times New Roman"/>
          <w:color w:val="000000" w:themeColor="text1"/>
          <w:sz w:val="16"/>
          <w:szCs w:val="16"/>
        </w:rPr>
        <w:t>Хальске</w:t>
      </w:r>
      <w:proofErr w:type="spellEnd"/>
      <w:r w:rsidRPr="00A259BD">
        <w:rPr>
          <w:rFonts w:ascii="Times New Roman" w:hAnsi="Times New Roman"/>
          <w:color w:val="000000" w:themeColor="text1"/>
          <w:sz w:val="16"/>
          <w:szCs w:val="16"/>
        </w:rPr>
        <w:t xml:space="preserve">»), а также на то, что «Людвиг в качестве советника русского правительства» по вооружению будет рекомендовать Москве независимо от ее пожеланий подходящие германские фирмы. Здесь помимо политической выгоды руководству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виделась возможность распространения своего влияния на процесс оснащения РККА новым вооружением.</w:t>
      </w:r>
    </w:p>
    <w:p w14:paraId="20FCD358"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Интерес для Москвы представляли первые два пункта, тогда как военное министерство Германии делало упор на последнем пункте. В довольно выгодной ситуации оказалась здесь фирма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Конкретно речь шла о целом реестре согласованных двусторонних проектов, из которых, собственно, и состояла программа развития советской оборонной промышленности, так называемая «программа Людвига». Это:</w:t>
      </w:r>
    </w:p>
    <w:p w14:paraId="1E44A2CC"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Поставка в СССР полуфабрикатов 75-миллиметровых зенитных орудий. Их сборка должна была осуществляться инженерами «</w:t>
      </w:r>
      <w:proofErr w:type="spellStart"/>
      <w:r w:rsidRPr="00A259BD">
        <w:rPr>
          <w:rFonts w:ascii="Times New Roman" w:hAnsi="Times New Roman"/>
          <w:color w:val="000000" w:themeColor="text1"/>
          <w:sz w:val="16"/>
          <w:szCs w:val="16"/>
        </w:rPr>
        <w:t>Райнметалла</w:t>
      </w:r>
      <w:proofErr w:type="spellEnd"/>
      <w:r w:rsidRPr="00A259BD">
        <w:rPr>
          <w:rFonts w:ascii="Times New Roman" w:hAnsi="Times New Roman"/>
          <w:color w:val="000000" w:themeColor="text1"/>
          <w:sz w:val="16"/>
          <w:szCs w:val="16"/>
        </w:rPr>
        <w:t>».</w:t>
      </w:r>
    </w:p>
    <w:p w14:paraId="4A263F0E"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Поставка необходимых для этого приборов управления огнем фирмы «К. </w:t>
      </w:r>
      <w:proofErr w:type="spellStart"/>
      <w:r w:rsidRPr="00A259BD">
        <w:rPr>
          <w:rFonts w:ascii="Times New Roman" w:hAnsi="Times New Roman"/>
          <w:color w:val="000000" w:themeColor="text1"/>
          <w:sz w:val="16"/>
          <w:szCs w:val="16"/>
        </w:rPr>
        <w:t>Цайс</w:t>
      </w:r>
      <w:proofErr w:type="spellEnd"/>
      <w:r w:rsidRPr="00A259BD">
        <w:rPr>
          <w:rFonts w:ascii="Times New Roman" w:hAnsi="Times New Roman"/>
          <w:color w:val="000000" w:themeColor="text1"/>
          <w:sz w:val="16"/>
          <w:szCs w:val="16"/>
        </w:rPr>
        <w:t>» из расчета, что к осени 1930 г. будет собрано 20–30 орудий.</w:t>
      </w:r>
    </w:p>
    <w:p w14:paraId="384DD8D9"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Ремонт и переоборудование одного из советских военных заводов с целью наладки лицензионного производства военного снаряжения.</w:t>
      </w:r>
    </w:p>
    <w:p w14:paraId="1D84D1BA"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Строительство завода по производству взрывателей и поставка готовых часовых взрывателей и взрывателей для зенитных орудий. Для этого планировалось привлечь фирму «Тиль» из </w:t>
      </w:r>
      <w:proofErr w:type="spellStart"/>
      <w:r w:rsidRPr="00A259BD">
        <w:rPr>
          <w:rFonts w:ascii="Times New Roman" w:hAnsi="Times New Roman"/>
          <w:color w:val="000000" w:themeColor="text1"/>
          <w:sz w:val="16"/>
          <w:szCs w:val="16"/>
        </w:rPr>
        <w:t>Рулы</w:t>
      </w:r>
      <w:proofErr w:type="spellEnd"/>
      <w:r w:rsidRPr="00A259BD">
        <w:rPr>
          <w:rFonts w:ascii="Times New Roman" w:hAnsi="Times New Roman"/>
          <w:color w:val="000000" w:themeColor="text1"/>
          <w:sz w:val="16"/>
          <w:szCs w:val="16"/>
        </w:rPr>
        <w:t>.</w:t>
      </w:r>
    </w:p>
    <w:p w14:paraId="0B6E9EB2"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Поставка полуфабрикатов для изготовления в СССР 10–20 испытательных экземпляров минометов.</w:t>
      </w:r>
    </w:p>
    <w:p w14:paraId="2DCAC923"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Поставка испытательного образца 20-миллиметрового автомата фирмы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w:t>
      </w:r>
      <w:hyperlink r:id="rId185" w:anchor="n_404" w:history="1">
        <w:r w:rsidRPr="00A259BD">
          <w:rPr>
            <w:rStyle w:val="a5"/>
            <w:rFonts w:ascii="Times New Roman" w:hAnsi="Times New Roman"/>
            <w:color w:val="000000" w:themeColor="text1"/>
            <w:sz w:val="16"/>
            <w:szCs w:val="16"/>
          </w:rPr>
          <w:t>[404]</w:t>
        </w:r>
      </w:hyperlink>
      <w:r w:rsidRPr="00A259BD">
        <w:rPr>
          <w:rFonts w:ascii="Times New Roman" w:hAnsi="Times New Roman"/>
          <w:color w:val="000000" w:themeColor="text1"/>
          <w:sz w:val="16"/>
          <w:szCs w:val="16"/>
        </w:rPr>
        <w:t>.</w:t>
      </w:r>
    </w:p>
    <w:p w14:paraId="57931F93"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Поставка в СССР трассирующих снарядов, производство которых намечалось осуществить в Австрии.</w:t>
      </w:r>
    </w:p>
    <w:p w14:paraId="422F3EC4"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Поставка в СССР оборудования по изготовлению снарядов для полевой артиллерии.</w:t>
      </w:r>
    </w:p>
    <w:p w14:paraId="2987C26A"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Поставка аппаратуры для производства полуфабрикатов, необходимых для изготовления ОВ.</w:t>
      </w:r>
    </w:p>
    <w:p w14:paraId="583A34D9"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Переговоры советским торгпредством в Берлине велись с фирмами «Гольдшмидт» из </w:t>
      </w:r>
      <w:proofErr w:type="spellStart"/>
      <w:r w:rsidRPr="00A259BD">
        <w:rPr>
          <w:rFonts w:ascii="Times New Roman" w:hAnsi="Times New Roman"/>
          <w:color w:val="000000" w:themeColor="text1"/>
          <w:sz w:val="16"/>
          <w:szCs w:val="16"/>
        </w:rPr>
        <w:t>Аммендорфа</w:t>
      </w:r>
      <w:proofErr w:type="spellEnd"/>
      <w:r w:rsidRPr="00A259BD">
        <w:rPr>
          <w:rFonts w:ascii="Times New Roman" w:hAnsi="Times New Roman"/>
          <w:color w:val="000000" w:themeColor="text1"/>
          <w:sz w:val="16"/>
          <w:szCs w:val="16"/>
        </w:rPr>
        <w:t xml:space="preserve"> и «Рем и Хаас» из </w:t>
      </w:r>
      <w:proofErr w:type="spellStart"/>
      <w:r w:rsidRPr="00A259BD">
        <w:rPr>
          <w:rFonts w:ascii="Times New Roman" w:hAnsi="Times New Roman"/>
          <w:color w:val="000000" w:themeColor="text1"/>
          <w:sz w:val="16"/>
          <w:szCs w:val="16"/>
        </w:rPr>
        <w:t>Маннхайма</w:t>
      </w:r>
      <w:proofErr w:type="spellEnd"/>
      <w:r w:rsidRPr="00A259BD">
        <w:rPr>
          <w:rFonts w:ascii="Times New Roman" w:hAnsi="Times New Roman"/>
          <w:color w:val="000000" w:themeColor="text1"/>
          <w:sz w:val="16"/>
          <w:szCs w:val="16"/>
        </w:rPr>
        <w:t>, после того, как «ИГ-</w:t>
      </w:r>
      <w:proofErr w:type="spellStart"/>
      <w:r w:rsidRPr="00A259BD">
        <w:rPr>
          <w:rFonts w:ascii="Times New Roman" w:hAnsi="Times New Roman"/>
          <w:color w:val="000000" w:themeColor="text1"/>
          <w:sz w:val="16"/>
          <w:szCs w:val="16"/>
        </w:rPr>
        <w:t>Фарбен</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Гезельшафт</w:t>
      </w:r>
      <w:proofErr w:type="spellEnd"/>
      <w:r w:rsidRPr="00A259BD">
        <w:rPr>
          <w:rFonts w:ascii="Times New Roman" w:hAnsi="Times New Roman"/>
          <w:color w:val="000000" w:themeColor="text1"/>
          <w:sz w:val="16"/>
          <w:szCs w:val="16"/>
        </w:rPr>
        <w:t>» отказалась поставить советской стороне необходимое оборудование</w:t>
      </w:r>
      <w:hyperlink r:id="rId186" w:anchor="n_405" w:history="1">
        <w:r w:rsidRPr="00A259BD">
          <w:rPr>
            <w:rStyle w:val="a5"/>
            <w:rFonts w:ascii="Times New Roman" w:hAnsi="Times New Roman"/>
            <w:color w:val="000000" w:themeColor="text1"/>
            <w:sz w:val="16"/>
            <w:szCs w:val="16"/>
          </w:rPr>
          <w:t>[405]</w:t>
        </w:r>
      </w:hyperlink>
      <w:r w:rsidRPr="00A259BD">
        <w:rPr>
          <w:rFonts w:ascii="Times New Roman" w:hAnsi="Times New Roman"/>
          <w:color w:val="000000" w:themeColor="text1"/>
          <w:sz w:val="16"/>
          <w:szCs w:val="16"/>
        </w:rPr>
        <w:t>. Внешне поставку полуфабрикатов, готовых изделий и оборудования намечалось осуществлять через подставные фирмы из нейтральных стран (Австрия, Швейцария, Швеция).</w:t>
      </w:r>
    </w:p>
    <w:p w14:paraId="4C0A4897"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 советской стороны, как понял Людвиг, было всего 30 танков и все они, как и 6 танков, поставленных «Круппом» летом 1929 г., не функционировали. Причем немецкие танки, судя по всему, не были испытаны перед поставкой в СССР. Поэтому было предложено в случае, если «Крупп» будет участвовать в реализации «программы Людвига», поставлять в Советский Союз гусеничные тракторы (тягачи) для последующего их переоборудования.</w:t>
      </w:r>
    </w:p>
    <w:p w14:paraId="418FA7F1"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Свой выбор ПК обороны (Ворошилов и Уборевич) и представители советского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после отказа «Крупна» остановили на полугосударственном концерне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единственном, с кем советской стороне в конце концов удалось договориться. Переговоры с «</w:t>
      </w:r>
      <w:proofErr w:type="spellStart"/>
      <w:r w:rsidRPr="00A259BD">
        <w:rPr>
          <w:rFonts w:ascii="Times New Roman" w:hAnsi="Times New Roman"/>
          <w:color w:val="000000" w:themeColor="text1"/>
          <w:sz w:val="16"/>
          <w:szCs w:val="16"/>
        </w:rPr>
        <w:t>Райнметаллом</w:t>
      </w:r>
      <w:proofErr w:type="spellEnd"/>
      <w:r w:rsidRPr="00A259BD">
        <w:rPr>
          <w:rFonts w:ascii="Times New Roman" w:hAnsi="Times New Roman"/>
          <w:color w:val="000000" w:themeColor="text1"/>
          <w:sz w:val="16"/>
          <w:szCs w:val="16"/>
        </w:rPr>
        <w:t xml:space="preserve">» проводились спешным порядком. Советскую сторону возглавляли начальник вооружений РККА, зам. председателя РВС Уборевич и начальник ГВПУ ВСНХ Урываев. Согласованный сторонами договор состоял из трех больших частей. В первой речь шла о постановке производства 6 артсистем (3-дюймовая зенитная пушка, 15-сантиметровый миномет, 37 мм противотанковая пушка, 20 мм автоматическая пушка, а также 37 мм автоматическая зенитная пушка и 6-дюймовая гаубица). Уже к концу 1931 г. должно было быть налажено их производство. Во второй части говорилось об организации двух КБ по </w:t>
      </w:r>
      <w:proofErr w:type="spellStart"/>
      <w:r w:rsidRPr="00A259BD">
        <w:rPr>
          <w:rFonts w:ascii="Times New Roman" w:hAnsi="Times New Roman"/>
          <w:color w:val="000000" w:themeColor="text1"/>
          <w:sz w:val="16"/>
          <w:szCs w:val="16"/>
        </w:rPr>
        <w:t>артвооружению</w:t>
      </w:r>
      <w:proofErr w:type="spellEnd"/>
      <w:r w:rsidRPr="00A259BD">
        <w:rPr>
          <w:rFonts w:ascii="Times New Roman" w:hAnsi="Times New Roman"/>
          <w:color w:val="000000" w:themeColor="text1"/>
          <w:sz w:val="16"/>
          <w:szCs w:val="16"/>
        </w:rPr>
        <w:t xml:space="preserve"> с командированием в СССР на четыре года 20 конструкторов и выделением необходимого материала из архивов фирмы. В третьей части говорилось о купле 4 артсистем и необходимого готового технологического инструмента для их немедленного производства. За все эти услуги Москва обязалась уплатить </w:t>
      </w:r>
      <w:proofErr w:type="spellStart"/>
      <w:r w:rsidRPr="00A259BD">
        <w:rPr>
          <w:rFonts w:ascii="Times New Roman" w:hAnsi="Times New Roman"/>
          <w:color w:val="000000" w:themeColor="text1"/>
          <w:sz w:val="16"/>
          <w:szCs w:val="16"/>
        </w:rPr>
        <w:t>ок</w:t>
      </w:r>
      <w:proofErr w:type="spellEnd"/>
      <w:r w:rsidRPr="00A259BD">
        <w:rPr>
          <w:rFonts w:ascii="Times New Roman" w:hAnsi="Times New Roman"/>
          <w:color w:val="000000" w:themeColor="text1"/>
          <w:sz w:val="16"/>
          <w:szCs w:val="16"/>
        </w:rPr>
        <w:t>. 2,5 млн. американских долларов</w:t>
      </w:r>
      <w:hyperlink r:id="rId187" w:anchor="n_406" w:history="1">
        <w:r w:rsidRPr="00A259BD">
          <w:rPr>
            <w:rStyle w:val="a5"/>
            <w:rFonts w:ascii="Times New Roman" w:hAnsi="Times New Roman"/>
            <w:color w:val="000000" w:themeColor="text1"/>
            <w:sz w:val="16"/>
            <w:szCs w:val="16"/>
          </w:rPr>
          <w:t>[406]</w:t>
        </w:r>
      </w:hyperlink>
      <w:r w:rsidRPr="00A259BD">
        <w:rPr>
          <w:rFonts w:ascii="Times New Roman" w:hAnsi="Times New Roman"/>
          <w:color w:val="000000" w:themeColor="text1"/>
          <w:sz w:val="16"/>
          <w:szCs w:val="16"/>
        </w:rPr>
        <w:t>. Кроме того, фирма обязалась помочь в организации производства в СССР танков.</w:t>
      </w:r>
    </w:p>
    <w:p w14:paraId="3F2A8F49"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Переговоры шли довольно трудно. Уборевич, чтобы уломать немцев, сослался на то, что американская фирма «Скотт» и шведская «</w:t>
      </w:r>
      <w:proofErr w:type="spellStart"/>
      <w:r w:rsidRPr="00A259BD">
        <w:rPr>
          <w:rFonts w:ascii="Times New Roman" w:hAnsi="Times New Roman"/>
          <w:color w:val="000000" w:themeColor="text1"/>
          <w:sz w:val="16"/>
          <w:szCs w:val="16"/>
        </w:rPr>
        <w:t>Бофорс</w:t>
      </w:r>
      <w:proofErr w:type="spellEnd"/>
      <w:r w:rsidRPr="00A259BD">
        <w:rPr>
          <w:rFonts w:ascii="Times New Roman" w:hAnsi="Times New Roman"/>
          <w:color w:val="000000" w:themeColor="text1"/>
          <w:sz w:val="16"/>
          <w:szCs w:val="16"/>
        </w:rPr>
        <w:t xml:space="preserve">» также готовы исполнить заказ на более выгодных, чем немцы условиях (Уборевич упоминал также фирму «Виккерс»); он, однако, сделал свой выбор на немецкой фирме, которую считал более толковой. Настаивая на подписании договора, Ворошилов и Уборевич пригрозили </w:t>
      </w:r>
      <w:proofErr w:type="spellStart"/>
      <w:r w:rsidRPr="00A259BD">
        <w:rPr>
          <w:rFonts w:ascii="Times New Roman" w:hAnsi="Times New Roman"/>
          <w:color w:val="000000" w:themeColor="text1"/>
          <w:sz w:val="16"/>
          <w:szCs w:val="16"/>
        </w:rPr>
        <w:t>Эльце</w:t>
      </w:r>
      <w:proofErr w:type="spellEnd"/>
      <w:r w:rsidRPr="00A259BD">
        <w:rPr>
          <w:rFonts w:ascii="Times New Roman" w:hAnsi="Times New Roman"/>
          <w:color w:val="000000" w:themeColor="text1"/>
          <w:sz w:val="16"/>
          <w:szCs w:val="16"/>
        </w:rPr>
        <w:t>, что затягивание переговоров потянет за собой не только ухудшение, но и пересмотр всего комплекса отношений между СССР и Германией, включая политический и экономический аспекты (18265).</w:t>
      </w:r>
    </w:p>
    <w:p w14:paraId="5EC7A8FA" w14:textId="77777777" w:rsidR="004046F2" w:rsidRPr="00A259BD" w:rsidRDefault="004046F2" w:rsidP="009236E3">
      <w:pPr>
        <w:spacing w:after="0" w:line="240" w:lineRule="auto"/>
        <w:jc w:val="both"/>
        <w:rPr>
          <w:rFonts w:ascii="Times New Roman" w:hAnsi="Times New Roman"/>
          <w:color w:val="000000" w:themeColor="text1"/>
          <w:sz w:val="16"/>
          <w:szCs w:val="16"/>
        </w:rPr>
      </w:pPr>
    </w:p>
    <w:p w14:paraId="2CAA6746"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сентябре 1929 г. Нарком Ворошилов и начальник штаба рейхсвера </w:t>
      </w:r>
      <w:proofErr w:type="spellStart"/>
      <w:r w:rsidRPr="00A259BD">
        <w:rPr>
          <w:rFonts w:ascii="Times New Roman" w:hAnsi="Times New Roman"/>
          <w:color w:val="000000" w:themeColor="text1"/>
          <w:sz w:val="16"/>
          <w:szCs w:val="16"/>
        </w:rPr>
        <w:t>Хаммерштейн</w:t>
      </w:r>
      <w:proofErr w:type="spellEnd"/>
      <w:r w:rsidRPr="00A259BD">
        <w:rPr>
          <w:rFonts w:ascii="Times New Roman" w:hAnsi="Times New Roman"/>
          <w:color w:val="000000" w:themeColor="text1"/>
          <w:sz w:val="16"/>
          <w:szCs w:val="16"/>
        </w:rPr>
        <w:t xml:space="preserve"> обсудили вопрос организации в СССР танкового КБ. В марте 1930 г. для оказания технической помощи в СССР были приглашены иностранные специалисты, в числе которых был талантливый и плодовитый немецкий инженер Э.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xml:space="preserve">. С апреля 1930 г. для проектирования танка на ленинградском заводе «Большевик» (бывший Обуховский орудийный и сталелитейный завод) было сформировано конструкторское бюро АВО-5. Технический проект среднего танка прорыва ТГ (танк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xml:space="preserve">) был выполнен в 1930 г., и вскоре был построен опытный образец. Непосредственно с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xml:space="preserve"> работала большая группа отечественных конструкторов и инженеров, среди них — известные позже танкостроители Н.В. Барыков, А. Воробьев и КК </w:t>
      </w:r>
      <w:proofErr w:type="spellStart"/>
      <w:r w:rsidRPr="00A259BD">
        <w:rPr>
          <w:rFonts w:ascii="Times New Roman" w:hAnsi="Times New Roman"/>
          <w:color w:val="000000" w:themeColor="text1"/>
          <w:sz w:val="16"/>
          <w:szCs w:val="16"/>
        </w:rPr>
        <w:t>Сиркен</w:t>
      </w:r>
      <w:proofErr w:type="spellEnd"/>
      <w:r w:rsidRPr="00A259BD">
        <w:rPr>
          <w:rFonts w:ascii="Times New Roman" w:hAnsi="Times New Roman"/>
          <w:color w:val="000000" w:themeColor="text1"/>
          <w:sz w:val="16"/>
          <w:szCs w:val="16"/>
        </w:rPr>
        <w:t xml:space="preserve">. Кроме того,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xml:space="preserve"> выполнил ряд проектов средних и тяжелых танков — два варианта 1000-т танка, 70-75-т танк ТГ-VI (</w:t>
      </w:r>
      <w:proofErr w:type="spellStart"/>
      <w:r w:rsidRPr="00A259BD">
        <w:rPr>
          <w:rFonts w:ascii="Times New Roman" w:hAnsi="Times New Roman"/>
          <w:color w:val="000000" w:themeColor="text1"/>
          <w:sz w:val="16"/>
          <w:szCs w:val="16"/>
        </w:rPr>
        <w:t>ГДб</w:t>
      </w:r>
      <w:proofErr w:type="spellEnd"/>
      <w:r w:rsidRPr="00A259BD">
        <w:rPr>
          <w:rFonts w:ascii="Times New Roman" w:hAnsi="Times New Roman"/>
          <w:color w:val="000000" w:themeColor="text1"/>
          <w:sz w:val="16"/>
          <w:szCs w:val="16"/>
        </w:rPr>
        <w:t xml:space="preserve">) и др. Под руководством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xml:space="preserve"> или при его активном участии на заводе «Большевик» отечественными конструкторами, которые в ходе работы по танку ТГ пробрели определенный опыт по конструированию танков данного класса (Асанов, Алексеев, Скворцов, </w:t>
      </w:r>
      <w:proofErr w:type="spellStart"/>
      <w:r w:rsidRPr="00A259BD">
        <w:rPr>
          <w:rFonts w:ascii="Times New Roman" w:hAnsi="Times New Roman"/>
          <w:color w:val="000000" w:themeColor="text1"/>
          <w:sz w:val="16"/>
          <w:szCs w:val="16"/>
        </w:rPr>
        <w:t>Сиркен</w:t>
      </w:r>
      <w:proofErr w:type="spellEnd"/>
      <w:r w:rsidRPr="00A259BD">
        <w:rPr>
          <w:rFonts w:ascii="Times New Roman" w:hAnsi="Times New Roman"/>
          <w:color w:val="000000" w:themeColor="text1"/>
          <w:sz w:val="16"/>
          <w:szCs w:val="16"/>
        </w:rPr>
        <w:t>), были разработаны проекты средних танков ТА-1, ТА-2, ТА-3 и тяжелого танка Т-42.</w:t>
      </w:r>
    </w:p>
    <w:p w14:paraId="2048A3DA"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 разработке серийного тяжелого танка прорыва Т-35 (уже без </w:t>
      </w:r>
      <w:proofErr w:type="spellStart"/>
      <w:r w:rsidRPr="00A259BD">
        <w:rPr>
          <w:rFonts w:ascii="Times New Roman" w:hAnsi="Times New Roman"/>
          <w:color w:val="000000" w:themeColor="text1"/>
          <w:sz w:val="16"/>
          <w:szCs w:val="16"/>
        </w:rPr>
        <w:t>Гротге</w:t>
      </w:r>
      <w:proofErr w:type="spellEnd"/>
      <w:r w:rsidRPr="00A259BD">
        <w:rPr>
          <w:rFonts w:ascii="Times New Roman" w:hAnsi="Times New Roman"/>
          <w:color w:val="000000" w:themeColor="text1"/>
          <w:sz w:val="16"/>
          <w:szCs w:val="16"/>
        </w:rPr>
        <w:t>) были использованы: опыт работ по среднему танку ТГ (ТГ-1), проекты ТА-1, -2 и -3, результаты испытаний немецких танков «</w:t>
      </w:r>
      <w:proofErr w:type="spellStart"/>
      <w:r w:rsidRPr="00A259BD">
        <w:rPr>
          <w:rFonts w:ascii="Times New Roman" w:hAnsi="Times New Roman"/>
          <w:color w:val="000000" w:themeColor="text1"/>
          <w:sz w:val="16"/>
          <w:szCs w:val="16"/>
        </w:rPr>
        <w:t>Гросстрактор</w:t>
      </w:r>
      <w:proofErr w:type="spellEnd"/>
      <w:r w:rsidRPr="00A259BD">
        <w:rPr>
          <w:rFonts w:ascii="Times New Roman" w:hAnsi="Times New Roman"/>
          <w:color w:val="000000" w:themeColor="text1"/>
          <w:sz w:val="16"/>
          <w:szCs w:val="16"/>
        </w:rPr>
        <w:t xml:space="preserve">» на полигоне под Казанью и материалы комиссии по закупке бронетанкового вооружения в Великобритании. При разработке серийного среднего танка усиления Т-28, выполненного по компоновочной схеме английского танка «Виккерс </w:t>
      </w:r>
      <w:proofErr w:type="spellStart"/>
      <w:r w:rsidRPr="00A259BD">
        <w:rPr>
          <w:rFonts w:ascii="Times New Roman" w:hAnsi="Times New Roman"/>
          <w:color w:val="000000" w:themeColor="text1"/>
          <w:sz w:val="16"/>
          <w:szCs w:val="16"/>
        </w:rPr>
        <w:t>шестнадцатитонный</w:t>
      </w:r>
      <w:proofErr w:type="spellEnd"/>
      <w:r w:rsidRPr="00A259BD">
        <w:rPr>
          <w:rFonts w:ascii="Times New Roman" w:hAnsi="Times New Roman"/>
          <w:color w:val="000000" w:themeColor="text1"/>
          <w:sz w:val="16"/>
          <w:szCs w:val="16"/>
        </w:rPr>
        <w:t xml:space="preserve">» А.6, конструкции отдельных элементов корпуса, трансмиссии, подвески и ходовой части были заимствованы у танков фирм «Крупп» и «Виккерс», а также разработок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Сварные элементы корпуса, электро- и радиооборудование, стробоскопы и наблюдательные купола, спаренные установки пулеметов и орудий немецких образцов, немецкие технические условия проектирования и постройки также использовались при разработке советских танков (18272).</w:t>
      </w:r>
    </w:p>
    <w:p w14:paraId="1DC2973F" w14:textId="77777777" w:rsidR="004046F2" w:rsidRPr="00A259BD" w:rsidRDefault="004046F2" w:rsidP="009236E3">
      <w:pPr>
        <w:spacing w:after="0" w:line="240" w:lineRule="auto"/>
        <w:jc w:val="both"/>
        <w:rPr>
          <w:rFonts w:ascii="Times New Roman" w:hAnsi="Times New Roman"/>
          <w:color w:val="000000" w:themeColor="text1"/>
          <w:sz w:val="16"/>
          <w:szCs w:val="16"/>
        </w:rPr>
      </w:pPr>
    </w:p>
    <w:p w14:paraId="4D311671"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сентябре 1929 г. видя явную волокиту и бесперспективность в получении желаемых результатов, основным из которых была разработка новых 0В, одержимый своими идеями, Фишман в ходе инспекционной поездки на объекты в Липецк, Казань и «Томку» немецкого генерала </w:t>
      </w:r>
      <w:proofErr w:type="spellStart"/>
      <w:r w:rsidRPr="00A259BD">
        <w:rPr>
          <w:rFonts w:ascii="Times New Roman" w:hAnsi="Times New Roman"/>
          <w:color w:val="000000" w:themeColor="text1"/>
          <w:sz w:val="16"/>
          <w:szCs w:val="16"/>
        </w:rPr>
        <w:t>Гаммерштейнавнес</w:t>
      </w:r>
      <w:proofErr w:type="spellEnd"/>
      <w:r w:rsidRPr="00A259BD">
        <w:rPr>
          <w:rFonts w:ascii="Times New Roman" w:hAnsi="Times New Roman"/>
          <w:color w:val="000000" w:themeColor="text1"/>
          <w:sz w:val="16"/>
          <w:szCs w:val="16"/>
        </w:rPr>
        <w:t xml:space="preserve"> предложение создать в Берлине совместный химический институт под эгидой какого-либо акционерного общества с привлечением туда лучших ученых обеих стран. Но, как и следовало ожидать, эта идея под благовидным предлогом была отклонена (18271).</w:t>
      </w:r>
    </w:p>
    <w:p w14:paraId="6F36BC9F" w14:textId="77777777" w:rsidR="004046F2" w:rsidRPr="00A259BD" w:rsidRDefault="004046F2" w:rsidP="009236E3">
      <w:pPr>
        <w:spacing w:after="0" w:line="240" w:lineRule="auto"/>
        <w:jc w:val="both"/>
        <w:rPr>
          <w:rFonts w:ascii="Times New Roman" w:hAnsi="Times New Roman"/>
          <w:color w:val="000000" w:themeColor="text1"/>
          <w:sz w:val="16"/>
          <w:szCs w:val="16"/>
        </w:rPr>
      </w:pPr>
    </w:p>
    <w:p w14:paraId="21EF1C38"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сентябре 1929 года артиллерийское управление Красной Армии выдало задание на разработку установки пулеметов Максима и ДП на легковых автомобилях и мотоциклах мастерским научно-испытательного оружейного полигона (НИОП) и инструментальному заводу номер 2 в городе Коврове. В октябре один "Форд-А" с пулеметом Максима на установке конструкции </w:t>
      </w:r>
      <w:proofErr w:type="spellStart"/>
      <w:r w:rsidRPr="00A259BD">
        <w:rPr>
          <w:rFonts w:ascii="Times New Roman" w:hAnsi="Times New Roman"/>
          <w:color w:val="000000" w:themeColor="text1"/>
          <w:sz w:val="16"/>
          <w:szCs w:val="16"/>
        </w:rPr>
        <w:t>НИОПа</w:t>
      </w:r>
      <w:proofErr w:type="spellEnd"/>
      <w:r w:rsidRPr="00A259BD">
        <w:rPr>
          <w:rFonts w:ascii="Times New Roman" w:hAnsi="Times New Roman"/>
          <w:color w:val="000000" w:themeColor="text1"/>
          <w:sz w:val="16"/>
          <w:szCs w:val="16"/>
        </w:rPr>
        <w:t xml:space="preserve"> участвовал в учениях опытного механизированного полка, проходивших под Москвой.</w:t>
      </w:r>
    </w:p>
    <w:p w14:paraId="6D1A5EF1"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Окончательные испытания двух автомобилей "Форд-А" с броневыми щитками прошли в мае - июне 1930 года. Один из них был вооружен пулеметами Максима и ДП (проект научно-технического комитета артиллерийского управления), а второй - пулеметом ДТ (проект УММ РККА). В ходе стрельб выяснилось, что вести огонь по зенитным целям из пулемета Максима из-за "стесненного места в автомобиле" неудобно. Кроме того, по мнению представителей артиллерийского управления, "броню, прикрывающую только голову шофера также ставить нерационально, так как все равно кузов автомобиля пробивается насквозь". Максим Коломиец Броня на колесах. История советского бронеавтомобиля 1925-1945 гг. (19739).</w:t>
      </w:r>
    </w:p>
    <w:p w14:paraId="27B93226" w14:textId="77777777" w:rsidR="004046F2" w:rsidRPr="00A259BD" w:rsidRDefault="004046F2" w:rsidP="009236E3">
      <w:pPr>
        <w:spacing w:after="0" w:line="240" w:lineRule="auto"/>
        <w:jc w:val="both"/>
        <w:rPr>
          <w:rFonts w:ascii="Times New Roman" w:hAnsi="Times New Roman"/>
          <w:color w:val="000000" w:themeColor="text1"/>
          <w:sz w:val="16"/>
          <w:szCs w:val="16"/>
        </w:rPr>
      </w:pPr>
    </w:p>
    <w:p w14:paraId="06C5932E"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1929 г. старший военный приемщик А.И. Кувшинов в своем письме на имя председателя Прав</w:t>
      </w:r>
      <w:r w:rsidRPr="00A259BD">
        <w:rPr>
          <w:rFonts w:ascii="Times New Roman" w:hAnsi="Times New Roman"/>
          <w:color w:val="000000" w:themeColor="text1"/>
          <w:sz w:val="16"/>
          <w:szCs w:val="16"/>
        </w:rPr>
        <w:softHyphen/>
        <w:t>ления ЭТЗСТ потребовал разделения должностей директора завода «Светлана» и уполномоченного по военным заказам, которые в тот мо</w:t>
      </w:r>
      <w:r w:rsidRPr="00A259BD">
        <w:rPr>
          <w:rFonts w:ascii="Times New Roman" w:hAnsi="Times New Roman"/>
          <w:color w:val="000000" w:themeColor="text1"/>
          <w:sz w:val="16"/>
          <w:szCs w:val="16"/>
        </w:rPr>
        <w:softHyphen/>
        <w:t>мент совмещал А.М. Иванов (19098).</w:t>
      </w:r>
    </w:p>
    <w:p w14:paraId="64AC081A"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Принятые меры, в целом, способствовали повышению качества продук</w:t>
      </w:r>
      <w:r w:rsidRPr="00A259BD">
        <w:rPr>
          <w:rFonts w:ascii="Times New Roman" w:hAnsi="Times New Roman"/>
          <w:color w:val="000000" w:themeColor="text1"/>
          <w:sz w:val="16"/>
          <w:szCs w:val="16"/>
        </w:rPr>
        <w:softHyphen/>
        <w:t>ции завода, улучшению работы по выполнению специальных заказов. Послед</w:t>
      </w:r>
      <w:r w:rsidRPr="00A259BD">
        <w:rPr>
          <w:rFonts w:ascii="Times New Roman" w:hAnsi="Times New Roman"/>
          <w:color w:val="000000" w:themeColor="text1"/>
          <w:sz w:val="16"/>
          <w:szCs w:val="16"/>
        </w:rPr>
        <w:softHyphen/>
        <w:t>ний квартал 1930 г. на «Светлане» был объявлен «ударным» в целях макси</w:t>
      </w:r>
      <w:r w:rsidRPr="00A259BD">
        <w:rPr>
          <w:rFonts w:ascii="Times New Roman" w:hAnsi="Times New Roman"/>
          <w:color w:val="000000" w:themeColor="text1"/>
          <w:sz w:val="16"/>
          <w:szCs w:val="16"/>
        </w:rPr>
        <w:softHyphen/>
        <w:t>мального выполнения всех военных заказов со сроком исполнения на 1 января 1931 г. Из общего количества в 134 заказа на более чем 77 тыс. вакуумных из</w:t>
      </w:r>
      <w:r w:rsidRPr="00A259BD">
        <w:rPr>
          <w:rFonts w:ascii="Times New Roman" w:hAnsi="Times New Roman"/>
          <w:color w:val="000000" w:themeColor="text1"/>
          <w:sz w:val="16"/>
          <w:szCs w:val="16"/>
        </w:rPr>
        <w:softHyphen/>
        <w:t>делий полностью выполнены и сданы заказчикам 47436 изделий по 75 заказам (61% от общего объема заказов «ударного» квартала). Еще 13455 изделий по 22 заказам (17,5%) были изготовлены и предъявлены заказчикам для испыта</w:t>
      </w:r>
      <w:r w:rsidRPr="00A259BD">
        <w:rPr>
          <w:rFonts w:ascii="Times New Roman" w:hAnsi="Times New Roman"/>
          <w:color w:val="000000" w:themeColor="text1"/>
          <w:sz w:val="16"/>
          <w:szCs w:val="16"/>
        </w:rPr>
        <w:softHyphen/>
        <w:t>ния, однако процесс их сдачи не был завершен, т.е. признаны сданными ус</w:t>
      </w:r>
      <w:r w:rsidRPr="00A259BD">
        <w:rPr>
          <w:rFonts w:ascii="Times New Roman" w:hAnsi="Times New Roman"/>
          <w:color w:val="000000" w:themeColor="text1"/>
          <w:sz w:val="16"/>
          <w:szCs w:val="16"/>
        </w:rPr>
        <w:softHyphen/>
        <w:t>ловно. Удельный вес несданной продукции был сокращен, соответственно, до показателя чуть более 21%.</w:t>
      </w:r>
    </w:p>
    <w:p w14:paraId="36BFB6B8"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Еще более существенные результаты были достигнуты уже в первом по</w:t>
      </w:r>
      <w:r w:rsidRPr="00A259BD">
        <w:rPr>
          <w:rFonts w:ascii="Times New Roman" w:hAnsi="Times New Roman"/>
          <w:color w:val="000000" w:themeColor="text1"/>
          <w:sz w:val="16"/>
          <w:szCs w:val="16"/>
        </w:rPr>
        <w:softHyphen/>
        <w:t>лугодии 1931 г. Из 55 наименований электровакуумных изделий, изготавливае</w:t>
      </w:r>
      <w:r w:rsidRPr="00A259BD">
        <w:rPr>
          <w:rFonts w:ascii="Times New Roman" w:hAnsi="Times New Roman"/>
          <w:color w:val="000000" w:themeColor="text1"/>
          <w:sz w:val="16"/>
          <w:szCs w:val="16"/>
        </w:rPr>
        <w:softHyphen/>
        <w:t>мых по военным заказам, по сорока наименованиям план был выполнен на 100%, по четырем - перевыполнен, и только по одиннадцати имелось незначи</w:t>
      </w:r>
      <w:r w:rsidRPr="00A259BD">
        <w:rPr>
          <w:rFonts w:ascii="Times New Roman" w:hAnsi="Times New Roman"/>
          <w:color w:val="000000" w:themeColor="text1"/>
          <w:sz w:val="16"/>
          <w:szCs w:val="16"/>
        </w:rPr>
        <w:softHyphen/>
        <w:t>тельное недовыполнение. Объемы производства при этом значительно возрас</w:t>
      </w:r>
      <w:r w:rsidRPr="00A259BD">
        <w:rPr>
          <w:rFonts w:ascii="Times New Roman" w:hAnsi="Times New Roman"/>
          <w:color w:val="000000" w:themeColor="text1"/>
          <w:sz w:val="16"/>
          <w:szCs w:val="16"/>
        </w:rPr>
        <w:softHyphen/>
        <w:t>тают. За шесть месяцев завод при плане заказов в более чем 141000 изделий из</w:t>
      </w:r>
      <w:r w:rsidRPr="00A259BD">
        <w:rPr>
          <w:rFonts w:ascii="Times New Roman" w:hAnsi="Times New Roman"/>
          <w:color w:val="000000" w:themeColor="text1"/>
          <w:sz w:val="16"/>
          <w:szCs w:val="16"/>
        </w:rPr>
        <w:softHyphen/>
        <w:t>готавливает и представляет к приемке 145060 изделий (102,6% от плана). При</w:t>
      </w:r>
      <w:r w:rsidRPr="00A259BD">
        <w:rPr>
          <w:rFonts w:ascii="Times New Roman" w:hAnsi="Times New Roman"/>
          <w:color w:val="000000" w:themeColor="text1"/>
          <w:sz w:val="16"/>
          <w:szCs w:val="16"/>
        </w:rPr>
        <w:softHyphen/>
        <w:t>нимается заказчиками 136976 изделий (97% от общего объема заказов). Нали</w:t>
      </w:r>
      <w:r w:rsidRPr="00A259BD">
        <w:rPr>
          <w:rFonts w:ascii="Times New Roman" w:hAnsi="Times New Roman"/>
          <w:color w:val="000000" w:themeColor="text1"/>
          <w:sz w:val="16"/>
          <w:szCs w:val="16"/>
        </w:rPr>
        <w:softHyphen/>
        <w:t>цо огромный прогресс в решении вопроса реализации оборонных заказов.</w:t>
      </w:r>
    </w:p>
    <w:p w14:paraId="73D1928C" w14:textId="77777777" w:rsidR="004046F2" w:rsidRPr="00A259BD" w:rsidRDefault="004046F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целом завод «Светлана» добился в ходе выполнения первого пятилет</w:t>
      </w:r>
      <w:r w:rsidRPr="00A259BD">
        <w:rPr>
          <w:rFonts w:ascii="Times New Roman" w:hAnsi="Times New Roman"/>
          <w:color w:val="000000" w:themeColor="text1"/>
          <w:sz w:val="16"/>
          <w:szCs w:val="16"/>
        </w:rPr>
        <w:softHyphen/>
        <w:t>него плана крупных успехов. В 1931 г. доля выпуска заводом готовой продук</w:t>
      </w:r>
      <w:r w:rsidRPr="00A259BD">
        <w:rPr>
          <w:rFonts w:ascii="Times New Roman" w:hAnsi="Times New Roman"/>
          <w:color w:val="000000" w:themeColor="text1"/>
          <w:sz w:val="16"/>
          <w:szCs w:val="16"/>
        </w:rPr>
        <w:softHyphen/>
        <w:t>ции в валовом выпуске всего ВЭСО составила 23,9% , а само пятилетнее зада</w:t>
      </w:r>
      <w:r w:rsidRPr="00A259BD">
        <w:rPr>
          <w:rFonts w:ascii="Times New Roman" w:hAnsi="Times New Roman"/>
          <w:color w:val="000000" w:themeColor="text1"/>
          <w:sz w:val="16"/>
          <w:szCs w:val="16"/>
        </w:rPr>
        <w:softHyphen/>
        <w:t>ние было выполнено предприятием за два года и шесть месяцев. За годы пер</w:t>
      </w:r>
      <w:r w:rsidRPr="00A259BD">
        <w:rPr>
          <w:rFonts w:ascii="Times New Roman" w:hAnsi="Times New Roman"/>
          <w:color w:val="000000" w:themeColor="text1"/>
          <w:sz w:val="16"/>
          <w:szCs w:val="16"/>
        </w:rPr>
        <w:softHyphen/>
        <w:t>вой пятилетки в результате проводимой руководством и отрасли, и завода целе</w:t>
      </w:r>
      <w:r w:rsidRPr="00A259BD">
        <w:rPr>
          <w:rFonts w:ascii="Times New Roman" w:hAnsi="Times New Roman"/>
          <w:color w:val="000000" w:themeColor="text1"/>
          <w:sz w:val="16"/>
          <w:szCs w:val="16"/>
        </w:rPr>
        <w:softHyphen/>
        <w:t>направленной политики по ликвидации зависимости производства от импорт</w:t>
      </w:r>
      <w:r w:rsidRPr="00A259BD">
        <w:rPr>
          <w:rFonts w:ascii="Times New Roman" w:hAnsi="Times New Roman"/>
          <w:color w:val="000000" w:themeColor="text1"/>
          <w:sz w:val="16"/>
          <w:szCs w:val="16"/>
        </w:rPr>
        <w:softHyphen/>
        <w:t>ных поставок доля поставок из-за границы была сокращена с 70% до 0,1% (19098).</w:t>
      </w:r>
    </w:p>
    <w:p w14:paraId="49EFFFAB" w14:textId="77777777" w:rsidR="004046F2" w:rsidRPr="00A259BD" w:rsidRDefault="004046F2" w:rsidP="009236E3">
      <w:pPr>
        <w:spacing w:after="0" w:line="240" w:lineRule="auto"/>
        <w:jc w:val="both"/>
        <w:rPr>
          <w:rFonts w:ascii="Times New Roman" w:hAnsi="Times New Roman"/>
          <w:color w:val="000000" w:themeColor="text1"/>
          <w:sz w:val="16"/>
          <w:szCs w:val="16"/>
        </w:rPr>
      </w:pPr>
    </w:p>
    <w:p w14:paraId="173011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сентябре 1929 года </w:t>
      </w:r>
      <w:proofErr w:type="spellStart"/>
      <w:r w:rsidRPr="00A259BD">
        <w:rPr>
          <w:rFonts w:ascii="Times New Roman" w:hAnsi="Times New Roman"/>
          <w:color w:val="000000" w:themeColor="text1"/>
          <w:sz w:val="16"/>
          <w:szCs w:val="16"/>
        </w:rPr>
        <w:t>И.М.Великанов</w:t>
      </w:r>
      <w:proofErr w:type="spellEnd"/>
      <w:r w:rsidRPr="00A259BD">
        <w:rPr>
          <w:rFonts w:ascii="Times New Roman" w:hAnsi="Times New Roman"/>
          <w:color w:val="000000" w:themeColor="text1"/>
          <w:sz w:val="16"/>
          <w:szCs w:val="16"/>
        </w:rPr>
        <w:t xml:space="preserve"> предложил новую - изъять из ведения Наркомздрава и передать в ВСУ Красной Армии Институт оспы, располагавшийся в имении Власиха, что в 40 км от Москвы по Можайскому шоссе, предварительно выселив оттуда работников самого института. Эта идея уже получила развитие. В конце марта 1930 года </w:t>
      </w:r>
      <w:proofErr w:type="spellStart"/>
      <w:r w:rsidRPr="00A259BD">
        <w:rPr>
          <w:rFonts w:ascii="Times New Roman" w:hAnsi="Times New Roman"/>
          <w:color w:val="000000" w:themeColor="text1"/>
          <w:sz w:val="16"/>
          <w:szCs w:val="16"/>
        </w:rPr>
        <w:t>И.М.Великанов</w:t>
      </w:r>
      <w:proofErr w:type="spellEnd"/>
      <w:r w:rsidRPr="00A259BD">
        <w:rPr>
          <w:rFonts w:ascii="Times New Roman" w:hAnsi="Times New Roman"/>
          <w:color w:val="000000" w:themeColor="text1"/>
          <w:sz w:val="16"/>
          <w:szCs w:val="16"/>
        </w:rPr>
        <w:t xml:space="preserve"> добился аудиенции у </w:t>
      </w:r>
      <w:proofErr w:type="spellStart"/>
      <w:r w:rsidRPr="00A259BD">
        <w:rPr>
          <w:rFonts w:ascii="Times New Roman" w:hAnsi="Times New Roman"/>
          <w:color w:val="000000" w:themeColor="text1"/>
          <w:sz w:val="16"/>
          <w:szCs w:val="16"/>
        </w:rPr>
        <w:t>К.Е.Ворошилова</w:t>
      </w:r>
      <w:proofErr w:type="spellEnd"/>
      <w:r w:rsidRPr="00A259BD">
        <w:rPr>
          <w:rFonts w:ascii="Times New Roman" w:hAnsi="Times New Roman"/>
          <w:color w:val="000000" w:themeColor="text1"/>
          <w:sz w:val="16"/>
          <w:szCs w:val="16"/>
        </w:rPr>
        <w:t xml:space="preserve"> и изложил ему свое видение расширения работ "по изучению методов ведения бактериологической войны", а заодно и решения своих личных дел. Однако в первой половине апреля высшее руководство Красной Армии после тщательного обсуждения проблемы решило не класть все яйца в одну корзину и задачи ВОХИМУ и ВСУ четко разграничить. В отношении работ по биологическому оружию было решено поступить так же, как и в случае химического оружия - поиск средств биологического нападения оставить за химиками (ВОХИМУ), а создание средств защиты от биологического оружия возложить на медиков (ВСУ). Тем не менее даже после столь четкого решения 17 апреля 1930 года "наверх" была подана докладная записка трех лиц, подписавшихся бактериологами-членами ВКП(б) (это были </w:t>
      </w:r>
      <w:proofErr w:type="spellStart"/>
      <w:r w:rsidRPr="00A259BD">
        <w:rPr>
          <w:rFonts w:ascii="Times New Roman" w:hAnsi="Times New Roman"/>
          <w:color w:val="000000" w:themeColor="text1"/>
          <w:sz w:val="16"/>
          <w:szCs w:val="16"/>
        </w:rPr>
        <w:t>Н.Л.Блюменталь</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И.М.Великанов</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Л.Г.Рапопорт</w:t>
      </w:r>
      <w:proofErr w:type="spellEnd"/>
      <w:r w:rsidRPr="00A259BD">
        <w:rPr>
          <w:rFonts w:ascii="Times New Roman" w:hAnsi="Times New Roman"/>
          <w:color w:val="000000" w:themeColor="text1"/>
          <w:sz w:val="16"/>
          <w:szCs w:val="16"/>
        </w:rPr>
        <w:t xml:space="preserve">), которые после обычной констатации ("работа по подготовке к будущей бактериологической войне должна идти по линии возможности применения известных нам микробов") сообщили, что, по их мнению, "разделение работ по военной бактериологии по различным ведомствам является... нецелесообразным и вредным для дела". Однако и этот демарш не имел успеха (11776). </w:t>
      </w:r>
    </w:p>
    <w:p w14:paraId="2A2A6E2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D1B0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1929г. в составе управления по постройке алюминиевых заводов «</w:t>
      </w:r>
      <w:proofErr w:type="spellStart"/>
      <w:r w:rsidRPr="00A259BD">
        <w:rPr>
          <w:rFonts w:ascii="Times New Roman" w:hAnsi="Times New Roman"/>
          <w:color w:val="000000" w:themeColor="text1"/>
          <w:sz w:val="16"/>
          <w:szCs w:val="16"/>
        </w:rPr>
        <w:t>Алюминстрой</w:t>
      </w:r>
      <w:proofErr w:type="spellEnd"/>
      <w:r w:rsidRPr="00A259BD">
        <w:rPr>
          <w:rFonts w:ascii="Times New Roman" w:hAnsi="Times New Roman"/>
          <w:color w:val="000000" w:themeColor="text1"/>
          <w:sz w:val="16"/>
          <w:szCs w:val="16"/>
        </w:rPr>
        <w:t xml:space="preserve">» было начато строительство Опытного алюминиевого завода (ОАЗ) в Ленинграде. Завод строился во </w:t>
      </w:r>
      <w:proofErr w:type="spellStart"/>
      <w:r w:rsidRPr="00A259BD">
        <w:rPr>
          <w:rFonts w:ascii="Times New Roman" w:hAnsi="Times New Roman"/>
          <w:color w:val="000000" w:themeColor="text1"/>
          <w:sz w:val="16"/>
          <w:szCs w:val="16"/>
        </w:rPr>
        <w:t>Фризовском</w:t>
      </w:r>
      <w:proofErr w:type="spellEnd"/>
      <w:r w:rsidRPr="00A259BD">
        <w:rPr>
          <w:rFonts w:ascii="Times New Roman" w:hAnsi="Times New Roman"/>
          <w:color w:val="000000" w:themeColor="text1"/>
          <w:sz w:val="16"/>
          <w:szCs w:val="16"/>
        </w:rPr>
        <w:t xml:space="preserve"> пер. Выборгской стороны в здании бывшего завода «Старый Парвиайнен». В 05.1930 г. были пущены первые опытно-промышленные электролизеры и получен первый алюминий. В 1931-31 г. ОАЗ - в подчинении НИИАлюминий.</w:t>
      </w:r>
      <w:r w:rsidRPr="00A259BD">
        <w:rPr>
          <w:rFonts w:ascii="Times New Roman" w:hAnsi="Times New Roman"/>
          <w:color w:val="000000" w:themeColor="text1"/>
          <w:sz w:val="16"/>
          <w:szCs w:val="16"/>
          <w:vertAlign w:val="superscript"/>
        </w:rPr>
        <w:t>131</w:t>
      </w:r>
    </w:p>
    <w:p w14:paraId="5F619E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электролизном цехе завода было установлено 20 ванн с анодами 5 разных конструкций: русской, немецкой, норвежской, французской. В итоге за основу для электролизеров строившихся Волховского и Днепровского заводов был выбран французский электролизер типа «Сабр».</w:t>
      </w:r>
    </w:p>
    <w:p w14:paraId="3F066A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1931-31 г. Опытный завод - в подчинении НИИАлюминий.</w:t>
      </w:r>
      <w:r w:rsidRPr="00A259BD">
        <w:rPr>
          <w:rFonts w:ascii="Times New Roman" w:hAnsi="Times New Roman"/>
          <w:color w:val="000000" w:themeColor="text1"/>
          <w:sz w:val="16"/>
          <w:szCs w:val="16"/>
          <w:vertAlign w:val="superscript"/>
        </w:rPr>
        <w:t>131</w:t>
      </w:r>
      <w:r w:rsidRPr="00A259BD">
        <w:rPr>
          <w:rFonts w:ascii="Times New Roman" w:hAnsi="Times New Roman"/>
          <w:color w:val="000000" w:themeColor="text1"/>
          <w:sz w:val="16"/>
          <w:szCs w:val="16"/>
        </w:rPr>
        <w:t xml:space="preserve"> (11982).</w:t>
      </w:r>
    </w:p>
    <w:p w14:paraId="7440BE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2DCA568"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сентябре 1929 года перед Наркомпросом ставится вопрос о передаче тресту </w:t>
      </w:r>
      <w:proofErr w:type="spellStart"/>
      <w:r w:rsidRPr="00A259BD">
        <w:rPr>
          <w:rFonts w:ascii="Times New Roman" w:hAnsi="Times New Roman"/>
          <w:color w:val="000000" w:themeColor="text1"/>
          <w:sz w:val="16"/>
          <w:szCs w:val="16"/>
        </w:rPr>
        <w:t>Точмех</w:t>
      </w:r>
      <w:proofErr w:type="spellEnd"/>
      <w:r w:rsidRPr="00A259BD">
        <w:rPr>
          <w:rFonts w:ascii="Times New Roman" w:hAnsi="Times New Roman"/>
          <w:color w:val="000000" w:themeColor="text1"/>
          <w:sz w:val="16"/>
          <w:szCs w:val="16"/>
        </w:rPr>
        <w:t xml:space="preserve"> часовой школы МОНО, организованной ранее В. О. Пруссом.</w:t>
      </w:r>
    </w:p>
    <w:p w14:paraId="15C27F0B" w14:textId="77777777" w:rsidR="001C166D" w:rsidRPr="00A259BD" w:rsidRDefault="001C1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Примерно в то же время окончательно принимается решение о том, что купленные заводы будут размещены в Москве. Претендентами кроме Москвы выступали </w:t>
      </w:r>
      <w:proofErr w:type="spellStart"/>
      <w:r w:rsidRPr="00A259BD">
        <w:rPr>
          <w:rFonts w:ascii="Times New Roman" w:hAnsi="Times New Roman"/>
          <w:color w:val="000000" w:themeColor="text1"/>
          <w:sz w:val="16"/>
          <w:szCs w:val="16"/>
        </w:rPr>
        <w:t>г.Свердловск</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г.Киев</w:t>
      </w:r>
      <w:proofErr w:type="spellEnd"/>
      <w:r w:rsidRPr="00A259BD">
        <w:rPr>
          <w:rFonts w:ascii="Times New Roman" w:hAnsi="Times New Roman"/>
          <w:color w:val="000000" w:themeColor="text1"/>
          <w:sz w:val="16"/>
          <w:szCs w:val="16"/>
        </w:rPr>
        <w:t xml:space="preserve">. Свердловск обосновал свое ходатайство наличием высококвалифицированных кадров и их недостаточной занятостью, а Киев - наличием завода "Физико-химик", производившим кроме основной продукции сборку будильников. Руководство </w:t>
      </w:r>
      <w:proofErr w:type="spellStart"/>
      <w:r w:rsidRPr="00A259BD">
        <w:rPr>
          <w:rFonts w:ascii="Times New Roman" w:hAnsi="Times New Roman"/>
          <w:color w:val="000000" w:themeColor="text1"/>
          <w:sz w:val="16"/>
          <w:szCs w:val="16"/>
        </w:rPr>
        <w:t>Точмеха</w:t>
      </w:r>
      <w:proofErr w:type="spellEnd"/>
      <w:r w:rsidRPr="00A259BD">
        <w:rPr>
          <w:rFonts w:ascii="Times New Roman" w:hAnsi="Times New Roman"/>
          <w:color w:val="000000" w:themeColor="text1"/>
          <w:sz w:val="16"/>
          <w:szCs w:val="16"/>
        </w:rPr>
        <w:t xml:space="preserve"> в письме на имя председателя ВСНХ В.В. Куйбышева, высказалось за Москву, где уже имелось хотя и небольшое, но налаженное производство стенных часов, будильников, электрочасов и были подготовлены кадры в сборочных часовых мастерских и школе ФЗУ для выпуска карманных часов (12237).</w:t>
      </w:r>
    </w:p>
    <w:p w14:paraId="61909100" w14:textId="77777777" w:rsidR="001C166D" w:rsidRPr="00A259BD" w:rsidRDefault="00497FC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fldChar w:fldCharType="begin"/>
      </w:r>
      <w:r w:rsidR="001C166D" w:rsidRPr="00A259BD">
        <w:rPr>
          <w:rFonts w:ascii="Times New Roman" w:hAnsi="Times New Roman"/>
          <w:color w:val="000000" w:themeColor="text1"/>
          <w:sz w:val="16"/>
          <w:szCs w:val="16"/>
        </w:rPr>
        <w:instrText xml:space="preserve">ref HYPERLINK "/istorija-chasovogo-zavoda-slava-literatura.html" \l "s26" \* MERGEFORMAT </w:instrText>
      </w:r>
      <w:r w:rsidRPr="00A259BD">
        <w:rPr>
          <w:rFonts w:ascii="Times New Roman" w:hAnsi="Times New Roman"/>
          <w:color w:val="000000" w:themeColor="text1"/>
          <w:sz w:val="16"/>
          <w:szCs w:val="16"/>
        </w:rPr>
        <w:fldChar w:fldCharType="end"/>
      </w:r>
    </w:p>
    <w:p w14:paraId="144D91F7" w14:textId="77777777" w:rsidR="0020500E" w:rsidRPr="00A259BD" w:rsidRDefault="0020500E"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сентябре 1929 обсуждался вопрос об испытании глиссера ДМ-1, пригодного для изготовления низовыми ячейками «Осоавиахима». В связи с чем в «Автодоре» приняли решение «выделить на ремонт 200 руб., командировочные 200 руб., на непредвиденное 200 руб. Просить УВВС РККА отпустить авиационное горючее и смазочное, потребное для испытаний. В комиссию выделить тт. Бойкова, Емельянова, Елагина, Карпова, Мещерина, Неверова».</w:t>
      </w:r>
    </w:p>
    <w:p w14:paraId="7EE56986" w14:textId="77777777" w:rsidR="0020500E" w:rsidRPr="00A259BD" w:rsidRDefault="0020500E"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hAnsi="Times New Roman"/>
          <w:color w:val="000000" w:themeColor="text1"/>
          <w:sz w:val="16"/>
          <w:szCs w:val="16"/>
          <w:shd w:val="clear" w:color="auto" w:fill="FFFFFF"/>
        </w:rPr>
        <w:t>Глиссер ДМ-1, как первая разработка «Автодора», был переименован в «Автодор-1» или А-1. В дальнейшем глиссер участвовал в «Первом звездном походе», выставке и во многих других мероприятиях</w:t>
      </w:r>
      <w:r w:rsidRPr="00A259BD">
        <w:rPr>
          <w:rFonts w:ascii="Times New Roman" w:eastAsia="Times New Roman" w:hAnsi="Times New Roman"/>
          <w:color w:val="000000" w:themeColor="text1"/>
          <w:sz w:val="16"/>
          <w:szCs w:val="16"/>
          <w:lang w:eastAsia="ru-RU"/>
        </w:rPr>
        <w:t xml:space="preserve"> (21504).</w:t>
      </w:r>
    </w:p>
    <w:p w14:paraId="420E2DBE" w14:textId="77777777" w:rsidR="0020500E" w:rsidRPr="00A259BD" w:rsidRDefault="0020500E" w:rsidP="009236E3">
      <w:pPr>
        <w:spacing w:after="0" w:line="240" w:lineRule="auto"/>
        <w:jc w:val="both"/>
        <w:rPr>
          <w:rFonts w:ascii="Times New Roman" w:hAnsi="Times New Roman"/>
          <w:color w:val="000000" w:themeColor="text1"/>
          <w:sz w:val="16"/>
          <w:szCs w:val="16"/>
        </w:rPr>
      </w:pPr>
    </w:p>
    <w:p w14:paraId="02179C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1929 года с инициативой создания опыт</w:t>
      </w:r>
      <w:r w:rsidRPr="00A259BD">
        <w:rPr>
          <w:rFonts w:ascii="Times New Roman" w:hAnsi="Times New Roman"/>
          <w:color w:val="000000" w:themeColor="text1"/>
          <w:sz w:val="16"/>
          <w:szCs w:val="16"/>
        </w:rPr>
        <w:softHyphen/>
        <w:t>ного десантного отряда и специальных судов для него выступил ко</w:t>
      </w:r>
      <w:r w:rsidRPr="00A259BD">
        <w:rPr>
          <w:rFonts w:ascii="Times New Roman" w:hAnsi="Times New Roman"/>
          <w:color w:val="000000" w:themeColor="text1"/>
          <w:sz w:val="16"/>
          <w:szCs w:val="16"/>
        </w:rPr>
        <w:softHyphen/>
        <w:t>мандующий войсками Ленинградского военного округа М. Н. Ту</w:t>
      </w:r>
      <w:r w:rsidRPr="00A259BD">
        <w:rPr>
          <w:rFonts w:ascii="Times New Roman" w:hAnsi="Times New Roman"/>
          <w:color w:val="000000" w:themeColor="text1"/>
          <w:sz w:val="16"/>
          <w:szCs w:val="16"/>
        </w:rPr>
        <w:softHyphen/>
        <w:t>хачевский. Его поддержал начальник Штаба РККА Б. М. Шапош</w:t>
      </w:r>
      <w:r w:rsidRPr="00A259BD">
        <w:rPr>
          <w:rFonts w:ascii="Times New Roman" w:hAnsi="Times New Roman"/>
          <w:color w:val="000000" w:themeColor="text1"/>
          <w:sz w:val="16"/>
          <w:szCs w:val="16"/>
        </w:rPr>
        <w:softHyphen/>
        <w:t xml:space="preserve">ников, который 12 декабря 1929 г. напомнил </w:t>
      </w:r>
      <w:proofErr w:type="spellStart"/>
      <w:r w:rsidRPr="00A259BD">
        <w:rPr>
          <w:rFonts w:ascii="Times New Roman" w:hAnsi="Times New Roman"/>
          <w:color w:val="000000" w:themeColor="text1"/>
          <w:sz w:val="16"/>
          <w:szCs w:val="16"/>
        </w:rPr>
        <w:t>наморси</w:t>
      </w:r>
      <w:proofErr w:type="spellEnd"/>
      <w:r w:rsidRPr="00A259BD">
        <w:rPr>
          <w:rFonts w:ascii="Times New Roman" w:hAnsi="Times New Roman"/>
          <w:color w:val="000000" w:themeColor="text1"/>
          <w:sz w:val="16"/>
          <w:szCs w:val="16"/>
        </w:rPr>
        <w:t xml:space="preserve"> Р. А. </w:t>
      </w:r>
      <w:proofErr w:type="spellStart"/>
      <w:r w:rsidRPr="00A259BD">
        <w:rPr>
          <w:rFonts w:ascii="Times New Roman" w:hAnsi="Times New Roman"/>
          <w:color w:val="000000" w:themeColor="text1"/>
          <w:sz w:val="16"/>
          <w:szCs w:val="16"/>
        </w:rPr>
        <w:t>Мукле-вичу</w:t>
      </w:r>
      <w:proofErr w:type="spellEnd"/>
      <w:r w:rsidRPr="00A259BD">
        <w:rPr>
          <w:rFonts w:ascii="Times New Roman" w:hAnsi="Times New Roman"/>
          <w:color w:val="000000" w:themeColor="text1"/>
          <w:sz w:val="16"/>
          <w:szCs w:val="16"/>
        </w:rPr>
        <w:t xml:space="preserve"> о десантных судах и определил требования к их мореходности (до 4 баллов в пределах Финского залива), скорости (до 15 уз), району плавания (не менее 200 миль), максимальной осадке (0,5 м) и вооружению (два-четыре пулемета, один-два 37-мм авто</w:t>
      </w:r>
      <w:r w:rsidRPr="00A259BD">
        <w:rPr>
          <w:rFonts w:ascii="Times New Roman" w:hAnsi="Times New Roman"/>
          <w:color w:val="000000" w:themeColor="text1"/>
          <w:sz w:val="16"/>
          <w:szCs w:val="16"/>
        </w:rPr>
        <w:softHyphen/>
        <w:t>мата, радиостанция) (3898).</w:t>
      </w:r>
    </w:p>
    <w:p w14:paraId="5ECFF2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AA70985" w14:textId="77777777" w:rsidR="00F14B42" w:rsidRPr="00A259BD" w:rsidRDefault="00F14B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сентябре 1929 г. на маневрах на Балтике два Ш-4 были доставлены на борт крейсера «Профинтерн». Для них на рострах имелись специальные тележки. Другие случае транспортировки ТКА на боевых кораблях автору неизвестны. Катера Ш-4 обладали множеством неустранимых недостатков. Торпедное вооружение 450-мм калибра считалось неудовлетворительным, ну а о 7,62-мм пулеметах и говорить нечего. Для предохранения корпусов катеров от коррозии их было необходимо хранить только на берегу в крытых и хорошо вентилируемых помещениях, которые в зимнее время еще и надо было отапливать. Спускать катера на воду можно было только за короткий срок до выхода в море. При этом необходимо было внимательно следить за состоянием корпуса, удалять с него коррозию и покрывать «</w:t>
      </w:r>
      <w:proofErr w:type="spellStart"/>
      <w:r w:rsidRPr="00A259BD">
        <w:rPr>
          <w:rFonts w:ascii="Times New Roman" w:hAnsi="Times New Roman"/>
          <w:color w:val="000000" w:themeColor="text1"/>
          <w:sz w:val="16"/>
          <w:szCs w:val="16"/>
        </w:rPr>
        <w:t>Кузбасслаком</w:t>
      </w:r>
      <w:proofErr w:type="spellEnd"/>
      <w:r w:rsidRPr="00A259BD">
        <w:rPr>
          <w:rFonts w:ascii="Times New Roman" w:hAnsi="Times New Roman"/>
          <w:color w:val="000000" w:themeColor="text1"/>
          <w:sz w:val="16"/>
          <w:szCs w:val="16"/>
        </w:rPr>
        <w:t>». Слабость корпусных конструкций вызывала на больших ходах сильную вибрацию, что плохо влияло на работоспособность экипажа, а также разрушало фундаменты двигателей. Так, в начале декабря 1930 г. при осмотре в Кронштадте 12 катеров типа Ш-4 выяснилось, что у девяти из них были разрушены кницы, соединявшие обе параллели фундаментов. В итоге к 22 июня 1941 г. во всех флотах в боевом составе оставалось лишь 12 ТКА типа Ш-4. Остальные сдали на лом или обратили в портовые плавсредства (15117).</w:t>
      </w:r>
    </w:p>
    <w:p w14:paraId="25253698" w14:textId="77777777" w:rsidR="00F14B42" w:rsidRPr="00A259BD" w:rsidRDefault="00F14B42" w:rsidP="009236E3">
      <w:pPr>
        <w:spacing w:after="0" w:line="240" w:lineRule="auto"/>
        <w:jc w:val="both"/>
        <w:rPr>
          <w:rFonts w:ascii="Times New Roman" w:hAnsi="Times New Roman"/>
          <w:color w:val="000000" w:themeColor="text1"/>
          <w:sz w:val="16"/>
          <w:szCs w:val="16"/>
        </w:rPr>
      </w:pPr>
    </w:p>
    <w:p w14:paraId="1FAC21B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299526D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FEFD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сентябре 1929 г. во время маневров флота ДВ №57, пилотируемый Конкиным и </w:t>
      </w:r>
      <w:proofErr w:type="spellStart"/>
      <w:r w:rsidRPr="00A259BD">
        <w:rPr>
          <w:rFonts w:ascii="Times New Roman" w:hAnsi="Times New Roman"/>
          <w:color w:val="000000" w:themeColor="text1"/>
          <w:sz w:val="16"/>
          <w:szCs w:val="16"/>
        </w:rPr>
        <w:t>Острецовым</w:t>
      </w:r>
      <w:proofErr w:type="spellEnd"/>
      <w:r w:rsidRPr="00A259BD">
        <w:rPr>
          <w:rFonts w:ascii="Times New Roman" w:hAnsi="Times New Roman"/>
          <w:color w:val="000000" w:themeColor="text1"/>
          <w:sz w:val="16"/>
          <w:szCs w:val="16"/>
        </w:rPr>
        <w:t>, попал в вертикальный вихрь (шквал) и нисходящим потоком был сброшен на воду с высоты 150 метров. Несмотря на жесткий удар, лодка практически не пострадала. Летчики запустили двигатели и, не взлетая, "на моторах" дошли до берега. Комиссия, расследовавшая этот инцидент, подтвердила вполне приемлемую прочность летающей лодки Дорнье для возможных последующих случаев (11961).</w:t>
      </w:r>
    </w:p>
    <w:p w14:paraId="26505F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690A4B"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7CBCE69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5E624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1929 произошло значительное расширение правомочий директоров предприятий, разрешение увольнять рабочих без санкции профсоюзов (3908,329).</w:t>
      </w:r>
    </w:p>
    <w:p w14:paraId="190BF0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19E7D5"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4EDFD6C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40838F" w14:textId="77777777" w:rsidR="000922FC" w:rsidRPr="00A259BD" w:rsidRDefault="000922FC" w:rsidP="009236E3">
      <w:pPr>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сентябре 1929 года все шесть «больших тракторов» (в русскоязычной переписке их называли </w:t>
      </w:r>
      <w:proofErr w:type="spellStart"/>
      <w:r w:rsidRPr="00A259BD">
        <w:rPr>
          <w:rFonts w:ascii="Times New Roman" w:eastAsia="Times New Roman" w:hAnsi="Times New Roman"/>
          <w:color w:val="000000" w:themeColor="text1"/>
          <w:sz w:val="16"/>
          <w:szCs w:val="16"/>
          <w:lang w:eastAsia="ru-RU"/>
        </w:rPr>
        <w:t>Б.тр</w:t>
      </w:r>
      <w:proofErr w:type="spellEnd"/>
      <w:r w:rsidRPr="00A259BD">
        <w:rPr>
          <w:rFonts w:ascii="Times New Roman" w:eastAsia="Times New Roman" w:hAnsi="Times New Roman"/>
          <w:color w:val="000000" w:themeColor="text1"/>
          <w:sz w:val="16"/>
          <w:szCs w:val="16"/>
          <w:lang w:eastAsia="ru-RU"/>
        </w:rPr>
        <w:t xml:space="preserve">) прибыли на территорию ТЕКО. </w:t>
      </w:r>
      <w:r w:rsidRPr="00A259BD">
        <w:rPr>
          <w:rFonts w:ascii="Times New Roman" w:hAnsi="Times New Roman"/>
          <w:color w:val="000000" w:themeColor="text1"/>
          <w:sz w:val="16"/>
          <w:szCs w:val="16"/>
        </w:rPr>
        <w:t xml:space="preserve">Танки Daimler-Benz получили номера 41 и 42, танки </w:t>
      </w:r>
      <w:proofErr w:type="spellStart"/>
      <w:r w:rsidRPr="00A259BD">
        <w:rPr>
          <w:rFonts w:ascii="Times New Roman" w:hAnsi="Times New Roman"/>
          <w:color w:val="000000" w:themeColor="text1"/>
          <w:sz w:val="16"/>
          <w:szCs w:val="16"/>
        </w:rPr>
        <w:t>Krupp</w:t>
      </w:r>
      <w:proofErr w:type="spellEnd"/>
      <w:r w:rsidRPr="00A259BD">
        <w:rPr>
          <w:rFonts w:ascii="Times New Roman" w:hAnsi="Times New Roman"/>
          <w:color w:val="000000" w:themeColor="text1"/>
          <w:sz w:val="16"/>
          <w:szCs w:val="16"/>
        </w:rPr>
        <w:t xml:space="preserve"> — 43 и 44, а </w:t>
      </w:r>
      <w:proofErr w:type="spellStart"/>
      <w:r w:rsidRPr="00A259BD">
        <w:rPr>
          <w:rFonts w:ascii="Times New Roman" w:hAnsi="Times New Roman"/>
          <w:color w:val="000000" w:themeColor="text1"/>
          <w:sz w:val="16"/>
          <w:szCs w:val="16"/>
        </w:rPr>
        <w:t>Rheinmetall</w:t>
      </w:r>
      <w:proofErr w:type="spellEnd"/>
      <w:r w:rsidRPr="00A259BD">
        <w:rPr>
          <w:rFonts w:ascii="Times New Roman" w:hAnsi="Times New Roman"/>
          <w:color w:val="000000" w:themeColor="text1"/>
          <w:sz w:val="16"/>
          <w:szCs w:val="16"/>
        </w:rPr>
        <w:t xml:space="preserve"> — 45 и 46.</w:t>
      </w:r>
      <w:r w:rsidRPr="00A259BD">
        <w:rPr>
          <w:rFonts w:ascii="Times New Roman" w:eastAsia="Times New Roman" w:hAnsi="Times New Roman"/>
          <w:color w:val="000000" w:themeColor="text1"/>
          <w:sz w:val="16"/>
          <w:szCs w:val="16"/>
          <w:lang w:eastAsia="ru-RU"/>
        </w:rPr>
        <w:t xml:space="preserve"> Все танки, кроме </w:t>
      </w:r>
      <w:proofErr w:type="spellStart"/>
      <w:r w:rsidRPr="00A259BD">
        <w:rPr>
          <w:rFonts w:ascii="Times New Roman" w:eastAsia="Times New Roman" w:hAnsi="Times New Roman"/>
          <w:color w:val="000000" w:themeColor="text1"/>
          <w:sz w:val="16"/>
          <w:szCs w:val="16"/>
          <w:lang w:eastAsia="ru-RU"/>
        </w:rPr>
        <w:t>G.Tr.Rh</w:t>
      </w:r>
      <w:proofErr w:type="spellEnd"/>
      <w:r w:rsidRPr="00A259BD">
        <w:rPr>
          <w:rFonts w:ascii="Times New Roman" w:eastAsia="Times New Roman" w:hAnsi="Times New Roman"/>
          <w:color w:val="000000" w:themeColor="text1"/>
          <w:sz w:val="16"/>
          <w:szCs w:val="16"/>
          <w:lang w:eastAsia="ru-RU"/>
        </w:rPr>
        <w:t xml:space="preserve"> с номером 46, не имели к тому моменту башен. Насколько сырыми оказались немецкие машины, свидетельствуют данные о том, какое расстояние они прошли за остаток 1929 года. Танки Daimler-Benz вообще не ездили, машины </w:t>
      </w:r>
      <w:proofErr w:type="spellStart"/>
      <w:r w:rsidRPr="00A259BD">
        <w:rPr>
          <w:rFonts w:ascii="Times New Roman" w:eastAsia="Times New Roman" w:hAnsi="Times New Roman"/>
          <w:color w:val="000000" w:themeColor="text1"/>
          <w:sz w:val="16"/>
          <w:szCs w:val="16"/>
          <w:lang w:eastAsia="ru-RU"/>
        </w:rPr>
        <w:t>Krupp</w:t>
      </w:r>
      <w:proofErr w:type="spellEnd"/>
      <w:r w:rsidRPr="00A259BD">
        <w:rPr>
          <w:rFonts w:ascii="Times New Roman" w:eastAsia="Times New Roman" w:hAnsi="Times New Roman"/>
          <w:color w:val="000000" w:themeColor="text1"/>
          <w:sz w:val="16"/>
          <w:szCs w:val="16"/>
          <w:lang w:eastAsia="ru-RU"/>
        </w:rPr>
        <w:t xml:space="preserve"> преодолели 3 (одна) и 60 (вторая) километров, а машины </w:t>
      </w:r>
      <w:proofErr w:type="spellStart"/>
      <w:r w:rsidRPr="00A259BD">
        <w:rPr>
          <w:rFonts w:ascii="Times New Roman" w:eastAsia="Times New Roman" w:hAnsi="Times New Roman"/>
          <w:color w:val="000000" w:themeColor="text1"/>
          <w:sz w:val="16"/>
          <w:szCs w:val="16"/>
          <w:lang w:eastAsia="ru-RU"/>
        </w:rPr>
        <w:t>Rheinmetall</w:t>
      </w:r>
      <w:proofErr w:type="spellEnd"/>
      <w:r w:rsidRPr="00A259BD">
        <w:rPr>
          <w:rFonts w:ascii="Times New Roman" w:eastAsia="Times New Roman" w:hAnsi="Times New Roman"/>
          <w:color w:val="000000" w:themeColor="text1"/>
          <w:sz w:val="16"/>
          <w:szCs w:val="16"/>
          <w:lang w:eastAsia="ru-RU"/>
        </w:rPr>
        <w:t xml:space="preserve"> — 52 и 81 километр. Практически сразу выяснилось, что конструкция танков требует массу переделок.</w:t>
      </w:r>
    </w:p>
    <w:p w14:paraId="52040646" w14:textId="77777777" w:rsidR="000922FC" w:rsidRPr="00A259BD" w:rsidRDefault="000922FC" w:rsidP="009236E3">
      <w:pPr>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Как видно из данных по пробегу, наиболее сложной оказалась ситуация с танками Daimler-Benz. У них имелись большие проблемы с гусеничными лентами, склонными к сбросу, — причём проблема была связана не только с гусеницами, но и с ведущими колёсами и ленивцами. Обнаружились серьёзные проблемы с охлаждением двигателя.</w:t>
      </w:r>
    </w:p>
    <w:p w14:paraId="7F71990C" w14:textId="77777777" w:rsidR="000922FC" w:rsidRPr="00A259BD" w:rsidRDefault="000922FC" w:rsidP="009236E3">
      <w:pPr>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Хватало проблем и у танков </w:t>
      </w:r>
      <w:proofErr w:type="spellStart"/>
      <w:r w:rsidRPr="00A259BD">
        <w:rPr>
          <w:rFonts w:ascii="Times New Roman" w:eastAsia="Times New Roman" w:hAnsi="Times New Roman"/>
          <w:color w:val="000000" w:themeColor="text1"/>
          <w:sz w:val="16"/>
          <w:szCs w:val="16"/>
          <w:lang w:eastAsia="ru-RU"/>
        </w:rPr>
        <w:t>Krupp</w:t>
      </w:r>
      <w:proofErr w:type="spellEnd"/>
      <w:r w:rsidRPr="00A259BD">
        <w:rPr>
          <w:rFonts w:ascii="Times New Roman" w:eastAsia="Times New Roman" w:hAnsi="Times New Roman"/>
          <w:color w:val="000000" w:themeColor="text1"/>
          <w:sz w:val="16"/>
          <w:szCs w:val="16"/>
          <w:lang w:eastAsia="ru-RU"/>
        </w:rPr>
        <w:t xml:space="preserve">. Компрессор для получения сжатого воздуха оказался слишком мал, что привело к проблемам как с КПП, так и с запуском двигателя (у танков </w:t>
      </w:r>
      <w:proofErr w:type="spellStart"/>
      <w:r w:rsidRPr="00A259BD">
        <w:rPr>
          <w:rFonts w:ascii="Times New Roman" w:eastAsia="Times New Roman" w:hAnsi="Times New Roman"/>
          <w:color w:val="000000" w:themeColor="text1"/>
          <w:sz w:val="16"/>
          <w:szCs w:val="16"/>
          <w:lang w:eastAsia="ru-RU"/>
        </w:rPr>
        <w:t>Krupp</w:t>
      </w:r>
      <w:proofErr w:type="spellEnd"/>
      <w:r w:rsidRPr="00A259BD">
        <w:rPr>
          <w:rFonts w:ascii="Times New Roman" w:eastAsia="Times New Roman" w:hAnsi="Times New Roman"/>
          <w:color w:val="000000" w:themeColor="text1"/>
          <w:sz w:val="16"/>
          <w:szCs w:val="16"/>
          <w:lang w:eastAsia="ru-RU"/>
        </w:rPr>
        <w:t xml:space="preserve"> и </w:t>
      </w:r>
      <w:proofErr w:type="spellStart"/>
      <w:r w:rsidRPr="00A259BD">
        <w:rPr>
          <w:rFonts w:ascii="Times New Roman" w:eastAsia="Times New Roman" w:hAnsi="Times New Roman"/>
          <w:color w:val="000000" w:themeColor="text1"/>
          <w:sz w:val="16"/>
          <w:szCs w:val="16"/>
          <w:lang w:eastAsia="ru-RU"/>
        </w:rPr>
        <w:t>Rheinmetall</w:t>
      </w:r>
      <w:proofErr w:type="spellEnd"/>
      <w:r w:rsidRPr="00A259BD">
        <w:rPr>
          <w:rFonts w:ascii="Times New Roman" w:eastAsia="Times New Roman" w:hAnsi="Times New Roman"/>
          <w:color w:val="000000" w:themeColor="text1"/>
          <w:sz w:val="16"/>
          <w:szCs w:val="16"/>
          <w:lang w:eastAsia="ru-RU"/>
        </w:rPr>
        <w:t xml:space="preserve"> для этого использовался </w:t>
      </w:r>
      <w:proofErr w:type="spellStart"/>
      <w:r w:rsidRPr="00A259BD">
        <w:rPr>
          <w:rFonts w:ascii="Times New Roman" w:eastAsia="Times New Roman" w:hAnsi="Times New Roman"/>
          <w:color w:val="000000" w:themeColor="text1"/>
          <w:sz w:val="16"/>
          <w:szCs w:val="16"/>
          <w:lang w:eastAsia="ru-RU"/>
        </w:rPr>
        <w:t>пневмопуск</w:t>
      </w:r>
      <w:proofErr w:type="spellEnd"/>
      <w:r w:rsidRPr="00A259BD">
        <w:rPr>
          <w:rFonts w:ascii="Times New Roman" w:eastAsia="Times New Roman" w:hAnsi="Times New Roman"/>
          <w:color w:val="000000" w:themeColor="text1"/>
          <w:sz w:val="16"/>
          <w:szCs w:val="16"/>
          <w:lang w:eastAsia="ru-RU"/>
        </w:rPr>
        <w:t>). Здесь также отмечались проблемы с охлаждением.</w:t>
      </w:r>
    </w:p>
    <w:p w14:paraId="44095799" w14:textId="77777777" w:rsidR="000922FC" w:rsidRPr="00A259BD" w:rsidRDefault="000922FC" w:rsidP="009236E3">
      <w:pPr>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Меньше всего проблем оказалось с </w:t>
      </w:r>
      <w:proofErr w:type="spellStart"/>
      <w:r w:rsidRPr="00A259BD">
        <w:rPr>
          <w:rFonts w:ascii="Times New Roman" w:eastAsia="Times New Roman" w:hAnsi="Times New Roman"/>
          <w:color w:val="000000" w:themeColor="text1"/>
          <w:sz w:val="16"/>
          <w:szCs w:val="16"/>
          <w:lang w:eastAsia="ru-RU"/>
        </w:rPr>
        <w:t>Gr.Tr.Rh</w:t>
      </w:r>
      <w:proofErr w:type="spellEnd"/>
      <w:r w:rsidRPr="00A259BD">
        <w:rPr>
          <w:rFonts w:ascii="Times New Roman" w:eastAsia="Times New Roman" w:hAnsi="Times New Roman"/>
          <w:color w:val="000000" w:themeColor="text1"/>
          <w:sz w:val="16"/>
          <w:szCs w:val="16"/>
          <w:lang w:eastAsia="ru-RU"/>
        </w:rPr>
        <w:t xml:space="preserve">, но и там их хватало. Использование вариатора оказалось неудачной идеей, испытатели пришли к выводу, что механизм управления надо переделывать. Не понравился им и </w:t>
      </w:r>
      <w:proofErr w:type="spellStart"/>
      <w:r w:rsidRPr="00A259BD">
        <w:rPr>
          <w:rFonts w:ascii="Times New Roman" w:eastAsia="Times New Roman" w:hAnsi="Times New Roman"/>
          <w:color w:val="000000" w:themeColor="text1"/>
          <w:sz w:val="16"/>
          <w:szCs w:val="16"/>
          <w:lang w:eastAsia="ru-RU"/>
        </w:rPr>
        <w:t>пневмопуск</w:t>
      </w:r>
      <w:proofErr w:type="spellEnd"/>
      <w:r w:rsidRPr="00A259BD">
        <w:rPr>
          <w:rFonts w:ascii="Times New Roman" w:eastAsia="Times New Roman" w:hAnsi="Times New Roman"/>
          <w:color w:val="000000" w:themeColor="text1"/>
          <w:sz w:val="16"/>
          <w:szCs w:val="16"/>
          <w:lang w:eastAsia="ru-RU"/>
        </w:rPr>
        <w:t>, плохо работавший в холодную погоду.</w:t>
      </w:r>
    </w:p>
    <w:p w14:paraId="35725456" w14:textId="77777777" w:rsidR="000922FC" w:rsidRPr="00A259BD" w:rsidRDefault="000922FC"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hAnsi="Times New Roman"/>
          <w:color w:val="000000" w:themeColor="text1"/>
          <w:sz w:val="16"/>
          <w:szCs w:val="16"/>
        </w:rPr>
        <w:t xml:space="preserve">Апофеозом неудач для машин </w:t>
      </w:r>
      <w:proofErr w:type="spellStart"/>
      <w:r w:rsidRPr="00A259BD">
        <w:rPr>
          <w:rFonts w:ascii="Times New Roman" w:hAnsi="Times New Roman"/>
          <w:color w:val="000000" w:themeColor="text1"/>
          <w:sz w:val="16"/>
          <w:szCs w:val="16"/>
        </w:rPr>
        <w:t>Rheinmetall</w:t>
      </w:r>
      <w:proofErr w:type="spellEnd"/>
      <w:r w:rsidRPr="00A259BD">
        <w:rPr>
          <w:rFonts w:ascii="Times New Roman" w:hAnsi="Times New Roman"/>
          <w:color w:val="000000" w:themeColor="text1"/>
          <w:sz w:val="16"/>
          <w:szCs w:val="16"/>
        </w:rPr>
        <w:t xml:space="preserve"> стала первая попытка преодолеть водоём. 30 октября из-за неправильных действий механика-водителя танк при движении задним ходом утонул. С ним утонул и инженер компании </w:t>
      </w:r>
      <w:proofErr w:type="spellStart"/>
      <w:r w:rsidRPr="00A259BD">
        <w:rPr>
          <w:rFonts w:ascii="Times New Roman" w:hAnsi="Times New Roman"/>
          <w:color w:val="000000" w:themeColor="text1"/>
          <w:sz w:val="16"/>
          <w:szCs w:val="16"/>
        </w:rPr>
        <w:t>Rheinmetal</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Керрес</w:t>
      </w:r>
      <w:proofErr w:type="spellEnd"/>
      <w:r w:rsidRPr="00A259BD">
        <w:rPr>
          <w:rFonts w:ascii="Times New Roman" w:hAnsi="Times New Roman"/>
          <w:color w:val="000000" w:themeColor="text1"/>
          <w:sz w:val="16"/>
          <w:szCs w:val="16"/>
        </w:rPr>
        <w:t xml:space="preserve">, который отвечал за работу танков. Машину вытащили из воды и отправили на ремонт. Это был первый и последний такой опыт. Даже без учёта неверных действий механика-водителя было ясно, что машины слишком перегружены для плавания. Танки </w:t>
      </w:r>
      <w:proofErr w:type="spellStart"/>
      <w:r w:rsidRPr="00A259BD">
        <w:rPr>
          <w:rFonts w:ascii="Times New Roman" w:hAnsi="Times New Roman"/>
          <w:color w:val="000000" w:themeColor="text1"/>
          <w:sz w:val="16"/>
          <w:szCs w:val="16"/>
        </w:rPr>
        <w:t>Rheinmetall</w:t>
      </w:r>
      <w:proofErr w:type="spellEnd"/>
      <w:r w:rsidRPr="00A259BD">
        <w:rPr>
          <w:rFonts w:ascii="Times New Roman" w:hAnsi="Times New Roman"/>
          <w:color w:val="000000" w:themeColor="text1"/>
          <w:sz w:val="16"/>
          <w:szCs w:val="16"/>
        </w:rPr>
        <w:t xml:space="preserve"> и Daimler-Benz имели боевую массу 16 тонн, а машина </w:t>
      </w:r>
      <w:proofErr w:type="spellStart"/>
      <w:r w:rsidRPr="00A259BD">
        <w:rPr>
          <w:rFonts w:ascii="Times New Roman" w:hAnsi="Times New Roman"/>
          <w:color w:val="000000" w:themeColor="text1"/>
          <w:sz w:val="16"/>
          <w:szCs w:val="16"/>
        </w:rPr>
        <w:t>Krupp</w:t>
      </w:r>
      <w:proofErr w:type="spellEnd"/>
      <w:r w:rsidRPr="00A259BD">
        <w:rPr>
          <w:rFonts w:ascii="Times New Roman" w:hAnsi="Times New Roman"/>
          <w:color w:val="000000" w:themeColor="text1"/>
          <w:sz w:val="16"/>
          <w:szCs w:val="16"/>
        </w:rPr>
        <w:t xml:space="preserve"> — 16,4 тонны. Даже без башен </w:t>
      </w:r>
      <w:proofErr w:type="spellStart"/>
      <w:r w:rsidRPr="00A259BD">
        <w:rPr>
          <w:rFonts w:ascii="Times New Roman" w:hAnsi="Times New Roman"/>
          <w:color w:val="000000" w:themeColor="text1"/>
          <w:sz w:val="16"/>
          <w:szCs w:val="16"/>
        </w:rPr>
        <w:t>Gr.Tr.Rh</w:t>
      </w:r>
      <w:proofErr w:type="spellEnd"/>
      <w:r w:rsidRPr="00A259BD">
        <w:rPr>
          <w:rFonts w:ascii="Times New Roman" w:hAnsi="Times New Roman"/>
          <w:color w:val="000000" w:themeColor="text1"/>
          <w:sz w:val="16"/>
          <w:szCs w:val="16"/>
        </w:rPr>
        <w:t xml:space="preserve">. погружался в воду слишком глубоко, рискуя зачерпнуть воды. В дальнейшем гребные винты со всех танков демонтировали, хотя и ходили разговоры о том, чтобы испытать понтоны для придания плавучести танкам </w:t>
      </w:r>
      <w:r w:rsidRPr="00A259BD">
        <w:rPr>
          <w:rFonts w:ascii="Times New Roman" w:eastAsia="Times New Roman" w:hAnsi="Times New Roman"/>
          <w:color w:val="000000" w:themeColor="text1"/>
          <w:sz w:val="16"/>
          <w:szCs w:val="16"/>
          <w:lang w:eastAsia="ru-RU"/>
        </w:rPr>
        <w:t>(17713).</w:t>
      </w:r>
    </w:p>
    <w:p w14:paraId="7E1A3337" w14:textId="77777777" w:rsidR="000922FC" w:rsidRPr="00A259BD" w:rsidRDefault="000922FC" w:rsidP="009236E3">
      <w:pPr>
        <w:spacing w:after="0" w:line="240" w:lineRule="auto"/>
        <w:jc w:val="both"/>
        <w:rPr>
          <w:rFonts w:ascii="Times New Roman" w:eastAsia="Times New Roman" w:hAnsi="Times New Roman"/>
          <w:color w:val="000000" w:themeColor="text1"/>
          <w:sz w:val="16"/>
          <w:szCs w:val="16"/>
          <w:lang w:eastAsia="ru-RU"/>
        </w:rPr>
      </w:pPr>
    </w:p>
    <w:p w14:paraId="4E2BCC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сентябре 1929 года Политбюро решило отправить к Чичерину его лечащего врача из </w:t>
      </w:r>
      <w:proofErr w:type="spellStart"/>
      <w:r w:rsidRPr="00A259BD">
        <w:rPr>
          <w:rFonts w:ascii="Times New Roman" w:hAnsi="Times New Roman"/>
          <w:color w:val="000000" w:themeColor="text1"/>
          <w:sz w:val="16"/>
          <w:szCs w:val="16"/>
        </w:rPr>
        <w:t>Лечсанупра</w:t>
      </w:r>
      <w:proofErr w:type="spellEnd"/>
      <w:r w:rsidRPr="00A259BD">
        <w:rPr>
          <w:rFonts w:ascii="Times New Roman" w:hAnsi="Times New Roman"/>
          <w:color w:val="000000" w:themeColor="text1"/>
          <w:sz w:val="16"/>
          <w:szCs w:val="16"/>
        </w:rPr>
        <w:t xml:space="preserve"> Кремля Льва Левина. Как чувствовал себя Чичерин на самом деле, так и осталось неизвестным, но Левин доложил в Москве, что нарком действительно болен и не выдержит транспортировки. И возможно, Чичерина еще на несколько месяцев оставили бы в покое, но 3 октября 1929 года в Париже из постпредства бежал советник Григорий </w:t>
      </w:r>
      <w:proofErr w:type="spellStart"/>
      <w:r w:rsidRPr="00A259BD">
        <w:rPr>
          <w:rFonts w:ascii="Times New Roman" w:hAnsi="Times New Roman"/>
          <w:color w:val="000000" w:themeColor="text1"/>
          <w:sz w:val="16"/>
          <w:szCs w:val="16"/>
        </w:rPr>
        <w:t>Беседовский</w:t>
      </w:r>
      <w:proofErr w:type="spellEnd"/>
      <w:r w:rsidRPr="00A259BD">
        <w:rPr>
          <w:rFonts w:ascii="Times New Roman" w:hAnsi="Times New Roman"/>
          <w:color w:val="000000" w:themeColor="text1"/>
          <w:sz w:val="16"/>
          <w:szCs w:val="16"/>
        </w:rPr>
        <w:t>. После чего в Кремле забеспокоились о судьбе Чичерина еще сильнее (11652).</w:t>
      </w:r>
    </w:p>
    <w:p w14:paraId="0146A1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B4D35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D1DAA7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621A3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сентябре 1929 состоялся первый 15-минутный полет бесхвостого мотопланера </w:t>
      </w:r>
      <w:proofErr w:type="spellStart"/>
      <w:r w:rsidRPr="00A259BD">
        <w:rPr>
          <w:rFonts w:ascii="Times New Roman" w:hAnsi="Times New Roman"/>
          <w:color w:val="000000" w:themeColor="text1"/>
          <w:sz w:val="16"/>
          <w:szCs w:val="16"/>
        </w:rPr>
        <w:t>А.Липпиша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Шторьх</w:t>
      </w:r>
      <w:proofErr w:type="spellEnd"/>
      <w:r w:rsidRPr="00A259BD">
        <w:rPr>
          <w:rFonts w:ascii="Times New Roman" w:hAnsi="Times New Roman"/>
          <w:color w:val="000000" w:themeColor="text1"/>
          <w:sz w:val="16"/>
          <w:szCs w:val="16"/>
        </w:rPr>
        <w:t xml:space="preserve"> 1V. В октябре 1929 на нем был совершен перелет с </w:t>
      </w:r>
      <w:proofErr w:type="spellStart"/>
      <w:r w:rsidRPr="00A259BD">
        <w:rPr>
          <w:rFonts w:ascii="Times New Roman" w:hAnsi="Times New Roman"/>
          <w:color w:val="000000" w:themeColor="text1"/>
          <w:sz w:val="16"/>
          <w:szCs w:val="16"/>
        </w:rPr>
        <w:t>Ренских</w:t>
      </w:r>
      <w:proofErr w:type="spellEnd"/>
      <w:r w:rsidRPr="00A259BD">
        <w:rPr>
          <w:rFonts w:ascii="Times New Roman" w:hAnsi="Times New Roman"/>
          <w:color w:val="000000" w:themeColor="text1"/>
          <w:sz w:val="16"/>
          <w:szCs w:val="16"/>
        </w:rPr>
        <w:t xml:space="preserve"> холмов в Берлин, где он был продемонстрирован представителям Министерства авиации (3973).</w:t>
      </w:r>
    </w:p>
    <w:p w14:paraId="7388AA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F93969" w14:textId="77777777" w:rsidR="00F14B42" w:rsidRPr="00A259BD" w:rsidRDefault="00F14B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сентябрю 1929 года английский дирижабль R101 впервые наполнили газом и начали испытания, оказалось, что подъёмная сила недостаточна, а корабль не только перетяжелён, но и плохо сбалансирован: хвост заметно перевешивает носовую часть. Начались переделки, выбрасывание «лишних деталей» для облегчения конструкции. В частности, строители отказались от некоторых весьма полезных механизмов, вроде сервоприводов рулей направления и высоты, и пожертвовали дюжиной пассажирских кают. Пришлось заменить быстро прохудившуюся оболочку на новую. Наконец, уже готовый дирижабль разрезали пополам (поперёк) и встроили в середину дополнительную секцию длиной 14 метров с газовыми резервуарами, чтобы увеличить его грузоподъёмность. Есть мнение, что эти поспешные улучшения, вносимые на ходу, не способствовали повышению прочности и надёжности воздушного корабля.</w:t>
      </w:r>
    </w:p>
    <w:p w14:paraId="601C6641" w14:textId="77777777" w:rsidR="00F14B42" w:rsidRPr="00A259BD" w:rsidRDefault="00F14B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R101 был на тот момент ещё и самым большим дирижаблем за всю историю летательных аппаратов легче воздуха: имея равную длину с немецким LZ127 «Граф Цеппелин», построенным годом раньше (237 метров), британец нёс в себе в полтора раза больше газа – 156 тысяч кубометров против 105 тысяч у «Графа». Подъёмная сила R101 составляла 170 тонн, из которых 111 тонн – вес самой конструкции.</w:t>
      </w:r>
    </w:p>
    <w:p w14:paraId="3C8BC825" w14:textId="77777777" w:rsidR="00F14B42" w:rsidRPr="00A259BD" w:rsidRDefault="00F14B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Строители R101 работали под сильным давлением сверху: скорейший запуск пассажирских линий на дирижаблях стал делом чести для лорда Томсона – главы британского воздушного министерства и автора «Имперской дирижабельной программы». Ещё до завершения испытаний R101 началась широкая публичная кампания для привлечения внимания к идее дирижабельных сообщений с заморскими территориями. Не в последнюю очередь это было нужно и для того, чтобы склонить эти самые территории к участию в финансировании программы. Как это нередко бывает, техника стала заложницей политики – гигант R101 обязан был полететь во что бы то ни стало, возражения не принимались. Переделки и внесение изменений в конструкцию уже построенного корабля шли параллельно с «рекламными» полётами, которые одновременно были испытательными. Говорят, что и сертификат лётной годности дирижабль получил по сокращённой программе испытаний – благодаря стараниям всё того же лорда Томсона. Первый полёт R101 в Индию запланировали на начало октября 1930 года, приурочив его к очередной Имперской конференции – собранию глав правительств самоуправляемых колоний и доминионов Британской империи. Этого события ждала вся Империя – от Лондона до дальних окраин. R101 поражал воображение не только своими размерами, но и поистине королевской роскошью на борту. Его обширный пассажирский отсек имел двухпалубную компоновку. Здесь размещались небольшие столики с креслами – плетёные из прутьев зелёного тростника и обтянутые материей, а вдоль стен тянулись диваны с подушками (наполненными не чем-нибудь, а воздухом!) и столики для письма. Кстати, специально для R101 изготовили фирменную бумагу и письменные принадлежности с соответствующей символикой. С холлом соседствовал обеденный зал, вмещающий за один раз 50 человек. Готовые блюда поднимались сюда на лифте с нижней палубы, где находилась кухня. Плотные шторы цвета «кембриджский голубой» отделяли главный холл от двух прогулочных палуб, тянувшихся с обеих сторон холла вдоль бортов корабля. На ночь шторы закрывались, чтобы свет из холла не мешал пассажирам на прогулочных палубах наслаждаться ночными видами с высоты птичьего полёта. Кресла-шезлонги и перила создавали ощущение, будто находишься на палубе морского круизного лайнера. Большие окна, первоначально сделанные из стекла, в ходе борьбы за уменьшение веса дирижабля заменили более лёгкими ацетилцеллюлозными. Стены коридоров, ведущих из главного холла к пассажирским каютам, были сделаны из тонких (два миллиметра!) еловых панелей, обтянутых бело-золотой тканью. Одно-, двух- и четырёхместные спальные каюты, общим числом 50, отделялись от коридоров не дверями, а занавесками – опять же, ради уменьшения веса. В каждой из них имелся стенной светильник, стилизованный под иллюминатор со шторкой, как на морском корабле, и индивидуальные ночники при каждой койке. Конструкторы предусмотрели централизованный обогрев кают тёплым воздухом от главного радиатора. Неподалёку от кают располагались умывальные комнаты с алюминиевыми раковинами и подвешенными на проволоке длинными зеркалами. А вот в туалеты приходилось спускаться на нижнюю палубу. Внизу размещались каюты со спальными местами для экипажа – это были подвесные койки, более удобные, чем на «Графе Цеппелине», где команде нередко приходилось спать в гамаках, а также общее помещение для приёма пищи и отдыха экипажа, с большим столом и скамьями. На кухне, помимо полного набора необходимой утвари, сделанной из лёгкого алюминия, имелись электрическая плита и пароварка для овощей. Стоит отметить курительную комнату на 24 человека, стены которой были обшиты негорючим </w:t>
      </w:r>
      <w:r w:rsidRPr="00A259BD">
        <w:rPr>
          <w:rFonts w:ascii="Times New Roman" w:hAnsi="Times New Roman"/>
          <w:color w:val="000000" w:themeColor="text1"/>
          <w:sz w:val="16"/>
          <w:szCs w:val="16"/>
        </w:rPr>
        <w:lastRenderedPageBreak/>
        <w:t>асбестом. Здесь же, кроме того, находились багажное отделение, штурманское помещение и радиорубка. Отсюда же лестница вела в гондолу управления, примыкавшую к нижней палубе спереди. Наконец, с нижней палубы вдоль всего корабля вперёд, к его носовой части вёл длинный коридор, отделанный всё теми же бело-золотыми панелями. Именно по нему проходили пассажиры, впервые попадая на корабль и покидая его: посадка и высадка велись через подъёмный люк-аппарель в самом носу дирижабля и верхушку причальной мачты, к которой он пришвартовывался во время стоянки (15126).</w:t>
      </w:r>
    </w:p>
    <w:p w14:paraId="598A08EF" w14:textId="77777777" w:rsidR="00F14B42" w:rsidRPr="00A259BD" w:rsidRDefault="00F14B42" w:rsidP="009236E3">
      <w:pPr>
        <w:spacing w:after="0" w:line="240" w:lineRule="auto"/>
        <w:jc w:val="both"/>
        <w:rPr>
          <w:rFonts w:ascii="Times New Roman" w:hAnsi="Times New Roman"/>
          <w:color w:val="000000" w:themeColor="text1"/>
          <w:sz w:val="16"/>
          <w:szCs w:val="16"/>
        </w:rPr>
      </w:pPr>
    </w:p>
    <w:p w14:paraId="1F859C55" w14:textId="77777777" w:rsidR="00F14B42"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3CB24BF" w14:textId="77777777" w:rsidR="00F14B42" w:rsidRPr="00A259BD" w:rsidRDefault="00F14B4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34D9240" w14:textId="77777777" w:rsidR="00F14B42" w:rsidRPr="00A259BD" w:rsidRDefault="00F14B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сентябре-октябре 1929 </w:t>
      </w:r>
      <w:proofErr w:type="spellStart"/>
      <w:r w:rsidRPr="00A259BD">
        <w:rPr>
          <w:rFonts w:ascii="Times New Roman" w:hAnsi="Times New Roman"/>
          <w:color w:val="000000" w:themeColor="text1"/>
          <w:sz w:val="16"/>
          <w:szCs w:val="16"/>
        </w:rPr>
        <w:t>Металлстрой</w:t>
      </w:r>
      <w:proofErr w:type="spellEnd"/>
      <w:r w:rsidRPr="00A259BD">
        <w:rPr>
          <w:rFonts w:ascii="Times New Roman" w:hAnsi="Times New Roman"/>
          <w:color w:val="000000" w:themeColor="text1"/>
          <w:sz w:val="16"/>
          <w:szCs w:val="16"/>
        </w:rPr>
        <w:t xml:space="preserve"> составляет проект подготовительных работ. Предстояло очистить огромную территорию от кустарника и мелколесья, срыть бугры и холмы, засыпать овраги и ямы; разработать проекты организации строительства, подсобных предприятий и поселков; проложить к строительной площадке железнодорожные ветки от завода «Двигатель революции» Московской железной дороги; построить десятки складских помещений, бетонные заводы и мастерские, жилые дома и бараки, здания административного центра, магазины, столовые, бани; дать воду и электричество. К 1 мая </w:t>
      </w:r>
      <w:smartTag w:uri="urn:schemas-microsoft-com:office:smarttags" w:element="metricconverter">
        <w:smartTagPr>
          <w:attr w:name="ProductID" w:val="1930 г"/>
        </w:smartTagPr>
        <w:r w:rsidRPr="00A259BD">
          <w:rPr>
            <w:rFonts w:ascii="Times New Roman" w:hAnsi="Times New Roman"/>
            <w:color w:val="000000" w:themeColor="text1"/>
            <w:sz w:val="16"/>
            <w:szCs w:val="16"/>
          </w:rPr>
          <w:t>1930 г</w:t>
        </w:r>
      </w:smartTag>
      <w:r w:rsidRPr="00A259BD">
        <w:rPr>
          <w:rFonts w:ascii="Times New Roman" w:hAnsi="Times New Roman"/>
          <w:color w:val="000000" w:themeColor="text1"/>
          <w:sz w:val="16"/>
          <w:szCs w:val="16"/>
        </w:rPr>
        <w:t xml:space="preserve">., когда планировалось начать основное строительство, надо было завести лес, кирпич, гравий, цемент, рельсы и другие строительные материалы. Кроме железнодорожных линий на Оке создавался механизированный порт с причальной линией эстакады длиной в </w:t>
      </w:r>
      <w:smartTag w:uri="urn:schemas-microsoft-com:office:smarttags" w:element="metricconverter">
        <w:smartTagPr>
          <w:attr w:name="ProductID" w:val="310 м"/>
        </w:smartTagPr>
        <w:r w:rsidRPr="00A259BD">
          <w:rPr>
            <w:rFonts w:ascii="Times New Roman" w:hAnsi="Times New Roman"/>
            <w:color w:val="000000" w:themeColor="text1"/>
            <w:sz w:val="16"/>
            <w:szCs w:val="16"/>
          </w:rPr>
          <w:t>310 м</w:t>
        </w:r>
      </w:smartTag>
      <w:r w:rsidRPr="00A259BD">
        <w:rPr>
          <w:rFonts w:ascii="Times New Roman" w:hAnsi="Times New Roman"/>
          <w:color w:val="000000" w:themeColor="text1"/>
          <w:sz w:val="16"/>
          <w:szCs w:val="16"/>
        </w:rPr>
        <w:t xml:space="preserve">, пирсами и защитными ледорезами. Высококачественный проект порта и других сооружений составили инженер Б.Л. Длугач, выпускник Нижегородского инженерно-строительного института Н.П. Розанов, прораб Ф.И. </w:t>
      </w:r>
      <w:proofErr w:type="spellStart"/>
      <w:r w:rsidRPr="00A259BD">
        <w:rPr>
          <w:rFonts w:ascii="Times New Roman" w:hAnsi="Times New Roman"/>
          <w:color w:val="000000" w:themeColor="text1"/>
          <w:sz w:val="16"/>
          <w:szCs w:val="16"/>
        </w:rPr>
        <w:t>Ретунский</w:t>
      </w:r>
      <w:proofErr w:type="spellEnd"/>
      <w:r w:rsidRPr="00A259BD">
        <w:rPr>
          <w:rFonts w:ascii="Times New Roman" w:hAnsi="Times New Roman"/>
          <w:color w:val="000000" w:themeColor="text1"/>
          <w:sz w:val="16"/>
          <w:szCs w:val="16"/>
        </w:rPr>
        <w:t xml:space="preserve"> и другие специалисты. Порт соединялся со стройплощадкой железнодорожной веткой и мощенными камнем дорогами. Первоначальные ассигнования на подготовительные работы составляли 7 545 100 руб.</w:t>
      </w:r>
    </w:p>
    <w:p w14:paraId="51F05314" w14:textId="77777777" w:rsidR="00F14B42" w:rsidRPr="00A259BD" w:rsidRDefault="00F14B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указанию крайкома ВКП (б) </w:t>
      </w:r>
      <w:proofErr w:type="spellStart"/>
      <w:r w:rsidRPr="00A259BD">
        <w:rPr>
          <w:rFonts w:ascii="Times New Roman" w:hAnsi="Times New Roman"/>
          <w:color w:val="000000" w:themeColor="text1"/>
          <w:sz w:val="16"/>
          <w:szCs w:val="16"/>
        </w:rPr>
        <w:t>Автострою</w:t>
      </w:r>
      <w:proofErr w:type="spellEnd"/>
      <w:r w:rsidRPr="00A259BD">
        <w:rPr>
          <w:rFonts w:ascii="Times New Roman" w:hAnsi="Times New Roman"/>
          <w:color w:val="000000" w:themeColor="text1"/>
          <w:sz w:val="16"/>
          <w:szCs w:val="16"/>
        </w:rPr>
        <w:t xml:space="preserve"> выделялось все необходимое из средств края нередко за счет других предприятий и новостроек. Главное внимание уделялось кадрам строителей. Руководители ряда крупных заводов выделяли </w:t>
      </w:r>
      <w:proofErr w:type="spellStart"/>
      <w:r w:rsidRPr="00A259BD">
        <w:rPr>
          <w:rFonts w:ascii="Times New Roman" w:hAnsi="Times New Roman"/>
          <w:color w:val="000000" w:themeColor="text1"/>
          <w:sz w:val="16"/>
          <w:szCs w:val="16"/>
        </w:rPr>
        <w:t>Автострою</w:t>
      </w:r>
      <w:proofErr w:type="spellEnd"/>
      <w:r w:rsidRPr="00A259BD">
        <w:rPr>
          <w:rFonts w:ascii="Times New Roman" w:hAnsi="Times New Roman"/>
          <w:color w:val="000000" w:themeColor="text1"/>
          <w:sz w:val="16"/>
          <w:szCs w:val="16"/>
        </w:rPr>
        <w:t xml:space="preserve"> квалифицированных рабочих, специалистов. С бирж труда направлялись безработные, возрастал приток колхозников и единоличников из районов и национальных автономий. Первоначально прибывшие из деревень работали землекопами, грузчиками, но вскоре многие становились каменщиками, плотниками, столярами, печниками, малярами, стекольщиками (15218).</w:t>
      </w:r>
    </w:p>
    <w:p w14:paraId="0BAFF818" w14:textId="77777777" w:rsidR="00F14B42" w:rsidRPr="00A259BD" w:rsidRDefault="00F14B42" w:rsidP="009236E3">
      <w:pPr>
        <w:spacing w:after="0" w:line="240" w:lineRule="auto"/>
        <w:jc w:val="both"/>
        <w:rPr>
          <w:rFonts w:ascii="Times New Roman" w:hAnsi="Times New Roman"/>
          <w:color w:val="000000" w:themeColor="text1"/>
          <w:sz w:val="16"/>
          <w:szCs w:val="16"/>
        </w:rPr>
      </w:pPr>
    </w:p>
    <w:p w14:paraId="78CD625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7A41C71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87ECA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сентябре - октябре 1929 советская авиа</w:t>
      </w:r>
      <w:r w:rsidRPr="00A259BD">
        <w:rPr>
          <w:rFonts w:ascii="Times New Roman" w:hAnsi="Times New Roman"/>
          <w:color w:val="000000" w:themeColor="text1"/>
          <w:sz w:val="16"/>
          <w:szCs w:val="16"/>
        </w:rPr>
        <w:softHyphen/>
        <w:t>ция использовалась не слишком интен</w:t>
      </w:r>
      <w:r w:rsidRPr="00A259BD">
        <w:rPr>
          <w:rFonts w:ascii="Times New Roman" w:hAnsi="Times New Roman"/>
          <w:color w:val="000000" w:themeColor="text1"/>
          <w:sz w:val="16"/>
          <w:szCs w:val="16"/>
        </w:rPr>
        <w:softHyphen/>
        <w:t>сивно, боевые вылеты выполняли само</w:t>
      </w:r>
      <w:r w:rsidRPr="00A259BD">
        <w:rPr>
          <w:rFonts w:ascii="Times New Roman" w:hAnsi="Times New Roman"/>
          <w:color w:val="000000" w:themeColor="text1"/>
          <w:sz w:val="16"/>
          <w:szCs w:val="16"/>
        </w:rPr>
        <w:softHyphen/>
        <w:t xml:space="preserve">леты Даурской и </w:t>
      </w:r>
      <w:proofErr w:type="spellStart"/>
      <w:r w:rsidRPr="00A259BD">
        <w:rPr>
          <w:rFonts w:ascii="Times New Roman" w:hAnsi="Times New Roman"/>
          <w:color w:val="000000" w:themeColor="text1"/>
          <w:sz w:val="16"/>
          <w:szCs w:val="16"/>
        </w:rPr>
        <w:t>Гродековской</w:t>
      </w:r>
      <w:proofErr w:type="spellEnd"/>
      <w:r w:rsidRPr="00A259BD">
        <w:rPr>
          <w:rFonts w:ascii="Times New Roman" w:hAnsi="Times New Roman"/>
          <w:color w:val="000000" w:themeColor="text1"/>
          <w:sz w:val="16"/>
          <w:szCs w:val="16"/>
        </w:rPr>
        <w:t xml:space="preserve"> группи</w:t>
      </w:r>
      <w:r w:rsidRPr="00A259BD">
        <w:rPr>
          <w:rFonts w:ascii="Times New Roman" w:hAnsi="Times New Roman"/>
          <w:color w:val="000000" w:themeColor="text1"/>
          <w:sz w:val="16"/>
          <w:szCs w:val="16"/>
        </w:rPr>
        <w:softHyphen/>
        <w:t>ровки. Так, 3 сентября Даурская авиа</w:t>
      </w:r>
      <w:r w:rsidRPr="00A259BD">
        <w:rPr>
          <w:rFonts w:ascii="Times New Roman" w:hAnsi="Times New Roman"/>
          <w:color w:val="000000" w:themeColor="text1"/>
          <w:sz w:val="16"/>
          <w:szCs w:val="16"/>
        </w:rPr>
        <w:softHyphen/>
        <w:t>ция совершила отдельные полеты в районе ст. Маньчжурия - Далайнор. 7 сентября китайцы обстреляли ружей</w:t>
      </w:r>
      <w:r w:rsidRPr="00A259BD">
        <w:rPr>
          <w:rFonts w:ascii="Times New Roman" w:hAnsi="Times New Roman"/>
          <w:color w:val="000000" w:themeColor="text1"/>
          <w:sz w:val="16"/>
          <w:szCs w:val="16"/>
        </w:rPr>
        <w:softHyphen/>
        <w:t xml:space="preserve">ным огнем советский Р-1 при пролете </w:t>
      </w:r>
      <w:proofErr w:type="spellStart"/>
      <w:r w:rsidRPr="00A259BD">
        <w:rPr>
          <w:rFonts w:ascii="Times New Roman" w:hAnsi="Times New Roman"/>
          <w:color w:val="000000" w:themeColor="text1"/>
          <w:sz w:val="16"/>
          <w:szCs w:val="16"/>
        </w:rPr>
        <w:t>надлинией</w:t>
      </w:r>
      <w:proofErr w:type="spellEnd"/>
      <w:r w:rsidRPr="00A259BD">
        <w:rPr>
          <w:rFonts w:ascii="Times New Roman" w:hAnsi="Times New Roman"/>
          <w:color w:val="000000" w:themeColor="text1"/>
          <w:sz w:val="16"/>
          <w:szCs w:val="16"/>
        </w:rPr>
        <w:t xml:space="preserve"> окопов у Далайнор. Когда в тот же день они начали обстреливать другой наш самолет, также пролетав</w:t>
      </w:r>
      <w:r w:rsidRPr="00A259BD">
        <w:rPr>
          <w:rFonts w:ascii="Times New Roman" w:hAnsi="Times New Roman"/>
          <w:color w:val="000000" w:themeColor="text1"/>
          <w:sz w:val="16"/>
          <w:szCs w:val="16"/>
        </w:rPr>
        <w:softHyphen/>
        <w:t>ший над вражескими окопами, по про</w:t>
      </w:r>
      <w:r w:rsidRPr="00A259BD">
        <w:rPr>
          <w:rFonts w:ascii="Times New Roman" w:hAnsi="Times New Roman"/>
          <w:color w:val="000000" w:themeColor="text1"/>
          <w:sz w:val="16"/>
          <w:szCs w:val="16"/>
        </w:rPr>
        <w:softHyphen/>
        <w:t>тивнику открыли огонь наши пулемет</w:t>
      </w:r>
      <w:r w:rsidRPr="00A259BD">
        <w:rPr>
          <w:rFonts w:ascii="Times New Roman" w:hAnsi="Times New Roman"/>
          <w:color w:val="000000" w:themeColor="text1"/>
          <w:sz w:val="16"/>
          <w:szCs w:val="16"/>
        </w:rPr>
        <w:softHyphen/>
        <w:t>чики и артиллерия. Однако почти сразу же последовал приказ командования: без особой нужды по “</w:t>
      </w:r>
      <w:proofErr w:type="spellStart"/>
      <w:r w:rsidRPr="00A259BD">
        <w:rPr>
          <w:rFonts w:ascii="Times New Roman" w:hAnsi="Times New Roman"/>
          <w:color w:val="000000" w:themeColor="text1"/>
          <w:sz w:val="16"/>
          <w:szCs w:val="16"/>
        </w:rPr>
        <w:t>белокитайцам</w:t>
      </w:r>
      <w:proofErr w:type="spellEnd"/>
      <w:r w:rsidRPr="00A259BD">
        <w:rPr>
          <w:rFonts w:ascii="Times New Roman" w:hAnsi="Times New Roman"/>
          <w:color w:val="000000" w:themeColor="text1"/>
          <w:sz w:val="16"/>
          <w:szCs w:val="16"/>
        </w:rPr>
        <w:t>” не стрелять, чтобы не “раздувать” кон</w:t>
      </w:r>
      <w:r w:rsidRPr="00A259BD">
        <w:rPr>
          <w:rFonts w:ascii="Times New Roman" w:hAnsi="Times New Roman"/>
          <w:color w:val="000000" w:themeColor="text1"/>
          <w:sz w:val="16"/>
          <w:szCs w:val="16"/>
        </w:rPr>
        <w:softHyphen/>
        <w:t>фликт. 10 сентября в авиачастях про</w:t>
      </w:r>
      <w:r w:rsidRPr="00A259BD">
        <w:rPr>
          <w:rFonts w:ascii="Times New Roman" w:hAnsi="Times New Roman"/>
          <w:color w:val="000000" w:themeColor="text1"/>
          <w:sz w:val="16"/>
          <w:szCs w:val="16"/>
        </w:rPr>
        <w:softHyphen/>
        <w:t xml:space="preserve">вели учебные полеты со стрельбой по наземным мишеням, 15 и 20 сентября также организовали учебные полеты. Лишь 2 октября состоялись </w:t>
      </w:r>
      <w:proofErr w:type="spellStart"/>
      <w:r w:rsidRPr="00A259BD">
        <w:rPr>
          <w:rFonts w:ascii="Times New Roman" w:hAnsi="Times New Roman"/>
          <w:color w:val="000000" w:themeColor="text1"/>
          <w:sz w:val="16"/>
          <w:szCs w:val="16"/>
        </w:rPr>
        <w:t>разведпо-леты</w:t>
      </w:r>
      <w:proofErr w:type="spellEnd"/>
      <w:r w:rsidRPr="00A259BD">
        <w:rPr>
          <w:rFonts w:ascii="Times New Roman" w:hAnsi="Times New Roman"/>
          <w:color w:val="000000" w:themeColor="text1"/>
          <w:sz w:val="16"/>
          <w:szCs w:val="16"/>
        </w:rPr>
        <w:t xml:space="preserve"> в районе ст. Маньчжурия - Далай</w:t>
      </w:r>
      <w:r w:rsidRPr="00A259BD">
        <w:rPr>
          <w:rFonts w:ascii="Times New Roman" w:hAnsi="Times New Roman"/>
          <w:color w:val="000000" w:themeColor="text1"/>
          <w:sz w:val="16"/>
          <w:szCs w:val="16"/>
        </w:rPr>
        <w:softHyphen/>
        <w:t>нор. Р-1, высланный в Нерчинский за</w:t>
      </w:r>
      <w:r w:rsidRPr="00A259BD">
        <w:rPr>
          <w:rFonts w:ascii="Times New Roman" w:hAnsi="Times New Roman"/>
          <w:color w:val="000000" w:themeColor="text1"/>
          <w:sz w:val="16"/>
          <w:szCs w:val="16"/>
        </w:rPr>
        <w:softHyphen/>
        <w:t>вод, из-за нехватки горючего удач но сел на вынужденную в 50 км северо-</w:t>
      </w:r>
      <w:proofErr w:type="spellStart"/>
      <w:r w:rsidRPr="00A259BD">
        <w:rPr>
          <w:rFonts w:ascii="Times New Roman" w:hAnsi="Times New Roman"/>
          <w:color w:val="000000" w:themeColor="text1"/>
          <w:sz w:val="16"/>
          <w:szCs w:val="16"/>
        </w:rPr>
        <w:t>вос</w:t>
      </w:r>
      <w:proofErr w:type="spellEnd"/>
      <w:r w:rsidRPr="00A259BD">
        <w:rPr>
          <w:rFonts w:ascii="Times New Roman" w:hAnsi="Times New Roman"/>
          <w:color w:val="000000" w:themeColor="text1"/>
          <w:sz w:val="16"/>
          <w:szCs w:val="16"/>
        </w:rPr>
        <w:t>-точнее ст. Даурия (11216).</w:t>
      </w:r>
    </w:p>
    <w:p w14:paraId="433C4B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277B0D" w14:textId="77777777" w:rsidR="00F14B42" w:rsidRPr="00A259BD" w:rsidRDefault="00F14B42" w:rsidP="009236E3">
      <w:pPr>
        <w:pStyle w:val="a3"/>
        <w:rPr>
          <w:color w:val="000000" w:themeColor="text1"/>
          <w:lang w:val="ru-RU"/>
        </w:rPr>
      </w:pPr>
      <w:r w:rsidRPr="00A259BD">
        <w:rPr>
          <w:color w:val="000000" w:themeColor="text1"/>
          <w:lang w:val="ru-RU"/>
        </w:rPr>
        <w:t>В сентябре—октябре 1929 советская авиация использовалась не слишком интенсивно, бо</w:t>
      </w:r>
      <w:r w:rsidRPr="00A259BD">
        <w:rPr>
          <w:color w:val="000000" w:themeColor="text1"/>
          <w:lang w:val="ru-RU"/>
        </w:rPr>
        <w:softHyphen/>
        <w:t xml:space="preserve">евые вылеты выполняли самолёты Даурской и </w:t>
      </w:r>
      <w:proofErr w:type="spellStart"/>
      <w:r w:rsidRPr="00A259BD">
        <w:rPr>
          <w:color w:val="000000" w:themeColor="text1"/>
          <w:lang w:val="ru-RU"/>
        </w:rPr>
        <w:t>Гродековской</w:t>
      </w:r>
      <w:proofErr w:type="spellEnd"/>
      <w:r w:rsidRPr="00A259BD">
        <w:rPr>
          <w:color w:val="000000" w:themeColor="text1"/>
          <w:lang w:val="ru-RU"/>
        </w:rPr>
        <w:t xml:space="preserve"> группировки. Так, 3 сен</w:t>
      </w:r>
      <w:r w:rsidRPr="00A259BD">
        <w:rPr>
          <w:color w:val="000000" w:themeColor="text1"/>
          <w:lang w:val="ru-RU"/>
        </w:rPr>
        <w:softHyphen/>
        <w:t xml:space="preserve">тября Даурская авиация совершила отдельные полёты в районе ст. Маньчжурия — </w:t>
      </w:r>
      <w:proofErr w:type="spellStart"/>
      <w:r w:rsidRPr="00A259BD">
        <w:rPr>
          <w:color w:val="000000" w:themeColor="text1"/>
          <w:lang w:val="ru-RU"/>
        </w:rPr>
        <w:t>Чжалайнор</w:t>
      </w:r>
      <w:proofErr w:type="spellEnd"/>
      <w:r w:rsidRPr="00A259BD">
        <w:rPr>
          <w:color w:val="000000" w:themeColor="text1"/>
          <w:lang w:val="ru-RU"/>
        </w:rPr>
        <w:t>. 7 сентября китайцы обстреляли ружейным огнем советский Р-1 при про</w:t>
      </w:r>
      <w:r w:rsidRPr="00A259BD">
        <w:rPr>
          <w:color w:val="000000" w:themeColor="text1"/>
          <w:lang w:val="ru-RU"/>
        </w:rPr>
        <w:softHyphen/>
        <w:t xml:space="preserve">лёте над линией окопов у </w:t>
      </w:r>
      <w:proofErr w:type="spellStart"/>
      <w:r w:rsidRPr="00A259BD">
        <w:rPr>
          <w:color w:val="000000" w:themeColor="text1"/>
          <w:lang w:val="ru-RU"/>
        </w:rPr>
        <w:t>Чжалайнор</w:t>
      </w:r>
      <w:proofErr w:type="spellEnd"/>
      <w:r w:rsidRPr="00A259BD">
        <w:rPr>
          <w:color w:val="000000" w:themeColor="text1"/>
          <w:lang w:val="ru-RU"/>
        </w:rPr>
        <w:t>. Когда в тот же день они начали обстреливать другой наш самолёт, также пролетавший над вражескими окопами, по противнику от</w:t>
      </w:r>
      <w:r w:rsidRPr="00A259BD">
        <w:rPr>
          <w:color w:val="000000" w:themeColor="text1"/>
          <w:lang w:val="ru-RU"/>
        </w:rPr>
        <w:softHyphen/>
        <w:t>крыли огонь наши пулемётчики и артиллерия. Однако почти сразу же последовал при</w:t>
      </w:r>
      <w:r w:rsidRPr="00A259BD">
        <w:rPr>
          <w:color w:val="000000" w:themeColor="text1"/>
          <w:lang w:val="ru-RU"/>
        </w:rPr>
        <w:softHyphen/>
        <w:t>каз командования: без особой нужды по «</w:t>
      </w:r>
      <w:proofErr w:type="spellStart"/>
      <w:r w:rsidRPr="00A259BD">
        <w:rPr>
          <w:color w:val="000000" w:themeColor="text1"/>
          <w:lang w:val="ru-RU"/>
        </w:rPr>
        <w:t>белокитайцам</w:t>
      </w:r>
      <w:proofErr w:type="spellEnd"/>
      <w:r w:rsidRPr="00A259BD">
        <w:rPr>
          <w:color w:val="000000" w:themeColor="text1"/>
          <w:lang w:val="ru-RU"/>
        </w:rPr>
        <w:t xml:space="preserve">» не стрелять, чтобы не «раздувать» конфликт. 10 сентября в авиачастях провели учебные полёты со стрельбой по наземным мишеням, 15 и 20 сентября также организовали учебные полёты. Лишь </w:t>
      </w:r>
      <w:r w:rsidRPr="00A259BD">
        <w:rPr>
          <w:rStyle w:val="94"/>
          <w:rFonts w:ascii="Times New Roman" w:hAnsi="Times New Roman" w:cs="Times New Roman"/>
          <w:b w:val="0"/>
          <w:color w:val="000000" w:themeColor="text1"/>
          <w:spacing w:val="0"/>
          <w:sz w:val="16"/>
          <w:szCs w:val="16"/>
          <w:lang w:val="ru-RU"/>
        </w:rPr>
        <w:t>2</w:t>
      </w:r>
      <w:r w:rsidRPr="00A259BD">
        <w:rPr>
          <w:color w:val="000000" w:themeColor="text1"/>
          <w:lang w:val="ru-RU"/>
        </w:rPr>
        <w:t xml:space="preserve"> октября состоялись </w:t>
      </w:r>
      <w:proofErr w:type="spellStart"/>
      <w:r w:rsidRPr="00A259BD">
        <w:rPr>
          <w:color w:val="000000" w:themeColor="text1"/>
          <w:lang w:val="ru-RU"/>
        </w:rPr>
        <w:t>разведполёты</w:t>
      </w:r>
      <w:proofErr w:type="spellEnd"/>
      <w:r w:rsidRPr="00A259BD">
        <w:rPr>
          <w:color w:val="000000" w:themeColor="text1"/>
          <w:lang w:val="ru-RU"/>
        </w:rPr>
        <w:t xml:space="preserve"> в районе ст. Маньчжурия — </w:t>
      </w:r>
      <w:proofErr w:type="spellStart"/>
      <w:r w:rsidRPr="00A259BD">
        <w:rPr>
          <w:color w:val="000000" w:themeColor="text1"/>
          <w:lang w:val="ru-RU"/>
        </w:rPr>
        <w:t>Чжалайнор</w:t>
      </w:r>
      <w:proofErr w:type="spellEnd"/>
      <w:r w:rsidRPr="00A259BD">
        <w:rPr>
          <w:color w:val="000000" w:themeColor="text1"/>
          <w:lang w:val="ru-RU"/>
        </w:rPr>
        <w:t>. Р-1, выслан</w:t>
      </w:r>
      <w:r w:rsidRPr="00A259BD">
        <w:rPr>
          <w:color w:val="000000" w:themeColor="text1"/>
          <w:lang w:val="ru-RU"/>
        </w:rPr>
        <w:softHyphen/>
        <w:t>ный в Нерчинский завод, из-за нехватки горючего удачно сел на вынужденную в 50 км северо-восточнее ст. Даурия.</w:t>
      </w:r>
    </w:p>
    <w:p w14:paraId="34A8A0BA" w14:textId="77777777" w:rsidR="00F14B42" w:rsidRPr="00A259BD" w:rsidRDefault="00F14B42" w:rsidP="009236E3">
      <w:pPr>
        <w:pStyle w:val="a3"/>
        <w:rPr>
          <w:color w:val="000000" w:themeColor="text1"/>
          <w:lang w:val="ru-RU"/>
        </w:rPr>
      </w:pPr>
      <w:r w:rsidRPr="00A259BD">
        <w:rPr>
          <w:color w:val="000000" w:themeColor="text1"/>
          <w:lang w:val="ru-RU"/>
        </w:rPr>
        <w:t xml:space="preserve">В </w:t>
      </w:r>
      <w:proofErr w:type="spellStart"/>
      <w:r w:rsidRPr="00A259BD">
        <w:rPr>
          <w:color w:val="000000" w:themeColor="text1"/>
          <w:lang w:val="ru-RU"/>
        </w:rPr>
        <w:t>Гродековской</w:t>
      </w:r>
      <w:proofErr w:type="spellEnd"/>
      <w:r w:rsidRPr="00A259BD">
        <w:rPr>
          <w:color w:val="000000" w:themeColor="text1"/>
          <w:lang w:val="ru-RU"/>
        </w:rPr>
        <w:t xml:space="preserve"> авиационной группировке 3 сентября при возвращении с оперативно</w:t>
      </w:r>
      <w:r w:rsidRPr="00A259BD">
        <w:rPr>
          <w:color w:val="000000" w:themeColor="text1"/>
          <w:lang w:val="ru-RU"/>
        </w:rPr>
        <w:softHyphen/>
        <w:t xml:space="preserve">го задания в 2 км севернее ст. Пограничная с высоты 346,6 ружейно-пулеметным огнем </w:t>
      </w:r>
      <w:r w:rsidRPr="00A259BD">
        <w:rPr>
          <w:rStyle w:val="114"/>
          <w:rFonts w:ascii="Times New Roman" w:hAnsi="Times New Roman" w:cs="Times New Roman"/>
          <w:b w:val="0"/>
          <w:color w:val="000000" w:themeColor="text1"/>
          <w:sz w:val="16"/>
          <w:szCs w:val="16"/>
          <w:lang w:val="ru-RU"/>
        </w:rPr>
        <w:t>был</w:t>
      </w:r>
      <w:r w:rsidRPr="00A259BD">
        <w:rPr>
          <w:color w:val="000000" w:themeColor="text1"/>
          <w:lang w:val="ru-RU"/>
        </w:rPr>
        <w:t xml:space="preserve"> обстрелян самолёт 19-го авиаотряда. 8 сентября в 2-00 по местному времени там же произошел крупный бой наземных войск с участием авиации.</w:t>
      </w:r>
    </w:p>
    <w:p w14:paraId="442AD4EA" w14:textId="77777777" w:rsidR="00F14B42" w:rsidRPr="00A259BD" w:rsidRDefault="00F14B42" w:rsidP="009236E3">
      <w:pPr>
        <w:pStyle w:val="a3"/>
        <w:rPr>
          <w:color w:val="000000" w:themeColor="text1"/>
          <w:lang w:val="ru-RU"/>
        </w:rPr>
      </w:pPr>
      <w:r w:rsidRPr="00A259BD">
        <w:rPr>
          <w:color w:val="000000" w:themeColor="text1"/>
          <w:lang w:val="ru-RU"/>
        </w:rPr>
        <w:t>Как следует из дополнения к оперсводке, китайцы в 2-00 открыли ружейно-пулемёт</w:t>
      </w:r>
      <w:r w:rsidRPr="00A259BD">
        <w:rPr>
          <w:rStyle w:val="114"/>
          <w:rFonts w:ascii="Times New Roman" w:hAnsi="Times New Roman" w:cs="Times New Roman"/>
          <w:b w:val="0"/>
          <w:color w:val="000000" w:themeColor="text1"/>
          <w:sz w:val="16"/>
          <w:szCs w:val="16"/>
          <w:lang w:val="ru-RU"/>
        </w:rPr>
        <w:t>ный</w:t>
      </w:r>
      <w:r w:rsidRPr="00A259BD">
        <w:rPr>
          <w:color w:val="000000" w:themeColor="text1"/>
          <w:lang w:val="ru-RU"/>
        </w:rPr>
        <w:t xml:space="preserve"> огонь по нашему охранению и выпустили три снаряда, они почему-то не разорвались. Причиной обстрела могло стать крушение пассажирского поезда на перегоне </w:t>
      </w:r>
      <w:proofErr w:type="spellStart"/>
      <w:r w:rsidRPr="00A259BD">
        <w:rPr>
          <w:color w:val="000000" w:themeColor="text1"/>
          <w:lang w:val="ru-RU"/>
        </w:rPr>
        <w:t>Бадахеза</w:t>
      </w:r>
      <w:proofErr w:type="spellEnd"/>
      <w:r w:rsidRPr="00A259BD">
        <w:rPr>
          <w:color w:val="000000" w:themeColor="text1"/>
          <w:lang w:val="ru-RU"/>
        </w:rPr>
        <w:t xml:space="preserve"> | — Пограничная 7 сентября в 21-00. Позже разведчики лично убедились, что поезд дей- </w:t>
      </w:r>
      <w:r w:rsidRPr="00A259BD">
        <w:rPr>
          <w:rStyle w:val="Candara"/>
          <w:rFonts w:ascii="Times New Roman" w:hAnsi="Times New Roman" w:cs="Times New Roman"/>
          <w:b w:val="0"/>
          <w:color w:val="000000" w:themeColor="text1"/>
          <w:sz w:val="16"/>
          <w:szCs w:val="16"/>
        </w:rPr>
        <w:t>I</w:t>
      </w:r>
      <w:r w:rsidRPr="00A259BD">
        <w:rPr>
          <w:color w:val="000000" w:themeColor="text1"/>
          <w:lang w:val="ru-RU"/>
        </w:rPr>
        <w:t xml:space="preserve"> </w:t>
      </w:r>
      <w:proofErr w:type="spellStart"/>
      <w:r w:rsidRPr="00A259BD">
        <w:rPr>
          <w:color w:val="000000" w:themeColor="text1"/>
          <w:lang w:val="ru-RU"/>
        </w:rPr>
        <w:t>ствительно</w:t>
      </w:r>
      <w:proofErr w:type="spellEnd"/>
      <w:r w:rsidRPr="00A259BD">
        <w:rPr>
          <w:color w:val="000000" w:themeColor="text1"/>
          <w:lang w:val="ru-RU"/>
        </w:rPr>
        <w:t xml:space="preserve"> упал с насыпи под откос, но что явилось причиной крушения — не сообщали.</w:t>
      </w:r>
    </w:p>
    <w:p w14:paraId="3A36EA94" w14:textId="77777777" w:rsidR="00F14B42" w:rsidRPr="00A259BD" w:rsidRDefault="00F14B42" w:rsidP="009236E3">
      <w:pPr>
        <w:pStyle w:val="a3"/>
        <w:rPr>
          <w:color w:val="000000" w:themeColor="text1"/>
          <w:lang w:val="ru-RU"/>
        </w:rPr>
      </w:pPr>
      <w:r w:rsidRPr="00A259BD">
        <w:rPr>
          <w:color w:val="000000" w:themeColor="text1"/>
          <w:lang w:val="ru-RU"/>
        </w:rPr>
        <w:t>В ответ на огонь с китай</w:t>
      </w:r>
      <w:r w:rsidRPr="00A259BD">
        <w:rPr>
          <w:color w:val="000000" w:themeColor="text1"/>
          <w:lang w:val="ru-RU"/>
        </w:rPr>
        <w:softHyphen/>
        <w:t>ской стороны наше охране</w:t>
      </w:r>
      <w:r w:rsidRPr="00A259BD">
        <w:rPr>
          <w:color w:val="000000" w:themeColor="text1"/>
          <w:lang w:val="ru-RU"/>
        </w:rPr>
        <w:softHyphen/>
        <w:t>ние тоже нача</w:t>
      </w:r>
      <w:r w:rsidRPr="00A259BD">
        <w:rPr>
          <w:color w:val="000000" w:themeColor="text1"/>
          <w:lang w:val="ru-RU"/>
        </w:rPr>
        <w:softHyphen/>
        <w:t>ло стрельбу, однако в отли</w:t>
      </w:r>
      <w:r w:rsidRPr="00A259BD">
        <w:rPr>
          <w:color w:val="000000" w:themeColor="text1"/>
          <w:lang w:val="ru-RU"/>
        </w:rPr>
        <w:softHyphen/>
        <w:t>чие от преды</w:t>
      </w:r>
      <w:r w:rsidRPr="00A259BD">
        <w:rPr>
          <w:color w:val="000000" w:themeColor="text1"/>
          <w:lang w:val="ru-RU"/>
        </w:rPr>
        <w:softHyphen/>
        <w:t>дущих пере</w:t>
      </w:r>
      <w:r w:rsidRPr="00A259BD">
        <w:rPr>
          <w:color w:val="000000" w:themeColor="text1"/>
          <w:lang w:val="ru-RU"/>
        </w:rPr>
        <w:softHyphen/>
        <w:t>стрелок китай</w:t>
      </w:r>
      <w:r w:rsidRPr="00A259BD">
        <w:rPr>
          <w:color w:val="000000" w:themeColor="text1"/>
          <w:lang w:val="ru-RU"/>
        </w:rPr>
        <w:softHyphen/>
        <w:t>цы огонь не</w:t>
      </w:r>
      <w:r w:rsidRPr="00A259BD">
        <w:rPr>
          <w:rStyle w:val="5b"/>
          <w:rFonts w:ascii="Times New Roman" w:hAnsi="Times New Roman" w:cs="Times New Roman"/>
          <w:bCs/>
          <w:color w:val="000000" w:themeColor="text1"/>
          <w:sz w:val="16"/>
          <w:szCs w:val="16"/>
          <w:lang w:val="ru-RU"/>
        </w:rPr>
        <w:t xml:space="preserve"> прекратили.</w:t>
      </w:r>
    </w:p>
    <w:p w14:paraId="67D1F3E0" w14:textId="77777777" w:rsidR="00F14B42" w:rsidRPr="00A259BD" w:rsidRDefault="00F14B42" w:rsidP="009236E3">
      <w:pPr>
        <w:pStyle w:val="a3"/>
        <w:rPr>
          <w:color w:val="000000" w:themeColor="text1"/>
          <w:lang w:val="ru-RU"/>
        </w:rPr>
      </w:pPr>
      <w:r w:rsidRPr="00A259BD">
        <w:rPr>
          <w:color w:val="000000" w:themeColor="text1"/>
          <w:lang w:val="ru-RU"/>
        </w:rPr>
        <w:t>В 6-00 о боестолкновении донесли командарму В. К. Блюхеру, и спустя час последовал приказ: «Силь</w:t>
      </w:r>
      <w:r w:rsidRPr="00A259BD">
        <w:rPr>
          <w:color w:val="000000" w:themeColor="text1"/>
          <w:lang w:val="ru-RU"/>
        </w:rPr>
        <w:softHyphen/>
        <w:t>ным, но коротким шквалом артогня обстрелять один—два наиболее насыщенных района кит[</w:t>
      </w:r>
      <w:proofErr w:type="spellStart"/>
      <w:r w:rsidRPr="00A259BD">
        <w:rPr>
          <w:color w:val="000000" w:themeColor="text1"/>
          <w:lang w:val="ru-RU"/>
        </w:rPr>
        <w:t>айских</w:t>
      </w:r>
      <w:proofErr w:type="spellEnd"/>
      <w:r w:rsidRPr="00A259BD">
        <w:rPr>
          <w:color w:val="000000" w:themeColor="text1"/>
          <w:lang w:val="ru-RU"/>
        </w:rPr>
        <w:t>] окопов, причем не допускать обстрела Пограничной и не переходить границу...»</w:t>
      </w:r>
    </w:p>
    <w:p w14:paraId="7C85B67B" w14:textId="77777777" w:rsidR="00F14B42" w:rsidRPr="00A259BD" w:rsidRDefault="00F14B42" w:rsidP="009236E3">
      <w:pPr>
        <w:pStyle w:val="a3"/>
        <w:rPr>
          <w:color w:val="000000" w:themeColor="text1"/>
          <w:lang w:val="ru-RU"/>
        </w:rPr>
      </w:pPr>
      <w:r w:rsidRPr="00A259BD">
        <w:rPr>
          <w:color w:val="000000" w:themeColor="text1"/>
          <w:lang w:val="ru-RU"/>
        </w:rPr>
        <w:t>Пока приказ Командующего дошел до командира 1-й дивизии, он «проявил инициати</w:t>
      </w:r>
      <w:r w:rsidRPr="00A259BD">
        <w:rPr>
          <w:color w:val="000000" w:themeColor="text1"/>
          <w:lang w:val="ru-RU"/>
        </w:rPr>
        <w:softHyphen/>
        <w:t>ву», послав самолёты бомбить позиции противника и ст. Пограничная. Около 7-00 пятёр</w:t>
      </w:r>
      <w:r w:rsidRPr="00A259BD">
        <w:rPr>
          <w:color w:val="000000" w:themeColor="text1"/>
          <w:lang w:val="ru-RU"/>
        </w:rPr>
        <w:softHyphen/>
        <w:t>ка Р-1 сбросила бомбы на передовые окопы и станцию, повредив три пути. Артилле</w:t>
      </w:r>
      <w:r w:rsidRPr="00A259BD">
        <w:rPr>
          <w:color w:val="000000" w:themeColor="text1"/>
          <w:lang w:val="ru-RU"/>
        </w:rPr>
        <w:softHyphen/>
        <w:t>рийские наблюдатели засекли разрывы бомб между эшелонами, там возник большой пожар — загорелся эшелон с боеприпасами. Отмечено также, что при бомбёжке китай</w:t>
      </w:r>
      <w:r w:rsidRPr="00A259BD">
        <w:rPr>
          <w:color w:val="000000" w:themeColor="text1"/>
          <w:lang w:val="ru-RU"/>
        </w:rPr>
        <w:softHyphen/>
        <w:t>ские солдаты в панике убегали даже из блиндажей. Позже выяснилось, что паника воз</w:t>
      </w:r>
      <w:r w:rsidRPr="00A259BD">
        <w:rPr>
          <w:color w:val="000000" w:themeColor="text1"/>
          <w:lang w:val="ru-RU"/>
        </w:rPr>
        <w:softHyphen/>
        <w:t>никла не только на Пограничной, но и на соседней ст. Мулино. В оперсводке также отмечалось, что бомбардировкой и артиллерийским огнём с нашей стороны «приведе</w:t>
      </w:r>
      <w:r w:rsidRPr="00A259BD">
        <w:rPr>
          <w:color w:val="000000" w:themeColor="text1"/>
          <w:lang w:val="ru-RU"/>
        </w:rPr>
        <w:softHyphen/>
        <w:t>ны в молчание» (т.е. подавлены) бронепоезда, бомбомёты и батарея. Все попытки китай</w:t>
      </w:r>
      <w:r w:rsidRPr="00A259BD">
        <w:rPr>
          <w:color w:val="000000" w:themeColor="text1"/>
          <w:lang w:val="ru-RU"/>
        </w:rPr>
        <w:softHyphen/>
        <w:t xml:space="preserve">цев вести ответный ружейно-пулемётный огонь и </w:t>
      </w:r>
      <w:proofErr w:type="spellStart"/>
      <w:r w:rsidRPr="00A259BD">
        <w:rPr>
          <w:color w:val="000000" w:themeColor="text1"/>
          <w:lang w:val="ru-RU"/>
        </w:rPr>
        <w:t>артстрельбу</w:t>
      </w:r>
      <w:proofErr w:type="spellEnd"/>
      <w:r w:rsidRPr="00A259BD">
        <w:rPr>
          <w:color w:val="000000" w:themeColor="text1"/>
          <w:lang w:val="ru-RU"/>
        </w:rPr>
        <w:t xml:space="preserve"> силами одной батареи успеха не имели. Неизвестно, отметил ли Блюхер инициативу комдива и если да, то как.</w:t>
      </w:r>
    </w:p>
    <w:p w14:paraId="30B69248" w14:textId="77777777" w:rsidR="00F14B42" w:rsidRPr="00A259BD" w:rsidRDefault="00F14B42" w:rsidP="009236E3">
      <w:pPr>
        <w:pStyle w:val="a3"/>
        <w:rPr>
          <w:color w:val="000000" w:themeColor="text1"/>
          <w:lang w:val="ru-RU"/>
        </w:rPr>
      </w:pPr>
      <w:r w:rsidRPr="00A259BD">
        <w:rPr>
          <w:color w:val="000000" w:themeColor="text1"/>
          <w:lang w:val="ru-RU"/>
        </w:rPr>
        <w:t xml:space="preserve">Через день, 10 сентября три Р-1 19-го </w:t>
      </w:r>
      <w:proofErr w:type="spellStart"/>
      <w:r w:rsidRPr="00A259BD">
        <w:rPr>
          <w:color w:val="000000" w:themeColor="text1"/>
          <w:lang w:val="ru-RU"/>
        </w:rPr>
        <w:t>ао</w:t>
      </w:r>
      <w:proofErr w:type="spellEnd"/>
      <w:r w:rsidRPr="00A259BD">
        <w:rPr>
          <w:color w:val="000000" w:themeColor="text1"/>
          <w:lang w:val="ru-RU"/>
        </w:rPr>
        <w:t xml:space="preserve"> с 4-00 до 5-00 проводили разведку в рай</w:t>
      </w:r>
      <w:r w:rsidRPr="00A259BD">
        <w:rPr>
          <w:color w:val="000000" w:themeColor="text1"/>
          <w:lang w:val="ru-RU"/>
        </w:rPr>
        <w:softHyphen/>
        <w:t>оне Пограничной. 12 сентября авиации поставили задачу обнаружить банду Мохова, од</w:t>
      </w:r>
      <w:r w:rsidRPr="00A259BD">
        <w:rPr>
          <w:color w:val="000000" w:themeColor="text1"/>
          <w:lang w:val="ru-RU"/>
        </w:rPr>
        <w:softHyphen/>
        <w:t xml:space="preserve">нако летавшие на разведку в район разъезда </w:t>
      </w:r>
      <w:proofErr w:type="spellStart"/>
      <w:r w:rsidRPr="00A259BD">
        <w:rPr>
          <w:color w:val="000000" w:themeColor="text1"/>
          <w:lang w:val="ru-RU"/>
        </w:rPr>
        <w:t>Кноринг</w:t>
      </w:r>
      <w:proofErr w:type="spellEnd"/>
      <w:r w:rsidRPr="00A259BD">
        <w:rPr>
          <w:color w:val="000000" w:themeColor="text1"/>
          <w:lang w:val="ru-RU"/>
        </w:rPr>
        <w:t xml:space="preserve"> и ст. </w:t>
      </w:r>
      <w:proofErr w:type="spellStart"/>
      <w:r w:rsidRPr="00A259BD">
        <w:rPr>
          <w:color w:val="000000" w:themeColor="text1"/>
          <w:lang w:val="ru-RU"/>
        </w:rPr>
        <w:t>Манзовка</w:t>
      </w:r>
      <w:proofErr w:type="spellEnd"/>
      <w:r w:rsidRPr="00A259BD">
        <w:rPr>
          <w:color w:val="000000" w:themeColor="text1"/>
          <w:lang w:val="ru-RU"/>
        </w:rPr>
        <w:t xml:space="preserve">, Хорольское и </w:t>
      </w:r>
      <w:proofErr w:type="spellStart"/>
      <w:r w:rsidRPr="00A259BD">
        <w:rPr>
          <w:color w:val="000000" w:themeColor="text1"/>
          <w:lang w:val="ru-RU"/>
        </w:rPr>
        <w:t>Стардевица</w:t>
      </w:r>
      <w:proofErr w:type="spellEnd"/>
      <w:r w:rsidRPr="00A259BD">
        <w:rPr>
          <w:color w:val="000000" w:themeColor="text1"/>
          <w:lang w:val="ru-RU"/>
        </w:rPr>
        <w:t xml:space="preserve"> самолёты никаких следов бандитов не обнаружили. 15 сентября провели авиаразведку района Пограничная — </w:t>
      </w:r>
      <w:proofErr w:type="spellStart"/>
      <w:r w:rsidRPr="00A259BD">
        <w:rPr>
          <w:color w:val="000000" w:themeColor="text1"/>
          <w:lang w:val="ru-RU"/>
        </w:rPr>
        <w:t>Сочнево</w:t>
      </w:r>
      <w:proofErr w:type="spellEnd"/>
      <w:r w:rsidRPr="00A259BD">
        <w:rPr>
          <w:color w:val="000000" w:themeColor="text1"/>
          <w:lang w:val="ru-RU"/>
        </w:rPr>
        <w:t xml:space="preserve"> — Мулин. 20 сентября, с 9-00 до 14-00 вы</w:t>
      </w:r>
      <w:r w:rsidRPr="00A259BD">
        <w:rPr>
          <w:color w:val="000000" w:themeColor="text1"/>
          <w:lang w:val="ru-RU"/>
        </w:rPr>
        <w:softHyphen/>
        <w:t xml:space="preserve">полнялись полёты в район Пограничной с оперативными заданиями. 26 сентября на разведку в район Мишань — Мулин вылетали четыре самолёта 40-й </w:t>
      </w:r>
      <w:proofErr w:type="spellStart"/>
      <w:r w:rsidRPr="00A259BD">
        <w:rPr>
          <w:color w:val="000000" w:themeColor="text1"/>
          <w:lang w:val="ru-RU"/>
        </w:rPr>
        <w:t>аэ</w:t>
      </w:r>
      <w:proofErr w:type="spellEnd"/>
      <w:r w:rsidRPr="00A259BD">
        <w:rPr>
          <w:color w:val="000000" w:themeColor="text1"/>
          <w:lang w:val="ru-RU"/>
        </w:rPr>
        <w:t xml:space="preserve">. 3 октября звено 40-й </w:t>
      </w:r>
      <w:proofErr w:type="spellStart"/>
      <w:r w:rsidRPr="00A259BD">
        <w:rPr>
          <w:color w:val="000000" w:themeColor="text1"/>
          <w:lang w:val="ru-RU"/>
        </w:rPr>
        <w:t>аэ</w:t>
      </w:r>
      <w:proofErr w:type="spellEnd"/>
      <w:r w:rsidRPr="00A259BD">
        <w:rPr>
          <w:color w:val="000000" w:themeColor="text1"/>
          <w:lang w:val="ru-RU"/>
        </w:rPr>
        <w:t xml:space="preserve"> провело авиаразведку района Турий рог, погранпост 25, Дворянка, Рыболов.</w:t>
      </w:r>
    </w:p>
    <w:p w14:paraId="6716A8E6" w14:textId="77777777" w:rsidR="00F14B42" w:rsidRPr="00A259BD" w:rsidRDefault="00F14B42" w:rsidP="009236E3">
      <w:pPr>
        <w:pStyle w:val="a3"/>
        <w:rPr>
          <w:color w:val="000000" w:themeColor="text1"/>
          <w:lang w:val="ru-RU"/>
        </w:rPr>
      </w:pPr>
      <w:r w:rsidRPr="00A259BD">
        <w:rPr>
          <w:color w:val="000000" w:themeColor="text1"/>
          <w:lang w:val="ru-RU"/>
        </w:rPr>
        <w:t xml:space="preserve">Сведений о боевых действиях авиации </w:t>
      </w:r>
      <w:proofErr w:type="spellStart"/>
      <w:r w:rsidRPr="00A259BD">
        <w:rPr>
          <w:color w:val="000000" w:themeColor="text1"/>
          <w:lang w:val="ru-RU"/>
        </w:rPr>
        <w:t>Сунгарийской</w:t>
      </w:r>
      <w:proofErr w:type="spellEnd"/>
      <w:r w:rsidRPr="00A259BD">
        <w:rPr>
          <w:color w:val="000000" w:themeColor="text1"/>
          <w:lang w:val="ru-RU"/>
        </w:rPr>
        <w:t xml:space="preserve"> группировки в оперсводках практически нет, за исключением авиаразведки и фотосъёмки района </w:t>
      </w:r>
      <w:proofErr w:type="spellStart"/>
      <w:r w:rsidRPr="00A259BD">
        <w:rPr>
          <w:color w:val="000000" w:themeColor="text1"/>
          <w:lang w:val="ru-RU"/>
        </w:rPr>
        <w:t>Сахаляна</w:t>
      </w:r>
      <w:proofErr w:type="spellEnd"/>
      <w:r w:rsidRPr="00A259BD">
        <w:rPr>
          <w:color w:val="000000" w:themeColor="text1"/>
          <w:lang w:val="ru-RU"/>
        </w:rPr>
        <w:t>, вы</w:t>
      </w:r>
      <w:r w:rsidRPr="00A259BD">
        <w:rPr>
          <w:color w:val="000000" w:themeColor="text1"/>
          <w:lang w:val="ru-RU"/>
        </w:rPr>
        <w:softHyphen/>
        <w:t xml:space="preserve">полненного 7 сентября двумя гидросамолетами МР-1 из 68-го </w:t>
      </w:r>
      <w:proofErr w:type="spellStart"/>
      <w:r w:rsidRPr="00A259BD">
        <w:rPr>
          <w:color w:val="000000" w:themeColor="text1"/>
          <w:lang w:val="ru-RU"/>
        </w:rPr>
        <w:t>оао</w:t>
      </w:r>
      <w:proofErr w:type="spellEnd"/>
      <w:r w:rsidRPr="00A259BD">
        <w:rPr>
          <w:color w:val="000000" w:themeColor="text1"/>
          <w:lang w:val="ru-RU"/>
        </w:rPr>
        <w:t>. Вылетев с базы 7 сентября в 10-00, они вернулись в Благовещенск 8 сентября в 12-00 (15820).</w:t>
      </w:r>
    </w:p>
    <w:p w14:paraId="6B5A6A1A" w14:textId="77777777" w:rsidR="00F14B42" w:rsidRPr="00A259BD" w:rsidRDefault="00F14B42" w:rsidP="009236E3">
      <w:pPr>
        <w:pStyle w:val="a3"/>
        <w:rPr>
          <w:color w:val="000000" w:themeColor="text1"/>
          <w:lang w:val="ru-RU"/>
        </w:rPr>
      </w:pPr>
    </w:p>
    <w:p w14:paraId="06A54C8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E758BD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839F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осени 1929 завод 22, который начал серию И-4 (АНТ-5) в июне, смог изготовить всего 2 машины. Получились перетяжеленными из-за низкой культуры производства (4338,17).</w:t>
      </w:r>
    </w:p>
    <w:p w14:paraId="2A90F2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AD7BDA" w14:textId="77777777" w:rsidR="000B7F61" w:rsidRPr="00A259BD" w:rsidRDefault="000B7F6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Осенью 1929 до наступления холодов и ненаст</w:t>
      </w:r>
      <w:r w:rsidRPr="00A259BD">
        <w:rPr>
          <w:rFonts w:ascii="Times New Roman" w:hAnsi="Times New Roman"/>
          <w:color w:val="000000" w:themeColor="text1"/>
          <w:sz w:val="16"/>
          <w:szCs w:val="16"/>
        </w:rPr>
        <w:softHyphen/>
        <w:t>ной погоды Ширинкин и Бухгольц совмест</w:t>
      </w:r>
      <w:r w:rsidRPr="00A259BD">
        <w:rPr>
          <w:rFonts w:ascii="Times New Roman" w:hAnsi="Times New Roman"/>
          <w:color w:val="000000" w:themeColor="text1"/>
          <w:sz w:val="16"/>
          <w:szCs w:val="16"/>
        </w:rPr>
        <w:softHyphen/>
        <w:t>но со строевыми пилотами стремились нале</w:t>
      </w:r>
      <w:r w:rsidRPr="00A259BD">
        <w:rPr>
          <w:rFonts w:ascii="Times New Roman" w:hAnsi="Times New Roman"/>
          <w:color w:val="000000" w:themeColor="text1"/>
          <w:sz w:val="16"/>
          <w:szCs w:val="16"/>
        </w:rPr>
        <w:softHyphen/>
        <w:t>тать на И-3 как можно больше часов с целью выявления особенностей его эксплуатации.</w:t>
      </w:r>
    </w:p>
    <w:p w14:paraId="3B750CEC" w14:textId="77777777" w:rsidR="000B7F61" w:rsidRPr="00A259BD" w:rsidRDefault="000B7F6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итоговых выводах, подготовленных по результатам проведенных войсковых испы</w:t>
      </w:r>
      <w:r w:rsidRPr="00A259BD">
        <w:rPr>
          <w:rFonts w:ascii="Times New Roman" w:hAnsi="Times New Roman"/>
          <w:color w:val="000000" w:themeColor="text1"/>
          <w:sz w:val="16"/>
          <w:szCs w:val="16"/>
        </w:rPr>
        <w:softHyphen/>
        <w:t>таний, далее предлагалось установить разрез</w:t>
      </w:r>
      <w:r w:rsidRPr="00A259BD">
        <w:rPr>
          <w:rFonts w:ascii="Times New Roman" w:hAnsi="Times New Roman"/>
          <w:color w:val="000000" w:themeColor="text1"/>
          <w:sz w:val="16"/>
          <w:szCs w:val="16"/>
        </w:rPr>
        <w:softHyphen/>
        <w:t>ные элероны, увеличить высоту шасси, изме</w:t>
      </w:r>
      <w:r w:rsidRPr="00A259BD">
        <w:rPr>
          <w:rFonts w:ascii="Times New Roman" w:hAnsi="Times New Roman"/>
          <w:color w:val="000000" w:themeColor="text1"/>
          <w:sz w:val="16"/>
          <w:szCs w:val="16"/>
        </w:rPr>
        <w:softHyphen/>
        <w:t>нить приборное оборудование, повысить эф</w:t>
      </w:r>
      <w:r w:rsidRPr="00A259BD">
        <w:rPr>
          <w:rFonts w:ascii="Times New Roman" w:hAnsi="Times New Roman"/>
          <w:color w:val="000000" w:themeColor="text1"/>
          <w:sz w:val="16"/>
          <w:szCs w:val="16"/>
        </w:rPr>
        <w:softHyphen/>
        <w:t>фективность хвостового оперения. Основ</w:t>
      </w:r>
      <w:r w:rsidRPr="00A259BD">
        <w:rPr>
          <w:rFonts w:ascii="Times New Roman" w:hAnsi="Times New Roman"/>
          <w:color w:val="000000" w:themeColor="text1"/>
          <w:sz w:val="16"/>
          <w:szCs w:val="16"/>
        </w:rPr>
        <w:softHyphen/>
        <w:t>ным, среди прочих, стало требование по усо</w:t>
      </w:r>
      <w:r w:rsidRPr="00A259BD">
        <w:rPr>
          <w:rFonts w:ascii="Times New Roman" w:hAnsi="Times New Roman"/>
          <w:color w:val="000000" w:themeColor="text1"/>
          <w:sz w:val="16"/>
          <w:szCs w:val="16"/>
        </w:rPr>
        <w:softHyphen/>
        <w:t>вершенствованию горизонтального опере</w:t>
      </w:r>
      <w:r w:rsidRPr="00A259BD">
        <w:rPr>
          <w:rFonts w:ascii="Times New Roman" w:hAnsi="Times New Roman"/>
          <w:color w:val="000000" w:themeColor="text1"/>
          <w:sz w:val="16"/>
          <w:szCs w:val="16"/>
        </w:rPr>
        <w:softHyphen/>
        <w:t xml:space="preserve">ния - его, как </w:t>
      </w:r>
      <w:proofErr w:type="spellStart"/>
      <w:r w:rsidRPr="00A259BD">
        <w:rPr>
          <w:rFonts w:ascii="Times New Roman" w:hAnsi="Times New Roman"/>
          <w:color w:val="000000" w:themeColor="text1"/>
          <w:sz w:val="16"/>
          <w:szCs w:val="16"/>
        </w:rPr>
        <w:t>выражалисьлетчики</w:t>
      </w:r>
      <w:proofErr w:type="spellEnd"/>
      <w:r w:rsidRPr="00A259BD">
        <w:rPr>
          <w:rFonts w:ascii="Times New Roman" w:hAnsi="Times New Roman"/>
          <w:color w:val="000000" w:themeColor="text1"/>
          <w:sz w:val="16"/>
          <w:szCs w:val="16"/>
        </w:rPr>
        <w:t>, не хвата</w:t>
      </w:r>
      <w:r w:rsidRPr="00A259BD">
        <w:rPr>
          <w:rFonts w:ascii="Times New Roman" w:hAnsi="Times New Roman"/>
          <w:color w:val="000000" w:themeColor="text1"/>
          <w:sz w:val="16"/>
          <w:szCs w:val="16"/>
        </w:rPr>
        <w:softHyphen/>
        <w:t>ло, особенно на посадке. Выполнить требо</w:t>
      </w:r>
      <w:r w:rsidRPr="00A259BD">
        <w:rPr>
          <w:rFonts w:ascii="Times New Roman" w:hAnsi="Times New Roman"/>
          <w:color w:val="000000" w:themeColor="text1"/>
          <w:sz w:val="16"/>
          <w:szCs w:val="16"/>
        </w:rPr>
        <w:softHyphen/>
        <w:t>вание оказалось непросто, ибо на все само</w:t>
      </w:r>
      <w:r w:rsidRPr="00A259BD">
        <w:rPr>
          <w:rFonts w:ascii="Times New Roman" w:hAnsi="Times New Roman"/>
          <w:color w:val="000000" w:themeColor="text1"/>
          <w:sz w:val="16"/>
          <w:szCs w:val="16"/>
        </w:rPr>
        <w:softHyphen/>
        <w:t>леты выпуска 1929 года комплекты хвостового оперения уже изготовили. Кроме того, И-3 прошел испытания в НИИ ВВС и был офи</w:t>
      </w:r>
      <w:r w:rsidRPr="00A259BD">
        <w:rPr>
          <w:rFonts w:ascii="Times New Roman" w:hAnsi="Times New Roman"/>
          <w:color w:val="000000" w:themeColor="text1"/>
          <w:sz w:val="16"/>
          <w:szCs w:val="16"/>
        </w:rPr>
        <w:softHyphen/>
        <w:t>циально принят госприемкой. А причин воз</w:t>
      </w:r>
      <w:r w:rsidRPr="00A259BD">
        <w:rPr>
          <w:rFonts w:ascii="Times New Roman" w:hAnsi="Times New Roman"/>
          <w:color w:val="000000" w:themeColor="text1"/>
          <w:sz w:val="16"/>
          <w:szCs w:val="16"/>
        </w:rPr>
        <w:softHyphen/>
        <w:t>никновения столь трудноразрешимой ситу</w:t>
      </w:r>
      <w:r w:rsidRPr="00A259BD">
        <w:rPr>
          <w:rFonts w:ascii="Times New Roman" w:hAnsi="Times New Roman"/>
          <w:color w:val="000000" w:themeColor="text1"/>
          <w:sz w:val="16"/>
          <w:szCs w:val="16"/>
        </w:rPr>
        <w:softHyphen/>
        <w:t>ации оказалось несколько. В частности, ме</w:t>
      </w:r>
      <w:r w:rsidRPr="00A259BD">
        <w:rPr>
          <w:rFonts w:ascii="Times New Roman" w:hAnsi="Times New Roman"/>
          <w:color w:val="000000" w:themeColor="text1"/>
          <w:sz w:val="16"/>
          <w:szCs w:val="16"/>
        </w:rPr>
        <w:softHyphen/>
        <w:t>тодика летных испытаний и оценки новых летательных аппаратов только отрабатыва</w:t>
      </w:r>
      <w:r w:rsidRPr="00A259BD">
        <w:rPr>
          <w:rFonts w:ascii="Times New Roman" w:hAnsi="Times New Roman"/>
          <w:color w:val="000000" w:themeColor="text1"/>
          <w:sz w:val="16"/>
          <w:szCs w:val="16"/>
        </w:rPr>
        <w:softHyphen/>
        <w:t>лась и была далека от совершенства. Что ка</w:t>
      </w:r>
      <w:r w:rsidRPr="00A259BD">
        <w:rPr>
          <w:rFonts w:ascii="Times New Roman" w:hAnsi="Times New Roman"/>
          <w:color w:val="000000" w:themeColor="text1"/>
          <w:sz w:val="16"/>
          <w:szCs w:val="16"/>
        </w:rPr>
        <w:softHyphen/>
        <w:t>сается самих летчиков-испытателей, то они в большинстве своем привыкли летать на чем угодно, причем чаше на далеко не лучших образцах. Всякий новый самолет, обладаю</w:t>
      </w:r>
      <w:r w:rsidRPr="00A259BD">
        <w:rPr>
          <w:rFonts w:ascii="Times New Roman" w:hAnsi="Times New Roman"/>
          <w:color w:val="000000" w:themeColor="text1"/>
          <w:sz w:val="16"/>
          <w:szCs w:val="16"/>
        </w:rPr>
        <w:softHyphen/>
        <w:t>щий какими-либо достоинствами, ими вос</w:t>
      </w:r>
      <w:r w:rsidRPr="00A259BD">
        <w:rPr>
          <w:rFonts w:ascii="Times New Roman" w:hAnsi="Times New Roman"/>
          <w:color w:val="000000" w:themeColor="text1"/>
          <w:sz w:val="16"/>
          <w:szCs w:val="16"/>
        </w:rPr>
        <w:softHyphen/>
        <w:t>принимался позитивно, и акцента на отдель</w:t>
      </w:r>
      <w:r w:rsidRPr="00A259BD">
        <w:rPr>
          <w:rFonts w:ascii="Times New Roman" w:hAnsi="Times New Roman"/>
          <w:color w:val="000000" w:themeColor="text1"/>
          <w:sz w:val="16"/>
          <w:szCs w:val="16"/>
        </w:rPr>
        <w:softHyphen/>
        <w:t>ные недостатки обычно не делалось. Михаил Громов, проведший испытания И-3, так впо</w:t>
      </w:r>
      <w:r w:rsidRPr="00A259BD">
        <w:rPr>
          <w:rFonts w:ascii="Times New Roman" w:hAnsi="Times New Roman"/>
          <w:color w:val="000000" w:themeColor="text1"/>
          <w:sz w:val="16"/>
          <w:szCs w:val="16"/>
        </w:rPr>
        <w:softHyphen/>
        <w:t>следствии обрисовал эту ситуацию: «При</w:t>
      </w:r>
      <w:r w:rsidRPr="00A259BD">
        <w:rPr>
          <w:rFonts w:ascii="Times New Roman" w:hAnsi="Times New Roman"/>
          <w:color w:val="000000" w:themeColor="text1"/>
          <w:sz w:val="16"/>
          <w:szCs w:val="16"/>
        </w:rPr>
        <w:softHyphen/>
        <w:t>мерно в это время провел испытания И-3. Самолет оказался устойчив, с довольно боль</w:t>
      </w:r>
      <w:r w:rsidRPr="00A259BD">
        <w:rPr>
          <w:rFonts w:ascii="Times New Roman" w:hAnsi="Times New Roman"/>
          <w:color w:val="000000" w:themeColor="text1"/>
          <w:sz w:val="16"/>
          <w:szCs w:val="16"/>
        </w:rPr>
        <w:softHyphen/>
        <w:t>шими нагрузками на рычаги управления. Но я никогда в полетах не жаловался на нагруз</w:t>
      </w:r>
      <w:r w:rsidRPr="00A259BD">
        <w:rPr>
          <w:rFonts w:ascii="Times New Roman" w:hAnsi="Times New Roman"/>
          <w:color w:val="000000" w:themeColor="text1"/>
          <w:sz w:val="16"/>
          <w:szCs w:val="16"/>
        </w:rPr>
        <w:softHyphen/>
        <w:t>ки, а учитывал в первую очередь устойчи</w:t>
      </w:r>
      <w:r w:rsidRPr="00A259BD">
        <w:rPr>
          <w:rFonts w:ascii="Times New Roman" w:hAnsi="Times New Roman"/>
          <w:color w:val="000000" w:themeColor="text1"/>
          <w:sz w:val="16"/>
          <w:szCs w:val="16"/>
        </w:rPr>
        <w:softHyphen/>
        <w:t>вость самолета, потому что именно она опре</w:t>
      </w:r>
      <w:r w:rsidRPr="00A259BD">
        <w:rPr>
          <w:rFonts w:ascii="Times New Roman" w:hAnsi="Times New Roman"/>
          <w:color w:val="000000" w:themeColor="text1"/>
          <w:sz w:val="16"/>
          <w:szCs w:val="16"/>
        </w:rPr>
        <w:softHyphen/>
        <w:t>деляла надежность и простоту управления».</w:t>
      </w:r>
    </w:p>
    <w:p w14:paraId="147D9274" w14:textId="77777777" w:rsidR="000B7F61" w:rsidRPr="00A259BD" w:rsidRDefault="000B7F6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Одним словом, отличный и сильный лет</w:t>
      </w:r>
      <w:r w:rsidRPr="00A259BD">
        <w:rPr>
          <w:rFonts w:ascii="Times New Roman" w:hAnsi="Times New Roman"/>
          <w:color w:val="000000" w:themeColor="text1"/>
          <w:sz w:val="16"/>
          <w:szCs w:val="16"/>
        </w:rPr>
        <w:softHyphen/>
        <w:t>чик Громов оценил новый самолет только положительно, а строевым пилотам имею</w:t>
      </w:r>
      <w:r w:rsidRPr="00A259BD">
        <w:rPr>
          <w:rFonts w:ascii="Times New Roman" w:hAnsi="Times New Roman"/>
          <w:color w:val="000000" w:themeColor="text1"/>
          <w:sz w:val="16"/>
          <w:szCs w:val="16"/>
        </w:rPr>
        <w:softHyphen/>
        <w:t>щиеся недостатки показались чрезмерны</w:t>
      </w:r>
      <w:r w:rsidRPr="00A259BD">
        <w:rPr>
          <w:rFonts w:ascii="Times New Roman" w:hAnsi="Times New Roman"/>
          <w:color w:val="000000" w:themeColor="text1"/>
          <w:sz w:val="16"/>
          <w:szCs w:val="16"/>
        </w:rPr>
        <w:softHyphen/>
        <w:t>ми. В результате вопрос с хвостовым опере</w:t>
      </w:r>
      <w:r w:rsidRPr="00A259BD">
        <w:rPr>
          <w:rFonts w:ascii="Times New Roman" w:hAnsi="Times New Roman"/>
          <w:color w:val="000000" w:themeColor="text1"/>
          <w:sz w:val="16"/>
          <w:szCs w:val="16"/>
        </w:rPr>
        <w:softHyphen/>
        <w:t>нием разрешили следующим образом. На 40 самолетах первой серии поставили рули вы</w:t>
      </w:r>
      <w:r w:rsidRPr="00A259BD">
        <w:rPr>
          <w:rFonts w:ascii="Times New Roman" w:hAnsi="Times New Roman"/>
          <w:color w:val="000000" w:themeColor="text1"/>
          <w:sz w:val="16"/>
          <w:szCs w:val="16"/>
        </w:rPr>
        <w:softHyphen/>
        <w:t>соты с увеличенными углами отклонения. Другую часть самолетов этой серии (начиная с №4027) снабдили горизонтальным опере</w:t>
      </w:r>
      <w:r w:rsidRPr="00A259BD">
        <w:rPr>
          <w:rFonts w:ascii="Times New Roman" w:hAnsi="Times New Roman"/>
          <w:color w:val="000000" w:themeColor="text1"/>
          <w:sz w:val="16"/>
          <w:szCs w:val="16"/>
        </w:rPr>
        <w:softHyphen/>
        <w:t>нием увеличенной площади и с рулями вы</w:t>
      </w:r>
      <w:r w:rsidRPr="00A259BD">
        <w:rPr>
          <w:rFonts w:ascii="Times New Roman" w:hAnsi="Times New Roman"/>
          <w:color w:val="000000" w:themeColor="text1"/>
          <w:sz w:val="16"/>
          <w:szCs w:val="16"/>
        </w:rPr>
        <w:softHyphen/>
        <w:t>соты, снабженными роговой аэродинамиче</w:t>
      </w:r>
      <w:r w:rsidRPr="00A259BD">
        <w:rPr>
          <w:rFonts w:ascii="Times New Roman" w:hAnsi="Times New Roman"/>
          <w:color w:val="000000" w:themeColor="text1"/>
          <w:sz w:val="16"/>
          <w:szCs w:val="16"/>
        </w:rPr>
        <w:softHyphen/>
        <w:t>ской компенсацией.</w:t>
      </w:r>
    </w:p>
    <w:p w14:paraId="30682204" w14:textId="77777777" w:rsidR="000B7F61" w:rsidRPr="00A259BD" w:rsidRDefault="000B7F6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касается элеронов, то они, имея значи</w:t>
      </w:r>
      <w:r w:rsidRPr="00A259BD">
        <w:rPr>
          <w:rFonts w:ascii="Times New Roman" w:hAnsi="Times New Roman"/>
          <w:color w:val="000000" w:themeColor="text1"/>
          <w:sz w:val="16"/>
          <w:szCs w:val="16"/>
        </w:rPr>
        <w:softHyphen/>
        <w:t>тельный размах, в полете деформировались (изгибались), поэтому для их отклонения требовались значительные усилия. Проблему разрешили просто — элероны в дальнейшем стали делать разрезными, т.е. разделенными по размаху как минимум на две части.</w:t>
      </w:r>
    </w:p>
    <w:p w14:paraId="25EDBDEF" w14:textId="77777777" w:rsidR="000B7F61" w:rsidRPr="00A259BD" w:rsidRDefault="000B7F6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Кроме описанных доработок, произведен</w:t>
      </w:r>
      <w:r w:rsidRPr="00A259BD">
        <w:rPr>
          <w:rFonts w:ascii="Times New Roman" w:hAnsi="Times New Roman"/>
          <w:color w:val="000000" w:themeColor="text1"/>
          <w:sz w:val="16"/>
          <w:szCs w:val="16"/>
        </w:rPr>
        <w:softHyphen/>
        <w:t>ных в ОСС ЦКБ, велись и самостоятельные усовершенствования самолета в строевых ча</w:t>
      </w:r>
      <w:r w:rsidRPr="00A259BD">
        <w:rPr>
          <w:rFonts w:ascii="Times New Roman" w:hAnsi="Times New Roman"/>
          <w:color w:val="000000" w:themeColor="text1"/>
          <w:sz w:val="16"/>
          <w:szCs w:val="16"/>
        </w:rPr>
        <w:softHyphen/>
        <w:t>стях. Они сводились в основном к улучше</w:t>
      </w:r>
      <w:r w:rsidRPr="00A259BD">
        <w:rPr>
          <w:rFonts w:ascii="Times New Roman" w:hAnsi="Times New Roman"/>
          <w:color w:val="000000" w:themeColor="text1"/>
          <w:sz w:val="16"/>
          <w:szCs w:val="16"/>
        </w:rPr>
        <w:softHyphen/>
        <w:t>нию обслуживания и эксплуатации. Напри</w:t>
      </w:r>
      <w:r w:rsidRPr="00A259BD">
        <w:rPr>
          <w:rFonts w:ascii="Times New Roman" w:hAnsi="Times New Roman"/>
          <w:color w:val="000000" w:themeColor="text1"/>
          <w:sz w:val="16"/>
          <w:szCs w:val="16"/>
        </w:rPr>
        <w:softHyphen/>
        <w:t>мер, на некоторых истребителях, силами ре</w:t>
      </w:r>
      <w:r w:rsidRPr="00A259BD">
        <w:rPr>
          <w:rFonts w:ascii="Times New Roman" w:hAnsi="Times New Roman"/>
          <w:color w:val="000000" w:themeColor="text1"/>
          <w:sz w:val="16"/>
          <w:szCs w:val="16"/>
        </w:rPr>
        <w:softHyphen/>
        <w:t>монтных мастерских в районе стыка нижне</w:t>
      </w:r>
      <w:r w:rsidRPr="00A259BD">
        <w:rPr>
          <w:rFonts w:ascii="Times New Roman" w:hAnsi="Times New Roman"/>
          <w:color w:val="000000" w:themeColor="text1"/>
          <w:sz w:val="16"/>
          <w:szCs w:val="16"/>
        </w:rPr>
        <w:softHyphen/>
        <w:t>го крыла с фюзеляжем устанавливались обте</w:t>
      </w:r>
      <w:r w:rsidRPr="00A259BD">
        <w:rPr>
          <w:rFonts w:ascii="Times New Roman" w:hAnsi="Times New Roman"/>
          <w:color w:val="000000" w:themeColor="text1"/>
          <w:sz w:val="16"/>
          <w:szCs w:val="16"/>
        </w:rPr>
        <w:softHyphen/>
        <w:t xml:space="preserve">каемые коробки — </w:t>
      </w:r>
      <w:proofErr w:type="spellStart"/>
      <w:r w:rsidRPr="00A259BD">
        <w:rPr>
          <w:rFonts w:ascii="Times New Roman" w:hAnsi="Times New Roman"/>
          <w:color w:val="000000" w:themeColor="text1"/>
          <w:sz w:val="16"/>
          <w:szCs w:val="16"/>
        </w:rPr>
        <w:t>гильзоулавливатели</w:t>
      </w:r>
      <w:proofErr w:type="spellEnd"/>
      <w:r w:rsidRPr="00A259BD">
        <w:rPr>
          <w:rFonts w:ascii="Times New Roman" w:hAnsi="Times New Roman"/>
          <w:color w:val="000000" w:themeColor="text1"/>
          <w:sz w:val="16"/>
          <w:szCs w:val="16"/>
        </w:rPr>
        <w:t>. Так экономили дефицитную латунь, не позволяя народному добру разлетаться по ветру (12295).</w:t>
      </w:r>
    </w:p>
    <w:p w14:paraId="2C9C426E" w14:textId="77777777" w:rsidR="000B7F61" w:rsidRPr="00A259BD" w:rsidRDefault="000B7F61" w:rsidP="009236E3">
      <w:pPr>
        <w:spacing w:after="0" w:line="240" w:lineRule="auto"/>
        <w:jc w:val="both"/>
        <w:rPr>
          <w:rFonts w:ascii="Times New Roman" w:hAnsi="Times New Roman"/>
          <w:color w:val="000000" w:themeColor="text1"/>
          <w:sz w:val="16"/>
          <w:szCs w:val="16"/>
        </w:rPr>
      </w:pPr>
    </w:p>
    <w:p w14:paraId="01AD50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Осенью 1929 </w:t>
      </w:r>
      <w:proofErr w:type="spellStart"/>
      <w:r w:rsidRPr="00A259BD">
        <w:rPr>
          <w:rFonts w:ascii="Times New Roman" w:hAnsi="Times New Roman"/>
          <w:color w:val="000000" w:themeColor="text1"/>
          <w:sz w:val="16"/>
          <w:szCs w:val="16"/>
        </w:rPr>
        <w:t>Я.И.Алкснис</w:t>
      </w:r>
      <w:proofErr w:type="spellEnd"/>
      <w:r w:rsidRPr="00A259BD">
        <w:rPr>
          <w:rFonts w:ascii="Times New Roman" w:hAnsi="Times New Roman"/>
          <w:color w:val="000000" w:themeColor="text1"/>
          <w:sz w:val="16"/>
          <w:szCs w:val="16"/>
        </w:rPr>
        <w:t xml:space="preserve"> совершил полет на самолете Р-2 с автопилотом и поручил установить на Р-1 (390,122).</w:t>
      </w:r>
    </w:p>
    <w:p w14:paraId="70E99C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259F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Осенью 1929 Р.Л.Б. направил главному инспек</w:t>
      </w:r>
      <w:r w:rsidRPr="00A259BD">
        <w:rPr>
          <w:rFonts w:ascii="Times New Roman" w:hAnsi="Times New Roman"/>
          <w:color w:val="000000" w:themeColor="text1"/>
          <w:sz w:val="16"/>
          <w:szCs w:val="16"/>
        </w:rPr>
        <w:softHyphen/>
        <w:t xml:space="preserve">тору Гражданского воздушного флота (ГВФ) </w:t>
      </w:r>
      <w:proofErr w:type="spellStart"/>
      <w:r w:rsidRPr="00A259BD">
        <w:rPr>
          <w:rFonts w:ascii="Times New Roman" w:hAnsi="Times New Roman"/>
          <w:color w:val="000000" w:themeColor="text1"/>
          <w:sz w:val="16"/>
          <w:szCs w:val="16"/>
        </w:rPr>
        <w:t>В.А.Зарзару</w:t>
      </w:r>
      <w:proofErr w:type="spellEnd"/>
      <w:r w:rsidRPr="00A259BD">
        <w:rPr>
          <w:rFonts w:ascii="Times New Roman" w:hAnsi="Times New Roman"/>
          <w:color w:val="000000" w:themeColor="text1"/>
          <w:sz w:val="16"/>
          <w:szCs w:val="16"/>
        </w:rPr>
        <w:t xml:space="preserve"> новый эскизный проект, на этот раз четырехмоторного гидросамолета. Тот переслал его начальнику Управления ВВС Алкснису. В конце концов предложение Бартини оказалось у специалистов ЦАГИ. И тут произошла любопыт</w:t>
      </w:r>
      <w:r w:rsidRPr="00A259BD">
        <w:rPr>
          <w:rFonts w:ascii="Times New Roman" w:hAnsi="Times New Roman"/>
          <w:color w:val="000000" w:themeColor="text1"/>
          <w:sz w:val="16"/>
          <w:szCs w:val="16"/>
        </w:rPr>
        <w:softHyphen/>
        <w:t>ная сцена. Если вопрос с предыдущим предложе</w:t>
      </w:r>
      <w:r w:rsidRPr="00A259BD">
        <w:rPr>
          <w:rFonts w:ascii="Times New Roman" w:hAnsi="Times New Roman"/>
          <w:color w:val="000000" w:themeColor="text1"/>
          <w:sz w:val="16"/>
          <w:szCs w:val="16"/>
        </w:rPr>
        <w:softHyphen/>
        <w:t>нием Роберта Людвиговича был как-то решен в ЦАГИ, то, ознакомившись с предложением по тяжелому самолету, они не сразу сообразили, как поступить. Ведь перед ними предстал не рядовой гражданин, а один из руководителей Управления ВВС Черного моря, к тому же тесно связанный с Коминтерном.</w:t>
      </w:r>
    </w:p>
    <w:p w14:paraId="375C9AB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Открывая совещание, представитель </w:t>
      </w:r>
      <w:proofErr w:type="spellStart"/>
      <w:r w:rsidRPr="00A259BD">
        <w:rPr>
          <w:rFonts w:ascii="Times New Roman" w:hAnsi="Times New Roman"/>
          <w:color w:val="000000" w:themeColor="text1"/>
          <w:sz w:val="16"/>
          <w:szCs w:val="16"/>
        </w:rPr>
        <w:t>Авиатре</w:t>
      </w:r>
      <w:r w:rsidRPr="00A259BD">
        <w:rPr>
          <w:rFonts w:ascii="Times New Roman" w:hAnsi="Times New Roman"/>
          <w:color w:val="000000" w:themeColor="text1"/>
          <w:sz w:val="16"/>
          <w:szCs w:val="16"/>
        </w:rPr>
        <w:softHyphen/>
        <w:t>ста</w:t>
      </w:r>
      <w:proofErr w:type="spellEnd"/>
      <w:r w:rsidRPr="00A259BD">
        <w:rPr>
          <w:rFonts w:ascii="Times New Roman" w:hAnsi="Times New Roman"/>
          <w:color w:val="000000" w:themeColor="text1"/>
          <w:sz w:val="16"/>
          <w:szCs w:val="16"/>
        </w:rPr>
        <w:t xml:space="preserve">, известный в те годы авиаконструктор </w:t>
      </w:r>
      <w:proofErr w:type="spellStart"/>
      <w:r w:rsidRPr="00A259BD">
        <w:rPr>
          <w:rFonts w:ascii="Times New Roman" w:hAnsi="Times New Roman"/>
          <w:color w:val="000000" w:themeColor="text1"/>
          <w:sz w:val="16"/>
          <w:szCs w:val="16"/>
        </w:rPr>
        <w:t>В.Л.Александров</w:t>
      </w:r>
      <w:proofErr w:type="spellEnd"/>
      <w:r w:rsidRPr="00A259BD">
        <w:rPr>
          <w:rFonts w:ascii="Times New Roman" w:hAnsi="Times New Roman"/>
          <w:color w:val="000000" w:themeColor="text1"/>
          <w:sz w:val="16"/>
          <w:szCs w:val="16"/>
        </w:rPr>
        <w:t xml:space="preserve"> сказал:</w:t>
      </w:r>
    </w:p>
    <w:p w14:paraId="76A77D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 Бартини представлен в самых общих чертах. Насколько я знаю Бартини никогда не приходилось заниматься постройкой самолета, и первым делом появляется мысль, что человек взял на себя слишком сложную задачу — сразу по</w:t>
      </w:r>
      <w:r w:rsidRPr="00A259BD">
        <w:rPr>
          <w:rFonts w:ascii="Times New Roman" w:hAnsi="Times New Roman"/>
          <w:color w:val="000000" w:themeColor="text1"/>
          <w:sz w:val="16"/>
          <w:szCs w:val="16"/>
        </w:rPr>
        <w:softHyphen/>
        <w:t>строить самолет мощностью 2000—3000 л.с., по-видимому не имея большого опыта. Всякий кон</w:t>
      </w:r>
      <w:r w:rsidRPr="00A259BD">
        <w:rPr>
          <w:rFonts w:ascii="Times New Roman" w:hAnsi="Times New Roman"/>
          <w:color w:val="000000" w:themeColor="text1"/>
          <w:sz w:val="16"/>
          <w:szCs w:val="16"/>
        </w:rPr>
        <w:softHyphen/>
        <w:t>структор, приступая к такой сложной машине, должен иметь некоторый опыт в постройке само</w:t>
      </w:r>
      <w:r w:rsidRPr="00A259BD">
        <w:rPr>
          <w:rFonts w:ascii="Times New Roman" w:hAnsi="Times New Roman"/>
          <w:color w:val="000000" w:themeColor="text1"/>
          <w:sz w:val="16"/>
          <w:szCs w:val="16"/>
        </w:rPr>
        <w:softHyphen/>
        <w:t>лета. Мы знаем, что обычно такие опыты оканчи</w:t>
      </w:r>
      <w:r w:rsidRPr="00A259BD">
        <w:rPr>
          <w:rFonts w:ascii="Times New Roman" w:hAnsi="Times New Roman"/>
          <w:color w:val="000000" w:themeColor="text1"/>
          <w:sz w:val="16"/>
          <w:szCs w:val="16"/>
        </w:rPr>
        <w:softHyphen/>
        <w:t>ваются неудачей, а конструкторы, которые рабо</w:t>
      </w:r>
      <w:r w:rsidRPr="00A259BD">
        <w:rPr>
          <w:rFonts w:ascii="Times New Roman" w:hAnsi="Times New Roman"/>
          <w:color w:val="000000" w:themeColor="text1"/>
          <w:sz w:val="16"/>
          <w:szCs w:val="16"/>
        </w:rPr>
        <w:softHyphen/>
        <w:t>тали на заводах, шли эволюционным путем.</w:t>
      </w:r>
    </w:p>
    <w:p w14:paraId="127616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 это я говорю, чтобы дать общее понятие о характере этого проекта. По этому проекту я не мог написать заключение, потому, что материа</w:t>
      </w:r>
      <w:r w:rsidRPr="00A259BD">
        <w:rPr>
          <w:rFonts w:ascii="Times New Roman" w:hAnsi="Times New Roman"/>
          <w:color w:val="000000" w:themeColor="text1"/>
          <w:sz w:val="16"/>
          <w:szCs w:val="16"/>
        </w:rPr>
        <w:softHyphen/>
        <w:t>лов слишком мало.</w:t>
      </w:r>
    </w:p>
    <w:p w14:paraId="574FA2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Дело в том, что всякий студент делает при вы</w:t>
      </w:r>
      <w:r w:rsidRPr="00A259BD">
        <w:rPr>
          <w:rFonts w:ascii="Times New Roman" w:hAnsi="Times New Roman"/>
          <w:color w:val="000000" w:themeColor="text1"/>
          <w:sz w:val="16"/>
          <w:szCs w:val="16"/>
        </w:rPr>
        <w:softHyphen/>
        <w:t>пуске грамотный хороший проект, но значит ли, что этот проект хорош для того, чтобы его стро</w:t>
      </w:r>
      <w:r w:rsidRPr="00A259BD">
        <w:rPr>
          <w:rFonts w:ascii="Times New Roman" w:hAnsi="Times New Roman"/>
          <w:color w:val="000000" w:themeColor="text1"/>
          <w:sz w:val="16"/>
          <w:szCs w:val="16"/>
        </w:rPr>
        <w:softHyphen/>
        <w:t>ить? При конструкции самолета приходится ре</w:t>
      </w:r>
      <w:r w:rsidRPr="00A259BD">
        <w:rPr>
          <w:rFonts w:ascii="Times New Roman" w:hAnsi="Times New Roman"/>
          <w:color w:val="000000" w:themeColor="text1"/>
          <w:sz w:val="16"/>
          <w:szCs w:val="16"/>
        </w:rPr>
        <w:softHyphen/>
        <w:t>шать довольно много сложных вопросов:</w:t>
      </w:r>
    </w:p>
    <w:p w14:paraId="251C5A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удачная схема,</w:t>
      </w:r>
    </w:p>
    <w:p w14:paraId="4BC352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рациональность конструкции,</w:t>
      </w:r>
    </w:p>
    <w:p w14:paraId="1F3D81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аэродинамические данные,</w:t>
      </w:r>
    </w:p>
    <w:p w14:paraId="15AE3DA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тактические данные,</w:t>
      </w:r>
    </w:p>
    <w:p w14:paraId="587F563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и экономические данные если самолет пасса</w:t>
      </w:r>
      <w:r w:rsidRPr="00A259BD">
        <w:rPr>
          <w:rFonts w:ascii="Times New Roman" w:hAnsi="Times New Roman"/>
          <w:color w:val="000000" w:themeColor="text1"/>
          <w:sz w:val="16"/>
          <w:szCs w:val="16"/>
        </w:rPr>
        <w:softHyphen/>
        <w:t>жирский.</w:t>
      </w:r>
    </w:p>
    <w:p w14:paraId="281AE76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Данные эскизного проекта представляют из се</w:t>
      </w:r>
      <w:r w:rsidRPr="00A259BD">
        <w:rPr>
          <w:rFonts w:ascii="Times New Roman" w:hAnsi="Times New Roman"/>
          <w:color w:val="000000" w:themeColor="text1"/>
          <w:sz w:val="16"/>
          <w:szCs w:val="16"/>
        </w:rPr>
        <w:softHyphen/>
        <w:t>бя только четыре картинки самой общей формы.</w:t>
      </w:r>
    </w:p>
    <w:p w14:paraId="2B2B29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Затем он (Бартини. - Н.Я.) говорит о преимуще</w:t>
      </w:r>
      <w:r w:rsidRPr="00A259BD">
        <w:rPr>
          <w:rFonts w:ascii="Times New Roman" w:hAnsi="Times New Roman"/>
          <w:color w:val="000000" w:themeColor="text1"/>
          <w:sz w:val="16"/>
          <w:szCs w:val="16"/>
        </w:rPr>
        <w:softHyphen/>
        <w:t xml:space="preserve">ствах своей схемы, он приводит данные </w:t>
      </w:r>
      <w:proofErr w:type="spellStart"/>
      <w:r w:rsidRPr="00A259BD">
        <w:rPr>
          <w:rFonts w:ascii="Times New Roman" w:hAnsi="Times New Roman"/>
          <w:color w:val="000000" w:themeColor="text1"/>
          <w:sz w:val="16"/>
          <w:szCs w:val="16"/>
        </w:rPr>
        <w:t>Рорбаха</w:t>
      </w:r>
      <w:proofErr w:type="spellEnd"/>
      <w:r w:rsidRPr="00A259BD">
        <w:rPr>
          <w:rFonts w:ascii="Times New Roman" w:hAnsi="Times New Roman"/>
          <w:color w:val="000000" w:themeColor="text1"/>
          <w:sz w:val="16"/>
          <w:szCs w:val="16"/>
        </w:rPr>
        <w:t xml:space="preserve"> и Дорнье и выводит что-то среднее. О конструк</w:t>
      </w:r>
      <w:r w:rsidRPr="00A259BD">
        <w:rPr>
          <w:rFonts w:ascii="Times New Roman" w:hAnsi="Times New Roman"/>
          <w:color w:val="000000" w:themeColor="text1"/>
          <w:sz w:val="16"/>
          <w:szCs w:val="16"/>
        </w:rPr>
        <w:softHyphen/>
        <w:t>ции ничего не сказано, кроме того, что она метал</w:t>
      </w:r>
      <w:r w:rsidRPr="00A259BD">
        <w:rPr>
          <w:rFonts w:ascii="Times New Roman" w:hAnsi="Times New Roman"/>
          <w:color w:val="000000" w:themeColor="text1"/>
          <w:sz w:val="16"/>
          <w:szCs w:val="16"/>
        </w:rPr>
        <w:softHyphen/>
        <w:t>лическая. Но как это будет осуществлено — я ни</w:t>
      </w:r>
      <w:r w:rsidRPr="00A259BD">
        <w:rPr>
          <w:rFonts w:ascii="Times New Roman" w:hAnsi="Times New Roman"/>
          <w:color w:val="000000" w:themeColor="text1"/>
          <w:sz w:val="16"/>
          <w:szCs w:val="16"/>
        </w:rPr>
        <w:softHyphen/>
        <w:t>чего сказать не могу... Тем более, что здесь тандемная установка моторов, моторы в крыле. Он предлагает поставить добавочные валы...</w:t>
      </w:r>
    </w:p>
    <w:p w14:paraId="31E745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ЧАПЛЫГИН. Материал недостаточен, расчетов не представлено, и проект даже эскизным считать нельзя (по нашей номенклатуре). Ввиду этого за</w:t>
      </w:r>
      <w:r w:rsidRPr="00A259BD">
        <w:rPr>
          <w:rFonts w:ascii="Times New Roman" w:hAnsi="Times New Roman"/>
          <w:color w:val="000000" w:themeColor="text1"/>
          <w:sz w:val="16"/>
          <w:szCs w:val="16"/>
        </w:rPr>
        <w:softHyphen/>
        <w:t>ключение Институт представить не может.</w:t>
      </w:r>
    </w:p>
    <w:p w14:paraId="10722D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СИДОРИН. Если рассматривать материалы, как схему, то схема не встречает возражений, а что касается конструкции, то для того, чтобы су</w:t>
      </w:r>
      <w:r w:rsidRPr="00A259BD">
        <w:rPr>
          <w:rFonts w:ascii="Times New Roman" w:hAnsi="Times New Roman"/>
          <w:color w:val="000000" w:themeColor="text1"/>
          <w:sz w:val="16"/>
          <w:szCs w:val="16"/>
        </w:rPr>
        <w:softHyphen/>
        <w:t>дить о ней нет материала.</w:t>
      </w:r>
    </w:p>
    <w:p w14:paraId="0754CF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ПЕТРЕНКО. Я думаю, что не следует упоми</w:t>
      </w:r>
      <w:r w:rsidRPr="00A259BD">
        <w:rPr>
          <w:rFonts w:ascii="Times New Roman" w:hAnsi="Times New Roman"/>
          <w:color w:val="000000" w:themeColor="text1"/>
          <w:sz w:val="16"/>
          <w:szCs w:val="16"/>
        </w:rPr>
        <w:softHyphen/>
        <w:t>нать - кем был Бартини и чем он занимался. В данном случае на нас выпала задача оценить про</w:t>
      </w:r>
      <w:r w:rsidRPr="00A259BD">
        <w:rPr>
          <w:rFonts w:ascii="Times New Roman" w:hAnsi="Times New Roman"/>
          <w:color w:val="000000" w:themeColor="text1"/>
          <w:sz w:val="16"/>
          <w:szCs w:val="16"/>
        </w:rPr>
        <w:softHyphen/>
        <w:t>ект вне зависимости от того: строил ли он само</w:t>
      </w:r>
      <w:r w:rsidRPr="00A259BD">
        <w:rPr>
          <w:rFonts w:ascii="Times New Roman" w:hAnsi="Times New Roman"/>
          <w:color w:val="000000" w:themeColor="text1"/>
          <w:sz w:val="16"/>
          <w:szCs w:val="16"/>
        </w:rPr>
        <w:softHyphen/>
        <w:t>леты или красил крыши.</w:t>
      </w:r>
    </w:p>
    <w:p w14:paraId="5B9F64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касается эскизного проекта, то если дать данные, нужно ответить в ту или другую сторо</w:t>
      </w:r>
      <w:r w:rsidRPr="00A259BD">
        <w:rPr>
          <w:rFonts w:ascii="Times New Roman" w:hAnsi="Times New Roman"/>
          <w:color w:val="000000" w:themeColor="text1"/>
          <w:sz w:val="16"/>
          <w:szCs w:val="16"/>
        </w:rPr>
        <w:softHyphen/>
        <w:t>ну... Если он конструкцию не выявляет, тогда о конструкции нечего и говорить, тогда речь идет о схеме самолета.</w:t>
      </w:r>
    </w:p>
    <w:p w14:paraId="0CD8A6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ПОГОССКИИ. Если это сделать в большом масштабе, то это соответствует тому объему эс</w:t>
      </w:r>
      <w:r w:rsidRPr="00A259BD">
        <w:rPr>
          <w:rFonts w:ascii="Times New Roman" w:hAnsi="Times New Roman"/>
          <w:color w:val="000000" w:themeColor="text1"/>
          <w:sz w:val="16"/>
          <w:szCs w:val="16"/>
        </w:rPr>
        <w:softHyphen/>
        <w:t xml:space="preserve">кизного проекта, который представляет ЦАГИ или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в НК (видимо, Научный Комитет. - Н.Я.), в тех органах, где это рассматривается, есть уверенность, что под эти схемы будет соот</w:t>
      </w:r>
      <w:r w:rsidRPr="00A259BD">
        <w:rPr>
          <w:rFonts w:ascii="Times New Roman" w:hAnsi="Times New Roman"/>
          <w:color w:val="000000" w:themeColor="text1"/>
          <w:sz w:val="16"/>
          <w:szCs w:val="16"/>
        </w:rPr>
        <w:softHyphen/>
        <w:t>ветствующая конструкция...</w:t>
      </w:r>
    </w:p>
    <w:p w14:paraId="6E685C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Тут на Институт выпала задача щекотливого порядка - оценить с точки зрения рациональнос</w:t>
      </w:r>
      <w:r w:rsidRPr="00A259BD">
        <w:rPr>
          <w:rFonts w:ascii="Times New Roman" w:hAnsi="Times New Roman"/>
          <w:color w:val="000000" w:themeColor="text1"/>
          <w:sz w:val="16"/>
          <w:szCs w:val="16"/>
        </w:rPr>
        <w:softHyphen/>
        <w:t>ти. Вопрос этот неприятный, но его нужно кос</w:t>
      </w:r>
      <w:r w:rsidRPr="00A259BD">
        <w:rPr>
          <w:rFonts w:ascii="Times New Roman" w:hAnsi="Times New Roman"/>
          <w:color w:val="000000" w:themeColor="text1"/>
          <w:sz w:val="16"/>
          <w:szCs w:val="16"/>
        </w:rPr>
        <w:softHyphen/>
        <w:t>нуться.</w:t>
      </w:r>
    </w:p>
    <w:p w14:paraId="34C3CB7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ОЗЕРОВ. ...Схема самолета хороша, никакого другого заключения ЦАГИ дать не может, но я думаю, что они назовут такой отзыв формаль</w:t>
      </w:r>
      <w:r w:rsidRPr="00A259BD">
        <w:rPr>
          <w:rFonts w:ascii="Times New Roman" w:hAnsi="Times New Roman"/>
          <w:color w:val="000000" w:themeColor="text1"/>
          <w:sz w:val="16"/>
          <w:szCs w:val="16"/>
        </w:rPr>
        <w:softHyphen/>
        <w:t>ным. Они спросят: поддерживаете вы схему или нет?”.</w:t>
      </w:r>
    </w:p>
    <w:p w14:paraId="5662978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этому поводу были выступления Стечкина и Туполева. Под конец Чаплыгин спросил:</w:t>
      </w:r>
    </w:p>
    <w:p w14:paraId="1F5C38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Схему хорошей назвать нельзя? На что Туполев ответил:</w:t>
      </w:r>
    </w:p>
    <w:p w14:paraId="2FFB64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Нельзя и плохой назвать. Надо написать, примерно, что здесь говорилось.</w:t>
      </w:r>
    </w:p>
    <w:p w14:paraId="5A5C36E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 видим, все осторожничали, и кончилось все тем, что это предложение аккуратно откло</w:t>
      </w:r>
      <w:r w:rsidRPr="00A259BD">
        <w:rPr>
          <w:rFonts w:ascii="Times New Roman" w:hAnsi="Times New Roman"/>
          <w:color w:val="000000" w:themeColor="text1"/>
          <w:sz w:val="16"/>
          <w:szCs w:val="16"/>
        </w:rPr>
        <w:softHyphen/>
        <w:t>нили (11160).</w:t>
      </w:r>
    </w:p>
    <w:p w14:paraId="1EB450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79A63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Осенью 1929 года Бартини помимо проектов гидросамолетов, Роберт Людвигович предложил “Разрезное крыло особой конструк</w:t>
      </w:r>
      <w:r w:rsidRPr="00A259BD">
        <w:rPr>
          <w:rFonts w:ascii="Times New Roman" w:hAnsi="Times New Roman"/>
          <w:color w:val="000000" w:themeColor="text1"/>
          <w:sz w:val="16"/>
          <w:szCs w:val="16"/>
        </w:rPr>
        <w:softHyphen/>
        <w:t>ции”. Суть его заключалась в том, чтобы часть набегающего потока воздуха повышенного дав</w:t>
      </w:r>
      <w:r w:rsidRPr="00A259BD">
        <w:rPr>
          <w:rFonts w:ascii="Times New Roman" w:hAnsi="Times New Roman"/>
          <w:color w:val="000000" w:themeColor="text1"/>
          <w:sz w:val="16"/>
          <w:szCs w:val="16"/>
        </w:rPr>
        <w:softHyphen/>
        <w:t>ления в районе передней кромки крыла “пере</w:t>
      </w:r>
      <w:r w:rsidRPr="00A259BD">
        <w:rPr>
          <w:rFonts w:ascii="Times New Roman" w:hAnsi="Times New Roman"/>
          <w:color w:val="000000" w:themeColor="text1"/>
          <w:sz w:val="16"/>
          <w:szCs w:val="16"/>
        </w:rPr>
        <w:softHyphen/>
        <w:t>лить” через щели в хвостовую часть несущей по</w:t>
      </w:r>
      <w:r w:rsidRPr="00A259BD">
        <w:rPr>
          <w:rFonts w:ascii="Times New Roman" w:hAnsi="Times New Roman"/>
          <w:color w:val="000000" w:themeColor="text1"/>
          <w:sz w:val="16"/>
          <w:szCs w:val="16"/>
        </w:rPr>
        <w:softHyphen/>
        <w:t>верхности и тем самым снизить лобовое сопротивление и увеличить подъемную силу. Кроме этого, закрытием и открытием щелей можно, вероятно, добиться управлением самоле</w:t>
      </w:r>
      <w:r w:rsidRPr="00A259BD">
        <w:rPr>
          <w:rFonts w:ascii="Times New Roman" w:hAnsi="Times New Roman"/>
          <w:color w:val="000000" w:themeColor="text1"/>
          <w:sz w:val="16"/>
          <w:szCs w:val="16"/>
        </w:rPr>
        <w:softHyphen/>
        <w:t>том без рулей поворота или уменьшить их пло</w:t>
      </w:r>
      <w:r w:rsidRPr="00A259BD">
        <w:rPr>
          <w:rFonts w:ascii="Times New Roman" w:hAnsi="Times New Roman"/>
          <w:color w:val="000000" w:themeColor="text1"/>
          <w:sz w:val="16"/>
          <w:szCs w:val="16"/>
        </w:rPr>
        <w:softHyphen/>
        <w:t>щадь. Таким образом, предложенное крыло, по мнению Бартини, должно было обладать всеми преимуществами разрезного крыла (т. е. с пред</w:t>
      </w:r>
      <w:r w:rsidRPr="00A259BD">
        <w:rPr>
          <w:rFonts w:ascii="Times New Roman" w:hAnsi="Times New Roman"/>
          <w:color w:val="000000" w:themeColor="text1"/>
          <w:sz w:val="16"/>
          <w:szCs w:val="16"/>
        </w:rPr>
        <w:softHyphen/>
        <w:t>крылками и многощелевыми закрылками) на больших углах атаки.</w:t>
      </w:r>
    </w:p>
    <w:p w14:paraId="03EB4D3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заключении ЦАГИ, подписанном Петренко, был вынесен отрицательный вердикт на это предложение (11160).</w:t>
      </w:r>
    </w:p>
    <w:p w14:paraId="74FD6B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D9053A" w14:textId="77777777" w:rsidR="00A863E1" w:rsidRPr="00441F34" w:rsidRDefault="00A863E1" w:rsidP="00A863E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Осенью 1929 г. Бартини, будучи одним из руково</w:t>
      </w:r>
      <w:r w:rsidRPr="00441F34">
        <w:rPr>
          <w:rFonts w:ascii="Times New Roman" w:hAnsi="Times New Roman"/>
          <w:color w:val="0070C0"/>
          <w:sz w:val="16"/>
          <w:szCs w:val="16"/>
        </w:rPr>
        <w:softHyphen/>
        <w:t>дителей Управления ВВС Черноморского флота, направил эскизный проект летающей лодки, иногда обозначаемая в литературе как ЛЛ-2, в ГВФ, откуда он был передан в Управление ВВС, а затем оказался у специалистов ЦАГИ. Это был крупный самолёт металлической конструкции с размахом крыла 44,0 м и взлётной массой около 23 тонн (больше, чем у ТБ-3). По своей схеме (подкосный высокоплан с жабрами для остойчивости на воде и двумя тандемами моторов М-17) этот самолёт весьма на</w:t>
      </w:r>
      <w:r w:rsidRPr="00441F34">
        <w:rPr>
          <w:rFonts w:ascii="Times New Roman" w:hAnsi="Times New Roman"/>
          <w:color w:val="0070C0"/>
          <w:sz w:val="16"/>
          <w:szCs w:val="16"/>
        </w:rPr>
        <w:softHyphen/>
        <w:t>поминал французскую летающую лодку Latecoere-300.</w:t>
      </w:r>
    </w:p>
    <w:p w14:paraId="7DAA2117" w14:textId="77777777" w:rsidR="00A863E1" w:rsidRPr="00441F34" w:rsidRDefault="00A863E1" w:rsidP="00A863E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Проект стал предметом обсуждения на партийном собрании (в ЦАГИ?) 21 января 1930 г. Предложенную автором схему сочли интересной, но много было и критических замечаний, в том числе и по силовой установке. Для реализации проекта, требовавшего большой доработки, тогда условий не было (23907).</w:t>
      </w:r>
    </w:p>
    <w:p w14:paraId="02C467D7" w14:textId="77777777" w:rsidR="00A863E1" w:rsidRPr="00441F34" w:rsidRDefault="00A863E1" w:rsidP="00A863E1">
      <w:pPr>
        <w:spacing w:after="0" w:line="240" w:lineRule="auto"/>
        <w:jc w:val="both"/>
        <w:rPr>
          <w:rFonts w:ascii="Times New Roman" w:hAnsi="Times New Roman"/>
          <w:color w:val="0070C0"/>
          <w:sz w:val="16"/>
          <w:szCs w:val="16"/>
        </w:rPr>
      </w:pPr>
    </w:p>
    <w:p w14:paraId="41DDDF25" w14:textId="77777777" w:rsidR="00620372" w:rsidRPr="00A259BD" w:rsidRDefault="00620372" w:rsidP="00620372">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осени 1929 г. на первом опытном образце АНТ-3 с М-5 вели исследования по аэродинамике, затем поставили машину на ремонт, который занял всю зиму. Весной полеты продолжили; дальнейшая судьба этой машины неизвестна (11985).</w:t>
      </w:r>
    </w:p>
    <w:p w14:paraId="77C6662E" w14:textId="77777777" w:rsidR="00620372" w:rsidRPr="00A259BD" w:rsidRDefault="00620372" w:rsidP="00620372">
      <w:pPr>
        <w:autoSpaceDE w:val="0"/>
        <w:autoSpaceDN w:val="0"/>
        <w:adjustRightInd w:val="0"/>
        <w:spacing w:after="0" w:line="240" w:lineRule="auto"/>
        <w:jc w:val="both"/>
        <w:rPr>
          <w:rFonts w:ascii="Times New Roman" w:hAnsi="Times New Roman"/>
          <w:color w:val="000000" w:themeColor="text1"/>
          <w:sz w:val="16"/>
          <w:szCs w:val="16"/>
        </w:rPr>
      </w:pPr>
    </w:p>
    <w:p w14:paraId="3915D7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Осенью 1929 года А.Н. Ту</w:t>
      </w:r>
      <w:r w:rsidRPr="00A259BD">
        <w:rPr>
          <w:rFonts w:ascii="Times New Roman" w:hAnsi="Times New Roman"/>
          <w:color w:val="000000" w:themeColor="text1"/>
          <w:sz w:val="16"/>
          <w:szCs w:val="16"/>
        </w:rPr>
        <w:softHyphen/>
        <w:t>полева откомандировали на авиационную выставку в Анг</w:t>
      </w:r>
      <w:r w:rsidRPr="00A259BD">
        <w:rPr>
          <w:rFonts w:ascii="Times New Roman" w:hAnsi="Times New Roman"/>
          <w:color w:val="000000" w:themeColor="text1"/>
          <w:sz w:val="16"/>
          <w:szCs w:val="16"/>
        </w:rPr>
        <w:softHyphen/>
        <w:t>лию, где он ознакомился в чис</w:t>
      </w:r>
      <w:r w:rsidRPr="00A259BD">
        <w:rPr>
          <w:rFonts w:ascii="Times New Roman" w:hAnsi="Times New Roman"/>
          <w:color w:val="000000" w:themeColor="text1"/>
          <w:sz w:val="16"/>
          <w:szCs w:val="16"/>
        </w:rPr>
        <w:softHyphen/>
        <w:t>ле прочего с производством поплавков фирмы “Шорт”. При этом впечатление произвели не только хорошие гидродинами</w:t>
      </w:r>
      <w:r w:rsidRPr="00A259BD">
        <w:rPr>
          <w:rFonts w:ascii="Times New Roman" w:hAnsi="Times New Roman"/>
          <w:color w:val="000000" w:themeColor="text1"/>
          <w:sz w:val="16"/>
          <w:szCs w:val="16"/>
        </w:rPr>
        <w:softHyphen/>
        <w:t>ческие характеристики поплав</w:t>
      </w:r>
      <w:r w:rsidRPr="00A259BD">
        <w:rPr>
          <w:rFonts w:ascii="Times New Roman" w:hAnsi="Times New Roman"/>
          <w:color w:val="000000" w:themeColor="text1"/>
          <w:sz w:val="16"/>
          <w:szCs w:val="16"/>
        </w:rPr>
        <w:softHyphen/>
        <w:t>ков, но и технология их произ</w:t>
      </w:r>
      <w:r w:rsidRPr="00A259BD">
        <w:rPr>
          <w:rFonts w:ascii="Times New Roman" w:hAnsi="Times New Roman"/>
          <w:color w:val="000000" w:themeColor="text1"/>
          <w:sz w:val="16"/>
          <w:szCs w:val="16"/>
        </w:rPr>
        <w:softHyphen/>
        <w:t>водства, целый комплекс мер по защите от коррозии, включавший анодирование и покрытие защитным лаком. В ре</w:t>
      </w:r>
      <w:r w:rsidRPr="00A259BD">
        <w:rPr>
          <w:rFonts w:ascii="Times New Roman" w:hAnsi="Times New Roman"/>
          <w:color w:val="000000" w:themeColor="text1"/>
          <w:sz w:val="16"/>
          <w:szCs w:val="16"/>
        </w:rPr>
        <w:softHyphen/>
        <w:t>зультате приобрели 10-метровые “</w:t>
      </w:r>
      <w:proofErr w:type="spellStart"/>
      <w:r w:rsidRPr="00A259BD">
        <w:rPr>
          <w:rFonts w:ascii="Times New Roman" w:hAnsi="Times New Roman"/>
          <w:color w:val="000000" w:themeColor="text1"/>
          <w:sz w:val="16"/>
          <w:szCs w:val="16"/>
        </w:rPr>
        <w:t>шортовские</w:t>
      </w:r>
      <w:proofErr w:type="spellEnd"/>
      <w:r w:rsidRPr="00A259BD">
        <w:rPr>
          <w:rFonts w:ascii="Times New Roman" w:hAnsi="Times New Roman"/>
          <w:color w:val="000000" w:themeColor="text1"/>
          <w:sz w:val="16"/>
          <w:szCs w:val="16"/>
        </w:rPr>
        <w:t>” образцы, соответствующие взлет</w:t>
      </w:r>
      <w:r w:rsidRPr="00A259BD">
        <w:rPr>
          <w:rFonts w:ascii="Times New Roman" w:hAnsi="Times New Roman"/>
          <w:color w:val="000000" w:themeColor="text1"/>
          <w:sz w:val="16"/>
          <w:szCs w:val="16"/>
        </w:rPr>
        <w:softHyphen/>
        <w:t>ному весу АНТ-4 (правда, сведения о количестве приобретенных поплавков и их типоразмерах противоречивы). Поплавки “Шорт” в ЦАГИ обстоятельно изучили, произвели множество испытаний в гидроканале, доработали по собственному разумению и технологическим возможно</w:t>
      </w:r>
      <w:r w:rsidRPr="00A259BD">
        <w:rPr>
          <w:rFonts w:ascii="Times New Roman" w:hAnsi="Times New Roman"/>
          <w:color w:val="000000" w:themeColor="text1"/>
          <w:sz w:val="16"/>
          <w:szCs w:val="16"/>
        </w:rPr>
        <w:softHyphen/>
        <w:t>стям, а затем предложили к серийному тира</w:t>
      </w:r>
      <w:r w:rsidRPr="00A259BD">
        <w:rPr>
          <w:rFonts w:ascii="Times New Roman" w:hAnsi="Times New Roman"/>
          <w:color w:val="000000" w:themeColor="text1"/>
          <w:sz w:val="16"/>
          <w:szCs w:val="16"/>
        </w:rPr>
        <w:softHyphen/>
        <w:t>жированию под обозначением тип “Ж”. Всего на авиазаводе в Таганроге выпустили более сотни комплектов поплавков “Ж”, которые использовались на ТБ-1, КР-6 и опытном ДБ-ЗПТ. Для ТБ-1 и КР-6 использовались оди</w:t>
      </w:r>
      <w:r w:rsidRPr="00A259BD">
        <w:rPr>
          <w:rFonts w:ascii="Times New Roman" w:hAnsi="Times New Roman"/>
          <w:color w:val="000000" w:themeColor="text1"/>
          <w:sz w:val="16"/>
          <w:szCs w:val="16"/>
        </w:rPr>
        <w:softHyphen/>
        <w:t>наковые поплавки: поначалу длиной 10,622 м и шириной 1,288 м. В 1931 г. длину увеличили до 10,66 м, а ширину — до 1,292 м. Объем в последнем варианте составил 7,25 м</w:t>
      </w:r>
      <w:r w:rsidRPr="00A259BD">
        <w:rPr>
          <w:rFonts w:ascii="Times New Roman" w:hAnsi="Times New Roman"/>
          <w:color w:val="000000" w:themeColor="text1"/>
          <w:sz w:val="16"/>
          <w:szCs w:val="16"/>
          <w:vertAlign w:val="superscript"/>
        </w:rPr>
        <w:t xml:space="preserve">3 </w:t>
      </w:r>
      <w:r w:rsidRPr="00A259BD">
        <w:rPr>
          <w:rFonts w:ascii="Times New Roman" w:hAnsi="Times New Roman"/>
          <w:color w:val="000000" w:themeColor="text1"/>
          <w:sz w:val="16"/>
          <w:szCs w:val="16"/>
        </w:rPr>
        <w:t>(11286).</w:t>
      </w:r>
    </w:p>
    <w:p w14:paraId="15EABA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11B0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Осенью 1929 3 оставшихся Фарман Голиаф 62 (ФГ-62) передали в Воронеж в 11 </w:t>
      </w:r>
      <w:proofErr w:type="spellStart"/>
      <w:r w:rsidRPr="00A259BD">
        <w:rPr>
          <w:rFonts w:ascii="Times New Roman" w:hAnsi="Times New Roman"/>
          <w:color w:val="000000" w:themeColor="text1"/>
          <w:sz w:val="16"/>
          <w:szCs w:val="16"/>
        </w:rPr>
        <w:t>аб</w:t>
      </w:r>
      <w:proofErr w:type="spellEnd"/>
      <w:r w:rsidRPr="00A259BD">
        <w:rPr>
          <w:rFonts w:ascii="Times New Roman" w:hAnsi="Times New Roman"/>
          <w:color w:val="000000" w:themeColor="text1"/>
          <w:sz w:val="16"/>
          <w:szCs w:val="16"/>
        </w:rPr>
        <w:t xml:space="preserve">, осваивавшую ТБ-1 (где ФГ-62 использовали для учебных, тренировочных и транспортных целей), а 55-я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перебазировалась на аэродром </w:t>
      </w:r>
      <w:proofErr w:type="spellStart"/>
      <w:r w:rsidRPr="00A259BD">
        <w:rPr>
          <w:rFonts w:ascii="Times New Roman" w:hAnsi="Times New Roman"/>
          <w:color w:val="000000" w:themeColor="text1"/>
          <w:sz w:val="16"/>
          <w:szCs w:val="16"/>
        </w:rPr>
        <w:t>Кричевицы</w:t>
      </w:r>
      <w:proofErr w:type="spellEnd"/>
      <w:r w:rsidRPr="00A259BD">
        <w:rPr>
          <w:rFonts w:ascii="Times New Roman" w:hAnsi="Times New Roman"/>
          <w:color w:val="000000" w:themeColor="text1"/>
          <w:sz w:val="16"/>
          <w:szCs w:val="16"/>
        </w:rPr>
        <w:t xml:space="preserve"> под Новгородом и полностью перешла на Юнкерсы ЮГ-1 (3200,19).</w:t>
      </w:r>
    </w:p>
    <w:p w14:paraId="66ABE9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25C6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Осенью 1929 г. с фирмой Хейнкеля был заключен договор о лицензии на производство НД37. За нее фирме выплатили около 150 тыс. немецких марок. Окончательное решение процедурных вопросов затянулось до лета 1930 г. Тогда же была определена и судьба И-7 </w:t>
      </w:r>
      <w:proofErr w:type="spellStart"/>
      <w:r w:rsidRPr="00A259BD">
        <w:rPr>
          <w:rFonts w:ascii="Times New Roman" w:hAnsi="Times New Roman"/>
          <w:color w:val="000000" w:themeColor="text1"/>
          <w:sz w:val="16"/>
          <w:szCs w:val="16"/>
        </w:rPr>
        <w:t>Н.Н.Поликарпова</w:t>
      </w:r>
      <w:proofErr w:type="spellEnd"/>
      <w:r w:rsidRPr="00A259BD">
        <w:rPr>
          <w:rFonts w:ascii="Times New Roman" w:hAnsi="Times New Roman"/>
          <w:color w:val="000000" w:themeColor="text1"/>
          <w:sz w:val="16"/>
          <w:szCs w:val="16"/>
        </w:rPr>
        <w:t xml:space="preserve"> (10667).</w:t>
      </w:r>
    </w:p>
    <w:p w14:paraId="004D0F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5A302C" w14:textId="77777777" w:rsidR="000B7F61" w:rsidRPr="00A259BD" w:rsidRDefault="000B7F6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Осенью 1929 г. выяснилось, что новый тип по сравнению с НО-37 в пилотирова</w:t>
      </w:r>
      <w:r w:rsidRPr="00A259BD">
        <w:rPr>
          <w:rFonts w:ascii="Times New Roman" w:hAnsi="Times New Roman"/>
          <w:color w:val="000000" w:themeColor="text1"/>
          <w:sz w:val="16"/>
          <w:szCs w:val="16"/>
        </w:rPr>
        <w:softHyphen/>
        <w:t>нии более сложен, а обзор из кабины пилота и маневренность ухудшились. Использова</w:t>
      </w:r>
      <w:r w:rsidRPr="00A259BD">
        <w:rPr>
          <w:rFonts w:ascii="Times New Roman" w:hAnsi="Times New Roman"/>
          <w:color w:val="000000" w:themeColor="text1"/>
          <w:sz w:val="16"/>
          <w:szCs w:val="16"/>
        </w:rPr>
        <w:softHyphen/>
        <w:t>ние нового крыльевого профиля не улучши</w:t>
      </w:r>
      <w:r w:rsidRPr="00A259BD">
        <w:rPr>
          <w:rFonts w:ascii="Times New Roman" w:hAnsi="Times New Roman"/>
          <w:color w:val="000000" w:themeColor="text1"/>
          <w:sz w:val="16"/>
          <w:szCs w:val="16"/>
        </w:rPr>
        <w:softHyphen/>
        <w:t>ло аэродинамических характеристик, регу</w:t>
      </w:r>
      <w:r w:rsidRPr="00A259BD">
        <w:rPr>
          <w:rFonts w:ascii="Times New Roman" w:hAnsi="Times New Roman"/>
          <w:color w:val="000000" w:themeColor="text1"/>
          <w:sz w:val="16"/>
          <w:szCs w:val="16"/>
        </w:rPr>
        <w:softHyphen/>
        <w:t>лировка крыльев значительно усложнилась, масля но-пневматическая амортизация — не</w:t>
      </w:r>
      <w:r w:rsidRPr="00A259BD">
        <w:rPr>
          <w:rFonts w:ascii="Times New Roman" w:hAnsi="Times New Roman"/>
          <w:color w:val="000000" w:themeColor="text1"/>
          <w:sz w:val="16"/>
          <w:szCs w:val="16"/>
        </w:rPr>
        <w:softHyphen/>
        <w:t>эффективна.</w:t>
      </w:r>
    </w:p>
    <w:p w14:paraId="49F6D84F" w14:textId="77777777" w:rsidR="000B7F61" w:rsidRPr="00A259BD" w:rsidRDefault="000B7F6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 НИИ ВВС от 1 декабря 1929 г. по НО-43 гласило: «по сравнению с предше</w:t>
      </w:r>
      <w:r w:rsidRPr="00A259BD">
        <w:rPr>
          <w:rFonts w:ascii="Times New Roman" w:hAnsi="Times New Roman"/>
          <w:color w:val="000000" w:themeColor="text1"/>
          <w:sz w:val="16"/>
          <w:szCs w:val="16"/>
        </w:rPr>
        <w:softHyphen/>
        <w:t>ственником, его боевые свойства значитель</w:t>
      </w:r>
      <w:r w:rsidRPr="00A259BD">
        <w:rPr>
          <w:rFonts w:ascii="Times New Roman" w:hAnsi="Times New Roman"/>
          <w:color w:val="000000" w:themeColor="text1"/>
          <w:sz w:val="16"/>
          <w:szCs w:val="16"/>
        </w:rPr>
        <w:softHyphen/>
        <w:t>но ниже и он не может быть рекомендован на снабжение ВВС» (12295).</w:t>
      </w:r>
    </w:p>
    <w:p w14:paraId="1DD52C23" w14:textId="77777777" w:rsidR="000B7F61" w:rsidRPr="00A259BD" w:rsidRDefault="000B7F61" w:rsidP="009236E3">
      <w:pPr>
        <w:spacing w:after="0" w:line="240" w:lineRule="auto"/>
        <w:jc w:val="both"/>
        <w:rPr>
          <w:rFonts w:ascii="Times New Roman" w:hAnsi="Times New Roman"/>
          <w:color w:val="000000" w:themeColor="text1"/>
          <w:sz w:val="16"/>
          <w:szCs w:val="16"/>
        </w:rPr>
      </w:pPr>
    </w:p>
    <w:p w14:paraId="160B01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Осенью 1929 г., после очередного визита в Германию советской комиссии во главе с </w:t>
      </w:r>
      <w:proofErr w:type="spellStart"/>
      <w:r w:rsidRPr="00A259BD">
        <w:rPr>
          <w:rFonts w:ascii="Times New Roman" w:hAnsi="Times New Roman"/>
          <w:color w:val="000000" w:themeColor="text1"/>
          <w:sz w:val="16"/>
          <w:szCs w:val="16"/>
        </w:rPr>
        <w:t>Я.И.Алкснисом</w:t>
      </w:r>
      <w:proofErr w:type="spellEnd"/>
      <w:r w:rsidRPr="00A259BD">
        <w:rPr>
          <w:rFonts w:ascii="Times New Roman" w:hAnsi="Times New Roman"/>
          <w:color w:val="000000" w:themeColor="text1"/>
          <w:sz w:val="16"/>
          <w:szCs w:val="16"/>
        </w:rPr>
        <w:t>, заказ на НD.55 увеличили до 20 экземпляров (11107).</w:t>
      </w:r>
    </w:p>
    <w:p w14:paraId="3F491D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0FE007" w14:textId="77777777" w:rsidR="000B7F61" w:rsidRPr="00A259BD" w:rsidRDefault="000B7F6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Осенью 1929 г., после очередного визи</w:t>
      </w:r>
      <w:r w:rsidRPr="00A259BD">
        <w:rPr>
          <w:rFonts w:ascii="Times New Roman" w:hAnsi="Times New Roman"/>
          <w:color w:val="000000" w:themeColor="text1"/>
          <w:sz w:val="16"/>
          <w:szCs w:val="16"/>
        </w:rPr>
        <w:softHyphen/>
        <w:t xml:space="preserve">та в Германию советской комиссии во главе . </w:t>
      </w:r>
      <w:proofErr w:type="spellStart"/>
      <w:r w:rsidRPr="00A259BD">
        <w:rPr>
          <w:rFonts w:ascii="Times New Roman" w:hAnsi="Times New Roman"/>
          <w:color w:val="000000" w:themeColor="text1"/>
          <w:sz w:val="16"/>
          <w:szCs w:val="16"/>
        </w:rPr>
        <w:t>Я.И.Алкснисом</w:t>
      </w:r>
      <w:proofErr w:type="spellEnd"/>
      <w:r w:rsidRPr="00A259BD">
        <w:rPr>
          <w:rFonts w:ascii="Times New Roman" w:hAnsi="Times New Roman"/>
          <w:color w:val="000000" w:themeColor="text1"/>
          <w:sz w:val="16"/>
          <w:szCs w:val="16"/>
        </w:rPr>
        <w:t>, заказ на НЭ.55 увеличили ю 20 экземпляров. 24 октября 1929 г. совет- -кое торговое представительство заключило . Хейнкелем дополнительный контракт на -</w:t>
      </w:r>
      <w:proofErr w:type="spellStart"/>
      <w:r w:rsidRPr="00A259BD">
        <w:rPr>
          <w:rFonts w:ascii="Times New Roman" w:hAnsi="Times New Roman"/>
          <w:color w:val="000000" w:themeColor="text1"/>
          <w:sz w:val="16"/>
          <w:szCs w:val="16"/>
        </w:rPr>
        <w:t>оставку</w:t>
      </w:r>
      <w:proofErr w:type="spellEnd"/>
      <w:r w:rsidRPr="00A259BD">
        <w:rPr>
          <w:rFonts w:ascii="Times New Roman" w:hAnsi="Times New Roman"/>
          <w:color w:val="000000" w:themeColor="text1"/>
          <w:sz w:val="16"/>
          <w:szCs w:val="16"/>
        </w:rPr>
        <w:t xml:space="preserve"> 14 таких летающих лодок по цене 52 000 марок (общая стоимость дополнитель</w:t>
      </w:r>
      <w:r w:rsidRPr="00A259BD">
        <w:rPr>
          <w:rFonts w:ascii="Times New Roman" w:hAnsi="Times New Roman"/>
          <w:color w:val="000000" w:themeColor="text1"/>
          <w:sz w:val="16"/>
          <w:szCs w:val="16"/>
        </w:rPr>
        <w:softHyphen/>
        <w:t>ного контракта 728 000 марок). В это допол</w:t>
      </w:r>
      <w:r w:rsidRPr="00A259BD">
        <w:rPr>
          <w:rFonts w:ascii="Times New Roman" w:hAnsi="Times New Roman"/>
          <w:color w:val="000000" w:themeColor="text1"/>
          <w:sz w:val="16"/>
          <w:szCs w:val="16"/>
        </w:rPr>
        <w:softHyphen/>
        <w:t>нительное соглашение вошли поставка кон</w:t>
      </w:r>
      <w:r w:rsidRPr="00A259BD">
        <w:rPr>
          <w:rFonts w:ascii="Times New Roman" w:hAnsi="Times New Roman"/>
          <w:color w:val="000000" w:themeColor="text1"/>
          <w:sz w:val="16"/>
          <w:szCs w:val="16"/>
        </w:rPr>
        <w:softHyphen/>
        <w:t>структивных заводских чертежей, установка -</w:t>
      </w:r>
      <w:proofErr w:type="spellStart"/>
      <w:r w:rsidRPr="00A259BD">
        <w:rPr>
          <w:rFonts w:ascii="Times New Roman" w:hAnsi="Times New Roman"/>
          <w:color w:val="000000" w:themeColor="text1"/>
          <w:sz w:val="16"/>
          <w:szCs w:val="16"/>
        </w:rPr>
        <w:t>илотажных</w:t>
      </w:r>
      <w:proofErr w:type="spellEnd"/>
      <w:r w:rsidRPr="00A259BD">
        <w:rPr>
          <w:rFonts w:ascii="Times New Roman" w:hAnsi="Times New Roman"/>
          <w:color w:val="000000" w:themeColor="text1"/>
          <w:sz w:val="16"/>
          <w:szCs w:val="16"/>
        </w:rPr>
        <w:t xml:space="preserve"> приборов, оборудования и ин</w:t>
      </w:r>
      <w:r w:rsidRPr="00A259BD">
        <w:rPr>
          <w:rFonts w:ascii="Times New Roman" w:hAnsi="Times New Roman"/>
          <w:color w:val="000000" w:themeColor="text1"/>
          <w:sz w:val="16"/>
          <w:szCs w:val="16"/>
        </w:rPr>
        <w:softHyphen/>
        <w:t>струментов, комплектация каждого самолета парашютами и спасательными поясами (12301).</w:t>
      </w:r>
    </w:p>
    <w:p w14:paraId="43124F13" w14:textId="77777777" w:rsidR="000B7F61" w:rsidRPr="00A259BD" w:rsidRDefault="000B7F61" w:rsidP="009236E3">
      <w:pPr>
        <w:spacing w:after="0" w:line="240" w:lineRule="auto"/>
        <w:jc w:val="both"/>
        <w:rPr>
          <w:rFonts w:ascii="Times New Roman" w:hAnsi="Times New Roman"/>
          <w:color w:val="000000" w:themeColor="text1"/>
          <w:sz w:val="16"/>
          <w:szCs w:val="16"/>
        </w:rPr>
      </w:pPr>
    </w:p>
    <w:p w14:paraId="30706059" w14:textId="77777777" w:rsidR="005F45F4" w:rsidRPr="00A259BD" w:rsidRDefault="005F45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Осенью 1929 года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решил попытаться приобрести всю фирму «Хейнкель» целиком и перебазировать ее для работы в СССР.</w:t>
      </w:r>
    </w:p>
    <w:p w14:paraId="622D0501" w14:textId="77777777" w:rsidR="005F45F4" w:rsidRPr="00A259BD" w:rsidRDefault="005F45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Из доклада </w:t>
      </w:r>
      <w:proofErr w:type="spellStart"/>
      <w:r w:rsidRPr="00A259BD">
        <w:rPr>
          <w:rFonts w:ascii="Times New Roman" w:hAnsi="Times New Roman"/>
          <w:color w:val="000000" w:themeColor="text1"/>
          <w:sz w:val="16"/>
          <w:szCs w:val="16"/>
        </w:rPr>
        <w:t>Главконцесскому</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заместителя уполномоченного НКВМ при НКТ СССР </w:t>
      </w:r>
      <w:proofErr w:type="spellStart"/>
      <w:r w:rsidRPr="00A259BD">
        <w:rPr>
          <w:rFonts w:ascii="Times New Roman" w:hAnsi="Times New Roman"/>
          <w:color w:val="000000" w:themeColor="text1"/>
          <w:sz w:val="16"/>
          <w:szCs w:val="16"/>
        </w:rPr>
        <w:t>Дубянского</w:t>
      </w:r>
      <w:proofErr w:type="spellEnd"/>
      <w:r w:rsidRPr="00A259BD">
        <w:rPr>
          <w:rFonts w:ascii="Times New Roman" w:hAnsi="Times New Roman"/>
          <w:color w:val="000000" w:themeColor="text1"/>
          <w:sz w:val="16"/>
          <w:szCs w:val="16"/>
        </w:rPr>
        <w:t xml:space="preserve"> от 29 ноября 1929 г.:</w:t>
      </w:r>
    </w:p>
    <w:p w14:paraId="7425ECEC" w14:textId="77777777" w:rsidR="005F45F4" w:rsidRPr="00A259BD" w:rsidRDefault="005F45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«Нашему уполномоченному в Берлине было дано задание провести переговоры с доктором Хейнкель о возможности его перехода со всем техническим и руководящим составом на работу к нам в Союз. Практически в настоящее время наш уполномоченный поставил перед Хейнкелем вопрос о переброске части Конструкторского отдела Хейнкеля в СССР. Фирма согласилась это предложение рассмотреть, на что потребовала 7-10-дневный срок.</w:t>
      </w:r>
    </w:p>
    <w:p w14:paraId="6DFF19B6" w14:textId="77777777" w:rsidR="005F45F4" w:rsidRPr="00A259BD" w:rsidRDefault="005F45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Судя по первому </w:t>
      </w:r>
      <w:proofErr w:type="spellStart"/>
      <w:r w:rsidRPr="00A259BD">
        <w:rPr>
          <w:rFonts w:ascii="Times New Roman" w:hAnsi="Times New Roman"/>
          <w:color w:val="000000" w:themeColor="text1"/>
          <w:sz w:val="16"/>
          <w:szCs w:val="16"/>
        </w:rPr>
        <w:t>впечателению</w:t>
      </w:r>
      <w:proofErr w:type="spellEnd"/>
      <w:r w:rsidRPr="00A259BD">
        <w:rPr>
          <w:rFonts w:ascii="Times New Roman" w:hAnsi="Times New Roman"/>
          <w:color w:val="000000" w:themeColor="text1"/>
          <w:sz w:val="16"/>
          <w:szCs w:val="16"/>
        </w:rPr>
        <w:t xml:space="preserve">, наше предложение фирме кажется щекотливым, и </w:t>
      </w:r>
      <w:proofErr w:type="spellStart"/>
      <w:r w:rsidRPr="00A259BD">
        <w:rPr>
          <w:rFonts w:ascii="Times New Roman" w:hAnsi="Times New Roman"/>
          <w:color w:val="000000" w:themeColor="text1"/>
          <w:sz w:val="16"/>
          <w:szCs w:val="16"/>
        </w:rPr>
        <w:t>др</w:t>
      </w:r>
      <w:proofErr w:type="spellEnd"/>
      <w:r w:rsidRPr="00A259BD">
        <w:rPr>
          <w:rFonts w:ascii="Times New Roman" w:hAnsi="Times New Roman"/>
          <w:color w:val="000000" w:themeColor="text1"/>
          <w:sz w:val="16"/>
          <w:szCs w:val="16"/>
        </w:rPr>
        <w:t xml:space="preserve"> Хейнкель не совсем ясно представляет себе организационную форму такой совместной работы…»</w:t>
      </w:r>
    </w:p>
    <w:p w14:paraId="6E8A3E3F" w14:textId="77777777" w:rsidR="005F45F4" w:rsidRPr="00A259BD" w:rsidRDefault="005F45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Переписка </w:t>
      </w:r>
      <w:proofErr w:type="spellStart"/>
      <w:r w:rsidRPr="00A259BD">
        <w:rPr>
          <w:rFonts w:ascii="Times New Roman" w:hAnsi="Times New Roman"/>
          <w:color w:val="000000" w:themeColor="text1"/>
          <w:sz w:val="16"/>
          <w:szCs w:val="16"/>
        </w:rPr>
        <w:t>Главконцесскома</w:t>
      </w:r>
      <w:proofErr w:type="spellEnd"/>
      <w:r w:rsidRPr="00A259BD">
        <w:rPr>
          <w:rFonts w:ascii="Times New Roman" w:hAnsi="Times New Roman"/>
          <w:color w:val="000000" w:themeColor="text1"/>
          <w:sz w:val="16"/>
          <w:szCs w:val="16"/>
        </w:rPr>
        <w:t xml:space="preserve"> свидетельствует о том, что в правлении фирмы «Хейнкель» советское предложение рассматривали со всей серьезностью:</w:t>
      </w:r>
    </w:p>
    <w:p w14:paraId="4882DCB7" w14:textId="77777777" w:rsidR="005F45F4" w:rsidRPr="00A259BD" w:rsidRDefault="005F45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«Дополнительно… ставлю вас в известность, что мною получено от нашего уполномоченного в Берлине сообщение о принципиальном согласии ф-мы Хейнкеля на совместную работу в СССР. Окончательное свое решение ф. Хейнкель даст по получении от нас полных данных о реальных формах сотрудничества и конкретных условиях, на которых желательно для нас привлечь фирму к сотрудничеству».</w:t>
      </w:r>
    </w:p>
    <w:p w14:paraId="5F5A2CA0" w14:textId="77777777" w:rsidR="005F45F4" w:rsidRPr="00A259BD" w:rsidRDefault="005F45F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Исходя из анализа имеющихся в распоряжении документов, можно предположить, что в процессе переговоров о «переезде Хейнкеля в СССР» постепенно был выработан вариант, напоминавший бегство Фоккера в Голландию. Сам Эрнст Хейнкель, скорее всего, согласился бы на любое советское предложение, поскольку германская экономика, привязанная к курсу доллара репарационным планом </w:t>
      </w:r>
      <w:proofErr w:type="spellStart"/>
      <w:r w:rsidRPr="00A259BD">
        <w:rPr>
          <w:rFonts w:ascii="Times New Roman" w:hAnsi="Times New Roman"/>
          <w:color w:val="000000" w:themeColor="text1"/>
          <w:sz w:val="16"/>
          <w:szCs w:val="16"/>
        </w:rPr>
        <w:t>Дауэса</w:t>
      </w:r>
      <w:proofErr w:type="spellEnd"/>
      <w:r w:rsidRPr="00A259BD">
        <w:rPr>
          <w:rFonts w:ascii="Times New Roman" w:hAnsi="Times New Roman"/>
          <w:color w:val="000000" w:themeColor="text1"/>
          <w:sz w:val="16"/>
          <w:szCs w:val="16"/>
        </w:rPr>
        <w:t>, уже начинала ощущать на себе последствия Великой депрессии. Скорее всего, дальнейшее развитие проекта было заблокировано на более высоких административных уровнях в НКВМ или в Совнаркоме, где не желали повторения прежних ошибок, допущенных в «деле Юнкерса». Так или иначе, Хейнкель советским авиаконструктором не стал (18263).</w:t>
      </w:r>
    </w:p>
    <w:p w14:paraId="216ECF4B" w14:textId="77777777" w:rsidR="005F45F4" w:rsidRPr="00A259BD" w:rsidRDefault="005F45F4" w:rsidP="009236E3">
      <w:pPr>
        <w:spacing w:after="0" w:line="240" w:lineRule="auto"/>
        <w:jc w:val="both"/>
        <w:rPr>
          <w:rFonts w:ascii="Times New Roman" w:hAnsi="Times New Roman"/>
          <w:color w:val="000000" w:themeColor="text1"/>
          <w:sz w:val="16"/>
          <w:szCs w:val="16"/>
        </w:rPr>
      </w:pPr>
    </w:p>
    <w:p w14:paraId="331329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Осенью 1929 к </w:t>
      </w:r>
      <w:proofErr w:type="spellStart"/>
      <w:r w:rsidRPr="00A259BD">
        <w:rPr>
          <w:rFonts w:ascii="Times New Roman" w:hAnsi="Times New Roman"/>
          <w:color w:val="000000" w:themeColor="text1"/>
          <w:sz w:val="16"/>
          <w:szCs w:val="16"/>
        </w:rPr>
        <w:t>У.Нобиле</w:t>
      </w:r>
      <w:proofErr w:type="spellEnd"/>
      <w:r w:rsidRPr="00A259BD">
        <w:rPr>
          <w:rFonts w:ascii="Times New Roman" w:hAnsi="Times New Roman"/>
          <w:color w:val="000000" w:themeColor="text1"/>
          <w:sz w:val="16"/>
          <w:szCs w:val="16"/>
        </w:rPr>
        <w:t xml:space="preserve"> приехали двое из России и предложили ему возглавить советское дирижаблестроение. Видно отказался, так как предлагали второй раз в июне 1930 (1228,7).</w:t>
      </w:r>
    </w:p>
    <w:p w14:paraId="012E77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EB671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Осенью 1929 года в кунцевском районе Московской области – платформа 15 км Московско-</w:t>
      </w:r>
      <w:proofErr w:type="spellStart"/>
      <w:r w:rsidRPr="00A259BD">
        <w:rPr>
          <w:rFonts w:ascii="Times New Roman" w:hAnsi="Times New Roman"/>
          <w:color w:val="000000" w:themeColor="text1"/>
          <w:sz w:val="16"/>
          <w:szCs w:val="16"/>
        </w:rPr>
        <w:t>Беларусской</w:t>
      </w:r>
      <w:proofErr w:type="spellEnd"/>
      <w:r w:rsidRPr="00A259BD">
        <w:rPr>
          <w:rFonts w:ascii="Times New Roman" w:hAnsi="Times New Roman"/>
          <w:color w:val="000000" w:themeColor="text1"/>
          <w:sz w:val="16"/>
          <w:szCs w:val="16"/>
        </w:rPr>
        <w:t xml:space="preserve"> Балтийской дороги по разработанному в 1928 году проекту “</w:t>
      </w:r>
      <w:proofErr w:type="spellStart"/>
      <w:r w:rsidRPr="00A259BD">
        <w:rPr>
          <w:rFonts w:ascii="Times New Roman" w:hAnsi="Times New Roman"/>
          <w:color w:val="000000" w:themeColor="text1"/>
          <w:sz w:val="16"/>
          <w:szCs w:val="16"/>
        </w:rPr>
        <w:t>Гипроцветмета</w:t>
      </w:r>
      <w:proofErr w:type="spellEnd"/>
      <w:r w:rsidRPr="00A259BD">
        <w:rPr>
          <w:rFonts w:ascii="Times New Roman" w:hAnsi="Times New Roman"/>
          <w:color w:val="000000" w:themeColor="text1"/>
          <w:sz w:val="16"/>
          <w:szCs w:val="16"/>
        </w:rPr>
        <w:t>” был начат строительством будущий завод № 95.</w:t>
      </w:r>
    </w:p>
    <w:p w14:paraId="6830E6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Строительство завода, который именовался до 1938 года заводом № 45 </w:t>
      </w:r>
      <w:proofErr w:type="spellStart"/>
      <w:r w:rsidRPr="00A259BD">
        <w:rPr>
          <w:rFonts w:ascii="Times New Roman" w:hAnsi="Times New Roman"/>
          <w:color w:val="000000" w:themeColor="text1"/>
          <w:sz w:val="16"/>
          <w:szCs w:val="16"/>
        </w:rPr>
        <w:t>Главцветметобработки</w:t>
      </w:r>
      <w:proofErr w:type="spellEnd"/>
      <w:r w:rsidRPr="00A259BD">
        <w:rPr>
          <w:rFonts w:ascii="Times New Roman" w:hAnsi="Times New Roman"/>
          <w:color w:val="000000" w:themeColor="text1"/>
          <w:sz w:val="16"/>
          <w:szCs w:val="16"/>
        </w:rPr>
        <w:t xml:space="preserve"> НКТП было закончено в 1933 году. В июле 1933 года завод был включен в число </w:t>
      </w:r>
      <w:proofErr w:type="spellStart"/>
      <w:r w:rsidRPr="00A259BD">
        <w:rPr>
          <w:rFonts w:ascii="Times New Roman" w:hAnsi="Times New Roman"/>
          <w:color w:val="000000" w:themeColor="text1"/>
          <w:sz w:val="16"/>
          <w:szCs w:val="16"/>
        </w:rPr>
        <w:t>дествующих</w:t>
      </w:r>
      <w:proofErr w:type="spellEnd"/>
      <w:r w:rsidRPr="00A259BD">
        <w:rPr>
          <w:rFonts w:ascii="Times New Roman" w:hAnsi="Times New Roman"/>
          <w:color w:val="000000" w:themeColor="text1"/>
          <w:sz w:val="16"/>
          <w:szCs w:val="16"/>
        </w:rPr>
        <w:t xml:space="preserve">. В 1938 году завод перешел из НКТП в систему НКОП, а в 1939 году в НКОП. С переходом в 1934 году в систему </w:t>
      </w:r>
      <w:proofErr w:type="spellStart"/>
      <w:r w:rsidRPr="00A259BD">
        <w:rPr>
          <w:rFonts w:ascii="Times New Roman" w:hAnsi="Times New Roman"/>
          <w:color w:val="000000" w:themeColor="text1"/>
          <w:sz w:val="16"/>
          <w:szCs w:val="16"/>
        </w:rPr>
        <w:t>Глававиапрома</w:t>
      </w:r>
      <w:proofErr w:type="spellEnd"/>
      <w:r w:rsidRPr="00A259BD">
        <w:rPr>
          <w:rFonts w:ascii="Times New Roman" w:hAnsi="Times New Roman"/>
          <w:color w:val="000000" w:themeColor="text1"/>
          <w:sz w:val="16"/>
          <w:szCs w:val="16"/>
        </w:rPr>
        <w:t xml:space="preserve"> ГКТП были развернуты работы по реконструкции завода.</w:t>
      </w:r>
    </w:p>
    <w:p w14:paraId="36F592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моменту эвакуации предприятия в Верхнюю Салду завод выпускал полуфабрикаты из легких сплавов для моторных и самолетных заводов.</w:t>
      </w:r>
    </w:p>
    <w:p w14:paraId="05F0F2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Согласно приказу НКАП от 9 октября 1941 года за № 053сс завод начал полную эвакуацию из Кунцево в </w:t>
      </w:r>
      <w:proofErr w:type="spellStart"/>
      <w:r w:rsidRPr="00A259BD">
        <w:rPr>
          <w:rFonts w:ascii="Times New Roman" w:hAnsi="Times New Roman"/>
          <w:color w:val="000000" w:themeColor="text1"/>
          <w:sz w:val="16"/>
          <w:szCs w:val="16"/>
        </w:rPr>
        <w:t>В</w:t>
      </w:r>
      <w:proofErr w:type="spellEnd"/>
      <w:r w:rsidRPr="00A259BD">
        <w:rPr>
          <w:rFonts w:ascii="Times New Roman" w:hAnsi="Times New Roman"/>
          <w:color w:val="000000" w:themeColor="text1"/>
          <w:sz w:val="16"/>
          <w:szCs w:val="16"/>
        </w:rPr>
        <w:t>. Салда на производственные площади завода “</w:t>
      </w:r>
      <w:proofErr w:type="spellStart"/>
      <w:r w:rsidRPr="00A259BD">
        <w:rPr>
          <w:rFonts w:ascii="Times New Roman" w:hAnsi="Times New Roman"/>
          <w:color w:val="000000" w:themeColor="text1"/>
          <w:sz w:val="16"/>
          <w:szCs w:val="16"/>
        </w:rPr>
        <w:t>Стальмост</w:t>
      </w:r>
      <w:proofErr w:type="spellEnd"/>
      <w:r w:rsidRPr="00A259BD">
        <w:rPr>
          <w:rFonts w:ascii="Times New Roman" w:hAnsi="Times New Roman"/>
          <w:color w:val="000000" w:themeColor="text1"/>
          <w:sz w:val="16"/>
          <w:szCs w:val="16"/>
        </w:rPr>
        <w:t>” НКТП.</w:t>
      </w:r>
    </w:p>
    <w:p w14:paraId="078314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освобожденных площадях завода № 95 в Кунцевском районе Московской области в январе 1942 года был создан филиал завода № 95 на базе которого в дальнейшем был организован завод № 65.</w:t>
      </w:r>
    </w:p>
    <w:p w14:paraId="4AB721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основании Постановления СМ от 27 марта 1953 года завод был передан МОП и в том же году по Постановлению СМ за № 2259-920сс по образованию МАП и приказа МАП от 27 августа 1953 года за № 1сс завод перешел в ведение МАП.</w:t>
      </w:r>
    </w:p>
    <w:p w14:paraId="6E98E6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Адрес: В. Салда Свердловской области</w:t>
      </w:r>
    </w:p>
    <w:p w14:paraId="7ADC2A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момента организации по 1934 год – директор Заборов Н.П. В первой половине 1935 года – директор Конторщиков Со второй половины 1935 года по 1936 год – директор Музалевский Ю.Г. С 1937 по первое полугодие 1938 года – директор Лещенко С.М. Со второго полугодия 1938 года по 1942 год – директор </w:t>
      </w:r>
      <w:proofErr w:type="spellStart"/>
      <w:r w:rsidRPr="00A259BD">
        <w:rPr>
          <w:rFonts w:ascii="Times New Roman" w:hAnsi="Times New Roman"/>
          <w:color w:val="000000" w:themeColor="text1"/>
          <w:sz w:val="16"/>
          <w:szCs w:val="16"/>
        </w:rPr>
        <w:t>Выштынецкий</w:t>
      </w:r>
      <w:proofErr w:type="spellEnd"/>
      <w:r w:rsidRPr="00A259BD">
        <w:rPr>
          <w:rFonts w:ascii="Times New Roman" w:hAnsi="Times New Roman"/>
          <w:color w:val="000000" w:themeColor="text1"/>
          <w:sz w:val="16"/>
          <w:szCs w:val="16"/>
        </w:rPr>
        <w:t xml:space="preserve"> И.С. С 1943 года по 1946 год – директор Лещенко С.М. С 1946 года до сентября 1950 года – директор Журавлев Ф.В. С сентября 1950 года по апрель 1952 года – директор Черняев А.А. С апреля 1952 года до марта 1958 года – директор Агарков Г.Д. С апреля 1958 года – директор </w:t>
      </w:r>
      <w:proofErr w:type="spellStart"/>
      <w:r w:rsidRPr="00A259BD">
        <w:rPr>
          <w:rFonts w:ascii="Times New Roman" w:hAnsi="Times New Roman"/>
          <w:color w:val="000000" w:themeColor="text1"/>
          <w:sz w:val="16"/>
          <w:szCs w:val="16"/>
        </w:rPr>
        <w:t>Прощицкий</w:t>
      </w:r>
      <w:proofErr w:type="spellEnd"/>
      <w:r w:rsidRPr="00A259BD">
        <w:rPr>
          <w:rFonts w:ascii="Times New Roman" w:hAnsi="Times New Roman"/>
          <w:color w:val="000000" w:themeColor="text1"/>
          <w:sz w:val="16"/>
          <w:szCs w:val="16"/>
        </w:rPr>
        <w:t xml:space="preserve"> Х.С. (9659).</w:t>
      </w:r>
    </w:p>
    <w:p w14:paraId="6B5E43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4234D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8F0D1B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AA8EF5" w14:textId="77777777" w:rsidR="004A191D" w:rsidRPr="00A259BD" w:rsidRDefault="004A191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Осенью 1929 г. в Севастополе 305-мм башенная батарея № 35 окончательно вступила в строй. К 1939 г. износ стволов составлял 86%, требовалась их замена. В 1940 г. были заказаны четыре </w:t>
      </w:r>
      <w:proofErr w:type="spellStart"/>
      <w:r w:rsidRPr="00A259BD">
        <w:rPr>
          <w:rFonts w:ascii="Times New Roman" w:hAnsi="Times New Roman"/>
          <w:color w:val="000000" w:themeColor="text1"/>
          <w:sz w:val="16"/>
          <w:szCs w:val="16"/>
        </w:rPr>
        <w:t>лейнированных</w:t>
      </w:r>
      <w:proofErr w:type="spellEnd"/>
      <w:r w:rsidRPr="00A259BD">
        <w:rPr>
          <w:rFonts w:ascii="Times New Roman" w:hAnsi="Times New Roman"/>
          <w:color w:val="000000" w:themeColor="text1"/>
          <w:sz w:val="16"/>
          <w:szCs w:val="16"/>
        </w:rPr>
        <w:t xml:space="preserve"> ствола (15132).</w:t>
      </w:r>
    </w:p>
    <w:p w14:paraId="2F3B2472" w14:textId="77777777" w:rsidR="004A191D" w:rsidRPr="00A259BD" w:rsidRDefault="004A191D" w:rsidP="009236E3">
      <w:pPr>
        <w:spacing w:after="0" w:line="240" w:lineRule="auto"/>
        <w:jc w:val="both"/>
        <w:rPr>
          <w:rFonts w:ascii="Times New Roman" w:hAnsi="Times New Roman"/>
          <w:color w:val="000000" w:themeColor="text1"/>
          <w:sz w:val="16"/>
          <w:szCs w:val="16"/>
        </w:rPr>
      </w:pPr>
    </w:p>
    <w:p w14:paraId="0AF202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осени 1929 была готова танкетка Т-17 или Лилипут (4243,30).</w:t>
      </w:r>
    </w:p>
    <w:p w14:paraId="014E47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32BB75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осени 1929 г. был готов первый образец Т-17. Второй вариант Т-17 имел уже либо резиновую гусеницу типа “</w:t>
      </w:r>
      <w:proofErr w:type="spellStart"/>
      <w:r w:rsidRPr="00A259BD">
        <w:rPr>
          <w:rFonts w:ascii="Times New Roman" w:hAnsi="Times New Roman"/>
          <w:color w:val="000000" w:themeColor="text1"/>
          <w:sz w:val="16"/>
          <w:szCs w:val="16"/>
        </w:rPr>
        <w:t>Кегресс</w:t>
      </w:r>
      <w:proofErr w:type="spellEnd"/>
      <w:r w:rsidRPr="00A259BD">
        <w:rPr>
          <w:rFonts w:ascii="Times New Roman" w:hAnsi="Times New Roman"/>
          <w:color w:val="000000" w:themeColor="text1"/>
          <w:sz w:val="16"/>
          <w:szCs w:val="16"/>
        </w:rPr>
        <w:t>”, либо облег</w:t>
      </w:r>
      <w:r w:rsidRPr="00A259BD">
        <w:rPr>
          <w:rFonts w:ascii="Times New Roman" w:hAnsi="Times New Roman"/>
          <w:color w:val="000000" w:themeColor="text1"/>
          <w:sz w:val="16"/>
          <w:szCs w:val="16"/>
        </w:rPr>
        <w:softHyphen/>
        <w:t>ченную стальную гусеничную цепь. Несмотря на неполад</w:t>
      </w:r>
      <w:r w:rsidRPr="00A259BD">
        <w:rPr>
          <w:rFonts w:ascii="Times New Roman" w:hAnsi="Times New Roman"/>
          <w:color w:val="000000" w:themeColor="text1"/>
          <w:sz w:val="16"/>
          <w:szCs w:val="16"/>
        </w:rPr>
        <w:softHyphen/>
        <w:t>ки, танкетка была испытана пробегом в январе 1930 г., а за</w:t>
      </w:r>
      <w:r w:rsidRPr="00A259BD">
        <w:rPr>
          <w:rFonts w:ascii="Times New Roman" w:hAnsi="Times New Roman"/>
          <w:color w:val="000000" w:themeColor="text1"/>
          <w:sz w:val="16"/>
          <w:szCs w:val="16"/>
        </w:rPr>
        <w:softHyphen/>
        <w:t>тем — в июне того же года и показала лучшую подвиж</w:t>
      </w:r>
      <w:r w:rsidRPr="00A259BD">
        <w:rPr>
          <w:rFonts w:ascii="Times New Roman" w:hAnsi="Times New Roman"/>
          <w:color w:val="000000" w:themeColor="text1"/>
          <w:sz w:val="16"/>
          <w:szCs w:val="16"/>
        </w:rPr>
        <w:softHyphen/>
        <w:t>ность, чем Т-18, однако одним из наиболее крупных недо</w:t>
      </w:r>
      <w:r w:rsidRPr="00A259BD">
        <w:rPr>
          <w:rFonts w:ascii="Times New Roman" w:hAnsi="Times New Roman"/>
          <w:color w:val="000000" w:themeColor="text1"/>
          <w:sz w:val="16"/>
          <w:szCs w:val="16"/>
        </w:rPr>
        <w:softHyphen/>
        <w:t>статков танкетки стал одноместный кузов. Поэтому се</w:t>
      </w:r>
      <w:r w:rsidRPr="00A259BD">
        <w:rPr>
          <w:rFonts w:ascii="Times New Roman" w:hAnsi="Times New Roman"/>
          <w:color w:val="000000" w:themeColor="text1"/>
          <w:sz w:val="16"/>
          <w:szCs w:val="16"/>
        </w:rPr>
        <w:softHyphen/>
        <w:t>рийное производство Т-17, имевшей те же недостатки, что и танкетка Максимова 1919 г., сочли нецелесообразным и вскоре было принято решение о продолжении работ над двухместной танкеткой с использованием стандартных уз</w:t>
      </w:r>
      <w:r w:rsidRPr="00A259BD">
        <w:rPr>
          <w:rFonts w:ascii="Times New Roman" w:hAnsi="Times New Roman"/>
          <w:color w:val="000000" w:themeColor="text1"/>
          <w:sz w:val="16"/>
          <w:szCs w:val="16"/>
        </w:rPr>
        <w:softHyphen/>
        <w:t>лов танка Т-18 (10733,85).</w:t>
      </w:r>
    </w:p>
    <w:p w14:paraId="2F2501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FF0386" w14:textId="77777777" w:rsidR="0020500E" w:rsidRPr="00A259BD" w:rsidRDefault="0020500E"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 xml:space="preserve">Осенью 1929 г. состоялась встреча </w:t>
      </w:r>
      <w:proofErr w:type="spellStart"/>
      <w:r w:rsidRPr="00A259BD">
        <w:rPr>
          <w:rFonts w:ascii="Times New Roman" w:hAnsi="Times New Roman"/>
          <w:color w:val="000000" w:themeColor="text1"/>
          <w:sz w:val="16"/>
          <w:szCs w:val="16"/>
          <w:bdr w:val="none" w:sz="0" w:space="0" w:color="auto" w:frame="1"/>
        </w:rPr>
        <w:t>Дыренкова</w:t>
      </w:r>
      <w:proofErr w:type="spellEnd"/>
      <w:r w:rsidRPr="00A259BD">
        <w:rPr>
          <w:rFonts w:ascii="Times New Roman" w:hAnsi="Times New Roman"/>
          <w:color w:val="000000" w:themeColor="text1"/>
          <w:sz w:val="16"/>
          <w:szCs w:val="16"/>
          <w:bdr w:val="none" w:sz="0" w:space="0" w:color="auto" w:frame="1"/>
        </w:rPr>
        <w:t xml:space="preserve"> с начальником УММ И. </w:t>
      </w:r>
      <w:proofErr w:type="spellStart"/>
      <w:r w:rsidRPr="00A259BD">
        <w:rPr>
          <w:rFonts w:ascii="Times New Roman" w:hAnsi="Times New Roman"/>
          <w:color w:val="000000" w:themeColor="text1"/>
          <w:sz w:val="16"/>
          <w:szCs w:val="16"/>
          <w:bdr w:val="none" w:sz="0" w:space="0" w:color="auto" w:frame="1"/>
        </w:rPr>
        <w:t>Халепским</w:t>
      </w:r>
      <w:proofErr w:type="spellEnd"/>
      <w:r w:rsidRPr="00A259BD">
        <w:rPr>
          <w:rFonts w:ascii="Times New Roman" w:hAnsi="Times New Roman"/>
          <w:color w:val="000000" w:themeColor="text1"/>
          <w:sz w:val="16"/>
          <w:szCs w:val="16"/>
          <w:bdr w:val="none" w:sz="0" w:space="0" w:color="auto" w:frame="1"/>
        </w:rPr>
        <w:t>, который прибыл на Ижорский завод по вопросу организации серийного выпуска бронеавтомобилей.</w:t>
      </w:r>
    </w:p>
    <w:p w14:paraId="1736F33D" w14:textId="77777777" w:rsidR="0020500E" w:rsidRPr="00A259BD" w:rsidRDefault="0020500E"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 xml:space="preserve">Видимо, результатом этой встречи были довольны обе стороны, так как вскоре начальник УММ И. </w:t>
      </w:r>
      <w:proofErr w:type="spellStart"/>
      <w:r w:rsidRPr="00A259BD">
        <w:rPr>
          <w:rFonts w:ascii="Times New Roman" w:hAnsi="Times New Roman"/>
          <w:color w:val="000000" w:themeColor="text1"/>
          <w:sz w:val="16"/>
          <w:szCs w:val="16"/>
          <w:bdr w:val="none" w:sz="0" w:space="0" w:color="auto" w:frame="1"/>
        </w:rPr>
        <w:t>Халепский</w:t>
      </w:r>
      <w:proofErr w:type="spellEnd"/>
      <w:r w:rsidRPr="00A259BD">
        <w:rPr>
          <w:rFonts w:ascii="Times New Roman" w:hAnsi="Times New Roman"/>
          <w:color w:val="000000" w:themeColor="text1"/>
          <w:sz w:val="16"/>
          <w:szCs w:val="16"/>
          <w:bdr w:val="none" w:sz="0" w:space="0" w:color="auto" w:frame="1"/>
        </w:rPr>
        <w:t xml:space="preserve"> направил заместителю председателя реввоенсовета </w:t>
      </w:r>
      <w:proofErr w:type="spellStart"/>
      <w:r w:rsidRPr="00A259BD">
        <w:rPr>
          <w:rFonts w:ascii="Times New Roman" w:hAnsi="Times New Roman"/>
          <w:color w:val="000000" w:themeColor="text1"/>
          <w:sz w:val="16"/>
          <w:szCs w:val="16"/>
          <w:bdr w:val="none" w:sz="0" w:space="0" w:color="auto" w:frame="1"/>
        </w:rPr>
        <w:t>Уншлихту</w:t>
      </w:r>
      <w:proofErr w:type="spellEnd"/>
      <w:r w:rsidRPr="00A259BD">
        <w:rPr>
          <w:rFonts w:ascii="Times New Roman" w:hAnsi="Times New Roman"/>
          <w:color w:val="000000" w:themeColor="text1"/>
          <w:sz w:val="16"/>
          <w:szCs w:val="16"/>
          <w:bdr w:val="none" w:sz="0" w:space="0" w:color="auto" w:frame="1"/>
        </w:rPr>
        <w:t xml:space="preserve"> письмо следующего содержания:</w:t>
      </w:r>
    </w:p>
    <w:p w14:paraId="321E308C" w14:textId="77777777" w:rsidR="0020500E" w:rsidRPr="00A259BD" w:rsidRDefault="0020500E"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"СОВЕРШЕННО СЕКРЕТНО</w:t>
      </w:r>
    </w:p>
    <w:p w14:paraId="4B3925FA" w14:textId="77777777" w:rsidR="0020500E" w:rsidRPr="00A259BD" w:rsidRDefault="0020500E"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ЗАМ ПРЕДСЕДАТЕЛЯ РЕВВОЕНСОВЕТА СССР Тов. УНШЛИХТУ</w:t>
      </w:r>
    </w:p>
    <w:p w14:paraId="6A72CDB8" w14:textId="77777777" w:rsidR="0020500E" w:rsidRPr="00A259BD" w:rsidRDefault="0020500E"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 xml:space="preserve">Как я уже сообщал Вам ранее, из имеющихся в настоящее время в Управлении ММ </w:t>
      </w:r>
      <w:proofErr w:type="spellStart"/>
      <w:r w:rsidRPr="00A259BD">
        <w:rPr>
          <w:rFonts w:ascii="Times New Roman" w:hAnsi="Times New Roman"/>
          <w:color w:val="000000" w:themeColor="text1"/>
          <w:sz w:val="16"/>
          <w:szCs w:val="16"/>
          <w:bdr w:val="none" w:sz="0" w:space="0" w:color="auto" w:frame="1"/>
        </w:rPr>
        <w:t>проэктов</w:t>
      </w:r>
      <w:proofErr w:type="spellEnd"/>
      <w:r w:rsidRPr="00A259BD">
        <w:rPr>
          <w:rFonts w:ascii="Times New Roman" w:hAnsi="Times New Roman"/>
          <w:color w:val="000000" w:themeColor="text1"/>
          <w:sz w:val="16"/>
          <w:szCs w:val="16"/>
          <w:bdr w:val="none" w:sz="0" w:space="0" w:color="auto" w:frame="1"/>
        </w:rPr>
        <w:t xml:space="preserve"> </w:t>
      </w:r>
      <w:hyperlink r:id="rId188"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 xml:space="preserve">ов, предложенных в инициативном порядке на конкурсной основе, особого внимания заслуживает </w:t>
      </w:r>
      <w:proofErr w:type="spellStart"/>
      <w:r w:rsidRPr="00A259BD">
        <w:rPr>
          <w:rFonts w:ascii="Times New Roman" w:hAnsi="Times New Roman"/>
          <w:color w:val="000000" w:themeColor="text1"/>
          <w:sz w:val="16"/>
          <w:szCs w:val="16"/>
          <w:bdr w:val="none" w:sz="0" w:space="0" w:color="auto" w:frame="1"/>
        </w:rPr>
        <w:t>проэкт</w:t>
      </w:r>
      <w:proofErr w:type="spellEnd"/>
      <w:r w:rsidRPr="00A259BD">
        <w:rPr>
          <w:rFonts w:ascii="Times New Roman" w:hAnsi="Times New Roman"/>
          <w:color w:val="000000" w:themeColor="text1"/>
          <w:sz w:val="16"/>
          <w:szCs w:val="16"/>
          <w:bdr w:val="none" w:sz="0" w:space="0" w:color="auto" w:frame="1"/>
        </w:rPr>
        <w:t>, предложенный тов. ДЫРЕНКОВЫМ.</w:t>
      </w:r>
    </w:p>
    <w:p w14:paraId="514B0D3F" w14:textId="77777777" w:rsidR="0020500E" w:rsidRPr="00A259BD" w:rsidRDefault="0020500E"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 xml:space="preserve">От прочих </w:t>
      </w:r>
      <w:proofErr w:type="spellStart"/>
      <w:r w:rsidRPr="00A259BD">
        <w:rPr>
          <w:rFonts w:ascii="Times New Roman" w:hAnsi="Times New Roman"/>
          <w:color w:val="000000" w:themeColor="text1"/>
          <w:sz w:val="16"/>
          <w:szCs w:val="16"/>
          <w:bdr w:val="none" w:sz="0" w:space="0" w:color="auto" w:frame="1"/>
        </w:rPr>
        <w:t>проэктов</w:t>
      </w:r>
      <w:proofErr w:type="spellEnd"/>
      <w:r w:rsidRPr="00A259BD">
        <w:rPr>
          <w:rFonts w:ascii="Times New Roman" w:hAnsi="Times New Roman"/>
          <w:color w:val="000000" w:themeColor="text1"/>
          <w:sz w:val="16"/>
          <w:szCs w:val="16"/>
          <w:bdr w:val="none" w:sz="0" w:space="0" w:color="auto" w:frame="1"/>
        </w:rPr>
        <w:t xml:space="preserve"> указанный отличается не только мощным вооружением (2-3 пушки большого калибра и 3-4 пулемета), но и несет оригинальный комбинированный движитель, сочетающий возможность легкого перемещения своим ходом как по бездорожью (на гусеницах), так и по дорогам с твердым покрытием (на колесах) и железнодорожным путям (на специальных скатах). По мнение изобретателя такая схема позволит применять </w:t>
      </w:r>
      <w:hyperlink r:id="rId189"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 xml:space="preserve"> во всех видах современного боя без использования специальных транспортных средств что значительно удешевляет его </w:t>
      </w:r>
      <w:proofErr w:type="spellStart"/>
      <w:r w:rsidRPr="00A259BD">
        <w:rPr>
          <w:rFonts w:ascii="Times New Roman" w:hAnsi="Times New Roman"/>
          <w:color w:val="000000" w:themeColor="text1"/>
          <w:sz w:val="16"/>
          <w:szCs w:val="16"/>
          <w:bdr w:val="none" w:sz="0" w:space="0" w:color="auto" w:frame="1"/>
        </w:rPr>
        <w:t>эксплоатацию</w:t>
      </w:r>
      <w:proofErr w:type="spellEnd"/>
      <w:r w:rsidRPr="00A259BD">
        <w:rPr>
          <w:rFonts w:ascii="Times New Roman" w:hAnsi="Times New Roman"/>
          <w:color w:val="000000" w:themeColor="text1"/>
          <w:sz w:val="16"/>
          <w:szCs w:val="16"/>
          <w:bdr w:val="none" w:sz="0" w:space="0" w:color="auto" w:frame="1"/>
        </w:rPr>
        <w:t>.</w:t>
      </w:r>
    </w:p>
    <w:p w14:paraId="4747F7F6" w14:textId="77777777" w:rsidR="0020500E" w:rsidRPr="00A259BD" w:rsidRDefault="0020500E"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Личная беседа с изобретателем дает понять, что он рассматривает указанный тип </w:t>
      </w:r>
      <w:hyperlink r:id="rId190"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а, как универсальное боевое средство взамен гусеничных </w:t>
      </w:r>
      <w:hyperlink r:id="rId191"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ов, бронеавтомобилей и даже бронепоездов (в случае сцепки нескольких </w:t>
      </w:r>
      <w:hyperlink r:id="rId192"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ов в поезд).</w:t>
      </w:r>
    </w:p>
    <w:p w14:paraId="2F007C8C" w14:textId="77777777" w:rsidR="0020500E" w:rsidRPr="00A259BD" w:rsidRDefault="0020500E"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 xml:space="preserve">Считаю, что соображения автора </w:t>
      </w:r>
      <w:proofErr w:type="spellStart"/>
      <w:r w:rsidRPr="00A259BD">
        <w:rPr>
          <w:rFonts w:ascii="Times New Roman" w:hAnsi="Times New Roman"/>
          <w:color w:val="000000" w:themeColor="text1"/>
          <w:sz w:val="16"/>
          <w:szCs w:val="16"/>
          <w:bdr w:val="none" w:sz="0" w:space="0" w:color="auto" w:frame="1"/>
        </w:rPr>
        <w:t>проэкта</w:t>
      </w:r>
      <w:proofErr w:type="spellEnd"/>
      <w:r w:rsidRPr="00A259BD">
        <w:rPr>
          <w:rFonts w:ascii="Times New Roman" w:hAnsi="Times New Roman"/>
          <w:color w:val="000000" w:themeColor="text1"/>
          <w:sz w:val="16"/>
          <w:szCs w:val="16"/>
          <w:bdr w:val="none" w:sz="0" w:space="0" w:color="auto" w:frame="1"/>
        </w:rPr>
        <w:t xml:space="preserve"> разумны и должны быть проверены практикой.</w:t>
      </w:r>
    </w:p>
    <w:p w14:paraId="40B6DB14" w14:textId="77777777" w:rsidR="0020500E" w:rsidRPr="00A259BD" w:rsidRDefault="0020500E"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Жду Ваших указаний.</w:t>
      </w:r>
    </w:p>
    <w:p w14:paraId="41FF6E66" w14:textId="77777777" w:rsidR="0020500E" w:rsidRPr="00A259BD" w:rsidRDefault="0020500E"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Нач. УПРАВЛЕНИЯ ПО МОТОРИЗАЦИИ И МЕХАНИЗАЦИИ РККА</w:t>
      </w:r>
    </w:p>
    <w:p w14:paraId="7F3B1A9D" w14:textId="77777777" w:rsidR="0020500E" w:rsidRPr="00A259BD" w:rsidRDefault="0020500E"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w:t>
      </w:r>
      <w:proofErr w:type="spellStart"/>
      <w:r w:rsidRPr="00A259BD">
        <w:rPr>
          <w:rFonts w:ascii="Times New Roman" w:hAnsi="Times New Roman"/>
          <w:color w:val="000000" w:themeColor="text1"/>
          <w:sz w:val="16"/>
          <w:szCs w:val="16"/>
          <w:bdr w:val="none" w:sz="0" w:space="0" w:color="auto" w:frame="1"/>
        </w:rPr>
        <w:t>И.Халепский</w:t>
      </w:r>
      <w:proofErr w:type="spellEnd"/>
      <w:r w:rsidRPr="00A259BD">
        <w:rPr>
          <w:rFonts w:ascii="Times New Roman" w:hAnsi="Times New Roman"/>
          <w:color w:val="000000" w:themeColor="text1"/>
          <w:sz w:val="16"/>
          <w:szCs w:val="16"/>
          <w:bdr w:val="none" w:sz="0" w:space="0" w:color="auto" w:frame="1"/>
        </w:rPr>
        <w:t>/" (21513).</w:t>
      </w:r>
    </w:p>
    <w:p w14:paraId="1978F7E4" w14:textId="77777777" w:rsidR="0020500E" w:rsidRPr="00A259BD" w:rsidRDefault="0020500E" w:rsidP="009236E3">
      <w:pPr>
        <w:spacing w:after="0" w:line="240" w:lineRule="auto"/>
        <w:jc w:val="both"/>
        <w:rPr>
          <w:rFonts w:ascii="Times New Roman" w:hAnsi="Times New Roman"/>
          <w:color w:val="000000" w:themeColor="text1"/>
          <w:sz w:val="16"/>
          <w:szCs w:val="16"/>
          <w:bdr w:val="none" w:sz="0" w:space="0" w:color="auto" w:frame="1"/>
        </w:rPr>
      </w:pPr>
    </w:p>
    <w:p w14:paraId="572BA4DA" w14:textId="77777777" w:rsidR="0020500E" w:rsidRPr="00A259BD" w:rsidRDefault="0020500E"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Осенью 1929 г. состоялась встреча </w:t>
      </w:r>
      <w:proofErr w:type="spellStart"/>
      <w:r w:rsidRPr="00A259BD">
        <w:rPr>
          <w:rFonts w:ascii="Times New Roman" w:hAnsi="Times New Roman"/>
          <w:color w:val="000000" w:themeColor="text1"/>
          <w:sz w:val="16"/>
          <w:szCs w:val="16"/>
        </w:rPr>
        <w:t>Н.Дыренкова</w:t>
      </w:r>
      <w:proofErr w:type="spellEnd"/>
      <w:r w:rsidRPr="00A259BD">
        <w:rPr>
          <w:rFonts w:ascii="Times New Roman" w:hAnsi="Times New Roman"/>
          <w:color w:val="000000" w:themeColor="text1"/>
          <w:sz w:val="16"/>
          <w:szCs w:val="16"/>
        </w:rPr>
        <w:t xml:space="preserve"> с начальником УММ И. </w:t>
      </w:r>
      <w:proofErr w:type="spellStart"/>
      <w:r w:rsidRPr="00A259BD">
        <w:rPr>
          <w:rFonts w:ascii="Times New Roman" w:hAnsi="Times New Roman"/>
          <w:color w:val="000000" w:themeColor="text1"/>
          <w:sz w:val="16"/>
          <w:szCs w:val="16"/>
        </w:rPr>
        <w:t>Халепским</w:t>
      </w:r>
      <w:proofErr w:type="spellEnd"/>
      <w:r w:rsidRPr="00A259BD">
        <w:rPr>
          <w:rFonts w:ascii="Times New Roman" w:hAnsi="Times New Roman"/>
          <w:color w:val="000000" w:themeColor="text1"/>
          <w:sz w:val="16"/>
          <w:szCs w:val="16"/>
        </w:rPr>
        <w:t>, который прибыл на Ижорский завод по вопросу организа</w:t>
      </w:r>
      <w:r w:rsidRPr="00A259BD">
        <w:rPr>
          <w:rFonts w:ascii="Times New Roman" w:hAnsi="Times New Roman"/>
          <w:color w:val="000000" w:themeColor="text1"/>
          <w:sz w:val="16"/>
          <w:szCs w:val="16"/>
        </w:rPr>
        <w:softHyphen/>
        <w:t>ции серийного выпуска бронеавтомобилей (10733).</w:t>
      </w:r>
    </w:p>
    <w:p w14:paraId="4060142A" w14:textId="77777777" w:rsidR="0020500E" w:rsidRPr="00A259BD" w:rsidRDefault="0020500E"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CAAD3C" w14:textId="77777777" w:rsidR="0020500E" w:rsidRPr="00A259BD" w:rsidRDefault="0020500E" w:rsidP="009236E3">
      <w:pPr>
        <w:pStyle w:val="ae"/>
        <w:shd w:val="clear" w:color="auto" w:fill="FFFFFF"/>
        <w:spacing w:before="0" w:after="0"/>
        <w:jc w:val="both"/>
        <w:rPr>
          <w:color w:val="000000" w:themeColor="text1"/>
          <w:sz w:val="16"/>
          <w:szCs w:val="16"/>
        </w:rPr>
      </w:pPr>
      <w:r w:rsidRPr="00A259BD">
        <w:rPr>
          <w:color w:val="000000" w:themeColor="text1"/>
          <w:sz w:val="16"/>
          <w:szCs w:val="16"/>
        </w:rPr>
        <w:t xml:space="preserve">Осенью 1929 года Н. И. </w:t>
      </w:r>
      <w:proofErr w:type="spellStart"/>
      <w:r w:rsidRPr="00A259BD">
        <w:rPr>
          <w:color w:val="000000" w:themeColor="text1"/>
          <w:sz w:val="16"/>
          <w:szCs w:val="16"/>
        </w:rPr>
        <w:t>Дыренкову</w:t>
      </w:r>
      <w:proofErr w:type="spellEnd"/>
      <w:r w:rsidRPr="00A259BD">
        <w:rPr>
          <w:color w:val="000000" w:themeColor="text1"/>
          <w:sz w:val="16"/>
          <w:szCs w:val="16"/>
        </w:rPr>
        <w:t xml:space="preserve"> удалось заинтересовать своим проектом «железнодорожной бронированной автомотрисы» технический отдел Объединенного государственного политического управления (ОГПУ). В то время войска ОГПУ, в составе которых имелось до 12 отдельных железнодорожных полков и 10 отдельных железнодорожных батальонов, обеспечивали охрану железнодорожных станций и сооружений СССР. Одним из технических козырей Н. И. </w:t>
      </w:r>
      <w:proofErr w:type="spellStart"/>
      <w:r w:rsidRPr="00A259BD">
        <w:rPr>
          <w:color w:val="000000" w:themeColor="text1"/>
          <w:sz w:val="16"/>
          <w:szCs w:val="16"/>
        </w:rPr>
        <w:t>Дыренкова</w:t>
      </w:r>
      <w:proofErr w:type="spellEnd"/>
      <w:r w:rsidRPr="00A259BD">
        <w:rPr>
          <w:color w:val="000000" w:themeColor="text1"/>
          <w:sz w:val="16"/>
          <w:szCs w:val="16"/>
        </w:rPr>
        <w:t xml:space="preserve"> было то, что еще в 1928 году он на «санитарном автовагоне», построенном для Наркомздрава УССР, испытал реверсную систему передачи от двигателя к ведущей оси вагона собственного изобретения. Проектирование и изготовление такой передачи в те времена было непростым делом, а наличие реверсной передачи было совершенно необходимо для </w:t>
      </w:r>
      <w:proofErr w:type="spellStart"/>
      <w:r w:rsidRPr="00A259BD">
        <w:rPr>
          <w:color w:val="000000" w:themeColor="text1"/>
          <w:sz w:val="16"/>
          <w:szCs w:val="16"/>
        </w:rPr>
        <w:t>мотоброневагона</w:t>
      </w:r>
      <w:proofErr w:type="spellEnd"/>
      <w:r w:rsidRPr="00A259BD">
        <w:rPr>
          <w:color w:val="000000" w:themeColor="text1"/>
          <w:sz w:val="16"/>
          <w:szCs w:val="16"/>
        </w:rPr>
        <w:t xml:space="preserve"> (бронедрезины), одним из основных требований к которому было обеспечение возможности двигаться вперед и назад с одинаковой скоростью. Учитывая это обстоятельство, технический отдел ОГПУ выделил финансирование для постройки опытного образца </w:t>
      </w:r>
      <w:proofErr w:type="spellStart"/>
      <w:r w:rsidRPr="00A259BD">
        <w:rPr>
          <w:color w:val="000000" w:themeColor="text1"/>
          <w:sz w:val="16"/>
          <w:szCs w:val="16"/>
        </w:rPr>
        <w:t>мотоброневагона</w:t>
      </w:r>
      <w:proofErr w:type="spellEnd"/>
      <w:r w:rsidRPr="00A259BD">
        <w:rPr>
          <w:color w:val="000000" w:themeColor="text1"/>
          <w:sz w:val="16"/>
          <w:szCs w:val="16"/>
        </w:rPr>
        <w:t xml:space="preserve"> конструкции Н. И. </w:t>
      </w:r>
      <w:proofErr w:type="spellStart"/>
      <w:r w:rsidRPr="00A259BD">
        <w:rPr>
          <w:color w:val="000000" w:themeColor="text1"/>
          <w:sz w:val="16"/>
          <w:szCs w:val="16"/>
        </w:rPr>
        <w:lastRenderedPageBreak/>
        <w:t>Дыренкова</w:t>
      </w:r>
      <w:proofErr w:type="spellEnd"/>
      <w:r w:rsidRPr="00A259BD">
        <w:rPr>
          <w:color w:val="000000" w:themeColor="text1"/>
          <w:sz w:val="16"/>
          <w:szCs w:val="16"/>
        </w:rPr>
        <w:t xml:space="preserve"> и проведения его испытаний (22743).</w:t>
      </w:r>
    </w:p>
    <w:p w14:paraId="0A64B49C" w14:textId="77777777" w:rsidR="0020500E" w:rsidRPr="00A259BD" w:rsidRDefault="0020500E" w:rsidP="009236E3">
      <w:pPr>
        <w:spacing w:after="0" w:line="240" w:lineRule="auto"/>
        <w:jc w:val="both"/>
        <w:rPr>
          <w:rFonts w:ascii="Times New Roman" w:hAnsi="Times New Roman"/>
          <w:color w:val="000000" w:themeColor="text1"/>
          <w:sz w:val="16"/>
          <w:szCs w:val="16"/>
          <w:bdr w:val="none" w:sz="0" w:space="0" w:color="auto" w:frame="1"/>
        </w:rPr>
      </w:pPr>
    </w:p>
    <w:p w14:paraId="3C09E5D7" w14:textId="77777777" w:rsidR="004A191D" w:rsidRPr="00A259BD" w:rsidRDefault="004A191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Осенью 1929 года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xml:space="preserve"> предложил разработанный им проект «железнодорожной бронированной автомотрисы» командованию частей ОПТУ. Проект получил одобрение, и технический отдел ОПТУ принял решение изготовить опытный образец для вооружения подразделений охраны железных дорог и провести его испытания. Для выполнения рабочих чертежей </w:t>
      </w:r>
      <w:proofErr w:type="spellStart"/>
      <w:r w:rsidRPr="00A259BD">
        <w:rPr>
          <w:rFonts w:ascii="Times New Roman" w:hAnsi="Times New Roman"/>
          <w:color w:val="000000" w:themeColor="text1"/>
          <w:sz w:val="16"/>
          <w:szCs w:val="16"/>
        </w:rPr>
        <w:t>Дыренкову</w:t>
      </w:r>
      <w:proofErr w:type="spellEnd"/>
      <w:r w:rsidRPr="00A259BD">
        <w:rPr>
          <w:rFonts w:ascii="Times New Roman" w:hAnsi="Times New Roman"/>
          <w:color w:val="000000" w:themeColor="text1"/>
          <w:sz w:val="16"/>
          <w:szCs w:val="16"/>
        </w:rPr>
        <w:t xml:space="preserve"> выделили группу чертежников, и к концу 1929 года работа была выполнена. В январе 1930 года по разработанному </w:t>
      </w:r>
      <w:proofErr w:type="spellStart"/>
      <w:r w:rsidRPr="00A259BD">
        <w:rPr>
          <w:rFonts w:ascii="Times New Roman" w:hAnsi="Times New Roman"/>
          <w:color w:val="000000" w:themeColor="text1"/>
          <w:sz w:val="16"/>
          <w:szCs w:val="16"/>
        </w:rPr>
        <w:t>Дыренковым</w:t>
      </w:r>
      <w:proofErr w:type="spellEnd"/>
      <w:r w:rsidRPr="00A259BD">
        <w:rPr>
          <w:rFonts w:ascii="Times New Roman" w:hAnsi="Times New Roman"/>
          <w:color w:val="000000" w:themeColor="text1"/>
          <w:sz w:val="16"/>
          <w:szCs w:val="16"/>
        </w:rPr>
        <w:t xml:space="preserve"> проекту на Ижорском заводе собрали первый опытный образец </w:t>
      </w:r>
      <w:proofErr w:type="spellStart"/>
      <w:r w:rsidRPr="00A259BD">
        <w:rPr>
          <w:rFonts w:ascii="Times New Roman" w:hAnsi="Times New Roman"/>
          <w:color w:val="000000" w:themeColor="text1"/>
          <w:sz w:val="16"/>
          <w:szCs w:val="16"/>
        </w:rPr>
        <w:t>мотоброневагона</w:t>
      </w:r>
      <w:proofErr w:type="spellEnd"/>
      <w:r w:rsidRPr="00A259BD">
        <w:rPr>
          <w:rFonts w:ascii="Times New Roman" w:hAnsi="Times New Roman"/>
          <w:color w:val="000000" w:themeColor="text1"/>
          <w:sz w:val="16"/>
          <w:szCs w:val="16"/>
        </w:rPr>
        <w:t>, который прошел краткие испытания в окрестностях Ленинграда.</w:t>
      </w:r>
    </w:p>
    <w:p w14:paraId="62C33FCC" w14:textId="77777777" w:rsidR="004A191D" w:rsidRPr="00A259BD" w:rsidRDefault="004A191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Корпус машины собирался на заклепках из 10-16 мм брони и имел четыре двери в бортах для посадки экипажа и шесть люков для наблюдения при движении. В центре, на крыше корпуса, устанавливалась башня </w:t>
      </w:r>
      <w:hyperlink r:id="rId193"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МС-1 со штатным вооружением, откидной колпак которой заменили на командирскую башенку со смотровыми щелями. При помощи угольников корпус </w:t>
      </w:r>
      <w:proofErr w:type="spellStart"/>
      <w:r w:rsidRPr="00A259BD">
        <w:rPr>
          <w:rFonts w:ascii="Times New Roman" w:hAnsi="Times New Roman"/>
          <w:color w:val="000000" w:themeColor="text1"/>
          <w:sz w:val="16"/>
          <w:szCs w:val="16"/>
        </w:rPr>
        <w:t>мотоброневагона</w:t>
      </w:r>
      <w:proofErr w:type="spellEnd"/>
      <w:r w:rsidRPr="00A259BD">
        <w:rPr>
          <w:rFonts w:ascii="Times New Roman" w:hAnsi="Times New Roman"/>
          <w:color w:val="000000" w:themeColor="text1"/>
          <w:sz w:val="16"/>
          <w:szCs w:val="16"/>
        </w:rPr>
        <w:t xml:space="preserve"> крепился к раме собранной из листового и профильного железа. В центре рамы размещался автомобильный двигатель «Геркулес» YXC мощностью 93 л.с. (довольно большое количество таких моторов было закуплено в США и использовалось на грузовиках Ярославского автозавода) и червячно-шестеренчатая коробка перемены передач конструкции </w:t>
      </w:r>
      <w:proofErr w:type="spellStart"/>
      <w:r w:rsidRPr="00A259BD">
        <w:rPr>
          <w:rFonts w:ascii="Times New Roman" w:hAnsi="Times New Roman"/>
          <w:color w:val="000000" w:themeColor="text1"/>
          <w:sz w:val="16"/>
          <w:szCs w:val="16"/>
        </w:rPr>
        <w:t>Дыренкова</w:t>
      </w:r>
      <w:proofErr w:type="spellEnd"/>
      <w:r w:rsidRPr="00A259BD">
        <w:rPr>
          <w:rFonts w:ascii="Times New Roman" w:hAnsi="Times New Roman"/>
          <w:color w:val="000000" w:themeColor="text1"/>
          <w:sz w:val="16"/>
          <w:szCs w:val="16"/>
        </w:rPr>
        <w:t xml:space="preserve"> (впоследствии получила обозначение Д-35). Последняя оборудовалась реверсом и обеспечивала 4 скорости при движении вагона вперед или назад. В ходовой части использовались две типовых колесных пары от железнодорожных вагонов, при этом одна пара являлась ведущей. Вооружение </w:t>
      </w:r>
      <w:proofErr w:type="spellStart"/>
      <w:r w:rsidRPr="00A259BD">
        <w:rPr>
          <w:rFonts w:ascii="Times New Roman" w:hAnsi="Times New Roman"/>
          <w:color w:val="000000" w:themeColor="text1"/>
          <w:sz w:val="16"/>
          <w:szCs w:val="16"/>
        </w:rPr>
        <w:t>мотоброневагона</w:t>
      </w:r>
      <w:proofErr w:type="spellEnd"/>
      <w:r w:rsidRPr="00A259BD">
        <w:rPr>
          <w:rFonts w:ascii="Times New Roman" w:hAnsi="Times New Roman"/>
          <w:color w:val="000000" w:themeColor="text1"/>
          <w:sz w:val="16"/>
          <w:szCs w:val="16"/>
        </w:rPr>
        <w:t xml:space="preserve"> состояло из двух пулеметов Максима в торцевых листах корпуса, двух пулеметов ДТ в бортах, 37-мм пушки </w:t>
      </w:r>
      <w:proofErr w:type="spellStart"/>
      <w:r w:rsidRPr="00A259BD">
        <w:rPr>
          <w:rFonts w:ascii="Times New Roman" w:hAnsi="Times New Roman"/>
          <w:color w:val="000000" w:themeColor="text1"/>
          <w:sz w:val="16"/>
          <w:szCs w:val="16"/>
        </w:rPr>
        <w:t>Гочкиса</w:t>
      </w:r>
      <w:proofErr w:type="spellEnd"/>
      <w:r w:rsidRPr="00A259BD">
        <w:rPr>
          <w:rFonts w:ascii="Times New Roman" w:hAnsi="Times New Roman"/>
          <w:color w:val="000000" w:themeColor="text1"/>
          <w:sz w:val="16"/>
          <w:szCs w:val="16"/>
        </w:rPr>
        <w:t xml:space="preserve"> и одного ДТ в башне.</w:t>
      </w:r>
    </w:p>
    <w:p w14:paraId="77735504" w14:textId="77777777" w:rsidR="004A191D" w:rsidRPr="00A259BD" w:rsidRDefault="004A191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Экипаж машины состоял из 11 человек - командира, водителя, двух командиров отделений пулеметчиков, одного артиллериста и шести пулеметчиков. Результаты первых же испытаний наряду с хорошими результатами выявили и целый ряд недостатков в конструкции опытного образца </w:t>
      </w:r>
      <w:proofErr w:type="spellStart"/>
      <w:r w:rsidRPr="00A259BD">
        <w:rPr>
          <w:rFonts w:ascii="Times New Roman" w:hAnsi="Times New Roman"/>
          <w:color w:val="000000" w:themeColor="text1"/>
          <w:sz w:val="16"/>
          <w:szCs w:val="16"/>
        </w:rPr>
        <w:t>мотоброневагона</w:t>
      </w:r>
      <w:proofErr w:type="spellEnd"/>
      <w:r w:rsidRPr="00A259BD">
        <w:rPr>
          <w:rFonts w:ascii="Times New Roman" w:hAnsi="Times New Roman"/>
          <w:color w:val="000000" w:themeColor="text1"/>
          <w:sz w:val="16"/>
          <w:szCs w:val="16"/>
        </w:rPr>
        <w:t xml:space="preserve">, требовавших его дальнейшей доработки. Но так как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xml:space="preserve"> был занят проектированием и изготовлением среднего </w:t>
      </w:r>
      <w:hyperlink r:id="rId194"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а своей конструкции, работы по броневагону затянулись. Тем не менее, проектом бронированной автомотрисы заинтересовались и военные (15624).</w:t>
      </w:r>
    </w:p>
    <w:p w14:paraId="1E91677A" w14:textId="77777777" w:rsidR="004A191D" w:rsidRPr="00A259BD" w:rsidRDefault="004A191D" w:rsidP="009236E3">
      <w:pPr>
        <w:spacing w:after="0" w:line="240" w:lineRule="auto"/>
        <w:jc w:val="both"/>
        <w:rPr>
          <w:rFonts w:ascii="Times New Roman" w:hAnsi="Times New Roman"/>
          <w:color w:val="000000" w:themeColor="text1"/>
          <w:sz w:val="16"/>
          <w:szCs w:val="16"/>
        </w:rPr>
      </w:pPr>
    </w:p>
    <w:p w14:paraId="4B3B71E3" w14:textId="77777777" w:rsidR="006B4100" w:rsidRPr="00A259BD" w:rsidRDefault="006B410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Осенью 1929 года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xml:space="preserve"> предложил разработанный им проект «железнодорожной бронированной автомотрисы» командованию частей ОПТУ. Проект получил одобрение, и технический отдел ОПТУ принял решение изготовить опытный образец для вооружения подразделений охраны железных дорог и провести его испытания. Для выполнения рабочих чертежей </w:t>
      </w:r>
      <w:proofErr w:type="spellStart"/>
      <w:r w:rsidRPr="00A259BD">
        <w:rPr>
          <w:rFonts w:ascii="Times New Roman" w:hAnsi="Times New Roman"/>
          <w:color w:val="000000" w:themeColor="text1"/>
          <w:sz w:val="16"/>
          <w:szCs w:val="16"/>
        </w:rPr>
        <w:t>Дыренкову</w:t>
      </w:r>
      <w:proofErr w:type="spellEnd"/>
      <w:r w:rsidRPr="00A259BD">
        <w:rPr>
          <w:rFonts w:ascii="Times New Roman" w:hAnsi="Times New Roman"/>
          <w:color w:val="000000" w:themeColor="text1"/>
          <w:sz w:val="16"/>
          <w:szCs w:val="16"/>
        </w:rPr>
        <w:t xml:space="preserve"> выделили группу чертежников, и к концу 1929 года работа была выполнена. В январе 1930 года по разработанному </w:t>
      </w:r>
      <w:proofErr w:type="spellStart"/>
      <w:r w:rsidRPr="00A259BD">
        <w:rPr>
          <w:rFonts w:ascii="Times New Roman" w:hAnsi="Times New Roman"/>
          <w:color w:val="000000" w:themeColor="text1"/>
          <w:sz w:val="16"/>
          <w:szCs w:val="16"/>
        </w:rPr>
        <w:t>Дыренковым</w:t>
      </w:r>
      <w:proofErr w:type="spellEnd"/>
      <w:r w:rsidRPr="00A259BD">
        <w:rPr>
          <w:rFonts w:ascii="Times New Roman" w:hAnsi="Times New Roman"/>
          <w:color w:val="000000" w:themeColor="text1"/>
          <w:sz w:val="16"/>
          <w:szCs w:val="16"/>
        </w:rPr>
        <w:t xml:space="preserve"> проекту на Ижорском заводе собрали первый опытный образец </w:t>
      </w:r>
      <w:proofErr w:type="spellStart"/>
      <w:r w:rsidRPr="00A259BD">
        <w:rPr>
          <w:rFonts w:ascii="Times New Roman" w:hAnsi="Times New Roman"/>
          <w:color w:val="000000" w:themeColor="text1"/>
          <w:sz w:val="16"/>
          <w:szCs w:val="16"/>
        </w:rPr>
        <w:t>мотоброневагона</w:t>
      </w:r>
      <w:proofErr w:type="spellEnd"/>
      <w:r w:rsidRPr="00A259BD">
        <w:rPr>
          <w:rFonts w:ascii="Times New Roman" w:hAnsi="Times New Roman"/>
          <w:color w:val="000000" w:themeColor="text1"/>
          <w:sz w:val="16"/>
          <w:szCs w:val="16"/>
        </w:rPr>
        <w:t>, который прошел краткие испытания в окрестностях Ленинграда. </w:t>
      </w:r>
    </w:p>
    <w:p w14:paraId="428CDEA4" w14:textId="77777777" w:rsidR="006B4100" w:rsidRPr="00A259BD" w:rsidRDefault="006B410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Корпус машины собирался на заклепках из 10-16 мм брони и имел четыре двери в бортах для посадки экипажа и шесть люков для наблюдения при движении. В центре, на крыше корпуса, устанавливалась башня танка МС-1 со штатным вооружением, откидной колпак которой заменили на командирскую башенку со смотровыми щелями. При помощи угольников корпус </w:t>
      </w:r>
      <w:proofErr w:type="spellStart"/>
      <w:r w:rsidRPr="00A259BD">
        <w:rPr>
          <w:rFonts w:ascii="Times New Roman" w:hAnsi="Times New Roman"/>
          <w:color w:val="000000" w:themeColor="text1"/>
          <w:sz w:val="16"/>
          <w:szCs w:val="16"/>
        </w:rPr>
        <w:t>мотоброневагона</w:t>
      </w:r>
      <w:proofErr w:type="spellEnd"/>
      <w:r w:rsidRPr="00A259BD">
        <w:rPr>
          <w:rFonts w:ascii="Times New Roman" w:hAnsi="Times New Roman"/>
          <w:color w:val="000000" w:themeColor="text1"/>
          <w:sz w:val="16"/>
          <w:szCs w:val="16"/>
        </w:rPr>
        <w:t xml:space="preserve"> крепился к раме, собранной из листового и профильного железа. В центре рамы размещался автомобильный двигатель «Геркулес» YXC мощностью 93 л.с. (довольно большое количество таких моторов было закуплено в США и использовалось на грузовиках Ярославского автозавода) и червячно-шестеренчатая коробка перемены передач конструкции </w:t>
      </w:r>
      <w:proofErr w:type="spellStart"/>
      <w:r w:rsidRPr="00A259BD">
        <w:rPr>
          <w:rFonts w:ascii="Times New Roman" w:hAnsi="Times New Roman"/>
          <w:color w:val="000000" w:themeColor="text1"/>
          <w:sz w:val="16"/>
          <w:szCs w:val="16"/>
        </w:rPr>
        <w:t>Дыренкова</w:t>
      </w:r>
      <w:proofErr w:type="spellEnd"/>
      <w:r w:rsidRPr="00A259BD">
        <w:rPr>
          <w:rFonts w:ascii="Times New Roman" w:hAnsi="Times New Roman"/>
          <w:color w:val="000000" w:themeColor="text1"/>
          <w:sz w:val="16"/>
          <w:szCs w:val="16"/>
        </w:rPr>
        <w:t xml:space="preserve"> (впоследствии получила обозначение Д-35). Последняя оборудовалась реверсом и обеспечивала 4 скорости при движении вагона вперед или назад. В ходовой части использовались две типовых колесных пары от железнодорожных вагонов, при этом одна пара являлась ведущей. Вооружение </w:t>
      </w:r>
      <w:proofErr w:type="spellStart"/>
      <w:r w:rsidRPr="00A259BD">
        <w:rPr>
          <w:rFonts w:ascii="Times New Roman" w:hAnsi="Times New Roman"/>
          <w:color w:val="000000" w:themeColor="text1"/>
          <w:sz w:val="16"/>
          <w:szCs w:val="16"/>
        </w:rPr>
        <w:t>мотоброневагона</w:t>
      </w:r>
      <w:proofErr w:type="spellEnd"/>
      <w:r w:rsidRPr="00A259BD">
        <w:rPr>
          <w:rFonts w:ascii="Times New Roman" w:hAnsi="Times New Roman"/>
          <w:color w:val="000000" w:themeColor="text1"/>
          <w:sz w:val="16"/>
          <w:szCs w:val="16"/>
        </w:rPr>
        <w:t xml:space="preserve"> состояло из двух пулеметов Максима в торцевых листах корпуса, двух пулеметов ДТ в бортах, 37-мм пушки Гоч-киса и одного ДТ в башне. </w:t>
      </w:r>
    </w:p>
    <w:p w14:paraId="314616DD" w14:textId="77777777" w:rsidR="006B4100" w:rsidRPr="00A259BD" w:rsidRDefault="006B410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Экипаж машины состоял из 11 человек -командира, водителя, двух командиров отделений пулеметчиков, одного артиллериста и шести пулеметчиков. </w:t>
      </w:r>
    </w:p>
    <w:p w14:paraId="68E7FB97" w14:textId="77777777" w:rsidR="006B4100" w:rsidRPr="00A259BD" w:rsidRDefault="006B410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Результаты первых же испытаний наряду с хорошими результатами выявили и целый ряд недостатков в конструкции опытного образца </w:t>
      </w:r>
      <w:proofErr w:type="spellStart"/>
      <w:r w:rsidRPr="00A259BD">
        <w:rPr>
          <w:rFonts w:ascii="Times New Roman" w:hAnsi="Times New Roman"/>
          <w:color w:val="000000" w:themeColor="text1"/>
          <w:sz w:val="16"/>
          <w:szCs w:val="16"/>
        </w:rPr>
        <w:t>мотоброневагона</w:t>
      </w:r>
      <w:proofErr w:type="spellEnd"/>
      <w:r w:rsidRPr="00A259BD">
        <w:rPr>
          <w:rFonts w:ascii="Times New Roman" w:hAnsi="Times New Roman"/>
          <w:color w:val="000000" w:themeColor="text1"/>
          <w:sz w:val="16"/>
          <w:szCs w:val="16"/>
        </w:rPr>
        <w:t xml:space="preserve">, требовавших его дальнейшей доработки. Но так как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xml:space="preserve"> был занят проектированием и изготовлением среднего танка своей конструкции, работы по броневагону затянулись. Тем не менее, проектом бронированной автомотрисы заинтересовались и военные (18626).</w:t>
      </w:r>
    </w:p>
    <w:p w14:paraId="26ABD1DC" w14:textId="77777777" w:rsidR="006B4100" w:rsidRPr="00A259BD" w:rsidRDefault="006B4100" w:rsidP="009236E3">
      <w:pPr>
        <w:spacing w:after="0" w:line="240" w:lineRule="auto"/>
        <w:jc w:val="both"/>
        <w:rPr>
          <w:rFonts w:ascii="Times New Roman" w:hAnsi="Times New Roman"/>
          <w:color w:val="000000" w:themeColor="text1"/>
          <w:sz w:val="16"/>
          <w:szCs w:val="16"/>
        </w:rPr>
      </w:pPr>
    </w:p>
    <w:p w14:paraId="289E9E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Осенью 1929 начальник УММ И.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отправил письмо:</w:t>
      </w:r>
    </w:p>
    <w:p w14:paraId="6820E9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СОВЕРШЕННО СЕКРЕТНО</w:t>
      </w:r>
    </w:p>
    <w:p w14:paraId="519888C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ПРЕДСЕДАТЕЛЯ.РЕВВОЕНСОВЕТА СССР Тов. УНШЛИХТУ</w:t>
      </w:r>
    </w:p>
    <w:p w14:paraId="63C364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Как я уже сообщал Вам ранее, из имеющихся в настоящее время в Управлении МП </w:t>
      </w:r>
      <w:proofErr w:type="spellStart"/>
      <w:r w:rsidRPr="00A259BD">
        <w:rPr>
          <w:rFonts w:ascii="Times New Roman" w:hAnsi="Times New Roman"/>
          <w:color w:val="000000" w:themeColor="text1"/>
          <w:sz w:val="16"/>
          <w:szCs w:val="16"/>
        </w:rPr>
        <w:t>проэктов</w:t>
      </w:r>
      <w:proofErr w:type="spellEnd"/>
      <w:r w:rsidRPr="00A259BD">
        <w:rPr>
          <w:rFonts w:ascii="Times New Roman" w:hAnsi="Times New Roman"/>
          <w:color w:val="000000" w:themeColor="text1"/>
          <w:sz w:val="16"/>
          <w:szCs w:val="16"/>
        </w:rPr>
        <w:t xml:space="preserve"> танков, предложенных в инициативном порядке на конкурсной основе, особого внимания заслу</w:t>
      </w:r>
      <w:r w:rsidRPr="00A259BD">
        <w:rPr>
          <w:rFonts w:ascii="Times New Roman" w:hAnsi="Times New Roman"/>
          <w:color w:val="000000" w:themeColor="text1"/>
          <w:sz w:val="16"/>
          <w:szCs w:val="16"/>
        </w:rPr>
        <w:softHyphen/>
        <w:t xml:space="preserve">живает </w:t>
      </w:r>
      <w:proofErr w:type="spellStart"/>
      <w:r w:rsidRPr="00A259BD">
        <w:rPr>
          <w:rFonts w:ascii="Times New Roman" w:hAnsi="Times New Roman"/>
          <w:color w:val="000000" w:themeColor="text1"/>
          <w:sz w:val="16"/>
          <w:szCs w:val="16"/>
        </w:rPr>
        <w:t>проэкт</w:t>
      </w:r>
      <w:proofErr w:type="spellEnd"/>
      <w:r w:rsidRPr="00A259BD">
        <w:rPr>
          <w:rFonts w:ascii="Times New Roman" w:hAnsi="Times New Roman"/>
          <w:color w:val="000000" w:themeColor="text1"/>
          <w:sz w:val="16"/>
          <w:szCs w:val="16"/>
        </w:rPr>
        <w:t>, предложенный тов. ДЫРЕНКОВЫМ.</w:t>
      </w:r>
    </w:p>
    <w:p w14:paraId="59FEDC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 прочих </w:t>
      </w:r>
      <w:proofErr w:type="spellStart"/>
      <w:r w:rsidRPr="00A259BD">
        <w:rPr>
          <w:rFonts w:ascii="Times New Roman" w:hAnsi="Times New Roman"/>
          <w:color w:val="000000" w:themeColor="text1"/>
          <w:sz w:val="16"/>
          <w:szCs w:val="16"/>
        </w:rPr>
        <w:t>проэктов</w:t>
      </w:r>
      <w:proofErr w:type="spellEnd"/>
      <w:r w:rsidRPr="00A259BD">
        <w:rPr>
          <w:rFonts w:ascii="Times New Roman" w:hAnsi="Times New Roman"/>
          <w:color w:val="000000" w:themeColor="text1"/>
          <w:sz w:val="16"/>
          <w:szCs w:val="16"/>
        </w:rPr>
        <w:t xml:space="preserve"> указанный отличается не только мощным вооружением (2-3 пушки боль</w:t>
      </w:r>
      <w:r w:rsidRPr="00A259BD">
        <w:rPr>
          <w:rFonts w:ascii="Times New Roman" w:hAnsi="Times New Roman"/>
          <w:color w:val="000000" w:themeColor="text1"/>
          <w:sz w:val="16"/>
          <w:szCs w:val="16"/>
        </w:rPr>
        <w:softHyphen/>
        <w:t>шого калибра к 3-4 пулемета), но и несет ори</w:t>
      </w:r>
      <w:r w:rsidRPr="00A259BD">
        <w:rPr>
          <w:rFonts w:ascii="Times New Roman" w:hAnsi="Times New Roman"/>
          <w:color w:val="000000" w:themeColor="text1"/>
          <w:sz w:val="16"/>
          <w:szCs w:val="16"/>
        </w:rPr>
        <w:softHyphen/>
        <w:t>гинальный комбинированный движитель, сочетаю</w:t>
      </w:r>
      <w:r w:rsidRPr="00A259BD">
        <w:rPr>
          <w:rFonts w:ascii="Times New Roman" w:hAnsi="Times New Roman"/>
          <w:color w:val="000000" w:themeColor="text1"/>
          <w:sz w:val="16"/>
          <w:szCs w:val="16"/>
        </w:rPr>
        <w:softHyphen/>
        <w:t>щий возможность легкого перемещения своим хо</w:t>
      </w:r>
      <w:r w:rsidRPr="00A259BD">
        <w:rPr>
          <w:rFonts w:ascii="Times New Roman" w:hAnsi="Times New Roman"/>
          <w:color w:val="000000" w:themeColor="text1"/>
          <w:sz w:val="16"/>
          <w:szCs w:val="16"/>
        </w:rPr>
        <w:softHyphen/>
        <w:t>дом как по бездорожью (на гусеницах), так и по дорогам с твердым покрытием (на колесах) и железнодорожным путям (на специальных скатах). По мнению изобретателя такая схема позволит применять танк во всех видах современного боя без использования специальных транспортных средств что значительно удешевляет его экс-</w:t>
      </w:r>
      <w:proofErr w:type="spellStart"/>
      <w:r w:rsidRPr="00A259BD">
        <w:rPr>
          <w:rFonts w:ascii="Times New Roman" w:hAnsi="Times New Roman"/>
          <w:color w:val="000000" w:themeColor="text1"/>
          <w:sz w:val="16"/>
          <w:szCs w:val="16"/>
        </w:rPr>
        <w:t>плоатацию</w:t>
      </w:r>
      <w:proofErr w:type="spellEnd"/>
      <w:r w:rsidRPr="00A259BD">
        <w:rPr>
          <w:rFonts w:ascii="Times New Roman" w:hAnsi="Times New Roman"/>
          <w:color w:val="000000" w:themeColor="text1"/>
          <w:sz w:val="16"/>
          <w:szCs w:val="16"/>
        </w:rPr>
        <w:t>.</w:t>
      </w:r>
    </w:p>
    <w:p w14:paraId="21638D6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Личная беседа с изобретателем дает по</w:t>
      </w:r>
      <w:r w:rsidRPr="00A259BD">
        <w:rPr>
          <w:rFonts w:ascii="Times New Roman" w:hAnsi="Times New Roman"/>
          <w:color w:val="000000" w:themeColor="text1"/>
          <w:sz w:val="16"/>
          <w:szCs w:val="16"/>
        </w:rPr>
        <w:softHyphen/>
        <w:t>нять, что он рассматривает указанный тип тан</w:t>
      </w:r>
      <w:r w:rsidRPr="00A259BD">
        <w:rPr>
          <w:rFonts w:ascii="Times New Roman" w:hAnsi="Times New Roman"/>
          <w:color w:val="000000" w:themeColor="text1"/>
          <w:sz w:val="16"/>
          <w:szCs w:val="16"/>
        </w:rPr>
        <w:softHyphen/>
        <w:t>ка, как универсальное боевое средство взамен гусеничных танков, бронеавтомобилей и даже бронепоездов (в случае сцепки нескольких тан</w:t>
      </w:r>
      <w:r w:rsidRPr="00A259BD">
        <w:rPr>
          <w:rFonts w:ascii="Times New Roman" w:hAnsi="Times New Roman"/>
          <w:color w:val="000000" w:themeColor="text1"/>
          <w:sz w:val="16"/>
          <w:szCs w:val="16"/>
        </w:rPr>
        <w:softHyphen/>
        <w:t>ков в поезд).</w:t>
      </w:r>
    </w:p>
    <w:p w14:paraId="033515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Считаю, что соображения автора </w:t>
      </w:r>
      <w:proofErr w:type="spellStart"/>
      <w:r w:rsidRPr="00A259BD">
        <w:rPr>
          <w:rFonts w:ascii="Times New Roman" w:hAnsi="Times New Roman"/>
          <w:color w:val="000000" w:themeColor="text1"/>
          <w:sz w:val="16"/>
          <w:szCs w:val="16"/>
        </w:rPr>
        <w:t>проэкта</w:t>
      </w:r>
      <w:proofErr w:type="spellEnd"/>
      <w:r w:rsidRPr="00A259BD">
        <w:rPr>
          <w:rFonts w:ascii="Times New Roman" w:hAnsi="Times New Roman"/>
          <w:color w:val="000000" w:themeColor="text1"/>
          <w:sz w:val="16"/>
          <w:szCs w:val="16"/>
        </w:rPr>
        <w:t xml:space="preserve"> разумны и должны быть проверены практикой.</w:t>
      </w:r>
    </w:p>
    <w:p w14:paraId="2691D1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Жду Ваших указаний.</w:t>
      </w:r>
    </w:p>
    <w:p w14:paraId="430BFF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 УПРАВЛЕНИЯ ПО МОТОРИЗАЦИИ</w:t>
      </w:r>
    </w:p>
    <w:p w14:paraId="3E524D2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МЕХАНИЗАЦИИ РККА /</w:t>
      </w:r>
      <w:proofErr w:type="spellStart"/>
      <w:r w:rsidRPr="00A259BD">
        <w:rPr>
          <w:rFonts w:ascii="Times New Roman" w:hAnsi="Times New Roman"/>
          <w:color w:val="000000" w:themeColor="text1"/>
          <w:sz w:val="16"/>
          <w:szCs w:val="16"/>
        </w:rPr>
        <w:t>И.Халепский</w:t>
      </w:r>
      <w:proofErr w:type="spellEnd"/>
      <w:r w:rsidRPr="00A259BD">
        <w:rPr>
          <w:rFonts w:ascii="Times New Roman" w:hAnsi="Times New Roman"/>
          <w:color w:val="000000" w:themeColor="text1"/>
          <w:sz w:val="16"/>
          <w:szCs w:val="16"/>
        </w:rPr>
        <w:t>/ (10733,110).</w:t>
      </w:r>
    </w:p>
    <w:p w14:paraId="76662A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769B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Осенью 1929 г. зам. Нач. штаба Лапин составил разгромное письмо о недостатках танков на КВЖД и писал: “... К числу главных недостатков этих дорогих и никчемных игрушек следует добавить, что могущество пушки, установленной в этих танках никуда не годится не только для обстрела укреплений, но также совершенно непригодно для расстреливания бегущих масс вражеских солдат... Если уж говорить о вооружении таких забав, то для современной войны надобно изыскать место для установки хотя бы противоштурмовой пушки, или другой трехдюймовой...” (6469, 12).</w:t>
      </w:r>
    </w:p>
    <w:p w14:paraId="09317F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EA466F" w14:textId="77777777" w:rsidR="004A191D" w:rsidRPr="00A259BD" w:rsidRDefault="004A191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Осенью 1929 года </w:t>
      </w:r>
      <w:proofErr w:type="spellStart"/>
      <w:r w:rsidRPr="00A259BD">
        <w:rPr>
          <w:rFonts w:ascii="Times New Roman" w:hAnsi="Times New Roman"/>
          <w:color w:val="000000" w:themeColor="text1"/>
          <w:sz w:val="16"/>
          <w:szCs w:val="16"/>
        </w:rPr>
        <w:t>П.П.Третьяков</w:t>
      </w:r>
      <w:proofErr w:type="spellEnd"/>
      <w:r w:rsidRPr="00A259BD">
        <w:rPr>
          <w:rFonts w:ascii="Times New Roman" w:hAnsi="Times New Roman"/>
          <w:color w:val="000000" w:themeColor="text1"/>
          <w:sz w:val="16"/>
          <w:szCs w:val="16"/>
        </w:rPr>
        <w:t xml:space="preserve"> был арестован и посажен в Бутырку по необоснованному обвинению в участии в контрреволюционной вредительской организации. В январе 1930 года приговорен к расстрелу с заменой его на заключение в концлагерь сроком на 10 лет. Однако вместо лагеря был возвращён на ТОЗ, где некоторое время работал фактически под конвоем. В мае 1931 года в связи с отсутствием реальных улик был окончательно освобождён, а в 1957 году – полностью реабилитирован. В последующие годы своей жизни был занят, в основном, технико-аналитической работой на небольших должностях (15470).</w:t>
      </w:r>
    </w:p>
    <w:p w14:paraId="189CE7EB" w14:textId="77777777" w:rsidR="004A191D" w:rsidRPr="00A259BD" w:rsidRDefault="004A191D" w:rsidP="009236E3">
      <w:pPr>
        <w:spacing w:after="0" w:line="240" w:lineRule="auto"/>
        <w:jc w:val="both"/>
        <w:rPr>
          <w:rFonts w:ascii="Times New Roman" w:hAnsi="Times New Roman"/>
          <w:color w:val="000000" w:themeColor="text1"/>
          <w:sz w:val="16"/>
          <w:szCs w:val="16"/>
        </w:rPr>
      </w:pPr>
    </w:p>
    <w:p w14:paraId="5679E2C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1CFF012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DB38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Осенью 1929 г. три оставшихся "голиафа" предписали передать в Воронеж, в 11-ю авиабригаду, осваивавшую ТБ-1. Но реально это произошло только летом следующего года, когда французские машины перевели в группу "Б". Самолёты этой категории предназначались только для учебных целей и не подлежали капитальному ремонту. 55-я эскадрилья перебазировалась на аэродром </w:t>
      </w:r>
      <w:proofErr w:type="spellStart"/>
      <w:r w:rsidRPr="00A259BD">
        <w:rPr>
          <w:rFonts w:ascii="Times New Roman" w:hAnsi="Times New Roman"/>
          <w:color w:val="000000" w:themeColor="text1"/>
          <w:sz w:val="16"/>
          <w:szCs w:val="16"/>
        </w:rPr>
        <w:t>Кречеви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цы</w:t>
      </w:r>
      <w:proofErr w:type="spellEnd"/>
      <w:r w:rsidRPr="00A259BD">
        <w:rPr>
          <w:rFonts w:ascii="Times New Roman" w:hAnsi="Times New Roman"/>
          <w:color w:val="000000" w:themeColor="text1"/>
          <w:sz w:val="16"/>
          <w:szCs w:val="16"/>
        </w:rPr>
        <w:t xml:space="preserve"> под Новгородом и полностью перешла на "юнкерсы".</w:t>
      </w:r>
    </w:p>
    <w:p w14:paraId="5E0D23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перегонке в Воронеж 16 июня 1930 г. потерпел аварию самолёт № 311, на котором летел экипаж начальника штаба 51-й эскадрильи Котельникова. Машина стартовала с Центрального аэродрома в Москве, но вскоре произошёл обрыв трубки подвода воды к левому мотору.</w:t>
      </w:r>
    </w:p>
    <w:p w14:paraId="3927BE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Вода вытекла, и двигатель встал. Лётчики повернули назад, но до аэродрома на одном моторе не дотянули и вынужденно сели на поле в районе Ленинских (Воробьевых) гор.</w:t>
      </w:r>
    </w:p>
    <w:p w14:paraId="44CE61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11-й бригаде ФГ-62 использовались только для учебных и транспортных целей. Пулемёты со всех самолётов сняли, а с некоторых - и турели. Время от времени машины "гастролировали" по различным слётам, воздушным праздникам и участвовали в манёврах (11984).</w:t>
      </w:r>
    </w:p>
    <w:p w14:paraId="3C827F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50DB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Осенью 1929 г. в Воронеже началось создание первой бригады тяжелых бомбардировщиков - 11-й (включавшей 51, 53-ю и 59-ю эскадрильи). Пока не поступили ТБ-1, каждой из них передали по одному "Голиафу". Это позволило ознакомить с пилотированием двухмоторных машин молодых летчиков, обучавшихся ранее на бипланах Р-1.</w:t>
      </w:r>
    </w:p>
    <w:p w14:paraId="39F27C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Первый ТБ-1 прибыл в Воронеж в ноябре. Это был головной серийный самолет № 602, за ним последовал только что собранный № 605. Последний пришел некомплектным - без бомбового вооружения. Машины предназначались для войсковых испытаний и были переданы 51-й эскадрилье, которой командовал </w:t>
      </w:r>
      <w:proofErr w:type="spellStart"/>
      <w:r w:rsidRPr="00A259BD">
        <w:rPr>
          <w:rFonts w:ascii="Times New Roman" w:hAnsi="Times New Roman"/>
          <w:color w:val="000000" w:themeColor="text1"/>
          <w:sz w:val="16"/>
          <w:szCs w:val="16"/>
        </w:rPr>
        <w:t>комэск</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Добролеж</w:t>
      </w:r>
      <w:proofErr w:type="spellEnd"/>
      <w:r w:rsidRPr="00A259BD">
        <w:rPr>
          <w:rFonts w:ascii="Times New Roman" w:hAnsi="Times New Roman"/>
          <w:color w:val="000000" w:themeColor="text1"/>
          <w:sz w:val="16"/>
          <w:szCs w:val="16"/>
        </w:rPr>
        <w:t>. Он же и стал пилотом на № 602. На второй самолет назначили командира отряда Мелешкина.</w:t>
      </w:r>
    </w:p>
    <w:p w14:paraId="269708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Первый полет совершил </w:t>
      </w:r>
      <w:proofErr w:type="spellStart"/>
      <w:r w:rsidRPr="00A259BD">
        <w:rPr>
          <w:rFonts w:ascii="Times New Roman" w:hAnsi="Times New Roman"/>
          <w:color w:val="000000" w:themeColor="text1"/>
          <w:sz w:val="16"/>
          <w:szCs w:val="16"/>
        </w:rPr>
        <w:t>Добролеж</w:t>
      </w:r>
      <w:proofErr w:type="spellEnd"/>
      <w:r w:rsidRPr="00A259BD">
        <w:rPr>
          <w:rFonts w:ascii="Times New Roman" w:hAnsi="Times New Roman"/>
          <w:color w:val="000000" w:themeColor="text1"/>
          <w:sz w:val="16"/>
          <w:szCs w:val="16"/>
        </w:rPr>
        <w:t xml:space="preserve">; на правом сиденье находился командир отряда Якобсон. Они поднялись, сделали круг и сели, затем повторили то же самое, выдав на посадке пару "козлов". Потом </w:t>
      </w:r>
      <w:proofErr w:type="spellStart"/>
      <w:r w:rsidRPr="00A259BD">
        <w:rPr>
          <w:rFonts w:ascii="Times New Roman" w:hAnsi="Times New Roman"/>
          <w:color w:val="000000" w:themeColor="text1"/>
          <w:sz w:val="16"/>
          <w:szCs w:val="16"/>
        </w:rPr>
        <w:t>комэск</w:t>
      </w:r>
      <w:proofErr w:type="spellEnd"/>
      <w:r w:rsidRPr="00A259BD">
        <w:rPr>
          <w:rFonts w:ascii="Times New Roman" w:hAnsi="Times New Roman"/>
          <w:color w:val="000000" w:themeColor="text1"/>
          <w:sz w:val="16"/>
          <w:szCs w:val="16"/>
        </w:rPr>
        <w:t xml:space="preserve"> летал с разными летчиками, которым в будущем предстояло стать командирами экипажей. Через неделю командиры отрядов </w:t>
      </w:r>
      <w:r w:rsidRPr="00A259BD">
        <w:rPr>
          <w:rFonts w:ascii="Times New Roman" w:hAnsi="Times New Roman"/>
          <w:color w:val="000000" w:themeColor="text1"/>
          <w:sz w:val="16"/>
          <w:szCs w:val="16"/>
        </w:rPr>
        <w:lastRenderedPageBreak/>
        <w:t>Якобсон и Рябенко уже сами выступали в роли инструкторов. По отчету об испытаниях, летчик, освоивший Р-1, мог самостоятельно пилотировать ТБ-1 после 10 - 12 учебных полетов.</w:t>
      </w:r>
    </w:p>
    <w:p w14:paraId="0B3BC1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Подготовка периодически прерывалась поломками: то заело подшипник правого колеса, то заклинило червяк поворота стабилизатора; отказывали приборы, замасливались свечи, переставали работать жалюзи радиаторов. Выявились и просто ошибки конструкторов. Например, карманы для навигационных инструментов в носовой кабине не соответствовали габаритам самих инструментов. Но в целом самолеты проявили себя хорошо. Несмотря на то, что до трети посадок новички совершали с "козлами", шасси выдерживали.</w:t>
      </w:r>
    </w:p>
    <w:p w14:paraId="0E8B91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Научившись летать, перешли к отработке боевого применения по программе тактических испытаний. Стали летать строем пеленга с превышением или принижением ведомой машины. Приказы передавали флажками. Семафорил обычно штурман. Пробовали вывешивать цветные вымпелы, но уже с расстояния 400 м их начинали путать.</w:t>
      </w:r>
    </w:p>
    <w:p w14:paraId="1B5674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Внутри самолета с общением тоже было непросто. Даже сидевшие бок о бок пилоты переговаривались исключительно жестами. От командира к штурману приказания передавались по переговорной трубе - резиновому шлангу с двумя воронками. Для этого приходилось кричать изо всех сил. "В редких случаях удавалось понимать друг друга", - написали в отчете.</w:t>
      </w:r>
    </w:p>
    <w:p w14:paraId="5EAF5A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Особенно сильно недостаточная связь между членами экипажа проявилась, когда начались учебные бои с истребителями и бомбометание. Пилоты не могли ничего сообщить стрелкам и наоборот. На ТБ-1 одновременно заходило до трех истребителей с разных сторон. Стрелки усердно крутили турели. При этом необходимо было координировать положение двух задних установок - они просто сцеплялись между собой стволами пулеметов. Оказалось также, что из-за завихрений воздуха вращение одной турели сбивает наводку другой. Стрелки работали с большой опаской - стоя, они не пристегивались ремнями.</w:t>
      </w:r>
    </w:p>
    <w:p w14:paraId="08301F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Много проблем выявилось и при учебном бомбометании, к которому приступили с 1 апреля 1930 г. Пилот цели не видел, его наводил штурман. У того тоже обзор был не очень хорош: низкокачественный целлулоид окон быстро помутнел. Поэтому штурман просто высовывался через бортик передней турели и рукой указывал пилоту направление. Точно выйти на курс таким способом было нелегко.</w:t>
      </w:r>
    </w:p>
    <w:p w14:paraId="39269F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Бомбили залпом и сериями. Даже четыре бомбы сразу сбросить оказалось трудно - слишком большие усилия на ручке Сбр-9. Пытались бомбить с двух самолетов одновременно.</w:t>
      </w:r>
    </w:p>
    <w:p w14:paraId="19BB6D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июня </w:t>
      </w:r>
      <w:proofErr w:type="spellStart"/>
      <w:r w:rsidRPr="00A259BD">
        <w:rPr>
          <w:rFonts w:ascii="Times New Roman" w:hAnsi="Times New Roman"/>
          <w:color w:val="000000" w:themeColor="text1"/>
          <w:sz w:val="16"/>
          <w:szCs w:val="16"/>
        </w:rPr>
        <w:t>Добролеж</w:t>
      </w:r>
      <w:proofErr w:type="spellEnd"/>
      <w:r w:rsidRPr="00A259BD">
        <w:rPr>
          <w:rFonts w:ascii="Times New Roman" w:hAnsi="Times New Roman"/>
          <w:color w:val="000000" w:themeColor="text1"/>
          <w:sz w:val="16"/>
          <w:szCs w:val="16"/>
        </w:rPr>
        <w:t xml:space="preserve"> летал и ночью. Согласно программе, провели несколько вылетов с бомбометанием в темноте.</w:t>
      </w:r>
    </w:p>
    <w:p w14:paraId="465638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Войсковые испытания завершились в августе того же года, когда в бригаду стали прибывать новые машины (12001).</w:t>
      </w:r>
    </w:p>
    <w:p w14:paraId="74AFF8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DCAE0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Осенью 1929 г. началось формирование первой бригады на ТБ-1 - 11-й в Воронеже. Она состояла из 51-й, 53-й и 59-й эскадрилий. Пока не поступили ТБ-1, каждой из них передачи по одному "Голиафу". Это позволило ознакомить с пилотированием двухмоторных машин молодых летчиков, обучавшихся ранее на бипланах Р-1 (12036).</w:t>
      </w:r>
    </w:p>
    <w:p w14:paraId="0B1B7A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39B4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Осенью 1929 г. 55-я эскадрилья полностью перешла на "юнкерсы", а ФГ-62 передали как учебные эскадрильям формируемой 11-й авиабригады в Воронеже. Последний раз их использовали в маневрах на Украине в январе 1930 г. Из двух самолетов, прибывших в Харьков, один совершил два транспортных полета для перевозки комсостава.</w:t>
      </w:r>
    </w:p>
    <w:p w14:paraId="18E11D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ЮГ-1 ненадолго стал единственным типом тяжелого бомбардировщика в ВВС РККА. Несмотря на недостатки, общая надежность немецких машин была выше, чем у многих отечественных машин и значительно выше, чем у "Голиафов". В 1930 г. 55-ю и 57-ю эскадрильи признали лучшими по безаварийности полетов в Ленинградском военном округе. Но в том же году ВВС РККА получили первые отечественные бомбардировщики ТБ-1, на которые начали поспешно перевооружать тяжелобомбардировочные части.</w:t>
      </w:r>
    </w:p>
    <w:p w14:paraId="0F2694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"Юнкерсы" передали сначала в морскую авиацию, затем в ГВФ, где они эксплуатировались до 1936 г. (12036).</w:t>
      </w:r>
    </w:p>
    <w:p w14:paraId="5626C6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88C85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Осенью 1929 г. началось формирование первой бригады на ТБ-1 - 11-й в Воронеже. Она состояла из 51-й, 53-й и 59-й эскадрилий. Пока не поступили ТБ-1, каждой из них передали по одному "Голиафу". Это позволило ознакомить с пилотированием двухмоторных машин молодых летчиков, обучавшихся ранее на бипланах Р-1.</w:t>
      </w:r>
    </w:p>
    <w:p w14:paraId="31EC8C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ВВС заказали несколько сотен ТБ-1. Это позволяло перейти к созданию соединений тяжелых бомбардировщиков. Ранее в нашей авиации имелись лишь одна-две тяжелые эскадрильи, укомплектованные импортной техникой, двухмоторными французскими деревянными "Голиафами" фирмы "Фарман" и трехмоторными немецкими Юнкере ЮГ-1. Теперь же начали формировать уже бригады тяжелых бомбардировщиков. Каждая такая бригада должна была состоять из трех эскадрилий. Эскадрилья включала три отряда по четыре самолета в каждом. Таким образом, вместе с машинами штаба полностью укомплектованная бригада могла располагать почти 40 бомбардировщиками (12024).</w:t>
      </w:r>
    </w:p>
    <w:p w14:paraId="5AC5A5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F95FAF0" w14:textId="77777777" w:rsidR="00A863E1" w:rsidRPr="00441F34" w:rsidRDefault="00A863E1" w:rsidP="00A863E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Осенью 1929 г. 55-я эскадрилья полностью перешла на «юнкерсы», а ФГ-62 передали как учебные эска</w:t>
      </w:r>
      <w:r w:rsidRPr="00441F34">
        <w:rPr>
          <w:rFonts w:ascii="Times New Roman" w:hAnsi="Times New Roman"/>
          <w:color w:val="0070C0"/>
          <w:sz w:val="16"/>
          <w:szCs w:val="16"/>
        </w:rPr>
        <w:softHyphen/>
        <w:t>дрильям формируемой 11-й авиа</w:t>
      </w:r>
      <w:r w:rsidRPr="00441F34">
        <w:rPr>
          <w:rFonts w:ascii="Times New Roman" w:hAnsi="Times New Roman"/>
          <w:color w:val="0070C0"/>
          <w:sz w:val="16"/>
          <w:szCs w:val="16"/>
        </w:rPr>
        <w:softHyphen/>
        <w:t>бригады в Воронеже. Тем не менее «Голиаф» остался в истории отече</w:t>
      </w:r>
      <w:r w:rsidRPr="00441F34">
        <w:rPr>
          <w:rFonts w:ascii="Times New Roman" w:hAnsi="Times New Roman"/>
          <w:color w:val="0070C0"/>
          <w:sz w:val="16"/>
          <w:szCs w:val="16"/>
        </w:rPr>
        <w:softHyphen/>
        <w:t>ственной авиации - как самолёт, с которого 2 августа 1930 г. была произведена выброска десанта в ходе учений под Воронежем. Уста</w:t>
      </w:r>
      <w:r w:rsidRPr="00441F34">
        <w:rPr>
          <w:rFonts w:ascii="Times New Roman" w:hAnsi="Times New Roman"/>
          <w:color w:val="0070C0"/>
          <w:sz w:val="16"/>
          <w:szCs w:val="16"/>
        </w:rPr>
        <w:softHyphen/>
        <w:t>ревший самолёт «дал ход» качест</w:t>
      </w:r>
      <w:r w:rsidRPr="00441F34">
        <w:rPr>
          <w:rFonts w:ascii="Times New Roman" w:hAnsi="Times New Roman"/>
          <w:color w:val="0070C0"/>
          <w:sz w:val="16"/>
          <w:szCs w:val="16"/>
        </w:rPr>
        <w:softHyphen/>
        <w:t>венно новому роду войск - ВДВ. Позднее один «Голиаф» был пере</w:t>
      </w:r>
      <w:r w:rsidRPr="00441F34">
        <w:rPr>
          <w:rFonts w:ascii="Times New Roman" w:hAnsi="Times New Roman"/>
          <w:color w:val="0070C0"/>
          <w:sz w:val="16"/>
          <w:szCs w:val="16"/>
        </w:rPr>
        <w:softHyphen/>
        <w:t>дан в ЛВО, где также готовились формировать авиадесантные под</w:t>
      </w:r>
      <w:r w:rsidRPr="00441F34">
        <w:rPr>
          <w:rFonts w:ascii="Times New Roman" w:hAnsi="Times New Roman"/>
          <w:color w:val="0070C0"/>
          <w:sz w:val="16"/>
          <w:szCs w:val="16"/>
        </w:rPr>
        <w:softHyphen/>
        <w:t>разделения (23469).</w:t>
      </w:r>
    </w:p>
    <w:p w14:paraId="47C89756" w14:textId="77777777" w:rsidR="00A863E1" w:rsidRPr="00441F34" w:rsidRDefault="00A863E1" w:rsidP="00A863E1">
      <w:pPr>
        <w:spacing w:after="0" w:line="240" w:lineRule="auto"/>
        <w:jc w:val="both"/>
        <w:rPr>
          <w:rFonts w:ascii="Times New Roman" w:hAnsi="Times New Roman"/>
          <w:color w:val="0070C0"/>
          <w:sz w:val="16"/>
          <w:szCs w:val="16"/>
        </w:rPr>
      </w:pPr>
    </w:p>
    <w:p w14:paraId="7562A963" w14:textId="77777777" w:rsidR="00A863E1" w:rsidRPr="00441F34" w:rsidRDefault="00A863E1" w:rsidP="00A863E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Осенью 1929 г. началось форми</w:t>
      </w:r>
      <w:r w:rsidRPr="00441F34">
        <w:rPr>
          <w:rFonts w:ascii="Times New Roman" w:hAnsi="Times New Roman"/>
          <w:color w:val="0070C0"/>
          <w:sz w:val="16"/>
          <w:szCs w:val="16"/>
        </w:rPr>
        <w:softHyphen/>
        <w:t>рование первой тяжелобомбардировочной бригады - 11-й в Воронеже. Она состояла из 51-й, 53-й и 59-й эскадрилий. Пока не поступили ТБ-1, каждой из них передали по одному «Голиафу». Это позволило ознакомить с пилотиро</w:t>
      </w:r>
      <w:r w:rsidRPr="00441F34">
        <w:rPr>
          <w:rFonts w:ascii="Times New Roman" w:hAnsi="Times New Roman"/>
          <w:color w:val="0070C0"/>
          <w:sz w:val="16"/>
          <w:szCs w:val="16"/>
        </w:rPr>
        <w:softHyphen/>
        <w:t>ванием двухмоторных машин мо</w:t>
      </w:r>
      <w:r w:rsidRPr="00441F34">
        <w:rPr>
          <w:rFonts w:ascii="Times New Roman" w:hAnsi="Times New Roman"/>
          <w:color w:val="0070C0"/>
          <w:sz w:val="16"/>
          <w:szCs w:val="16"/>
        </w:rPr>
        <w:softHyphen/>
        <w:t>лодых лётчиков, обучавшихся ра</w:t>
      </w:r>
      <w:r w:rsidRPr="00441F34">
        <w:rPr>
          <w:rFonts w:ascii="Times New Roman" w:hAnsi="Times New Roman"/>
          <w:color w:val="0070C0"/>
          <w:sz w:val="16"/>
          <w:szCs w:val="16"/>
        </w:rPr>
        <w:softHyphen/>
        <w:t>нее на бипланах Р-1.</w:t>
      </w:r>
    </w:p>
    <w:p w14:paraId="6509316D" w14:textId="77777777" w:rsidR="00A863E1" w:rsidRPr="00441F34" w:rsidRDefault="00A863E1" w:rsidP="00A863E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На 1 января 1930 г. в ВВС РККА числились 33 тяжёлых самолёта иностранного производства и все</w:t>
      </w:r>
      <w:r w:rsidRPr="00441F34">
        <w:rPr>
          <w:rFonts w:ascii="Times New Roman" w:hAnsi="Times New Roman"/>
          <w:color w:val="0070C0"/>
          <w:sz w:val="16"/>
          <w:szCs w:val="16"/>
        </w:rPr>
        <w:softHyphen/>
        <w:t>го два ТБ-1. Оба они находились в НИИ ВВС. Но постепенно завод начал сдавать военным всё больше самолётов. Хотя на них не хватало различного оборудования, машины старались побыстрее отправить на места дислокации (23469).</w:t>
      </w:r>
    </w:p>
    <w:p w14:paraId="2CBA032F" w14:textId="77777777" w:rsidR="00A863E1" w:rsidRPr="00441F34" w:rsidRDefault="00A863E1" w:rsidP="00A863E1">
      <w:pPr>
        <w:spacing w:after="0" w:line="240" w:lineRule="auto"/>
        <w:jc w:val="both"/>
        <w:rPr>
          <w:rFonts w:ascii="Times New Roman" w:hAnsi="Times New Roman"/>
          <w:color w:val="0070C0"/>
          <w:sz w:val="16"/>
          <w:szCs w:val="16"/>
        </w:rPr>
      </w:pPr>
    </w:p>
    <w:p w14:paraId="6B5954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осени 1929 г. в Средней Азии, как и в других округах, выявился целый ряд дефектов новых самолетов Р-3ЛД. Разваливались подшипники элеронов, текли </w:t>
      </w:r>
      <w:proofErr w:type="spellStart"/>
      <w:r w:rsidRPr="00A259BD">
        <w:rPr>
          <w:rFonts w:ascii="Times New Roman" w:hAnsi="Times New Roman"/>
          <w:color w:val="000000" w:themeColor="text1"/>
          <w:sz w:val="16"/>
          <w:szCs w:val="16"/>
        </w:rPr>
        <w:t>бензокраны</w:t>
      </w:r>
      <w:proofErr w:type="spellEnd"/>
      <w:r w:rsidRPr="00A259BD">
        <w:rPr>
          <w:rFonts w:ascii="Times New Roman" w:hAnsi="Times New Roman"/>
          <w:color w:val="000000" w:themeColor="text1"/>
          <w:sz w:val="16"/>
          <w:szCs w:val="16"/>
        </w:rPr>
        <w:t xml:space="preserve">, трескались </w:t>
      </w:r>
      <w:proofErr w:type="spellStart"/>
      <w:r w:rsidRPr="00A259BD">
        <w:rPr>
          <w:rFonts w:ascii="Times New Roman" w:hAnsi="Times New Roman"/>
          <w:color w:val="000000" w:themeColor="text1"/>
          <w:sz w:val="16"/>
          <w:szCs w:val="16"/>
        </w:rPr>
        <w:t>моторамы</w:t>
      </w:r>
      <w:proofErr w:type="spellEnd"/>
      <w:r w:rsidRPr="00A259BD">
        <w:rPr>
          <w:rFonts w:ascii="Times New Roman" w:hAnsi="Times New Roman"/>
          <w:color w:val="000000" w:themeColor="text1"/>
          <w:sz w:val="16"/>
          <w:szCs w:val="16"/>
        </w:rPr>
        <w:t>. На неровных аэродромах колеса скручивались "восьмерками", лопались камеры и покрышки. Главные бензобаки в полете раскачивались, что через некоторое время приводило к усталостному разрушению трубки бензопровода. Подшипники меняли, рамы подваривали и усиливали стальными накладками, баки фиксировали фанерной крестовиной с суконной подкладкой (11985).</w:t>
      </w:r>
    </w:p>
    <w:p w14:paraId="5CFAC5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674D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Осенью 1929 года после образования Управления меха</w:t>
      </w:r>
      <w:r w:rsidRPr="00A259BD">
        <w:rPr>
          <w:rFonts w:ascii="Times New Roman" w:hAnsi="Times New Roman"/>
          <w:color w:val="000000" w:themeColor="text1"/>
          <w:sz w:val="16"/>
          <w:szCs w:val="16"/>
        </w:rPr>
        <w:softHyphen/>
        <w:t>низации и моторизации Красной Армии (УММ РККА) от</w:t>
      </w:r>
      <w:r w:rsidRPr="00A259BD">
        <w:rPr>
          <w:rFonts w:ascii="Times New Roman" w:hAnsi="Times New Roman"/>
          <w:color w:val="000000" w:themeColor="text1"/>
          <w:sz w:val="16"/>
          <w:szCs w:val="16"/>
        </w:rPr>
        <w:softHyphen/>
        <w:t xml:space="preserve">дельные </w:t>
      </w:r>
      <w:proofErr w:type="spellStart"/>
      <w:r w:rsidRPr="00A259BD">
        <w:rPr>
          <w:rFonts w:ascii="Times New Roman" w:hAnsi="Times New Roman"/>
          <w:color w:val="000000" w:themeColor="text1"/>
          <w:sz w:val="16"/>
          <w:szCs w:val="16"/>
        </w:rPr>
        <w:t>автоброневые</w:t>
      </w:r>
      <w:proofErr w:type="spellEnd"/>
      <w:r w:rsidRPr="00A259BD">
        <w:rPr>
          <w:rFonts w:ascii="Times New Roman" w:hAnsi="Times New Roman"/>
          <w:color w:val="000000" w:themeColor="text1"/>
          <w:sz w:val="16"/>
          <w:szCs w:val="16"/>
        </w:rPr>
        <w:t xml:space="preserve"> дивизионы перевели на новые штаты — № 10/14 (для частей внутренних военных округов) и № 10/15 (для частей приграничных военных округов). Ор</w:t>
      </w:r>
      <w:r w:rsidRPr="00A259BD">
        <w:rPr>
          <w:rFonts w:ascii="Times New Roman" w:hAnsi="Times New Roman"/>
          <w:color w:val="000000" w:themeColor="text1"/>
          <w:sz w:val="16"/>
          <w:szCs w:val="16"/>
        </w:rPr>
        <w:softHyphen/>
        <w:t>ганизационно они состояли из командования, штаба, не</w:t>
      </w:r>
      <w:r w:rsidRPr="00A259BD">
        <w:rPr>
          <w:rFonts w:ascii="Times New Roman" w:hAnsi="Times New Roman"/>
          <w:color w:val="000000" w:themeColor="text1"/>
          <w:sz w:val="16"/>
          <w:szCs w:val="16"/>
        </w:rPr>
        <w:softHyphen/>
        <w:t>скольких взводов бронемашин, подразделений ремонта и обеспечения. При этом дивизионы перевооружались на но</w:t>
      </w:r>
      <w:r w:rsidRPr="00A259BD">
        <w:rPr>
          <w:rFonts w:ascii="Times New Roman" w:hAnsi="Times New Roman"/>
          <w:color w:val="000000" w:themeColor="text1"/>
          <w:sz w:val="16"/>
          <w:szCs w:val="16"/>
        </w:rPr>
        <w:softHyphen/>
        <w:t>вые бронеавтомобили БА-27, которые заменяли устаревшие и сильно изношенные броневики “Фиат” и “Остин” времен Первой мировой и Гражданской войн. В зависимости от шта</w:t>
      </w:r>
      <w:r w:rsidRPr="00A259BD">
        <w:rPr>
          <w:rFonts w:ascii="Times New Roman" w:hAnsi="Times New Roman"/>
          <w:color w:val="000000" w:themeColor="text1"/>
          <w:sz w:val="16"/>
          <w:szCs w:val="16"/>
        </w:rPr>
        <w:softHyphen/>
        <w:t>та количество бронемашин могло колебаться от 9 до 12 штук (11284).</w:t>
      </w:r>
    </w:p>
    <w:p w14:paraId="650311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C94D7F" w14:textId="77777777" w:rsidR="000922FC" w:rsidRPr="00A259BD" w:rsidRDefault="000922FC" w:rsidP="009236E3">
      <w:pPr>
        <w:pStyle w:val="ae"/>
        <w:shd w:val="clear" w:color="auto" w:fill="FFFFFF"/>
        <w:spacing w:before="0" w:after="0"/>
        <w:jc w:val="both"/>
        <w:rPr>
          <w:color w:val="000000" w:themeColor="text1"/>
          <w:sz w:val="16"/>
          <w:szCs w:val="16"/>
        </w:rPr>
      </w:pPr>
      <w:r w:rsidRPr="00A259BD">
        <w:rPr>
          <w:color w:val="000000" w:themeColor="text1"/>
          <w:sz w:val="16"/>
          <w:szCs w:val="16"/>
        </w:rPr>
        <w:t>Осень 1929 года стала и временем боевого дебюта первого массового советского танка. В это время Красная армия участвовала в конфликте на Китайско-Восточной железной дороге (КВЖД). 10 Т-18 оказались в числе подкреплений, присланных для готовившей наступление Особой дальневосточной армии (ОДВА). 1 танк при разгрузке был сильно повреждён, его разобрали на запчасти. Боевой дебют советских танков состоялся рано утром 17 ноября 1929 года, во время Маньчжуро-</w:t>
      </w:r>
      <w:proofErr w:type="spellStart"/>
      <w:r w:rsidRPr="00A259BD">
        <w:rPr>
          <w:color w:val="000000" w:themeColor="text1"/>
          <w:sz w:val="16"/>
          <w:szCs w:val="16"/>
        </w:rPr>
        <w:t>Чжалайнорской</w:t>
      </w:r>
      <w:proofErr w:type="spellEnd"/>
      <w:r w:rsidRPr="00A259BD">
        <w:rPr>
          <w:color w:val="000000" w:themeColor="text1"/>
          <w:sz w:val="16"/>
          <w:szCs w:val="16"/>
        </w:rPr>
        <w:t xml:space="preserve"> операции. Танки оказали существенное влияние на ход боевых действий. Спустя считанные дни китайцы запросили перемирия, на этом конфликт на КВЖД был исчерпан. Больше Т-18 в боях не участвовали (по крайней мере как танки) (17724).</w:t>
      </w:r>
    </w:p>
    <w:p w14:paraId="62AED774" w14:textId="77777777" w:rsidR="000922FC" w:rsidRPr="00A259BD" w:rsidRDefault="000922FC" w:rsidP="009236E3">
      <w:pPr>
        <w:spacing w:after="0" w:line="240" w:lineRule="auto"/>
        <w:jc w:val="both"/>
        <w:rPr>
          <w:rFonts w:ascii="Times New Roman" w:eastAsia="Times New Roman" w:hAnsi="Times New Roman"/>
          <w:color w:val="000000" w:themeColor="text1"/>
          <w:sz w:val="16"/>
          <w:szCs w:val="16"/>
          <w:lang w:eastAsia="ru-RU"/>
        </w:rPr>
      </w:pPr>
    </w:p>
    <w:p w14:paraId="688C6091" w14:textId="77777777" w:rsidR="00D9403F" w:rsidRPr="00A259BD" w:rsidRDefault="00D9403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Осенью 1929 г. для руководства новым родом войск было создано особое управление — Управление моторизации и механизации (УММ) возглавил которое И. А.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Приобретая новые образцы зарубежной техники для внедрения их в массовое производство в Советском Союзе, УММ одновременно занялось созданием системы </w:t>
      </w:r>
      <w:proofErr w:type="spellStart"/>
      <w:r w:rsidRPr="00A259BD">
        <w:rPr>
          <w:rFonts w:ascii="Times New Roman" w:hAnsi="Times New Roman"/>
          <w:color w:val="000000" w:themeColor="text1"/>
          <w:sz w:val="16"/>
          <w:szCs w:val="16"/>
        </w:rPr>
        <w:t>спеццехов</w:t>
      </w:r>
      <w:proofErr w:type="spellEnd"/>
      <w:r w:rsidRPr="00A259BD">
        <w:rPr>
          <w:rFonts w:ascii="Times New Roman" w:hAnsi="Times New Roman"/>
          <w:color w:val="000000" w:themeColor="text1"/>
          <w:sz w:val="16"/>
          <w:szCs w:val="16"/>
        </w:rPr>
        <w:t xml:space="preserve"> и конструкторских бюро, которым надлежало в ближайшие десять лет создать стальной костяк Красной Армии (17208).</w:t>
      </w:r>
    </w:p>
    <w:p w14:paraId="6C619C4D" w14:textId="77777777" w:rsidR="00D9403F" w:rsidRPr="00A259BD" w:rsidRDefault="00D9403F" w:rsidP="009236E3">
      <w:pPr>
        <w:spacing w:after="0" w:line="240" w:lineRule="auto"/>
        <w:jc w:val="both"/>
        <w:rPr>
          <w:rFonts w:ascii="Times New Roman" w:hAnsi="Times New Roman"/>
          <w:color w:val="000000" w:themeColor="text1"/>
          <w:sz w:val="16"/>
          <w:szCs w:val="16"/>
        </w:rPr>
      </w:pPr>
    </w:p>
    <w:p w14:paraId="63A76398" w14:textId="77777777" w:rsidR="0020500E" w:rsidRPr="00A259BD" w:rsidRDefault="0020500E"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84" w:name="_Hlk91399798"/>
      <w:r w:rsidRPr="00A259BD">
        <w:rPr>
          <w:rFonts w:ascii="Times New Roman" w:eastAsia="Times New Roman" w:hAnsi="Times New Roman"/>
          <w:color w:val="000000" w:themeColor="text1"/>
          <w:sz w:val="16"/>
          <w:szCs w:val="16"/>
          <w:lang w:eastAsia="ru-RU"/>
        </w:rPr>
        <w:t xml:space="preserve">Осенью 1929 г. Штаб РККА впервые остро ощутил противоречие, которое позднее было сформулировано преемником Шапошникова на посту начальника Штаба: "Мобилизационный план по своему существу должен иметь дело с реально существующими величинами... Мы же составляем </w:t>
      </w:r>
      <w:proofErr w:type="spellStart"/>
      <w:r w:rsidRPr="00A259BD">
        <w:rPr>
          <w:rFonts w:ascii="Times New Roman" w:eastAsia="Times New Roman" w:hAnsi="Times New Roman"/>
          <w:color w:val="000000" w:themeColor="text1"/>
          <w:sz w:val="16"/>
          <w:szCs w:val="16"/>
          <w:lang w:eastAsia="ru-RU"/>
        </w:rPr>
        <w:t>мобплан</w:t>
      </w:r>
      <w:proofErr w:type="spellEnd"/>
      <w:r w:rsidRPr="00A259BD">
        <w:rPr>
          <w:rFonts w:ascii="Times New Roman" w:eastAsia="Times New Roman" w:hAnsi="Times New Roman"/>
          <w:color w:val="000000" w:themeColor="text1"/>
          <w:sz w:val="16"/>
          <w:szCs w:val="16"/>
          <w:lang w:eastAsia="ru-RU"/>
        </w:rPr>
        <w:t>... по целому ряду решающих элементов в разрезе перспективы - на ожидаемом..."(Доклад Начальника Штаба РККА Егорова Наркому но Военным и Морским Делам Ворошилову, 12.10.1931 // Там же. Ф. 40442. Оп. 2. Д. 11. Л. 2. 5 Протокол № 41 заседания РВС СССР от 23.12.1929 // Там же. Ф. 4. Оп. 18. Д 15 Л. 295. Сопоставление основных параметров "С-30" с мобилизационной заявкой НКВМ см.: Симонов Н. С. Военно-промышленный комплекс СССР в 20-50-е годы: Темпы экономического роста, структура, организации производства и управление. М., 1996. С. 69) (22725).2</w:t>
      </w:r>
    </w:p>
    <w:bookmarkEnd w:id="84"/>
    <w:p w14:paraId="27A4AF10" w14:textId="77777777" w:rsidR="0020500E" w:rsidRPr="00A259BD" w:rsidRDefault="0020500E" w:rsidP="009236E3">
      <w:pPr>
        <w:spacing w:after="0" w:line="240" w:lineRule="auto"/>
        <w:jc w:val="both"/>
        <w:rPr>
          <w:rFonts w:ascii="Times New Roman" w:hAnsi="Times New Roman"/>
          <w:color w:val="000000" w:themeColor="text1"/>
          <w:sz w:val="16"/>
          <w:szCs w:val="16"/>
          <w:bdr w:val="none" w:sz="0" w:space="0" w:color="auto" w:frame="1"/>
        </w:rPr>
      </w:pPr>
    </w:p>
    <w:p w14:paraId="20B17DA2" w14:textId="77777777" w:rsidR="00101B24" w:rsidRPr="00A259BD" w:rsidRDefault="00101B24"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42D83EC" w14:textId="77777777" w:rsidR="00101B24" w:rsidRPr="00A259BD" w:rsidRDefault="00101B2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5ED5EBF" w14:textId="77777777" w:rsidR="00101B24" w:rsidRPr="00A259BD" w:rsidRDefault="00101B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Осенью 1929 г. на основе </w:t>
      </w:r>
      <w:proofErr w:type="spellStart"/>
      <w:r w:rsidRPr="00A259BD">
        <w:rPr>
          <w:rFonts w:ascii="Times New Roman" w:hAnsi="Times New Roman"/>
          <w:color w:val="000000" w:themeColor="text1"/>
          <w:sz w:val="16"/>
          <w:szCs w:val="16"/>
        </w:rPr>
        <w:t>Medium</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Tank</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Mk.C</w:t>
      </w:r>
      <w:proofErr w:type="spellEnd"/>
      <w:r w:rsidRPr="00A259BD">
        <w:rPr>
          <w:rFonts w:ascii="Times New Roman" w:hAnsi="Times New Roman"/>
          <w:color w:val="000000" w:themeColor="text1"/>
          <w:sz w:val="16"/>
          <w:szCs w:val="16"/>
        </w:rPr>
        <w:t>, закупленного Японией, и прототипа № 2 инженеры арсенала в Осаке разработали и построили новый средний танк, который после успешного завершения испытаний был принят на вооружение под обозначением Тип 89 (Тип 2589, название «</w:t>
      </w:r>
      <w:proofErr w:type="spellStart"/>
      <w:r w:rsidRPr="00A259BD">
        <w:rPr>
          <w:rFonts w:ascii="Times New Roman" w:hAnsi="Times New Roman"/>
          <w:color w:val="000000" w:themeColor="text1"/>
          <w:sz w:val="16"/>
          <w:szCs w:val="16"/>
        </w:rPr>
        <w:t>Йи</w:t>
      </w:r>
      <w:proofErr w:type="spellEnd"/>
      <w:r w:rsidRPr="00A259BD">
        <w:rPr>
          <w:rFonts w:ascii="Times New Roman" w:hAnsi="Times New Roman"/>
          <w:color w:val="000000" w:themeColor="text1"/>
          <w:sz w:val="16"/>
          <w:szCs w:val="16"/>
        </w:rPr>
        <w:t>-го»), став первым японским танком, выпускавшимся серийно.</w:t>
      </w:r>
    </w:p>
    <w:p w14:paraId="5E58B33B" w14:textId="77777777" w:rsidR="00101B24" w:rsidRPr="00A259BD" w:rsidRDefault="00101B2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Тип 89 наладили на арсенале в </w:t>
      </w:r>
      <w:proofErr w:type="spellStart"/>
      <w:r w:rsidRPr="00A259BD">
        <w:rPr>
          <w:rFonts w:ascii="Times New Roman" w:hAnsi="Times New Roman"/>
          <w:color w:val="000000" w:themeColor="text1"/>
          <w:sz w:val="16"/>
          <w:szCs w:val="16"/>
        </w:rPr>
        <w:t>Нагойе</w:t>
      </w:r>
      <w:proofErr w:type="spellEnd"/>
      <w:r w:rsidRPr="00A259BD">
        <w:rPr>
          <w:rFonts w:ascii="Times New Roman" w:hAnsi="Times New Roman"/>
          <w:color w:val="000000" w:themeColor="text1"/>
          <w:sz w:val="16"/>
          <w:szCs w:val="16"/>
        </w:rPr>
        <w:t>, субподрядчиками выступали заводы «Токио-</w:t>
      </w:r>
      <w:proofErr w:type="spellStart"/>
      <w:r w:rsidRPr="00A259BD">
        <w:rPr>
          <w:rFonts w:ascii="Times New Roman" w:hAnsi="Times New Roman"/>
          <w:color w:val="000000" w:themeColor="text1"/>
          <w:sz w:val="16"/>
          <w:szCs w:val="16"/>
        </w:rPr>
        <w:t>Гасу</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Денки</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Исиквадзима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Косио</w:t>
      </w:r>
      <w:proofErr w:type="spellEnd"/>
      <w:r w:rsidRPr="00A259BD">
        <w:rPr>
          <w:rFonts w:ascii="Times New Roman" w:hAnsi="Times New Roman"/>
          <w:color w:val="000000" w:themeColor="text1"/>
          <w:sz w:val="16"/>
          <w:szCs w:val="16"/>
        </w:rPr>
        <w:t xml:space="preserve">» и концерн «Мицубиси». Первый серийный танк Тип 89 был собран в 1931 г. и имел много общего с </w:t>
      </w:r>
      <w:proofErr w:type="spellStart"/>
      <w:r w:rsidRPr="00A259BD">
        <w:rPr>
          <w:rFonts w:ascii="Times New Roman" w:hAnsi="Times New Roman"/>
          <w:color w:val="000000" w:themeColor="text1"/>
          <w:sz w:val="16"/>
          <w:szCs w:val="16"/>
        </w:rPr>
        <w:t>Medium</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Tank</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Mk.C</w:t>
      </w:r>
      <w:proofErr w:type="spellEnd"/>
      <w:r w:rsidRPr="00A259BD">
        <w:rPr>
          <w:rFonts w:ascii="Times New Roman" w:hAnsi="Times New Roman"/>
          <w:color w:val="000000" w:themeColor="text1"/>
          <w:sz w:val="16"/>
          <w:szCs w:val="16"/>
        </w:rPr>
        <w:t>. Японские инженеры, не мудрствуя лукаво, оставили корпус британца почти без изменений, сохранив даже дверь в его лобовой броне. Не претерпела изменений и странная схема размещения вооружения в башне — без спаренного с пушкой пулемета, но зато с пулеметом в кормовой нише, стреляющим назад. В качестве основного орудия в башне прототипа и пяти первых серийных машин установили 37-мм пушку Тип 11, позже ее сменила 57-мм пушка Тип 90. В корме башни и в лобовом листе корпуса смонтировали по 6,5-мм пулемету Тип 91, в шаровых установках. Боекомплект пушки составлял 100 выстрелов, а пулеметов — 2 750 патронов в магазинах по 50 шт.</w:t>
      </w:r>
    </w:p>
    <w:p w14:paraId="0BE0C337" w14:textId="77777777" w:rsidR="00101B24" w:rsidRPr="00A259BD" w:rsidRDefault="00101B24" w:rsidP="009236E3">
      <w:pPr>
        <w:spacing w:after="0" w:line="240" w:lineRule="auto"/>
        <w:jc w:val="both"/>
        <w:rPr>
          <w:rFonts w:ascii="Times New Roman" w:hAnsi="Times New Roman"/>
          <w:color w:val="000000" w:themeColor="text1"/>
          <w:sz w:val="16"/>
          <w:szCs w:val="16"/>
          <w:bdr w:val="none" w:sz="0" w:space="0" w:color="auto" w:frame="1"/>
        </w:rPr>
      </w:pPr>
      <w:r w:rsidRPr="00A259BD">
        <w:rPr>
          <w:rFonts w:ascii="Times New Roman" w:hAnsi="Times New Roman"/>
          <w:color w:val="000000" w:themeColor="text1"/>
          <w:sz w:val="16"/>
          <w:szCs w:val="16"/>
        </w:rPr>
        <w:t>С 1929 по 1937 гг. построили 230 танков Тип 89. В ходе производства в конструкцию танка постепенно вносились многочисленные улучшения (22970).</w:t>
      </w:r>
    </w:p>
    <w:p w14:paraId="48ADD438" w14:textId="77777777" w:rsidR="00101B24" w:rsidRPr="00A259BD" w:rsidRDefault="00101B24" w:rsidP="009236E3">
      <w:pPr>
        <w:spacing w:after="0" w:line="240" w:lineRule="auto"/>
        <w:jc w:val="both"/>
        <w:rPr>
          <w:rFonts w:ascii="Times New Roman" w:hAnsi="Times New Roman"/>
          <w:color w:val="000000" w:themeColor="text1"/>
          <w:sz w:val="16"/>
          <w:szCs w:val="16"/>
          <w:bdr w:val="none" w:sz="0" w:space="0" w:color="auto" w:frame="1"/>
        </w:rPr>
      </w:pPr>
    </w:p>
    <w:p w14:paraId="77B618F3" w14:textId="77777777" w:rsidR="007875BD"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FE82089" w14:textId="77777777" w:rsidR="007875BD" w:rsidRPr="00A259BD" w:rsidRDefault="007875B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734DDCB" w14:textId="77777777" w:rsidR="007875BD" w:rsidRPr="00A259BD" w:rsidRDefault="007875BD" w:rsidP="009236E3">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A259BD">
        <w:rPr>
          <w:rFonts w:ascii="Times New Roman" w:eastAsia="TimesNewRomanPSMT" w:hAnsi="Times New Roman"/>
          <w:color w:val="000000" w:themeColor="text1"/>
          <w:sz w:val="16"/>
          <w:szCs w:val="16"/>
          <w:lang w:eastAsia="ru-RU"/>
        </w:rPr>
        <w:t xml:space="preserve">К октябрю 1929 г. заводом № 23 были сданы первые два самолета У-2, шла сборка еще 40 машин. В 1930 г. было выпущено 85 самолетов У-2. В последующие годы </w:t>
      </w:r>
      <w:proofErr w:type="spellStart"/>
      <w:r w:rsidRPr="00A259BD">
        <w:rPr>
          <w:rFonts w:ascii="Times New Roman" w:eastAsia="TimesNewRomanPSMT" w:hAnsi="Times New Roman"/>
          <w:color w:val="000000" w:themeColor="text1"/>
          <w:sz w:val="16"/>
          <w:szCs w:val="16"/>
          <w:lang w:eastAsia="ru-RU"/>
        </w:rPr>
        <w:t>наблюдалсябыстрый</w:t>
      </w:r>
      <w:proofErr w:type="spellEnd"/>
      <w:r w:rsidRPr="00A259BD">
        <w:rPr>
          <w:rFonts w:ascii="Times New Roman" w:eastAsia="TimesNewRomanPSMT" w:hAnsi="Times New Roman"/>
          <w:color w:val="000000" w:themeColor="text1"/>
          <w:sz w:val="16"/>
          <w:szCs w:val="16"/>
          <w:lang w:eastAsia="ru-RU"/>
        </w:rPr>
        <w:t xml:space="preserve"> рост производства, только в 1933 г. было построено 1508 самолетов У-2 и его модификаций.</w:t>
      </w:r>
    </w:p>
    <w:p w14:paraId="322D8D2A" w14:textId="77777777" w:rsidR="007875BD" w:rsidRPr="00A259BD" w:rsidRDefault="007875BD" w:rsidP="009236E3">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A259BD">
        <w:rPr>
          <w:rFonts w:ascii="Times New Roman" w:eastAsia="TimesNewRomanPSMT" w:hAnsi="Times New Roman"/>
          <w:color w:val="000000" w:themeColor="text1"/>
          <w:sz w:val="16"/>
          <w:szCs w:val="16"/>
          <w:lang w:eastAsia="ru-RU"/>
        </w:rPr>
        <w:t xml:space="preserve">В 1934–1936 гг. завод № 23 выпустил 100 самолетов У-2 в санитарном варианте – СС (санитарный самолет). Этот самолет служил для перевозки одного больного на носилках и медработника. Санитарные самолеты широко использовались в годы </w:t>
      </w:r>
      <w:proofErr w:type="spellStart"/>
      <w:r w:rsidRPr="00A259BD">
        <w:rPr>
          <w:rFonts w:ascii="Times New Roman" w:eastAsia="TimesNewRomanPSMT" w:hAnsi="Times New Roman"/>
          <w:color w:val="000000" w:themeColor="text1"/>
          <w:sz w:val="16"/>
          <w:szCs w:val="16"/>
          <w:lang w:eastAsia="ru-RU"/>
        </w:rPr>
        <w:t>ВеликойОтечественной</w:t>
      </w:r>
      <w:proofErr w:type="spellEnd"/>
      <w:r w:rsidRPr="00A259BD">
        <w:rPr>
          <w:rFonts w:ascii="Times New Roman" w:eastAsia="TimesNewRomanPSMT" w:hAnsi="Times New Roman"/>
          <w:color w:val="000000" w:themeColor="text1"/>
          <w:sz w:val="16"/>
          <w:szCs w:val="16"/>
          <w:lang w:eastAsia="ru-RU"/>
        </w:rPr>
        <w:t xml:space="preserve"> войны для эвакуации раненых.</w:t>
      </w:r>
    </w:p>
    <w:p w14:paraId="188D44A0" w14:textId="77777777" w:rsidR="007875BD" w:rsidRPr="00A259BD" w:rsidRDefault="007875BD" w:rsidP="009236E3">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A259BD">
        <w:rPr>
          <w:rFonts w:ascii="Times New Roman" w:eastAsia="TimesNewRomanPSMT" w:hAnsi="Times New Roman"/>
          <w:color w:val="000000" w:themeColor="text1"/>
          <w:sz w:val="16"/>
          <w:szCs w:val="16"/>
          <w:lang w:eastAsia="ru-RU"/>
        </w:rPr>
        <w:t>В 1940 г. завод изготовил 365 самолетов санитарного варианта С-2.</w:t>
      </w:r>
    </w:p>
    <w:p w14:paraId="7E8E62B9" w14:textId="77777777" w:rsidR="007875BD" w:rsidRPr="00A259BD" w:rsidRDefault="007875BD" w:rsidP="009236E3">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A259BD">
        <w:rPr>
          <w:rFonts w:ascii="Times New Roman" w:eastAsia="TimesNewRomanPSMT" w:hAnsi="Times New Roman"/>
          <w:color w:val="000000" w:themeColor="text1"/>
          <w:sz w:val="16"/>
          <w:szCs w:val="16"/>
          <w:lang w:eastAsia="ru-RU"/>
        </w:rPr>
        <w:t>В 1932 г. был разработан У-2, оснащенный бомбардировочным вооружением, одним синхронным пулеметом и пулеметом на турели – ВС. В 1934–1936 гг. завод № 23 выпустил 600 таких самолетов.</w:t>
      </w:r>
    </w:p>
    <w:p w14:paraId="376E40AE" w14:textId="77777777" w:rsidR="007875BD" w:rsidRPr="00A259BD" w:rsidRDefault="007875BD" w:rsidP="009236E3">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A259BD">
        <w:rPr>
          <w:rFonts w:ascii="Times New Roman" w:eastAsia="TimesNewRomanPSMT" w:hAnsi="Times New Roman"/>
          <w:color w:val="000000" w:themeColor="text1"/>
          <w:sz w:val="16"/>
          <w:szCs w:val="16"/>
          <w:lang w:eastAsia="ru-RU"/>
        </w:rPr>
        <w:t>В связи с началом серийного производства самолетов У-2 производственных мощностей на заводе становилось недостаточно.</w:t>
      </w:r>
    </w:p>
    <w:p w14:paraId="1BB4153A" w14:textId="77777777" w:rsidR="007875BD" w:rsidRPr="00A259BD" w:rsidRDefault="007875BD"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eastAsia="TimesNewRomanPSMT" w:hAnsi="Times New Roman"/>
          <w:color w:val="000000" w:themeColor="text1"/>
          <w:sz w:val="16"/>
          <w:szCs w:val="16"/>
          <w:lang w:eastAsia="ru-RU"/>
        </w:rPr>
        <w:t xml:space="preserve">Завод развивался. Было принято решение о строительстве новых зданий. В 1931 г. производственная программа была увеличена в несколько раз, завод </w:t>
      </w:r>
      <w:proofErr w:type="spellStart"/>
      <w:r w:rsidRPr="00A259BD">
        <w:rPr>
          <w:rFonts w:ascii="Times New Roman" w:eastAsia="TimesNewRomanPSMT" w:hAnsi="Times New Roman"/>
          <w:color w:val="000000" w:themeColor="text1"/>
          <w:sz w:val="16"/>
          <w:szCs w:val="16"/>
          <w:lang w:eastAsia="ru-RU"/>
        </w:rPr>
        <w:t>перестраивалсядля</w:t>
      </w:r>
      <w:proofErr w:type="spellEnd"/>
      <w:r w:rsidRPr="00A259BD">
        <w:rPr>
          <w:rFonts w:ascii="Times New Roman" w:eastAsia="TimesNewRomanPSMT" w:hAnsi="Times New Roman"/>
          <w:color w:val="000000" w:themeColor="text1"/>
          <w:sz w:val="16"/>
          <w:szCs w:val="16"/>
          <w:lang w:eastAsia="ru-RU"/>
        </w:rPr>
        <w:t xml:space="preserve"> освоения этой гигантской программы (17311).</w:t>
      </w:r>
    </w:p>
    <w:p w14:paraId="669F0685" w14:textId="77777777" w:rsidR="007875BD" w:rsidRPr="00A259BD" w:rsidRDefault="007875B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C9FBD9" w14:textId="77777777" w:rsidR="002933D8" w:rsidRPr="00A259BD" w:rsidRDefault="002933D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октябрю 1929 г. заводом № 23 были сданы первые два самолета У-2, шла сборка еще 40 машин. В 1930 г. было выпущено 85 самолетов У-2. В последующие годы наблюдался быстрый рост производства, только в 1933 г. было построено 1508 самолетов У-2 и его модификаций. Самолет У-2 создавался для первоначального обучения летчиков. Но сразу после внедрения его в серийное производство началась разработка его многочисленных модификаций. Первым был создан АП (</w:t>
      </w:r>
      <w:proofErr w:type="spellStart"/>
      <w:r w:rsidRPr="00A259BD">
        <w:rPr>
          <w:rFonts w:ascii="Times New Roman" w:hAnsi="Times New Roman"/>
          <w:color w:val="000000" w:themeColor="text1"/>
          <w:sz w:val="16"/>
          <w:szCs w:val="16"/>
        </w:rPr>
        <w:t>аэропыл</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аэроопылитель</w:t>
      </w:r>
      <w:proofErr w:type="spellEnd"/>
      <w:r w:rsidRPr="00A259BD">
        <w:rPr>
          <w:rFonts w:ascii="Times New Roman" w:hAnsi="Times New Roman"/>
          <w:color w:val="000000" w:themeColor="text1"/>
          <w:sz w:val="16"/>
          <w:szCs w:val="16"/>
        </w:rPr>
        <w:t>) – сельскохозяйственный вариант У-2, широко применявшийся для уничтожения вредителей полей и лесов. В соответствии с назначением в конструкцию были внесены существенные изменения. Самолет был одноместным, переднее сиденье и вся кабина сдвинута вперед на 0,25 м, а все место задней кабины занято баком для порошкообразных ядовитых веществ, которые на бреющем полете рассеивались над местностью. Выпуск самолета АП начался в 1930 г., с 1930 по 1940 г. завод выпустил 1235 машин. Модификация СП (спецприменения) представляла собой тот же АП, но переделанный в трехместный пассажирский самолет. Вместо бакового отсека для опыления были сделаны две одноместные кабины без управления. Завод выпускал эти самолеты с 1934 по 1939 г., всего выпущена 861 машина. В 1934–1936 гг. завод № 23 выпустил 100 самолетов У-2 в санитарном варианте – СС (санитарный самолет). Этот самолет служил для перевозки одного больного на носилках и медработника. Санитарные самолеты широко использовались в годы Великой Отечественной войны для эвакуации раненых. В 1940 г. завод изготовил 365 самолетов санитарного варианта С-2. В 1932 г. был разработан У-2, оснащенный бомбардировочным вооружением, одним синхронным пулеметом и пулеметом на турели – ВС. В 1934–1936 гг. завод № 23 выпустил 600 таких самолетов. В связи с началом серийного производства самолетов У-2 производственных мощностей на заводе становилось недостаточно. Завод развивался. Было принято решение о строительстве новых зданий. В 1931 г. производственная программа была увеличена в несколько раз, завод перестраивался для освоения этой гигантской программы (19548).</w:t>
      </w:r>
    </w:p>
    <w:p w14:paraId="48CFA460" w14:textId="77777777" w:rsidR="002933D8" w:rsidRPr="00A259BD" w:rsidRDefault="002933D8" w:rsidP="009236E3">
      <w:pPr>
        <w:spacing w:after="0" w:line="240" w:lineRule="auto"/>
        <w:jc w:val="both"/>
        <w:rPr>
          <w:rFonts w:ascii="Times New Roman" w:hAnsi="Times New Roman"/>
          <w:color w:val="000000" w:themeColor="text1"/>
          <w:sz w:val="16"/>
          <w:szCs w:val="16"/>
        </w:rPr>
      </w:pPr>
    </w:p>
    <w:p w14:paraId="60E1CA1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113D98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18D212F" w14:textId="77777777" w:rsidR="00D25808" w:rsidRPr="00A259BD" w:rsidRDefault="00D25808"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На 1 октября 1929 г. в наличии имелись всего четыре И-4, из них один неисправный. Планы пришлось корректировать. Теперь решили, что в Белоруссию к концу 1930 г. отправят полсотни машин, а в Ленинградский округ и Воздушные силы Балтийского моря отдадут по два - четыре самолета. Но все получилось совсем не так.</w:t>
      </w:r>
    </w:p>
    <w:p w14:paraId="1E3EB555" w14:textId="77777777" w:rsidR="00D25808" w:rsidRPr="00A259BD" w:rsidRDefault="00D25808"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 xml:space="preserve">Начальник ВВС Краснознаменной Кавказской армии (ККА) Никифоров согласился принять партию машин с частично </w:t>
      </w:r>
      <w:proofErr w:type="spellStart"/>
      <w:r w:rsidRPr="00A259BD">
        <w:rPr>
          <w:rFonts w:ascii="Times New Roman" w:hAnsi="Times New Roman" w:cs="Times New Roman"/>
          <w:color w:val="000000" w:themeColor="text1"/>
        </w:rPr>
        <w:t>неустраненными</w:t>
      </w:r>
      <w:proofErr w:type="spellEnd"/>
      <w:r w:rsidRPr="00A259BD">
        <w:rPr>
          <w:rFonts w:ascii="Times New Roman" w:hAnsi="Times New Roman" w:cs="Times New Roman"/>
          <w:color w:val="000000" w:themeColor="text1"/>
        </w:rPr>
        <w:t xml:space="preserve"> дефектами и неполной комплектацией - без </w:t>
      </w:r>
      <w:proofErr w:type="spellStart"/>
      <w:r w:rsidRPr="00A259BD">
        <w:rPr>
          <w:rFonts w:ascii="Times New Roman" w:hAnsi="Times New Roman" w:cs="Times New Roman"/>
          <w:color w:val="000000" w:themeColor="text1"/>
        </w:rPr>
        <w:t>пневмопусков</w:t>
      </w:r>
      <w:proofErr w:type="spellEnd"/>
      <w:r w:rsidRPr="00A259BD">
        <w:rPr>
          <w:rFonts w:ascii="Times New Roman" w:hAnsi="Times New Roman" w:cs="Times New Roman"/>
          <w:color w:val="000000" w:themeColor="text1"/>
        </w:rPr>
        <w:t xml:space="preserve"> и кислородных приборов. Он заявил, что оставшиеся недостатки «легко устранимы в частях». Вот в 70-й авиаотряд ККА, дислоцировавшийся в Баку, и отправили первые серийные И-4. 13 апреля там уже потеряли первый самолет. Истребитель командира отряда Лякина на высоте примерно 200 м столкнулся с машиной летчика Каулина. У самолета Лякина был отбит хвост, он рухнул на землю вместе с пилотом. Каулину удалось сесть (19100).</w:t>
      </w:r>
    </w:p>
    <w:p w14:paraId="66BF4CA1" w14:textId="77777777" w:rsidR="00D25808" w:rsidRPr="00A259BD" w:rsidRDefault="00D25808" w:rsidP="009236E3">
      <w:pPr>
        <w:pStyle w:val="a8"/>
        <w:jc w:val="both"/>
        <w:rPr>
          <w:rFonts w:ascii="Times New Roman" w:hAnsi="Times New Roman" w:cs="Times New Roman"/>
          <w:color w:val="000000" w:themeColor="text1"/>
        </w:rPr>
      </w:pPr>
    </w:p>
    <w:p w14:paraId="53EB9E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октября 1929 закончились войсковые испытания 12 И-3 БМВ-6, которые проходили с сентября 1929 (1028,82).</w:t>
      </w:r>
    </w:p>
    <w:p w14:paraId="111F48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F314D8" w14:textId="77777777" w:rsidR="00915426" w:rsidRPr="00A259BD" w:rsidRDefault="009154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октября 1929 г. в советских ВВС оставалось 106 истребителей ФД-11, но уже через год их число уменьшилось до 87. И хотя к началу 1931 г. за счет ремонтов парк даже удалось увеличить на одну машину, дальше он быстро сокращался — в том же 1931-м началась их пере</w:t>
      </w:r>
      <w:r w:rsidRPr="00A259BD">
        <w:rPr>
          <w:rFonts w:ascii="Times New Roman" w:hAnsi="Times New Roman"/>
          <w:color w:val="000000" w:themeColor="text1"/>
          <w:sz w:val="16"/>
          <w:szCs w:val="16"/>
        </w:rPr>
        <w:softHyphen/>
        <w:t>дача в Осоавиахим, а в строй поступала отечественная техника (23004).</w:t>
      </w:r>
    </w:p>
    <w:p w14:paraId="44739662" w14:textId="77777777" w:rsidR="00915426" w:rsidRPr="00A259BD" w:rsidRDefault="00915426" w:rsidP="009236E3">
      <w:pPr>
        <w:spacing w:after="0" w:line="240" w:lineRule="auto"/>
        <w:jc w:val="both"/>
        <w:rPr>
          <w:rFonts w:ascii="Times New Roman" w:hAnsi="Times New Roman"/>
          <w:color w:val="000000" w:themeColor="text1"/>
          <w:sz w:val="16"/>
          <w:szCs w:val="16"/>
          <w:bdr w:val="none" w:sz="0" w:space="0" w:color="auto" w:frame="1"/>
        </w:rPr>
      </w:pPr>
    </w:p>
    <w:p w14:paraId="783262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октября 1929 Пред.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Урываев и Зав. ТПО Тарновский писали Пред. НТК УВВС письмо N 162/4:</w:t>
      </w:r>
    </w:p>
    <w:p w14:paraId="3FF853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"Правление просит распоряжения о срочной высылке ТТ к самолетам МИ-3 и МИЛ, причем разъясняет, что первые срочно необходимы, т.к. по принятому плану работ завода 25 проектирование этой машины должно начаться с 1 октября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вторые же необходимы для передачи в разработку прибывшему к Ришару, приступившему к работе, как то и было указано в письме от 27 августа N 60/3624.</w:t>
      </w:r>
    </w:p>
    <w:p w14:paraId="34A797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Вместе с тем, Правление считает необходимым отметить, что ТТ к самолетам И-6 и И-7 получены заводом N 25 от НТК 21 сентября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xml:space="preserve">. в то время, как по принятому НТК плану работ этого завода </w:t>
      </w:r>
      <w:proofErr w:type="spellStart"/>
      <w:r w:rsidRPr="00A259BD">
        <w:rPr>
          <w:rFonts w:ascii="Times New Roman" w:hAnsi="Times New Roman"/>
          <w:color w:val="000000" w:themeColor="text1"/>
          <w:sz w:val="16"/>
          <w:szCs w:val="16"/>
        </w:rPr>
        <w:t>д.б</w:t>
      </w:r>
      <w:proofErr w:type="spellEnd"/>
      <w:r w:rsidRPr="00A259BD">
        <w:rPr>
          <w:rFonts w:ascii="Times New Roman" w:hAnsi="Times New Roman"/>
          <w:color w:val="000000" w:themeColor="text1"/>
          <w:sz w:val="16"/>
          <w:szCs w:val="16"/>
        </w:rPr>
        <w:t xml:space="preserve">. начаться с 1 сентября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w:t>
      </w:r>
    </w:p>
    <w:p w14:paraId="1C6774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Вместе с тем, Правление обращает Ваше внимание, что в течение истекшего 1927/28 опер. года выявилась необеспеченность со стороны 2 секции НТК заданий на предметы вооружения своевременными и достаточно проработанными ТТ, благодаря чему работа задерживалась и затруднялась внедрением переделок.</w:t>
      </w:r>
    </w:p>
    <w:p w14:paraId="47EF18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Правление просит распоряжений о том, чтобы одновременно с утверждением программы на 1928/29 операционный год НК были высланы ТТ на все изделия программы. задания не обеспеченные ТТ к исполнению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приняты не будут, с исключением их из программы работ." (2339,17).</w:t>
      </w:r>
    </w:p>
    <w:p w14:paraId="3A9BC5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4D999C4" w14:textId="77777777" w:rsidR="008368A6" w:rsidRPr="00441F34" w:rsidRDefault="008368A6" w:rsidP="008368A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 октября 1929 г. Председатель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Урываев и заведующий ТПО Тарновский письмом №162/4 повторно запросили технические требования на МИ-3 (и другие самолеты программы на 1928/29 операционный год, указав, что «…задания не обеспеченные ТТ к исполнению </w:t>
      </w:r>
      <w:proofErr w:type="spellStart"/>
      <w:r w:rsidRPr="00441F34">
        <w:rPr>
          <w:rFonts w:ascii="Times New Roman" w:hAnsi="Times New Roman"/>
          <w:color w:val="0070C0"/>
          <w:sz w:val="16"/>
          <w:szCs w:val="16"/>
        </w:rPr>
        <w:t>Авиатрестом</w:t>
      </w:r>
      <w:proofErr w:type="spellEnd"/>
      <w:r w:rsidRPr="00441F34">
        <w:rPr>
          <w:rFonts w:ascii="Times New Roman" w:hAnsi="Times New Roman"/>
          <w:color w:val="0070C0"/>
          <w:sz w:val="16"/>
          <w:szCs w:val="16"/>
        </w:rPr>
        <w:t xml:space="preserve"> приняты не будут, с исключением их из программы работ».</w:t>
      </w:r>
    </w:p>
    <w:p w14:paraId="3AECD995" w14:textId="77777777" w:rsidR="008368A6" w:rsidRPr="00441F34" w:rsidRDefault="008368A6" w:rsidP="008368A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26 декабря 1929 г. на заседании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(протокол №32) среди прочих вопросов в изменение постановления Правления по протоколу 10 программу по морскому опытному самолетостроению утвердить в измененном виде, в частности 4-м пунктом срок готовности самолета МИ-3 к летным испытаниям установить на 1 августа 1931 г.</w:t>
      </w:r>
    </w:p>
    <w:p w14:paraId="2B63F9C1" w14:textId="77777777" w:rsidR="008368A6" w:rsidRPr="00441F34" w:rsidRDefault="008368A6" w:rsidP="008368A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распоряжение заводу №25 строить опытный образец самолета МИ-3 так и не поступило, и задание это с плана было снято. Не ясно даже, был ли выполнен проект самолета (24887).</w:t>
      </w:r>
    </w:p>
    <w:p w14:paraId="357125AC" w14:textId="77777777" w:rsidR="008368A6" w:rsidRPr="00441F34" w:rsidRDefault="008368A6" w:rsidP="008368A6">
      <w:pPr>
        <w:spacing w:after="0" w:line="240" w:lineRule="auto"/>
        <w:jc w:val="both"/>
        <w:rPr>
          <w:rFonts w:ascii="Times New Roman" w:hAnsi="Times New Roman"/>
          <w:color w:val="0070C0"/>
          <w:sz w:val="16"/>
          <w:szCs w:val="16"/>
        </w:rPr>
      </w:pPr>
    </w:p>
    <w:p w14:paraId="04E4D5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октября 1929 года зам. наркома и председателя РВС </w:t>
      </w:r>
      <w:proofErr w:type="spellStart"/>
      <w:r w:rsidRPr="00A259BD">
        <w:rPr>
          <w:rFonts w:ascii="Times New Roman" w:hAnsi="Times New Roman"/>
          <w:color w:val="000000" w:themeColor="text1"/>
          <w:sz w:val="16"/>
          <w:szCs w:val="16"/>
        </w:rPr>
        <w:t>Уншлихт</w:t>
      </w:r>
      <w:proofErr w:type="spellEnd"/>
      <w:r w:rsidRPr="00A259BD">
        <w:rPr>
          <w:rFonts w:ascii="Times New Roman" w:hAnsi="Times New Roman"/>
          <w:color w:val="000000" w:themeColor="text1"/>
          <w:sz w:val="16"/>
          <w:szCs w:val="16"/>
        </w:rPr>
        <w:t xml:space="preserve"> писал письмо № 09539 председателю РЗ СТО Рыкову</w:t>
      </w:r>
    </w:p>
    <w:p w14:paraId="59DBA6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Представляю проект постановления РЗ СТО по вопросу о мероприятиях по развитию авиапромышленности в течении 1929/30-1932/33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разработанный Комиссией под моим председательством (</w:t>
      </w:r>
      <w:proofErr w:type="spellStart"/>
      <w:r w:rsidRPr="00A259BD">
        <w:rPr>
          <w:rFonts w:ascii="Times New Roman" w:hAnsi="Times New Roman"/>
          <w:color w:val="000000" w:themeColor="text1"/>
          <w:sz w:val="16"/>
          <w:szCs w:val="16"/>
        </w:rPr>
        <w:t>прот</w:t>
      </w:r>
      <w:proofErr w:type="spellEnd"/>
      <w:r w:rsidRPr="00A259BD">
        <w:rPr>
          <w:rFonts w:ascii="Times New Roman" w:hAnsi="Times New Roman"/>
          <w:color w:val="000000" w:themeColor="text1"/>
          <w:sz w:val="16"/>
          <w:szCs w:val="16"/>
        </w:rPr>
        <w:t>. РЗ СТО № 37 п. 2 от 29 июля 1929 года).</w:t>
      </w:r>
    </w:p>
    <w:p w14:paraId="5A871E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на трех листах (3545,49 и 3770,49).</w:t>
      </w:r>
    </w:p>
    <w:p w14:paraId="0CAA08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сентября 1929 года появился протокол заседания комиссии РЗ СТО (протокол № 37 от 29 июля 1929 года) по вопросу "О развитии авиапромышленности"</w:t>
      </w:r>
    </w:p>
    <w:p w14:paraId="721484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Присутствовали: </w:t>
      </w:r>
      <w:proofErr w:type="spellStart"/>
      <w:r w:rsidRPr="00A259BD">
        <w:rPr>
          <w:rFonts w:ascii="Times New Roman" w:hAnsi="Times New Roman"/>
          <w:color w:val="000000" w:themeColor="text1"/>
          <w:sz w:val="16"/>
          <w:szCs w:val="16"/>
        </w:rPr>
        <w:t>Уншлихт</w:t>
      </w:r>
      <w:proofErr w:type="spellEnd"/>
      <w:r w:rsidRPr="00A259BD">
        <w:rPr>
          <w:rFonts w:ascii="Times New Roman" w:hAnsi="Times New Roman"/>
          <w:color w:val="000000" w:themeColor="text1"/>
          <w:sz w:val="16"/>
          <w:szCs w:val="16"/>
        </w:rPr>
        <w:t xml:space="preserve">, Баранов, Урываев, Шпекторов, Михайлов, Мехоношин, </w:t>
      </w:r>
      <w:proofErr w:type="spellStart"/>
      <w:r w:rsidRPr="00A259BD">
        <w:rPr>
          <w:rFonts w:ascii="Times New Roman" w:hAnsi="Times New Roman"/>
          <w:color w:val="000000" w:themeColor="text1"/>
          <w:sz w:val="16"/>
          <w:szCs w:val="16"/>
        </w:rPr>
        <w:t>Бокис</w:t>
      </w:r>
      <w:proofErr w:type="spellEnd"/>
      <w:r w:rsidRPr="00A259BD">
        <w:rPr>
          <w:rFonts w:ascii="Times New Roman" w:hAnsi="Times New Roman"/>
          <w:color w:val="000000" w:themeColor="text1"/>
          <w:sz w:val="16"/>
          <w:szCs w:val="16"/>
        </w:rPr>
        <w:t>, Шиловский</w:t>
      </w:r>
    </w:p>
    <w:p w14:paraId="181E46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Слушали: Результаты проработки подкомиссией Алксниса вопроса об увязке в пятилетке по годам потребностей в самолетах и моторах всего воздушного флота в мирное и военное время.</w:t>
      </w:r>
    </w:p>
    <w:p w14:paraId="5C7132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w:t>
      </w:r>
    </w:p>
    <w:p w14:paraId="7DA040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Включить в проект резолюции РЗ СТО окончательно проработанные и полностью согласованные пункты в следующей редакции:</w:t>
      </w:r>
    </w:p>
    <w:p w14:paraId="07CD89AE"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Определить в качестве минимальной потребности ВФ на год ведения войны:</w:t>
      </w:r>
    </w:p>
    <w:p w14:paraId="732795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2126"/>
        <w:gridCol w:w="1843"/>
      </w:tblGrid>
      <w:tr w:rsidR="00A259BD" w:rsidRPr="00A259BD" w14:paraId="4782753A" w14:textId="77777777">
        <w:trPr>
          <w:cantSplit/>
        </w:trPr>
        <w:tc>
          <w:tcPr>
            <w:tcW w:w="1809" w:type="dxa"/>
          </w:tcPr>
          <w:p w14:paraId="5090E0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0FA48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ВВС</w:t>
            </w:r>
          </w:p>
        </w:tc>
        <w:tc>
          <w:tcPr>
            <w:tcW w:w="2126" w:type="dxa"/>
          </w:tcPr>
          <w:p w14:paraId="7CB3EF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Гражданская авиация</w:t>
            </w:r>
          </w:p>
        </w:tc>
        <w:tc>
          <w:tcPr>
            <w:tcW w:w="1843" w:type="dxa"/>
          </w:tcPr>
          <w:p w14:paraId="1DFB29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r>
      <w:tr w:rsidR="00A259BD" w:rsidRPr="00A259BD" w14:paraId="63E62198" w14:textId="77777777">
        <w:trPr>
          <w:cantSplit/>
        </w:trPr>
        <w:tc>
          <w:tcPr>
            <w:tcW w:w="1809" w:type="dxa"/>
          </w:tcPr>
          <w:p w14:paraId="72D81F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год</w:t>
            </w:r>
          </w:p>
        </w:tc>
        <w:tc>
          <w:tcPr>
            <w:tcW w:w="1843" w:type="dxa"/>
          </w:tcPr>
          <w:p w14:paraId="684779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3980</w:t>
            </w:r>
          </w:p>
        </w:tc>
        <w:tc>
          <w:tcPr>
            <w:tcW w:w="2126" w:type="dxa"/>
          </w:tcPr>
          <w:p w14:paraId="18FB88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126</w:t>
            </w:r>
          </w:p>
        </w:tc>
        <w:tc>
          <w:tcPr>
            <w:tcW w:w="1843" w:type="dxa"/>
          </w:tcPr>
          <w:p w14:paraId="04C064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4106</w:t>
            </w:r>
          </w:p>
        </w:tc>
      </w:tr>
      <w:tr w:rsidR="00A259BD" w:rsidRPr="00A259BD" w14:paraId="4507D45A" w14:textId="77777777">
        <w:trPr>
          <w:cantSplit/>
        </w:trPr>
        <w:tc>
          <w:tcPr>
            <w:tcW w:w="1809" w:type="dxa"/>
          </w:tcPr>
          <w:p w14:paraId="0EA3AA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 год</w:t>
            </w:r>
          </w:p>
        </w:tc>
        <w:tc>
          <w:tcPr>
            <w:tcW w:w="1843" w:type="dxa"/>
          </w:tcPr>
          <w:p w14:paraId="37C242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4350</w:t>
            </w:r>
          </w:p>
        </w:tc>
        <w:tc>
          <w:tcPr>
            <w:tcW w:w="2126" w:type="dxa"/>
          </w:tcPr>
          <w:p w14:paraId="327652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139</w:t>
            </w:r>
          </w:p>
        </w:tc>
        <w:tc>
          <w:tcPr>
            <w:tcW w:w="1843" w:type="dxa"/>
          </w:tcPr>
          <w:p w14:paraId="00367A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4489</w:t>
            </w:r>
          </w:p>
        </w:tc>
      </w:tr>
      <w:tr w:rsidR="00A259BD" w:rsidRPr="00A259BD" w14:paraId="2D382979" w14:textId="77777777">
        <w:trPr>
          <w:cantSplit/>
        </w:trPr>
        <w:tc>
          <w:tcPr>
            <w:tcW w:w="1809" w:type="dxa"/>
          </w:tcPr>
          <w:p w14:paraId="586A60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 год</w:t>
            </w:r>
          </w:p>
        </w:tc>
        <w:tc>
          <w:tcPr>
            <w:tcW w:w="1843" w:type="dxa"/>
          </w:tcPr>
          <w:p w14:paraId="04118E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4710</w:t>
            </w:r>
          </w:p>
        </w:tc>
        <w:tc>
          <w:tcPr>
            <w:tcW w:w="2126" w:type="dxa"/>
          </w:tcPr>
          <w:p w14:paraId="30A66D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182</w:t>
            </w:r>
          </w:p>
        </w:tc>
        <w:tc>
          <w:tcPr>
            <w:tcW w:w="1843" w:type="dxa"/>
          </w:tcPr>
          <w:p w14:paraId="7BC0C4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4892</w:t>
            </w:r>
          </w:p>
        </w:tc>
      </w:tr>
      <w:tr w:rsidR="00A259BD" w:rsidRPr="00A259BD" w14:paraId="5BDD2A0F" w14:textId="77777777">
        <w:trPr>
          <w:cantSplit/>
        </w:trPr>
        <w:tc>
          <w:tcPr>
            <w:tcW w:w="1809" w:type="dxa"/>
          </w:tcPr>
          <w:p w14:paraId="5E9BDC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год</w:t>
            </w:r>
          </w:p>
        </w:tc>
        <w:tc>
          <w:tcPr>
            <w:tcW w:w="1843" w:type="dxa"/>
          </w:tcPr>
          <w:p w14:paraId="1C764A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6865</w:t>
            </w:r>
          </w:p>
        </w:tc>
        <w:tc>
          <w:tcPr>
            <w:tcW w:w="2126" w:type="dxa"/>
          </w:tcPr>
          <w:p w14:paraId="011526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233</w:t>
            </w:r>
          </w:p>
        </w:tc>
        <w:tc>
          <w:tcPr>
            <w:tcW w:w="1843" w:type="dxa"/>
          </w:tcPr>
          <w:p w14:paraId="237BB5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7098</w:t>
            </w:r>
          </w:p>
        </w:tc>
      </w:tr>
    </w:tbl>
    <w:p w14:paraId="4EA356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2126"/>
        <w:gridCol w:w="1843"/>
      </w:tblGrid>
      <w:tr w:rsidR="00A259BD" w:rsidRPr="00A259BD" w14:paraId="4BED2A89" w14:textId="77777777">
        <w:trPr>
          <w:cantSplit/>
        </w:trPr>
        <w:tc>
          <w:tcPr>
            <w:tcW w:w="1809" w:type="dxa"/>
          </w:tcPr>
          <w:p w14:paraId="6B2FF0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92080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ВВС</w:t>
            </w:r>
          </w:p>
        </w:tc>
        <w:tc>
          <w:tcPr>
            <w:tcW w:w="2126" w:type="dxa"/>
          </w:tcPr>
          <w:p w14:paraId="5EEB79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Гражданская авиация</w:t>
            </w:r>
          </w:p>
        </w:tc>
        <w:tc>
          <w:tcPr>
            <w:tcW w:w="1843" w:type="dxa"/>
          </w:tcPr>
          <w:p w14:paraId="0AA08A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r>
      <w:tr w:rsidR="00A259BD" w:rsidRPr="00A259BD" w14:paraId="6A5888B3" w14:textId="77777777">
        <w:trPr>
          <w:cantSplit/>
        </w:trPr>
        <w:tc>
          <w:tcPr>
            <w:tcW w:w="1809" w:type="dxa"/>
          </w:tcPr>
          <w:p w14:paraId="648596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год</w:t>
            </w:r>
          </w:p>
        </w:tc>
        <w:tc>
          <w:tcPr>
            <w:tcW w:w="1843" w:type="dxa"/>
          </w:tcPr>
          <w:p w14:paraId="73F6DF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4297</w:t>
            </w:r>
          </w:p>
        </w:tc>
        <w:tc>
          <w:tcPr>
            <w:tcW w:w="2126" w:type="dxa"/>
          </w:tcPr>
          <w:p w14:paraId="60E773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366</w:t>
            </w:r>
          </w:p>
        </w:tc>
        <w:tc>
          <w:tcPr>
            <w:tcW w:w="1843" w:type="dxa"/>
          </w:tcPr>
          <w:p w14:paraId="2A35BB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4663</w:t>
            </w:r>
          </w:p>
        </w:tc>
      </w:tr>
      <w:tr w:rsidR="00A259BD" w:rsidRPr="00A259BD" w14:paraId="178FC2DD" w14:textId="77777777">
        <w:trPr>
          <w:cantSplit/>
        </w:trPr>
        <w:tc>
          <w:tcPr>
            <w:tcW w:w="1809" w:type="dxa"/>
          </w:tcPr>
          <w:p w14:paraId="61811F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 год</w:t>
            </w:r>
          </w:p>
        </w:tc>
        <w:tc>
          <w:tcPr>
            <w:tcW w:w="1843" w:type="dxa"/>
          </w:tcPr>
          <w:p w14:paraId="319708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4848</w:t>
            </w:r>
          </w:p>
        </w:tc>
        <w:tc>
          <w:tcPr>
            <w:tcW w:w="2126" w:type="dxa"/>
          </w:tcPr>
          <w:p w14:paraId="0A2CEA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482</w:t>
            </w:r>
          </w:p>
        </w:tc>
        <w:tc>
          <w:tcPr>
            <w:tcW w:w="1843" w:type="dxa"/>
          </w:tcPr>
          <w:p w14:paraId="781D4F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5330</w:t>
            </w:r>
          </w:p>
        </w:tc>
      </w:tr>
      <w:tr w:rsidR="00A259BD" w:rsidRPr="00A259BD" w14:paraId="4569A233" w14:textId="77777777">
        <w:trPr>
          <w:cantSplit/>
        </w:trPr>
        <w:tc>
          <w:tcPr>
            <w:tcW w:w="1809" w:type="dxa"/>
          </w:tcPr>
          <w:p w14:paraId="01335F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 год</w:t>
            </w:r>
          </w:p>
        </w:tc>
        <w:tc>
          <w:tcPr>
            <w:tcW w:w="1843" w:type="dxa"/>
          </w:tcPr>
          <w:p w14:paraId="2AEAE7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5500</w:t>
            </w:r>
          </w:p>
        </w:tc>
        <w:tc>
          <w:tcPr>
            <w:tcW w:w="2126" w:type="dxa"/>
          </w:tcPr>
          <w:p w14:paraId="10B106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724</w:t>
            </w:r>
          </w:p>
        </w:tc>
        <w:tc>
          <w:tcPr>
            <w:tcW w:w="1843" w:type="dxa"/>
          </w:tcPr>
          <w:p w14:paraId="72626F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6224</w:t>
            </w:r>
          </w:p>
        </w:tc>
      </w:tr>
      <w:tr w:rsidR="00A259BD" w:rsidRPr="00A259BD" w14:paraId="52C3D853" w14:textId="77777777">
        <w:trPr>
          <w:cantSplit/>
        </w:trPr>
        <w:tc>
          <w:tcPr>
            <w:tcW w:w="1809" w:type="dxa"/>
          </w:tcPr>
          <w:p w14:paraId="00804F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год</w:t>
            </w:r>
          </w:p>
        </w:tc>
        <w:tc>
          <w:tcPr>
            <w:tcW w:w="1843" w:type="dxa"/>
          </w:tcPr>
          <w:p w14:paraId="5588EE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8010</w:t>
            </w:r>
          </w:p>
        </w:tc>
        <w:tc>
          <w:tcPr>
            <w:tcW w:w="2126" w:type="dxa"/>
          </w:tcPr>
          <w:p w14:paraId="012B00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1287</w:t>
            </w:r>
          </w:p>
        </w:tc>
        <w:tc>
          <w:tcPr>
            <w:tcW w:w="1843" w:type="dxa"/>
          </w:tcPr>
          <w:p w14:paraId="69CF5A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9297</w:t>
            </w:r>
          </w:p>
        </w:tc>
      </w:tr>
    </w:tbl>
    <w:p w14:paraId="3E4EDB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Возложить на Наркомвоенмор определение, по согласованию с промышленностью, типов и конструкций самолетов и моторов в пределах, указанных выше цифр по годам, предоставляя РВС право окончательного решения по этому вопросу.</w:t>
      </w:r>
    </w:p>
    <w:p w14:paraId="723DB35C"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покрытия указанной минимальной потребности ВФ в самолетах и моторах на военное время признать необходимым следующие мероприятия:</w:t>
      </w:r>
    </w:p>
    <w:p w14:paraId="4416C8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По самолетам:</w:t>
      </w:r>
    </w:p>
    <w:p w14:paraId="39150A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отпустить по смете 1929/30 года средства и приступить в 1929/30 году к постройке новых заводов: А – по разведчикам и истребителям деревянной и смешанной конструкции и Б – по легким и тяжелым бомбардировщикам и штурмовикам металлической конструкции, с расчетом начать в 1931/32 году выпуск продукции в размерах: завод А – 260 и завод Б – 196 самолетов;</w:t>
      </w:r>
    </w:p>
    <w:p w14:paraId="772F24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развернуть существующие заводы, доведя их пропускную способность по сдаче при работе в 2 смены по 10 рабочих часов каждая, вместе с продукцией новых заводов А и Б, до полного удовлетворения в 1932/33 году минимальной потребности ВФ в самолетах на год ведения войны, а именно: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2126"/>
        <w:gridCol w:w="1843"/>
        <w:gridCol w:w="1985"/>
      </w:tblGrid>
      <w:tr w:rsidR="00A259BD" w:rsidRPr="00A259BD" w14:paraId="253D524E" w14:textId="77777777">
        <w:trPr>
          <w:cantSplit/>
        </w:trPr>
        <w:tc>
          <w:tcPr>
            <w:tcW w:w="1809" w:type="dxa"/>
          </w:tcPr>
          <w:p w14:paraId="668AFC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843" w:type="dxa"/>
          </w:tcPr>
          <w:p w14:paraId="7D01EE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год</w:t>
            </w:r>
          </w:p>
        </w:tc>
        <w:tc>
          <w:tcPr>
            <w:tcW w:w="2126" w:type="dxa"/>
          </w:tcPr>
          <w:p w14:paraId="4E2AAA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 год</w:t>
            </w:r>
          </w:p>
        </w:tc>
        <w:tc>
          <w:tcPr>
            <w:tcW w:w="1843" w:type="dxa"/>
          </w:tcPr>
          <w:p w14:paraId="55EC86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 год</w:t>
            </w:r>
          </w:p>
        </w:tc>
        <w:tc>
          <w:tcPr>
            <w:tcW w:w="1985" w:type="dxa"/>
          </w:tcPr>
          <w:p w14:paraId="6DF9DA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год</w:t>
            </w:r>
          </w:p>
        </w:tc>
      </w:tr>
      <w:tr w:rsidR="00A259BD" w:rsidRPr="00A259BD" w14:paraId="37332FE4" w14:textId="77777777">
        <w:trPr>
          <w:cantSplit/>
        </w:trPr>
        <w:tc>
          <w:tcPr>
            <w:tcW w:w="1809" w:type="dxa"/>
          </w:tcPr>
          <w:p w14:paraId="3C8B31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w:t>
            </w:r>
          </w:p>
        </w:tc>
        <w:tc>
          <w:tcPr>
            <w:tcW w:w="1843" w:type="dxa"/>
          </w:tcPr>
          <w:p w14:paraId="42F90F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910</w:t>
            </w:r>
          </w:p>
        </w:tc>
        <w:tc>
          <w:tcPr>
            <w:tcW w:w="2126" w:type="dxa"/>
          </w:tcPr>
          <w:p w14:paraId="67DEC3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1610</w:t>
            </w:r>
          </w:p>
        </w:tc>
        <w:tc>
          <w:tcPr>
            <w:tcW w:w="1843" w:type="dxa"/>
          </w:tcPr>
          <w:p w14:paraId="68074A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2047</w:t>
            </w:r>
          </w:p>
        </w:tc>
        <w:tc>
          <w:tcPr>
            <w:tcW w:w="1985" w:type="dxa"/>
          </w:tcPr>
          <w:p w14:paraId="7ACD75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2300</w:t>
            </w:r>
          </w:p>
        </w:tc>
      </w:tr>
      <w:tr w:rsidR="00A259BD" w:rsidRPr="00A259BD" w14:paraId="3F084447" w14:textId="77777777">
        <w:trPr>
          <w:cantSplit/>
        </w:trPr>
        <w:tc>
          <w:tcPr>
            <w:tcW w:w="1809" w:type="dxa"/>
          </w:tcPr>
          <w:p w14:paraId="41C109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22</w:t>
            </w:r>
          </w:p>
        </w:tc>
        <w:tc>
          <w:tcPr>
            <w:tcW w:w="1843" w:type="dxa"/>
          </w:tcPr>
          <w:p w14:paraId="258DE5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329</w:t>
            </w:r>
          </w:p>
        </w:tc>
        <w:tc>
          <w:tcPr>
            <w:tcW w:w="2126" w:type="dxa"/>
          </w:tcPr>
          <w:p w14:paraId="4FAEF6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w:t>
            </w:r>
          </w:p>
        </w:tc>
        <w:tc>
          <w:tcPr>
            <w:tcW w:w="1843" w:type="dxa"/>
          </w:tcPr>
          <w:p w14:paraId="062523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650</w:t>
            </w:r>
          </w:p>
        </w:tc>
        <w:tc>
          <w:tcPr>
            <w:tcW w:w="1985" w:type="dxa"/>
          </w:tcPr>
          <w:p w14:paraId="59BCE7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709</w:t>
            </w:r>
          </w:p>
        </w:tc>
      </w:tr>
      <w:tr w:rsidR="00A259BD" w:rsidRPr="00A259BD" w14:paraId="34634327" w14:textId="77777777">
        <w:trPr>
          <w:cantSplit/>
        </w:trPr>
        <w:tc>
          <w:tcPr>
            <w:tcW w:w="1809" w:type="dxa"/>
          </w:tcPr>
          <w:p w14:paraId="3B302A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23</w:t>
            </w:r>
          </w:p>
        </w:tc>
        <w:tc>
          <w:tcPr>
            <w:tcW w:w="1843" w:type="dxa"/>
          </w:tcPr>
          <w:p w14:paraId="41D332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437</w:t>
            </w:r>
          </w:p>
        </w:tc>
        <w:tc>
          <w:tcPr>
            <w:tcW w:w="2126" w:type="dxa"/>
          </w:tcPr>
          <w:p w14:paraId="5E3995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573</w:t>
            </w:r>
          </w:p>
        </w:tc>
        <w:tc>
          <w:tcPr>
            <w:tcW w:w="1843" w:type="dxa"/>
          </w:tcPr>
          <w:p w14:paraId="62340F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574</w:t>
            </w:r>
          </w:p>
        </w:tc>
        <w:tc>
          <w:tcPr>
            <w:tcW w:w="1985" w:type="dxa"/>
          </w:tcPr>
          <w:p w14:paraId="02528F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586</w:t>
            </w:r>
          </w:p>
        </w:tc>
      </w:tr>
      <w:tr w:rsidR="00A259BD" w:rsidRPr="00A259BD" w14:paraId="12BB8AF5" w14:textId="77777777">
        <w:trPr>
          <w:cantSplit/>
        </w:trPr>
        <w:tc>
          <w:tcPr>
            <w:tcW w:w="1809" w:type="dxa"/>
          </w:tcPr>
          <w:p w14:paraId="5F13F1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31</w:t>
            </w:r>
          </w:p>
        </w:tc>
        <w:tc>
          <w:tcPr>
            <w:tcW w:w="1843" w:type="dxa"/>
          </w:tcPr>
          <w:p w14:paraId="1B3522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710</w:t>
            </w:r>
          </w:p>
        </w:tc>
        <w:tc>
          <w:tcPr>
            <w:tcW w:w="2126" w:type="dxa"/>
          </w:tcPr>
          <w:p w14:paraId="606F2B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246</w:t>
            </w:r>
          </w:p>
        </w:tc>
        <w:tc>
          <w:tcPr>
            <w:tcW w:w="1843" w:type="dxa"/>
          </w:tcPr>
          <w:p w14:paraId="23E176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356</w:t>
            </w:r>
          </w:p>
        </w:tc>
        <w:tc>
          <w:tcPr>
            <w:tcW w:w="1985" w:type="dxa"/>
          </w:tcPr>
          <w:p w14:paraId="1B9087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560</w:t>
            </w:r>
          </w:p>
        </w:tc>
      </w:tr>
      <w:tr w:rsidR="00A259BD" w:rsidRPr="00A259BD" w14:paraId="2D6CE197" w14:textId="77777777">
        <w:trPr>
          <w:cantSplit/>
        </w:trPr>
        <w:tc>
          <w:tcPr>
            <w:tcW w:w="1809" w:type="dxa"/>
          </w:tcPr>
          <w:p w14:paraId="3FCE96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Укрвоздухпуть</w:t>
            </w:r>
            <w:proofErr w:type="spellEnd"/>
          </w:p>
        </w:tc>
        <w:tc>
          <w:tcPr>
            <w:tcW w:w="1843" w:type="dxa"/>
          </w:tcPr>
          <w:p w14:paraId="7362EB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87</w:t>
            </w:r>
          </w:p>
        </w:tc>
        <w:tc>
          <w:tcPr>
            <w:tcW w:w="2126" w:type="dxa"/>
          </w:tcPr>
          <w:p w14:paraId="34F804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124</w:t>
            </w:r>
          </w:p>
        </w:tc>
        <w:tc>
          <w:tcPr>
            <w:tcW w:w="1843" w:type="dxa"/>
          </w:tcPr>
          <w:p w14:paraId="29CB7C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w:t>
            </w:r>
          </w:p>
        </w:tc>
        <w:tc>
          <w:tcPr>
            <w:tcW w:w="1985" w:type="dxa"/>
          </w:tcPr>
          <w:p w14:paraId="7E6CC2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232</w:t>
            </w:r>
          </w:p>
        </w:tc>
      </w:tr>
      <w:tr w:rsidR="00A259BD" w:rsidRPr="00A259BD" w14:paraId="1846DA8F" w14:textId="77777777">
        <w:trPr>
          <w:cantSplit/>
        </w:trPr>
        <w:tc>
          <w:tcPr>
            <w:tcW w:w="1809" w:type="dxa"/>
          </w:tcPr>
          <w:p w14:paraId="451724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w:t>
            </w:r>
          </w:p>
        </w:tc>
        <w:tc>
          <w:tcPr>
            <w:tcW w:w="1843" w:type="dxa"/>
          </w:tcPr>
          <w:p w14:paraId="23E65A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126" w:type="dxa"/>
          </w:tcPr>
          <w:p w14:paraId="571EA1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843" w:type="dxa"/>
          </w:tcPr>
          <w:p w14:paraId="4D22CE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860</w:t>
            </w:r>
          </w:p>
        </w:tc>
        <w:tc>
          <w:tcPr>
            <w:tcW w:w="1985" w:type="dxa"/>
          </w:tcPr>
          <w:p w14:paraId="4B5BB5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2142</w:t>
            </w:r>
          </w:p>
        </w:tc>
      </w:tr>
      <w:tr w:rsidR="00A259BD" w:rsidRPr="00A259BD" w14:paraId="4A0367F9" w14:textId="77777777">
        <w:trPr>
          <w:cantSplit/>
        </w:trPr>
        <w:tc>
          <w:tcPr>
            <w:tcW w:w="1809" w:type="dxa"/>
          </w:tcPr>
          <w:p w14:paraId="713B71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w:t>
            </w:r>
          </w:p>
        </w:tc>
        <w:tc>
          <w:tcPr>
            <w:tcW w:w="1843" w:type="dxa"/>
          </w:tcPr>
          <w:p w14:paraId="107A1A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126" w:type="dxa"/>
          </w:tcPr>
          <w:p w14:paraId="3758FA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843" w:type="dxa"/>
          </w:tcPr>
          <w:p w14:paraId="6B9D15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196</w:t>
            </w:r>
          </w:p>
        </w:tc>
        <w:tc>
          <w:tcPr>
            <w:tcW w:w="1985" w:type="dxa"/>
          </w:tcPr>
          <w:p w14:paraId="04519D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579</w:t>
            </w:r>
          </w:p>
        </w:tc>
      </w:tr>
      <w:tr w:rsidR="00A259BD" w:rsidRPr="00A259BD" w14:paraId="5F23A10F" w14:textId="77777777">
        <w:trPr>
          <w:cantSplit/>
        </w:trPr>
        <w:tc>
          <w:tcPr>
            <w:tcW w:w="1809" w:type="dxa"/>
          </w:tcPr>
          <w:p w14:paraId="7FB88A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1843" w:type="dxa"/>
          </w:tcPr>
          <w:p w14:paraId="659DC9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2473</w:t>
            </w:r>
          </w:p>
        </w:tc>
        <w:tc>
          <w:tcPr>
            <w:tcW w:w="2126" w:type="dxa"/>
          </w:tcPr>
          <w:p w14:paraId="714013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3003</w:t>
            </w:r>
          </w:p>
        </w:tc>
        <w:tc>
          <w:tcPr>
            <w:tcW w:w="1843" w:type="dxa"/>
          </w:tcPr>
          <w:p w14:paraId="424058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4875</w:t>
            </w:r>
          </w:p>
        </w:tc>
        <w:tc>
          <w:tcPr>
            <w:tcW w:w="1985" w:type="dxa"/>
          </w:tcPr>
          <w:p w14:paraId="398284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7098</w:t>
            </w:r>
          </w:p>
        </w:tc>
      </w:tr>
    </w:tbl>
    <w:p w14:paraId="74E6B1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передать завод </w:t>
      </w: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с сохранением конструкторской группы Калинина в виде отдельного самостоятельного конструкторского бюро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по смешанным конструкциям;</w:t>
      </w:r>
    </w:p>
    <w:p w14:paraId="512578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закончить к 1931/32 году выделение производства установок авиационного вооружения (турелей, синхронизаторов и пр.) из завода № 1 на отдельный новый завод, подлежащий для этой цели постройке и оборудованию с расчетом на удовлетворение полностью всех нужд воздушного флота; при этом заводе иметь конструкторское бюро и цех опытного производства по упомянутым установкам.</w:t>
      </w:r>
    </w:p>
    <w:p w14:paraId="258343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 моторам.</w:t>
      </w:r>
    </w:p>
    <w:p w14:paraId="37CE23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Закончить к 1931/32 году выделение производства вспомогательных механизмов и деталей моторов (карбюраторов, помп всех видов и назначений, поршневых колец, пружин, болтов и других нормалей) из основных серийных заводов и сосредоточить их производство на отдельный новый завод, подлежащий постройке и оборудованию с расчетом на удовлетворение полностью потребности ВФ в этих агрегатах; средства на проектирование завода предусмотреть в смете 1929/30 года.</w:t>
      </w:r>
    </w:p>
    <w:p w14:paraId="7A39F5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Признать в принципе необходимым, чтобы новый завод производящий вспомогательные механизмы и детали моторов, одновременно удовлетворял потребности авиации и автопромышленности. Поэтому, не приостанавливая работ по проектированию завода, поручить ВСНХ в трехмесячный срок проработать этот вопрос и не позднее 1 января 1930 года внести свои предложения с заключением РВС в РЗ СТО.</w:t>
      </w:r>
    </w:p>
    <w:p w14:paraId="1C8100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Развернуть существующие заводы и построить один новый завод с пропускной способностью по сдаче при работе в две смены по 10 часов каждая: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2126"/>
        <w:gridCol w:w="1843"/>
        <w:gridCol w:w="1985"/>
      </w:tblGrid>
      <w:tr w:rsidR="00A259BD" w:rsidRPr="00A259BD" w14:paraId="71DEA1B3" w14:textId="77777777">
        <w:trPr>
          <w:cantSplit/>
        </w:trPr>
        <w:tc>
          <w:tcPr>
            <w:tcW w:w="1809" w:type="dxa"/>
          </w:tcPr>
          <w:p w14:paraId="1BEA8C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843" w:type="dxa"/>
          </w:tcPr>
          <w:p w14:paraId="102729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год</w:t>
            </w:r>
          </w:p>
        </w:tc>
        <w:tc>
          <w:tcPr>
            <w:tcW w:w="2126" w:type="dxa"/>
          </w:tcPr>
          <w:p w14:paraId="498114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 год</w:t>
            </w:r>
          </w:p>
        </w:tc>
        <w:tc>
          <w:tcPr>
            <w:tcW w:w="1843" w:type="dxa"/>
          </w:tcPr>
          <w:p w14:paraId="77FF99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 год</w:t>
            </w:r>
          </w:p>
        </w:tc>
        <w:tc>
          <w:tcPr>
            <w:tcW w:w="1985" w:type="dxa"/>
          </w:tcPr>
          <w:p w14:paraId="239DA5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год</w:t>
            </w:r>
          </w:p>
        </w:tc>
      </w:tr>
      <w:tr w:rsidR="00A259BD" w:rsidRPr="00A259BD" w14:paraId="3278CCF5" w14:textId="77777777">
        <w:trPr>
          <w:cantSplit/>
        </w:trPr>
        <w:tc>
          <w:tcPr>
            <w:tcW w:w="1809" w:type="dxa"/>
          </w:tcPr>
          <w:p w14:paraId="04EE4E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24</w:t>
            </w:r>
          </w:p>
        </w:tc>
        <w:tc>
          <w:tcPr>
            <w:tcW w:w="1843" w:type="dxa"/>
          </w:tcPr>
          <w:p w14:paraId="4557DB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1915</w:t>
            </w:r>
          </w:p>
        </w:tc>
        <w:tc>
          <w:tcPr>
            <w:tcW w:w="2126" w:type="dxa"/>
          </w:tcPr>
          <w:p w14:paraId="568AD1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2080</w:t>
            </w:r>
          </w:p>
        </w:tc>
        <w:tc>
          <w:tcPr>
            <w:tcW w:w="1843" w:type="dxa"/>
          </w:tcPr>
          <w:p w14:paraId="269F65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1850</w:t>
            </w:r>
          </w:p>
        </w:tc>
        <w:tc>
          <w:tcPr>
            <w:tcW w:w="1985" w:type="dxa"/>
          </w:tcPr>
          <w:p w14:paraId="4BF5DE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2385</w:t>
            </w:r>
          </w:p>
        </w:tc>
      </w:tr>
      <w:tr w:rsidR="00A259BD" w:rsidRPr="00A259BD" w14:paraId="6F93287F" w14:textId="77777777">
        <w:trPr>
          <w:cantSplit/>
        </w:trPr>
        <w:tc>
          <w:tcPr>
            <w:tcW w:w="1809" w:type="dxa"/>
          </w:tcPr>
          <w:p w14:paraId="5F5B91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26</w:t>
            </w:r>
          </w:p>
        </w:tc>
        <w:tc>
          <w:tcPr>
            <w:tcW w:w="1843" w:type="dxa"/>
          </w:tcPr>
          <w:p w14:paraId="56DDFB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2126" w:type="dxa"/>
          </w:tcPr>
          <w:p w14:paraId="1D1418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875</w:t>
            </w:r>
          </w:p>
        </w:tc>
        <w:tc>
          <w:tcPr>
            <w:tcW w:w="1843" w:type="dxa"/>
          </w:tcPr>
          <w:p w14:paraId="2708C1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2300</w:t>
            </w:r>
          </w:p>
        </w:tc>
        <w:tc>
          <w:tcPr>
            <w:tcW w:w="1985" w:type="dxa"/>
          </w:tcPr>
          <w:p w14:paraId="15E0E3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3350</w:t>
            </w:r>
          </w:p>
        </w:tc>
      </w:tr>
      <w:tr w:rsidR="00A259BD" w:rsidRPr="00A259BD" w14:paraId="40DF30B3" w14:textId="77777777">
        <w:trPr>
          <w:cantSplit/>
        </w:trPr>
        <w:tc>
          <w:tcPr>
            <w:tcW w:w="1809" w:type="dxa"/>
          </w:tcPr>
          <w:p w14:paraId="7B8570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29</w:t>
            </w:r>
          </w:p>
        </w:tc>
        <w:tc>
          <w:tcPr>
            <w:tcW w:w="1843" w:type="dxa"/>
          </w:tcPr>
          <w:p w14:paraId="4933C2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360</w:t>
            </w:r>
          </w:p>
        </w:tc>
        <w:tc>
          <w:tcPr>
            <w:tcW w:w="2126" w:type="dxa"/>
          </w:tcPr>
          <w:p w14:paraId="61B97C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700</w:t>
            </w:r>
          </w:p>
        </w:tc>
        <w:tc>
          <w:tcPr>
            <w:tcW w:w="1843" w:type="dxa"/>
          </w:tcPr>
          <w:p w14:paraId="23FB1E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1210</w:t>
            </w:r>
          </w:p>
        </w:tc>
        <w:tc>
          <w:tcPr>
            <w:tcW w:w="1985" w:type="dxa"/>
          </w:tcPr>
          <w:p w14:paraId="73D156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1725</w:t>
            </w:r>
          </w:p>
        </w:tc>
      </w:tr>
      <w:tr w:rsidR="00A259BD" w:rsidRPr="00A259BD" w14:paraId="2F421EEE" w14:textId="77777777">
        <w:trPr>
          <w:cantSplit/>
        </w:trPr>
        <w:tc>
          <w:tcPr>
            <w:tcW w:w="1809" w:type="dxa"/>
          </w:tcPr>
          <w:p w14:paraId="4D5C26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Новый</w:t>
            </w:r>
          </w:p>
        </w:tc>
        <w:tc>
          <w:tcPr>
            <w:tcW w:w="1843" w:type="dxa"/>
          </w:tcPr>
          <w:p w14:paraId="6330B2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126" w:type="dxa"/>
          </w:tcPr>
          <w:p w14:paraId="5E3467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843" w:type="dxa"/>
          </w:tcPr>
          <w:p w14:paraId="1B7815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tc>
        <w:tc>
          <w:tcPr>
            <w:tcW w:w="1985" w:type="dxa"/>
          </w:tcPr>
          <w:p w14:paraId="68CD83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w:t>
            </w:r>
          </w:p>
        </w:tc>
      </w:tr>
      <w:tr w:rsidR="00A259BD" w:rsidRPr="00A259BD" w14:paraId="321666AB" w14:textId="77777777">
        <w:trPr>
          <w:cantSplit/>
        </w:trPr>
        <w:tc>
          <w:tcPr>
            <w:tcW w:w="1809" w:type="dxa"/>
          </w:tcPr>
          <w:p w14:paraId="16A94D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1843" w:type="dxa"/>
          </w:tcPr>
          <w:p w14:paraId="77FED0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2775</w:t>
            </w:r>
          </w:p>
        </w:tc>
        <w:tc>
          <w:tcPr>
            <w:tcW w:w="2126" w:type="dxa"/>
          </w:tcPr>
          <w:p w14:paraId="05818A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3655</w:t>
            </w:r>
          </w:p>
        </w:tc>
        <w:tc>
          <w:tcPr>
            <w:tcW w:w="1843" w:type="dxa"/>
          </w:tcPr>
          <w:p w14:paraId="55BD48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5660</w:t>
            </w:r>
          </w:p>
        </w:tc>
        <w:tc>
          <w:tcPr>
            <w:tcW w:w="1985" w:type="dxa"/>
          </w:tcPr>
          <w:p w14:paraId="5983D8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9460</w:t>
            </w:r>
          </w:p>
        </w:tc>
      </w:tr>
    </w:tbl>
    <w:p w14:paraId="206D8DBB"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Проектирование и составление смет, а равно и строительство и оборудование новых заводов авиапромышленности вести форсированным темпом, всемерно упрощая утверждение проектов, планов и смет.</w:t>
      </w:r>
    </w:p>
    <w:p w14:paraId="25E310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Слушали: Тезисы Урываева по вопросу о привлечен и промышленности ВСНХ к удовлетворению потребностей ВФ, а также кооперирования и ассимиляции производства авиапромышленности с гражданскими отраслями промышленности.</w:t>
      </w:r>
    </w:p>
    <w:p w14:paraId="12ECC4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Постановили: Принять тезисы Урываева за основу при проработке этого вопроса специальной технической комиссией, выделенной 5 сентября 1929 года в составе Михеля (председатель), </w:t>
      </w:r>
      <w:proofErr w:type="spellStart"/>
      <w:r w:rsidRPr="00A259BD">
        <w:rPr>
          <w:rFonts w:ascii="Times New Roman" w:hAnsi="Times New Roman"/>
          <w:color w:val="000000" w:themeColor="text1"/>
          <w:sz w:val="16"/>
          <w:szCs w:val="16"/>
        </w:rPr>
        <w:t>Клышко</w:t>
      </w:r>
      <w:proofErr w:type="spellEnd"/>
      <w:r w:rsidRPr="00A259BD">
        <w:rPr>
          <w:rFonts w:ascii="Times New Roman" w:hAnsi="Times New Roman"/>
          <w:color w:val="000000" w:themeColor="text1"/>
          <w:sz w:val="16"/>
          <w:szCs w:val="16"/>
        </w:rPr>
        <w:t xml:space="preserve">, Котовского, </w:t>
      </w:r>
      <w:proofErr w:type="spellStart"/>
      <w:r w:rsidRPr="00A259BD">
        <w:rPr>
          <w:rFonts w:ascii="Times New Roman" w:hAnsi="Times New Roman"/>
          <w:color w:val="000000" w:themeColor="text1"/>
          <w:sz w:val="16"/>
          <w:szCs w:val="16"/>
        </w:rPr>
        <w:t>Петрожицкого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Макарука</w:t>
      </w:r>
      <w:proofErr w:type="spellEnd"/>
      <w:r w:rsidRPr="00A259BD">
        <w:rPr>
          <w:rFonts w:ascii="Times New Roman" w:hAnsi="Times New Roman"/>
          <w:color w:val="000000" w:themeColor="text1"/>
          <w:sz w:val="16"/>
          <w:szCs w:val="16"/>
        </w:rPr>
        <w:t>, Бубенчика и Воробьева. Срок работы комиссии 1 ноября 1929 года (3545,53-56 и 3770,53).</w:t>
      </w:r>
    </w:p>
    <w:p w14:paraId="203F33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3950F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октября 1929 г. Распоряди</w:t>
      </w:r>
      <w:r w:rsidRPr="00A259BD">
        <w:rPr>
          <w:rFonts w:ascii="Times New Roman" w:hAnsi="Times New Roman"/>
          <w:color w:val="000000" w:themeColor="text1"/>
          <w:sz w:val="16"/>
          <w:szCs w:val="16"/>
        </w:rPr>
        <w:softHyphen/>
        <w:t xml:space="preserve">тельный комитет ЦАГИ в составе </w:t>
      </w:r>
      <w:proofErr w:type="spellStart"/>
      <w:r w:rsidRPr="00A259BD">
        <w:rPr>
          <w:rFonts w:ascii="Times New Roman" w:hAnsi="Times New Roman"/>
          <w:color w:val="000000" w:themeColor="text1"/>
          <w:sz w:val="16"/>
          <w:szCs w:val="16"/>
        </w:rPr>
        <w:t>С.В.Петрен</w:t>
      </w:r>
      <w:r w:rsidRPr="00A259BD">
        <w:rPr>
          <w:rFonts w:ascii="Times New Roman" w:hAnsi="Times New Roman"/>
          <w:color w:val="000000" w:themeColor="text1"/>
          <w:sz w:val="16"/>
          <w:szCs w:val="16"/>
        </w:rPr>
        <w:softHyphen/>
        <w:t>ко-Лунева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А.Н.Туполева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Г.А.Озерова</w:t>
      </w:r>
      <w:proofErr w:type="spellEnd"/>
      <w:r w:rsidRPr="00A259BD">
        <w:rPr>
          <w:rFonts w:ascii="Times New Roman" w:hAnsi="Times New Roman"/>
          <w:color w:val="000000" w:themeColor="text1"/>
          <w:sz w:val="16"/>
          <w:szCs w:val="16"/>
        </w:rPr>
        <w:t xml:space="preserve"> подписал с Начальником УВВС </w:t>
      </w:r>
      <w:proofErr w:type="spellStart"/>
      <w:r w:rsidRPr="00A259BD">
        <w:rPr>
          <w:rFonts w:ascii="Times New Roman" w:hAnsi="Times New Roman"/>
          <w:color w:val="000000" w:themeColor="text1"/>
          <w:sz w:val="16"/>
          <w:szCs w:val="16"/>
        </w:rPr>
        <w:t>П.И.Барановым</w:t>
      </w:r>
      <w:proofErr w:type="spellEnd"/>
      <w:r w:rsidRPr="00A259BD">
        <w:rPr>
          <w:rFonts w:ascii="Times New Roman" w:hAnsi="Times New Roman"/>
          <w:color w:val="000000" w:themeColor="text1"/>
          <w:sz w:val="16"/>
          <w:szCs w:val="16"/>
        </w:rPr>
        <w:t xml:space="preserve"> договор, некоторые положения которого гласили: “...рабочие, сотрудники и инже</w:t>
      </w:r>
      <w:r w:rsidRPr="00A259BD">
        <w:rPr>
          <w:rFonts w:ascii="Times New Roman" w:hAnsi="Times New Roman"/>
          <w:color w:val="000000" w:themeColor="text1"/>
          <w:sz w:val="16"/>
          <w:szCs w:val="16"/>
        </w:rPr>
        <w:softHyphen/>
        <w:t>нерно-технический коллектив ЦАГИ ре</w:t>
      </w:r>
      <w:r w:rsidRPr="00A259BD">
        <w:rPr>
          <w:rFonts w:ascii="Times New Roman" w:hAnsi="Times New Roman"/>
          <w:color w:val="000000" w:themeColor="text1"/>
          <w:sz w:val="16"/>
          <w:szCs w:val="16"/>
        </w:rPr>
        <w:softHyphen/>
        <w:t>шили в общественном порядке спроек</w:t>
      </w:r>
      <w:r w:rsidRPr="00A259BD">
        <w:rPr>
          <w:rFonts w:ascii="Times New Roman" w:hAnsi="Times New Roman"/>
          <w:color w:val="000000" w:themeColor="text1"/>
          <w:sz w:val="16"/>
          <w:szCs w:val="16"/>
        </w:rPr>
        <w:softHyphen/>
        <w:t>тировать и построить новый тин военно</w:t>
      </w:r>
      <w:r w:rsidRPr="00A259BD">
        <w:rPr>
          <w:rFonts w:ascii="Times New Roman" w:hAnsi="Times New Roman"/>
          <w:color w:val="000000" w:themeColor="text1"/>
          <w:sz w:val="16"/>
          <w:szCs w:val="16"/>
        </w:rPr>
        <w:softHyphen/>
        <w:t>го самолета... Коллектив принимает на себя обязательства всем составом рабо</w:t>
      </w:r>
      <w:r w:rsidRPr="00A259BD">
        <w:rPr>
          <w:rFonts w:ascii="Times New Roman" w:hAnsi="Times New Roman"/>
          <w:color w:val="000000" w:themeColor="text1"/>
          <w:sz w:val="16"/>
          <w:szCs w:val="16"/>
        </w:rPr>
        <w:softHyphen/>
        <w:t>чих и сотрудников ЦАГИ добровольно, во внеурочное время спроектировать и построить по собственным чертежам и расчетам опытный военный самолет ти</w:t>
      </w:r>
      <w:r w:rsidRPr="00A259BD">
        <w:rPr>
          <w:rFonts w:ascii="Times New Roman" w:hAnsi="Times New Roman"/>
          <w:color w:val="000000" w:themeColor="text1"/>
          <w:sz w:val="16"/>
          <w:szCs w:val="16"/>
        </w:rPr>
        <w:softHyphen/>
        <w:t>на истребитель под мотор Ю-УП и пере</w:t>
      </w:r>
      <w:r w:rsidRPr="00A259BD">
        <w:rPr>
          <w:rFonts w:ascii="Times New Roman" w:hAnsi="Times New Roman"/>
          <w:color w:val="000000" w:themeColor="text1"/>
          <w:sz w:val="16"/>
          <w:szCs w:val="16"/>
        </w:rPr>
        <w:softHyphen/>
        <w:t>дать его бесплатно УВВС”. Интересно, что строить “общественным” способом в ЦАГИ решили не давно ожидаемый И-5 смешанной конструкции, а металличе</w:t>
      </w:r>
      <w:r w:rsidRPr="00A259BD">
        <w:rPr>
          <w:rFonts w:ascii="Times New Roman" w:hAnsi="Times New Roman"/>
          <w:color w:val="000000" w:themeColor="text1"/>
          <w:sz w:val="16"/>
          <w:szCs w:val="16"/>
        </w:rPr>
        <w:softHyphen/>
        <w:t>ский истребитель с полотняной обшив</w:t>
      </w:r>
      <w:r w:rsidRPr="00A259BD">
        <w:rPr>
          <w:rFonts w:ascii="Times New Roman" w:hAnsi="Times New Roman"/>
          <w:color w:val="000000" w:themeColor="text1"/>
          <w:sz w:val="16"/>
          <w:szCs w:val="16"/>
        </w:rPr>
        <w:softHyphen/>
        <w:t>кой И-8 (АНТ-13) (10729).</w:t>
      </w:r>
    </w:p>
    <w:p w14:paraId="78919B8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08FB2B" w14:textId="77777777" w:rsidR="00E6155B" w:rsidRPr="00A259BD" w:rsidRDefault="00E6155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октября 1929 г. Рас</w:t>
      </w:r>
      <w:r w:rsidRPr="00A259BD">
        <w:rPr>
          <w:rFonts w:ascii="Times New Roman" w:hAnsi="Times New Roman"/>
          <w:color w:val="000000" w:themeColor="text1"/>
          <w:sz w:val="16"/>
          <w:szCs w:val="16"/>
        </w:rPr>
        <w:softHyphen/>
        <w:t>порядительный комитет в составе С.В. Петренко-Лунева, А.Н. Туполева и Г.А. Озеро</w:t>
      </w:r>
      <w:r w:rsidRPr="00A259BD">
        <w:rPr>
          <w:rFonts w:ascii="Times New Roman" w:hAnsi="Times New Roman"/>
          <w:color w:val="000000" w:themeColor="text1"/>
          <w:sz w:val="16"/>
          <w:szCs w:val="16"/>
        </w:rPr>
        <w:softHyphen/>
        <w:t>ва от лица распорядительного комитета ЦАГИ заключили с начальником 7УВВС П.И. Барановым договор, некоторые положения которого гласили: «...рабочие, со</w:t>
      </w:r>
      <w:r w:rsidRPr="00A259BD">
        <w:rPr>
          <w:rFonts w:ascii="Times New Roman" w:hAnsi="Times New Roman"/>
          <w:color w:val="000000" w:themeColor="text1"/>
          <w:sz w:val="16"/>
          <w:szCs w:val="16"/>
        </w:rPr>
        <w:softHyphen/>
        <w:t>трудники и инженерно-технический коллек</w:t>
      </w:r>
      <w:r w:rsidRPr="00A259BD">
        <w:rPr>
          <w:rFonts w:ascii="Times New Roman" w:hAnsi="Times New Roman"/>
          <w:color w:val="000000" w:themeColor="text1"/>
          <w:sz w:val="16"/>
          <w:szCs w:val="16"/>
        </w:rPr>
        <w:softHyphen/>
        <w:t>тив ЦАГИ решили в общественном порядке спроектировать и построить новый тип воен</w:t>
      </w:r>
      <w:r w:rsidRPr="00A259BD">
        <w:rPr>
          <w:rFonts w:ascii="Times New Roman" w:hAnsi="Times New Roman"/>
          <w:color w:val="000000" w:themeColor="text1"/>
          <w:sz w:val="16"/>
          <w:szCs w:val="16"/>
        </w:rPr>
        <w:softHyphen/>
        <w:t>ного самолета. Коллектив принимает на се</w:t>
      </w:r>
      <w:r w:rsidRPr="00A259BD">
        <w:rPr>
          <w:rFonts w:ascii="Times New Roman" w:hAnsi="Times New Roman"/>
          <w:color w:val="000000" w:themeColor="text1"/>
          <w:sz w:val="16"/>
          <w:szCs w:val="16"/>
        </w:rPr>
        <w:softHyphen/>
        <w:t>бя обязательство, всем составом рабочих и сотрудников ЦАГИ, добровольно, во внеу</w:t>
      </w:r>
      <w:r w:rsidRPr="00A259BD">
        <w:rPr>
          <w:rFonts w:ascii="Times New Roman" w:hAnsi="Times New Roman"/>
          <w:color w:val="000000" w:themeColor="text1"/>
          <w:sz w:val="16"/>
          <w:szCs w:val="16"/>
        </w:rPr>
        <w:softHyphen/>
        <w:t>рочное время спроектировать и построить по собственным чертежам и расчетам опытный военный самолет типа истребитель под мо</w:t>
      </w:r>
      <w:r w:rsidRPr="00A259BD">
        <w:rPr>
          <w:rFonts w:ascii="Times New Roman" w:hAnsi="Times New Roman"/>
          <w:color w:val="000000" w:themeColor="text1"/>
          <w:sz w:val="16"/>
          <w:szCs w:val="16"/>
        </w:rPr>
        <w:softHyphen/>
        <w:t>тор Ю-УП и передать его бесплатно У В ВС». Интересно, что определенный шифр ма</w:t>
      </w:r>
      <w:r w:rsidRPr="00A259BD">
        <w:rPr>
          <w:rFonts w:ascii="Times New Roman" w:hAnsi="Times New Roman"/>
          <w:color w:val="000000" w:themeColor="text1"/>
          <w:sz w:val="16"/>
          <w:szCs w:val="16"/>
        </w:rPr>
        <w:softHyphen/>
        <w:t>шины не указывался, т.к. в этот период уже говорится об истребителе И-8, который, кстати, строился упомянутым «обществен</w:t>
      </w:r>
      <w:r w:rsidRPr="00A259BD">
        <w:rPr>
          <w:rFonts w:ascii="Times New Roman" w:hAnsi="Times New Roman"/>
          <w:color w:val="000000" w:themeColor="text1"/>
          <w:sz w:val="16"/>
          <w:szCs w:val="16"/>
        </w:rPr>
        <w:softHyphen/>
        <w:t xml:space="preserve">ным» способом. Далее история </w:t>
      </w:r>
      <w:proofErr w:type="spellStart"/>
      <w:r w:rsidRPr="00A259BD">
        <w:rPr>
          <w:rFonts w:ascii="Times New Roman" w:hAnsi="Times New Roman"/>
          <w:color w:val="000000" w:themeColor="text1"/>
          <w:sz w:val="16"/>
          <w:szCs w:val="16"/>
        </w:rPr>
        <w:t>цаговского</w:t>
      </w:r>
      <w:proofErr w:type="spellEnd"/>
      <w:r w:rsidRPr="00A259BD">
        <w:rPr>
          <w:rFonts w:ascii="Times New Roman" w:hAnsi="Times New Roman"/>
          <w:color w:val="000000" w:themeColor="text1"/>
          <w:sz w:val="16"/>
          <w:szCs w:val="16"/>
        </w:rPr>
        <w:t xml:space="preserve"> И-5 продлилась еще почти год (12295).</w:t>
      </w:r>
    </w:p>
    <w:p w14:paraId="449841D0" w14:textId="77777777" w:rsidR="00E6155B" w:rsidRPr="00A259BD" w:rsidRDefault="00E6155B" w:rsidP="009236E3">
      <w:pPr>
        <w:spacing w:after="0" w:line="240" w:lineRule="auto"/>
        <w:jc w:val="both"/>
        <w:rPr>
          <w:rFonts w:ascii="Times New Roman" w:hAnsi="Times New Roman"/>
          <w:color w:val="000000" w:themeColor="text1"/>
          <w:sz w:val="16"/>
          <w:szCs w:val="16"/>
        </w:rPr>
      </w:pPr>
    </w:p>
    <w:p w14:paraId="2021B4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октября 1929 - в Авиапроме без АГОС в опытном строительстве было занято 230 конструкторов (80,416).</w:t>
      </w:r>
    </w:p>
    <w:p w14:paraId="480F1C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B8F6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 октября 1929 года бюро по проектированию тепловых приборов треста “</w:t>
      </w:r>
      <w:proofErr w:type="spellStart"/>
      <w:r w:rsidRPr="00A259BD">
        <w:rPr>
          <w:rFonts w:ascii="Times New Roman" w:hAnsi="Times New Roman"/>
          <w:color w:val="000000" w:themeColor="text1"/>
          <w:sz w:val="16"/>
          <w:szCs w:val="16"/>
        </w:rPr>
        <w:t>Главлаборснабжение</w:t>
      </w:r>
      <w:proofErr w:type="spellEnd"/>
      <w:r w:rsidRPr="00A259BD">
        <w:rPr>
          <w:rFonts w:ascii="Times New Roman" w:hAnsi="Times New Roman"/>
          <w:color w:val="000000" w:themeColor="text1"/>
          <w:sz w:val="16"/>
          <w:szCs w:val="16"/>
        </w:rPr>
        <w:t>” было реорганизовано в завод с присвоением наименования завод “</w:t>
      </w:r>
      <w:proofErr w:type="spellStart"/>
      <w:r w:rsidRPr="00A259BD">
        <w:rPr>
          <w:rFonts w:ascii="Times New Roman" w:hAnsi="Times New Roman"/>
          <w:color w:val="000000" w:themeColor="text1"/>
          <w:sz w:val="16"/>
          <w:szCs w:val="16"/>
        </w:rPr>
        <w:t>Термоэлектроприбор</w:t>
      </w:r>
      <w:proofErr w:type="spellEnd"/>
      <w:r w:rsidRPr="00A259BD">
        <w:rPr>
          <w:rFonts w:ascii="Times New Roman" w:hAnsi="Times New Roman"/>
          <w:color w:val="000000" w:themeColor="text1"/>
          <w:sz w:val="16"/>
          <w:szCs w:val="16"/>
        </w:rPr>
        <w:t>”, впоследствии переименованный в завод “Пирометр”.</w:t>
      </w:r>
    </w:p>
    <w:p w14:paraId="00D9C0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организацией НКОП завод вошел в состав НКОП и ему был присвоен № 218.</w:t>
      </w:r>
    </w:p>
    <w:p w14:paraId="3CAA66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последствии с организацией НКАП завод был передан в НКАП. До второй половины 1932 года завод размещался на ул. Красной связи (бывш. Виленский пер.), д. 17а и занимал здание бывш. Офицерского собрания. В 1932 году в состав завода был передан национализированный частный завод “ПРЭН” (владелец инженер Паршин), производивший аналогичные приборы теплотехнического контроля и помещавшийся по Можайской ул., д. 47.</w:t>
      </w:r>
    </w:p>
    <w:p w14:paraId="703D68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базе переданного завода “ПРЭН” было организовано производство лабораторных электропечей, впоследствии переданное на организованный завод № 278 НКОП (Ленинград, ул. Плеханова, д. 5). В 1932 году завод в полном составе переводится в предоставленные помещения на ул. </w:t>
      </w:r>
      <w:proofErr w:type="spellStart"/>
      <w:r w:rsidRPr="00A259BD">
        <w:rPr>
          <w:rFonts w:ascii="Times New Roman" w:hAnsi="Times New Roman"/>
          <w:color w:val="000000" w:themeColor="text1"/>
          <w:sz w:val="16"/>
          <w:szCs w:val="16"/>
        </w:rPr>
        <w:t>скороходова</w:t>
      </w:r>
      <w:proofErr w:type="spellEnd"/>
      <w:r w:rsidRPr="00A259BD">
        <w:rPr>
          <w:rFonts w:ascii="Times New Roman" w:hAnsi="Times New Roman"/>
          <w:color w:val="000000" w:themeColor="text1"/>
          <w:sz w:val="16"/>
          <w:szCs w:val="16"/>
        </w:rPr>
        <w:t xml:space="preserve">, полностью освобождая здания по </w:t>
      </w:r>
      <w:proofErr w:type="spellStart"/>
      <w:r w:rsidRPr="00A259BD">
        <w:rPr>
          <w:rFonts w:ascii="Times New Roman" w:hAnsi="Times New Roman"/>
          <w:color w:val="000000" w:themeColor="text1"/>
          <w:sz w:val="16"/>
          <w:szCs w:val="16"/>
        </w:rPr>
        <w:t>улю</w:t>
      </w:r>
      <w:proofErr w:type="spellEnd"/>
      <w:r w:rsidRPr="00A259BD">
        <w:rPr>
          <w:rFonts w:ascii="Times New Roman" w:hAnsi="Times New Roman"/>
          <w:color w:val="000000" w:themeColor="text1"/>
          <w:sz w:val="16"/>
          <w:szCs w:val="16"/>
        </w:rPr>
        <w:t xml:space="preserve"> Красной связи, д. 17а, передав таковое в ведение и эксплуатацию Особого конструкторского бюро “ОСКОНБЮРО”. В течение 1929-1936 гг. завод производил </w:t>
      </w:r>
      <w:r w:rsidRPr="00A259BD">
        <w:rPr>
          <w:rFonts w:ascii="Times New Roman" w:hAnsi="Times New Roman"/>
          <w:color w:val="000000" w:themeColor="text1"/>
          <w:sz w:val="16"/>
          <w:szCs w:val="16"/>
        </w:rPr>
        <w:lastRenderedPageBreak/>
        <w:t>указывающие пирометрические приборы, милливольтметры, термопары и лабораторные электропечи. В 1937 году по решению Правительства заводу было передано производство электроизмерительных приборов с Ленинградского завода “Электроприбор” (завод № 212). К началу 1940 года завод производил приборы: авиационные, морские, для танков, военной связи, теплотехнического контроля и электроизмерительные. В июле-августе 1941 года 30% личного состава и оборудования завода были эвакуированы в Казань на площадку фабрики “Кинопленка”, в 1942 году этой части завода был присвоен № 448, которая по окончании ВОВ была реэвакуирована в Ленинград на площадку бывш. завода № 47 (Корпусной проезд, д. 1).</w:t>
      </w:r>
    </w:p>
    <w:p w14:paraId="7EF204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Оставшаяся в Ленинграде часть (70%) личного состава и оборудования в 1942 году была эвакуирована на площадку завода № 279 в Раменское Московской области. В октябре 1941 года завод № 279 из Раменского был эвакуирован в Ижевск и в 1945 году расформирован.</w:t>
      </w:r>
    </w:p>
    <w:p w14:paraId="25AA85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нахождению завода в </w:t>
      </w:r>
      <w:proofErr w:type="spellStart"/>
      <w:r w:rsidRPr="00A259BD">
        <w:rPr>
          <w:rFonts w:ascii="Times New Roman" w:hAnsi="Times New Roman"/>
          <w:color w:val="000000" w:themeColor="text1"/>
          <w:sz w:val="16"/>
          <w:szCs w:val="16"/>
        </w:rPr>
        <w:t>Раменсокм</w:t>
      </w:r>
      <w:proofErr w:type="spellEnd"/>
      <w:r w:rsidRPr="00A259BD">
        <w:rPr>
          <w:rFonts w:ascii="Times New Roman" w:hAnsi="Times New Roman"/>
          <w:color w:val="000000" w:themeColor="text1"/>
          <w:sz w:val="16"/>
          <w:szCs w:val="16"/>
        </w:rPr>
        <w:t xml:space="preserve"> ему был присвоен № 149. В этот период завод производил: авиационные, танковые и частично приборы теплотехнического контроля. Производство электроизмерительных приборов было передано на организованный завод 3 295. В апреле 1945 года по решению Правительства производство приборов теплотехнического контроля было реэвакуировано в Ленинград на старую площадку завода № 218.</w:t>
      </w:r>
    </w:p>
    <w:p w14:paraId="19DA82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Адрес: Ленинград П-61, ул. Скороходова, д. 16</w:t>
      </w:r>
    </w:p>
    <w:p w14:paraId="6EBDE7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Производственный профиль – приборостроение (агрегаты и приборы ракетной, авиационной, военной техники и гироскопические приборы) (9839).</w:t>
      </w:r>
    </w:p>
    <w:p w14:paraId="066236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0C2506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993217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C768AFF" w14:textId="77777777" w:rsidR="00E6155B" w:rsidRPr="00A259BD" w:rsidRDefault="00E6155B" w:rsidP="009236E3">
      <w:pPr>
        <w:pStyle w:val="rtejustify"/>
        <w:spacing w:before="0" w:after="0"/>
        <w:rPr>
          <w:color w:val="000000" w:themeColor="text1"/>
          <w:sz w:val="16"/>
          <w:szCs w:val="16"/>
        </w:rPr>
      </w:pPr>
      <w:r w:rsidRPr="00A259BD">
        <w:rPr>
          <w:color w:val="000000" w:themeColor="text1"/>
          <w:sz w:val="16"/>
          <w:szCs w:val="16"/>
        </w:rPr>
        <w:t xml:space="preserve">На 1 октября 1929 г. </w:t>
      </w:r>
      <w:r w:rsidRPr="00A259BD">
        <w:rPr>
          <w:rStyle w:val="af0"/>
          <w:i w:val="0"/>
          <w:color w:val="000000" w:themeColor="text1"/>
          <w:sz w:val="16"/>
          <w:szCs w:val="16"/>
        </w:rPr>
        <w:t>программа танкостроения</w:t>
      </w:r>
      <w:r w:rsidRPr="00A259BD">
        <w:rPr>
          <w:color w:val="000000" w:themeColor="text1"/>
          <w:sz w:val="16"/>
          <w:szCs w:val="16"/>
        </w:rPr>
        <w:t xml:space="preserve"> 1928/29 г. была выполнена только на 20</w:t>
      </w:r>
      <w:r w:rsidRPr="00A259BD">
        <w:rPr>
          <w:rStyle w:val="af0"/>
          <w:i w:val="0"/>
          <w:color w:val="000000" w:themeColor="text1"/>
          <w:sz w:val="16"/>
          <w:szCs w:val="16"/>
        </w:rPr>
        <w:t xml:space="preserve">%. </w:t>
      </w:r>
      <w:r w:rsidRPr="00A259BD">
        <w:rPr>
          <w:color w:val="000000" w:themeColor="text1"/>
          <w:sz w:val="16"/>
          <w:szCs w:val="16"/>
        </w:rPr>
        <w:t>Только на 20 марта 1930 г. программа была выполнена на 65%, а по запасным частям не выполнена вовсе. Соответственно по исполнению плана 1929/30 г. положение сложилось еще более катастрофическое, т. к. к середине марта 1930 г. не было сдано ни одного танка. Тем не менее Реввоенсовет считал, что материально-технические возможности промышленности позволяли ей выполнить программы и предложил для этого ряд мер. (РГВА. Ф. 4. Оп. 18. Д. 19. Л. 87</w:t>
      </w:r>
      <w:r w:rsidRPr="00A259BD">
        <w:rPr>
          <w:color w:val="000000" w:themeColor="text1"/>
          <w:sz w:val="16"/>
          <w:szCs w:val="16"/>
        </w:rPr>
        <w:noBreakHyphen/>
        <w:t>89) (12469).</w:t>
      </w:r>
    </w:p>
    <w:p w14:paraId="4ABF3E9D" w14:textId="77777777" w:rsidR="00E6155B" w:rsidRPr="00A259BD" w:rsidRDefault="00E6155B" w:rsidP="009236E3">
      <w:pPr>
        <w:pStyle w:val="rtejustify"/>
        <w:spacing w:before="0" w:after="0"/>
        <w:rPr>
          <w:color w:val="000000" w:themeColor="text1"/>
          <w:sz w:val="16"/>
          <w:szCs w:val="16"/>
        </w:rPr>
      </w:pPr>
    </w:p>
    <w:p w14:paraId="25D1EF0B" w14:textId="77777777" w:rsidR="0065509C" w:rsidRPr="00A259BD" w:rsidRDefault="0065509C" w:rsidP="009236E3">
      <w:pPr>
        <w:pStyle w:val="rtejustify"/>
        <w:spacing w:before="0" w:after="0"/>
        <w:rPr>
          <w:color w:val="000000" w:themeColor="text1"/>
          <w:sz w:val="16"/>
          <w:szCs w:val="16"/>
        </w:rPr>
      </w:pPr>
      <w:r w:rsidRPr="00A259BD">
        <w:rPr>
          <w:bCs/>
          <w:color w:val="000000" w:themeColor="text1"/>
          <w:sz w:val="16"/>
          <w:szCs w:val="16"/>
        </w:rPr>
        <w:t xml:space="preserve">Не ранее 1 октября 1929 г. — Письмо заместителя наркома НК РКИ И. П. </w:t>
      </w:r>
      <w:proofErr w:type="spellStart"/>
      <w:r w:rsidRPr="00A259BD">
        <w:rPr>
          <w:bCs/>
          <w:color w:val="000000" w:themeColor="text1"/>
          <w:sz w:val="16"/>
          <w:szCs w:val="16"/>
        </w:rPr>
        <w:t>Павлуновского</w:t>
      </w:r>
      <w:proofErr w:type="spellEnd"/>
      <w:r w:rsidRPr="00A259BD">
        <w:rPr>
          <w:bCs/>
          <w:color w:val="000000" w:themeColor="text1"/>
          <w:sz w:val="16"/>
          <w:szCs w:val="16"/>
        </w:rPr>
        <w:t xml:space="preserve"> наркому рабоче-крестьянской инспекции СССР С. Орджоникидзе о положении с производством пушек Ф-22 на заводе «Новое Сормово»</w:t>
      </w:r>
    </w:p>
    <w:p w14:paraId="01CC42F4" w14:textId="77777777" w:rsidR="00791A32" w:rsidRPr="00A259BD" w:rsidRDefault="00791A32" w:rsidP="009236E3">
      <w:pPr>
        <w:pStyle w:val="rtejustify"/>
        <w:spacing w:before="0" w:after="0"/>
        <w:rPr>
          <w:color w:val="000000" w:themeColor="text1"/>
          <w:sz w:val="16"/>
          <w:szCs w:val="16"/>
        </w:rPr>
      </w:pPr>
      <w:r w:rsidRPr="00A259BD">
        <w:rPr>
          <w:color w:val="000000" w:themeColor="text1"/>
          <w:sz w:val="16"/>
          <w:szCs w:val="16"/>
        </w:rPr>
        <w:t>Дорогой т. Серго.</w:t>
      </w:r>
    </w:p>
    <w:p w14:paraId="143148D6" w14:textId="77777777" w:rsidR="00791A32" w:rsidRPr="00A259BD" w:rsidRDefault="00791A32" w:rsidP="009236E3">
      <w:pPr>
        <w:pStyle w:val="rtejustify"/>
        <w:spacing w:before="0" w:after="0"/>
        <w:rPr>
          <w:color w:val="000000" w:themeColor="text1"/>
          <w:sz w:val="16"/>
          <w:szCs w:val="16"/>
        </w:rPr>
      </w:pPr>
      <w:r w:rsidRPr="00A259BD">
        <w:rPr>
          <w:color w:val="000000" w:themeColor="text1"/>
          <w:sz w:val="16"/>
          <w:szCs w:val="16"/>
        </w:rPr>
        <w:t>Я был на заводе «Новое Сормово». Полтора месяца на заводе работает инженер Коневский. Положение с производством дивизионных пушек следующее: в первой декаде октября удастся собрать первые 5 пушек.</w:t>
      </w:r>
    </w:p>
    <w:p w14:paraId="41C3E414" w14:textId="77777777" w:rsidR="00791A32" w:rsidRPr="00A259BD" w:rsidRDefault="00791A32" w:rsidP="009236E3">
      <w:pPr>
        <w:pStyle w:val="rtejustify"/>
        <w:spacing w:before="0" w:after="0"/>
        <w:rPr>
          <w:color w:val="000000" w:themeColor="text1"/>
          <w:sz w:val="16"/>
          <w:szCs w:val="16"/>
        </w:rPr>
      </w:pPr>
      <w:r w:rsidRPr="00A259BD">
        <w:rPr>
          <w:color w:val="000000" w:themeColor="text1"/>
          <w:sz w:val="16"/>
          <w:szCs w:val="16"/>
        </w:rPr>
        <w:t>Почему задержалось выполнение программы по Сормовскому заводу? В апреле месяце пушка Ф</w:t>
      </w:r>
      <w:r w:rsidRPr="00A259BD">
        <w:rPr>
          <w:color w:val="000000" w:themeColor="text1"/>
          <w:sz w:val="16"/>
          <w:szCs w:val="16"/>
        </w:rPr>
        <w:noBreakHyphen/>
        <w:t>22 была принята на вооружение, причем завод должен был внести в пушку ряд изменений. Изменения коснулись 30% основных деталей пушки. Внесение изменений в пушку закончено в конце мая — начале июня месяца. Подготовка к производству пушек по всем деталям фактически началась благодаря изменениям только в июне месяце. Начиная с июня месяца прошло только четыре месяца. Завод за четыре месяца не смог составить технологию, изготовить приспособления и специальный инструмент, освоить инструмент и приспособления и наладить выпуск системы.</w:t>
      </w:r>
    </w:p>
    <w:p w14:paraId="1311B5CD" w14:textId="77777777" w:rsidR="00791A32" w:rsidRPr="00A259BD" w:rsidRDefault="00791A32" w:rsidP="009236E3">
      <w:pPr>
        <w:pStyle w:val="rtejustify"/>
        <w:spacing w:before="0" w:after="0"/>
        <w:rPr>
          <w:color w:val="000000" w:themeColor="text1"/>
          <w:sz w:val="16"/>
          <w:szCs w:val="16"/>
        </w:rPr>
      </w:pPr>
      <w:r w:rsidRPr="00A259BD">
        <w:rPr>
          <w:color w:val="000000" w:themeColor="text1"/>
          <w:sz w:val="16"/>
          <w:szCs w:val="16"/>
        </w:rPr>
        <w:t>Четырех месяцев для постановки на массовое производство такой сложной пушки, как Ф</w:t>
      </w:r>
      <w:r w:rsidRPr="00A259BD">
        <w:rPr>
          <w:color w:val="000000" w:themeColor="text1"/>
          <w:sz w:val="16"/>
          <w:szCs w:val="16"/>
        </w:rPr>
        <w:noBreakHyphen/>
        <w:t>22, оказалось мало. В четыре месяца наладить массовое производство пушки Ф</w:t>
      </w:r>
      <w:r w:rsidRPr="00A259BD">
        <w:rPr>
          <w:color w:val="000000" w:themeColor="text1"/>
          <w:sz w:val="16"/>
          <w:szCs w:val="16"/>
        </w:rPr>
        <w:noBreakHyphen/>
        <w:t>22 оказалось не под силу не только «Новому Сормову», но и заводу с большой культурой производства артиллерии, как Путиловский завод. Для постановки на массовое производство такой пушки, как Ф</w:t>
      </w:r>
      <w:r w:rsidRPr="00A259BD">
        <w:rPr>
          <w:color w:val="000000" w:themeColor="text1"/>
          <w:sz w:val="16"/>
          <w:szCs w:val="16"/>
        </w:rPr>
        <w:noBreakHyphen/>
        <w:t>22, надо не менее 6 месяцев. Поэтому еще 2 месяца заводы, и Путиловский, будут очень тяжело переживать период освоения массового производства пушек. С декабря месяца завод «Новое Сормово» начнет регулярный выпуск дивизионных пушек. До декабря месяца завод «Новое Сормово» будет выпускать отдельные пушки. Какое количество пушек удастся выпустить до декабря — можно будет сказать после сборки первых 5 шт. в первой половине октября.</w:t>
      </w:r>
    </w:p>
    <w:p w14:paraId="2978277B" w14:textId="77777777" w:rsidR="00791A32" w:rsidRPr="00A259BD" w:rsidRDefault="00791A32" w:rsidP="009236E3">
      <w:pPr>
        <w:pStyle w:val="rtejustify"/>
        <w:spacing w:before="0" w:after="0"/>
        <w:rPr>
          <w:color w:val="000000" w:themeColor="text1"/>
          <w:sz w:val="16"/>
          <w:szCs w:val="16"/>
        </w:rPr>
      </w:pPr>
      <w:r w:rsidRPr="00A259BD">
        <w:rPr>
          <w:color w:val="000000" w:themeColor="text1"/>
          <w:sz w:val="16"/>
          <w:szCs w:val="16"/>
        </w:rPr>
        <w:t>Таково положение с производством пушек Ф</w:t>
      </w:r>
      <w:r w:rsidRPr="00A259BD">
        <w:rPr>
          <w:color w:val="000000" w:themeColor="text1"/>
          <w:sz w:val="16"/>
          <w:szCs w:val="16"/>
        </w:rPr>
        <w:noBreakHyphen/>
        <w:t>22 на заводе «Новое Сормово».</w:t>
      </w:r>
    </w:p>
    <w:p w14:paraId="018F6165" w14:textId="77777777" w:rsidR="00791A32" w:rsidRPr="00A259BD" w:rsidRDefault="00791A32"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Привет, </w:t>
      </w:r>
      <w:hyperlink r:id="rId195" w:history="1">
        <w:proofErr w:type="spellStart"/>
        <w:r w:rsidRPr="00A259BD">
          <w:rPr>
            <w:rStyle w:val="af0"/>
            <w:i w:val="0"/>
            <w:color w:val="000000" w:themeColor="text1"/>
            <w:sz w:val="16"/>
            <w:szCs w:val="16"/>
          </w:rPr>
          <w:t>Павлуновский</w:t>
        </w:r>
        <w:proofErr w:type="spellEnd"/>
      </w:hyperlink>
    </w:p>
    <w:p w14:paraId="74980CA5" w14:textId="77777777" w:rsidR="00791A32" w:rsidRPr="00A259BD" w:rsidRDefault="00791A32" w:rsidP="009236E3">
      <w:pPr>
        <w:pStyle w:val="ae"/>
        <w:spacing w:before="0" w:after="0"/>
        <w:jc w:val="both"/>
        <w:rPr>
          <w:color w:val="000000" w:themeColor="text1"/>
          <w:sz w:val="16"/>
          <w:szCs w:val="16"/>
        </w:rPr>
      </w:pPr>
      <w:r w:rsidRPr="00A259BD">
        <w:rPr>
          <w:color w:val="000000" w:themeColor="text1"/>
          <w:sz w:val="16"/>
          <w:szCs w:val="16"/>
        </w:rPr>
        <w:t>РГАСПИ. Ф. 85. Оп. 1. Д. 105. Л. 23—25 об. Подлинник. Рукопись.</w:t>
      </w:r>
    </w:p>
    <w:p w14:paraId="082A158D" w14:textId="77777777" w:rsidR="00791A32" w:rsidRPr="00A259BD" w:rsidRDefault="00791A3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РГАСПИ. Ф. 85. Оп. 1. Д. 105. Л. 23—25 об. Подлинник. Рукопись. </w:t>
      </w:r>
    </w:p>
    <w:p w14:paraId="518967C3" w14:textId="77777777" w:rsidR="00791A32" w:rsidRPr="00A259BD" w:rsidRDefault="00791A3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370 (12468).</w:t>
      </w:r>
    </w:p>
    <w:p w14:paraId="1F5E7DC2" w14:textId="77777777" w:rsidR="00791A32" w:rsidRPr="00A259BD" w:rsidRDefault="00791A32" w:rsidP="009236E3">
      <w:pPr>
        <w:spacing w:after="0" w:line="240" w:lineRule="auto"/>
        <w:jc w:val="both"/>
        <w:rPr>
          <w:rFonts w:ascii="Times New Roman" w:hAnsi="Times New Roman"/>
          <w:color w:val="000000" w:themeColor="text1"/>
          <w:sz w:val="16"/>
          <w:szCs w:val="16"/>
        </w:rPr>
      </w:pPr>
    </w:p>
    <w:p w14:paraId="070B2D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октября 1929 г. на базе мастерских старого </w:t>
      </w:r>
      <w:proofErr w:type="spellStart"/>
      <w:r w:rsidRPr="00A259BD">
        <w:rPr>
          <w:rFonts w:ascii="Times New Roman" w:hAnsi="Times New Roman"/>
          <w:color w:val="000000" w:themeColor="text1"/>
          <w:sz w:val="16"/>
          <w:szCs w:val="16"/>
        </w:rPr>
        <w:t>Коксохимзавода</w:t>
      </w:r>
      <w:proofErr w:type="spellEnd"/>
      <w:r w:rsidRPr="00A259BD">
        <w:rPr>
          <w:rFonts w:ascii="Times New Roman" w:hAnsi="Times New Roman"/>
          <w:color w:val="000000" w:themeColor="text1"/>
          <w:sz w:val="16"/>
          <w:szCs w:val="16"/>
        </w:rPr>
        <w:t xml:space="preserve"> для производства горно-шахтного оборудования был образован Механический завод (Завод № 606 НКБ, Кемеровский механический завод, п/я 95, ФГУП «Кемеровский механический завод» </w:t>
      </w:r>
      <w:proofErr w:type="spellStart"/>
      <w:r w:rsidRPr="00A259BD">
        <w:rPr>
          <w:rFonts w:ascii="Times New Roman" w:hAnsi="Times New Roman"/>
          <w:color w:val="000000" w:themeColor="text1"/>
          <w:sz w:val="16"/>
          <w:szCs w:val="16"/>
        </w:rPr>
        <w:t>Росбоеприпаса</w:t>
      </w:r>
      <w:proofErr w:type="spellEnd"/>
      <w:r w:rsidRPr="00A259BD">
        <w:rPr>
          <w:rFonts w:ascii="Times New Roman" w:hAnsi="Times New Roman"/>
          <w:color w:val="000000" w:themeColor="text1"/>
          <w:sz w:val="16"/>
          <w:szCs w:val="16"/>
        </w:rPr>
        <w:t xml:space="preserve"> /г. Кемерово п/я 95 «Рейд» (1943 г.)/ /650006  г. Кемерово 1-я Стахановская ул., 1/). Выпускал болты, гайки, фланцы, затем- горное оборудование, опоры ЛЭП. До 1937 г. завод считался четвертым предприятием города. Затем механический завод НКУ передан в ведение НКБ и получил № 606 НКБ. В 12.1942-04.1943 г. - в ведении 5ГУ НКБ, в 08.1943-09.1944 г. - в ведении 8ГУ. Имел обозначение «п/я 95» (1943 г.).</w:t>
      </w:r>
    </w:p>
    <w:p w14:paraId="52E71A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11.1941 г. на площадку завода № 606 эвакуированы заводы НКБ: из Ногинска завод № 510 (производство 23- мм снарядов, 483 ед. оборудования, 650 чел.), к 30.12.1941 г. почти все оборудование прибыло (64 станка подлежали передаче на другие заводы), часть его смонтирована и введена в строй, первая продукция выпущена в 11.1941 г.; к 30.01.1942 г. восстановлено производство мощностью: гильзы 23-мм - 3 млн. шт. в год; </w:t>
      </w:r>
      <w:proofErr w:type="spellStart"/>
      <w:r w:rsidRPr="00A259BD">
        <w:rPr>
          <w:rFonts w:ascii="Times New Roman" w:hAnsi="Times New Roman"/>
          <w:color w:val="000000" w:themeColor="text1"/>
          <w:sz w:val="16"/>
          <w:szCs w:val="16"/>
        </w:rPr>
        <w:t>патронирование</w:t>
      </w:r>
      <w:proofErr w:type="spellEnd"/>
      <w:r w:rsidRPr="00A259BD">
        <w:rPr>
          <w:rFonts w:ascii="Times New Roman" w:hAnsi="Times New Roman"/>
          <w:color w:val="000000" w:themeColor="text1"/>
          <w:sz w:val="16"/>
          <w:szCs w:val="16"/>
        </w:rPr>
        <w:t xml:space="preserve"> 23-мм снарядов - 3 млн. шт.; корпуса 23-мм снарядов - 2 млн. шт.; часть завода № 187 НКБ (производство 23-мм снарядов, 34 ед. оборудования), к 30.12.1941 г. прибыло 10 ед.</w:t>
      </w:r>
      <w:r w:rsidRPr="00A259BD">
        <w:rPr>
          <w:rFonts w:ascii="Times New Roman" w:hAnsi="Times New Roman"/>
          <w:color w:val="000000" w:themeColor="text1"/>
          <w:sz w:val="16"/>
          <w:szCs w:val="16"/>
          <w:vertAlign w:val="superscript"/>
        </w:rPr>
        <w:t>Ь2</w:t>
      </w:r>
    </w:p>
    <w:p w14:paraId="06EBF0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07.1941 г. начато освоение выпуска чугунных специзделий. По решению ГКО в 1942 г. налажено производство снарядных гильз.</w:t>
      </w:r>
    </w:p>
    <w:p w14:paraId="246AC3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составе завода (1943 г.): основные корпуса: «А», «Б», сборочный; вспомогательные цехи: тарный, заготовительный, инструментальный. Количество оборудования- 401 ед.</w:t>
      </w:r>
    </w:p>
    <w:p w14:paraId="2ECC5A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После войны было освоено производство сельхозтехники, </w:t>
      </w:r>
      <w:proofErr w:type="spellStart"/>
      <w:r w:rsidRPr="00A259BD">
        <w:rPr>
          <w:rFonts w:ascii="Times New Roman" w:hAnsi="Times New Roman"/>
          <w:color w:val="000000" w:themeColor="text1"/>
          <w:sz w:val="16"/>
          <w:szCs w:val="16"/>
        </w:rPr>
        <w:t>затастей</w:t>
      </w:r>
      <w:proofErr w:type="spellEnd"/>
      <w:r w:rsidRPr="00A259BD">
        <w:rPr>
          <w:rFonts w:ascii="Times New Roman" w:hAnsi="Times New Roman"/>
          <w:color w:val="000000" w:themeColor="text1"/>
          <w:sz w:val="16"/>
          <w:szCs w:val="16"/>
        </w:rPr>
        <w:t xml:space="preserve"> для нее, ТНП. Затем одним из первых завод освоил и внедрил в массовое производство сложных контрольно-измерительных приборов.</w:t>
      </w:r>
    </w:p>
    <w:p w14:paraId="70A56E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(1999 г.): боеприпасы бризантного действия для артиллерийских систем, гранатометов, минометов; патроны; гильзы к боеприпасам; запчасти для </w:t>
      </w:r>
      <w:proofErr w:type="spellStart"/>
      <w:r w:rsidRPr="00A259BD">
        <w:rPr>
          <w:rFonts w:ascii="Times New Roman" w:hAnsi="Times New Roman"/>
          <w:color w:val="000000" w:themeColor="text1"/>
          <w:sz w:val="16"/>
          <w:szCs w:val="16"/>
        </w:rPr>
        <w:t>атомобилей</w:t>
      </w:r>
      <w:proofErr w:type="spellEnd"/>
      <w:r w:rsidRPr="00A259BD">
        <w:rPr>
          <w:rFonts w:ascii="Times New Roman" w:hAnsi="Times New Roman"/>
          <w:color w:val="000000" w:themeColor="text1"/>
          <w:sz w:val="16"/>
          <w:szCs w:val="16"/>
        </w:rPr>
        <w:t xml:space="preserve"> и для машин животноводства и кормопроизводства; фильтры очистки масла.</w:t>
      </w:r>
    </w:p>
    <w:p w14:paraId="1588DB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3E5D84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(1943 г.): производственная- 8541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 вспомогательная- 6180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w:t>
      </w:r>
    </w:p>
    <w:p w14:paraId="24B9AE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(12.1942 г.)- 3351 чел., (2002 г.)-1100 чел.</w:t>
      </w:r>
    </w:p>
    <w:p w14:paraId="027AC4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(-04-11.1943 г.-)- Кисурин. Гендиректор (-2000-03 г.-)-  Г.М. </w:t>
      </w:r>
      <w:proofErr w:type="spellStart"/>
      <w:r w:rsidRPr="00A259BD">
        <w:rPr>
          <w:rFonts w:ascii="Times New Roman" w:hAnsi="Times New Roman"/>
          <w:color w:val="000000" w:themeColor="text1"/>
          <w:sz w:val="16"/>
          <w:szCs w:val="16"/>
        </w:rPr>
        <w:t>Тузков</w:t>
      </w:r>
      <w:proofErr w:type="spellEnd"/>
      <w:r w:rsidRPr="00A259BD">
        <w:rPr>
          <w:rFonts w:ascii="Times New Roman" w:hAnsi="Times New Roman"/>
          <w:color w:val="000000" w:themeColor="text1"/>
          <w:sz w:val="16"/>
          <w:szCs w:val="16"/>
        </w:rPr>
        <w:t>.</w:t>
      </w:r>
    </w:p>
    <w:p w14:paraId="3AC1E9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Начальники отделов: ППО (04.1943 г.)- Шевченко.</w:t>
      </w:r>
    </w:p>
    <w:p w14:paraId="3C153A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снаряды, патроны, гильзы (1943) (1982).</w:t>
      </w:r>
    </w:p>
    <w:p w14:paraId="1581E22D" w14:textId="77777777" w:rsidR="0065509C" w:rsidRPr="00A259BD" w:rsidRDefault="0065509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2CE908C" w14:textId="77777777" w:rsidR="000922FC" w:rsidRPr="00A259BD" w:rsidRDefault="000922FC" w:rsidP="009236E3">
      <w:pPr>
        <w:pStyle w:val="ae"/>
        <w:shd w:val="clear" w:color="auto" w:fill="FFFFFF"/>
        <w:spacing w:before="0" w:after="0"/>
        <w:jc w:val="both"/>
        <w:rPr>
          <w:color w:val="000000" w:themeColor="text1"/>
          <w:sz w:val="16"/>
          <w:szCs w:val="16"/>
        </w:rPr>
      </w:pPr>
      <w:r w:rsidRPr="00A259BD">
        <w:rPr>
          <w:color w:val="000000" w:themeColor="text1"/>
          <w:sz w:val="16"/>
          <w:szCs w:val="16"/>
        </w:rPr>
        <w:t>По состоянию на 1 октября 1929 года один танк ФИАТ находился на Мотовилихинском машиностроительном заводе, где налаживалось производство Т-18. Ещё два FIAT 3000 находилось в составе Бронетанковых командных курсов. В дальнейшем след этих машин теряется (17727).</w:t>
      </w:r>
    </w:p>
    <w:p w14:paraId="398C072D" w14:textId="77777777" w:rsidR="000922FC" w:rsidRPr="00A259BD" w:rsidRDefault="000922FC" w:rsidP="009236E3">
      <w:pPr>
        <w:spacing w:after="0" w:line="240" w:lineRule="auto"/>
        <w:jc w:val="both"/>
        <w:rPr>
          <w:rFonts w:ascii="Times New Roman" w:hAnsi="Times New Roman"/>
          <w:color w:val="000000" w:themeColor="text1"/>
          <w:sz w:val="16"/>
          <w:szCs w:val="16"/>
        </w:rPr>
      </w:pPr>
    </w:p>
    <w:p w14:paraId="4BFC2BA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24238B7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41FBCA4" w14:textId="77777777" w:rsidR="008368A6" w:rsidRPr="00441F34" w:rsidRDefault="008368A6" w:rsidP="008368A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 1 октября 1929 г. согласно «Выписке из сводной ведомости самолетного парка с 1.10.1928 г. по 1.01.1933 г.», приложенной к письму № МП/00105 </w:t>
      </w:r>
      <w:proofErr w:type="spellStart"/>
      <w:r w:rsidRPr="00441F34">
        <w:rPr>
          <w:rFonts w:ascii="Times New Roman" w:hAnsi="Times New Roman"/>
          <w:color w:val="0070C0"/>
          <w:sz w:val="16"/>
          <w:szCs w:val="16"/>
        </w:rPr>
        <w:t>врид</w:t>
      </w:r>
      <w:proofErr w:type="spellEnd"/>
      <w:r w:rsidRPr="00441F34">
        <w:rPr>
          <w:rFonts w:ascii="Times New Roman" w:hAnsi="Times New Roman"/>
          <w:color w:val="0070C0"/>
          <w:sz w:val="16"/>
          <w:szCs w:val="16"/>
        </w:rPr>
        <w:t xml:space="preserve"> начальника </w:t>
      </w:r>
      <w:proofErr w:type="spellStart"/>
      <w:r w:rsidRPr="00441F34">
        <w:rPr>
          <w:rFonts w:ascii="Times New Roman" w:hAnsi="Times New Roman"/>
          <w:color w:val="0070C0"/>
          <w:sz w:val="16"/>
          <w:szCs w:val="16"/>
        </w:rPr>
        <w:t>мобпланового</w:t>
      </w:r>
      <w:proofErr w:type="spellEnd"/>
      <w:r w:rsidRPr="00441F34">
        <w:rPr>
          <w:rFonts w:ascii="Times New Roman" w:hAnsi="Times New Roman"/>
          <w:color w:val="0070C0"/>
          <w:sz w:val="16"/>
          <w:szCs w:val="16"/>
        </w:rPr>
        <w:t xml:space="preserve"> сектора начальника вооружений ВВС Заикина от 07.2.33 г. в частях ВВС РККА было 14 самолетов И-3 (а также 22 Фоккер Д-VII из 50 приобретенных в Нидерландах в 1922 г., 115 Фоккер ФД-11, 53 Григорович И-2 и И-2бис, 4 Туполев И-4) (24887).</w:t>
      </w:r>
    </w:p>
    <w:p w14:paraId="50948A36" w14:textId="77777777" w:rsidR="008368A6" w:rsidRPr="00441F34" w:rsidRDefault="008368A6" w:rsidP="008368A6">
      <w:pPr>
        <w:spacing w:after="0" w:line="240" w:lineRule="auto"/>
        <w:jc w:val="both"/>
        <w:rPr>
          <w:rFonts w:ascii="Times New Roman" w:hAnsi="Times New Roman"/>
          <w:color w:val="0070C0"/>
          <w:sz w:val="16"/>
          <w:szCs w:val="16"/>
        </w:rPr>
      </w:pPr>
    </w:p>
    <w:p w14:paraId="02AB5B3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состоянию на 1 октября 1929г. была подготовлена:</w:t>
      </w:r>
    </w:p>
    <w:p w14:paraId="02D6D2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ВЕДОМОСТЬ НАЛИЧИЯ ТАНКОВ В ЧАСТЯХ И СКЛАДАХ ПО СОСТОЯНИЮ НА 1 ОКТЯБРЯ 1929 ГОДА</w:t>
      </w:r>
    </w:p>
    <w:tbl>
      <w:tblPr>
        <w:tblW w:w="0" w:type="auto"/>
        <w:tblInd w:w="40" w:type="dxa"/>
        <w:tblLayout w:type="fixed"/>
        <w:tblCellMar>
          <w:left w:w="40" w:type="dxa"/>
          <w:right w:w="40" w:type="dxa"/>
        </w:tblCellMar>
        <w:tblLook w:val="0000" w:firstRow="0" w:lastRow="0" w:firstColumn="0" w:lastColumn="0" w:noHBand="0" w:noVBand="0"/>
      </w:tblPr>
      <w:tblGrid>
        <w:gridCol w:w="1690"/>
        <w:gridCol w:w="576"/>
        <w:gridCol w:w="576"/>
        <w:gridCol w:w="576"/>
        <w:gridCol w:w="586"/>
        <w:gridCol w:w="576"/>
        <w:gridCol w:w="576"/>
        <w:gridCol w:w="576"/>
        <w:gridCol w:w="576"/>
        <w:gridCol w:w="576"/>
        <w:gridCol w:w="816"/>
      </w:tblGrid>
      <w:tr w:rsidR="00A259BD" w:rsidRPr="00A259BD" w14:paraId="44D822E2" w14:textId="77777777">
        <w:trPr>
          <w:trHeight w:val="442"/>
        </w:trPr>
        <w:tc>
          <w:tcPr>
            <w:tcW w:w="1690" w:type="dxa"/>
            <w:tcBorders>
              <w:top w:val="single" w:sz="6" w:space="0" w:color="auto"/>
              <w:left w:val="single" w:sz="6" w:space="0" w:color="auto"/>
              <w:bottom w:val="nil"/>
              <w:right w:val="single" w:sz="6" w:space="0" w:color="auto"/>
            </w:tcBorders>
          </w:tcPr>
          <w:p w14:paraId="065469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Наименование</w:t>
            </w:r>
          </w:p>
          <w:p w14:paraId="6F6367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nil"/>
              <w:right w:val="single" w:sz="6" w:space="0" w:color="auto"/>
            </w:tcBorders>
          </w:tcPr>
          <w:p w14:paraId="539493B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Склад № 37</w:t>
            </w:r>
          </w:p>
        </w:tc>
        <w:tc>
          <w:tcPr>
            <w:tcW w:w="576" w:type="dxa"/>
            <w:tcBorders>
              <w:top w:val="single" w:sz="6" w:space="0" w:color="auto"/>
              <w:left w:val="single" w:sz="6" w:space="0" w:color="auto"/>
              <w:bottom w:val="nil"/>
              <w:right w:val="single" w:sz="6" w:space="0" w:color="auto"/>
            </w:tcBorders>
          </w:tcPr>
          <w:p w14:paraId="05F2CA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2-й Автозавод</w:t>
            </w:r>
          </w:p>
        </w:tc>
        <w:tc>
          <w:tcPr>
            <w:tcW w:w="576" w:type="dxa"/>
            <w:tcBorders>
              <w:top w:val="single" w:sz="6" w:space="0" w:color="auto"/>
              <w:left w:val="single" w:sz="6" w:space="0" w:color="auto"/>
              <w:bottom w:val="nil"/>
              <w:right w:val="single" w:sz="6" w:space="0" w:color="auto"/>
            </w:tcBorders>
          </w:tcPr>
          <w:p w14:paraId="4E52BB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“Большевик”</w:t>
            </w:r>
          </w:p>
        </w:tc>
        <w:tc>
          <w:tcPr>
            <w:tcW w:w="586" w:type="dxa"/>
            <w:tcBorders>
              <w:top w:val="single" w:sz="6" w:space="0" w:color="auto"/>
              <w:left w:val="single" w:sz="6" w:space="0" w:color="auto"/>
              <w:bottom w:val="nil"/>
              <w:right w:val="single" w:sz="6" w:space="0" w:color="auto"/>
            </w:tcBorders>
          </w:tcPr>
          <w:p w14:paraId="56FB83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Мотов. Машин. завод</w:t>
            </w:r>
          </w:p>
          <w:p w14:paraId="09E1A8A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nil"/>
              <w:right w:val="single" w:sz="6" w:space="0" w:color="auto"/>
            </w:tcBorders>
          </w:tcPr>
          <w:p w14:paraId="310F12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Научно-</w:t>
            </w:r>
            <w:proofErr w:type="spellStart"/>
            <w:r w:rsidRPr="00A259BD">
              <w:rPr>
                <w:rFonts w:ascii="Times New Roman" w:hAnsi="Times New Roman"/>
                <w:color w:val="000000" w:themeColor="text1"/>
                <w:sz w:val="16"/>
                <w:szCs w:val="16"/>
              </w:rPr>
              <w:t>испыт</w:t>
            </w:r>
            <w:proofErr w:type="spellEnd"/>
            <w:r w:rsidRPr="00A259BD">
              <w:rPr>
                <w:rFonts w:ascii="Times New Roman" w:hAnsi="Times New Roman"/>
                <w:color w:val="000000" w:themeColor="text1"/>
                <w:sz w:val="16"/>
                <w:szCs w:val="16"/>
              </w:rPr>
              <w:t>. Институт связи</w:t>
            </w:r>
          </w:p>
        </w:tc>
        <w:tc>
          <w:tcPr>
            <w:tcW w:w="576" w:type="dxa"/>
            <w:tcBorders>
              <w:top w:val="single" w:sz="6" w:space="0" w:color="auto"/>
              <w:left w:val="single" w:sz="6" w:space="0" w:color="auto"/>
              <w:bottom w:val="nil"/>
              <w:right w:val="single" w:sz="6" w:space="0" w:color="auto"/>
            </w:tcBorders>
          </w:tcPr>
          <w:p w14:paraId="2A34C70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3-й танковый полк</w:t>
            </w:r>
          </w:p>
        </w:tc>
        <w:tc>
          <w:tcPr>
            <w:tcW w:w="576" w:type="dxa"/>
            <w:tcBorders>
              <w:top w:val="single" w:sz="6" w:space="0" w:color="auto"/>
              <w:left w:val="single" w:sz="6" w:space="0" w:color="auto"/>
              <w:bottom w:val="nil"/>
              <w:right w:val="single" w:sz="6" w:space="0" w:color="auto"/>
            </w:tcBorders>
          </w:tcPr>
          <w:p w14:paraId="45C441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Бронекомендные</w:t>
            </w:r>
            <w:proofErr w:type="spellEnd"/>
            <w:r w:rsidRPr="00A259BD">
              <w:rPr>
                <w:rFonts w:ascii="Times New Roman" w:hAnsi="Times New Roman"/>
                <w:color w:val="000000" w:themeColor="text1"/>
                <w:sz w:val="16"/>
                <w:szCs w:val="16"/>
              </w:rPr>
              <w:t xml:space="preserve"> курсы</w:t>
            </w:r>
          </w:p>
        </w:tc>
        <w:tc>
          <w:tcPr>
            <w:tcW w:w="576" w:type="dxa"/>
            <w:tcBorders>
              <w:top w:val="single" w:sz="6" w:space="0" w:color="auto"/>
              <w:left w:val="single" w:sz="6" w:space="0" w:color="auto"/>
              <w:bottom w:val="nil"/>
              <w:right w:val="single" w:sz="6" w:space="0" w:color="auto"/>
            </w:tcBorders>
          </w:tcPr>
          <w:p w14:paraId="151FB1D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треста слабых токов</w:t>
            </w:r>
          </w:p>
        </w:tc>
        <w:tc>
          <w:tcPr>
            <w:tcW w:w="576" w:type="dxa"/>
            <w:tcBorders>
              <w:top w:val="single" w:sz="6" w:space="0" w:color="auto"/>
              <w:left w:val="single" w:sz="6" w:space="0" w:color="auto"/>
              <w:bottom w:val="nil"/>
              <w:right w:val="single" w:sz="6" w:space="0" w:color="auto"/>
            </w:tcBorders>
          </w:tcPr>
          <w:p w14:paraId="7BF5ACC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Военно-техн. академия</w:t>
            </w:r>
          </w:p>
        </w:tc>
        <w:tc>
          <w:tcPr>
            <w:tcW w:w="816" w:type="dxa"/>
            <w:tcBorders>
              <w:top w:val="single" w:sz="6" w:space="0" w:color="auto"/>
              <w:left w:val="single" w:sz="6" w:space="0" w:color="auto"/>
              <w:bottom w:val="nil"/>
              <w:right w:val="single" w:sz="6" w:space="0" w:color="auto"/>
            </w:tcBorders>
          </w:tcPr>
          <w:p w14:paraId="1AF1AF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w:t>
            </w:r>
          </w:p>
        </w:tc>
      </w:tr>
      <w:tr w:rsidR="00A259BD" w:rsidRPr="00A259BD" w14:paraId="1CB51146" w14:textId="77777777">
        <w:trPr>
          <w:trHeight w:val="192"/>
        </w:trPr>
        <w:tc>
          <w:tcPr>
            <w:tcW w:w="1690" w:type="dxa"/>
            <w:tcBorders>
              <w:top w:val="single" w:sz="6" w:space="0" w:color="auto"/>
              <w:left w:val="single" w:sz="6" w:space="0" w:color="auto"/>
              <w:bottom w:val="single" w:sz="6" w:space="0" w:color="auto"/>
              <w:right w:val="single" w:sz="6" w:space="0" w:color="auto"/>
            </w:tcBorders>
          </w:tcPr>
          <w:p w14:paraId="32BF24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Танк "Рикардо Б"</w:t>
            </w:r>
          </w:p>
          <w:p w14:paraId="69DA9C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2BE13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w:t>
            </w:r>
          </w:p>
          <w:p w14:paraId="50FFFE9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7D65A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0/2</w:t>
            </w:r>
          </w:p>
          <w:p w14:paraId="454C26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56976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09F825E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FD3B4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47B18D2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18122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52139DB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5595A28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21/13</w:t>
            </w:r>
          </w:p>
          <w:p w14:paraId="688944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7508529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p w14:paraId="5B55AD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0FCFCD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047C84F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806E9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p w14:paraId="7C3E87C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5EC1B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25/20</w:t>
            </w:r>
          </w:p>
          <w:p w14:paraId="4DFA77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C9DF054" w14:textId="77777777">
        <w:trPr>
          <w:trHeight w:val="182"/>
        </w:trPr>
        <w:tc>
          <w:tcPr>
            <w:tcW w:w="1690" w:type="dxa"/>
            <w:tcBorders>
              <w:top w:val="single" w:sz="6" w:space="0" w:color="auto"/>
              <w:left w:val="single" w:sz="6" w:space="0" w:color="auto"/>
              <w:bottom w:val="single" w:sz="6" w:space="0" w:color="auto"/>
              <w:right w:val="single" w:sz="6" w:space="0" w:color="auto"/>
            </w:tcBorders>
          </w:tcPr>
          <w:p w14:paraId="69647A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танк "Тейлор С"</w:t>
            </w:r>
          </w:p>
          <w:p w14:paraId="4EAC2E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E7A16E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5/0</w:t>
            </w:r>
          </w:p>
          <w:p w14:paraId="6CCE1D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A49A3D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0/6</w:t>
            </w:r>
          </w:p>
          <w:p w14:paraId="361F89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72F1CD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w:t>
            </w:r>
          </w:p>
          <w:p w14:paraId="4172DE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ECB67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w:t>
            </w:r>
          </w:p>
          <w:p w14:paraId="0C51F8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FC86E1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w:t>
            </w:r>
          </w:p>
          <w:p w14:paraId="07349D8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88C4C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w:t>
            </w:r>
          </w:p>
          <w:p w14:paraId="0953A8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9817D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w:t>
            </w:r>
          </w:p>
          <w:p w14:paraId="27C1FE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58468C3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w:t>
            </w:r>
          </w:p>
          <w:p w14:paraId="257F1B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84B72C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1/0</w:t>
            </w:r>
          </w:p>
          <w:p w14:paraId="217ED1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934FE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6/6</w:t>
            </w:r>
          </w:p>
          <w:p w14:paraId="2118B9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36A4197" w14:textId="77777777">
        <w:trPr>
          <w:trHeight w:val="192"/>
        </w:trPr>
        <w:tc>
          <w:tcPr>
            <w:tcW w:w="1690" w:type="dxa"/>
            <w:tcBorders>
              <w:top w:val="single" w:sz="6" w:space="0" w:color="auto"/>
              <w:left w:val="single" w:sz="6" w:space="0" w:color="auto"/>
              <w:bottom w:val="single" w:sz="6" w:space="0" w:color="auto"/>
              <w:right w:val="single" w:sz="6" w:space="0" w:color="auto"/>
            </w:tcBorders>
          </w:tcPr>
          <w:p w14:paraId="621999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танк "Рено М" фр.</w:t>
            </w:r>
          </w:p>
          <w:p w14:paraId="0B12C1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98D83E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w:t>
            </w:r>
          </w:p>
          <w:p w14:paraId="750B11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4B33B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w:t>
            </w:r>
          </w:p>
          <w:p w14:paraId="2AF2E3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30D91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7AA2B8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F7DF3A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2DF9DDB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5BC3D6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p w14:paraId="018B820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0087E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w:t>
            </w:r>
          </w:p>
          <w:p w14:paraId="40E0DF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DE0A8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7EA4C7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291975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7667509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748BEA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6B6DAA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FEFBA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6/7</w:t>
            </w:r>
          </w:p>
          <w:p w14:paraId="4AD834B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6DED331" w14:textId="77777777">
        <w:trPr>
          <w:trHeight w:val="192"/>
        </w:trPr>
        <w:tc>
          <w:tcPr>
            <w:tcW w:w="1690" w:type="dxa"/>
            <w:tcBorders>
              <w:top w:val="single" w:sz="6" w:space="0" w:color="auto"/>
              <w:left w:val="single" w:sz="6" w:space="0" w:color="auto"/>
              <w:bottom w:val="single" w:sz="6" w:space="0" w:color="auto"/>
              <w:right w:val="single" w:sz="6" w:space="0" w:color="auto"/>
            </w:tcBorders>
          </w:tcPr>
          <w:p w14:paraId="7E632F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танк "Рено М" русск.</w:t>
            </w:r>
          </w:p>
          <w:p w14:paraId="3E1490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60609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p w14:paraId="20A6B1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5F101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w:t>
            </w:r>
          </w:p>
          <w:p w14:paraId="79CFBAB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13AC0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5F1BC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5E972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7CBAE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BE701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083BA6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7364D9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w:t>
            </w:r>
          </w:p>
          <w:p w14:paraId="7F01D2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4046DB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p w14:paraId="38F0D25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9C1AE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p w14:paraId="66597AC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1C7F0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E5967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6F5A9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w:t>
            </w:r>
          </w:p>
          <w:p w14:paraId="197FCC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052ED32" w14:textId="77777777">
        <w:trPr>
          <w:trHeight w:val="182"/>
        </w:trPr>
        <w:tc>
          <w:tcPr>
            <w:tcW w:w="1690" w:type="dxa"/>
            <w:tcBorders>
              <w:top w:val="single" w:sz="6" w:space="0" w:color="auto"/>
              <w:left w:val="single" w:sz="6" w:space="0" w:color="auto"/>
              <w:bottom w:val="single" w:sz="6" w:space="0" w:color="auto"/>
              <w:right w:val="single" w:sz="6" w:space="0" w:color="auto"/>
            </w:tcBorders>
          </w:tcPr>
          <w:p w14:paraId="3D58D8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танк"МС-1" Т-18</w:t>
            </w:r>
          </w:p>
          <w:p w14:paraId="14819CF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B708D6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7EE373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8C8D75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5BF97A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CE2F0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w:t>
            </w:r>
          </w:p>
          <w:p w14:paraId="7933E8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7732F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p w14:paraId="78E515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78163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09E59B9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88E5F3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p w14:paraId="18E7DB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1CD8D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w:t>
            </w:r>
          </w:p>
          <w:p w14:paraId="15A70B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4821F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4F0604B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4F0BF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12E1CB4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B403E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47/6</w:t>
            </w:r>
          </w:p>
          <w:p w14:paraId="6AB0810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277BCEE" w14:textId="77777777">
        <w:trPr>
          <w:trHeight w:val="192"/>
        </w:trPr>
        <w:tc>
          <w:tcPr>
            <w:tcW w:w="1690" w:type="dxa"/>
            <w:tcBorders>
              <w:top w:val="single" w:sz="6" w:space="0" w:color="auto"/>
              <w:left w:val="single" w:sz="6" w:space="0" w:color="auto"/>
              <w:bottom w:val="single" w:sz="6" w:space="0" w:color="auto"/>
              <w:right w:val="single" w:sz="6" w:space="0" w:color="auto"/>
            </w:tcBorders>
          </w:tcPr>
          <w:p w14:paraId="586250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танк "Фиат ЗОООА"</w:t>
            </w:r>
          </w:p>
          <w:p w14:paraId="4EA81DC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228C6DA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0057AF9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EF8A48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63CC93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A306B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6EA91F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92707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p w14:paraId="19639C6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D737C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7278274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686A60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769D3ED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980196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p w14:paraId="125AEB2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4FCA24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2AEAF0A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21E6B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40C99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62753F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p w14:paraId="471DEF7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25C3854" w14:textId="77777777">
        <w:trPr>
          <w:trHeight w:val="192"/>
        </w:trPr>
        <w:tc>
          <w:tcPr>
            <w:tcW w:w="1690" w:type="dxa"/>
            <w:tcBorders>
              <w:top w:val="single" w:sz="6" w:space="0" w:color="auto"/>
              <w:left w:val="single" w:sz="6" w:space="0" w:color="auto"/>
              <w:bottom w:val="single" w:sz="6" w:space="0" w:color="auto"/>
              <w:right w:val="single" w:sz="6" w:space="0" w:color="auto"/>
            </w:tcBorders>
          </w:tcPr>
          <w:p w14:paraId="2697F2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танк "Шкода"</w:t>
            </w:r>
          </w:p>
          <w:p w14:paraId="2E3DB0A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FAF90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5D4651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DB3F8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2C5D85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ADC36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0/2</w:t>
            </w:r>
          </w:p>
          <w:p w14:paraId="0D1DCB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B10E4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62189B7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5110A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59DE33F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C7C783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0E1C24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8BDAC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4F9D57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23592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C44C1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4C622F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038753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0F6634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0/2</w:t>
            </w:r>
          </w:p>
          <w:p w14:paraId="074B648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D219D11" w14:textId="77777777">
        <w:trPr>
          <w:trHeight w:val="202"/>
        </w:trPr>
        <w:tc>
          <w:tcPr>
            <w:tcW w:w="1690" w:type="dxa"/>
            <w:tcBorders>
              <w:top w:val="single" w:sz="6" w:space="0" w:color="auto"/>
              <w:left w:val="single" w:sz="6" w:space="0" w:color="auto"/>
              <w:bottom w:val="single" w:sz="6" w:space="0" w:color="auto"/>
              <w:right w:val="single" w:sz="6" w:space="0" w:color="auto"/>
            </w:tcBorders>
          </w:tcPr>
          <w:p w14:paraId="56E9D7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p w14:paraId="63ECF3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440C2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11/6</w:t>
            </w:r>
          </w:p>
          <w:p w14:paraId="137D022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DC8F61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0/10</w:t>
            </w:r>
          </w:p>
          <w:p w14:paraId="61960C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545928E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w:t>
            </w:r>
          </w:p>
          <w:p w14:paraId="7B844D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D97C7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p w14:paraId="62C917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579A50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p w14:paraId="561C64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A4D5F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58/22</w:t>
            </w:r>
          </w:p>
          <w:p w14:paraId="255500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903C9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p w14:paraId="316121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7655B4C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p w14:paraId="510502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837D1E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p w14:paraId="207C15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353E0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97/46</w:t>
            </w:r>
          </w:p>
          <w:p w14:paraId="53E5ACC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D93620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 В числителе исправные, в знаменателе неисправные</w:t>
      </w:r>
    </w:p>
    <w:p w14:paraId="1A2574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 1 отдела 2 управления УММ РККА</w:t>
      </w:r>
    </w:p>
    <w:p w14:paraId="29F31C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РГВА Ф. 31811. Оп. 1. Д. 195. Л. 65. Подлинник (11210).</w:t>
      </w:r>
    </w:p>
    <w:p w14:paraId="6E8633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716C05"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7349C5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1DFC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 октября 1929-го приказами местных органов ОГПУ создаются Дальневосточный лагерь (ДАЛЬУЛОН) с центром в Хабаровске, Сибирский лагерь (СИБУЛОН) с центром в Новосибирске, Среднеазиатский (УСАЗЛОН) с дислокацией </w:t>
      </w:r>
      <w:proofErr w:type="spellStart"/>
      <w:r w:rsidRPr="00A259BD">
        <w:rPr>
          <w:rFonts w:ascii="Times New Roman" w:hAnsi="Times New Roman"/>
          <w:color w:val="000000" w:themeColor="text1"/>
          <w:sz w:val="16"/>
          <w:szCs w:val="16"/>
        </w:rPr>
        <w:t>управленияв</w:t>
      </w:r>
      <w:proofErr w:type="spellEnd"/>
      <w:r w:rsidRPr="00A259BD">
        <w:rPr>
          <w:rFonts w:ascii="Times New Roman" w:hAnsi="Times New Roman"/>
          <w:color w:val="000000" w:themeColor="text1"/>
          <w:sz w:val="16"/>
          <w:szCs w:val="16"/>
        </w:rPr>
        <w:t xml:space="preserve"> Ташкенте и Казахстанский (КАЗУЛОН) с дислокацией управления в Алма-Ате (7560).</w:t>
      </w:r>
    </w:p>
    <w:p w14:paraId="495F55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727B16"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7E8F35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ECBAC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октября 1929 состоялся первый полет на специально сконструированном ракетном планере с пороховыми ракетами </w:t>
      </w:r>
      <w:proofErr w:type="spellStart"/>
      <w:r w:rsidRPr="00A259BD">
        <w:rPr>
          <w:rFonts w:ascii="Times New Roman" w:hAnsi="Times New Roman"/>
          <w:color w:val="000000" w:themeColor="text1"/>
          <w:sz w:val="16"/>
          <w:szCs w:val="16"/>
        </w:rPr>
        <w:t>Ф.Опеля</w:t>
      </w:r>
      <w:proofErr w:type="spellEnd"/>
      <w:r w:rsidRPr="00A259BD">
        <w:rPr>
          <w:rFonts w:ascii="Times New Roman" w:hAnsi="Times New Roman"/>
          <w:color w:val="000000" w:themeColor="text1"/>
          <w:sz w:val="16"/>
          <w:szCs w:val="16"/>
        </w:rPr>
        <w:t xml:space="preserve"> (2528).</w:t>
      </w:r>
    </w:p>
    <w:p w14:paraId="16A242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E24E49" w14:textId="77777777" w:rsidR="0065509C" w:rsidRPr="00A259BD" w:rsidRDefault="0065509C"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 xml:space="preserve">1 октября </w:t>
      </w:r>
      <w:r w:rsidRPr="00A259BD">
        <w:rPr>
          <w:rFonts w:ascii="Times New Roman" w:hAnsi="Times New Roman"/>
          <w:color w:val="000000" w:themeColor="text1"/>
          <w:sz w:val="16"/>
          <w:szCs w:val="16"/>
        </w:rPr>
        <w:t xml:space="preserve">в 1929 году состоялся первый полет на специально сконструированном ракетном аэроплане с пороховыми ракетами конструкции немецкого инженера </w:t>
      </w:r>
      <w:proofErr w:type="spellStart"/>
      <w:r w:rsidRPr="00A259BD">
        <w:rPr>
          <w:rFonts w:ascii="Times New Roman" w:hAnsi="Times New Roman"/>
          <w:color w:val="000000" w:themeColor="text1"/>
          <w:sz w:val="16"/>
          <w:szCs w:val="16"/>
        </w:rPr>
        <w:t>Ф.Опель</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F.Opel</w:t>
      </w:r>
      <w:proofErr w:type="spellEnd"/>
      <w:r w:rsidRPr="00A259BD">
        <w:rPr>
          <w:rFonts w:ascii="Times New Roman" w:hAnsi="Times New Roman"/>
          <w:color w:val="000000" w:themeColor="text1"/>
          <w:sz w:val="16"/>
          <w:szCs w:val="16"/>
        </w:rPr>
        <w:t>), Германия (14786).</w:t>
      </w:r>
    </w:p>
    <w:p w14:paraId="29E22AC6" w14:textId="77777777" w:rsidR="0065509C" w:rsidRPr="00A259BD" w:rsidRDefault="0065509C" w:rsidP="009236E3">
      <w:pPr>
        <w:spacing w:after="0" w:line="240" w:lineRule="auto"/>
        <w:jc w:val="both"/>
        <w:rPr>
          <w:rFonts w:ascii="Times New Roman" w:hAnsi="Times New Roman"/>
          <w:color w:val="000000" w:themeColor="text1"/>
          <w:sz w:val="16"/>
          <w:szCs w:val="16"/>
        </w:rPr>
      </w:pPr>
    </w:p>
    <w:p w14:paraId="648FC91E" w14:textId="77777777" w:rsidR="0065509C" w:rsidRPr="00A259BD" w:rsidRDefault="0065509C" w:rsidP="009236E3">
      <w:pPr>
        <w:spacing w:after="0" w:line="240" w:lineRule="auto"/>
        <w:jc w:val="both"/>
        <w:rPr>
          <w:rStyle w:val="ucoz-forum-post"/>
          <w:rFonts w:ascii="Times New Roman" w:eastAsiaTheme="majorEastAsia"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1 октября 1929 года</w:t>
      </w:r>
      <w:r w:rsidRPr="00A259BD">
        <w:rPr>
          <w:rStyle w:val="ucoz-forum-post"/>
          <w:rFonts w:ascii="Times New Roman" w:eastAsiaTheme="majorEastAsia" w:hAnsi="Times New Roman"/>
          <w:color w:val="000000" w:themeColor="text1"/>
          <w:sz w:val="16"/>
          <w:szCs w:val="16"/>
        </w:rPr>
        <w:t xml:space="preserve"> Первый полет на ракетоплане с пороховыми ракетами, Ф. Опель, Германия (14786).</w:t>
      </w:r>
    </w:p>
    <w:p w14:paraId="7B235FE8" w14:textId="77777777" w:rsidR="0065509C" w:rsidRPr="00A259BD" w:rsidRDefault="0065509C" w:rsidP="009236E3">
      <w:pPr>
        <w:spacing w:after="0" w:line="240" w:lineRule="auto"/>
        <w:jc w:val="both"/>
        <w:rPr>
          <w:rStyle w:val="ucoz-forum-post"/>
          <w:rFonts w:ascii="Times New Roman" w:eastAsiaTheme="majorEastAsia" w:hAnsi="Times New Roman"/>
          <w:color w:val="000000" w:themeColor="text1"/>
          <w:sz w:val="16"/>
          <w:szCs w:val="16"/>
        </w:rPr>
      </w:pPr>
    </w:p>
    <w:p w14:paraId="1723499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FCAAE2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D88AE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октября 1929 начался перелет Ташкент-</w:t>
      </w:r>
      <w:proofErr w:type="spellStart"/>
      <w:r w:rsidRPr="00A259BD">
        <w:rPr>
          <w:rFonts w:ascii="Times New Roman" w:hAnsi="Times New Roman"/>
          <w:color w:val="000000" w:themeColor="text1"/>
          <w:sz w:val="16"/>
          <w:szCs w:val="16"/>
        </w:rPr>
        <w:t>Дюшанбе</w:t>
      </w:r>
      <w:proofErr w:type="spellEnd"/>
      <w:r w:rsidRPr="00A259BD">
        <w:rPr>
          <w:rFonts w:ascii="Times New Roman" w:hAnsi="Times New Roman"/>
          <w:color w:val="000000" w:themeColor="text1"/>
          <w:sz w:val="16"/>
          <w:szCs w:val="16"/>
        </w:rPr>
        <w:t>-Гарм-Хорог на Памир (271,118), начало работы авиатрассы на Памире (6395).</w:t>
      </w:r>
    </w:p>
    <w:p w14:paraId="5F89B0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0486D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октября 1929 авиация начала боевые действия на КВЖД - бомбардировали и обстреливали (317,232). Воздушных боев не было из-за слабой активности вражеской авиации и в основном летали на разведку и бомбометание. Закончили разгром в ноябре. Сформировали особую ДВА с приданными6-м и 25-м дальневосточными авиаотрядами и 26 и 40 </w:t>
      </w:r>
      <w:proofErr w:type="spellStart"/>
      <w:r w:rsidRPr="00A259BD">
        <w:rPr>
          <w:rFonts w:ascii="Times New Roman" w:hAnsi="Times New Roman"/>
          <w:color w:val="000000" w:themeColor="text1"/>
          <w:sz w:val="16"/>
          <w:szCs w:val="16"/>
        </w:rPr>
        <w:t>лбэ</w:t>
      </w:r>
      <w:proofErr w:type="spellEnd"/>
      <w:r w:rsidRPr="00A259BD">
        <w:rPr>
          <w:rFonts w:ascii="Times New Roman" w:hAnsi="Times New Roman"/>
          <w:color w:val="000000" w:themeColor="text1"/>
          <w:sz w:val="16"/>
          <w:szCs w:val="16"/>
        </w:rPr>
        <w:t>, переброшенными из Европейской части (438,603).</w:t>
      </w:r>
    </w:p>
    <w:p w14:paraId="359C5B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710A9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6DAFF89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E028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октября 1929 состоялись </w:t>
      </w:r>
      <w:proofErr w:type="spellStart"/>
      <w:r w:rsidRPr="00A259BD">
        <w:rPr>
          <w:rFonts w:ascii="Times New Roman" w:hAnsi="Times New Roman"/>
          <w:color w:val="000000" w:themeColor="text1"/>
          <w:sz w:val="16"/>
          <w:szCs w:val="16"/>
        </w:rPr>
        <w:t>разведпо-леты</w:t>
      </w:r>
      <w:proofErr w:type="spellEnd"/>
      <w:r w:rsidRPr="00A259BD">
        <w:rPr>
          <w:rFonts w:ascii="Times New Roman" w:hAnsi="Times New Roman"/>
          <w:color w:val="000000" w:themeColor="text1"/>
          <w:sz w:val="16"/>
          <w:szCs w:val="16"/>
        </w:rPr>
        <w:t xml:space="preserve"> в районе ст. Маньчжурия - Далай</w:t>
      </w:r>
      <w:r w:rsidRPr="00A259BD">
        <w:rPr>
          <w:rFonts w:ascii="Times New Roman" w:hAnsi="Times New Roman"/>
          <w:color w:val="000000" w:themeColor="text1"/>
          <w:sz w:val="16"/>
          <w:szCs w:val="16"/>
        </w:rPr>
        <w:softHyphen/>
        <w:t>нор. Р-1, высланный в Нерчинский за</w:t>
      </w:r>
      <w:r w:rsidRPr="00A259BD">
        <w:rPr>
          <w:rFonts w:ascii="Times New Roman" w:hAnsi="Times New Roman"/>
          <w:color w:val="000000" w:themeColor="text1"/>
          <w:sz w:val="16"/>
          <w:szCs w:val="16"/>
        </w:rPr>
        <w:softHyphen/>
        <w:t>вод, из-за нехватки горючего удач но сел на вынужденную в 50 км северо-</w:t>
      </w:r>
      <w:proofErr w:type="spellStart"/>
      <w:r w:rsidRPr="00A259BD">
        <w:rPr>
          <w:rFonts w:ascii="Times New Roman" w:hAnsi="Times New Roman"/>
          <w:color w:val="000000" w:themeColor="text1"/>
          <w:sz w:val="16"/>
          <w:szCs w:val="16"/>
        </w:rPr>
        <w:t>вос</w:t>
      </w:r>
      <w:proofErr w:type="spellEnd"/>
      <w:r w:rsidRPr="00A259BD">
        <w:rPr>
          <w:rFonts w:ascii="Times New Roman" w:hAnsi="Times New Roman"/>
          <w:color w:val="000000" w:themeColor="text1"/>
          <w:sz w:val="16"/>
          <w:szCs w:val="16"/>
        </w:rPr>
        <w:t>-точнее ст. Даурия (11216).</w:t>
      </w:r>
    </w:p>
    <w:p w14:paraId="3C851F5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C1F44B" w14:textId="77777777" w:rsidR="00AF21DF" w:rsidRPr="006B74EB" w:rsidRDefault="00AF21DF" w:rsidP="00AF21DF">
      <w:pPr>
        <w:spacing w:after="0" w:line="240" w:lineRule="auto"/>
        <w:jc w:val="both"/>
        <w:rPr>
          <w:rFonts w:ascii="Times New Roman" w:hAnsi="Times New Roman"/>
          <w:color w:val="0070C0"/>
          <w:sz w:val="16"/>
          <w:szCs w:val="16"/>
        </w:rPr>
      </w:pPr>
      <w:r>
        <w:rPr>
          <w:rFonts w:ascii="Times New Roman" w:hAnsi="Times New Roman"/>
          <w:color w:val="0070C0"/>
          <w:sz w:val="16"/>
          <w:szCs w:val="16"/>
        </w:rPr>
        <w:t>2</w:t>
      </w:r>
      <w:r w:rsidRPr="006B74EB">
        <w:rPr>
          <w:rFonts w:ascii="Times New Roman" w:hAnsi="Times New Roman"/>
          <w:color w:val="0070C0"/>
          <w:sz w:val="16"/>
          <w:szCs w:val="16"/>
        </w:rPr>
        <w:t xml:space="preserve"> октября </w:t>
      </w:r>
      <w:r>
        <w:rPr>
          <w:rFonts w:ascii="Times New Roman" w:hAnsi="Times New Roman"/>
          <w:color w:val="0070C0"/>
          <w:sz w:val="16"/>
          <w:szCs w:val="16"/>
        </w:rPr>
        <w:t>1929 г</w:t>
      </w:r>
      <w:r w:rsidRPr="006B74EB">
        <w:rPr>
          <w:rFonts w:ascii="Times New Roman" w:hAnsi="Times New Roman"/>
          <w:color w:val="0070C0"/>
          <w:sz w:val="16"/>
          <w:szCs w:val="16"/>
        </w:rPr>
        <w:t>.</w:t>
      </w:r>
      <w:r>
        <w:rPr>
          <w:rFonts w:ascii="Times New Roman" w:hAnsi="Times New Roman"/>
          <w:color w:val="0070C0"/>
          <w:sz w:val="16"/>
          <w:szCs w:val="16"/>
        </w:rPr>
        <w:t xml:space="preserve"> н</w:t>
      </w:r>
      <w:r w:rsidRPr="006B74EB">
        <w:rPr>
          <w:rFonts w:ascii="Times New Roman" w:hAnsi="Times New Roman"/>
          <w:color w:val="0070C0"/>
          <w:sz w:val="16"/>
          <w:szCs w:val="16"/>
        </w:rPr>
        <w:t>ачались боевые действия советской авиации в Ма</w:t>
      </w:r>
      <w:r>
        <w:rPr>
          <w:rFonts w:ascii="Times New Roman" w:hAnsi="Times New Roman"/>
          <w:color w:val="0070C0"/>
          <w:sz w:val="16"/>
          <w:szCs w:val="16"/>
        </w:rPr>
        <w:t>н</w:t>
      </w:r>
      <w:r w:rsidRPr="006B74EB">
        <w:rPr>
          <w:rFonts w:ascii="Times New Roman" w:hAnsi="Times New Roman"/>
          <w:color w:val="0070C0"/>
          <w:sz w:val="16"/>
          <w:szCs w:val="16"/>
        </w:rPr>
        <w:t>ч</w:t>
      </w:r>
      <w:r>
        <w:rPr>
          <w:rFonts w:ascii="Times New Roman" w:hAnsi="Times New Roman"/>
          <w:color w:val="0070C0"/>
          <w:sz w:val="16"/>
          <w:szCs w:val="16"/>
        </w:rPr>
        <w:t>ж</w:t>
      </w:r>
      <w:r w:rsidRPr="006B74EB">
        <w:rPr>
          <w:rFonts w:ascii="Times New Roman" w:hAnsi="Times New Roman"/>
          <w:color w:val="0070C0"/>
          <w:sz w:val="16"/>
          <w:szCs w:val="16"/>
        </w:rPr>
        <w:t>у</w:t>
      </w:r>
      <w:r>
        <w:rPr>
          <w:rFonts w:ascii="Times New Roman" w:hAnsi="Times New Roman"/>
          <w:color w:val="0070C0"/>
          <w:sz w:val="16"/>
          <w:szCs w:val="16"/>
        </w:rPr>
        <w:t xml:space="preserve">рии  </w:t>
      </w:r>
      <w:r w:rsidRPr="006B74EB">
        <w:rPr>
          <w:rFonts w:ascii="Times New Roman" w:hAnsi="Times New Roman"/>
          <w:color w:val="0070C0"/>
          <w:sz w:val="16"/>
          <w:szCs w:val="16"/>
        </w:rPr>
        <w:t xml:space="preserve">в связи </w:t>
      </w:r>
      <w:r>
        <w:rPr>
          <w:rFonts w:ascii="Times New Roman" w:hAnsi="Times New Roman"/>
          <w:color w:val="0070C0"/>
          <w:sz w:val="16"/>
          <w:szCs w:val="16"/>
        </w:rPr>
        <w:t>с</w:t>
      </w:r>
      <w:r w:rsidRPr="006B74EB">
        <w:rPr>
          <w:rFonts w:ascii="Times New Roman" w:hAnsi="Times New Roman"/>
          <w:color w:val="0070C0"/>
          <w:sz w:val="16"/>
          <w:szCs w:val="16"/>
        </w:rPr>
        <w:t xml:space="preserve"> нападением китайских милитаристов на К</w:t>
      </w:r>
      <w:r>
        <w:rPr>
          <w:rFonts w:ascii="Times New Roman" w:hAnsi="Times New Roman"/>
          <w:color w:val="0070C0"/>
          <w:sz w:val="16"/>
          <w:szCs w:val="16"/>
        </w:rPr>
        <w:t>ВДЖ</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Для отпора</w:t>
      </w:r>
      <w:r>
        <w:rPr>
          <w:rFonts w:ascii="Times New Roman" w:hAnsi="Times New Roman"/>
          <w:color w:val="0070C0"/>
          <w:sz w:val="16"/>
          <w:szCs w:val="16"/>
        </w:rPr>
        <w:t xml:space="preserve"> захва</w:t>
      </w:r>
      <w:r w:rsidRPr="006B74EB">
        <w:rPr>
          <w:rFonts w:ascii="Times New Roman" w:hAnsi="Times New Roman"/>
          <w:color w:val="0070C0"/>
          <w:sz w:val="16"/>
          <w:szCs w:val="16"/>
        </w:rPr>
        <w:t xml:space="preserve">тчикам была сформирована Особая Дальне-восточная армия </w:t>
      </w:r>
      <w:r>
        <w:rPr>
          <w:rFonts w:ascii="Times New Roman" w:hAnsi="Times New Roman"/>
          <w:color w:val="0070C0"/>
          <w:sz w:val="16"/>
          <w:szCs w:val="16"/>
        </w:rPr>
        <w:t>с</w:t>
      </w:r>
      <w:r w:rsidRPr="006B74EB">
        <w:rPr>
          <w:rFonts w:ascii="Times New Roman" w:hAnsi="Times New Roman"/>
          <w:color w:val="0070C0"/>
          <w:sz w:val="16"/>
          <w:szCs w:val="16"/>
        </w:rPr>
        <w:t xml:space="preserve"> при</w:t>
      </w:r>
      <w:r>
        <w:rPr>
          <w:rFonts w:ascii="Times New Roman" w:hAnsi="Times New Roman"/>
          <w:color w:val="0070C0"/>
          <w:sz w:val="16"/>
          <w:szCs w:val="16"/>
        </w:rPr>
        <w:t>данными</w:t>
      </w:r>
      <w:r w:rsidRPr="006B74EB">
        <w:rPr>
          <w:rFonts w:ascii="Times New Roman" w:hAnsi="Times New Roman"/>
          <w:color w:val="0070C0"/>
          <w:sz w:val="16"/>
          <w:szCs w:val="16"/>
        </w:rPr>
        <w:t xml:space="preserve"> ей </w:t>
      </w:r>
      <w:r>
        <w:rPr>
          <w:rFonts w:ascii="Times New Roman" w:hAnsi="Times New Roman"/>
          <w:color w:val="0070C0"/>
          <w:sz w:val="16"/>
          <w:szCs w:val="16"/>
        </w:rPr>
        <w:t>6</w:t>
      </w:r>
      <w:r w:rsidRPr="006B74EB">
        <w:rPr>
          <w:rFonts w:ascii="Times New Roman" w:hAnsi="Times New Roman"/>
          <w:color w:val="0070C0"/>
          <w:sz w:val="16"/>
          <w:szCs w:val="16"/>
        </w:rPr>
        <w:t xml:space="preserve"> п 25 Дальневосточными авиаотрядами </w:t>
      </w:r>
      <w:r>
        <w:rPr>
          <w:rFonts w:ascii="Times New Roman" w:hAnsi="Times New Roman"/>
          <w:color w:val="0070C0"/>
          <w:sz w:val="16"/>
          <w:szCs w:val="16"/>
        </w:rPr>
        <w:t>2</w:t>
      </w:r>
      <w:r w:rsidRPr="006B74EB">
        <w:rPr>
          <w:rFonts w:ascii="Times New Roman" w:hAnsi="Times New Roman"/>
          <w:color w:val="0070C0"/>
          <w:sz w:val="16"/>
          <w:szCs w:val="16"/>
        </w:rPr>
        <w:t>б и 40 легкоб</w:t>
      </w:r>
      <w:r>
        <w:rPr>
          <w:rFonts w:ascii="Times New Roman" w:hAnsi="Times New Roman"/>
          <w:color w:val="0070C0"/>
          <w:sz w:val="16"/>
          <w:szCs w:val="16"/>
        </w:rPr>
        <w:t>омба</w:t>
      </w:r>
      <w:r w:rsidRPr="006B74EB">
        <w:rPr>
          <w:rFonts w:ascii="Times New Roman" w:hAnsi="Times New Roman"/>
          <w:color w:val="0070C0"/>
          <w:sz w:val="16"/>
          <w:szCs w:val="16"/>
        </w:rPr>
        <w:t xml:space="preserve">рдировочными </w:t>
      </w:r>
      <w:proofErr w:type="spellStart"/>
      <w:r w:rsidRPr="006B74EB">
        <w:rPr>
          <w:rFonts w:ascii="Times New Roman" w:hAnsi="Times New Roman"/>
          <w:color w:val="0070C0"/>
          <w:sz w:val="16"/>
          <w:szCs w:val="16"/>
        </w:rPr>
        <w:t>эскадрилиями</w:t>
      </w:r>
      <w:proofErr w:type="spellEnd"/>
      <w:r w:rsidRPr="006B74EB">
        <w:rPr>
          <w:rFonts w:ascii="Times New Roman" w:hAnsi="Times New Roman"/>
          <w:color w:val="0070C0"/>
          <w:sz w:val="16"/>
          <w:szCs w:val="16"/>
        </w:rPr>
        <w:t>, переброшенными из Европейской части</w:t>
      </w:r>
      <w:r>
        <w:rPr>
          <w:rFonts w:ascii="Times New Roman" w:hAnsi="Times New Roman"/>
          <w:color w:val="0070C0"/>
          <w:sz w:val="16"/>
          <w:szCs w:val="16"/>
        </w:rPr>
        <w:t xml:space="preserve"> СССР. </w:t>
      </w:r>
      <w:r w:rsidRPr="006B74EB">
        <w:rPr>
          <w:rFonts w:ascii="Times New Roman" w:hAnsi="Times New Roman"/>
          <w:color w:val="0070C0"/>
          <w:sz w:val="16"/>
          <w:szCs w:val="16"/>
        </w:rPr>
        <w:t>Вв</w:t>
      </w:r>
      <w:r>
        <w:rPr>
          <w:rFonts w:ascii="Times New Roman" w:hAnsi="Times New Roman"/>
          <w:color w:val="0070C0"/>
          <w:sz w:val="16"/>
          <w:szCs w:val="16"/>
        </w:rPr>
        <w:t>и</w:t>
      </w:r>
      <w:r w:rsidRPr="006B74EB">
        <w:rPr>
          <w:rFonts w:ascii="Times New Roman" w:hAnsi="Times New Roman"/>
          <w:color w:val="0070C0"/>
          <w:sz w:val="16"/>
          <w:szCs w:val="16"/>
        </w:rPr>
        <w:t xml:space="preserve">ду слабой активности вражеской авиации воздушных боев не </w:t>
      </w:r>
      <w:r>
        <w:rPr>
          <w:rFonts w:ascii="Times New Roman" w:hAnsi="Times New Roman"/>
          <w:color w:val="0070C0"/>
          <w:sz w:val="16"/>
          <w:szCs w:val="16"/>
        </w:rPr>
        <w:t>было</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Боевая деятельность авиации выражалась в основном в разведке</w:t>
      </w:r>
      <w:r>
        <w:rPr>
          <w:rFonts w:ascii="Times New Roman" w:hAnsi="Times New Roman"/>
          <w:color w:val="0070C0"/>
          <w:sz w:val="16"/>
          <w:szCs w:val="16"/>
        </w:rPr>
        <w:t xml:space="preserve"> и </w:t>
      </w:r>
      <w:r w:rsidRPr="006B74EB">
        <w:rPr>
          <w:rFonts w:ascii="Times New Roman" w:hAnsi="Times New Roman"/>
          <w:color w:val="0070C0"/>
          <w:sz w:val="16"/>
          <w:szCs w:val="16"/>
        </w:rPr>
        <w:t xml:space="preserve">бомбардировке военных </w:t>
      </w:r>
      <w:proofErr w:type="spellStart"/>
      <w:r w:rsidRPr="006B74EB">
        <w:rPr>
          <w:rFonts w:ascii="Times New Roman" w:hAnsi="Times New Roman"/>
          <w:color w:val="0070C0"/>
          <w:sz w:val="16"/>
          <w:szCs w:val="16"/>
        </w:rPr>
        <w:t>об"ектов</w:t>
      </w:r>
      <w:proofErr w:type="spellEnd"/>
      <w:r w:rsidRPr="006B74EB">
        <w:rPr>
          <w:rFonts w:ascii="Times New Roman" w:hAnsi="Times New Roman"/>
          <w:color w:val="0070C0"/>
          <w:sz w:val="16"/>
          <w:szCs w:val="16"/>
        </w:rPr>
        <w:t xml:space="preserve"> противника.</w:t>
      </w:r>
      <w:r>
        <w:rPr>
          <w:rFonts w:ascii="Times New Roman" w:hAnsi="Times New Roman"/>
          <w:color w:val="0070C0"/>
          <w:sz w:val="16"/>
          <w:szCs w:val="16"/>
        </w:rPr>
        <w:t xml:space="preserve"> В</w:t>
      </w:r>
      <w:r w:rsidRPr="006B74EB">
        <w:rPr>
          <w:rFonts w:ascii="Times New Roman" w:hAnsi="Times New Roman"/>
          <w:color w:val="0070C0"/>
          <w:sz w:val="16"/>
          <w:szCs w:val="16"/>
        </w:rPr>
        <w:t xml:space="preserve"> ноябре вражеские вой</w:t>
      </w:r>
      <w:r>
        <w:rPr>
          <w:rFonts w:ascii="Times New Roman" w:hAnsi="Times New Roman"/>
          <w:color w:val="0070C0"/>
          <w:sz w:val="16"/>
          <w:szCs w:val="16"/>
        </w:rPr>
        <w:t>ска бы</w:t>
      </w:r>
      <w:r w:rsidRPr="006B74EB">
        <w:rPr>
          <w:rFonts w:ascii="Times New Roman" w:hAnsi="Times New Roman"/>
          <w:color w:val="0070C0"/>
          <w:sz w:val="16"/>
          <w:szCs w:val="16"/>
        </w:rPr>
        <w:t>ли разгромлены,</w:t>
      </w:r>
      <w:r>
        <w:rPr>
          <w:rFonts w:ascii="Times New Roman" w:hAnsi="Times New Roman"/>
          <w:color w:val="0070C0"/>
          <w:sz w:val="16"/>
          <w:szCs w:val="16"/>
        </w:rPr>
        <w:t xml:space="preserve"> </w:t>
      </w:r>
      <w:r w:rsidRPr="006B74EB">
        <w:rPr>
          <w:rFonts w:ascii="Times New Roman" w:hAnsi="Times New Roman"/>
          <w:color w:val="0070C0"/>
          <w:sz w:val="16"/>
          <w:szCs w:val="16"/>
        </w:rPr>
        <w:t>конфликт на КВ</w:t>
      </w:r>
      <w:r>
        <w:rPr>
          <w:rFonts w:ascii="Times New Roman" w:hAnsi="Times New Roman"/>
          <w:color w:val="0070C0"/>
          <w:sz w:val="16"/>
          <w:szCs w:val="16"/>
        </w:rPr>
        <w:t>Ж</w:t>
      </w:r>
      <w:r w:rsidRPr="006B74EB">
        <w:rPr>
          <w:rFonts w:ascii="Times New Roman" w:hAnsi="Times New Roman"/>
          <w:color w:val="0070C0"/>
          <w:sz w:val="16"/>
          <w:szCs w:val="16"/>
        </w:rPr>
        <w:t>Д был ликвидирован.</w:t>
      </w:r>
    </w:p>
    <w:p w14:paraId="17C5C654" w14:textId="77777777" w:rsidR="00AF21DF" w:rsidRDefault="00AF21DF" w:rsidP="00AF21DF">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/По материалам «Красной звезды</w:t>
      </w:r>
      <w:r>
        <w:rPr>
          <w:rFonts w:ascii="Times New Roman" w:hAnsi="Times New Roman"/>
          <w:color w:val="0070C0"/>
          <w:sz w:val="16"/>
          <w:szCs w:val="16"/>
        </w:rPr>
        <w:t>»</w:t>
      </w:r>
      <w:r w:rsidRPr="006B74EB">
        <w:rPr>
          <w:rFonts w:ascii="Times New Roman" w:hAnsi="Times New Roman"/>
          <w:color w:val="0070C0"/>
          <w:sz w:val="16"/>
          <w:szCs w:val="16"/>
        </w:rPr>
        <w:t xml:space="preserve"> за октябрь-ноябрь 192</w:t>
      </w:r>
      <w:r>
        <w:rPr>
          <w:rFonts w:ascii="Times New Roman" w:hAnsi="Times New Roman"/>
          <w:color w:val="0070C0"/>
          <w:sz w:val="16"/>
          <w:szCs w:val="16"/>
        </w:rPr>
        <w:t>9</w:t>
      </w:r>
      <w:r w:rsidRPr="006B74EB">
        <w:rPr>
          <w:rFonts w:ascii="Times New Roman" w:hAnsi="Times New Roman"/>
          <w:color w:val="0070C0"/>
          <w:sz w:val="16"/>
          <w:szCs w:val="16"/>
        </w:rPr>
        <w:t xml:space="preserve"> г./</w:t>
      </w:r>
      <w:r>
        <w:rPr>
          <w:rFonts w:ascii="Times New Roman" w:hAnsi="Times New Roman"/>
          <w:color w:val="0070C0"/>
          <w:sz w:val="16"/>
          <w:szCs w:val="16"/>
        </w:rPr>
        <w:t xml:space="preserve"> (23370).</w:t>
      </w:r>
    </w:p>
    <w:p w14:paraId="19563945" w14:textId="77777777" w:rsidR="00AF21DF" w:rsidRPr="006B74EB" w:rsidRDefault="00AF21DF" w:rsidP="00AF21DF">
      <w:pPr>
        <w:spacing w:after="0" w:line="240" w:lineRule="auto"/>
        <w:jc w:val="both"/>
        <w:rPr>
          <w:rFonts w:ascii="Times New Roman" w:hAnsi="Times New Roman"/>
          <w:color w:val="0070C0"/>
          <w:sz w:val="16"/>
          <w:szCs w:val="16"/>
        </w:rPr>
      </w:pPr>
    </w:p>
    <w:p w14:paraId="0BF39B30" w14:textId="77777777" w:rsidR="00915426" w:rsidRPr="00A259BD" w:rsidRDefault="00915426"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B9539AF" w14:textId="77777777" w:rsidR="00915426" w:rsidRPr="00A259BD" w:rsidRDefault="0091542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9E5D8F5" w14:textId="77777777" w:rsidR="00915426" w:rsidRPr="00A259BD" w:rsidRDefault="009154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октября 1929 г. первый полет </w:t>
      </w:r>
      <w:proofErr w:type="spellStart"/>
      <w:r w:rsidRPr="00A259BD">
        <w:rPr>
          <w:rFonts w:ascii="Times New Roman" w:hAnsi="Times New Roman"/>
          <w:color w:val="000000" w:themeColor="text1"/>
          <w:sz w:val="16"/>
          <w:szCs w:val="16"/>
        </w:rPr>
        <w:t>Acme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Sportsman</w:t>
      </w:r>
      <w:proofErr w:type="spellEnd"/>
      <w:r w:rsidRPr="00A259BD">
        <w:rPr>
          <w:rFonts w:ascii="Times New Roman" w:hAnsi="Times New Roman"/>
          <w:color w:val="000000" w:themeColor="text1"/>
          <w:sz w:val="16"/>
          <w:szCs w:val="16"/>
        </w:rPr>
        <w:t xml:space="preserve"> (20806).</w:t>
      </w:r>
    </w:p>
    <w:p w14:paraId="51C0D49E" w14:textId="77777777" w:rsidR="00915426" w:rsidRPr="00A259BD" w:rsidRDefault="00915426" w:rsidP="009236E3">
      <w:pPr>
        <w:spacing w:after="0" w:line="240" w:lineRule="auto"/>
        <w:jc w:val="both"/>
        <w:rPr>
          <w:rFonts w:ascii="Times New Roman" w:hAnsi="Times New Roman"/>
          <w:color w:val="000000" w:themeColor="text1"/>
          <w:sz w:val="16"/>
          <w:szCs w:val="16"/>
        </w:rPr>
      </w:pPr>
    </w:p>
    <w:p w14:paraId="6DA99247" w14:textId="77777777" w:rsidR="00915426" w:rsidRPr="00A259BD" w:rsidRDefault="0091542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октября 1929 - Первый полет </w:t>
      </w:r>
      <w:proofErr w:type="spellStart"/>
      <w:r w:rsidRPr="00A259BD">
        <w:rPr>
          <w:rFonts w:ascii="Times New Roman" w:hAnsi="Times New Roman"/>
          <w:color w:val="000000" w:themeColor="text1"/>
          <w:sz w:val="16"/>
          <w:szCs w:val="16"/>
        </w:rPr>
        <w:t>Acme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Sportsman</w:t>
      </w:r>
      <w:proofErr w:type="spellEnd"/>
      <w:r w:rsidRPr="00A259BD">
        <w:rPr>
          <w:rFonts w:ascii="Times New Roman" w:hAnsi="Times New Roman"/>
          <w:color w:val="000000" w:themeColor="text1"/>
          <w:sz w:val="16"/>
          <w:szCs w:val="16"/>
        </w:rPr>
        <w:t xml:space="preserve">. Это двухместный спортивный самолет с крылом-парасоль, построенный в Соединенных Штатах в 1928 году компанией </w:t>
      </w:r>
      <w:proofErr w:type="spellStart"/>
      <w:r w:rsidRPr="00A259BD">
        <w:rPr>
          <w:rFonts w:ascii="Times New Roman" w:hAnsi="Times New Roman"/>
          <w:color w:val="000000" w:themeColor="text1"/>
          <w:sz w:val="16"/>
          <w:szCs w:val="16"/>
        </w:rPr>
        <w:t>Acme</w:t>
      </w:r>
      <w:proofErr w:type="spellEnd"/>
      <w:r w:rsidRPr="00A259BD">
        <w:rPr>
          <w:rFonts w:ascii="Times New Roman" w:hAnsi="Times New Roman"/>
          <w:color w:val="000000" w:themeColor="text1"/>
          <w:sz w:val="16"/>
          <w:szCs w:val="16"/>
        </w:rPr>
        <w:t xml:space="preserve"> Aircraft Corporation из Рокфорда, штат Иллинойс. Он был разработан Эдвардом Сталкером из Мичиганского университета (22349).</w:t>
      </w:r>
    </w:p>
    <w:p w14:paraId="1D5DA8AE" w14:textId="77777777" w:rsidR="00915426" w:rsidRPr="00A259BD" w:rsidRDefault="00915426" w:rsidP="009236E3">
      <w:pPr>
        <w:spacing w:after="0" w:line="240" w:lineRule="auto"/>
        <w:jc w:val="both"/>
        <w:rPr>
          <w:rFonts w:ascii="Times New Roman" w:hAnsi="Times New Roman"/>
          <w:color w:val="000000" w:themeColor="text1"/>
          <w:sz w:val="16"/>
          <w:szCs w:val="16"/>
        </w:rPr>
      </w:pPr>
    </w:p>
    <w:p w14:paraId="5A0FD95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D11DA2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EB44E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октября 1930 года при поддержке отдела изобретений </w:t>
      </w:r>
      <w:proofErr w:type="spellStart"/>
      <w:r w:rsidRPr="00A259BD">
        <w:rPr>
          <w:rFonts w:ascii="Times New Roman" w:hAnsi="Times New Roman"/>
          <w:color w:val="000000" w:themeColor="text1"/>
          <w:sz w:val="16"/>
          <w:szCs w:val="16"/>
        </w:rPr>
        <w:t>Техштаба</w:t>
      </w:r>
      <w:proofErr w:type="spellEnd"/>
      <w:r w:rsidRPr="00A259BD">
        <w:rPr>
          <w:rFonts w:ascii="Times New Roman" w:hAnsi="Times New Roman"/>
          <w:color w:val="000000" w:themeColor="text1"/>
          <w:sz w:val="16"/>
          <w:szCs w:val="16"/>
        </w:rPr>
        <w:t xml:space="preserve"> НВ было назначено совещание инженеров НТК ВВС, которые пришли к решению, что идея производства десанта выдвинута Гроховским вполне своевременно и технически возможна, что этим должен заняться Штаб РККА (6769, 29-31).</w:t>
      </w:r>
    </w:p>
    <w:p w14:paraId="7CBEAB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B9E1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октября 1929 НТК УВВС письмом N 169/НИИ направил Зам. председателю РВС и в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Пятилетний план опытного строительства ВВС на 1928/1929 - 1932/1933, подготовленный на основании постановления РВС от 22 мая 1929 (1025,2).</w:t>
      </w:r>
    </w:p>
    <w:p w14:paraId="2AFC55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Записка Нач. ВВС РККА Баранову Зам. председателя РВС. Копия -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НТК ВВС N 169cc от 3 октября 1929 (351).</w:t>
      </w:r>
    </w:p>
    <w:p w14:paraId="2D7ACA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AB44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октября 1929 Нач. УВВС Баранов направил Зам. Пред. РВС (копия: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письмо № 169сс/НИИ:</w:t>
      </w:r>
    </w:p>
    <w:p w14:paraId="7776148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пятилетнем плане опытного строительства ВВС на 28/29-32/33 гг. </w:t>
      </w:r>
    </w:p>
    <w:p w14:paraId="07FF93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Настоящий пятилетний план опытного строительства ВВС на 1928/29 - 1932/33 год представляется на основании постановления РВС СССР от 22 мая 1922.</w:t>
      </w:r>
    </w:p>
    <w:p w14:paraId="72D908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План охватывает разработку основных предметов снабже</w:t>
      </w:r>
      <w:r w:rsidRPr="00A259BD">
        <w:rPr>
          <w:rFonts w:ascii="Times New Roman" w:hAnsi="Times New Roman"/>
          <w:color w:val="000000" w:themeColor="text1"/>
          <w:sz w:val="16"/>
          <w:szCs w:val="16"/>
        </w:rPr>
        <w:softHyphen/>
        <w:t>ния ВВС, заготовляемых непосредственно Управлением военно-воздушных Сил РККА, а равно намечает работы, кото</w:t>
      </w:r>
      <w:r w:rsidRPr="00A259BD">
        <w:rPr>
          <w:rFonts w:ascii="Times New Roman" w:hAnsi="Times New Roman"/>
          <w:color w:val="000000" w:themeColor="text1"/>
          <w:sz w:val="16"/>
          <w:szCs w:val="16"/>
        </w:rPr>
        <w:softHyphen/>
        <w:t>рые должны быть поставлены для разработки распоряжением других довольствующих управлений, ведающих заготовкой этих предметов.</w:t>
      </w:r>
    </w:p>
    <w:p w14:paraId="0B1AFC8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разработке 5-ти летнего плана в основу были положе</w:t>
      </w:r>
      <w:r w:rsidRPr="00A259BD">
        <w:rPr>
          <w:rFonts w:ascii="Times New Roman" w:hAnsi="Times New Roman"/>
          <w:color w:val="000000" w:themeColor="text1"/>
          <w:sz w:val="16"/>
          <w:szCs w:val="16"/>
        </w:rPr>
        <w:softHyphen/>
        <w:t>ны указания РВСР о необходимости иметь на вооружения предметы, технические качества которых обеспечивали бы обороноспособность страны и устраняли бы существующий разрыв /отставание/ нашей техники от заграничной.</w:t>
      </w:r>
    </w:p>
    <w:p w14:paraId="255706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Методика Составления плана.</w:t>
      </w:r>
    </w:p>
    <w:p w14:paraId="16A0A06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целью установления качества заграничных самолетов, име</w:t>
      </w:r>
      <w:r w:rsidRPr="00A259BD">
        <w:rPr>
          <w:rFonts w:ascii="Times New Roman" w:hAnsi="Times New Roman"/>
          <w:color w:val="000000" w:themeColor="text1"/>
          <w:sz w:val="16"/>
          <w:szCs w:val="16"/>
        </w:rPr>
        <w:softHyphen/>
        <w:t xml:space="preserve">ющихся в данный момент и возможных к выпуску в ближайшее время по состоянию современной техники, со стороны РВСР было проведано изучение 675 типов самолетов, выпущенных </w:t>
      </w:r>
      <w:proofErr w:type="spellStart"/>
      <w:r w:rsidRPr="00A259BD">
        <w:rPr>
          <w:rFonts w:ascii="Times New Roman" w:hAnsi="Times New Roman"/>
          <w:color w:val="000000" w:themeColor="text1"/>
          <w:sz w:val="16"/>
          <w:szCs w:val="16"/>
        </w:rPr>
        <w:t>аа</w:t>
      </w:r>
      <w:proofErr w:type="spellEnd"/>
      <w:r w:rsidRPr="00A259BD">
        <w:rPr>
          <w:rFonts w:ascii="Times New Roman" w:hAnsi="Times New Roman"/>
          <w:color w:val="000000" w:themeColor="text1"/>
          <w:sz w:val="16"/>
          <w:szCs w:val="16"/>
        </w:rPr>
        <w:t xml:space="preserve"> время с 1915 до 1УЗу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т.е. за 14 лет.</w:t>
      </w:r>
    </w:p>
    <w:p w14:paraId="2B369C0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этих 675 самолетов относились: к группе разведчиков 400 типов, к группе истребителей 150 типов и к группе бомбардировщиков - 125 типов. Для каждого типа был точ</w:t>
      </w:r>
      <w:r w:rsidRPr="00A259BD">
        <w:rPr>
          <w:rFonts w:ascii="Times New Roman" w:hAnsi="Times New Roman"/>
          <w:color w:val="000000" w:themeColor="text1"/>
          <w:sz w:val="16"/>
          <w:szCs w:val="16"/>
        </w:rPr>
        <w:softHyphen/>
        <w:t>но определен: год выпуска и характерные данные самолета, которые после анализа их дали возможность составить ха</w:t>
      </w:r>
      <w:r w:rsidRPr="00A259BD">
        <w:rPr>
          <w:rFonts w:ascii="Times New Roman" w:hAnsi="Times New Roman"/>
          <w:color w:val="000000" w:themeColor="text1"/>
          <w:sz w:val="16"/>
          <w:szCs w:val="16"/>
        </w:rPr>
        <w:softHyphen/>
        <w:t>рактеристику данных самолетов настоящего времени и уста</w:t>
      </w:r>
      <w:r w:rsidRPr="00A259BD">
        <w:rPr>
          <w:rFonts w:ascii="Times New Roman" w:hAnsi="Times New Roman"/>
          <w:color w:val="000000" w:themeColor="text1"/>
          <w:sz w:val="16"/>
          <w:szCs w:val="16"/>
        </w:rPr>
        <w:softHyphen/>
        <w:t>новить вероятный тип их развития на ближайшие годы.</w:t>
      </w:r>
    </w:p>
    <w:p w14:paraId="690DC2F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Исходя из этого предположения были составлены основные тактико-технические требования к самолетам, которые дол</w:t>
      </w:r>
      <w:r w:rsidRPr="00A259BD">
        <w:rPr>
          <w:rFonts w:ascii="Times New Roman" w:hAnsi="Times New Roman"/>
          <w:color w:val="000000" w:themeColor="text1"/>
          <w:sz w:val="16"/>
          <w:szCs w:val="16"/>
        </w:rPr>
        <w:softHyphen/>
        <w:t xml:space="preserve">жны иметь наш </w:t>
      </w:r>
      <w:proofErr w:type="spellStart"/>
      <w:r w:rsidRPr="00A259BD">
        <w:rPr>
          <w:rFonts w:ascii="Times New Roman" w:hAnsi="Times New Roman"/>
          <w:color w:val="000000" w:themeColor="text1"/>
          <w:sz w:val="16"/>
          <w:szCs w:val="16"/>
        </w:rPr>
        <w:t>ьоздушный</w:t>
      </w:r>
      <w:proofErr w:type="spellEnd"/>
      <w:r w:rsidRPr="00A259BD">
        <w:rPr>
          <w:rFonts w:ascii="Times New Roman" w:hAnsi="Times New Roman"/>
          <w:color w:val="000000" w:themeColor="text1"/>
          <w:sz w:val="16"/>
          <w:szCs w:val="16"/>
        </w:rPr>
        <w:t xml:space="preserve"> флот. При этом принималось, что на каждый год своего развития наш воздушный флот должен иметь на вооружении самолеты, не уступающие по качеству средним данным самолетов возможных противников, опирающихся на передовую технику Западной Европы и Америки.</w:t>
      </w:r>
    </w:p>
    <w:p w14:paraId="4FFD5D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Путем технических подсчетов была выявлена конструктивная воз</w:t>
      </w:r>
      <w:r w:rsidRPr="00A259BD">
        <w:rPr>
          <w:rFonts w:ascii="Times New Roman" w:hAnsi="Times New Roman"/>
          <w:color w:val="000000" w:themeColor="text1"/>
          <w:sz w:val="16"/>
          <w:szCs w:val="16"/>
        </w:rPr>
        <w:softHyphen/>
        <w:t>можность осуществления подобных самолетов и установлены те тре</w:t>
      </w:r>
      <w:r w:rsidRPr="00A259BD">
        <w:rPr>
          <w:rFonts w:ascii="Times New Roman" w:hAnsi="Times New Roman"/>
          <w:color w:val="000000" w:themeColor="text1"/>
          <w:sz w:val="16"/>
          <w:szCs w:val="16"/>
        </w:rPr>
        <w:softHyphen/>
        <w:t>бования, которые должны быть предъявлены моторостроению и ма</w:t>
      </w:r>
      <w:r w:rsidRPr="00A259BD">
        <w:rPr>
          <w:rFonts w:ascii="Times New Roman" w:hAnsi="Times New Roman"/>
          <w:color w:val="000000" w:themeColor="text1"/>
          <w:sz w:val="16"/>
          <w:szCs w:val="16"/>
        </w:rPr>
        <w:softHyphen/>
        <w:t>териаловедению.</w:t>
      </w:r>
    </w:p>
    <w:p w14:paraId="45FB435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этом оказалось, что на ближайшие годы технические данные моторов /мощность, вес, расход горючего/ и материалов для по</w:t>
      </w:r>
      <w:r w:rsidRPr="00A259BD">
        <w:rPr>
          <w:rFonts w:ascii="Times New Roman" w:hAnsi="Times New Roman"/>
          <w:color w:val="000000" w:themeColor="text1"/>
          <w:sz w:val="16"/>
          <w:szCs w:val="16"/>
        </w:rPr>
        <w:softHyphen/>
        <w:t xml:space="preserve">стройки самолетов и моторов /крепость, удельный вес. и проч./ не потребуются свыше тех, что имеется уже осу </w:t>
      </w:r>
      <w:proofErr w:type="spellStart"/>
      <w:r w:rsidRPr="00A259BD">
        <w:rPr>
          <w:rFonts w:ascii="Times New Roman" w:hAnsi="Times New Roman"/>
          <w:color w:val="000000" w:themeColor="text1"/>
          <w:sz w:val="16"/>
          <w:szCs w:val="16"/>
        </w:rPr>
        <w:t>ествленным</w:t>
      </w:r>
      <w:proofErr w:type="spellEnd"/>
      <w:r w:rsidRPr="00A259BD">
        <w:rPr>
          <w:rFonts w:ascii="Times New Roman" w:hAnsi="Times New Roman"/>
          <w:color w:val="000000" w:themeColor="text1"/>
          <w:sz w:val="16"/>
          <w:szCs w:val="16"/>
        </w:rPr>
        <w:t xml:space="preserve"> за границей в серии или опытных образцах и перед нашей промышлен</w:t>
      </w:r>
      <w:r w:rsidRPr="00A259BD">
        <w:rPr>
          <w:rFonts w:ascii="Times New Roman" w:hAnsi="Times New Roman"/>
          <w:color w:val="000000" w:themeColor="text1"/>
          <w:sz w:val="16"/>
          <w:szCs w:val="16"/>
        </w:rPr>
        <w:softHyphen/>
        <w:t>ностью поэтому лишь ставится задачей быстрее освоить достиже</w:t>
      </w:r>
      <w:r w:rsidRPr="00A259BD">
        <w:rPr>
          <w:rFonts w:ascii="Times New Roman" w:hAnsi="Times New Roman"/>
          <w:color w:val="000000" w:themeColor="text1"/>
          <w:sz w:val="16"/>
          <w:szCs w:val="16"/>
        </w:rPr>
        <w:softHyphen/>
        <w:t xml:space="preserve">ния </w:t>
      </w:r>
      <w:proofErr w:type="spellStart"/>
      <w:r w:rsidRPr="00A259BD">
        <w:rPr>
          <w:rFonts w:ascii="Times New Roman" w:hAnsi="Times New Roman"/>
          <w:color w:val="000000" w:themeColor="text1"/>
          <w:sz w:val="16"/>
          <w:szCs w:val="16"/>
        </w:rPr>
        <w:t>заграни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чной</w:t>
      </w:r>
      <w:proofErr w:type="spellEnd"/>
      <w:r w:rsidRPr="00A259BD">
        <w:rPr>
          <w:rFonts w:ascii="Times New Roman" w:hAnsi="Times New Roman"/>
          <w:color w:val="000000" w:themeColor="text1"/>
          <w:sz w:val="16"/>
          <w:szCs w:val="16"/>
        </w:rPr>
        <w:t xml:space="preserve"> техники.</w:t>
      </w:r>
    </w:p>
    <w:p w14:paraId="53542FC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Вопросы вооружения и оборудования самолетов в 5-ти летнем пла</w:t>
      </w:r>
      <w:r w:rsidRPr="00A259BD">
        <w:rPr>
          <w:rFonts w:ascii="Times New Roman" w:hAnsi="Times New Roman"/>
          <w:color w:val="000000" w:themeColor="text1"/>
          <w:sz w:val="16"/>
          <w:szCs w:val="16"/>
        </w:rPr>
        <w:softHyphen/>
        <w:t>не разработаны на основе требований тактики к будущему оружию и с учетом необходимости оборудования вооружением, поставлен</w:t>
      </w:r>
      <w:r w:rsidRPr="00A259BD">
        <w:rPr>
          <w:rFonts w:ascii="Times New Roman" w:hAnsi="Times New Roman"/>
          <w:color w:val="000000" w:themeColor="text1"/>
          <w:sz w:val="16"/>
          <w:szCs w:val="16"/>
        </w:rPr>
        <w:softHyphen/>
        <w:t>ных в план самолетов.</w:t>
      </w:r>
    </w:p>
    <w:p w14:paraId="5FB911A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Осуществление вопросов этой группы так же не требует разра</w:t>
      </w:r>
      <w:r w:rsidRPr="00A259BD">
        <w:rPr>
          <w:rFonts w:ascii="Times New Roman" w:hAnsi="Times New Roman"/>
          <w:color w:val="000000" w:themeColor="text1"/>
          <w:sz w:val="16"/>
          <w:szCs w:val="16"/>
        </w:rPr>
        <w:softHyphen/>
        <w:t>ботки каких либо новых принципов или специального оборудова</w:t>
      </w:r>
      <w:r w:rsidRPr="00A259BD">
        <w:rPr>
          <w:rFonts w:ascii="Times New Roman" w:hAnsi="Times New Roman"/>
          <w:color w:val="000000" w:themeColor="text1"/>
          <w:sz w:val="16"/>
          <w:szCs w:val="16"/>
        </w:rPr>
        <w:softHyphen/>
        <w:t xml:space="preserve">ния и производства нигде не </w:t>
      </w:r>
      <w:proofErr w:type="spellStart"/>
      <w:r w:rsidRPr="00A259BD">
        <w:rPr>
          <w:rFonts w:ascii="Times New Roman" w:hAnsi="Times New Roman"/>
          <w:color w:val="000000" w:themeColor="text1"/>
          <w:sz w:val="16"/>
          <w:szCs w:val="16"/>
        </w:rPr>
        <w:t>осущестьлявмого</w:t>
      </w:r>
      <w:proofErr w:type="spellEnd"/>
      <w:r w:rsidRPr="00A259BD">
        <w:rPr>
          <w:rFonts w:ascii="Times New Roman" w:hAnsi="Times New Roman"/>
          <w:color w:val="000000" w:themeColor="text1"/>
          <w:sz w:val="16"/>
          <w:szCs w:val="16"/>
        </w:rPr>
        <w:t>. В этой области вопрос ставится так же в плоскость или освоения уже имеющих</w:t>
      </w:r>
      <w:r w:rsidRPr="00A259BD">
        <w:rPr>
          <w:rFonts w:ascii="Times New Roman" w:hAnsi="Times New Roman"/>
          <w:color w:val="000000" w:themeColor="text1"/>
          <w:sz w:val="16"/>
          <w:szCs w:val="16"/>
        </w:rPr>
        <w:softHyphen/>
        <w:t>ся заграничных достижений или же развития и улучшения имеюще</w:t>
      </w:r>
      <w:r w:rsidRPr="00A259BD">
        <w:rPr>
          <w:rFonts w:ascii="Times New Roman" w:hAnsi="Times New Roman"/>
          <w:color w:val="000000" w:themeColor="text1"/>
          <w:sz w:val="16"/>
          <w:szCs w:val="16"/>
        </w:rPr>
        <w:softHyphen/>
        <w:t>гося у нас производства.</w:t>
      </w:r>
    </w:p>
    <w:p w14:paraId="59E7D86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Об"ем</w:t>
      </w:r>
      <w:proofErr w:type="spellEnd"/>
      <w:r w:rsidRPr="00A259BD">
        <w:rPr>
          <w:rFonts w:ascii="Times New Roman" w:hAnsi="Times New Roman"/>
          <w:color w:val="000000" w:themeColor="text1"/>
          <w:sz w:val="16"/>
          <w:szCs w:val="16"/>
        </w:rPr>
        <w:t xml:space="preserve"> работ</w:t>
      </w:r>
    </w:p>
    <w:p w14:paraId="2E6627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Таким образом основой 5-ти летнего плана опытного строительства является изготовление опытных образцов, которые были бы переданы в серийное производство и, на основе которых, можно было бы базировать развитие воздушного флота. Для проработки этих вопросов придется провести конструкторские работы и лабораторно-изыскательские, но все эти работы такого характера, какие уже применяются промышленностью к научными институтами в настоящее время и </w:t>
      </w:r>
      <w:proofErr w:type="spellStart"/>
      <w:r w:rsidRPr="00A259BD">
        <w:rPr>
          <w:rFonts w:ascii="Times New Roman" w:hAnsi="Times New Roman"/>
          <w:color w:val="000000" w:themeColor="text1"/>
          <w:sz w:val="16"/>
          <w:szCs w:val="16"/>
        </w:rPr>
        <w:t>вопытном</w:t>
      </w:r>
      <w:proofErr w:type="spellEnd"/>
      <w:r w:rsidRPr="00A259BD">
        <w:rPr>
          <w:rFonts w:ascii="Times New Roman" w:hAnsi="Times New Roman"/>
          <w:color w:val="000000" w:themeColor="text1"/>
          <w:sz w:val="16"/>
          <w:szCs w:val="16"/>
        </w:rPr>
        <w:t xml:space="preserve"> строительстве. Перечень таких ра</w:t>
      </w:r>
      <w:r w:rsidRPr="00A259BD">
        <w:rPr>
          <w:rFonts w:ascii="Times New Roman" w:hAnsi="Times New Roman"/>
          <w:color w:val="000000" w:themeColor="text1"/>
          <w:sz w:val="16"/>
          <w:szCs w:val="16"/>
        </w:rPr>
        <w:softHyphen/>
        <w:t>бот не дается за невозможностью их предусмотреть, но в сред</w:t>
      </w:r>
      <w:r w:rsidRPr="00A259BD">
        <w:rPr>
          <w:rFonts w:ascii="Times New Roman" w:hAnsi="Times New Roman"/>
          <w:color w:val="000000" w:themeColor="text1"/>
          <w:sz w:val="16"/>
          <w:szCs w:val="16"/>
        </w:rPr>
        <w:softHyphen/>
        <w:t>ствах, отпускаемых на изготовление образца учитывалась необходимость проведения до постройки образца ряда экспериментальных работ.</w:t>
      </w:r>
    </w:p>
    <w:p w14:paraId="200D41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Другая группа работ, которая в перечне не во всем объеме отражена в плане опытного строительства, эта группа научно-исследователь</w:t>
      </w:r>
      <w:r w:rsidRPr="00A259BD">
        <w:rPr>
          <w:rFonts w:ascii="Times New Roman" w:hAnsi="Times New Roman"/>
          <w:color w:val="000000" w:themeColor="text1"/>
          <w:sz w:val="16"/>
          <w:szCs w:val="16"/>
        </w:rPr>
        <w:softHyphen/>
        <w:t>ских работ, которые должны быть поставлены для проработки ряда те</w:t>
      </w:r>
      <w:r w:rsidRPr="00A259BD">
        <w:rPr>
          <w:rFonts w:ascii="Times New Roman" w:hAnsi="Times New Roman"/>
          <w:color w:val="000000" w:themeColor="text1"/>
          <w:sz w:val="16"/>
          <w:szCs w:val="16"/>
        </w:rPr>
        <w:softHyphen/>
        <w:t>оретических вопросов и новых принципов, выдвигаемых авиационной техникой и непосредственно не связанных с изготовлением стоящих в плане опытного строительства образцов.</w:t>
      </w:r>
    </w:p>
    <w:p w14:paraId="37A474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Эта группа вопросов предусмотрена главным образом в смысле обеспечения ее осуществления отпуском необходимых денежных средств. На</w:t>
      </w:r>
      <w:r w:rsidRPr="00A259BD">
        <w:rPr>
          <w:rFonts w:ascii="Times New Roman" w:hAnsi="Times New Roman"/>
          <w:color w:val="000000" w:themeColor="text1"/>
          <w:sz w:val="16"/>
          <w:szCs w:val="16"/>
        </w:rPr>
        <w:softHyphen/>
        <w:t>именования работ в этой группе указаны лишь те, которые в данный момент являются актуальными, ибо предвидеть все темы не представ</w:t>
      </w:r>
      <w:r w:rsidRPr="00A259BD">
        <w:rPr>
          <w:rFonts w:ascii="Times New Roman" w:hAnsi="Times New Roman"/>
          <w:color w:val="000000" w:themeColor="text1"/>
          <w:sz w:val="16"/>
          <w:szCs w:val="16"/>
        </w:rPr>
        <w:softHyphen/>
        <w:t>ляется возможным.</w:t>
      </w:r>
    </w:p>
    <w:p w14:paraId="3B0BD7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областей авиационной техники затронуты в настоящем плане ниже</w:t>
      </w:r>
      <w:r w:rsidRPr="00A259BD">
        <w:rPr>
          <w:rFonts w:ascii="Times New Roman" w:hAnsi="Times New Roman"/>
          <w:color w:val="000000" w:themeColor="text1"/>
          <w:sz w:val="16"/>
          <w:szCs w:val="16"/>
        </w:rPr>
        <w:softHyphen/>
        <w:t>следующие:</w:t>
      </w:r>
    </w:p>
    <w:p w14:paraId="5046ACF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Самолетостроение.</w:t>
      </w:r>
    </w:p>
    <w:p w14:paraId="42679C3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Авиационное моторостроение.</w:t>
      </w:r>
    </w:p>
    <w:p w14:paraId="1BE09AD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Вооружение и оборудование самолетов.</w:t>
      </w:r>
    </w:p>
    <w:p w14:paraId="12A0C7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Авиационные материалы и стандартизация.</w:t>
      </w:r>
    </w:p>
    <w:p w14:paraId="3D1A14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Воздухоплавание /аэростат и дирижабли малого объема/.</w:t>
      </w:r>
    </w:p>
    <w:p w14:paraId="2C93BF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Какие работы предположено провести за 5 лет по отдельным областям подробно указывается в с </w:t>
      </w:r>
      <w:proofErr w:type="spellStart"/>
      <w:r w:rsidRPr="00A259BD">
        <w:rPr>
          <w:rFonts w:ascii="Times New Roman" w:hAnsi="Times New Roman"/>
          <w:color w:val="000000" w:themeColor="text1"/>
          <w:sz w:val="16"/>
          <w:szCs w:val="16"/>
        </w:rPr>
        <w:t>оответствутощем</w:t>
      </w:r>
      <w:proofErr w:type="spellEnd"/>
      <w:r w:rsidRPr="00A259BD">
        <w:rPr>
          <w:rFonts w:ascii="Times New Roman" w:hAnsi="Times New Roman"/>
          <w:color w:val="000000" w:themeColor="text1"/>
          <w:sz w:val="16"/>
          <w:szCs w:val="16"/>
        </w:rPr>
        <w:t xml:space="preserve"> разделе приложения, - ниже сего приводятся сводные данные по </w:t>
      </w:r>
      <w:proofErr w:type="spellStart"/>
      <w:r w:rsidRPr="00A259BD">
        <w:rPr>
          <w:rFonts w:ascii="Times New Roman" w:hAnsi="Times New Roman"/>
          <w:color w:val="000000" w:themeColor="text1"/>
          <w:sz w:val="16"/>
          <w:szCs w:val="16"/>
        </w:rPr>
        <w:t>главнейшм</w:t>
      </w:r>
      <w:proofErr w:type="spellEnd"/>
      <w:r w:rsidRPr="00A259BD">
        <w:rPr>
          <w:rFonts w:ascii="Times New Roman" w:hAnsi="Times New Roman"/>
          <w:color w:val="000000" w:themeColor="text1"/>
          <w:sz w:val="16"/>
          <w:szCs w:val="16"/>
        </w:rPr>
        <w:t xml:space="preserve"> работам.</w:t>
      </w:r>
    </w:p>
    <w:p w14:paraId="3B317C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Самолетрстроение</w:t>
      </w:r>
      <w:proofErr w:type="spellEnd"/>
      <w:r w:rsidRPr="00A259BD">
        <w:rPr>
          <w:rFonts w:ascii="Times New Roman" w:hAnsi="Times New Roman"/>
          <w:color w:val="000000" w:themeColor="text1"/>
          <w:sz w:val="16"/>
          <w:szCs w:val="16"/>
        </w:rPr>
        <w:t>. Основные типы самолетов, намеченные к выполне</w:t>
      </w:r>
      <w:r w:rsidRPr="00A259BD">
        <w:rPr>
          <w:rFonts w:ascii="Times New Roman" w:hAnsi="Times New Roman"/>
          <w:color w:val="000000" w:themeColor="text1"/>
          <w:sz w:val="16"/>
          <w:szCs w:val="16"/>
        </w:rPr>
        <w:softHyphen/>
        <w:t>нию в 5-ти летнем плане будут: истребители /одноместные и много</w:t>
      </w:r>
      <w:r w:rsidRPr="00A259BD">
        <w:rPr>
          <w:rFonts w:ascii="Times New Roman" w:hAnsi="Times New Roman"/>
          <w:color w:val="000000" w:themeColor="text1"/>
          <w:sz w:val="16"/>
          <w:szCs w:val="16"/>
        </w:rPr>
        <w:softHyphen/>
        <w:t>местные/, бомбардировщики и торпедоносцы, вспомогательные и спе</w:t>
      </w:r>
      <w:r w:rsidRPr="00A259BD">
        <w:rPr>
          <w:rFonts w:ascii="Times New Roman" w:hAnsi="Times New Roman"/>
          <w:color w:val="000000" w:themeColor="text1"/>
          <w:sz w:val="16"/>
          <w:szCs w:val="16"/>
        </w:rPr>
        <w:softHyphen/>
        <w:t>циального назначения.</w:t>
      </w:r>
    </w:p>
    <w:p w14:paraId="747A80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Намеченные типы будут строится под моторы водяного и воздушного охлаждения из дерева, </w:t>
      </w:r>
      <w:proofErr w:type="spellStart"/>
      <w:r w:rsidRPr="00A259BD">
        <w:rPr>
          <w:rFonts w:ascii="Times New Roman" w:hAnsi="Times New Roman"/>
          <w:color w:val="000000" w:themeColor="text1"/>
          <w:sz w:val="16"/>
          <w:szCs w:val="16"/>
        </w:rPr>
        <w:t>дураля</w:t>
      </w:r>
      <w:proofErr w:type="spellEnd"/>
      <w:r w:rsidRPr="00A259BD">
        <w:rPr>
          <w:rFonts w:ascii="Times New Roman" w:hAnsi="Times New Roman"/>
          <w:color w:val="000000" w:themeColor="text1"/>
          <w:sz w:val="16"/>
          <w:szCs w:val="16"/>
        </w:rPr>
        <w:t xml:space="preserve"> и стали в чистом виде и смешанной конструкции.</w:t>
      </w:r>
    </w:p>
    <w:p w14:paraId="1AA433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Необходимость постройки самолетов из разных материалов диктуется тем обстоятельством, что деревянные самолеты являются наиболее дешевыми в производстве и небольшие самолеты /разведчики, истре</w:t>
      </w:r>
      <w:r w:rsidRPr="00A259BD">
        <w:rPr>
          <w:rFonts w:ascii="Times New Roman" w:hAnsi="Times New Roman"/>
          <w:color w:val="000000" w:themeColor="text1"/>
          <w:sz w:val="16"/>
          <w:szCs w:val="16"/>
        </w:rPr>
        <w:softHyphen/>
        <w:t xml:space="preserve">бители/ могут быть осуществлены хорошего качества из дерева, С другой стороны, постройка больших самолетов /бомбардировщиков, торпедоносцев, морских/, хорошо может производиться </w:t>
      </w:r>
      <w:proofErr w:type="spellStart"/>
      <w:r w:rsidRPr="00A259BD">
        <w:rPr>
          <w:rFonts w:ascii="Times New Roman" w:hAnsi="Times New Roman"/>
          <w:color w:val="000000" w:themeColor="text1"/>
          <w:sz w:val="16"/>
          <w:szCs w:val="16"/>
        </w:rPr>
        <w:t>лищь</w:t>
      </w:r>
      <w:proofErr w:type="spellEnd"/>
      <w:r w:rsidRPr="00A259BD">
        <w:rPr>
          <w:rFonts w:ascii="Times New Roman" w:hAnsi="Times New Roman"/>
          <w:color w:val="000000" w:themeColor="text1"/>
          <w:sz w:val="16"/>
          <w:szCs w:val="16"/>
        </w:rPr>
        <w:t xml:space="preserve"> из металла /</w:t>
      </w:r>
      <w:proofErr w:type="spellStart"/>
      <w:r w:rsidRPr="00A259BD">
        <w:rPr>
          <w:rFonts w:ascii="Times New Roman" w:hAnsi="Times New Roman"/>
          <w:color w:val="000000" w:themeColor="text1"/>
          <w:sz w:val="16"/>
          <w:szCs w:val="16"/>
        </w:rPr>
        <w:t>дураль</w:t>
      </w:r>
      <w:proofErr w:type="spellEnd"/>
      <w:r w:rsidRPr="00A259BD">
        <w:rPr>
          <w:rFonts w:ascii="Times New Roman" w:hAnsi="Times New Roman"/>
          <w:color w:val="000000" w:themeColor="text1"/>
          <w:sz w:val="16"/>
          <w:szCs w:val="16"/>
        </w:rPr>
        <w:t xml:space="preserve">, сталь/. </w:t>
      </w:r>
      <w:proofErr w:type="spellStart"/>
      <w:r w:rsidRPr="00A259BD">
        <w:rPr>
          <w:rFonts w:ascii="Times New Roman" w:hAnsi="Times New Roman"/>
          <w:color w:val="000000" w:themeColor="text1"/>
          <w:sz w:val="16"/>
          <w:szCs w:val="16"/>
        </w:rPr>
        <w:t>Днревянные</w:t>
      </w:r>
      <w:proofErr w:type="spellEnd"/>
      <w:r w:rsidRPr="00A259BD">
        <w:rPr>
          <w:rFonts w:ascii="Times New Roman" w:hAnsi="Times New Roman"/>
          <w:color w:val="000000" w:themeColor="text1"/>
          <w:sz w:val="16"/>
          <w:szCs w:val="16"/>
        </w:rPr>
        <w:t xml:space="preserve"> конструкции выходят тяжелее весом и хуже ведут себя в </w:t>
      </w:r>
      <w:proofErr w:type="spellStart"/>
      <w:r w:rsidRPr="00A259BD">
        <w:rPr>
          <w:rFonts w:ascii="Times New Roman" w:hAnsi="Times New Roman"/>
          <w:color w:val="000000" w:themeColor="text1"/>
          <w:sz w:val="16"/>
          <w:szCs w:val="16"/>
        </w:rPr>
        <w:t>эксплоатации</w:t>
      </w:r>
      <w:proofErr w:type="spellEnd"/>
      <w:r w:rsidRPr="00A259BD">
        <w:rPr>
          <w:rFonts w:ascii="Times New Roman" w:hAnsi="Times New Roman"/>
          <w:color w:val="000000" w:themeColor="text1"/>
          <w:sz w:val="16"/>
          <w:szCs w:val="16"/>
        </w:rPr>
        <w:t xml:space="preserve">. Вместе с тем, </w:t>
      </w:r>
      <w:proofErr w:type="spellStart"/>
      <w:r w:rsidRPr="00A259BD">
        <w:rPr>
          <w:rFonts w:ascii="Times New Roman" w:hAnsi="Times New Roman"/>
          <w:color w:val="000000" w:themeColor="text1"/>
          <w:sz w:val="16"/>
          <w:szCs w:val="16"/>
        </w:rPr>
        <w:t>необьходимо</w:t>
      </w:r>
      <w:proofErr w:type="spellEnd"/>
      <w:r w:rsidRPr="00A259BD">
        <w:rPr>
          <w:rFonts w:ascii="Times New Roman" w:hAnsi="Times New Roman"/>
          <w:color w:val="000000" w:themeColor="text1"/>
          <w:sz w:val="16"/>
          <w:szCs w:val="16"/>
        </w:rPr>
        <w:t xml:space="preserve"> иметь ряд готовых конструкций из дерева и металла диктуется тем обстоятельством, что на случай затруднения со снабжением в лесе или металле /иностранный алюминий/ заставляет строить ряд конструк</w:t>
      </w:r>
      <w:r w:rsidRPr="00A259BD">
        <w:rPr>
          <w:rFonts w:ascii="Times New Roman" w:hAnsi="Times New Roman"/>
          <w:color w:val="000000" w:themeColor="text1"/>
          <w:sz w:val="16"/>
          <w:szCs w:val="16"/>
        </w:rPr>
        <w:softHyphen/>
        <w:t>ций смешанного типа с применением стали, кроме того эти конструк</w:t>
      </w:r>
      <w:r w:rsidRPr="00A259BD">
        <w:rPr>
          <w:rFonts w:ascii="Times New Roman" w:hAnsi="Times New Roman"/>
          <w:color w:val="000000" w:themeColor="text1"/>
          <w:sz w:val="16"/>
          <w:szCs w:val="16"/>
        </w:rPr>
        <w:softHyphen/>
        <w:t>ции /сварные трубчатые/ имеют преимущество перед другими в ремонте.</w:t>
      </w:r>
    </w:p>
    <w:p w14:paraId="284F8ED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 пятилетний период намечено построить 41 новых типов сухопутных и морских самолетов и приспособить из них под другое назначение /как вариант основного типа/ или произвести улучшение типа с </w:t>
      </w:r>
      <w:proofErr w:type="spellStart"/>
      <w:r w:rsidRPr="00A259BD">
        <w:rPr>
          <w:rFonts w:ascii="Times New Roman" w:hAnsi="Times New Roman"/>
          <w:color w:val="000000" w:themeColor="text1"/>
          <w:sz w:val="16"/>
          <w:szCs w:val="16"/>
        </w:rPr>
        <w:t>пере</w:t>
      </w:r>
      <w:r w:rsidRPr="00A259BD">
        <w:rPr>
          <w:rFonts w:ascii="Times New Roman" w:hAnsi="Times New Roman"/>
          <w:color w:val="000000" w:themeColor="text1"/>
          <w:sz w:val="16"/>
          <w:szCs w:val="16"/>
        </w:rPr>
        <w:softHyphen/>
        <w:t>конструированием</w:t>
      </w:r>
      <w:proofErr w:type="spellEnd"/>
      <w:r w:rsidRPr="00A259BD">
        <w:rPr>
          <w:rFonts w:ascii="Times New Roman" w:hAnsi="Times New Roman"/>
          <w:color w:val="000000" w:themeColor="text1"/>
          <w:sz w:val="16"/>
          <w:szCs w:val="16"/>
        </w:rPr>
        <w:t xml:space="preserve"> 21 типа. А всего новых и </w:t>
      </w:r>
      <w:proofErr w:type="spellStart"/>
      <w:r w:rsidRPr="00A259BD">
        <w:rPr>
          <w:rFonts w:ascii="Times New Roman" w:hAnsi="Times New Roman"/>
          <w:color w:val="000000" w:themeColor="text1"/>
          <w:sz w:val="16"/>
          <w:szCs w:val="16"/>
        </w:rPr>
        <w:t>приспособленных'типов</w:t>
      </w:r>
      <w:proofErr w:type="spellEnd"/>
      <w:r w:rsidRPr="00A259BD">
        <w:rPr>
          <w:rFonts w:ascii="Times New Roman" w:hAnsi="Times New Roman"/>
          <w:color w:val="000000" w:themeColor="text1"/>
          <w:sz w:val="16"/>
          <w:szCs w:val="16"/>
        </w:rPr>
        <w:t xml:space="preserve"> самолетов намечено осуществить на 6 лет 62 типа.</w:t>
      </w:r>
    </w:p>
    <w:p w14:paraId="0F27D7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Количество типов самолетов, намеченное к постройке за:5 лет видно из нижеприведенной таблицы.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58"/>
        <w:gridCol w:w="3600"/>
        <w:gridCol w:w="1084"/>
        <w:gridCol w:w="1084"/>
        <w:gridCol w:w="1084"/>
        <w:gridCol w:w="1084"/>
        <w:gridCol w:w="1084"/>
      </w:tblGrid>
      <w:tr w:rsidR="00A259BD" w:rsidRPr="00A259BD" w14:paraId="30ACB194" w14:textId="77777777">
        <w:tc>
          <w:tcPr>
            <w:tcW w:w="558" w:type="dxa"/>
            <w:tcBorders>
              <w:top w:val="single" w:sz="12" w:space="0" w:color="auto"/>
            </w:tcBorders>
          </w:tcPr>
          <w:p w14:paraId="068F8D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п/п</w:t>
            </w:r>
          </w:p>
        </w:tc>
        <w:tc>
          <w:tcPr>
            <w:tcW w:w="3600" w:type="dxa"/>
            <w:tcBorders>
              <w:top w:val="single" w:sz="12" w:space="0" w:color="auto"/>
            </w:tcBorders>
          </w:tcPr>
          <w:p w14:paraId="4C4564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Класс самолета</w:t>
            </w:r>
          </w:p>
        </w:tc>
        <w:tc>
          <w:tcPr>
            <w:tcW w:w="2168" w:type="dxa"/>
            <w:gridSpan w:val="2"/>
            <w:tcBorders>
              <w:top w:val="single" w:sz="12" w:space="0" w:color="auto"/>
            </w:tcBorders>
          </w:tcPr>
          <w:p w14:paraId="1D1AC4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Сухопутных</w:t>
            </w:r>
          </w:p>
        </w:tc>
        <w:tc>
          <w:tcPr>
            <w:tcW w:w="2168" w:type="dxa"/>
            <w:gridSpan w:val="2"/>
            <w:tcBorders>
              <w:top w:val="single" w:sz="12" w:space="0" w:color="auto"/>
            </w:tcBorders>
          </w:tcPr>
          <w:p w14:paraId="27005E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Морских</w:t>
            </w:r>
          </w:p>
        </w:tc>
        <w:tc>
          <w:tcPr>
            <w:tcW w:w="1084" w:type="dxa"/>
            <w:tcBorders>
              <w:top w:val="single" w:sz="12" w:space="0" w:color="auto"/>
            </w:tcBorders>
          </w:tcPr>
          <w:p w14:paraId="542529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r>
      <w:tr w:rsidR="00A259BD" w:rsidRPr="00A259BD" w14:paraId="7490CC4B" w14:textId="77777777">
        <w:tc>
          <w:tcPr>
            <w:tcW w:w="558" w:type="dxa"/>
          </w:tcPr>
          <w:p w14:paraId="6C2544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6CB32C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0BC69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Дер.</w:t>
            </w:r>
          </w:p>
        </w:tc>
        <w:tc>
          <w:tcPr>
            <w:tcW w:w="1084" w:type="dxa"/>
          </w:tcPr>
          <w:p w14:paraId="4732CD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Мет./см.</w:t>
            </w:r>
          </w:p>
        </w:tc>
        <w:tc>
          <w:tcPr>
            <w:tcW w:w="1084" w:type="dxa"/>
          </w:tcPr>
          <w:p w14:paraId="030F5C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Дер.</w:t>
            </w:r>
          </w:p>
        </w:tc>
        <w:tc>
          <w:tcPr>
            <w:tcW w:w="1084" w:type="dxa"/>
          </w:tcPr>
          <w:p w14:paraId="7F64A7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Мет./см.</w:t>
            </w:r>
          </w:p>
        </w:tc>
        <w:tc>
          <w:tcPr>
            <w:tcW w:w="1084" w:type="dxa"/>
          </w:tcPr>
          <w:p w14:paraId="537618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A8E1EAA" w14:textId="77777777">
        <w:tc>
          <w:tcPr>
            <w:tcW w:w="558" w:type="dxa"/>
          </w:tcPr>
          <w:p w14:paraId="71FA61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3600" w:type="dxa"/>
          </w:tcPr>
          <w:p w14:paraId="2D8574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Истребитель </w:t>
            </w:r>
            <w:proofErr w:type="spellStart"/>
            <w:r w:rsidRPr="00A259BD">
              <w:rPr>
                <w:rFonts w:ascii="Times New Roman" w:hAnsi="Times New Roman"/>
                <w:color w:val="000000" w:themeColor="text1"/>
                <w:sz w:val="16"/>
                <w:szCs w:val="16"/>
              </w:rPr>
              <w:t>одномест</w:t>
            </w:r>
            <w:proofErr w:type="spellEnd"/>
            <w:r w:rsidRPr="00A259BD">
              <w:rPr>
                <w:rFonts w:ascii="Times New Roman" w:hAnsi="Times New Roman"/>
                <w:color w:val="000000" w:themeColor="text1"/>
                <w:sz w:val="16"/>
                <w:szCs w:val="16"/>
              </w:rPr>
              <w:t xml:space="preserve">.: </w:t>
            </w:r>
          </w:p>
        </w:tc>
        <w:tc>
          <w:tcPr>
            <w:tcW w:w="1084" w:type="dxa"/>
          </w:tcPr>
          <w:p w14:paraId="73C958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E624D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C3106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FE5F9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4ABB6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1331F9A" w14:textId="77777777">
        <w:tc>
          <w:tcPr>
            <w:tcW w:w="558" w:type="dxa"/>
          </w:tcPr>
          <w:p w14:paraId="693B4D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32591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новых самолетов</w:t>
            </w:r>
          </w:p>
        </w:tc>
        <w:tc>
          <w:tcPr>
            <w:tcW w:w="1084" w:type="dxa"/>
          </w:tcPr>
          <w:p w14:paraId="734569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1084" w:type="dxa"/>
          </w:tcPr>
          <w:p w14:paraId="48EC7A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1084" w:type="dxa"/>
          </w:tcPr>
          <w:p w14:paraId="331E09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225AF4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165475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tc>
      </w:tr>
      <w:tr w:rsidR="00A259BD" w:rsidRPr="00A259BD" w14:paraId="741C661B" w14:textId="77777777">
        <w:tc>
          <w:tcPr>
            <w:tcW w:w="558" w:type="dxa"/>
          </w:tcPr>
          <w:p w14:paraId="615021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5A2D7A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вариантов и </w:t>
            </w:r>
            <w:proofErr w:type="spellStart"/>
            <w:r w:rsidRPr="00A259BD">
              <w:rPr>
                <w:rFonts w:ascii="Times New Roman" w:hAnsi="Times New Roman"/>
                <w:color w:val="000000" w:themeColor="text1"/>
                <w:sz w:val="16"/>
                <w:szCs w:val="16"/>
              </w:rPr>
              <w:t>присп</w:t>
            </w:r>
            <w:proofErr w:type="spellEnd"/>
            <w:r w:rsidRPr="00A259BD">
              <w:rPr>
                <w:rFonts w:ascii="Times New Roman" w:hAnsi="Times New Roman"/>
                <w:color w:val="000000" w:themeColor="text1"/>
                <w:sz w:val="16"/>
                <w:szCs w:val="16"/>
              </w:rPr>
              <w:t>.</w:t>
            </w:r>
          </w:p>
        </w:tc>
        <w:tc>
          <w:tcPr>
            <w:tcW w:w="1084" w:type="dxa"/>
          </w:tcPr>
          <w:p w14:paraId="1DC385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084" w:type="dxa"/>
          </w:tcPr>
          <w:p w14:paraId="70E78E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7E64BF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7A2675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3084DC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r>
      <w:tr w:rsidR="00A259BD" w:rsidRPr="00A259BD" w14:paraId="105A13E6" w14:textId="77777777">
        <w:tc>
          <w:tcPr>
            <w:tcW w:w="558" w:type="dxa"/>
          </w:tcPr>
          <w:p w14:paraId="00861D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3600" w:type="dxa"/>
          </w:tcPr>
          <w:p w14:paraId="341C51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Многоместн.истребит</w:t>
            </w:r>
            <w:proofErr w:type="spellEnd"/>
            <w:r w:rsidRPr="00A259BD">
              <w:rPr>
                <w:rFonts w:ascii="Times New Roman" w:hAnsi="Times New Roman"/>
                <w:color w:val="000000" w:themeColor="text1"/>
                <w:sz w:val="16"/>
                <w:szCs w:val="16"/>
              </w:rPr>
              <w:t>.:</w:t>
            </w:r>
          </w:p>
        </w:tc>
        <w:tc>
          <w:tcPr>
            <w:tcW w:w="1084" w:type="dxa"/>
          </w:tcPr>
          <w:p w14:paraId="3D69B9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1BF56D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17CC9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1B4F17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44B1B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204E78D" w14:textId="77777777">
        <w:tc>
          <w:tcPr>
            <w:tcW w:w="558" w:type="dxa"/>
          </w:tcPr>
          <w:p w14:paraId="6ABA25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02354D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новых</w:t>
            </w:r>
          </w:p>
        </w:tc>
        <w:tc>
          <w:tcPr>
            <w:tcW w:w="1084" w:type="dxa"/>
          </w:tcPr>
          <w:p w14:paraId="51E4EB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084" w:type="dxa"/>
          </w:tcPr>
          <w:p w14:paraId="561A59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4BF68C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4C6829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53132F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r>
      <w:tr w:rsidR="00A259BD" w:rsidRPr="00A259BD" w14:paraId="74402B8E" w14:textId="77777777">
        <w:tc>
          <w:tcPr>
            <w:tcW w:w="558" w:type="dxa"/>
          </w:tcPr>
          <w:p w14:paraId="3133D3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C5065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приспособленных</w:t>
            </w:r>
          </w:p>
        </w:tc>
        <w:tc>
          <w:tcPr>
            <w:tcW w:w="1084" w:type="dxa"/>
          </w:tcPr>
          <w:p w14:paraId="234112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084" w:type="dxa"/>
          </w:tcPr>
          <w:p w14:paraId="1260C8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25F64B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74C3EC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1B5A5A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r>
      <w:tr w:rsidR="00A259BD" w:rsidRPr="00A259BD" w14:paraId="645378F0" w14:textId="77777777">
        <w:tc>
          <w:tcPr>
            <w:tcW w:w="558" w:type="dxa"/>
          </w:tcPr>
          <w:p w14:paraId="5CD3CD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3600" w:type="dxa"/>
          </w:tcPr>
          <w:p w14:paraId="4486B0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Разведчики двухместные:</w:t>
            </w:r>
          </w:p>
        </w:tc>
        <w:tc>
          <w:tcPr>
            <w:tcW w:w="1084" w:type="dxa"/>
          </w:tcPr>
          <w:p w14:paraId="7E2952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123F99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CF52B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48248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519A8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20503FD" w14:textId="77777777">
        <w:tc>
          <w:tcPr>
            <w:tcW w:w="558" w:type="dxa"/>
          </w:tcPr>
          <w:p w14:paraId="71537A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A91A4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новых</w:t>
            </w:r>
          </w:p>
        </w:tc>
        <w:tc>
          <w:tcPr>
            <w:tcW w:w="1084" w:type="dxa"/>
          </w:tcPr>
          <w:p w14:paraId="3071F8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1F6210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084" w:type="dxa"/>
          </w:tcPr>
          <w:p w14:paraId="1013BA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084" w:type="dxa"/>
          </w:tcPr>
          <w:p w14:paraId="5FF07C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27E89E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tc>
      </w:tr>
      <w:tr w:rsidR="00A259BD" w:rsidRPr="00A259BD" w14:paraId="5FA8FDEB" w14:textId="77777777">
        <w:tc>
          <w:tcPr>
            <w:tcW w:w="558" w:type="dxa"/>
          </w:tcPr>
          <w:p w14:paraId="3576C6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8AAAC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приспособленных</w:t>
            </w:r>
          </w:p>
        </w:tc>
        <w:tc>
          <w:tcPr>
            <w:tcW w:w="1084" w:type="dxa"/>
          </w:tcPr>
          <w:p w14:paraId="36A25F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0E28EA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084" w:type="dxa"/>
          </w:tcPr>
          <w:p w14:paraId="52BCFF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084" w:type="dxa"/>
          </w:tcPr>
          <w:p w14:paraId="37AEE8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4C07BB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tc>
      </w:tr>
      <w:tr w:rsidR="00A259BD" w:rsidRPr="00A259BD" w14:paraId="1C92504D" w14:textId="77777777">
        <w:tc>
          <w:tcPr>
            <w:tcW w:w="558" w:type="dxa"/>
          </w:tcPr>
          <w:p w14:paraId="7121F9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3600" w:type="dxa"/>
          </w:tcPr>
          <w:p w14:paraId="3F777C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Разведчики </w:t>
            </w:r>
            <w:proofErr w:type="spellStart"/>
            <w:r w:rsidRPr="00A259BD">
              <w:rPr>
                <w:rFonts w:ascii="Times New Roman" w:hAnsi="Times New Roman"/>
                <w:color w:val="000000" w:themeColor="text1"/>
                <w:sz w:val="16"/>
                <w:szCs w:val="16"/>
              </w:rPr>
              <w:t>многоместн</w:t>
            </w:r>
            <w:proofErr w:type="spellEnd"/>
            <w:r w:rsidRPr="00A259BD">
              <w:rPr>
                <w:rFonts w:ascii="Times New Roman" w:hAnsi="Times New Roman"/>
                <w:color w:val="000000" w:themeColor="text1"/>
                <w:sz w:val="16"/>
                <w:szCs w:val="16"/>
              </w:rPr>
              <w:t>.:</w:t>
            </w:r>
          </w:p>
        </w:tc>
        <w:tc>
          <w:tcPr>
            <w:tcW w:w="1084" w:type="dxa"/>
          </w:tcPr>
          <w:p w14:paraId="65DF63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6096D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72B842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1DEAF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7701D6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A26B889" w14:textId="77777777">
        <w:tc>
          <w:tcPr>
            <w:tcW w:w="558" w:type="dxa"/>
          </w:tcPr>
          <w:p w14:paraId="341F4D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FF685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новых</w:t>
            </w:r>
          </w:p>
        </w:tc>
        <w:tc>
          <w:tcPr>
            <w:tcW w:w="1084" w:type="dxa"/>
          </w:tcPr>
          <w:p w14:paraId="1F7CEA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1645D7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106F2C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084" w:type="dxa"/>
          </w:tcPr>
          <w:p w14:paraId="13FA28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7EE109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tc>
      </w:tr>
      <w:tr w:rsidR="00A259BD" w:rsidRPr="00A259BD" w14:paraId="69B388BA" w14:textId="77777777">
        <w:tc>
          <w:tcPr>
            <w:tcW w:w="558" w:type="dxa"/>
          </w:tcPr>
          <w:p w14:paraId="5A8218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4C039F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приспособленных</w:t>
            </w:r>
          </w:p>
        </w:tc>
        <w:tc>
          <w:tcPr>
            <w:tcW w:w="1084" w:type="dxa"/>
          </w:tcPr>
          <w:p w14:paraId="42139C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0555A3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084" w:type="dxa"/>
          </w:tcPr>
          <w:p w14:paraId="41644E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4017E7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700E25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5C644DF4" w14:textId="77777777">
        <w:tc>
          <w:tcPr>
            <w:tcW w:w="558" w:type="dxa"/>
          </w:tcPr>
          <w:p w14:paraId="27913F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c>
          <w:tcPr>
            <w:tcW w:w="3600" w:type="dxa"/>
          </w:tcPr>
          <w:p w14:paraId="0A44D6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Бомбардировщики и торпедоносцы:</w:t>
            </w:r>
          </w:p>
        </w:tc>
        <w:tc>
          <w:tcPr>
            <w:tcW w:w="1084" w:type="dxa"/>
          </w:tcPr>
          <w:p w14:paraId="0DE869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8167C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1B5B5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30095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870D9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9B001FB" w14:textId="77777777">
        <w:tc>
          <w:tcPr>
            <w:tcW w:w="558" w:type="dxa"/>
          </w:tcPr>
          <w:p w14:paraId="0F0F7E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6064A9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новых</w:t>
            </w:r>
          </w:p>
        </w:tc>
        <w:tc>
          <w:tcPr>
            <w:tcW w:w="1084" w:type="dxa"/>
          </w:tcPr>
          <w:p w14:paraId="10C54E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084" w:type="dxa"/>
          </w:tcPr>
          <w:p w14:paraId="7C667C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084" w:type="dxa"/>
          </w:tcPr>
          <w:p w14:paraId="02D5AB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5A1229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084" w:type="dxa"/>
          </w:tcPr>
          <w:p w14:paraId="05DAE5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tc>
      </w:tr>
      <w:tr w:rsidR="00A259BD" w:rsidRPr="00A259BD" w14:paraId="06888325" w14:textId="77777777">
        <w:tc>
          <w:tcPr>
            <w:tcW w:w="558" w:type="dxa"/>
          </w:tcPr>
          <w:p w14:paraId="3048DF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76BB27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приспособленных</w:t>
            </w:r>
          </w:p>
        </w:tc>
        <w:tc>
          <w:tcPr>
            <w:tcW w:w="1084" w:type="dxa"/>
          </w:tcPr>
          <w:p w14:paraId="04EDFA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38B0EF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76DDEF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3B27D5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024405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1883C327" w14:textId="77777777">
        <w:tc>
          <w:tcPr>
            <w:tcW w:w="558" w:type="dxa"/>
          </w:tcPr>
          <w:p w14:paraId="3E1BE1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tc>
        <w:tc>
          <w:tcPr>
            <w:tcW w:w="3600" w:type="dxa"/>
          </w:tcPr>
          <w:p w14:paraId="4EA52D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Вспомогательные само</w:t>
            </w:r>
            <w:r w:rsidRPr="00A259BD">
              <w:rPr>
                <w:rFonts w:ascii="Times New Roman" w:hAnsi="Times New Roman"/>
                <w:color w:val="000000" w:themeColor="text1"/>
                <w:sz w:val="16"/>
                <w:szCs w:val="16"/>
              </w:rPr>
              <w:softHyphen/>
              <w:t>леты /штурмовики и пр./</w:t>
            </w:r>
          </w:p>
        </w:tc>
        <w:tc>
          <w:tcPr>
            <w:tcW w:w="1084" w:type="dxa"/>
          </w:tcPr>
          <w:p w14:paraId="31C0D0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D185B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A814B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D4960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30597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5C52F8A" w14:textId="77777777">
        <w:tc>
          <w:tcPr>
            <w:tcW w:w="558" w:type="dxa"/>
          </w:tcPr>
          <w:p w14:paraId="11E273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378168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новых</w:t>
            </w:r>
          </w:p>
        </w:tc>
        <w:tc>
          <w:tcPr>
            <w:tcW w:w="1084" w:type="dxa"/>
          </w:tcPr>
          <w:p w14:paraId="7A7F8A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09ECCF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5CD7E1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084" w:type="dxa"/>
          </w:tcPr>
          <w:p w14:paraId="61052D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1EA407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r>
      <w:tr w:rsidR="00A259BD" w:rsidRPr="00A259BD" w14:paraId="44BD19A1" w14:textId="77777777">
        <w:tc>
          <w:tcPr>
            <w:tcW w:w="558" w:type="dxa"/>
          </w:tcPr>
          <w:p w14:paraId="48BD6D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615A3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приспособленных</w:t>
            </w:r>
          </w:p>
        </w:tc>
        <w:tc>
          <w:tcPr>
            <w:tcW w:w="1084" w:type="dxa"/>
          </w:tcPr>
          <w:p w14:paraId="271BBE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6E57AE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084" w:type="dxa"/>
          </w:tcPr>
          <w:p w14:paraId="34D8D3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7D45DC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7C2F7C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r>
      <w:tr w:rsidR="00A259BD" w:rsidRPr="00A259BD" w14:paraId="7AEF13E9" w14:textId="77777777">
        <w:tc>
          <w:tcPr>
            <w:tcW w:w="558" w:type="dxa"/>
          </w:tcPr>
          <w:p w14:paraId="258D12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tc>
        <w:tc>
          <w:tcPr>
            <w:tcW w:w="3600" w:type="dxa"/>
          </w:tcPr>
          <w:p w14:paraId="301055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Самолеты специального назначения /химичес</w:t>
            </w:r>
            <w:r w:rsidRPr="00A259BD">
              <w:rPr>
                <w:rFonts w:ascii="Times New Roman" w:hAnsi="Times New Roman"/>
                <w:color w:val="000000" w:themeColor="text1"/>
                <w:sz w:val="16"/>
                <w:szCs w:val="16"/>
              </w:rPr>
              <w:softHyphen/>
              <w:t xml:space="preserve">кий, </w:t>
            </w:r>
            <w:proofErr w:type="spellStart"/>
            <w:r w:rsidRPr="00A259BD">
              <w:rPr>
                <w:rFonts w:ascii="Times New Roman" w:hAnsi="Times New Roman"/>
                <w:color w:val="000000" w:themeColor="text1"/>
                <w:sz w:val="16"/>
                <w:szCs w:val="16"/>
              </w:rPr>
              <w:t>каваллерийский</w:t>
            </w:r>
            <w:proofErr w:type="spellEnd"/>
            <w:r w:rsidRPr="00A259BD">
              <w:rPr>
                <w:rFonts w:ascii="Times New Roman" w:hAnsi="Times New Roman"/>
                <w:color w:val="000000" w:themeColor="text1"/>
                <w:sz w:val="16"/>
                <w:szCs w:val="16"/>
              </w:rPr>
              <w:t>, амфибия/:</w:t>
            </w:r>
          </w:p>
        </w:tc>
        <w:tc>
          <w:tcPr>
            <w:tcW w:w="1084" w:type="dxa"/>
          </w:tcPr>
          <w:p w14:paraId="7DACCD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941F1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1CDA2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8E055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142CE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4C4F5D9" w14:textId="77777777">
        <w:tc>
          <w:tcPr>
            <w:tcW w:w="558" w:type="dxa"/>
          </w:tcPr>
          <w:p w14:paraId="40DBC7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4A7BE1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новых</w:t>
            </w:r>
          </w:p>
        </w:tc>
        <w:tc>
          <w:tcPr>
            <w:tcW w:w="1084" w:type="dxa"/>
          </w:tcPr>
          <w:p w14:paraId="0D7C28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6F2B1D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084" w:type="dxa"/>
          </w:tcPr>
          <w:p w14:paraId="6417B7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1084" w:type="dxa"/>
          </w:tcPr>
          <w:p w14:paraId="7CEC66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141F03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tc>
      </w:tr>
      <w:tr w:rsidR="00A259BD" w:rsidRPr="00A259BD" w14:paraId="537A68A8" w14:textId="77777777">
        <w:tc>
          <w:tcPr>
            <w:tcW w:w="558" w:type="dxa"/>
          </w:tcPr>
          <w:p w14:paraId="13183D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3F976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приспособленных</w:t>
            </w:r>
          </w:p>
        </w:tc>
        <w:tc>
          <w:tcPr>
            <w:tcW w:w="1084" w:type="dxa"/>
          </w:tcPr>
          <w:p w14:paraId="343A9E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47EE4D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1C1826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658966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634119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413A2265" w14:textId="77777777">
        <w:tc>
          <w:tcPr>
            <w:tcW w:w="558" w:type="dxa"/>
            <w:tcBorders>
              <w:bottom w:val="single" w:sz="12" w:space="0" w:color="auto"/>
            </w:tcBorders>
          </w:tcPr>
          <w:p w14:paraId="1A0DD5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Borders>
              <w:bottom w:val="single" w:sz="12" w:space="0" w:color="auto"/>
            </w:tcBorders>
          </w:tcPr>
          <w:p w14:paraId="1FD726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1084" w:type="dxa"/>
            <w:tcBorders>
              <w:bottom w:val="single" w:sz="12" w:space="0" w:color="auto"/>
            </w:tcBorders>
          </w:tcPr>
          <w:p w14:paraId="1BE8E8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w:t>
            </w:r>
          </w:p>
        </w:tc>
        <w:tc>
          <w:tcPr>
            <w:tcW w:w="1084" w:type="dxa"/>
            <w:tcBorders>
              <w:bottom w:val="single" w:sz="12" w:space="0" w:color="auto"/>
            </w:tcBorders>
          </w:tcPr>
          <w:p w14:paraId="512F41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w:t>
            </w:r>
          </w:p>
        </w:tc>
        <w:tc>
          <w:tcPr>
            <w:tcW w:w="1084" w:type="dxa"/>
            <w:tcBorders>
              <w:bottom w:val="single" w:sz="12" w:space="0" w:color="auto"/>
            </w:tcBorders>
          </w:tcPr>
          <w:p w14:paraId="1CE5D7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w:t>
            </w:r>
          </w:p>
        </w:tc>
        <w:tc>
          <w:tcPr>
            <w:tcW w:w="1084" w:type="dxa"/>
            <w:tcBorders>
              <w:bottom w:val="single" w:sz="12" w:space="0" w:color="auto"/>
            </w:tcBorders>
          </w:tcPr>
          <w:p w14:paraId="389511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tc>
        <w:tc>
          <w:tcPr>
            <w:tcW w:w="1084" w:type="dxa"/>
            <w:tcBorders>
              <w:bottom w:val="single" w:sz="12" w:space="0" w:color="auto"/>
            </w:tcBorders>
          </w:tcPr>
          <w:p w14:paraId="49CFBA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w:t>
            </w:r>
          </w:p>
        </w:tc>
      </w:tr>
    </w:tbl>
    <w:p w14:paraId="6E464D7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виду того, что каждый новый тип самолета строится в 2 1/2 экземплярах /2 для полета и 1/2 для статических испытаний/, а приспособленные самолеты в двух экземплярах, то количество экземпляров сухопутных и морских самолетов предположенных к постройке за 5 лет будет исчисляться в 145 штук, что даст в среднем в год постройку около 30 штук самолетов разных типов.</w:t>
      </w:r>
    </w:p>
    <w:p w14:paraId="1A16A0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Краткая техническая характеристика приведенных типов самоле</w:t>
      </w:r>
      <w:r w:rsidRPr="00A259BD">
        <w:rPr>
          <w:rFonts w:ascii="Times New Roman" w:hAnsi="Times New Roman"/>
          <w:color w:val="000000" w:themeColor="text1"/>
          <w:sz w:val="16"/>
          <w:szCs w:val="16"/>
        </w:rPr>
        <w:softHyphen/>
        <w:t>тов дана в приложении.</w:t>
      </w:r>
    </w:p>
    <w:p w14:paraId="7120D8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Производственные возможности для выполнения намеченного плана у нас имеются, промышленность ь основном подготовлена.</w:t>
      </w:r>
    </w:p>
    <w:p w14:paraId="143023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 только будет: шире развить вопросы применения сварки тонких стальных труб, увеличить численно состав кон</w:t>
      </w:r>
      <w:r w:rsidRPr="00A259BD">
        <w:rPr>
          <w:rFonts w:ascii="Times New Roman" w:hAnsi="Times New Roman"/>
          <w:color w:val="000000" w:themeColor="text1"/>
          <w:sz w:val="16"/>
          <w:szCs w:val="16"/>
        </w:rPr>
        <w:softHyphen/>
        <w:t xml:space="preserve">структорских бюро и опытных отделов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и ЦАГИ, кото</w:t>
      </w:r>
      <w:r w:rsidRPr="00A259BD">
        <w:rPr>
          <w:rFonts w:ascii="Times New Roman" w:hAnsi="Times New Roman"/>
          <w:color w:val="000000" w:themeColor="text1"/>
          <w:sz w:val="16"/>
          <w:szCs w:val="16"/>
        </w:rPr>
        <w:softHyphen/>
        <w:t xml:space="preserve">рые явятся глав </w:t>
      </w:r>
      <w:proofErr w:type="spellStart"/>
      <w:r w:rsidRPr="00A259BD">
        <w:rPr>
          <w:rFonts w:ascii="Times New Roman" w:hAnsi="Times New Roman"/>
          <w:color w:val="000000" w:themeColor="text1"/>
          <w:sz w:val="16"/>
          <w:szCs w:val="16"/>
        </w:rPr>
        <w:t>ными</w:t>
      </w:r>
      <w:proofErr w:type="spellEnd"/>
      <w:r w:rsidRPr="00A259BD">
        <w:rPr>
          <w:rFonts w:ascii="Times New Roman" w:hAnsi="Times New Roman"/>
          <w:color w:val="000000" w:themeColor="text1"/>
          <w:sz w:val="16"/>
          <w:szCs w:val="16"/>
        </w:rPr>
        <w:t xml:space="preserve"> исполнителями плана, затем дооборудовать ЦАГИ и пустить в работу гидроканал ЦАГИ.</w:t>
      </w:r>
    </w:p>
    <w:p w14:paraId="15D249F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Средства, потребные для выполнения 5-ти летнего плана по са</w:t>
      </w:r>
      <w:r w:rsidRPr="00A259BD">
        <w:rPr>
          <w:rFonts w:ascii="Times New Roman" w:hAnsi="Times New Roman"/>
          <w:color w:val="000000" w:themeColor="text1"/>
          <w:sz w:val="16"/>
          <w:szCs w:val="16"/>
        </w:rPr>
        <w:softHyphen/>
        <w:t>молетостроению исчислены в сумме 10.496.000 рублей.</w:t>
      </w:r>
    </w:p>
    <w:p w14:paraId="3F6CA16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эту сумму входят и работы экспериментально-исследователь</w:t>
      </w:r>
      <w:r w:rsidRPr="00A259BD">
        <w:rPr>
          <w:rFonts w:ascii="Times New Roman" w:hAnsi="Times New Roman"/>
          <w:color w:val="000000" w:themeColor="text1"/>
          <w:sz w:val="16"/>
          <w:szCs w:val="16"/>
        </w:rPr>
        <w:softHyphen/>
        <w:t xml:space="preserve">ского порядка /например, постройка геликоптера, применение </w:t>
      </w:r>
      <w:proofErr w:type="spellStart"/>
      <w:r w:rsidRPr="00A259BD">
        <w:rPr>
          <w:rFonts w:ascii="Times New Roman" w:hAnsi="Times New Roman"/>
          <w:color w:val="000000" w:themeColor="text1"/>
          <w:sz w:val="16"/>
          <w:szCs w:val="16"/>
        </w:rPr>
        <w:t>разревных</w:t>
      </w:r>
      <w:proofErr w:type="spellEnd"/>
      <w:r w:rsidRPr="00A259BD">
        <w:rPr>
          <w:rFonts w:ascii="Times New Roman" w:hAnsi="Times New Roman"/>
          <w:color w:val="000000" w:themeColor="text1"/>
          <w:sz w:val="16"/>
          <w:szCs w:val="16"/>
        </w:rPr>
        <w:t xml:space="preserve"> крыльев, работы по штопору, устойчивости, по нор</w:t>
      </w:r>
      <w:r w:rsidRPr="00A259BD">
        <w:rPr>
          <w:rFonts w:ascii="Times New Roman" w:hAnsi="Times New Roman"/>
          <w:color w:val="000000" w:themeColor="text1"/>
          <w:sz w:val="16"/>
          <w:szCs w:val="16"/>
        </w:rPr>
        <w:softHyphen/>
        <w:t>мам прочности и проч./.</w:t>
      </w:r>
    </w:p>
    <w:p w14:paraId="457A00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Моторо</w:t>
      </w:r>
      <w:proofErr w:type="spellEnd"/>
      <w:r w:rsidRPr="00A259BD">
        <w:rPr>
          <w:rFonts w:ascii="Times New Roman" w:hAnsi="Times New Roman"/>
          <w:color w:val="000000" w:themeColor="text1"/>
          <w:sz w:val="16"/>
          <w:szCs w:val="16"/>
        </w:rPr>
        <w:t xml:space="preserve"> строение.</w:t>
      </w:r>
    </w:p>
    <w:p w14:paraId="7466C5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Эта важнейшая отрасль авиационной промышленности является у нас до сих пор наиболее отстающей от потребностей и требует к себе </w:t>
      </w:r>
      <w:proofErr w:type="spellStart"/>
      <w:r w:rsidRPr="00A259BD">
        <w:rPr>
          <w:rFonts w:ascii="Times New Roman" w:hAnsi="Times New Roman"/>
          <w:color w:val="000000" w:themeColor="text1"/>
          <w:sz w:val="16"/>
          <w:szCs w:val="16"/>
        </w:rPr>
        <w:t>исключителъного.внимания</w:t>
      </w:r>
      <w:proofErr w:type="spellEnd"/>
      <w:r w:rsidRPr="00A259BD">
        <w:rPr>
          <w:rFonts w:ascii="Times New Roman" w:hAnsi="Times New Roman"/>
          <w:color w:val="000000" w:themeColor="text1"/>
          <w:sz w:val="16"/>
          <w:szCs w:val="16"/>
        </w:rPr>
        <w:t>, так как прогресс развития самолетостроения находится в прямой и непосредственной зави</w:t>
      </w:r>
      <w:r w:rsidRPr="00A259BD">
        <w:rPr>
          <w:rFonts w:ascii="Times New Roman" w:hAnsi="Times New Roman"/>
          <w:color w:val="000000" w:themeColor="text1"/>
          <w:sz w:val="16"/>
          <w:szCs w:val="16"/>
        </w:rPr>
        <w:softHyphen/>
        <w:t>симости от состояния моторостроения.</w:t>
      </w:r>
    </w:p>
    <w:p w14:paraId="25BE12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Наша </w:t>
      </w:r>
      <w:proofErr w:type="spellStart"/>
      <w:r w:rsidRPr="00A259BD">
        <w:rPr>
          <w:rFonts w:ascii="Times New Roman" w:hAnsi="Times New Roman"/>
          <w:color w:val="000000" w:themeColor="text1"/>
          <w:sz w:val="16"/>
          <w:szCs w:val="16"/>
        </w:rPr>
        <w:t>отсталось</w:t>
      </w:r>
      <w:proofErr w:type="spellEnd"/>
      <w:r w:rsidRPr="00A259BD">
        <w:rPr>
          <w:rFonts w:ascii="Times New Roman" w:hAnsi="Times New Roman"/>
          <w:color w:val="000000" w:themeColor="text1"/>
          <w:sz w:val="16"/>
          <w:szCs w:val="16"/>
        </w:rPr>
        <w:t xml:space="preserve"> по моторостроению от запада может быть исчис</w:t>
      </w:r>
      <w:r w:rsidRPr="00A259BD">
        <w:rPr>
          <w:rFonts w:ascii="Times New Roman" w:hAnsi="Times New Roman"/>
          <w:color w:val="000000" w:themeColor="text1"/>
          <w:sz w:val="16"/>
          <w:szCs w:val="16"/>
        </w:rPr>
        <w:softHyphen/>
        <w:t>лена примерно на 4 года и нужны энергичные мероприятия для подъема моторостроения на высоту заграничной, намеченные к постройке моторы к концу пятилетнего плана по качеству будут только подходить к заграничным, но не превосходить их.</w:t>
      </w:r>
    </w:p>
    <w:p w14:paraId="07DB5C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Весь план опытного моторостроения разбивается на три основные группы:</w:t>
      </w:r>
    </w:p>
    <w:p w14:paraId="057A948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 Боевые моторы для серийного производства.</w:t>
      </w:r>
    </w:p>
    <w:p w14:paraId="4AA173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Экспериментальные моторы, строящиеся для поверки новых прин</w:t>
      </w:r>
      <w:r w:rsidRPr="00A259BD">
        <w:rPr>
          <w:rFonts w:ascii="Times New Roman" w:hAnsi="Times New Roman"/>
          <w:color w:val="000000" w:themeColor="text1"/>
          <w:sz w:val="16"/>
          <w:szCs w:val="16"/>
        </w:rPr>
        <w:softHyphen/>
        <w:t xml:space="preserve">ципов. </w:t>
      </w:r>
    </w:p>
    <w:p w14:paraId="2EEB5C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Моторы для гражданской, учебной и спортивной-авиации.</w:t>
      </w:r>
    </w:p>
    <w:p w14:paraId="1637E9F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первой группе опытных моторов, </w:t>
      </w:r>
      <w:proofErr w:type="spellStart"/>
      <w:r w:rsidRPr="00A259BD">
        <w:rPr>
          <w:rFonts w:ascii="Times New Roman" w:hAnsi="Times New Roman"/>
          <w:color w:val="000000" w:themeColor="text1"/>
          <w:sz w:val="16"/>
          <w:szCs w:val="16"/>
        </w:rPr>
        <w:t>поедназначенных</w:t>
      </w:r>
      <w:proofErr w:type="spellEnd"/>
      <w:r w:rsidRPr="00A259BD">
        <w:rPr>
          <w:rFonts w:ascii="Times New Roman" w:hAnsi="Times New Roman"/>
          <w:color w:val="000000" w:themeColor="text1"/>
          <w:sz w:val="16"/>
          <w:szCs w:val="16"/>
        </w:rPr>
        <w:t xml:space="preserve"> для боевой авиации предположено построить следующее количество типов моторов:</w:t>
      </w:r>
    </w:p>
    <w:p w14:paraId="7A188B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Для истребительных - 4 типа моторов водяного охлаждения и 5 типов воздушного.</w:t>
      </w:r>
    </w:p>
    <w:p w14:paraId="1AB5C3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моторам этой группы не ставится больших требований в отношении </w:t>
      </w:r>
      <w:proofErr w:type="spellStart"/>
      <w:r w:rsidRPr="00A259BD">
        <w:rPr>
          <w:rFonts w:ascii="Times New Roman" w:hAnsi="Times New Roman"/>
          <w:color w:val="000000" w:themeColor="text1"/>
          <w:sz w:val="16"/>
          <w:szCs w:val="16"/>
        </w:rPr>
        <w:t>экономичаоет</w:t>
      </w:r>
      <w:proofErr w:type="spellEnd"/>
      <w:r w:rsidRPr="00A259BD">
        <w:rPr>
          <w:rFonts w:ascii="Times New Roman" w:hAnsi="Times New Roman"/>
          <w:color w:val="000000" w:themeColor="text1"/>
          <w:sz w:val="16"/>
          <w:szCs w:val="16"/>
        </w:rPr>
        <w:t>! и длительности работы, но они должны обладать высо</w:t>
      </w:r>
      <w:r w:rsidRPr="00A259BD">
        <w:rPr>
          <w:rFonts w:ascii="Times New Roman" w:hAnsi="Times New Roman"/>
          <w:color w:val="000000" w:themeColor="text1"/>
          <w:sz w:val="16"/>
          <w:szCs w:val="16"/>
        </w:rPr>
        <w:softHyphen/>
        <w:t>кой мощностью, должны сохранять эту мощность до большой высоты и обладать возможно малым габаритом и весом.</w:t>
      </w:r>
    </w:p>
    <w:p w14:paraId="4A07B6A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Для разведывательных самолетов: 2 типа моторов водяного охлаж</w:t>
      </w:r>
      <w:r w:rsidRPr="00A259BD">
        <w:rPr>
          <w:rFonts w:ascii="Times New Roman" w:hAnsi="Times New Roman"/>
          <w:color w:val="000000" w:themeColor="text1"/>
          <w:sz w:val="16"/>
          <w:szCs w:val="16"/>
        </w:rPr>
        <w:softHyphen/>
        <w:t>дения и 2 типа моторов воздушного охлаждения.</w:t>
      </w:r>
    </w:p>
    <w:p w14:paraId="24F675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Эти моторы должны обладать большей экономичностью и большей, дли</w:t>
      </w:r>
      <w:r w:rsidRPr="00A259BD">
        <w:rPr>
          <w:rFonts w:ascii="Times New Roman" w:hAnsi="Times New Roman"/>
          <w:color w:val="000000" w:themeColor="text1"/>
          <w:sz w:val="16"/>
          <w:szCs w:val="16"/>
        </w:rPr>
        <w:softHyphen/>
        <w:t>тельностью срока службы, чем моторы первой группы. Моторы воздушно</w:t>
      </w:r>
      <w:r w:rsidRPr="00A259BD">
        <w:rPr>
          <w:rFonts w:ascii="Times New Roman" w:hAnsi="Times New Roman"/>
          <w:color w:val="000000" w:themeColor="text1"/>
          <w:sz w:val="16"/>
          <w:szCs w:val="16"/>
        </w:rPr>
        <w:softHyphen/>
        <w:t>го охлаждения этой группы могут быть применены и на бомбардировщи</w:t>
      </w:r>
      <w:r w:rsidRPr="00A259BD">
        <w:rPr>
          <w:rFonts w:ascii="Times New Roman" w:hAnsi="Times New Roman"/>
          <w:color w:val="000000" w:themeColor="text1"/>
          <w:sz w:val="16"/>
          <w:szCs w:val="16"/>
        </w:rPr>
        <w:softHyphen/>
        <w:t>ках.</w:t>
      </w:r>
    </w:p>
    <w:p w14:paraId="1E165EA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Для бомбардировщиков и тяжелых </w:t>
      </w:r>
      <w:proofErr w:type="spellStart"/>
      <w:r w:rsidRPr="00A259BD">
        <w:rPr>
          <w:rFonts w:ascii="Times New Roman" w:hAnsi="Times New Roman"/>
          <w:color w:val="000000" w:themeColor="text1"/>
          <w:sz w:val="16"/>
          <w:szCs w:val="16"/>
        </w:rPr>
        <w:t>самолагов</w:t>
      </w:r>
      <w:proofErr w:type="spellEnd"/>
      <w:r w:rsidRPr="00A259BD">
        <w:rPr>
          <w:rFonts w:ascii="Times New Roman" w:hAnsi="Times New Roman"/>
          <w:color w:val="000000" w:themeColor="text1"/>
          <w:sz w:val="16"/>
          <w:szCs w:val="16"/>
        </w:rPr>
        <w:t xml:space="preserve"> предположено построить 3 типа моторов водяного охлаждения, для которых главным требованием является наличие возможно большей мощности в одном аггрегате.</w:t>
      </w:r>
    </w:p>
    <w:p w14:paraId="5B3A4C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по этой группе будет построено 9 типов моторов водяного ох</w:t>
      </w:r>
      <w:r w:rsidRPr="00A259BD">
        <w:rPr>
          <w:rFonts w:ascii="Times New Roman" w:hAnsi="Times New Roman"/>
          <w:color w:val="000000" w:themeColor="text1"/>
          <w:sz w:val="16"/>
          <w:szCs w:val="16"/>
        </w:rPr>
        <w:softHyphen/>
        <w:t>лаждения и 7 типов воздушного, ввиду того, что каждый мотор будет строиться в 2-х экземплярах, все количество экземпляров будет равно 32 штук.</w:t>
      </w:r>
    </w:p>
    <w:p w14:paraId="668CA27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Моторы боевой группы строятся водяного и воздушного охлаждения по</w:t>
      </w:r>
      <w:r w:rsidRPr="00A259BD">
        <w:rPr>
          <w:rFonts w:ascii="Times New Roman" w:hAnsi="Times New Roman"/>
          <w:color w:val="000000" w:themeColor="text1"/>
          <w:sz w:val="16"/>
          <w:szCs w:val="16"/>
        </w:rPr>
        <w:softHyphen/>
        <w:t xml:space="preserve">тому, что современная техника не дает возможности остановиться на каком либо одном виде охлаждения, так как каждый вид охлаждения дает свои преимущества, то </w:t>
      </w:r>
      <w:r w:rsidRPr="00A259BD">
        <w:rPr>
          <w:rFonts w:ascii="Times New Roman" w:hAnsi="Times New Roman"/>
          <w:smallCaps/>
          <w:color w:val="000000" w:themeColor="text1"/>
          <w:sz w:val="16"/>
          <w:szCs w:val="16"/>
        </w:rPr>
        <w:t xml:space="preserve">б </w:t>
      </w:r>
      <w:r w:rsidRPr="00A259BD">
        <w:rPr>
          <w:rFonts w:ascii="Times New Roman" w:hAnsi="Times New Roman"/>
          <w:color w:val="000000" w:themeColor="text1"/>
          <w:sz w:val="16"/>
          <w:szCs w:val="16"/>
        </w:rPr>
        <w:t xml:space="preserve">плане поставлены </w:t>
      </w:r>
      <w:proofErr w:type="spellStart"/>
      <w:r w:rsidRPr="00A259BD">
        <w:rPr>
          <w:rFonts w:ascii="Times New Roman" w:hAnsi="Times New Roman"/>
          <w:color w:val="000000" w:themeColor="text1"/>
          <w:sz w:val="16"/>
          <w:szCs w:val="16"/>
        </w:rPr>
        <w:t>миторы</w:t>
      </w:r>
      <w:proofErr w:type="spellEnd"/>
      <w:r w:rsidRPr="00A259BD">
        <w:rPr>
          <w:rFonts w:ascii="Times New Roman" w:hAnsi="Times New Roman"/>
          <w:color w:val="000000" w:themeColor="text1"/>
          <w:sz w:val="16"/>
          <w:szCs w:val="16"/>
        </w:rPr>
        <w:t xml:space="preserve"> с обоими ви</w:t>
      </w:r>
      <w:r w:rsidRPr="00A259BD">
        <w:rPr>
          <w:rFonts w:ascii="Times New Roman" w:hAnsi="Times New Roman"/>
          <w:color w:val="000000" w:themeColor="text1"/>
          <w:sz w:val="16"/>
          <w:szCs w:val="16"/>
        </w:rPr>
        <w:softHyphen/>
        <w:t>дами охлаждения.</w:t>
      </w:r>
    </w:p>
    <w:p w14:paraId="3C42BB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Топливо, на </w:t>
      </w:r>
      <w:proofErr w:type="spellStart"/>
      <w:r w:rsidRPr="00A259BD">
        <w:rPr>
          <w:rFonts w:ascii="Times New Roman" w:hAnsi="Times New Roman"/>
          <w:color w:val="000000" w:themeColor="text1"/>
          <w:sz w:val="16"/>
          <w:szCs w:val="16"/>
        </w:rPr>
        <w:t>котром</w:t>
      </w:r>
      <w:proofErr w:type="spellEnd"/>
      <w:r w:rsidRPr="00A259BD">
        <w:rPr>
          <w:rFonts w:ascii="Times New Roman" w:hAnsi="Times New Roman"/>
          <w:color w:val="000000" w:themeColor="text1"/>
          <w:sz w:val="16"/>
          <w:szCs w:val="16"/>
        </w:rPr>
        <w:t xml:space="preserve"> должны работать моторы боевой группы, предназначенные для серийного производства, будет: </w:t>
      </w:r>
      <w:proofErr w:type="spellStart"/>
      <w:r w:rsidRPr="00A259BD">
        <w:rPr>
          <w:rFonts w:ascii="Times New Roman" w:hAnsi="Times New Roman"/>
          <w:color w:val="000000" w:themeColor="text1"/>
          <w:sz w:val="16"/>
          <w:szCs w:val="16"/>
        </w:rPr>
        <w:t>бензино</w:t>
      </w:r>
      <w:proofErr w:type="spellEnd"/>
      <w:r w:rsidRPr="00A259BD">
        <w:rPr>
          <w:rFonts w:ascii="Times New Roman" w:hAnsi="Times New Roman"/>
          <w:color w:val="000000" w:themeColor="text1"/>
          <w:sz w:val="16"/>
          <w:szCs w:val="16"/>
        </w:rPr>
        <w:t xml:space="preserve">-бензольная, </w:t>
      </w:r>
      <w:proofErr w:type="spellStart"/>
      <w:r w:rsidRPr="00A259BD">
        <w:rPr>
          <w:rFonts w:ascii="Times New Roman" w:hAnsi="Times New Roman"/>
          <w:color w:val="000000" w:themeColor="text1"/>
          <w:sz w:val="16"/>
          <w:szCs w:val="16"/>
        </w:rPr>
        <w:t>бензино</w:t>
      </w:r>
      <w:proofErr w:type="spellEnd"/>
      <w:r w:rsidRPr="00A259BD">
        <w:rPr>
          <w:rFonts w:ascii="Times New Roman" w:hAnsi="Times New Roman"/>
          <w:color w:val="000000" w:themeColor="text1"/>
          <w:sz w:val="16"/>
          <w:szCs w:val="16"/>
        </w:rPr>
        <w:t>-толуоловая смесь или же бензин с примесью антидетонаторов.</w:t>
      </w:r>
    </w:p>
    <w:p w14:paraId="671298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Выпуск моторов этой группы по годам распределится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8208"/>
      </w:tblGrid>
      <w:tr w:rsidR="00A259BD" w:rsidRPr="00A259BD" w14:paraId="4FC81ABD" w14:textId="77777777">
        <w:tc>
          <w:tcPr>
            <w:tcW w:w="1368" w:type="dxa"/>
            <w:tcBorders>
              <w:top w:val="single" w:sz="12" w:space="0" w:color="auto"/>
            </w:tcBorders>
            <w:shd w:val="clear" w:color="auto" w:fill="FFFFFF"/>
          </w:tcPr>
          <w:p w14:paraId="4F8129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 29 г.</w:t>
            </w:r>
          </w:p>
        </w:tc>
        <w:tc>
          <w:tcPr>
            <w:tcW w:w="8208" w:type="dxa"/>
            <w:tcBorders>
              <w:top w:val="single" w:sz="12" w:space="0" w:color="auto"/>
            </w:tcBorders>
            <w:shd w:val="clear" w:color="auto" w:fill="FFFFFF"/>
          </w:tcPr>
          <w:p w14:paraId="291CC5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- 0</w:t>
            </w:r>
          </w:p>
        </w:tc>
      </w:tr>
      <w:tr w:rsidR="00A259BD" w:rsidRPr="00A259BD" w14:paraId="30BF50C3" w14:textId="77777777">
        <w:tc>
          <w:tcPr>
            <w:tcW w:w="1368" w:type="dxa"/>
            <w:shd w:val="clear" w:color="auto" w:fill="FFFFFF"/>
          </w:tcPr>
          <w:p w14:paraId="4AB6B3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w:t>
            </w:r>
          </w:p>
        </w:tc>
        <w:tc>
          <w:tcPr>
            <w:tcW w:w="8208" w:type="dxa"/>
            <w:shd w:val="clear" w:color="auto" w:fill="FFFFFF"/>
          </w:tcPr>
          <w:p w14:paraId="5E1041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- 1 тип мотора водяного охлаждения мощностью в 550/600 л.с.</w:t>
            </w:r>
          </w:p>
        </w:tc>
      </w:tr>
      <w:tr w:rsidR="00A259BD" w:rsidRPr="00A259BD" w14:paraId="0FABDF50" w14:textId="77777777">
        <w:tc>
          <w:tcPr>
            <w:tcW w:w="1368" w:type="dxa"/>
            <w:shd w:val="clear" w:color="auto" w:fill="FFFFFF"/>
          </w:tcPr>
          <w:p w14:paraId="368A0C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 г.</w:t>
            </w:r>
          </w:p>
        </w:tc>
        <w:tc>
          <w:tcPr>
            <w:tcW w:w="8208" w:type="dxa"/>
            <w:shd w:val="clear" w:color="auto" w:fill="FFFFFF"/>
          </w:tcPr>
          <w:p w14:paraId="691CC4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- 2 типа моторов </w:t>
            </w:r>
            <w:proofErr w:type="spellStart"/>
            <w:r w:rsidRPr="00A259BD">
              <w:rPr>
                <w:rFonts w:ascii="Times New Roman" w:hAnsi="Times New Roman"/>
                <w:color w:val="000000" w:themeColor="text1"/>
                <w:sz w:val="16"/>
                <w:szCs w:val="16"/>
              </w:rPr>
              <w:t>водявого</w:t>
            </w:r>
            <w:proofErr w:type="spellEnd"/>
            <w:r w:rsidRPr="00A259BD">
              <w:rPr>
                <w:rFonts w:ascii="Times New Roman" w:hAnsi="Times New Roman"/>
                <w:color w:val="000000" w:themeColor="text1"/>
                <w:sz w:val="16"/>
                <w:szCs w:val="16"/>
              </w:rPr>
              <w:t xml:space="preserve"> охлаждения мощностью в 600/720 и 700/840 л.с.</w:t>
            </w:r>
          </w:p>
        </w:tc>
      </w:tr>
      <w:tr w:rsidR="00A259BD" w:rsidRPr="00A259BD" w14:paraId="40BBCA51" w14:textId="77777777">
        <w:tc>
          <w:tcPr>
            <w:tcW w:w="1368" w:type="dxa"/>
            <w:shd w:val="clear" w:color="auto" w:fill="FFFFFF"/>
          </w:tcPr>
          <w:p w14:paraId="4FA2AD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08" w:type="dxa"/>
            <w:shd w:val="clear" w:color="auto" w:fill="FFFFFF"/>
          </w:tcPr>
          <w:p w14:paraId="2EF9D0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тип мотора воздушного охлаждения мощностью в 500/600 л.с.</w:t>
            </w:r>
          </w:p>
        </w:tc>
      </w:tr>
      <w:tr w:rsidR="00A259BD" w:rsidRPr="00A259BD" w14:paraId="37122CC3" w14:textId="77777777">
        <w:tc>
          <w:tcPr>
            <w:tcW w:w="1368" w:type="dxa"/>
            <w:shd w:val="clear" w:color="auto" w:fill="FFFFFF"/>
          </w:tcPr>
          <w:p w14:paraId="7F4D5E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1931/32 г. </w:t>
            </w:r>
          </w:p>
        </w:tc>
        <w:tc>
          <w:tcPr>
            <w:tcW w:w="8208" w:type="dxa"/>
            <w:shd w:val="clear" w:color="auto" w:fill="FFFFFF"/>
          </w:tcPr>
          <w:p w14:paraId="562727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- 4 Типа моторов водяного охлаждения мощностью 600/720 л. с., 750/900 л. с., 750/1000 л. с., 1000/1200 л. с.</w:t>
            </w:r>
          </w:p>
        </w:tc>
      </w:tr>
      <w:tr w:rsidR="00A259BD" w:rsidRPr="00A259BD" w14:paraId="64460160" w14:textId="77777777">
        <w:tc>
          <w:tcPr>
            <w:tcW w:w="1368" w:type="dxa"/>
            <w:shd w:val="clear" w:color="auto" w:fill="FFFFFF"/>
          </w:tcPr>
          <w:p w14:paraId="4F4C05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08" w:type="dxa"/>
            <w:shd w:val="clear" w:color="auto" w:fill="FFFFFF"/>
          </w:tcPr>
          <w:p w14:paraId="326EEB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типа моторов воздушного охлаждения мощностью в 650/660 л.с., 700/840 л.с., 500/750 л. с.</w:t>
            </w:r>
          </w:p>
        </w:tc>
      </w:tr>
      <w:tr w:rsidR="00A259BD" w:rsidRPr="00A259BD" w14:paraId="5F1622F9" w14:textId="77777777">
        <w:tc>
          <w:tcPr>
            <w:tcW w:w="1368" w:type="dxa"/>
            <w:shd w:val="clear" w:color="auto" w:fill="FFFFFF"/>
          </w:tcPr>
          <w:p w14:paraId="6CAFAB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w:t>
            </w:r>
          </w:p>
        </w:tc>
        <w:tc>
          <w:tcPr>
            <w:tcW w:w="8208" w:type="dxa"/>
            <w:shd w:val="clear" w:color="auto" w:fill="FFFFFF"/>
          </w:tcPr>
          <w:p w14:paraId="2A4974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- 2 типа моторов водяного охлаждения мощностью в 1250/1500 л.с. и 2000 /2200 л.с.</w:t>
            </w:r>
          </w:p>
        </w:tc>
      </w:tr>
      <w:tr w:rsidR="00A259BD" w:rsidRPr="00A259BD" w14:paraId="0FAACF9C" w14:textId="77777777">
        <w:tc>
          <w:tcPr>
            <w:tcW w:w="1368" w:type="dxa"/>
            <w:tcBorders>
              <w:bottom w:val="single" w:sz="12" w:space="0" w:color="auto"/>
            </w:tcBorders>
            <w:shd w:val="clear" w:color="auto" w:fill="FFFFFF"/>
          </w:tcPr>
          <w:p w14:paraId="6F4883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08" w:type="dxa"/>
            <w:tcBorders>
              <w:bottom w:val="single" w:sz="12" w:space="0" w:color="auto"/>
            </w:tcBorders>
            <w:shd w:val="clear" w:color="auto" w:fill="FFFFFF"/>
          </w:tcPr>
          <w:p w14:paraId="4BEE4A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типа моторов воздушного охлаждения мощностью 600/720 л. с., 750/900 л.с., 550/900 л.с.</w:t>
            </w:r>
          </w:p>
        </w:tc>
      </w:tr>
    </w:tbl>
    <w:p w14:paraId="26EB3F2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производства моторов этом группы не требуется применения каких либо неизученных в технике принципов или материалов, но потребует</w:t>
      </w:r>
      <w:r w:rsidRPr="00A259BD">
        <w:rPr>
          <w:rFonts w:ascii="Times New Roman" w:hAnsi="Times New Roman"/>
          <w:color w:val="000000" w:themeColor="text1"/>
          <w:sz w:val="16"/>
          <w:szCs w:val="16"/>
        </w:rPr>
        <w:softHyphen/>
        <w:t>ся обычное при конструировании экспериментирование.</w:t>
      </w:r>
    </w:p>
    <w:p w14:paraId="29E1BC5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Ваши производственные организации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Научые</w:t>
      </w:r>
      <w:proofErr w:type="spellEnd"/>
      <w:r w:rsidRPr="00A259BD">
        <w:rPr>
          <w:rFonts w:ascii="Times New Roman" w:hAnsi="Times New Roman"/>
          <w:color w:val="000000" w:themeColor="text1"/>
          <w:sz w:val="16"/>
          <w:szCs w:val="16"/>
        </w:rPr>
        <w:t xml:space="preserve"> Институты /НАМИ/ в настоящем виде не смогут справиться с поставленной прог</w:t>
      </w:r>
      <w:r w:rsidRPr="00A259BD">
        <w:rPr>
          <w:rFonts w:ascii="Times New Roman" w:hAnsi="Times New Roman"/>
          <w:color w:val="000000" w:themeColor="text1"/>
          <w:sz w:val="16"/>
          <w:szCs w:val="16"/>
        </w:rPr>
        <w:softHyphen/>
        <w:t xml:space="preserve">раммой потому, что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обладая производственными возможнос</w:t>
      </w:r>
      <w:r w:rsidRPr="00A259BD">
        <w:rPr>
          <w:rFonts w:ascii="Times New Roman" w:hAnsi="Times New Roman"/>
          <w:color w:val="000000" w:themeColor="text1"/>
          <w:sz w:val="16"/>
          <w:szCs w:val="16"/>
        </w:rPr>
        <w:softHyphen/>
        <w:t>тями, не имеет достаточного количественно по квалификации персона</w:t>
      </w:r>
      <w:r w:rsidRPr="00A259BD">
        <w:rPr>
          <w:rFonts w:ascii="Times New Roman" w:hAnsi="Times New Roman"/>
          <w:color w:val="000000" w:themeColor="text1"/>
          <w:sz w:val="16"/>
          <w:szCs w:val="16"/>
        </w:rPr>
        <w:softHyphen/>
        <w:t>ла, а НАМИ не имеет производственной базы.</w:t>
      </w:r>
    </w:p>
    <w:p w14:paraId="540235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выполнения намеченного по моторостроению плана требуется:</w:t>
      </w:r>
    </w:p>
    <w:p w14:paraId="73C7C9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Принять срочные меры для </w:t>
      </w:r>
      <w:proofErr w:type="spellStart"/>
      <w:r w:rsidRPr="00A259BD">
        <w:rPr>
          <w:rFonts w:ascii="Times New Roman" w:hAnsi="Times New Roman"/>
          <w:color w:val="000000" w:themeColor="text1"/>
          <w:sz w:val="16"/>
          <w:szCs w:val="16"/>
        </w:rPr>
        <w:t>оргаииьации</w:t>
      </w:r>
      <w:proofErr w:type="spellEnd"/>
      <w:r w:rsidRPr="00A259BD">
        <w:rPr>
          <w:rFonts w:ascii="Times New Roman" w:hAnsi="Times New Roman"/>
          <w:color w:val="000000" w:themeColor="text1"/>
          <w:sz w:val="16"/>
          <w:szCs w:val="16"/>
        </w:rPr>
        <w:t xml:space="preserve"> в </w:t>
      </w:r>
      <w:proofErr w:type="spellStart"/>
      <w:r w:rsidRPr="00A259BD">
        <w:rPr>
          <w:rFonts w:ascii="Times New Roman" w:hAnsi="Times New Roman"/>
          <w:color w:val="000000" w:themeColor="text1"/>
          <w:sz w:val="16"/>
          <w:szCs w:val="16"/>
        </w:rPr>
        <w:t>Авиатресте</w:t>
      </w:r>
      <w:proofErr w:type="spellEnd"/>
      <w:r w:rsidRPr="00A259BD">
        <w:rPr>
          <w:rFonts w:ascii="Times New Roman" w:hAnsi="Times New Roman"/>
          <w:color w:val="000000" w:themeColor="text1"/>
          <w:sz w:val="16"/>
          <w:szCs w:val="16"/>
        </w:rPr>
        <w:t xml:space="preserve"> опытного отдела по моторостроению и ускорения достройки и оборудования НАМИ.</w:t>
      </w:r>
    </w:p>
    <w:p w14:paraId="528FAA3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Необходимо дооборудовать металлургические заводы для производ</w:t>
      </w:r>
      <w:r w:rsidRPr="00A259BD">
        <w:rPr>
          <w:rFonts w:ascii="Times New Roman" w:hAnsi="Times New Roman"/>
          <w:color w:val="000000" w:themeColor="text1"/>
          <w:sz w:val="16"/>
          <w:szCs w:val="16"/>
        </w:rPr>
        <w:softHyphen/>
        <w:t>ства: новых сортов стали, дур алюминиевых поковок и штамповок, уста</w:t>
      </w:r>
      <w:r w:rsidRPr="00A259BD">
        <w:rPr>
          <w:rFonts w:ascii="Times New Roman" w:hAnsi="Times New Roman"/>
          <w:color w:val="000000" w:themeColor="text1"/>
          <w:sz w:val="16"/>
          <w:szCs w:val="16"/>
        </w:rPr>
        <w:softHyphen/>
        <w:t>новки своего электронного литья.</w:t>
      </w:r>
    </w:p>
    <w:p w14:paraId="6C82C4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Моторы второй экспериментальной </w:t>
      </w:r>
      <w:proofErr w:type="spellStart"/>
      <w:r w:rsidRPr="00A259BD">
        <w:rPr>
          <w:rFonts w:ascii="Times New Roman" w:hAnsi="Times New Roman"/>
          <w:color w:val="000000" w:themeColor="text1"/>
          <w:sz w:val="16"/>
          <w:szCs w:val="16"/>
        </w:rPr>
        <w:t>груиШ</w:t>
      </w:r>
      <w:proofErr w:type="spellEnd"/>
      <w:r w:rsidRPr="00A259BD">
        <w:rPr>
          <w:rFonts w:ascii="Times New Roman" w:hAnsi="Times New Roman"/>
          <w:color w:val="000000" w:themeColor="text1"/>
          <w:sz w:val="16"/>
          <w:szCs w:val="16"/>
        </w:rPr>
        <w:t xml:space="preserve"> предположено построить в количестве 10 </w:t>
      </w:r>
      <w:proofErr w:type="spellStart"/>
      <w:r w:rsidRPr="00A259BD">
        <w:rPr>
          <w:rFonts w:ascii="Times New Roman" w:hAnsi="Times New Roman"/>
          <w:color w:val="000000" w:themeColor="text1"/>
          <w:sz w:val="16"/>
          <w:szCs w:val="16"/>
        </w:rPr>
        <w:t>яипов</w:t>
      </w:r>
      <w:proofErr w:type="spellEnd"/>
      <w:r w:rsidRPr="00A259BD">
        <w:rPr>
          <w:rFonts w:ascii="Times New Roman" w:hAnsi="Times New Roman"/>
          <w:color w:val="000000" w:themeColor="text1"/>
          <w:sz w:val="16"/>
          <w:szCs w:val="16"/>
        </w:rPr>
        <w:t>, из них:</w:t>
      </w:r>
    </w:p>
    <w:p w14:paraId="6FAD8A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типов моторов для проверки новых принципов работ и конструкций • 3 типов авиационных моторов, работающих на нефти.</w:t>
      </w:r>
    </w:p>
    <w:p w14:paraId="6FA476E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этой группы моторов часть будет строиться в 2-х экземплярах, а другие в одном и всего типов моторов будет построено в количестве 14 экземпляров.</w:t>
      </w:r>
    </w:p>
    <w:p w14:paraId="137246C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осуществления этой группы моторов потребуется провести ряд специальных исследовательских работ, на. основании коих можно будет вести проектирование двигателя. Результат работ может быть и отрицателен я сами работы могут затянуться на </w:t>
      </w:r>
      <w:proofErr w:type="spellStart"/>
      <w:r w:rsidRPr="00A259BD">
        <w:rPr>
          <w:rFonts w:ascii="Times New Roman" w:hAnsi="Times New Roman"/>
          <w:color w:val="000000" w:themeColor="text1"/>
          <w:sz w:val="16"/>
          <w:szCs w:val="16"/>
        </w:rPr>
        <w:t>неопредзлзнноэ</w:t>
      </w:r>
      <w:proofErr w:type="spellEnd"/>
      <w:r w:rsidRPr="00A259BD">
        <w:rPr>
          <w:rFonts w:ascii="Times New Roman" w:hAnsi="Times New Roman"/>
          <w:color w:val="000000" w:themeColor="text1"/>
          <w:sz w:val="16"/>
          <w:szCs w:val="16"/>
        </w:rPr>
        <w:t>' время, поэтому эта группа моторов не может быть положена в основу для серийного произ</w:t>
      </w:r>
      <w:r w:rsidRPr="00A259BD">
        <w:rPr>
          <w:rFonts w:ascii="Times New Roman" w:hAnsi="Times New Roman"/>
          <w:color w:val="000000" w:themeColor="text1"/>
          <w:sz w:val="16"/>
          <w:szCs w:val="16"/>
        </w:rPr>
        <w:softHyphen/>
        <w:t>водства.</w:t>
      </w:r>
    </w:p>
    <w:p w14:paraId="2211DF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Осуществление работ этой группы должно быть поручено главным обра</w:t>
      </w:r>
      <w:r w:rsidRPr="00A259BD">
        <w:rPr>
          <w:rFonts w:ascii="Times New Roman" w:hAnsi="Times New Roman"/>
          <w:color w:val="000000" w:themeColor="text1"/>
          <w:sz w:val="16"/>
          <w:szCs w:val="16"/>
        </w:rPr>
        <w:softHyphen/>
        <w:t>зом НАМ, каковой и может с ними справиться при условии скорейшего окончания своего оборудования и постройки.</w:t>
      </w:r>
    </w:p>
    <w:p w14:paraId="22A841E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годам эта группа распределяется таким образом:</w:t>
      </w:r>
    </w:p>
    <w:p w14:paraId="2BF639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1928/28 г. - 0</w:t>
      </w:r>
    </w:p>
    <w:p w14:paraId="20116E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1929/30 г. - 2</w:t>
      </w:r>
    </w:p>
    <w:p w14:paraId="57C863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1930/31 г. - 2</w:t>
      </w:r>
    </w:p>
    <w:p w14:paraId="3DA52C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1931/32 г. - 2</w:t>
      </w:r>
    </w:p>
    <w:p w14:paraId="049DBB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ы 1933/33 г. - 4</w:t>
      </w:r>
    </w:p>
    <w:p w14:paraId="323C88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Третья группа моторов, предназначаемых </w:t>
      </w:r>
      <w:proofErr w:type="spellStart"/>
      <w:r w:rsidRPr="00A259BD">
        <w:rPr>
          <w:rFonts w:ascii="Times New Roman" w:hAnsi="Times New Roman"/>
          <w:color w:val="000000" w:themeColor="text1"/>
          <w:sz w:val="16"/>
          <w:szCs w:val="16"/>
        </w:rPr>
        <w:t>длл</w:t>
      </w:r>
      <w:proofErr w:type="spellEnd"/>
      <w:r w:rsidRPr="00A259BD">
        <w:rPr>
          <w:rFonts w:ascii="Times New Roman" w:hAnsi="Times New Roman"/>
          <w:color w:val="000000" w:themeColor="text1"/>
          <w:sz w:val="16"/>
          <w:szCs w:val="16"/>
        </w:rPr>
        <w:t xml:space="preserve"> удовлетворения нужд гражданской авиации, учебных и спортивных самолетов состоим из 6 типов моторов воздушного охлаждения.</w:t>
      </w:r>
    </w:p>
    <w:p w14:paraId="57588B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Водяного охлаждения моторов этой группы не предположено строить, так как поставленные требования моторам данного назначения вполне удовлетворяются моторами </w:t>
      </w:r>
      <w:proofErr w:type="spellStart"/>
      <w:r w:rsidRPr="00A259BD">
        <w:rPr>
          <w:rFonts w:ascii="Times New Roman" w:hAnsi="Times New Roman"/>
          <w:color w:val="000000" w:themeColor="text1"/>
          <w:sz w:val="16"/>
          <w:szCs w:val="16"/>
        </w:rPr>
        <w:t>воядушного</w:t>
      </w:r>
      <w:proofErr w:type="spellEnd"/>
      <w:r w:rsidRPr="00A259BD">
        <w:rPr>
          <w:rFonts w:ascii="Times New Roman" w:hAnsi="Times New Roman"/>
          <w:color w:val="000000" w:themeColor="text1"/>
          <w:sz w:val="16"/>
          <w:szCs w:val="16"/>
        </w:rPr>
        <w:t xml:space="preserve"> охлаждения.</w:t>
      </w:r>
    </w:p>
    <w:p w14:paraId="7ADDE0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годам постройка распределяется следующим образом:</w:t>
      </w:r>
    </w:p>
    <w:p w14:paraId="2D004F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1928/29 г. - 0</w:t>
      </w:r>
    </w:p>
    <w:p w14:paraId="0007B2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1929/30 г. - 2</w:t>
      </w:r>
    </w:p>
    <w:p w14:paraId="4251424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1930/31 г. - 3</w:t>
      </w:r>
    </w:p>
    <w:p w14:paraId="426901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1931/33 г. - 1</w:t>
      </w:r>
    </w:p>
    <w:p w14:paraId="5176F2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1932/33 г. - 0</w:t>
      </w:r>
    </w:p>
    <w:p w14:paraId="5B48FB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Каждьй</w:t>
      </w:r>
      <w:proofErr w:type="spellEnd"/>
      <w:r w:rsidRPr="00A259BD">
        <w:rPr>
          <w:rFonts w:ascii="Times New Roman" w:hAnsi="Times New Roman"/>
          <w:color w:val="000000" w:themeColor="text1"/>
          <w:sz w:val="16"/>
          <w:szCs w:val="16"/>
        </w:rPr>
        <w:t xml:space="preserve"> тип мотора будет строится в 2-х </w:t>
      </w:r>
      <w:proofErr w:type="spellStart"/>
      <w:r w:rsidRPr="00A259BD">
        <w:rPr>
          <w:rFonts w:ascii="Times New Roman" w:hAnsi="Times New Roman"/>
          <w:color w:val="000000" w:themeColor="text1"/>
          <w:sz w:val="16"/>
          <w:szCs w:val="16"/>
        </w:rPr>
        <w:t>екземплярах</w:t>
      </w:r>
      <w:proofErr w:type="spellEnd"/>
      <w:r w:rsidRPr="00A259BD">
        <w:rPr>
          <w:rFonts w:ascii="Times New Roman" w:hAnsi="Times New Roman"/>
          <w:color w:val="000000" w:themeColor="text1"/>
          <w:sz w:val="16"/>
          <w:szCs w:val="16"/>
        </w:rPr>
        <w:t>, а всего будет построено 12 экземпляров моторов.</w:t>
      </w:r>
    </w:p>
    <w:p w14:paraId="19F51F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Исполнить данную программу может и Авиационный трест и НАМИ при условии принятия мер, указанных для выполнения моторов боевой группы, постройка может произведена на обычных материалах, применяющихся в союзном моторостроении.</w:t>
      </w:r>
    </w:p>
    <w:p w14:paraId="6BD081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Таким образом по всему разделу моторостроения предположено построить 32 типа моторов в количестве 58 штук.</w:t>
      </w:r>
    </w:p>
    <w:p w14:paraId="38FCBA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работ по созданию самих моторов планом предусмотрены так же работы и по оборудованию моторов, как-то:</w:t>
      </w:r>
    </w:p>
    <w:p w14:paraId="529004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Винты металлические с переменным шагом.</w:t>
      </w:r>
    </w:p>
    <w:p w14:paraId="7A172E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Самопуски и арматура моторов.</w:t>
      </w:r>
    </w:p>
    <w:p w14:paraId="664CE4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Приборы зажигания /магнето и свечи/.</w:t>
      </w:r>
    </w:p>
    <w:p w14:paraId="2EE72A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производства </w:t>
      </w:r>
      <w:proofErr w:type="spellStart"/>
      <w:r w:rsidRPr="00A259BD">
        <w:rPr>
          <w:rFonts w:ascii="Times New Roman" w:hAnsi="Times New Roman"/>
          <w:color w:val="000000" w:themeColor="text1"/>
          <w:sz w:val="16"/>
          <w:szCs w:val="16"/>
        </w:rPr>
        <w:t>всзх</w:t>
      </w:r>
      <w:proofErr w:type="spellEnd"/>
      <w:r w:rsidRPr="00A259BD">
        <w:rPr>
          <w:rFonts w:ascii="Times New Roman" w:hAnsi="Times New Roman"/>
          <w:color w:val="000000" w:themeColor="text1"/>
          <w:sz w:val="16"/>
          <w:szCs w:val="16"/>
        </w:rPr>
        <w:t xml:space="preserve"> этих приборов у нас материальная база имеется, необходимо лишь создать организацию для их выполне</w:t>
      </w:r>
      <w:r w:rsidRPr="00A259BD">
        <w:rPr>
          <w:rFonts w:ascii="Times New Roman" w:hAnsi="Times New Roman"/>
          <w:color w:val="000000" w:themeColor="text1"/>
          <w:sz w:val="16"/>
          <w:szCs w:val="16"/>
        </w:rPr>
        <w:softHyphen/>
        <w:t xml:space="preserve">ния. </w:t>
      </w:r>
      <w:proofErr w:type="spellStart"/>
      <w:r w:rsidRPr="00A259BD">
        <w:rPr>
          <w:rFonts w:ascii="Times New Roman" w:hAnsi="Times New Roman"/>
          <w:color w:val="000000" w:themeColor="text1"/>
          <w:sz w:val="16"/>
          <w:szCs w:val="16"/>
        </w:rPr>
        <w:t>лакими</w:t>
      </w:r>
      <w:proofErr w:type="spellEnd"/>
      <w:r w:rsidRPr="00A259BD">
        <w:rPr>
          <w:rFonts w:ascii="Times New Roman" w:hAnsi="Times New Roman"/>
          <w:color w:val="000000" w:themeColor="text1"/>
          <w:sz w:val="16"/>
          <w:szCs w:val="16"/>
        </w:rPr>
        <w:t xml:space="preserve"> организациями будут:</w:t>
      </w:r>
    </w:p>
    <w:p w14:paraId="755E80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Винты, самопуски и арматура - опытный отдел по моторостроению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w:t>
      </w:r>
    </w:p>
    <w:p w14:paraId="456171D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Магнето и свечи- при опытном отделе Электрозавода ГЭТ.</w:t>
      </w:r>
    </w:p>
    <w:p w14:paraId="465835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выполнения этой программы потребуется 14.500.000 рублей и она может быть выполнена нашей промышленностью лишь при усло</w:t>
      </w:r>
      <w:r w:rsidRPr="00A259BD">
        <w:rPr>
          <w:rFonts w:ascii="Times New Roman" w:hAnsi="Times New Roman"/>
          <w:color w:val="000000" w:themeColor="text1"/>
          <w:sz w:val="16"/>
          <w:szCs w:val="16"/>
        </w:rPr>
        <w:softHyphen/>
        <w:t>вии принятия самых решительных мер, по расширению производст</w:t>
      </w:r>
      <w:r w:rsidRPr="00A259BD">
        <w:rPr>
          <w:rFonts w:ascii="Times New Roman" w:hAnsi="Times New Roman"/>
          <w:color w:val="000000" w:themeColor="text1"/>
          <w:sz w:val="16"/>
          <w:szCs w:val="16"/>
        </w:rPr>
        <w:softHyphen/>
        <w:t xml:space="preserve">венной базы путем организации специального опытного отдела по моторостроению, ускорению развития НШМ и постановки у нас производства </w:t>
      </w:r>
      <w:proofErr w:type="spellStart"/>
      <w:r w:rsidRPr="00A259BD">
        <w:rPr>
          <w:rFonts w:ascii="Times New Roman" w:hAnsi="Times New Roman"/>
          <w:color w:val="000000" w:themeColor="text1"/>
          <w:sz w:val="16"/>
          <w:szCs w:val="16"/>
        </w:rPr>
        <w:t>изгтовляющихся</w:t>
      </w:r>
      <w:proofErr w:type="spellEnd"/>
      <w:r w:rsidRPr="00A259BD">
        <w:rPr>
          <w:rFonts w:ascii="Times New Roman" w:hAnsi="Times New Roman"/>
          <w:color w:val="000000" w:themeColor="text1"/>
          <w:sz w:val="16"/>
          <w:szCs w:val="16"/>
        </w:rPr>
        <w:t xml:space="preserve"> заграницей специальных сталей и легких металлов высокой крепости.</w:t>
      </w:r>
    </w:p>
    <w:p w14:paraId="41080E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Воздухоплавание</w:t>
      </w:r>
    </w:p>
    <w:p w14:paraId="6D239F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Эта отрасль в 5-ти летнем плане </w:t>
      </w:r>
      <w:proofErr w:type="spellStart"/>
      <w:r w:rsidRPr="00A259BD">
        <w:rPr>
          <w:rFonts w:ascii="Times New Roman" w:hAnsi="Times New Roman"/>
          <w:color w:val="000000" w:themeColor="text1"/>
          <w:sz w:val="16"/>
          <w:szCs w:val="16"/>
        </w:rPr>
        <w:t>охватываат</w:t>
      </w:r>
      <w:proofErr w:type="spellEnd"/>
      <w:r w:rsidRPr="00A259BD">
        <w:rPr>
          <w:rFonts w:ascii="Times New Roman" w:hAnsi="Times New Roman"/>
          <w:color w:val="000000" w:themeColor="text1"/>
          <w:sz w:val="16"/>
          <w:szCs w:val="16"/>
        </w:rPr>
        <w:t xml:space="preserve"> главным образом привязное воздухоплавание и необходимую для него аппаратуру.</w:t>
      </w:r>
    </w:p>
    <w:p w14:paraId="0AADAE8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Вопросы жесткого дирижаблестроения не затрагиваются, так как до сих пор не имеется определенного указания на развитие этой отрасли, требующей затраты значительных средств.</w:t>
      </w:r>
    </w:p>
    <w:p w14:paraId="440C7E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Пятилетний план опытного строительства по воздухоплаванию разделяется на пять основных отделов:</w:t>
      </w:r>
    </w:p>
    <w:p w14:paraId="2E5CF2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Воздушные корабли и аэростаты. Намечено к постройке 12 опыт</w:t>
      </w:r>
      <w:r w:rsidRPr="00A259BD">
        <w:rPr>
          <w:rFonts w:ascii="Times New Roman" w:hAnsi="Times New Roman"/>
          <w:color w:val="000000" w:themeColor="text1"/>
          <w:sz w:val="16"/>
          <w:szCs w:val="16"/>
        </w:rPr>
        <w:softHyphen/>
        <w:t>ных аэростатов, из них 4 аэростата наблюдения, 3 аэростата заграждения с мотором и 2 управляемых аэростата полужесткой системы малого объема /до 10000 м3/.</w:t>
      </w:r>
    </w:p>
    <w:p w14:paraId="3ED2CC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Лебедки.</w:t>
      </w:r>
    </w:p>
    <w:p w14:paraId="37FF98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Намечено к постройке 5 опытных лебедок, Из них 2 для </w:t>
      </w:r>
      <w:proofErr w:type="spellStart"/>
      <w:r w:rsidRPr="00A259BD">
        <w:rPr>
          <w:rFonts w:ascii="Times New Roman" w:hAnsi="Times New Roman"/>
          <w:color w:val="000000" w:themeColor="text1"/>
          <w:sz w:val="16"/>
          <w:szCs w:val="16"/>
        </w:rPr>
        <w:t>под”ема</w:t>
      </w:r>
      <w:proofErr w:type="spellEnd"/>
      <w:r w:rsidRPr="00A259BD">
        <w:rPr>
          <w:rFonts w:ascii="Times New Roman" w:hAnsi="Times New Roman"/>
          <w:color w:val="000000" w:themeColor="text1"/>
          <w:sz w:val="16"/>
          <w:szCs w:val="16"/>
        </w:rPr>
        <w:t xml:space="preserve"> аэростатов наблюдения, обе на автомобильном ходу, и 3 для </w:t>
      </w:r>
      <w:proofErr w:type="spellStart"/>
      <w:r w:rsidRPr="00A259BD">
        <w:rPr>
          <w:rFonts w:ascii="Times New Roman" w:hAnsi="Times New Roman"/>
          <w:color w:val="000000" w:themeColor="text1"/>
          <w:sz w:val="16"/>
          <w:szCs w:val="16"/>
        </w:rPr>
        <w:t>под"ема</w:t>
      </w:r>
      <w:proofErr w:type="spellEnd"/>
      <w:r w:rsidRPr="00A259BD">
        <w:rPr>
          <w:rFonts w:ascii="Times New Roman" w:hAnsi="Times New Roman"/>
          <w:color w:val="000000" w:themeColor="text1"/>
          <w:sz w:val="16"/>
          <w:szCs w:val="16"/>
        </w:rPr>
        <w:t xml:space="preserve"> аэростатов заграждения - на колесном ходу, приспособленном к передвижению по грунтовым и шоссейным дорогам с помощью прицепки к автомобилю, трактору или конной тягой. Кроме того, </w:t>
      </w:r>
      <w:r w:rsidRPr="00A259BD">
        <w:rPr>
          <w:rFonts w:ascii="Times New Roman" w:hAnsi="Times New Roman"/>
          <w:color w:val="000000" w:themeColor="text1"/>
          <w:sz w:val="16"/>
          <w:szCs w:val="16"/>
        </w:rPr>
        <w:lastRenderedPageBreak/>
        <w:t xml:space="preserve">временно, предусмотрено приспособление состоящей сейчас на снабжении </w:t>
      </w:r>
      <w:proofErr w:type="spellStart"/>
      <w:r w:rsidRPr="00A259BD">
        <w:rPr>
          <w:rFonts w:ascii="Times New Roman" w:hAnsi="Times New Roman"/>
          <w:color w:val="000000" w:themeColor="text1"/>
          <w:sz w:val="16"/>
          <w:szCs w:val="16"/>
        </w:rPr>
        <w:t>воздухчастей</w:t>
      </w:r>
      <w:proofErr w:type="spellEnd"/>
      <w:r w:rsidRPr="00A259BD">
        <w:rPr>
          <w:rFonts w:ascii="Times New Roman" w:hAnsi="Times New Roman"/>
          <w:color w:val="000000" w:themeColor="text1"/>
          <w:sz w:val="16"/>
          <w:szCs w:val="16"/>
        </w:rPr>
        <w:t xml:space="preserve"> с аэростатами наблюдения автомобильной лебедкой "</w:t>
      </w:r>
      <w:proofErr w:type="spellStart"/>
      <w:r w:rsidRPr="00A259BD">
        <w:rPr>
          <w:rFonts w:ascii="Times New Roman" w:hAnsi="Times New Roman"/>
          <w:color w:val="000000" w:themeColor="text1"/>
          <w:sz w:val="16"/>
          <w:szCs w:val="16"/>
        </w:rPr>
        <w:t>Адсудза</w:t>
      </w:r>
      <w:proofErr w:type="spellEnd"/>
      <w:r w:rsidRPr="00A259BD">
        <w:rPr>
          <w:rFonts w:ascii="Times New Roman" w:hAnsi="Times New Roman"/>
          <w:color w:val="000000" w:themeColor="text1"/>
          <w:sz w:val="16"/>
          <w:szCs w:val="16"/>
        </w:rPr>
        <w:t xml:space="preserve">" для одновременного </w:t>
      </w:r>
      <w:proofErr w:type="spellStart"/>
      <w:r w:rsidRPr="00A259BD">
        <w:rPr>
          <w:rFonts w:ascii="Times New Roman" w:hAnsi="Times New Roman"/>
          <w:color w:val="000000" w:themeColor="text1"/>
          <w:sz w:val="16"/>
          <w:szCs w:val="16"/>
        </w:rPr>
        <w:t>под”ема</w:t>
      </w:r>
      <w:proofErr w:type="spellEnd"/>
      <w:r w:rsidRPr="00A259BD">
        <w:rPr>
          <w:rFonts w:ascii="Times New Roman" w:hAnsi="Times New Roman"/>
          <w:color w:val="000000" w:themeColor="text1"/>
          <w:sz w:val="16"/>
          <w:szCs w:val="16"/>
        </w:rPr>
        <w:t xml:space="preserve"> 3-х аэростатов заграждения.</w:t>
      </w:r>
    </w:p>
    <w:p w14:paraId="6398589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Эллинги и причальные мачты.</w:t>
      </w:r>
    </w:p>
    <w:p w14:paraId="668B47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Предусмотрены постройкой по одному опытному экземпляру разборный металлический ангар для аэростатов наблюдения и перевозимая швартовная мачта для управляемых аэроста</w:t>
      </w:r>
      <w:r w:rsidRPr="00A259BD">
        <w:rPr>
          <w:rFonts w:ascii="Times New Roman" w:hAnsi="Times New Roman"/>
          <w:color w:val="000000" w:themeColor="text1"/>
          <w:sz w:val="16"/>
          <w:szCs w:val="16"/>
        </w:rPr>
        <w:softHyphen/>
        <w:t>тов малого объема.</w:t>
      </w:r>
    </w:p>
    <w:p w14:paraId="084152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Газодобывательные</w:t>
      </w:r>
      <w:proofErr w:type="spellEnd"/>
      <w:r w:rsidRPr="00A259BD">
        <w:rPr>
          <w:rFonts w:ascii="Times New Roman" w:hAnsi="Times New Roman"/>
          <w:color w:val="000000" w:themeColor="text1"/>
          <w:sz w:val="16"/>
          <w:szCs w:val="16"/>
        </w:rPr>
        <w:t xml:space="preserve"> аппараты. Будут построены опытные образцы по</w:t>
      </w:r>
      <w:r w:rsidRPr="00A259BD">
        <w:rPr>
          <w:rFonts w:ascii="Times New Roman" w:hAnsi="Times New Roman"/>
          <w:color w:val="000000" w:themeColor="text1"/>
          <w:sz w:val="16"/>
          <w:szCs w:val="16"/>
        </w:rPr>
        <w:softHyphen/>
        <w:t xml:space="preserve">левого </w:t>
      </w:r>
      <w:proofErr w:type="spellStart"/>
      <w:r w:rsidRPr="00A259BD">
        <w:rPr>
          <w:rFonts w:ascii="Times New Roman" w:hAnsi="Times New Roman"/>
          <w:color w:val="000000" w:themeColor="text1"/>
          <w:sz w:val="16"/>
          <w:szCs w:val="16"/>
        </w:rPr>
        <w:t>газодобывательного</w:t>
      </w:r>
      <w:proofErr w:type="spellEnd"/>
      <w:r w:rsidRPr="00A259BD">
        <w:rPr>
          <w:rFonts w:ascii="Times New Roman" w:hAnsi="Times New Roman"/>
          <w:color w:val="000000" w:themeColor="text1"/>
          <w:sz w:val="16"/>
          <w:szCs w:val="16"/>
        </w:rPr>
        <w:t xml:space="preserve"> аппарата для быстрого получения водорода в небольших количествах, полевого коллектора облегченного образца и водородного завода - поезда с компрессорной установкой.</w:t>
      </w:r>
    </w:p>
    <w:p w14:paraId="4D1859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Научно-исследовательские и экспериментальные работы, исследование баллонных тканей и </w:t>
      </w:r>
      <w:proofErr w:type="spellStart"/>
      <w:r w:rsidRPr="00A259BD">
        <w:rPr>
          <w:rFonts w:ascii="Times New Roman" w:hAnsi="Times New Roman"/>
          <w:color w:val="000000" w:themeColor="text1"/>
          <w:sz w:val="16"/>
          <w:szCs w:val="16"/>
        </w:rPr>
        <w:t>таккелажа</w:t>
      </w:r>
      <w:proofErr w:type="spellEnd"/>
      <w:r w:rsidRPr="00A259BD">
        <w:rPr>
          <w:rFonts w:ascii="Times New Roman" w:hAnsi="Times New Roman"/>
          <w:color w:val="000000" w:themeColor="text1"/>
          <w:sz w:val="16"/>
          <w:szCs w:val="16"/>
        </w:rPr>
        <w:t xml:space="preserve"> аэростатов, испытание подсобной части воздухоплавательного дела, исследование и изучение метеорологичес</w:t>
      </w:r>
      <w:r w:rsidRPr="00A259BD">
        <w:rPr>
          <w:rFonts w:ascii="Times New Roman" w:hAnsi="Times New Roman"/>
          <w:color w:val="000000" w:themeColor="text1"/>
          <w:sz w:val="16"/>
          <w:szCs w:val="16"/>
        </w:rPr>
        <w:softHyphen/>
        <w:t>ких факторов, влияющих на работающие аэростаты и их материальную часть химико-технические анализы и исследования, работы по удешев</w:t>
      </w:r>
      <w:r w:rsidRPr="00A259BD">
        <w:rPr>
          <w:rFonts w:ascii="Times New Roman" w:hAnsi="Times New Roman"/>
          <w:color w:val="000000" w:themeColor="text1"/>
          <w:sz w:val="16"/>
          <w:szCs w:val="16"/>
        </w:rPr>
        <w:softHyphen/>
        <w:t xml:space="preserve">лению способов добывания водорода в полевой обстановке, отдельные вопросы по газам и применение их в воздухоплавании и </w:t>
      </w:r>
      <w:proofErr w:type="spellStart"/>
      <w:r w:rsidRPr="00A259BD">
        <w:rPr>
          <w:rFonts w:ascii="Times New Roman" w:hAnsi="Times New Roman"/>
          <w:color w:val="000000" w:themeColor="text1"/>
          <w:sz w:val="16"/>
          <w:szCs w:val="16"/>
        </w:rPr>
        <w:t>океперименгаль-ныэ</w:t>
      </w:r>
      <w:proofErr w:type="spellEnd"/>
      <w:r w:rsidRPr="00A259BD">
        <w:rPr>
          <w:rFonts w:ascii="Times New Roman" w:hAnsi="Times New Roman"/>
          <w:color w:val="000000" w:themeColor="text1"/>
          <w:sz w:val="16"/>
          <w:szCs w:val="16"/>
        </w:rPr>
        <w:t xml:space="preserve"> работы по аэродинамическим вопросам воздухоплавания.</w:t>
      </w:r>
    </w:p>
    <w:p w14:paraId="3A36C41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годам изготовление опытных образцов распределяется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8"/>
        <w:gridCol w:w="4860"/>
        <w:gridCol w:w="1044"/>
      </w:tblGrid>
      <w:tr w:rsidR="00A259BD" w:rsidRPr="00A259BD" w14:paraId="7870C360" w14:textId="77777777">
        <w:tc>
          <w:tcPr>
            <w:tcW w:w="1278" w:type="dxa"/>
            <w:tcBorders>
              <w:top w:val="single" w:sz="12" w:space="0" w:color="auto"/>
            </w:tcBorders>
            <w:shd w:val="clear" w:color="auto" w:fill="FFFFFF"/>
          </w:tcPr>
          <w:p w14:paraId="620D24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1928/29 г.</w:t>
            </w:r>
          </w:p>
        </w:tc>
        <w:tc>
          <w:tcPr>
            <w:tcW w:w="4860" w:type="dxa"/>
            <w:tcBorders>
              <w:top w:val="single" w:sz="12" w:space="0" w:color="auto"/>
            </w:tcBorders>
            <w:shd w:val="clear" w:color="auto" w:fill="FFFFFF"/>
          </w:tcPr>
          <w:p w14:paraId="2D2F0E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аэростатов</w:t>
            </w:r>
          </w:p>
        </w:tc>
        <w:tc>
          <w:tcPr>
            <w:tcW w:w="1044" w:type="dxa"/>
            <w:tcBorders>
              <w:top w:val="single" w:sz="12" w:space="0" w:color="auto"/>
            </w:tcBorders>
            <w:shd w:val="clear" w:color="auto" w:fill="FFFFFF"/>
          </w:tcPr>
          <w:p w14:paraId="0156C2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26B5A82D" w14:textId="77777777">
        <w:tc>
          <w:tcPr>
            <w:tcW w:w="1278" w:type="dxa"/>
            <w:shd w:val="clear" w:color="auto" w:fill="FFFFFF"/>
          </w:tcPr>
          <w:p w14:paraId="190425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4F0D32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полевой </w:t>
            </w:r>
            <w:proofErr w:type="spellStart"/>
            <w:r w:rsidRPr="00A259BD">
              <w:rPr>
                <w:rFonts w:ascii="Times New Roman" w:hAnsi="Times New Roman"/>
                <w:color w:val="000000" w:themeColor="text1"/>
                <w:sz w:val="16"/>
                <w:szCs w:val="16"/>
              </w:rPr>
              <w:t>газодобыв</w:t>
            </w:r>
            <w:proofErr w:type="spellEnd"/>
            <w:r w:rsidRPr="00A259BD">
              <w:rPr>
                <w:rFonts w:ascii="Times New Roman" w:hAnsi="Times New Roman"/>
                <w:color w:val="000000" w:themeColor="text1"/>
                <w:sz w:val="16"/>
                <w:szCs w:val="16"/>
              </w:rPr>
              <w:t>. Аппарат</w:t>
            </w:r>
          </w:p>
        </w:tc>
        <w:tc>
          <w:tcPr>
            <w:tcW w:w="1044" w:type="dxa"/>
            <w:shd w:val="clear" w:color="auto" w:fill="FFFFFF"/>
          </w:tcPr>
          <w:p w14:paraId="48635B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w:t>
            </w:r>
          </w:p>
        </w:tc>
      </w:tr>
      <w:tr w:rsidR="00A259BD" w:rsidRPr="00A259BD" w14:paraId="197BE572" w14:textId="77777777">
        <w:tc>
          <w:tcPr>
            <w:tcW w:w="1278" w:type="dxa"/>
            <w:shd w:val="clear" w:color="auto" w:fill="FFFFFF"/>
          </w:tcPr>
          <w:p w14:paraId="22019D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1929/30 г.</w:t>
            </w:r>
          </w:p>
        </w:tc>
        <w:tc>
          <w:tcPr>
            <w:tcW w:w="4860" w:type="dxa"/>
            <w:shd w:val="clear" w:color="auto" w:fill="FFFFFF"/>
          </w:tcPr>
          <w:p w14:paraId="330687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аэростатов</w:t>
            </w:r>
          </w:p>
        </w:tc>
        <w:tc>
          <w:tcPr>
            <w:tcW w:w="1044" w:type="dxa"/>
            <w:shd w:val="clear" w:color="auto" w:fill="FFFFFF"/>
          </w:tcPr>
          <w:p w14:paraId="1C8E48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295C7D09" w14:textId="77777777">
        <w:tc>
          <w:tcPr>
            <w:tcW w:w="1278" w:type="dxa"/>
            <w:shd w:val="clear" w:color="auto" w:fill="FFFFFF"/>
          </w:tcPr>
          <w:p w14:paraId="411DF3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35255B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лебедок</w:t>
            </w:r>
          </w:p>
        </w:tc>
        <w:tc>
          <w:tcPr>
            <w:tcW w:w="1044" w:type="dxa"/>
            <w:shd w:val="clear" w:color="auto" w:fill="FFFFFF"/>
          </w:tcPr>
          <w:p w14:paraId="753C67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40F8FC63" w14:textId="77777777">
        <w:tc>
          <w:tcPr>
            <w:tcW w:w="1278" w:type="dxa"/>
            <w:shd w:val="clear" w:color="auto" w:fill="FFFFFF"/>
          </w:tcPr>
          <w:p w14:paraId="5C3597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0F0BF7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полевой коллектор</w:t>
            </w:r>
          </w:p>
        </w:tc>
        <w:tc>
          <w:tcPr>
            <w:tcW w:w="1044" w:type="dxa"/>
            <w:shd w:val="clear" w:color="auto" w:fill="FFFFFF"/>
          </w:tcPr>
          <w:p w14:paraId="591CCD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w:t>
            </w:r>
          </w:p>
        </w:tc>
      </w:tr>
      <w:tr w:rsidR="00A259BD" w:rsidRPr="00A259BD" w14:paraId="7DF57229" w14:textId="77777777">
        <w:tc>
          <w:tcPr>
            <w:tcW w:w="1278" w:type="dxa"/>
            <w:shd w:val="clear" w:color="auto" w:fill="FFFFFF"/>
          </w:tcPr>
          <w:p w14:paraId="2AF73A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1930/31 г.</w:t>
            </w:r>
          </w:p>
        </w:tc>
        <w:tc>
          <w:tcPr>
            <w:tcW w:w="4860" w:type="dxa"/>
            <w:shd w:val="clear" w:color="auto" w:fill="FFFFFF"/>
          </w:tcPr>
          <w:p w14:paraId="697EE2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-аэростатов</w:t>
            </w:r>
          </w:p>
        </w:tc>
        <w:tc>
          <w:tcPr>
            <w:tcW w:w="1044" w:type="dxa"/>
            <w:shd w:val="clear" w:color="auto" w:fill="FFFFFF"/>
          </w:tcPr>
          <w:p w14:paraId="43BE7E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r>
      <w:tr w:rsidR="00A259BD" w:rsidRPr="00A259BD" w14:paraId="0B9A34E4" w14:textId="77777777">
        <w:tc>
          <w:tcPr>
            <w:tcW w:w="1278" w:type="dxa"/>
            <w:shd w:val="clear" w:color="auto" w:fill="FFFFFF"/>
          </w:tcPr>
          <w:p w14:paraId="4C2981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6F63DA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лебедок</w:t>
            </w:r>
          </w:p>
        </w:tc>
        <w:tc>
          <w:tcPr>
            <w:tcW w:w="1044" w:type="dxa"/>
            <w:shd w:val="clear" w:color="auto" w:fill="FFFFFF"/>
          </w:tcPr>
          <w:p w14:paraId="64CF9B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4430254C" w14:textId="77777777">
        <w:tc>
          <w:tcPr>
            <w:tcW w:w="1278" w:type="dxa"/>
            <w:shd w:val="clear" w:color="auto" w:fill="FFFFFF"/>
          </w:tcPr>
          <w:p w14:paraId="35EBC1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30701D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Разборный ангар для аэро</w:t>
            </w:r>
            <w:r w:rsidRPr="00A259BD">
              <w:rPr>
                <w:rFonts w:ascii="Times New Roman" w:hAnsi="Times New Roman"/>
                <w:color w:val="000000" w:themeColor="text1"/>
                <w:sz w:val="16"/>
                <w:szCs w:val="16"/>
              </w:rPr>
              <w:softHyphen/>
              <w:t>статов наблюдения</w:t>
            </w:r>
          </w:p>
        </w:tc>
        <w:tc>
          <w:tcPr>
            <w:tcW w:w="1044" w:type="dxa"/>
            <w:shd w:val="clear" w:color="auto" w:fill="FFFFFF"/>
          </w:tcPr>
          <w:p w14:paraId="581BF9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08B01B80" w14:textId="77777777">
        <w:tc>
          <w:tcPr>
            <w:tcW w:w="1278" w:type="dxa"/>
            <w:shd w:val="clear" w:color="auto" w:fill="FFFFFF"/>
          </w:tcPr>
          <w:p w14:paraId="0613C0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1931/32 г.</w:t>
            </w:r>
          </w:p>
        </w:tc>
        <w:tc>
          <w:tcPr>
            <w:tcW w:w="4860" w:type="dxa"/>
            <w:shd w:val="clear" w:color="auto" w:fill="FFFFFF"/>
          </w:tcPr>
          <w:p w14:paraId="3EBBC5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аэростатов</w:t>
            </w:r>
          </w:p>
        </w:tc>
        <w:tc>
          <w:tcPr>
            <w:tcW w:w="1044" w:type="dxa"/>
            <w:shd w:val="clear" w:color="auto" w:fill="FFFFFF"/>
          </w:tcPr>
          <w:p w14:paraId="4483A0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r>
      <w:tr w:rsidR="00A259BD" w:rsidRPr="00A259BD" w14:paraId="7846B6C4" w14:textId="77777777">
        <w:tc>
          <w:tcPr>
            <w:tcW w:w="1278" w:type="dxa"/>
            <w:shd w:val="clear" w:color="auto" w:fill="FFFFFF"/>
          </w:tcPr>
          <w:p w14:paraId="671BB3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2CBA54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лебедок</w:t>
            </w:r>
          </w:p>
        </w:tc>
        <w:tc>
          <w:tcPr>
            <w:tcW w:w="1044" w:type="dxa"/>
            <w:shd w:val="clear" w:color="auto" w:fill="FFFFFF"/>
          </w:tcPr>
          <w:p w14:paraId="0347E5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25702EDB" w14:textId="77777777">
        <w:tc>
          <w:tcPr>
            <w:tcW w:w="1278" w:type="dxa"/>
            <w:shd w:val="clear" w:color="auto" w:fill="FFFFFF"/>
          </w:tcPr>
          <w:p w14:paraId="4BDE75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304495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швартовая мачта</w:t>
            </w:r>
          </w:p>
        </w:tc>
        <w:tc>
          <w:tcPr>
            <w:tcW w:w="1044" w:type="dxa"/>
            <w:shd w:val="clear" w:color="auto" w:fill="FFFFFF"/>
          </w:tcPr>
          <w:p w14:paraId="522D0D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372E1DE4" w14:textId="77777777">
        <w:tc>
          <w:tcPr>
            <w:tcW w:w="1278" w:type="dxa"/>
            <w:shd w:val="clear" w:color="auto" w:fill="FFFFFF"/>
          </w:tcPr>
          <w:p w14:paraId="5BC253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1932/33 г.</w:t>
            </w:r>
          </w:p>
        </w:tc>
        <w:tc>
          <w:tcPr>
            <w:tcW w:w="4860" w:type="dxa"/>
            <w:shd w:val="clear" w:color="auto" w:fill="FFFFFF"/>
          </w:tcPr>
          <w:p w14:paraId="49170F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аэростатов</w:t>
            </w:r>
          </w:p>
        </w:tc>
        <w:tc>
          <w:tcPr>
            <w:tcW w:w="1044" w:type="dxa"/>
            <w:shd w:val="clear" w:color="auto" w:fill="FFFFFF"/>
          </w:tcPr>
          <w:p w14:paraId="14AC75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53DE41A3" w14:textId="77777777">
        <w:tc>
          <w:tcPr>
            <w:tcW w:w="1278" w:type="dxa"/>
            <w:tcBorders>
              <w:bottom w:val="single" w:sz="12" w:space="0" w:color="auto"/>
            </w:tcBorders>
            <w:shd w:val="clear" w:color="auto" w:fill="FFFFFF"/>
          </w:tcPr>
          <w:p w14:paraId="7F3D97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tcBorders>
              <w:bottom w:val="single" w:sz="12" w:space="0" w:color="auto"/>
            </w:tcBorders>
            <w:shd w:val="clear" w:color="auto" w:fill="FFFFFF"/>
          </w:tcPr>
          <w:p w14:paraId="78DDBA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водородный завод-поезд</w:t>
            </w:r>
          </w:p>
        </w:tc>
        <w:tc>
          <w:tcPr>
            <w:tcW w:w="1044" w:type="dxa"/>
            <w:tcBorders>
              <w:bottom w:val="single" w:sz="12" w:space="0" w:color="auto"/>
            </w:tcBorders>
            <w:shd w:val="clear" w:color="auto" w:fill="FFFFFF"/>
          </w:tcPr>
          <w:p w14:paraId="6D438F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bl>
    <w:p w14:paraId="1088E6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Производственными возможностями в отношении оболочек аэростатов обеспечены </w:t>
      </w:r>
      <w:proofErr w:type="spellStart"/>
      <w:r w:rsidRPr="00A259BD">
        <w:rPr>
          <w:rFonts w:ascii="Times New Roman" w:hAnsi="Times New Roman"/>
          <w:color w:val="000000" w:themeColor="text1"/>
          <w:sz w:val="16"/>
          <w:szCs w:val="16"/>
        </w:rPr>
        <w:t>Резинотрестом</w:t>
      </w:r>
      <w:proofErr w:type="spellEnd"/>
      <w:r w:rsidRPr="00A259BD">
        <w:rPr>
          <w:rFonts w:ascii="Times New Roman" w:hAnsi="Times New Roman"/>
          <w:color w:val="000000" w:themeColor="text1"/>
          <w:sz w:val="16"/>
          <w:szCs w:val="16"/>
        </w:rPr>
        <w:t>, но для над</w:t>
      </w:r>
      <w:r w:rsidRPr="00A259BD">
        <w:rPr>
          <w:rFonts w:ascii="Times New Roman" w:hAnsi="Times New Roman"/>
          <w:color w:val="000000" w:themeColor="text1"/>
          <w:sz w:val="16"/>
          <w:szCs w:val="16"/>
        </w:rPr>
        <w:softHyphen/>
        <w:t xml:space="preserve">лежащей </w:t>
      </w:r>
      <w:proofErr w:type="spellStart"/>
      <w:r w:rsidRPr="00A259BD">
        <w:rPr>
          <w:rFonts w:ascii="Times New Roman" w:hAnsi="Times New Roman"/>
          <w:color w:val="000000" w:themeColor="text1"/>
          <w:sz w:val="16"/>
          <w:szCs w:val="16"/>
        </w:rPr>
        <w:t>производительиости</w:t>
      </w:r>
      <w:proofErr w:type="spellEnd"/>
      <w:r w:rsidRPr="00A259BD">
        <w:rPr>
          <w:rFonts w:ascii="Times New Roman" w:hAnsi="Times New Roman"/>
          <w:color w:val="000000" w:themeColor="text1"/>
          <w:sz w:val="16"/>
          <w:szCs w:val="16"/>
        </w:rPr>
        <w:t xml:space="preserve"> работ необходимо создать зано</w:t>
      </w:r>
      <w:r w:rsidRPr="00A259BD">
        <w:rPr>
          <w:rFonts w:ascii="Times New Roman" w:hAnsi="Times New Roman"/>
          <w:color w:val="000000" w:themeColor="text1"/>
          <w:sz w:val="16"/>
          <w:szCs w:val="16"/>
        </w:rPr>
        <w:softHyphen/>
        <w:t xml:space="preserve">во при заводе </w:t>
      </w:r>
      <w:proofErr w:type="spellStart"/>
      <w:r w:rsidRPr="00A259BD">
        <w:rPr>
          <w:rFonts w:ascii="Times New Roman" w:hAnsi="Times New Roman"/>
          <w:color w:val="000000" w:themeColor="text1"/>
          <w:sz w:val="16"/>
          <w:szCs w:val="16"/>
        </w:rPr>
        <w:t>Резинотреста</w:t>
      </w:r>
      <w:proofErr w:type="spellEnd"/>
      <w:r w:rsidRPr="00A259BD">
        <w:rPr>
          <w:rFonts w:ascii="Times New Roman" w:hAnsi="Times New Roman"/>
          <w:color w:val="000000" w:themeColor="text1"/>
          <w:sz w:val="16"/>
          <w:szCs w:val="16"/>
        </w:rPr>
        <w:t xml:space="preserve"> № 2 "Каучук" </w:t>
      </w:r>
      <w:proofErr w:type="spellStart"/>
      <w:r w:rsidRPr="00A259BD">
        <w:rPr>
          <w:rFonts w:ascii="Times New Roman" w:hAnsi="Times New Roman"/>
          <w:color w:val="000000" w:themeColor="text1"/>
          <w:sz w:val="16"/>
          <w:szCs w:val="16"/>
        </w:rPr>
        <w:t>раечетно</w:t>
      </w:r>
      <w:proofErr w:type="spellEnd"/>
      <w:r w:rsidRPr="00A259BD">
        <w:rPr>
          <w:rFonts w:ascii="Times New Roman" w:hAnsi="Times New Roman"/>
          <w:color w:val="000000" w:themeColor="text1"/>
          <w:sz w:val="16"/>
          <w:szCs w:val="16"/>
        </w:rPr>
        <w:t xml:space="preserve">-конструкторское бюро, на первое </w:t>
      </w:r>
      <w:proofErr w:type="spellStart"/>
      <w:r w:rsidRPr="00A259BD">
        <w:rPr>
          <w:rFonts w:ascii="Times New Roman" w:hAnsi="Times New Roman"/>
          <w:color w:val="000000" w:themeColor="text1"/>
          <w:sz w:val="16"/>
          <w:szCs w:val="16"/>
        </w:rPr>
        <w:t>ремя</w:t>
      </w:r>
      <w:proofErr w:type="spellEnd"/>
      <w:r w:rsidRPr="00A259BD">
        <w:rPr>
          <w:rFonts w:ascii="Times New Roman" w:hAnsi="Times New Roman"/>
          <w:color w:val="000000" w:themeColor="text1"/>
          <w:sz w:val="16"/>
          <w:szCs w:val="16"/>
        </w:rPr>
        <w:t xml:space="preserve"> из 2-х инженеров и 3-х чертежников-конструкторов. Хуже обстоит дело с изготовле</w:t>
      </w:r>
      <w:r w:rsidRPr="00A259BD">
        <w:rPr>
          <w:rFonts w:ascii="Times New Roman" w:hAnsi="Times New Roman"/>
          <w:color w:val="000000" w:themeColor="text1"/>
          <w:sz w:val="16"/>
          <w:szCs w:val="16"/>
        </w:rPr>
        <w:softHyphen/>
        <w:t xml:space="preserve">нием опытных лебедок. Несмотря на постановление совещания при отделе военных заказов ГВПУ об изготовлении проекта опытного </w:t>
      </w:r>
      <w:proofErr w:type="spellStart"/>
      <w:r w:rsidRPr="00A259BD">
        <w:rPr>
          <w:rFonts w:ascii="Times New Roman" w:hAnsi="Times New Roman"/>
          <w:color w:val="000000" w:themeColor="text1"/>
          <w:sz w:val="16"/>
          <w:szCs w:val="16"/>
        </w:rPr>
        <w:t>обравца</w:t>
      </w:r>
      <w:proofErr w:type="spellEnd"/>
      <w:r w:rsidRPr="00A259BD">
        <w:rPr>
          <w:rFonts w:ascii="Times New Roman" w:hAnsi="Times New Roman"/>
          <w:color w:val="000000" w:themeColor="text1"/>
          <w:sz w:val="16"/>
          <w:szCs w:val="16"/>
        </w:rPr>
        <w:t xml:space="preserve"> автолебедки на заводе Автотреста № 7, Автотрест из за отсутствия соответствующих конструкторс</w:t>
      </w:r>
      <w:r w:rsidRPr="00A259BD">
        <w:rPr>
          <w:rFonts w:ascii="Times New Roman" w:hAnsi="Times New Roman"/>
          <w:color w:val="000000" w:themeColor="text1"/>
          <w:sz w:val="16"/>
          <w:szCs w:val="16"/>
        </w:rPr>
        <w:softHyphen/>
        <w:t xml:space="preserve">ких сил </w:t>
      </w:r>
      <w:proofErr w:type="spellStart"/>
      <w:r w:rsidRPr="00A259BD">
        <w:rPr>
          <w:rFonts w:ascii="Times New Roman" w:hAnsi="Times New Roman"/>
          <w:color w:val="000000" w:themeColor="text1"/>
          <w:sz w:val="16"/>
          <w:szCs w:val="16"/>
        </w:rPr>
        <w:t>откааывается</w:t>
      </w:r>
      <w:proofErr w:type="spellEnd"/>
      <w:r w:rsidRPr="00A259BD">
        <w:rPr>
          <w:rFonts w:ascii="Times New Roman" w:hAnsi="Times New Roman"/>
          <w:color w:val="000000" w:themeColor="text1"/>
          <w:sz w:val="16"/>
          <w:szCs w:val="16"/>
        </w:rPr>
        <w:t xml:space="preserve"> от работы по лебедкам. Необходимо за</w:t>
      </w:r>
      <w:r w:rsidRPr="00A259BD">
        <w:rPr>
          <w:rFonts w:ascii="Times New Roman" w:hAnsi="Times New Roman"/>
          <w:color w:val="000000" w:themeColor="text1"/>
          <w:sz w:val="16"/>
          <w:szCs w:val="16"/>
        </w:rPr>
        <w:softHyphen/>
        <w:t>ново создать расчетно-конструкторское бюро по лебедкам при одном и 8 заводов Автотреста /2 инженера в 3 чертежни</w:t>
      </w:r>
      <w:r w:rsidRPr="00A259BD">
        <w:rPr>
          <w:rFonts w:ascii="Times New Roman" w:hAnsi="Times New Roman"/>
          <w:color w:val="000000" w:themeColor="text1"/>
          <w:sz w:val="16"/>
          <w:szCs w:val="16"/>
        </w:rPr>
        <w:softHyphen/>
        <w:t>ка-конструктора с назначением на первое время консультан</w:t>
      </w:r>
      <w:r w:rsidRPr="00A259BD">
        <w:rPr>
          <w:rFonts w:ascii="Times New Roman" w:hAnsi="Times New Roman"/>
          <w:color w:val="000000" w:themeColor="text1"/>
          <w:sz w:val="16"/>
          <w:szCs w:val="16"/>
        </w:rPr>
        <w:softHyphen/>
        <w:t xml:space="preserve">та специалиста от УВВС/, и передать Автотресту вопросы проектирования и постройки автолебедок для </w:t>
      </w:r>
      <w:proofErr w:type="spellStart"/>
      <w:r w:rsidRPr="00A259BD">
        <w:rPr>
          <w:rFonts w:ascii="Times New Roman" w:hAnsi="Times New Roman"/>
          <w:color w:val="000000" w:themeColor="text1"/>
          <w:sz w:val="16"/>
          <w:szCs w:val="16"/>
        </w:rPr>
        <w:t>воздухчастей</w:t>
      </w:r>
      <w:proofErr w:type="spellEnd"/>
      <w:r w:rsidRPr="00A259BD">
        <w:rPr>
          <w:rFonts w:ascii="Times New Roman" w:hAnsi="Times New Roman"/>
          <w:color w:val="000000" w:themeColor="text1"/>
          <w:sz w:val="16"/>
          <w:szCs w:val="16"/>
        </w:rPr>
        <w:t>, о чем УВВС и возбуждает соответствующее ходатайство.</w:t>
      </w:r>
    </w:p>
    <w:p w14:paraId="6EEC7B6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касается выполнения намеченных планом впервые осущест</w:t>
      </w:r>
      <w:r w:rsidRPr="00A259BD">
        <w:rPr>
          <w:rFonts w:ascii="Times New Roman" w:hAnsi="Times New Roman"/>
          <w:color w:val="000000" w:themeColor="text1"/>
          <w:sz w:val="16"/>
          <w:szCs w:val="16"/>
        </w:rPr>
        <w:softHyphen/>
        <w:t>вляемых в Союзе работ по наземному оборудованию, подсоб</w:t>
      </w:r>
      <w:r w:rsidRPr="00A259BD">
        <w:rPr>
          <w:rFonts w:ascii="Times New Roman" w:hAnsi="Times New Roman"/>
          <w:color w:val="000000" w:themeColor="text1"/>
          <w:sz w:val="16"/>
          <w:szCs w:val="16"/>
        </w:rPr>
        <w:softHyphen/>
        <w:t xml:space="preserve">ной материальной части воздухоплавательного дела, и т.д., то </w:t>
      </w:r>
      <w:proofErr w:type="spellStart"/>
      <w:r w:rsidRPr="00A259BD">
        <w:rPr>
          <w:rFonts w:ascii="Times New Roman" w:hAnsi="Times New Roman"/>
          <w:color w:val="000000" w:themeColor="text1"/>
          <w:sz w:val="16"/>
          <w:szCs w:val="16"/>
        </w:rPr>
        <w:t>гаковое</w:t>
      </w:r>
      <w:proofErr w:type="spellEnd"/>
      <w:r w:rsidRPr="00A259BD">
        <w:rPr>
          <w:rFonts w:ascii="Times New Roman" w:hAnsi="Times New Roman"/>
          <w:color w:val="000000" w:themeColor="text1"/>
          <w:sz w:val="16"/>
          <w:szCs w:val="16"/>
        </w:rPr>
        <w:t xml:space="preserve"> может быть поставлено перед промышленностью после принятия соответствующих проектов.</w:t>
      </w:r>
    </w:p>
    <w:p w14:paraId="0146B3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Потребные суммы на опытное строительство по воздухоплава</w:t>
      </w:r>
      <w:r w:rsidRPr="00A259BD">
        <w:rPr>
          <w:rFonts w:ascii="Times New Roman" w:hAnsi="Times New Roman"/>
          <w:color w:val="000000" w:themeColor="text1"/>
          <w:sz w:val="16"/>
          <w:szCs w:val="16"/>
        </w:rPr>
        <w:softHyphen/>
        <w:t>нию на пятилетие выражаются в 2.000.000 рублей.</w:t>
      </w:r>
    </w:p>
    <w:p w14:paraId="104EC53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Вооружение оборудован, и </w:t>
      </w:r>
      <w:proofErr w:type="spellStart"/>
      <w:r w:rsidRPr="00A259BD">
        <w:rPr>
          <w:rFonts w:ascii="Times New Roman" w:hAnsi="Times New Roman"/>
          <w:color w:val="000000" w:themeColor="text1"/>
          <w:sz w:val="16"/>
          <w:szCs w:val="16"/>
        </w:rPr>
        <w:t>спец.сл</w:t>
      </w:r>
      <w:proofErr w:type="spellEnd"/>
      <w:r w:rsidRPr="00A259BD">
        <w:rPr>
          <w:rFonts w:ascii="Times New Roman" w:hAnsi="Times New Roman"/>
          <w:color w:val="000000" w:themeColor="text1"/>
          <w:sz w:val="16"/>
          <w:szCs w:val="16"/>
        </w:rPr>
        <w:t>.</w:t>
      </w:r>
    </w:p>
    <w:p w14:paraId="38F0DF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Этот раздел плана охватывает как работы, выполняемые под непосредственным наблюдением и руководством ВВС, так и работы, которые ведутся по линии АУ, ВТУ и </w:t>
      </w:r>
      <w:proofErr w:type="spellStart"/>
      <w:r w:rsidRPr="00A259BD">
        <w:rPr>
          <w:rFonts w:ascii="Times New Roman" w:hAnsi="Times New Roman"/>
          <w:color w:val="000000" w:themeColor="text1"/>
          <w:sz w:val="16"/>
          <w:szCs w:val="16"/>
        </w:rPr>
        <w:t>Вохиму</w:t>
      </w:r>
      <w:proofErr w:type="spellEnd"/>
      <w:r w:rsidRPr="00A259BD">
        <w:rPr>
          <w:rFonts w:ascii="Times New Roman" w:hAnsi="Times New Roman"/>
          <w:color w:val="000000" w:themeColor="text1"/>
          <w:sz w:val="16"/>
          <w:szCs w:val="16"/>
        </w:rPr>
        <w:t>, но для целей авиации.</w:t>
      </w:r>
    </w:p>
    <w:p w14:paraId="0BBE9E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Средства предусматриваются лишь по линии работ. УВВС, предполагая, что работы, ведущиеся под наблюдением дру</w:t>
      </w:r>
      <w:r w:rsidRPr="00A259BD">
        <w:rPr>
          <w:rFonts w:ascii="Times New Roman" w:hAnsi="Times New Roman"/>
          <w:color w:val="000000" w:themeColor="text1"/>
          <w:sz w:val="16"/>
          <w:szCs w:val="16"/>
        </w:rPr>
        <w:softHyphen/>
        <w:t xml:space="preserve">гих управлений будут </w:t>
      </w:r>
      <w:proofErr w:type="spellStart"/>
      <w:r w:rsidRPr="00A259BD">
        <w:rPr>
          <w:rFonts w:ascii="Times New Roman" w:hAnsi="Times New Roman"/>
          <w:color w:val="000000" w:themeColor="text1"/>
          <w:sz w:val="16"/>
          <w:szCs w:val="16"/>
        </w:rPr>
        <w:t>итти</w:t>
      </w:r>
      <w:proofErr w:type="spellEnd"/>
      <w:r w:rsidRPr="00A259BD">
        <w:rPr>
          <w:rFonts w:ascii="Times New Roman" w:hAnsi="Times New Roman"/>
          <w:color w:val="000000" w:themeColor="text1"/>
          <w:sz w:val="16"/>
          <w:szCs w:val="16"/>
        </w:rPr>
        <w:t xml:space="preserve"> по их линии.</w:t>
      </w:r>
    </w:p>
    <w:p w14:paraId="2AE3BE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Пятилетний план опытного строительства по вооружению и специальным службам ВВС РККА предусматривает разработку следующих основных вопросов:</w:t>
      </w:r>
    </w:p>
    <w:p w14:paraId="7DFD8A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Стрелковое вооружение /пушки, пулеметы, прицелы для стрельбы, патроны и снаряды/.</w:t>
      </w:r>
    </w:p>
    <w:p w14:paraId="02A6E6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Бронирование самолетов.</w:t>
      </w:r>
    </w:p>
    <w:p w14:paraId="57F6CF6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Бомбардировочное и торпедное вооружение самолетов /бомбы, взры</w:t>
      </w:r>
      <w:r w:rsidRPr="00A259BD">
        <w:rPr>
          <w:rFonts w:ascii="Times New Roman" w:hAnsi="Times New Roman"/>
          <w:color w:val="000000" w:themeColor="text1"/>
          <w:sz w:val="16"/>
          <w:szCs w:val="16"/>
        </w:rPr>
        <w:softHyphen/>
        <w:t>ватели, торпеды, мины, прицелы для бомбардирования и торпедометания/,</w:t>
      </w:r>
    </w:p>
    <w:p w14:paraId="32801F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Химическую службу ВВС /дымообразующие приборы, приборы типа ВАП, противогазы/.</w:t>
      </w:r>
    </w:p>
    <w:p w14:paraId="783ADF5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Корректирование артиллерийской стрельбы /приборы для корректиро</w:t>
      </w:r>
      <w:r w:rsidRPr="00A259BD">
        <w:rPr>
          <w:rFonts w:ascii="Times New Roman" w:hAnsi="Times New Roman"/>
          <w:color w:val="000000" w:themeColor="text1"/>
          <w:sz w:val="16"/>
          <w:szCs w:val="16"/>
        </w:rPr>
        <w:softHyphen/>
        <w:t>вания/.</w:t>
      </w:r>
    </w:p>
    <w:p w14:paraId="0597F7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Военную пиротехнику /сигнальные и осветительные средства/.</w:t>
      </w:r>
    </w:p>
    <w:p w14:paraId="31F29E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Аэронавигацию /аэронавигационные и контрольные приборы/.</w:t>
      </w:r>
    </w:p>
    <w:p w14:paraId="43B428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Метеорологию /метеорологические приборы/.</w:t>
      </w:r>
    </w:p>
    <w:p w14:paraId="717997C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w:t>
      </w:r>
      <w:proofErr w:type="spellStart"/>
      <w:r w:rsidRPr="00A259BD">
        <w:rPr>
          <w:rFonts w:ascii="Times New Roman" w:hAnsi="Times New Roman"/>
          <w:color w:val="000000" w:themeColor="text1"/>
          <w:sz w:val="16"/>
          <w:szCs w:val="16"/>
        </w:rPr>
        <w:t>Аэрофото</w:t>
      </w:r>
      <w:proofErr w:type="spellEnd"/>
      <w:r w:rsidRPr="00A259BD">
        <w:rPr>
          <w:rFonts w:ascii="Times New Roman" w:hAnsi="Times New Roman"/>
          <w:color w:val="000000" w:themeColor="text1"/>
          <w:sz w:val="16"/>
          <w:szCs w:val="16"/>
        </w:rPr>
        <w:t xml:space="preserve"> службу /аэрофотоаппараты, фотопулеметы, фотолаборатории в их оборудование, фотоматериалы/.</w:t>
      </w:r>
    </w:p>
    <w:p w14:paraId="60C0E7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Радиодело /самолетные и земные радиостанции ВВС, аварийные ра</w:t>
      </w:r>
      <w:r w:rsidRPr="00A259BD">
        <w:rPr>
          <w:rFonts w:ascii="Times New Roman" w:hAnsi="Times New Roman"/>
          <w:color w:val="000000" w:themeColor="text1"/>
          <w:sz w:val="16"/>
          <w:szCs w:val="16"/>
        </w:rPr>
        <w:softHyphen/>
        <w:t>ции, самолетные источники электрической энергии/.</w:t>
      </w:r>
    </w:p>
    <w:p w14:paraId="636F2F5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Службу электротехники и светотехники /проектирование установки для освещения места посадки, маяки и вспомогательное электрообору</w:t>
      </w:r>
      <w:r w:rsidRPr="00A259BD">
        <w:rPr>
          <w:rFonts w:ascii="Times New Roman" w:hAnsi="Times New Roman"/>
          <w:color w:val="000000" w:themeColor="text1"/>
          <w:sz w:val="16"/>
          <w:szCs w:val="16"/>
        </w:rPr>
        <w:softHyphen/>
        <w:t>дование аэродромов./</w:t>
      </w:r>
    </w:p>
    <w:p w14:paraId="3B789E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I2. Вспомогательное оборудование самолетов /парашюты, огнетушите</w:t>
      </w:r>
      <w:r w:rsidRPr="00A259BD">
        <w:rPr>
          <w:rFonts w:ascii="Times New Roman" w:hAnsi="Times New Roman"/>
          <w:color w:val="000000" w:themeColor="text1"/>
          <w:sz w:val="16"/>
          <w:szCs w:val="16"/>
        </w:rPr>
        <w:softHyphen/>
        <w:t>ли, кислородные приборы/.</w:t>
      </w:r>
    </w:p>
    <w:p w14:paraId="1D65C30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Учебные приборы /для обучения стрельбе и бомбардированию, воз</w:t>
      </w:r>
      <w:r w:rsidRPr="00A259BD">
        <w:rPr>
          <w:rFonts w:ascii="Times New Roman" w:hAnsi="Times New Roman"/>
          <w:color w:val="000000" w:themeColor="text1"/>
          <w:sz w:val="16"/>
          <w:szCs w:val="16"/>
        </w:rPr>
        <w:softHyphen/>
        <w:t>душные мишени/.</w:t>
      </w:r>
    </w:p>
    <w:p w14:paraId="63F6FF2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Стрелковое, бомбардировочное и торпедное оборудование самоле</w:t>
      </w:r>
      <w:r w:rsidRPr="00A259BD">
        <w:rPr>
          <w:rFonts w:ascii="Times New Roman" w:hAnsi="Times New Roman"/>
          <w:color w:val="000000" w:themeColor="text1"/>
          <w:sz w:val="16"/>
          <w:szCs w:val="16"/>
        </w:rPr>
        <w:softHyphen/>
        <w:t>тов /неподвижные пулеметные установки, турели, специальные стрелко</w:t>
      </w:r>
      <w:r w:rsidRPr="00A259BD">
        <w:rPr>
          <w:rFonts w:ascii="Times New Roman" w:hAnsi="Times New Roman"/>
          <w:color w:val="000000" w:themeColor="text1"/>
          <w:sz w:val="16"/>
          <w:szCs w:val="16"/>
        </w:rPr>
        <w:softHyphen/>
        <w:t xml:space="preserve">вые установки, бомбодержатели, </w:t>
      </w:r>
      <w:proofErr w:type="spellStart"/>
      <w:r w:rsidRPr="00A259BD">
        <w:rPr>
          <w:rFonts w:ascii="Times New Roman" w:hAnsi="Times New Roman"/>
          <w:color w:val="000000" w:themeColor="text1"/>
          <w:sz w:val="16"/>
          <w:szCs w:val="16"/>
        </w:rPr>
        <w:t>торпедодержатели</w:t>
      </w:r>
      <w:proofErr w:type="spellEnd"/>
      <w:r w:rsidRPr="00A259BD">
        <w:rPr>
          <w:rFonts w:ascii="Times New Roman" w:hAnsi="Times New Roman"/>
          <w:color w:val="000000" w:themeColor="text1"/>
          <w:sz w:val="16"/>
          <w:szCs w:val="16"/>
        </w:rPr>
        <w:t xml:space="preserve"> и сбрасыватели/.</w:t>
      </w:r>
    </w:p>
    <w:p w14:paraId="15A6D2A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Приспособление /монтировку/ предметов вооружения и сигнального оборудования на самолеты, стоящие в строю ВВС и предусмотренные к постройке пятилетний планом опытного самолетостроения.</w:t>
      </w:r>
    </w:p>
    <w:p w14:paraId="3BEB60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План опытного строительства по вышеуказанным вопросам построен с одной стороны, на основе </w:t>
      </w:r>
      <w:proofErr w:type="spellStart"/>
      <w:r w:rsidRPr="00A259BD">
        <w:rPr>
          <w:rFonts w:ascii="Times New Roman" w:hAnsi="Times New Roman"/>
          <w:color w:val="000000" w:themeColor="text1"/>
          <w:sz w:val="16"/>
          <w:szCs w:val="16"/>
        </w:rPr>
        <w:t>аналиаа</w:t>
      </w:r>
      <w:proofErr w:type="spellEnd"/>
      <w:r w:rsidRPr="00A259BD">
        <w:rPr>
          <w:rFonts w:ascii="Times New Roman" w:hAnsi="Times New Roman"/>
          <w:color w:val="000000" w:themeColor="text1"/>
          <w:sz w:val="16"/>
          <w:szCs w:val="16"/>
        </w:rPr>
        <w:t xml:space="preserve"> современного состояния вооруже</w:t>
      </w:r>
      <w:r w:rsidRPr="00A259BD">
        <w:rPr>
          <w:rFonts w:ascii="Times New Roman" w:hAnsi="Times New Roman"/>
          <w:color w:val="000000" w:themeColor="text1"/>
          <w:sz w:val="16"/>
          <w:szCs w:val="16"/>
        </w:rPr>
        <w:softHyphen/>
        <w:t xml:space="preserve">ния </w:t>
      </w:r>
      <w:proofErr w:type="spellStart"/>
      <w:r w:rsidRPr="00A259BD">
        <w:rPr>
          <w:rFonts w:ascii="Times New Roman" w:hAnsi="Times New Roman"/>
          <w:color w:val="000000" w:themeColor="text1"/>
          <w:sz w:val="16"/>
          <w:szCs w:val="16"/>
        </w:rPr>
        <w:t>самолагов</w:t>
      </w:r>
      <w:proofErr w:type="spellEnd"/>
      <w:r w:rsidRPr="00A259BD">
        <w:rPr>
          <w:rFonts w:ascii="Times New Roman" w:hAnsi="Times New Roman"/>
          <w:color w:val="000000" w:themeColor="text1"/>
          <w:sz w:val="16"/>
          <w:szCs w:val="16"/>
        </w:rPr>
        <w:t xml:space="preserve"> и специальных служб и перспектив развития этих отрас</w:t>
      </w:r>
      <w:r w:rsidRPr="00A259BD">
        <w:rPr>
          <w:rFonts w:ascii="Times New Roman" w:hAnsi="Times New Roman"/>
          <w:color w:val="000000" w:themeColor="text1"/>
          <w:sz w:val="16"/>
          <w:szCs w:val="16"/>
        </w:rPr>
        <w:softHyphen/>
        <w:t>лей военной техники на ближайшее время, и с другой стороны, на основе тех тактико-технических требований, которые предъявляются вооружению и специальными службами ВВС развитием самолетостроения по пятилетнему плану.</w:t>
      </w:r>
    </w:p>
    <w:p w14:paraId="4FDF0BB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Основной установкой плана является достижение таких </w:t>
      </w:r>
      <w:proofErr w:type="spellStart"/>
      <w:r w:rsidRPr="00A259BD">
        <w:rPr>
          <w:rFonts w:ascii="Times New Roman" w:hAnsi="Times New Roman"/>
          <w:color w:val="000000" w:themeColor="text1"/>
          <w:sz w:val="16"/>
          <w:szCs w:val="16"/>
        </w:rPr>
        <w:t>тактичкских</w:t>
      </w:r>
      <w:proofErr w:type="spellEnd"/>
      <w:r w:rsidRPr="00A259BD">
        <w:rPr>
          <w:rFonts w:ascii="Times New Roman" w:hAnsi="Times New Roman"/>
          <w:color w:val="000000" w:themeColor="text1"/>
          <w:sz w:val="16"/>
          <w:szCs w:val="16"/>
        </w:rPr>
        <w:t xml:space="preserve"> и технических данных отдельных образцов вооружения, оборудования в предметов специальных служб, которые позволили бы устранить нашу техническую </w:t>
      </w:r>
      <w:proofErr w:type="spellStart"/>
      <w:r w:rsidRPr="00A259BD">
        <w:rPr>
          <w:rFonts w:ascii="Times New Roman" w:hAnsi="Times New Roman"/>
          <w:color w:val="000000" w:themeColor="text1"/>
          <w:sz w:val="16"/>
          <w:szCs w:val="16"/>
        </w:rPr>
        <w:t>осталость</w:t>
      </w:r>
      <w:proofErr w:type="spellEnd"/>
      <w:r w:rsidRPr="00A259BD">
        <w:rPr>
          <w:rFonts w:ascii="Times New Roman" w:hAnsi="Times New Roman"/>
          <w:color w:val="000000" w:themeColor="text1"/>
          <w:sz w:val="16"/>
          <w:szCs w:val="16"/>
        </w:rPr>
        <w:t xml:space="preserve"> и, следовательно, зависимость от заграницы и сравняли бы состояние нашей военно-воздушной техники с иностранны</w:t>
      </w:r>
      <w:r w:rsidRPr="00A259BD">
        <w:rPr>
          <w:rFonts w:ascii="Times New Roman" w:hAnsi="Times New Roman"/>
          <w:color w:val="000000" w:themeColor="text1"/>
          <w:sz w:val="16"/>
          <w:szCs w:val="16"/>
        </w:rPr>
        <w:softHyphen/>
        <w:t>ми достижениями.</w:t>
      </w:r>
    </w:p>
    <w:p w14:paraId="3AD053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Техническая характеристика образцам дана подробно в пояснительных записках к каждому разделу и приложении, ниже дается лишь перечень основных работ.</w:t>
      </w:r>
    </w:p>
    <w:p w14:paraId="652CAD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работы плана по главнейшим вопросам сводятся к следующему:</w:t>
      </w:r>
    </w:p>
    <w:p w14:paraId="7E005E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Группа работ по стрелковому вооружению самолетов. Намечается усиление стрелкового вооружения самолетов путем внедре</w:t>
      </w:r>
      <w:r w:rsidRPr="00A259BD">
        <w:rPr>
          <w:rFonts w:ascii="Times New Roman" w:hAnsi="Times New Roman"/>
          <w:color w:val="000000" w:themeColor="text1"/>
          <w:sz w:val="16"/>
          <w:szCs w:val="16"/>
        </w:rPr>
        <w:softHyphen/>
        <w:t>ния пушек, крупнокалиберных пулеметов, ускорения темпа стрельбы обычных пулеметов “.и, что особенно важно, увеличение дальности стрельбы, путем создания прицелов, автоматически вводящих необхо</w:t>
      </w:r>
      <w:r w:rsidRPr="00A259BD">
        <w:rPr>
          <w:rFonts w:ascii="Times New Roman" w:hAnsi="Times New Roman"/>
          <w:color w:val="000000" w:themeColor="text1"/>
          <w:sz w:val="16"/>
          <w:szCs w:val="16"/>
        </w:rPr>
        <w:softHyphen/>
        <w:t>димые поправки.</w:t>
      </w:r>
    </w:p>
    <w:p w14:paraId="6F3BE8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предусматриваются значительное развитие работ по соз</w:t>
      </w:r>
      <w:r w:rsidRPr="00A259BD">
        <w:rPr>
          <w:rFonts w:ascii="Times New Roman" w:hAnsi="Times New Roman"/>
          <w:color w:val="000000" w:themeColor="text1"/>
          <w:sz w:val="16"/>
          <w:szCs w:val="16"/>
        </w:rPr>
        <w:softHyphen/>
        <w:t>данию пуль и снарядов специального назначения.</w:t>
      </w:r>
    </w:p>
    <w:p w14:paraId="685A6E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этой группе предусматривается постройка:</w:t>
      </w:r>
    </w:p>
    <w:p w14:paraId="704BE2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типов самолетных пушек со снарядами к ним</w:t>
      </w:r>
    </w:p>
    <w:p w14:paraId="2A3985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типов крупнокалиберных пулеметов</w:t>
      </w:r>
    </w:p>
    <w:p w14:paraId="7BB7D20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типов скорострельных пулеметов обычного калибра /три из них в постройке/</w:t>
      </w:r>
    </w:p>
    <w:p w14:paraId="560296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 специальными патронами к ним:</w:t>
      </w:r>
    </w:p>
    <w:p w14:paraId="3C47A7E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образца прицелов для стрельбы из пулеметов калибра 7,62 мм. и 12,7 мм. и самолетных пушек.</w:t>
      </w:r>
    </w:p>
    <w:p w14:paraId="2400BF7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Группа работ по бронированию самолетов.</w:t>
      </w:r>
    </w:p>
    <w:p w14:paraId="4BBE89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Намечена разработка 6 образцов броней и два опытных бронирования отдельных частей самолетов /кроме работ по бронированию самолетов штурмовиков, отнесенных в план </w:t>
      </w:r>
      <w:proofErr w:type="spellStart"/>
      <w:r w:rsidRPr="00A259BD">
        <w:rPr>
          <w:rFonts w:ascii="Times New Roman" w:hAnsi="Times New Roman"/>
          <w:color w:val="000000" w:themeColor="text1"/>
          <w:sz w:val="16"/>
          <w:szCs w:val="16"/>
        </w:rPr>
        <w:t>спытного</w:t>
      </w:r>
      <w:proofErr w:type="spellEnd"/>
      <w:r w:rsidRPr="00A259BD">
        <w:rPr>
          <w:rFonts w:ascii="Times New Roman" w:hAnsi="Times New Roman"/>
          <w:color w:val="000000" w:themeColor="text1"/>
          <w:sz w:val="16"/>
          <w:szCs w:val="16"/>
        </w:rPr>
        <w:t xml:space="preserve"> самолетостроения/.</w:t>
      </w:r>
    </w:p>
    <w:p w14:paraId="67AE00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Группа работ по бомбардировочному и торпедному вооружению самолетов.</w:t>
      </w:r>
    </w:p>
    <w:p w14:paraId="19455C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Предположена разработка и введение на вооружение бомб, имеющих заменить бомбы старых образцов и разработка крупнокалиберных бомб, предназначенных для борьбы с флотом противника и для специальных целей. Значительное место отведено строительству химических </w:t>
      </w:r>
      <w:proofErr w:type="spellStart"/>
      <w:r w:rsidRPr="00A259BD">
        <w:rPr>
          <w:rFonts w:ascii="Times New Roman" w:hAnsi="Times New Roman"/>
          <w:color w:val="000000" w:themeColor="text1"/>
          <w:sz w:val="16"/>
          <w:szCs w:val="16"/>
        </w:rPr>
        <w:t>аэро</w:t>
      </w:r>
      <w:r w:rsidRPr="00A259BD">
        <w:rPr>
          <w:rFonts w:ascii="Times New Roman" w:hAnsi="Times New Roman"/>
          <w:color w:val="000000" w:themeColor="text1"/>
          <w:sz w:val="16"/>
          <w:szCs w:val="16"/>
        </w:rPr>
        <w:softHyphen/>
        <w:t>бомб</w:t>
      </w:r>
      <w:proofErr w:type="spellEnd"/>
      <w:r w:rsidRPr="00A259BD">
        <w:rPr>
          <w:rFonts w:ascii="Times New Roman" w:hAnsi="Times New Roman"/>
          <w:color w:val="000000" w:themeColor="text1"/>
          <w:sz w:val="16"/>
          <w:szCs w:val="16"/>
        </w:rPr>
        <w:t xml:space="preserve"> крупного калибра и развитие работ по торпедам для ВВС.</w:t>
      </w:r>
    </w:p>
    <w:p w14:paraId="150309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области строительства прицелов для бомбардирования и торпедометания намечен переход на автоматические прицелы и сбрасыватели и введение приспособлений для автоматического управления полетом на боевом курсе.</w:t>
      </w:r>
    </w:p>
    <w:p w14:paraId="30834F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По этой группе работ намечено разработать: 56 типов </w:t>
      </w:r>
      <w:proofErr w:type="spellStart"/>
      <w:r w:rsidRPr="00A259BD">
        <w:rPr>
          <w:rFonts w:ascii="Times New Roman" w:hAnsi="Times New Roman"/>
          <w:color w:val="000000" w:themeColor="text1"/>
          <w:sz w:val="16"/>
          <w:szCs w:val="16"/>
        </w:rPr>
        <w:t>аэробомб</w:t>
      </w:r>
      <w:proofErr w:type="spellEnd"/>
      <w:r w:rsidRPr="00A259BD">
        <w:rPr>
          <w:rFonts w:ascii="Times New Roman" w:hAnsi="Times New Roman"/>
          <w:color w:val="000000" w:themeColor="text1"/>
          <w:sz w:val="16"/>
          <w:szCs w:val="16"/>
        </w:rPr>
        <w:t xml:space="preserve"> разного назначения /фугасных, осколочных, химических, дымовых, зажигательных/, светящих, </w:t>
      </w:r>
      <w:proofErr w:type="spellStart"/>
      <w:r w:rsidRPr="00A259BD">
        <w:rPr>
          <w:rFonts w:ascii="Times New Roman" w:hAnsi="Times New Roman"/>
          <w:color w:val="000000" w:themeColor="text1"/>
          <w:sz w:val="16"/>
          <w:szCs w:val="16"/>
        </w:rPr>
        <w:t>азронавигационных</w:t>
      </w:r>
      <w:proofErr w:type="spellEnd"/>
      <w:r w:rsidRPr="00A259BD">
        <w:rPr>
          <w:rFonts w:ascii="Times New Roman" w:hAnsi="Times New Roman"/>
          <w:color w:val="000000" w:themeColor="text1"/>
          <w:sz w:val="16"/>
          <w:szCs w:val="16"/>
        </w:rPr>
        <w:t xml:space="preserve">, пристрелочных, практических, для </w:t>
      </w:r>
      <w:proofErr w:type="spellStart"/>
      <w:r w:rsidRPr="00A259BD">
        <w:rPr>
          <w:rFonts w:ascii="Times New Roman" w:hAnsi="Times New Roman"/>
          <w:color w:val="000000" w:themeColor="text1"/>
          <w:sz w:val="16"/>
          <w:szCs w:val="16"/>
        </w:rPr>
        <w:t>сбраскванвя</w:t>
      </w:r>
      <w:proofErr w:type="spellEnd"/>
      <w:r w:rsidRPr="00A259BD">
        <w:rPr>
          <w:rFonts w:ascii="Times New Roman" w:hAnsi="Times New Roman"/>
          <w:color w:val="000000" w:themeColor="text1"/>
          <w:sz w:val="16"/>
          <w:szCs w:val="16"/>
        </w:rPr>
        <w:t xml:space="preserve"> литературы и др./</w:t>
      </w:r>
    </w:p>
    <w:p w14:paraId="3890808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образца взрывателей и трубок к </w:t>
      </w:r>
      <w:proofErr w:type="spellStart"/>
      <w:r w:rsidRPr="00A259BD">
        <w:rPr>
          <w:rFonts w:ascii="Times New Roman" w:hAnsi="Times New Roman"/>
          <w:color w:val="000000" w:themeColor="text1"/>
          <w:sz w:val="16"/>
          <w:szCs w:val="16"/>
        </w:rPr>
        <w:t>аэробомбам</w:t>
      </w:r>
      <w:proofErr w:type="spellEnd"/>
      <w:r w:rsidRPr="00A259BD">
        <w:rPr>
          <w:rFonts w:ascii="Times New Roman" w:hAnsi="Times New Roman"/>
          <w:color w:val="000000" w:themeColor="text1"/>
          <w:sz w:val="16"/>
          <w:szCs w:val="16"/>
        </w:rPr>
        <w:t>.</w:t>
      </w:r>
    </w:p>
    <w:p w14:paraId="1A9FE23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образцов прицелов для бомбардирования для штурмовиков, легких и тяжелых бомбардировщиков.</w:t>
      </w:r>
    </w:p>
    <w:p w14:paraId="02B5EE5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типа приборов для автоматического хождения самолетов при бомбардировании.</w:t>
      </w:r>
    </w:p>
    <w:p w14:paraId="18842B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типа торпед для низкого торпедометания,</w:t>
      </w:r>
    </w:p>
    <w:p w14:paraId="218505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тип для высокого торпедометания.</w:t>
      </w:r>
    </w:p>
    <w:p w14:paraId="072815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типа мин заграждения.</w:t>
      </w:r>
    </w:p>
    <w:p w14:paraId="27BAF1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образцов прицелов для </w:t>
      </w:r>
      <w:proofErr w:type="spellStart"/>
      <w:r w:rsidRPr="00A259BD">
        <w:rPr>
          <w:rFonts w:ascii="Times New Roman" w:hAnsi="Times New Roman"/>
          <w:color w:val="000000" w:themeColor="text1"/>
          <w:sz w:val="16"/>
          <w:szCs w:val="16"/>
        </w:rPr>
        <w:t>топедометания</w:t>
      </w:r>
      <w:proofErr w:type="spellEnd"/>
      <w:r w:rsidRPr="00A259BD">
        <w:rPr>
          <w:rFonts w:ascii="Times New Roman" w:hAnsi="Times New Roman"/>
          <w:color w:val="000000" w:themeColor="text1"/>
          <w:sz w:val="16"/>
          <w:szCs w:val="16"/>
        </w:rPr>
        <w:t>.</w:t>
      </w:r>
    </w:p>
    <w:p w14:paraId="49E1CE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Химическая служба ВВС.</w:t>
      </w:r>
    </w:p>
    <w:p w14:paraId="76AE68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разработки химических бомб и бомб специального назначения значительное усиление разработок приборов для постановки дымовых завес и приборов типа ВАП.</w:t>
      </w:r>
    </w:p>
    <w:p w14:paraId="1BF8BC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имеется в виду разработать:</w:t>
      </w:r>
    </w:p>
    <w:p w14:paraId="3058BE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образцов дымообразующих приборов.</w:t>
      </w:r>
    </w:p>
    <w:p w14:paraId="5780DF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образца приборов для выливания ОВ /тип ВАП/</w:t>
      </w:r>
    </w:p>
    <w:p w14:paraId="05F900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образца различных станций для приборов ВАП.</w:t>
      </w:r>
    </w:p>
    <w:p w14:paraId="3C993E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образца противогазовых самолетных масок и шлемов.</w:t>
      </w:r>
    </w:p>
    <w:p w14:paraId="5DF35E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образца противогазовых летных костюмов.</w:t>
      </w:r>
    </w:p>
    <w:p w14:paraId="5C8D79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Новые средства борьбы с </w:t>
      </w:r>
      <w:proofErr w:type="spellStart"/>
      <w:r w:rsidRPr="00A259BD">
        <w:rPr>
          <w:rFonts w:ascii="Times New Roman" w:hAnsi="Times New Roman"/>
          <w:color w:val="000000" w:themeColor="text1"/>
          <w:sz w:val="16"/>
          <w:szCs w:val="16"/>
        </w:rPr>
        <w:t>с</w:t>
      </w:r>
      <w:proofErr w:type="spellEnd"/>
      <w:r w:rsidRPr="00A259BD">
        <w:rPr>
          <w:rFonts w:ascii="Times New Roman" w:hAnsi="Times New Roman"/>
          <w:color w:val="000000" w:themeColor="text1"/>
          <w:sz w:val="16"/>
          <w:szCs w:val="16"/>
        </w:rPr>
        <w:t xml:space="preserve"> земными </w:t>
      </w:r>
      <w:proofErr w:type="spellStart"/>
      <w:r w:rsidRPr="00A259BD">
        <w:rPr>
          <w:rFonts w:ascii="Times New Roman" w:hAnsi="Times New Roman"/>
          <w:color w:val="000000" w:themeColor="text1"/>
          <w:sz w:val="16"/>
          <w:szCs w:val="16"/>
        </w:rPr>
        <w:t>об”ектами</w:t>
      </w:r>
      <w:proofErr w:type="spellEnd"/>
      <w:r w:rsidRPr="00A259BD">
        <w:rPr>
          <w:rFonts w:ascii="Times New Roman" w:hAnsi="Times New Roman"/>
          <w:color w:val="000000" w:themeColor="text1"/>
          <w:sz w:val="16"/>
          <w:szCs w:val="16"/>
        </w:rPr>
        <w:t>.</w:t>
      </w:r>
    </w:p>
    <w:p w14:paraId="3A7612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Намечена разработка и постройка 2-х образцов планирующей мины для борьбы с морским флотом противника и разрушения особо ценных и прочных земных объектов и разработка 2-х образцов ротативной мины с парашютом для разрушения железнодорожных мостов.</w:t>
      </w:r>
    </w:p>
    <w:p w14:paraId="5EA101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Корректирование артиллерийской стрельбы. Впервые ставится разработка специальных приборов облегчающих, ускоряющих и уточняющих корректирование артиллерийского огня. Уклон в разработках дан на корректирование стрельбы судовой и бе</w:t>
      </w:r>
      <w:r w:rsidRPr="00A259BD">
        <w:rPr>
          <w:rFonts w:ascii="Times New Roman" w:hAnsi="Times New Roman"/>
          <w:color w:val="000000" w:themeColor="text1"/>
          <w:sz w:val="16"/>
          <w:szCs w:val="16"/>
        </w:rPr>
        <w:softHyphen/>
        <w:t>реговой артиллерии.</w:t>
      </w:r>
    </w:p>
    <w:p w14:paraId="61CC22B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Предполагается разработать 5 образцов этих приборов. Кроме того, к этой группе работ </w:t>
      </w:r>
      <w:proofErr w:type="spellStart"/>
      <w:r w:rsidRPr="00A259BD">
        <w:rPr>
          <w:rFonts w:ascii="Times New Roman" w:hAnsi="Times New Roman"/>
          <w:color w:val="000000" w:themeColor="text1"/>
          <w:sz w:val="16"/>
          <w:szCs w:val="16"/>
        </w:rPr>
        <w:t>отнеезна</w:t>
      </w:r>
      <w:proofErr w:type="spellEnd"/>
      <w:r w:rsidRPr="00A259BD">
        <w:rPr>
          <w:rFonts w:ascii="Times New Roman" w:hAnsi="Times New Roman"/>
          <w:color w:val="000000" w:themeColor="text1"/>
          <w:sz w:val="16"/>
          <w:szCs w:val="16"/>
        </w:rPr>
        <w:t xml:space="preserve"> разработка и постройка 2-х образцов зрительных труб для улучшения визуальной разведки.</w:t>
      </w:r>
    </w:p>
    <w:p w14:paraId="6F5BF69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Военная пиротехника,</w:t>
      </w:r>
    </w:p>
    <w:p w14:paraId="361080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области военной пиротехники ВВС, кроме разработок, имеющих целью улучшить существующие к вводимые на. вооружение образцы, намечены разработки новых, еще не существовавших до настоящего времени ава</w:t>
      </w:r>
      <w:r w:rsidRPr="00A259BD">
        <w:rPr>
          <w:rFonts w:ascii="Times New Roman" w:hAnsi="Times New Roman"/>
          <w:color w:val="000000" w:themeColor="text1"/>
          <w:sz w:val="16"/>
          <w:szCs w:val="16"/>
        </w:rPr>
        <w:softHyphen/>
        <w:t>рийных сигналов и подсобных осветительных и сигнальных средств, дневных и ночных /всего 17 различных образцов/.</w:t>
      </w:r>
    </w:p>
    <w:p w14:paraId="321A14F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Аэронавигация и метеорология.</w:t>
      </w:r>
    </w:p>
    <w:p w14:paraId="2DA3B1C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области аэронавигации и метеорологии предположена разработка аэронавигационных приборов высокой точности и установление стан</w:t>
      </w:r>
      <w:r w:rsidRPr="00A259BD">
        <w:rPr>
          <w:rFonts w:ascii="Times New Roman" w:hAnsi="Times New Roman"/>
          <w:color w:val="000000" w:themeColor="text1"/>
          <w:sz w:val="16"/>
          <w:szCs w:val="16"/>
        </w:rPr>
        <w:softHyphen/>
        <w:t xml:space="preserve">дартов для образцов, </w:t>
      </w:r>
      <w:proofErr w:type="spellStart"/>
      <w:r w:rsidRPr="00A259BD">
        <w:rPr>
          <w:rFonts w:ascii="Times New Roman" w:hAnsi="Times New Roman"/>
          <w:color w:val="000000" w:themeColor="text1"/>
          <w:sz w:val="16"/>
          <w:szCs w:val="16"/>
        </w:rPr>
        <w:t>строющихся</w:t>
      </w:r>
      <w:proofErr w:type="spellEnd"/>
      <w:r w:rsidRPr="00A259BD">
        <w:rPr>
          <w:rFonts w:ascii="Times New Roman" w:hAnsi="Times New Roman"/>
          <w:color w:val="000000" w:themeColor="text1"/>
          <w:sz w:val="16"/>
          <w:szCs w:val="16"/>
        </w:rPr>
        <w:t xml:space="preserve"> промышленностью Союза в течение ряда лет.</w:t>
      </w:r>
    </w:p>
    <w:p w14:paraId="7BE916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Намечена разработка и постройка:</w:t>
      </w:r>
    </w:p>
    <w:p w14:paraId="381AF2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образцов аэронавигационных и контрольных приборов.</w:t>
      </w:r>
    </w:p>
    <w:p w14:paraId="7CC409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образцов походных </w:t>
      </w:r>
      <w:proofErr w:type="spellStart"/>
      <w:r w:rsidRPr="00A259BD">
        <w:rPr>
          <w:rFonts w:ascii="Times New Roman" w:hAnsi="Times New Roman"/>
          <w:color w:val="000000" w:themeColor="text1"/>
          <w:sz w:val="16"/>
          <w:szCs w:val="16"/>
        </w:rPr>
        <w:t>поверительных</w:t>
      </w:r>
      <w:proofErr w:type="spellEnd"/>
      <w:r w:rsidRPr="00A259BD">
        <w:rPr>
          <w:rFonts w:ascii="Times New Roman" w:hAnsi="Times New Roman"/>
          <w:color w:val="000000" w:themeColor="text1"/>
          <w:sz w:val="16"/>
          <w:szCs w:val="16"/>
        </w:rPr>
        <w:t xml:space="preserve"> приборов и</w:t>
      </w:r>
    </w:p>
    <w:p w14:paraId="07BDAD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образцов метеорологических приборов /стандартных образцов/.</w:t>
      </w:r>
    </w:p>
    <w:p w14:paraId="12C730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Фото служба. Большое внимание уделено разработке и постройке автоматических и специального назначения фотоаппаратов, приборов для дешифрирования и фотооборудования, ускоряющего обработку аэроснимков.</w:t>
      </w:r>
    </w:p>
    <w:p w14:paraId="7E8938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этой группе работ предусматривается разработка и постройка.</w:t>
      </w:r>
    </w:p>
    <w:p w14:paraId="715BCBD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образцов аэрофотоаппаратов с объективами к ним /аэрофотоаппарат с объективами к ним /аэрофотоаппаратов для ортогональной и перспективной съемки, фотопулеметы и камеры специального назначения/.</w:t>
      </w:r>
    </w:p>
    <w:p w14:paraId="69A9305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образцов </w:t>
      </w:r>
      <w:proofErr w:type="spellStart"/>
      <w:r w:rsidRPr="00A259BD">
        <w:rPr>
          <w:rFonts w:ascii="Times New Roman" w:hAnsi="Times New Roman"/>
          <w:color w:val="000000" w:themeColor="text1"/>
          <w:sz w:val="16"/>
          <w:szCs w:val="16"/>
        </w:rPr>
        <w:t>аэрофотоустановок</w:t>
      </w:r>
      <w:proofErr w:type="spellEnd"/>
      <w:r w:rsidRPr="00A259BD">
        <w:rPr>
          <w:rFonts w:ascii="Times New Roman" w:hAnsi="Times New Roman"/>
          <w:color w:val="000000" w:themeColor="text1"/>
          <w:sz w:val="16"/>
          <w:szCs w:val="16"/>
        </w:rPr>
        <w:t>.</w:t>
      </w:r>
    </w:p>
    <w:p w14:paraId="1AB107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образцов походных фотолабораторий.</w:t>
      </w:r>
    </w:p>
    <w:p w14:paraId="146B17F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образцов предметов оборудования фотолаборатории.</w:t>
      </w:r>
    </w:p>
    <w:p w14:paraId="6B8321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Радиослужба ВВС</w:t>
      </w:r>
    </w:p>
    <w:p w14:paraId="209D33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Планом намечается разработка и постройка:</w:t>
      </w:r>
    </w:p>
    <w:p w14:paraId="49BCB3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образцов самолетных при ем но -пере дающих радиостанций по разным линиям связи.</w:t>
      </w:r>
    </w:p>
    <w:p w14:paraId="674966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образцов приемников специального назначения.</w:t>
      </w:r>
    </w:p>
    <w:p w14:paraId="05FE948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образца передающих станций.</w:t>
      </w:r>
    </w:p>
    <w:p w14:paraId="1295A1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образца динамомашины.</w:t>
      </w:r>
    </w:p>
    <w:p w14:paraId="116BAD0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образца аварийных самолетных раций.</w:t>
      </w:r>
    </w:p>
    <w:p w14:paraId="6ADAA5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образцов отдельных частей и раций и</w:t>
      </w:r>
    </w:p>
    <w:p w14:paraId="60FFF7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образцов приборов для управления самолетом по радио.</w:t>
      </w:r>
    </w:p>
    <w:p w14:paraId="56CBC9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Служба электротехники и светотехники</w:t>
      </w:r>
    </w:p>
    <w:p w14:paraId="630046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этой службе ВВС намечается значительное форсирование по созданию образцов прожекторных установок для освещения места посадки, разработка маяков и вспомогательного электроосветительного обору</w:t>
      </w:r>
      <w:r w:rsidRPr="00A259BD">
        <w:rPr>
          <w:rFonts w:ascii="Times New Roman" w:hAnsi="Times New Roman"/>
          <w:color w:val="000000" w:themeColor="text1"/>
          <w:sz w:val="16"/>
          <w:szCs w:val="16"/>
        </w:rPr>
        <w:softHyphen/>
        <w:t>дования аэродромов. Предположена разработка и постройка:</w:t>
      </w:r>
    </w:p>
    <w:p w14:paraId="1C949E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образцов прожекторных установок для освещения места посадки.</w:t>
      </w:r>
    </w:p>
    <w:p w14:paraId="0C89FCF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образцов предметов вспомогательного светотехнического оборудова</w:t>
      </w:r>
      <w:r w:rsidRPr="00A259BD">
        <w:rPr>
          <w:rFonts w:ascii="Times New Roman" w:hAnsi="Times New Roman"/>
          <w:color w:val="000000" w:themeColor="text1"/>
          <w:sz w:val="16"/>
          <w:szCs w:val="16"/>
        </w:rPr>
        <w:softHyphen/>
        <w:t>ния аэродромов.</w:t>
      </w:r>
    </w:p>
    <w:p w14:paraId="24BB49E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образцов маяков и</w:t>
      </w:r>
    </w:p>
    <w:p w14:paraId="400F14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образцовых комплектов электрооборудования самолетов для ночных полетов.</w:t>
      </w:r>
    </w:p>
    <w:p w14:paraId="1D92A72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Вспомогательное оборудование самолетов.</w:t>
      </w:r>
    </w:p>
    <w:p w14:paraId="1E235A8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Эта группа работ предусматривает разработку советского типа пара</w:t>
      </w:r>
      <w:r w:rsidRPr="00A259BD">
        <w:rPr>
          <w:rFonts w:ascii="Times New Roman" w:hAnsi="Times New Roman"/>
          <w:color w:val="000000" w:themeColor="text1"/>
          <w:sz w:val="16"/>
          <w:szCs w:val="16"/>
        </w:rPr>
        <w:softHyphen/>
        <w:t>шютов, кислородных приборов, огнетушителей и приборов связи на самолете.</w:t>
      </w:r>
    </w:p>
    <w:p w14:paraId="4D550B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Имеется в виду разработать:</w:t>
      </w:r>
    </w:p>
    <w:p w14:paraId="52AD67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образцов парашютов.</w:t>
      </w:r>
    </w:p>
    <w:p w14:paraId="615745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образца приборов связи на самолете.</w:t>
      </w:r>
    </w:p>
    <w:p w14:paraId="6C2348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образца кислородных приборов.</w:t>
      </w:r>
    </w:p>
    <w:p w14:paraId="2093E7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образца огнетушителей.</w:t>
      </w:r>
    </w:p>
    <w:p w14:paraId="6535F86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образца </w:t>
      </w:r>
      <w:proofErr w:type="spellStart"/>
      <w:r w:rsidRPr="00A259BD">
        <w:rPr>
          <w:rFonts w:ascii="Times New Roman" w:hAnsi="Times New Roman"/>
          <w:color w:val="000000" w:themeColor="text1"/>
          <w:sz w:val="16"/>
          <w:szCs w:val="16"/>
        </w:rPr>
        <w:t>непротекающих</w:t>
      </w:r>
      <w:proofErr w:type="spellEnd"/>
      <w:r w:rsidRPr="00A259BD">
        <w:rPr>
          <w:rFonts w:ascii="Times New Roman" w:hAnsi="Times New Roman"/>
          <w:color w:val="000000" w:themeColor="text1"/>
          <w:sz w:val="16"/>
          <w:szCs w:val="16"/>
        </w:rPr>
        <w:t xml:space="preserve"> баков</w:t>
      </w:r>
    </w:p>
    <w:p w14:paraId="628801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Учебные приборы</w:t>
      </w:r>
    </w:p>
    <w:p w14:paraId="16C0BD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Слабая в некоторых случаях подготовленность в стрелково-бомбардировочном отношении частей ВВС, выдвигает необходимость созда</w:t>
      </w:r>
      <w:r w:rsidRPr="00A259BD">
        <w:rPr>
          <w:rFonts w:ascii="Times New Roman" w:hAnsi="Times New Roman"/>
          <w:color w:val="000000" w:themeColor="text1"/>
          <w:sz w:val="16"/>
          <w:szCs w:val="16"/>
        </w:rPr>
        <w:softHyphen/>
        <w:t xml:space="preserve">ния образцов приборов, дающих возможность в наиболее короткое время и с малыми затратами в значительной степени поднять </w:t>
      </w:r>
      <w:proofErr w:type="spellStart"/>
      <w:r w:rsidRPr="00A259BD">
        <w:rPr>
          <w:rFonts w:ascii="Times New Roman" w:hAnsi="Times New Roman"/>
          <w:color w:val="000000" w:themeColor="text1"/>
          <w:sz w:val="16"/>
          <w:szCs w:val="16"/>
        </w:rPr>
        <w:t>боеспо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собность</w:t>
      </w:r>
      <w:proofErr w:type="spellEnd"/>
      <w:r w:rsidRPr="00A259BD">
        <w:rPr>
          <w:rFonts w:ascii="Times New Roman" w:hAnsi="Times New Roman"/>
          <w:color w:val="000000" w:themeColor="text1"/>
          <w:sz w:val="16"/>
          <w:szCs w:val="16"/>
        </w:rPr>
        <w:t>. Поэтому, в этой области строительства намечено значи</w:t>
      </w:r>
      <w:r w:rsidRPr="00A259BD">
        <w:rPr>
          <w:rFonts w:ascii="Times New Roman" w:hAnsi="Times New Roman"/>
          <w:color w:val="000000" w:themeColor="text1"/>
          <w:sz w:val="16"/>
          <w:szCs w:val="16"/>
        </w:rPr>
        <w:softHyphen/>
        <w:t>тельное усиление работы.</w:t>
      </w:r>
    </w:p>
    <w:p w14:paraId="7B28E3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Предполагается разработать :</w:t>
      </w:r>
    </w:p>
    <w:p w14:paraId="6A9FB4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образцов приборов для обучения стрельбе и бомбардированию и</w:t>
      </w:r>
    </w:p>
    <w:p w14:paraId="0BE8D22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образцов воздушных мишеней.</w:t>
      </w:r>
    </w:p>
    <w:p w14:paraId="7DD2F1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Стрелковое, бомбардировочное и торпедное оборудование самолетов.</w:t>
      </w:r>
    </w:p>
    <w:p w14:paraId="207F9CE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Эта группа работ предусматривает создание новых типов самолетных установок, связанных с появлением новых образцов вооружения ВВС Видное место в работах этой группы отведено вопросам автоматиза</w:t>
      </w:r>
      <w:r w:rsidRPr="00A259BD">
        <w:rPr>
          <w:rFonts w:ascii="Times New Roman" w:hAnsi="Times New Roman"/>
          <w:color w:val="000000" w:themeColor="text1"/>
          <w:sz w:val="16"/>
          <w:szCs w:val="16"/>
        </w:rPr>
        <w:softHyphen/>
        <w:t xml:space="preserve">ции установок бомбодержателей, </w:t>
      </w:r>
      <w:proofErr w:type="spellStart"/>
      <w:r w:rsidRPr="00A259BD">
        <w:rPr>
          <w:rFonts w:ascii="Times New Roman" w:hAnsi="Times New Roman"/>
          <w:color w:val="000000" w:themeColor="text1"/>
          <w:sz w:val="16"/>
          <w:szCs w:val="16"/>
        </w:rPr>
        <w:t>торпедодержателей</w:t>
      </w:r>
      <w:proofErr w:type="spellEnd"/>
      <w:r w:rsidRPr="00A259BD">
        <w:rPr>
          <w:rFonts w:ascii="Times New Roman" w:hAnsi="Times New Roman"/>
          <w:color w:val="000000" w:themeColor="text1"/>
          <w:sz w:val="16"/>
          <w:szCs w:val="16"/>
        </w:rPr>
        <w:t xml:space="preserve"> и сбрасывателей в устройствам для турелей вращающим турелям при помощи вспомога</w:t>
      </w:r>
      <w:r w:rsidRPr="00A259BD">
        <w:rPr>
          <w:rFonts w:ascii="Times New Roman" w:hAnsi="Times New Roman"/>
          <w:color w:val="000000" w:themeColor="text1"/>
          <w:sz w:val="16"/>
          <w:szCs w:val="16"/>
        </w:rPr>
        <w:softHyphen/>
        <w:t>тельных механизмов, а не усилиями стрелка. Предположена разработка:</w:t>
      </w:r>
    </w:p>
    <w:p w14:paraId="5AB2BE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образцов специальных пулеметных установок, синхронизаторов, турелей для разных образцов оружия и самолетов.</w:t>
      </w:r>
    </w:p>
    <w:p w14:paraId="1635CA8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 образцов бомбодержателей для бомб разных калибров.</w:t>
      </w:r>
    </w:p>
    <w:p w14:paraId="28A6F6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образцов бомбосбрасывателей.</w:t>
      </w:r>
    </w:p>
    <w:p w14:paraId="2849AB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образцов </w:t>
      </w:r>
      <w:proofErr w:type="spellStart"/>
      <w:r w:rsidRPr="00A259BD">
        <w:rPr>
          <w:rFonts w:ascii="Times New Roman" w:hAnsi="Times New Roman"/>
          <w:color w:val="000000" w:themeColor="text1"/>
          <w:sz w:val="16"/>
          <w:szCs w:val="16"/>
        </w:rPr>
        <w:t>торпедодержателе</w:t>
      </w:r>
      <w:proofErr w:type="spellEnd"/>
    </w:p>
    <w:p w14:paraId="2D42C5B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образцов торпедосбрасывателей.</w:t>
      </w:r>
    </w:p>
    <w:p w14:paraId="75A822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образцов. предметов вспомогательного бомбардировочного аэродром </w:t>
      </w:r>
      <w:proofErr w:type="spellStart"/>
      <w:r w:rsidRPr="00A259BD">
        <w:rPr>
          <w:rFonts w:ascii="Times New Roman" w:hAnsi="Times New Roman"/>
          <w:color w:val="000000" w:themeColor="text1"/>
          <w:sz w:val="16"/>
          <w:szCs w:val="16"/>
        </w:rPr>
        <w:t>ного</w:t>
      </w:r>
      <w:proofErr w:type="spellEnd"/>
      <w:r w:rsidRPr="00A259BD">
        <w:rPr>
          <w:rFonts w:ascii="Times New Roman" w:hAnsi="Times New Roman"/>
          <w:color w:val="000000" w:themeColor="text1"/>
          <w:sz w:val="16"/>
          <w:szCs w:val="16"/>
        </w:rPr>
        <w:t xml:space="preserve"> оборудования.</w:t>
      </w:r>
    </w:p>
    <w:p w14:paraId="4E3F54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16. Приспособление /монтировка/ образцов вооружения и </w:t>
      </w:r>
      <w:proofErr w:type="spellStart"/>
      <w:r w:rsidRPr="00A259BD">
        <w:rPr>
          <w:rFonts w:ascii="Times New Roman" w:hAnsi="Times New Roman"/>
          <w:color w:val="000000" w:themeColor="text1"/>
          <w:sz w:val="16"/>
          <w:szCs w:val="16"/>
        </w:rPr>
        <w:t>оборудова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ния</w:t>
      </w:r>
      <w:proofErr w:type="spellEnd"/>
      <w:r w:rsidRPr="00A259BD">
        <w:rPr>
          <w:rFonts w:ascii="Times New Roman" w:hAnsi="Times New Roman"/>
          <w:color w:val="000000" w:themeColor="text1"/>
          <w:sz w:val="16"/>
          <w:szCs w:val="16"/>
        </w:rPr>
        <w:t xml:space="preserve"> для него к самолетам, состоящим на вооружении Ь^С </w:t>
      </w:r>
      <w:r w:rsidRPr="00A259BD">
        <w:rPr>
          <w:rFonts w:ascii="Times New Roman" w:hAnsi="Times New Roman"/>
          <w:color w:val="000000" w:themeColor="text1"/>
          <w:sz w:val="16"/>
          <w:szCs w:val="16"/>
          <w:vertAlign w:val="subscript"/>
        </w:rPr>
        <w:t xml:space="preserve">и </w:t>
      </w:r>
      <w:r w:rsidRPr="00A259BD">
        <w:rPr>
          <w:rFonts w:ascii="Times New Roman" w:hAnsi="Times New Roman"/>
          <w:color w:val="000000" w:themeColor="text1"/>
          <w:sz w:val="16"/>
          <w:szCs w:val="16"/>
        </w:rPr>
        <w:t>предусмотренных к постройке пятилетним планом.</w:t>
      </w:r>
    </w:p>
    <w:p w14:paraId="6EA306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Группой работ предусматривается 192 приспособления /разра</w:t>
      </w:r>
      <w:r w:rsidRPr="00A259BD">
        <w:rPr>
          <w:rFonts w:ascii="Times New Roman" w:hAnsi="Times New Roman"/>
          <w:color w:val="000000" w:themeColor="text1"/>
          <w:sz w:val="16"/>
          <w:szCs w:val="16"/>
        </w:rPr>
        <w:softHyphen/>
        <w:t>ботка установок/.</w:t>
      </w:r>
    </w:p>
    <w:p w14:paraId="7F439B7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разработки всех вышеперечисленных образцов, по всем отделам вооружения и специальных служб, намечены соответствующие научно исследовательские работы и предусмотрено улучшение существующей материальной части.</w:t>
      </w:r>
    </w:p>
    <w:p w14:paraId="5FAF4FA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 отметить, что для реального выполнения ранее намеченного плана по опытному строительству по вооружению и специальным службам, плана составленного с достаточным напряжением, кроме должного в своевременного финансирования, необходимо организовать ряд конструкторских бюро при заводах, соответствующих трестов и уси</w:t>
      </w:r>
      <w:r w:rsidRPr="00A259BD">
        <w:rPr>
          <w:rFonts w:ascii="Times New Roman" w:hAnsi="Times New Roman"/>
          <w:color w:val="000000" w:themeColor="text1"/>
          <w:sz w:val="16"/>
          <w:szCs w:val="16"/>
        </w:rPr>
        <w:softHyphen/>
        <w:t>лить существующие бюро. По этому вопросу необходимые представле</w:t>
      </w:r>
      <w:r w:rsidRPr="00A259BD">
        <w:rPr>
          <w:rFonts w:ascii="Times New Roman" w:hAnsi="Times New Roman"/>
          <w:color w:val="000000" w:themeColor="text1"/>
          <w:sz w:val="16"/>
          <w:szCs w:val="16"/>
        </w:rPr>
        <w:softHyphen/>
        <w:t>ния уже сделаны.</w:t>
      </w:r>
    </w:p>
    <w:p w14:paraId="638EF75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при разработке плана, предусматривалась необходимость по возможности равномерно по времени выполнения плана нагрузить конструкторские бюро.</w:t>
      </w:r>
    </w:p>
    <w:p w14:paraId="7EB4416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плана подчеркнула совершенную необходимость создания конструкторского бюро при НТК УВВС, которое бы вело разработки вопросов, необходимых для рациональной постановки технических требований ВВС и разрабатывало бы, в помочь промышленности, образ</w:t>
      </w:r>
      <w:r w:rsidRPr="00A259BD">
        <w:rPr>
          <w:rFonts w:ascii="Times New Roman" w:hAnsi="Times New Roman"/>
          <w:color w:val="000000" w:themeColor="text1"/>
          <w:sz w:val="16"/>
          <w:szCs w:val="16"/>
        </w:rPr>
        <w:softHyphen/>
        <w:t>цы вооружения /</w:t>
      </w:r>
      <w:proofErr w:type="spellStart"/>
      <w:r w:rsidRPr="00A259BD">
        <w:rPr>
          <w:rFonts w:ascii="Times New Roman" w:hAnsi="Times New Roman"/>
          <w:color w:val="000000" w:themeColor="text1"/>
          <w:sz w:val="16"/>
          <w:szCs w:val="16"/>
        </w:rPr>
        <w:t>главым</w:t>
      </w:r>
      <w:proofErr w:type="spellEnd"/>
      <w:r w:rsidRPr="00A259BD">
        <w:rPr>
          <w:rFonts w:ascii="Times New Roman" w:hAnsi="Times New Roman"/>
          <w:color w:val="000000" w:themeColor="text1"/>
          <w:sz w:val="16"/>
          <w:szCs w:val="16"/>
        </w:rPr>
        <w:t xml:space="preserve"> образом, прицелы и бомбы/ в качестве вто</w:t>
      </w:r>
      <w:r w:rsidRPr="00A259BD">
        <w:rPr>
          <w:rFonts w:ascii="Times New Roman" w:hAnsi="Times New Roman"/>
          <w:color w:val="000000" w:themeColor="text1"/>
          <w:sz w:val="16"/>
          <w:szCs w:val="16"/>
        </w:rPr>
        <w:softHyphen/>
        <w:t>рых вариантов. Эта система дала бы возможность избежать срыва плана в случав неудач при испытании вариантов образцов вооруже</w:t>
      </w:r>
      <w:r w:rsidRPr="00A259BD">
        <w:rPr>
          <w:rFonts w:ascii="Times New Roman" w:hAnsi="Times New Roman"/>
          <w:color w:val="000000" w:themeColor="text1"/>
          <w:sz w:val="16"/>
          <w:szCs w:val="16"/>
        </w:rPr>
        <w:softHyphen/>
        <w:t>ния, созданных промышленностью.</w:t>
      </w:r>
    </w:p>
    <w:p w14:paraId="643E53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Ориентировочная смета на выполнение работ по пятилетнему плану по опытному строительству по вооружению и специальным службам исчис</w:t>
      </w:r>
      <w:r w:rsidRPr="00A259BD">
        <w:rPr>
          <w:rFonts w:ascii="Times New Roman" w:hAnsi="Times New Roman"/>
          <w:color w:val="000000" w:themeColor="text1"/>
          <w:sz w:val="16"/>
          <w:szCs w:val="16"/>
        </w:rPr>
        <w:softHyphen/>
        <w:t>лена в сумме 5.270.000 рублей.</w:t>
      </w:r>
    </w:p>
    <w:p w14:paraId="4621C6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Материаловедение и стандартизация</w:t>
      </w:r>
    </w:p>
    <w:p w14:paraId="18CEAC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Вопросы, затронутые в этом раздел- относятся главным образом к работам самой промышленности, которая получив требования на образцы вооружения для их изготовления сама должна ставить перед соответствующими поставщиками сырья свои требо</w:t>
      </w:r>
      <w:r w:rsidRPr="00A259BD">
        <w:rPr>
          <w:rFonts w:ascii="Times New Roman" w:hAnsi="Times New Roman"/>
          <w:color w:val="000000" w:themeColor="text1"/>
          <w:sz w:val="16"/>
          <w:szCs w:val="16"/>
        </w:rPr>
        <w:softHyphen/>
        <w:t xml:space="preserve">вания на материалы высшего качества. Считаясь же с необходимостью скорейшего введения достижений </w:t>
      </w:r>
      <w:proofErr w:type="spellStart"/>
      <w:r w:rsidRPr="00A259BD">
        <w:rPr>
          <w:rFonts w:ascii="Times New Roman" w:hAnsi="Times New Roman"/>
          <w:color w:val="000000" w:themeColor="text1"/>
          <w:sz w:val="16"/>
          <w:szCs w:val="16"/>
        </w:rPr>
        <w:t>загранничной</w:t>
      </w:r>
      <w:proofErr w:type="spellEnd"/>
      <w:r w:rsidRPr="00A259BD">
        <w:rPr>
          <w:rFonts w:ascii="Times New Roman" w:hAnsi="Times New Roman"/>
          <w:color w:val="000000" w:themeColor="text1"/>
          <w:sz w:val="16"/>
          <w:szCs w:val="16"/>
        </w:rPr>
        <w:t xml:space="preserve"> техники и создания своей базы для развития </w:t>
      </w:r>
      <w:proofErr w:type="spellStart"/>
      <w:r w:rsidRPr="00A259BD">
        <w:rPr>
          <w:rFonts w:ascii="Times New Roman" w:hAnsi="Times New Roman"/>
          <w:color w:val="000000" w:themeColor="text1"/>
          <w:sz w:val="16"/>
          <w:szCs w:val="16"/>
        </w:rPr>
        <w:t>самолето</w:t>
      </w:r>
      <w:proofErr w:type="spellEnd"/>
      <w:r w:rsidRPr="00A259BD">
        <w:rPr>
          <w:rFonts w:ascii="Times New Roman" w:hAnsi="Times New Roman"/>
          <w:color w:val="000000" w:themeColor="text1"/>
          <w:sz w:val="16"/>
          <w:szCs w:val="16"/>
        </w:rPr>
        <w:t xml:space="preserve"> и моторостроения, в пятилетнем плане намечен ряд работ выдвигаемых к разработке по инициативе </w:t>
      </w:r>
      <w:proofErr w:type="spellStart"/>
      <w:r w:rsidRPr="00A259BD">
        <w:rPr>
          <w:rFonts w:ascii="Times New Roman" w:hAnsi="Times New Roman"/>
          <w:color w:val="000000" w:themeColor="text1"/>
          <w:sz w:val="16"/>
          <w:szCs w:val="16"/>
        </w:rPr>
        <w:t>УььС</w:t>
      </w:r>
      <w:proofErr w:type="spellEnd"/>
      <w:r w:rsidRPr="00A259BD">
        <w:rPr>
          <w:rFonts w:ascii="Times New Roman" w:hAnsi="Times New Roman"/>
          <w:color w:val="000000" w:themeColor="text1"/>
          <w:sz w:val="16"/>
          <w:szCs w:val="16"/>
        </w:rPr>
        <w:t xml:space="preserve">, но выполнение коих должно </w:t>
      </w:r>
      <w:proofErr w:type="spellStart"/>
      <w:r w:rsidRPr="00A259BD">
        <w:rPr>
          <w:rFonts w:ascii="Times New Roman" w:hAnsi="Times New Roman"/>
          <w:color w:val="000000" w:themeColor="text1"/>
          <w:sz w:val="16"/>
          <w:szCs w:val="16"/>
        </w:rPr>
        <w:t>итти</w:t>
      </w:r>
      <w:proofErr w:type="spellEnd"/>
      <w:r w:rsidRPr="00A259BD">
        <w:rPr>
          <w:rFonts w:ascii="Times New Roman" w:hAnsi="Times New Roman"/>
          <w:color w:val="000000" w:themeColor="text1"/>
          <w:sz w:val="16"/>
          <w:szCs w:val="16"/>
        </w:rPr>
        <w:t xml:space="preserve"> по линии промышленности.</w:t>
      </w:r>
    </w:p>
    <w:p w14:paraId="4BC4BD3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Средства, предусмотренные планом охватывают главным образом лишь оплату самого выполнения данной </w:t>
      </w:r>
      <w:proofErr w:type="spellStart"/>
      <w:r w:rsidRPr="00A259BD">
        <w:rPr>
          <w:rFonts w:ascii="Times New Roman" w:hAnsi="Times New Roman"/>
          <w:color w:val="000000" w:themeColor="text1"/>
          <w:sz w:val="16"/>
          <w:szCs w:val="16"/>
        </w:rPr>
        <w:t>оаботы</w:t>
      </w:r>
      <w:proofErr w:type="spellEnd"/>
      <w:r w:rsidRPr="00A259BD">
        <w:rPr>
          <w:rFonts w:ascii="Times New Roman" w:hAnsi="Times New Roman"/>
          <w:color w:val="000000" w:themeColor="text1"/>
          <w:sz w:val="16"/>
          <w:szCs w:val="16"/>
        </w:rPr>
        <w:t>, что же касается расходов по оборудованию заводов для проведения поставленных работ, то они планом не предусмотрены.</w:t>
      </w:r>
    </w:p>
    <w:p w14:paraId="559C1E4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Главнейшее направление работ по этому разделу будет нижеследующим:</w:t>
      </w:r>
    </w:p>
    <w:p w14:paraId="614188B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Работы по авиационным материалам.</w:t>
      </w:r>
    </w:p>
    <w:p w14:paraId="2A25C9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Работы по стандартизации.</w:t>
      </w:r>
    </w:p>
    <w:p w14:paraId="06ACBC8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Работы по разработке технических условий, требований и номен</w:t>
      </w:r>
      <w:r w:rsidRPr="00A259BD">
        <w:rPr>
          <w:rFonts w:ascii="Times New Roman" w:hAnsi="Times New Roman"/>
          <w:color w:val="000000" w:themeColor="text1"/>
          <w:sz w:val="16"/>
          <w:szCs w:val="16"/>
        </w:rPr>
        <w:softHyphen/>
        <w:t>клатур по авиатехнике.</w:t>
      </w:r>
    </w:p>
    <w:p w14:paraId="2BCA4D4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Работы по </w:t>
      </w:r>
      <w:proofErr w:type="spellStart"/>
      <w:r w:rsidRPr="00A259BD">
        <w:rPr>
          <w:rFonts w:ascii="Times New Roman" w:hAnsi="Times New Roman"/>
          <w:color w:val="000000" w:themeColor="text1"/>
          <w:sz w:val="16"/>
          <w:szCs w:val="16"/>
        </w:rPr>
        <w:t>суррогатиоованию</w:t>
      </w:r>
      <w:proofErr w:type="spellEnd"/>
      <w:r w:rsidRPr="00A259BD">
        <w:rPr>
          <w:rFonts w:ascii="Times New Roman" w:hAnsi="Times New Roman"/>
          <w:color w:val="000000" w:themeColor="text1"/>
          <w:sz w:val="16"/>
          <w:szCs w:val="16"/>
        </w:rPr>
        <w:t>.</w:t>
      </w:r>
    </w:p>
    <w:p w14:paraId="0B0397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авиационным материалам предположено поставить работы по метал</w:t>
      </w:r>
      <w:r w:rsidRPr="00A259BD">
        <w:rPr>
          <w:rFonts w:ascii="Times New Roman" w:hAnsi="Times New Roman"/>
          <w:color w:val="000000" w:themeColor="text1"/>
          <w:sz w:val="16"/>
          <w:szCs w:val="16"/>
        </w:rPr>
        <w:softHyphen/>
        <w:t>лам, дереву, текстилю, резине, клеям, лакам, применяемым в авиа</w:t>
      </w:r>
      <w:r w:rsidRPr="00A259BD">
        <w:rPr>
          <w:rFonts w:ascii="Times New Roman" w:hAnsi="Times New Roman"/>
          <w:color w:val="000000" w:themeColor="text1"/>
          <w:sz w:val="16"/>
          <w:szCs w:val="16"/>
        </w:rPr>
        <w:softHyphen/>
        <w:t xml:space="preserve">строении. Основными материалами являются высококачественные стали, легкие высокосортные алюминиевые сплавы и дерево. </w:t>
      </w:r>
    </w:p>
    <w:p w14:paraId="23E17D5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Наличие сырья по всем </w:t>
      </w:r>
      <w:proofErr w:type="spellStart"/>
      <w:r w:rsidRPr="00A259BD">
        <w:rPr>
          <w:rFonts w:ascii="Times New Roman" w:hAnsi="Times New Roman"/>
          <w:color w:val="000000" w:themeColor="text1"/>
          <w:sz w:val="16"/>
          <w:szCs w:val="16"/>
        </w:rPr>
        <w:t>этям</w:t>
      </w:r>
      <w:proofErr w:type="spellEnd"/>
      <w:r w:rsidRPr="00A259BD">
        <w:rPr>
          <w:rFonts w:ascii="Times New Roman" w:hAnsi="Times New Roman"/>
          <w:color w:val="000000" w:themeColor="text1"/>
          <w:sz w:val="16"/>
          <w:szCs w:val="16"/>
        </w:rPr>
        <w:t xml:space="preserve"> материалам обеспечивает успешность раз</w:t>
      </w:r>
      <w:r w:rsidRPr="00A259BD">
        <w:rPr>
          <w:rFonts w:ascii="Times New Roman" w:hAnsi="Times New Roman"/>
          <w:color w:val="000000" w:themeColor="text1"/>
          <w:sz w:val="16"/>
          <w:szCs w:val="16"/>
        </w:rPr>
        <w:softHyphen/>
        <w:t>вития нужных для авиации производств, однако оборудование наших металлургических заводов настолько старо, изношено и недостаточно по мощности, что мы не имеем производства у нас нужных сортов ста</w:t>
      </w:r>
      <w:r w:rsidRPr="00A259BD">
        <w:rPr>
          <w:rFonts w:ascii="Times New Roman" w:hAnsi="Times New Roman"/>
          <w:color w:val="000000" w:themeColor="text1"/>
          <w:sz w:val="16"/>
          <w:szCs w:val="16"/>
        </w:rPr>
        <w:softHyphen/>
        <w:t>ли и до сих пор вынуждены заказывать за границей. Поэтому совершен</w:t>
      </w:r>
      <w:r w:rsidRPr="00A259BD">
        <w:rPr>
          <w:rFonts w:ascii="Times New Roman" w:hAnsi="Times New Roman"/>
          <w:color w:val="000000" w:themeColor="text1"/>
          <w:sz w:val="16"/>
          <w:szCs w:val="16"/>
        </w:rPr>
        <w:softHyphen/>
        <w:t xml:space="preserve">но необходимо в первую очередь обратить внимание на создание у нас своей металлургической базы, без каковой невозможен дальнейший прогресс авиационного строительства и 5-ти летний план опытного строительства не может </w:t>
      </w:r>
      <w:proofErr w:type="spellStart"/>
      <w:r w:rsidRPr="00A259BD">
        <w:rPr>
          <w:rFonts w:ascii="Times New Roman" w:hAnsi="Times New Roman"/>
          <w:color w:val="000000" w:themeColor="text1"/>
          <w:sz w:val="16"/>
          <w:szCs w:val="16"/>
        </w:rPr>
        <w:t>бьть</w:t>
      </w:r>
      <w:proofErr w:type="spellEnd"/>
      <w:r w:rsidRPr="00A259BD">
        <w:rPr>
          <w:rFonts w:ascii="Times New Roman" w:hAnsi="Times New Roman"/>
          <w:color w:val="000000" w:themeColor="text1"/>
          <w:sz w:val="16"/>
          <w:szCs w:val="16"/>
        </w:rPr>
        <w:t xml:space="preserve"> выполнен.</w:t>
      </w:r>
    </w:p>
    <w:p w14:paraId="1C931F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же касается алюминиевой промышленности, то до завершения по</w:t>
      </w:r>
      <w:r w:rsidRPr="00A259BD">
        <w:rPr>
          <w:rFonts w:ascii="Times New Roman" w:hAnsi="Times New Roman"/>
          <w:color w:val="000000" w:themeColor="text1"/>
          <w:sz w:val="16"/>
          <w:szCs w:val="16"/>
        </w:rPr>
        <w:softHyphen/>
        <w:t xml:space="preserve">стройки </w:t>
      </w:r>
      <w:proofErr w:type="spellStart"/>
      <w:r w:rsidRPr="00A259BD">
        <w:rPr>
          <w:rFonts w:ascii="Times New Roman" w:hAnsi="Times New Roman"/>
          <w:color w:val="000000" w:themeColor="text1"/>
          <w:sz w:val="16"/>
          <w:szCs w:val="16"/>
        </w:rPr>
        <w:t>Днепростроя</w:t>
      </w:r>
      <w:proofErr w:type="spellEnd"/>
      <w:r w:rsidRPr="00A259BD">
        <w:rPr>
          <w:rFonts w:ascii="Times New Roman" w:hAnsi="Times New Roman"/>
          <w:color w:val="000000" w:themeColor="text1"/>
          <w:sz w:val="16"/>
          <w:szCs w:val="16"/>
        </w:rPr>
        <w:t xml:space="preserve"> и проектируемого при нем алюминиевого завода мы вынуждены базироваться на иностранном привозном </w:t>
      </w:r>
      <w:proofErr w:type="spellStart"/>
      <w:r w:rsidRPr="00A259BD">
        <w:rPr>
          <w:rFonts w:ascii="Times New Roman" w:hAnsi="Times New Roman"/>
          <w:color w:val="000000" w:themeColor="text1"/>
          <w:sz w:val="16"/>
          <w:szCs w:val="16"/>
        </w:rPr>
        <w:t>аллюминии</w:t>
      </w:r>
      <w:proofErr w:type="spellEnd"/>
      <w:r w:rsidRPr="00A259BD">
        <w:rPr>
          <w:rFonts w:ascii="Times New Roman" w:hAnsi="Times New Roman"/>
          <w:color w:val="000000" w:themeColor="text1"/>
          <w:sz w:val="16"/>
          <w:szCs w:val="16"/>
        </w:rPr>
        <w:t>.</w:t>
      </w:r>
    </w:p>
    <w:p w14:paraId="533596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числа легких сплавов, имеющих будущее, большое значение для авиации имеет электрон, уже в настоящее время применяющийся в значительных размерах, работы по обработке и изготовлению этого металла предусмотрены планом.</w:t>
      </w:r>
    </w:p>
    <w:p w14:paraId="49D730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Затем, значительное внимание уделено вопросам создания </w:t>
      </w:r>
      <w:proofErr w:type="spellStart"/>
      <w:r w:rsidRPr="00A259BD">
        <w:rPr>
          <w:rFonts w:ascii="Times New Roman" w:hAnsi="Times New Roman"/>
          <w:color w:val="000000" w:themeColor="text1"/>
          <w:sz w:val="16"/>
          <w:szCs w:val="16"/>
        </w:rPr>
        <w:t>некоррозирующих</w:t>
      </w:r>
      <w:proofErr w:type="spellEnd"/>
      <w:r w:rsidRPr="00A259BD">
        <w:rPr>
          <w:rFonts w:ascii="Times New Roman" w:hAnsi="Times New Roman"/>
          <w:color w:val="000000" w:themeColor="text1"/>
          <w:sz w:val="16"/>
          <w:szCs w:val="16"/>
        </w:rPr>
        <w:t xml:space="preserve"> покрытий для легких сплавов, получение нержавеющей ста</w:t>
      </w:r>
      <w:r w:rsidRPr="00A259BD">
        <w:rPr>
          <w:rFonts w:ascii="Times New Roman" w:hAnsi="Times New Roman"/>
          <w:color w:val="000000" w:themeColor="text1"/>
          <w:sz w:val="16"/>
          <w:szCs w:val="16"/>
        </w:rPr>
        <w:softHyphen/>
        <w:t>ли и применение ее в авиастроении.</w:t>
      </w:r>
    </w:p>
    <w:p w14:paraId="5F5B45A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дерева будут вестись работы по изысканию возможности применения новых пород и замене своими породами импортного крас</w:t>
      </w:r>
      <w:r w:rsidRPr="00A259BD">
        <w:rPr>
          <w:rFonts w:ascii="Times New Roman" w:hAnsi="Times New Roman"/>
          <w:color w:val="000000" w:themeColor="text1"/>
          <w:sz w:val="16"/>
          <w:szCs w:val="16"/>
        </w:rPr>
        <w:softHyphen/>
        <w:t>ного дерева, а кроме того обращено внимание на необходимость рационального ведения лесного хозяйства для бесперебойного снабжения промышленности сосновым лесом.</w:t>
      </w:r>
    </w:p>
    <w:p w14:paraId="4B8B02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клеев, лаков намечены работы по изысканию более прочных и стойких, а по лакам в добавок т негорючим.</w:t>
      </w:r>
    </w:p>
    <w:p w14:paraId="2EE576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остальным материалам работа будет вестись в направлении улуч</w:t>
      </w:r>
      <w:r w:rsidRPr="00A259BD">
        <w:rPr>
          <w:rFonts w:ascii="Times New Roman" w:hAnsi="Times New Roman"/>
          <w:color w:val="000000" w:themeColor="text1"/>
          <w:sz w:val="16"/>
          <w:szCs w:val="16"/>
        </w:rPr>
        <w:softHyphen/>
        <w:t>шения качества и удешевления производства их.</w:t>
      </w:r>
    </w:p>
    <w:p w14:paraId="3407D2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Главнейший перечень намеченных работ будет нижеследующий:</w:t>
      </w:r>
    </w:p>
    <w:p w14:paraId="2B347B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Получение стальных труб обыкновенных, углеродистых и высоко</w:t>
      </w:r>
      <w:r w:rsidRPr="00A259BD">
        <w:rPr>
          <w:rFonts w:ascii="Times New Roman" w:hAnsi="Times New Roman"/>
          <w:color w:val="000000" w:themeColor="text1"/>
          <w:sz w:val="16"/>
          <w:szCs w:val="16"/>
        </w:rPr>
        <w:softHyphen/>
        <w:t>сортных с большим сопротивлением /для самолетов/.</w:t>
      </w:r>
    </w:p>
    <w:p w14:paraId="178266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Получение нержавеющей стали высокой крепости 140-150 кг/мм*.</w:t>
      </w:r>
    </w:p>
    <w:p w14:paraId="008FC5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w:t>
      </w:r>
      <w:proofErr w:type="spellStart"/>
      <w:r w:rsidRPr="00A259BD">
        <w:rPr>
          <w:rFonts w:ascii="Times New Roman" w:hAnsi="Times New Roman"/>
          <w:color w:val="000000" w:themeColor="text1"/>
          <w:sz w:val="16"/>
          <w:szCs w:val="16"/>
        </w:rPr>
        <w:t>Кзготовление</w:t>
      </w:r>
      <w:proofErr w:type="spellEnd"/>
      <w:r w:rsidRPr="00A259BD">
        <w:rPr>
          <w:rFonts w:ascii="Times New Roman" w:hAnsi="Times New Roman"/>
          <w:color w:val="000000" w:themeColor="text1"/>
          <w:sz w:val="16"/>
          <w:szCs w:val="16"/>
        </w:rPr>
        <w:t xml:space="preserve"> простой и нержавеющей профилированной стали для стального самолетостроения.</w:t>
      </w:r>
    </w:p>
    <w:p w14:paraId="268550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Изготовление специальной стали новых марок для целей моторо</w:t>
      </w:r>
      <w:r w:rsidRPr="00A259BD">
        <w:rPr>
          <w:rFonts w:ascii="Times New Roman" w:hAnsi="Times New Roman"/>
          <w:color w:val="000000" w:themeColor="text1"/>
          <w:sz w:val="16"/>
          <w:szCs w:val="16"/>
        </w:rPr>
        <w:softHyphen/>
        <w:t>строения и установка методов штамповки изделий из нее.</w:t>
      </w:r>
    </w:p>
    <w:p w14:paraId="637DF8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Изучение элементов конструкций стальных самолетов в зависи</w:t>
      </w:r>
      <w:r w:rsidRPr="00A259BD">
        <w:rPr>
          <w:rFonts w:ascii="Times New Roman" w:hAnsi="Times New Roman"/>
          <w:color w:val="000000" w:themeColor="text1"/>
          <w:sz w:val="16"/>
          <w:szCs w:val="16"/>
        </w:rPr>
        <w:softHyphen/>
        <w:t>мости от метода производства /сварка, клепка и пр./</w:t>
      </w:r>
    </w:p>
    <w:p w14:paraId="72B4180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Установка производства электрона и алюминия.</w:t>
      </w:r>
    </w:p>
    <w:p w14:paraId="020A1F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Изучение электронных сплавов и установление метода обработки их.</w:t>
      </w:r>
    </w:p>
    <w:p w14:paraId="5973E1D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изучение появления коррозии и свойств различных </w:t>
      </w:r>
      <w:proofErr w:type="spellStart"/>
      <w:r w:rsidRPr="00A259BD">
        <w:rPr>
          <w:rFonts w:ascii="Times New Roman" w:hAnsi="Times New Roman"/>
          <w:color w:val="000000" w:themeColor="text1"/>
          <w:sz w:val="16"/>
          <w:szCs w:val="16"/>
        </w:rPr>
        <w:t>противокоррозийных</w:t>
      </w:r>
      <w:proofErr w:type="spellEnd"/>
      <w:r w:rsidRPr="00A259BD">
        <w:rPr>
          <w:rFonts w:ascii="Times New Roman" w:hAnsi="Times New Roman"/>
          <w:color w:val="000000" w:themeColor="text1"/>
          <w:sz w:val="16"/>
          <w:szCs w:val="16"/>
        </w:rPr>
        <w:t xml:space="preserve"> покрытий и др. предохранительных мер.</w:t>
      </w:r>
    </w:p>
    <w:p w14:paraId="4DAC60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Установка производства штампованных изделий для самолетострое</w:t>
      </w:r>
      <w:r w:rsidRPr="00A259BD">
        <w:rPr>
          <w:rFonts w:ascii="Times New Roman" w:hAnsi="Times New Roman"/>
          <w:color w:val="000000" w:themeColor="text1"/>
          <w:sz w:val="16"/>
          <w:szCs w:val="16"/>
        </w:rPr>
        <w:softHyphen/>
        <w:t xml:space="preserve">ния </w:t>
      </w:r>
      <w:proofErr w:type="spellStart"/>
      <w:r w:rsidRPr="00A259BD">
        <w:rPr>
          <w:rFonts w:ascii="Times New Roman" w:hAnsi="Times New Roman"/>
          <w:color w:val="000000" w:themeColor="text1"/>
          <w:sz w:val="16"/>
          <w:szCs w:val="16"/>
        </w:rPr>
        <w:t>имоторостроения</w:t>
      </w:r>
      <w:proofErr w:type="spellEnd"/>
      <w:r w:rsidRPr="00A259BD">
        <w:rPr>
          <w:rFonts w:ascii="Times New Roman" w:hAnsi="Times New Roman"/>
          <w:color w:val="000000" w:themeColor="text1"/>
          <w:sz w:val="16"/>
          <w:szCs w:val="16"/>
        </w:rPr>
        <w:t xml:space="preserve"> из алюминиевых и электронных сплавов. 10. Изучение свойств новейших заграничных сталей, других металлов и легких сплавов высокой крепости.</w:t>
      </w:r>
    </w:p>
    <w:p w14:paraId="68F4A7D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Изучение свойств различной древесины в зависимости от условий </w:t>
      </w:r>
      <w:proofErr w:type="spellStart"/>
      <w:r w:rsidRPr="00A259BD">
        <w:rPr>
          <w:rFonts w:ascii="Times New Roman" w:hAnsi="Times New Roman"/>
          <w:color w:val="000000" w:themeColor="text1"/>
          <w:sz w:val="16"/>
          <w:szCs w:val="16"/>
        </w:rPr>
        <w:t>экеплоатации</w:t>
      </w:r>
      <w:proofErr w:type="spellEnd"/>
      <w:r w:rsidRPr="00A259BD">
        <w:rPr>
          <w:rFonts w:ascii="Times New Roman" w:hAnsi="Times New Roman"/>
          <w:color w:val="000000" w:themeColor="text1"/>
          <w:sz w:val="16"/>
          <w:szCs w:val="16"/>
        </w:rPr>
        <w:t xml:space="preserve"> и производств.</w:t>
      </w:r>
    </w:p>
    <w:p w14:paraId="0CD7352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изучение различных клеев к лаков, химических материалов и пр.</w:t>
      </w:r>
    </w:p>
    <w:p w14:paraId="371FCBE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Изучение различных тканей для самолетов, аэростатов и парашютов,</w:t>
      </w:r>
    </w:p>
    <w:p w14:paraId="59DF0F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Изучение резины и прочих материалов, применяемых в авиации.</w:t>
      </w:r>
    </w:p>
    <w:p w14:paraId="5D4F4C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Организации, которые могут провести намеченные </w:t>
      </w:r>
      <w:proofErr w:type="spellStart"/>
      <w:r w:rsidRPr="00A259BD">
        <w:rPr>
          <w:rFonts w:ascii="Times New Roman" w:hAnsi="Times New Roman"/>
          <w:color w:val="000000" w:themeColor="text1"/>
          <w:sz w:val="16"/>
          <w:szCs w:val="16"/>
        </w:rPr>
        <w:t>работр</w:t>
      </w:r>
      <w:proofErr w:type="spellEnd"/>
      <w:r w:rsidRPr="00A259BD">
        <w:rPr>
          <w:rFonts w:ascii="Times New Roman" w:hAnsi="Times New Roman"/>
          <w:color w:val="000000" w:themeColor="text1"/>
          <w:sz w:val="16"/>
          <w:szCs w:val="16"/>
        </w:rPr>
        <w:t xml:space="preserve">, имеются, необходимо лишь усилить металлургические заводы оборудованием и заново организовать производство </w:t>
      </w:r>
      <w:proofErr w:type="spellStart"/>
      <w:r w:rsidRPr="00A259BD">
        <w:rPr>
          <w:rFonts w:ascii="Times New Roman" w:hAnsi="Times New Roman"/>
          <w:color w:val="000000" w:themeColor="text1"/>
          <w:sz w:val="16"/>
          <w:szCs w:val="16"/>
        </w:rPr>
        <w:t>аллюминия</w:t>
      </w:r>
      <w:proofErr w:type="spellEnd"/>
      <w:r w:rsidRPr="00A259BD">
        <w:rPr>
          <w:rFonts w:ascii="Times New Roman" w:hAnsi="Times New Roman"/>
          <w:color w:val="000000" w:themeColor="text1"/>
          <w:sz w:val="16"/>
          <w:szCs w:val="16"/>
        </w:rPr>
        <w:t xml:space="preserve"> и электрона.</w:t>
      </w:r>
    </w:p>
    <w:p w14:paraId="464685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Стандартизация - должна за 5 лет охватить работу таким образом, чтобы обеспечить наибольшую взаимозаменяемость во всех образцах, изготовляемых промышленностью для ВВС и упорядочить различные элементы оборудования и конструкции самолетов, сведя их к наименьшему количеству и нормализуя принятые типы.</w:t>
      </w:r>
    </w:p>
    <w:p w14:paraId="1A8206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области стандартизации должна быть отнесена и разработка технических условий и различных производственных инструкций, являющихся чрезвычайно важными в мобилизационном отношении, а также разработка различных норм, терминов и обозначений.</w:t>
      </w:r>
    </w:p>
    <w:p w14:paraId="094304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Главнейшие работы этого отдела </w:t>
      </w:r>
      <w:proofErr w:type="spellStart"/>
      <w:r w:rsidRPr="00A259BD">
        <w:rPr>
          <w:rFonts w:ascii="Times New Roman" w:hAnsi="Times New Roman"/>
          <w:color w:val="000000" w:themeColor="text1"/>
          <w:sz w:val="16"/>
          <w:szCs w:val="16"/>
        </w:rPr>
        <w:t>бупут</w:t>
      </w:r>
      <w:proofErr w:type="spellEnd"/>
      <w:r w:rsidRPr="00A259BD">
        <w:rPr>
          <w:rFonts w:ascii="Times New Roman" w:hAnsi="Times New Roman"/>
          <w:color w:val="000000" w:themeColor="text1"/>
          <w:sz w:val="16"/>
          <w:szCs w:val="16"/>
        </w:rPr>
        <w:t xml:space="preserve"> нижеследующие:</w:t>
      </w:r>
    </w:p>
    <w:p w14:paraId="6AFD62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Разработка и издание единой номенклатуры ВВС.</w:t>
      </w:r>
    </w:p>
    <w:p w14:paraId="15BC3E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Разработка стандартов и техусловий на </w:t>
      </w:r>
      <w:proofErr w:type="spellStart"/>
      <w:r w:rsidRPr="00A259BD">
        <w:rPr>
          <w:rFonts w:ascii="Times New Roman" w:hAnsi="Times New Roman"/>
          <w:color w:val="000000" w:themeColor="text1"/>
          <w:sz w:val="16"/>
          <w:szCs w:val="16"/>
        </w:rPr>
        <w:t>авиаматериалы</w:t>
      </w:r>
      <w:proofErr w:type="spellEnd"/>
      <w:r w:rsidRPr="00A259BD">
        <w:rPr>
          <w:rFonts w:ascii="Times New Roman" w:hAnsi="Times New Roman"/>
          <w:color w:val="000000" w:themeColor="text1"/>
          <w:sz w:val="16"/>
          <w:szCs w:val="16"/>
        </w:rPr>
        <w:t>, полуфабрикаты по самолетам и моторам.</w:t>
      </w:r>
    </w:p>
    <w:p w14:paraId="71C7F9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Разработка стандартов деталей самолетов /колеса, профи</w:t>
      </w:r>
      <w:r w:rsidRPr="00A259BD">
        <w:rPr>
          <w:rFonts w:ascii="Times New Roman" w:hAnsi="Times New Roman"/>
          <w:color w:val="000000" w:themeColor="text1"/>
          <w:sz w:val="16"/>
          <w:szCs w:val="16"/>
        </w:rPr>
        <w:softHyphen/>
        <w:t>ли, трубы, арматура, лыжи, поплавки и проч./</w:t>
      </w:r>
    </w:p>
    <w:p w14:paraId="1FBA60D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Разработка, стандартных приборов для оборудования само</w:t>
      </w:r>
      <w:r w:rsidRPr="00A259BD">
        <w:rPr>
          <w:rFonts w:ascii="Times New Roman" w:hAnsi="Times New Roman"/>
          <w:color w:val="000000" w:themeColor="text1"/>
          <w:sz w:val="16"/>
          <w:szCs w:val="16"/>
        </w:rPr>
        <w:softHyphen/>
        <w:t>летов.</w:t>
      </w:r>
    </w:p>
    <w:p w14:paraId="4C21CF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Разработка стандартного оборудования кабины летчиков, наблюдателя, стрелка и проч.</w:t>
      </w:r>
    </w:p>
    <w:p w14:paraId="48215E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Разработка стандартных предметов аэродромного оборудо</w:t>
      </w:r>
      <w:r w:rsidRPr="00A259BD">
        <w:rPr>
          <w:rFonts w:ascii="Times New Roman" w:hAnsi="Times New Roman"/>
          <w:color w:val="000000" w:themeColor="text1"/>
          <w:sz w:val="16"/>
          <w:szCs w:val="16"/>
        </w:rPr>
        <w:softHyphen/>
        <w:t>вания для обслуживания самолетов.</w:t>
      </w:r>
    </w:p>
    <w:p w14:paraId="4322E8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Стандартизация складского оборудования, тар и пр.</w:t>
      </w:r>
    </w:p>
    <w:p w14:paraId="2D31E80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Выполнение всех этих работ будет вестись в непосредственной и ближайшей связи с комиссией по стандартизации </w:t>
      </w:r>
      <w:proofErr w:type="spellStart"/>
      <w:r w:rsidRPr="00A259BD">
        <w:rPr>
          <w:rFonts w:ascii="Times New Roman" w:hAnsi="Times New Roman"/>
          <w:color w:val="000000" w:themeColor="text1"/>
          <w:sz w:val="16"/>
          <w:szCs w:val="16"/>
        </w:rPr>
        <w:t>автоавиа</w:t>
      </w:r>
      <w:proofErr w:type="spellEnd"/>
      <w:r w:rsidRPr="00A259BD">
        <w:rPr>
          <w:rFonts w:ascii="Times New Roman" w:hAnsi="Times New Roman"/>
          <w:color w:val="000000" w:themeColor="text1"/>
          <w:sz w:val="16"/>
          <w:szCs w:val="16"/>
        </w:rPr>
        <w:t>-материалов при комитета по стандартизации СТО.</w:t>
      </w:r>
    </w:p>
    <w:p w14:paraId="6EA0358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Суррогатирование</w:t>
      </w:r>
      <w:proofErr w:type="spellEnd"/>
      <w:r w:rsidRPr="00A259BD">
        <w:rPr>
          <w:rFonts w:ascii="Times New Roman" w:hAnsi="Times New Roman"/>
          <w:color w:val="000000" w:themeColor="text1"/>
          <w:sz w:val="16"/>
          <w:szCs w:val="16"/>
        </w:rPr>
        <w:t xml:space="preserve"> - эти работы будут вестись по двум линиям как в отношении изыскания новых материалов для замены де</w:t>
      </w:r>
      <w:r w:rsidRPr="00A259BD">
        <w:rPr>
          <w:rFonts w:ascii="Times New Roman" w:hAnsi="Times New Roman"/>
          <w:color w:val="000000" w:themeColor="text1"/>
          <w:sz w:val="16"/>
          <w:szCs w:val="16"/>
        </w:rPr>
        <w:softHyphen/>
        <w:t>фицитных, так и в отношении снижения техусловий на военное время. Однако, основным направлением этих работ будет та</w:t>
      </w:r>
      <w:r w:rsidRPr="00A259BD">
        <w:rPr>
          <w:rFonts w:ascii="Times New Roman" w:hAnsi="Times New Roman"/>
          <w:color w:val="000000" w:themeColor="text1"/>
          <w:sz w:val="16"/>
          <w:szCs w:val="16"/>
        </w:rPr>
        <w:softHyphen/>
        <w:t>ково, чтобы в военное время летно-тактические данные само</w:t>
      </w:r>
      <w:r w:rsidRPr="00A259BD">
        <w:rPr>
          <w:rFonts w:ascii="Times New Roman" w:hAnsi="Times New Roman"/>
          <w:color w:val="000000" w:themeColor="text1"/>
          <w:sz w:val="16"/>
          <w:szCs w:val="16"/>
        </w:rPr>
        <w:softHyphen/>
        <w:t>летов и др. основных видов вооружения ВВС не были снижены.</w:t>
      </w:r>
    </w:p>
    <w:p w14:paraId="133271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Суммы, необходимые для осуществления плана опытного строи</w:t>
      </w:r>
      <w:r w:rsidRPr="00A259BD">
        <w:rPr>
          <w:rFonts w:ascii="Times New Roman" w:hAnsi="Times New Roman"/>
          <w:color w:val="000000" w:themeColor="text1"/>
          <w:sz w:val="16"/>
          <w:szCs w:val="16"/>
        </w:rPr>
        <w:softHyphen/>
        <w:t xml:space="preserve">тельства по материаловедению и </w:t>
      </w:r>
      <w:proofErr w:type="spellStart"/>
      <w:r w:rsidRPr="00A259BD">
        <w:rPr>
          <w:rFonts w:ascii="Times New Roman" w:hAnsi="Times New Roman"/>
          <w:color w:val="000000" w:themeColor="text1"/>
          <w:sz w:val="16"/>
          <w:szCs w:val="16"/>
        </w:rPr>
        <w:t>стандартввации</w:t>
      </w:r>
      <w:proofErr w:type="spellEnd"/>
      <w:r w:rsidRPr="00A259BD">
        <w:rPr>
          <w:rFonts w:ascii="Times New Roman" w:hAnsi="Times New Roman"/>
          <w:color w:val="000000" w:themeColor="text1"/>
          <w:sz w:val="16"/>
          <w:szCs w:val="16"/>
        </w:rPr>
        <w:t xml:space="preserve"> исчислены на 5 лет в 5.600.000 рублей.</w:t>
      </w:r>
    </w:p>
    <w:p w14:paraId="112901F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Аэродромное обору</w:t>
      </w:r>
      <w:r w:rsidRPr="00A259BD">
        <w:rPr>
          <w:rFonts w:ascii="Times New Roman" w:hAnsi="Times New Roman"/>
          <w:color w:val="000000" w:themeColor="text1"/>
          <w:sz w:val="16"/>
          <w:szCs w:val="16"/>
        </w:rPr>
        <w:softHyphen/>
        <w:t>дование.</w:t>
      </w:r>
    </w:p>
    <w:p w14:paraId="6D3DBB5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Сюда относятся лишь работы, связанные непосредственно с обслуживанием самолета и не затрагивался работы аэродром</w:t>
      </w:r>
      <w:r w:rsidRPr="00A259BD">
        <w:rPr>
          <w:rFonts w:ascii="Times New Roman" w:hAnsi="Times New Roman"/>
          <w:color w:val="000000" w:themeColor="text1"/>
          <w:sz w:val="16"/>
          <w:szCs w:val="16"/>
        </w:rPr>
        <w:softHyphen/>
        <w:t>ного строительства /ангары, мастерские, служебные здания и оборудование их/.</w:t>
      </w:r>
    </w:p>
    <w:p w14:paraId="744A06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Перечень предметов аэродромного оборудования, подлежащих включению в пятилетний план опытного строительства НТК УВВС РККА делится па. три основных отдела:</w:t>
      </w:r>
    </w:p>
    <w:p w14:paraId="56E45D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Предметы обслуживания самолетов и аэродромов.</w:t>
      </w:r>
    </w:p>
    <w:p w14:paraId="11E8DC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По этому отделу намечено к постройка:</w:t>
      </w:r>
    </w:p>
    <w:p w14:paraId="2D7152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аэродромных тележек специального назначения, из них: 2 для под</w:t>
      </w:r>
      <w:r w:rsidRPr="00A259BD">
        <w:rPr>
          <w:rFonts w:ascii="Times New Roman" w:hAnsi="Times New Roman"/>
          <w:color w:val="000000" w:themeColor="text1"/>
          <w:sz w:val="16"/>
          <w:szCs w:val="16"/>
        </w:rPr>
        <w:softHyphen/>
        <w:t xml:space="preserve">вешивания бомб и </w:t>
      </w:r>
      <w:proofErr w:type="spellStart"/>
      <w:r w:rsidRPr="00A259BD">
        <w:rPr>
          <w:rFonts w:ascii="Times New Roman" w:hAnsi="Times New Roman"/>
          <w:color w:val="000000" w:themeColor="text1"/>
          <w:sz w:val="16"/>
          <w:szCs w:val="16"/>
        </w:rPr>
        <w:t>терпед</w:t>
      </w:r>
      <w:proofErr w:type="spellEnd"/>
      <w:r w:rsidRPr="00A259BD">
        <w:rPr>
          <w:rFonts w:ascii="Times New Roman" w:hAnsi="Times New Roman"/>
          <w:color w:val="000000" w:themeColor="text1"/>
          <w:sz w:val="16"/>
          <w:szCs w:val="16"/>
        </w:rPr>
        <w:t xml:space="preserve"> сухопутным и морским самолетам, 1 для перевозки моторов, 1 для </w:t>
      </w:r>
      <w:proofErr w:type="spellStart"/>
      <w:r w:rsidRPr="00A259BD">
        <w:rPr>
          <w:rFonts w:ascii="Times New Roman" w:hAnsi="Times New Roman"/>
          <w:color w:val="000000" w:themeColor="text1"/>
          <w:sz w:val="16"/>
          <w:szCs w:val="16"/>
        </w:rPr>
        <w:t>перзвоаки</w:t>
      </w:r>
      <w:proofErr w:type="spellEnd"/>
      <w:r w:rsidRPr="00A259BD">
        <w:rPr>
          <w:rFonts w:ascii="Times New Roman" w:hAnsi="Times New Roman"/>
          <w:color w:val="000000" w:themeColor="text1"/>
          <w:sz w:val="16"/>
          <w:szCs w:val="16"/>
        </w:rPr>
        <w:t xml:space="preserve"> самолетов, 1 для заправки горючим самолетов, 1 для вывода </w:t>
      </w:r>
      <w:proofErr w:type="spellStart"/>
      <w:r w:rsidRPr="00A259BD">
        <w:rPr>
          <w:rFonts w:ascii="Times New Roman" w:hAnsi="Times New Roman"/>
          <w:color w:val="000000" w:themeColor="text1"/>
          <w:sz w:val="16"/>
          <w:szCs w:val="16"/>
        </w:rPr>
        <w:t>гидросамолзта</w:t>
      </w:r>
      <w:proofErr w:type="spellEnd"/>
      <w:r w:rsidRPr="00A259BD">
        <w:rPr>
          <w:rFonts w:ascii="Times New Roman" w:hAnsi="Times New Roman"/>
          <w:color w:val="000000" w:themeColor="text1"/>
          <w:sz w:val="16"/>
          <w:szCs w:val="16"/>
        </w:rPr>
        <w:t xml:space="preserve"> на берег и 1 для вывода само</w:t>
      </w:r>
      <w:r w:rsidRPr="00A259BD">
        <w:rPr>
          <w:rFonts w:ascii="Times New Roman" w:hAnsi="Times New Roman"/>
          <w:color w:val="000000" w:themeColor="text1"/>
          <w:sz w:val="16"/>
          <w:szCs w:val="16"/>
        </w:rPr>
        <w:softHyphen/>
        <w:t>лета из ангара на лыжах.</w:t>
      </w:r>
    </w:p>
    <w:p w14:paraId="6F88646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автомобиля, из них: 1 автомобиль - платформа для перевозки разоб</w:t>
      </w:r>
      <w:r w:rsidRPr="00A259BD">
        <w:rPr>
          <w:rFonts w:ascii="Times New Roman" w:hAnsi="Times New Roman"/>
          <w:color w:val="000000" w:themeColor="text1"/>
          <w:sz w:val="16"/>
          <w:szCs w:val="16"/>
        </w:rPr>
        <w:softHyphen/>
        <w:t>ранного самолет, 1 для аэродромного обслуживания /заправка, стар</w:t>
      </w:r>
      <w:r w:rsidRPr="00A259BD">
        <w:rPr>
          <w:rFonts w:ascii="Times New Roman" w:hAnsi="Times New Roman"/>
          <w:color w:val="000000" w:themeColor="text1"/>
          <w:sz w:val="16"/>
          <w:szCs w:val="16"/>
        </w:rPr>
        <w:softHyphen/>
        <w:t>тер, транспортировка, пожарное обслуживание/.</w:t>
      </w:r>
    </w:p>
    <w:p w14:paraId="5E81D19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стартера, из них: 1 для транспортировки легких самолетов, 1 для тяжелых самолетов.</w:t>
      </w:r>
    </w:p>
    <w:p w14:paraId="35524AA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отеплителя, из них: 1 аэродромного типа для моторов с водяным охлаждением, 1 тоже аэродромного типа для моторов с воздушным охлаждением и 1 полевого типа.</w:t>
      </w:r>
    </w:p>
    <w:p w14:paraId="31059B8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w:t>
      </w:r>
      <w:proofErr w:type="spellStart"/>
      <w:r w:rsidRPr="00A259BD">
        <w:rPr>
          <w:rFonts w:ascii="Times New Roman" w:hAnsi="Times New Roman"/>
          <w:color w:val="000000" w:themeColor="text1"/>
          <w:sz w:val="16"/>
          <w:szCs w:val="16"/>
        </w:rPr>
        <w:t>водомаелогрейка</w:t>
      </w:r>
      <w:proofErr w:type="spellEnd"/>
      <w:r w:rsidRPr="00A259BD">
        <w:rPr>
          <w:rFonts w:ascii="Times New Roman" w:hAnsi="Times New Roman"/>
          <w:color w:val="000000" w:themeColor="text1"/>
          <w:sz w:val="16"/>
          <w:szCs w:val="16"/>
        </w:rPr>
        <w:t xml:space="preserve"> походного типа.</w:t>
      </w:r>
    </w:p>
    <w:p w14:paraId="3F2BE40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термос передвижной для горячей воды и масла.</w:t>
      </w:r>
    </w:p>
    <w:p w14:paraId="11D8C3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опреснителя воды для радиаторов.</w:t>
      </w:r>
    </w:p>
    <w:p w14:paraId="43CD29D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аэросаней, </w:t>
      </w:r>
      <w:proofErr w:type="spellStart"/>
      <w:r w:rsidRPr="00A259BD">
        <w:rPr>
          <w:rFonts w:ascii="Times New Roman" w:hAnsi="Times New Roman"/>
          <w:color w:val="000000" w:themeColor="text1"/>
          <w:sz w:val="16"/>
          <w:szCs w:val="16"/>
        </w:rPr>
        <w:t>изних</w:t>
      </w:r>
      <w:proofErr w:type="spellEnd"/>
      <w:r w:rsidRPr="00A259BD">
        <w:rPr>
          <w:rFonts w:ascii="Times New Roman" w:hAnsi="Times New Roman"/>
          <w:color w:val="000000" w:themeColor="text1"/>
          <w:sz w:val="16"/>
          <w:szCs w:val="16"/>
        </w:rPr>
        <w:t>: 1 санитарные, 1 для аэродромного обслуживания самолетов.</w:t>
      </w:r>
    </w:p>
    <w:p w14:paraId="30CB451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крана, из них: 1 </w:t>
      </w:r>
      <w:proofErr w:type="spellStart"/>
      <w:r w:rsidRPr="00A259BD">
        <w:rPr>
          <w:rFonts w:ascii="Times New Roman" w:hAnsi="Times New Roman"/>
          <w:color w:val="000000" w:themeColor="text1"/>
          <w:sz w:val="16"/>
          <w:szCs w:val="16"/>
        </w:rPr>
        <w:t>неподвижьый</w:t>
      </w:r>
      <w:proofErr w:type="spellEnd"/>
      <w:r w:rsidRPr="00A259BD">
        <w:rPr>
          <w:rFonts w:ascii="Times New Roman" w:hAnsi="Times New Roman"/>
          <w:color w:val="000000" w:themeColor="text1"/>
          <w:sz w:val="16"/>
          <w:szCs w:val="16"/>
        </w:rPr>
        <w:t xml:space="preserve"> для самолетов и моторов, I передвижной для работы в ангарах.</w:t>
      </w:r>
    </w:p>
    <w:p w14:paraId="01268C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баржи для питания гидросамолетов горючим </w:t>
      </w:r>
      <w:proofErr w:type="spellStart"/>
      <w:r w:rsidRPr="00A259BD">
        <w:rPr>
          <w:rFonts w:ascii="Times New Roman" w:hAnsi="Times New Roman"/>
          <w:color w:val="000000" w:themeColor="text1"/>
          <w:sz w:val="16"/>
          <w:szCs w:val="16"/>
        </w:rPr>
        <w:t>исмазочным</w:t>
      </w:r>
      <w:proofErr w:type="spellEnd"/>
      <w:r w:rsidRPr="00A259BD">
        <w:rPr>
          <w:rFonts w:ascii="Times New Roman" w:hAnsi="Times New Roman"/>
          <w:color w:val="000000" w:themeColor="text1"/>
          <w:sz w:val="16"/>
          <w:szCs w:val="16"/>
        </w:rPr>
        <w:t xml:space="preserve"> большая и малая.</w:t>
      </w:r>
    </w:p>
    <w:p w14:paraId="3EF086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оборудование для питания с берега гидросамолетов горючим и сма</w:t>
      </w:r>
      <w:r w:rsidRPr="00A259BD">
        <w:rPr>
          <w:rFonts w:ascii="Times New Roman" w:hAnsi="Times New Roman"/>
          <w:color w:val="000000" w:themeColor="text1"/>
          <w:sz w:val="16"/>
          <w:szCs w:val="16"/>
        </w:rPr>
        <w:softHyphen/>
        <w:t>зочным.</w:t>
      </w:r>
    </w:p>
    <w:p w14:paraId="2C71E1D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плавучий док для гидросамолетов.</w:t>
      </w:r>
    </w:p>
    <w:p w14:paraId="27F0C99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катера для обслуживания гидросамолетов и </w:t>
      </w:r>
      <w:proofErr w:type="spellStart"/>
      <w:r w:rsidRPr="00A259BD">
        <w:rPr>
          <w:rFonts w:ascii="Times New Roman" w:hAnsi="Times New Roman"/>
          <w:color w:val="000000" w:themeColor="text1"/>
          <w:sz w:val="16"/>
          <w:szCs w:val="16"/>
        </w:rPr>
        <w:t>гидросамолзтоь</w:t>
      </w:r>
      <w:proofErr w:type="spellEnd"/>
      <w:r w:rsidRPr="00A259BD">
        <w:rPr>
          <w:rFonts w:ascii="Times New Roman" w:hAnsi="Times New Roman"/>
          <w:color w:val="000000" w:themeColor="text1"/>
          <w:sz w:val="16"/>
          <w:szCs w:val="16"/>
        </w:rPr>
        <w:t>.</w:t>
      </w:r>
    </w:p>
    <w:p w14:paraId="5B72AEA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типов </w:t>
      </w:r>
      <w:proofErr w:type="spellStart"/>
      <w:r w:rsidRPr="00A259BD">
        <w:rPr>
          <w:rFonts w:ascii="Times New Roman" w:hAnsi="Times New Roman"/>
          <w:color w:val="000000" w:themeColor="text1"/>
          <w:sz w:val="16"/>
          <w:szCs w:val="16"/>
        </w:rPr>
        <w:t>якорзй</w:t>
      </w:r>
      <w:proofErr w:type="spellEnd"/>
      <w:r w:rsidRPr="00A259BD">
        <w:rPr>
          <w:rFonts w:ascii="Times New Roman" w:hAnsi="Times New Roman"/>
          <w:color w:val="000000" w:themeColor="text1"/>
          <w:sz w:val="16"/>
          <w:szCs w:val="16"/>
        </w:rPr>
        <w:t xml:space="preserve"> для гидросамолетов.</w:t>
      </w:r>
    </w:p>
    <w:p w14:paraId="59A3F0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оборудования для переливания горючего в воздухе.</w:t>
      </w:r>
    </w:p>
    <w:p w14:paraId="0144931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авиационная мастерская на автомобилях.</w:t>
      </w:r>
    </w:p>
    <w:p w14:paraId="3ECB393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Предметы обслуживания летного состава.</w:t>
      </w:r>
    </w:p>
    <w:p w14:paraId="155EA96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образцов полетных очков для летного и технического персонала с </w:t>
      </w:r>
      <w:proofErr w:type="spellStart"/>
      <w:r w:rsidRPr="00A259BD">
        <w:rPr>
          <w:rFonts w:ascii="Times New Roman" w:hAnsi="Times New Roman"/>
          <w:color w:val="000000" w:themeColor="text1"/>
          <w:sz w:val="16"/>
          <w:szCs w:val="16"/>
        </w:rPr>
        <w:t>незапотевающими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небъющимися</w:t>
      </w:r>
      <w:proofErr w:type="spellEnd"/>
      <w:r w:rsidRPr="00A259BD">
        <w:rPr>
          <w:rFonts w:ascii="Times New Roman" w:hAnsi="Times New Roman"/>
          <w:color w:val="000000" w:themeColor="text1"/>
          <w:sz w:val="16"/>
          <w:szCs w:val="16"/>
        </w:rPr>
        <w:t xml:space="preserve"> стеклами, а также со стеклами для Арктики и Туркестана.</w:t>
      </w:r>
    </w:p>
    <w:p w14:paraId="6B94CE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Усовершенствование полетной одежи летного состава.</w:t>
      </w:r>
    </w:p>
    <w:p w14:paraId="46C68D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образцов полетных касок,</w:t>
      </w:r>
    </w:p>
    <w:p w14:paraId="4A36652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образцов спасательных поясов для </w:t>
      </w:r>
      <w:proofErr w:type="spellStart"/>
      <w:r w:rsidRPr="00A259BD">
        <w:rPr>
          <w:rFonts w:ascii="Times New Roman" w:hAnsi="Times New Roman"/>
          <w:color w:val="000000" w:themeColor="text1"/>
          <w:sz w:val="16"/>
          <w:szCs w:val="16"/>
        </w:rPr>
        <w:t>летсостава</w:t>
      </w:r>
      <w:proofErr w:type="spellEnd"/>
      <w:r w:rsidRPr="00A259BD">
        <w:rPr>
          <w:rFonts w:ascii="Times New Roman" w:hAnsi="Times New Roman"/>
          <w:color w:val="000000" w:themeColor="text1"/>
          <w:sz w:val="16"/>
          <w:szCs w:val="16"/>
        </w:rPr>
        <w:t>.</w:t>
      </w:r>
    </w:p>
    <w:p w14:paraId="23D2E5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образца спасательных лодок</w:t>
      </w:r>
    </w:p>
    <w:p w14:paraId="6CBB4E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образцов полетных зимних сапог.</w:t>
      </w:r>
    </w:p>
    <w:p w14:paraId="68ACEC9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образцов аэродромных лыж для технического персонала.</w:t>
      </w:r>
    </w:p>
    <w:p w14:paraId="4CFCF72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образца индивидуального свертка </w:t>
      </w:r>
      <w:proofErr w:type="spellStart"/>
      <w:r w:rsidRPr="00A259BD">
        <w:rPr>
          <w:rFonts w:ascii="Times New Roman" w:hAnsi="Times New Roman"/>
          <w:color w:val="000000" w:themeColor="text1"/>
          <w:sz w:val="16"/>
          <w:szCs w:val="16"/>
        </w:rPr>
        <w:t>летсостава</w:t>
      </w:r>
      <w:proofErr w:type="spellEnd"/>
      <w:r w:rsidRPr="00A259BD">
        <w:rPr>
          <w:rFonts w:ascii="Times New Roman" w:hAnsi="Times New Roman"/>
          <w:color w:val="000000" w:themeColor="text1"/>
          <w:sz w:val="16"/>
          <w:szCs w:val="16"/>
        </w:rPr>
        <w:t xml:space="preserve"> /вещевой и пищевой/</w:t>
      </w:r>
    </w:p>
    <w:p w14:paraId="1FA28A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Усовершенствование привязных ремней для </w:t>
      </w:r>
      <w:proofErr w:type="spellStart"/>
      <w:r w:rsidRPr="00A259BD">
        <w:rPr>
          <w:rFonts w:ascii="Times New Roman" w:hAnsi="Times New Roman"/>
          <w:color w:val="000000" w:themeColor="text1"/>
          <w:sz w:val="16"/>
          <w:szCs w:val="16"/>
        </w:rPr>
        <w:t>летсостава</w:t>
      </w:r>
      <w:proofErr w:type="spellEnd"/>
      <w:r w:rsidRPr="00A259BD">
        <w:rPr>
          <w:rFonts w:ascii="Times New Roman" w:hAnsi="Times New Roman"/>
          <w:color w:val="000000" w:themeColor="text1"/>
          <w:sz w:val="16"/>
          <w:szCs w:val="16"/>
        </w:rPr>
        <w:t>.</w:t>
      </w:r>
    </w:p>
    <w:p w14:paraId="399525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походная кухня для </w:t>
      </w:r>
      <w:proofErr w:type="spellStart"/>
      <w:r w:rsidRPr="00A259BD">
        <w:rPr>
          <w:rFonts w:ascii="Times New Roman" w:hAnsi="Times New Roman"/>
          <w:color w:val="000000" w:themeColor="text1"/>
          <w:sz w:val="16"/>
          <w:szCs w:val="16"/>
        </w:rPr>
        <w:t>летсостава</w:t>
      </w:r>
      <w:proofErr w:type="spellEnd"/>
      <w:r w:rsidRPr="00A259BD">
        <w:rPr>
          <w:rFonts w:ascii="Times New Roman" w:hAnsi="Times New Roman"/>
          <w:color w:val="000000" w:themeColor="text1"/>
          <w:sz w:val="16"/>
          <w:szCs w:val="16"/>
        </w:rPr>
        <w:t xml:space="preserve"> частей ВВС.</w:t>
      </w:r>
    </w:p>
    <w:p w14:paraId="29C6B12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утепленная палатка для </w:t>
      </w:r>
      <w:proofErr w:type="spellStart"/>
      <w:r w:rsidRPr="00A259BD">
        <w:rPr>
          <w:rFonts w:ascii="Times New Roman" w:hAnsi="Times New Roman"/>
          <w:color w:val="000000" w:themeColor="text1"/>
          <w:sz w:val="16"/>
          <w:szCs w:val="16"/>
        </w:rPr>
        <w:t>летсостава</w:t>
      </w:r>
      <w:proofErr w:type="spellEnd"/>
      <w:r w:rsidRPr="00A259BD">
        <w:rPr>
          <w:rFonts w:ascii="Times New Roman" w:hAnsi="Times New Roman"/>
          <w:color w:val="000000" w:themeColor="text1"/>
          <w:sz w:val="16"/>
          <w:szCs w:val="16"/>
        </w:rPr>
        <w:t xml:space="preserve"> ВВС.</w:t>
      </w:r>
    </w:p>
    <w:p w14:paraId="46862B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инструментальный ящик для техника.</w:t>
      </w:r>
    </w:p>
    <w:p w14:paraId="2430AF2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 Аэродромное строительство.</w:t>
      </w:r>
    </w:p>
    <w:p w14:paraId="7ABB7C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вопроса и проектирование подвижных и неподвижных кра</w:t>
      </w:r>
      <w:r w:rsidRPr="00A259BD">
        <w:rPr>
          <w:rFonts w:ascii="Times New Roman" w:hAnsi="Times New Roman"/>
          <w:color w:val="000000" w:themeColor="text1"/>
          <w:sz w:val="16"/>
          <w:szCs w:val="16"/>
        </w:rPr>
        <w:softHyphen/>
        <w:t xml:space="preserve">нов для </w:t>
      </w:r>
      <w:proofErr w:type="spellStart"/>
      <w:r w:rsidRPr="00A259BD">
        <w:rPr>
          <w:rFonts w:ascii="Times New Roman" w:hAnsi="Times New Roman"/>
          <w:color w:val="000000" w:themeColor="text1"/>
          <w:sz w:val="16"/>
          <w:szCs w:val="16"/>
        </w:rPr>
        <w:t>пид"ема</w:t>
      </w:r>
      <w:proofErr w:type="spellEnd"/>
      <w:r w:rsidRPr="00A259BD">
        <w:rPr>
          <w:rFonts w:ascii="Times New Roman" w:hAnsi="Times New Roman"/>
          <w:color w:val="000000" w:themeColor="text1"/>
          <w:sz w:val="16"/>
          <w:szCs w:val="16"/>
        </w:rPr>
        <w:t xml:space="preserve"> и спуска гидросамолетов.</w:t>
      </w:r>
    </w:p>
    <w:p w14:paraId="05A9C9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методов более совершенной обработки поверхности летно</w:t>
      </w:r>
      <w:r w:rsidRPr="00A259BD">
        <w:rPr>
          <w:rFonts w:ascii="Times New Roman" w:hAnsi="Times New Roman"/>
          <w:color w:val="000000" w:themeColor="text1"/>
          <w:sz w:val="16"/>
          <w:szCs w:val="16"/>
        </w:rPr>
        <w:softHyphen/>
        <w:t>го поля.</w:t>
      </w:r>
    </w:p>
    <w:p w14:paraId="5D9925C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более совершенных способов питания аэродромов бензином.</w:t>
      </w:r>
    </w:p>
    <w:p w14:paraId="574C66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вопроса о механизации вывода самолетов из ангар.</w:t>
      </w:r>
    </w:p>
    <w:p w14:paraId="2902DAA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типа ангарных ворот, разработка вопроса о разборных ангарах. Проектирование и постройка палаток-ангар и палаток-чех</w:t>
      </w:r>
      <w:r w:rsidRPr="00A259BD">
        <w:rPr>
          <w:rFonts w:ascii="Times New Roman" w:hAnsi="Times New Roman"/>
          <w:color w:val="000000" w:themeColor="text1"/>
          <w:sz w:val="16"/>
          <w:szCs w:val="16"/>
        </w:rPr>
        <w:softHyphen/>
        <w:t>лов для легких и тяжелых самолетов.</w:t>
      </w:r>
    </w:p>
    <w:p w14:paraId="6D8A740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вопроса о сухом доке для больших гидросамолетов.</w:t>
      </w:r>
    </w:p>
    <w:p w14:paraId="7392486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вопроса и проектирование мореходной и речной баржи-ангара.</w:t>
      </w:r>
    </w:p>
    <w:p w14:paraId="4DF138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вопроса об ограждении аэродромов.</w:t>
      </w:r>
    </w:p>
    <w:p w14:paraId="3A086B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годам изготовление опытных образцов распределяется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88"/>
        <w:gridCol w:w="4680"/>
        <w:gridCol w:w="1314"/>
      </w:tblGrid>
      <w:tr w:rsidR="00A259BD" w:rsidRPr="00A259BD" w14:paraId="009725DB" w14:textId="77777777">
        <w:tc>
          <w:tcPr>
            <w:tcW w:w="1188" w:type="dxa"/>
            <w:tcBorders>
              <w:top w:val="single" w:sz="12" w:space="0" w:color="auto"/>
            </w:tcBorders>
            <w:shd w:val="clear" w:color="auto" w:fill="FFFFFF"/>
          </w:tcPr>
          <w:p w14:paraId="7006B1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1928/29 г.</w:t>
            </w:r>
          </w:p>
        </w:tc>
        <w:tc>
          <w:tcPr>
            <w:tcW w:w="4680" w:type="dxa"/>
            <w:tcBorders>
              <w:top w:val="single" w:sz="12" w:space="0" w:color="auto"/>
            </w:tcBorders>
            <w:shd w:val="clear" w:color="auto" w:fill="FFFFFF"/>
          </w:tcPr>
          <w:p w14:paraId="4BC786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тракторов</w:t>
            </w:r>
          </w:p>
        </w:tc>
        <w:tc>
          <w:tcPr>
            <w:tcW w:w="1314" w:type="dxa"/>
            <w:tcBorders>
              <w:top w:val="single" w:sz="12" w:space="0" w:color="auto"/>
            </w:tcBorders>
            <w:shd w:val="clear" w:color="auto" w:fill="FFFFFF"/>
          </w:tcPr>
          <w:p w14:paraId="407917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- 1</w:t>
            </w:r>
          </w:p>
        </w:tc>
      </w:tr>
      <w:tr w:rsidR="00A259BD" w:rsidRPr="00A259BD" w14:paraId="6BFF3582" w14:textId="77777777">
        <w:tc>
          <w:tcPr>
            <w:tcW w:w="1188" w:type="dxa"/>
            <w:shd w:val="clear" w:color="auto" w:fill="FFFFFF"/>
          </w:tcPr>
          <w:p w14:paraId="4193FE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1929/30 г.</w:t>
            </w:r>
          </w:p>
        </w:tc>
        <w:tc>
          <w:tcPr>
            <w:tcW w:w="4680" w:type="dxa"/>
            <w:shd w:val="clear" w:color="auto" w:fill="FFFFFF"/>
          </w:tcPr>
          <w:p w14:paraId="659FF9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аэродромных специальных тележек</w:t>
            </w:r>
          </w:p>
        </w:tc>
        <w:tc>
          <w:tcPr>
            <w:tcW w:w="1314" w:type="dxa"/>
            <w:shd w:val="clear" w:color="auto" w:fill="FFFFFF"/>
          </w:tcPr>
          <w:p w14:paraId="454465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I</w:t>
            </w:r>
          </w:p>
        </w:tc>
      </w:tr>
      <w:tr w:rsidR="00A259BD" w:rsidRPr="00A259BD" w14:paraId="21B87AE9" w14:textId="77777777">
        <w:tc>
          <w:tcPr>
            <w:tcW w:w="1188" w:type="dxa"/>
            <w:shd w:val="clear" w:color="auto" w:fill="FFFFFF"/>
          </w:tcPr>
          <w:p w14:paraId="38B4AB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061597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отеплителей</w:t>
            </w:r>
          </w:p>
        </w:tc>
        <w:tc>
          <w:tcPr>
            <w:tcW w:w="1314" w:type="dxa"/>
            <w:shd w:val="clear" w:color="auto" w:fill="FFFFFF"/>
          </w:tcPr>
          <w:p w14:paraId="056228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60C48B31" w14:textId="77777777">
        <w:tc>
          <w:tcPr>
            <w:tcW w:w="1188" w:type="dxa"/>
            <w:shd w:val="clear" w:color="auto" w:fill="FFFFFF"/>
          </w:tcPr>
          <w:p w14:paraId="3D5010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438CCF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оборудования для передвижения горючего в воздухе</w:t>
            </w:r>
          </w:p>
        </w:tc>
        <w:tc>
          <w:tcPr>
            <w:tcW w:w="1314" w:type="dxa"/>
            <w:shd w:val="clear" w:color="auto" w:fill="FFFFFF"/>
          </w:tcPr>
          <w:p w14:paraId="0BFF6B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5C6018D4" w14:textId="77777777">
        <w:tc>
          <w:tcPr>
            <w:tcW w:w="1188" w:type="dxa"/>
            <w:shd w:val="clear" w:color="auto" w:fill="FFFFFF"/>
          </w:tcPr>
          <w:p w14:paraId="6F1CBA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3C2424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полетных очков</w:t>
            </w:r>
          </w:p>
        </w:tc>
        <w:tc>
          <w:tcPr>
            <w:tcW w:w="1314" w:type="dxa"/>
            <w:shd w:val="clear" w:color="auto" w:fill="FFFFFF"/>
          </w:tcPr>
          <w:p w14:paraId="519BAD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w:t>
            </w:r>
          </w:p>
        </w:tc>
      </w:tr>
      <w:tr w:rsidR="00A259BD" w:rsidRPr="00A259BD" w14:paraId="0319ACED" w14:textId="77777777">
        <w:tc>
          <w:tcPr>
            <w:tcW w:w="1188" w:type="dxa"/>
            <w:shd w:val="clear" w:color="auto" w:fill="FFFFFF"/>
          </w:tcPr>
          <w:p w14:paraId="6DA571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EEFF3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Спасательных поясов</w:t>
            </w:r>
          </w:p>
        </w:tc>
        <w:tc>
          <w:tcPr>
            <w:tcW w:w="1314" w:type="dxa"/>
            <w:shd w:val="clear" w:color="auto" w:fill="FFFFFF"/>
          </w:tcPr>
          <w:p w14:paraId="566F33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r>
      <w:tr w:rsidR="00A259BD" w:rsidRPr="00A259BD" w14:paraId="084F411D" w14:textId="77777777">
        <w:tc>
          <w:tcPr>
            <w:tcW w:w="1188" w:type="dxa"/>
            <w:shd w:val="clear" w:color="auto" w:fill="FFFFFF"/>
          </w:tcPr>
          <w:p w14:paraId="0B0BA7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92614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Аэродромные лыжи</w:t>
            </w:r>
          </w:p>
        </w:tc>
        <w:tc>
          <w:tcPr>
            <w:tcW w:w="1314" w:type="dxa"/>
            <w:shd w:val="clear" w:color="auto" w:fill="FFFFFF"/>
          </w:tcPr>
          <w:p w14:paraId="24FC90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r>
      <w:tr w:rsidR="00A259BD" w:rsidRPr="00A259BD" w14:paraId="050DA800" w14:textId="77777777">
        <w:tc>
          <w:tcPr>
            <w:tcW w:w="1188" w:type="dxa"/>
            <w:shd w:val="clear" w:color="auto" w:fill="FFFFFF"/>
          </w:tcPr>
          <w:p w14:paraId="6381B7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1930/31 г.</w:t>
            </w:r>
          </w:p>
        </w:tc>
        <w:tc>
          <w:tcPr>
            <w:tcW w:w="4680" w:type="dxa"/>
            <w:shd w:val="clear" w:color="auto" w:fill="FFFFFF"/>
          </w:tcPr>
          <w:p w14:paraId="026B50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Специальных аэродромных тележек</w:t>
            </w:r>
          </w:p>
        </w:tc>
        <w:tc>
          <w:tcPr>
            <w:tcW w:w="1314" w:type="dxa"/>
            <w:shd w:val="clear" w:color="auto" w:fill="FFFFFF"/>
          </w:tcPr>
          <w:p w14:paraId="6A02B6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r>
      <w:tr w:rsidR="00A259BD" w:rsidRPr="00A259BD" w14:paraId="59A310DA" w14:textId="77777777">
        <w:tc>
          <w:tcPr>
            <w:tcW w:w="1188" w:type="dxa"/>
            <w:shd w:val="clear" w:color="auto" w:fill="FFFFFF"/>
          </w:tcPr>
          <w:p w14:paraId="77F2CB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387ECC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Автомобилей специальных</w:t>
            </w:r>
          </w:p>
        </w:tc>
        <w:tc>
          <w:tcPr>
            <w:tcW w:w="1314" w:type="dxa"/>
            <w:shd w:val="clear" w:color="auto" w:fill="FFFFFF"/>
          </w:tcPr>
          <w:p w14:paraId="738894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4EFCAC1D" w14:textId="77777777">
        <w:tc>
          <w:tcPr>
            <w:tcW w:w="1188" w:type="dxa"/>
            <w:shd w:val="clear" w:color="auto" w:fill="FFFFFF"/>
          </w:tcPr>
          <w:p w14:paraId="5FCA6C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3ADE3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Отеплителей</w:t>
            </w:r>
          </w:p>
        </w:tc>
        <w:tc>
          <w:tcPr>
            <w:tcW w:w="1314" w:type="dxa"/>
            <w:shd w:val="clear" w:color="auto" w:fill="FFFFFF"/>
          </w:tcPr>
          <w:p w14:paraId="710103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204ED5BA" w14:textId="77777777">
        <w:tc>
          <w:tcPr>
            <w:tcW w:w="1188" w:type="dxa"/>
            <w:shd w:val="clear" w:color="auto" w:fill="FFFFFF"/>
          </w:tcPr>
          <w:p w14:paraId="4E63B5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2281E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Опреснителей</w:t>
            </w:r>
          </w:p>
        </w:tc>
        <w:tc>
          <w:tcPr>
            <w:tcW w:w="1314" w:type="dxa"/>
            <w:shd w:val="clear" w:color="auto" w:fill="FFFFFF"/>
          </w:tcPr>
          <w:p w14:paraId="383690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7E6FE66E" w14:textId="77777777">
        <w:tc>
          <w:tcPr>
            <w:tcW w:w="1188" w:type="dxa"/>
            <w:shd w:val="clear" w:color="auto" w:fill="FFFFFF"/>
          </w:tcPr>
          <w:p w14:paraId="0B6A02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CE669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Питание с берега горючим</w:t>
            </w:r>
          </w:p>
        </w:tc>
        <w:tc>
          <w:tcPr>
            <w:tcW w:w="1314" w:type="dxa"/>
            <w:shd w:val="clear" w:color="auto" w:fill="FFFFFF"/>
          </w:tcPr>
          <w:p w14:paraId="2E689D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06C0E8EF" w14:textId="77777777">
        <w:tc>
          <w:tcPr>
            <w:tcW w:w="1188" w:type="dxa"/>
            <w:shd w:val="clear" w:color="auto" w:fill="FFFFFF"/>
          </w:tcPr>
          <w:p w14:paraId="25E818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3FFC6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Якоря для гидросамолетов</w:t>
            </w:r>
          </w:p>
        </w:tc>
        <w:tc>
          <w:tcPr>
            <w:tcW w:w="1314" w:type="dxa"/>
            <w:shd w:val="clear" w:color="auto" w:fill="FFFFFF"/>
          </w:tcPr>
          <w:p w14:paraId="166A4A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r>
      <w:tr w:rsidR="00A259BD" w:rsidRPr="00A259BD" w14:paraId="56F77D79" w14:textId="77777777">
        <w:tc>
          <w:tcPr>
            <w:tcW w:w="1188" w:type="dxa"/>
            <w:shd w:val="clear" w:color="auto" w:fill="FFFFFF"/>
          </w:tcPr>
          <w:p w14:paraId="31B4D0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00BDCF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Оборудование для пере</w:t>
            </w:r>
            <w:r w:rsidRPr="00A259BD">
              <w:rPr>
                <w:rFonts w:ascii="Times New Roman" w:hAnsi="Times New Roman"/>
                <w:color w:val="000000" w:themeColor="text1"/>
                <w:sz w:val="16"/>
                <w:szCs w:val="16"/>
              </w:rPr>
              <w:softHyphen/>
              <w:t>ливания горючего в воздухе</w:t>
            </w:r>
          </w:p>
        </w:tc>
        <w:tc>
          <w:tcPr>
            <w:tcW w:w="1314" w:type="dxa"/>
            <w:shd w:val="clear" w:color="auto" w:fill="FFFFFF"/>
          </w:tcPr>
          <w:p w14:paraId="0CD809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A3188F4" w14:textId="77777777">
        <w:tc>
          <w:tcPr>
            <w:tcW w:w="1188" w:type="dxa"/>
            <w:shd w:val="clear" w:color="auto" w:fill="FFFFFF"/>
          </w:tcPr>
          <w:p w14:paraId="6F9571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332D1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Спасательные лодки</w:t>
            </w:r>
          </w:p>
        </w:tc>
        <w:tc>
          <w:tcPr>
            <w:tcW w:w="1314" w:type="dxa"/>
            <w:shd w:val="clear" w:color="auto" w:fill="FFFFFF"/>
          </w:tcPr>
          <w:p w14:paraId="5FA363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r>
      <w:tr w:rsidR="00A259BD" w:rsidRPr="00A259BD" w14:paraId="3E7F3744" w14:textId="77777777">
        <w:tc>
          <w:tcPr>
            <w:tcW w:w="1188" w:type="dxa"/>
            <w:shd w:val="clear" w:color="auto" w:fill="FFFFFF"/>
          </w:tcPr>
          <w:p w14:paraId="795FC9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1931/32 г.</w:t>
            </w:r>
          </w:p>
        </w:tc>
        <w:tc>
          <w:tcPr>
            <w:tcW w:w="4680" w:type="dxa"/>
            <w:shd w:val="clear" w:color="auto" w:fill="FFFFFF"/>
          </w:tcPr>
          <w:p w14:paraId="6ABBDA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Специальных тележек аэродромных</w:t>
            </w:r>
          </w:p>
        </w:tc>
        <w:tc>
          <w:tcPr>
            <w:tcW w:w="1314" w:type="dxa"/>
            <w:shd w:val="clear" w:color="auto" w:fill="FFFFFF"/>
          </w:tcPr>
          <w:p w14:paraId="43AC27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0BC7FDE1" w14:textId="77777777">
        <w:tc>
          <w:tcPr>
            <w:tcW w:w="1188" w:type="dxa"/>
            <w:shd w:val="clear" w:color="auto" w:fill="FFFFFF"/>
          </w:tcPr>
          <w:p w14:paraId="3177FF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38242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Автомобилей специальных</w:t>
            </w:r>
          </w:p>
        </w:tc>
        <w:tc>
          <w:tcPr>
            <w:tcW w:w="1314" w:type="dxa"/>
            <w:shd w:val="clear" w:color="auto" w:fill="FFFFFF"/>
          </w:tcPr>
          <w:p w14:paraId="1735F3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43BA6F6C" w14:textId="77777777">
        <w:tc>
          <w:tcPr>
            <w:tcW w:w="1188" w:type="dxa"/>
            <w:shd w:val="clear" w:color="auto" w:fill="FFFFFF"/>
          </w:tcPr>
          <w:p w14:paraId="126368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0AAAB0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Стартер</w:t>
            </w:r>
          </w:p>
        </w:tc>
        <w:tc>
          <w:tcPr>
            <w:tcW w:w="1314" w:type="dxa"/>
            <w:shd w:val="clear" w:color="auto" w:fill="FFFFFF"/>
          </w:tcPr>
          <w:p w14:paraId="514AF5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181B7029" w14:textId="77777777">
        <w:tc>
          <w:tcPr>
            <w:tcW w:w="1188" w:type="dxa"/>
            <w:shd w:val="clear" w:color="auto" w:fill="FFFFFF"/>
          </w:tcPr>
          <w:p w14:paraId="625156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565E0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Аэросани</w:t>
            </w:r>
          </w:p>
        </w:tc>
        <w:tc>
          <w:tcPr>
            <w:tcW w:w="1314" w:type="dxa"/>
            <w:shd w:val="clear" w:color="auto" w:fill="FFFFFF"/>
          </w:tcPr>
          <w:p w14:paraId="10689B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3BBFE80A" w14:textId="77777777">
        <w:tc>
          <w:tcPr>
            <w:tcW w:w="1188" w:type="dxa"/>
            <w:shd w:val="clear" w:color="auto" w:fill="FFFFFF"/>
          </w:tcPr>
          <w:p w14:paraId="6FAA80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B0DC3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Краны</w:t>
            </w:r>
          </w:p>
        </w:tc>
        <w:tc>
          <w:tcPr>
            <w:tcW w:w="1314" w:type="dxa"/>
            <w:shd w:val="clear" w:color="auto" w:fill="FFFFFF"/>
          </w:tcPr>
          <w:p w14:paraId="5A20EA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7BA5EBB7" w14:textId="77777777">
        <w:tc>
          <w:tcPr>
            <w:tcW w:w="1188" w:type="dxa"/>
            <w:shd w:val="clear" w:color="auto" w:fill="FFFFFF"/>
          </w:tcPr>
          <w:p w14:paraId="4C3590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3DE2AE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Плавучий док</w:t>
            </w:r>
          </w:p>
        </w:tc>
        <w:tc>
          <w:tcPr>
            <w:tcW w:w="1314" w:type="dxa"/>
            <w:shd w:val="clear" w:color="auto" w:fill="FFFFFF"/>
          </w:tcPr>
          <w:p w14:paraId="3C5749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4FF33407" w14:textId="77777777">
        <w:tc>
          <w:tcPr>
            <w:tcW w:w="1188" w:type="dxa"/>
            <w:shd w:val="clear" w:color="auto" w:fill="FFFFFF"/>
          </w:tcPr>
          <w:p w14:paraId="2750CC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1C268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Баржи доя питания гидро</w:t>
            </w:r>
            <w:r w:rsidRPr="00A259BD">
              <w:rPr>
                <w:rFonts w:ascii="Times New Roman" w:hAnsi="Times New Roman"/>
                <w:color w:val="000000" w:themeColor="text1"/>
                <w:sz w:val="16"/>
                <w:szCs w:val="16"/>
              </w:rPr>
              <w:softHyphen/>
              <w:t>самолетов</w:t>
            </w:r>
          </w:p>
        </w:tc>
        <w:tc>
          <w:tcPr>
            <w:tcW w:w="1314" w:type="dxa"/>
            <w:shd w:val="clear" w:color="auto" w:fill="FFFFFF"/>
          </w:tcPr>
          <w:p w14:paraId="7A41F8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140E226E" w14:textId="77777777">
        <w:tc>
          <w:tcPr>
            <w:tcW w:w="1188" w:type="dxa"/>
            <w:shd w:val="clear" w:color="auto" w:fill="FFFFFF"/>
          </w:tcPr>
          <w:p w14:paraId="401FE3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225878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Утепленная палатка</w:t>
            </w:r>
          </w:p>
        </w:tc>
        <w:tc>
          <w:tcPr>
            <w:tcW w:w="1314" w:type="dxa"/>
            <w:shd w:val="clear" w:color="auto" w:fill="FFFFFF"/>
          </w:tcPr>
          <w:p w14:paraId="37174D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1134EE12" w14:textId="77777777">
        <w:tc>
          <w:tcPr>
            <w:tcW w:w="1188" w:type="dxa"/>
            <w:shd w:val="clear" w:color="auto" w:fill="FFFFFF"/>
          </w:tcPr>
          <w:p w14:paraId="7D4B96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1932/33 г.</w:t>
            </w:r>
          </w:p>
        </w:tc>
        <w:tc>
          <w:tcPr>
            <w:tcW w:w="4680" w:type="dxa"/>
            <w:shd w:val="clear" w:color="auto" w:fill="FFFFFF"/>
          </w:tcPr>
          <w:p w14:paraId="57D888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Тракторов</w:t>
            </w:r>
          </w:p>
        </w:tc>
        <w:tc>
          <w:tcPr>
            <w:tcW w:w="1314" w:type="dxa"/>
            <w:shd w:val="clear" w:color="auto" w:fill="FFFFFF"/>
          </w:tcPr>
          <w:p w14:paraId="29071E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1D338C37" w14:textId="77777777">
        <w:tc>
          <w:tcPr>
            <w:tcW w:w="1188" w:type="dxa"/>
            <w:shd w:val="clear" w:color="auto" w:fill="FFFFFF"/>
          </w:tcPr>
          <w:p w14:paraId="369DF5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4D9EB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Тележек специальных аэродромных</w:t>
            </w:r>
          </w:p>
        </w:tc>
        <w:tc>
          <w:tcPr>
            <w:tcW w:w="1314" w:type="dxa"/>
            <w:shd w:val="clear" w:color="auto" w:fill="FFFFFF"/>
          </w:tcPr>
          <w:p w14:paraId="17290F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4C7AC5BE" w14:textId="77777777">
        <w:tc>
          <w:tcPr>
            <w:tcW w:w="1188" w:type="dxa"/>
            <w:shd w:val="clear" w:color="auto" w:fill="FFFFFF"/>
          </w:tcPr>
          <w:p w14:paraId="5D96E4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00CFEB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Водомаслогрейка</w:t>
            </w:r>
            <w:proofErr w:type="spellEnd"/>
          </w:p>
        </w:tc>
        <w:tc>
          <w:tcPr>
            <w:tcW w:w="1314" w:type="dxa"/>
            <w:shd w:val="clear" w:color="auto" w:fill="FFFFFF"/>
          </w:tcPr>
          <w:p w14:paraId="437A78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65CD7830" w14:textId="77777777">
        <w:tc>
          <w:tcPr>
            <w:tcW w:w="1188" w:type="dxa"/>
            <w:shd w:val="clear" w:color="auto" w:fill="FFFFFF"/>
          </w:tcPr>
          <w:p w14:paraId="1D00F6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48ECE7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Краны</w:t>
            </w:r>
          </w:p>
        </w:tc>
        <w:tc>
          <w:tcPr>
            <w:tcW w:w="1314" w:type="dxa"/>
            <w:shd w:val="clear" w:color="auto" w:fill="FFFFFF"/>
          </w:tcPr>
          <w:p w14:paraId="437B21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14B535DA" w14:textId="77777777">
        <w:tc>
          <w:tcPr>
            <w:tcW w:w="1188" w:type="dxa"/>
            <w:shd w:val="clear" w:color="auto" w:fill="FFFFFF"/>
          </w:tcPr>
          <w:p w14:paraId="1688AF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14CCB6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Катера</w:t>
            </w:r>
          </w:p>
        </w:tc>
        <w:tc>
          <w:tcPr>
            <w:tcW w:w="1314" w:type="dxa"/>
            <w:shd w:val="clear" w:color="auto" w:fill="FFFFFF"/>
          </w:tcPr>
          <w:p w14:paraId="0C903E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r>
      <w:tr w:rsidR="00A259BD" w:rsidRPr="00A259BD" w14:paraId="57424963" w14:textId="77777777">
        <w:tc>
          <w:tcPr>
            <w:tcW w:w="1188" w:type="dxa"/>
            <w:shd w:val="clear" w:color="auto" w:fill="FFFFFF"/>
          </w:tcPr>
          <w:p w14:paraId="06DFAB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4DBAE7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Авиационная мастерская на автомобилях</w:t>
            </w:r>
          </w:p>
        </w:tc>
        <w:tc>
          <w:tcPr>
            <w:tcW w:w="1314" w:type="dxa"/>
            <w:shd w:val="clear" w:color="auto" w:fill="FFFFFF"/>
          </w:tcPr>
          <w:p w14:paraId="164103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410C0D99" w14:textId="77777777">
        <w:tc>
          <w:tcPr>
            <w:tcW w:w="1188" w:type="dxa"/>
            <w:tcBorders>
              <w:bottom w:val="single" w:sz="12" w:space="0" w:color="auto"/>
            </w:tcBorders>
            <w:shd w:val="clear" w:color="auto" w:fill="FFFFFF"/>
          </w:tcPr>
          <w:p w14:paraId="250644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tcBorders>
              <w:bottom w:val="single" w:sz="12" w:space="0" w:color="auto"/>
            </w:tcBorders>
            <w:shd w:val="clear" w:color="auto" w:fill="FFFFFF"/>
          </w:tcPr>
          <w:p w14:paraId="7C7799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Походная кухня для </w:t>
            </w:r>
            <w:proofErr w:type="spellStart"/>
            <w:r w:rsidRPr="00A259BD">
              <w:rPr>
                <w:rFonts w:ascii="Times New Roman" w:hAnsi="Times New Roman"/>
                <w:color w:val="000000" w:themeColor="text1"/>
                <w:sz w:val="16"/>
                <w:szCs w:val="16"/>
              </w:rPr>
              <w:t>летсостава</w:t>
            </w:r>
            <w:proofErr w:type="spellEnd"/>
          </w:p>
        </w:tc>
        <w:tc>
          <w:tcPr>
            <w:tcW w:w="1314" w:type="dxa"/>
            <w:tcBorders>
              <w:bottom w:val="single" w:sz="12" w:space="0" w:color="auto"/>
            </w:tcBorders>
            <w:shd w:val="clear" w:color="auto" w:fill="FFFFFF"/>
          </w:tcPr>
          <w:p w14:paraId="1351B7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r>
    </w:tbl>
    <w:p w14:paraId="067272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производственных возможностей осуществление намеченных опытных образцов не должно встретить особых затруднении, во всяком случае в отношении главнейших пред</w:t>
      </w:r>
      <w:r w:rsidRPr="00A259BD">
        <w:rPr>
          <w:rFonts w:ascii="Times New Roman" w:hAnsi="Times New Roman"/>
          <w:color w:val="000000" w:themeColor="text1"/>
          <w:sz w:val="16"/>
          <w:szCs w:val="16"/>
        </w:rPr>
        <w:softHyphen/>
        <w:t>метов, как специальные автомобили, трактора, аэросани, насколько возможно предусмотреть затруднения без наличия разработанных проектов.</w:t>
      </w:r>
    </w:p>
    <w:p w14:paraId="6F96395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Потребные суммы на опытное строительство по аэродромному оборудованию </w:t>
      </w:r>
      <w:proofErr w:type="spellStart"/>
      <w:r w:rsidRPr="00A259BD">
        <w:rPr>
          <w:rFonts w:ascii="Times New Roman" w:hAnsi="Times New Roman"/>
          <w:color w:val="000000" w:themeColor="text1"/>
          <w:sz w:val="16"/>
          <w:szCs w:val="16"/>
        </w:rPr>
        <w:t>выпажаются</w:t>
      </w:r>
      <w:proofErr w:type="spellEnd"/>
      <w:r w:rsidRPr="00A259BD">
        <w:rPr>
          <w:rFonts w:ascii="Times New Roman" w:hAnsi="Times New Roman"/>
          <w:color w:val="000000" w:themeColor="text1"/>
          <w:sz w:val="16"/>
          <w:szCs w:val="16"/>
        </w:rPr>
        <w:t xml:space="preserve"> ы 1.200.000 рублей.</w:t>
      </w:r>
    </w:p>
    <w:p w14:paraId="7122F05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Издан. и мелкие работы НТК</w:t>
      </w:r>
    </w:p>
    <w:p w14:paraId="646AE7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Здесь предусматривается издание НТК для текущего и не инструктирования НТК частей ВВС и издание научных трудов, как результат </w:t>
      </w:r>
      <w:proofErr w:type="spellStart"/>
      <w:r w:rsidRPr="00A259BD">
        <w:rPr>
          <w:rFonts w:ascii="Times New Roman" w:hAnsi="Times New Roman"/>
          <w:color w:val="000000" w:themeColor="text1"/>
          <w:sz w:val="16"/>
          <w:szCs w:val="16"/>
        </w:rPr>
        <w:t>исследиваний</w:t>
      </w:r>
      <w:proofErr w:type="spellEnd"/>
      <w:r w:rsidRPr="00A259BD">
        <w:rPr>
          <w:rFonts w:ascii="Times New Roman" w:hAnsi="Times New Roman"/>
          <w:color w:val="000000" w:themeColor="text1"/>
          <w:sz w:val="16"/>
          <w:szCs w:val="16"/>
        </w:rPr>
        <w:t>, проведенных НТК и имеющих практическое значение.</w:t>
      </w:r>
    </w:p>
    <w:p w14:paraId="743B9A3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здесь же предусмотрены различные расходы на оплату экспертов и консультантов, а так же выполнение ряда мелких ра</w:t>
      </w:r>
      <w:r w:rsidRPr="00A259BD">
        <w:rPr>
          <w:rFonts w:ascii="Times New Roman" w:hAnsi="Times New Roman"/>
          <w:color w:val="000000" w:themeColor="text1"/>
          <w:sz w:val="16"/>
          <w:szCs w:val="16"/>
        </w:rPr>
        <w:softHyphen/>
        <w:t>бот не входящих в ведение секций.</w:t>
      </w:r>
    </w:p>
    <w:p w14:paraId="2D97A38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на эти работы предусмотрена на 5 лет сумма в 510.000 руб.</w:t>
      </w:r>
    </w:p>
    <w:p w14:paraId="2D69DF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Как уже указывалось при исчисление необходимых средств по опытному строительству на 5 лет учитывались лишь расходы:</w:t>
      </w:r>
    </w:p>
    <w:p w14:paraId="51B56FB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На проектирование, постройку и испытание опытных конструк</w:t>
      </w:r>
      <w:r w:rsidRPr="00A259BD">
        <w:rPr>
          <w:rFonts w:ascii="Times New Roman" w:hAnsi="Times New Roman"/>
          <w:color w:val="000000" w:themeColor="text1"/>
          <w:sz w:val="16"/>
          <w:szCs w:val="16"/>
        </w:rPr>
        <w:softHyphen/>
        <w:t>ций.</w:t>
      </w:r>
    </w:p>
    <w:p w14:paraId="388CAB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 xml:space="preserve">2. </w:t>
      </w:r>
      <w:r w:rsidRPr="00A259BD">
        <w:rPr>
          <w:rFonts w:ascii="Times New Roman" w:hAnsi="Times New Roman"/>
          <w:color w:val="000000" w:themeColor="text1"/>
          <w:sz w:val="16"/>
          <w:szCs w:val="16"/>
        </w:rPr>
        <w:t>Теоретическую в экспериментальную проработку вопросов, свя</w:t>
      </w:r>
      <w:r w:rsidRPr="00A259BD">
        <w:rPr>
          <w:rFonts w:ascii="Times New Roman" w:hAnsi="Times New Roman"/>
          <w:color w:val="000000" w:themeColor="text1"/>
          <w:sz w:val="16"/>
          <w:szCs w:val="16"/>
        </w:rPr>
        <w:softHyphen/>
        <w:t xml:space="preserve">занных с изготовлением опытных образцов и для </w:t>
      </w:r>
      <w:proofErr w:type="spellStart"/>
      <w:r w:rsidRPr="00A259BD">
        <w:rPr>
          <w:rFonts w:ascii="Times New Roman" w:hAnsi="Times New Roman"/>
          <w:color w:val="000000" w:themeColor="text1"/>
          <w:sz w:val="16"/>
          <w:szCs w:val="16"/>
        </w:rPr>
        <w:t>решэния</w:t>
      </w:r>
      <w:proofErr w:type="spellEnd"/>
      <w:r w:rsidRPr="00A259BD">
        <w:rPr>
          <w:rFonts w:ascii="Times New Roman" w:hAnsi="Times New Roman"/>
          <w:color w:val="000000" w:themeColor="text1"/>
          <w:sz w:val="16"/>
          <w:szCs w:val="16"/>
        </w:rPr>
        <w:t xml:space="preserve"> новых проблем.</w:t>
      </w:r>
    </w:p>
    <w:p w14:paraId="07A416E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Специальное оборудование и инструмент, требуемый для дан</w:t>
      </w:r>
      <w:r w:rsidRPr="00A259BD">
        <w:rPr>
          <w:rFonts w:ascii="Times New Roman" w:hAnsi="Times New Roman"/>
          <w:color w:val="000000" w:themeColor="text1"/>
          <w:sz w:val="16"/>
          <w:szCs w:val="16"/>
        </w:rPr>
        <w:softHyphen/>
        <w:t>ной работы.</w:t>
      </w:r>
    </w:p>
    <w:p w14:paraId="3D0E33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же касается расходов, </w:t>
      </w:r>
      <w:proofErr w:type="spellStart"/>
      <w:r w:rsidRPr="00A259BD">
        <w:rPr>
          <w:rFonts w:ascii="Times New Roman" w:hAnsi="Times New Roman"/>
          <w:color w:val="000000" w:themeColor="text1"/>
          <w:sz w:val="16"/>
          <w:szCs w:val="16"/>
        </w:rPr>
        <w:t>связапных</w:t>
      </w:r>
      <w:proofErr w:type="spellEnd"/>
      <w:r w:rsidRPr="00A259BD">
        <w:rPr>
          <w:rFonts w:ascii="Times New Roman" w:hAnsi="Times New Roman"/>
          <w:color w:val="000000" w:themeColor="text1"/>
          <w:sz w:val="16"/>
          <w:szCs w:val="16"/>
        </w:rPr>
        <w:t xml:space="preserve"> с установкой необходимого общего оборудования в мастерских и лабораториях, организации опытных отделов, дооборудованием и развитием Научных Институ</w:t>
      </w:r>
      <w:r w:rsidRPr="00A259BD">
        <w:rPr>
          <w:rFonts w:ascii="Times New Roman" w:hAnsi="Times New Roman"/>
          <w:color w:val="000000" w:themeColor="text1"/>
          <w:sz w:val="16"/>
          <w:szCs w:val="16"/>
        </w:rPr>
        <w:softHyphen/>
        <w:t>тов ВСНХ /НАМИ, ЦАГМ и др./ или УВВС /НИИ/, то эти средства планом не учтены.</w:t>
      </w:r>
    </w:p>
    <w:p w14:paraId="64E890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вошли также в план расходы, связанные с частью работ, указанных ниже.</w:t>
      </w:r>
    </w:p>
    <w:p w14:paraId="490541E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Таким образом планом не учитываются работы на </w:t>
      </w:r>
      <w:proofErr w:type="spellStart"/>
      <w:r w:rsidRPr="00A259BD">
        <w:rPr>
          <w:rFonts w:ascii="Times New Roman" w:hAnsi="Times New Roman"/>
          <w:color w:val="000000" w:themeColor="text1"/>
          <w:sz w:val="16"/>
          <w:szCs w:val="16"/>
        </w:rPr>
        <w:t>нижеслэдующее</w:t>
      </w:r>
      <w:proofErr w:type="spellEnd"/>
      <w:r w:rsidRPr="00A259BD">
        <w:rPr>
          <w:rFonts w:ascii="Times New Roman" w:hAnsi="Times New Roman"/>
          <w:color w:val="000000" w:themeColor="text1"/>
          <w:sz w:val="16"/>
          <w:szCs w:val="16"/>
        </w:rPr>
        <w:t>:</w:t>
      </w:r>
    </w:p>
    <w:p w14:paraId="69BE314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Расходы на развитие и оборудование:</w:t>
      </w:r>
    </w:p>
    <w:p w14:paraId="407656E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научных институтов ВСНХ и УВВС.</w:t>
      </w:r>
    </w:p>
    <w:p w14:paraId="16EFAB8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опытных мастерских и заводов: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Орудийно-Арсенального треста и др. организаций, на которых возлагается </w:t>
      </w:r>
      <w:proofErr w:type="spellStart"/>
      <w:r w:rsidRPr="00A259BD">
        <w:rPr>
          <w:rFonts w:ascii="Times New Roman" w:hAnsi="Times New Roman"/>
          <w:color w:val="000000" w:themeColor="text1"/>
          <w:sz w:val="16"/>
          <w:szCs w:val="16"/>
        </w:rPr>
        <w:t>осуществланиз</w:t>
      </w:r>
      <w:proofErr w:type="spellEnd"/>
      <w:r w:rsidRPr="00A259BD">
        <w:rPr>
          <w:rFonts w:ascii="Times New Roman" w:hAnsi="Times New Roman"/>
          <w:color w:val="000000" w:themeColor="text1"/>
          <w:sz w:val="16"/>
          <w:szCs w:val="16"/>
        </w:rPr>
        <w:t xml:space="preserve"> плана опытного строительства.</w:t>
      </w:r>
    </w:p>
    <w:p w14:paraId="039490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Оборудование металлургических заводов для производства новых сортов стали, или установки новых методов обработки /штамповки/.</w:t>
      </w:r>
    </w:p>
    <w:p w14:paraId="757DD6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Постройка и оборудование новых заводов для производства </w:t>
      </w:r>
      <w:proofErr w:type="spellStart"/>
      <w:r w:rsidRPr="00A259BD">
        <w:rPr>
          <w:rFonts w:ascii="Times New Roman" w:hAnsi="Times New Roman"/>
          <w:color w:val="000000" w:themeColor="text1"/>
          <w:sz w:val="16"/>
          <w:szCs w:val="16"/>
        </w:rPr>
        <w:t>аллюминия</w:t>
      </w:r>
      <w:proofErr w:type="spellEnd"/>
      <w:r w:rsidRPr="00A259BD">
        <w:rPr>
          <w:rFonts w:ascii="Times New Roman" w:hAnsi="Times New Roman"/>
          <w:color w:val="000000" w:themeColor="text1"/>
          <w:sz w:val="16"/>
          <w:szCs w:val="16"/>
        </w:rPr>
        <w:t>, электрона и др. материалов, необходимых для осуществления плана.</w:t>
      </w:r>
    </w:p>
    <w:p w14:paraId="77A137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Не предусмотрены работы по дирижаблестроению, оцениваемые примерно в первой очереди около 20.000.000 рублей,</w:t>
      </w:r>
    </w:p>
    <w:p w14:paraId="7EECAA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Не предусмотрены средства на работы по стрелковому и химическому вооружению, как идущие по линий АУ и ВОХИМУ.</w:t>
      </w:r>
    </w:p>
    <w:p w14:paraId="5846FAF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Частично предусмотрена средства на радио и электротехническое оборудование, так как основная сумма лабораторных работ общих для всех видов радио и </w:t>
      </w:r>
      <w:proofErr w:type="spellStart"/>
      <w:r w:rsidRPr="00A259BD">
        <w:rPr>
          <w:rFonts w:ascii="Times New Roman" w:hAnsi="Times New Roman"/>
          <w:color w:val="000000" w:themeColor="text1"/>
          <w:sz w:val="16"/>
          <w:szCs w:val="16"/>
        </w:rPr>
        <w:t>элекхротехники</w:t>
      </w:r>
      <w:proofErr w:type="spellEnd"/>
      <w:r w:rsidRPr="00A259BD">
        <w:rPr>
          <w:rFonts w:ascii="Times New Roman" w:hAnsi="Times New Roman"/>
          <w:color w:val="000000" w:themeColor="text1"/>
          <w:sz w:val="16"/>
          <w:szCs w:val="16"/>
        </w:rPr>
        <w:t xml:space="preserve"> должна быть пред усмотрена ВТУ.</w:t>
      </w:r>
    </w:p>
    <w:p w14:paraId="3616CD3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предусмотрены средства по аэродромному строитель</w:t>
      </w:r>
      <w:r w:rsidRPr="00A259BD">
        <w:rPr>
          <w:rFonts w:ascii="Times New Roman" w:hAnsi="Times New Roman"/>
          <w:color w:val="000000" w:themeColor="text1"/>
          <w:sz w:val="16"/>
          <w:szCs w:val="16"/>
        </w:rPr>
        <w:softHyphen/>
        <w:t>ству и защиты аэродромов как работ, не ведущихся по линии УВВС.</w:t>
      </w:r>
    </w:p>
    <w:p w14:paraId="23CC92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Распределение средств на работы, предусмотренные 5-ти летним планом будет нижеследующее: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A259BD" w:rsidRPr="00A259BD" w14:paraId="158A8905" w14:textId="77777777">
        <w:tc>
          <w:tcPr>
            <w:tcW w:w="4788" w:type="dxa"/>
            <w:tcBorders>
              <w:top w:val="single" w:sz="12" w:space="0" w:color="auto"/>
            </w:tcBorders>
            <w:shd w:val="clear" w:color="auto" w:fill="FFFFFF"/>
          </w:tcPr>
          <w:p w14:paraId="7A1CFD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Самолетостроение</w:t>
            </w:r>
          </w:p>
        </w:tc>
        <w:tc>
          <w:tcPr>
            <w:tcW w:w="4788" w:type="dxa"/>
            <w:tcBorders>
              <w:top w:val="single" w:sz="12" w:space="0" w:color="auto"/>
            </w:tcBorders>
            <w:shd w:val="clear" w:color="auto" w:fill="FFFFFF"/>
          </w:tcPr>
          <w:p w14:paraId="452AC9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10.495.000</w:t>
            </w:r>
          </w:p>
        </w:tc>
      </w:tr>
      <w:tr w:rsidR="00A259BD" w:rsidRPr="00A259BD" w14:paraId="113A2002" w14:textId="77777777">
        <w:tc>
          <w:tcPr>
            <w:tcW w:w="4788" w:type="dxa"/>
            <w:shd w:val="clear" w:color="auto" w:fill="FFFFFF"/>
          </w:tcPr>
          <w:p w14:paraId="7EB736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Воздухоплавание</w:t>
            </w:r>
          </w:p>
        </w:tc>
        <w:tc>
          <w:tcPr>
            <w:tcW w:w="4788" w:type="dxa"/>
            <w:shd w:val="clear" w:color="auto" w:fill="FFFFFF"/>
          </w:tcPr>
          <w:p w14:paraId="55A40A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2.000.000</w:t>
            </w:r>
          </w:p>
        </w:tc>
      </w:tr>
      <w:tr w:rsidR="00A259BD" w:rsidRPr="00A259BD" w14:paraId="5802E26E" w14:textId="77777777">
        <w:tc>
          <w:tcPr>
            <w:tcW w:w="4788" w:type="dxa"/>
            <w:shd w:val="clear" w:color="auto" w:fill="FFFFFF"/>
          </w:tcPr>
          <w:p w14:paraId="7DEAB7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Моторостроение</w:t>
            </w:r>
          </w:p>
        </w:tc>
        <w:tc>
          <w:tcPr>
            <w:tcW w:w="4788" w:type="dxa"/>
            <w:shd w:val="clear" w:color="auto" w:fill="FFFFFF"/>
          </w:tcPr>
          <w:p w14:paraId="307D75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14.500.000</w:t>
            </w:r>
          </w:p>
        </w:tc>
      </w:tr>
      <w:tr w:rsidR="00A259BD" w:rsidRPr="00A259BD" w14:paraId="19B27BD1" w14:textId="77777777">
        <w:tc>
          <w:tcPr>
            <w:tcW w:w="4788" w:type="dxa"/>
            <w:shd w:val="clear" w:color="auto" w:fill="FFFFFF"/>
          </w:tcPr>
          <w:p w14:paraId="01B56A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Вооружение и оборудование</w:t>
            </w:r>
          </w:p>
        </w:tc>
        <w:tc>
          <w:tcPr>
            <w:tcW w:w="4788" w:type="dxa"/>
            <w:shd w:val="clear" w:color="auto" w:fill="FFFFFF"/>
          </w:tcPr>
          <w:p w14:paraId="27BD06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5.270.000</w:t>
            </w:r>
          </w:p>
        </w:tc>
      </w:tr>
      <w:tr w:rsidR="00A259BD" w:rsidRPr="00A259BD" w14:paraId="540CEA21" w14:textId="77777777">
        <w:tc>
          <w:tcPr>
            <w:tcW w:w="4788" w:type="dxa"/>
            <w:shd w:val="clear" w:color="auto" w:fill="FFFFFF"/>
          </w:tcPr>
          <w:p w14:paraId="6F44CA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Материаловедение и стандартизация</w:t>
            </w:r>
          </w:p>
        </w:tc>
        <w:tc>
          <w:tcPr>
            <w:tcW w:w="4788" w:type="dxa"/>
            <w:shd w:val="clear" w:color="auto" w:fill="FFFFFF"/>
          </w:tcPr>
          <w:p w14:paraId="3D251E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5.600.000</w:t>
            </w:r>
          </w:p>
        </w:tc>
      </w:tr>
      <w:tr w:rsidR="00A259BD" w:rsidRPr="00A259BD" w14:paraId="2C311197" w14:textId="77777777">
        <w:tc>
          <w:tcPr>
            <w:tcW w:w="4788" w:type="dxa"/>
            <w:shd w:val="clear" w:color="auto" w:fill="FFFFFF"/>
          </w:tcPr>
          <w:p w14:paraId="0E7EC6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Аэродромное оборудование</w:t>
            </w:r>
          </w:p>
        </w:tc>
        <w:tc>
          <w:tcPr>
            <w:tcW w:w="4788" w:type="dxa"/>
            <w:shd w:val="clear" w:color="auto" w:fill="FFFFFF"/>
          </w:tcPr>
          <w:p w14:paraId="3082FD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1.200.000</w:t>
            </w:r>
          </w:p>
        </w:tc>
      </w:tr>
      <w:tr w:rsidR="00A259BD" w:rsidRPr="00A259BD" w14:paraId="00DB46E9" w14:textId="77777777">
        <w:tc>
          <w:tcPr>
            <w:tcW w:w="4788" w:type="dxa"/>
            <w:shd w:val="clear" w:color="auto" w:fill="FFFFFF"/>
          </w:tcPr>
          <w:p w14:paraId="717C9B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Издания НТК и разные мелкие работы</w:t>
            </w:r>
          </w:p>
        </w:tc>
        <w:tc>
          <w:tcPr>
            <w:tcW w:w="4788" w:type="dxa"/>
            <w:shd w:val="clear" w:color="auto" w:fill="FFFFFF"/>
          </w:tcPr>
          <w:p w14:paraId="5473FD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510.000</w:t>
            </w:r>
          </w:p>
        </w:tc>
      </w:tr>
      <w:tr w:rsidR="00A259BD" w:rsidRPr="00A259BD" w14:paraId="76C8AD30" w14:textId="77777777">
        <w:tc>
          <w:tcPr>
            <w:tcW w:w="4788" w:type="dxa"/>
            <w:tcBorders>
              <w:bottom w:val="single" w:sz="12" w:space="0" w:color="auto"/>
            </w:tcBorders>
            <w:shd w:val="clear" w:color="auto" w:fill="FFFFFF"/>
          </w:tcPr>
          <w:p w14:paraId="773C12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 е г о:</w:t>
            </w:r>
          </w:p>
        </w:tc>
        <w:tc>
          <w:tcPr>
            <w:tcW w:w="4788" w:type="dxa"/>
            <w:tcBorders>
              <w:bottom w:val="single" w:sz="12" w:space="0" w:color="auto"/>
            </w:tcBorders>
            <w:shd w:val="clear" w:color="auto" w:fill="FFFFFF"/>
          </w:tcPr>
          <w:p w14:paraId="568CE8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39.750.000</w:t>
            </w:r>
          </w:p>
        </w:tc>
      </w:tr>
    </w:tbl>
    <w:p w14:paraId="0BA8FC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Потребность же в средствах по годам выразится таким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A259BD" w:rsidRPr="00A259BD" w14:paraId="75FAED99" w14:textId="77777777">
        <w:tc>
          <w:tcPr>
            <w:tcW w:w="4788" w:type="dxa"/>
            <w:tcBorders>
              <w:top w:val="single" w:sz="12" w:space="0" w:color="auto"/>
            </w:tcBorders>
            <w:shd w:val="clear" w:color="auto" w:fill="FFFFFF"/>
          </w:tcPr>
          <w:p w14:paraId="6CDF40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1928/29 г.</w:t>
            </w:r>
          </w:p>
        </w:tc>
        <w:tc>
          <w:tcPr>
            <w:tcW w:w="4788" w:type="dxa"/>
            <w:tcBorders>
              <w:top w:val="single" w:sz="12" w:space="0" w:color="auto"/>
            </w:tcBorders>
            <w:shd w:val="clear" w:color="auto" w:fill="FFFFFF"/>
          </w:tcPr>
          <w:p w14:paraId="4BB4E6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3.770.000 руб.</w:t>
            </w:r>
          </w:p>
        </w:tc>
      </w:tr>
      <w:tr w:rsidR="00A259BD" w:rsidRPr="00A259BD" w14:paraId="2BF45A6A" w14:textId="77777777">
        <w:tc>
          <w:tcPr>
            <w:tcW w:w="4788" w:type="dxa"/>
            <w:shd w:val="clear" w:color="auto" w:fill="FFFFFF"/>
          </w:tcPr>
          <w:p w14:paraId="3679FC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w:t>
            </w:r>
          </w:p>
        </w:tc>
        <w:tc>
          <w:tcPr>
            <w:tcW w:w="4788" w:type="dxa"/>
            <w:shd w:val="clear" w:color="auto" w:fill="FFFFFF"/>
          </w:tcPr>
          <w:p w14:paraId="00D950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8.230.000</w:t>
            </w:r>
          </w:p>
        </w:tc>
      </w:tr>
      <w:tr w:rsidR="00A259BD" w:rsidRPr="00A259BD" w14:paraId="5F2EF5C0" w14:textId="77777777">
        <w:tc>
          <w:tcPr>
            <w:tcW w:w="4788" w:type="dxa"/>
            <w:shd w:val="clear" w:color="auto" w:fill="FFFFFF"/>
          </w:tcPr>
          <w:p w14:paraId="583D4D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 г.</w:t>
            </w:r>
          </w:p>
        </w:tc>
        <w:tc>
          <w:tcPr>
            <w:tcW w:w="4788" w:type="dxa"/>
            <w:shd w:val="clear" w:color="auto" w:fill="FFFFFF"/>
          </w:tcPr>
          <w:p w14:paraId="42D422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9.025.000</w:t>
            </w:r>
          </w:p>
        </w:tc>
      </w:tr>
      <w:tr w:rsidR="00A259BD" w:rsidRPr="00A259BD" w14:paraId="1D96FB6C" w14:textId="77777777">
        <w:tc>
          <w:tcPr>
            <w:tcW w:w="4788" w:type="dxa"/>
            <w:shd w:val="clear" w:color="auto" w:fill="FFFFFF"/>
          </w:tcPr>
          <w:p w14:paraId="2796C0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1931/32 г. </w:t>
            </w:r>
          </w:p>
        </w:tc>
        <w:tc>
          <w:tcPr>
            <w:tcW w:w="4788" w:type="dxa"/>
            <w:shd w:val="clear" w:color="auto" w:fill="FFFFFF"/>
          </w:tcPr>
          <w:p w14:paraId="5D6F9A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9.050.000</w:t>
            </w:r>
          </w:p>
        </w:tc>
      </w:tr>
      <w:tr w:rsidR="00A259BD" w:rsidRPr="00A259BD" w14:paraId="3B23E691" w14:textId="77777777">
        <w:tc>
          <w:tcPr>
            <w:tcW w:w="4788" w:type="dxa"/>
            <w:shd w:val="clear" w:color="auto" w:fill="FFFFFF"/>
          </w:tcPr>
          <w:p w14:paraId="44380D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1932/ЗЗ г.</w:t>
            </w:r>
          </w:p>
        </w:tc>
        <w:tc>
          <w:tcPr>
            <w:tcW w:w="4788" w:type="dxa"/>
            <w:shd w:val="clear" w:color="auto" w:fill="FFFFFF"/>
          </w:tcPr>
          <w:p w14:paraId="3573EB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9.500.000</w:t>
            </w:r>
          </w:p>
        </w:tc>
      </w:tr>
      <w:tr w:rsidR="00A259BD" w:rsidRPr="00A259BD" w14:paraId="74CE289A" w14:textId="77777777">
        <w:tc>
          <w:tcPr>
            <w:tcW w:w="4788" w:type="dxa"/>
            <w:tcBorders>
              <w:bottom w:val="single" w:sz="12" w:space="0" w:color="auto"/>
            </w:tcBorders>
            <w:shd w:val="clear" w:color="auto" w:fill="FFFFFF"/>
          </w:tcPr>
          <w:p w14:paraId="6B5129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 е г о: </w:t>
            </w:r>
          </w:p>
        </w:tc>
        <w:tc>
          <w:tcPr>
            <w:tcW w:w="4788" w:type="dxa"/>
            <w:tcBorders>
              <w:bottom w:val="single" w:sz="12" w:space="0" w:color="auto"/>
            </w:tcBorders>
            <w:shd w:val="clear" w:color="auto" w:fill="FFFFFF"/>
          </w:tcPr>
          <w:p w14:paraId="23AE67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39.750.000 руб.</w:t>
            </w:r>
          </w:p>
        </w:tc>
      </w:tr>
    </w:tbl>
    <w:p w14:paraId="23F89A9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Более подробно распределение средств по объектам расходов указано в приложении.</w:t>
      </w:r>
    </w:p>
    <w:p w14:paraId="134ED2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заключение следует указать, что примерная стоимость работ была взята на основании опыта предыдущих лет и </w:t>
      </w:r>
      <w:proofErr w:type="spellStart"/>
      <w:r w:rsidRPr="00A259BD">
        <w:rPr>
          <w:rFonts w:ascii="Times New Roman" w:hAnsi="Times New Roman"/>
          <w:color w:val="000000" w:themeColor="text1"/>
          <w:sz w:val="16"/>
          <w:szCs w:val="16"/>
        </w:rPr>
        <w:t>пожтому</w:t>
      </w:r>
      <w:proofErr w:type="spellEnd"/>
      <w:r w:rsidRPr="00A259BD">
        <w:rPr>
          <w:rFonts w:ascii="Times New Roman" w:hAnsi="Times New Roman"/>
          <w:color w:val="000000" w:themeColor="text1"/>
          <w:sz w:val="16"/>
          <w:szCs w:val="16"/>
        </w:rPr>
        <w:t xml:space="preserve"> должна считаться ориентировочной, подлежащей уточнению в сметах каждого года.</w:t>
      </w:r>
    </w:p>
    <w:p w14:paraId="51E844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необходимо отметить, что хотя средства, указанные в настоящем плана охватывают всю стоимость работ, но кредито</w:t>
      </w:r>
      <w:r w:rsidRPr="00A259BD">
        <w:rPr>
          <w:rFonts w:ascii="Times New Roman" w:hAnsi="Times New Roman"/>
          <w:color w:val="000000" w:themeColor="text1"/>
          <w:sz w:val="16"/>
          <w:szCs w:val="16"/>
        </w:rPr>
        <w:softHyphen/>
        <w:t xml:space="preserve">вание поставленных в плане работ будет </w:t>
      </w:r>
      <w:proofErr w:type="spellStart"/>
      <w:r w:rsidRPr="00A259BD">
        <w:rPr>
          <w:rFonts w:ascii="Times New Roman" w:hAnsi="Times New Roman"/>
          <w:color w:val="000000" w:themeColor="text1"/>
          <w:sz w:val="16"/>
          <w:szCs w:val="16"/>
        </w:rPr>
        <w:t>иттичастью</w:t>
      </w:r>
      <w:proofErr w:type="spellEnd"/>
      <w:r w:rsidRPr="00A259BD">
        <w:rPr>
          <w:rFonts w:ascii="Times New Roman" w:hAnsi="Times New Roman"/>
          <w:color w:val="000000" w:themeColor="text1"/>
          <w:sz w:val="16"/>
          <w:szCs w:val="16"/>
        </w:rPr>
        <w:t xml:space="preserve"> по линии УВВС, а частью по линий промышленности, согласно существующе</w:t>
      </w:r>
      <w:r w:rsidRPr="00A259BD">
        <w:rPr>
          <w:rFonts w:ascii="Times New Roman" w:hAnsi="Times New Roman"/>
          <w:color w:val="000000" w:themeColor="text1"/>
          <w:sz w:val="16"/>
          <w:szCs w:val="16"/>
        </w:rPr>
        <w:softHyphen/>
        <w:t>го распорядка.</w:t>
      </w:r>
    </w:p>
    <w:p w14:paraId="56A237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Предложение</w:t>
      </w:r>
    </w:p>
    <w:p w14:paraId="2846096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w:t>
      </w:r>
      <w:proofErr w:type="spellStart"/>
      <w:r w:rsidRPr="00A259BD">
        <w:rPr>
          <w:rFonts w:ascii="Times New Roman" w:hAnsi="Times New Roman"/>
          <w:color w:val="000000" w:themeColor="text1"/>
          <w:sz w:val="16"/>
          <w:szCs w:val="16"/>
        </w:rPr>
        <w:t>ваключение</w:t>
      </w:r>
      <w:proofErr w:type="spellEnd"/>
      <w:r w:rsidRPr="00A259BD">
        <w:rPr>
          <w:rFonts w:ascii="Times New Roman" w:hAnsi="Times New Roman"/>
          <w:color w:val="000000" w:themeColor="text1"/>
          <w:sz w:val="16"/>
          <w:szCs w:val="16"/>
        </w:rPr>
        <w:t xml:space="preserve"> прошу представленный 5-ти летний план опытного строительства ВВС утвердить как ориентировочный, вместе с приставляемой сметой в сумме 39.750.000 руб.</w:t>
      </w:r>
    </w:p>
    <w:p w14:paraId="21E29D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Поручить </w:t>
      </w:r>
      <w:proofErr w:type="spellStart"/>
      <w:r w:rsidRPr="00A259BD">
        <w:rPr>
          <w:rFonts w:ascii="Times New Roman" w:hAnsi="Times New Roman"/>
          <w:color w:val="000000" w:themeColor="text1"/>
          <w:sz w:val="16"/>
          <w:szCs w:val="16"/>
        </w:rPr>
        <w:t>ВВСу</w:t>
      </w:r>
      <w:proofErr w:type="spellEnd"/>
      <w:r w:rsidRPr="00A259BD">
        <w:rPr>
          <w:rFonts w:ascii="Times New Roman" w:hAnsi="Times New Roman"/>
          <w:color w:val="000000" w:themeColor="text1"/>
          <w:sz w:val="16"/>
          <w:szCs w:val="16"/>
        </w:rPr>
        <w:t xml:space="preserve"> обсудить совместно с </w:t>
      </w:r>
      <w:proofErr w:type="spellStart"/>
      <w:r w:rsidRPr="00A259BD">
        <w:rPr>
          <w:rFonts w:ascii="Times New Roman" w:hAnsi="Times New Roman"/>
          <w:color w:val="000000" w:themeColor="text1"/>
          <w:sz w:val="16"/>
          <w:szCs w:val="16"/>
        </w:rPr>
        <w:t>Мобупр</w:t>
      </w:r>
      <w:proofErr w:type="spellEnd"/>
      <w:r w:rsidRPr="00A259BD">
        <w:rPr>
          <w:rFonts w:ascii="Times New Roman" w:hAnsi="Times New Roman"/>
          <w:color w:val="000000" w:themeColor="text1"/>
          <w:sz w:val="16"/>
          <w:szCs w:val="16"/>
        </w:rPr>
        <w:t xml:space="preserve"> ВСНХ порядок пе</w:t>
      </w:r>
      <w:r w:rsidRPr="00A259BD">
        <w:rPr>
          <w:rFonts w:ascii="Times New Roman" w:hAnsi="Times New Roman"/>
          <w:color w:val="000000" w:themeColor="text1"/>
          <w:sz w:val="16"/>
          <w:szCs w:val="16"/>
        </w:rPr>
        <w:softHyphen/>
        <w:t>редачи задания на осуществление плана соответствующим промыш</w:t>
      </w:r>
      <w:r w:rsidRPr="00A259BD">
        <w:rPr>
          <w:rFonts w:ascii="Times New Roman" w:hAnsi="Times New Roman"/>
          <w:color w:val="000000" w:themeColor="text1"/>
          <w:sz w:val="16"/>
          <w:szCs w:val="16"/>
        </w:rPr>
        <w:softHyphen/>
        <w:t>ленным и научным организациям ВСНХ, организовав где это тре</w:t>
      </w:r>
      <w:r w:rsidRPr="00A259BD">
        <w:rPr>
          <w:rFonts w:ascii="Times New Roman" w:hAnsi="Times New Roman"/>
          <w:color w:val="000000" w:themeColor="text1"/>
          <w:sz w:val="16"/>
          <w:szCs w:val="16"/>
        </w:rPr>
        <w:softHyphen/>
        <w:t>буется конструкторские бюро и отделы опытного строительства,</w:t>
      </w:r>
    </w:p>
    <w:p w14:paraId="0DCFEA8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Примерный перечень таких организаций, которым по мнению ВВС может быть передано исполнение работ плана указано в перечне, приложенном к настоящему докладу.</w:t>
      </w:r>
    </w:p>
    <w:p w14:paraId="7C65077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виду того, что своевременно постановлениями Р^СР от 5.2 и 22.5.29 г. были указаны подробно мероприятия для обеспечения интересов опытного строительства ВВС, но важнейшие из них /как например организация недостающих конструкторских бюро при заводах/ до сих пор не проведены в жизнь, то я прошу РВСР дать поручение на обследование выполнения этих постанов</w:t>
      </w:r>
      <w:r w:rsidRPr="00A259BD">
        <w:rPr>
          <w:rFonts w:ascii="Times New Roman" w:hAnsi="Times New Roman"/>
          <w:color w:val="000000" w:themeColor="text1"/>
          <w:sz w:val="16"/>
          <w:szCs w:val="16"/>
        </w:rPr>
        <w:softHyphen/>
        <w:t>лений.</w:t>
      </w:r>
    </w:p>
    <w:p w14:paraId="4ADB88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же касается работ не включенных в план работ ВВС, то про</w:t>
      </w:r>
      <w:r w:rsidRPr="00A259BD">
        <w:rPr>
          <w:rFonts w:ascii="Times New Roman" w:hAnsi="Times New Roman"/>
          <w:color w:val="000000" w:themeColor="text1"/>
          <w:sz w:val="16"/>
          <w:szCs w:val="16"/>
        </w:rPr>
        <w:softHyphen/>
        <w:t>шу таковую включить в план соответствующих управлений, а вопросы жесткого дирижаблестроения обсудить дополнительно по получении доклада</w:t>
      </w:r>
    </w:p>
    <w:p w14:paraId="630D28D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Сводная смета и пятилетний план опытного строи</w:t>
      </w:r>
      <w:r w:rsidRPr="00A259BD">
        <w:rPr>
          <w:rFonts w:ascii="Times New Roman" w:hAnsi="Times New Roman"/>
          <w:color w:val="000000" w:themeColor="text1"/>
          <w:sz w:val="16"/>
          <w:szCs w:val="16"/>
        </w:rPr>
        <w:softHyphen/>
        <w:t>тельства ВВС на " " листах.</w:t>
      </w:r>
    </w:p>
    <w:p w14:paraId="0AE4B4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 ВВС РККА / Баранов/ (351).</w:t>
      </w:r>
    </w:p>
    <w:p w14:paraId="02E39D3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11245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октября 1929 через 40 минут после старта АНТ-4 Страна Советов дублер из </w:t>
      </w:r>
      <w:proofErr w:type="spellStart"/>
      <w:r w:rsidRPr="00A259BD">
        <w:rPr>
          <w:rFonts w:ascii="Times New Roman" w:hAnsi="Times New Roman"/>
          <w:color w:val="000000" w:themeColor="text1"/>
          <w:sz w:val="16"/>
          <w:szCs w:val="16"/>
        </w:rPr>
        <w:t>Ситки</w:t>
      </w:r>
      <w:proofErr w:type="spellEnd"/>
      <w:r w:rsidRPr="00A259BD">
        <w:rPr>
          <w:rFonts w:ascii="Times New Roman" w:hAnsi="Times New Roman"/>
          <w:color w:val="000000" w:themeColor="text1"/>
          <w:sz w:val="16"/>
          <w:szCs w:val="16"/>
        </w:rPr>
        <w:t xml:space="preserve"> внезапно упало давление масла все того же левого двигателя. В результате пришлось повер</w:t>
      </w:r>
      <w:r w:rsidRPr="00A259BD">
        <w:rPr>
          <w:rFonts w:ascii="Times New Roman" w:hAnsi="Times New Roman"/>
          <w:color w:val="000000" w:themeColor="text1"/>
          <w:sz w:val="16"/>
          <w:szCs w:val="16"/>
        </w:rPr>
        <w:softHyphen/>
        <w:t>нуть к берегу, и Болотов с ходу совершил посадку у крутого берега, покрытого испо</w:t>
      </w:r>
      <w:r w:rsidRPr="00A259BD">
        <w:rPr>
          <w:rFonts w:ascii="Times New Roman" w:hAnsi="Times New Roman"/>
          <w:color w:val="000000" w:themeColor="text1"/>
          <w:sz w:val="16"/>
          <w:szCs w:val="16"/>
        </w:rPr>
        <w:softHyphen/>
        <w:t>линскими соснами. Вынужденная посадка произошла в 240 км от места старта. Нашли людей, затем по радио передали о своих трудностях. Через 5 дней сторожевой катер “</w:t>
      </w:r>
      <w:proofErr w:type="spellStart"/>
      <w:r w:rsidRPr="00A259BD">
        <w:rPr>
          <w:rFonts w:ascii="Times New Roman" w:hAnsi="Times New Roman"/>
          <w:color w:val="000000" w:themeColor="text1"/>
          <w:sz w:val="16"/>
          <w:szCs w:val="16"/>
        </w:rPr>
        <w:t>Сайган</w:t>
      </w:r>
      <w:proofErr w:type="spellEnd"/>
      <w:r w:rsidRPr="00A259BD">
        <w:rPr>
          <w:rFonts w:ascii="Times New Roman" w:hAnsi="Times New Roman"/>
          <w:color w:val="000000" w:themeColor="text1"/>
          <w:sz w:val="16"/>
          <w:szCs w:val="16"/>
        </w:rPr>
        <w:t>” доставил запасной двигатель. Ра</w:t>
      </w:r>
      <w:r w:rsidRPr="00A259BD">
        <w:rPr>
          <w:rFonts w:ascii="Times New Roman" w:hAnsi="Times New Roman"/>
          <w:color w:val="000000" w:themeColor="text1"/>
          <w:sz w:val="16"/>
          <w:szCs w:val="16"/>
        </w:rPr>
        <w:softHyphen/>
        <w:t>ботая на плаву, смогли вчетвером за 2 дня установить его взамен аварийного (11286).</w:t>
      </w:r>
    </w:p>
    <w:p w14:paraId="650144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ADBCC9"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3030668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BD923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октября 1929 дип. отношения СССР с Великобританией были восстановлены (1348,242).</w:t>
      </w:r>
    </w:p>
    <w:p w14:paraId="6434C2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171EF0"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D0AC6F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809D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октября 1929 королевство Сербии, Хорватии и Словении сменило имя на Королевство Югославия (2100).</w:t>
      </w:r>
    </w:p>
    <w:p w14:paraId="0E2D87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A401E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5EABE0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88358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октября 1929 г. 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утвер</w:t>
      </w:r>
      <w:r w:rsidRPr="00A259BD">
        <w:rPr>
          <w:rFonts w:ascii="Times New Roman" w:hAnsi="Times New Roman"/>
          <w:color w:val="000000" w:themeColor="text1"/>
          <w:sz w:val="16"/>
          <w:szCs w:val="16"/>
        </w:rPr>
        <w:softHyphen/>
        <w:t>дило срок выпуска МУ-2 на испытания - 1 декабря 1929 г. Отстранение Поликарпова от конструктор</w:t>
      </w:r>
      <w:r w:rsidRPr="00A259BD">
        <w:rPr>
          <w:rFonts w:ascii="Times New Roman" w:hAnsi="Times New Roman"/>
          <w:color w:val="000000" w:themeColor="text1"/>
          <w:sz w:val="16"/>
          <w:szCs w:val="16"/>
        </w:rPr>
        <w:softHyphen/>
        <w:t>ской деятельности в октябре 1929 г. прервало постройку самолета. Она возобновилась только с декабря и прово</w:t>
      </w:r>
      <w:r w:rsidRPr="00A259BD">
        <w:rPr>
          <w:rFonts w:ascii="Times New Roman" w:hAnsi="Times New Roman"/>
          <w:color w:val="000000" w:themeColor="text1"/>
          <w:sz w:val="16"/>
          <w:szCs w:val="16"/>
        </w:rPr>
        <w:softHyphen/>
        <w:t>дилась уже под руководством нового главного конст</w:t>
      </w:r>
      <w:r w:rsidRPr="00A259BD">
        <w:rPr>
          <w:rFonts w:ascii="Times New Roman" w:hAnsi="Times New Roman"/>
          <w:color w:val="000000" w:themeColor="text1"/>
          <w:sz w:val="16"/>
          <w:szCs w:val="16"/>
        </w:rPr>
        <w:softHyphen/>
        <w:t xml:space="preserve">руктора завода </w:t>
      </w:r>
      <w:proofErr w:type="spellStart"/>
      <w:r w:rsidRPr="00A259BD">
        <w:rPr>
          <w:rFonts w:ascii="Times New Roman" w:hAnsi="Times New Roman"/>
          <w:color w:val="000000" w:themeColor="text1"/>
          <w:sz w:val="16"/>
          <w:szCs w:val="16"/>
        </w:rPr>
        <w:t>С.А.Кочеригина</w:t>
      </w:r>
      <w:proofErr w:type="spellEnd"/>
      <w:r w:rsidRPr="00A259BD">
        <w:rPr>
          <w:rFonts w:ascii="Times New Roman" w:hAnsi="Times New Roman"/>
          <w:color w:val="000000" w:themeColor="text1"/>
          <w:sz w:val="16"/>
          <w:szCs w:val="16"/>
        </w:rPr>
        <w:t>. К лету 1930 г. самолет был готов, но испытания задержались из-за того, что Управление морской авиации вовремя не откомандиро</w:t>
      </w:r>
      <w:r w:rsidRPr="00A259BD">
        <w:rPr>
          <w:rFonts w:ascii="Times New Roman" w:hAnsi="Times New Roman"/>
          <w:color w:val="000000" w:themeColor="text1"/>
          <w:sz w:val="16"/>
          <w:szCs w:val="16"/>
        </w:rPr>
        <w:softHyphen/>
        <w:t>вало для их проведения летчиков. В июле 1930 г. завод № 25 был закрыт. Осенью 1930 г. все построенные само</w:t>
      </w:r>
      <w:r w:rsidRPr="00A259BD">
        <w:rPr>
          <w:rFonts w:ascii="Times New Roman" w:hAnsi="Times New Roman"/>
          <w:color w:val="000000" w:themeColor="text1"/>
          <w:sz w:val="16"/>
          <w:szCs w:val="16"/>
        </w:rPr>
        <w:softHyphen/>
        <w:t>леты завода № 25 передавали для продолжения работ над ними заводу № 39. Из-за плохой погоды летные ис</w:t>
      </w:r>
      <w:r w:rsidRPr="00A259BD">
        <w:rPr>
          <w:rFonts w:ascii="Times New Roman" w:hAnsi="Times New Roman"/>
          <w:color w:val="000000" w:themeColor="text1"/>
          <w:sz w:val="16"/>
          <w:szCs w:val="16"/>
        </w:rPr>
        <w:softHyphen/>
        <w:t>пытания МУ-2 на воде начались только весной 1931 г. на Москве-реке. Поведение машины в воздухе признали нормальным, скорость и мореходность приемлемыми, но скороподъемность и потолок не удовлетворяли за</w:t>
      </w:r>
      <w:r w:rsidRPr="00A259BD">
        <w:rPr>
          <w:rFonts w:ascii="Times New Roman" w:hAnsi="Times New Roman"/>
          <w:color w:val="000000" w:themeColor="text1"/>
          <w:sz w:val="16"/>
          <w:szCs w:val="16"/>
        </w:rPr>
        <w:softHyphen/>
        <w:t>казчика. Запуск мотора с воды был труден, бортовых пневматических или электрических стартеров двигатель М-11 тогда еще не имел. Устранить большинство недо</w:t>
      </w:r>
      <w:r w:rsidRPr="00A259BD">
        <w:rPr>
          <w:rFonts w:ascii="Times New Roman" w:hAnsi="Times New Roman"/>
          <w:color w:val="000000" w:themeColor="text1"/>
          <w:sz w:val="16"/>
          <w:szCs w:val="16"/>
        </w:rPr>
        <w:softHyphen/>
        <w:t>статков было вполне возможно, но этим никто не хотел заниматься: проведение испытаний МУ-2 для завода № 39 являлось внеплановой работой, а ввиду отсутствия главного конструктора решение организационных во</w:t>
      </w:r>
      <w:r w:rsidRPr="00A259BD">
        <w:rPr>
          <w:rFonts w:ascii="Times New Roman" w:hAnsi="Times New Roman"/>
          <w:color w:val="000000" w:themeColor="text1"/>
          <w:sz w:val="16"/>
          <w:szCs w:val="16"/>
        </w:rPr>
        <w:softHyphen/>
        <w:t>просов зачастую выливалось в неразрешимую про</w:t>
      </w:r>
      <w:r w:rsidRPr="00A259BD">
        <w:rPr>
          <w:rFonts w:ascii="Times New Roman" w:hAnsi="Times New Roman"/>
          <w:color w:val="000000" w:themeColor="text1"/>
          <w:sz w:val="16"/>
          <w:szCs w:val="16"/>
        </w:rPr>
        <w:softHyphen/>
        <w:t>блему. К тому же в условиях репрессий по делу о Промпартии и Шахтинскому делу никто не хотел брать на себя ответственность при проведении необходимых доработок. После испытаний самолет передали для ис</w:t>
      </w:r>
      <w:r w:rsidRPr="00A259BD">
        <w:rPr>
          <w:rFonts w:ascii="Times New Roman" w:hAnsi="Times New Roman"/>
          <w:color w:val="000000" w:themeColor="text1"/>
          <w:sz w:val="16"/>
          <w:szCs w:val="16"/>
        </w:rPr>
        <w:softHyphen/>
        <w:t>пользования в Ейскую школу. На этом история МУ-2 завершилась. Кроме этого варианта для полетов над реками в Си</w:t>
      </w:r>
      <w:r w:rsidRPr="00A259BD">
        <w:rPr>
          <w:rFonts w:ascii="Times New Roman" w:hAnsi="Times New Roman"/>
          <w:color w:val="000000" w:themeColor="text1"/>
          <w:sz w:val="16"/>
          <w:szCs w:val="16"/>
        </w:rPr>
        <w:softHyphen/>
        <w:t xml:space="preserve">бири и Дальнем Востоке в 1940 г. </w:t>
      </w:r>
      <w:proofErr w:type="spellStart"/>
      <w:r w:rsidRPr="00A259BD">
        <w:rPr>
          <w:rFonts w:ascii="Times New Roman" w:hAnsi="Times New Roman"/>
          <w:color w:val="000000" w:themeColor="text1"/>
          <w:sz w:val="16"/>
          <w:szCs w:val="16"/>
        </w:rPr>
        <w:t>В.Б.Шавров</w:t>
      </w:r>
      <w:proofErr w:type="spellEnd"/>
      <w:r w:rsidRPr="00A259BD">
        <w:rPr>
          <w:rFonts w:ascii="Times New Roman" w:hAnsi="Times New Roman"/>
          <w:color w:val="000000" w:themeColor="text1"/>
          <w:sz w:val="16"/>
          <w:szCs w:val="16"/>
        </w:rPr>
        <w:t xml:space="preserve"> спроекти</w:t>
      </w:r>
      <w:r w:rsidRPr="00A259BD">
        <w:rPr>
          <w:rFonts w:ascii="Times New Roman" w:hAnsi="Times New Roman"/>
          <w:color w:val="000000" w:themeColor="text1"/>
          <w:sz w:val="16"/>
          <w:szCs w:val="16"/>
        </w:rPr>
        <w:softHyphen/>
        <w:t xml:space="preserve">ровал для У-2 </w:t>
      </w:r>
      <w:proofErr w:type="spellStart"/>
      <w:r w:rsidRPr="00A259BD">
        <w:rPr>
          <w:rFonts w:ascii="Times New Roman" w:hAnsi="Times New Roman"/>
          <w:color w:val="000000" w:themeColor="text1"/>
          <w:sz w:val="16"/>
          <w:szCs w:val="16"/>
        </w:rPr>
        <w:t>двухпоплавковое</w:t>
      </w:r>
      <w:proofErr w:type="spellEnd"/>
      <w:r w:rsidRPr="00A259BD">
        <w:rPr>
          <w:rFonts w:ascii="Times New Roman" w:hAnsi="Times New Roman"/>
          <w:color w:val="000000" w:themeColor="text1"/>
          <w:sz w:val="16"/>
          <w:szCs w:val="16"/>
        </w:rPr>
        <w:t xml:space="preserve"> шасси деревянной конструкции. Позже, в 1942 г. летал аналогичный двух-поплавковый У-2 по проекту </w:t>
      </w:r>
      <w:proofErr w:type="spellStart"/>
      <w:r w:rsidRPr="00A259BD">
        <w:rPr>
          <w:rFonts w:ascii="Times New Roman" w:hAnsi="Times New Roman"/>
          <w:color w:val="000000" w:themeColor="text1"/>
          <w:sz w:val="16"/>
          <w:szCs w:val="16"/>
        </w:rPr>
        <w:t>А.Я.Щербакова</w:t>
      </w:r>
      <w:proofErr w:type="spellEnd"/>
      <w:r w:rsidRPr="00A259BD">
        <w:rPr>
          <w:rFonts w:ascii="Times New Roman" w:hAnsi="Times New Roman"/>
          <w:color w:val="000000" w:themeColor="text1"/>
          <w:sz w:val="16"/>
          <w:szCs w:val="16"/>
        </w:rPr>
        <w:t xml:space="preserve"> (10667).</w:t>
      </w:r>
    </w:p>
    <w:p w14:paraId="597B78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EF571D" w14:textId="7C724897" w:rsidR="00AF21DF" w:rsidRPr="006B74EB" w:rsidRDefault="00AF21DF" w:rsidP="00AF21DF">
      <w:pPr>
        <w:spacing w:after="0" w:line="240" w:lineRule="auto"/>
        <w:jc w:val="both"/>
        <w:rPr>
          <w:rFonts w:ascii="Times New Roman" w:hAnsi="Times New Roman"/>
          <w:color w:val="0070C0"/>
          <w:sz w:val="16"/>
          <w:szCs w:val="16"/>
        </w:rPr>
      </w:pPr>
      <w:r>
        <w:rPr>
          <w:rFonts w:ascii="Times New Roman" w:hAnsi="Times New Roman"/>
          <w:color w:val="0070C0"/>
          <w:sz w:val="16"/>
          <w:szCs w:val="16"/>
        </w:rPr>
        <w:lastRenderedPageBreak/>
        <w:t xml:space="preserve">4 </w:t>
      </w:r>
      <w:r w:rsidRPr="006B74EB">
        <w:rPr>
          <w:rFonts w:ascii="Times New Roman" w:hAnsi="Times New Roman"/>
          <w:color w:val="0070C0"/>
          <w:sz w:val="16"/>
          <w:szCs w:val="16"/>
        </w:rPr>
        <w:t xml:space="preserve">октября </w:t>
      </w:r>
      <w:r>
        <w:rPr>
          <w:rFonts w:ascii="Times New Roman" w:hAnsi="Times New Roman"/>
          <w:color w:val="0070C0"/>
          <w:sz w:val="16"/>
          <w:szCs w:val="16"/>
        </w:rPr>
        <w:t>1</w:t>
      </w:r>
      <w:r w:rsidR="00E8628D">
        <w:rPr>
          <w:rFonts w:ascii="Times New Roman" w:hAnsi="Times New Roman"/>
          <w:color w:val="0070C0"/>
          <w:sz w:val="16"/>
          <w:szCs w:val="16"/>
        </w:rPr>
        <w:t>9</w:t>
      </w:r>
      <w:r>
        <w:rPr>
          <w:rFonts w:ascii="Times New Roman" w:hAnsi="Times New Roman"/>
          <w:color w:val="0070C0"/>
          <w:sz w:val="16"/>
          <w:szCs w:val="16"/>
        </w:rPr>
        <w:t>29 г</w:t>
      </w:r>
      <w:r w:rsidRPr="006B74EB">
        <w:rPr>
          <w:rFonts w:ascii="Times New Roman" w:hAnsi="Times New Roman"/>
          <w:color w:val="0070C0"/>
          <w:sz w:val="16"/>
          <w:szCs w:val="16"/>
        </w:rPr>
        <w:t>.</w:t>
      </w:r>
      <w:r>
        <w:rPr>
          <w:rFonts w:ascii="Times New Roman" w:hAnsi="Times New Roman"/>
          <w:color w:val="0070C0"/>
          <w:sz w:val="16"/>
          <w:szCs w:val="16"/>
        </w:rPr>
        <w:t xml:space="preserve"> п</w:t>
      </w:r>
      <w:r w:rsidRPr="006B74EB">
        <w:rPr>
          <w:rFonts w:ascii="Times New Roman" w:hAnsi="Times New Roman"/>
          <w:color w:val="0070C0"/>
          <w:sz w:val="16"/>
          <w:szCs w:val="16"/>
        </w:rPr>
        <w:t xml:space="preserve">риказом </w:t>
      </w:r>
      <w:r>
        <w:rPr>
          <w:rFonts w:ascii="Times New Roman" w:hAnsi="Times New Roman"/>
          <w:color w:val="0070C0"/>
          <w:sz w:val="16"/>
          <w:szCs w:val="16"/>
        </w:rPr>
        <w:t>РВС</w:t>
      </w:r>
      <w:r w:rsidRPr="006B74EB">
        <w:rPr>
          <w:rFonts w:ascii="Times New Roman" w:hAnsi="Times New Roman"/>
          <w:color w:val="0070C0"/>
          <w:sz w:val="16"/>
          <w:szCs w:val="16"/>
        </w:rPr>
        <w:t xml:space="preserve"> СССР принят </w:t>
      </w:r>
      <w:r>
        <w:rPr>
          <w:rFonts w:ascii="Times New Roman" w:hAnsi="Times New Roman"/>
          <w:color w:val="0070C0"/>
          <w:sz w:val="16"/>
          <w:szCs w:val="16"/>
        </w:rPr>
        <w:t>н</w:t>
      </w:r>
      <w:r w:rsidRPr="006B74EB">
        <w:rPr>
          <w:rFonts w:ascii="Times New Roman" w:hAnsi="Times New Roman"/>
          <w:color w:val="0070C0"/>
          <w:sz w:val="16"/>
          <w:szCs w:val="16"/>
        </w:rPr>
        <w:t xml:space="preserve">а вооружение ВВС истребитель </w:t>
      </w:r>
      <w:r>
        <w:rPr>
          <w:rFonts w:ascii="Times New Roman" w:hAnsi="Times New Roman"/>
          <w:color w:val="0070C0"/>
          <w:sz w:val="16"/>
          <w:szCs w:val="16"/>
        </w:rPr>
        <w:t xml:space="preserve">с </w:t>
      </w:r>
      <w:r w:rsidRPr="006B74EB">
        <w:rPr>
          <w:rFonts w:ascii="Times New Roman" w:hAnsi="Times New Roman"/>
          <w:color w:val="0070C0"/>
          <w:sz w:val="16"/>
          <w:szCs w:val="16"/>
        </w:rPr>
        <w:t>мотором Юпитер-У</w:t>
      </w:r>
      <w:r>
        <w:rPr>
          <w:rFonts w:ascii="Times New Roman" w:hAnsi="Times New Roman"/>
          <w:color w:val="0070C0"/>
          <w:sz w:val="16"/>
          <w:szCs w:val="16"/>
        </w:rPr>
        <w:t>1</w:t>
      </w:r>
      <w:r w:rsidRPr="006B74EB">
        <w:rPr>
          <w:rFonts w:ascii="Times New Roman" w:hAnsi="Times New Roman"/>
          <w:color w:val="0070C0"/>
          <w:sz w:val="16"/>
          <w:szCs w:val="16"/>
        </w:rPr>
        <w:t xml:space="preserve"> 480 л.с. - "И4-ЮПУ1".</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Самолет начал </w:t>
      </w:r>
      <w:r>
        <w:rPr>
          <w:rFonts w:ascii="Times New Roman" w:hAnsi="Times New Roman"/>
          <w:color w:val="0070C0"/>
          <w:sz w:val="16"/>
          <w:szCs w:val="16"/>
        </w:rPr>
        <w:t>испытания в</w:t>
      </w:r>
      <w:r w:rsidRPr="006B74EB">
        <w:rPr>
          <w:rFonts w:ascii="Times New Roman" w:hAnsi="Times New Roman"/>
          <w:color w:val="0070C0"/>
          <w:sz w:val="16"/>
          <w:szCs w:val="16"/>
        </w:rPr>
        <w:t xml:space="preserve"> 192</w:t>
      </w:r>
      <w:r>
        <w:rPr>
          <w:rFonts w:ascii="Times New Roman" w:hAnsi="Times New Roman"/>
          <w:color w:val="0070C0"/>
          <w:sz w:val="16"/>
          <w:szCs w:val="16"/>
        </w:rPr>
        <w:t>7</w:t>
      </w:r>
      <w:r w:rsidRPr="006B74EB">
        <w:rPr>
          <w:rFonts w:ascii="Times New Roman" w:hAnsi="Times New Roman"/>
          <w:color w:val="0070C0"/>
          <w:sz w:val="16"/>
          <w:szCs w:val="16"/>
        </w:rPr>
        <w:t xml:space="preserve"> году,</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три года </w:t>
      </w:r>
      <w:r>
        <w:rPr>
          <w:rFonts w:ascii="Times New Roman" w:hAnsi="Times New Roman"/>
          <w:color w:val="0070C0"/>
          <w:sz w:val="16"/>
          <w:szCs w:val="16"/>
        </w:rPr>
        <w:t>ш</w:t>
      </w:r>
      <w:r w:rsidRPr="006B74EB">
        <w:rPr>
          <w:rFonts w:ascii="Times New Roman" w:hAnsi="Times New Roman"/>
          <w:color w:val="0070C0"/>
          <w:sz w:val="16"/>
          <w:szCs w:val="16"/>
        </w:rPr>
        <w:t>ла доводка и все же он был хуже немецкого</w:t>
      </w:r>
      <w:r>
        <w:rPr>
          <w:rFonts w:ascii="Times New Roman" w:hAnsi="Times New Roman"/>
          <w:color w:val="0070C0"/>
          <w:sz w:val="16"/>
          <w:szCs w:val="16"/>
        </w:rPr>
        <w:t xml:space="preserve"> </w:t>
      </w:r>
      <w:r w:rsidR="008827BD">
        <w:rPr>
          <w:rFonts w:ascii="Times New Roman" w:hAnsi="Times New Roman"/>
          <w:color w:val="0070C0"/>
          <w:sz w:val="16"/>
          <w:szCs w:val="16"/>
        </w:rPr>
        <w:t xml:space="preserve">Хейнкеля </w:t>
      </w:r>
      <w:r>
        <w:rPr>
          <w:rFonts w:ascii="Times New Roman" w:hAnsi="Times New Roman"/>
          <w:color w:val="0070C0"/>
          <w:sz w:val="16"/>
          <w:szCs w:val="16"/>
        </w:rPr>
        <w:t>НД</w:t>
      </w:r>
      <w:r w:rsidRPr="006B74EB">
        <w:rPr>
          <w:rFonts w:ascii="Times New Roman" w:hAnsi="Times New Roman"/>
          <w:color w:val="0070C0"/>
          <w:sz w:val="16"/>
          <w:szCs w:val="16"/>
        </w:rPr>
        <w:t>-87.</w:t>
      </w:r>
    </w:p>
    <w:p w14:paraId="34EDF564" w14:textId="77777777" w:rsidR="00AF21DF" w:rsidRDefault="00AF21DF" w:rsidP="00AF21DF">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/ЦГАСА, ф. 4, оп. 2, д. 266, </w:t>
      </w:r>
      <w:proofErr w:type="spellStart"/>
      <w:r>
        <w:rPr>
          <w:rFonts w:ascii="Times New Roman" w:hAnsi="Times New Roman"/>
          <w:color w:val="0070C0"/>
          <w:sz w:val="16"/>
          <w:szCs w:val="16"/>
        </w:rPr>
        <w:t>лл</w:t>
      </w:r>
      <w:proofErr w:type="spellEnd"/>
      <w:r>
        <w:rPr>
          <w:rFonts w:ascii="Times New Roman" w:hAnsi="Times New Roman"/>
          <w:color w:val="0070C0"/>
          <w:sz w:val="16"/>
          <w:szCs w:val="16"/>
        </w:rPr>
        <w:t>. 7 и 16/ (23370).</w:t>
      </w:r>
    </w:p>
    <w:p w14:paraId="27EBBF7E" w14:textId="77777777" w:rsidR="00AF21DF" w:rsidRDefault="00AF21DF" w:rsidP="00AF21DF">
      <w:pPr>
        <w:spacing w:after="0" w:line="240" w:lineRule="auto"/>
        <w:jc w:val="both"/>
        <w:rPr>
          <w:rFonts w:ascii="Times New Roman" w:hAnsi="Times New Roman"/>
          <w:color w:val="0070C0"/>
          <w:sz w:val="16"/>
          <w:szCs w:val="16"/>
        </w:rPr>
      </w:pPr>
    </w:p>
    <w:p w14:paraId="70D73A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октября 1929 около 8:00 на ЦА состоялся второй полет вертолета КАСКР-1 “Красный инженер” после ремонта из-за аварии 27 сентября 1929. После раскрутки несущего винта и небольшого разбега вертолет оторвался от земли и на высоте 1.5 м прошел 100 м, а затем - плавно опустился (8320,18).</w:t>
      </w:r>
    </w:p>
    <w:p w14:paraId="0BEFFA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AE9A8D5" w14:textId="77777777" w:rsidR="00770DA7" w:rsidRPr="00A259BD" w:rsidRDefault="00770DA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октября 1929 состоялся еще один небольшой полет КАСКР. Через восемь дней, 12 октября при попытке выполнения полета по кругу авто</w:t>
      </w:r>
      <w:r w:rsidRPr="00A259BD">
        <w:rPr>
          <w:rFonts w:ascii="Times New Roman" w:hAnsi="Times New Roman"/>
          <w:color w:val="000000" w:themeColor="text1"/>
          <w:sz w:val="16"/>
          <w:szCs w:val="16"/>
        </w:rPr>
        <w:softHyphen/>
        <w:t>жир перевернулся в воздухе и врезался в землю. Летчик Михеев и пассажир Камов чудом остались живы, но аппа</w:t>
      </w:r>
      <w:r w:rsidRPr="00A259BD">
        <w:rPr>
          <w:rFonts w:ascii="Times New Roman" w:hAnsi="Times New Roman"/>
          <w:color w:val="000000" w:themeColor="text1"/>
          <w:sz w:val="16"/>
          <w:szCs w:val="16"/>
        </w:rPr>
        <w:softHyphen/>
        <w:t>рат был сильно поврежден (20361).</w:t>
      </w:r>
    </w:p>
    <w:p w14:paraId="60FEB8C3" w14:textId="77777777" w:rsidR="00770DA7" w:rsidRPr="00A259BD" w:rsidRDefault="00770DA7" w:rsidP="009236E3">
      <w:pPr>
        <w:spacing w:after="0" w:line="240" w:lineRule="auto"/>
        <w:jc w:val="both"/>
        <w:rPr>
          <w:rFonts w:ascii="Times New Roman" w:hAnsi="Times New Roman"/>
          <w:color w:val="000000" w:themeColor="text1"/>
          <w:sz w:val="16"/>
          <w:szCs w:val="16"/>
        </w:rPr>
      </w:pPr>
    </w:p>
    <w:p w14:paraId="1073FC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октября 1929 года </w:t>
      </w:r>
      <w:proofErr w:type="spellStart"/>
      <w:r w:rsidRPr="00A259BD">
        <w:rPr>
          <w:rFonts w:ascii="Times New Roman" w:hAnsi="Times New Roman"/>
          <w:color w:val="000000" w:themeColor="text1"/>
          <w:sz w:val="16"/>
          <w:szCs w:val="16"/>
        </w:rPr>
        <w:t>врид</w:t>
      </w:r>
      <w:proofErr w:type="spellEnd"/>
      <w:r w:rsidRPr="00A259BD">
        <w:rPr>
          <w:rFonts w:ascii="Times New Roman" w:hAnsi="Times New Roman"/>
          <w:color w:val="000000" w:themeColor="text1"/>
          <w:sz w:val="16"/>
          <w:szCs w:val="16"/>
        </w:rPr>
        <w:t xml:space="preserve"> начальника НИИ </w:t>
      </w:r>
      <w:proofErr w:type="spellStart"/>
      <w:r w:rsidRPr="00A259BD">
        <w:rPr>
          <w:rFonts w:ascii="Times New Roman" w:hAnsi="Times New Roman"/>
          <w:color w:val="000000" w:themeColor="text1"/>
          <w:sz w:val="16"/>
          <w:szCs w:val="16"/>
        </w:rPr>
        <w:t>Стоман</w:t>
      </w:r>
      <w:proofErr w:type="spellEnd"/>
      <w:r w:rsidRPr="00A259BD">
        <w:rPr>
          <w:rFonts w:ascii="Times New Roman" w:hAnsi="Times New Roman"/>
          <w:color w:val="000000" w:themeColor="text1"/>
          <w:sz w:val="16"/>
          <w:szCs w:val="16"/>
        </w:rPr>
        <w:t xml:space="preserve"> и начальник 2 отдела </w:t>
      </w:r>
      <w:proofErr w:type="spellStart"/>
      <w:r w:rsidRPr="00A259BD">
        <w:rPr>
          <w:rFonts w:ascii="Times New Roman" w:hAnsi="Times New Roman"/>
          <w:color w:val="000000" w:themeColor="text1"/>
          <w:sz w:val="16"/>
          <w:szCs w:val="16"/>
        </w:rPr>
        <w:t>Волковойнов</w:t>
      </w:r>
      <w:proofErr w:type="spellEnd"/>
      <w:r w:rsidRPr="00A259BD">
        <w:rPr>
          <w:rFonts w:ascii="Times New Roman" w:hAnsi="Times New Roman"/>
          <w:color w:val="000000" w:themeColor="text1"/>
          <w:sz w:val="16"/>
          <w:szCs w:val="16"/>
        </w:rPr>
        <w:t xml:space="preserve"> писали письмо № 340с/833с начальнику ВВС</w:t>
      </w:r>
    </w:p>
    <w:p w14:paraId="4CA510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Настоящим доношу о прохождении испытаний самолета Р5 БМВVI. Самолет принят в НИИ для испытаний 10 июля 1929 года и время по 3 октября распределилось следующим образом:</w:t>
      </w:r>
    </w:p>
    <w:p w14:paraId="736444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Техиспытания</w:t>
      </w:r>
      <w:proofErr w:type="spellEnd"/>
      <w:r w:rsidRPr="00A259BD">
        <w:rPr>
          <w:rFonts w:ascii="Times New Roman" w:hAnsi="Times New Roman"/>
          <w:color w:val="000000" w:themeColor="text1"/>
          <w:sz w:val="16"/>
          <w:szCs w:val="16"/>
        </w:rPr>
        <w:t xml:space="preserve"> самолета – 8 дней.</w:t>
      </w:r>
    </w:p>
    <w:p w14:paraId="68B5A3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Задержки в испытаниях вследствие неисправности мотора и радиатора – 15 дней.</w:t>
      </w:r>
    </w:p>
    <w:p w14:paraId="1B3DDB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Задержки из-за неисправности костыля самолета – 4 дня.</w:t>
      </w:r>
    </w:p>
    <w:p w14:paraId="2F1508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Летные испытания – 13 дней.</w:t>
      </w:r>
    </w:p>
    <w:p w14:paraId="54F4EE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Перелеты самолета – 11 дней.</w:t>
      </w:r>
    </w:p>
    <w:p w14:paraId="535D15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50A0D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настоящему дню самолет полностью испытан с нормальной нагрузкой разведчика и бомбардировщика и подготовлен для испытаний с максимальной бомбардировочной нагрузкой (6999, 219).</w:t>
      </w:r>
    </w:p>
    <w:p w14:paraId="5DC6B3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AEF1E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октября 1929 закончились войсковые испытания самолета Р5 № 1 с мотором БМВ 6 № 16237 в 84 авиаотряде 6 авиабригады, которые проходили с 2 сентября 1929.</w:t>
      </w:r>
    </w:p>
    <w:p w14:paraId="32644A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Дневник тактико-эксплуатационных испытаний самолета Р5 № 1 с мотором БМВ 6 № 16237 84 авиаотряда 6 авиабригады</w:t>
      </w:r>
    </w:p>
    <w:p w14:paraId="4C94BB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Начат 2 сентября 1929 года</w:t>
      </w:r>
    </w:p>
    <w:p w14:paraId="00F2EB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Окончен 4 октября 1929 года</w:t>
      </w:r>
    </w:p>
    <w:p w14:paraId="0234C2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Экипаж ведет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85"/>
        <w:gridCol w:w="5802"/>
      </w:tblGrid>
      <w:tr w:rsidR="00A259BD" w:rsidRPr="00A259BD" w14:paraId="3558C661" w14:textId="77777777">
        <w:tc>
          <w:tcPr>
            <w:tcW w:w="1985" w:type="dxa"/>
          </w:tcPr>
          <w:p w14:paraId="3D19D8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Дата</w:t>
            </w:r>
          </w:p>
        </w:tc>
        <w:tc>
          <w:tcPr>
            <w:tcW w:w="5802" w:type="dxa"/>
          </w:tcPr>
          <w:p w14:paraId="23A2BD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Какая работа производилась</w:t>
            </w:r>
          </w:p>
        </w:tc>
      </w:tr>
      <w:tr w:rsidR="00A259BD" w:rsidRPr="00A259BD" w14:paraId="5CE59A81" w14:textId="77777777">
        <w:tc>
          <w:tcPr>
            <w:tcW w:w="1985" w:type="dxa"/>
          </w:tcPr>
          <w:p w14:paraId="29BF4D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сентября 1929</w:t>
            </w:r>
          </w:p>
        </w:tc>
        <w:tc>
          <w:tcPr>
            <w:tcW w:w="5802" w:type="dxa"/>
          </w:tcPr>
          <w:p w14:paraId="2B14E3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Вывозной полет на Московском аэродроме.</w:t>
            </w:r>
          </w:p>
          <w:p w14:paraId="5B725C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 Кушаков</w:t>
            </w:r>
          </w:p>
          <w:p w14:paraId="4D5357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 Громов</w:t>
            </w:r>
          </w:p>
          <w:p w14:paraId="115EB0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400 м</w:t>
            </w:r>
          </w:p>
          <w:p w14:paraId="78A2F1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 час 1 мин.</w:t>
            </w:r>
          </w:p>
          <w:p w14:paraId="1E206C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Сделано 3 полета с целью с целью вывозки для самостоятельного вылета.</w:t>
            </w:r>
          </w:p>
        </w:tc>
      </w:tr>
      <w:tr w:rsidR="00A259BD" w:rsidRPr="00A259BD" w14:paraId="48EEACEF" w14:textId="77777777">
        <w:tc>
          <w:tcPr>
            <w:tcW w:w="1985" w:type="dxa"/>
          </w:tcPr>
          <w:p w14:paraId="6F653D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сентября 1929</w:t>
            </w:r>
          </w:p>
        </w:tc>
        <w:tc>
          <w:tcPr>
            <w:tcW w:w="5802" w:type="dxa"/>
          </w:tcPr>
          <w:p w14:paraId="19E5DA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Тренировочный полет в районе Московского аэродрома.</w:t>
            </w:r>
          </w:p>
          <w:p w14:paraId="21EAE2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4B0D1B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Пальмбах</w:t>
            </w:r>
            <w:proofErr w:type="spellEnd"/>
          </w:p>
          <w:p w14:paraId="50F1B0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700 м</w:t>
            </w:r>
          </w:p>
          <w:p w14:paraId="6308C9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27 мин.</w:t>
            </w:r>
          </w:p>
          <w:p w14:paraId="6322CB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Сделано фигур – 1 петля</w:t>
            </w:r>
          </w:p>
        </w:tc>
      </w:tr>
      <w:tr w:rsidR="00A259BD" w:rsidRPr="00A259BD" w14:paraId="3A85F48C" w14:textId="77777777">
        <w:tc>
          <w:tcPr>
            <w:tcW w:w="1985" w:type="dxa"/>
          </w:tcPr>
          <w:p w14:paraId="076D2B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сентября 1929</w:t>
            </w:r>
          </w:p>
        </w:tc>
        <w:tc>
          <w:tcPr>
            <w:tcW w:w="5802" w:type="dxa"/>
          </w:tcPr>
          <w:p w14:paraId="021D91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Перелет Москва-Смоленск</w:t>
            </w:r>
          </w:p>
          <w:p w14:paraId="436A3B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5D8499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Пальмбах</w:t>
            </w:r>
            <w:proofErr w:type="spellEnd"/>
          </w:p>
          <w:p w14:paraId="42F1D6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150-800 м</w:t>
            </w:r>
          </w:p>
          <w:p w14:paraId="52C3BF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3 часа 10 мин.</w:t>
            </w:r>
          </w:p>
        </w:tc>
      </w:tr>
      <w:tr w:rsidR="00A259BD" w:rsidRPr="00A259BD" w14:paraId="70855B0E" w14:textId="77777777">
        <w:tc>
          <w:tcPr>
            <w:tcW w:w="1985" w:type="dxa"/>
          </w:tcPr>
          <w:p w14:paraId="400384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сентября 1929</w:t>
            </w:r>
          </w:p>
        </w:tc>
        <w:tc>
          <w:tcPr>
            <w:tcW w:w="5802" w:type="dxa"/>
          </w:tcPr>
          <w:p w14:paraId="6211A7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Тренировочный полет в районе Смоленского аэродрома.</w:t>
            </w:r>
          </w:p>
          <w:p w14:paraId="5A534E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 Кушаков</w:t>
            </w:r>
          </w:p>
          <w:p w14:paraId="48F6D0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Гельфер</w:t>
            </w:r>
            <w:proofErr w:type="spellEnd"/>
          </w:p>
          <w:p w14:paraId="3FA3D6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500 м</w:t>
            </w:r>
          </w:p>
          <w:p w14:paraId="0B6303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15 мин.</w:t>
            </w:r>
          </w:p>
        </w:tc>
      </w:tr>
      <w:tr w:rsidR="00A259BD" w:rsidRPr="00A259BD" w14:paraId="6CE17440" w14:textId="77777777">
        <w:tc>
          <w:tcPr>
            <w:tcW w:w="1985" w:type="dxa"/>
          </w:tcPr>
          <w:p w14:paraId="470318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сентября 1929</w:t>
            </w:r>
          </w:p>
        </w:tc>
        <w:tc>
          <w:tcPr>
            <w:tcW w:w="5802" w:type="dxa"/>
          </w:tcPr>
          <w:p w14:paraId="5CCEEB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Тренировочный полет в районе Смоленского аэродрома.</w:t>
            </w:r>
          </w:p>
          <w:p w14:paraId="093A8A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25CEBA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300 м</w:t>
            </w:r>
          </w:p>
          <w:p w14:paraId="06CC76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8 мин.</w:t>
            </w:r>
          </w:p>
        </w:tc>
      </w:tr>
      <w:tr w:rsidR="00A259BD" w:rsidRPr="00A259BD" w14:paraId="097F52F8" w14:textId="77777777">
        <w:tc>
          <w:tcPr>
            <w:tcW w:w="1985" w:type="dxa"/>
          </w:tcPr>
          <w:p w14:paraId="2035B6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сентября 1929</w:t>
            </w:r>
          </w:p>
        </w:tc>
        <w:tc>
          <w:tcPr>
            <w:tcW w:w="5802" w:type="dxa"/>
          </w:tcPr>
          <w:p w14:paraId="47B5CA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Тренировочный полет в районе Смоленского аэродрома.</w:t>
            </w:r>
          </w:p>
          <w:p w14:paraId="2433E3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75A63C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800 м</w:t>
            </w:r>
          </w:p>
          <w:p w14:paraId="056353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25 мин.</w:t>
            </w:r>
          </w:p>
          <w:p w14:paraId="4E7F6C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Сделано 9 фигур</w:t>
            </w:r>
          </w:p>
        </w:tc>
      </w:tr>
      <w:tr w:rsidR="00A259BD" w:rsidRPr="00A259BD" w14:paraId="15C44EF9" w14:textId="77777777">
        <w:tc>
          <w:tcPr>
            <w:tcW w:w="1985" w:type="dxa"/>
          </w:tcPr>
          <w:p w14:paraId="749EA5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сентября 1929</w:t>
            </w:r>
          </w:p>
        </w:tc>
        <w:tc>
          <w:tcPr>
            <w:tcW w:w="5802" w:type="dxa"/>
          </w:tcPr>
          <w:p w14:paraId="055020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Тренировочный полет в районе Смоленского аэродрома.</w:t>
            </w:r>
          </w:p>
          <w:p w14:paraId="6DFDCE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3CF7AC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800 м</w:t>
            </w:r>
          </w:p>
          <w:p w14:paraId="04B458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20 мин.</w:t>
            </w:r>
          </w:p>
        </w:tc>
      </w:tr>
      <w:tr w:rsidR="00A259BD" w:rsidRPr="00A259BD" w14:paraId="00F89E53" w14:textId="77777777">
        <w:tc>
          <w:tcPr>
            <w:tcW w:w="1985" w:type="dxa"/>
          </w:tcPr>
          <w:p w14:paraId="271655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сентября 1929</w:t>
            </w:r>
          </w:p>
        </w:tc>
        <w:tc>
          <w:tcPr>
            <w:tcW w:w="5802" w:type="dxa"/>
          </w:tcPr>
          <w:p w14:paraId="1EE9BE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Пробный полет</w:t>
            </w:r>
          </w:p>
          <w:p w14:paraId="083D46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31C3CA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300 м</w:t>
            </w:r>
          </w:p>
          <w:p w14:paraId="3F3575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6 мин.</w:t>
            </w:r>
          </w:p>
        </w:tc>
      </w:tr>
      <w:tr w:rsidR="00A259BD" w:rsidRPr="00A259BD" w14:paraId="339F5D8F" w14:textId="77777777">
        <w:tc>
          <w:tcPr>
            <w:tcW w:w="1985" w:type="dxa"/>
          </w:tcPr>
          <w:p w14:paraId="5CDE78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сентября 1929</w:t>
            </w:r>
          </w:p>
        </w:tc>
        <w:tc>
          <w:tcPr>
            <w:tcW w:w="5802" w:type="dxa"/>
          </w:tcPr>
          <w:p w14:paraId="5DB7D5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 и продолжительность.</w:t>
            </w:r>
          </w:p>
          <w:p w14:paraId="70798E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024DD0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1500 м</w:t>
            </w:r>
          </w:p>
          <w:p w14:paraId="7E548D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 часа 31 мин.</w:t>
            </w:r>
          </w:p>
          <w:p w14:paraId="0CD3C7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2458D572" w14:textId="77777777">
        <w:tc>
          <w:tcPr>
            <w:tcW w:w="1985" w:type="dxa"/>
          </w:tcPr>
          <w:p w14:paraId="03D515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сентября 1929</w:t>
            </w:r>
          </w:p>
        </w:tc>
        <w:tc>
          <w:tcPr>
            <w:tcW w:w="5802" w:type="dxa"/>
          </w:tcPr>
          <w:p w14:paraId="20A6FE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 в районе Смоленского аэродрома.</w:t>
            </w:r>
          </w:p>
          <w:p w14:paraId="418DEC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7CBA1C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2200 м</w:t>
            </w:r>
          </w:p>
          <w:p w14:paraId="0ADD49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4 часа 10 мин.</w:t>
            </w:r>
          </w:p>
          <w:p w14:paraId="66674F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4C0A697B" w14:textId="77777777">
        <w:tc>
          <w:tcPr>
            <w:tcW w:w="1985" w:type="dxa"/>
          </w:tcPr>
          <w:p w14:paraId="7F0145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сентября 1929</w:t>
            </w:r>
          </w:p>
        </w:tc>
        <w:tc>
          <w:tcPr>
            <w:tcW w:w="5802" w:type="dxa"/>
          </w:tcPr>
          <w:p w14:paraId="6EE3F1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w:t>
            </w:r>
          </w:p>
          <w:p w14:paraId="39A678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425658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2100 м</w:t>
            </w:r>
          </w:p>
          <w:p w14:paraId="059FC1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 часа 20 мин.</w:t>
            </w:r>
          </w:p>
          <w:p w14:paraId="5CD755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123A82DB" w14:textId="77777777">
        <w:tc>
          <w:tcPr>
            <w:tcW w:w="1985" w:type="dxa"/>
          </w:tcPr>
          <w:p w14:paraId="467D71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сентября 1929</w:t>
            </w:r>
          </w:p>
        </w:tc>
        <w:tc>
          <w:tcPr>
            <w:tcW w:w="5802" w:type="dxa"/>
          </w:tcPr>
          <w:p w14:paraId="558078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 в районе Смоленского аэродрома.</w:t>
            </w:r>
          </w:p>
          <w:p w14:paraId="3C8CA2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7A549A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Высота полета 2300 м</w:t>
            </w:r>
          </w:p>
          <w:p w14:paraId="1ABABF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 часа 35 мин.</w:t>
            </w:r>
          </w:p>
          <w:p w14:paraId="095B64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260F9B38" w14:textId="77777777">
        <w:tc>
          <w:tcPr>
            <w:tcW w:w="1985" w:type="dxa"/>
          </w:tcPr>
          <w:p w14:paraId="69BAC0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17 сентября 1929</w:t>
            </w:r>
          </w:p>
        </w:tc>
        <w:tc>
          <w:tcPr>
            <w:tcW w:w="5802" w:type="dxa"/>
          </w:tcPr>
          <w:p w14:paraId="3C8A4A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 и на высоту.</w:t>
            </w:r>
          </w:p>
          <w:p w14:paraId="205BF1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023D24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4000 м</w:t>
            </w:r>
          </w:p>
          <w:p w14:paraId="7E9CC3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 часа 50 мин.</w:t>
            </w:r>
          </w:p>
          <w:p w14:paraId="5F0A37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05AF37E0" w14:textId="77777777">
        <w:tc>
          <w:tcPr>
            <w:tcW w:w="1985" w:type="dxa"/>
          </w:tcPr>
          <w:p w14:paraId="3FC288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сентября 1929</w:t>
            </w:r>
          </w:p>
        </w:tc>
        <w:tc>
          <w:tcPr>
            <w:tcW w:w="5802" w:type="dxa"/>
          </w:tcPr>
          <w:p w14:paraId="24F43E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 и на высоту.</w:t>
            </w:r>
          </w:p>
          <w:p w14:paraId="490136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4EA358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4400 м</w:t>
            </w:r>
          </w:p>
          <w:p w14:paraId="6B80CC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 часа 10 мин.</w:t>
            </w:r>
          </w:p>
          <w:p w14:paraId="472230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27C81ACE" w14:textId="77777777">
        <w:tc>
          <w:tcPr>
            <w:tcW w:w="1985" w:type="dxa"/>
          </w:tcPr>
          <w:p w14:paraId="2DFF3B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сентября 1929</w:t>
            </w:r>
          </w:p>
        </w:tc>
        <w:tc>
          <w:tcPr>
            <w:tcW w:w="5802" w:type="dxa"/>
          </w:tcPr>
          <w:p w14:paraId="338C48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высший пилотаж.</w:t>
            </w:r>
          </w:p>
          <w:p w14:paraId="27B391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2EF20E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3200 м</w:t>
            </w:r>
          </w:p>
          <w:p w14:paraId="171325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3 часа 15 мин.</w:t>
            </w:r>
          </w:p>
          <w:p w14:paraId="548FB2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5B383188" w14:textId="77777777">
        <w:tc>
          <w:tcPr>
            <w:tcW w:w="1985" w:type="dxa"/>
          </w:tcPr>
          <w:p w14:paraId="42B922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сентября 1929</w:t>
            </w:r>
          </w:p>
        </w:tc>
        <w:tc>
          <w:tcPr>
            <w:tcW w:w="5802" w:type="dxa"/>
          </w:tcPr>
          <w:p w14:paraId="535F4F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w:t>
            </w:r>
          </w:p>
          <w:p w14:paraId="0A70A0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1DBD81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3200 м</w:t>
            </w:r>
          </w:p>
          <w:p w14:paraId="0A2BD8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 часа 20 мин.</w:t>
            </w:r>
          </w:p>
          <w:p w14:paraId="4F2BB7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4D5E5512" w14:textId="77777777">
        <w:tc>
          <w:tcPr>
            <w:tcW w:w="1985" w:type="dxa"/>
          </w:tcPr>
          <w:p w14:paraId="15D10F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сентября 1929</w:t>
            </w:r>
          </w:p>
        </w:tc>
        <w:tc>
          <w:tcPr>
            <w:tcW w:w="5802" w:type="dxa"/>
          </w:tcPr>
          <w:p w14:paraId="10473E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 и продолжительность.</w:t>
            </w:r>
          </w:p>
          <w:p w14:paraId="182CD4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0AF260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3200 м</w:t>
            </w:r>
          </w:p>
          <w:p w14:paraId="0F5D4F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4 часа 10 мин.</w:t>
            </w:r>
          </w:p>
          <w:p w14:paraId="09B3AF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18769B1C" w14:textId="77777777">
        <w:tc>
          <w:tcPr>
            <w:tcW w:w="1985" w:type="dxa"/>
          </w:tcPr>
          <w:p w14:paraId="36F277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сентября 1929</w:t>
            </w:r>
          </w:p>
        </w:tc>
        <w:tc>
          <w:tcPr>
            <w:tcW w:w="5802" w:type="dxa"/>
          </w:tcPr>
          <w:p w14:paraId="0ED662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w:t>
            </w:r>
          </w:p>
          <w:p w14:paraId="519AA4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34A981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1200 м</w:t>
            </w:r>
          </w:p>
          <w:p w14:paraId="65D0AE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 час 20 мин.</w:t>
            </w:r>
          </w:p>
          <w:p w14:paraId="11C6F3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084BF93E" w14:textId="77777777">
        <w:tc>
          <w:tcPr>
            <w:tcW w:w="1985" w:type="dxa"/>
          </w:tcPr>
          <w:p w14:paraId="19293F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сентября 1929</w:t>
            </w:r>
          </w:p>
        </w:tc>
        <w:tc>
          <w:tcPr>
            <w:tcW w:w="5802" w:type="dxa"/>
          </w:tcPr>
          <w:p w14:paraId="5E6AE3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w:t>
            </w:r>
          </w:p>
          <w:p w14:paraId="45AFC3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02F71F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2100 м</w:t>
            </w:r>
          </w:p>
          <w:p w14:paraId="5D7DB3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3 часа 19 мин.</w:t>
            </w:r>
          </w:p>
          <w:p w14:paraId="3A5274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2C9BFBFD" w14:textId="77777777">
        <w:tc>
          <w:tcPr>
            <w:tcW w:w="1985" w:type="dxa"/>
          </w:tcPr>
          <w:p w14:paraId="65A56F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сентября 1929</w:t>
            </w:r>
          </w:p>
        </w:tc>
        <w:tc>
          <w:tcPr>
            <w:tcW w:w="5802" w:type="dxa"/>
          </w:tcPr>
          <w:p w14:paraId="16B27E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w:t>
            </w:r>
          </w:p>
          <w:p w14:paraId="58B567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423DC1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2400 м</w:t>
            </w:r>
          </w:p>
          <w:p w14:paraId="5624A7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 часа 15 мин.</w:t>
            </w:r>
          </w:p>
          <w:p w14:paraId="573523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269F6068" w14:textId="77777777">
        <w:tc>
          <w:tcPr>
            <w:tcW w:w="1985" w:type="dxa"/>
          </w:tcPr>
          <w:p w14:paraId="771EDD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сентября 1929</w:t>
            </w:r>
          </w:p>
        </w:tc>
        <w:tc>
          <w:tcPr>
            <w:tcW w:w="5802" w:type="dxa"/>
          </w:tcPr>
          <w:p w14:paraId="7611E6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w:t>
            </w:r>
          </w:p>
          <w:p w14:paraId="27D4F1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2F3B1E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2500 м</w:t>
            </w:r>
          </w:p>
          <w:p w14:paraId="0A12A4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4 часа 15 мин.</w:t>
            </w:r>
          </w:p>
          <w:p w14:paraId="08364F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3268F4E4" w14:textId="77777777">
        <w:tc>
          <w:tcPr>
            <w:tcW w:w="1985" w:type="dxa"/>
          </w:tcPr>
          <w:p w14:paraId="4B424A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сентября 1929</w:t>
            </w:r>
          </w:p>
        </w:tc>
        <w:tc>
          <w:tcPr>
            <w:tcW w:w="5802" w:type="dxa"/>
          </w:tcPr>
          <w:p w14:paraId="493D60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w:t>
            </w:r>
          </w:p>
          <w:p w14:paraId="52B3FA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5DA5F4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1500 м</w:t>
            </w:r>
          </w:p>
          <w:p w14:paraId="42AA70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 час 23 мин.</w:t>
            </w:r>
          </w:p>
          <w:p w14:paraId="1FB9B5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47E3CBEC" w14:textId="77777777">
        <w:tc>
          <w:tcPr>
            <w:tcW w:w="1985" w:type="dxa"/>
          </w:tcPr>
          <w:p w14:paraId="7F878B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сентября 1929</w:t>
            </w:r>
          </w:p>
        </w:tc>
        <w:tc>
          <w:tcPr>
            <w:tcW w:w="5802" w:type="dxa"/>
          </w:tcPr>
          <w:p w14:paraId="0DFA8C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5FE77E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4EFE7F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2000 м</w:t>
            </w:r>
          </w:p>
          <w:p w14:paraId="146F47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 часа 31 мин.</w:t>
            </w:r>
          </w:p>
          <w:p w14:paraId="0C26CF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4D8DBBC4" w14:textId="77777777">
        <w:tc>
          <w:tcPr>
            <w:tcW w:w="1985" w:type="dxa"/>
          </w:tcPr>
          <w:p w14:paraId="0912EE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сентября 1929</w:t>
            </w:r>
          </w:p>
        </w:tc>
        <w:tc>
          <w:tcPr>
            <w:tcW w:w="5802" w:type="dxa"/>
          </w:tcPr>
          <w:p w14:paraId="3650E5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на фигурные полеты.</w:t>
            </w:r>
          </w:p>
          <w:p w14:paraId="587497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0BD9BE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2100 м</w:t>
            </w:r>
          </w:p>
          <w:p w14:paraId="3B690E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3 часа 25 мин.</w:t>
            </w:r>
          </w:p>
          <w:p w14:paraId="485DB2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34CDD8AC" w14:textId="77777777">
        <w:tc>
          <w:tcPr>
            <w:tcW w:w="1985" w:type="dxa"/>
          </w:tcPr>
          <w:p w14:paraId="516923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сентября 1929</w:t>
            </w:r>
          </w:p>
        </w:tc>
        <w:tc>
          <w:tcPr>
            <w:tcW w:w="5802" w:type="dxa"/>
          </w:tcPr>
          <w:p w14:paraId="499106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5BC2F2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60E310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2000 м</w:t>
            </w:r>
          </w:p>
          <w:p w14:paraId="01FB50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 час 35 мин.</w:t>
            </w:r>
          </w:p>
          <w:p w14:paraId="213978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6154E553" w14:textId="77777777">
        <w:tc>
          <w:tcPr>
            <w:tcW w:w="1985" w:type="dxa"/>
          </w:tcPr>
          <w:p w14:paraId="57FE1E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сентября 1929</w:t>
            </w:r>
          </w:p>
        </w:tc>
        <w:tc>
          <w:tcPr>
            <w:tcW w:w="5802" w:type="dxa"/>
          </w:tcPr>
          <w:p w14:paraId="4AE96E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7852AB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1697DE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2300 м</w:t>
            </w:r>
          </w:p>
          <w:p w14:paraId="5B363A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3 часа 30 мин.</w:t>
            </w:r>
          </w:p>
          <w:p w14:paraId="4A6D61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60BB434C" w14:textId="77777777">
        <w:tc>
          <w:tcPr>
            <w:tcW w:w="1985" w:type="dxa"/>
          </w:tcPr>
          <w:p w14:paraId="10EE86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сентября 1929</w:t>
            </w:r>
          </w:p>
        </w:tc>
        <w:tc>
          <w:tcPr>
            <w:tcW w:w="5802" w:type="dxa"/>
          </w:tcPr>
          <w:p w14:paraId="29B47F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0C9195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481342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2100 м</w:t>
            </w:r>
          </w:p>
          <w:p w14:paraId="25E6FF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 час 25 мин.</w:t>
            </w:r>
          </w:p>
          <w:p w14:paraId="29D162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1297FF1D" w14:textId="77777777">
        <w:tc>
          <w:tcPr>
            <w:tcW w:w="1985" w:type="dxa"/>
          </w:tcPr>
          <w:p w14:paraId="0B11B3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сентября 1929</w:t>
            </w:r>
          </w:p>
        </w:tc>
        <w:tc>
          <w:tcPr>
            <w:tcW w:w="5802" w:type="dxa"/>
          </w:tcPr>
          <w:p w14:paraId="41135C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1ECD99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50806C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300 м</w:t>
            </w:r>
          </w:p>
          <w:p w14:paraId="69E1B2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–7 мин.</w:t>
            </w:r>
          </w:p>
        </w:tc>
      </w:tr>
      <w:tr w:rsidR="00A259BD" w:rsidRPr="00A259BD" w14:paraId="47A74E57" w14:textId="77777777">
        <w:tc>
          <w:tcPr>
            <w:tcW w:w="1985" w:type="dxa"/>
          </w:tcPr>
          <w:p w14:paraId="6C22B6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сентября 1929</w:t>
            </w:r>
          </w:p>
        </w:tc>
        <w:tc>
          <w:tcPr>
            <w:tcW w:w="5802" w:type="dxa"/>
          </w:tcPr>
          <w:p w14:paraId="0ACBCA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Тренировочный полет в районе Смоленского аэродрома.</w:t>
            </w:r>
          </w:p>
          <w:p w14:paraId="471D32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Летчик Кушаков</w:t>
            </w:r>
          </w:p>
          <w:p w14:paraId="461453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600 м</w:t>
            </w:r>
          </w:p>
          <w:p w14:paraId="14D3B7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35 мин.</w:t>
            </w:r>
          </w:p>
          <w:p w14:paraId="192BFD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(Сделано 3 полета).</w:t>
            </w:r>
          </w:p>
        </w:tc>
      </w:tr>
      <w:tr w:rsidR="00A259BD" w:rsidRPr="00A259BD" w14:paraId="5FFD5FEB" w14:textId="77777777">
        <w:tc>
          <w:tcPr>
            <w:tcW w:w="1985" w:type="dxa"/>
          </w:tcPr>
          <w:p w14:paraId="78753B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29 сентября 1929</w:t>
            </w:r>
          </w:p>
        </w:tc>
        <w:tc>
          <w:tcPr>
            <w:tcW w:w="5802" w:type="dxa"/>
          </w:tcPr>
          <w:p w14:paraId="447738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2CC2FC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 Кушаков</w:t>
            </w:r>
          </w:p>
          <w:p w14:paraId="4F5DC0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300-700 м</w:t>
            </w:r>
          </w:p>
          <w:p w14:paraId="5AA233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–34 мин.</w:t>
            </w:r>
          </w:p>
          <w:p w14:paraId="1BA33A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(Сделано 4 полета).</w:t>
            </w:r>
          </w:p>
        </w:tc>
      </w:tr>
      <w:tr w:rsidR="00A259BD" w:rsidRPr="00A259BD" w14:paraId="1D6ABC85" w14:textId="77777777">
        <w:tc>
          <w:tcPr>
            <w:tcW w:w="1985" w:type="dxa"/>
          </w:tcPr>
          <w:p w14:paraId="165591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сентября 1929</w:t>
            </w:r>
          </w:p>
        </w:tc>
        <w:tc>
          <w:tcPr>
            <w:tcW w:w="5802" w:type="dxa"/>
          </w:tcPr>
          <w:p w14:paraId="6BBF11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1C1B4F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5EB659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2000 м</w:t>
            </w:r>
          </w:p>
          <w:p w14:paraId="149C56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 час 13 мин.</w:t>
            </w:r>
          </w:p>
          <w:p w14:paraId="4CB381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3B403444" w14:textId="77777777">
        <w:tc>
          <w:tcPr>
            <w:tcW w:w="1985" w:type="dxa"/>
          </w:tcPr>
          <w:p w14:paraId="22CF0A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сентября 1929</w:t>
            </w:r>
          </w:p>
        </w:tc>
        <w:tc>
          <w:tcPr>
            <w:tcW w:w="5802" w:type="dxa"/>
          </w:tcPr>
          <w:p w14:paraId="7BC9A5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01D64E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159685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1000 м</w:t>
            </w:r>
          </w:p>
          <w:p w14:paraId="4A93AE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19 мин.</w:t>
            </w:r>
          </w:p>
          <w:p w14:paraId="1E9AFF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03963C71" w14:textId="77777777">
        <w:tc>
          <w:tcPr>
            <w:tcW w:w="1985" w:type="dxa"/>
          </w:tcPr>
          <w:p w14:paraId="2921D6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сентября 1929</w:t>
            </w:r>
          </w:p>
        </w:tc>
        <w:tc>
          <w:tcPr>
            <w:tcW w:w="5802" w:type="dxa"/>
          </w:tcPr>
          <w:p w14:paraId="123425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758C83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2AAC8B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2200 м</w:t>
            </w:r>
          </w:p>
          <w:p w14:paraId="38759C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55 мин.</w:t>
            </w:r>
          </w:p>
          <w:p w14:paraId="130360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230CD73C" w14:textId="77777777">
        <w:tc>
          <w:tcPr>
            <w:tcW w:w="1985" w:type="dxa"/>
          </w:tcPr>
          <w:p w14:paraId="359979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сентября 1929</w:t>
            </w:r>
          </w:p>
        </w:tc>
        <w:tc>
          <w:tcPr>
            <w:tcW w:w="5802" w:type="dxa"/>
          </w:tcPr>
          <w:p w14:paraId="5BD88F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Тренировочный полет в районе Смоленского аэродрома.</w:t>
            </w:r>
          </w:p>
          <w:p w14:paraId="1E0DCD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 Кушаков</w:t>
            </w:r>
          </w:p>
          <w:p w14:paraId="129CEA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1000 м</w:t>
            </w:r>
          </w:p>
          <w:p w14:paraId="28CB87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27 мин.</w:t>
            </w:r>
          </w:p>
        </w:tc>
      </w:tr>
      <w:tr w:rsidR="00A259BD" w:rsidRPr="00A259BD" w14:paraId="1ABDB7A9" w14:textId="77777777">
        <w:tc>
          <w:tcPr>
            <w:tcW w:w="1985" w:type="dxa"/>
          </w:tcPr>
          <w:p w14:paraId="3EA9DA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сентября 1929</w:t>
            </w:r>
          </w:p>
        </w:tc>
        <w:tc>
          <w:tcPr>
            <w:tcW w:w="5802" w:type="dxa"/>
          </w:tcPr>
          <w:p w14:paraId="152233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 и провозной полет.</w:t>
            </w:r>
          </w:p>
          <w:p w14:paraId="5C1223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Пристром</w:t>
            </w:r>
            <w:proofErr w:type="spellEnd"/>
          </w:p>
          <w:p w14:paraId="3EECDE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900 м</w:t>
            </w:r>
          </w:p>
          <w:p w14:paraId="201FE1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35 мин.</w:t>
            </w:r>
          </w:p>
          <w:p w14:paraId="020BD3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142A76A8" w14:textId="77777777">
        <w:tc>
          <w:tcPr>
            <w:tcW w:w="1985" w:type="dxa"/>
          </w:tcPr>
          <w:p w14:paraId="7B3B7F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сентября 1929</w:t>
            </w:r>
          </w:p>
        </w:tc>
        <w:tc>
          <w:tcPr>
            <w:tcW w:w="5802" w:type="dxa"/>
          </w:tcPr>
          <w:p w14:paraId="34A774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171BDF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Пристром</w:t>
            </w:r>
            <w:proofErr w:type="spellEnd"/>
          </w:p>
          <w:p w14:paraId="234DB3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800 м</w:t>
            </w:r>
          </w:p>
          <w:p w14:paraId="76FEC7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55 мин.</w:t>
            </w:r>
          </w:p>
          <w:p w14:paraId="2730BF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25AA968F" w14:textId="77777777">
        <w:tc>
          <w:tcPr>
            <w:tcW w:w="1985" w:type="dxa"/>
          </w:tcPr>
          <w:p w14:paraId="3C16C8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сентября 1929</w:t>
            </w:r>
          </w:p>
        </w:tc>
        <w:tc>
          <w:tcPr>
            <w:tcW w:w="5802" w:type="dxa"/>
          </w:tcPr>
          <w:p w14:paraId="510462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Тренировочный полет в районе Смоленского аэродрома.</w:t>
            </w:r>
          </w:p>
          <w:p w14:paraId="3042A3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Летчик Кушаков</w:t>
            </w:r>
          </w:p>
          <w:p w14:paraId="07764D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900 м</w:t>
            </w:r>
          </w:p>
          <w:p w14:paraId="6096FC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18 мин.</w:t>
            </w:r>
          </w:p>
          <w:p w14:paraId="1B68FC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6931A731" w14:textId="77777777">
        <w:tc>
          <w:tcPr>
            <w:tcW w:w="1985" w:type="dxa"/>
          </w:tcPr>
          <w:p w14:paraId="1C5EB5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сентября 1929</w:t>
            </w:r>
          </w:p>
        </w:tc>
        <w:tc>
          <w:tcPr>
            <w:tcW w:w="5802" w:type="dxa"/>
          </w:tcPr>
          <w:p w14:paraId="785E44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5376FA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1675FC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1000 м</w:t>
            </w:r>
          </w:p>
          <w:p w14:paraId="4751D9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28 мин.</w:t>
            </w:r>
          </w:p>
          <w:p w14:paraId="2A0A53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4FE78F44" w14:textId="77777777">
        <w:tc>
          <w:tcPr>
            <w:tcW w:w="1985" w:type="dxa"/>
          </w:tcPr>
          <w:p w14:paraId="30E7F9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октября 1929 года</w:t>
            </w:r>
          </w:p>
        </w:tc>
        <w:tc>
          <w:tcPr>
            <w:tcW w:w="5802" w:type="dxa"/>
          </w:tcPr>
          <w:p w14:paraId="4E525F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4933DF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Цыкин</w:t>
            </w:r>
            <w:proofErr w:type="spellEnd"/>
          </w:p>
          <w:p w14:paraId="662058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1200 м</w:t>
            </w:r>
          </w:p>
          <w:p w14:paraId="01E6CB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 час 25 мин.</w:t>
            </w:r>
          </w:p>
          <w:p w14:paraId="0E1B7F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r w:rsidR="00A259BD" w:rsidRPr="00A259BD" w14:paraId="6D369DED" w14:textId="77777777">
        <w:tc>
          <w:tcPr>
            <w:tcW w:w="1985" w:type="dxa"/>
          </w:tcPr>
          <w:p w14:paraId="017002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октября 1929 года</w:t>
            </w:r>
          </w:p>
        </w:tc>
        <w:tc>
          <w:tcPr>
            <w:tcW w:w="5802" w:type="dxa"/>
          </w:tcPr>
          <w:p w14:paraId="411C46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в воздухе на фигурные полеты.</w:t>
            </w:r>
          </w:p>
          <w:p w14:paraId="74CE8A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Летчик </w:t>
            </w:r>
            <w:proofErr w:type="spellStart"/>
            <w:r w:rsidRPr="00A259BD">
              <w:rPr>
                <w:rFonts w:ascii="Times New Roman" w:hAnsi="Times New Roman"/>
                <w:color w:val="000000" w:themeColor="text1"/>
                <w:sz w:val="16"/>
                <w:szCs w:val="16"/>
              </w:rPr>
              <w:t>Пристром</w:t>
            </w:r>
            <w:proofErr w:type="spellEnd"/>
          </w:p>
          <w:p w14:paraId="32AF80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полета 1000 м</w:t>
            </w:r>
          </w:p>
          <w:p w14:paraId="11D48C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 1 час 10 мин.</w:t>
            </w:r>
          </w:p>
          <w:p w14:paraId="222B2B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Сделаны фигуры.</w:t>
            </w:r>
          </w:p>
        </w:tc>
      </w:tr>
    </w:tbl>
    <w:p w14:paraId="63557B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(6999, 158-160).</w:t>
      </w:r>
    </w:p>
    <w:p w14:paraId="616B93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7087B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октября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2) и обсуждали вопросы о плане работ на 29/30 по опытному сухопутному самолетостроению, об испытаниях морских машин и снабжении завода 26 (2367,6):</w:t>
      </w:r>
    </w:p>
    <w:p w14:paraId="1B7545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w:t>
      </w:r>
    </w:p>
    <w:p w14:paraId="7CFD94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1) Установить, что программа работ 25 завода на 29/30 в первую очередь д. заключаться в окончании тех конструкций, которые остались с прошлого года неоконченными.</w:t>
      </w:r>
    </w:p>
    <w:p w14:paraId="2734BA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Принять к сведению категорическое заявление завода о сроках окончания вышеуказанных конструкций, а именно:</w:t>
      </w:r>
    </w:p>
    <w:p w14:paraId="2CE469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ТБ-2 - окончательный срок готовности, вывоз на аэродром и первый полет - 1 декабря 1929</w:t>
      </w:r>
    </w:p>
    <w:p w14:paraId="51B967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декабря срок и для Д-2</w:t>
      </w:r>
    </w:p>
    <w:p w14:paraId="50BCE7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Считать согласованным, что выпуск первого И-3 - 20 января 1930</w:t>
      </w:r>
    </w:p>
    <w:p w14:paraId="7A0B68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по И-6, ввиду неопределенности с мотором ЮП-7 немедленно запросить УВВС, когда будут даны моторы.</w:t>
      </w:r>
    </w:p>
    <w:p w14:paraId="22B6FE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Один И-6 строить под ЮП-7, если таковой будет гарантирован УВВС доставкой, второй - под ЮП-6 или М-15</w:t>
      </w:r>
    </w:p>
    <w:p w14:paraId="613F28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По новым объектам программу установить на 29/30 следующую:</w:t>
      </w:r>
    </w:p>
    <w:p w14:paraId="4F0756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И-7 деревянной конструкции - 1-й - 1 июля 1930, 2-й - 1-го августа 1930</w:t>
      </w:r>
    </w:p>
    <w:p w14:paraId="6780D4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Поручить ТО и заводу принять меры к своевременному получению от НТК ТТ на самолет</w:t>
      </w:r>
    </w:p>
    <w:p w14:paraId="54683D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Р-5 М-17 (сварной конструкции) под поплавки и разрезные крылья</w:t>
      </w:r>
    </w:p>
    <w:p w14:paraId="3E1514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Принимая во внимание недостаток мощных моторов БМВ по литеру С, считать возможным и даже необходимым приступить к </w:t>
      </w:r>
      <w:proofErr w:type="spellStart"/>
      <w:r w:rsidRPr="00A259BD">
        <w:rPr>
          <w:rFonts w:ascii="Times New Roman" w:hAnsi="Times New Roman"/>
          <w:color w:val="000000" w:themeColor="text1"/>
          <w:sz w:val="16"/>
          <w:szCs w:val="16"/>
        </w:rPr>
        <w:t>переконструированию</w:t>
      </w:r>
      <w:proofErr w:type="spellEnd"/>
      <w:r w:rsidRPr="00A259BD">
        <w:rPr>
          <w:rFonts w:ascii="Times New Roman" w:hAnsi="Times New Roman"/>
          <w:color w:val="000000" w:themeColor="text1"/>
          <w:sz w:val="16"/>
          <w:szCs w:val="16"/>
        </w:rPr>
        <w:t xml:space="preserve"> Р-5 со всеми изменениями 4 образца под мотор Дубль В</w:t>
      </w:r>
    </w:p>
    <w:p w14:paraId="49BED1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Вопрос о включении в программу завода проектирования и постройки почтовой машины оставить пока открытым, поручив ТО выяснить окончательные требования к конструкции со стороны ГА и предложить заводу 25 просчитать </w:t>
      </w:r>
      <w:proofErr w:type="spellStart"/>
      <w:r w:rsidRPr="00A259BD">
        <w:rPr>
          <w:rFonts w:ascii="Times New Roman" w:hAnsi="Times New Roman"/>
          <w:color w:val="000000" w:themeColor="text1"/>
          <w:sz w:val="16"/>
          <w:szCs w:val="16"/>
        </w:rPr>
        <w:t>техвозможности</w:t>
      </w:r>
      <w:proofErr w:type="spellEnd"/>
      <w:r w:rsidRPr="00A259BD">
        <w:rPr>
          <w:rFonts w:ascii="Times New Roman" w:hAnsi="Times New Roman"/>
          <w:color w:val="000000" w:themeColor="text1"/>
          <w:sz w:val="16"/>
          <w:szCs w:val="16"/>
        </w:rPr>
        <w:t xml:space="preserve"> для проектирования этой машины.</w:t>
      </w:r>
    </w:p>
    <w:p w14:paraId="387525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Предложить ТО ускорить согласование с УВВС точного плана 5 летней потребности в новых самолетах и моторах и поставить этот вопрос на ближайшем </w:t>
      </w:r>
      <w:proofErr w:type="spellStart"/>
      <w:r w:rsidRPr="00A259BD">
        <w:rPr>
          <w:rFonts w:ascii="Times New Roman" w:hAnsi="Times New Roman"/>
          <w:color w:val="000000" w:themeColor="text1"/>
          <w:sz w:val="16"/>
          <w:szCs w:val="16"/>
        </w:rPr>
        <w:t>мобсовещании</w:t>
      </w:r>
      <w:proofErr w:type="spellEnd"/>
      <w:r w:rsidRPr="00A259BD">
        <w:rPr>
          <w:rFonts w:ascii="Times New Roman" w:hAnsi="Times New Roman"/>
          <w:color w:val="000000" w:themeColor="text1"/>
          <w:sz w:val="16"/>
          <w:szCs w:val="16"/>
        </w:rPr>
        <w:t xml:space="preserve"> Правления (2367,6).</w:t>
      </w:r>
    </w:p>
    <w:p w14:paraId="0123F7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CB5FE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42B41B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A84E7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4 октября 1929 в Ленинграде, где предполагалось собрать всех участников, должен был состояться официальный старт “Первого Всесоюзного испытательного пробега советских мотоциклов” - такое название этому мероприятию дали в журнале “За рулем”. И Ленинград, и Псков П.В. Можарову понравились. В те счастливые для него дни он не мог себе представить, что спустя четыре месяца будет жить в Питере и не пройдет и года, как отправится в пробег по тому же маршруту на новых мотоциклах. В Москве всем прибывшим с маршрута предоставили отдых. Их мотоциклы отмыли до блеска и выставили для широкого обозрения под застекленными сводами Центрального пассажа, ныне здания ГУМа. Перед посетителями этой импровизированной выставки выступали участники пробега. Наибольшей популярностью пользовался П.В. Можаров. Он рассказывал о </w:t>
      </w:r>
      <w:proofErr w:type="spellStart"/>
      <w:r w:rsidRPr="00A259BD">
        <w:rPr>
          <w:rFonts w:ascii="Times New Roman" w:hAnsi="Times New Roman"/>
          <w:color w:val="000000" w:themeColor="text1"/>
          <w:sz w:val="16"/>
          <w:szCs w:val="16"/>
        </w:rPr>
        <w:t>мотоциклостроении</w:t>
      </w:r>
      <w:proofErr w:type="spellEnd"/>
      <w:r w:rsidRPr="00A259BD">
        <w:rPr>
          <w:rFonts w:ascii="Times New Roman" w:hAnsi="Times New Roman"/>
          <w:color w:val="000000" w:themeColor="text1"/>
          <w:sz w:val="16"/>
          <w:szCs w:val="16"/>
        </w:rPr>
        <w:t xml:space="preserve"> за рубежом, особых требованиях к отечественным мотоциклам, разработке экспериментальных ижевских машин, о том, что их создали всего за 8 месяцев, отправили в пробег прямо из цехов завода, без предварительной регулировки и обкатки (кроме ИЖ-3). Всего выставку посетило более 200 тысяч человек. Публике особенно понравился ИЖ-1. Внешний вид этой машины, а на современном языке – дизайн, произвел сильное впечатление. Видимо, поэтому некоторые зарубежные наблюдатели передали на родину тревожные сообщения. Так, японский атташе утверждал, что в СССР создали новый грозный военный мотоцикл. А вот эксперты </w:t>
      </w:r>
      <w:proofErr w:type="spellStart"/>
      <w:r w:rsidRPr="00A259BD">
        <w:rPr>
          <w:rFonts w:ascii="Times New Roman" w:hAnsi="Times New Roman"/>
          <w:color w:val="000000" w:themeColor="text1"/>
          <w:sz w:val="16"/>
          <w:szCs w:val="16"/>
        </w:rPr>
        <w:t>техкомиссии</w:t>
      </w:r>
      <w:proofErr w:type="spellEnd"/>
      <w:r w:rsidRPr="00A259BD">
        <w:rPr>
          <w:rFonts w:ascii="Times New Roman" w:hAnsi="Times New Roman"/>
          <w:color w:val="000000" w:themeColor="text1"/>
          <w:sz w:val="16"/>
          <w:szCs w:val="16"/>
        </w:rPr>
        <w:t xml:space="preserve"> уделили гораздо более внимания малютке ИЖ-4. В пробеге эта машина получила наименьшее количество штрафных очков, и в ней оказалось немало интересных технических решений. Видимо, поэтому ее рекомендовали к скорейшему освоению в производстве. Вместе с тем, комиссия обратилась в правительственные органы с предложением скорейшей постройки мотоциклетного завода в Ижевске. Во время проведения выставки пресса писала о триумфальном успехе ижевских мотоциклов во Всесоюзном мотопробеге и называла автора этой творческой победы. Им, вполне заслуженно, считался П.В. Можаров. Правительство выделило необходимые на первое время средства для создания в Ленинграде первого в стране мотоциклетного завода, но потребовало не собирать, а изготавливать мотоцикл полностью из отечественных материалов и комплектующих изделий. Чтобы справиться с этим, трест ТРЕМАСС создал специальную комиссию, включив в нее П.В. Можарова. Члены комиссии ездили в Англию, Францию и Германию. Пётр Владимирович посетил фирмы Германии, в которых бывал раньше. Так, на фирме BMW он был во время проектирования модели R-16 и выявил недоработки в конструкции. П.В. Можаров сделал немецким коллегам ряд замечаний, которые, в основном, касались коляски. Они внимательно изучили его предложения, выбрали 18 наиболее существенных с их точки зрения, и внесли в конструкторскую документацию. Заводы “</w:t>
      </w:r>
      <w:proofErr w:type="spellStart"/>
      <w:r w:rsidRPr="00A259BD">
        <w:rPr>
          <w:rFonts w:ascii="Times New Roman" w:hAnsi="Times New Roman"/>
          <w:color w:val="000000" w:themeColor="text1"/>
          <w:sz w:val="16"/>
          <w:szCs w:val="16"/>
        </w:rPr>
        <w:t>Промет</w:t>
      </w:r>
      <w:proofErr w:type="spellEnd"/>
      <w:r w:rsidRPr="00A259BD">
        <w:rPr>
          <w:rFonts w:ascii="Times New Roman" w:hAnsi="Times New Roman"/>
          <w:color w:val="000000" w:themeColor="text1"/>
          <w:sz w:val="16"/>
          <w:szCs w:val="16"/>
        </w:rPr>
        <w:t>” и “Красный Октябрь”, занятые изготовлением плановой продукции, не были готовы к изготовлению мотоциклов. П.В. Можарову пришлось самостоятельно проектировать первый ленинградский мотоцикл. Из-за дефицита времени он лично вычерчивал эскизы, а по ним изготавливали необходимые детали (11398).</w:t>
      </w:r>
    </w:p>
    <w:p w14:paraId="47A42B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033AA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октября 1929 официально стартовал Первый Всесоюзный пробег со</w:t>
      </w:r>
      <w:r w:rsidRPr="00A259BD">
        <w:rPr>
          <w:rFonts w:ascii="Times New Roman" w:hAnsi="Times New Roman"/>
          <w:color w:val="000000" w:themeColor="text1"/>
          <w:sz w:val="16"/>
          <w:szCs w:val="16"/>
        </w:rPr>
        <w:softHyphen/>
        <w:t xml:space="preserve">ветских мотоциклов. К 9 часам вечера все участники прибыли в Псков [3.85]. 8 октября они были уже в Брянске, где им устроили тёплую встречу, а следующим утром отправились в Курск. Там их встречали местные </w:t>
      </w:r>
      <w:proofErr w:type="spellStart"/>
      <w:r w:rsidRPr="00A259BD">
        <w:rPr>
          <w:rFonts w:ascii="Times New Roman" w:hAnsi="Times New Roman"/>
          <w:color w:val="000000" w:themeColor="text1"/>
          <w:sz w:val="16"/>
          <w:szCs w:val="16"/>
        </w:rPr>
        <w:t>автодоровцы</w:t>
      </w:r>
      <w:proofErr w:type="spellEnd"/>
      <w:r w:rsidRPr="00A259BD">
        <w:rPr>
          <w:rFonts w:ascii="Times New Roman" w:hAnsi="Times New Roman"/>
          <w:color w:val="000000" w:themeColor="text1"/>
          <w:sz w:val="16"/>
          <w:szCs w:val="16"/>
        </w:rPr>
        <w:t>, и предстоял двухдневный от</w:t>
      </w:r>
      <w:r w:rsidRPr="00A259BD">
        <w:rPr>
          <w:rFonts w:ascii="Times New Roman" w:hAnsi="Times New Roman"/>
          <w:color w:val="000000" w:themeColor="text1"/>
          <w:sz w:val="16"/>
          <w:szCs w:val="16"/>
        </w:rPr>
        <w:softHyphen/>
        <w:t>дых [3.86]. Необычным оказался приём в Харькове, в то время столице Украины. Все улицы, по которым двигалась колона мо</w:t>
      </w:r>
      <w:r w:rsidRPr="00A259BD">
        <w:rPr>
          <w:rFonts w:ascii="Times New Roman" w:hAnsi="Times New Roman"/>
          <w:color w:val="000000" w:themeColor="text1"/>
          <w:sz w:val="16"/>
          <w:szCs w:val="16"/>
        </w:rPr>
        <w:softHyphen/>
        <w:t>топробега, заполнили восторженные люди. В центре города орга</w:t>
      </w:r>
      <w:r w:rsidRPr="00A259BD">
        <w:rPr>
          <w:rFonts w:ascii="Times New Roman" w:hAnsi="Times New Roman"/>
          <w:color w:val="000000" w:themeColor="text1"/>
          <w:sz w:val="16"/>
          <w:szCs w:val="16"/>
        </w:rPr>
        <w:softHyphen/>
        <w:t>низовали выставку прибывших мотоциклов, которую посетили около 100 тыс. человек [3.87]. На обратном пути в Туле провели технический финиш мотопробега. Контрольная комиссия изуча</w:t>
      </w:r>
      <w:r w:rsidRPr="00A259BD">
        <w:rPr>
          <w:rFonts w:ascii="Times New Roman" w:hAnsi="Times New Roman"/>
          <w:color w:val="000000" w:themeColor="text1"/>
          <w:sz w:val="16"/>
          <w:szCs w:val="16"/>
        </w:rPr>
        <w:softHyphen/>
        <w:t xml:space="preserve">ла состояние мотоциклов. К тому моменту успех мотопробега был очевиден, и некоторым членам </w:t>
      </w:r>
      <w:proofErr w:type="spellStart"/>
      <w:r w:rsidRPr="00A259BD">
        <w:rPr>
          <w:rFonts w:ascii="Times New Roman" w:hAnsi="Times New Roman"/>
          <w:color w:val="000000" w:themeColor="text1"/>
          <w:sz w:val="16"/>
          <w:szCs w:val="16"/>
        </w:rPr>
        <w:t>АВТОДОРа</w:t>
      </w:r>
      <w:proofErr w:type="spellEnd"/>
      <w:r w:rsidRPr="00A259BD">
        <w:rPr>
          <w:rFonts w:ascii="Times New Roman" w:hAnsi="Times New Roman"/>
          <w:color w:val="000000" w:themeColor="text1"/>
          <w:sz w:val="16"/>
          <w:szCs w:val="16"/>
        </w:rPr>
        <w:t xml:space="preserve"> из больших го</w:t>
      </w:r>
      <w:r w:rsidRPr="00A259BD">
        <w:rPr>
          <w:rFonts w:ascii="Times New Roman" w:hAnsi="Times New Roman"/>
          <w:color w:val="000000" w:themeColor="text1"/>
          <w:sz w:val="16"/>
          <w:szCs w:val="16"/>
        </w:rPr>
        <w:softHyphen/>
        <w:t xml:space="preserve">родов казалось несправедливым, что вели мотоциклы не </w:t>
      </w:r>
      <w:proofErr w:type="spellStart"/>
      <w:r w:rsidRPr="00A259BD">
        <w:rPr>
          <w:rFonts w:ascii="Times New Roman" w:hAnsi="Times New Roman"/>
          <w:color w:val="000000" w:themeColor="text1"/>
          <w:sz w:val="16"/>
          <w:szCs w:val="16"/>
        </w:rPr>
        <w:t>мото</w:t>
      </w:r>
      <w:r w:rsidRPr="00A259BD">
        <w:rPr>
          <w:rFonts w:ascii="Times New Roman" w:hAnsi="Times New Roman"/>
          <w:color w:val="000000" w:themeColor="text1"/>
          <w:sz w:val="16"/>
          <w:szCs w:val="16"/>
        </w:rPr>
        <w:softHyphen/>
        <w:t>спортсмены</w:t>
      </w:r>
      <w:proofErr w:type="spellEnd"/>
      <w:r w:rsidRPr="00A259BD">
        <w:rPr>
          <w:rFonts w:ascii="Times New Roman" w:hAnsi="Times New Roman"/>
          <w:color w:val="000000" w:themeColor="text1"/>
          <w:sz w:val="16"/>
          <w:szCs w:val="16"/>
        </w:rPr>
        <w:t xml:space="preserve">, а рабочие и инженеры </w:t>
      </w:r>
      <w:proofErr w:type="spellStart"/>
      <w:r w:rsidRPr="00A259BD">
        <w:rPr>
          <w:rFonts w:ascii="Times New Roman" w:hAnsi="Times New Roman"/>
          <w:color w:val="000000" w:themeColor="text1"/>
          <w:sz w:val="16"/>
          <w:szCs w:val="16"/>
        </w:rPr>
        <w:t>ИОЗа</w:t>
      </w:r>
      <w:proofErr w:type="spellEnd"/>
      <w:r w:rsidRPr="00A259BD">
        <w:rPr>
          <w:rFonts w:ascii="Times New Roman" w:hAnsi="Times New Roman"/>
          <w:color w:val="000000" w:themeColor="text1"/>
          <w:sz w:val="16"/>
          <w:szCs w:val="16"/>
        </w:rPr>
        <w:t>, то есть те самые лю</w:t>
      </w:r>
      <w:r w:rsidRPr="00A259BD">
        <w:rPr>
          <w:rFonts w:ascii="Times New Roman" w:hAnsi="Times New Roman"/>
          <w:color w:val="000000" w:themeColor="text1"/>
          <w:sz w:val="16"/>
          <w:szCs w:val="16"/>
        </w:rPr>
        <w:softHyphen/>
        <w:t>ди, которые непосредственно участвовали в создании экспери</w:t>
      </w:r>
      <w:r w:rsidRPr="00A259BD">
        <w:rPr>
          <w:rFonts w:ascii="Times New Roman" w:hAnsi="Times New Roman"/>
          <w:color w:val="000000" w:themeColor="text1"/>
          <w:sz w:val="16"/>
          <w:szCs w:val="16"/>
        </w:rPr>
        <w:softHyphen/>
        <w:t xml:space="preserve">ментальных ижевских мотоциклов. Однако на </w:t>
      </w:r>
      <w:proofErr w:type="spellStart"/>
      <w:r w:rsidRPr="00A259BD">
        <w:rPr>
          <w:rFonts w:ascii="Times New Roman" w:hAnsi="Times New Roman"/>
          <w:color w:val="000000" w:themeColor="text1"/>
          <w:sz w:val="16"/>
          <w:szCs w:val="16"/>
        </w:rPr>
        <w:t>ИОЗе</w:t>
      </w:r>
      <w:proofErr w:type="spellEnd"/>
      <w:r w:rsidRPr="00A259BD">
        <w:rPr>
          <w:rFonts w:ascii="Times New Roman" w:hAnsi="Times New Roman"/>
          <w:color w:val="000000" w:themeColor="text1"/>
          <w:sz w:val="16"/>
          <w:szCs w:val="16"/>
        </w:rPr>
        <w:t xml:space="preserve"> считали, что самой высокой наградой для создателей новых мотоциклов будет участия в мотопробеге на своей продукции [3.88]. Этот принцип использовался и в дальнейшем, как оправдавший себя в коллек</w:t>
      </w:r>
      <w:r w:rsidRPr="00A259BD">
        <w:rPr>
          <w:rFonts w:ascii="Times New Roman" w:hAnsi="Times New Roman"/>
          <w:color w:val="000000" w:themeColor="text1"/>
          <w:sz w:val="16"/>
          <w:szCs w:val="16"/>
        </w:rPr>
        <w:softHyphen/>
        <w:t xml:space="preserve">тиве </w:t>
      </w:r>
      <w:proofErr w:type="spellStart"/>
      <w:r w:rsidRPr="00A259BD">
        <w:rPr>
          <w:rFonts w:ascii="Times New Roman" w:hAnsi="Times New Roman"/>
          <w:color w:val="000000" w:themeColor="text1"/>
          <w:sz w:val="16"/>
          <w:szCs w:val="16"/>
        </w:rPr>
        <w:t>ИОЗа</w:t>
      </w:r>
      <w:proofErr w:type="spellEnd"/>
      <w:r w:rsidRPr="00A259BD">
        <w:rPr>
          <w:rFonts w:ascii="Times New Roman" w:hAnsi="Times New Roman"/>
          <w:color w:val="000000" w:themeColor="text1"/>
          <w:sz w:val="16"/>
          <w:szCs w:val="16"/>
        </w:rPr>
        <w:t xml:space="preserve"> (11429).</w:t>
      </w:r>
    </w:p>
    <w:p w14:paraId="5927B68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92CA76" w14:textId="77777777" w:rsidR="0065509C"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16E0289" w14:textId="77777777" w:rsidR="0065509C" w:rsidRPr="00A259BD" w:rsidRDefault="0065509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4640A4D" w14:textId="77777777" w:rsidR="0065509C" w:rsidRPr="00A259BD" w:rsidRDefault="0065509C" w:rsidP="009236E3">
      <w:pPr>
        <w:spacing w:after="0" w:line="240" w:lineRule="auto"/>
        <w:jc w:val="both"/>
        <w:rPr>
          <w:rFonts w:ascii="Times New Roman" w:hAnsi="Times New Roman"/>
          <w:iCs/>
          <w:color w:val="000000" w:themeColor="text1"/>
          <w:sz w:val="16"/>
          <w:szCs w:val="16"/>
        </w:rPr>
      </w:pPr>
      <w:r w:rsidRPr="00A259BD">
        <w:rPr>
          <w:rFonts w:ascii="Times New Roman" w:hAnsi="Times New Roman"/>
          <w:color w:val="000000" w:themeColor="text1"/>
          <w:sz w:val="16"/>
          <w:szCs w:val="16"/>
        </w:rPr>
        <w:t xml:space="preserve">Вечером 4 октября 1929, под моросящий мелкий дождичек, R101 в колеблющемся свете прожекторов, прорезавших сумерки, отстыковался от причальной мачты в </w:t>
      </w:r>
      <w:proofErr w:type="spellStart"/>
      <w:r w:rsidRPr="00A259BD">
        <w:rPr>
          <w:rFonts w:ascii="Times New Roman" w:hAnsi="Times New Roman"/>
          <w:color w:val="000000" w:themeColor="text1"/>
          <w:sz w:val="16"/>
          <w:szCs w:val="16"/>
        </w:rPr>
        <w:t>Кардингтоне</w:t>
      </w:r>
      <w:proofErr w:type="spellEnd"/>
      <w:r w:rsidRPr="00A259BD">
        <w:rPr>
          <w:rFonts w:ascii="Times New Roman" w:hAnsi="Times New Roman"/>
          <w:color w:val="000000" w:themeColor="text1"/>
          <w:sz w:val="16"/>
          <w:szCs w:val="16"/>
        </w:rPr>
        <w:t xml:space="preserve"> и направился в полёт на город Карачи, ныне пакистанский, а тогда входивший в состав Британской Индии. В пути предстояла остановка для дозаправки в Исмаилии, на северо-востоке Египта. На борту были: воздушный министр лорд Томсон собственной персоной, с личным камердинером; директор гражданской авиации Британии С. </w:t>
      </w:r>
      <w:proofErr w:type="spellStart"/>
      <w:r w:rsidRPr="00A259BD">
        <w:rPr>
          <w:rFonts w:ascii="Times New Roman" w:hAnsi="Times New Roman"/>
          <w:color w:val="000000" w:themeColor="text1"/>
          <w:sz w:val="16"/>
          <w:szCs w:val="16"/>
        </w:rPr>
        <w:t>Брэнкер</w:t>
      </w:r>
      <w:proofErr w:type="spellEnd"/>
      <w:r w:rsidRPr="00A259BD">
        <w:rPr>
          <w:rFonts w:ascii="Times New Roman" w:hAnsi="Times New Roman"/>
          <w:color w:val="000000" w:themeColor="text1"/>
          <w:sz w:val="16"/>
          <w:szCs w:val="16"/>
        </w:rPr>
        <w:t xml:space="preserve">; группа ведущих сотрудников Королевских дирижаблестроительных верфей во главе с директором по дирижаблестроению Р. </w:t>
      </w:r>
      <w:proofErr w:type="spellStart"/>
      <w:r w:rsidRPr="00A259BD">
        <w:rPr>
          <w:rFonts w:ascii="Times New Roman" w:hAnsi="Times New Roman"/>
          <w:color w:val="000000" w:themeColor="text1"/>
          <w:sz w:val="16"/>
          <w:szCs w:val="16"/>
        </w:rPr>
        <w:t>Колмором</w:t>
      </w:r>
      <w:proofErr w:type="spellEnd"/>
      <w:r w:rsidRPr="00A259BD">
        <w:rPr>
          <w:rFonts w:ascii="Times New Roman" w:hAnsi="Times New Roman"/>
          <w:color w:val="000000" w:themeColor="text1"/>
          <w:sz w:val="16"/>
          <w:szCs w:val="16"/>
        </w:rPr>
        <w:t>, включая главного конструктора дирижабля В. Ричмонда. Другими словами, R101 нёс в своём чреве весь цвет британского дирижаблестроения, его сердце и голову. В довершение всего, в полёте принимали участие представители руководства авиационных ведомств Австралии и Индии. Спустя семь с половиной часов, миновав Лондон и Ла-Манш и углубившись в воздушное пространство Франции, R101 вышел к небольшому городку Бове (</w:t>
      </w:r>
      <w:proofErr w:type="spellStart"/>
      <w:r w:rsidRPr="00A259BD">
        <w:rPr>
          <w:rFonts w:ascii="Times New Roman" w:hAnsi="Times New Roman"/>
          <w:color w:val="000000" w:themeColor="text1"/>
          <w:sz w:val="16"/>
          <w:szCs w:val="16"/>
        </w:rPr>
        <w:t>Beauvais</w:t>
      </w:r>
      <w:proofErr w:type="spellEnd"/>
      <w:r w:rsidRPr="00A259BD">
        <w:rPr>
          <w:rFonts w:ascii="Times New Roman" w:hAnsi="Times New Roman"/>
          <w:color w:val="000000" w:themeColor="text1"/>
          <w:sz w:val="16"/>
          <w:szCs w:val="16"/>
        </w:rPr>
        <w:t xml:space="preserve">) в Пикардии, примерно в 80 км к северу от Парижа. Ровно в два часа пополуночи сменилась вахта. Все остальные обитатели корабля крепко спали после превосходного приветственного (или прощального?) ужина. Буквально через несколько минут дирижабль, идя на небольшой высоте (около 300 метров над поверхностью земли), по неизвестной причине вдруг получил сильный крен в 25–30° на нос и круто пошёл вниз. Командир хоть и с трудом, но сумел парировать крен и снижение рулями высоты и тут же отдал команду сбросить аварийный носовой балласт для облегчения носовой части. Сделать это уже не удалось: через минуту дирижабль вновь опустил нос, устремился вниз и ударился о склон холма к югу от Бове. Тут же возник сильнейший пожар, охвативший весь корабль и уничтоживший его за несколько десятков секунд. Катастрофа унесла жизни 48 человек и 54 бывших на борту. Погибли все чиновники и </w:t>
      </w:r>
      <w:proofErr w:type="spellStart"/>
      <w:r w:rsidRPr="00A259BD">
        <w:rPr>
          <w:rFonts w:ascii="Times New Roman" w:hAnsi="Times New Roman"/>
          <w:color w:val="000000" w:themeColor="text1"/>
          <w:sz w:val="16"/>
          <w:szCs w:val="16"/>
        </w:rPr>
        <w:t>дирижаблестроители</w:t>
      </w:r>
      <w:proofErr w:type="spellEnd"/>
      <w:r w:rsidRPr="00A259BD">
        <w:rPr>
          <w:rFonts w:ascii="Times New Roman" w:hAnsi="Times New Roman"/>
          <w:color w:val="000000" w:themeColor="text1"/>
          <w:sz w:val="16"/>
          <w:szCs w:val="16"/>
        </w:rPr>
        <w:t xml:space="preserve">, чудом удалось выжить лишь инженеру Гарри </w:t>
      </w:r>
      <w:proofErr w:type="spellStart"/>
      <w:r w:rsidRPr="00A259BD">
        <w:rPr>
          <w:rFonts w:ascii="Times New Roman" w:hAnsi="Times New Roman"/>
          <w:color w:val="000000" w:themeColor="text1"/>
          <w:sz w:val="16"/>
          <w:szCs w:val="16"/>
        </w:rPr>
        <w:t>Личу</w:t>
      </w:r>
      <w:proofErr w:type="spellEnd"/>
      <w:r w:rsidRPr="00A259BD">
        <w:rPr>
          <w:rFonts w:ascii="Times New Roman" w:hAnsi="Times New Roman"/>
          <w:color w:val="000000" w:themeColor="text1"/>
          <w:sz w:val="16"/>
          <w:szCs w:val="16"/>
        </w:rPr>
        <w:t xml:space="preserve"> (A. H. </w:t>
      </w:r>
      <w:proofErr w:type="spellStart"/>
      <w:r w:rsidRPr="00A259BD">
        <w:rPr>
          <w:rFonts w:ascii="Times New Roman" w:hAnsi="Times New Roman"/>
          <w:color w:val="000000" w:themeColor="text1"/>
          <w:sz w:val="16"/>
          <w:szCs w:val="16"/>
        </w:rPr>
        <w:t>Leech</w:t>
      </w:r>
      <w:proofErr w:type="spellEnd"/>
      <w:r w:rsidRPr="00A259BD">
        <w:rPr>
          <w:rFonts w:ascii="Times New Roman" w:hAnsi="Times New Roman"/>
          <w:color w:val="000000" w:themeColor="text1"/>
          <w:sz w:val="16"/>
          <w:szCs w:val="16"/>
        </w:rPr>
        <w:t xml:space="preserve">), начальнику цеха Королевских верфей. В газетах, в обывательских и профессиональных кругах обсуждались самые разные версии происшедшего, но точная картина так и не была установлена. Комиссия по расследованию отвергла такие варианты как потеря подъёмной силы из-за постепенной утечки газа и попадание корабля в сильный нисходящий поток воздуха. «Внезапная катастрофическая неисправность» – единственное объяснение, по мнению комиссии. Но что за неисправность? Комиссия отмела возможность внезапного разрушения какого-либо элемента конструкции дирижабля: те немногочисленные структурные повреждения, что были выявлены при осмотре места катастрофы, скорее всего, были вызваны воздействием высокой температуры при пожаре. Окончательный вывод комиссии: вероятно, имело место повреждение оболочки корабля в её передней части, что, в свою очередь, привело к разрушению одного или нескольких носовых газовых резервуаров с фатальной потерей подъёмной силы. Непосредственная причина таких повреждений осталась неизвестной. Гибель R101 поставила крест на британской дирижаблестроительной программе. Произведённый эффект был настолько силён, что Британия после катастрофы у Бове больше не строила не только больших жёстких, но вообще никаких дирижаблей. Прекращены были всякие работы по дирижаблям R102 и R103, находившимся в стадии проектирования. Больше того: после года раздумий был отправлен в утиль дирижабль R100, несмотря на то, что с ноября 1929 года он вполне успешно летал, в том числе через Атлантику в Канаду. Многотонную металлическую конструкцию расплющили паровыми катками и продали как лом за 600 фунтов (при стоимости постройки около полумиллиона). Инспектор воздухоплавания Главной инспекции гражданского воздушного флота Г. В. </w:t>
      </w:r>
      <w:proofErr w:type="spellStart"/>
      <w:r w:rsidRPr="00A259BD">
        <w:rPr>
          <w:rFonts w:ascii="Times New Roman" w:hAnsi="Times New Roman"/>
          <w:color w:val="000000" w:themeColor="text1"/>
          <w:sz w:val="16"/>
          <w:szCs w:val="16"/>
        </w:rPr>
        <w:t>Тарапкин</w:t>
      </w:r>
      <w:proofErr w:type="spellEnd"/>
      <w:r w:rsidRPr="00A259BD">
        <w:rPr>
          <w:rFonts w:ascii="Times New Roman" w:hAnsi="Times New Roman"/>
          <w:color w:val="000000" w:themeColor="text1"/>
          <w:sz w:val="16"/>
          <w:szCs w:val="16"/>
        </w:rPr>
        <w:t xml:space="preserve"> (впоследствии директор Научно-исследовательского института строительства и эксплуатации дирижаблей (НИИСЭД)) заявил в интервью газете «Известия»: </w:t>
      </w:r>
      <w:r w:rsidRPr="00A259BD">
        <w:rPr>
          <w:rFonts w:ascii="Times New Roman" w:hAnsi="Times New Roman"/>
          <w:iCs/>
          <w:color w:val="000000" w:themeColor="text1"/>
          <w:sz w:val="16"/>
          <w:szCs w:val="16"/>
        </w:rPr>
        <w:t>Гибель «Р.101″ не должна расцениваться нашей общественностью, как обстоятельство, указывающее на невозможность развития дирижаблестроения в нашей стране в широких размерах. Одна из несомненных причин гибели «Р.101″ – отсутствие у англичан опыта в эксплуатации дирижаблей. Немцы, несмотря на противодействие Антанты, построили после мировой войны четыре дирижабля, достраивают сейчас пятый, и за всё время не имели ни одной катастрофы, несмотря на непрерывную эксплуатацию дирижаблей («ЛЦ 127″ совершил ряд крупнейших мировых перелётов вполне благополучно) (15126).</w:t>
      </w:r>
    </w:p>
    <w:p w14:paraId="4CEBFF38" w14:textId="77777777" w:rsidR="0065509C" w:rsidRPr="00A259BD" w:rsidRDefault="0065509C" w:rsidP="009236E3">
      <w:pPr>
        <w:spacing w:after="0" w:line="240" w:lineRule="auto"/>
        <w:jc w:val="both"/>
        <w:rPr>
          <w:rFonts w:ascii="Times New Roman" w:hAnsi="Times New Roman"/>
          <w:color w:val="000000" w:themeColor="text1"/>
          <w:sz w:val="16"/>
          <w:szCs w:val="16"/>
        </w:rPr>
      </w:pPr>
    </w:p>
    <w:p w14:paraId="14AAD99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96B46C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8846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октября 1929 года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xml:space="preserve"> обратился в РВС СССР с проектом сконструированного им оригинального колесно-гусеничного танка (10291).</w:t>
      </w:r>
    </w:p>
    <w:p w14:paraId="3E11B5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5B16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октября 1929 года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xml:space="preserve"> направил в реввоенсовет СССР письмо с предложением построить средний колесно-гусеничный танк собственной конструк</w:t>
      </w:r>
      <w:r w:rsidRPr="00A259BD">
        <w:rPr>
          <w:rFonts w:ascii="Times New Roman" w:hAnsi="Times New Roman"/>
          <w:color w:val="000000" w:themeColor="text1"/>
          <w:sz w:val="16"/>
          <w:szCs w:val="16"/>
        </w:rPr>
        <w:softHyphen/>
        <w:t>ции и 18 ноября сделал доклад на эту тему представителям РВС СССР и только что созданного управления моториза</w:t>
      </w:r>
      <w:r w:rsidRPr="00A259BD">
        <w:rPr>
          <w:rFonts w:ascii="Times New Roman" w:hAnsi="Times New Roman"/>
          <w:color w:val="000000" w:themeColor="text1"/>
          <w:sz w:val="16"/>
          <w:szCs w:val="16"/>
        </w:rPr>
        <w:softHyphen/>
        <w:t xml:space="preserve">ции и механизации РККА. Военным проект понравился, и было принято решение о постройке машины на Ижорском заводе. Работы по постройке танка начались в декабре, причем в документах того времени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xml:space="preserve"> именовал себя “упол</w:t>
      </w:r>
      <w:r w:rsidRPr="00A259BD">
        <w:rPr>
          <w:rFonts w:ascii="Times New Roman" w:hAnsi="Times New Roman"/>
          <w:color w:val="000000" w:themeColor="text1"/>
          <w:sz w:val="16"/>
          <w:szCs w:val="16"/>
        </w:rPr>
        <w:softHyphen/>
        <w:t>номоченный РВС СССР по заказу особого назначения”. Ему в помощь выделили чертежников и инженеров. Одна</w:t>
      </w:r>
      <w:r w:rsidRPr="00A259BD">
        <w:rPr>
          <w:rFonts w:ascii="Times New Roman" w:hAnsi="Times New Roman"/>
          <w:color w:val="000000" w:themeColor="text1"/>
          <w:sz w:val="16"/>
          <w:szCs w:val="16"/>
        </w:rPr>
        <w:softHyphen/>
        <w:t>ко изготовление машины затянулось — заводу не хватало оборудования, материалов да и просто времени на построй</w:t>
      </w:r>
      <w:r w:rsidRPr="00A259BD">
        <w:rPr>
          <w:rFonts w:ascii="Times New Roman" w:hAnsi="Times New Roman"/>
          <w:color w:val="000000" w:themeColor="text1"/>
          <w:sz w:val="16"/>
          <w:szCs w:val="16"/>
        </w:rPr>
        <w:softHyphen/>
        <w:t>ку танка. Тем временем энергичный изобретатель не терял времени даром — он начал работы по изготовлению свар</w:t>
      </w:r>
      <w:r w:rsidRPr="00A259BD">
        <w:rPr>
          <w:rFonts w:ascii="Times New Roman" w:hAnsi="Times New Roman"/>
          <w:color w:val="000000" w:themeColor="text1"/>
          <w:sz w:val="16"/>
          <w:szCs w:val="16"/>
        </w:rPr>
        <w:softHyphen/>
        <w:t>ных бронекорпусов для танков МС-1, предложил проект бронированных тракторов и колесной танкетки (11284).</w:t>
      </w:r>
    </w:p>
    <w:p w14:paraId="69868B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B4663C" w14:textId="77777777" w:rsidR="00B03138" w:rsidRPr="00A259BD" w:rsidRDefault="00B0313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октября 1929 года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xml:space="preserve"> направил в Революционно-военный совет (РВС) СССР письмо «По вопросу танкостроения», в котором предлагал ряд своих изобретений, в том числе и проект колесно-гусеничного танка. Среди прочих предложений в письме было следующее: </w:t>
      </w:r>
    </w:p>
    <w:p w14:paraId="48C2EE07" w14:textId="77777777" w:rsidR="00B03138" w:rsidRPr="00A259BD" w:rsidRDefault="00B0313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«Система передачи от двигателя к ведущей оси разработана мною, и уже построена в 1928 году для санитарного железнодорожного авто-вагона. Причем, будучи изготовленной, из отечественных материалов обычного торгового качества передача эта после 6500 км пробега в самых тяжелых условиях не обнаружила никаких заметных следов износа. Сейчас предполагается организация серийного производства авто-вагонов с этой передачей». К сожалению, пока не удалось найти никакой подробной информации об упоминаемом санитарном вагоне и других автомотрисах конструкции </w:t>
      </w:r>
      <w:proofErr w:type="spellStart"/>
      <w:r w:rsidRPr="00A259BD">
        <w:rPr>
          <w:rFonts w:ascii="Times New Roman" w:hAnsi="Times New Roman"/>
          <w:color w:val="000000" w:themeColor="text1"/>
          <w:sz w:val="16"/>
          <w:szCs w:val="16"/>
        </w:rPr>
        <w:t>Дыренкова</w:t>
      </w:r>
      <w:proofErr w:type="spellEnd"/>
      <w:r w:rsidRPr="00A259BD">
        <w:rPr>
          <w:rFonts w:ascii="Times New Roman" w:hAnsi="Times New Roman"/>
          <w:color w:val="000000" w:themeColor="text1"/>
          <w:sz w:val="16"/>
          <w:szCs w:val="16"/>
        </w:rPr>
        <w:t xml:space="preserve"> (18626).</w:t>
      </w:r>
    </w:p>
    <w:p w14:paraId="79326166" w14:textId="77777777" w:rsidR="00B03138" w:rsidRPr="00A259BD" w:rsidRDefault="00B03138" w:rsidP="009236E3">
      <w:pPr>
        <w:spacing w:after="0" w:line="240" w:lineRule="auto"/>
        <w:jc w:val="both"/>
        <w:rPr>
          <w:rFonts w:ascii="Times New Roman" w:hAnsi="Times New Roman"/>
          <w:color w:val="000000" w:themeColor="text1"/>
          <w:sz w:val="16"/>
          <w:szCs w:val="16"/>
        </w:rPr>
      </w:pPr>
    </w:p>
    <w:p w14:paraId="1CCF849C" w14:textId="77777777" w:rsidR="0065509C" w:rsidRPr="00A259BD" w:rsidRDefault="0065509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октября 1929 года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xml:space="preserve"> направил в Революционно-военный совет (РВС) СССР письмо «По вопросу </w:t>
      </w:r>
      <w:hyperlink r:id="rId196"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остроения», в котором предлагал ряд своих изобретений, в том числе и проект колесно-гусеничного </w:t>
      </w:r>
      <w:hyperlink r:id="rId197"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а. Среди прочих предложений в письме было следующее</w:t>
      </w:r>
    </w:p>
    <w:p w14:paraId="601F2691" w14:textId="77777777" w:rsidR="0065509C" w:rsidRPr="00A259BD" w:rsidRDefault="0065509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«Система передачи от двигателя к ведущей оси разработана мною, и уже построена в 1928 году для санитарного железнодорожного авто-вагона. Причем, будучи изготовленной, из отечественных материалов обычного торгового качества передача эта после 6500 км пробега в самых тяжелых условиях не обнаружила никаких заметных следов износа. Сейчас предполагается организация серийного производства авто-вагонов с этой передачей».</w:t>
      </w:r>
    </w:p>
    <w:p w14:paraId="261776F9" w14:textId="77777777" w:rsidR="0065509C" w:rsidRPr="00A259BD" w:rsidRDefault="0065509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сожалению, пока не удалось найти никакой подробной информации об упоминаемом санитарном вагоне и других автомотрисах конструкции </w:t>
      </w:r>
      <w:proofErr w:type="spellStart"/>
      <w:r w:rsidRPr="00A259BD">
        <w:rPr>
          <w:rFonts w:ascii="Times New Roman" w:hAnsi="Times New Roman"/>
          <w:color w:val="000000" w:themeColor="text1"/>
          <w:sz w:val="16"/>
          <w:szCs w:val="16"/>
        </w:rPr>
        <w:t>Дыренкова</w:t>
      </w:r>
      <w:proofErr w:type="spellEnd"/>
      <w:r w:rsidRPr="00A259BD">
        <w:rPr>
          <w:rFonts w:ascii="Times New Roman" w:hAnsi="Times New Roman"/>
          <w:color w:val="000000" w:themeColor="text1"/>
          <w:sz w:val="16"/>
          <w:szCs w:val="16"/>
        </w:rPr>
        <w:t>. Единственный документ на эту тему - это письмо народного комиссара по военным и морским делам СССР председателю СНКУССР от 6 февраля 1930 года, в котором говорится следующее</w:t>
      </w:r>
    </w:p>
    <w:p w14:paraId="6D3BF051" w14:textId="77777777" w:rsidR="0065509C" w:rsidRPr="00A259BD" w:rsidRDefault="0065509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заказу Наркомздрава УССР инженером </w:t>
      </w:r>
      <w:proofErr w:type="spellStart"/>
      <w:r w:rsidRPr="00A259BD">
        <w:rPr>
          <w:rFonts w:ascii="Times New Roman" w:hAnsi="Times New Roman"/>
          <w:color w:val="000000" w:themeColor="text1"/>
          <w:sz w:val="16"/>
          <w:szCs w:val="16"/>
        </w:rPr>
        <w:t>Дыренковым</w:t>
      </w:r>
      <w:proofErr w:type="spellEnd"/>
      <w:r w:rsidRPr="00A259BD">
        <w:rPr>
          <w:rFonts w:ascii="Times New Roman" w:hAnsi="Times New Roman"/>
          <w:color w:val="000000" w:themeColor="text1"/>
          <w:sz w:val="16"/>
          <w:szCs w:val="16"/>
        </w:rPr>
        <w:t xml:space="preserve"> был спроектирован и построен самоходный вагон с двигателем внутреннего сгорания. 31.12.29 г. этот вагон испытан на Московско-Курской дороге. Вагон этот до сих пор находится в распоряжении Наркомздрава УССР. Так как подобные вагоны крайне необходимы Военному Ведомству, то прошу Ваших распоряжений о предоставлении вагона в распоряжение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на срок 1 месяц с подачей его в Брянский узел, склад № 60 для производства </w:t>
      </w:r>
      <w:proofErr w:type="spellStart"/>
      <w:r w:rsidRPr="00A259BD">
        <w:rPr>
          <w:rFonts w:ascii="Times New Roman" w:hAnsi="Times New Roman"/>
          <w:color w:val="000000" w:themeColor="text1"/>
          <w:sz w:val="16"/>
          <w:szCs w:val="16"/>
        </w:rPr>
        <w:t>специспытаний</w:t>
      </w:r>
      <w:proofErr w:type="spellEnd"/>
      <w:r w:rsidRPr="00A259BD">
        <w:rPr>
          <w:rFonts w:ascii="Times New Roman" w:hAnsi="Times New Roman"/>
          <w:color w:val="000000" w:themeColor="text1"/>
          <w:sz w:val="16"/>
          <w:szCs w:val="16"/>
        </w:rPr>
        <w:t>» (15624).</w:t>
      </w:r>
    </w:p>
    <w:p w14:paraId="2F7F46AB" w14:textId="77777777" w:rsidR="0065509C" w:rsidRPr="00A259BD" w:rsidRDefault="0065509C" w:rsidP="009236E3">
      <w:pPr>
        <w:spacing w:after="0" w:line="240" w:lineRule="auto"/>
        <w:jc w:val="both"/>
        <w:rPr>
          <w:rFonts w:ascii="Times New Roman" w:hAnsi="Times New Roman"/>
          <w:color w:val="000000" w:themeColor="text1"/>
          <w:sz w:val="16"/>
          <w:szCs w:val="16"/>
        </w:rPr>
      </w:pPr>
    </w:p>
    <w:p w14:paraId="40C6CF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октября 1929 года Президиум ВСНХ СССР утвердил задание на строительство </w:t>
      </w:r>
      <w:proofErr w:type="spellStart"/>
      <w:r w:rsidRPr="00A259BD">
        <w:rPr>
          <w:rFonts w:ascii="Times New Roman" w:hAnsi="Times New Roman"/>
          <w:color w:val="000000" w:themeColor="text1"/>
          <w:sz w:val="16"/>
          <w:szCs w:val="16"/>
        </w:rPr>
        <w:t>фитингового</w:t>
      </w:r>
      <w:proofErr w:type="spellEnd"/>
      <w:r w:rsidRPr="00A259BD">
        <w:rPr>
          <w:rFonts w:ascii="Times New Roman" w:hAnsi="Times New Roman"/>
          <w:color w:val="000000" w:themeColor="text1"/>
          <w:sz w:val="16"/>
          <w:szCs w:val="16"/>
        </w:rPr>
        <w:t xml:space="preserve"> завода мощностью 12 тыс. тонн фитингов в год (сейчас Государственное предприятие Машиностроительный завод "Молния"). В 1934 году завод выпустил первые девять тонн фитингов и в 1937 году вышел на проектную мощность. Война с 1941 года помешала дальнейшему мирному развитию предприятия. Продукцией завода становятся: корпуса мин, зажигательных бомб, ручных гранат, головок ракетных снарядов для "Катюш". В 1943 году завод переведен в ведение Наркомата танковой промышленности и занимался ремонтом танков. Осенью 1943 года завод получил новое название - Государственный союзный завод №48 и был подчинен Наркомату боеприпасов, а к 1944 году освоил выпуск корпусов авиационных бомб, для чего из нижнего Тагила на завод был переведен цех по их изготовлению.</w:t>
      </w:r>
    </w:p>
    <w:p w14:paraId="261A43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Сотни тысяч мин, реактивных снарядов и авиабомб заводчане давали фронту.</w:t>
      </w:r>
    </w:p>
    <w:p w14:paraId="58AD46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Окончилась война. С 1945 года после принятия Государственным Комитетом по Обороне решений по развертыванию работ в области ядерного оружия предприятие вошло в систему Первого Главного управления при Совете Министров СССР. Это явилось началом пути завода №48 в атомной промышленности. Завод начинает выпускать геологоразведочное и химико-технологическое </w:t>
      </w:r>
      <w:proofErr w:type="spellStart"/>
      <w:r w:rsidRPr="00A259BD">
        <w:rPr>
          <w:rFonts w:ascii="Times New Roman" w:hAnsi="Times New Roman"/>
          <w:color w:val="000000" w:themeColor="text1"/>
          <w:sz w:val="16"/>
          <w:szCs w:val="16"/>
        </w:rPr>
        <w:t>оборубование</w:t>
      </w:r>
      <w:proofErr w:type="spellEnd"/>
      <w:r w:rsidRPr="00A259BD">
        <w:rPr>
          <w:rFonts w:ascii="Times New Roman" w:hAnsi="Times New Roman"/>
          <w:color w:val="000000" w:themeColor="text1"/>
          <w:sz w:val="16"/>
          <w:szCs w:val="16"/>
        </w:rPr>
        <w:t xml:space="preserve"> для среднеазиатского комбината, на котором была организована добыча отечественного урана. С 1948 года завод разворачивает работы по изготовлению баллистических корпусов ядерных авиабомб. Сложные изделия потребовали технического перевооружения завода, постройки новых цехов, освоения прогрессивных технологий. В пятидесятые годы осваивается изготовление дозиметров, срочных заказов для атомных электростанций и атомного ледокола "Ленин", блоков автоматики, стендовой аппаратуры. Завод становится многопрофильным предприятием. 1954 год можно считать началом приборного производства. Выпуск блоков автоматики потребовал поднятия культуры производства. Создавались технические подразделения и службы: приборный цех, бюро внешней приемки, лаборатории типовых испытаний, опытный цех, отдел по проектированию нестандартного оборудования, служба КИПиА, серийно-конструкторское бюро. С 1961 года завод переходит к выпуску радиотехнических приборов. Осваиваются антенно-фидерные устройства, техника СВЧ, импульсная техника, линейно-полупроводниковые схемы. В настоящее время на заводе свыше 200 единиц оборудования с ЧПУ отечественного и зарубежного производства.</w:t>
      </w:r>
    </w:p>
    <w:p w14:paraId="0A7471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Инженерный, технический, технологический уровень завода, а также квалификация рабочих, позволяют заводу в 70х годах освоить выпуск средств регистрации сверхкоротких физических процессов типа регистраторов-осциллографов, фиксирующих однократные импульсы наносекундного диапазона, приборов радиометрического контроля для пограничных и таможенных постов. В 1974 году в содружестве с институтом Атомной энергии им. </w:t>
      </w:r>
      <w:proofErr w:type="spellStart"/>
      <w:r w:rsidRPr="00A259BD">
        <w:rPr>
          <w:rFonts w:ascii="Times New Roman" w:hAnsi="Times New Roman"/>
          <w:color w:val="000000" w:themeColor="text1"/>
          <w:sz w:val="16"/>
          <w:szCs w:val="16"/>
        </w:rPr>
        <w:t>И.В.Курчатова</w:t>
      </w:r>
      <w:proofErr w:type="spellEnd"/>
      <w:r w:rsidRPr="00A259BD">
        <w:rPr>
          <w:rFonts w:ascii="Times New Roman" w:hAnsi="Times New Roman"/>
          <w:color w:val="000000" w:themeColor="text1"/>
          <w:sz w:val="16"/>
          <w:szCs w:val="16"/>
        </w:rPr>
        <w:t xml:space="preserve"> и НПО ГАЗ разработана и запущена в серийное производство </w:t>
      </w:r>
      <w:proofErr w:type="spellStart"/>
      <w:r w:rsidRPr="00A259BD">
        <w:rPr>
          <w:rFonts w:ascii="Times New Roman" w:hAnsi="Times New Roman"/>
          <w:color w:val="000000" w:themeColor="text1"/>
          <w:sz w:val="16"/>
          <w:szCs w:val="16"/>
        </w:rPr>
        <w:t>препаративная</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медикобиологическая</w:t>
      </w:r>
      <w:proofErr w:type="spellEnd"/>
      <w:r w:rsidRPr="00A259BD">
        <w:rPr>
          <w:rFonts w:ascii="Times New Roman" w:hAnsi="Times New Roman"/>
          <w:color w:val="000000" w:themeColor="text1"/>
          <w:sz w:val="16"/>
          <w:szCs w:val="16"/>
        </w:rPr>
        <w:t xml:space="preserve"> ультрацентрифуга, отвечающая уровню мировых стандартов. С 1975 года произошло расширение номенклатуры приборного профиля за счет различных видов технических средств охраны (ТСО).</w:t>
      </w:r>
    </w:p>
    <w:p w14:paraId="303B14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Совместно с институтом Атомной энергии им </w:t>
      </w:r>
      <w:proofErr w:type="spellStart"/>
      <w:r w:rsidRPr="00A259BD">
        <w:rPr>
          <w:rFonts w:ascii="Times New Roman" w:hAnsi="Times New Roman"/>
          <w:color w:val="000000" w:themeColor="text1"/>
          <w:sz w:val="16"/>
          <w:szCs w:val="16"/>
        </w:rPr>
        <w:t>И.В.Курчатова</w:t>
      </w:r>
      <w:proofErr w:type="spellEnd"/>
      <w:r w:rsidRPr="00A259BD">
        <w:rPr>
          <w:rFonts w:ascii="Times New Roman" w:hAnsi="Times New Roman"/>
          <w:color w:val="000000" w:themeColor="text1"/>
          <w:sz w:val="16"/>
          <w:szCs w:val="16"/>
        </w:rPr>
        <w:t xml:space="preserve"> был осуществлен серийный выпуск установки ионной имплантации "Вита", которая была предназначена для создания заданных свойств в поверхностных слоях деталей. Данные установки нашли применение для упрочнения лопаток турбин авиадвигателей.</w:t>
      </w:r>
    </w:p>
    <w:p w14:paraId="65A0AE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Был разработан (в содружестве с СКПБ ПО "Вектор") и освоен ряд турбомолекулярных вакуумных насосов на газовых опорах, нашедших применение в радиопромышленности и ускорительной технике. В 1982 году вводится в строй цех микроэлектроники, </w:t>
      </w:r>
      <w:proofErr w:type="spellStart"/>
      <w:r w:rsidRPr="00A259BD">
        <w:rPr>
          <w:rFonts w:ascii="Times New Roman" w:hAnsi="Times New Roman"/>
          <w:color w:val="000000" w:themeColor="text1"/>
          <w:sz w:val="16"/>
          <w:szCs w:val="16"/>
        </w:rPr>
        <w:t>микроплат</w:t>
      </w:r>
      <w:proofErr w:type="spellEnd"/>
      <w:r w:rsidRPr="00A259BD">
        <w:rPr>
          <w:rFonts w:ascii="Times New Roman" w:hAnsi="Times New Roman"/>
          <w:color w:val="000000" w:themeColor="text1"/>
          <w:sz w:val="16"/>
          <w:szCs w:val="16"/>
        </w:rPr>
        <w:t>, микросборок. В 1989 году было образовано Производственное объединение Машиностроительный завод "Молния", в состав которого влились Плавский машиностроительный завод "Смычка", Махачкалинский машиностроительный завод сепараторов и переданный на НПО "Мир" отдел, занимающийся разработкой и модернизацией сепараторов.</w:t>
      </w:r>
    </w:p>
    <w:p w14:paraId="60425D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Почтовый адрес: 109391, Москва, Рязанский проспект 6А</w:t>
      </w:r>
    </w:p>
    <w:p w14:paraId="6CFF43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Генеральный директор: Николаичев Владимир Иванович (9703).</w:t>
      </w:r>
    </w:p>
    <w:p w14:paraId="17CD5F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CDADD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октября 1929 г. было утверждено задание ВСНХ на строительство </w:t>
      </w:r>
      <w:proofErr w:type="spellStart"/>
      <w:r w:rsidRPr="00A259BD">
        <w:rPr>
          <w:rFonts w:ascii="Times New Roman" w:hAnsi="Times New Roman"/>
          <w:color w:val="000000" w:themeColor="text1"/>
          <w:sz w:val="16"/>
          <w:szCs w:val="16"/>
        </w:rPr>
        <w:t>фитингового</w:t>
      </w:r>
      <w:proofErr w:type="spellEnd"/>
      <w:r w:rsidRPr="00A259BD">
        <w:rPr>
          <w:rFonts w:ascii="Times New Roman" w:hAnsi="Times New Roman"/>
          <w:color w:val="000000" w:themeColor="text1"/>
          <w:sz w:val="16"/>
          <w:szCs w:val="16"/>
        </w:rPr>
        <w:t xml:space="preserve"> завода (ГС Завод № 48 НКБ, МСХМ, ПГУ, МСМ, п/я А-3283, ФГУП «ПО «Машиностроительный завод «Молния» /109428  г. Москва Рязанский пр., 6А/). В 1934 г. была выпущена первая продукция, и в 1937 г. завод вышел на проектную мощность.</w:t>
      </w:r>
    </w:p>
    <w:p w14:paraId="337D2A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1941 г. после начала войны завод начал выпуск корпусов мин, зажигательных бомб, ручных гранат, головок </w:t>
      </w:r>
      <w:r w:rsidRPr="00A259BD">
        <w:rPr>
          <w:rFonts w:ascii="Times New Roman" w:hAnsi="Times New Roman"/>
          <w:color w:val="000000" w:themeColor="text1"/>
          <w:sz w:val="16"/>
          <w:szCs w:val="16"/>
          <w:lang w:val="en-US"/>
        </w:rPr>
        <w:t>PC</w:t>
      </w:r>
      <w:r w:rsidRPr="00A259BD">
        <w:rPr>
          <w:rFonts w:ascii="Times New Roman" w:hAnsi="Times New Roman"/>
          <w:color w:val="000000" w:themeColor="text1"/>
          <w:sz w:val="16"/>
          <w:szCs w:val="16"/>
        </w:rPr>
        <w:t xml:space="preserve"> М-8 и М-13. В 1943 г. завод передан в ведение НКТП, начат ремонт танков. В 09.1943 г. завод передан в ведение 4ГУ НКБ (и на 09.1944г.) и получил наименование ГС завод № 48. 21.09.1943г. вышло постановление ГКО № 4169 о мерах по строительству на заводе цеха сборки ФАБ-100. К 1944г. освоен выпуск корпусов авиабомб, для чего сюда переведен цех по их изготовлению из Нижнего Тагила. Распоряжениями ГКО № 4448 от 28.10.1943г. и № 6317 от 5.08.1944г. заводу переданы помещения для расселения рабочих. В 1945г. завод передан в ведение ПТУ. Начато производство горнорудного, геологоразведочного и химико-технологического оборудования для уранодобывающих предприятий.</w:t>
      </w:r>
      <w:r w:rsidRPr="00A259BD">
        <w:rPr>
          <w:rFonts w:ascii="Times New Roman" w:hAnsi="Times New Roman"/>
          <w:color w:val="000000" w:themeColor="text1"/>
          <w:sz w:val="16"/>
          <w:szCs w:val="16"/>
          <w:vertAlign w:val="superscript"/>
        </w:rPr>
        <w:t>3</w:t>
      </w:r>
      <w:r w:rsidRPr="00A259BD">
        <w:rPr>
          <w:rFonts w:ascii="Times New Roman" w:hAnsi="Times New Roman"/>
          <w:color w:val="000000" w:themeColor="text1"/>
          <w:sz w:val="16"/>
          <w:szCs w:val="16"/>
        </w:rPr>
        <w:t xml:space="preserve"> В 1948г. здесь был изготовлен корпус первой атомной бомбы и, затем, последующих ядерных боеприпасов. В связи с перепрофилированием предприятие было реконструировано, построены новые цеха, освоены новые технологии. В 1950-е г. освоен выпуск дозиметров, блоков автоматики и стендовой аппаратуры для АЭС, для ледокола «Ленин». С 1954г. начато приборное производство, организованы новые подразделения: приборный цех, бюро внешней приемки, лаборатория типовых испытаний, опытный цех, отдел по проектированию нестандартного оборудования, служба КИПиА, СКВ.</w:t>
      </w:r>
    </w:p>
    <w:p w14:paraId="63D8BB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1961г. начато </w:t>
      </w:r>
      <w:proofErr w:type="spellStart"/>
      <w:r w:rsidRPr="00A259BD">
        <w:rPr>
          <w:rFonts w:ascii="Times New Roman" w:hAnsi="Times New Roman"/>
          <w:color w:val="000000" w:themeColor="text1"/>
          <w:sz w:val="16"/>
          <w:szCs w:val="16"/>
        </w:rPr>
        <w:t>освоене</w:t>
      </w:r>
      <w:proofErr w:type="spellEnd"/>
      <w:r w:rsidRPr="00A259BD">
        <w:rPr>
          <w:rFonts w:ascii="Times New Roman" w:hAnsi="Times New Roman"/>
          <w:color w:val="000000" w:themeColor="text1"/>
          <w:sz w:val="16"/>
          <w:szCs w:val="16"/>
        </w:rPr>
        <w:t xml:space="preserve"> выпуска радиотехнических приборов, антенно-фидерных устройств, техники СВЧ, импульсной техники. В 1970-е г. освоен выпуск регистраторов-осциллографов, приборов радиометрического контроля. В 1974г. совместно с ИАЭ и </w:t>
      </w:r>
      <w:proofErr w:type="spellStart"/>
      <w:r w:rsidRPr="00A259BD">
        <w:rPr>
          <w:rFonts w:ascii="Times New Roman" w:hAnsi="Times New Roman"/>
          <w:color w:val="000000" w:themeColor="text1"/>
          <w:sz w:val="16"/>
          <w:szCs w:val="16"/>
        </w:rPr>
        <w:t>ГАЗом</w:t>
      </w:r>
      <w:proofErr w:type="spellEnd"/>
      <w:r w:rsidRPr="00A259BD">
        <w:rPr>
          <w:rFonts w:ascii="Times New Roman" w:hAnsi="Times New Roman"/>
          <w:color w:val="000000" w:themeColor="text1"/>
          <w:sz w:val="16"/>
          <w:szCs w:val="16"/>
        </w:rPr>
        <w:t xml:space="preserve"> разработана и внедрена в производство </w:t>
      </w:r>
      <w:proofErr w:type="spellStart"/>
      <w:r w:rsidRPr="00A259BD">
        <w:rPr>
          <w:rFonts w:ascii="Times New Roman" w:hAnsi="Times New Roman"/>
          <w:color w:val="000000" w:themeColor="text1"/>
          <w:sz w:val="16"/>
          <w:szCs w:val="16"/>
        </w:rPr>
        <w:t>препаративная</w:t>
      </w:r>
      <w:proofErr w:type="spellEnd"/>
      <w:r w:rsidRPr="00A259BD">
        <w:rPr>
          <w:rFonts w:ascii="Times New Roman" w:hAnsi="Times New Roman"/>
          <w:color w:val="000000" w:themeColor="text1"/>
          <w:sz w:val="16"/>
          <w:szCs w:val="16"/>
        </w:rPr>
        <w:t xml:space="preserve"> медико- биологическая ультрацентрифуга. Для музея изобразительных искусств им. А.С. Пушкина разработана специальная камера для размещения картины Леонардо-да-Винчи «Мона Лиза». С 1975г. начат выпуск технических средств охраны (ТСО). Совместно с ИАЭ освоено производство установки ионной имплантации «Вита» для упрочнения поверхностного слоя деталей. Совместно с СКПБ ПО «Вектор» были разработаны и внедрены в производство турбомолекулярные вакуумные насосы на газовых опорах. В 1982г. введен в строй цех микроэлектроники.</w:t>
      </w:r>
    </w:p>
    <w:p w14:paraId="0C8AD3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1989г. на базе завода было образовано ПО «Машиностроительный завод «Молния», в состав которого вошли также Плавский машиностроительный завод «Смычка», Махачкалинский машиностроительный завод сепараторов и переданный в НПО «Мир» отдел, занимающийся разработкой и модернизацией сепараторов.</w:t>
      </w:r>
    </w:p>
    <w:p w14:paraId="44DCFF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1990-е г. разработаны приемники (6 модификаций) и передатчик для системы «ТВ-</w:t>
      </w:r>
      <w:proofErr w:type="spellStart"/>
      <w:r w:rsidRPr="00A259BD">
        <w:rPr>
          <w:rFonts w:ascii="Times New Roman" w:hAnsi="Times New Roman"/>
          <w:color w:val="000000" w:themeColor="text1"/>
          <w:sz w:val="16"/>
          <w:szCs w:val="16"/>
        </w:rPr>
        <w:t>информ</w:t>
      </w:r>
      <w:proofErr w:type="spellEnd"/>
      <w:r w:rsidRPr="00A259BD">
        <w:rPr>
          <w:rFonts w:ascii="Times New Roman" w:hAnsi="Times New Roman"/>
          <w:color w:val="000000" w:themeColor="text1"/>
          <w:sz w:val="16"/>
          <w:szCs w:val="16"/>
        </w:rPr>
        <w:t xml:space="preserve">». Для «Газпрома» было налажено изготовление арматуры трубопроводов, клапанов и насосов. Совместно с ИФВЭ в 1998-2003г. был изготовлен торцевой </w:t>
      </w:r>
      <w:proofErr w:type="spellStart"/>
      <w:r w:rsidRPr="00A259BD">
        <w:rPr>
          <w:rFonts w:ascii="Times New Roman" w:hAnsi="Times New Roman"/>
          <w:color w:val="000000" w:themeColor="text1"/>
          <w:sz w:val="16"/>
          <w:szCs w:val="16"/>
        </w:rPr>
        <w:t>андронный</w:t>
      </w:r>
      <w:proofErr w:type="spellEnd"/>
      <w:r w:rsidRPr="00A259BD">
        <w:rPr>
          <w:rFonts w:ascii="Times New Roman" w:hAnsi="Times New Roman"/>
          <w:color w:val="000000" w:themeColor="text1"/>
          <w:sz w:val="16"/>
          <w:szCs w:val="16"/>
        </w:rPr>
        <w:t xml:space="preserve"> калорифер для установки «Атлас» Европейского центра ядерных исследований (ДЕРН). Совместно с ВНИИЭФ и ВЭИ разработан элегазовый баковый выключатель на </w:t>
      </w:r>
      <w:proofErr w:type="spellStart"/>
      <w:r w:rsidRPr="00A259BD">
        <w:rPr>
          <w:rFonts w:ascii="Times New Roman" w:hAnsi="Times New Roman"/>
          <w:color w:val="000000" w:themeColor="text1"/>
          <w:sz w:val="16"/>
          <w:szCs w:val="16"/>
        </w:rPr>
        <w:t>ИОкВ</w:t>
      </w:r>
      <w:proofErr w:type="spellEnd"/>
      <w:r w:rsidRPr="00A259BD">
        <w:rPr>
          <w:rFonts w:ascii="Times New Roman" w:hAnsi="Times New Roman"/>
          <w:color w:val="000000" w:themeColor="text1"/>
          <w:sz w:val="16"/>
          <w:szCs w:val="16"/>
        </w:rPr>
        <w:t>.</w:t>
      </w:r>
    </w:p>
    <w:p w14:paraId="6D444B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(2000-е г.): военная техника (системы регистрации факторов ядерного взрыва для РВСН; ТСО собственной разработки); высоковольтная техника; оборудование для переработки продукции агропрома (сепараторы; мини-молокозаводы, детские молочные кухни); расходомеры тепла и жидкости.</w:t>
      </w:r>
    </w:p>
    <w:p w14:paraId="70084C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2008г. велась процедура банкротства предприятия, 11.09.2008г. банкротство прекращено.</w:t>
      </w:r>
    </w:p>
    <w:p w14:paraId="096766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Гендиректор (2000г.)- В.И. Николаичев.</w:t>
      </w:r>
    </w:p>
    <w:p w14:paraId="5ECD81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турбомолекулярные вакуумные насосы КОВ-100, КОВ-1000; установка ионной имплантации «Вита»; элегазовый измерительный трансформатор напряжения ЗНОГ-110 (11982).</w:t>
      </w:r>
    </w:p>
    <w:p w14:paraId="0CF974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01F84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3B9F34B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5B5C6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октября 1929 через Харбин на западную линию КВЖД проследовали два авиаотряда в составе: до 175 солдат, трех грузовых автомобилей, двух брезентовых анга</w:t>
      </w:r>
      <w:r w:rsidRPr="00A259BD">
        <w:rPr>
          <w:rFonts w:ascii="Times New Roman" w:hAnsi="Times New Roman"/>
          <w:color w:val="000000" w:themeColor="text1"/>
          <w:sz w:val="16"/>
          <w:szCs w:val="16"/>
        </w:rPr>
        <w:softHyphen/>
        <w:t>ров и двух зенитных орудий (тип и ко</w:t>
      </w:r>
      <w:r w:rsidRPr="00A259BD">
        <w:rPr>
          <w:rFonts w:ascii="Times New Roman" w:hAnsi="Times New Roman"/>
          <w:color w:val="000000" w:themeColor="text1"/>
          <w:sz w:val="16"/>
          <w:szCs w:val="16"/>
        </w:rPr>
        <w:softHyphen/>
        <w:t>личество самолетов разведчики не смогли установить) (11216).</w:t>
      </w:r>
    </w:p>
    <w:p w14:paraId="099EC8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8FD6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октября 1929 года был подготовлен:</w:t>
      </w:r>
    </w:p>
    <w:p w14:paraId="481AB2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"АКТ, г. Карачев.</w:t>
      </w:r>
    </w:p>
    <w:p w14:paraId="43384E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Мы, нижеподписавшиеся комиссия в составе... составила настоящий акт по результатам осмотра химснарядов, хранящихся при вышеуказанном складе № 28 и установила следующее...</w:t>
      </w:r>
    </w:p>
    <w:p w14:paraId="6222CC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Все снаряды размещены... в 5 хранилищах, ни одно из которых не удовлетворяет целиком правилам на хранение химснарядов: отсутствие вентиляционных приспособлений, соответствующих окон, дверей... Кроме того, хранилища за №№ 59 и 62, в которых размещены 76 мм снаряды,.. расположены в низовьях протекающей здесь же реки, которая во время половодья затопляет эти хранилища и, несмотря на принимаемые меры, частично заливает снаряды, что приводит к </w:t>
      </w:r>
      <w:r w:rsidRPr="00A259BD">
        <w:rPr>
          <w:rFonts w:ascii="Times New Roman" w:hAnsi="Times New Roman"/>
          <w:color w:val="000000" w:themeColor="text1"/>
          <w:sz w:val="16"/>
          <w:szCs w:val="16"/>
        </w:rPr>
        <w:lastRenderedPageBreak/>
        <w:t>неоправданной затрате средств для приведения снарядов в исправный вид... Хранилища № 60 и 61 с 76 мм и 152 мм снарядами снаряжения 16-17 г., находившиеся ранее в тех же условиях, как и № 59 и 62, в настоящее время перенесены в другое место...</w:t>
      </w:r>
    </w:p>
    <w:p w14:paraId="6C1E7D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Количество потекших отравляющим веществом снарядов, которые до настоящего времени не разряжались и закопаны в землю, указано в таблице...</w:t>
      </w:r>
    </w:p>
    <w:p w14:paraId="68BF44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Складу необходимо озаботиться о приобретении всех средств по производству разрядки химснарядов всех категорий (ключей, тисков, спецодежды и пр.), что необходимо для разрядки потекших ОВ снарядов..." (9065).</w:t>
      </w:r>
    </w:p>
    <w:p w14:paraId="0CA44A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C05011"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0DCC4A1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143D4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октября 1929 образована Таджикская ССР (3960, 389).</w:t>
      </w:r>
    </w:p>
    <w:p w14:paraId="524BC6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FFB12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октября 1929 на Невском проспекте, в доме 72, открыт первый в стране звуковой кинотеатр (после войны носил название "Знание"), оснащенный аппаратурой системы А.Ф. Шорина. Появление звука со временем преобразило кинематограф, но первый показ в новом кинотеатре отличался довольно стандартной программой. Показ состоял из экранизированного концерта, киножурнала о праздновании юношеского дня и сюжета о работе лаборатории Шорина (10739).</w:t>
      </w:r>
    </w:p>
    <w:p w14:paraId="1E1225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EDCBA9" w14:textId="77777777" w:rsidR="00414665" w:rsidRPr="00A259BD" w:rsidRDefault="0041466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октября 1929 г. в Ленинграде открылся первый в стране звуковой кинотеатр (ныне кинотеатр "Знание"), оснащенный аппаратурой системы Александра Федоровича Шорина.</w:t>
      </w:r>
    </w:p>
    <w:p w14:paraId="28AB0FAD" w14:textId="77777777" w:rsidR="00414665" w:rsidRPr="00A259BD" w:rsidRDefault="0041466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1931 году появляются первые художественные звуковые фильмы: игровые - «Путевка в жизнь», «Златые горы», «Одна» и мультипликационные - «Блоха», «Гопак», «Летун» (для фильма «Путевка в жизнь» звук был записан на аппаратуре инженера </w:t>
      </w:r>
      <w:proofErr w:type="spellStart"/>
      <w:r w:rsidRPr="00A259BD">
        <w:rPr>
          <w:rFonts w:ascii="Times New Roman" w:hAnsi="Times New Roman"/>
          <w:color w:val="000000" w:themeColor="text1"/>
          <w:sz w:val="16"/>
          <w:szCs w:val="16"/>
        </w:rPr>
        <w:t>П.Тагера</w:t>
      </w:r>
      <w:proofErr w:type="spellEnd"/>
      <w:r w:rsidRPr="00A259BD">
        <w:rPr>
          <w:rFonts w:ascii="Times New Roman" w:hAnsi="Times New Roman"/>
          <w:color w:val="000000" w:themeColor="text1"/>
          <w:sz w:val="16"/>
          <w:szCs w:val="16"/>
        </w:rPr>
        <w:t>)...</w:t>
      </w:r>
    </w:p>
    <w:p w14:paraId="45852E4C" w14:textId="77777777" w:rsidR="00414665" w:rsidRPr="00A259BD" w:rsidRDefault="0041466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следующем, 1932 году выпуск звуковых художественных фильмов достигает двадцати названий...</w:t>
      </w:r>
    </w:p>
    <w:p w14:paraId="214DFA45" w14:textId="77777777" w:rsidR="00414665" w:rsidRPr="00A259BD" w:rsidRDefault="0041466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1934—1935 годах создаются такие крупнейшие произведения звукового киноискусства, как «Чапаев», «Юность Максима», «Петербургская ночь», «Гроза», «</w:t>
      </w:r>
      <w:proofErr w:type="spellStart"/>
      <w:r w:rsidRPr="00A259BD">
        <w:rPr>
          <w:rFonts w:ascii="Times New Roman" w:hAnsi="Times New Roman"/>
          <w:color w:val="000000" w:themeColor="text1"/>
          <w:sz w:val="16"/>
          <w:szCs w:val="16"/>
        </w:rPr>
        <w:t>Аэроград</w:t>
      </w:r>
      <w:proofErr w:type="spellEnd"/>
      <w:r w:rsidRPr="00A259BD">
        <w:rPr>
          <w:rFonts w:ascii="Times New Roman" w:hAnsi="Times New Roman"/>
          <w:color w:val="000000" w:themeColor="text1"/>
          <w:sz w:val="16"/>
          <w:szCs w:val="16"/>
        </w:rPr>
        <w:t>», а в 1935 году общий выпуск звуковых художественных фильмов превосходит выпуск немых (21168).</w:t>
      </w:r>
    </w:p>
    <w:p w14:paraId="4786E8AE" w14:textId="77777777" w:rsidR="00414665" w:rsidRPr="00A259BD" w:rsidRDefault="00414665" w:rsidP="009236E3">
      <w:pPr>
        <w:spacing w:after="0" w:line="240" w:lineRule="auto"/>
        <w:jc w:val="both"/>
        <w:rPr>
          <w:rFonts w:ascii="Times New Roman" w:hAnsi="Times New Roman"/>
          <w:color w:val="000000" w:themeColor="text1"/>
          <w:sz w:val="16"/>
          <w:szCs w:val="16"/>
        </w:rPr>
      </w:pPr>
    </w:p>
    <w:p w14:paraId="3939696D"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A8E445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C1013E" w14:textId="77777777" w:rsidR="00F658D1" w:rsidRPr="00A259BD" w:rsidRDefault="00F658D1" w:rsidP="009236E3">
      <w:pPr>
        <w:spacing w:after="0" w:line="240" w:lineRule="auto"/>
        <w:jc w:val="both"/>
        <w:rPr>
          <w:rFonts w:ascii="Times New Roman" w:hAnsi="Times New Roman"/>
          <w:color w:val="000000" w:themeColor="text1"/>
          <w:sz w:val="16"/>
          <w:szCs w:val="16"/>
        </w:rPr>
      </w:pPr>
      <w:bookmarkStart w:id="85" w:name="_Hlk79480960"/>
      <w:r w:rsidRPr="00A259BD">
        <w:rPr>
          <w:rFonts w:ascii="Times New Roman" w:hAnsi="Times New Roman"/>
          <w:color w:val="000000" w:themeColor="text1"/>
          <w:sz w:val="16"/>
          <w:szCs w:val="16"/>
        </w:rPr>
        <w:t xml:space="preserve">5 октября 1929 – Boeing Model 40 B-4 совершает свой первый полёт. Это первый самолёт в серии Model 40, использующий приёмо-передающий радиоприемник, разработанный Торпом </w:t>
      </w:r>
      <w:proofErr w:type="spellStart"/>
      <w:r w:rsidRPr="00A259BD">
        <w:rPr>
          <w:rFonts w:ascii="Times New Roman" w:hAnsi="Times New Roman"/>
          <w:color w:val="000000" w:themeColor="text1"/>
          <w:sz w:val="16"/>
          <w:szCs w:val="16"/>
        </w:rPr>
        <w:t>Хискоком</w:t>
      </w:r>
      <w:proofErr w:type="spellEnd"/>
      <w:r w:rsidRPr="00A259BD">
        <w:rPr>
          <w:rFonts w:ascii="Times New Roman" w:hAnsi="Times New Roman"/>
          <w:color w:val="000000" w:themeColor="text1"/>
          <w:sz w:val="16"/>
          <w:szCs w:val="16"/>
        </w:rPr>
        <w:t>, шурином Уильяма Боинга. Кроме того, был установлен более мощный двигатель "</w:t>
      </w:r>
      <w:proofErr w:type="spellStart"/>
      <w:r w:rsidRPr="00A259BD">
        <w:rPr>
          <w:rFonts w:ascii="Times New Roman" w:hAnsi="Times New Roman"/>
          <w:color w:val="000000" w:themeColor="text1"/>
          <w:sz w:val="16"/>
          <w:szCs w:val="16"/>
        </w:rPr>
        <w:t>Хорнет</w:t>
      </w:r>
      <w:proofErr w:type="spellEnd"/>
      <w:r w:rsidRPr="00A259BD">
        <w:rPr>
          <w:rFonts w:ascii="Times New Roman" w:hAnsi="Times New Roman"/>
          <w:color w:val="000000" w:themeColor="text1"/>
          <w:sz w:val="16"/>
          <w:szCs w:val="16"/>
        </w:rPr>
        <w:t>" 525 л.с. (22346).</w:t>
      </w:r>
    </w:p>
    <w:p w14:paraId="23597B5F" w14:textId="77777777" w:rsidR="00F658D1" w:rsidRPr="00A259BD" w:rsidRDefault="00F658D1" w:rsidP="009236E3">
      <w:pPr>
        <w:spacing w:after="0" w:line="240" w:lineRule="auto"/>
        <w:jc w:val="both"/>
        <w:rPr>
          <w:rFonts w:ascii="Times New Roman" w:hAnsi="Times New Roman"/>
          <w:color w:val="000000" w:themeColor="text1"/>
          <w:sz w:val="16"/>
          <w:szCs w:val="16"/>
        </w:rPr>
      </w:pPr>
    </w:p>
    <w:bookmarkEnd w:id="85"/>
    <w:p w14:paraId="6EE01A2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октября 1929 во Франции разбился английский дирижабль, в результате чего погибло 47 человек, в том числе министр британских воздушных сил лорд Томсон (4962).</w:t>
      </w:r>
    </w:p>
    <w:p w14:paraId="26589A5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25065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октября 1929 в результате урагана в Доминиканской республике погибло 2 тысячи человек (4962).</w:t>
      </w:r>
    </w:p>
    <w:p w14:paraId="17712D8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ED039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EAF866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C31E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ноября 1929 г. в служебной записке Председатель Научно технического комитета УВВС </w:t>
      </w:r>
      <w:proofErr w:type="spellStart"/>
      <w:r w:rsidRPr="00A259BD">
        <w:rPr>
          <w:rFonts w:ascii="Times New Roman" w:hAnsi="Times New Roman"/>
          <w:color w:val="000000" w:themeColor="text1"/>
          <w:sz w:val="16"/>
          <w:szCs w:val="16"/>
        </w:rPr>
        <w:t>П.С.Дубенский</w:t>
      </w:r>
      <w:proofErr w:type="spellEnd"/>
      <w:r w:rsidRPr="00A259BD">
        <w:rPr>
          <w:rFonts w:ascii="Times New Roman" w:hAnsi="Times New Roman"/>
          <w:color w:val="000000" w:themeColor="text1"/>
          <w:sz w:val="16"/>
          <w:szCs w:val="16"/>
        </w:rPr>
        <w:t xml:space="preserve"> обращается к </w:t>
      </w:r>
      <w:proofErr w:type="spellStart"/>
      <w:r w:rsidRPr="00A259BD">
        <w:rPr>
          <w:rFonts w:ascii="Times New Roman" w:hAnsi="Times New Roman"/>
          <w:color w:val="000000" w:themeColor="text1"/>
          <w:sz w:val="16"/>
          <w:szCs w:val="16"/>
        </w:rPr>
        <w:t>А.Н.Туполеву</w:t>
      </w:r>
      <w:proofErr w:type="spellEnd"/>
      <w:r w:rsidRPr="00A259BD">
        <w:rPr>
          <w:rFonts w:ascii="Times New Roman" w:hAnsi="Times New Roman"/>
          <w:color w:val="000000" w:themeColor="text1"/>
          <w:sz w:val="16"/>
          <w:szCs w:val="16"/>
        </w:rPr>
        <w:t>, где сообщает: "Думаю что для ЦАГИ, в особенности для Вас, не является тайной, что самолеты предназначаются для перевозки боевых средств (танки, пушки и т.п.), и что вы имеете об этом представление..." (12025).</w:t>
      </w:r>
    </w:p>
    <w:p w14:paraId="0E83E6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23B5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октября 1929 года окончено эксплуатационное испытание опытной партии самолетов И-3 БМВ-VI в 15 авиабригаде</w:t>
      </w:r>
    </w:p>
    <w:p w14:paraId="75F040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в части 15 авиабригады для испытаний получено 9 самолетов И-3 БМВ-VI.</w:t>
      </w:r>
    </w:p>
    <w:p w14:paraId="1CDB68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окончено 6 октября 1929 года.</w:t>
      </w:r>
    </w:p>
    <w:p w14:paraId="283942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время испытаний не было получено ни одной запчасти к самолетам и моторам. ……… поэтому часть самолетов пришлось сразу снять с испытаний и пустить на запчасти для остальных.</w:t>
      </w:r>
    </w:p>
    <w:p w14:paraId="37BD9C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последней причине самолеты №№ 3833 и 3823 почти сразу вышли из эксплуатации и число испытываемых машин снизилось до 7 (7494, 49-52).</w:t>
      </w:r>
    </w:p>
    <w:p w14:paraId="002184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D7614D" w14:textId="77777777" w:rsidR="0065509C" w:rsidRPr="00A259BD" w:rsidRDefault="0065509C"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 xml:space="preserve">6 октября </w:t>
      </w:r>
      <w:r w:rsidRPr="00A259BD">
        <w:rPr>
          <w:rFonts w:ascii="Times New Roman" w:hAnsi="Times New Roman"/>
          <w:color w:val="000000" w:themeColor="text1"/>
          <w:sz w:val="16"/>
          <w:szCs w:val="16"/>
        </w:rPr>
        <w:t>в 1929 году основано Севастопольское авиационное предприятие (сначала как авиационные мастерские по мелкому ремонту французских гидросамолётов) (14791).</w:t>
      </w:r>
    </w:p>
    <w:p w14:paraId="01BC82FF" w14:textId="77777777" w:rsidR="0065509C" w:rsidRPr="00A259BD" w:rsidRDefault="0065509C" w:rsidP="009236E3">
      <w:pPr>
        <w:spacing w:after="0" w:line="240" w:lineRule="auto"/>
        <w:jc w:val="both"/>
        <w:rPr>
          <w:rFonts w:ascii="Times New Roman" w:hAnsi="Times New Roman"/>
          <w:color w:val="000000" w:themeColor="text1"/>
          <w:sz w:val="16"/>
          <w:szCs w:val="16"/>
        </w:rPr>
      </w:pPr>
    </w:p>
    <w:p w14:paraId="37FA1F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6 по 23 октября 1929 состоялись Шестые Всероссийские планерные состязания (237,158).</w:t>
      </w:r>
    </w:p>
    <w:p w14:paraId="1187A6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7CC3F7" w14:textId="77777777" w:rsidR="008827BD" w:rsidRDefault="008827BD" w:rsidP="008827BD">
      <w:pPr>
        <w:spacing w:after="0" w:line="240" w:lineRule="auto"/>
        <w:jc w:val="both"/>
        <w:rPr>
          <w:rFonts w:ascii="Times New Roman" w:hAnsi="Times New Roman"/>
          <w:color w:val="0070C0"/>
          <w:sz w:val="16"/>
          <w:szCs w:val="16"/>
        </w:rPr>
      </w:pPr>
      <w:r>
        <w:rPr>
          <w:rFonts w:ascii="Times New Roman" w:hAnsi="Times New Roman"/>
          <w:color w:val="0070C0"/>
          <w:sz w:val="16"/>
          <w:szCs w:val="16"/>
        </w:rPr>
        <w:t>6-23</w:t>
      </w:r>
      <w:r w:rsidRPr="006B74EB">
        <w:rPr>
          <w:rFonts w:ascii="Times New Roman" w:hAnsi="Times New Roman"/>
          <w:color w:val="0070C0"/>
          <w:sz w:val="16"/>
          <w:szCs w:val="16"/>
        </w:rPr>
        <w:t xml:space="preserve"> октября</w:t>
      </w:r>
      <w:r>
        <w:rPr>
          <w:rFonts w:ascii="Times New Roman" w:hAnsi="Times New Roman"/>
          <w:color w:val="0070C0"/>
          <w:sz w:val="16"/>
          <w:szCs w:val="16"/>
        </w:rPr>
        <w:t xml:space="preserve"> 1929 г. в</w:t>
      </w:r>
      <w:r w:rsidRPr="006B74EB">
        <w:rPr>
          <w:rFonts w:ascii="Times New Roman" w:hAnsi="Times New Roman"/>
          <w:color w:val="0070C0"/>
          <w:sz w:val="16"/>
          <w:szCs w:val="16"/>
        </w:rPr>
        <w:t xml:space="preserve"> Крыму состоялись У1 всесоюзные планерные состя</w:t>
      </w:r>
      <w:r>
        <w:rPr>
          <w:rFonts w:ascii="Times New Roman" w:hAnsi="Times New Roman"/>
          <w:color w:val="0070C0"/>
          <w:sz w:val="16"/>
          <w:szCs w:val="16"/>
        </w:rPr>
        <w:t xml:space="preserve">зания. </w:t>
      </w:r>
      <w:r w:rsidRPr="006B74EB">
        <w:rPr>
          <w:rFonts w:ascii="Times New Roman" w:hAnsi="Times New Roman"/>
          <w:color w:val="0070C0"/>
          <w:sz w:val="16"/>
          <w:szCs w:val="16"/>
        </w:rPr>
        <w:t>Было представлено 22 планера,</w:t>
      </w:r>
      <w:r>
        <w:rPr>
          <w:rFonts w:ascii="Times New Roman" w:hAnsi="Times New Roman"/>
          <w:color w:val="0070C0"/>
          <w:sz w:val="16"/>
          <w:szCs w:val="16"/>
        </w:rPr>
        <w:t xml:space="preserve"> </w:t>
      </w:r>
      <w:r w:rsidRPr="006B74EB">
        <w:rPr>
          <w:rFonts w:ascii="Times New Roman" w:hAnsi="Times New Roman"/>
          <w:color w:val="0070C0"/>
          <w:sz w:val="16"/>
          <w:szCs w:val="16"/>
        </w:rPr>
        <w:t>из коих летало только 14</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Состав </w:t>
      </w:r>
      <w:r>
        <w:rPr>
          <w:rFonts w:ascii="Times New Roman" w:hAnsi="Times New Roman"/>
          <w:color w:val="0070C0"/>
          <w:sz w:val="16"/>
          <w:szCs w:val="16"/>
        </w:rPr>
        <w:t>участников</w:t>
      </w:r>
      <w:r w:rsidRPr="006B74EB">
        <w:rPr>
          <w:rFonts w:ascii="Times New Roman" w:hAnsi="Times New Roman"/>
          <w:color w:val="0070C0"/>
          <w:sz w:val="16"/>
          <w:szCs w:val="16"/>
        </w:rPr>
        <w:t xml:space="preserve"> - небольшой: летало всего 8 пилотов. Было совершено </w:t>
      </w:r>
      <w:r>
        <w:rPr>
          <w:rFonts w:ascii="Times New Roman" w:hAnsi="Times New Roman"/>
          <w:color w:val="0070C0"/>
          <w:sz w:val="16"/>
          <w:szCs w:val="16"/>
        </w:rPr>
        <w:t>5</w:t>
      </w:r>
      <w:r w:rsidRPr="006B74EB">
        <w:rPr>
          <w:rFonts w:ascii="Times New Roman" w:hAnsi="Times New Roman"/>
          <w:color w:val="0070C0"/>
          <w:sz w:val="16"/>
          <w:szCs w:val="16"/>
        </w:rPr>
        <w:t>88 по</w:t>
      </w:r>
      <w:r>
        <w:rPr>
          <w:rFonts w:ascii="Times New Roman" w:hAnsi="Times New Roman"/>
          <w:color w:val="0070C0"/>
          <w:sz w:val="16"/>
          <w:szCs w:val="16"/>
        </w:rPr>
        <w:t>летов общей продолжительности 99 ч. 19 минут. Наилучшие достижения:</w:t>
      </w:r>
    </w:p>
    <w:p w14:paraId="3E76AA01" w14:textId="77777777" w:rsidR="008827BD" w:rsidRDefault="008827BD" w:rsidP="008827BD">
      <w:pPr>
        <w:spacing w:after="0" w:line="240" w:lineRule="auto"/>
        <w:jc w:val="both"/>
        <w:rPr>
          <w:rFonts w:ascii="Times New Roman" w:hAnsi="Times New Roman"/>
          <w:color w:val="0070C0"/>
          <w:sz w:val="16"/>
          <w:szCs w:val="16"/>
        </w:rPr>
      </w:pPr>
      <w:r>
        <w:rPr>
          <w:rFonts w:ascii="Times New Roman" w:hAnsi="Times New Roman"/>
          <w:color w:val="0070C0"/>
          <w:sz w:val="16"/>
          <w:szCs w:val="16"/>
        </w:rPr>
        <w:t>1. П</w:t>
      </w:r>
      <w:r w:rsidRPr="006B74EB">
        <w:rPr>
          <w:rFonts w:ascii="Times New Roman" w:hAnsi="Times New Roman"/>
          <w:color w:val="0070C0"/>
          <w:sz w:val="16"/>
          <w:szCs w:val="16"/>
        </w:rPr>
        <w:t>родолжительность полета 10 ч.</w:t>
      </w:r>
      <w:r>
        <w:rPr>
          <w:rFonts w:ascii="Times New Roman" w:hAnsi="Times New Roman"/>
          <w:color w:val="0070C0"/>
          <w:sz w:val="16"/>
          <w:szCs w:val="16"/>
        </w:rPr>
        <w:t xml:space="preserve"> </w:t>
      </w:r>
      <w:r w:rsidRPr="006B74EB">
        <w:rPr>
          <w:rFonts w:ascii="Times New Roman" w:hAnsi="Times New Roman"/>
          <w:color w:val="0070C0"/>
          <w:sz w:val="16"/>
          <w:szCs w:val="16"/>
        </w:rPr>
        <w:t>22 минуты</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установленная </w:t>
      </w:r>
      <w:r>
        <w:rPr>
          <w:rFonts w:ascii="Times New Roman" w:hAnsi="Times New Roman"/>
          <w:color w:val="0070C0"/>
          <w:sz w:val="16"/>
          <w:szCs w:val="16"/>
        </w:rPr>
        <w:t xml:space="preserve">16 октября </w:t>
      </w:r>
      <w:proofErr w:type="spellStart"/>
      <w:r>
        <w:rPr>
          <w:rFonts w:ascii="Times New Roman" w:hAnsi="Times New Roman"/>
          <w:color w:val="0070C0"/>
          <w:sz w:val="16"/>
          <w:szCs w:val="16"/>
        </w:rPr>
        <w:t>В.А.Степанченком</w:t>
      </w:r>
      <w:proofErr w:type="spellEnd"/>
      <w:r w:rsidRPr="006B74EB">
        <w:rPr>
          <w:rFonts w:ascii="Times New Roman" w:hAnsi="Times New Roman"/>
          <w:color w:val="0070C0"/>
          <w:sz w:val="16"/>
          <w:szCs w:val="16"/>
        </w:rPr>
        <w:t xml:space="preserve"> на планере Г-7 конструкции </w:t>
      </w:r>
      <w:proofErr w:type="spellStart"/>
      <w:r w:rsidRPr="006B74EB">
        <w:rPr>
          <w:rFonts w:ascii="Times New Roman" w:hAnsi="Times New Roman"/>
          <w:color w:val="0070C0"/>
          <w:sz w:val="16"/>
          <w:szCs w:val="16"/>
        </w:rPr>
        <w:t>В.К.Гр</w:t>
      </w:r>
      <w:r>
        <w:rPr>
          <w:rFonts w:ascii="Times New Roman" w:hAnsi="Times New Roman"/>
          <w:color w:val="0070C0"/>
          <w:sz w:val="16"/>
          <w:szCs w:val="16"/>
        </w:rPr>
        <w:t>и</w:t>
      </w:r>
      <w:r w:rsidRPr="006B74EB">
        <w:rPr>
          <w:rFonts w:ascii="Times New Roman" w:hAnsi="Times New Roman"/>
          <w:color w:val="0070C0"/>
          <w:sz w:val="16"/>
          <w:szCs w:val="16"/>
        </w:rPr>
        <w:t>бов</w:t>
      </w:r>
      <w:r>
        <w:rPr>
          <w:rFonts w:ascii="Times New Roman" w:hAnsi="Times New Roman"/>
          <w:color w:val="0070C0"/>
          <w:sz w:val="16"/>
          <w:szCs w:val="16"/>
        </w:rPr>
        <w:t>с</w:t>
      </w:r>
      <w:r w:rsidRPr="006B74EB">
        <w:rPr>
          <w:rFonts w:ascii="Times New Roman" w:hAnsi="Times New Roman"/>
          <w:color w:val="0070C0"/>
          <w:sz w:val="16"/>
          <w:szCs w:val="16"/>
        </w:rPr>
        <w:t>кого</w:t>
      </w:r>
      <w:proofErr w:type="spellEnd"/>
      <w:r w:rsidRPr="006B74EB">
        <w:rPr>
          <w:rFonts w:ascii="Times New Roman" w:hAnsi="Times New Roman"/>
          <w:color w:val="0070C0"/>
          <w:sz w:val="16"/>
          <w:szCs w:val="16"/>
        </w:rPr>
        <w:t>.</w:t>
      </w:r>
    </w:p>
    <w:p w14:paraId="6964C8F2" w14:textId="77777777" w:rsidR="008827BD" w:rsidRDefault="008827BD" w:rsidP="008827BD">
      <w:pPr>
        <w:spacing w:after="0" w:line="240" w:lineRule="auto"/>
        <w:jc w:val="both"/>
        <w:rPr>
          <w:rFonts w:ascii="Times New Roman" w:hAnsi="Times New Roman"/>
          <w:color w:val="0070C0"/>
          <w:sz w:val="16"/>
          <w:szCs w:val="16"/>
        </w:rPr>
      </w:pPr>
      <w:r>
        <w:rPr>
          <w:rFonts w:ascii="Times New Roman" w:hAnsi="Times New Roman"/>
          <w:color w:val="0070C0"/>
          <w:sz w:val="16"/>
          <w:szCs w:val="16"/>
        </w:rPr>
        <w:t>2. Д</w:t>
      </w:r>
      <w:r w:rsidRPr="006B74EB">
        <w:rPr>
          <w:rFonts w:ascii="Times New Roman" w:hAnsi="Times New Roman"/>
          <w:color w:val="0070C0"/>
          <w:sz w:val="16"/>
          <w:szCs w:val="16"/>
        </w:rPr>
        <w:t>альность полета по прямой 34 км,</w:t>
      </w:r>
      <w:r>
        <w:rPr>
          <w:rFonts w:ascii="Times New Roman" w:hAnsi="Times New Roman"/>
          <w:color w:val="0070C0"/>
          <w:sz w:val="16"/>
          <w:szCs w:val="16"/>
        </w:rPr>
        <w:t xml:space="preserve"> </w:t>
      </w:r>
      <w:r w:rsidRPr="006B74EB">
        <w:rPr>
          <w:rFonts w:ascii="Times New Roman" w:hAnsi="Times New Roman"/>
          <w:color w:val="0070C0"/>
          <w:sz w:val="16"/>
          <w:szCs w:val="16"/>
        </w:rPr>
        <w:t>установ</w:t>
      </w:r>
      <w:r>
        <w:rPr>
          <w:rFonts w:ascii="Times New Roman" w:hAnsi="Times New Roman"/>
          <w:color w:val="0070C0"/>
          <w:sz w:val="16"/>
          <w:szCs w:val="16"/>
        </w:rPr>
        <w:t>ленная</w:t>
      </w:r>
      <w:r w:rsidRPr="006B74EB">
        <w:rPr>
          <w:rFonts w:ascii="Times New Roman" w:hAnsi="Times New Roman"/>
          <w:color w:val="0070C0"/>
          <w:sz w:val="16"/>
          <w:szCs w:val="16"/>
        </w:rPr>
        <w:t xml:space="preserve"> 22 октября</w:t>
      </w:r>
      <w:r>
        <w:rPr>
          <w:rFonts w:ascii="Times New Roman" w:hAnsi="Times New Roman"/>
          <w:color w:val="0070C0"/>
          <w:sz w:val="16"/>
          <w:szCs w:val="16"/>
        </w:rPr>
        <w:t xml:space="preserve"> </w:t>
      </w:r>
      <w:proofErr w:type="spellStart"/>
      <w:r>
        <w:rPr>
          <w:rFonts w:ascii="Times New Roman" w:hAnsi="Times New Roman"/>
          <w:color w:val="0070C0"/>
          <w:sz w:val="16"/>
          <w:szCs w:val="16"/>
        </w:rPr>
        <w:t>Д.А.Кошицем</w:t>
      </w:r>
      <w:proofErr w:type="spellEnd"/>
      <w:r>
        <w:rPr>
          <w:rFonts w:ascii="Times New Roman" w:hAnsi="Times New Roman"/>
          <w:color w:val="0070C0"/>
          <w:sz w:val="16"/>
          <w:szCs w:val="16"/>
        </w:rPr>
        <w:t xml:space="preserve"> </w:t>
      </w:r>
      <w:r w:rsidRPr="006B74EB">
        <w:rPr>
          <w:rFonts w:ascii="Times New Roman" w:hAnsi="Times New Roman"/>
          <w:color w:val="0070C0"/>
          <w:sz w:val="16"/>
          <w:szCs w:val="16"/>
        </w:rPr>
        <w:t xml:space="preserve">на </w:t>
      </w:r>
      <w:r>
        <w:rPr>
          <w:rFonts w:ascii="Times New Roman" w:hAnsi="Times New Roman"/>
          <w:color w:val="0070C0"/>
          <w:sz w:val="16"/>
          <w:szCs w:val="16"/>
        </w:rPr>
        <w:t>пл</w:t>
      </w:r>
      <w:r w:rsidRPr="006B74EB">
        <w:rPr>
          <w:rFonts w:ascii="Times New Roman" w:hAnsi="Times New Roman"/>
          <w:color w:val="0070C0"/>
          <w:sz w:val="16"/>
          <w:szCs w:val="16"/>
        </w:rPr>
        <w:t>ан</w:t>
      </w:r>
      <w:r>
        <w:rPr>
          <w:rFonts w:ascii="Times New Roman" w:hAnsi="Times New Roman"/>
          <w:color w:val="0070C0"/>
          <w:sz w:val="16"/>
          <w:szCs w:val="16"/>
        </w:rPr>
        <w:t>е</w:t>
      </w:r>
      <w:r w:rsidRPr="006B74EB">
        <w:rPr>
          <w:rFonts w:ascii="Times New Roman" w:hAnsi="Times New Roman"/>
          <w:color w:val="0070C0"/>
          <w:sz w:val="16"/>
          <w:szCs w:val="16"/>
        </w:rPr>
        <w:t>ре "Гриф" к</w:t>
      </w:r>
      <w:r>
        <w:rPr>
          <w:rFonts w:ascii="Times New Roman" w:hAnsi="Times New Roman"/>
          <w:color w:val="0070C0"/>
          <w:sz w:val="16"/>
          <w:szCs w:val="16"/>
        </w:rPr>
        <w:t>и</w:t>
      </w:r>
      <w:r w:rsidRPr="006B74EB">
        <w:rPr>
          <w:rFonts w:ascii="Times New Roman" w:hAnsi="Times New Roman"/>
          <w:color w:val="0070C0"/>
          <w:sz w:val="16"/>
          <w:szCs w:val="16"/>
        </w:rPr>
        <w:t>ев</w:t>
      </w:r>
      <w:r>
        <w:rPr>
          <w:rFonts w:ascii="Times New Roman" w:hAnsi="Times New Roman"/>
          <w:color w:val="0070C0"/>
          <w:sz w:val="16"/>
          <w:szCs w:val="16"/>
        </w:rPr>
        <w:t>с</w:t>
      </w:r>
      <w:r w:rsidRPr="006B74EB">
        <w:rPr>
          <w:rFonts w:ascii="Times New Roman" w:hAnsi="Times New Roman"/>
          <w:color w:val="0070C0"/>
          <w:sz w:val="16"/>
          <w:szCs w:val="16"/>
        </w:rPr>
        <w:t>ких конструкторов</w:t>
      </w:r>
      <w:r>
        <w:rPr>
          <w:rFonts w:ascii="Times New Roman" w:hAnsi="Times New Roman"/>
          <w:color w:val="0070C0"/>
          <w:sz w:val="16"/>
          <w:szCs w:val="16"/>
        </w:rPr>
        <w:t>.</w:t>
      </w:r>
    </w:p>
    <w:p w14:paraId="5A7DCAEC" w14:textId="77777777" w:rsidR="008827BD" w:rsidRDefault="008827BD" w:rsidP="008827BD">
      <w:pPr>
        <w:spacing w:after="0" w:line="240" w:lineRule="auto"/>
        <w:jc w:val="both"/>
        <w:rPr>
          <w:rFonts w:ascii="Times New Roman" w:hAnsi="Times New Roman"/>
          <w:color w:val="0070C0"/>
          <w:sz w:val="16"/>
          <w:szCs w:val="16"/>
        </w:rPr>
      </w:pPr>
      <w:r>
        <w:rPr>
          <w:rFonts w:ascii="Times New Roman" w:hAnsi="Times New Roman"/>
          <w:color w:val="0070C0"/>
          <w:sz w:val="16"/>
          <w:szCs w:val="16"/>
        </w:rPr>
        <w:t>3. Выс</w:t>
      </w:r>
      <w:r w:rsidRPr="006B74EB">
        <w:rPr>
          <w:rFonts w:ascii="Times New Roman" w:hAnsi="Times New Roman"/>
          <w:color w:val="0070C0"/>
          <w:sz w:val="16"/>
          <w:szCs w:val="16"/>
        </w:rPr>
        <w:t>ота полета 1520 м,</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установленная </w:t>
      </w:r>
      <w:proofErr w:type="spellStart"/>
      <w:r w:rsidRPr="006B74EB">
        <w:rPr>
          <w:rFonts w:ascii="Times New Roman" w:hAnsi="Times New Roman"/>
          <w:color w:val="0070C0"/>
          <w:sz w:val="16"/>
          <w:szCs w:val="16"/>
        </w:rPr>
        <w:t>Д.А.Ко</w:t>
      </w:r>
      <w:r>
        <w:rPr>
          <w:rFonts w:ascii="Times New Roman" w:hAnsi="Times New Roman"/>
          <w:color w:val="0070C0"/>
          <w:sz w:val="16"/>
          <w:szCs w:val="16"/>
        </w:rPr>
        <w:t>ш</w:t>
      </w:r>
      <w:r w:rsidRPr="006B74EB">
        <w:rPr>
          <w:rFonts w:ascii="Times New Roman" w:hAnsi="Times New Roman"/>
          <w:color w:val="0070C0"/>
          <w:sz w:val="16"/>
          <w:szCs w:val="16"/>
        </w:rPr>
        <w:t>ицем</w:t>
      </w:r>
      <w:proofErr w:type="spellEnd"/>
      <w:r w:rsidRPr="006B74EB">
        <w:rPr>
          <w:rFonts w:ascii="Times New Roman" w:hAnsi="Times New Roman"/>
          <w:color w:val="0070C0"/>
          <w:sz w:val="16"/>
          <w:szCs w:val="16"/>
        </w:rPr>
        <w:t xml:space="preserve"> тогда же</w:t>
      </w:r>
      <w:r>
        <w:rPr>
          <w:rFonts w:ascii="Times New Roman" w:hAnsi="Times New Roman"/>
          <w:color w:val="0070C0"/>
          <w:sz w:val="16"/>
          <w:szCs w:val="16"/>
        </w:rPr>
        <w:t>.</w:t>
      </w:r>
    </w:p>
    <w:p w14:paraId="26DEA5DD" w14:textId="77777777" w:rsidR="008827BD" w:rsidRPr="006B74EB" w:rsidRDefault="008827BD" w:rsidP="008827BD">
      <w:pPr>
        <w:spacing w:after="0" w:line="240" w:lineRule="auto"/>
        <w:jc w:val="both"/>
        <w:rPr>
          <w:rFonts w:ascii="Times New Roman" w:hAnsi="Times New Roman"/>
          <w:color w:val="0070C0"/>
          <w:sz w:val="16"/>
          <w:szCs w:val="16"/>
        </w:rPr>
      </w:pPr>
      <w:r>
        <w:rPr>
          <w:rFonts w:ascii="Times New Roman" w:hAnsi="Times New Roman"/>
          <w:color w:val="0070C0"/>
          <w:sz w:val="16"/>
          <w:szCs w:val="16"/>
        </w:rPr>
        <w:t>4.</w:t>
      </w:r>
      <w:r w:rsidRPr="006B74EB">
        <w:rPr>
          <w:rFonts w:ascii="Times New Roman" w:hAnsi="Times New Roman"/>
          <w:color w:val="0070C0"/>
          <w:sz w:val="16"/>
          <w:szCs w:val="16"/>
        </w:rPr>
        <w:t xml:space="preserve"> </w:t>
      </w:r>
      <w:r>
        <w:rPr>
          <w:rFonts w:ascii="Times New Roman" w:hAnsi="Times New Roman"/>
          <w:color w:val="0070C0"/>
          <w:sz w:val="16"/>
          <w:szCs w:val="16"/>
        </w:rPr>
        <w:t>Да</w:t>
      </w:r>
      <w:r w:rsidRPr="006B74EB">
        <w:rPr>
          <w:rFonts w:ascii="Times New Roman" w:hAnsi="Times New Roman"/>
          <w:color w:val="0070C0"/>
          <w:sz w:val="16"/>
          <w:szCs w:val="16"/>
        </w:rPr>
        <w:t>льность полета с возвращением на старт 32 км, впервые усте</w:t>
      </w:r>
      <w:r w:rsidRPr="006B74EB">
        <w:rPr>
          <w:rFonts w:ascii="Times New Roman" w:hAnsi="Times New Roman"/>
          <w:color w:val="0070C0"/>
          <w:sz w:val="16"/>
          <w:szCs w:val="16"/>
        </w:rPr>
        <w:softHyphen/>
        <w:t xml:space="preserve">ленная </w:t>
      </w:r>
      <w:proofErr w:type="spellStart"/>
      <w:r w:rsidRPr="006B74EB">
        <w:rPr>
          <w:rFonts w:ascii="Times New Roman" w:hAnsi="Times New Roman"/>
          <w:color w:val="0070C0"/>
          <w:sz w:val="16"/>
          <w:szCs w:val="16"/>
        </w:rPr>
        <w:t>К.</w:t>
      </w:r>
      <w:r>
        <w:rPr>
          <w:rFonts w:ascii="Times New Roman" w:hAnsi="Times New Roman"/>
          <w:color w:val="0070C0"/>
          <w:sz w:val="16"/>
          <w:szCs w:val="16"/>
        </w:rPr>
        <w:t>М</w:t>
      </w:r>
      <w:r w:rsidRPr="006B74EB">
        <w:rPr>
          <w:rFonts w:ascii="Times New Roman" w:hAnsi="Times New Roman"/>
          <w:color w:val="0070C0"/>
          <w:sz w:val="16"/>
          <w:szCs w:val="16"/>
        </w:rPr>
        <w:t>.В</w:t>
      </w:r>
      <w:r>
        <w:rPr>
          <w:rFonts w:ascii="Times New Roman" w:hAnsi="Times New Roman"/>
          <w:color w:val="0070C0"/>
          <w:sz w:val="16"/>
          <w:szCs w:val="16"/>
        </w:rPr>
        <w:t>е</w:t>
      </w:r>
      <w:r w:rsidRPr="006B74EB">
        <w:rPr>
          <w:rFonts w:ascii="Times New Roman" w:hAnsi="Times New Roman"/>
          <w:color w:val="0070C0"/>
          <w:sz w:val="16"/>
          <w:szCs w:val="16"/>
        </w:rPr>
        <w:t>иславом</w:t>
      </w:r>
      <w:proofErr w:type="spellEnd"/>
      <w:r w:rsidRPr="006B74EB">
        <w:rPr>
          <w:rFonts w:ascii="Times New Roman" w:hAnsi="Times New Roman"/>
          <w:color w:val="0070C0"/>
          <w:sz w:val="16"/>
          <w:szCs w:val="16"/>
        </w:rPr>
        <w:t xml:space="preserve"> на планере "Жар-птица” конструкции Тихонова,</w:t>
      </w:r>
      <w:r>
        <w:rPr>
          <w:rFonts w:ascii="Times New Roman" w:hAnsi="Times New Roman"/>
          <w:color w:val="0070C0"/>
          <w:sz w:val="16"/>
          <w:szCs w:val="16"/>
        </w:rPr>
        <w:t xml:space="preserve"> </w:t>
      </w:r>
      <w:r w:rsidRPr="006B74EB">
        <w:rPr>
          <w:rFonts w:ascii="Times New Roman" w:hAnsi="Times New Roman"/>
          <w:color w:val="0070C0"/>
          <w:sz w:val="16"/>
          <w:szCs w:val="16"/>
        </w:rPr>
        <w:t>Вахмистрова и Дубровина.</w:t>
      </w:r>
    </w:p>
    <w:p w14:paraId="468DD8DD" w14:textId="77777777" w:rsidR="008827BD" w:rsidRDefault="008827BD" w:rsidP="008827BD">
      <w:pPr>
        <w:spacing w:after="0" w:line="240" w:lineRule="auto"/>
        <w:jc w:val="both"/>
        <w:rPr>
          <w:rFonts w:ascii="Times New Roman" w:hAnsi="Times New Roman"/>
          <w:color w:val="0070C0"/>
          <w:sz w:val="16"/>
          <w:szCs w:val="16"/>
        </w:rPr>
      </w:pPr>
      <w:r>
        <w:rPr>
          <w:rFonts w:ascii="Times New Roman" w:hAnsi="Times New Roman"/>
          <w:color w:val="0070C0"/>
          <w:sz w:val="16"/>
          <w:szCs w:val="16"/>
        </w:rPr>
        <w:t>/«</w:t>
      </w:r>
      <w:r w:rsidRPr="006B74EB">
        <w:rPr>
          <w:rFonts w:ascii="Times New Roman" w:hAnsi="Times New Roman"/>
          <w:color w:val="0070C0"/>
          <w:sz w:val="16"/>
          <w:szCs w:val="16"/>
        </w:rPr>
        <w:t>Авиация я химия</w:t>
      </w:r>
      <w:r>
        <w:rPr>
          <w:rFonts w:ascii="Times New Roman" w:hAnsi="Times New Roman"/>
          <w:color w:val="0070C0"/>
          <w:sz w:val="16"/>
          <w:szCs w:val="16"/>
        </w:rPr>
        <w:t xml:space="preserve">», </w:t>
      </w:r>
      <w:r w:rsidRPr="006B74EB">
        <w:rPr>
          <w:rFonts w:ascii="Times New Roman" w:hAnsi="Times New Roman"/>
          <w:color w:val="0070C0"/>
          <w:sz w:val="16"/>
          <w:szCs w:val="16"/>
        </w:rPr>
        <w:t>1929</w:t>
      </w:r>
      <w:r>
        <w:rPr>
          <w:rFonts w:ascii="Times New Roman" w:hAnsi="Times New Roman"/>
          <w:color w:val="0070C0"/>
          <w:sz w:val="16"/>
          <w:szCs w:val="16"/>
        </w:rPr>
        <w:t>, №</w:t>
      </w:r>
      <w:r w:rsidRPr="006B74EB">
        <w:rPr>
          <w:rFonts w:ascii="Times New Roman" w:hAnsi="Times New Roman"/>
          <w:color w:val="0070C0"/>
          <w:sz w:val="16"/>
          <w:szCs w:val="16"/>
        </w:rPr>
        <w:t xml:space="preserve"> 12;</w:t>
      </w:r>
      <w:r>
        <w:rPr>
          <w:rFonts w:ascii="Times New Roman" w:hAnsi="Times New Roman"/>
          <w:color w:val="0070C0"/>
          <w:sz w:val="16"/>
          <w:szCs w:val="16"/>
        </w:rPr>
        <w:t xml:space="preserve"> «</w:t>
      </w:r>
      <w:r w:rsidRPr="006B74EB">
        <w:rPr>
          <w:rFonts w:ascii="Times New Roman" w:hAnsi="Times New Roman"/>
          <w:color w:val="0070C0"/>
          <w:sz w:val="16"/>
          <w:szCs w:val="16"/>
        </w:rPr>
        <w:t>Самолет</w:t>
      </w:r>
      <w:r>
        <w:rPr>
          <w:rFonts w:ascii="Times New Roman" w:hAnsi="Times New Roman"/>
          <w:color w:val="0070C0"/>
          <w:sz w:val="16"/>
          <w:szCs w:val="16"/>
        </w:rPr>
        <w:t>»</w:t>
      </w:r>
      <w:r w:rsidRPr="006B74EB">
        <w:rPr>
          <w:rFonts w:ascii="Times New Roman" w:hAnsi="Times New Roman"/>
          <w:color w:val="0070C0"/>
          <w:sz w:val="16"/>
          <w:szCs w:val="16"/>
        </w:rPr>
        <w:t xml:space="preserve">, 1930 </w:t>
      </w:r>
      <w:r>
        <w:rPr>
          <w:rFonts w:ascii="Times New Roman" w:hAnsi="Times New Roman"/>
          <w:color w:val="0070C0"/>
          <w:sz w:val="16"/>
          <w:szCs w:val="16"/>
        </w:rPr>
        <w:t>№</w:t>
      </w:r>
      <w:r w:rsidRPr="006B74EB">
        <w:rPr>
          <w:rFonts w:ascii="Times New Roman" w:hAnsi="Times New Roman"/>
          <w:color w:val="0070C0"/>
          <w:sz w:val="16"/>
          <w:szCs w:val="16"/>
        </w:rPr>
        <w:t xml:space="preserve"> 1/</w:t>
      </w:r>
      <w:r>
        <w:rPr>
          <w:rFonts w:ascii="Times New Roman" w:hAnsi="Times New Roman"/>
          <w:color w:val="0070C0"/>
          <w:sz w:val="16"/>
          <w:szCs w:val="16"/>
        </w:rPr>
        <w:t xml:space="preserve"> (23370).</w:t>
      </w:r>
    </w:p>
    <w:p w14:paraId="4AC57E5C" w14:textId="77777777" w:rsidR="008827BD" w:rsidRPr="006B74EB" w:rsidRDefault="008827BD" w:rsidP="008827BD">
      <w:pPr>
        <w:spacing w:after="0" w:line="240" w:lineRule="auto"/>
        <w:jc w:val="both"/>
        <w:rPr>
          <w:rFonts w:ascii="Times New Roman" w:hAnsi="Times New Roman"/>
          <w:color w:val="0070C0"/>
          <w:sz w:val="16"/>
          <w:szCs w:val="16"/>
        </w:rPr>
      </w:pPr>
    </w:p>
    <w:p w14:paraId="1C19B0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октября 1929 на Шестых Всесоюзных планерных состязаниях были установлены новые всесоюзные рекорда - продолжительности - 10:22 (</w:t>
      </w:r>
      <w:proofErr w:type="spellStart"/>
      <w:r w:rsidRPr="00A259BD">
        <w:rPr>
          <w:rFonts w:ascii="Times New Roman" w:hAnsi="Times New Roman"/>
          <w:color w:val="000000" w:themeColor="text1"/>
          <w:sz w:val="16"/>
          <w:szCs w:val="16"/>
        </w:rPr>
        <w:t>В.Степанчонок</w:t>
      </w:r>
      <w:proofErr w:type="spellEnd"/>
      <w:r w:rsidRPr="00A259BD">
        <w:rPr>
          <w:rFonts w:ascii="Times New Roman" w:hAnsi="Times New Roman"/>
          <w:color w:val="000000" w:themeColor="text1"/>
          <w:sz w:val="16"/>
          <w:szCs w:val="16"/>
        </w:rPr>
        <w:t>) и высоты - 1520 м (</w:t>
      </w:r>
      <w:proofErr w:type="spellStart"/>
      <w:r w:rsidRPr="00A259BD">
        <w:rPr>
          <w:rFonts w:ascii="Times New Roman" w:hAnsi="Times New Roman"/>
          <w:color w:val="000000" w:themeColor="text1"/>
          <w:sz w:val="16"/>
          <w:szCs w:val="16"/>
        </w:rPr>
        <w:t>А.Юмашев</w:t>
      </w:r>
      <w:proofErr w:type="spellEnd"/>
      <w:r w:rsidRPr="00A259BD">
        <w:rPr>
          <w:rFonts w:ascii="Times New Roman" w:hAnsi="Times New Roman"/>
          <w:color w:val="000000" w:themeColor="text1"/>
          <w:sz w:val="16"/>
          <w:szCs w:val="16"/>
        </w:rPr>
        <w:t>) (271,118).</w:t>
      </w:r>
    </w:p>
    <w:p w14:paraId="20A712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48C14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6 по 23 октября 1929 г. проходили 6-е Всесоюзные планерные соревнования. Одним из лучших по конструкции аппаратом стал одноместный рекордный “Гриф”, сконструированный Томашевич совместно с </w:t>
      </w:r>
      <w:proofErr w:type="spellStart"/>
      <w:r w:rsidRPr="00A259BD">
        <w:rPr>
          <w:rFonts w:ascii="Times New Roman" w:hAnsi="Times New Roman"/>
          <w:color w:val="000000" w:themeColor="text1"/>
          <w:sz w:val="16"/>
          <w:szCs w:val="16"/>
        </w:rPr>
        <w:t>Н.А.Жемчужиным</w:t>
      </w:r>
      <w:proofErr w:type="spellEnd"/>
      <w:r w:rsidRPr="00A259BD">
        <w:rPr>
          <w:rFonts w:ascii="Times New Roman" w:hAnsi="Times New Roman"/>
          <w:color w:val="000000" w:themeColor="text1"/>
          <w:sz w:val="16"/>
          <w:szCs w:val="16"/>
        </w:rPr>
        <w:t xml:space="preserve"> (впоследствии заместитель </w:t>
      </w:r>
      <w:proofErr w:type="spellStart"/>
      <w:r w:rsidRPr="00A259BD">
        <w:rPr>
          <w:rFonts w:ascii="Times New Roman" w:hAnsi="Times New Roman"/>
          <w:color w:val="000000" w:themeColor="text1"/>
          <w:sz w:val="16"/>
          <w:szCs w:val="16"/>
        </w:rPr>
        <w:t>Н.Н.Поликарпова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А.М.Сорочинским</w:t>
      </w:r>
      <w:proofErr w:type="spellEnd"/>
      <w:r w:rsidRPr="00A259BD">
        <w:rPr>
          <w:rFonts w:ascii="Times New Roman" w:hAnsi="Times New Roman"/>
          <w:color w:val="000000" w:themeColor="text1"/>
          <w:sz w:val="16"/>
          <w:szCs w:val="16"/>
        </w:rPr>
        <w:t xml:space="preserve">. По схеме “Гриф” представлял собой свободнонесущий моноплан-парасоль с крылом эллиптической формы. Фюзеляж овального сечения в носовой части плавно переходил к круглому сечению в хвостовой. Для обеспечения удобного подхода к основным узлам планера носовой и хвостовой обтекатели сделали съемными. Горизонтальное оперение было </w:t>
      </w:r>
      <w:proofErr w:type="spellStart"/>
      <w:r w:rsidRPr="00A259BD">
        <w:rPr>
          <w:rFonts w:ascii="Times New Roman" w:hAnsi="Times New Roman"/>
          <w:color w:val="000000" w:themeColor="text1"/>
          <w:sz w:val="16"/>
          <w:szCs w:val="16"/>
        </w:rPr>
        <w:t>цельноповоротным</w:t>
      </w:r>
      <w:proofErr w:type="spellEnd"/>
      <w:r w:rsidRPr="00A259BD">
        <w:rPr>
          <w:rFonts w:ascii="Times New Roman" w:hAnsi="Times New Roman"/>
          <w:color w:val="000000" w:themeColor="text1"/>
          <w:sz w:val="16"/>
          <w:szCs w:val="16"/>
        </w:rPr>
        <w:t xml:space="preserve">. Вертикальный киль, как и другие органы управления, имел эллипсовидную форму. Испытания планера проводил летчик-испытатель завода </w:t>
      </w:r>
      <w:proofErr w:type="spellStart"/>
      <w:r w:rsidRPr="00A259BD">
        <w:rPr>
          <w:rFonts w:ascii="Times New Roman" w:hAnsi="Times New Roman"/>
          <w:color w:val="000000" w:themeColor="text1"/>
          <w:sz w:val="16"/>
          <w:szCs w:val="16"/>
        </w:rPr>
        <w:t>Л.А.Юнгмейстер</w:t>
      </w:r>
      <w:proofErr w:type="spellEnd"/>
      <w:r w:rsidRPr="00A259BD">
        <w:rPr>
          <w:rFonts w:ascii="Times New Roman" w:hAnsi="Times New Roman"/>
          <w:color w:val="000000" w:themeColor="text1"/>
          <w:sz w:val="16"/>
          <w:szCs w:val="16"/>
        </w:rPr>
        <w:t xml:space="preserve">. На 6-х Всесоюзных планерных соревнованиях пилот </w:t>
      </w:r>
      <w:proofErr w:type="spellStart"/>
      <w:r w:rsidRPr="00A259BD">
        <w:rPr>
          <w:rFonts w:ascii="Times New Roman" w:hAnsi="Times New Roman"/>
          <w:color w:val="000000" w:themeColor="text1"/>
          <w:sz w:val="16"/>
          <w:szCs w:val="16"/>
        </w:rPr>
        <w:t>Д.А.Кошиц</w:t>
      </w:r>
      <w:proofErr w:type="spellEnd"/>
      <w:r w:rsidRPr="00A259BD">
        <w:rPr>
          <w:rFonts w:ascii="Times New Roman" w:hAnsi="Times New Roman"/>
          <w:color w:val="000000" w:themeColor="text1"/>
          <w:sz w:val="16"/>
          <w:szCs w:val="16"/>
        </w:rPr>
        <w:t xml:space="preserve"> установил на “Грифе” два всесоюзных рекорда: на дальность-34,6 км и высоту полета-1520 метров. Неплохо “Гриф” летал и на 7-х Всесоюзных планерных состязаниях (9536,3).</w:t>
      </w:r>
    </w:p>
    <w:p w14:paraId="4CEB5B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C1D1B02" w14:textId="77777777" w:rsidR="00B03138" w:rsidRPr="00A259BD" w:rsidRDefault="00B0313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6 по 23 октября 1929 г. на 6-х Всесоюзных планерных соревнованиях одноместный рекордный «Гриф» стал одним из лучших по конструкции аппаратом.</w:t>
      </w:r>
    </w:p>
    <w:p w14:paraId="03A21138" w14:textId="77777777" w:rsidR="00B03138" w:rsidRPr="00A259BD" w:rsidRDefault="00B0313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Томашевич проектировал планер-паритель «Гриф» совместно с </w:t>
      </w:r>
      <w:proofErr w:type="spellStart"/>
      <w:r w:rsidRPr="00A259BD">
        <w:rPr>
          <w:rFonts w:ascii="Times New Roman" w:hAnsi="Times New Roman"/>
          <w:color w:val="000000" w:themeColor="text1"/>
          <w:sz w:val="16"/>
          <w:szCs w:val="16"/>
        </w:rPr>
        <w:t>Н.А.Жемчужиным</w:t>
      </w:r>
      <w:proofErr w:type="spellEnd"/>
      <w:r w:rsidRPr="00A259BD">
        <w:rPr>
          <w:rFonts w:ascii="Times New Roman" w:hAnsi="Times New Roman"/>
          <w:color w:val="000000" w:themeColor="text1"/>
          <w:sz w:val="16"/>
          <w:szCs w:val="16"/>
        </w:rPr>
        <w:t xml:space="preserve"> (впоследствии заместитель </w:t>
      </w:r>
      <w:proofErr w:type="spellStart"/>
      <w:r w:rsidRPr="00A259BD">
        <w:rPr>
          <w:rFonts w:ascii="Times New Roman" w:hAnsi="Times New Roman"/>
          <w:color w:val="000000" w:themeColor="text1"/>
          <w:sz w:val="16"/>
          <w:szCs w:val="16"/>
        </w:rPr>
        <w:t>Н.Н.Поликарпова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А.М.Сорочинским</w:t>
      </w:r>
      <w:proofErr w:type="spellEnd"/>
      <w:r w:rsidRPr="00A259BD">
        <w:rPr>
          <w:rFonts w:ascii="Times New Roman" w:hAnsi="Times New Roman"/>
          <w:color w:val="000000" w:themeColor="text1"/>
          <w:sz w:val="16"/>
          <w:szCs w:val="16"/>
        </w:rPr>
        <w:t xml:space="preserve"> нового. Его постройку удалось завершить в 1929 г. на заводе № 43.</w:t>
      </w:r>
    </w:p>
    <w:p w14:paraId="7B7B3DA0" w14:textId="77777777" w:rsidR="00B03138" w:rsidRPr="00A259BD" w:rsidRDefault="00B0313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схеме «Гриф» представлял собой свободнонесущий моноплан-парасоль с крылом эллиптической формы. Фюзеляж овального сечения в носовой части плавно переходил к круглому сечению в хвостовой. Для обеспечения удобного подхода к основным узлам планера носовой и хвостовой обтекатели сделали съемными. Горизонтальное оперение было </w:t>
      </w:r>
      <w:proofErr w:type="spellStart"/>
      <w:r w:rsidRPr="00A259BD">
        <w:rPr>
          <w:rFonts w:ascii="Times New Roman" w:hAnsi="Times New Roman"/>
          <w:color w:val="000000" w:themeColor="text1"/>
          <w:sz w:val="16"/>
          <w:szCs w:val="16"/>
        </w:rPr>
        <w:t>цельноповоротным</w:t>
      </w:r>
      <w:proofErr w:type="spellEnd"/>
      <w:r w:rsidRPr="00A259BD">
        <w:rPr>
          <w:rFonts w:ascii="Times New Roman" w:hAnsi="Times New Roman"/>
          <w:color w:val="000000" w:themeColor="text1"/>
          <w:sz w:val="16"/>
          <w:szCs w:val="16"/>
        </w:rPr>
        <w:t xml:space="preserve">. Вертикальный киль, как и другие органы управления, имел эллипсовидную форму. Испытания планера проводил летчик-испытатель завода </w:t>
      </w:r>
      <w:proofErr w:type="spellStart"/>
      <w:r w:rsidRPr="00A259BD">
        <w:rPr>
          <w:rFonts w:ascii="Times New Roman" w:hAnsi="Times New Roman"/>
          <w:color w:val="000000" w:themeColor="text1"/>
          <w:sz w:val="16"/>
          <w:szCs w:val="16"/>
        </w:rPr>
        <w:t>Л.А.Юнгмейстер</w:t>
      </w:r>
      <w:proofErr w:type="spellEnd"/>
      <w:r w:rsidRPr="00A259BD">
        <w:rPr>
          <w:rFonts w:ascii="Times New Roman" w:hAnsi="Times New Roman"/>
          <w:color w:val="000000" w:themeColor="text1"/>
          <w:sz w:val="16"/>
          <w:szCs w:val="16"/>
        </w:rPr>
        <w:t xml:space="preserve">. На 6-х Всесоюзных планерных соревнованиях пилот </w:t>
      </w:r>
      <w:proofErr w:type="spellStart"/>
      <w:r w:rsidRPr="00A259BD">
        <w:rPr>
          <w:rFonts w:ascii="Times New Roman" w:hAnsi="Times New Roman"/>
          <w:color w:val="000000" w:themeColor="text1"/>
          <w:sz w:val="16"/>
          <w:szCs w:val="16"/>
        </w:rPr>
        <w:t>Д.А.Кошиц</w:t>
      </w:r>
      <w:proofErr w:type="spellEnd"/>
      <w:r w:rsidRPr="00A259BD">
        <w:rPr>
          <w:rFonts w:ascii="Times New Roman" w:hAnsi="Times New Roman"/>
          <w:color w:val="000000" w:themeColor="text1"/>
          <w:sz w:val="16"/>
          <w:szCs w:val="16"/>
        </w:rPr>
        <w:t xml:space="preserve"> установил на «Грифе» два всесоюзных рекорда: на дальность-34,6 км и высоту полета- 1520 метров. Неплохо «Гриф» летал и на 7-х Всесоюзных планерных состязаниях. (18254)</w:t>
      </w:r>
    </w:p>
    <w:p w14:paraId="41F80A60" w14:textId="77777777" w:rsidR="00B03138" w:rsidRPr="00A259BD" w:rsidRDefault="00B03138" w:rsidP="009236E3">
      <w:pPr>
        <w:spacing w:after="0" w:line="240" w:lineRule="auto"/>
        <w:jc w:val="both"/>
        <w:rPr>
          <w:rFonts w:ascii="Times New Roman" w:hAnsi="Times New Roman"/>
          <w:color w:val="000000" w:themeColor="text1"/>
          <w:sz w:val="16"/>
          <w:szCs w:val="16"/>
        </w:rPr>
      </w:pPr>
    </w:p>
    <w:p w14:paraId="63B2EA67" w14:textId="77777777" w:rsidR="00CA48A0" w:rsidRPr="00A259BD" w:rsidRDefault="00CA48A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6 по 11 октября 1929 г. аппарат БИЧ-9 был представлен на 6-е планерные состя</w:t>
      </w:r>
      <w:r w:rsidRPr="00A259BD">
        <w:rPr>
          <w:rFonts w:ascii="Times New Roman" w:hAnsi="Times New Roman"/>
          <w:color w:val="000000" w:themeColor="text1"/>
          <w:sz w:val="16"/>
          <w:szCs w:val="16"/>
        </w:rPr>
        <w:softHyphen/>
        <w:t xml:space="preserve">зания в Коктебеле. Летчик В.А. Степан- </w:t>
      </w:r>
      <w:proofErr w:type="spellStart"/>
      <w:r w:rsidRPr="00A259BD">
        <w:rPr>
          <w:rFonts w:ascii="Times New Roman" w:hAnsi="Times New Roman"/>
          <w:color w:val="000000" w:themeColor="text1"/>
          <w:sz w:val="16"/>
          <w:szCs w:val="16"/>
        </w:rPr>
        <w:t>чонок</w:t>
      </w:r>
      <w:proofErr w:type="spellEnd"/>
      <w:r w:rsidRPr="00A259BD">
        <w:rPr>
          <w:rFonts w:ascii="Times New Roman" w:hAnsi="Times New Roman"/>
          <w:color w:val="000000" w:themeColor="text1"/>
          <w:sz w:val="16"/>
          <w:szCs w:val="16"/>
        </w:rPr>
        <w:t xml:space="preserve"> выполнил на нем 3 полета общей продолжительностью 17 мин. Макси</w:t>
      </w:r>
      <w:r w:rsidRPr="00A259BD">
        <w:rPr>
          <w:rFonts w:ascii="Times New Roman" w:hAnsi="Times New Roman"/>
          <w:color w:val="000000" w:themeColor="text1"/>
          <w:sz w:val="16"/>
          <w:szCs w:val="16"/>
        </w:rPr>
        <w:softHyphen/>
        <w:t>мальная достигнутая высота составила 100 м. Отмечалась неудачная центровка и недостаточная эффективность элеро</w:t>
      </w:r>
      <w:r w:rsidRPr="00A259BD">
        <w:rPr>
          <w:rFonts w:ascii="Times New Roman" w:hAnsi="Times New Roman"/>
          <w:color w:val="000000" w:themeColor="text1"/>
          <w:sz w:val="16"/>
          <w:szCs w:val="16"/>
        </w:rPr>
        <w:softHyphen/>
        <w:t>нов. Утверждалось, что после устране</w:t>
      </w:r>
      <w:r w:rsidRPr="00A259BD">
        <w:rPr>
          <w:rFonts w:ascii="Times New Roman" w:hAnsi="Times New Roman"/>
          <w:color w:val="000000" w:themeColor="text1"/>
          <w:sz w:val="16"/>
          <w:szCs w:val="16"/>
        </w:rPr>
        <w:softHyphen/>
        <w:t>ния этих недостатков «Гном» покажет неплохие результаты.</w:t>
      </w:r>
    </w:p>
    <w:p w14:paraId="61D74FFA" w14:textId="77777777" w:rsidR="00CA48A0" w:rsidRPr="00A259BD" w:rsidRDefault="00CA48A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Этот планер, выполненный по нор</w:t>
      </w:r>
      <w:r w:rsidRPr="00A259BD">
        <w:rPr>
          <w:rFonts w:ascii="Times New Roman" w:hAnsi="Times New Roman"/>
          <w:color w:val="000000" w:themeColor="text1"/>
          <w:sz w:val="16"/>
          <w:szCs w:val="16"/>
        </w:rPr>
        <w:softHyphen/>
        <w:t>мальной схеме, в некотором смысле повторил более ранние АВФ-12 образ</w:t>
      </w:r>
      <w:r w:rsidRPr="00A259BD">
        <w:rPr>
          <w:rFonts w:ascii="Times New Roman" w:hAnsi="Times New Roman"/>
          <w:color w:val="000000" w:themeColor="text1"/>
          <w:sz w:val="16"/>
          <w:szCs w:val="16"/>
        </w:rPr>
        <w:softHyphen/>
        <w:t>ца 1924 г. и БИЧ-6 образца 1927 г. От</w:t>
      </w:r>
      <w:r w:rsidRPr="00A259BD">
        <w:rPr>
          <w:rFonts w:ascii="Times New Roman" w:hAnsi="Times New Roman"/>
          <w:color w:val="000000" w:themeColor="text1"/>
          <w:sz w:val="16"/>
          <w:szCs w:val="16"/>
        </w:rPr>
        <w:softHyphen/>
        <w:t>личался малыми размерами, отсюда и его название - «Гном». БИЧ-9, который построили в 1929 г. на средства мос</w:t>
      </w:r>
      <w:r w:rsidRPr="00A259BD">
        <w:rPr>
          <w:rFonts w:ascii="Times New Roman" w:hAnsi="Times New Roman"/>
          <w:color w:val="000000" w:themeColor="text1"/>
          <w:sz w:val="16"/>
          <w:szCs w:val="16"/>
        </w:rPr>
        <w:softHyphen/>
        <w:t>ковского Осоавиахима, предполагался как рекордный паритель.</w:t>
      </w:r>
    </w:p>
    <w:p w14:paraId="1C240C81" w14:textId="77777777" w:rsidR="00CA48A0" w:rsidRPr="00A259BD" w:rsidRDefault="00CA48A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планера «Гном» име</w:t>
      </w:r>
      <w:r w:rsidRPr="00A259BD">
        <w:rPr>
          <w:rFonts w:ascii="Times New Roman" w:hAnsi="Times New Roman"/>
          <w:color w:val="000000" w:themeColor="text1"/>
          <w:sz w:val="16"/>
          <w:szCs w:val="16"/>
        </w:rPr>
        <w:softHyphen/>
        <w:t>ет смысл упомянуть его оригинальную окраску в виде небольших многоуголь</w:t>
      </w:r>
      <w:r w:rsidRPr="00A259BD">
        <w:rPr>
          <w:rFonts w:ascii="Times New Roman" w:hAnsi="Times New Roman"/>
          <w:color w:val="000000" w:themeColor="text1"/>
          <w:sz w:val="16"/>
          <w:szCs w:val="16"/>
        </w:rPr>
        <w:softHyphen/>
        <w:t xml:space="preserve">ников неправильной формы, которая </w:t>
      </w:r>
      <w:r w:rsidRPr="00A259BD">
        <w:rPr>
          <w:rStyle w:val="135pt70"/>
          <w:rFonts w:ascii="Times New Roman" w:hAnsi="Times New Roman" w:cs="Times New Roman"/>
          <w:b w:val="0"/>
          <w:color w:val="000000" w:themeColor="text1"/>
          <w:w w:val="100"/>
          <w:sz w:val="16"/>
          <w:szCs w:val="16"/>
        </w:rPr>
        <w:t>напоминала немецкий камуфляж вре</w:t>
      </w:r>
      <w:r w:rsidRPr="00A259BD">
        <w:rPr>
          <w:rStyle w:val="135pt70"/>
          <w:rFonts w:ascii="Times New Roman" w:hAnsi="Times New Roman" w:cs="Times New Roman"/>
          <w:b w:val="0"/>
          <w:color w:val="000000" w:themeColor="text1"/>
          <w:w w:val="100"/>
          <w:sz w:val="16"/>
          <w:szCs w:val="16"/>
        </w:rPr>
        <w:softHyphen/>
      </w:r>
      <w:r w:rsidRPr="00A259BD">
        <w:rPr>
          <w:rFonts w:ascii="Times New Roman" w:hAnsi="Times New Roman"/>
          <w:color w:val="000000" w:themeColor="text1"/>
          <w:sz w:val="16"/>
          <w:szCs w:val="16"/>
        </w:rPr>
        <w:t xml:space="preserve">мен Первой мировой войны. Подобным </w:t>
      </w:r>
      <w:bookmarkStart w:id="86" w:name="bookmark11"/>
      <w:r w:rsidRPr="00A259BD">
        <w:rPr>
          <w:rFonts w:ascii="Times New Roman" w:hAnsi="Times New Roman"/>
          <w:color w:val="000000" w:themeColor="text1"/>
          <w:sz w:val="16"/>
          <w:szCs w:val="16"/>
        </w:rPr>
        <w:t>образом был также окрашен самолет</w:t>
      </w:r>
      <w:bookmarkEnd w:id="86"/>
      <w:r w:rsidRPr="00A259BD">
        <w:rPr>
          <w:rFonts w:ascii="Times New Roman" w:hAnsi="Times New Roman"/>
          <w:color w:val="000000" w:themeColor="text1"/>
          <w:sz w:val="16"/>
          <w:szCs w:val="16"/>
        </w:rPr>
        <w:t xml:space="preserve"> БИЧ-7 (17473).</w:t>
      </w:r>
    </w:p>
    <w:p w14:paraId="2E006CCF" w14:textId="77777777" w:rsidR="00CA48A0" w:rsidRPr="00A259BD" w:rsidRDefault="00CA48A0" w:rsidP="009236E3">
      <w:pPr>
        <w:spacing w:after="0" w:line="240" w:lineRule="auto"/>
        <w:jc w:val="both"/>
        <w:rPr>
          <w:rFonts w:ascii="Times New Roman" w:hAnsi="Times New Roman"/>
          <w:color w:val="000000" w:themeColor="text1"/>
          <w:sz w:val="16"/>
          <w:szCs w:val="16"/>
        </w:rPr>
      </w:pPr>
    </w:p>
    <w:p w14:paraId="615B00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6-8 октября 1929 состоялись первые в СССР опытные полеты по уничтожению личинок малярийного комара порошкообразными ядами путем опыления водоемов. Организовали Осоавиахим и Наркомздрав с Наркомземом. Летал л Добролета </w:t>
      </w:r>
      <w:proofErr w:type="spellStart"/>
      <w:r w:rsidRPr="00A259BD">
        <w:rPr>
          <w:rFonts w:ascii="Times New Roman" w:hAnsi="Times New Roman"/>
          <w:color w:val="000000" w:themeColor="text1"/>
          <w:sz w:val="16"/>
          <w:szCs w:val="16"/>
        </w:rPr>
        <w:t>Н.К.Турицын</w:t>
      </w:r>
      <w:proofErr w:type="spellEnd"/>
      <w:r w:rsidRPr="00A259BD">
        <w:rPr>
          <w:rFonts w:ascii="Times New Roman" w:hAnsi="Times New Roman"/>
          <w:color w:val="000000" w:themeColor="text1"/>
          <w:sz w:val="16"/>
          <w:szCs w:val="16"/>
        </w:rPr>
        <w:t xml:space="preserve"> на Коньке-Горбунке над торфяными болотами в районе ст. Храпунова Московско-Нижегородской ж/д. (438,602).</w:t>
      </w:r>
    </w:p>
    <w:p w14:paraId="7B354D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F79036" w14:textId="77777777" w:rsidR="003D3BC7"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2644B80" w14:textId="77777777" w:rsidR="003D3BC7" w:rsidRPr="00A259BD"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B125D8" w14:textId="77777777" w:rsidR="003D3BC7" w:rsidRPr="00A259BD" w:rsidRDefault="003D3BC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октября 1929 в Ленинграде открыт первый в стране звуковой кинотеатр на 300 зрителей. И слушателей (12629).</w:t>
      </w:r>
    </w:p>
    <w:p w14:paraId="3305C016" w14:textId="77777777" w:rsidR="003D3BC7" w:rsidRPr="00A259BD"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D332ED" w14:textId="77777777" w:rsidR="00F658D1" w:rsidRPr="00A259BD" w:rsidRDefault="00F658D1"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A559BDF" w14:textId="77777777" w:rsidR="00F658D1" w:rsidRPr="00A259BD" w:rsidRDefault="00F658D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7CB5A31" w14:textId="77777777" w:rsidR="00F658D1" w:rsidRPr="00A259BD" w:rsidRDefault="00F658D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октября 1929 Inter-Island Airways - будущая компания </w:t>
      </w:r>
      <w:proofErr w:type="spellStart"/>
      <w:r w:rsidRPr="00A259BD">
        <w:rPr>
          <w:rFonts w:ascii="Times New Roman" w:hAnsi="Times New Roman"/>
          <w:color w:val="000000" w:themeColor="text1"/>
          <w:sz w:val="16"/>
          <w:szCs w:val="16"/>
        </w:rPr>
        <w:t>Hawaiian</w:t>
      </w:r>
      <w:proofErr w:type="spellEnd"/>
      <w:r w:rsidRPr="00A259BD">
        <w:rPr>
          <w:rFonts w:ascii="Times New Roman" w:hAnsi="Times New Roman"/>
          <w:color w:val="000000" w:themeColor="text1"/>
          <w:sz w:val="16"/>
          <w:szCs w:val="16"/>
        </w:rPr>
        <w:t xml:space="preserve"> Airlines - начинает свою деятельность (20806).</w:t>
      </w:r>
    </w:p>
    <w:p w14:paraId="7F50091A" w14:textId="77777777" w:rsidR="00F658D1" w:rsidRPr="00A259BD" w:rsidRDefault="00F658D1" w:rsidP="009236E3">
      <w:pPr>
        <w:spacing w:after="0" w:line="240" w:lineRule="auto"/>
        <w:jc w:val="both"/>
        <w:rPr>
          <w:rFonts w:ascii="Times New Roman" w:hAnsi="Times New Roman"/>
          <w:color w:val="000000" w:themeColor="text1"/>
          <w:sz w:val="16"/>
          <w:szCs w:val="16"/>
        </w:rPr>
      </w:pPr>
    </w:p>
    <w:p w14:paraId="7EA6E62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3D76D8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A91E9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октября 1929 года командир 15 авиабригады ст. Военный летчик Лопатин писал письмо № 2275с начальнику ВВС, начальнику НИИ УВВС, начальнику УСС УВВС, начальнику ВВС БВО.</w:t>
      </w:r>
    </w:p>
    <w:p w14:paraId="2AC421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результатах эксплуатационных испытаний в частях авиабригады опытной партии самолетов И-3 БМВ-VI.</w:t>
      </w:r>
    </w:p>
    <w:p w14:paraId="413ED5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в части 15 авиабригады для испытаний получено 9 самолетов И-3 БМВ-VI.</w:t>
      </w:r>
    </w:p>
    <w:p w14:paraId="229ED3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окончено 6 октября 1929 года.</w:t>
      </w:r>
    </w:p>
    <w:p w14:paraId="421A39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время испытаний не было получено ни одной запчасти к самолетам и моторам. ……… поэтому часть самолетов пришлось сразу снять с испытаний и пустить на запчасти для остальных.</w:t>
      </w:r>
    </w:p>
    <w:p w14:paraId="0318FC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последней причине самолеты №№ 3833 и 3823 почти сразу вышли из эксплуатации и число испытываемых машин снизилось до 7 (7494, 49-52).</w:t>
      </w:r>
    </w:p>
    <w:p w14:paraId="70971E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17D7716" w14:textId="77777777" w:rsidR="00680785" w:rsidRPr="00441F34" w:rsidRDefault="00680785" w:rsidP="0068078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 октября 1929 г. командир 15-й авиабригады ст. военный летчик Лопатин письмом №2275с доложил о результатах войсковых испытаний 12 И-3 начальнику ВВС, начальнику НИИ УВВС, начальнику УСС УВВС и начальнику ВВС БВО, обратив внимание на выход из строя двух самолетов.</w:t>
      </w:r>
    </w:p>
    <w:p w14:paraId="654E47CE" w14:textId="77777777" w:rsidR="00680785" w:rsidRPr="00441F34" w:rsidRDefault="00680785" w:rsidP="0068078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8 октября 1929 г. результаты войсковых испытаний И-3 обсуждены на заседании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(протокол №4) (24887).</w:t>
      </w:r>
    </w:p>
    <w:p w14:paraId="07258840" w14:textId="77777777" w:rsidR="00680785" w:rsidRPr="00441F34" w:rsidRDefault="00680785" w:rsidP="00680785">
      <w:pPr>
        <w:spacing w:after="0" w:line="240" w:lineRule="auto"/>
        <w:jc w:val="both"/>
        <w:rPr>
          <w:rFonts w:ascii="Times New Roman" w:hAnsi="Times New Roman"/>
          <w:color w:val="0070C0"/>
          <w:sz w:val="16"/>
          <w:szCs w:val="16"/>
        </w:rPr>
      </w:pPr>
    </w:p>
    <w:p w14:paraId="7088916D" w14:textId="77777777" w:rsidR="0065509C" w:rsidRPr="00A259BD" w:rsidRDefault="0065509C" w:rsidP="009236E3">
      <w:pPr>
        <w:spacing w:after="0" w:line="240" w:lineRule="auto"/>
        <w:jc w:val="both"/>
        <w:rPr>
          <w:rStyle w:val="ucoz-forum-post"/>
          <w:rFonts w:ascii="Times New Roman" w:eastAsiaTheme="majorEastAsia"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7 октября 1929 года</w:t>
      </w:r>
      <w:r w:rsidRPr="00A259BD">
        <w:rPr>
          <w:rStyle w:val="ucoz-forum-post"/>
          <w:rFonts w:ascii="Times New Roman" w:eastAsiaTheme="majorEastAsia" w:hAnsi="Times New Roman"/>
          <w:color w:val="000000" w:themeColor="text1"/>
          <w:sz w:val="16"/>
          <w:szCs w:val="16"/>
        </w:rPr>
        <w:t xml:space="preserve"> Основано Севастопольское авиационное предприятие (сначала как авиационные мастерские по мелкому ремонту французских гидросамолетов) (14792).</w:t>
      </w:r>
    </w:p>
    <w:p w14:paraId="424004E6" w14:textId="77777777" w:rsidR="0065509C" w:rsidRPr="00A259BD" w:rsidRDefault="0065509C" w:rsidP="009236E3">
      <w:pPr>
        <w:spacing w:after="0" w:line="240" w:lineRule="auto"/>
        <w:jc w:val="both"/>
        <w:rPr>
          <w:rStyle w:val="ucoz-forum-post"/>
          <w:rFonts w:ascii="Times New Roman" w:eastAsiaTheme="majorEastAsia" w:hAnsi="Times New Roman"/>
          <w:color w:val="000000" w:themeColor="text1"/>
          <w:sz w:val="16"/>
          <w:szCs w:val="16"/>
        </w:rPr>
      </w:pPr>
    </w:p>
    <w:p w14:paraId="2D08C09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3D18DA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33A1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октября 1929 года Евдокимов докладывает Сталину о вредительской контрреволюционной организации в Грозненской нефтепромышленности. Чуть позже Ягода сообщает Сталину, Орджоникидзе, Ворошилову о том, что арестованный профессор горной Академии бывший старший директор нефтяного директората ВСНХ СССР и Председатель научно-технического совета нефтяной промышленности Струков Иван Николаевич, арестованный 1 июня 1929 года по обвинению во вредительстве сознался 5 февраля 1930 года в руководстве контрреволюционной организации в нефтяной промышленности. Человеку понадобилось восемь месяцев, чтобы вспомнить о якобы совершенных им преступлениях (11248).</w:t>
      </w:r>
    </w:p>
    <w:p w14:paraId="2CBAF1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D3418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3586257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65955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и 8 октября 1929 в ходе конфликта на КВДЖ МР-1 выполнили несколько разведывательных полетов (6594, 16).</w:t>
      </w:r>
    </w:p>
    <w:p w14:paraId="5C274E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AFFAD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октября 1929 г. начальник штаба ОДВА Лапин, который прилетел в Михайло-Семёновское из Хабаровска на МР-1, через некоторое время лично осуществил разведку и рекогносцировку района проведения будущей операции. В тот же день для выполнения аналогичной задачи поднялся в воздух еще один самолет МР-1, на борту которого находился командующий Амурской флотилией Озолин.</w:t>
      </w:r>
    </w:p>
    <w:p w14:paraId="6DBE90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и 8 октября 1929 самолеты 68-го авиационного отряда произвели разведку устья Сунгари, выполнили маршрутную и перспективную аэрофотосъемку (9978).</w:t>
      </w:r>
    </w:p>
    <w:p w14:paraId="42BCE0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948B1BE" w14:textId="77777777" w:rsidR="00F658D1" w:rsidRPr="00A259BD" w:rsidRDefault="00F658D1"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4D77F46" w14:textId="77777777" w:rsidR="00F658D1" w:rsidRPr="00A259BD" w:rsidRDefault="00F658D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26E231E" w14:textId="77777777" w:rsidR="00F658D1" w:rsidRPr="00A259BD" w:rsidRDefault="00F658D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октября 1929 авиаперевозчик </w:t>
      </w:r>
      <w:proofErr w:type="spellStart"/>
      <w:r w:rsidRPr="00A259BD">
        <w:rPr>
          <w:rFonts w:ascii="Times New Roman" w:hAnsi="Times New Roman"/>
          <w:color w:val="000000" w:themeColor="text1"/>
          <w:sz w:val="16"/>
          <w:szCs w:val="16"/>
        </w:rPr>
        <w:t>Aeroput</w:t>
      </w:r>
      <w:proofErr w:type="spellEnd"/>
      <w:r w:rsidRPr="00A259BD">
        <w:rPr>
          <w:rFonts w:ascii="Times New Roman" w:hAnsi="Times New Roman"/>
          <w:color w:val="000000" w:themeColor="text1"/>
          <w:sz w:val="16"/>
          <w:szCs w:val="16"/>
        </w:rPr>
        <w:t xml:space="preserve"> Королевства Югославии выполняет свой первый международный рейс, полет </w:t>
      </w:r>
      <w:proofErr w:type="spellStart"/>
      <w:r w:rsidRPr="00A259BD">
        <w:rPr>
          <w:rFonts w:ascii="Times New Roman" w:hAnsi="Times New Roman"/>
          <w:color w:val="000000" w:themeColor="text1"/>
          <w:sz w:val="16"/>
          <w:szCs w:val="16"/>
        </w:rPr>
        <w:t>Potez</w:t>
      </w:r>
      <w:proofErr w:type="spellEnd"/>
      <w:r w:rsidRPr="00A259BD">
        <w:rPr>
          <w:rFonts w:ascii="Times New Roman" w:hAnsi="Times New Roman"/>
          <w:color w:val="000000" w:themeColor="text1"/>
          <w:sz w:val="16"/>
          <w:szCs w:val="16"/>
        </w:rPr>
        <w:t xml:space="preserve"> 29/2 из Белграда, Югославии, в Вену, Австрия, через Загреб, Югославия, с пятью пассажирами на борту (20806).</w:t>
      </w:r>
    </w:p>
    <w:p w14:paraId="7645F1FD" w14:textId="77777777" w:rsidR="00F658D1" w:rsidRPr="00A259BD" w:rsidRDefault="00F658D1" w:rsidP="009236E3">
      <w:pPr>
        <w:spacing w:after="0" w:line="240" w:lineRule="auto"/>
        <w:jc w:val="both"/>
        <w:rPr>
          <w:rFonts w:ascii="Times New Roman" w:hAnsi="Times New Roman"/>
          <w:color w:val="000000" w:themeColor="text1"/>
          <w:sz w:val="16"/>
          <w:szCs w:val="16"/>
        </w:rPr>
      </w:pPr>
    </w:p>
    <w:p w14:paraId="62EAF57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AD77AF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7946F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октября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4) и обсуждали вопросы об испытании И-3 (Н.Н.П.), о доп. заказе на Р-1 и о программе по Р-5 на текущий год (хотели дать заказ только после войсковых испытаний 15 машин) (2367,2).</w:t>
      </w:r>
    </w:p>
    <w:p w14:paraId="4495D0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61532F" w14:textId="77777777" w:rsidR="00680785" w:rsidRPr="00441F34" w:rsidRDefault="00680785" w:rsidP="0068078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8 октября 1929 г. результаты войсковых испытаний 12 И-3 обсуждены на заседании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(протокол №4) (24887).</w:t>
      </w:r>
    </w:p>
    <w:p w14:paraId="73C0F428" w14:textId="77777777" w:rsidR="00680785" w:rsidRPr="00441F34" w:rsidRDefault="00680785" w:rsidP="00680785">
      <w:pPr>
        <w:spacing w:after="0" w:line="240" w:lineRule="auto"/>
        <w:jc w:val="both"/>
        <w:rPr>
          <w:rFonts w:ascii="Times New Roman" w:hAnsi="Times New Roman"/>
          <w:color w:val="0070C0"/>
          <w:sz w:val="16"/>
          <w:szCs w:val="16"/>
        </w:rPr>
      </w:pPr>
    </w:p>
    <w:p w14:paraId="42707C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октября 1929 г. военные заказали серию из 15 самолетов Р-5 для войсковых испытаний, а 11 октября приняли решение о массовом производстве Р-5. 17 ноября последовал другой заказ на такое же количество машин. Первый предстояло выполнить к 1 апреля 1930 г., второй - к 1 июня. Производство развертывали на заводе № 1 в Москве (11936).</w:t>
      </w:r>
    </w:p>
    <w:p w14:paraId="70543CAA" w14:textId="77777777" w:rsidR="002F1B1C" w:rsidRPr="00A259BD" w:rsidRDefault="002F1B1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A83134" w14:textId="77777777" w:rsidR="002F1B1C"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1748403" w14:textId="77777777" w:rsidR="002F1B1C" w:rsidRPr="00A259BD" w:rsidRDefault="002F1B1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F9450C" w14:textId="77777777" w:rsidR="002F1B1C" w:rsidRPr="00A259BD" w:rsidRDefault="002F1B1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октября 1929 г. Выписка из протокола заседания Президиума ВСНХ СССР о создании Комиссии по проверке импортных заявок ГВПУ и МПУ (РГАЭ. Ф. 3429. Оп. 6. Д. 193. Л. 1). (РГАЭ. Ф. 3429. Оп. 1. Д. 5162. Л. 168) (12417).</w:t>
      </w:r>
    </w:p>
    <w:p w14:paraId="5EDAD505" w14:textId="77777777" w:rsidR="002F1B1C" w:rsidRPr="00A259BD" w:rsidRDefault="002F1B1C" w:rsidP="009236E3">
      <w:pPr>
        <w:spacing w:after="0" w:line="240" w:lineRule="auto"/>
        <w:jc w:val="both"/>
        <w:rPr>
          <w:rFonts w:ascii="Times New Roman" w:hAnsi="Times New Roman"/>
          <w:color w:val="000000" w:themeColor="text1"/>
          <w:sz w:val="16"/>
          <w:szCs w:val="16"/>
        </w:rPr>
      </w:pPr>
    </w:p>
    <w:p w14:paraId="0C2AFDCE" w14:textId="77777777" w:rsidR="00850ACF" w:rsidRPr="00A259BD" w:rsidRDefault="00850ACF"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eastAsia="Times New Roman" w:hAnsi="Times New Roman"/>
          <w:color w:val="000000" w:themeColor="text1"/>
          <w:sz w:val="16"/>
          <w:szCs w:val="16"/>
          <w:lang w:eastAsia="ru-RU"/>
        </w:rPr>
        <w:t xml:space="preserve">8 октября 1929 года, состоялась торжественная закладка </w:t>
      </w:r>
      <w:r w:rsidRPr="00A259BD">
        <w:rPr>
          <w:rFonts w:ascii="Times New Roman" w:hAnsi="Times New Roman"/>
          <w:color w:val="000000" w:themeColor="text1"/>
          <w:sz w:val="16"/>
          <w:szCs w:val="16"/>
        </w:rPr>
        <w:t>и началось строительство Новокраматорского машиностроительного завода (НКМЗ). А семьдесят пять лет назад.</w:t>
      </w:r>
    </w:p>
    <w:p w14:paraId="68578B45" w14:textId="77777777" w:rsidR="00850ACF" w:rsidRPr="00A259BD" w:rsidRDefault="00850ACF"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10 февраля 1931 года - запущен цех металлоконструкций. </w:t>
      </w:r>
    </w:p>
    <w:p w14:paraId="0186C231" w14:textId="77777777" w:rsidR="00850ACF" w:rsidRPr="00A259BD" w:rsidRDefault="00850ACF"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июле 1932 года - вступили в строй инструментальный и ремонтно-механический цехи. </w:t>
      </w:r>
    </w:p>
    <w:p w14:paraId="29D48966" w14:textId="77777777" w:rsidR="00850ACF" w:rsidRPr="00A259BD" w:rsidRDefault="00850ACF"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Затем были построены крупнейшие в Европе чугунолитейный и модельный цехи. Сдана в эксплуатации кислородная станция. В декабре 1932 года - сдан в эксплуатацию механический цех «Б», введена в работу центральная распределительная подстанция. </w:t>
      </w:r>
    </w:p>
    <w:p w14:paraId="59A7DF5A" w14:textId="77777777" w:rsidR="00850ACF" w:rsidRPr="00A259BD" w:rsidRDefault="00850ACF"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1933 году построены сталелитейный (мартеновский), </w:t>
      </w:r>
      <w:proofErr w:type="spellStart"/>
      <w:r w:rsidRPr="00A259BD">
        <w:rPr>
          <w:rFonts w:ascii="Times New Roman" w:eastAsia="Times New Roman" w:hAnsi="Times New Roman"/>
          <w:color w:val="000000" w:themeColor="text1"/>
          <w:sz w:val="16"/>
          <w:szCs w:val="16"/>
          <w:lang w:eastAsia="ru-RU"/>
        </w:rPr>
        <w:t>фасоннолитейный</w:t>
      </w:r>
      <w:proofErr w:type="spellEnd"/>
      <w:r w:rsidRPr="00A259BD">
        <w:rPr>
          <w:rFonts w:ascii="Times New Roman" w:eastAsia="Times New Roman" w:hAnsi="Times New Roman"/>
          <w:color w:val="000000" w:themeColor="text1"/>
          <w:sz w:val="16"/>
          <w:szCs w:val="16"/>
          <w:lang w:eastAsia="ru-RU"/>
        </w:rPr>
        <w:t xml:space="preserve"> и транспортный цехи, газогенераторная станция, запущен в эксплуатацию кузнечный цех №1, вступил в строй механосборочный цех «А». </w:t>
      </w:r>
    </w:p>
    <w:p w14:paraId="1830681C" w14:textId="77777777" w:rsidR="00850ACF" w:rsidRPr="00A259BD" w:rsidRDefault="00850ACF"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17 сентября 1934 года, нарком тяжелой промышленности Серго Орджоникидзе подписал приказ по Народному комиссариату тяжёлой промышленности о зачислении Новокраматорского машиностроительного завода в список действующих предприятий. </w:t>
      </w:r>
    </w:p>
    <w:p w14:paraId="1416C541" w14:textId="77777777" w:rsidR="00850ACF" w:rsidRPr="00A259BD" w:rsidRDefault="00850ACF"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28 сентября 1934 года, состоялся официальный пуск завода. </w:t>
      </w:r>
    </w:p>
    <w:p w14:paraId="489A023D" w14:textId="77777777" w:rsidR="00850ACF" w:rsidRPr="00A259BD" w:rsidRDefault="00850ACF" w:rsidP="009236E3">
      <w:pPr>
        <w:spacing w:after="0" w:line="240" w:lineRule="auto"/>
        <w:jc w:val="both"/>
        <w:rPr>
          <w:rFonts w:ascii="Times New Roman" w:hAnsi="Times New Roman"/>
          <w:iCs/>
          <w:color w:val="000000" w:themeColor="text1"/>
          <w:sz w:val="16"/>
          <w:szCs w:val="16"/>
        </w:rPr>
      </w:pPr>
      <w:r w:rsidRPr="00A259BD">
        <w:rPr>
          <w:rFonts w:ascii="Times New Roman" w:eastAsia="Times New Roman" w:hAnsi="Times New Roman"/>
          <w:color w:val="000000" w:themeColor="text1"/>
          <w:sz w:val="16"/>
          <w:szCs w:val="16"/>
          <w:lang w:eastAsia="ru-RU"/>
        </w:rPr>
        <w:t>Завод изначально был сориентирован на изготовление уникальных машин и оборудования, впервые производимых в стране, а зачастую и в мире. На НКМЗ были изготовлены первый в Европе мощный слябинг и гигантский, по тем временам, непрерывный тонколистовой широкополосный прокатный стан для завода «Запорожсталь». Портальные краны оригинальной конструкции для канала Москва-Волга и сталеразливочные краны для металлургических предприятий, подъемные машины для шахт Донбасса, оборудование для Московского метрополитена, ажурные пролеты Крымского моста в Москве</w:t>
      </w:r>
      <w:r w:rsidRPr="00A259BD">
        <w:rPr>
          <w:rFonts w:ascii="Times New Roman" w:hAnsi="Times New Roman"/>
          <w:color w:val="000000" w:themeColor="text1"/>
          <w:sz w:val="16"/>
          <w:szCs w:val="16"/>
        </w:rPr>
        <w:t xml:space="preserve"> (17228).</w:t>
      </w:r>
    </w:p>
    <w:p w14:paraId="5754BDC4" w14:textId="77777777" w:rsidR="00850ACF" w:rsidRPr="00A259BD" w:rsidRDefault="00850AC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900FFB6"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lastRenderedPageBreak/>
        <w:t>За рубежом:</w:t>
      </w:r>
    </w:p>
    <w:p w14:paraId="665EDE7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088F3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октября 1929 войска Мухаммеда Надир-Шаха взяли Кабул (3481).</w:t>
      </w:r>
    </w:p>
    <w:p w14:paraId="00E74E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4AC6CC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5D6CC2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C6253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октября 1929 состоялось совещание представителей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УВВС, завода 22, 39 по вопросу организации на заводах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ремонта металлических самолетов, чертежах и спецификациях заграничных самолетов и др. (2367,21).</w:t>
      </w:r>
    </w:p>
    <w:p w14:paraId="233B67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EDF6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октября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5) и обсуждали вопросы о выполнении программы за 28/29, о поездке за границу, о выполнении постановлений Правления и т.п. (2367,16).</w:t>
      </w:r>
    </w:p>
    <w:p w14:paraId="1C1877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A6D83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28C2664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4DA0A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октября 1929 на минном заградителе “Сильный” были </w:t>
      </w:r>
      <w:proofErr w:type="spellStart"/>
      <w:r w:rsidRPr="00A259BD">
        <w:rPr>
          <w:rFonts w:ascii="Times New Roman" w:hAnsi="Times New Roman"/>
          <w:color w:val="000000" w:themeColor="text1"/>
          <w:sz w:val="16"/>
          <w:szCs w:val="16"/>
        </w:rPr>
        <w:t>лоставлены</w:t>
      </w:r>
      <w:proofErr w:type="spellEnd"/>
      <w:r w:rsidRPr="00A259BD">
        <w:rPr>
          <w:rFonts w:ascii="Times New Roman" w:hAnsi="Times New Roman"/>
          <w:color w:val="000000" w:themeColor="text1"/>
          <w:sz w:val="16"/>
          <w:szCs w:val="16"/>
        </w:rPr>
        <w:t xml:space="preserve"> штабные работники </w:t>
      </w:r>
      <w:proofErr w:type="spellStart"/>
      <w:r w:rsidRPr="00A259BD">
        <w:rPr>
          <w:rFonts w:ascii="Times New Roman" w:hAnsi="Times New Roman"/>
          <w:color w:val="000000" w:themeColor="text1"/>
          <w:sz w:val="16"/>
          <w:szCs w:val="16"/>
        </w:rPr>
        <w:t>Сунгарийской</w:t>
      </w:r>
      <w:proofErr w:type="spellEnd"/>
      <w:r w:rsidRPr="00A259BD">
        <w:rPr>
          <w:rFonts w:ascii="Times New Roman" w:hAnsi="Times New Roman"/>
          <w:color w:val="000000" w:themeColor="text1"/>
          <w:sz w:val="16"/>
          <w:szCs w:val="16"/>
        </w:rPr>
        <w:t xml:space="preserve"> группировки. По заданию штаба флотилии с МР-1 проводились: разведка расположения противника в городе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xml:space="preserve"> и его окрестностях; наблюдение за окопными работами в районе </w:t>
      </w:r>
      <w:proofErr w:type="spellStart"/>
      <w:r w:rsidRPr="00A259BD">
        <w:rPr>
          <w:rFonts w:ascii="Times New Roman" w:hAnsi="Times New Roman"/>
          <w:color w:val="000000" w:themeColor="text1"/>
          <w:sz w:val="16"/>
          <w:szCs w:val="16"/>
        </w:rPr>
        <w:t>Ханшинный</w:t>
      </w:r>
      <w:proofErr w:type="spellEnd"/>
      <w:r w:rsidRPr="00A259BD">
        <w:rPr>
          <w:rFonts w:ascii="Times New Roman" w:hAnsi="Times New Roman"/>
          <w:color w:val="000000" w:themeColor="text1"/>
          <w:sz w:val="16"/>
          <w:szCs w:val="16"/>
        </w:rPr>
        <w:t xml:space="preserve"> завод - </w:t>
      </w:r>
      <w:proofErr w:type="spellStart"/>
      <w:r w:rsidRPr="00A259BD">
        <w:rPr>
          <w:rFonts w:ascii="Times New Roman" w:hAnsi="Times New Roman"/>
          <w:color w:val="000000" w:themeColor="text1"/>
          <w:sz w:val="16"/>
          <w:szCs w:val="16"/>
        </w:rPr>
        <w:t>Могонхо-Чичиха</w:t>
      </w:r>
      <w:proofErr w:type="spellEnd"/>
      <w:r w:rsidRPr="00A259BD">
        <w:rPr>
          <w:rFonts w:ascii="Times New Roman" w:hAnsi="Times New Roman"/>
          <w:color w:val="000000" w:themeColor="text1"/>
          <w:sz w:val="16"/>
          <w:szCs w:val="16"/>
        </w:rPr>
        <w:t xml:space="preserve"> и в протоках, соединяющих Сунгари с Амуром. Аэрофотосъёмка подтверждала визуальные наблюдения, ярко иллюстрируя ход работ по укреплению с китайской стороны вышеуказанного района (9978).</w:t>
      </w:r>
    </w:p>
    <w:p w14:paraId="7BE135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D628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9 октября 1929 г. 40-я эскадрилья и 68-й отдельный авиационный отряд находились в полной боевой готовности. Операцию решено было проводить при наличии подходящей погоды для полетов (9978).</w:t>
      </w:r>
    </w:p>
    <w:p w14:paraId="77EC49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ECC07E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4579AC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FD8D1A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10 октября по 19 ноября 1929 года в НИИ ВВС был испытан самолет И4 ЮVI</w:t>
      </w:r>
    </w:p>
    <w:p w14:paraId="5BEFD0F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1A2FFFF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основании произведенных испытаний НИИ считает, что самолеты И-4 ЮVI первой серии, постройки завода № 22 могут быть приняты на снабжение ВВС (6936).</w:t>
      </w:r>
    </w:p>
    <w:p w14:paraId="3E7AE8E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4638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10 октября по 26 ноября 1929 в НИИ ВВС проходили гос. испытания головного серийного И-4 N 1513. Приняли несмотря на вес, возросший на 44 кг (1060,51). Летали </w:t>
      </w:r>
      <w:proofErr w:type="spellStart"/>
      <w:r w:rsidRPr="00A259BD">
        <w:rPr>
          <w:rFonts w:ascii="Times New Roman" w:hAnsi="Times New Roman"/>
          <w:color w:val="000000" w:themeColor="text1"/>
          <w:sz w:val="16"/>
          <w:szCs w:val="16"/>
        </w:rPr>
        <w:t>В.Писаренко</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К.Попов</w:t>
      </w:r>
      <w:proofErr w:type="spellEnd"/>
      <w:r w:rsidRPr="00A259BD">
        <w:rPr>
          <w:rFonts w:ascii="Times New Roman" w:hAnsi="Times New Roman"/>
          <w:color w:val="000000" w:themeColor="text1"/>
          <w:sz w:val="16"/>
          <w:szCs w:val="16"/>
        </w:rPr>
        <w:t xml:space="preserve"> (4338,17).</w:t>
      </w:r>
    </w:p>
    <w:p w14:paraId="7CF116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другим данным 10 октября 1929 И-4 был возвращен из НИИ ВВС на завод 22 для устранения тряски мотора и до 22 октября, пока не прибыла новая машина, испытаний не было (2371).</w:t>
      </w:r>
    </w:p>
    <w:p w14:paraId="4804B4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77C410B" w14:textId="77777777" w:rsidR="009B6A7B" w:rsidRPr="00A259BD" w:rsidRDefault="009B6A7B"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 xml:space="preserve">С 10 октября по 26 ноября 1929 г. головной истребитель И-4 № 1513 завода № 22 испытывали в НИИ ВВС По сравнению с «дублером» он оказался тяжелее на 44 кг. Завод попытался «свалить» рост веса на краску (опытные машины не красились), но военная приемка быстро доказала абсурдность этого утверждения. Утяжеление машины привело к существенному ухудшению летных данных, особенно пострадали скороподъемность и потолок. Максимальная скорость у земли составляла 249,5 км/ч, практический потолок равнялся 7120 м. Часть выявленных ранее на опытных образцах дефектов так и осталась </w:t>
      </w:r>
      <w:proofErr w:type="spellStart"/>
      <w:r w:rsidRPr="00A259BD">
        <w:rPr>
          <w:rFonts w:ascii="Times New Roman" w:hAnsi="Times New Roman" w:cs="Times New Roman"/>
          <w:color w:val="000000" w:themeColor="text1"/>
        </w:rPr>
        <w:t>неустраненной</w:t>
      </w:r>
      <w:proofErr w:type="spellEnd"/>
      <w:r w:rsidRPr="00A259BD">
        <w:rPr>
          <w:rFonts w:ascii="Times New Roman" w:hAnsi="Times New Roman" w:cs="Times New Roman"/>
          <w:color w:val="000000" w:themeColor="text1"/>
        </w:rPr>
        <w:t>. Сминались слишком тонкие обтекатели на колесах, непрочны оказались крепления колес, текли маслобаки. Тем не менее, в НИИ ВВС сделали заключение: «Самолеты И-4ЮМ первой серии постройки завода № 22 могут быть приняты на снабжение ВВС» (19100).</w:t>
      </w:r>
    </w:p>
    <w:p w14:paraId="74D83988" w14:textId="77777777" w:rsidR="009B6A7B" w:rsidRPr="00A259BD" w:rsidRDefault="009B6A7B" w:rsidP="009236E3">
      <w:pPr>
        <w:pStyle w:val="a8"/>
        <w:jc w:val="both"/>
        <w:rPr>
          <w:rFonts w:ascii="Times New Roman" w:hAnsi="Times New Roman" w:cs="Times New Roman"/>
          <w:color w:val="000000" w:themeColor="text1"/>
        </w:rPr>
      </w:pPr>
    </w:p>
    <w:p w14:paraId="2623FE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октября 1929 в НИИ ВВС был передан третий экз. Р-5 БМВ-6. недостатки остались (1028,83).</w:t>
      </w:r>
    </w:p>
    <w:p w14:paraId="4DD55A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0AAD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октября 1929 состоялось совместное совещание у Нач. ВВС по переделкам И-3 (2367,21).</w:t>
      </w:r>
    </w:p>
    <w:p w14:paraId="6D9F34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0017C32" w14:textId="77777777" w:rsidR="00680785" w:rsidRPr="00441F34" w:rsidRDefault="00680785" w:rsidP="00680785">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10 октября 1929 г. на совместном совещании с участием руководства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и Начальника ВВС вновь поставлен вопрос о выполнении доработок на серийных самолетах И-3, которые все еще не были внедрены в производство (24887).</w:t>
      </w:r>
    </w:p>
    <w:p w14:paraId="240642F6" w14:textId="77777777" w:rsidR="00680785" w:rsidRPr="00441F34" w:rsidRDefault="00680785" w:rsidP="00680785">
      <w:pPr>
        <w:spacing w:after="0" w:line="240" w:lineRule="auto"/>
        <w:jc w:val="both"/>
        <w:rPr>
          <w:rFonts w:ascii="Times New Roman" w:hAnsi="Times New Roman"/>
          <w:color w:val="0070C0"/>
          <w:sz w:val="16"/>
          <w:szCs w:val="16"/>
        </w:rPr>
      </w:pPr>
    </w:p>
    <w:p w14:paraId="0F9BE7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октября 1929 состоялось совещание при НТО - ВКУ - ВСПУ СССР по вопросу "О разработке военными трестами основных проблем и объектов НИР на основе пятилетних планов развития промышленности по приказу ВСНХ СССР N 1063 от 20 сентября 1929. Представитель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 не явился, т.к. сначала хотел рассмотреть вопрос на Правлении (2339,346).</w:t>
      </w:r>
    </w:p>
    <w:p w14:paraId="6B0291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940D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октября 1929 </w:t>
      </w:r>
      <w:proofErr w:type="spellStart"/>
      <w:r w:rsidRPr="00A259BD">
        <w:rPr>
          <w:rFonts w:ascii="Times New Roman" w:hAnsi="Times New Roman"/>
          <w:color w:val="000000" w:themeColor="text1"/>
          <w:sz w:val="16"/>
          <w:szCs w:val="16"/>
        </w:rPr>
        <w:t>В.А.Зарзар</w:t>
      </w:r>
      <w:proofErr w:type="spellEnd"/>
      <w:r w:rsidRPr="00A259BD">
        <w:rPr>
          <w:rFonts w:ascii="Times New Roman" w:hAnsi="Times New Roman"/>
          <w:color w:val="000000" w:themeColor="text1"/>
          <w:sz w:val="16"/>
          <w:szCs w:val="16"/>
        </w:rPr>
        <w:t xml:space="preserve"> написал Председателю совета по ГА Нач. ВВС </w:t>
      </w:r>
      <w:proofErr w:type="spellStart"/>
      <w:r w:rsidRPr="00A259BD">
        <w:rPr>
          <w:rFonts w:ascii="Times New Roman" w:hAnsi="Times New Roman"/>
          <w:color w:val="000000" w:themeColor="text1"/>
          <w:sz w:val="16"/>
          <w:szCs w:val="16"/>
        </w:rPr>
        <w:t>П.И.Баранову</w:t>
      </w:r>
      <w:proofErr w:type="spellEnd"/>
      <w:r w:rsidRPr="00A259BD">
        <w:rPr>
          <w:rFonts w:ascii="Times New Roman" w:hAnsi="Times New Roman"/>
          <w:color w:val="000000" w:themeColor="text1"/>
          <w:sz w:val="16"/>
          <w:szCs w:val="16"/>
        </w:rPr>
        <w:t xml:space="preserve"> и Зам. нач. </w:t>
      </w:r>
      <w:proofErr w:type="spellStart"/>
      <w:r w:rsidRPr="00A259BD">
        <w:rPr>
          <w:rFonts w:ascii="Times New Roman" w:hAnsi="Times New Roman"/>
          <w:color w:val="000000" w:themeColor="text1"/>
          <w:sz w:val="16"/>
          <w:szCs w:val="16"/>
        </w:rPr>
        <w:t>Я.И.Алкснису</w:t>
      </w:r>
      <w:proofErr w:type="spellEnd"/>
      <w:r w:rsidRPr="00A259BD">
        <w:rPr>
          <w:rFonts w:ascii="Times New Roman" w:hAnsi="Times New Roman"/>
          <w:color w:val="000000" w:themeColor="text1"/>
          <w:sz w:val="16"/>
          <w:szCs w:val="16"/>
        </w:rPr>
        <w:t xml:space="preserve">, а т. Пред. НТК УВВС </w:t>
      </w:r>
      <w:proofErr w:type="spellStart"/>
      <w:r w:rsidRPr="00A259BD">
        <w:rPr>
          <w:rFonts w:ascii="Times New Roman" w:hAnsi="Times New Roman"/>
          <w:color w:val="000000" w:themeColor="text1"/>
          <w:sz w:val="16"/>
          <w:szCs w:val="16"/>
        </w:rPr>
        <w:t>П.С.Дубенскому</w:t>
      </w:r>
      <w:proofErr w:type="spellEnd"/>
      <w:r w:rsidRPr="00A259BD">
        <w:rPr>
          <w:rFonts w:ascii="Times New Roman" w:hAnsi="Times New Roman"/>
          <w:color w:val="000000" w:themeColor="text1"/>
          <w:sz w:val="16"/>
          <w:szCs w:val="16"/>
        </w:rPr>
        <w:t xml:space="preserve"> Соображения по вопросу о конструировании гражданских самолетов в 1929/1930 гг. (351).</w:t>
      </w:r>
    </w:p>
    <w:p w14:paraId="36DF5D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1929-30 год намечены следующие работы в области конструирования в опытного строительства </w:t>
      </w:r>
      <w:proofErr w:type="spellStart"/>
      <w:r w:rsidRPr="00A259BD">
        <w:rPr>
          <w:rFonts w:ascii="Times New Roman" w:hAnsi="Times New Roman"/>
          <w:color w:val="000000" w:themeColor="text1"/>
          <w:sz w:val="16"/>
          <w:szCs w:val="16"/>
        </w:rPr>
        <w:t>гражданскнх</w:t>
      </w:r>
      <w:proofErr w:type="spellEnd"/>
      <w:r w:rsidRPr="00A259BD">
        <w:rPr>
          <w:rFonts w:ascii="Times New Roman" w:hAnsi="Times New Roman"/>
          <w:color w:val="000000" w:themeColor="text1"/>
          <w:sz w:val="16"/>
          <w:szCs w:val="16"/>
        </w:rPr>
        <w:t xml:space="preserve"> самолетов и отчасти моторов с ассиг</w:t>
      </w:r>
      <w:r w:rsidRPr="00A259BD">
        <w:rPr>
          <w:rFonts w:ascii="Times New Roman" w:hAnsi="Times New Roman"/>
          <w:color w:val="000000" w:themeColor="text1"/>
          <w:sz w:val="16"/>
          <w:szCs w:val="16"/>
        </w:rPr>
        <w:softHyphen/>
        <w:t>нованием соответствующих сумм, которые целиком обеспечиваются даже нынешним уменьшенным бюджетом гражданского воздушного флота в общей сумме 20402000 руб.</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3960"/>
        <w:gridCol w:w="1260"/>
        <w:gridCol w:w="1260"/>
      </w:tblGrid>
      <w:tr w:rsidR="00A259BD" w:rsidRPr="00A259BD" w14:paraId="0800C395" w14:textId="77777777">
        <w:tc>
          <w:tcPr>
            <w:tcW w:w="2898" w:type="dxa"/>
          </w:tcPr>
          <w:p w14:paraId="321B9B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Название</w:t>
            </w:r>
          </w:p>
        </w:tc>
        <w:tc>
          <w:tcPr>
            <w:tcW w:w="3960" w:type="dxa"/>
          </w:tcPr>
          <w:p w14:paraId="6829BC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Необходимая работа</w:t>
            </w:r>
          </w:p>
        </w:tc>
        <w:tc>
          <w:tcPr>
            <w:tcW w:w="2520" w:type="dxa"/>
            <w:gridSpan w:val="2"/>
          </w:tcPr>
          <w:p w14:paraId="243107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Суммы</w:t>
            </w:r>
          </w:p>
        </w:tc>
      </w:tr>
      <w:tr w:rsidR="00A259BD" w:rsidRPr="00A259BD" w14:paraId="32739043" w14:textId="77777777">
        <w:tc>
          <w:tcPr>
            <w:tcW w:w="6858" w:type="dxa"/>
            <w:gridSpan w:val="2"/>
          </w:tcPr>
          <w:p w14:paraId="205BDA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7EC859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сов. валюте</w:t>
            </w:r>
          </w:p>
        </w:tc>
        <w:tc>
          <w:tcPr>
            <w:tcW w:w="1260" w:type="dxa"/>
          </w:tcPr>
          <w:p w14:paraId="672C88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ин. валюте</w:t>
            </w:r>
          </w:p>
        </w:tc>
      </w:tr>
      <w:tr w:rsidR="00A259BD" w:rsidRPr="00A259BD" w14:paraId="2664CA3D" w14:textId="77777777">
        <w:tc>
          <w:tcPr>
            <w:tcW w:w="2898" w:type="dxa"/>
          </w:tcPr>
          <w:p w14:paraId="167216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З-х моторный самолет АНТ-9</w:t>
            </w:r>
          </w:p>
        </w:tc>
        <w:tc>
          <w:tcPr>
            <w:tcW w:w="3960" w:type="dxa"/>
          </w:tcPr>
          <w:p w14:paraId="31DEED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Усовершенствование, установка моторов по 300 НР, увеличение пассажирских мест и др. мелкие переделки для 2-й серии</w:t>
            </w:r>
          </w:p>
        </w:tc>
        <w:tc>
          <w:tcPr>
            <w:tcW w:w="1260" w:type="dxa"/>
          </w:tcPr>
          <w:p w14:paraId="503EEB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w:t>
            </w:r>
          </w:p>
        </w:tc>
        <w:tc>
          <w:tcPr>
            <w:tcW w:w="1260" w:type="dxa"/>
          </w:tcPr>
          <w:p w14:paraId="18EF10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40000</w:t>
            </w:r>
          </w:p>
        </w:tc>
      </w:tr>
      <w:tr w:rsidR="00A259BD" w:rsidRPr="00A259BD" w14:paraId="04ED182D" w14:textId="77777777">
        <w:tc>
          <w:tcPr>
            <w:tcW w:w="2898" w:type="dxa"/>
          </w:tcPr>
          <w:p w14:paraId="03AF55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3-х моторный пассажирский самолет для морских сообщений</w:t>
            </w:r>
          </w:p>
        </w:tc>
        <w:tc>
          <w:tcPr>
            <w:tcW w:w="3960" w:type="dxa"/>
          </w:tcPr>
          <w:p w14:paraId="786A84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Конструирование в ЦАГИ, постройка опытного экземпляра. Моторы по 425 НР</w:t>
            </w:r>
          </w:p>
        </w:tc>
        <w:tc>
          <w:tcPr>
            <w:tcW w:w="1260" w:type="dxa"/>
          </w:tcPr>
          <w:p w14:paraId="295830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320000</w:t>
            </w:r>
          </w:p>
        </w:tc>
        <w:tc>
          <w:tcPr>
            <w:tcW w:w="1260" w:type="dxa"/>
          </w:tcPr>
          <w:p w14:paraId="37459E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80000</w:t>
            </w:r>
          </w:p>
        </w:tc>
      </w:tr>
      <w:tr w:rsidR="00A259BD" w:rsidRPr="00A259BD" w14:paraId="52E98952" w14:textId="77777777">
        <w:tc>
          <w:tcPr>
            <w:tcW w:w="2898" w:type="dxa"/>
          </w:tcPr>
          <w:p w14:paraId="16C522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2-х моторный аэрофотосъемочный самолет</w:t>
            </w:r>
          </w:p>
        </w:tc>
        <w:tc>
          <w:tcPr>
            <w:tcW w:w="3960" w:type="dxa"/>
          </w:tcPr>
          <w:p w14:paraId="23BD22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Конструирование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постройка опытного экземпляра. Моторы по 200-230 НР</w:t>
            </w:r>
          </w:p>
        </w:tc>
        <w:tc>
          <w:tcPr>
            <w:tcW w:w="1260" w:type="dxa"/>
          </w:tcPr>
          <w:p w14:paraId="29E1F9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w:t>
            </w:r>
          </w:p>
        </w:tc>
        <w:tc>
          <w:tcPr>
            <w:tcW w:w="1260" w:type="dxa"/>
          </w:tcPr>
          <w:p w14:paraId="5D34F0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w:t>
            </w:r>
          </w:p>
        </w:tc>
      </w:tr>
      <w:tr w:rsidR="00A259BD" w:rsidRPr="00A259BD" w14:paraId="38FC4FF4" w14:textId="77777777">
        <w:tc>
          <w:tcPr>
            <w:tcW w:w="2898" w:type="dxa"/>
          </w:tcPr>
          <w:p w14:paraId="6445F8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Почтовый самолет скоростной</w:t>
            </w:r>
          </w:p>
        </w:tc>
        <w:tc>
          <w:tcPr>
            <w:tcW w:w="3960" w:type="dxa"/>
          </w:tcPr>
          <w:p w14:paraId="6B69FE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Конструирование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постройка опытного экземпляра. Мотор в 480 НР</w:t>
            </w:r>
          </w:p>
        </w:tc>
        <w:tc>
          <w:tcPr>
            <w:tcW w:w="1260" w:type="dxa"/>
          </w:tcPr>
          <w:p w14:paraId="5C45D2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w:t>
            </w:r>
          </w:p>
        </w:tc>
        <w:tc>
          <w:tcPr>
            <w:tcW w:w="1260" w:type="dxa"/>
          </w:tcPr>
          <w:p w14:paraId="7DAB8A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25000</w:t>
            </w:r>
          </w:p>
        </w:tc>
      </w:tr>
      <w:tr w:rsidR="00A259BD" w:rsidRPr="00A259BD" w14:paraId="5FC70580" w14:textId="77777777">
        <w:tc>
          <w:tcPr>
            <w:tcW w:w="2898" w:type="dxa"/>
          </w:tcPr>
          <w:p w14:paraId="429418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С/х самолет У2 с М11</w:t>
            </w:r>
          </w:p>
        </w:tc>
        <w:tc>
          <w:tcPr>
            <w:tcW w:w="3960" w:type="dxa"/>
          </w:tcPr>
          <w:p w14:paraId="4683D1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Усовершенствование для специальной серии</w:t>
            </w:r>
          </w:p>
        </w:tc>
        <w:tc>
          <w:tcPr>
            <w:tcW w:w="1260" w:type="dxa"/>
          </w:tcPr>
          <w:p w14:paraId="4A0E08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w:t>
            </w:r>
          </w:p>
        </w:tc>
        <w:tc>
          <w:tcPr>
            <w:tcW w:w="1260" w:type="dxa"/>
          </w:tcPr>
          <w:p w14:paraId="1766DA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5CCE0D33" w14:textId="77777777">
        <w:tc>
          <w:tcPr>
            <w:tcW w:w="2898" w:type="dxa"/>
          </w:tcPr>
          <w:p w14:paraId="712AD9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пассажирский К-5</w:t>
            </w:r>
          </w:p>
        </w:tc>
        <w:tc>
          <w:tcPr>
            <w:tcW w:w="3960" w:type="dxa"/>
          </w:tcPr>
          <w:p w14:paraId="13F4CF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Усовершенствование для 2-й серии</w:t>
            </w:r>
          </w:p>
        </w:tc>
        <w:tc>
          <w:tcPr>
            <w:tcW w:w="1260" w:type="dxa"/>
          </w:tcPr>
          <w:p w14:paraId="31C452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35000</w:t>
            </w:r>
          </w:p>
        </w:tc>
        <w:tc>
          <w:tcPr>
            <w:tcW w:w="1260" w:type="dxa"/>
          </w:tcPr>
          <w:p w14:paraId="539D83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8000</w:t>
            </w:r>
          </w:p>
        </w:tc>
      </w:tr>
      <w:tr w:rsidR="00A259BD" w:rsidRPr="00A259BD" w14:paraId="5E256068" w14:textId="77777777">
        <w:tc>
          <w:tcPr>
            <w:tcW w:w="2898" w:type="dxa"/>
          </w:tcPr>
          <w:p w14:paraId="67DD33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почтовый К-6</w:t>
            </w:r>
          </w:p>
        </w:tc>
        <w:tc>
          <w:tcPr>
            <w:tcW w:w="3960" w:type="dxa"/>
          </w:tcPr>
          <w:p w14:paraId="2BFE0A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Усовершенствование для 2-й серии</w:t>
            </w:r>
          </w:p>
        </w:tc>
        <w:tc>
          <w:tcPr>
            <w:tcW w:w="1260" w:type="dxa"/>
          </w:tcPr>
          <w:p w14:paraId="4BD9D7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40000</w:t>
            </w:r>
          </w:p>
        </w:tc>
        <w:tc>
          <w:tcPr>
            <w:tcW w:w="1260" w:type="dxa"/>
          </w:tcPr>
          <w:p w14:paraId="7F3CE4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12000</w:t>
            </w:r>
          </w:p>
        </w:tc>
      </w:tr>
      <w:tr w:rsidR="00A259BD" w:rsidRPr="00A259BD" w14:paraId="24DD5537" w14:textId="77777777">
        <w:tc>
          <w:tcPr>
            <w:tcW w:w="2898" w:type="dxa"/>
          </w:tcPr>
          <w:p w14:paraId="5AF059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Одномоторный металлический самолет</w:t>
            </w:r>
          </w:p>
        </w:tc>
        <w:tc>
          <w:tcPr>
            <w:tcW w:w="3960" w:type="dxa"/>
          </w:tcPr>
          <w:p w14:paraId="51A6C7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Конструирование ЦАГИ, постройка опытного экземпляра. Мотор М6 360 НР или М5 400 НР</w:t>
            </w:r>
          </w:p>
        </w:tc>
        <w:tc>
          <w:tcPr>
            <w:tcW w:w="1260" w:type="dxa"/>
          </w:tcPr>
          <w:p w14:paraId="063B0D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50000</w:t>
            </w:r>
          </w:p>
        </w:tc>
        <w:tc>
          <w:tcPr>
            <w:tcW w:w="1260" w:type="dxa"/>
          </w:tcPr>
          <w:p w14:paraId="22795C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4C260C24" w14:textId="77777777">
        <w:tc>
          <w:tcPr>
            <w:tcW w:w="2898" w:type="dxa"/>
          </w:tcPr>
          <w:p w14:paraId="5A1AEE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3-х моторный самолет К-7</w:t>
            </w:r>
          </w:p>
        </w:tc>
        <w:tc>
          <w:tcPr>
            <w:tcW w:w="3960" w:type="dxa"/>
          </w:tcPr>
          <w:p w14:paraId="564A13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Конструирование ГРОС, постройка опытного экземпляра. Моторы 500 НР</w:t>
            </w:r>
          </w:p>
        </w:tc>
        <w:tc>
          <w:tcPr>
            <w:tcW w:w="1260" w:type="dxa"/>
          </w:tcPr>
          <w:p w14:paraId="72CDF0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250000</w:t>
            </w:r>
          </w:p>
        </w:tc>
        <w:tc>
          <w:tcPr>
            <w:tcW w:w="1260" w:type="dxa"/>
          </w:tcPr>
          <w:p w14:paraId="61887C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40000</w:t>
            </w:r>
          </w:p>
        </w:tc>
      </w:tr>
      <w:tr w:rsidR="00A259BD" w:rsidRPr="00A259BD" w14:paraId="68C18AE4" w14:textId="77777777">
        <w:tc>
          <w:tcPr>
            <w:tcW w:w="2898" w:type="dxa"/>
          </w:tcPr>
          <w:p w14:paraId="6AACA4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Легкие самолеты ЦАГИ под М-П и Осоавиахима под советский мотор 65 НР</w:t>
            </w:r>
          </w:p>
        </w:tc>
        <w:tc>
          <w:tcPr>
            <w:tcW w:w="3960" w:type="dxa"/>
          </w:tcPr>
          <w:p w14:paraId="7C388A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Конструирование, постройка опытных экземпляров</w:t>
            </w:r>
          </w:p>
        </w:tc>
        <w:tc>
          <w:tcPr>
            <w:tcW w:w="1260" w:type="dxa"/>
          </w:tcPr>
          <w:p w14:paraId="2016DE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75000</w:t>
            </w:r>
          </w:p>
        </w:tc>
        <w:tc>
          <w:tcPr>
            <w:tcW w:w="1260" w:type="dxa"/>
          </w:tcPr>
          <w:p w14:paraId="2851E4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453423B3" w14:textId="77777777">
        <w:tc>
          <w:tcPr>
            <w:tcW w:w="2898" w:type="dxa"/>
          </w:tcPr>
          <w:p w14:paraId="63FA31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960" w:type="dxa"/>
          </w:tcPr>
          <w:p w14:paraId="10426D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Работы по конструированию и опытному строительству легкого самолета с разрезными крыльями, учебной амфибии, комбинированных колесно-лыжных шасси и воздушного тормоза</w:t>
            </w:r>
          </w:p>
        </w:tc>
        <w:tc>
          <w:tcPr>
            <w:tcW w:w="1260" w:type="dxa"/>
          </w:tcPr>
          <w:p w14:paraId="5F6CE4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70000</w:t>
            </w:r>
          </w:p>
        </w:tc>
        <w:tc>
          <w:tcPr>
            <w:tcW w:w="1260" w:type="dxa"/>
          </w:tcPr>
          <w:p w14:paraId="6F8B11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2D5E010D" w14:textId="77777777">
        <w:tc>
          <w:tcPr>
            <w:tcW w:w="2898" w:type="dxa"/>
          </w:tcPr>
          <w:p w14:paraId="7C4A72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960" w:type="dxa"/>
          </w:tcPr>
          <w:p w14:paraId="4F0834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08DC73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1320000</w:t>
            </w:r>
          </w:p>
        </w:tc>
        <w:tc>
          <w:tcPr>
            <w:tcW w:w="1260" w:type="dxa"/>
          </w:tcPr>
          <w:p w14:paraId="0C4425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235000 (351)</w:t>
            </w:r>
          </w:p>
        </w:tc>
      </w:tr>
    </w:tbl>
    <w:p w14:paraId="0A5B19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Поскольку </w:t>
      </w:r>
      <w:proofErr w:type="spellStart"/>
      <w:r w:rsidRPr="00A259BD">
        <w:rPr>
          <w:rFonts w:ascii="Times New Roman" w:hAnsi="Times New Roman"/>
          <w:color w:val="000000" w:themeColor="text1"/>
          <w:sz w:val="16"/>
          <w:szCs w:val="16"/>
        </w:rPr>
        <w:t>конструировешие</w:t>
      </w:r>
      <w:proofErr w:type="spellEnd"/>
      <w:r w:rsidRPr="00A259BD">
        <w:rPr>
          <w:rFonts w:ascii="Times New Roman" w:hAnsi="Times New Roman"/>
          <w:color w:val="000000" w:themeColor="text1"/>
          <w:sz w:val="16"/>
          <w:szCs w:val="16"/>
        </w:rPr>
        <w:t xml:space="preserve"> и опытное строительство гражданских самолетов имеет крупнейшее значение для нашей Авиации в целом и предопределяет политику в этом вопросе на ряд лег, необходимо теперь же предусмотреть следующие обстоятельства:</w:t>
      </w:r>
    </w:p>
    <w:p w14:paraId="63F7C6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 Соответствие вновь конструируемых типов гражданских самолетов с одной стороны, специфическим эксплуатационным требованиям, предъявляемым к этим машинам, и с другой, общей политике в нашем авиацион</w:t>
      </w:r>
      <w:r w:rsidRPr="00A259BD">
        <w:rPr>
          <w:rFonts w:ascii="Times New Roman" w:hAnsi="Times New Roman"/>
          <w:color w:val="000000" w:themeColor="text1"/>
          <w:sz w:val="16"/>
          <w:szCs w:val="16"/>
        </w:rPr>
        <w:softHyphen/>
        <w:t xml:space="preserve">ном конструировании в целях обеспечения </w:t>
      </w:r>
      <w:proofErr w:type="spellStart"/>
      <w:r w:rsidRPr="00A259BD">
        <w:rPr>
          <w:rFonts w:ascii="Times New Roman" w:hAnsi="Times New Roman"/>
          <w:color w:val="000000" w:themeColor="text1"/>
          <w:sz w:val="16"/>
          <w:szCs w:val="16"/>
        </w:rPr>
        <w:t>безболбзненного</w:t>
      </w:r>
      <w:proofErr w:type="spellEnd"/>
      <w:r w:rsidRPr="00A259BD">
        <w:rPr>
          <w:rFonts w:ascii="Times New Roman" w:hAnsi="Times New Roman"/>
          <w:color w:val="000000" w:themeColor="text1"/>
          <w:sz w:val="16"/>
          <w:szCs w:val="16"/>
        </w:rPr>
        <w:t xml:space="preserve"> серийного строительства этих машин самым быстрым темпом.</w:t>
      </w:r>
    </w:p>
    <w:p w14:paraId="337E38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Выбор таких моторов, которые или производятся или будут производиться нашей промышленностью.</w:t>
      </w:r>
    </w:p>
    <w:p w14:paraId="0C3770A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Такие методы и темпы конструирования, которые могут </w:t>
      </w:r>
      <w:proofErr w:type="spellStart"/>
      <w:r w:rsidRPr="00A259BD">
        <w:rPr>
          <w:rFonts w:ascii="Times New Roman" w:hAnsi="Times New Roman"/>
          <w:color w:val="000000" w:themeColor="text1"/>
          <w:sz w:val="16"/>
          <w:szCs w:val="16"/>
        </w:rPr>
        <w:t>обеспечитьбыстрое</w:t>
      </w:r>
      <w:proofErr w:type="spellEnd"/>
      <w:r w:rsidRPr="00A259BD">
        <w:rPr>
          <w:rFonts w:ascii="Times New Roman" w:hAnsi="Times New Roman"/>
          <w:color w:val="000000" w:themeColor="text1"/>
          <w:sz w:val="16"/>
          <w:szCs w:val="16"/>
        </w:rPr>
        <w:t xml:space="preserve"> выполнение стоящей перед нашей Гражданской Авиацией задачи по ее перевооружению советской продукцией, в частности, своевременную увязку конструирования, опытного </w:t>
      </w:r>
      <w:proofErr w:type="spellStart"/>
      <w:r w:rsidRPr="00A259BD">
        <w:rPr>
          <w:rFonts w:ascii="Times New Roman" w:hAnsi="Times New Roman"/>
          <w:color w:val="000000" w:themeColor="text1"/>
          <w:sz w:val="16"/>
          <w:szCs w:val="16"/>
        </w:rPr>
        <w:t>строител</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ьства</w:t>
      </w:r>
      <w:proofErr w:type="spellEnd"/>
      <w:r w:rsidRPr="00A259BD">
        <w:rPr>
          <w:rFonts w:ascii="Times New Roman" w:hAnsi="Times New Roman"/>
          <w:color w:val="000000" w:themeColor="text1"/>
          <w:sz w:val="16"/>
          <w:szCs w:val="16"/>
        </w:rPr>
        <w:t xml:space="preserve"> и изготовления чертежей для серийной продукции.</w:t>
      </w:r>
    </w:p>
    <w:p w14:paraId="45E8AA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Выбор сортамента материала при опытном строительстве в соответствии с продукцией нашей промышленности.</w:t>
      </w:r>
    </w:p>
    <w:p w14:paraId="09DE0A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Выбор конструирующей организации в соответствии с вышеуказанными положениями.</w:t>
      </w:r>
    </w:p>
    <w:p w14:paraId="2634B6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Помещенная выше таблица содержит ориентировочные стоимости намечаемых типов самолетов на общую сумму 1.555.000 рублей, из них в инвалюте 235.000 рублей. При детальной проработке намечаемых конструк</w:t>
      </w:r>
      <w:r w:rsidRPr="00A259BD">
        <w:rPr>
          <w:rFonts w:ascii="Times New Roman" w:hAnsi="Times New Roman"/>
          <w:color w:val="000000" w:themeColor="text1"/>
          <w:sz w:val="16"/>
          <w:szCs w:val="16"/>
        </w:rPr>
        <w:softHyphen/>
        <w:t xml:space="preserve">ций и рассмотрении смет необходимо будет добиваться максимального удешевления опытного строительства, так как даже, в настоящее время резко выделяется чрезмерная дороговизна работ ЦАГИ по сравнению работами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и группы тов. Калинина. Общую сумму на конструиро</w:t>
      </w:r>
      <w:r w:rsidRPr="00A259BD">
        <w:rPr>
          <w:rFonts w:ascii="Times New Roman" w:hAnsi="Times New Roman"/>
          <w:color w:val="000000" w:themeColor="text1"/>
          <w:sz w:val="16"/>
          <w:szCs w:val="16"/>
        </w:rPr>
        <w:softHyphen/>
        <w:t>вание можно увеличить в сов. валюте еще примерно на 45-100.000 рублей.</w:t>
      </w:r>
    </w:p>
    <w:p w14:paraId="4F527F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Совет по Гражданской Авиации постановил </w:t>
      </w:r>
      <w:proofErr w:type="spellStart"/>
      <w:r w:rsidRPr="00A259BD">
        <w:rPr>
          <w:rFonts w:ascii="Times New Roman" w:hAnsi="Times New Roman"/>
          <w:color w:val="000000" w:themeColor="text1"/>
          <w:sz w:val="16"/>
          <w:szCs w:val="16"/>
        </w:rPr>
        <w:t>из"ять</w:t>
      </w:r>
      <w:proofErr w:type="spellEnd"/>
      <w:r w:rsidRPr="00A259BD">
        <w:rPr>
          <w:rFonts w:ascii="Times New Roman" w:hAnsi="Times New Roman"/>
          <w:color w:val="000000" w:themeColor="text1"/>
          <w:sz w:val="16"/>
          <w:szCs w:val="16"/>
        </w:rPr>
        <w:t xml:space="preserve"> Фонд на конструирование самолетов и моторов из рук обществ воздушных сообщений и скон</w:t>
      </w:r>
      <w:r w:rsidRPr="00A259BD">
        <w:rPr>
          <w:rFonts w:ascii="Times New Roman" w:hAnsi="Times New Roman"/>
          <w:color w:val="000000" w:themeColor="text1"/>
          <w:sz w:val="16"/>
          <w:szCs w:val="16"/>
        </w:rPr>
        <w:softHyphen/>
        <w:t>центрировать его у себя, что должно обеспечить наилучшее выполнение этих работ, и неповторение тех явлений, которые имели место с самолетамиК-5 и К-6, которые запаздывают на очень большой срок.</w:t>
      </w:r>
    </w:p>
    <w:p w14:paraId="2AF000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Поэтому представляется совершенно необходимым образовать при Совете Гражданской Авиации постоянную комиссию, которой должно быть пору</w:t>
      </w:r>
      <w:r w:rsidRPr="00A259BD">
        <w:rPr>
          <w:rFonts w:ascii="Times New Roman" w:hAnsi="Times New Roman"/>
          <w:color w:val="000000" w:themeColor="text1"/>
          <w:sz w:val="16"/>
          <w:szCs w:val="16"/>
        </w:rPr>
        <w:softHyphen/>
        <w:t>чено руководство всеми работами по конструированию и опытному строи</w:t>
      </w:r>
      <w:r w:rsidRPr="00A259BD">
        <w:rPr>
          <w:rFonts w:ascii="Times New Roman" w:hAnsi="Times New Roman"/>
          <w:color w:val="000000" w:themeColor="text1"/>
          <w:sz w:val="16"/>
          <w:szCs w:val="16"/>
        </w:rPr>
        <w:softHyphen/>
        <w:t>тельству гражданских самолетов и моторов. В состав комиссии целесооб</w:t>
      </w:r>
      <w:r w:rsidRPr="00A259BD">
        <w:rPr>
          <w:rFonts w:ascii="Times New Roman" w:hAnsi="Times New Roman"/>
          <w:color w:val="000000" w:themeColor="text1"/>
          <w:sz w:val="16"/>
          <w:szCs w:val="16"/>
        </w:rPr>
        <w:softHyphen/>
        <w:t>разно ввести:</w:t>
      </w:r>
    </w:p>
    <w:p w14:paraId="545597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 АЛКСНИСА Я.И. - Пред. Комиссии</w:t>
      </w:r>
    </w:p>
    <w:p w14:paraId="72A8AA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 ДУБЕНСКОГО С.П. - Зам. Пред. Комиссии</w:t>
      </w:r>
    </w:p>
    <w:p w14:paraId="4BA5BF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Членов </w:t>
      </w:r>
      <w:proofErr w:type="spellStart"/>
      <w:r w:rsidRPr="00A259BD">
        <w:rPr>
          <w:rFonts w:ascii="Times New Roman" w:hAnsi="Times New Roman"/>
          <w:color w:val="000000" w:themeColor="text1"/>
          <w:sz w:val="16"/>
          <w:szCs w:val="16"/>
        </w:rPr>
        <w:t>комнссии</w:t>
      </w:r>
      <w:proofErr w:type="spellEnd"/>
      <w:r w:rsidRPr="00A259BD">
        <w:rPr>
          <w:rFonts w:ascii="Times New Roman" w:hAnsi="Times New Roman"/>
          <w:color w:val="000000" w:themeColor="text1"/>
          <w:sz w:val="16"/>
          <w:szCs w:val="16"/>
        </w:rPr>
        <w:t xml:space="preserve"> по одному от Инспекции Гражданского Воздушного Флота, от ЦАГИ,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Добролета и </w:t>
      </w:r>
      <w:proofErr w:type="spellStart"/>
      <w:r w:rsidRPr="00A259BD">
        <w:rPr>
          <w:rFonts w:ascii="Times New Roman" w:hAnsi="Times New Roman"/>
          <w:color w:val="000000" w:themeColor="text1"/>
          <w:sz w:val="16"/>
          <w:szCs w:val="16"/>
        </w:rPr>
        <w:t>Укрвоздухпуги</w:t>
      </w:r>
      <w:proofErr w:type="spellEnd"/>
      <w:r w:rsidRPr="00A259BD">
        <w:rPr>
          <w:rFonts w:ascii="Times New Roman" w:hAnsi="Times New Roman"/>
          <w:color w:val="000000" w:themeColor="text1"/>
          <w:sz w:val="16"/>
          <w:szCs w:val="16"/>
        </w:rPr>
        <w:t xml:space="preserve"> /если последняя организация сохранит свое самостоятельное существование/</w:t>
      </w:r>
    </w:p>
    <w:p w14:paraId="30A5A9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Данная комиссия должна работать на основе того положительного опыта, которых достигнут комиссией тов. АЛКСНИСА в деле конструирования самолета "АНТ-9”.</w:t>
      </w:r>
    </w:p>
    <w:p w14:paraId="5E560C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Данный вопрос является крайне спешным и нужно поэтому максимально ускорить все директивные работы принципиального порядка, связанные с </w:t>
      </w:r>
      <w:r w:rsidRPr="00A259BD">
        <w:rPr>
          <w:rFonts w:ascii="Times New Roman" w:hAnsi="Times New Roman"/>
          <w:iCs/>
          <w:color w:val="000000" w:themeColor="text1"/>
          <w:sz w:val="16"/>
          <w:szCs w:val="16"/>
          <w:vertAlign w:val="subscript"/>
        </w:rPr>
        <w:t xml:space="preserve">г </w:t>
      </w:r>
      <w:r w:rsidRPr="00A259BD">
        <w:rPr>
          <w:rFonts w:ascii="Times New Roman" w:hAnsi="Times New Roman"/>
          <w:color w:val="000000" w:themeColor="text1"/>
          <w:sz w:val="16"/>
          <w:szCs w:val="16"/>
        </w:rPr>
        <w:t>данным вопросом.</w:t>
      </w:r>
    </w:p>
    <w:p w14:paraId="2618A6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 и. Главный Инспектор Гражданского Воздушного флота (</w:t>
      </w:r>
      <w:proofErr w:type="spellStart"/>
      <w:r w:rsidRPr="00A259BD">
        <w:rPr>
          <w:rFonts w:ascii="Times New Roman" w:hAnsi="Times New Roman"/>
          <w:color w:val="000000" w:themeColor="text1"/>
          <w:sz w:val="16"/>
          <w:szCs w:val="16"/>
        </w:rPr>
        <w:t>Зарзар</w:t>
      </w:r>
      <w:proofErr w:type="spellEnd"/>
      <w:r w:rsidRPr="00A259BD">
        <w:rPr>
          <w:rFonts w:ascii="Times New Roman" w:hAnsi="Times New Roman"/>
          <w:color w:val="000000" w:themeColor="text1"/>
          <w:sz w:val="16"/>
          <w:szCs w:val="16"/>
        </w:rPr>
        <w:t>) (351).</w:t>
      </w:r>
    </w:p>
    <w:p w14:paraId="1AAC4F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октября 1929 состоялось совещание по вопросу об опытном строительстве самолетов и моторов для ГА. Были </w:t>
      </w:r>
      <w:proofErr w:type="spellStart"/>
      <w:r w:rsidRPr="00A259BD">
        <w:rPr>
          <w:rFonts w:ascii="Times New Roman" w:hAnsi="Times New Roman"/>
          <w:color w:val="000000" w:themeColor="text1"/>
          <w:sz w:val="16"/>
          <w:szCs w:val="16"/>
        </w:rPr>
        <w:t>Я.И.Алкснис</w:t>
      </w:r>
      <w:proofErr w:type="spellEnd"/>
      <w:r w:rsidRPr="00A259BD">
        <w:rPr>
          <w:rFonts w:ascii="Times New Roman" w:hAnsi="Times New Roman"/>
          <w:color w:val="000000" w:themeColor="text1"/>
          <w:sz w:val="16"/>
          <w:szCs w:val="16"/>
        </w:rPr>
        <w:t xml:space="preserve"> и С.В.И., а также А.Н.Т. Слушали доклад </w:t>
      </w:r>
      <w:proofErr w:type="spellStart"/>
      <w:r w:rsidRPr="00A259BD">
        <w:rPr>
          <w:rFonts w:ascii="Times New Roman" w:hAnsi="Times New Roman"/>
          <w:color w:val="000000" w:themeColor="text1"/>
          <w:sz w:val="16"/>
          <w:szCs w:val="16"/>
        </w:rPr>
        <w:t>В.А.Зарзара</w:t>
      </w:r>
      <w:proofErr w:type="spellEnd"/>
      <w:r w:rsidRPr="00A259BD">
        <w:rPr>
          <w:rFonts w:ascii="Times New Roman" w:hAnsi="Times New Roman"/>
          <w:color w:val="000000" w:themeColor="text1"/>
          <w:sz w:val="16"/>
          <w:szCs w:val="16"/>
        </w:rPr>
        <w:t>. Решили делать аэрофотосъемочный металлический на основе Р-6, усовершенствовать АНТ-2 и переделать его в 4-х местный с мотором от АНТ-9, конструировать трехмоторный пассажирский для морских сообщений (351). В ЦАГИ получено 31 октября 1929 и N 1084 (351).</w:t>
      </w:r>
    </w:p>
    <w:p w14:paraId="5F5FFC2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ИЗ ПРОТОКОЛА</w:t>
      </w:r>
    </w:p>
    <w:p w14:paraId="005A65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СОВЕЩАНИЙ ПО ВОПРОСУ ОБ ОПЫТНОМ СТРОИТЕЛЬСТВЕ САМОЛЕТОВ И МОТОРОВ ДЛЯ ГРАЖДАНСКОЙ АВИАЦИИ</w:t>
      </w:r>
    </w:p>
    <w:p w14:paraId="26F8863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26 октября 1929 года</w:t>
      </w:r>
    </w:p>
    <w:p w14:paraId="274181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Аэрофотосъемочный двухмоторный металлический самолет.</w:t>
      </w:r>
    </w:p>
    <w:p w14:paraId="1702FF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Призвать машину необходимой, выявить возможность приспособле</w:t>
      </w:r>
      <w:r w:rsidRPr="00A259BD">
        <w:rPr>
          <w:rFonts w:ascii="Times New Roman" w:hAnsi="Times New Roman"/>
          <w:color w:val="000000" w:themeColor="text1"/>
          <w:sz w:val="16"/>
          <w:szCs w:val="16"/>
        </w:rPr>
        <w:softHyphen/>
        <w:t>ния самолета “Р-6” с условием возможности удовлетворения всех хо</w:t>
      </w:r>
      <w:r w:rsidRPr="00A259BD">
        <w:rPr>
          <w:rFonts w:ascii="Times New Roman" w:hAnsi="Times New Roman"/>
          <w:color w:val="000000" w:themeColor="text1"/>
          <w:sz w:val="16"/>
          <w:szCs w:val="16"/>
        </w:rPr>
        <w:softHyphen/>
        <w:t>зяйственных требований, предъявляемых к аэросъемочному самолету. Произвести эти работы в текущем году, в случав невозможности при</w:t>
      </w:r>
      <w:r w:rsidRPr="00A259BD">
        <w:rPr>
          <w:rFonts w:ascii="Times New Roman" w:hAnsi="Times New Roman"/>
          <w:color w:val="000000" w:themeColor="text1"/>
          <w:sz w:val="16"/>
          <w:szCs w:val="16"/>
        </w:rPr>
        <w:softHyphen/>
        <w:t xml:space="preserve">способления самолета “Р-6” </w:t>
      </w:r>
      <w:proofErr w:type="spellStart"/>
      <w:r w:rsidRPr="00A259BD">
        <w:rPr>
          <w:rFonts w:ascii="Times New Roman" w:hAnsi="Times New Roman"/>
          <w:color w:val="000000" w:themeColor="text1"/>
          <w:sz w:val="16"/>
          <w:szCs w:val="16"/>
        </w:rPr>
        <w:t>отлоиить</w:t>
      </w:r>
      <w:proofErr w:type="spellEnd"/>
      <w:r w:rsidRPr="00A259BD">
        <w:rPr>
          <w:rFonts w:ascii="Times New Roman" w:hAnsi="Times New Roman"/>
          <w:color w:val="000000" w:themeColor="text1"/>
          <w:sz w:val="16"/>
          <w:szCs w:val="16"/>
        </w:rPr>
        <w:t xml:space="preserve"> конструирование на следующий год.</w:t>
      </w:r>
    </w:p>
    <w:p w14:paraId="692182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задание ЦАГИ.</w:t>
      </w:r>
    </w:p>
    <w:p w14:paraId="458C49C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Конструирование одномоторного металлического самолета.</w:t>
      </w:r>
    </w:p>
    <w:p w14:paraId="31F6FE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Внести в план текущего хозяйственного года. Принять следующие условия:</w:t>
      </w:r>
    </w:p>
    <w:p w14:paraId="6B962E0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самолет должен явиться усовершенствованием самолета “АНТ-2" на 4 пассажира;</w:t>
      </w:r>
    </w:p>
    <w:p w14:paraId="7B71DA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сконструировать под тот та мотор, который будет установлен на «АНТ-9",</w:t>
      </w:r>
    </w:p>
    <w:p w14:paraId="59CAE8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задание ЦАГИ</w:t>
      </w:r>
    </w:p>
    <w:p w14:paraId="5851EA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Трехмоторный пассажирский самолет для морских сообщений лодочного типа.</w:t>
      </w:r>
    </w:p>
    <w:p w14:paraId="5992655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Ввести в план конструирование этой машины в текущем году.</w:t>
      </w:r>
    </w:p>
    <w:p w14:paraId="6045B6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задания ЦАГН*</w:t>
      </w:r>
    </w:p>
    <w:p w14:paraId="6D776A26" w14:textId="77777777" w:rsidR="00F547C5" w:rsidRPr="00A259BD" w:rsidRDefault="00F547C5" w:rsidP="009236E3">
      <w:pPr>
        <w:autoSpaceDE w:val="0"/>
        <w:autoSpaceDN w:val="0"/>
        <w:adjustRightInd w:val="0"/>
        <w:spacing w:after="0" w:line="240" w:lineRule="auto"/>
        <w:jc w:val="both"/>
        <w:rPr>
          <w:rFonts w:ascii="Times New Roman" w:hAnsi="Times New Roman"/>
          <w:smallCaps/>
          <w:color w:val="000000" w:themeColor="text1"/>
          <w:sz w:val="16"/>
          <w:szCs w:val="16"/>
        </w:rPr>
      </w:pPr>
      <w:proofErr w:type="spellStart"/>
      <w:r w:rsidRPr="00A259BD">
        <w:rPr>
          <w:rFonts w:ascii="Times New Roman" w:hAnsi="Times New Roman"/>
          <w:color w:val="000000" w:themeColor="text1"/>
          <w:sz w:val="16"/>
          <w:szCs w:val="16"/>
        </w:rPr>
        <w:t>П.п</w:t>
      </w:r>
      <w:proofErr w:type="spellEnd"/>
      <w:r w:rsidRPr="00A259BD">
        <w:rPr>
          <w:rFonts w:ascii="Times New Roman" w:hAnsi="Times New Roman"/>
          <w:color w:val="000000" w:themeColor="text1"/>
          <w:sz w:val="16"/>
          <w:szCs w:val="16"/>
        </w:rPr>
        <w:t xml:space="preserve">. ПРЕДСЕДАТЕЛЬ: (подпись) (Я.И. </w:t>
      </w:r>
      <w:proofErr w:type="spellStart"/>
      <w:r w:rsidRPr="00A259BD">
        <w:rPr>
          <w:rFonts w:ascii="Times New Roman" w:hAnsi="Times New Roman"/>
          <w:smallCaps/>
          <w:color w:val="000000" w:themeColor="text1"/>
          <w:sz w:val="16"/>
          <w:szCs w:val="16"/>
        </w:rPr>
        <w:t>алкснис</w:t>
      </w:r>
      <w:proofErr w:type="spellEnd"/>
      <w:r w:rsidRPr="00A259BD">
        <w:rPr>
          <w:rFonts w:ascii="Times New Roman" w:hAnsi="Times New Roman"/>
          <w:smallCaps/>
          <w:color w:val="000000" w:themeColor="text1"/>
          <w:sz w:val="16"/>
          <w:szCs w:val="16"/>
        </w:rPr>
        <w:t>)</w:t>
      </w:r>
    </w:p>
    <w:p w14:paraId="193014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П.п</w:t>
      </w:r>
      <w:proofErr w:type="spellEnd"/>
      <w:r w:rsidRPr="00A259BD">
        <w:rPr>
          <w:rFonts w:ascii="Times New Roman" w:hAnsi="Times New Roman"/>
          <w:color w:val="000000" w:themeColor="text1"/>
          <w:sz w:val="16"/>
          <w:szCs w:val="16"/>
        </w:rPr>
        <w:t>. СЕКРЕТАРЬ: (подпись) (</w:t>
      </w:r>
      <w:proofErr w:type="spellStart"/>
      <w:r w:rsidRPr="00A259BD">
        <w:rPr>
          <w:rFonts w:ascii="Times New Roman" w:hAnsi="Times New Roman"/>
          <w:color w:val="000000" w:themeColor="text1"/>
          <w:sz w:val="16"/>
          <w:szCs w:val="16"/>
        </w:rPr>
        <w:t>Г.И.Силин</w:t>
      </w:r>
      <w:proofErr w:type="spellEnd"/>
      <w:r w:rsidRPr="00A259BD">
        <w:rPr>
          <w:rFonts w:ascii="Times New Roman" w:hAnsi="Times New Roman"/>
          <w:color w:val="000000" w:themeColor="text1"/>
          <w:sz w:val="16"/>
          <w:szCs w:val="16"/>
        </w:rPr>
        <w:t>) (351,53).</w:t>
      </w:r>
    </w:p>
    <w:p w14:paraId="648539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F45AA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6A47638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C32E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октября 1929 г. по приказу командарма Н.Н. Блюхера к устью Сунгари перебрасывалась из города Спасска 40-я бомбардировочная эскадрилья им. В.И. Ленина. В ее составе насчитывалось 15 самолётов Р-1, командиром был старший летнаб Карклин. Эскадрилья незадолго до этих событий передислоцировалась в Спасск из западных районов страны. По пути сделали посадку на аэродроме в Хабаровске. В служебном донесении Карклин писал: “Плохо обстояло дело с питанием и транспортированием лётного состава. Питались где попало и чем попало, так как жалование у всех было на исходе, а другими видами довольствия на пути следования обеспечены не были”. На всех Р-1 сороковой эскадрильи стояли бомбардировочные оптические прицелы Герца. В Хабаровске сухопутные летчики, не имевшие опыта в поражении морских целей, тренировались в бомбометании по неподвижному кораблю - старому списанному монитору “Смерч”. Пять самолетов (из 15) бросали бомбы с высоты 600-800 метров. Из пятнадцати сброшенных </w:t>
      </w:r>
      <w:proofErr w:type="spellStart"/>
      <w:r w:rsidRPr="00A259BD">
        <w:rPr>
          <w:rFonts w:ascii="Times New Roman" w:hAnsi="Times New Roman"/>
          <w:color w:val="000000" w:themeColor="text1"/>
          <w:sz w:val="16"/>
          <w:szCs w:val="16"/>
        </w:rPr>
        <w:t>прицелоч-ных</w:t>
      </w:r>
      <w:proofErr w:type="spellEnd"/>
      <w:r w:rsidRPr="00A259BD">
        <w:rPr>
          <w:rFonts w:ascii="Times New Roman" w:hAnsi="Times New Roman"/>
          <w:color w:val="000000" w:themeColor="text1"/>
          <w:sz w:val="16"/>
          <w:szCs w:val="16"/>
        </w:rPr>
        <w:t xml:space="preserve"> и десяти боевых фугасных бомб АФ-32 (весом по 32 кг) ни одна не попала в цель. Разрыв бомб в 2-3 метрах от корабля не оказал никакого влияния на его корпус. Когда 10 октября 1929 г. эскадрилья перелетала в Михайло-Семеновское, маршрут для скрытности проложили в стороне от границы. Сухопутный аэродром был небольшим, что позволяло производить взлет и посадку самолетов только с одного направления. До начала операции его срочно расширили, и стала возможной посадка с двух направлений (9978).</w:t>
      </w:r>
    </w:p>
    <w:p w14:paraId="0DCB99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DBBD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октября 1929 бомбардиры 40-й эскадрильи изучили с воздуха район боевых действий, включая рейд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xml:space="preserve">, внешний вид и дислокацию целей. Для скрытности облеты Амура производились не на Р-1, а на МР-1, к полетам которых китайцы привыкли уже с середины 1929 г. Начало операции планировалось на утро 11 октября. Но затем его пришлось перенести на утро 12-го, поскольку возникли трудности с переброской 2-й стрелковой дивизии к месту сосредоточения десанта. Появившийся резерв времени использовали для дополнительной подготовки. На самолете МР-1 еще раз поднялись в воздух командиры 5-го и 6-го стрелковых полков -для рекогносцировки района </w:t>
      </w:r>
      <w:proofErr w:type="spellStart"/>
      <w:r w:rsidRPr="00A259BD">
        <w:rPr>
          <w:rFonts w:ascii="Times New Roman" w:hAnsi="Times New Roman"/>
          <w:color w:val="000000" w:themeColor="text1"/>
          <w:sz w:val="16"/>
          <w:szCs w:val="16"/>
        </w:rPr>
        <w:t>Лахасусу-Чичиха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Могонха</w:t>
      </w:r>
      <w:proofErr w:type="spellEnd"/>
      <w:r w:rsidRPr="00A259BD">
        <w:rPr>
          <w:rFonts w:ascii="Times New Roman" w:hAnsi="Times New Roman"/>
          <w:color w:val="000000" w:themeColor="text1"/>
          <w:sz w:val="16"/>
          <w:szCs w:val="16"/>
        </w:rPr>
        <w:t xml:space="preserve">. Общая задача </w:t>
      </w:r>
      <w:proofErr w:type="spellStart"/>
      <w:r w:rsidRPr="00A259BD">
        <w:rPr>
          <w:rFonts w:ascii="Times New Roman" w:hAnsi="Times New Roman"/>
          <w:color w:val="000000" w:themeColor="text1"/>
          <w:sz w:val="16"/>
          <w:szCs w:val="16"/>
        </w:rPr>
        <w:t>Сунгарийской</w:t>
      </w:r>
      <w:proofErr w:type="spellEnd"/>
      <w:r w:rsidRPr="00A259BD">
        <w:rPr>
          <w:rFonts w:ascii="Times New Roman" w:hAnsi="Times New Roman"/>
          <w:color w:val="000000" w:themeColor="text1"/>
          <w:sz w:val="16"/>
          <w:szCs w:val="16"/>
        </w:rPr>
        <w:t xml:space="preserve"> группировки и Амурской флотилии состояла в блокировании, а затем и уничтожении флотилии противника, а также в проведении десантной операции в устье Сунгари. После этого, развивая успех, предполагалось разгромить сухопутные части, занять расположенный близ устья город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xml:space="preserve">, и далее проводить наступление вдоль Сунгари. Штаб допускал, что у китайцев есть самолеты (предположительно, два разведчика-бомбардировщика французской постройки), поэтому 68-й отдельный авиационный отряд (ОАО) должен был выделить два самолета для патрулирования, прикрытия базы флотилии в Хабаровске, моста через Амур и для связи. Остальные самолеты 68-го ОАО и 40-я бомбардировочная эскадрилья (БЭ) должны вылетать 12 октября в 5 часов 45 минут из селения Михайло-Семёновское для бомбёжки кораблей противника и береговых батарей. Сигналом к вылету является переданная с флагманского корабля радиограмма: “Завтра собраться на совещание в школе”. Этот сигнал дублируется двумя белыми ракетами, запускаемыми с самолета командира объединенной авиагруппы. Бомбометание должно производиться с высоты 700 метров - для нанесения наибольшего ущерба кораблям как на рейде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xml:space="preserve">, так и при попытках их прорыва вверх по Сунгари (преследовать </w:t>
      </w:r>
      <w:proofErr w:type="spellStart"/>
      <w:r w:rsidRPr="00A259BD">
        <w:rPr>
          <w:rFonts w:ascii="Times New Roman" w:hAnsi="Times New Roman"/>
          <w:color w:val="000000" w:themeColor="text1"/>
          <w:sz w:val="16"/>
          <w:szCs w:val="16"/>
        </w:rPr>
        <w:t>преполагалось</w:t>
      </w:r>
      <w:proofErr w:type="spellEnd"/>
      <w:r w:rsidRPr="00A259BD">
        <w:rPr>
          <w:rFonts w:ascii="Times New Roman" w:hAnsi="Times New Roman"/>
          <w:color w:val="000000" w:themeColor="text1"/>
          <w:sz w:val="16"/>
          <w:szCs w:val="16"/>
        </w:rPr>
        <w:t xml:space="preserve"> до самого </w:t>
      </w:r>
      <w:proofErr w:type="spellStart"/>
      <w:r w:rsidRPr="00A259BD">
        <w:rPr>
          <w:rFonts w:ascii="Times New Roman" w:hAnsi="Times New Roman"/>
          <w:color w:val="000000" w:themeColor="text1"/>
          <w:sz w:val="16"/>
          <w:szCs w:val="16"/>
        </w:rPr>
        <w:t>Фугдина</w:t>
      </w:r>
      <w:proofErr w:type="spellEnd"/>
      <w:r w:rsidRPr="00A259BD">
        <w:rPr>
          <w:rFonts w:ascii="Times New Roman" w:hAnsi="Times New Roman"/>
          <w:color w:val="000000" w:themeColor="text1"/>
          <w:sz w:val="16"/>
          <w:szCs w:val="16"/>
        </w:rPr>
        <w:t>). После выполнения основной задачи самолеты должны оказывать содействие сухопутным частям, поддерживая их бомбами, пулеметным огнем, производить в их интересах разведку, осуществлять связь. Повторное бомбометание производить, не дожидаясь получения соответствующих приказов из штаба (9978).</w:t>
      </w:r>
    </w:p>
    <w:p w14:paraId="470F68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5223C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октября 1929 советская Амурская флотилия вошла в устье реки Сунгари. Бомбовым ударом 40-й эскадрильи и огнем кораблей были выведены из строя канонерская лодка, три вооруженных парохода (причем один - только авиацией) и баржа-</w:t>
      </w:r>
      <w:proofErr w:type="spellStart"/>
      <w:r w:rsidRPr="00A259BD">
        <w:rPr>
          <w:rFonts w:ascii="Times New Roman" w:hAnsi="Times New Roman"/>
          <w:color w:val="000000" w:themeColor="text1"/>
          <w:sz w:val="16"/>
          <w:szCs w:val="16"/>
        </w:rPr>
        <w:t>плавбатарея</w:t>
      </w:r>
      <w:proofErr w:type="spellEnd"/>
      <w:r w:rsidRPr="00A259BD">
        <w:rPr>
          <w:rFonts w:ascii="Times New Roman" w:hAnsi="Times New Roman"/>
          <w:color w:val="000000" w:themeColor="text1"/>
          <w:sz w:val="16"/>
          <w:szCs w:val="16"/>
        </w:rPr>
        <w:t xml:space="preserve">, захваченная позже нашим десантом. Высадку войск на берег у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xml:space="preserve"> поддерживал 68-й отряд на МР-1, базировавшийся на плавбазе «Амур». Он подавил китайскую батарею у деревни </w:t>
      </w:r>
      <w:proofErr w:type="spellStart"/>
      <w:r w:rsidRPr="00A259BD">
        <w:rPr>
          <w:rFonts w:ascii="Times New Roman" w:hAnsi="Times New Roman"/>
          <w:color w:val="000000" w:themeColor="text1"/>
          <w:sz w:val="16"/>
          <w:szCs w:val="16"/>
        </w:rPr>
        <w:t>Чичиха</w:t>
      </w:r>
      <w:proofErr w:type="spellEnd"/>
      <w:r w:rsidRPr="00A259BD">
        <w:rPr>
          <w:rFonts w:ascii="Times New Roman" w:hAnsi="Times New Roman"/>
          <w:color w:val="000000" w:themeColor="text1"/>
          <w:sz w:val="16"/>
          <w:szCs w:val="16"/>
        </w:rPr>
        <w:t>.</w:t>
      </w:r>
    </w:p>
    <w:p w14:paraId="7D7125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«Амур» сопровождал флотилию при движении вверх по реке. Его гидропланы вели разведку и наносили удары по кораблям и береговым позициям китайцев. В частности, 30 октября они пресекли попытку загородить фарватер затоплением барж с камнем. Летчики потопили один пароход и баржу, а остальные отогнали вверх по реке. При этом также значительные повреждения получила канонерка «</w:t>
      </w:r>
      <w:proofErr w:type="spellStart"/>
      <w:r w:rsidRPr="00A259BD">
        <w:rPr>
          <w:rFonts w:ascii="Times New Roman" w:hAnsi="Times New Roman"/>
          <w:color w:val="000000" w:themeColor="text1"/>
          <w:sz w:val="16"/>
          <w:szCs w:val="16"/>
        </w:rPr>
        <w:t>Кианг-Хын</w:t>
      </w:r>
      <w:proofErr w:type="spellEnd"/>
      <w:r w:rsidRPr="00A259BD">
        <w:rPr>
          <w:rFonts w:ascii="Times New Roman" w:hAnsi="Times New Roman"/>
          <w:color w:val="000000" w:themeColor="text1"/>
          <w:sz w:val="16"/>
          <w:szCs w:val="16"/>
        </w:rPr>
        <w:t xml:space="preserve">», которая позже затонула на рейде </w:t>
      </w:r>
      <w:proofErr w:type="spellStart"/>
      <w:r w:rsidRPr="00A259BD">
        <w:rPr>
          <w:rFonts w:ascii="Times New Roman" w:hAnsi="Times New Roman"/>
          <w:color w:val="000000" w:themeColor="text1"/>
          <w:sz w:val="16"/>
          <w:szCs w:val="16"/>
        </w:rPr>
        <w:t>Фугдина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Фуцзиня</w:t>
      </w:r>
      <w:proofErr w:type="spellEnd"/>
      <w:r w:rsidRPr="00A259BD">
        <w:rPr>
          <w:rFonts w:ascii="Times New Roman" w:hAnsi="Times New Roman"/>
          <w:color w:val="000000" w:themeColor="text1"/>
          <w:sz w:val="16"/>
          <w:szCs w:val="16"/>
        </w:rPr>
        <w:t xml:space="preserve">). Через оставшийся свободным проход корабли Амурской флотилии с десантом на борту поднялись вверх по реке и при поддержке самолетов взяли </w:t>
      </w:r>
      <w:proofErr w:type="spellStart"/>
      <w:r w:rsidRPr="00A259BD">
        <w:rPr>
          <w:rFonts w:ascii="Times New Roman" w:hAnsi="Times New Roman"/>
          <w:color w:val="000000" w:themeColor="text1"/>
          <w:sz w:val="16"/>
          <w:szCs w:val="16"/>
        </w:rPr>
        <w:t>Фугдин</w:t>
      </w:r>
      <w:proofErr w:type="spellEnd"/>
      <w:r w:rsidRPr="00A259BD">
        <w:rPr>
          <w:rFonts w:ascii="Times New Roman" w:hAnsi="Times New Roman"/>
          <w:color w:val="000000" w:themeColor="text1"/>
          <w:sz w:val="16"/>
          <w:szCs w:val="16"/>
        </w:rPr>
        <w:t>.</w:t>
      </w:r>
    </w:p>
    <w:p w14:paraId="78C6E7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С запада на восток по трассе КВЖД наносила удар Забайкальская группа войск; в нее входила одна эскадрилья и два авиаотряда (всего 31 Р-1), располагавшиеся на аэродроме Даурия. 17 ноября после налета авиации танки перерезали железную дорогу на участке Манчжурия-</w:t>
      </w:r>
      <w:proofErr w:type="spellStart"/>
      <w:r w:rsidRPr="00A259BD">
        <w:rPr>
          <w:rFonts w:ascii="Times New Roman" w:hAnsi="Times New Roman"/>
          <w:color w:val="000000" w:themeColor="text1"/>
          <w:sz w:val="16"/>
          <w:szCs w:val="16"/>
        </w:rPr>
        <w:t>Джайланор</w:t>
      </w:r>
      <w:proofErr w:type="spellEnd"/>
      <w:r w:rsidRPr="00A259BD">
        <w:rPr>
          <w:rFonts w:ascii="Times New Roman" w:hAnsi="Times New Roman"/>
          <w:color w:val="000000" w:themeColor="text1"/>
          <w:sz w:val="16"/>
          <w:szCs w:val="16"/>
        </w:rPr>
        <w:t>. Кавалерия начала развивать прорыв, авиация бомбила скопления китайцев. В одном случае произошел конфуз: вместо пехоты и кавалерии под бомбы попали стада скота, которые гнали по дороге кочевники-монголы. Оправдываясь, летчики объясняли, что с высоты овцы очень похожи на пехоту в серых шинелях, а коровы и верблюды — на кавалерию.</w:t>
      </w:r>
    </w:p>
    <w:p w14:paraId="01AD08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 </w:t>
      </w:r>
      <w:proofErr w:type="spellStart"/>
      <w:r w:rsidRPr="00A259BD">
        <w:rPr>
          <w:rFonts w:ascii="Times New Roman" w:hAnsi="Times New Roman"/>
          <w:color w:val="000000" w:themeColor="text1"/>
          <w:sz w:val="16"/>
          <w:szCs w:val="16"/>
        </w:rPr>
        <w:t>Джайланором</w:t>
      </w:r>
      <w:proofErr w:type="spellEnd"/>
      <w:r w:rsidRPr="00A259BD">
        <w:rPr>
          <w:rFonts w:ascii="Times New Roman" w:hAnsi="Times New Roman"/>
          <w:color w:val="000000" w:themeColor="text1"/>
          <w:sz w:val="16"/>
          <w:szCs w:val="16"/>
        </w:rPr>
        <w:t xml:space="preserve"> впервые имело место взаимодействие авиации и мотопехоты. Пресекая попытку китайцев вырваться из окружения, летчики сработали как загонщики. Они пулеметным огнем погнали врага на цепь грузовиков АМО с пулеметами, которые окончательно добили противника.</w:t>
      </w:r>
    </w:p>
    <w:p w14:paraId="662344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Одновременно с запада вновь начала наступать Приморская группа войск; она шла на </w:t>
      </w:r>
      <w:proofErr w:type="spellStart"/>
      <w:r w:rsidRPr="00A259BD">
        <w:rPr>
          <w:rFonts w:ascii="Times New Roman" w:hAnsi="Times New Roman"/>
          <w:color w:val="000000" w:themeColor="text1"/>
          <w:sz w:val="16"/>
          <w:szCs w:val="16"/>
        </w:rPr>
        <w:t>Мишаньфу</w:t>
      </w:r>
      <w:proofErr w:type="spellEnd"/>
      <w:r w:rsidRPr="00A259BD">
        <w:rPr>
          <w:rFonts w:ascii="Times New Roman" w:hAnsi="Times New Roman"/>
          <w:color w:val="000000" w:themeColor="text1"/>
          <w:sz w:val="16"/>
          <w:szCs w:val="16"/>
        </w:rPr>
        <w:t xml:space="preserve">. Очень эффективно работала авиация по переправам через реку </w:t>
      </w:r>
      <w:proofErr w:type="spellStart"/>
      <w:r w:rsidRPr="00A259BD">
        <w:rPr>
          <w:rFonts w:ascii="Times New Roman" w:hAnsi="Times New Roman"/>
          <w:color w:val="000000" w:themeColor="text1"/>
          <w:sz w:val="16"/>
          <w:szCs w:val="16"/>
        </w:rPr>
        <w:t>Мурень</w:t>
      </w:r>
      <w:proofErr w:type="spellEnd"/>
      <w:r w:rsidRPr="00A259BD">
        <w:rPr>
          <w:rFonts w:ascii="Times New Roman" w:hAnsi="Times New Roman"/>
          <w:color w:val="000000" w:themeColor="text1"/>
          <w:sz w:val="16"/>
          <w:szCs w:val="16"/>
        </w:rPr>
        <w:t>, по которым отходили китайские войска. Плотные скопления солдат представляли собой отличную цель и для пулеметного огня, и для мелких осколочных бомб. Последние рвались, поражая по пять-восемь человек одновременно.</w:t>
      </w:r>
    </w:p>
    <w:p w14:paraId="720282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Наступление холодов существенно осложнило работу авиации. Уже при 15 градусах мороза приборы на Р-1 начинали «врать», воздушные пузырьки делали невидимой стрелку компаса. При 25 градусах останавливались часы на приборной доске, переставала перематываться пленка в фотоаппарате. Еще раньше замерзала резиновая груша, при помощи которой летнаб спускал затвор фотокамеры; ее для отогрева попросту засовывали в штаны...</w:t>
      </w:r>
    </w:p>
    <w:p w14:paraId="656662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Увеличилось время подготовки самолетов к вылету. На группу из 12-14 машин уходило до двух часов. Воду и масло грели в «гончарках» (обогревателях Гончарова) или полевых кухнях.</w:t>
      </w:r>
    </w:p>
    <w:p w14:paraId="23E226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Самолеты бомбили вражеские аэродромы, склады, казармы, железнодорожные станции. После капитуляции гарнизона станции Манчжурия летчики искали в степи разбегающихся вражеских солдат и наводили на них красноармейцев.</w:t>
      </w:r>
    </w:p>
    <w:p w14:paraId="35D9EA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Весь период боевых действий китайская авиация не проявляла большой активности; не было зафиксировано ни одного воздушного боя. Зенитной артиллерии у противника почти не имелось, от атакующих самолетов китайские солдаты отбивались только огнем винтовок и пулеметов.</w:t>
      </w:r>
    </w:p>
    <w:p w14:paraId="040827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Боевые действия шли до 6 декабря и кончились полной капитуляцией врага. Советская авиация потеряла четыре Р-1 и два МР-1; ни один из них не был сбит китайцами. Три Р-1 сожгли сами экипажи после вынужденных посадок (из них два - по ошибке, на своей территории), один разбился в тренировочном полете. Два МР-1 тоже совершили вынужденные посадки (причем один на поплавках - на суше!). Один из них сожгли сами, второй разбил бронированным бортом монитор «Ленин», снимавший с самолета экипаж.</w:t>
      </w:r>
    </w:p>
    <w:p w14:paraId="47EA96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Имелись потери среди летного состава, один экипаж попал в плен к китайцам; его дальнейшая судьба осталась неизвестной.</w:t>
      </w:r>
    </w:p>
    <w:p w14:paraId="0DA6D4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Хотя Р-1 состояли на вооружении еще около пяти лет, воевать в рядах ВВС РККА им более не довелось (11923).</w:t>
      </w:r>
    </w:p>
    <w:p w14:paraId="542440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CAE11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B29F57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3BB96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октября 1929 ЦАГИ, в ответ на сентябрьское письмо УВВС о желании получить часть серийных ТБ-1 в морском варианте и о рекомендуемом типе поплавков, предлагал использовать в качестве образца поплавки, поставляемые фирмой "Юнкере" для самолета ЮГ-1, с некоторой переделкой передней части. От проектирования новых поплавков институт отказался. 30 октября в УВВС решили заказать морское шасси в Англии, у известной фирмы "Шорт".</w:t>
      </w:r>
    </w:p>
    <w:p w14:paraId="5E96E5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 тут срочно потребовались поплавки для перелета в Америку. Скопировав немецкую конструкцию, их изготовили по чертежам ЦАГИ на заводе № 22. В Таганроге поплавки смонтировали на "дублере" и успешно испытали. Там самолет потерпел аварию - разрушилась лопасть винта, но машину быстро отремонтировали. Впоследствии на этих поплавках "Страна Советов" благополучно проделала значительную часть своего маршрута.</w:t>
      </w:r>
    </w:p>
    <w:p w14:paraId="5DFE14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Тем временем "Шорт" продала Советскому Союзу пару поплавков подходящей грузоподъемности. Они были немного больше использованных ранее и имели более "полные" очертания. В апреле 1931 г. в Таганрог перегнали один из серийных ТБ-1. Три месяца заняли его сборка и установка на поплавки. 15 июня машину передали морскому отделу НИИ ВВС для госиспытаний. Их проводили в Севастополе до конца августа. Поплавковый вариант в АГОС назвали ТБ-1 а ("а" - от "</w:t>
      </w:r>
      <w:proofErr w:type="spellStart"/>
      <w:r w:rsidRPr="00A259BD">
        <w:rPr>
          <w:rFonts w:ascii="Times New Roman" w:hAnsi="Times New Roman"/>
          <w:color w:val="000000" w:themeColor="text1"/>
          <w:sz w:val="16"/>
          <w:szCs w:val="16"/>
        </w:rPr>
        <w:t>аква</w:t>
      </w:r>
      <w:proofErr w:type="spellEnd"/>
      <w:r w:rsidRPr="00A259BD">
        <w:rPr>
          <w:rFonts w:ascii="Times New Roman" w:hAnsi="Times New Roman"/>
          <w:color w:val="000000" w:themeColor="text1"/>
          <w:sz w:val="16"/>
          <w:szCs w:val="16"/>
        </w:rPr>
        <w:t>" - "вода").</w:t>
      </w:r>
    </w:p>
    <w:p w14:paraId="775BAC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Увеличение веса пустого самолета и дополнительное аэродинамическое сопротивление от поплавков, разумеется,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поплавковыми ЮГ-1 и летающими лодками "Валь", ТБ-1а выгодно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12F473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Начали готовиться к серийному производству поплавков. Английский образец обмерили и выполнили чертежи. Серию хотели поручить заводу № 22, но он был перегружен другими заказами. В результате документацию и поплавок-образец перевезли в Таганрог. Там их стали производить под названием "тип Ж" и устанавливать на самолеты, прибывавшие из Москвы.</w:t>
      </w:r>
    </w:p>
    <w:p w14:paraId="470F25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Монтаж поплавков велся уже после прекращения производства ТБ-1. Всего доработке подверглись 66 самолетов. Серийные поплавковые бомбардировщики именовали ТБ-1П или иногда МТБ-1.</w:t>
      </w:r>
    </w:p>
    <w:p w14:paraId="2B2195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Принятие на вооружение ТБ-1П сделало ненужным серийное производство другой машины, ТОМ-1. Этот самолет разрабатывался с августа 1928 г. в конструкторском бюро при заводе № 28 под руководством приглашенного из Франции конструктора П. Ришара. По схеме он был близок к ТБ-1П, но получился больше, тяжелее и имел гладкую, а не гофрированную обшивку. Опытный образец ТОМ-1 изготовили в декабре 1931 г. Хотя эта машина значительно превосходила ТБ-1 а по летным данным, от ее запуска в серию отказались из-за технологической сложности и дороговизны конструкции (12001).</w:t>
      </w:r>
    </w:p>
    <w:p w14:paraId="427511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C2BAB7" w14:textId="77777777" w:rsidR="00F658D1" w:rsidRPr="00A259BD" w:rsidRDefault="00F658D1" w:rsidP="009236E3">
      <w:pPr>
        <w:spacing w:after="0" w:line="240" w:lineRule="auto"/>
        <w:jc w:val="both"/>
        <w:rPr>
          <w:rFonts w:ascii="Times New Roman" w:hAnsi="Times New Roman"/>
          <w:color w:val="000000" w:themeColor="text1"/>
          <w:sz w:val="16"/>
          <w:szCs w:val="16"/>
          <w:lang w:eastAsia="ru-RU" w:bidi="ru-RU"/>
        </w:rPr>
      </w:pPr>
      <w:r w:rsidRPr="00A259BD">
        <w:rPr>
          <w:rFonts w:ascii="Times New Roman" w:hAnsi="Times New Roman"/>
          <w:color w:val="000000" w:themeColor="text1"/>
          <w:sz w:val="16"/>
          <w:szCs w:val="16"/>
          <w:lang w:eastAsia="ru-RU" w:bidi="ru-RU"/>
        </w:rPr>
        <w:t>11 октября 1929 ЦАГИ предлагал использовать в качестве об</w:t>
      </w:r>
      <w:r w:rsidRPr="00A259BD">
        <w:rPr>
          <w:rFonts w:ascii="Times New Roman" w:hAnsi="Times New Roman"/>
          <w:color w:val="000000" w:themeColor="text1"/>
          <w:sz w:val="16"/>
          <w:szCs w:val="16"/>
          <w:lang w:eastAsia="ru-RU" w:bidi="ru-RU"/>
        </w:rPr>
        <w:softHyphen/>
        <w:t>разца для ТБ-1 поплавки, поставляемые фирмой «Юнкерс» для са</w:t>
      </w:r>
      <w:r w:rsidRPr="00A259BD">
        <w:rPr>
          <w:rFonts w:ascii="Times New Roman" w:hAnsi="Times New Roman"/>
          <w:color w:val="000000" w:themeColor="text1"/>
          <w:sz w:val="16"/>
          <w:szCs w:val="16"/>
          <w:lang w:eastAsia="ru-RU" w:bidi="ru-RU"/>
        </w:rPr>
        <w:softHyphen/>
        <w:t>молета ЮГ-1, с некоторой переделкой передней части. От проектирования новых поплавков институт отказался. 30 ок</w:t>
      </w:r>
      <w:r w:rsidRPr="00A259BD">
        <w:rPr>
          <w:rFonts w:ascii="Times New Roman" w:hAnsi="Times New Roman"/>
          <w:color w:val="000000" w:themeColor="text1"/>
          <w:sz w:val="16"/>
          <w:szCs w:val="16"/>
          <w:lang w:eastAsia="ru-RU" w:bidi="ru-RU"/>
        </w:rPr>
        <w:softHyphen/>
        <w:t>тября в УВВС решили заказать поплавковое шасси в Англии, у известной фирмы «Шорт». Тем временем «Шорт» продала Советскому Союзу пару поплавков подходящей грузоподъемности. Они были не</w:t>
      </w:r>
      <w:r w:rsidRPr="00A259BD">
        <w:rPr>
          <w:rFonts w:ascii="Times New Roman" w:hAnsi="Times New Roman"/>
          <w:color w:val="000000" w:themeColor="text1"/>
          <w:sz w:val="16"/>
          <w:szCs w:val="16"/>
          <w:lang w:eastAsia="ru-RU" w:bidi="ru-RU"/>
        </w:rPr>
        <w:softHyphen/>
        <w:t>много больше использованных ранее и имели более «пол</w:t>
      </w:r>
      <w:r w:rsidRPr="00A259BD">
        <w:rPr>
          <w:rFonts w:ascii="Times New Roman" w:hAnsi="Times New Roman"/>
          <w:color w:val="000000" w:themeColor="text1"/>
          <w:sz w:val="16"/>
          <w:szCs w:val="16"/>
          <w:lang w:eastAsia="ru-RU" w:bidi="ru-RU"/>
        </w:rPr>
        <w:softHyphen/>
        <w:t>ные» очертания (20325).</w:t>
      </w:r>
    </w:p>
    <w:p w14:paraId="4481C79C" w14:textId="77777777" w:rsidR="00F658D1" w:rsidRPr="00A259BD" w:rsidRDefault="00F658D1" w:rsidP="009236E3">
      <w:pPr>
        <w:spacing w:after="0" w:line="240" w:lineRule="auto"/>
        <w:jc w:val="both"/>
        <w:rPr>
          <w:rFonts w:ascii="Times New Roman" w:hAnsi="Times New Roman"/>
          <w:color w:val="000000" w:themeColor="text1"/>
          <w:sz w:val="16"/>
          <w:szCs w:val="16"/>
          <w:lang w:eastAsia="ru-RU" w:bidi="ru-RU"/>
        </w:rPr>
      </w:pPr>
    </w:p>
    <w:p w14:paraId="203DC1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октября 1929 г. приняли решение о массовом производстве Р-5. За три дня до этого военные уже заказали серию из 15 самолетов для войсковых испытаний. 17 ноября последовал другой заказ на такое же количество машин. Первый предстояло выполнить к 1 апреля 1930 г., второй - к 1 июня. Производство развертывали на заводе № 1 в Москве (11936).</w:t>
      </w:r>
    </w:p>
    <w:p w14:paraId="7C2BED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C33B6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октября 1929 г. состоялось совместное заседание руководства УВВС 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принявшее решение о массовом производстве Р-5. За три дня до этого военными уже была заказана серия из 15 самолетов для войсковых испытаний. 17 ноября последовал другой заказ на такое же количество машин. Первый заказ должен был быть выполнен к 1 апреля 1930 г., второй - к I июня.</w:t>
      </w:r>
    </w:p>
    <w:p w14:paraId="26DB95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Серийное производство развертывалось на московском заводе № 1, тогда самом крупном в стране. Р-5 должен был стать основным самолетом ВВС РККА, массовой многоцелевой машиной (12034).</w:t>
      </w:r>
    </w:p>
    <w:p w14:paraId="5100FA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A624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октября 1929 был подписан дополнительный контракт с Хейнкелем на 20 машин HD.55. Наши приемщики во главе с </w:t>
      </w:r>
      <w:proofErr w:type="spellStart"/>
      <w:r w:rsidRPr="00A259BD">
        <w:rPr>
          <w:rFonts w:ascii="Times New Roman" w:hAnsi="Times New Roman"/>
          <w:color w:val="000000" w:themeColor="text1"/>
          <w:sz w:val="16"/>
          <w:szCs w:val="16"/>
        </w:rPr>
        <w:t>В.Н.Гануличем</w:t>
      </w:r>
      <w:proofErr w:type="spellEnd"/>
      <w:r w:rsidRPr="00A259BD">
        <w:rPr>
          <w:rFonts w:ascii="Times New Roman" w:hAnsi="Times New Roman"/>
          <w:color w:val="000000" w:themeColor="text1"/>
          <w:sz w:val="16"/>
          <w:szCs w:val="16"/>
        </w:rPr>
        <w:t xml:space="preserve"> терроризировали маломощный заводик проверяя все очень тщательно (1083,6).</w:t>
      </w:r>
    </w:p>
    <w:p w14:paraId="59C56A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830B16" w14:textId="77777777" w:rsidR="009B6A7B" w:rsidRPr="00A259BD" w:rsidRDefault="009B6A7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октября 1929 года был подписан дополнительный контракт с Хейнкель еще на 14 летающих лодок HD-55 (сначала по результатам испытаний фирме был сделан заказ на 20 экземпляров этого самолета). Сам Хейнкель позднее написал в своих воспоминаниях, что именно этот советский заказ помог его фирме пережить сложный период начала Великой депрессии, во время которого в </w:t>
      </w:r>
      <w:proofErr w:type="spellStart"/>
      <w:r w:rsidRPr="00A259BD">
        <w:rPr>
          <w:rFonts w:ascii="Times New Roman" w:hAnsi="Times New Roman"/>
          <w:color w:val="000000" w:themeColor="text1"/>
          <w:sz w:val="16"/>
          <w:szCs w:val="16"/>
        </w:rPr>
        <w:t>Германиии</w:t>
      </w:r>
      <w:proofErr w:type="spellEnd"/>
      <w:r w:rsidRPr="00A259BD">
        <w:rPr>
          <w:rFonts w:ascii="Times New Roman" w:hAnsi="Times New Roman"/>
          <w:color w:val="000000" w:themeColor="text1"/>
          <w:sz w:val="16"/>
          <w:szCs w:val="16"/>
        </w:rPr>
        <w:t xml:space="preserve"> разорилось множество авиазаводов.</w:t>
      </w:r>
    </w:p>
    <w:p w14:paraId="0F4CF69B" w14:textId="77777777" w:rsidR="009B6A7B" w:rsidRPr="00A259BD" w:rsidRDefault="009B6A7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Мы — из торгового представительства СССР в Берлине, — сказал мне старший посетитель через переводчика. — Я приехал с предложением построить летающую лодку и катапульту к ней. Скажите только, нет или да, больше мне ничего не надо. Условия мы вам вышлем. Вы должны сделать проект, если он вам понравится, мы сделаем заказ.</w:t>
      </w:r>
    </w:p>
    <w:p w14:paraId="169D40D9" w14:textId="77777777" w:rsidR="009B6A7B" w:rsidRPr="00A259BD" w:rsidRDefault="009B6A7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Я еще ни от одного человека не слышал, чтобы русские нарушали договор или оказались неплатежеспособными. К тому же после события с гидросамолетом </w:t>
      </w:r>
      <w:proofErr w:type="spellStart"/>
      <w:r w:rsidRPr="00A259BD">
        <w:rPr>
          <w:rFonts w:ascii="Times New Roman" w:hAnsi="Times New Roman"/>
          <w:color w:val="000000" w:themeColor="text1"/>
          <w:sz w:val="16"/>
          <w:szCs w:val="16"/>
        </w:rPr>
        <w:t>Хебмне</w:t>
      </w:r>
      <w:proofErr w:type="spellEnd"/>
      <w:r w:rsidRPr="00A259BD">
        <w:rPr>
          <w:rFonts w:ascii="Times New Roman" w:hAnsi="Times New Roman"/>
          <w:color w:val="000000" w:themeColor="text1"/>
          <w:sz w:val="16"/>
          <w:szCs w:val="16"/>
        </w:rPr>
        <w:t xml:space="preserve"> нечего было раздумывать. Преодолевая неприязнь к этим странным посетителям, я произнес: «Да».</w:t>
      </w:r>
    </w:p>
    <w:p w14:paraId="29CD8293" w14:textId="77777777" w:rsidR="009B6A7B" w:rsidRPr="00A259BD" w:rsidRDefault="009B6A7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Первый HD-55 прибыл в СССР к началу 1930 года. На него установили отечественный двигатель М-22 мощностью 480 л.с. и приступили к повторным испытаниям в Гребном порту Ленинграда. Самолет был принят на вооружение под индексом КР-1 («Корабельный разведчик»-1). Машина представляла собой летающую лодку-биплан с деревянной, обтянутой полотном конструкцией. При необходимости крылья, для уменьшения объема, могли складываться назад. Взлетный вес КР-1 составлял 2200 кг, скорость (</w:t>
      </w:r>
      <w:proofErr w:type="spellStart"/>
      <w:r w:rsidRPr="00A259BD">
        <w:rPr>
          <w:rFonts w:ascii="Times New Roman" w:hAnsi="Times New Roman"/>
          <w:color w:val="000000" w:themeColor="text1"/>
          <w:sz w:val="16"/>
          <w:szCs w:val="16"/>
        </w:rPr>
        <w:t>max</w:t>
      </w:r>
      <w:proofErr w:type="spellEnd"/>
      <w:r w:rsidRPr="00A259BD">
        <w:rPr>
          <w:rFonts w:ascii="Times New Roman" w:hAnsi="Times New Roman"/>
          <w:color w:val="000000" w:themeColor="text1"/>
          <w:sz w:val="16"/>
          <w:szCs w:val="16"/>
        </w:rPr>
        <w:t>)-194 км/ч, запаса топлива хватало на 5,5 ч полета. Самолет был вооружен неподвижным пулеметом в передней части, и еще одна турель со спаренными пулеметами устанавливалась в заднюю кабину. В комплекте с самолетом поставлялась 19-тонная катапульта К-3 , разгонявшая КР-1 при старте до скорости 90-120 км/ч. В 1932 году катапульту установили на линкоре «Парижская коммуна», где она сломалась уже после третьего старта. Остальные КР-1 взлетали исключительно с воды. Всего по состоянию на 1931 год на вооружении ВМФ СССР состояло 19 разведчиков КР-1, из которых 12 находились в составе Балтфлота, 6 — на Черноморском флоте и один был передан в НИИ ВВС. В 1938 году КР-1 были сняты с вооружения как устаревшие (18263).</w:t>
      </w:r>
    </w:p>
    <w:p w14:paraId="4C170EA7" w14:textId="77777777" w:rsidR="009B6A7B" w:rsidRPr="00A259BD" w:rsidRDefault="009B6A7B" w:rsidP="009236E3">
      <w:pPr>
        <w:spacing w:after="0" w:line="240" w:lineRule="auto"/>
        <w:jc w:val="both"/>
        <w:rPr>
          <w:rFonts w:ascii="Times New Roman" w:hAnsi="Times New Roman"/>
          <w:color w:val="000000" w:themeColor="text1"/>
          <w:sz w:val="16"/>
          <w:szCs w:val="16"/>
        </w:rPr>
      </w:pPr>
    </w:p>
    <w:p w14:paraId="2B9A00E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lastRenderedPageBreak/>
        <w:t>Армия:</w:t>
      </w:r>
    </w:p>
    <w:p w14:paraId="4E2238E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EE91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11-12 октября 1929 прошла </w:t>
      </w:r>
      <w:proofErr w:type="spellStart"/>
      <w:r w:rsidRPr="00A259BD">
        <w:rPr>
          <w:rFonts w:ascii="Times New Roman" w:hAnsi="Times New Roman"/>
          <w:color w:val="000000" w:themeColor="text1"/>
          <w:sz w:val="16"/>
          <w:szCs w:val="16"/>
        </w:rPr>
        <w:t>Лахасусунская</w:t>
      </w:r>
      <w:proofErr w:type="spellEnd"/>
      <w:r w:rsidRPr="00A259BD">
        <w:rPr>
          <w:rFonts w:ascii="Times New Roman" w:hAnsi="Times New Roman"/>
          <w:color w:val="000000" w:themeColor="text1"/>
          <w:sz w:val="16"/>
          <w:szCs w:val="16"/>
        </w:rPr>
        <w:t xml:space="preserve"> операция кораблей дальневосточной военной флотилии и войск ОДА под руководством </w:t>
      </w:r>
      <w:proofErr w:type="spellStart"/>
      <w:r w:rsidRPr="00A259BD">
        <w:rPr>
          <w:rFonts w:ascii="Times New Roman" w:hAnsi="Times New Roman"/>
          <w:color w:val="000000" w:themeColor="text1"/>
          <w:sz w:val="16"/>
          <w:szCs w:val="16"/>
        </w:rPr>
        <w:t>В.К.Блюхера</w:t>
      </w:r>
      <w:proofErr w:type="spellEnd"/>
      <w:r w:rsidRPr="00A259BD">
        <w:rPr>
          <w:rFonts w:ascii="Times New Roman" w:hAnsi="Times New Roman"/>
          <w:color w:val="000000" w:themeColor="text1"/>
          <w:sz w:val="16"/>
          <w:szCs w:val="16"/>
        </w:rPr>
        <w:t xml:space="preserve"> с целью разгрома </w:t>
      </w:r>
      <w:proofErr w:type="spellStart"/>
      <w:r w:rsidRPr="00A259BD">
        <w:rPr>
          <w:rFonts w:ascii="Times New Roman" w:hAnsi="Times New Roman"/>
          <w:color w:val="000000" w:themeColor="text1"/>
          <w:sz w:val="16"/>
          <w:szCs w:val="16"/>
        </w:rPr>
        <w:t>белокитайцев</w:t>
      </w:r>
      <w:proofErr w:type="spellEnd"/>
      <w:r w:rsidRPr="00A259BD">
        <w:rPr>
          <w:rFonts w:ascii="Times New Roman" w:hAnsi="Times New Roman"/>
          <w:color w:val="000000" w:themeColor="text1"/>
          <w:sz w:val="16"/>
          <w:szCs w:val="16"/>
        </w:rPr>
        <w:t xml:space="preserve"> во время советско-китайского конфликта. Вслед за ударом авиации высадили десант, захватили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Тунцзян</w:t>
      </w:r>
      <w:proofErr w:type="spellEnd"/>
      <w:r w:rsidRPr="00A259BD">
        <w:rPr>
          <w:rFonts w:ascii="Times New Roman" w:hAnsi="Times New Roman"/>
          <w:color w:val="000000" w:themeColor="text1"/>
          <w:sz w:val="16"/>
          <w:szCs w:val="16"/>
        </w:rPr>
        <w:t>) и в тот же день вернулись в СССР (2438,356).</w:t>
      </w:r>
    </w:p>
    <w:p w14:paraId="085A28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C9CD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Вечером 11 октября 1929 в Михайло-Семёновском состоялось совещание начсостава авиагруппы, на котором были распределены цели и указан способ действия. Бомбить китайскую флотилию поручили 40-й эскадрилье, самолеты которой могли поднимать бомбы более крупного калибра. На случай бегства кораблей противника до начала боя, ставилась задача бомбить запасную цель-деревню </w:t>
      </w:r>
      <w:proofErr w:type="spellStart"/>
      <w:r w:rsidRPr="00A259BD">
        <w:rPr>
          <w:rFonts w:ascii="Times New Roman" w:hAnsi="Times New Roman"/>
          <w:color w:val="000000" w:themeColor="text1"/>
          <w:sz w:val="16"/>
          <w:szCs w:val="16"/>
        </w:rPr>
        <w:t>Чичиха</w:t>
      </w:r>
      <w:proofErr w:type="spellEnd"/>
      <w:r w:rsidRPr="00A259BD">
        <w:rPr>
          <w:rFonts w:ascii="Times New Roman" w:hAnsi="Times New Roman"/>
          <w:color w:val="000000" w:themeColor="text1"/>
          <w:sz w:val="16"/>
          <w:szCs w:val="16"/>
        </w:rPr>
        <w:t xml:space="preserve">. В первую очередь было решено поражать канонерские лодки, во вторую - вооружённые пароходы. 68-й ОАО должен был бомбить и обстреливать минную станцию у деревни </w:t>
      </w:r>
      <w:proofErr w:type="spellStart"/>
      <w:r w:rsidRPr="00A259BD">
        <w:rPr>
          <w:rFonts w:ascii="Times New Roman" w:hAnsi="Times New Roman"/>
          <w:color w:val="000000" w:themeColor="text1"/>
          <w:sz w:val="16"/>
          <w:szCs w:val="16"/>
        </w:rPr>
        <w:t>Чичиха</w:t>
      </w:r>
      <w:proofErr w:type="spellEnd"/>
      <w:r w:rsidRPr="00A259BD">
        <w:rPr>
          <w:rFonts w:ascii="Times New Roman" w:hAnsi="Times New Roman"/>
          <w:color w:val="000000" w:themeColor="text1"/>
          <w:sz w:val="16"/>
          <w:szCs w:val="16"/>
        </w:rPr>
        <w:t xml:space="preserve"> и осуществлять разведку поля боя вплоть до </w:t>
      </w:r>
      <w:proofErr w:type="spellStart"/>
      <w:r w:rsidRPr="00A259BD">
        <w:rPr>
          <w:rFonts w:ascii="Times New Roman" w:hAnsi="Times New Roman"/>
          <w:color w:val="000000" w:themeColor="text1"/>
          <w:sz w:val="16"/>
          <w:szCs w:val="16"/>
        </w:rPr>
        <w:t>Фукдина</w:t>
      </w:r>
      <w:proofErr w:type="spellEnd"/>
      <w:r w:rsidRPr="00A259BD">
        <w:rPr>
          <w:rFonts w:ascii="Times New Roman" w:hAnsi="Times New Roman"/>
          <w:color w:val="000000" w:themeColor="text1"/>
          <w:sz w:val="16"/>
          <w:szCs w:val="16"/>
        </w:rPr>
        <w:t>. При этом два самолёта из состава отряда выделялись для оперативной связи в распоряжение командующего группой Лапина и командира 2-й стрелковой дивизии. До операции комиссары политотдела проводили разъяснительную работу, объясняя советским бойцам, что нужно уважительно относиться к простому китайскому народу (9978).</w:t>
      </w:r>
    </w:p>
    <w:p w14:paraId="29CEF7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F4106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526686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D7F42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октября 1929 на ЦА состоялся третий полет вертолета КАСКР-1 “Красный инженер” Из-за ремонта аэродрома старт взяли под углом 30-40 гр. К направлению ветра. Перед </w:t>
      </w:r>
      <w:proofErr w:type="spellStart"/>
      <w:r w:rsidRPr="00A259BD">
        <w:rPr>
          <w:rFonts w:ascii="Times New Roman" w:hAnsi="Times New Roman"/>
          <w:color w:val="000000" w:themeColor="text1"/>
          <w:sz w:val="16"/>
          <w:szCs w:val="16"/>
        </w:rPr>
        <w:t>отрываом</w:t>
      </w:r>
      <w:proofErr w:type="spellEnd"/>
      <w:r w:rsidRPr="00A259BD">
        <w:rPr>
          <w:rFonts w:ascii="Times New Roman" w:hAnsi="Times New Roman"/>
          <w:color w:val="000000" w:themeColor="text1"/>
          <w:sz w:val="16"/>
          <w:szCs w:val="16"/>
        </w:rPr>
        <w:t xml:space="preserve"> возник левый крем, правое </w:t>
      </w:r>
      <w:proofErr w:type="spellStart"/>
      <w:r w:rsidRPr="00A259BD">
        <w:rPr>
          <w:rFonts w:ascii="Times New Roman" w:hAnsi="Times New Roman"/>
          <w:color w:val="000000" w:themeColor="text1"/>
          <w:sz w:val="16"/>
          <w:szCs w:val="16"/>
        </w:rPr>
        <w:t>колеср</w:t>
      </w:r>
      <w:proofErr w:type="spellEnd"/>
      <w:r w:rsidRPr="00A259BD">
        <w:rPr>
          <w:rFonts w:ascii="Times New Roman" w:hAnsi="Times New Roman"/>
          <w:color w:val="000000" w:themeColor="text1"/>
          <w:sz w:val="16"/>
          <w:szCs w:val="16"/>
        </w:rPr>
        <w:t xml:space="preserve"> шло в воздухе, а левое - </w:t>
      </w:r>
      <w:proofErr w:type="spellStart"/>
      <w:r w:rsidRPr="00A259BD">
        <w:rPr>
          <w:rFonts w:ascii="Times New Roman" w:hAnsi="Times New Roman"/>
          <w:color w:val="000000" w:themeColor="text1"/>
          <w:sz w:val="16"/>
          <w:szCs w:val="16"/>
        </w:rPr>
        <w:t>поземле</w:t>
      </w:r>
      <w:proofErr w:type="spellEnd"/>
      <w:r w:rsidRPr="00A259BD">
        <w:rPr>
          <w:rFonts w:ascii="Times New Roman" w:hAnsi="Times New Roman"/>
          <w:color w:val="000000" w:themeColor="text1"/>
          <w:sz w:val="16"/>
          <w:szCs w:val="16"/>
        </w:rPr>
        <w:t xml:space="preserve">. Вертолет опрокинуло на левый борт. </w:t>
      </w:r>
      <w:proofErr w:type="spellStart"/>
      <w:r w:rsidRPr="00A259BD">
        <w:rPr>
          <w:rFonts w:ascii="Times New Roman" w:hAnsi="Times New Roman"/>
          <w:color w:val="000000" w:themeColor="text1"/>
          <w:sz w:val="16"/>
          <w:szCs w:val="16"/>
        </w:rPr>
        <w:t>Н.И.Камов</w:t>
      </w:r>
      <w:proofErr w:type="spellEnd"/>
      <w:r w:rsidRPr="00A259BD">
        <w:rPr>
          <w:rFonts w:ascii="Times New Roman" w:hAnsi="Times New Roman"/>
          <w:color w:val="000000" w:themeColor="text1"/>
          <w:sz w:val="16"/>
          <w:szCs w:val="16"/>
        </w:rPr>
        <w:t xml:space="preserve"> получил ушибы, а </w:t>
      </w:r>
      <w:proofErr w:type="spellStart"/>
      <w:r w:rsidRPr="00A259BD">
        <w:rPr>
          <w:rFonts w:ascii="Times New Roman" w:hAnsi="Times New Roman"/>
          <w:color w:val="000000" w:themeColor="text1"/>
          <w:sz w:val="16"/>
          <w:szCs w:val="16"/>
        </w:rPr>
        <w:t>л.Михеев</w:t>
      </w:r>
      <w:proofErr w:type="spellEnd"/>
      <w:r w:rsidRPr="00A259BD">
        <w:rPr>
          <w:rFonts w:ascii="Times New Roman" w:hAnsi="Times New Roman"/>
          <w:color w:val="000000" w:themeColor="text1"/>
          <w:sz w:val="16"/>
          <w:szCs w:val="16"/>
        </w:rPr>
        <w:t xml:space="preserve"> остался невредим. За полтора месяца испытаний летали 5 дней - остальные ремонтировались. Испытания прервались на 10 месяцев (8320,18).</w:t>
      </w:r>
    </w:p>
    <w:p w14:paraId="4616E8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7D820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октября 1929 из-за недостаточной устойчивости </w:t>
      </w:r>
      <w:proofErr w:type="spellStart"/>
      <w:r w:rsidRPr="00A259BD">
        <w:rPr>
          <w:rFonts w:ascii="Times New Roman" w:hAnsi="Times New Roman"/>
          <w:color w:val="000000" w:themeColor="text1"/>
          <w:sz w:val="16"/>
          <w:szCs w:val="16"/>
        </w:rPr>
        <w:t>КАСКРа</w:t>
      </w:r>
      <w:proofErr w:type="spellEnd"/>
      <w:r w:rsidRPr="00A259BD">
        <w:rPr>
          <w:rFonts w:ascii="Times New Roman" w:hAnsi="Times New Roman"/>
          <w:color w:val="000000" w:themeColor="text1"/>
          <w:sz w:val="16"/>
          <w:szCs w:val="16"/>
        </w:rPr>
        <w:t xml:space="preserve"> во время взлета случилась авария и автожир перевернулся. Пилоты отделались лишь ушибами, и после ремонта и доработок испытания продолжались. Н. И. Камову удалось заручиться согласием руководства НИИ ВВС о выделении ему двух инженеров по испытаниям, а также откомандировании на полеты летчика-испытателя </w:t>
      </w:r>
      <w:proofErr w:type="spellStart"/>
      <w:r w:rsidRPr="00A259BD">
        <w:rPr>
          <w:rFonts w:ascii="Times New Roman" w:hAnsi="Times New Roman"/>
          <w:color w:val="000000" w:themeColor="text1"/>
          <w:sz w:val="16"/>
          <w:szCs w:val="16"/>
        </w:rPr>
        <w:t>Д.А.Кошица</w:t>
      </w:r>
      <w:proofErr w:type="spellEnd"/>
      <w:r w:rsidRPr="00A259BD">
        <w:rPr>
          <w:rFonts w:ascii="Times New Roman" w:hAnsi="Times New Roman"/>
          <w:color w:val="000000" w:themeColor="text1"/>
          <w:sz w:val="16"/>
          <w:szCs w:val="16"/>
        </w:rPr>
        <w:t xml:space="preserve">. Однажды, 2 сентября 1930 г., на полет «Красного инженера» приехал посмотреть начальник ВВС РККА П. И. Баранов, и машина не подвела. КАСКР выполнил на высоте 12 - 15 м три полета продолжительностью секунд по тридцать каждый. Показательный полет не прошел напрасно. Командующий Красным воздушным флотом помог достать для автожира новый двигатель «Титан» (235 </w:t>
      </w:r>
      <w:proofErr w:type="spellStart"/>
      <w:r w:rsidRPr="00A259BD">
        <w:rPr>
          <w:rFonts w:ascii="Times New Roman" w:hAnsi="Times New Roman"/>
          <w:color w:val="000000" w:themeColor="text1"/>
          <w:sz w:val="16"/>
          <w:szCs w:val="16"/>
        </w:rPr>
        <w:t>л.с</w:t>
      </w:r>
      <w:proofErr w:type="spellEnd"/>
      <w:r w:rsidRPr="00A259BD">
        <w:rPr>
          <w:rFonts w:ascii="Times New Roman" w:hAnsi="Times New Roman"/>
          <w:color w:val="000000" w:themeColor="text1"/>
          <w:sz w:val="16"/>
          <w:szCs w:val="16"/>
        </w:rPr>
        <w:t xml:space="preserve">), поскольку мощность старого «Рона» (120 л.с.) была явно недостаточной. С новым мотором автожир стал называться КАСКР-2 и впервые поднялся в воздух 11 января 1931 г. 21 мая 1931 г. на Центральном аэродроме в Тушино автожир Камова и </w:t>
      </w:r>
      <w:proofErr w:type="spellStart"/>
      <w:r w:rsidRPr="00A259BD">
        <w:rPr>
          <w:rFonts w:ascii="Times New Roman" w:hAnsi="Times New Roman"/>
          <w:color w:val="000000" w:themeColor="text1"/>
          <w:sz w:val="16"/>
          <w:szCs w:val="16"/>
        </w:rPr>
        <w:t>Скрижинского</w:t>
      </w:r>
      <w:proofErr w:type="spellEnd"/>
      <w:r w:rsidRPr="00A259BD">
        <w:rPr>
          <w:rFonts w:ascii="Times New Roman" w:hAnsi="Times New Roman"/>
          <w:color w:val="000000" w:themeColor="text1"/>
          <w:sz w:val="16"/>
          <w:szCs w:val="16"/>
        </w:rPr>
        <w:t xml:space="preserve"> участвовал в показе новейшей авиационной техники руководству страны. Сталин, Ворошилов и Молотов обходили длинную шеренгу истребителей и бомбардировщиков, а замыкал «парад» необычный винтокрылый аппарат. Камов сам доложил Сталину о машине, и «лучший друг советских авиаторов» очень заинтересовался </w:t>
      </w:r>
      <w:proofErr w:type="spellStart"/>
      <w:r w:rsidRPr="00A259BD">
        <w:rPr>
          <w:rFonts w:ascii="Times New Roman" w:hAnsi="Times New Roman"/>
          <w:color w:val="000000" w:themeColor="text1"/>
          <w:sz w:val="16"/>
          <w:szCs w:val="16"/>
        </w:rPr>
        <w:t>КАСКРом</w:t>
      </w:r>
      <w:proofErr w:type="spellEnd"/>
      <w:r w:rsidRPr="00A259BD">
        <w:rPr>
          <w:rFonts w:ascii="Times New Roman" w:hAnsi="Times New Roman"/>
          <w:color w:val="000000" w:themeColor="text1"/>
          <w:sz w:val="16"/>
          <w:szCs w:val="16"/>
        </w:rPr>
        <w:t>. Поддержал конструктора эффектным полетом и Кошиц. Сделав три круга над аэродромом, летчик красиво спланировал и посадил КАСКР-2 вблизи трибуны с членами правительства, совершив пробег на посадке всего в несколько метров. Позже Баранов рассказывал, что автожир очень понравился высокому руководству и, в первую очередь, Сталину (11860).</w:t>
      </w:r>
    </w:p>
    <w:p w14:paraId="3953C1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2436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октября 1929 уполномоченный от СССР в Варшаве подписал конвенцию по унификации правил международных воздушных перевозок (442,301).</w:t>
      </w:r>
    </w:p>
    <w:p w14:paraId="514013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25C3F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1DDC845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CE10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октября 1929 крупные соединения советских войск (Особая Краснознаменная ДВА </w:t>
      </w:r>
      <w:proofErr w:type="spellStart"/>
      <w:r w:rsidRPr="00A259BD">
        <w:rPr>
          <w:rFonts w:ascii="Times New Roman" w:hAnsi="Times New Roman"/>
          <w:color w:val="000000" w:themeColor="text1"/>
          <w:sz w:val="16"/>
          <w:szCs w:val="16"/>
        </w:rPr>
        <w:t>В.К.Блюхера</w:t>
      </w:r>
      <w:proofErr w:type="spellEnd"/>
      <w:r w:rsidRPr="00A259BD">
        <w:rPr>
          <w:rFonts w:ascii="Times New Roman" w:hAnsi="Times New Roman"/>
          <w:color w:val="000000" w:themeColor="text1"/>
          <w:sz w:val="16"/>
          <w:szCs w:val="16"/>
        </w:rPr>
        <w:t xml:space="preserve">) форсировали Амур и закрепились на </w:t>
      </w:r>
      <w:proofErr w:type="spellStart"/>
      <w:r w:rsidRPr="00A259BD">
        <w:rPr>
          <w:rFonts w:ascii="Times New Roman" w:hAnsi="Times New Roman"/>
          <w:color w:val="000000" w:themeColor="text1"/>
          <w:sz w:val="16"/>
          <w:szCs w:val="16"/>
        </w:rPr>
        <w:t>манчжурском</w:t>
      </w:r>
      <w:proofErr w:type="spellEnd"/>
      <w:r w:rsidRPr="00A259BD">
        <w:rPr>
          <w:rFonts w:ascii="Times New Roman" w:hAnsi="Times New Roman"/>
          <w:color w:val="000000" w:themeColor="text1"/>
          <w:sz w:val="16"/>
          <w:szCs w:val="16"/>
        </w:rPr>
        <w:t xml:space="preserve"> берегу южнее Хабаровска. К этому времени китайцы под командованием м Чжан </w:t>
      </w:r>
      <w:proofErr w:type="spellStart"/>
      <w:r w:rsidRPr="00A259BD">
        <w:rPr>
          <w:rFonts w:ascii="Times New Roman" w:hAnsi="Times New Roman"/>
          <w:color w:val="000000" w:themeColor="text1"/>
          <w:sz w:val="16"/>
          <w:szCs w:val="16"/>
        </w:rPr>
        <w:t>Цзо</w:t>
      </w:r>
      <w:proofErr w:type="spellEnd"/>
      <w:r w:rsidRPr="00A259BD">
        <w:rPr>
          <w:rFonts w:ascii="Times New Roman" w:hAnsi="Times New Roman"/>
          <w:color w:val="000000" w:themeColor="text1"/>
          <w:sz w:val="16"/>
          <w:szCs w:val="16"/>
        </w:rPr>
        <w:t xml:space="preserve">-линя захватили часть советской территории. С этого плацдарма КА начала наступление на </w:t>
      </w:r>
      <w:proofErr w:type="spellStart"/>
      <w:r w:rsidRPr="00A259BD">
        <w:rPr>
          <w:rFonts w:ascii="Times New Roman" w:hAnsi="Times New Roman"/>
          <w:color w:val="000000" w:themeColor="text1"/>
          <w:sz w:val="16"/>
          <w:szCs w:val="16"/>
        </w:rPr>
        <w:t>Фукдин</w:t>
      </w:r>
      <w:proofErr w:type="spellEnd"/>
      <w:r w:rsidRPr="00A259BD">
        <w:rPr>
          <w:rFonts w:ascii="Times New Roman" w:hAnsi="Times New Roman"/>
          <w:color w:val="000000" w:themeColor="text1"/>
          <w:sz w:val="16"/>
          <w:szCs w:val="16"/>
        </w:rPr>
        <w:t xml:space="preserve">. Авиация бомбила передний край и </w:t>
      </w:r>
      <w:proofErr w:type="spellStart"/>
      <w:r w:rsidRPr="00A259BD">
        <w:rPr>
          <w:rFonts w:ascii="Times New Roman" w:hAnsi="Times New Roman"/>
          <w:color w:val="000000" w:themeColor="text1"/>
          <w:sz w:val="16"/>
          <w:szCs w:val="16"/>
        </w:rPr>
        <w:t>Фукдин</w:t>
      </w:r>
      <w:proofErr w:type="spellEnd"/>
      <w:r w:rsidRPr="00A259BD">
        <w:rPr>
          <w:rFonts w:ascii="Times New Roman" w:hAnsi="Times New Roman"/>
          <w:color w:val="000000" w:themeColor="text1"/>
          <w:sz w:val="16"/>
          <w:szCs w:val="16"/>
        </w:rPr>
        <w:t xml:space="preserve"> (1493,27). Операция шла до декабря 1929 (3398,358).</w:t>
      </w:r>
    </w:p>
    <w:p w14:paraId="0F4C20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8094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октября 1929 начались полеты с авиаматки Амур, переоборудованной из канонерки Вихрь и несшей 4 МР-1 в ангарах. Открывающаяся задняя стенка ангара превращалась в </w:t>
      </w:r>
      <w:proofErr w:type="spellStart"/>
      <w:r w:rsidRPr="00A259BD">
        <w:rPr>
          <w:rFonts w:ascii="Times New Roman" w:hAnsi="Times New Roman"/>
          <w:color w:val="000000" w:themeColor="text1"/>
          <w:sz w:val="16"/>
          <w:szCs w:val="16"/>
        </w:rPr>
        <w:t>гидроспуск</w:t>
      </w:r>
      <w:proofErr w:type="spellEnd"/>
      <w:r w:rsidRPr="00A259BD">
        <w:rPr>
          <w:rFonts w:ascii="Times New Roman" w:hAnsi="Times New Roman"/>
          <w:color w:val="000000" w:themeColor="text1"/>
          <w:sz w:val="16"/>
          <w:szCs w:val="16"/>
        </w:rPr>
        <w:t>. В день начала боевых действий МР-1 перелетели к устью Сунгари, хотя авиаматка пришла 3 днями позже (99,210).</w:t>
      </w:r>
    </w:p>
    <w:p w14:paraId="3DD65A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34C13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октября 1929 в 6:10 советская авиация совершила первый налет на позиции противника. </w:t>
      </w:r>
      <w:proofErr w:type="spellStart"/>
      <w:r w:rsidRPr="00A259BD">
        <w:rPr>
          <w:rFonts w:ascii="Times New Roman" w:hAnsi="Times New Roman"/>
          <w:color w:val="000000" w:themeColor="text1"/>
          <w:sz w:val="16"/>
          <w:szCs w:val="16"/>
        </w:rPr>
        <w:t>Сунгарийская</w:t>
      </w:r>
      <w:proofErr w:type="spellEnd"/>
      <w:r w:rsidRPr="00A259BD">
        <w:rPr>
          <w:rFonts w:ascii="Times New Roman" w:hAnsi="Times New Roman"/>
          <w:color w:val="000000" w:themeColor="text1"/>
          <w:sz w:val="16"/>
          <w:szCs w:val="16"/>
        </w:rPr>
        <w:t xml:space="preserve"> флотилия китайцев потеряла 4 корабля и через 2 часа прекратила сопротивление. К 15:00 капитулировал сухопутный гарнизон. Китайские войска в целом не придали поражению значения и советская эскадра двинулась к </w:t>
      </w:r>
      <w:proofErr w:type="spellStart"/>
      <w:r w:rsidRPr="00A259BD">
        <w:rPr>
          <w:rFonts w:ascii="Times New Roman" w:hAnsi="Times New Roman"/>
          <w:color w:val="000000" w:themeColor="text1"/>
          <w:sz w:val="16"/>
          <w:szCs w:val="16"/>
        </w:rPr>
        <w:t>Фугдину</w:t>
      </w:r>
      <w:proofErr w:type="spellEnd"/>
      <w:r w:rsidRPr="00A259BD">
        <w:rPr>
          <w:rFonts w:ascii="Times New Roman" w:hAnsi="Times New Roman"/>
          <w:color w:val="000000" w:themeColor="text1"/>
          <w:sz w:val="16"/>
          <w:szCs w:val="16"/>
        </w:rPr>
        <w:t xml:space="preserve"> (6594, 16).</w:t>
      </w:r>
    </w:p>
    <w:p w14:paraId="789DB6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7B27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октября 1929 г. в бою у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действуя в сложных условиях (низкий уровень воды) и не наблюдая корпусов кораблей против</w:t>
      </w:r>
      <w:r w:rsidRPr="00A259BD">
        <w:rPr>
          <w:rFonts w:ascii="Times New Roman" w:hAnsi="Times New Roman"/>
          <w:color w:val="000000" w:themeColor="text1"/>
          <w:sz w:val="16"/>
          <w:szCs w:val="16"/>
        </w:rPr>
        <w:softHyphen/>
        <w:t>ника (на выбранных дистанциях боя были видны только мачты и трубы), мониторы потопили три китайские канонерские лодки и два парохода. "Сун-Ят-Сен" при этом получил три попадания сна</w:t>
      </w:r>
      <w:r w:rsidRPr="00A259BD">
        <w:rPr>
          <w:rFonts w:ascii="Times New Roman" w:hAnsi="Times New Roman"/>
          <w:color w:val="000000" w:themeColor="text1"/>
          <w:sz w:val="16"/>
          <w:szCs w:val="16"/>
        </w:rPr>
        <w:softHyphen/>
        <w:t>рядами, но без серьезных повреждений (3898).</w:t>
      </w:r>
    </w:p>
    <w:p w14:paraId="7099B1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42F226" w14:textId="77777777" w:rsidR="0065509C" w:rsidRPr="00A259BD" w:rsidRDefault="0065509C"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 xml:space="preserve">12 октября </w:t>
      </w:r>
      <w:r w:rsidRPr="00A259BD">
        <w:rPr>
          <w:rFonts w:ascii="Times New Roman" w:hAnsi="Times New Roman"/>
          <w:color w:val="000000" w:themeColor="text1"/>
          <w:sz w:val="16"/>
          <w:szCs w:val="16"/>
        </w:rPr>
        <w:t>в 1929 году войска Особой Краснознаменной Дальневосточной армии (</w:t>
      </w:r>
      <w:proofErr w:type="spellStart"/>
      <w:r w:rsidRPr="00A259BD">
        <w:rPr>
          <w:rFonts w:ascii="Times New Roman" w:hAnsi="Times New Roman"/>
          <w:color w:val="000000" w:themeColor="text1"/>
          <w:sz w:val="16"/>
          <w:szCs w:val="16"/>
        </w:rPr>
        <w:t>В.К.Блюхер</w:t>
      </w:r>
      <w:proofErr w:type="spellEnd"/>
      <w:r w:rsidRPr="00A259BD">
        <w:rPr>
          <w:rFonts w:ascii="Times New Roman" w:hAnsi="Times New Roman"/>
          <w:color w:val="000000" w:themeColor="text1"/>
          <w:sz w:val="16"/>
          <w:szCs w:val="16"/>
        </w:rPr>
        <w:t>) начали боевые действия против войск китайских милитаристов, захвативших принадлежащую СССР КВЖД. Операции советских войск продолжались с перерывами до декабря 1929 г., когда китайская сторона была вынуждена подписать договор о восстановлении прежнего режима КВЖД (14797).</w:t>
      </w:r>
    </w:p>
    <w:p w14:paraId="4A5078A4" w14:textId="77777777" w:rsidR="0065509C" w:rsidRPr="00A259BD" w:rsidRDefault="0065509C" w:rsidP="009236E3">
      <w:pPr>
        <w:spacing w:after="0" w:line="240" w:lineRule="auto"/>
        <w:jc w:val="both"/>
        <w:rPr>
          <w:rFonts w:ascii="Times New Roman" w:hAnsi="Times New Roman"/>
          <w:color w:val="000000" w:themeColor="text1"/>
          <w:sz w:val="16"/>
          <w:szCs w:val="16"/>
        </w:rPr>
      </w:pPr>
    </w:p>
    <w:p w14:paraId="2D477650" w14:textId="77777777" w:rsidR="00236BD1" w:rsidRPr="00A259BD" w:rsidRDefault="00236BD1" w:rsidP="00236BD1">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shd w:val="clear" w:color="auto" w:fill="FFFFFF"/>
        </w:rPr>
        <w:t>С 12 октября 1929 года боевые действия на КВЖД вошли в активную фазу. Конфликт на КВЖД оказался крайне специфичным: мало того, что официальный Нанкин был как бы не при делах, так еще и цель ОДВА заключалась не в захвате территории, а разгроме противника. В общей сложности на Дальний Восток отправилось 9 танков, которые свели в отдельную танковую роту.</w:t>
      </w:r>
    </w:p>
    <w:p w14:paraId="299297FB" w14:textId="77777777" w:rsidR="00236BD1" w:rsidRPr="00A259BD" w:rsidRDefault="00236BD1" w:rsidP="00236BD1">
      <w:pPr>
        <w:shd w:val="clear" w:color="auto" w:fill="FFFFFF"/>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 xml:space="preserve">Бардак творился по обе стороны фронта. Начиная с того, что один танк уронили при разгрузке, участие в боях он не принимал. Но у Чжан </w:t>
      </w:r>
      <w:proofErr w:type="spellStart"/>
      <w:r w:rsidRPr="00A259BD">
        <w:rPr>
          <w:rFonts w:ascii="Times New Roman" w:hAnsi="Times New Roman"/>
          <w:color w:val="000000" w:themeColor="text1"/>
          <w:sz w:val="16"/>
          <w:szCs w:val="16"/>
          <w:shd w:val="clear" w:color="auto" w:fill="FFFFFF"/>
        </w:rPr>
        <w:t>Сюэляна</w:t>
      </w:r>
      <w:proofErr w:type="spellEnd"/>
      <w:r w:rsidRPr="00A259BD">
        <w:rPr>
          <w:rFonts w:ascii="Times New Roman" w:hAnsi="Times New Roman"/>
          <w:color w:val="000000" w:themeColor="text1"/>
          <w:sz w:val="16"/>
          <w:szCs w:val="16"/>
          <w:shd w:val="clear" w:color="auto" w:fill="FFFFFF"/>
        </w:rPr>
        <w:t xml:space="preserve"> дела были еще хуже: танки у него имелись (Renault FT), но в бой они так и не пошли. Боевой дебют Т-18 был веселым: часть машин просто потеряло ориентировку в пути и заблудилось, до вражеских позиций доехало 6, обнаружив тут противотанковые рвы. Советские машины колесили вдоль китайских позиций, не в силах их проехать, а китайские артиллеристы не могли в них попасть. Тем не менее, Т-18 всё же оказались полезными. Даже странный дебют 17 ноября 1929 года скорее стал успешным, поскольку машины всё же поддержали свою пехоту. В последующие два дня 8 танков вполне успешно поддерживали атаки пехоты. Далее конфликт пошел на убыль, поскольку Чжан </w:t>
      </w:r>
      <w:proofErr w:type="spellStart"/>
      <w:r w:rsidRPr="00A259BD">
        <w:rPr>
          <w:rFonts w:ascii="Times New Roman" w:hAnsi="Times New Roman"/>
          <w:color w:val="000000" w:themeColor="text1"/>
          <w:sz w:val="16"/>
          <w:szCs w:val="16"/>
          <w:shd w:val="clear" w:color="auto" w:fill="FFFFFF"/>
        </w:rPr>
        <w:t>Сюэлян</w:t>
      </w:r>
      <w:proofErr w:type="spellEnd"/>
      <w:r w:rsidRPr="00A259BD">
        <w:rPr>
          <w:rFonts w:ascii="Times New Roman" w:hAnsi="Times New Roman"/>
          <w:color w:val="000000" w:themeColor="text1"/>
          <w:sz w:val="16"/>
          <w:szCs w:val="16"/>
          <w:shd w:val="clear" w:color="auto" w:fill="FFFFFF"/>
        </w:rPr>
        <w:t xml:space="preserve"> начал о чем-то догадываться и запросил переговоры. Таким образом, общий итог боевого применения Т-18 можно считать успешным. Особенно с учетом того, как вели боевые действия обе стороны (22380).</w:t>
      </w:r>
    </w:p>
    <w:p w14:paraId="77DD4582" w14:textId="77777777" w:rsidR="00236BD1" w:rsidRPr="00A259BD" w:rsidRDefault="00236BD1" w:rsidP="00236BD1">
      <w:pPr>
        <w:shd w:val="clear" w:color="auto" w:fill="FFFFFF"/>
        <w:spacing w:after="0" w:line="240" w:lineRule="auto"/>
        <w:jc w:val="both"/>
        <w:rPr>
          <w:rFonts w:ascii="Times New Roman" w:hAnsi="Times New Roman"/>
          <w:color w:val="000000" w:themeColor="text1"/>
          <w:sz w:val="16"/>
          <w:szCs w:val="16"/>
        </w:rPr>
      </w:pPr>
    </w:p>
    <w:p w14:paraId="0C310772" w14:textId="77777777" w:rsidR="0065509C" w:rsidRPr="00A259BD" w:rsidRDefault="0065509C" w:rsidP="009236E3">
      <w:pPr>
        <w:pStyle w:val="a3"/>
        <w:rPr>
          <w:color w:val="000000" w:themeColor="text1"/>
          <w:lang w:val="ru-RU"/>
        </w:rPr>
      </w:pPr>
      <w:r w:rsidRPr="00A259BD">
        <w:rPr>
          <w:color w:val="000000" w:themeColor="text1"/>
          <w:lang w:val="ru-RU"/>
        </w:rPr>
        <w:t>12 октября 1929 авиация атаковала ки</w:t>
      </w:r>
      <w:r w:rsidRPr="00A259BD">
        <w:rPr>
          <w:color w:val="000000" w:themeColor="text1"/>
          <w:lang w:val="ru-RU"/>
        </w:rPr>
        <w:softHyphen/>
        <w:t xml:space="preserve">тайские корабли. 40-я эскадрилья, имевшая 15 боеспособных машин, вылетела с аэродрома «Нижнее-Ми </w:t>
      </w:r>
      <w:proofErr w:type="spellStart"/>
      <w:r w:rsidRPr="00A259BD">
        <w:rPr>
          <w:color w:val="000000" w:themeColor="text1"/>
          <w:lang w:val="ru-RU"/>
        </w:rPr>
        <w:t>хайлово</w:t>
      </w:r>
      <w:proofErr w:type="spellEnd"/>
      <w:r w:rsidRPr="00A259BD">
        <w:rPr>
          <w:color w:val="000000" w:themeColor="text1"/>
          <w:lang w:val="ru-RU"/>
        </w:rPr>
        <w:t>-Семеновское». Удар нано</w:t>
      </w:r>
      <w:r w:rsidRPr="00A259BD">
        <w:rPr>
          <w:color w:val="000000" w:themeColor="text1"/>
          <w:lang w:val="ru-RU"/>
        </w:rPr>
        <w:softHyphen/>
        <w:t>сился последовательно тремя отря</w:t>
      </w:r>
      <w:r w:rsidRPr="00A259BD">
        <w:rPr>
          <w:color w:val="000000" w:themeColor="text1"/>
          <w:lang w:val="ru-RU"/>
        </w:rPr>
        <w:softHyphen/>
        <w:t>дами. Самолёты загрузили бомбами АФ-82, АФ-32 и АФ-16, их сброси</w:t>
      </w:r>
      <w:r w:rsidRPr="00A259BD">
        <w:rPr>
          <w:color w:val="000000" w:themeColor="text1"/>
          <w:lang w:val="ru-RU"/>
        </w:rPr>
        <w:softHyphen/>
        <w:t>ли с высоты 1000—2000 м. Букваль</w:t>
      </w:r>
      <w:r w:rsidRPr="00A259BD">
        <w:rPr>
          <w:color w:val="000000" w:themeColor="text1"/>
          <w:lang w:val="ru-RU"/>
        </w:rPr>
        <w:softHyphen/>
        <w:t xml:space="preserve">но через несколько минут после первых взрывов бомб по </w:t>
      </w:r>
      <w:proofErr w:type="spellStart"/>
      <w:r w:rsidRPr="00A259BD">
        <w:rPr>
          <w:color w:val="000000" w:themeColor="text1"/>
          <w:lang w:val="ru-RU"/>
        </w:rPr>
        <w:t>Лахасусу</w:t>
      </w:r>
      <w:proofErr w:type="spellEnd"/>
      <w:r w:rsidRPr="00A259BD">
        <w:rPr>
          <w:color w:val="000000" w:themeColor="text1"/>
          <w:lang w:val="ru-RU"/>
        </w:rPr>
        <w:t xml:space="preserve"> открыли огонь мониторы и канонер</w:t>
      </w:r>
      <w:r w:rsidRPr="00A259BD">
        <w:rPr>
          <w:color w:val="000000" w:themeColor="text1"/>
          <w:lang w:val="ru-RU"/>
        </w:rPr>
        <w:softHyphen/>
        <w:t>ские лодки Амурской флотилии. Со</w:t>
      </w:r>
      <w:r w:rsidRPr="00A259BD">
        <w:rPr>
          <w:color w:val="000000" w:themeColor="text1"/>
          <w:lang w:val="ru-RU"/>
        </w:rPr>
        <w:softHyphen/>
        <w:t>вместными усилиями вывели из строя канонерскую лодку, три воору</w:t>
      </w:r>
      <w:r w:rsidRPr="00A259BD">
        <w:rPr>
          <w:color w:val="000000" w:themeColor="text1"/>
          <w:lang w:val="ru-RU"/>
        </w:rPr>
        <w:softHyphen/>
        <w:t>женных парохода (в том числе один — только авиацией) и баржу-</w:t>
      </w:r>
      <w:proofErr w:type="spellStart"/>
      <w:r w:rsidRPr="00A259BD">
        <w:rPr>
          <w:color w:val="000000" w:themeColor="text1"/>
          <w:lang w:val="ru-RU"/>
        </w:rPr>
        <w:t>плавба</w:t>
      </w:r>
      <w:proofErr w:type="spellEnd"/>
      <w:r w:rsidRPr="00A259BD">
        <w:rPr>
          <w:color w:val="000000" w:themeColor="text1"/>
          <w:lang w:val="ru-RU"/>
        </w:rPr>
        <w:t xml:space="preserve">- </w:t>
      </w:r>
      <w:proofErr w:type="spellStart"/>
      <w:r w:rsidRPr="00A259BD">
        <w:rPr>
          <w:color w:val="000000" w:themeColor="text1"/>
          <w:lang w:val="ru-RU"/>
        </w:rPr>
        <w:t>тарею</w:t>
      </w:r>
      <w:proofErr w:type="spellEnd"/>
      <w:r w:rsidRPr="00A259BD">
        <w:rPr>
          <w:color w:val="000000" w:themeColor="text1"/>
          <w:lang w:val="ru-RU"/>
        </w:rPr>
        <w:t xml:space="preserve"> «Дун-И», которую впоследст</w:t>
      </w:r>
      <w:r w:rsidRPr="00A259BD">
        <w:rPr>
          <w:color w:val="000000" w:themeColor="text1"/>
          <w:lang w:val="ru-RU"/>
        </w:rPr>
        <w:softHyphen/>
        <w:t>вии захватили наши десантники.</w:t>
      </w:r>
    </w:p>
    <w:p w14:paraId="4FF7480D" w14:textId="77777777" w:rsidR="0065509C" w:rsidRPr="00A259BD" w:rsidRDefault="0065509C" w:rsidP="009236E3">
      <w:pPr>
        <w:pStyle w:val="a3"/>
        <w:rPr>
          <w:color w:val="000000" w:themeColor="text1"/>
          <w:lang w:val="ru-RU"/>
        </w:rPr>
      </w:pPr>
      <w:r w:rsidRPr="00A259BD">
        <w:rPr>
          <w:color w:val="000000" w:themeColor="text1"/>
          <w:lang w:val="ru-RU"/>
        </w:rPr>
        <w:t>Пока моряки расстреливали вра</w:t>
      </w:r>
      <w:r w:rsidRPr="00A259BD">
        <w:rPr>
          <w:color w:val="000000" w:themeColor="text1"/>
          <w:lang w:val="ru-RU"/>
        </w:rPr>
        <w:softHyphen/>
        <w:t>жеские корабли в порту и береговые батареи, самолёты отправили пре</w:t>
      </w:r>
      <w:r w:rsidRPr="00A259BD">
        <w:rPr>
          <w:color w:val="000000" w:themeColor="text1"/>
          <w:lang w:val="ru-RU"/>
        </w:rPr>
        <w:softHyphen/>
        <w:t>следовать суда, уходившие вверх по реке. Один отряд 40-й эскадрильи нашел и атаковал канонерскую лод</w:t>
      </w:r>
      <w:r w:rsidRPr="00A259BD">
        <w:rPr>
          <w:color w:val="000000" w:themeColor="text1"/>
          <w:lang w:val="ru-RU"/>
        </w:rPr>
        <w:softHyphen/>
        <w:t>ку «</w:t>
      </w:r>
      <w:proofErr w:type="spellStart"/>
      <w:r w:rsidRPr="00A259BD">
        <w:rPr>
          <w:color w:val="000000" w:themeColor="text1"/>
          <w:lang w:val="ru-RU"/>
        </w:rPr>
        <w:t>Кианг-Хын</w:t>
      </w:r>
      <w:proofErr w:type="spellEnd"/>
      <w:r w:rsidRPr="00A259BD">
        <w:rPr>
          <w:color w:val="000000" w:themeColor="text1"/>
          <w:lang w:val="ru-RU"/>
        </w:rPr>
        <w:t>» (она же «</w:t>
      </w:r>
      <w:proofErr w:type="spellStart"/>
      <w:r w:rsidRPr="00A259BD">
        <w:rPr>
          <w:color w:val="000000" w:themeColor="text1"/>
          <w:lang w:val="ru-RU"/>
        </w:rPr>
        <w:t>Кианг-Хенг</w:t>
      </w:r>
      <w:proofErr w:type="spellEnd"/>
      <w:r w:rsidRPr="00A259BD">
        <w:rPr>
          <w:color w:val="000000" w:themeColor="text1"/>
          <w:lang w:val="ru-RU"/>
        </w:rPr>
        <w:t>» или «</w:t>
      </w:r>
      <w:proofErr w:type="spellStart"/>
      <w:r w:rsidRPr="00A259BD">
        <w:rPr>
          <w:color w:val="000000" w:themeColor="text1"/>
          <w:lang w:val="ru-RU"/>
        </w:rPr>
        <w:t>Хиан-Хын</w:t>
      </w:r>
      <w:proofErr w:type="spellEnd"/>
      <w:r w:rsidRPr="00A259BD">
        <w:rPr>
          <w:color w:val="000000" w:themeColor="text1"/>
          <w:lang w:val="ru-RU"/>
        </w:rPr>
        <w:t>», в документах того времени её именовали «речным крейсером»), но не нанёс ей серьёзных повреждений. Другие машины бомбили ещё одну канонерскую лодку и два парохода. Один из них по</w:t>
      </w:r>
      <w:r w:rsidRPr="00A259BD">
        <w:rPr>
          <w:color w:val="000000" w:themeColor="text1"/>
          <w:lang w:val="ru-RU"/>
        </w:rPr>
        <w:softHyphen/>
        <w:t>том обстреляли из пулемётов с высоты 50 м, из-за чего охваченная страхом команда вы</w:t>
      </w:r>
      <w:r w:rsidRPr="00A259BD">
        <w:rPr>
          <w:color w:val="000000" w:themeColor="text1"/>
          <w:lang w:val="ru-RU"/>
        </w:rPr>
        <w:softHyphen/>
        <w:t>бросила судно на берег.</w:t>
      </w:r>
    </w:p>
    <w:p w14:paraId="5C93F7EF" w14:textId="77777777" w:rsidR="0065509C" w:rsidRPr="00A259BD" w:rsidRDefault="0065509C" w:rsidP="009236E3">
      <w:pPr>
        <w:pStyle w:val="a3"/>
        <w:rPr>
          <w:color w:val="000000" w:themeColor="text1"/>
          <w:lang w:val="ru-RU"/>
        </w:rPr>
      </w:pPr>
      <w:r w:rsidRPr="00A259BD">
        <w:rPr>
          <w:color w:val="000000" w:themeColor="text1"/>
          <w:lang w:val="ru-RU"/>
        </w:rPr>
        <w:t>Гидропланы МР-1 не могли нести крупных бомб, да и прицеливаться с помощью при</w:t>
      </w:r>
      <w:r w:rsidRPr="00A259BD">
        <w:rPr>
          <w:color w:val="000000" w:themeColor="text1"/>
          <w:lang w:val="ru-RU"/>
        </w:rPr>
        <w:softHyphen/>
        <w:t>митивного прицела АП-2, стоявшего на борту кабины летнаба снаружи, было неудоб</w:t>
      </w:r>
      <w:r w:rsidRPr="00A259BD">
        <w:rPr>
          <w:color w:val="000000" w:themeColor="text1"/>
          <w:lang w:val="ru-RU"/>
        </w:rPr>
        <w:softHyphen/>
      </w:r>
      <w:r w:rsidRPr="00A259BD">
        <w:rPr>
          <w:rStyle w:val="1pt3"/>
          <w:rFonts w:ascii="Times New Roman" w:hAnsi="Times New Roman" w:cs="Times New Roman"/>
          <w:color w:val="000000" w:themeColor="text1"/>
          <w:spacing w:val="0"/>
          <w:sz w:val="16"/>
          <w:szCs w:val="16"/>
          <w:lang w:val="ru-RU"/>
        </w:rPr>
        <w:t>но—</w:t>
      </w:r>
      <w:r w:rsidRPr="00A259BD">
        <w:rPr>
          <w:color w:val="000000" w:themeColor="text1"/>
          <w:lang w:val="ru-RU"/>
        </w:rPr>
        <w:t xml:space="preserve"> мешали поплавки. Поэтому им поручили нанести удар по артиллерийской батарее </w:t>
      </w:r>
      <w:r w:rsidRPr="00A259BD">
        <w:rPr>
          <w:rStyle w:val="68"/>
          <w:rFonts w:ascii="Times New Roman" w:hAnsi="Times New Roman" w:cs="Times New Roman"/>
          <w:b w:val="0"/>
          <w:color w:val="000000" w:themeColor="text1"/>
          <w:sz w:val="16"/>
          <w:szCs w:val="16"/>
          <w:lang w:val="ru-RU"/>
        </w:rPr>
        <w:t>у</w:t>
      </w:r>
      <w:r w:rsidRPr="00A259BD">
        <w:rPr>
          <w:color w:val="000000" w:themeColor="text1"/>
          <w:lang w:val="ru-RU"/>
        </w:rPr>
        <w:t xml:space="preserve"> деревни </w:t>
      </w:r>
      <w:proofErr w:type="spellStart"/>
      <w:r w:rsidRPr="00A259BD">
        <w:rPr>
          <w:color w:val="000000" w:themeColor="text1"/>
          <w:lang w:val="ru-RU"/>
        </w:rPr>
        <w:t>Чичиха</w:t>
      </w:r>
      <w:proofErr w:type="spellEnd"/>
      <w:r w:rsidRPr="00A259BD">
        <w:rPr>
          <w:color w:val="000000" w:themeColor="text1"/>
          <w:lang w:val="ru-RU"/>
        </w:rPr>
        <w:t>. Четыре самолёта 68-го отряда заставили китайские орудия замол</w:t>
      </w:r>
      <w:r w:rsidRPr="00A259BD">
        <w:rPr>
          <w:color w:val="000000" w:themeColor="text1"/>
          <w:lang w:val="ru-RU"/>
        </w:rPr>
        <w:softHyphen/>
        <w:t>чать. Это облегчило работу тральщиков, убиравших китайские мины, и высадку десан</w:t>
      </w:r>
      <w:r w:rsidRPr="00A259BD">
        <w:rPr>
          <w:color w:val="000000" w:themeColor="text1"/>
          <w:lang w:val="ru-RU"/>
        </w:rPr>
        <w:softHyphen/>
        <w:t>та, захватившего деревню.</w:t>
      </w:r>
    </w:p>
    <w:p w14:paraId="339B642A" w14:textId="77777777" w:rsidR="0065509C" w:rsidRPr="00A259BD" w:rsidRDefault="0065509C" w:rsidP="009236E3">
      <w:pPr>
        <w:pStyle w:val="a3"/>
        <w:rPr>
          <w:color w:val="000000" w:themeColor="text1"/>
          <w:lang w:val="ru-RU"/>
        </w:rPr>
      </w:pPr>
      <w:r w:rsidRPr="00A259BD">
        <w:rPr>
          <w:color w:val="000000" w:themeColor="text1"/>
          <w:lang w:val="ru-RU"/>
        </w:rPr>
        <w:t>Во второй половине дня отряд опять подняли в воздух: командование флотилии тре</w:t>
      </w:r>
      <w:r w:rsidRPr="00A259BD">
        <w:rPr>
          <w:color w:val="000000" w:themeColor="text1"/>
          <w:lang w:val="ru-RU"/>
        </w:rPr>
        <w:softHyphen/>
        <w:t xml:space="preserve">бовало настичь и добить суда, отходившие к </w:t>
      </w:r>
      <w:proofErr w:type="spellStart"/>
      <w:r w:rsidRPr="00A259BD">
        <w:rPr>
          <w:color w:val="000000" w:themeColor="text1"/>
          <w:lang w:val="ru-RU"/>
        </w:rPr>
        <w:t>Фугдину</w:t>
      </w:r>
      <w:proofErr w:type="spellEnd"/>
      <w:r w:rsidRPr="00A259BD">
        <w:rPr>
          <w:color w:val="000000" w:themeColor="text1"/>
          <w:lang w:val="ru-RU"/>
        </w:rPr>
        <w:t>. Задачу лётчики выполнили. Глав</w:t>
      </w:r>
      <w:r w:rsidRPr="00A259BD">
        <w:rPr>
          <w:color w:val="000000" w:themeColor="text1"/>
          <w:lang w:val="ru-RU"/>
        </w:rPr>
        <w:softHyphen/>
        <w:t>ной целью стала канонерская лодка «</w:t>
      </w:r>
      <w:proofErr w:type="spellStart"/>
      <w:r w:rsidRPr="00A259BD">
        <w:rPr>
          <w:color w:val="000000" w:themeColor="text1"/>
          <w:lang w:val="ru-RU"/>
        </w:rPr>
        <w:t>Кианг-Хын</w:t>
      </w:r>
      <w:proofErr w:type="spellEnd"/>
      <w:r w:rsidRPr="00A259BD">
        <w:rPr>
          <w:color w:val="000000" w:themeColor="text1"/>
          <w:lang w:val="ru-RU"/>
        </w:rPr>
        <w:t>». Несмотря на зенитный огонь, авиато</w:t>
      </w:r>
      <w:r w:rsidRPr="00A259BD">
        <w:rPr>
          <w:color w:val="000000" w:themeColor="text1"/>
          <w:lang w:val="ru-RU"/>
        </w:rPr>
        <w:softHyphen/>
        <w:t>рам удалось «положить* несколько бомб вплотную к её бортам. «На прощание» гидропла</w:t>
      </w:r>
      <w:r w:rsidRPr="00A259BD">
        <w:rPr>
          <w:color w:val="000000" w:themeColor="text1"/>
          <w:lang w:val="ru-RU"/>
        </w:rPr>
        <w:softHyphen/>
        <w:t>ны обстреляли корабль из пулемётов.</w:t>
      </w:r>
    </w:p>
    <w:p w14:paraId="6B5E7F04" w14:textId="77777777" w:rsidR="0065509C" w:rsidRPr="00A259BD" w:rsidRDefault="0065509C" w:rsidP="009236E3">
      <w:pPr>
        <w:pStyle w:val="a3"/>
        <w:rPr>
          <w:color w:val="000000" w:themeColor="text1"/>
          <w:lang w:val="ru-RU"/>
        </w:rPr>
      </w:pPr>
      <w:r w:rsidRPr="00A259BD">
        <w:rPr>
          <w:color w:val="000000" w:themeColor="text1"/>
          <w:lang w:val="ru-RU"/>
        </w:rPr>
        <w:t>Кроме бомбометания, и сухопутные, и поплавковые самолеты занимались разведкой (в т.ч., с фотографирова</w:t>
      </w:r>
      <w:r w:rsidRPr="00A259BD">
        <w:rPr>
          <w:color w:val="000000" w:themeColor="text1"/>
          <w:lang w:val="ru-RU"/>
        </w:rPr>
        <w:softHyphen/>
        <w:t>нием) и обеспечивали связь, перевозя доку</w:t>
      </w:r>
      <w:r w:rsidRPr="00A259BD">
        <w:rPr>
          <w:color w:val="000000" w:themeColor="text1"/>
          <w:lang w:val="ru-RU"/>
        </w:rPr>
        <w:softHyphen/>
        <w:t>менты и командиров.</w:t>
      </w:r>
    </w:p>
    <w:p w14:paraId="233B9B8A" w14:textId="77777777" w:rsidR="0065509C" w:rsidRPr="00A259BD" w:rsidRDefault="0065509C" w:rsidP="009236E3">
      <w:pPr>
        <w:pStyle w:val="a3"/>
        <w:rPr>
          <w:color w:val="000000" w:themeColor="text1"/>
          <w:lang w:val="ru-RU"/>
        </w:rPr>
      </w:pPr>
      <w:proofErr w:type="spellStart"/>
      <w:r w:rsidRPr="00A259BD">
        <w:rPr>
          <w:color w:val="000000" w:themeColor="text1"/>
          <w:lang w:val="ru-RU"/>
        </w:rPr>
        <w:t>Лахасусу</w:t>
      </w:r>
      <w:proofErr w:type="spellEnd"/>
      <w:r w:rsidRPr="00A259BD">
        <w:rPr>
          <w:color w:val="000000" w:themeColor="text1"/>
          <w:lang w:val="ru-RU"/>
        </w:rPr>
        <w:t xml:space="preserve"> захватили моряки и высаженные флотилией части 2-й Приамурской стрелко</w:t>
      </w:r>
      <w:r w:rsidRPr="00A259BD">
        <w:rPr>
          <w:color w:val="000000" w:themeColor="text1"/>
          <w:lang w:val="ru-RU"/>
        </w:rPr>
        <w:softHyphen/>
        <w:t>вой дивизии. Комен</w:t>
      </w:r>
      <w:r w:rsidRPr="00A259BD">
        <w:rPr>
          <w:color w:val="000000" w:themeColor="text1"/>
          <w:lang w:val="ru-RU"/>
        </w:rPr>
        <w:softHyphen/>
        <w:t>дант гарнизона и до сотни его подчиненных сдались в плен. Крас</w:t>
      </w:r>
      <w:r w:rsidRPr="00A259BD">
        <w:rPr>
          <w:color w:val="000000" w:themeColor="text1"/>
          <w:lang w:val="ru-RU"/>
        </w:rPr>
        <w:softHyphen/>
        <w:t xml:space="preserve">ноармейцы захватили </w:t>
      </w:r>
      <w:r w:rsidRPr="00A259BD">
        <w:rPr>
          <w:rStyle w:val="5c"/>
          <w:rFonts w:ascii="Times New Roman" w:hAnsi="Times New Roman" w:cs="Times New Roman"/>
          <w:b w:val="0"/>
          <w:color w:val="000000" w:themeColor="text1"/>
          <w:sz w:val="16"/>
          <w:szCs w:val="16"/>
          <w:lang w:val="ru-RU"/>
        </w:rPr>
        <w:t>12</w:t>
      </w:r>
      <w:r w:rsidRPr="00A259BD">
        <w:rPr>
          <w:color w:val="000000" w:themeColor="text1"/>
          <w:lang w:val="ru-RU"/>
        </w:rPr>
        <w:t xml:space="preserve"> орудий и 15 пулемё</w:t>
      </w:r>
      <w:r w:rsidRPr="00A259BD">
        <w:rPr>
          <w:rStyle w:val="1b"/>
          <w:rFonts w:ascii="Times New Roman" w:hAnsi="Times New Roman" w:cs="Times New Roman"/>
          <w:bCs/>
          <w:color w:val="000000" w:themeColor="text1"/>
          <w:sz w:val="16"/>
          <w:szCs w:val="16"/>
          <w:lang w:val="ru-RU"/>
        </w:rPr>
        <w:t xml:space="preserve">тов. Морякам достались четыре баржи и два катера. Потерь в этой операции советская авиация не имела, только на трёх самолетах 40-й </w:t>
      </w:r>
      <w:proofErr w:type="spellStart"/>
      <w:r w:rsidRPr="00A259BD">
        <w:rPr>
          <w:rStyle w:val="1b"/>
          <w:rFonts w:ascii="Times New Roman" w:hAnsi="Times New Roman" w:cs="Times New Roman"/>
          <w:bCs/>
          <w:color w:val="000000" w:themeColor="text1"/>
          <w:sz w:val="16"/>
          <w:szCs w:val="16"/>
          <w:lang w:val="ru-RU"/>
        </w:rPr>
        <w:t>аэ</w:t>
      </w:r>
      <w:proofErr w:type="spellEnd"/>
      <w:r w:rsidRPr="00A259BD">
        <w:rPr>
          <w:rStyle w:val="1b"/>
          <w:rFonts w:ascii="Times New Roman" w:hAnsi="Times New Roman" w:cs="Times New Roman"/>
          <w:bCs/>
          <w:color w:val="000000" w:themeColor="text1"/>
          <w:sz w:val="16"/>
          <w:szCs w:val="16"/>
          <w:lang w:val="ru-RU"/>
        </w:rPr>
        <w:t xml:space="preserve"> и одном МР-1 68-го </w:t>
      </w:r>
      <w:proofErr w:type="spellStart"/>
      <w:r w:rsidRPr="00A259BD">
        <w:rPr>
          <w:rStyle w:val="1b"/>
          <w:rFonts w:ascii="Times New Roman" w:hAnsi="Times New Roman" w:cs="Times New Roman"/>
          <w:bCs/>
          <w:color w:val="000000" w:themeColor="text1"/>
          <w:sz w:val="16"/>
          <w:szCs w:val="16"/>
          <w:lang w:val="ru-RU"/>
        </w:rPr>
        <w:t>оао</w:t>
      </w:r>
      <w:proofErr w:type="spellEnd"/>
      <w:r w:rsidRPr="00A259BD">
        <w:rPr>
          <w:rStyle w:val="1b"/>
          <w:rFonts w:ascii="Times New Roman" w:hAnsi="Times New Roman" w:cs="Times New Roman"/>
          <w:bCs/>
          <w:color w:val="000000" w:themeColor="text1"/>
          <w:sz w:val="16"/>
          <w:szCs w:val="16"/>
          <w:lang w:val="ru-RU"/>
        </w:rPr>
        <w:t xml:space="preserve"> нашли пулевые пробоины.</w:t>
      </w:r>
    </w:p>
    <w:p w14:paraId="40CAC3F1" w14:textId="77777777" w:rsidR="0065509C" w:rsidRPr="00A259BD" w:rsidRDefault="0065509C" w:rsidP="009236E3">
      <w:pPr>
        <w:pStyle w:val="a3"/>
        <w:rPr>
          <w:color w:val="000000" w:themeColor="text1"/>
          <w:lang w:val="ru-RU"/>
        </w:rPr>
      </w:pPr>
      <w:r w:rsidRPr="00A259BD">
        <w:rPr>
          <w:color w:val="000000" w:themeColor="text1"/>
          <w:lang w:val="ru-RU"/>
        </w:rPr>
        <w:lastRenderedPageBreak/>
        <w:t xml:space="preserve">Потеряв </w:t>
      </w:r>
      <w:proofErr w:type="spellStart"/>
      <w:r w:rsidRPr="00A259BD">
        <w:rPr>
          <w:color w:val="000000" w:themeColor="text1"/>
          <w:lang w:val="ru-RU"/>
        </w:rPr>
        <w:t>Лахасусу</w:t>
      </w:r>
      <w:proofErr w:type="spellEnd"/>
      <w:r w:rsidRPr="00A259BD">
        <w:rPr>
          <w:color w:val="000000" w:themeColor="text1"/>
          <w:lang w:val="ru-RU"/>
        </w:rPr>
        <w:t xml:space="preserve">, китайцы попытались перекрыть Сунгари в 7-8 км от </w:t>
      </w:r>
      <w:proofErr w:type="spellStart"/>
      <w:r w:rsidRPr="00A259BD">
        <w:rPr>
          <w:color w:val="000000" w:themeColor="text1"/>
          <w:lang w:val="ru-RU"/>
        </w:rPr>
        <w:t>Фугдина</w:t>
      </w:r>
      <w:proofErr w:type="spellEnd"/>
      <w:r w:rsidRPr="00A259BD">
        <w:rPr>
          <w:color w:val="000000" w:themeColor="text1"/>
          <w:lang w:val="ru-RU"/>
        </w:rPr>
        <w:t xml:space="preserve"> (ны</w:t>
      </w:r>
      <w:r w:rsidRPr="00A259BD">
        <w:rPr>
          <w:color w:val="000000" w:themeColor="text1"/>
          <w:lang w:val="ru-RU"/>
        </w:rPr>
        <w:softHyphen/>
        <w:t xml:space="preserve">не </w:t>
      </w:r>
      <w:proofErr w:type="spellStart"/>
      <w:r w:rsidRPr="00A259BD">
        <w:rPr>
          <w:color w:val="000000" w:themeColor="text1"/>
          <w:lang w:val="ru-RU"/>
        </w:rPr>
        <w:t>Фуцзинь</w:t>
      </w:r>
      <w:proofErr w:type="spellEnd"/>
      <w:r w:rsidRPr="00A259BD">
        <w:rPr>
          <w:color w:val="000000" w:themeColor="text1"/>
          <w:lang w:val="ru-RU"/>
        </w:rPr>
        <w:t>). Они начали подгонять баржи, гружённые камнем и топить их в фарвате</w:t>
      </w:r>
      <w:r w:rsidRPr="00A259BD">
        <w:rPr>
          <w:color w:val="000000" w:themeColor="text1"/>
          <w:lang w:val="ru-RU"/>
        </w:rPr>
        <w:softHyphen/>
        <w:t>ре. Авиации поставили задачу не дать закончить эту работу (15819).</w:t>
      </w:r>
    </w:p>
    <w:p w14:paraId="3DCBC0FA" w14:textId="77777777" w:rsidR="0065509C" w:rsidRPr="00A259BD" w:rsidRDefault="0065509C" w:rsidP="009236E3">
      <w:pPr>
        <w:pStyle w:val="a3"/>
        <w:rPr>
          <w:color w:val="000000" w:themeColor="text1"/>
          <w:lang w:val="ru-RU"/>
        </w:rPr>
      </w:pPr>
    </w:p>
    <w:p w14:paraId="4CB71B26" w14:textId="77777777" w:rsidR="0065509C" w:rsidRPr="00A259BD" w:rsidRDefault="0065509C" w:rsidP="009236E3">
      <w:pPr>
        <w:pStyle w:val="a3"/>
        <w:rPr>
          <w:color w:val="000000" w:themeColor="text1"/>
          <w:lang w:val="ru-RU"/>
        </w:rPr>
      </w:pPr>
      <w:r w:rsidRPr="00A259BD">
        <w:rPr>
          <w:color w:val="000000" w:themeColor="text1"/>
          <w:lang w:val="ru-RU"/>
        </w:rPr>
        <w:t xml:space="preserve">12 октября 1929 начались активные боевые действия в районе </w:t>
      </w:r>
      <w:proofErr w:type="spellStart"/>
      <w:r w:rsidRPr="00A259BD">
        <w:rPr>
          <w:color w:val="000000" w:themeColor="text1"/>
          <w:lang w:val="ru-RU"/>
        </w:rPr>
        <w:t>Лахасусу</w:t>
      </w:r>
      <w:proofErr w:type="spellEnd"/>
      <w:r w:rsidRPr="00A259BD">
        <w:rPr>
          <w:color w:val="000000" w:themeColor="text1"/>
          <w:lang w:val="ru-RU"/>
        </w:rPr>
        <w:t xml:space="preserve"> против китайской военной флотилии в устье Сунгари. Р-1 из 40-й </w:t>
      </w:r>
      <w:proofErr w:type="spellStart"/>
      <w:r w:rsidRPr="00A259BD">
        <w:rPr>
          <w:color w:val="000000" w:themeColor="text1"/>
          <w:lang w:val="ru-RU"/>
        </w:rPr>
        <w:t>аэ</w:t>
      </w:r>
      <w:proofErr w:type="spellEnd"/>
      <w:r w:rsidRPr="00A259BD">
        <w:rPr>
          <w:color w:val="000000" w:themeColor="text1"/>
          <w:lang w:val="ru-RU"/>
        </w:rPr>
        <w:t xml:space="preserve"> и МР-1 из 68-го </w:t>
      </w:r>
      <w:proofErr w:type="spellStart"/>
      <w:r w:rsidRPr="00A259BD">
        <w:rPr>
          <w:color w:val="000000" w:themeColor="text1"/>
          <w:lang w:val="ru-RU"/>
        </w:rPr>
        <w:t>оао</w:t>
      </w:r>
      <w:proofErr w:type="spellEnd"/>
      <w:r w:rsidRPr="00A259BD">
        <w:rPr>
          <w:color w:val="000000" w:themeColor="text1"/>
          <w:lang w:val="ru-RU"/>
        </w:rPr>
        <w:t xml:space="preserve"> наносили бомбовые удары по вражеским укреплениям, кораблям и огневым точкам. Авиация во многом содействовала захвату </w:t>
      </w:r>
      <w:proofErr w:type="spellStart"/>
      <w:r w:rsidRPr="00A259BD">
        <w:rPr>
          <w:color w:val="000000" w:themeColor="text1"/>
          <w:lang w:val="ru-RU"/>
        </w:rPr>
        <w:t>Лахасусу</w:t>
      </w:r>
      <w:proofErr w:type="spellEnd"/>
      <w:r w:rsidRPr="00A259BD">
        <w:rPr>
          <w:color w:val="000000" w:themeColor="text1"/>
          <w:lang w:val="ru-RU"/>
        </w:rPr>
        <w:t>.</w:t>
      </w:r>
    </w:p>
    <w:p w14:paraId="279962F6" w14:textId="77777777" w:rsidR="0065509C" w:rsidRPr="00A259BD" w:rsidRDefault="0065509C" w:rsidP="009236E3">
      <w:pPr>
        <w:pStyle w:val="a3"/>
        <w:rPr>
          <w:color w:val="000000" w:themeColor="text1"/>
          <w:lang w:val="ru-RU"/>
        </w:rPr>
      </w:pPr>
      <w:proofErr w:type="spellStart"/>
      <w:r w:rsidRPr="00A259BD">
        <w:rPr>
          <w:color w:val="000000" w:themeColor="text1"/>
          <w:lang w:val="ru-RU"/>
        </w:rPr>
        <w:t>Сунгарийская</w:t>
      </w:r>
      <w:proofErr w:type="spellEnd"/>
      <w:r w:rsidRPr="00A259BD">
        <w:rPr>
          <w:color w:val="000000" w:themeColor="text1"/>
          <w:lang w:val="ru-RU"/>
        </w:rPr>
        <w:t xml:space="preserve"> операция успешно завершилась 16 октября. В срочном </w:t>
      </w:r>
      <w:proofErr w:type="spellStart"/>
      <w:r w:rsidRPr="00A259BD">
        <w:rPr>
          <w:color w:val="000000" w:themeColor="text1"/>
          <w:lang w:val="ru-RU"/>
        </w:rPr>
        <w:t>политдонесении</w:t>
      </w:r>
      <w:proofErr w:type="spellEnd"/>
      <w:r w:rsidRPr="00A259BD">
        <w:rPr>
          <w:color w:val="000000" w:themeColor="text1"/>
          <w:lang w:val="ru-RU"/>
        </w:rPr>
        <w:t xml:space="preserve"> в Москву указано, что три самолёта получили пулевые пробоины, но остались в строю.</w:t>
      </w:r>
    </w:p>
    <w:p w14:paraId="42764F42" w14:textId="77777777" w:rsidR="0065509C" w:rsidRPr="00A259BD" w:rsidRDefault="0065509C" w:rsidP="009236E3">
      <w:pPr>
        <w:pStyle w:val="a3"/>
        <w:rPr>
          <w:color w:val="000000" w:themeColor="text1"/>
          <w:lang w:val="ru-RU"/>
        </w:rPr>
      </w:pPr>
      <w:r w:rsidRPr="00A259BD">
        <w:rPr>
          <w:color w:val="000000" w:themeColor="text1"/>
          <w:lang w:val="ru-RU"/>
        </w:rPr>
        <w:t>17 октября в Шанхайской прессе сообщили о поражении китайской военной флоти</w:t>
      </w:r>
      <w:r w:rsidRPr="00A259BD">
        <w:rPr>
          <w:color w:val="000000" w:themeColor="text1"/>
          <w:lang w:val="ru-RU"/>
        </w:rPr>
        <w:softHyphen/>
        <w:t xml:space="preserve">лии на Сунгари. Среди трёх потопленных и четырёх повреждённых </w:t>
      </w:r>
      <w:proofErr w:type="spellStart"/>
      <w:r w:rsidRPr="00A259BD">
        <w:rPr>
          <w:color w:val="000000" w:themeColor="text1"/>
          <w:lang w:val="ru-RU"/>
        </w:rPr>
        <w:t>канлодок</w:t>
      </w:r>
      <w:proofErr w:type="spellEnd"/>
      <w:r w:rsidRPr="00A259BD">
        <w:rPr>
          <w:color w:val="000000" w:themeColor="text1"/>
          <w:lang w:val="ru-RU"/>
        </w:rPr>
        <w:t>, а также 1000 убитых матросов почему-то упомянули и два уничтоженных китайских аэроплана (15820).</w:t>
      </w:r>
    </w:p>
    <w:p w14:paraId="4FCB734A" w14:textId="77777777" w:rsidR="0065509C" w:rsidRPr="00A259BD" w:rsidRDefault="0065509C" w:rsidP="009236E3">
      <w:pPr>
        <w:pStyle w:val="a3"/>
        <w:rPr>
          <w:color w:val="000000" w:themeColor="text1"/>
          <w:lang w:val="ru-RU"/>
        </w:rPr>
      </w:pPr>
    </w:p>
    <w:p w14:paraId="4B12AF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октября 1929 около шести утра 40-я эскадрилья выстроилась на старте, готовая к вылету. Самолеты сгруппировали в три отряда по пять машин. Первый отряд (в состав которого были включены лучшие летчики, тренировавшиеся в Хабаровске по морским целям) должен был бомбить ближайший к себе корабль на боевом курсе. Второй, учтя результат работы первого отряда, должен бомбить либо ту же цель, либо следующую ближайшую. Третьему ставилась та же самая задача, а если военные корабли будут уже потоплены, то бомбить ближайший вооружённый пароход. Предусматривался одновременный сброс бомб самолетами каждого отряда. На случай отклонения курса разрешалось идти на второй заход, но при этом бомбить не пароходы, а обязательно военные корабли. Возможные направления ветра на разных высотах внимательно изучались накануне дня операции. Летчикам указали наземные ориентиры, облегчающие привязку к целям. Отряды должны были вылетать с интервалом в 3 минуты. Для обеспечения большей свободы действий им определили разные боевые высоты: первому- 1000 метров, второму- 1200, третьему- 1000. Пристрелочную бомбу было приказано сбросить при выходе на боевой курс - независимо от того, на чьей территории она упадёт. Вылет отрядов назначили с интервалом в три минуты, чтобы предоставить им большую свободу маневрирования при выходе на боевой курс, а также для уменьшения вероятности поражения зенитным огнем. Под самолёты командиров отрядов подвешивалось по две фугасные авиабомбы АФ-82 (82 кг) и по одной АФ-16 (16 кг) для пристрелки, под остальные-две АФ-82 и две осколочные бомбы АО-8 (8 кг). Они использовались для поражения судовых команд, которые работали на верхней палубе, у зенитных орудий и пулемётов. Бомб АФ-82 оказалось мало (23 штук), на все самолеты не хватило, поэтому вместо них подвеши-валисьАФ-32. Самолеты МР-1 из 68-го ОАО оснащались бомбами АФ-32 и АО-8. Наконец, с флагманского корабля был получен кодовый сигнал и с самолета командира 40-й эскадрильи выпущены две белые ракеты. Машины стали подниматься в воздух.</w:t>
      </w:r>
    </w:p>
    <w:p w14:paraId="26DD14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6 часов 07 минут над десантной флотилией пролетело три самолета, что означало начало операции. В 6 часов 12 минут самолёты были в воздухе над устьем Сунгари. В 6 часов 13 минут монитор “Ленин” произвел залп по противнику. Затем открыли огонь все корабли Амурской флотилии. Канонерские лодки “Бурят”, “Красное Знамя” направились к берегу для высадки десанта. Корабли противника, снявшись с якоря и маневрируя, вначале пытались противодействовать, но безуспешно.</w:t>
      </w:r>
    </w:p>
    <w:p w14:paraId="0A630E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Первый отряд, выйдя в точку бомбометания, сбросил бомбы на двухтрубную канонерскую лодку “Ли-</w:t>
      </w:r>
      <w:proofErr w:type="spellStart"/>
      <w:r w:rsidRPr="00A259BD">
        <w:rPr>
          <w:rFonts w:ascii="Times New Roman" w:hAnsi="Times New Roman"/>
          <w:color w:val="000000" w:themeColor="text1"/>
          <w:sz w:val="16"/>
          <w:szCs w:val="16"/>
        </w:rPr>
        <w:t>Дзе</w:t>
      </w:r>
      <w:proofErr w:type="spellEnd"/>
      <w:r w:rsidRPr="00A259BD">
        <w:rPr>
          <w:rFonts w:ascii="Times New Roman" w:hAnsi="Times New Roman"/>
          <w:color w:val="000000" w:themeColor="text1"/>
          <w:sz w:val="16"/>
          <w:szCs w:val="16"/>
        </w:rPr>
        <w:t xml:space="preserve">”. Второй отряд из-за слабого освещения не смог найти другую канонерскую лодку, поэтому бомбил вооружённый колёсный пароход. Третий отряд сбросил бомбы на еще один вооружённый пароход и </w:t>
      </w:r>
      <w:proofErr w:type="spellStart"/>
      <w:r w:rsidRPr="00A259BD">
        <w:rPr>
          <w:rFonts w:ascii="Times New Roman" w:hAnsi="Times New Roman"/>
          <w:color w:val="000000" w:themeColor="text1"/>
          <w:sz w:val="16"/>
          <w:szCs w:val="16"/>
        </w:rPr>
        <w:t>плавбатарею</w:t>
      </w:r>
      <w:proofErr w:type="spellEnd"/>
      <w:r w:rsidRPr="00A259BD">
        <w:rPr>
          <w:rFonts w:ascii="Times New Roman" w:hAnsi="Times New Roman"/>
          <w:color w:val="000000" w:themeColor="text1"/>
          <w:sz w:val="16"/>
          <w:szCs w:val="16"/>
        </w:rPr>
        <w:t xml:space="preserve"> “Дун-И”.</w:t>
      </w:r>
    </w:p>
    <w:p w14:paraId="152B43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6 часов 15 минут самолеты 68-го ОАО бомбили китайские укрепления в районе деревни </w:t>
      </w:r>
      <w:proofErr w:type="spellStart"/>
      <w:r w:rsidRPr="00A259BD">
        <w:rPr>
          <w:rFonts w:ascii="Times New Roman" w:hAnsi="Times New Roman"/>
          <w:color w:val="000000" w:themeColor="text1"/>
          <w:sz w:val="16"/>
          <w:szCs w:val="16"/>
        </w:rPr>
        <w:t>Чичиха</w:t>
      </w:r>
      <w:proofErr w:type="spellEnd"/>
      <w:r w:rsidRPr="00A259BD">
        <w:rPr>
          <w:rFonts w:ascii="Times New Roman" w:hAnsi="Times New Roman"/>
          <w:color w:val="000000" w:themeColor="text1"/>
          <w:sz w:val="16"/>
          <w:szCs w:val="16"/>
        </w:rPr>
        <w:t>. Стрелявшие по нашим кораблям батареи противника замолчали. Китайцам пришлось обстреливать самолеты из пулемётов и винтовок.</w:t>
      </w:r>
    </w:p>
    <w:p w14:paraId="37C982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Тральщики, зная расположение минных полей, </w:t>
      </w:r>
      <w:proofErr w:type="spellStart"/>
      <w:r w:rsidRPr="00A259BD">
        <w:rPr>
          <w:rFonts w:ascii="Times New Roman" w:hAnsi="Times New Roman"/>
          <w:color w:val="000000" w:themeColor="text1"/>
          <w:sz w:val="16"/>
          <w:szCs w:val="16"/>
        </w:rPr>
        <w:t>освобожцали</w:t>
      </w:r>
      <w:proofErr w:type="spellEnd"/>
      <w:r w:rsidRPr="00A259BD">
        <w:rPr>
          <w:rFonts w:ascii="Times New Roman" w:hAnsi="Times New Roman"/>
          <w:color w:val="000000" w:themeColor="text1"/>
          <w:sz w:val="16"/>
          <w:szCs w:val="16"/>
        </w:rPr>
        <w:t xml:space="preserve"> проход на </w:t>
      </w:r>
      <w:proofErr w:type="spellStart"/>
      <w:r w:rsidRPr="00A259BD">
        <w:rPr>
          <w:rFonts w:ascii="Times New Roman" w:hAnsi="Times New Roman"/>
          <w:color w:val="000000" w:themeColor="text1"/>
          <w:sz w:val="16"/>
          <w:szCs w:val="16"/>
        </w:rPr>
        <w:t>рецц</w:t>
      </w:r>
      <w:proofErr w:type="spellEnd"/>
      <w:r w:rsidRPr="00A259BD">
        <w:rPr>
          <w:rFonts w:ascii="Times New Roman" w:hAnsi="Times New Roman"/>
          <w:color w:val="000000" w:themeColor="text1"/>
          <w:sz w:val="16"/>
          <w:szCs w:val="16"/>
        </w:rPr>
        <w:t xml:space="preserve"> мелкосидящим канонерским лодкам. Одновременно с началом траления с бронекатера “Пика” высадили разведывательно-десантную группу. Когда она закрепилась, на минном заградителе “Сильный” был переброшен десант, который, сломив сопротивление противника, занял минную станцию и батарею.</w:t>
      </w:r>
    </w:p>
    <w:p w14:paraId="489CA1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Канонерская лодка “Ли-</w:t>
      </w:r>
      <w:proofErr w:type="spellStart"/>
      <w:r w:rsidRPr="00A259BD">
        <w:rPr>
          <w:rFonts w:ascii="Times New Roman" w:hAnsi="Times New Roman"/>
          <w:color w:val="000000" w:themeColor="text1"/>
          <w:sz w:val="16"/>
          <w:szCs w:val="16"/>
        </w:rPr>
        <w:t>Дзе</w:t>
      </w:r>
      <w:proofErr w:type="spellEnd"/>
      <w:r w:rsidRPr="00A259BD">
        <w:rPr>
          <w:rFonts w:ascii="Times New Roman" w:hAnsi="Times New Roman"/>
          <w:color w:val="000000" w:themeColor="text1"/>
          <w:sz w:val="16"/>
          <w:szCs w:val="16"/>
        </w:rPr>
        <w:t>”, получив попадание от монитора “Красный Восток”, потеряла способность двигаться. Но продолжала стрельбу, как и другие корабли противника. Три трехдюймовых снаряда попали в наш монитор “Сунь-Ят-Сен”, один снаряд -в канонерскую лодку “Пролетарий”.</w:t>
      </w:r>
    </w:p>
    <w:p w14:paraId="3BF638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начала боя канонерская лодка “Беднота” через проток Саксе-на пыталась выйти в тыл противника, но ей помешала мель.</w:t>
      </w:r>
    </w:p>
    <w:p w14:paraId="6FCFAF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Десант, высаженный с канонерских лодок “Бурят” и “Красное Знамя” в 6 часов 30 минут, закрепился на берегу. В течение часа под огнем противника были переброшены главные силы. В результате короткого боя китайцев выбили из укрепленных пунктов и обратили в бегство.</w:t>
      </w:r>
    </w:p>
    <w:p w14:paraId="0D80DE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После заправки и пополнения боезапаса в 7 часов 35 минут два самолета 68-го ОАО бомбили канонерскую лодку и плавучую батарею “Дун-И” на рейде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Атаки батареи имели успех, потому что она была прикрыта берегом от снарядов с наших кораблей. Удачно сброшенная бомба пробила палубу и днище “Дун-И”. Батарея прекратила огонь, и экипаж огромными усилиями пытался сохранить ее на плаву. Интенсивность артиллерийского огня со стороны китайцев заметно снизилась.</w:t>
      </w:r>
    </w:p>
    <w:p w14:paraId="23E16C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Канонерская лодка “Ли-Суй”, в которую попали снаряды с монитора “Ленин”, дала крен и отошла на километр вверх по Сунгари, попыталась исправить повреждения. Затем стала быстро уходить вверх по Сунгари. Залпы с монитора “Свердлов” накрыли ее, после чего “Ли-Суй” начала сильно парить, однако направления не изменила и сумела выйти из боя. Снизившись, два самолёта 68-го ОАО атаковали её и идущий за ней колёсный пароход, обстреливая их из пулеметов.</w:t>
      </w:r>
    </w:p>
    <w:p w14:paraId="1A192F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Другие два самолёта в это время вели разведку поля боя, попутно сбрасывая осколочные бомбы и обстреливая противника из пулемётов.</w:t>
      </w:r>
    </w:p>
    <w:p w14:paraId="534F62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Ревущие над головой самолеты Р-1 и МР-1, рвущиеся бомбы, обстрел с воздуха из пулеметов вызвали растерянность и панику среди китайцев. Это облегчало выполнение боевой задачи сухопутными войсками и кораблями Амурской флотилии. Метким огнем с монитора “Красный Восток” на рейде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xml:space="preserve"> были потоплены канонерские лодки “</w:t>
      </w:r>
      <w:proofErr w:type="spellStart"/>
      <w:r w:rsidRPr="00A259BD">
        <w:rPr>
          <w:rFonts w:ascii="Times New Roman" w:hAnsi="Times New Roman"/>
          <w:color w:val="000000" w:themeColor="text1"/>
          <w:sz w:val="16"/>
          <w:szCs w:val="16"/>
        </w:rPr>
        <w:t>Дзян</w:t>
      </w:r>
      <w:proofErr w:type="spellEnd"/>
      <w:r w:rsidRPr="00A259BD">
        <w:rPr>
          <w:rFonts w:ascii="Times New Roman" w:hAnsi="Times New Roman"/>
          <w:color w:val="000000" w:themeColor="text1"/>
          <w:sz w:val="16"/>
          <w:szCs w:val="16"/>
        </w:rPr>
        <w:t>-Пин” и “Ли-</w:t>
      </w:r>
      <w:proofErr w:type="spellStart"/>
      <w:r w:rsidRPr="00A259BD">
        <w:rPr>
          <w:rFonts w:ascii="Times New Roman" w:hAnsi="Times New Roman"/>
          <w:color w:val="000000" w:themeColor="text1"/>
          <w:sz w:val="16"/>
          <w:szCs w:val="16"/>
        </w:rPr>
        <w:t>Дзе</w:t>
      </w:r>
      <w:proofErr w:type="spellEnd"/>
      <w:r w:rsidRPr="00A259BD">
        <w:rPr>
          <w:rFonts w:ascii="Times New Roman" w:hAnsi="Times New Roman"/>
          <w:color w:val="000000" w:themeColor="text1"/>
          <w:sz w:val="16"/>
          <w:szCs w:val="16"/>
        </w:rPr>
        <w:t>”.</w:t>
      </w:r>
    </w:p>
    <w:p w14:paraId="27808B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Десант, действуя с нескольких сторон, занял город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Китайские корабли, еще сохранившие способность двигаться, стали покидать рейд и уходить вверх по реке.</w:t>
      </w:r>
    </w:p>
    <w:p w14:paraId="097D30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Перед 40-й эскадрильей поставили новые задачи. Первому отряду приказали бомбить “речной крейсер” (“</w:t>
      </w:r>
      <w:proofErr w:type="spellStart"/>
      <w:r w:rsidRPr="00A259BD">
        <w:rPr>
          <w:rFonts w:ascii="Times New Roman" w:hAnsi="Times New Roman"/>
          <w:color w:val="000000" w:themeColor="text1"/>
          <w:sz w:val="16"/>
          <w:szCs w:val="16"/>
        </w:rPr>
        <w:t>Киен</w:t>
      </w:r>
      <w:proofErr w:type="spellEnd"/>
      <w:r w:rsidRPr="00A259BD">
        <w:rPr>
          <w:rFonts w:ascii="Times New Roman" w:hAnsi="Times New Roman"/>
          <w:color w:val="000000" w:themeColor="text1"/>
          <w:sz w:val="16"/>
          <w:szCs w:val="16"/>
        </w:rPr>
        <w:t xml:space="preserve">-Хен”) на рейде </w:t>
      </w:r>
      <w:proofErr w:type="spellStart"/>
      <w:r w:rsidRPr="00A259BD">
        <w:rPr>
          <w:rFonts w:ascii="Times New Roman" w:hAnsi="Times New Roman"/>
          <w:color w:val="000000" w:themeColor="text1"/>
          <w:sz w:val="16"/>
          <w:szCs w:val="16"/>
        </w:rPr>
        <w:t>Фугдина</w:t>
      </w:r>
      <w:proofErr w:type="spellEnd"/>
      <w:r w:rsidRPr="00A259BD">
        <w:rPr>
          <w:rFonts w:ascii="Times New Roman" w:hAnsi="Times New Roman"/>
          <w:color w:val="000000" w:themeColor="text1"/>
          <w:sz w:val="16"/>
          <w:szCs w:val="16"/>
        </w:rPr>
        <w:t>. Второй и третий отряды должны были атаковать пароходы и канонерскую лодку “Ли-Суй”, уходящие вверх по Сунгари. Вылет был намечен с интервалом 10-15 минут.</w:t>
      </w:r>
    </w:p>
    <w:p w14:paraId="22A7F4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Уже на старте первый отряд получил дополнительную задачу:</w:t>
      </w:r>
    </w:p>
    <w:p w14:paraId="205408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сбросить пристрелочную бомбу по одному из пароходов.</w:t>
      </w:r>
    </w:p>
    <w:p w14:paraId="52D946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Вылет состоялся в 8 часов 40 минут. Пристрелочная бомба “досталась” канонерской лодке. Остальные два захода сделали по “крейсеру” на рейде </w:t>
      </w:r>
      <w:proofErr w:type="spellStart"/>
      <w:r w:rsidRPr="00A259BD">
        <w:rPr>
          <w:rFonts w:ascii="Times New Roman" w:hAnsi="Times New Roman"/>
          <w:color w:val="000000" w:themeColor="text1"/>
          <w:sz w:val="16"/>
          <w:szCs w:val="16"/>
        </w:rPr>
        <w:t>Фугдина</w:t>
      </w:r>
      <w:proofErr w:type="spellEnd"/>
      <w:r w:rsidRPr="00A259BD">
        <w:rPr>
          <w:rFonts w:ascii="Times New Roman" w:hAnsi="Times New Roman"/>
          <w:color w:val="000000" w:themeColor="text1"/>
          <w:sz w:val="16"/>
          <w:szCs w:val="16"/>
        </w:rPr>
        <w:t>, но они не принесли ощутимого результата.</w:t>
      </w:r>
    </w:p>
    <w:p w14:paraId="748362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Звенья второго и третьего отрядов поочерёдно бомбардировали ускользнувшую из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xml:space="preserve"> канонерскую лодку “Ли-Суй”, причем пристрелочные бомбы сбрасывали на идущие сзади нее два парохода. По результатам своих визуальных наблюдений экипаж одного из самолётов ошибочно рапортовал о том, что канонерская лодка затонула.</w:t>
      </w:r>
    </w:p>
    <w:p w14:paraId="6F5704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Вернувшись на аэродром, все машины получили задание на третий вылет. Его основной целью было бомбометание по “Ли-Суй”, уходящей вверх по Сунгари, и вооружённым пароходам, плывущим вслед за ней. Пассажирский пароход (транспорт) “Ли-</w:t>
      </w:r>
      <w:proofErr w:type="spellStart"/>
      <w:r w:rsidRPr="00A259BD">
        <w:rPr>
          <w:rFonts w:ascii="Times New Roman" w:hAnsi="Times New Roman"/>
          <w:color w:val="000000" w:themeColor="text1"/>
          <w:sz w:val="16"/>
          <w:szCs w:val="16"/>
        </w:rPr>
        <w:t>Чуань</w:t>
      </w:r>
      <w:proofErr w:type="spellEnd"/>
      <w:r w:rsidRPr="00A259BD">
        <w:rPr>
          <w:rFonts w:ascii="Times New Roman" w:hAnsi="Times New Roman"/>
          <w:color w:val="000000" w:themeColor="text1"/>
          <w:sz w:val="16"/>
          <w:szCs w:val="16"/>
        </w:rPr>
        <w:t>”, шедший впереди канонерской лодки, решили не трогать.</w:t>
      </w:r>
    </w:p>
    <w:p w14:paraId="785BC9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Наконец, третьему отряду удалось накрыть канонерскую лодку несколькими попаданиями. Первый отряд бомбил пароход “</w:t>
      </w:r>
      <w:proofErr w:type="spellStart"/>
      <w:r w:rsidRPr="00A259BD">
        <w:rPr>
          <w:rFonts w:ascii="Times New Roman" w:hAnsi="Times New Roman"/>
          <w:color w:val="000000" w:themeColor="text1"/>
          <w:sz w:val="16"/>
          <w:szCs w:val="16"/>
        </w:rPr>
        <w:t>Дзян</w:t>
      </w:r>
      <w:proofErr w:type="spellEnd"/>
      <w:r w:rsidRPr="00A259BD">
        <w:rPr>
          <w:rFonts w:ascii="Times New Roman" w:hAnsi="Times New Roman"/>
          <w:color w:val="000000" w:themeColor="text1"/>
          <w:sz w:val="16"/>
          <w:szCs w:val="16"/>
        </w:rPr>
        <w:t>-Най”, шедший за канонерской лодкой. Второй атаковал с низкой высоты последний пароход (“</w:t>
      </w:r>
      <w:proofErr w:type="spellStart"/>
      <w:r w:rsidRPr="00A259BD">
        <w:rPr>
          <w:rFonts w:ascii="Times New Roman" w:hAnsi="Times New Roman"/>
          <w:color w:val="000000" w:themeColor="text1"/>
          <w:sz w:val="16"/>
          <w:szCs w:val="16"/>
        </w:rPr>
        <w:t>Дзян</w:t>
      </w:r>
      <w:proofErr w:type="spellEnd"/>
      <w:r w:rsidRPr="00A259BD">
        <w:rPr>
          <w:rFonts w:ascii="Times New Roman" w:hAnsi="Times New Roman"/>
          <w:color w:val="000000" w:themeColor="text1"/>
          <w:sz w:val="16"/>
          <w:szCs w:val="16"/>
        </w:rPr>
        <w:t>-Тай”), который затем с высоты 50 метров еще и обстреляли из пулемётов. Здесь прямых попаданий бомб не было, но вследствие действий авиации пароходам пришлось маневрировать, теряя скорость.</w:t>
      </w:r>
    </w:p>
    <w:p w14:paraId="74484D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Мониторы “Свердлов”, “Сун-Ят-Сен” нагнали их. Снаряды с монитора “Свердлов” попали в машинный и котельный кожух парохода “</w:t>
      </w:r>
      <w:proofErr w:type="spellStart"/>
      <w:r w:rsidRPr="00A259BD">
        <w:rPr>
          <w:rFonts w:ascii="Times New Roman" w:hAnsi="Times New Roman"/>
          <w:color w:val="000000" w:themeColor="text1"/>
          <w:sz w:val="16"/>
          <w:szCs w:val="16"/>
        </w:rPr>
        <w:t>Дзян</w:t>
      </w:r>
      <w:proofErr w:type="spellEnd"/>
      <w:r w:rsidRPr="00A259BD">
        <w:rPr>
          <w:rFonts w:ascii="Times New Roman" w:hAnsi="Times New Roman"/>
          <w:color w:val="000000" w:themeColor="text1"/>
          <w:sz w:val="16"/>
          <w:szCs w:val="16"/>
        </w:rPr>
        <w:t>-Тай”, начался пожар, но он смог уйти. “Сен-Ят-Сен” вывел из строя сначала вооруженный пароход “</w:t>
      </w:r>
      <w:proofErr w:type="spellStart"/>
      <w:r w:rsidRPr="00A259BD">
        <w:rPr>
          <w:rFonts w:ascii="Times New Roman" w:hAnsi="Times New Roman"/>
          <w:color w:val="000000" w:themeColor="text1"/>
          <w:sz w:val="16"/>
          <w:szCs w:val="16"/>
        </w:rPr>
        <w:t>Дзян</w:t>
      </w:r>
      <w:proofErr w:type="spellEnd"/>
      <w:r w:rsidRPr="00A259BD">
        <w:rPr>
          <w:rFonts w:ascii="Times New Roman" w:hAnsi="Times New Roman"/>
          <w:color w:val="000000" w:themeColor="text1"/>
          <w:sz w:val="16"/>
          <w:szCs w:val="16"/>
        </w:rPr>
        <w:t xml:space="preserve">-Най” (он затонул около 7 часов утра в 3 км от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затем “</w:t>
      </w:r>
      <w:proofErr w:type="spellStart"/>
      <w:r w:rsidRPr="00A259BD">
        <w:rPr>
          <w:rFonts w:ascii="Times New Roman" w:hAnsi="Times New Roman"/>
          <w:color w:val="000000" w:themeColor="text1"/>
          <w:sz w:val="16"/>
          <w:szCs w:val="16"/>
        </w:rPr>
        <w:t>Дзян</w:t>
      </w:r>
      <w:proofErr w:type="spellEnd"/>
      <w:r w:rsidRPr="00A259BD">
        <w:rPr>
          <w:rFonts w:ascii="Times New Roman" w:hAnsi="Times New Roman"/>
          <w:color w:val="000000" w:themeColor="text1"/>
          <w:sz w:val="16"/>
          <w:szCs w:val="16"/>
        </w:rPr>
        <w:t xml:space="preserve">-Пай” (совместными усилиями с авиацией). На этом операция у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xml:space="preserve"> фактически закончилась, поставленные задачи были решены (9978).</w:t>
      </w:r>
    </w:p>
    <w:p w14:paraId="14D000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ABCAC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октября 1929 г. в 6 часов 7 минут началась боевые действия. Самолеты 40-й эскадрильи бомбили корабли неприятеля. В своих донесениях летчики указывали, что все корабли были накрыты бомбами, но позже выясни</w:t>
      </w:r>
      <w:r w:rsidRPr="00A259BD">
        <w:rPr>
          <w:rFonts w:ascii="Times New Roman" w:hAnsi="Times New Roman"/>
          <w:color w:val="000000" w:themeColor="text1"/>
          <w:sz w:val="16"/>
          <w:szCs w:val="16"/>
        </w:rPr>
        <w:softHyphen/>
        <w:t xml:space="preserve">лось, что ни одна бомба 40-й эскадрильи не попала в цель. 68-й отряд действовал более успешно, потопив плавучую батарею “Дун-И” на рейде у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Ревущие над головой самолеты Р-1 и МР-1, рвущие</w:t>
      </w:r>
      <w:r w:rsidRPr="00A259BD">
        <w:rPr>
          <w:rFonts w:ascii="Times New Roman" w:hAnsi="Times New Roman"/>
          <w:color w:val="000000" w:themeColor="text1"/>
          <w:sz w:val="16"/>
          <w:szCs w:val="16"/>
        </w:rPr>
        <w:softHyphen/>
        <w:t>ся бомбы, обстрел с воздуха из пулеметов вносили в ря</w:t>
      </w:r>
      <w:r w:rsidRPr="00A259BD">
        <w:rPr>
          <w:rFonts w:ascii="Times New Roman" w:hAnsi="Times New Roman"/>
          <w:color w:val="000000" w:themeColor="text1"/>
          <w:sz w:val="16"/>
          <w:szCs w:val="16"/>
        </w:rPr>
        <w:softHyphen/>
        <w:t>ды личного состава противника растерянность и панику. Этим облегчалось выполнение боевой задачи сухопутными войсками и кораблями Амурской флоти</w:t>
      </w:r>
      <w:r w:rsidRPr="00A259BD">
        <w:rPr>
          <w:rFonts w:ascii="Times New Roman" w:hAnsi="Times New Roman"/>
          <w:color w:val="000000" w:themeColor="text1"/>
          <w:sz w:val="16"/>
          <w:szCs w:val="16"/>
        </w:rPr>
        <w:softHyphen/>
        <w:t xml:space="preserve">лии. Метким огнем с монитора “Красный Восток” на рейде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xml:space="preserve"> были потоплены канонерские лодки “</w:t>
      </w:r>
      <w:proofErr w:type="spellStart"/>
      <w:r w:rsidRPr="00A259BD">
        <w:rPr>
          <w:rFonts w:ascii="Times New Roman" w:hAnsi="Times New Roman"/>
          <w:color w:val="000000" w:themeColor="text1"/>
          <w:sz w:val="16"/>
          <w:szCs w:val="16"/>
        </w:rPr>
        <w:t>Дзян</w:t>
      </w:r>
      <w:proofErr w:type="spellEnd"/>
      <w:r w:rsidRPr="00A259BD">
        <w:rPr>
          <w:rFonts w:ascii="Times New Roman" w:hAnsi="Times New Roman"/>
          <w:color w:val="000000" w:themeColor="text1"/>
          <w:sz w:val="16"/>
          <w:szCs w:val="16"/>
        </w:rPr>
        <w:t>-Пин” и “Ли-</w:t>
      </w:r>
      <w:proofErr w:type="spellStart"/>
      <w:r w:rsidRPr="00A259BD">
        <w:rPr>
          <w:rFonts w:ascii="Times New Roman" w:hAnsi="Times New Roman"/>
          <w:color w:val="000000" w:themeColor="text1"/>
          <w:sz w:val="16"/>
          <w:szCs w:val="16"/>
        </w:rPr>
        <w:t>Дзе</w:t>
      </w:r>
      <w:proofErr w:type="spellEnd"/>
      <w:r w:rsidRPr="00A259BD">
        <w:rPr>
          <w:rFonts w:ascii="Times New Roman" w:hAnsi="Times New Roman"/>
          <w:color w:val="000000" w:themeColor="text1"/>
          <w:sz w:val="16"/>
          <w:szCs w:val="16"/>
        </w:rPr>
        <w:t xml:space="preserve">”. Десант с нескольких сторон занял г.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Китай</w:t>
      </w:r>
      <w:r w:rsidRPr="00A259BD">
        <w:rPr>
          <w:rFonts w:ascii="Times New Roman" w:hAnsi="Times New Roman"/>
          <w:color w:val="000000" w:themeColor="text1"/>
          <w:sz w:val="16"/>
          <w:szCs w:val="16"/>
        </w:rPr>
        <w:softHyphen/>
        <w:t xml:space="preserve">ские корабли, еще сохранившие способность двигаться, стали покидать рейд и уходить вверх по реке. После операции под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xml:space="preserve"> боевые действия про</w:t>
      </w:r>
      <w:r w:rsidRPr="00A259BD">
        <w:rPr>
          <w:rFonts w:ascii="Times New Roman" w:hAnsi="Times New Roman"/>
          <w:color w:val="000000" w:themeColor="text1"/>
          <w:sz w:val="16"/>
          <w:szCs w:val="16"/>
        </w:rPr>
        <w:softHyphen/>
        <w:t xml:space="preserve">должались. Китайцы пытались перенести их на нашу территорию. После 12 октября произошли налёты на ряд населенных пунктов вблизи Амура, особенно пострадали </w:t>
      </w:r>
      <w:proofErr w:type="spellStart"/>
      <w:r w:rsidRPr="00A259BD">
        <w:rPr>
          <w:rFonts w:ascii="Times New Roman" w:hAnsi="Times New Roman"/>
          <w:color w:val="000000" w:themeColor="text1"/>
          <w:sz w:val="16"/>
          <w:szCs w:val="16"/>
        </w:rPr>
        <w:t>Опочи</w:t>
      </w:r>
      <w:proofErr w:type="spellEnd"/>
      <w:r w:rsidRPr="00A259BD">
        <w:rPr>
          <w:rFonts w:ascii="Times New Roman" w:hAnsi="Times New Roman"/>
          <w:color w:val="000000" w:themeColor="text1"/>
          <w:sz w:val="16"/>
          <w:szCs w:val="16"/>
        </w:rPr>
        <w:t xml:space="preserve"> и Нерчинский завод, погибло мирное население. Китайцы укрепились в </w:t>
      </w:r>
      <w:proofErr w:type="spellStart"/>
      <w:r w:rsidRPr="00A259BD">
        <w:rPr>
          <w:rFonts w:ascii="Times New Roman" w:hAnsi="Times New Roman"/>
          <w:color w:val="000000" w:themeColor="text1"/>
          <w:sz w:val="16"/>
          <w:szCs w:val="16"/>
        </w:rPr>
        <w:t>Фугдине</w:t>
      </w:r>
      <w:proofErr w:type="spellEnd"/>
      <w:r w:rsidRPr="00A259BD">
        <w:rPr>
          <w:rFonts w:ascii="Times New Roman" w:hAnsi="Times New Roman"/>
          <w:color w:val="000000" w:themeColor="text1"/>
          <w:sz w:val="16"/>
          <w:szCs w:val="16"/>
        </w:rPr>
        <w:t xml:space="preserve"> (выше по течению Сунгари), Сан-Сине. Из </w:t>
      </w:r>
      <w:proofErr w:type="spellStart"/>
      <w:r w:rsidRPr="00A259BD">
        <w:rPr>
          <w:rFonts w:ascii="Times New Roman" w:hAnsi="Times New Roman"/>
          <w:color w:val="000000" w:themeColor="text1"/>
          <w:sz w:val="16"/>
          <w:szCs w:val="16"/>
        </w:rPr>
        <w:t>Мукдена</w:t>
      </w:r>
      <w:proofErr w:type="spellEnd"/>
      <w:r w:rsidRPr="00A259BD">
        <w:rPr>
          <w:rFonts w:ascii="Times New Roman" w:hAnsi="Times New Roman"/>
          <w:color w:val="000000" w:themeColor="text1"/>
          <w:sz w:val="16"/>
          <w:szCs w:val="16"/>
        </w:rPr>
        <w:t xml:space="preserve"> прибыли подкрепле</w:t>
      </w:r>
      <w:r w:rsidRPr="00A259BD">
        <w:rPr>
          <w:rFonts w:ascii="Times New Roman" w:hAnsi="Times New Roman"/>
          <w:color w:val="000000" w:themeColor="text1"/>
          <w:sz w:val="16"/>
          <w:szCs w:val="16"/>
        </w:rPr>
        <w:softHyphen/>
        <w:t xml:space="preserve">ния. На рейде г. </w:t>
      </w:r>
      <w:proofErr w:type="spellStart"/>
      <w:r w:rsidRPr="00A259BD">
        <w:rPr>
          <w:rFonts w:ascii="Times New Roman" w:hAnsi="Times New Roman"/>
          <w:color w:val="000000" w:themeColor="text1"/>
          <w:sz w:val="16"/>
          <w:szCs w:val="16"/>
        </w:rPr>
        <w:t>Фугдина</w:t>
      </w:r>
      <w:proofErr w:type="spellEnd"/>
      <w:r w:rsidRPr="00A259BD">
        <w:rPr>
          <w:rFonts w:ascii="Times New Roman" w:hAnsi="Times New Roman"/>
          <w:color w:val="000000" w:themeColor="text1"/>
          <w:sz w:val="16"/>
          <w:szCs w:val="16"/>
        </w:rPr>
        <w:t xml:space="preserve"> сосредоточились остатки Сун-</w:t>
      </w:r>
      <w:proofErr w:type="spellStart"/>
      <w:r w:rsidRPr="00A259BD">
        <w:rPr>
          <w:rFonts w:ascii="Times New Roman" w:hAnsi="Times New Roman"/>
          <w:color w:val="000000" w:themeColor="text1"/>
          <w:sz w:val="16"/>
          <w:szCs w:val="16"/>
        </w:rPr>
        <w:t>гарийской</w:t>
      </w:r>
      <w:proofErr w:type="spellEnd"/>
      <w:r w:rsidRPr="00A259BD">
        <w:rPr>
          <w:rFonts w:ascii="Times New Roman" w:hAnsi="Times New Roman"/>
          <w:color w:val="000000" w:themeColor="text1"/>
          <w:sz w:val="16"/>
          <w:szCs w:val="16"/>
        </w:rPr>
        <w:t xml:space="preserve"> флотилии в составе канонерской лодки “</w:t>
      </w:r>
      <w:proofErr w:type="spellStart"/>
      <w:r w:rsidRPr="00A259BD">
        <w:rPr>
          <w:rFonts w:ascii="Times New Roman" w:hAnsi="Times New Roman"/>
          <w:color w:val="000000" w:themeColor="text1"/>
          <w:sz w:val="16"/>
          <w:szCs w:val="16"/>
        </w:rPr>
        <w:t>Киан</w:t>
      </w:r>
      <w:proofErr w:type="spellEnd"/>
      <w:r w:rsidRPr="00A259BD">
        <w:rPr>
          <w:rFonts w:ascii="Times New Roman" w:hAnsi="Times New Roman"/>
          <w:color w:val="000000" w:themeColor="text1"/>
          <w:sz w:val="16"/>
          <w:szCs w:val="16"/>
        </w:rPr>
        <w:t>-Хен”, трех вооруженных пароходов и одного во</w:t>
      </w:r>
      <w:r w:rsidRPr="00A259BD">
        <w:rPr>
          <w:rFonts w:ascii="Times New Roman" w:hAnsi="Times New Roman"/>
          <w:color w:val="000000" w:themeColor="text1"/>
          <w:sz w:val="16"/>
          <w:szCs w:val="16"/>
        </w:rPr>
        <w:softHyphen/>
        <w:t>оруженного транспорта. Активные боевые действия на территории нашей страны китайское командование планировало начать после ледостава на Амуре, когда без труда можно было бы преодолеть водную преграду. Обстановка, сложившаяся на Даль</w:t>
      </w:r>
      <w:r w:rsidRPr="00A259BD">
        <w:rPr>
          <w:rFonts w:ascii="Times New Roman" w:hAnsi="Times New Roman"/>
          <w:color w:val="000000" w:themeColor="text1"/>
          <w:sz w:val="16"/>
          <w:szCs w:val="16"/>
        </w:rPr>
        <w:softHyphen/>
        <w:t>невосточном театре военных действий к концу октября, с полной очевидностью говорила о том, что необходи</w:t>
      </w:r>
      <w:r w:rsidRPr="00A259BD">
        <w:rPr>
          <w:rFonts w:ascii="Times New Roman" w:hAnsi="Times New Roman"/>
          <w:color w:val="000000" w:themeColor="text1"/>
          <w:sz w:val="16"/>
          <w:szCs w:val="16"/>
        </w:rPr>
        <w:softHyphen/>
        <w:t xml:space="preserve">мо проведение еще одной операции на </w:t>
      </w:r>
      <w:proofErr w:type="spellStart"/>
      <w:r w:rsidRPr="00A259BD">
        <w:rPr>
          <w:rFonts w:ascii="Times New Roman" w:hAnsi="Times New Roman"/>
          <w:color w:val="000000" w:themeColor="text1"/>
          <w:sz w:val="16"/>
          <w:szCs w:val="16"/>
        </w:rPr>
        <w:t>Сунгарийском</w:t>
      </w:r>
      <w:proofErr w:type="spellEnd"/>
      <w:r w:rsidRPr="00A259BD">
        <w:rPr>
          <w:rFonts w:ascii="Times New Roman" w:hAnsi="Times New Roman"/>
          <w:color w:val="000000" w:themeColor="text1"/>
          <w:sz w:val="16"/>
          <w:szCs w:val="16"/>
        </w:rPr>
        <w:t xml:space="preserve"> направлении - </w:t>
      </w:r>
      <w:proofErr w:type="spellStart"/>
      <w:r w:rsidRPr="00A259BD">
        <w:rPr>
          <w:rFonts w:ascii="Times New Roman" w:hAnsi="Times New Roman"/>
          <w:color w:val="000000" w:themeColor="text1"/>
          <w:sz w:val="16"/>
          <w:szCs w:val="16"/>
        </w:rPr>
        <w:t>Фугдинской</w:t>
      </w:r>
      <w:proofErr w:type="spellEnd"/>
      <w:r w:rsidRPr="00A259BD">
        <w:rPr>
          <w:rFonts w:ascii="Times New Roman" w:hAnsi="Times New Roman"/>
          <w:color w:val="000000" w:themeColor="text1"/>
          <w:sz w:val="16"/>
          <w:szCs w:val="16"/>
        </w:rPr>
        <w:t>. В ней участвовал 68-й авиа</w:t>
      </w:r>
      <w:r w:rsidRPr="00A259BD">
        <w:rPr>
          <w:rFonts w:ascii="Times New Roman" w:hAnsi="Times New Roman"/>
          <w:color w:val="000000" w:themeColor="text1"/>
          <w:sz w:val="16"/>
          <w:szCs w:val="16"/>
        </w:rPr>
        <w:softHyphen/>
        <w:t>отряд (10667).</w:t>
      </w:r>
    </w:p>
    <w:p w14:paraId="034370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4FB9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12 октября 1929 начались активные боевые действия в райо</w:t>
      </w:r>
      <w:r w:rsidRPr="00A259BD">
        <w:rPr>
          <w:rFonts w:ascii="Times New Roman" w:hAnsi="Times New Roman"/>
          <w:color w:val="000000" w:themeColor="text1"/>
          <w:sz w:val="16"/>
          <w:szCs w:val="16"/>
        </w:rPr>
        <w:softHyphen/>
        <w:t xml:space="preserve">не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xml:space="preserve"> против китайской военной флотилии в устье Сунгари. Р-1 из 40-й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и МР-1 из 68-го </w:t>
      </w:r>
      <w:proofErr w:type="spellStart"/>
      <w:r w:rsidRPr="00A259BD">
        <w:rPr>
          <w:rFonts w:ascii="Times New Roman" w:hAnsi="Times New Roman"/>
          <w:color w:val="000000" w:themeColor="text1"/>
          <w:sz w:val="16"/>
          <w:szCs w:val="16"/>
        </w:rPr>
        <w:t>оаро</w:t>
      </w:r>
      <w:proofErr w:type="spellEnd"/>
      <w:r w:rsidRPr="00A259BD">
        <w:rPr>
          <w:rFonts w:ascii="Times New Roman" w:hAnsi="Times New Roman"/>
          <w:color w:val="000000" w:themeColor="text1"/>
          <w:sz w:val="16"/>
          <w:szCs w:val="16"/>
        </w:rPr>
        <w:t xml:space="preserve"> наносили бомбовые удары по вражеским укреплениям, кораблям и огневым точкам. Авиация во многом со</w:t>
      </w:r>
      <w:r w:rsidRPr="00A259BD">
        <w:rPr>
          <w:rFonts w:ascii="Times New Roman" w:hAnsi="Times New Roman"/>
          <w:color w:val="000000" w:themeColor="text1"/>
          <w:sz w:val="16"/>
          <w:szCs w:val="16"/>
        </w:rPr>
        <w:softHyphen/>
        <w:t xml:space="preserve">действовала захвату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w:t>
      </w:r>
    </w:p>
    <w:p w14:paraId="068354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Сунгарийская</w:t>
      </w:r>
      <w:proofErr w:type="spellEnd"/>
      <w:r w:rsidRPr="00A259BD">
        <w:rPr>
          <w:rFonts w:ascii="Times New Roman" w:hAnsi="Times New Roman"/>
          <w:color w:val="000000" w:themeColor="text1"/>
          <w:sz w:val="16"/>
          <w:szCs w:val="16"/>
        </w:rPr>
        <w:t xml:space="preserve"> опера</w:t>
      </w:r>
      <w:r w:rsidRPr="00A259BD">
        <w:rPr>
          <w:rFonts w:ascii="Times New Roman" w:hAnsi="Times New Roman"/>
          <w:color w:val="000000" w:themeColor="text1"/>
          <w:sz w:val="16"/>
          <w:szCs w:val="16"/>
        </w:rPr>
        <w:softHyphen/>
        <w:t xml:space="preserve">ция успешно завершилась 16 октября. В срочном </w:t>
      </w:r>
      <w:proofErr w:type="spellStart"/>
      <w:r w:rsidRPr="00A259BD">
        <w:rPr>
          <w:rFonts w:ascii="Times New Roman" w:hAnsi="Times New Roman"/>
          <w:color w:val="000000" w:themeColor="text1"/>
          <w:sz w:val="16"/>
          <w:szCs w:val="16"/>
        </w:rPr>
        <w:t>по-литдонесении</w:t>
      </w:r>
      <w:proofErr w:type="spellEnd"/>
      <w:r w:rsidRPr="00A259BD">
        <w:rPr>
          <w:rFonts w:ascii="Times New Roman" w:hAnsi="Times New Roman"/>
          <w:color w:val="000000" w:themeColor="text1"/>
          <w:sz w:val="16"/>
          <w:szCs w:val="16"/>
        </w:rPr>
        <w:t xml:space="preserve"> в Москву указано, что три самолета получили пулевые пробо</w:t>
      </w:r>
      <w:r w:rsidRPr="00A259BD">
        <w:rPr>
          <w:rFonts w:ascii="Times New Roman" w:hAnsi="Times New Roman"/>
          <w:color w:val="000000" w:themeColor="text1"/>
          <w:sz w:val="16"/>
          <w:szCs w:val="16"/>
        </w:rPr>
        <w:softHyphen/>
        <w:t>ины, но остались в строю. 17 октября в Шанхайс</w:t>
      </w:r>
      <w:r w:rsidRPr="00A259BD">
        <w:rPr>
          <w:rFonts w:ascii="Times New Roman" w:hAnsi="Times New Roman"/>
          <w:color w:val="000000" w:themeColor="text1"/>
          <w:sz w:val="16"/>
          <w:szCs w:val="16"/>
        </w:rPr>
        <w:softHyphen/>
        <w:t>кой прессе появилось со</w:t>
      </w:r>
      <w:r w:rsidRPr="00A259BD">
        <w:rPr>
          <w:rFonts w:ascii="Times New Roman" w:hAnsi="Times New Roman"/>
          <w:color w:val="000000" w:themeColor="text1"/>
          <w:sz w:val="16"/>
          <w:szCs w:val="16"/>
        </w:rPr>
        <w:softHyphen/>
        <w:t>общение о поражении ки</w:t>
      </w:r>
      <w:r w:rsidRPr="00A259BD">
        <w:rPr>
          <w:rFonts w:ascii="Times New Roman" w:hAnsi="Times New Roman"/>
          <w:color w:val="000000" w:themeColor="text1"/>
          <w:sz w:val="16"/>
          <w:szCs w:val="16"/>
        </w:rPr>
        <w:softHyphen/>
        <w:t>тайской военной флоти</w:t>
      </w:r>
      <w:r w:rsidRPr="00A259BD">
        <w:rPr>
          <w:rFonts w:ascii="Times New Roman" w:hAnsi="Times New Roman"/>
          <w:color w:val="000000" w:themeColor="text1"/>
          <w:sz w:val="16"/>
          <w:szCs w:val="16"/>
        </w:rPr>
        <w:softHyphen/>
        <w:t>лии на р. Сунгари. Среди трех потопленных и четы</w:t>
      </w:r>
      <w:r w:rsidRPr="00A259BD">
        <w:rPr>
          <w:rFonts w:ascii="Times New Roman" w:hAnsi="Times New Roman"/>
          <w:color w:val="000000" w:themeColor="text1"/>
          <w:sz w:val="16"/>
          <w:szCs w:val="16"/>
        </w:rPr>
        <w:softHyphen/>
        <w:t xml:space="preserve">рех поврежденных </w:t>
      </w:r>
      <w:proofErr w:type="spellStart"/>
      <w:r w:rsidRPr="00A259BD">
        <w:rPr>
          <w:rFonts w:ascii="Times New Roman" w:hAnsi="Times New Roman"/>
          <w:color w:val="000000" w:themeColor="text1"/>
          <w:sz w:val="16"/>
          <w:szCs w:val="16"/>
        </w:rPr>
        <w:t>канло</w:t>
      </w:r>
      <w:proofErr w:type="spellEnd"/>
      <w:r w:rsidRPr="00A259BD">
        <w:rPr>
          <w:rFonts w:ascii="Times New Roman" w:hAnsi="Times New Roman"/>
          <w:color w:val="000000" w:themeColor="text1"/>
          <w:sz w:val="16"/>
          <w:szCs w:val="16"/>
        </w:rPr>
        <w:t>-док, а также 1000 убитых матросов почему-то упо</w:t>
      </w:r>
      <w:r w:rsidRPr="00A259BD">
        <w:rPr>
          <w:rFonts w:ascii="Times New Roman" w:hAnsi="Times New Roman"/>
          <w:color w:val="000000" w:themeColor="text1"/>
          <w:sz w:val="16"/>
          <w:szCs w:val="16"/>
        </w:rPr>
        <w:softHyphen/>
        <w:t>мянули и два уничтожен</w:t>
      </w:r>
      <w:r w:rsidRPr="00A259BD">
        <w:rPr>
          <w:rFonts w:ascii="Times New Roman" w:hAnsi="Times New Roman"/>
          <w:color w:val="000000" w:themeColor="text1"/>
          <w:sz w:val="16"/>
          <w:szCs w:val="16"/>
        </w:rPr>
        <w:softHyphen/>
        <w:t>ных китайских аэроплана. 17 октября разведс</w:t>
      </w:r>
      <w:r w:rsidRPr="00A259BD">
        <w:rPr>
          <w:rFonts w:ascii="Times New Roman" w:hAnsi="Times New Roman"/>
          <w:color w:val="000000" w:themeColor="text1"/>
          <w:sz w:val="16"/>
          <w:szCs w:val="16"/>
        </w:rPr>
        <w:softHyphen/>
        <w:t xml:space="preserve">водкой донесли, что из Харбина в </w:t>
      </w:r>
      <w:proofErr w:type="spellStart"/>
      <w:r w:rsidRPr="00A259BD">
        <w:rPr>
          <w:rFonts w:ascii="Times New Roman" w:hAnsi="Times New Roman"/>
          <w:color w:val="000000" w:themeColor="text1"/>
          <w:sz w:val="16"/>
          <w:szCs w:val="16"/>
        </w:rPr>
        <w:t>Цицикар</w:t>
      </w:r>
      <w:proofErr w:type="spellEnd"/>
      <w:r w:rsidRPr="00A259BD">
        <w:rPr>
          <w:rFonts w:ascii="Times New Roman" w:hAnsi="Times New Roman"/>
          <w:color w:val="000000" w:themeColor="text1"/>
          <w:sz w:val="16"/>
          <w:szCs w:val="16"/>
        </w:rPr>
        <w:t xml:space="preserve"> и Хай-лар отправили 12 двухме</w:t>
      </w:r>
      <w:r w:rsidRPr="00A259BD">
        <w:rPr>
          <w:rFonts w:ascii="Times New Roman" w:hAnsi="Times New Roman"/>
          <w:color w:val="000000" w:themeColor="text1"/>
          <w:sz w:val="16"/>
          <w:szCs w:val="16"/>
        </w:rPr>
        <w:softHyphen/>
        <w:t>стных бомбардировщиков “Бреге” и “</w:t>
      </w:r>
      <w:proofErr w:type="spellStart"/>
      <w:r w:rsidRPr="00A259BD">
        <w:rPr>
          <w:rFonts w:ascii="Times New Roman" w:hAnsi="Times New Roman"/>
          <w:color w:val="000000" w:themeColor="text1"/>
          <w:sz w:val="16"/>
          <w:szCs w:val="16"/>
        </w:rPr>
        <w:t>Потез</w:t>
      </w:r>
      <w:proofErr w:type="spellEnd"/>
      <w:r w:rsidRPr="00A259BD">
        <w:rPr>
          <w:rFonts w:ascii="Times New Roman" w:hAnsi="Times New Roman"/>
          <w:color w:val="000000" w:themeColor="text1"/>
          <w:sz w:val="16"/>
          <w:szCs w:val="16"/>
        </w:rPr>
        <w:t>”, личный состав от</w:t>
      </w:r>
      <w:r w:rsidRPr="00A259BD">
        <w:rPr>
          <w:rFonts w:ascii="Times New Roman" w:hAnsi="Times New Roman"/>
          <w:color w:val="000000" w:themeColor="text1"/>
          <w:sz w:val="16"/>
          <w:szCs w:val="16"/>
        </w:rPr>
        <w:softHyphen/>
        <w:t>ряда исключительно китайский. Одно</w:t>
      </w:r>
      <w:r w:rsidRPr="00A259BD">
        <w:rPr>
          <w:rFonts w:ascii="Times New Roman" w:hAnsi="Times New Roman"/>
          <w:color w:val="000000" w:themeColor="text1"/>
          <w:sz w:val="16"/>
          <w:szCs w:val="16"/>
        </w:rPr>
        <w:softHyphen/>
        <w:t>временно сообщили, что на ст. Маньч</w:t>
      </w:r>
      <w:r w:rsidRPr="00A259BD">
        <w:rPr>
          <w:rFonts w:ascii="Times New Roman" w:hAnsi="Times New Roman"/>
          <w:color w:val="000000" w:themeColor="text1"/>
          <w:sz w:val="16"/>
          <w:szCs w:val="16"/>
        </w:rPr>
        <w:softHyphen/>
        <w:t>журия прибыл двухместный “</w:t>
      </w:r>
      <w:proofErr w:type="spellStart"/>
      <w:r w:rsidRPr="00A259BD">
        <w:rPr>
          <w:rFonts w:ascii="Times New Roman" w:hAnsi="Times New Roman"/>
          <w:color w:val="000000" w:themeColor="text1"/>
          <w:sz w:val="16"/>
          <w:szCs w:val="16"/>
        </w:rPr>
        <w:t>Потез</w:t>
      </w:r>
      <w:proofErr w:type="spellEnd"/>
      <w:r w:rsidRPr="00A259BD">
        <w:rPr>
          <w:rFonts w:ascii="Times New Roman" w:hAnsi="Times New Roman"/>
          <w:color w:val="000000" w:themeColor="text1"/>
          <w:sz w:val="16"/>
          <w:szCs w:val="16"/>
        </w:rPr>
        <w:t>” “старой конструкции с малым радиу</w:t>
      </w:r>
      <w:r w:rsidRPr="00A259BD">
        <w:rPr>
          <w:rFonts w:ascii="Times New Roman" w:hAnsi="Times New Roman"/>
          <w:color w:val="000000" w:themeColor="text1"/>
          <w:sz w:val="16"/>
          <w:szCs w:val="16"/>
        </w:rPr>
        <w:softHyphen/>
        <w:t>сом действия, летчик и механик рус</w:t>
      </w:r>
      <w:r w:rsidRPr="00A259BD">
        <w:rPr>
          <w:rFonts w:ascii="Times New Roman" w:hAnsi="Times New Roman"/>
          <w:color w:val="000000" w:themeColor="text1"/>
          <w:sz w:val="16"/>
          <w:szCs w:val="16"/>
        </w:rPr>
        <w:softHyphen/>
        <w:t>ские” (11216).</w:t>
      </w:r>
    </w:p>
    <w:p w14:paraId="773A5C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097476"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6C5952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4F8D6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12 и 18 октября 1929. Из протокола заседания Политбюро N 102, особая папка, 1929 г.</w:t>
      </w:r>
    </w:p>
    <w:p w14:paraId="5937E6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Вопрос т. Менжинского </w:t>
      </w:r>
    </w:p>
    <w:p w14:paraId="508BA3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Утвердить смету ОГПУ на 1929-1930 гг. в размере 57,5 миллионов рублей (11652).</w:t>
      </w:r>
    </w:p>
    <w:p w14:paraId="180AF7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7C9B3F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009456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DEF79EF" w14:textId="77777777" w:rsidR="006908FF" w:rsidRPr="00A259BD" w:rsidRDefault="006908F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октября 1929 года — первый полёт опытного самолёта </w:t>
      </w:r>
      <w:proofErr w:type="spellStart"/>
      <w:r w:rsidRPr="00A259BD">
        <w:rPr>
          <w:rFonts w:ascii="Times New Roman" w:hAnsi="Times New Roman"/>
          <w:color w:val="000000" w:themeColor="text1"/>
          <w:sz w:val="16"/>
          <w:szCs w:val="16"/>
        </w:rPr>
        <w:t>Curtiss</w:t>
      </w:r>
      <w:proofErr w:type="spellEnd"/>
      <w:r w:rsidRPr="00A259BD">
        <w:rPr>
          <w:rFonts w:ascii="Times New Roman" w:hAnsi="Times New Roman"/>
          <w:color w:val="000000" w:themeColor="text1"/>
          <w:sz w:val="16"/>
          <w:szCs w:val="16"/>
        </w:rPr>
        <w:t xml:space="preserve"> Model 54 </w:t>
      </w:r>
      <w:proofErr w:type="spellStart"/>
      <w:r w:rsidRPr="00A259BD">
        <w:rPr>
          <w:rFonts w:ascii="Times New Roman" w:hAnsi="Times New Roman"/>
          <w:color w:val="000000" w:themeColor="text1"/>
          <w:sz w:val="16"/>
          <w:szCs w:val="16"/>
        </w:rPr>
        <w:t>Tanager</w:t>
      </w:r>
      <w:proofErr w:type="spellEnd"/>
      <w:r w:rsidRPr="00A259BD">
        <w:rPr>
          <w:rFonts w:ascii="Times New Roman" w:hAnsi="Times New Roman"/>
          <w:color w:val="000000" w:themeColor="text1"/>
          <w:sz w:val="16"/>
          <w:szCs w:val="16"/>
        </w:rPr>
        <w:t>. /США/</w:t>
      </w:r>
    </w:p>
    <w:p w14:paraId="4725C08F" w14:textId="77777777" w:rsidR="006908FF" w:rsidRPr="00A259BD" w:rsidRDefault="006908F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1927 году бизнесмен и авиационный меценат Даниэль Гуггенхайм объявил конкурс на создание безопасного самолёта с главным призом 100 тысяч долларов. Главные требования — скорость сваливания не выше 56 км/ч и максимальная скорость не менее 177 км/ч. Для участия в конкурсе компания </w:t>
      </w:r>
      <w:proofErr w:type="spellStart"/>
      <w:r w:rsidRPr="00A259BD">
        <w:rPr>
          <w:rFonts w:ascii="Times New Roman" w:hAnsi="Times New Roman"/>
          <w:color w:val="000000" w:themeColor="text1"/>
          <w:sz w:val="16"/>
          <w:szCs w:val="16"/>
        </w:rPr>
        <w:t>Curtiss</w:t>
      </w:r>
      <w:proofErr w:type="spellEnd"/>
      <w:r w:rsidRPr="00A259BD">
        <w:rPr>
          <w:rFonts w:ascii="Times New Roman" w:hAnsi="Times New Roman"/>
          <w:color w:val="000000" w:themeColor="text1"/>
          <w:sz w:val="16"/>
          <w:szCs w:val="16"/>
        </w:rPr>
        <w:t xml:space="preserve"> разработала Model 54 </w:t>
      </w:r>
      <w:proofErr w:type="spellStart"/>
      <w:r w:rsidRPr="00A259BD">
        <w:rPr>
          <w:rFonts w:ascii="Times New Roman" w:hAnsi="Times New Roman"/>
          <w:color w:val="000000" w:themeColor="text1"/>
          <w:sz w:val="16"/>
          <w:szCs w:val="16"/>
        </w:rPr>
        <w:t>Tanager</w:t>
      </w:r>
      <w:proofErr w:type="spellEnd"/>
      <w:r w:rsidRPr="00A259BD">
        <w:rPr>
          <w:rFonts w:ascii="Times New Roman" w:hAnsi="Times New Roman"/>
          <w:color w:val="000000" w:themeColor="text1"/>
          <w:sz w:val="16"/>
          <w:szCs w:val="16"/>
        </w:rPr>
        <w:t>.</w:t>
      </w:r>
    </w:p>
    <w:p w14:paraId="0E58F5A9" w14:textId="77777777" w:rsidR="006908FF" w:rsidRPr="00A259BD" w:rsidRDefault="006908FF"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Tanager</w:t>
      </w:r>
      <w:proofErr w:type="spellEnd"/>
      <w:r w:rsidRPr="00A259BD">
        <w:rPr>
          <w:rFonts w:ascii="Times New Roman" w:hAnsi="Times New Roman"/>
          <w:color w:val="000000" w:themeColor="text1"/>
          <w:sz w:val="16"/>
          <w:szCs w:val="16"/>
        </w:rPr>
        <w:t xml:space="preserve"> представлял собой биплан с развитой механизацией крыла — установлены закрылки, автоматические предкрылки, плавающие элероны. В закрытой кабине размещались лётчик и 2 пассажира. Двигатель </w:t>
      </w:r>
      <w:proofErr w:type="spellStart"/>
      <w:r w:rsidRPr="00A259BD">
        <w:rPr>
          <w:rFonts w:ascii="Times New Roman" w:hAnsi="Times New Roman"/>
          <w:color w:val="000000" w:themeColor="text1"/>
          <w:sz w:val="16"/>
          <w:szCs w:val="16"/>
        </w:rPr>
        <w:t>Curtiss</w:t>
      </w:r>
      <w:proofErr w:type="spellEnd"/>
      <w:r w:rsidRPr="00A259BD">
        <w:rPr>
          <w:rFonts w:ascii="Times New Roman" w:hAnsi="Times New Roman"/>
          <w:color w:val="000000" w:themeColor="text1"/>
          <w:sz w:val="16"/>
          <w:szCs w:val="16"/>
        </w:rPr>
        <w:t xml:space="preserve"> Challenger позволял достичь скорости 180 км/ч. Дальность полёта — 861 км.</w:t>
      </w:r>
    </w:p>
    <w:p w14:paraId="05D5015B" w14:textId="77777777" w:rsidR="006908FF" w:rsidRPr="00A259BD" w:rsidRDefault="006908F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результатам испытаний Model 54 </w:t>
      </w:r>
      <w:proofErr w:type="spellStart"/>
      <w:r w:rsidRPr="00A259BD">
        <w:rPr>
          <w:rFonts w:ascii="Times New Roman" w:hAnsi="Times New Roman"/>
          <w:color w:val="000000" w:themeColor="text1"/>
          <w:sz w:val="16"/>
          <w:szCs w:val="16"/>
        </w:rPr>
        <w:t>Tanager</w:t>
      </w:r>
      <w:proofErr w:type="spellEnd"/>
      <w:r w:rsidRPr="00A259BD">
        <w:rPr>
          <w:rFonts w:ascii="Times New Roman" w:hAnsi="Times New Roman"/>
          <w:color w:val="000000" w:themeColor="text1"/>
          <w:sz w:val="16"/>
          <w:szCs w:val="16"/>
        </w:rPr>
        <w:t xml:space="preserve"> признали победителем конкурса. Но развития проект не имел — слишком дорогим оказался самолёт. Да ещё и второй участник конкурса — компания </w:t>
      </w:r>
      <w:proofErr w:type="spellStart"/>
      <w:r w:rsidRPr="00A259BD">
        <w:rPr>
          <w:rFonts w:ascii="Times New Roman" w:hAnsi="Times New Roman"/>
          <w:color w:val="000000" w:themeColor="text1"/>
          <w:sz w:val="16"/>
          <w:szCs w:val="16"/>
        </w:rPr>
        <w:t>Handley</w:t>
      </w:r>
      <w:proofErr w:type="spellEnd"/>
      <w:r w:rsidRPr="00A259BD">
        <w:rPr>
          <w:rFonts w:ascii="Times New Roman" w:hAnsi="Times New Roman"/>
          <w:color w:val="000000" w:themeColor="text1"/>
          <w:sz w:val="16"/>
          <w:szCs w:val="16"/>
        </w:rPr>
        <w:t xml:space="preserve"> Page — подала в суд на </w:t>
      </w:r>
      <w:proofErr w:type="spellStart"/>
      <w:r w:rsidRPr="00A259BD">
        <w:rPr>
          <w:rFonts w:ascii="Times New Roman" w:hAnsi="Times New Roman"/>
          <w:color w:val="000000" w:themeColor="text1"/>
          <w:sz w:val="16"/>
          <w:szCs w:val="16"/>
        </w:rPr>
        <w:t>Curtiss</w:t>
      </w:r>
      <w:proofErr w:type="spellEnd"/>
      <w:r w:rsidRPr="00A259BD">
        <w:rPr>
          <w:rFonts w:ascii="Times New Roman" w:hAnsi="Times New Roman"/>
          <w:color w:val="000000" w:themeColor="text1"/>
          <w:sz w:val="16"/>
          <w:szCs w:val="16"/>
        </w:rPr>
        <w:t xml:space="preserve"> за нарушение патентов. Единственный </w:t>
      </w:r>
      <w:proofErr w:type="spellStart"/>
      <w:r w:rsidRPr="00A259BD">
        <w:rPr>
          <w:rFonts w:ascii="Times New Roman" w:hAnsi="Times New Roman"/>
          <w:color w:val="000000" w:themeColor="text1"/>
          <w:sz w:val="16"/>
          <w:szCs w:val="16"/>
        </w:rPr>
        <w:t>Tanager</w:t>
      </w:r>
      <w:proofErr w:type="spellEnd"/>
      <w:r w:rsidRPr="00A259BD">
        <w:rPr>
          <w:rFonts w:ascii="Times New Roman" w:hAnsi="Times New Roman"/>
          <w:color w:val="000000" w:themeColor="text1"/>
          <w:sz w:val="16"/>
          <w:szCs w:val="16"/>
        </w:rPr>
        <w:t xml:space="preserve"> был уничтожен пожаром в 1930 году (22300).</w:t>
      </w:r>
    </w:p>
    <w:p w14:paraId="57A1B2EF" w14:textId="77777777" w:rsidR="006908FF" w:rsidRPr="00A259BD" w:rsidRDefault="006908FF" w:rsidP="009236E3">
      <w:pPr>
        <w:spacing w:after="0" w:line="240" w:lineRule="auto"/>
        <w:jc w:val="both"/>
        <w:rPr>
          <w:rFonts w:ascii="Times New Roman" w:hAnsi="Times New Roman"/>
          <w:color w:val="000000" w:themeColor="text1"/>
          <w:sz w:val="16"/>
          <w:szCs w:val="16"/>
        </w:rPr>
      </w:pPr>
    </w:p>
    <w:p w14:paraId="4EB919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октября 1929 года завершилось строительство английского гиганта R.101. На 4 октября 1930 года был назначен первый торжественный [301] полет в Индию: так планировалось открыть британские воздухоплавательные пассажирские перевозки. В </w:t>
      </w:r>
      <w:proofErr w:type="spellStart"/>
      <w:r w:rsidRPr="00A259BD">
        <w:rPr>
          <w:rFonts w:ascii="Times New Roman" w:hAnsi="Times New Roman"/>
          <w:color w:val="000000" w:themeColor="text1"/>
          <w:sz w:val="16"/>
          <w:szCs w:val="16"/>
        </w:rPr>
        <w:t>Кардингтоне</w:t>
      </w:r>
      <w:proofErr w:type="spellEnd"/>
      <w:r w:rsidRPr="00A259BD">
        <w:rPr>
          <w:rFonts w:ascii="Times New Roman" w:hAnsi="Times New Roman"/>
          <w:color w:val="000000" w:themeColor="text1"/>
          <w:sz w:val="16"/>
          <w:szCs w:val="16"/>
        </w:rPr>
        <w:t xml:space="preserve"> собрались все сливки британского высшего общества, чтобы стать свидетелями столь знаменательного события. На борту R.101 находилась команда в составе 42 человек и 12 пассажиров, среди них — министр воздушного флота Томпсон и другие высшие чины министерства (11324). </w:t>
      </w:r>
    </w:p>
    <w:p w14:paraId="2E131D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Основные характеристики R.101 (до его переделки) и R. 100 </w:t>
      </w:r>
      <w:r w:rsidRPr="00A259BD">
        <w:rPr>
          <w:rFonts w:ascii="Times New Roman" w:hAnsi="Times New Roman"/>
          <w:iCs/>
          <w:color w:val="000000" w:themeColor="text1"/>
          <w:sz w:val="16"/>
          <w:szCs w:val="16"/>
        </w:rPr>
        <w:t>(стр. 295)</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1448"/>
        <w:gridCol w:w="4344"/>
        <w:gridCol w:w="3566"/>
      </w:tblGrid>
      <w:tr w:rsidR="00A259BD" w:rsidRPr="00A259BD" w14:paraId="7696F557" w14:textId="77777777">
        <w:tc>
          <w:tcPr>
            <w:tcW w:w="1448" w:type="dxa"/>
            <w:tcBorders>
              <w:top w:val="single" w:sz="12" w:space="0" w:color="000000"/>
            </w:tcBorders>
          </w:tcPr>
          <w:p w14:paraId="2E63BD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344" w:type="dxa"/>
            <w:tcBorders>
              <w:top w:val="single" w:sz="12" w:space="0" w:color="000000"/>
            </w:tcBorders>
          </w:tcPr>
          <w:p w14:paraId="437014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R.100 </w:t>
            </w:r>
          </w:p>
        </w:tc>
        <w:tc>
          <w:tcPr>
            <w:tcW w:w="3566" w:type="dxa"/>
            <w:tcBorders>
              <w:top w:val="single" w:sz="12" w:space="0" w:color="000000"/>
            </w:tcBorders>
          </w:tcPr>
          <w:p w14:paraId="3DC982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R.101 </w:t>
            </w:r>
          </w:p>
        </w:tc>
      </w:tr>
      <w:tr w:rsidR="00A259BD" w:rsidRPr="00A259BD" w14:paraId="3D745E0A" w14:textId="77777777">
        <w:tc>
          <w:tcPr>
            <w:tcW w:w="1448" w:type="dxa"/>
          </w:tcPr>
          <w:p w14:paraId="184F02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Объем, куб. м </w:t>
            </w:r>
          </w:p>
        </w:tc>
        <w:tc>
          <w:tcPr>
            <w:tcW w:w="4344" w:type="dxa"/>
          </w:tcPr>
          <w:p w14:paraId="2A2DC6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140 000 </w:t>
            </w:r>
          </w:p>
        </w:tc>
        <w:tc>
          <w:tcPr>
            <w:tcW w:w="3566" w:type="dxa"/>
          </w:tcPr>
          <w:p w14:paraId="392AE3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141 600 </w:t>
            </w:r>
          </w:p>
        </w:tc>
      </w:tr>
      <w:tr w:rsidR="00A259BD" w:rsidRPr="00A259BD" w14:paraId="31D917B1" w14:textId="77777777">
        <w:tc>
          <w:tcPr>
            <w:tcW w:w="1448" w:type="dxa"/>
          </w:tcPr>
          <w:p w14:paraId="34488D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Длина, м </w:t>
            </w:r>
          </w:p>
        </w:tc>
        <w:tc>
          <w:tcPr>
            <w:tcW w:w="4344" w:type="dxa"/>
          </w:tcPr>
          <w:p w14:paraId="5E741D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216,5 </w:t>
            </w:r>
          </w:p>
        </w:tc>
        <w:tc>
          <w:tcPr>
            <w:tcW w:w="3566" w:type="dxa"/>
          </w:tcPr>
          <w:p w14:paraId="27ACF8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219,6 </w:t>
            </w:r>
          </w:p>
        </w:tc>
      </w:tr>
      <w:tr w:rsidR="00A259BD" w:rsidRPr="00A259BD" w14:paraId="216DDD84" w14:textId="77777777">
        <w:tc>
          <w:tcPr>
            <w:tcW w:w="1448" w:type="dxa"/>
          </w:tcPr>
          <w:p w14:paraId="706EBE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Высота, м </w:t>
            </w:r>
          </w:p>
        </w:tc>
        <w:tc>
          <w:tcPr>
            <w:tcW w:w="4344" w:type="dxa"/>
          </w:tcPr>
          <w:p w14:paraId="63A0BF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41,15 </w:t>
            </w:r>
          </w:p>
        </w:tc>
        <w:tc>
          <w:tcPr>
            <w:tcW w:w="3566" w:type="dxa"/>
          </w:tcPr>
          <w:p w14:paraId="28D228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41,0 </w:t>
            </w:r>
          </w:p>
        </w:tc>
      </w:tr>
      <w:tr w:rsidR="00A259BD" w:rsidRPr="00A259BD" w14:paraId="514B5958" w14:textId="77777777">
        <w:tc>
          <w:tcPr>
            <w:tcW w:w="1448" w:type="dxa"/>
          </w:tcPr>
          <w:p w14:paraId="0ED7E4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Максимальный диаметр, м </w:t>
            </w:r>
          </w:p>
        </w:tc>
        <w:tc>
          <w:tcPr>
            <w:tcW w:w="4344" w:type="dxa"/>
          </w:tcPr>
          <w:p w14:paraId="0B7149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40,6 </w:t>
            </w:r>
          </w:p>
        </w:tc>
        <w:tc>
          <w:tcPr>
            <w:tcW w:w="3566" w:type="dxa"/>
          </w:tcPr>
          <w:p w14:paraId="1427AE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40,0 </w:t>
            </w:r>
          </w:p>
        </w:tc>
      </w:tr>
      <w:tr w:rsidR="00A259BD" w:rsidRPr="00A259BD" w14:paraId="26B50B36" w14:textId="77777777">
        <w:tc>
          <w:tcPr>
            <w:tcW w:w="1448" w:type="dxa"/>
          </w:tcPr>
          <w:p w14:paraId="52AF5D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Относительное удлинение </w:t>
            </w:r>
          </w:p>
        </w:tc>
        <w:tc>
          <w:tcPr>
            <w:tcW w:w="4344" w:type="dxa"/>
          </w:tcPr>
          <w:p w14:paraId="2CB27E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6,33 </w:t>
            </w:r>
          </w:p>
        </w:tc>
        <w:tc>
          <w:tcPr>
            <w:tcW w:w="3566" w:type="dxa"/>
          </w:tcPr>
          <w:p w14:paraId="56A8D9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6,5 </w:t>
            </w:r>
          </w:p>
        </w:tc>
      </w:tr>
      <w:tr w:rsidR="00A259BD" w:rsidRPr="00A259BD" w14:paraId="4A58BA4F" w14:textId="77777777">
        <w:tc>
          <w:tcPr>
            <w:tcW w:w="1448" w:type="dxa"/>
          </w:tcPr>
          <w:p w14:paraId="0A7BE6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Количество шпангоутов </w:t>
            </w:r>
          </w:p>
        </w:tc>
        <w:tc>
          <w:tcPr>
            <w:tcW w:w="4344" w:type="dxa"/>
          </w:tcPr>
          <w:p w14:paraId="4E3D9B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w:t>
            </w:r>
          </w:p>
        </w:tc>
        <w:tc>
          <w:tcPr>
            <w:tcW w:w="3566" w:type="dxa"/>
          </w:tcPr>
          <w:p w14:paraId="2C8D78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w:t>
            </w:r>
          </w:p>
        </w:tc>
      </w:tr>
      <w:tr w:rsidR="00A259BD" w:rsidRPr="00A259BD" w14:paraId="0C7B2477" w14:textId="77777777">
        <w:tc>
          <w:tcPr>
            <w:tcW w:w="1448" w:type="dxa"/>
          </w:tcPr>
          <w:p w14:paraId="48F047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Количество газовых баллонов </w:t>
            </w:r>
          </w:p>
        </w:tc>
        <w:tc>
          <w:tcPr>
            <w:tcW w:w="4344" w:type="dxa"/>
          </w:tcPr>
          <w:p w14:paraId="44E1F2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w:t>
            </w:r>
          </w:p>
        </w:tc>
        <w:tc>
          <w:tcPr>
            <w:tcW w:w="3566" w:type="dxa"/>
          </w:tcPr>
          <w:p w14:paraId="2B0F7E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w:t>
            </w:r>
          </w:p>
        </w:tc>
      </w:tr>
      <w:tr w:rsidR="00A259BD" w:rsidRPr="00A259BD" w14:paraId="70E07FDA" w14:textId="77777777">
        <w:tc>
          <w:tcPr>
            <w:tcW w:w="1448" w:type="dxa"/>
          </w:tcPr>
          <w:p w14:paraId="6B32A1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Стабилизаторы и рули </w:t>
            </w:r>
          </w:p>
        </w:tc>
        <w:tc>
          <w:tcPr>
            <w:tcW w:w="4344" w:type="dxa"/>
          </w:tcPr>
          <w:p w14:paraId="106A95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(288 кв. м) и 1 нижний (233 кв. м); рули направления </w:t>
            </w:r>
            <w:proofErr w:type="spellStart"/>
            <w:r w:rsidRPr="00A259BD">
              <w:rPr>
                <w:rFonts w:ascii="Times New Roman" w:hAnsi="Times New Roman"/>
                <w:color w:val="000000" w:themeColor="text1"/>
                <w:sz w:val="16"/>
                <w:szCs w:val="16"/>
              </w:rPr>
              <w:t>неуравновешены</w:t>
            </w:r>
            <w:proofErr w:type="spellEnd"/>
            <w:r w:rsidRPr="00A259BD">
              <w:rPr>
                <w:rFonts w:ascii="Times New Roman" w:hAnsi="Times New Roman"/>
                <w:color w:val="000000" w:themeColor="text1"/>
                <w:sz w:val="16"/>
                <w:szCs w:val="16"/>
              </w:rPr>
              <w:t xml:space="preserve">, рули высоты — уравновешены </w:t>
            </w:r>
          </w:p>
        </w:tc>
        <w:tc>
          <w:tcPr>
            <w:tcW w:w="3566" w:type="dxa"/>
          </w:tcPr>
          <w:p w14:paraId="63E8B1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(по 195 кв. м); все рули уравновешены </w:t>
            </w:r>
          </w:p>
        </w:tc>
      </w:tr>
      <w:tr w:rsidR="00A259BD" w:rsidRPr="00A259BD" w14:paraId="5DF3EDE8" w14:textId="77777777">
        <w:tc>
          <w:tcPr>
            <w:tcW w:w="1448" w:type="dxa"/>
          </w:tcPr>
          <w:p w14:paraId="6F95BC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Основные элементы каркаса </w:t>
            </w:r>
          </w:p>
        </w:tc>
        <w:tc>
          <w:tcPr>
            <w:tcW w:w="4344" w:type="dxa"/>
          </w:tcPr>
          <w:p w14:paraId="5E7B4F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Трубы из дюралюминиевой ленты, намотанной спиралью и склепанной </w:t>
            </w:r>
          </w:p>
        </w:tc>
        <w:tc>
          <w:tcPr>
            <w:tcW w:w="3566" w:type="dxa"/>
          </w:tcPr>
          <w:p w14:paraId="3B94FE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Стальные трубы, соединенные решетками из дюралюминия или же поперечными трубами </w:t>
            </w:r>
          </w:p>
        </w:tc>
      </w:tr>
      <w:tr w:rsidR="00A259BD" w:rsidRPr="00A259BD" w14:paraId="6C184891" w14:textId="77777777">
        <w:tc>
          <w:tcPr>
            <w:tcW w:w="1448" w:type="dxa"/>
          </w:tcPr>
          <w:p w14:paraId="71FAB7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Шпангоуты </w:t>
            </w:r>
          </w:p>
        </w:tc>
        <w:tc>
          <w:tcPr>
            <w:tcW w:w="4344" w:type="dxa"/>
          </w:tcPr>
          <w:p w14:paraId="3A66F0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Толщина шпангоута 0,73 м. Шпангоуты с радиальными расчалками, закрепленными на осевой балке </w:t>
            </w:r>
          </w:p>
        </w:tc>
        <w:tc>
          <w:tcPr>
            <w:tcW w:w="3566" w:type="dxa"/>
          </w:tcPr>
          <w:p w14:paraId="1A3486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Толщина шпангоута 3,15 м. Шпангоуты жесткие, без расчалок </w:t>
            </w:r>
          </w:p>
        </w:tc>
      </w:tr>
      <w:tr w:rsidR="00A259BD" w:rsidRPr="00A259BD" w14:paraId="7016FAE8" w14:textId="77777777">
        <w:tc>
          <w:tcPr>
            <w:tcW w:w="1448" w:type="dxa"/>
          </w:tcPr>
          <w:p w14:paraId="7AA4D6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Закрепление газовых баллонов </w:t>
            </w:r>
          </w:p>
        </w:tc>
        <w:tc>
          <w:tcPr>
            <w:tcW w:w="4344" w:type="dxa"/>
          </w:tcPr>
          <w:p w14:paraId="20CEF8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Сетчатые диафрагмы </w:t>
            </w:r>
          </w:p>
        </w:tc>
        <w:tc>
          <w:tcPr>
            <w:tcW w:w="3566" w:type="dxa"/>
          </w:tcPr>
          <w:p w14:paraId="3F1DAA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“Парашютная” система </w:t>
            </w:r>
          </w:p>
        </w:tc>
      </w:tr>
      <w:tr w:rsidR="00A259BD" w:rsidRPr="00A259BD" w14:paraId="76D03845" w14:textId="77777777">
        <w:tc>
          <w:tcPr>
            <w:tcW w:w="1448" w:type="dxa"/>
          </w:tcPr>
          <w:p w14:paraId="3CA47F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Моторные гондолы </w:t>
            </w:r>
          </w:p>
        </w:tc>
        <w:tc>
          <w:tcPr>
            <w:tcW w:w="4344" w:type="dxa"/>
          </w:tcPr>
          <w:p w14:paraId="0DC40C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гондолы, каждая с двумя двигателями, из которых один с толкающим, а другой с тянущим винтом </w:t>
            </w:r>
          </w:p>
        </w:tc>
        <w:tc>
          <w:tcPr>
            <w:tcW w:w="3566" w:type="dxa"/>
          </w:tcPr>
          <w:p w14:paraId="351161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гондол с одним двигателем в каждой </w:t>
            </w:r>
          </w:p>
        </w:tc>
      </w:tr>
      <w:tr w:rsidR="00A259BD" w:rsidRPr="00A259BD" w14:paraId="1058311D" w14:textId="77777777">
        <w:tc>
          <w:tcPr>
            <w:tcW w:w="1448" w:type="dxa"/>
          </w:tcPr>
          <w:p w14:paraId="2D0B9D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Двигатели </w:t>
            </w:r>
          </w:p>
        </w:tc>
        <w:tc>
          <w:tcPr>
            <w:tcW w:w="4344" w:type="dxa"/>
          </w:tcPr>
          <w:p w14:paraId="31B7B9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бензиновых двигателей Роллс-Ройс “Кондор III” по 660 л. с. каждый </w:t>
            </w:r>
          </w:p>
        </w:tc>
        <w:tc>
          <w:tcPr>
            <w:tcW w:w="3566" w:type="dxa"/>
          </w:tcPr>
          <w:p w14:paraId="70588E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дизельных двигателей “</w:t>
            </w:r>
            <w:proofErr w:type="spellStart"/>
            <w:r w:rsidRPr="00A259BD">
              <w:rPr>
                <w:rFonts w:ascii="Times New Roman" w:hAnsi="Times New Roman"/>
                <w:color w:val="000000" w:themeColor="text1"/>
                <w:sz w:val="16"/>
                <w:szCs w:val="16"/>
              </w:rPr>
              <w:t>Бердмор</w:t>
            </w:r>
            <w:proofErr w:type="spellEnd"/>
            <w:r w:rsidRPr="00A259BD">
              <w:rPr>
                <w:rFonts w:ascii="Times New Roman" w:hAnsi="Times New Roman"/>
                <w:color w:val="000000" w:themeColor="text1"/>
                <w:sz w:val="16"/>
                <w:szCs w:val="16"/>
              </w:rPr>
              <w:t xml:space="preserve">” по 686 л. с. каждый </w:t>
            </w:r>
          </w:p>
        </w:tc>
      </w:tr>
      <w:tr w:rsidR="00A259BD" w:rsidRPr="00A259BD" w14:paraId="1EA3201C" w14:textId="77777777">
        <w:tc>
          <w:tcPr>
            <w:tcW w:w="1448" w:type="dxa"/>
          </w:tcPr>
          <w:p w14:paraId="2260D2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Каюты для пассажиров и экипажа </w:t>
            </w:r>
          </w:p>
        </w:tc>
        <w:tc>
          <w:tcPr>
            <w:tcW w:w="4344" w:type="dxa"/>
          </w:tcPr>
          <w:p w14:paraId="778664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Расположены на трех палубах между 5-м и 6-м шпангоутами </w:t>
            </w:r>
          </w:p>
        </w:tc>
        <w:tc>
          <w:tcPr>
            <w:tcW w:w="3566" w:type="dxa"/>
          </w:tcPr>
          <w:p w14:paraId="79C53C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Расположены на двух палубах между 6-м и 8-м шпангоутами </w:t>
            </w:r>
          </w:p>
        </w:tc>
      </w:tr>
      <w:tr w:rsidR="00A259BD" w:rsidRPr="00A259BD" w14:paraId="0A476B46" w14:textId="77777777">
        <w:tc>
          <w:tcPr>
            <w:tcW w:w="1448" w:type="dxa"/>
          </w:tcPr>
          <w:p w14:paraId="731392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Общая подъемная сила, т </w:t>
            </w:r>
          </w:p>
        </w:tc>
        <w:tc>
          <w:tcPr>
            <w:tcW w:w="4344" w:type="dxa"/>
          </w:tcPr>
          <w:p w14:paraId="50F4EC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156 </w:t>
            </w:r>
          </w:p>
        </w:tc>
        <w:tc>
          <w:tcPr>
            <w:tcW w:w="3566" w:type="dxa"/>
          </w:tcPr>
          <w:p w14:paraId="5F16D7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150 </w:t>
            </w:r>
          </w:p>
        </w:tc>
      </w:tr>
      <w:tr w:rsidR="00A259BD" w:rsidRPr="00A259BD" w14:paraId="655BC64D" w14:textId="77777777">
        <w:tc>
          <w:tcPr>
            <w:tcW w:w="1448" w:type="dxa"/>
          </w:tcPr>
          <w:p w14:paraId="70EB19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Вес конструкции, т </w:t>
            </w:r>
          </w:p>
        </w:tc>
        <w:tc>
          <w:tcPr>
            <w:tcW w:w="4344" w:type="dxa"/>
          </w:tcPr>
          <w:p w14:paraId="064F37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92 </w:t>
            </w:r>
          </w:p>
        </w:tc>
        <w:tc>
          <w:tcPr>
            <w:tcW w:w="3566" w:type="dxa"/>
          </w:tcPr>
          <w:p w14:paraId="2815BF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103 </w:t>
            </w:r>
          </w:p>
        </w:tc>
      </w:tr>
      <w:tr w:rsidR="00A259BD" w:rsidRPr="00A259BD" w14:paraId="0D559723" w14:textId="77777777">
        <w:tc>
          <w:tcPr>
            <w:tcW w:w="1448" w:type="dxa"/>
          </w:tcPr>
          <w:p w14:paraId="0CD35E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Вес двигателей, т </w:t>
            </w:r>
          </w:p>
        </w:tc>
        <w:tc>
          <w:tcPr>
            <w:tcW w:w="4344" w:type="dxa"/>
          </w:tcPr>
          <w:p w14:paraId="23DF14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w:t>
            </w:r>
          </w:p>
        </w:tc>
        <w:tc>
          <w:tcPr>
            <w:tcW w:w="3566" w:type="dxa"/>
          </w:tcPr>
          <w:p w14:paraId="4018AA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w:t>
            </w:r>
          </w:p>
        </w:tc>
      </w:tr>
      <w:tr w:rsidR="00A259BD" w:rsidRPr="00A259BD" w14:paraId="2DEDE879" w14:textId="77777777">
        <w:tc>
          <w:tcPr>
            <w:tcW w:w="1448" w:type="dxa"/>
          </w:tcPr>
          <w:p w14:paraId="2793CE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Нормальный платный груз </w:t>
            </w:r>
          </w:p>
        </w:tc>
        <w:tc>
          <w:tcPr>
            <w:tcW w:w="4344" w:type="dxa"/>
          </w:tcPr>
          <w:p w14:paraId="6C5BE0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100 пассажиров и 10 т груза </w:t>
            </w:r>
          </w:p>
        </w:tc>
        <w:tc>
          <w:tcPr>
            <w:tcW w:w="3566" w:type="dxa"/>
          </w:tcPr>
          <w:p w14:paraId="1BC69F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50 пассажиров и 7 т груза </w:t>
            </w:r>
          </w:p>
        </w:tc>
      </w:tr>
      <w:tr w:rsidR="00A259BD" w:rsidRPr="00A259BD" w14:paraId="485E6DB8" w14:textId="77777777">
        <w:tc>
          <w:tcPr>
            <w:tcW w:w="1448" w:type="dxa"/>
          </w:tcPr>
          <w:p w14:paraId="1AFC31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Наибольшая скорость, км/ч </w:t>
            </w:r>
          </w:p>
        </w:tc>
        <w:tc>
          <w:tcPr>
            <w:tcW w:w="4344" w:type="dxa"/>
          </w:tcPr>
          <w:p w14:paraId="580CF9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132 </w:t>
            </w:r>
          </w:p>
        </w:tc>
        <w:tc>
          <w:tcPr>
            <w:tcW w:w="3566" w:type="dxa"/>
          </w:tcPr>
          <w:p w14:paraId="04DDB4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113 </w:t>
            </w:r>
          </w:p>
        </w:tc>
      </w:tr>
      <w:tr w:rsidR="00A259BD" w:rsidRPr="00A259BD" w14:paraId="51CBE6AC" w14:textId="77777777">
        <w:tc>
          <w:tcPr>
            <w:tcW w:w="1448" w:type="dxa"/>
            <w:tcBorders>
              <w:bottom w:val="single" w:sz="12" w:space="0" w:color="000000"/>
            </w:tcBorders>
          </w:tcPr>
          <w:p w14:paraId="69A3FC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Дальность полета, км </w:t>
            </w:r>
          </w:p>
        </w:tc>
        <w:tc>
          <w:tcPr>
            <w:tcW w:w="4344" w:type="dxa"/>
            <w:tcBorders>
              <w:bottom w:val="single" w:sz="12" w:space="0" w:color="000000"/>
            </w:tcBorders>
          </w:tcPr>
          <w:p w14:paraId="53138C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6000 </w:t>
            </w:r>
          </w:p>
        </w:tc>
        <w:tc>
          <w:tcPr>
            <w:tcW w:w="3566" w:type="dxa"/>
            <w:tcBorders>
              <w:bottom w:val="single" w:sz="12" w:space="0" w:color="000000"/>
            </w:tcBorders>
          </w:tcPr>
          <w:p w14:paraId="2FFE81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3000 </w:t>
            </w:r>
          </w:p>
        </w:tc>
      </w:tr>
    </w:tbl>
    <w:p w14:paraId="165D32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(11324).</w:t>
      </w:r>
    </w:p>
    <w:p w14:paraId="106510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18.36 дирижабль отправился в сверхдальний перелет. Метеорологические условия были неблагоприятными. Дирижабль летел на высоте 500 м под нижней кромкой облаков. Шел сильный дождь. В 19.35 R.101 снизился до 300 м и продолжал полет на этой высоте. В 2 часа ночи 5 октября дирижабль находился над северной частью Франции в районе Бове. Дул сильный юго-восточный практически [302] встречный ветер со скоростью 60 км/ч, при порывах — до 80 км/ч, который уменьшал путевую скорость дирижабля почти до 30 км/ч. Продолжал идти сильный дождь. Порывы ветра вызывали сильные продольные колебания и боковую качку корабля, что приводило к потере газа через газовые клапаны (следует отметить, что R.101 ранее никогда не летал в таких сложных погодных условиях). </w:t>
      </w:r>
    </w:p>
    <w:p w14:paraId="103EF3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2.05 вследствие разрыва переднего газового баллона R.101 резко опустил нос и в течение 30 секунд быстро снижался. Отрицательный дифферент усугубился перемещением газовых баллонов к корме, а также перетеканием водорода, выходившего из разрушенного баллона, в хвостовую часть дирижабля. R.101 плохо слушался рулей, тем не менее путем отклонения руля высоты удалось восстановить его горизонтальное положение. Была отдана команда на уменьшение режима работы двигателей и сброс балласта. Но практически одновременно с ней R.101 вторично опустил нос, в результате чего столкнулся с лесистым холмом. Удар был несильным вследствие невысокой скорости полета. Однако от искры, возникшей, видимо, в поврежденной электросистеме, воспламенился водород. Последовавший за этим взрыв уничтожил дирижабль. Погибло 48 человек (11324).</w:t>
      </w:r>
    </w:p>
    <w:p w14:paraId="59FE36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878CA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октября 1929 на парламентских выборах в Англии победили лейбористы (3481).</w:t>
      </w:r>
    </w:p>
    <w:p w14:paraId="1D072B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2446D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5BEBDF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18B4D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октября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6) и обсуждали вопросы о состоянии работ на 29 (64 М6 и 10 М22) и 31 заводах (2367,23).</w:t>
      </w:r>
    </w:p>
    <w:p w14:paraId="582929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E2433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октября 1929 летчики стартовали на АНТ-4 Страна Советов дублер и пошли на Сиэтл, к которому приблизились через 10 ч. Здесь “Страну Советов” встретила группа американских самолетов, буксиро</w:t>
      </w:r>
      <w:r w:rsidRPr="00A259BD">
        <w:rPr>
          <w:rFonts w:ascii="Times New Roman" w:hAnsi="Times New Roman"/>
          <w:color w:val="000000" w:themeColor="text1"/>
          <w:sz w:val="16"/>
          <w:szCs w:val="16"/>
        </w:rPr>
        <w:softHyphen/>
        <w:t>вавших полотнище с надписью “Привет со</w:t>
      </w:r>
      <w:r w:rsidRPr="00A259BD">
        <w:rPr>
          <w:rFonts w:ascii="Times New Roman" w:hAnsi="Times New Roman"/>
          <w:color w:val="000000" w:themeColor="text1"/>
          <w:sz w:val="16"/>
          <w:szCs w:val="16"/>
        </w:rPr>
        <w:softHyphen/>
        <w:t>ветским летчикам”. Посадку совершили на озеро в окрестностях города. Подрулив к берегу, экипаж был поражен многотысячной толпой встречающих. Кроме американцев, здесь находились В.М. Петляков и инженер-двигателист М.М. Егоров. За 3 дня под их руководством на самолете сменили двига</w:t>
      </w:r>
      <w:r w:rsidRPr="00A259BD">
        <w:rPr>
          <w:rFonts w:ascii="Times New Roman" w:hAnsi="Times New Roman"/>
          <w:color w:val="000000" w:themeColor="text1"/>
          <w:sz w:val="16"/>
          <w:szCs w:val="16"/>
        </w:rPr>
        <w:softHyphen/>
        <w:t>тели и вновь установили колесное шасси. Дальше маршрут совпадал с благоуст</w:t>
      </w:r>
      <w:r w:rsidRPr="00A259BD">
        <w:rPr>
          <w:rFonts w:ascii="Times New Roman" w:hAnsi="Times New Roman"/>
          <w:color w:val="000000" w:themeColor="text1"/>
          <w:sz w:val="16"/>
          <w:szCs w:val="16"/>
        </w:rPr>
        <w:softHyphen/>
        <w:t>роенной воздушной трассой. Для решения проблем политического характера к экспе</w:t>
      </w:r>
      <w:r w:rsidRPr="00A259BD">
        <w:rPr>
          <w:rFonts w:ascii="Times New Roman" w:hAnsi="Times New Roman"/>
          <w:color w:val="000000" w:themeColor="text1"/>
          <w:sz w:val="16"/>
          <w:szCs w:val="16"/>
        </w:rPr>
        <w:softHyphen/>
        <w:t>диции прикомандировали сотрудника Амторга Л.Г. Гершевича, который стал и пере</w:t>
      </w:r>
      <w:r w:rsidRPr="00A259BD">
        <w:rPr>
          <w:rFonts w:ascii="Times New Roman" w:hAnsi="Times New Roman"/>
          <w:color w:val="000000" w:themeColor="text1"/>
          <w:sz w:val="16"/>
          <w:szCs w:val="16"/>
        </w:rPr>
        <w:softHyphen/>
        <w:t>водчиком (по-английски никто из экипажа не говорил). На специально нанятом само</w:t>
      </w:r>
      <w:r w:rsidRPr="00A259BD">
        <w:rPr>
          <w:rFonts w:ascii="Times New Roman" w:hAnsi="Times New Roman"/>
          <w:color w:val="000000" w:themeColor="text1"/>
          <w:sz w:val="16"/>
          <w:szCs w:val="16"/>
        </w:rPr>
        <w:softHyphen/>
        <w:t>лете “</w:t>
      </w:r>
      <w:proofErr w:type="spellStart"/>
      <w:r w:rsidRPr="00A259BD">
        <w:rPr>
          <w:rFonts w:ascii="Times New Roman" w:hAnsi="Times New Roman"/>
          <w:color w:val="000000" w:themeColor="text1"/>
          <w:sz w:val="16"/>
          <w:szCs w:val="16"/>
        </w:rPr>
        <w:t>Кертисс</w:t>
      </w:r>
      <w:proofErr w:type="spellEnd"/>
      <w:r w:rsidRPr="00A259BD">
        <w:rPr>
          <w:rFonts w:ascii="Times New Roman" w:hAnsi="Times New Roman"/>
          <w:color w:val="000000" w:themeColor="text1"/>
          <w:sz w:val="16"/>
          <w:szCs w:val="16"/>
        </w:rPr>
        <w:t xml:space="preserve">” с американским летчиком </w:t>
      </w:r>
      <w:proofErr w:type="spellStart"/>
      <w:r w:rsidRPr="00A259BD">
        <w:rPr>
          <w:rFonts w:ascii="Times New Roman" w:hAnsi="Times New Roman"/>
          <w:color w:val="000000" w:themeColor="text1"/>
          <w:sz w:val="16"/>
          <w:szCs w:val="16"/>
        </w:rPr>
        <w:t>Ливермуром</w:t>
      </w:r>
      <w:proofErr w:type="spellEnd"/>
      <w:r w:rsidRPr="00A259BD">
        <w:rPr>
          <w:rFonts w:ascii="Times New Roman" w:hAnsi="Times New Roman"/>
          <w:color w:val="000000" w:themeColor="text1"/>
          <w:sz w:val="16"/>
          <w:szCs w:val="16"/>
        </w:rPr>
        <w:t xml:space="preserve"> Гершевич сопровождал “Стра</w:t>
      </w:r>
      <w:r w:rsidRPr="00A259BD">
        <w:rPr>
          <w:rFonts w:ascii="Times New Roman" w:hAnsi="Times New Roman"/>
          <w:color w:val="000000" w:themeColor="text1"/>
          <w:sz w:val="16"/>
          <w:szCs w:val="16"/>
        </w:rPr>
        <w:softHyphen/>
        <w:t>ну Советов” до конечного пункта перелета (11286).</w:t>
      </w:r>
    </w:p>
    <w:p w14:paraId="0DCDC2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A252CB" w14:textId="77777777" w:rsidR="0065509C" w:rsidRPr="00A259BD" w:rsidRDefault="0065509C"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 xml:space="preserve">13 октября </w:t>
      </w:r>
      <w:r w:rsidRPr="00A259BD">
        <w:rPr>
          <w:rFonts w:ascii="Times New Roman" w:hAnsi="Times New Roman"/>
          <w:color w:val="000000" w:themeColor="text1"/>
          <w:sz w:val="16"/>
          <w:szCs w:val="16"/>
        </w:rPr>
        <w:t xml:space="preserve">в 1929 году впервые в истории советский самолёт появился в небе над Америкой. Советский экипаж на самолёте «АНТ-4» “Страна Советов” в составе </w:t>
      </w:r>
      <w:proofErr w:type="spellStart"/>
      <w:r w:rsidRPr="00A259BD">
        <w:rPr>
          <w:rFonts w:ascii="Times New Roman" w:hAnsi="Times New Roman"/>
          <w:color w:val="000000" w:themeColor="text1"/>
          <w:sz w:val="16"/>
          <w:szCs w:val="16"/>
        </w:rPr>
        <w:t>С.А.Шестакова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Ф.Е.Болотова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Б.В.Стерлигова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Д.В.Фуфаева</w:t>
      </w:r>
      <w:proofErr w:type="spellEnd"/>
      <w:r w:rsidRPr="00A259BD">
        <w:rPr>
          <w:rFonts w:ascii="Times New Roman" w:hAnsi="Times New Roman"/>
          <w:color w:val="000000" w:themeColor="text1"/>
          <w:sz w:val="16"/>
          <w:szCs w:val="16"/>
        </w:rPr>
        <w:t xml:space="preserve"> совершая перелёт по маршруту Москва-Нью-Йорк, долетел до Сиэтла (14798).</w:t>
      </w:r>
    </w:p>
    <w:p w14:paraId="534EF00A" w14:textId="77777777" w:rsidR="0065509C" w:rsidRPr="00A259BD" w:rsidRDefault="0065509C" w:rsidP="009236E3">
      <w:pPr>
        <w:spacing w:after="0" w:line="240" w:lineRule="auto"/>
        <w:jc w:val="both"/>
        <w:rPr>
          <w:rFonts w:ascii="Times New Roman" w:hAnsi="Times New Roman"/>
          <w:color w:val="000000" w:themeColor="text1"/>
          <w:sz w:val="16"/>
          <w:szCs w:val="16"/>
        </w:rPr>
      </w:pPr>
    </w:p>
    <w:p w14:paraId="165B959D" w14:textId="77777777" w:rsidR="002F1B1C"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28763AD" w14:textId="77777777" w:rsidR="002F1B1C" w:rsidRPr="00A259BD" w:rsidRDefault="002F1B1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F07D42B" w14:textId="77777777" w:rsidR="002F1B1C" w:rsidRPr="00A259BD" w:rsidRDefault="002F1B1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октября 1929 г. вышло постановление распорядительного заседания Совета труда и обороны (СТО) СССР, в соответствии с </w:t>
      </w:r>
      <w:proofErr w:type="spellStart"/>
      <w:r w:rsidRPr="00A259BD">
        <w:rPr>
          <w:rFonts w:ascii="Times New Roman" w:hAnsi="Times New Roman"/>
          <w:color w:val="000000" w:themeColor="text1"/>
          <w:sz w:val="16"/>
          <w:szCs w:val="16"/>
        </w:rPr>
        <w:t>котрым</w:t>
      </w:r>
      <w:proofErr w:type="spellEnd"/>
      <w:r w:rsidRPr="00A259BD">
        <w:rPr>
          <w:rFonts w:ascii="Times New Roman" w:hAnsi="Times New Roman"/>
          <w:color w:val="000000" w:themeColor="text1"/>
          <w:sz w:val="16"/>
          <w:szCs w:val="16"/>
        </w:rPr>
        <w:t xml:space="preserve">, параллельно с постройкой опытного образца ХПЗ должен был вести организацию серийного производства новых танков и в 1929/1930 гг. изготовить 30 Т-12. Всего по плану на 1929/30— 1932/33 гг., утвержденному этим постановлением, для удовлетворения потребностей Народного комиссариата по военным и морским делам СССР предполагалось изготовить 1395 танков Т-12 (в 1929/30 30,1930/31 150,1931/32 — 500,1932/33 720 машин). Помимо ХПЗ, к выпуску Т-12 планировалось подключить брянский завод «Красный Профинтерн» (из общего количества запланированных танков на нем предполагалось изготовить 505 машин). Производство двигателей должно было осуществляться на заводе №29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(г. Запорожье).</w:t>
      </w:r>
    </w:p>
    <w:p w14:paraId="5A6333CF" w14:textId="77777777" w:rsidR="002F1B1C" w:rsidRPr="00A259BD" w:rsidRDefault="002F1B1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г. план заказов на 1930/31— 1932/33 гг. был скорректирован в сторону увеличения (письмо начальника УММ РККА начальнику МПУ ВСНХ СССР №900217 от 22 декабря1929 г.). Так, в частности, средних (маневренных) танков планировалось изготовить: в 1930/31 300, в 1931/32 - 1000 и в 1932/33 - 1100. Но эти планы остались нереализованными: ХПЗ на тот момент не имел опыта подобных работ, квалифицированных кадров, соответствующих станков, оборудования и материалов. При этом в декабре 1929 г. январе 1930 г. с завода «Красный Профинтерн» сняли заказ на Т-12. Поэтому </w:t>
      </w:r>
      <w:proofErr w:type="spellStart"/>
      <w:r w:rsidRPr="00A259BD">
        <w:rPr>
          <w:rFonts w:ascii="Times New Roman" w:hAnsi="Times New Roman"/>
          <w:color w:val="000000" w:themeColor="text1"/>
          <w:sz w:val="16"/>
          <w:szCs w:val="16"/>
        </w:rPr>
        <w:t>Машинообъединение</w:t>
      </w:r>
      <w:proofErr w:type="spellEnd"/>
      <w:r w:rsidRPr="00A259BD">
        <w:rPr>
          <w:rFonts w:ascii="Times New Roman" w:hAnsi="Times New Roman"/>
          <w:color w:val="000000" w:themeColor="text1"/>
          <w:sz w:val="16"/>
          <w:szCs w:val="16"/>
        </w:rPr>
        <w:t>, учитывая постановление СТО об изготовлении в текущем году валовой партии танков, дало задание ХПЗ приступить к изготовлению 15 танков по образцу опытной машины с изменениями, внесенными при окончательных заводских испытаниях. Срок сдачи — 1 октября 1930 г. В то же время Артиллерийское управление РККА так и не выдало заказ на изготовление 30 танков Т-12 по опытному образцу. В апреле 1930 г. было принято решение подключить к выпуску 300 машин по программе 1930/31 г., помимо ХПЗ, два готовившихся к введению в строй тракторных завода Сталинградский и Челябинский (12303).</w:t>
      </w:r>
    </w:p>
    <w:p w14:paraId="2AC78343" w14:textId="77777777" w:rsidR="002F1B1C" w:rsidRPr="00A259BD" w:rsidRDefault="002F1B1C" w:rsidP="009236E3">
      <w:pPr>
        <w:spacing w:after="0" w:line="240" w:lineRule="auto"/>
        <w:jc w:val="both"/>
        <w:rPr>
          <w:rFonts w:ascii="Times New Roman" w:hAnsi="Times New Roman"/>
          <w:color w:val="000000" w:themeColor="text1"/>
          <w:sz w:val="16"/>
          <w:szCs w:val="16"/>
        </w:rPr>
      </w:pPr>
    </w:p>
    <w:p w14:paraId="43036CDE" w14:textId="77777777" w:rsidR="002F1B1C" w:rsidRPr="00A259BD" w:rsidRDefault="002F1B1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октября 1929 г. — Выписка из протокола № 40 РЗ СТО СССР. — Программа танкостроения на 1929/30 г.</w:t>
      </w:r>
    </w:p>
    <w:p w14:paraId="75745E15" w14:textId="77777777" w:rsidR="002F1B1C" w:rsidRPr="00A259BD" w:rsidRDefault="002F1B1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из протокола № 40 РЗ СТО СССР. — Программа танкостроения на 1929/30 г.</w:t>
      </w:r>
    </w:p>
    <w:p w14:paraId="0C4A38E1" w14:textId="77777777" w:rsidR="002F1B1C" w:rsidRPr="00A259BD" w:rsidRDefault="002F1B1C"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13 октября 1929 г.</w:t>
      </w:r>
    </w:p>
    <w:p w14:paraId="1674BCEC" w14:textId="77777777" w:rsidR="002F1B1C" w:rsidRPr="00A259BD" w:rsidRDefault="002F1B1C"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17807185" w14:textId="77777777" w:rsidR="002F1B1C" w:rsidRPr="00A259BD" w:rsidRDefault="002F1B1C" w:rsidP="009236E3">
      <w:pPr>
        <w:pStyle w:val="rtejustify"/>
        <w:spacing w:before="0" w:after="0"/>
        <w:rPr>
          <w:color w:val="000000" w:themeColor="text1"/>
          <w:sz w:val="16"/>
          <w:szCs w:val="16"/>
        </w:rPr>
      </w:pPr>
      <w:r w:rsidRPr="00A259BD">
        <w:rPr>
          <w:rStyle w:val="af0"/>
          <w:i w:val="0"/>
          <w:color w:val="000000" w:themeColor="text1"/>
          <w:sz w:val="16"/>
          <w:szCs w:val="16"/>
        </w:rPr>
        <w:t>Слушали:</w:t>
      </w:r>
      <w:r w:rsidRPr="00A259BD">
        <w:rPr>
          <w:color w:val="000000" w:themeColor="text1"/>
          <w:sz w:val="16"/>
          <w:szCs w:val="16"/>
        </w:rPr>
        <w:t xml:space="preserve"> 1. Программа танкостроения на 1929/30 г. </w:t>
      </w:r>
      <w:proofErr w:type="spellStart"/>
      <w:r w:rsidRPr="00A259BD">
        <w:rPr>
          <w:color w:val="000000" w:themeColor="text1"/>
          <w:sz w:val="16"/>
          <w:szCs w:val="16"/>
        </w:rPr>
        <w:t>Докл</w:t>
      </w:r>
      <w:proofErr w:type="spellEnd"/>
      <w:r w:rsidRPr="00A259BD">
        <w:rPr>
          <w:color w:val="000000" w:themeColor="text1"/>
          <w:sz w:val="16"/>
          <w:szCs w:val="16"/>
        </w:rPr>
        <w:t>[</w:t>
      </w:r>
      <w:proofErr w:type="spellStart"/>
      <w:r w:rsidRPr="00A259BD">
        <w:rPr>
          <w:color w:val="000000" w:themeColor="text1"/>
          <w:sz w:val="16"/>
          <w:szCs w:val="16"/>
        </w:rPr>
        <w:t>адчик</w:t>
      </w:r>
      <w:proofErr w:type="spellEnd"/>
      <w:r w:rsidRPr="00A259BD">
        <w:rPr>
          <w:color w:val="000000" w:themeColor="text1"/>
          <w:sz w:val="16"/>
          <w:szCs w:val="16"/>
        </w:rPr>
        <w:t>] т. Урываев. Присутствовали: т. Мартинович, Шпекторов.</w:t>
      </w:r>
    </w:p>
    <w:p w14:paraId="358FAF3E" w14:textId="77777777" w:rsidR="002F1B1C" w:rsidRPr="00A259BD" w:rsidRDefault="002F1B1C" w:rsidP="009236E3">
      <w:pPr>
        <w:pStyle w:val="rtejustify"/>
        <w:spacing w:before="0" w:after="0"/>
        <w:rPr>
          <w:color w:val="000000" w:themeColor="text1"/>
          <w:sz w:val="16"/>
          <w:szCs w:val="16"/>
        </w:rPr>
      </w:pPr>
      <w:r w:rsidRPr="00A259BD">
        <w:rPr>
          <w:rStyle w:val="af0"/>
          <w:i w:val="0"/>
          <w:color w:val="000000" w:themeColor="text1"/>
          <w:sz w:val="16"/>
          <w:szCs w:val="16"/>
        </w:rPr>
        <w:t>Постановили</w:t>
      </w:r>
      <w:r w:rsidRPr="00A259BD">
        <w:rPr>
          <w:color w:val="000000" w:themeColor="text1"/>
          <w:sz w:val="16"/>
          <w:szCs w:val="16"/>
        </w:rPr>
        <w:t>: I. 1. Утвердить программу танкостроения на 1929/30 г. в размере: Т</w:t>
      </w:r>
      <w:r w:rsidRPr="00A259BD">
        <w:rPr>
          <w:color w:val="000000" w:themeColor="text1"/>
          <w:sz w:val="16"/>
          <w:szCs w:val="16"/>
        </w:rPr>
        <w:noBreakHyphen/>
        <w:t>18 — 300 шт. (без недодела 1928/29 г.); Т</w:t>
      </w:r>
      <w:r w:rsidRPr="00A259BD">
        <w:rPr>
          <w:color w:val="000000" w:themeColor="text1"/>
          <w:sz w:val="16"/>
          <w:szCs w:val="16"/>
        </w:rPr>
        <w:noBreakHyphen/>
        <w:t>12 — 30 шт.; танкеток — 10 шт. Предложить ВСНХ СССР принять все меры к максимальному расширению танкостроения в 1930/31 г. с тем, чтобы полученное на пятилетие задание выполнить по возможности в большей его части в течение первой половины этого пятилетия.</w:t>
      </w:r>
    </w:p>
    <w:p w14:paraId="6442B2A4" w14:textId="77777777" w:rsidR="002F1B1C" w:rsidRPr="00A259BD" w:rsidRDefault="002F1B1C" w:rsidP="009236E3">
      <w:pPr>
        <w:pStyle w:val="rtejustify"/>
        <w:spacing w:before="0" w:after="0"/>
        <w:rPr>
          <w:color w:val="000000" w:themeColor="text1"/>
          <w:sz w:val="16"/>
          <w:szCs w:val="16"/>
        </w:rPr>
      </w:pPr>
      <w:r w:rsidRPr="00A259BD">
        <w:rPr>
          <w:color w:val="000000" w:themeColor="text1"/>
          <w:sz w:val="16"/>
          <w:szCs w:val="16"/>
        </w:rPr>
        <w:t>При расширении заводов танкостроения иметь в виду необходимость загрузки их в конце пятилетия — в случае сокращения программы заказов НКВМ — заказами на продукцию мирного времени.</w:t>
      </w:r>
    </w:p>
    <w:p w14:paraId="6DCC249A" w14:textId="77777777" w:rsidR="002F1B1C" w:rsidRPr="00A259BD" w:rsidRDefault="002F1B1C" w:rsidP="009236E3">
      <w:pPr>
        <w:pStyle w:val="rtejustify"/>
        <w:spacing w:before="0" w:after="0"/>
        <w:rPr>
          <w:color w:val="000000" w:themeColor="text1"/>
          <w:sz w:val="16"/>
          <w:szCs w:val="16"/>
        </w:rPr>
      </w:pPr>
      <w:r w:rsidRPr="00A259BD">
        <w:rPr>
          <w:color w:val="000000" w:themeColor="text1"/>
          <w:sz w:val="16"/>
          <w:szCs w:val="16"/>
        </w:rPr>
        <w:t>2</w:t>
      </w:r>
      <w:r w:rsidRPr="00A259BD">
        <w:rPr>
          <w:rStyle w:val="af0"/>
          <w:i w:val="0"/>
          <w:color w:val="000000" w:themeColor="text1"/>
          <w:sz w:val="16"/>
          <w:szCs w:val="16"/>
        </w:rPr>
        <w:t>.</w:t>
      </w:r>
      <w:r w:rsidRPr="00A259BD">
        <w:rPr>
          <w:color w:val="000000" w:themeColor="text1"/>
          <w:sz w:val="16"/>
          <w:szCs w:val="16"/>
        </w:rPr>
        <w:t xml:space="preserve"> Предложить ВСНХ СССР и НКВМ усилить конструкторские и опытно-изыскательные работы, имея в виду, по возможности, уже в текущем 1929/30 г. сконструировать образцы танков, не уступающие по своим качествам лучшим образцам иностранных армий, с тем, чтобы уже в 1931/32 г. приступить к их серийному производству.</w:t>
      </w:r>
    </w:p>
    <w:p w14:paraId="4BA51EC8" w14:textId="77777777" w:rsidR="002F1B1C" w:rsidRPr="00A259BD" w:rsidRDefault="002F1B1C" w:rsidP="009236E3">
      <w:pPr>
        <w:pStyle w:val="rtejustify"/>
        <w:spacing w:before="0" w:after="0"/>
        <w:rPr>
          <w:color w:val="000000" w:themeColor="text1"/>
          <w:sz w:val="16"/>
          <w:szCs w:val="16"/>
        </w:rPr>
      </w:pPr>
      <w:r w:rsidRPr="00A259BD">
        <w:rPr>
          <w:color w:val="000000" w:themeColor="text1"/>
          <w:sz w:val="16"/>
          <w:szCs w:val="16"/>
        </w:rPr>
        <w:t>ВСНХ СССР и НКВМ принять все меры к наиболее широкому использованию заграничной технической помощи¹*.</w:t>
      </w:r>
    </w:p>
    <w:p w14:paraId="189ABBCB" w14:textId="77777777" w:rsidR="002F1B1C" w:rsidRPr="00A259BD" w:rsidRDefault="002F1B1C"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Секретарь РЗ СТО </w:t>
      </w:r>
      <w:hyperlink r:id="rId198" w:history="1">
        <w:proofErr w:type="spellStart"/>
        <w:r w:rsidRPr="00A259BD">
          <w:rPr>
            <w:rStyle w:val="af0"/>
            <w:i w:val="0"/>
            <w:color w:val="000000" w:themeColor="text1"/>
            <w:sz w:val="16"/>
            <w:szCs w:val="16"/>
          </w:rPr>
          <w:t>Аппога</w:t>
        </w:r>
        <w:proofErr w:type="spellEnd"/>
      </w:hyperlink>
    </w:p>
    <w:p w14:paraId="03232C1F" w14:textId="77777777" w:rsidR="002F1B1C" w:rsidRPr="00A259BD" w:rsidRDefault="002F1B1C"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Примечание</w:t>
      </w:r>
      <w:r w:rsidRPr="00A259BD">
        <w:rPr>
          <w:color w:val="000000" w:themeColor="text1"/>
          <w:sz w:val="16"/>
          <w:szCs w:val="16"/>
        </w:rPr>
        <w:t>:</w:t>
      </w:r>
    </w:p>
    <w:p w14:paraId="77605EC6" w14:textId="77777777" w:rsidR="002F1B1C" w:rsidRPr="00A259BD" w:rsidRDefault="002F1B1C"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xml:space="preserve">* В постановлении РВС СССР от 21 марта 1930 г. констатировалось, что на 1 октября 1929 г. </w:t>
      </w:r>
      <w:r w:rsidRPr="00A259BD">
        <w:rPr>
          <w:rStyle w:val="af0"/>
          <w:i w:val="0"/>
          <w:color w:val="000000" w:themeColor="text1"/>
          <w:sz w:val="16"/>
          <w:szCs w:val="16"/>
        </w:rPr>
        <w:t>программа танкостроения</w:t>
      </w:r>
      <w:r w:rsidRPr="00A259BD">
        <w:rPr>
          <w:color w:val="000000" w:themeColor="text1"/>
          <w:sz w:val="16"/>
          <w:szCs w:val="16"/>
        </w:rPr>
        <w:t xml:space="preserve"> 1928/29 г. была выполнена только на 20</w:t>
      </w:r>
      <w:r w:rsidRPr="00A259BD">
        <w:rPr>
          <w:rStyle w:val="af0"/>
          <w:i w:val="0"/>
          <w:color w:val="000000" w:themeColor="text1"/>
          <w:sz w:val="16"/>
          <w:szCs w:val="16"/>
        </w:rPr>
        <w:t xml:space="preserve">%. </w:t>
      </w:r>
      <w:r w:rsidRPr="00A259BD">
        <w:rPr>
          <w:color w:val="000000" w:themeColor="text1"/>
          <w:sz w:val="16"/>
          <w:szCs w:val="16"/>
        </w:rPr>
        <w:t>Только на 20 марта 1930 г. программа была выполнена на 65%, а по запасным частям не выполнена вовсе. Соответственно по исполнению плана 1929/30 г. положение сложилось еще более катастрофическое, т. к. к середине марта 1930 г. не было сдано ни одного танка. Тем не менее Реввоенсовет считал, что материально-технические возможности промышленности позволяли ей выполнить программы и предложил для этого ряд мер. (РГВА. Ф. 4. Оп. 18. Д. 19. Л. 87</w:t>
      </w:r>
      <w:r w:rsidRPr="00A259BD">
        <w:rPr>
          <w:color w:val="000000" w:themeColor="text1"/>
          <w:sz w:val="16"/>
          <w:szCs w:val="16"/>
        </w:rPr>
        <w:noBreakHyphen/>
        <w:t>89).</w:t>
      </w:r>
    </w:p>
    <w:p w14:paraId="4720D701" w14:textId="77777777" w:rsidR="002F1B1C" w:rsidRPr="00A259BD" w:rsidRDefault="002F1B1C" w:rsidP="009236E3">
      <w:pPr>
        <w:pStyle w:val="ae"/>
        <w:spacing w:before="0" w:after="0"/>
        <w:jc w:val="both"/>
        <w:rPr>
          <w:color w:val="000000" w:themeColor="text1"/>
          <w:sz w:val="16"/>
          <w:szCs w:val="16"/>
        </w:rPr>
      </w:pPr>
      <w:r w:rsidRPr="00A259BD">
        <w:rPr>
          <w:color w:val="000000" w:themeColor="text1"/>
          <w:sz w:val="16"/>
          <w:szCs w:val="16"/>
        </w:rPr>
        <w:t>РГАЭ. Ф. 4372. Оп. 91. Д. 384. Л. 41-41об. Подлинник.</w:t>
      </w:r>
    </w:p>
    <w:p w14:paraId="51E522B2" w14:textId="77777777" w:rsidR="002F1B1C" w:rsidRPr="00A259BD" w:rsidRDefault="002F1B1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4372. Оп. 91. Д. 384. Л. 41-41об. Подлинник. </w:t>
      </w:r>
    </w:p>
    <w:p w14:paraId="5E70DEA1" w14:textId="77777777" w:rsidR="002F1B1C" w:rsidRPr="00A259BD" w:rsidRDefault="002F1B1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370-371 (12469).</w:t>
      </w:r>
    </w:p>
    <w:p w14:paraId="2B19A9C5" w14:textId="77777777" w:rsidR="002F1B1C" w:rsidRPr="00A259BD" w:rsidRDefault="002F1B1C" w:rsidP="009236E3">
      <w:pPr>
        <w:spacing w:after="0" w:line="240" w:lineRule="auto"/>
        <w:jc w:val="both"/>
        <w:rPr>
          <w:rFonts w:ascii="Times New Roman" w:hAnsi="Times New Roman"/>
          <w:color w:val="000000" w:themeColor="text1"/>
          <w:sz w:val="16"/>
          <w:szCs w:val="16"/>
        </w:rPr>
      </w:pPr>
    </w:p>
    <w:p w14:paraId="01585A1D" w14:textId="77777777" w:rsidR="0020132F" w:rsidRPr="00A259BD" w:rsidRDefault="0020132F"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87" w:name="_Hlk91401337"/>
      <w:r w:rsidRPr="00A259BD">
        <w:rPr>
          <w:rFonts w:ascii="Times New Roman" w:eastAsia="Times New Roman" w:hAnsi="Times New Roman"/>
          <w:color w:val="000000" w:themeColor="text1"/>
          <w:sz w:val="16"/>
          <w:szCs w:val="16"/>
          <w:lang w:eastAsia="ru-RU"/>
        </w:rPr>
        <w:t>13 октября 1929 г. Распорядительное заседание СТО по докладу члена Президиума ВСНХ СССР Урываева утвердило программу танкостроения на начавшийся хозяйственный год в размере 300 малых танков (Т-18), 30 средних танков (Т-12) и 10 танкеток. РЗ СТО указало ВСНХ СССР "принять все меры к максимальному расширению танкостроения в 1930/31 г. с тем, чтобы полученное на пятилетие задание выполнить, по возможности, в большей его части в течение первой половины пятилетия". Предусмотрительно отмечалось: "При расширении заводов танкостроения иметь в виду необходимость загрузки их в конце пятилетия в случае сокращения программы заказов НКВМ заказами па продукцию мирного времени" (Выписка из протокола № 40 РЗ СТО от 13.10.1929 // Там же. Д. 384. Л. 41).</w:t>
      </w:r>
    </w:p>
    <w:p w14:paraId="3585B2EC" w14:textId="77777777" w:rsidR="0020132F" w:rsidRPr="00A259BD" w:rsidRDefault="0020132F"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Через несколько недель стало ясно, что решению РЗ СТО суждена участь благого пожелания, и Ворошилов счел необходимым официально обратиться к высшей инстанции - Генеральному секретарю ЦК ВКП(б). На заседании Политбюро 15 июля "представители промышленности в лице т. </w:t>
      </w:r>
      <w:proofErr w:type="spellStart"/>
      <w:r w:rsidRPr="00A259BD">
        <w:rPr>
          <w:rFonts w:ascii="Times New Roman" w:eastAsia="Times New Roman" w:hAnsi="Times New Roman"/>
          <w:color w:val="000000" w:themeColor="text1"/>
          <w:sz w:val="16"/>
          <w:szCs w:val="16"/>
          <w:lang w:eastAsia="ru-RU"/>
        </w:rPr>
        <w:t>Толоконцева</w:t>
      </w:r>
      <w:proofErr w:type="spellEnd"/>
      <w:r w:rsidRPr="00A259BD">
        <w:rPr>
          <w:rFonts w:ascii="Times New Roman" w:eastAsia="Times New Roman" w:hAnsi="Times New Roman"/>
          <w:color w:val="000000" w:themeColor="text1"/>
          <w:sz w:val="16"/>
          <w:szCs w:val="16"/>
          <w:lang w:eastAsia="ru-RU"/>
        </w:rPr>
        <w:t xml:space="preserve"> заверяли, что эта танковая программа "легко выполнима для промышленности, что промышленность чуть ли не сейчас уже готова к выполнению десятитысячной танковой программы", напоминал Ворошилов Сталину (Согласно пересказу выступления Ворошилова на заседании РВС СССР, предложение о десятитысячной программе исходило от "правительства", под которым, надо думать, имелся в виду скорее Сталин, нежели Рыков. Напоминание об этих спорах было поэтому прямым упреком старому товарищу). "Состояние танкостроения в данный момент не только противоречит этому хвастливому заявлению, по внушает громадные опасения в выполнении всей программы в целом, а по некоторым танкам прямой срыв", - писал он (Письмо Ворошилова в Политбюро ЦК ВКП(б) Сталину, 23-11.1929 // РГВА Ф. 4. Оп. 19 Д Ю. Л 1. Наркомвоенмор предлагал Политбюро обсудить "катастрофическое положение с танкостроением в текущем [1929-30 хозяйственном] году" (Там же). 5 декабря Политбюро приняло постановление "О выполнении танковой программы" (изложено в: МУХИН М. Ю. Амторг: Американские танки дня РККА // ОИ. 2001. № 3. С. 58)). Почти столь же пессимистично Ворошилов оценивал и возможность выполнения программы самолетостроения: "...авиапромышленность в данное время находится в таком состоянии, что ставит под угрозу выполнение директивы Политбюро. Авиастроительство переживает тяжелый кризис, преодоление которого требует авторитетных решений, особого напряжения и чрезвычайных мер" (Письмо Ворошилова в Политбюро ЦК ВКП(б) Сталину, 11.12.1929 (РГВА. Ф. 4. Оп. 19-Д. 10. Л. 4 Вероятно, обращение Ворошилова в Политбюро подтолкнуло РЗ СТО к принятию 14 января 1930 г. обширного постановления "О мероприятиях по развитию авиапромышленности" (Там же. Ф. 40442. Оп. 1.Д. 107. Л. 7-9).) (22725).</w:t>
      </w:r>
    </w:p>
    <w:bookmarkEnd w:id="87"/>
    <w:p w14:paraId="652DDDE7" w14:textId="77777777" w:rsidR="0020132F" w:rsidRPr="00A259BD" w:rsidRDefault="0020132F" w:rsidP="009236E3">
      <w:pPr>
        <w:spacing w:after="0" w:line="240" w:lineRule="auto"/>
        <w:jc w:val="both"/>
        <w:rPr>
          <w:rFonts w:ascii="Times New Roman" w:hAnsi="Times New Roman"/>
          <w:color w:val="000000" w:themeColor="text1"/>
          <w:sz w:val="16"/>
          <w:szCs w:val="16"/>
        </w:rPr>
      </w:pPr>
    </w:p>
    <w:p w14:paraId="1292B7E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21A5910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7BA76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13 по 15 октября 1929 самолеты 40-й эскадрильи и 68-го ОАО проводили воздушную разведку отступающего противника вплоть до города </w:t>
      </w:r>
      <w:proofErr w:type="spellStart"/>
      <w:r w:rsidRPr="00A259BD">
        <w:rPr>
          <w:rFonts w:ascii="Times New Roman" w:hAnsi="Times New Roman"/>
          <w:color w:val="000000" w:themeColor="text1"/>
          <w:sz w:val="16"/>
          <w:szCs w:val="16"/>
        </w:rPr>
        <w:t>Фугдин</w:t>
      </w:r>
      <w:proofErr w:type="spellEnd"/>
      <w:r w:rsidRPr="00A259BD">
        <w:rPr>
          <w:rFonts w:ascii="Times New Roman" w:hAnsi="Times New Roman"/>
          <w:color w:val="000000" w:themeColor="text1"/>
          <w:sz w:val="16"/>
          <w:szCs w:val="16"/>
        </w:rPr>
        <w:t xml:space="preserve">, аэрофотосъёмку района боя у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xml:space="preserve"> и укреплённого района </w:t>
      </w:r>
      <w:proofErr w:type="spellStart"/>
      <w:r w:rsidRPr="00A259BD">
        <w:rPr>
          <w:rFonts w:ascii="Times New Roman" w:hAnsi="Times New Roman"/>
          <w:color w:val="000000" w:themeColor="text1"/>
          <w:sz w:val="16"/>
          <w:szCs w:val="16"/>
        </w:rPr>
        <w:t>Чичиха</w:t>
      </w:r>
      <w:proofErr w:type="spellEnd"/>
      <w:r w:rsidRPr="00A259BD">
        <w:rPr>
          <w:rFonts w:ascii="Times New Roman" w:hAnsi="Times New Roman"/>
          <w:color w:val="000000" w:themeColor="text1"/>
          <w:sz w:val="16"/>
          <w:szCs w:val="16"/>
        </w:rPr>
        <w:t>. Существовало опасение, что Япония может втянуться в вооруженный конфликт, поэтому по приказу Блюхера 40-я эскадрилья срочно перебрасывалась через Хабаровск в Спасск (9978).</w:t>
      </w:r>
    </w:p>
    <w:p w14:paraId="776BFF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4000F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37283E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B3B5C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октября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7) и обсуждали вопрос о переделках И-3 (докладывал Косткин). Предупредили УВВС о возможности увеличения веса (2367,23).</w:t>
      </w:r>
    </w:p>
    <w:p w14:paraId="0F5C93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A4C70FF" w14:textId="77777777" w:rsidR="00F00059" w:rsidRPr="00441F34" w:rsidRDefault="00F00059" w:rsidP="00F0005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14 октября 1929 г. на заседании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(протокол №7) было обсуждено внедрение требуемых доработок на серийных самолетах И-3, и докладывавший по этому вопросу зам директора завода №1 И.М. Косткин предупредил УВВС о возможности увеличения веса при этом. Однако его оценка ситуации оказалась не верной (24887).</w:t>
      </w:r>
    </w:p>
    <w:p w14:paraId="2197B05E" w14:textId="77777777" w:rsidR="00F00059" w:rsidRPr="00441F34" w:rsidRDefault="00F00059" w:rsidP="00F00059">
      <w:pPr>
        <w:spacing w:after="0" w:line="240" w:lineRule="auto"/>
        <w:jc w:val="both"/>
        <w:rPr>
          <w:rFonts w:ascii="Times New Roman" w:hAnsi="Times New Roman"/>
          <w:color w:val="0070C0"/>
          <w:sz w:val="16"/>
          <w:szCs w:val="16"/>
        </w:rPr>
      </w:pPr>
    </w:p>
    <w:p w14:paraId="72C5E0AD" w14:textId="77777777" w:rsidR="00EF283E" w:rsidRPr="00A259BD" w:rsidRDefault="00EF283E"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C493F57" w14:textId="77777777" w:rsidR="00EF283E" w:rsidRPr="00A259BD" w:rsidRDefault="00EF283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EBF5F1F" w14:textId="77777777" w:rsidR="00EF283E" w:rsidRPr="00A259BD" w:rsidRDefault="00EF283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октября 1929 британский дирижабль R101 совершает первый полет. Он вылетает из </w:t>
      </w:r>
      <w:proofErr w:type="spellStart"/>
      <w:r w:rsidRPr="00A259BD">
        <w:rPr>
          <w:rFonts w:ascii="Times New Roman" w:hAnsi="Times New Roman"/>
          <w:color w:val="000000" w:themeColor="text1"/>
          <w:sz w:val="16"/>
          <w:szCs w:val="16"/>
        </w:rPr>
        <w:t>Кардингтона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Бедфордшир</w:t>
      </w:r>
      <w:proofErr w:type="spellEnd"/>
      <w:r w:rsidRPr="00A259BD">
        <w:rPr>
          <w:rFonts w:ascii="Times New Roman" w:hAnsi="Times New Roman"/>
          <w:color w:val="000000" w:themeColor="text1"/>
          <w:sz w:val="16"/>
          <w:szCs w:val="16"/>
        </w:rPr>
        <w:t>, и пролетает над Лондоном (20806).</w:t>
      </w:r>
    </w:p>
    <w:p w14:paraId="5EB0D4C5" w14:textId="77777777" w:rsidR="00EF283E" w:rsidRPr="00A259BD" w:rsidRDefault="00EF283E" w:rsidP="009236E3">
      <w:pPr>
        <w:spacing w:after="0" w:line="240" w:lineRule="auto"/>
        <w:jc w:val="both"/>
        <w:rPr>
          <w:rFonts w:ascii="Times New Roman" w:hAnsi="Times New Roman"/>
          <w:color w:val="000000" w:themeColor="text1"/>
          <w:sz w:val="16"/>
          <w:szCs w:val="16"/>
        </w:rPr>
      </w:pPr>
    </w:p>
    <w:p w14:paraId="40DF5F5C" w14:textId="77777777" w:rsidR="00EF283E" w:rsidRPr="00A259BD" w:rsidRDefault="00EF283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октября 1929 г. первый полет Дирижабля R101 (20806).</w:t>
      </w:r>
    </w:p>
    <w:p w14:paraId="545A2570" w14:textId="77777777" w:rsidR="00EF283E" w:rsidRPr="00A259BD" w:rsidRDefault="00EF283E" w:rsidP="009236E3">
      <w:pPr>
        <w:spacing w:after="0" w:line="240" w:lineRule="auto"/>
        <w:jc w:val="both"/>
        <w:rPr>
          <w:rFonts w:ascii="Times New Roman" w:hAnsi="Times New Roman"/>
          <w:color w:val="000000" w:themeColor="text1"/>
          <w:sz w:val="16"/>
          <w:szCs w:val="16"/>
        </w:rPr>
      </w:pPr>
    </w:p>
    <w:p w14:paraId="6D9E219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67B981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8581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октября 1929 на испытания в НИИ ВВС поступил первый серийный АНТ-5, сделанный на 22 заводе (N 1513). </w:t>
      </w:r>
      <w:proofErr w:type="spellStart"/>
      <w:r w:rsidRPr="00A259BD">
        <w:rPr>
          <w:rFonts w:ascii="Times New Roman" w:hAnsi="Times New Roman"/>
          <w:color w:val="000000" w:themeColor="text1"/>
          <w:sz w:val="16"/>
          <w:szCs w:val="16"/>
        </w:rPr>
        <w:t>К.Попов</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В.Писаренко</w:t>
      </w:r>
      <w:proofErr w:type="spellEnd"/>
      <w:r w:rsidRPr="00A259BD">
        <w:rPr>
          <w:rFonts w:ascii="Times New Roman" w:hAnsi="Times New Roman"/>
          <w:color w:val="000000" w:themeColor="text1"/>
          <w:sz w:val="16"/>
          <w:szCs w:val="16"/>
        </w:rPr>
        <w:t xml:space="preserve"> вел испытания до 26 ноября. Сдача серийных И-4 была начата с июня, но до октября сдали только 2 (346,21).</w:t>
      </w:r>
    </w:p>
    <w:p w14:paraId="52C782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другим данным - 15 октября 1928.</w:t>
      </w:r>
    </w:p>
    <w:p w14:paraId="4ADD63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15 октября по 26 ноября 1929 в НИИ ВВС проходили испытания серийного самолета И-4 № 1513 (первый серийный самолет постройки завода № 22).</w:t>
      </w:r>
    </w:p>
    <w:p w14:paraId="2A4164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испытания серийного самолета И-4 № 1513 (первый серийный самолет постройки завода № 22).</w:t>
      </w:r>
    </w:p>
    <w:p w14:paraId="29BE3B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мотором ЮVI</w:t>
      </w:r>
    </w:p>
    <w:p w14:paraId="0206DE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металлической конструкции полутораплан с V-образной стойкой, одноместный. Идентичен ранее испытанному в НИИ самолету И-4 Ю-VI ЦАГИ.</w:t>
      </w:r>
    </w:p>
    <w:p w14:paraId="5C897B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2164B0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основании произведенных испытаний НИИ считает, что самолеты И-4 ЮVI первой серии постройки завода № 22 могут быть приняты на снабжение ВВС (6997).</w:t>
      </w:r>
    </w:p>
    <w:p w14:paraId="2EE580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2B953E7" w14:textId="77777777" w:rsidR="00F00059" w:rsidRPr="00441F34" w:rsidRDefault="00F00059" w:rsidP="00F0005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15 октября 1929 г. головная се</w:t>
      </w:r>
      <w:r w:rsidRPr="00441F34">
        <w:rPr>
          <w:rFonts w:ascii="Times New Roman" w:hAnsi="Times New Roman"/>
          <w:color w:val="0070C0"/>
          <w:sz w:val="16"/>
          <w:szCs w:val="16"/>
        </w:rPr>
        <w:softHyphen/>
        <w:t>рийная машина И-4 № 1513 поступила на ис</w:t>
      </w:r>
      <w:r w:rsidRPr="00441F34">
        <w:rPr>
          <w:rFonts w:ascii="Times New Roman" w:hAnsi="Times New Roman"/>
          <w:color w:val="0070C0"/>
          <w:sz w:val="16"/>
          <w:szCs w:val="16"/>
        </w:rPr>
        <w:softHyphen/>
        <w:t>пытания в НИИ ВВС. До 26 ноября того же года самолет испытывали К. Попов и В. Писаренко (23474).</w:t>
      </w:r>
    </w:p>
    <w:p w14:paraId="0AD48582" w14:textId="77777777" w:rsidR="00F00059" w:rsidRPr="00441F34" w:rsidRDefault="00F00059" w:rsidP="00F00059">
      <w:pPr>
        <w:spacing w:after="0" w:line="240" w:lineRule="auto"/>
        <w:jc w:val="both"/>
        <w:rPr>
          <w:rFonts w:ascii="Times New Roman" w:hAnsi="Times New Roman"/>
          <w:color w:val="0070C0"/>
          <w:sz w:val="16"/>
          <w:szCs w:val="16"/>
        </w:rPr>
      </w:pPr>
    </w:p>
    <w:p w14:paraId="3589D045" w14:textId="77777777" w:rsidR="00DC0163" w:rsidRPr="00A259BD" w:rsidRDefault="00DC016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октября 1929 г. Протокол ПБ № 102 п.21: О Кертисе (Куйбышев, Ворошилов, Баранов, Урываев, Гуревич, Каменев) – ОП. Решено поручить комиссии в составе Каменева, Баранова, Урываева и Гуревича вести переговоры с фирмой Кертиса об организации смешанного общества для строительства </w:t>
      </w:r>
      <w:proofErr w:type="spellStart"/>
      <w:r w:rsidRPr="00A259BD">
        <w:rPr>
          <w:rFonts w:ascii="Times New Roman" w:hAnsi="Times New Roman"/>
          <w:color w:val="000000" w:themeColor="text1"/>
          <w:sz w:val="16"/>
          <w:szCs w:val="16"/>
        </w:rPr>
        <w:t>самолето</w:t>
      </w:r>
      <w:proofErr w:type="spellEnd"/>
      <w:r w:rsidRPr="00A259BD">
        <w:rPr>
          <w:rFonts w:ascii="Times New Roman" w:hAnsi="Times New Roman"/>
          <w:color w:val="000000" w:themeColor="text1"/>
          <w:sz w:val="16"/>
          <w:szCs w:val="16"/>
        </w:rPr>
        <w:t>- и моторостроительного завода и эксплуатации воздушной линии; предложения внести на утверждение Политбюро (15892).</w:t>
      </w:r>
    </w:p>
    <w:p w14:paraId="0307C495" w14:textId="77777777" w:rsidR="00DC0163" w:rsidRPr="00A259BD" w:rsidRDefault="00DC0163" w:rsidP="009236E3">
      <w:pPr>
        <w:spacing w:after="0" w:line="240" w:lineRule="auto"/>
        <w:jc w:val="both"/>
        <w:rPr>
          <w:rFonts w:ascii="Times New Roman" w:hAnsi="Times New Roman"/>
          <w:color w:val="000000" w:themeColor="text1"/>
          <w:sz w:val="16"/>
          <w:szCs w:val="16"/>
        </w:rPr>
      </w:pPr>
    </w:p>
    <w:p w14:paraId="1343ECAD" w14:textId="77777777" w:rsidR="00EF283E" w:rsidRPr="00A259BD" w:rsidRDefault="00EF283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октября 1929 состоялось заседание ПБ (Протокол № 102. Особый № 100)</w:t>
      </w:r>
    </w:p>
    <w:p w14:paraId="2FDB60E5" w14:textId="77777777" w:rsidR="00EF283E" w:rsidRPr="00A259BD" w:rsidRDefault="00EF283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О Кертисе.</w:t>
      </w:r>
    </w:p>
    <w:p w14:paraId="0E2105F0" w14:textId="77777777" w:rsidR="00EF283E" w:rsidRPr="00A259BD" w:rsidRDefault="00EF283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Куйбышев, Ворошилов, Баранов, Урываев, Гуревич, Ка</w:t>
      </w:r>
      <w:r w:rsidRPr="00A259BD">
        <w:rPr>
          <w:rFonts w:ascii="Times New Roman" w:hAnsi="Times New Roman"/>
          <w:color w:val="000000" w:themeColor="text1"/>
          <w:sz w:val="16"/>
          <w:szCs w:val="16"/>
        </w:rPr>
        <w:softHyphen/>
        <w:t>менев ).</w:t>
      </w:r>
    </w:p>
    <w:p w14:paraId="23ED8C60" w14:textId="77777777" w:rsidR="00EF283E" w:rsidRPr="00A259BD" w:rsidRDefault="00EF283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Поручить комиссии в составе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Каменева, Баранова, Урываева и Гуревича вести переговоры с фирмой Кертиса об организации смешанного общества для постройки самолете и моторо-строительного завода и </w:t>
      </w:r>
      <w:proofErr w:type="spellStart"/>
      <w:r w:rsidRPr="00A259BD">
        <w:rPr>
          <w:rFonts w:ascii="Times New Roman" w:hAnsi="Times New Roman"/>
          <w:color w:val="000000" w:themeColor="text1"/>
          <w:sz w:val="16"/>
          <w:szCs w:val="16"/>
        </w:rPr>
        <w:t>эксплоатации</w:t>
      </w:r>
      <w:proofErr w:type="spellEnd"/>
      <w:r w:rsidRPr="00A259BD">
        <w:rPr>
          <w:rFonts w:ascii="Times New Roman" w:hAnsi="Times New Roman"/>
          <w:color w:val="000000" w:themeColor="text1"/>
          <w:sz w:val="16"/>
          <w:szCs w:val="16"/>
        </w:rPr>
        <w:t xml:space="preserve"> воздушной ли</w:t>
      </w:r>
      <w:r w:rsidRPr="00A259BD">
        <w:rPr>
          <w:rFonts w:ascii="Times New Roman" w:hAnsi="Times New Roman"/>
          <w:color w:val="000000" w:themeColor="text1"/>
          <w:sz w:val="16"/>
          <w:szCs w:val="16"/>
        </w:rPr>
        <w:softHyphen/>
        <w:t>нии.</w:t>
      </w:r>
    </w:p>
    <w:p w14:paraId="6B2EFD96" w14:textId="77777777" w:rsidR="00EF283E" w:rsidRPr="00A259BD" w:rsidRDefault="00EF283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Предложить комиссии внести свои предложения на утверждение Политбюро.</w:t>
      </w:r>
    </w:p>
    <w:p w14:paraId="04C364F9" w14:textId="77777777" w:rsidR="00EF283E" w:rsidRPr="00A259BD" w:rsidRDefault="00EF283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Выписки посланы: т. Каменеву; т. Баранову; т .Урываеву; т. Гуревичу; т. Куйбышеву (23085).</w:t>
      </w:r>
    </w:p>
    <w:p w14:paraId="57055323" w14:textId="77777777" w:rsidR="00EF283E" w:rsidRPr="00A259BD" w:rsidRDefault="00EF283E" w:rsidP="009236E3">
      <w:pPr>
        <w:spacing w:after="0" w:line="240" w:lineRule="auto"/>
        <w:jc w:val="both"/>
        <w:rPr>
          <w:rFonts w:ascii="Times New Roman" w:hAnsi="Times New Roman"/>
          <w:color w:val="000000" w:themeColor="text1"/>
          <w:sz w:val="16"/>
          <w:szCs w:val="16"/>
        </w:rPr>
      </w:pPr>
    </w:p>
    <w:p w14:paraId="5C0D2F9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0E88FA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4DCB111" w14:textId="77777777" w:rsidR="0065509C" w:rsidRPr="00A259BD" w:rsidRDefault="0065509C"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bCs/>
          <w:iCs/>
          <w:color w:val="000000" w:themeColor="text1"/>
          <w:sz w:val="16"/>
          <w:szCs w:val="16"/>
        </w:rPr>
        <w:t>15 октября 1929 г.</w:t>
      </w:r>
      <w:r w:rsidRPr="00A259BD">
        <w:rPr>
          <w:rFonts w:ascii="Times New Roman" w:hAnsi="Times New Roman"/>
          <w:color w:val="000000" w:themeColor="text1"/>
          <w:sz w:val="16"/>
          <w:szCs w:val="16"/>
        </w:rPr>
        <w:t xml:space="preserve"> Один из серьезных толчков навстречу более тесному содружеству «химии» и авиации — совещание у начальника ВОХИМУ: представители военно-химических сил встречались с делегацией управления ВВС РККА. Круг достигнутых договоренностей включал различные организационные и технические проблемы. В тот день была достигнута договоренность об установлении контакта ВОХИМУ и его подразделений с ЦАГИ и Воздушной Академией, с тем чтобы они привлекались ко всем необходимым авиахимическим работам. Было решено проработать вопрос о проектировании </w:t>
      </w:r>
      <w:proofErr w:type="spellStart"/>
      <w:r w:rsidRPr="00A259BD">
        <w:rPr>
          <w:rFonts w:ascii="Times New Roman" w:hAnsi="Times New Roman"/>
          <w:color w:val="000000" w:themeColor="text1"/>
          <w:sz w:val="16"/>
          <w:szCs w:val="16"/>
        </w:rPr>
        <w:t>ВАПа</w:t>
      </w:r>
      <w:proofErr w:type="spellEnd"/>
      <w:r w:rsidRPr="00A259BD">
        <w:rPr>
          <w:rFonts w:ascii="Times New Roman" w:hAnsi="Times New Roman"/>
          <w:color w:val="000000" w:themeColor="text1"/>
          <w:sz w:val="16"/>
          <w:szCs w:val="16"/>
        </w:rPr>
        <w:t xml:space="preserve"> для самолетов с более высокой грузоподъемностью, имея в виду серьезное увеличение его емкости (немецкий опыт был скромнее). Соответственно, было решено приспособить большие самолеты для применения имеющихся фугасных авиационных бомб больших калибров (250 и 500 кг) в осколочно-химическом снаряжении. Тогда же договорились и о получении от ВВС самолетов с большой грузоподъемностью для постоянных работ на военно-химических полигонах — под Москвой в Кузьминках и на Волге в Шиханах. Была обсуждена и новаторская по тем временам идея выливания из </w:t>
      </w:r>
      <w:proofErr w:type="spellStart"/>
      <w:r w:rsidRPr="00A259BD">
        <w:rPr>
          <w:rFonts w:ascii="Times New Roman" w:hAnsi="Times New Roman"/>
          <w:color w:val="000000" w:themeColor="text1"/>
          <w:sz w:val="16"/>
          <w:szCs w:val="16"/>
        </w:rPr>
        <w:t>ВАПов</w:t>
      </w:r>
      <w:proofErr w:type="spellEnd"/>
      <w:r w:rsidRPr="00A259BD">
        <w:rPr>
          <w:rFonts w:ascii="Times New Roman" w:hAnsi="Times New Roman"/>
          <w:color w:val="000000" w:themeColor="text1"/>
          <w:sz w:val="16"/>
          <w:szCs w:val="16"/>
        </w:rPr>
        <w:t xml:space="preserve"> нестойких ОВ с небольших высот в зимнее время, а не только иприта или же смеси иприта с фосгеном (17133).</w:t>
      </w:r>
    </w:p>
    <w:p w14:paraId="5181D57B" w14:textId="77777777" w:rsidR="0065509C" w:rsidRPr="00A259BD" w:rsidRDefault="0065509C" w:rsidP="009236E3">
      <w:pPr>
        <w:shd w:val="clear" w:color="auto" w:fill="FFFFFF"/>
        <w:spacing w:after="0" w:line="240" w:lineRule="auto"/>
        <w:jc w:val="both"/>
        <w:rPr>
          <w:rFonts w:ascii="Times New Roman" w:hAnsi="Times New Roman"/>
          <w:color w:val="000000" w:themeColor="text1"/>
          <w:sz w:val="16"/>
          <w:szCs w:val="16"/>
        </w:rPr>
      </w:pPr>
    </w:p>
    <w:p w14:paraId="7CE7C2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октября 1929 г. была завершена сборка танка Т-12, но его </w:t>
      </w:r>
      <w:proofErr w:type="spellStart"/>
      <w:r w:rsidRPr="00A259BD">
        <w:rPr>
          <w:rFonts w:ascii="Times New Roman" w:hAnsi="Times New Roman"/>
          <w:color w:val="000000" w:themeColor="text1"/>
          <w:sz w:val="16"/>
          <w:szCs w:val="16"/>
        </w:rPr>
        <w:t>дообору-дование</w:t>
      </w:r>
      <w:proofErr w:type="spellEnd"/>
      <w:r w:rsidRPr="00A259BD">
        <w:rPr>
          <w:rFonts w:ascii="Times New Roman" w:hAnsi="Times New Roman"/>
          <w:color w:val="000000" w:themeColor="text1"/>
          <w:sz w:val="16"/>
          <w:szCs w:val="16"/>
        </w:rPr>
        <w:t xml:space="preserve"> и переделки продлились до зимы. Опытный обра</w:t>
      </w:r>
      <w:r w:rsidRPr="00A259BD">
        <w:rPr>
          <w:rFonts w:ascii="Times New Roman" w:hAnsi="Times New Roman"/>
          <w:color w:val="000000" w:themeColor="text1"/>
          <w:sz w:val="16"/>
          <w:szCs w:val="16"/>
        </w:rPr>
        <w:softHyphen/>
        <w:t>зец был окончательно принят в феврале 1930 г., но лишь в начале апреля начались его заводские испытания. Корпус танка для удешевления опытной машины и ускорения ее создания был изготовлен из простой стали. Но собранный танк сильно отличался от проекта. Он стал длиннее и нес измененную ходовую часть (10733,86).</w:t>
      </w:r>
    </w:p>
    <w:p w14:paraId="6213E0A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9F15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октября 1929 года на ГХПЗ были собраны бронированный корпус, башня и ходовая часть танка Т-12 (10710).</w:t>
      </w:r>
    </w:p>
    <w:p w14:paraId="04F59E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C03EDD" w14:textId="77777777" w:rsidR="00E320BE" w:rsidRPr="00A259BD" w:rsidRDefault="00E320BE"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 xml:space="preserve">15 октября 1929 г. на ХПЗ закончилось изготовления Т-12, но его дооборудование продлилось до зимы, и лишь к началу апреля он начал совершать пробежки по заводскому двору. Корпус танка для удешевления опытной машины и ускорения ее создания был изготовлен из простой стали. Но собранный танк сильно отличался от проекта. Он стал длиннее и нес измененную ходовую часть. Из найденных в РГВА отчетов по испытаниям Т-12 самый ранний датируется 2 апреля 1930 года. В отчете указано, что танк прошел своим ходом 2 км по мягкому грунту, после чего остановился по причине поломки в трансмиссии. Время работы двигателя составило 33 минуты, время чистого движения - 21 минута. Далее в документах прослеживается, как танк одолевал все более дальние расстояния. Вообще же отмечалось, что танк по мягкому грунту движется легко и плавно, но перегревается коробка передач, кипит вода и отказывает в работе 2-я скорость (для предотвращения чего на коробке был поставлен дополнительный стопор). Кроме того, столкнулись с неприятным явлением соскакивания правой гусеницы при поворотах на мягком грунте. ? июля на испытания прибыли Наркомвоенмор тов. Ворошилов, Начальник УММ тов. </w:t>
      </w:r>
      <w:proofErr w:type="spellStart"/>
      <w:r w:rsidRPr="00A259BD">
        <w:rPr>
          <w:rFonts w:ascii="Times New Roman" w:hAnsi="Times New Roman"/>
          <w:color w:val="000000" w:themeColor="text1"/>
          <w:sz w:val="16"/>
          <w:szCs w:val="16"/>
          <w:shd w:val="clear" w:color="auto" w:fill="FFFFFF"/>
        </w:rPr>
        <w:t>Халепский</w:t>
      </w:r>
      <w:proofErr w:type="spellEnd"/>
      <w:r w:rsidRPr="00A259BD">
        <w:rPr>
          <w:rFonts w:ascii="Times New Roman" w:hAnsi="Times New Roman"/>
          <w:color w:val="000000" w:themeColor="text1"/>
          <w:sz w:val="16"/>
          <w:szCs w:val="16"/>
          <w:shd w:val="clear" w:color="auto" w:fill="FFFFFF"/>
        </w:rPr>
        <w:t xml:space="preserve"> и начальник Технического управления УММ тов. </w:t>
      </w:r>
      <w:proofErr w:type="spellStart"/>
      <w:r w:rsidRPr="00A259BD">
        <w:rPr>
          <w:rFonts w:ascii="Times New Roman" w:hAnsi="Times New Roman"/>
          <w:color w:val="000000" w:themeColor="text1"/>
          <w:sz w:val="16"/>
          <w:szCs w:val="16"/>
          <w:shd w:val="clear" w:color="auto" w:fill="FFFFFF"/>
        </w:rPr>
        <w:t>Бокис</w:t>
      </w:r>
      <w:proofErr w:type="spellEnd"/>
      <w:r w:rsidRPr="00A259BD">
        <w:rPr>
          <w:rFonts w:ascii="Times New Roman" w:hAnsi="Times New Roman"/>
          <w:color w:val="000000" w:themeColor="text1"/>
          <w:sz w:val="16"/>
          <w:szCs w:val="16"/>
          <w:shd w:val="clear" w:color="auto" w:fill="FFFFFF"/>
        </w:rPr>
        <w:t>. От ХПЗ на испытаниях присутствовали тов. Махонин и тов. Владимиров. Несмотря на присутствие титулованных гостей, танк вел себя хорошо. Отмечалось, что легко достигалась скорость по твердому грунту 26 км/ч и более (при краткосрочном повышении оборотов двигателя до 2000 об/мин скорость превысила 30 км/ч). Легко преодолевались окопы шириной 2 м даже на песчаном грунте. На мягком грунте танк осилил подъем 35-36 градусов на первой передаче. Кроме того, на эти испытания танк впервые вышел с пулеметом. Поскольку пулемет ДТ подан вовремя не был, для танка приспособили станковый пулемет Кольта в шаровой установке Шпагина. При стрельбе из данного пулемета отмечалась хорошая меткость (даже на ходу в цель попало более 60% пуль). Но были и недостатки: вновь слетала гусеница от налипания грунта на ленивец, после 20 переключений коробка передач сбрасывала скорости, а также после расходования 90 литров бензина он прекращал поступать к двигателю по непонятным причинам (хотя в баке еще находилось около 130 литров). Но в целом танк был признан соответствующим требованиям и рекомендован для принятия на вооружение с учетом исправления замеченных недостатков. Вопреки высказываниям некоторых авторов, что орудие для маневренного танка было готово только к 1932 году, следует отметить, что 45-мм пушка Соколова была подана уже в июне 1930 года и установлена на Т-12, на котором ее опробование проходило 12 июля 1930 г. (19553).</w:t>
      </w:r>
    </w:p>
    <w:p w14:paraId="33388D30" w14:textId="77777777" w:rsidR="00E320BE" w:rsidRPr="00A259BD" w:rsidRDefault="00E320BE" w:rsidP="009236E3">
      <w:pPr>
        <w:spacing w:after="0" w:line="240" w:lineRule="auto"/>
        <w:jc w:val="both"/>
        <w:rPr>
          <w:rFonts w:ascii="Times New Roman" w:hAnsi="Times New Roman"/>
          <w:color w:val="000000" w:themeColor="text1"/>
          <w:sz w:val="16"/>
          <w:szCs w:val="16"/>
          <w:shd w:val="clear" w:color="auto" w:fill="FFFFFF"/>
        </w:rPr>
      </w:pPr>
    </w:p>
    <w:p w14:paraId="1B8D294E"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1176580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41BAA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октября 1929 была создана Таджикская ССР (2955).</w:t>
      </w:r>
    </w:p>
    <w:p w14:paraId="347B3F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752C0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октября 1929 на волне 1000 метров ленинградский городской радиоцентр начал транслировать передачи утренней гимнастики (10739).</w:t>
      </w:r>
    </w:p>
    <w:p w14:paraId="3CBC38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CD2BBA"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91343A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31749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октября 1929 в Афганистане вновь свергли эмира и им стал Надир-хан (2443,405).</w:t>
      </w:r>
    </w:p>
    <w:p w14:paraId="0F70E8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998357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lastRenderedPageBreak/>
        <w:t>Авиапромышленность:</w:t>
      </w:r>
    </w:p>
    <w:p w14:paraId="5F48B23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2E985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октября 1929 состоялось совещание в УВВС по вопросу результатов испытаний И-3 и принятия его на вооружение (1028,76).</w:t>
      </w:r>
    </w:p>
    <w:p w14:paraId="53AACF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E88F7BB" w14:textId="77777777" w:rsidR="00F00059" w:rsidRPr="00441F34" w:rsidRDefault="00F00059" w:rsidP="00F0005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16 октября 1929 г. состоялось совещание в УВВС по вопросу результатов испытаний И-3 и принятия его на вооружение, на котором была подтверждена необходимость внедрения доработок (24887).</w:t>
      </w:r>
    </w:p>
    <w:p w14:paraId="37947BD4" w14:textId="77777777" w:rsidR="00F00059" w:rsidRPr="00441F34" w:rsidRDefault="00F00059" w:rsidP="00F00059">
      <w:pPr>
        <w:spacing w:after="0" w:line="240" w:lineRule="auto"/>
        <w:jc w:val="both"/>
        <w:rPr>
          <w:rFonts w:ascii="Times New Roman" w:hAnsi="Times New Roman"/>
          <w:color w:val="0070C0"/>
          <w:sz w:val="16"/>
          <w:szCs w:val="16"/>
        </w:rPr>
      </w:pPr>
    </w:p>
    <w:p w14:paraId="038465D0" w14:textId="77777777" w:rsidR="009715DF" w:rsidRPr="00A259BD" w:rsidRDefault="009715D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октября 1929 г. в рапорте Начальника ВВС Украинского военного окру</w:t>
      </w:r>
      <w:r w:rsidRPr="00A259BD">
        <w:rPr>
          <w:rFonts w:ascii="Times New Roman" w:hAnsi="Times New Roman"/>
          <w:color w:val="000000" w:themeColor="text1"/>
          <w:sz w:val="16"/>
          <w:szCs w:val="16"/>
        </w:rPr>
        <w:softHyphen/>
        <w:t>га (</w:t>
      </w:r>
      <w:proofErr w:type="spellStart"/>
      <w:r w:rsidRPr="00A259BD">
        <w:rPr>
          <w:rFonts w:ascii="Times New Roman" w:hAnsi="Times New Roman"/>
          <w:color w:val="000000" w:themeColor="text1"/>
          <w:sz w:val="16"/>
          <w:szCs w:val="16"/>
        </w:rPr>
        <w:t>УвО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Ф.А.Инганиуса</w:t>
      </w:r>
      <w:proofErr w:type="spellEnd"/>
      <w:r w:rsidRPr="00A259BD">
        <w:rPr>
          <w:rFonts w:ascii="Times New Roman" w:hAnsi="Times New Roman"/>
          <w:color w:val="000000" w:themeColor="text1"/>
          <w:sz w:val="16"/>
          <w:szCs w:val="16"/>
        </w:rPr>
        <w:t xml:space="preserve"> на имя Начальника ВВС РККА предлагалось вооружить самолеты Р-1 двумя дополнительными крыльевыми пулеметами.</w:t>
      </w:r>
    </w:p>
    <w:p w14:paraId="094286D3" w14:textId="77777777" w:rsidR="009715DF" w:rsidRPr="00A259BD" w:rsidRDefault="009715D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Р-1 имея сравнительно большой запас мощ</w:t>
      </w:r>
      <w:r w:rsidRPr="00A259BD">
        <w:rPr>
          <w:rFonts w:ascii="Times New Roman" w:hAnsi="Times New Roman"/>
          <w:color w:val="000000" w:themeColor="text1"/>
          <w:sz w:val="16"/>
          <w:szCs w:val="16"/>
        </w:rPr>
        <w:softHyphen/>
        <w:t>ности в полете, будет лучше маневрировать при подходе к цели, чем тяжелый боевик, защищенный броней. Следо</w:t>
      </w:r>
      <w:r w:rsidRPr="00A259BD">
        <w:rPr>
          <w:rFonts w:ascii="Times New Roman" w:hAnsi="Times New Roman"/>
          <w:color w:val="000000" w:themeColor="text1"/>
          <w:sz w:val="16"/>
          <w:szCs w:val="16"/>
        </w:rPr>
        <w:softHyphen/>
        <w:t>вательно, использование в наших условиях самолета Р-1 как боевика вполне возможно. Весь вопрос сводится к уве</w:t>
      </w:r>
      <w:r w:rsidRPr="00A259BD">
        <w:rPr>
          <w:rFonts w:ascii="Times New Roman" w:hAnsi="Times New Roman"/>
          <w:color w:val="000000" w:themeColor="text1"/>
          <w:sz w:val="16"/>
          <w:szCs w:val="16"/>
        </w:rPr>
        <w:softHyphen/>
        <w:t>личению вооружения. Оно дает возможность значительно повысить мощь эскадрильи боевиков».</w:t>
      </w:r>
    </w:p>
    <w:p w14:paraId="583B1136" w14:textId="77777777" w:rsidR="009715DF" w:rsidRPr="00A259BD" w:rsidRDefault="009715DF"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Установку дополнительного вооружения на Р-1 </w:t>
      </w:r>
      <w:proofErr w:type="spellStart"/>
      <w:r w:rsidRPr="00A259BD">
        <w:rPr>
          <w:rFonts w:ascii="Times New Roman" w:hAnsi="Times New Roman"/>
          <w:color w:val="000000" w:themeColor="text1"/>
          <w:sz w:val="16"/>
          <w:szCs w:val="16"/>
        </w:rPr>
        <w:t>Ингани</w:t>
      </w:r>
      <w:proofErr w:type="spellEnd"/>
      <w:r w:rsidRPr="00A259BD">
        <w:rPr>
          <w:rFonts w:ascii="Times New Roman" w:hAnsi="Times New Roman"/>
          <w:color w:val="000000" w:themeColor="text1"/>
          <w:sz w:val="16"/>
          <w:szCs w:val="16"/>
        </w:rPr>
        <w:t xml:space="preserve">- ус предлагал произвести на 6-м </w:t>
      </w:r>
      <w:proofErr w:type="spellStart"/>
      <w:r w:rsidRPr="00A259BD">
        <w:rPr>
          <w:rFonts w:ascii="Times New Roman" w:hAnsi="Times New Roman"/>
          <w:color w:val="000000" w:themeColor="text1"/>
          <w:sz w:val="16"/>
          <w:szCs w:val="16"/>
        </w:rPr>
        <w:t>авиаремзаводе</w:t>
      </w:r>
      <w:proofErr w:type="spellEnd"/>
      <w:r w:rsidRPr="00A259BD">
        <w:rPr>
          <w:rFonts w:ascii="Times New Roman" w:hAnsi="Times New Roman"/>
          <w:color w:val="000000" w:themeColor="text1"/>
          <w:sz w:val="16"/>
          <w:szCs w:val="16"/>
        </w:rPr>
        <w:t xml:space="preserve"> в Киеве. Был получен ответ, что сначала надо произвести конструк</w:t>
      </w:r>
      <w:r w:rsidRPr="00A259BD">
        <w:rPr>
          <w:rFonts w:ascii="Times New Roman" w:hAnsi="Times New Roman"/>
          <w:color w:val="000000" w:themeColor="text1"/>
          <w:sz w:val="16"/>
          <w:szCs w:val="16"/>
        </w:rPr>
        <w:softHyphen/>
        <w:t>тивную разработку предлагаемого вооружения. Далее следы об установке такого дополнительного вооружения где-то теряются (20362).</w:t>
      </w:r>
    </w:p>
    <w:p w14:paraId="6D10262C" w14:textId="77777777" w:rsidR="009715DF" w:rsidRPr="00A259BD" w:rsidRDefault="009715DF" w:rsidP="009236E3">
      <w:pPr>
        <w:shd w:val="clear" w:color="auto" w:fill="FFFFFF"/>
        <w:spacing w:after="0" w:line="240" w:lineRule="auto"/>
        <w:jc w:val="both"/>
        <w:rPr>
          <w:rFonts w:ascii="Times New Roman" w:hAnsi="Times New Roman"/>
          <w:color w:val="000000" w:themeColor="text1"/>
          <w:sz w:val="16"/>
          <w:szCs w:val="16"/>
        </w:rPr>
      </w:pPr>
    </w:p>
    <w:p w14:paraId="4913EB6B" w14:textId="77777777" w:rsidR="00F00059" w:rsidRPr="00441F34" w:rsidRDefault="00F00059" w:rsidP="00F0005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16 октября 1929 на заводе № 25 состоялось совещание «по вопросу о размещении осветительного оборудования на самолете ТБ2-2М17». При этом даже в начале марта три</w:t>
      </w:r>
      <w:r w:rsidRPr="00441F34">
        <w:rPr>
          <w:rFonts w:ascii="Times New Roman" w:hAnsi="Times New Roman"/>
          <w:color w:val="0070C0"/>
          <w:sz w:val="16"/>
          <w:szCs w:val="16"/>
        </w:rPr>
        <w:softHyphen/>
        <w:t>дцатого года военные не могли определиться, какую из двух предложенных заводом № 25 схем электрооборудования выбрать (23344).</w:t>
      </w:r>
    </w:p>
    <w:p w14:paraId="1C3B3533" w14:textId="77777777" w:rsidR="00F00059" w:rsidRPr="00441F34" w:rsidRDefault="00F00059" w:rsidP="00F00059">
      <w:pPr>
        <w:spacing w:after="0" w:line="240" w:lineRule="auto"/>
        <w:jc w:val="both"/>
        <w:rPr>
          <w:rFonts w:ascii="Times New Roman" w:hAnsi="Times New Roman"/>
          <w:color w:val="0070C0"/>
          <w:sz w:val="16"/>
          <w:szCs w:val="16"/>
        </w:rPr>
      </w:pPr>
    </w:p>
    <w:p w14:paraId="5AE58D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октября 1929 вышло постановление РЗ СТО по 5 летнему плану развития авиапромышленности (2367) </w:t>
      </w:r>
      <w:proofErr w:type="spellStart"/>
      <w:r w:rsidRPr="00A259BD">
        <w:rPr>
          <w:rFonts w:ascii="Times New Roman" w:hAnsi="Times New Roman"/>
          <w:color w:val="000000" w:themeColor="text1"/>
          <w:sz w:val="16"/>
          <w:szCs w:val="16"/>
        </w:rPr>
        <w:t>прот</w:t>
      </w:r>
      <w:proofErr w:type="spellEnd"/>
      <w:r w:rsidRPr="00A259BD">
        <w:rPr>
          <w:rFonts w:ascii="Times New Roman" w:hAnsi="Times New Roman"/>
          <w:color w:val="000000" w:themeColor="text1"/>
          <w:sz w:val="16"/>
          <w:szCs w:val="16"/>
        </w:rPr>
        <w:t>. N 41 (3863).</w:t>
      </w:r>
    </w:p>
    <w:p w14:paraId="336307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931BF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октября 1929 был рассмотрен и утвержден "оптимальный" вариант пятилетнего плана для авиапромышленности - достаточно высокие темпы. Сначала хотели освоить 115 млн. КВ, затем увеличили до 159, затем - до 642. реально удалось - 426 к 1 января 1933 (80,419).</w:t>
      </w:r>
    </w:p>
    <w:p w14:paraId="04846C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 РЗ СТО (1026,26).</w:t>
      </w:r>
    </w:p>
    <w:p w14:paraId="674147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583DEB" w14:textId="77777777" w:rsidR="00E6155B" w:rsidRPr="00A259BD" w:rsidRDefault="00E6155B"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16 октября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РЗ СТО СССР о мероприятиях по развитию авиапромышленности в течение 1929/30?1932/33 гг. (ГА РФ. Ф. Р?8418. Оп. 28; РГАЭ. Ф. 4372. Оп. 91. Д. 385. Л. 9?7) (12415).</w:t>
      </w:r>
    </w:p>
    <w:p w14:paraId="2A4C3305" w14:textId="77777777" w:rsidR="00E6155B" w:rsidRPr="00A259BD" w:rsidRDefault="00E6155B" w:rsidP="009236E3">
      <w:pPr>
        <w:spacing w:after="0" w:line="240" w:lineRule="auto"/>
        <w:jc w:val="both"/>
        <w:rPr>
          <w:rFonts w:ascii="Times New Roman" w:hAnsi="Times New Roman"/>
          <w:color w:val="000000" w:themeColor="text1"/>
          <w:sz w:val="16"/>
          <w:szCs w:val="16"/>
          <w:u w:color="002060"/>
        </w:rPr>
      </w:pPr>
    </w:p>
    <w:p w14:paraId="484E07B4" w14:textId="77777777" w:rsidR="004744A5" w:rsidRPr="00A259BD" w:rsidRDefault="004744A5" w:rsidP="009236E3">
      <w:pPr>
        <w:pStyle w:val="rtejustify"/>
        <w:spacing w:before="0" w:after="0"/>
        <w:rPr>
          <w:color w:val="000000" w:themeColor="text1"/>
          <w:sz w:val="16"/>
          <w:szCs w:val="16"/>
        </w:rPr>
      </w:pPr>
      <w:r w:rsidRPr="00A259BD">
        <w:rPr>
          <w:rStyle w:val="af0"/>
          <w:i w:val="0"/>
          <w:color w:val="000000" w:themeColor="text1"/>
          <w:sz w:val="16"/>
          <w:szCs w:val="16"/>
        </w:rPr>
        <w:t>16 октября 1929 </w:t>
      </w:r>
      <w:proofErr w:type="spellStart"/>
      <w:r w:rsidRPr="00A259BD">
        <w:rPr>
          <w:rStyle w:val="af0"/>
          <w:i w:val="0"/>
          <w:color w:val="000000" w:themeColor="text1"/>
          <w:sz w:val="16"/>
          <w:szCs w:val="16"/>
        </w:rPr>
        <w:t>г.Постановление</w:t>
      </w:r>
      <w:proofErr w:type="spellEnd"/>
      <w:r w:rsidRPr="00A259BD">
        <w:rPr>
          <w:rStyle w:val="af0"/>
          <w:i w:val="0"/>
          <w:color w:val="000000" w:themeColor="text1"/>
          <w:sz w:val="16"/>
          <w:szCs w:val="16"/>
        </w:rPr>
        <w:t xml:space="preserve"> РЗ СТО СССР «О мероприятиях по развитию авиапромышленности в течение 1929/30</w:t>
      </w:r>
      <w:r w:rsidRPr="00A259BD">
        <w:rPr>
          <w:rStyle w:val="af0"/>
          <w:i w:val="0"/>
          <w:color w:val="000000" w:themeColor="text1"/>
          <w:sz w:val="16"/>
          <w:szCs w:val="16"/>
        </w:rPr>
        <w:noBreakHyphen/>
        <w:t xml:space="preserve">1932/33 г.» </w:t>
      </w:r>
      <w:r w:rsidRPr="00A259BD">
        <w:rPr>
          <w:color w:val="000000" w:themeColor="text1"/>
          <w:sz w:val="16"/>
          <w:szCs w:val="16"/>
        </w:rPr>
        <w:t xml:space="preserve">установило минимальную потребность воздушного флота СССР в самолетах и моторах на год ведения войны (для ВВС РККА и гражданской авиации). Решено было приступить в 1929/30 г. к постройке: завода «А» по производству разведывательных и истребительных аппаратов деревянной и смешанной конструкции, завода «Б» по производству легких и тяжелых бомбардировщиков и штурмовиков металлической конструкции. Мощность указанных предприятий к началу 1931/32 г. должна была достигнуть по заводу </w:t>
      </w:r>
      <w:r w:rsidRPr="00A259BD">
        <w:rPr>
          <w:rStyle w:val="af0"/>
          <w:i w:val="0"/>
          <w:color w:val="000000" w:themeColor="text1"/>
          <w:sz w:val="16"/>
          <w:szCs w:val="16"/>
        </w:rPr>
        <w:t>«А» —</w:t>
      </w:r>
      <w:r w:rsidRPr="00A259BD">
        <w:rPr>
          <w:color w:val="000000" w:themeColor="text1"/>
          <w:sz w:val="16"/>
          <w:szCs w:val="16"/>
        </w:rPr>
        <w:t xml:space="preserve"> до 860 и по заводу «Б» — до 196 самолетов в год. Мощность существующих самолетов планировалось увеличить до норм, полностью обеспечивающих потребности воздушного флота СССР, завод «</w:t>
      </w:r>
      <w:proofErr w:type="spellStart"/>
      <w:r w:rsidRPr="00A259BD">
        <w:rPr>
          <w:color w:val="000000" w:themeColor="text1"/>
          <w:sz w:val="16"/>
          <w:szCs w:val="16"/>
        </w:rPr>
        <w:t>Укрвоздухпуть</w:t>
      </w:r>
      <w:proofErr w:type="spellEnd"/>
      <w:r w:rsidRPr="00A259BD">
        <w:rPr>
          <w:color w:val="000000" w:themeColor="text1"/>
          <w:sz w:val="16"/>
          <w:szCs w:val="16"/>
        </w:rPr>
        <w:t xml:space="preserve">» решено было передать </w:t>
      </w:r>
      <w:proofErr w:type="spellStart"/>
      <w:r w:rsidRPr="00A259BD">
        <w:rPr>
          <w:color w:val="000000" w:themeColor="text1"/>
          <w:sz w:val="16"/>
          <w:szCs w:val="16"/>
        </w:rPr>
        <w:t>Авиатресту</w:t>
      </w:r>
      <w:proofErr w:type="spellEnd"/>
      <w:r w:rsidRPr="00A259BD">
        <w:rPr>
          <w:color w:val="000000" w:themeColor="text1"/>
          <w:sz w:val="16"/>
          <w:szCs w:val="16"/>
        </w:rPr>
        <w:t>. В отношении моторостроения решено сосредоточить производство вспомогательных механизмов и деталей моторов к 1931/32 г. на новом заводе, выделив их производство из серийных заводов. Производство самолетов в 1929/30 г. предполагалось в количестве 4106, в 1930/31 — 4489, в 1931/32 г. — 4892, в 1932/33 г. — 7098; моторов в 1929/30 г. — 4663, 1930/31 г. — 5330, в 1931/32 г. — 6224, в 1932/33 г. — 9297 (12489).</w:t>
      </w:r>
    </w:p>
    <w:p w14:paraId="748A69C4" w14:textId="77777777" w:rsidR="00DC0163" w:rsidRPr="00A259BD" w:rsidRDefault="00DC0163" w:rsidP="009236E3">
      <w:pPr>
        <w:pStyle w:val="rtejustify"/>
        <w:spacing w:before="0" w:after="0"/>
        <w:rPr>
          <w:rStyle w:val="af0"/>
          <w:i w:val="0"/>
          <w:color w:val="000000" w:themeColor="text1"/>
          <w:sz w:val="16"/>
          <w:szCs w:val="16"/>
        </w:rPr>
      </w:pPr>
    </w:p>
    <w:p w14:paraId="7D087B30" w14:textId="77777777" w:rsidR="004744A5" w:rsidRPr="00A259BD" w:rsidRDefault="004744A5" w:rsidP="009236E3">
      <w:pPr>
        <w:pStyle w:val="rtejustify"/>
        <w:spacing w:before="0" w:after="0"/>
        <w:rPr>
          <w:color w:val="000000" w:themeColor="text1"/>
          <w:sz w:val="16"/>
          <w:szCs w:val="16"/>
        </w:rPr>
      </w:pPr>
      <w:r w:rsidRPr="00A259BD">
        <w:rPr>
          <w:rStyle w:val="af0"/>
          <w:i w:val="0"/>
          <w:color w:val="000000" w:themeColor="text1"/>
          <w:sz w:val="16"/>
          <w:szCs w:val="16"/>
        </w:rPr>
        <w:t>16 октября 1929 </w:t>
      </w:r>
      <w:proofErr w:type="spellStart"/>
      <w:r w:rsidRPr="00A259BD">
        <w:rPr>
          <w:rStyle w:val="af0"/>
          <w:i w:val="0"/>
          <w:color w:val="000000" w:themeColor="text1"/>
          <w:sz w:val="16"/>
          <w:szCs w:val="16"/>
        </w:rPr>
        <w:t>г.Постановление</w:t>
      </w:r>
      <w:proofErr w:type="spellEnd"/>
      <w:r w:rsidRPr="00A259BD">
        <w:rPr>
          <w:rStyle w:val="af0"/>
          <w:i w:val="0"/>
          <w:color w:val="000000" w:themeColor="text1"/>
          <w:sz w:val="16"/>
          <w:szCs w:val="16"/>
        </w:rPr>
        <w:t xml:space="preserve"> РЗ СТО СССР «О мероприятиях по развитию авиапромышленности в течение 1929/30 г.-1932/33 г.» </w:t>
      </w:r>
      <w:r w:rsidRPr="00A259BD">
        <w:rPr>
          <w:color w:val="000000" w:themeColor="text1"/>
          <w:sz w:val="16"/>
          <w:szCs w:val="16"/>
        </w:rPr>
        <w:t>предусматривало увеличение мощности существующих самолетов до норм, полностью обеспечивающих потребности воздушного флота СССР. К 1931/32 г. также предполагалось сосредоточить производство вспомогательных механизмов и деталей моторов на новом заводе, выделив производство моторов из серийных заводов.</w:t>
      </w:r>
    </w:p>
    <w:p w14:paraId="496ACB5C" w14:textId="77777777" w:rsidR="004744A5" w:rsidRPr="00A259BD" w:rsidRDefault="004744A5" w:rsidP="009236E3">
      <w:pPr>
        <w:pStyle w:val="rtejustify"/>
        <w:spacing w:before="0" w:after="0"/>
        <w:rPr>
          <w:color w:val="000000" w:themeColor="text1"/>
          <w:sz w:val="16"/>
          <w:szCs w:val="16"/>
        </w:rPr>
      </w:pPr>
      <w:r w:rsidRPr="00A259BD">
        <w:rPr>
          <w:rStyle w:val="af0"/>
          <w:i w:val="0"/>
          <w:color w:val="000000" w:themeColor="text1"/>
          <w:sz w:val="16"/>
          <w:szCs w:val="16"/>
        </w:rPr>
        <w:t>Постановление РЗ СТО СССР «О мероприятиях по развитию авиапромышленности в течение 1929/30-1932/33 г.» от 16 октября 1929 г.</w:t>
      </w:r>
      <w:r w:rsidRPr="00A259BD">
        <w:rPr>
          <w:color w:val="000000" w:themeColor="text1"/>
          <w:sz w:val="16"/>
          <w:szCs w:val="16"/>
        </w:rPr>
        <w:t xml:space="preserve"> установило минимальную потребность воздушного флота СССР в самолетах и моторах на год ведения войны (для ВВС РККА и гражданской авиации). Решено было приступить в 1929/30 г. к постройке: завода «А» по производству разведывательных и истребительных аппаратов деревянной и смешанной конструкции, завода «Б» по производству легких и тяжелых бомбардировщиков и штурмовиков металлической конструкции. Мощность указанных предприятий к началу 1931/32 г. должна была достигнуть по заводу </w:t>
      </w:r>
      <w:r w:rsidRPr="00A259BD">
        <w:rPr>
          <w:rStyle w:val="af0"/>
          <w:i w:val="0"/>
          <w:color w:val="000000" w:themeColor="text1"/>
          <w:sz w:val="16"/>
          <w:szCs w:val="16"/>
        </w:rPr>
        <w:t>«А» —</w:t>
      </w:r>
      <w:r w:rsidRPr="00A259BD">
        <w:rPr>
          <w:color w:val="000000" w:themeColor="text1"/>
          <w:sz w:val="16"/>
          <w:szCs w:val="16"/>
        </w:rPr>
        <w:t xml:space="preserve"> до 860 и по заводу «Б» — до 196 самолетов в год. Мощность существующих самолетов планировалось увеличить до норм, полностью обеспечивающих потребности воздушного флота СССР, завод «</w:t>
      </w:r>
      <w:proofErr w:type="spellStart"/>
      <w:r w:rsidRPr="00A259BD">
        <w:rPr>
          <w:color w:val="000000" w:themeColor="text1"/>
          <w:sz w:val="16"/>
          <w:szCs w:val="16"/>
        </w:rPr>
        <w:t>Укрвоздухпуть</w:t>
      </w:r>
      <w:proofErr w:type="spellEnd"/>
      <w:r w:rsidRPr="00A259BD">
        <w:rPr>
          <w:color w:val="000000" w:themeColor="text1"/>
          <w:sz w:val="16"/>
          <w:szCs w:val="16"/>
        </w:rPr>
        <w:t xml:space="preserve">» решено было передать </w:t>
      </w:r>
      <w:proofErr w:type="spellStart"/>
      <w:r w:rsidRPr="00A259BD">
        <w:rPr>
          <w:color w:val="000000" w:themeColor="text1"/>
          <w:sz w:val="16"/>
          <w:szCs w:val="16"/>
        </w:rPr>
        <w:t>Авиатресту</w:t>
      </w:r>
      <w:proofErr w:type="spellEnd"/>
      <w:r w:rsidRPr="00A259BD">
        <w:rPr>
          <w:color w:val="000000" w:themeColor="text1"/>
          <w:sz w:val="16"/>
          <w:szCs w:val="16"/>
        </w:rPr>
        <w:t>. В отношении моторостроения решено сосредоточить производство вспомогательных механизмов и деталей моторов к 1931/32 г. на новом заводе, выделив их производство из серийных заводов. Производство самолетов в 1929/30 г. предполагалось в количестве 4106, в 1930/31 — 4489, в 1931/32 г. — 4892, в 1932/33 г. — 7098; моторов в 1929/30 г. — 4663, 1930/31 г. — 5330, в 1931/32 г. — 6224, в 1932/33 г. — 9297 (12496).</w:t>
      </w:r>
    </w:p>
    <w:p w14:paraId="21086A0E" w14:textId="77777777" w:rsidR="004744A5" w:rsidRPr="00A259BD" w:rsidRDefault="004744A5" w:rsidP="009236E3">
      <w:pPr>
        <w:pStyle w:val="rtejustify"/>
        <w:spacing w:before="0" w:after="0"/>
        <w:rPr>
          <w:color w:val="000000" w:themeColor="text1"/>
          <w:sz w:val="16"/>
          <w:szCs w:val="16"/>
        </w:rPr>
      </w:pPr>
    </w:p>
    <w:p w14:paraId="5AD968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октября 1929 года за N 415 вышло Постановление распорядительного заседания (Пр. РЗ СТО № 41) СТО О мероприятиях по развитию авиапромышленности в течении 1929-30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w:t>
      </w:r>
    </w:p>
    <w:p w14:paraId="618D2F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СТО постановляет:</w:t>
      </w:r>
    </w:p>
    <w:p w14:paraId="00551400"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Минимальную потребность воздушного флота СССР в самолетах и моторах на год ведения войны установить в размере:</w:t>
      </w:r>
    </w:p>
    <w:p w14:paraId="5AECFA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2126"/>
        <w:gridCol w:w="1843"/>
      </w:tblGrid>
      <w:tr w:rsidR="00A259BD" w:rsidRPr="00A259BD" w14:paraId="2A364FC5" w14:textId="77777777">
        <w:trPr>
          <w:cantSplit/>
        </w:trPr>
        <w:tc>
          <w:tcPr>
            <w:tcW w:w="1809" w:type="dxa"/>
          </w:tcPr>
          <w:p w14:paraId="505D4F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6B82F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ВВС</w:t>
            </w:r>
          </w:p>
        </w:tc>
        <w:tc>
          <w:tcPr>
            <w:tcW w:w="2126" w:type="dxa"/>
          </w:tcPr>
          <w:p w14:paraId="02F911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Гражданская авиация</w:t>
            </w:r>
          </w:p>
        </w:tc>
        <w:tc>
          <w:tcPr>
            <w:tcW w:w="1843" w:type="dxa"/>
          </w:tcPr>
          <w:p w14:paraId="2810DE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r>
      <w:tr w:rsidR="00A259BD" w:rsidRPr="00A259BD" w14:paraId="344A31B2" w14:textId="77777777">
        <w:trPr>
          <w:cantSplit/>
        </w:trPr>
        <w:tc>
          <w:tcPr>
            <w:tcW w:w="1809" w:type="dxa"/>
          </w:tcPr>
          <w:p w14:paraId="009EF7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год</w:t>
            </w:r>
          </w:p>
        </w:tc>
        <w:tc>
          <w:tcPr>
            <w:tcW w:w="1843" w:type="dxa"/>
          </w:tcPr>
          <w:p w14:paraId="6D957F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3980</w:t>
            </w:r>
          </w:p>
        </w:tc>
        <w:tc>
          <w:tcPr>
            <w:tcW w:w="2126" w:type="dxa"/>
          </w:tcPr>
          <w:p w14:paraId="1B43F1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126</w:t>
            </w:r>
          </w:p>
        </w:tc>
        <w:tc>
          <w:tcPr>
            <w:tcW w:w="1843" w:type="dxa"/>
          </w:tcPr>
          <w:p w14:paraId="188EAB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4106</w:t>
            </w:r>
          </w:p>
        </w:tc>
      </w:tr>
      <w:tr w:rsidR="00A259BD" w:rsidRPr="00A259BD" w14:paraId="7FDF1C78" w14:textId="77777777">
        <w:trPr>
          <w:cantSplit/>
        </w:trPr>
        <w:tc>
          <w:tcPr>
            <w:tcW w:w="1809" w:type="dxa"/>
          </w:tcPr>
          <w:p w14:paraId="1D614A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 год</w:t>
            </w:r>
          </w:p>
        </w:tc>
        <w:tc>
          <w:tcPr>
            <w:tcW w:w="1843" w:type="dxa"/>
          </w:tcPr>
          <w:p w14:paraId="387A1C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4350</w:t>
            </w:r>
          </w:p>
        </w:tc>
        <w:tc>
          <w:tcPr>
            <w:tcW w:w="2126" w:type="dxa"/>
          </w:tcPr>
          <w:p w14:paraId="3FAF8B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139</w:t>
            </w:r>
          </w:p>
        </w:tc>
        <w:tc>
          <w:tcPr>
            <w:tcW w:w="1843" w:type="dxa"/>
          </w:tcPr>
          <w:p w14:paraId="4C76AD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4489</w:t>
            </w:r>
          </w:p>
        </w:tc>
      </w:tr>
      <w:tr w:rsidR="00A259BD" w:rsidRPr="00A259BD" w14:paraId="39337291" w14:textId="77777777">
        <w:trPr>
          <w:cantSplit/>
        </w:trPr>
        <w:tc>
          <w:tcPr>
            <w:tcW w:w="1809" w:type="dxa"/>
          </w:tcPr>
          <w:p w14:paraId="2D5428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 год</w:t>
            </w:r>
          </w:p>
        </w:tc>
        <w:tc>
          <w:tcPr>
            <w:tcW w:w="1843" w:type="dxa"/>
          </w:tcPr>
          <w:p w14:paraId="10A16D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4710</w:t>
            </w:r>
          </w:p>
        </w:tc>
        <w:tc>
          <w:tcPr>
            <w:tcW w:w="2126" w:type="dxa"/>
          </w:tcPr>
          <w:p w14:paraId="1BF721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182</w:t>
            </w:r>
          </w:p>
        </w:tc>
        <w:tc>
          <w:tcPr>
            <w:tcW w:w="1843" w:type="dxa"/>
          </w:tcPr>
          <w:p w14:paraId="72BC34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4892</w:t>
            </w:r>
          </w:p>
        </w:tc>
      </w:tr>
      <w:tr w:rsidR="00A259BD" w:rsidRPr="00A259BD" w14:paraId="05551391" w14:textId="77777777">
        <w:trPr>
          <w:cantSplit/>
        </w:trPr>
        <w:tc>
          <w:tcPr>
            <w:tcW w:w="1809" w:type="dxa"/>
          </w:tcPr>
          <w:p w14:paraId="05BEF7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год</w:t>
            </w:r>
          </w:p>
        </w:tc>
        <w:tc>
          <w:tcPr>
            <w:tcW w:w="1843" w:type="dxa"/>
          </w:tcPr>
          <w:p w14:paraId="0A176C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6865</w:t>
            </w:r>
          </w:p>
        </w:tc>
        <w:tc>
          <w:tcPr>
            <w:tcW w:w="2126" w:type="dxa"/>
          </w:tcPr>
          <w:p w14:paraId="3FAC79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233</w:t>
            </w:r>
          </w:p>
        </w:tc>
        <w:tc>
          <w:tcPr>
            <w:tcW w:w="1843" w:type="dxa"/>
          </w:tcPr>
          <w:p w14:paraId="56BBFF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7098</w:t>
            </w:r>
          </w:p>
        </w:tc>
      </w:tr>
    </w:tbl>
    <w:p w14:paraId="2BDC62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2126"/>
        <w:gridCol w:w="1843"/>
      </w:tblGrid>
      <w:tr w:rsidR="00A259BD" w:rsidRPr="00A259BD" w14:paraId="2DE2365D" w14:textId="77777777">
        <w:trPr>
          <w:cantSplit/>
        </w:trPr>
        <w:tc>
          <w:tcPr>
            <w:tcW w:w="1809" w:type="dxa"/>
          </w:tcPr>
          <w:p w14:paraId="40BE13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7063D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ВВС</w:t>
            </w:r>
          </w:p>
        </w:tc>
        <w:tc>
          <w:tcPr>
            <w:tcW w:w="2126" w:type="dxa"/>
          </w:tcPr>
          <w:p w14:paraId="258271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Гражданская авиация</w:t>
            </w:r>
          </w:p>
        </w:tc>
        <w:tc>
          <w:tcPr>
            <w:tcW w:w="1843" w:type="dxa"/>
          </w:tcPr>
          <w:p w14:paraId="184F1B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r>
      <w:tr w:rsidR="00A259BD" w:rsidRPr="00A259BD" w14:paraId="57E578EE" w14:textId="77777777">
        <w:trPr>
          <w:cantSplit/>
        </w:trPr>
        <w:tc>
          <w:tcPr>
            <w:tcW w:w="1809" w:type="dxa"/>
          </w:tcPr>
          <w:p w14:paraId="5A4C64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год</w:t>
            </w:r>
          </w:p>
        </w:tc>
        <w:tc>
          <w:tcPr>
            <w:tcW w:w="1843" w:type="dxa"/>
          </w:tcPr>
          <w:p w14:paraId="3FC01B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4297</w:t>
            </w:r>
          </w:p>
        </w:tc>
        <w:tc>
          <w:tcPr>
            <w:tcW w:w="2126" w:type="dxa"/>
          </w:tcPr>
          <w:p w14:paraId="47F8E7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366</w:t>
            </w:r>
          </w:p>
        </w:tc>
        <w:tc>
          <w:tcPr>
            <w:tcW w:w="1843" w:type="dxa"/>
          </w:tcPr>
          <w:p w14:paraId="32E009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4663</w:t>
            </w:r>
          </w:p>
        </w:tc>
      </w:tr>
      <w:tr w:rsidR="00A259BD" w:rsidRPr="00A259BD" w14:paraId="7857C742" w14:textId="77777777">
        <w:trPr>
          <w:cantSplit/>
        </w:trPr>
        <w:tc>
          <w:tcPr>
            <w:tcW w:w="1809" w:type="dxa"/>
          </w:tcPr>
          <w:p w14:paraId="195D32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 год</w:t>
            </w:r>
          </w:p>
        </w:tc>
        <w:tc>
          <w:tcPr>
            <w:tcW w:w="1843" w:type="dxa"/>
          </w:tcPr>
          <w:p w14:paraId="2771E0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4848</w:t>
            </w:r>
          </w:p>
        </w:tc>
        <w:tc>
          <w:tcPr>
            <w:tcW w:w="2126" w:type="dxa"/>
          </w:tcPr>
          <w:p w14:paraId="56CBB5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482</w:t>
            </w:r>
          </w:p>
        </w:tc>
        <w:tc>
          <w:tcPr>
            <w:tcW w:w="1843" w:type="dxa"/>
          </w:tcPr>
          <w:p w14:paraId="5FFFED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5330</w:t>
            </w:r>
          </w:p>
        </w:tc>
      </w:tr>
      <w:tr w:rsidR="00A259BD" w:rsidRPr="00A259BD" w14:paraId="7B9E1D4C" w14:textId="77777777">
        <w:trPr>
          <w:cantSplit/>
        </w:trPr>
        <w:tc>
          <w:tcPr>
            <w:tcW w:w="1809" w:type="dxa"/>
          </w:tcPr>
          <w:p w14:paraId="5A841C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 год</w:t>
            </w:r>
          </w:p>
        </w:tc>
        <w:tc>
          <w:tcPr>
            <w:tcW w:w="1843" w:type="dxa"/>
          </w:tcPr>
          <w:p w14:paraId="193B8A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5500</w:t>
            </w:r>
          </w:p>
        </w:tc>
        <w:tc>
          <w:tcPr>
            <w:tcW w:w="2126" w:type="dxa"/>
          </w:tcPr>
          <w:p w14:paraId="1C33A7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724</w:t>
            </w:r>
          </w:p>
        </w:tc>
        <w:tc>
          <w:tcPr>
            <w:tcW w:w="1843" w:type="dxa"/>
          </w:tcPr>
          <w:p w14:paraId="04A9A7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6224</w:t>
            </w:r>
          </w:p>
        </w:tc>
      </w:tr>
      <w:tr w:rsidR="00A259BD" w:rsidRPr="00A259BD" w14:paraId="363A2B03" w14:textId="77777777">
        <w:trPr>
          <w:cantSplit/>
        </w:trPr>
        <w:tc>
          <w:tcPr>
            <w:tcW w:w="1809" w:type="dxa"/>
          </w:tcPr>
          <w:p w14:paraId="7BD6F9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год</w:t>
            </w:r>
          </w:p>
        </w:tc>
        <w:tc>
          <w:tcPr>
            <w:tcW w:w="1843" w:type="dxa"/>
          </w:tcPr>
          <w:p w14:paraId="0141A2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8010</w:t>
            </w:r>
          </w:p>
        </w:tc>
        <w:tc>
          <w:tcPr>
            <w:tcW w:w="2126" w:type="dxa"/>
          </w:tcPr>
          <w:p w14:paraId="4E05B8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1287</w:t>
            </w:r>
          </w:p>
        </w:tc>
        <w:tc>
          <w:tcPr>
            <w:tcW w:w="1843" w:type="dxa"/>
          </w:tcPr>
          <w:p w14:paraId="4C92C9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9297</w:t>
            </w:r>
          </w:p>
        </w:tc>
      </w:tr>
    </w:tbl>
    <w:p w14:paraId="7090E4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Типы и конструкции подлежащих изготовлению на заводах СССР самолетов и моторов в пределах указанных выше цифр, устанавливаются НКВМ по соглашению с ВСНХ, причем НКВМ предоставляется право принимать окончательные решения по этому вопросу.</w:t>
      </w:r>
    </w:p>
    <w:p w14:paraId="01A9A74B"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Для покрытия указанной минимальной потребности воздушного флота, признать необходимым провести следующие мероприятия:</w:t>
      </w:r>
    </w:p>
    <w:p w14:paraId="64839F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самолетостроения:</w:t>
      </w:r>
    </w:p>
    <w:p w14:paraId="287854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приступить в 1929-30 году к постройке следующих новых предприятий: завода "А" – по производству разведывательных и истребительных аппаратов деревянной и смешанной конструкции, завода "Б" – по производству легких и тяжелых бомбардировщиков и штурмовиков металлической конструкции; мощность указанных предприятий к началу 1931-32 года должна быть доведена: по заводу "А" – до 860 и по заводу "Б" – до 196 самолетов в год;</w:t>
      </w:r>
    </w:p>
    <w:p w14:paraId="2B42A4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увеличить мощность существующих заводов путем их расширения до норм (при работе в две смены), полностью обеспечивающих, вместе с продукцией новых заводов "А" и "Б", начиная с 1932-33 года указанные в п. 1-м настоящего постановления потребности воздушного флота СССР; это усиление производственных мощностей существующих заводов по отдельным годам должно дать следующие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701"/>
        <w:gridCol w:w="1701"/>
        <w:gridCol w:w="1842"/>
        <w:gridCol w:w="1985"/>
      </w:tblGrid>
      <w:tr w:rsidR="00A259BD" w:rsidRPr="00A259BD" w14:paraId="79E32281" w14:textId="77777777">
        <w:tc>
          <w:tcPr>
            <w:tcW w:w="1668" w:type="dxa"/>
          </w:tcPr>
          <w:p w14:paraId="36B863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701" w:type="dxa"/>
          </w:tcPr>
          <w:p w14:paraId="5AC82D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w:t>
            </w:r>
          </w:p>
        </w:tc>
        <w:tc>
          <w:tcPr>
            <w:tcW w:w="1701" w:type="dxa"/>
          </w:tcPr>
          <w:p w14:paraId="4C7C6A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w:t>
            </w:r>
          </w:p>
        </w:tc>
        <w:tc>
          <w:tcPr>
            <w:tcW w:w="1842" w:type="dxa"/>
          </w:tcPr>
          <w:p w14:paraId="5C024B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w:t>
            </w:r>
          </w:p>
        </w:tc>
        <w:tc>
          <w:tcPr>
            <w:tcW w:w="1985" w:type="dxa"/>
          </w:tcPr>
          <w:p w14:paraId="5F19BF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w:t>
            </w:r>
          </w:p>
        </w:tc>
      </w:tr>
      <w:tr w:rsidR="00A259BD" w:rsidRPr="00A259BD" w14:paraId="39ED00B2" w14:textId="77777777">
        <w:tc>
          <w:tcPr>
            <w:tcW w:w="1668" w:type="dxa"/>
          </w:tcPr>
          <w:p w14:paraId="19AFB4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w:t>
            </w:r>
          </w:p>
        </w:tc>
        <w:tc>
          <w:tcPr>
            <w:tcW w:w="1701" w:type="dxa"/>
          </w:tcPr>
          <w:p w14:paraId="049F68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910</w:t>
            </w:r>
          </w:p>
        </w:tc>
        <w:tc>
          <w:tcPr>
            <w:tcW w:w="1701" w:type="dxa"/>
          </w:tcPr>
          <w:p w14:paraId="726A8E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1610</w:t>
            </w:r>
          </w:p>
        </w:tc>
        <w:tc>
          <w:tcPr>
            <w:tcW w:w="1842" w:type="dxa"/>
          </w:tcPr>
          <w:p w14:paraId="7CEFA6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2047</w:t>
            </w:r>
          </w:p>
        </w:tc>
        <w:tc>
          <w:tcPr>
            <w:tcW w:w="1985" w:type="dxa"/>
          </w:tcPr>
          <w:p w14:paraId="10D797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2300</w:t>
            </w:r>
          </w:p>
        </w:tc>
      </w:tr>
      <w:tr w:rsidR="00A259BD" w:rsidRPr="00A259BD" w14:paraId="5CF0B377" w14:textId="77777777">
        <w:tc>
          <w:tcPr>
            <w:tcW w:w="1668" w:type="dxa"/>
          </w:tcPr>
          <w:p w14:paraId="544088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22</w:t>
            </w:r>
          </w:p>
        </w:tc>
        <w:tc>
          <w:tcPr>
            <w:tcW w:w="1701" w:type="dxa"/>
          </w:tcPr>
          <w:p w14:paraId="4AB131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329</w:t>
            </w:r>
          </w:p>
        </w:tc>
        <w:tc>
          <w:tcPr>
            <w:tcW w:w="1701" w:type="dxa"/>
          </w:tcPr>
          <w:p w14:paraId="0AD114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w:t>
            </w:r>
          </w:p>
        </w:tc>
        <w:tc>
          <w:tcPr>
            <w:tcW w:w="1842" w:type="dxa"/>
          </w:tcPr>
          <w:p w14:paraId="121A38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650</w:t>
            </w:r>
          </w:p>
        </w:tc>
        <w:tc>
          <w:tcPr>
            <w:tcW w:w="1985" w:type="dxa"/>
          </w:tcPr>
          <w:p w14:paraId="12F1AF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709</w:t>
            </w:r>
          </w:p>
        </w:tc>
      </w:tr>
      <w:tr w:rsidR="00A259BD" w:rsidRPr="00A259BD" w14:paraId="7840B2CE" w14:textId="77777777">
        <w:tc>
          <w:tcPr>
            <w:tcW w:w="1668" w:type="dxa"/>
          </w:tcPr>
          <w:p w14:paraId="1921BE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23</w:t>
            </w:r>
          </w:p>
        </w:tc>
        <w:tc>
          <w:tcPr>
            <w:tcW w:w="1701" w:type="dxa"/>
          </w:tcPr>
          <w:p w14:paraId="3E8634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437</w:t>
            </w:r>
          </w:p>
        </w:tc>
        <w:tc>
          <w:tcPr>
            <w:tcW w:w="1701" w:type="dxa"/>
          </w:tcPr>
          <w:p w14:paraId="3D940D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573</w:t>
            </w:r>
          </w:p>
        </w:tc>
        <w:tc>
          <w:tcPr>
            <w:tcW w:w="1842" w:type="dxa"/>
          </w:tcPr>
          <w:p w14:paraId="73CF5F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574</w:t>
            </w:r>
          </w:p>
        </w:tc>
        <w:tc>
          <w:tcPr>
            <w:tcW w:w="1985" w:type="dxa"/>
          </w:tcPr>
          <w:p w14:paraId="759535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586</w:t>
            </w:r>
          </w:p>
        </w:tc>
      </w:tr>
      <w:tr w:rsidR="00A259BD" w:rsidRPr="00A259BD" w14:paraId="3D598544" w14:textId="77777777">
        <w:tc>
          <w:tcPr>
            <w:tcW w:w="1668" w:type="dxa"/>
          </w:tcPr>
          <w:p w14:paraId="651880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31</w:t>
            </w:r>
          </w:p>
        </w:tc>
        <w:tc>
          <w:tcPr>
            <w:tcW w:w="1701" w:type="dxa"/>
          </w:tcPr>
          <w:p w14:paraId="7800A5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710</w:t>
            </w:r>
          </w:p>
        </w:tc>
        <w:tc>
          <w:tcPr>
            <w:tcW w:w="1701" w:type="dxa"/>
          </w:tcPr>
          <w:p w14:paraId="4BD56C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246</w:t>
            </w:r>
          </w:p>
        </w:tc>
        <w:tc>
          <w:tcPr>
            <w:tcW w:w="1842" w:type="dxa"/>
          </w:tcPr>
          <w:p w14:paraId="55A7CB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356</w:t>
            </w:r>
          </w:p>
        </w:tc>
        <w:tc>
          <w:tcPr>
            <w:tcW w:w="1985" w:type="dxa"/>
          </w:tcPr>
          <w:p w14:paraId="212FAF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550</w:t>
            </w:r>
          </w:p>
        </w:tc>
      </w:tr>
      <w:tr w:rsidR="00A259BD" w:rsidRPr="00A259BD" w14:paraId="6E1D0B98" w14:textId="77777777">
        <w:tc>
          <w:tcPr>
            <w:tcW w:w="1668" w:type="dxa"/>
          </w:tcPr>
          <w:p w14:paraId="2E5A5B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Укрвоздухпуть</w:t>
            </w:r>
            <w:proofErr w:type="spellEnd"/>
          </w:p>
        </w:tc>
        <w:tc>
          <w:tcPr>
            <w:tcW w:w="1701" w:type="dxa"/>
          </w:tcPr>
          <w:p w14:paraId="5B7995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87</w:t>
            </w:r>
          </w:p>
        </w:tc>
        <w:tc>
          <w:tcPr>
            <w:tcW w:w="1701" w:type="dxa"/>
          </w:tcPr>
          <w:p w14:paraId="625775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124</w:t>
            </w:r>
          </w:p>
        </w:tc>
        <w:tc>
          <w:tcPr>
            <w:tcW w:w="1842" w:type="dxa"/>
          </w:tcPr>
          <w:p w14:paraId="5052ED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w:t>
            </w:r>
          </w:p>
        </w:tc>
        <w:tc>
          <w:tcPr>
            <w:tcW w:w="1985" w:type="dxa"/>
          </w:tcPr>
          <w:p w14:paraId="186ECF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232</w:t>
            </w:r>
          </w:p>
        </w:tc>
      </w:tr>
      <w:tr w:rsidR="00A259BD" w:rsidRPr="00A259BD" w14:paraId="37AE3FB3" w14:textId="77777777">
        <w:tc>
          <w:tcPr>
            <w:tcW w:w="1668" w:type="dxa"/>
          </w:tcPr>
          <w:p w14:paraId="6B52A8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w:t>
            </w:r>
          </w:p>
        </w:tc>
        <w:tc>
          <w:tcPr>
            <w:tcW w:w="1701" w:type="dxa"/>
          </w:tcPr>
          <w:p w14:paraId="5D2941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701" w:type="dxa"/>
          </w:tcPr>
          <w:p w14:paraId="12D144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842" w:type="dxa"/>
          </w:tcPr>
          <w:p w14:paraId="013C0F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860</w:t>
            </w:r>
          </w:p>
        </w:tc>
        <w:tc>
          <w:tcPr>
            <w:tcW w:w="1985" w:type="dxa"/>
          </w:tcPr>
          <w:p w14:paraId="78322B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2142</w:t>
            </w:r>
          </w:p>
        </w:tc>
      </w:tr>
      <w:tr w:rsidR="00A259BD" w:rsidRPr="00A259BD" w14:paraId="697F6D5A" w14:textId="77777777">
        <w:tc>
          <w:tcPr>
            <w:tcW w:w="1668" w:type="dxa"/>
          </w:tcPr>
          <w:p w14:paraId="32CE94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"Б"</w:t>
            </w:r>
          </w:p>
        </w:tc>
        <w:tc>
          <w:tcPr>
            <w:tcW w:w="1701" w:type="dxa"/>
          </w:tcPr>
          <w:p w14:paraId="3A2FC0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701" w:type="dxa"/>
          </w:tcPr>
          <w:p w14:paraId="5503B4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842" w:type="dxa"/>
          </w:tcPr>
          <w:p w14:paraId="0A4228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196</w:t>
            </w:r>
          </w:p>
        </w:tc>
        <w:tc>
          <w:tcPr>
            <w:tcW w:w="1985" w:type="dxa"/>
          </w:tcPr>
          <w:p w14:paraId="27119B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579</w:t>
            </w:r>
          </w:p>
        </w:tc>
      </w:tr>
      <w:tr w:rsidR="00A259BD" w:rsidRPr="00A259BD" w14:paraId="3080AF61" w14:textId="77777777">
        <w:tc>
          <w:tcPr>
            <w:tcW w:w="1668" w:type="dxa"/>
          </w:tcPr>
          <w:p w14:paraId="5892FF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1701" w:type="dxa"/>
          </w:tcPr>
          <w:p w14:paraId="1A5211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2473</w:t>
            </w:r>
          </w:p>
        </w:tc>
        <w:tc>
          <w:tcPr>
            <w:tcW w:w="1701" w:type="dxa"/>
          </w:tcPr>
          <w:p w14:paraId="5977CD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3003</w:t>
            </w:r>
          </w:p>
        </w:tc>
        <w:tc>
          <w:tcPr>
            <w:tcW w:w="1842" w:type="dxa"/>
          </w:tcPr>
          <w:p w14:paraId="641B1B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4875</w:t>
            </w:r>
          </w:p>
        </w:tc>
        <w:tc>
          <w:tcPr>
            <w:tcW w:w="1985" w:type="dxa"/>
          </w:tcPr>
          <w:p w14:paraId="7EF8F9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7098</w:t>
            </w:r>
          </w:p>
        </w:tc>
      </w:tr>
    </w:tbl>
    <w:p w14:paraId="53D4DC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передать завод </w:t>
      </w: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с сохранением конструкторской группы инженера Калинина в виде самостоятельного конструкторского бюро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по смешанным конструкциям;</w:t>
      </w:r>
    </w:p>
    <w:p w14:paraId="282B5A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освободить к 1931/32 году завод № 1 от производства установок авиационного вооружения (турелей, синхронизаторов и проч.), сосредоточив это производство на отдельном новом заводе, подлежащем постройке и оборудованию, исходя из расчета удовлетворить полностью потребности воздушного флота в этом отношении.</w:t>
      </w:r>
    </w:p>
    <w:p w14:paraId="22378B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этом заводе должно быть создано специальное конструкторское бюро и цех опытного производства по названным установкам.</w:t>
      </w:r>
    </w:p>
    <w:p w14:paraId="47E865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моторостроения:</w:t>
      </w:r>
    </w:p>
    <w:p w14:paraId="399895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закончить к 1931/32 году выделение производства вспомогательных механизмов и деталей моторов (карбюраторов, помп всех видов и назначений, поршневых колец, пружин, болтов и проч.) из основных серийных заводов и сосредоточить это производство на отдельном новом заводе, подлежащем постройке и оборудованию, с расчетом удовлетворить полностью потребности воздушного флота в этих предметах;</w:t>
      </w:r>
    </w:p>
    <w:p w14:paraId="2D9AA4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20B71C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развернуть существующие заводы и построить один новый завод с целью довести производство авиамоторов до следующих норм (при работе их в две смены):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701"/>
        <w:gridCol w:w="1701"/>
        <w:gridCol w:w="1842"/>
        <w:gridCol w:w="1985"/>
      </w:tblGrid>
      <w:tr w:rsidR="00A259BD" w:rsidRPr="00A259BD" w14:paraId="209F8FBC" w14:textId="77777777">
        <w:tc>
          <w:tcPr>
            <w:tcW w:w="1668" w:type="dxa"/>
          </w:tcPr>
          <w:p w14:paraId="2BC592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701" w:type="dxa"/>
          </w:tcPr>
          <w:p w14:paraId="55A0CA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w:t>
            </w:r>
          </w:p>
        </w:tc>
        <w:tc>
          <w:tcPr>
            <w:tcW w:w="1701" w:type="dxa"/>
          </w:tcPr>
          <w:p w14:paraId="1495FC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w:t>
            </w:r>
          </w:p>
        </w:tc>
        <w:tc>
          <w:tcPr>
            <w:tcW w:w="1842" w:type="dxa"/>
          </w:tcPr>
          <w:p w14:paraId="590C62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w:t>
            </w:r>
          </w:p>
        </w:tc>
        <w:tc>
          <w:tcPr>
            <w:tcW w:w="1985" w:type="dxa"/>
          </w:tcPr>
          <w:p w14:paraId="4B3DE5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w:t>
            </w:r>
          </w:p>
        </w:tc>
      </w:tr>
      <w:tr w:rsidR="00A259BD" w:rsidRPr="00A259BD" w14:paraId="61D45292" w14:textId="77777777">
        <w:tc>
          <w:tcPr>
            <w:tcW w:w="1668" w:type="dxa"/>
          </w:tcPr>
          <w:p w14:paraId="2459D9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24</w:t>
            </w:r>
          </w:p>
        </w:tc>
        <w:tc>
          <w:tcPr>
            <w:tcW w:w="1701" w:type="dxa"/>
          </w:tcPr>
          <w:p w14:paraId="2608DB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1915</w:t>
            </w:r>
          </w:p>
        </w:tc>
        <w:tc>
          <w:tcPr>
            <w:tcW w:w="1701" w:type="dxa"/>
          </w:tcPr>
          <w:p w14:paraId="3CD283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2080</w:t>
            </w:r>
          </w:p>
        </w:tc>
        <w:tc>
          <w:tcPr>
            <w:tcW w:w="1842" w:type="dxa"/>
          </w:tcPr>
          <w:p w14:paraId="731CCC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1850</w:t>
            </w:r>
          </w:p>
        </w:tc>
        <w:tc>
          <w:tcPr>
            <w:tcW w:w="1985" w:type="dxa"/>
          </w:tcPr>
          <w:p w14:paraId="32E6F8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2385</w:t>
            </w:r>
          </w:p>
        </w:tc>
      </w:tr>
      <w:tr w:rsidR="00A259BD" w:rsidRPr="00A259BD" w14:paraId="2BFD096B" w14:textId="77777777">
        <w:tc>
          <w:tcPr>
            <w:tcW w:w="1668" w:type="dxa"/>
          </w:tcPr>
          <w:p w14:paraId="29708B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26</w:t>
            </w:r>
          </w:p>
        </w:tc>
        <w:tc>
          <w:tcPr>
            <w:tcW w:w="1701" w:type="dxa"/>
          </w:tcPr>
          <w:p w14:paraId="5DB791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1701" w:type="dxa"/>
          </w:tcPr>
          <w:p w14:paraId="66474A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875</w:t>
            </w:r>
          </w:p>
        </w:tc>
        <w:tc>
          <w:tcPr>
            <w:tcW w:w="1842" w:type="dxa"/>
          </w:tcPr>
          <w:p w14:paraId="57F45F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2300</w:t>
            </w:r>
          </w:p>
        </w:tc>
        <w:tc>
          <w:tcPr>
            <w:tcW w:w="1985" w:type="dxa"/>
          </w:tcPr>
          <w:p w14:paraId="54F73D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3350</w:t>
            </w:r>
          </w:p>
        </w:tc>
      </w:tr>
      <w:tr w:rsidR="00A259BD" w:rsidRPr="00A259BD" w14:paraId="4EF79803" w14:textId="77777777">
        <w:tc>
          <w:tcPr>
            <w:tcW w:w="1668" w:type="dxa"/>
          </w:tcPr>
          <w:p w14:paraId="255F20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29</w:t>
            </w:r>
          </w:p>
        </w:tc>
        <w:tc>
          <w:tcPr>
            <w:tcW w:w="1701" w:type="dxa"/>
          </w:tcPr>
          <w:p w14:paraId="4D7DAE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360</w:t>
            </w:r>
          </w:p>
        </w:tc>
        <w:tc>
          <w:tcPr>
            <w:tcW w:w="1701" w:type="dxa"/>
          </w:tcPr>
          <w:p w14:paraId="699E74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700</w:t>
            </w:r>
          </w:p>
        </w:tc>
        <w:tc>
          <w:tcPr>
            <w:tcW w:w="1842" w:type="dxa"/>
          </w:tcPr>
          <w:p w14:paraId="7EF0AF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1210</w:t>
            </w:r>
          </w:p>
        </w:tc>
        <w:tc>
          <w:tcPr>
            <w:tcW w:w="1985" w:type="dxa"/>
          </w:tcPr>
          <w:p w14:paraId="729165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1725</w:t>
            </w:r>
          </w:p>
        </w:tc>
      </w:tr>
      <w:tr w:rsidR="00A259BD" w:rsidRPr="00A259BD" w14:paraId="69E24DB0" w14:textId="77777777">
        <w:tc>
          <w:tcPr>
            <w:tcW w:w="1668" w:type="dxa"/>
          </w:tcPr>
          <w:p w14:paraId="0B8F7B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Новый</w:t>
            </w:r>
          </w:p>
        </w:tc>
        <w:tc>
          <w:tcPr>
            <w:tcW w:w="1701" w:type="dxa"/>
          </w:tcPr>
          <w:p w14:paraId="1A7001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701" w:type="dxa"/>
          </w:tcPr>
          <w:p w14:paraId="55EB08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842" w:type="dxa"/>
          </w:tcPr>
          <w:p w14:paraId="34A569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tc>
        <w:tc>
          <w:tcPr>
            <w:tcW w:w="1985" w:type="dxa"/>
          </w:tcPr>
          <w:p w14:paraId="48CC8A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w:t>
            </w:r>
          </w:p>
        </w:tc>
      </w:tr>
      <w:tr w:rsidR="00A259BD" w:rsidRPr="00A259BD" w14:paraId="274B4FE9" w14:textId="77777777">
        <w:tc>
          <w:tcPr>
            <w:tcW w:w="1668" w:type="dxa"/>
          </w:tcPr>
          <w:p w14:paraId="29CB4F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1701" w:type="dxa"/>
          </w:tcPr>
          <w:p w14:paraId="77A65D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2775</w:t>
            </w:r>
          </w:p>
        </w:tc>
        <w:tc>
          <w:tcPr>
            <w:tcW w:w="1701" w:type="dxa"/>
          </w:tcPr>
          <w:p w14:paraId="444DB0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3655</w:t>
            </w:r>
          </w:p>
        </w:tc>
        <w:tc>
          <w:tcPr>
            <w:tcW w:w="1842" w:type="dxa"/>
          </w:tcPr>
          <w:p w14:paraId="73841E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5660</w:t>
            </w:r>
          </w:p>
        </w:tc>
        <w:tc>
          <w:tcPr>
            <w:tcW w:w="1985" w:type="dxa"/>
          </w:tcPr>
          <w:p w14:paraId="2E87B5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9460</w:t>
            </w:r>
          </w:p>
        </w:tc>
      </w:tr>
    </w:tbl>
    <w:p w14:paraId="0F457803"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Обязать ВСНХ усилить темп проектирования, строительства и оборудования новых заводов авиапромышленности, всемерно упрощая порядок прохождения и утверждения проектов, планов и смет.</w:t>
      </w:r>
    </w:p>
    <w:p w14:paraId="7719C0CF"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Принять к сведению согласованную ВСНХ с НКВМ стоимость программы развертывания авиапромышленности по годам (в миллионах рублей):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560"/>
        <w:gridCol w:w="1701"/>
        <w:gridCol w:w="1842"/>
        <w:gridCol w:w="1985"/>
        <w:gridCol w:w="1843"/>
      </w:tblGrid>
      <w:tr w:rsidR="00A259BD" w:rsidRPr="00A259BD" w14:paraId="5E31D1FE" w14:textId="77777777">
        <w:tc>
          <w:tcPr>
            <w:tcW w:w="1809" w:type="dxa"/>
          </w:tcPr>
          <w:p w14:paraId="3206CE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A2BA2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w:t>
            </w:r>
          </w:p>
        </w:tc>
        <w:tc>
          <w:tcPr>
            <w:tcW w:w="1701" w:type="dxa"/>
          </w:tcPr>
          <w:p w14:paraId="0703A2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w:t>
            </w:r>
          </w:p>
        </w:tc>
        <w:tc>
          <w:tcPr>
            <w:tcW w:w="1842" w:type="dxa"/>
          </w:tcPr>
          <w:p w14:paraId="317E77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w:t>
            </w:r>
          </w:p>
        </w:tc>
        <w:tc>
          <w:tcPr>
            <w:tcW w:w="1985" w:type="dxa"/>
          </w:tcPr>
          <w:p w14:paraId="5BADB4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w:t>
            </w:r>
          </w:p>
        </w:tc>
        <w:tc>
          <w:tcPr>
            <w:tcW w:w="1843" w:type="dxa"/>
          </w:tcPr>
          <w:p w14:paraId="31EFF9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r>
      <w:tr w:rsidR="00A259BD" w:rsidRPr="00A259BD" w14:paraId="581E33B7" w14:textId="77777777">
        <w:tc>
          <w:tcPr>
            <w:tcW w:w="1809" w:type="dxa"/>
          </w:tcPr>
          <w:p w14:paraId="3851E3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Общая сумма затрат</w:t>
            </w:r>
          </w:p>
        </w:tc>
        <w:tc>
          <w:tcPr>
            <w:tcW w:w="1560" w:type="dxa"/>
          </w:tcPr>
          <w:p w14:paraId="38936F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34,2</w:t>
            </w:r>
          </w:p>
        </w:tc>
        <w:tc>
          <w:tcPr>
            <w:tcW w:w="1701" w:type="dxa"/>
          </w:tcPr>
          <w:p w14:paraId="0B3285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48,9</w:t>
            </w:r>
          </w:p>
        </w:tc>
        <w:tc>
          <w:tcPr>
            <w:tcW w:w="1842" w:type="dxa"/>
          </w:tcPr>
          <w:p w14:paraId="2C3818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w:t>
            </w:r>
          </w:p>
        </w:tc>
        <w:tc>
          <w:tcPr>
            <w:tcW w:w="1985" w:type="dxa"/>
          </w:tcPr>
          <w:p w14:paraId="7F1D3F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w:t>
            </w:r>
          </w:p>
        </w:tc>
        <w:tc>
          <w:tcPr>
            <w:tcW w:w="1843" w:type="dxa"/>
          </w:tcPr>
          <w:p w14:paraId="201EC9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105,7</w:t>
            </w:r>
          </w:p>
        </w:tc>
      </w:tr>
      <w:tr w:rsidR="00A259BD" w:rsidRPr="00A259BD" w14:paraId="61832A4E" w14:textId="77777777">
        <w:tc>
          <w:tcPr>
            <w:tcW w:w="1809" w:type="dxa"/>
          </w:tcPr>
          <w:p w14:paraId="19B2E7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том числе импорт.</w:t>
            </w:r>
          </w:p>
        </w:tc>
        <w:tc>
          <w:tcPr>
            <w:tcW w:w="1560" w:type="dxa"/>
          </w:tcPr>
          <w:p w14:paraId="7F5588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w:t>
            </w:r>
          </w:p>
        </w:tc>
        <w:tc>
          <w:tcPr>
            <w:tcW w:w="1701" w:type="dxa"/>
          </w:tcPr>
          <w:p w14:paraId="0F532C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w:t>
            </w:r>
          </w:p>
        </w:tc>
        <w:tc>
          <w:tcPr>
            <w:tcW w:w="1842" w:type="dxa"/>
          </w:tcPr>
          <w:p w14:paraId="04E8C3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w:t>
            </w:r>
          </w:p>
        </w:tc>
        <w:tc>
          <w:tcPr>
            <w:tcW w:w="1985" w:type="dxa"/>
          </w:tcPr>
          <w:p w14:paraId="70AA7C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w:t>
            </w:r>
          </w:p>
        </w:tc>
        <w:tc>
          <w:tcPr>
            <w:tcW w:w="1843" w:type="dxa"/>
          </w:tcPr>
          <w:p w14:paraId="576BE6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15,7</w:t>
            </w:r>
          </w:p>
        </w:tc>
      </w:tr>
    </w:tbl>
    <w:p w14:paraId="7FFAE3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Окончательное установление размеров ассигнований ВСНХ производить при ежегодном прохождении бюджета, на основе разработанных генеральных планов, проектов и смет расширения существующих и постройки новых заводов, с учетом снижения цен на строительство и оборудование, однако, без ущерба для темпа и размеров развертывания авиапромышленности, определенных настоящим постановлением.</w:t>
      </w:r>
    </w:p>
    <w:p w14:paraId="56FB638A"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Обязать ВСНХ предусмотреть в своих ежегодных сметах необходимые на жилищное строительство для рабочих и на увеличение оборотных средств авиапромышленности.</w:t>
      </w:r>
    </w:p>
    <w:p w14:paraId="05268D10"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Обязать ВСНХ и </w:t>
      </w:r>
      <w:proofErr w:type="spellStart"/>
      <w:r w:rsidRPr="00A259BD">
        <w:rPr>
          <w:rFonts w:ascii="Times New Roman" w:hAnsi="Times New Roman"/>
          <w:color w:val="000000" w:themeColor="text1"/>
          <w:sz w:val="16"/>
          <w:szCs w:val="16"/>
        </w:rPr>
        <w:t>НКТруда</w:t>
      </w:r>
      <w:proofErr w:type="spellEnd"/>
      <w:r w:rsidRPr="00A259BD">
        <w:rPr>
          <w:rFonts w:ascii="Times New Roman" w:hAnsi="Times New Roman"/>
          <w:color w:val="000000" w:themeColor="text1"/>
          <w:sz w:val="16"/>
          <w:szCs w:val="16"/>
        </w:rPr>
        <w:t xml:space="preserve"> немедленно приступить к подготовке кадров высшего и среднего технического персонала, а также квалифицированной рабочей силы для полного обеспечения ими потребности развивающейся авиапромышленности, предусмотрев в ежегодных сметах необходимые средства для этой цели.</w:t>
      </w:r>
    </w:p>
    <w:p w14:paraId="32FE4FD1"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Подтверждая ранее принятые РЗ СТО постановления о необходимости широкого использования достигнутых за границей успехов в области рационализации производства самолетов и моторов …………………..</w:t>
      </w:r>
    </w:p>
    <w:p w14:paraId="6148D6D2"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Предложить ВСНХ не позднее 1 декабря 1929 года по согласованию с НКВМ, утвердить окончательную дислокацию намеченных к постройке новых заводов авиапромышленности.</w:t>
      </w:r>
    </w:p>
    <w:p w14:paraId="42662495"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Обязать ВСНХ к 1 января 1930 года представить в РЗ СТО план загрузки в мирное время существующих и вновь строящихся заводов авиапромышленности заказами на продукцию мирного времени.</w:t>
      </w:r>
    </w:p>
    <w:p w14:paraId="6396505A"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В целях обеспечения возможности осуществления намеченной п. 1-м настоящего постановления программы авиастроительства в случае, если производство авиамоторов не даст предполагаемых результатов, признать необходимым предусматривать в ежегодных импортных планах закупку авиамоторов за границей, бронируя для этой цели лицензионные контингенты и инвалюту по отдельным годам, ориентировочно, в следующих размерах (в миллионах американских долларов).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268"/>
        <w:gridCol w:w="2410"/>
        <w:gridCol w:w="2268"/>
      </w:tblGrid>
      <w:tr w:rsidR="00A259BD" w:rsidRPr="00A259BD" w14:paraId="032B55A4" w14:textId="77777777">
        <w:tc>
          <w:tcPr>
            <w:tcW w:w="2093" w:type="dxa"/>
          </w:tcPr>
          <w:p w14:paraId="18957F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A59DB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ВВС</w:t>
            </w:r>
          </w:p>
        </w:tc>
        <w:tc>
          <w:tcPr>
            <w:tcW w:w="2410" w:type="dxa"/>
          </w:tcPr>
          <w:p w14:paraId="244A6C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гражданской авиации</w:t>
            </w:r>
          </w:p>
        </w:tc>
        <w:tc>
          <w:tcPr>
            <w:tcW w:w="2268" w:type="dxa"/>
          </w:tcPr>
          <w:p w14:paraId="562C79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r>
      <w:tr w:rsidR="00A259BD" w:rsidRPr="00A259BD" w14:paraId="6E167F2A" w14:textId="77777777">
        <w:tc>
          <w:tcPr>
            <w:tcW w:w="2093" w:type="dxa"/>
          </w:tcPr>
          <w:p w14:paraId="308117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1929/30 году</w:t>
            </w:r>
          </w:p>
        </w:tc>
        <w:tc>
          <w:tcPr>
            <w:tcW w:w="2268" w:type="dxa"/>
          </w:tcPr>
          <w:p w14:paraId="6360CF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14,0</w:t>
            </w:r>
          </w:p>
        </w:tc>
        <w:tc>
          <w:tcPr>
            <w:tcW w:w="2410" w:type="dxa"/>
          </w:tcPr>
          <w:p w14:paraId="1417F1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2268" w:type="dxa"/>
          </w:tcPr>
          <w:p w14:paraId="759B9E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16,2</w:t>
            </w:r>
          </w:p>
        </w:tc>
      </w:tr>
      <w:tr w:rsidR="00A259BD" w:rsidRPr="00A259BD" w14:paraId="3B65C98E" w14:textId="77777777">
        <w:tc>
          <w:tcPr>
            <w:tcW w:w="2093" w:type="dxa"/>
          </w:tcPr>
          <w:p w14:paraId="70196F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1930/31 году</w:t>
            </w:r>
          </w:p>
        </w:tc>
        <w:tc>
          <w:tcPr>
            <w:tcW w:w="2268" w:type="dxa"/>
          </w:tcPr>
          <w:p w14:paraId="1AD1F5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w:t>
            </w:r>
          </w:p>
        </w:tc>
        <w:tc>
          <w:tcPr>
            <w:tcW w:w="2410" w:type="dxa"/>
          </w:tcPr>
          <w:p w14:paraId="03B33C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2268" w:type="dxa"/>
          </w:tcPr>
          <w:p w14:paraId="0E17A0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13,1</w:t>
            </w:r>
          </w:p>
        </w:tc>
      </w:tr>
      <w:tr w:rsidR="00A259BD" w:rsidRPr="00A259BD" w14:paraId="736B7CB7" w14:textId="77777777">
        <w:tc>
          <w:tcPr>
            <w:tcW w:w="2093" w:type="dxa"/>
          </w:tcPr>
          <w:p w14:paraId="4AF22A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1931/32 году</w:t>
            </w:r>
          </w:p>
        </w:tc>
        <w:tc>
          <w:tcPr>
            <w:tcW w:w="2268" w:type="dxa"/>
          </w:tcPr>
          <w:p w14:paraId="475CCD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410" w:type="dxa"/>
          </w:tcPr>
          <w:p w14:paraId="4E53C5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w:t>
            </w:r>
          </w:p>
        </w:tc>
        <w:tc>
          <w:tcPr>
            <w:tcW w:w="2268" w:type="dxa"/>
          </w:tcPr>
          <w:p w14:paraId="7EC1FF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w:t>
            </w:r>
          </w:p>
        </w:tc>
      </w:tr>
      <w:tr w:rsidR="00A259BD" w:rsidRPr="00A259BD" w14:paraId="3820F0F6" w14:textId="77777777">
        <w:tc>
          <w:tcPr>
            <w:tcW w:w="2093" w:type="dxa"/>
          </w:tcPr>
          <w:p w14:paraId="7D9C79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1932/33 году</w:t>
            </w:r>
          </w:p>
        </w:tc>
        <w:tc>
          <w:tcPr>
            <w:tcW w:w="2268" w:type="dxa"/>
          </w:tcPr>
          <w:p w14:paraId="76F121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410" w:type="dxa"/>
          </w:tcPr>
          <w:p w14:paraId="1BA957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w:t>
            </w:r>
          </w:p>
        </w:tc>
        <w:tc>
          <w:tcPr>
            <w:tcW w:w="2268" w:type="dxa"/>
          </w:tcPr>
          <w:p w14:paraId="4A9E5B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w:t>
            </w:r>
          </w:p>
        </w:tc>
      </w:tr>
    </w:tbl>
    <w:p w14:paraId="62C8E7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Точные размеры бронируемых таким образом контингентов ввоза и необходимых для этого денежных средств (в инвалюте) должны устанавливаться при утверждении ежегодного </w:t>
      </w:r>
      <w:proofErr w:type="spellStart"/>
      <w:r w:rsidRPr="00A259BD">
        <w:rPr>
          <w:rFonts w:ascii="Times New Roman" w:hAnsi="Times New Roman"/>
          <w:color w:val="000000" w:themeColor="text1"/>
          <w:sz w:val="16"/>
          <w:szCs w:val="16"/>
        </w:rPr>
        <w:t>импортно</w:t>
      </w:r>
      <w:proofErr w:type="spellEnd"/>
      <w:r w:rsidRPr="00A259BD">
        <w:rPr>
          <w:rFonts w:ascii="Times New Roman" w:hAnsi="Times New Roman"/>
          <w:color w:val="000000" w:themeColor="text1"/>
          <w:sz w:val="16"/>
          <w:szCs w:val="16"/>
        </w:rPr>
        <w:t>-валютного плана. Закупка моторов в счет этой брони производится по разрешению РЗ СТО, на основе специальных ходатайств НКВМ.</w:t>
      </w:r>
    </w:p>
    <w:p w14:paraId="50606DAB"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Обязать ВСНХ через каждые шесть месяцев, начиная с 1 октября 1929 года, представлять в РЗ СТО доклады о ходе исполнения настоящего постановления.</w:t>
      </w:r>
    </w:p>
    <w:p w14:paraId="1E5C0A45"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Предложить Комиссии тов. </w:t>
      </w:r>
      <w:proofErr w:type="spellStart"/>
      <w:r w:rsidRPr="00A259BD">
        <w:rPr>
          <w:rFonts w:ascii="Times New Roman" w:hAnsi="Times New Roman"/>
          <w:color w:val="000000" w:themeColor="text1"/>
          <w:sz w:val="16"/>
          <w:szCs w:val="16"/>
        </w:rPr>
        <w:t>Уншлихта</w:t>
      </w:r>
      <w:proofErr w:type="spellEnd"/>
      <w:r w:rsidRPr="00A259BD">
        <w:rPr>
          <w:rFonts w:ascii="Times New Roman" w:hAnsi="Times New Roman"/>
          <w:color w:val="000000" w:themeColor="text1"/>
          <w:sz w:val="16"/>
          <w:szCs w:val="16"/>
        </w:rPr>
        <w:t>, образованной постановлением РЗ СТО от 29 июля 1929 г. (пр. № 39, п. 2), рассмотреть и представить не позднее 1 декабря на утверждение РЗ СТО конкретные предложения по следующим вопросам:</w:t>
      </w:r>
    </w:p>
    <w:p w14:paraId="4C02C80A"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об усилении опытного строительства и конструкторских работ по самолетам, моторам, авиационному вооружению и оборудованию;</w:t>
      </w:r>
    </w:p>
    <w:p w14:paraId="21C112B5"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о мероприятиях по обеспечению авиапромышленности сырьем и полуфабрикатами на время войны</w:t>
      </w:r>
    </w:p>
    <w:p w14:paraId="06F772E3"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 мероприятиях по </w:t>
      </w:r>
      <w:proofErr w:type="spellStart"/>
      <w:r w:rsidRPr="00A259BD">
        <w:rPr>
          <w:rFonts w:ascii="Times New Roman" w:hAnsi="Times New Roman"/>
          <w:color w:val="000000" w:themeColor="text1"/>
          <w:sz w:val="16"/>
          <w:szCs w:val="16"/>
        </w:rPr>
        <w:t>кооперированиюи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ассимоляции</w:t>
      </w:r>
      <w:proofErr w:type="spellEnd"/>
      <w:r w:rsidRPr="00A259BD">
        <w:rPr>
          <w:rFonts w:ascii="Times New Roman" w:hAnsi="Times New Roman"/>
          <w:color w:val="000000" w:themeColor="text1"/>
          <w:sz w:val="16"/>
          <w:szCs w:val="16"/>
        </w:rPr>
        <w:t xml:space="preserve"> авиапромышленности в авто- и </w:t>
      </w:r>
      <w:proofErr w:type="spellStart"/>
      <w:r w:rsidRPr="00A259BD">
        <w:rPr>
          <w:rFonts w:ascii="Times New Roman" w:hAnsi="Times New Roman"/>
          <w:color w:val="000000" w:themeColor="text1"/>
          <w:sz w:val="16"/>
          <w:szCs w:val="16"/>
        </w:rPr>
        <w:t>тракторопромышленностью</w:t>
      </w:r>
      <w:proofErr w:type="spellEnd"/>
    </w:p>
    <w:p w14:paraId="5DFF2CBB"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 СТО </w:t>
      </w:r>
      <w:proofErr w:type="spellStart"/>
      <w:r w:rsidRPr="00A259BD">
        <w:rPr>
          <w:rFonts w:ascii="Times New Roman" w:hAnsi="Times New Roman"/>
          <w:color w:val="000000" w:themeColor="text1"/>
          <w:sz w:val="16"/>
          <w:szCs w:val="16"/>
        </w:rPr>
        <w:t>А.И.Рыков</w:t>
      </w:r>
      <w:proofErr w:type="spellEnd"/>
    </w:p>
    <w:p w14:paraId="2163D99A"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УД СНК и СТО </w:t>
      </w:r>
      <w:proofErr w:type="spellStart"/>
      <w:r w:rsidRPr="00A259BD">
        <w:rPr>
          <w:rFonts w:ascii="Times New Roman" w:hAnsi="Times New Roman"/>
          <w:color w:val="000000" w:themeColor="text1"/>
          <w:sz w:val="16"/>
          <w:szCs w:val="16"/>
        </w:rPr>
        <w:t>А.Кактынь</w:t>
      </w:r>
      <w:proofErr w:type="spellEnd"/>
    </w:p>
    <w:p w14:paraId="0E9FB05B"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Секретарь РЗ СТО </w:t>
      </w:r>
      <w:proofErr w:type="spellStart"/>
      <w:r w:rsidRPr="00A259BD">
        <w:rPr>
          <w:rFonts w:ascii="Times New Roman" w:hAnsi="Times New Roman"/>
          <w:color w:val="000000" w:themeColor="text1"/>
          <w:sz w:val="16"/>
          <w:szCs w:val="16"/>
        </w:rPr>
        <w:t>Аппога</w:t>
      </w:r>
      <w:proofErr w:type="spellEnd"/>
      <w:r w:rsidRPr="00A259BD">
        <w:rPr>
          <w:rFonts w:ascii="Times New Roman" w:hAnsi="Times New Roman"/>
          <w:color w:val="000000" w:themeColor="text1"/>
          <w:sz w:val="16"/>
          <w:szCs w:val="16"/>
        </w:rPr>
        <w:t xml:space="preserve"> (3770,1-3).</w:t>
      </w:r>
    </w:p>
    <w:p w14:paraId="1F3D4A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6020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октября 1929 года вышло постановление РЗ СТО от "О мероприятиях по развитию авиапромышленности в течении 1929-30 – 1932-33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(3545)</w:t>
      </w:r>
    </w:p>
    <w:p w14:paraId="3BCEFF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323F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октября 1929 года за N 415 вышло Постановление распорядительного заседания СТО О мероприятиях по развитию авиапромышленности в течении 1929-30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w:t>
      </w:r>
    </w:p>
    <w:p w14:paraId="15A89A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СТО постановляет:</w:t>
      </w:r>
    </w:p>
    <w:p w14:paraId="002CB7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Минимальную потребность воздушного флота в самолетах и моторах на год ведения войны установить в размере: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928"/>
        <w:gridCol w:w="1765"/>
        <w:gridCol w:w="5104"/>
      </w:tblGrid>
      <w:tr w:rsidR="00A259BD" w:rsidRPr="00A259BD" w14:paraId="79821C6F" w14:textId="77777777">
        <w:tc>
          <w:tcPr>
            <w:tcW w:w="2802" w:type="dxa"/>
          </w:tcPr>
          <w:p w14:paraId="4E9703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по самолетам:</w:t>
            </w:r>
          </w:p>
        </w:tc>
        <w:tc>
          <w:tcPr>
            <w:tcW w:w="928" w:type="dxa"/>
          </w:tcPr>
          <w:p w14:paraId="127A0A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65" w:type="dxa"/>
          </w:tcPr>
          <w:p w14:paraId="6EF45A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104" w:type="dxa"/>
          </w:tcPr>
          <w:p w14:paraId="2F3759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1FF79DD" w14:textId="77777777">
        <w:tc>
          <w:tcPr>
            <w:tcW w:w="2802" w:type="dxa"/>
          </w:tcPr>
          <w:p w14:paraId="0F89BC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28" w:type="dxa"/>
          </w:tcPr>
          <w:p w14:paraId="321BA1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ВВС</w:t>
            </w:r>
          </w:p>
        </w:tc>
        <w:tc>
          <w:tcPr>
            <w:tcW w:w="1765" w:type="dxa"/>
          </w:tcPr>
          <w:p w14:paraId="691017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Гражд. авиация</w:t>
            </w:r>
          </w:p>
        </w:tc>
        <w:tc>
          <w:tcPr>
            <w:tcW w:w="5104" w:type="dxa"/>
          </w:tcPr>
          <w:p w14:paraId="29634F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r>
      <w:tr w:rsidR="00A259BD" w:rsidRPr="00A259BD" w14:paraId="6952D384" w14:textId="77777777">
        <w:tc>
          <w:tcPr>
            <w:tcW w:w="2802" w:type="dxa"/>
          </w:tcPr>
          <w:p w14:paraId="20F309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1929/30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w:t>
            </w:r>
          </w:p>
        </w:tc>
        <w:tc>
          <w:tcPr>
            <w:tcW w:w="928" w:type="dxa"/>
          </w:tcPr>
          <w:p w14:paraId="26CF84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3980</w:t>
            </w:r>
          </w:p>
        </w:tc>
        <w:tc>
          <w:tcPr>
            <w:tcW w:w="1765" w:type="dxa"/>
          </w:tcPr>
          <w:p w14:paraId="022031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126</w:t>
            </w:r>
          </w:p>
        </w:tc>
        <w:tc>
          <w:tcPr>
            <w:tcW w:w="5104" w:type="dxa"/>
          </w:tcPr>
          <w:p w14:paraId="28052B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4106</w:t>
            </w:r>
          </w:p>
        </w:tc>
      </w:tr>
      <w:tr w:rsidR="00A259BD" w:rsidRPr="00A259BD" w14:paraId="667C1A23" w14:textId="77777777">
        <w:tc>
          <w:tcPr>
            <w:tcW w:w="2802" w:type="dxa"/>
          </w:tcPr>
          <w:p w14:paraId="29896E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1930/31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w:t>
            </w:r>
          </w:p>
        </w:tc>
        <w:tc>
          <w:tcPr>
            <w:tcW w:w="928" w:type="dxa"/>
          </w:tcPr>
          <w:p w14:paraId="1868E3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4350</w:t>
            </w:r>
          </w:p>
        </w:tc>
        <w:tc>
          <w:tcPr>
            <w:tcW w:w="1765" w:type="dxa"/>
          </w:tcPr>
          <w:p w14:paraId="0AFEDF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139</w:t>
            </w:r>
          </w:p>
        </w:tc>
        <w:tc>
          <w:tcPr>
            <w:tcW w:w="5104" w:type="dxa"/>
          </w:tcPr>
          <w:p w14:paraId="6EE1C6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4489</w:t>
            </w:r>
          </w:p>
        </w:tc>
      </w:tr>
      <w:tr w:rsidR="00A259BD" w:rsidRPr="00A259BD" w14:paraId="4C6B67B9" w14:textId="77777777">
        <w:tc>
          <w:tcPr>
            <w:tcW w:w="2802" w:type="dxa"/>
          </w:tcPr>
          <w:p w14:paraId="4203AB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1931/32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w:t>
            </w:r>
          </w:p>
        </w:tc>
        <w:tc>
          <w:tcPr>
            <w:tcW w:w="928" w:type="dxa"/>
          </w:tcPr>
          <w:p w14:paraId="21DDC2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4710</w:t>
            </w:r>
          </w:p>
        </w:tc>
        <w:tc>
          <w:tcPr>
            <w:tcW w:w="1765" w:type="dxa"/>
          </w:tcPr>
          <w:p w14:paraId="536C00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182</w:t>
            </w:r>
          </w:p>
        </w:tc>
        <w:tc>
          <w:tcPr>
            <w:tcW w:w="5104" w:type="dxa"/>
          </w:tcPr>
          <w:p w14:paraId="714A59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4892</w:t>
            </w:r>
          </w:p>
        </w:tc>
      </w:tr>
      <w:tr w:rsidR="00A259BD" w:rsidRPr="00A259BD" w14:paraId="70D72D82" w14:textId="77777777">
        <w:tc>
          <w:tcPr>
            <w:tcW w:w="2802" w:type="dxa"/>
          </w:tcPr>
          <w:p w14:paraId="4F7707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1932/33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w:t>
            </w:r>
          </w:p>
        </w:tc>
        <w:tc>
          <w:tcPr>
            <w:tcW w:w="928" w:type="dxa"/>
          </w:tcPr>
          <w:p w14:paraId="245B94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6865</w:t>
            </w:r>
          </w:p>
        </w:tc>
        <w:tc>
          <w:tcPr>
            <w:tcW w:w="1765" w:type="dxa"/>
          </w:tcPr>
          <w:p w14:paraId="685356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233</w:t>
            </w:r>
          </w:p>
        </w:tc>
        <w:tc>
          <w:tcPr>
            <w:tcW w:w="5104" w:type="dxa"/>
          </w:tcPr>
          <w:p w14:paraId="603BCA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7098</w:t>
            </w:r>
          </w:p>
        </w:tc>
      </w:tr>
      <w:tr w:rsidR="00A259BD" w:rsidRPr="00A259BD" w14:paraId="5852F289" w14:textId="77777777">
        <w:tc>
          <w:tcPr>
            <w:tcW w:w="2802" w:type="dxa"/>
          </w:tcPr>
          <w:p w14:paraId="09F9D8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 моторам</w:t>
            </w:r>
          </w:p>
        </w:tc>
        <w:tc>
          <w:tcPr>
            <w:tcW w:w="928" w:type="dxa"/>
          </w:tcPr>
          <w:p w14:paraId="50FB2A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65" w:type="dxa"/>
          </w:tcPr>
          <w:p w14:paraId="4E9121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104" w:type="dxa"/>
          </w:tcPr>
          <w:p w14:paraId="30AC2D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2202198" w14:textId="77777777">
        <w:tc>
          <w:tcPr>
            <w:tcW w:w="2802" w:type="dxa"/>
          </w:tcPr>
          <w:p w14:paraId="012F4C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1929/30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w:t>
            </w:r>
          </w:p>
        </w:tc>
        <w:tc>
          <w:tcPr>
            <w:tcW w:w="928" w:type="dxa"/>
          </w:tcPr>
          <w:p w14:paraId="0E96EF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4297</w:t>
            </w:r>
          </w:p>
        </w:tc>
        <w:tc>
          <w:tcPr>
            <w:tcW w:w="1765" w:type="dxa"/>
          </w:tcPr>
          <w:p w14:paraId="4F7A0D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366</w:t>
            </w:r>
          </w:p>
        </w:tc>
        <w:tc>
          <w:tcPr>
            <w:tcW w:w="5104" w:type="dxa"/>
          </w:tcPr>
          <w:p w14:paraId="185363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4663</w:t>
            </w:r>
          </w:p>
        </w:tc>
      </w:tr>
      <w:tr w:rsidR="00A259BD" w:rsidRPr="00A259BD" w14:paraId="5EDA8BCF" w14:textId="77777777">
        <w:tc>
          <w:tcPr>
            <w:tcW w:w="2802" w:type="dxa"/>
          </w:tcPr>
          <w:p w14:paraId="35B5B5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1930/31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w:t>
            </w:r>
          </w:p>
        </w:tc>
        <w:tc>
          <w:tcPr>
            <w:tcW w:w="928" w:type="dxa"/>
          </w:tcPr>
          <w:p w14:paraId="17040E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4848</w:t>
            </w:r>
          </w:p>
        </w:tc>
        <w:tc>
          <w:tcPr>
            <w:tcW w:w="1765" w:type="dxa"/>
          </w:tcPr>
          <w:p w14:paraId="11AD9B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482</w:t>
            </w:r>
          </w:p>
        </w:tc>
        <w:tc>
          <w:tcPr>
            <w:tcW w:w="5104" w:type="dxa"/>
          </w:tcPr>
          <w:p w14:paraId="4C2C69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5330</w:t>
            </w:r>
          </w:p>
        </w:tc>
      </w:tr>
      <w:tr w:rsidR="00A259BD" w:rsidRPr="00A259BD" w14:paraId="67DC4575" w14:textId="77777777">
        <w:tc>
          <w:tcPr>
            <w:tcW w:w="2802" w:type="dxa"/>
          </w:tcPr>
          <w:p w14:paraId="01325D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1931/32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w:t>
            </w:r>
          </w:p>
        </w:tc>
        <w:tc>
          <w:tcPr>
            <w:tcW w:w="928" w:type="dxa"/>
          </w:tcPr>
          <w:p w14:paraId="043A58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5500</w:t>
            </w:r>
          </w:p>
        </w:tc>
        <w:tc>
          <w:tcPr>
            <w:tcW w:w="1765" w:type="dxa"/>
          </w:tcPr>
          <w:p w14:paraId="4D56DF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724</w:t>
            </w:r>
          </w:p>
        </w:tc>
        <w:tc>
          <w:tcPr>
            <w:tcW w:w="5104" w:type="dxa"/>
          </w:tcPr>
          <w:p w14:paraId="18C8BB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6224</w:t>
            </w:r>
          </w:p>
        </w:tc>
      </w:tr>
      <w:tr w:rsidR="00A259BD" w:rsidRPr="00A259BD" w14:paraId="485778D7" w14:textId="77777777">
        <w:tc>
          <w:tcPr>
            <w:tcW w:w="2802" w:type="dxa"/>
          </w:tcPr>
          <w:p w14:paraId="086185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1932/33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w:t>
            </w:r>
          </w:p>
        </w:tc>
        <w:tc>
          <w:tcPr>
            <w:tcW w:w="928" w:type="dxa"/>
          </w:tcPr>
          <w:p w14:paraId="204A69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8010</w:t>
            </w:r>
          </w:p>
        </w:tc>
        <w:tc>
          <w:tcPr>
            <w:tcW w:w="1765" w:type="dxa"/>
          </w:tcPr>
          <w:p w14:paraId="61B82E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1287</w:t>
            </w:r>
          </w:p>
        </w:tc>
        <w:tc>
          <w:tcPr>
            <w:tcW w:w="5104" w:type="dxa"/>
          </w:tcPr>
          <w:p w14:paraId="71DD0D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9297</w:t>
            </w:r>
          </w:p>
        </w:tc>
      </w:tr>
    </w:tbl>
    <w:p w14:paraId="5EC39C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Типы и конструкции подлежащих изготовлению на заводах самолетов и моторов, в пределах указанных выше цифр устанавливаются НКВМ по соглашению с ВСНХ, при чем НКВМ предоставляется право принимать окончательные решения по этому вопросу.</w:t>
      </w:r>
    </w:p>
    <w:p w14:paraId="116751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Для покрытия указанной минимальной потребности ВФ признать необходимым провести следующие мероприятия:</w:t>
      </w:r>
    </w:p>
    <w:p w14:paraId="439EAC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самолетостроения</w:t>
      </w:r>
    </w:p>
    <w:p w14:paraId="395C1A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приступить в 1929-30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xml:space="preserve">. к постройке следующих новых предприятий: завода "А" - по производству разведывательных и истребительных аппаратов деревянной и смешанной конструкции, завода "Б" по производству легких и тяжелых бомбардировщиков и штурмовиков металлических конструкций; мощность указанных предприятий к началу 1931-32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должна быть доведена: по завода "А" до 860 и заводу "Б" до 196 самолетов в год.</w:t>
      </w:r>
    </w:p>
    <w:p w14:paraId="1D6009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Увеличить мощность существующих заводов...(3545,1-3).</w:t>
      </w:r>
    </w:p>
    <w:p w14:paraId="084888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33088C"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16 октября 1929 г. Совет Труда и Обороны постановил</w:t>
      </w:r>
    </w:p>
    <w:p w14:paraId="29DBE59C"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1. Установить минимальную потребность на год по самолетам</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337"/>
        <w:gridCol w:w="1206"/>
        <w:gridCol w:w="2478"/>
        <w:gridCol w:w="1407"/>
      </w:tblGrid>
      <w:tr w:rsidR="00252267" w:rsidRPr="00252267" w14:paraId="21C2A502" w14:textId="77777777" w:rsidTr="00917A8C">
        <w:trPr>
          <w:trHeight w:val="367"/>
        </w:trPr>
        <w:tc>
          <w:tcPr>
            <w:tcW w:w="1337" w:type="dxa"/>
            <w:shd w:val="clear" w:color="auto" w:fill="auto"/>
            <w:vAlign w:val="bottom"/>
          </w:tcPr>
          <w:p w14:paraId="74046A29"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Год</w:t>
            </w:r>
          </w:p>
        </w:tc>
        <w:tc>
          <w:tcPr>
            <w:tcW w:w="1206" w:type="dxa"/>
            <w:shd w:val="clear" w:color="auto" w:fill="auto"/>
            <w:vAlign w:val="bottom"/>
          </w:tcPr>
          <w:p w14:paraId="68699496"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ВВС</w:t>
            </w:r>
          </w:p>
        </w:tc>
        <w:tc>
          <w:tcPr>
            <w:tcW w:w="2478" w:type="dxa"/>
            <w:shd w:val="clear" w:color="auto" w:fill="auto"/>
            <w:vAlign w:val="bottom"/>
          </w:tcPr>
          <w:p w14:paraId="35763BB3"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Гражд. авиация</w:t>
            </w:r>
          </w:p>
        </w:tc>
        <w:tc>
          <w:tcPr>
            <w:tcW w:w="1407" w:type="dxa"/>
            <w:shd w:val="clear" w:color="auto" w:fill="auto"/>
            <w:vAlign w:val="bottom"/>
          </w:tcPr>
          <w:p w14:paraId="13DD0983"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Всего</w:t>
            </w:r>
          </w:p>
        </w:tc>
      </w:tr>
      <w:tr w:rsidR="00917A8C" w:rsidRPr="00252267" w14:paraId="0240120E" w14:textId="77777777" w:rsidTr="00917A8C">
        <w:trPr>
          <w:trHeight w:val="367"/>
        </w:trPr>
        <w:tc>
          <w:tcPr>
            <w:tcW w:w="1337" w:type="dxa"/>
            <w:shd w:val="clear" w:color="auto" w:fill="auto"/>
            <w:vAlign w:val="bottom"/>
          </w:tcPr>
          <w:p w14:paraId="458C8E53" w14:textId="77777777" w:rsidR="00917A8C" w:rsidRPr="00252267" w:rsidRDefault="00917A8C" w:rsidP="00252267">
            <w:pPr>
              <w:spacing w:after="0" w:line="240" w:lineRule="auto"/>
              <w:jc w:val="both"/>
              <w:rPr>
                <w:rFonts w:ascii="Times New Roman" w:hAnsi="Times New Roman"/>
                <w:color w:val="0070C0"/>
                <w:sz w:val="16"/>
                <w:szCs w:val="16"/>
              </w:rPr>
            </w:pPr>
          </w:p>
        </w:tc>
        <w:tc>
          <w:tcPr>
            <w:tcW w:w="1206" w:type="dxa"/>
            <w:shd w:val="clear" w:color="auto" w:fill="auto"/>
            <w:vAlign w:val="bottom"/>
          </w:tcPr>
          <w:p w14:paraId="3C3CE264" w14:textId="77777777" w:rsidR="00917A8C" w:rsidRPr="00252267" w:rsidRDefault="00917A8C" w:rsidP="00252267">
            <w:pPr>
              <w:spacing w:after="0" w:line="240" w:lineRule="auto"/>
              <w:jc w:val="both"/>
              <w:rPr>
                <w:rFonts w:ascii="Times New Roman" w:hAnsi="Times New Roman"/>
                <w:color w:val="0070C0"/>
                <w:sz w:val="16"/>
                <w:szCs w:val="16"/>
              </w:rPr>
            </w:pPr>
          </w:p>
        </w:tc>
        <w:tc>
          <w:tcPr>
            <w:tcW w:w="2478" w:type="dxa"/>
            <w:shd w:val="clear" w:color="auto" w:fill="auto"/>
            <w:vAlign w:val="bottom"/>
          </w:tcPr>
          <w:p w14:paraId="06C5E0D0" w14:textId="1FA2382A" w:rsidR="00917A8C" w:rsidRPr="00252267" w:rsidRDefault="00917A8C" w:rsidP="00252267">
            <w:pPr>
              <w:spacing w:after="0" w:line="240" w:lineRule="auto"/>
              <w:jc w:val="both"/>
              <w:rPr>
                <w:rFonts w:ascii="Times New Roman" w:hAnsi="Times New Roman"/>
                <w:color w:val="0070C0"/>
                <w:sz w:val="16"/>
                <w:szCs w:val="16"/>
              </w:rPr>
            </w:pPr>
            <w:r>
              <w:rPr>
                <w:rFonts w:ascii="Times New Roman" w:hAnsi="Times New Roman"/>
                <w:color w:val="0070C0"/>
                <w:sz w:val="16"/>
                <w:szCs w:val="16"/>
              </w:rPr>
              <w:t>По</w:t>
            </w:r>
          </w:p>
        </w:tc>
        <w:tc>
          <w:tcPr>
            <w:tcW w:w="1407" w:type="dxa"/>
            <w:shd w:val="clear" w:color="auto" w:fill="auto"/>
            <w:vAlign w:val="bottom"/>
          </w:tcPr>
          <w:p w14:paraId="704E2DCD" w14:textId="6B54B8AB" w:rsidR="00917A8C" w:rsidRPr="00252267" w:rsidRDefault="00917A8C" w:rsidP="00252267">
            <w:pPr>
              <w:spacing w:after="0" w:line="240" w:lineRule="auto"/>
              <w:jc w:val="both"/>
              <w:rPr>
                <w:rFonts w:ascii="Times New Roman" w:hAnsi="Times New Roman"/>
                <w:color w:val="0070C0"/>
                <w:sz w:val="16"/>
                <w:szCs w:val="16"/>
              </w:rPr>
            </w:pPr>
            <w:r>
              <w:rPr>
                <w:rFonts w:ascii="Times New Roman" w:hAnsi="Times New Roman"/>
                <w:color w:val="0070C0"/>
                <w:sz w:val="16"/>
                <w:szCs w:val="16"/>
              </w:rPr>
              <w:t>самолетам</w:t>
            </w:r>
          </w:p>
        </w:tc>
      </w:tr>
      <w:tr w:rsidR="00252267" w:rsidRPr="00252267" w14:paraId="5A893B15" w14:textId="77777777" w:rsidTr="00917A8C">
        <w:trPr>
          <w:trHeight w:val="367"/>
        </w:trPr>
        <w:tc>
          <w:tcPr>
            <w:tcW w:w="1337" w:type="dxa"/>
            <w:shd w:val="clear" w:color="auto" w:fill="auto"/>
            <w:vAlign w:val="bottom"/>
          </w:tcPr>
          <w:p w14:paraId="4340FCF7"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19’9/30</w:t>
            </w:r>
          </w:p>
        </w:tc>
        <w:tc>
          <w:tcPr>
            <w:tcW w:w="1206" w:type="dxa"/>
            <w:shd w:val="clear" w:color="auto" w:fill="auto"/>
            <w:vAlign w:val="bottom"/>
          </w:tcPr>
          <w:p w14:paraId="2F357542"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3980</w:t>
            </w:r>
          </w:p>
        </w:tc>
        <w:tc>
          <w:tcPr>
            <w:tcW w:w="2478" w:type="dxa"/>
            <w:shd w:val="clear" w:color="auto" w:fill="auto"/>
            <w:vAlign w:val="bottom"/>
          </w:tcPr>
          <w:p w14:paraId="30E0438A"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125</w:t>
            </w:r>
          </w:p>
        </w:tc>
        <w:tc>
          <w:tcPr>
            <w:tcW w:w="1407" w:type="dxa"/>
            <w:shd w:val="clear" w:color="auto" w:fill="auto"/>
            <w:vAlign w:val="bottom"/>
          </w:tcPr>
          <w:p w14:paraId="268BC174"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4106</w:t>
            </w:r>
          </w:p>
        </w:tc>
      </w:tr>
      <w:tr w:rsidR="00252267" w:rsidRPr="00252267" w14:paraId="6A1361B4" w14:textId="77777777" w:rsidTr="00917A8C">
        <w:trPr>
          <w:trHeight w:val="367"/>
        </w:trPr>
        <w:tc>
          <w:tcPr>
            <w:tcW w:w="1337" w:type="dxa"/>
            <w:shd w:val="clear" w:color="auto" w:fill="auto"/>
            <w:vAlign w:val="bottom"/>
          </w:tcPr>
          <w:p w14:paraId="5DAC7A74"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11930/31</w:t>
            </w:r>
          </w:p>
        </w:tc>
        <w:tc>
          <w:tcPr>
            <w:tcW w:w="1206" w:type="dxa"/>
            <w:shd w:val="clear" w:color="auto" w:fill="auto"/>
            <w:vAlign w:val="bottom"/>
          </w:tcPr>
          <w:p w14:paraId="3CE2AE93"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4350</w:t>
            </w:r>
          </w:p>
        </w:tc>
        <w:tc>
          <w:tcPr>
            <w:tcW w:w="2478" w:type="dxa"/>
            <w:shd w:val="clear" w:color="auto" w:fill="auto"/>
            <w:vAlign w:val="bottom"/>
          </w:tcPr>
          <w:p w14:paraId="5F500F99"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132</w:t>
            </w:r>
          </w:p>
        </w:tc>
        <w:tc>
          <w:tcPr>
            <w:tcW w:w="1407" w:type="dxa"/>
            <w:shd w:val="clear" w:color="auto" w:fill="auto"/>
            <w:vAlign w:val="bottom"/>
          </w:tcPr>
          <w:p w14:paraId="1D734464"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4489</w:t>
            </w:r>
          </w:p>
        </w:tc>
      </w:tr>
      <w:tr w:rsidR="00252267" w:rsidRPr="00252267" w14:paraId="076F5157" w14:textId="77777777" w:rsidTr="00917A8C">
        <w:trPr>
          <w:trHeight w:val="367"/>
        </w:trPr>
        <w:tc>
          <w:tcPr>
            <w:tcW w:w="1337" w:type="dxa"/>
            <w:shd w:val="clear" w:color="auto" w:fill="auto"/>
            <w:vAlign w:val="bottom"/>
          </w:tcPr>
          <w:p w14:paraId="04982B22"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1931/32</w:t>
            </w:r>
          </w:p>
        </w:tc>
        <w:tc>
          <w:tcPr>
            <w:tcW w:w="1206" w:type="dxa"/>
            <w:shd w:val="clear" w:color="auto" w:fill="auto"/>
            <w:vAlign w:val="bottom"/>
          </w:tcPr>
          <w:p w14:paraId="5CBB6AAD"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4710</w:t>
            </w:r>
          </w:p>
        </w:tc>
        <w:tc>
          <w:tcPr>
            <w:tcW w:w="2478" w:type="dxa"/>
            <w:shd w:val="clear" w:color="auto" w:fill="auto"/>
            <w:vAlign w:val="bottom"/>
          </w:tcPr>
          <w:p w14:paraId="1CF858F3"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182</w:t>
            </w:r>
          </w:p>
        </w:tc>
        <w:tc>
          <w:tcPr>
            <w:tcW w:w="1407" w:type="dxa"/>
            <w:shd w:val="clear" w:color="auto" w:fill="auto"/>
            <w:vAlign w:val="bottom"/>
          </w:tcPr>
          <w:p w14:paraId="7E791D8B"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4892</w:t>
            </w:r>
          </w:p>
        </w:tc>
      </w:tr>
      <w:tr w:rsidR="00252267" w:rsidRPr="00252267" w14:paraId="0E47B6E6" w14:textId="77777777" w:rsidTr="00917A8C">
        <w:trPr>
          <w:trHeight w:val="367"/>
        </w:trPr>
        <w:tc>
          <w:tcPr>
            <w:tcW w:w="1337" w:type="dxa"/>
            <w:shd w:val="clear" w:color="auto" w:fill="auto"/>
            <w:vAlign w:val="bottom"/>
          </w:tcPr>
          <w:p w14:paraId="54902330"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(1932/33</w:t>
            </w:r>
          </w:p>
        </w:tc>
        <w:tc>
          <w:tcPr>
            <w:tcW w:w="1206" w:type="dxa"/>
            <w:shd w:val="clear" w:color="auto" w:fill="auto"/>
            <w:vAlign w:val="bottom"/>
          </w:tcPr>
          <w:p w14:paraId="38A2C533"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6865</w:t>
            </w:r>
          </w:p>
        </w:tc>
        <w:tc>
          <w:tcPr>
            <w:tcW w:w="2478" w:type="dxa"/>
            <w:shd w:val="clear" w:color="auto" w:fill="auto"/>
            <w:vAlign w:val="bottom"/>
          </w:tcPr>
          <w:p w14:paraId="57740A6C"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233</w:t>
            </w:r>
          </w:p>
        </w:tc>
        <w:tc>
          <w:tcPr>
            <w:tcW w:w="1407" w:type="dxa"/>
            <w:shd w:val="clear" w:color="auto" w:fill="auto"/>
            <w:vAlign w:val="bottom"/>
          </w:tcPr>
          <w:p w14:paraId="19C0A35C"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7098</w:t>
            </w:r>
          </w:p>
        </w:tc>
      </w:tr>
      <w:tr w:rsidR="00252267" w:rsidRPr="00252267" w14:paraId="5C1BD35A" w14:textId="77777777" w:rsidTr="00917A8C">
        <w:trPr>
          <w:trHeight w:val="367"/>
        </w:trPr>
        <w:tc>
          <w:tcPr>
            <w:tcW w:w="1337" w:type="dxa"/>
            <w:shd w:val="clear" w:color="auto" w:fill="auto"/>
            <w:vAlign w:val="bottom"/>
          </w:tcPr>
          <w:p w14:paraId="1C55DC0F" w14:textId="77777777" w:rsidR="00252267" w:rsidRPr="00252267" w:rsidRDefault="00252267" w:rsidP="00252267">
            <w:pPr>
              <w:spacing w:after="0" w:line="240" w:lineRule="auto"/>
              <w:jc w:val="both"/>
              <w:rPr>
                <w:rFonts w:ascii="Times New Roman" w:hAnsi="Times New Roman"/>
                <w:color w:val="0070C0"/>
                <w:sz w:val="16"/>
                <w:szCs w:val="16"/>
              </w:rPr>
            </w:pPr>
          </w:p>
        </w:tc>
        <w:tc>
          <w:tcPr>
            <w:tcW w:w="1206" w:type="dxa"/>
            <w:shd w:val="clear" w:color="auto" w:fill="auto"/>
            <w:vAlign w:val="bottom"/>
          </w:tcPr>
          <w:p w14:paraId="24E7DAE1" w14:textId="77777777" w:rsidR="00252267" w:rsidRPr="00252267" w:rsidRDefault="00252267" w:rsidP="00252267">
            <w:pPr>
              <w:spacing w:after="0" w:line="240" w:lineRule="auto"/>
              <w:jc w:val="both"/>
              <w:rPr>
                <w:rFonts w:ascii="Times New Roman" w:hAnsi="Times New Roman"/>
                <w:color w:val="0070C0"/>
                <w:sz w:val="16"/>
                <w:szCs w:val="16"/>
              </w:rPr>
            </w:pPr>
          </w:p>
        </w:tc>
        <w:tc>
          <w:tcPr>
            <w:tcW w:w="2478" w:type="dxa"/>
            <w:shd w:val="clear" w:color="auto" w:fill="auto"/>
            <w:vAlign w:val="bottom"/>
          </w:tcPr>
          <w:p w14:paraId="6DC4C2C0" w14:textId="3C240EFB" w:rsidR="00252267" w:rsidRPr="00252267" w:rsidRDefault="00917A8C" w:rsidP="00252267">
            <w:pPr>
              <w:spacing w:after="0" w:line="240" w:lineRule="auto"/>
              <w:jc w:val="both"/>
              <w:rPr>
                <w:rFonts w:ascii="Times New Roman" w:hAnsi="Times New Roman"/>
                <w:color w:val="0070C0"/>
                <w:sz w:val="16"/>
                <w:szCs w:val="16"/>
              </w:rPr>
            </w:pPr>
            <w:r>
              <w:rPr>
                <w:rFonts w:ascii="Times New Roman" w:hAnsi="Times New Roman"/>
                <w:color w:val="0070C0"/>
                <w:sz w:val="16"/>
                <w:szCs w:val="16"/>
              </w:rPr>
              <w:t>По</w:t>
            </w:r>
          </w:p>
        </w:tc>
        <w:tc>
          <w:tcPr>
            <w:tcW w:w="1407" w:type="dxa"/>
            <w:shd w:val="clear" w:color="auto" w:fill="auto"/>
            <w:vAlign w:val="bottom"/>
          </w:tcPr>
          <w:p w14:paraId="307037DD" w14:textId="063C599A" w:rsidR="00252267" w:rsidRPr="00252267" w:rsidRDefault="00917A8C" w:rsidP="00252267">
            <w:pPr>
              <w:spacing w:after="0" w:line="240" w:lineRule="auto"/>
              <w:jc w:val="both"/>
              <w:rPr>
                <w:rFonts w:ascii="Times New Roman" w:hAnsi="Times New Roman"/>
                <w:color w:val="0070C0"/>
                <w:sz w:val="16"/>
                <w:szCs w:val="16"/>
              </w:rPr>
            </w:pPr>
            <w:r>
              <w:rPr>
                <w:rFonts w:ascii="Times New Roman" w:hAnsi="Times New Roman"/>
                <w:color w:val="0070C0"/>
                <w:sz w:val="16"/>
                <w:szCs w:val="16"/>
              </w:rPr>
              <w:t>моторам</w:t>
            </w:r>
          </w:p>
        </w:tc>
      </w:tr>
      <w:tr w:rsidR="00252267" w:rsidRPr="00252267" w14:paraId="33B615C5" w14:textId="77777777" w:rsidTr="00917A8C">
        <w:trPr>
          <w:trHeight w:val="367"/>
        </w:trPr>
        <w:tc>
          <w:tcPr>
            <w:tcW w:w="1337" w:type="dxa"/>
            <w:shd w:val="clear" w:color="auto" w:fill="auto"/>
            <w:vAlign w:val="bottom"/>
          </w:tcPr>
          <w:p w14:paraId="70404B0D"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11929/30</w:t>
            </w:r>
          </w:p>
        </w:tc>
        <w:tc>
          <w:tcPr>
            <w:tcW w:w="1206" w:type="dxa"/>
            <w:shd w:val="clear" w:color="auto" w:fill="auto"/>
            <w:vAlign w:val="bottom"/>
          </w:tcPr>
          <w:p w14:paraId="6D8C2615"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4227</w:t>
            </w:r>
          </w:p>
        </w:tc>
        <w:tc>
          <w:tcPr>
            <w:tcW w:w="2478" w:type="dxa"/>
            <w:shd w:val="clear" w:color="auto" w:fill="auto"/>
            <w:vAlign w:val="bottom"/>
          </w:tcPr>
          <w:p w14:paraId="2B243E2E"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356</w:t>
            </w:r>
          </w:p>
        </w:tc>
        <w:tc>
          <w:tcPr>
            <w:tcW w:w="1407" w:type="dxa"/>
            <w:shd w:val="clear" w:color="auto" w:fill="auto"/>
            <w:vAlign w:val="bottom"/>
          </w:tcPr>
          <w:p w14:paraId="3E4D39FB"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4663</w:t>
            </w:r>
          </w:p>
        </w:tc>
      </w:tr>
      <w:tr w:rsidR="00252267" w:rsidRPr="00252267" w14:paraId="78CA5F37" w14:textId="77777777" w:rsidTr="00917A8C">
        <w:trPr>
          <w:trHeight w:val="367"/>
        </w:trPr>
        <w:tc>
          <w:tcPr>
            <w:tcW w:w="1337" w:type="dxa"/>
            <w:shd w:val="clear" w:color="auto" w:fill="auto"/>
            <w:vAlign w:val="bottom"/>
          </w:tcPr>
          <w:p w14:paraId="6B6DFA42"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11930/81</w:t>
            </w:r>
          </w:p>
        </w:tc>
        <w:tc>
          <w:tcPr>
            <w:tcW w:w="1206" w:type="dxa"/>
            <w:shd w:val="clear" w:color="auto" w:fill="auto"/>
            <w:vAlign w:val="bottom"/>
          </w:tcPr>
          <w:p w14:paraId="7526B20E"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4848</w:t>
            </w:r>
          </w:p>
        </w:tc>
        <w:tc>
          <w:tcPr>
            <w:tcW w:w="2478" w:type="dxa"/>
            <w:shd w:val="clear" w:color="auto" w:fill="auto"/>
            <w:vAlign w:val="bottom"/>
          </w:tcPr>
          <w:p w14:paraId="6889BB7E"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482</w:t>
            </w:r>
          </w:p>
        </w:tc>
        <w:tc>
          <w:tcPr>
            <w:tcW w:w="1407" w:type="dxa"/>
            <w:shd w:val="clear" w:color="auto" w:fill="auto"/>
            <w:vAlign w:val="bottom"/>
          </w:tcPr>
          <w:p w14:paraId="06EACD15"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5330</w:t>
            </w:r>
          </w:p>
        </w:tc>
      </w:tr>
      <w:tr w:rsidR="00252267" w:rsidRPr="00252267" w14:paraId="6F83D8E7" w14:textId="77777777" w:rsidTr="00917A8C">
        <w:trPr>
          <w:trHeight w:val="367"/>
        </w:trPr>
        <w:tc>
          <w:tcPr>
            <w:tcW w:w="1337" w:type="dxa"/>
            <w:shd w:val="clear" w:color="auto" w:fill="auto"/>
            <w:vAlign w:val="bottom"/>
          </w:tcPr>
          <w:p w14:paraId="06B3B0DA"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(1931/32</w:t>
            </w:r>
          </w:p>
        </w:tc>
        <w:tc>
          <w:tcPr>
            <w:tcW w:w="1206" w:type="dxa"/>
            <w:shd w:val="clear" w:color="auto" w:fill="auto"/>
            <w:vAlign w:val="bottom"/>
          </w:tcPr>
          <w:p w14:paraId="36945604"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5500</w:t>
            </w:r>
          </w:p>
        </w:tc>
        <w:tc>
          <w:tcPr>
            <w:tcW w:w="2478" w:type="dxa"/>
            <w:shd w:val="clear" w:color="auto" w:fill="auto"/>
            <w:vAlign w:val="bottom"/>
          </w:tcPr>
          <w:p w14:paraId="73B4A17B"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724</w:t>
            </w:r>
          </w:p>
        </w:tc>
        <w:tc>
          <w:tcPr>
            <w:tcW w:w="1407" w:type="dxa"/>
            <w:shd w:val="clear" w:color="auto" w:fill="auto"/>
            <w:vAlign w:val="bottom"/>
          </w:tcPr>
          <w:p w14:paraId="73A3D734"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6224</w:t>
            </w:r>
          </w:p>
        </w:tc>
      </w:tr>
      <w:tr w:rsidR="00252267" w:rsidRPr="00252267" w14:paraId="3760C156" w14:textId="77777777" w:rsidTr="00917A8C">
        <w:trPr>
          <w:trHeight w:val="367"/>
        </w:trPr>
        <w:tc>
          <w:tcPr>
            <w:tcW w:w="1337" w:type="dxa"/>
            <w:shd w:val="clear" w:color="auto" w:fill="auto"/>
            <w:vAlign w:val="bottom"/>
          </w:tcPr>
          <w:p w14:paraId="30250F3A"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1932/33</w:t>
            </w:r>
          </w:p>
        </w:tc>
        <w:tc>
          <w:tcPr>
            <w:tcW w:w="1206" w:type="dxa"/>
            <w:shd w:val="clear" w:color="auto" w:fill="auto"/>
            <w:vAlign w:val="bottom"/>
          </w:tcPr>
          <w:p w14:paraId="18C600E9"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8010</w:t>
            </w:r>
          </w:p>
        </w:tc>
        <w:tc>
          <w:tcPr>
            <w:tcW w:w="2478" w:type="dxa"/>
            <w:shd w:val="clear" w:color="auto" w:fill="auto"/>
            <w:vAlign w:val="bottom"/>
          </w:tcPr>
          <w:p w14:paraId="7F1DA024"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1287</w:t>
            </w:r>
          </w:p>
        </w:tc>
        <w:tc>
          <w:tcPr>
            <w:tcW w:w="1407" w:type="dxa"/>
            <w:shd w:val="clear" w:color="auto" w:fill="auto"/>
            <w:vAlign w:val="bottom"/>
          </w:tcPr>
          <w:p w14:paraId="2E957971"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9297.</w:t>
            </w:r>
          </w:p>
        </w:tc>
      </w:tr>
    </w:tbl>
    <w:p w14:paraId="15E5DF8E"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 xml:space="preserve">2. Приступить в 29/30 г. к постройке новых предприятий: завода «А» по производству разведывательных и истребительных аппаратов деревянной и </w:t>
      </w:r>
      <w:proofErr w:type="spellStart"/>
      <w:r w:rsidRPr="00252267">
        <w:rPr>
          <w:rFonts w:ascii="Times New Roman" w:hAnsi="Times New Roman"/>
          <w:color w:val="0070C0"/>
          <w:sz w:val="16"/>
          <w:szCs w:val="16"/>
        </w:rPr>
        <w:t>смеяанной</w:t>
      </w:r>
      <w:proofErr w:type="spellEnd"/>
      <w:r w:rsidRPr="00252267">
        <w:rPr>
          <w:rFonts w:ascii="Times New Roman" w:hAnsi="Times New Roman"/>
          <w:color w:val="0070C0"/>
          <w:sz w:val="16"/>
          <w:szCs w:val="16"/>
        </w:rPr>
        <w:t xml:space="preserve"> </w:t>
      </w:r>
      <w:proofErr w:type="spellStart"/>
      <w:r w:rsidRPr="00252267">
        <w:rPr>
          <w:rFonts w:ascii="Times New Roman" w:hAnsi="Times New Roman"/>
          <w:color w:val="0070C0"/>
          <w:sz w:val="16"/>
          <w:szCs w:val="16"/>
        </w:rPr>
        <w:t>конструкций;завода</w:t>
      </w:r>
      <w:proofErr w:type="spellEnd"/>
      <w:r w:rsidRPr="00252267">
        <w:rPr>
          <w:rFonts w:ascii="Times New Roman" w:hAnsi="Times New Roman"/>
          <w:color w:val="0070C0"/>
          <w:sz w:val="16"/>
          <w:szCs w:val="16"/>
        </w:rPr>
        <w:t xml:space="preserve"> «Б» по производству легких и тяжелых бомбардировщиков и </w:t>
      </w:r>
      <w:proofErr w:type="spellStart"/>
      <w:r w:rsidRPr="00252267">
        <w:rPr>
          <w:rFonts w:ascii="Times New Roman" w:hAnsi="Times New Roman"/>
          <w:color w:val="0070C0"/>
          <w:sz w:val="16"/>
          <w:szCs w:val="16"/>
        </w:rPr>
        <w:t>птурмовиков</w:t>
      </w:r>
      <w:proofErr w:type="spellEnd"/>
      <w:r w:rsidRPr="00252267">
        <w:rPr>
          <w:rFonts w:ascii="Times New Roman" w:hAnsi="Times New Roman"/>
          <w:color w:val="0070C0"/>
          <w:sz w:val="16"/>
          <w:szCs w:val="16"/>
        </w:rPr>
        <w:t xml:space="preserve"> металлической </w:t>
      </w:r>
      <w:proofErr w:type="spellStart"/>
      <w:r w:rsidRPr="00252267">
        <w:rPr>
          <w:rFonts w:ascii="Times New Roman" w:hAnsi="Times New Roman"/>
          <w:color w:val="0070C0"/>
          <w:sz w:val="16"/>
          <w:szCs w:val="16"/>
        </w:rPr>
        <w:t>констрцукции</w:t>
      </w:r>
      <w:proofErr w:type="spellEnd"/>
    </w:p>
    <w:p w14:paraId="2EBDFFDD" w14:textId="77777777" w:rsidR="00252267" w:rsidRPr="00252267" w:rsidRDefault="00252267" w:rsidP="00252267">
      <w:pPr>
        <w:spacing w:after="0" w:line="240" w:lineRule="auto"/>
        <w:jc w:val="both"/>
        <w:rPr>
          <w:rFonts w:ascii="Times New Roman" w:hAnsi="Times New Roman"/>
          <w:color w:val="0070C0"/>
          <w:sz w:val="16"/>
          <w:szCs w:val="16"/>
        </w:rPr>
      </w:pPr>
      <w:proofErr w:type="spellStart"/>
      <w:r w:rsidRPr="00252267">
        <w:rPr>
          <w:rFonts w:ascii="Times New Roman" w:hAnsi="Times New Roman"/>
          <w:color w:val="0070C0"/>
          <w:sz w:val="16"/>
          <w:szCs w:val="16"/>
        </w:rPr>
        <w:t>Мошность</w:t>
      </w:r>
      <w:proofErr w:type="spellEnd"/>
      <w:r w:rsidRPr="00252267">
        <w:rPr>
          <w:rFonts w:ascii="Times New Roman" w:hAnsi="Times New Roman"/>
          <w:color w:val="0070C0"/>
          <w:sz w:val="16"/>
          <w:szCs w:val="16"/>
        </w:rPr>
        <w:t xml:space="preserve"> их должна быть доведена:</w:t>
      </w:r>
    </w:p>
    <w:p w14:paraId="4A0D7A61"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по заводу "А" до 860 шт.</w:t>
      </w:r>
    </w:p>
    <w:p w14:paraId="021CC4D1"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по заводу "Б" до 196 самолетов в год.</w:t>
      </w:r>
    </w:p>
    <w:p w14:paraId="24B736C8"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3. Построить новый завод моторостроения с доведением его мощности в 1931/32 г. до 300 моторов, В 32/33 г. до 2000 моторов.</w:t>
      </w:r>
    </w:p>
    <w:p w14:paraId="23BD5A9F" w14:textId="77777777" w:rsidR="00252267" w:rsidRPr="00252267" w:rsidRDefault="00252267" w:rsidP="00252267">
      <w:pPr>
        <w:spacing w:after="0" w:line="240" w:lineRule="auto"/>
        <w:jc w:val="both"/>
        <w:rPr>
          <w:rFonts w:ascii="Times New Roman" w:hAnsi="Times New Roman"/>
          <w:color w:val="0070C0"/>
          <w:sz w:val="16"/>
          <w:szCs w:val="16"/>
        </w:rPr>
      </w:pPr>
      <w:r w:rsidRPr="00252267">
        <w:rPr>
          <w:rFonts w:ascii="Times New Roman" w:hAnsi="Times New Roman"/>
          <w:color w:val="0070C0"/>
          <w:sz w:val="16"/>
          <w:szCs w:val="16"/>
        </w:rPr>
        <w:t xml:space="preserve">/ЦГАСА, ф. 4, оп. 1, д. 941, </w:t>
      </w:r>
      <w:proofErr w:type="spellStart"/>
      <w:r w:rsidRPr="00252267">
        <w:rPr>
          <w:rFonts w:ascii="Times New Roman" w:hAnsi="Times New Roman"/>
          <w:color w:val="0070C0"/>
          <w:sz w:val="16"/>
          <w:szCs w:val="16"/>
        </w:rPr>
        <w:t>лл</w:t>
      </w:r>
      <w:proofErr w:type="spellEnd"/>
      <w:r w:rsidRPr="00252267">
        <w:rPr>
          <w:rFonts w:ascii="Times New Roman" w:hAnsi="Times New Roman"/>
          <w:color w:val="0070C0"/>
          <w:sz w:val="16"/>
          <w:szCs w:val="16"/>
        </w:rPr>
        <w:t>. 69-70/ (23370).</w:t>
      </w:r>
    </w:p>
    <w:p w14:paraId="194167AD" w14:textId="77777777" w:rsidR="00252267" w:rsidRDefault="00252267" w:rsidP="009236E3">
      <w:pPr>
        <w:spacing w:after="0" w:line="240" w:lineRule="auto"/>
        <w:jc w:val="both"/>
        <w:rPr>
          <w:rFonts w:ascii="Times New Roman" w:hAnsi="Times New Roman"/>
          <w:color w:val="000000" w:themeColor="text1"/>
          <w:sz w:val="16"/>
          <w:szCs w:val="16"/>
        </w:rPr>
      </w:pPr>
    </w:p>
    <w:p w14:paraId="6AB45ABD" w14:textId="41BD6110"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октября 1929 г.</w:t>
      </w:r>
    </w:p>
    <w:p w14:paraId="2409F342"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ПРОТОКОЛ СОВЕЩАНИЯ ПРИ ГЛАВНОМ КОНЦЕССИОННОМ КОМИТЕТЕ ПРИ СНК СССР ПО ВОПРОСАМ ПЕРЕГОВОРОВ С АМЕРИКАНСКОЙ ФИРМОЙ «КЕРТИС» О СОТРУДНИЧЕСТВЕ В ОБЛАСТИ САМОЛЕТОСТРОЕНИЯ</w:t>
      </w:r>
    </w:p>
    <w:p w14:paraId="2CC5E25A"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октября 1929 г.</w:t>
      </w:r>
    </w:p>
    <w:p w14:paraId="3E895317"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Сое. секретно</w:t>
      </w:r>
    </w:p>
    <w:p w14:paraId="35455C44"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Присутствовали: от ГКК — Лебедев, Днепров, Гуревич.</w:t>
      </w:r>
    </w:p>
    <w:p w14:paraId="40F17E69"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 УВВС2 — </w:t>
      </w:r>
      <w:proofErr w:type="spellStart"/>
      <w:r w:rsidRPr="00A259BD">
        <w:rPr>
          <w:rFonts w:ascii="Times New Roman" w:hAnsi="Times New Roman"/>
          <w:color w:val="000000" w:themeColor="text1"/>
          <w:sz w:val="16"/>
          <w:szCs w:val="16"/>
        </w:rPr>
        <w:t>Зарзар</w:t>
      </w:r>
      <w:proofErr w:type="spellEnd"/>
      <w:r w:rsidRPr="00A259BD">
        <w:rPr>
          <w:rFonts w:ascii="Times New Roman" w:hAnsi="Times New Roman"/>
          <w:color w:val="000000" w:themeColor="text1"/>
          <w:sz w:val="16"/>
          <w:szCs w:val="16"/>
        </w:rPr>
        <w:t>’</w:t>
      </w:r>
    </w:p>
    <w:p w14:paraId="0B8B5698"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НКИД - Каган</w:t>
      </w:r>
    </w:p>
    <w:p w14:paraId="7B85AD87"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Председатель: Лебедев.</w:t>
      </w:r>
    </w:p>
    <w:p w14:paraId="525F099B"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Сообщение т. </w:t>
      </w:r>
      <w:proofErr w:type="spellStart"/>
      <w:r w:rsidRPr="00A259BD">
        <w:rPr>
          <w:rFonts w:ascii="Times New Roman" w:hAnsi="Times New Roman"/>
          <w:color w:val="000000" w:themeColor="text1"/>
          <w:sz w:val="16"/>
          <w:szCs w:val="16"/>
        </w:rPr>
        <w:t>Зарзара</w:t>
      </w:r>
      <w:proofErr w:type="spellEnd"/>
      <w:r w:rsidRPr="00A259BD">
        <w:rPr>
          <w:rFonts w:ascii="Times New Roman" w:hAnsi="Times New Roman"/>
          <w:color w:val="000000" w:themeColor="text1"/>
          <w:sz w:val="16"/>
          <w:szCs w:val="16"/>
        </w:rPr>
        <w:t>.</w:t>
      </w:r>
    </w:p>
    <w:p w14:paraId="23005900"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Нас заставляет пойти на концессию следующее:</w:t>
      </w:r>
    </w:p>
    <w:p w14:paraId="5F6318BC"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Мы достигли больших успехов в деле авиастроения, но мы имеем большую задержку в темпах экстренного выпуска, масштаб выпуска у нас недостаточный. </w:t>
      </w:r>
    </w:p>
    <w:p w14:paraId="77B8C5ED"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части моторов мы находимся в затруднительном положении. У нас еще нет целого ряда типов моторов и нам приходится их импортировать. Что касается самолетов, то здесь также имеются кое-какие бреши: например, у нас нет целого ряда специальных типов самолетов. Нет самолетов для дальневосточных, камчатских линий и т.п. Нам нужно иметь по несколько десятков самолетов (я не говорю уже о сотнях) немедленно, у нас это дело не получается.</w:t>
      </w:r>
    </w:p>
    <w:p w14:paraId="068E08F1"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Благодаря недостатку импортных материалов мы более медленным темпом разворачиваем это дело, недостаток средств затрудняет быстрое строительство заводов. Также нехватка кадров и опыта.</w:t>
      </w:r>
    </w:p>
    <w:p w14:paraId="11F9B223"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касается Америки, то в части моторов, несомненно, они Европу обогнали. Можно назвать целую гамму их моторов всех нужных мощностей, которые обогнали Европу, не считая английских моторов. Они имеют конвейеры, а во Франции их вовсе нет.</w:t>
      </w:r>
    </w:p>
    <w:p w14:paraId="33339F1D"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Мы нуждаемся в том, чтобы помимо того строительства, которое в основе удовлетворяет военное ведомство и которое дает то, что нужно для военного ведомства, иметь и производство самолетов для коммерческой авиации и для авиации широкого пользования и попутно несколько типов военных самолетов.</w:t>
      </w:r>
    </w:p>
    <w:p w14:paraId="5E6BF06D"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касается линии, то тут нужно будет организовать это дело по последнему слову техники. Американцы в части воздушных сообщений: радиосвязи, электрификации и т.д. стоят, несомненно, на первом месте.</w:t>
      </w:r>
    </w:p>
    <w:p w14:paraId="6DF37E14"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Конечно, мы эту дальневосточную линию поднимаем сами, и начали уже, но медленнее, чем можно было бы это сделать. Мы не собирались сдавать эту линию в концессию и можем сдать лишь в том случае, если будем иметь дело с богатейшей организацией.</w:t>
      </w:r>
    </w:p>
    <w:p w14:paraId="3138C877"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Нам интересно и в военном отношении иметь великолепно оборудованные улицы, по которым мы могли бы маневрировать как хотим. Это для нас является весьма существенной задачей.</w:t>
      </w:r>
    </w:p>
    <w:p w14:paraId="6A6F592A"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Комиссия постановила:</w:t>
      </w:r>
    </w:p>
    <w:p w14:paraId="4CBC9B97"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 форме сотрудничества.</w:t>
      </w:r>
    </w:p>
    <w:p w14:paraId="7AA9C8F1"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Заключение особого концессионного договора на сдачу американской фирме постройки и эксплуатации завода самолетов и моторов считать нежелательным. </w:t>
      </w:r>
    </w:p>
    <w:p w14:paraId="5E8EC4A1"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 непосредственно организовать смешанное русско-американское общество, оформленное по советским законам с резиденцией в гор. Москве.</w:t>
      </w:r>
    </w:p>
    <w:p w14:paraId="261A30BA"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Основной капитал подлежит проработке в ВСНХ в абсолютных цифрах в зависимости от производственной программы и тех задач, которые будут возложены на смешанное общество. Разработку этого вопроса поручить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и ВСНХ.</w:t>
      </w:r>
    </w:p>
    <w:p w14:paraId="55CC1A0C"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Ни один из существующих заводов авиастроения смешанному обществу не передается. В задачи этого общества входит постройка новых заводов.</w:t>
      </w:r>
    </w:p>
    <w:p w14:paraId="12102D55"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Американская сторона вносит в основной капитал соответствующее имущество (машинное оборудование для заводов, самолеты и моторы на первые годы работы общества до развертывания работ, указанных в п. «в» п. 2, необходимые материалы по </w:t>
      </w:r>
      <w:proofErr w:type="spellStart"/>
      <w:r w:rsidRPr="00A259BD">
        <w:rPr>
          <w:rFonts w:ascii="Times New Roman" w:hAnsi="Times New Roman"/>
          <w:color w:val="000000" w:themeColor="text1"/>
          <w:sz w:val="16"/>
          <w:szCs w:val="16"/>
        </w:rPr>
        <w:t>электро</w:t>
      </w:r>
      <w:proofErr w:type="spellEnd"/>
      <w:r w:rsidRPr="00A259BD">
        <w:rPr>
          <w:rFonts w:ascii="Times New Roman" w:hAnsi="Times New Roman"/>
          <w:color w:val="000000" w:themeColor="text1"/>
          <w:sz w:val="16"/>
          <w:szCs w:val="16"/>
        </w:rPr>
        <w:t>, радио и техоборудованию воздушных путей и заводов) и соответствующий капитал в американских долларах.</w:t>
      </w:r>
    </w:p>
    <w:p w14:paraId="11A7C9BC"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Советская сторона вносит наличные деньги с правом внесения в общество тех или иных материалов натурой.</w:t>
      </w:r>
    </w:p>
    <w:p w14:paraId="6CF2D915"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 акций принадлежит советской стороне, 49% американской.</w:t>
      </w:r>
    </w:p>
    <w:p w14:paraId="3B7EE5C7"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Выдвинуть три варианта распределения акций в смешанном обществе.</w:t>
      </w:r>
    </w:p>
    <w:p w14:paraId="0E41D38B"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1-й вариант: американцы вносят 100%, из которых 51% передают советской стороне при условии погашения их из прибылей концессии в течение срока договора.</w:t>
      </w:r>
    </w:p>
    <w:p w14:paraId="0E5D4395"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2-й вариант: 26% предоставляется советской стороне не бесплатно, а выплачиваются в течение срока концессии из прибылей.</w:t>
      </w:r>
    </w:p>
    <w:p w14:paraId="2AF65491"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3-й вариант: американцы вносят 75%, русская сторона 25%. Американцы предоставляют советской стороне 26% бесплатно.</w:t>
      </w:r>
    </w:p>
    <w:p w14:paraId="4717034F"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течение существования общества ни одна из сторон не имеет права передавать свои акции в другие руки.</w:t>
      </w:r>
    </w:p>
    <w:p w14:paraId="58E6D639"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Срок существования общества по самолетостроению определить ориентировочно в 10 лет.</w:t>
      </w:r>
    </w:p>
    <w:p w14:paraId="2AB53175"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Правление общества организуется на паритетных началах с назначением председателя правления и директора-распорядителя общества советской стороной.</w:t>
      </w:r>
    </w:p>
    <w:p w14:paraId="04372CCD"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договоре должен быть предусмотрен вопрос о привлечении достаточного количества американских специалистов, а также вопрос о привлечении советских специалистов в таком же количестве.</w:t>
      </w:r>
    </w:p>
    <w:p w14:paraId="53BE5909"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договоре предусмотреть вопрос о патентах, которые будут во время договора, и о патентах, которые фирма закупит за это время у третьих лиц.</w:t>
      </w:r>
    </w:p>
    <w:p w14:paraId="486AA0AF"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касается остального персонала и рабочих фирмы, то руководствоваться обычными нормами концессионных договоров.</w:t>
      </w:r>
    </w:p>
    <w:p w14:paraId="3DA3416D"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Часть своей продукции (за исключением военных самолетов) общество имеет право экспортировать за границу, согласно особому соглашению на каждый год. Что касается остальной продукции, которую оно не экспортирует, то советская сторона должна принять на себя обязательство приобретения его.</w:t>
      </w:r>
    </w:p>
    <w:p w14:paraId="3B11C2FF"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Цены должны быть установлены общеевропейские.</w:t>
      </w:r>
    </w:p>
    <w:p w14:paraId="337286A8"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Прибыль делится соответственно участию в обществе.</w:t>
      </w:r>
    </w:p>
    <w:p w14:paraId="4BA4A296"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Смешанное общество приравнивается к государственным предприятиям в отношении налогов, сборов, доходов, снабжения материалами и др.</w:t>
      </w:r>
    </w:p>
    <w:p w14:paraId="05FE403E"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должен начать работу в полном объеме с 1 января 1931 года.</w:t>
      </w:r>
    </w:p>
    <w:p w14:paraId="05F345A5"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почве данного соглашения должен быть выработан устав смешанного общества, который утверждается правительством. Кроме договора об организации  общества, заключается договор о смешанном обществе по эксплуатации воздушной линии Европа-Дальний Восток (Япония - Китай).</w:t>
      </w:r>
    </w:p>
    <w:p w14:paraId="60C38A7B"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Формы сотрудничества должны быть такие же, как и в договоре на строительство самолетов.</w:t>
      </w:r>
    </w:p>
    <w:p w14:paraId="48A46BB9"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Субъектом договора по воздушной линии является Добролет.</w:t>
      </w:r>
    </w:p>
    <w:p w14:paraId="66C56648"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менее 75% летчиков и механиков должны быть из советских граждан, остальные 25% — из иностранцев.</w:t>
      </w:r>
    </w:p>
    <w:p w14:paraId="3DF1BC56"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Срок желательно установить максимум 15 лет.</w:t>
      </w:r>
    </w:p>
    <w:p w14:paraId="7DD30375"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Считать необходимым получить от американской стороны ее предложение.</w:t>
      </w:r>
    </w:p>
    <w:p w14:paraId="2338A601"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Поручить Совету гражданской авиации разработать технические и экономические основания договора по магистрали и основному капиталу.</w:t>
      </w:r>
    </w:p>
    <w:p w14:paraId="4F4529A3"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Срок для представления материалов согласовать с председателем ГКК.</w:t>
      </w:r>
    </w:p>
    <w:p w14:paraId="2B5B31AD"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Председатель ЛЕБЕДЕВ</w:t>
      </w:r>
    </w:p>
    <w:p w14:paraId="648D7D0E" w14:textId="77777777" w:rsidR="00E3073C" w:rsidRPr="00A259BD" w:rsidRDefault="00E3073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АВП РФ. Ф. 0129. On. 12. П. 125. Д. 309. Л. 7—8. Заверенная копия (20607).</w:t>
      </w:r>
    </w:p>
    <w:p w14:paraId="23037FAB" w14:textId="77777777" w:rsidR="00E3073C" w:rsidRPr="00A259BD" w:rsidRDefault="00E3073C" w:rsidP="009236E3">
      <w:pPr>
        <w:spacing w:after="0" w:line="240" w:lineRule="auto"/>
        <w:jc w:val="both"/>
        <w:rPr>
          <w:rFonts w:ascii="Times New Roman" w:hAnsi="Times New Roman"/>
          <w:color w:val="000000" w:themeColor="text1"/>
          <w:sz w:val="16"/>
          <w:szCs w:val="16"/>
        </w:rPr>
      </w:pPr>
    </w:p>
    <w:p w14:paraId="61A2A6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октября 1929 Вышло постановление СТО СССР о создании на базе ОТОС АО “</w:t>
      </w: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 нового предприятия - “Авиаза</w:t>
      </w:r>
      <w:r w:rsidRPr="00A259BD">
        <w:rPr>
          <w:rFonts w:ascii="Times New Roman" w:hAnsi="Times New Roman"/>
          <w:color w:val="000000" w:themeColor="text1"/>
          <w:sz w:val="16"/>
          <w:szCs w:val="16"/>
        </w:rPr>
        <w:softHyphen/>
        <w:t xml:space="preserve">вода ГРОСС (Гражданское опытное самолетостроение)” и передаче его в ведение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ВСНХ СССР. Директором и главным конструктором ГРОСС назначен К. А. Калинин, одновременно исполняющий обязанности главного конструктора "Авиазавода АО “</w:t>
      </w: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 (10674).</w:t>
      </w:r>
    </w:p>
    <w:p w14:paraId="37C743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27AA4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октября 1929 г. в соответствии с пост. СТО и пр.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 21 от 6.11.1929 г. завод с 1.01.1930 г. передан из УВП в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ВСНХ и стал называться Харьковский авиационный завод (ХАЗ), с 1932 г. - в ведении ГУАП НКТП. 21.05.1932 г. серийный ХАЗ объединён с ХАЗОСС в единый опытный ХАЗ, директором/ гл. конструктором которого стал К.А. Калинин. С 7.09.1934 г. ХАЗ преобразован в завод № 135 ГУАП НКТП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  г. Харьков, Белгородское шоссе п/я 231 «Экран (1938 г.);  г. Молотов/ /61023 Украина  г. Харьков ул. Сумская, 134 тел. 43-19-85, 707-08-00/ /Московское представительство:  г. Королев Московской обл. тел. 512-24-12/). В 1935 г. завод вновь перепрофилирован в серийный. В 12.1936 г. передан в 1ГУ НКОП. В 01.1939 г. передан в НКАП.</w:t>
      </w:r>
    </w:p>
    <w:p w14:paraId="661105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пр.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 82 от 18.02.1930 г. на заводе организован </w:t>
      </w:r>
      <w:proofErr w:type="spellStart"/>
      <w:r w:rsidRPr="00A259BD">
        <w:rPr>
          <w:rFonts w:ascii="Times New Roman" w:hAnsi="Times New Roman"/>
          <w:color w:val="000000" w:themeColor="text1"/>
          <w:sz w:val="16"/>
          <w:szCs w:val="16"/>
        </w:rPr>
        <w:t>моботдел</w:t>
      </w:r>
      <w:proofErr w:type="spellEnd"/>
      <w:r w:rsidRPr="00A259BD">
        <w:rPr>
          <w:rFonts w:ascii="Times New Roman" w:hAnsi="Times New Roman"/>
          <w:color w:val="000000" w:themeColor="text1"/>
          <w:sz w:val="16"/>
          <w:szCs w:val="16"/>
        </w:rPr>
        <w:t>. 3.11.1930 г. образован отдел снабжения завода.</w:t>
      </w:r>
    </w:p>
    <w:p w14:paraId="35FE36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Производственная программа завода на 1937 г.: 200 АИР-10.</w:t>
      </w:r>
    </w:p>
    <w:p w14:paraId="746B74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1937 г. велась реконструкция завода, перепланированы производственные площади. «В связи с </w:t>
      </w:r>
      <w:proofErr w:type="spellStart"/>
      <w:r w:rsidRPr="00A259BD">
        <w:rPr>
          <w:rFonts w:ascii="Times New Roman" w:hAnsi="Times New Roman"/>
          <w:color w:val="000000" w:themeColor="text1"/>
          <w:sz w:val="16"/>
          <w:szCs w:val="16"/>
        </w:rPr>
        <w:t>неудовлетворительньми</w:t>
      </w:r>
      <w:proofErr w:type="spellEnd"/>
      <w:r w:rsidRPr="00A259BD">
        <w:rPr>
          <w:rFonts w:ascii="Times New Roman" w:hAnsi="Times New Roman"/>
          <w:color w:val="000000" w:themeColor="text1"/>
          <w:sz w:val="16"/>
          <w:szCs w:val="16"/>
        </w:rPr>
        <w:t xml:space="preserve"> темпами работ» 13/20.01.193 8 г. вышел приказ № 10с провести обследование реконструкции завода; пр. № 89с от 10.03.1938 г. был снят директор завода, с 15.03.1938 г. организована группа по реконструкции завода. Пр. № 302с от 7.08.1938 г. требовалось сдать в 1938 г. в эксплуатацию 2-ю очередь главного корпуса, котельную и насосную.</w:t>
      </w:r>
    </w:p>
    <w:p w14:paraId="5952B1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 № 0259 от 3.12.1937 г., в связи с освоением на заводе «</w:t>
      </w:r>
      <w:proofErr w:type="spellStart"/>
      <w:r w:rsidRPr="00A259BD">
        <w:rPr>
          <w:rFonts w:ascii="Times New Roman" w:hAnsi="Times New Roman"/>
          <w:color w:val="000000" w:themeColor="text1"/>
          <w:sz w:val="16"/>
          <w:szCs w:val="16"/>
        </w:rPr>
        <w:t>Саркомбайн</w:t>
      </w:r>
      <w:proofErr w:type="spellEnd"/>
      <w:r w:rsidRPr="00A259BD">
        <w:rPr>
          <w:rFonts w:ascii="Times New Roman" w:hAnsi="Times New Roman"/>
          <w:color w:val="000000" w:themeColor="text1"/>
          <w:sz w:val="16"/>
          <w:szCs w:val="16"/>
        </w:rPr>
        <w:t xml:space="preserve">» выпуска Р-10 с завода в 12.1937 г. необходимо было передать два самолета, комплект стапелей и чертежей, а в 1-м квартале 1938 г. - детали и узлы на 10 самолетов; перевести 16 конструкторов во главе с зам. гл. конструктора </w:t>
      </w:r>
      <w:proofErr w:type="spellStart"/>
      <w:r w:rsidRPr="00A259BD">
        <w:rPr>
          <w:rFonts w:ascii="Times New Roman" w:hAnsi="Times New Roman"/>
          <w:color w:val="000000" w:themeColor="text1"/>
          <w:sz w:val="16"/>
          <w:szCs w:val="16"/>
        </w:rPr>
        <w:t>Арсоном</w:t>
      </w:r>
      <w:proofErr w:type="spellEnd"/>
      <w:r w:rsidRPr="00A259BD">
        <w:rPr>
          <w:rFonts w:ascii="Times New Roman" w:hAnsi="Times New Roman"/>
          <w:color w:val="000000" w:themeColor="text1"/>
          <w:sz w:val="16"/>
          <w:szCs w:val="16"/>
        </w:rPr>
        <w:t xml:space="preserve"> в КО завода и 5 ИТР на завод. По пр. № 61с от 17.02.1938 г. требовалось передать в феврале еще 3 самолета; закрепить на «</w:t>
      </w:r>
      <w:proofErr w:type="spellStart"/>
      <w:r w:rsidRPr="00A259BD">
        <w:rPr>
          <w:rFonts w:ascii="Times New Roman" w:hAnsi="Times New Roman"/>
          <w:color w:val="000000" w:themeColor="text1"/>
          <w:sz w:val="16"/>
          <w:szCs w:val="16"/>
        </w:rPr>
        <w:t>Саркомбайне</w:t>
      </w:r>
      <w:proofErr w:type="spellEnd"/>
      <w:r w:rsidRPr="00A259BD">
        <w:rPr>
          <w:rFonts w:ascii="Times New Roman" w:hAnsi="Times New Roman"/>
          <w:color w:val="000000" w:themeColor="text1"/>
          <w:sz w:val="16"/>
          <w:szCs w:val="16"/>
        </w:rPr>
        <w:t>» бригаду завода № 135 по приспособлениям до 1.05.1938 г.</w:t>
      </w:r>
    </w:p>
    <w:p w14:paraId="546A15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8/10.07.1938 г. вышел приказ № 241с о невыполнении заводом плана по выпуску ХАИ-5. Этим же приказом требовалось к 1.08.1938 г. организовать автоматное отделение цеха № 1.</w:t>
      </w:r>
    </w:p>
    <w:p w14:paraId="04CC45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составе завода цехи (1938 г.): № 1- механический, № 2- слесарно-сварочный, № 3- дюралевый, № 5- сборочный.</w:t>
      </w:r>
    </w:p>
    <w:p w14:paraId="2B8EAB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1938 г. началось освоение производства ББ-1 (Су-2), с 05.1939 г. - реконструкция завода под его выпуск. В соответствии с пост. Правительства № 237сс от 29.07.1939 г. и приказом НКАП № 208сс самолет ББ-1 запускался в серийное производство на заводе № 135. Необходимо было уже в 1939 г. выпустить 10 машин, а в 1940 г.- 500 Су-2. В 1939-1940 г. при заводе работало КБ П.О. Сухого.</w:t>
      </w:r>
    </w:p>
    <w:p w14:paraId="1B5715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1939 г. проектная мощность завода составляла 1000 одномоторных бомбардировщиков в год. План производства на 1941 г.: 600 Су-2. К началу войны завод стал головным по выпуску Су-2.</w:t>
      </w:r>
      <w:r w:rsidRPr="00A259BD">
        <w:rPr>
          <w:rFonts w:ascii="Times New Roman" w:hAnsi="Times New Roman"/>
          <w:color w:val="000000" w:themeColor="text1"/>
          <w:sz w:val="16"/>
          <w:szCs w:val="16"/>
          <w:vertAlign w:val="superscript"/>
        </w:rPr>
        <w:t>144</w:t>
      </w:r>
    </w:p>
    <w:p w14:paraId="76D68B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1940-41 г.- на заводе работало КБ П.Д. Грушина.</w:t>
      </w:r>
    </w:p>
    <w:p w14:paraId="1FB8F6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войны (~в 1940 г.) заводу № 135 был передан завод № 3 НКВД.</w:t>
      </w:r>
    </w:p>
    <w:p w14:paraId="15C3AC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приказу № 626с от 5.07.1941 г. завод № 450 НКАП преобразован в филиал завода № 135.</w:t>
      </w:r>
    </w:p>
    <w:p w14:paraId="0EAD82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11.1941 г. завод № 135 1ГУ НКАП был эвакуирован в Молотов (решение о эвакуации принято в середине сентября) на площадку строящегося завода № 19 НКАП, где до 01.1942 г. продолжался выпуск Су-2. По приказу № 1050сс от 8.10.1941 г. площадку завода № 135 эвакуирован завод № 289 НКАП. Фактически личный состав и имущество завода были переданы заводу № 135 без оформления. Далее завод № 289 продолжил действовать как самостоятельный. Сюда же эвакуированы заводы № 207 и № 480 НКАП и по приказу № 1103с от 9.11.1941 г. влиты в состав завода № 135. Производство запчастей к самолетам. В соответствии с пост. ГКО № 916 от 19.11.1941 г. заводу поручено производство Ил-2 с М-82. 27.12.1941 г. завод получил документацию на освоение производства Ил-2.</w:t>
      </w:r>
    </w:p>
    <w:p w14:paraId="316C10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пост. ГКО № 1208сс от 24.01.1942 г. и приказом № 79сс от 26.01.1942 г. завод № 135 был расформирован, оборудование и кадры переданы заводам № 30, № 23 и № 381 НКАП. Ремонтные мастерские переведены на площадку бывшего завода № 18 НКАП.</w:t>
      </w:r>
    </w:p>
    <w:p w14:paraId="19C1BA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23.08.1943 г. Харьков был освобожден, и 28.08.1943 г. ГКО принял решение о восстановлении авиационного завода. По приказу от 29.08.1943 г. начата организация основных производственных подразделений. Завод вновь образован на своей прежней площадке в  г.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proofErr w:type="spellStart"/>
      <w:r w:rsidRPr="00A259BD">
        <w:rPr>
          <w:rFonts w:ascii="Times New Roman" w:hAnsi="Times New Roman"/>
          <w:color w:val="000000" w:themeColor="text1"/>
          <w:sz w:val="16"/>
          <w:szCs w:val="16"/>
          <w:lang w:val="en-US"/>
        </w:rPr>
        <w:t>JIa</w:t>
      </w:r>
      <w:proofErr w:type="spellEnd"/>
      <w:r w:rsidRPr="00A259BD">
        <w:rPr>
          <w:rFonts w:ascii="Times New Roman" w:hAnsi="Times New Roman"/>
          <w:color w:val="000000" w:themeColor="text1"/>
          <w:sz w:val="16"/>
          <w:szCs w:val="16"/>
        </w:rPr>
        <w:t>-5,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380EE7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1945-46 г. на завод поставлено трофейное оборудование из Вены с заводов «</w:t>
      </w:r>
      <w:proofErr w:type="spellStart"/>
      <w:r w:rsidRPr="00A259BD">
        <w:rPr>
          <w:rFonts w:ascii="Times New Roman" w:hAnsi="Times New Roman"/>
          <w:color w:val="000000" w:themeColor="text1"/>
          <w:sz w:val="16"/>
          <w:szCs w:val="16"/>
        </w:rPr>
        <w:t>Штейер</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Дамлер</w:t>
      </w:r>
      <w:proofErr w:type="spellEnd"/>
      <w:r w:rsidRPr="00A259BD">
        <w:rPr>
          <w:rFonts w:ascii="Times New Roman" w:hAnsi="Times New Roman"/>
          <w:color w:val="000000" w:themeColor="text1"/>
          <w:sz w:val="16"/>
          <w:szCs w:val="16"/>
        </w:rPr>
        <w:t>-Пух» (330 единиц), «</w:t>
      </w:r>
      <w:proofErr w:type="spellStart"/>
      <w:r w:rsidRPr="00A259BD">
        <w:rPr>
          <w:rFonts w:ascii="Times New Roman" w:hAnsi="Times New Roman"/>
          <w:color w:val="000000" w:themeColor="text1"/>
          <w:sz w:val="16"/>
          <w:szCs w:val="16"/>
        </w:rPr>
        <w:t>Мессершмит</w:t>
      </w:r>
      <w:proofErr w:type="spellEnd"/>
      <w:r w:rsidRPr="00A259BD">
        <w:rPr>
          <w:rFonts w:ascii="Times New Roman" w:hAnsi="Times New Roman"/>
          <w:color w:val="000000" w:themeColor="text1"/>
          <w:sz w:val="16"/>
          <w:szCs w:val="16"/>
        </w:rPr>
        <w:t>» и «Хейнкель» - всего 487 единиц.</w:t>
      </w:r>
    </w:p>
    <w:p w14:paraId="2ECFF2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7A8D2B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1946 г. передан в 11ГУ, с 01.1950 г.- из 11ГУ в 1ГУ, а с 1.07.1954 г.- в ЮГУ. В соответствии с пост. СМ СССР № 713-342 от 26.06.1957 г. передан в ведение СНХ УССР.</w:t>
      </w:r>
    </w:p>
    <w:p w14:paraId="14CDE5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39D7CE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w:t>
      </w:r>
      <w:proofErr w:type="spellStart"/>
      <w:r w:rsidRPr="00A259BD">
        <w:rPr>
          <w:rFonts w:ascii="Times New Roman" w:hAnsi="Times New Roman"/>
          <w:color w:val="000000" w:themeColor="text1"/>
          <w:sz w:val="16"/>
          <w:szCs w:val="16"/>
        </w:rPr>
        <w:t>превого</w:t>
      </w:r>
      <w:proofErr w:type="spellEnd"/>
      <w:r w:rsidRPr="00A259BD">
        <w:rPr>
          <w:rFonts w:ascii="Times New Roman" w:hAnsi="Times New Roman"/>
          <w:color w:val="000000" w:themeColor="text1"/>
          <w:sz w:val="16"/>
          <w:szCs w:val="16"/>
        </w:rPr>
        <w:t xml:space="preserve">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27105A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18.07.1958 г. вышло Постановление СМ СССР о серийном производстве Ту-124.</w:t>
      </w:r>
    </w:p>
    <w:p w14:paraId="396C8D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пост, правительства № 846-341 от 1.08.1960 г. началась подготовка к выпуску Ту-134.</w:t>
      </w:r>
    </w:p>
    <w:p w14:paraId="147E7A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5332BB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5C527E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63BA5A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7F1E11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04.1978 г. принято Постановление СМ СССР о производстве Х-55. В 12.1986 г. принято решение о передаче производства Х-55 на Кировский завод «</w:t>
      </w:r>
      <w:proofErr w:type="spellStart"/>
      <w:r w:rsidRPr="00A259BD">
        <w:rPr>
          <w:rFonts w:ascii="Times New Roman" w:hAnsi="Times New Roman"/>
          <w:color w:val="000000" w:themeColor="text1"/>
          <w:sz w:val="16"/>
          <w:szCs w:val="16"/>
        </w:rPr>
        <w:t>Авитек</w:t>
      </w:r>
      <w:proofErr w:type="spellEnd"/>
      <w:r w:rsidRPr="00A259BD">
        <w:rPr>
          <w:rFonts w:ascii="Times New Roman" w:hAnsi="Times New Roman"/>
          <w:color w:val="000000" w:themeColor="text1"/>
          <w:sz w:val="16"/>
          <w:szCs w:val="16"/>
        </w:rPr>
        <w:t>».</w:t>
      </w:r>
    </w:p>
    <w:p w14:paraId="3F920E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приказу МАП № 63с от 03.1979 г. производство Ан-72 было передано с </w:t>
      </w:r>
      <w:proofErr w:type="spellStart"/>
      <w:r w:rsidRPr="00A259BD">
        <w:rPr>
          <w:rFonts w:ascii="Times New Roman" w:hAnsi="Times New Roman"/>
          <w:color w:val="000000" w:themeColor="text1"/>
          <w:sz w:val="16"/>
          <w:szCs w:val="16"/>
        </w:rPr>
        <w:t>КиАПО</w:t>
      </w:r>
      <w:proofErr w:type="spellEnd"/>
      <w:r w:rsidRPr="00A259BD">
        <w:rPr>
          <w:rFonts w:ascii="Times New Roman" w:hAnsi="Times New Roman"/>
          <w:color w:val="000000" w:themeColor="text1"/>
          <w:sz w:val="16"/>
          <w:szCs w:val="16"/>
        </w:rPr>
        <w:t xml:space="preserve"> на ХАПО. По приказу Ш 519 от 4.12.1980 г. на заводе начаты работы по подготовке серийного производства Ан-72 и Ан-74. По приказу МАП № 15с от 13.01.1982 г. на завод с </w:t>
      </w:r>
      <w:proofErr w:type="spellStart"/>
      <w:r w:rsidRPr="00A259BD">
        <w:rPr>
          <w:rFonts w:ascii="Times New Roman" w:hAnsi="Times New Roman"/>
          <w:color w:val="000000" w:themeColor="text1"/>
          <w:sz w:val="16"/>
          <w:szCs w:val="16"/>
        </w:rPr>
        <w:t>КиАПО</w:t>
      </w:r>
      <w:proofErr w:type="spellEnd"/>
      <w:r w:rsidRPr="00A259BD">
        <w:rPr>
          <w:rFonts w:ascii="Times New Roman" w:hAnsi="Times New Roman"/>
          <w:color w:val="000000" w:themeColor="text1"/>
          <w:sz w:val="16"/>
          <w:szCs w:val="16"/>
        </w:rPr>
        <w:t xml:space="preserve"> передана техдокументация, оснастка и </w:t>
      </w:r>
      <w:proofErr w:type="spellStart"/>
      <w:r w:rsidRPr="00A259BD">
        <w:rPr>
          <w:rFonts w:ascii="Times New Roman" w:hAnsi="Times New Roman"/>
          <w:color w:val="000000" w:themeColor="text1"/>
          <w:sz w:val="16"/>
          <w:szCs w:val="16"/>
        </w:rPr>
        <w:t>незавешенное</w:t>
      </w:r>
      <w:proofErr w:type="spellEnd"/>
      <w:r w:rsidRPr="00A259BD">
        <w:rPr>
          <w:rFonts w:ascii="Times New Roman" w:hAnsi="Times New Roman"/>
          <w:color w:val="000000" w:themeColor="text1"/>
          <w:sz w:val="16"/>
          <w:szCs w:val="16"/>
        </w:rPr>
        <w:t xml:space="preserve"> производство по Ан-72. В 06.1984 г. начались работы по подготовке производства Ан-74.</w:t>
      </w:r>
    </w:p>
    <w:p w14:paraId="613E5F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19.06.1986 г. вступил в строй механический цех № 54.</w:t>
      </w:r>
    </w:p>
    <w:p w14:paraId="30E671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13ACBE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w:t>
      </w:r>
      <w:proofErr w:type="spellStart"/>
      <w:r w:rsidRPr="00A259BD">
        <w:rPr>
          <w:rFonts w:ascii="Times New Roman" w:hAnsi="Times New Roman"/>
          <w:color w:val="000000" w:themeColor="text1"/>
          <w:sz w:val="16"/>
          <w:szCs w:val="16"/>
        </w:rPr>
        <w:t>плазово</w:t>
      </w:r>
      <w:proofErr w:type="spellEnd"/>
      <w:r w:rsidRPr="00A259BD">
        <w:rPr>
          <w:rFonts w:ascii="Times New Roman" w:hAnsi="Times New Roman"/>
          <w:color w:val="000000" w:themeColor="text1"/>
          <w:sz w:val="16"/>
          <w:szCs w:val="16"/>
        </w:rPr>
        <w:t>-шаблонного цеха№ 19.</w:t>
      </w:r>
    </w:p>
    <w:p w14:paraId="651EB4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w:t>
      </w:r>
      <w:proofErr w:type="spellStart"/>
      <w:r w:rsidRPr="00A259BD">
        <w:rPr>
          <w:rFonts w:ascii="Times New Roman" w:hAnsi="Times New Roman"/>
          <w:color w:val="000000" w:themeColor="text1"/>
          <w:sz w:val="16"/>
          <w:szCs w:val="16"/>
        </w:rPr>
        <w:t>декларационно</w:t>
      </w:r>
      <w:proofErr w:type="spellEnd"/>
      <w:r w:rsidRPr="00A259BD">
        <w:rPr>
          <w:rFonts w:ascii="Times New Roman" w:hAnsi="Times New Roman"/>
          <w:color w:val="000000" w:themeColor="text1"/>
          <w:sz w:val="16"/>
          <w:szCs w:val="16"/>
        </w:rPr>
        <w:t xml:space="preserve">-таможенный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A259BD">
        <w:rPr>
          <w:rFonts w:ascii="Times New Roman" w:hAnsi="Times New Roman"/>
          <w:color w:val="000000" w:themeColor="text1"/>
          <w:sz w:val="16"/>
          <w:szCs w:val="16"/>
          <w:lang w:val="en-US"/>
        </w:rPr>
        <w:t>WEB</w:t>
      </w:r>
      <w:r w:rsidRPr="00A259BD">
        <w:rPr>
          <w:rFonts w:ascii="Times New Roman" w:hAnsi="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A259BD">
        <w:rPr>
          <w:rFonts w:ascii="Times New Roman" w:hAnsi="Times New Roman"/>
          <w:color w:val="000000" w:themeColor="text1"/>
          <w:sz w:val="16"/>
          <w:szCs w:val="16"/>
          <w:lang w:val="en-US"/>
        </w:rPr>
        <w:t>PR</w:t>
      </w:r>
      <w:r w:rsidRPr="00A259BD">
        <w:rPr>
          <w:rFonts w:ascii="Times New Roman" w:hAnsi="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65EE2A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7CE3E0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Количество оборудования: (11.1940 г.)- 502 металлорежущих станков.</w:t>
      </w:r>
    </w:p>
    <w:p w14:paraId="4D21E6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(09.1924 г.)- 17 чел., (03.1925 г.)- 50 чел., (1927 г.)- 107 чел., (1983 г.)- 12.500 чел., (2002 г.)~ 9000 чел.</w:t>
      </w:r>
    </w:p>
    <w:p w14:paraId="289B9E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(17.09-12.12.1926; 16.10-16.11.1927; 21.05.1932-7.02.1934 г.)- К.А. Калинин, (12.12.1926- 16.10.1927 г.)- Л.М. </w:t>
      </w:r>
      <w:proofErr w:type="spellStart"/>
      <w:r w:rsidRPr="00A259BD">
        <w:rPr>
          <w:rFonts w:ascii="Times New Roman" w:hAnsi="Times New Roman"/>
          <w:color w:val="000000" w:themeColor="text1"/>
          <w:sz w:val="16"/>
          <w:szCs w:val="16"/>
        </w:rPr>
        <w:t>Мандрыко</w:t>
      </w:r>
      <w:proofErr w:type="spellEnd"/>
      <w:r w:rsidRPr="00A259BD">
        <w:rPr>
          <w:rFonts w:ascii="Times New Roman" w:hAnsi="Times New Roman"/>
          <w:color w:val="000000" w:themeColor="text1"/>
          <w:sz w:val="16"/>
          <w:szCs w:val="16"/>
        </w:rPr>
        <w:t xml:space="preserve">, (16.11.1927-05.1930 г.)- С.А. </w:t>
      </w:r>
      <w:proofErr w:type="spellStart"/>
      <w:r w:rsidRPr="00A259BD">
        <w:rPr>
          <w:rFonts w:ascii="Times New Roman" w:hAnsi="Times New Roman"/>
          <w:color w:val="000000" w:themeColor="text1"/>
          <w:sz w:val="16"/>
          <w:szCs w:val="16"/>
        </w:rPr>
        <w:t>Кривоконь</w:t>
      </w:r>
      <w:proofErr w:type="spellEnd"/>
      <w:r w:rsidRPr="00A259BD">
        <w:rPr>
          <w:rFonts w:ascii="Times New Roman" w:hAnsi="Times New Roman"/>
          <w:color w:val="000000" w:themeColor="text1"/>
          <w:sz w:val="16"/>
          <w:szCs w:val="16"/>
        </w:rPr>
        <w:t xml:space="preserve">, (05.1930-25.11.1931 г.)- Н.П. Королев, (25.11.1931 -21.05.1932 г.)- В.И. Ситников, (7.02.1934-1.07.1936 г.)- С.Ф. Буздалин, (1.07.1936-10.03.1938 г.)-  Г.И. Васильев; и.о. (11.05.1938 г.-)- И.А. </w:t>
      </w:r>
      <w:proofErr w:type="spellStart"/>
      <w:r w:rsidRPr="00A259BD">
        <w:rPr>
          <w:rFonts w:ascii="Times New Roman" w:hAnsi="Times New Roman"/>
          <w:color w:val="000000" w:themeColor="text1"/>
          <w:sz w:val="16"/>
          <w:szCs w:val="16"/>
        </w:rPr>
        <w:t>Энгелыптейн</w:t>
      </w:r>
      <w:proofErr w:type="spellEnd"/>
      <w:r w:rsidRPr="00A259BD">
        <w:rPr>
          <w:rFonts w:ascii="Times New Roman" w:hAnsi="Times New Roman"/>
          <w:color w:val="000000" w:themeColor="text1"/>
          <w:sz w:val="16"/>
          <w:szCs w:val="16"/>
        </w:rPr>
        <w:t xml:space="preserve">; (14.05.1938-05.1940 г.)- С.З. </w:t>
      </w:r>
      <w:proofErr w:type="spellStart"/>
      <w:r w:rsidRPr="00A259BD">
        <w:rPr>
          <w:rFonts w:ascii="Times New Roman" w:hAnsi="Times New Roman"/>
          <w:color w:val="000000" w:themeColor="text1"/>
          <w:sz w:val="16"/>
          <w:szCs w:val="16"/>
        </w:rPr>
        <w:t>Нейштадт</w:t>
      </w:r>
      <w:proofErr w:type="spellEnd"/>
      <w:r w:rsidRPr="00A259BD">
        <w:rPr>
          <w:rFonts w:ascii="Times New Roman" w:hAnsi="Times New Roman"/>
          <w:color w:val="000000" w:themeColor="text1"/>
          <w:sz w:val="16"/>
          <w:szCs w:val="16"/>
        </w:rPr>
        <w:t xml:space="preserve">, (05.1940-02.1941 г.)- Ю.Н. Карпов, (02.1941-01.1942; 12.1943-10.06.1946 г.)- И.М. Кузин, (10.06.1946-9.08.1949 г.)- Б.П. </w:t>
      </w:r>
      <w:proofErr w:type="spellStart"/>
      <w:r w:rsidRPr="00A259BD">
        <w:rPr>
          <w:rFonts w:ascii="Times New Roman" w:hAnsi="Times New Roman"/>
          <w:color w:val="000000" w:themeColor="text1"/>
          <w:sz w:val="16"/>
          <w:szCs w:val="16"/>
        </w:rPr>
        <w:t>Еленевич</w:t>
      </w:r>
      <w:proofErr w:type="spellEnd"/>
      <w:r w:rsidRPr="00A259BD">
        <w:rPr>
          <w:rFonts w:ascii="Times New Roman" w:hAnsi="Times New Roman"/>
          <w:color w:val="000000" w:themeColor="text1"/>
          <w:sz w:val="16"/>
          <w:szCs w:val="16"/>
        </w:rPr>
        <w:t xml:space="preserve">, (9.08.1949-5.06.1958 г.)- В.М. Лиходей, (5.06.1958-10.10.1967 г.)- Н.Ф. Корнилов, (10.10.1967-11.06.1985 г.)- Б .А. Хохлов. Гендиректор (11.06.1985-18.01.1990; 20.06.1995-8.07,2002 г.)- А.К. </w:t>
      </w:r>
      <w:proofErr w:type="spellStart"/>
      <w:r w:rsidRPr="00A259BD">
        <w:rPr>
          <w:rFonts w:ascii="Times New Roman" w:hAnsi="Times New Roman"/>
          <w:color w:val="000000" w:themeColor="text1"/>
          <w:sz w:val="16"/>
          <w:szCs w:val="16"/>
        </w:rPr>
        <w:t>Мялица</w:t>
      </w:r>
      <w:proofErr w:type="spellEnd"/>
      <w:r w:rsidRPr="00A259BD">
        <w:rPr>
          <w:rFonts w:ascii="Times New Roman" w:hAnsi="Times New Roman"/>
          <w:color w:val="000000" w:themeColor="text1"/>
          <w:sz w:val="16"/>
          <w:szCs w:val="16"/>
        </w:rPr>
        <w:t xml:space="preserve"> (затем- министр </w:t>
      </w:r>
      <w:proofErr w:type="spellStart"/>
      <w:r w:rsidRPr="00A259BD">
        <w:rPr>
          <w:rFonts w:ascii="Times New Roman" w:hAnsi="Times New Roman"/>
          <w:color w:val="000000" w:themeColor="text1"/>
          <w:sz w:val="16"/>
          <w:szCs w:val="16"/>
        </w:rPr>
        <w:t>Прмышленной</w:t>
      </w:r>
      <w:proofErr w:type="spellEnd"/>
      <w:r w:rsidRPr="00A259BD">
        <w:rPr>
          <w:rFonts w:ascii="Times New Roman" w:hAnsi="Times New Roman"/>
          <w:color w:val="000000" w:themeColor="text1"/>
          <w:sz w:val="16"/>
          <w:szCs w:val="16"/>
        </w:rPr>
        <w:t xml:space="preserve"> политики Украины), 18.01.1990-28.02.1995 г.)- Л.П. Васильченко, (28.02-20.06.1995 г.)- </w:t>
      </w:r>
      <w:r w:rsidRPr="00A259BD">
        <w:rPr>
          <w:rFonts w:ascii="Times New Roman" w:hAnsi="Times New Roman"/>
          <w:color w:val="000000" w:themeColor="text1"/>
          <w:sz w:val="16"/>
          <w:szCs w:val="16"/>
          <w:lang w:val="en-US"/>
        </w:rPr>
        <w:t>B</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C</w:t>
      </w: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Кладченко</w:t>
      </w:r>
      <w:proofErr w:type="spellEnd"/>
      <w:r w:rsidRPr="00A259BD">
        <w:rPr>
          <w:rFonts w:ascii="Times New Roman" w:hAnsi="Times New Roman"/>
          <w:color w:val="000000" w:themeColor="text1"/>
          <w:sz w:val="16"/>
          <w:szCs w:val="16"/>
        </w:rPr>
        <w:t>, (07.2002-07 г.)- П.О. Науменко; и.о. гендиректора (05.2007 г.-)- С. Задорожный.</w:t>
      </w:r>
    </w:p>
    <w:p w14:paraId="751376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директора (15.12.1937-9.09.1938 г.)- И.А. </w:t>
      </w:r>
      <w:proofErr w:type="spellStart"/>
      <w:r w:rsidRPr="00A259BD">
        <w:rPr>
          <w:rFonts w:ascii="Times New Roman" w:hAnsi="Times New Roman"/>
          <w:color w:val="000000" w:themeColor="text1"/>
          <w:sz w:val="16"/>
          <w:szCs w:val="16"/>
        </w:rPr>
        <w:t>Энгелыптейн</w:t>
      </w:r>
      <w:proofErr w:type="spellEnd"/>
      <w:r w:rsidRPr="00A259BD">
        <w:rPr>
          <w:rFonts w:ascii="Times New Roman" w:hAnsi="Times New Roman"/>
          <w:color w:val="000000" w:themeColor="text1"/>
          <w:sz w:val="16"/>
          <w:szCs w:val="16"/>
        </w:rPr>
        <w:t xml:space="preserve">, (9.09.1938 г.-)- Ю.М. </w:t>
      </w:r>
      <w:proofErr w:type="spellStart"/>
      <w:r w:rsidRPr="00A259BD">
        <w:rPr>
          <w:rFonts w:ascii="Times New Roman" w:hAnsi="Times New Roman"/>
          <w:color w:val="000000" w:themeColor="text1"/>
          <w:sz w:val="16"/>
          <w:szCs w:val="16"/>
        </w:rPr>
        <w:t>Бродянский</w:t>
      </w:r>
      <w:proofErr w:type="spellEnd"/>
      <w:r w:rsidRPr="00A259BD">
        <w:rPr>
          <w:rFonts w:ascii="Times New Roman" w:hAnsi="Times New Roman"/>
          <w:color w:val="000000" w:themeColor="text1"/>
          <w:sz w:val="16"/>
          <w:szCs w:val="16"/>
        </w:rPr>
        <w:t xml:space="preserve">. Помощник директора по найму и увольнению (-06.1937-5.11.1938 г.)- П.П. Горяинов, (15.12.1938 г.-)- Я.З. </w:t>
      </w:r>
      <w:proofErr w:type="spellStart"/>
      <w:r w:rsidRPr="00A259BD">
        <w:rPr>
          <w:rFonts w:ascii="Times New Roman" w:hAnsi="Times New Roman"/>
          <w:color w:val="000000" w:themeColor="text1"/>
          <w:sz w:val="16"/>
          <w:szCs w:val="16"/>
        </w:rPr>
        <w:t>Лихолип</w:t>
      </w:r>
      <w:proofErr w:type="spellEnd"/>
      <w:r w:rsidRPr="00A259BD">
        <w:rPr>
          <w:rFonts w:ascii="Times New Roman" w:hAnsi="Times New Roman"/>
          <w:color w:val="000000" w:themeColor="text1"/>
          <w:sz w:val="16"/>
          <w:szCs w:val="16"/>
        </w:rPr>
        <w:t xml:space="preserve">. Зам. гендиректора: технический директор (06.1997-2003 г.-)- В.И. Заяц; по производству (12.2002-03 г.-)- С.М. </w:t>
      </w:r>
      <w:proofErr w:type="spellStart"/>
      <w:r w:rsidRPr="00A259BD">
        <w:rPr>
          <w:rFonts w:ascii="Times New Roman" w:hAnsi="Times New Roman"/>
          <w:color w:val="000000" w:themeColor="text1"/>
          <w:sz w:val="16"/>
          <w:szCs w:val="16"/>
        </w:rPr>
        <w:t>Федак</w:t>
      </w:r>
      <w:proofErr w:type="spellEnd"/>
      <w:r w:rsidRPr="00A259BD">
        <w:rPr>
          <w:rFonts w:ascii="Times New Roman" w:hAnsi="Times New Roman"/>
          <w:color w:val="000000" w:themeColor="text1"/>
          <w:sz w:val="16"/>
          <w:szCs w:val="16"/>
        </w:rPr>
        <w:t xml:space="preserve">;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w:t>
      </w:r>
      <w:proofErr w:type="spellStart"/>
      <w:r w:rsidRPr="00A259BD">
        <w:rPr>
          <w:rFonts w:ascii="Times New Roman" w:hAnsi="Times New Roman"/>
          <w:color w:val="000000" w:themeColor="text1"/>
          <w:sz w:val="16"/>
          <w:szCs w:val="16"/>
        </w:rPr>
        <w:t>Кавчик</w:t>
      </w:r>
      <w:proofErr w:type="spellEnd"/>
      <w:r w:rsidRPr="00A259BD">
        <w:rPr>
          <w:rFonts w:ascii="Times New Roman" w:hAnsi="Times New Roman"/>
          <w:color w:val="000000" w:themeColor="text1"/>
          <w:sz w:val="16"/>
          <w:szCs w:val="16"/>
        </w:rPr>
        <w:t xml:space="preserve">; по капстроительству (04.1998-2003 г.-)- В.Д. Маркелов; по техническому контролю и сертификации (04.2002-03 г.-)- </w:t>
      </w:r>
      <w:r w:rsidRPr="00A259BD">
        <w:rPr>
          <w:rFonts w:ascii="Times New Roman" w:hAnsi="Times New Roman"/>
          <w:color w:val="000000" w:themeColor="text1"/>
          <w:sz w:val="16"/>
          <w:szCs w:val="16"/>
          <w:lang w:val="en-US"/>
        </w:rPr>
        <w:t>B</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C</w:t>
      </w: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Сивокозов</w:t>
      </w:r>
      <w:proofErr w:type="spellEnd"/>
      <w:r w:rsidRPr="00A259BD">
        <w:rPr>
          <w:rFonts w:ascii="Times New Roman" w:hAnsi="Times New Roman"/>
          <w:color w:val="000000" w:themeColor="text1"/>
          <w:sz w:val="16"/>
          <w:szCs w:val="16"/>
        </w:rPr>
        <w:t>;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06BA2B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инженер (28.10.1928-10.1929 г.)-  Г.Е. Петров (Горбенко), (10.1929-24.02.1933 г.)- Б.П. Лисунов, (24.02.1933- 16.04.1937 г.)- Н.Д. Востров, (16.04.1937-15.12.1937 г.)- Н.Е. Шварев (снят), (15.12.1937-9.09.1938 г.)- И.А. </w:t>
      </w:r>
      <w:proofErr w:type="spellStart"/>
      <w:r w:rsidRPr="00A259BD">
        <w:rPr>
          <w:rFonts w:ascii="Times New Roman" w:hAnsi="Times New Roman"/>
          <w:color w:val="000000" w:themeColor="text1"/>
          <w:sz w:val="16"/>
          <w:szCs w:val="16"/>
        </w:rPr>
        <w:t>Энгельштейн</w:t>
      </w:r>
      <w:proofErr w:type="spellEnd"/>
      <w:r w:rsidRPr="00A259BD">
        <w:rPr>
          <w:rFonts w:ascii="Times New Roman" w:hAnsi="Times New Roman"/>
          <w:color w:val="000000" w:themeColor="text1"/>
          <w:sz w:val="16"/>
          <w:szCs w:val="16"/>
        </w:rPr>
        <w:t xml:space="preserve">, (9.09.1938-02.1941 г.)- Ю.М. </w:t>
      </w:r>
      <w:proofErr w:type="spellStart"/>
      <w:r w:rsidRPr="00A259BD">
        <w:rPr>
          <w:rFonts w:ascii="Times New Roman" w:hAnsi="Times New Roman"/>
          <w:color w:val="000000" w:themeColor="text1"/>
          <w:sz w:val="16"/>
          <w:szCs w:val="16"/>
        </w:rPr>
        <w:t>Бродянский</w:t>
      </w:r>
      <w:proofErr w:type="spellEnd"/>
      <w:r w:rsidRPr="00A259BD">
        <w:rPr>
          <w:rFonts w:ascii="Times New Roman" w:hAnsi="Times New Roman"/>
          <w:color w:val="000000" w:themeColor="text1"/>
          <w:sz w:val="16"/>
          <w:szCs w:val="16"/>
        </w:rPr>
        <w:t xml:space="preserve">, (02.1941 -12.06.1946 г.)- П. Г. Чепелев, (12.06.1946- 11.06.1950 г.)- П. Г. </w:t>
      </w:r>
      <w:proofErr w:type="spellStart"/>
      <w:r w:rsidRPr="00A259BD">
        <w:rPr>
          <w:rFonts w:ascii="Times New Roman" w:hAnsi="Times New Roman"/>
          <w:color w:val="000000" w:themeColor="text1"/>
          <w:sz w:val="16"/>
          <w:szCs w:val="16"/>
        </w:rPr>
        <w:t>Питерин</w:t>
      </w:r>
      <w:proofErr w:type="spellEnd"/>
      <w:r w:rsidRPr="00A259BD">
        <w:rPr>
          <w:rFonts w:ascii="Times New Roman" w:hAnsi="Times New Roman"/>
          <w:color w:val="000000" w:themeColor="text1"/>
          <w:sz w:val="16"/>
          <w:szCs w:val="16"/>
        </w:rPr>
        <w:t xml:space="preserve">, (11.06.1950-7.06.1958 г.)- Н.Ф. Корнилов, (7.06.1958-18.01.1968 г.)- Б.А. Хохлов, (18.01.1968-3.09.1990 г.)- Л.П. Васильченко, (3.09.1990-20.04.1996 г.)- </w:t>
      </w:r>
      <w:r w:rsidRPr="00A259BD">
        <w:rPr>
          <w:rFonts w:ascii="Times New Roman" w:hAnsi="Times New Roman"/>
          <w:color w:val="000000" w:themeColor="text1"/>
          <w:sz w:val="16"/>
          <w:szCs w:val="16"/>
          <w:lang w:val="en-US"/>
        </w:rPr>
        <w:t>B</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C</w:t>
      </w: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Кладченко</w:t>
      </w:r>
      <w:proofErr w:type="spellEnd"/>
      <w:r w:rsidRPr="00A259BD">
        <w:rPr>
          <w:rFonts w:ascii="Times New Roman" w:hAnsi="Times New Roman"/>
          <w:color w:val="000000" w:themeColor="text1"/>
          <w:sz w:val="16"/>
          <w:szCs w:val="16"/>
        </w:rPr>
        <w:t xml:space="preserve">, (20.04-7.10.1996 г.)- В.П. </w:t>
      </w:r>
      <w:proofErr w:type="spellStart"/>
      <w:r w:rsidRPr="00A259BD">
        <w:rPr>
          <w:rFonts w:ascii="Times New Roman" w:hAnsi="Times New Roman"/>
          <w:color w:val="000000" w:themeColor="text1"/>
          <w:sz w:val="16"/>
          <w:szCs w:val="16"/>
        </w:rPr>
        <w:t>Михнич</w:t>
      </w:r>
      <w:proofErr w:type="spellEnd"/>
      <w:r w:rsidRPr="00A259BD">
        <w:rPr>
          <w:rFonts w:ascii="Times New Roman" w:hAnsi="Times New Roman"/>
          <w:color w:val="000000" w:themeColor="text1"/>
          <w:sz w:val="16"/>
          <w:szCs w:val="16"/>
        </w:rPr>
        <w:t>, (10.1996-2003 г.-&gt; В.И. Заяц.</w:t>
      </w:r>
    </w:p>
    <w:p w14:paraId="2F2B0A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гл. инженера по Ан-74- С.М. </w:t>
      </w:r>
      <w:proofErr w:type="spellStart"/>
      <w:r w:rsidRPr="00A259BD">
        <w:rPr>
          <w:rFonts w:ascii="Times New Roman" w:hAnsi="Times New Roman"/>
          <w:color w:val="000000" w:themeColor="text1"/>
          <w:sz w:val="16"/>
          <w:szCs w:val="16"/>
        </w:rPr>
        <w:t>Федак</w:t>
      </w:r>
      <w:proofErr w:type="spellEnd"/>
      <w:r w:rsidRPr="00A259BD">
        <w:rPr>
          <w:rFonts w:ascii="Times New Roman" w:hAnsi="Times New Roman"/>
          <w:color w:val="000000" w:themeColor="text1"/>
          <w:sz w:val="16"/>
          <w:szCs w:val="16"/>
        </w:rPr>
        <w:t>.</w:t>
      </w:r>
    </w:p>
    <w:p w14:paraId="213446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конструктор (12.12.1926-07.1934 г.)- К.А. Калинин, (12.1935-10.1938 г.-)- И. Г. Неман, (30.12.1938 г.-)- А.А. Дубровин, (09.1939-40 г.)- П.О. Сухой, (11(08). 1940-41 г.)- П.Д. Грушин, (2003 г.)- П.А. Клюев.</w:t>
      </w:r>
    </w:p>
    <w:p w14:paraId="6D85AB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гл. конструктора (-12.1937 г.)- </w:t>
      </w:r>
      <w:proofErr w:type="spellStart"/>
      <w:r w:rsidRPr="00A259BD">
        <w:rPr>
          <w:rFonts w:ascii="Times New Roman" w:hAnsi="Times New Roman"/>
          <w:color w:val="000000" w:themeColor="text1"/>
          <w:sz w:val="16"/>
          <w:szCs w:val="16"/>
        </w:rPr>
        <w:t>Арсон</w:t>
      </w:r>
      <w:proofErr w:type="spellEnd"/>
      <w:r w:rsidRPr="00A259BD">
        <w:rPr>
          <w:rFonts w:ascii="Times New Roman" w:hAnsi="Times New Roman"/>
          <w:color w:val="000000" w:themeColor="text1"/>
          <w:sz w:val="16"/>
          <w:szCs w:val="16"/>
        </w:rPr>
        <w:t>.</w:t>
      </w:r>
    </w:p>
    <w:p w14:paraId="3C22B5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технолог (08.1979-10.1996 г.)- В.И. Заяц, (2003 г.)- Н.А. Лысых. Гл. механик (2003 г.)- В.А. </w:t>
      </w:r>
      <w:proofErr w:type="spellStart"/>
      <w:r w:rsidRPr="00A259BD">
        <w:rPr>
          <w:rFonts w:ascii="Times New Roman" w:hAnsi="Times New Roman"/>
          <w:color w:val="000000" w:themeColor="text1"/>
          <w:sz w:val="16"/>
          <w:szCs w:val="16"/>
        </w:rPr>
        <w:t>Трушев</w:t>
      </w:r>
      <w:proofErr w:type="spellEnd"/>
      <w:r w:rsidRPr="00A259BD">
        <w:rPr>
          <w:rFonts w:ascii="Times New Roman" w:hAnsi="Times New Roman"/>
          <w:color w:val="000000" w:themeColor="text1"/>
          <w:sz w:val="16"/>
          <w:szCs w:val="16"/>
        </w:rPr>
        <w:t xml:space="preserve">. Гл. энергетик (2003 г.)- Е.Н. Полоз. Гл. метролог (2003 г.)- В.А. Савченко. Гл. металлург (01.1983-04.2002 г.)- </w:t>
      </w:r>
      <w:r w:rsidRPr="00A259BD">
        <w:rPr>
          <w:rFonts w:ascii="Times New Roman" w:hAnsi="Times New Roman"/>
          <w:color w:val="000000" w:themeColor="text1"/>
          <w:sz w:val="16"/>
          <w:szCs w:val="16"/>
          <w:lang w:val="en-US"/>
        </w:rPr>
        <w:t>B</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C</w:t>
      </w: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Сивокозов</w:t>
      </w:r>
      <w:proofErr w:type="spellEnd"/>
      <w:r w:rsidRPr="00A259BD">
        <w:rPr>
          <w:rFonts w:ascii="Times New Roman" w:hAnsi="Times New Roman"/>
          <w:color w:val="000000" w:themeColor="text1"/>
          <w:sz w:val="16"/>
          <w:szCs w:val="16"/>
        </w:rPr>
        <w:t>.</w:t>
      </w:r>
    </w:p>
    <w:p w14:paraId="1A9299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гл. технолога- В.И. Заяц.</w:t>
      </w:r>
    </w:p>
    <w:p w14:paraId="051F47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Руководитель коммерческого департамента (2007 г.)- С. Задорожный.</w:t>
      </w:r>
    </w:p>
    <w:p w14:paraId="1C0649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Гендиректор московского представительства (2002 г.)- И.Н. Платоненко.</w:t>
      </w:r>
    </w:p>
    <w:p w14:paraId="38432F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Руководитель программы Ту-141 (1976 г.-)- А.К. </w:t>
      </w:r>
      <w:proofErr w:type="spellStart"/>
      <w:r w:rsidRPr="00A259BD">
        <w:rPr>
          <w:rFonts w:ascii="Times New Roman" w:hAnsi="Times New Roman"/>
          <w:color w:val="000000" w:themeColor="text1"/>
          <w:sz w:val="16"/>
          <w:szCs w:val="16"/>
        </w:rPr>
        <w:t>Мялица</w:t>
      </w:r>
      <w:proofErr w:type="spellEnd"/>
      <w:r w:rsidRPr="00A259BD">
        <w:rPr>
          <w:rFonts w:ascii="Times New Roman" w:hAnsi="Times New Roman"/>
          <w:color w:val="000000" w:themeColor="text1"/>
          <w:sz w:val="16"/>
          <w:szCs w:val="16"/>
        </w:rPr>
        <w:t xml:space="preserve">. Директор программы Ан-140/ начальник отдела 156 (09.12.2002 г.)- С.М. </w:t>
      </w:r>
      <w:proofErr w:type="spellStart"/>
      <w:r w:rsidRPr="00A259BD">
        <w:rPr>
          <w:rFonts w:ascii="Times New Roman" w:hAnsi="Times New Roman"/>
          <w:color w:val="000000" w:themeColor="text1"/>
          <w:sz w:val="16"/>
          <w:szCs w:val="16"/>
        </w:rPr>
        <w:t>Федак</w:t>
      </w:r>
      <w:proofErr w:type="spellEnd"/>
      <w:r w:rsidRPr="00A259BD">
        <w:rPr>
          <w:rFonts w:ascii="Times New Roman" w:hAnsi="Times New Roman"/>
          <w:color w:val="000000" w:themeColor="text1"/>
          <w:sz w:val="16"/>
          <w:szCs w:val="16"/>
        </w:rPr>
        <w:t>. Директор производственно-эксплуатационного комплекса (07.2001-01.2003 г.)- Н.И. Кирсанов.</w:t>
      </w:r>
    </w:p>
    <w:p w14:paraId="049474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Начальники цехов: № 1 (1950 г.)- И.В. Филоненко; № 005- С.М. </w:t>
      </w:r>
      <w:proofErr w:type="spellStart"/>
      <w:r w:rsidRPr="00A259BD">
        <w:rPr>
          <w:rFonts w:ascii="Times New Roman" w:hAnsi="Times New Roman"/>
          <w:color w:val="000000" w:themeColor="text1"/>
          <w:sz w:val="16"/>
          <w:szCs w:val="16"/>
        </w:rPr>
        <w:t>Федак</w:t>
      </w:r>
      <w:proofErr w:type="spellEnd"/>
      <w:r w:rsidRPr="00A259BD">
        <w:rPr>
          <w:rFonts w:ascii="Times New Roman" w:hAnsi="Times New Roman"/>
          <w:color w:val="000000" w:themeColor="text1"/>
          <w:sz w:val="16"/>
          <w:szCs w:val="16"/>
        </w:rPr>
        <w:t xml:space="preserve">; № 10 (1952 г.)- Т. Г. Полякова; № 23 (1952 г.)- А.П. </w:t>
      </w:r>
      <w:proofErr w:type="spellStart"/>
      <w:r w:rsidRPr="00A259BD">
        <w:rPr>
          <w:rFonts w:ascii="Times New Roman" w:hAnsi="Times New Roman"/>
          <w:color w:val="000000" w:themeColor="text1"/>
          <w:sz w:val="16"/>
          <w:szCs w:val="16"/>
        </w:rPr>
        <w:t>Юрковский</w:t>
      </w:r>
      <w:proofErr w:type="spellEnd"/>
      <w:r w:rsidRPr="00A259BD">
        <w:rPr>
          <w:rFonts w:ascii="Times New Roman" w:hAnsi="Times New Roman"/>
          <w:color w:val="000000" w:themeColor="text1"/>
          <w:sz w:val="16"/>
          <w:szCs w:val="16"/>
        </w:rPr>
        <w:t xml:space="preserve">; № 27 (1951 г.)- М.И. Лекарев; № 28 (1954 г.)- И.М. </w:t>
      </w:r>
      <w:proofErr w:type="spellStart"/>
      <w:r w:rsidRPr="00A259BD">
        <w:rPr>
          <w:rFonts w:ascii="Times New Roman" w:hAnsi="Times New Roman"/>
          <w:color w:val="000000" w:themeColor="text1"/>
          <w:sz w:val="16"/>
          <w:szCs w:val="16"/>
        </w:rPr>
        <w:t>Бергардт</w:t>
      </w:r>
      <w:proofErr w:type="spellEnd"/>
      <w:r w:rsidRPr="00A259BD">
        <w:rPr>
          <w:rFonts w:ascii="Times New Roman" w:hAnsi="Times New Roman"/>
          <w:color w:val="000000" w:themeColor="text1"/>
          <w:sz w:val="16"/>
          <w:szCs w:val="16"/>
        </w:rPr>
        <w:t xml:space="preserve">, № 028 (1980 г.-)- С.М. </w:t>
      </w:r>
      <w:proofErr w:type="spellStart"/>
      <w:r w:rsidRPr="00A259BD">
        <w:rPr>
          <w:rFonts w:ascii="Times New Roman" w:hAnsi="Times New Roman"/>
          <w:color w:val="000000" w:themeColor="text1"/>
          <w:sz w:val="16"/>
          <w:szCs w:val="16"/>
        </w:rPr>
        <w:t>Федак</w:t>
      </w:r>
      <w:proofErr w:type="spellEnd"/>
      <w:r w:rsidRPr="00A259BD">
        <w:rPr>
          <w:rFonts w:ascii="Times New Roman" w:hAnsi="Times New Roman"/>
          <w:color w:val="000000" w:themeColor="text1"/>
          <w:sz w:val="16"/>
          <w:szCs w:val="16"/>
        </w:rPr>
        <w:t xml:space="preserve">; № 29 (1954 г.)- А.П. </w:t>
      </w:r>
      <w:proofErr w:type="spellStart"/>
      <w:r w:rsidRPr="00A259BD">
        <w:rPr>
          <w:rFonts w:ascii="Times New Roman" w:hAnsi="Times New Roman"/>
          <w:color w:val="000000" w:themeColor="text1"/>
          <w:sz w:val="16"/>
          <w:szCs w:val="16"/>
        </w:rPr>
        <w:t>Юрковский</w:t>
      </w:r>
      <w:proofErr w:type="spellEnd"/>
      <w:r w:rsidRPr="00A259BD">
        <w:rPr>
          <w:rFonts w:ascii="Times New Roman" w:hAnsi="Times New Roman"/>
          <w:color w:val="000000" w:themeColor="text1"/>
          <w:sz w:val="16"/>
          <w:szCs w:val="16"/>
        </w:rPr>
        <w:t xml:space="preserve">, № 029 (1962 г.-)- В.И. Заяц; № 33 (1954 г.)- А.П. Чернушенко; № 54 (1986 г.)- Л.И. Янов; № 073 (1987 г.-)- Н.И. Кирсанов; № 85 (1976 г.)- А.К. </w:t>
      </w:r>
      <w:proofErr w:type="spellStart"/>
      <w:r w:rsidRPr="00A259BD">
        <w:rPr>
          <w:rFonts w:ascii="Times New Roman" w:hAnsi="Times New Roman"/>
          <w:color w:val="000000" w:themeColor="text1"/>
          <w:sz w:val="16"/>
          <w:szCs w:val="16"/>
        </w:rPr>
        <w:t>Мялица</w:t>
      </w:r>
      <w:proofErr w:type="spellEnd"/>
      <w:r w:rsidRPr="00A259BD">
        <w:rPr>
          <w:rFonts w:ascii="Times New Roman" w:hAnsi="Times New Roman"/>
          <w:color w:val="000000" w:themeColor="text1"/>
          <w:sz w:val="16"/>
          <w:szCs w:val="16"/>
        </w:rPr>
        <w:t>.</w:t>
      </w:r>
    </w:p>
    <w:p w14:paraId="4E387F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Начальники отделов: снабжения (11.1930 г.-)- И.И. Чуркин.</w:t>
      </w:r>
    </w:p>
    <w:p w14:paraId="688491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Руководители бригад: по приспособлениям (-1938 г.)- Гринченко.</w:t>
      </w:r>
    </w:p>
    <w:p w14:paraId="40CF22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самолеты: К-2 (1927), К-3 (1927), К-4 (1928-30)- 39, К-5 (1930-34)- 293(288), К-6 (1930), К-9 (1930), К-10 (1931), ХАИ-1 (1932)- 1, К-7 (1933)- 1, «Омега» (1933)- 1, И-</w:t>
      </w:r>
      <w:r w:rsidRPr="00A259BD">
        <w:rPr>
          <w:rFonts w:ascii="Times New Roman" w:hAnsi="Times New Roman"/>
          <w:color w:val="000000" w:themeColor="text1"/>
          <w:sz w:val="16"/>
          <w:szCs w:val="16"/>
          <w:lang w:val="en-US"/>
        </w:rPr>
        <w:t>Z</w:t>
      </w:r>
      <w:r w:rsidRPr="00A259BD">
        <w:rPr>
          <w:rFonts w:ascii="Times New Roman" w:hAnsi="Times New Roman"/>
          <w:color w:val="000000" w:themeColor="text1"/>
          <w:sz w:val="16"/>
          <w:szCs w:val="16"/>
        </w:rPr>
        <w:t xml:space="preserve"> (1934-35)- 50, ИП-1 (1936-38)- 200 (по [</w:t>
      </w:r>
      <w:r w:rsidRPr="00A259BD">
        <w:rPr>
          <w:rFonts w:ascii="Times New Roman" w:hAnsi="Times New Roman"/>
          <w:color w:val="000000" w:themeColor="text1"/>
          <w:sz w:val="16"/>
          <w:szCs w:val="16"/>
          <w:lang w:val="en-US"/>
        </w:rPr>
        <w:t>www</w:t>
      </w:r>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lang w:val="en-US"/>
        </w:rPr>
        <w:t>ksamc</w:t>
      </w:r>
      <w:proofErr w:type="spellEnd"/>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com</w:t>
      </w:r>
      <w:r w:rsidRPr="00A259BD">
        <w:rPr>
          <w:rFonts w:ascii="Times New Roman" w:hAnsi="Times New Roman"/>
          <w:color w:val="000000" w:themeColor="text1"/>
          <w:sz w:val="16"/>
          <w:szCs w:val="16"/>
        </w:rPr>
        <w:t>]- 90,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(2004); запчасти для Як-1 (1944-), крыло для Як-3 (1944-), переделка Як-9М в бомбардировщики (1945); БПЛА: Ту-141 «Стриж» (1977-90)- 152; УРВП: Х-55 (1980-87);</w:t>
      </w:r>
    </w:p>
    <w:p w14:paraId="656BBF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w:t>
      </w:r>
      <w:proofErr w:type="spellStart"/>
      <w:r w:rsidRPr="00A259BD">
        <w:rPr>
          <w:rFonts w:ascii="Times New Roman" w:hAnsi="Times New Roman"/>
          <w:color w:val="000000" w:themeColor="text1"/>
          <w:sz w:val="16"/>
          <w:szCs w:val="16"/>
        </w:rPr>
        <w:t>Светопровод</w:t>
      </w:r>
      <w:proofErr w:type="spellEnd"/>
      <w:r w:rsidRPr="00A259BD">
        <w:rPr>
          <w:rFonts w:ascii="Times New Roman" w:hAnsi="Times New Roman"/>
          <w:color w:val="000000" w:themeColor="text1"/>
          <w:sz w:val="16"/>
          <w:szCs w:val="16"/>
        </w:rPr>
        <w:t>» для слежения за пусками КА (1960).</w:t>
      </w:r>
      <w:proofErr w:type="spellStart"/>
      <w:r w:rsidRPr="00A259BD">
        <w:rPr>
          <w:rFonts w:ascii="Times New Roman" w:hAnsi="Times New Roman"/>
          <w:color w:val="000000" w:themeColor="text1"/>
          <w:sz w:val="16"/>
          <w:szCs w:val="16"/>
          <w:vertAlign w:val="superscript"/>
          <w:lang w:val="en-US"/>
        </w:rPr>
        <w:t>wwwksamc</w:t>
      </w:r>
      <w:proofErr w:type="spellEnd"/>
      <w:r w:rsidRPr="00A259BD">
        <w:rPr>
          <w:rFonts w:ascii="Times New Roman" w:hAnsi="Times New Roman"/>
          <w:color w:val="000000" w:themeColor="text1"/>
          <w:sz w:val="16"/>
          <w:szCs w:val="16"/>
          <w:vertAlign w:val="superscript"/>
        </w:rPr>
        <w:t xml:space="preserve"> сот</w:t>
      </w:r>
    </w:p>
    <w:p w14:paraId="71ABD3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Заводские №: 13534 - И-</w:t>
      </w:r>
      <w:r w:rsidRPr="00A259BD">
        <w:rPr>
          <w:rFonts w:ascii="Times New Roman" w:hAnsi="Times New Roman"/>
          <w:color w:val="000000" w:themeColor="text1"/>
          <w:sz w:val="16"/>
          <w:szCs w:val="16"/>
          <w:lang w:val="en-US"/>
        </w:rPr>
        <w:t>Z</w:t>
      </w:r>
      <w:r w:rsidRPr="00A259BD">
        <w:rPr>
          <w:rFonts w:ascii="Times New Roman" w:hAnsi="Times New Roman"/>
          <w:color w:val="000000" w:themeColor="text1"/>
          <w:sz w:val="16"/>
          <w:szCs w:val="16"/>
        </w:rPr>
        <w:t xml:space="preserve"> (11982).</w:t>
      </w:r>
    </w:p>
    <w:p w14:paraId="67EC35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D61C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октября 1929 г. в соответствии с пост. СТО от на базе ОТОС создан «Авиазавод ГРОСС» (Гражданское опытное самолетостроение) в ведении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ВСНХ. С 1930 г. - в ведении </w:t>
      </w:r>
      <w:r w:rsidRPr="00A259BD">
        <w:rPr>
          <w:rFonts w:ascii="Times New Roman" w:hAnsi="Times New Roman"/>
          <w:color w:val="000000" w:themeColor="text1"/>
          <w:sz w:val="16"/>
          <w:szCs w:val="16"/>
          <w:lang w:val="en-US"/>
        </w:rPr>
        <w:t>BOA</w:t>
      </w:r>
      <w:r w:rsidRPr="00A259BD">
        <w:rPr>
          <w:rFonts w:ascii="Times New Roman" w:hAnsi="Times New Roman"/>
          <w:color w:val="000000" w:themeColor="text1"/>
          <w:sz w:val="16"/>
          <w:szCs w:val="16"/>
        </w:rPr>
        <w:t xml:space="preserve"> ВСНХ, с 1932 г. - в ГУАП НКТП. В 05.1933 г. Авиазавод ГРОСС переименован в ХАЗОСС (Харьковский завод опытного самолетостроения) и передан в подчинение вновь образованного ВАО. 21.05.1932 г. ХАЗОСС объединён с серийным </w:t>
      </w:r>
      <w:proofErr w:type="spellStart"/>
      <w:r w:rsidRPr="00A259BD">
        <w:rPr>
          <w:rFonts w:ascii="Times New Roman" w:hAnsi="Times New Roman"/>
          <w:color w:val="000000" w:themeColor="text1"/>
          <w:sz w:val="16"/>
          <w:szCs w:val="16"/>
        </w:rPr>
        <w:t>ХАЗом</w:t>
      </w:r>
      <w:proofErr w:type="spellEnd"/>
      <w:r w:rsidRPr="00A259BD">
        <w:rPr>
          <w:rFonts w:ascii="Times New Roman" w:hAnsi="Times New Roman"/>
          <w:color w:val="000000" w:themeColor="text1"/>
          <w:sz w:val="16"/>
          <w:szCs w:val="16"/>
        </w:rPr>
        <w:t xml:space="preserve"> в единый опытный ХАЗ, директором/ гл. конструктором которого стал К.А. Калинин.</w:t>
      </w:r>
    </w:p>
    <w:p w14:paraId="100D65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07.1934 г. ОКБ Калинина переведено в Воронеж на завод № 18.</w:t>
      </w:r>
    </w:p>
    <w:p w14:paraId="6CEC78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1926-35 г. в КБ работал А.Я. Щербаков, возглавивший затем ОСК на заводе № 1.</w:t>
      </w:r>
    </w:p>
    <w:p w14:paraId="46DE63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1934-35 г. спроектированы истребители И-</w:t>
      </w:r>
      <w:r w:rsidRPr="00A259BD">
        <w:rPr>
          <w:rFonts w:ascii="Times New Roman" w:hAnsi="Times New Roman"/>
          <w:color w:val="000000" w:themeColor="text1"/>
          <w:sz w:val="16"/>
          <w:szCs w:val="16"/>
          <w:lang w:val="en-US"/>
        </w:rPr>
        <w:t>Z</w:t>
      </w:r>
      <w:r w:rsidRPr="00A259BD">
        <w:rPr>
          <w:rFonts w:ascii="Times New Roman" w:hAnsi="Times New Roman"/>
          <w:color w:val="000000" w:themeColor="text1"/>
          <w:sz w:val="16"/>
          <w:szCs w:val="16"/>
        </w:rPr>
        <w:t xml:space="preserve"> и ИП-1. В 06.1936 г. - проект ИП-2, в 09.1936 г. - ИП-3 (не были построены). В 1936-38 г. И. Г. Неманом разработан ХАИ-5 (Р-Ю). В 1938 г. - работы по достройке и испытаниям ХАИ-51 и ХАИ-52, в 1939 г. прекращены в связи с началом освоения Су-2.</w:t>
      </w:r>
    </w:p>
    <w:p w14:paraId="5CA3EF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Директор (16.10.1929-21.05.32 г.)- К.А. Калинин.</w:t>
      </w:r>
    </w:p>
    <w:p w14:paraId="18184B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конструктор (12.12.1926-07.1934 г.)- К.А. Калинин, (1934-35 г.)- Д.П. Григорович {6.02.1883-26.07.1938}, (1936-11.12.1938 г.)- И. Г. Неман (репрессирован) {26.02.1903-52}, (12.1938 г.)- А.А. Дубровин (отказался от должности и уехал в Москву).</w:t>
      </w:r>
    </w:p>
    <w:p w14:paraId="771466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гл. конструктора (1933 г.)- А.Т. Руденко.</w:t>
      </w:r>
    </w:p>
    <w:p w14:paraId="64A96A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Создано: самолеты: К-1 (26.07.1925 г.), пассажирские К-2 (12.05.1927 г.), К-3, К-4, К-5 (18.10.1929 г.), К-6, бомбардировщик К-7 (21.08.1933 г.), К-9, К-10, К-12, К-13, К-14, разведчик ХАИ-5 (Р-10) (11982).</w:t>
      </w:r>
    </w:p>
    <w:p w14:paraId="52680F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241797"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6CAA03F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684F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октября 1929 г. в Таджикистане была провозглашена Таджикская Советская Социалистическая Республика (3871).</w:t>
      </w:r>
    </w:p>
    <w:p w14:paraId="29BE40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2AA5F27"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5D11072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14C2E8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октября 1929 </w:t>
      </w:r>
      <w:proofErr w:type="spellStart"/>
      <w:r w:rsidRPr="00A259BD">
        <w:rPr>
          <w:rFonts w:ascii="Times New Roman" w:hAnsi="Times New Roman"/>
          <w:color w:val="000000" w:themeColor="text1"/>
          <w:sz w:val="16"/>
          <w:szCs w:val="16"/>
        </w:rPr>
        <w:t>Сунгарийская</w:t>
      </w:r>
      <w:proofErr w:type="spellEnd"/>
      <w:r w:rsidRPr="00A259BD">
        <w:rPr>
          <w:rFonts w:ascii="Times New Roman" w:hAnsi="Times New Roman"/>
          <w:color w:val="000000" w:themeColor="text1"/>
          <w:sz w:val="16"/>
          <w:szCs w:val="16"/>
        </w:rPr>
        <w:t xml:space="preserve"> опера</w:t>
      </w:r>
      <w:r w:rsidRPr="00A259BD">
        <w:rPr>
          <w:rFonts w:ascii="Times New Roman" w:hAnsi="Times New Roman"/>
          <w:color w:val="000000" w:themeColor="text1"/>
          <w:sz w:val="16"/>
          <w:szCs w:val="16"/>
        </w:rPr>
        <w:softHyphen/>
        <w:t xml:space="preserve">ция успешно завершилась. В срочном </w:t>
      </w:r>
      <w:proofErr w:type="spellStart"/>
      <w:r w:rsidRPr="00A259BD">
        <w:rPr>
          <w:rFonts w:ascii="Times New Roman" w:hAnsi="Times New Roman"/>
          <w:color w:val="000000" w:themeColor="text1"/>
          <w:sz w:val="16"/>
          <w:szCs w:val="16"/>
        </w:rPr>
        <w:t>политдонесении</w:t>
      </w:r>
      <w:proofErr w:type="spellEnd"/>
      <w:r w:rsidRPr="00A259BD">
        <w:rPr>
          <w:rFonts w:ascii="Times New Roman" w:hAnsi="Times New Roman"/>
          <w:color w:val="000000" w:themeColor="text1"/>
          <w:sz w:val="16"/>
          <w:szCs w:val="16"/>
        </w:rPr>
        <w:t xml:space="preserve"> в Москву указано, что три самолета получили пулевые пробо</w:t>
      </w:r>
      <w:r w:rsidRPr="00A259BD">
        <w:rPr>
          <w:rFonts w:ascii="Times New Roman" w:hAnsi="Times New Roman"/>
          <w:color w:val="000000" w:themeColor="text1"/>
          <w:sz w:val="16"/>
          <w:szCs w:val="16"/>
        </w:rPr>
        <w:softHyphen/>
        <w:t>ины, но остались в строю. 17 октября в Шанхайс</w:t>
      </w:r>
      <w:r w:rsidRPr="00A259BD">
        <w:rPr>
          <w:rFonts w:ascii="Times New Roman" w:hAnsi="Times New Roman"/>
          <w:color w:val="000000" w:themeColor="text1"/>
          <w:sz w:val="16"/>
          <w:szCs w:val="16"/>
        </w:rPr>
        <w:softHyphen/>
        <w:t>кой прессе появилось со</w:t>
      </w:r>
      <w:r w:rsidRPr="00A259BD">
        <w:rPr>
          <w:rFonts w:ascii="Times New Roman" w:hAnsi="Times New Roman"/>
          <w:color w:val="000000" w:themeColor="text1"/>
          <w:sz w:val="16"/>
          <w:szCs w:val="16"/>
        </w:rPr>
        <w:softHyphen/>
        <w:t>общение о поражении ки</w:t>
      </w:r>
      <w:r w:rsidRPr="00A259BD">
        <w:rPr>
          <w:rFonts w:ascii="Times New Roman" w:hAnsi="Times New Roman"/>
          <w:color w:val="000000" w:themeColor="text1"/>
          <w:sz w:val="16"/>
          <w:szCs w:val="16"/>
        </w:rPr>
        <w:softHyphen/>
        <w:t>тайской военной флоти</w:t>
      </w:r>
      <w:r w:rsidRPr="00A259BD">
        <w:rPr>
          <w:rFonts w:ascii="Times New Roman" w:hAnsi="Times New Roman"/>
          <w:color w:val="000000" w:themeColor="text1"/>
          <w:sz w:val="16"/>
          <w:szCs w:val="16"/>
        </w:rPr>
        <w:softHyphen/>
        <w:t>лии на р. Сунгари. Среди трех потопленных и четы</w:t>
      </w:r>
      <w:r w:rsidRPr="00A259BD">
        <w:rPr>
          <w:rFonts w:ascii="Times New Roman" w:hAnsi="Times New Roman"/>
          <w:color w:val="000000" w:themeColor="text1"/>
          <w:sz w:val="16"/>
          <w:szCs w:val="16"/>
        </w:rPr>
        <w:softHyphen/>
        <w:t xml:space="preserve">рех поврежденных </w:t>
      </w:r>
      <w:proofErr w:type="spellStart"/>
      <w:r w:rsidRPr="00A259BD">
        <w:rPr>
          <w:rFonts w:ascii="Times New Roman" w:hAnsi="Times New Roman"/>
          <w:color w:val="000000" w:themeColor="text1"/>
          <w:sz w:val="16"/>
          <w:szCs w:val="16"/>
        </w:rPr>
        <w:t>канло</w:t>
      </w:r>
      <w:proofErr w:type="spellEnd"/>
      <w:r w:rsidRPr="00A259BD">
        <w:rPr>
          <w:rFonts w:ascii="Times New Roman" w:hAnsi="Times New Roman"/>
          <w:color w:val="000000" w:themeColor="text1"/>
          <w:sz w:val="16"/>
          <w:szCs w:val="16"/>
        </w:rPr>
        <w:t>-док, а также 1000 убитых матросов почему-то упо</w:t>
      </w:r>
      <w:r w:rsidRPr="00A259BD">
        <w:rPr>
          <w:rFonts w:ascii="Times New Roman" w:hAnsi="Times New Roman"/>
          <w:color w:val="000000" w:themeColor="text1"/>
          <w:sz w:val="16"/>
          <w:szCs w:val="16"/>
        </w:rPr>
        <w:softHyphen/>
        <w:t>мянули и два уничтожен</w:t>
      </w:r>
      <w:r w:rsidRPr="00A259BD">
        <w:rPr>
          <w:rFonts w:ascii="Times New Roman" w:hAnsi="Times New Roman"/>
          <w:color w:val="000000" w:themeColor="text1"/>
          <w:sz w:val="16"/>
          <w:szCs w:val="16"/>
        </w:rPr>
        <w:softHyphen/>
        <w:t>ных китайских аэроплана. 17 октября разведс</w:t>
      </w:r>
      <w:r w:rsidRPr="00A259BD">
        <w:rPr>
          <w:rFonts w:ascii="Times New Roman" w:hAnsi="Times New Roman"/>
          <w:color w:val="000000" w:themeColor="text1"/>
          <w:sz w:val="16"/>
          <w:szCs w:val="16"/>
        </w:rPr>
        <w:softHyphen/>
        <w:t xml:space="preserve">водкой донесли, что из Харбина в </w:t>
      </w:r>
      <w:proofErr w:type="spellStart"/>
      <w:r w:rsidRPr="00A259BD">
        <w:rPr>
          <w:rFonts w:ascii="Times New Roman" w:hAnsi="Times New Roman"/>
          <w:color w:val="000000" w:themeColor="text1"/>
          <w:sz w:val="16"/>
          <w:szCs w:val="16"/>
        </w:rPr>
        <w:t>Цицикар</w:t>
      </w:r>
      <w:proofErr w:type="spellEnd"/>
      <w:r w:rsidRPr="00A259BD">
        <w:rPr>
          <w:rFonts w:ascii="Times New Roman" w:hAnsi="Times New Roman"/>
          <w:color w:val="000000" w:themeColor="text1"/>
          <w:sz w:val="16"/>
          <w:szCs w:val="16"/>
        </w:rPr>
        <w:t xml:space="preserve"> и Хай-лар отправили 12 двухме</w:t>
      </w:r>
      <w:r w:rsidRPr="00A259BD">
        <w:rPr>
          <w:rFonts w:ascii="Times New Roman" w:hAnsi="Times New Roman"/>
          <w:color w:val="000000" w:themeColor="text1"/>
          <w:sz w:val="16"/>
          <w:szCs w:val="16"/>
        </w:rPr>
        <w:softHyphen/>
        <w:t>стных бомбардировщиков “Бреге” и “</w:t>
      </w:r>
      <w:proofErr w:type="spellStart"/>
      <w:r w:rsidRPr="00A259BD">
        <w:rPr>
          <w:rFonts w:ascii="Times New Roman" w:hAnsi="Times New Roman"/>
          <w:color w:val="000000" w:themeColor="text1"/>
          <w:sz w:val="16"/>
          <w:szCs w:val="16"/>
        </w:rPr>
        <w:t>Потез</w:t>
      </w:r>
      <w:proofErr w:type="spellEnd"/>
      <w:r w:rsidRPr="00A259BD">
        <w:rPr>
          <w:rFonts w:ascii="Times New Roman" w:hAnsi="Times New Roman"/>
          <w:color w:val="000000" w:themeColor="text1"/>
          <w:sz w:val="16"/>
          <w:szCs w:val="16"/>
        </w:rPr>
        <w:t>”, личный состав от</w:t>
      </w:r>
      <w:r w:rsidRPr="00A259BD">
        <w:rPr>
          <w:rFonts w:ascii="Times New Roman" w:hAnsi="Times New Roman"/>
          <w:color w:val="000000" w:themeColor="text1"/>
          <w:sz w:val="16"/>
          <w:szCs w:val="16"/>
        </w:rPr>
        <w:softHyphen/>
        <w:t>ряда исключительно китайский. Одно</w:t>
      </w:r>
      <w:r w:rsidRPr="00A259BD">
        <w:rPr>
          <w:rFonts w:ascii="Times New Roman" w:hAnsi="Times New Roman"/>
          <w:color w:val="000000" w:themeColor="text1"/>
          <w:sz w:val="16"/>
          <w:szCs w:val="16"/>
        </w:rPr>
        <w:softHyphen/>
        <w:t>временно сообщили, что на ст. Маньч</w:t>
      </w:r>
      <w:r w:rsidRPr="00A259BD">
        <w:rPr>
          <w:rFonts w:ascii="Times New Roman" w:hAnsi="Times New Roman"/>
          <w:color w:val="000000" w:themeColor="text1"/>
          <w:sz w:val="16"/>
          <w:szCs w:val="16"/>
        </w:rPr>
        <w:softHyphen/>
        <w:t>журия прибыл двухместный “</w:t>
      </w:r>
      <w:proofErr w:type="spellStart"/>
      <w:r w:rsidRPr="00A259BD">
        <w:rPr>
          <w:rFonts w:ascii="Times New Roman" w:hAnsi="Times New Roman"/>
          <w:color w:val="000000" w:themeColor="text1"/>
          <w:sz w:val="16"/>
          <w:szCs w:val="16"/>
        </w:rPr>
        <w:t>Потез</w:t>
      </w:r>
      <w:proofErr w:type="spellEnd"/>
      <w:r w:rsidRPr="00A259BD">
        <w:rPr>
          <w:rFonts w:ascii="Times New Roman" w:hAnsi="Times New Roman"/>
          <w:color w:val="000000" w:themeColor="text1"/>
          <w:sz w:val="16"/>
          <w:szCs w:val="16"/>
        </w:rPr>
        <w:t>” “старой конструкции с малым радиу</w:t>
      </w:r>
      <w:r w:rsidRPr="00A259BD">
        <w:rPr>
          <w:rFonts w:ascii="Times New Roman" w:hAnsi="Times New Roman"/>
          <w:color w:val="000000" w:themeColor="text1"/>
          <w:sz w:val="16"/>
          <w:szCs w:val="16"/>
        </w:rPr>
        <w:softHyphen/>
        <w:t>сом действия, летчик и механик рус</w:t>
      </w:r>
      <w:r w:rsidRPr="00A259BD">
        <w:rPr>
          <w:rFonts w:ascii="Times New Roman" w:hAnsi="Times New Roman"/>
          <w:color w:val="000000" w:themeColor="text1"/>
          <w:sz w:val="16"/>
          <w:szCs w:val="16"/>
        </w:rPr>
        <w:softHyphen/>
        <w:t>ские” (11216).</w:t>
      </w:r>
    </w:p>
    <w:p w14:paraId="12A2975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9590D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EE281F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9FBB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октября 1929 года была подготовлена копия или проект постановления Распорядительного заседания СТО</w:t>
      </w:r>
    </w:p>
    <w:p w14:paraId="14E3D4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мероприятиях по развитию авиапромышленности в течении 1929-30-1932-33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w:t>
      </w:r>
    </w:p>
    <w:p w14:paraId="035074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СТО постановляет:</w:t>
      </w:r>
    </w:p>
    <w:p w14:paraId="4086DA43"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Минимальную потребность воздушного флота СССР в самолетах и моторах на год войны установить в размере:</w:t>
      </w:r>
    </w:p>
    <w:p w14:paraId="107021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126"/>
        <w:gridCol w:w="2268"/>
        <w:gridCol w:w="2126"/>
      </w:tblGrid>
      <w:tr w:rsidR="00A259BD" w:rsidRPr="00A259BD" w14:paraId="3D157CEF" w14:textId="77777777">
        <w:tc>
          <w:tcPr>
            <w:tcW w:w="2093" w:type="dxa"/>
          </w:tcPr>
          <w:p w14:paraId="38BC18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2F607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ВВС</w:t>
            </w:r>
          </w:p>
        </w:tc>
        <w:tc>
          <w:tcPr>
            <w:tcW w:w="2268" w:type="dxa"/>
          </w:tcPr>
          <w:p w14:paraId="537745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Гражданская авиация</w:t>
            </w:r>
          </w:p>
        </w:tc>
        <w:tc>
          <w:tcPr>
            <w:tcW w:w="2126" w:type="dxa"/>
          </w:tcPr>
          <w:p w14:paraId="21A474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r>
      <w:tr w:rsidR="00A259BD" w:rsidRPr="00A259BD" w14:paraId="5E731191" w14:textId="77777777">
        <w:tc>
          <w:tcPr>
            <w:tcW w:w="2093" w:type="dxa"/>
          </w:tcPr>
          <w:p w14:paraId="7C66A6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1929/30 года</w:t>
            </w:r>
          </w:p>
        </w:tc>
        <w:tc>
          <w:tcPr>
            <w:tcW w:w="2126" w:type="dxa"/>
          </w:tcPr>
          <w:p w14:paraId="08FC46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3980</w:t>
            </w:r>
          </w:p>
        </w:tc>
        <w:tc>
          <w:tcPr>
            <w:tcW w:w="2268" w:type="dxa"/>
          </w:tcPr>
          <w:p w14:paraId="511BA6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126</w:t>
            </w:r>
          </w:p>
        </w:tc>
        <w:tc>
          <w:tcPr>
            <w:tcW w:w="2126" w:type="dxa"/>
          </w:tcPr>
          <w:p w14:paraId="2CD40F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4106</w:t>
            </w:r>
          </w:p>
        </w:tc>
      </w:tr>
      <w:tr w:rsidR="00A259BD" w:rsidRPr="00A259BD" w14:paraId="71338E08" w14:textId="77777777">
        <w:tc>
          <w:tcPr>
            <w:tcW w:w="2093" w:type="dxa"/>
          </w:tcPr>
          <w:p w14:paraId="7F75E3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1930/31 года</w:t>
            </w:r>
          </w:p>
        </w:tc>
        <w:tc>
          <w:tcPr>
            <w:tcW w:w="2126" w:type="dxa"/>
          </w:tcPr>
          <w:p w14:paraId="68985C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4350</w:t>
            </w:r>
          </w:p>
        </w:tc>
        <w:tc>
          <w:tcPr>
            <w:tcW w:w="2268" w:type="dxa"/>
          </w:tcPr>
          <w:p w14:paraId="3823AA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139</w:t>
            </w:r>
          </w:p>
        </w:tc>
        <w:tc>
          <w:tcPr>
            <w:tcW w:w="2126" w:type="dxa"/>
          </w:tcPr>
          <w:p w14:paraId="4B50AE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4489</w:t>
            </w:r>
          </w:p>
        </w:tc>
      </w:tr>
      <w:tr w:rsidR="00A259BD" w:rsidRPr="00A259BD" w14:paraId="5CC74054" w14:textId="77777777">
        <w:tc>
          <w:tcPr>
            <w:tcW w:w="2093" w:type="dxa"/>
          </w:tcPr>
          <w:p w14:paraId="61DCB5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1931/32 года</w:t>
            </w:r>
          </w:p>
        </w:tc>
        <w:tc>
          <w:tcPr>
            <w:tcW w:w="2126" w:type="dxa"/>
          </w:tcPr>
          <w:p w14:paraId="6B280A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4710</w:t>
            </w:r>
          </w:p>
        </w:tc>
        <w:tc>
          <w:tcPr>
            <w:tcW w:w="2268" w:type="dxa"/>
          </w:tcPr>
          <w:p w14:paraId="7A3556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182</w:t>
            </w:r>
          </w:p>
        </w:tc>
        <w:tc>
          <w:tcPr>
            <w:tcW w:w="2126" w:type="dxa"/>
          </w:tcPr>
          <w:p w14:paraId="6B48A3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4892</w:t>
            </w:r>
          </w:p>
        </w:tc>
      </w:tr>
      <w:tr w:rsidR="00A259BD" w:rsidRPr="00A259BD" w14:paraId="31ED90D9" w14:textId="77777777">
        <w:tc>
          <w:tcPr>
            <w:tcW w:w="2093" w:type="dxa"/>
          </w:tcPr>
          <w:p w14:paraId="62FBAB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1932/33 года</w:t>
            </w:r>
          </w:p>
        </w:tc>
        <w:tc>
          <w:tcPr>
            <w:tcW w:w="2126" w:type="dxa"/>
          </w:tcPr>
          <w:p w14:paraId="6BE5ED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6865</w:t>
            </w:r>
          </w:p>
        </w:tc>
        <w:tc>
          <w:tcPr>
            <w:tcW w:w="2268" w:type="dxa"/>
          </w:tcPr>
          <w:p w14:paraId="6ED612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233</w:t>
            </w:r>
          </w:p>
        </w:tc>
        <w:tc>
          <w:tcPr>
            <w:tcW w:w="2126" w:type="dxa"/>
          </w:tcPr>
          <w:p w14:paraId="259A77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7098</w:t>
            </w:r>
          </w:p>
        </w:tc>
      </w:tr>
    </w:tbl>
    <w:p w14:paraId="01DA91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126"/>
        <w:gridCol w:w="2268"/>
        <w:gridCol w:w="2126"/>
      </w:tblGrid>
      <w:tr w:rsidR="00A259BD" w:rsidRPr="00A259BD" w14:paraId="3C3EC641" w14:textId="77777777">
        <w:tc>
          <w:tcPr>
            <w:tcW w:w="2093" w:type="dxa"/>
          </w:tcPr>
          <w:p w14:paraId="3907E0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1929/30 года</w:t>
            </w:r>
          </w:p>
        </w:tc>
        <w:tc>
          <w:tcPr>
            <w:tcW w:w="2126" w:type="dxa"/>
          </w:tcPr>
          <w:p w14:paraId="7E44F2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4297</w:t>
            </w:r>
          </w:p>
        </w:tc>
        <w:tc>
          <w:tcPr>
            <w:tcW w:w="2268" w:type="dxa"/>
          </w:tcPr>
          <w:p w14:paraId="361E9C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366</w:t>
            </w:r>
          </w:p>
        </w:tc>
        <w:tc>
          <w:tcPr>
            <w:tcW w:w="2126" w:type="dxa"/>
          </w:tcPr>
          <w:p w14:paraId="4F6DA4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4663</w:t>
            </w:r>
          </w:p>
        </w:tc>
      </w:tr>
      <w:tr w:rsidR="00A259BD" w:rsidRPr="00A259BD" w14:paraId="01A1A161" w14:textId="77777777">
        <w:tc>
          <w:tcPr>
            <w:tcW w:w="2093" w:type="dxa"/>
          </w:tcPr>
          <w:p w14:paraId="4F4888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1930/31 года</w:t>
            </w:r>
          </w:p>
        </w:tc>
        <w:tc>
          <w:tcPr>
            <w:tcW w:w="2126" w:type="dxa"/>
          </w:tcPr>
          <w:p w14:paraId="2CB8BE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4848</w:t>
            </w:r>
          </w:p>
        </w:tc>
        <w:tc>
          <w:tcPr>
            <w:tcW w:w="2268" w:type="dxa"/>
          </w:tcPr>
          <w:p w14:paraId="467EFF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482</w:t>
            </w:r>
          </w:p>
        </w:tc>
        <w:tc>
          <w:tcPr>
            <w:tcW w:w="2126" w:type="dxa"/>
          </w:tcPr>
          <w:p w14:paraId="112CE0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5330</w:t>
            </w:r>
          </w:p>
        </w:tc>
      </w:tr>
      <w:tr w:rsidR="00A259BD" w:rsidRPr="00A259BD" w14:paraId="2B762A78" w14:textId="77777777">
        <w:tc>
          <w:tcPr>
            <w:tcW w:w="2093" w:type="dxa"/>
          </w:tcPr>
          <w:p w14:paraId="30B8B7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1931/32 года</w:t>
            </w:r>
          </w:p>
        </w:tc>
        <w:tc>
          <w:tcPr>
            <w:tcW w:w="2126" w:type="dxa"/>
          </w:tcPr>
          <w:p w14:paraId="3954D7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5500</w:t>
            </w:r>
          </w:p>
        </w:tc>
        <w:tc>
          <w:tcPr>
            <w:tcW w:w="2268" w:type="dxa"/>
          </w:tcPr>
          <w:p w14:paraId="06E309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724</w:t>
            </w:r>
          </w:p>
        </w:tc>
        <w:tc>
          <w:tcPr>
            <w:tcW w:w="2126" w:type="dxa"/>
          </w:tcPr>
          <w:p w14:paraId="4EFF19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6224</w:t>
            </w:r>
          </w:p>
        </w:tc>
      </w:tr>
      <w:tr w:rsidR="00A259BD" w:rsidRPr="00A259BD" w14:paraId="3547EFE7" w14:textId="77777777">
        <w:tc>
          <w:tcPr>
            <w:tcW w:w="2093" w:type="dxa"/>
          </w:tcPr>
          <w:p w14:paraId="6F4803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1932/33 года</w:t>
            </w:r>
          </w:p>
        </w:tc>
        <w:tc>
          <w:tcPr>
            <w:tcW w:w="2126" w:type="dxa"/>
          </w:tcPr>
          <w:p w14:paraId="38C990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8010</w:t>
            </w:r>
          </w:p>
        </w:tc>
        <w:tc>
          <w:tcPr>
            <w:tcW w:w="2268" w:type="dxa"/>
          </w:tcPr>
          <w:p w14:paraId="27C2F0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1287</w:t>
            </w:r>
          </w:p>
        </w:tc>
        <w:tc>
          <w:tcPr>
            <w:tcW w:w="2126" w:type="dxa"/>
          </w:tcPr>
          <w:p w14:paraId="7C9683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9297</w:t>
            </w:r>
          </w:p>
        </w:tc>
      </w:tr>
    </w:tbl>
    <w:p w14:paraId="23CB44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Типы и конструкции подлежащих изготовлению на заводах СССР самолетов и моторов в пределах указанных выше цифр, устанавливаются НКВМ по соглашению с ВСНХ, причем НКВМ предоставляется право принимать окончательные решения по этому вопросу.</w:t>
      </w:r>
    </w:p>
    <w:p w14:paraId="480E5103"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покрытия указанной минимальной потребности воздушного флота, признать необходимым провести следующие мероприятия:</w:t>
      </w:r>
    </w:p>
    <w:p w14:paraId="6846BA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самолетостроения:</w:t>
      </w:r>
    </w:p>
    <w:p w14:paraId="7C68F0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приступить в 1929-30 году к постройке следующих новых предприятий: завода "А" – по производству разведывательных и истребительных аппаратов деревянной и смешанной конструкции, завода "Б" – по производству легких и тяжелых бомбардировщиков и штурмовиков металлической конструкции; мощность указанных предприятий к началу 1931-32 года должна быть доведена: по заводу "А" – до 860 и по заводу "Б" – до 196 самолетов в год;</w:t>
      </w:r>
    </w:p>
    <w:p w14:paraId="60D9BA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увеличить мощность существующих заводов путем их расширения до норм (при работе в две смены), полностью обеспечивающих, вместе с продукцией новых заводов "А" и "Б", начиная с 1932-33 года указанные в п. 1-м настоящего постановления потребности воздушного флота СССР; это усиление производственных мощностей существующих заводов по отдельным годам должно дать следующие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701"/>
        <w:gridCol w:w="1701"/>
        <w:gridCol w:w="1842"/>
        <w:gridCol w:w="1985"/>
      </w:tblGrid>
      <w:tr w:rsidR="00A259BD" w:rsidRPr="00A259BD" w14:paraId="7FB828DE" w14:textId="77777777">
        <w:tc>
          <w:tcPr>
            <w:tcW w:w="1668" w:type="dxa"/>
          </w:tcPr>
          <w:p w14:paraId="1BC4AE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701" w:type="dxa"/>
          </w:tcPr>
          <w:p w14:paraId="6368C8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w:t>
            </w:r>
          </w:p>
        </w:tc>
        <w:tc>
          <w:tcPr>
            <w:tcW w:w="1701" w:type="dxa"/>
          </w:tcPr>
          <w:p w14:paraId="45D0D9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w:t>
            </w:r>
          </w:p>
        </w:tc>
        <w:tc>
          <w:tcPr>
            <w:tcW w:w="1842" w:type="dxa"/>
          </w:tcPr>
          <w:p w14:paraId="783B61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w:t>
            </w:r>
          </w:p>
        </w:tc>
        <w:tc>
          <w:tcPr>
            <w:tcW w:w="1985" w:type="dxa"/>
          </w:tcPr>
          <w:p w14:paraId="191CC4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w:t>
            </w:r>
          </w:p>
        </w:tc>
      </w:tr>
      <w:tr w:rsidR="00A259BD" w:rsidRPr="00A259BD" w14:paraId="6ABBC377" w14:textId="77777777">
        <w:tc>
          <w:tcPr>
            <w:tcW w:w="1668" w:type="dxa"/>
          </w:tcPr>
          <w:p w14:paraId="5704D8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w:t>
            </w:r>
          </w:p>
        </w:tc>
        <w:tc>
          <w:tcPr>
            <w:tcW w:w="1701" w:type="dxa"/>
          </w:tcPr>
          <w:p w14:paraId="6FFCA4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910</w:t>
            </w:r>
          </w:p>
        </w:tc>
        <w:tc>
          <w:tcPr>
            <w:tcW w:w="1701" w:type="dxa"/>
          </w:tcPr>
          <w:p w14:paraId="4A3DDA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1610</w:t>
            </w:r>
          </w:p>
        </w:tc>
        <w:tc>
          <w:tcPr>
            <w:tcW w:w="1842" w:type="dxa"/>
          </w:tcPr>
          <w:p w14:paraId="41F030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2047</w:t>
            </w:r>
          </w:p>
        </w:tc>
        <w:tc>
          <w:tcPr>
            <w:tcW w:w="1985" w:type="dxa"/>
          </w:tcPr>
          <w:p w14:paraId="366F66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2300</w:t>
            </w:r>
          </w:p>
        </w:tc>
      </w:tr>
      <w:tr w:rsidR="00A259BD" w:rsidRPr="00A259BD" w14:paraId="76718FD7" w14:textId="77777777">
        <w:tc>
          <w:tcPr>
            <w:tcW w:w="1668" w:type="dxa"/>
          </w:tcPr>
          <w:p w14:paraId="4046A8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22</w:t>
            </w:r>
          </w:p>
        </w:tc>
        <w:tc>
          <w:tcPr>
            <w:tcW w:w="1701" w:type="dxa"/>
          </w:tcPr>
          <w:p w14:paraId="71B3D7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329</w:t>
            </w:r>
          </w:p>
        </w:tc>
        <w:tc>
          <w:tcPr>
            <w:tcW w:w="1701" w:type="dxa"/>
          </w:tcPr>
          <w:p w14:paraId="1B5023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w:t>
            </w:r>
          </w:p>
        </w:tc>
        <w:tc>
          <w:tcPr>
            <w:tcW w:w="1842" w:type="dxa"/>
          </w:tcPr>
          <w:p w14:paraId="6C5D16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650</w:t>
            </w:r>
          </w:p>
        </w:tc>
        <w:tc>
          <w:tcPr>
            <w:tcW w:w="1985" w:type="dxa"/>
          </w:tcPr>
          <w:p w14:paraId="4A3F38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709</w:t>
            </w:r>
          </w:p>
        </w:tc>
      </w:tr>
      <w:tr w:rsidR="00A259BD" w:rsidRPr="00A259BD" w14:paraId="00BC1ECB" w14:textId="77777777">
        <w:tc>
          <w:tcPr>
            <w:tcW w:w="1668" w:type="dxa"/>
          </w:tcPr>
          <w:p w14:paraId="7DA826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23</w:t>
            </w:r>
          </w:p>
        </w:tc>
        <w:tc>
          <w:tcPr>
            <w:tcW w:w="1701" w:type="dxa"/>
          </w:tcPr>
          <w:p w14:paraId="36E2EF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437</w:t>
            </w:r>
          </w:p>
        </w:tc>
        <w:tc>
          <w:tcPr>
            <w:tcW w:w="1701" w:type="dxa"/>
          </w:tcPr>
          <w:p w14:paraId="3B0765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573</w:t>
            </w:r>
          </w:p>
        </w:tc>
        <w:tc>
          <w:tcPr>
            <w:tcW w:w="1842" w:type="dxa"/>
          </w:tcPr>
          <w:p w14:paraId="25C963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574</w:t>
            </w:r>
          </w:p>
        </w:tc>
        <w:tc>
          <w:tcPr>
            <w:tcW w:w="1985" w:type="dxa"/>
          </w:tcPr>
          <w:p w14:paraId="39F82B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586</w:t>
            </w:r>
          </w:p>
        </w:tc>
      </w:tr>
      <w:tr w:rsidR="00A259BD" w:rsidRPr="00A259BD" w14:paraId="024BCFEE" w14:textId="77777777">
        <w:tc>
          <w:tcPr>
            <w:tcW w:w="1668" w:type="dxa"/>
          </w:tcPr>
          <w:p w14:paraId="4BF606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31</w:t>
            </w:r>
          </w:p>
        </w:tc>
        <w:tc>
          <w:tcPr>
            <w:tcW w:w="1701" w:type="dxa"/>
          </w:tcPr>
          <w:p w14:paraId="386CAA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710</w:t>
            </w:r>
          </w:p>
        </w:tc>
        <w:tc>
          <w:tcPr>
            <w:tcW w:w="1701" w:type="dxa"/>
          </w:tcPr>
          <w:p w14:paraId="3BE10C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246</w:t>
            </w:r>
          </w:p>
        </w:tc>
        <w:tc>
          <w:tcPr>
            <w:tcW w:w="1842" w:type="dxa"/>
          </w:tcPr>
          <w:p w14:paraId="43B8ED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356</w:t>
            </w:r>
          </w:p>
        </w:tc>
        <w:tc>
          <w:tcPr>
            <w:tcW w:w="1985" w:type="dxa"/>
          </w:tcPr>
          <w:p w14:paraId="288E9D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550</w:t>
            </w:r>
          </w:p>
        </w:tc>
      </w:tr>
      <w:tr w:rsidR="00A259BD" w:rsidRPr="00A259BD" w14:paraId="57F1BCA9" w14:textId="77777777">
        <w:tc>
          <w:tcPr>
            <w:tcW w:w="1668" w:type="dxa"/>
          </w:tcPr>
          <w:p w14:paraId="317495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Укрвоздухпуть</w:t>
            </w:r>
            <w:proofErr w:type="spellEnd"/>
          </w:p>
        </w:tc>
        <w:tc>
          <w:tcPr>
            <w:tcW w:w="1701" w:type="dxa"/>
          </w:tcPr>
          <w:p w14:paraId="6092B1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87</w:t>
            </w:r>
          </w:p>
        </w:tc>
        <w:tc>
          <w:tcPr>
            <w:tcW w:w="1701" w:type="dxa"/>
          </w:tcPr>
          <w:p w14:paraId="76A607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124</w:t>
            </w:r>
          </w:p>
        </w:tc>
        <w:tc>
          <w:tcPr>
            <w:tcW w:w="1842" w:type="dxa"/>
          </w:tcPr>
          <w:p w14:paraId="5A8884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w:t>
            </w:r>
          </w:p>
        </w:tc>
        <w:tc>
          <w:tcPr>
            <w:tcW w:w="1985" w:type="dxa"/>
          </w:tcPr>
          <w:p w14:paraId="4251D1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232</w:t>
            </w:r>
          </w:p>
        </w:tc>
      </w:tr>
      <w:tr w:rsidR="00A259BD" w:rsidRPr="00A259BD" w14:paraId="55F30D72" w14:textId="77777777">
        <w:tc>
          <w:tcPr>
            <w:tcW w:w="1668" w:type="dxa"/>
          </w:tcPr>
          <w:p w14:paraId="6FDF92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w:t>
            </w:r>
          </w:p>
        </w:tc>
        <w:tc>
          <w:tcPr>
            <w:tcW w:w="1701" w:type="dxa"/>
          </w:tcPr>
          <w:p w14:paraId="6F11D8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701" w:type="dxa"/>
          </w:tcPr>
          <w:p w14:paraId="1AA17F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842" w:type="dxa"/>
          </w:tcPr>
          <w:p w14:paraId="40A89F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860</w:t>
            </w:r>
          </w:p>
        </w:tc>
        <w:tc>
          <w:tcPr>
            <w:tcW w:w="1985" w:type="dxa"/>
          </w:tcPr>
          <w:p w14:paraId="1FF004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2142</w:t>
            </w:r>
          </w:p>
        </w:tc>
      </w:tr>
      <w:tr w:rsidR="00A259BD" w:rsidRPr="00A259BD" w14:paraId="25481554" w14:textId="77777777">
        <w:tc>
          <w:tcPr>
            <w:tcW w:w="1668" w:type="dxa"/>
          </w:tcPr>
          <w:p w14:paraId="6857A4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w:t>
            </w:r>
          </w:p>
        </w:tc>
        <w:tc>
          <w:tcPr>
            <w:tcW w:w="1701" w:type="dxa"/>
          </w:tcPr>
          <w:p w14:paraId="05407E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701" w:type="dxa"/>
          </w:tcPr>
          <w:p w14:paraId="163DE4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842" w:type="dxa"/>
          </w:tcPr>
          <w:p w14:paraId="5F8411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196</w:t>
            </w:r>
          </w:p>
        </w:tc>
        <w:tc>
          <w:tcPr>
            <w:tcW w:w="1985" w:type="dxa"/>
          </w:tcPr>
          <w:p w14:paraId="68A88D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579</w:t>
            </w:r>
          </w:p>
        </w:tc>
      </w:tr>
      <w:tr w:rsidR="00A259BD" w:rsidRPr="00A259BD" w14:paraId="0AB6AF4D" w14:textId="77777777">
        <w:tc>
          <w:tcPr>
            <w:tcW w:w="1668" w:type="dxa"/>
          </w:tcPr>
          <w:p w14:paraId="5966FE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1701" w:type="dxa"/>
          </w:tcPr>
          <w:p w14:paraId="5F2EE2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2473</w:t>
            </w:r>
          </w:p>
        </w:tc>
        <w:tc>
          <w:tcPr>
            <w:tcW w:w="1701" w:type="dxa"/>
          </w:tcPr>
          <w:p w14:paraId="24C60E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3003</w:t>
            </w:r>
          </w:p>
        </w:tc>
        <w:tc>
          <w:tcPr>
            <w:tcW w:w="1842" w:type="dxa"/>
          </w:tcPr>
          <w:p w14:paraId="5D2426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4875</w:t>
            </w:r>
          </w:p>
        </w:tc>
        <w:tc>
          <w:tcPr>
            <w:tcW w:w="1985" w:type="dxa"/>
          </w:tcPr>
          <w:p w14:paraId="4EDCE1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7098</w:t>
            </w:r>
          </w:p>
        </w:tc>
      </w:tr>
    </w:tbl>
    <w:p w14:paraId="1D6FC2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передать завод </w:t>
      </w: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с сохранением конструкторской группы инженера Калинина в виде самостоятельного конструкторского бюро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по смешанным конструкциям;</w:t>
      </w:r>
    </w:p>
    <w:p w14:paraId="638315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освободить к 1931/32 году завод № 1 от производства установок авиационного вооружения (турелей, синхронизаторов и проч.), сосредоточив это производство на отдельном новом заводе, подлежащем постройке и оборудованию, исходя из расчета удовлетворить полностью потребности воздушного флота в этом отношении.</w:t>
      </w:r>
    </w:p>
    <w:p w14:paraId="36E1C4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этом заводе должно быть создано специальное конструкторское бюро и цех опытного производства по названным установкам.</w:t>
      </w:r>
    </w:p>
    <w:p w14:paraId="0E408F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моторостроения:</w:t>
      </w:r>
    </w:p>
    <w:p w14:paraId="5DDE6F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закончить к 1931/32 году выделение производства вспомогательных механизмов и деталей моторов (карбюраторов, помп всех видов и назначений, поршневых колец, пружин, болтов и проч.) из основных серийных заводов и сосредоточить это производство на отдельном новом заводе, подлежащем постройке и оборудованию, с расчетом удовлетворить полностью потребности воздушного флота в этих предметах;</w:t>
      </w:r>
    </w:p>
    <w:p w14:paraId="396B83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развернуть существующие заводы и построить один новый завод с целью довести производство авиамоторов до следующих норм (при работе их в две смены):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701"/>
        <w:gridCol w:w="1701"/>
        <w:gridCol w:w="1842"/>
        <w:gridCol w:w="1985"/>
      </w:tblGrid>
      <w:tr w:rsidR="00A259BD" w:rsidRPr="00A259BD" w14:paraId="7F7E76D8" w14:textId="77777777">
        <w:tc>
          <w:tcPr>
            <w:tcW w:w="1668" w:type="dxa"/>
          </w:tcPr>
          <w:p w14:paraId="6CB276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701" w:type="dxa"/>
          </w:tcPr>
          <w:p w14:paraId="157C73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w:t>
            </w:r>
          </w:p>
        </w:tc>
        <w:tc>
          <w:tcPr>
            <w:tcW w:w="1701" w:type="dxa"/>
          </w:tcPr>
          <w:p w14:paraId="625D08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w:t>
            </w:r>
          </w:p>
        </w:tc>
        <w:tc>
          <w:tcPr>
            <w:tcW w:w="1842" w:type="dxa"/>
          </w:tcPr>
          <w:p w14:paraId="2620E7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w:t>
            </w:r>
          </w:p>
        </w:tc>
        <w:tc>
          <w:tcPr>
            <w:tcW w:w="1985" w:type="dxa"/>
          </w:tcPr>
          <w:p w14:paraId="576958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w:t>
            </w:r>
          </w:p>
        </w:tc>
      </w:tr>
      <w:tr w:rsidR="00A259BD" w:rsidRPr="00A259BD" w14:paraId="7C0259DC" w14:textId="77777777">
        <w:tc>
          <w:tcPr>
            <w:tcW w:w="1668" w:type="dxa"/>
          </w:tcPr>
          <w:p w14:paraId="31A226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24</w:t>
            </w:r>
          </w:p>
        </w:tc>
        <w:tc>
          <w:tcPr>
            <w:tcW w:w="1701" w:type="dxa"/>
          </w:tcPr>
          <w:p w14:paraId="349A4B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1915</w:t>
            </w:r>
          </w:p>
        </w:tc>
        <w:tc>
          <w:tcPr>
            <w:tcW w:w="1701" w:type="dxa"/>
          </w:tcPr>
          <w:p w14:paraId="1E4720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2080</w:t>
            </w:r>
          </w:p>
        </w:tc>
        <w:tc>
          <w:tcPr>
            <w:tcW w:w="1842" w:type="dxa"/>
          </w:tcPr>
          <w:p w14:paraId="29C297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1850</w:t>
            </w:r>
          </w:p>
        </w:tc>
        <w:tc>
          <w:tcPr>
            <w:tcW w:w="1985" w:type="dxa"/>
          </w:tcPr>
          <w:p w14:paraId="293F49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2385</w:t>
            </w:r>
          </w:p>
        </w:tc>
      </w:tr>
      <w:tr w:rsidR="00A259BD" w:rsidRPr="00A259BD" w14:paraId="4C22DC49" w14:textId="77777777">
        <w:tc>
          <w:tcPr>
            <w:tcW w:w="1668" w:type="dxa"/>
          </w:tcPr>
          <w:p w14:paraId="013E49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26</w:t>
            </w:r>
          </w:p>
        </w:tc>
        <w:tc>
          <w:tcPr>
            <w:tcW w:w="1701" w:type="dxa"/>
          </w:tcPr>
          <w:p w14:paraId="4D8EFC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1701" w:type="dxa"/>
          </w:tcPr>
          <w:p w14:paraId="0188A2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875</w:t>
            </w:r>
          </w:p>
        </w:tc>
        <w:tc>
          <w:tcPr>
            <w:tcW w:w="1842" w:type="dxa"/>
          </w:tcPr>
          <w:p w14:paraId="71D1CE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2300</w:t>
            </w:r>
          </w:p>
        </w:tc>
        <w:tc>
          <w:tcPr>
            <w:tcW w:w="1985" w:type="dxa"/>
          </w:tcPr>
          <w:p w14:paraId="18E60A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3350</w:t>
            </w:r>
          </w:p>
        </w:tc>
      </w:tr>
      <w:tr w:rsidR="00A259BD" w:rsidRPr="00A259BD" w14:paraId="60E16514" w14:textId="77777777">
        <w:tc>
          <w:tcPr>
            <w:tcW w:w="1668" w:type="dxa"/>
          </w:tcPr>
          <w:p w14:paraId="7069C3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29</w:t>
            </w:r>
          </w:p>
        </w:tc>
        <w:tc>
          <w:tcPr>
            <w:tcW w:w="1701" w:type="dxa"/>
          </w:tcPr>
          <w:p w14:paraId="247CC2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360</w:t>
            </w:r>
          </w:p>
        </w:tc>
        <w:tc>
          <w:tcPr>
            <w:tcW w:w="1701" w:type="dxa"/>
          </w:tcPr>
          <w:p w14:paraId="613D0A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700</w:t>
            </w:r>
          </w:p>
        </w:tc>
        <w:tc>
          <w:tcPr>
            <w:tcW w:w="1842" w:type="dxa"/>
          </w:tcPr>
          <w:p w14:paraId="7DB75E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1210</w:t>
            </w:r>
          </w:p>
        </w:tc>
        <w:tc>
          <w:tcPr>
            <w:tcW w:w="1985" w:type="dxa"/>
          </w:tcPr>
          <w:p w14:paraId="7EBAD7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1725</w:t>
            </w:r>
          </w:p>
        </w:tc>
      </w:tr>
      <w:tr w:rsidR="00A259BD" w:rsidRPr="00A259BD" w14:paraId="52AA68B4" w14:textId="77777777">
        <w:tc>
          <w:tcPr>
            <w:tcW w:w="1668" w:type="dxa"/>
          </w:tcPr>
          <w:p w14:paraId="41EFA9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Новый</w:t>
            </w:r>
          </w:p>
        </w:tc>
        <w:tc>
          <w:tcPr>
            <w:tcW w:w="1701" w:type="dxa"/>
          </w:tcPr>
          <w:p w14:paraId="224949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701" w:type="dxa"/>
          </w:tcPr>
          <w:p w14:paraId="7088A5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842" w:type="dxa"/>
          </w:tcPr>
          <w:p w14:paraId="45349B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tc>
        <w:tc>
          <w:tcPr>
            <w:tcW w:w="1985" w:type="dxa"/>
          </w:tcPr>
          <w:p w14:paraId="0E3642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w:t>
            </w:r>
          </w:p>
        </w:tc>
      </w:tr>
      <w:tr w:rsidR="00A259BD" w:rsidRPr="00A259BD" w14:paraId="7A008394" w14:textId="77777777">
        <w:tc>
          <w:tcPr>
            <w:tcW w:w="1668" w:type="dxa"/>
          </w:tcPr>
          <w:p w14:paraId="6E7FB5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1701" w:type="dxa"/>
          </w:tcPr>
          <w:p w14:paraId="346C8A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2775</w:t>
            </w:r>
          </w:p>
        </w:tc>
        <w:tc>
          <w:tcPr>
            <w:tcW w:w="1701" w:type="dxa"/>
          </w:tcPr>
          <w:p w14:paraId="43036A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3655</w:t>
            </w:r>
          </w:p>
        </w:tc>
        <w:tc>
          <w:tcPr>
            <w:tcW w:w="1842" w:type="dxa"/>
          </w:tcPr>
          <w:p w14:paraId="751943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5660</w:t>
            </w:r>
          </w:p>
        </w:tc>
        <w:tc>
          <w:tcPr>
            <w:tcW w:w="1985" w:type="dxa"/>
          </w:tcPr>
          <w:p w14:paraId="654097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9460</w:t>
            </w:r>
          </w:p>
        </w:tc>
      </w:tr>
    </w:tbl>
    <w:p w14:paraId="00C4B78F"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Обязать ВСНХ усилить темп проектирования, строительства и оборудования новых заводов авиапромышленности, всемерно упрощая порядок прохождения и утверждения проектов, планов и смет.</w:t>
      </w:r>
    </w:p>
    <w:p w14:paraId="15C2A6EB"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Принять к сведению согласованную ВСНХ с НКВМ стоимость программы развертывания авиапромышленности по годам (в миллионах рублей):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560"/>
        <w:gridCol w:w="1701"/>
        <w:gridCol w:w="1842"/>
        <w:gridCol w:w="1985"/>
        <w:gridCol w:w="1843"/>
      </w:tblGrid>
      <w:tr w:rsidR="00A259BD" w:rsidRPr="00A259BD" w14:paraId="55E68038" w14:textId="77777777">
        <w:tc>
          <w:tcPr>
            <w:tcW w:w="1809" w:type="dxa"/>
          </w:tcPr>
          <w:p w14:paraId="678A41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DF2CB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w:t>
            </w:r>
          </w:p>
        </w:tc>
        <w:tc>
          <w:tcPr>
            <w:tcW w:w="1701" w:type="dxa"/>
          </w:tcPr>
          <w:p w14:paraId="267B8A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w:t>
            </w:r>
          </w:p>
        </w:tc>
        <w:tc>
          <w:tcPr>
            <w:tcW w:w="1842" w:type="dxa"/>
          </w:tcPr>
          <w:p w14:paraId="6C7594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1931/32</w:t>
            </w:r>
          </w:p>
        </w:tc>
        <w:tc>
          <w:tcPr>
            <w:tcW w:w="1985" w:type="dxa"/>
          </w:tcPr>
          <w:p w14:paraId="75CEB4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w:t>
            </w:r>
          </w:p>
        </w:tc>
        <w:tc>
          <w:tcPr>
            <w:tcW w:w="1843" w:type="dxa"/>
          </w:tcPr>
          <w:p w14:paraId="15FE3F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r>
      <w:tr w:rsidR="00A259BD" w:rsidRPr="00A259BD" w14:paraId="09753AE0" w14:textId="77777777">
        <w:tc>
          <w:tcPr>
            <w:tcW w:w="1809" w:type="dxa"/>
          </w:tcPr>
          <w:p w14:paraId="06D1D5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Общая сумма затрат</w:t>
            </w:r>
          </w:p>
        </w:tc>
        <w:tc>
          <w:tcPr>
            <w:tcW w:w="1560" w:type="dxa"/>
          </w:tcPr>
          <w:p w14:paraId="3AF7DA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34,2</w:t>
            </w:r>
          </w:p>
        </w:tc>
        <w:tc>
          <w:tcPr>
            <w:tcW w:w="1701" w:type="dxa"/>
          </w:tcPr>
          <w:p w14:paraId="518736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48,9</w:t>
            </w:r>
          </w:p>
        </w:tc>
        <w:tc>
          <w:tcPr>
            <w:tcW w:w="1842" w:type="dxa"/>
          </w:tcPr>
          <w:p w14:paraId="4B4D19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w:t>
            </w:r>
          </w:p>
        </w:tc>
        <w:tc>
          <w:tcPr>
            <w:tcW w:w="1985" w:type="dxa"/>
          </w:tcPr>
          <w:p w14:paraId="67DB1F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w:t>
            </w:r>
          </w:p>
        </w:tc>
        <w:tc>
          <w:tcPr>
            <w:tcW w:w="1843" w:type="dxa"/>
          </w:tcPr>
          <w:p w14:paraId="5C60D2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105,7</w:t>
            </w:r>
          </w:p>
        </w:tc>
      </w:tr>
      <w:tr w:rsidR="00A259BD" w:rsidRPr="00A259BD" w14:paraId="422D5B8A" w14:textId="77777777">
        <w:tc>
          <w:tcPr>
            <w:tcW w:w="1809" w:type="dxa"/>
          </w:tcPr>
          <w:p w14:paraId="71605B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том числе импорт.</w:t>
            </w:r>
          </w:p>
        </w:tc>
        <w:tc>
          <w:tcPr>
            <w:tcW w:w="1560" w:type="dxa"/>
          </w:tcPr>
          <w:p w14:paraId="189D33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w:t>
            </w:r>
          </w:p>
        </w:tc>
        <w:tc>
          <w:tcPr>
            <w:tcW w:w="1701" w:type="dxa"/>
          </w:tcPr>
          <w:p w14:paraId="61BE81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w:t>
            </w:r>
          </w:p>
        </w:tc>
        <w:tc>
          <w:tcPr>
            <w:tcW w:w="1842" w:type="dxa"/>
          </w:tcPr>
          <w:p w14:paraId="647FC9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w:t>
            </w:r>
          </w:p>
        </w:tc>
        <w:tc>
          <w:tcPr>
            <w:tcW w:w="1985" w:type="dxa"/>
          </w:tcPr>
          <w:p w14:paraId="156C3A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0,1</w:t>
            </w:r>
          </w:p>
        </w:tc>
        <w:tc>
          <w:tcPr>
            <w:tcW w:w="1843" w:type="dxa"/>
          </w:tcPr>
          <w:p w14:paraId="7410C3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15,7</w:t>
            </w:r>
          </w:p>
        </w:tc>
      </w:tr>
    </w:tbl>
    <w:p w14:paraId="611DA0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Окончательное установление размеров ассигнований ВСНХ производить при ежегодном прохождении бюджета, на основе разработанных генеральных планов, проектов и смет расширения существующих и постройки новых заводов, с учетом снижения цен на строительство и оборудование, однако, без ущерба для темпа и размеров развертывания авиапромышленности, определенных настоящим постановлением.</w:t>
      </w:r>
    </w:p>
    <w:p w14:paraId="48A58F93"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Обязать ВСНХ предусмотреть в своих ежегодных сметах необходимые на жилищное строительство для рабочих и на увеличение оборотных средств авиапромышленности.</w:t>
      </w:r>
    </w:p>
    <w:p w14:paraId="1281DD63"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Обязать ВСНХ и </w:t>
      </w:r>
      <w:proofErr w:type="spellStart"/>
      <w:r w:rsidRPr="00A259BD">
        <w:rPr>
          <w:rFonts w:ascii="Times New Roman" w:hAnsi="Times New Roman"/>
          <w:color w:val="000000" w:themeColor="text1"/>
          <w:sz w:val="16"/>
          <w:szCs w:val="16"/>
        </w:rPr>
        <w:t>НКТруда</w:t>
      </w:r>
      <w:proofErr w:type="spellEnd"/>
      <w:r w:rsidRPr="00A259BD">
        <w:rPr>
          <w:rFonts w:ascii="Times New Roman" w:hAnsi="Times New Roman"/>
          <w:color w:val="000000" w:themeColor="text1"/>
          <w:sz w:val="16"/>
          <w:szCs w:val="16"/>
        </w:rPr>
        <w:t xml:space="preserve"> немедленно приступить к подготовке кадров высшего и среднего технического персонала, а также квалифицированной рабочей силы для полного обеспечения ими потребности развивающейся авиапромышленности, предусмотрев в ежегодных сметах необходимые средства для этой цели.</w:t>
      </w:r>
    </w:p>
    <w:p w14:paraId="1B16D06C"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Подтверждая ранее принятые РЗ СТО постановления о необходимости широкого использования достигнутых за границей успехов в области рационализации производства самолетов и моторов …………………..</w:t>
      </w:r>
    </w:p>
    <w:p w14:paraId="55466E37"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Предложить ВСНХ не позднее 1 декабря 1929 года по согласованию с НКВМ, утвердить окончательную дислокацию намеченных к постройке новых заводов авиапромышленности.</w:t>
      </w:r>
    </w:p>
    <w:p w14:paraId="09FF098D"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Обязать ВСНХ к 1 января 1930 года представить в РЗ СТО план загрузки в мирное время существующих и вновь строящихся заводов авиапромышленности заказами на продукцию мирного времени.</w:t>
      </w:r>
    </w:p>
    <w:p w14:paraId="181E2A56"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целях обеспечения возможности осуществления намеченной п. 1-м настоящего постановления программы авиастроительства в случае, если производство авиамоторов не даст предполагаемых результатов, признать необходимым предусматривать в ежегодных импортных планах закупку авиамоторов за границей, бронируя для этой цели лицензионные контингенты и инвалюту по отдельным годам, ориентировочно, в следующих размерах (в миллионах американских долларов).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268"/>
        <w:gridCol w:w="2410"/>
        <w:gridCol w:w="2268"/>
      </w:tblGrid>
      <w:tr w:rsidR="00A259BD" w:rsidRPr="00A259BD" w14:paraId="7F7138F2" w14:textId="77777777">
        <w:tc>
          <w:tcPr>
            <w:tcW w:w="2093" w:type="dxa"/>
          </w:tcPr>
          <w:p w14:paraId="584ADC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B0CB5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ВВС</w:t>
            </w:r>
          </w:p>
        </w:tc>
        <w:tc>
          <w:tcPr>
            <w:tcW w:w="2410" w:type="dxa"/>
          </w:tcPr>
          <w:p w14:paraId="418E21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гражданской авиации</w:t>
            </w:r>
          </w:p>
        </w:tc>
        <w:tc>
          <w:tcPr>
            <w:tcW w:w="2268" w:type="dxa"/>
          </w:tcPr>
          <w:p w14:paraId="049912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r>
      <w:tr w:rsidR="00A259BD" w:rsidRPr="00A259BD" w14:paraId="0C7C3DD3" w14:textId="77777777">
        <w:tc>
          <w:tcPr>
            <w:tcW w:w="2093" w:type="dxa"/>
          </w:tcPr>
          <w:p w14:paraId="35A29D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1929/30 году</w:t>
            </w:r>
          </w:p>
        </w:tc>
        <w:tc>
          <w:tcPr>
            <w:tcW w:w="2268" w:type="dxa"/>
          </w:tcPr>
          <w:p w14:paraId="3A6E7B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14,0</w:t>
            </w:r>
          </w:p>
        </w:tc>
        <w:tc>
          <w:tcPr>
            <w:tcW w:w="2410" w:type="dxa"/>
          </w:tcPr>
          <w:p w14:paraId="3B751C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2268" w:type="dxa"/>
          </w:tcPr>
          <w:p w14:paraId="16E5E4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16,2</w:t>
            </w:r>
          </w:p>
        </w:tc>
      </w:tr>
      <w:tr w:rsidR="00A259BD" w:rsidRPr="00A259BD" w14:paraId="2BAADAD4" w14:textId="77777777">
        <w:tc>
          <w:tcPr>
            <w:tcW w:w="2093" w:type="dxa"/>
          </w:tcPr>
          <w:p w14:paraId="155C7F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1930/31 году</w:t>
            </w:r>
          </w:p>
        </w:tc>
        <w:tc>
          <w:tcPr>
            <w:tcW w:w="2268" w:type="dxa"/>
          </w:tcPr>
          <w:p w14:paraId="1881EB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w:t>
            </w:r>
          </w:p>
        </w:tc>
        <w:tc>
          <w:tcPr>
            <w:tcW w:w="2410" w:type="dxa"/>
          </w:tcPr>
          <w:p w14:paraId="4B4519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2268" w:type="dxa"/>
          </w:tcPr>
          <w:p w14:paraId="34E0B5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13,1</w:t>
            </w:r>
          </w:p>
        </w:tc>
      </w:tr>
      <w:tr w:rsidR="00A259BD" w:rsidRPr="00A259BD" w14:paraId="4A329483" w14:textId="77777777">
        <w:tc>
          <w:tcPr>
            <w:tcW w:w="2093" w:type="dxa"/>
          </w:tcPr>
          <w:p w14:paraId="5499C5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1931/32 году</w:t>
            </w:r>
          </w:p>
        </w:tc>
        <w:tc>
          <w:tcPr>
            <w:tcW w:w="2268" w:type="dxa"/>
          </w:tcPr>
          <w:p w14:paraId="2A41E6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410" w:type="dxa"/>
          </w:tcPr>
          <w:p w14:paraId="3D3496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w:t>
            </w:r>
          </w:p>
        </w:tc>
        <w:tc>
          <w:tcPr>
            <w:tcW w:w="2268" w:type="dxa"/>
          </w:tcPr>
          <w:p w14:paraId="256FB9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w:t>
            </w:r>
          </w:p>
        </w:tc>
      </w:tr>
      <w:tr w:rsidR="00A259BD" w:rsidRPr="00A259BD" w14:paraId="52F654C6" w14:textId="77777777">
        <w:tc>
          <w:tcPr>
            <w:tcW w:w="2093" w:type="dxa"/>
          </w:tcPr>
          <w:p w14:paraId="117832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1932/33 году</w:t>
            </w:r>
          </w:p>
        </w:tc>
        <w:tc>
          <w:tcPr>
            <w:tcW w:w="2268" w:type="dxa"/>
          </w:tcPr>
          <w:p w14:paraId="4B3D86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410" w:type="dxa"/>
          </w:tcPr>
          <w:p w14:paraId="12623E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w:t>
            </w:r>
          </w:p>
        </w:tc>
        <w:tc>
          <w:tcPr>
            <w:tcW w:w="2268" w:type="dxa"/>
          </w:tcPr>
          <w:p w14:paraId="5E1126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w:t>
            </w:r>
          </w:p>
        </w:tc>
      </w:tr>
    </w:tbl>
    <w:p w14:paraId="4F1F07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Точные размеры бронируемых таким образом контингентов ввоза и необходимых для этого денежных средств (в инвалюте) должны устанавливаться при утверждении ежегодного </w:t>
      </w:r>
      <w:proofErr w:type="spellStart"/>
      <w:r w:rsidRPr="00A259BD">
        <w:rPr>
          <w:rFonts w:ascii="Times New Roman" w:hAnsi="Times New Roman"/>
          <w:color w:val="000000" w:themeColor="text1"/>
          <w:sz w:val="16"/>
          <w:szCs w:val="16"/>
        </w:rPr>
        <w:t>импортно</w:t>
      </w:r>
      <w:proofErr w:type="spellEnd"/>
      <w:r w:rsidRPr="00A259BD">
        <w:rPr>
          <w:rFonts w:ascii="Times New Roman" w:hAnsi="Times New Roman"/>
          <w:color w:val="000000" w:themeColor="text1"/>
          <w:sz w:val="16"/>
          <w:szCs w:val="16"/>
        </w:rPr>
        <w:t>-валютного плана. Закупка моторов в счет этой брони производится по разрешению РЗ СТО, на основе специальных ходатайств НКВМ.</w:t>
      </w:r>
    </w:p>
    <w:p w14:paraId="7478FFBA"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Обязать ВСНХ через каждые шесть месяцев, начиная с 1 октября 1929 года, представлять в РЗ СТО доклады о ходе исполнения настоящего постановления.</w:t>
      </w:r>
    </w:p>
    <w:p w14:paraId="60F77E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……………………………(3545, 1-3).</w:t>
      </w:r>
    </w:p>
    <w:p w14:paraId="11BCDF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CBD3E7C" w14:textId="77777777" w:rsidR="0099138C" w:rsidRPr="00A259BD" w:rsidRDefault="0099138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октября 1929 г. вышло Постановление РЗ СТО СССР «О мероприятиях по развитию авиапромышленности в течение 1929/30</w:t>
      </w:r>
      <w:r w:rsidRPr="00A259BD">
        <w:rPr>
          <w:rFonts w:ascii="Times New Roman" w:hAnsi="Times New Roman"/>
          <w:color w:val="000000" w:themeColor="text1"/>
          <w:sz w:val="16"/>
          <w:szCs w:val="16"/>
        </w:rPr>
        <w:noBreakHyphen/>
        <w:t>1932/33 г.», которое установило минимальную потребность воздушного флота СССР в самолетах и моторах на год ведения войны (для ВВС РККА и гражданской авиации). Решено было приступить в 1929/30 г. к постройке: завода «А» по производству разведывательных и истребительных аппаратов деревянной и смешанной конструкции, завода «Б» по производству легких и тяжелых бомбардировщиков и штурмовиков металлической конструкции. Мощность указанных предприятий к началу 1931/32 г. должна была достигнуть по заводу «А» — до 860 и по заводу «Б» — до 196 самолетов в год. Мощность существующих самолетов планировалось увеличить до норм, полностью обеспечивающих потребности воздушного флота СССР, завод «</w:t>
      </w: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 xml:space="preserve">» решено было передать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В отношении моторостроения решено сосредоточить производство вспомогательных механизмов и деталей моторов к 1931/32 г. на новом заводе, выделив их производство из серийных заводов. Производство самолетов в 1929/30 г. предполагалось в количестве 4106, в 1930/31 — 4489, в 1931/32 г. — 4892, в 1932/33 г. — 7098; моторов в 1929/30 г. — 4663, 1930/31 г. — 5330, в 1931/32 г. — 6224, в 1932/33 г. — 9297.</w:t>
      </w:r>
    </w:p>
    <w:p w14:paraId="031302FA" w14:textId="77777777" w:rsidR="0099138C" w:rsidRPr="00A259BD" w:rsidRDefault="0099138C"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развитие данного постановления 14 января 1930 г. вышло еще одно Постановление РЗ СТО СССР «О мероприятиях по развитию авиапромышленности» (12489).</w:t>
      </w:r>
    </w:p>
    <w:p w14:paraId="0B65E1E7" w14:textId="77777777" w:rsidR="0099138C" w:rsidRPr="00A259BD" w:rsidRDefault="0099138C" w:rsidP="009236E3">
      <w:pPr>
        <w:spacing w:after="0" w:line="240" w:lineRule="auto"/>
        <w:jc w:val="both"/>
        <w:rPr>
          <w:rFonts w:ascii="Times New Roman" w:hAnsi="Times New Roman"/>
          <w:color w:val="000000" w:themeColor="text1"/>
          <w:sz w:val="16"/>
          <w:szCs w:val="16"/>
        </w:rPr>
      </w:pPr>
    </w:p>
    <w:p w14:paraId="15C89450" w14:textId="77777777" w:rsidR="00A83ADF" w:rsidRPr="00A259BD" w:rsidRDefault="00A83ADF"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color w:val="000000" w:themeColor="text1"/>
          <w:sz w:val="16"/>
          <w:szCs w:val="16"/>
        </w:rPr>
        <w:t>16 октября 1929 года решением Совета Труда и Обороны СССР был утвержден план строительства в Воронеже авиазавода «Б» (17288).</w:t>
      </w:r>
    </w:p>
    <w:p w14:paraId="4AEE71B1" w14:textId="77777777" w:rsidR="00A83ADF" w:rsidRPr="00A259BD" w:rsidRDefault="00A83AD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88C68B8" w14:textId="77777777" w:rsidR="00195D7F" w:rsidRPr="00A259BD" w:rsidRDefault="00195D7F" w:rsidP="009236E3">
      <w:pPr>
        <w:pStyle w:val="affc"/>
        <w:shd w:val="clear" w:color="auto" w:fill="FFFFFF"/>
        <w:spacing w:before="0" w:beforeAutospacing="0" w:after="0" w:afterAutospacing="0"/>
        <w:jc w:val="both"/>
        <w:rPr>
          <w:color w:val="000000" w:themeColor="text1"/>
          <w:sz w:val="16"/>
          <w:szCs w:val="16"/>
        </w:rPr>
      </w:pPr>
      <w:r w:rsidRPr="00A259BD">
        <w:rPr>
          <w:color w:val="000000" w:themeColor="text1"/>
          <w:sz w:val="16"/>
          <w:szCs w:val="16"/>
        </w:rPr>
        <w:t>16 октября 1929 года решением Совета Труда и Обороны СССР был утвержден план строительства в Воронеже авиазавода «Б» (19822).</w:t>
      </w:r>
    </w:p>
    <w:p w14:paraId="7D9A3760" w14:textId="77777777" w:rsidR="00195D7F" w:rsidRPr="00A259BD" w:rsidRDefault="00195D7F" w:rsidP="009236E3">
      <w:pPr>
        <w:pStyle w:val="affc"/>
        <w:shd w:val="clear" w:color="auto" w:fill="FFFFFF"/>
        <w:spacing w:before="0" w:beforeAutospacing="0" w:after="0" w:afterAutospacing="0"/>
        <w:jc w:val="both"/>
        <w:rPr>
          <w:color w:val="000000" w:themeColor="text1"/>
          <w:sz w:val="16"/>
          <w:szCs w:val="16"/>
        </w:rPr>
      </w:pPr>
    </w:p>
    <w:p w14:paraId="272407E2" w14:textId="77777777" w:rsidR="009715DF" w:rsidRPr="00A259BD" w:rsidRDefault="009715DF"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17 октября 1929 специально подготовленный «Юнкерс» F-13 вылетел из Ташкента в Сталинабад (ныне Душанбе). На рассвете следующего дня самолет под управлением летчика Н. Баранова и бортмеханика А. </w:t>
      </w:r>
      <w:proofErr w:type="spellStart"/>
      <w:r w:rsidRPr="00A259BD">
        <w:rPr>
          <w:rFonts w:ascii="Times New Roman" w:eastAsia="Times New Roman" w:hAnsi="Times New Roman"/>
          <w:color w:val="000000" w:themeColor="text1"/>
          <w:sz w:val="16"/>
          <w:szCs w:val="16"/>
          <w:lang w:eastAsia="ru-RU"/>
        </w:rPr>
        <w:t>Вельмер</w:t>
      </w:r>
      <w:proofErr w:type="spellEnd"/>
      <w:r w:rsidRPr="00A259BD">
        <w:rPr>
          <w:rFonts w:ascii="Times New Roman" w:eastAsia="Times New Roman" w:hAnsi="Times New Roman"/>
          <w:color w:val="000000" w:themeColor="text1"/>
          <w:sz w:val="16"/>
          <w:szCs w:val="16"/>
          <w:lang w:eastAsia="ru-RU"/>
        </w:rPr>
        <w:t>, имея на борту летчика В. Прохорова, вылетел из Сталинабада в Гарм. 20-го погода ухудшилась, пошел дождь, в горах выпал снег, стояла низкая плотная облачность.</w:t>
      </w:r>
    </w:p>
    <w:p w14:paraId="2C4F298B" w14:textId="77777777" w:rsidR="009715DF" w:rsidRPr="00A259BD" w:rsidRDefault="009715DF"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21-го наступило незначительное улучшение. Баранов решил воспользоваться им, хотя бы для того, чтобы произвести разведку. Поднялись с аэродрома Гарма, набрали высоту четыре с половиной тысячи метров, пошли над тучами. Ориентируясь по компасу, пересекли перевалы Хабу-Рабад-</w:t>
      </w:r>
      <w:proofErr w:type="spellStart"/>
      <w:r w:rsidRPr="00A259BD">
        <w:rPr>
          <w:rFonts w:ascii="Times New Roman" w:eastAsia="Times New Roman" w:hAnsi="Times New Roman"/>
          <w:color w:val="000000" w:themeColor="text1"/>
          <w:sz w:val="16"/>
          <w:szCs w:val="16"/>
          <w:lang w:eastAsia="ru-RU"/>
        </w:rPr>
        <w:t>Мепт</w:t>
      </w:r>
      <w:proofErr w:type="spellEnd"/>
      <w:r w:rsidRPr="00A259BD">
        <w:rPr>
          <w:rFonts w:ascii="Times New Roman" w:eastAsia="Times New Roman" w:hAnsi="Times New Roman"/>
          <w:color w:val="000000" w:themeColor="text1"/>
          <w:sz w:val="16"/>
          <w:szCs w:val="16"/>
          <w:lang w:eastAsia="ru-RU"/>
        </w:rPr>
        <w:t>, Забурей и Капай-</w:t>
      </w:r>
      <w:proofErr w:type="spellStart"/>
      <w:r w:rsidRPr="00A259BD">
        <w:rPr>
          <w:rFonts w:ascii="Times New Roman" w:eastAsia="Times New Roman" w:hAnsi="Times New Roman"/>
          <w:color w:val="000000" w:themeColor="text1"/>
          <w:sz w:val="16"/>
          <w:szCs w:val="16"/>
          <w:lang w:eastAsia="ru-RU"/>
        </w:rPr>
        <w:t>Хумб</w:t>
      </w:r>
      <w:proofErr w:type="spellEnd"/>
      <w:r w:rsidRPr="00A259BD">
        <w:rPr>
          <w:rFonts w:ascii="Times New Roman" w:eastAsia="Times New Roman" w:hAnsi="Times New Roman"/>
          <w:color w:val="000000" w:themeColor="text1"/>
          <w:sz w:val="16"/>
          <w:szCs w:val="16"/>
          <w:lang w:eastAsia="ru-RU"/>
        </w:rPr>
        <w:t>, которые преодолели на высоте пять с</w:t>
      </w:r>
    </w:p>
    <w:p w14:paraId="73F97510" w14:textId="77777777" w:rsidR="009715DF" w:rsidRPr="00A259BD" w:rsidRDefault="009715DF"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половиной тысяч метров. Приняли решение продолжить полет до Хорога. Недостаточная высотность двигателя не позволяла преодолеть перевалы высотой более 6000 метров, пришлось использовать ущелья, пролетая буквально между каменными стенами.</w:t>
      </w:r>
    </w:p>
    <w:p w14:paraId="440CD029" w14:textId="77777777" w:rsidR="009715DF" w:rsidRPr="00A259BD" w:rsidRDefault="009715DF" w:rsidP="009236E3">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Посадка в Хороге удалась блестяще благодаря предварительной подготовке аэродрома, выполненной под руководством начальника летной экспедиции Мошкова. Он пробыл на Памире три месяца, верхом обследовал местность, подготовил аэродромы. Так впервые самолет преодолел хребты Памира.</w:t>
      </w:r>
    </w:p>
    <w:p w14:paraId="3A9A9DB8" w14:textId="77777777" w:rsidR="009715DF" w:rsidRPr="00A259BD" w:rsidRDefault="009715DF"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eastAsia="Times New Roman" w:hAnsi="Times New Roman"/>
          <w:color w:val="000000" w:themeColor="text1"/>
          <w:sz w:val="16"/>
          <w:szCs w:val="16"/>
          <w:lang w:eastAsia="ru-RU"/>
        </w:rPr>
        <w:t xml:space="preserve">24 октября Баранов, </w:t>
      </w:r>
      <w:proofErr w:type="spellStart"/>
      <w:r w:rsidRPr="00A259BD">
        <w:rPr>
          <w:rFonts w:ascii="Times New Roman" w:eastAsia="Times New Roman" w:hAnsi="Times New Roman"/>
          <w:color w:val="000000" w:themeColor="text1"/>
          <w:sz w:val="16"/>
          <w:szCs w:val="16"/>
          <w:lang w:eastAsia="ru-RU"/>
        </w:rPr>
        <w:t>Вельмер</w:t>
      </w:r>
      <w:proofErr w:type="spellEnd"/>
      <w:r w:rsidRPr="00A259BD">
        <w:rPr>
          <w:rFonts w:ascii="Times New Roman" w:eastAsia="Times New Roman" w:hAnsi="Times New Roman"/>
          <w:color w:val="000000" w:themeColor="text1"/>
          <w:sz w:val="16"/>
          <w:szCs w:val="16"/>
          <w:lang w:eastAsia="ru-RU"/>
        </w:rPr>
        <w:t>, Прохоров и Мошков вылетели из Хорога и без промежуточных посадок за два с половиной часа достигли Сталинабада. Они привезли с собой в столицу Таджикистана почту – первые 100 писем дехкан. Правительство Таджикистана представило участников перелета через Памир к ордену «Красного Знамени» (21249).</w:t>
      </w:r>
    </w:p>
    <w:p w14:paraId="58A17A1A" w14:textId="77777777" w:rsidR="009715DF" w:rsidRPr="00A259BD" w:rsidRDefault="009715DF" w:rsidP="009236E3">
      <w:pPr>
        <w:shd w:val="clear" w:color="auto" w:fill="FFFFFF"/>
        <w:spacing w:after="0" w:line="240" w:lineRule="auto"/>
        <w:jc w:val="both"/>
        <w:rPr>
          <w:rFonts w:ascii="Times New Roman" w:hAnsi="Times New Roman"/>
          <w:color w:val="000000" w:themeColor="text1"/>
          <w:sz w:val="16"/>
          <w:szCs w:val="16"/>
        </w:rPr>
      </w:pPr>
    </w:p>
    <w:p w14:paraId="204B6A9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845017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A5702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17 октября по 19 ноября 1929 прошли испытания Т-18 на преодоление новых типов противотанковых препятствий. Испытания показали, что серьезным препятствием </w:t>
      </w:r>
      <w:proofErr w:type="spellStart"/>
      <w:r w:rsidRPr="00A259BD">
        <w:rPr>
          <w:rFonts w:ascii="Times New Roman" w:hAnsi="Times New Roman"/>
          <w:color w:val="000000" w:themeColor="text1"/>
          <w:sz w:val="16"/>
          <w:szCs w:val="16"/>
        </w:rPr>
        <w:t>м.б.</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трапециидальный</w:t>
      </w:r>
      <w:proofErr w:type="spellEnd"/>
      <w:r w:rsidRPr="00A259BD">
        <w:rPr>
          <w:rFonts w:ascii="Times New Roman" w:hAnsi="Times New Roman"/>
          <w:color w:val="000000" w:themeColor="text1"/>
          <w:sz w:val="16"/>
          <w:szCs w:val="16"/>
        </w:rPr>
        <w:t xml:space="preserve"> ров шириной более 2 м и глубиной б. 1.2 м. Оборудовали вторым хвостом в передней части, но ухудшился обзор водителя и решили делать направляющей стрелы с колесами - колесного удлинителя </w:t>
      </w:r>
      <w:proofErr w:type="spellStart"/>
      <w:r w:rsidRPr="00A259BD">
        <w:rPr>
          <w:rFonts w:ascii="Times New Roman" w:hAnsi="Times New Roman"/>
          <w:color w:val="000000" w:themeColor="text1"/>
          <w:sz w:val="16"/>
          <w:szCs w:val="16"/>
        </w:rPr>
        <w:t>М.Василькова</w:t>
      </w:r>
      <w:proofErr w:type="spellEnd"/>
      <w:r w:rsidRPr="00A259BD">
        <w:rPr>
          <w:rFonts w:ascii="Times New Roman" w:hAnsi="Times New Roman"/>
          <w:color w:val="000000" w:themeColor="text1"/>
          <w:sz w:val="16"/>
          <w:szCs w:val="16"/>
        </w:rPr>
        <w:t xml:space="preserve"> (4243,9).</w:t>
      </w:r>
    </w:p>
    <w:p w14:paraId="56F6D7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BB48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17 октября - 19 ноября 1929 Т-18 принял участие в тестировании новых типов противотанковых препятствий. Он действительно показал лучшие результаты. Главным препятствием для него стал трапецеидальный ров шириной более 2 м и глубиной более 1,2 м, из которого танк не мог выбраться самостоятельно (даже назад). Для улучшения проходимости рвов по пред</w:t>
      </w:r>
      <w:r w:rsidRPr="00A259BD">
        <w:rPr>
          <w:rFonts w:ascii="Times New Roman" w:hAnsi="Times New Roman"/>
          <w:color w:val="000000" w:themeColor="text1"/>
          <w:sz w:val="16"/>
          <w:szCs w:val="16"/>
        </w:rPr>
        <w:softHyphen/>
        <w:t xml:space="preserve">ложению изобретателя М. Василькова и по распоряжению начальника бронесил Ленинградского округа С. </w:t>
      </w:r>
      <w:proofErr w:type="spellStart"/>
      <w:r w:rsidRPr="00A259BD">
        <w:rPr>
          <w:rFonts w:ascii="Times New Roman" w:hAnsi="Times New Roman"/>
          <w:color w:val="000000" w:themeColor="text1"/>
          <w:sz w:val="16"/>
          <w:szCs w:val="16"/>
        </w:rPr>
        <w:t>Коханского</w:t>
      </w:r>
      <w:proofErr w:type="spellEnd"/>
      <w:r w:rsidRPr="00A259BD">
        <w:rPr>
          <w:rFonts w:ascii="Times New Roman" w:hAnsi="Times New Roman"/>
          <w:color w:val="000000" w:themeColor="text1"/>
          <w:sz w:val="16"/>
          <w:szCs w:val="16"/>
        </w:rPr>
        <w:t xml:space="preserve"> в мастерских курсов </w:t>
      </w:r>
      <w:proofErr w:type="spellStart"/>
      <w:r w:rsidRPr="00A259BD">
        <w:rPr>
          <w:rFonts w:ascii="Times New Roman" w:hAnsi="Times New Roman"/>
          <w:color w:val="000000" w:themeColor="text1"/>
          <w:sz w:val="16"/>
          <w:szCs w:val="16"/>
        </w:rPr>
        <w:t>мехтяги</w:t>
      </w:r>
      <w:proofErr w:type="spellEnd"/>
      <w:r w:rsidRPr="00A259BD">
        <w:rPr>
          <w:rFonts w:ascii="Times New Roman" w:hAnsi="Times New Roman"/>
          <w:color w:val="000000" w:themeColor="text1"/>
          <w:sz w:val="16"/>
          <w:szCs w:val="16"/>
        </w:rPr>
        <w:t xml:space="preserve"> танк был оборудован вто</w:t>
      </w:r>
      <w:r w:rsidRPr="00A259BD">
        <w:rPr>
          <w:rFonts w:ascii="Times New Roman" w:hAnsi="Times New Roman"/>
          <w:color w:val="000000" w:themeColor="text1"/>
          <w:sz w:val="16"/>
          <w:szCs w:val="16"/>
        </w:rPr>
        <w:softHyphen/>
        <w:t xml:space="preserve">рым “хвостом” в передней части (снятым с другого танка) и тут же получил прозвище “носорог”, или “тяни-толкай”. Его проходимость действительно улучшилась, но обзор с места механика-водителя стал никуда не годным. В письме комкора </w:t>
      </w:r>
      <w:proofErr w:type="spellStart"/>
      <w:r w:rsidRPr="00A259BD">
        <w:rPr>
          <w:rFonts w:ascii="Times New Roman" w:hAnsi="Times New Roman"/>
          <w:color w:val="000000" w:themeColor="text1"/>
          <w:sz w:val="16"/>
          <w:szCs w:val="16"/>
        </w:rPr>
        <w:t>Коханского</w:t>
      </w:r>
      <w:proofErr w:type="spellEnd"/>
      <w:r w:rsidRPr="00A259BD">
        <w:rPr>
          <w:rFonts w:ascii="Times New Roman" w:hAnsi="Times New Roman"/>
          <w:color w:val="000000" w:themeColor="text1"/>
          <w:sz w:val="16"/>
          <w:szCs w:val="16"/>
        </w:rPr>
        <w:t xml:space="preserve"> руководству РККА отмечается “жела</w:t>
      </w:r>
      <w:r w:rsidRPr="00A259BD">
        <w:rPr>
          <w:rFonts w:ascii="Times New Roman" w:hAnsi="Times New Roman"/>
          <w:color w:val="000000" w:themeColor="text1"/>
          <w:sz w:val="16"/>
          <w:szCs w:val="16"/>
        </w:rPr>
        <w:softHyphen/>
        <w:t xml:space="preserve">тельность </w:t>
      </w:r>
      <w:proofErr w:type="spellStart"/>
      <w:r w:rsidRPr="00A259BD">
        <w:rPr>
          <w:rFonts w:ascii="Times New Roman" w:hAnsi="Times New Roman"/>
          <w:color w:val="000000" w:themeColor="text1"/>
          <w:sz w:val="16"/>
          <w:szCs w:val="16"/>
        </w:rPr>
        <w:t>предусмотрения</w:t>
      </w:r>
      <w:proofErr w:type="spellEnd"/>
      <w:r w:rsidRPr="00A259BD">
        <w:rPr>
          <w:rFonts w:ascii="Times New Roman" w:hAnsi="Times New Roman"/>
          <w:color w:val="000000" w:themeColor="text1"/>
          <w:sz w:val="16"/>
          <w:szCs w:val="16"/>
        </w:rPr>
        <w:t xml:space="preserve"> для танков МС-1 возможности крепления направляющей стрелы с колесами для... </w:t>
      </w:r>
      <w:proofErr w:type="spellStart"/>
      <w:r w:rsidRPr="00A259BD">
        <w:rPr>
          <w:rFonts w:ascii="Times New Roman" w:hAnsi="Times New Roman"/>
          <w:color w:val="000000" w:themeColor="text1"/>
          <w:sz w:val="16"/>
          <w:szCs w:val="16"/>
        </w:rPr>
        <w:t>подмятия</w:t>
      </w:r>
      <w:proofErr w:type="spellEnd"/>
      <w:r w:rsidRPr="00A259BD">
        <w:rPr>
          <w:rFonts w:ascii="Times New Roman" w:hAnsi="Times New Roman"/>
          <w:color w:val="000000" w:themeColor="text1"/>
          <w:sz w:val="16"/>
          <w:szCs w:val="16"/>
        </w:rPr>
        <w:t xml:space="preserve"> проволочных заграждений и улучшения проходимости рвов”. Проект такого “носового колесного удлинителя” для Т-18 был сделан М. Васильковым, но неизвестно, был ли он из</w:t>
      </w:r>
      <w:r w:rsidRPr="00A259BD">
        <w:rPr>
          <w:rFonts w:ascii="Times New Roman" w:hAnsi="Times New Roman"/>
          <w:color w:val="000000" w:themeColor="text1"/>
          <w:sz w:val="16"/>
          <w:szCs w:val="16"/>
        </w:rPr>
        <w:softHyphen/>
        <w:t>готовлен “в металле” (10733,83).</w:t>
      </w:r>
    </w:p>
    <w:p w14:paraId="69C811A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5957CE" w14:textId="77777777" w:rsidR="00E6155B" w:rsidRPr="00A259BD" w:rsidRDefault="00E6155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октября 1929 г. Выписка из протокола заседания Президиума ВСНХ СССР о состоянии работ по переходу на сжигание </w:t>
      </w:r>
      <w:proofErr w:type="spellStart"/>
      <w:r w:rsidRPr="00A259BD">
        <w:rPr>
          <w:rFonts w:ascii="Times New Roman" w:hAnsi="Times New Roman"/>
          <w:color w:val="000000" w:themeColor="text1"/>
          <w:sz w:val="16"/>
          <w:szCs w:val="16"/>
        </w:rPr>
        <w:t>парафинистых</w:t>
      </w:r>
      <w:proofErr w:type="spellEnd"/>
      <w:r w:rsidRPr="00A259BD">
        <w:rPr>
          <w:rFonts w:ascii="Times New Roman" w:hAnsi="Times New Roman"/>
          <w:color w:val="000000" w:themeColor="text1"/>
          <w:sz w:val="16"/>
          <w:szCs w:val="16"/>
        </w:rPr>
        <w:t xml:space="preserve"> мазутов на заводах военной промышленности (РГАЭ. Ф. 3429. Оп. 6. Д. 198. Л. 53?53 об.) (12417).</w:t>
      </w:r>
    </w:p>
    <w:p w14:paraId="6D8A5F83" w14:textId="77777777" w:rsidR="00E6155B" w:rsidRPr="00A259BD" w:rsidRDefault="00E6155B" w:rsidP="009236E3">
      <w:pPr>
        <w:spacing w:after="0" w:line="240" w:lineRule="auto"/>
        <w:jc w:val="both"/>
        <w:rPr>
          <w:rFonts w:ascii="Times New Roman" w:hAnsi="Times New Roman"/>
          <w:color w:val="000000" w:themeColor="text1"/>
          <w:sz w:val="16"/>
          <w:szCs w:val="16"/>
        </w:rPr>
      </w:pPr>
    </w:p>
    <w:p w14:paraId="707F1115" w14:textId="77777777" w:rsidR="00E6155B" w:rsidRPr="00A259BD" w:rsidRDefault="00E6155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октября 1929 г. — Докладная записка начальника Технического управления ВМС РККА Н. И. Власьева начальнику ВМС РККА Р. А. </w:t>
      </w:r>
      <w:proofErr w:type="spellStart"/>
      <w:r w:rsidRPr="00A259BD">
        <w:rPr>
          <w:rFonts w:ascii="Times New Roman" w:hAnsi="Times New Roman"/>
          <w:color w:val="000000" w:themeColor="text1"/>
          <w:sz w:val="16"/>
          <w:szCs w:val="16"/>
        </w:rPr>
        <w:t>Муклевичу</w:t>
      </w:r>
      <w:proofErr w:type="spellEnd"/>
      <w:r w:rsidRPr="00A259BD">
        <w:rPr>
          <w:rFonts w:ascii="Times New Roman" w:hAnsi="Times New Roman"/>
          <w:color w:val="000000" w:themeColor="text1"/>
          <w:sz w:val="16"/>
          <w:szCs w:val="16"/>
        </w:rPr>
        <w:t xml:space="preserve"> о состоянии работ по строительству подводной лодки 550 т</w:t>
      </w:r>
    </w:p>
    <w:p w14:paraId="55BF536E" w14:textId="77777777" w:rsidR="00E6155B" w:rsidRPr="00A259BD" w:rsidRDefault="00E6155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Докладная записка начальника Технического управления ВМС РККА Н. И. Власьева начальнику ВМС РККА Р. А. </w:t>
      </w:r>
      <w:proofErr w:type="spellStart"/>
      <w:r w:rsidRPr="00A259BD">
        <w:rPr>
          <w:rFonts w:ascii="Times New Roman" w:hAnsi="Times New Roman"/>
          <w:color w:val="000000" w:themeColor="text1"/>
          <w:sz w:val="16"/>
          <w:szCs w:val="16"/>
        </w:rPr>
        <w:t>Муклевичу</w:t>
      </w:r>
      <w:proofErr w:type="spellEnd"/>
      <w:r w:rsidRPr="00A259BD">
        <w:rPr>
          <w:rFonts w:ascii="Times New Roman" w:hAnsi="Times New Roman"/>
          <w:color w:val="000000" w:themeColor="text1"/>
          <w:sz w:val="16"/>
          <w:szCs w:val="16"/>
        </w:rPr>
        <w:t xml:space="preserve"> о состоянии работ по строительству подводной лодки 550 т</w:t>
      </w:r>
    </w:p>
    <w:p w14:paraId="27F08618" w14:textId="77777777" w:rsidR="00E6155B" w:rsidRPr="00A259BD" w:rsidRDefault="00E6155B"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17 октября 1929 г.</w:t>
      </w:r>
    </w:p>
    <w:p w14:paraId="5155061B" w14:textId="77777777" w:rsidR="00E6155B" w:rsidRPr="00A259BD" w:rsidRDefault="00E6155B"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Секретно.</w:t>
      </w:r>
    </w:p>
    <w:p w14:paraId="45D82D46" w14:textId="77777777" w:rsidR="00E6155B" w:rsidRPr="00A259BD" w:rsidRDefault="00E6155B" w:rsidP="009236E3">
      <w:pPr>
        <w:pStyle w:val="rtejustify"/>
        <w:spacing w:before="0" w:after="0"/>
        <w:rPr>
          <w:color w:val="000000" w:themeColor="text1"/>
          <w:sz w:val="16"/>
          <w:szCs w:val="16"/>
        </w:rPr>
      </w:pPr>
      <w:r w:rsidRPr="00A259BD">
        <w:rPr>
          <w:color w:val="000000" w:themeColor="text1"/>
          <w:sz w:val="16"/>
          <w:szCs w:val="16"/>
        </w:rPr>
        <w:t xml:space="preserve">Докладываю: состояние работ по разработке общего проекта подлодки 550 т, разрабатываемого на Балтийском заводе, и поставки материалов на завод позволяют произвести закладку подлодок 550 т на Балтийском заводе 25 октября с. г. Для выполнения постройки этих подлодок в настоящее время выданы заказы — Техническим управлением: </w:t>
      </w:r>
      <w:proofErr w:type="spellStart"/>
      <w:r w:rsidRPr="00A259BD">
        <w:rPr>
          <w:color w:val="000000" w:themeColor="text1"/>
          <w:sz w:val="16"/>
          <w:szCs w:val="16"/>
        </w:rPr>
        <w:t>ВМСу</w:t>
      </w:r>
      <w:proofErr w:type="spellEnd"/>
      <w:r w:rsidRPr="00A259BD">
        <w:rPr>
          <w:color w:val="000000" w:themeColor="text1"/>
          <w:sz w:val="16"/>
          <w:szCs w:val="16"/>
        </w:rPr>
        <w:t> — на сталь 2</w:t>
      </w:r>
      <w:r w:rsidRPr="00A259BD">
        <w:rPr>
          <w:color w:val="000000" w:themeColor="text1"/>
          <w:sz w:val="16"/>
          <w:szCs w:val="16"/>
        </w:rPr>
        <w:noBreakHyphen/>
        <w:t xml:space="preserve">й категории, </w:t>
      </w:r>
      <w:proofErr w:type="spellStart"/>
      <w:r w:rsidRPr="00A259BD">
        <w:rPr>
          <w:color w:val="000000" w:themeColor="text1"/>
          <w:sz w:val="16"/>
          <w:szCs w:val="16"/>
        </w:rPr>
        <w:t>Гомзы</w:t>
      </w:r>
      <w:proofErr w:type="spellEnd"/>
      <w:r w:rsidRPr="00A259BD">
        <w:rPr>
          <w:color w:val="000000" w:themeColor="text1"/>
          <w:sz w:val="16"/>
          <w:szCs w:val="16"/>
        </w:rPr>
        <w:t xml:space="preserve"> — на двигатели Дизеля, </w:t>
      </w:r>
      <w:proofErr w:type="spellStart"/>
      <w:r w:rsidRPr="00A259BD">
        <w:rPr>
          <w:color w:val="000000" w:themeColor="text1"/>
          <w:sz w:val="16"/>
          <w:szCs w:val="16"/>
        </w:rPr>
        <w:t>Ленмаштресту</w:t>
      </w:r>
      <w:proofErr w:type="spellEnd"/>
      <w:r w:rsidRPr="00A259BD">
        <w:rPr>
          <w:color w:val="000000" w:themeColor="text1"/>
          <w:sz w:val="16"/>
          <w:szCs w:val="16"/>
        </w:rPr>
        <w:t xml:space="preserve"> — на электрокомпрессоры ВД и </w:t>
      </w:r>
      <w:proofErr w:type="spellStart"/>
      <w:r w:rsidRPr="00A259BD">
        <w:rPr>
          <w:color w:val="000000" w:themeColor="text1"/>
          <w:sz w:val="16"/>
          <w:szCs w:val="16"/>
        </w:rPr>
        <w:t>ТОМПу</w:t>
      </w:r>
      <w:proofErr w:type="spellEnd"/>
      <w:r w:rsidRPr="00A259BD">
        <w:rPr>
          <w:color w:val="000000" w:themeColor="text1"/>
          <w:sz w:val="16"/>
          <w:szCs w:val="16"/>
        </w:rPr>
        <w:t xml:space="preserve"> — на перископы; </w:t>
      </w:r>
      <w:proofErr w:type="spellStart"/>
      <w:r w:rsidRPr="00A259BD">
        <w:rPr>
          <w:color w:val="000000" w:themeColor="text1"/>
          <w:sz w:val="16"/>
          <w:szCs w:val="16"/>
        </w:rPr>
        <w:t>Судотрестом</w:t>
      </w:r>
      <w:proofErr w:type="spellEnd"/>
      <w:r w:rsidRPr="00A259BD">
        <w:rPr>
          <w:color w:val="000000" w:themeColor="text1"/>
          <w:sz w:val="16"/>
          <w:szCs w:val="16"/>
        </w:rPr>
        <w:t xml:space="preserve"> (</w:t>
      </w:r>
      <w:proofErr w:type="spellStart"/>
      <w:r w:rsidRPr="00A259BD">
        <w:rPr>
          <w:color w:val="000000" w:themeColor="text1"/>
          <w:sz w:val="16"/>
          <w:szCs w:val="16"/>
        </w:rPr>
        <w:t>Балтводом</w:t>
      </w:r>
      <w:proofErr w:type="spellEnd"/>
      <w:r w:rsidRPr="00A259BD">
        <w:rPr>
          <w:color w:val="000000" w:themeColor="text1"/>
          <w:sz w:val="16"/>
          <w:szCs w:val="16"/>
        </w:rPr>
        <w:t xml:space="preserve">): </w:t>
      </w:r>
      <w:proofErr w:type="spellStart"/>
      <w:r w:rsidRPr="00A259BD">
        <w:rPr>
          <w:color w:val="000000" w:themeColor="text1"/>
          <w:sz w:val="16"/>
          <w:szCs w:val="16"/>
        </w:rPr>
        <w:t>ГЭТу</w:t>
      </w:r>
      <w:proofErr w:type="spellEnd"/>
      <w:r w:rsidRPr="00A259BD">
        <w:rPr>
          <w:color w:val="000000" w:themeColor="text1"/>
          <w:sz w:val="16"/>
          <w:szCs w:val="16"/>
        </w:rPr>
        <w:t xml:space="preserve"> — на главные электромоторы и за границу — на электролампы </w:t>
      </w:r>
      <w:proofErr w:type="spellStart"/>
      <w:r w:rsidRPr="00A259BD">
        <w:rPr>
          <w:color w:val="000000" w:themeColor="text1"/>
          <w:sz w:val="16"/>
          <w:szCs w:val="16"/>
        </w:rPr>
        <w:t>Рато</w:t>
      </w:r>
      <w:proofErr w:type="spellEnd"/>
      <w:r w:rsidRPr="00A259BD">
        <w:rPr>
          <w:color w:val="000000" w:themeColor="text1"/>
          <w:sz w:val="16"/>
          <w:szCs w:val="16"/>
        </w:rPr>
        <w:t>, шарикоподшипники и измерительные приборы.</w:t>
      </w:r>
    </w:p>
    <w:p w14:paraId="114DACC0" w14:textId="77777777" w:rsidR="00E6155B" w:rsidRPr="00A259BD" w:rsidRDefault="00E6155B" w:rsidP="009236E3">
      <w:pPr>
        <w:pStyle w:val="rtejustify"/>
        <w:spacing w:before="0" w:after="0"/>
        <w:rPr>
          <w:color w:val="000000" w:themeColor="text1"/>
          <w:sz w:val="16"/>
          <w:szCs w:val="16"/>
        </w:rPr>
      </w:pPr>
      <w:r w:rsidRPr="00A259BD">
        <w:rPr>
          <w:color w:val="000000" w:themeColor="text1"/>
          <w:sz w:val="16"/>
          <w:szCs w:val="16"/>
        </w:rPr>
        <w:t xml:space="preserve">Для изготовления закладных досок необходимо сообщить </w:t>
      </w:r>
      <w:proofErr w:type="spellStart"/>
      <w:r w:rsidRPr="00A259BD">
        <w:rPr>
          <w:color w:val="000000" w:themeColor="text1"/>
          <w:sz w:val="16"/>
          <w:szCs w:val="16"/>
        </w:rPr>
        <w:t>Балтводу</w:t>
      </w:r>
      <w:proofErr w:type="spellEnd"/>
      <w:r w:rsidRPr="00A259BD">
        <w:rPr>
          <w:color w:val="000000" w:themeColor="text1"/>
          <w:sz w:val="16"/>
          <w:szCs w:val="16"/>
        </w:rPr>
        <w:t xml:space="preserve"> название лодок и текст надписей на закладных досках. На основании Вашего приказания Управлению наметить для этих подлодок названия рыб. Техническими управлениями намечены следующие названия: «Щука», «Ерш», «Окунь» — для трех лодок, строящихся на </w:t>
      </w:r>
      <w:proofErr w:type="spellStart"/>
      <w:r w:rsidRPr="00A259BD">
        <w:rPr>
          <w:color w:val="000000" w:themeColor="text1"/>
          <w:sz w:val="16"/>
          <w:szCs w:val="16"/>
        </w:rPr>
        <w:t>Балтводе</w:t>
      </w:r>
      <w:proofErr w:type="spellEnd"/>
      <w:r w:rsidRPr="00A259BD">
        <w:rPr>
          <w:color w:val="000000" w:themeColor="text1"/>
          <w:sz w:val="16"/>
          <w:szCs w:val="16"/>
        </w:rPr>
        <w:t>, и «Судак» — для подлодки, строящейся на заводе «Красное Сормово»¹*.</w:t>
      </w:r>
    </w:p>
    <w:p w14:paraId="6BE8FED0" w14:textId="77777777" w:rsidR="00E6155B" w:rsidRPr="00A259BD" w:rsidRDefault="00E6155B" w:rsidP="009236E3">
      <w:pPr>
        <w:pStyle w:val="rtejustify"/>
        <w:spacing w:before="0" w:after="0"/>
        <w:rPr>
          <w:color w:val="000000" w:themeColor="text1"/>
          <w:sz w:val="16"/>
          <w:szCs w:val="16"/>
        </w:rPr>
      </w:pPr>
      <w:r w:rsidRPr="00A259BD">
        <w:rPr>
          <w:color w:val="000000" w:themeColor="text1"/>
          <w:sz w:val="16"/>
          <w:szCs w:val="16"/>
        </w:rPr>
        <w:t>На основании вышеизложенного прошу:</w:t>
      </w:r>
    </w:p>
    <w:p w14:paraId="64847330" w14:textId="77777777" w:rsidR="00E6155B" w:rsidRPr="00A259BD" w:rsidRDefault="00E6155B" w:rsidP="009236E3">
      <w:pPr>
        <w:pStyle w:val="rtejustify"/>
        <w:spacing w:before="0" w:after="0"/>
        <w:rPr>
          <w:color w:val="000000" w:themeColor="text1"/>
          <w:sz w:val="16"/>
          <w:szCs w:val="16"/>
        </w:rPr>
      </w:pPr>
      <w:r w:rsidRPr="00A259BD">
        <w:rPr>
          <w:color w:val="000000" w:themeColor="text1"/>
          <w:sz w:val="16"/>
          <w:szCs w:val="16"/>
        </w:rPr>
        <w:t>1. Назначить закладку подлодок на Балтийском заводе на 25 октября с. г.; уточнение окончательное — будет предпринято немедленно²*.</w:t>
      </w:r>
    </w:p>
    <w:p w14:paraId="4843DB91" w14:textId="77777777" w:rsidR="00E6155B" w:rsidRPr="00A259BD" w:rsidRDefault="00E6155B" w:rsidP="009236E3">
      <w:pPr>
        <w:pStyle w:val="rtejustify"/>
        <w:spacing w:before="0" w:after="0"/>
        <w:rPr>
          <w:color w:val="000000" w:themeColor="text1"/>
          <w:sz w:val="16"/>
          <w:szCs w:val="16"/>
        </w:rPr>
      </w:pPr>
      <w:r w:rsidRPr="00A259BD">
        <w:rPr>
          <w:color w:val="000000" w:themeColor="text1"/>
          <w:sz w:val="16"/>
          <w:szCs w:val="16"/>
        </w:rPr>
        <w:t>2. Утвердить название подлодок: «Щука», «Ерш», «Окунь», «Судак»³*.</w:t>
      </w:r>
    </w:p>
    <w:p w14:paraId="6E4B2F6D" w14:textId="77777777" w:rsidR="00E6155B" w:rsidRPr="00A259BD" w:rsidRDefault="00E6155B" w:rsidP="009236E3">
      <w:pPr>
        <w:pStyle w:val="rtejustify"/>
        <w:spacing w:before="0" w:after="0"/>
        <w:rPr>
          <w:color w:val="000000" w:themeColor="text1"/>
          <w:sz w:val="16"/>
          <w:szCs w:val="16"/>
        </w:rPr>
      </w:pPr>
      <w:r w:rsidRPr="00A259BD">
        <w:rPr>
          <w:color w:val="000000" w:themeColor="text1"/>
          <w:sz w:val="16"/>
          <w:szCs w:val="16"/>
        </w:rPr>
        <w:t>3. Указать текст надписей, которые надлежит выгравировать на закладных досках.</w:t>
      </w:r>
    </w:p>
    <w:p w14:paraId="55675C10" w14:textId="77777777" w:rsidR="00E6155B" w:rsidRPr="00A259BD" w:rsidRDefault="00E6155B" w:rsidP="009236E3">
      <w:pPr>
        <w:pStyle w:val="ae"/>
        <w:spacing w:before="0" w:after="0"/>
        <w:jc w:val="both"/>
        <w:rPr>
          <w:color w:val="000000" w:themeColor="text1"/>
          <w:sz w:val="16"/>
          <w:szCs w:val="16"/>
        </w:rPr>
      </w:pPr>
      <w:proofErr w:type="spellStart"/>
      <w:r w:rsidRPr="00A259BD">
        <w:rPr>
          <w:rStyle w:val="af0"/>
          <w:i w:val="0"/>
          <w:color w:val="000000" w:themeColor="text1"/>
          <w:sz w:val="16"/>
          <w:szCs w:val="16"/>
        </w:rPr>
        <w:t>Намортехупр</w:t>
      </w:r>
      <w:proofErr w:type="spellEnd"/>
      <w:r w:rsidRPr="00A259BD">
        <w:rPr>
          <w:rStyle w:val="af0"/>
          <w:i w:val="0"/>
          <w:color w:val="000000" w:themeColor="text1"/>
          <w:sz w:val="16"/>
          <w:szCs w:val="16"/>
        </w:rPr>
        <w:t xml:space="preserve"> </w:t>
      </w:r>
      <w:hyperlink r:id="rId199" w:history="1">
        <w:r w:rsidRPr="00A259BD">
          <w:rPr>
            <w:rStyle w:val="af0"/>
            <w:i w:val="0"/>
            <w:color w:val="000000" w:themeColor="text1"/>
            <w:sz w:val="16"/>
            <w:szCs w:val="16"/>
          </w:rPr>
          <w:t>Власьев</w:t>
        </w:r>
      </w:hyperlink>
    </w:p>
    <w:p w14:paraId="7943A834" w14:textId="77777777" w:rsidR="00E6155B" w:rsidRPr="00A259BD" w:rsidRDefault="00E6155B"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p>
    <w:p w14:paraId="3398BD4A" w14:textId="77777777" w:rsidR="00E6155B" w:rsidRPr="00A259BD" w:rsidRDefault="00E6155B"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w:t>
      </w:r>
      <w:r w:rsidRPr="00A259BD">
        <w:rPr>
          <w:rStyle w:val="af0"/>
          <w:i w:val="0"/>
          <w:color w:val="000000" w:themeColor="text1"/>
          <w:sz w:val="16"/>
          <w:szCs w:val="16"/>
        </w:rPr>
        <w:t>Подводные лодки</w:t>
      </w:r>
      <w:r w:rsidRPr="00A259BD">
        <w:rPr>
          <w:color w:val="000000" w:themeColor="text1"/>
          <w:sz w:val="16"/>
          <w:szCs w:val="16"/>
        </w:rPr>
        <w:t xml:space="preserve"> типа </w:t>
      </w:r>
      <w:r w:rsidRPr="00A259BD">
        <w:rPr>
          <w:rStyle w:val="af0"/>
          <w:i w:val="0"/>
          <w:color w:val="000000" w:themeColor="text1"/>
          <w:sz w:val="16"/>
          <w:szCs w:val="16"/>
        </w:rPr>
        <w:t>«Щука»</w:t>
      </w:r>
      <w:r w:rsidRPr="00A259BD">
        <w:rPr>
          <w:color w:val="000000" w:themeColor="text1"/>
          <w:sz w:val="16"/>
          <w:szCs w:val="16"/>
        </w:rPr>
        <w:t xml:space="preserve"> разрабатывались в Научно-техническом комитете под руководством А. Н. </w:t>
      </w:r>
      <w:proofErr w:type="spellStart"/>
      <w:r w:rsidRPr="00A259BD">
        <w:rPr>
          <w:color w:val="000000" w:themeColor="text1"/>
          <w:sz w:val="16"/>
          <w:szCs w:val="16"/>
        </w:rPr>
        <w:t>Гарсоева</w:t>
      </w:r>
      <w:proofErr w:type="spellEnd"/>
      <w:r w:rsidRPr="00A259BD">
        <w:rPr>
          <w:color w:val="000000" w:themeColor="text1"/>
          <w:sz w:val="16"/>
          <w:szCs w:val="16"/>
        </w:rPr>
        <w:t xml:space="preserve"> и Б. М. Малинина с 1928 г. Последний вариант проекта был утвержден Реввоенсоветом 23 января 1930 г. накануне закладки корабля. Головная лодка «Щука», давшая наименование всей серии, была отнесена к средним подводным лодкам. Она была спущена на воду 1 декабря 1930 г. и вступила в строй в октябре 1933 г. Почти одновременно были окончены постройкой лодки </w:t>
      </w:r>
      <w:r w:rsidRPr="00A259BD">
        <w:rPr>
          <w:rStyle w:val="af0"/>
          <w:i w:val="0"/>
          <w:color w:val="000000" w:themeColor="text1"/>
          <w:sz w:val="16"/>
          <w:szCs w:val="16"/>
        </w:rPr>
        <w:t>«Окунь» и «Ерш».</w:t>
      </w:r>
      <w:r w:rsidRPr="00A259BD">
        <w:rPr>
          <w:color w:val="000000" w:themeColor="text1"/>
          <w:sz w:val="16"/>
          <w:szCs w:val="16"/>
        </w:rPr>
        <w:t xml:space="preserve"> Четвертая лодка серии, заложенная 23 февраля 1930 г. на заводе «Красное Сормово», получила название «Комсомолец».</w:t>
      </w:r>
    </w:p>
    <w:p w14:paraId="05A29707" w14:textId="77777777" w:rsidR="00E6155B" w:rsidRPr="00A259BD" w:rsidRDefault="00E6155B" w:rsidP="009236E3">
      <w:pPr>
        <w:pStyle w:val="rtejustify"/>
        <w:spacing w:before="0" w:after="0"/>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После точки с занятой слова написаны от руки.</w:t>
      </w:r>
    </w:p>
    <w:p w14:paraId="4988A489" w14:textId="77777777" w:rsidR="00E6155B" w:rsidRPr="00A259BD" w:rsidRDefault="00E6155B" w:rsidP="009236E3">
      <w:pPr>
        <w:pStyle w:val="rtejustify"/>
        <w:spacing w:before="0" w:after="0"/>
        <w:rPr>
          <w:color w:val="000000" w:themeColor="text1"/>
          <w:sz w:val="16"/>
          <w:szCs w:val="16"/>
        </w:rPr>
      </w:pPr>
      <w:r w:rsidRPr="00A259BD">
        <w:rPr>
          <w:color w:val="000000" w:themeColor="text1"/>
          <w:sz w:val="16"/>
          <w:szCs w:val="16"/>
          <w:vertAlign w:val="superscript"/>
        </w:rPr>
        <w:lastRenderedPageBreak/>
        <w:t>3</w:t>
      </w:r>
      <w:r w:rsidRPr="00A259BD">
        <w:rPr>
          <w:color w:val="000000" w:themeColor="text1"/>
          <w:sz w:val="16"/>
          <w:szCs w:val="16"/>
        </w:rPr>
        <w:t>* Слово «Судак» зачеркнуто и вместо него от руки вписано: «Язь».</w:t>
      </w:r>
    </w:p>
    <w:p w14:paraId="1A1CF011" w14:textId="77777777" w:rsidR="00E6155B" w:rsidRPr="00A259BD" w:rsidRDefault="00E6155B" w:rsidP="009236E3">
      <w:pPr>
        <w:pStyle w:val="ae"/>
        <w:spacing w:before="0" w:after="0"/>
        <w:jc w:val="both"/>
        <w:rPr>
          <w:color w:val="000000" w:themeColor="text1"/>
          <w:sz w:val="16"/>
          <w:szCs w:val="16"/>
        </w:rPr>
      </w:pPr>
      <w:r w:rsidRPr="00A259BD">
        <w:rPr>
          <w:color w:val="000000" w:themeColor="text1"/>
          <w:sz w:val="16"/>
          <w:szCs w:val="16"/>
        </w:rPr>
        <w:t>РГАВМФ. Ф. р-360. Оп. 2. Д. 690. Л. 79—79 об. Подлинник.</w:t>
      </w:r>
    </w:p>
    <w:p w14:paraId="63327CE9" w14:textId="77777777" w:rsidR="00E6155B" w:rsidRPr="00A259BD" w:rsidRDefault="00E6155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РГАВМФ. Ф. р-360. Оп. 2. Д. 690. Л. 79—79 об. Подлинник. </w:t>
      </w:r>
    </w:p>
    <w:p w14:paraId="22EEF474" w14:textId="77777777" w:rsidR="00E6155B" w:rsidRPr="00A259BD" w:rsidRDefault="00E6155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371 (12470).</w:t>
      </w:r>
    </w:p>
    <w:p w14:paraId="4424B8A4" w14:textId="77777777" w:rsidR="00E6155B" w:rsidRPr="00A259BD" w:rsidRDefault="00E6155B" w:rsidP="009236E3">
      <w:pPr>
        <w:spacing w:after="0" w:line="240" w:lineRule="auto"/>
        <w:jc w:val="both"/>
        <w:rPr>
          <w:rFonts w:ascii="Times New Roman" w:hAnsi="Times New Roman"/>
          <w:color w:val="000000" w:themeColor="text1"/>
          <w:sz w:val="16"/>
          <w:szCs w:val="16"/>
        </w:rPr>
      </w:pPr>
    </w:p>
    <w:p w14:paraId="4FCC55C0" w14:textId="77777777" w:rsidR="00DC0163"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6D028F59" w14:textId="77777777" w:rsidR="00DC0163" w:rsidRPr="00A259BD" w:rsidRDefault="00DC0163"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EF06E56" w14:textId="77777777" w:rsidR="009715DF" w:rsidRPr="00A259BD" w:rsidRDefault="009715DF"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88" w:name="_Hlk91403030"/>
      <w:r w:rsidRPr="00A259BD">
        <w:rPr>
          <w:rFonts w:ascii="Times New Roman" w:eastAsia="Times New Roman" w:hAnsi="Times New Roman"/>
          <w:color w:val="000000" w:themeColor="text1"/>
          <w:sz w:val="16"/>
          <w:szCs w:val="16"/>
          <w:lang w:eastAsia="ru-RU"/>
        </w:rPr>
        <w:t xml:space="preserve">17 октября 1929 г. Тухачевский направил наркомвоенмору первый из серии меморандумов но реконструкции вооруженных сил (Два других документа, датированные августом 1929 г., были посвящены проблеме развития воздушных сообщений: Записка Командующего войсками ЛВО Тухачевского Наркому по Военным и Морским Делам Ворошилову и копии Начальнику Штаба РККА, Начальнику ВВС РККА), 17.08.1929 (заверенная копия) // РГА СПИ. Ф. 558. On. 11. Д. 446. Л. 26-29: Письмо Командующего войсками ЛВО Тухачевского Наркому почт и телеграфов Антонову. 2308.1929 (заверенная копия) //Там же. Л. 30-31об.). В записке высказывались соображения по улучшению системы военных сообщений, что очевидным образом увязывалось с практическими усилиями </w:t>
      </w:r>
      <w:proofErr w:type="spellStart"/>
      <w:r w:rsidRPr="00A259BD">
        <w:rPr>
          <w:rFonts w:ascii="Times New Roman" w:eastAsia="Times New Roman" w:hAnsi="Times New Roman"/>
          <w:color w:val="000000" w:themeColor="text1"/>
          <w:sz w:val="16"/>
          <w:szCs w:val="16"/>
          <w:lang w:eastAsia="ru-RU"/>
        </w:rPr>
        <w:t>комвойсками</w:t>
      </w:r>
      <w:proofErr w:type="spellEnd"/>
      <w:r w:rsidRPr="00A259BD">
        <w:rPr>
          <w:rFonts w:ascii="Times New Roman" w:eastAsia="Times New Roman" w:hAnsi="Times New Roman"/>
          <w:color w:val="000000" w:themeColor="text1"/>
          <w:sz w:val="16"/>
          <w:szCs w:val="16"/>
          <w:lang w:eastAsia="ru-RU"/>
        </w:rPr>
        <w:t xml:space="preserve"> ЛВО по повышению подвижности поиск (преимущественно ради темпов наступательной операции). Вслед за этим Реввоенсовет округа (т. е. сам Тухачевский, член РВС </w:t>
      </w:r>
      <w:proofErr w:type="spellStart"/>
      <w:r w:rsidRPr="00A259BD">
        <w:rPr>
          <w:rFonts w:ascii="Times New Roman" w:eastAsia="Times New Roman" w:hAnsi="Times New Roman"/>
          <w:color w:val="000000" w:themeColor="text1"/>
          <w:sz w:val="16"/>
          <w:szCs w:val="16"/>
          <w:lang w:eastAsia="ru-RU"/>
        </w:rPr>
        <w:t>Сааков</w:t>
      </w:r>
      <w:proofErr w:type="spellEnd"/>
      <w:r w:rsidRPr="00A259BD">
        <w:rPr>
          <w:rFonts w:ascii="Times New Roman" w:eastAsia="Times New Roman" w:hAnsi="Times New Roman"/>
          <w:color w:val="000000" w:themeColor="text1"/>
          <w:sz w:val="16"/>
          <w:szCs w:val="16"/>
          <w:lang w:eastAsia="ru-RU"/>
        </w:rPr>
        <w:t xml:space="preserve"> и приглашенные на заседание </w:t>
      </w:r>
      <w:proofErr w:type="spellStart"/>
      <w:r w:rsidRPr="00A259BD">
        <w:rPr>
          <w:rFonts w:ascii="Times New Roman" w:eastAsia="Times New Roman" w:hAnsi="Times New Roman"/>
          <w:color w:val="000000" w:themeColor="text1"/>
          <w:sz w:val="16"/>
          <w:szCs w:val="16"/>
          <w:lang w:eastAsia="ru-RU"/>
        </w:rPr>
        <w:t>помкомвойск</w:t>
      </w:r>
      <w:proofErr w:type="spellEnd"/>
      <w:r w:rsidRPr="00A259BD">
        <w:rPr>
          <w:rFonts w:ascii="Times New Roman" w:eastAsia="Times New Roman" w:hAnsi="Times New Roman"/>
          <w:color w:val="000000" w:themeColor="text1"/>
          <w:sz w:val="16"/>
          <w:szCs w:val="16"/>
          <w:lang w:eastAsia="ru-RU"/>
        </w:rPr>
        <w:t xml:space="preserve"> Федько и начштаба Фельдман) поставил перед высшим военным руководством вопросы о дополнительном дорожном строительстве и </w:t>
      </w:r>
      <w:proofErr w:type="spellStart"/>
      <w:r w:rsidRPr="00A259BD">
        <w:rPr>
          <w:rFonts w:ascii="Times New Roman" w:eastAsia="Times New Roman" w:hAnsi="Times New Roman"/>
          <w:color w:val="000000" w:themeColor="text1"/>
          <w:sz w:val="16"/>
          <w:szCs w:val="16"/>
          <w:lang w:eastAsia="ru-RU"/>
        </w:rPr>
        <w:t>реконстоукции</w:t>
      </w:r>
      <w:proofErr w:type="spellEnd"/>
      <w:r w:rsidRPr="00A259BD">
        <w:rPr>
          <w:rFonts w:ascii="Times New Roman" w:eastAsia="Times New Roman" w:hAnsi="Times New Roman"/>
          <w:color w:val="000000" w:themeColor="text1"/>
          <w:sz w:val="16"/>
          <w:szCs w:val="16"/>
          <w:lang w:eastAsia="ru-RU"/>
        </w:rPr>
        <w:t xml:space="preserve"> железнодорожных полков, а затем и другие "вопросы оперативной и мобилизационной подготовки ЛВО", требующие, в частности, "организационных изменений" (Постановление РВС ЛВО "О готовности дорог округа к войне", 15.11.1929 // 1ТВА.Ф.4.0П. 1.Д. 1083. Л. 134-138; Постановление № 42 РВС СССР, 'Н. 12.1929//Там же. Оп. 18. Д. 15. Л. 303.).</w:t>
      </w:r>
    </w:p>
    <w:p w14:paraId="18C5D780" w14:textId="77777777" w:rsidR="009715DF" w:rsidRPr="00A259BD" w:rsidRDefault="009715DF" w:rsidP="009236E3">
      <w:pPr>
        <w:shd w:val="clear" w:color="auto" w:fill="FFFFFF"/>
        <w:spacing w:after="0" w:line="240" w:lineRule="auto"/>
        <w:jc w:val="both"/>
        <w:rPr>
          <w:rFonts w:ascii="Times New Roman" w:hAnsi="Times New Roman"/>
          <w:color w:val="000000" w:themeColor="text1"/>
          <w:sz w:val="16"/>
          <w:szCs w:val="16"/>
        </w:rPr>
      </w:pPr>
      <w:proofErr w:type="spellStart"/>
      <w:r w:rsidRPr="00A259BD">
        <w:rPr>
          <w:rFonts w:ascii="Times New Roman" w:eastAsia="Times New Roman" w:hAnsi="Times New Roman"/>
          <w:color w:val="000000" w:themeColor="text1"/>
          <w:sz w:val="16"/>
          <w:szCs w:val="16"/>
          <w:lang w:eastAsia="ru-RU"/>
        </w:rPr>
        <w:t>Т.о</w:t>
      </w:r>
      <w:proofErr w:type="spellEnd"/>
      <w:r w:rsidRPr="00A259BD">
        <w:rPr>
          <w:rFonts w:ascii="Times New Roman" w:eastAsia="Times New Roman" w:hAnsi="Times New Roman"/>
          <w:color w:val="000000" w:themeColor="text1"/>
          <w:sz w:val="16"/>
          <w:szCs w:val="16"/>
          <w:lang w:eastAsia="ru-RU"/>
        </w:rPr>
        <w:t>., осенью 1929 г. командующий войсками Ленинградского военного округа М. Н. Тухачевский открыл кампанию за переход к реконструкции РККА и превращению ее к концу пятилетки в "новую армию" (22725).</w:t>
      </w:r>
    </w:p>
    <w:p w14:paraId="78E8FF85" w14:textId="77777777" w:rsidR="009715DF" w:rsidRPr="00A259BD" w:rsidRDefault="009715DF" w:rsidP="009236E3">
      <w:pPr>
        <w:shd w:val="clear" w:color="auto" w:fill="FFFFFF"/>
        <w:spacing w:after="0" w:line="240" w:lineRule="auto"/>
        <w:jc w:val="both"/>
        <w:rPr>
          <w:rFonts w:ascii="Times New Roman" w:hAnsi="Times New Roman"/>
          <w:color w:val="000000" w:themeColor="text1"/>
          <w:sz w:val="16"/>
          <w:szCs w:val="16"/>
        </w:rPr>
      </w:pPr>
    </w:p>
    <w:bookmarkEnd w:id="88"/>
    <w:p w14:paraId="1642390E" w14:textId="77777777" w:rsidR="00DC0163" w:rsidRPr="00A259BD" w:rsidRDefault="00DC0163" w:rsidP="009236E3">
      <w:pPr>
        <w:pStyle w:val="a3"/>
        <w:rPr>
          <w:color w:val="000000" w:themeColor="text1"/>
          <w:lang w:val="ru-RU"/>
        </w:rPr>
      </w:pPr>
      <w:r w:rsidRPr="00A259BD">
        <w:rPr>
          <w:color w:val="000000" w:themeColor="text1"/>
          <w:lang w:val="ru-RU"/>
        </w:rPr>
        <w:t xml:space="preserve">17 октября 1929 разведсводка донесла, что из Харбина в </w:t>
      </w:r>
      <w:proofErr w:type="spellStart"/>
      <w:r w:rsidRPr="00A259BD">
        <w:rPr>
          <w:color w:val="000000" w:themeColor="text1"/>
          <w:lang w:val="ru-RU"/>
        </w:rPr>
        <w:t>Цицикар</w:t>
      </w:r>
      <w:proofErr w:type="spellEnd"/>
      <w:r w:rsidRPr="00A259BD">
        <w:rPr>
          <w:color w:val="000000" w:themeColor="text1"/>
          <w:lang w:val="ru-RU"/>
        </w:rPr>
        <w:t xml:space="preserve"> и Хайлар отправили 12 двухместных бомбардировщиков «Бреге» и «</w:t>
      </w:r>
      <w:proofErr w:type="spellStart"/>
      <w:r w:rsidRPr="00A259BD">
        <w:rPr>
          <w:color w:val="000000" w:themeColor="text1"/>
          <w:lang w:val="ru-RU"/>
        </w:rPr>
        <w:t>Потез</w:t>
      </w:r>
      <w:proofErr w:type="spellEnd"/>
      <w:r w:rsidRPr="00A259BD">
        <w:rPr>
          <w:color w:val="000000" w:themeColor="text1"/>
          <w:lang w:val="ru-RU"/>
        </w:rPr>
        <w:t>», личный состав отряда исключи</w:t>
      </w:r>
      <w:r w:rsidRPr="00A259BD">
        <w:rPr>
          <w:color w:val="000000" w:themeColor="text1"/>
          <w:lang w:val="ru-RU"/>
        </w:rPr>
        <w:softHyphen/>
        <w:t>тельно китайский. Одновременно сообщили, что на ст. Маньчжурия прибыл двухместный «</w:t>
      </w:r>
      <w:proofErr w:type="spellStart"/>
      <w:r w:rsidRPr="00A259BD">
        <w:rPr>
          <w:color w:val="000000" w:themeColor="text1"/>
          <w:lang w:val="ru-RU"/>
        </w:rPr>
        <w:t>Потез</w:t>
      </w:r>
      <w:proofErr w:type="spellEnd"/>
      <w:r w:rsidRPr="00A259BD">
        <w:rPr>
          <w:color w:val="000000" w:themeColor="text1"/>
          <w:lang w:val="ru-RU"/>
        </w:rPr>
        <w:t>» «старой конструкции с малым радиусом действия, лётчик и механик русские» (15820).</w:t>
      </w:r>
    </w:p>
    <w:p w14:paraId="05937AF9" w14:textId="77777777" w:rsidR="00DC0163" w:rsidRPr="00A259BD" w:rsidRDefault="00DC0163" w:rsidP="009236E3">
      <w:pPr>
        <w:spacing w:after="0" w:line="240" w:lineRule="auto"/>
        <w:jc w:val="both"/>
        <w:rPr>
          <w:rFonts w:ascii="Times New Roman" w:hAnsi="Times New Roman"/>
          <w:color w:val="000000" w:themeColor="text1"/>
          <w:sz w:val="16"/>
          <w:szCs w:val="16"/>
        </w:rPr>
      </w:pPr>
    </w:p>
    <w:p w14:paraId="05E14E5E"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2F88308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6BBB1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октября 1929 разведс</w:t>
      </w:r>
      <w:r w:rsidRPr="00A259BD">
        <w:rPr>
          <w:rFonts w:ascii="Times New Roman" w:hAnsi="Times New Roman"/>
          <w:color w:val="000000" w:themeColor="text1"/>
          <w:sz w:val="16"/>
          <w:szCs w:val="16"/>
        </w:rPr>
        <w:softHyphen/>
        <w:t xml:space="preserve">водкой донесли, что из Харбина в </w:t>
      </w:r>
      <w:proofErr w:type="spellStart"/>
      <w:r w:rsidRPr="00A259BD">
        <w:rPr>
          <w:rFonts w:ascii="Times New Roman" w:hAnsi="Times New Roman"/>
          <w:color w:val="000000" w:themeColor="text1"/>
          <w:sz w:val="16"/>
          <w:szCs w:val="16"/>
        </w:rPr>
        <w:t>Цицикар</w:t>
      </w:r>
      <w:proofErr w:type="spellEnd"/>
      <w:r w:rsidRPr="00A259BD">
        <w:rPr>
          <w:rFonts w:ascii="Times New Roman" w:hAnsi="Times New Roman"/>
          <w:color w:val="000000" w:themeColor="text1"/>
          <w:sz w:val="16"/>
          <w:szCs w:val="16"/>
        </w:rPr>
        <w:t xml:space="preserve"> и Хай-лар отправили 12 двухме</w:t>
      </w:r>
      <w:r w:rsidRPr="00A259BD">
        <w:rPr>
          <w:rFonts w:ascii="Times New Roman" w:hAnsi="Times New Roman"/>
          <w:color w:val="000000" w:themeColor="text1"/>
          <w:sz w:val="16"/>
          <w:szCs w:val="16"/>
        </w:rPr>
        <w:softHyphen/>
        <w:t>стных бомбардировщиков “Бреге” и “</w:t>
      </w:r>
      <w:proofErr w:type="spellStart"/>
      <w:r w:rsidRPr="00A259BD">
        <w:rPr>
          <w:rFonts w:ascii="Times New Roman" w:hAnsi="Times New Roman"/>
          <w:color w:val="000000" w:themeColor="text1"/>
          <w:sz w:val="16"/>
          <w:szCs w:val="16"/>
        </w:rPr>
        <w:t>Потез</w:t>
      </w:r>
      <w:proofErr w:type="spellEnd"/>
      <w:r w:rsidRPr="00A259BD">
        <w:rPr>
          <w:rFonts w:ascii="Times New Roman" w:hAnsi="Times New Roman"/>
          <w:color w:val="000000" w:themeColor="text1"/>
          <w:sz w:val="16"/>
          <w:szCs w:val="16"/>
        </w:rPr>
        <w:t>”, личный состав от</w:t>
      </w:r>
      <w:r w:rsidRPr="00A259BD">
        <w:rPr>
          <w:rFonts w:ascii="Times New Roman" w:hAnsi="Times New Roman"/>
          <w:color w:val="000000" w:themeColor="text1"/>
          <w:sz w:val="16"/>
          <w:szCs w:val="16"/>
        </w:rPr>
        <w:softHyphen/>
        <w:t>ряда исключительно китайский. Одно</w:t>
      </w:r>
      <w:r w:rsidRPr="00A259BD">
        <w:rPr>
          <w:rFonts w:ascii="Times New Roman" w:hAnsi="Times New Roman"/>
          <w:color w:val="000000" w:themeColor="text1"/>
          <w:sz w:val="16"/>
          <w:szCs w:val="16"/>
        </w:rPr>
        <w:softHyphen/>
        <w:t>временно сообщили, что на ст. Маньч</w:t>
      </w:r>
      <w:r w:rsidRPr="00A259BD">
        <w:rPr>
          <w:rFonts w:ascii="Times New Roman" w:hAnsi="Times New Roman"/>
          <w:color w:val="000000" w:themeColor="text1"/>
          <w:sz w:val="16"/>
          <w:szCs w:val="16"/>
        </w:rPr>
        <w:softHyphen/>
        <w:t>журия прибыл двухместный “</w:t>
      </w:r>
      <w:proofErr w:type="spellStart"/>
      <w:r w:rsidRPr="00A259BD">
        <w:rPr>
          <w:rFonts w:ascii="Times New Roman" w:hAnsi="Times New Roman"/>
          <w:color w:val="000000" w:themeColor="text1"/>
          <w:sz w:val="16"/>
          <w:szCs w:val="16"/>
        </w:rPr>
        <w:t>Потез</w:t>
      </w:r>
      <w:proofErr w:type="spellEnd"/>
      <w:r w:rsidRPr="00A259BD">
        <w:rPr>
          <w:rFonts w:ascii="Times New Roman" w:hAnsi="Times New Roman"/>
          <w:color w:val="000000" w:themeColor="text1"/>
          <w:sz w:val="16"/>
          <w:szCs w:val="16"/>
        </w:rPr>
        <w:t>” “старой конструкции с малым радиу</w:t>
      </w:r>
      <w:r w:rsidRPr="00A259BD">
        <w:rPr>
          <w:rFonts w:ascii="Times New Roman" w:hAnsi="Times New Roman"/>
          <w:color w:val="000000" w:themeColor="text1"/>
          <w:sz w:val="16"/>
          <w:szCs w:val="16"/>
        </w:rPr>
        <w:softHyphen/>
        <w:t>сом действия, летчик и механик рус</w:t>
      </w:r>
      <w:r w:rsidRPr="00A259BD">
        <w:rPr>
          <w:rFonts w:ascii="Times New Roman" w:hAnsi="Times New Roman"/>
          <w:color w:val="000000" w:themeColor="text1"/>
          <w:sz w:val="16"/>
          <w:szCs w:val="16"/>
        </w:rPr>
        <w:softHyphen/>
        <w:t>ские” (11216).</w:t>
      </w:r>
    </w:p>
    <w:p w14:paraId="3997FC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41E48C" w14:textId="77777777" w:rsidR="008D01F0" w:rsidRPr="00A259BD" w:rsidRDefault="008D01F0"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40E9DDD3" w14:textId="77777777" w:rsidR="008D01F0" w:rsidRPr="00A259BD" w:rsidRDefault="008D01F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A33224E" w14:textId="77777777" w:rsidR="008D01F0" w:rsidRPr="00A259BD" w:rsidRDefault="008D01F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октября 1929 в Денвере, штат Колорадо, открывается муниципальный аэропорт Денвера - будущий международный аэропорт </w:t>
      </w:r>
      <w:proofErr w:type="spellStart"/>
      <w:r w:rsidRPr="00A259BD">
        <w:rPr>
          <w:rFonts w:ascii="Times New Roman" w:hAnsi="Times New Roman"/>
          <w:color w:val="000000" w:themeColor="text1"/>
          <w:sz w:val="16"/>
          <w:szCs w:val="16"/>
        </w:rPr>
        <w:t>Стэплтона</w:t>
      </w:r>
      <w:proofErr w:type="spellEnd"/>
      <w:r w:rsidRPr="00A259BD">
        <w:rPr>
          <w:rFonts w:ascii="Times New Roman" w:hAnsi="Times New Roman"/>
          <w:color w:val="000000" w:themeColor="text1"/>
          <w:sz w:val="16"/>
          <w:szCs w:val="16"/>
        </w:rPr>
        <w:t>. Он будет служить основным аэропортом Денвера до закрытия в феврале 1995 года (20806).</w:t>
      </w:r>
    </w:p>
    <w:p w14:paraId="06B7CB14" w14:textId="77777777" w:rsidR="008D01F0" w:rsidRPr="00A259BD" w:rsidRDefault="008D01F0" w:rsidP="009236E3">
      <w:pPr>
        <w:spacing w:after="0" w:line="240" w:lineRule="auto"/>
        <w:jc w:val="both"/>
        <w:rPr>
          <w:rFonts w:ascii="Times New Roman" w:hAnsi="Times New Roman"/>
          <w:color w:val="000000" w:themeColor="text1"/>
          <w:sz w:val="16"/>
          <w:szCs w:val="16"/>
        </w:rPr>
      </w:pPr>
    </w:p>
    <w:p w14:paraId="16C9A78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12DA1B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EA1CC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октября 1929 состоялся первый полет самолета </w:t>
      </w:r>
      <w:proofErr w:type="spellStart"/>
      <w:r w:rsidRPr="00A259BD">
        <w:rPr>
          <w:rFonts w:ascii="Times New Roman" w:hAnsi="Times New Roman"/>
          <w:color w:val="000000" w:themeColor="text1"/>
          <w:sz w:val="16"/>
          <w:szCs w:val="16"/>
        </w:rPr>
        <w:t>К.А.Калинина</w:t>
      </w:r>
      <w:proofErr w:type="spellEnd"/>
      <w:r w:rsidRPr="00A259BD">
        <w:rPr>
          <w:rFonts w:ascii="Times New Roman" w:hAnsi="Times New Roman"/>
          <w:color w:val="000000" w:themeColor="text1"/>
          <w:sz w:val="16"/>
          <w:szCs w:val="16"/>
        </w:rPr>
        <w:t xml:space="preserve"> К-5 (274).</w:t>
      </w:r>
    </w:p>
    <w:p w14:paraId="0041C1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B3CE2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октября 1929 г. был выполнен первый полет пассажирского самолета К-5 </w:t>
      </w:r>
      <w:proofErr w:type="spellStart"/>
      <w:r w:rsidRPr="00A259BD">
        <w:rPr>
          <w:rFonts w:ascii="Times New Roman" w:hAnsi="Times New Roman"/>
          <w:color w:val="000000" w:themeColor="text1"/>
          <w:sz w:val="16"/>
          <w:szCs w:val="16"/>
        </w:rPr>
        <w:t>К.А.Калинина</w:t>
      </w:r>
      <w:proofErr w:type="spellEnd"/>
      <w:r w:rsidRPr="00A259BD">
        <w:rPr>
          <w:rFonts w:ascii="Times New Roman" w:hAnsi="Times New Roman"/>
          <w:color w:val="000000" w:themeColor="text1"/>
          <w:sz w:val="16"/>
          <w:szCs w:val="16"/>
        </w:rPr>
        <w:t xml:space="preserve"> (6395).</w:t>
      </w:r>
    </w:p>
    <w:p w14:paraId="0DF8865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4757B5" w14:textId="77777777" w:rsidR="00DC0163" w:rsidRPr="00A259BD" w:rsidRDefault="00DC0163"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 xml:space="preserve">18 октября </w:t>
      </w:r>
      <w:r w:rsidRPr="00A259BD">
        <w:rPr>
          <w:rFonts w:ascii="Times New Roman" w:hAnsi="Times New Roman"/>
          <w:color w:val="000000" w:themeColor="text1"/>
          <w:sz w:val="16"/>
          <w:szCs w:val="16"/>
        </w:rPr>
        <w:t xml:space="preserve">в 1929 году первый полет пассажирского самолета «К-5» </w:t>
      </w:r>
      <w:proofErr w:type="spellStart"/>
      <w:r w:rsidRPr="00A259BD">
        <w:rPr>
          <w:rFonts w:ascii="Times New Roman" w:hAnsi="Times New Roman"/>
          <w:color w:val="000000" w:themeColor="text1"/>
          <w:sz w:val="16"/>
          <w:szCs w:val="16"/>
        </w:rPr>
        <w:t>К.А.Калинина</w:t>
      </w:r>
      <w:proofErr w:type="spellEnd"/>
      <w:r w:rsidRPr="00A259BD">
        <w:rPr>
          <w:rFonts w:ascii="Times New Roman" w:hAnsi="Times New Roman"/>
          <w:color w:val="000000" w:themeColor="text1"/>
          <w:sz w:val="16"/>
          <w:szCs w:val="16"/>
        </w:rPr>
        <w:t xml:space="preserve"> с «М-22», </w:t>
      </w:r>
      <w:proofErr w:type="spellStart"/>
      <w:r w:rsidRPr="00A259BD">
        <w:rPr>
          <w:rFonts w:ascii="Times New Roman" w:hAnsi="Times New Roman"/>
          <w:color w:val="000000" w:themeColor="text1"/>
          <w:sz w:val="16"/>
          <w:szCs w:val="16"/>
        </w:rPr>
        <w:t>М.А.Снегирев</w:t>
      </w:r>
      <w:proofErr w:type="spellEnd"/>
      <w:r w:rsidRPr="00A259BD">
        <w:rPr>
          <w:rFonts w:ascii="Times New Roman" w:hAnsi="Times New Roman"/>
          <w:color w:val="000000" w:themeColor="text1"/>
          <w:sz w:val="16"/>
          <w:szCs w:val="16"/>
        </w:rPr>
        <w:t>. «К-5» стал первым отечественным пассажирским самолетом, который строился большой серией. Всего было построено 258 самолетов этого типа (14803).</w:t>
      </w:r>
    </w:p>
    <w:p w14:paraId="55FC7DE3" w14:textId="77777777" w:rsidR="00DC0163" w:rsidRPr="00A259BD" w:rsidRDefault="00DC0163" w:rsidP="009236E3">
      <w:pPr>
        <w:spacing w:after="0" w:line="240" w:lineRule="auto"/>
        <w:jc w:val="both"/>
        <w:rPr>
          <w:rFonts w:ascii="Times New Roman" w:hAnsi="Times New Roman"/>
          <w:color w:val="000000" w:themeColor="text1"/>
          <w:sz w:val="16"/>
          <w:szCs w:val="16"/>
        </w:rPr>
      </w:pPr>
    </w:p>
    <w:p w14:paraId="386C7EDC" w14:textId="77777777" w:rsidR="008D01F0" w:rsidRPr="00A259BD" w:rsidRDefault="008D01F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lang w:eastAsia="ru-RU" w:bidi="ru-RU"/>
        </w:rPr>
        <w:t>18 октября 1929 г. десятиместный К-5 начал летные испытания В 1931 г. в Харькове началось серийное производство таких самолетов, продолжав</w:t>
      </w:r>
      <w:r w:rsidRPr="00A259BD">
        <w:rPr>
          <w:rFonts w:ascii="Times New Roman" w:hAnsi="Times New Roman"/>
          <w:color w:val="000000" w:themeColor="text1"/>
          <w:sz w:val="16"/>
          <w:szCs w:val="16"/>
          <w:lang w:eastAsia="ru-RU" w:bidi="ru-RU"/>
        </w:rPr>
        <w:softHyphen/>
        <w:t>шееся до 1934 г. В общей сложности изготовили 258 К-5. Таким образом, машина Калинина стала самым массовым советским довоенным пассажир</w:t>
      </w:r>
      <w:r w:rsidRPr="00A259BD">
        <w:rPr>
          <w:rFonts w:ascii="Times New Roman" w:hAnsi="Times New Roman"/>
          <w:color w:val="000000" w:themeColor="text1"/>
          <w:sz w:val="16"/>
          <w:szCs w:val="16"/>
          <w:lang w:eastAsia="ru-RU" w:bidi="ru-RU"/>
        </w:rPr>
        <w:softHyphen/>
        <w:t>ским лайнером (главный конкурент К-5 — туполевский АНТ-9 — был растиражирован в 79 экземплярах) (23180).</w:t>
      </w:r>
    </w:p>
    <w:p w14:paraId="354B8674" w14:textId="77777777" w:rsidR="008D01F0" w:rsidRPr="00A259BD" w:rsidRDefault="008D01F0" w:rsidP="009236E3">
      <w:pPr>
        <w:spacing w:after="0" w:line="240" w:lineRule="auto"/>
        <w:jc w:val="both"/>
        <w:rPr>
          <w:rFonts w:ascii="Times New Roman" w:hAnsi="Times New Roman"/>
          <w:color w:val="000000" w:themeColor="text1"/>
          <w:sz w:val="16"/>
          <w:szCs w:val="16"/>
        </w:rPr>
      </w:pPr>
    </w:p>
    <w:p w14:paraId="527664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октября 1929 на завод 28 с завода 25 поступили чертежи радио и фотооборудования для ТОМ-1 и заводу пришлось самому изготавливать макеты (2363).</w:t>
      </w:r>
    </w:p>
    <w:p w14:paraId="22EA1B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A27F5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18 октября по 10 декабря 1929 в НИИ ВВС проходили испытания самолета МР-5</w:t>
      </w:r>
    </w:p>
    <w:p w14:paraId="39F3DD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изготовлен ОПО-3 при заводе № 22</w:t>
      </w:r>
    </w:p>
    <w:p w14:paraId="5B97F5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Назначение самолета – базовый разведчик</w:t>
      </w:r>
    </w:p>
    <w:p w14:paraId="6FA19C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МР-5 – морской лодочный биплан с поплавками на нижнем крыле, установленными под стойками коробки крыльев.</w:t>
      </w:r>
    </w:p>
    <w:p w14:paraId="25F59A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Самолет выполнен весь из </w:t>
      </w:r>
      <w:proofErr w:type="spellStart"/>
      <w:r w:rsidRPr="00A259BD">
        <w:rPr>
          <w:rFonts w:ascii="Times New Roman" w:hAnsi="Times New Roman"/>
          <w:color w:val="000000" w:themeColor="text1"/>
          <w:sz w:val="16"/>
          <w:szCs w:val="16"/>
        </w:rPr>
        <w:t>кольчугаллюминия</w:t>
      </w:r>
      <w:proofErr w:type="spellEnd"/>
      <w:r w:rsidRPr="00A259BD">
        <w:rPr>
          <w:rFonts w:ascii="Times New Roman" w:hAnsi="Times New Roman"/>
          <w:color w:val="000000" w:themeColor="text1"/>
          <w:sz w:val="16"/>
          <w:szCs w:val="16"/>
        </w:rPr>
        <w:t xml:space="preserve"> за исключением крыльев и поплавков при этом хвостовое оперение обтянуто полотном.</w:t>
      </w:r>
    </w:p>
    <w:p w14:paraId="5A287B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Крылья деревянные.</w:t>
      </w:r>
    </w:p>
    <w:p w14:paraId="5E10FE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 МВ-6 расположен между лодкой и центропланом.</w:t>
      </w:r>
    </w:p>
    <w:p w14:paraId="4D0896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5D7766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Благодаря весьма плохим обводам лодки, весьма затруднительного ухода за моторами, незначительной маневренности на боевой высоте (3000 м), комиссия данный самолет не рекомендует на снабжение ВВС (6991).</w:t>
      </w:r>
    </w:p>
    <w:p w14:paraId="489FDC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E763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октября 1929 вылетели на АНТ-4 Страна Советов дублер из Сиэтла и спустя 6 часов приземлились в Сан-Франциско. Здесь экипаж ожидал еще более радушный прием. Русская колония, насчитывавшая более 30 тысяч человек, устроила в честь соотечественников торжественное чаепи</w:t>
      </w:r>
      <w:r w:rsidRPr="00A259BD">
        <w:rPr>
          <w:rFonts w:ascii="Times New Roman" w:hAnsi="Times New Roman"/>
          <w:color w:val="000000" w:themeColor="text1"/>
          <w:sz w:val="16"/>
          <w:szCs w:val="16"/>
        </w:rPr>
        <w:softHyphen/>
        <w:t>тие. 22 октября “Страна Советов” отправи</w:t>
      </w:r>
      <w:r w:rsidRPr="00A259BD">
        <w:rPr>
          <w:rFonts w:ascii="Times New Roman" w:hAnsi="Times New Roman"/>
          <w:color w:val="000000" w:themeColor="text1"/>
          <w:sz w:val="16"/>
          <w:szCs w:val="16"/>
        </w:rPr>
        <w:softHyphen/>
        <w:t>лась дальше на восток. На ее борту нахо</w:t>
      </w:r>
      <w:r w:rsidRPr="00A259BD">
        <w:rPr>
          <w:rFonts w:ascii="Times New Roman" w:hAnsi="Times New Roman"/>
          <w:color w:val="000000" w:themeColor="text1"/>
          <w:sz w:val="16"/>
          <w:szCs w:val="16"/>
        </w:rPr>
        <w:softHyphen/>
        <w:t xml:space="preserve">дился представитель Амторга А.В. Петров. На высоте 3000 м перевалили Скалистые горы, затем приземлились в </w:t>
      </w:r>
      <w:proofErr w:type="spellStart"/>
      <w:r w:rsidRPr="00A259BD">
        <w:rPr>
          <w:rFonts w:ascii="Times New Roman" w:hAnsi="Times New Roman"/>
          <w:color w:val="000000" w:themeColor="text1"/>
          <w:sz w:val="16"/>
          <w:szCs w:val="16"/>
        </w:rPr>
        <w:t>Солк</w:t>
      </w:r>
      <w:proofErr w:type="spellEnd"/>
      <w:r w:rsidRPr="00A259BD">
        <w:rPr>
          <w:rFonts w:ascii="Times New Roman" w:hAnsi="Times New Roman"/>
          <w:color w:val="000000" w:themeColor="text1"/>
          <w:sz w:val="16"/>
          <w:szCs w:val="16"/>
        </w:rPr>
        <w:t>-Лейк-Си-</w:t>
      </w:r>
      <w:proofErr w:type="spellStart"/>
      <w:r w:rsidRPr="00A259BD">
        <w:rPr>
          <w:rFonts w:ascii="Times New Roman" w:hAnsi="Times New Roman"/>
          <w:color w:val="000000" w:themeColor="text1"/>
          <w:sz w:val="16"/>
          <w:szCs w:val="16"/>
        </w:rPr>
        <w:t>ти</w:t>
      </w:r>
      <w:proofErr w:type="spellEnd"/>
      <w:r w:rsidRPr="00A259BD">
        <w:rPr>
          <w:rFonts w:ascii="Times New Roman" w:hAnsi="Times New Roman"/>
          <w:color w:val="000000" w:themeColor="text1"/>
          <w:sz w:val="16"/>
          <w:szCs w:val="16"/>
        </w:rPr>
        <w:t>. И здесь было много русских, которые встречали летчиков как своих земляков (11286).</w:t>
      </w:r>
    </w:p>
    <w:p w14:paraId="42F2E8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C8949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8F870A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0628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октября 1929 года КБ завода закончило рабочие чертежи системы, полученной путем наложения ствола 102/60-мм корабельной пушки на лафет 152-мм пушки обр. 1910 г. Данных о дальнейшей судьбе 102/60-мм пушки на лафете обр. 1910 г. не найдено. Во всяком случае до полигонных испытаний система не дошла. 152-мм пушка большой мощности БЛ-7 (ОБМ-43) (3861).</w:t>
      </w:r>
    </w:p>
    <w:p w14:paraId="5D3B91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3D615C" w14:textId="77777777" w:rsidR="00DC0163" w:rsidRPr="00A259BD" w:rsidRDefault="00DC016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ноября 1929 года на заседании комиссии РВС был заслушан доклад </w:t>
      </w:r>
      <w:proofErr w:type="spellStart"/>
      <w:r w:rsidRPr="00A259BD">
        <w:rPr>
          <w:rFonts w:ascii="Times New Roman" w:hAnsi="Times New Roman"/>
          <w:color w:val="000000" w:themeColor="text1"/>
          <w:sz w:val="16"/>
          <w:szCs w:val="16"/>
        </w:rPr>
        <w:t>Дыренкова</w:t>
      </w:r>
      <w:proofErr w:type="spellEnd"/>
      <w:r w:rsidRPr="00A259BD">
        <w:rPr>
          <w:rFonts w:ascii="Times New Roman" w:hAnsi="Times New Roman"/>
          <w:color w:val="000000" w:themeColor="text1"/>
          <w:sz w:val="16"/>
          <w:szCs w:val="16"/>
        </w:rPr>
        <w:t xml:space="preserve"> о "конструктивно-технических данных, боевых и тактических свойствах разработанной им системы - проект среднего маневренного </w:t>
      </w:r>
      <w:hyperlink r:id="rId200"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а". По результатам доклада было принято постановление следующего содержания:</w:t>
      </w:r>
    </w:p>
    <w:p w14:paraId="3ACCE37C" w14:textId="77777777" w:rsidR="00DC0163" w:rsidRPr="00A259BD" w:rsidRDefault="00DC016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"Признать целесообразным подвергнуть испытанию </w:t>
      </w:r>
      <w:hyperlink r:id="rId201"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 системы Д с каковой целью дать срочный заказ Ижорскому заводу на 6 опытных экземпляров </w:t>
      </w:r>
      <w:hyperlink r:id="rId202"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со сроком сдачи первого </w:t>
      </w:r>
      <w:hyperlink r:id="rId203"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а не позднее 1 апреля 1930 года" (15618).</w:t>
      </w:r>
    </w:p>
    <w:p w14:paraId="613FD673" w14:textId="77777777" w:rsidR="00DC0163" w:rsidRPr="00A259BD" w:rsidRDefault="00DC0163" w:rsidP="009236E3">
      <w:pPr>
        <w:spacing w:after="0" w:line="240" w:lineRule="auto"/>
        <w:jc w:val="both"/>
        <w:rPr>
          <w:rFonts w:ascii="Times New Roman" w:hAnsi="Times New Roman"/>
          <w:color w:val="000000" w:themeColor="text1"/>
          <w:sz w:val="16"/>
          <w:szCs w:val="16"/>
        </w:rPr>
      </w:pPr>
    </w:p>
    <w:p w14:paraId="6912E1C7"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46C6DA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EB6874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октября 1929 Британский Частный Совет признал канадских женщин “персонами”, отменив решение канадского Верховного Суда, запретившего женщинам занимать публичные должности (4962).</w:t>
      </w:r>
    </w:p>
    <w:p w14:paraId="5B70040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56A56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E154B9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201EF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октября 1929 завершились гос. испытания предсерийного АНТ-4, которые велись с 1 августа 1929 (92,348).</w:t>
      </w:r>
    </w:p>
    <w:p w14:paraId="4F5ED5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Завершили испытания двумя полетами Москва - Подольск - Москва и Москва - Бронницы - Москва для определения крейсерской скорости и она составила 156 км/ч (346,16).</w:t>
      </w:r>
    </w:p>
    <w:p w14:paraId="04393C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D77E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августа 1929 закончились госиспытания первого серийного ТБ-1 № 602, которые шли с 1 августа.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 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402171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1D6F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 октября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10) и обсуждали вопрос о выполнении производственной программы на 28/29, план опытного морского самолетостроения, план опытного моторостроения, опытного вооружения, 5-летнего плана развития опытного строительства (2367,55).</w:t>
      </w:r>
    </w:p>
    <w:p w14:paraId="2A49E9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плану опытного морского строения:</w:t>
      </w:r>
    </w:p>
    <w:p w14:paraId="7083E9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Установить, что программа для работ </w:t>
      </w:r>
      <w:proofErr w:type="spellStart"/>
      <w:r w:rsidRPr="00A259BD">
        <w:rPr>
          <w:rFonts w:ascii="Times New Roman" w:hAnsi="Times New Roman"/>
          <w:color w:val="000000" w:themeColor="text1"/>
          <w:sz w:val="16"/>
          <w:szCs w:val="16"/>
        </w:rPr>
        <w:t>МОСа</w:t>
      </w:r>
      <w:proofErr w:type="spellEnd"/>
      <w:r w:rsidRPr="00A259BD">
        <w:rPr>
          <w:rFonts w:ascii="Times New Roman" w:hAnsi="Times New Roman"/>
          <w:color w:val="000000" w:themeColor="text1"/>
          <w:sz w:val="16"/>
          <w:szCs w:val="16"/>
        </w:rPr>
        <w:t xml:space="preserve"> на 29/30 в первую очередь д. заключаться в окончании конструкций, которые остались от прошлого года в неоконченном виде.</w:t>
      </w:r>
    </w:p>
    <w:p w14:paraId="0F9423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основании изложенного в первую очередь окончить постройку ТОМ-2 с установлением срока готовности 1 августа 1930 (т.е. передачи на испытания в Севастополь).</w:t>
      </w:r>
    </w:p>
    <w:p w14:paraId="411B52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Программу для работ </w:t>
      </w:r>
      <w:proofErr w:type="spellStart"/>
      <w:r w:rsidRPr="00A259BD">
        <w:rPr>
          <w:rFonts w:ascii="Times New Roman" w:hAnsi="Times New Roman"/>
          <w:color w:val="000000" w:themeColor="text1"/>
          <w:sz w:val="16"/>
          <w:szCs w:val="16"/>
        </w:rPr>
        <w:t>МОСа</w:t>
      </w:r>
      <w:proofErr w:type="spellEnd"/>
      <w:r w:rsidRPr="00A259BD">
        <w:rPr>
          <w:rFonts w:ascii="Times New Roman" w:hAnsi="Times New Roman"/>
          <w:color w:val="000000" w:themeColor="text1"/>
          <w:sz w:val="16"/>
          <w:szCs w:val="16"/>
        </w:rPr>
        <w:t xml:space="preserve"> на 29/30 по новым объектам установить следующую:</w:t>
      </w:r>
    </w:p>
    <w:p w14:paraId="5040CE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РОМ-3 - с незначительными модификациями РОМ-2, как результат изучения недостатков существующей конструкции РОМ-2. Срок готовности - 1 августа 1930</w:t>
      </w:r>
    </w:p>
    <w:p w14:paraId="6148BC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МР-7 - модификация МР-5 с незначительными изменениями. Срок готовности - 1 сентября 1930</w:t>
      </w:r>
    </w:p>
    <w:p w14:paraId="3E78F8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Поручить ТО срочно выяснить в НТК УВВС вопрос о желательных изменениях типа МР-5</w:t>
      </w:r>
    </w:p>
    <w:p w14:paraId="41F27B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МР-9 - развитие МР-7 - конструкция лодки - деревянная. Начало постройки - 1 июня 1930. Конец проектирования - 1 октября 1930. Работа переходит на 30/31</w:t>
      </w:r>
    </w:p>
    <w:p w14:paraId="0E837F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РОМ-4 моноплан - развитие РОМ-2 на основании результатов испытаний Сдаточной Комиссии. Начало проектирования - 1 мая 1930, начало постройки - 1 августа 1930, Работа переходит на 30/31</w:t>
      </w:r>
    </w:p>
    <w:p w14:paraId="65C999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МР-6 - конец проектирования - 1 августа, начало постройки - 1 марта 1930.</w:t>
      </w:r>
    </w:p>
    <w:p w14:paraId="021D79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Поручить ТО совместно с МОС установить в дальнейшем такой порядок, по которому проектирование и постройку моторов и самолетов выходила в весенний период года.</w:t>
      </w:r>
    </w:p>
    <w:p w14:paraId="3FBBC6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программы на 29/30 принять меры к выпуску в более ранние сроки против указанных.</w:t>
      </w:r>
    </w:p>
    <w:p w14:paraId="21B7C6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Предложить ТО доложить Правлению окончательно уточненный план МОС, как по типам, так и по срокам, после окончания испытаний РОМ и МР-5 в Севастополе.</w:t>
      </w:r>
    </w:p>
    <w:p w14:paraId="22562F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 озаботится своевременной подготовкой завода 31 для принятия возможной программы по РОМ и МР-5 на 30/31</w:t>
      </w:r>
    </w:p>
    <w:p w14:paraId="5F7212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плану опытного моторостроения</w:t>
      </w:r>
    </w:p>
    <w:p w14:paraId="363871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Подтвердили постановление Правления о том, что в 29/30 в первую очередь должны заканчиваться конструкции, которые остались в неоконченном виде от прошлого года</w:t>
      </w:r>
    </w:p>
    <w:p w14:paraId="2E54E6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Приняли к сведение заявление Зав. КО Бессонова о сроках окончания испытаний и готовности конструкций:</w:t>
      </w:r>
    </w:p>
    <w:p w14:paraId="0A0FDF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М19, 2 М15 и М26 - не позже декабря</w:t>
      </w:r>
    </w:p>
    <w:p w14:paraId="1DEC32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М27 - второй кв. 1930</w:t>
      </w:r>
    </w:p>
    <w:p w14:paraId="094968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М19 - конец 3 кв. 1930</w:t>
      </w:r>
    </w:p>
    <w:p w14:paraId="60475E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М29 - сентябрь 1930 (2367,55).</w:t>
      </w:r>
    </w:p>
    <w:p w14:paraId="2D0B3F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8451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октября 1929 года секретарь РЗ СТО писал письмо в СНК Чубарю</w:t>
      </w:r>
    </w:p>
    <w:p w14:paraId="263C7F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Препровождая постановление РЗ СТО от 16 октября 1929 года "О мероприятиях по развитию авиапромышленности в течении 1929-30 – 1932-33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прошу по ознакомлении вернуть его в Секретариат РЗ СТО, не передавая в аппарат Управления делами СНК УССР.</w:t>
      </w:r>
    </w:p>
    <w:p w14:paraId="7A0688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Выписка из данного постановления в отношении передачи завода </w:t>
      </w: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прилагается отдельно.</w:t>
      </w:r>
    </w:p>
    <w:p w14:paraId="67B4C7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постановление и выписка на 4-х листах (3545, 73).</w:t>
      </w:r>
    </w:p>
    <w:p w14:paraId="1D63F3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71FE6B" w14:textId="77777777" w:rsidR="00466152"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63A1DC6" w14:textId="77777777" w:rsidR="00466152" w:rsidRPr="00A259BD" w:rsidRDefault="0046615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94F2AC"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октября 1929 г. — Справка РЗ СТО СССР «Об ассигнованиях на оборону в 1929/30 г.»</w:t>
      </w:r>
    </w:p>
    <w:p w14:paraId="432E7DBC"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Справка РЗ СТО СССР «Об ассигнованиях на оборону в 1929/30 г.»¹*</w:t>
      </w:r>
    </w:p>
    <w:p w14:paraId="699A798C"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19 октября 1929 г.</w:t>
      </w:r>
    </w:p>
    <w:p w14:paraId="6635F169"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3E7B2528" w14:textId="77777777" w:rsidR="00466152" w:rsidRPr="00A259BD" w:rsidRDefault="00466152" w:rsidP="009236E3">
      <w:pPr>
        <w:pStyle w:val="ae"/>
        <w:spacing w:before="0" w:after="0"/>
        <w:jc w:val="both"/>
        <w:rPr>
          <w:color w:val="000000" w:themeColor="text1"/>
          <w:sz w:val="16"/>
          <w:szCs w:val="16"/>
        </w:rPr>
      </w:pPr>
      <w:r w:rsidRPr="00A259BD">
        <w:rPr>
          <w:color w:val="000000" w:themeColor="text1"/>
          <w:sz w:val="16"/>
          <w:szCs w:val="16"/>
        </w:rPr>
        <w:t>(в тыс.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44"/>
        <w:gridCol w:w="1398"/>
        <w:gridCol w:w="1398"/>
        <w:gridCol w:w="1367"/>
        <w:gridCol w:w="2835"/>
        <w:gridCol w:w="1880"/>
      </w:tblGrid>
      <w:tr w:rsidR="00A259BD" w:rsidRPr="00A259BD" w14:paraId="7D68D6EF"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154D4B79"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Ведомства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50F90"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Ассигнования в 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2E067"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Ассигнования в 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7A821"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Заявка ведомств на 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9FC97"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пятилетке Госплана</w:t>
            </w:r>
          </w:p>
          <w:p w14:paraId="408BF769"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(числитель — Госплан, знаменатель — Сектор обороны Госплана)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F46B8"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Принято правительством на 1929/30 г.</w:t>
            </w:r>
          </w:p>
        </w:tc>
      </w:tr>
      <w:tr w:rsidR="00A259BD" w:rsidRPr="00A259BD" w14:paraId="06E85396"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3A0A83B7"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НКВМ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BC4BE"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742 385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78EE2"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850 700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1301E"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1 180 000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FDBB2"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900 000</w:t>
            </w:r>
          </w:p>
          <w:p w14:paraId="239C1727"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978 000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104B1"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985 000²*</w:t>
            </w:r>
          </w:p>
          <w:p w14:paraId="118DC5C2"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995 000</w:t>
            </w:r>
          </w:p>
        </w:tc>
      </w:tr>
      <w:tr w:rsidR="00A259BD" w:rsidRPr="00A259BD" w14:paraId="4E06EEF9"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19DB4623"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Войска ОГПУ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E5960"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49 400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7753F"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99C4C"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73 245</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2DE21B"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80 000³*</w:t>
            </w:r>
          </w:p>
          <w:p w14:paraId="1947FF20"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335E1"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66 000</w:t>
            </w:r>
          </w:p>
        </w:tc>
      </w:tr>
      <w:tr w:rsidR="00A259BD" w:rsidRPr="00A259BD" w14:paraId="59A8243B"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7B0AB892"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Военно-санитарное управление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7AB61"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68945"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CFE85"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41 860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A1D283A" w14:textId="77777777" w:rsidR="00466152" w:rsidRPr="00A259BD" w:rsidRDefault="00466152" w:rsidP="009236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9D3932"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29 800</w:t>
            </w:r>
          </w:p>
        </w:tc>
      </w:tr>
      <w:tr w:rsidR="00A259BD" w:rsidRPr="00A259BD" w14:paraId="4A36C757"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2282C905"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Военная промышленность (дотация)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699A3"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0CD5F"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3701B"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0974D"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90 000</w:t>
            </w:r>
          </w:p>
          <w:p w14:paraId="58D91021"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CB3CF"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155 000⁴*</w:t>
            </w:r>
          </w:p>
          <w:p w14:paraId="0B9ABC4F"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124 000</w:t>
            </w:r>
          </w:p>
        </w:tc>
      </w:tr>
      <w:tr w:rsidR="00A259BD" w:rsidRPr="00A259BD" w14:paraId="7D4A617D"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328A27A1"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НКПС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F08DA"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38A55"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EB187"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D48EE"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100 000</w:t>
            </w:r>
          </w:p>
          <w:p w14:paraId="4513B7D7"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083BB"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93 000</w:t>
            </w:r>
          </w:p>
        </w:tc>
      </w:tr>
      <w:tr w:rsidR="00A259BD" w:rsidRPr="00A259BD" w14:paraId="455368E0"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298B0055" w14:textId="77777777" w:rsidR="00466152" w:rsidRPr="00A259BD" w:rsidRDefault="00466152"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НКПиТ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4988389"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B039F"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6D756"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FB95C"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w:t>
            </w:r>
          </w:p>
          <w:p w14:paraId="67B6E452"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21F30"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5300</w:t>
            </w:r>
          </w:p>
        </w:tc>
      </w:tr>
      <w:tr w:rsidR="00A259BD" w:rsidRPr="00A259BD" w14:paraId="51A01E71"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2BEB3DB5" w14:textId="77777777" w:rsidR="00466152" w:rsidRPr="00A259BD" w:rsidRDefault="00466152"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НКТорг</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AAB048B"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A46C1"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91024"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CE721"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BC3B8"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w:t>
            </w:r>
          </w:p>
        </w:tc>
      </w:tr>
      <w:tr w:rsidR="00A259BD" w:rsidRPr="00A259BD" w14:paraId="260A04FC"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06BCC286"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Укрепление западной приграничной полосы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F509F"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4913E"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4DB2E"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93D85"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9C793"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6000⁵*</w:t>
            </w:r>
          </w:p>
        </w:tc>
      </w:tr>
      <w:tr w:rsidR="00A259BD" w:rsidRPr="00A259BD" w14:paraId="7C34083B"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696DF2F4" w14:textId="77777777" w:rsidR="00466152" w:rsidRPr="00A259BD" w:rsidRDefault="00466152"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Остехбюро</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A0E6D2B"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EE9C7"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B6B5B"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269C2"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0204D"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4500⁶*</w:t>
            </w:r>
          </w:p>
        </w:tc>
      </w:tr>
    </w:tbl>
    <w:p w14:paraId="732CAC9A" w14:textId="77777777" w:rsidR="00466152" w:rsidRPr="00A259BD" w:rsidRDefault="00466152"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r w:rsidRPr="00A259BD">
        <w:rPr>
          <w:color w:val="000000" w:themeColor="text1"/>
          <w:sz w:val="16"/>
          <w:szCs w:val="16"/>
        </w:rPr>
        <w:t>:</w:t>
      </w:r>
    </w:p>
    <w:p w14:paraId="13E682D0"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Направлена в Сектор обороны Госплана СССР.</w:t>
      </w:r>
    </w:p>
    <w:p w14:paraId="0D352A93"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985 млн. руб. — сумма не окончательная, она увеличится на: а) прибавку содержания начальствующему составу — около 4 млн. руб.; б) мероприятия по соцстраху — около 3 млн. руб., относятся по смете ВСУ; в) увеличение танкостроения — около 5,7 млн. руб.; г) новые формирования (вопрос передан на решение ПБ) по заявлению НКВМ и НКФ — около 28</w:t>
      </w:r>
      <w:r w:rsidRPr="00A259BD">
        <w:rPr>
          <w:color w:val="000000" w:themeColor="text1"/>
          <w:sz w:val="16"/>
          <w:szCs w:val="16"/>
        </w:rPr>
        <w:noBreakHyphen/>
        <w:t xml:space="preserve">29 млн. руб. и по смете ВСУ — около 2,2 млн. руб. </w:t>
      </w:r>
      <w:r w:rsidRPr="00A259BD">
        <w:rPr>
          <w:rStyle w:val="af0"/>
          <w:i w:val="0"/>
          <w:color w:val="000000" w:themeColor="text1"/>
          <w:sz w:val="16"/>
          <w:szCs w:val="16"/>
        </w:rPr>
        <w:t>(Прим. док.).</w:t>
      </w:r>
    </w:p>
    <w:p w14:paraId="4BAF080B"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vertAlign w:val="superscript"/>
        </w:rPr>
        <w:t>3</w:t>
      </w:r>
      <w:r w:rsidRPr="00A259BD">
        <w:rPr>
          <w:color w:val="000000" w:themeColor="text1"/>
          <w:sz w:val="16"/>
          <w:szCs w:val="16"/>
        </w:rPr>
        <w:t xml:space="preserve">* Отдельной разбивки по ВСУ и ОГПУ нет </w:t>
      </w:r>
      <w:r w:rsidRPr="00A259BD">
        <w:rPr>
          <w:rStyle w:val="af0"/>
          <w:i w:val="0"/>
          <w:color w:val="000000" w:themeColor="text1"/>
          <w:sz w:val="16"/>
          <w:szCs w:val="16"/>
        </w:rPr>
        <w:t>(Прим. док.).</w:t>
      </w:r>
    </w:p>
    <w:p w14:paraId="14D46225"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vertAlign w:val="superscript"/>
        </w:rPr>
        <w:t>4</w:t>
      </w:r>
      <w:r w:rsidRPr="00A259BD">
        <w:rPr>
          <w:color w:val="000000" w:themeColor="text1"/>
          <w:sz w:val="16"/>
          <w:szCs w:val="16"/>
        </w:rPr>
        <w:t xml:space="preserve">* Принято решение по военной промышленности план капитального строительства считать пятиквартальным, в связи с чем сумма 155 млн. на 1929/30 г. уменьшится ориентировочно до 124 млн. руб. Если окажется возможным вложиться строительством в 4 квартала, то сумма в 155 млн. отпускается полностью за счет резерва СНК и ВСНХ СССР или путем перегруппировки по капитальному строительству </w:t>
      </w:r>
      <w:r w:rsidRPr="00A259BD">
        <w:rPr>
          <w:rStyle w:val="af0"/>
          <w:i w:val="0"/>
          <w:color w:val="000000" w:themeColor="text1"/>
          <w:sz w:val="16"/>
          <w:szCs w:val="16"/>
        </w:rPr>
        <w:t>(Прим. док.).</w:t>
      </w:r>
    </w:p>
    <w:p w14:paraId="32C5D83E"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vertAlign w:val="superscript"/>
        </w:rPr>
        <w:t>5</w:t>
      </w:r>
      <w:r w:rsidRPr="00A259BD">
        <w:rPr>
          <w:color w:val="000000" w:themeColor="text1"/>
          <w:sz w:val="16"/>
          <w:szCs w:val="16"/>
        </w:rPr>
        <w:t xml:space="preserve">* Забронировано в общей сумме резерва СНК СССР </w:t>
      </w:r>
      <w:r w:rsidRPr="00A259BD">
        <w:rPr>
          <w:rStyle w:val="af0"/>
          <w:i w:val="0"/>
          <w:color w:val="000000" w:themeColor="text1"/>
          <w:sz w:val="16"/>
          <w:szCs w:val="16"/>
        </w:rPr>
        <w:t>(Прим. док.).</w:t>
      </w:r>
    </w:p>
    <w:p w14:paraId="6B05A234"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vertAlign w:val="superscript"/>
        </w:rPr>
        <w:t>6</w:t>
      </w:r>
      <w:r w:rsidRPr="00A259BD">
        <w:rPr>
          <w:color w:val="000000" w:themeColor="text1"/>
          <w:sz w:val="16"/>
          <w:szCs w:val="16"/>
        </w:rPr>
        <w:t xml:space="preserve">* Правительственная комиссия приняла 5281 тыс. руб. </w:t>
      </w:r>
      <w:r w:rsidRPr="00A259BD">
        <w:rPr>
          <w:rStyle w:val="af0"/>
          <w:i w:val="0"/>
          <w:color w:val="000000" w:themeColor="text1"/>
          <w:sz w:val="16"/>
          <w:szCs w:val="16"/>
        </w:rPr>
        <w:t>(Прим. док.).</w:t>
      </w:r>
    </w:p>
    <w:p w14:paraId="522CA35E" w14:textId="77777777" w:rsidR="00466152" w:rsidRPr="00A259BD" w:rsidRDefault="00466152"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Секретарь РЗ СТО </w:t>
      </w:r>
      <w:hyperlink r:id="rId204" w:history="1">
        <w:proofErr w:type="spellStart"/>
        <w:r w:rsidRPr="00A259BD">
          <w:rPr>
            <w:rStyle w:val="af0"/>
            <w:i w:val="0"/>
            <w:color w:val="000000" w:themeColor="text1"/>
            <w:sz w:val="16"/>
            <w:szCs w:val="16"/>
          </w:rPr>
          <w:t>Аппога</w:t>
        </w:r>
        <w:proofErr w:type="spellEnd"/>
      </w:hyperlink>
    </w:p>
    <w:p w14:paraId="15843E5E" w14:textId="77777777" w:rsidR="00466152" w:rsidRPr="00A259BD" w:rsidRDefault="00466152" w:rsidP="009236E3">
      <w:pPr>
        <w:pStyle w:val="ae"/>
        <w:spacing w:before="0" w:after="0"/>
        <w:jc w:val="both"/>
        <w:rPr>
          <w:color w:val="000000" w:themeColor="text1"/>
          <w:sz w:val="16"/>
          <w:szCs w:val="16"/>
        </w:rPr>
      </w:pPr>
      <w:r w:rsidRPr="00A259BD">
        <w:rPr>
          <w:color w:val="000000" w:themeColor="text1"/>
          <w:sz w:val="16"/>
          <w:szCs w:val="16"/>
        </w:rPr>
        <w:t>РГАЭ. Ф. 4372. Оп. 91. Д. 446. Л. 176. Подлинник.</w:t>
      </w:r>
    </w:p>
    <w:p w14:paraId="0D59613C"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4372. Оп. 91. Д. 446. Л. 176. Подлинник. </w:t>
      </w:r>
    </w:p>
    <w:p w14:paraId="38F40068"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372 (12471).</w:t>
      </w:r>
    </w:p>
    <w:p w14:paraId="03C065CF" w14:textId="77777777" w:rsidR="00466152" w:rsidRPr="00A259BD" w:rsidRDefault="00466152" w:rsidP="009236E3">
      <w:pPr>
        <w:spacing w:after="0" w:line="240" w:lineRule="auto"/>
        <w:jc w:val="both"/>
        <w:rPr>
          <w:rFonts w:ascii="Times New Roman" w:hAnsi="Times New Roman"/>
          <w:color w:val="000000" w:themeColor="text1"/>
          <w:sz w:val="16"/>
          <w:szCs w:val="16"/>
        </w:rPr>
      </w:pPr>
    </w:p>
    <w:p w14:paraId="070E6961"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lastRenderedPageBreak/>
        <w:t>За рубежом:</w:t>
      </w:r>
    </w:p>
    <w:p w14:paraId="4EED640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42397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19 октября 1929 года был назначен старт будущей ракеты – для этой цели был выбран небольшой остров </w:t>
      </w:r>
      <w:proofErr w:type="spellStart"/>
      <w:r w:rsidRPr="00A259BD">
        <w:rPr>
          <w:rFonts w:ascii="Times New Roman" w:hAnsi="Times New Roman"/>
          <w:color w:val="000000" w:themeColor="text1"/>
          <w:sz w:val="16"/>
          <w:szCs w:val="16"/>
        </w:rPr>
        <w:t>Грейфсвальдер-ойе</w:t>
      </w:r>
      <w:proofErr w:type="spellEnd"/>
      <w:r w:rsidRPr="00A259BD">
        <w:rPr>
          <w:rFonts w:ascii="Times New Roman" w:hAnsi="Times New Roman"/>
          <w:color w:val="000000" w:themeColor="text1"/>
          <w:sz w:val="16"/>
          <w:szCs w:val="16"/>
        </w:rPr>
        <w:t xml:space="preserve"> в Балтийском море.</w:t>
      </w:r>
    </w:p>
    <w:p w14:paraId="646A33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Вилли Лей, молодой писатель и один из активнейших членов “Общества межпланетных сообщений” предложил “УФА” поручить </w:t>
      </w:r>
      <w:proofErr w:type="spellStart"/>
      <w:r w:rsidRPr="00A259BD">
        <w:rPr>
          <w:rFonts w:ascii="Times New Roman" w:hAnsi="Times New Roman"/>
          <w:color w:val="000000" w:themeColor="text1"/>
          <w:sz w:val="16"/>
          <w:szCs w:val="16"/>
        </w:rPr>
        <w:t>Оберту</w:t>
      </w:r>
      <w:proofErr w:type="spellEnd"/>
      <w:r w:rsidRPr="00A259BD">
        <w:rPr>
          <w:rFonts w:ascii="Times New Roman" w:hAnsi="Times New Roman"/>
          <w:color w:val="000000" w:themeColor="text1"/>
          <w:sz w:val="16"/>
          <w:szCs w:val="16"/>
        </w:rPr>
        <w:t xml:space="preserve"> не только научные консультации, но и дать ему возможность построить и запустить (до появления фильма на экранах кинотеатров) небольшую ракету. Эта идея понравилась не только Фрицу Лангу, но и что более важно, отделу рекламы кинокомпании. По этому вопросу было принято положительное решение, и из бюджета фильма </w:t>
      </w:r>
      <w:proofErr w:type="spellStart"/>
      <w:r w:rsidRPr="00A259BD">
        <w:rPr>
          <w:rFonts w:ascii="Times New Roman" w:hAnsi="Times New Roman"/>
          <w:color w:val="000000" w:themeColor="text1"/>
          <w:sz w:val="16"/>
          <w:szCs w:val="16"/>
        </w:rPr>
        <w:t>Оберту</w:t>
      </w:r>
      <w:proofErr w:type="spellEnd"/>
      <w:r w:rsidRPr="00A259BD">
        <w:rPr>
          <w:rFonts w:ascii="Times New Roman" w:hAnsi="Times New Roman"/>
          <w:color w:val="000000" w:themeColor="text1"/>
          <w:sz w:val="16"/>
          <w:szCs w:val="16"/>
        </w:rPr>
        <w:t xml:space="preserve"> выделили 10000 марок для экспериментальных работ над ракетой.</w:t>
      </w:r>
    </w:p>
    <w:p w14:paraId="5939D2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Оберт</w:t>
      </w:r>
      <w:proofErr w:type="spellEnd"/>
      <w:r w:rsidRPr="00A259BD">
        <w:rPr>
          <w:rFonts w:ascii="Times New Roman" w:hAnsi="Times New Roman"/>
          <w:color w:val="000000" w:themeColor="text1"/>
          <w:sz w:val="16"/>
          <w:szCs w:val="16"/>
        </w:rPr>
        <w:t xml:space="preserve"> от нового предложения и от денег не отказался, хотя и понимал, что взялся за непосильную задачу. Ведь до запланированной премьеры фильма оставалось три месяца, а ему надо было спроектировать, отработать и запустить жидкостную ракету на высоту 50 км. Рекламные заявления кинокомпании о готовящемся пуске уже появились в прессе, и отступиться не было возможности.</w:t>
      </w:r>
    </w:p>
    <w:p w14:paraId="1A4BCA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Сроки требовали ускорения всех работ, а следовательно, </w:t>
      </w:r>
      <w:proofErr w:type="spellStart"/>
      <w:r w:rsidRPr="00A259BD">
        <w:rPr>
          <w:rFonts w:ascii="Times New Roman" w:hAnsi="Times New Roman"/>
          <w:color w:val="000000" w:themeColor="text1"/>
          <w:sz w:val="16"/>
          <w:szCs w:val="16"/>
        </w:rPr>
        <w:t>Оберт</w:t>
      </w:r>
      <w:proofErr w:type="spellEnd"/>
      <w:r w:rsidRPr="00A259BD">
        <w:rPr>
          <w:rFonts w:ascii="Times New Roman" w:hAnsi="Times New Roman"/>
          <w:color w:val="000000" w:themeColor="text1"/>
          <w:sz w:val="16"/>
          <w:szCs w:val="16"/>
        </w:rPr>
        <w:t xml:space="preserve"> нуждался в толковых помощников. Первым таким помощником </w:t>
      </w:r>
      <w:proofErr w:type="spellStart"/>
      <w:r w:rsidRPr="00A259BD">
        <w:rPr>
          <w:rFonts w:ascii="Times New Roman" w:hAnsi="Times New Roman"/>
          <w:color w:val="000000" w:themeColor="text1"/>
          <w:sz w:val="16"/>
          <w:szCs w:val="16"/>
        </w:rPr>
        <w:t>Оберта</w:t>
      </w:r>
      <w:proofErr w:type="spellEnd"/>
      <w:r w:rsidRPr="00A259BD">
        <w:rPr>
          <w:rFonts w:ascii="Times New Roman" w:hAnsi="Times New Roman"/>
          <w:color w:val="000000" w:themeColor="text1"/>
          <w:sz w:val="16"/>
          <w:szCs w:val="16"/>
        </w:rPr>
        <w:t xml:space="preserve"> стал русский эмигрант Александр Борисович </w:t>
      </w:r>
      <w:proofErr w:type="spellStart"/>
      <w:r w:rsidRPr="00A259BD">
        <w:rPr>
          <w:rFonts w:ascii="Times New Roman" w:hAnsi="Times New Roman"/>
          <w:color w:val="000000" w:themeColor="text1"/>
          <w:sz w:val="16"/>
          <w:szCs w:val="16"/>
        </w:rPr>
        <w:t>Шершевский</w:t>
      </w:r>
      <w:proofErr w:type="spellEnd"/>
      <w:r w:rsidRPr="00A259BD">
        <w:rPr>
          <w:rFonts w:ascii="Times New Roman" w:hAnsi="Times New Roman"/>
          <w:color w:val="000000" w:themeColor="text1"/>
          <w:sz w:val="16"/>
          <w:szCs w:val="16"/>
        </w:rPr>
        <w:t>, живший тогда в Берлине.</w:t>
      </w:r>
    </w:p>
    <w:p w14:paraId="68A5E9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Шершевский</w:t>
      </w:r>
      <w:proofErr w:type="spellEnd"/>
      <w:r w:rsidRPr="00A259BD">
        <w:rPr>
          <w:rFonts w:ascii="Times New Roman" w:hAnsi="Times New Roman"/>
          <w:color w:val="000000" w:themeColor="text1"/>
          <w:sz w:val="16"/>
          <w:szCs w:val="16"/>
        </w:rPr>
        <w:t xml:space="preserve"> опубликовал несколько статей о ракетах в различных журналах и издал в 1929 году научно-популярную книгу “Ракета для езды и полета” (“Die </w:t>
      </w:r>
      <w:proofErr w:type="spellStart"/>
      <w:r w:rsidRPr="00A259BD">
        <w:rPr>
          <w:rFonts w:ascii="Times New Roman" w:hAnsi="Times New Roman"/>
          <w:color w:val="000000" w:themeColor="text1"/>
          <w:sz w:val="16"/>
          <w:szCs w:val="16"/>
        </w:rPr>
        <w:t>Rakete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fur</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Fahrt</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und</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Flug</w:t>
      </w:r>
      <w:proofErr w:type="spellEnd"/>
      <w:r w:rsidRPr="00A259BD">
        <w:rPr>
          <w:rFonts w:ascii="Times New Roman" w:hAnsi="Times New Roman"/>
          <w:color w:val="000000" w:themeColor="text1"/>
          <w:sz w:val="16"/>
          <w:szCs w:val="16"/>
        </w:rPr>
        <w:t xml:space="preserve">”). Те, кто лично знал </w:t>
      </w:r>
      <w:proofErr w:type="spellStart"/>
      <w:r w:rsidRPr="00A259BD">
        <w:rPr>
          <w:rFonts w:ascii="Times New Roman" w:hAnsi="Times New Roman"/>
          <w:color w:val="000000" w:themeColor="text1"/>
          <w:sz w:val="16"/>
          <w:szCs w:val="16"/>
        </w:rPr>
        <w:t>Шершевского</w:t>
      </w:r>
      <w:proofErr w:type="spellEnd"/>
      <w:r w:rsidRPr="00A259BD">
        <w:rPr>
          <w:rFonts w:ascii="Times New Roman" w:hAnsi="Times New Roman"/>
          <w:color w:val="000000" w:themeColor="text1"/>
          <w:sz w:val="16"/>
          <w:szCs w:val="16"/>
        </w:rPr>
        <w:t xml:space="preserve">, позднее давали ему весьма нелестную характеристику. Мол, ленив и очень неумен. Тем не менее этот человек выдвинул несколько довольно оригинальных идей в области ракетостроения (ему, например, приписывают изобретение самого слова “ракетоплан”) и вошел в историю как посредник в переписке между двумя “столпами” космонавтики – </w:t>
      </w:r>
      <w:proofErr w:type="spellStart"/>
      <w:r w:rsidRPr="00A259BD">
        <w:rPr>
          <w:rFonts w:ascii="Times New Roman" w:hAnsi="Times New Roman"/>
          <w:color w:val="000000" w:themeColor="text1"/>
          <w:sz w:val="16"/>
          <w:szCs w:val="16"/>
        </w:rPr>
        <w:t>Обертом</w:t>
      </w:r>
      <w:proofErr w:type="spellEnd"/>
      <w:r w:rsidRPr="00A259BD">
        <w:rPr>
          <w:rFonts w:ascii="Times New Roman" w:hAnsi="Times New Roman"/>
          <w:color w:val="000000" w:themeColor="text1"/>
          <w:sz w:val="16"/>
          <w:szCs w:val="16"/>
        </w:rPr>
        <w:t xml:space="preserve"> и Циолковским. Но во время “штурмовщины” в мастерских кинокомпании “УФА”, когда </w:t>
      </w:r>
      <w:proofErr w:type="spellStart"/>
      <w:r w:rsidRPr="00A259BD">
        <w:rPr>
          <w:rFonts w:ascii="Times New Roman" w:hAnsi="Times New Roman"/>
          <w:color w:val="000000" w:themeColor="text1"/>
          <w:sz w:val="16"/>
          <w:szCs w:val="16"/>
        </w:rPr>
        <w:t>Оберту</w:t>
      </w:r>
      <w:proofErr w:type="spellEnd"/>
      <w:r w:rsidRPr="00A259BD">
        <w:rPr>
          <w:rFonts w:ascii="Times New Roman" w:hAnsi="Times New Roman"/>
          <w:color w:val="000000" w:themeColor="text1"/>
          <w:sz w:val="16"/>
          <w:szCs w:val="16"/>
        </w:rPr>
        <w:t xml:space="preserve"> приходилось делать несколько дел одновременно, </w:t>
      </w:r>
      <w:proofErr w:type="spellStart"/>
      <w:r w:rsidRPr="00A259BD">
        <w:rPr>
          <w:rFonts w:ascii="Times New Roman" w:hAnsi="Times New Roman"/>
          <w:color w:val="000000" w:themeColor="text1"/>
          <w:sz w:val="16"/>
          <w:szCs w:val="16"/>
        </w:rPr>
        <w:t>Шершевский</w:t>
      </w:r>
      <w:proofErr w:type="spellEnd"/>
      <w:r w:rsidRPr="00A259BD">
        <w:rPr>
          <w:rFonts w:ascii="Times New Roman" w:hAnsi="Times New Roman"/>
          <w:color w:val="000000" w:themeColor="text1"/>
          <w:sz w:val="16"/>
          <w:szCs w:val="16"/>
        </w:rPr>
        <w:t xml:space="preserve"> оказался обузой и был с позором изгнан. Позднее его пригласили поработать в СССР, и он вернулся на родину.</w:t>
      </w:r>
    </w:p>
    <w:p w14:paraId="3FFC87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качестве второго помощника к </w:t>
      </w:r>
      <w:proofErr w:type="spellStart"/>
      <w:r w:rsidRPr="00A259BD">
        <w:rPr>
          <w:rFonts w:ascii="Times New Roman" w:hAnsi="Times New Roman"/>
          <w:color w:val="000000" w:themeColor="text1"/>
          <w:sz w:val="16"/>
          <w:szCs w:val="16"/>
        </w:rPr>
        <w:t>Оберту</w:t>
      </w:r>
      <w:proofErr w:type="spellEnd"/>
      <w:r w:rsidRPr="00A259BD">
        <w:rPr>
          <w:rFonts w:ascii="Times New Roman" w:hAnsi="Times New Roman"/>
          <w:color w:val="000000" w:themeColor="text1"/>
          <w:sz w:val="16"/>
          <w:szCs w:val="16"/>
        </w:rPr>
        <w:t xml:space="preserve"> устроился Рудольф </w:t>
      </w:r>
      <w:proofErr w:type="spellStart"/>
      <w:r w:rsidRPr="00A259BD">
        <w:rPr>
          <w:rFonts w:ascii="Times New Roman" w:hAnsi="Times New Roman"/>
          <w:color w:val="000000" w:themeColor="text1"/>
          <w:sz w:val="16"/>
          <w:szCs w:val="16"/>
        </w:rPr>
        <w:t>Небель</w:t>
      </w:r>
      <w:proofErr w:type="spellEnd"/>
      <w:r w:rsidRPr="00A259BD">
        <w:rPr>
          <w:rFonts w:ascii="Times New Roman" w:hAnsi="Times New Roman"/>
          <w:color w:val="000000" w:themeColor="text1"/>
          <w:sz w:val="16"/>
          <w:szCs w:val="16"/>
        </w:rPr>
        <w:t xml:space="preserve">. Среди многочисленных претендентов профессор выбрал именно его, потому что </w:t>
      </w:r>
      <w:proofErr w:type="spellStart"/>
      <w:r w:rsidRPr="00A259BD">
        <w:rPr>
          <w:rFonts w:ascii="Times New Roman" w:hAnsi="Times New Roman"/>
          <w:color w:val="000000" w:themeColor="text1"/>
          <w:sz w:val="16"/>
          <w:szCs w:val="16"/>
        </w:rPr>
        <w:t>Небель</w:t>
      </w:r>
      <w:proofErr w:type="spellEnd"/>
      <w:r w:rsidRPr="00A259BD">
        <w:rPr>
          <w:rFonts w:ascii="Times New Roman" w:hAnsi="Times New Roman"/>
          <w:color w:val="000000" w:themeColor="text1"/>
          <w:sz w:val="16"/>
          <w:szCs w:val="16"/>
        </w:rPr>
        <w:t xml:space="preserve"> служил когда-то летчиком и гордо сообщил на собеседовании, будто бы сбил в боях одиннадцать самолетов противника. А </w:t>
      </w:r>
      <w:proofErr w:type="spellStart"/>
      <w:r w:rsidRPr="00A259BD">
        <w:rPr>
          <w:rFonts w:ascii="Times New Roman" w:hAnsi="Times New Roman"/>
          <w:color w:val="000000" w:themeColor="text1"/>
          <w:sz w:val="16"/>
          <w:szCs w:val="16"/>
        </w:rPr>
        <w:t>Оберту</w:t>
      </w:r>
      <w:proofErr w:type="spellEnd"/>
      <w:r w:rsidRPr="00A259BD">
        <w:rPr>
          <w:rFonts w:ascii="Times New Roman" w:hAnsi="Times New Roman"/>
          <w:color w:val="000000" w:themeColor="text1"/>
          <w:sz w:val="16"/>
          <w:szCs w:val="16"/>
        </w:rPr>
        <w:t xml:space="preserve"> был нужен энергичный помощник, имевший опыт работы в авиации.</w:t>
      </w:r>
    </w:p>
    <w:p w14:paraId="55F69B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Рекламный отдел кинокомпании хотел, чтобы эта ракета была “гигантской” – высотой как минимум в 13 м. </w:t>
      </w:r>
      <w:proofErr w:type="spellStart"/>
      <w:r w:rsidRPr="00A259BD">
        <w:rPr>
          <w:rFonts w:ascii="Times New Roman" w:hAnsi="Times New Roman"/>
          <w:color w:val="000000" w:themeColor="text1"/>
          <w:sz w:val="16"/>
          <w:szCs w:val="16"/>
        </w:rPr>
        <w:t>Оберт</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Небель</w:t>
      </w:r>
      <w:proofErr w:type="spellEnd"/>
      <w:r w:rsidRPr="00A259BD">
        <w:rPr>
          <w:rFonts w:ascii="Times New Roman" w:hAnsi="Times New Roman"/>
          <w:color w:val="000000" w:themeColor="text1"/>
          <w:sz w:val="16"/>
          <w:szCs w:val="16"/>
        </w:rPr>
        <w:t xml:space="preserve"> понимали нелепость такого требования. В конце концов руководство кинокомпании согласилось на ракету в 2 м с запасом топлива (бензин и жидкий кислород) в 16 литров. По расчетам, </w:t>
      </w:r>
      <w:proofErr w:type="spellStart"/>
      <w:r w:rsidRPr="00A259BD">
        <w:rPr>
          <w:rFonts w:ascii="Times New Roman" w:hAnsi="Times New Roman"/>
          <w:color w:val="000000" w:themeColor="text1"/>
          <w:sz w:val="16"/>
          <w:szCs w:val="16"/>
        </w:rPr>
        <w:t>Оберта</w:t>
      </w:r>
      <w:proofErr w:type="spellEnd"/>
      <w:r w:rsidRPr="00A259BD">
        <w:rPr>
          <w:rFonts w:ascii="Times New Roman" w:hAnsi="Times New Roman"/>
          <w:color w:val="000000" w:themeColor="text1"/>
          <w:sz w:val="16"/>
          <w:szCs w:val="16"/>
        </w:rPr>
        <w:t xml:space="preserve"> это высококалорийное топливо могло поднять ракету до высоты в 40 км. Рекламный отдел превратил их в 70 км и дал об этом сообщение в печать.</w:t>
      </w:r>
    </w:p>
    <w:p w14:paraId="70A674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Работа рекламного отдела возымела эффект. О ракете </w:t>
      </w:r>
      <w:proofErr w:type="spellStart"/>
      <w:r w:rsidRPr="00A259BD">
        <w:rPr>
          <w:rFonts w:ascii="Times New Roman" w:hAnsi="Times New Roman"/>
          <w:color w:val="000000" w:themeColor="text1"/>
          <w:sz w:val="16"/>
          <w:szCs w:val="16"/>
        </w:rPr>
        <w:t>Оберта</w:t>
      </w:r>
      <w:proofErr w:type="spellEnd"/>
      <w:r w:rsidRPr="00A259BD">
        <w:rPr>
          <w:rFonts w:ascii="Times New Roman" w:hAnsi="Times New Roman"/>
          <w:color w:val="000000" w:themeColor="text1"/>
          <w:sz w:val="16"/>
          <w:szCs w:val="16"/>
        </w:rPr>
        <w:t xml:space="preserve"> и о предстоящем запуске начала усиленно писать пресса, и Вилли Лей, вспоминая об этом через много лет, говорил, что ему приходилось почти ежедневно отсылать одну-две статьи по этому поводу для различных периодических изданий.</w:t>
      </w:r>
    </w:p>
    <w:p w14:paraId="3CC675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Хуже обстояло дело с самой ракетой. Герман </w:t>
      </w:r>
      <w:proofErr w:type="spellStart"/>
      <w:r w:rsidRPr="00A259BD">
        <w:rPr>
          <w:rFonts w:ascii="Times New Roman" w:hAnsi="Times New Roman"/>
          <w:color w:val="000000" w:themeColor="text1"/>
          <w:sz w:val="16"/>
          <w:szCs w:val="16"/>
        </w:rPr>
        <w:t>Оберт</w:t>
      </w:r>
      <w:proofErr w:type="spellEnd"/>
      <w:r w:rsidRPr="00A259BD">
        <w:rPr>
          <w:rFonts w:ascii="Times New Roman" w:hAnsi="Times New Roman"/>
          <w:color w:val="000000" w:themeColor="text1"/>
          <w:sz w:val="16"/>
          <w:szCs w:val="16"/>
        </w:rPr>
        <w:t xml:space="preserve"> проявил определенную смелость, выбрав столь калорийное топливо. В то время считалось, что смешение жидкого кислорода с бензином тут же приведет к взрыву. Чтобы переломить эту точку зрения и добиться устойчивого горения, </w:t>
      </w:r>
      <w:proofErr w:type="spellStart"/>
      <w:r w:rsidRPr="00A259BD">
        <w:rPr>
          <w:rFonts w:ascii="Times New Roman" w:hAnsi="Times New Roman"/>
          <w:color w:val="000000" w:themeColor="text1"/>
          <w:sz w:val="16"/>
          <w:szCs w:val="16"/>
        </w:rPr>
        <w:t>Оберт</w:t>
      </w:r>
      <w:proofErr w:type="spellEnd"/>
      <w:r w:rsidRPr="00A259BD">
        <w:rPr>
          <w:rFonts w:ascii="Times New Roman" w:hAnsi="Times New Roman"/>
          <w:color w:val="000000" w:themeColor="text1"/>
          <w:sz w:val="16"/>
          <w:szCs w:val="16"/>
        </w:rPr>
        <w:t xml:space="preserve"> принял решение начать опыты не с какой-либо моделью двигателя, а в “академической” постановке. Он изучал поведение тончайшей струйки бензина, направленной на сосуд с жидким кислородом. На каком-то из этапов серии экспериментов </w:t>
      </w:r>
      <w:proofErr w:type="spellStart"/>
      <w:r w:rsidRPr="00A259BD">
        <w:rPr>
          <w:rFonts w:ascii="Times New Roman" w:hAnsi="Times New Roman"/>
          <w:color w:val="000000" w:themeColor="text1"/>
          <w:sz w:val="16"/>
          <w:szCs w:val="16"/>
        </w:rPr>
        <w:t>Оберта</w:t>
      </w:r>
      <w:proofErr w:type="spellEnd"/>
      <w:r w:rsidRPr="00A259BD">
        <w:rPr>
          <w:rFonts w:ascii="Times New Roman" w:hAnsi="Times New Roman"/>
          <w:color w:val="000000" w:themeColor="text1"/>
          <w:sz w:val="16"/>
          <w:szCs w:val="16"/>
        </w:rPr>
        <w:t xml:space="preserve"> решил произвести проверку одного из своих теоретических предположений, для чего надо было налить слой бензина на поверхность жидкого кислорода. Горение бензина в кислороде почти мгновенно перешло во взрыв. Ударной волной экспериментатора швырнуло через всю лабораторию. У </w:t>
      </w:r>
      <w:proofErr w:type="spellStart"/>
      <w:r w:rsidRPr="00A259BD">
        <w:rPr>
          <w:rFonts w:ascii="Times New Roman" w:hAnsi="Times New Roman"/>
          <w:color w:val="000000" w:themeColor="text1"/>
          <w:sz w:val="16"/>
          <w:szCs w:val="16"/>
        </w:rPr>
        <w:t>Оберта</w:t>
      </w:r>
      <w:proofErr w:type="spellEnd"/>
      <w:r w:rsidRPr="00A259BD">
        <w:rPr>
          <w:rFonts w:ascii="Times New Roman" w:hAnsi="Times New Roman"/>
          <w:color w:val="000000" w:themeColor="text1"/>
          <w:sz w:val="16"/>
          <w:szCs w:val="16"/>
        </w:rPr>
        <w:t xml:space="preserve"> лопнула барабанная перепонка и был поврежден левый глаз. Врачи обещали спасти глаз, но потребовали абсолютного покоя. Но профессор не внял этим рекомендациям, продолжив работу.</w:t>
      </w:r>
    </w:p>
    <w:p w14:paraId="24A0DB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Проведя целый цикл экспериментов с каплями горящего топлива, ученый разработал основы теории рабочего процесса в камере сгорания и за шесть недель создал опытную камеру сгорания. Сегодня ее внешний вид кажется необычным. Топливо подавалось в камеру не в дальней от сопла части (в “головке”), а впрыскивалось со стороны сопла навстречу продуктам сгорания. Сама же камера сгорания была не цилиндрической или шарообразной, как это принято сегодня, а сужалась по мере удаления от сопла. Эта необычная форма дала возможность автору назвать двигатель “</w:t>
      </w:r>
      <w:proofErr w:type="spellStart"/>
      <w:r w:rsidRPr="00A259BD">
        <w:rPr>
          <w:rFonts w:ascii="Times New Roman" w:hAnsi="Times New Roman"/>
          <w:color w:val="000000" w:themeColor="text1"/>
          <w:sz w:val="16"/>
          <w:szCs w:val="16"/>
        </w:rPr>
        <w:t>Kegelduse</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Кегельдюзе</w:t>
      </w:r>
      <w:proofErr w:type="spellEnd"/>
      <w:r w:rsidRPr="00A259BD">
        <w:rPr>
          <w:rFonts w:ascii="Times New Roman" w:hAnsi="Times New Roman"/>
          <w:color w:val="000000" w:themeColor="text1"/>
          <w:sz w:val="16"/>
          <w:szCs w:val="16"/>
        </w:rPr>
        <w:t>”) – слово “кегель” означает “конус” и поэтому это название можно перевести как “двигатель с конической камерой сгорания”. (Что касается слова “дюза”, то сегодня его понимают как “сопло”, но в 1920 годы так нередко называли весь двигатель.)</w:t>
      </w:r>
    </w:p>
    <w:p w14:paraId="4A0490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Невзирая на многочисленные опасения, камера сгорания показала стабильную работу. И в последующих экспериментах она ни разу не подвела профессора. По сути, это был первый в Европе работоспособный жидкостной ракетный двигатель. И именно он, невзирая на малые размеры, открывал человечеству дорогу в космос.</w:t>
      </w:r>
    </w:p>
    <w:p w14:paraId="2C2892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Между тем премьера фильма “Женщина на Луне” приближалась, а рекламная ракета была далека от завершения. Герман </w:t>
      </w:r>
      <w:proofErr w:type="spellStart"/>
      <w:r w:rsidRPr="00A259BD">
        <w:rPr>
          <w:rFonts w:ascii="Times New Roman" w:hAnsi="Times New Roman"/>
          <w:color w:val="000000" w:themeColor="text1"/>
          <w:sz w:val="16"/>
          <w:szCs w:val="16"/>
        </w:rPr>
        <w:t>Оберт</w:t>
      </w:r>
      <w:proofErr w:type="spellEnd"/>
      <w:r w:rsidRPr="00A259BD">
        <w:rPr>
          <w:rFonts w:ascii="Times New Roman" w:hAnsi="Times New Roman"/>
          <w:color w:val="000000" w:themeColor="text1"/>
          <w:sz w:val="16"/>
          <w:szCs w:val="16"/>
        </w:rPr>
        <w:t xml:space="preserve">, Рудольф </w:t>
      </w:r>
      <w:proofErr w:type="spellStart"/>
      <w:r w:rsidRPr="00A259BD">
        <w:rPr>
          <w:rFonts w:ascii="Times New Roman" w:hAnsi="Times New Roman"/>
          <w:color w:val="000000" w:themeColor="text1"/>
          <w:sz w:val="16"/>
          <w:szCs w:val="16"/>
        </w:rPr>
        <w:t>Небель</w:t>
      </w:r>
      <w:proofErr w:type="spellEnd"/>
      <w:r w:rsidRPr="00A259BD">
        <w:rPr>
          <w:rFonts w:ascii="Times New Roman" w:hAnsi="Times New Roman"/>
          <w:color w:val="000000" w:themeColor="text1"/>
          <w:sz w:val="16"/>
          <w:szCs w:val="16"/>
        </w:rPr>
        <w:t xml:space="preserve"> и член “Общества межпланетных сообщений” Клаус Ридель (заменивший уволенного за бездеятельность эмигранта </w:t>
      </w:r>
      <w:proofErr w:type="spellStart"/>
      <w:r w:rsidRPr="00A259BD">
        <w:rPr>
          <w:rFonts w:ascii="Times New Roman" w:hAnsi="Times New Roman"/>
          <w:color w:val="000000" w:themeColor="text1"/>
          <w:sz w:val="16"/>
          <w:szCs w:val="16"/>
        </w:rPr>
        <w:t>Шершевского</w:t>
      </w:r>
      <w:proofErr w:type="spellEnd"/>
      <w:r w:rsidRPr="00A259BD">
        <w:rPr>
          <w:rFonts w:ascii="Times New Roman" w:hAnsi="Times New Roman"/>
          <w:color w:val="000000" w:themeColor="text1"/>
          <w:sz w:val="16"/>
          <w:szCs w:val="16"/>
        </w:rPr>
        <w:t>) работали в мастерских киностудии день и ночь. Предстояло сделать полноразмерный двигатель для ракеты, ведь “</w:t>
      </w:r>
      <w:proofErr w:type="spellStart"/>
      <w:r w:rsidRPr="00A259BD">
        <w:rPr>
          <w:rFonts w:ascii="Times New Roman" w:hAnsi="Times New Roman"/>
          <w:color w:val="000000" w:themeColor="text1"/>
          <w:sz w:val="16"/>
          <w:szCs w:val="16"/>
        </w:rPr>
        <w:t>Kegelduse</w:t>
      </w:r>
      <w:proofErr w:type="spellEnd"/>
      <w:r w:rsidRPr="00A259BD">
        <w:rPr>
          <w:rFonts w:ascii="Times New Roman" w:hAnsi="Times New Roman"/>
          <w:color w:val="000000" w:themeColor="text1"/>
          <w:sz w:val="16"/>
          <w:szCs w:val="16"/>
        </w:rPr>
        <w:t>” была лишь уменьшенной моделью будущего агрегата.</w:t>
      </w:r>
    </w:p>
    <w:p w14:paraId="2B7CEF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Возникли и проблемы другого рода. Ракета должна была подниматься в воздухе, а потому ее аэродинамические свойства тоже требовалось проверить экспериментально. Обычно это делается путем продувки в аэродинамической трубе, но такой эксперимент для был очень дорогим и требовал много времени. </w:t>
      </w:r>
      <w:proofErr w:type="spellStart"/>
      <w:r w:rsidRPr="00A259BD">
        <w:rPr>
          <w:rFonts w:ascii="Times New Roman" w:hAnsi="Times New Roman"/>
          <w:color w:val="000000" w:themeColor="text1"/>
          <w:sz w:val="16"/>
          <w:szCs w:val="16"/>
        </w:rPr>
        <w:t>Оберт</w:t>
      </w:r>
      <w:proofErr w:type="spellEnd"/>
      <w:r w:rsidRPr="00A259BD">
        <w:rPr>
          <w:rFonts w:ascii="Times New Roman" w:hAnsi="Times New Roman"/>
          <w:color w:val="000000" w:themeColor="text1"/>
          <w:sz w:val="16"/>
          <w:szCs w:val="16"/>
        </w:rPr>
        <w:t xml:space="preserve"> решил, что качественное представление может дать опыт, сводящийся к наблюдению характера падения модели ракеты с большой высоты. Была найдена соответствующая фабричная труба, и с нее сброшена деревянная модель ракеты – </w:t>
      </w:r>
      <w:proofErr w:type="spellStart"/>
      <w:r w:rsidRPr="00A259BD">
        <w:rPr>
          <w:rFonts w:ascii="Times New Roman" w:hAnsi="Times New Roman"/>
          <w:color w:val="000000" w:themeColor="text1"/>
          <w:sz w:val="16"/>
          <w:szCs w:val="16"/>
        </w:rPr>
        <w:t>Небелю</w:t>
      </w:r>
      <w:proofErr w:type="spellEnd"/>
      <w:r w:rsidRPr="00A259BD">
        <w:rPr>
          <w:rFonts w:ascii="Times New Roman" w:hAnsi="Times New Roman"/>
          <w:color w:val="000000" w:themeColor="text1"/>
          <w:sz w:val="16"/>
          <w:szCs w:val="16"/>
        </w:rPr>
        <w:t xml:space="preserve"> даже удалось сфотографировать ее в момент падения. Рекламный отдел киностудии и тут оказался на высоте: перевернув фотографию и сделав падающую ракету “взлетающей”, его сотрудники опубликовали снимок в прессе, сообщив о “первом экспериментальном старте ракеты </w:t>
      </w:r>
      <w:proofErr w:type="spellStart"/>
      <w:r w:rsidRPr="00A259BD">
        <w:rPr>
          <w:rFonts w:ascii="Times New Roman" w:hAnsi="Times New Roman"/>
          <w:color w:val="000000" w:themeColor="text1"/>
          <w:sz w:val="16"/>
          <w:szCs w:val="16"/>
        </w:rPr>
        <w:t>Оберта</w:t>
      </w:r>
      <w:proofErr w:type="spellEnd"/>
      <w:r w:rsidRPr="00A259BD">
        <w:rPr>
          <w:rFonts w:ascii="Times New Roman" w:hAnsi="Times New Roman"/>
          <w:color w:val="000000" w:themeColor="text1"/>
          <w:sz w:val="16"/>
          <w:szCs w:val="16"/>
        </w:rPr>
        <w:t>”. Попытки дать в газетах опровержение этой “утки” ни к чему не привели.</w:t>
      </w:r>
    </w:p>
    <w:p w14:paraId="72FA77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Однако “рекламщики” не могли дать одного – времени, и </w:t>
      </w:r>
      <w:proofErr w:type="spellStart"/>
      <w:r w:rsidRPr="00A259BD">
        <w:rPr>
          <w:rFonts w:ascii="Times New Roman" w:hAnsi="Times New Roman"/>
          <w:color w:val="000000" w:themeColor="text1"/>
          <w:sz w:val="16"/>
          <w:szCs w:val="16"/>
        </w:rPr>
        <w:t>Оберт</w:t>
      </w:r>
      <w:proofErr w:type="spellEnd"/>
      <w:r w:rsidRPr="00A259BD">
        <w:rPr>
          <w:rFonts w:ascii="Times New Roman" w:hAnsi="Times New Roman"/>
          <w:color w:val="000000" w:themeColor="text1"/>
          <w:sz w:val="16"/>
          <w:szCs w:val="16"/>
        </w:rPr>
        <w:t xml:space="preserve"> судорожно пытался найти решение, создав более простой вариант ракеты.</w:t>
      </w:r>
    </w:p>
    <w:p w14:paraId="0DD1C9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Сегодня уже очевидно, что этот “упрощенный вариант” был вовсе не проще исходного. Новая ракета представляла собой длинную алюминиевую трубу, в центре которой помещалось несколько окруженных жидким кислородом узких цилиндрических шашек из вещества, богатого углеродом. Эти углеродные шашки должны были гореть сверху вниз. Газы выбрасывались через систему сопел в верхней части ракеты. Такая конструкция, известная под названием “ракеты с носовой тягой”, на первый взгляд давала много преимуществ. Ракету не нужно было делать особо прочной, и за счет этого значительно уменьшался ее сухой вес. Идея тяги ракеты (а не толкания), казалось, позволяла обойтись без механизма управления. Однако в действительности никаких выгод “носовая тяга” не давала. </w:t>
      </w:r>
      <w:proofErr w:type="spellStart"/>
      <w:r w:rsidRPr="00A259BD">
        <w:rPr>
          <w:rFonts w:ascii="Times New Roman" w:hAnsi="Times New Roman"/>
          <w:color w:val="000000" w:themeColor="text1"/>
          <w:sz w:val="16"/>
          <w:szCs w:val="16"/>
        </w:rPr>
        <w:t>Оберт</w:t>
      </w:r>
      <w:proofErr w:type="spellEnd"/>
      <w:r w:rsidRPr="00A259BD">
        <w:rPr>
          <w:rFonts w:ascii="Times New Roman" w:hAnsi="Times New Roman"/>
          <w:color w:val="000000" w:themeColor="text1"/>
          <w:sz w:val="16"/>
          <w:szCs w:val="16"/>
        </w:rPr>
        <w:t xml:space="preserve"> провел несколько подготовительных экспериментов, но не смог подобрать подходящее углеродосодержащее вещество, обеспечивающее надлежащую скорость горения.</w:t>
      </w:r>
    </w:p>
    <w:p w14:paraId="4438E7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Важно, что премьере фильма “Женщина на Луне” был обеспечен успех и без пуска ракет </w:t>
      </w:r>
      <w:proofErr w:type="spellStart"/>
      <w:r w:rsidRPr="00A259BD">
        <w:rPr>
          <w:rFonts w:ascii="Times New Roman" w:hAnsi="Times New Roman"/>
          <w:color w:val="000000" w:themeColor="text1"/>
          <w:sz w:val="16"/>
          <w:szCs w:val="16"/>
        </w:rPr>
        <w:t>Оберта</w:t>
      </w:r>
      <w:proofErr w:type="spellEnd"/>
      <w:r w:rsidRPr="00A259BD">
        <w:rPr>
          <w:rFonts w:ascii="Times New Roman" w:hAnsi="Times New Roman"/>
          <w:color w:val="000000" w:themeColor="text1"/>
          <w:sz w:val="16"/>
          <w:szCs w:val="16"/>
        </w:rPr>
        <w:t xml:space="preserve">. Рекламный отдел нашел причины изменить сроки запуска: оказывается, осенние месяцы и связанная с ними непогода заставляют перенести все эксперименты на более позднее время. Кроме того, в результате взрыва профессор </w:t>
      </w:r>
      <w:proofErr w:type="spellStart"/>
      <w:r w:rsidRPr="00A259BD">
        <w:rPr>
          <w:rFonts w:ascii="Times New Roman" w:hAnsi="Times New Roman"/>
          <w:color w:val="000000" w:themeColor="text1"/>
          <w:sz w:val="16"/>
          <w:szCs w:val="16"/>
        </w:rPr>
        <w:t>Оберт</w:t>
      </w:r>
      <w:proofErr w:type="spellEnd"/>
      <w:r w:rsidRPr="00A259BD">
        <w:rPr>
          <w:rFonts w:ascii="Times New Roman" w:hAnsi="Times New Roman"/>
          <w:color w:val="000000" w:themeColor="text1"/>
          <w:sz w:val="16"/>
          <w:szCs w:val="16"/>
        </w:rPr>
        <w:t xml:space="preserve"> испытал нервный шок и нуждается в длительном отдыхе.</w:t>
      </w:r>
    </w:p>
    <w:p w14:paraId="561965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После того, как фильм Ланга вышел на экраны, работа </w:t>
      </w:r>
      <w:proofErr w:type="spellStart"/>
      <w:r w:rsidRPr="00A259BD">
        <w:rPr>
          <w:rFonts w:ascii="Times New Roman" w:hAnsi="Times New Roman"/>
          <w:color w:val="000000" w:themeColor="text1"/>
          <w:sz w:val="16"/>
          <w:szCs w:val="16"/>
        </w:rPr>
        <w:t>Оберта</w:t>
      </w:r>
      <w:proofErr w:type="spellEnd"/>
      <w:r w:rsidRPr="00A259BD">
        <w:rPr>
          <w:rFonts w:ascii="Times New Roman" w:hAnsi="Times New Roman"/>
          <w:color w:val="000000" w:themeColor="text1"/>
          <w:sz w:val="16"/>
          <w:szCs w:val="16"/>
        </w:rPr>
        <w:t xml:space="preserve"> на кинокомпанию потеряла всякий смысл. Однако члены “Общества межпланетных сообщений” попытались изыскать средства для продолжения работ, но безуспешно. Когда кончились 10000 марок, киностудия отпустила небольшую сумму на продолжение работ, но и они быстро иссякли. “УФА” еще раз подтвердила свое намерение некоторое время поддерживать работы. </w:t>
      </w:r>
      <w:proofErr w:type="spellStart"/>
      <w:r w:rsidRPr="00A259BD">
        <w:rPr>
          <w:rFonts w:ascii="Times New Roman" w:hAnsi="Times New Roman"/>
          <w:color w:val="000000" w:themeColor="text1"/>
          <w:sz w:val="16"/>
          <w:szCs w:val="16"/>
        </w:rPr>
        <w:t>Оберт</w:t>
      </w:r>
      <w:proofErr w:type="spellEnd"/>
      <w:r w:rsidRPr="00A259BD">
        <w:rPr>
          <w:rFonts w:ascii="Times New Roman" w:hAnsi="Times New Roman"/>
          <w:color w:val="000000" w:themeColor="text1"/>
          <w:sz w:val="16"/>
          <w:szCs w:val="16"/>
        </w:rPr>
        <w:t xml:space="preserve"> на основании этого обещания продолжал размещать заказы, но когда его долг достиг 30000 марок, выяснилось, что студия ничего платить не будет. </w:t>
      </w:r>
      <w:proofErr w:type="spellStart"/>
      <w:r w:rsidRPr="00A259BD">
        <w:rPr>
          <w:rFonts w:ascii="Times New Roman" w:hAnsi="Times New Roman"/>
          <w:color w:val="000000" w:themeColor="text1"/>
          <w:sz w:val="16"/>
          <w:szCs w:val="16"/>
        </w:rPr>
        <w:t>Оберт</w:t>
      </w:r>
      <w:proofErr w:type="spellEnd"/>
      <w:r w:rsidRPr="00A259BD">
        <w:rPr>
          <w:rFonts w:ascii="Times New Roman" w:hAnsi="Times New Roman"/>
          <w:color w:val="000000" w:themeColor="text1"/>
          <w:sz w:val="16"/>
          <w:szCs w:val="16"/>
        </w:rPr>
        <w:t xml:space="preserve"> был вынужден оплачивать долги с помощью полученной из Франции премии в 10000 франков, но большего сделать не может. До конца своих дней профессор возмущался тем, что кинокомпания, заработавшая на фильме 8 миллионов марок, пыталась заставить расплатиться с долгами учителя гимназии, доход которого не превышал 200 марок.</w:t>
      </w:r>
    </w:p>
    <w:p w14:paraId="2750CF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Герман </w:t>
      </w:r>
      <w:proofErr w:type="spellStart"/>
      <w:r w:rsidRPr="00A259BD">
        <w:rPr>
          <w:rFonts w:ascii="Times New Roman" w:hAnsi="Times New Roman"/>
          <w:color w:val="000000" w:themeColor="text1"/>
          <w:sz w:val="16"/>
          <w:szCs w:val="16"/>
        </w:rPr>
        <w:t>Оберт</w:t>
      </w:r>
      <w:proofErr w:type="spellEnd"/>
      <w:r w:rsidRPr="00A259BD">
        <w:rPr>
          <w:rFonts w:ascii="Times New Roman" w:hAnsi="Times New Roman"/>
          <w:color w:val="000000" w:themeColor="text1"/>
          <w:sz w:val="16"/>
          <w:szCs w:val="16"/>
        </w:rPr>
        <w:t xml:space="preserve"> был вынужден бросить все дела и уехать домой, в Румынию. Перед отъездом он оставил Рудольфу </w:t>
      </w:r>
      <w:proofErr w:type="spellStart"/>
      <w:r w:rsidRPr="00A259BD">
        <w:rPr>
          <w:rFonts w:ascii="Times New Roman" w:hAnsi="Times New Roman"/>
          <w:color w:val="000000" w:themeColor="text1"/>
          <w:sz w:val="16"/>
          <w:szCs w:val="16"/>
        </w:rPr>
        <w:t>Небелю</w:t>
      </w:r>
      <w:proofErr w:type="spellEnd"/>
      <w:r w:rsidRPr="00A259BD">
        <w:rPr>
          <w:rFonts w:ascii="Times New Roman" w:hAnsi="Times New Roman"/>
          <w:color w:val="000000" w:themeColor="text1"/>
          <w:sz w:val="16"/>
          <w:szCs w:val="16"/>
        </w:rPr>
        <w:t xml:space="preserve"> доверенность на ведение всех дел, связанных с экспериментальной ракетой.</w:t>
      </w:r>
    </w:p>
    <w:p w14:paraId="6247BE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концов “Общество межпланетных сообщений” выкупило у кинокомпании незаконченную ракету, двигатель “</w:t>
      </w:r>
      <w:proofErr w:type="spellStart"/>
      <w:r w:rsidRPr="00A259BD">
        <w:rPr>
          <w:rFonts w:ascii="Times New Roman" w:hAnsi="Times New Roman"/>
          <w:color w:val="000000" w:themeColor="text1"/>
          <w:sz w:val="16"/>
          <w:szCs w:val="16"/>
        </w:rPr>
        <w:t>Kegelduse</w:t>
      </w:r>
      <w:proofErr w:type="spellEnd"/>
      <w:r w:rsidRPr="00A259BD">
        <w:rPr>
          <w:rFonts w:ascii="Times New Roman" w:hAnsi="Times New Roman"/>
          <w:color w:val="000000" w:themeColor="text1"/>
          <w:sz w:val="16"/>
          <w:szCs w:val="16"/>
        </w:rPr>
        <w:t>”, пусковую установку и другие изделия, связанные с этой работой.</w:t>
      </w:r>
    </w:p>
    <w:p w14:paraId="7557B7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Подытоживая, нужно сказать, что итоги работы </w:t>
      </w:r>
      <w:proofErr w:type="spellStart"/>
      <w:r w:rsidRPr="00A259BD">
        <w:rPr>
          <w:rFonts w:ascii="Times New Roman" w:hAnsi="Times New Roman"/>
          <w:color w:val="000000" w:themeColor="text1"/>
          <w:sz w:val="16"/>
          <w:szCs w:val="16"/>
        </w:rPr>
        <w:t>Оберта</w:t>
      </w:r>
      <w:proofErr w:type="spellEnd"/>
      <w:r w:rsidRPr="00A259BD">
        <w:rPr>
          <w:rFonts w:ascii="Times New Roman" w:hAnsi="Times New Roman"/>
          <w:color w:val="000000" w:themeColor="text1"/>
          <w:sz w:val="16"/>
          <w:szCs w:val="16"/>
        </w:rPr>
        <w:t xml:space="preserve"> в мастерских кинокомпании “УФА” не ограничиваются лишь шумихой в прессе. Привлечение внимания широкой общественности к проблемам ракетной техники было, конечно же, очень важным результатом, но далеко не единственным. И не главным. Главным было то, что впервые энтузиасты космонавтики от слов перешли к делу (11688).</w:t>
      </w:r>
    </w:p>
    <w:p w14:paraId="4116BE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8A846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D06959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0A5E6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20-28 октября 1929 проходили гос. испытания Ш-1 (92,381).</w:t>
      </w:r>
    </w:p>
    <w:p w14:paraId="777C0C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D063C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октября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11) и обсуждали вопрос о переделках И-3, о состоянии обеспечения ТБ-1 ДЕР-9, о лыжах для ТБ-1, об ангарах для испытания ТБ-1 и ТБ-2 (2367,21).</w:t>
      </w:r>
    </w:p>
    <w:p w14:paraId="235835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A30C7C8" w14:textId="77777777" w:rsidR="00646789" w:rsidRPr="00441F34" w:rsidRDefault="00646789" w:rsidP="006467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20 и 29 октября 1929 г. вышли Постановления Совнаркома СССР о программе выпуска самолетов И-3, которая была сокращена в сравнении с первоначально определенной на заседании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14 августа 1929 г. (23887).</w:t>
      </w:r>
    </w:p>
    <w:p w14:paraId="7C6D1480" w14:textId="77777777" w:rsidR="00646789" w:rsidRPr="00441F34" w:rsidRDefault="00646789" w:rsidP="00646789">
      <w:pPr>
        <w:spacing w:after="0" w:line="240" w:lineRule="auto"/>
        <w:jc w:val="both"/>
        <w:rPr>
          <w:rFonts w:ascii="Times New Roman" w:hAnsi="Times New Roman"/>
          <w:color w:val="0070C0"/>
          <w:sz w:val="16"/>
          <w:szCs w:val="16"/>
        </w:rPr>
      </w:pPr>
    </w:p>
    <w:p w14:paraId="7FB87253" w14:textId="77777777" w:rsidR="00646789" w:rsidRPr="00441F34" w:rsidRDefault="00646789" w:rsidP="006467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 xml:space="preserve">20 октября 1929 г. на заседании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(протокол №11) вопрос о внедрении доработок на серийном самолете И-3 наряду с другими и были намечены практические мероприятия, часть из которых ОСС и заводом №1 уже осуществлялись. В частности, серийный И-3 с улучшенным хвостовым оперением уже проходил испытания. В то же время сделано это было с большим опозданием, а должно было быть осуществлено уже на первом серийном самолете и этому ничего не препятствовало. Правительством, контролирующими органами, Управлением ВВС и руководством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отмечались постоянные срывы плановых сроков программы разработки, испытаний, доводки и серийного выпуска самолета И-3 с самого начала ее выполнения. Отдел опытного самолетостроения ЦКБ (ОСС) и его заведующий Н.Н. Поликарпов, несмотря на предоставление ему по возможности достаточных средств и при наличии достаточных собственных сил в ОСС ЦКБ и на неоднократные обращения и предупреждения об ответственности за взятые обязательства мер к изменению положения не предпринял и направлял работу своей организации не на те задания, которые были главными в плане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а на более выгодные по оплате – на новые опытные работы, вместо доводки серийных изделий. Также допускались постоянные отклонения от принятых процедур выпуска и утверждения конструкторской, технологической и испытательной документации, что препятствовало контролю за качеством сдаваемых опытных и серийных самолетов. В результате абсолютное большинство выпущенных и сданных ВВС в 1928…1929 г. истребителей И-3 оказались лишь ограниченно боеспособны.</w:t>
      </w:r>
    </w:p>
    <w:p w14:paraId="6206D5DB" w14:textId="77777777" w:rsidR="00646789" w:rsidRPr="00441F34" w:rsidRDefault="00646789" w:rsidP="006467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Вопрос о работе ОСС ЦКБ, заводов №№1 и 25 уже в 1928 г. был передан в компетенцию ОГПУ и по обвинениям в саботаже и вредительстве был арестован ряд руководящих работников и технических специалистов этих предприятий, в отношении которых были возбуждены уголовные дела:</w:t>
      </w:r>
    </w:p>
    <w:p w14:paraId="3B472E91" w14:textId="77777777" w:rsidR="00646789" w:rsidRPr="00441F34" w:rsidRDefault="00646789" w:rsidP="006467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директор завода №25 Б.Ф. Гончаров;</w:t>
      </w:r>
    </w:p>
    <w:p w14:paraId="34D23BC1" w14:textId="77777777" w:rsidR="00646789" w:rsidRPr="00441F34" w:rsidRDefault="00646789" w:rsidP="006467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зам директора завода №1 И.М. Косткин;</w:t>
      </w:r>
    </w:p>
    <w:p w14:paraId="004B351B" w14:textId="77777777" w:rsidR="00646789" w:rsidRPr="00441F34" w:rsidRDefault="00646789" w:rsidP="006467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 начальник бригады статических испытаний ЦКБ (завода №25) П.М. </w:t>
      </w:r>
      <w:proofErr w:type="spellStart"/>
      <w:r w:rsidRPr="00441F34">
        <w:rPr>
          <w:rFonts w:ascii="Times New Roman" w:hAnsi="Times New Roman"/>
          <w:color w:val="0070C0"/>
          <w:sz w:val="16"/>
          <w:szCs w:val="16"/>
        </w:rPr>
        <w:t>Крейсон</w:t>
      </w:r>
      <w:proofErr w:type="spellEnd"/>
      <w:r w:rsidRPr="00441F34">
        <w:rPr>
          <w:rFonts w:ascii="Times New Roman" w:hAnsi="Times New Roman"/>
          <w:color w:val="0070C0"/>
          <w:sz w:val="16"/>
          <w:szCs w:val="16"/>
        </w:rPr>
        <w:t>;</w:t>
      </w:r>
    </w:p>
    <w:p w14:paraId="6041060D" w14:textId="77777777" w:rsidR="00646789" w:rsidRPr="00441F34" w:rsidRDefault="00646789" w:rsidP="006467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начальник чертежного бюро ЦКБ Н.Г. Михельсон;</w:t>
      </w:r>
    </w:p>
    <w:p w14:paraId="3992183C" w14:textId="77777777" w:rsidR="00646789" w:rsidRPr="00441F34" w:rsidRDefault="00646789" w:rsidP="006467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работник ОСС Е.И. Майоранов;</w:t>
      </w:r>
    </w:p>
    <w:p w14:paraId="34B89329" w14:textId="77777777" w:rsidR="00646789" w:rsidRPr="00441F34" w:rsidRDefault="00646789" w:rsidP="006467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инж</w:t>
      </w:r>
      <w:proofErr w:type="spellEnd"/>
      <w:r w:rsidRPr="00441F34">
        <w:rPr>
          <w:rFonts w:ascii="Times New Roman" w:hAnsi="Times New Roman"/>
          <w:color w:val="0070C0"/>
          <w:sz w:val="16"/>
          <w:szCs w:val="16"/>
        </w:rPr>
        <w:t xml:space="preserve">. А.В. </w:t>
      </w:r>
      <w:proofErr w:type="spellStart"/>
      <w:r w:rsidRPr="00441F34">
        <w:rPr>
          <w:rFonts w:ascii="Times New Roman" w:hAnsi="Times New Roman"/>
          <w:color w:val="0070C0"/>
          <w:sz w:val="16"/>
          <w:szCs w:val="16"/>
        </w:rPr>
        <w:t>Надашкевич</w:t>
      </w:r>
      <w:proofErr w:type="spellEnd"/>
      <w:r w:rsidRPr="00441F34">
        <w:rPr>
          <w:rFonts w:ascii="Times New Roman" w:hAnsi="Times New Roman"/>
          <w:color w:val="0070C0"/>
          <w:sz w:val="16"/>
          <w:szCs w:val="16"/>
        </w:rPr>
        <w:t>;</w:t>
      </w:r>
    </w:p>
    <w:p w14:paraId="27F24BCF" w14:textId="77777777" w:rsidR="00646789" w:rsidRPr="00441F34" w:rsidRDefault="00646789" w:rsidP="006467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инж</w:t>
      </w:r>
      <w:proofErr w:type="spellEnd"/>
      <w:r w:rsidRPr="00441F34">
        <w:rPr>
          <w:rFonts w:ascii="Times New Roman" w:hAnsi="Times New Roman"/>
          <w:color w:val="0070C0"/>
          <w:sz w:val="16"/>
          <w:szCs w:val="16"/>
        </w:rPr>
        <w:t>. ЦКБ В.М. Ольховский;</w:t>
      </w:r>
    </w:p>
    <w:p w14:paraId="15531BB8" w14:textId="77777777" w:rsidR="00646789" w:rsidRPr="00441F34" w:rsidRDefault="00646789" w:rsidP="0064678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работник ОСС В.А. Тисов и др. (24887)</w:t>
      </w:r>
    </w:p>
    <w:p w14:paraId="305B1B51" w14:textId="77777777" w:rsidR="00646789" w:rsidRPr="00441F34" w:rsidRDefault="00646789" w:rsidP="00646789">
      <w:pPr>
        <w:spacing w:after="0" w:line="240" w:lineRule="auto"/>
        <w:jc w:val="both"/>
        <w:rPr>
          <w:rFonts w:ascii="Times New Roman" w:hAnsi="Times New Roman"/>
          <w:color w:val="0070C0"/>
          <w:sz w:val="16"/>
          <w:szCs w:val="16"/>
        </w:rPr>
      </w:pPr>
    </w:p>
    <w:p w14:paraId="09F842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октября 1929 УВВС направило в РЗ СТО свои предложения "О пятилетнем плане опытного строительства ВВС на 1928/29-1932/33. В записке говорилось, что УВВС провело изучение 675 типов самолетов зарубежных конструкций, в т.ч. 62 были отобраны в качестве образцов для освоения в серии. По моторам определили отставание на 4 года (1566,77).</w:t>
      </w:r>
    </w:p>
    <w:p w14:paraId="140F04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записке, в частности, отмечалось, что специалистами Управления было проведено изучение 675 типов самолетов зарубежных конструкций, из которых 62 типа (истребители, бомбардировщики, </w:t>
      </w:r>
      <w:proofErr w:type="spellStart"/>
      <w:r w:rsidRPr="00A259BD">
        <w:rPr>
          <w:rFonts w:ascii="Times New Roman" w:hAnsi="Times New Roman"/>
          <w:color w:val="000000" w:themeColor="text1"/>
          <w:sz w:val="16"/>
          <w:szCs w:val="16"/>
        </w:rPr>
        <w:t>педоносцы</w:t>
      </w:r>
      <w:proofErr w:type="spellEnd"/>
      <w:r w:rsidRPr="00A259BD">
        <w:rPr>
          <w:rFonts w:ascii="Times New Roman" w:hAnsi="Times New Roman"/>
          <w:color w:val="000000" w:themeColor="text1"/>
          <w:sz w:val="16"/>
          <w:szCs w:val="16"/>
        </w:rPr>
        <w:t xml:space="preserve">, учебные, транспортные и т.д.) отобраны в </w:t>
      </w:r>
      <w:proofErr w:type="spellStart"/>
      <w:r w:rsidRPr="00A259BD">
        <w:rPr>
          <w:rFonts w:ascii="Times New Roman" w:hAnsi="Times New Roman"/>
          <w:color w:val="000000" w:themeColor="text1"/>
          <w:sz w:val="16"/>
          <w:szCs w:val="16"/>
        </w:rPr>
        <w:t>качест</w:t>
      </w:r>
      <w:proofErr w:type="spellEnd"/>
      <w:r w:rsidRPr="00A259BD">
        <w:rPr>
          <w:rFonts w:ascii="Times New Roman" w:hAnsi="Times New Roman"/>
          <w:color w:val="000000" w:themeColor="text1"/>
          <w:sz w:val="16"/>
          <w:szCs w:val="16"/>
        </w:rPr>
        <w:t>-образцов для освоения в опытном производстве. По авиамоторостроению Управление определяло отставание СССР от Запада не менее чем на 4 года. УВВС РККА просило ассигновать на организацию изучения заграничного опыта и оказание необходи</w:t>
      </w:r>
      <w:r w:rsidRPr="00A259BD">
        <w:rPr>
          <w:rFonts w:ascii="Times New Roman" w:hAnsi="Times New Roman"/>
          <w:color w:val="000000" w:themeColor="text1"/>
          <w:sz w:val="16"/>
          <w:szCs w:val="16"/>
        </w:rPr>
        <w:softHyphen/>
        <w:t>мой поддержки Центральному Аэро-гидродинамическому инсти</w:t>
      </w:r>
      <w:r w:rsidRPr="00A259BD">
        <w:rPr>
          <w:rFonts w:ascii="Times New Roman" w:hAnsi="Times New Roman"/>
          <w:color w:val="000000" w:themeColor="text1"/>
          <w:sz w:val="16"/>
          <w:szCs w:val="16"/>
        </w:rPr>
        <w:softHyphen/>
        <w:t>туту (ЦАГИ) и Научному Авто-моторному институту (НАМИ) не менее 50 млн. рублей (РГАЭ ф. 2097, оп. 1, д. 1096, л. 58) (1566).</w:t>
      </w:r>
    </w:p>
    <w:p w14:paraId="1F20E2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91EDC1"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октября 1929 г. — Из отчета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в ГВПУ о состоянии договоров с заграничными фирмами по оказанию технического содействия в постройке авиационных моторов</w:t>
      </w:r>
    </w:p>
    <w:p w14:paraId="385AE64C"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Секретно.</w:t>
      </w:r>
    </w:p>
    <w:p w14:paraId="1241BBA4"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w:t>
      </w:r>
    </w:p>
    <w:p w14:paraId="7EC847BC"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Правлением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заключено два договора с иностранными фирмами по оказанию технического содействия и приобретены лицензии на постройку авиационных моторов.</w:t>
      </w:r>
    </w:p>
    <w:p w14:paraId="6474EA3C"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Первый договор заключен с фирмой Баварских моторостроительных заводов «БМВ» (Германия, Мюнхен) на право постройки мотора «БМВ</w:t>
      </w:r>
      <w:r w:rsidRPr="00A259BD">
        <w:rPr>
          <w:rFonts w:ascii="Times New Roman" w:hAnsi="Times New Roman"/>
          <w:color w:val="000000" w:themeColor="text1"/>
          <w:sz w:val="16"/>
          <w:szCs w:val="16"/>
        </w:rPr>
        <w:noBreakHyphen/>
        <w:t>VI», 600 НР и последующих типов развитии этого мотора.</w:t>
      </w:r>
    </w:p>
    <w:p w14:paraId="744AF236"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Второй договор заключен с фирмой «Гном и Рон» (Франция, Париж) на право постройки мотора «Юпитер</w:t>
      </w:r>
      <w:r w:rsidRPr="00A259BD">
        <w:rPr>
          <w:rFonts w:ascii="Times New Roman" w:hAnsi="Times New Roman"/>
          <w:color w:val="000000" w:themeColor="text1"/>
          <w:sz w:val="16"/>
          <w:szCs w:val="16"/>
        </w:rPr>
        <w:noBreakHyphen/>
        <w:t>VI», 480 НР и последующего развития этого типа мотора.</w:t>
      </w:r>
    </w:p>
    <w:p w14:paraId="7A3AE977"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Мотор «БМВ</w:t>
      </w:r>
      <w:r w:rsidRPr="00A259BD">
        <w:rPr>
          <w:rFonts w:ascii="Times New Roman" w:hAnsi="Times New Roman"/>
          <w:color w:val="000000" w:themeColor="text1"/>
          <w:sz w:val="16"/>
          <w:szCs w:val="16"/>
        </w:rPr>
        <w:noBreakHyphen/>
        <w:t>VI» — с водяным охлаждением и мотор «Юпитер</w:t>
      </w:r>
      <w:r w:rsidRPr="00A259BD">
        <w:rPr>
          <w:rFonts w:ascii="Times New Roman" w:hAnsi="Times New Roman"/>
          <w:color w:val="000000" w:themeColor="text1"/>
          <w:sz w:val="16"/>
          <w:szCs w:val="16"/>
        </w:rPr>
        <w:noBreakHyphen/>
        <w:t xml:space="preserve">VI1» — с воздушным охлаждением. Оба мотора принадлежат к современным мощным моторам, принятым на вооружение и снабжение воздушного флота тех стран, где они изготовлены, и тех стран, которым проданы </w:t>
      </w:r>
      <w:proofErr w:type="spellStart"/>
      <w:r w:rsidRPr="00A259BD">
        <w:rPr>
          <w:rFonts w:ascii="Times New Roman" w:hAnsi="Times New Roman"/>
          <w:color w:val="000000" w:themeColor="text1"/>
          <w:sz w:val="16"/>
          <w:szCs w:val="16"/>
        </w:rPr>
        <w:t>лицензы</w:t>
      </w:r>
      <w:proofErr w:type="spellEnd"/>
      <w:r w:rsidRPr="00A259BD">
        <w:rPr>
          <w:rFonts w:ascii="Times New Roman" w:hAnsi="Times New Roman"/>
          <w:color w:val="000000" w:themeColor="text1"/>
          <w:sz w:val="16"/>
          <w:szCs w:val="16"/>
        </w:rPr>
        <w:t xml:space="preserve"> на техпомощь. По мотору «БМВ» </w:t>
      </w:r>
      <w:proofErr w:type="spellStart"/>
      <w:r w:rsidRPr="00A259BD">
        <w:rPr>
          <w:rFonts w:ascii="Times New Roman" w:hAnsi="Times New Roman"/>
          <w:color w:val="000000" w:themeColor="text1"/>
          <w:sz w:val="16"/>
          <w:szCs w:val="16"/>
        </w:rPr>
        <w:t>лиценз</w:t>
      </w:r>
      <w:proofErr w:type="spellEnd"/>
      <w:r w:rsidRPr="00A259BD">
        <w:rPr>
          <w:rFonts w:ascii="Times New Roman" w:hAnsi="Times New Roman"/>
          <w:color w:val="000000" w:themeColor="text1"/>
          <w:sz w:val="16"/>
          <w:szCs w:val="16"/>
        </w:rPr>
        <w:t xml:space="preserve"> продан Японии, а по мотору «Юпитер» </w:t>
      </w:r>
      <w:proofErr w:type="spellStart"/>
      <w:r w:rsidRPr="00A259BD">
        <w:rPr>
          <w:rFonts w:ascii="Times New Roman" w:hAnsi="Times New Roman"/>
          <w:color w:val="000000" w:themeColor="text1"/>
          <w:sz w:val="16"/>
          <w:szCs w:val="16"/>
        </w:rPr>
        <w:t>лиценз</w:t>
      </w:r>
      <w:proofErr w:type="spellEnd"/>
      <w:r w:rsidRPr="00A259BD">
        <w:rPr>
          <w:rFonts w:ascii="Times New Roman" w:hAnsi="Times New Roman"/>
          <w:color w:val="000000" w:themeColor="text1"/>
          <w:sz w:val="16"/>
          <w:szCs w:val="16"/>
        </w:rPr>
        <w:t xml:space="preserve"> продан, кроме СССР, еще 8 странам в Европе и Японии, всего 9 странам.</w:t>
      </w:r>
    </w:p>
    <w:p w14:paraId="411B7124"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Договор с фирмой «БМВ» выполняется на заводе № 26 в Рыбинске, где и будет поставлено производство этого мотора во всех его изменениях и усовершенствованиях. Завод впервые приступил к производству авиационных моторов. Завод новый, еще не закончен оборудованием на запроектированную пропускную способность. План выпуска заводом моторов в 1928/29 г. предусматривал выполнить и предъявить 40 моторов; сдать 25 моторов.</w:t>
      </w:r>
    </w:p>
    <w:p w14:paraId="54D0561B"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Реальное выполнение на 1 октября выразилось: собрано и поставлено на станок 5 моторов, из них один прошел 65</w:t>
      </w:r>
      <w:r w:rsidRPr="00A259BD">
        <w:rPr>
          <w:rFonts w:ascii="Times New Roman" w:hAnsi="Times New Roman"/>
          <w:color w:val="000000" w:themeColor="text1"/>
          <w:sz w:val="16"/>
          <w:szCs w:val="16"/>
        </w:rPr>
        <w:noBreakHyphen/>
        <w:t>часовое заводское испытание — 15 часов приработок и 50 часов на режиме. В деталях, по которым завод был обеспечен поковками, материалами и инструментом, выполнение достигло заданного количества и выше. Собрать моторы было невозможно по причине отсутствия некоторых деталей на такое количество моторов (головки цилиндра) и запозданием в сборке первого мотора по первоначальному плану.</w:t>
      </w:r>
    </w:p>
    <w:p w14:paraId="57843674"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Договор с фирмой «Гном и Рон» выполняется на заводе № 29, который в мае получил все материалы от фирмы и приступил к переводу их с французского языка на русский.</w:t>
      </w:r>
    </w:p>
    <w:p w14:paraId="0629E885"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плану, намеченному правлением для завода и принятому заводом к исполнению, первый мотор поступит в сборку в июне 1930 г. Для успешного выполнения этого плана правлением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у фирмы «Гном и Рон» заказаны: а) основные модели мотора (для литья); б) готовое литье на 10 моторов; в) поковки на 50 моторов и г) режущий и мерительный нарезной инструмент.</w:t>
      </w:r>
    </w:p>
    <w:p w14:paraId="10C9EAC5"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Литье уже получено на заводе № 29. Модели 6 октября выходят пароходом из Марселя в Ленинград. Поковки — первая партия уже принята и на днях будет отправлена пароходом в Ленинград. По расчетам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все заказанные материалы, кроме инструмента, на который своевременно не были выданы кредиты, будут на заводе № 29 не позже конца первой половины октября.</w:t>
      </w:r>
    </w:p>
    <w:p w14:paraId="2D4040BD"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Наблюдающими органами за выполнением договоров являются: 1) Главное управление военной промышленности и 2)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в лице председателя правления и члена правления, ведающего технической частью²*.</w:t>
      </w:r>
    </w:p>
    <w:p w14:paraId="15005CD8"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III. Итоги и выводы о работах по договорам за истекшее время</w:t>
      </w:r>
    </w:p>
    <w:p w14:paraId="49F67733"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Причины, побудившие приобрести вышеназванные договора на техпомощь, изложены в прежних докладах. Сейчас только можно проверить правильность необходимости и своевременности их заключения.</w:t>
      </w:r>
    </w:p>
    <w:p w14:paraId="0F47CA3B"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По мотору с водяным охлаждением, который уже поставлен на станок, заканчивает заводские испытания и подготовляется к официальному испытанию по плану, намеченному началом и окончанием в октябре с. г. Договор заключен своевременно, так как собственные конструкции такой же мощности до сего времени еще не закончили своих опытных испытаний и не пущены еще в серийное производство.</w:t>
      </w:r>
    </w:p>
    <w:p w14:paraId="5025DFB9"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этого, договор имеет большой плюс в том, что на новом заводе, начавшем производство этих моторов без каких бы то ни было ресурсов как по подготовленности завода, так и, особенно, личного состава, через 19 месяцев после получения чертежей мотора мотор поставлен на станок и благодаря тому, что техническая помощь была использована правильно, материалы, а равно и само производство на заводе фирмы было в основных чертах изучено достаточно, первый мотор, имея в своих деталях лишь коленчатый вал и карбюратор заграничного изготовления, прошел 65 часов, из которых 15 часов — приработок и 50 часов — на режиме, что доказывает, что к производству моторов этого типа приступлено правильно.</w:t>
      </w:r>
    </w:p>
    <w:p w14:paraId="58048F14"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По мотору с воздушным охлаждением по тем работам, которые на заводе № 29 до настоящего времени сделаны, можно сказать, что договор используется правильно, а своевременность его заключения подтверждается тем, что своя конструкция такого типа мотора до сего времени еще не испытана окончательно, а имеющиеся заграничные образцы «</w:t>
      </w:r>
      <w:proofErr w:type="spellStart"/>
      <w:r w:rsidRPr="00A259BD">
        <w:rPr>
          <w:rFonts w:ascii="Times New Roman" w:hAnsi="Times New Roman"/>
          <w:color w:val="000000" w:themeColor="text1"/>
          <w:sz w:val="16"/>
          <w:szCs w:val="16"/>
        </w:rPr>
        <w:t>Хорнет</w:t>
      </w:r>
      <w:proofErr w:type="spellEnd"/>
      <w:r w:rsidRPr="00A259BD">
        <w:rPr>
          <w:rFonts w:ascii="Times New Roman" w:hAnsi="Times New Roman"/>
          <w:color w:val="000000" w:themeColor="text1"/>
          <w:sz w:val="16"/>
          <w:szCs w:val="16"/>
        </w:rPr>
        <w:t xml:space="preserve">» постройки фирмы «БМВ» и «Сименс», которые способны конкурировать с мотором «Юпитер», до сего времени еще в таком состоянии, что на них </w:t>
      </w:r>
      <w:proofErr w:type="spellStart"/>
      <w:r w:rsidRPr="00A259BD">
        <w:rPr>
          <w:rFonts w:ascii="Times New Roman" w:hAnsi="Times New Roman"/>
          <w:color w:val="000000" w:themeColor="text1"/>
          <w:sz w:val="16"/>
          <w:szCs w:val="16"/>
        </w:rPr>
        <w:t>лиценз</w:t>
      </w:r>
      <w:proofErr w:type="spellEnd"/>
      <w:r w:rsidRPr="00A259BD">
        <w:rPr>
          <w:rFonts w:ascii="Times New Roman" w:hAnsi="Times New Roman"/>
          <w:color w:val="000000" w:themeColor="text1"/>
          <w:sz w:val="16"/>
          <w:szCs w:val="16"/>
        </w:rPr>
        <w:t xml:space="preserve"> приобрести еще нет возможности.</w:t>
      </w:r>
    </w:p>
    <w:p w14:paraId="41F1C80F"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Кроме этого, при приемке материалов у фирмы они так были изучены, что до получения их на завод производственным отделом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и заводом составлен план разработки материалов и начала производства, который выполняется без всяких отступлений и нарушений. Количество и качество материалов дает уверенность, что намеченный план производства мотора и начала сборки моторов головной серии будет выдержан точно.</w:t>
      </w:r>
    </w:p>
    <w:p w14:paraId="7394C076"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Помощь обеих фирм в деле наладки производства по купленным </w:t>
      </w:r>
      <w:proofErr w:type="spellStart"/>
      <w:r w:rsidRPr="00A259BD">
        <w:rPr>
          <w:rFonts w:ascii="Times New Roman" w:hAnsi="Times New Roman"/>
          <w:color w:val="000000" w:themeColor="text1"/>
          <w:sz w:val="16"/>
          <w:szCs w:val="16"/>
        </w:rPr>
        <w:t>лицензам</w:t>
      </w:r>
      <w:proofErr w:type="spellEnd"/>
      <w:r w:rsidRPr="00A259BD">
        <w:rPr>
          <w:rFonts w:ascii="Times New Roman" w:hAnsi="Times New Roman"/>
          <w:color w:val="000000" w:themeColor="text1"/>
          <w:sz w:val="16"/>
          <w:szCs w:val="16"/>
        </w:rPr>
        <w:t>, а равно и для существующего на заводах производства, дала положительные результаты, так как многие методы производства перенесены на наши заводы и дали положительные результаты:</w:t>
      </w:r>
    </w:p>
    <w:p w14:paraId="2CA866FB"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первая группа инженеров завода № 26, изучавшая производство у фирмы «БМВ», настолько изучила его в основном, что сразу производство на заводе было поставлено правильно и дало в конечном итоге (при испытании мотора) удовлетворительные результаты.</w:t>
      </w:r>
    </w:p>
    <w:p w14:paraId="53836541"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изучавший производство у фирмы «Гном и Рон» заведующий литейным цехом завода № 29 перенес на свой завод методы литья завода «Гном и Рон» и получил положительные результаты, а именно:</w:t>
      </w:r>
    </w:p>
    <w:p w14:paraId="72D03FAF"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 способ расстановки выпоров и литников по методу фирмы «Гном и Рон», примененный на заводе № 29 при отливке блоков и картеров мотора М</w:t>
      </w:r>
      <w:r w:rsidRPr="00A259BD">
        <w:rPr>
          <w:rFonts w:ascii="Times New Roman" w:hAnsi="Times New Roman"/>
          <w:color w:val="000000" w:themeColor="text1"/>
          <w:sz w:val="16"/>
          <w:szCs w:val="16"/>
        </w:rPr>
        <w:noBreakHyphen/>
        <w:t>6, дал возможность уменьшить величину выпоров и значительно снизить расход металла на отливку;</w:t>
      </w:r>
    </w:p>
    <w:p w14:paraId="3A280AF2"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пользование сетками при заливке металла в формы по методу фирмы дало чистую отливку тех же деталей и значительно уменьшило брак отливки;</w:t>
      </w:r>
    </w:p>
    <w:p w14:paraId="2D38AED2"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применение каркасов при изготовлении стержней по методу фирмы дало очень хорошие результаты при снижении брака по всем отливкам мотора М</w:t>
      </w:r>
      <w:r w:rsidRPr="00A259BD">
        <w:rPr>
          <w:rFonts w:ascii="Times New Roman" w:hAnsi="Times New Roman"/>
          <w:color w:val="000000" w:themeColor="text1"/>
          <w:sz w:val="16"/>
          <w:szCs w:val="16"/>
        </w:rPr>
        <w:noBreakHyphen/>
        <w:t>6, М</w:t>
      </w:r>
      <w:r w:rsidRPr="00A259BD">
        <w:rPr>
          <w:rFonts w:ascii="Times New Roman" w:hAnsi="Times New Roman"/>
          <w:color w:val="000000" w:themeColor="text1"/>
          <w:sz w:val="16"/>
          <w:szCs w:val="16"/>
        </w:rPr>
        <w:noBreakHyphen/>
        <w:t>11 и др.</w:t>
      </w:r>
    </w:p>
    <w:p w14:paraId="72977E03"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Опыт, приобретаемый командируемыми на заводы обеих фирм, становится достоянием не только тех заводов, которые посылают своих специалистов, а всего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По принятому правлением треста методу использования заграничной техпомощи все возвращающиеся из командировки обязаны делать доклады на расширенном собрании специалистов всех заводов. Такие совещания устраиваются сейчас же по прибытии из-за границы командируемого через несколько дней, по мере прибытия специалистов всех заводов для заслушания докладов. Доклады подвергаются полному обсуждению и имеют своей целью, с одной стороны, прощупать командируемого, насколько серьезно он изучил производство и выполнил данную ему программу, а с другой — дают материал для составления заданий вновь командируемым.</w:t>
      </w:r>
    </w:p>
    <w:p w14:paraId="38CA1D1F"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Насколько серьезно отношение к командировкам, видно из следующего: находившиеся в последнее время 4 специалиста на заводе «БМВ» и изучавшие производство электрона в результате изучения получили от фирмы право самостоятельно сделать отливку электронного картера. Такое разрешение было фирмой дано, и они проделали самостоятельно все процедуры от приготовления земли, формовки, составления шихты, плавки вплоть до отливки и обрубки картера. Фирма выдала подтверждение, что работа эта выполнена самостоятельно, без какой бы то ни было посторонней помощи, и в результате отливка получилась вполне годная для обработки в механической мастерской.</w:t>
      </w:r>
    </w:p>
    <w:p w14:paraId="3CCBF49F"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В плане командировок в истекшем году в основу было положено изучение литейного дела у обеих фирм и постановки его на других заводах Германии и Франции. Командировки были главным образом металлургов.</w:t>
      </w:r>
    </w:p>
    <w:p w14:paraId="777440BD"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 отметить, что этот план, хотя и выполнен не полностью (по финансовым соображениям), но в той мере, в которой он выполнен, он дал вполне положительные результаты, которые частью уже сказались на наших заводах, а в дальнейшем они еще больше скажутся, так как тому основанием служит проделанная работа наших специалистов на заводах фирм.</w:t>
      </w:r>
    </w:p>
    <w:p w14:paraId="41E48FB7"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IV. План дальнейшего использования техпомощи у фирм, с которыми заключены договоры</w:t>
      </w:r>
    </w:p>
    <w:p w14:paraId="786A3F76"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rPr>
        <w:t xml:space="preserve">Оба договора, кроме приобретенных типов моторов, предусматривают усовершенствование этих моторов фирмами и получение права на их приобретение </w:t>
      </w:r>
      <w:proofErr w:type="spellStart"/>
      <w:r w:rsidRPr="00A259BD">
        <w:rPr>
          <w:color w:val="000000" w:themeColor="text1"/>
          <w:sz w:val="16"/>
          <w:szCs w:val="16"/>
        </w:rPr>
        <w:t>Авиатрестом</w:t>
      </w:r>
      <w:proofErr w:type="spellEnd"/>
      <w:r w:rsidRPr="00A259BD">
        <w:rPr>
          <w:color w:val="000000" w:themeColor="text1"/>
          <w:sz w:val="16"/>
          <w:szCs w:val="16"/>
        </w:rPr>
        <w:t xml:space="preserve">, а также всех других типов моторов, которые фирмы будут строить у себя. В плане дальнейшего использования помощи фирм стоит вопрос о своевременном получении от них всего того, что для </w:t>
      </w:r>
      <w:proofErr w:type="spellStart"/>
      <w:r w:rsidRPr="00A259BD">
        <w:rPr>
          <w:color w:val="000000" w:themeColor="text1"/>
          <w:sz w:val="16"/>
          <w:szCs w:val="16"/>
        </w:rPr>
        <w:t>Авиатреста</w:t>
      </w:r>
      <w:proofErr w:type="spellEnd"/>
      <w:r w:rsidRPr="00A259BD">
        <w:rPr>
          <w:color w:val="000000" w:themeColor="text1"/>
          <w:sz w:val="16"/>
          <w:szCs w:val="16"/>
        </w:rPr>
        <w:t xml:space="preserve"> может составлять интерес. Для этой цели установлен полный контакт с обеими фирмами и с председателями приемочных комиссий УВВС на заводах фирм.</w:t>
      </w:r>
    </w:p>
    <w:p w14:paraId="1F1185DC"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rPr>
        <w:t xml:space="preserve">У фирмы «БМВ» </w:t>
      </w:r>
      <w:proofErr w:type="spellStart"/>
      <w:r w:rsidRPr="00A259BD">
        <w:rPr>
          <w:color w:val="000000" w:themeColor="text1"/>
          <w:sz w:val="16"/>
          <w:szCs w:val="16"/>
        </w:rPr>
        <w:t>Авиатрест</w:t>
      </w:r>
      <w:proofErr w:type="spellEnd"/>
      <w:r w:rsidRPr="00A259BD">
        <w:rPr>
          <w:color w:val="000000" w:themeColor="text1"/>
          <w:sz w:val="16"/>
          <w:szCs w:val="16"/>
        </w:rPr>
        <w:t xml:space="preserve"> следит за продвижением постройки и испытания мотора типа «БМВ</w:t>
      </w:r>
      <w:r w:rsidRPr="00A259BD">
        <w:rPr>
          <w:color w:val="000000" w:themeColor="text1"/>
          <w:sz w:val="16"/>
          <w:szCs w:val="16"/>
        </w:rPr>
        <w:noBreakHyphen/>
        <w:t>VIII» </w:t>
      </w:r>
      <w:r w:rsidRPr="00A259BD">
        <w:rPr>
          <w:color w:val="000000" w:themeColor="text1"/>
          <w:sz w:val="16"/>
          <w:szCs w:val="16"/>
        </w:rPr>
        <w:noBreakHyphen/>
        <w:t xml:space="preserve"> 1000 НР. Этот мотор построен в один ряд, в 6 цилиндров и при испытании дал мощность 450 НР Сейчас фирма строит его сдвоенным, т. е. 12 цилиндров и с компрессором. Мощность его будет 1000</w:t>
      </w:r>
      <w:r w:rsidRPr="00A259BD">
        <w:rPr>
          <w:color w:val="000000" w:themeColor="text1"/>
          <w:sz w:val="16"/>
          <w:szCs w:val="16"/>
        </w:rPr>
        <w:noBreakHyphen/>
        <w:t xml:space="preserve">1200 НР. Этот мотор для </w:t>
      </w:r>
      <w:proofErr w:type="spellStart"/>
      <w:r w:rsidRPr="00A259BD">
        <w:rPr>
          <w:color w:val="000000" w:themeColor="text1"/>
          <w:sz w:val="16"/>
          <w:szCs w:val="16"/>
        </w:rPr>
        <w:t>Авиатреста</w:t>
      </w:r>
      <w:proofErr w:type="spellEnd"/>
      <w:r w:rsidRPr="00A259BD">
        <w:rPr>
          <w:color w:val="000000" w:themeColor="text1"/>
          <w:sz w:val="16"/>
          <w:szCs w:val="16"/>
        </w:rPr>
        <w:t xml:space="preserve"> представляет интерес, но фирма неохотно говорит о нем, желая в первую очередь продать </w:t>
      </w:r>
      <w:proofErr w:type="spellStart"/>
      <w:r w:rsidRPr="00A259BD">
        <w:rPr>
          <w:color w:val="000000" w:themeColor="text1"/>
          <w:sz w:val="16"/>
          <w:szCs w:val="16"/>
        </w:rPr>
        <w:t>Авиатресту</w:t>
      </w:r>
      <w:proofErr w:type="spellEnd"/>
      <w:r w:rsidRPr="00A259BD">
        <w:rPr>
          <w:color w:val="000000" w:themeColor="text1"/>
          <w:sz w:val="16"/>
          <w:szCs w:val="16"/>
        </w:rPr>
        <w:t xml:space="preserve"> тип VII, но он для нас интереса не представляет. Ориентация </w:t>
      </w:r>
      <w:proofErr w:type="spellStart"/>
      <w:r w:rsidRPr="00A259BD">
        <w:rPr>
          <w:color w:val="000000" w:themeColor="text1"/>
          <w:sz w:val="16"/>
          <w:szCs w:val="16"/>
        </w:rPr>
        <w:t>Авиатреста</w:t>
      </w:r>
      <w:proofErr w:type="spellEnd"/>
      <w:r w:rsidRPr="00A259BD">
        <w:rPr>
          <w:color w:val="000000" w:themeColor="text1"/>
          <w:sz w:val="16"/>
          <w:szCs w:val="16"/>
        </w:rPr>
        <w:t> — на тип VIII. В плане развития производства на заводе № 26 этот тип предусмотрен.</w:t>
      </w:r>
    </w:p>
    <w:p w14:paraId="7E49034A"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rPr>
        <w:t xml:space="preserve">У фирмы «Гном и Рон» дальнейшее развитие мотора «Юпитер» — это тип VI. Этот мотор </w:t>
      </w:r>
      <w:proofErr w:type="spellStart"/>
      <w:r w:rsidRPr="00A259BD">
        <w:rPr>
          <w:color w:val="000000" w:themeColor="text1"/>
          <w:sz w:val="16"/>
          <w:szCs w:val="16"/>
        </w:rPr>
        <w:t>Авиатрест</w:t>
      </w:r>
      <w:proofErr w:type="spellEnd"/>
      <w:r w:rsidRPr="00A259BD">
        <w:rPr>
          <w:color w:val="000000" w:themeColor="text1"/>
          <w:sz w:val="16"/>
          <w:szCs w:val="16"/>
        </w:rPr>
        <w:t xml:space="preserve"> получает от фирмы бесплатно благодаря тому, что фирма до 15 июля не выполнила своих обязательств по мотору типа VI. Этот мотор получен бесплатно как штраф за невыполненные обязательства по п. 1 основного договора.</w:t>
      </w:r>
    </w:p>
    <w:p w14:paraId="52101AD4"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rPr>
        <w:t>В смысле использования техпомощи путем изучения производства намечено два пути: 1) командировка наших специалистов на заграничные заводы; 2) приглашение специалистов от фирмы. В плане командировок наступившего года еще основную роль будет играть командировка металлургов, но много уделено внимания изучению методов механической обработки, контролю, а главное — изучение использования за границей оборудования механических мастерских и изучение инструментального дела.</w:t>
      </w:r>
    </w:p>
    <w:p w14:paraId="4EE2150D"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rPr>
        <w:t xml:space="preserve">Имеющаяся тенденция у конструкторов — введение алюминиевой конструкции мотора и достижения минимального удельного веса — диктует необходимость изучения алюминиевого литья, которое у нас еще страдает многими отрицательными сторонами. Командировка наших металлургов с определенными конкретными заданиями по литью составляет основу плана использования заграничной техпомощи. Кроме фирм, у которых куплены </w:t>
      </w:r>
      <w:proofErr w:type="spellStart"/>
      <w:r w:rsidRPr="00A259BD">
        <w:rPr>
          <w:color w:val="000000" w:themeColor="text1"/>
          <w:sz w:val="16"/>
          <w:szCs w:val="16"/>
        </w:rPr>
        <w:t>лицензы</w:t>
      </w:r>
      <w:proofErr w:type="spellEnd"/>
      <w:r w:rsidRPr="00A259BD">
        <w:rPr>
          <w:color w:val="000000" w:themeColor="text1"/>
          <w:sz w:val="16"/>
          <w:szCs w:val="16"/>
        </w:rPr>
        <w:t>, в плане предусмотрены американские фирмы, где наши металлурги — инженеры и рабочие высокой квалификации — смогут получить то, чего нам не хватает при производстве современных конструкций моторов. В плане командировок специалистов по механической обработке, контролю и инструментальному делу имеется:</w:t>
      </w:r>
    </w:p>
    <w:p w14:paraId="524E6BFD"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rPr>
        <w:t>1) кроме изучения методов механической обработки, изучение оборудования и проверка его использования за границей и у нас;</w:t>
      </w:r>
    </w:p>
    <w:p w14:paraId="2591A1B4"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rPr>
        <w:t>2) изучение контроля и получаемого от этого высокого качества продукции;</w:t>
      </w:r>
    </w:p>
    <w:p w14:paraId="5EF5333B"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rPr>
        <w:t>3) изучение инструментального дела, которое у нас далеко не на высоте требований как техники, так и экономики.</w:t>
      </w:r>
    </w:p>
    <w:p w14:paraId="7FBB4B27"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rPr>
        <w:t xml:space="preserve">В плане привлечения иностранных специалистов, по опыту со специалистами, приглашенными от фирмы «БМВ» для завода № 26, которые дали вполне положительные результаты своей работы и оправдали свой приезд, стоит вопрос о полном использовании этой помощи, дающей пример работы заграничного специалиста в массе наших рабочих и техников. Этому вопросу в плане уделено особое внимание, и командируемые наши специалисты в числе своих узких заданий имеют задание по изучению и выбору тех специалистов у фирм, которые могут быть выписаны </w:t>
      </w:r>
      <w:proofErr w:type="spellStart"/>
      <w:r w:rsidRPr="00A259BD">
        <w:rPr>
          <w:color w:val="000000" w:themeColor="text1"/>
          <w:sz w:val="16"/>
          <w:szCs w:val="16"/>
        </w:rPr>
        <w:t>Авиатрестом</w:t>
      </w:r>
      <w:proofErr w:type="spellEnd"/>
      <w:r w:rsidRPr="00A259BD">
        <w:rPr>
          <w:color w:val="000000" w:themeColor="text1"/>
          <w:sz w:val="16"/>
          <w:szCs w:val="16"/>
        </w:rPr>
        <w:t xml:space="preserve"> и которые дадут заводу максимум пользы, особенно при наладке производства.</w:t>
      </w:r>
    </w:p>
    <w:p w14:paraId="4F3F0683"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rPr>
        <w:t xml:space="preserve">В заключение необходимо подчеркнуть, что из-за валютных соображений, возможно, весь намеченный </w:t>
      </w:r>
      <w:proofErr w:type="spellStart"/>
      <w:r w:rsidRPr="00A259BD">
        <w:rPr>
          <w:color w:val="000000" w:themeColor="text1"/>
          <w:sz w:val="16"/>
          <w:szCs w:val="16"/>
        </w:rPr>
        <w:t>Авиатрестом</w:t>
      </w:r>
      <w:proofErr w:type="spellEnd"/>
      <w:r w:rsidRPr="00A259BD">
        <w:rPr>
          <w:color w:val="000000" w:themeColor="text1"/>
          <w:sz w:val="16"/>
          <w:szCs w:val="16"/>
        </w:rPr>
        <w:t xml:space="preserve"> план выполнен не будет, что явится тормозом при выполнении планов развития производства лицензионных моторов на заводах № 26 и 29.</w:t>
      </w:r>
    </w:p>
    <w:p w14:paraId="3FE9A66F" w14:textId="77777777" w:rsidR="00466152" w:rsidRPr="00A259BD" w:rsidRDefault="00466152" w:rsidP="009236E3">
      <w:pPr>
        <w:pStyle w:val="ae"/>
        <w:spacing w:before="0" w:after="0"/>
        <w:jc w:val="both"/>
        <w:rPr>
          <w:color w:val="000000" w:themeColor="text1"/>
          <w:sz w:val="16"/>
          <w:szCs w:val="16"/>
        </w:rPr>
      </w:pPr>
      <w:proofErr w:type="spellStart"/>
      <w:r w:rsidRPr="00A259BD">
        <w:rPr>
          <w:rStyle w:val="af0"/>
          <w:i w:val="0"/>
          <w:color w:val="000000" w:themeColor="text1"/>
          <w:sz w:val="16"/>
          <w:szCs w:val="16"/>
        </w:rPr>
        <w:t>Врид</w:t>
      </w:r>
      <w:proofErr w:type="spellEnd"/>
      <w:r w:rsidRPr="00A259BD">
        <w:rPr>
          <w:rStyle w:val="af0"/>
          <w:i w:val="0"/>
          <w:color w:val="000000" w:themeColor="text1"/>
          <w:sz w:val="16"/>
          <w:szCs w:val="16"/>
        </w:rPr>
        <w:t xml:space="preserve"> председателя правления </w:t>
      </w:r>
      <w:hyperlink r:id="rId205" w:history="1">
        <w:r w:rsidRPr="00A259BD">
          <w:rPr>
            <w:rStyle w:val="af0"/>
            <w:i w:val="0"/>
            <w:color w:val="000000" w:themeColor="text1"/>
            <w:sz w:val="16"/>
            <w:szCs w:val="16"/>
          </w:rPr>
          <w:t>Северов-Одоевский</w:t>
        </w:r>
      </w:hyperlink>
    </w:p>
    <w:p w14:paraId="01A2B7CF" w14:textId="77777777" w:rsidR="00466152" w:rsidRPr="00A259BD" w:rsidRDefault="00466152"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Главный инженер по моторостроению </w:t>
      </w:r>
      <w:proofErr w:type="spellStart"/>
      <w:r w:rsidRPr="00A259BD">
        <w:rPr>
          <w:rStyle w:val="af0"/>
          <w:i w:val="0"/>
          <w:color w:val="000000" w:themeColor="text1"/>
          <w:sz w:val="16"/>
          <w:szCs w:val="16"/>
        </w:rPr>
        <w:t>Макарук</w:t>
      </w:r>
      <w:proofErr w:type="spellEnd"/>
    </w:p>
    <w:p w14:paraId="5A723E9D" w14:textId="77777777" w:rsidR="00466152" w:rsidRPr="00A259BD" w:rsidRDefault="00466152"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r w:rsidRPr="00A259BD">
        <w:rPr>
          <w:color w:val="000000" w:themeColor="text1"/>
          <w:sz w:val="16"/>
          <w:szCs w:val="16"/>
        </w:rPr>
        <w:t>:</w:t>
      </w:r>
    </w:p>
    <w:p w14:paraId="6BD8F2A3" w14:textId="77777777" w:rsidR="00466152" w:rsidRPr="00A259BD" w:rsidRDefault="00466152" w:rsidP="009236E3">
      <w:pPr>
        <w:pStyle w:val="ae"/>
        <w:spacing w:before="0" w:after="0"/>
        <w:jc w:val="both"/>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Датируется по сопроводительному письму.</w:t>
      </w:r>
    </w:p>
    <w:p w14:paraId="7CE14834"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Опущен раздел II о количестве материалов, полученных от фирм, и количестве обучающихся за границей специалистов.</w:t>
      </w:r>
    </w:p>
    <w:p w14:paraId="699BEFCB" w14:textId="77777777" w:rsidR="00466152" w:rsidRPr="00A259BD" w:rsidRDefault="00466152" w:rsidP="009236E3">
      <w:pPr>
        <w:pStyle w:val="ae"/>
        <w:spacing w:before="0" w:after="0"/>
        <w:jc w:val="both"/>
        <w:rPr>
          <w:color w:val="000000" w:themeColor="text1"/>
          <w:sz w:val="16"/>
          <w:szCs w:val="16"/>
        </w:rPr>
      </w:pPr>
      <w:r w:rsidRPr="00A259BD">
        <w:rPr>
          <w:color w:val="000000" w:themeColor="text1"/>
          <w:sz w:val="16"/>
          <w:szCs w:val="16"/>
        </w:rPr>
        <w:t>РГАЭ. Ф. 2097. Оп. 1. Д. 933. Л. 4—4 об., З об.—1. Подлинник.</w:t>
      </w:r>
    </w:p>
    <w:p w14:paraId="1E4B3729"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2097. Оп. 1. Д. 933. Л. 4—4 об., 3 об.—1. Подлинник. </w:t>
      </w:r>
    </w:p>
    <w:p w14:paraId="468FCF66"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373-377 (12472).</w:t>
      </w:r>
    </w:p>
    <w:p w14:paraId="16145C0A" w14:textId="77777777" w:rsidR="00466152" w:rsidRPr="00A259BD" w:rsidRDefault="00466152" w:rsidP="009236E3">
      <w:pPr>
        <w:spacing w:after="0" w:line="240" w:lineRule="auto"/>
        <w:jc w:val="both"/>
        <w:rPr>
          <w:rFonts w:ascii="Times New Roman" w:hAnsi="Times New Roman"/>
          <w:color w:val="000000" w:themeColor="text1"/>
          <w:sz w:val="16"/>
          <w:szCs w:val="16"/>
        </w:rPr>
      </w:pPr>
    </w:p>
    <w:p w14:paraId="261BB943" w14:textId="77777777" w:rsidR="00F547C5" w:rsidRPr="00A259BD" w:rsidRDefault="002E2A19"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09EF9B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DDE81B3"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20 октября 1929 </w:t>
      </w:r>
      <w:r w:rsidRPr="00A259BD">
        <w:rPr>
          <w:rFonts w:ascii="Times New Roman" w:hAnsi="Times New Roman"/>
          <w:color w:val="000000" w:themeColor="text1"/>
          <w:sz w:val="16"/>
          <w:szCs w:val="16"/>
        </w:rPr>
        <w:t>Политбюро ЦКВКП (б) одобрило в основном проект директив СНК по контрольным цифрам на 1929/30 г., установив размер снижения себестоимости продукции промышленности на 11%; сочло тезисы А. И. Рыкова по контрольным цифрам на 1929/30 г. неудовлетворительными из-за отсутствия политической характеристики правого уклона и назначило докладчиками на Пленум ЦК ВКП (б) Г. М. Кржижановского и В. В. Куйбышева (12265).</w:t>
      </w:r>
    </w:p>
    <w:p w14:paraId="1C228DEA"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СТО принял постановление «О сверхлимитном строительстве холодильных предприятий» (12265).</w:t>
      </w:r>
    </w:p>
    <w:p w14:paraId="74AB1455" w14:textId="77777777" w:rsidR="00466152" w:rsidRPr="00A259BD" w:rsidRDefault="00466152" w:rsidP="009236E3">
      <w:pPr>
        <w:spacing w:after="0" w:line="240" w:lineRule="auto"/>
        <w:jc w:val="both"/>
        <w:rPr>
          <w:rFonts w:ascii="Times New Roman" w:hAnsi="Times New Roman"/>
          <w:color w:val="000000" w:themeColor="text1"/>
          <w:sz w:val="16"/>
          <w:szCs w:val="16"/>
        </w:rPr>
      </w:pPr>
    </w:p>
    <w:p w14:paraId="623808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октября [3.89] 1929 в Москве финишировал Первый Всесоюзный пробег советских мото</w:t>
      </w:r>
      <w:r w:rsidRPr="00A259BD">
        <w:rPr>
          <w:rFonts w:ascii="Times New Roman" w:hAnsi="Times New Roman"/>
          <w:color w:val="000000" w:themeColor="text1"/>
          <w:sz w:val="16"/>
          <w:szCs w:val="16"/>
        </w:rPr>
        <w:softHyphen/>
        <w:t>циклов. Происходило это под дож</w:t>
      </w:r>
      <w:r w:rsidRPr="00A259BD">
        <w:rPr>
          <w:rFonts w:ascii="Times New Roman" w:hAnsi="Times New Roman"/>
          <w:color w:val="000000" w:themeColor="text1"/>
          <w:sz w:val="16"/>
          <w:szCs w:val="16"/>
        </w:rPr>
        <w:softHyphen/>
        <w:t>дём. Грязные, вымокшие, но радостные участники выстроили свои мотоциклы на Советской площади (ныне Тверская) на том самом месте, где теперь стоит памятник Юрию Долгорукому. Здесь и состоялся митинг. Мотоциклистов приветствовали пред</w:t>
      </w:r>
      <w:r w:rsidRPr="00A259BD">
        <w:rPr>
          <w:rFonts w:ascii="Times New Roman" w:hAnsi="Times New Roman"/>
          <w:color w:val="000000" w:themeColor="text1"/>
          <w:sz w:val="16"/>
          <w:szCs w:val="16"/>
        </w:rPr>
        <w:softHyphen/>
        <w:t xml:space="preserve">ставители различных организаций, в том числе Моссовета и МК ВКП(б). От имени </w:t>
      </w:r>
      <w:proofErr w:type="spellStart"/>
      <w:r w:rsidRPr="00A259BD">
        <w:rPr>
          <w:rFonts w:ascii="Times New Roman" w:hAnsi="Times New Roman"/>
          <w:color w:val="000000" w:themeColor="text1"/>
          <w:sz w:val="16"/>
          <w:szCs w:val="16"/>
        </w:rPr>
        <w:t>ИОЗа</w:t>
      </w:r>
      <w:proofErr w:type="spellEnd"/>
      <w:r w:rsidRPr="00A259BD">
        <w:rPr>
          <w:rFonts w:ascii="Times New Roman" w:hAnsi="Times New Roman"/>
          <w:color w:val="000000" w:themeColor="text1"/>
          <w:sz w:val="16"/>
          <w:szCs w:val="16"/>
        </w:rPr>
        <w:t xml:space="preserve"> выступил рабочий Петров, заверив</w:t>
      </w:r>
      <w:r w:rsidRPr="00A259BD">
        <w:rPr>
          <w:rFonts w:ascii="Times New Roman" w:hAnsi="Times New Roman"/>
          <w:color w:val="000000" w:themeColor="text1"/>
          <w:sz w:val="16"/>
          <w:szCs w:val="16"/>
        </w:rPr>
        <w:softHyphen/>
        <w:t>ший, что новые ижевские мотоциклы будут ещё лучше. Все вер</w:t>
      </w:r>
      <w:r w:rsidRPr="00A259BD">
        <w:rPr>
          <w:rFonts w:ascii="Times New Roman" w:hAnsi="Times New Roman"/>
          <w:color w:val="000000" w:themeColor="text1"/>
          <w:sz w:val="16"/>
          <w:szCs w:val="16"/>
        </w:rPr>
        <w:softHyphen/>
        <w:t>нувшиеся из пробега мотоциклы вымыли до блеска и выставили для широкого обозрения под застеклёнными сводами Централь</w:t>
      </w:r>
      <w:r w:rsidRPr="00A259BD">
        <w:rPr>
          <w:rFonts w:ascii="Times New Roman" w:hAnsi="Times New Roman"/>
          <w:color w:val="000000" w:themeColor="text1"/>
          <w:sz w:val="16"/>
          <w:szCs w:val="16"/>
        </w:rPr>
        <w:softHyphen/>
        <w:t xml:space="preserve">ного пассажа (ныне здание ГУМа). Перед посетителями этой импровизированной выставки неоднократно выступал П.В. Мо-жаров. Он рассказывал о </w:t>
      </w:r>
      <w:proofErr w:type="spellStart"/>
      <w:r w:rsidRPr="00A259BD">
        <w:rPr>
          <w:rFonts w:ascii="Times New Roman" w:hAnsi="Times New Roman"/>
          <w:color w:val="000000" w:themeColor="text1"/>
          <w:sz w:val="16"/>
          <w:szCs w:val="16"/>
        </w:rPr>
        <w:t>мотоциклостроении</w:t>
      </w:r>
      <w:proofErr w:type="spellEnd"/>
      <w:r w:rsidRPr="00A259BD">
        <w:rPr>
          <w:rFonts w:ascii="Times New Roman" w:hAnsi="Times New Roman"/>
          <w:color w:val="000000" w:themeColor="text1"/>
          <w:sz w:val="16"/>
          <w:szCs w:val="16"/>
        </w:rPr>
        <w:t xml:space="preserve"> за рубежом, раз</w:t>
      </w:r>
      <w:r w:rsidRPr="00A259BD">
        <w:rPr>
          <w:rFonts w:ascii="Times New Roman" w:hAnsi="Times New Roman"/>
          <w:color w:val="000000" w:themeColor="text1"/>
          <w:sz w:val="16"/>
          <w:szCs w:val="16"/>
        </w:rPr>
        <w:softHyphen/>
        <w:t>работке экспериментальных ижевских мотоциклов, сроках и особенностях их создания. Выставку посетило более 200 тыс. че</w:t>
      </w:r>
      <w:r w:rsidRPr="00A259BD">
        <w:rPr>
          <w:rFonts w:ascii="Times New Roman" w:hAnsi="Times New Roman"/>
          <w:color w:val="000000" w:themeColor="text1"/>
          <w:sz w:val="16"/>
          <w:szCs w:val="16"/>
        </w:rPr>
        <w:softHyphen/>
        <w:t>ловек [3.90]. Посетители и иностранные атташе осматривали уникальную выставку и восторгались самой красивой машиной - ИЖ-1, ди</w:t>
      </w:r>
      <w:r w:rsidRPr="00A259BD">
        <w:rPr>
          <w:rFonts w:ascii="Times New Roman" w:hAnsi="Times New Roman"/>
          <w:color w:val="000000" w:themeColor="text1"/>
          <w:sz w:val="16"/>
          <w:szCs w:val="16"/>
        </w:rPr>
        <w:softHyphen/>
        <w:t>зайн которой произвёл особенно сильное впечатление на зару</w:t>
      </w:r>
      <w:r w:rsidRPr="00A259BD">
        <w:rPr>
          <w:rFonts w:ascii="Times New Roman" w:hAnsi="Times New Roman"/>
          <w:color w:val="000000" w:themeColor="text1"/>
          <w:sz w:val="16"/>
          <w:szCs w:val="16"/>
        </w:rPr>
        <w:softHyphen/>
        <w:t>бежных наблюдателей. Некоторые из них, например японский атташе, считал, что в СССР создали новый грозный армейский мотоцикл. А экспертная комиссия уделила наибольшее внимание малютке ИЖ-4. В пробеге эта машина получила наименьшее ко</w:t>
      </w:r>
      <w:r w:rsidRPr="00A259BD">
        <w:rPr>
          <w:rFonts w:ascii="Times New Roman" w:hAnsi="Times New Roman"/>
          <w:color w:val="000000" w:themeColor="text1"/>
          <w:sz w:val="16"/>
          <w:szCs w:val="16"/>
        </w:rPr>
        <w:softHyphen/>
        <w:t xml:space="preserve">личество штрафных баллов, в силу этого её признали лучшей и рекомендовали к освоению в серийном производстве на заводах Ижевска [3.91]. В целом впечатление от Ижевских мотоциклов было самое наилучшее. Руководство </w:t>
      </w:r>
      <w:proofErr w:type="spellStart"/>
      <w:r w:rsidRPr="00A259BD">
        <w:rPr>
          <w:rFonts w:ascii="Times New Roman" w:hAnsi="Times New Roman"/>
          <w:color w:val="000000" w:themeColor="text1"/>
          <w:sz w:val="16"/>
          <w:szCs w:val="16"/>
        </w:rPr>
        <w:t>АВТОДОРа</w:t>
      </w:r>
      <w:proofErr w:type="spellEnd"/>
      <w:r w:rsidRPr="00A259BD">
        <w:rPr>
          <w:rFonts w:ascii="Times New Roman" w:hAnsi="Times New Roman"/>
          <w:color w:val="000000" w:themeColor="text1"/>
          <w:sz w:val="16"/>
          <w:szCs w:val="16"/>
        </w:rPr>
        <w:t xml:space="preserve"> и некоторых наркоматов официально признало, что Первый Всесоюзный пробег совет</w:t>
      </w:r>
      <w:r w:rsidRPr="00A259BD">
        <w:rPr>
          <w:rFonts w:ascii="Times New Roman" w:hAnsi="Times New Roman"/>
          <w:color w:val="000000" w:themeColor="text1"/>
          <w:sz w:val="16"/>
          <w:szCs w:val="16"/>
        </w:rPr>
        <w:softHyphen/>
        <w:t>ских мотоциклов прошёл успешно (11429).</w:t>
      </w:r>
    </w:p>
    <w:p w14:paraId="1AA247F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AF7CBC"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октября 1929 г. состоялось первое заседание комитета содействия аэросанному строительству при Совете общества «Автодор». Комитетом был поднят вопрос об организации аэросанных транспортных линий. В числе первых, по инициативе руководства автономной республики, была организована линия в Чувашии. Для изучения вопроса об организации аэросанного сообщения в Чувашию осенью 1929 г. был командирован представитель «Автодора» A.B. Кузнецов (18640).</w:t>
      </w:r>
    </w:p>
    <w:p w14:paraId="0D51265F" w14:textId="77777777" w:rsidR="00F87646" w:rsidRPr="00A259BD" w:rsidRDefault="00F87646" w:rsidP="009236E3">
      <w:pPr>
        <w:spacing w:after="0" w:line="240" w:lineRule="auto"/>
        <w:jc w:val="both"/>
        <w:rPr>
          <w:rFonts w:ascii="Times New Roman" w:hAnsi="Times New Roman"/>
          <w:color w:val="000000" w:themeColor="text1"/>
          <w:sz w:val="16"/>
          <w:szCs w:val="16"/>
        </w:rPr>
      </w:pPr>
    </w:p>
    <w:p w14:paraId="7D39B777"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A404FD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043851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20 октября 1929 ЦК ВКП(б) официально провозгласил сплошную коллективизацию (4962).</w:t>
      </w:r>
    </w:p>
    <w:p w14:paraId="395637C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A66E0A"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AD845F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00970D" w14:textId="77777777" w:rsidR="00FF3387" w:rsidRPr="00A259BD" w:rsidRDefault="00FF3387"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 xml:space="preserve">20 октября </w:t>
      </w:r>
      <w:r w:rsidRPr="00A259BD">
        <w:rPr>
          <w:rFonts w:ascii="Times New Roman" w:hAnsi="Times New Roman"/>
          <w:color w:val="000000" w:themeColor="text1"/>
          <w:sz w:val="16"/>
          <w:szCs w:val="16"/>
        </w:rPr>
        <w:t>в 1929 году в Германии над Баденским озером совершил испытательный полет гигантский гидросамолет, летающая лодка "Дорнье D-X" с 169-ю пассажирами на борту. Уникальная машина конструкции Клода Дорнье имела 12 двигателей мощностью по 450 л.с. Самолет длинною 40 метров и размахом крыла 47.9 метров имел 3 этажа при массе 55880 кг. Максимальная скорость составляла 215 км/ч. За всю истории авиации это вторая по размерам летающая лодка, более крупная машина "Геркулес" была построена в США и совершила первый полет в 1947 году (14805).</w:t>
      </w:r>
    </w:p>
    <w:p w14:paraId="6FAFBFD6" w14:textId="77777777" w:rsidR="00FF3387" w:rsidRPr="00A259BD" w:rsidRDefault="00FF3387" w:rsidP="009236E3">
      <w:pPr>
        <w:spacing w:after="0" w:line="240" w:lineRule="auto"/>
        <w:jc w:val="both"/>
        <w:rPr>
          <w:rFonts w:ascii="Times New Roman" w:hAnsi="Times New Roman"/>
          <w:color w:val="000000" w:themeColor="text1"/>
          <w:sz w:val="16"/>
          <w:szCs w:val="16"/>
        </w:rPr>
      </w:pPr>
    </w:p>
    <w:p w14:paraId="445F6715" w14:textId="77777777" w:rsidR="00FF3387" w:rsidRPr="00A259BD" w:rsidRDefault="00FF3387" w:rsidP="009236E3">
      <w:pPr>
        <w:spacing w:after="0" w:line="240" w:lineRule="auto"/>
        <w:jc w:val="both"/>
        <w:rPr>
          <w:rStyle w:val="ucoz-forum-post"/>
          <w:rFonts w:ascii="Times New Roman" w:eastAsiaTheme="majorEastAsia"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20 октября 1929 года</w:t>
      </w:r>
      <w:r w:rsidRPr="00A259BD">
        <w:rPr>
          <w:rStyle w:val="ucoz-forum-post"/>
          <w:rFonts w:ascii="Times New Roman" w:eastAsiaTheme="majorEastAsia" w:hAnsi="Times New Roman"/>
          <w:color w:val="000000" w:themeColor="text1"/>
          <w:sz w:val="16"/>
          <w:szCs w:val="16"/>
        </w:rPr>
        <w:t xml:space="preserve"> Первый полет </w:t>
      </w:r>
      <w:proofErr w:type="spellStart"/>
      <w:r w:rsidRPr="00A259BD">
        <w:rPr>
          <w:rStyle w:val="ucoz-forum-post"/>
          <w:rFonts w:ascii="Times New Roman" w:eastAsiaTheme="majorEastAsia" w:hAnsi="Times New Roman"/>
          <w:color w:val="000000" w:themeColor="text1"/>
          <w:sz w:val="16"/>
          <w:szCs w:val="16"/>
        </w:rPr>
        <w:t>двенадцатимоторной</w:t>
      </w:r>
      <w:proofErr w:type="spellEnd"/>
      <w:r w:rsidRPr="00A259BD">
        <w:rPr>
          <w:rStyle w:val="ucoz-forum-post"/>
          <w:rFonts w:ascii="Times New Roman" w:eastAsiaTheme="majorEastAsia" w:hAnsi="Times New Roman"/>
          <w:color w:val="000000" w:themeColor="text1"/>
          <w:sz w:val="16"/>
          <w:szCs w:val="16"/>
        </w:rPr>
        <w:t xml:space="preserve"> летающей лодки «Дорнье-Х» над озером Боден-</w:t>
      </w:r>
      <w:proofErr w:type="spellStart"/>
      <w:r w:rsidRPr="00A259BD">
        <w:rPr>
          <w:rStyle w:val="ucoz-forum-post"/>
          <w:rFonts w:ascii="Times New Roman" w:eastAsiaTheme="majorEastAsia" w:hAnsi="Times New Roman"/>
          <w:color w:val="000000" w:themeColor="text1"/>
          <w:sz w:val="16"/>
          <w:szCs w:val="16"/>
        </w:rPr>
        <w:t>зее</w:t>
      </w:r>
      <w:proofErr w:type="spellEnd"/>
      <w:r w:rsidRPr="00A259BD">
        <w:rPr>
          <w:rStyle w:val="ucoz-forum-post"/>
          <w:rFonts w:ascii="Times New Roman" w:eastAsiaTheme="majorEastAsia" w:hAnsi="Times New Roman"/>
          <w:color w:val="000000" w:themeColor="text1"/>
          <w:sz w:val="16"/>
          <w:szCs w:val="16"/>
        </w:rPr>
        <w:t xml:space="preserve"> со 169 пассажирами на борту (14805) (14805).</w:t>
      </w:r>
    </w:p>
    <w:p w14:paraId="1B0271AA" w14:textId="77777777" w:rsidR="00FF3387" w:rsidRPr="00A259BD" w:rsidRDefault="00FF3387" w:rsidP="009236E3">
      <w:pPr>
        <w:spacing w:after="0" w:line="240" w:lineRule="auto"/>
        <w:jc w:val="both"/>
        <w:rPr>
          <w:rStyle w:val="ucoz-forum-post"/>
          <w:rFonts w:ascii="Times New Roman" w:eastAsiaTheme="majorEastAsia" w:hAnsi="Times New Roman"/>
          <w:color w:val="000000" w:themeColor="text1"/>
          <w:sz w:val="16"/>
          <w:szCs w:val="16"/>
        </w:rPr>
      </w:pPr>
    </w:p>
    <w:p w14:paraId="47CF42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октября 1929 состоялся часовой полет Do-X над Баденским озером со 169 чел. на борту (223,48).</w:t>
      </w:r>
    </w:p>
    <w:p w14:paraId="754472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21A9766" w14:textId="77777777" w:rsidR="001333D7" w:rsidRPr="00A259BD" w:rsidRDefault="001333D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октября 1929 начал работать аэродром военно-морской авиабазы </w:t>
      </w:r>
      <w:proofErr w:type="spellStart"/>
      <w:r w:rsidRPr="00A259BD">
        <w:rPr>
          <w:rFonts w:ascii="Times New Roman" w:hAnsi="Times New Roman"/>
          <w:color w:val="000000" w:themeColor="text1"/>
          <w:sz w:val="16"/>
          <w:szCs w:val="16"/>
        </w:rPr>
        <w:t>Гленвью</w:t>
      </w:r>
      <w:proofErr w:type="spellEnd"/>
      <w:r w:rsidRPr="00A259BD">
        <w:rPr>
          <w:rFonts w:ascii="Times New Roman" w:hAnsi="Times New Roman"/>
          <w:color w:val="000000" w:themeColor="text1"/>
          <w:sz w:val="16"/>
          <w:szCs w:val="16"/>
        </w:rPr>
        <w:t xml:space="preserve">, расположенный в </w:t>
      </w:r>
      <w:proofErr w:type="spellStart"/>
      <w:r w:rsidRPr="00A259BD">
        <w:rPr>
          <w:rFonts w:ascii="Times New Roman" w:hAnsi="Times New Roman"/>
          <w:color w:val="000000" w:themeColor="text1"/>
          <w:sz w:val="16"/>
          <w:szCs w:val="16"/>
        </w:rPr>
        <w:t>Гленвью</w:t>
      </w:r>
      <w:proofErr w:type="spellEnd"/>
      <w:r w:rsidRPr="00A259BD">
        <w:rPr>
          <w:rFonts w:ascii="Times New Roman" w:hAnsi="Times New Roman"/>
          <w:color w:val="000000" w:themeColor="text1"/>
          <w:sz w:val="16"/>
          <w:szCs w:val="16"/>
        </w:rPr>
        <w:t>, штат Иллинойс, а его ангар считается самым большим в мире (20806).</w:t>
      </w:r>
    </w:p>
    <w:p w14:paraId="412EEFA8" w14:textId="77777777" w:rsidR="001333D7" w:rsidRPr="00A259BD" w:rsidRDefault="001333D7" w:rsidP="009236E3">
      <w:pPr>
        <w:spacing w:after="0" w:line="240" w:lineRule="auto"/>
        <w:jc w:val="both"/>
        <w:rPr>
          <w:rFonts w:ascii="Times New Roman" w:hAnsi="Times New Roman"/>
          <w:color w:val="000000" w:themeColor="text1"/>
          <w:sz w:val="16"/>
          <w:szCs w:val="16"/>
        </w:rPr>
      </w:pPr>
    </w:p>
    <w:p w14:paraId="5DED236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D74461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B1BD1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октября 1929 года была подготовлена Выписка из журнала Технической секции НТК:</w:t>
      </w:r>
    </w:p>
    <w:p w14:paraId="5DB0FCF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предварительном проекте Р7-БМВVIZ</w:t>
      </w:r>
    </w:p>
    <w:p w14:paraId="69E4899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представляет собой одномоторный полутораплан. Самолет находится в стадии окончания постройки и строился по утвержденным НТК техническим требованиям как армейский разведчик, но может быть приспособлен как легкий бомбардировщик (6951, 1-5).</w:t>
      </w:r>
    </w:p>
    <w:p w14:paraId="7F7FFA4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B0DF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октября 1929 ЦАГИ ответил письмом N 597с на письмо УВВС, отправленное 4 сентября 1929 за N 168с:</w:t>
      </w:r>
    </w:p>
    <w:p w14:paraId="7B73ED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"ЦАГИ при сем препровождает Вам увязанный им с производственными возможностями пятилетний план опытного самолетостроения и к нему ориентировочную смету стоимости указанных в плане работ." Подписал Зам директора Института Петренко, Зав. Отделом АГОС А.Н.Т. (351).</w:t>
      </w:r>
    </w:p>
    <w:p w14:paraId="2966A3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8999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октября 1929 состоялось заседание подкомиссии правительственной комиссии т. </w:t>
      </w:r>
      <w:proofErr w:type="spellStart"/>
      <w:r w:rsidRPr="00A259BD">
        <w:rPr>
          <w:rFonts w:ascii="Times New Roman" w:hAnsi="Times New Roman"/>
          <w:color w:val="000000" w:themeColor="text1"/>
          <w:sz w:val="16"/>
          <w:szCs w:val="16"/>
        </w:rPr>
        <w:t>Уншлихта</w:t>
      </w:r>
      <w:proofErr w:type="spellEnd"/>
      <w:r w:rsidRPr="00A259BD">
        <w:rPr>
          <w:rFonts w:ascii="Times New Roman" w:hAnsi="Times New Roman"/>
          <w:color w:val="000000" w:themeColor="text1"/>
          <w:sz w:val="16"/>
          <w:szCs w:val="16"/>
        </w:rPr>
        <w:t xml:space="preserve"> "Об усилении опытного строительства и конструкторских работ по самолетам, моторам, авиационному вооружению и оборудованию". От УВВС были </w:t>
      </w:r>
      <w:proofErr w:type="spellStart"/>
      <w:r w:rsidRPr="00A259BD">
        <w:rPr>
          <w:rFonts w:ascii="Times New Roman" w:hAnsi="Times New Roman"/>
          <w:color w:val="000000" w:themeColor="text1"/>
          <w:sz w:val="16"/>
          <w:szCs w:val="16"/>
        </w:rPr>
        <w:t>Я.И.Алкснис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Н.М.Харламов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С.В.Ильюшин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Агокас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Соколоверов</w:t>
      </w:r>
      <w:proofErr w:type="spellEnd"/>
      <w:r w:rsidRPr="00A259BD">
        <w:rPr>
          <w:rFonts w:ascii="Times New Roman" w:hAnsi="Times New Roman"/>
          <w:color w:val="000000" w:themeColor="text1"/>
          <w:sz w:val="16"/>
          <w:szCs w:val="16"/>
        </w:rPr>
        <w:t xml:space="preserve">. От ЦАГИ - А.Н.Т. и Петренко. От НАМИ - Гроза и </w:t>
      </w:r>
      <w:proofErr w:type="spellStart"/>
      <w:r w:rsidRPr="00A259BD">
        <w:rPr>
          <w:rFonts w:ascii="Times New Roman" w:hAnsi="Times New Roman"/>
          <w:color w:val="000000" w:themeColor="text1"/>
          <w:sz w:val="16"/>
          <w:szCs w:val="16"/>
        </w:rPr>
        <w:t>А.Д.Чаромский</w:t>
      </w:r>
      <w:proofErr w:type="spellEnd"/>
      <w:r w:rsidRPr="00A259BD">
        <w:rPr>
          <w:rFonts w:ascii="Times New Roman" w:hAnsi="Times New Roman"/>
          <w:color w:val="000000" w:themeColor="text1"/>
          <w:sz w:val="16"/>
          <w:szCs w:val="16"/>
        </w:rPr>
        <w:t xml:space="preserve"> (351).</w:t>
      </w:r>
    </w:p>
    <w:p w14:paraId="76DCB3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E29B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октября 1929 г. в соответствии с пост. СТО начато строительство заводов авиационного вооружения «В» и подсобного моторостроения «П» (есть упоминание, что строительство начато на базе </w:t>
      </w:r>
      <w:proofErr w:type="spellStart"/>
      <w:r w:rsidRPr="00A259BD">
        <w:rPr>
          <w:rFonts w:ascii="Times New Roman" w:hAnsi="Times New Roman"/>
          <w:color w:val="000000" w:themeColor="text1"/>
          <w:sz w:val="16"/>
          <w:szCs w:val="16"/>
        </w:rPr>
        <w:t>плугостроительного</w:t>
      </w:r>
      <w:proofErr w:type="spellEnd"/>
      <w:r w:rsidRPr="00A259BD">
        <w:rPr>
          <w:rFonts w:ascii="Times New Roman" w:hAnsi="Times New Roman"/>
          <w:color w:val="000000" w:themeColor="text1"/>
          <w:sz w:val="16"/>
          <w:szCs w:val="16"/>
        </w:rPr>
        <w:t xml:space="preserve"> завода, основанного 2.08.1904 г.</w:t>
      </w:r>
      <w:r w:rsidRPr="00A259BD">
        <w:rPr>
          <w:rFonts w:ascii="Times New Roman" w:hAnsi="Times New Roman"/>
          <w:color w:val="000000" w:themeColor="text1"/>
          <w:sz w:val="16"/>
          <w:szCs w:val="16"/>
          <w:vertAlign w:val="superscript"/>
        </w:rPr>
        <w:t>143</w:t>
      </w:r>
      <w:r w:rsidRPr="00A259BD">
        <w:rPr>
          <w:rFonts w:ascii="Times New Roman" w:hAnsi="Times New Roman"/>
          <w:color w:val="000000" w:themeColor="text1"/>
          <w:sz w:val="16"/>
          <w:szCs w:val="16"/>
        </w:rPr>
        <w:t>)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w:t>
      </w:r>
      <w:proofErr w:type="spellStart"/>
      <w:r w:rsidRPr="00A259BD">
        <w:rPr>
          <w:rFonts w:ascii="Times New Roman" w:hAnsi="Times New Roman"/>
          <w:color w:val="000000" w:themeColor="text1"/>
          <w:sz w:val="16"/>
          <w:szCs w:val="16"/>
        </w:rPr>
        <w:t>Омскагрегат</w:t>
      </w:r>
      <w:proofErr w:type="spellEnd"/>
      <w:r w:rsidRPr="00A259BD">
        <w:rPr>
          <w:rFonts w:ascii="Times New Roman" w:hAnsi="Times New Roman"/>
          <w:color w:val="000000" w:themeColor="text1"/>
          <w:sz w:val="16"/>
          <w:szCs w:val="16"/>
        </w:rPr>
        <w:t xml:space="preserve">» / г. Москва </w:t>
      </w:r>
      <w:proofErr w:type="spellStart"/>
      <w:r w:rsidRPr="00A259BD">
        <w:rPr>
          <w:rFonts w:ascii="Times New Roman" w:hAnsi="Times New Roman"/>
          <w:color w:val="000000" w:themeColor="text1"/>
          <w:sz w:val="16"/>
          <w:szCs w:val="16"/>
        </w:rPr>
        <w:t>Старопетровский</w:t>
      </w:r>
      <w:proofErr w:type="spellEnd"/>
      <w:r w:rsidRPr="00A259BD">
        <w:rPr>
          <w:rFonts w:ascii="Times New Roman" w:hAnsi="Times New Roman"/>
          <w:color w:val="000000" w:themeColor="text1"/>
          <w:sz w:val="16"/>
          <w:szCs w:val="16"/>
        </w:rPr>
        <w:t xml:space="preserve"> пр., 41;  г. Омск/ /644007  г. Омск ул. Герцена, 48 тел. 25-05-88,25-12-97/). На основании пр. ВСНХ/НКВМ/ОГПУ № 73сс от 9.07.1927 г. приказом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 23 от 10.11.1929 г. объединенным новостройкам присвоено наименование «завод № 20». В конце 1930 г., еще до сдачи в эксплуатацию заводу был установлен новый профиль - моторные и самолетные нормали, моторные насосы, для чего завод был перепроектирован. С 1930 г. - в ведении ВАО ВСНХ, с 1932 г. - в моторном тресте ГУАП НКТП. В 02.1937 г. - в ведении 1 ГУ НКОП, по пр. № </w:t>
      </w:r>
      <w:proofErr w:type="spellStart"/>
      <w:r w:rsidRPr="00A259BD">
        <w:rPr>
          <w:rFonts w:ascii="Times New Roman" w:hAnsi="Times New Roman"/>
          <w:color w:val="000000" w:themeColor="text1"/>
          <w:sz w:val="16"/>
          <w:szCs w:val="16"/>
        </w:rPr>
        <w:t>ЗЗсс</w:t>
      </w:r>
      <w:proofErr w:type="spellEnd"/>
      <w:r w:rsidRPr="00A259BD">
        <w:rPr>
          <w:rFonts w:ascii="Times New Roman" w:hAnsi="Times New Roman"/>
          <w:color w:val="000000" w:themeColor="text1"/>
          <w:sz w:val="16"/>
          <w:szCs w:val="16"/>
        </w:rPr>
        <w:t xml:space="preserve"> от 1/3.02.1938 г. передан в ведение созданного ГУ авиационного моторостроения, в 12.1938 г. - в ведении 18ГУ.</w:t>
      </w:r>
    </w:p>
    <w:p w14:paraId="0F6D6F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1931 г. пущена первая очередь завода, с 09.1931 г. - производство нормалей и водяных насосов для М- 17, бензонасосов «</w:t>
      </w:r>
      <w:proofErr w:type="spellStart"/>
      <w:r w:rsidRPr="00A259BD">
        <w:rPr>
          <w:rFonts w:ascii="Times New Roman" w:hAnsi="Times New Roman"/>
          <w:color w:val="000000" w:themeColor="text1"/>
          <w:sz w:val="16"/>
          <w:szCs w:val="16"/>
        </w:rPr>
        <w:t>Хорнет</w:t>
      </w:r>
      <w:proofErr w:type="spellEnd"/>
      <w:r w:rsidRPr="00A259BD">
        <w:rPr>
          <w:rFonts w:ascii="Times New Roman" w:hAnsi="Times New Roman"/>
          <w:color w:val="000000" w:themeColor="text1"/>
          <w:sz w:val="16"/>
          <w:szCs w:val="16"/>
        </w:rPr>
        <w:t xml:space="preserve">». С 04.1932 г. вступил в строй литейный цех, с 1934 г.- цех по производству клапанов, с 1935 г. начат выпуск поршневых колец. По пр. № 00276 от 20.12.1937 г. заводу поручено организовать производство агрегатов для М-62 (масляная и бензиновая помпа, маслофильтр, поршневые кольца, выпускные клапаны). С 1938 г. ликвидировано производство нормалей, и основной продукцией в </w:t>
      </w:r>
      <w:proofErr w:type="spellStart"/>
      <w:r w:rsidRPr="00A259BD">
        <w:rPr>
          <w:rFonts w:ascii="Times New Roman" w:hAnsi="Times New Roman"/>
          <w:color w:val="000000" w:themeColor="text1"/>
          <w:sz w:val="16"/>
          <w:szCs w:val="16"/>
        </w:rPr>
        <w:t>предвоеннй</w:t>
      </w:r>
      <w:proofErr w:type="spellEnd"/>
      <w:r w:rsidRPr="00A259BD">
        <w:rPr>
          <w:rFonts w:ascii="Times New Roman" w:hAnsi="Times New Roman"/>
          <w:color w:val="000000" w:themeColor="text1"/>
          <w:sz w:val="16"/>
          <w:szCs w:val="16"/>
        </w:rPr>
        <w:t xml:space="preserve"> период стали агрегаты: водяные насосы ВНМ-17, ВНШ-2, ВНАМ-35; маслонасосы МШ-2, МШ-8, МНМ-11, МНАМ-35, МК-1; бензонасосы БНК-10, БНК-12А, БК-1; помпы «88р»; маслофильтры МФМ-25; регуляторы оборотов в/винта Р-2, Р-7; клапаны и поршневые кольца для авиационных двигателей. Поршневые кольца изготовлялись по технологии американской фирмы "</w:t>
      </w:r>
      <w:r w:rsidRPr="00A259BD">
        <w:rPr>
          <w:rFonts w:ascii="Times New Roman" w:hAnsi="Times New Roman"/>
          <w:color w:val="000000" w:themeColor="text1"/>
          <w:sz w:val="16"/>
          <w:szCs w:val="16"/>
          <w:lang w:val="en-US"/>
        </w:rPr>
        <w:t>Wright</w:t>
      </w:r>
      <w:r w:rsidRPr="00A259BD">
        <w:rPr>
          <w:rFonts w:ascii="Times New Roman" w:hAnsi="Times New Roman"/>
          <w:color w:val="000000" w:themeColor="text1"/>
          <w:sz w:val="16"/>
          <w:szCs w:val="16"/>
        </w:rPr>
        <w:t>". По пр. № 329с от 8/17.08.1938 г. для обеспечения выпуска поршневых колец заводу было выделено 25 единиц оборудования, еще 1 станок был передан с завода № 24; на завод направлено 8 инженеров. Этим же приказом ГПИ-1 поручено разработать проект испытательной станции завода с готовностью ее к монтажу к концу года.</w:t>
      </w:r>
    </w:p>
    <w:p w14:paraId="744F22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1ADC63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пост. КО от 2.10.1939 г. в 1940 г. должна была быть завершена реконструкция завода.</w:t>
      </w:r>
    </w:p>
    <w:p w14:paraId="13DAD7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Перед войной в распоряжение завода переданы помещения расположенного рядом </w:t>
      </w:r>
      <w:proofErr w:type="spellStart"/>
      <w:r w:rsidRPr="00A259BD">
        <w:rPr>
          <w:rFonts w:ascii="Times New Roman" w:hAnsi="Times New Roman"/>
          <w:color w:val="000000" w:themeColor="text1"/>
          <w:sz w:val="16"/>
          <w:szCs w:val="16"/>
        </w:rPr>
        <w:t>лесотарного</w:t>
      </w:r>
      <w:proofErr w:type="spellEnd"/>
      <w:r w:rsidRPr="00A259BD">
        <w:rPr>
          <w:rFonts w:ascii="Times New Roman" w:hAnsi="Times New Roman"/>
          <w:color w:val="000000" w:themeColor="text1"/>
          <w:sz w:val="16"/>
          <w:szCs w:val="16"/>
        </w:rPr>
        <w:t xml:space="preserve"> завода НКПП (</w:t>
      </w:r>
      <w:proofErr w:type="spellStart"/>
      <w:r w:rsidRPr="00A259BD">
        <w:rPr>
          <w:rFonts w:ascii="Times New Roman" w:hAnsi="Times New Roman"/>
          <w:color w:val="000000" w:themeColor="text1"/>
          <w:sz w:val="16"/>
          <w:szCs w:val="16"/>
        </w:rPr>
        <w:t>Старопетровский</w:t>
      </w:r>
      <w:proofErr w:type="spellEnd"/>
      <w:r w:rsidRPr="00A259BD">
        <w:rPr>
          <w:rFonts w:ascii="Times New Roman" w:hAnsi="Times New Roman"/>
          <w:color w:val="000000" w:themeColor="text1"/>
          <w:sz w:val="16"/>
          <w:szCs w:val="16"/>
        </w:rPr>
        <w:t xml:space="preserve"> пр., 3).</w:t>
      </w:r>
    </w:p>
    <w:p w14:paraId="4D89D8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Постановлению ГКО № 741с от 8.10.1941 г. и приказам № 660сс от 9.07.1941 г. и № 1053сс от 9.10.1941 г. завод эвакуирован в  г. Омск на площадку своего филиала, складов Сибирского военного округа № 25 и площадку завода № 495 НКАП. Здесь приказом № 1093с от 4.11.1941 г. объединен с заводом № 495 НКАП в единый завод № 20 НКАП. Часть завода планировалось перевести на площадку завода № 283 НКАП в Ульяновск. Производство клапанов было эвакуировано на моторные заводы (в т.ч. на завод № 24).</w:t>
      </w:r>
    </w:p>
    <w:p w14:paraId="3C31B4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годы ВОВ производство: бензонасосов БНК-6, БНК-10, БНК-12; маслонасосов МШ-3, МШ-5, МШ-8, МНМ- 11; регуляторов оборотов Р-2, Р-7, Р-10.</w:t>
      </w:r>
    </w:p>
    <w:p w14:paraId="59DCD3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площадке эвакуированного завода в Москве по приказу № 46с от 17.01.1942 г. образованы Агрегатные ремонтные мастерские. В 04.1942 г. на их базе организован новый агрегатный завод № 451 НКАП при 4ГУ, переведенный позже на площадку бывшего завода № 132 НКАП. По приказу № 424с от 7.06.1942 г. на площадку завода № 20 со всем оборудованием, материалами и личным составом был переведен завод № 41 НКАП. Одновременно помещения </w:t>
      </w:r>
      <w:proofErr w:type="spellStart"/>
      <w:r w:rsidRPr="00A259BD">
        <w:rPr>
          <w:rFonts w:ascii="Times New Roman" w:hAnsi="Times New Roman"/>
          <w:color w:val="000000" w:themeColor="text1"/>
          <w:sz w:val="16"/>
          <w:szCs w:val="16"/>
        </w:rPr>
        <w:t>лесотарного</w:t>
      </w:r>
      <w:proofErr w:type="spellEnd"/>
      <w:r w:rsidRPr="00A259BD">
        <w:rPr>
          <w:rFonts w:ascii="Times New Roman" w:hAnsi="Times New Roman"/>
          <w:color w:val="000000" w:themeColor="text1"/>
          <w:sz w:val="16"/>
          <w:szCs w:val="16"/>
        </w:rPr>
        <w:t xml:space="preserve"> завода (</w:t>
      </w:r>
      <w:proofErr w:type="spellStart"/>
      <w:r w:rsidRPr="00A259BD">
        <w:rPr>
          <w:rFonts w:ascii="Times New Roman" w:hAnsi="Times New Roman"/>
          <w:color w:val="000000" w:themeColor="text1"/>
          <w:sz w:val="16"/>
          <w:szCs w:val="16"/>
        </w:rPr>
        <w:t>Старопетровский</w:t>
      </w:r>
      <w:proofErr w:type="spellEnd"/>
      <w:r w:rsidRPr="00A259BD">
        <w:rPr>
          <w:rFonts w:ascii="Times New Roman" w:hAnsi="Times New Roman"/>
          <w:color w:val="000000" w:themeColor="text1"/>
          <w:sz w:val="16"/>
          <w:szCs w:val="16"/>
        </w:rPr>
        <w:t xml:space="preserve"> пр., 3) переданы обратно в НКПП для налаживания производства корпусов авиабомб.</w:t>
      </w:r>
    </w:p>
    <w:p w14:paraId="079A08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03.1946 г. начато освоение производства насосов непосредственного впрыска НВ-21.</w:t>
      </w:r>
    </w:p>
    <w:p w14:paraId="3B45AB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1953 г. завод переведен из 4ГУ во 2ГУ, с 1.05.1956 г.- в ЗГУ. В соответствии с пост. СМ СССР № 713-342 от 26.06.1957 г. передан в ведение управления </w:t>
      </w:r>
      <w:proofErr w:type="spellStart"/>
      <w:r w:rsidRPr="00A259BD">
        <w:rPr>
          <w:rFonts w:ascii="Times New Roman" w:hAnsi="Times New Roman"/>
          <w:color w:val="000000" w:themeColor="text1"/>
          <w:sz w:val="16"/>
          <w:szCs w:val="16"/>
        </w:rPr>
        <w:t>агрегатостроения</w:t>
      </w:r>
      <w:proofErr w:type="spellEnd"/>
      <w:r w:rsidRPr="00A259BD">
        <w:rPr>
          <w:rFonts w:ascii="Times New Roman" w:hAnsi="Times New Roman"/>
          <w:color w:val="000000" w:themeColor="text1"/>
          <w:sz w:val="16"/>
          <w:szCs w:val="16"/>
        </w:rPr>
        <w:t xml:space="preserve"> Западно-Сибирского СНХ РСФСР (и в 1962 г.).</w:t>
      </w:r>
    </w:p>
    <w:p w14:paraId="7ADFE7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1980-м  г. завод стал крупнейшим в стране по изготовлению топливной автоматики для авиадвигателей и гидросистем </w:t>
      </w:r>
      <w:r w:rsidRPr="00A259BD">
        <w:rPr>
          <w:rFonts w:ascii="Times New Roman" w:hAnsi="Times New Roman"/>
          <w:color w:val="000000" w:themeColor="text1"/>
          <w:sz w:val="16"/>
          <w:szCs w:val="16"/>
          <w:lang w:val="en-US"/>
        </w:rPr>
        <w:t>JIA</w:t>
      </w:r>
      <w:r w:rsidRPr="00A259BD">
        <w:rPr>
          <w:rFonts w:ascii="Times New Roman" w:hAnsi="Times New Roman"/>
          <w:color w:val="000000" w:themeColor="text1"/>
          <w:sz w:val="16"/>
          <w:szCs w:val="16"/>
        </w:rPr>
        <w:t>.</w:t>
      </w:r>
    </w:p>
    <w:p w14:paraId="7AC3D0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452310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(2004 г.): топливных многофункциональных регуляторов, насосов шестеренчатых, плунжерных, центробежных, коловратных, гидроусилителей, дозаторов, различных клапанов; компрессоров к холодильникам; насосов для гидросистем тракторов, дорожных и подъемных машин, грузовых автомобилей и автобусов, гидроаппаратуры к зерновым комбайнам, для пищевой промышленности.</w:t>
      </w:r>
    </w:p>
    <w:p w14:paraId="6D4943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(1964 г.)- 7025 чел., (1.01.2001 г.)- 5500 чел.</w:t>
      </w:r>
    </w:p>
    <w:p w14:paraId="2EAB64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(1930 г.)- Бжезинский, (-06.1937-15.06.1938 г.)-  Г.З. Алмазов (снят за выпуск брака), (15.06- 12.1938 г.-)- Д.М. Соколов, (20.01.1939-41 г.)- И.Т. Борисов, (-06.1942-07.1943 г.-)- </w:t>
      </w:r>
      <w:r w:rsidRPr="00A259BD">
        <w:rPr>
          <w:rFonts w:ascii="Times New Roman" w:hAnsi="Times New Roman"/>
          <w:color w:val="000000" w:themeColor="text1"/>
          <w:sz w:val="16"/>
          <w:szCs w:val="16"/>
          <w:lang w:val="en-US"/>
        </w:rPr>
        <w:t>A</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M</w:t>
      </w: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Ивайкин</w:t>
      </w:r>
      <w:proofErr w:type="spellEnd"/>
      <w:r w:rsidRPr="00A259BD">
        <w:rPr>
          <w:rFonts w:ascii="Times New Roman" w:hAnsi="Times New Roman"/>
          <w:color w:val="000000" w:themeColor="text1"/>
          <w:sz w:val="16"/>
          <w:szCs w:val="16"/>
        </w:rPr>
        <w:t xml:space="preserve">, (09.1943 г.)- Ермоленко, (-12.1943-02.1944 г.-)- Н.Н. Кругленин, (1946 г.)- </w:t>
      </w:r>
      <w:proofErr w:type="spellStart"/>
      <w:r w:rsidRPr="00A259BD">
        <w:rPr>
          <w:rFonts w:ascii="Times New Roman" w:hAnsi="Times New Roman"/>
          <w:color w:val="000000" w:themeColor="text1"/>
          <w:sz w:val="16"/>
          <w:szCs w:val="16"/>
        </w:rPr>
        <w:t>Сибиркин</w:t>
      </w:r>
      <w:proofErr w:type="spellEnd"/>
      <w:r w:rsidRPr="00A259BD">
        <w:rPr>
          <w:rFonts w:ascii="Times New Roman" w:hAnsi="Times New Roman"/>
          <w:color w:val="000000" w:themeColor="text1"/>
          <w:sz w:val="16"/>
          <w:szCs w:val="16"/>
        </w:rPr>
        <w:t>, (1979 г.)- Иванов. Гендиректор (1988-90 г.)- А.А. Кульков, (-1992-2002 г.-)- Е. Г. Руденко, (-10.2004-06 г.-&gt; С.А. Морев.</w:t>
      </w:r>
    </w:p>
    <w:p w14:paraId="00315D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Помощник директора: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(1930 г.)- Е.Н. </w:t>
      </w:r>
      <w:proofErr w:type="spellStart"/>
      <w:r w:rsidRPr="00A259BD">
        <w:rPr>
          <w:rFonts w:ascii="Times New Roman" w:hAnsi="Times New Roman"/>
          <w:color w:val="000000" w:themeColor="text1"/>
          <w:sz w:val="16"/>
          <w:szCs w:val="16"/>
        </w:rPr>
        <w:t>Дмитревский</w:t>
      </w:r>
      <w:proofErr w:type="spellEnd"/>
      <w:r w:rsidRPr="00A259BD">
        <w:rPr>
          <w:rFonts w:ascii="Times New Roman" w:hAnsi="Times New Roman"/>
          <w:color w:val="000000" w:themeColor="text1"/>
          <w:sz w:val="16"/>
          <w:szCs w:val="16"/>
        </w:rPr>
        <w:t>; по найму и увольнению (-06.1937-7.12.1938 г.)- А.П. Гусев, (7.12.1938 г.-)- И.А. Уваров.</w:t>
      </w:r>
    </w:p>
    <w:p w14:paraId="00D888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конструктор (10.1940-46 г.-)- П.Н. Тарасов, (1988-90 г.)- А.А. Кульков.</w:t>
      </w:r>
    </w:p>
    <w:p w14:paraId="0DE6CE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гл. конструктора (-10.1940 г.)- А.Н. Мельников (затем- нач. КО завода № 456), (11.1941 г.-)- Н. Г. Гладченко (бывший и.о. директора завода №495, с 12.1942 г.- гл. конструктор ОКБ-315).</w:t>
      </w:r>
    </w:p>
    <w:p w14:paraId="6A8382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инженер (12.1937 г.)- </w:t>
      </w:r>
      <w:proofErr w:type="spellStart"/>
      <w:r w:rsidRPr="00A259BD">
        <w:rPr>
          <w:rFonts w:ascii="Times New Roman" w:hAnsi="Times New Roman"/>
          <w:color w:val="000000" w:themeColor="text1"/>
          <w:sz w:val="16"/>
          <w:szCs w:val="16"/>
        </w:rPr>
        <w:t>Боцковский</w:t>
      </w:r>
      <w:proofErr w:type="spellEnd"/>
      <w:r w:rsidRPr="00A259BD">
        <w:rPr>
          <w:rFonts w:ascii="Times New Roman" w:hAnsi="Times New Roman"/>
          <w:color w:val="000000" w:themeColor="text1"/>
          <w:sz w:val="16"/>
          <w:szCs w:val="16"/>
        </w:rPr>
        <w:t>, (1941 г.)- Ф.С. Деменюк.</w:t>
      </w:r>
    </w:p>
    <w:p w14:paraId="523D89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директора (1941 г.)- Ф.С. Деменюк; по МФВ (1941 г.)-  Г.С. Телегин. Зам. гендиректора по производству (1990-е)- В.Ф. Беляев, М.А. </w:t>
      </w:r>
      <w:proofErr w:type="spellStart"/>
      <w:r w:rsidRPr="00A259BD">
        <w:rPr>
          <w:rFonts w:ascii="Times New Roman" w:hAnsi="Times New Roman"/>
          <w:color w:val="000000" w:themeColor="text1"/>
          <w:sz w:val="16"/>
          <w:szCs w:val="16"/>
        </w:rPr>
        <w:t>Пыхаев</w:t>
      </w:r>
      <w:proofErr w:type="spellEnd"/>
      <w:r w:rsidRPr="00A259BD">
        <w:rPr>
          <w:rFonts w:ascii="Times New Roman" w:hAnsi="Times New Roman"/>
          <w:color w:val="000000" w:themeColor="text1"/>
          <w:sz w:val="16"/>
          <w:szCs w:val="16"/>
        </w:rPr>
        <w:t>; (2006 г.)- С.К. Малиновский.</w:t>
      </w:r>
    </w:p>
    <w:p w14:paraId="1DCFDE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 производства (1941 г.)- Н.Н. Кругленин. Исполнительный директор (2002 г.)- С. А. Морев.</w:t>
      </w:r>
      <w:r w:rsidRPr="00A259BD">
        <w:rPr>
          <w:rFonts w:ascii="Times New Roman" w:hAnsi="Times New Roman"/>
          <w:color w:val="000000" w:themeColor="text1"/>
          <w:sz w:val="16"/>
          <w:szCs w:val="16"/>
          <w:vertAlign w:val="superscript"/>
        </w:rPr>
        <w:t>69</w:t>
      </w:r>
    </w:p>
    <w:p w14:paraId="4A8811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Начальники отделов: инструментального (-07.1938 г.)- М.И. Горячев; перспективного развития (10.2004 г.)- Н.А. </w:t>
      </w:r>
      <w:proofErr w:type="spellStart"/>
      <w:r w:rsidRPr="00A259BD">
        <w:rPr>
          <w:rFonts w:ascii="Times New Roman" w:hAnsi="Times New Roman"/>
          <w:color w:val="000000" w:themeColor="text1"/>
          <w:sz w:val="16"/>
          <w:szCs w:val="16"/>
        </w:rPr>
        <w:t>Раат</w:t>
      </w:r>
      <w:proofErr w:type="spellEnd"/>
      <w:r w:rsidRPr="00A259BD">
        <w:rPr>
          <w:rFonts w:ascii="Times New Roman" w:hAnsi="Times New Roman"/>
          <w:color w:val="000000" w:themeColor="text1"/>
          <w:sz w:val="16"/>
          <w:szCs w:val="16"/>
        </w:rPr>
        <w:t>.</w:t>
      </w:r>
    </w:p>
    <w:p w14:paraId="610944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детали для </w:t>
      </w:r>
      <w:r w:rsidRPr="00A259BD">
        <w:rPr>
          <w:rFonts w:ascii="Times New Roman" w:hAnsi="Times New Roman"/>
          <w:color w:val="000000" w:themeColor="text1"/>
          <w:sz w:val="16"/>
          <w:szCs w:val="16"/>
          <w:lang w:val="en-US"/>
        </w:rPr>
        <w:t>PC</w:t>
      </w:r>
      <w:r w:rsidRPr="00A259BD">
        <w:rPr>
          <w:rFonts w:ascii="Times New Roman" w:hAnsi="Times New Roman"/>
          <w:color w:val="000000" w:themeColor="text1"/>
          <w:sz w:val="16"/>
          <w:szCs w:val="16"/>
        </w:rPr>
        <w:t xml:space="preserve"> М-13 (1942) (11982).</w:t>
      </w:r>
    </w:p>
    <w:p w14:paraId="3B8DDE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CABBA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октября 1929 года Совет Труда и Обороны СССР принял постановление о строительстве в Нижнем Новгороде авиационного завода, получившего номер 21. Избрание Нижнего Новгорода местом строительства крупнейшего авиационного предприятия было обусловлено стратегическими выгодами его географического положения, а также возможностями относительно быстрого обеспечения нового завода кадрами.</w:t>
      </w:r>
    </w:p>
    <w:p w14:paraId="731F72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Строительство завода официально началось 2 мая 1930 гола пол руководством А. М. Муратова. Строительство протекало в сложнейших условиях, работы были до предела форсированы в связи с принятием Государственного мобилизационного плана “С-30”, обязывавшего слать предприятие в строй действующих к 1 июля 1931 года. Ускоренное строительство потребовало колоссальных усилий. Но задача была решена.</w:t>
      </w:r>
    </w:p>
    <w:p w14:paraId="187018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дальнейшем опыт создания завода № 21 использовали при строительстве других предприятий авиационной промышленности страны.</w:t>
      </w:r>
    </w:p>
    <w:p w14:paraId="1F6B0F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проектировался на головой выпуск двух тысяч самолетов в условиях мирного времени. Предлагаемые к постройке самолеты: одноместный истребитель И-3, разведчик Р-5 и пассажирский К-5 имели смешанную конструкцию с преобладанием в ней дерева, частичным применением стали и алюминия. Согласно календарному плану строительства и финансирования завела первостепенной задачей было возведение всех заготовительных и подготовительных цехов. Ко второй очереди относились сборочные цеха, аэродромные сооружения, вспомогательные и обслу­живающие здания (11651).</w:t>
      </w:r>
    </w:p>
    <w:p w14:paraId="692E1F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EDD4EA" w14:textId="77777777" w:rsidR="008D7B97" w:rsidRPr="00A259BD" w:rsidRDefault="008D7B9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lang w:eastAsia="ru-RU" w:bidi="ru-RU"/>
        </w:rPr>
        <w:t>21 октября 1929 года в соответствии с Постановлением Совета Труда и Обороны от в Нижнем Новгороде началось строительство авиационного завода. Он должен был стать самым значительным из всех существующих в СССР авиазаводов и войти в один ряд с крупнейшими заграничными заводами.</w:t>
      </w:r>
    </w:p>
    <w:p w14:paraId="620E1C1A" w14:textId="77777777" w:rsidR="008D7B97" w:rsidRPr="00A259BD" w:rsidRDefault="008D7B9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lang w:eastAsia="ru-RU" w:bidi="ru-RU"/>
        </w:rPr>
        <w:t>Помимо удобных транспортных коммуникаций, немалое значение при выборе места под будущую строительную площадку авиастроительного завода имело наличие ровной площадки под строительство аэродрома. Не случайно этому Постановлению СТО предшествовала большая подготовительная работа (21100).</w:t>
      </w:r>
    </w:p>
    <w:p w14:paraId="5258FE77" w14:textId="77777777" w:rsidR="008D7B97" w:rsidRPr="00A259BD" w:rsidRDefault="008D7B97" w:rsidP="009236E3">
      <w:pPr>
        <w:spacing w:after="0" w:line="240" w:lineRule="auto"/>
        <w:jc w:val="both"/>
        <w:rPr>
          <w:rFonts w:ascii="Times New Roman" w:hAnsi="Times New Roman"/>
          <w:color w:val="000000" w:themeColor="text1"/>
          <w:sz w:val="16"/>
          <w:szCs w:val="16"/>
          <w:lang w:eastAsia="ru-RU" w:bidi="ru-RU"/>
        </w:rPr>
      </w:pPr>
    </w:p>
    <w:p w14:paraId="2981E6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октября 1929 г. вышло пост. СТО о строительстве самолетостроительного завода «А» в  г. Горьком для производства И-5 (Завод № 21 ИМ. Енукидзе ВСНХ, НКТП, Орденоносный завод № 21 им. С. Орджоникидзе НКОП, НКАП, МАП, Горьковский авиационный завод им. С. Орджоникидзе, Горьковское авиационное ПО (ГАПО) им. С. Орджоникидзе, Р-6719, Нижегородское АПО, Нижегородский государственный авиационный завод (НГАЗ) «Сокол», ОАО «НАЗ «Сокол» / г. Нижний Новгород, 1 п/я 6 «Сила» (1929-ЗО г.); Канавино п/я 9 «Сила» (1930 г.-);  г. Горький, 35 Сталинский р-н ул. Советская (1937 г.)/ /603035  г. Нижний Новгород ул. Чаадаева, 1 тел. 46-75-01/). На основании пр. ВСНХ/НКВМ/ОГПУ № 73сс от 9.07.1927 г. приказом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 23 от 10.11.1929 г. новостройке присвоено наименование «завод № 21», пр. № 43 от 9.12.1929 г. установлены условные адреса: п/я 6 «Сила». Пр. № 90 от 16.03.1930 г. заводу установлен новый почтовый адрес - Канавино п/я 9, а пр. № 105 от 12.04.1930 г. - телеграфный адрес «Канавино Сила». Введен в строй 1.02.1932 г. А уже в 08.1932 г. был построен первый самолет - И-5. С 1930 г. - в ведении ВАО ВСНХ, с 1932 г. - в самолетном тресте ГУАП НКТП. В 1936 г. присвоено имя С. Орджоникидзе. В 02.1937 г. Орденоносный завод № 21 - в ведении 1ГУ НКОП (и на 12.1938 г.).</w:t>
      </w:r>
    </w:p>
    <w:p w14:paraId="7767F3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1934 г. началось освоение производства И-16. В 1936 г. на заводе, одном из первых в отрасли, был внедрен поточный метод окончательной сборки самолетов.</w:t>
      </w:r>
    </w:p>
    <w:p w14:paraId="6A0507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Н.Н. Поликарпов возглавлял бригаду № 2 ЦКБ, которая переведена на завод № 21 после 01.1933 г. и затем преобразована в ОКБ. После перевода ОКБ в 1937 г. на завод № 156 на заводе № 21 велась подготовка к серийному выпуску самолета И-180, представителем ОКБ на заводе был М.К. </w:t>
      </w:r>
      <w:proofErr w:type="spellStart"/>
      <w:r w:rsidRPr="00A259BD">
        <w:rPr>
          <w:rFonts w:ascii="Times New Roman" w:hAnsi="Times New Roman"/>
          <w:color w:val="000000" w:themeColor="text1"/>
          <w:sz w:val="16"/>
          <w:szCs w:val="16"/>
        </w:rPr>
        <w:t>Янгель</w:t>
      </w:r>
      <w:proofErr w:type="spellEnd"/>
      <w:r w:rsidRPr="00A259BD">
        <w:rPr>
          <w:rFonts w:ascii="Times New Roman" w:hAnsi="Times New Roman"/>
          <w:color w:val="000000" w:themeColor="text1"/>
          <w:sz w:val="16"/>
          <w:szCs w:val="16"/>
        </w:rPr>
        <w:t>.</w:t>
      </w:r>
    </w:p>
    <w:p w14:paraId="5E0C6C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А. Боровков (с 1933 г.) и И.Ф. Флоров (с 1931 г.) работали на заводе конструкторами. В 1934 г. под руководством Б.В. Куприянова был построен УТИ-1. В 1937 г. построили самолет № 7211. Весной 1938 г. им выделили опытный цех для постройки следующих трех машин. Осенью 1938 г. им предоставили собственную производственную базу - завод № 207.</w:t>
      </w:r>
    </w:p>
    <w:p w14:paraId="1D9822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заводе работали также КБ М.М. Пашинина, С.А. Лавочкина, А.А. Смолина, С.М. Алексеева.</w:t>
      </w:r>
    </w:p>
    <w:p w14:paraId="706AB5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пр. НКОП № 02сс от 10.01.1937 г. заводу поручен выпуск 93 </w:t>
      </w:r>
      <w:proofErr w:type="spellStart"/>
      <w:r w:rsidRPr="00A259BD">
        <w:rPr>
          <w:rFonts w:ascii="Times New Roman" w:hAnsi="Times New Roman"/>
          <w:color w:val="000000" w:themeColor="text1"/>
          <w:sz w:val="16"/>
          <w:szCs w:val="16"/>
        </w:rPr>
        <w:t>протектированных</w:t>
      </w:r>
      <w:proofErr w:type="spellEnd"/>
      <w:r w:rsidRPr="00A259BD">
        <w:rPr>
          <w:rFonts w:ascii="Times New Roman" w:hAnsi="Times New Roman"/>
          <w:color w:val="000000" w:themeColor="text1"/>
          <w:sz w:val="16"/>
          <w:szCs w:val="16"/>
        </w:rPr>
        <w:t xml:space="preserve"> топливных баков для И-16; приказом № 00109. от 19.05.1937 г. требовалось к 10.07.1937 г. изготовить 5 </w:t>
      </w:r>
      <w:proofErr w:type="spellStart"/>
      <w:r w:rsidRPr="00A259BD">
        <w:rPr>
          <w:rFonts w:ascii="Times New Roman" w:hAnsi="Times New Roman"/>
          <w:color w:val="000000" w:themeColor="text1"/>
          <w:sz w:val="16"/>
          <w:szCs w:val="16"/>
        </w:rPr>
        <w:t>бронесидений</w:t>
      </w:r>
      <w:proofErr w:type="spellEnd"/>
      <w:r w:rsidRPr="00A259BD">
        <w:rPr>
          <w:rFonts w:ascii="Times New Roman" w:hAnsi="Times New Roman"/>
          <w:color w:val="000000" w:themeColor="text1"/>
          <w:sz w:val="16"/>
          <w:szCs w:val="16"/>
        </w:rPr>
        <w:t xml:space="preserve"> для СБ, к 20.07 - 5 сидений для И-16. Приказом № 00129 от 10.06.1937 г. заводу поручено провести заводские испытания И-16 с радиостанциями: РСИ-1 - к 15.08.1937 г., РСИ-2 - к 1.01.1938 г.</w:t>
      </w:r>
    </w:p>
    <w:p w14:paraId="48B581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Производственная программа завода на 1937 г.: 1800 И-16, 200 УТИ. Приказом № 00266 от 13.12.1937 г. она была скорректирована: И-16 М-25: с пулеметами - 1300 шт., пушечных- 350; УТИ-4 - 350. В то же время, «в связи с выполнением заводом особого задания правительства», заводу было разрешено сдать в 1937 г. 1620 пулеметных И-16, 50 пушечных и 200 УТИ-4.</w:t>
      </w:r>
    </w:p>
    <w:p w14:paraId="7632F2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 № 0259 от 3.12.1937 г., в связи с освоением на заводе «</w:t>
      </w:r>
      <w:proofErr w:type="spellStart"/>
      <w:r w:rsidRPr="00A259BD">
        <w:rPr>
          <w:rFonts w:ascii="Times New Roman" w:hAnsi="Times New Roman"/>
          <w:color w:val="000000" w:themeColor="text1"/>
          <w:sz w:val="16"/>
          <w:szCs w:val="16"/>
        </w:rPr>
        <w:t>Саркомбайн</w:t>
      </w:r>
      <w:proofErr w:type="spellEnd"/>
      <w:r w:rsidRPr="00A259BD">
        <w:rPr>
          <w:rFonts w:ascii="Times New Roman" w:hAnsi="Times New Roman"/>
          <w:color w:val="000000" w:themeColor="text1"/>
          <w:sz w:val="16"/>
          <w:szCs w:val="16"/>
        </w:rPr>
        <w:t>» выпуска Р-10, туда переведено 5 рабочих и 3 инженера.</w:t>
      </w:r>
    </w:p>
    <w:p w14:paraId="1B9422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 исполнение решения правительства № 182сс приказом № 00266 от 13.12.1937 г. заводу было предписано: построить и провести в 1938 г. госиспытания истребителей: четырех И-16 М-62 с воздушным самопуском: один с 4х ШКАС, другой с 2х ШВАК и 2х ШКАС, третий- с 2х ШКАС, 4-й с 2 синхронными пулеметами 12,7-мм и 2х ШКАС; И-16 М-25В в варианте сопроводителя с 2х ШКАС; три И-16 М-25 А со </w:t>
      </w:r>
      <w:proofErr w:type="spellStart"/>
      <w:r w:rsidRPr="00A259BD">
        <w:rPr>
          <w:rFonts w:ascii="Times New Roman" w:hAnsi="Times New Roman"/>
          <w:color w:val="000000" w:themeColor="text1"/>
          <w:sz w:val="16"/>
          <w:szCs w:val="16"/>
        </w:rPr>
        <w:t>сверхскорострельными</w:t>
      </w:r>
      <w:proofErr w:type="spellEnd"/>
      <w:r w:rsidRPr="00A259BD">
        <w:rPr>
          <w:rFonts w:ascii="Times New Roman" w:hAnsi="Times New Roman"/>
          <w:color w:val="000000" w:themeColor="text1"/>
          <w:sz w:val="16"/>
          <w:szCs w:val="16"/>
        </w:rPr>
        <w:t xml:space="preserve"> пулеметами Савина-Норова «СН» и три - с пулеметами </w:t>
      </w:r>
      <w:proofErr w:type="spellStart"/>
      <w:r w:rsidRPr="00A259BD">
        <w:rPr>
          <w:rFonts w:ascii="Times New Roman" w:hAnsi="Times New Roman"/>
          <w:color w:val="000000" w:themeColor="text1"/>
          <w:sz w:val="16"/>
          <w:szCs w:val="16"/>
        </w:rPr>
        <w:t>УльтраШКАС</w:t>
      </w:r>
      <w:proofErr w:type="spellEnd"/>
      <w:r w:rsidRPr="00A259BD">
        <w:rPr>
          <w:rFonts w:ascii="Times New Roman" w:hAnsi="Times New Roman"/>
          <w:color w:val="000000" w:themeColor="text1"/>
          <w:sz w:val="16"/>
          <w:szCs w:val="16"/>
        </w:rPr>
        <w:t>. Организовать на заводе: ремонтный отдел на 25-30 самолетов в год; весовую группу при ОТК для постоянного контроля веса серийных самолетов. Построить в 1938-39 г. помещения: для ОКО, для летной станции с теплым ангаром, расширить производственный цех ОКО. Приказом № 29сс от 1.02.1938 г. заводу предписано немедленно развернуть производство И-16 М-25 с 2 синхронными пулеметами в фюзеляже и двумя - в крыле по эталону № 5210436. Пр. № 390сс от 4.10.1938 г. заводу установлена до конца 1938 г. программа по выпуску И-16 М-25 в 700 машин (500 с пулеметами, 200 - в пушечном варианте).</w:t>
      </w:r>
    </w:p>
    <w:p w14:paraId="1D09B6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1.01.1938 г. заводу передан в качестве филиала бывший Нижегородский государственный завод «Славянин» (возможно, в то время назывался «Красный </w:t>
      </w:r>
      <w:proofErr w:type="spellStart"/>
      <w:r w:rsidRPr="00A259BD">
        <w:rPr>
          <w:rFonts w:ascii="Times New Roman" w:hAnsi="Times New Roman"/>
          <w:color w:val="000000" w:themeColor="text1"/>
          <w:sz w:val="16"/>
          <w:szCs w:val="16"/>
        </w:rPr>
        <w:t>цинковалыцик</w:t>
      </w:r>
      <w:proofErr w:type="spellEnd"/>
      <w:r w:rsidRPr="00A259BD">
        <w:rPr>
          <w:rFonts w:ascii="Times New Roman" w:hAnsi="Times New Roman"/>
          <w:color w:val="000000" w:themeColor="text1"/>
          <w:sz w:val="16"/>
          <w:szCs w:val="16"/>
        </w:rPr>
        <w:t>»). Приказом № 00266 ему поручено организовать производство заготовительных штампов для завода № 21. В 1945 г. в состав филиала влита часть расформированного завода № 305 НКАП из Куйбышева (вероятно, производство нормалей). С 3.04.1947 г. филиал выделен в самостоятельный завод № 167 МАП.</w:t>
      </w:r>
    </w:p>
    <w:p w14:paraId="18ADF3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 № 129сс от 11/13.04.1938 г. на заводе организован ОТК с весовой группой в его составе. По пр. № 246сс от 13.07.1938 г. на заводе требовалось к 15.08.1938 г. организовать сварочную лабораторию; выделить в самостоятельный цех отдел термообработки цеха 100. Этим же приказом для усиления кадров на завод направлено 15 инженеров из МАИ, 10 - с завода № 1,20 выпускников МАИ.</w:t>
      </w:r>
    </w:p>
    <w:p w14:paraId="646DF2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1938 г. велась реконструкция завода. Приказом № 300с требовалось закончить </w:t>
      </w:r>
      <w:proofErr w:type="spellStart"/>
      <w:r w:rsidRPr="00A259BD">
        <w:rPr>
          <w:rFonts w:ascii="Times New Roman" w:hAnsi="Times New Roman"/>
          <w:color w:val="000000" w:themeColor="text1"/>
          <w:sz w:val="16"/>
          <w:szCs w:val="16"/>
        </w:rPr>
        <w:t>техпроект</w:t>
      </w:r>
      <w:proofErr w:type="spellEnd"/>
      <w:r w:rsidRPr="00A259BD">
        <w:rPr>
          <w:rFonts w:ascii="Times New Roman" w:hAnsi="Times New Roman"/>
          <w:color w:val="000000" w:themeColor="text1"/>
          <w:sz w:val="16"/>
          <w:szCs w:val="16"/>
        </w:rPr>
        <w:t xml:space="preserve"> завода к 15.08.1938 г. (ГПИ-1).</w:t>
      </w:r>
    </w:p>
    <w:p w14:paraId="690F71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1939 г. проектная мощность завода составляла 5000 И-180 в год, годовой план составлял 1810 самолетов. План производства на 1941 г.: 2000 </w:t>
      </w:r>
      <w:proofErr w:type="spellStart"/>
      <w:r w:rsidRPr="00A259BD">
        <w:rPr>
          <w:rFonts w:ascii="Times New Roman" w:hAnsi="Times New Roman"/>
          <w:color w:val="000000" w:themeColor="text1"/>
          <w:sz w:val="16"/>
          <w:szCs w:val="16"/>
        </w:rPr>
        <w:t>ЛаПГ</w:t>
      </w:r>
      <w:proofErr w:type="spellEnd"/>
      <w:r w:rsidRPr="00A259BD">
        <w:rPr>
          <w:rFonts w:ascii="Times New Roman" w:hAnsi="Times New Roman"/>
          <w:color w:val="000000" w:themeColor="text1"/>
          <w:sz w:val="16"/>
          <w:szCs w:val="16"/>
        </w:rPr>
        <w:t>-З и 250 УШ-4.</w:t>
      </w:r>
    </w:p>
    <w:p w14:paraId="1079B8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12.1941 г. с завода № 153 переведено КБ М.И. Гудкова для внедрения в серию самолетов Гу-37 (К-37) и Гу-82.</w:t>
      </w:r>
    </w:p>
    <w:p w14:paraId="28B2EA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заводе действовали филиалы по производству корпусов снарядов и РГД-33. Корпус завода «Гудок Октября» передан в 1940 г. из НКОМ заводу № 21 НКАП как один из филиалов. В 04.1941 г. для расширения площадей по выпуску ЛаГТ-3 заводу переданы площади Завода им. Воробьева НКОМ (завода «Гудок Октября») в качестве филиала № 1 завода № 21. Начальник филиала № 1 (07.1942 г.)- Сухарев.</w:t>
      </w:r>
    </w:p>
    <w:p w14:paraId="72E8CC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приказу № 1072сс от 15.10.1941 г. в Горький эвакуирован завод № 119 НКАП. Он базировался на территории филиала № 1 и на площадке Авиатехникума с конца 1941 г. По приказу № 1121с от 15.11.1941 г. завод № 119 подчинен заводу № 21 на правах филиала. Директор филиала- А.Ф. Попов. По приказу № 26с от 11.01.1942 г. филиал вновь получил статус самостоятельного завода № 119 НКАП в системе 2ГУ. В его распоряжение передана площадка филиала № 1 завода № 21 НКАП. По приказу № 19с от 25.01.1946 г. площадка бывшего завод им. Воробьева (филиала № 1 завода № 21) освобождена заводом № 119 и передана НКМВ.</w:t>
      </w:r>
    </w:p>
    <w:p w14:paraId="68027D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Пост. ГКО № 1376сс от 3.03.1942 г. заводу утвержден суточный план на 03.1942 г. по выпуску ЛаГГ-3: с 1 по 15 марта - 50 машин, с 16 по 20 - 60 и с 21 по 31 марта - 73 машины. По постановлению ГКО № 1786 от 19.05.1942 г. заводу необходимо было немедленно приступить к выпуску </w:t>
      </w:r>
      <w:proofErr w:type="spellStart"/>
      <w:r w:rsidRPr="00A259BD">
        <w:rPr>
          <w:rFonts w:ascii="Times New Roman" w:hAnsi="Times New Roman"/>
          <w:color w:val="000000" w:themeColor="text1"/>
          <w:sz w:val="16"/>
          <w:szCs w:val="16"/>
        </w:rPr>
        <w:t>ЛаГТ</w:t>
      </w:r>
      <w:proofErr w:type="spellEnd"/>
      <w:r w:rsidRPr="00A259BD">
        <w:rPr>
          <w:rFonts w:ascii="Times New Roman" w:hAnsi="Times New Roman"/>
          <w:color w:val="000000" w:themeColor="text1"/>
          <w:sz w:val="16"/>
          <w:szCs w:val="16"/>
        </w:rPr>
        <w:t>-З с М-82.</w:t>
      </w:r>
    </w:p>
    <w:p w14:paraId="429BE6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соответствии с </w:t>
      </w:r>
      <w:proofErr w:type="spellStart"/>
      <w:r w:rsidRPr="00A259BD">
        <w:rPr>
          <w:rFonts w:ascii="Times New Roman" w:hAnsi="Times New Roman"/>
          <w:color w:val="000000" w:themeColor="text1"/>
          <w:sz w:val="16"/>
          <w:szCs w:val="16"/>
        </w:rPr>
        <w:t>пост.ениями</w:t>
      </w:r>
      <w:proofErr w:type="spellEnd"/>
      <w:r w:rsidRPr="00A259BD">
        <w:rPr>
          <w:rFonts w:ascii="Times New Roman" w:hAnsi="Times New Roman"/>
          <w:color w:val="000000" w:themeColor="text1"/>
          <w:sz w:val="16"/>
          <w:szCs w:val="16"/>
        </w:rPr>
        <w:t xml:space="preserve"> ГКО № 1388 от 4.03.1942 г. и № 1438 от 13.03.1942 г. на заводе начато освоение производства самолета Як-7. В соответствии с пост. ГКО № 1789 от 19.05.1942 г. на заводе начато производство ЛаГГ-3 и Як-7 с мотором М-105ПФ. 26.10.1943 г. вышло постановление ГКО № 4431сс о производстве на заводе Ла-5 с М-82ФН с металлическими лонжеронами и увеличенной дальностью. 29.12.1944 г. вышло постановление ГКО № 7231 о выпуске на заводе самолетов Ла-7 с тремя 20-мм пушками УБ.</w:t>
      </w:r>
    </w:p>
    <w:p w14:paraId="71DD43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годы войны завод выпустил 17.691 самолет.</w:t>
      </w:r>
    </w:p>
    <w:p w14:paraId="506D91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1943 г. существовал филиал № 2. С 1952 г. на заводе- филиал ОКБ-155 МАП.</w:t>
      </w:r>
    </w:p>
    <w:p w14:paraId="1668A3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пост. СМ СССР № 713-342 от 26.06.1957 г. завод передан в ведение СНХ РСФСР.</w:t>
      </w:r>
    </w:p>
    <w:p w14:paraId="475177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1970 г. завод имел обозначение п/я Р-6719. 22.09.1994 г. завод акционирован и преобразован в ОАО «НАЗ «Сокол». По решению правительства № 22-р от 9.01.2004 г. и Указу Президента РФ № 1009 от 4.08.2004 г. вошло в число стратегических оборонных предприятий.</w:t>
      </w:r>
    </w:p>
    <w:p w14:paraId="1B67A4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1996 г. совместно с ОКБ Яковлева велись работы по Як-130.</w:t>
      </w:r>
    </w:p>
    <w:p w14:paraId="721F69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04.2001 г. вместе с ЭМЗ им. </w:t>
      </w:r>
      <w:proofErr w:type="spellStart"/>
      <w:r w:rsidRPr="00A259BD">
        <w:rPr>
          <w:rFonts w:ascii="Times New Roman" w:hAnsi="Times New Roman"/>
          <w:color w:val="000000" w:themeColor="text1"/>
          <w:sz w:val="16"/>
          <w:szCs w:val="16"/>
        </w:rPr>
        <w:t>Мясшцева</w:t>
      </w:r>
      <w:proofErr w:type="spellEnd"/>
      <w:r w:rsidRPr="00A259BD">
        <w:rPr>
          <w:rFonts w:ascii="Times New Roman" w:hAnsi="Times New Roman"/>
          <w:color w:val="000000" w:themeColor="text1"/>
          <w:sz w:val="16"/>
          <w:szCs w:val="16"/>
        </w:rPr>
        <w:t xml:space="preserve"> и компанией «Каскол» НАЗ объединился в авиастроительную компанию «</w:t>
      </w:r>
      <w:proofErr w:type="spellStart"/>
      <w:r w:rsidRPr="00A259BD">
        <w:rPr>
          <w:rFonts w:ascii="Times New Roman" w:hAnsi="Times New Roman"/>
          <w:color w:val="000000" w:themeColor="text1"/>
          <w:sz w:val="16"/>
          <w:szCs w:val="16"/>
        </w:rPr>
        <w:t>НоРС</w:t>
      </w:r>
      <w:proofErr w:type="spellEnd"/>
      <w:r w:rsidRPr="00A259BD">
        <w:rPr>
          <w:rFonts w:ascii="Times New Roman" w:hAnsi="Times New Roman"/>
          <w:color w:val="000000" w:themeColor="text1"/>
          <w:sz w:val="16"/>
          <w:szCs w:val="16"/>
        </w:rPr>
        <w:t xml:space="preserve">» (Новые региональные самолеты). По Указу Президента РФ от 20.02.2006 г. она вошла в ОАО </w:t>
      </w:r>
      <w:r w:rsidRPr="00A259BD">
        <w:rPr>
          <w:rFonts w:ascii="Times New Roman" w:hAnsi="Times New Roman"/>
          <w:color w:val="000000" w:themeColor="text1"/>
          <w:sz w:val="16"/>
          <w:szCs w:val="16"/>
          <w:lang w:val="en-US"/>
        </w:rPr>
        <w:t>OAK</w:t>
      </w:r>
      <w:r w:rsidRPr="00A259BD">
        <w:rPr>
          <w:rFonts w:ascii="Times New Roman" w:hAnsi="Times New Roman"/>
          <w:color w:val="000000" w:themeColor="text1"/>
          <w:sz w:val="16"/>
          <w:szCs w:val="16"/>
        </w:rPr>
        <w:t>.</w:t>
      </w:r>
    </w:p>
    <w:p w14:paraId="3A1645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по 2002 г. на заводе построено 43.557 самолетов.</w:t>
      </w:r>
    </w:p>
    <w:p w14:paraId="0377D3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Работы (2004 г.): освоение производства Як-130, самолета-амфибии «Аккорд», «Динго», Ту-334.</w:t>
      </w:r>
    </w:p>
    <w:p w14:paraId="26EEFB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2005 г. в производстве находится 6 машин «Динго». В 02.2005 г. подписан контракт с ООО «Воздушные транспортные системы» на поставку 45 М-101Т (первые 8 машин- осенью 2005 г.). В 2005 г. завершена подготовка производства Як-130, подписан контракт на поставку МО 12 машин в 2005-07 г., в 2006 г.- контракт на поставку 16 машин в Алжир.</w:t>
      </w:r>
    </w:p>
    <w:p w14:paraId="393C46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Имелись производства (2005 г.): </w:t>
      </w:r>
      <w:proofErr w:type="spellStart"/>
      <w:r w:rsidRPr="00A259BD">
        <w:rPr>
          <w:rFonts w:ascii="Times New Roman" w:hAnsi="Times New Roman"/>
          <w:color w:val="000000" w:themeColor="text1"/>
          <w:sz w:val="16"/>
          <w:szCs w:val="16"/>
        </w:rPr>
        <w:t>механообрабатывакяцее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штампово</w:t>
      </w:r>
      <w:proofErr w:type="spellEnd"/>
      <w:r w:rsidRPr="00A259BD">
        <w:rPr>
          <w:rFonts w:ascii="Times New Roman" w:hAnsi="Times New Roman"/>
          <w:color w:val="000000" w:themeColor="text1"/>
          <w:sz w:val="16"/>
          <w:szCs w:val="16"/>
        </w:rPr>
        <w:t>-заготовительное, кузнечное, литейное, инструментальное, агрегатно-сборочное, гальваническое и лакокрасочное; изготовление оборудования и запчастей; ЛИК.</w:t>
      </w:r>
    </w:p>
    <w:p w14:paraId="5875B2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Количество оборудования: (11.1940 г.)- 919 металлорежущих станков.</w:t>
      </w:r>
    </w:p>
    <w:p w14:paraId="365BBA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(1.04.2002 г.)- 7953 чел.</w:t>
      </w:r>
    </w:p>
    <w:p w14:paraId="78108D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(-1934-5.03.1938 г.)- Е.И. Мирошников (арестован из-за катастрофы «7211»), (22.02-29.07.1938 г.)- А.С. Сухарев (снят за необеспечение руководства заводом), (29.07.1938 г.-)- П.Н. Голубков, (1940-05.1941 г.-)- В.П. Воронин, (-05.1942 г.-)- Гостинцев, (1944-52 г.-)- С.И. </w:t>
      </w:r>
      <w:proofErr w:type="spellStart"/>
      <w:r w:rsidRPr="00A259BD">
        <w:rPr>
          <w:rFonts w:ascii="Times New Roman" w:hAnsi="Times New Roman"/>
          <w:color w:val="000000" w:themeColor="text1"/>
          <w:sz w:val="16"/>
          <w:szCs w:val="16"/>
        </w:rPr>
        <w:t>Агаджанов</w:t>
      </w:r>
      <w:proofErr w:type="spellEnd"/>
      <w:r w:rsidRPr="00A259BD">
        <w:rPr>
          <w:rFonts w:ascii="Times New Roman" w:hAnsi="Times New Roman"/>
          <w:color w:val="000000" w:themeColor="text1"/>
          <w:sz w:val="16"/>
          <w:szCs w:val="16"/>
        </w:rPr>
        <w:t>, (1947 г.-)-  Г.М. Григорьев, (-1966-</w:t>
      </w:r>
      <w:r w:rsidRPr="00A259BD">
        <w:rPr>
          <w:rFonts w:ascii="Times New Roman" w:hAnsi="Times New Roman"/>
          <w:color w:val="000000" w:themeColor="text1"/>
          <w:sz w:val="16"/>
          <w:szCs w:val="16"/>
        </w:rPr>
        <w:lastRenderedPageBreak/>
        <w:t xml:space="preserve">67 г.-)- А.И. Ярошенко, (1970 г.)- И.С. Силаев, (1985 г.-)- В.М. Помолов. Гендиректор (-1999 г.)- В.М. Помолов, (1999- 11.2002 г.)- В.Х. Панков; и.о. гендиректора (11.2002 г.-)- М.Е. Шибаев; (-2003-02.2009 г.)- М.Е. Шибаев, (02.2009 г.- )- А. </w:t>
      </w:r>
      <w:proofErr w:type="spellStart"/>
      <w:r w:rsidRPr="00A259BD">
        <w:rPr>
          <w:rFonts w:ascii="Times New Roman" w:hAnsi="Times New Roman"/>
          <w:color w:val="000000" w:themeColor="text1"/>
          <w:sz w:val="16"/>
          <w:szCs w:val="16"/>
        </w:rPr>
        <w:t>Карезин</w:t>
      </w:r>
      <w:proofErr w:type="spellEnd"/>
      <w:r w:rsidRPr="00A259BD">
        <w:rPr>
          <w:rFonts w:ascii="Times New Roman" w:hAnsi="Times New Roman"/>
          <w:color w:val="000000" w:themeColor="text1"/>
          <w:sz w:val="16"/>
          <w:szCs w:val="16"/>
        </w:rPr>
        <w:t>.</w:t>
      </w:r>
    </w:p>
    <w:p w14:paraId="2E0350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1-й зам. Гендиректора (2002 г.)- В.Ф. Верховодов. Зам. директора: (1930 г.)- Мельник, (-06.1937-38 г.)- П.П. Успасский (репрессирован), (9.05.1938 г.-)- В.К. Григорьев; по общим вопросам (26.11.1938 г.-)- Н.С. Борисов; по капстроительству (26.01.1937 г.-)- А. Г. Герасимов. Зам. Гендиректора: по производству (-02.2009 г.)- А. </w:t>
      </w:r>
      <w:proofErr w:type="spellStart"/>
      <w:r w:rsidRPr="00A259BD">
        <w:rPr>
          <w:rFonts w:ascii="Times New Roman" w:hAnsi="Times New Roman"/>
          <w:color w:val="000000" w:themeColor="text1"/>
          <w:sz w:val="16"/>
          <w:szCs w:val="16"/>
        </w:rPr>
        <w:t>Карезин</w:t>
      </w:r>
      <w:proofErr w:type="spellEnd"/>
      <w:r w:rsidRPr="00A259BD">
        <w:rPr>
          <w:rFonts w:ascii="Times New Roman" w:hAnsi="Times New Roman"/>
          <w:color w:val="000000" w:themeColor="text1"/>
          <w:sz w:val="16"/>
          <w:szCs w:val="16"/>
        </w:rPr>
        <w:t xml:space="preserve">; по ВЭС и маркетингу (2002 г.)- В.Е. </w:t>
      </w:r>
      <w:proofErr w:type="spellStart"/>
      <w:r w:rsidRPr="00A259BD">
        <w:rPr>
          <w:rFonts w:ascii="Times New Roman" w:hAnsi="Times New Roman"/>
          <w:color w:val="000000" w:themeColor="text1"/>
          <w:sz w:val="16"/>
          <w:szCs w:val="16"/>
        </w:rPr>
        <w:t>Андрюнин</w:t>
      </w:r>
      <w:proofErr w:type="spellEnd"/>
      <w:r w:rsidRPr="00A259BD">
        <w:rPr>
          <w:rFonts w:ascii="Times New Roman" w:hAnsi="Times New Roman"/>
          <w:color w:val="000000" w:themeColor="text1"/>
          <w:sz w:val="16"/>
          <w:szCs w:val="16"/>
        </w:rPr>
        <w:t xml:space="preserve">; по МТС (2006 г.)- Е. </w:t>
      </w:r>
      <w:proofErr w:type="spellStart"/>
      <w:r w:rsidRPr="00A259BD">
        <w:rPr>
          <w:rFonts w:ascii="Times New Roman" w:hAnsi="Times New Roman"/>
          <w:color w:val="000000" w:themeColor="text1"/>
          <w:sz w:val="16"/>
          <w:szCs w:val="16"/>
        </w:rPr>
        <w:t>Бодиков</w:t>
      </w:r>
      <w:proofErr w:type="spellEnd"/>
      <w:r w:rsidRPr="00A259BD">
        <w:rPr>
          <w:rFonts w:ascii="Times New Roman" w:hAnsi="Times New Roman"/>
          <w:color w:val="000000" w:themeColor="text1"/>
          <w:sz w:val="16"/>
          <w:szCs w:val="16"/>
        </w:rPr>
        <w:t>. Помощник директора по найму и увольнению (-13.06.1937 г.)- М.А. Фуре (снят), (29.11.1937 г.-)- А.А. Малыгин.</w:t>
      </w:r>
    </w:p>
    <w:p w14:paraId="502E88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исполнительный- В.И. </w:t>
      </w:r>
      <w:proofErr w:type="spellStart"/>
      <w:r w:rsidRPr="00A259BD">
        <w:rPr>
          <w:rFonts w:ascii="Times New Roman" w:hAnsi="Times New Roman"/>
          <w:color w:val="000000" w:themeColor="text1"/>
          <w:sz w:val="16"/>
          <w:szCs w:val="16"/>
        </w:rPr>
        <w:t>Нунгезер</w:t>
      </w:r>
      <w:proofErr w:type="spellEnd"/>
      <w:r w:rsidRPr="00A259BD">
        <w:rPr>
          <w:rFonts w:ascii="Times New Roman" w:hAnsi="Times New Roman"/>
          <w:color w:val="000000" w:themeColor="text1"/>
          <w:sz w:val="16"/>
          <w:szCs w:val="16"/>
        </w:rPr>
        <w:t xml:space="preserve">, (-2004-06 г.-)- В. Г. Дробышевский; технический (11.2002 г.)- М.Е. Шибаев; коммерческий (2004 г.)- А.И. Илларионов, (-2006-07 г.-)- С.Б. Залин; по военно-техническому сотрудничеству (2004 г.)- В.Е. </w:t>
      </w:r>
      <w:proofErr w:type="spellStart"/>
      <w:r w:rsidRPr="00A259BD">
        <w:rPr>
          <w:rFonts w:ascii="Times New Roman" w:hAnsi="Times New Roman"/>
          <w:color w:val="000000" w:themeColor="text1"/>
          <w:sz w:val="16"/>
          <w:szCs w:val="16"/>
        </w:rPr>
        <w:t>Андрюнин</w:t>
      </w:r>
      <w:proofErr w:type="spellEnd"/>
      <w:r w:rsidRPr="00A259BD">
        <w:rPr>
          <w:rFonts w:ascii="Times New Roman" w:hAnsi="Times New Roman"/>
          <w:color w:val="000000" w:themeColor="text1"/>
          <w:sz w:val="16"/>
          <w:szCs w:val="16"/>
        </w:rPr>
        <w:t>; по ВЭД (2004 г.)- О.А. Федоров; по экономике и финансам (2007 г.)- С.Н. Мамаев.</w:t>
      </w:r>
    </w:p>
    <w:p w14:paraId="2433AC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инженер (-06.1937-21.11.1938 г.)- П.П. Успасский (снят), (1941-42 г.-)- П.Д. Грушин, (-1966-67 г.-&gt; Т.Ф. </w:t>
      </w:r>
      <w:proofErr w:type="spellStart"/>
      <w:r w:rsidRPr="00A259BD">
        <w:rPr>
          <w:rFonts w:ascii="Times New Roman" w:hAnsi="Times New Roman"/>
          <w:color w:val="000000" w:themeColor="text1"/>
          <w:sz w:val="16"/>
          <w:szCs w:val="16"/>
        </w:rPr>
        <w:t>Сейфи</w:t>
      </w:r>
      <w:proofErr w:type="spellEnd"/>
      <w:r w:rsidRPr="00A259BD">
        <w:rPr>
          <w:rFonts w:ascii="Times New Roman" w:hAnsi="Times New Roman"/>
          <w:color w:val="000000" w:themeColor="text1"/>
          <w:sz w:val="16"/>
          <w:szCs w:val="16"/>
        </w:rPr>
        <w:t>.</w:t>
      </w:r>
    </w:p>
    <w:p w14:paraId="6D802A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конструктор (05(7).1936-04.1938 г.-)- Н.Н. Поликарпов (одновременно- гл. конструктор завода № 84), (9.05.1938-; 13.07-08.1938 г.-)- М.М. Пашинин, (11.1940-12.1945 г.)- С.А. Лавочкин, (06.1964 г.-)- С.М. Алексеев.</w:t>
      </w:r>
    </w:p>
    <w:p w14:paraId="68D8DF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технолог (9.05.1938-; 13.07.1938 г.-)- В.К. Григорьев. Гл. металлург (9.05.1938-; 13.07.1938 г.-)- Л.А. Петров.</w:t>
      </w:r>
    </w:p>
    <w:p w14:paraId="631366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начальника ОКБ (1936 г.-)- И.Ф. Флоров.</w:t>
      </w:r>
    </w:p>
    <w:p w14:paraId="7A499F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Начальники цехов: окончательной сборки (1936 г.)- Б.В. Куприянов; № 26 (2006 г.)- А. Жильцов.</w:t>
      </w:r>
    </w:p>
    <w:p w14:paraId="757AA1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Начальники отделов: ОТК (13.07.1938 г.-)- Окороков; рекламы (2006 г.)- Б.А. Воронов; (2006 г.)- А. Жильцов.</w:t>
      </w:r>
    </w:p>
    <w:p w14:paraId="7C902E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Начальники лабораторий: центральной (9.05.1938-; 13.07.1938 г.-)- Ф.И. Коновалов.</w:t>
      </w:r>
    </w:p>
    <w:p w14:paraId="426675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Шеф-пилот (1934-38 г.)- В.П. Чкалов.</w:t>
      </w:r>
    </w:p>
    <w:p w14:paraId="6FA90E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самолеты: ХАИ-1, И-5 (1932-34)- 661, УТИ-1 (~1935)~ 20, И-14, И-16 (1935-41)- 8495, «самолет № 7211» (1937)-1, И-180 (1940)- 1, ЛаГГ-3 (1941-42)- 3583, Як-7 (1942)- 5, Ла-5 (1942-44)- 9229, И-211 (1943)- 8, Ла-7 (1944-45)- 4357, Ла-7УТИ (1945-47), Ла-9 (1946-48)- 1599, Ла-11 (1947-51)-1182, Ла-150 (1946), Ла- 15 (1949-52)- 189, МиГ-15бис (1950-52)- 2148, МиГ-17 (1952-54), МиГ-17ПФ (1954-55), МиГ-19 (1954-57), МиГ- 19П (1956-58), МиГ-19ПМ (1955-60), СМ-50 - 5, Е-2А (1956)- 5, Е-50 (1957)- 1, МиГ-23 (1957)- 5, СМ-12П (1958)- 5, МиГ-21 (1960-75), МиГ-25 (1969-85)- 1112, МиГ-29УБ (1984-2006-), МиГ-31 (1979-94)- 400, Як-130 (2004-06-), МиГ-АТ (2004), М-101Т «Гжель» (-2004-06-), «</w:t>
      </w:r>
      <w:proofErr w:type="spellStart"/>
      <w:r w:rsidRPr="00A259BD">
        <w:rPr>
          <w:rFonts w:ascii="Times New Roman" w:hAnsi="Times New Roman"/>
          <w:color w:val="000000" w:themeColor="text1"/>
          <w:sz w:val="16"/>
          <w:szCs w:val="16"/>
        </w:rPr>
        <w:t>Эскалибур</w:t>
      </w:r>
      <w:proofErr w:type="spellEnd"/>
      <w:r w:rsidRPr="00A259BD">
        <w:rPr>
          <w:rFonts w:ascii="Times New Roman" w:hAnsi="Times New Roman"/>
          <w:color w:val="000000" w:themeColor="text1"/>
          <w:sz w:val="16"/>
          <w:szCs w:val="16"/>
        </w:rPr>
        <w:t>» (2004), экраноплан «Волга-2» (-2004-06-), легкий самолет-амфибия «Аккорд-201» (1998-2004-)- 4, «Динго» (1999)- 1; планеры ППО-1, ППО-2 (2004); мишень Ла-17 (1956-58)- 250; комплектующие для ОК «Буран»; антенны РС-10, РС-11 РЛС системы ПРО «А» (1950-е), Т-10 РЛС РКЦ-35 системы ПРО А-35 (1966); прогулочный катер «Сокол», СВП «Север-4П» (2004); модернизация: МиГ-21 бис в МиГ-21-93 (-2002-06-), МиГ-29УБ в МИГ-29УБТ (2006), Миг-31 в МиГ-31Э (-2007-09-); ремонт МиГ-21,-25,-29.</w:t>
      </w:r>
    </w:p>
    <w:p w14:paraId="439624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Заводской №: 6211 УТИ-1: (6- тип, 21- № завода, 1- № машины); № 31213109 (11982).</w:t>
      </w:r>
    </w:p>
    <w:p w14:paraId="720D65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E9474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E6086A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E4EA82" w14:textId="77777777" w:rsidR="008D7B97" w:rsidRPr="00A259BD" w:rsidRDefault="008D7B9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октября 1929 опросом членов ПБ</w:t>
      </w:r>
    </w:p>
    <w:p w14:paraId="59054DC6" w14:textId="77777777" w:rsidR="008D7B97" w:rsidRPr="00A259BD" w:rsidRDefault="008D7B9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О вредительской организации в военной промышленности.</w:t>
      </w:r>
    </w:p>
    <w:p w14:paraId="3B8588E2" w14:textId="5E397406" w:rsidR="008D7B97" w:rsidRPr="00A259BD" w:rsidRDefault="008D7B9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 Ягода).</w:t>
      </w:r>
    </w:p>
    <w:p w14:paraId="0CE12BC8" w14:textId="77777777" w:rsidR="008D7B97" w:rsidRPr="00A259BD" w:rsidRDefault="008D7B9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Согласиться с предложением ОГПУ о расстреле Михайлова и др. и принять проект сообщения для печати (</w:t>
      </w:r>
      <w:proofErr w:type="spellStart"/>
      <w:r w:rsidRPr="00A259BD">
        <w:rPr>
          <w:rFonts w:ascii="Times New Roman" w:hAnsi="Times New Roman"/>
          <w:color w:val="000000" w:themeColor="text1"/>
          <w:sz w:val="16"/>
          <w:szCs w:val="16"/>
        </w:rPr>
        <w:t>см.приложение</w:t>
      </w:r>
      <w:proofErr w:type="spellEnd"/>
      <w:r w:rsidRPr="00A259BD">
        <w:rPr>
          <w:rFonts w:ascii="Times New Roman" w:hAnsi="Times New Roman"/>
          <w:color w:val="000000" w:themeColor="text1"/>
          <w:sz w:val="16"/>
          <w:szCs w:val="16"/>
        </w:rPr>
        <w:t xml:space="preserve"> № 3).</w:t>
      </w:r>
    </w:p>
    <w:p w14:paraId="35595DCA" w14:textId="77777777" w:rsidR="008D7B97" w:rsidRPr="00A259BD" w:rsidRDefault="008D7B9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 3</w:t>
      </w:r>
    </w:p>
    <w:p w14:paraId="406FE8D2" w14:textId="77777777" w:rsidR="008D7B97" w:rsidRPr="00A259BD" w:rsidRDefault="008D7B9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22 (о .п.) пр. ПБ № 105.</w:t>
      </w:r>
    </w:p>
    <w:p w14:paraId="2043A359" w14:textId="77777777" w:rsidR="008D7B97" w:rsidRPr="00A259BD" w:rsidRDefault="008D7B9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СООБЩЕНИЕ ДЛЯ ПЕЧАТИ.</w:t>
      </w:r>
    </w:p>
    <w:p w14:paraId="5DDE45C0" w14:textId="77777777" w:rsidR="008D7B97" w:rsidRPr="00A259BD" w:rsidRDefault="008D7B9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(Принято ПБ ЦК ВКП(б) 21.X.29 г.).</w:t>
      </w:r>
    </w:p>
    <w:p w14:paraId="3326CE56" w14:textId="77777777" w:rsidR="008D7B97" w:rsidRPr="00A259BD" w:rsidRDefault="008D7B9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Органами ОГПУ раскрыта и ликвидирована </w:t>
      </w:r>
      <w:proofErr w:type="spellStart"/>
      <w:r w:rsidRPr="00A259BD">
        <w:rPr>
          <w:rFonts w:ascii="Times New Roman" w:hAnsi="Times New Roman"/>
          <w:color w:val="000000" w:themeColor="text1"/>
          <w:sz w:val="16"/>
          <w:szCs w:val="16"/>
        </w:rPr>
        <w:t>контр-револю</w:t>
      </w:r>
      <w:r w:rsidRPr="00A259BD">
        <w:rPr>
          <w:rFonts w:ascii="Times New Roman" w:hAnsi="Times New Roman"/>
          <w:color w:val="000000" w:themeColor="text1"/>
          <w:sz w:val="16"/>
          <w:szCs w:val="16"/>
        </w:rPr>
        <w:softHyphen/>
        <w:t>ционная</w:t>
      </w:r>
      <w:proofErr w:type="spellEnd"/>
      <w:r w:rsidRPr="00A259BD">
        <w:rPr>
          <w:rFonts w:ascii="Times New Roman" w:hAnsi="Times New Roman"/>
          <w:color w:val="000000" w:themeColor="text1"/>
          <w:sz w:val="16"/>
          <w:szCs w:val="16"/>
        </w:rPr>
        <w:t xml:space="preserve"> вредительская и шпионская организация в военной промышленности СССР. Организация ставила перед собой задачи - путем вредительства и шпионажа ослабление обороноспособности и содействие иностранным интервентам.</w:t>
      </w:r>
    </w:p>
    <w:p w14:paraId="72C68F2F" w14:textId="77777777" w:rsidR="008D7B97" w:rsidRPr="00A259BD" w:rsidRDefault="008D7B9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Личный состав ее состоял в подавляющем большинстве из бывших высших чинов царской армии - бывш. генералов и полковников. В связи с этим, Коллегией ОГПУ </w:t>
      </w:r>
      <w:proofErr w:type="spellStart"/>
      <w:r w:rsidRPr="00A259BD">
        <w:rPr>
          <w:rFonts w:ascii="Times New Roman" w:hAnsi="Times New Roman"/>
          <w:color w:val="000000" w:themeColor="text1"/>
          <w:sz w:val="16"/>
          <w:szCs w:val="16"/>
        </w:rPr>
        <w:t>приговорепн</w:t>
      </w:r>
      <w:proofErr w:type="spellEnd"/>
      <w:r w:rsidRPr="00A259BD">
        <w:rPr>
          <w:rFonts w:ascii="Times New Roman" w:hAnsi="Times New Roman"/>
          <w:color w:val="000000" w:themeColor="text1"/>
          <w:sz w:val="16"/>
          <w:szCs w:val="16"/>
        </w:rPr>
        <w:t xml:space="preserve"> к расстрелу: Михайлов В.С. - бывш. генерал, дворянин; </w:t>
      </w:r>
      <w:proofErr w:type="spellStart"/>
      <w:r w:rsidRPr="00A259BD">
        <w:rPr>
          <w:rFonts w:ascii="Times New Roman" w:hAnsi="Times New Roman"/>
          <w:color w:val="000000" w:themeColor="text1"/>
          <w:sz w:val="16"/>
          <w:szCs w:val="16"/>
        </w:rPr>
        <w:t>Высочанский</w:t>
      </w:r>
      <w:proofErr w:type="spellEnd"/>
      <w:r w:rsidRPr="00A259BD">
        <w:rPr>
          <w:rFonts w:ascii="Times New Roman" w:hAnsi="Times New Roman"/>
          <w:color w:val="000000" w:themeColor="text1"/>
          <w:sz w:val="16"/>
          <w:szCs w:val="16"/>
        </w:rPr>
        <w:t xml:space="preserve"> Н.Г. - бывш. генерал, дворянин; </w:t>
      </w:r>
      <w:proofErr w:type="spellStart"/>
      <w:r w:rsidRPr="00A259BD">
        <w:rPr>
          <w:rFonts w:ascii="Times New Roman" w:hAnsi="Times New Roman"/>
          <w:color w:val="000000" w:themeColor="text1"/>
          <w:sz w:val="16"/>
          <w:szCs w:val="16"/>
        </w:rPr>
        <w:t>Дымман</w:t>
      </w:r>
      <w:proofErr w:type="spellEnd"/>
      <w:r w:rsidRPr="00A259BD">
        <w:rPr>
          <w:rFonts w:ascii="Times New Roman" w:hAnsi="Times New Roman"/>
          <w:color w:val="000000" w:themeColor="text1"/>
          <w:sz w:val="16"/>
          <w:szCs w:val="16"/>
        </w:rPr>
        <w:t xml:space="preserve"> В. Л.-бывш. генерал, дворянин; </w:t>
      </w:r>
      <w:proofErr w:type="spellStart"/>
      <w:r w:rsidRPr="00A259BD">
        <w:rPr>
          <w:rFonts w:ascii="Times New Roman" w:hAnsi="Times New Roman"/>
          <w:color w:val="000000" w:themeColor="text1"/>
          <w:sz w:val="16"/>
          <w:szCs w:val="16"/>
        </w:rPr>
        <w:t>Деханов</w:t>
      </w:r>
      <w:proofErr w:type="spellEnd"/>
      <w:r w:rsidRPr="00A259BD">
        <w:rPr>
          <w:rFonts w:ascii="Times New Roman" w:hAnsi="Times New Roman"/>
          <w:color w:val="000000" w:themeColor="text1"/>
          <w:sz w:val="16"/>
          <w:szCs w:val="16"/>
        </w:rPr>
        <w:t xml:space="preserve"> В.И. - бывш. генерал, дворянин; Шульга И.В. - бывш. генерал-порученец при бывш. великом кня</w:t>
      </w:r>
      <w:r w:rsidRPr="00A259BD">
        <w:rPr>
          <w:rFonts w:ascii="Times New Roman" w:hAnsi="Times New Roman"/>
          <w:color w:val="000000" w:themeColor="text1"/>
          <w:sz w:val="16"/>
          <w:szCs w:val="16"/>
        </w:rPr>
        <w:softHyphen/>
        <w:t>зе Сергее Михайловиче.</w:t>
      </w:r>
    </w:p>
    <w:p w14:paraId="466FE507" w14:textId="77777777" w:rsidR="008D7B97" w:rsidRPr="00A259BD" w:rsidRDefault="008D7B9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Приговор приведен в исполнение.</w:t>
      </w:r>
    </w:p>
    <w:p w14:paraId="4DB20732" w14:textId="77777777" w:rsidR="008D7B97" w:rsidRPr="00A259BD" w:rsidRDefault="008D7B9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 остальные обвиняемые по указанному делу пригово</w:t>
      </w:r>
      <w:r w:rsidRPr="00A259BD">
        <w:rPr>
          <w:rFonts w:ascii="Times New Roman" w:hAnsi="Times New Roman"/>
          <w:color w:val="000000" w:themeColor="text1"/>
          <w:sz w:val="16"/>
          <w:szCs w:val="16"/>
        </w:rPr>
        <w:softHyphen/>
        <w:t>рены на разные сроки заключения в концентрационные лагеря.</w:t>
      </w:r>
    </w:p>
    <w:p w14:paraId="41CAF835" w14:textId="77777777" w:rsidR="008D7B97" w:rsidRPr="00A259BD" w:rsidRDefault="008D7B9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послана: т. Ягоде</w:t>
      </w:r>
    </w:p>
    <w:p w14:paraId="22A0EA70" w14:textId="77777777" w:rsidR="008D7B97" w:rsidRPr="00A259BD" w:rsidRDefault="008D7B9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октября 1929 состоялось заседание ПБ (Протокол № 105. Особый № 103) (23086).</w:t>
      </w:r>
    </w:p>
    <w:p w14:paraId="124E94B8" w14:textId="77777777" w:rsidR="008D7B97" w:rsidRPr="00A259BD" w:rsidRDefault="008D7B97" w:rsidP="009236E3">
      <w:pPr>
        <w:spacing w:after="0" w:line="240" w:lineRule="auto"/>
        <w:jc w:val="both"/>
        <w:rPr>
          <w:rFonts w:ascii="Times New Roman" w:hAnsi="Times New Roman"/>
          <w:color w:val="000000" w:themeColor="text1"/>
          <w:sz w:val="16"/>
          <w:szCs w:val="16"/>
        </w:rPr>
      </w:pPr>
    </w:p>
    <w:p w14:paraId="181B55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октября 1929 года Политбюро соглашаясь с предложением ОГПУ о расстреле Михайлова и др. и принимает проект сообщения для печати. В котором говорилось, что органами ОГПУ раскрыта и ликвидирована контрреволюционная вредительская и шпионская организация в военной промышленности СССР, которая ставила перед собой задачу путем вредительства и шпионажа ослабление обороноспособности страны, содействие иностранным интервентам. </w:t>
      </w:r>
    </w:p>
    <w:p w14:paraId="6BA9AB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Личный состав ее состоял в подавляющем большинстве из бывших высших чинов царской армии - бывших генералов и полковников. </w:t>
      </w:r>
    </w:p>
    <w:p w14:paraId="67269E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связи с этим Коллегией ОГПУ приговорены к расстрелу: </w:t>
      </w:r>
    </w:p>
    <w:p w14:paraId="4FA15E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Михайлов В.С. - бывший генерал, дворянин; </w:t>
      </w:r>
    </w:p>
    <w:p w14:paraId="7CB291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Высочанский</w:t>
      </w:r>
      <w:proofErr w:type="spellEnd"/>
      <w:r w:rsidRPr="00A259BD">
        <w:rPr>
          <w:rFonts w:ascii="Times New Roman" w:hAnsi="Times New Roman"/>
          <w:color w:val="000000" w:themeColor="text1"/>
          <w:sz w:val="16"/>
          <w:szCs w:val="16"/>
        </w:rPr>
        <w:t xml:space="preserve"> Н.Г. - бывший генерал, дворянин; </w:t>
      </w:r>
    </w:p>
    <w:p w14:paraId="69853F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Дымман</w:t>
      </w:r>
      <w:proofErr w:type="spellEnd"/>
      <w:r w:rsidRPr="00A259BD">
        <w:rPr>
          <w:rFonts w:ascii="Times New Roman" w:hAnsi="Times New Roman"/>
          <w:color w:val="000000" w:themeColor="text1"/>
          <w:sz w:val="16"/>
          <w:szCs w:val="16"/>
        </w:rPr>
        <w:t xml:space="preserve"> В.О. - бывший генерал, дворянин; </w:t>
      </w:r>
    </w:p>
    <w:p w14:paraId="37F36D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Дежанов</w:t>
      </w:r>
      <w:proofErr w:type="spellEnd"/>
      <w:r w:rsidRPr="00A259BD">
        <w:rPr>
          <w:rFonts w:ascii="Times New Roman" w:hAnsi="Times New Roman"/>
          <w:color w:val="000000" w:themeColor="text1"/>
          <w:sz w:val="16"/>
          <w:szCs w:val="16"/>
        </w:rPr>
        <w:t xml:space="preserve"> В.Н. - бывший генерал, дворянин; </w:t>
      </w:r>
    </w:p>
    <w:p w14:paraId="10AD42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Шульга Н.В. - бывш. генерал порученец при бывшем великом князе Сергее Михайловиче</w:t>
      </w:r>
    </w:p>
    <w:p w14:paraId="61E7BF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Приговор приведен в исполнение. </w:t>
      </w:r>
    </w:p>
    <w:p w14:paraId="12A30C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 остальные по указанному делу были приговорены на разные сроки заключения в концентрационные лагеря (11248).</w:t>
      </w:r>
    </w:p>
    <w:p w14:paraId="142612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AD4E6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7AA54A6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2258B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октября 1929 г. по положению, объявленному приказом РВС СССР No.200/40, функции Управления ВВС СССР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655415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65CE02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w:t>
      </w:r>
      <w:proofErr w:type="spellStart"/>
      <w:r w:rsidRPr="00A259BD">
        <w:rPr>
          <w:rFonts w:ascii="Times New Roman" w:hAnsi="Times New Roman"/>
          <w:color w:val="000000" w:themeColor="text1"/>
          <w:sz w:val="16"/>
          <w:szCs w:val="16"/>
        </w:rPr>
        <w:t>зам.наркома</w:t>
      </w:r>
      <w:proofErr w:type="spellEnd"/>
      <w:r w:rsidRPr="00A259BD">
        <w:rPr>
          <w:rFonts w:ascii="Times New Roman" w:hAnsi="Times New Roman"/>
          <w:color w:val="000000" w:themeColor="text1"/>
          <w:sz w:val="16"/>
          <w:szCs w:val="16"/>
        </w:rPr>
        <w:t xml:space="preserve">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2B335F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6CE9A3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2F35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октября 1929 г. По положению о центральном аппарате Наркомвоенмора, объявленному приказом РВС СССР No.200/40, Военно-химическое управление оставалось в составе Управления снабжений РККА.</w:t>
      </w:r>
    </w:p>
    <w:p w14:paraId="60277C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связи с учреждением приказом РВС СССР No.360/78 от 20 ноября 1929 г. должности начальника вооружений РККА в его подчинение передавалось Военно-химическое управление РККА.</w:t>
      </w:r>
    </w:p>
    <w:p w14:paraId="65E9D9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 мая 1932 г. (приказ РВС СССР No.074 от 4 июля 1932 г.) Управление становится центральным органом Наркомвоенмора СССР по руководству боевой и технической подготовкой химических войск и по военно-химической подготовке частей РККА.</w:t>
      </w:r>
    </w:p>
    <w:p w14:paraId="575BE1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По положению об НКО СССР от 22 ноября 1934 г. переименовано в Химическое управление РККА.</w:t>
      </w:r>
    </w:p>
    <w:p w14:paraId="7AE5CB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приказу НКО No.055 от 9 апреля 1936 г. Управление подчинялось Главному управлению вооружения и технического снабжения РККА, а приказом НКО No.0156 от 11 октября 1939 г. - Главному управлению военно-технического снабжения Красной Армии.</w:t>
      </w:r>
    </w:p>
    <w:p w14:paraId="5CC67B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НКО No.0037 от 26 июля 1940 г. Управление преобразовано в Управление военно-химической защиты Красной Армии.</w:t>
      </w:r>
    </w:p>
    <w:p w14:paraId="456BE7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579B5A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F5837D" w14:textId="77777777" w:rsidR="00F87646" w:rsidRPr="00A259BD" w:rsidRDefault="00F87646" w:rsidP="009236E3">
      <w:pPr>
        <w:autoSpaceDE w:val="0"/>
        <w:autoSpaceDN w:val="0"/>
        <w:adjustRightInd w:val="0"/>
        <w:spacing w:after="0" w:line="240" w:lineRule="auto"/>
        <w:jc w:val="both"/>
        <w:rPr>
          <w:rFonts w:ascii="Times New Roman" w:hAnsi="Times New Roman"/>
          <w:i/>
          <w:iCs/>
          <w:color w:val="000000" w:themeColor="text1"/>
          <w:sz w:val="16"/>
          <w:szCs w:val="16"/>
        </w:rPr>
      </w:pPr>
      <w:r w:rsidRPr="00A259BD">
        <w:rPr>
          <w:rFonts w:ascii="Times New Roman" w:hAnsi="Times New Roman"/>
          <w:i/>
          <w:iCs/>
          <w:color w:val="000000" w:themeColor="text1"/>
          <w:sz w:val="16"/>
          <w:szCs w:val="16"/>
        </w:rPr>
        <w:t>Армия:</w:t>
      </w:r>
    </w:p>
    <w:p w14:paraId="4EC24965" w14:textId="77777777" w:rsidR="00F87646" w:rsidRPr="00A259BD" w:rsidRDefault="00F87646"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0E86929E"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октября 1929 г. Приказом РВС СССР № 200/40 было введено в действие Положение о центральном аппарате Наркомата по военным и морским делам, в состав которого входило Управление Военных Воздушных сил РККА. В том же приказе было указано, что с 1 июля 1929 г. следует считать вступившим в действие и новое Положение об Управлении ВВС РККА, в соответствии с которым с 1 января вводился новый штат Управления ВВС РККА (19566).</w:t>
      </w:r>
    </w:p>
    <w:p w14:paraId="5BB37297" w14:textId="77777777" w:rsidR="00F87646" w:rsidRPr="00A259BD" w:rsidRDefault="00F87646" w:rsidP="009236E3">
      <w:pPr>
        <w:spacing w:after="0" w:line="240" w:lineRule="auto"/>
        <w:jc w:val="both"/>
        <w:rPr>
          <w:rFonts w:ascii="Times New Roman" w:hAnsi="Times New Roman"/>
          <w:color w:val="000000" w:themeColor="text1"/>
          <w:sz w:val="16"/>
          <w:szCs w:val="16"/>
        </w:rPr>
      </w:pPr>
    </w:p>
    <w:p w14:paraId="0E3FF7BB" w14:textId="77777777" w:rsidR="003D7E85" w:rsidRPr="00A259BD" w:rsidRDefault="003D7E85" w:rsidP="009236E3">
      <w:pPr>
        <w:autoSpaceDE w:val="0"/>
        <w:autoSpaceDN w:val="0"/>
        <w:adjustRightInd w:val="0"/>
        <w:spacing w:after="0" w:line="240" w:lineRule="auto"/>
        <w:jc w:val="both"/>
        <w:rPr>
          <w:rFonts w:ascii="Times New Roman" w:hAnsi="Times New Roman"/>
          <w:i/>
          <w:iCs/>
          <w:color w:val="000000" w:themeColor="text1"/>
          <w:sz w:val="16"/>
          <w:szCs w:val="16"/>
        </w:rPr>
      </w:pPr>
      <w:r w:rsidRPr="00A259BD">
        <w:rPr>
          <w:rFonts w:ascii="Times New Roman" w:hAnsi="Times New Roman"/>
          <w:i/>
          <w:iCs/>
          <w:color w:val="000000" w:themeColor="text1"/>
          <w:sz w:val="16"/>
          <w:szCs w:val="16"/>
        </w:rPr>
        <w:t xml:space="preserve">Жизнь и </w:t>
      </w:r>
      <w:proofErr w:type="spellStart"/>
      <w:r w:rsidRPr="00A259BD">
        <w:rPr>
          <w:rFonts w:ascii="Times New Roman" w:hAnsi="Times New Roman"/>
          <w:i/>
          <w:iCs/>
          <w:color w:val="000000" w:themeColor="text1"/>
          <w:sz w:val="16"/>
          <w:szCs w:val="16"/>
        </w:rPr>
        <w:t>внутреняя</w:t>
      </w:r>
      <w:proofErr w:type="spellEnd"/>
      <w:r w:rsidRPr="00A259BD">
        <w:rPr>
          <w:rFonts w:ascii="Times New Roman" w:hAnsi="Times New Roman"/>
          <w:i/>
          <w:iCs/>
          <w:color w:val="000000" w:themeColor="text1"/>
          <w:sz w:val="16"/>
          <w:szCs w:val="16"/>
        </w:rPr>
        <w:t xml:space="preserve"> политика:</w:t>
      </w:r>
    </w:p>
    <w:p w14:paraId="470F717D" w14:textId="77777777" w:rsidR="003D7E85" w:rsidRPr="00A259BD" w:rsidRDefault="003D7E85"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368196DC" w14:textId="77777777" w:rsidR="003D7E85" w:rsidRPr="00A259BD" w:rsidRDefault="003D7E8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октября 1929 г. </w:t>
      </w:r>
      <w:proofErr w:type="spellStart"/>
      <w:r w:rsidRPr="00A259BD">
        <w:rPr>
          <w:rFonts w:ascii="Times New Roman" w:hAnsi="Times New Roman"/>
          <w:color w:val="000000" w:themeColor="text1"/>
          <w:sz w:val="16"/>
          <w:szCs w:val="16"/>
        </w:rPr>
        <w:t>Ю.П.Фигатнер</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С.М.Киров</w:t>
      </w:r>
      <w:proofErr w:type="spellEnd"/>
      <w:r w:rsidRPr="00A259BD">
        <w:rPr>
          <w:rFonts w:ascii="Times New Roman" w:hAnsi="Times New Roman"/>
          <w:color w:val="000000" w:themeColor="text1"/>
          <w:sz w:val="16"/>
          <w:szCs w:val="16"/>
        </w:rPr>
        <w:t xml:space="preserve"> в телеграмме </w:t>
      </w:r>
      <w:proofErr w:type="spellStart"/>
      <w:r w:rsidRPr="00A259BD">
        <w:rPr>
          <w:rFonts w:ascii="Times New Roman" w:hAnsi="Times New Roman"/>
          <w:color w:val="000000" w:themeColor="text1"/>
          <w:sz w:val="16"/>
          <w:szCs w:val="16"/>
        </w:rPr>
        <w:t>И.В.Сталину</w:t>
      </w:r>
      <w:proofErr w:type="spellEnd"/>
      <w:r w:rsidRPr="00A259BD">
        <w:rPr>
          <w:rFonts w:ascii="Times New Roman" w:hAnsi="Times New Roman"/>
          <w:color w:val="000000" w:themeColor="text1"/>
          <w:sz w:val="16"/>
          <w:szCs w:val="16"/>
        </w:rPr>
        <w:t xml:space="preserve"> сообщили, что в Библиотеке Академии наук в нешифрованном фонде находятся подлинники отречения Николая II, акта об отказе великого князя Михаила Александровича от принятия престола, 66 томов личного дневника великого князя Константина Константиновича, документы канцелярии Николая II, Военного министерства, ЦК кадетов и др., а в Археографической комиссии - личный архив великого князя Михаила Николаевича, в Пушкинском доме - личные архивы великого князя Константина Константиновича и бывшего шефа жандармов </w:t>
      </w:r>
      <w:proofErr w:type="spellStart"/>
      <w:r w:rsidRPr="00A259BD">
        <w:rPr>
          <w:rFonts w:ascii="Times New Roman" w:hAnsi="Times New Roman"/>
          <w:color w:val="000000" w:themeColor="text1"/>
          <w:sz w:val="16"/>
          <w:szCs w:val="16"/>
        </w:rPr>
        <w:t>В.Ф.Джунковского</w:t>
      </w:r>
      <w:proofErr w:type="spellEnd"/>
      <w:r w:rsidRPr="00A259BD">
        <w:rPr>
          <w:rFonts w:ascii="Times New Roman" w:hAnsi="Times New Roman"/>
          <w:color w:val="000000" w:themeColor="text1"/>
          <w:sz w:val="16"/>
          <w:szCs w:val="16"/>
        </w:rPr>
        <w:t xml:space="preserve">. Правительственная Комиссия по проверке состава аппарата Академии наук («Комиссия </w:t>
      </w:r>
      <w:proofErr w:type="spellStart"/>
      <w:r w:rsidRPr="00A259BD">
        <w:rPr>
          <w:rFonts w:ascii="Times New Roman" w:hAnsi="Times New Roman"/>
          <w:color w:val="000000" w:themeColor="text1"/>
          <w:sz w:val="16"/>
          <w:szCs w:val="16"/>
        </w:rPr>
        <w:t>Ю.П.Фигатнера</w:t>
      </w:r>
      <w:proofErr w:type="spellEnd"/>
      <w:r w:rsidRPr="00A259BD">
        <w:rPr>
          <w:rFonts w:ascii="Times New Roman" w:hAnsi="Times New Roman"/>
          <w:color w:val="000000" w:themeColor="text1"/>
          <w:sz w:val="16"/>
          <w:szCs w:val="16"/>
        </w:rPr>
        <w:t xml:space="preserve">») по доносу коммунистов </w:t>
      </w:r>
      <w:proofErr w:type="spellStart"/>
      <w:r w:rsidRPr="00A259BD">
        <w:rPr>
          <w:rFonts w:ascii="Times New Roman" w:hAnsi="Times New Roman"/>
          <w:color w:val="000000" w:themeColor="text1"/>
          <w:sz w:val="16"/>
          <w:szCs w:val="16"/>
        </w:rPr>
        <w:t>Центроархива</w:t>
      </w:r>
      <w:proofErr w:type="spellEnd"/>
      <w:r w:rsidRPr="00A259BD">
        <w:rPr>
          <w:rFonts w:ascii="Times New Roman" w:hAnsi="Times New Roman"/>
          <w:color w:val="000000" w:themeColor="text1"/>
          <w:sz w:val="16"/>
          <w:szCs w:val="16"/>
        </w:rPr>
        <w:t xml:space="preserve"> установила криминальный, по ее мнению, факт негласного хранения в научных учреждениях Ленинграда историко-политических документов. Хотя большинство документов поступили в эти учреждения на хранение до октября 1917 г., их использовали как повод для возбуждения «Академического дела». 5 ноября 1929 г. Политбюро ЦК </w:t>
      </w:r>
      <w:proofErr w:type="spellStart"/>
      <w:r w:rsidRPr="00A259BD">
        <w:rPr>
          <w:rFonts w:ascii="Times New Roman" w:hAnsi="Times New Roman"/>
          <w:color w:val="000000" w:themeColor="text1"/>
          <w:sz w:val="16"/>
          <w:szCs w:val="16"/>
        </w:rPr>
        <w:t>ВКЩб</w:t>
      </w:r>
      <w:proofErr w:type="spellEnd"/>
      <w:r w:rsidRPr="00A259BD">
        <w:rPr>
          <w:rFonts w:ascii="Times New Roman" w:hAnsi="Times New Roman"/>
          <w:color w:val="000000" w:themeColor="text1"/>
          <w:sz w:val="16"/>
          <w:szCs w:val="16"/>
        </w:rPr>
        <w:t xml:space="preserve">) приняло решение об уголовном преследовании сотрудников Академии наук, причастных к этой истории с документами. Среди репрессированных ученых были академики </w:t>
      </w:r>
      <w:proofErr w:type="spellStart"/>
      <w:r w:rsidRPr="00A259BD">
        <w:rPr>
          <w:rFonts w:ascii="Times New Roman" w:hAnsi="Times New Roman"/>
          <w:color w:val="000000" w:themeColor="text1"/>
          <w:sz w:val="16"/>
          <w:szCs w:val="16"/>
        </w:rPr>
        <w:t>С.Ф.Платонов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Н.П.Лихачев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Е.В.Тарле</w:t>
      </w:r>
      <w:proofErr w:type="spellEnd"/>
      <w:r w:rsidRPr="00A259BD">
        <w:rPr>
          <w:rFonts w:ascii="Times New Roman" w:hAnsi="Times New Roman"/>
          <w:color w:val="000000" w:themeColor="text1"/>
          <w:sz w:val="16"/>
          <w:szCs w:val="16"/>
        </w:rPr>
        <w:t xml:space="preserve"> и др. (см.: Академическое дело 1929-1931 гг. Документы и материалы следственного дела, сфабрикованного ОГПУ. </w:t>
      </w:r>
      <w:proofErr w:type="spellStart"/>
      <w:r w:rsidRPr="00A259BD">
        <w:rPr>
          <w:rFonts w:ascii="Times New Roman" w:hAnsi="Times New Roman"/>
          <w:color w:val="000000" w:themeColor="text1"/>
          <w:sz w:val="16"/>
          <w:szCs w:val="16"/>
        </w:rPr>
        <w:t>Вып</w:t>
      </w:r>
      <w:proofErr w:type="spellEnd"/>
      <w:r w:rsidRPr="00A259BD">
        <w:rPr>
          <w:rFonts w:ascii="Times New Roman" w:hAnsi="Times New Roman"/>
          <w:color w:val="000000" w:themeColor="text1"/>
          <w:sz w:val="16"/>
          <w:szCs w:val="16"/>
        </w:rPr>
        <w:t xml:space="preserve">. 1. Дело по обвинению академика </w:t>
      </w:r>
      <w:proofErr w:type="spellStart"/>
      <w:r w:rsidRPr="00A259BD">
        <w:rPr>
          <w:rFonts w:ascii="Times New Roman" w:hAnsi="Times New Roman"/>
          <w:color w:val="000000" w:themeColor="text1"/>
          <w:sz w:val="16"/>
          <w:szCs w:val="16"/>
        </w:rPr>
        <w:t>С.Ф.Платонова</w:t>
      </w:r>
      <w:proofErr w:type="spellEnd"/>
      <w:r w:rsidRPr="00A259BD">
        <w:rPr>
          <w:rFonts w:ascii="Times New Roman" w:hAnsi="Times New Roman"/>
          <w:color w:val="000000" w:themeColor="text1"/>
          <w:sz w:val="16"/>
          <w:szCs w:val="16"/>
        </w:rPr>
        <w:t>. СПб., 1993) (12214).</w:t>
      </w:r>
    </w:p>
    <w:p w14:paraId="24855695" w14:textId="77777777" w:rsidR="003D7E85" w:rsidRPr="00A259BD" w:rsidRDefault="003D7E85" w:rsidP="009236E3">
      <w:pPr>
        <w:spacing w:after="0" w:line="240" w:lineRule="auto"/>
        <w:jc w:val="both"/>
        <w:rPr>
          <w:rFonts w:ascii="Times New Roman" w:hAnsi="Times New Roman"/>
          <w:color w:val="000000" w:themeColor="text1"/>
          <w:sz w:val="16"/>
          <w:szCs w:val="16"/>
        </w:rPr>
      </w:pPr>
    </w:p>
    <w:p w14:paraId="2A5751B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2E7C80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0F1A4DC" w14:textId="77777777" w:rsidR="00FF3387" w:rsidRPr="00A259BD" w:rsidRDefault="00FF3387"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 xml:space="preserve">21 октября </w:t>
      </w:r>
      <w:r w:rsidRPr="00A259BD">
        <w:rPr>
          <w:rFonts w:ascii="Times New Roman" w:hAnsi="Times New Roman"/>
          <w:color w:val="000000" w:themeColor="text1"/>
          <w:sz w:val="16"/>
          <w:szCs w:val="16"/>
        </w:rPr>
        <w:t>в 1929 году «</w:t>
      </w:r>
      <w:proofErr w:type="spellStart"/>
      <w:r w:rsidRPr="00A259BD">
        <w:rPr>
          <w:rFonts w:ascii="Times New Roman" w:hAnsi="Times New Roman"/>
          <w:color w:val="000000" w:themeColor="text1"/>
          <w:sz w:val="16"/>
          <w:szCs w:val="16"/>
        </w:rPr>
        <w:t>Dо</w:t>
      </w:r>
      <w:proofErr w:type="spellEnd"/>
      <w:r w:rsidRPr="00A259BD">
        <w:rPr>
          <w:rFonts w:ascii="Times New Roman" w:hAnsi="Times New Roman"/>
          <w:color w:val="000000" w:themeColor="text1"/>
          <w:sz w:val="16"/>
          <w:szCs w:val="16"/>
        </w:rPr>
        <w:t xml:space="preserve">-Х», пилотируемый экипажем из 10 человек, взял на борт 159 пассажиров (из них 9 — безбилетники). Первый полет прототип </w:t>
      </w:r>
      <w:proofErr w:type="spellStart"/>
      <w:r w:rsidRPr="00A259BD">
        <w:rPr>
          <w:rFonts w:ascii="Times New Roman" w:hAnsi="Times New Roman"/>
          <w:color w:val="000000" w:themeColor="text1"/>
          <w:sz w:val="16"/>
          <w:szCs w:val="16"/>
        </w:rPr>
        <w:t>cамой</w:t>
      </w:r>
      <w:proofErr w:type="spellEnd"/>
      <w:r w:rsidRPr="00A259BD">
        <w:rPr>
          <w:rFonts w:ascii="Times New Roman" w:hAnsi="Times New Roman"/>
          <w:color w:val="000000" w:themeColor="text1"/>
          <w:sz w:val="16"/>
          <w:szCs w:val="16"/>
        </w:rPr>
        <w:t xml:space="preserve"> большой летающей лодкой, построенной в период между двумя мировыми войнами –«Дорнье» «</w:t>
      </w:r>
      <w:proofErr w:type="spellStart"/>
      <w:r w:rsidRPr="00A259BD">
        <w:rPr>
          <w:rFonts w:ascii="Times New Roman" w:hAnsi="Times New Roman"/>
          <w:color w:val="000000" w:themeColor="text1"/>
          <w:sz w:val="16"/>
          <w:szCs w:val="16"/>
        </w:rPr>
        <w:t>Dо</w:t>
      </w:r>
      <w:proofErr w:type="spellEnd"/>
      <w:r w:rsidRPr="00A259BD">
        <w:rPr>
          <w:rFonts w:ascii="Times New Roman" w:hAnsi="Times New Roman"/>
          <w:color w:val="000000" w:themeColor="text1"/>
          <w:sz w:val="16"/>
          <w:szCs w:val="16"/>
        </w:rPr>
        <w:t xml:space="preserve">-Х». совершил 25 июля 1929 года. На то время это был самый большой самолет в мире, оснащенный двенадцатью двигателями (первоначально 525-сильными Сименс «Юпитер», затем 600-сильными </w:t>
      </w:r>
      <w:proofErr w:type="spellStart"/>
      <w:r w:rsidRPr="00A259BD">
        <w:rPr>
          <w:rFonts w:ascii="Times New Roman" w:hAnsi="Times New Roman"/>
          <w:color w:val="000000" w:themeColor="text1"/>
          <w:sz w:val="16"/>
          <w:szCs w:val="16"/>
        </w:rPr>
        <w:t>Кертисс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Конкерор</w:t>
      </w:r>
      <w:proofErr w:type="spellEnd"/>
      <w:r w:rsidRPr="00A259BD">
        <w:rPr>
          <w:rFonts w:ascii="Times New Roman" w:hAnsi="Times New Roman"/>
          <w:color w:val="000000" w:themeColor="text1"/>
          <w:sz w:val="16"/>
          <w:szCs w:val="16"/>
        </w:rPr>
        <w:t>») смонтированными тандемными парами на 48 -метровом крыле-моноплане. Всего были построены три летающие лодки «</w:t>
      </w:r>
      <w:proofErr w:type="spellStart"/>
      <w:r w:rsidRPr="00A259BD">
        <w:rPr>
          <w:rFonts w:ascii="Times New Roman" w:hAnsi="Times New Roman"/>
          <w:color w:val="000000" w:themeColor="text1"/>
          <w:sz w:val="16"/>
          <w:szCs w:val="16"/>
        </w:rPr>
        <w:t>Dо</w:t>
      </w:r>
      <w:proofErr w:type="spellEnd"/>
      <w:r w:rsidRPr="00A259BD">
        <w:rPr>
          <w:rFonts w:ascii="Times New Roman" w:hAnsi="Times New Roman"/>
          <w:color w:val="000000" w:themeColor="text1"/>
          <w:sz w:val="16"/>
          <w:szCs w:val="16"/>
        </w:rPr>
        <w:t>-Х». Самым из</w:t>
      </w:r>
      <w:r w:rsidRPr="00A259BD">
        <w:rPr>
          <w:rFonts w:ascii="Times New Roman" w:hAnsi="Times New Roman"/>
          <w:color w:val="000000" w:themeColor="text1"/>
          <w:sz w:val="16"/>
          <w:szCs w:val="16"/>
        </w:rPr>
        <w:softHyphen/>
        <w:t xml:space="preserve">вестным полетом самолета этого типа считается перелет из Германии в Нью-Йорк, растянувшийся со 2 ноября 1930 г. по 27 августа 1931 г. из-за поломок фюзеляжа и крыла, многочисленных продолжительных остановок в самых разных местах, включая Амстердам, </w:t>
      </w:r>
      <w:proofErr w:type="spellStart"/>
      <w:r w:rsidRPr="00A259BD">
        <w:rPr>
          <w:rFonts w:ascii="Times New Roman" w:hAnsi="Times New Roman"/>
          <w:color w:val="000000" w:themeColor="text1"/>
          <w:sz w:val="16"/>
          <w:szCs w:val="16"/>
        </w:rPr>
        <w:t>Калшот</w:t>
      </w:r>
      <w:proofErr w:type="spellEnd"/>
      <w:r w:rsidRPr="00A259BD">
        <w:rPr>
          <w:rFonts w:ascii="Times New Roman" w:hAnsi="Times New Roman"/>
          <w:color w:val="000000" w:themeColor="text1"/>
          <w:sz w:val="16"/>
          <w:szCs w:val="16"/>
        </w:rPr>
        <w:t xml:space="preserve">, Лиссабон, Канарские острова, Португальскую Гвинею и Рио-де-Жанейро. С коммерческой точки зрения </w:t>
      </w:r>
      <w:proofErr w:type="spellStart"/>
      <w:r w:rsidRPr="00A259BD">
        <w:rPr>
          <w:rFonts w:ascii="Times New Roman" w:hAnsi="Times New Roman"/>
          <w:color w:val="000000" w:themeColor="text1"/>
          <w:sz w:val="16"/>
          <w:szCs w:val="16"/>
        </w:rPr>
        <w:t>Dо</w:t>
      </w:r>
      <w:proofErr w:type="spellEnd"/>
      <w:r w:rsidRPr="00A259BD">
        <w:rPr>
          <w:rFonts w:ascii="Times New Roman" w:hAnsi="Times New Roman"/>
          <w:color w:val="000000" w:themeColor="text1"/>
          <w:sz w:val="16"/>
          <w:szCs w:val="16"/>
        </w:rPr>
        <w:t>-Х был абсолютно бесполезной и бесперспективной машиной, и два образца, проданные итальянской авиакомпании, так никогда ею и не эксплуатировались. «</w:t>
      </w:r>
      <w:proofErr w:type="spellStart"/>
      <w:r w:rsidRPr="00A259BD">
        <w:rPr>
          <w:rFonts w:ascii="Times New Roman" w:hAnsi="Times New Roman"/>
          <w:color w:val="000000" w:themeColor="text1"/>
          <w:sz w:val="16"/>
          <w:szCs w:val="16"/>
        </w:rPr>
        <w:t>Dо</w:t>
      </w:r>
      <w:proofErr w:type="spellEnd"/>
      <w:r w:rsidRPr="00A259BD">
        <w:rPr>
          <w:rFonts w:ascii="Times New Roman" w:hAnsi="Times New Roman"/>
          <w:color w:val="000000" w:themeColor="text1"/>
          <w:sz w:val="16"/>
          <w:szCs w:val="16"/>
        </w:rPr>
        <w:t>-Х» имел довольно приличную на то время скорость — 216 км/ч, практический потолок — 500 метров и с полной нагрузкой весил 56000 килограммов (14806).</w:t>
      </w:r>
    </w:p>
    <w:p w14:paraId="114E708E" w14:textId="77777777" w:rsidR="00FF3387" w:rsidRPr="00A259BD" w:rsidRDefault="00FF3387" w:rsidP="009236E3">
      <w:pPr>
        <w:spacing w:after="0" w:line="240" w:lineRule="auto"/>
        <w:jc w:val="both"/>
        <w:rPr>
          <w:rFonts w:ascii="Times New Roman" w:hAnsi="Times New Roman"/>
          <w:color w:val="000000" w:themeColor="text1"/>
          <w:sz w:val="16"/>
          <w:szCs w:val="16"/>
        </w:rPr>
      </w:pPr>
    </w:p>
    <w:p w14:paraId="0940A8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октября 1929 парламентские выборы в Египте принесли победу партии </w:t>
      </w:r>
      <w:proofErr w:type="spellStart"/>
      <w:r w:rsidRPr="00A259BD">
        <w:rPr>
          <w:rFonts w:ascii="Times New Roman" w:hAnsi="Times New Roman"/>
          <w:color w:val="000000" w:themeColor="text1"/>
          <w:sz w:val="16"/>
          <w:szCs w:val="16"/>
        </w:rPr>
        <w:t>Вадф</w:t>
      </w:r>
      <w:proofErr w:type="spellEnd"/>
      <w:r w:rsidRPr="00A259BD">
        <w:rPr>
          <w:rFonts w:ascii="Times New Roman" w:hAnsi="Times New Roman"/>
          <w:color w:val="000000" w:themeColor="text1"/>
          <w:sz w:val="16"/>
          <w:szCs w:val="16"/>
        </w:rPr>
        <w:t xml:space="preserve"> (3907,157).</w:t>
      </w:r>
    </w:p>
    <w:p w14:paraId="109BFA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DBAD9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89FFD0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CBB01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октября 1929 в НИИ ВВС для испытаний И-4 А.Н.Т., который был 10 октября направлен обратно на завод из-за тряски мотора, поступил новый И-4. испытания шли до ноября и 21 ноября были результаты (2371).</w:t>
      </w:r>
    </w:p>
    <w:p w14:paraId="0D247E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C16F8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октября 1929 г. представители НТК УВВС </w:t>
      </w:r>
      <w:proofErr w:type="spellStart"/>
      <w:r w:rsidRPr="00A259BD">
        <w:rPr>
          <w:rFonts w:ascii="Times New Roman" w:hAnsi="Times New Roman"/>
          <w:color w:val="000000" w:themeColor="text1"/>
          <w:sz w:val="16"/>
          <w:szCs w:val="16"/>
        </w:rPr>
        <w:t>С.В.Ильюшин</w:t>
      </w:r>
      <w:proofErr w:type="spellEnd"/>
      <w:r w:rsidRPr="00A259BD">
        <w:rPr>
          <w:rFonts w:ascii="Times New Roman" w:hAnsi="Times New Roman"/>
          <w:color w:val="000000" w:themeColor="text1"/>
          <w:sz w:val="16"/>
          <w:szCs w:val="16"/>
        </w:rPr>
        <w:t xml:space="preserve"> и инженер </w:t>
      </w:r>
      <w:proofErr w:type="spellStart"/>
      <w:r w:rsidRPr="00A259BD">
        <w:rPr>
          <w:rFonts w:ascii="Times New Roman" w:hAnsi="Times New Roman"/>
          <w:color w:val="000000" w:themeColor="text1"/>
          <w:sz w:val="16"/>
          <w:szCs w:val="16"/>
        </w:rPr>
        <w:t>А.А.Горяинов</w:t>
      </w:r>
      <w:proofErr w:type="spellEnd"/>
      <w:r w:rsidRPr="00A259BD">
        <w:rPr>
          <w:rFonts w:ascii="Times New Roman" w:hAnsi="Times New Roman"/>
          <w:color w:val="000000" w:themeColor="text1"/>
          <w:sz w:val="16"/>
          <w:szCs w:val="16"/>
        </w:rPr>
        <w:t xml:space="preserve"> приехали на завод № 25 и ознакомились с ходом работ по строительству опытного самолета ТБ-2. Особое внимание гостей привлекла коробка крыльев самолета. При ее осмотре Горяинов толкнул рукой верхнее крыло близ крепления верхних концов главных подкосов, и, к удивлению присутствующих, крыло заколебалось в плоскости хорд. Проверка расчетов коробки крыльев на прочность показала их принципиальную правильность.</w:t>
      </w:r>
    </w:p>
    <w:p w14:paraId="28418E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Было принято решение уничтожить люфты в креплениях "кабанов" - стоек, связывающих крыло с фюзеляжем, а в плоскости главных подкосов установить дополнительную расчалку с двумя крестами лент. Ильюшин предложил также уменьшить высоту коробки крыльев на 300 мм, если принятые меры не дадут должного эффекта (3407).</w:t>
      </w:r>
    </w:p>
    <w:p w14:paraId="7615D1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E0D31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октября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12) и обсуждали вопрос положении на заводе 1 (2367).</w:t>
      </w:r>
    </w:p>
    <w:p w14:paraId="1B388F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3DE26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октября 1929 было отправлено письмо N 151/498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в ЦАГИ, подписанное Зав. тех. отд. </w:t>
      </w:r>
      <w:proofErr w:type="spellStart"/>
      <w:r w:rsidRPr="00A259BD">
        <w:rPr>
          <w:rFonts w:ascii="Times New Roman" w:hAnsi="Times New Roman"/>
          <w:color w:val="000000" w:themeColor="text1"/>
          <w:sz w:val="16"/>
          <w:szCs w:val="16"/>
        </w:rPr>
        <w:t>Окромешко</w:t>
      </w:r>
      <w:proofErr w:type="spellEnd"/>
      <w:r w:rsidRPr="00A259BD">
        <w:rPr>
          <w:rFonts w:ascii="Times New Roman" w:hAnsi="Times New Roman"/>
          <w:color w:val="000000" w:themeColor="text1"/>
          <w:sz w:val="16"/>
          <w:szCs w:val="16"/>
        </w:rPr>
        <w:t xml:space="preserve"> и ст. И Пастушенко (вход. № 14-126 от 23 октября) в сопровождение проекта УВВС по пятилетнему плану опытного строительства. "Прошу Вас на основании постановления Правления на заседании 19 октября 1930 не позднее 26 октября представить Ваше заключение о приемлемости для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указанных в плане работ, а также соображения по намеченному УВВС темпу развития опытного строительства в соответствии с суждениями, высказанными на упомянутом заседании Правления." Приложение - на 87 листах, в т.ч. (351):</w:t>
      </w:r>
    </w:p>
    <w:p w14:paraId="5C716E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Пояснительная записка к пятилетнему плану опытного моторостроения - от 1929</w:t>
      </w:r>
    </w:p>
    <w:p w14:paraId="06B8A6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ab/>
        <w:t>Моторы экспериментального типа - от 1929</w:t>
      </w:r>
    </w:p>
    <w:p w14:paraId="74E8BA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ab/>
        <w:t>Моторы для серийного производства - от 1929</w:t>
      </w:r>
    </w:p>
    <w:p w14:paraId="1F468E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Объяснительная записка к пятилетнему плану по вооружению и оборудованию опытных самолетов предметами стрелкового, бомбардировочного и торпедного вооружения - от 1929</w:t>
      </w:r>
    </w:p>
    <w:p w14:paraId="70DFFB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ab/>
        <w:t>Оборудование и вооружение самолетов, предусмотренных пятилетним планом УВВС - от 1929</w:t>
      </w:r>
    </w:p>
    <w:p w14:paraId="5BB0DE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Пятилетний план развития опытного самолетостроения УВВС (62 машины, упоминаются завод 25, ЦАГИ,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Хейнкель) от августа 1929</w:t>
      </w:r>
    </w:p>
    <w:p w14:paraId="2B5973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Ориентировочная смета на выполнение работ по вооружению и специальным службам ВВС, предусмотренных пятилетним планом опытного строительства (по 3-й секции НТК УВВС) - от 1929</w:t>
      </w:r>
    </w:p>
    <w:p w14:paraId="21ABD5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Специальные установки, пулеметные приводы и турели - от 1929 (351).</w:t>
      </w:r>
    </w:p>
    <w:p w14:paraId="5835446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ПОЯСНИТЕЛЬНАЯ ЗАПИСКА К ПЯТИЛЕТНЕМУ ПЛАНУ ОПЫТНОГО МОТОРОСТРОЕНИЯ</w:t>
      </w:r>
    </w:p>
    <w:p w14:paraId="0E8F039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Пятилетний план опытного строительства по авиамоторам построен на основании анализа современного состояния и перспектив развития в ближайшие </w:t>
      </w:r>
      <w:proofErr w:type="spellStart"/>
      <w:r w:rsidRPr="00A259BD">
        <w:rPr>
          <w:rFonts w:ascii="Times New Roman" w:hAnsi="Times New Roman"/>
          <w:color w:val="000000" w:themeColor="text1"/>
          <w:sz w:val="16"/>
          <w:szCs w:val="16"/>
        </w:rPr>
        <w:t>годы.авиамоторной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техеики</w:t>
      </w:r>
      <w:proofErr w:type="spellEnd"/>
      <w:r w:rsidRPr="00A259BD">
        <w:rPr>
          <w:rFonts w:ascii="Times New Roman" w:hAnsi="Times New Roman"/>
          <w:color w:val="000000" w:themeColor="text1"/>
          <w:sz w:val="16"/>
          <w:szCs w:val="16"/>
        </w:rPr>
        <w:t xml:space="preserve"> заграницей с одной стороны, и на основании требований, </w:t>
      </w:r>
      <w:proofErr w:type="spellStart"/>
      <w:r w:rsidRPr="00A259BD">
        <w:rPr>
          <w:rFonts w:ascii="Times New Roman" w:hAnsi="Times New Roman"/>
          <w:color w:val="000000" w:themeColor="text1"/>
          <w:sz w:val="16"/>
          <w:szCs w:val="16"/>
        </w:rPr>
        <w:t>пред"являемых</w:t>
      </w:r>
      <w:proofErr w:type="spellEnd"/>
      <w:r w:rsidRPr="00A259BD">
        <w:rPr>
          <w:rFonts w:ascii="Times New Roman" w:hAnsi="Times New Roman"/>
          <w:color w:val="000000" w:themeColor="text1"/>
          <w:sz w:val="16"/>
          <w:szCs w:val="16"/>
        </w:rPr>
        <w:t xml:space="preserve"> к авиамоторам пятилетним планом опытного самолетостроения - с другой.</w:t>
      </w:r>
    </w:p>
    <w:p w14:paraId="1F8939E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Основной установкой пятилетнего плана является достижения таких технические данных, которые позволили бы сократить нашу </w:t>
      </w:r>
      <w:proofErr w:type="spellStart"/>
      <w:r w:rsidRPr="00A259BD">
        <w:rPr>
          <w:rFonts w:ascii="Times New Roman" w:hAnsi="Times New Roman"/>
          <w:color w:val="000000" w:themeColor="text1"/>
          <w:sz w:val="16"/>
          <w:szCs w:val="16"/>
        </w:rPr>
        <w:t>техническу</w:t>
      </w:r>
      <w:proofErr w:type="spellEnd"/>
      <w:r w:rsidRPr="00A259BD">
        <w:rPr>
          <w:rFonts w:ascii="Times New Roman" w:hAnsi="Times New Roman"/>
          <w:color w:val="000000" w:themeColor="text1"/>
          <w:sz w:val="16"/>
          <w:szCs w:val="16"/>
        </w:rPr>
        <w:t xml:space="preserve"> отсталость и приблизили бы состояние авиамоторного парка серийного производства </w:t>
      </w:r>
      <w:proofErr w:type="spellStart"/>
      <w:r w:rsidRPr="00A259BD">
        <w:rPr>
          <w:rFonts w:ascii="Times New Roman" w:hAnsi="Times New Roman"/>
          <w:color w:val="000000" w:themeColor="text1"/>
          <w:sz w:val="16"/>
          <w:szCs w:val="16"/>
        </w:rPr>
        <w:t>к.заграничному</w:t>
      </w:r>
      <w:proofErr w:type="spellEnd"/>
      <w:r w:rsidRPr="00A259BD">
        <w:rPr>
          <w:rFonts w:ascii="Times New Roman" w:hAnsi="Times New Roman"/>
          <w:color w:val="000000" w:themeColor="text1"/>
          <w:sz w:val="16"/>
          <w:szCs w:val="16"/>
        </w:rPr>
        <w:t xml:space="preserve"> уровню. Однако, если к настоящее время это отставание </w:t>
      </w:r>
      <w:proofErr w:type="spellStart"/>
      <w:r w:rsidRPr="00A259BD">
        <w:rPr>
          <w:rFonts w:ascii="Times New Roman" w:hAnsi="Times New Roman"/>
          <w:color w:val="000000" w:themeColor="text1"/>
          <w:sz w:val="16"/>
          <w:szCs w:val="16"/>
        </w:rPr>
        <w:t>оецнивается</w:t>
      </w:r>
      <w:proofErr w:type="spellEnd"/>
      <w:r w:rsidRPr="00A259BD">
        <w:rPr>
          <w:rFonts w:ascii="Times New Roman" w:hAnsi="Times New Roman"/>
          <w:color w:val="000000" w:themeColor="text1"/>
          <w:sz w:val="16"/>
          <w:szCs w:val="16"/>
        </w:rPr>
        <w:t>, примерно в 4-5 лет, то даже при усло</w:t>
      </w:r>
      <w:r w:rsidRPr="00A259BD">
        <w:rPr>
          <w:rFonts w:ascii="Times New Roman" w:hAnsi="Times New Roman"/>
          <w:color w:val="000000" w:themeColor="text1"/>
          <w:sz w:val="16"/>
          <w:szCs w:val="16"/>
        </w:rPr>
        <w:softHyphen/>
        <w:t>вии форсированного темпа опытного строительства, к концу пятилетки все же технические данные наших авиамоторов серийного производства будут отставать. примерно, на 1- 1 1/2 года, от технических дан</w:t>
      </w:r>
      <w:r w:rsidRPr="00A259BD">
        <w:rPr>
          <w:rFonts w:ascii="Times New Roman" w:hAnsi="Times New Roman"/>
          <w:color w:val="000000" w:themeColor="text1"/>
          <w:sz w:val="16"/>
          <w:szCs w:val="16"/>
        </w:rPr>
        <w:softHyphen/>
        <w:t>ных серийных заграничных моторов, могущих появиться к тому времени.</w:t>
      </w:r>
    </w:p>
    <w:p w14:paraId="6E7E42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Осуществление технических данных авиамоторов, указанных в пятилет</w:t>
      </w:r>
      <w:r w:rsidRPr="00A259BD">
        <w:rPr>
          <w:rFonts w:ascii="Times New Roman" w:hAnsi="Times New Roman"/>
          <w:color w:val="000000" w:themeColor="text1"/>
          <w:sz w:val="16"/>
          <w:szCs w:val="16"/>
        </w:rPr>
        <w:softHyphen/>
        <w:t xml:space="preserve">нем плане, потребует весьма напряженной работы, как от конструктора, так и от промышленности, при чем следует отметить, что требования, выдвигаемые планом в области металлургии, технологии и методов производства не выходят за пределы того, что уже в настоящее время имеется в Западной Европе и Америке, например: штамповка деталей из дюраля, применение ультра-легких сплавов и т.д. Основные данные авиамоторов, указанных в пятилетнем плане не являются чрезмерными, так как уже в </w:t>
      </w:r>
      <w:proofErr w:type="spellStart"/>
      <w:r w:rsidRPr="00A259BD">
        <w:rPr>
          <w:rFonts w:ascii="Times New Roman" w:hAnsi="Times New Roman"/>
          <w:color w:val="000000" w:themeColor="text1"/>
          <w:sz w:val="16"/>
          <w:szCs w:val="16"/>
        </w:rPr>
        <w:t>ностоящее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кремя</w:t>
      </w:r>
      <w:proofErr w:type="spellEnd"/>
      <w:r w:rsidRPr="00A259BD">
        <w:rPr>
          <w:rFonts w:ascii="Times New Roman" w:hAnsi="Times New Roman"/>
          <w:color w:val="000000" w:themeColor="text1"/>
          <w:sz w:val="16"/>
          <w:szCs w:val="16"/>
        </w:rPr>
        <w:t xml:space="preserve"> заграницей появляются отдельные опытные образцы двигателей, обладающих почти теми же данными, которые требуются к осуществлению лишь в 1931/32 году /</w:t>
      </w:r>
      <w:proofErr w:type="spellStart"/>
      <w:r w:rsidRPr="00A259BD">
        <w:rPr>
          <w:rFonts w:ascii="Times New Roman" w:hAnsi="Times New Roman"/>
          <w:color w:val="000000" w:themeColor="text1"/>
          <w:sz w:val="16"/>
          <w:szCs w:val="16"/>
        </w:rPr>
        <w:t>см.прилагаемую</w:t>
      </w:r>
      <w:proofErr w:type="spellEnd"/>
      <w:r w:rsidRPr="00A259BD">
        <w:rPr>
          <w:rFonts w:ascii="Times New Roman" w:hAnsi="Times New Roman"/>
          <w:color w:val="000000" w:themeColor="text1"/>
          <w:sz w:val="16"/>
          <w:szCs w:val="16"/>
        </w:rPr>
        <w:t xml:space="preserve"> таблицу/.</w:t>
      </w:r>
    </w:p>
    <w:p w14:paraId="7CD993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 моторы, подлежащие выполнению в порядке опытного строительства разбиваются на три группы:</w:t>
      </w:r>
    </w:p>
    <w:p w14:paraId="4206F6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первой относятся такие моторы, которые строятся по общепринятым схемам, работают по общеизвестным принципам и для своего осуществления не требуют специальных теоретических или научно-исследовательских работ.</w:t>
      </w:r>
    </w:p>
    <w:p w14:paraId="202BC2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Ко второй </w:t>
      </w:r>
      <w:proofErr w:type="spellStart"/>
      <w:r w:rsidRPr="00A259BD">
        <w:rPr>
          <w:rFonts w:ascii="Times New Roman" w:hAnsi="Times New Roman"/>
          <w:color w:val="000000" w:themeColor="text1"/>
          <w:sz w:val="16"/>
          <w:szCs w:val="16"/>
        </w:rPr>
        <w:t>греппе</w:t>
      </w:r>
      <w:proofErr w:type="spellEnd"/>
      <w:r w:rsidRPr="00A259BD">
        <w:rPr>
          <w:rFonts w:ascii="Times New Roman" w:hAnsi="Times New Roman"/>
          <w:color w:val="000000" w:themeColor="text1"/>
          <w:sz w:val="16"/>
          <w:szCs w:val="16"/>
        </w:rPr>
        <w:t xml:space="preserve"> относятся моторы, в которых осуществляются новые схемы работы двигателя, новые конструктивные принципы или исполь</w:t>
      </w:r>
      <w:r w:rsidRPr="00A259BD">
        <w:rPr>
          <w:rFonts w:ascii="Times New Roman" w:hAnsi="Times New Roman"/>
          <w:color w:val="000000" w:themeColor="text1"/>
          <w:sz w:val="16"/>
          <w:szCs w:val="16"/>
        </w:rPr>
        <w:softHyphen/>
        <w:t xml:space="preserve">зуются новые виды горючего еще не применяемого сейчас в сколько </w:t>
      </w:r>
      <w:proofErr w:type="spellStart"/>
      <w:r w:rsidRPr="00A259BD">
        <w:rPr>
          <w:rFonts w:ascii="Times New Roman" w:hAnsi="Times New Roman"/>
          <w:color w:val="000000" w:themeColor="text1"/>
          <w:sz w:val="16"/>
          <w:szCs w:val="16"/>
        </w:rPr>
        <w:t>нибудь</w:t>
      </w:r>
      <w:proofErr w:type="spellEnd"/>
      <w:r w:rsidRPr="00A259BD">
        <w:rPr>
          <w:rFonts w:ascii="Times New Roman" w:hAnsi="Times New Roman"/>
          <w:color w:val="000000" w:themeColor="text1"/>
          <w:sz w:val="16"/>
          <w:szCs w:val="16"/>
        </w:rPr>
        <w:t xml:space="preserve"> широких размерах. Опытные образцы этих моторов </w:t>
      </w:r>
      <w:proofErr w:type="spellStart"/>
      <w:r w:rsidRPr="00A259BD">
        <w:rPr>
          <w:rFonts w:ascii="Times New Roman" w:hAnsi="Times New Roman"/>
          <w:color w:val="000000" w:themeColor="text1"/>
          <w:sz w:val="16"/>
          <w:szCs w:val="16"/>
        </w:rPr>
        <w:t>делжны</w:t>
      </w:r>
      <w:proofErr w:type="spellEnd"/>
      <w:r w:rsidRPr="00A259BD">
        <w:rPr>
          <w:rFonts w:ascii="Times New Roman" w:hAnsi="Times New Roman"/>
          <w:color w:val="000000" w:themeColor="text1"/>
          <w:sz w:val="16"/>
          <w:szCs w:val="16"/>
        </w:rPr>
        <w:t xml:space="preserve"> дать такие технические данные, которыми современные моторы еще не обладают, но которые подсказываются общим направлением разви</w:t>
      </w:r>
      <w:r w:rsidRPr="00A259BD">
        <w:rPr>
          <w:rFonts w:ascii="Times New Roman" w:hAnsi="Times New Roman"/>
          <w:color w:val="000000" w:themeColor="text1"/>
          <w:sz w:val="16"/>
          <w:szCs w:val="16"/>
        </w:rPr>
        <w:softHyphen/>
        <w:t>тия авиамоторной техники. В отдельных случаях, до своего заготовления, двигатели второй группы могут потребовать производст</w:t>
      </w:r>
      <w:r w:rsidRPr="00A259BD">
        <w:rPr>
          <w:rFonts w:ascii="Times New Roman" w:hAnsi="Times New Roman"/>
          <w:color w:val="000000" w:themeColor="text1"/>
          <w:sz w:val="16"/>
          <w:szCs w:val="16"/>
        </w:rPr>
        <w:softHyphen/>
        <w:t>ва теоретических и экспериментальных работ, а после изготовления должны будут пройти довольно длительный ряд экспериментальных исследований.</w:t>
      </w:r>
    </w:p>
    <w:p w14:paraId="49D18A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Наконец, к третьей группе отнесены </w:t>
      </w:r>
      <w:proofErr w:type="spellStart"/>
      <w:r w:rsidRPr="00A259BD">
        <w:rPr>
          <w:rFonts w:ascii="Times New Roman" w:hAnsi="Times New Roman"/>
          <w:color w:val="000000" w:themeColor="text1"/>
          <w:sz w:val="16"/>
          <w:szCs w:val="16"/>
        </w:rPr>
        <w:t>моторые</w:t>
      </w:r>
      <w:proofErr w:type="spellEnd"/>
      <w:r w:rsidRPr="00A259BD">
        <w:rPr>
          <w:rFonts w:ascii="Times New Roman" w:hAnsi="Times New Roman"/>
          <w:color w:val="000000" w:themeColor="text1"/>
          <w:sz w:val="16"/>
          <w:szCs w:val="16"/>
        </w:rPr>
        <w:t>, которые главным об</w:t>
      </w:r>
      <w:r w:rsidRPr="00A259BD">
        <w:rPr>
          <w:rFonts w:ascii="Times New Roman" w:hAnsi="Times New Roman"/>
          <w:color w:val="000000" w:themeColor="text1"/>
          <w:sz w:val="16"/>
          <w:szCs w:val="16"/>
        </w:rPr>
        <w:softHyphen/>
        <w:t xml:space="preserve">разом, </w:t>
      </w:r>
      <w:proofErr w:type="spellStart"/>
      <w:r w:rsidRPr="00A259BD">
        <w:rPr>
          <w:rFonts w:ascii="Times New Roman" w:hAnsi="Times New Roman"/>
          <w:color w:val="000000" w:themeColor="text1"/>
          <w:sz w:val="16"/>
          <w:szCs w:val="16"/>
        </w:rPr>
        <w:t>долж-ны</w:t>
      </w:r>
      <w:proofErr w:type="spellEnd"/>
      <w:r w:rsidRPr="00A259BD">
        <w:rPr>
          <w:rFonts w:ascii="Times New Roman" w:hAnsi="Times New Roman"/>
          <w:color w:val="000000" w:themeColor="text1"/>
          <w:sz w:val="16"/>
          <w:szCs w:val="16"/>
        </w:rPr>
        <w:t xml:space="preserve"> удовлетворить нужды гражданской авиации и лишь в отдельных своих типах могут быть использованы для авиации воен</w:t>
      </w:r>
      <w:r w:rsidRPr="00A259BD">
        <w:rPr>
          <w:rFonts w:ascii="Times New Roman" w:hAnsi="Times New Roman"/>
          <w:color w:val="000000" w:themeColor="text1"/>
          <w:sz w:val="16"/>
          <w:szCs w:val="16"/>
        </w:rPr>
        <w:softHyphen/>
        <w:t>ной.</w:t>
      </w:r>
    </w:p>
    <w:p w14:paraId="06AFE7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графиках пятилетнего плена под цифрой 1 подразумевается разра</w:t>
      </w:r>
      <w:r w:rsidRPr="00A259BD">
        <w:rPr>
          <w:rFonts w:ascii="Times New Roman" w:hAnsi="Times New Roman"/>
          <w:color w:val="000000" w:themeColor="text1"/>
          <w:sz w:val="16"/>
          <w:szCs w:val="16"/>
        </w:rPr>
        <w:softHyphen/>
        <w:t xml:space="preserve">ботка </w:t>
      </w:r>
      <w:proofErr w:type="spellStart"/>
      <w:r w:rsidRPr="00A259BD">
        <w:rPr>
          <w:rFonts w:ascii="Times New Roman" w:hAnsi="Times New Roman"/>
          <w:color w:val="000000" w:themeColor="text1"/>
          <w:sz w:val="16"/>
          <w:szCs w:val="16"/>
        </w:rPr>
        <w:t>компановочннх</w:t>
      </w:r>
      <w:proofErr w:type="spellEnd"/>
      <w:r w:rsidRPr="00A259BD">
        <w:rPr>
          <w:rFonts w:ascii="Times New Roman" w:hAnsi="Times New Roman"/>
          <w:color w:val="000000" w:themeColor="text1"/>
          <w:sz w:val="16"/>
          <w:szCs w:val="16"/>
        </w:rPr>
        <w:t xml:space="preserve"> чертежей и чертежей главнейших деталей двига</w:t>
      </w:r>
      <w:r w:rsidRPr="00A259BD">
        <w:rPr>
          <w:rFonts w:ascii="Times New Roman" w:hAnsi="Times New Roman"/>
          <w:color w:val="000000" w:themeColor="text1"/>
          <w:sz w:val="16"/>
          <w:szCs w:val="16"/>
        </w:rPr>
        <w:softHyphen/>
        <w:t>телей для моторов основных типов и подбор материалов и переработ</w:t>
      </w:r>
      <w:r w:rsidRPr="00A259BD">
        <w:rPr>
          <w:rFonts w:ascii="Times New Roman" w:hAnsi="Times New Roman"/>
          <w:color w:val="000000" w:themeColor="text1"/>
          <w:sz w:val="16"/>
          <w:szCs w:val="16"/>
        </w:rPr>
        <w:softHyphen/>
        <w:t>ка конструкций отдельных деталей для двигателей, являющихся развитием основного типа. Под цифрой 2 подразумевается постройка опытных образцов с одновременным изготовлением детальных рабо</w:t>
      </w:r>
      <w:r w:rsidRPr="00A259BD">
        <w:rPr>
          <w:rFonts w:ascii="Times New Roman" w:hAnsi="Times New Roman"/>
          <w:color w:val="000000" w:themeColor="text1"/>
          <w:sz w:val="16"/>
          <w:szCs w:val="16"/>
        </w:rPr>
        <w:softHyphen/>
        <w:t>чих чертежей, причем к концу времени, отнесенному к этой графе мотор должен быть полностью собран и приготовлен к испытанию на станке.</w:t>
      </w:r>
    </w:p>
    <w:p w14:paraId="25588C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 цифрой 3 подразумевается проведение первых заводских испыта</w:t>
      </w:r>
      <w:r w:rsidRPr="00A259BD">
        <w:rPr>
          <w:rFonts w:ascii="Times New Roman" w:hAnsi="Times New Roman"/>
          <w:color w:val="000000" w:themeColor="text1"/>
          <w:sz w:val="16"/>
          <w:szCs w:val="16"/>
        </w:rPr>
        <w:softHyphen/>
        <w:t>ний опытных образцов и введение всех тех переделок, которые будут признаны необходимыми в результате первых испытаний моторов.</w:t>
      </w:r>
    </w:p>
    <w:p w14:paraId="511AA4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 цифрой 4 подразумевается официальные типовые испытания опытных образцов, проводимые согласно технических условий.</w:t>
      </w:r>
    </w:p>
    <w:p w14:paraId="06290E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окончании этих испытаний должно быть дано окончательное заключение о пригодности этого мотора для внедрения его в серийное производство. Приблизительно через 6-7 месяцев после окончательного заключения, во время которых должны быть произведены все </w:t>
      </w:r>
      <w:proofErr w:type="spellStart"/>
      <w:r w:rsidRPr="00A259BD">
        <w:rPr>
          <w:rFonts w:ascii="Times New Roman" w:hAnsi="Times New Roman"/>
          <w:color w:val="000000" w:themeColor="text1"/>
          <w:sz w:val="16"/>
          <w:szCs w:val="16"/>
        </w:rPr>
        <w:t>подготовиетльные</w:t>
      </w:r>
      <w:proofErr w:type="spellEnd"/>
      <w:r w:rsidRPr="00A259BD">
        <w:rPr>
          <w:rFonts w:ascii="Times New Roman" w:hAnsi="Times New Roman"/>
          <w:color w:val="000000" w:themeColor="text1"/>
          <w:sz w:val="16"/>
          <w:szCs w:val="16"/>
        </w:rPr>
        <w:t xml:space="preserve"> работы по внедрению серийного производства моторов и произведена постройка основных деталей </w:t>
      </w:r>
      <w:proofErr w:type="spellStart"/>
      <w:r w:rsidRPr="00A259BD">
        <w:rPr>
          <w:rFonts w:ascii="Times New Roman" w:hAnsi="Times New Roman"/>
          <w:color w:val="000000" w:themeColor="text1"/>
          <w:sz w:val="16"/>
          <w:szCs w:val="16"/>
        </w:rPr>
        <w:t>опытннх</w:t>
      </w:r>
      <w:proofErr w:type="spellEnd"/>
      <w:r w:rsidRPr="00A259BD">
        <w:rPr>
          <w:rFonts w:ascii="Times New Roman" w:hAnsi="Times New Roman"/>
          <w:color w:val="000000" w:themeColor="text1"/>
          <w:sz w:val="16"/>
          <w:szCs w:val="16"/>
        </w:rPr>
        <w:t xml:space="preserve"> моторов должно быть начато серийное изготовление первых партий моторов.</w:t>
      </w:r>
    </w:p>
    <w:p w14:paraId="701CF4B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детальных технических требований для каждого типа мото</w:t>
      </w:r>
      <w:r w:rsidRPr="00A259BD">
        <w:rPr>
          <w:rFonts w:ascii="Times New Roman" w:hAnsi="Times New Roman"/>
          <w:color w:val="000000" w:themeColor="text1"/>
          <w:sz w:val="16"/>
          <w:szCs w:val="16"/>
        </w:rPr>
        <w:softHyphen/>
        <w:t>ра выполняется не позднее, чем за один месяц до начала работ по проектированию опытных образцов.</w:t>
      </w:r>
    </w:p>
    <w:p w14:paraId="21E542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ОПЫТНЫЕ МОТОРЫ ДЛЯ СЕРИЙНОГО ПРОИЗВОДСТВА</w:t>
      </w:r>
    </w:p>
    <w:p w14:paraId="7346A4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/Группа / прил. № 1. </w:t>
      </w:r>
    </w:p>
    <w:p w14:paraId="782625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этой группе моторов относятся шесть основных типов машин, ко</w:t>
      </w:r>
      <w:r w:rsidRPr="00A259BD">
        <w:rPr>
          <w:rFonts w:ascii="Times New Roman" w:hAnsi="Times New Roman"/>
          <w:color w:val="000000" w:themeColor="text1"/>
          <w:sz w:val="16"/>
          <w:szCs w:val="16"/>
        </w:rPr>
        <w:softHyphen/>
        <w:t>торые, имея в первые годы технические данные соответствующие лучшим современным авиамоторам, к юнцу пятилетки. уже находясь в серийном производстве, должны эти данные поднять настолько, что</w:t>
      </w:r>
      <w:r w:rsidRPr="00A259BD">
        <w:rPr>
          <w:rFonts w:ascii="Times New Roman" w:hAnsi="Times New Roman"/>
          <w:color w:val="000000" w:themeColor="text1"/>
          <w:sz w:val="16"/>
          <w:szCs w:val="16"/>
        </w:rPr>
        <w:softHyphen/>
        <w:t xml:space="preserve">бы быть на уровне тех </w:t>
      </w:r>
      <w:proofErr w:type="spellStart"/>
      <w:r w:rsidRPr="00A259BD">
        <w:rPr>
          <w:rFonts w:ascii="Times New Roman" w:hAnsi="Times New Roman"/>
          <w:color w:val="000000" w:themeColor="text1"/>
          <w:sz w:val="16"/>
          <w:szCs w:val="16"/>
        </w:rPr>
        <w:t>зиграничных</w:t>
      </w:r>
      <w:proofErr w:type="spellEnd"/>
      <w:r w:rsidRPr="00A259BD">
        <w:rPr>
          <w:rFonts w:ascii="Times New Roman" w:hAnsi="Times New Roman"/>
          <w:color w:val="000000" w:themeColor="text1"/>
          <w:sz w:val="16"/>
          <w:szCs w:val="16"/>
        </w:rPr>
        <w:t xml:space="preserve"> моторов, которые могут появить</w:t>
      </w:r>
      <w:r w:rsidRPr="00A259BD">
        <w:rPr>
          <w:rFonts w:ascii="Times New Roman" w:hAnsi="Times New Roman"/>
          <w:color w:val="000000" w:themeColor="text1"/>
          <w:sz w:val="16"/>
          <w:szCs w:val="16"/>
        </w:rPr>
        <w:softHyphen/>
        <w:t>ся к тому времени. Всего предположено построить 16 типов опытных образцов таких моторов.</w:t>
      </w:r>
    </w:p>
    <w:p w14:paraId="6A7F53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Характеристика опытных моторов, предназначаемых для серийного произ</w:t>
      </w:r>
      <w:r w:rsidRPr="00A259BD">
        <w:rPr>
          <w:rFonts w:ascii="Times New Roman" w:hAnsi="Times New Roman"/>
          <w:color w:val="000000" w:themeColor="text1"/>
          <w:sz w:val="16"/>
          <w:szCs w:val="16"/>
        </w:rPr>
        <w:softHyphen/>
        <w:t>водства такова:</w:t>
      </w:r>
    </w:p>
    <w:p w14:paraId="31A037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 М30 - является основной машиной водяного охлаждения, пред</w:t>
      </w:r>
      <w:r w:rsidRPr="00A259BD">
        <w:rPr>
          <w:rFonts w:ascii="Times New Roman" w:hAnsi="Times New Roman"/>
          <w:color w:val="000000" w:themeColor="text1"/>
          <w:sz w:val="16"/>
          <w:szCs w:val="16"/>
        </w:rPr>
        <w:softHyphen/>
        <w:t xml:space="preserve">назначаемой для истребителя. Номинальная мощность мотора 500 НР должна сохраняться до высоты 3000 метров; на короткое время у земли, примерно, на 5 минут, мотор должен допускать перегрузку до 660 НР. При этом вес мотора со всеми агрегатами, но без втулки винта, без масла и без воды не должен превышать 400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w:t>
      </w:r>
    </w:p>
    <w:p w14:paraId="6A79ABA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Изготовлении этого мотора базируется на тех материалах, </w:t>
      </w:r>
      <w:proofErr w:type="spellStart"/>
      <w:r w:rsidRPr="00A259BD">
        <w:rPr>
          <w:rFonts w:ascii="Times New Roman" w:hAnsi="Times New Roman"/>
          <w:color w:val="000000" w:themeColor="text1"/>
          <w:sz w:val="16"/>
          <w:szCs w:val="16"/>
        </w:rPr>
        <w:t>которыеимеются</w:t>
      </w:r>
      <w:proofErr w:type="spellEnd"/>
      <w:r w:rsidRPr="00A259BD">
        <w:rPr>
          <w:rFonts w:ascii="Times New Roman" w:hAnsi="Times New Roman"/>
          <w:color w:val="000000" w:themeColor="text1"/>
          <w:sz w:val="16"/>
          <w:szCs w:val="16"/>
        </w:rPr>
        <w:t xml:space="preserve"> в Союзе в данное время. Опытный образец мотора, обладаю</w:t>
      </w:r>
      <w:r w:rsidRPr="00A259BD">
        <w:rPr>
          <w:rFonts w:ascii="Times New Roman" w:hAnsi="Times New Roman"/>
          <w:color w:val="000000" w:themeColor="text1"/>
          <w:sz w:val="16"/>
          <w:szCs w:val="16"/>
        </w:rPr>
        <w:softHyphen/>
        <w:t xml:space="preserve">щего указанными данными, должен закончить стадии своих </w:t>
      </w:r>
      <w:proofErr w:type="spellStart"/>
      <w:r w:rsidRPr="00A259BD">
        <w:rPr>
          <w:rFonts w:ascii="Times New Roman" w:hAnsi="Times New Roman"/>
          <w:color w:val="000000" w:themeColor="text1"/>
          <w:sz w:val="16"/>
          <w:szCs w:val="16"/>
        </w:rPr>
        <w:t>испнтаний</w:t>
      </w:r>
      <w:proofErr w:type="spellEnd"/>
      <w:r w:rsidRPr="00A259BD">
        <w:rPr>
          <w:rFonts w:ascii="Times New Roman" w:hAnsi="Times New Roman"/>
          <w:color w:val="000000" w:themeColor="text1"/>
          <w:sz w:val="16"/>
          <w:szCs w:val="16"/>
        </w:rPr>
        <w:t xml:space="preserve"> во втором квартале 1929/30 г. с тем, чтобы с начала 1930/31 г. встать на серийное производство.</w:t>
      </w:r>
    </w:p>
    <w:p w14:paraId="58BA11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 М31 - является дальнейшим развитием предыдущего. В этом моторе должно быть осуществлена увеличение номинальной мощности до 600 НР, максимальной мощности до 720 НР и снижение веса до 370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xml:space="preserve">. Достижение указанных данных представляется возможным, путем более тщательной </w:t>
      </w:r>
      <w:proofErr w:type="spellStart"/>
      <w:r w:rsidRPr="00A259BD">
        <w:rPr>
          <w:rFonts w:ascii="Times New Roman" w:hAnsi="Times New Roman"/>
          <w:color w:val="000000" w:themeColor="text1"/>
          <w:sz w:val="16"/>
          <w:szCs w:val="16"/>
        </w:rPr>
        <w:t>праработки</w:t>
      </w:r>
      <w:proofErr w:type="spellEnd"/>
      <w:r w:rsidRPr="00A259BD">
        <w:rPr>
          <w:rFonts w:ascii="Times New Roman" w:hAnsi="Times New Roman"/>
          <w:color w:val="000000" w:themeColor="text1"/>
          <w:sz w:val="16"/>
          <w:szCs w:val="16"/>
        </w:rPr>
        <w:t xml:space="preserve"> конструкций отдельных деталей, применение более совершенных методов производства и более совершенных материалов. Опытный экземпляр М31 к первому кварталу 1930/31 должен встать на испытание с тем, чтобы через 6 ме</w:t>
      </w:r>
      <w:r w:rsidRPr="00A259BD">
        <w:rPr>
          <w:rFonts w:ascii="Times New Roman" w:hAnsi="Times New Roman"/>
          <w:color w:val="000000" w:themeColor="text1"/>
          <w:sz w:val="16"/>
          <w:szCs w:val="16"/>
        </w:rPr>
        <w:softHyphen/>
        <w:t xml:space="preserve">сяцев, закончив испытательные работы, заменить собой в </w:t>
      </w:r>
      <w:proofErr w:type="spellStart"/>
      <w:r w:rsidRPr="00A259BD">
        <w:rPr>
          <w:rFonts w:ascii="Times New Roman" w:hAnsi="Times New Roman"/>
          <w:color w:val="000000" w:themeColor="text1"/>
          <w:sz w:val="16"/>
          <w:szCs w:val="16"/>
        </w:rPr>
        <w:t>сериийном</w:t>
      </w:r>
      <w:proofErr w:type="spellEnd"/>
      <w:r w:rsidRPr="00A259BD">
        <w:rPr>
          <w:rFonts w:ascii="Times New Roman" w:hAnsi="Times New Roman"/>
          <w:color w:val="000000" w:themeColor="text1"/>
          <w:sz w:val="16"/>
          <w:szCs w:val="16"/>
        </w:rPr>
        <w:t xml:space="preserve"> производстве мотор М30.</w:t>
      </w:r>
    </w:p>
    <w:p w14:paraId="752E4B6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 М32 / М32Р/ - является следящей стадией развития мотора М30. Номинальная мощность у мотора М32 остается равной 600 НР. Максимальная мощность -720 НР. Но высотность мотора должна быть увеличена до 5000 метров, при чем вес мотора должен быть снижен до 360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у мотора без редуктора / М32/ и до 380 кг. у мотора с редуктором / М32Р/.</w:t>
      </w:r>
    </w:p>
    <w:p w14:paraId="0C0FF3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Опытные экземпляры мотора М32 должны закончить свои испытания не позднее второго квартала 1933/32 г. Достижение указаниях данных потребует изготовления пробной партии тех материалов, которых в данное время у нас еще не имеется, как например, штампованный дюраль, электрон, особо прочные специальные ста</w:t>
      </w:r>
      <w:r w:rsidRPr="00A259BD">
        <w:rPr>
          <w:rFonts w:ascii="Times New Roman" w:hAnsi="Times New Roman"/>
          <w:color w:val="000000" w:themeColor="text1"/>
          <w:sz w:val="16"/>
          <w:szCs w:val="16"/>
        </w:rPr>
        <w:softHyphen/>
        <w:t>ли и т.д. Уменьшение веса мотора предполагается за счет замены части стальных деталей, деталями не более легких металлов.</w:t>
      </w:r>
    </w:p>
    <w:p w14:paraId="5B0AE40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Таким </w:t>
      </w:r>
      <w:proofErr w:type="spellStart"/>
      <w:r w:rsidRPr="00A259BD">
        <w:rPr>
          <w:rFonts w:ascii="Times New Roman" w:hAnsi="Times New Roman"/>
          <w:color w:val="000000" w:themeColor="text1"/>
          <w:sz w:val="16"/>
          <w:szCs w:val="16"/>
        </w:rPr>
        <w:t>отбразом</w:t>
      </w:r>
      <w:proofErr w:type="spellEnd"/>
      <w:r w:rsidRPr="00A259BD">
        <w:rPr>
          <w:rFonts w:ascii="Times New Roman" w:hAnsi="Times New Roman"/>
          <w:color w:val="000000" w:themeColor="text1"/>
          <w:sz w:val="16"/>
          <w:szCs w:val="16"/>
        </w:rPr>
        <w:t>, эти три типа моторов водяного охлаждения составляют первую основную группу и дальнейшее увеличение мощности этих моторов без коренного изменения в конструкции уже не представляется возможным.</w:t>
      </w:r>
    </w:p>
    <w:p w14:paraId="4BDA1D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моторам этой первой группы не ставятся больших требований в отношении экономичности и длительности работы, так как моторы главным </w:t>
      </w:r>
      <w:proofErr w:type="spellStart"/>
      <w:r w:rsidRPr="00A259BD">
        <w:rPr>
          <w:rFonts w:ascii="Times New Roman" w:hAnsi="Times New Roman"/>
          <w:color w:val="000000" w:themeColor="text1"/>
          <w:sz w:val="16"/>
          <w:szCs w:val="16"/>
        </w:rPr>
        <w:t>обравом</w:t>
      </w:r>
      <w:proofErr w:type="spellEnd"/>
      <w:r w:rsidRPr="00A259BD">
        <w:rPr>
          <w:rFonts w:ascii="Times New Roman" w:hAnsi="Times New Roman"/>
          <w:color w:val="000000" w:themeColor="text1"/>
          <w:sz w:val="16"/>
          <w:szCs w:val="16"/>
        </w:rPr>
        <w:t xml:space="preserve"> должны обладать высокой мощностью, способностью сохранять свою мощность до </w:t>
      </w:r>
      <w:proofErr w:type="spellStart"/>
      <w:r w:rsidRPr="00A259BD">
        <w:rPr>
          <w:rFonts w:ascii="Times New Roman" w:hAnsi="Times New Roman"/>
          <w:color w:val="000000" w:themeColor="text1"/>
          <w:sz w:val="16"/>
          <w:szCs w:val="16"/>
        </w:rPr>
        <w:t>большэй</w:t>
      </w:r>
      <w:proofErr w:type="spellEnd"/>
      <w:r w:rsidRPr="00A259BD">
        <w:rPr>
          <w:rFonts w:ascii="Times New Roman" w:hAnsi="Times New Roman"/>
          <w:color w:val="000000" w:themeColor="text1"/>
          <w:sz w:val="16"/>
          <w:szCs w:val="16"/>
        </w:rPr>
        <w:t xml:space="preserve"> высоты и обладать возможно малым габаритом и весом .</w:t>
      </w:r>
    </w:p>
    <w:p w14:paraId="09ACC1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основной группой являются моторы водяного охлаждения, предназначенные для разведчиков и т.п. самолетов. К ним отно</w:t>
      </w:r>
      <w:r w:rsidRPr="00A259BD">
        <w:rPr>
          <w:rFonts w:ascii="Times New Roman" w:hAnsi="Times New Roman"/>
          <w:color w:val="000000" w:themeColor="text1"/>
          <w:sz w:val="16"/>
          <w:szCs w:val="16"/>
        </w:rPr>
        <w:softHyphen/>
        <w:t>сятся:</w:t>
      </w:r>
    </w:p>
    <w:p w14:paraId="439980A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 МЗЗ - водяного охлаждения с </w:t>
      </w:r>
      <w:proofErr w:type="spellStart"/>
      <w:r w:rsidRPr="00A259BD">
        <w:rPr>
          <w:rFonts w:ascii="Times New Roman" w:hAnsi="Times New Roman"/>
          <w:color w:val="000000" w:themeColor="text1"/>
          <w:sz w:val="16"/>
          <w:szCs w:val="16"/>
        </w:rPr>
        <w:t>номиняльною</w:t>
      </w:r>
      <w:proofErr w:type="spellEnd"/>
      <w:r w:rsidRPr="00A259BD">
        <w:rPr>
          <w:rFonts w:ascii="Times New Roman" w:hAnsi="Times New Roman"/>
          <w:color w:val="000000" w:themeColor="text1"/>
          <w:sz w:val="16"/>
          <w:szCs w:val="16"/>
        </w:rPr>
        <w:t xml:space="preserve"> мощностью 700 НР при максимальной мощности на 6 минут на земле 840 НР, с весом не свыше 4'80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и с высотностью в 3000 метров. Стадию испытаний мотор должен закончить в середине 1930/31 г. с тем, чтобы с начала 1931,32 встать на серийное производство.</w:t>
      </w:r>
    </w:p>
    <w:p w14:paraId="72E9B7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 М34 /М34Р/ является дальнейшим усовершенствованием конструкции мотора М33. Данные мотора М33 повышаются так, что мотор М34 должен давать максимальную мощность 900 НР, сохраняя свою номинальную мощность до высоты 5000 </w:t>
      </w:r>
      <w:proofErr w:type="spellStart"/>
      <w:r w:rsidRPr="00A259BD">
        <w:rPr>
          <w:rFonts w:ascii="Times New Roman" w:hAnsi="Times New Roman"/>
          <w:color w:val="000000" w:themeColor="text1"/>
          <w:sz w:val="16"/>
          <w:szCs w:val="16"/>
        </w:rPr>
        <w:t>мтр</w:t>
      </w:r>
      <w:proofErr w:type="spellEnd"/>
      <w:r w:rsidRPr="00A259BD">
        <w:rPr>
          <w:rFonts w:ascii="Times New Roman" w:hAnsi="Times New Roman"/>
          <w:color w:val="000000" w:themeColor="text1"/>
          <w:sz w:val="16"/>
          <w:szCs w:val="16"/>
        </w:rPr>
        <w:t xml:space="preserve"> и иметь вес около 450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w:t>
      </w:r>
    </w:p>
    <w:p w14:paraId="0B2317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Опытный экземпляр одного из моторов изготовляется с редукто</w:t>
      </w:r>
      <w:r w:rsidRPr="00A259BD">
        <w:rPr>
          <w:rFonts w:ascii="Times New Roman" w:hAnsi="Times New Roman"/>
          <w:color w:val="000000" w:themeColor="text1"/>
          <w:sz w:val="16"/>
          <w:szCs w:val="16"/>
        </w:rPr>
        <w:softHyphen/>
        <w:t>рам / М34Р/. Добавочный вес которого должен быть равен при</w:t>
      </w:r>
      <w:r w:rsidRPr="00A259BD">
        <w:rPr>
          <w:rFonts w:ascii="Times New Roman" w:hAnsi="Times New Roman"/>
          <w:color w:val="000000" w:themeColor="text1"/>
          <w:sz w:val="16"/>
          <w:szCs w:val="16"/>
        </w:rPr>
        <w:softHyphen/>
        <w:t xml:space="preserve">мерно, 30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xml:space="preserve">.,. Достижение указанных данных представляется </w:t>
      </w:r>
      <w:proofErr w:type="spellStart"/>
      <w:r w:rsidRPr="00A259BD">
        <w:rPr>
          <w:rFonts w:ascii="Times New Roman" w:hAnsi="Times New Roman"/>
          <w:color w:val="000000" w:themeColor="text1"/>
          <w:sz w:val="16"/>
          <w:szCs w:val="16"/>
        </w:rPr>
        <w:t>воаможным</w:t>
      </w:r>
      <w:proofErr w:type="spellEnd"/>
      <w:r w:rsidRPr="00A259BD">
        <w:rPr>
          <w:rFonts w:ascii="Times New Roman" w:hAnsi="Times New Roman"/>
          <w:color w:val="000000" w:themeColor="text1"/>
          <w:sz w:val="16"/>
          <w:szCs w:val="16"/>
        </w:rPr>
        <w:t xml:space="preserve"> за счет более тщательной проработки </w:t>
      </w:r>
      <w:proofErr w:type="spellStart"/>
      <w:r w:rsidRPr="00A259BD">
        <w:rPr>
          <w:rFonts w:ascii="Times New Roman" w:hAnsi="Times New Roman"/>
          <w:color w:val="000000" w:themeColor="text1"/>
          <w:sz w:val="16"/>
          <w:szCs w:val="16"/>
        </w:rPr>
        <w:t>конструщии</w:t>
      </w:r>
      <w:proofErr w:type="spellEnd"/>
      <w:r w:rsidRPr="00A259BD">
        <w:rPr>
          <w:rFonts w:ascii="Times New Roman" w:hAnsi="Times New Roman"/>
          <w:color w:val="000000" w:themeColor="text1"/>
          <w:sz w:val="16"/>
          <w:szCs w:val="16"/>
        </w:rPr>
        <w:t xml:space="preserve"> и применения </w:t>
      </w:r>
      <w:proofErr w:type="spellStart"/>
      <w:r w:rsidRPr="00A259BD">
        <w:rPr>
          <w:rFonts w:ascii="Times New Roman" w:hAnsi="Times New Roman"/>
          <w:color w:val="000000" w:themeColor="text1"/>
          <w:sz w:val="16"/>
          <w:szCs w:val="16"/>
        </w:rPr>
        <w:t>балее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соверше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нных</w:t>
      </w:r>
      <w:proofErr w:type="spellEnd"/>
      <w:r w:rsidRPr="00A259BD">
        <w:rPr>
          <w:rFonts w:ascii="Times New Roman" w:hAnsi="Times New Roman"/>
          <w:color w:val="000000" w:themeColor="text1"/>
          <w:sz w:val="16"/>
          <w:szCs w:val="16"/>
        </w:rPr>
        <w:t xml:space="preserve"> материалов. Испытания опытного образца должны быть закончены в 3 квартале 1931/32 г.</w:t>
      </w:r>
    </w:p>
    <w:p w14:paraId="5C4576B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Моторы этой группы, по сравнению о первой, должны обладать большой экономичностью и большей надежностью </w:t>
      </w:r>
      <w:proofErr w:type="spellStart"/>
      <w:r w:rsidRPr="00A259BD">
        <w:rPr>
          <w:rFonts w:ascii="Times New Roman" w:hAnsi="Times New Roman"/>
          <w:color w:val="000000" w:themeColor="text1"/>
          <w:sz w:val="16"/>
          <w:szCs w:val="16"/>
        </w:rPr>
        <w:t>вработе</w:t>
      </w:r>
      <w:proofErr w:type="spellEnd"/>
      <w:r w:rsidRPr="00A259BD">
        <w:rPr>
          <w:rFonts w:ascii="Times New Roman" w:hAnsi="Times New Roman"/>
          <w:color w:val="000000" w:themeColor="text1"/>
          <w:sz w:val="16"/>
          <w:szCs w:val="16"/>
        </w:rPr>
        <w:t xml:space="preserve">. К этой </w:t>
      </w:r>
      <w:proofErr w:type="spellStart"/>
      <w:r w:rsidRPr="00A259BD">
        <w:rPr>
          <w:rFonts w:ascii="Times New Roman" w:hAnsi="Times New Roman"/>
          <w:color w:val="000000" w:themeColor="text1"/>
          <w:sz w:val="16"/>
          <w:szCs w:val="16"/>
        </w:rPr>
        <w:t>г'руппе</w:t>
      </w:r>
      <w:proofErr w:type="spellEnd"/>
      <w:r w:rsidRPr="00A259BD">
        <w:rPr>
          <w:rFonts w:ascii="Times New Roman" w:hAnsi="Times New Roman"/>
          <w:color w:val="000000" w:themeColor="text1"/>
          <w:sz w:val="16"/>
          <w:szCs w:val="16"/>
        </w:rPr>
        <w:t xml:space="preserve"> может быть отнесен МОТОР М43, охлаждаемый специальной смесью. Мотор должен иметь номинальную мощность в 750 НР, но допускать перегруз на земле до 50%, т.е. </w:t>
      </w:r>
      <w:proofErr w:type="spellStart"/>
      <w:r w:rsidRPr="00A259BD">
        <w:rPr>
          <w:rFonts w:ascii="Times New Roman" w:hAnsi="Times New Roman"/>
          <w:color w:val="000000" w:themeColor="text1"/>
          <w:sz w:val="16"/>
          <w:szCs w:val="16"/>
        </w:rPr>
        <w:t>раввивать</w:t>
      </w:r>
      <w:proofErr w:type="spellEnd"/>
      <w:r w:rsidRPr="00A259BD">
        <w:rPr>
          <w:rFonts w:ascii="Times New Roman" w:hAnsi="Times New Roman"/>
          <w:color w:val="000000" w:themeColor="text1"/>
          <w:sz w:val="16"/>
          <w:szCs w:val="16"/>
        </w:rPr>
        <w:t xml:space="preserve"> мощность на короткое время /5 минут / у земли в 1000 НР. Свою номинальную мощность мотор должен сохранять до 4000 метров и иметь вес около 320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xml:space="preserve">. Опытный экземпляр мотора должен встать на испытания в начале 1931/32 г. В настоящее время моторов, обладающих подобными техническими данными, еще не имеется, но появление их пред </w:t>
      </w:r>
      <w:proofErr w:type="spellStart"/>
      <w:r w:rsidRPr="00A259BD">
        <w:rPr>
          <w:rFonts w:ascii="Times New Roman" w:hAnsi="Times New Roman"/>
          <w:color w:val="000000" w:themeColor="text1"/>
          <w:sz w:val="16"/>
          <w:szCs w:val="16"/>
        </w:rPr>
        <w:t>ляется</w:t>
      </w:r>
      <w:proofErr w:type="spellEnd"/>
      <w:r w:rsidRPr="00A259BD">
        <w:rPr>
          <w:rFonts w:ascii="Times New Roman" w:hAnsi="Times New Roman"/>
          <w:color w:val="000000" w:themeColor="text1"/>
          <w:sz w:val="16"/>
          <w:szCs w:val="16"/>
        </w:rPr>
        <w:t xml:space="preserve"> весьма вероятным, так как отдельные </w:t>
      </w:r>
      <w:proofErr w:type="spellStart"/>
      <w:r w:rsidRPr="00A259BD">
        <w:rPr>
          <w:rFonts w:ascii="Times New Roman" w:hAnsi="Times New Roman"/>
          <w:color w:val="000000" w:themeColor="text1"/>
          <w:sz w:val="16"/>
          <w:szCs w:val="16"/>
        </w:rPr>
        <w:t>экопериментальные</w:t>
      </w:r>
      <w:proofErr w:type="spellEnd"/>
      <w:r w:rsidRPr="00A259BD">
        <w:rPr>
          <w:rFonts w:ascii="Times New Roman" w:hAnsi="Times New Roman"/>
          <w:color w:val="000000" w:themeColor="text1"/>
          <w:sz w:val="16"/>
          <w:szCs w:val="16"/>
        </w:rPr>
        <w:t xml:space="preserve"> работы по созданию таких двигателей ведутся к изготовлению, он будет вполне пригоден для истребительных и разведывательных самолетов, но вопрос о дальнейшем развитии этого </w:t>
      </w:r>
      <w:proofErr w:type="spellStart"/>
      <w:r w:rsidRPr="00A259BD">
        <w:rPr>
          <w:rFonts w:ascii="Times New Roman" w:hAnsi="Times New Roman"/>
          <w:color w:val="000000" w:themeColor="text1"/>
          <w:sz w:val="16"/>
          <w:szCs w:val="16"/>
        </w:rPr>
        <w:t>мотарв</w:t>
      </w:r>
      <w:proofErr w:type="spellEnd"/>
      <w:r w:rsidRPr="00A259BD">
        <w:rPr>
          <w:rFonts w:ascii="Times New Roman" w:hAnsi="Times New Roman"/>
          <w:color w:val="000000" w:themeColor="text1"/>
          <w:sz w:val="16"/>
          <w:szCs w:val="16"/>
        </w:rPr>
        <w:t xml:space="preserve"> быть решен после </w:t>
      </w:r>
      <w:proofErr w:type="spellStart"/>
      <w:r w:rsidRPr="00A259BD">
        <w:rPr>
          <w:rFonts w:ascii="Times New Roman" w:hAnsi="Times New Roman"/>
          <w:color w:val="000000" w:themeColor="text1"/>
          <w:sz w:val="16"/>
          <w:szCs w:val="16"/>
        </w:rPr>
        <w:t>испнтаний</w:t>
      </w:r>
      <w:proofErr w:type="spellEnd"/>
      <w:r w:rsidRPr="00A259BD">
        <w:rPr>
          <w:rFonts w:ascii="Times New Roman" w:hAnsi="Times New Roman"/>
          <w:color w:val="000000" w:themeColor="text1"/>
          <w:sz w:val="16"/>
          <w:szCs w:val="16"/>
        </w:rPr>
        <w:t xml:space="preserve"> опытного образца.</w:t>
      </w:r>
    </w:p>
    <w:p w14:paraId="6FE798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Третью основную группу составляют моторы М28, М35 и М44, назначенные для самолетов типа </w:t>
      </w:r>
      <w:proofErr w:type="spellStart"/>
      <w:r w:rsidRPr="00A259BD">
        <w:rPr>
          <w:rFonts w:ascii="Times New Roman" w:hAnsi="Times New Roman"/>
          <w:color w:val="000000" w:themeColor="text1"/>
          <w:sz w:val="16"/>
          <w:szCs w:val="16"/>
        </w:rPr>
        <w:t>б'омбардировщика</w:t>
      </w:r>
      <w:proofErr w:type="spellEnd"/>
      <w:r w:rsidRPr="00A259BD">
        <w:rPr>
          <w:rFonts w:ascii="Times New Roman" w:hAnsi="Times New Roman"/>
          <w:color w:val="000000" w:themeColor="text1"/>
          <w:sz w:val="16"/>
          <w:szCs w:val="16"/>
        </w:rPr>
        <w:t>.</w:t>
      </w:r>
    </w:p>
    <w:p w14:paraId="22C9C12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 М28 представляет собой мотор водяного охлаждения с номинальной мощностью в 1000 НР, при максимальной мощности 5 мин. у земли - 1200 НР с высотностью в 3000 метров и с весом до 630 </w:t>
      </w:r>
      <w:proofErr w:type="spellStart"/>
      <w:r w:rsidRPr="00A259BD">
        <w:rPr>
          <w:rFonts w:ascii="Times New Roman" w:hAnsi="Times New Roman"/>
          <w:color w:val="000000" w:themeColor="text1"/>
          <w:sz w:val="16"/>
          <w:szCs w:val="16"/>
        </w:rPr>
        <w:t>кгг</w:t>
      </w:r>
      <w:proofErr w:type="spellEnd"/>
      <w:r w:rsidRPr="00A259BD">
        <w:rPr>
          <w:rFonts w:ascii="Times New Roman" w:hAnsi="Times New Roman"/>
          <w:color w:val="000000" w:themeColor="text1"/>
          <w:sz w:val="16"/>
          <w:szCs w:val="16"/>
        </w:rPr>
        <w:t xml:space="preserve">. В последнем квартале 1930/31 г. этот мотор закончит свои испытания, а в следующем году, более тщательной конструктивной проработки отдельных деталей путем применения более совершенных </w:t>
      </w:r>
      <w:proofErr w:type="spellStart"/>
      <w:r w:rsidRPr="00A259BD">
        <w:rPr>
          <w:rFonts w:ascii="Times New Roman" w:hAnsi="Times New Roman"/>
          <w:color w:val="000000" w:themeColor="text1"/>
          <w:sz w:val="16"/>
          <w:szCs w:val="16"/>
        </w:rPr>
        <w:t>матпаиалов</w:t>
      </w:r>
      <w:proofErr w:type="spellEnd"/>
      <w:r w:rsidRPr="00A259BD">
        <w:rPr>
          <w:rFonts w:ascii="Times New Roman" w:hAnsi="Times New Roman"/>
          <w:color w:val="000000" w:themeColor="text1"/>
          <w:sz w:val="16"/>
          <w:szCs w:val="16"/>
        </w:rPr>
        <w:t xml:space="preserve">, мотор должен превратиться в МОТОР М35, у которого номинальная мощность возрастает до 1250 НР и максимальная - до 1500 НР, а вес уменьшается до 600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Испытание опытного образца этого мотора должно быть закончено к началу 1932/</w:t>
      </w:r>
      <w:proofErr w:type="spellStart"/>
      <w:r w:rsidRPr="00A259BD">
        <w:rPr>
          <w:rFonts w:ascii="Times New Roman" w:hAnsi="Times New Roman"/>
          <w:color w:val="000000" w:themeColor="text1"/>
          <w:sz w:val="16"/>
          <w:szCs w:val="16"/>
        </w:rPr>
        <w:t>ЗЗг</w:t>
      </w:r>
      <w:proofErr w:type="spellEnd"/>
      <w:r w:rsidRPr="00A259BD">
        <w:rPr>
          <w:rFonts w:ascii="Times New Roman" w:hAnsi="Times New Roman"/>
          <w:color w:val="000000" w:themeColor="text1"/>
          <w:sz w:val="16"/>
          <w:szCs w:val="16"/>
        </w:rPr>
        <w:t>. Два последних мотора должны обладать особой экономичностью, связан</w:t>
      </w:r>
      <w:r w:rsidRPr="00A259BD">
        <w:rPr>
          <w:rFonts w:ascii="Times New Roman" w:hAnsi="Times New Roman"/>
          <w:color w:val="000000" w:themeColor="text1"/>
          <w:sz w:val="16"/>
          <w:szCs w:val="16"/>
        </w:rPr>
        <w:softHyphen/>
        <w:t>ной с длительностью полетов и повышенной высотностью в работе. Особых требований к весовым и габаритным данным тих моторов не представляется. К этой же группе должен быть отнесен мотор М44</w:t>
      </w:r>
      <w:r w:rsidRPr="00A259BD">
        <w:rPr>
          <w:rFonts w:ascii="Times New Roman" w:hAnsi="Times New Roman"/>
          <w:iCs/>
          <w:color w:val="000000" w:themeColor="text1"/>
          <w:sz w:val="16"/>
          <w:szCs w:val="16"/>
        </w:rPr>
        <w:t>.</w:t>
      </w:r>
    </w:p>
    <w:p w14:paraId="310485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 М44 - предположено построить к концу пятилетки, предназ</w:t>
      </w:r>
      <w:r w:rsidRPr="00A259BD">
        <w:rPr>
          <w:rFonts w:ascii="Times New Roman" w:hAnsi="Times New Roman"/>
          <w:color w:val="000000" w:themeColor="text1"/>
          <w:sz w:val="16"/>
          <w:szCs w:val="16"/>
        </w:rPr>
        <w:softHyphen/>
        <w:t xml:space="preserve">начая его для особо мощных бомбардировщиков, являясь 12-ти цилиндровым мотором водяного охлаждения с </w:t>
      </w:r>
      <w:proofErr w:type="spellStart"/>
      <w:r w:rsidRPr="00A259BD">
        <w:rPr>
          <w:rFonts w:ascii="Times New Roman" w:hAnsi="Times New Roman"/>
          <w:color w:val="000000" w:themeColor="text1"/>
          <w:sz w:val="16"/>
          <w:szCs w:val="16"/>
        </w:rPr>
        <w:t>цилиндррами</w:t>
      </w:r>
      <w:proofErr w:type="spellEnd"/>
      <w:r w:rsidRPr="00A259BD">
        <w:rPr>
          <w:rFonts w:ascii="Times New Roman" w:hAnsi="Times New Roman"/>
          <w:color w:val="000000" w:themeColor="text1"/>
          <w:sz w:val="16"/>
          <w:szCs w:val="16"/>
        </w:rPr>
        <w:t xml:space="preserve"> большого диаметра, он должен давать мощность в 2000-2200 НР и иметь вес около 900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Этот мотор может быть сконструирован на основании опытов ЦАГИ над цилиндрами с большим диаметром.</w:t>
      </w:r>
    </w:p>
    <w:p w14:paraId="1589561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Четвертой основной группой являются моторы с воздушным охлаж</w:t>
      </w:r>
      <w:r w:rsidRPr="00A259BD">
        <w:rPr>
          <w:rFonts w:ascii="Times New Roman" w:hAnsi="Times New Roman"/>
          <w:color w:val="000000" w:themeColor="text1"/>
          <w:sz w:val="16"/>
          <w:szCs w:val="16"/>
        </w:rPr>
        <w:softHyphen/>
        <w:t>дением для истребительных машин.</w:t>
      </w:r>
    </w:p>
    <w:p w14:paraId="50B900E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 </w:t>
      </w:r>
      <w:proofErr w:type="spellStart"/>
      <w:r w:rsidRPr="00A259BD">
        <w:rPr>
          <w:rFonts w:ascii="Times New Roman" w:hAnsi="Times New Roman"/>
          <w:color w:val="000000" w:themeColor="text1"/>
          <w:sz w:val="16"/>
          <w:szCs w:val="16"/>
        </w:rPr>
        <w:t>МЗб</w:t>
      </w:r>
      <w:proofErr w:type="spellEnd"/>
      <w:r w:rsidRPr="00A259BD">
        <w:rPr>
          <w:rFonts w:ascii="Times New Roman" w:hAnsi="Times New Roman"/>
          <w:color w:val="000000" w:themeColor="text1"/>
          <w:sz w:val="16"/>
          <w:szCs w:val="16"/>
        </w:rPr>
        <w:t xml:space="preserve"> - являясь основным типом мотора воздушного охлаждения в четвертой группе должен иметь номинальную мощность в 500 НР и максимальную на 5 минут на земле в 600 НР, имея вес не свыше 350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Испытания опытного образца должны быть закончены в 1930/31 г. с тем, чтобы с начала 1931/32 гада можно было по</w:t>
      </w:r>
      <w:r w:rsidRPr="00A259BD">
        <w:rPr>
          <w:rFonts w:ascii="Times New Roman" w:hAnsi="Times New Roman"/>
          <w:color w:val="000000" w:themeColor="text1"/>
          <w:sz w:val="16"/>
          <w:szCs w:val="16"/>
        </w:rPr>
        <w:softHyphen/>
        <w:t>ставить эти моторы на серийное производство.</w:t>
      </w:r>
    </w:p>
    <w:p w14:paraId="6463A4F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МОТОРЫ М37 / М37Р/ сохраняя по существу конструкцию предыдуще</w:t>
      </w:r>
      <w:r w:rsidRPr="00A259BD">
        <w:rPr>
          <w:rFonts w:ascii="Times New Roman" w:hAnsi="Times New Roman"/>
          <w:color w:val="000000" w:themeColor="text1"/>
          <w:sz w:val="16"/>
          <w:szCs w:val="16"/>
        </w:rPr>
        <w:softHyphen/>
        <w:t xml:space="preserve">го мотора должны обладать несколько повышенными данными, а именно: номинальная мощность 550 НР, максимальная 660 НР, высотность 4000 метров, вес 350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xml:space="preserve">. у </w:t>
      </w:r>
      <w:proofErr w:type="spellStart"/>
      <w:r w:rsidRPr="00A259BD">
        <w:rPr>
          <w:rFonts w:ascii="Times New Roman" w:hAnsi="Times New Roman"/>
          <w:color w:val="000000" w:themeColor="text1"/>
          <w:sz w:val="16"/>
          <w:szCs w:val="16"/>
        </w:rPr>
        <w:t>моторп</w:t>
      </w:r>
      <w:proofErr w:type="spellEnd"/>
      <w:r w:rsidRPr="00A259BD">
        <w:rPr>
          <w:rFonts w:ascii="Times New Roman" w:hAnsi="Times New Roman"/>
          <w:color w:val="000000" w:themeColor="text1"/>
          <w:sz w:val="16"/>
          <w:szCs w:val="16"/>
        </w:rPr>
        <w:t xml:space="preserve"> без редуктора и 360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умоторе</w:t>
      </w:r>
      <w:proofErr w:type="spellEnd"/>
      <w:r w:rsidRPr="00A259BD">
        <w:rPr>
          <w:rFonts w:ascii="Times New Roman" w:hAnsi="Times New Roman"/>
          <w:color w:val="000000" w:themeColor="text1"/>
          <w:sz w:val="16"/>
          <w:szCs w:val="16"/>
        </w:rPr>
        <w:t xml:space="preserve"> с редуктором .</w:t>
      </w:r>
    </w:p>
    <w:p w14:paraId="5DBD2A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 М38 / 138Р / являться конечным этапом развития мотора М36 в начале 1932/33 года эти </w:t>
      </w:r>
      <w:proofErr w:type="spellStart"/>
      <w:r w:rsidRPr="00A259BD">
        <w:rPr>
          <w:rFonts w:ascii="Times New Roman" w:hAnsi="Times New Roman"/>
          <w:color w:val="000000" w:themeColor="text1"/>
          <w:sz w:val="16"/>
          <w:szCs w:val="16"/>
        </w:rPr>
        <w:t>моторн</w:t>
      </w:r>
      <w:proofErr w:type="spellEnd"/>
      <w:r w:rsidRPr="00A259BD">
        <w:rPr>
          <w:rFonts w:ascii="Times New Roman" w:hAnsi="Times New Roman"/>
          <w:color w:val="000000" w:themeColor="text1"/>
          <w:sz w:val="16"/>
          <w:szCs w:val="16"/>
        </w:rPr>
        <w:t xml:space="preserve"> должны закончить стадию испытаний, имея </w:t>
      </w:r>
      <w:proofErr w:type="spellStart"/>
      <w:r w:rsidRPr="00A259BD">
        <w:rPr>
          <w:rFonts w:ascii="Times New Roman" w:hAnsi="Times New Roman"/>
          <w:color w:val="000000" w:themeColor="text1"/>
          <w:sz w:val="16"/>
          <w:szCs w:val="16"/>
        </w:rPr>
        <w:t>следущие</w:t>
      </w:r>
      <w:proofErr w:type="spellEnd"/>
      <w:r w:rsidRPr="00A259BD">
        <w:rPr>
          <w:rFonts w:ascii="Times New Roman" w:hAnsi="Times New Roman"/>
          <w:color w:val="000000" w:themeColor="text1"/>
          <w:sz w:val="16"/>
          <w:szCs w:val="16"/>
        </w:rPr>
        <w:t xml:space="preserve"> данные: номинальную мощность 600 НР, </w:t>
      </w:r>
      <w:proofErr w:type="spellStart"/>
      <w:r w:rsidRPr="00A259BD">
        <w:rPr>
          <w:rFonts w:ascii="Times New Roman" w:hAnsi="Times New Roman"/>
          <w:color w:val="000000" w:themeColor="text1"/>
          <w:sz w:val="16"/>
          <w:szCs w:val="16"/>
        </w:rPr>
        <w:t>максимадьную</w:t>
      </w:r>
      <w:proofErr w:type="spellEnd"/>
      <w:r w:rsidRPr="00A259BD">
        <w:rPr>
          <w:rFonts w:ascii="Times New Roman" w:hAnsi="Times New Roman"/>
          <w:color w:val="000000" w:themeColor="text1"/>
          <w:sz w:val="16"/>
          <w:szCs w:val="16"/>
        </w:rPr>
        <w:t xml:space="preserve"> мощность на земле 720 НР, высотность 5000 метров, вес без редуктор 320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xml:space="preserve">. и вес с редуктором - 350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Главное назначение этих моторов вводится к применению их на истребителях, благодаря чему моторы должны обладать возможно малым весом и габаритами.</w:t>
      </w:r>
    </w:p>
    <w:p w14:paraId="3D253FC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Пятой основной группой являются моторы воздушного охлаждения, которые должны обслуживать разведывательные </w:t>
      </w:r>
      <w:proofErr w:type="spellStart"/>
      <w:r w:rsidRPr="00A259BD">
        <w:rPr>
          <w:rFonts w:ascii="Times New Roman" w:hAnsi="Times New Roman"/>
          <w:color w:val="000000" w:themeColor="text1"/>
          <w:sz w:val="16"/>
          <w:szCs w:val="16"/>
        </w:rPr>
        <w:t>оамолеты</w:t>
      </w:r>
      <w:proofErr w:type="spellEnd"/>
      <w:r w:rsidRPr="00A259BD">
        <w:rPr>
          <w:rFonts w:ascii="Times New Roman" w:hAnsi="Times New Roman"/>
          <w:color w:val="000000" w:themeColor="text1"/>
          <w:sz w:val="16"/>
          <w:szCs w:val="16"/>
        </w:rPr>
        <w:t>.</w:t>
      </w:r>
    </w:p>
    <w:p w14:paraId="590BD8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 М39 /М39Р/. Номинальной мощностью не </w:t>
      </w:r>
      <w:proofErr w:type="spellStart"/>
      <w:r w:rsidRPr="00A259BD">
        <w:rPr>
          <w:rFonts w:ascii="Times New Roman" w:hAnsi="Times New Roman"/>
          <w:color w:val="000000" w:themeColor="text1"/>
          <w:sz w:val="16"/>
          <w:szCs w:val="16"/>
        </w:rPr>
        <w:t>уенее</w:t>
      </w:r>
      <w:proofErr w:type="spellEnd"/>
      <w:r w:rsidRPr="00A259BD">
        <w:rPr>
          <w:rFonts w:ascii="Times New Roman" w:hAnsi="Times New Roman"/>
          <w:color w:val="000000" w:themeColor="text1"/>
          <w:sz w:val="16"/>
          <w:szCs w:val="16"/>
        </w:rPr>
        <w:t xml:space="preserve"> 700 НР при мак</w:t>
      </w:r>
      <w:r w:rsidRPr="00A259BD">
        <w:rPr>
          <w:rFonts w:ascii="Times New Roman" w:hAnsi="Times New Roman"/>
          <w:color w:val="000000" w:themeColor="text1"/>
          <w:sz w:val="16"/>
          <w:szCs w:val="16"/>
        </w:rPr>
        <w:softHyphen/>
        <w:t xml:space="preserve">симальной мощности в 840 НIР при вес не свыше 420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xml:space="preserve">. у мотора без редуктора / 39/ и 445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xml:space="preserve">. у мотора с редуктором /М39Р/ мотор должен сохранять свою номинальную мощность до высоты в 4000 метров. К концу 1930/31 г. должны быть закончены основные испытания мотора с тем, чтобы в 1932/33 г. было начато серийное </w:t>
      </w:r>
      <w:proofErr w:type="spellStart"/>
      <w:r w:rsidRPr="00A259BD">
        <w:rPr>
          <w:rFonts w:ascii="Times New Roman" w:hAnsi="Times New Roman"/>
          <w:color w:val="000000" w:themeColor="text1"/>
          <w:sz w:val="16"/>
          <w:szCs w:val="16"/>
        </w:rPr>
        <w:t>проианодство</w:t>
      </w:r>
      <w:proofErr w:type="spellEnd"/>
      <w:r w:rsidRPr="00A259BD">
        <w:rPr>
          <w:rFonts w:ascii="Times New Roman" w:hAnsi="Times New Roman"/>
          <w:color w:val="000000" w:themeColor="text1"/>
          <w:sz w:val="16"/>
          <w:szCs w:val="16"/>
        </w:rPr>
        <w:t xml:space="preserve"> этих машин.</w:t>
      </w:r>
    </w:p>
    <w:p w14:paraId="366A991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 М40 /М40Р/ получается путем улучшения материалов, более тщательной </w:t>
      </w:r>
      <w:proofErr w:type="spellStart"/>
      <w:r w:rsidRPr="00A259BD">
        <w:rPr>
          <w:rFonts w:ascii="Times New Roman" w:hAnsi="Times New Roman"/>
          <w:color w:val="000000" w:themeColor="text1"/>
          <w:sz w:val="16"/>
          <w:szCs w:val="16"/>
        </w:rPr>
        <w:t>канструктивной</w:t>
      </w:r>
      <w:proofErr w:type="spellEnd"/>
      <w:r w:rsidRPr="00A259BD">
        <w:rPr>
          <w:rFonts w:ascii="Times New Roman" w:hAnsi="Times New Roman"/>
          <w:color w:val="000000" w:themeColor="text1"/>
          <w:sz w:val="16"/>
          <w:szCs w:val="16"/>
        </w:rPr>
        <w:t xml:space="preserve"> проработки и применения более совершен</w:t>
      </w:r>
      <w:r w:rsidRPr="00A259BD">
        <w:rPr>
          <w:rFonts w:ascii="Times New Roman" w:hAnsi="Times New Roman"/>
          <w:color w:val="000000" w:themeColor="text1"/>
          <w:sz w:val="16"/>
          <w:szCs w:val="16"/>
        </w:rPr>
        <w:softHyphen/>
        <w:t xml:space="preserve">ных методов изготовления из мотора М39. В 1931/32 году должны быть закончены испытания опытных образцов со следующими данными: номинальная мощность 750 НР, максимальная мощность, допускаемая на земле на 5 минут - 900 НР, высотность 5000 метров и вес 380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xml:space="preserve">. у мотора </w:t>
      </w:r>
      <w:proofErr w:type="spellStart"/>
      <w:r w:rsidRPr="00A259BD">
        <w:rPr>
          <w:rFonts w:ascii="Times New Roman" w:hAnsi="Times New Roman"/>
          <w:color w:val="000000" w:themeColor="text1"/>
          <w:sz w:val="16"/>
          <w:szCs w:val="16"/>
        </w:rPr>
        <w:t>беа</w:t>
      </w:r>
      <w:proofErr w:type="spellEnd"/>
      <w:r w:rsidRPr="00A259BD">
        <w:rPr>
          <w:rFonts w:ascii="Times New Roman" w:hAnsi="Times New Roman"/>
          <w:color w:val="000000" w:themeColor="text1"/>
          <w:sz w:val="16"/>
          <w:szCs w:val="16"/>
        </w:rPr>
        <w:t xml:space="preserve"> редуктора / 40/ и 410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у мотора с редуктором / М40Р/.</w:t>
      </w:r>
    </w:p>
    <w:p w14:paraId="32801B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6-я основная группа состоит из следующих моторов:</w:t>
      </w:r>
    </w:p>
    <w:p w14:paraId="77B6E7B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 М41. является мотором воздушного охлаждения с номинальной мощностью в 500 НР. На короткое время на земле мотор должен допускать </w:t>
      </w:r>
      <w:proofErr w:type="spellStart"/>
      <w:r w:rsidRPr="00A259BD">
        <w:rPr>
          <w:rFonts w:ascii="Times New Roman" w:hAnsi="Times New Roman"/>
          <w:color w:val="000000" w:themeColor="text1"/>
          <w:sz w:val="16"/>
          <w:szCs w:val="16"/>
        </w:rPr>
        <w:t>перегрувку</w:t>
      </w:r>
      <w:proofErr w:type="spellEnd"/>
      <w:r w:rsidRPr="00A259BD">
        <w:rPr>
          <w:rFonts w:ascii="Times New Roman" w:hAnsi="Times New Roman"/>
          <w:color w:val="000000" w:themeColor="text1"/>
          <w:sz w:val="16"/>
          <w:szCs w:val="16"/>
        </w:rPr>
        <w:t xml:space="preserve"> до 50%, развивая мощность 750 НР. Номиналь</w:t>
      </w:r>
      <w:r w:rsidRPr="00A259BD">
        <w:rPr>
          <w:rFonts w:ascii="Times New Roman" w:hAnsi="Times New Roman"/>
          <w:color w:val="000000" w:themeColor="text1"/>
          <w:sz w:val="16"/>
          <w:szCs w:val="16"/>
        </w:rPr>
        <w:softHyphen/>
        <w:t xml:space="preserve">ная мощность мотора должна сохраняться до высоты 5000 метров, вес машины должен быть около 320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xml:space="preserve">. В начале 1931/32 г. этот мотор должен </w:t>
      </w:r>
      <w:proofErr w:type="spellStart"/>
      <w:r w:rsidRPr="00A259BD">
        <w:rPr>
          <w:rFonts w:ascii="Times New Roman" w:hAnsi="Times New Roman"/>
          <w:color w:val="000000" w:themeColor="text1"/>
          <w:sz w:val="16"/>
          <w:szCs w:val="16"/>
        </w:rPr>
        <w:t>аакончить</w:t>
      </w:r>
      <w:proofErr w:type="spellEnd"/>
      <w:r w:rsidRPr="00A259BD">
        <w:rPr>
          <w:rFonts w:ascii="Times New Roman" w:hAnsi="Times New Roman"/>
          <w:color w:val="000000" w:themeColor="text1"/>
          <w:sz w:val="16"/>
          <w:szCs w:val="16"/>
        </w:rPr>
        <w:t xml:space="preserve"> стадию своих испытаний.</w:t>
      </w:r>
    </w:p>
    <w:p w14:paraId="3EE3BD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 М42 - </w:t>
      </w:r>
      <w:proofErr w:type="spellStart"/>
      <w:r w:rsidRPr="00A259BD">
        <w:rPr>
          <w:rFonts w:ascii="Times New Roman" w:hAnsi="Times New Roman"/>
          <w:color w:val="000000" w:themeColor="text1"/>
          <w:sz w:val="16"/>
          <w:szCs w:val="16"/>
        </w:rPr>
        <w:t>предстйвляет</w:t>
      </w:r>
      <w:proofErr w:type="spellEnd"/>
      <w:r w:rsidRPr="00A259BD">
        <w:rPr>
          <w:rFonts w:ascii="Times New Roman" w:hAnsi="Times New Roman"/>
          <w:color w:val="000000" w:themeColor="text1"/>
          <w:sz w:val="16"/>
          <w:szCs w:val="16"/>
        </w:rPr>
        <w:t xml:space="preserve"> собой дальнейшее развитие мотора М41 в 1932/33 г. должен встать на испытания со следующими основными данными: номинальная мощность 550 НР, максимальная мощность 900 НР, высотность5000 метров и вес 290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w:t>
      </w:r>
    </w:p>
    <w:p w14:paraId="41EEB03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Эта группа моторов должна обслуживать, главным образом истре</w:t>
      </w:r>
      <w:r w:rsidRPr="00A259BD">
        <w:rPr>
          <w:rFonts w:ascii="Times New Roman" w:hAnsi="Times New Roman"/>
          <w:color w:val="000000" w:themeColor="text1"/>
          <w:sz w:val="16"/>
          <w:szCs w:val="16"/>
        </w:rPr>
        <w:softHyphen/>
        <w:t xml:space="preserve">бительные </w:t>
      </w:r>
      <w:proofErr w:type="spellStart"/>
      <w:r w:rsidRPr="00A259BD">
        <w:rPr>
          <w:rFonts w:ascii="Times New Roman" w:hAnsi="Times New Roman"/>
          <w:color w:val="000000" w:themeColor="text1"/>
          <w:sz w:val="16"/>
          <w:szCs w:val="16"/>
        </w:rPr>
        <w:t>самоле</w:t>
      </w:r>
      <w:proofErr w:type="spellEnd"/>
      <w:r w:rsidRPr="00A259BD">
        <w:rPr>
          <w:rFonts w:ascii="Times New Roman" w:hAnsi="Times New Roman"/>
          <w:color w:val="000000" w:themeColor="text1"/>
          <w:sz w:val="16"/>
          <w:szCs w:val="16"/>
        </w:rPr>
        <w:t xml:space="preserve"> ты, так как современные моторы </w:t>
      </w:r>
      <w:proofErr w:type="spellStart"/>
      <w:r w:rsidRPr="00A259BD">
        <w:rPr>
          <w:rFonts w:ascii="Times New Roman" w:hAnsi="Times New Roman"/>
          <w:color w:val="000000" w:themeColor="text1"/>
          <w:sz w:val="16"/>
          <w:szCs w:val="16"/>
        </w:rPr>
        <w:t>укаванными</w:t>
      </w:r>
      <w:proofErr w:type="spellEnd"/>
      <w:r w:rsidRPr="00A259BD">
        <w:rPr>
          <w:rFonts w:ascii="Times New Roman" w:hAnsi="Times New Roman"/>
          <w:color w:val="000000" w:themeColor="text1"/>
          <w:sz w:val="16"/>
          <w:szCs w:val="16"/>
        </w:rPr>
        <w:t xml:space="preserve"> выше данными не обладают, то при </w:t>
      </w:r>
      <w:proofErr w:type="spellStart"/>
      <w:r w:rsidRPr="00A259BD">
        <w:rPr>
          <w:rFonts w:ascii="Times New Roman" w:hAnsi="Times New Roman"/>
          <w:color w:val="000000" w:themeColor="text1"/>
          <w:sz w:val="16"/>
          <w:szCs w:val="16"/>
        </w:rPr>
        <w:t>осуществелнии</w:t>
      </w:r>
      <w:proofErr w:type="spellEnd"/>
      <w:r w:rsidRPr="00A259BD">
        <w:rPr>
          <w:rFonts w:ascii="Times New Roman" w:hAnsi="Times New Roman"/>
          <w:color w:val="000000" w:themeColor="text1"/>
          <w:sz w:val="16"/>
          <w:szCs w:val="16"/>
        </w:rPr>
        <w:t xml:space="preserve"> моторов этой группы могут потребовать и некоторые экспериментальные исследования, поэтому вопрос о серийном производстве этих моторов может быть решен </w:t>
      </w:r>
      <w:proofErr w:type="spellStart"/>
      <w:r w:rsidRPr="00A259BD">
        <w:rPr>
          <w:rFonts w:ascii="Times New Roman" w:hAnsi="Times New Roman"/>
          <w:color w:val="000000" w:themeColor="text1"/>
          <w:sz w:val="16"/>
          <w:szCs w:val="16"/>
        </w:rPr>
        <w:t>лищь</w:t>
      </w:r>
      <w:proofErr w:type="spellEnd"/>
      <w:r w:rsidRPr="00A259BD">
        <w:rPr>
          <w:rFonts w:ascii="Times New Roman" w:hAnsi="Times New Roman"/>
          <w:color w:val="000000" w:themeColor="text1"/>
          <w:sz w:val="16"/>
          <w:szCs w:val="16"/>
        </w:rPr>
        <w:t xml:space="preserve"> по окончанию испытания.</w:t>
      </w:r>
    </w:p>
    <w:p w14:paraId="7CEB08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ЭКСПЕРИМЕНТАЛЬНЫЕ КОНСТРУКЦИИ ДВИГАТЕЛЕЙ</w:t>
      </w:r>
    </w:p>
    <w:p w14:paraId="5FC2F3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/2-ая группа /. </w:t>
      </w:r>
      <w:proofErr w:type="spellStart"/>
      <w:r w:rsidRPr="00A259BD">
        <w:rPr>
          <w:rFonts w:ascii="Times New Roman" w:hAnsi="Times New Roman"/>
          <w:color w:val="000000" w:themeColor="text1"/>
          <w:sz w:val="16"/>
          <w:szCs w:val="16"/>
        </w:rPr>
        <w:t>Прилонение</w:t>
      </w:r>
      <w:proofErr w:type="spellEnd"/>
      <w:r w:rsidRPr="00A259BD">
        <w:rPr>
          <w:rFonts w:ascii="Times New Roman" w:hAnsi="Times New Roman"/>
          <w:color w:val="000000" w:themeColor="text1"/>
          <w:sz w:val="16"/>
          <w:szCs w:val="16"/>
        </w:rPr>
        <w:t xml:space="preserve"> № 2. </w:t>
      </w:r>
    </w:p>
    <w:p w14:paraId="54F1EF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этой категории моторов отнесены проектирующиеся или уже строящееся моторы, в которых осуществляются новые конструк</w:t>
      </w:r>
      <w:r w:rsidRPr="00A259BD">
        <w:rPr>
          <w:rFonts w:ascii="Times New Roman" w:hAnsi="Times New Roman"/>
          <w:color w:val="000000" w:themeColor="text1"/>
          <w:sz w:val="16"/>
          <w:szCs w:val="16"/>
        </w:rPr>
        <w:softHyphen/>
        <w:t>тивные принципы или новые схемы работы двигателя. К таким моторам относятся:</w:t>
      </w:r>
    </w:p>
    <w:p w14:paraId="607205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 КИРЕЕВА. Номинальной мощностью 800-1000 НР с весом около 560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xml:space="preserve">. В </w:t>
      </w:r>
      <w:proofErr w:type="spellStart"/>
      <w:r w:rsidRPr="00A259BD">
        <w:rPr>
          <w:rFonts w:ascii="Times New Roman" w:hAnsi="Times New Roman"/>
          <w:color w:val="000000" w:themeColor="text1"/>
          <w:sz w:val="16"/>
          <w:szCs w:val="16"/>
        </w:rPr>
        <w:t>данноее</w:t>
      </w:r>
      <w:proofErr w:type="spellEnd"/>
      <w:r w:rsidRPr="00A259BD">
        <w:rPr>
          <w:rFonts w:ascii="Times New Roman" w:hAnsi="Times New Roman"/>
          <w:color w:val="000000" w:themeColor="text1"/>
          <w:sz w:val="16"/>
          <w:szCs w:val="16"/>
        </w:rPr>
        <w:t xml:space="preserve"> время заканчивается постройка на заводе Боль</w:t>
      </w:r>
      <w:r w:rsidRPr="00A259BD">
        <w:rPr>
          <w:rFonts w:ascii="Times New Roman" w:hAnsi="Times New Roman"/>
          <w:color w:val="000000" w:themeColor="text1"/>
          <w:sz w:val="16"/>
          <w:szCs w:val="16"/>
        </w:rPr>
        <w:softHyphen/>
        <w:t>шевик в Ленинграде.</w:t>
      </w:r>
    </w:p>
    <w:p w14:paraId="114E37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 КУРНЕВИЧА Двигатель коловратного типа, разработка проекта для которого производится в данное время в НАМИ.</w:t>
      </w:r>
    </w:p>
    <w:p w14:paraId="00B6A63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 АГАТОВА, работящий по двухтактному циклу с противоположно движущимися поршнями, предполагается построить в не полном виде. для проверки принципов и процессов </w:t>
      </w:r>
      <w:proofErr w:type="spellStart"/>
      <w:r w:rsidRPr="00A259BD">
        <w:rPr>
          <w:rFonts w:ascii="Times New Roman" w:hAnsi="Times New Roman"/>
          <w:color w:val="000000" w:themeColor="text1"/>
          <w:sz w:val="16"/>
          <w:szCs w:val="16"/>
        </w:rPr>
        <w:t>положеннных</w:t>
      </w:r>
      <w:proofErr w:type="spellEnd"/>
      <w:r w:rsidRPr="00A259BD">
        <w:rPr>
          <w:rFonts w:ascii="Times New Roman" w:hAnsi="Times New Roman"/>
          <w:color w:val="000000" w:themeColor="text1"/>
          <w:sz w:val="16"/>
          <w:szCs w:val="16"/>
        </w:rPr>
        <w:t xml:space="preserve"> авто</w:t>
      </w:r>
      <w:r w:rsidRPr="00A259BD">
        <w:rPr>
          <w:rFonts w:ascii="Times New Roman" w:hAnsi="Times New Roman"/>
          <w:color w:val="000000" w:themeColor="text1"/>
          <w:sz w:val="16"/>
          <w:szCs w:val="16"/>
        </w:rPr>
        <w:softHyphen/>
        <w:t>ром в основу конструкции мотора.</w:t>
      </w:r>
    </w:p>
    <w:p w14:paraId="7A13857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этой же категории двигателей отнесены задачи создания соб</w:t>
      </w:r>
      <w:r w:rsidRPr="00A259BD">
        <w:rPr>
          <w:rFonts w:ascii="Times New Roman" w:hAnsi="Times New Roman"/>
          <w:color w:val="000000" w:themeColor="text1"/>
          <w:sz w:val="16"/>
          <w:szCs w:val="16"/>
        </w:rPr>
        <w:softHyphen/>
        <w:t>ственной конструкции двигателя, работающего на нефти. В пятилетний план включены следующие нефтяные двигатели:</w:t>
      </w:r>
    </w:p>
    <w:p w14:paraId="59F304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 600 НР </w:t>
      </w:r>
      <w:proofErr w:type="spellStart"/>
      <w:r w:rsidRPr="00A259BD">
        <w:rPr>
          <w:rFonts w:ascii="Times New Roman" w:hAnsi="Times New Roman"/>
          <w:color w:val="000000" w:themeColor="text1"/>
          <w:sz w:val="16"/>
          <w:szCs w:val="16"/>
        </w:rPr>
        <w:t>воэдушого</w:t>
      </w:r>
      <w:proofErr w:type="spellEnd"/>
      <w:r w:rsidRPr="00A259BD">
        <w:rPr>
          <w:rFonts w:ascii="Times New Roman" w:hAnsi="Times New Roman"/>
          <w:color w:val="000000" w:themeColor="text1"/>
          <w:sz w:val="16"/>
          <w:szCs w:val="16"/>
        </w:rPr>
        <w:t xml:space="preserve"> охлаждения /ЭН1/ с весом около 600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с расходом нефти около 130 гр./л.с./час.</w:t>
      </w:r>
    </w:p>
    <w:p w14:paraId="5AFC22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 800 НР водяного охлаждения /ЭН2/, мощностью 600 НР с весом в 700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xml:space="preserve">. и с расходом горючего 180 </w:t>
      </w:r>
      <w:proofErr w:type="spellStart"/>
      <w:r w:rsidRPr="00A259BD">
        <w:rPr>
          <w:rFonts w:ascii="Times New Roman" w:hAnsi="Times New Roman"/>
          <w:color w:val="000000" w:themeColor="text1"/>
          <w:sz w:val="16"/>
          <w:szCs w:val="16"/>
        </w:rPr>
        <w:t>гр</w:t>
      </w:r>
      <w:proofErr w:type="spellEnd"/>
      <w:r w:rsidRPr="00A259BD">
        <w:rPr>
          <w:rFonts w:ascii="Times New Roman" w:hAnsi="Times New Roman"/>
          <w:color w:val="000000" w:themeColor="text1"/>
          <w:sz w:val="16"/>
          <w:szCs w:val="16"/>
        </w:rPr>
        <w:t>/л.с./час.</w:t>
      </w:r>
    </w:p>
    <w:p w14:paraId="15B72A5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МЛОР 1000 НР водяного охлаждения /ЭН3/ с весом около 800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xml:space="preserve">. и расходом горючего 160 </w:t>
      </w:r>
      <w:proofErr w:type="spellStart"/>
      <w:r w:rsidRPr="00A259BD">
        <w:rPr>
          <w:rFonts w:ascii="Times New Roman" w:hAnsi="Times New Roman"/>
          <w:color w:val="000000" w:themeColor="text1"/>
          <w:sz w:val="16"/>
          <w:szCs w:val="16"/>
        </w:rPr>
        <w:t>гр</w:t>
      </w:r>
      <w:proofErr w:type="spellEnd"/>
      <w:r w:rsidRPr="00A259BD">
        <w:rPr>
          <w:rFonts w:ascii="Times New Roman" w:hAnsi="Times New Roman"/>
          <w:color w:val="000000" w:themeColor="text1"/>
          <w:sz w:val="16"/>
          <w:szCs w:val="16"/>
        </w:rPr>
        <w:t>/л.с./час.</w:t>
      </w:r>
    </w:p>
    <w:p w14:paraId="2EE0A6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Наконец, к категории экспериментальных машин </w:t>
      </w:r>
      <w:proofErr w:type="spellStart"/>
      <w:r w:rsidRPr="00A259BD">
        <w:rPr>
          <w:rFonts w:ascii="Times New Roman" w:hAnsi="Times New Roman"/>
          <w:color w:val="000000" w:themeColor="text1"/>
          <w:sz w:val="16"/>
          <w:szCs w:val="16"/>
        </w:rPr>
        <w:t>отнесенн</w:t>
      </w:r>
      <w:proofErr w:type="spellEnd"/>
      <w:r w:rsidRPr="00A259BD">
        <w:rPr>
          <w:rFonts w:ascii="Times New Roman" w:hAnsi="Times New Roman"/>
          <w:color w:val="000000" w:themeColor="text1"/>
          <w:sz w:val="16"/>
          <w:szCs w:val="16"/>
        </w:rPr>
        <w:t xml:space="preserve"> те </w:t>
      </w:r>
      <w:proofErr w:type="spellStart"/>
      <w:r w:rsidRPr="00A259BD">
        <w:rPr>
          <w:rFonts w:ascii="Times New Roman" w:hAnsi="Times New Roman"/>
          <w:color w:val="000000" w:themeColor="text1"/>
          <w:sz w:val="16"/>
          <w:szCs w:val="16"/>
        </w:rPr>
        <w:t>двнга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тели</w:t>
      </w:r>
      <w:proofErr w:type="spellEnd"/>
      <w:r w:rsidRPr="00A259BD">
        <w:rPr>
          <w:rFonts w:ascii="Times New Roman" w:hAnsi="Times New Roman"/>
          <w:color w:val="000000" w:themeColor="text1"/>
          <w:sz w:val="16"/>
          <w:szCs w:val="16"/>
        </w:rPr>
        <w:t>, которые были построены в виде опытных образцов, но нуждаются в экспериментальной проверке и в переработке и дви</w:t>
      </w:r>
      <w:r w:rsidRPr="00A259BD">
        <w:rPr>
          <w:rFonts w:ascii="Times New Roman" w:hAnsi="Times New Roman"/>
          <w:color w:val="000000" w:themeColor="text1"/>
          <w:sz w:val="16"/>
          <w:szCs w:val="16"/>
        </w:rPr>
        <w:softHyphen/>
        <w:t xml:space="preserve">гатели, по </w:t>
      </w:r>
      <w:proofErr w:type="spellStart"/>
      <w:r w:rsidRPr="00A259BD">
        <w:rPr>
          <w:rFonts w:ascii="Times New Roman" w:hAnsi="Times New Roman"/>
          <w:color w:val="000000" w:themeColor="text1"/>
          <w:sz w:val="16"/>
          <w:szCs w:val="16"/>
        </w:rPr>
        <w:t>которнм</w:t>
      </w:r>
      <w:proofErr w:type="spellEnd"/>
      <w:r w:rsidRPr="00A259BD">
        <w:rPr>
          <w:rFonts w:ascii="Times New Roman" w:hAnsi="Times New Roman"/>
          <w:color w:val="000000" w:themeColor="text1"/>
          <w:sz w:val="16"/>
          <w:szCs w:val="16"/>
        </w:rPr>
        <w:t xml:space="preserve"> имеются более или менее конкретное </w:t>
      </w:r>
      <w:proofErr w:type="spellStart"/>
      <w:r w:rsidRPr="00A259BD">
        <w:rPr>
          <w:rFonts w:ascii="Times New Roman" w:hAnsi="Times New Roman"/>
          <w:color w:val="000000" w:themeColor="text1"/>
          <w:sz w:val="16"/>
          <w:szCs w:val="16"/>
        </w:rPr>
        <w:t>предло-жение</w:t>
      </w:r>
      <w:proofErr w:type="spellEnd"/>
      <w:r w:rsidRPr="00A259BD">
        <w:rPr>
          <w:rFonts w:ascii="Times New Roman" w:hAnsi="Times New Roman"/>
          <w:color w:val="000000" w:themeColor="text1"/>
          <w:sz w:val="16"/>
          <w:szCs w:val="16"/>
        </w:rPr>
        <w:t>, но которые в настоящее время еще не осуществлены, таковыми являются:</w:t>
      </w:r>
    </w:p>
    <w:p w14:paraId="7B4DFA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 НРБ - работающий по принципу двойного сжатия и двойного расширения, мощностью 100 НР был построен на заводе № 24 и в настоящее время поступил на испытания. После проверки правильности принципов, заложенных в конструкцию мотора, выполнения всех переделок, которые могут потребоваться, в </w:t>
      </w:r>
      <w:proofErr w:type="spellStart"/>
      <w:r w:rsidRPr="00A259BD">
        <w:rPr>
          <w:rFonts w:ascii="Times New Roman" w:hAnsi="Times New Roman"/>
          <w:color w:val="000000" w:themeColor="text1"/>
          <w:sz w:val="16"/>
          <w:szCs w:val="16"/>
        </w:rPr>
        <w:t>в</w:t>
      </w:r>
      <w:proofErr w:type="spellEnd"/>
      <w:r w:rsidRPr="00A259BD">
        <w:rPr>
          <w:rFonts w:ascii="Times New Roman" w:hAnsi="Times New Roman"/>
          <w:color w:val="000000" w:themeColor="text1"/>
          <w:sz w:val="16"/>
          <w:szCs w:val="16"/>
        </w:rPr>
        <w:t xml:space="preserve"> связи с предстоящими испытаниями, должен быть решен вопрос о возможности применения означенного принципа к авиационным двигателям.</w:t>
      </w:r>
    </w:p>
    <w:p w14:paraId="7982E9C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ГАЗОВАЯ ТУРБИНА /Т1/ работа над которой ведется в МВТУ под руководством проф. </w:t>
      </w:r>
      <w:proofErr w:type="spellStart"/>
      <w:r w:rsidRPr="00A259BD">
        <w:rPr>
          <w:rFonts w:ascii="Times New Roman" w:hAnsi="Times New Roman"/>
          <w:color w:val="000000" w:themeColor="text1"/>
          <w:sz w:val="16"/>
          <w:szCs w:val="16"/>
        </w:rPr>
        <w:t>Бриллинга</w:t>
      </w:r>
      <w:proofErr w:type="spellEnd"/>
      <w:r w:rsidRPr="00A259BD">
        <w:rPr>
          <w:rFonts w:ascii="Times New Roman" w:hAnsi="Times New Roman"/>
          <w:color w:val="000000" w:themeColor="text1"/>
          <w:sz w:val="16"/>
          <w:szCs w:val="16"/>
        </w:rPr>
        <w:t xml:space="preserve">, в случае удачного завершения экспериментальных исследований по осуществлению предложенного принципа должна быть построена в виде </w:t>
      </w:r>
      <w:proofErr w:type="spellStart"/>
      <w:r w:rsidRPr="00A259BD">
        <w:rPr>
          <w:rFonts w:ascii="Times New Roman" w:hAnsi="Times New Roman"/>
          <w:color w:val="000000" w:themeColor="text1"/>
          <w:sz w:val="16"/>
          <w:szCs w:val="16"/>
        </w:rPr>
        <w:t>экспериментльного</w:t>
      </w:r>
      <w:proofErr w:type="spellEnd"/>
      <w:r w:rsidRPr="00A259BD">
        <w:rPr>
          <w:rFonts w:ascii="Times New Roman" w:hAnsi="Times New Roman"/>
          <w:color w:val="000000" w:themeColor="text1"/>
          <w:sz w:val="16"/>
          <w:szCs w:val="16"/>
        </w:rPr>
        <w:t xml:space="preserve"> образца с тем, чтобы в следующем пятилетии можно было бы приступить к созданию реального двигателя, работающего в качестве турбины</w:t>
      </w:r>
    </w:p>
    <w:p w14:paraId="2E4EA2D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РЕАКТИВНЫЙ ДВИГАТЕЛЬ /РД1/ предполагаемый к постройке в 1931 г. должен явиться реализацией тех экспериментальных исследований, которые </w:t>
      </w:r>
      <w:proofErr w:type="spellStart"/>
      <w:r w:rsidRPr="00A259BD">
        <w:rPr>
          <w:rFonts w:ascii="Times New Roman" w:hAnsi="Times New Roman"/>
          <w:color w:val="000000" w:themeColor="text1"/>
          <w:sz w:val="16"/>
          <w:szCs w:val="16"/>
        </w:rPr>
        <w:t>ужв</w:t>
      </w:r>
      <w:proofErr w:type="spellEnd"/>
      <w:r w:rsidRPr="00A259BD">
        <w:rPr>
          <w:rFonts w:ascii="Times New Roman" w:hAnsi="Times New Roman"/>
          <w:color w:val="000000" w:themeColor="text1"/>
          <w:sz w:val="16"/>
          <w:szCs w:val="16"/>
        </w:rPr>
        <w:t xml:space="preserve"> в течение нескольких лет велись в ЦАГИ и которые дают основание предполагать возможность применения реактивного принципе для авиационных двигателей.</w:t>
      </w:r>
    </w:p>
    <w:p w14:paraId="19CA43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ТУРБОКОМПРЕССОР / ТК1/ для моторов 1000 НР должен быть построю в 1930 г. Работа над турбокомпрессором является особенно необхо</w:t>
      </w:r>
      <w:r w:rsidRPr="00A259BD">
        <w:rPr>
          <w:rFonts w:ascii="Times New Roman" w:hAnsi="Times New Roman"/>
          <w:color w:val="000000" w:themeColor="text1"/>
          <w:sz w:val="16"/>
          <w:szCs w:val="16"/>
        </w:rPr>
        <w:softHyphen/>
        <w:t>димой, в связи с требованиями, выставленными пятилетним пла</w:t>
      </w:r>
      <w:r w:rsidRPr="00A259BD">
        <w:rPr>
          <w:rFonts w:ascii="Times New Roman" w:hAnsi="Times New Roman"/>
          <w:color w:val="000000" w:themeColor="text1"/>
          <w:sz w:val="16"/>
          <w:szCs w:val="16"/>
        </w:rPr>
        <w:softHyphen/>
        <w:t xml:space="preserve">ном в отношении высотности </w:t>
      </w:r>
      <w:proofErr w:type="spellStart"/>
      <w:r w:rsidRPr="00A259BD">
        <w:rPr>
          <w:rFonts w:ascii="Times New Roman" w:hAnsi="Times New Roman"/>
          <w:color w:val="000000" w:themeColor="text1"/>
          <w:sz w:val="16"/>
          <w:szCs w:val="16"/>
        </w:rPr>
        <w:t>даигателей</w:t>
      </w:r>
      <w:proofErr w:type="spellEnd"/>
      <w:r w:rsidRPr="00A259BD">
        <w:rPr>
          <w:rFonts w:ascii="Times New Roman" w:hAnsi="Times New Roman"/>
          <w:color w:val="000000" w:themeColor="text1"/>
          <w:sz w:val="16"/>
          <w:szCs w:val="16"/>
        </w:rPr>
        <w:t>. Испытания, проводимые в настоящее время в ЦАГИ над опытной конструкцией такого турбо</w:t>
      </w:r>
      <w:r w:rsidRPr="00A259BD">
        <w:rPr>
          <w:rFonts w:ascii="Times New Roman" w:hAnsi="Times New Roman"/>
          <w:color w:val="000000" w:themeColor="text1"/>
          <w:sz w:val="16"/>
          <w:szCs w:val="16"/>
        </w:rPr>
        <w:softHyphen/>
        <w:t>компрессора должны послужить основанием для разработки проекта турбокомпрессора, пригодного к установке на моторы различных типов.</w:t>
      </w:r>
    </w:p>
    <w:p w14:paraId="7F9C1C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ВИНТ С ПЕРЕМЕННЫМ ШАГОМ является необходимым условием для рациональной </w:t>
      </w:r>
      <w:proofErr w:type="spellStart"/>
      <w:r w:rsidRPr="00A259BD">
        <w:rPr>
          <w:rFonts w:ascii="Times New Roman" w:hAnsi="Times New Roman"/>
          <w:color w:val="000000" w:themeColor="text1"/>
          <w:sz w:val="16"/>
          <w:szCs w:val="16"/>
        </w:rPr>
        <w:t>эксплоатации</w:t>
      </w:r>
      <w:proofErr w:type="spellEnd"/>
      <w:r w:rsidRPr="00A259BD">
        <w:rPr>
          <w:rFonts w:ascii="Times New Roman" w:hAnsi="Times New Roman"/>
          <w:color w:val="000000" w:themeColor="text1"/>
          <w:sz w:val="16"/>
          <w:szCs w:val="16"/>
        </w:rPr>
        <w:t xml:space="preserve"> высотных моторов. Поэтому проектирование и постройка опытных образцов винтов для высотных мото</w:t>
      </w:r>
      <w:r w:rsidRPr="00A259BD">
        <w:rPr>
          <w:rFonts w:ascii="Times New Roman" w:hAnsi="Times New Roman"/>
          <w:color w:val="000000" w:themeColor="text1"/>
          <w:sz w:val="16"/>
          <w:szCs w:val="16"/>
        </w:rPr>
        <w:softHyphen/>
        <w:t>ров включено в пятилетний план.</w:t>
      </w:r>
    </w:p>
    <w:p w14:paraId="230813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МАЛОМОЩНЫЕ МОТОРЫ И МОТОРЫ ДЛЯ ГРАЖДАНСКОЙ АВИАЦИИ</w:t>
      </w:r>
    </w:p>
    <w:p w14:paraId="07E1B5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удовлетворения нужд гражданской авиации и потребностей </w:t>
      </w:r>
      <w:proofErr w:type="spellStart"/>
      <w:r w:rsidRPr="00A259BD">
        <w:rPr>
          <w:rFonts w:ascii="Times New Roman" w:hAnsi="Times New Roman"/>
          <w:color w:val="000000" w:themeColor="text1"/>
          <w:sz w:val="16"/>
          <w:szCs w:val="16"/>
        </w:rPr>
        <w:t>военнной</w:t>
      </w:r>
      <w:proofErr w:type="spellEnd"/>
      <w:r w:rsidRPr="00A259BD">
        <w:rPr>
          <w:rFonts w:ascii="Times New Roman" w:hAnsi="Times New Roman"/>
          <w:color w:val="000000" w:themeColor="text1"/>
          <w:sz w:val="16"/>
          <w:szCs w:val="16"/>
        </w:rPr>
        <w:t xml:space="preserve"> авиации в учебных и переходных машинах в пятилетний план включены:</w:t>
      </w:r>
    </w:p>
    <w:p w14:paraId="78FAD8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 М2б воздушного охлаждения, мощностью 300-350 НР с весом 300 </w:t>
      </w:r>
      <w:proofErr w:type="spellStart"/>
      <w:r w:rsidRPr="00A259BD">
        <w:rPr>
          <w:rFonts w:ascii="Times New Roman" w:hAnsi="Times New Roman"/>
          <w:color w:val="000000" w:themeColor="text1"/>
          <w:sz w:val="16"/>
          <w:szCs w:val="16"/>
        </w:rPr>
        <w:t>ктр</w:t>
      </w:r>
      <w:proofErr w:type="spellEnd"/>
      <w:r w:rsidRPr="00A259BD">
        <w:rPr>
          <w:rFonts w:ascii="Times New Roman" w:hAnsi="Times New Roman"/>
          <w:color w:val="000000" w:themeColor="text1"/>
          <w:sz w:val="16"/>
          <w:szCs w:val="16"/>
        </w:rPr>
        <w:t>. Должен закончить свои испытания в начале 1930/31 г.</w:t>
      </w:r>
    </w:p>
    <w:p w14:paraId="4A4A5A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 М45 являясь дальнейшим развитием мотора М26 должен обладать следующими основными данными: мощностью в 300 НР и весом около 80 кг.</w:t>
      </w:r>
    </w:p>
    <w:p w14:paraId="216F387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машинам этой группы предъявляются требования достаточной надежности в работе и экономичности в расходе горючего.</w:t>
      </w:r>
    </w:p>
    <w:p w14:paraId="42D6F1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 М11а является мотором воздушного охлаждения, предназначаемого для учебных целей, с номинальной мощностью 100 -120 НР и весом около 120 кг</w:t>
      </w:r>
    </w:p>
    <w:p w14:paraId="4AF0DB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 М23 мощность”- 65-75 НР воздушного охлаждения предназ</w:t>
      </w:r>
      <w:r w:rsidRPr="00A259BD">
        <w:rPr>
          <w:rFonts w:ascii="Times New Roman" w:hAnsi="Times New Roman"/>
          <w:color w:val="000000" w:themeColor="text1"/>
          <w:sz w:val="16"/>
          <w:szCs w:val="16"/>
        </w:rPr>
        <w:softHyphen/>
        <w:t>начается для установки на авиетки и самолеты типа "амфибия"</w:t>
      </w:r>
    </w:p>
    <w:p w14:paraId="1511005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этой группе относятся моторы: М45 мощностью 40 НР и мотор М47 мощностью 20 НР, предназначаемые для установки на авиетки.</w:t>
      </w:r>
    </w:p>
    <w:p w14:paraId="4846789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ИСПОЛНИТЕЛИ ПЛАНА. </w:t>
      </w:r>
    </w:p>
    <w:p w14:paraId="528D56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настоящее время ни опытный </w:t>
      </w:r>
      <w:proofErr w:type="spellStart"/>
      <w:r w:rsidRPr="00A259BD">
        <w:rPr>
          <w:rFonts w:ascii="Times New Roman" w:hAnsi="Times New Roman"/>
          <w:color w:val="000000" w:themeColor="text1"/>
          <w:sz w:val="16"/>
          <w:szCs w:val="16"/>
        </w:rPr>
        <w:t>отделАвиатреста</w:t>
      </w:r>
      <w:proofErr w:type="spellEnd"/>
      <w:r w:rsidRPr="00A259BD">
        <w:rPr>
          <w:rFonts w:ascii="Times New Roman" w:hAnsi="Times New Roman"/>
          <w:color w:val="000000" w:themeColor="text1"/>
          <w:sz w:val="16"/>
          <w:szCs w:val="16"/>
        </w:rPr>
        <w:t>, ни отдел Конст</w:t>
      </w:r>
      <w:r w:rsidRPr="00A259BD">
        <w:rPr>
          <w:rFonts w:ascii="Times New Roman" w:hAnsi="Times New Roman"/>
          <w:color w:val="000000" w:themeColor="text1"/>
          <w:sz w:val="16"/>
          <w:szCs w:val="16"/>
        </w:rPr>
        <w:softHyphen/>
        <w:t xml:space="preserve">руктивных разработок НАМИ не обладают достаточными кадрами инженерно-технического персонала для осуществления конструктивной разработки всех перечисленных в пятилетнем плане моторов. По самому скромному подсчету разработка проектов опытных образцов машин, непрерывное наблюдение за их постройкой и непрерывная работа по </w:t>
      </w:r>
      <w:proofErr w:type="spellStart"/>
      <w:r w:rsidRPr="00A259BD">
        <w:rPr>
          <w:rFonts w:ascii="Times New Roman" w:hAnsi="Times New Roman"/>
          <w:color w:val="000000" w:themeColor="text1"/>
          <w:sz w:val="16"/>
          <w:szCs w:val="16"/>
        </w:rPr>
        <w:t>усоверше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нотвованию</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констукции</w:t>
      </w:r>
      <w:proofErr w:type="spellEnd"/>
      <w:r w:rsidRPr="00A259BD">
        <w:rPr>
          <w:rFonts w:ascii="Times New Roman" w:hAnsi="Times New Roman"/>
          <w:color w:val="000000" w:themeColor="text1"/>
          <w:sz w:val="16"/>
          <w:szCs w:val="16"/>
        </w:rPr>
        <w:t xml:space="preserve"> отдельных деталей, потребует не менее 60 человек инженеров, достаточно высокой квалификации.</w:t>
      </w:r>
    </w:p>
    <w:p w14:paraId="133C734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Органиаация</w:t>
      </w:r>
      <w:proofErr w:type="spellEnd"/>
      <w:r w:rsidRPr="00A259BD">
        <w:rPr>
          <w:rFonts w:ascii="Times New Roman" w:hAnsi="Times New Roman"/>
          <w:color w:val="000000" w:themeColor="text1"/>
          <w:sz w:val="16"/>
          <w:szCs w:val="16"/>
        </w:rPr>
        <w:t xml:space="preserve"> при </w:t>
      </w:r>
      <w:proofErr w:type="spellStart"/>
      <w:r w:rsidRPr="00A259BD">
        <w:rPr>
          <w:rFonts w:ascii="Times New Roman" w:hAnsi="Times New Roman"/>
          <w:color w:val="000000" w:themeColor="text1"/>
          <w:sz w:val="16"/>
          <w:szCs w:val="16"/>
        </w:rPr>
        <w:t>Авиатресте</w:t>
      </w:r>
      <w:proofErr w:type="spellEnd"/>
      <w:r w:rsidRPr="00A259BD">
        <w:rPr>
          <w:rFonts w:ascii="Times New Roman" w:hAnsi="Times New Roman"/>
          <w:color w:val="000000" w:themeColor="text1"/>
          <w:sz w:val="16"/>
          <w:szCs w:val="16"/>
        </w:rPr>
        <w:t xml:space="preserve"> мощного опытного отдела, который мог бы в первую очередь справиться с проектированием и наблю</w:t>
      </w:r>
      <w:r w:rsidRPr="00A259BD">
        <w:rPr>
          <w:rFonts w:ascii="Times New Roman" w:hAnsi="Times New Roman"/>
          <w:color w:val="000000" w:themeColor="text1"/>
          <w:sz w:val="16"/>
          <w:szCs w:val="16"/>
        </w:rPr>
        <w:softHyphen/>
        <w:t xml:space="preserve">дением </w:t>
      </w:r>
      <w:proofErr w:type="spellStart"/>
      <w:r w:rsidRPr="00A259BD">
        <w:rPr>
          <w:rFonts w:ascii="Times New Roman" w:hAnsi="Times New Roman"/>
          <w:color w:val="000000" w:themeColor="text1"/>
          <w:sz w:val="16"/>
          <w:szCs w:val="16"/>
        </w:rPr>
        <w:t>аа</w:t>
      </w:r>
      <w:proofErr w:type="spellEnd"/>
      <w:r w:rsidRPr="00A259BD">
        <w:rPr>
          <w:rFonts w:ascii="Times New Roman" w:hAnsi="Times New Roman"/>
          <w:color w:val="000000" w:themeColor="text1"/>
          <w:sz w:val="16"/>
          <w:szCs w:val="16"/>
        </w:rPr>
        <w:t xml:space="preserve"> производством хотя бы моторов, </w:t>
      </w:r>
      <w:proofErr w:type="spellStart"/>
      <w:r w:rsidRPr="00A259BD">
        <w:rPr>
          <w:rFonts w:ascii="Times New Roman" w:hAnsi="Times New Roman"/>
          <w:color w:val="000000" w:themeColor="text1"/>
          <w:sz w:val="16"/>
          <w:szCs w:val="16"/>
        </w:rPr>
        <w:t>предназначенннх</w:t>
      </w:r>
      <w:proofErr w:type="spellEnd"/>
      <w:r w:rsidRPr="00A259BD">
        <w:rPr>
          <w:rFonts w:ascii="Times New Roman" w:hAnsi="Times New Roman"/>
          <w:color w:val="000000" w:themeColor="text1"/>
          <w:sz w:val="16"/>
          <w:szCs w:val="16"/>
        </w:rPr>
        <w:t xml:space="preserve"> к серийному производству, представляется совершенно необходимым. Разработка проектов опытных машин экспериментального типа и проведение </w:t>
      </w:r>
      <w:proofErr w:type="spellStart"/>
      <w:r w:rsidRPr="00A259BD">
        <w:rPr>
          <w:rFonts w:ascii="Times New Roman" w:hAnsi="Times New Roman"/>
          <w:color w:val="000000" w:themeColor="text1"/>
          <w:sz w:val="16"/>
          <w:szCs w:val="16"/>
        </w:rPr>
        <w:t>необходимнх</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экспериментгльных</w:t>
      </w:r>
      <w:proofErr w:type="spellEnd"/>
      <w:r w:rsidRPr="00A259BD">
        <w:rPr>
          <w:rFonts w:ascii="Times New Roman" w:hAnsi="Times New Roman"/>
          <w:color w:val="000000" w:themeColor="text1"/>
          <w:sz w:val="16"/>
          <w:szCs w:val="16"/>
        </w:rPr>
        <w:t xml:space="preserve"> исследований выдвигает задачи создания при НАМИ центрального конструктор</w:t>
      </w:r>
      <w:r w:rsidRPr="00A259BD">
        <w:rPr>
          <w:rFonts w:ascii="Times New Roman" w:hAnsi="Times New Roman"/>
          <w:color w:val="000000" w:themeColor="text1"/>
          <w:sz w:val="16"/>
          <w:szCs w:val="16"/>
        </w:rPr>
        <w:softHyphen/>
        <w:t>ского аппарата, с достаточном количеством квалифицированных инженеров.</w:t>
      </w:r>
    </w:p>
    <w:p w14:paraId="111FFB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обеспечения опытного строительства производственной базой, приходится констатировать, что лишь моторы первой груп</w:t>
      </w:r>
      <w:r w:rsidRPr="00A259BD">
        <w:rPr>
          <w:rFonts w:ascii="Times New Roman" w:hAnsi="Times New Roman"/>
          <w:color w:val="000000" w:themeColor="text1"/>
          <w:sz w:val="16"/>
          <w:szCs w:val="16"/>
        </w:rPr>
        <w:softHyphen/>
        <w:t xml:space="preserve">пы и немногие из моторов второй, могут быть осуществлены на заводах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и на строящемся заводе НАМИ. Значительная часть моторов второй группы и двигателей экспериментального типа, точно также как и двигателей для гражданской авиаций без создания специального опытного завода при </w:t>
      </w:r>
      <w:proofErr w:type="spellStart"/>
      <w:r w:rsidRPr="00A259BD">
        <w:rPr>
          <w:rFonts w:ascii="Times New Roman" w:hAnsi="Times New Roman"/>
          <w:color w:val="000000" w:themeColor="text1"/>
          <w:sz w:val="16"/>
          <w:szCs w:val="16"/>
        </w:rPr>
        <w:t>Авиатресте</w:t>
      </w:r>
      <w:proofErr w:type="spellEnd"/>
      <w:r w:rsidRPr="00A259BD">
        <w:rPr>
          <w:rFonts w:ascii="Times New Roman" w:hAnsi="Times New Roman"/>
          <w:color w:val="000000" w:themeColor="text1"/>
          <w:sz w:val="16"/>
          <w:szCs w:val="16"/>
        </w:rPr>
        <w:t xml:space="preserve"> осуществлены быть не смогут.</w:t>
      </w:r>
    </w:p>
    <w:p w14:paraId="1307309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ФИНАНСОВЫЙ ПЛАН</w:t>
      </w:r>
    </w:p>
    <w:p w14:paraId="15DF8C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Общая стоимость опытного строительства моторов может быть с достаточной точностью установлена на ближайшие три года, на которые представляется возможным </w:t>
      </w:r>
      <w:proofErr w:type="spellStart"/>
      <w:r w:rsidRPr="00A259BD">
        <w:rPr>
          <w:rFonts w:ascii="Times New Roman" w:hAnsi="Times New Roman"/>
          <w:color w:val="000000" w:themeColor="text1"/>
          <w:sz w:val="16"/>
          <w:szCs w:val="16"/>
        </w:rPr>
        <w:t>расчитать</w:t>
      </w:r>
      <w:proofErr w:type="spellEnd"/>
      <w:r w:rsidRPr="00A259BD">
        <w:rPr>
          <w:rFonts w:ascii="Times New Roman" w:hAnsi="Times New Roman"/>
          <w:color w:val="000000" w:themeColor="text1"/>
          <w:sz w:val="16"/>
          <w:szCs w:val="16"/>
        </w:rPr>
        <w:t xml:space="preserve"> как количество, так и типы, подлежащих выполнению машин. В зависимости от дальней</w:t>
      </w:r>
      <w:r w:rsidRPr="00A259BD">
        <w:rPr>
          <w:rFonts w:ascii="Times New Roman" w:hAnsi="Times New Roman"/>
          <w:color w:val="000000" w:themeColor="text1"/>
          <w:sz w:val="16"/>
          <w:szCs w:val="16"/>
        </w:rPr>
        <w:softHyphen/>
        <w:t>шего развития авиационной техники, может потребоваться включение в пятилетний план целого ряда новых машин, обладающих та</w:t>
      </w:r>
      <w:r w:rsidRPr="00A259BD">
        <w:rPr>
          <w:rFonts w:ascii="Times New Roman" w:hAnsi="Times New Roman"/>
          <w:color w:val="000000" w:themeColor="text1"/>
          <w:sz w:val="16"/>
          <w:szCs w:val="16"/>
        </w:rPr>
        <w:softHyphen/>
        <w:t xml:space="preserve">кими свойствами и такими конструктивными данными, предположить которые в настоящее время еще не </w:t>
      </w:r>
      <w:proofErr w:type="spellStart"/>
      <w:r w:rsidRPr="00A259BD">
        <w:rPr>
          <w:rFonts w:ascii="Times New Roman" w:hAnsi="Times New Roman"/>
          <w:color w:val="000000" w:themeColor="text1"/>
          <w:sz w:val="16"/>
          <w:szCs w:val="16"/>
        </w:rPr>
        <w:t>представляетвя</w:t>
      </w:r>
      <w:proofErr w:type="spellEnd"/>
      <w:r w:rsidRPr="00A259BD">
        <w:rPr>
          <w:rFonts w:ascii="Times New Roman" w:hAnsi="Times New Roman"/>
          <w:color w:val="000000" w:themeColor="text1"/>
          <w:sz w:val="16"/>
          <w:szCs w:val="16"/>
        </w:rPr>
        <w:t xml:space="preserve"> возможным, поэ</w:t>
      </w:r>
      <w:r w:rsidRPr="00A259BD">
        <w:rPr>
          <w:rFonts w:ascii="Times New Roman" w:hAnsi="Times New Roman"/>
          <w:color w:val="000000" w:themeColor="text1"/>
          <w:sz w:val="16"/>
          <w:szCs w:val="16"/>
        </w:rPr>
        <w:softHyphen/>
        <w:t>тому примерная стоимость моторов по годам намечается в следую</w:t>
      </w:r>
      <w:r w:rsidRPr="00A259BD">
        <w:rPr>
          <w:rFonts w:ascii="Times New Roman" w:hAnsi="Times New Roman"/>
          <w:color w:val="000000" w:themeColor="text1"/>
          <w:sz w:val="16"/>
          <w:szCs w:val="16"/>
        </w:rPr>
        <w:softHyphen/>
        <w:t>щем виде:</w:t>
      </w:r>
    </w:p>
    <w:p w14:paraId="3C2F82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1929/30 г. для осуществления перечисленных в плане моторов потребуется около 2.750.000</w:t>
      </w:r>
    </w:p>
    <w:p w14:paraId="059FC7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1930/31 г. - 2.850.000</w:t>
      </w:r>
    </w:p>
    <w:p w14:paraId="5DB1F3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1931/32 г., вероятная цифра расходов составит примерно 2.500.000</w:t>
      </w:r>
    </w:p>
    <w:p w14:paraId="0ED415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1932/33 г. - 2.500.000</w:t>
      </w:r>
    </w:p>
    <w:p w14:paraId="7945FF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10.600.000</w:t>
      </w:r>
    </w:p>
    <w:p w14:paraId="0D7492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Распределение этой суммы по различным категориям моторов опыт</w:t>
      </w:r>
      <w:r w:rsidRPr="00A259BD">
        <w:rPr>
          <w:rFonts w:ascii="Times New Roman" w:hAnsi="Times New Roman"/>
          <w:color w:val="000000" w:themeColor="text1"/>
          <w:sz w:val="16"/>
          <w:szCs w:val="16"/>
        </w:rPr>
        <w:softHyphen/>
        <w:t>ного строительства может быть установлено в следующем виде:</w:t>
      </w:r>
    </w:p>
    <w:p w14:paraId="4C21555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моторы для серийного производства потребуется около 4.000.000</w:t>
      </w:r>
    </w:p>
    <w:p w14:paraId="35D459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моторы экспериментального типа потребуется около 4.600.000</w:t>
      </w:r>
    </w:p>
    <w:p w14:paraId="2E683AA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моторы для гражданской авиации -около 2.000.000</w:t>
      </w:r>
    </w:p>
    <w:p w14:paraId="6F9E31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(351).</w:t>
      </w:r>
    </w:p>
    <w:p w14:paraId="22E063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ОБЪЯСНИТЕЛЬНАЯ ЗАПИСКА К ПЯТИЛЕТНЕМУ ПЛАНУ ПО ВООРУЖЕНИЮ И ОБОРУДОВАНИЮ ОПЫТНЫХ САМОЛЕТОВ ПРЕДМЕТАМИ СТРЕЛКОГОГО, БОМБМРДИРОВОЧНОГО И ТОРПЕДНОГО ВООРУЖЕНИЯ</w:t>
      </w:r>
    </w:p>
    <w:p w14:paraId="1565D2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СРОКИ ПОСТРОЙКИ САМОЛЕТОВ, ЗАДАННЫ 1 СЕКЦИЕЙ</w:t>
      </w:r>
    </w:p>
    <w:p w14:paraId="7E4BAD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данном случав вооружение и оборудование для </w:t>
      </w:r>
      <w:proofErr w:type="spellStart"/>
      <w:r w:rsidRPr="00A259BD">
        <w:rPr>
          <w:rFonts w:ascii="Times New Roman" w:hAnsi="Times New Roman"/>
          <w:color w:val="000000" w:themeColor="text1"/>
          <w:sz w:val="16"/>
          <w:szCs w:val="16"/>
        </w:rPr>
        <w:t>опытынх</w:t>
      </w:r>
      <w:proofErr w:type="spellEnd"/>
      <w:r w:rsidRPr="00A259BD">
        <w:rPr>
          <w:rFonts w:ascii="Times New Roman" w:hAnsi="Times New Roman"/>
          <w:color w:val="000000" w:themeColor="text1"/>
          <w:sz w:val="16"/>
          <w:szCs w:val="16"/>
        </w:rPr>
        <w:t xml:space="preserve"> самолетов дол</w:t>
      </w:r>
      <w:r w:rsidRPr="00A259BD">
        <w:rPr>
          <w:rFonts w:ascii="Times New Roman" w:hAnsi="Times New Roman"/>
          <w:color w:val="000000" w:themeColor="text1"/>
          <w:sz w:val="16"/>
          <w:szCs w:val="16"/>
        </w:rPr>
        <w:softHyphen/>
        <w:t>жны быть закончены в постройке и земном испытании за 2-8 месяца до указанного 1-й секцией срока испытания опытного самолета. Характер вооружения и оборудования определяется планом развития составленным 1У секцией /Применения/.</w:t>
      </w:r>
    </w:p>
    <w:p w14:paraId="385AB3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 ели.</w:t>
      </w:r>
    </w:p>
    <w:p w14:paraId="0AA7438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Группа истребителей предусматривает некоторое усиление вооружения, доведенное, как ниже будет указано, в некоторых случаях до 6 пуле</w:t>
      </w:r>
      <w:r w:rsidRPr="00A259BD">
        <w:rPr>
          <w:rFonts w:ascii="Times New Roman" w:hAnsi="Times New Roman"/>
          <w:color w:val="000000" w:themeColor="text1"/>
          <w:sz w:val="16"/>
          <w:szCs w:val="16"/>
        </w:rPr>
        <w:softHyphen/>
        <w:t>метов и пушки, причем предметы вооружения и оборудования, пред “аз-</w:t>
      </w:r>
      <w:proofErr w:type="spellStart"/>
      <w:r w:rsidRPr="00A259BD">
        <w:rPr>
          <w:rFonts w:ascii="Times New Roman" w:hAnsi="Times New Roman"/>
          <w:color w:val="000000" w:themeColor="text1"/>
          <w:sz w:val="16"/>
          <w:szCs w:val="16"/>
        </w:rPr>
        <w:t>наченные</w:t>
      </w:r>
      <w:proofErr w:type="spellEnd"/>
      <w:r w:rsidRPr="00A259BD">
        <w:rPr>
          <w:rFonts w:ascii="Times New Roman" w:hAnsi="Times New Roman"/>
          <w:color w:val="000000" w:themeColor="text1"/>
          <w:sz w:val="16"/>
          <w:szCs w:val="16"/>
        </w:rPr>
        <w:t xml:space="preserve"> для установки на самолет, будут взяты в новейших образцах, изготовляемые по общему пятилетнему плану и заканчиваемые к сроку готовности опытного самолета.</w:t>
      </w:r>
    </w:p>
    <w:p w14:paraId="4DD740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И4 постройкой своей закончен, ныне передан в серию, имеет вооруже</w:t>
      </w:r>
      <w:r w:rsidRPr="00A259BD">
        <w:rPr>
          <w:rFonts w:ascii="Times New Roman" w:hAnsi="Times New Roman"/>
          <w:color w:val="000000" w:themeColor="text1"/>
          <w:sz w:val="16"/>
          <w:szCs w:val="16"/>
        </w:rPr>
        <w:softHyphen/>
        <w:t>ние и оборудование нормального истребителя. Количество пулеметов - 2. Пунктом № 865 плана предусматривается к концу 1930 года иметь на дан</w:t>
      </w:r>
      <w:r w:rsidRPr="00A259BD">
        <w:rPr>
          <w:rFonts w:ascii="Times New Roman" w:hAnsi="Times New Roman"/>
          <w:color w:val="000000" w:themeColor="text1"/>
          <w:sz w:val="16"/>
          <w:szCs w:val="16"/>
        </w:rPr>
        <w:softHyphen/>
        <w:t xml:space="preserve">ном самолете </w:t>
      </w:r>
      <w:proofErr w:type="spellStart"/>
      <w:r w:rsidRPr="00A259BD">
        <w:rPr>
          <w:rFonts w:ascii="Times New Roman" w:hAnsi="Times New Roman"/>
          <w:color w:val="000000" w:themeColor="text1"/>
          <w:sz w:val="16"/>
          <w:szCs w:val="16"/>
        </w:rPr>
        <w:t>с"емную</w:t>
      </w:r>
      <w:proofErr w:type="spellEnd"/>
      <w:r w:rsidRPr="00A259BD">
        <w:rPr>
          <w:rFonts w:ascii="Times New Roman" w:hAnsi="Times New Roman"/>
          <w:color w:val="000000" w:themeColor="text1"/>
          <w:sz w:val="16"/>
          <w:szCs w:val="16"/>
        </w:rPr>
        <w:t xml:space="preserve"> пулеметную установку на крыльях, которая может быть снимаема в течение 20-30 минут и устанавливаема в течение 3-х часов</w:t>
      </w:r>
      <w:r w:rsidRPr="00A259BD">
        <w:rPr>
          <w:rFonts w:ascii="Times New Roman" w:hAnsi="Times New Roman"/>
          <w:smallCaps/>
          <w:color w:val="000000" w:themeColor="text1"/>
          <w:sz w:val="16"/>
          <w:szCs w:val="16"/>
        </w:rPr>
        <w:t>.</w:t>
      </w:r>
    </w:p>
    <w:p w14:paraId="55D07FE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И3 тот же, что и И4, но в виде варианта предположена установка 4-х пулеметов на фюзеляже для стрельбы через винт, из коих 2 пулемета съемные. В этом случае установка на крыльях не монтируется.</w:t>
      </w:r>
    </w:p>
    <w:p w14:paraId="3AC6972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Иб</w:t>
      </w:r>
      <w:proofErr w:type="spellEnd"/>
      <w:r w:rsidRPr="00A259BD">
        <w:rPr>
          <w:rFonts w:ascii="Times New Roman" w:hAnsi="Times New Roman"/>
          <w:color w:val="000000" w:themeColor="text1"/>
          <w:sz w:val="16"/>
          <w:szCs w:val="16"/>
        </w:rPr>
        <w:t>, И7, И8 - те же, что и И4, но будет предусмотрена возможность уси</w:t>
      </w:r>
      <w:r w:rsidRPr="00A259BD">
        <w:rPr>
          <w:rFonts w:ascii="Times New Roman" w:hAnsi="Times New Roman"/>
          <w:color w:val="000000" w:themeColor="text1"/>
          <w:sz w:val="16"/>
          <w:szCs w:val="16"/>
        </w:rPr>
        <w:softHyphen/>
        <w:t>ления вооружения за счет установки пулеметов на крыльях.</w:t>
      </w:r>
    </w:p>
    <w:p w14:paraId="6FA0B6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И9, И10, И11, И12 те же, что у И4, но пулеметная установка для </w:t>
      </w:r>
      <w:proofErr w:type="spellStart"/>
      <w:r w:rsidRPr="00A259BD">
        <w:rPr>
          <w:rFonts w:ascii="Times New Roman" w:hAnsi="Times New Roman"/>
          <w:color w:val="000000" w:themeColor="text1"/>
          <w:sz w:val="16"/>
          <w:szCs w:val="16"/>
        </w:rPr>
        <w:t>стральбы</w:t>
      </w:r>
      <w:proofErr w:type="spellEnd"/>
      <w:r w:rsidRPr="00A259BD">
        <w:rPr>
          <w:rFonts w:ascii="Times New Roman" w:hAnsi="Times New Roman"/>
          <w:color w:val="000000" w:themeColor="text1"/>
          <w:sz w:val="16"/>
          <w:szCs w:val="16"/>
        </w:rPr>
        <w:t xml:space="preserve"> через винт на 4 пулемета, из коих 2 пулемета будут схемными. В 1929 г. на И3 будет установлена экспериментальная пушка типа ДРП калибра 76,2 мм.</w:t>
      </w:r>
    </w:p>
    <w:p w14:paraId="037D0A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1931 г. на И3 и И4 магазинная безоткатная пушка калибром 76.2 мм.</w:t>
      </w:r>
    </w:p>
    <w:p w14:paraId="6EF742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упомянутых пушек на эти самолеты даст материал для суж</w:t>
      </w:r>
      <w:r w:rsidRPr="00A259BD">
        <w:rPr>
          <w:rFonts w:ascii="Times New Roman" w:hAnsi="Times New Roman"/>
          <w:color w:val="000000" w:themeColor="text1"/>
          <w:sz w:val="16"/>
          <w:szCs w:val="16"/>
        </w:rPr>
        <w:softHyphen/>
        <w:t>дение о способе установки и типах самолетов, коих целесообразно вооружать пушками.</w:t>
      </w:r>
    </w:p>
    <w:p w14:paraId="1ECAA78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2-х местные истребители</w:t>
      </w:r>
    </w:p>
    <w:p w14:paraId="5F891B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данного типа самолета предусмотрена установка для стрельбы через винт на 2 пулемета, для стрельбы с турелей так же на 2 пу</w:t>
      </w:r>
      <w:r w:rsidRPr="00A259BD">
        <w:rPr>
          <w:rFonts w:ascii="Times New Roman" w:hAnsi="Times New Roman"/>
          <w:color w:val="000000" w:themeColor="text1"/>
          <w:sz w:val="16"/>
          <w:szCs w:val="16"/>
        </w:rPr>
        <w:softHyphen/>
        <w:t>лемета. Нормальное аэронавигационное и вспомогательное оборудова</w:t>
      </w:r>
      <w:r w:rsidRPr="00A259BD">
        <w:rPr>
          <w:rFonts w:ascii="Times New Roman" w:hAnsi="Times New Roman"/>
          <w:color w:val="000000" w:themeColor="text1"/>
          <w:sz w:val="16"/>
          <w:szCs w:val="16"/>
        </w:rPr>
        <w:softHyphen/>
        <w:t xml:space="preserve">ние, Фото-радио и </w:t>
      </w:r>
      <w:proofErr w:type="spellStart"/>
      <w:r w:rsidRPr="00A259BD">
        <w:rPr>
          <w:rFonts w:ascii="Times New Roman" w:hAnsi="Times New Roman"/>
          <w:color w:val="000000" w:themeColor="text1"/>
          <w:sz w:val="16"/>
          <w:szCs w:val="16"/>
        </w:rPr>
        <w:t>легкос"емное</w:t>
      </w:r>
      <w:proofErr w:type="spellEnd"/>
      <w:r w:rsidRPr="00A259BD">
        <w:rPr>
          <w:rFonts w:ascii="Times New Roman" w:hAnsi="Times New Roman"/>
          <w:color w:val="000000" w:themeColor="text1"/>
          <w:sz w:val="16"/>
          <w:szCs w:val="16"/>
        </w:rPr>
        <w:t xml:space="preserve"> электрооборудование. Для ночного истребителя предусмотрена установка подкрыльных факелов и светя</w:t>
      </w:r>
      <w:r w:rsidRPr="00A259BD">
        <w:rPr>
          <w:rFonts w:ascii="Times New Roman" w:hAnsi="Times New Roman"/>
          <w:color w:val="000000" w:themeColor="text1"/>
          <w:sz w:val="16"/>
          <w:szCs w:val="16"/>
        </w:rPr>
        <w:softHyphen/>
        <w:t xml:space="preserve">щих </w:t>
      </w:r>
      <w:proofErr w:type="spellStart"/>
      <w:r w:rsidRPr="00A259BD">
        <w:rPr>
          <w:rFonts w:ascii="Times New Roman" w:hAnsi="Times New Roman"/>
          <w:color w:val="000000" w:themeColor="text1"/>
          <w:sz w:val="16"/>
          <w:szCs w:val="16"/>
        </w:rPr>
        <w:t>аэробомб</w:t>
      </w:r>
      <w:proofErr w:type="spellEnd"/>
      <w:r w:rsidRPr="00A259BD">
        <w:rPr>
          <w:rFonts w:ascii="Times New Roman" w:hAnsi="Times New Roman"/>
          <w:color w:val="000000" w:themeColor="text1"/>
          <w:sz w:val="16"/>
          <w:szCs w:val="16"/>
        </w:rPr>
        <w:t>.</w:t>
      </w:r>
    </w:p>
    <w:p w14:paraId="2A01AD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Крейсерские истребители будут вооружены 2-мя - 4-мя пулеметами для стрельбы с турели; пулеметной установкой для стрельбы под хвост, бомбардировочным оборудованием для дистанционных бомб и установкой для подкрыльных факелов и светящих </w:t>
      </w:r>
      <w:proofErr w:type="spellStart"/>
      <w:r w:rsidRPr="00A259BD">
        <w:rPr>
          <w:rFonts w:ascii="Times New Roman" w:hAnsi="Times New Roman"/>
          <w:color w:val="000000" w:themeColor="text1"/>
          <w:sz w:val="16"/>
          <w:szCs w:val="16"/>
        </w:rPr>
        <w:t>аэробомб</w:t>
      </w:r>
      <w:proofErr w:type="spellEnd"/>
      <w:r w:rsidRPr="00A259BD">
        <w:rPr>
          <w:rFonts w:ascii="Times New Roman" w:hAnsi="Times New Roman"/>
          <w:color w:val="000000" w:themeColor="text1"/>
          <w:sz w:val="16"/>
          <w:szCs w:val="16"/>
        </w:rPr>
        <w:t>. Остальное оборудование то же, что у двухместных истребителей, но увеличено в соответствии с увеличением экипажа и характером заданий обусловленными назначе</w:t>
      </w:r>
      <w:r w:rsidRPr="00A259BD">
        <w:rPr>
          <w:rFonts w:ascii="Times New Roman" w:hAnsi="Times New Roman"/>
          <w:color w:val="000000" w:themeColor="text1"/>
          <w:sz w:val="16"/>
          <w:szCs w:val="16"/>
        </w:rPr>
        <w:softHyphen/>
        <w:t>нием самолета.</w:t>
      </w:r>
    </w:p>
    <w:p w14:paraId="1D73068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1933 г. на ИК1, ИК2 и Р6 будут установлены безоткатные пушки ка</w:t>
      </w:r>
      <w:r w:rsidRPr="00A259BD">
        <w:rPr>
          <w:rFonts w:ascii="Times New Roman" w:hAnsi="Times New Roman"/>
          <w:color w:val="000000" w:themeColor="text1"/>
          <w:sz w:val="16"/>
          <w:szCs w:val="16"/>
        </w:rPr>
        <w:softHyphen/>
        <w:t>либра 100 мм.</w:t>
      </w:r>
    </w:p>
    <w:p w14:paraId="60CF0F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Разведчики.</w:t>
      </w:r>
    </w:p>
    <w:p w14:paraId="028D28D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всех самолетов разведывательного типа предусматривается нормаль</w:t>
      </w:r>
      <w:r w:rsidRPr="00A259BD">
        <w:rPr>
          <w:rFonts w:ascii="Times New Roman" w:hAnsi="Times New Roman"/>
          <w:color w:val="000000" w:themeColor="text1"/>
          <w:sz w:val="16"/>
          <w:szCs w:val="16"/>
        </w:rPr>
        <w:softHyphen/>
        <w:t>ное вооружение и оборудование, указанное в перечне пятилетнего плана, причем, как и выше было сказано, устанавливаются предметы последних образцов, изготовленных по 5-ти летнему плану.</w:t>
      </w:r>
    </w:p>
    <w:p w14:paraId="7C64B9E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Самолеты специального назначения</w:t>
      </w:r>
    </w:p>
    <w:p w14:paraId="3F3E135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ХБ - пулеметная установка для стрельбы через винт на один пуле</w:t>
      </w:r>
      <w:r w:rsidRPr="00A259BD">
        <w:rPr>
          <w:rFonts w:ascii="Times New Roman" w:hAnsi="Times New Roman"/>
          <w:color w:val="000000" w:themeColor="text1"/>
          <w:sz w:val="16"/>
          <w:szCs w:val="16"/>
        </w:rPr>
        <w:softHyphen/>
        <w:t>мет, турели на 2 пулемета, бомбодержатели для химических бомб. остановка для приборов ШЩ и приборов специального назначения.</w:t>
      </w:r>
    </w:p>
    <w:p w14:paraId="4B79CC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проектировании данных самолетов будут вести исследования по созданию герметических кабин и в случае положительных результатов данный самолет будет иметь герметические кабины. К концу плана возможно легкое бронирование самолета.</w:t>
      </w:r>
    </w:p>
    <w:p w14:paraId="1A9B8C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ШЛ. Данный самолет предназначается в качестве легкого штурмовика и будет вооружен пулеметами, количество коих будет доведено до 8 шт. Кроме того будут установлены </w:t>
      </w:r>
      <w:proofErr w:type="spellStart"/>
      <w:r w:rsidRPr="00A259BD">
        <w:rPr>
          <w:rFonts w:ascii="Times New Roman" w:hAnsi="Times New Roman"/>
          <w:color w:val="000000" w:themeColor="text1"/>
          <w:sz w:val="16"/>
          <w:szCs w:val="16"/>
        </w:rPr>
        <w:t>бомбадержатели</w:t>
      </w:r>
      <w:proofErr w:type="spellEnd"/>
      <w:r w:rsidRPr="00A259BD">
        <w:rPr>
          <w:rFonts w:ascii="Times New Roman" w:hAnsi="Times New Roman"/>
          <w:color w:val="000000" w:themeColor="text1"/>
          <w:sz w:val="16"/>
          <w:szCs w:val="16"/>
        </w:rPr>
        <w:t xml:space="preserve"> и кассеты для мелкокалиберных бомб.</w:t>
      </w:r>
    </w:p>
    <w:p w14:paraId="5C5E92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ШТ. Данный теп самолета, предназначен в качества тяжелого штурмовика. Основное вооружение: мелкокалиберные бомбы, вес коих будет доведен до 1000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xml:space="preserve">., что в переводе на количество бомб даст 500 шт. 2-х килограммовых бомб. Пулеметные установки предусмотрены следующие: пулеметная башня в носовой части самолета. 2 пулемета для стрельбы с турели и установка для стрельбы под хвост, в силу особых условий работы данного самолета, предусматривается </w:t>
      </w:r>
      <w:proofErr w:type="spellStart"/>
      <w:r w:rsidRPr="00A259BD">
        <w:rPr>
          <w:rFonts w:ascii="Times New Roman" w:hAnsi="Times New Roman"/>
          <w:color w:val="000000" w:themeColor="text1"/>
          <w:sz w:val="16"/>
          <w:szCs w:val="16"/>
        </w:rPr>
        <w:t>бронированна</w:t>
      </w:r>
      <w:proofErr w:type="spellEnd"/>
      <w:r w:rsidRPr="00A259BD">
        <w:rPr>
          <w:rFonts w:ascii="Times New Roman" w:hAnsi="Times New Roman"/>
          <w:color w:val="000000" w:themeColor="text1"/>
          <w:sz w:val="16"/>
          <w:szCs w:val="16"/>
        </w:rPr>
        <w:t xml:space="preserve"> основных деталей мотора, сидения я кассет..</w:t>
      </w:r>
    </w:p>
    <w:p w14:paraId="331DF9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Бомбардировщи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ки</w:t>
      </w:r>
      <w:proofErr w:type="spellEnd"/>
      <w:r w:rsidRPr="00A259BD">
        <w:rPr>
          <w:rFonts w:ascii="Times New Roman" w:hAnsi="Times New Roman"/>
          <w:color w:val="000000" w:themeColor="text1"/>
          <w:sz w:val="16"/>
          <w:szCs w:val="16"/>
        </w:rPr>
        <w:t xml:space="preserve">. </w:t>
      </w:r>
    </w:p>
    <w:p w14:paraId="1FF379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ТБ2 предусматривает бомбардировочное оборудование для средних и тя</w:t>
      </w:r>
      <w:r w:rsidRPr="00A259BD">
        <w:rPr>
          <w:rFonts w:ascii="Times New Roman" w:hAnsi="Times New Roman"/>
          <w:color w:val="000000" w:themeColor="text1"/>
          <w:sz w:val="16"/>
          <w:szCs w:val="16"/>
        </w:rPr>
        <w:softHyphen/>
        <w:t>желых бомб в соответствии с теми техническими требованиями, соглас</w:t>
      </w:r>
      <w:r w:rsidRPr="00A259BD">
        <w:rPr>
          <w:rFonts w:ascii="Times New Roman" w:hAnsi="Times New Roman"/>
          <w:color w:val="000000" w:themeColor="text1"/>
          <w:sz w:val="16"/>
          <w:szCs w:val="16"/>
        </w:rPr>
        <w:softHyphen/>
        <w:t>но коих он строится, и к I сентября выпускается для испытания.</w:t>
      </w:r>
    </w:p>
    <w:p w14:paraId="5A7A26B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ТБ3 является развитием ТБ2, но металлическим, в данном случае добав</w:t>
      </w:r>
      <w:r w:rsidRPr="00A259BD">
        <w:rPr>
          <w:rFonts w:ascii="Times New Roman" w:hAnsi="Times New Roman"/>
          <w:color w:val="000000" w:themeColor="text1"/>
          <w:sz w:val="16"/>
          <w:szCs w:val="16"/>
        </w:rPr>
        <w:softHyphen/>
        <w:t xml:space="preserve">ляется для него оборудование для возки специальных грузов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w:t>
      </w:r>
    </w:p>
    <w:p w14:paraId="1B2B80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ТБ4 - деревянный, сбрасываемый груз увеличен до 3000 кг и в основном идентичен нагрузке ТБ3.</w:t>
      </w:r>
    </w:p>
    <w:p w14:paraId="6EF59E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увеличен до</w:t>
      </w:r>
    </w:p>
    <w:p w14:paraId="5FC42E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ТБ5, сбрасываемый груз увеличен в 5000 </w:t>
      </w:r>
      <w:proofErr w:type="spellStart"/>
      <w:r w:rsidRPr="00A259BD">
        <w:rPr>
          <w:rFonts w:ascii="Times New Roman" w:hAnsi="Times New Roman"/>
          <w:color w:val="000000" w:themeColor="text1"/>
          <w:sz w:val="16"/>
          <w:szCs w:val="16"/>
        </w:rPr>
        <w:t>кгр</w:t>
      </w:r>
      <w:proofErr w:type="spellEnd"/>
      <w:r w:rsidRPr="00A259BD">
        <w:rPr>
          <w:rFonts w:ascii="Times New Roman" w:hAnsi="Times New Roman"/>
          <w:color w:val="000000" w:themeColor="text1"/>
          <w:sz w:val="16"/>
          <w:szCs w:val="16"/>
        </w:rPr>
        <w:t>. 6омбодержатели устанав</w:t>
      </w:r>
      <w:r w:rsidRPr="00A259BD">
        <w:rPr>
          <w:rFonts w:ascii="Times New Roman" w:hAnsi="Times New Roman"/>
          <w:color w:val="000000" w:themeColor="text1"/>
          <w:sz w:val="16"/>
          <w:szCs w:val="16"/>
        </w:rPr>
        <w:softHyphen/>
        <w:t>ливаются для тяжелых бомб, огневая мощь усилена за счет увеличения количества пулеметов и наличием 2-х прицепных кабин.</w:t>
      </w:r>
    </w:p>
    <w:p w14:paraId="043E81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Морские самолеты</w:t>
      </w:r>
    </w:p>
    <w:p w14:paraId="6D076E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Истребители поплавковые /ИП/. Так как в данном случае сухопутные истребители будут установлены на подлавках и таким образом будут отнесены к разряду мирских истребителей, вооружение и оборудование остается на них то же, что имелось на сухопутных самолетах.</w:t>
      </w:r>
    </w:p>
    <w:p w14:paraId="512A89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Вооружение и оборудование остальных </w:t>
      </w:r>
      <w:proofErr w:type="spellStart"/>
      <w:r w:rsidRPr="00A259BD">
        <w:rPr>
          <w:rFonts w:ascii="Times New Roman" w:hAnsi="Times New Roman"/>
          <w:color w:val="000000" w:themeColor="text1"/>
          <w:sz w:val="16"/>
          <w:szCs w:val="16"/>
        </w:rPr>
        <w:t>типовморских</w:t>
      </w:r>
      <w:proofErr w:type="spellEnd"/>
      <w:r w:rsidRPr="00A259BD">
        <w:rPr>
          <w:rFonts w:ascii="Times New Roman" w:hAnsi="Times New Roman"/>
          <w:color w:val="000000" w:themeColor="text1"/>
          <w:sz w:val="16"/>
          <w:szCs w:val="16"/>
        </w:rPr>
        <w:t xml:space="preserve"> самолетов будет отличаться от вооружения сухопутных самолетов наличием морского обо</w:t>
      </w:r>
      <w:r w:rsidRPr="00A259BD">
        <w:rPr>
          <w:rFonts w:ascii="Times New Roman" w:hAnsi="Times New Roman"/>
          <w:color w:val="000000" w:themeColor="text1"/>
          <w:sz w:val="16"/>
          <w:szCs w:val="16"/>
        </w:rPr>
        <w:softHyphen/>
        <w:t>рудования, а для разведчиков бомбардировочных оборудованием для средних бомб.</w:t>
      </w:r>
    </w:p>
    <w:p w14:paraId="67DB444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перечень вооружения и оборудования самолетов (351).</w:t>
      </w:r>
    </w:p>
    <w:p w14:paraId="61D62A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ПЕРЕЧЕНЬ вооружения и основного оборудования самолетов, строящихся по пятилетнему плану опытного строительства</w:t>
      </w:r>
    </w:p>
    <w:p w14:paraId="70370B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пятилетнему плану </w:t>
      </w:r>
      <w:proofErr w:type="spellStart"/>
      <w:r w:rsidRPr="00A259BD">
        <w:rPr>
          <w:rFonts w:ascii="Times New Roman" w:hAnsi="Times New Roman"/>
          <w:color w:val="000000" w:themeColor="text1"/>
          <w:sz w:val="16"/>
          <w:szCs w:val="16"/>
        </w:rPr>
        <w:t>оштшго</w:t>
      </w:r>
      <w:proofErr w:type="spellEnd"/>
      <w:r w:rsidRPr="00A259BD">
        <w:rPr>
          <w:rFonts w:ascii="Times New Roman" w:hAnsi="Times New Roman"/>
          <w:color w:val="000000" w:themeColor="text1"/>
          <w:sz w:val="16"/>
          <w:szCs w:val="16"/>
        </w:rPr>
        <w:t xml:space="preserve"> строительства.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8"/>
        <w:gridCol w:w="1440"/>
        <w:gridCol w:w="7560"/>
      </w:tblGrid>
      <w:tr w:rsidR="00A259BD" w:rsidRPr="00A259BD" w14:paraId="63CA22DF" w14:textId="77777777">
        <w:tc>
          <w:tcPr>
            <w:tcW w:w="378" w:type="dxa"/>
            <w:tcBorders>
              <w:top w:val="single" w:sz="12" w:space="0" w:color="auto"/>
            </w:tcBorders>
            <w:shd w:val="clear" w:color="auto" w:fill="FFFFFF"/>
          </w:tcPr>
          <w:p w14:paraId="0AB080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п/п</w:t>
            </w:r>
          </w:p>
        </w:tc>
        <w:tc>
          <w:tcPr>
            <w:tcW w:w="1440" w:type="dxa"/>
            <w:tcBorders>
              <w:top w:val="single" w:sz="12" w:space="0" w:color="auto"/>
            </w:tcBorders>
            <w:shd w:val="clear" w:color="auto" w:fill="FFFFFF"/>
          </w:tcPr>
          <w:p w14:paraId="303F0C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Наименование самолета</w:t>
            </w:r>
          </w:p>
        </w:tc>
        <w:tc>
          <w:tcPr>
            <w:tcW w:w="7560" w:type="dxa"/>
            <w:tcBorders>
              <w:top w:val="single" w:sz="12" w:space="0" w:color="auto"/>
            </w:tcBorders>
            <w:shd w:val="clear" w:color="auto" w:fill="FFFFFF"/>
          </w:tcPr>
          <w:p w14:paraId="7DDB5E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Перечень</w:t>
            </w:r>
          </w:p>
        </w:tc>
      </w:tr>
      <w:tr w:rsidR="00A259BD" w:rsidRPr="00A259BD" w14:paraId="64836A06" w14:textId="77777777">
        <w:tc>
          <w:tcPr>
            <w:tcW w:w="378" w:type="dxa"/>
            <w:shd w:val="clear" w:color="auto" w:fill="FFFFFF"/>
          </w:tcPr>
          <w:p w14:paraId="5CA8C3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440" w:type="dxa"/>
            <w:shd w:val="clear" w:color="auto" w:fill="FFFFFF"/>
          </w:tcPr>
          <w:p w14:paraId="516EE2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И6-Юп УП.</w:t>
            </w:r>
          </w:p>
        </w:tc>
        <w:tc>
          <w:tcPr>
            <w:tcW w:w="7560" w:type="dxa"/>
            <w:shd w:val="clear" w:color="auto" w:fill="FFFFFF"/>
          </w:tcPr>
          <w:p w14:paraId="26068E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Пулеметная установка для стрельбы через винт на 2 пулемета. Схемная пулеметная установка на крыльях. Аэронавигационное оборудование, вспомогательное оборудова</w:t>
            </w:r>
            <w:r w:rsidRPr="00A259BD">
              <w:rPr>
                <w:rFonts w:ascii="Times New Roman" w:hAnsi="Times New Roman"/>
                <w:color w:val="000000" w:themeColor="text1"/>
                <w:sz w:val="16"/>
                <w:szCs w:val="16"/>
              </w:rPr>
              <w:softHyphen/>
              <w:t xml:space="preserve">ние, Фотоустановка. Радиоустановка, </w:t>
            </w:r>
            <w:proofErr w:type="spellStart"/>
            <w:r w:rsidRPr="00A259BD">
              <w:rPr>
                <w:rFonts w:ascii="Times New Roman" w:hAnsi="Times New Roman"/>
                <w:color w:val="000000" w:themeColor="text1"/>
                <w:sz w:val="16"/>
                <w:szCs w:val="16"/>
              </w:rPr>
              <w:t>С"емное</w:t>
            </w:r>
            <w:proofErr w:type="spellEnd"/>
            <w:r w:rsidRPr="00A259BD">
              <w:rPr>
                <w:rFonts w:ascii="Times New Roman" w:hAnsi="Times New Roman"/>
                <w:color w:val="000000" w:themeColor="text1"/>
                <w:sz w:val="16"/>
                <w:szCs w:val="16"/>
              </w:rPr>
              <w:t xml:space="preserve"> электрооборудование.</w:t>
            </w:r>
          </w:p>
        </w:tc>
      </w:tr>
      <w:tr w:rsidR="00A259BD" w:rsidRPr="00A259BD" w14:paraId="2C0A2B4E" w14:textId="77777777">
        <w:tc>
          <w:tcPr>
            <w:tcW w:w="378" w:type="dxa"/>
            <w:shd w:val="clear" w:color="auto" w:fill="FFFFFF"/>
          </w:tcPr>
          <w:p w14:paraId="20874C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440" w:type="dxa"/>
            <w:shd w:val="clear" w:color="auto" w:fill="FFFFFF"/>
          </w:tcPr>
          <w:p w14:paraId="01A038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И4-Юп УП.</w:t>
            </w:r>
          </w:p>
        </w:tc>
        <w:tc>
          <w:tcPr>
            <w:tcW w:w="7560" w:type="dxa"/>
            <w:shd w:val="clear" w:color="auto" w:fill="FFFFFF"/>
          </w:tcPr>
          <w:p w14:paraId="7AA877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в п. 1 /И6-Юп УП/</w:t>
            </w:r>
          </w:p>
        </w:tc>
      </w:tr>
      <w:tr w:rsidR="00A259BD" w:rsidRPr="00A259BD" w14:paraId="5CC100D0" w14:textId="77777777">
        <w:tc>
          <w:tcPr>
            <w:tcW w:w="378" w:type="dxa"/>
            <w:shd w:val="clear" w:color="auto" w:fill="FFFFFF"/>
          </w:tcPr>
          <w:p w14:paraId="1D2C17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440" w:type="dxa"/>
            <w:shd w:val="clear" w:color="auto" w:fill="FFFFFF"/>
          </w:tcPr>
          <w:p w14:paraId="3F8294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И5- </w:t>
            </w:r>
            <w:proofErr w:type="spellStart"/>
            <w:r w:rsidRPr="00A259BD">
              <w:rPr>
                <w:rFonts w:ascii="Times New Roman" w:hAnsi="Times New Roman"/>
                <w:color w:val="000000" w:themeColor="text1"/>
                <w:sz w:val="16"/>
                <w:szCs w:val="16"/>
              </w:rPr>
              <w:t>Юп</w:t>
            </w:r>
            <w:proofErr w:type="spellEnd"/>
            <w:r w:rsidRPr="00A259BD">
              <w:rPr>
                <w:rFonts w:ascii="Times New Roman" w:hAnsi="Times New Roman"/>
                <w:color w:val="000000" w:themeColor="text1"/>
                <w:sz w:val="16"/>
                <w:szCs w:val="16"/>
              </w:rPr>
              <w:t xml:space="preserve"> УП.</w:t>
            </w:r>
          </w:p>
        </w:tc>
        <w:tc>
          <w:tcPr>
            <w:tcW w:w="7560" w:type="dxa"/>
            <w:shd w:val="clear" w:color="auto" w:fill="FFFFFF"/>
          </w:tcPr>
          <w:p w14:paraId="0F76D4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 же. Второй вариант: четыре пулемета для </w:t>
            </w:r>
            <w:proofErr w:type="spellStart"/>
            <w:r w:rsidRPr="00A259BD">
              <w:rPr>
                <w:rFonts w:ascii="Times New Roman" w:hAnsi="Times New Roman"/>
                <w:color w:val="000000" w:themeColor="text1"/>
                <w:sz w:val="16"/>
                <w:szCs w:val="16"/>
              </w:rPr>
              <w:t>стреальбы</w:t>
            </w:r>
            <w:proofErr w:type="spellEnd"/>
            <w:r w:rsidRPr="00A259BD">
              <w:rPr>
                <w:rFonts w:ascii="Times New Roman" w:hAnsi="Times New Roman"/>
                <w:color w:val="000000" w:themeColor="text1"/>
                <w:sz w:val="16"/>
                <w:szCs w:val="16"/>
              </w:rPr>
              <w:t xml:space="preserve"> через винт, из коих 2 пулемета съемные. Для этого варианта установки на крыльях не делается.</w:t>
            </w:r>
          </w:p>
        </w:tc>
      </w:tr>
      <w:tr w:rsidR="00A259BD" w:rsidRPr="00A259BD" w14:paraId="4C18134B" w14:textId="77777777">
        <w:tc>
          <w:tcPr>
            <w:tcW w:w="378" w:type="dxa"/>
            <w:shd w:val="clear" w:color="auto" w:fill="FFFFFF"/>
          </w:tcPr>
          <w:p w14:paraId="73491E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1440" w:type="dxa"/>
            <w:shd w:val="clear" w:color="auto" w:fill="FFFFFF"/>
          </w:tcPr>
          <w:p w14:paraId="573266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И8-Юп УП.</w:t>
            </w:r>
          </w:p>
        </w:tc>
        <w:tc>
          <w:tcPr>
            <w:tcW w:w="7560" w:type="dxa"/>
            <w:shd w:val="clear" w:color="auto" w:fill="FFFFFF"/>
          </w:tcPr>
          <w:p w14:paraId="438478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Тоже, что в п. 3 /И4-Юп УII/.</w:t>
            </w:r>
          </w:p>
        </w:tc>
      </w:tr>
      <w:tr w:rsidR="00A259BD" w:rsidRPr="00A259BD" w14:paraId="4BB69786" w14:textId="77777777">
        <w:tc>
          <w:tcPr>
            <w:tcW w:w="378" w:type="dxa"/>
            <w:shd w:val="clear" w:color="auto" w:fill="FFFFFF"/>
          </w:tcPr>
          <w:p w14:paraId="52A906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c>
          <w:tcPr>
            <w:tcW w:w="1440" w:type="dxa"/>
            <w:shd w:val="clear" w:color="auto" w:fill="FFFFFF"/>
          </w:tcPr>
          <w:p w14:paraId="395915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И10-М37</w:t>
            </w:r>
          </w:p>
        </w:tc>
        <w:tc>
          <w:tcPr>
            <w:tcW w:w="7560" w:type="dxa"/>
            <w:shd w:val="clear" w:color="auto" w:fill="FFFFFF"/>
          </w:tcPr>
          <w:p w14:paraId="29AC22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в п. 3 /И5-Юп УП/.</w:t>
            </w:r>
          </w:p>
        </w:tc>
      </w:tr>
      <w:tr w:rsidR="00A259BD" w:rsidRPr="00A259BD" w14:paraId="6DB3690F" w14:textId="77777777">
        <w:tc>
          <w:tcPr>
            <w:tcW w:w="378" w:type="dxa"/>
            <w:shd w:val="clear" w:color="auto" w:fill="FFFFFF"/>
          </w:tcPr>
          <w:p w14:paraId="36DFC5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tc>
        <w:tc>
          <w:tcPr>
            <w:tcW w:w="1440" w:type="dxa"/>
            <w:shd w:val="clear" w:color="auto" w:fill="FFFFFF"/>
          </w:tcPr>
          <w:p w14:paraId="41B30B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И11-М37</w:t>
            </w:r>
          </w:p>
        </w:tc>
        <w:tc>
          <w:tcPr>
            <w:tcW w:w="7560" w:type="dxa"/>
            <w:shd w:val="clear" w:color="auto" w:fill="FFFFFF"/>
          </w:tcPr>
          <w:p w14:paraId="0CCB48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 же, что в </w:t>
            </w:r>
            <w:proofErr w:type="spellStart"/>
            <w:r w:rsidRPr="00A259BD">
              <w:rPr>
                <w:rFonts w:ascii="Times New Roman" w:hAnsi="Times New Roman"/>
                <w:color w:val="000000" w:themeColor="text1"/>
                <w:sz w:val="16"/>
                <w:szCs w:val="16"/>
              </w:rPr>
              <w:t>п.З</w:t>
            </w:r>
            <w:proofErr w:type="spellEnd"/>
            <w:r w:rsidRPr="00A259BD">
              <w:rPr>
                <w:rFonts w:ascii="Times New Roman" w:hAnsi="Times New Roman"/>
                <w:color w:val="000000" w:themeColor="text1"/>
                <w:sz w:val="16"/>
                <w:szCs w:val="16"/>
              </w:rPr>
              <w:t xml:space="preserve"> /И5-Юп УП/, добавляется бомбардировочное оборудование для дистан</w:t>
            </w:r>
            <w:r w:rsidRPr="00A259BD">
              <w:rPr>
                <w:rFonts w:ascii="Times New Roman" w:hAnsi="Times New Roman"/>
                <w:color w:val="000000" w:themeColor="text1"/>
                <w:sz w:val="16"/>
                <w:szCs w:val="16"/>
              </w:rPr>
              <w:softHyphen/>
              <w:t>ционных бомб.</w:t>
            </w:r>
          </w:p>
        </w:tc>
      </w:tr>
      <w:tr w:rsidR="00A259BD" w:rsidRPr="00A259BD" w14:paraId="3E32640D" w14:textId="77777777">
        <w:tc>
          <w:tcPr>
            <w:tcW w:w="378" w:type="dxa"/>
            <w:shd w:val="clear" w:color="auto" w:fill="FFFFFF"/>
          </w:tcPr>
          <w:p w14:paraId="16D246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tc>
        <w:tc>
          <w:tcPr>
            <w:tcW w:w="1440" w:type="dxa"/>
            <w:shd w:val="clear" w:color="auto" w:fill="FFFFFF"/>
          </w:tcPr>
          <w:p w14:paraId="1BF41F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И7-БМВУ1</w:t>
            </w:r>
          </w:p>
        </w:tc>
        <w:tc>
          <w:tcPr>
            <w:tcW w:w="7560" w:type="dxa"/>
            <w:shd w:val="clear" w:color="auto" w:fill="FFFFFF"/>
          </w:tcPr>
          <w:p w14:paraId="7F781E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в п. 1 /И6-Юп УП/</w:t>
            </w:r>
          </w:p>
        </w:tc>
      </w:tr>
      <w:tr w:rsidR="00A259BD" w:rsidRPr="00A259BD" w14:paraId="04C43112" w14:textId="77777777">
        <w:tc>
          <w:tcPr>
            <w:tcW w:w="378" w:type="dxa"/>
            <w:shd w:val="clear" w:color="auto" w:fill="FFFFFF"/>
          </w:tcPr>
          <w:p w14:paraId="2E3527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tc>
        <w:tc>
          <w:tcPr>
            <w:tcW w:w="1440" w:type="dxa"/>
            <w:shd w:val="clear" w:color="auto" w:fill="FFFFFF"/>
          </w:tcPr>
          <w:p w14:paraId="48377A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И7-М30</w:t>
            </w:r>
          </w:p>
        </w:tc>
        <w:tc>
          <w:tcPr>
            <w:tcW w:w="7560" w:type="dxa"/>
            <w:shd w:val="clear" w:color="auto" w:fill="FFFFFF"/>
          </w:tcPr>
          <w:p w14:paraId="13537B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в п.1 /И6-ЮпУП/.</w:t>
            </w:r>
          </w:p>
        </w:tc>
      </w:tr>
      <w:tr w:rsidR="00A259BD" w:rsidRPr="00A259BD" w14:paraId="5B002DE2" w14:textId="77777777">
        <w:tc>
          <w:tcPr>
            <w:tcW w:w="378" w:type="dxa"/>
            <w:shd w:val="clear" w:color="auto" w:fill="FFFFFF"/>
          </w:tcPr>
          <w:p w14:paraId="759B3A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w:t>
            </w:r>
          </w:p>
        </w:tc>
        <w:tc>
          <w:tcPr>
            <w:tcW w:w="1440" w:type="dxa"/>
            <w:shd w:val="clear" w:color="auto" w:fill="FFFFFF"/>
          </w:tcPr>
          <w:p w14:paraId="5F14E5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И9-М32</w:t>
            </w:r>
          </w:p>
        </w:tc>
        <w:tc>
          <w:tcPr>
            <w:tcW w:w="7560" w:type="dxa"/>
            <w:shd w:val="clear" w:color="auto" w:fill="FFFFFF"/>
          </w:tcPr>
          <w:p w14:paraId="3FBD44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в п. 1 /И5-Юп УП/</w:t>
            </w:r>
          </w:p>
        </w:tc>
      </w:tr>
      <w:tr w:rsidR="00A259BD" w:rsidRPr="00A259BD" w14:paraId="4116F72A" w14:textId="77777777">
        <w:tc>
          <w:tcPr>
            <w:tcW w:w="378" w:type="dxa"/>
            <w:shd w:val="clear" w:color="auto" w:fill="FFFFFF"/>
          </w:tcPr>
          <w:p w14:paraId="30ED28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1440" w:type="dxa"/>
            <w:shd w:val="clear" w:color="auto" w:fill="FFFFFF"/>
          </w:tcPr>
          <w:p w14:paraId="152AD7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И12-М34</w:t>
            </w:r>
          </w:p>
        </w:tc>
        <w:tc>
          <w:tcPr>
            <w:tcW w:w="7560" w:type="dxa"/>
            <w:shd w:val="clear" w:color="auto" w:fill="FFFFFF"/>
          </w:tcPr>
          <w:p w14:paraId="278C01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в п.1 /И5-ЮпУП/.</w:t>
            </w:r>
          </w:p>
        </w:tc>
      </w:tr>
      <w:tr w:rsidR="00A259BD" w:rsidRPr="00A259BD" w14:paraId="7C185656" w14:textId="77777777">
        <w:tc>
          <w:tcPr>
            <w:tcW w:w="378" w:type="dxa"/>
            <w:shd w:val="clear" w:color="auto" w:fill="FFFFFF"/>
          </w:tcPr>
          <w:p w14:paraId="2914E6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w:t>
            </w:r>
          </w:p>
        </w:tc>
        <w:tc>
          <w:tcPr>
            <w:tcW w:w="1440" w:type="dxa"/>
            <w:shd w:val="clear" w:color="auto" w:fill="FFFFFF"/>
          </w:tcPr>
          <w:p w14:paraId="21E8A5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Д2-БМВУ1</w:t>
            </w:r>
          </w:p>
        </w:tc>
        <w:tc>
          <w:tcPr>
            <w:tcW w:w="7560" w:type="dxa"/>
            <w:shd w:val="clear" w:color="auto" w:fill="FFFFFF"/>
          </w:tcPr>
          <w:p w14:paraId="75132F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Пулеметная установка для стрельбы черва винт на два пулемета, одна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аэронавигационное оборудование, вспомогательное оборудова</w:t>
            </w:r>
            <w:r w:rsidRPr="00A259BD">
              <w:rPr>
                <w:rFonts w:ascii="Times New Roman" w:hAnsi="Times New Roman"/>
                <w:color w:val="000000" w:themeColor="text1"/>
                <w:sz w:val="16"/>
                <w:szCs w:val="16"/>
              </w:rPr>
              <w:softHyphen/>
              <w:t xml:space="preserve">ние, </w:t>
            </w:r>
            <w:proofErr w:type="spellStart"/>
            <w:r w:rsidRPr="00A259BD">
              <w:rPr>
                <w:rFonts w:ascii="Times New Roman" w:hAnsi="Times New Roman"/>
                <w:color w:val="000000" w:themeColor="text1"/>
                <w:sz w:val="16"/>
                <w:szCs w:val="16"/>
              </w:rPr>
              <w:t>фотоусташовка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радиоустановка,с"емное</w:t>
            </w:r>
            <w:proofErr w:type="spellEnd"/>
            <w:r w:rsidRPr="00A259BD">
              <w:rPr>
                <w:rFonts w:ascii="Times New Roman" w:hAnsi="Times New Roman"/>
                <w:color w:val="000000" w:themeColor="text1"/>
                <w:sz w:val="16"/>
                <w:szCs w:val="16"/>
              </w:rPr>
              <w:t xml:space="preserve"> электрооборудование.</w:t>
            </w:r>
          </w:p>
        </w:tc>
      </w:tr>
      <w:tr w:rsidR="00A259BD" w:rsidRPr="00A259BD" w14:paraId="0FB01BD6" w14:textId="77777777">
        <w:tc>
          <w:tcPr>
            <w:tcW w:w="378" w:type="dxa"/>
            <w:shd w:val="clear" w:color="auto" w:fill="FFFFFF"/>
          </w:tcPr>
          <w:p w14:paraId="4CB509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w:t>
            </w:r>
          </w:p>
        </w:tc>
        <w:tc>
          <w:tcPr>
            <w:tcW w:w="1440" w:type="dxa"/>
            <w:shd w:val="clear" w:color="auto" w:fill="FFFFFF"/>
          </w:tcPr>
          <w:p w14:paraId="58390D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НД2-БМВУ1</w:t>
            </w:r>
          </w:p>
        </w:tc>
        <w:tc>
          <w:tcPr>
            <w:tcW w:w="7560" w:type="dxa"/>
            <w:shd w:val="clear" w:color="auto" w:fill="FFFFFF"/>
          </w:tcPr>
          <w:p w14:paraId="1FC97C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в п. 11 /Д2-БМВУ1/, но электро</w:t>
            </w:r>
            <w:r w:rsidRPr="00A259BD">
              <w:rPr>
                <w:rFonts w:ascii="Times New Roman" w:hAnsi="Times New Roman"/>
                <w:color w:val="000000" w:themeColor="text1"/>
                <w:sz w:val="16"/>
                <w:szCs w:val="16"/>
              </w:rPr>
              <w:softHyphen/>
              <w:t>оборудование несъемное и дополнительно установка для подкрыльных факелов и светящих бомб</w:t>
            </w:r>
          </w:p>
        </w:tc>
      </w:tr>
      <w:tr w:rsidR="00A259BD" w:rsidRPr="00A259BD" w14:paraId="2C9D9264" w14:textId="77777777">
        <w:tc>
          <w:tcPr>
            <w:tcW w:w="378" w:type="dxa"/>
            <w:shd w:val="clear" w:color="auto" w:fill="FFFFFF"/>
          </w:tcPr>
          <w:p w14:paraId="722894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w:t>
            </w:r>
          </w:p>
        </w:tc>
        <w:tc>
          <w:tcPr>
            <w:tcW w:w="1440" w:type="dxa"/>
            <w:shd w:val="clear" w:color="auto" w:fill="FFFFFF"/>
          </w:tcPr>
          <w:p w14:paraId="19E4D8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Д3-М32</w:t>
            </w:r>
          </w:p>
        </w:tc>
        <w:tc>
          <w:tcPr>
            <w:tcW w:w="7560" w:type="dxa"/>
            <w:shd w:val="clear" w:color="auto" w:fill="FFFFFF"/>
          </w:tcPr>
          <w:p w14:paraId="7B5FFD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в п. 11 /Д2-БМВУ1/</w:t>
            </w:r>
          </w:p>
        </w:tc>
      </w:tr>
      <w:tr w:rsidR="00A259BD" w:rsidRPr="00A259BD" w14:paraId="438D959F" w14:textId="77777777">
        <w:tc>
          <w:tcPr>
            <w:tcW w:w="378" w:type="dxa"/>
            <w:shd w:val="clear" w:color="auto" w:fill="FFFFFF"/>
          </w:tcPr>
          <w:p w14:paraId="3405D4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w:t>
            </w:r>
          </w:p>
        </w:tc>
        <w:tc>
          <w:tcPr>
            <w:tcW w:w="1440" w:type="dxa"/>
            <w:shd w:val="clear" w:color="auto" w:fill="FFFFFF"/>
          </w:tcPr>
          <w:p w14:paraId="5EC0B6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ИК1-2БМВУ1</w:t>
            </w:r>
          </w:p>
        </w:tc>
        <w:tc>
          <w:tcPr>
            <w:tcW w:w="7560" w:type="dxa"/>
            <w:shd w:val="clear" w:color="auto" w:fill="FFFFFF"/>
          </w:tcPr>
          <w:p w14:paraId="22376E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 пулеметная </w:t>
            </w:r>
            <w:proofErr w:type="spellStart"/>
            <w:r w:rsidRPr="00A259BD">
              <w:rPr>
                <w:rFonts w:ascii="Times New Roman" w:hAnsi="Times New Roman"/>
                <w:color w:val="000000" w:themeColor="text1"/>
                <w:sz w:val="16"/>
                <w:szCs w:val="16"/>
              </w:rPr>
              <w:t>турелькая</w:t>
            </w:r>
            <w:proofErr w:type="spellEnd"/>
            <w:r w:rsidRPr="00A259BD">
              <w:rPr>
                <w:rFonts w:ascii="Times New Roman" w:hAnsi="Times New Roman"/>
                <w:color w:val="000000" w:themeColor="text1"/>
                <w:sz w:val="16"/>
                <w:szCs w:val="16"/>
              </w:rPr>
              <w:t xml:space="preserve"> установка, пулеметная установка для стрельбы под хвост, бомбардировочное оборудование для дистанционных бомб, установка для подкрыльных факелов и светящих бомб, </w:t>
            </w:r>
            <w:proofErr w:type="spellStart"/>
            <w:r w:rsidRPr="00A259BD">
              <w:rPr>
                <w:rFonts w:ascii="Times New Roman" w:hAnsi="Times New Roman"/>
                <w:color w:val="000000" w:themeColor="text1"/>
                <w:sz w:val="16"/>
                <w:szCs w:val="16"/>
              </w:rPr>
              <w:t>аэрояавигационное</w:t>
            </w:r>
            <w:proofErr w:type="spellEnd"/>
            <w:r w:rsidRPr="00A259BD">
              <w:rPr>
                <w:rFonts w:ascii="Times New Roman" w:hAnsi="Times New Roman"/>
                <w:color w:val="000000" w:themeColor="text1"/>
                <w:sz w:val="16"/>
                <w:szCs w:val="16"/>
              </w:rPr>
              <w:t xml:space="preserve"> оборудование, вспомогательное </w:t>
            </w:r>
            <w:proofErr w:type="spellStart"/>
            <w:r w:rsidRPr="00A259BD">
              <w:rPr>
                <w:rFonts w:ascii="Times New Roman" w:hAnsi="Times New Roman"/>
                <w:color w:val="000000" w:themeColor="text1"/>
                <w:sz w:val="16"/>
                <w:szCs w:val="16"/>
              </w:rPr>
              <w:t>оборудоваиие</w:t>
            </w:r>
            <w:proofErr w:type="spellEnd"/>
            <w:r w:rsidRPr="00A259BD">
              <w:rPr>
                <w:rFonts w:ascii="Times New Roman" w:hAnsi="Times New Roman"/>
                <w:color w:val="000000" w:themeColor="text1"/>
                <w:sz w:val="16"/>
                <w:szCs w:val="16"/>
              </w:rPr>
              <w:t xml:space="preserve">, фотоустановка, радиоустановка и </w:t>
            </w:r>
            <w:proofErr w:type="spellStart"/>
            <w:r w:rsidRPr="00A259BD">
              <w:rPr>
                <w:rFonts w:ascii="Times New Roman" w:hAnsi="Times New Roman"/>
                <w:color w:val="000000" w:themeColor="text1"/>
                <w:sz w:val="16"/>
                <w:szCs w:val="16"/>
              </w:rPr>
              <w:t>с"емкое</w:t>
            </w:r>
            <w:proofErr w:type="spellEnd"/>
            <w:r w:rsidRPr="00A259BD">
              <w:rPr>
                <w:rFonts w:ascii="Times New Roman" w:hAnsi="Times New Roman"/>
                <w:color w:val="000000" w:themeColor="text1"/>
                <w:sz w:val="16"/>
                <w:szCs w:val="16"/>
              </w:rPr>
              <w:t xml:space="preserve"> электрооборудование.</w:t>
            </w:r>
          </w:p>
        </w:tc>
      </w:tr>
      <w:tr w:rsidR="00A259BD" w:rsidRPr="00A259BD" w14:paraId="55CA299F" w14:textId="77777777">
        <w:tc>
          <w:tcPr>
            <w:tcW w:w="378" w:type="dxa"/>
            <w:shd w:val="clear" w:color="auto" w:fill="FFFFFF"/>
          </w:tcPr>
          <w:p w14:paraId="29B1BE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w:t>
            </w:r>
          </w:p>
        </w:tc>
        <w:tc>
          <w:tcPr>
            <w:tcW w:w="1440" w:type="dxa"/>
            <w:shd w:val="clear" w:color="auto" w:fill="FFFFFF"/>
          </w:tcPr>
          <w:p w14:paraId="22EE57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ИК-2М34</w:t>
            </w:r>
          </w:p>
        </w:tc>
        <w:tc>
          <w:tcPr>
            <w:tcW w:w="7560" w:type="dxa"/>
            <w:shd w:val="clear" w:color="auto" w:fill="FFFFFF"/>
          </w:tcPr>
          <w:p w14:paraId="2C8DC4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в п. 14</w:t>
            </w:r>
          </w:p>
        </w:tc>
      </w:tr>
      <w:tr w:rsidR="00A259BD" w:rsidRPr="00A259BD" w14:paraId="724C7257" w14:textId="77777777">
        <w:tc>
          <w:tcPr>
            <w:tcW w:w="378" w:type="dxa"/>
            <w:shd w:val="clear" w:color="auto" w:fill="FFFFFF"/>
          </w:tcPr>
          <w:p w14:paraId="47AB96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w:t>
            </w:r>
          </w:p>
        </w:tc>
        <w:tc>
          <w:tcPr>
            <w:tcW w:w="1440" w:type="dxa"/>
            <w:shd w:val="clear" w:color="auto" w:fill="FFFFFF"/>
          </w:tcPr>
          <w:p w14:paraId="1CADE9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Р5-БМВУ1</w:t>
            </w:r>
          </w:p>
        </w:tc>
        <w:tc>
          <w:tcPr>
            <w:tcW w:w="7560" w:type="dxa"/>
            <w:shd w:val="clear" w:color="auto" w:fill="FFFFFF"/>
          </w:tcPr>
          <w:p w14:paraId="56E034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Пулеметная установка для </w:t>
            </w:r>
            <w:proofErr w:type="spellStart"/>
            <w:r w:rsidRPr="00A259BD">
              <w:rPr>
                <w:rFonts w:ascii="Times New Roman" w:hAnsi="Times New Roman"/>
                <w:color w:val="000000" w:themeColor="text1"/>
                <w:sz w:val="16"/>
                <w:szCs w:val="16"/>
              </w:rPr>
              <w:t>стрелъбы</w:t>
            </w:r>
            <w:proofErr w:type="spellEnd"/>
            <w:r w:rsidRPr="00A259BD">
              <w:rPr>
                <w:rFonts w:ascii="Times New Roman" w:hAnsi="Times New Roman"/>
                <w:color w:val="000000" w:themeColor="text1"/>
                <w:sz w:val="16"/>
                <w:szCs w:val="16"/>
              </w:rPr>
              <w:t xml:space="preserve"> через винт на один пулемет, одна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бомбардировочное оборудование для средних бомб, установка для </w:t>
            </w:r>
            <w:proofErr w:type="spellStart"/>
            <w:r w:rsidRPr="00A259BD">
              <w:rPr>
                <w:rFonts w:ascii="Times New Roman" w:hAnsi="Times New Roman"/>
                <w:color w:val="000000" w:themeColor="text1"/>
                <w:sz w:val="16"/>
                <w:szCs w:val="16"/>
              </w:rPr>
              <w:t>подкрыльньх</w:t>
            </w:r>
            <w:proofErr w:type="spellEnd"/>
            <w:r w:rsidRPr="00A259BD">
              <w:rPr>
                <w:rFonts w:ascii="Times New Roman" w:hAnsi="Times New Roman"/>
                <w:color w:val="000000" w:themeColor="text1"/>
                <w:sz w:val="16"/>
                <w:szCs w:val="16"/>
              </w:rPr>
              <w:t xml:space="preserve"> факелов и светящих бомб, аэронавигационное оборудование, вспомогательное оборудование, фотоустановка, радиоустановка, </w:t>
            </w:r>
            <w:proofErr w:type="spellStart"/>
            <w:r w:rsidRPr="00A259BD">
              <w:rPr>
                <w:rFonts w:ascii="Times New Roman" w:hAnsi="Times New Roman"/>
                <w:color w:val="000000" w:themeColor="text1"/>
                <w:sz w:val="16"/>
                <w:szCs w:val="16"/>
              </w:rPr>
              <w:t>с"емное</w:t>
            </w:r>
            <w:proofErr w:type="spellEnd"/>
            <w:r w:rsidRPr="00A259BD">
              <w:rPr>
                <w:rFonts w:ascii="Times New Roman" w:hAnsi="Times New Roman"/>
                <w:color w:val="000000" w:themeColor="text1"/>
                <w:sz w:val="16"/>
                <w:szCs w:val="16"/>
              </w:rPr>
              <w:t xml:space="preserve"> электрооборудование.</w:t>
            </w:r>
          </w:p>
        </w:tc>
      </w:tr>
      <w:tr w:rsidR="00A259BD" w:rsidRPr="00A259BD" w14:paraId="257A701C" w14:textId="77777777">
        <w:tc>
          <w:tcPr>
            <w:tcW w:w="378" w:type="dxa"/>
            <w:shd w:val="clear" w:color="auto" w:fill="FFFFFF"/>
          </w:tcPr>
          <w:p w14:paraId="79CB56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w:t>
            </w:r>
          </w:p>
        </w:tc>
        <w:tc>
          <w:tcPr>
            <w:tcW w:w="1440" w:type="dxa"/>
            <w:shd w:val="clear" w:color="auto" w:fill="FFFFFF"/>
          </w:tcPr>
          <w:p w14:paraId="08B451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Р7-БМВУ1</w:t>
            </w:r>
          </w:p>
        </w:tc>
        <w:tc>
          <w:tcPr>
            <w:tcW w:w="7560" w:type="dxa"/>
            <w:shd w:val="clear" w:color="auto" w:fill="FFFFFF"/>
          </w:tcPr>
          <w:p w14:paraId="089A60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Пулеметная установка для стрельбы через винт на 2 пулемета, одна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бом</w:t>
            </w:r>
            <w:r w:rsidRPr="00A259BD">
              <w:rPr>
                <w:rFonts w:ascii="Times New Roman" w:hAnsi="Times New Roman"/>
                <w:color w:val="000000" w:themeColor="text1"/>
                <w:sz w:val="16"/>
                <w:szCs w:val="16"/>
              </w:rPr>
              <w:softHyphen/>
              <w:t>бардировочное оборудование для средних бомб, уста</w:t>
            </w:r>
            <w:r w:rsidRPr="00A259BD">
              <w:rPr>
                <w:rFonts w:ascii="Times New Roman" w:hAnsi="Times New Roman"/>
                <w:color w:val="000000" w:themeColor="text1"/>
                <w:sz w:val="16"/>
                <w:szCs w:val="16"/>
              </w:rPr>
              <w:softHyphen/>
              <w:t xml:space="preserve">новка для </w:t>
            </w:r>
            <w:proofErr w:type="spellStart"/>
            <w:r w:rsidRPr="00A259BD">
              <w:rPr>
                <w:rFonts w:ascii="Times New Roman" w:hAnsi="Times New Roman"/>
                <w:color w:val="000000" w:themeColor="text1"/>
                <w:sz w:val="16"/>
                <w:szCs w:val="16"/>
              </w:rPr>
              <w:t>подкркльных</w:t>
            </w:r>
            <w:proofErr w:type="spellEnd"/>
            <w:r w:rsidRPr="00A259BD">
              <w:rPr>
                <w:rFonts w:ascii="Times New Roman" w:hAnsi="Times New Roman"/>
                <w:color w:val="000000" w:themeColor="text1"/>
                <w:sz w:val="16"/>
                <w:szCs w:val="16"/>
              </w:rPr>
              <w:t xml:space="preserve"> факелов и светящих бомб, </w:t>
            </w:r>
            <w:r w:rsidRPr="00A259BD">
              <w:rPr>
                <w:rFonts w:ascii="Times New Roman" w:hAnsi="Times New Roman"/>
                <w:color w:val="000000" w:themeColor="text1"/>
                <w:sz w:val="16"/>
                <w:szCs w:val="16"/>
              </w:rPr>
              <w:lastRenderedPageBreak/>
              <w:t xml:space="preserve">аэронавигационное оборудование, вспомогательное </w:t>
            </w:r>
            <w:proofErr w:type="spellStart"/>
            <w:r w:rsidRPr="00A259BD">
              <w:rPr>
                <w:rFonts w:ascii="Times New Roman" w:hAnsi="Times New Roman"/>
                <w:color w:val="000000" w:themeColor="text1"/>
                <w:sz w:val="16"/>
                <w:szCs w:val="16"/>
              </w:rPr>
              <w:t>оборудованне</w:t>
            </w:r>
            <w:proofErr w:type="spellEnd"/>
            <w:r w:rsidRPr="00A259BD">
              <w:rPr>
                <w:rFonts w:ascii="Times New Roman" w:hAnsi="Times New Roman"/>
                <w:color w:val="000000" w:themeColor="text1"/>
                <w:sz w:val="16"/>
                <w:szCs w:val="16"/>
              </w:rPr>
              <w:t>, фотоустановка, радиоустановка, съемное электрооборудование</w:t>
            </w:r>
          </w:p>
        </w:tc>
      </w:tr>
      <w:tr w:rsidR="00A259BD" w:rsidRPr="00A259BD" w14:paraId="561913E6" w14:textId="77777777">
        <w:tc>
          <w:tcPr>
            <w:tcW w:w="378" w:type="dxa"/>
            <w:shd w:val="clear" w:color="auto" w:fill="FFFFFF"/>
          </w:tcPr>
          <w:p w14:paraId="652BB7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18</w:t>
            </w:r>
          </w:p>
        </w:tc>
        <w:tc>
          <w:tcPr>
            <w:tcW w:w="1440" w:type="dxa"/>
            <w:shd w:val="clear" w:color="auto" w:fill="FFFFFF"/>
          </w:tcPr>
          <w:p w14:paraId="5931D8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Р7-М30</w:t>
            </w:r>
          </w:p>
        </w:tc>
        <w:tc>
          <w:tcPr>
            <w:tcW w:w="7560" w:type="dxa"/>
            <w:shd w:val="clear" w:color="auto" w:fill="FFFFFF"/>
          </w:tcPr>
          <w:p w14:paraId="684264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в п. 17 /Р7-ВМВУ1/.</w:t>
            </w:r>
          </w:p>
        </w:tc>
      </w:tr>
      <w:tr w:rsidR="00A259BD" w:rsidRPr="00A259BD" w14:paraId="207E591D" w14:textId="77777777">
        <w:tc>
          <w:tcPr>
            <w:tcW w:w="378" w:type="dxa"/>
            <w:shd w:val="clear" w:color="auto" w:fill="FFFFFF"/>
          </w:tcPr>
          <w:p w14:paraId="1B1D36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w:t>
            </w:r>
          </w:p>
        </w:tc>
        <w:tc>
          <w:tcPr>
            <w:tcW w:w="1440" w:type="dxa"/>
            <w:shd w:val="clear" w:color="auto" w:fill="FFFFFF"/>
          </w:tcPr>
          <w:p w14:paraId="4ACA0F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Р8-М33</w:t>
            </w:r>
          </w:p>
        </w:tc>
        <w:tc>
          <w:tcPr>
            <w:tcW w:w="7560" w:type="dxa"/>
            <w:shd w:val="clear" w:color="auto" w:fill="FFFFFF"/>
          </w:tcPr>
          <w:p w14:paraId="44B64B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Пулеметная установка для стрельбы черве винт на 2 пулемета, одна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уста</w:t>
            </w:r>
            <w:r w:rsidRPr="00A259BD">
              <w:rPr>
                <w:rFonts w:ascii="Times New Roman" w:hAnsi="Times New Roman"/>
                <w:color w:val="000000" w:themeColor="text1"/>
                <w:sz w:val="16"/>
                <w:szCs w:val="16"/>
              </w:rPr>
              <w:softHyphen/>
              <w:t>новка для подкрыльных факелов и светящих бомб, аэронавигационное оборудование, вспомогательное обору</w:t>
            </w:r>
            <w:r w:rsidRPr="00A259BD">
              <w:rPr>
                <w:rFonts w:ascii="Times New Roman" w:hAnsi="Times New Roman"/>
                <w:color w:val="000000" w:themeColor="text1"/>
                <w:sz w:val="16"/>
                <w:szCs w:val="16"/>
              </w:rPr>
              <w:softHyphen/>
              <w:t xml:space="preserve">дование, фотоустановка, радиоустановка, </w:t>
            </w:r>
            <w:proofErr w:type="spellStart"/>
            <w:r w:rsidRPr="00A259BD">
              <w:rPr>
                <w:rFonts w:ascii="Times New Roman" w:hAnsi="Times New Roman"/>
                <w:color w:val="000000" w:themeColor="text1"/>
                <w:sz w:val="16"/>
                <w:szCs w:val="16"/>
              </w:rPr>
              <w:t>с"емное</w:t>
            </w:r>
            <w:proofErr w:type="spellEnd"/>
            <w:r w:rsidRPr="00A259BD">
              <w:rPr>
                <w:rFonts w:ascii="Times New Roman" w:hAnsi="Times New Roman"/>
                <w:color w:val="000000" w:themeColor="text1"/>
                <w:sz w:val="16"/>
                <w:szCs w:val="16"/>
              </w:rPr>
              <w:t xml:space="preserve"> электрооборудование.</w:t>
            </w:r>
          </w:p>
        </w:tc>
      </w:tr>
      <w:tr w:rsidR="00A259BD" w:rsidRPr="00A259BD" w14:paraId="03E41C63" w14:textId="77777777">
        <w:tc>
          <w:tcPr>
            <w:tcW w:w="378" w:type="dxa"/>
            <w:shd w:val="clear" w:color="auto" w:fill="FFFFFF"/>
          </w:tcPr>
          <w:p w14:paraId="2A2D7A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tc>
        <w:tc>
          <w:tcPr>
            <w:tcW w:w="1440" w:type="dxa"/>
            <w:shd w:val="clear" w:color="auto" w:fill="FFFFFF"/>
          </w:tcPr>
          <w:p w14:paraId="2DAF96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Р9-И33</w:t>
            </w:r>
          </w:p>
        </w:tc>
        <w:tc>
          <w:tcPr>
            <w:tcW w:w="7560" w:type="dxa"/>
            <w:shd w:val="clear" w:color="auto" w:fill="FFFFFF"/>
          </w:tcPr>
          <w:p w14:paraId="443016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в п. 19 /Р8-М33/.</w:t>
            </w:r>
          </w:p>
        </w:tc>
      </w:tr>
      <w:tr w:rsidR="00A259BD" w:rsidRPr="00A259BD" w14:paraId="3B8CABF8" w14:textId="77777777">
        <w:tc>
          <w:tcPr>
            <w:tcW w:w="378" w:type="dxa"/>
            <w:shd w:val="clear" w:color="auto" w:fill="FFFFFF"/>
          </w:tcPr>
          <w:p w14:paraId="6121B4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w:t>
            </w:r>
          </w:p>
        </w:tc>
        <w:tc>
          <w:tcPr>
            <w:tcW w:w="1440" w:type="dxa"/>
            <w:shd w:val="clear" w:color="auto" w:fill="FFFFFF"/>
          </w:tcPr>
          <w:p w14:paraId="651243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НР-М30</w:t>
            </w:r>
          </w:p>
        </w:tc>
        <w:tc>
          <w:tcPr>
            <w:tcW w:w="7560" w:type="dxa"/>
            <w:shd w:val="clear" w:color="auto" w:fill="FFFFFF"/>
          </w:tcPr>
          <w:p w14:paraId="08B5A5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 же, что в п.19 /РВ-М33/, но электрооборудование </w:t>
            </w:r>
            <w:proofErr w:type="spellStart"/>
            <w:r w:rsidRPr="00A259BD">
              <w:rPr>
                <w:rFonts w:ascii="Times New Roman" w:hAnsi="Times New Roman"/>
                <w:color w:val="000000" w:themeColor="text1"/>
                <w:sz w:val="16"/>
                <w:szCs w:val="16"/>
              </w:rPr>
              <w:t>нес"емное</w:t>
            </w:r>
            <w:proofErr w:type="spellEnd"/>
            <w:r w:rsidRPr="00A259BD">
              <w:rPr>
                <w:rFonts w:ascii="Times New Roman" w:hAnsi="Times New Roman"/>
                <w:color w:val="000000" w:themeColor="text1"/>
                <w:sz w:val="16"/>
                <w:szCs w:val="16"/>
              </w:rPr>
              <w:t>, установка для подкрыльных факелов и светящих бомб.</w:t>
            </w:r>
          </w:p>
        </w:tc>
      </w:tr>
      <w:tr w:rsidR="00A259BD" w:rsidRPr="00A259BD" w14:paraId="6F5679C0" w14:textId="77777777">
        <w:tc>
          <w:tcPr>
            <w:tcW w:w="378" w:type="dxa"/>
            <w:shd w:val="clear" w:color="auto" w:fill="FFFFFF"/>
          </w:tcPr>
          <w:p w14:paraId="1EAE1F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w:t>
            </w:r>
          </w:p>
        </w:tc>
        <w:tc>
          <w:tcPr>
            <w:tcW w:w="1440" w:type="dxa"/>
            <w:shd w:val="clear" w:color="auto" w:fill="FFFFFF"/>
          </w:tcPr>
          <w:p w14:paraId="190641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Р6-2БМВУ1</w:t>
            </w:r>
          </w:p>
        </w:tc>
        <w:tc>
          <w:tcPr>
            <w:tcW w:w="7560" w:type="dxa"/>
            <w:shd w:val="clear" w:color="auto" w:fill="FFFFFF"/>
          </w:tcPr>
          <w:p w14:paraId="201C0E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пулеметная установка для стрельбы под хвост, бомбардировочное оборудование для дистанционных бомб, установка для. подкрыльных факелов и светящих бомб, аэронавигационное оборудование, вспомогательное </w:t>
            </w:r>
            <w:proofErr w:type="spellStart"/>
            <w:r w:rsidRPr="00A259BD">
              <w:rPr>
                <w:rFonts w:ascii="Times New Roman" w:hAnsi="Times New Roman"/>
                <w:color w:val="000000" w:themeColor="text1"/>
                <w:sz w:val="16"/>
                <w:szCs w:val="16"/>
              </w:rPr>
              <w:t>оборудование,фотоустановка</w:t>
            </w:r>
            <w:proofErr w:type="spellEnd"/>
            <w:r w:rsidRPr="00A259BD">
              <w:rPr>
                <w:rFonts w:ascii="Times New Roman" w:hAnsi="Times New Roman"/>
                <w:color w:val="000000" w:themeColor="text1"/>
                <w:sz w:val="16"/>
                <w:szCs w:val="16"/>
              </w:rPr>
              <w:t xml:space="preserve">, радиоустановка, </w:t>
            </w:r>
            <w:proofErr w:type="spellStart"/>
            <w:r w:rsidRPr="00A259BD">
              <w:rPr>
                <w:rFonts w:ascii="Times New Roman" w:hAnsi="Times New Roman"/>
                <w:color w:val="000000" w:themeColor="text1"/>
                <w:sz w:val="16"/>
                <w:szCs w:val="16"/>
              </w:rPr>
              <w:t>с”емное</w:t>
            </w:r>
            <w:proofErr w:type="spellEnd"/>
            <w:r w:rsidRPr="00A259BD">
              <w:rPr>
                <w:rFonts w:ascii="Times New Roman" w:hAnsi="Times New Roman"/>
                <w:color w:val="000000" w:themeColor="text1"/>
                <w:sz w:val="16"/>
                <w:szCs w:val="16"/>
              </w:rPr>
              <w:t xml:space="preserve"> электрооборудование</w:t>
            </w:r>
          </w:p>
        </w:tc>
      </w:tr>
      <w:tr w:rsidR="00A259BD" w:rsidRPr="00A259BD" w14:paraId="7734D721" w14:textId="77777777">
        <w:tc>
          <w:tcPr>
            <w:tcW w:w="378" w:type="dxa"/>
            <w:shd w:val="clear" w:color="auto" w:fill="FFFFFF"/>
          </w:tcPr>
          <w:p w14:paraId="6389A7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1440" w:type="dxa"/>
            <w:shd w:val="clear" w:color="auto" w:fill="FFFFFF"/>
          </w:tcPr>
          <w:p w14:paraId="32E4D6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Р6-2М30</w:t>
            </w:r>
          </w:p>
        </w:tc>
        <w:tc>
          <w:tcPr>
            <w:tcW w:w="7560" w:type="dxa"/>
            <w:shd w:val="clear" w:color="auto" w:fill="FFFFFF"/>
          </w:tcPr>
          <w:p w14:paraId="0FFCFA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в п. 22 /Р6-2БМВУ1/.</w:t>
            </w:r>
          </w:p>
        </w:tc>
      </w:tr>
      <w:tr w:rsidR="00A259BD" w:rsidRPr="00A259BD" w14:paraId="18846982" w14:textId="77777777">
        <w:tc>
          <w:tcPr>
            <w:tcW w:w="378" w:type="dxa"/>
            <w:shd w:val="clear" w:color="auto" w:fill="FFFFFF"/>
          </w:tcPr>
          <w:p w14:paraId="412E01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w:t>
            </w:r>
          </w:p>
        </w:tc>
        <w:tc>
          <w:tcPr>
            <w:tcW w:w="1440" w:type="dxa"/>
            <w:shd w:val="clear" w:color="auto" w:fill="FFFFFF"/>
          </w:tcPr>
          <w:p w14:paraId="1CF996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Р6-М34 </w:t>
            </w:r>
          </w:p>
        </w:tc>
        <w:tc>
          <w:tcPr>
            <w:tcW w:w="7560" w:type="dxa"/>
            <w:shd w:val="clear" w:color="auto" w:fill="FFFFFF"/>
          </w:tcPr>
          <w:p w14:paraId="2E1FE4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в п. 22 /Р6-2БМВУ1/.</w:t>
            </w:r>
          </w:p>
        </w:tc>
      </w:tr>
      <w:tr w:rsidR="00A259BD" w:rsidRPr="00A259BD" w14:paraId="47D5D4CF" w14:textId="77777777">
        <w:tc>
          <w:tcPr>
            <w:tcW w:w="378" w:type="dxa"/>
            <w:shd w:val="clear" w:color="auto" w:fill="FFFFFF"/>
          </w:tcPr>
          <w:p w14:paraId="2AD056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w:t>
            </w:r>
          </w:p>
        </w:tc>
        <w:tc>
          <w:tcPr>
            <w:tcW w:w="1440" w:type="dxa"/>
            <w:shd w:val="clear" w:color="auto" w:fill="FFFFFF"/>
          </w:tcPr>
          <w:p w14:paraId="1586CD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КРК1-2М26</w:t>
            </w:r>
          </w:p>
        </w:tc>
        <w:tc>
          <w:tcPr>
            <w:tcW w:w="7560" w:type="dxa"/>
            <w:shd w:val="clear" w:color="auto" w:fill="FFFFFF"/>
          </w:tcPr>
          <w:p w14:paraId="6F91CF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Две пулеметные </w:t>
            </w:r>
            <w:proofErr w:type="spellStart"/>
            <w:r w:rsidRPr="00A259BD">
              <w:rPr>
                <w:rFonts w:ascii="Times New Roman" w:hAnsi="Times New Roman"/>
                <w:color w:val="000000" w:themeColor="text1"/>
                <w:sz w:val="16"/>
                <w:szCs w:val="16"/>
              </w:rPr>
              <w:t>турельные</w:t>
            </w:r>
            <w:proofErr w:type="spellEnd"/>
            <w:r w:rsidRPr="00A259BD">
              <w:rPr>
                <w:rFonts w:ascii="Times New Roman" w:hAnsi="Times New Roman"/>
                <w:color w:val="000000" w:themeColor="text1"/>
                <w:sz w:val="16"/>
                <w:szCs w:val="16"/>
              </w:rPr>
              <w:t xml:space="preserve"> установки, пулеметная установка для </w:t>
            </w:r>
            <w:proofErr w:type="spellStart"/>
            <w:r w:rsidRPr="00A259BD">
              <w:rPr>
                <w:rFonts w:ascii="Times New Roman" w:hAnsi="Times New Roman"/>
                <w:color w:val="000000" w:themeColor="text1"/>
                <w:sz w:val="16"/>
                <w:szCs w:val="16"/>
              </w:rPr>
              <w:t>етрельбь</w:t>
            </w:r>
            <w:proofErr w:type="spellEnd"/>
            <w:r w:rsidRPr="00A259BD">
              <w:rPr>
                <w:rFonts w:ascii="Times New Roman" w:hAnsi="Times New Roman"/>
                <w:color w:val="000000" w:themeColor="text1"/>
                <w:sz w:val="16"/>
                <w:szCs w:val="16"/>
              </w:rPr>
              <w:t xml:space="preserve"> под хвост, бомбардиро</w:t>
            </w:r>
            <w:r w:rsidRPr="00A259BD">
              <w:rPr>
                <w:rFonts w:ascii="Times New Roman" w:hAnsi="Times New Roman"/>
                <w:color w:val="000000" w:themeColor="text1"/>
                <w:sz w:val="16"/>
                <w:szCs w:val="16"/>
              </w:rPr>
              <w:softHyphen/>
              <w:t xml:space="preserve">вочное оборудование для средних бомб, </w:t>
            </w:r>
            <w:proofErr w:type="spellStart"/>
            <w:r w:rsidRPr="00A259BD">
              <w:rPr>
                <w:rFonts w:ascii="Times New Roman" w:hAnsi="Times New Roman"/>
                <w:color w:val="000000" w:themeColor="text1"/>
                <w:sz w:val="16"/>
                <w:szCs w:val="16"/>
              </w:rPr>
              <w:t>уставовка</w:t>
            </w:r>
            <w:proofErr w:type="spellEnd"/>
            <w:r w:rsidRPr="00A259BD">
              <w:rPr>
                <w:rFonts w:ascii="Times New Roman" w:hAnsi="Times New Roman"/>
                <w:color w:val="000000" w:themeColor="text1"/>
                <w:sz w:val="16"/>
                <w:szCs w:val="16"/>
              </w:rPr>
              <w:t xml:space="preserve"> для пристрелочных бомб, установка для подкрыльных факелов и светящих бомб, аэронавига</w:t>
            </w:r>
            <w:r w:rsidRPr="00A259BD">
              <w:rPr>
                <w:rFonts w:ascii="Times New Roman" w:hAnsi="Times New Roman"/>
                <w:color w:val="000000" w:themeColor="text1"/>
                <w:sz w:val="16"/>
                <w:szCs w:val="16"/>
              </w:rPr>
              <w:softHyphen/>
              <w:t>ционное оборудование, вспомогательное оборудо</w:t>
            </w:r>
            <w:r w:rsidRPr="00A259BD">
              <w:rPr>
                <w:rFonts w:ascii="Times New Roman" w:hAnsi="Times New Roman"/>
                <w:color w:val="000000" w:themeColor="text1"/>
                <w:sz w:val="16"/>
                <w:szCs w:val="16"/>
              </w:rPr>
              <w:softHyphen/>
              <w:t>вание, фотоустановка, радиоустановка, съемное электрооборудование.</w:t>
            </w:r>
          </w:p>
        </w:tc>
      </w:tr>
      <w:tr w:rsidR="00A259BD" w:rsidRPr="00A259BD" w14:paraId="052D31EA" w14:textId="77777777">
        <w:tc>
          <w:tcPr>
            <w:tcW w:w="378" w:type="dxa"/>
            <w:shd w:val="clear" w:color="auto" w:fill="FFFFFF"/>
          </w:tcPr>
          <w:p w14:paraId="7151D3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1440" w:type="dxa"/>
            <w:shd w:val="clear" w:color="auto" w:fill="FFFFFF"/>
          </w:tcPr>
          <w:p w14:paraId="6B3B22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ХБ-М30</w:t>
            </w:r>
          </w:p>
        </w:tc>
        <w:tc>
          <w:tcPr>
            <w:tcW w:w="7560" w:type="dxa"/>
            <w:shd w:val="clear" w:color="auto" w:fill="FFFFFF"/>
          </w:tcPr>
          <w:p w14:paraId="56A4A3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Пулеметная установка для стрельбы через винт на 1 пулемет, одна. пулеметная </w:t>
            </w:r>
            <w:proofErr w:type="spellStart"/>
            <w:r w:rsidRPr="00A259BD">
              <w:rPr>
                <w:rFonts w:ascii="Times New Roman" w:hAnsi="Times New Roman"/>
                <w:color w:val="000000" w:themeColor="text1"/>
                <w:sz w:val="16"/>
                <w:szCs w:val="16"/>
              </w:rPr>
              <w:t>турельвая</w:t>
            </w:r>
            <w:proofErr w:type="spellEnd"/>
            <w:r w:rsidRPr="00A259BD">
              <w:rPr>
                <w:rFonts w:ascii="Times New Roman" w:hAnsi="Times New Roman"/>
                <w:color w:val="000000" w:themeColor="text1"/>
                <w:sz w:val="16"/>
                <w:szCs w:val="16"/>
              </w:rPr>
              <w:t xml:space="preserve"> уста</w:t>
            </w:r>
            <w:r w:rsidRPr="00A259BD">
              <w:rPr>
                <w:rFonts w:ascii="Times New Roman" w:hAnsi="Times New Roman"/>
                <w:color w:val="000000" w:themeColor="text1"/>
                <w:sz w:val="16"/>
                <w:szCs w:val="16"/>
              </w:rPr>
              <w:softHyphen/>
              <w:t>новка, бомбодержатели для химических бомб, уста</w:t>
            </w:r>
            <w:r w:rsidRPr="00A259BD">
              <w:rPr>
                <w:rFonts w:ascii="Times New Roman" w:hAnsi="Times New Roman"/>
                <w:color w:val="000000" w:themeColor="text1"/>
                <w:sz w:val="16"/>
                <w:szCs w:val="16"/>
              </w:rPr>
              <w:softHyphen/>
              <w:t>новки для приборов ВАП и приборов специально</w:t>
            </w:r>
            <w:r w:rsidRPr="00A259BD">
              <w:rPr>
                <w:rFonts w:ascii="Times New Roman" w:hAnsi="Times New Roman"/>
                <w:color w:val="000000" w:themeColor="text1"/>
                <w:sz w:val="16"/>
                <w:szCs w:val="16"/>
              </w:rPr>
              <w:softHyphen/>
              <w:t xml:space="preserve">го назначения, аэронавигационное оборудование, вспомогательное оборудование, фотоустановка, радиоустановка, </w:t>
            </w:r>
            <w:proofErr w:type="spellStart"/>
            <w:r w:rsidRPr="00A259BD">
              <w:rPr>
                <w:rFonts w:ascii="Times New Roman" w:hAnsi="Times New Roman"/>
                <w:color w:val="000000" w:themeColor="text1"/>
                <w:sz w:val="16"/>
                <w:szCs w:val="16"/>
              </w:rPr>
              <w:t>с"емное</w:t>
            </w:r>
            <w:proofErr w:type="spellEnd"/>
            <w:r w:rsidRPr="00A259BD">
              <w:rPr>
                <w:rFonts w:ascii="Times New Roman" w:hAnsi="Times New Roman"/>
                <w:color w:val="000000" w:themeColor="text1"/>
                <w:sz w:val="16"/>
                <w:szCs w:val="16"/>
              </w:rPr>
              <w:t xml:space="preserve"> электрооборудование, легкая броня и герметическая кабина.</w:t>
            </w:r>
          </w:p>
        </w:tc>
      </w:tr>
      <w:tr w:rsidR="00A259BD" w:rsidRPr="00A259BD" w14:paraId="55FA4821" w14:textId="77777777">
        <w:tc>
          <w:tcPr>
            <w:tcW w:w="378" w:type="dxa"/>
            <w:shd w:val="clear" w:color="auto" w:fill="FFFFFF"/>
          </w:tcPr>
          <w:p w14:paraId="31E09F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w:t>
            </w:r>
          </w:p>
        </w:tc>
        <w:tc>
          <w:tcPr>
            <w:tcW w:w="1440" w:type="dxa"/>
            <w:shd w:val="clear" w:color="auto" w:fill="FFFFFF"/>
          </w:tcPr>
          <w:p w14:paraId="11481C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КС1-65/80 НР</w:t>
            </w:r>
          </w:p>
        </w:tc>
        <w:tc>
          <w:tcPr>
            <w:tcW w:w="7560" w:type="dxa"/>
            <w:shd w:val="clear" w:color="auto" w:fill="FFFFFF"/>
          </w:tcPr>
          <w:p w14:paraId="166905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Одна пулеметная установка для стрельбы через винт на один пулемет, аэронавигационное обору</w:t>
            </w:r>
            <w:r w:rsidRPr="00A259BD">
              <w:rPr>
                <w:rFonts w:ascii="Times New Roman" w:hAnsi="Times New Roman"/>
                <w:color w:val="000000" w:themeColor="text1"/>
                <w:sz w:val="16"/>
                <w:szCs w:val="16"/>
              </w:rPr>
              <w:softHyphen/>
              <w:t xml:space="preserve">дование, вспомогательное оборудование, прибор для сбрасывания и </w:t>
            </w:r>
            <w:proofErr w:type="spellStart"/>
            <w:r w:rsidRPr="00A259BD">
              <w:rPr>
                <w:rFonts w:ascii="Times New Roman" w:hAnsi="Times New Roman"/>
                <w:color w:val="000000" w:themeColor="text1"/>
                <w:sz w:val="16"/>
                <w:szCs w:val="16"/>
              </w:rPr>
              <w:t>подхватыватэля</w:t>
            </w:r>
            <w:proofErr w:type="spellEnd"/>
            <w:r w:rsidRPr="00A259BD">
              <w:rPr>
                <w:rFonts w:ascii="Times New Roman" w:hAnsi="Times New Roman"/>
                <w:color w:val="000000" w:themeColor="text1"/>
                <w:sz w:val="16"/>
                <w:szCs w:val="16"/>
              </w:rPr>
              <w:t xml:space="preserve"> пакетов до 3-х кг.</w:t>
            </w:r>
          </w:p>
        </w:tc>
      </w:tr>
      <w:tr w:rsidR="00A259BD" w:rsidRPr="00A259BD" w14:paraId="0078DD61" w14:textId="77777777">
        <w:tc>
          <w:tcPr>
            <w:tcW w:w="378" w:type="dxa"/>
            <w:shd w:val="clear" w:color="auto" w:fill="FFFFFF"/>
          </w:tcPr>
          <w:p w14:paraId="7DADED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w:t>
            </w:r>
          </w:p>
        </w:tc>
        <w:tc>
          <w:tcPr>
            <w:tcW w:w="1440" w:type="dxa"/>
            <w:shd w:val="clear" w:color="auto" w:fill="FFFFFF"/>
          </w:tcPr>
          <w:p w14:paraId="147B88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ТБ2-2БМВУ1</w:t>
            </w:r>
          </w:p>
        </w:tc>
        <w:tc>
          <w:tcPr>
            <w:tcW w:w="7560" w:type="dxa"/>
            <w:shd w:val="clear" w:color="auto" w:fill="FFFFFF"/>
          </w:tcPr>
          <w:p w14:paraId="623759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Две пулеметные </w:t>
            </w:r>
            <w:proofErr w:type="spellStart"/>
            <w:r w:rsidRPr="00A259BD">
              <w:rPr>
                <w:rFonts w:ascii="Times New Roman" w:hAnsi="Times New Roman"/>
                <w:color w:val="000000" w:themeColor="text1"/>
                <w:sz w:val="16"/>
                <w:szCs w:val="16"/>
              </w:rPr>
              <w:t>турельние</w:t>
            </w:r>
            <w:proofErr w:type="spellEnd"/>
            <w:r w:rsidRPr="00A259BD">
              <w:rPr>
                <w:rFonts w:ascii="Times New Roman" w:hAnsi="Times New Roman"/>
                <w:color w:val="000000" w:themeColor="text1"/>
                <w:sz w:val="16"/>
                <w:szCs w:val="16"/>
              </w:rPr>
              <w:t xml:space="preserve"> установки, прицепные кабины для обстрела задней полусферы, бомбар</w:t>
            </w:r>
            <w:r w:rsidRPr="00A259BD">
              <w:rPr>
                <w:rFonts w:ascii="Times New Roman" w:hAnsi="Times New Roman"/>
                <w:color w:val="000000" w:themeColor="text1"/>
                <w:sz w:val="16"/>
                <w:szCs w:val="16"/>
              </w:rPr>
              <w:softHyphen/>
              <w:t>дировочное оборудование для средних бомб, бом</w:t>
            </w:r>
            <w:r w:rsidRPr="00A259BD">
              <w:rPr>
                <w:rFonts w:ascii="Times New Roman" w:hAnsi="Times New Roman"/>
                <w:color w:val="000000" w:themeColor="text1"/>
                <w:sz w:val="16"/>
                <w:szCs w:val="16"/>
              </w:rPr>
              <w:softHyphen/>
              <w:t>бардировочное оборудование для тяжелых бомб, установка для пристрелочных бомб, установка для подкрыльных факелов и светящих бомб, аэро</w:t>
            </w:r>
            <w:r w:rsidRPr="00A259BD">
              <w:rPr>
                <w:rFonts w:ascii="Times New Roman" w:hAnsi="Times New Roman"/>
                <w:color w:val="000000" w:themeColor="text1"/>
                <w:sz w:val="16"/>
                <w:szCs w:val="16"/>
              </w:rPr>
              <w:softHyphen/>
              <w:t xml:space="preserve">навигационное оборудование, вспомогательное оборудование, фотоустановка, радиоустановка, </w:t>
            </w:r>
            <w:proofErr w:type="spellStart"/>
            <w:r w:rsidRPr="00A259BD">
              <w:rPr>
                <w:rFonts w:ascii="Times New Roman" w:hAnsi="Times New Roman"/>
                <w:color w:val="000000" w:themeColor="text1"/>
                <w:sz w:val="16"/>
                <w:szCs w:val="16"/>
              </w:rPr>
              <w:t>с"емное</w:t>
            </w:r>
            <w:proofErr w:type="spellEnd"/>
            <w:r w:rsidRPr="00A259BD">
              <w:rPr>
                <w:rFonts w:ascii="Times New Roman" w:hAnsi="Times New Roman"/>
                <w:color w:val="000000" w:themeColor="text1"/>
                <w:sz w:val="16"/>
                <w:szCs w:val="16"/>
              </w:rPr>
              <w:t xml:space="preserve"> электрооборудование.</w:t>
            </w:r>
          </w:p>
        </w:tc>
      </w:tr>
      <w:tr w:rsidR="00A259BD" w:rsidRPr="00A259BD" w14:paraId="135D3E9B" w14:textId="77777777">
        <w:tc>
          <w:tcPr>
            <w:tcW w:w="378" w:type="dxa"/>
            <w:shd w:val="clear" w:color="auto" w:fill="FFFFFF"/>
          </w:tcPr>
          <w:p w14:paraId="37D192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w:t>
            </w:r>
          </w:p>
        </w:tc>
        <w:tc>
          <w:tcPr>
            <w:tcW w:w="1440" w:type="dxa"/>
            <w:shd w:val="clear" w:color="auto" w:fill="FFFFFF"/>
          </w:tcPr>
          <w:p w14:paraId="7DE679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ТБ3 2000/2400</w:t>
            </w:r>
          </w:p>
        </w:tc>
        <w:tc>
          <w:tcPr>
            <w:tcW w:w="7560" w:type="dxa"/>
            <w:shd w:val="clear" w:color="auto" w:fill="FFFFFF"/>
          </w:tcPr>
          <w:p w14:paraId="0DCD2D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 же, что в п. 28 /ТБ2-2БМВУ1,, добавляется оборудование для возки специальных грузов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w:t>
            </w:r>
          </w:p>
        </w:tc>
      </w:tr>
      <w:tr w:rsidR="00A259BD" w:rsidRPr="00A259BD" w14:paraId="558FA4CB" w14:textId="77777777">
        <w:tc>
          <w:tcPr>
            <w:tcW w:w="378" w:type="dxa"/>
            <w:shd w:val="clear" w:color="auto" w:fill="FFFFFF"/>
          </w:tcPr>
          <w:p w14:paraId="7B3779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tc>
        <w:tc>
          <w:tcPr>
            <w:tcW w:w="1440" w:type="dxa"/>
            <w:shd w:val="clear" w:color="auto" w:fill="FFFFFF"/>
          </w:tcPr>
          <w:p w14:paraId="1A2DCE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ТВ4-4М39</w:t>
            </w:r>
          </w:p>
        </w:tc>
        <w:tc>
          <w:tcPr>
            <w:tcW w:w="7560" w:type="dxa"/>
            <w:shd w:val="clear" w:color="auto" w:fill="FFFFFF"/>
          </w:tcPr>
          <w:p w14:paraId="6A5839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 же, что в п.29 /ТБ3 2000/2400/, но добавляется одна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за счет прицепных кабин.</w:t>
            </w:r>
          </w:p>
        </w:tc>
      </w:tr>
      <w:tr w:rsidR="00A259BD" w:rsidRPr="00A259BD" w14:paraId="41770358" w14:textId="77777777">
        <w:tc>
          <w:tcPr>
            <w:tcW w:w="378" w:type="dxa"/>
            <w:shd w:val="clear" w:color="auto" w:fill="FFFFFF"/>
          </w:tcPr>
          <w:p w14:paraId="02B1D9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w:t>
            </w:r>
          </w:p>
        </w:tc>
        <w:tc>
          <w:tcPr>
            <w:tcW w:w="1440" w:type="dxa"/>
            <w:shd w:val="clear" w:color="auto" w:fill="FFFFFF"/>
          </w:tcPr>
          <w:p w14:paraId="7C00A0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ТБ5-4М35</w:t>
            </w:r>
          </w:p>
        </w:tc>
        <w:tc>
          <w:tcPr>
            <w:tcW w:w="7560" w:type="dxa"/>
            <w:shd w:val="clear" w:color="auto" w:fill="FFFFFF"/>
          </w:tcPr>
          <w:p w14:paraId="3F1FC9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4CD4AAF" w14:textId="77777777">
        <w:tc>
          <w:tcPr>
            <w:tcW w:w="378" w:type="dxa"/>
            <w:shd w:val="clear" w:color="auto" w:fill="FFFFFF"/>
          </w:tcPr>
          <w:p w14:paraId="0DC821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w:t>
            </w:r>
          </w:p>
        </w:tc>
        <w:tc>
          <w:tcPr>
            <w:tcW w:w="1440" w:type="dxa"/>
            <w:shd w:val="clear" w:color="auto" w:fill="FFFFFF"/>
          </w:tcPr>
          <w:p w14:paraId="51CA94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Т-БМВУ1</w:t>
            </w:r>
          </w:p>
        </w:tc>
        <w:tc>
          <w:tcPr>
            <w:tcW w:w="7560" w:type="dxa"/>
            <w:shd w:val="clear" w:color="auto" w:fill="FFFFFF"/>
          </w:tcPr>
          <w:p w14:paraId="63C056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Пулеметная установка для стрельбы черва винт на 2 пулемета, одна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w:t>
            </w:r>
            <w:r w:rsidRPr="00A259BD">
              <w:rPr>
                <w:rFonts w:ascii="Times New Roman" w:hAnsi="Times New Roman"/>
                <w:color w:val="000000" w:themeColor="text1"/>
                <w:sz w:val="16"/>
                <w:szCs w:val="16"/>
              </w:rPr>
              <w:softHyphen/>
              <w:t>новка, бомбардировочное оборудование для тяже</w:t>
            </w:r>
            <w:r w:rsidRPr="00A259BD">
              <w:rPr>
                <w:rFonts w:ascii="Times New Roman" w:hAnsi="Times New Roman"/>
                <w:color w:val="000000" w:themeColor="text1"/>
                <w:sz w:val="16"/>
                <w:szCs w:val="16"/>
              </w:rPr>
              <w:softHyphen/>
              <w:t xml:space="preserve">лых бомб, установка для пристрелочных бомб, установка для подкрыльных факелов и светящих </w:t>
            </w:r>
            <w:proofErr w:type="spellStart"/>
            <w:r w:rsidRPr="00A259BD">
              <w:rPr>
                <w:rFonts w:ascii="Times New Roman" w:hAnsi="Times New Roman"/>
                <w:color w:val="000000" w:themeColor="text1"/>
                <w:sz w:val="16"/>
                <w:szCs w:val="16"/>
              </w:rPr>
              <w:t>оомб</w:t>
            </w:r>
            <w:proofErr w:type="spellEnd"/>
            <w:r w:rsidRPr="00A259BD">
              <w:rPr>
                <w:rFonts w:ascii="Times New Roman" w:hAnsi="Times New Roman"/>
                <w:color w:val="000000" w:themeColor="text1"/>
                <w:sz w:val="16"/>
                <w:szCs w:val="16"/>
              </w:rPr>
              <w:t xml:space="preserve">, оборудование для специальных грузов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аэронавигационное оборудование, вспомогательное оборудование, </w:t>
            </w:r>
            <w:proofErr w:type="spellStart"/>
            <w:r w:rsidRPr="00A259BD">
              <w:rPr>
                <w:rFonts w:ascii="Times New Roman" w:hAnsi="Times New Roman"/>
                <w:color w:val="000000" w:themeColor="text1"/>
                <w:sz w:val="16"/>
                <w:szCs w:val="16"/>
              </w:rPr>
              <w:t>с”емное</w:t>
            </w:r>
            <w:proofErr w:type="spellEnd"/>
            <w:r w:rsidRPr="00A259BD">
              <w:rPr>
                <w:rFonts w:ascii="Times New Roman" w:hAnsi="Times New Roman"/>
                <w:color w:val="000000" w:themeColor="text1"/>
                <w:sz w:val="16"/>
                <w:szCs w:val="16"/>
              </w:rPr>
              <w:t xml:space="preserve"> электрооборудование</w:t>
            </w:r>
          </w:p>
        </w:tc>
      </w:tr>
      <w:tr w:rsidR="00A259BD" w:rsidRPr="00A259BD" w14:paraId="31E5E13C" w14:textId="77777777">
        <w:tc>
          <w:tcPr>
            <w:tcW w:w="378" w:type="dxa"/>
            <w:shd w:val="clear" w:color="auto" w:fill="FFFFFF"/>
          </w:tcPr>
          <w:p w14:paraId="32B6FF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w:t>
            </w:r>
          </w:p>
        </w:tc>
        <w:tc>
          <w:tcPr>
            <w:tcW w:w="1440" w:type="dxa"/>
            <w:shd w:val="clear" w:color="auto" w:fill="FFFFFF"/>
          </w:tcPr>
          <w:p w14:paraId="316A44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ШЛ-400/600</w:t>
            </w:r>
          </w:p>
        </w:tc>
        <w:tc>
          <w:tcPr>
            <w:tcW w:w="7560" w:type="dxa"/>
            <w:shd w:val="clear" w:color="auto" w:fill="FFFFFF"/>
          </w:tcPr>
          <w:p w14:paraId="54C8AE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Пулеметная установка для стрельбы черва винт на 2 пулемета. </w:t>
            </w:r>
            <w:proofErr w:type="spellStart"/>
            <w:r w:rsidRPr="00A259BD">
              <w:rPr>
                <w:rFonts w:ascii="Times New Roman" w:hAnsi="Times New Roman"/>
                <w:color w:val="000000" w:themeColor="text1"/>
                <w:sz w:val="16"/>
                <w:szCs w:val="16"/>
              </w:rPr>
              <w:t>С"емная</w:t>
            </w:r>
            <w:proofErr w:type="spellEnd"/>
            <w:r w:rsidRPr="00A259BD">
              <w:rPr>
                <w:rFonts w:ascii="Times New Roman" w:hAnsi="Times New Roman"/>
                <w:color w:val="000000" w:themeColor="text1"/>
                <w:sz w:val="16"/>
                <w:szCs w:val="16"/>
              </w:rPr>
              <w:t xml:space="preserve"> пулеметная установка на крыльях самолета на 4 пулемета, одна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бомбодержатели и кассеты для мелкокалиберных бомб, установка для подкрыльных факелов в светящих бомб, аэронавигационное обо</w:t>
            </w:r>
            <w:r w:rsidRPr="00A259BD">
              <w:rPr>
                <w:rFonts w:ascii="Times New Roman" w:hAnsi="Times New Roman"/>
                <w:color w:val="000000" w:themeColor="text1"/>
                <w:sz w:val="16"/>
                <w:szCs w:val="16"/>
              </w:rPr>
              <w:softHyphen/>
              <w:t xml:space="preserve">рудование, вспомогательное оборудование, радио-установка, </w:t>
            </w:r>
            <w:proofErr w:type="spellStart"/>
            <w:r w:rsidRPr="00A259BD">
              <w:rPr>
                <w:rFonts w:ascii="Times New Roman" w:hAnsi="Times New Roman"/>
                <w:color w:val="000000" w:themeColor="text1"/>
                <w:sz w:val="16"/>
                <w:szCs w:val="16"/>
              </w:rPr>
              <w:t>с"емное</w:t>
            </w:r>
            <w:proofErr w:type="spellEnd"/>
            <w:r w:rsidRPr="00A259BD">
              <w:rPr>
                <w:rFonts w:ascii="Times New Roman" w:hAnsi="Times New Roman"/>
                <w:color w:val="000000" w:themeColor="text1"/>
                <w:sz w:val="16"/>
                <w:szCs w:val="16"/>
              </w:rPr>
              <w:t xml:space="preserve"> электрооборудование.</w:t>
            </w:r>
          </w:p>
        </w:tc>
      </w:tr>
      <w:tr w:rsidR="00A259BD" w:rsidRPr="00A259BD" w14:paraId="10B38208" w14:textId="77777777">
        <w:tc>
          <w:tcPr>
            <w:tcW w:w="378" w:type="dxa"/>
            <w:shd w:val="clear" w:color="auto" w:fill="FFFFFF"/>
          </w:tcPr>
          <w:p w14:paraId="5AFE85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w:t>
            </w:r>
          </w:p>
        </w:tc>
        <w:tc>
          <w:tcPr>
            <w:tcW w:w="1440" w:type="dxa"/>
            <w:shd w:val="clear" w:color="auto" w:fill="FFFFFF"/>
          </w:tcPr>
          <w:p w14:paraId="71573C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ШТ-2БМВУ1</w:t>
            </w:r>
          </w:p>
        </w:tc>
        <w:tc>
          <w:tcPr>
            <w:tcW w:w="7560" w:type="dxa"/>
            <w:shd w:val="clear" w:color="auto" w:fill="FFFFFF"/>
          </w:tcPr>
          <w:p w14:paraId="3AC773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 пулеметная </w:t>
            </w:r>
            <w:proofErr w:type="spellStart"/>
            <w:r w:rsidRPr="00A259BD">
              <w:rPr>
                <w:rFonts w:ascii="Times New Roman" w:hAnsi="Times New Roman"/>
                <w:color w:val="000000" w:themeColor="text1"/>
                <w:sz w:val="16"/>
                <w:szCs w:val="16"/>
              </w:rPr>
              <w:t>турелььая</w:t>
            </w:r>
            <w:proofErr w:type="spellEnd"/>
            <w:r w:rsidRPr="00A259BD">
              <w:rPr>
                <w:rFonts w:ascii="Times New Roman" w:hAnsi="Times New Roman"/>
                <w:color w:val="000000" w:themeColor="text1"/>
                <w:sz w:val="16"/>
                <w:szCs w:val="16"/>
              </w:rPr>
              <w:t xml:space="preserve"> установка, </w:t>
            </w:r>
            <w:proofErr w:type="spellStart"/>
            <w:r w:rsidRPr="00A259BD">
              <w:rPr>
                <w:rFonts w:ascii="Times New Roman" w:hAnsi="Times New Roman"/>
                <w:color w:val="000000" w:themeColor="text1"/>
                <w:sz w:val="16"/>
                <w:szCs w:val="16"/>
              </w:rPr>
              <w:t>с"емная</w:t>
            </w:r>
            <w:proofErr w:type="spellEnd"/>
            <w:r w:rsidRPr="00A259BD">
              <w:rPr>
                <w:rFonts w:ascii="Times New Roman" w:hAnsi="Times New Roman"/>
                <w:color w:val="000000" w:themeColor="text1"/>
                <w:sz w:val="16"/>
                <w:szCs w:val="16"/>
              </w:rPr>
              <w:t xml:space="preserve"> пулеметная установка на крыльях самолета, </w:t>
            </w:r>
            <w:proofErr w:type="spellStart"/>
            <w:r w:rsidRPr="00A259BD">
              <w:rPr>
                <w:rFonts w:ascii="Times New Roman" w:hAnsi="Times New Roman"/>
                <w:color w:val="000000" w:themeColor="text1"/>
                <w:sz w:val="16"/>
                <w:szCs w:val="16"/>
              </w:rPr>
              <w:t>бомбо</w:t>
            </w:r>
            <w:proofErr w:type="spellEnd"/>
            <w:r w:rsidRPr="00A259BD">
              <w:rPr>
                <w:rFonts w:ascii="Times New Roman" w:hAnsi="Times New Roman"/>
                <w:color w:val="000000" w:themeColor="text1"/>
                <w:sz w:val="16"/>
                <w:szCs w:val="16"/>
              </w:rPr>
              <w:t xml:space="preserve">-держатели и кассеты для большого количества мелкокалиберных бомб, установка для подкрыльных факелов, аэронавигационное оборудование, </w:t>
            </w:r>
            <w:proofErr w:type="spellStart"/>
            <w:r w:rsidRPr="00A259BD">
              <w:rPr>
                <w:rFonts w:ascii="Times New Roman" w:hAnsi="Times New Roman"/>
                <w:color w:val="000000" w:themeColor="text1"/>
                <w:sz w:val="16"/>
                <w:szCs w:val="16"/>
              </w:rPr>
              <w:t>вспомо-гательыое</w:t>
            </w:r>
            <w:proofErr w:type="spellEnd"/>
            <w:r w:rsidRPr="00A259BD">
              <w:rPr>
                <w:rFonts w:ascii="Times New Roman" w:hAnsi="Times New Roman"/>
                <w:color w:val="000000" w:themeColor="text1"/>
                <w:sz w:val="16"/>
                <w:szCs w:val="16"/>
              </w:rPr>
              <w:t xml:space="preserve"> оборудование, фотоустановка, радио</w:t>
            </w:r>
            <w:r w:rsidRPr="00A259BD">
              <w:rPr>
                <w:rFonts w:ascii="Times New Roman" w:hAnsi="Times New Roman"/>
                <w:color w:val="000000" w:themeColor="text1"/>
                <w:sz w:val="16"/>
                <w:szCs w:val="16"/>
              </w:rPr>
              <w:softHyphen/>
              <w:t xml:space="preserve">установка, схемное </w:t>
            </w:r>
            <w:proofErr w:type="spellStart"/>
            <w:r w:rsidRPr="00A259BD">
              <w:rPr>
                <w:rFonts w:ascii="Times New Roman" w:hAnsi="Times New Roman"/>
                <w:color w:val="000000" w:themeColor="text1"/>
                <w:sz w:val="16"/>
                <w:szCs w:val="16"/>
              </w:rPr>
              <w:t>злектрооборудование</w:t>
            </w:r>
            <w:proofErr w:type="spellEnd"/>
            <w:r w:rsidRPr="00A259BD">
              <w:rPr>
                <w:rFonts w:ascii="Times New Roman" w:hAnsi="Times New Roman"/>
                <w:color w:val="000000" w:themeColor="text1"/>
                <w:sz w:val="16"/>
                <w:szCs w:val="16"/>
              </w:rPr>
              <w:t>.</w:t>
            </w:r>
          </w:p>
        </w:tc>
      </w:tr>
      <w:tr w:rsidR="00A259BD" w:rsidRPr="00A259BD" w14:paraId="5DE1E63B" w14:textId="77777777">
        <w:tc>
          <w:tcPr>
            <w:tcW w:w="378" w:type="dxa"/>
            <w:shd w:val="clear" w:color="auto" w:fill="FFFFFF"/>
          </w:tcPr>
          <w:p w14:paraId="519023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w:t>
            </w:r>
          </w:p>
        </w:tc>
        <w:tc>
          <w:tcPr>
            <w:tcW w:w="1440" w:type="dxa"/>
            <w:shd w:val="clear" w:color="auto" w:fill="FFFFFF"/>
          </w:tcPr>
          <w:p w14:paraId="21B2BB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РОМ2-2БМВУ1</w:t>
            </w:r>
          </w:p>
        </w:tc>
        <w:tc>
          <w:tcPr>
            <w:tcW w:w="7560" w:type="dxa"/>
            <w:shd w:val="clear" w:color="auto" w:fill="FFFFFF"/>
          </w:tcPr>
          <w:p w14:paraId="60D81D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Две пулеметные </w:t>
            </w:r>
            <w:proofErr w:type="spellStart"/>
            <w:r w:rsidRPr="00A259BD">
              <w:rPr>
                <w:rFonts w:ascii="Times New Roman" w:hAnsi="Times New Roman"/>
                <w:color w:val="000000" w:themeColor="text1"/>
                <w:sz w:val="16"/>
                <w:szCs w:val="16"/>
              </w:rPr>
              <w:t>турельные</w:t>
            </w:r>
            <w:proofErr w:type="spellEnd"/>
            <w:r w:rsidRPr="00A259BD">
              <w:rPr>
                <w:rFonts w:ascii="Times New Roman" w:hAnsi="Times New Roman"/>
                <w:color w:val="000000" w:themeColor="text1"/>
                <w:sz w:val="16"/>
                <w:szCs w:val="16"/>
              </w:rPr>
              <w:t xml:space="preserve"> установки, бомбардиро</w:t>
            </w:r>
            <w:r w:rsidRPr="00A259BD">
              <w:rPr>
                <w:rFonts w:ascii="Times New Roman" w:hAnsi="Times New Roman"/>
                <w:color w:val="000000" w:themeColor="text1"/>
                <w:sz w:val="16"/>
                <w:szCs w:val="16"/>
              </w:rPr>
              <w:softHyphen/>
              <w:t>вочное оборудование для средних бомб, бомбарди</w:t>
            </w:r>
            <w:r w:rsidRPr="00A259BD">
              <w:rPr>
                <w:rFonts w:ascii="Times New Roman" w:hAnsi="Times New Roman"/>
                <w:color w:val="000000" w:themeColor="text1"/>
                <w:sz w:val="16"/>
                <w:szCs w:val="16"/>
              </w:rPr>
              <w:softHyphen/>
              <w:t>ровочное оборудование для тяжелых бомб, установ</w:t>
            </w:r>
            <w:r w:rsidRPr="00A259BD">
              <w:rPr>
                <w:rFonts w:ascii="Times New Roman" w:hAnsi="Times New Roman"/>
                <w:color w:val="000000" w:themeColor="text1"/>
                <w:sz w:val="16"/>
                <w:szCs w:val="16"/>
              </w:rPr>
              <w:softHyphen/>
              <w:t>ка для пристрелочных бомб, установка для под-</w:t>
            </w:r>
            <w:proofErr w:type="spellStart"/>
            <w:r w:rsidRPr="00A259BD">
              <w:rPr>
                <w:rFonts w:ascii="Times New Roman" w:hAnsi="Times New Roman"/>
                <w:color w:val="000000" w:themeColor="text1"/>
                <w:sz w:val="16"/>
                <w:szCs w:val="16"/>
              </w:rPr>
              <w:t>крьшьных</w:t>
            </w:r>
            <w:proofErr w:type="spellEnd"/>
            <w:r w:rsidRPr="00A259BD">
              <w:rPr>
                <w:rFonts w:ascii="Times New Roman" w:hAnsi="Times New Roman"/>
                <w:color w:val="000000" w:themeColor="text1"/>
                <w:sz w:val="16"/>
                <w:szCs w:val="16"/>
              </w:rPr>
              <w:t xml:space="preserve"> факелов и светящих бомб, аэронавига</w:t>
            </w:r>
            <w:r w:rsidRPr="00A259BD">
              <w:rPr>
                <w:rFonts w:ascii="Times New Roman" w:hAnsi="Times New Roman"/>
                <w:color w:val="000000" w:themeColor="text1"/>
                <w:sz w:val="16"/>
                <w:szCs w:val="16"/>
              </w:rPr>
              <w:softHyphen/>
              <w:t>ционное оборудование, вспомогательное оборудова</w:t>
            </w:r>
            <w:r w:rsidRPr="00A259BD">
              <w:rPr>
                <w:rFonts w:ascii="Times New Roman" w:hAnsi="Times New Roman"/>
                <w:color w:val="000000" w:themeColor="text1"/>
                <w:sz w:val="16"/>
                <w:szCs w:val="16"/>
              </w:rPr>
              <w:softHyphen/>
              <w:t xml:space="preserve">ние, фотооборудование, радиоустановка, </w:t>
            </w:r>
            <w:proofErr w:type="spellStart"/>
            <w:r w:rsidRPr="00A259BD">
              <w:rPr>
                <w:rFonts w:ascii="Times New Roman" w:hAnsi="Times New Roman"/>
                <w:color w:val="000000" w:themeColor="text1"/>
                <w:sz w:val="16"/>
                <w:szCs w:val="16"/>
              </w:rPr>
              <w:t>с”емное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йлэктрооборудование</w:t>
            </w:r>
            <w:proofErr w:type="spellEnd"/>
            <w:r w:rsidRPr="00A259BD">
              <w:rPr>
                <w:rFonts w:ascii="Times New Roman" w:hAnsi="Times New Roman"/>
                <w:color w:val="000000" w:themeColor="text1"/>
                <w:sz w:val="16"/>
                <w:szCs w:val="16"/>
              </w:rPr>
              <w:t>, морское оборудование.</w:t>
            </w:r>
          </w:p>
        </w:tc>
      </w:tr>
      <w:tr w:rsidR="00A259BD" w:rsidRPr="00A259BD" w14:paraId="03631F24" w14:textId="77777777">
        <w:tc>
          <w:tcPr>
            <w:tcW w:w="378" w:type="dxa"/>
            <w:shd w:val="clear" w:color="auto" w:fill="FFFFFF"/>
          </w:tcPr>
          <w:p w14:paraId="3E4A59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w:t>
            </w:r>
          </w:p>
        </w:tc>
        <w:tc>
          <w:tcPr>
            <w:tcW w:w="1440" w:type="dxa"/>
            <w:shd w:val="clear" w:color="auto" w:fill="FFFFFF"/>
          </w:tcPr>
          <w:p w14:paraId="455B24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МР5-БМВУ1.</w:t>
            </w:r>
          </w:p>
        </w:tc>
        <w:tc>
          <w:tcPr>
            <w:tcW w:w="7560" w:type="dxa"/>
            <w:shd w:val="clear" w:color="auto" w:fill="FFFFFF"/>
          </w:tcPr>
          <w:p w14:paraId="549C18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Две </w:t>
            </w:r>
            <w:proofErr w:type="spellStart"/>
            <w:r w:rsidRPr="00A259BD">
              <w:rPr>
                <w:rFonts w:ascii="Times New Roman" w:hAnsi="Times New Roman"/>
                <w:color w:val="000000" w:themeColor="text1"/>
                <w:sz w:val="16"/>
                <w:szCs w:val="16"/>
              </w:rPr>
              <w:t>пулеметнкх</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турельных</w:t>
            </w:r>
            <w:proofErr w:type="spellEnd"/>
            <w:r w:rsidRPr="00A259BD">
              <w:rPr>
                <w:rFonts w:ascii="Times New Roman" w:hAnsi="Times New Roman"/>
                <w:color w:val="000000" w:themeColor="text1"/>
                <w:sz w:val="16"/>
                <w:szCs w:val="16"/>
              </w:rPr>
              <w:t xml:space="preserve"> установки, бомбардиро</w:t>
            </w:r>
            <w:r w:rsidRPr="00A259BD">
              <w:rPr>
                <w:rFonts w:ascii="Times New Roman" w:hAnsi="Times New Roman"/>
                <w:color w:val="000000" w:themeColor="text1"/>
                <w:sz w:val="16"/>
                <w:szCs w:val="16"/>
              </w:rPr>
              <w:softHyphen/>
              <w:t>вочное оборудование для средних бомб, аэронави</w:t>
            </w:r>
            <w:r w:rsidRPr="00A259BD">
              <w:rPr>
                <w:rFonts w:ascii="Times New Roman" w:hAnsi="Times New Roman"/>
                <w:color w:val="000000" w:themeColor="text1"/>
                <w:sz w:val="16"/>
                <w:szCs w:val="16"/>
              </w:rPr>
              <w:softHyphen/>
              <w:t>гационное оборудование, вспомогательное обору</w:t>
            </w:r>
            <w:r w:rsidRPr="00A259BD">
              <w:rPr>
                <w:rFonts w:ascii="Times New Roman" w:hAnsi="Times New Roman"/>
                <w:color w:val="000000" w:themeColor="text1"/>
                <w:sz w:val="16"/>
                <w:szCs w:val="16"/>
              </w:rPr>
              <w:softHyphen/>
              <w:t xml:space="preserve">дование, фотоустановка, радиоустановка, </w:t>
            </w:r>
            <w:proofErr w:type="spellStart"/>
            <w:r w:rsidRPr="00A259BD">
              <w:rPr>
                <w:rFonts w:ascii="Times New Roman" w:hAnsi="Times New Roman"/>
                <w:color w:val="000000" w:themeColor="text1"/>
                <w:sz w:val="16"/>
                <w:szCs w:val="16"/>
              </w:rPr>
              <w:t>с”емное</w:t>
            </w:r>
            <w:proofErr w:type="spellEnd"/>
            <w:r w:rsidRPr="00A259BD">
              <w:rPr>
                <w:rFonts w:ascii="Times New Roman" w:hAnsi="Times New Roman"/>
                <w:color w:val="000000" w:themeColor="text1"/>
                <w:sz w:val="16"/>
                <w:szCs w:val="16"/>
              </w:rPr>
              <w:t xml:space="preserve"> электрооборудование, морское оборудование.</w:t>
            </w:r>
          </w:p>
        </w:tc>
      </w:tr>
      <w:tr w:rsidR="00A259BD" w:rsidRPr="00A259BD" w14:paraId="230C1029" w14:textId="77777777">
        <w:tc>
          <w:tcPr>
            <w:tcW w:w="378" w:type="dxa"/>
            <w:shd w:val="clear" w:color="auto" w:fill="FFFFFF"/>
          </w:tcPr>
          <w:p w14:paraId="0CAE6B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w:t>
            </w:r>
          </w:p>
        </w:tc>
        <w:tc>
          <w:tcPr>
            <w:tcW w:w="1440" w:type="dxa"/>
            <w:shd w:val="clear" w:color="auto" w:fill="FFFFFF"/>
          </w:tcPr>
          <w:p w14:paraId="1A59AC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МР6-БМВУ1</w:t>
            </w:r>
          </w:p>
        </w:tc>
        <w:tc>
          <w:tcPr>
            <w:tcW w:w="7560" w:type="dxa"/>
            <w:shd w:val="clear" w:color="auto" w:fill="FFFFFF"/>
          </w:tcPr>
          <w:p w14:paraId="7D4D8C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п. 36 /МР5-БМВУ1/</w:t>
            </w:r>
          </w:p>
        </w:tc>
      </w:tr>
      <w:tr w:rsidR="00A259BD" w:rsidRPr="00A259BD" w14:paraId="18B65909" w14:textId="77777777">
        <w:tc>
          <w:tcPr>
            <w:tcW w:w="378" w:type="dxa"/>
            <w:shd w:val="clear" w:color="auto" w:fill="FFFFFF"/>
          </w:tcPr>
          <w:p w14:paraId="20D4B2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w:t>
            </w:r>
          </w:p>
        </w:tc>
        <w:tc>
          <w:tcPr>
            <w:tcW w:w="1440" w:type="dxa"/>
            <w:shd w:val="clear" w:color="auto" w:fill="FFFFFF"/>
          </w:tcPr>
          <w:p w14:paraId="1AD304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ТОМ2-2БМВУ1</w:t>
            </w:r>
          </w:p>
        </w:tc>
        <w:tc>
          <w:tcPr>
            <w:tcW w:w="7560" w:type="dxa"/>
            <w:shd w:val="clear" w:color="auto" w:fill="FFFFFF"/>
          </w:tcPr>
          <w:p w14:paraId="2C6423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Две пулеметные </w:t>
            </w:r>
            <w:proofErr w:type="spellStart"/>
            <w:r w:rsidRPr="00A259BD">
              <w:rPr>
                <w:rFonts w:ascii="Times New Roman" w:hAnsi="Times New Roman"/>
                <w:color w:val="000000" w:themeColor="text1"/>
                <w:sz w:val="16"/>
                <w:szCs w:val="16"/>
              </w:rPr>
              <w:t>турельные</w:t>
            </w:r>
            <w:proofErr w:type="spellEnd"/>
            <w:r w:rsidRPr="00A259BD">
              <w:rPr>
                <w:rFonts w:ascii="Times New Roman" w:hAnsi="Times New Roman"/>
                <w:color w:val="000000" w:themeColor="text1"/>
                <w:sz w:val="16"/>
                <w:szCs w:val="16"/>
              </w:rPr>
              <w:t xml:space="preserve"> установки, пулеметная установка для стрельбы под хвост, бомбардировоч</w:t>
            </w:r>
            <w:r w:rsidRPr="00A259BD">
              <w:rPr>
                <w:rFonts w:ascii="Times New Roman" w:hAnsi="Times New Roman"/>
                <w:color w:val="000000" w:themeColor="text1"/>
                <w:sz w:val="16"/>
                <w:szCs w:val="16"/>
              </w:rPr>
              <w:softHyphen/>
              <w:t>ное оборудование для тяжелых бомб, установка для пристрелочных бомб, установка для подкрыльных факелов и светящих бомб, оборудование для спе</w:t>
            </w:r>
            <w:r w:rsidRPr="00A259BD">
              <w:rPr>
                <w:rFonts w:ascii="Times New Roman" w:hAnsi="Times New Roman"/>
                <w:color w:val="000000" w:themeColor="text1"/>
                <w:sz w:val="16"/>
                <w:szCs w:val="16"/>
              </w:rPr>
              <w:softHyphen/>
              <w:t xml:space="preserve">циальных грузов </w:t>
            </w:r>
            <w:proofErr w:type="spellStart"/>
            <w:r w:rsidRPr="00A259BD">
              <w:rPr>
                <w:rFonts w:ascii="Times New Roman" w:hAnsi="Times New Roman"/>
                <w:color w:val="000000" w:themeColor="text1"/>
                <w:sz w:val="16"/>
                <w:szCs w:val="16"/>
              </w:rPr>
              <w:t>Сстехбюро</w:t>
            </w:r>
            <w:proofErr w:type="spellEnd"/>
            <w:r w:rsidRPr="00A259BD">
              <w:rPr>
                <w:rFonts w:ascii="Times New Roman" w:hAnsi="Times New Roman"/>
                <w:color w:val="000000" w:themeColor="text1"/>
                <w:sz w:val="16"/>
                <w:szCs w:val="16"/>
              </w:rPr>
              <w:t xml:space="preserve">, аэронавигационное оборудование, вспомогательное </w:t>
            </w:r>
            <w:proofErr w:type="spellStart"/>
            <w:r w:rsidRPr="00A259BD">
              <w:rPr>
                <w:rFonts w:ascii="Times New Roman" w:hAnsi="Times New Roman"/>
                <w:color w:val="000000" w:themeColor="text1"/>
                <w:sz w:val="16"/>
                <w:szCs w:val="16"/>
              </w:rPr>
              <w:t>оборудование,фото</w:t>
            </w:r>
            <w:proofErr w:type="spellEnd"/>
            <w:r w:rsidRPr="00A259BD">
              <w:rPr>
                <w:rFonts w:ascii="Times New Roman" w:hAnsi="Times New Roman"/>
                <w:color w:val="000000" w:themeColor="text1"/>
                <w:sz w:val="16"/>
                <w:szCs w:val="16"/>
              </w:rPr>
              <w:t>* установка, радиоустановка, схемное электрообору</w:t>
            </w:r>
            <w:r w:rsidRPr="00A259BD">
              <w:rPr>
                <w:rFonts w:ascii="Times New Roman" w:hAnsi="Times New Roman"/>
                <w:color w:val="000000" w:themeColor="text1"/>
                <w:sz w:val="16"/>
                <w:szCs w:val="16"/>
              </w:rPr>
              <w:softHyphen/>
              <w:t>дование, морское оборудование, аварийное прис</w:t>
            </w:r>
            <w:r w:rsidRPr="00A259BD">
              <w:rPr>
                <w:rFonts w:ascii="Times New Roman" w:hAnsi="Times New Roman"/>
                <w:color w:val="000000" w:themeColor="text1"/>
                <w:sz w:val="16"/>
                <w:szCs w:val="16"/>
              </w:rPr>
              <w:softHyphen/>
              <w:t>пособление.</w:t>
            </w:r>
          </w:p>
        </w:tc>
      </w:tr>
      <w:tr w:rsidR="00A259BD" w:rsidRPr="00A259BD" w14:paraId="722B2BD0" w14:textId="77777777">
        <w:tc>
          <w:tcPr>
            <w:tcW w:w="378" w:type="dxa"/>
            <w:shd w:val="clear" w:color="auto" w:fill="FFFFFF"/>
          </w:tcPr>
          <w:p w14:paraId="268267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w:t>
            </w:r>
          </w:p>
        </w:tc>
        <w:tc>
          <w:tcPr>
            <w:tcW w:w="1440" w:type="dxa"/>
            <w:shd w:val="clear" w:color="auto" w:fill="FFFFFF"/>
          </w:tcPr>
          <w:p w14:paraId="73C724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ТО3-БМВУ1</w:t>
            </w:r>
          </w:p>
        </w:tc>
        <w:tc>
          <w:tcPr>
            <w:tcW w:w="7560" w:type="dxa"/>
            <w:shd w:val="clear" w:color="auto" w:fill="FFFFFF"/>
          </w:tcPr>
          <w:p w14:paraId="39C5BE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установка, бомбардиро</w:t>
            </w:r>
            <w:r w:rsidRPr="00A259BD">
              <w:rPr>
                <w:rFonts w:ascii="Times New Roman" w:hAnsi="Times New Roman"/>
                <w:color w:val="000000" w:themeColor="text1"/>
                <w:sz w:val="16"/>
                <w:szCs w:val="16"/>
              </w:rPr>
              <w:softHyphen/>
              <w:t>вочное оборудование для тяжелых бомб, установка для пристрелочных бомб, установка для подкрыль</w:t>
            </w:r>
            <w:r w:rsidRPr="00A259BD">
              <w:rPr>
                <w:rFonts w:ascii="Times New Roman" w:hAnsi="Times New Roman"/>
                <w:color w:val="000000" w:themeColor="text1"/>
                <w:sz w:val="16"/>
                <w:szCs w:val="16"/>
              </w:rPr>
              <w:softHyphen/>
              <w:t xml:space="preserve">ных факелов и </w:t>
            </w:r>
            <w:proofErr w:type="spellStart"/>
            <w:r w:rsidRPr="00A259BD">
              <w:rPr>
                <w:rFonts w:ascii="Times New Roman" w:hAnsi="Times New Roman"/>
                <w:color w:val="000000" w:themeColor="text1"/>
                <w:sz w:val="16"/>
                <w:szCs w:val="16"/>
              </w:rPr>
              <w:t>светяарх</w:t>
            </w:r>
            <w:proofErr w:type="spellEnd"/>
            <w:r w:rsidRPr="00A259BD">
              <w:rPr>
                <w:rFonts w:ascii="Times New Roman" w:hAnsi="Times New Roman"/>
                <w:color w:val="000000" w:themeColor="text1"/>
                <w:sz w:val="16"/>
                <w:szCs w:val="16"/>
              </w:rPr>
              <w:t xml:space="preserve"> бомб, оборудование для специальных </w:t>
            </w:r>
            <w:proofErr w:type="spellStart"/>
            <w:r w:rsidRPr="00A259BD">
              <w:rPr>
                <w:rFonts w:ascii="Times New Roman" w:hAnsi="Times New Roman"/>
                <w:color w:val="000000" w:themeColor="text1"/>
                <w:sz w:val="16"/>
                <w:szCs w:val="16"/>
              </w:rPr>
              <w:t>грудов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аэоонавигационное</w:t>
            </w:r>
            <w:proofErr w:type="spellEnd"/>
            <w:r w:rsidRPr="00A259BD">
              <w:rPr>
                <w:rFonts w:ascii="Times New Roman" w:hAnsi="Times New Roman"/>
                <w:color w:val="000000" w:themeColor="text1"/>
                <w:sz w:val="16"/>
                <w:szCs w:val="16"/>
              </w:rPr>
              <w:t xml:space="preserve"> оборудование , вспомогательное </w:t>
            </w:r>
            <w:proofErr w:type="spellStart"/>
            <w:r w:rsidRPr="00A259BD">
              <w:rPr>
                <w:rFonts w:ascii="Times New Roman" w:hAnsi="Times New Roman"/>
                <w:color w:val="000000" w:themeColor="text1"/>
                <w:sz w:val="16"/>
                <w:szCs w:val="16"/>
              </w:rPr>
              <w:t>оборудование,фото</w:t>
            </w:r>
            <w:proofErr w:type="spellEnd"/>
            <w:r w:rsidRPr="00A259BD">
              <w:rPr>
                <w:rFonts w:ascii="Times New Roman" w:hAnsi="Times New Roman"/>
                <w:color w:val="000000" w:themeColor="text1"/>
                <w:sz w:val="16"/>
                <w:szCs w:val="16"/>
              </w:rPr>
              <w:t>* установка, радиоустановка, схемное электрообору</w:t>
            </w:r>
            <w:r w:rsidRPr="00A259BD">
              <w:rPr>
                <w:rFonts w:ascii="Times New Roman" w:hAnsi="Times New Roman"/>
                <w:color w:val="000000" w:themeColor="text1"/>
                <w:sz w:val="16"/>
                <w:szCs w:val="16"/>
              </w:rPr>
              <w:softHyphen/>
              <w:t>дование, морское оборудование, аварийное прис</w:t>
            </w:r>
            <w:r w:rsidRPr="00A259BD">
              <w:rPr>
                <w:rFonts w:ascii="Times New Roman" w:hAnsi="Times New Roman"/>
                <w:color w:val="000000" w:themeColor="text1"/>
                <w:sz w:val="16"/>
                <w:szCs w:val="16"/>
              </w:rPr>
              <w:softHyphen/>
              <w:t>пособление.</w:t>
            </w:r>
          </w:p>
        </w:tc>
      </w:tr>
      <w:tr w:rsidR="00A259BD" w:rsidRPr="00A259BD" w14:paraId="04973079" w14:textId="77777777">
        <w:tc>
          <w:tcPr>
            <w:tcW w:w="378" w:type="dxa"/>
            <w:shd w:val="clear" w:color="auto" w:fill="FFFFFF"/>
          </w:tcPr>
          <w:p w14:paraId="7D3CC4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w:t>
            </w:r>
          </w:p>
        </w:tc>
        <w:tc>
          <w:tcPr>
            <w:tcW w:w="1440" w:type="dxa"/>
            <w:shd w:val="clear" w:color="auto" w:fill="FFFFFF"/>
          </w:tcPr>
          <w:p w14:paraId="1F4CFD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КР1-Юп У1</w:t>
            </w:r>
          </w:p>
        </w:tc>
        <w:tc>
          <w:tcPr>
            <w:tcW w:w="7560" w:type="dxa"/>
            <w:shd w:val="clear" w:color="auto" w:fill="FFFFFF"/>
          </w:tcPr>
          <w:p w14:paraId="67AA1F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Пулеметаая</w:t>
            </w:r>
            <w:proofErr w:type="spellEnd"/>
            <w:r w:rsidRPr="00A259BD">
              <w:rPr>
                <w:rFonts w:ascii="Times New Roman" w:hAnsi="Times New Roman"/>
                <w:color w:val="000000" w:themeColor="text1"/>
                <w:sz w:val="16"/>
                <w:szCs w:val="16"/>
              </w:rPr>
              <w:t xml:space="preserve"> установка для стрельбы через винт на два пулемета,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w:t>
            </w:r>
            <w:r w:rsidRPr="00A259BD">
              <w:rPr>
                <w:rFonts w:ascii="Times New Roman" w:hAnsi="Times New Roman"/>
                <w:color w:val="000000" w:themeColor="text1"/>
                <w:sz w:val="16"/>
                <w:szCs w:val="16"/>
              </w:rPr>
              <w:softHyphen/>
              <w:t>ка, аэронавигационное оборудование, вспомо</w:t>
            </w:r>
            <w:r w:rsidRPr="00A259BD">
              <w:rPr>
                <w:rFonts w:ascii="Times New Roman" w:hAnsi="Times New Roman"/>
                <w:color w:val="000000" w:themeColor="text1"/>
                <w:sz w:val="16"/>
                <w:szCs w:val="16"/>
              </w:rPr>
              <w:softHyphen/>
              <w:t xml:space="preserve">гательное оборудование, радиоустановка, </w:t>
            </w:r>
            <w:proofErr w:type="spellStart"/>
            <w:r w:rsidRPr="00A259BD">
              <w:rPr>
                <w:rFonts w:ascii="Times New Roman" w:hAnsi="Times New Roman"/>
                <w:color w:val="000000" w:themeColor="text1"/>
                <w:sz w:val="16"/>
                <w:szCs w:val="16"/>
              </w:rPr>
              <w:t>с"емное</w:t>
            </w:r>
            <w:proofErr w:type="spellEnd"/>
            <w:r w:rsidRPr="00A259BD">
              <w:rPr>
                <w:rFonts w:ascii="Times New Roman" w:hAnsi="Times New Roman"/>
                <w:color w:val="000000" w:themeColor="text1"/>
                <w:sz w:val="16"/>
                <w:szCs w:val="16"/>
              </w:rPr>
              <w:t xml:space="preserve"> электрооборудование, морское оборудование.</w:t>
            </w:r>
          </w:p>
        </w:tc>
      </w:tr>
      <w:tr w:rsidR="00A259BD" w:rsidRPr="00A259BD" w14:paraId="1AD07DC7" w14:textId="77777777">
        <w:tc>
          <w:tcPr>
            <w:tcW w:w="378" w:type="dxa"/>
            <w:shd w:val="clear" w:color="auto" w:fill="FFFFFF"/>
          </w:tcPr>
          <w:p w14:paraId="372B4A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w:t>
            </w:r>
          </w:p>
        </w:tc>
        <w:tc>
          <w:tcPr>
            <w:tcW w:w="1440" w:type="dxa"/>
            <w:shd w:val="clear" w:color="auto" w:fill="FFFFFF"/>
          </w:tcPr>
          <w:p w14:paraId="12E83B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МУ2-М11</w:t>
            </w:r>
          </w:p>
        </w:tc>
        <w:tc>
          <w:tcPr>
            <w:tcW w:w="7560" w:type="dxa"/>
            <w:shd w:val="clear" w:color="auto" w:fill="FFFFFF"/>
          </w:tcPr>
          <w:p w14:paraId="723C9F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Нормальное оборудование учебного самолета.</w:t>
            </w:r>
          </w:p>
        </w:tc>
      </w:tr>
      <w:tr w:rsidR="00A259BD" w:rsidRPr="00A259BD" w14:paraId="728ABD39" w14:textId="77777777">
        <w:tc>
          <w:tcPr>
            <w:tcW w:w="378" w:type="dxa"/>
            <w:shd w:val="clear" w:color="auto" w:fill="FFFFFF"/>
          </w:tcPr>
          <w:p w14:paraId="4B75E8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w:t>
            </w:r>
          </w:p>
        </w:tc>
        <w:tc>
          <w:tcPr>
            <w:tcW w:w="1440" w:type="dxa"/>
            <w:shd w:val="clear" w:color="auto" w:fill="FFFFFF"/>
          </w:tcPr>
          <w:p w14:paraId="056FD7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МУ3</w:t>
            </w:r>
          </w:p>
        </w:tc>
        <w:tc>
          <w:tcPr>
            <w:tcW w:w="7560" w:type="dxa"/>
            <w:shd w:val="clear" w:color="auto" w:fill="FFFFFF"/>
          </w:tcPr>
          <w:p w14:paraId="2EAE5F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М11</w:t>
            </w:r>
          </w:p>
        </w:tc>
      </w:tr>
      <w:tr w:rsidR="00A259BD" w:rsidRPr="00A259BD" w14:paraId="582BEE9B" w14:textId="77777777">
        <w:tc>
          <w:tcPr>
            <w:tcW w:w="378" w:type="dxa"/>
            <w:shd w:val="clear" w:color="auto" w:fill="FFFFFF"/>
          </w:tcPr>
          <w:p w14:paraId="4F8A33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w:t>
            </w:r>
          </w:p>
        </w:tc>
        <w:tc>
          <w:tcPr>
            <w:tcW w:w="1440" w:type="dxa"/>
            <w:shd w:val="clear" w:color="auto" w:fill="FFFFFF"/>
          </w:tcPr>
          <w:p w14:paraId="03D3C4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ЭР1-2БМВУ1</w:t>
            </w:r>
          </w:p>
        </w:tc>
        <w:tc>
          <w:tcPr>
            <w:tcW w:w="7560" w:type="dxa"/>
            <w:shd w:val="clear" w:color="auto" w:fill="FFFFFF"/>
          </w:tcPr>
          <w:p w14:paraId="6E373C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в п. 35 /РОМЗ-2БМВУ1/.</w:t>
            </w:r>
          </w:p>
        </w:tc>
      </w:tr>
      <w:tr w:rsidR="00A259BD" w:rsidRPr="00A259BD" w14:paraId="45704BCD" w14:textId="77777777">
        <w:tc>
          <w:tcPr>
            <w:tcW w:w="378" w:type="dxa"/>
            <w:shd w:val="clear" w:color="auto" w:fill="FFFFFF"/>
          </w:tcPr>
          <w:p w14:paraId="286DA6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w:t>
            </w:r>
          </w:p>
        </w:tc>
        <w:tc>
          <w:tcPr>
            <w:tcW w:w="1440" w:type="dxa"/>
            <w:shd w:val="clear" w:color="auto" w:fill="FFFFFF"/>
          </w:tcPr>
          <w:p w14:paraId="11A3B4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ТБОМ1-3М33</w:t>
            </w:r>
          </w:p>
        </w:tc>
        <w:tc>
          <w:tcPr>
            <w:tcW w:w="7560" w:type="dxa"/>
            <w:shd w:val="clear" w:color="auto" w:fill="FFFFFF"/>
          </w:tcPr>
          <w:p w14:paraId="504014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 же, что в п. 43 /ЭР1-2БМВУ1/• добавляются прицепные кабины для обстрела задней полусферы, оборудование для специальных грузов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w:t>
            </w:r>
          </w:p>
        </w:tc>
      </w:tr>
      <w:tr w:rsidR="00A259BD" w:rsidRPr="00A259BD" w14:paraId="22F252CA" w14:textId="77777777">
        <w:tc>
          <w:tcPr>
            <w:tcW w:w="378" w:type="dxa"/>
            <w:shd w:val="clear" w:color="auto" w:fill="FFFFFF"/>
          </w:tcPr>
          <w:p w14:paraId="0018C0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w:t>
            </w:r>
          </w:p>
        </w:tc>
        <w:tc>
          <w:tcPr>
            <w:tcW w:w="1440" w:type="dxa"/>
            <w:shd w:val="clear" w:color="auto" w:fill="FFFFFF"/>
          </w:tcPr>
          <w:p w14:paraId="50A498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РОМЗ-2БМВУ1</w:t>
            </w:r>
          </w:p>
        </w:tc>
        <w:tc>
          <w:tcPr>
            <w:tcW w:w="7560" w:type="dxa"/>
            <w:shd w:val="clear" w:color="auto" w:fill="FFFFFF"/>
          </w:tcPr>
          <w:p w14:paraId="557920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в п.35 /РОМ2-2БМВУ1/</w:t>
            </w:r>
          </w:p>
        </w:tc>
      </w:tr>
      <w:tr w:rsidR="00A259BD" w:rsidRPr="00A259BD" w14:paraId="1B523133" w14:textId="77777777">
        <w:tc>
          <w:tcPr>
            <w:tcW w:w="378" w:type="dxa"/>
            <w:shd w:val="clear" w:color="auto" w:fill="FFFFFF"/>
          </w:tcPr>
          <w:p w14:paraId="455EC5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w:t>
            </w:r>
          </w:p>
        </w:tc>
        <w:tc>
          <w:tcPr>
            <w:tcW w:w="1440" w:type="dxa"/>
            <w:shd w:val="clear" w:color="auto" w:fill="FFFFFF"/>
          </w:tcPr>
          <w:p w14:paraId="5FCDBE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РОМ4-3М34</w:t>
            </w:r>
          </w:p>
        </w:tc>
        <w:tc>
          <w:tcPr>
            <w:tcW w:w="7560" w:type="dxa"/>
            <w:shd w:val="clear" w:color="auto" w:fill="FFFFFF"/>
          </w:tcPr>
          <w:p w14:paraId="7322DB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в п.35 /РОМ2-2БМВУ1/</w:t>
            </w:r>
          </w:p>
        </w:tc>
      </w:tr>
      <w:tr w:rsidR="00A259BD" w:rsidRPr="00A259BD" w14:paraId="010C5EB0" w14:textId="77777777">
        <w:tc>
          <w:tcPr>
            <w:tcW w:w="378" w:type="dxa"/>
            <w:shd w:val="clear" w:color="auto" w:fill="FFFFFF"/>
          </w:tcPr>
          <w:p w14:paraId="3B3631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w:t>
            </w:r>
          </w:p>
        </w:tc>
        <w:tc>
          <w:tcPr>
            <w:tcW w:w="1440" w:type="dxa"/>
            <w:shd w:val="clear" w:color="auto" w:fill="FFFFFF"/>
          </w:tcPr>
          <w:p w14:paraId="291953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МР7-БМВУ1</w:t>
            </w:r>
          </w:p>
        </w:tc>
        <w:tc>
          <w:tcPr>
            <w:tcW w:w="7560" w:type="dxa"/>
            <w:shd w:val="clear" w:color="auto" w:fill="FFFFFF"/>
          </w:tcPr>
          <w:p w14:paraId="4B9DD5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 же, что в п.35 /РОМ2-2БМВУ1/</w:t>
            </w:r>
          </w:p>
        </w:tc>
      </w:tr>
      <w:tr w:rsidR="00A259BD" w:rsidRPr="00A259BD" w14:paraId="584DCCC8" w14:textId="77777777">
        <w:tc>
          <w:tcPr>
            <w:tcW w:w="378" w:type="dxa"/>
            <w:shd w:val="clear" w:color="auto" w:fill="FFFFFF"/>
          </w:tcPr>
          <w:p w14:paraId="529941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w:t>
            </w:r>
          </w:p>
        </w:tc>
        <w:tc>
          <w:tcPr>
            <w:tcW w:w="1440" w:type="dxa"/>
            <w:shd w:val="clear" w:color="auto" w:fill="FFFFFF"/>
          </w:tcPr>
          <w:p w14:paraId="5C72DB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КР2-М38</w:t>
            </w:r>
          </w:p>
        </w:tc>
        <w:tc>
          <w:tcPr>
            <w:tcW w:w="7560" w:type="dxa"/>
            <w:shd w:val="clear" w:color="auto" w:fill="FFFFFF"/>
          </w:tcPr>
          <w:p w14:paraId="3D509A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Пулеметная установка для стрельбы через винт на 2 пулемета, пулеметная </w:t>
            </w:r>
            <w:proofErr w:type="spellStart"/>
            <w:r w:rsidRPr="00A259BD">
              <w:rPr>
                <w:rFonts w:ascii="Times New Roman" w:hAnsi="Times New Roman"/>
                <w:color w:val="000000" w:themeColor="text1"/>
                <w:sz w:val="16"/>
                <w:szCs w:val="16"/>
              </w:rPr>
              <w:t>турельная</w:t>
            </w:r>
            <w:proofErr w:type="spellEnd"/>
            <w:r w:rsidRPr="00A259BD">
              <w:rPr>
                <w:rFonts w:ascii="Times New Roman" w:hAnsi="Times New Roman"/>
                <w:color w:val="000000" w:themeColor="text1"/>
                <w:sz w:val="16"/>
                <w:szCs w:val="16"/>
              </w:rPr>
              <w:t xml:space="preserve"> установ</w:t>
            </w:r>
            <w:r w:rsidRPr="00A259BD">
              <w:rPr>
                <w:rFonts w:ascii="Times New Roman" w:hAnsi="Times New Roman"/>
                <w:color w:val="000000" w:themeColor="text1"/>
                <w:sz w:val="16"/>
                <w:szCs w:val="16"/>
              </w:rPr>
              <w:softHyphen/>
              <w:t>ка, аэронавигационное оборудование, вспомога</w:t>
            </w:r>
            <w:r w:rsidRPr="00A259BD">
              <w:rPr>
                <w:rFonts w:ascii="Times New Roman" w:hAnsi="Times New Roman"/>
                <w:color w:val="000000" w:themeColor="text1"/>
                <w:sz w:val="16"/>
                <w:szCs w:val="16"/>
              </w:rPr>
              <w:softHyphen/>
              <w:t>тельное оборудование, фотоустановка, радио</w:t>
            </w:r>
            <w:r w:rsidRPr="00A259BD">
              <w:rPr>
                <w:rFonts w:ascii="Times New Roman" w:hAnsi="Times New Roman"/>
                <w:color w:val="000000" w:themeColor="text1"/>
                <w:sz w:val="16"/>
                <w:szCs w:val="16"/>
              </w:rPr>
              <w:softHyphen/>
              <w:t>установка, морское оборудование.</w:t>
            </w:r>
          </w:p>
        </w:tc>
      </w:tr>
      <w:tr w:rsidR="00A259BD" w:rsidRPr="00A259BD" w14:paraId="07F4897C" w14:textId="77777777">
        <w:tc>
          <w:tcPr>
            <w:tcW w:w="378" w:type="dxa"/>
            <w:shd w:val="clear" w:color="auto" w:fill="FFFFFF"/>
          </w:tcPr>
          <w:p w14:paraId="3BB5F9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49</w:t>
            </w:r>
          </w:p>
        </w:tc>
        <w:tc>
          <w:tcPr>
            <w:tcW w:w="1440" w:type="dxa"/>
            <w:shd w:val="clear" w:color="auto" w:fill="FFFFFF"/>
          </w:tcPr>
          <w:p w14:paraId="4F2C1D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АЛ-М37</w:t>
            </w:r>
          </w:p>
        </w:tc>
        <w:tc>
          <w:tcPr>
            <w:tcW w:w="7560" w:type="dxa"/>
            <w:shd w:val="clear" w:color="auto" w:fill="FFFFFF"/>
          </w:tcPr>
          <w:p w14:paraId="6A638B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 пулеметная </w:t>
            </w:r>
            <w:proofErr w:type="spellStart"/>
            <w:r w:rsidRPr="00A259BD">
              <w:rPr>
                <w:rFonts w:ascii="Times New Roman" w:hAnsi="Times New Roman"/>
                <w:color w:val="000000" w:themeColor="text1"/>
                <w:sz w:val="16"/>
                <w:szCs w:val="16"/>
              </w:rPr>
              <w:t>турольная</w:t>
            </w:r>
            <w:proofErr w:type="spellEnd"/>
            <w:r w:rsidRPr="00A259BD">
              <w:rPr>
                <w:rFonts w:ascii="Times New Roman" w:hAnsi="Times New Roman"/>
                <w:color w:val="000000" w:themeColor="text1"/>
                <w:sz w:val="16"/>
                <w:szCs w:val="16"/>
              </w:rPr>
              <w:t xml:space="preserve"> установка, аэрона</w:t>
            </w:r>
            <w:r w:rsidRPr="00A259BD">
              <w:rPr>
                <w:rFonts w:ascii="Times New Roman" w:hAnsi="Times New Roman"/>
                <w:color w:val="000000" w:themeColor="text1"/>
                <w:sz w:val="16"/>
                <w:szCs w:val="16"/>
              </w:rPr>
              <w:softHyphen/>
              <w:t xml:space="preserve">вигационное оборудование, вспомогательное оборудование, фотоустановка, радиоустановка, </w:t>
            </w:r>
            <w:proofErr w:type="spellStart"/>
            <w:r w:rsidRPr="00A259BD">
              <w:rPr>
                <w:rFonts w:ascii="Times New Roman" w:hAnsi="Times New Roman"/>
                <w:color w:val="000000" w:themeColor="text1"/>
                <w:sz w:val="16"/>
                <w:szCs w:val="16"/>
              </w:rPr>
              <w:t>с”емное</w:t>
            </w:r>
            <w:proofErr w:type="spellEnd"/>
            <w:r w:rsidRPr="00A259BD">
              <w:rPr>
                <w:rFonts w:ascii="Times New Roman" w:hAnsi="Times New Roman"/>
                <w:color w:val="000000" w:themeColor="text1"/>
                <w:sz w:val="16"/>
                <w:szCs w:val="16"/>
              </w:rPr>
              <w:t xml:space="preserve"> электрооборудование, речное оборудо</w:t>
            </w:r>
            <w:r w:rsidRPr="00A259BD">
              <w:rPr>
                <w:rFonts w:ascii="Times New Roman" w:hAnsi="Times New Roman"/>
                <w:color w:val="000000" w:themeColor="text1"/>
                <w:sz w:val="16"/>
                <w:szCs w:val="16"/>
              </w:rPr>
              <w:softHyphen/>
              <w:t>вание.</w:t>
            </w:r>
          </w:p>
        </w:tc>
      </w:tr>
      <w:tr w:rsidR="00A259BD" w:rsidRPr="00A259BD" w14:paraId="7ED6E0AC" w14:textId="77777777">
        <w:tc>
          <w:tcPr>
            <w:tcW w:w="378" w:type="dxa"/>
            <w:shd w:val="clear" w:color="auto" w:fill="FFFFFF"/>
          </w:tcPr>
          <w:p w14:paraId="4B4B19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tc>
        <w:tc>
          <w:tcPr>
            <w:tcW w:w="1440" w:type="dxa"/>
            <w:shd w:val="clear" w:color="auto" w:fill="FFFFFF"/>
          </w:tcPr>
          <w:p w14:paraId="1B2CEA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АТ-2М34</w:t>
            </w:r>
          </w:p>
        </w:tc>
        <w:tc>
          <w:tcPr>
            <w:tcW w:w="7560" w:type="dxa"/>
            <w:shd w:val="clear" w:color="auto" w:fill="FFFFFF"/>
          </w:tcPr>
          <w:p w14:paraId="251A59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 же, что в п. 49 /АЛ-М37/, но две пулеметных </w:t>
            </w:r>
            <w:proofErr w:type="spellStart"/>
            <w:r w:rsidRPr="00A259BD">
              <w:rPr>
                <w:rFonts w:ascii="Times New Roman" w:hAnsi="Times New Roman"/>
                <w:color w:val="000000" w:themeColor="text1"/>
                <w:sz w:val="16"/>
                <w:szCs w:val="16"/>
              </w:rPr>
              <w:t>турельньх</w:t>
            </w:r>
            <w:proofErr w:type="spellEnd"/>
            <w:r w:rsidRPr="00A259BD">
              <w:rPr>
                <w:rFonts w:ascii="Times New Roman" w:hAnsi="Times New Roman"/>
                <w:color w:val="000000" w:themeColor="text1"/>
                <w:sz w:val="16"/>
                <w:szCs w:val="16"/>
              </w:rPr>
              <w:t xml:space="preserve"> установки, морское оборудование.</w:t>
            </w:r>
          </w:p>
        </w:tc>
      </w:tr>
      <w:tr w:rsidR="00A259BD" w:rsidRPr="00A259BD" w14:paraId="4A5F17B6" w14:textId="77777777">
        <w:tc>
          <w:tcPr>
            <w:tcW w:w="378" w:type="dxa"/>
            <w:shd w:val="clear" w:color="auto" w:fill="FFFFFF"/>
          </w:tcPr>
          <w:p w14:paraId="147612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w:t>
            </w:r>
          </w:p>
        </w:tc>
        <w:tc>
          <w:tcPr>
            <w:tcW w:w="1440" w:type="dxa"/>
            <w:shd w:val="clear" w:color="auto" w:fill="FFFFFF"/>
          </w:tcPr>
          <w:p w14:paraId="10C301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МК1-3М33</w:t>
            </w:r>
          </w:p>
        </w:tc>
        <w:tc>
          <w:tcPr>
            <w:tcW w:w="7560" w:type="dxa"/>
            <w:shd w:val="clear" w:color="auto" w:fill="FFFFFF"/>
          </w:tcPr>
          <w:p w14:paraId="242213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Две пулеметных </w:t>
            </w:r>
            <w:proofErr w:type="spellStart"/>
            <w:r w:rsidRPr="00A259BD">
              <w:rPr>
                <w:rFonts w:ascii="Times New Roman" w:hAnsi="Times New Roman"/>
                <w:color w:val="000000" w:themeColor="text1"/>
                <w:sz w:val="16"/>
                <w:szCs w:val="16"/>
              </w:rPr>
              <w:t>турельные</w:t>
            </w:r>
            <w:proofErr w:type="spellEnd"/>
            <w:r w:rsidRPr="00A259BD">
              <w:rPr>
                <w:rFonts w:ascii="Times New Roman" w:hAnsi="Times New Roman"/>
                <w:color w:val="000000" w:themeColor="text1"/>
                <w:sz w:val="16"/>
                <w:szCs w:val="16"/>
              </w:rPr>
              <w:t xml:space="preserve"> установки, прицеп</w:t>
            </w:r>
            <w:r w:rsidRPr="00A259BD">
              <w:rPr>
                <w:rFonts w:ascii="Times New Roman" w:hAnsi="Times New Roman"/>
                <w:color w:val="000000" w:themeColor="text1"/>
                <w:sz w:val="16"/>
                <w:szCs w:val="16"/>
              </w:rPr>
              <w:softHyphen/>
              <w:t xml:space="preserve">ные </w:t>
            </w:r>
            <w:proofErr w:type="spellStart"/>
            <w:r w:rsidRPr="00A259BD">
              <w:rPr>
                <w:rFonts w:ascii="Times New Roman" w:hAnsi="Times New Roman"/>
                <w:color w:val="000000" w:themeColor="text1"/>
                <w:sz w:val="16"/>
                <w:szCs w:val="16"/>
              </w:rPr>
              <w:t>кабинк</w:t>
            </w:r>
            <w:proofErr w:type="spellEnd"/>
            <w:r w:rsidRPr="00A259BD">
              <w:rPr>
                <w:rFonts w:ascii="Times New Roman" w:hAnsi="Times New Roman"/>
                <w:color w:val="000000" w:themeColor="text1"/>
                <w:sz w:val="16"/>
                <w:szCs w:val="16"/>
              </w:rPr>
              <w:t xml:space="preserve"> для обстрела задней полусферы, бомбардировочное оборудование для тяжелых бомб, установка для подкрыльных факелов и с </w:t>
            </w:r>
            <w:proofErr w:type="spellStart"/>
            <w:r w:rsidRPr="00A259BD">
              <w:rPr>
                <w:rFonts w:ascii="Times New Roman" w:hAnsi="Times New Roman"/>
                <w:color w:val="000000" w:themeColor="text1"/>
                <w:sz w:val="16"/>
                <w:szCs w:val="16"/>
              </w:rPr>
              <w:t>тясрх</w:t>
            </w:r>
            <w:proofErr w:type="spellEnd"/>
            <w:r w:rsidRPr="00A259BD">
              <w:rPr>
                <w:rFonts w:ascii="Times New Roman" w:hAnsi="Times New Roman"/>
                <w:color w:val="000000" w:themeColor="text1"/>
                <w:sz w:val="16"/>
                <w:szCs w:val="16"/>
              </w:rPr>
              <w:t xml:space="preserve"> бомб, </w:t>
            </w:r>
            <w:r w:rsidRPr="00A259BD">
              <w:rPr>
                <w:rFonts w:ascii="Times New Roman" w:hAnsi="Times New Roman"/>
                <w:color w:val="000000" w:themeColor="text1"/>
                <w:sz w:val="16"/>
                <w:szCs w:val="16"/>
              </w:rPr>
              <w:lastRenderedPageBreak/>
              <w:t xml:space="preserve">аэронавигационное оборудование, вспомогательное оборудование, фотоустановка, радиоустановка, </w:t>
            </w:r>
            <w:proofErr w:type="spellStart"/>
            <w:r w:rsidRPr="00A259BD">
              <w:rPr>
                <w:rFonts w:ascii="Times New Roman" w:hAnsi="Times New Roman"/>
                <w:color w:val="000000" w:themeColor="text1"/>
                <w:sz w:val="16"/>
                <w:szCs w:val="16"/>
              </w:rPr>
              <w:t>с"емное</w:t>
            </w:r>
            <w:proofErr w:type="spellEnd"/>
            <w:r w:rsidRPr="00A259BD">
              <w:rPr>
                <w:rFonts w:ascii="Times New Roman" w:hAnsi="Times New Roman"/>
                <w:color w:val="000000" w:themeColor="text1"/>
                <w:sz w:val="16"/>
                <w:szCs w:val="16"/>
              </w:rPr>
              <w:t xml:space="preserve"> электрооборудование, </w:t>
            </w:r>
            <w:proofErr w:type="spellStart"/>
            <w:r w:rsidRPr="00A259BD">
              <w:rPr>
                <w:rFonts w:ascii="Times New Roman" w:hAnsi="Times New Roman"/>
                <w:color w:val="000000" w:themeColor="text1"/>
                <w:sz w:val="16"/>
                <w:szCs w:val="16"/>
              </w:rPr>
              <w:t>морскоэ</w:t>
            </w:r>
            <w:proofErr w:type="spellEnd"/>
            <w:r w:rsidRPr="00A259BD">
              <w:rPr>
                <w:rFonts w:ascii="Times New Roman" w:hAnsi="Times New Roman"/>
                <w:color w:val="000000" w:themeColor="text1"/>
                <w:sz w:val="16"/>
                <w:szCs w:val="16"/>
              </w:rPr>
              <w:t xml:space="preserve"> оборудование, аварийное приспособление</w:t>
            </w:r>
          </w:p>
        </w:tc>
      </w:tr>
      <w:tr w:rsidR="00A259BD" w:rsidRPr="00A259BD" w14:paraId="68770311" w14:textId="77777777">
        <w:tc>
          <w:tcPr>
            <w:tcW w:w="378" w:type="dxa"/>
            <w:shd w:val="clear" w:color="auto" w:fill="FFFFFF"/>
          </w:tcPr>
          <w:p w14:paraId="3D1D72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52</w:t>
            </w:r>
          </w:p>
        </w:tc>
        <w:tc>
          <w:tcPr>
            <w:tcW w:w="1440" w:type="dxa"/>
            <w:shd w:val="clear" w:color="auto" w:fill="FFFFFF"/>
          </w:tcPr>
          <w:p w14:paraId="2DB849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МР5</w:t>
            </w:r>
          </w:p>
        </w:tc>
        <w:tc>
          <w:tcPr>
            <w:tcW w:w="7560" w:type="dxa"/>
            <w:shd w:val="clear" w:color="auto" w:fill="FFFFFF"/>
          </w:tcPr>
          <w:p w14:paraId="11EA66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БМВУ1</w:t>
            </w:r>
          </w:p>
        </w:tc>
      </w:tr>
      <w:tr w:rsidR="00A259BD" w:rsidRPr="00A259BD" w14:paraId="75C23058" w14:textId="77777777">
        <w:tc>
          <w:tcPr>
            <w:tcW w:w="378" w:type="dxa"/>
            <w:shd w:val="clear" w:color="auto" w:fill="FFFFFF"/>
          </w:tcPr>
          <w:p w14:paraId="38BD84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w:t>
            </w:r>
          </w:p>
        </w:tc>
        <w:tc>
          <w:tcPr>
            <w:tcW w:w="1440" w:type="dxa"/>
            <w:shd w:val="clear" w:color="auto" w:fill="FFFFFF"/>
          </w:tcPr>
          <w:p w14:paraId="5988A7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МК2-2М35</w:t>
            </w:r>
          </w:p>
        </w:tc>
        <w:tc>
          <w:tcPr>
            <w:tcW w:w="7560" w:type="dxa"/>
            <w:shd w:val="clear" w:color="auto" w:fill="FFFFFF"/>
          </w:tcPr>
          <w:p w14:paraId="6A91C8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Тоже, что в п.51 /МК1-3М33/.</w:t>
            </w:r>
          </w:p>
        </w:tc>
      </w:tr>
      <w:tr w:rsidR="00A259BD" w:rsidRPr="00A259BD" w14:paraId="1200306E" w14:textId="77777777">
        <w:tc>
          <w:tcPr>
            <w:tcW w:w="378" w:type="dxa"/>
            <w:shd w:val="clear" w:color="auto" w:fill="FFFFFF"/>
          </w:tcPr>
          <w:p w14:paraId="35C595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54</w:t>
            </w:r>
          </w:p>
        </w:tc>
        <w:tc>
          <w:tcPr>
            <w:tcW w:w="1440" w:type="dxa"/>
            <w:shd w:val="clear" w:color="auto" w:fill="FFFFFF"/>
          </w:tcPr>
          <w:p w14:paraId="780EFB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ПР7-ВМВУ1</w:t>
            </w:r>
          </w:p>
        </w:tc>
        <w:tc>
          <w:tcPr>
            <w:tcW w:w="7560" w:type="dxa"/>
            <w:shd w:val="clear" w:color="auto" w:fill="FFFFFF"/>
          </w:tcPr>
          <w:p w14:paraId="71D84C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Тоже, что в п.17 /Р7-БМВУ1/.</w:t>
            </w:r>
          </w:p>
        </w:tc>
      </w:tr>
      <w:tr w:rsidR="00A259BD" w:rsidRPr="00A259BD" w14:paraId="309EFFA5" w14:textId="77777777">
        <w:tc>
          <w:tcPr>
            <w:tcW w:w="378" w:type="dxa"/>
            <w:shd w:val="clear" w:color="auto" w:fill="FFFFFF"/>
          </w:tcPr>
          <w:p w14:paraId="2C4E96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w:t>
            </w:r>
          </w:p>
        </w:tc>
        <w:tc>
          <w:tcPr>
            <w:tcW w:w="1440" w:type="dxa"/>
            <w:shd w:val="clear" w:color="auto" w:fill="FFFFFF"/>
          </w:tcPr>
          <w:p w14:paraId="5DE2ED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ПИ3-БМВУ1</w:t>
            </w:r>
          </w:p>
        </w:tc>
        <w:tc>
          <w:tcPr>
            <w:tcW w:w="7560" w:type="dxa"/>
            <w:shd w:val="clear" w:color="auto" w:fill="FFFFFF"/>
          </w:tcPr>
          <w:p w14:paraId="65BA21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Тоже, что в п.1 /И6-Юп У1/.</w:t>
            </w:r>
          </w:p>
        </w:tc>
      </w:tr>
      <w:tr w:rsidR="00A259BD" w:rsidRPr="00A259BD" w14:paraId="0BFF0F22" w14:textId="77777777">
        <w:tc>
          <w:tcPr>
            <w:tcW w:w="378" w:type="dxa"/>
            <w:tcBorders>
              <w:bottom w:val="single" w:sz="12" w:space="0" w:color="auto"/>
            </w:tcBorders>
            <w:shd w:val="clear" w:color="auto" w:fill="FFFFFF"/>
          </w:tcPr>
          <w:p w14:paraId="5EC237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w:t>
            </w:r>
          </w:p>
        </w:tc>
        <w:tc>
          <w:tcPr>
            <w:tcW w:w="1440" w:type="dxa"/>
            <w:tcBorders>
              <w:bottom w:val="single" w:sz="12" w:space="0" w:color="auto"/>
            </w:tcBorders>
            <w:shd w:val="clear" w:color="auto" w:fill="FFFFFF"/>
          </w:tcPr>
          <w:p w14:paraId="5BD367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ПИ4-Юп У1</w:t>
            </w:r>
          </w:p>
        </w:tc>
        <w:tc>
          <w:tcPr>
            <w:tcW w:w="7560" w:type="dxa"/>
            <w:tcBorders>
              <w:bottom w:val="single" w:sz="12" w:space="0" w:color="auto"/>
            </w:tcBorders>
            <w:shd w:val="clear" w:color="auto" w:fill="FFFFFF"/>
          </w:tcPr>
          <w:p w14:paraId="582E87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Тоже, что в п.2 /И4-Юп У1/ (351).</w:t>
            </w:r>
          </w:p>
        </w:tc>
      </w:tr>
    </w:tbl>
    <w:p w14:paraId="52F43A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ОБЪЯСНИТЕЛЬНАЯ ЗАПИСКА К ПЕРЕЧНЮ ПРЕДМЕТОВ ВООРУЖЕНИЯ, ВЫПОЛНЯЕМЫХ В ТЕЧЕНИЕ ПЯТИЛЕТИЯ И ПРЕДНАЗНАЧЕННЫХ К МОНТИРОВКЕ НА САМОЛЕТЫ НЫНЕ НАХОДЯЩТЕСЯ В СТРОЮ И НЕ ВОШЕДШИХ В ПЯТИЛЕТНИЙ ПЛАН ОПЫТНОГО СТРОИТЕЛЬСТВА ПО САМОЛЕТОСТРОЕНИЮ</w:t>
      </w:r>
    </w:p>
    <w:p w14:paraId="7E85A36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Установка пулеметов для стрельбы. через винт 861-862</w:t>
      </w:r>
    </w:p>
    <w:p w14:paraId="67DAE30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На истребители устанавливаются пулеметы ПВ1, введенные на </w:t>
      </w:r>
      <w:proofErr w:type="spellStart"/>
      <w:r w:rsidRPr="00A259BD">
        <w:rPr>
          <w:rFonts w:ascii="Times New Roman" w:hAnsi="Times New Roman"/>
          <w:color w:val="000000" w:themeColor="text1"/>
          <w:sz w:val="16"/>
          <w:szCs w:val="16"/>
        </w:rPr>
        <w:t>воооужение</w:t>
      </w:r>
      <w:proofErr w:type="spellEnd"/>
      <w:r w:rsidRPr="00A259BD">
        <w:rPr>
          <w:rFonts w:ascii="Times New Roman" w:hAnsi="Times New Roman"/>
          <w:color w:val="000000" w:themeColor="text1"/>
          <w:sz w:val="16"/>
          <w:szCs w:val="16"/>
        </w:rPr>
        <w:t xml:space="preserve"> в 1928 году, но которые” в силу перегруженности п/</w:t>
      </w:r>
      <w:proofErr w:type="spellStart"/>
      <w:r w:rsidRPr="00A259BD">
        <w:rPr>
          <w:rFonts w:ascii="Times New Roman" w:hAnsi="Times New Roman"/>
          <w:color w:val="000000" w:themeColor="text1"/>
          <w:sz w:val="16"/>
          <w:szCs w:val="16"/>
        </w:rPr>
        <w:t>отдеда</w:t>
      </w:r>
      <w:proofErr w:type="spellEnd"/>
      <w:r w:rsidRPr="00A259BD">
        <w:rPr>
          <w:rFonts w:ascii="Times New Roman" w:hAnsi="Times New Roman"/>
          <w:color w:val="000000" w:themeColor="text1"/>
          <w:sz w:val="16"/>
          <w:szCs w:val="16"/>
        </w:rPr>
        <w:t xml:space="preserve"> вооружения завода № 25 не могли быть ранее установлены на упомянутые </w:t>
      </w:r>
      <w:proofErr w:type="spellStart"/>
      <w:r w:rsidRPr="00A259BD">
        <w:rPr>
          <w:rFonts w:ascii="Times New Roman" w:hAnsi="Times New Roman"/>
          <w:color w:val="000000" w:themeColor="text1"/>
          <w:sz w:val="16"/>
          <w:szCs w:val="16"/>
        </w:rPr>
        <w:t>типысамолете</w:t>
      </w:r>
      <w:proofErr w:type="spellEnd"/>
      <w:r w:rsidRPr="00A259BD">
        <w:rPr>
          <w:rFonts w:ascii="Times New Roman" w:hAnsi="Times New Roman"/>
          <w:color w:val="000000" w:themeColor="text1"/>
          <w:sz w:val="16"/>
          <w:szCs w:val="16"/>
        </w:rPr>
        <w:t xml:space="preserve">. Кроме того, в целях </w:t>
      </w:r>
      <w:proofErr w:type="spellStart"/>
      <w:r w:rsidRPr="00A259BD">
        <w:rPr>
          <w:rFonts w:ascii="Times New Roman" w:hAnsi="Times New Roman"/>
          <w:color w:val="000000" w:themeColor="text1"/>
          <w:sz w:val="16"/>
          <w:szCs w:val="16"/>
        </w:rPr>
        <w:t>улучшеия</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эксплоатации</w:t>
      </w:r>
      <w:proofErr w:type="spellEnd"/>
      <w:r w:rsidRPr="00A259BD">
        <w:rPr>
          <w:rFonts w:ascii="Times New Roman" w:hAnsi="Times New Roman"/>
          <w:color w:val="000000" w:themeColor="text1"/>
          <w:sz w:val="16"/>
          <w:szCs w:val="16"/>
        </w:rPr>
        <w:t>, пулеметы устанавливаются с разными приемниками (правым и левым).</w:t>
      </w:r>
    </w:p>
    <w:p w14:paraId="5343CB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Ввиду необходимости использования гражданских самолетов для военных целей, на последние </w:t>
      </w:r>
      <w:proofErr w:type="spellStart"/>
      <w:r w:rsidRPr="00A259BD">
        <w:rPr>
          <w:rFonts w:ascii="Times New Roman" w:hAnsi="Times New Roman"/>
          <w:color w:val="000000" w:themeColor="text1"/>
          <w:sz w:val="16"/>
          <w:szCs w:val="16"/>
        </w:rPr>
        <w:t>предусмотривается</w:t>
      </w:r>
      <w:proofErr w:type="spellEnd"/>
      <w:r w:rsidRPr="00A259BD">
        <w:rPr>
          <w:rFonts w:ascii="Times New Roman" w:hAnsi="Times New Roman"/>
          <w:color w:val="000000" w:themeColor="text1"/>
          <w:sz w:val="16"/>
          <w:szCs w:val="16"/>
        </w:rPr>
        <w:t xml:space="preserve"> установка пулеметов для стрельбы через винт. В данном случае; предположено отправить два гражданских </w:t>
      </w:r>
      <w:proofErr w:type="spellStart"/>
      <w:r w:rsidRPr="00A259BD">
        <w:rPr>
          <w:rFonts w:ascii="Times New Roman" w:hAnsi="Times New Roman"/>
          <w:color w:val="000000" w:themeColor="text1"/>
          <w:sz w:val="16"/>
          <w:szCs w:val="16"/>
        </w:rPr>
        <w:t>самелота</w:t>
      </w:r>
      <w:proofErr w:type="spellEnd"/>
      <w:r w:rsidRPr="00A259BD">
        <w:rPr>
          <w:rFonts w:ascii="Times New Roman" w:hAnsi="Times New Roman"/>
          <w:color w:val="000000" w:themeColor="text1"/>
          <w:sz w:val="16"/>
          <w:szCs w:val="16"/>
        </w:rPr>
        <w:t xml:space="preserve"> К5 и К6 на заводы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для монтировки на них по одному пулемету для стрельбу через винт. </w:t>
      </w:r>
      <w:proofErr w:type="spellStart"/>
      <w:r w:rsidRPr="00A259BD">
        <w:rPr>
          <w:rFonts w:ascii="Times New Roman" w:hAnsi="Times New Roman"/>
          <w:color w:val="000000" w:themeColor="text1"/>
          <w:sz w:val="16"/>
          <w:szCs w:val="16"/>
        </w:rPr>
        <w:t>Сообщнные</w:t>
      </w:r>
      <w:proofErr w:type="spellEnd"/>
      <w:r w:rsidRPr="00A259BD">
        <w:rPr>
          <w:rFonts w:ascii="Times New Roman" w:hAnsi="Times New Roman"/>
          <w:color w:val="000000" w:themeColor="text1"/>
          <w:sz w:val="16"/>
          <w:szCs w:val="16"/>
        </w:rPr>
        <w:t xml:space="preserve"> самолетостроительному </w:t>
      </w:r>
      <w:proofErr w:type="spellStart"/>
      <w:r w:rsidRPr="00A259BD">
        <w:rPr>
          <w:rFonts w:ascii="Times New Roman" w:hAnsi="Times New Roman"/>
          <w:color w:val="000000" w:themeColor="text1"/>
          <w:sz w:val="16"/>
          <w:szCs w:val="16"/>
        </w:rPr>
        <w:t>эаводу</w:t>
      </w:r>
      <w:proofErr w:type="spellEnd"/>
      <w:r w:rsidRPr="00A259BD">
        <w:rPr>
          <w:rFonts w:ascii="Times New Roman" w:hAnsi="Times New Roman"/>
          <w:color w:val="000000" w:themeColor="text1"/>
          <w:sz w:val="16"/>
          <w:szCs w:val="16"/>
        </w:rPr>
        <w:t xml:space="preserve"> чертежи установки обеспечат, в случае </w:t>
      </w:r>
      <w:proofErr w:type="spellStart"/>
      <w:r w:rsidRPr="00A259BD">
        <w:rPr>
          <w:rFonts w:ascii="Times New Roman" w:hAnsi="Times New Roman"/>
          <w:color w:val="000000" w:themeColor="text1"/>
          <w:sz w:val="16"/>
          <w:szCs w:val="16"/>
        </w:rPr>
        <w:t>необходимост</w:t>
      </w:r>
      <w:proofErr w:type="spellEnd"/>
      <w:r w:rsidRPr="00A259BD">
        <w:rPr>
          <w:rFonts w:ascii="Times New Roman" w:hAnsi="Times New Roman"/>
          <w:color w:val="000000" w:themeColor="text1"/>
          <w:sz w:val="16"/>
          <w:szCs w:val="16"/>
        </w:rPr>
        <w:t xml:space="preserve">, получение этих гражданских самолетов, </w:t>
      </w:r>
      <w:proofErr w:type="spellStart"/>
      <w:r w:rsidRPr="00A259BD">
        <w:rPr>
          <w:rFonts w:ascii="Times New Roman" w:hAnsi="Times New Roman"/>
          <w:color w:val="000000" w:themeColor="text1"/>
          <w:sz w:val="16"/>
          <w:szCs w:val="16"/>
        </w:rPr>
        <w:t>могуцих</w:t>
      </w:r>
      <w:proofErr w:type="spellEnd"/>
      <w:r w:rsidRPr="00A259BD">
        <w:rPr>
          <w:rFonts w:ascii="Times New Roman" w:hAnsi="Times New Roman"/>
          <w:color w:val="000000" w:themeColor="text1"/>
          <w:sz w:val="16"/>
          <w:szCs w:val="16"/>
        </w:rPr>
        <w:t xml:space="preserve"> быть использованными в качестве легких бомбардировщиков, с установленным вооружением и как дальше будет видно и с </w:t>
      </w:r>
      <w:proofErr w:type="spellStart"/>
      <w:r w:rsidRPr="00A259BD">
        <w:rPr>
          <w:rFonts w:ascii="Times New Roman" w:hAnsi="Times New Roman"/>
          <w:color w:val="000000" w:themeColor="text1"/>
          <w:sz w:val="16"/>
          <w:szCs w:val="16"/>
        </w:rPr>
        <w:t>соответствущим</w:t>
      </w:r>
      <w:proofErr w:type="spellEnd"/>
      <w:r w:rsidRPr="00A259BD">
        <w:rPr>
          <w:rFonts w:ascii="Times New Roman" w:hAnsi="Times New Roman"/>
          <w:color w:val="000000" w:themeColor="text1"/>
          <w:sz w:val="16"/>
          <w:szCs w:val="16"/>
        </w:rPr>
        <w:t xml:space="preserve"> бомбардировочным оборудованием</w:t>
      </w:r>
    </w:p>
    <w:p w14:paraId="6ADA06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Вооружение самолета Хейнкеля вызывается обстоятельствами получения этого типа самолетов из-за границы в невооруженном состоянии.</w:t>
      </w:r>
    </w:p>
    <w:p w14:paraId="4936A2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Установка пулеметов на крыльях самолета - 863-870</w:t>
      </w:r>
    </w:p>
    <w:p w14:paraId="4FF2B3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Работа эта вызывается необходимостью иметь истребителей </w:t>
      </w:r>
      <w:proofErr w:type="spellStart"/>
      <w:r w:rsidRPr="00A259BD">
        <w:rPr>
          <w:rFonts w:ascii="Times New Roman" w:hAnsi="Times New Roman"/>
          <w:color w:val="000000" w:themeColor="text1"/>
          <w:sz w:val="16"/>
          <w:szCs w:val="16"/>
        </w:rPr>
        <w:t>иразведчиков</w:t>
      </w:r>
      <w:proofErr w:type="spellEnd"/>
      <w:r w:rsidRPr="00A259BD">
        <w:rPr>
          <w:rFonts w:ascii="Times New Roman" w:hAnsi="Times New Roman"/>
          <w:color w:val="000000" w:themeColor="text1"/>
          <w:sz w:val="16"/>
          <w:szCs w:val="16"/>
        </w:rPr>
        <w:t>, могущих выполнять роль штурмовиков.</w:t>
      </w:r>
    </w:p>
    <w:p w14:paraId="2CD158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Установка турелей 871-880</w:t>
      </w:r>
    </w:p>
    <w:p w14:paraId="762B270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Турели устанавливаются на самолеты, кои до </w:t>
      </w:r>
      <w:proofErr w:type="spellStart"/>
      <w:r w:rsidRPr="00A259BD">
        <w:rPr>
          <w:rFonts w:ascii="Times New Roman" w:hAnsi="Times New Roman"/>
          <w:color w:val="000000" w:themeColor="text1"/>
          <w:sz w:val="16"/>
          <w:szCs w:val="16"/>
        </w:rPr>
        <w:t>сихг</w:t>
      </w:r>
      <w:proofErr w:type="spellEnd"/>
      <w:r w:rsidRPr="00A259BD">
        <w:rPr>
          <w:rFonts w:ascii="Times New Roman" w:hAnsi="Times New Roman"/>
          <w:color w:val="000000" w:themeColor="text1"/>
          <w:sz w:val="16"/>
          <w:szCs w:val="16"/>
        </w:rPr>
        <w:t xml:space="preserve"> пор не имели, а также на самолеты, на которых были установлены турели старых образцов.</w:t>
      </w:r>
    </w:p>
    <w:p w14:paraId="708669D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На гражданские самолеты в силу высказанных ранее соображений.</w:t>
      </w:r>
    </w:p>
    <w:p w14:paraId="6F96BBC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Установка ДЕР 9 - 881-901</w:t>
      </w:r>
    </w:p>
    <w:p w14:paraId="04AE08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Кассетный держатель для средних бомб - Дер.9 принят на вооружение в 1929 и устанавливается на те самолеты, которые им должны быть вооружены и на опытные и гражданские самолеты в силу ранее изложенных соображений.</w:t>
      </w:r>
    </w:p>
    <w:p w14:paraId="2380369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Монтировка Дер 9 в начале 1930 г. </w:t>
      </w:r>
      <w:proofErr w:type="spellStart"/>
      <w:r w:rsidRPr="00A259BD">
        <w:rPr>
          <w:rFonts w:ascii="Times New Roman" w:hAnsi="Times New Roman"/>
          <w:color w:val="000000" w:themeColor="text1"/>
          <w:sz w:val="16"/>
          <w:szCs w:val="16"/>
        </w:rPr>
        <w:t>об”ясняется</w:t>
      </w:r>
      <w:proofErr w:type="spellEnd"/>
      <w:r w:rsidRPr="00A259BD">
        <w:rPr>
          <w:rFonts w:ascii="Times New Roman" w:hAnsi="Times New Roman"/>
          <w:color w:val="000000" w:themeColor="text1"/>
          <w:sz w:val="16"/>
          <w:szCs w:val="16"/>
        </w:rPr>
        <w:t>:</w:t>
      </w:r>
    </w:p>
    <w:p w14:paraId="08BA9AB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w:t>
      </w:r>
      <w:proofErr w:type="spellStart"/>
      <w:r w:rsidRPr="00A259BD">
        <w:rPr>
          <w:rFonts w:ascii="Times New Roman" w:hAnsi="Times New Roman"/>
          <w:color w:val="000000" w:themeColor="text1"/>
          <w:sz w:val="16"/>
          <w:szCs w:val="16"/>
        </w:rPr>
        <w:t>неокончаниеи</w:t>
      </w:r>
      <w:proofErr w:type="spellEnd"/>
      <w:r w:rsidRPr="00A259BD">
        <w:rPr>
          <w:rFonts w:ascii="Times New Roman" w:hAnsi="Times New Roman"/>
          <w:color w:val="000000" w:themeColor="text1"/>
          <w:sz w:val="16"/>
          <w:szCs w:val="16"/>
        </w:rPr>
        <w:t xml:space="preserve"> испытаний</w:t>
      </w:r>
    </w:p>
    <w:p w14:paraId="79CF2F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перегруженностью завода № 25 и</w:t>
      </w:r>
    </w:p>
    <w:p w14:paraId="1C67086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и необходимостью модифицировать его применительно к типу самолета.</w:t>
      </w:r>
    </w:p>
    <w:p w14:paraId="37BB223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Установка бомбодержателей для 250 кг бомб 902-908</w:t>
      </w:r>
    </w:p>
    <w:p w14:paraId="211CE2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Бомбодержатель для 250 кг. бомб введен на вооружение в 1929 г. и те же соображения, приведенные предыдущем пункте, заставляют их устанавливать на самолета лишь в начале 1930 года.</w:t>
      </w:r>
    </w:p>
    <w:p w14:paraId="6C3334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Установка бомбодержателей для 500 кг бомб, 1000 кг и 2000 кг бомб 909-919</w:t>
      </w:r>
    </w:p>
    <w:p w14:paraId="03614D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Будут установлены но </w:t>
      </w:r>
      <w:proofErr w:type="spellStart"/>
      <w:r w:rsidRPr="00A259BD">
        <w:rPr>
          <w:rFonts w:ascii="Times New Roman" w:hAnsi="Times New Roman"/>
          <w:color w:val="000000" w:themeColor="text1"/>
          <w:sz w:val="16"/>
          <w:szCs w:val="16"/>
        </w:rPr>
        <w:t>самолети</w:t>
      </w:r>
      <w:proofErr w:type="spellEnd"/>
      <w:r w:rsidRPr="00A259BD">
        <w:rPr>
          <w:rFonts w:ascii="Times New Roman" w:hAnsi="Times New Roman"/>
          <w:color w:val="000000" w:themeColor="text1"/>
          <w:sz w:val="16"/>
          <w:szCs w:val="16"/>
        </w:rPr>
        <w:t xml:space="preserve"> ЮГ1, ТБ-1 и ТБ2, на которое это оборудо</w:t>
      </w:r>
      <w:r w:rsidRPr="00A259BD">
        <w:rPr>
          <w:rFonts w:ascii="Times New Roman" w:hAnsi="Times New Roman"/>
          <w:color w:val="000000" w:themeColor="text1"/>
          <w:sz w:val="16"/>
          <w:szCs w:val="16"/>
        </w:rPr>
        <w:softHyphen/>
        <w:t>вание ранее не будет установлено.</w:t>
      </w:r>
    </w:p>
    <w:p w14:paraId="46F9A6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Монтировка на самолеты будет производиться после предварительных испытаний на земле в соответствии со сроками, указанными в плане</w:t>
      </w:r>
    </w:p>
    <w:p w14:paraId="726C8A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Устновка</w:t>
      </w:r>
      <w:proofErr w:type="spellEnd"/>
      <w:r w:rsidRPr="00A259BD">
        <w:rPr>
          <w:rFonts w:ascii="Times New Roman" w:hAnsi="Times New Roman"/>
          <w:color w:val="000000" w:themeColor="text1"/>
          <w:sz w:val="16"/>
          <w:szCs w:val="16"/>
        </w:rPr>
        <w:t xml:space="preserve"> бомбодержателей для 2 кг и 8-10 кг бомб 920-931</w:t>
      </w:r>
      <w:r w:rsidRPr="00A259BD">
        <w:rPr>
          <w:rFonts w:ascii="Times New Roman" w:hAnsi="Times New Roman"/>
          <w:smallCaps/>
          <w:color w:val="000000" w:themeColor="text1"/>
          <w:sz w:val="16"/>
          <w:szCs w:val="16"/>
        </w:rPr>
        <w:t>.</w:t>
      </w:r>
    </w:p>
    <w:p w14:paraId="48FF68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Предназначаются дня установки на истребители и разведчики и </w:t>
      </w:r>
      <w:proofErr w:type="spellStart"/>
      <w:r w:rsidRPr="00A259BD">
        <w:rPr>
          <w:rFonts w:ascii="Times New Roman" w:hAnsi="Times New Roman"/>
          <w:color w:val="000000" w:themeColor="text1"/>
          <w:sz w:val="16"/>
          <w:szCs w:val="16"/>
        </w:rPr>
        <w:t>воспомогательные</w:t>
      </w:r>
      <w:proofErr w:type="spellEnd"/>
      <w:r w:rsidRPr="00A259BD">
        <w:rPr>
          <w:rFonts w:ascii="Times New Roman" w:hAnsi="Times New Roman"/>
          <w:color w:val="000000" w:themeColor="text1"/>
          <w:sz w:val="16"/>
          <w:szCs w:val="16"/>
        </w:rPr>
        <w:t xml:space="preserve"> самолеты. Устанавливается на </w:t>
      </w:r>
      <w:proofErr w:type="spellStart"/>
      <w:r w:rsidRPr="00A259BD">
        <w:rPr>
          <w:rFonts w:ascii="Times New Roman" w:hAnsi="Times New Roman"/>
          <w:color w:val="000000" w:themeColor="text1"/>
          <w:sz w:val="16"/>
          <w:szCs w:val="16"/>
        </w:rPr>
        <w:t>самолето</w:t>
      </w:r>
      <w:proofErr w:type="spellEnd"/>
      <w:r w:rsidRPr="00A259BD">
        <w:rPr>
          <w:rFonts w:ascii="Times New Roman" w:hAnsi="Times New Roman"/>
          <w:color w:val="000000" w:themeColor="text1"/>
          <w:sz w:val="16"/>
          <w:szCs w:val="16"/>
        </w:rPr>
        <w:t xml:space="preserve"> по</w:t>
      </w:r>
      <w:r w:rsidRPr="00A259BD">
        <w:rPr>
          <w:rFonts w:ascii="Times New Roman" w:hAnsi="Times New Roman"/>
          <w:color w:val="000000" w:themeColor="text1"/>
          <w:sz w:val="16"/>
          <w:szCs w:val="16"/>
        </w:rPr>
        <w:softHyphen/>
        <w:t xml:space="preserve">сле </w:t>
      </w:r>
      <w:proofErr w:type="spellStart"/>
      <w:r w:rsidRPr="00A259BD">
        <w:rPr>
          <w:rFonts w:ascii="Times New Roman" w:hAnsi="Times New Roman"/>
          <w:color w:val="000000" w:themeColor="text1"/>
          <w:sz w:val="16"/>
          <w:szCs w:val="16"/>
        </w:rPr>
        <w:t>испытанияопытного</w:t>
      </w:r>
      <w:proofErr w:type="spellEnd"/>
      <w:r w:rsidRPr="00A259BD">
        <w:rPr>
          <w:rFonts w:ascii="Times New Roman" w:hAnsi="Times New Roman"/>
          <w:color w:val="000000" w:themeColor="text1"/>
          <w:sz w:val="16"/>
          <w:szCs w:val="16"/>
        </w:rPr>
        <w:t xml:space="preserve"> образца держателя и бомбы. Держатель предназначается для большого количества бомб для действия по живим целям.</w:t>
      </w:r>
    </w:p>
    <w:p w14:paraId="0955EE9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Установка подкрыльного держателя Дер 5 932-937</w:t>
      </w:r>
    </w:p>
    <w:p w14:paraId="40AF249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Тоже, что и в предыдущем пункте, но только для военных самолетов.</w:t>
      </w:r>
    </w:p>
    <w:p w14:paraId="1A1CB4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Установка держателей для пристрелочных бомб</w:t>
      </w:r>
    </w:p>
    <w:p w14:paraId="5A4D98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Устанавливается на все самолеты, имеющие бомбардировочное обору</w:t>
      </w:r>
      <w:r w:rsidRPr="00A259BD">
        <w:rPr>
          <w:rFonts w:ascii="Times New Roman" w:hAnsi="Times New Roman"/>
          <w:color w:val="000000" w:themeColor="text1"/>
          <w:sz w:val="16"/>
          <w:szCs w:val="16"/>
        </w:rPr>
        <w:softHyphen/>
        <w:t>дование для средних и тяжелых бомб.</w:t>
      </w:r>
    </w:p>
    <w:p w14:paraId="6DEE1B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Установка подкрыльных держателей Дер 6 и Дер 7 982-985</w:t>
      </w:r>
    </w:p>
    <w:p w14:paraId="62A570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Устанавливаются на все самолеты, на которых может быть возложено выполнение ночных полетов.</w:t>
      </w:r>
    </w:p>
    <w:p w14:paraId="7FE29F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Установка держателей для аэронавигационных бомб 986-1000</w:t>
      </w:r>
    </w:p>
    <w:p w14:paraId="341F54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Устанавливаются на самолетах, находящихся в строю. 'ВВС и не имеющие до сих пор этого бомбардировочного оборудовании (Дорнье Валь, Хейнкель т т.д.)</w:t>
      </w:r>
    </w:p>
    <w:p w14:paraId="30FFF5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Установка держателей для аэронавигационных бомб 986-1000</w:t>
      </w:r>
    </w:p>
    <w:p w14:paraId="668826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Устанавливаются для улучшения аэронавигационного оборудования </w:t>
      </w:r>
      <w:proofErr w:type="spellStart"/>
      <w:r w:rsidRPr="00A259BD">
        <w:rPr>
          <w:rFonts w:ascii="Times New Roman" w:hAnsi="Times New Roman"/>
          <w:color w:val="000000" w:themeColor="text1"/>
          <w:sz w:val="16"/>
          <w:szCs w:val="16"/>
        </w:rPr>
        <w:t>самолето</w:t>
      </w:r>
      <w:proofErr w:type="spellEnd"/>
      <w:r w:rsidRPr="00A259BD">
        <w:rPr>
          <w:rFonts w:ascii="Times New Roman" w:hAnsi="Times New Roman"/>
          <w:color w:val="000000" w:themeColor="text1"/>
          <w:sz w:val="16"/>
          <w:szCs w:val="16"/>
        </w:rPr>
        <w:t>,” назначенных для больших рейдов и полетов над морем.</w:t>
      </w:r>
    </w:p>
    <w:p w14:paraId="1026E4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Установка держателей для дистанционных бомб 1001-1002</w:t>
      </w:r>
    </w:p>
    <w:p w14:paraId="3F258B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Устанавливается на самолеты, предназначенные для борьбы с воздушным противником при помощи дистанционных бомб.</w:t>
      </w:r>
    </w:p>
    <w:p w14:paraId="1E65C2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Монтировка специальных установок СП2-СП10 1003-1020</w:t>
      </w:r>
    </w:p>
    <w:p w14:paraId="40EA7FD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Устанавливаются да все перечисленные в плане самолеты для испытания их в летных условиях на данных типах самолета.</w:t>
      </w:r>
    </w:p>
    <w:p w14:paraId="7F37A49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Монтировка пулеметных установок Пул 10 - Пул 13 1021-1029</w:t>
      </w:r>
    </w:p>
    <w:p w14:paraId="14B1F8E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Тоже </w:t>
      </w:r>
    </w:p>
    <w:p w14:paraId="0AA619F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Монтировка </w:t>
      </w:r>
      <w:proofErr w:type="spellStart"/>
      <w:r w:rsidRPr="00A259BD">
        <w:rPr>
          <w:rFonts w:ascii="Times New Roman" w:hAnsi="Times New Roman"/>
          <w:color w:val="000000" w:themeColor="text1"/>
          <w:sz w:val="16"/>
          <w:szCs w:val="16"/>
        </w:rPr>
        <w:t>турельных</w:t>
      </w:r>
      <w:proofErr w:type="spellEnd"/>
      <w:r w:rsidRPr="00A259BD">
        <w:rPr>
          <w:rFonts w:ascii="Times New Roman" w:hAnsi="Times New Roman"/>
          <w:color w:val="000000" w:themeColor="text1"/>
          <w:sz w:val="16"/>
          <w:szCs w:val="16"/>
        </w:rPr>
        <w:t xml:space="preserve"> установок Т7-Т15 1030-1059</w:t>
      </w:r>
    </w:p>
    <w:p w14:paraId="213F227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Тоже</w:t>
      </w:r>
    </w:p>
    <w:p w14:paraId="0E196A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Монтировка оборудования для торпедометания и ВОМИЗ 1060-1070 (351).</w:t>
      </w:r>
    </w:p>
    <w:p w14:paraId="00071B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A259BD">
        <w:rPr>
          <w:rFonts w:ascii="Times New Roman" w:hAnsi="Times New Roman"/>
          <w:smallCaps/>
          <w:color w:val="000000" w:themeColor="text1"/>
          <w:sz w:val="16"/>
          <w:szCs w:val="16"/>
        </w:rPr>
        <w:t>ТУРЕЛИ</w:t>
      </w:r>
    </w:p>
    <w:p w14:paraId="2BBC3A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Необходимость проектирования различных типов турелей вызывается с од</w:t>
      </w:r>
      <w:r w:rsidRPr="00A259BD">
        <w:rPr>
          <w:rFonts w:ascii="Times New Roman" w:hAnsi="Times New Roman"/>
          <w:color w:val="000000" w:themeColor="text1"/>
          <w:sz w:val="16"/>
          <w:szCs w:val="16"/>
        </w:rPr>
        <w:softHyphen/>
        <w:t xml:space="preserve">ной стороны </w:t>
      </w:r>
      <w:proofErr w:type="spellStart"/>
      <w:r w:rsidRPr="00A259BD">
        <w:rPr>
          <w:rFonts w:ascii="Times New Roman" w:hAnsi="Times New Roman"/>
          <w:color w:val="000000" w:themeColor="text1"/>
          <w:sz w:val="16"/>
          <w:szCs w:val="16"/>
        </w:rPr>
        <w:t>опециальным</w:t>
      </w:r>
      <w:proofErr w:type="spellEnd"/>
      <w:r w:rsidRPr="00A259BD">
        <w:rPr>
          <w:rFonts w:ascii="Times New Roman" w:hAnsi="Times New Roman"/>
          <w:color w:val="000000" w:themeColor="text1"/>
          <w:sz w:val="16"/>
          <w:szCs w:val="16"/>
        </w:rPr>
        <w:t xml:space="preserve"> назначением их, зависящим от места установки турели или от нагрузки на нее, а с другой стороны, необходимостью по</w:t>
      </w:r>
      <w:r w:rsidRPr="00A259BD">
        <w:rPr>
          <w:rFonts w:ascii="Times New Roman" w:hAnsi="Times New Roman"/>
          <w:color w:val="000000" w:themeColor="text1"/>
          <w:sz w:val="16"/>
          <w:szCs w:val="16"/>
        </w:rPr>
        <w:softHyphen/>
        <w:t>лучить механическую турель, вращающуюся посредством вспомогательной установки.</w:t>
      </w:r>
    </w:p>
    <w:p w14:paraId="6F0AAAA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745. Турель Т7 уменьшенного диаметра с облегчающим механиз</w:t>
      </w:r>
      <w:r w:rsidRPr="00A259BD">
        <w:rPr>
          <w:rFonts w:ascii="Times New Roman" w:hAnsi="Times New Roman"/>
          <w:color w:val="000000" w:themeColor="text1"/>
          <w:sz w:val="16"/>
          <w:szCs w:val="16"/>
        </w:rPr>
        <w:softHyphen/>
        <w:t>мом предполагается к установке в прицепных кабинках, устанавливаемых на самолетах Д2. ИТБ2 и дающих возможность обстрела нижней полусферы,</w:t>
      </w:r>
    </w:p>
    <w:p w14:paraId="0742CD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746. Турель Т8 увеличенного диаметра (метровая) с облегчаю</w:t>
      </w:r>
      <w:r w:rsidRPr="00A259BD">
        <w:rPr>
          <w:rFonts w:ascii="Times New Roman" w:hAnsi="Times New Roman"/>
          <w:color w:val="000000" w:themeColor="text1"/>
          <w:sz w:val="16"/>
          <w:szCs w:val="16"/>
        </w:rPr>
        <w:softHyphen/>
        <w:t>щим механизмом предполагается к установке на самолете Р6,</w:t>
      </w:r>
    </w:p>
    <w:p w14:paraId="28C023B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п. 747. Турель Т9 системы </w:t>
      </w:r>
      <w:proofErr w:type="spellStart"/>
      <w:r w:rsidRPr="00A259BD">
        <w:rPr>
          <w:rFonts w:ascii="Times New Roman" w:hAnsi="Times New Roman"/>
          <w:color w:val="000000" w:themeColor="text1"/>
          <w:sz w:val="16"/>
          <w:szCs w:val="16"/>
        </w:rPr>
        <w:t>Виневидова</w:t>
      </w:r>
      <w:proofErr w:type="spellEnd"/>
      <w:r w:rsidRPr="00A259BD">
        <w:rPr>
          <w:rFonts w:ascii="Times New Roman" w:hAnsi="Times New Roman"/>
          <w:color w:val="000000" w:themeColor="text1"/>
          <w:sz w:val="16"/>
          <w:szCs w:val="16"/>
        </w:rPr>
        <w:t xml:space="preserve"> и Гаврилова с новым вариан</w:t>
      </w:r>
      <w:r w:rsidRPr="00A259BD">
        <w:rPr>
          <w:rFonts w:ascii="Times New Roman" w:hAnsi="Times New Roman"/>
          <w:color w:val="000000" w:themeColor="text1"/>
          <w:sz w:val="16"/>
          <w:szCs w:val="16"/>
        </w:rPr>
        <w:softHyphen/>
        <w:t xml:space="preserve">том </w:t>
      </w:r>
      <w:proofErr w:type="spellStart"/>
      <w:r w:rsidRPr="00A259BD">
        <w:rPr>
          <w:rFonts w:ascii="Times New Roman" w:hAnsi="Times New Roman"/>
          <w:color w:val="000000" w:themeColor="text1"/>
          <w:sz w:val="16"/>
          <w:szCs w:val="16"/>
        </w:rPr>
        <w:t>облегчающе</w:t>
      </w:r>
      <w:proofErr w:type="spellEnd"/>
      <w:r w:rsidRPr="00A259BD">
        <w:rPr>
          <w:rFonts w:ascii="Times New Roman" w:hAnsi="Times New Roman"/>
          <w:color w:val="000000" w:themeColor="text1"/>
          <w:sz w:val="16"/>
          <w:szCs w:val="16"/>
        </w:rPr>
        <w:t xml:space="preserve"> го механизма является опытной работой. Проектирование этой турели уже закончено и в настоящее время турель заканчивается из</w:t>
      </w:r>
      <w:r w:rsidRPr="00A259BD">
        <w:rPr>
          <w:rFonts w:ascii="Times New Roman" w:hAnsi="Times New Roman"/>
          <w:color w:val="000000" w:themeColor="text1"/>
          <w:sz w:val="16"/>
          <w:szCs w:val="16"/>
        </w:rPr>
        <w:softHyphen/>
        <w:t>готовлением.</w:t>
      </w:r>
    </w:p>
    <w:p w14:paraId="6E27EB3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п. 748 и 749. Неподвижная турель Т10 о </w:t>
      </w:r>
      <w:proofErr w:type="spellStart"/>
      <w:r w:rsidRPr="00A259BD">
        <w:rPr>
          <w:rFonts w:ascii="Times New Roman" w:hAnsi="Times New Roman"/>
          <w:color w:val="000000" w:themeColor="text1"/>
          <w:sz w:val="16"/>
          <w:szCs w:val="16"/>
        </w:rPr>
        <w:t>облегчающе</w:t>
      </w:r>
      <w:proofErr w:type="spellEnd"/>
      <w:r w:rsidRPr="00A259BD">
        <w:rPr>
          <w:rFonts w:ascii="Times New Roman" w:hAnsi="Times New Roman"/>
          <w:color w:val="000000" w:themeColor="text1"/>
          <w:sz w:val="16"/>
          <w:szCs w:val="16"/>
        </w:rPr>
        <w:t xml:space="preserve"> меха </w:t>
      </w:r>
      <w:proofErr w:type="spellStart"/>
      <w:r w:rsidRPr="00A259BD">
        <w:rPr>
          <w:rFonts w:ascii="Times New Roman" w:hAnsi="Times New Roman"/>
          <w:color w:val="000000" w:themeColor="text1"/>
          <w:sz w:val="16"/>
          <w:szCs w:val="16"/>
        </w:rPr>
        <w:t>нил</w:t>
      </w:r>
      <w:proofErr w:type="spellEnd"/>
      <w:r w:rsidRPr="00A259BD">
        <w:rPr>
          <w:rFonts w:ascii="Times New Roman" w:hAnsi="Times New Roman"/>
          <w:color w:val="000000" w:themeColor="text1"/>
          <w:sz w:val="16"/>
          <w:szCs w:val="16"/>
        </w:rPr>
        <w:t xml:space="preserve"> ном предполагается для установки на нее пулеметов калибром 7,62 мм. и круп но-</w:t>
      </w:r>
      <w:proofErr w:type="spellStart"/>
      <w:r w:rsidRPr="00A259BD">
        <w:rPr>
          <w:rFonts w:ascii="Times New Roman" w:hAnsi="Times New Roman"/>
          <w:color w:val="000000" w:themeColor="text1"/>
          <w:sz w:val="16"/>
          <w:szCs w:val="16"/>
        </w:rPr>
        <w:t>калиберных</w:t>
      </w:r>
      <w:proofErr w:type="spellEnd"/>
      <w:r w:rsidRPr="00A259BD">
        <w:rPr>
          <w:rFonts w:ascii="Times New Roman" w:hAnsi="Times New Roman"/>
          <w:color w:val="000000" w:themeColor="text1"/>
          <w:sz w:val="16"/>
          <w:szCs w:val="16"/>
        </w:rPr>
        <w:t>, что даст возможность иметь одну турель для двух типов пулеметов.</w:t>
      </w:r>
    </w:p>
    <w:p w14:paraId="0C7789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750. Турель Т11 устанавливается на скоростных самолетах для возможности обстрела задней полусферы.</w:t>
      </w:r>
    </w:p>
    <w:p w14:paraId="60F047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751. Турель Т12 с облегчающим механизмом предназначается для установки безоткатной пушки.</w:t>
      </w:r>
    </w:p>
    <w:p w14:paraId="7CE7D1D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752 Турель Т10П того же типа, что и Т10, но только перекаты</w:t>
      </w:r>
      <w:r w:rsidRPr="00A259BD">
        <w:rPr>
          <w:rFonts w:ascii="Times New Roman" w:hAnsi="Times New Roman"/>
          <w:color w:val="000000" w:themeColor="text1"/>
          <w:sz w:val="16"/>
          <w:szCs w:val="16"/>
        </w:rPr>
        <w:softHyphen/>
        <w:t>вающаяся с борта на борт.</w:t>
      </w:r>
    </w:p>
    <w:p w14:paraId="646A9B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753 и. 754. Турель Т13 механическая, вращающаяся посредством вспомогательной установки.</w:t>
      </w:r>
    </w:p>
    <w:p w14:paraId="68CCCE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Эта турель отличается от находящихся на вооружении турелей тем, что она значительно облегчает работу летнаба, посредством особого до</w:t>
      </w:r>
      <w:r w:rsidRPr="00A259BD">
        <w:rPr>
          <w:rFonts w:ascii="Times New Roman" w:hAnsi="Times New Roman"/>
          <w:color w:val="000000" w:themeColor="text1"/>
          <w:sz w:val="16"/>
          <w:szCs w:val="16"/>
        </w:rPr>
        <w:softHyphen/>
        <w:t>полнительного механизма; в существующих же турелях летнабу приходится затрачивать довольно большое количество энергии на проворачивание ту</w:t>
      </w:r>
      <w:r w:rsidRPr="00A259BD">
        <w:rPr>
          <w:rFonts w:ascii="Times New Roman" w:hAnsi="Times New Roman"/>
          <w:color w:val="000000" w:themeColor="text1"/>
          <w:sz w:val="16"/>
          <w:szCs w:val="16"/>
        </w:rPr>
        <w:softHyphen/>
        <w:t>рели и другие движения.</w:t>
      </w:r>
    </w:p>
    <w:p w14:paraId="140D46E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w:t>
      </w:r>
      <w:proofErr w:type="spellStart"/>
      <w:r w:rsidRPr="00A259BD">
        <w:rPr>
          <w:rFonts w:ascii="Times New Roman" w:hAnsi="Times New Roman"/>
          <w:color w:val="000000" w:themeColor="text1"/>
          <w:sz w:val="16"/>
          <w:szCs w:val="16"/>
        </w:rPr>
        <w:t>п.п</w:t>
      </w:r>
      <w:proofErr w:type="spellEnd"/>
      <w:r w:rsidRPr="00A259BD">
        <w:rPr>
          <w:rFonts w:ascii="Times New Roman" w:hAnsi="Times New Roman"/>
          <w:color w:val="000000" w:themeColor="text1"/>
          <w:sz w:val="16"/>
          <w:szCs w:val="16"/>
        </w:rPr>
        <w:t>. 755 и 756. Турель Т13П того же типа, что и Т13, но перекатывающаяся с борта на борт.</w:t>
      </w:r>
    </w:p>
    <w:p w14:paraId="5C6596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w:t>
      </w:r>
      <w:proofErr w:type="spellStart"/>
      <w:r w:rsidRPr="00A259BD">
        <w:rPr>
          <w:rFonts w:ascii="Times New Roman" w:hAnsi="Times New Roman"/>
          <w:color w:val="000000" w:themeColor="text1"/>
          <w:sz w:val="16"/>
          <w:szCs w:val="16"/>
        </w:rPr>
        <w:t>п.п</w:t>
      </w:r>
      <w:proofErr w:type="spellEnd"/>
      <w:r w:rsidRPr="00A259BD">
        <w:rPr>
          <w:rFonts w:ascii="Times New Roman" w:hAnsi="Times New Roman"/>
          <w:color w:val="000000" w:themeColor="text1"/>
          <w:sz w:val="16"/>
          <w:szCs w:val="16"/>
        </w:rPr>
        <w:t>. 757 и 758. Трели Т14 и Т15 того же типа, что и Т13, только первая предназначается для установки безоткатной пушки, а вторая для установки автоматической пушки калибром 25-35 мм.</w:t>
      </w:r>
    </w:p>
    <w:p w14:paraId="40565D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Разработка и постройка образцов производится из кредитов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В указанную в плане стоимость разработки и постройки образцов включены и суммы, необходимый для монтировки образцов на самолете при испытании в воздухе и суммы, необходимые для сбора </w:t>
      </w:r>
      <w:proofErr w:type="spellStart"/>
      <w:r w:rsidRPr="00A259BD">
        <w:rPr>
          <w:rFonts w:ascii="Times New Roman" w:hAnsi="Times New Roman"/>
          <w:color w:val="000000" w:themeColor="text1"/>
          <w:sz w:val="16"/>
          <w:szCs w:val="16"/>
        </w:rPr>
        <w:t>материалаю</w:t>
      </w:r>
      <w:proofErr w:type="spellEnd"/>
    </w:p>
    <w:p w14:paraId="4C4C336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Турели проектируются в 2-х образцах. Изготовление второго образца идет уступам в один месяц по отношению к первому (351).</w:t>
      </w:r>
    </w:p>
    <w:p w14:paraId="225E12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ПУЛЕМЕТНЫЕ ПРИВОДЫ ДЛЯ НЕПОДВИЖНЫХ ПУЛЕМЕТНЫХ УСТАНОВОЕ ДЛЯ СТРЕЛЬБЫ ЧЕРЕЗ ВИНТ</w:t>
      </w:r>
    </w:p>
    <w:p w14:paraId="0DFF39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К п.. 740. Разработка нового механического пулеметного привода Пул 10 начнется после того, как накопится материал по </w:t>
      </w:r>
      <w:proofErr w:type="spellStart"/>
      <w:r w:rsidRPr="00A259BD">
        <w:rPr>
          <w:rFonts w:ascii="Times New Roman" w:hAnsi="Times New Roman"/>
          <w:color w:val="000000" w:themeColor="text1"/>
          <w:sz w:val="16"/>
          <w:szCs w:val="16"/>
        </w:rPr>
        <w:t>эксплоатации</w:t>
      </w:r>
      <w:proofErr w:type="spellEnd"/>
      <w:r w:rsidRPr="00A259BD">
        <w:rPr>
          <w:rFonts w:ascii="Times New Roman" w:hAnsi="Times New Roman"/>
          <w:color w:val="000000" w:themeColor="text1"/>
          <w:sz w:val="16"/>
          <w:szCs w:val="16"/>
        </w:rPr>
        <w:t xml:space="preserve"> находящегося на вооружении пулеметного привода типа Пул 9. Новый привод будет представлять усовершенствование пулеметного привода Пул 9</w:t>
      </w:r>
    </w:p>
    <w:p w14:paraId="1340AA3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п. 741. Разработка газового пулеметного привода необходима, </w:t>
      </w:r>
      <w:proofErr w:type="spellStart"/>
      <w:r w:rsidRPr="00A259BD">
        <w:rPr>
          <w:rFonts w:ascii="Times New Roman" w:hAnsi="Times New Roman"/>
          <w:color w:val="000000" w:themeColor="text1"/>
          <w:sz w:val="16"/>
          <w:szCs w:val="16"/>
        </w:rPr>
        <w:t>тка</w:t>
      </w:r>
      <w:proofErr w:type="spellEnd"/>
      <w:r w:rsidRPr="00A259BD">
        <w:rPr>
          <w:rFonts w:ascii="Times New Roman" w:hAnsi="Times New Roman"/>
          <w:color w:val="000000" w:themeColor="text1"/>
          <w:sz w:val="16"/>
          <w:szCs w:val="16"/>
        </w:rPr>
        <w:t xml:space="preserve"> как предполагался, что в случае благоприятных результатов испытаний газовый пулеметный привод можно будет легко почти без переделки устанавливать на </w:t>
      </w:r>
      <w:proofErr w:type="spellStart"/>
      <w:r w:rsidRPr="00A259BD">
        <w:rPr>
          <w:rFonts w:ascii="Times New Roman" w:hAnsi="Times New Roman"/>
          <w:color w:val="000000" w:themeColor="text1"/>
          <w:sz w:val="16"/>
          <w:szCs w:val="16"/>
        </w:rPr>
        <w:t>люобом</w:t>
      </w:r>
      <w:proofErr w:type="spellEnd"/>
      <w:r w:rsidRPr="00A259BD">
        <w:rPr>
          <w:rFonts w:ascii="Times New Roman" w:hAnsi="Times New Roman"/>
          <w:color w:val="000000" w:themeColor="text1"/>
          <w:sz w:val="16"/>
          <w:szCs w:val="16"/>
        </w:rPr>
        <w:t xml:space="preserve"> самолете в любым </w:t>
      </w:r>
      <w:proofErr w:type="spellStart"/>
      <w:r w:rsidRPr="00A259BD">
        <w:rPr>
          <w:rFonts w:ascii="Times New Roman" w:hAnsi="Times New Roman"/>
          <w:color w:val="000000" w:themeColor="text1"/>
          <w:sz w:val="16"/>
          <w:szCs w:val="16"/>
        </w:rPr>
        <w:t>мотром</w:t>
      </w:r>
      <w:proofErr w:type="spellEnd"/>
      <w:r w:rsidRPr="00A259BD">
        <w:rPr>
          <w:rFonts w:ascii="Times New Roman" w:hAnsi="Times New Roman"/>
          <w:color w:val="000000" w:themeColor="text1"/>
          <w:sz w:val="16"/>
          <w:szCs w:val="16"/>
        </w:rPr>
        <w:t>, что явится большим преимуществом по сравнению с находящимся на вооружении пулеметным приводом Пул 9, при установке которого приходится на каждой мотор конструировать новый синхронизатор.</w:t>
      </w:r>
    </w:p>
    <w:p w14:paraId="32CEF56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742. Проработка пулеметного привода Пул. 12 для четырех пулеметов, стреляющих через винт, дают возможность увеличить количество этих пулеметов, а тем самым увеличить и действительность стрельбы. Подобные установки в иностранных воздушных флотах имеются.</w:t>
      </w:r>
    </w:p>
    <w:p w14:paraId="48A8EF5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п. 743. Подвижная пулеметная установка Пул 13 для стрельбы через винт даст возможность летчику производить стрельбу в различных </w:t>
      </w:r>
      <w:proofErr w:type="spellStart"/>
      <w:r w:rsidRPr="00A259BD">
        <w:rPr>
          <w:rFonts w:ascii="Times New Roman" w:hAnsi="Times New Roman"/>
          <w:color w:val="000000" w:themeColor="text1"/>
          <w:sz w:val="16"/>
          <w:szCs w:val="16"/>
        </w:rPr>
        <w:t>напрвлениях</w:t>
      </w:r>
      <w:proofErr w:type="spellEnd"/>
      <w:r w:rsidRPr="00A259BD">
        <w:rPr>
          <w:rFonts w:ascii="Times New Roman" w:hAnsi="Times New Roman"/>
          <w:color w:val="000000" w:themeColor="text1"/>
          <w:sz w:val="16"/>
          <w:szCs w:val="16"/>
        </w:rPr>
        <w:t>, не изменяя положения самолета.</w:t>
      </w:r>
    </w:p>
    <w:p w14:paraId="13F3D4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Пулеметные приводы изготовляются в двух образцах, причем второй </w:t>
      </w:r>
      <w:proofErr w:type="spellStart"/>
      <w:r w:rsidRPr="00A259BD">
        <w:rPr>
          <w:rFonts w:ascii="Times New Roman" w:hAnsi="Times New Roman"/>
          <w:color w:val="000000" w:themeColor="text1"/>
          <w:sz w:val="16"/>
          <w:szCs w:val="16"/>
        </w:rPr>
        <w:t>изготовляетсл</w:t>
      </w:r>
      <w:proofErr w:type="spellEnd"/>
      <w:r w:rsidRPr="00A259BD">
        <w:rPr>
          <w:rFonts w:ascii="Times New Roman" w:hAnsi="Times New Roman"/>
          <w:color w:val="000000" w:themeColor="text1"/>
          <w:sz w:val="16"/>
          <w:szCs w:val="16"/>
        </w:rPr>
        <w:t xml:space="preserve"> с уступом по отношению к первому;- в один </w:t>
      </w:r>
      <w:proofErr w:type="spellStart"/>
      <w:r w:rsidRPr="00A259BD">
        <w:rPr>
          <w:rFonts w:ascii="Times New Roman" w:hAnsi="Times New Roman"/>
          <w:color w:val="000000" w:themeColor="text1"/>
          <w:sz w:val="16"/>
          <w:szCs w:val="16"/>
        </w:rPr>
        <w:t>иесяц</w:t>
      </w:r>
      <w:proofErr w:type="spellEnd"/>
      <w:r w:rsidRPr="00A259BD">
        <w:rPr>
          <w:rFonts w:ascii="Times New Roman" w:hAnsi="Times New Roman"/>
          <w:color w:val="000000" w:themeColor="text1"/>
          <w:sz w:val="16"/>
          <w:szCs w:val="16"/>
        </w:rPr>
        <w:t>.</w:t>
      </w:r>
    </w:p>
    <w:p w14:paraId="0C2CD7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Разработка и постройка образцов производится из кредитов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В указанную в плане стоимость разработки и постройки образцов </w:t>
      </w:r>
      <w:proofErr w:type="spellStart"/>
      <w:r w:rsidRPr="00A259BD">
        <w:rPr>
          <w:rFonts w:ascii="Times New Roman" w:hAnsi="Times New Roman"/>
          <w:color w:val="000000" w:themeColor="text1"/>
          <w:sz w:val="16"/>
          <w:szCs w:val="16"/>
        </w:rPr>
        <w:t>включеня</w:t>
      </w:r>
      <w:proofErr w:type="spellEnd"/>
      <w:r w:rsidRPr="00A259BD">
        <w:rPr>
          <w:rFonts w:ascii="Times New Roman" w:hAnsi="Times New Roman"/>
          <w:color w:val="000000" w:themeColor="text1"/>
          <w:sz w:val="16"/>
          <w:szCs w:val="16"/>
        </w:rPr>
        <w:t xml:space="preserve"> и суммы, необходимее для монтировки образцов на самолете при испытании в воздухе, и суммы, необходимое для сбора материала (315).</w:t>
      </w:r>
    </w:p>
    <w:p w14:paraId="2F4D38E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октября 1929 Нач. УВВС Баранов направил Зам. Пред. РВС (копия: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письмо № 169сс/НИИ:</w:t>
      </w:r>
    </w:p>
    <w:p w14:paraId="408E01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пятилетнем плане опытного строительства ВВС на 28/29-32/33 гг. </w:t>
      </w:r>
    </w:p>
    <w:p w14:paraId="22EF26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Настоящий пятилетний план опытного строительства ВВС на 1928/29 - 1932/33 год представляется на основании постановления РВС СССР от 22 мая 1922.</w:t>
      </w:r>
    </w:p>
    <w:p w14:paraId="4BA86D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План охватывает разработку основных предметов снабже</w:t>
      </w:r>
      <w:r w:rsidRPr="00A259BD">
        <w:rPr>
          <w:rFonts w:ascii="Times New Roman" w:hAnsi="Times New Roman"/>
          <w:color w:val="000000" w:themeColor="text1"/>
          <w:sz w:val="16"/>
          <w:szCs w:val="16"/>
        </w:rPr>
        <w:softHyphen/>
        <w:t>ния ВВС, заготовляемых непосредственно Управлением военно-воздушных Сил РККА, а равно намечает работы, кото</w:t>
      </w:r>
      <w:r w:rsidRPr="00A259BD">
        <w:rPr>
          <w:rFonts w:ascii="Times New Roman" w:hAnsi="Times New Roman"/>
          <w:color w:val="000000" w:themeColor="text1"/>
          <w:sz w:val="16"/>
          <w:szCs w:val="16"/>
        </w:rPr>
        <w:softHyphen/>
        <w:t>рые должны быть поставлены для разработки распоряжением других довольствующих управлений, ведающих заготовкой этих предметов.</w:t>
      </w:r>
    </w:p>
    <w:p w14:paraId="1777471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разработке 5-ти летнего плана в основу были положе</w:t>
      </w:r>
      <w:r w:rsidRPr="00A259BD">
        <w:rPr>
          <w:rFonts w:ascii="Times New Roman" w:hAnsi="Times New Roman"/>
          <w:color w:val="000000" w:themeColor="text1"/>
          <w:sz w:val="16"/>
          <w:szCs w:val="16"/>
        </w:rPr>
        <w:softHyphen/>
        <w:t>ны указания РВСР о необходимости иметь на вооружения предметы, технические качества которых обеспечивали бы обороноспособность страны и устраняли бы существующий разрыв /отставание/ нашей техники от заграничной.</w:t>
      </w:r>
    </w:p>
    <w:p w14:paraId="55EF4F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Методика Составления плана.</w:t>
      </w:r>
    </w:p>
    <w:p w14:paraId="58BCEA3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целью установления качества заграничных самолетов, име</w:t>
      </w:r>
      <w:r w:rsidRPr="00A259BD">
        <w:rPr>
          <w:rFonts w:ascii="Times New Roman" w:hAnsi="Times New Roman"/>
          <w:color w:val="000000" w:themeColor="text1"/>
          <w:sz w:val="16"/>
          <w:szCs w:val="16"/>
        </w:rPr>
        <w:softHyphen/>
        <w:t xml:space="preserve">ющихся в данный момент и возможных к выпуску в ближайшее время по состоянию современной техники, со стороны РВСР было проведано изучение 675 типов самолетов, выпущенных </w:t>
      </w:r>
      <w:proofErr w:type="spellStart"/>
      <w:r w:rsidRPr="00A259BD">
        <w:rPr>
          <w:rFonts w:ascii="Times New Roman" w:hAnsi="Times New Roman"/>
          <w:color w:val="000000" w:themeColor="text1"/>
          <w:sz w:val="16"/>
          <w:szCs w:val="16"/>
        </w:rPr>
        <w:t>аа</w:t>
      </w:r>
      <w:proofErr w:type="spellEnd"/>
      <w:r w:rsidRPr="00A259BD">
        <w:rPr>
          <w:rFonts w:ascii="Times New Roman" w:hAnsi="Times New Roman"/>
          <w:color w:val="000000" w:themeColor="text1"/>
          <w:sz w:val="16"/>
          <w:szCs w:val="16"/>
        </w:rPr>
        <w:t xml:space="preserve"> время с 1915 до 1УЗу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т.е. за 14 лет.</w:t>
      </w:r>
    </w:p>
    <w:p w14:paraId="6272A97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этих 675 самолетов относились: к группе разведчиков 400 типов, к группе истребителей 150 типов и к группе бомбардировщиков - 125 типов. Для каждого типа был точ</w:t>
      </w:r>
      <w:r w:rsidRPr="00A259BD">
        <w:rPr>
          <w:rFonts w:ascii="Times New Roman" w:hAnsi="Times New Roman"/>
          <w:color w:val="000000" w:themeColor="text1"/>
          <w:sz w:val="16"/>
          <w:szCs w:val="16"/>
        </w:rPr>
        <w:softHyphen/>
        <w:t>но определен: год выпуска и характерные данные самолета, которые после анализа их дали возможность составить ха</w:t>
      </w:r>
      <w:r w:rsidRPr="00A259BD">
        <w:rPr>
          <w:rFonts w:ascii="Times New Roman" w:hAnsi="Times New Roman"/>
          <w:color w:val="000000" w:themeColor="text1"/>
          <w:sz w:val="16"/>
          <w:szCs w:val="16"/>
        </w:rPr>
        <w:softHyphen/>
        <w:t>рактеристику данных самолетов настоящего времени и уста</w:t>
      </w:r>
      <w:r w:rsidRPr="00A259BD">
        <w:rPr>
          <w:rFonts w:ascii="Times New Roman" w:hAnsi="Times New Roman"/>
          <w:color w:val="000000" w:themeColor="text1"/>
          <w:sz w:val="16"/>
          <w:szCs w:val="16"/>
        </w:rPr>
        <w:softHyphen/>
        <w:t>новить вероятный тип их развития на ближайшие годы.</w:t>
      </w:r>
    </w:p>
    <w:p w14:paraId="63DBC70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Исходя из этого предположения были составлены основные тактико-технические требования к самолетам, которые дол</w:t>
      </w:r>
      <w:r w:rsidRPr="00A259BD">
        <w:rPr>
          <w:rFonts w:ascii="Times New Roman" w:hAnsi="Times New Roman"/>
          <w:color w:val="000000" w:themeColor="text1"/>
          <w:sz w:val="16"/>
          <w:szCs w:val="16"/>
        </w:rPr>
        <w:softHyphen/>
        <w:t xml:space="preserve">жны иметь наш </w:t>
      </w:r>
      <w:proofErr w:type="spellStart"/>
      <w:r w:rsidRPr="00A259BD">
        <w:rPr>
          <w:rFonts w:ascii="Times New Roman" w:hAnsi="Times New Roman"/>
          <w:color w:val="000000" w:themeColor="text1"/>
          <w:sz w:val="16"/>
          <w:szCs w:val="16"/>
        </w:rPr>
        <w:t>ьоздушный</w:t>
      </w:r>
      <w:proofErr w:type="spellEnd"/>
      <w:r w:rsidRPr="00A259BD">
        <w:rPr>
          <w:rFonts w:ascii="Times New Roman" w:hAnsi="Times New Roman"/>
          <w:color w:val="000000" w:themeColor="text1"/>
          <w:sz w:val="16"/>
          <w:szCs w:val="16"/>
        </w:rPr>
        <w:t xml:space="preserve"> флот. При этом принималось, что на каждый год своего развития наш воздушный флот должен иметь на вооружении самолеты, не уступающие по качеству средним данным самолетов возможных противников, опирающихся на передовую технику Западной Европы и Америки.</w:t>
      </w:r>
    </w:p>
    <w:p w14:paraId="016FCD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Путем технических подсчетов была выявлена конструктивная воз</w:t>
      </w:r>
      <w:r w:rsidRPr="00A259BD">
        <w:rPr>
          <w:rFonts w:ascii="Times New Roman" w:hAnsi="Times New Roman"/>
          <w:color w:val="000000" w:themeColor="text1"/>
          <w:sz w:val="16"/>
          <w:szCs w:val="16"/>
        </w:rPr>
        <w:softHyphen/>
        <w:t>можность осуществления подобных самолетов и установлены те тре</w:t>
      </w:r>
      <w:r w:rsidRPr="00A259BD">
        <w:rPr>
          <w:rFonts w:ascii="Times New Roman" w:hAnsi="Times New Roman"/>
          <w:color w:val="000000" w:themeColor="text1"/>
          <w:sz w:val="16"/>
          <w:szCs w:val="16"/>
        </w:rPr>
        <w:softHyphen/>
        <w:t>бования, которые должны быть предъявлены моторостроению и ма</w:t>
      </w:r>
      <w:r w:rsidRPr="00A259BD">
        <w:rPr>
          <w:rFonts w:ascii="Times New Roman" w:hAnsi="Times New Roman"/>
          <w:color w:val="000000" w:themeColor="text1"/>
          <w:sz w:val="16"/>
          <w:szCs w:val="16"/>
        </w:rPr>
        <w:softHyphen/>
        <w:t>териаловедению.</w:t>
      </w:r>
    </w:p>
    <w:p w14:paraId="391E61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этом оказалось, что на ближайшие годы технические данные моторов /мощность, вес, расход горючего/ и материалов для по</w:t>
      </w:r>
      <w:r w:rsidRPr="00A259BD">
        <w:rPr>
          <w:rFonts w:ascii="Times New Roman" w:hAnsi="Times New Roman"/>
          <w:color w:val="000000" w:themeColor="text1"/>
          <w:sz w:val="16"/>
          <w:szCs w:val="16"/>
        </w:rPr>
        <w:softHyphen/>
        <w:t xml:space="preserve">стройки самолетов и моторов /крепость, удельный вес. и проч./ не потребуются свыше тех, что имеется уже осу </w:t>
      </w:r>
      <w:proofErr w:type="spellStart"/>
      <w:r w:rsidRPr="00A259BD">
        <w:rPr>
          <w:rFonts w:ascii="Times New Roman" w:hAnsi="Times New Roman"/>
          <w:color w:val="000000" w:themeColor="text1"/>
          <w:sz w:val="16"/>
          <w:szCs w:val="16"/>
        </w:rPr>
        <w:t>ествленным</w:t>
      </w:r>
      <w:proofErr w:type="spellEnd"/>
      <w:r w:rsidRPr="00A259BD">
        <w:rPr>
          <w:rFonts w:ascii="Times New Roman" w:hAnsi="Times New Roman"/>
          <w:color w:val="000000" w:themeColor="text1"/>
          <w:sz w:val="16"/>
          <w:szCs w:val="16"/>
        </w:rPr>
        <w:t xml:space="preserve"> за границей в серии или опытных образцах и перед нашей промышлен</w:t>
      </w:r>
      <w:r w:rsidRPr="00A259BD">
        <w:rPr>
          <w:rFonts w:ascii="Times New Roman" w:hAnsi="Times New Roman"/>
          <w:color w:val="000000" w:themeColor="text1"/>
          <w:sz w:val="16"/>
          <w:szCs w:val="16"/>
        </w:rPr>
        <w:softHyphen/>
        <w:t>ностью поэтому лишь ставится задачей быстрее освоить достиже</w:t>
      </w:r>
      <w:r w:rsidRPr="00A259BD">
        <w:rPr>
          <w:rFonts w:ascii="Times New Roman" w:hAnsi="Times New Roman"/>
          <w:color w:val="000000" w:themeColor="text1"/>
          <w:sz w:val="16"/>
          <w:szCs w:val="16"/>
        </w:rPr>
        <w:softHyphen/>
        <w:t xml:space="preserve">ния </w:t>
      </w:r>
      <w:proofErr w:type="spellStart"/>
      <w:r w:rsidRPr="00A259BD">
        <w:rPr>
          <w:rFonts w:ascii="Times New Roman" w:hAnsi="Times New Roman"/>
          <w:color w:val="000000" w:themeColor="text1"/>
          <w:sz w:val="16"/>
          <w:szCs w:val="16"/>
        </w:rPr>
        <w:t>заграни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чной</w:t>
      </w:r>
      <w:proofErr w:type="spellEnd"/>
      <w:r w:rsidRPr="00A259BD">
        <w:rPr>
          <w:rFonts w:ascii="Times New Roman" w:hAnsi="Times New Roman"/>
          <w:color w:val="000000" w:themeColor="text1"/>
          <w:sz w:val="16"/>
          <w:szCs w:val="16"/>
        </w:rPr>
        <w:t xml:space="preserve"> техники.</w:t>
      </w:r>
    </w:p>
    <w:p w14:paraId="5D8B9F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Вопросы вооружения и оборудования самолетов в 5-ти летнем пла</w:t>
      </w:r>
      <w:r w:rsidRPr="00A259BD">
        <w:rPr>
          <w:rFonts w:ascii="Times New Roman" w:hAnsi="Times New Roman"/>
          <w:color w:val="000000" w:themeColor="text1"/>
          <w:sz w:val="16"/>
          <w:szCs w:val="16"/>
        </w:rPr>
        <w:softHyphen/>
        <w:t>не разработаны на основе требований тактики к будущему оружию и с учетом необходимости оборудования вооружением, поставлен</w:t>
      </w:r>
      <w:r w:rsidRPr="00A259BD">
        <w:rPr>
          <w:rFonts w:ascii="Times New Roman" w:hAnsi="Times New Roman"/>
          <w:color w:val="000000" w:themeColor="text1"/>
          <w:sz w:val="16"/>
          <w:szCs w:val="16"/>
        </w:rPr>
        <w:softHyphen/>
        <w:t>ных в план самолетов.</w:t>
      </w:r>
    </w:p>
    <w:p w14:paraId="5073238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Осуществление вопросов этой группы так же не требует разра</w:t>
      </w:r>
      <w:r w:rsidRPr="00A259BD">
        <w:rPr>
          <w:rFonts w:ascii="Times New Roman" w:hAnsi="Times New Roman"/>
          <w:color w:val="000000" w:themeColor="text1"/>
          <w:sz w:val="16"/>
          <w:szCs w:val="16"/>
        </w:rPr>
        <w:softHyphen/>
        <w:t>ботки каких либо новых принципов или специального оборудова</w:t>
      </w:r>
      <w:r w:rsidRPr="00A259BD">
        <w:rPr>
          <w:rFonts w:ascii="Times New Roman" w:hAnsi="Times New Roman"/>
          <w:color w:val="000000" w:themeColor="text1"/>
          <w:sz w:val="16"/>
          <w:szCs w:val="16"/>
        </w:rPr>
        <w:softHyphen/>
        <w:t xml:space="preserve">ния и производства нигде не </w:t>
      </w:r>
      <w:proofErr w:type="spellStart"/>
      <w:r w:rsidRPr="00A259BD">
        <w:rPr>
          <w:rFonts w:ascii="Times New Roman" w:hAnsi="Times New Roman"/>
          <w:color w:val="000000" w:themeColor="text1"/>
          <w:sz w:val="16"/>
          <w:szCs w:val="16"/>
        </w:rPr>
        <w:t>осущестьлявмого</w:t>
      </w:r>
      <w:proofErr w:type="spellEnd"/>
      <w:r w:rsidRPr="00A259BD">
        <w:rPr>
          <w:rFonts w:ascii="Times New Roman" w:hAnsi="Times New Roman"/>
          <w:color w:val="000000" w:themeColor="text1"/>
          <w:sz w:val="16"/>
          <w:szCs w:val="16"/>
        </w:rPr>
        <w:t>. В этой области вопрос ставится так же в плоскость или освоения уже имеющих</w:t>
      </w:r>
      <w:r w:rsidRPr="00A259BD">
        <w:rPr>
          <w:rFonts w:ascii="Times New Roman" w:hAnsi="Times New Roman"/>
          <w:color w:val="000000" w:themeColor="text1"/>
          <w:sz w:val="16"/>
          <w:szCs w:val="16"/>
        </w:rPr>
        <w:softHyphen/>
        <w:t>ся заграничных достижений или же развития и улучшения имеюще</w:t>
      </w:r>
      <w:r w:rsidRPr="00A259BD">
        <w:rPr>
          <w:rFonts w:ascii="Times New Roman" w:hAnsi="Times New Roman"/>
          <w:color w:val="000000" w:themeColor="text1"/>
          <w:sz w:val="16"/>
          <w:szCs w:val="16"/>
        </w:rPr>
        <w:softHyphen/>
        <w:t>гося у нас производства.</w:t>
      </w:r>
    </w:p>
    <w:p w14:paraId="6C26E20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Об"ем</w:t>
      </w:r>
      <w:proofErr w:type="spellEnd"/>
      <w:r w:rsidRPr="00A259BD">
        <w:rPr>
          <w:rFonts w:ascii="Times New Roman" w:hAnsi="Times New Roman"/>
          <w:color w:val="000000" w:themeColor="text1"/>
          <w:sz w:val="16"/>
          <w:szCs w:val="16"/>
        </w:rPr>
        <w:t xml:space="preserve"> работ</w:t>
      </w:r>
    </w:p>
    <w:p w14:paraId="2ABB487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Таким образом основой 5-ти летнего плана опытного строительства является изготовление опытных образцов, которые были бы переданы в серийное производство и, на основе которых, можно было бы базировать развитие воздушного флота. Для проработки этих вопросов придется провести конструкторские работы и лабораторно-изыскательские, но все эти работы такого характера, какие уже применяются промышленностью к научными институтами в настоящее время и </w:t>
      </w:r>
      <w:proofErr w:type="spellStart"/>
      <w:r w:rsidRPr="00A259BD">
        <w:rPr>
          <w:rFonts w:ascii="Times New Roman" w:hAnsi="Times New Roman"/>
          <w:color w:val="000000" w:themeColor="text1"/>
          <w:sz w:val="16"/>
          <w:szCs w:val="16"/>
        </w:rPr>
        <w:t>вопытном</w:t>
      </w:r>
      <w:proofErr w:type="spellEnd"/>
      <w:r w:rsidRPr="00A259BD">
        <w:rPr>
          <w:rFonts w:ascii="Times New Roman" w:hAnsi="Times New Roman"/>
          <w:color w:val="000000" w:themeColor="text1"/>
          <w:sz w:val="16"/>
          <w:szCs w:val="16"/>
        </w:rPr>
        <w:t xml:space="preserve"> строительстве. Перечень таких ра</w:t>
      </w:r>
      <w:r w:rsidRPr="00A259BD">
        <w:rPr>
          <w:rFonts w:ascii="Times New Roman" w:hAnsi="Times New Roman"/>
          <w:color w:val="000000" w:themeColor="text1"/>
          <w:sz w:val="16"/>
          <w:szCs w:val="16"/>
        </w:rPr>
        <w:softHyphen/>
        <w:t>бот не дается за невозможностью их предусмотреть, но в сред</w:t>
      </w:r>
      <w:r w:rsidRPr="00A259BD">
        <w:rPr>
          <w:rFonts w:ascii="Times New Roman" w:hAnsi="Times New Roman"/>
          <w:color w:val="000000" w:themeColor="text1"/>
          <w:sz w:val="16"/>
          <w:szCs w:val="16"/>
        </w:rPr>
        <w:softHyphen/>
        <w:t>ствах, отпускаемых на изготовление образца учитывалась необходимость проведения до постройки образца ряда экспериментальных работ.</w:t>
      </w:r>
    </w:p>
    <w:p w14:paraId="6DD8EB1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Другая группа работ, которая в перечне не во всем объеме отражена в плане опытного строительства, эта группа научно-исследователь</w:t>
      </w:r>
      <w:r w:rsidRPr="00A259BD">
        <w:rPr>
          <w:rFonts w:ascii="Times New Roman" w:hAnsi="Times New Roman"/>
          <w:color w:val="000000" w:themeColor="text1"/>
          <w:sz w:val="16"/>
          <w:szCs w:val="16"/>
        </w:rPr>
        <w:softHyphen/>
        <w:t>ских работ, которые должны быть поставлены для проработки ряда те</w:t>
      </w:r>
      <w:r w:rsidRPr="00A259BD">
        <w:rPr>
          <w:rFonts w:ascii="Times New Roman" w:hAnsi="Times New Roman"/>
          <w:color w:val="000000" w:themeColor="text1"/>
          <w:sz w:val="16"/>
          <w:szCs w:val="16"/>
        </w:rPr>
        <w:softHyphen/>
        <w:t>оретических вопросов и новых принципов, выдвигаемых авиационной техникой и непосредственно не связанных с изготовлением стоящих в плане опытного строительства образцов.</w:t>
      </w:r>
    </w:p>
    <w:p w14:paraId="35C042C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Эта группа вопросов предусмотрена главным образом в смысле обеспечения ее осуществления отпуском необходимых денежных средств. На</w:t>
      </w:r>
      <w:r w:rsidRPr="00A259BD">
        <w:rPr>
          <w:rFonts w:ascii="Times New Roman" w:hAnsi="Times New Roman"/>
          <w:color w:val="000000" w:themeColor="text1"/>
          <w:sz w:val="16"/>
          <w:szCs w:val="16"/>
        </w:rPr>
        <w:softHyphen/>
        <w:t>именования работ в этой группе указаны лишь те, которые в данный момент являются актуальными, ибо предвидеть все темы не представ</w:t>
      </w:r>
      <w:r w:rsidRPr="00A259BD">
        <w:rPr>
          <w:rFonts w:ascii="Times New Roman" w:hAnsi="Times New Roman"/>
          <w:color w:val="000000" w:themeColor="text1"/>
          <w:sz w:val="16"/>
          <w:szCs w:val="16"/>
        </w:rPr>
        <w:softHyphen/>
        <w:t>ляется возможным.</w:t>
      </w:r>
    </w:p>
    <w:p w14:paraId="2BCE89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областей авиационной техники затронуты в настоящем плане ниже</w:t>
      </w:r>
      <w:r w:rsidRPr="00A259BD">
        <w:rPr>
          <w:rFonts w:ascii="Times New Roman" w:hAnsi="Times New Roman"/>
          <w:color w:val="000000" w:themeColor="text1"/>
          <w:sz w:val="16"/>
          <w:szCs w:val="16"/>
        </w:rPr>
        <w:softHyphen/>
        <w:t>следующие:</w:t>
      </w:r>
    </w:p>
    <w:p w14:paraId="2D7869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Самолетостроение.</w:t>
      </w:r>
    </w:p>
    <w:p w14:paraId="7F7B418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Авиационное моторостроение.</w:t>
      </w:r>
    </w:p>
    <w:p w14:paraId="368EBC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Вооружение и оборудование самолетов.</w:t>
      </w:r>
    </w:p>
    <w:p w14:paraId="1CDE90C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Авиационные материалы и стандартизация.</w:t>
      </w:r>
    </w:p>
    <w:p w14:paraId="21645E6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Воздухоплавание /аэростат и дирижабли малого объема/.</w:t>
      </w:r>
    </w:p>
    <w:p w14:paraId="2286A64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Какие работы предположено провести за 5 лет по отдельным областям подробно указывается в с </w:t>
      </w:r>
      <w:proofErr w:type="spellStart"/>
      <w:r w:rsidRPr="00A259BD">
        <w:rPr>
          <w:rFonts w:ascii="Times New Roman" w:hAnsi="Times New Roman"/>
          <w:color w:val="000000" w:themeColor="text1"/>
          <w:sz w:val="16"/>
          <w:szCs w:val="16"/>
        </w:rPr>
        <w:t>оответствутощем</w:t>
      </w:r>
      <w:proofErr w:type="spellEnd"/>
      <w:r w:rsidRPr="00A259BD">
        <w:rPr>
          <w:rFonts w:ascii="Times New Roman" w:hAnsi="Times New Roman"/>
          <w:color w:val="000000" w:themeColor="text1"/>
          <w:sz w:val="16"/>
          <w:szCs w:val="16"/>
        </w:rPr>
        <w:t xml:space="preserve"> разделе приложения, - ниже сего приводятся сводные данные по </w:t>
      </w:r>
      <w:proofErr w:type="spellStart"/>
      <w:r w:rsidRPr="00A259BD">
        <w:rPr>
          <w:rFonts w:ascii="Times New Roman" w:hAnsi="Times New Roman"/>
          <w:color w:val="000000" w:themeColor="text1"/>
          <w:sz w:val="16"/>
          <w:szCs w:val="16"/>
        </w:rPr>
        <w:t>главнейшм</w:t>
      </w:r>
      <w:proofErr w:type="spellEnd"/>
      <w:r w:rsidRPr="00A259BD">
        <w:rPr>
          <w:rFonts w:ascii="Times New Roman" w:hAnsi="Times New Roman"/>
          <w:color w:val="000000" w:themeColor="text1"/>
          <w:sz w:val="16"/>
          <w:szCs w:val="16"/>
        </w:rPr>
        <w:t xml:space="preserve"> работам.</w:t>
      </w:r>
    </w:p>
    <w:p w14:paraId="22A4E9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Самолетрстроение</w:t>
      </w:r>
      <w:proofErr w:type="spellEnd"/>
      <w:r w:rsidRPr="00A259BD">
        <w:rPr>
          <w:rFonts w:ascii="Times New Roman" w:hAnsi="Times New Roman"/>
          <w:color w:val="000000" w:themeColor="text1"/>
          <w:sz w:val="16"/>
          <w:szCs w:val="16"/>
        </w:rPr>
        <w:t>. Основные типы самолетов, намеченные к выполне</w:t>
      </w:r>
      <w:r w:rsidRPr="00A259BD">
        <w:rPr>
          <w:rFonts w:ascii="Times New Roman" w:hAnsi="Times New Roman"/>
          <w:color w:val="000000" w:themeColor="text1"/>
          <w:sz w:val="16"/>
          <w:szCs w:val="16"/>
        </w:rPr>
        <w:softHyphen/>
        <w:t>нию в 5-ти летнем плане будут: истребители /одноместные и много</w:t>
      </w:r>
      <w:r w:rsidRPr="00A259BD">
        <w:rPr>
          <w:rFonts w:ascii="Times New Roman" w:hAnsi="Times New Roman"/>
          <w:color w:val="000000" w:themeColor="text1"/>
          <w:sz w:val="16"/>
          <w:szCs w:val="16"/>
        </w:rPr>
        <w:softHyphen/>
        <w:t>местные/, бомбардировщики и торпедоносцы, вспомогательные и спе</w:t>
      </w:r>
      <w:r w:rsidRPr="00A259BD">
        <w:rPr>
          <w:rFonts w:ascii="Times New Roman" w:hAnsi="Times New Roman"/>
          <w:color w:val="000000" w:themeColor="text1"/>
          <w:sz w:val="16"/>
          <w:szCs w:val="16"/>
        </w:rPr>
        <w:softHyphen/>
        <w:t>циального назначения.</w:t>
      </w:r>
    </w:p>
    <w:p w14:paraId="2BA73D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Намеченные типы будут строится под моторы водяного и воздушного охлаждения из дерева, </w:t>
      </w:r>
      <w:proofErr w:type="spellStart"/>
      <w:r w:rsidRPr="00A259BD">
        <w:rPr>
          <w:rFonts w:ascii="Times New Roman" w:hAnsi="Times New Roman"/>
          <w:color w:val="000000" w:themeColor="text1"/>
          <w:sz w:val="16"/>
          <w:szCs w:val="16"/>
        </w:rPr>
        <w:t>дураля</w:t>
      </w:r>
      <w:proofErr w:type="spellEnd"/>
      <w:r w:rsidRPr="00A259BD">
        <w:rPr>
          <w:rFonts w:ascii="Times New Roman" w:hAnsi="Times New Roman"/>
          <w:color w:val="000000" w:themeColor="text1"/>
          <w:sz w:val="16"/>
          <w:szCs w:val="16"/>
        </w:rPr>
        <w:t xml:space="preserve"> и стали в чистом виде и смешанной конструкции.</w:t>
      </w:r>
    </w:p>
    <w:p w14:paraId="49ECEC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Необходимость постройки самолетов из разных материалов диктуется тем обстоятельством, что деревянные самолеты являются наиболее дешевыми в производстве и небольшие самолеты /разведчики, истре</w:t>
      </w:r>
      <w:r w:rsidRPr="00A259BD">
        <w:rPr>
          <w:rFonts w:ascii="Times New Roman" w:hAnsi="Times New Roman"/>
          <w:color w:val="000000" w:themeColor="text1"/>
          <w:sz w:val="16"/>
          <w:szCs w:val="16"/>
        </w:rPr>
        <w:softHyphen/>
        <w:t xml:space="preserve">бители/ могут быть осуществлены хорошего качества из дерева, С другой стороны, постройка больших самолетов /бомбардировщиков, торпедоносцев, морских/, хорошо может производиться </w:t>
      </w:r>
      <w:proofErr w:type="spellStart"/>
      <w:r w:rsidRPr="00A259BD">
        <w:rPr>
          <w:rFonts w:ascii="Times New Roman" w:hAnsi="Times New Roman"/>
          <w:color w:val="000000" w:themeColor="text1"/>
          <w:sz w:val="16"/>
          <w:szCs w:val="16"/>
        </w:rPr>
        <w:t>лищь</w:t>
      </w:r>
      <w:proofErr w:type="spellEnd"/>
      <w:r w:rsidRPr="00A259BD">
        <w:rPr>
          <w:rFonts w:ascii="Times New Roman" w:hAnsi="Times New Roman"/>
          <w:color w:val="000000" w:themeColor="text1"/>
          <w:sz w:val="16"/>
          <w:szCs w:val="16"/>
        </w:rPr>
        <w:t xml:space="preserve"> из металла /</w:t>
      </w:r>
      <w:proofErr w:type="spellStart"/>
      <w:r w:rsidRPr="00A259BD">
        <w:rPr>
          <w:rFonts w:ascii="Times New Roman" w:hAnsi="Times New Roman"/>
          <w:color w:val="000000" w:themeColor="text1"/>
          <w:sz w:val="16"/>
          <w:szCs w:val="16"/>
        </w:rPr>
        <w:t>дураль</w:t>
      </w:r>
      <w:proofErr w:type="spellEnd"/>
      <w:r w:rsidRPr="00A259BD">
        <w:rPr>
          <w:rFonts w:ascii="Times New Roman" w:hAnsi="Times New Roman"/>
          <w:color w:val="000000" w:themeColor="text1"/>
          <w:sz w:val="16"/>
          <w:szCs w:val="16"/>
        </w:rPr>
        <w:t xml:space="preserve">, сталь/. </w:t>
      </w:r>
      <w:proofErr w:type="spellStart"/>
      <w:r w:rsidRPr="00A259BD">
        <w:rPr>
          <w:rFonts w:ascii="Times New Roman" w:hAnsi="Times New Roman"/>
          <w:color w:val="000000" w:themeColor="text1"/>
          <w:sz w:val="16"/>
          <w:szCs w:val="16"/>
        </w:rPr>
        <w:t>Днревянные</w:t>
      </w:r>
      <w:proofErr w:type="spellEnd"/>
      <w:r w:rsidRPr="00A259BD">
        <w:rPr>
          <w:rFonts w:ascii="Times New Roman" w:hAnsi="Times New Roman"/>
          <w:color w:val="000000" w:themeColor="text1"/>
          <w:sz w:val="16"/>
          <w:szCs w:val="16"/>
        </w:rPr>
        <w:t xml:space="preserve"> конструкции выходят тяжелее весом и хуже ведут себя в </w:t>
      </w:r>
      <w:proofErr w:type="spellStart"/>
      <w:r w:rsidRPr="00A259BD">
        <w:rPr>
          <w:rFonts w:ascii="Times New Roman" w:hAnsi="Times New Roman"/>
          <w:color w:val="000000" w:themeColor="text1"/>
          <w:sz w:val="16"/>
          <w:szCs w:val="16"/>
        </w:rPr>
        <w:t>эксплоатации</w:t>
      </w:r>
      <w:proofErr w:type="spellEnd"/>
      <w:r w:rsidRPr="00A259BD">
        <w:rPr>
          <w:rFonts w:ascii="Times New Roman" w:hAnsi="Times New Roman"/>
          <w:color w:val="000000" w:themeColor="text1"/>
          <w:sz w:val="16"/>
          <w:szCs w:val="16"/>
        </w:rPr>
        <w:t xml:space="preserve">. Вместе с тем, </w:t>
      </w:r>
      <w:proofErr w:type="spellStart"/>
      <w:r w:rsidRPr="00A259BD">
        <w:rPr>
          <w:rFonts w:ascii="Times New Roman" w:hAnsi="Times New Roman"/>
          <w:color w:val="000000" w:themeColor="text1"/>
          <w:sz w:val="16"/>
          <w:szCs w:val="16"/>
        </w:rPr>
        <w:t>необьходимо</w:t>
      </w:r>
      <w:proofErr w:type="spellEnd"/>
      <w:r w:rsidRPr="00A259BD">
        <w:rPr>
          <w:rFonts w:ascii="Times New Roman" w:hAnsi="Times New Roman"/>
          <w:color w:val="000000" w:themeColor="text1"/>
          <w:sz w:val="16"/>
          <w:szCs w:val="16"/>
        </w:rPr>
        <w:t xml:space="preserve"> иметь ряд готовых конструкций из дерева и металла диктуется тем обстоятельством, что на случай затруднения со снабжением в лесе или металле /иностранный алюминий/ заставляет строить ряд конструк</w:t>
      </w:r>
      <w:r w:rsidRPr="00A259BD">
        <w:rPr>
          <w:rFonts w:ascii="Times New Roman" w:hAnsi="Times New Roman"/>
          <w:color w:val="000000" w:themeColor="text1"/>
          <w:sz w:val="16"/>
          <w:szCs w:val="16"/>
        </w:rPr>
        <w:softHyphen/>
        <w:t>ций смешанного типа с применением стали, кроме того эти конструк</w:t>
      </w:r>
      <w:r w:rsidRPr="00A259BD">
        <w:rPr>
          <w:rFonts w:ascii="Times New Roman" w:hAnsi="Times New Roman"/>
          <w:color w:val="000000" w:themeColor="text1"/>
          <w:sz w:val="16"/>
          <w:szCs w:val="16"/>
        </w:rPr>
        <w:softHyphen/>
        <w:t>ции /сварные трубчатые/ имеют преимущество перед другими в ремонте.</w:t>
      </w:r>
    </w:p>
    <w:p w14:paraId="214232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 пятилетний период намечено построить 41 новых типов сухопутных и морских самолетов и приспособить из них под другое назначение /как вариант основного типа/ или произвести улучшение типа с </w:t>
      </w:r>
      <w:proofErr w:type="spellStart"/>
      <w:r w:rsidRPr="00A259BD">
        <w:rPr>
          <w:rFonts w:ascii="Times New Roman" w:hAnsi="Times New Roman"/>
          <w:color w:val="000000" w:themeColor="text1"/>
          <w:sz w:val="16"/>
          <w:szCs w:val="16"/>
        </w:rPr>
        <w:t>пере</w:t>
      </w:r>
      <w:r w:rsidRPr="00A259BD">
        <w:rPr>
          <w:rFonts w:ascii="Times New Roman" w:hAnsi="Times New Roman"/>
          <w:color w:val="000000" w:themeColor="text1"/>
          <w:sz w:val="16"/>
          <w:szCs w:val="16"/>
        </w:rPr>
        <w:softHyphen/>
        <w:t>конструированием</w:t>
      </w:r>
      <w:proofErr w:type="spellEnd"/>
      <w:r w:rsidRPr="00A259BD">
        <w:rPr>
          <w:rFonts w:ascii="Times New Roman" w:hAnsi="Times New Roman"/>
          <w:color w:val="000000" w:themeColor="text1"/>
          <w:sz w:val="16"/>
          <w:szCs w:val="16"/>
        </w:rPr>
        <w:t xml:space="preserve"> 21 типа. А всего новых и </w:t>
      </w:r>
      <w:proofErr w:type="spellStart"/>
      <w:r w:rsidRPr="00A259BD">
        <w:rPr>
          <w:rFonts w:ascii="Times New Roman" w:hAnsi="Times New Roman"/>
          <w:color w:val="000000" w:themeColor="text1"/>
          <w:sz w:val="16"/>
          <w:szCs w:val="16"/>
        </w:rPr>
        <w:t>приспособленных'типов</w:t>
      </w:r>
      <w:proofErr w:type="spellEnd"/>
      <w:r w:rsidRPr="00A259BD">
        <w:rPr>
          <w:rFonts w:ascii="Times New Roman" w:hAnsi="Times New Roman"/>
          <w:color w:val="000000" w:themeColor="text1"/>
          <w:sz w:val="16"/>
          <w:szCs w:val="16"/>
        </w:rPr>
        <w:t xml:space="preserve"> самолетов намечено осуществить на 6 лет 62 типа.</w:t>
      </w:r>
    </w:p>
    <w:p w14:paraId="0395427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Количество типов самолетов, намеченное к постройке за:5 лет видно из нижеприведенной таблицы.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58"/>
        <w:gridCol w:w="3600"/>
        <w:gridCol w:w="1084"/>
        <w:gridCol w:w="1084"/>
        <w:gridCol w:w="1084"/>
        <w:gridCol w:w="1084"/>
        <w:gridCol w:w="1084"/>
      </w:tblGrid>
      <w:tr w:rsidR="00A259BD" w:rsidRPr="00A259BD" w14:paraId="7B6154C3" w14:textId="77777777">
        <w:tc>
          <w:tcPr>
            <w:tcW w:w="558" w:type="dxa"/>
            <w:tcBorders>
              <w:top w:val="single" w:sz="12" w:space="0" w:color="auto"/>
            </w:tcBorders>
          </w:tcPr>
          <w:p w14:paraId="102277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п/п</w:t>
            </w:r>
          </w:p>
        </w:tc>
        <w:tc>
          <w:tcPr>
            <w:tcW w:w="3600" w:type="dxa"/>
            <w:tcBorders>
              <w:top w:val="single" w:sz="12" w:space="0" w:color="auto"/>
            </w:tcBorders>
          </w:tcPr>
          <w:p w14:paraId="153E79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Класс самолета</w:t>
            </w:r>
          </w:p>
        </w:tc>
        <w:tc>
          <w:tcPr>
            <w:tcW w:w="2168" w:type="dxa"/>
            <w:gridSpan w:val="2"/>
            <w:tcBorders>
              <w:top w:val="single" w:sz="12" w:space="0" w:color="auto"/>
            </w:tcBorders>
          </w:tcPr>
          <w:p w14:paraId="18C34C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Сухопутных</w:t>
            </w:r>
          </w:p>
        </w:tc>
        <w:tc>
          <w:tcPr>
            <w:tcW w:w="2168" w:type="dxa"/>
            <w:gridSpan w:val="2"/>
            <w:tcBorders>
              <w:top w:val="single" w:sz="12" w:space="0" w:color="auto"/>
            </w:tcBorders>
          </w:tcPr>
          <w:p w14:paraId="175C1C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Морских</w:t>
            </w:r>
          </w:p>
        </w:tc>
        <w:tc>
          <w:tcPr>
            <w:tcW w:w="1084" w:type="dxa"/>
            <w:tcBorders>
              <w:top w:val="single" w:sz="12" w:space="0" w:color="auto"/>
            </w:tcBorders>
          </w:tcPr>
          <w:p w14:paraId="43CBC5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r>
      <w:tr w:rsidR="00A259BD" w:rsidRPr="00A259BD" w14:paraId="34BE6FBE" w14:textId="77777777">
        <w:tc>
          <w:tcPr>
            <w:tcW w:w="558" w:type="dxa"/>
          </w:tcPr>
          <w:p w14:paraId="5FFDB4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2F6F0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76622A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Дер.</w:t>
            </w:r>
          </w:p>
        </w:tc>
        <w:tc>
          <w:tcPr>
            <w:tcW w:w="1084" w:type="dxa"/>
          </w:tcPr>
          <w:p w14:paraId="2EFCF6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Мет./см.</w:t>
            </w:r>
          </w:p>
        </w:tc>
        <w:tc>
          <w:tcPr>
            <w:tcW w:w="1084" w:type="dxa"/>
          </w:tcPr>
          <w:p w14:paraId="39941C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Дер.</w:t>
            </w:r>
          </w:p>
        </w:tc>
        <w:tc>
          <w:tcPr>
            <w:tcW w:w="1084" w:type="dxa"/>
          </w:tcPr>
          <w:p w14:paraId="0212EC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Мет./см.</w:t>
            </w:r>
          </w:p>
        </w:tc>
        <w:tc>
          <w:tcPr>
            <w:tcW w:w="1084" w:type="dxa"/>
          </w:tcPr>
          <w:p w14:paraId="2B0688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FE9E146" w14:textId="77777777">
        <w:tc>
          <w:tcPr>
            <w:tcW w:w="558" w:type="dxa"/>
          </w:tcPr>
          <w:p w14:paraId="08D19F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3600" w:type="dxa"/>
          </w:tcPr>
          <w:p w14:paraId="6CE08B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Истребитель </w:t>
            </w:r>
            <w:proofErr w:type="spellStart"/>
            <w:r w:rsidRPr="00A259BD">
              <w:rPr>
                <w:rFonts w:ascii="Times New Roman" w:hAnsi="Times New Roman"/>
                <w:color w:val="000000" w:themeColor="text1"/>
                <w:sz w:val="16"/>
                <w:szCs w:val="16"/>
              </w:rPr>
              <w:t>одномест</w:t>
            </w:r>
            <w:proofErr w:type="spellEnd"/>
            <w:r w:rsidRPr="00A259BD">
              <w:rPr>
                <w:rFonts w:ascii="Times New Roman" w:hAnsi="Times New Roman"/>
                <w:color w:val="000000" w:themeColor="text1"/>
                <w:sz w:val="16"/>
                <w:szCs w:val="16"/>
              </w:rPr>
              <w:t xml:space="preserve">.: </w:t>
            </w:r>
          </w:p>
        </w:tc>
        <w:tc>
          <w:tcPr>
            <w:tcW w:w="1084" w:type="dxa"/>
          </w:tcPr>
          <w:p w14:paraId="7D65C7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4AA7F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BF120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C8577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74367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56B734C" w14:textId="77777777">
        <w:tc>
          <w:tcPr>
            <w:tcW w:w="558" w:type="dxa"/>
          </w:tcPr>
          <w:p w14:paraId="3A7416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12A1E8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новых самолетов</w:t>
            </w:r>
          </w:p>
        </w:tc>
        <w:tc>
          <w:tcPr>
            <w:tcW w:w="1084" w:type="dxa"/>
          </w:tcPr>
          <w:p w14:paraId="68514C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1084" w:type="dxa"/>
          </w:tcPr>
          <w:p w14:paraId="11E1D0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1084" w:type="dxa"/>
          </w:tcPr>
          <w:p w14:paraId="1EFEE7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33FCCD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046518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tc>
      </w:tr>
      <w:tr w:rsidR="00A259BD" w:rsidRPr="00A259BD" w14:paraId="18AEEB3E" w14:textId="77777777">
        <w:tc>
          <w:tcPr>
            <w:tcW w:w="558" w:type="dxa"/>
          </w:tcPr>
          <w:p w14:paraId="76330C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1F74F3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вариантов и </w:t>
            </w:r>
            <w:proofErr w:type="spellStart"/>
            <w:r w:rsidRPr="00A259BD">
              <w:rPr>
                <w:rFonts w:ascii="Times New Roman" w:hAnsi="Times New Roman"/>
                <w:color w:val="000000" w:themeColor="text1"/>
                <w:sz w:val="16"/>
                <w:szCs w:val="16"/>
              </w:rPr>
              <w:t>присп</w:t>
            </w:r>
            <w:proofErr w:type="spellEnd"/>
            <w:r w:rsidRPr="00A259BD">
              <w:rPr>
                <w:rFonts w:ascii="Times New Roman" w:hAnsi="Times New Roman"/>
                <w:color w:val="000000" w:themeColor="text1"/>
                <w:sz w:val="16"/>
                <w:szCs w:val="16"/>
              </w:rPr>
              <w:t>.</w:t>
            </w:r>
          </w:p>
        </w:tc>
        <w:tc>
          <w:tcPr>
            <w:tcW w:w="1084" w:type="dxa"/>
          </w:tcPr>
          <w:p w14:paraId="64AD9E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084" w:type="dxa"/>
          </w:tcPr>
          <w:p w14:paraId="73A6BF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5F0CE5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0CC261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183086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r>
      <w:tr w:rsidR="00A259BD" w:rsidRPr="00A259BD" w14:paraId="03209F06" w14:textId="77777777">
        <w:tc>
          <w:tcPr>
            <w:tcW w:w="558" w:type="dxa"/>
          </w:tcPr>
          <w:p w14:paraId="09835B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3600" w:type="dxa"/>
          </w:tcPr>
          <w:p w14:paraId="0F573D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Многоместн.истребит</w:t>
            </w:r>
            <w:proofErr w:type="spellEnd"/>
            <w:r w:rsidRPr="00A259BD">
              <w:rPr>
                <w:rFonts w:ascii="Times New Roman" w:hAnsi="Times New Roman"/>
                <w:color w:val="000000" w:themeColor="text1"/>
                <w:sz w:val="16"/>
                <w:szCs w:val="16"/>
              </w:rPr>
              <w:t>.:</w:t>
            </w:r>
          </w:p>
        </w:tc>
        <w:tc>
          <w:tcPr>
            <w:tcW w:w="1084" w:type="dxa"/>
          </w:tcPr>
          <w:p w14:paraId="20DAE2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82378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3CC90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9E190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D835A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6A91167" w14:textId="77777777">
        <w:tc>
          <w:tcPr>
            <w:tcW w:w="558" w:type="dxa"/>
          </w:tcPr>
          <w:p w14:paraId="158167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072F7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новых</w:t>
            </w:r>
          </w:p>
        </w:tc>
        <w:tc>
          <w:tcPr>
            <w:tcW w:w="1084" w:type="dxa"/>
          </w:tcPr>
          <w:p w14:paraId="759539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084" w:type="dxa"/>
          </w:tcPr>
          <w:p w14:paraId="78D3D0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710533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6F9C75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6061E5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r>
      <w:tr w:rsidR="00A259BD" w:rsidRPr="00A259BD" w14:paraId="363C73D7" w14:textId="77777777">
        <w:tc>
          <w:tcPr>
            <w:tcW w:w="558" w:type="dxa"/>
          </w:tcPr>
          <w:p w14:paraId="3F0D76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028733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приспособленных</w:t>
            </w:r>
          </w:p>
        </w:tc>
        <w:tc>
          <w:tcPr>
            <w:tcW w:w="1084" w:type="dxa"/>
          </w:tcPr>
          <w:p w14:paraId="17C65E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084" w:type="dxa"/>
          </w:tcPr>
          <w:p w14:paraId="301F0B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320905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1F2C29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7C3271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r>
      <w:tr w:rsidR="00A259BD" w:rsidRPr="00A259BD" w14:paraId="23B82EAF" w14:textId="77777777">
        <w:tc>
          <w:tcPr>
            <w:tcW w:w="558" w:type="dxa"/>
          </w:tcPr>
          <w:p w14:paraId="4834CB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3600" w:type="dxa"/>
          </w:tcPr>
          <w:p w14:paraId="2C79A4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Разведчики двухместные:</w:t>
            </w:r>
          </w:p>
        </w:tc>
        <w:tc>
          <w:tcPr>
            <w:tcW w:w="1084" w:type="dxa"/>
          </w:tcPr>
          <w:p w14:paraId="51A2C0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BB164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F6EB9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5C885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18B99C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58DC05A" w14:textId="77777777">
        <w:tc>
          <w:tcPr>
            <w:tcW w:w="558" w:type="dxa"/>
          </w:tcPr>
          <w:p w14:paraId="6BE3B8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1A2636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новых</w:t>
            </w:r>
          </w:p>
        </w:tc>
        <w:tc>
          <w:tcPr>
            <w:tcW w:w="1084" w:type="dxa"/>
          </w:tcPr>
          <w:p w14:paraId="47070D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74B0BC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084" w:type="dxa"/>
          </w:tcPr>
          <w:p w14:paraId="3B3CD5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084" w:type="dxa"/>
          </w:tcPr>
          <w:p w14:paraId="27D240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480727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tc>
      </w:tr>
      <w:tr w:rsidR="00A259BD" w:rsidRPr="00A259BD" w14:paraId="6444DE44" w14:textId="77777777">
        <w:tc>
          <w:tcPr>
            <w:tcW w:w="558" w:type="dxa"/>
          </w:tcPr>
          <w:p w14:paraId="3A192C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72C6D1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приспособленных</w:t>
            </w:r>
          </w:p>
        </w:tc>
        <w:tc>
          <w:tcPr>
            <w:tcW w:w="1084" w:type="dxa"/>
          </w:tcPr>
          <w:p w14:paraId="506BC1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50EFDF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084" w:type="dxa"/>
          </w:tcPr>
          <w:p w14:paraId="1D55A3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084" w:type="dxa"/>
          </w:tcPr>
          <w:p w14:paraId="797E7B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0458F8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tc>
      </w:tr>
      <w:tr w:rsidR="00A259BD" w:rsidRPr="00A259BD" w14:paraId="175BE950" w14:textId="77777777">
        <w:tc>
          <w:tcPr>
            <w:tcW w:w="558" w:type="dxa"/>
          </w:tcPr>
          <w:p w14:paraId="410FBF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3600" w:type="dxa"/>
          </w:tcPr>
          <w:p w14:paraId="143C1B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Разведчики </w:t>
            </w:r>
            <w:proofErr w:type="spellStart"/>
            <w:r w:rsidRPr="00A259BD">
              <w:rPr>
                <w:rFonts w:ascii="Times New Roman" w:hAnsi="Times New Roman"/>
                <w:color w:val="000000" w:themeColor="text1"/>
                <w:sz w:val="16"/>
                <w:szCs w:val="16"/>
              </w:rPr>
              <w:t>многоместн</w:t>
            </w:r>
            <w:proofErr w:type="spellEnd"/>
            <w:r w:rsidRPr="00A259BD">
              <w:rPr>
                <w:rFonts w:ascii="Times New Roman" w:hAnsi="Times New Roman"/>
                <w:color w:val="000000" w:themeColor="text1"/>
                <w:sz w:val="16"/>
                <w:szCs w:val="16"/>
              </w:rPr>
              <w:t>.:</w:t>
            </w:r>
          </w:p>
        </w:tc>
        <w:tc>
          <w:tcPr>
            <w:tcW w:w="1084" w:type="dxa"/>
          </w:tcPr>
          <w:p w14:paraId="6107C0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17CDF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E9625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11987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B77A0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7F76472" w14:textId="77777777">
        <w:tc>
          <w:tcPr>
            <w:tcW w:w="558" w:type="dxa"/>
          </w:tcPr>
          <w:p w14:paraId="3C125B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73D17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новых</w:t>
            </w:r>
          </w:p>
        </w:tc>
        <w:tc>
          <w:tcPr>
            <w:tcW w:w="1084" w:type="dxa"/>
          </w:tcPr>
          <w:p w14:paraId="6DB134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4229E6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5C74EB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084" w:type="dxa"/>
          </w:tcPr>
          <w:p w14:paraId="0C8794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485BE1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tc>
      </w:tr>
      <w:tr w:rsidR="00A259BD" w:rsidRPr="00A259BD" w14:paraId="3899CD08" w14:textId="77777777">
        <w:tc>
          <w:tcPr>
            <w:tcW w:w="558" w:type="dxa"/>
          </w:tcPr>
          <w:p w14:paraId="38D51B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629FAA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приспособленных</w:t>
            </w:r>
          </w:p>
        </w:tc>
        <w:tc>
          <w:tcPr>
            <w:tcW w:w="1084" w:type="dxa"/>
          </w:tcPr>
          <w:p w14:paraId="224B99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494129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084" w:type="dxa"/>
          </w:tcPr>
          <w:p w14:paraId="63E688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1E0C01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4D9718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3051FBA5" w14:textId="77777777">
        <w:tc>
          <w:tcPr>
            <w:tcW w:w="558" w:type="dxa"/>
          </w:tcPr>
          <w:p w14:paraId="7F5B8A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c>
          <w:tcPr>
            <w:tcW w:w="3600" w:type="dxa"/>
          </w:tcPr>
          <w:p w14:paraId="75D33A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Бомбардировщики и торпедоносцы:</w:t>
            </w:r>
          </w:p>
        </w:tc>
        <w:tc>
          <w:tcPr>
            <w:tcW w:w="1084" w:type="dxa"/>
          </w:tcPr>
          <w:p w14:paraId="437064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9C99C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67E86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EF7C3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121450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69821A7" w14:textId="77777777">
        <w:tc>
          <w:tcPr>
            <w:tcW w:w="558" w:type="dxa"/>
          </w:tcPr>
          <w:p w14:paraId="542FA8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436511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новых</w:t>
            </w:r>
          </w:p>
        </w:tc>
        <w:tc>
          <w:tcPr>
            <w:tcW w:w="1084" w:type="dxa"/>
          </w:tcPr>
          <w:p w14:paraId="175BC8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084" w:type="dxa"/>
          </w:tcPr>
          <w:p w14:paraId="3716F2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084" w:type="dxa"/>
          </w:tcPr>
          <w:p w14:paraId="066B30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5924F1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084" w:type="dxa"/>
          </w:tcPr>
          <w:p w14:paraId="795D97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tc>
      </w:tr>
      <w:tr w:rsidR="00A259BD" w:rsidRPr="00A259BD" w14:paraId="0B25F49A" w14:textId="77777777">
        <w:tc>
          <w:tcPr>
            <w:tcW w:w="558" w:type="dxa"/>
          </w:tcPr>
          <w:p w14:paraId="654FBC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3F0C4E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приспособленных</w:t>
            </w:r>
          </w:p>
        </w:tc>
        <w:tc>
          <w:tcPr>
            <w:tcW w:w="1084" w:type="dxa"/>
          </w:tcPr>
          <w:p w14:paraId="562419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41F786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4FF8A6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11298B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01CC06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137795FA" w14:textId="77777777">
        <w:tc>
          <w:tcPr>
            <w:tcW w:w="558" w:type="dxa"/>
          </w:tcPr>
          <w:p w14:paraId="4A2563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tc>
        <w:tc>
          <w:tcPr>
            <w:tcW w:w="3600" w:type="dxa"/>
          </w:tcPr>
          <w:p w14:paraId="176084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Вспомогательные само</w:t>
            </w:r>
            <w:r w:rsidRPr="00A259BD">
              <w:rPr>
                <w:rFonts w:ascii="Times New Roman" w:hAnsi="Times New Roman"/>
                <w:color w:val="000000" w:themeColor="text1"/>
                <w:sz w:val="16"/>
                <w:szCs w:val="16"/>
              </w:rPr>
              <w:softHyphen/>
              <w:t>леты /штурмовики и пр./</w:t>
            </w:r>
          </w:p>
        </w:tc>
        <w:tc>
          <w:tcPr>
            <w:tcW w:w="1084" w:type="dxa"/>
          </w:tcPr>
          <w:p w14:paraId="6CD610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B4DFA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97ED6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1FBEB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87FA2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C3AAF96" w14:textId="77777777">
        <w:tc>
          <w:tcPr>
            <w:tcW w:w="558" w:type="dxa"/>
          </w:tcPr>
          <w:p w14:paraId="6DC161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EC54E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новых</w:t>
            </w:r>
          </w:p>
        </w:tc>
        <w:tc>
          <w:tcPr>
            <w:tcW w:w="1084" w:type="dxa"/>
          </w:tcPr>
          <w:p w14:paraId="624E37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6DAD8F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367434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084" w:type="dxa"/>
          </w:tcPr>
          <w:p w14:paraId="231877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7C9FDE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r>
      <w:tr w:rsidR="00A259BD" w:rsidRPr="00A259BD" w14:paraId="79058EAC" w14:textId="77777777">
        <w:tc>
          <w:tcPr>
            <w:tcW w:w="558" w:type="dxa"/>
          </w:tcPr>
          <w:p w14:paraId="126EC3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3E60B6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приспособленных</w:t>
            </w:r>
          </w:p>
        </w:tc>
        <w:tc>
          <w:tcPr>
            <w:tcW w:w="1084" w:type="dxa"/>
          </w:tcPr>
          <w:p w14:paraId="1F49B3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696D48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084" w:type="dxa"/>
          </w:tcPr>
          <w:p w14:paraId="208547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084" w:type="dxa"/>
          </w:tcPr>
          <w:p w14:paraId="34252E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118366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r>
      <w:tr w:rsidR="00A259BD" w:rsidRPr="00A259BD" w14:paraId="782A1CE9" w14:textId="77777777">
        <w:tc>
          <w:tcPr>
            <w:tcW w:w="558" w:type="dxa"/>
          </w:tcPr>
          <w:p w14:paraId="653F48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w:t>
            </w:r>
          </w:p>
        </w:tc>
        <w:tc>
          <w:tcPr>
            <w:tcW w:w="3600" w:type="dxa"/>
          </w:tcPr>
          <w:p w14:paraId="47C5C0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Самолеты специального назначения /химичес</w:t>
            </w:r>
            <w:r w:rsidRPr="00A259BD">
              <w:rPr>
                <w:rFonts w:ascii="Times New Roman" w:hAnsi="Times New Roman"/>
                <w:color w:val="000000" w:themeColor="text1"/>
                <w:sz w:val="16"/>
                <w:szCs w:val="16"/>
              </w:rPr>
              <w:softHyphen/>
              <w:t xml:space="preserve">кий, </w:t>
            </w:r>
            <w:proofErr w:type="spellStart"/>
            <w:r w:rsidRPr="00A259BD">
              <w:rPr>
                <w:rFonts w:ascii="Times New Roman" w:hAnsi="Times New Roman"/>
                <w:color w:val="000000" w:themeColor="text1"/>
                <w:sz w:val="16"/>
                <w:szCs w:val="16"/>
              </w:rPr>
              <w:t>каваллерийский</w:t>
            </w:r>
            <w:proofErr w:type="spellEnd"/>
            <w:r w:rsidRPr="00A259BD">
              <w:rPr>
                <w:rFonts w:ascii="Times New Roman" w:hAnsi="Times New Roman"/>
                <w:color w:val="000000" w:themeColor="text1"/>
                <w:sz w:val="16"/>
                <w:szCs w:val="16"/>
              </w:rPr>
              <w:t>, амфибия/:</w:t>
            </w:r>
          </w:p>
        </w:tc>
        <w:tc>
          <w:tcPr>
            <w:tcW w:w="1084" w:type="dxa"/>
          </w:tcPr>
          <w:p w14:paraId="0884A0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314BD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DC146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AAFC4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741C2E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D7B1BDC" w14:textId="77777777">
        <w:tc>
          <w:tcPr>
            <w:tcW w:w="558" w:type="dxa"/>
          </w:tcPr>
          <w:p w14:paraId="02A413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6B7D9B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новых</w:t>
            </w:r>
          </w:p>
        </w:tc>
        <w:tc>
          <w:tcPr>
            <w:tcW w:w="1084" w:type="dxa"/>
          </w:tcPr>
          <w:p w14:paraId="4CB1E3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5F750C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084" w:type="dxa"/>
          </w:tcPr>
          <w:p w14:paraId="2873DC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1084" w:type="dxa"/>
          </w:tcPr>
          <w:p w14:paraId="7FE9A4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414FCD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tc>
      </w:tr>
      <w:tr w:rsidR="00A259BD" w:rsidRPr="00A259BD" w14:paraId="70F175B7" w14:textId="77777777">
        <w:tc>
          <w:tcPr>
            <w:tcW w:w="558" w:type="dxa"/>
          </w:tcPr>
          <w:p w14:paraId="66E885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01477A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приспособленных</w:t>
            </w:r>
          </w:p>
        </w:tc>
        <w:tc>
          <w:tcPr>
            <w:tcW w:w="1084" w:type="dxa"/>
          </w:tcPr>
          <w:p w14:paraId="2E291B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7A0A1C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70F79F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66A4C9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84" w:type="dxa"/>
          </w:tcPr>
          <w:p w14:paraId="5AC920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1F16EBF1" w14:textId="77777777">
        <w:tc>
          <w:tcPr>
            <w:tcW w:w="558" w:type="dxa"/>
            <w:tcBorders>
              <w:bottom w:val="single" w:sz="12" w:space="0" w:color="auto"/>
            </w:tcBorders>
          </w:tcPr>
          <w:p w14:paraId="7A3DE0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Borders>
              <w:bottom w:val="single" w:sz="12" w:space="0" w:color="auto"/>
            </w:tcBorders>
          </w:tcPr>
          <w:p w14:paraId="32E5BA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1084" w:type="dxa"/>
            <w:tcBorders>
              <w:bottom w:val="single" w:sz="12" w:space="0" w:color="auto"/>
            </w:tcBorders>
          </w:tcPr>
          <w:p w14:paraId="323319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w:t>
            </w:r>
          </w:p>
        </w:tc>
        <w:tc>
          <w:tcPr>
            <w:tcW w:w="1084" w:type="dxa"/>
            <w:tcBorders>
              <w:bottom w:val="single" w:sz="12" w:space="0" w:color="auto"/>
            </w:tcBorders>
          </w:tcPr>
          <w:p w14:paraId="6D53FE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w:t>
            </w:r>
          </w:p>
        </w:tc>
        <w:tc>
          <w:tcPr>
            <w:tcW w:w="1084" w:type="dxa"/>
            <w:tcBorders>
              <w:bottom w:val="single" w:sz="12" w:space="0" w:color="auto"/>
            </w:tcBorders>
          </w:tcPr>
          <w:p w14:paraId="4A66CA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w:t>
            </w:r>
          </w:p>
        </w:tc>
        <w:tc>
          <w:tcPr>
            <w:tcW w:w="1084" w:type="dxa"/>
            <w:tcBorders>
              <w:bottom w:val="single" w:sz="12" w:space="0" w:color="auto"/>
            </w:tcBorders>
          </w:tcPr>
          <w:p w14:paraId="6467B7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tc>
        <w:tc>
          <w:tcPr>
            <w:tcW w:w="1084" w:type="dxa"/>
            <w:tcBorders>
              <w:bottom w:val="single" w:sz="12" w:space="0" w:color="auto"/>
            </w:tcBorders>
          </w:tcPr>
          <w:p w14:paraId="7A014D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w:t>
            </w:r>
          </w:p>
        </w:tc>
      </w:tr>
    </w:tbl>
    <w:p w14:paraId="4D663F9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виду того, что каждый новый тип самолета строится в 2 1/2 экземплярах /2 для полета и 1/2 для статических испытаний/, а приспособленные самолеты в двух экземплярах, то количество экземпляров сухопутных и морских самолетов предположенных к постройке за 5 лет будет исчисляться в 145 штук, что даст в среднем в год постройку около 30 штук самолетов разных типов.</w:t>
      </w:r>
    </w:p>
    <w:p w14:paraId="66A3335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Краткая техническая характеристика приведенных типов самоле</w:t>
      </w:r>
      <w:r w:rsidRPr="00A259BD">
        <w:rPr>
          <w:rFonts w:ascii="Times New Roman" w:hAnsi="Times New Roman"/>
          <w:color w:val="000000" w:themeColor="text1"/>
          <w:sz w:val="16"/>
          <w:szCs w:val="16"/>
        </w:rPr>
        <w:softHyphen/>
        <w:t>тов дана в приложении.</w:t>
      </w:r>
    </w:p>
    <w:p w14:paraId="1DF476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Производственные возможности для выполнения намеченного плана у нас имеются, промышленность ь основном подготовлена.</w:t>
      </w:r>
    </w:p>
    <w:p w14:paraId="4677CD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 только будет: шире развить вопросы применения сварки тонких стальных труб, увеличить численно состав кон</w:t>
      </w:r>
      <w:r w:rsidRPr="00A259BD">
        <w:rPr>
          <w:rFonts w:ascii="Times New Roman" w:hAnsi="Times New Roman"/>
          <w:color w:val="000000" w:themeColor="text1"/>
          <w:sz w:val="16"/>
          <w:szCs w:val="16"/>
        </w:rPr>
        <w:softHyphen/>
        <w:t xml:space="preserve">структорских бюро и опытных отделов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и ЦАГИ, кото</w:t>
      </w:r>
      <w:r w:rsidRPr="00A259BD">
        <w:rPr>
          <w:rFonts w:ascii="Times New Roman" w:hAnsi="Times New Roman"/>
          <w:color w:val="000000" w:themeColor="text1"/>
          <w:sz w:val="16"/>
          <w:szCs w:val="16"/>
        </w:rPr>
        <w:softHyphen/>
        <w:t xml:space="preserve">рые явятся глав </w:t>
      </w:r>
      <w:proofErr w:type="spellStart"/>
      <w:r w:rsidRPr="00A259BD">
        <w:rPr>
          <w:rFonts w:ascii="Times New Roman" w:hAnsi="Times New Roman"/>
          <w:color w:val="000000" w:themeColor="text1"/>
          <w:sz w:val="16"/>
          <w:szCs w:val="16"/>
        </w:rPr>
        <w:t>ными</w:t>
      </w:r>
      <w:proofErr w:type="spellEnd"/>
      <w:r w:rsidRPr="00A259BD">
        <w:rPr>
          <w:rFonts w:ascii="Times New Roman" w:hAnsi="Times New Roman"/>
          <w:color w:val="000000" w:themeColor="text1"/>
          <w:sz w:val="16"/>
          <w:szCs w:val="16"/>
        </w:rPr>
        <w:t xml:space="preserve"> исполнителями плана, затем дооборудовать ЦАГИ и пустить в работу гидроканал ЦАГИ.</w:t>
      </w:r>
    </w:p>
    <w:p w14:paraId="7D2352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Средства, потребные для выполнения 5-ти летнего плана по са</w:t>
      </w:r>
      <w:r w:rsidRPr="00A259BD">
        <w:rPr>
          <w:rFonts w:ascii="Times New Roman" w:hAnsi="Times New Roman"/>
          <w:color w:val="000000" w:themeColor="text1"/>
          <w:sz w:val="16"/>
          <w:szCs w:val="16"/>
        </w:rPr>
        <w:softHyphen/>
        <w:t>молетостроению исчислены в сумме 10.496.000 рублей.</w:t>
      </w:r>
    </w:p>
    <w:p w14:paraId="4F13EC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эту сумму входят и работы экспериментально-исследователь</w:t>
      </w:r>
      <w:r w:rsidRPr="00A259BD">
        <w:rPr>
          <w:rFonts w:ascii="Times New Roman" w:hAnsi="Times New Roman"/>
          <w:color w:val="000000" w:themeColor="text1"/>
          <w:sz w:val="16"/>
          <w:szCs w:val="16"/>
        </w:rPr>
        <w:softHyphen/>
        <w:t xml:space="preserve">ского порядка /например, постройка геликоптера, применение </w:t>
      </w:r>
      <w:proofErr w:type="spellStart"/>
      <w:r w:rsidRPr="00A259BD">
        <w:rPr>
          <w:rFonts w:ascii="Times New Roman" w:hAnsi="Times New Roman"/>
          <w:color w:val="000000" w:themeColor="text1"/>
          <w:sz w:val="16"/>
          <w:szCs w:val="16"/>
        </w:rPr>
        <w:t>разревных</w:t>
      </w:r>
      <w:proofErr w:type="spellEnd"/>
      <w:r w:rsidRPr="00A259BD">
        <w:rPr>
          <w:rFonts w:ascii="Times New Roman" w:hAnsi="Times New Roman"/>
          <w:color w:val="000000" w:themeColor="text1"/>
          <w:sz w:val="16"/>
          <w:szCs w:val="16"/>
        </w:rPr>
        <w:t xml:space="preserve"> крыльев, работы по штопору, устойчивости, по нор</w:t>
      </w:r>
      <w:r w:rsidRPr="00A259BD">
        <w:rPr>
          <w:rFonts w:ascii="Times New Roman" w:hAnsi="Times New Roman"/>
          <w:color w:val="000000" w:themeColor="text1"/>
          <w:sz w:val="16"/>
          <w:szCs w:val="16"/>
        </w:rPr>
        <w:softHyphen/>
        <w:t>мам прочности и проч./.</w:t>
      </w:r>
    </w:p>
    <w:p w14:paraId="4A5289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Моторо</w:t>
      </w:r>
      <w:proofErr w:type="spellEnd"/>
      <w:r w:rsidRPr="00A259BD">
        <w:rPr>
          <w:rFonts w:ascii="Times New Roman" w:hAnsi="Times New Roman"/>
          <w:color w:val="000000" w:themeColor="text1"/>
          <w:sz w:val="16"/>
          <w:szCs w:val="16"/>
        </w:rPr>
        <w:t xml:space="preserve"> строение.</w:t>
      </w:r>
    </w:p>
    <w:p w14:paraId="5B6686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Эта важнейшая отрасль авиационной промышленности является у нас до сих пор наиболее отстающей от потребностей и требует к себе </w:t>
      </w:r>
      <w:proofErr w:type="spellStart"/>
      <w:r w:rsidRPr="00A259BD">
        <w:rPr>
          <w:rFonts w:ascii="Times New Roman" w:hAnsi="Times New Roman"/>
          <w:color w:val="000000" w:themeColor="text1"/>
          <w:sz w:val="16"/>
          <w:szCs w:val="16"/>
        </w:rPr>
        <w:t>исключителъного.внимания</w:t>
      </w:r>
      <w:proofErr w:type="spellEnd"/>
      <w:r w:rsidRPr="00A259BD">
        <w:rPr>
          <w:rFonts w:ascii="Times New Roman" w:hAnsi="Times New Roman"/>
          <w:color w:val="000000" w:themeColor="text1"/>
          <w:sz w:val="16"/>
          <w:szCs w:val="16"/>
        </w:rPr>
        <w:t>, так как прогресс развития самолетостроения находится в прямой и непосредственной зави</w:t>
      </w:r>
      <w:r w:rsidRPr="00A259BD">
        <w:rPr>
          <w:rFonts w:ascii="Times New Roman" w:hAnsi="Times New Roman"/>
          <w:color w:val="000000" w:themeColor="text1"/>
          <w:sz w:val="16"/>
          <w:szCs w:val="16"/>
        </w:rPr>
        <w:softHyphen/>
        <w:t>симости от состояния моторостроения.</w:t>
      </w:r>
    </w:p>
    <w:p w14:paraId="074B6A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Наша </w:t>
      </w:r>
      <w:proofErr w:type="spellStart"/>
      <w:r w:rsidRPr="00A259BD">
        <w:rPr>
          <w:rFonts w:ascii="Times New Roman" w:hAnsi="Times New Roman"/>
          <w:color w:val="000000" w:themeColor="text1"/>
          <w:sz w:val="16"/>
          <w:szCs w:val="16"/>
        </w:rPr>
        <w:t>отсталось</w:t>
      </w:r>
      <w:proofErr w:type="spellEnd"/>
      <w:r w:rsidRPr="00A259BD">
        <w:rPr>
          <w:rFonts w:ascii="Times New Roman" w:hAnsi="Times New Roman"/>
          <w:color w:val="000000" w:themeColor="text1"/>
          <w:sz w:val="16"/>
          <w:szCs w:val="16"/>
        </w:rPr>
        <w:t xml:space="preserve"> по моторостроению от запада может быть исчис</w:t>
      </w:r>
      <w:r w:rsidRPr="00A259BD">
        <w:rPr>
          <w:rFonts w:ascii="Times New Roman" w:hAnsi="Times New Roman"/>
          <w:color w:val="000000" w:themeColor="text1"/>
          <w:sz w:val="16"/>
          <w:szCs w:val="16"/>
        </w:rPr>
        <w:softHyphen/>
        <w:t>лена примерно на 4 года и нужны энергичные мероприятия для подъема моторостроения на высоту заграничной, намеченные к постройке моторы к концу пятилетнего плана по качеству будут только подходить к заграничным, но не превосходить их.</w:t>
      </w:r>
    </w:p>
    <w:p w14:paraId="7343B36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Весь план опытного моторостроения разбивается на три основные группы:</w:t>
      </w:r>
    </w:p>
    <w:p w14:paraId="0745A2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Боевые моторы для серийного производства.</w:t>
      </w:r>
    </w:p>
    <w:p w14:paraId="158071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Экспериментальные моторы, строящиеся для поверки новых прин</w:t>
      </w:r>
      <w:r w:rsidRPr="00A259BD">
        <w:rPr>
          <w:rFonts w:ascii="Times New Roman" w:hAnsi="Times New Roman"/>
          <w:color w:val="000000" w:themeColor="text1"/>
          <w:sz w:val="16"/>
          <w:szCs w:val="16"/>
        </w:rPr>
        <w:softHyphen/>
        <w:t xml:space="preserve">ципов. </w:t>
      </w:r>
    </w:p>
    <w:p w14:paraId="7B852FC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Моторы для гражданской, учебной и спортивной-авиации.</w:t>
      </w:r>
    </w:p>
    <w:p w14:paraId="3F87312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первой группе опытных моторов, </w:t>
      </w:r>
      <w:proofErr w:type="spellStart"/>
      <w:r w:rsidRPr="00A259BD">
        <w:rPr>
          <w:rFonts w:ascii="Times New Roman" w:hAnsi="Times New Roman"/>
          <w:color w:val="000000" w:themeColor="text1"/>
          <w:sz w:val="16"/>
          <w:szCs w:val="16"/>
        </w:rPr>
        <w:t>поедназначенных</w:t>
      </w:r>
      <w:proofErr w:type="spellEnd"/>
      <w:r w:rsidRPr="00A259BD">
        <w:rPr>
          <w:rFonts w:ascii="Times New Roman" w:hAnsi="Times New Roman"/>
          <w:color w:val="000000" w:themeColor="text1"/>
          <w:sz w:val="16"/>
          <w:szCs w:val="16"/>
        </w:rPr>
        <w:t xml:space="preserve"> для боевой авиации предположено построить следующее количество типов моторов:</w:t>
      </w:r>
    </w:p>
    <w:p w14:paraId="407648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Для истребительных - 4 типа моторов водяного охлаждения и 5 типов воздушного.</w:t>
      </w:r>
    </w:p>
    <w:p w14:paraId="14BF260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моторам этой группы не ставится больших требований в отношении </w:t>
      </w:r>
      <w:proofErr w:type="spellStart"/>
      <w:r w:rsidRPr="00A259BD">
        <w:rPr>
          <w:rFonts w:ascii="Times New Roman" w:hAnsi="Times New Roman"/>
          <w:color w:val="000000" w:themeColor="text1"/>
          <w:sz w:val="16"/>
          <w:szCs w:val="16"/>
        </w:rPr>
        <w:t>экономичаоет</w:t>
      </w:r>
      <w:proofErr w:type="spellEnd"/>
      <w:r w:rsidRPr="00A259BD">
        <w:rPr>
          <w:rFonts w:ascii="Times New Roman" w:hAnsi="Times New Roman"/>
          <w:color w:val="000000" w:themeColor="text1"/>
          <w:sz w:val="16"/>
          <w:szCs w:val="16"/>
        </w:rPr>
        <w:t>! и длительности работы, но они должны обладать высо</w:t>
      </w:r>
      <w:r w:rsidRPr="00A259BD">
        <w:rPr>
          <w:rFonts w:ascii="Times New Roman" w:hAnsi="Times New Roman"/>
          <w:color w:val="000000" w:themeColor="text1"/>
          <w:sz w:val="16"/>
          <w:szCs w:val="16"/>
        </w:rPr>
        <w:softHyphen/>
        <w:t>кой мощностью, должны сохранять эту мощность до большой высоты и обладать возможно малым габаритом и весом.</w:t>
      </w:r>
    </w:p>
    <w:p w14:paraId="0422C5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Для разведывательных самолетов: 2 типа моторов водяного охлаж</w:t>
      </w:r>
      <w:r w:rsidRPr="00A259BD">
        <w:rPr>
          <w:rFonts w:ascii="Times New Roman" w:hAnsi="Times New Roman"/>
          <w:color w:val="000000" w:themeColor="text1"/>
          <w:sz w:val="16"/>
          <w:szCs w:val="16"/>
        </w:rPr>
        <w:softHyphen/>
        <w:t>дения и 2 типа моторов воздушного охлаждения.</w:t>
      </w:r>
    </w:p>
    <w:p w14:paraId="4509C7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Эти моторы должны обладать большей экономичностью и большей, дли</w:t>
      </w:r>
      <w:r w:rsidRPr="00A259BD">
        <w:rPr>
          <w:rFonts w:ascii="Times New Roman" w:hAnsi="Times New Roman"/>
          <w:color w:val="000000" w:themeColor="text1"/>
          <w:sz w:val="16"/>
          <w:szCs w:val="16"/>
        </w:rPr>
        <w:softHyphen/>
        <w:t>тельностью срока службы, чем моторы первой группы. Моторы воздушно</w:t>
      </w:r>
      <w:r w:rsidRPr="00A259BD">
        <w:rPr>
          <w:rFonts w:ascii="Times New Roman" w:hAnsi="Times New Roman"/>
          <w:color w:val="000000" w:themeColor="text1"/>
          <w:sz w:val="16"/>
          <w:szCs w:val="16"/>
        </w:rPr>
        <w:softHyphen/>
        <w:t>го охлаждения этой группы могут быть применены и на бомбардировщи</w:t>
      </w:r>
      <w:r w:rsidRPr="00A259BD">
        <w:rPr>
          <w:rFonts w:ascii="Times New Roman" w:hAnsi="Times New Roman"/>
          <w:color w:val="000000" w:themeColor="text1"/>
          <w:sz w:val="16"/>
          <w:szCs w:val="16"/>
        </w:rPr>
        <w:softHyphen/>
        <w:t>ках.</w:t>
      </w:r>
    </w:p>
    <w:p w14:paraId="232E7E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Для бомбардировщиков и тяжелых </w:t>
      </w:r>
      <w:proofErr w:type="spellStart"/>
      <w:r w:rsidRPr="00A259BD">
        <w:rPr>
          <w:rFonts w:ascii="Times New Roman" w:hAnsi="Times New Roman"/>
          <w:color w:val="000000" w:themeColor="text1"/>
          <w:sz w:val="16"/>
          <w:szCs w:val="16"/>
        </w:rPr>
        <w:t>самолагов</w:t>
      </w:r>
      <w:proofErr w:type="spellEnd"/>
      <w:r w:rsidRPr="00A259BD">
        <w:rPr>
          <w:rFonts w:ascii="Times New Roman" w:hAnsi="Times New Roman"/>
          <w:color w:val="000000" w:themeColor="text1"/>
          <w:sz w:val="16"/>
          <w:szCs w:val="16"/>
        </w:rPr>
        <w:t xml:space="preserve"> предположено построить 3 типа моторов водяного охлаждения, для которых главным требованием является наличие возможно большей мощности в одном аггрегате.</w:t>
      </w:r>
    </w:p>
    <w:p w14:paraId="49B6008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по этой группе будет построено 9 типов моторов водяного ох</w:t>
      </w:r>
      <w:r w:rsidRPr="00A259BD">
        <w:rPr>
          <w:rFonts w:ascii="Times New Roman" w:hAnsi="Times New Roman"/>
          <w:color w:val="000000" w:themeColor="text1"/>
          <w:sz w:val="16"/>
          <w:szCs w:val="16"/>
        </w:rPr>
        <w:softHyphen/>
        <w:t>лаждения и 7 типов воздушного, ввиду того, что каждый мотор будет строиться в 2-х экземплярах, все количество экземпляров будет равно 32 штук.</w:t>
      </w:r>
    </w:p>
    <w:p w14:paraId="66402E5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Моторы боевой группы строятся водяного и воздушного охлаждения по</w:t>
      </w:r>
      <w:r w:rsidRPr="00A259BD">
        <w:rPr>
          <w:rFonts w:ascii="Times New Roman" w:hAnsi="Times New Roman"/>
          <w:color w:val="000000" w:themeColor="text1"/>
          <w:sz w:val="16"/>
          <w:szCs w:val="16"/>
        </w:rPr>
        <w:softHyphen/>
        <w:t xml:space="preserve">тому, что современная техника не дает возможности остановиться на каком либо одном виде охлаждения, так как каждый вид охлаждения дает свои преимущества, то </w:t>
      </w:r>
      <w:r w:rsidRPr="00A259BD">
        <w:rPr>
          <w:rFonts w:ascii="Times New Roman" w:hAnsi="Times New Roman"/>
          <w:smallCaps/>
          <w:color w:val="000000" w:themeColor="text1"/>
          <w:sz w:val="16"/>
          <w:szCs w:val="16"/>
        </w:rPr>
        <w:t xml:space="preserve">б </w:t>
      </w:r>
      <w:r w:rsidRPr="00A259BD">
        <w:rPr>
          <w:rFonts w:ascii="Times New Roman" w:hAnsi="Times New Roman"/>
          <w:color w:val="000000" w:themeColor="text1"/>
          <w:sz w:val="16"/>
          <w:szCs w:val="16"/>
        </w:rPr>
        <w:t xml:space="preserve">плане поставлены </w:t>
      </w:r>
      <w:proofErr w:type="spellStart"/>
      <w:r w:rsidRPr="00A259BD">
        <w:rPr>
          <w:rFonts w:ascii="Times New Roman" w:hAnsi="Times New Roman"/>
          <w:color w:val="000000" w:themeColor="text1"/>
          <w:sz w:val="16"/>
          <w:szCs w:val="16"/>
        </w:rPr>
        <w:t>миторы</w:t>
      </w:r>
      <w:proofErr w:type="spellEnd"/>
      <w:r w:rsidRPr="00A259BD">
        <w:rPr>
          <w:rFonts w:ascii="Times New Roman" w:hAnsi="Times New Roman"/>
          <w:color w:val="000000" w:themeColor="text1"/>
          <w:sz w:val="16"/>
          <w:szCs w:val="16"/>
        </w:rPr>
        <w:t xml:space="preserve"> с обоими ви</w:t>
      </w:r>
      <w:r w:rsidRPr="00A259BD">
        <w:rPr>
          <w:rFonts w:ascii="Times New Roman" w:hAnsi="Times New Roman"/>
          <w:color w:val="000000" w:themeColor="text1"/>
          <w:sz w:val="16"/>
          <w:szCs w:val="16"/>
        </w:rPr>
        <w:softHyphen/>
        <w:t>дами охлаждения.</w:t>
      </w:r>
    </w:p>
    <w:p w14:paraId="473D8E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Топливо, на </w:t>
      </w:r>
      <w:proofErr w:type="spellStart"/>
      <w:r w:rsidRPr="00A259BD">
        <w:rPr>
          <w:rFonts w:ascii="Times New Roman" w:hAnsi="Times New Roman"/>
          <w:color w:val="000000" w:themeColor="text1"/>
          <w:sz w:val="16"/>
          <w:szCs w:val="16"/>
        </w:rPr>
        <w:t>котром</w:t>
      </w:r>
      <w:proofErr w:type="spellEnd"/>
      <w:r w:rsidRPr="00A259BD">
        <w:rPr>
          <w:rFonts w:ascii="Times New Roman" w:hAnsi="Times New Roman"/>
          <w:color w:val="000000" w:themeColor="text1"/>
          <w:sz w:val="16"/>
          <w:szCs w:val="16"/>
        </w:rPr>
        <w:t xml:space="preserve"> должны работать моторы боевой группы, предназначенные для серийного производства, будет: </w:t>
      </w:r>
      <w:proofErr w:type="spellStart"/>
      <w:r w:rsidRPr="00A259BD">
        <w:rPr>
          <w:rFonts w:ascii="Times New Roman" w:hAnsi="Times New Roman"/>
          <w:color w:val="000000" w:themeColor="text1"/>
          <w:sz w:val="16"/>
          <w:szCs w:val="16"/>
        </w:rPr>
        <w:t>бензино</w:t>
      </w:r>
      <w:proofErr w:type="spellEnd"/>
      <w:r w:rsidRPr="00A259BD">
        <w:rPr>
          <w:rFonts w:ascii="Times New Roman" w:hAnsi="Times New Roman"/>
          <w:color w:val="000000" w:themeColor="text1"/>
          <w:sz w:val="16"/>
          <w:szCs w:val="16"/>
        </w:rPr>
        <w:t xml:space="preserve">-бензольная, </w:t>
      </w:r>
      <w:proofErr w:type="spellStart"/>
      <w:r w:rsidRPr="00A259BD">
        <w:rPr>
          <w:rFonts w:ascii="Times New Roman" w:hAnsi="Times New Roman"/>
          <w:color w:val="000000" w:themeColor="text1"/>
          <w:sz w:val="16"/>
          <w:szCs w:val="16"/>
        </w:rPr>
        <w:t>бензино</w:t>
      </w:r>
      <w:proofErr w:type="spellEnd"/>
      <w:r w:rsidRPr="00A259BD">
        <w:rPr>
          <w:rFonts w:ascii="Times New Roman" w:hAnsi="Times New Roman"/>
          <w:color w:val="000000" w:themeColor="text1"/>
          <w:sz w:val="16"/>
          <w:szCs w:val="16"/>
        </w:rPr>
        <w:t>-толуоловая смесь или же бензин с примесью антидетонаторов.</w:t>
      </w:r>
    </w:p>
    <w:p w14:paraId="1F7E69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Выпуск моторов этой группы по годам распределится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8208"/>
      </w:tblGrid>
      <w:tr w:rsidR="00A259BD" w:rsidRPr="00A259BD" w14:paraId="2911E6D3" w14:textId="77777777">
        <w:tc>
          <w:tcPr>
            <w:tcW w:w="1368" w:type="dxa"/>
            <w:tcBorders>
              <w:top w:val="single" w:sz="12" w:space="0" w:color="auto"/>
            </w:tcBorders>
            <w:shd w:val="clear" w:color="auto" w:fill="FFFFFF"/>
          </w:tcPr>
          <w:p w14:paraId="4FA7ED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 29 г.</w:t>
            </w:r>
          </w:p>
        </w:tc>
        <w:tc>
          <w:tcPr>
            <w:tcW w:w="8208" w:type="dxa"/>
            <w:tcBorders>
              <w:top w:val="single" w:sz="12" w:space="0" w:color="auto"/>
            </w:tcBorders>
            <w:shd w:val="clear" w:color="auto" w:fill="FFFFFF"/>
          </w:tcPr>
          <w:p w14:paraId="785327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- 0</w:t>
            </w:r>
          </w:p>
        </w:tc>
      </w:tr>
      <w:tr w:rsidR="00A259BD" w:rsidRPr="00A259BD" w14:paraId="656FFAFB" w14:textId="77777777">
        <w:tc>
          <w:tcPr>
            <w:tcW w:w="1368" w:type="dxa"/>
            <w:shd w:val="clear" w:color="auto" w:fill="FFFFFF"/>
          </w:tcPr>
          <w:p w14:paraId="2ED0F6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w:t>
            </w:r>
          </w:p>
        </w:tc>
        <w:tc>
          <w:tcPr>
            <w:tcW w:w="8208" w:type="dxa"/>
            <w:shd w:val="clear" w:color="auto" w:fill="FFFFFF"/>
          </w:tcPr>
          <w:p w14:paraId="21917C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- 1 тип мотора водяного охлаждения мощностью в 550/600 л.с.</w:t>
            </w:r>
          </w:p>
        </w:tc>
      </w:tr>
      <w:tr w:rsidR="00A259BD" w:rsidRPr="00A259BD" w14:paraId="2898177D" w14:textId="77777777">
        <w:tc>
          <w:tcPr>
            <w:tcW w:w="1368" w:type="dxa"/>
            <w:shd w:val="clear" w:color="auto" w:fill="FFFFFF"/>
          </w:tcPr>
          <w:p w14:paraId="13FC61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 г.</w:t>
            </w:r>
          </w:p>
        </w:tc>
        <w:tc>
          <w:tcPr>
            <w:tcW w:w="8208" w:type="dxa"/>
            <w:shd w:val="clear" w:color="auto" w:fill="FFFFFF"/>
          </w:tcPr>
          <w:p w14:paraId="5424F3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- 2 типа моторов </w:t>
            </w:r>
            <w:proofErr w:type="spellStart"/>
            <w:r w:rsidRPr="00A259BD">
              <w:rPr>
                <w:rFonts w:ascii="Times New Roman" w:hAnsi="Times New Roman"/>
                <w:color w:val="000000" w:themeColor="text1"/>
                <w:sz w:val="16"/>
                <w:szCs w:val="16"/>
              </w:rPr>
              <w:t>водявого</w:t>
            </w:r>
            <w:proofErr w:type="spellEnd"/>
            <w:r w:rsidRPr="00A259BD">
              <w:rPr>
                <w:rFonts w:ascii="Times New Roman" w:hAnsi="Times New Roman"/>
                <w:color w:val="000000" w:themeColor="text1"/>
                <w:sz w:val="16"/>
                <w:szCs w:val="16"/>
              </w:rPr>
              <w:t xml:space="preserve"> охлаждения мощностью в 600/720 и 700/840 л.с.</w:t>
            </w:r>
          </w:p>
        </w:tc>
      </w:tr>
      <w:tr w:rsidR="00A259BD" w:rsidRPr="00A259BD" w14:paraId="13D9DC88" w14:textId="77777777">
        <w:tc>
          <w:tcPr>
            <w:tcW w:w="1368" w:type="dxa"/>
            <w:shd w:val="clear" w:color="auto" w:fill="FFFFFF"/>
          </w:tcPr>
          <w:p w14:paraId="6DC9E9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08" w:type="dxa"/>
            <w:shd w:val="clear" w:color="auto" w:fill="FFFFFF"/>
          </w:tcPr>
          <w:p w14:paraId="761B64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тип мотора воздушного охлаждения мощностью в 500/600 л.с.</w:t>
            </w:r>
          </w:p>
        </w:tc>
      </w:tr>
      <w:tr w:rsidR="00A259BD" w:rsidRPr="00A259BD" w14:paraId="752A5030" w14:textId="77777777">
        <w:tc>
          <w:tcPr>
            <w:tcW w:w="1368" w:type="dxa"/>
            <w:shd w:val="clear" w:color="auto" w:fill="FFFFFF"/>
          </w:tcPr>
          <w:p w14:paraId="27EDFB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1931/32 г. </w:t>
            </w:r>
          </w:p>
        </w:tc>
        <w:tc>
          <w:tcPr>
            <w:tcW w:w="8208" w:type="dxa"/>
            <w:shd w:val="clear" w:color="auto" w:fill="FFFFFF"/>
          </w:tcPr>
          <w:p w14:paraId="6FD5B9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- 4 Типа моторов водяного охлаждения мощностью 600/720 л. с., 750/900 л. с., 750/1000 л. с., 1000/1200 л. с.</w:t>
            </w:r>
          </w:p>
        </w:tc>
      </w:tr>
      <w:tr w:rsidR="00A259BD" w:rsidRPr="00A259BD" w14:paraId="2A7B36CE" w14:textId="77777777">
        <w:tc>
          <w:tcPr>
            <w:tcW w:w="1368" w:type="dxa"/>
            <w:shd w:val="clear" w:color="auto" w:fill="FFFFFF"/>
          </w:tcPr>
          <w:p w14:paraId="735341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08" w:type="dxa"/>
            <w:shd w:val="clear" w:color="auto" w:fill="FFFFFF"/>
          </w:tcPr>
          <w:p w14:paraId="5C0442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типа моторов воздушного охлаждения мощностью в 650/660 л.с., 700/840 л.с., 500/750 л. с.</w:t>
            </w:r>
          </w:p>
        </w:tc>
      </w:tr>
      <w:tr w:rsidR="00A259BD" w:rsidRPr="00A259BD" w14:paraId="003CCB99" w14:textId="77777777">
        <w:tc>
          <w:tcPr>
            <w:tcW w:w="1368" w:type="dxa"/>
            <w:shd w:val="clear" w:color="auto" w:fill="FFFFFF"/>
          </w:tcPr>
          <w:p w14:paraId="53F24D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1932/33 г.</w:t>
            </w:r>
          </w:p>
        </w:tc>
        <w:tc>
          <w:tcPr>
            <w:tcW w:w="8208" w:type="dxa"/>
            <w:shd w:val="clear" w:color="auto" w:fill="FFFFFF"/>
          </w:tcPr>
          <w:p w14:paraId="1186EC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- 2 типа моторов водяного охлаждения мощностью в 1250/1500 л.с. и 2000 /2200 л.с.</w:t>
            </w:r>
          </w:p>
        </w:tc>
      </w:tr>
      <w:tr w:rsidR="00A259BD" w:rsidRPr="00A259BD" w14:paraId="78381C6E" w14:textId="77777777">
        <w:tc>
          <w:tcPr>
            <w:tcW w:w="1368" w:type="dxa"/>
            <w:tcBorders>
              <w:bottom w:val="single" w:sz="12" w:space="0" w:color="auto"/>
            </w:tcBorders>
            <w:shd w:val="clear" w:color="auto" w:fill="FFFFFF"/>
          </w:tcPr>
          <w:p w14:paraId="375B4B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08" w:type="dxa"/>
            <w:tcBorders>
              <w:bottom w:val="single" w:sz="12" w:space="0" w:color="auto"/>
            </w:tcBorders>
            <w:shd w:val="clear" w:color="auto" w:fill="FFFFFF"/>
          </w:tcPr>
          <w:p w14:paraId="4461D5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типа моторов воздушного охлаждения мощностью 600/720 л. с., 750/900 л.с., 550/900 л.с.</w:t>
            </w:r>
          </w:p>
        </w:tc>
      </w:tr>
    </w:tbl>
    <w:p w14:paraId="1BA7A2B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производства моторов этом группы не требуется применения каких либо неизученных в технике принципов или материалов, но потребует</w:t>
      </w:r>
      <w:r w:rsidRPr="00A259BD">
        <w:rPr>
          <w:rFonts w:ascii="Times New Roman" w:hAnsi="Times New Roman"/>
          <w:color w:val="000000" w:themeColor="text1"/>
          <w:sz w:val="16"/>
          <w:szCs w:val="16"/>
        </w:rPr>
        <w:softHyphen/>
        <w:t>ся обычное при конструировании экспериментирование.</w:t>
      </w:r>
    </w:p>
    <w:p w14:paraId="09194E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Ваши производственные организации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Научые</w:t>
      </w:r>
      <w:proofErr w:type="spellEnd"/>
      <w:r w:rsidRPr="00A259BD">
        <w:rPr>
          <w:rFonts w:ascii="Times New Roman" w:hAnsi="Times New Roman"/>
          <w:color w:val="000000" w:themeColor="text1"/>
          <w:sz w:val="16"/>
          <w:szCs w:val="16"/>
        </w:rPr>
        <w:t xml:space="preserve"> Институты /НАМИ/ в настоящем виде не смогут справиться с поставленной прог</w:t>
      </w:r>
      <w:r w:rsidRPr="00A259BD">
        <w:rPr>
          <w:rFonts w:ascii="Times New Roman" w:hAnsi="Times New Roman"/>
          <w:color w:val="000000" w:themeColor="text1"/>
          <w:sz w:val="16"/>
          <w:szCs w:val="16"/>
        </w:rPr>
        <w:softHyphen/>
        <w:t xml:space="preserve">раммой потому, что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обладая производственными возможнос</w:t>
      </w:r>
      <w:r w:rsidRPr="00A259BD">
        <w:rPr>
          <w:rFonts w:ascii="Times New Roman" w:hAnsi="Times New Roman"/>
          <w:color w:val="000000" w:themeColor="text1"/>
          <w:sz w:val="16"/>
          <w:szCs w:val="16"/>
        </w:rPr>
        <w:softHyphen/>
        <w:t>тями, не имеет достаточного количественно по квалификации персона</w:t>
      </w:r>
      <w:r w:rsidRPr="00A259BD">
        <w:rPr>
          <w:rFonts w:ascii="Times New Roman" w:hAnsi="Times New Roman"/>
          <w:color w:val="000000" w:themeColor="text1"/>
          <w:sz w:val="16"/>
          <w:szCs w:val="16"/>
        </w:rPr>
        <w:softHyphen/>
        <w:t>ла, а НАМИ не имеет производственной базы.</w:t>
      </w:r>
    </w:p>
    <w:p w14:paraId="2AE625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выполнения намеченного по моторостроению плана требуется:</w:t>
      </w:r>
    </w:p>
    <w:p w14:paraId="5A3C49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Принять срочные меры для </w:t>
      </w:r>
      <w:proofErr w:type="spellStart"/>
      <w:r w:rsidRPr="00A259BD">
        <w:rPr>
          <w:rFonts w:ascii="Times New Roman" w:hAnsi="Times New Roman"/>
          <w:color w:val="000000" w:themeColor="text1"/>
          <w:sz w:val="16"/>
          <w:szCs w:val="16"/>
        </w:rPr>
        <w:t>оргаииьации</w:t>
      </w:r>
      <w:proofErr w:type="spellEnd"/>
      <w:r w:rsidRPr="00A259BD">
        <w:rPr>
          <w:rFonts w:ascii="Times New Roman" w:hAnsi="Times New Roman"/>
          <w:color w:val="000000" w:themeColor="text1"/>
          <w:sz w:val="16"/>
          <w:szCs w:val="16"/>
        </w:rPr>
        <w:t xml:space="preserve"> в </w:t>
      </w:r>
      <w:proofErr w:type="spellStart"/>
      <w:r w:rsidRPr="00A259BD">
        <w:rPr>
          <w:rFonts w:ascii="Times New Roman" w:hAnsi="Times New Roman"/>
          <w:color w:val="000000" w:themeColor="text1"/>
          <w:sz w:val="16"/>
          <w:szCs w:val="16"/>
        </w:rPr>
        <w:t>Авиатресте</w:t>
      </w:r>
      <w:proofErr w:type="spellEnd"/>
      <w:r w:rsidRPr="00A259BD">
        <w:rPr>
          <w:rFonts w:ascii="Times New Roman" w:hAnsi="Times New Roman"/>
          <w:color w:val="000000" w:themeColor="text1"/>
          <w:sz w:val="16"/>
          <w:szCs w:val="16"/>
        </w:rPr>
        <w:t xml:space="preserve"> опытного отдела по моторостроению и ускорения достройки и оборудования НАМИ.</w:t>
      </w:r>
    </w:p>
    <w:p w14:paraId="55D8B5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Необходимо дооборудовать металлургические заводы для производ</w:t>
      </w:r>
      <w:r w:rsidRPr="00A259BD">
        <w:rPr>
          <w:rFonts w:ascii="Times New Roman" w:hAnsi="Times New Roman"/>
          <w:color w:val="000000" w:themeColor="text1"/>
          <w:sz w:val="16"/>
          <w:szCs w:val="16"/>
        </w:rPr>
        <w:softHyphen/>
        <w:t>ства: новых сортов стали, дур алюминиевых поковок и штамповок, уста</w:t>
      </w:r>
      <w:r w:rsidRPr="00A259BD">
        <w:rPr>
          <w:rFonts w:ascii="Times New Roman" w:hAnsi="Times New Roman"/>
          <w:color w:val="000000" w:themeColor="text1"/>
          <w:sz w:val="16"/>
          <w:szCs w:val="16"/>
        </w:rPr>
        <w:softHyphen/>
        <w:t>новки своего электронного литья.</w:t>
      </w:r>
    </w:p>
    <w:p w14:paraId="75B616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Моторы второй экспериментальной </w:t>
      </w:r>
      <w:proofErr w:type="spellStart"/>
      <w:r w:rsidRPr="00A259BD">
        <w:rPr>
          <w:rFonts w:ascii="Times New Roman" w:hAnsi="Times New Roman"/>
          <w:color w:val="000000" w:themeColor="text1"/>
          <w:sz w:val="16"/>
          <w:szCs w:val="16"/>
        </w:rPr>
        <w:t>груиШ</w:t>
      </w:r>
      <w:proofErr w:type="spellEnd"/>
      <w:r w:rsidRPr="00A259BD">
        <w:rPr>
          <w:rFonts w:ascii="Times New Roman" w:hAnsi="Times New Roman"/>
          <w:color w:val="000000" w:themeColor="text1"/>
          <w:sz w:val="16"/>
          <w:szCs w:val="16"/>
        </w:rPr>
        <w:t xml:space="preserve"> предположено построить в количестве 10 </w:t>
      </w:r>
      <w:proofErr w:type="spellStart"/>
      <w:r w:rsidRPr="00A259BD">
        <w:rPr>
          <w:rFonts w:ascii="Times New Roman" w:hAnsi="Times New Roman"/>
          <w:color w:val="000000" w:themeColor="text1"/>
          <w:sz w:val="16"/>
          <w:szCs w:val="16"/>
        </w:rPr>
        <w:t>яипов</w:t>
      </w:r>
      <w:proofErr w:type="spellEnd"/>
      <w:r w:rsidRPr="00A259BD">
        <w:rPr>
          <w:rFonts w:ascii="Times New Roman" w:hAnsi="Times New Roman"/>
          <w:color w:val="000000" w:themeColor="text1"/>
          <w:sz w:val="16"/>
          <w:szCs w:val="16"/>
        </w:rPr>
        <w:t>, из них:</w:t>
      </w:r>
    </w:p>
    <w:p w14:paraId="65884E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типов моторов для проверки новых принципов работ и конструкций • 3 типов авиационных моторов, работающих на нефти.</w:t>
      </w:r>
    </w:p>
    <w:p w14:paraId="39471FE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этой группы моторов часть будет строиться в 2-х экземплярах, а другие в одном и всего типов моторов будет построено в количестве 14 экземпляров.</w:t>
      </w:r>
    </w:p>
    <w:p w14:paraId="78A0892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осуществления этой группы моторов потребуется провести ряд специальных исследовательских работ, на. основании коих можно будет вести проектирование двигателя. Результат работ может быть и отрицателен я сами работы могут затянуться на </w:t>
      </w:r>
      <w:proofErr w:type="spellStart"/>
      <w:r w:rsidRPr="00A259BD">
        <w:rPr>
          <w:rFonts w:ascii="Times New Roman" w:hAnsi="Times New Roman"/>
          <w:color w:val="000000" w:themeColor="text1"/>
          <w:sz w:val="16"/>
          <w:szCs w:val="16"/>
        </w:rPr>
        <w:t>неопредзлзнноэ</w:t>
      </w:r>
      <w:proofErr w:type="spellEnd"/>
      <w:r w:rsidRPr="00A259BD">
        <w:rPr>
          <w:rFonts w:ascii="Times New Roman" w:hAnsi="Times New Roman"/>
          <w:color w:val="000000" w:themeColor="text1"/>
          <w:sz w:val="16"/>
          <w:szCs w:val="16"/>
        </w:rPr>
        <w:t>' время, поэтому эта группа моторов не может быть положена в основу для серийного произ</w:t>
      </w:r>
      <w:r w:rsidRPr="00A259BD">
        <w:rPr>
          <w:rFonts w:ascii="Times New Roman" w:hAnsi="Times New Roman"/>
          <w:color w:val="000000" w:themeColor="text1"/>
          <w:sz w:val="16"/>
          <w:szCs w:val="16"/>
        </w:rPr>
        <w:softHyphen/>
        <w:t>водства.</w:t>
      </w:r>
    </w:p>
    <w:p w14:paraId="41BBB1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Осуществление работ этой группы должно быть поручено главным обра</w:t>
      </w:r>
      <w:r w:rsidRPr="00A259BD">
        <w:rPr>
          <w:rFonts w:ascii="Times New Roman" w:hAnsi="Times New Roman"/>
          <w:color w:val="000000" w:themeColor="text1"/>
          <w:sz w:val="16"/>
          <w:szCs w:val="16"/>
        </w:rPr>
        <w:softHyphen/>
        <w:t>зом НАМ, каковой* и может с ними справиться при условии скорейшего окончания своего оборудования и постройки.</w:t>
      </w:r>
    </w:p>
    <w:p w14:paraId="58A2FA0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годам эта группа распределяется таким образом:</w:t>
      </w:r>
    </w:p>
    <w:p w14:paraId="7F5F6FE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1928/28 г. - 0</w:t>
      </w:r>
    </w:p>
    <w:p w14:paraId="0B53FC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1929/30 г. - 2</w:t>
      </w:r>
    </w:p>
    <w:p w14:paraId="300CAA2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1930/31 г. - 2</w:t>
      </w:r>
    </w:p>
    <w:p w14:paraId="70E785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1931/32 г. - 2</w:t>
      </w:r>
    </w:p>
    <w:p w14:paraId="7D0AFD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ы 1933/33 г. - 4</w:t>
      </w:r>
    </w:p>
    <w:p w14:paraId="29A2FD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Третья группа моторов, предназначаемых </w:t>
      </w:r>
      <w:proofErr w:type="spellStart"/>
      <w:r w:rsidRPr="00A259BD">
        <w:rPr>
          <w:rFonts w:ascii="Times New Roman" w:hAnsi="Times New Roman"/>
          <w:color w:val="000000" w:themeColor="text1"/>
          <w:sz w:val="16"/>
          <w:szCs w:val="16"/>
        </w:rPr>
        <w:t>длл</w:t>
      </w:r>
      <w:proofErr w:type="spellEnd"/>
      <w:r w:rsidRPr="00A259BD">
        <w:rPr>
          <w:rFonts w:ascii="Times New Roman" w:hAnsi="Times New Roman"/>
          <w:color w:val="000000" w:themeColor="text1"/>
          <w:sz w:val="16"/>
          <w:szCs w:val="16"/>
        </w:rPr>
        <w:t xml:space="preserve"> удовлетворения нужд гражданской авиации, учебных и спортивных самолетов состоим из 6 типов моторов воздушного охлаждения.</w:t>
      </w:r>
    </w:p>
    <w:p w14:paraId="6CF29B6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Водяного охлаждения моторов этой группы не предположено строить, так как поставленные требования моторам данного назначения вполне удовлетворяются моторами </w:t>
      </w:r>
      <w:proofErr w:type="spellStart"/>
      <w:r w:rsidRPr="00A259BD">
        <w:rPr>
          <w:rFonts w:ascii="Times New Roman" w:hAnsi="Times New Roman"/>
          <w:color w:val="000000" w:themeColor="text1"/>
          <w:sz w:val="16"/>
          <w:szCs w:val="16"/>
        </w:rPr>
        <w:t>воядушного</w:t>
      </w:r>
      <w:proofErr w:type="spellEnd"/>
      <w:r w:rsidRPr="00A259BD">
        <w:rPr>
          <w:rFonts w:ascii="Times New Roman" w:hAnsi="Times New Roman"/>
          <w:color w:val="000000" w:themeColor="text1"/>
          <w:sz w:val="16"/>
          <w:szCs w:val="16"/>
        </w:rPr>
        <w:t xml:space="preserve"> охлаждения.</w:t>
      </w:r>
    </w:p>
    <w:p w14:paraId="324058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годам постройка распределяется следующим образом:</w:t>
      </w:r>
    </w:p>
    <w:p w14:paraId="699B3B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1928/29 г. - 0</w:t>
      </w:r>
    </w:p>
    <w:p w14:paraId="033A79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1929/30 г. - 2</w:t>
      </w:r>
    </w:p>
    <w:p w14:paraId="754C69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1930/31 г. - 3</w:t>
      </w:r>
    </w:p>
    <w:p w14:paraId="0F6A990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1931/33 г. - 1</w:t>
      </w:r>
    </w:p>
    <w:p w14:paraId="077E1B6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1932/33 г. - 0</w:t>
      </w:r>
    </w:p>
    <w:p w14:paraId="0BEF1C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Каждьй</w:t>
      </w:r>
      <w:proofErr w:type="spellEnd"/>
      <w:r w:rsidRPr="00A259BD">
        <w:rPr>
          <w:rFonts w:ascii="Times New Roman" w:hAnsi="Times New Roman"/>
          <w:color w:val="000000" w:themeColor="text1"/>
          <w:sz w:val="16"/>
          <w:szCs w:val="16"/>
        </w:rPr>
        <w:t xml:space="preserve"> тип мотора будет строится в 2-х </w:t>
      </w:r>
      <w:proofErr w:type="spellStart"/>
      <w:r w:rsidRPr="00A259BD">
        <w:rPr>
          <w:rFonts w:ascii="Times New Roman" w:hAnsi="Times New Roman"/>
          <w:color w:val="000000" w:themeColor="text1"/>
          <w:sz w:val="16"/>
          <w:szCs w:val="16"/>
        </w:rPr>
        <w:t>екземплярах</w:t>
      </w:r>
      <w:proofErr w:type="spellEnd"/>
      <w:r w:rsidRPr="00A259BD">
        <w:rPr>
          <w:rFonts w:ascii="Times New Roman" w:hAnsi="Times New Roman"/>
          <w:color w:val="000000" w:themeColor="text1"/>
          <w:sz w:val="16"/>
          <w:szCs w:val="16"/>
        </w:rPr>
        <w:t>, а всего будет построено 12 экземпляров моторов.</w:t>
      </w:r>
    </w:p>
    <w:p w14:paraId="6F134D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Исполнить данную программу может и Авиационный трест и НАМИ при условии принятия мер, указанных для выполнения моторов боевой группы, постройка может произведена на обычных материалах, применяющихся в союзном моторостроении.</w:t>
      </w:r>
    </w:p>
    <w:p w14:paraId="5288659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Таким образом по всему разделу моторостроения предположено построить 32 типа моторов в количестве 58 штук.</w:t>
      </w:r>
    </w:p>
    <w:p w14:paraId="55AF73E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работ по созданию самих моторов планом предусмотрены так же работы и по оборудованию моторов, как-то:</w:t>
      </w:r>
    </w:p>
    <w:p w14:paraId="46FD66E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Винты металлические с переменным шагом.</w:t>
      </w:r>
    </w:p>
    <w:p w14:paraId="0260FEB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Самопуски и арматура моторов.</w:t>
      </w:r>
    </w:p>
    <w:p w14:paraId="5E195E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Приборы зажигания /магнето и свечи/.</w:t>
      </w:r>
    </w:p>
    <w:p w14:paraId="0E3F6D3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производства </w:t>
      </w:r>
      <w:proofErr w:type="spellStart"/>
      <w:r w:rsidRPr="00A259BD">
        <w:rPr>
          <w:rFonts w:ascii="Times New Roman" w:hAnsi="Times New Roman"/>
          <w:color w:val="000000" w:themeColor="text1"/>
          <w:sz w:val="16"/>
          <w:szCs w:val="16"/>
        </w:rPr>
        <w:t>всзх</w:t>
      </w:r>
      <w:proofErr w:type="spellEnd"/>
      <w:r w:rsidRPr="00A259BD">
        <w:rPr>
          <w:rFonts w:ascii="Times New Roman" w:hAnsi="Times New Roman"/>
          <w:color w:val="000000" w:themeColor="text1"/>
          <w:sz w:val="16"/>
          <w:szCs w:val="16"/>
        </w:rPr>
        <w:t xml:space="preserve"> этих приборов у нас материальная база имеется, необходимо лишь создать организацию для их выполне</w:t>
      </w:r>
      <w:r w:rsidRPr="00A259BD">
        <w:rPr>
          <w:rFonts w:ascii="Times New Roman" w:hAnsi="Times New Roman"/>
          <w:color w:val="000000" w:themeColor="text1"/>
          <w:sz w:val="16"/>
          <w:szCs w:val="16"/>
        </w:rPr>
        <w:softHyphen/>
        <w:t xml:space="preserve">ния. </w:t>
      </w:r>
      <w:proofErr w:type="spellStart"/>
      <w:r w:rsidRPr="00A259BD">
        <w:rPr>
          <w:rFonts w:ascii="Times New Roman" w:hAnsi="Times New Roman"/>
          <w:color w:val="000000" w:themeColor="text1"/>
          <w:sz w:val="16"/>
          <w:szCs w:val="16"/>
        </w:rPr>
        <w:t>лакими</w:t>
      </w:r>
      <w:proofErr w:type="spellEnd"/>
      <w:r w:rsidRPr="00A259BD">
        <w:rPr>
          <w:rFonts w:ascii="Times New Roman" w:hAnsi="Times New Roman"/>
          <w:color w:val="000000" w:themeColor="text1"/>
          <w:sz w:val="16"/>
          <w:szCs w:val="16"/>
        </w:rPr>
        <w:t xml:space="preserve"> организациями будут:</w:t>
      </w:r>
    </w:p>
    <w:p w14:paraId="324DF2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Винты, самопуски и арматура - опытный отдел по моторостроению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w:t>
      </w:r>
    </w:p>
    <w:p w14:paraId="734A097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Магнето и свечи- при опытном отделе Электрозавода ГЭТ.</w:t>
      </w:r>
    </w:p>
    <w:p w14:paraId="7A5948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выполнения этой программы потребуется 14.500.000 рублей и она может быть выполнена нашей промышленностью лишь при усло</w:t>
      </w:r>
      <w:r w:rsidRPr="00A259BD">
        <w:rPr>
          <w:rFonts w:ascii="Times New Roman" w:hAnsi="Times New Roman"/>
          <w:color w:val="000000" w:themeColor="text1"/>
          <w:sz w:val="16"/>
          <w:szCs w:val="16"/>
        </w:rPr>
        <w:softHyphen/>
        <w:t>вии принятия самых решительных мер, по расширению производст</w:t>
      </w:r>
      <w:r w:rsidRPr="00A259BD">
        <w:rPr>
          <w:rFonts w:ascii="Times New Roman" w:hAnsi="Times New Roman"/>
          <w:color w:val="000000" w:themeColor="text1"/>
          <w:sz w:val="16"/>
          <w:szCs w:val="16"/>
        </w:rPr>
        <w:softHyphen/>
        <w:t xml:space="preserve">венной базы путем организации специального опытного отдела по моторостроению, ускорению развития НШМ и постановки у нас производства </w:t>
      </w:r>
      <w:proofErr w:type="spellStart"/>
      <w:r w:rsidRPr="00A259BD">
        <w:rPr>
          <w:rFonts w:ascii="Times New Roman" w:hAnsi="Times New Roman"/>
          <w:color w:val="000000" w:themeColor="text1"/>
          <w:sz w:val="16"/>
          <w:szCs w:val="16"/>
        </w:rPr>
        <w:t>изгтовляющихся</w:t>
      </w:r>
      <w:proofErr w:type="spellEnd"/>
      <w:r w:rsidRPr="00A259BD">
        <w:rPr>
          <w:rFonts w:ascii="Times New Roman" w:hAnsi="Times New Roman"/>
          <w:color w:val="000000" w:themeColor="text1"/>
          <w:sz w:val="16"/>
          <w:szCs w:val="16"/>
        </w:rPr>
        <w:t xml:space="preserve"> заграницей специальных сталей и легких металлов высокой крепости.</w:t>
      </w:r>
    </w:p>
    <w:p w14:paraId="4E4450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Воздухоплавание</w:t>
      </w:r>
    </w:p>
    <w:p w14:paraId="2DC4F3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Эта отрасль в 5-ти летнем плане </w:t>
      </w:r>
      <w:proofErr w:type="spellStart"/>
      <w:r w:rsidRPr="00A259BD">
        <w:rPr>
          <w:rFonts w:ascii="Times New Roman" w:hAnsi="Times New Roman"/>
          <w:color w:val="000000" w:themeColor="text1"/>
          <w:sz w:val="16"/>
          <w:szCs w:val="16"/>
        </w:rPr>
        <w:t>охватываат</w:t>
      </w:r>
      <w:proofErr w:type="spellEnd"/>
      <w:r w:rsidRPr="00A259BD">
        <w:rPr>
          <w:rFonts w:ascii="Times New Roman" w:hAnsi="Times New Roman"/>
          <w:color w:val="000000" w:themeColor="text1"/>
          <w:sz w:val="16"/>
          <w:szCs w:val="16"/>
        </w:rPr>
        <w:t xml:space="preserve"> главным образом привязное воздухоплавание и необходимую для него аппаратуру.</w:t>
      </w:r>
    </w:p>
    <w:p w14:paraId="77AF89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Вопросы жесткого дирижаблестроения не затрагиваются, так как до сих пор не имеется определенного указания на развитие этой отрасли, требующей затраты значительных средств.</w:t>
      </w:r>
    </w:p>
    <w:p w14:paraId="2445AD3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Пятилетний план опытного строительства по воздухоплаванию разделяется на пять основных отделов:</w:t>
      </w:r>
    </w:p>
    <w:p w14:paraId="20134F6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Воздушные корабли и аэростаты. Намечено к постройке 12 опыт</w:t>
      </w:r>
      <w:r w:rsidRPr="00A259BD">
        <w:rPr>
          <w:rFonts w:ascii="Times New Roman" w:hAnsi="Times New Roman"/>
          <w:color w:val="000000" w:themeColor="text1"/>
          <w:sz w:val="16"/>
          <w:szCs w:val="16"/>
        </w:rPr>
        <w:softHyphen/>
        <w:t>ных аэростатов, из них 4 аэростата наблюдения, 3 аэростата заграждения с мотором и 2 управляемых аэростата полужесткой системы малого объема /до 10000 м3/.</w:t>
      </w:r>
    </w:p>
    <w:p w14:paraId="1FD916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Лебедки.</w:t>
      </w:r>
    </w:p>
    <w:p w14:paraId="664AADC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Намечено к постройке 5 опытных лебедок, Из них 2 для </w:t>
      </w:r>
      <w:proofErr w:type="spellStart"/>
      <w:r w:rsidRPr="00A259BD">
        <w:rPr>
          <w:rFonts w:ascii="Times New Roman" w:hAnsi="Times New Roman"/>
          <w:color w:val="000000" w:themeColor="text1"/>
          <w:sz w:val="16"/>
          <w:szCs w:val="16"/>
        </w:rPr>
        <w:t>под”ема</w:t>
      </w:r>
      <w:proofErr w:type="spellEnd"/>
      <w:r w:rsidRPr="00A259BD">
        <w:rPr>
          <w:rFonts w:ascii="Times New Roman" w:hAnsi="Times New Roman"/>
          <w:color w:val="000000" w:themeColor="text1"/>
          <w:sz w:val="16"/>
          <w:szCs w:val="16"/>
        </w:rPr>
        <w:t xml:space="preserve"> аэростатов наблюдения, обе на автомобильном ходу, и 3 для </w:t>
      </w:r>
      <w:proofErr w:type="spellStart"/>
      <w:r w:rsidRPr="00A259BD">
        <w:rPr>
          <w:rFonts w:ascii="Times New Roman" w:hAnsi="Times New Roman"/>
          <w:color w:val="000000" w:themeColor="text1"/>
          <w:sz w:val="16"/>
          <w:szCs w:val="16"/>
        </w:rPr>
        <w:t>под"ема</w:t>
      </w:r>
      <w:proofErr w:type="spellEnd"/>
      <w:r w:rsidRPr="00A259BD">
        <w:rPr>
          <w:rFonts w:ascii="Times New Roman" w:hAnsi="Times New Roman"/>
          <w:color w:val="000000" w:themeColor="text1"/>
          <w:sz w:val="16"/>
          <w:szCs w:val="16"/>
        </w:rPr>
        <w:t xml:space="preserve"> аэростатов заграждения - на колесном ходу, приспособленном к передвижению по грунтовым и шоссейным дорогам с помощью прицепки к автомобилю, трактору или конной тягой. Кроме того, временно, предусмотрено приспособление состоящей сейчас на снабжении </w:t>
      </w:r>
      <w:proofErr w:type="spellStart"/>
      <w:r w:rsidRPr="00A259BD">
        <w:rPr>
          <w:rFonts w:ascii="Times New Roman" w:hAnsi="Times New Roman"/>
          <w:color w:val="000000" w:themeColor="text1"/>
          <w:sz w:val="16"/>
          <w:szCs w:val="16"/>
        </w:rPr>
        <w:t>воздухчастей</w:t>
      </w:r>
      <w:proofErr w:type="spellEnd"/>
      <w:r w:rsidRPr="00A259BD">
        <w:rPr>
          <w:rFonts w:ascii="Times New Roman" w:hAnsi="Times New Roman"/>
          <w:color w:val="000000" w:themeColor="text1"/>
          <w:sz w:val="16"/>
          <w:szCs w:val="16"/>
        </w:rPr>
        <w:t xml:space="preserve"> с аэростатами наблюдения автомобильной лебедкой "</w:t>
      </w:r>
      <w:proofErr w:type="spellStart"/>
      <w:r w:rsidRPr="00A259BD">
        <w:rPr>
          <w:rFonts w:ascii="Times New Roman" w:hAnsi="Times New Roman"/>
          <w:color w:val="000000" w:themeColor="text1"/>
          <w:sz w:val="16"/>
          <w:szCs w:val="16"/>
        </w:rPr>
        <w:t>Адсудза</w:t>
      </w:r>
      <w:proofErr w:type="spellEnd"/>
      <w:r w:rsidRPr="00A259BD">
        <w:rPr>
          <w:rFonts w:ascii="Times New Roman" w:hAnsi="Times New Roman"/>
          <w:color w:val="000000" w:themeColor="text1"/>
          <w:sz w:val="16"/>
          <w:szCs w:val="16"/>
        </w:rPr>
        <w:t xml:space="preserve">" для одновременного </w:t>
      </w:r>
      <w:proofErr w:type="spellStart"/>
      <w:r w:rsidRPr="00A259BD">
        <w:rPr>
          <w:rFonts w:ascii="Times New Roman" w:hAnsi="Times New Roman"/>
          <w:color w:val="000000" w:themeColor="text1"/>
          <w:sz w:val="16"/>
          <w:szCs w:val="16"/>
        </w:rPr>
        <w:t>под”ема</w:t>
      </w:r>
      <w:proofErr w:type="spellEnd"/>
      <w:r w:rsidRPr="00A259BD">
        <w:rPr>
          <w:rFonts w:ascii="Times New Roman" w:hAnsi="Times New Roman"/>
          <w:color w:val="000000" w:themeColor="text1"/>
          <w:sz w:val="16"/>
          <w:szCs w:val="16"/>
        </w:rPr>
        <w:t xml:space="preserve"> 3-х аэростатов заграждения.</w:t>
      </w:r>
    </w:p>
    <w:p w14:paraId="59F95F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Эллинги и причальные мачты.</w:t>
      </w:r>
    </w:p>
    <w:p w14:paraId="4ED51BD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Предусмотрены постройкой по одному опытному экземпляру разборный металлический ангар для аэростатов наблюдения и перевозимая швартовная мачта для управляемых аэроста</w:t>
      </w:r>
      <w:r w:rsidRPr="00A259BD">
        <w:rPr>
          <w:rFonts w:ascii="Times New Roman" w:hAnsi="Times New Roman"/>
          <w:color w:val="000000" w:themeColor="text1"/>
          <w:sz w:val="16"/>
          <w:szCs w:val="16"/>
        </w:rPr>
        <w:softHyphen/>
        <w:t>тов малого объема.</w:t>
      </w:r>
    </w:p>
    <w:p w14:paraId="6098F3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Газодобывательные</w:t>
      </w:r>
      <w:proofErr w:type="spellEnd"/>
      <w:r w:rsidRPr="00A259BD">
        <w:rPr>
          <w:rFonts w:ascii="Times New Roman" w:hAnsi="Times New Roman"/>
          <w:color w:val="000000" w:themeColor="text1"/>
          <w:sz w:val="16"/>
          <w:szCs w:val="16"/>
        </w:rPr>
        <w:t xml:space="preserve"> аппараты. Будут построены опытные образцы по</w:t>
      </w:r>
      <w:r w:rsidRPr="00A259BD">
        <w:rPr>
          <w:rFonts w:ascii="Times New Roman" w:hAnsi="Times New Roman"/>
          <w:color w:val="000000" w:themeColor="text1"/>
          <w:sz w:val="16"/>
          <w:szCs w:val="16"/>
        </w:rPr>
        <w:softHyphen/>
        <w:t xml:space="preserve">левого </w:t>
      </w:r>
      <w:proofErr w:type="spellStart"/>
      <w:r w:rsidRPr="00A259BD">
        <w:rPr>
          <w:rFonts w:ascii="Times New Roman" w:hAnsi="Times New Roman"/>
          <w:color w:val="000000" w:themeColor="text1"/>
          <w:sz w:val="16"/>
          <w:szCs w:val="16"/>
        </w:rPr>
        <w:t>газодобывательного</w:t>
      </w:r>
      <w:proofErr w:type="spellEnd"/>
      <w:r w:rsidRPr="00A259BD">
        <w:rPr>
          <w:rFonts w:ascii="Times New Roman" w:hAnsi="Times New Roman"/>
          <w:color w:val="000000" w:themeColor="text1"/>
          <w:sz w:val="16"/>
          <w:szCs w:val="16"/>
        </w:rPr>
        <w:t xml:space="preserve"> аппарата для быстрого получения водорода в небольших количествах, полевого коллектора облегченного образца и водородного завода - поезда с компрессорной установкой.</w:t>
      </w:r>
    </w:p>
    <w:p w14:paraId="66BC6F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Научно-исследовательские и экспериментальные работы, исследование баллонных тканей и </w:t>
      </w:r>
      <w:proofErr w:type="spellStart"/>
      <w:r w:rsidRPr="00A259BD">
        <w:rPr>
          <w:rFonts w:ascii="Times New Roman" w:hAnsi="Times New Roman"/>
          <w:color w:val="000000" w:themeColor="text1"/>
          <w:sz w:val="16"/>
          <w:szCs w:val="16"/>
        </w:rPr>
        <w:t>таккелажа</w:t>
      </w:r>
      <w:proofErr w:type="spellEnd"/>
      <w:r w:rsidRPr="00A259BD">
        <w:rPr>
          <w:rFonts w:ascii="Times New Roman" w:hAnsi="Times New Roman"/>
          <w:color w:val="000000" w:themeColor="text1"/>
          <w:sz w:val="16"/>
          <w:szCs w:val="16"/>
        </w:rPr>
        <w:t xml:space="preserve"> аэростатов, испытание подсобной части воздухоплавательного дела, исследование и изучение метеорологичес</w:t>
      </w:r>
      <w:r w:rsidRPr="00A259BD">
        <w:rPr>
          <w:rFonts w:ascii="Times New Roman" w:hAnsi="Times New Roman"/>
          <w:color w:val="000000" w:themeColor="text1"/>
          <w:sz w:val="16"/>
          <w:szCs w:val="16"/>
        </w:rPr>
        <w:softHyphen/>
        <w:t>ких факторов, влияющих на работающие аэростаты и их материальную часть химико-технические анализы и исследования, работы по удешев</w:t>
      </w:r>
      <w:r w:rsidRPr="00A259BD">
        <w:rPr>
          <w:rFonts w:ascii="Times New Roman" w:hAnsi="Times New Roman"/>
          <w:color w:val="000000" w:themeColor="text1"/>
          <w:sz w:val="16"/>
          <w:szCs w:val="16"/>
        </w:rPr>
        <w:softHyphen/>
        <w:t xml:space="preserve">лению способов добывания водорода в полевой обстановке, отдельные вопросы по газам и применение их в воздухоплавании и </w:t>
      </w:r>
      <w:proofErr w:type="spellStart"/>
      <w:r w:rsidRPr="00A259BD">
        <w:rPr>
          <w:rFonts w:ascii="Times New Roman" w:hAnsi="Times New Roman"/>
          <w:color w:val="000000" w:themeColor="text1"/>
          <w:sz w:val="16"/>
          <w:szCs w:val="16"/>
        </w:rPr>
        <w:t>океперименгаль-ныэ</w:t>
      </w:r>
      <w:proofErr w:type="spellEnd"/>
      <w:r w:rsidRPr="00A259BD">
        <w:rPr>
          <w:rFonts w:ascii="Times New Roman" w:hAnsi="Times New Roman"/>
          <w:color w:val="000000" w:themeColor="text1"/>
          <w:sz w:val="16"/>
          <w:szCs w:val="16"/>
        </w:rPr>
        <w:t xml:space="preserve"> работы по аэродинамическим вопросам воздухоплавания.</w:t>
      </w:r>
    </w:p>
    <w:p w14:paraId="6615319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годам изготовление опытных образцов распределяется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8"/>
        <w:gridCol w:w="4860"/>
        <w:gridCol w:w="1044"/>
      </w:tblGrid>
      <w:tr w:rsidR="00A259BD" w:rsidRPr="00A259BD" w14:paraId="45507618" w14:textId="77777777">
        <w:tc>
          <w:tcPr>
            <w:tcW w:w="1278" w:type="dxa"/>
            <w:tcBorders>
              <w:top w:val="single" w:sz="12" w:space="0" w:color="auto"/>
            </w:tcBorders>
            <w:shd w:val="clear" w:color="auto" w:fill="FFFFFF"/>
          </w:tcPr>
          <w:p w14:paraId="561C3D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1928/29 г.</w:t>
            </w:r>
          </w:p>
        </w:tc>
        <w:tc>
          <w:tcPr>
            <w:tcW w:w="4860" w:type="dxa"/>
            <w:tcBorders>
              <w:top w:val="single" w:sz="12" w:space="0" w:color="auto"/>
            </w:tcBorders>
            <w:shd w:val="clear" w:color="auto" w:fill="FFFFFF"/>
          </w:tcPr>
          <w:p w14:paraId="146A9B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аэростатов</w:t>
            </w:r>
          </w:p>
        </w:tc>
        <w:tc>
          <w:tcPr>
            <w:tcW w:w="1044" w:type="dxa"/>
            <w:tcBorders>
              <w:top w:val="single" w:sz="12" w:space="0" w:color="auto"/>
            </w:tcBorders>
            <w:shd w:val="clear" w:color="auto" w:fill="FFFFFF"/>
          </w:tcPr>
          <w:p w14:paraId="58D02C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08EEC59F" w14:textId="77777777">
        <w:tc>
          <w:tcPr>
            <w:tcW w:w="1278" w:type="dxa"/>
            <w:shd w:val="clear" w:color="auto" w:fill="FFFFFF"/>
          </w:tcPr>
          <w:p w14:paraId="3ACF5C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400CFB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полевой </w:t>
            </w:r>
            <w:proofErr w:type="spellStart"/>
            <w:r w:rsidRPr="00A259BD">
              <w:rPr>
                <w:rFonts w:ascii="Times New Roman" w:hAnsi="Times New Roman"/>
                <w:color w:val="000000" w:themeColor="text1"/>
                <w:sz w:val="16"/>
                <w:szCs w:val="16"/>
              </w:rPr>
              <w:t>газодобыв</w:t>
            </w:r>
            <w:proofErr w:type="spellEnd"/>
            <w:r w:rsidRPr="00A259BD">
              <w:rPr>
                <w:rFonts w:ascii="Times New Roman" w:hAnsi="Times New Roman"/>
                <w:color w:val="000000" w:themeColor="text1"/>
                <w:sz w:val="16"/>
                <w:szCs w:val="16"/>
              </w:rPr>
              <w:t>. Аппарат</w:t>
            </w:r>
          </w:p>
        </w:tc>
        <w:tc>
          <w:tcPr>
            <w:tcW w:w="1044" w:type="dxa"/>
            <w:shd w:val="clear" w:color="auto" w:fill="FFFFFF"/>
          </w:tcPr>
          <w:p w14:paraId="4D2113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w:t>
            </w:r>
          </w:p>
        </w:tc>
      </w:tr>
      <w:tr w:rsidR="00A259BD" w:rsidRPr="00A259BD" w14:paraId="7CBBF04A" w14:textId="77777777">
        <w:tc>
          <w:tcPr>
            <w:tcW w:w="1278" w:type="dxa"/>
            <w:shd w:val="clear" w:color="auto" w:fill="FFFFFF"/>
          </w:tcPr>
          <w:p w14:paraId="4B202B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1929/30 г.</w:t>
            </w:r>
          </w:p>
        </w:tc>
        <w:tc>
          <w:tcPr>
            <w:tcW w:w="4860" w:type="dxa"/>
            <w:shd w:val="clear" w:color="auto" w:fill="FFFFFF"/>
          </w:tcPr>
          <w:p w14:paraId="2C28CC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аэростатов</w:t>
            </w:r>
          </w:p>
        </w:tc>
        <w:tc>
          <w:tcPr>
            <w:tcW w:w="1044" w:type="dxa"/>
            <w:shd w:val="clear" w:color="auto" w:fill="FFFFFF"/>
          </w:tcPr>
          <w:p w14:paraId="344CAD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3660F9C5" w14:textId="77777777">
        <w:tc>
          <w:tcPr>
            <w:tcW w:w="1278" w:type="dxa"/>
            <w:shd w:val="clear" w:color="auto" w:fill="FFFFFF"/>
          </w:tcPr>
          <w:p w14:paraId="50FE53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47CB93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лебедок</w:t>
            </w:r>
          </w:p>
        </w:tc>
        <w:tc>
          <w:tcPr>
            <w:tcW w:w="1044" w:type="dxa"/>
            <w:shd w:val="clear" w:color="auto" w:fill="FFFFFF"/>
          </w:tcPr>
          <w:p w14:paraId="67F17D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02BBF9E9" w14:textId="77777777">
        <w:tc>
          <w:tcPr>
            <w:tcW w:w="1278" w:type="dxa"/>
            <w:shd w:val="clear" w:color="auto" w:fill="FFFFFF"/>
          </w:tcPr>
          <w:p w14:paraId="415ACB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53431A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полевой коллектор</w:t>
            </w:r>
          </w:p>
        </w:tc>
        <w:tc>
          <w:tcPr>
            <w:tcW w:w="1044" w:type="dxa"/>
            <w:shd w:val="clear" w:color="auto" w:fill="FFFFFF"/>
          </w:tcPr>
          <w:p w14:paraId="505FB5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w:t>
            </w:r>
          </w:p>
        </w:tc>
      </w:tr>
      <w:tr w:rsidR="00A259BD" w:rsidRPr="00A259BD" w14:paraId="4F37E8C3" w14:textId="77777777">
        <w:tc>
          <w:tcPr>
            <w:tcW w:w="1278" w:type="dxa"/>
            <w:shd w:val="clear" w:color="auto" w:fill="FFFFFF"/>
          </w:tcPr>
          <w:p w14:paraId="006F21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1930/31 г.</w:t>
            </w:r>
          </w:p>
        </w:tc>
        <w:tc>
          <w:tcPr>
            <w:tcW w:w="4860" w:type="dxa"/>
            <w:shd w:val="clear" w:color="auto" w:fill="FFFFFF"/>
          </w:tcPr>
          <w:p w14:paraId="426265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-аэростатов</w:t>
            </w:r>
          </w:p>
        </w:tc>
        <w:tc>
          <w:tcPr>
            <w:tcW w:w="1044" w:type="dxa"/>
            <w:shd w:val="clear" w:color="auto" w:fill="FFFFFF"/>
          </w:tcPr>
          <w:p w14:paraId="53D28B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r>
      <w:tr w:rsidR="00A259BD" w:rsidRPr="00A259BD" w14:paraId="27E24C85" w14:textId="77777777">
        <w:tc>
          <w:tcPr>
            <w:tcW w:w="1278" w:type="dxa"/>
            <w:shd w:val="clear" w:color="auto" w:fill="FFFFFF"/>
          </w:tcPr>
          <w:p w14:paraId="2EE953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482643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лебедок</w:t>
            </w:r>
          </w:p>
        </w:tc>
        <w:tc>
          <w:tcPr>
            <w:tcW w:w="1044" w:type="dxa"/>
            <w:shd w:val="clear" w:color="auto" w:fill="FFFFFF"/>
          </w:tcPr>
          <w:p w14:paraId="7F096E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512D66A6" w14:textId="77777777">
        <w:tc>
          <w:tcPr>
            <w:tcW w:w="1278" w:type="dxa"/>
            <w:shd w:val="clear" w:color="auto" w:fill="FFFFFF"/>
          </w:tcPr>
          <w:p w14:paraId="2F9E60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69EB2A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Разборный ангар для аэро</w:t>
            </w:r>
            <w:r w:rsidRPr="00A259BD">
              <w:rPr>
                <w:rFonts w:ascii="Times New Roman" w:hAnsi="Times New Roman"/>
                <w:color w:val="000000" w:themeColor="text1"/>
                <w:sz w:val="16"/>
                <w:szCs w:val="16"/>
              </w:rPr>
              <w:softHyphen/>
              <w:t>статов наблюдения</w:t>
            </w:r>
          </w:p>
        </w:tc>
        <w:tc>
          <w:tcPr>
            <w:tcW w:w="1044" w:type="dxa"/>
            <w:shd w:val="clear" w:color="auto" w:fill="FFFFFF"/>
          </w:tcPr>
          <w:p w14:paraId="7DC6DD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0BE65075" w14:textId="77777777">
        <w:tc>
          <w:tcPr>
            <w:tcW w:w="1278" w:type="dxa"/>
            <w:shd w:val="clear" w:color="auto" w:fill="FFFFFF"/>
          </w:tcPr>
          <w:p w14:paraId="55C7C9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1931/32 г.</w:t>
            </w:r>
          </w:p>
        </w:tc>
        <w:tc>
          <w:tcPr>
            <w:tcW w:w="4860" w:type="dxa"/>
            <w:shd w:val="clear" w:color="auto" w:fill="FFFFFF"/>
          </w:tcPr>
          <w:p w14:paraId="6C8F82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аэростатов</w:t>
            </w:r>
          </w:p>
        </w:tc>
        <w:tc>
          <w:tcPr>
            <w:tcW w:w="1044" w:type="dxa"/>
            <w:shd w:val="clear" w:color="auto" w:fill="FFFFFF"/>
          </w:tcPr>
          <w:p w14:paraId="588F48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r>
      <w:tr w:rsidR="00A259BD" w:rsidRPr="00A259BD" w14:paraId="6D715D46" w14:textId="77777777">
        <w:tc>
          <w:tcPr>
            <w:tcW w:w="1278" w:type="dxa"/>
            <w:shd w:val="clear" w:color="auto" w:fill="FFFFFF"/>
          </w:tcPr>
          <w:p w14:paraId="1DA94B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02B50F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лебедок</w:t>
            </w:r>
          </w:p>
        </w:tc>
        <w:tc>
          <w:tcPr>
            <w:tcW w:w="1044" w:type="dxa"/>
            <w:shd w:val="clear" w:color="auto" w:fill="FFFFFF"/>
          </w:tcPr>
          <w:p w14:paraId="7717F7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60E40821" w14:textId="77777777">
        <w:tc>
          <w:tcPr>
            <w:tcW w:w="1278" w:type="dxa"/>
            <w:shd w:val="clear" w:color="auto" w:fill="FFFFFF"/>
          </w:tcPr>
          <w:p w14:paraId="311429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6D8B38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швартовая мачта</w:t>
            </w:r>
          </w:p>
        </w:tc>
        <w:tc>
          <w:tcPr>
            <w:tcW w:w="1044" w:type="dxa"/>
            <w:shd w:val="clear" w:color="auto" w:fill="FFFFFF"/>
          </w:tcPr>
          <w:p w14:paraId="110DFE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29FA4F6D" w14:textId="77777777">
        <w:tc>
          <w:tcPr>
            <w:tcW w:w="1278" w:type="dxa"/>
            <w:shd w:val="clear" w:color="auto" w:fill="FFFFFF"/>
          </w:tcPr>
          <w:p w14:paraId="2718CB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1932/33 г.</w:t>
            </w:r>
          </w:p>
        </w:tc>
        <w:tc>
          <w:tcPr>
            <w:tcW w:w="4860" w:type="dxa"/>
            <w:shd w:val="clear" w:color="auto" w:fill="FFFFFF"/>
          </w:tcPr>
          <w:p w14:paraId="7D4C94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аэростатов</w:t>
            </w:r>
          </w:p>
        </w:tc>
        <w:tc>
          <w:tcPr>
            <w:tcW w:w="1044" w:type="dxa"/>
            <w:shd w:val="clear" w:color="auto" w:fill="FFFFFF"/>
          </w:tcPr>
          <w:p w14:paraId="7DE735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184A3B7A" w14:textId="77777777">
        <w:tc>
          <w:tcPr>
            <w:tcW w:w="1278" w:type="dxa"/>
            <w:tcBorders>
              <w:bottom w:val="single" w:sz="12" w:space="0" w:color="auto"/>
            </w:tcBorders>
            <w:shd w:val="clear" w:color="auto" w:fill="FFFFFF"/>
          </w:tcPr>
          <w:p w14:paraId="02C5C9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tcBorders>
              <w:bottom w:val="single" w:sz="12" w:space="0" w:color="auto"/>
            </w:tcBorders>
            <w:shd w:val="clear" w:color="auto" w:fill="FFFFFF"/>
          </w:tcPr>
          <w:p w14:paraId="78D25F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водородный завод-поезд</w:t>
            </w:r>
          </w:p>
        </w:tc>
        <w:tc>
          <w:tcPr>
            <w:tcW w:w="1044" w:type="dxa"/>
            <w:tcBorders>
              <w:bottom w:val="single" w:sz="12" w:space="0" w:color="auto"/>
            </w:tcBorders>
            <w:shd w:val="clear" w:color="auto" w:fill="FFFFFF"/>
          </w:tcPr>
          <w:p w14:paraId="399EB3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bl>
    <w:p w14:paraId="72D865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Производственными возможностями в отношении оболочек аэростатов обеспечены </w:t>
      </w:r>
      <w:proofErr w:type="spellStart"/>
      <w:r w:rsidRPr="00A259BD">
        <w:rPr>
          <w:rFonts w:ascii="Times New Roman" w:hAnsi="Times New Roman"/>
          <w:color w:val="000000" w:themeColor="text1"/>
          <w:sz w:val="16"/>
          <w:szCs w:val="16"/>
        </w:rPr>
        <w:t>Резинотрестом</w:t>
      </w:r>
      <w:proofErr w:type="spellEnd"/>
      <w:r w:rsidRPr="00A259BD">
        <w:rPr>
          <w:rFonts w:ascii="Times New Roman" w:hAnsi="Times New Roman"/>
          <w:color w:val="000000" w:themeColor="text1"/>
          <w:sz w:val="16"/>
          <w:szCs w:val="16"/>
        </w:rPr>
        <w:t>, но для над</w:t>
      </w:r>
      <w:r w:rsidRPr="00A259BD">
        <w:rPr>
          <w:rFonts w:ascii="Times New Roman" w:hAnsi="Times New Roman"/>
          <w:color w:val="000000" w:themeColor="text1"/>
          <w:sz w:val="16"/>
          <w:szCs w:val="16"/>
        </w:rPr>
        <w:softHyphen/>
        <w:t xml:space="preserve">лежащей </w:t>
      </w:r>
      <w:proofErr w:type="spellStart"/>
      <w:r w:rsidRPr="00A259BD">
        <w:rPr>
          <w:rFonts w:ascii="Times New Roman" w:hAnsi="Times New Roman"/>
          <w:color w:val="000000" w:themeColor="text1"/>
          <w:sz w:val="16"/>
          <w:szCs w:val="16"/>
        </w:rPr>
        <w:t>производительиости</w:t>
      </w:r>
      <w:proofErr w:type="spellEnd"/>
      <w:r w:rsidRPr="00A259BD">
        <w:rPr>
          <w:rFonts w:ascii="Times New Roman" w:hAnsi="Times New Roman"/>
          <w:color w:val="000000" w:themeColor="text1"/>
          <w:sz w:val="16"/>
          <w:szCs w:val="16"/>
        </w:rPr>
        <w:t xml:space="preserve"> работ необходимо создать зано</w:t>
      </w:r>
      <w:r w:rsidRPr="00A259BD">
        <w:rPr>
          <w:rFonts w:ascii="Times New Roman" w:hAnsi="Times New Roman"/>
          <w:color w:val="000000" w:themeColor="text1"/>
          <w:sz w:val="16"/>
          <w:szCs w:val="16"/>
        </w:rPr>
        <w:softHyphen/>
        <w:t xml:space="preserve">во при заводе </w:t>
      </w:r>
      <w:proofErr w:type="spellStart"/>
      <w:r w:rsidRPr="00A259BD">
        <w:rPr>
          <w:rFonts w:ascii="Times New Roman" w:hAnsi="Times New Roman"/>
          <w:color w:val="000000" w:themeColor="text1"/>
          <w:sz w:val="16"/>
          <w:szCs w:val="16"/>
        </w:rPr>
        <w:t>Резинотреста</w:t>
      </w:r>
      <w:proofErr w:type="spellEnd"/>
      <w:r w:rsidRPr="00A259BD">
        <w:rPr>
          <w:rFonts w:ascii="Times New Roman" w:hAnsi="Times New Roman"/>
          <w:color w:val="000000" w:themeColor="text1"/>
          <w:sz w:val="16"/>
          <w:szCs w:val="16"/>
        </w:rPr>
        <w:t xml:space="preserve"> № 2 "Каучук" </w:t>
      </w:r>
      <w:proofErr w:type="spellStart"/>
      <w:r w:rsidRPr="00A259BD">
        <w:rPr>
          <w:rFonts w:ascii="Times New Roman" w:hAnsi="Times New Roman"/>
          <w:color w:val="000000" w:themeColor="text1"/>
          <w:sz w:val="16"/>
          <w:szCs w:val="16"/>
        </w:rPr>
        <w:t>раечетно</w:t>
      </w:r>
      <w:proofErr w:type="spellEnd"/>
      <w:r w:rsidRPr="00A259BD">
        <w:rPr>
          <w:rFonts w:ascii="Times New Roman" w:hAnsi="Times New Roman"/>
          <w:color w:val="000000" w:themeColor="text1"/>
          <w:sz w:val="16"/>
          <w:szCs w:val="16"/>
        </w:rPr>
        <w:t xml:space="preserve">-конструкторское бюро, на первое </w:t>
      </w:r>
      <w:proofErr w:type="spellStart"/>
      <w:r w:rsidRPr="00A259BD">
        <w:rPr>
          <w:rFonts w:ascii="Times New Roman" w:hAnsi="Times New Roman"/>
          <w:color w:val="000000" w:themeColor="text1"/>
          <w:sz w:val="16"/>
          <w:szCs w:val="16"/>
        </w:rPr>
        <w:t>ремя</w:t>
      </w:r>
      <w:proofErr w:type="spellEnd"/>
      <w:r w:rsidRPr="00A259BD">
        <w:rPr>
          <w:rFonts w:ascii="Times New Roman" w:hAnsi="Times New Roman"/>
          <w:color w:val="000000" w:themeColor="text1"/>
          <w:sz w:val="16"/>
          <w:szCs w:val="16"/>
        </w:rPr>
        <w:t xml:space="preserve"> из 2-х инженеров и 3-х чертежников-конструкторов. Хуже обстоит дело с изготовле</w:t>
      </w:r>
      <w:r w:rsidRPr="00A259BD">
        <w:rPr>
          <w:rFonts w:ascii="Times New Roman" w:hAnsi="Times New Roman"/>
          <w:color w:val="000000" w:themeColor="text1"/>
          <w:sz w:val="16"/>
          <w:szCs w:val="16"/>
        </w:rPr>
        <w:softHyphen/>
        <w:t xml:space="preserve">нием опытных лебедок. Несмотря на постановление совещания при отделе военных заказов ГВПУ об изготовлении проекта опытного </w:t>
      </w:r>
      <w:proofErr w:type="spellStart"/>
      <w:r w:rsidRPr="00A259BD">
        <w:rPr>
          <w:rFonts w:ascii="Times New Roman" w:hAnsi="Times New Roman"/>
          <w:color w:val="000000" w:themeColor="text1"/>
          <w:sz w:val="16"/>
          <w:szCs w:val="16"/>
        </w:rPr>
        <w:t>обравца</w:t>
      </w:r>
      <w:proofErr w:type="spellEnd"/>
      <w:r w:rsidRPr="00A259BD">
        <w:rPr>
          <w:rFonts w:ascii="Times New Roman" w:hAnsi="Times New Roman"/>
          <w:color w:val="000000" w:themeColor="text1"/>
          <w:sz w:val="16"/>
          <w:szCs w:val="16"/>
        </w:rPr>
        <w:t xml:space="preserve"> автолебедки на заводе Автотреста № 7, Автотрест из за отсутствия соответствующих конструкторс</w:t>
      </w:r>
      <w:r w:rsidRPr="00A259BD">
        <w:rPr>
          <w:rFonts w:ascii="Times New Roman" w:hAnsi="Times New Roman"/>
          <w:color w:val="000000" w:themeColor="text1"/>
          <w:sz w:val="16"/>
          <w:szCs w:val="16"/>
        </w:rPr>
        <w:softHyphen/>
        <w:t xml:space="preserve">ких сил </w:t>
      </w:r>
      <w:proofErr w:type="spellStart"/>
      <w:r w:rsidRPr="00A259BD">
        <w:rPr>
          <w:rFonts w:ascii="Times New Roman" w:hAnsi="Times New Roman"/>
          <w:color w:val="000000" w:themeColor="text1"/>
          <w:sz w:val="16"/>
          <w:szCs w:val="16"/>
        </w:rPr>
        <w:t>откааывается</w:t>
      </w:r>
      <w:proofErr w:type="spellEnd"/>
      <w:r w:rsidRPr="00A259BD">
        <w:rPr>
          <w:rFonts w:ascii="Times New Roman" w:hAnsi="Times New Roman"/>
          <w:color w:val="000000" w:themeColor="text1"/>
          <w:sz w:val="16"/>
          <w:szCs w:val="16"/>
        </w:rPr>
        <w:t xml:space="preserve"> от работы по лебедкам. Необходимо за</w:t>
      </w:r>
      <w:r w:rsidRPr="00A259BD">
        <w:rPr>
          <w:rFonts w:ascii="Times New Roman" w:hAnsi="Times New Roman"/>
          <w:color w:val="000000" w:themeColor="text1"/>
          <w:sz w:val="16"/>
          <w:szCs w:val="16"/>
        </w:rPr>
        <w:softHyphen/>
        <w:t>ново создать расчетно-конструкторское бюро по лебедкам при одном и 8 заводов Автотреста /2 инженера в 3 чертежни</w:t>
      </w:r>
      <w:r w:rsidRPr="00A259BD">
        <w:rPr>
          <w:rFonts w:ascii="Times New Roman" w:hAnsi="Times New Roman"/>
          <w:color w:val="000000" w:themeColor="text1"/>
          <w:sz w:val="16"/>
          <w:szCs w:val="16"/>
        </w:rPr>
        <w:softHyphen/>
        <w:t>ка-конструктора с назначением на первое время консультан</w:t>
      </w:r>
      <w:r w:rsidRPr="00A259BD">
        <w:rPr>
          <w:rFonts w:ascii="Times New Roman" w:hAnsi="Times New Roman"/>
          <w:color w:val="000000" w:themeColor="text1"/>
          <w:sz w:val="16"/>
          <w:szCs w:val="16"/>
        </w:rPr>
        <w:softHyphen/>
        <w:t xml:space="preserve">та специалиста от УВВС/, и передать Автотресту вопросы проектирования и постройки автолебедок для </w:t>
      </w:r>
      <w:proofErr w:type="spellStart"/>
      <w:r w:rsidRPr="00A259BD">
        <w:rPr>
          <w:rFonts w:ascii="Times New Roman" w:hAnsi="Times New Roman"/>
          <w:color w:val="000000" w:themeColor="text1"/>
          <w:sz w:val="16"/>
          <w:szCs w:val="16"/>
        </w:rPr>
        <w:t>воздухчастей</w:t>
      </w:r>
      <w:proofErr w:type="spellEnd"/>
      <w:r w:rsidRPr="00A259BD">
        <w:rPr>
          <w:rFonts w:ascii="Times New Roman" w:hAnsi="Times New Roman"/>
          <w:color w:val="000000" w:themeColor="text1"/>
          <w:sz w:val="16"/>
          <w:szCs w:val="16"/>
        </w:rPr>
        <w:t>, о чем УВВС и возбуждает соответствующее ходатайство.</w:t>
      </w:r>
    </w:p>
    <w:p w14:paraId="72CB0E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касается выполнения намеченных планом впервые осущест</w:t>
      </w:r>
      <w:r w:rsidRPr="00A259BD">
        <w:rPr>
          <w:rFonts w:ascii="Times New Roman" w:hAnsi="Times New Roman"/>
          <w:color w:val="000000" w:themeColor="text1"/>
          <w:sz w:val="16"/>
          <w:szCs w:val="16"/>
        </w:rPr>
        <w:softHyphen/>
        <w:t>вляемых в Союзе работ по наземному оборудованию, подсоб</w:t>
      </w:r>
      <w:r w:rsidRPr="00A259BD">
        <w:rPr>
          <w:rFonts w:ascii="Times New Roman" w:hAnsi="Times New Roman"/>
          <w:color w:val="000000" w:themeColor="text1"/>
          <w:sz w:val="16"/>
          <w:szCs w:val="16"/>
        </w:rPr>
        <w:softHyphen/>
        <w:t xml:space="preserve">ной материальной части воздухоплавательного дела, и т.д., то </w:t>
      </w:r>
      <w:proofErr w:type="spellStart"/>
      <w:r w:rsidRPr="00A259BD">
        <w:rPr>
          <w:rFonts w:ascii="Times New Roman" w:hAnsi="Times New Roman"/>
          <w:color w:val="000000" w:themeColor="text1"/>
          <w:sz w:val="16"/>
          <w:szCs w:val="16"/>
        </w:rPr>
        <w:t>гаковое</w:t>
      </w:r>
      <w:proofErr w:type="spellEnd"/>
      <w:r w:rsidRPr="00A259BD">
        <w:rPr>
          <w:rFonts w:ascii="Times New Roman" w:hAnsi="Times New Roman"/>
          <w:color w:val="000000" w:themeColor="text1"/>
          <w:sz w:val="16"/>
          <w:szCs w:val="16"/>
        </w:rPr>
        <w:t xml:space="preserve"> может быть поставлено перед промышленностью после принятия соответствующих проектов.</w:t>
      </w:r>
    </w:p>
    <w:p w14:paraId="72EC203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Потребные суммы на опытное строительство по воздухоплава</w:t>
      </w:r>
      <w:r w:rsidRPr="00A259BD">
        <w:rPr>
          <w:rFonts w:ascii="Times New Roman" w:hAnsi="Times New Roman"/>
          <w:color w:val="000000" w:themeColor="text1"/>
          <w:sz w:val="16"/>
          <w:szCs w:val="16"/>
        </w:rPr>
        <w:softHyphen/>
        <w:t>нию на пятилетие выражаются в 2.000.000 рублей.</w:t>
      </w:r>
    </w:p>
    <w:p w14:paraId="679D345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Вооружение оборудован, и </w:t>
      </w:r>
      <w:proofErr w:type="spellStart"/>
      <w:r w:rsidRPr="00A259BD">
        <w:rPr>
          <w:rFonts w:ascii="Times New Roman" w:hAnsi="Times New Roman"/>
          <w:color w:val="000000" w:themeColor="text1"/>
          <w:sz w:val="16"/>
          <w:szCs w:val="16"/>
        </w:rPr>
        <w:t>спец.сл</w:t>
      </w:r>
      <w:proofErr w:type="spellEnd"/>
      <w:r w:rsidRPr="00A259BD">
        <w:rPr>
          <w:rFonts w:ascii="Times New Roman" w:hAnsi="Times New Roman"/>
          <w:color w:val="000000" w:themeColor="text1"/>
          <w:sz w:val="16"/>
          <w:szCs w:val="16"/>
        </w:rPr>
        <w:t>.</w:t>
      </w:r>
    </w:p>
    <w:p w14:paraId="14EE2E1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Этот раздел плана охватывает как работы, выполняемые под непосредственным наблюдением и руководством ВВС, так и работы, которые ведутся по линии АУ, ВТУ и </w:t>
      </w:r>
      <w:proofErr w:type="spellStart"/>
      <w:r w:rsidRPr="00A259BD">
        <w:rPr>
          <w:rFonts w:ascii="Times New Roman" w:hAnsi="Times New Roman"/>
          <w:color w:val="000000" w:themeColor="text1"/>
          <w:sz w:val="16"/>
          <w:szCs w:val="16"/>
        </w:rPr>
        <w:t>Вохиму</w:t>
      </w:r>
      <w:proofErr w:type="spellEnd"/>
      <w:r w:rsidRPr="00A259BD">
        <w:rPr>
          <w:rFonts w:ascii="Times New Roman" w:hAnsi="Times New Roman"/>
          <w:color w:val="000000" w:themeColor="text1"/>
          <w:sz w:val="16"/>
          <w:szCs w:val="16"/>
        </w:rPr>
        <w:t>, но для целей авиации.</w:t>
      </w:r>
    </w:p>
    <w:p w14:paraId="106B40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Средства предусматриваются лишь по линии работ. УВВС, предполагая, что работы, ведущиеся под наблюдением дру</w:t>
      </w:r>
      <w:r w:rsidRPr="00A259BD">
        <w:rPr>
          <w:rFonts w:ascii="Times New Roman" w:hAnsi="Times New Roman"/>
          <w:color w:val="000000" w:themeColor="text1"/>
          <w:sz w:val="16"/>
          <w:szCs w:val="16"/>
        </w:rPr>
        <w:softHyphen/>
        <w:t xml:space="preserve">гих управлений будут </w:t>
      </w:r>
      <w:proofErr w:type="spellStart"/>
      <w:r w:rsidRPr="00A259BD">
        <w:rPr>
          <w:rFonts w:ascii="Times New Roman" w:hAnsi="Times New Roman"/>
          <w:color w:val="000000" w:themeColor="text1"/>
          <w:sz w:val="16"/>
          <w:szCs w:val="16"/>
        </w:rPr>
        <w:t>итти</w:t>
      </w:r>
      <w:proofErr w:type="spellEnd"/>
      <w:r w:rsidRPr="00A259BD">
        <w:rPr>
          <w:rFonts w:ascii="Times New Roman" w:hAnsi="Times New Roman"/>
          <w:color w:val="000000" w:themeColor="text1"/>
          <w:sz w:val="16"/>
          <w:szCs w:val="16"/>
        </w:rPr>
        <w:t xml:space="preserve"> по их линии.</w:t>
      </w:r>
    </w:p>
    <w:p w14:paraId="7DA5FD9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Пятилетний план опытного строительства по вооружению и специальным службам ВВС РККА предусматривает разработку следующих основных вопросов:</w:t>
      </w:r>
    </w:p>
    <w:p w14:paraId="63FE66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Стрелковое вооружение /пушки, пулеметы, прицелы для стрельбы, патроны и снаряды/.</w:t>
      </w:r>
    </w:p>
    <w:p w14:paraId="31B390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Бронирование самолетов.</w:t>
      </w:r>
    </w:p>
    <w:p w14:paraId="50B91F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Бомбардировочное и торпедное вооружение самолетов /бомбы, взры</w:t>
      </w:r>
      <w:r w:rsidRPr="00A259BD">
        <w:rPr>
          <w:rFonts w:ascii="Times New Roman" w:hAnsi="Times New Roman"/>
          <w:color w:val="000000" w:themeColor="text1"/>
          <w:sz w:val="16"/>
          <w:szCs w:val="16"/>
        </w:rPr>
        <w:softHyphen/>
        <w:t>ватели, торпеды, мины, прицелы для бомбардирования и торпедометания/,</w:t>
      </w:r>
    </w:p>
    <w:p w14:paraId="68EB49C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Химическую службу ВВС /дымообразующие приборы, приборы типа ВАП, противогазы/.</w:t>
      </w:r>
    </w:p>
    <w:p w14:paraId="2579C0D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Корректирование артиллерийской стрельбы /приборы для корректиро</w:t>
      </w:r>
      <w:r w:rsidRPr="00A259BD">
        <w:rPr>
          <w:rFonts w:ascii="Times New Roman" w:hAnsi="Times New Roman"/>
          <w:color w:val="000000" w:themeColor="text1"/>
          <w:sz w:val="16"/>
          <w:szCs w:val="16"/>
        </w:rPr>
        <w:softHyphen/>
        <w:t>вания/.</w:t>
      </w:r>
    </w:p>
    <w:p w14:paraId="4AE6D8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Военную пиротехнику /сигнальные и осветительные средства/.</w:t>
      </w:r>
    </w:p>
    <w:p w14:paraId="151B30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Аэронавигацию /аэронавигационные и контрольные приборы/.</w:t>
      </w:r>
    </w:p>
    <w:p w14:paraId="4F1F215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Метеорологию /метеорологические приборы/.</w:t>
      </w:r>
    </w:p>
    <w:p w14:paraId="784E035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w:t>
      </w:r>
      <w:proofErr w:type="spellStart"/>
      <w:r w:rsidRPr="00A259BD">
        <w:rPr>
          <w:rFonts w:ascii="Times New Roman" w:hAnsi="Times New Roman"/>
          <w:color w:val="000000" w:themeColor="text1"/>
          <w:sz w:val="16"/>
          <w:szCs w:val="16"/>
        </w:rPr>
        <w:t>Аэрофото</w:t>
      </w:r>
      <w:proofErr w:type="spellEnd"/>
      <w:r w:rsidRPr="00A259BD">
        <w:rPr>
          <w:rFonts w:ascii="Times New Roman" w:hAnsi="Times New Roman"/>
          <w:color w:val="000000" w:themeColor="text1"/>
          <w:sz w:val="16"/>
          <w:szCs w:val="16"/>
        </w:rPr>
        <w:t xml:space="preserve"> службу /аэрофотоаппараты, фотопулеметы, фотолаборатории в их оборудование, фотоматериалы/.</w:t>
      </w:r>
    </w:p>
    <w:p w14:paraId="63E2A4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Радиодело /самолетные и земные радиостанции ВВС, аварийные ра</w:t>
      </w:r>
      <w:r w:rsidRPr="00A259BD">
        <w:rPr>
          <w:rFonts w:ascii="Times New Roman" w:hAnsi="Times New Roman"/>
          <w:color w:val="000000" w:themeColor="text1"/>
          <w:sz w:val="16"/>
          <w:szCs w:val="16"/>
        </w:rPr>
        <w:softHyphen/>
        <w:t>ции, самолетные источники электрической энергии/.</w:t>
      </w:r>
    </w:p>
    <w:p w14:paraId="08D64D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Службу электротехники и светотехники /проектирование установки для освещения места посадки, маяки и вспомогательное электрообору</w:t>
      </w:r>
      <w:r w:rsidRPr="00A259BD">
        <w:rPr>
          <w:rFonts w:ascii="Times New Roman" w:hAnsi="Times New Roman"/>
          <w:color w:val="000000" w:themeColor="text1"/>
          <w:sz w:val="16"/>
          <w:szCs w:val="16"/>
        </w:rPr>
        <w:softHyphen/>
        <w:t>дование аэродромов./</w:t>
      </w:r>
    </w:p>
    <w:p w14:paraId="205907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I2. Вспомогательное оборудование самолетов /парашюты, огнетушите</w:t>
      </w:r>
      <w:r w:rsidRPr="00A259BD">
        <w:rPr>
          <w:rFonts w:ascii="Times New Roman" w:hAnsi="Times New Roman"/>
          <w:color w:val="000000" w:themeColor="text1"/>
          <w:sz w:val="16"/>
          <w:szCs w:val="16"/>
        </w:rPr>
        <w:softHyphen/>
        <w:t>ли, кислородные приборы/.</w:t>
      </w:r>
    </w:p>
    <w:p w14:paraId="127B31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Учебные приборы /для обучения стрельбе и бомбардированию, воз</w:t>
      </w:r>
      <w:r w:rsidRPr="00A259BD">
        <w:rPr>
          <w:rFonts w:ascii="Times New Roman" w:hAnsi="Times New Roman"/>
          <w:color w:val="000000" w:themeColor="text1"/>
          <w:sz w:val="16"/>
          <w:szCs w:val="16"/>
        </w:rPr>
        <w:softHyphen/>
        <w:t>душные мишени/.</w:t>
      </w:r>
    </w:p>
    <w:p w14:paraId="1B3085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Стрелковое, бомбардировочное и торпедное оборудование самоле</w:t>
      </w:r>
      <w:r w:rsidRPr="00A259BD">
        <w:rPr>
          <w:rFonts w:ascii="Times New Roman" w:hAnsi="Times New Roman"/>
          <w:color w:val="000000" w:themeColor="text1"/>
          <w:sz w:val="16"/>
          <w:szCs w:val="16"/>
        </w:rPr>
        <w:softHyphen/>
        <w:t>тов /неподвижные пулеметные установки, турели, специальные стрелко</w:t>
      </w:r>
      <w:r w:rsidRPr="00A259BD">
        <w:rPr>
          <w:rFonts w:ascii="Times New Roman" w:hAnsi="Times New Roman"/>
          <w:color w:val="000000" w:themeColor="text1"/>
          <w:sz w:val="16"/>
          <w:szCs w:val="16"/>
        </w:rPr>
        <w:softHyphen/>
        <w:t xml:space="preserve">вые установки, бомбодержатели, </w:t>
      </w:r>
      <w:proofErr w:type="spellStart"/>
      <w:r w:rsidRPr="00A259BD">
        <w:rPr>
          <w:rFonts w:ascii="Times New Roman" w:hAnsi="Times New Roman"/>
          <w:color w:val="000000" w:themeColor="text1"/>
          <w:sz w:val="16"/>
          <w:szCs w:val="16"/>
        </w:rPr>
        <w:t>торпедодержатели</w:t>
      </w:r>
      <w:proofErr w:type="spellEnd"/>
      <w:r w:rsidRPr="00A259BD">
        <w:rPr>
          <w:rFonts w:ascii="Times New Roman" w:hAnsi="Times New Roman"/>
          <w:color w:val="000000" w:themeColor="text1"/>
          <w:sz w:val="16"/>
          <w:szCs w:val="16"/>
        </w:rPr>
        <w:t xml:space="preserve"> и сбрасыватели/.</w:t>
      </w:r>
    </w:p>
    <w:p w14:paraId="2F8B62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15. Приспособление /монтировку/ предметов вооружения и сигнального оборудования на самолеты, стоящие в строю ВВС и предусмотренные к постройке пятилетний планом опытного самолетостроения.</w:t>
      </w:r>
    </w:p>
    <w:p w14:paraId="115FAF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План опытного строительства по вышеуказанным вопросам построен с одной стороны, на основе </w:t>
      </w:r>
      <w:proofErr w:type="spellStart"/>
      <w:r w:rsidRPr="00A259BD">
        <w:rPr>
          <w:rFonts w:ascii="Times New Roman" w:hAnsi="Times New Roman"/>
          <w:color w:val="000000" w:themeColor="text1"/>
          <w:sz w:val="16"/>
          <w:szCs w:val="16"/>
        </w:rPr>
        <w:t>аналиаа</w:t>
      </w:r>
      <w:proofErr w:type="spellEnd"/>
      <w:r w:rsidRPr="00A259BD">
        <w:rPr>
          <w:rFonts w:ascii="Times New Roman" w:hAnsi="Times New Roman"/>
          <w:color w:val="000000" w:themeColor="text1"/>
          <w:sz w:val="16"/>
          <w:szCs w:val="16"/>
        </w:rPr>
        <w:t xml:space="preserve"> современного состояния вооруже</w:t>
      </w:r>
      <w:r w:rsidRPr="00A259BD">
        <w:rPr>
          <w:rFonts w:ascii="Times New Roman" w:hAnsi="Times New Roman"/>
          <w:color w:val="000000" w:themeColor="text1"/>
          <w:sz w:val="16"/>
          <w:szCs w:val="16"/>
        </w:rPr>
        <w:softHyphen/>
        <w:t xml:space="preserve">ния </w:t>
      </w:r>
      <w:proofErr w:type="spellStart"/>
      <w:r w:rsidRPr="00A259BD">
        <w:rPr>
          <w:rFonts w:ascii="Times New Roman" w:hAnsi="Times New Roman"/>
          <w:color w:val="000000" w:themeColor="text1"/>
          <w:sz w:val="16"/>
          <w:szCs w:val="16"/>
        </w:rPr>
        <w:t>самолагов</w:t>
      </w:r>
      <w:proofErr w:type="spellEnd"/>
      <w:r w:rsidRPr="00A259BD">
        <w:rPr>
          <w:rFonts w:ascii="Times New Roman" w:hAnsi="Times New Roman"/>
          <w:color w:val="000000" w:themeColor="text1"/>
          <w:sz w:val="16"/>
          <w:szCs w:val="16"/>
        </w:rPr>
        <w:t xml:space="preserve"> и специальных служб и перспектив развития этих отрас</w:t>
      </w:r>
      <w:r w:rsidRPr="00A259BD">
        <w:rPr>
          <w:rFonts w:ascii="Times New Roman" w:hAnsi="Times New Roman"/>
          <w:color w:val="000000" w:themeColor="text1"/>
          <w:sz w:val="16"/>
          <w:szCs w:val="16"/>
        </w:rPr>
        <w:softHyphen/>
        <w:t>лей военной техники на ближайшее время, и с другой стороны, на основе тех тактико-технических требований, которые предъявляются вооружению и специальными службами ВВС развитием самолетостроения по пятилетнему плану.</w:t>
      </w:r>
    </w:p>
    <w:p w14:paraId="1EDFE6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Основной установкой плана является достижение таких </w:t>
      </w:r>
      <w:proofErr w:type="spellStart"/>
      <w:r w:rsidRPr="00A259BD">
        <w:rPr>
          <w:rFonts w:ascii="Times New Roman" w:hAnsi="Times New Roman"/>
          <w:color w:val="000000" w:themeColor="text1"/>
          <w:sz w:val="16"/>
          <w:szCs w:val="16"/>
        </w:rPr>
        <w:t>тактичкских</w:t>
      </w:r>
      <w:proofErr w:type="spellEnd"/>
      <w:r w:rsidRPr="00A259BD">
        <w:rPr>
          <w:rFonts w:ascii="Times New Roman" w:hAnsi="Times New Roman"/>
          <w:color w:val="000000" w:themeColor="text1"/>
          <w:sz w:val="16"/>
          <w:szCs w:val="16"/>
        </w:rPr>
        <w:t xml:space="preserve"> и технических данных отдельных образцов вооружения, оборудования в предметов специальных служб, которые позволили бы устранить нашу техническую </w:t>
      </w:r>
      <w:proofErr w:type="spellStart"/>
      <w:r w:rsidRPr="00A259BD">
        <w:rPr>
          <w:rFonts w:ascii="Times New Roman" w:hAnsi="Times New Roman"/>
          <w:color w:val="000000" w:themeColor="text1"/>
          <w:sz w:val="16"/>
          <w:szCs w:val="16"/>
        </w:rPr>
        <w:t>осталость</w:t>
      </w:r>
      <w:proofErr w:type="spellEnd"/>
      <w:r w:rsidRPr="00A259BD">
        <w:rPr>
          <w:rFonts w:ascii="Times New Roman" w:hAnsi="Times New Roman"/>
          <w:color w:val="000000" w:themeColor="text1"/>
          <w:sz w:val="16"/>
          <w:szCs w:val="16"/>
        </w:rPr>
        <w:t xml:space="preserve"> и, следовательно, зависимость от заграницы и сравняли бы состояние нашей военно-воздушной техники с иностранны</w:t>
      </w:r>
      <w:r w:rsidRPr="00A259BD">
        <w:rPr>
          <w:rFonts w:ascii="Times New Roman" w:hAnsi="Times New Roman"/>
          <w:color w:val="000000" w:themeColor="text1"/>
          <w:sz w:val="16"/>
          <w:szCs w:val="16"/>
        </w:rPr>
        <w:softHyphen/>
        <w:t>ми достижениями.</w:t>
      </w:r>
    </w:p>
    <w:p w14:paraId="0EA93A5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Техническая характеристика образцам дана подробно в пояснительных записках к каждому разделу и приложении, ниже дается лишь перечень основных работ.</w:t>
      </w:r>
    </w:p>
    <w:p w14:paraId="0D2F74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работы плана по главнейшим вопросам сводятся к следующему:</w:t>
      </w:r>
    </w:p>
    <w:p w14:paraId="708C470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Группа работ по стрелковому вооружению самолетов. Намечается усиление стрелкового вооружения самолетов путем внедре</w:t>
      </w:r>
      <w:r w:rsidRPr="00A259BD">
        <w:rPr>
          <w:rFonts w:ascii="Times New Roman" w:hAnsi="Times New Roman"/>
          <w:color w:val="000000" w:themeColor="text1"/>
          <w:sz w:val="16"/>
          <w:szCs w:val="16"/>
        </w:rPr>
        <w:softHyphen/>
        <w:t>ния пушек, крупнокалиберных пулеметов, ускорения темпа стрельбы обычных пулеметов “.и, что особенно важно, увеличение дальности стрельбы, путем создания прицелов, автоматически вводящих необхо</w:t>
      </w:r>
      <w:r w:rsidRPr="00A259BD">
        <w:rPr>
          <w:rFonts w:ascii="Times New Roman" w:hAnsi="Times New Roman"/>
          <w:color w:val="000000" w:themeColor="text1"/>
          <w:sz w:val="16"/>
          <w:szCs w:val="16"/>
        </w:rPr>
        <w:softHyphen/>
        <w:t>димые поправки.</w:t>
      </w:r>
    </w:p>
    <w:p w14:paraId="508E51E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предусматриваются значительное развитие работ по соз</w:t>
      </w:r>
      <w:r w:rsidRPr="00A259BD">
        <w:rPr>
          <w:rFonts w:ascii="Times New Roman" w:hAnsi="Times New Roman"/>
          <w:color w:val="000000" w:themeColor="text1"/>
          <w:sz w:val="16"/>
          <w:szCs w:val="16"/>
        </w:rPr>
        <w:softHyphen/>
        <w:t>данию пуль и снарядов специального назначения.</w:t>
      </w:r>
    </w:p>
    <w:p w14:paraId="7EE7F95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этой группе предусматривается постройка:</w:t>
      </w:r>
    </w:p>
    <w:p w14:paraId="24550E7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типов самолетных пушек со снарядами к ним</w:t>
      </w:r>
    </w:p>
    <w:p w14:paraId="6E19BE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типов крупнокалиберных пулеметов</w:t>
      </w:r>
    </w:p>
    <w:p w14:paraId="6CB6E64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типов скорострельных пулеметов обычного калибра /три из них в постройке/</w:t>
      </w:r>
    </w:p>
    <w:p w14:paraId="3FADCDD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 специальными патронами к ним:</w:t>
      </w:r>
    </w:p>
    <w:p w14:paraId="09BEC8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образца прицелов для стрельбы из пулеметов калибра 7,62 мм. и 12,7 мм. и самолетных пушек.</w:t>
      </w:r>
    </w:p>
    <w:p w14:paraId="771A4D8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Группа работ по бронированию самолетов.</w:t>
      </w:r>
    </w:p>
    <w:p w14:paraId="471D7D3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Намечена разработка 6 образцов броней и два опытных бронирования отдельных частей самолетов /кроме работ по бронированию самолетов штурмовиков, отнесенных в план </w:t>
      </w:r>
      <w:proofErr w:type="spellStart"/>
      <w:r w:rsidRPr="00A259BD">
        <w:rPr>
          <w:rFonts w:ascii="Times New Roman" w:hAnsi="Times New Roman"/>
          <w:color w:val="000000" w:themeColor="text1"/>
          <w:sz w:val="16"/>
          <w:szCs w:val="16"/>
        </w:rPr>
        <w:t>спытного</w:t>
      </w:r>
      <w:proofErr w:type="spellEnd"/>
      <w:r w:rsidRPr="00A259BD">
        <w:rPr>
          <w:rFonts w:ascii="Times New Roman" w:hAnsi="Times New Roman"/>
          <w:color w:val="000000" w:themeColor="text1"/>
          <w:sz w:val="16"/>
          <w:szCs w:val="16"/>
        </w:rPr>
        <w:t xml:space="preserve"> самолетостроения/.</w:t>
      </w:r>
    </w:p>
    <w:p w14:paraId="5159E8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Группа работ по бомбардировочному и торпедному вооружению самолетов.</w:t>
      </w:r>
    </w:p>
    <w:p w14:paraId="013FD6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Предположена разработка и введение на вооружение бомб, имеющих заменить бомбы старых образцов и разработка крупнокалиберных бомб, предназначенных для борьбы с флотом противника и для специальных целей. Значительное место отведено строительству химических </w:t>
      </w:r>
      <w:proofErr w:type="spellStart"/>
      <w:r w:rsidRPr="00A259BD">
        <w:rPr>
          <w:rFonts w:ascii="Times New Roman" w:hAnsi="Times New Roman"/>
          <w:color w:val="000000" w:themeColor="text1"/>
          <w:sz w:val="16"/>
          <w:szCs w:val="16"/>
        </w:rPr>
        <w:t>аэро</w:t>
      </w:r>
      <w:r w:rsidRPr="00A259BD">
        <w:rPr>
          <w:rFonts w:ascii="Times New Roman" w:hAnsi="Times New Roman"/>
          <w:color w:val="000000" w:themeColor="text1"/>
          <w:sz w:val="16"/>
          <w:szCs w:val="16"/>
        </w:rPr>
        <w:softHyphen/>
        <w:t>бомб</w:t>
      </w:r>
      <w:proofErr w:type="spellEnd"/>
      <w:r w:rsidRPr="00A259BD">
        <w:rPr>
          <w:rFonts w:ascii="Times New Roman" w:hAnsi="Times New Roman"/>
          <w:color w:val="000000" w:themeColor="text1"/>
          <w:sz w:val="16"/>
          <w:szCs w:val="16"/>
        </w:rPr>
        <w:t xml:space="preserve"> крупного калибра и развитие работ по торпедам для ВВС.</w:t>
      </w:r>
    </w:p>
    <w:p w14:paraId="091D08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области строительства прицелов для бомбардирования и торпедометания намечен переход на автоматические прицелы и сбрасыватели и введение приспособлений для автоматического управления полетом на боевом курсе.</w:t>
      </w:r>
    </w:p>
    <w:p w14:paraId="39D108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этой группе работ намечено разработать: 56 типов </w:t>
      </w:r>
      <w:proofErr w:type="spellStart"/>
      <w:r w:rsidRPr="00A259BD">
        <w:rPr>
          <w:rFonts w:ascii="Times New Roman" w:hAnsi="Times New Roman"/>
          <w:color w:val="000000" w:themeColor="text1"/>
          <w:sz w:val="16"/>
          <w:szCs w:val="16"/>
        </w:rPr>
        <w:t>аэробомб</w:t>
      </w:r>
      <w:proofErr w:type="spellEnd"/>
      <w:r w:rsidRPr="00A259BD">
        <w:rPr>
          <w:rFonts w:ascii="Times New Roman" w:hAnsi="Times New Roman"/>
          <w:color w:val="000000" w:themeColor="text1"/>
          <w:sz w:val="16"/>
          <w:szCs w:val="16"/>
        </w:rPr>
        <w:t xml:space="preserve"> разного назначения /фугасных, осколочных, химических, дымовых, зажигательных/, светящих, </w:t>
      </w:r>
      <w:proofErr w:type="spellStart"/>
      <w:r w:rsidRPr="00A259BD">
        <w:rPr>
          <w:rFonts w:ascii="Times New Roman" w:hAnsi="Times New Roman"/>
          <w:color w:val="000000" w:themeColor="text1"/>
          <w:sz w:val="16"/>
          <w:szCs w:val="16"/>
        </w:rPr>
        <w:t>азронавигационных</w:t>
      </w:r>
      <w:proofErr w:type="spellEnd"/>
      <w:r w:rsidRPr="00A259BD">
        <w:rPr>
          <w:rFonts w:ascii="Times New Roman" w:hAnsi="Times New Roman"/>
          <w:color w:val="000000" w:themeColor="text1"/>
          <w:sz w:val="16"/>
          <w:szCs w:val="16"/>
        </w:rPr>
        <w:t xml:space="preserve">, пристрелочных, практических, для </w:t>
      </w:r>
      <w:proofErr w:type="spellStart"/>
      <w:r w:rsidRPr="00A259BD">
        <w:rPr>
          <w:rFonts w:ascii="Times New Roman" w:hAnsi="Times New Roman"/>
          <w:color w:val="000000" w:themeColor="text1"/>
          <w:sz w:val="16"/>
          <w:szCs w:val="16"/>
        </w:rPr>
        <w:t>сбраскванвя</w:t>
      </w:r>
      <w:proofErr w:type="spellEnd"/>
      <w:r w:rsidRPr="00A259BD">
        <w:rPr>
          <w:rFonts w:ascii="Times New Roman" w:hAnsi="Times New Roman"/>
          <w:color w:val="000000" w:themeColor="text1"/>
          <w:sz w:val="16"/>
          <w:szCs w:val="16"/>
        </w:rPr>
        <w:t xml:space="preserve"> литературы и др./</w:t>
      </w:r>
    </w:p>
    <w:p w14:paraId="234909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образца взрывателей и трубок к </w:t>
      </w:r>
      <w:proofErr w:type="spellStart"/>
      <w:r w:rsidRPr="00A259BD">
        <w:rPr>
          <w:rFonts w:ascii="Times New Roman" w:hAnsi="Times New Roman"/>
          <w:color w:val="000000" w:themeColor="text1"/>
          <w:sz w:val="16"/>
          <w:szCs w:val="16"/>
        </w:rPr>
        <w:t>аэробомбам</w:t>
      </w:r>
      <w:proofErr w:type="spellEnd"/>
      <w:r w:rsidRPr="00A259BD">
        <w:rPr>
          <w:rFonts w:ascii="Times New Roman" w:hAnsi="Times New Roman"/>
          <w:color w:val="000000" w:themeColor="text1"/>
          <w:sz w:val="16"/>
          <w:szCs w:val="16"/>
        </w:rPr>
        <w:t>.</w:t>
      </w:r>
    </w:p>
    <w:p w14:paraId="43EDE7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образцов прицелов для бомбардирования для штурмовиков, легких и тяжелых бомбардировщиков.</w:t>
      </w:r>
    </w:p>
    <w:p w14:paraId="18E780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типа приборов для автоматического хождения самолетов при бомбардировании.</w:t>
      </w:r>
    </w:p>
    <w:p w14:paraId="044C102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типа торпед для низкого торпедометания,</w:t>
      </w:r>
    </w:p>
    <w:p w14:paraId="751367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тип для высокого торпедометания.</w:t>
      </w:r>
    </w:p>
    <w:p w14:paraId="04777F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типа мин заграждения.</w:t>
      </w:r>
    </w:p>
    <w:p w14:paraId="7774B2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образцов прицелов для </w:t>
      </w:r>
      <w:proofErr w:type="spellStart"/>
      <w:r w:rsidRPr="00A259BD">
        <w:rPr>
          <w:rFonts w:ascii="Times New Roman" w:hAnsi="Times New Roman"/>
          <w:color w:val="000000" w:themeColor="text1"/>
          <w:sz w:val="16"/>
          <w:szCs w:val="16"/>
        </w:rPr>
        <w:t>топедометания</w:t>
      </w:r>
      <w:proofErr w:type="spellEnd"/>
      <w:r w:rsidRPr="00A259BD">
        <w:rPr>
          <w:rFonts w:ascii="Times New Roman" w:hAnsi="Times New Roman"/>
          <w:color w:val="000000" w:themeColor="text1"/>
          <w:sz w:val="16"/>
          <w:szCs w:val="16"/>
        </w:rPr>
        <w:t>.</w:t>
      </w:r>
    </w:p>
    <w:p w14:paraId="52F6393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Химическая служба ВВС.</w:t>
      </w:r>
    </w:p>
    <w:p w14:paraId="4AFD9B5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разработки химических бомб и бомб специального назначения значительное усиление разработок приборов для постановки дымовых завес и приборов типа ВАП.</w:t>
      </w:r>
    </w:p>
    <w:p w14:paraId="7E3E3B5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имеется в виду разработать:</w:t>
      </w:r>
    </w:p>
    <w:p w14:paraId="347667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образцов дымообразующих приборов.</w:t>
      </w:r>
    </w:p>
    <w:p w14:paraId="3D7D85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образца приборов для выливания ОВ /тип ВАП/</w:t>
      </w:r>
    </w:p>
    <w:p w14:paraId="1388A47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образца различных станций для приборов ВАП.</w:t>
      </w:r>
    </w:p>
    <w:p w14:paraId="7C1AB70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образца противогазовых самолетных масок и шлемов.</w:t>
      </w:r>
    </w:p>
    <w:p w14:paraId="27ED93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образца противогазовых летных костюмов.</w:t>
      </w:r>
    </w:p>
    <w:p w14:paraId="602DCE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Новые средства борьбы с </w:t>
      </w:r>
      <w:proofErr w:type="spellStart"/>
      <w:r w:rsidRPr="00A259BD">
        <w:rPr>
          <w:rFonts w:ascii="Times New Roman" w:hAnsi="Times New Roman"/>
          <w:color w:val="000000" w:themeColor="text1"/>
          <w:sz w:val="16"/>
          <w:szCs w:val="16"/>
        </w:rPr>
        <w:t>с</w:t>
      </w:r>
      <w:proofErr w:type="spellEnd"/>
      <w:r w:rsidRPr="00A259BD">
        <w:rPr>
          <w:rFonts w:ascii="Times New Roman" w:hAnsi="Times New Roman"/>
          <w:color w:val="000000" w:themeColor="text1"/>
          <w:sz w:val="16"/>
          <w:szCs w:val="16"/>
        </w:rPr>
        <w:t xml:space="preserve"> земными </w:t>
      </w:r>
      <w:proofErr w:type="spellStart"/>
      <w:r w:rsidRPr="00A259BD">
        <w:rPr>
          <w:rFonts w:ascii="Times New Roman" w:hAnsi="Times New Roman"/>
          <w:color w:val="000000" w:themeColor="text1"/>
          <w:sz w:val="16"/>
          <w:szCs w:val="16"/>
        </w:rPr>
        <w:t>об”ектами</w:t>
      </w:r>
      <w:proofErr w:type="spellEnd"/>
      <w:r w:rsidRPr="00A259BD">
        <w:rPr>
          <w:rFonts w:ascii="Times New Roman" w:hAnsi="Times New Roman"/>
          <w:color w:val="000000" w:themeColor="text1"/>
          <w:sz w:val="16"/>
          <w:szCs w:val="16"/>
        </w:rPr>
        <w:t>.</w:t>
      </w:r>
    </w:p>
    <w:p w14:paraId="586754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Намечена разработка и постройка 2-х образцов планирующей мины для борьбы с морским флотом противника и разрушения особо ценных и прочных земных объектов и разработка 2-х образцов ротативной мины с парашютом для разрушения железнодорожных мостов.</w:t>
      </w:r>
    </w:p>
    <w:p w14:paraId="0F24716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Корректирование артиллерийской стрельбы. Впервые ставится разработка специальных приборов облегчающих, ускоряющих и уточняющих корректирование артиллерийского огня. Уклон в разработках дан на корректирование стрельбы судовой и бе</w:t>
      </w:r>
      <w:r w:rsidRPr="00A259BD">
        <w:rPr>
          <w:rFonts w:ascii="Times New Roman" w:hAnsi="Times New Roman"/>
          <w:color w:val="000000" w:themeColor="text1"/>
          <w:sz w:val="16"/>
          <w:szCs w:val="16"/>
        </w:rPr>
        <w:softHyphen/>
        <w:t>реговой артиллерии.</w:t>
      </w:r>
    </w:p>
    <w:p w14:paraId="041E784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Предполагается разработать 5 образцов этих приборов. Кроме того, к этой группе работ </w:t>
      </w:r>
      <w:proofErr w:type="spellStart"/>
      <w:r w:rsidRPr="00A259BD">
        <w:rPr>
          <w:rFonts w:ascii="Times New Roman" w:hAnsi="Times New Roman"/>
          <w:color w:val="000000" w:themeColor="text1"/>
          <w:sz w:val="16"/>
          <w:szCs w:val="16"/>
        </w:rPr>
        <w:t>отнеезна</w:t>
      </w:r>
      <w:proofErr w:type="spellEnd"/>
      <w:r w:rsidRPr="00A259BD">
        <w:rPr>
          <w:rFonts w:ascii="Times New Roman" w:hAnsi="Times New Roman"/>
          <w:color w:val="000000" w:themeColor="text1"/>
          <w:sz w:val="16"/>
          <w:szCs w:val="16"/>
        </w:rPr>
        <w:t xml:space="preserve"> разработка и постройка 2-х образцов зрительных труб для улучшения визуальной разведки.</w:t>
      </w:r>
    </w:p>
    <w:p w14:paraId="1FF7D2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Военная пиротехника,</w:t>
      </w:r>
    </w:p>
    <w:p w14:paraId="016066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области военной пиротехники ВВС, кроме разработок, имеющих целью улучшить существующие к вводимые на. вооружение образцы, намечены разработки новых, еще не существовавших до настоящего времени ава</w:t>
      </w:r>
      <w:r w:rsidRPr="00A259BD">
        <w:rPr>
          <w:rFonts w:ascii="Times New Roman" w:hAnsi="Times New Roman"/>
          <w:color w:val="000000" w:themeColor="text1"/>
          <w:sz w:val="16"/>
          <w:szCs w:val="16"/>
        </w:rPr>
        <w:softHyphen/>
        <w:t>рийных сигналов и подсобных осветительных и сигнальных средств, дневных и ночных /всего 17 различных образцов/.</w:t>
      </w:r>
    </w:p>
    <w:p w14:paraId="6A4F32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Аэронавигация и метеорология.</w:t>
      </w:r>
    </w:p>
    <w:p w14:paraId="7B418E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области аэронавигации и метеорологии предположена разработка аэронавигационных приборов высокой точности и установление стан</w:t>
      </w:r>
      <w:r w:rsidRPr="00A259BD">
        <w:rPr>
          <w:rFonts w:ascii="Times New Roman" w:hAnsi="Times New Roman"/>
          <w:color w:val="000000" w:themeColor="text1"/>
          <w:sz w:val="16"/>
          <w:szCs w:val="16"/>
        </w:rPr>
        <w:softHyphen/>
        <w:t xml:space="preserve">дартов для образцов, </w:t>
      </w:r>
      <w:proofErr w:type="spellStart"/>
      <w:r w:rsidRPr="00A259BD">
        <w:rPr>
          <w:rFonts w:ascii="Times New Roman" w:hAnsi="Times New Roman"/>
          <w:color w:val="000000" w:themeColor="text1"/>
          <w:sz w:val="16"/>
          <w:szCs w:val="16"/>
        </w:rPr>
        <w:t>строющихся</w:t>
      </w:r>
      <w:proofErr w:type="spellEnd"/>
      <w:r w:rsidRPr="00A259BD">
        <w:rPr>
          <w:rFonts w:ascii="Times New Roman" w:hAnsi="Times New Roman"/>
          <w:color w:val="000000" w:themeColor="text1"/>
          <w:sz w:val="16"/>
          <w:szCs w:val="16"/>
        </w:rPr>
        <w:t xml:space="preserve"> промышленностью Союза в течение ряда лет.</w:t>
      </w:r>
    </w:p>
    <w:p w14:paraId="1CFAEF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Намечена разработка и постройка:</w:t>
      </w:r>
    </w:p>
    <w:p w14:paraId="61CDD7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образцов аэронавигационных и контрольных приборов.</w:t>
      </w:r>
    </w:p>
    <w:p w14:paraId="30C774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образцов походных </w:t>
      </w:r>
      <w:proofErr w:type="spellStart"/>
      <w:r w:rsidRPr="00A259BD">
        <w:rPr>
          <w:rFonts w:ascii="Times New Roman" w:hAnsi="Times New Roman"/>
          <w:color w:val="000000" w:themeColor="text1"/>
          <w:sz w:val="16"/>
          <w:szCs w:val="16"/>
        </w:rPr>
        <w:t>поверительных</w:t>
      </w:r>
      <w:proofErr w:type="spellEnd"/>
      <w:r w:rsidRPr="00A259BD">
        <w:rPr>
          <w:rFonts w:ascii="Times New Roman" w:hAnsi="Times New Roman"/>
          <w:color w:val="000000" w:themeColor="text1"/>
          <w:sz w:val="16"/>
          <w:szCs w:val="16"/>
        </w:rPr>
        <w:t xml:space="preserve"> приборов и</w:t>
      </w:r>
    </w:p>
    <w:p w14:paraId="6EDDE7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образцов метеорологических приборов /стандартных образцов/.</w:t>
      </w:r>
    </w:p>
    <w:p w14:paraId="5219B5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Фото служба. Большое внимание уделено разработке и постройке автоматических и специального назначения фотоаппаратов, приборов для дешифрирования и фотооборудования, ускоряющего обработку аэроснимков.</w:t>
      </w:r>
    </w:p>
    <w:p w14:paraId="3F5D216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этой группе работ предусматривается разработка и постройка.</w:t>
      </w:r>
    </w:p>
    <w:p w14:paraId="72D6F9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образцов аэрофотоаппаратов с объективами к ним /аэрофотоаппарат с объективами к ним /аэрофотоаппаратов для ортогональной и перспективной съемки, фотопулеметы и камеры специального назначения/.</w:t>
      </w:r>
    </w:p>
    <w:p w14:paraId="3C2CC8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образцов </w:t>
      </w:r>
      <w:proofErr w:type="spellStart"/>
      <w:r w:rsidRPr="00A259BD">
        <w:rPr>
          <w:rFonts w:ascii="Times New Roman" w:hAnsi="Times New Roman"/>
          <w:color w:val="000000" w:themeColor="text1"/>
          <w:sz w:val="16"/>
          <w:szCs w:val="16"/>
        </w:rPr>
        <w:t>аэрофотоустановок</w:t>
      </w:r>
      <w:proofErr w:type="spellEnd"/>
      <w:r w:rsidRPr="00A259BD">
        <w:rPr>
          <w:rFonts w:ascii="Times New Roman" w:hAnsi="Times New Roman"/>
          <w:color w:val="000000" w:themeColor="text1"/>
          <w:sz w:val="16"/>
          <w:szCs w:val="16"/>
        </w:rPr>
        <w:t>.</w:t>
      </w:r>
    </w:p>
    <w:p w14:paraId="1D0976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образцов походных фотолабораторий.</w:t>
      </w:r>
    </w:p>
    <w:p w14:paraId="0F20EAE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образцов предметов оборудования фотолаборатории.</w:t>
      </w:r>
    </w:p>
    <w:p w14:paraId="7CE151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Радиослужба ВВС</w:t>
      </w:r>
    </w:p>
    <w:p w14:paraId="6AF6E53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Планом намечается разработка и постройка:</w:t>
      </w:r>
    </w:p>
    <w:p w14:paraId="1CC3FDE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образцов самолетных при ем но -пере дающих радиостанций по разным линиям связи.</w:t>
      </w:r>
    </w:p>
    <w:p w14:paraId="25EFF35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образцов приемников специального назначения.</w:t>
      </w:r>
    </w:p>
    <w:p w14:paraId="015800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образца передающих станций.</w:t>
      </w:r>
    </w:p>
    <w:p w14:paraId="2829D6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образца динамомашины.</w:t>
      </w:r>
    </w:p>
    <w:p w14:paraId="6823475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образца аварийных самолетных раций.</w:t>
      </w:r>
    </w:p>
    <w:p w14:paraId="2C751FD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образцов отдельных частей и раций и</w:t>
      </w:r>
    </w:p>
    <w:p w14:paraId="2453A9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образцов приборов для управления самолетом по радио.</w:t>
      </w:r>
    </w:p>
    <w:p w14:paraId="389627D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Служба электротехники и светотехники</w:t>
      </w:r>
    </w:p>
    <w:p w14:paraId="738313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этой службе ВВС намечается значительное форсирование по созданию образцов прожекторных установок для освещения места посадки, разработка маяков и вспомогательного электроосветительного обору</w:t>
      </w:r>
      <w:r w:rsidRPr="00A259BD">
        <w:rPr>
          <w:rFonts w:ascii="Times New Roman" w:hAnsi="Times New Roman"/>
          <w:color w:val="000000" w:themeColor="text1"/>
          <w:sz w:val="16"/>
          <w:szCs w:val="16"/>
        </w:rPr>
        <w:softHyphen/>
        <w:t>дования аэродромов. Предположена разработка и постройка:</w:t>
      </w:r>
    </w:p>
    <w:p w14:paraId="069608D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6 образцов прожекторных установок для освещения места посадки.</w:t>
      </w:r>
    </w:p>
    <w:p w14:paraId="44DE273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образцов предметов вспомогательного светотехнического оборудова</w:t>
      </w:r>
      <w:r w:rsidRPr="00A259BD">
        <w:rPr>
          <w:rFonts w:ascii="Times New Roman" w:hAnsi="Times New Roman"/>
          <w:color w:val="000000" w:themeColor="text1"/>
          <w:sz w:val="16"/>
          <w:szCs w:val="16"/>
        </w:rPr>
        <w:softHyphen/>
        <w:t>ния аэродромов.</w:t>
      </w:r>
    </w:p>
    <w:p w14:paraId="1992BC7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образцов маяков и</w:t>
      </w:r>
    </w:p>
    <w:p w14:paraId="2D554B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образцовых комплектов электрооборудования самолетов для ночных полетов.</w:t>
      </w:r>
    </w:p>
    <w:p w14:paraId="3C4B67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Вспомогательное оборудование самолетов.</w:t>
      </w:r>
    </w:p>
    <w:p w14:paraId="33D9DE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Эта группа работ предусматривает разработку советского типа пара</w:t>
      </w:r>
      <w:r w:rsidRPr="00A259BD">
        <w:rPr>
          <w:rFonts w:ascii="Times New Roman" w:hAnsi="Times New Roman"/>
          <w:color w:val="000000" w:themeColor="text1"/>
          <w:sz w:val="16"/>
          <w:szCs w:val="16"/>
        </w:rPr>
        <w:softHyphen/>
        <w:t>шютов, кислородных приборов, огнетушителей и приборов связи на самолете.</w:t>
      </w:r>
    </w:p>
    <w:p w14:paraId="482BED8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Имеется в виду разработать:</w:t>
      </w:r>
    </w:p>
    <w:p w14:paraId="58446E2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образцов парашютов.</w:t>
      </w:r>
    </w:p>
    <w:p w14:paraId="544359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образца приборов связи на самолете.</w:t>
      </w:r>
    </w:p>
    <w:p w14:paraId="36D953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образца кислородных приборов.</w:t>
      </w:r>
    </w:p>
    <w:p w14:paraId="4A657E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образца огнетушителей.</w:t>
      </w:r>
    </w:p>
    <w:p w14:paraId="32C584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образца </w:t>
      </w:r>
      <w:proofErr w:type="spellStart"/>
      <w:r w:rsidRPr="00A259BD">
        <w:rPr>
          <w:rFonts w:ascii="Times New Roman" w:hAnsi="Times New Roman"/>
          <w:color w:val="000000" w:themeColor="text1"/>
          <w:sz w:val="16"/>
          <w:szCs w:val="16"/>
        </w:rPr>
        <w:t>непротекающих</w:t>
      </w:r>
      <w:proofErr w:type="spellEnd"/>
      <w:r w:rsidRPr="00A259BD">
        <w:rPr>
          <w:rFonts w:ascii="Times New Roman" w:hAnsi="Times New Roman"/>
          <w:color w:val="000000" w:themeColor="text1"/>
          <w:sz w:val="16"/>
          <w:szCs w:val="16"/>
        </w:rPr>
        <w:t xml:space="preserve"> баков</w:t>
      </w:r>
    </w:p>
    <w:p w14:paraId="5E84A4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Учебные приборы</w:t>
      </w:r>
    </w:p>
    <w:p w14:paraId="21B927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Слабая в некоторых случаях подготовленность в стрелково-бомбардировочном отношении частей ВВС, выдвигает необходимость созда</w:t>
      </w:r>
      <w:r w:rsidRPr="00A259BD">
        <w:rPr>
          <w:rFonts w:ascii="Times New Roman" w:hAnsi="Times New Roman"/>
          <w:color w:val="000000" w:themeColor="text1"/>
          <w:sz w:val="16"/>
          <w:szCs w:val="16"/>
        </w:rPr>
        <w:softHyphen/>
        <w:t xml:space="preserve">ния образцов приборов, дающих возможность в наиболее короткое время и с малыми затратами в значительной степени поднять </w:t>
      </w:r>
      <w:proofErr w:type="spellStart"/>
      <w:r w:rsidRPr="00A259BD">
        <w:rPr>
          <w:rFonts w:ascii="Times New Roman" w:hAnsi="Times New Roman"/>
          <w:color w:val="000000" w:themeColor="text1"/>
          <w:sz w:val="16"/>
          <w:szCs w:val="16"/>
        </w:rPr>
        <w:t>боеспо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собность</w:t>
      </w:r>
      <w:proofErr w:type="spellEnd"/>
      <w:r w:rsidRPr="00A259BD">
        <w:rPr>
          <w:rFonts w:ascii="Times New Roman" w:hAnsi="Times New Roman"/>
          <w:color w:val="000000" w:themeColor="text1"/>
          <w:sz w:val="16"/>
          <w:szCs w:val="16"/>
        </w:rPr>
        <w:t>. Поэтому, в этой области строительства намечено значи</w:t>
      </w:r>
      <w:r w:rsidRPr="00A259BD">
        <w:rPr>
          <w:rFonts w:ascii="Times New Roman" w:hAnsi="Times New Roman"/>
          <w:color w:val="000000" w:themeColor="text1"/>
          <w:sz w:val="16"/>
          <w:szCs w:val="16"/>
        </w:rPr>
        <w:softHyphen/>
        <w:t>тельное усиление работы.</w:t>
      </w:r>
    </w:p>
    <w:p w14:paraId="573A3EF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Предполагается разработать :</w:t>
      </w:r>
    </w:p>
    <w:p w14:paraId="708E7E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образцов приборов для обучения стрельбе и бомбардированию и</w:t>
      </w:r>
    </w:p>
    <w:p w14:paraId="25883B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образцов воздушных мишеней.</w:t>
      </w:r>
    </w:p>
    <w:p w14:paraId="766FF1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Стрелковое, бомбардировочное и торпедное оборудование самолетов.</w:t>
      </w:r>
    </w:p>
    <w:p w14:paraId="3F9C25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Эта группа работ предусматривает создание новых типов самолетных установок, связанных с появлением новых образцов вооружения ВВС Видное место в работах этой группы отведено вопросам автоматиза</w:t>
      </w:r>
      <w:r w:rsidRPr="00A259BD">
        <w:rPr>
          <w:rFonts w:ascii="Times New Roman" w:hAnsi="Times New Roman"/>
          <w:color w:val="000000" w:themeColor="text1"/>
          <w:sz w:val="16"/>
          <w:szCs w:val="16"/>
        </w:rPr>
        <w:softHyphen/>
        <w:t xml:space="preserve">ции установок бомбодержателей, </w:t>
      </w:r>
      <w:proofErr w:type="spellStart"/>
      <w:r w:rsidRPr="00A259BD">
        <w:rPr>
          <w:rFonts w:ascii="Times New Roman" w:hAnsi="Times New Roman"/>
          <w:color w:val="000000" w:themeColor="text1"/>
          <w:sz w:val="16"/>
          <w:szCs w:val="16"/>
        </w:rPr>
        <w:t>торпедодержателей</w:t>
      </w:r>
      <w:proofErr w:type="spellEnd"/>
      <w:r w:rsidRPr="00A259BD">
        <w:rPr>
          <w:rFonts w:ascii="Times New Roman" w:hAnsi="Times New Roman"/>
          <w:color w:val="000000" w:themeColor="text1"/>
          <w:sz w:val="16"/>
          <w:szCs w:val="16"/>
        </w:rPr>
        <w:t xml:space="preserve"> и сбрасывателей в устройствам для турелей вращающим турелям при помощи вспомога</w:t>
      </w:r>
      <w:r w:rsidRPr="00A259BD">
        <w:rPr>
          <w:rFonts w:ascii="Times New Roman" w:hAnsi="Times New Roman"/>
          <w:color w:val="000000" w:themeColor="text1"/>
          <w:sz w:val="16"/>
          <w:szCs w:val="16"/>
        </w:rPr>
        <w:softHyphen/>
        <w:t>тельных механизмов, а не усилиями стрелка. Предположена разработка:</w:t>
      </w:r>
    </w:p>
    <w:p w14:paraId="644D27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образцов специальных пулеметных установок, синхронизаторов, турелей для разных образцов оружия и самолетов.</w:t>
      </w:r>
    </w:p>
    <w:p w14:paraId="7EF79FC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 образцов бомбодержателей для бомб разных калибров.</w:t>
      </w:r>
    </w:p>
    <w:p w14:paraId="7CB9EB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образцов бомбосбрасывателей.</w:t>
      </w:r>
    </w:p>
    <w:p w14:paraId="039E25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образцов </w:t>
      </w:r>
      <w:proofErr w:type="spellStart"/>
      <w:r w:rsidRPr="00A259BD">
        <w:rPr>
          <w:rFonts w:ascii="Times New Roman" w:hAnsi="Times New Roman"/>
          <w:color w:val="000000" w:themeColor="text1"/>
          <w:sz w:val="16"/>
          <w:szCs w:val="16"/>
        </w:rPr>
        <w:t>торпедодержателе</w:t>
      </w:r>
      <w:proofErr w:type="spellEnd"/>
    </w:p>
    <w:p w14:paraId="6516E6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образцов торпедосбрасывателей.</w:t>
      </w:r>
    </w:p>
    <w:p w14:paraId="3A9032D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образцов. предметов вспомогательного бомбардировочного аэродром </w:t>
      </w:r>
      <w:proofErr w:type="spellStart"/>
      <w:r w:rsidRPr="00A259BD">
        <w:rPr>
          <w:rFonts w:ascii="Times New Roman" w:hAnsi="Times New Roman"/>
          <w:color w:val="000000" w:themeColor="text1"/>
          <w:sz w:val="16"/>
          <w:szCs w:val="16"/>
        </w:rPr>
        <w:t>ного</w:t>
      </w:r>
      <w:proofErr w:type="spellEnd"/>
      <w:r w:rsidRPr="00A259BD">
        <w:rPr>
          <w:rFonts w:ascii="Times New Roman" w:hAnsi="Times New Roman"/>
          <w:color w:val="000000" w:themeColor="text1"/>
          <w:sz w:val="16"/>
          <w:szCs w:val="16"/>
        </w:rPr>
        <w:t xml:space="preserve"> оборудования.</w:t>
      </w:r>
    </w:p>
    <w:p w14:paraId="48FB064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Приспособление /монтировка/ образцов вооружения и </w:t>
      </w:r>
      <w:proofErr w:type="spellStart"/>
      <w:r w:rsidRPr="00A259BD">
        <w:rPr>
          <w:rFonts w:ascii="Times New Roman" w:hAnsi="Times New Roman"/>
          <w:color w:val="000000" w:themeColor="text1"/>
          <w:sz w:val="16"/>
          <w:szCs w:val="16"/>
        </w:rPr>
        <w:t>оборудова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ния</w:t>
      </w:r>
      <w:proofErr w:type="spellEnd"/>
      <w:r w:rsidRPr="00A259BD">
        <w:rPr>
          <w:rFonts w:ascii="Times New Roman" w:hAnsi="Times New Roman"/>
          <w:color w:val="000000" w:themeColor="text1"/>
          <w:sz w:val="16"/>
          <w:szCs w:val="16"/>
        </w:rPr>
        <w:t xml:space="preserve"> для него к самолетам, состоящим на вооружении Ь^С </w:t>
      </w:r>
      <w:r w:rsidRPr="00A259BD">
        <w:rPr>
          <w:rFonts w:ascii="Times New Roman" w:hAnsi="Times New Roman"/>
          <w:color w:val="000000" w:themeColor="text1"/>
          <w:sz w:val="16"/>
          <w:szCs w:val="16"/>
          <w:vertAlign w:val="subscript"/>
        </w:rPr>
        <w:t xml:space="preserve">и </w:t>
      </w:r>
      <w:r w:rsidRPr="00A259BD">
        <w:rPr>
          <w:rFonts w:ascii="Times New Roman" w:hAnsi="Times New Roman"/>
          <w:color w:val="000000" w:themeColor="text1"/>
          <w:sz w:val="16"/>
          <w:szCs w:val="16"/>
        </w:rPr>
        <w:t>предусмотренных к постройке пятилетним планом.</w:t>
      </w:r>
    </w:p>
    <w:p w14:paraId="612D612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Группой работ предусматривается 192 приспособления /разра</w:t>
      </w:r>
      <w:r w:rsidRPr="00A259BD">
        <w:rPr>
          <w:rFonts w:ascii="Times New Roman" w:hAnsi="Times New Roman"/>
          <w:color w:val="000000" w:themeColor="text1"/>
          <w:sz w:val="16"/>
          <w:szCs w:val="16"/>
        </w:rPr>
        <w:softHyphen/>
        <w:t>ботка установок/.</w:t>
      </w:r>
    </w:p>
    <w:p w14:paraId="24F61E2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разработки всех вышеперечисленных образцов, по всем отделам вооружения и специальных служб, намечены соответствующие научно исследовательские работы и предусмотрено улучшение существующей материальной части.</w:t>
      </w:r>
    </w:p>
    <w:p w14:paraId="10F026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 отметить, что для реального выполнения ранее намеченного плана по опытному строительству по вооружению и специальным службам, плана составленного с достаточным напряжением, кроме должного в своевременного финансирования, необходимо организовать ряд конструкторских бюро при заводах, соответствующих трестов и уси</w:t>
      </w:r>
      <w:r w:rsidRPr="00A259BD">
        <w:rPr>
          <w:rFonts w:ascii="Times New Roman" w:hAnsi="Times New Roman"/>
          <w:color w:val="000000" w:themeColor="text1"/>
          <w:sz w:val="16"/>
          <w:szCs w:val="16"/>
        </w:rPr>
        <w:softHyphen/>
        <w:t>лить существующие бюро. По этому вопросу необходимые представле</w:t>
      </w:r>
      <w:r w:rsidRPr="00A259BD">
        <w:rPr>
          <w:rFonts w:ascii="Times New Roman" w:hAnsi="Times New Roman"/>
          <w:color w:val="000000" w:themeColor="text1"/>
          <w:sz w:val="16"/>
          <w:szCs w:val="16"/>
        </w:rPr>
        <w:softHyphen/>
        <w:t>ния уже сделаны.</w:t>
      </w:r>
    </w:p>
    <w:p w14:paraId="67F441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при разработке плана, предусматривалась необходимость по возможности равномерно по времени выполнения плана нагрузить конструкторские бюро.</w:t>
      </w:r>
    </w:p>
    <w:p w14:paraId="20710B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плана подчеркнула совершенную необходимость создания конструкторского бюро при НТК УВВС, которое бы вело разработки вопросов, необходимых для рациональной постановки технических требований ВВС и разрабатывало бы, в помочь промышленности, образ</w:t>
      </w:r>
      <w:r w:rsidRPr="00A259BD">
        <w:rPr>
          <w:rFonts w:ascii="Times New Roman" w:hAnsi="Times New Roman"/>
          <w:color w:val="000000" w:themeColor="text1"/>
          <w:sz w:val="16"/>
          <w:szCs w:val="16"/>
        </w:rPr>
        <w:softHyphen/>
        <w:t>цы вооружения /</w:t>
      </w:r>
      <w:proofErr w:type="spellStart"/>
      <w:r w:rsidRPr="00A259BD">
        <w:rPr>
          <w:rFonts w:ascii="Times New Roman" w:hAnsi="Times New Roman"/>
          <w:color w:val="000000" w:themeColor="text1"/>
          <w:sz w:val="16"/>
          <w:szCs w:val="16"/>
        </w:rPr>
        <w:t>главым</w:t>
      </w:r>
      <w:proofErr w:type="spellEnd"/>
      <w:r w:rsidRPr="00A259BD">
        <w:rPr>
          <w:rFonts w:ascii="Times New Roman" w:hAnsi="Times New Roman"/>
          <w:color w:val="000000" w:themeColor="text1"/>
          <w:sz w:val="16"/>
          <w:szCs w:val="16"/>
        </w:rPr>
        <w:t xml:space="preserve"> образом, прицелы и бомбы/ в качестве вто</w:t>
      </w:r>
      <w:r w:rsidRPr="00A259BD">
        <w:rPr>
          <w:rFonts w:ascii="Times New Roman" w:hAnsi="Times New Roman"/>
          <w:color w:val="000000" w:themeColor="text1"/>
          <w:sz w:val="16"/>
          <w:szCs w:val="16"/>
        </w:rPr>
        <w:softHyphen/>
        <w:t>рых вариантов. Эта система дала бы возможность избежать срыва плана в случав неудач при испытании вариантов образцов вооруже</w:t>
      </w:r>
      <w:r w:rsidRPr="00A259BD">
        <w:rPr>
          <w:rFonts w:ascii="Times New Roman" w:hAnsi="Times New Roman"/>
          <w:color w:val="000000" w:themeColor="text1"/>
          <w:sz w:val="16"/>
          <w:szCs w:val="16"/>
        </w:rPr>
        <w:softHyphen/>
        <w:t>ния, созданных промышленностью.</w:t>
      </w:r>
    </w:p>
    <w:p w14:paraId="2BC114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Ориентировочная смета на выполнение работ по пятилетнему плану по опытному строительству по вооружению и специальным службам исчис</w:t>
      </w:r>
      <w:r w:rsidRPr="00A259BD">
        <w:rPr>
          <w:rFonts w:ascii="Times New Roman" w:hAnsi="Times New Roman"/>
          <w:color w:val="000000" w:themeColor="text1"/>
          <w:sz w:val="16"/>
          <w:szCs w:val="16"/>
        </w:rPr>
        <w:softHyphen/>
        <w:t>лена в сумме 5.270.000 рублей.</w:t>
      </w:r>
    </w:p>
    <w:p w14:paraId="2934215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Материаловедение и стандартизация</w:t>
      </w:r>
    </w:p>
    <w:p w14:paraId="4FEEF06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Вопросы, затронутые в этом раздел- относятся главным образом к работам самой промышленности, которая получив требования на образцы вооружения для их изготовления сама должна ставить перед соответствующими поставщиками сырья свои требо</w:t>
      </w:r>
      <w:r w:rsidRPr="00A259BD">
        <w:rPr>
          <w:rFonts w:ascii="Times New Roman" w:hAnsi="Times New Roman"/>
          <w:color w:val="000000" w:themeColor="text1"/>
          <w:sz w:val="16"/>
          <w:szCs w:val="16"/>
        </w:rPr>
        <w:softHyphen/>
        <w:t xml:space="preserve">вания на материалы высшего качества. Считаясь же с необходимостью скорейшего введения достижений </w:t>
      </w:r>
      <w:proofErr w:type="spellStart"/>
      <w:r w:rsidRPr="00A259BD">
        <w:rPr>
          <w:rFonts w:ascii="Times New Roman" w:hAnsi="Times New Roman"/>
          <w:color w:val="000000" w:themeColor="text1"/>
          <w:sz w:val="16"/>
          <w:szCs w:val="16"/>
        </w:rPr>
        <w:t>загранничной</w:t>
      </w:r>
      <w:proofErr w:type="spellEnd"/>
      <w:r w:rsidRPr="00A259BD">
        <w:rPr>
          <w:rFonts w:ascii="Times New Roman" w:hAnsi="Times New Roman"/>
          <w:color w:val="000000" w:themeColor="text1"/>
          <w:sz w:val="16"/>
          <w:szCs w:val="16"/>
        </w:rPr>
        <w:t xml:space="preserve"> техники и создания своей базы для развития </w:t>
      </w:r>
      <w:proofErr w:type="spellStart"/>
      <w:r w:rsidRPr="00A259BD">
        <w:rPr>
          <w:rFonts w:ascii="Times New Roman" w:hAnsi="Times New Roman"/>
          <w:color w:val="000000" w:themeColor="text1"/>
          <w:sz w:val="16"/>
          <w:szCs w:val="16"/>
        </w:rPr>
        <w:t>самолето</w:t>
      </w:r>
      <w:proofErr w:type="spellEnd"/>
      <w:r w:rsidRPr="00A259BD">
        <w:rPr>
          <w:rFonts w:ascii="Times New Roman" w:hAnsi="Times New Roman"/>
          <w:color w:val="000000" w:themeColor="text1"/>
          <w:sz w:val="16"/>
          <w:szCs w:val="16"/>
        </w:rPr>
        <w:t xml:space="preserve"> и моторостроения, в пятилетнем плане намечен ряд работ выдвигаемых к разработке по инициативе </w:t>
      </w:r>
      <w:proofErr w:type="spellStart"/>
      <w:r w:rsidRPr="00A259BD">
        <w:rPr>
          <w:rFonts w:ascii="Times New Roman" w:hAnsi="Times New Roman"/>
          <w:color w:val="000000" w:themeColor="text1"/>
          <w:sz w:val="16"/>
          <w:szCs w:val="16"/>
        </w:rPr>
        <w:t>УььС</w:t>
      </w:r>
      <w:proofErr w:type="spellEnd"/>
      <w:r w:rsidRPr="00A259BD">
        <w:rPr>
          <w:rFonts w:ascii="Times New Roman" w:hAnsi="Times New Roman"/>
          <w:color w:val="000000" w:themeColor="text1"/>
          <w:sz w:val="16"/>
          <w:szCs w:val="16"/>
        </w:rPr>
        <w:t xml:space="preserve">, но выполнение коих должно </w:t>
      </w:r>
      <w:proofErr w:type="spellStart"/>
      <w:r w:rsidRPr="00A259BD">
        <w:rPr>
          <w:rFonts w:ascii="Times New Roman" w:hAnsi="Times New Roman"/>
          <w:color w:val="000000" w:themeColor="text1"/>
          <w:sz w:val="16"/>
          <w:szCs w:val="16"/>
        </w:rPr>
        <w:t>итти</w:t>
      </w:r>
      <w:proofErr w:type="spellEnd"/>
      <w:r w:rsidRPr="00A259BD">
        <w:rPr>
          <w:rFonts w:ascii="Times New Roman" w:hAnsi="Times New Roman"/>
          <w:color w:val="000000" w:themeColor="text1"/>
          <w:sz w:val="16"/>
          <w:szCs w:val="16"/>
        </w:rPr>
        <w:t xml:space="preserve"> по линии промышленности.</w:t>
      </w:r>
    </w:p>
    <w:p w14:paraId="1C88657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Средства, предусмотренные планом охватывают главным образом лишь оплату самого выполнения данной </w:t>
      </w:r>
      <w:proofErr w:type="spellStart"/>
      <w:r w:rsidRPr="00A259BD">
        <w:rPr>
          <w:rFonts w:ascii="Times New Roman" w:hAnsi="Times New Roman"/>
          <w:color w:val="000000" w:themeColor="text1"/>
          <w:sz w:val="16"/>
          <w:szCs w:val="16"/>
        </w:rPr>
        <w:t>оаботы</w:t>
      </w:r>
      <w:proofErr w:type="spellEnd"/>
      <w:r w:rsidRPr="00A259BD">
        <w:rPr>
          <w:rFonts w:ascii="Times New Roman" w:hAnsi="Times New Roman"/>
          <w:color w:val="000000" w:themeColor="text1"/>
          <w:sz w:val="16"/>
          <w:szCs w:val="16"/>
        </w:rPr>
        <w:t>, что же касается расходов по оборудованию заводов для проведения поставленных работ, то они планом не предусмотрены.</w:t>
      </w:r>
    </w:p>
    <w:p w14:paraId="37A8A6B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Главнейшее направление работ по этому разделу будет нижеследующим:</w:t>
      </w:r>
    </w:p>
    <w:p w14:paraId="5C0FE4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Работы по авиационным материалам.</w:t>
      </w:r>
    </w:p>
    <w:p w14:paraId="68B0EF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Работы по стандартизации.</w:t>
      </w:r>
    </w:p>
    <w:p w14:paraId="66E116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Работы по разработке технических условий, требований и номен</w:t>
      </w:r>
      <w:r w:rsidRPr="00A259BD">
        <w:rPr>
          <w:rFonts w:ascii="Times New Roman" w:hAnsi="Times New Roman"/>
          <w:color w:val="000000" w:themeColor="text1"/>
          <w:sz w:val="16"/>
          <w:szCs w:val="16"/>
        </w:rPr>
        <w:softHyphen/>
        <w:t>клатур по авиатехнике.</w:t>
      </w:r>
    </w:p>
    <w:p w14:paraId="6421A47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Работы по </w:t>
      </w:r>
      <w:proofErr w:type="spellStart"/>
      <w:r w:rsidRPr="00A259BD">
        <w:rPr>
          <w:rFonts w:ascii="Times New Roman" w:hAnsi="Times New Roman"/>
          <w:color w:val="000000" w:themeColor="text1"/>
          <w:sz w:val="16"/>
          <w:szCs w:val="16"/>
        </w:rPr>
        <w:t>суррогатиоованию</w:t>
      </w:r>
      <w:proofErr w:type="spellEnd"/>
      <w:r w:rsidRPr="00A259BD">
        <w:rPr>
          <w:rFonts w:ascii="Times New Roman" w:hAnsi="Times New Roman"/>
          <w:color w:val="000000" w:themeColor="text1"/>
          <w:sz w:val="16"/>
          <w:szCs w:val="16"/>
        </w:rPr>
        <w:t>.</w:t>
      </w:r>
    </w:p>
    <w:p w14:paraId="79B0872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авиационным материалам предположено поставить работы по метал</w:t>
      </w:r>
      <w:r w:rsidRPr="00A259BD">
        <w:rPr>
          <w:rFonts w:ascii="Times New Roman" w:hAnsi="Times New Roman"/>
          <w:color w:val="000000" w:themeColor="text1"/>
          <w:sz w:val="16"/>
          <w:szCs w:val="16"/>
        </w:rPr>
        <w:softHyphen/>
        <w:t>лам, дереву, текстилю, резине, клеям, лакам, применяемым в авиа</w:t>
      </w:r>
      <w:r w:rsidRPr="00A259BD">
        <w:rPr>
          <w:rFonts w:ascii="Times New Roman" w:hAnsi="Times New Roman"/>
          <w:color w:val="000000" w:themeColor="text1"/>
          <w:sz w:val="16"/>
          <w:szCs w:val="16"/>
        </w:rPr>
        <w:softHyphen/>
        <w:t xml:space="preserve">строении. Основными материалами являются высококачественные стали, легкие высокосортные алюминиевые сплавы и дерево. </w:t>
      </w:r>
    </w:p>
    <w:p w14:paraId="043D0BE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Наличие сырья по всем </w:t>
      </w:r>
      <w:proofErr w:type="spellStart"/>
      <w:r w:rsidRPr="00A259BD">
        <w:rPr>
          <w:rFonts w:ascii="Times New Roman" w:hAnsi="Times New Roman"/>
          <w:color w:val="000000" w:themeColor="text1"/>
          <w:sz w:val="16"/>
          <w:szCs w:val="16"/>
        </w:rPr>
        <w:t>этям</w:t>
      </w:r>
      <w:proofErr w:type="spellEnd"/>
      <w:r w:rsidRPr="00A259BD">
        <w:rPr>
          <w:rFonts w:ascii="Times New Roman" w:hAnsi="Times New Roman"/>
          <w:color w:val="000000" w:themeColor="text1"/>
          <w:sz w:val="16"/>
          <w:szCs w:val="16"/>
        </w:rPr>
        <w:t xml:space="preserve"> материалам обеспечивает успешность раз</w:t>
      </w:r>
      <w:r w:rsidRPr="00A259BD">
        <w:rPr>
          <w:rFonts w:ascii="Times New Roman" w:hAnsi="Times New Roman"/>
          <w:color w:val="000000" w:themeColor="text1"/>
          <w:sz w:val="16"/>
          <w:szCs w:val="16"/>
        </w:rPr>
        <w:softHyphen/>
        <w:t>вития нужных для авиации производств, однако оборудование наших металлургических заводов настолько старо, изношено и недостаточно по мощности, что мы не имеем производства у нас нужных сортов ста</w:t>
      </w:r>
      <w:r w:rsidRPr="00A259BD">
        <w:rPr>
          <w:rFonts w:ascii="Times New Roman" w:hAnsi="Times New Roman"/>
          <w:color w:val="000000" w:themeColor="text1"/>
          <w:sz w:val="16"/>
          <w:szCs w:val="16"/>
        </w:rPr>
        <w:softHyphen/>
        <w:t>ли и до сих пор вынуждены заказывать за границей. Поэтому совершен</w:t>
      </w:r>
      <w:r w:rsidRPr="00A259BD">
        <w:rPr>
          <w:rFonts w:ascii="Times New Roman" w:hAnsi="Times New Roman"/>
          <w:color w:val="000000" w:themeColor="text1"/>
          <w:sz w:val="16"/>
          <w:szCs w:val="16"/>
        </w:rPr>
        <w:softHyphen/>
        <w:t xml:space="preserve">но необходимо в первую очередь обратить внимание на создание у нас своей металлургической базы, без каковой невозможен дальнейший прогресс авиационного строительства и 5-ти летний план опытного строительства не может </w:t>
      </w:r>
      <w:proofErr w:type="spellStart"/>
      <w:r w:rsidRPr="00A259BD">
        <w:rPr>
          <w:rFonts w:ascii="Times New Roman" w:hAnsi="Times New Roman"/>
          <w:color w:val="000000" w:themeColor="text1"/>
          <w:sz w:val="16"/>
          <w:szCs w:val="16"/>
        </w:rPr>
        <w:t>бьть</w:t>
      </w:r>
      <w:proofErr w:type="spellEnd"/>
      <w:r w:rsidRPr="00A259BD">
        <w:rPr>
          <w:rFonts w:ascii="Times New Roman" w:hAnsi="Times New Roman"/>
          <w:color w:val="000000" w:themeColor="text1"/>
          <w:sz w:val="16"/>
          <w:szCs w:val="16"/>
        </w:rPr>
        <w:t xml:space="preserve"> выполнен.</w:t>
      </w:r>
    </w:p>
    <w:p w14:paraId="34FD79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же касается алюминиевой промышленности, то до завершения по</w:t>
      </w:r>
      <w:r w:rsidRPr="00A259BD">
        <w:rPr>
          <w:rFonts w:ascii="Times New Roman" w:hAnsi="Times New Roman"/>
          <w:color w:val="000000" w:themeColor="text1"/>
          <w:sz w:val="16"/>
          <w:szCs w:val="16"/>
        </w:rPr>
        <w:softHyphen/>
        <w:t xml:space="preserve">стройки </w:t>
      </w:r>
      <w:proofErr w:type="spellStart"/>
      <w:r w:rsidRPr="00A259BD">
        <w:rPr>
          <w:rFonts w:ascii="Times New Roman" w:hAnsi="Times New Roman"/>
          <w:color w:val="000000" w:themeColor="text1"/>
          <w:sz w:val="16"/>
          <w:szCs w:val="16"/>
        </w:rPr>
        <w:t>Днепростроя</w:t>
      </w:r>
      <w:proofErr w:type="spellEnd"/>
      <w:r w:rsidRPr="00A259BD">
        <w:rPr>
          <w:rFonts w:ascii="Times New Roman" w:hAnsi="Times New Roman"/>
          <w:color w:val="000000" w:themeColor="text1"/>
          <w:sz w:val="16"/>
          <w:szCs w:val="16"/>
        </w:rPr>
        <w:t xml:space="preserve"> и проектируемого при нем алюминиевого завода мы вынуждены базироваться на иностранном привозном </w:t>
      </w:r>
      <w:proofErr w:type="spellStart"/>
      <w:r w:rsidRPr="00A259BD">
        <w:rPr>
          <w:rFonts w:ascii="Times New Roman" w:hAnsi="Times New Roman"/>
          <w:color w:val="000000" w:themeColor="text1"/>
          <w:sz w:val="16"/>
          <w:szCs w:val="16"/>
        </w:rPr>
        <w:t>аллюминии</w:t>
      </w:r>
      <w:proofErr w:type="spellEnd"/>
      <w:r w:rsidRPr="00A259BD">
        <w:rPr>
          <w:rFonts w:ascii="Times New Roman" w:hAnsi="Times New Roman"/>
          <w:color w:val="000000" w:themeColor="text1"/>
          <w:sz w:val="16"/>
          <w:szCs w:val="16"/>
        </w:rPr>
        <w:t>.</w:t>
      </w:r>
    </w:p>
    <w:p w14:paraId="7B1F77C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числа легких сплавов, имеющих будущее, большое значение для авиации имеет электрон, уже в настоящее время применяющийся в значительных размерах, работы по обработке и изготовлению этого металла предусмотрены планом.</w:t>
      </w:r>
    </w:p>
    <w:p w14:paraId="0143473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Затем, значительное внимание уделено вопросам создания </w:t>
      </w:r>
      <w:proofErr w:type="spellStart"/>
      <w:r w:rsidRPr="00A259BD">
        <w:rPr>
          <w:rFonts w:ascii="Times New Roman" w:hAnsi="Times New Roman"/>
          <w:color w:val="000000" w:themeColor="text1"/>
          <w:sz w:val="16"/>
          <w:szCs w:val="16"/>
        </w:rPr>
        <w:t>некоррозирующих</w:t>
      </w:r>
      <w:proofErr w:type="spellEnd"/>
      <w:r w:rsidRPr="00A259BD">
        <w:rPr>
          <w:rFonts w:ascii="Times New Roman" w:hAnsi="Times New Roman"/>
          <w:color w:val="000000" w:themeColor="text1"/>
          <w:sz w:val="16"/>
          <w:szCs w:val="16"/>
        </w:rPr>
        <w:t xml:space="preserve"> покрытий для легких сплавов, получение нержавеющей ста</w:t>
      </w:r>
      <w:r w:rsidRPr="00A259BD">
        <w:rPr>
          <w:rFonts w:ascii="Times New Roman" w:hAnsi="Times New Roman"/>
          <w:color w:val="000000" w:themeColor="text1"/>
          <w:sz w:val="16"/>
          <w:szCs w:val="16"/>
        </w:rPr>
        <w:softHyphen/>
        <w:t>ли и применение ее в авиастроении.</w:t>
      </w:r>
    </w:p>
    <w:p w14:paraId="0D0EEF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дерева будут вестись работы по изысканию возможности применения новых пород и замене своими породами импортного крас</w:t>
      </w:r>
      <w:r w:rsidRPr="00A259BD">
        <w:rPr>
          <w:rFonts w:ascii="Times New Roman" w:hAnsi="Times New Roman"/>
          <w:color w:val="000000" w:themeColor="text1"/>
          <w:sz w:val="16"/>
          <w:szCs w:val="16"/>
        </w:rPr>
        <w:softHyphen/>
        <w:t>ного дерева, а кроме того обращено внимание на необходимость рационального ведения лесного хозяйства для бесперебойного снабжения промышленности сосновым лесом.</w:t>
      </w:r>
    </w:p>
    <w:p w14:paraId="10FF48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клеев, лаков намечены работы по изысканию более прочных и стойких, а по лакам в добавок т негорючим.</w:t>
      </w:r>
    </w:p>
    <w:p w14:paraId="2C84689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остальным материалам работа будет вестись в направлении улуч</w:t>
      </w:r>
      <w:r w:rsidRPr="00A259BD">
        <w:rPr>
          <w:rFonts w:ascii="Times New Roman" w:hAnsi="Times New Roman"/>
          <w:color w:val="000000" w:themeColor="text1"/>
          <w:sz w:val="16"/>
          <w:szCs w:val="16"/>
        </w:rPr>
        <w:softHyphen/>
        <w:t>шения качества и удешевления производства их.</w:t>
      </w:r>
    </w:p>
    <w:p w14:paraId="6EADC2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Главнейший перечень намеченных работ будет нижеследующий:</w:t>
      </w:r>
    </w:p>
    <w:p w14:paraId="1B194B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Получение стальных труб обыкновенных, углеродистых и высоко</w:t>
      </w:r>
      <w:r w:rsidRPr="00A259BD">
        <w:rPr>
          <w:rFonts w:ascii="Times New Roman" w:hAnsi="Times New Roman"/>
          <w:color w:val="000000" w:themeColor="text1"/>
          <w:sz w:val="16"/>
          <w:szCs w:val="16"/>
        </w:rPr>
        <w:softHyphen/>
        <w:t>сортных с большим сопротивлением /для самолетов/.</w:t>
      </w:r>
    </w:p>
    <w:p w14:paraId="3463DAB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Получение нержавеющей стали высокой крепости 140-150 кг/мм*.</w:t>
      </w:r>
    </w:p>
    <w:p w14:paraId="75CACBB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w:t>
      </w:r>
      <w:proofErr w:type="spellStart"/>
      <w:r w:rsidRPr="00A259BD">
        <w:rPr>
          <w:rFonts w:ascii="Times New Roman" w:hAnsi="Times New Roman"/>
          <w:color w:val="000000" w:themeColor="text1"/>
          <w:sz w:val="16"/>
          <w:szCs w:val="16"/>
        </w:rPr>
        <w:t>Кзготовление</w:t>
      </w:r>
      <w:proofErr w:type="spellEnd"/>
      <w:r w:rsidRPr="00A259BD">
        <w:rPr>
          <w:rFonts w:ascii="Times New Roman" w:hAnsi="Times New Roman"/>
          <w:color w:val="000000" w:themeColor="text1"/>
          <w:sz w:val="16"/>
          <w:szCs w:val="16"/>
        </w:rPr>
        <w:t xml:space="preserve"> простой и нержавеющей профилированной стали для стального самолетостроения.</w:t>
      </w:r>
    </w:p>
    <w:p w14:paraId="7FF6038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Изготовление специальной стали новых марок для целей моторо</w:t>
      </w:r>
      <w:r w:rsidRPr="00A259BD">
        <w:rPr>
          <w:rFonts w:ascii="Times New Roman" w:hAnsi="Times New Roman"/>
          <w:color w:val="000000" w:themeColor="text1"/>
          <w:sz w:val="16"/>
          <w:szCs w:val="16"/>
        </w:rPr>
        <w:softHyphen/>
        <w:t>строения и установка методов штамповки изделий из нее.</w:t>
      </w:r>
    </w:p>
    <w:p w14:paraId="1BF1EF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Изучение элементов конструкций стальных самолетов в зависи</w:t>
      </w:r>
      <w:r w:rsidRPr="00A259BD">
        <w:rPr>
          <w:rFonts w:ascii="Times New Roman" w:hAnsi="Times New Roman"/>
          <w:color w:val="000000" w:themeColor="text1"/>
          <w:sz w:val="16"/>
          <w:szCs w:val="16"/>
        </w:rPr>
        <w:softHyphen/>
        <w:t>мости от метода производства /сварка, клепка и пр./</w:t>
      </w:r>
    </w:p>
    <w:p w14:paraId="2B8336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Установка производства электрона и алюминия.</w:t>
      </w:r>
    </w:p>
    <w:p w14:paraId="63DB2B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Изучение электронных сплавов и установление метода обработки их.</w:t>
      </w:r>
    </w:p>
    <w:p w14:paraId="6A112DE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изучение появления коррозии и свойств различных </w:t>
      </w:r>
      <w:proofErr w:type="spellStart"/>
      <w:r w:rsidRPr="00A259BD">
        <w:rPr>
          <w:rFonts w:ascii="Times New Roman" w:hAnsi="Times New Roman"/>
          <w:color w:val="000000" w:themeColor="text1"/>
          <w:sz w:val="16"/>
          <w:szCs w:val="16"/>
        </w:rPr>
        <w:t>противокоррозийных</w:t>
      </w:r>
      <w:proofErr w:type="spellEnd"/>
      <w:r w:rsidRPr="00A259BD">
        <w:rPr>
          <w:rFonts w:ascii="Times New Roman" w:hAnsi="Times New Roman"/>
          <w:color w:val="000000" w:themeColor="text1"/>
          <w:sz w:val="16"/>
          <w:szCs w:val="16"/>
        </w:rPr>
        <w:t xml:space="preserve"> покрытий и др. предохранительных мер.</w:t>
      </w:r>
    </w:p>
    <w:p w14:paraId="3019FB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Установка производства штампованных изделий для самолетострое</w:t>
      </w:r>
      <w:r w:rsidRPr="00A259BD">
        <w:rPr>
          <w:rFonts w:ascii="Times New Roman" w:hAnsi="Times New Roman"/>
          <w:color w:val="000000" w:themeColor="text1"/>
          <w:sz w:val="16"/>
          <w:szCs w:val="16"/>
        </w:rPr>
        <w:softHyphen/>
        <w:t xml:space="preserve">ния </w:t>
      </w:r>
      <w:proofErr w:type="spellStart"/>
      <w:r w:rsidRPr="00A259BD">
        <w:rPr>
          <w:rFonts w:ascii="Times New Roman" w:hAnsi="Times New Roman"/>
          <w:color w:val="000000" w:themeColor="text1"/>
          <w:sz w:val="16"/>
          <w:szCs w:val="16"/>
        </w:rPr>
        <w:t>имоторостроения</w:t>
      </w:r>
      <w:proofErr w:type="spellEnd"/>
      <w:r w:rsidRPr="00A259BD">
        <w:rPr>
          <w:rFonts w:ascii="Times New Roman" w:hAnsi="Times New Roman"/>
          <w:color w:val="000000" w:themeColor="text1"/>
          <w:sz w:val="16"/>
          <w:szCs w:val="16"/>
        </w:rPr>
        <w:t xml:space="preserve"> из алюминиевых и электронных сплавов. 10. Изучение свойств новейших заграничных сталей, других металлов и легких сплавов высокой крепости.</w:t>
      </w:r>
    </w:p>
    <w:p w14:paraId="6FDB43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Изучение свойств различной древесины в зависимости от условий </w:t>
      </w:r>
      <w:proofErr w:type="spellStart"/>
      <w:r w:rsidRPr="00A259BD">
        <w:rPr>
          <w:rFonts w:ascii="Times New Roman" w:hAnsi="Times New Roman"/>
          <w:color w:val="000000" w:themeColor="text1"/>
          <w:sz w:val="16"/>
          <w:szCs w:val="16"/>
        </w:rPr>
        <w:t>экеплоатации</w:t>
      </w:r>
      <w:proofErr w:type="spellEnd"/>
      <w:r w:rsidRPr="00A259BD">
        <w:rPr>
          <w:rFonts w:ascii="Times New Roman" w:hAnsi="Times New Roman"/>
          <w:color w:val="000000" w:themeColor="text1"/>
          <w:sz w:val="16"/>
          <w:szCs w:val="16"/>
        </w:rPr>
        <w:t xml:space="preserve"> и производств.</w:t>
      </w:r>
    </w:p>
    <w:p w14:paraId="49C5B80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изучение различных клеев к лаков, химических материалов и пр.</w:t>
      </w:r>
    </w:p>
    <w:p w14:paraId="41322F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13. Изучение различных тканей для самолетов, аэростатов и парашютов,</w:t>
      </w:r>
    </w:p>
    <w:p w14:paraId="3D44C4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Изучение резины и прочих материалов, применяемых в авиации.</w:t>
      </w:r>
    </w:p>
    <w:p w14:paraId="123D7D6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Организации, которые могут провести намеченные </w:t>
      </w:r>
      <w:proofErr w:type="spellStart"/>
      <w:r w:rsidRPr="00A259BD">
        <w:rPr>
          <w:rFonts w:ascii="Times New Roman" w:hAnsi="Times New Roman"/>
          <w:color w:val="000000" w:themeColor="text1"/>
          <w:sz w:val="16"/>
          <w:szCs w:val="16"/>
        </w:rPr>
        <w:t>работр</w:t>
      </w:r>
      <w:proofErr w:type="spellEnd"/>
      <w:r w:rsidRPr="00A259BD">
        <w:rPr>
          <w:rFonts w:ascii="Times New Roman" w:hAnsi="Times New Roman"/>
          <w:color w:val="000000" w:themeColor="text1"/>
          <w:sz w:val="16"/>
          <w:szCs w:val="16"/>
        </w:rPr>
        <w:t xml:space="preserve">, имеются, необходимо лишь усилить металлургические заводы оборудованием и заново организовать производство </w:t>
      </w:r>
      <w:proofErr w:type="spellStart"/>
      <w:r w:rsidRPr="00A259BD">
        <w:rPr>
          <w:rFonts w:ascii="Times New Roman" w:hAnsi="Times New Roman"/>
          <w:color w:val="000000" w:themeColor="text1"/>
          <w:sz w:val="16"/>
          <w:szCs w:val="16"/>
        </w:rPr>
        <w:t>аллюминия</w:t>
      </w:r>
      <w:proofErr w:type="spellEnd"/>
      <w:r w:rsidRPr="00A259BD">
        <w:rPr>
          <w:rFonts w:ascii="Times New Roman" w:hAnsi="Times New Roman"/>
          <w:color w:val="000000" w:themeColor="text1"/>
          <w:sz w:val="16"/>
          <w:szCs w:val="16"/>
        </w:rPr>
        <w:t xml:space="preserve"> и электрона.</w:t>
      </w:r>
    </w:p>
    <w:p w14:paraId="5BFFB4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Стандартизация - должна за 5 лет охватить работу таким образом, чтобы обеспечить наибольшую взаимозаменяемость во всех образцах, изготовляемых промышленностью для ВВС и упорядочить различные элементы оборудования и конструкции самолетов, сведя их к наименьшему количеству и нормализуя принятые типы.</w:t>
      </w:r>
    </w:p>
    <w:p w14:paraId="7BBB75A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области стандартизации должна быть отнесена и разработка технических условий и различных производственных инструкций, являющихся чрезвычайно важными в мобилизационном отношении, а также разработка различных норм, терминов и обозначений.</w:t>
      </w:r>
    </w:p>
    <w:p w14:paraId="619E41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Главнейшие работы этого отдела </w:t>
      </w:r>
      <w:proofErr w:type="spellStart"/>
      <w:r w:rsidRPr="00A259BD">
        <w:rPr>
          <w:rFonts w:ascii="Times New Roman" w:hAnsi="Times New Roman"/>
          <w:color w:val="000000" w:themeColor="text1"/>
          <w:sz w:val="16"/>
          <w:szCs w:val="16"/>
        </w:rPr>
        <w:t>бупут</w:t>
      </w:r>
      <w:proofErr w:type="spellEnd"/>
      <w:r w:rsidRPr="00A259BD">
        <w:rPr>
          <w:rFonts w:ascii="Times New Roman" w:hAnsi="Times New Roman"/>
          <w:color w:val="000000" w:themeColor="text1"/>
          <w:sz w:val="16"/>
          <w:szCs w:val="16"/>
        </w:rPr>
        <w:t xml:space="preserve"> нижеследующие:</w:t>
      </w:r>
    </w:p>
    <w:p w14:paraId="0F3128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Разработка и издание единой номенклатуры ВВС.</w:t>
      </w:r>
    </w:p>
    <w:p w14:paraId="6BE2B5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Разработка стандартов и техусловий на </w:t>
      </w:r>
      <w:proofErr w:type="spellStart"/>
      <w:r w:rsidRPr="00A259BD">
        <w:rPr>
          <w:rFonts w:ascii="Times New Roman" w:hAnsi="Times New Roman"/>
          <w:color w:val="000000" w:themeColor="text1"/>
          <w:sz w:val="16"/>
          <w:szCs w:val="16"/>
        </w:rPr>
        <w:t>авиаматериалы</w:t>
      </w:r>
      <w:proofErr w:type="spellEnd"/>
      <w:r w:rsidRPr="00A259BD">
        <w:rPr>
          <w:rFonts w:ascii="Times New Roman" w:hAnsi="Times New Roman"/>
          <w:color w:val="000000" w:themeColor="text1"/>
          <w:sz w:val="16"/>
          <w:szCs w:val="16"/>
        </w:rPr>
        <w:t>, полуфабрикаты по самолетам и моторам.</w:t>
      </w:r>
    </w:p>
    <w:p w14:paraId="735B13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Разработка стандартов деталей самолетов /колеса, профи</w:t>
      </w:r>
      <w:r w:rsidRPr="00A259BD">
        <w:rPr>
          <w:rFonts w:ascii="Times New Roman" w:hAnsi="Times New Roman"/>
          <w:color w:val="000000" w:themeColor="text1"/>
          <w:sz w:val="16"/>
          <w:szCs w:val="16"/>
        </w:rPr>
        <w:softHyphen/>
        <w:t>ли, трубы, арматура, лыжи, поплавки и проч./</w:t>
      </w:r>
    </w:p>
    <w:p w14:paraId="081266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Разработка, стандартных приборов для оборудования само</w:t>
      </w:r>
      <w:r w:rsidRPr="00A259BD">
        <w:rPr>
          <w:rFonts w:ascii="Times New Roman" w:hAnsi="Times New Roman"/>
          <w:color w:val="000000" w:themeColor="text1"/>
          <w:sz w:val="16"/>
          <w:szCs w:val="16"/>
        </w:rPr>
        <w:softHyphen/>
        <w:t>летов.</w:t>
      </w:r>
    </w:p>
    <w:p w14:paraId="44E0DE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Разработка стандартного оборудования кабины летчиков, наблюдателя, стрелка и проч.</w:t>
      </w:r>
    </w:p>
    <w:p w14:paraId="01D60A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Разработка стандартных предметов аэродромного оборудо</w:t>
      </w:r>
      <w:r w:rsidRPr="00A259BD">
        <w:rPr>
          <w:rFonts w:ascii="Times New Roman" w:hAnsi="Times New Roman"/>
          <w:color w:val="000000" w:themeColor="text1"/>
          <w:sz w:val="16"/>
          <w:szCs w:val="16"/>
        </w:rPr>
        <w:softHyphen/>
        <w:t>вания для обслуживания самолетов.</w:t>
      </w:r>
    </w:p>
    <w:p w14:paraId="0B547B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Стандартизация складского оборудования, тар и пр.</w:t>
      </w:r>
    </w:p>
    <w:p w14:paraId="4302F78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Выполнение всех этих работ будет вестись в непосредственной и ближайшей связи с комиссией по стандартизации </w:t>
      </w:r>
      <w:proofErr w:type="spellStart"/>
      <w:r w:rsidRPr="00A259BD">
        <w:rPr>
          <w:rFonts w:ascii="Times New Roman" w:hAnsi="Times New Roman"/>
          <w:color w:val="000000" w:themeColor="text1"/>
          <w:sz w:val="16"/>
          <w:szCs w:val="16"/>
        </w:rPr>
        <w:t>автоавиа</w:t>
      </w:r>
      <w:proofErr w:type="spellEnd"/>
      <w:r w:rsidRPr="00A259BD">
        <w:rPr>
          <w:rFonts w:ascii="Times New Roman" w:hAnsi="Times New Roman"/>
          <w:color w:val="000000" w:themeColor="text1"/>
          <w:sz w:val="16"/>
          <w:szCs w:val="16"/>
        </w:rPr>
        <w:t>-материалов при комитета по стандартизации СТО.</w:t>
      </w:r>
    </w:p>
    <w:p w14:paraId="63DEBC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Суррогатирование</w:t>
      </w:r>
      <w:proofErr w:type="spellEnd"/>
      <w:r w:rsidRPr="00A259BD">
        <w:rPr>
          <w:rFonts w:ascii="Times New Roman" w:hAnsi="Times New Roman"/>
          <w:color w:val="000000" w:themeColor="text1"/>
          <w:sz w:val="16"/>
          <w:szCs w:val="16"/>
        </w:rPr>
        <w:t xml:space="preserve"> - эти работы будут вестись по двум линиям как в отношении изыскания новых материалов для замены де</w:t>
      </w:r>
      <w:r w:rsidRPr="00A259BD">
        <w:rPr>
          <w:rFonts w:ascii="Times New Roman" w:hAnsi="Times New Roman"/>
          <w:color w:val="000000" w:themeColor="text1"/>
          <w:sz w:val="16"/>
          <w:szCs w:val="16"/>
        </w:rPr>
        <w:softHyphen/>
        <w:t>фицитных, так и в отношении снижения техусловий на военное время. Однако, основным направлением этих работ будет та</w:t>
      </w:r>
      <w:r w:rsidRPr="00A259BD">
        <w:rPr>
          <w:rFonts w:ascii="Times New Roman" w:hAnsi="Times New Roman"/>
          <w:color w:val="000000" w:themeColor="text1"/>
          <w:sz w:val="16"/>
          <w:szCs w:val="16"/>
        </w:rPr>
        <w:softHyphen/>
        <w:t>ково, чтобы в военное время летно-тактические данные само</w:t>
      </w:r>
      <w:r w:rsidRPr="00A259BD">
        <w:rPr>
          <w:rFonts w:ascii="Times New Roman" w:hAnsi="Times New Roman"/>
          <w:color w:val="000000" w:themeColor="text1"/>
          <w:sz w:val="16"/>
          <w:szCs w:val="16"/>
        </w:rPr>
        <w:softHyphen/>
        <w:t>летов и др. основных видов вооружения ВВС не были снижены.</w:t>
      </w:r>
    </w:p>
    <w:p w14:paraId="72E588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Суммы, необходимые для осуществления плана опытного строи</w:t>
      </w:r>
      <w:r w:rsidRPr="00A259BD">
        <w:rPr>
          <w:rFonts w:ascii="Times New Roman" w:hAnsi="Times New Roman"/>
          <w:color w:val="000000" w:themeColor="text1"/>
          <w:sz w:val="16"/>
          <w:szCs w:val="16"/>
        </w:rPr>
        <w:softHyphen/>
        <w:t xml:space="preserve">тельства по материаловедению и </w:t>
      </w:r>
      <w:proofErr w:type="spellStart"/>
      <w:r w:rsidRPr="00A259BD">
        <w:rPr>
          <w:rFonts w:ascii="Times New Roman" w:hAnsi="Times New Roman"/>
          <w:color w:val="000000" w:themeColor="text1"/>
          <w:sz w:val="16"/>
          <w:szCs w:val="16"/>
        </w:rPr>
        <w:t>стандартввации</w:t>
      </w:r>
      <w:proofErr w:type="spellEnd"/>
      <w:r w:rsidRPr="00A259BD">
        <w:rPr>
          <w:rFonts w:ascii="Times New Roman" w:hAnsi="Times New Roman"/>
          <w:color w:val="000000" w:themeColor="text1"/>
          <w:sz w:val="16"/>
          <w:szCs w:val="16"/>
        </w:rPr>
        <w:t xml:space="preserve"> исчислены на 5 лет в 5.600.000 рублей.</w:t>
      </w:r>
    </w:p>
    <w:p w14:paraId="6ABCF4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Аэродромное обору</w:t>
      </w:r>
      <w:r w:rsidRPr="00A259BD">
        <w:rPr>
          <w:rFonts w:ascii="Times New Roman" w:hAnsi="Times New Roman"/>
          <w:color w:val="000000" w:themeColor="text1"/>
          <w:sz w:val="16"/>
          <w:szCs w:val="16"/>
        </w:rPr>
        <w:softHyphen/>
        <w:t>дование.</w:t>
      </w:r>
    </w:p>
    <w:p w14:paraId="6E0B841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Сюда относятся лишь работы, связанные непосредственно с обслуживанием самолета и не затрагивался работы аэродром</w:t>
      </w:r>
      <w:r w:rsidRPr="00A259BD">
        <w:rPr>
          <w:rFonts w:ascii="Times New Roman" w:hAnsi="Times New Roman"/>
          <w:color w:val="000000" w:themeColor="text1"/>
          <w:sz w:val="16"/>
          <w:szCs w:val="16"/>
        </w:rPr>
        <w:softHyphen/>
        <w:t>ного строительства /ангары, мастерские, служебные здания и оборудование их/.</w:t>
      </w:r>
    </w:p>
    <w:p w14:paraId="4AD7B8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Перечень предметов аэродромного оборудования, подлежащих включению в пятилетний план опытного строительства НТК УВВС РККА делится па. три основных отдела:</w:t>
      </w:r>
    </w:p>
    <w:p w14:paraId="50DD5F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Предметы обслуживания самолетов и аэродромов.</w:t>
      </w:r>
    </w:p>
    <w:p w14:paraId="57AAFB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этому отделу намечено к постройка:</w:t>
      </w:r>
    </w:p>
    <w:p w14:paraId="558817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аэродромных тележек специального назначения, из них: 2 для под</w:t>
      </w:r>
      <w:r w:rsidRPr="00A259BD">
        <w:rPr>
          <w:rFonts w:ascii="Times New Roman" w:hAnsi="Times New Roman"/>
          <w:color w:val="000000" w:themeColor="text1"/>
          <w:sz w:val="16"/>
          <w:szCs w:val="16"/>
        </w:rPr>
        <w:softHyphen/>
        <w:t xml:space="preserve">вешивания бомб и </w:t>
      </w:r>
      <w:proofErr w:type="spellStart"/>
      <w:r w:rsidRPr="00A259BD">
        <w:rPr>
          <w:rFonts w:ascii="Times New Roman" w:hAnsi="Times New Roman"/>
          <w:color w:val="000000" w:themeColor="text1"/>
          <w:sz w:val="16"/>
          <w:szCs w:val="16"/>
        </w:rPr>
        <w:t>терпед</w:t>
      </w:r>
      <w:proofErr w:type="spellEnd"/>
      <w:r w:rsidRPr="00A259BD">
        <w:rPr>
          <w:rFonts w:ascii="Times New Roman" w:hAnsi="Times New Roman"/>
          <w:color w:val="000000" w:themeColor="text1"/>
          <w:sz w:val="16"/>
          <w:szCs w:val="16"/>
        </w:rPr>
        <w:t xml:space="preserve"> сухопутным и морским самолетам, 1 для перевозки моторов, 1 для </w:t>
      </w:r>
      <w:proofErr w:type="spellStart"/>
      <w:r w:rsidRPr="00A259BD">
        <w:rPr>
          <w:rFonts w:ascii="Times New Roman" w:hAnsi="Times New Roman"/>
          <w:color w:val="000000" w:themeColor="text1"/>
          <w:sz w:val="16"/>
          <w:szCs w:val="16"/>
        </w:rPr>
        <w:t>перзвоаки</w:t>
      </w:r>
      <w:proofErr w:type="spellEnd"/>
      <w:r w:rsidRPr="00A259BD">
        <w:rPr>
          <w:rFonts w:ascii="Times New Roman" w:hAnsi="Times New Roman"/>
          <w:color w:val="000000" w:themeColor="text1"/>
          <w:sz w:val="16"/>
          <w:szCs w:val="16"/>
        </w:rPr>
        <w:t xml:space="preserve"> самолетов, 1 для заправки горючим самолетов, 1 для вывода </w:t>
      </w:r>
      <w:proofErr w:type="spellStart"/>
      <w:r w:rsidRPr="00A259BD">
        <w:rPr>
          <w:rFonts w:ascii="Times New Roman" w:hAnsi="Times New Roman"/>
          <w:color w:val="000000" w:themeColor="text1"/>
          <w:sz w:val="16"/>
          <w:szCs w:val="16"/>
        </w:rPr>
        <w:t>гидросамолзта</w:t>
      </w:r>
      <w:proofErr w:type="spellEnd"/>
      <w:r w:rsidRPr="00A259BD">
        <w:rPr>
          <w:rFonts w:ascii="Times New Roman" w:hAnsi="Times New Roman"/>
          <w:color w:val="000000" w:themeColor="text1"/>
          <w:sz w:val="16"/>
          <w:szCs w:val="16"/>
        </w:rPr>
        <w:t xml:space="preserve"> на берег и 1 для вывода само</w:t>
      </w:r>
      <w:r w:rsidRPr="00A259BD">
        <w:rPr>
          <w:rFonts w:ascii="Times New Roman" w:hAnsi="Times New Roman"/>
          <w:color w:val="000000" w:themeColor="text1"/>
          <w:sz w:val="16"/>
          <w:szCs w:val="16"/>
        </w:rPr>
        <w:softHyphen/>
        <w:t>лета из ангара на лыжах.</w:t>
      </w:r>
    </w:p>
    <w:p w14:paraId="60E7C56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автомобиля, из них: 1 автомобиль - платформа для перевозки разоб</w:t>
      </w:r>
      <w:r w:rsidRPr="00A259BD">
        <w:rPr>
          <w:rFonts w:ascii="Times New Roman" w:hAnsi="Times New Roman"/>
          <w:color w:val="000000" w:themeColor="text1"/>
          <w:sz w:val="16"/>
          <w:szCs w:val="16"/>
        </w:rPr>
        <w:softHyphen/>
        <w:t>ранного самолет, 1 для аэродромного обслуживания /заправка, стар</w:t>
      </w:r>
      <w:r w:rsidRPr="00A259BD">
        <w:rPr>
          <w:rFonts w:ascii="Times New Roman" w:hAnsi="Times New Roman"/>
          <w:color w:val="000000" w:themeColor="text1"/>
          <w:sz w:val="16"/>
          <w:szCs w:val="16"/>
        </w:rPr>
        <w:softHyphen/>
        <w:t>тер, транспортировка, пожарное обслуживание/.</w:t>
      </w:r>
    </w:p>
    <w:p w14:paraId="368BD4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стартера, из них: 1 для транспортировки легких самолетов, 1 для тяжелых самолетов.</w:t>
      </w:r>
    </w:p>
    <w:p w14:paraId="2D5CABC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отеплителя, из них: 1 аэродромного типа для моторов с водяным охлаждением, 1 тоже аэродромного типа для моторов с воздушным охлаждением и 1 полевого типа.</w:t>
      </w:r>
    </w:p>
    <w:p w14:paraId="573692E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w:t>
      </w:r>
      <w:proofErr w:type="spellStart"/>
      <w:r w:rsidRPr="00A259BD">
        <w:rPr>
          <w:rFonts w:ascii="Times New Roman" w:hAnsi="Times New Roman"/>
          <w:color w:val="000000" w:themeColor="text1"/>
          <w:sz w:val="16"/>
          <w:szCs w:val="16"/>
        </w:rPr>
        <w:t>водомаелогрейка</w:t>
      </w:r>
      <w:proofErr w:type="spellEnd"/>
      <w:r w:rsidRPr="00A259BD">
        <w:rPr>
          <w:rFonts w:ascii="Times New Roman" w:hAnsi="Times New Roman"/>
          <w:color w:val="000000" w:themeColor="text1"/>
          <w:sz w:val="16"/>
          <w:szCs w:val="16"/>
        </w:rPr>
        <w:t xml:space="preserve"> походного типа.</w:t>
      </w:r>
    </w:p>
    <w:p w14:paraId="63AFCA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термос передвижной для горячей воды и масла.</w:t>
      </w:r>
    </w:p>
    <w:p w14:paraId="69E5EA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опреснителя воды для радиаторов.</w:t>
      </w:r>
    </w:p>
    <w:p w14:paraId="3464CB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аэросаней, </w:t>
      </w:r>
      <w:proofErr w:type="spellStart"/>
      <w:r w:rsidRPr="00A259BD">
        <w:rPr>
          <w:rFonts w:ascii="Times New Roman" w:hAnsi="Times New Roman"/>
          <w:color w:val="000000" w:themeColor="text1"/>
          <w:sz w:val="16"/>
          <w:szCs w:val="16"/>
        </w:rPr>
        <w:t>изних</w:t>
      </w:r>
      <w:proofErr w:type="spellEnd"/>
      <w:r w:rsidRPr="00A259BD">
        <w:rPr>
          <w:rFonts w:ascii="Times New Roman" w:hAnsi="Times New Roman"/>
          <w:color w:val="000000" w:themeColor="text1"/>
          <w:sz w:val="16"/>
          <w:szCs w:val="16"/>
        </w:rPr>
        <w:t>: 1 санитарные, 1 для аэродромного обслуживания самолетов.</w:t>
      </w:r>
    </w:p>
    <w:p w14:paraId="19D3DCB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крана, из них: 1 </w:t>
      </w:r>
      <w:proofErr w:type="spellStart"/>
      <w:r w:rsidRPr="00A259BD">
        <w:rPr>
          <w:rFonts w:ascii="Times New Roman" w:hAnsi="Times New Roman"/>
          <w:color w:val="000000" w:themeColor="text1"/>
          <w:sz w:val="16"/>
          <w:szCs w:val="16"/>
        </w:rPr>
        <w:t>неподвижьый</w:t>
      </w:r>
      <w:proofErr w:type="spellEnd"/>
      <w:r w:rsidRPr="00A259BD">
        <w:rPr>
          <w:rFonts w:ascii="Times New Roman" w:hAnsi="Times New Roman"/>
          <w:color w:val="000000" w:themeColor="text1"/>
          <w:sz w:val="16"/>
          <w:szCs w:val="16"/>
        </w:rPr>
        <w:t xml:space="preserve"> для самолетов и моторов, I передвижной для работы в ангарах.</w:t>
      </w:r>
    </w:p>
    <w:p w14:paraId="6FC6F7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баржи для питания гидросамолетов горючим </w:t>
      </w:r>
      <w:proofErr w:type="spellStart"/>
      <w:r w:rsidRPr="00A259BD">
        <w:rPr>
          <w:rFonts w:ascii="Times New Roman" w:hAnsi="Times New Roman"/>
          <w:color w:val="000000" w:themeColor="text1"/>
          <w:sz w:val="16"/>
          <w:szCs w:val="16"/>
        </w:rPr>
        <w:t>исмазочным</w:t>
      </w:r>
      <w:proofErr w:type="spellEnd"/>
      <w:r w:rsidRPr="00A259BD">
        <w:rPr>
          <w:rFonts w:ascii="Times New Roman" w:hAnsi="Times New Roman"/>
          <w:color w:val="000000" w:themeColor="text1"/>
          <w:sz w:val="16"/>
          <w:szCs w:val="16"/>
        </w:rPr>
        <w:t xml:space="preserve"> большая и малая.</w:t>
      </w:r>
    </w:p>
    <w:p w14:paraId="3F178AB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оборудование для питания с берега гидросамолетов горючим и сма</w:t>
      </w:r>
      <w:r w:rsidRPr="00A259BD">
        <w:rPr>
          <w:rFonts w:ascii="Times New Roman" w:hAnsi="Times New Roman"/>
          <w:color w:val="000000" w:themeColor="text1"/>
          <w:sz w:val="16"/>
          <w:szCs w:val="16"/>
        </w:rPr>
        <w:softHyphen/>
        <w:t>зочным.</w:t>
      </w:r>
    </w:p>
    <w:p w14:paraId="0531B8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плавучий док для гидросамолетов.</w:t>
      </w:r>
    </w:p>
    <w:p w14:paraId="5F90D84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катера для обслуживания гидросамолетов и </w:t>
      </w:r>
      <w:proofErr w:type="spellStart"/>
      <w:r w:rsidRPr="00A259BD">
        <w:rPr>
          <w:rFonts w:ascii="Times New Roman" w:hAnsi="Times New Roman"/>
          <w:color w:val="000000" w:themeColor="text1"/>
          <w:sz w:val="16"/>
          <w:szCs w:val="16"/>
        </w:rPr>
        <w:t>гидросамолзтоь</w:t>
      </w:r>
      <w:proofErr w:type="spellEnd"/>
      <w:r w:rsidRPr="00A259BD">
        <w:rPr>
          <w:rFonts w:ascii="Times New Roman" w:hAnsi="Times New Roman"/>
          <w:color w:val="000000" w:themeColor="text1"/>
          <w:sz w:val="16"/>
          <w:szCs w:val="16"/>
        </w:rPr>
        <w:t>.</w:t>
      </w:r>
    </w:p>
    <w:p w14:paraId="52C7119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типов </w:t>
      </w:r>
      <w:proofErr w:type="spellStart"/>
      <w:r w:rsidRPr="00A259BD">
        <w:rPr>
          <w:rFonts w:ascii="Times New Roman" w:hAnsi="Times New Roman"/>
          <w:color w:val="000000" w:themeColor="text1"/>
          <w:sz w:val="16"/>
          <w:szCs w:val="16"/>
        </w:rPr>
        <w:t>якорзй</w:t>
      </w:r>
      <w:proofErr w:type="spellEnd"/>
      <w:r w:rsidRPr="00A259BD">
        <w:rPr>
          <w:rFonts w:ascii="Times New Roman" w:hAnsi="Times New Roman"/>
          <w:color w:val="000000" w:themeColor="text1"/>
          <w:sz w:val="16"/>
          <w:szCs w:val="16"/>
        </w:rPr>
        <w:t xml:space="preserve"> для гидросамолетов.</w:t>
      </w:r>
    </w:p>
    <w:p w14:paraId="39FB6F6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оборудования для переливания горючего в воздухе.</w:t>
      </w:r>
    </w:p>
    <w:p w14:paraId="7DECB0A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авиационная мастерская на автомобилях.</w:t>
      </w:r>
    </w:p>
    <w:p w14:paraId="7C42F8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Предметы обслуживания летного состава.</w:t>
      </w:r>
    </w:p>
    <w:p w14:paraId="303A7E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образцов полетных очков для летного и технического персонала с </w:t>
      </w:r>
      <w:proofErr w:type="spellStart"/>
      <w:r w:rsidRPr="00A259BD">
        <w:rPr>
          <w:rFonts w:ascii="Times New Roman" w:hAnsi="Times New Roman"/>
          <w:color w:val="000000" w:themeColor="text1"/>
          <w:sz w:val="16"/>
          <w:szCs w:val="16"/>
        </w:rPr>
        <w:t>незапотевающими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небъющимися</w:t>
      </w:r>
      <w:proofErr w:type="spellEnd"/>
      <w:r w:rsidRPr="00A259BD">
        <w:rPr>
          <w:rFonts w:ascii="Times New Roman" w:hAnsi="Times New Roman"/>
          <w:color w:val="000000" w:themeColor="text1"/>
          <w:sz w:val="16"/>
          <w:szCs w:val="16"/>
        </w:rPr>
        <w:t xml:space="preserve"> стеклами, а также со стеклами для Арктики и Туркестана.</w:t>
      </w:r>
    </w:p>
    <w:p w14:paraId="4F179B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Усовершенствование полетной одежи летного состава.</w:t>
      </w:r>
    </w:p>
    <w:p w14:paraId="57AA22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образцов полетных касок,</w:t>
      </w:r>
    </w:p>
    <w:p w14:paraId="34EB6E8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образцов спасательных поясов для </w:t>
      </w:r>
      <w:proofErr w:type="spellStart"/>
      <w:r w:rsidRPr="00A259BD">
        <w:rPr>
          <w:rFonts w:ascii="Times New Roman" w:hAnsi="Times New Roman"/>
          <w:color w:val="000000" w:themeColor="text1"/>
          <w:sz w:val="16"/>
          <w:szCs w:val="16"/>
        </w:rPr>
        <w:t>летсостава</w:t>
      </w:r>
      <w:proofErr w:type="spellEnd"/>
      <w:r w:rsidRPr="00A259BD">
        <w:rPr>
          <w:rFonts w:ascii="Times New Roman" w:hAnsi="Times New Roman"/>
          <w:color w:val="000000" w:themeColor="text1"/>
          <w:sz w:val="16"/>
          <w:szCs w:val="16"/>
        </w:rPr>
        <w:t>.</w:t>
      </w:r>
    </w:p>
    <w:p w14:paraId="46FD04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образца спасательных лодок</w:t>
      </w:r>
    </w:p>
    <w:p w14:paraId="739003C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образцов полетных зимних сапог.</w:t>
      </w:r>
    </w:p>
    <w:p w14:paraId="76ED48C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образцов аэродромных лыж для технического персонала.</w:t>
      </w:r>
    </w:p>
    <w:p w14:paraId="080DB45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образца индивидуального свертка </w:t>
      </w:r>
      <w:proofErr w:type="spellStart"/>
      <w:r w:rsidRPr="00A259BD">
        <w:rPr>
          <w:rFonts w:ascii="Times New Roman" w:hAnsi="Times New Roman"/>
          <w:color w:val="000000" w:themeColor="text1"/>
          <w:sz w:val="16"/>
          <w:szCs w:val="16"/>
        </w:rPr>
        <w:t>летсостава</w:t>
      </w:r>
      <w:proofErr w:type="spellEnd"/>
      <w:r w:rsidRPr="00A259BD">
        <w:rPr>
          <w:rFonts w:ascii="Times New Roman" w:hAnsi="Times New Roman"/>
          <w:color w:val="000000" w:themeColor="text1"/>
          <w:sz w:val="16"/>
          <w:szCs w:val="16"/>
        </w:rPr>
        <w:t xml:space="preserve"> /вещевой и пищевой/</w:t>
      </w:r>
    </w:p>
    <w:p w14:paraId="10CD24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Усовершенствование привязных ремней для </w:t>
      </w:r>
      <w:proofErr w:type="spellStart"/>
      <w:r w:rsidRPr="00A259BD">
        <w:rPr>
          <w:rFonts w:ascii="Times New Roman" w:hAnsi="Times New Roman"/>
          <w:color w:val="000000" w:themeColor="text1"/>
          <w:sz w:val="16"/>
          <w:szCs w:val="16"/>
        </w:rPr>
        <w:t>летсостава</w:t>
      </w:r>
      <w:proofErr w:type="spellEnd"/>
      <w:r w:rsidRPr="00A259BD">
        <w:rPr>
          <w:rFonts w:ascii="Times New Roman" w:hAnsi="Times New Roman"/>
          <w:color w:val="000000" w:themeColor="text1"/>
          <w:sz w:val="16"/>
          <w:szCs w:val="16"/>
        </w:rPr>
        <w:t>.</w:t>
      </w:r>
    </w:p>
    <w:p w14:paraId="290EB3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походная кухня для </w:t>
      </w:r>
      <w:proofErr w:type="spellStart"/>
      <w:r w:rsidRPr="00A259BD">
        <w:rPr>
          <w:rFonts w:ascii="Times New Roman" w:hAnsi="Times New Roman"/>
          <w:color w:val="000000" w:themeColor="text1"/>
          <w:sz w:val="16"/>
          <w:szCs w:val="16"/>
        </w:rPr>
        <w:t>летсостава</w:t>
      </w:r>
      <w:proofErr w:type="spellEnd"/>
      <w:r w:rsidRPr="00A259BD">
        <w:rPr>
          <w:rFonts w:ascii="Times New Roman" w:hAnsi="Times New Roman"/>
          <w:color w:val="000000" w:themeColor="text1"/>
          <w:sz w:val="16"/>
          <w:szCs w:val="16"/>
        </w:rPr>
        <w:t xml:space="preserve"> частей ВВС.</w:t>
      </w:r>
    </w:p>
    <w:p w14:paraId="341484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утепленная палатка для </w:t>
      </w:r>
      <w:proofErr w:type="spellStart"/>
      <w:r w:rsidRPr="00A259BD">
        <w:rPr>
          <w:rFonts w:ascii="Times New Roman" w:hAnsi="Times New Roman"/>
          <w:color w:val="000000" w:themeColor="text1"/>
          <w:sz w:val="16"/>
          <w:szCs w:val="16"/>
        </w:rPr>
        <w:t>летсостава</w:t>
      </w:r>
      <w:proofErr w:type="spellEnd"/>
      <w:r w:rsidRPr="00A259BD">
        <w:rPr>
          <w:rFonts w:ascii="Times New Roman" w:hAnsi="Times New Roman"/>
          <w:color w:val="000000" w:themeColor="text1"/>
          <w:sz w:val="16"/>
          <w:szCs w:val="16"/>
        </w:rPr>
        <w:t xml:space="preserve"> ВВС.</w:t>
      </w:r>
    </w:p>
    <w:p w14:paraId="121FC8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инструментальный ящик для техника.</w:t>
      </w:r>
    </w:p>
    <w:p w14:paraId="6850578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 Аэродромное строительство.</w:t>
      </w:r>
    </w:p>
    <w:p w14:paraId="6D3A60F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вопроса и проектирование подвижных и неподвижных кра</w:t>
      </w:r>
      <w:r w:rsidRPr="00A259BD">
        <w:rPr>
          <w:rFonts w:ascii="Times New Roman" w:hAnsi="Times New Roman"/>
          <w:color w:val="000000" w:themeColor="text1"/>
          <w:sz w:val="16"/>
          <w:szCs w:val="16"/>
        </w:rPr>
        <w:softHyphen/>
        <w:t xml:space="preserve">нов для </w:t>
      </w:r>
      <w:proofErr w:type="spellStart"/>
      <w:r w:rsidRPr="00A259BD">
        <w:rPr>
          <w:rFonts w:ascii="Times New Roman" w:hAnsi="Times New Roman"/>
          <w:color w:val="000000" w:themeColor="text1"/>
          <w:sz w:val="16"/>
          <w:szCs w:val="16"/>
        </w:rPr>
        <w:t>пид"ема</w:t>
      </w:r>
      <w:proofErr w:type="spellEnd"/>
      <w:r w:rsidRPr="00A259BD">
        <w:rPr>
          <w:rFonts w:ascii="Times New Roman" w:hAnsi="Times New Roman"/>
          <w:color w:val="000000" w:themeColor="text1"/>
          <w:sz w:val="16"/>
          <w:szCs w:val="16"/>
        </w:rPr>
        <w:t xml:space="preserve"> и спуска гидросамолетов.</w:t>
      </w:r>
    </w:p>
    <w:p w14:paraId="73A76A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методов более совершенной обработки поверхности летно</w:t>
      </w:r>
      <w:r w:rsidRPr="00A259BD">
        <w:rPr>
          <w:rFonts w:ascii="Times New Roman" w:hAnsi="Times New Roman"/>
          <w:color w:val="000000" w:themeColor="text1"/>
          <w:sz w:val="16"/>
          <w:szCs w:val="16"/>
        </w:rPr>
        <w:softHyphen/>
        <w:t>го поля.</w:t>
      </w:r>
    </w:p>
    <w:p w14:paraId="78BEF0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более совершенных способов питания аэродромов бензином.</w:t>
      </w:r>
    </w:p>
    <w:p w14:paraId="501E357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вопроса о механизации вывода самолетов из ангар.</w:t>
      </w:r>
    </w:p>
    <w:p w14:paraId="31F53E7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типа ангарных ворот, разработка вопроса о разборных ангарах. Проектирование и постройка палаток-ангар и палаток-чех</w:t>
      </w:r>
      <w:r w:rsidRPr="00A259BD">
        <w:rPr>
          <w:rFonts w:ascii="Times New Roman" w:hAnsi="Times New Roman"/>
          <w:color w:val="000000" w:themeColor="text1"/>
          <w:sz w:val="16"/>
          <w:szCs w:val="16"/>
        </w:rPr>
        <w:softHyphen/>
        <w:t>лов для легких и тяжелых самолетов.</w:t>
      </w:r>
    </w:p>
    <w:p w14:paraId="286B26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вопроса о сухом доке для больших гидросамолетов.</w:t>
      </w:r>
    </w:p>
    <w:p w14:paraId="31B9042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вопроса и проектирование мореходной и речной баржи-ангара.</w:t>
      </w:r>
    </w:p>
    <w:p w14:paraId="21E07B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вопроса об ограждении аэродромов.</w:t>
      </w:r>
    </w:p>
    <w:p w14:paraId="3BEAB2E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годам изготовление опытных образцов распределяется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88"/>
        <w:gridCol w:w="4680"/>
        <w:gridCol w:w="1314"/>
      </w:tblGrid>
      <w:tr w:rsidR="00A259BD" w:rsidRPr="00A259BD" w14:paraId="7480830A" w14:textId="77777777">
        <w:tc>
          <w:tcPr>
            <w:tcW w:w="1188" w:type="dxa"/>
            <w:tcBorders>
              <w:top w:val="single" w:sz="12" w:space="0" w:color="auto"/>
            </w:tcBorders>
            <w:shd w:val="clear" w:color="auto" w:fill="FFFFFF"/>
          </w:tcPr>
          <w:p w14:paraId="35DD05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1928/29 г.</w:t>
            </w:r>
          </w:p>
        </w:tc>
        <w:tc>
          <w:tcPr>
            <w:tcW w:w="4680" w:type="dxa"/>
            <w:tcBorders>
              <w:top w:val="single" w:sz="12" w:space="0" w:color="auto"/>
            </w:tcBorders>
            <w:shd w:val="clear" w:color="auto" w:fill="FFFFFF"/>
          </w:tcPr>
          <w:p w14:paraId="7B252B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тракторов</w:t>
            </w:r>
          </w:p>
        </w:tc>
        <w:tc>
          <w:tcPr>
            <w:tcW w:w="1314" w:type="dxa"/>
            <w:tcBorders>
              <w:top w:val="single" w:sz="12" w:space="0" w:color="auto"/>
            </w:tcBorders>
            <w:shd w:val="clear" w:color="auto" w:fill="FFFFFF"/>
          </w:tcPr>
          <w:p w14:paraId="5C1389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- 1</w:t>
            </w:r>
          </w:p>
        </w:tc>
      </w:tr>
      <w:tr w:rsidR="00A259BD" w:rsidRPr="00A259BD" w14:paraId="7501EB29" w14:textId="77777777">
        <w:tc>
          <w:tcPr>
            <w:tcW w:w="1188" w:type="dxa"/>
            <w:shd w:val="clear" w:color="auto" w:fill="FFFFFF"/>
          </w:tcPr>
          <w:p w14:paraId="012FFE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1929/30 г.</w:t>
            </w:r>
          </w:p>
        </w:tc>
        <w:tc>
          <w:tcPr>
            <w:tcW w:w="4680" w:type="dxa"/>
            <w:shd w:val="clear" w:color="auto" w:fill="FFFFFF"/>
          </w:tcPr>
          <w:p w14:paraId="2942AB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аэродромных специальных тележек</w:t>
            </w:r>
          </w:p>
        </w:tc>
        <w:tc>
          <w:tcPr>
            <w:tcW w:w="1314" w:type="dxa"/>
            <w:shd w:val="clear" w:color="auto" w:fill="FFFFFF"/>
          </w:tcPr>
          <w:p w14:paraId="7DBDCA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 I</w:t>
            </w:r>
          </w:p>
        </w:tc>
      </w:tr>
      <w:tr w:rsidR="00A259BD" w:rsidRPr="00A259BD" w14:paraId="52DB1498" w14:textId="77777777">
        <w:tc>
          <w:tcPr>
            <w:tcW w:w="1188" w:type="dxa"/>
            <w:shd w:val="clear" w:color="auto" w:fill="FFFFFF"/>
          </w:tcPr>
          <w:p w14:paraId="65A77F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5C5CD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отеплителей</w:t>
            </w:r>
          </w:p>
        </w:tc>
        <w:tc>
          <w:tcPr>
            <w:tcW w:w="1314" w:type="dxa"/>
            <w:shd w:val="clear" w:color="auto" w:fill="FFFFFF"/>
          </w:tcPr>
          <w:p w14:paraId="70644C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144835F8" w14:textId="77777777">
        <w:tc>
          <w:tcPr>
            <w:tcW w:w="1188" w:type="dxa"/>
            <w:shd w:val="clear" w:color="auto" w:fill="FFFFFF"/>
          </w:tcPr>
          <w:p w14:paraId="39B200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CB813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оборудования для передвижения горючего в воздухе</w:t>
            </w:r>
          </w:p>
        </w:tc>
        <w:tc>
          <w:tcPr>
            <w:tcW w:w="1314" w:type="dxa"/>
            <w:shd w:val="clear" w:color="auto" w:fill="FFFFFF"/>
          </w:tcPr>
          <w:p w14:paraId="3CD361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7E639C52" w14:textId="77777777">
        <w:tc>
          <w:tcPr>
            <w:tcW w:w="1188" w:type="dxa"/>
            <w:shd w:val="clear" w:color="auto" w:fill="FFFFFF"/>
          </w:tcPr>
          <w:p w14:paraId="314B15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288A88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полетных очков</w:t>
            </w:r>
          </w:p>
        </w:tc>
        <w:tc>
          <w:tcPr>
            <w:tcW w:w="1314" w:type="dxa"/>
            <w:shd w:val="clear" w:color="auto" w:fill="FFFFFF"/>
          </w:tcPr>
          <w:p w14:paraId="65941E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w:t>
            </w:r>
          </w:p>
        </w:tc>
      </w:tr>
      <w:tr w:rsidR="00A259BD" w:rsidRPr="00A259BD" w14:paraId="5A3F5B88" w14:textId="77777777">
        <w:tc>
          <w:tcPr>
            <w:tcW w:w="1188" w:type="dxa"/>
            <w:shd w:val="clear" w:color="auto" w:fill="FFFFFF"/>
          </w:tcPr>
          <w:p w14:paraId="4E70E4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C0D60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Спасательных поясов</w:t>
            </w:r>
          </w:p>
        </w:tc>
        <w:tc>
          <w:tcPr>
            <w:tcW w:w="1314" w:type="dxa"/>
            <w:shd w:val="clear" w:color="auto" w:fill="FFFFFF"/>
          </w:tcPr>
          <w:p w14:paraId="083452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r>
      <w:tr w:rsidR="00A259BD" w:rsidRPr="00A259BD" w14:paraId="433767D9" w14:textId="77777777">
        <w:tc>
          <w:tcPr>
            <w:tcW w:w="1188" w:type="dxa"/>
            <w:shd w:val="clear" w:color="auto" w:fill="FFFFFF"/>
          </w:tcPr>
          <w:p w14:paraId="4BA75C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E8CE5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Аэродромные лыжи</w:t>
            </w:r>
          </w:p>
        </w:tc>
        <w:tc>
          <w:tcPr>
            <w:tcW w:w="1314" w:type="dxa"/>
            <w:shd w:val="clear" w:color="auto" w:fill="FFFFFF"/>
          </w:tcPr>
          <w:p w14:paraId="2E490A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r>
      <w:tr w:rsidR="00A259BD" w:rsidRPr="00A259BD" w14:paraId="1C162EC8" w14:textId="77777777">
        <w:tc>
          <w:tcPr>
            <w:tcW w:w="1188" w:type="dxa"/>
            <w:shd w:val="clear" w:color="auto" w:fill="FFFFFF"/>
          </w:tcPr>
          <w:p w14:paraId="3F97C4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1930/31 г.</w:t>
            </w:r>
          </w:p>
        </w:tc>
        <w:tc>
          <w:tcPr>
            <w:tcW w:w="4680" w:type="dxa"/>
            <w:shd w:val="clear" w:color="auto" w:fill="FFFFFF"/>
          </w:tcPr>
          <w:p w14:paraId="3C65C5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Специальных аэродромных тележек</w:t>
            </w:r>
          </w:p>
        </w:tc>
        <w:tc>
          <w:tcPr>
            <w:tcW w:w="1314" w:type="dxa"/>
            <w:shd w:val="clear" w:color="auto" w:fill="FFFFFF"/>
          </w:tcPr>
          <w:p w14:paraId="2758FE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r>
      <w:tr w:rsidR="00A259BD" w:rsidRPr="00A259BD" w14:paraId="3BA4E484" w14:textId="77777777">
        <w:tc>
          <w:tcPr>
            <w:tcW w:w="1188" w:type="dxa"/>
            <w:shd w:val="clear" w:color="auto" w:fill="FFFFFF"/>
          </w:tcPr>
          <w:p w14:paraId="1A0D79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11ECFC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Автомобилей специальных</w:t>
            </w:r>
          </w:p>
        </w:tc>
        <w:tc>
          <w:tcPr>
            <w:tcW w:w="1314" w:type="dxa"/>
            <w:shd w:val="clear" w:color="auto" w:fill="FFFFFF"/>
          </w:tcPr>
          <w:p w14:paraId="4B98B0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251E1797" w14:textId="77777777">
        <w:tc>
          <w:tcPr>
            <w:tcW w:w="1188" w:type="dxa"/>
            <w:shd w:val="clear" w:color="auto" w:fill="FFFFFF"/>
          </w:tcPr>
          <w:p w14:paraId="3FDF60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78F02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Отеплителей</w:t>
            </w:r>
          </w:p>
        </w:tc>
        <w:tc>
          <w:tcPr>
            <w:tcW w:w="1314" w:type="dxa"/>
            <w:shd w:val="clear" w:color="auto" w:fill="FFFFFF"/>
          </w:tcPr>
          <w:p w14:paraId="4469AC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10E9ACAB" w14:textId="77777777">
        <w:tc>
          <w:tcPr>
            <w:tcW w:w="1188" w:type="dxa"/>
            <w:shd w:val="clear" w:color="auto" w:fill="FFFFFF"/>
          </w:tcPr>
          <w:p w14:paraId="0E7BBF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3C77A5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Опреснителей</w:t>
            </w:r>
          </w:p>
        </w:tc>
        <w:tc>
          <w:tcPr>
            <w:tcW w:w="1314" w:type="dxa"/>
            <w:shd w:val="clear" w:color="auto" w:fill="FFFFFF"/>
          </w:tcPr>
          <w:p w14:paraId="550A8D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331C9869" w14:textId="77777777">
        <w:tc>
          <w:tcPr>
            <w:tcW w:w="1188" w:type="dxa"/>
            <w:shd w:val="clear" w:color="auto" w:fill="FFFFFF"/>
          </w:tcPr>
          <w:p w14:paraId="6F91E3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4AE0EF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Питание с берега горючим</w:t>
            </w:r>
          </w:p>
        </w:tc>
        <w:tc>
          <w:tcPr>
            <w:tcW w:w="1314" w:type="dxa"/>
            <w:shd w:val="clear" w:color="auto" w:fill="FFFFFF"/>
          </w:tcPr>
          <w:p w14:paraId="324599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0B7A7CC5" w14:textId="77777777">
        <w:tc>
          <w:tcPr>
            <w:tcW w:w="1188" w:type="dxa"/>
            <w:shd w:val="clear" w:color="auto" w:fill="FFFFFF"/>
          </w:tcPr>
          <w:p w14:paraId="6B0FC0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658A5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Якоря для гидросамолетов</w:t>
            </w:r>
          </w:p>
        </w:tc>
        <w:tc>
          <w:tcPr>
            <w:tcW w:w="1314" w:type="dxa"/>
            <w:shd w:val="clear" w:color="auto" w:fill="FFFFFF"/>
          </w:tcPr>
          <w:p w14:paraId="21D1DF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r>
      <w:tr w:rsidR="00A259BD" w:rsidRPr="00A259BD" w14:paraId="2693C6BC" w14:textId="77777777">
        <w:tc>
          <w:tcPr>
            <w:tcW w:w="1188" w:type="dxa"/>
            <w:shd w:val="clear" w:color="auto" w:fill="FFFFFF"/>
          </w:tcPr>
          <w:p w14:paraId="751142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323C4C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Оборудование для пере</w:t>
            </w:r>
            <w:r w:rsidRPr="00A259BD">
              <w:rPr>
                <w:rFonts w:ascii="Times New Roman" w:hAnsi="Times New Roman"/>
                <w:color w:val="000000" w:themeColor="text1"/>
                <w:sz w:val="16"/>
                <w:szCs w:val="16"/>
              </w:rPr>
              <w:softHyphen/>
              <w:t>ливания горючего в воздухе</w:t>
            </w:r>
          </w:p>
        </w:tc>
        <w:tc>
          <w:tcPr>
            <w:tcW w:w="1314" w:type="dxa"/>
            <w:shd w:val="clear" w:color="auto" w:fill="FFFFFF"/>
          </w:tcPr>
          <w:p w14:paraId="4E5178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552F89D" w14:textId="77777777">
        <w:tc>
          <w:tcPr>
            <w:tcW w:w="1188" w:type="dxa"/>
            <w:shd w:val="clear" w:color="auto" w:fill="FFFFFF"/>
          </w:tcPr>
          <w:p w14:paraId="0E3BDC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298B1C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Спасательные лодки</w:t>
            </w:r>
          </w:p>
        </w:tc>
        <w:tc>
          <w:tcPr>
            <w:tcW w:w="1314" w:type="dxa"/>
            <w:shd w:val="clear" w:color="auto" w:fill="FFFFFF"/>
          </w:tcPr>
          <w:p w14:paraId="58E431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r>
      <w:tr w:rsidR="00A259BD" w:rsidRPr="00A259BD" w14:paraId="2077E76D" w14:textId="77777777">
        <w:tc>
          <w:tcPr>
            <w:tcW w:w="1188" w:type="dxa"/>
            <w:shd w:val="clear" w:color="auto" w:fill="FFFFFF"/>
          </w:tcPr>
          <w:p w14:paraId="1B188A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1931/32 г.</w:t>
            </w:r>
          </w:p>
        </w:tc>
        <w:tc>
          <w:tcPr>
            <w:tcW w:w="4680" w:type="dxa"/>
            <w:shd w:val="clear" w:color="auto" w:fill="FFFFFF"/>
          </w:tcPr>
          <w:p w14:paraId="17829C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Специальных тележек аэродромных</w:t>
            </w:r>
          </w:p>
        </w:tc>
        <w:tc>
          <w:tcPr>
            <w:tcW w:w="1314" w:type="dxa"/>
            <w:shd w:val="clear" w:color="auto" w:fill="FFFFFF"/>
          </w:tcPr>
          <w:p w14:paraId="08C59F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0C9347CA" w14:textId="77777777">
        <w:tc>
          <w:tcPr>
            <w:tcW w:w="1188" w:type="dxa"/>
            <w:shd w:val="clear" w:color="auto" w:fill="FFFFFF"/>
          </w:tcPr>
          <w:p w14:paraId="32F5F9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218184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Автомобилей специальных</w:t>
            </w:r>
          </w:p>
        </w:tc>
        <w:tc>
          <w:tcPr>
            <w:tcW w:w="1314" w:type="dxa"/>
            <w:shd w:val="clear" w:color="auto" w:fill="FFFFFF"/>
          </w:tcPr>
          <w:p w14:paraId="00C47A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00EE3E4D" w14:textId="77777777">
        <w:tc>
          <w:tcPr>
            <w:tcW w:w="1188" w:type="dxa"/>
            <w:shd w:val="clear" w:color="auto" w:fill="FFFFFF"/>
          </w:tcPr>
          <w:p w14:paraId="0935D5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15F4C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Стартер</w:t>
            </w:r>
          </w:p>
        </w:tc>
        <w:tc>
          <w:tcPr>
            <w:tcW w:w="1314" w:type="dxa"/>
            <w:shd w:val="clear" w:color="auto" w:fill="FFFFFF"/>
          </w:tcPr>
          <w:p w14:paraId="701216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2D823106" w14:textId="77777777">
        <w:tc>
          <w:tcPr>
            <w:tcW w:w="1188" w:type="dxa"/>
            <w:shd w:val="clear" w:color="auto" w:fill="FFFFFF"/>
          </w:tcPr>
          <w:p w14:paraId="4ED8B7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B08B8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Аэросани</w:t>
            </w:r>
          </w:p>
        </w:tc>
        <w:tc>
          <w:tcPr>
            <w:tcW w:w="1314" w:type="dxa"/>
            <w:shd w:val="clear" w:color="auto" w:fill="FFFFFF"/>
          </w:tcPr>
          <w:p w14:paraId="48A999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4BFCD58B" w14:textId="77777777">
        <w:tc>
          <w:tcPr>
            <w:tcW w:w="1188" w:type="dxa"/>
            <w:shd w:val="clear" w:color="auto" w:fill="FFFFFF"/>
          </w:tcPr>
          <w:p w14:paraId="769F81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039FE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Краны</w:t>
            </w:r>
          </w:p>
        </w:tc>
        <w:tc>
          <w:tcPr>
            <w:tcW w:w="1314" w:type="dxa"/>
            <w:shd w:val="clear" w:color="auto" w:fill="FFFFFF"/>
          </w:tcPr>
          <w:p w14:paraId="2BDCAD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0D13337E" w14:textId="77777777">
        <w:tc>
          <w:tcPr>
            <w:tcW w:w="1188" w:type="dxa"/>
            <w:shd w:val="clear" w:color="auto" w:fill="FFFFFF"/>
          </w:tcPr>
          <w:p w14:paraId="3D9925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373582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Плавучий док</w:t>
            </w:r>
          </w:p>
        </w:tc>
        <w:tc>
          <w:tcPr>
            <w:tcW w:w="1314" w:type="dxa"/>
            <w:shd w:val="clear" w:color="auto" w:fill="FFFFFF"/>
          </w:tcPr>
          <w:p w14:paraId="1ACEDD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321B3702" w14:textId="77777777">
        <w:tc>
          <w:tcPr>
            <w:tcW w:w="1188" w:type="dxa"/>
            <w:shd w:val="clear" w:color="auto" w:fill="FFFFFF"/>
          </w:tcPr>
          <w:p w14:paraId="34AB15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226AA0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Баржи доя питания гидро</w:t>
            </w:r>
            <w:r w:rsidRPr="00A259BD">
              <w:rPr>
                <w:rFonts w:ascii="Times New Roman" w:hAnsi="Times New Roman"/>
                <w:color w:val="000000" w:themeColor="text1"/>
                <w:sz w:val="16"/>
                <w:szCs w:val="16"/>
              </w:rPr>
              <w:softHyphen/>
              <w:t>самолетов</w:t>
            </w:r>
          </w:p>
        </w:tc>
        <w:tc>
          <w:tcPr>
            <w:tcW w:w="1314" w:type="dxa"/>
            <w:shd w:val="clear" w:color="auto" w:fill="FFFFFF"/>
          </w:tcPr>
          <w:p w14:paraId="6F9494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r>
      <w:tr w:rsidR="00A259BD" w:rsidRPr="00A259BD" w14:paraId="0C4DCD6D" w14:textId="77777777">
        <w:tc>
          <w:tcPr>
            <w:tcW w:w="1188" w:type="dxa"/>
            <w:shd w:val="clear" w:color="auto" w:fill="FFFFFF"/>
          </w:tcPr>
          <w:p w14:paraId="591A16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8DD1C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Утепленная палатка</w:t>
            </w:r>
          </w:p>
        </w:tc>
        <w:tc>
          <w:tcPr>
            <w:tcW w:w="1314" w:type="dxa"/>
            <w:shd w:val="clear" w:color="auto" w:fill="FFFFFF"/>
          </w:tcPr>
          <w:p w14:paraId="359ABC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55E0B4AE" w14:textId="77777777">
        <w:tc>
          <w:tcPr>
            <w:tcW w:w="1188" w:type="dxa"/>
            <w:shd w:val="clear" w:color="auto" w:fill="FFFFFF"/>
          </w:tcPr>
          <w:p w14:paraId="1FCE8A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1932/33 г.</w:t>
            </w:r>
          </w:p>
        </w:tc>
        <w:tc>
          <w:tcPr>
            <w:tcW w:w="4680" w:type="dxa"/>
            <w:shd w:val="clear" w:color="auto" w:fill="FFFFFF"/>
          </w:tcPr>
          <w:p w14:paraId="51A2D6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Тракторов</w:t>
            </w:r>
          </w:p>
        </w:tc>
        <w:tc>
          <w:tcPr>
            <w:tcW w:w="1314" w:type="dxa"/>
            <w:shd w:val="clear" w:color="auto" w:fill="FFFFFF"/>
          </w:tcPr>
          <w:p w14:paraId="6EFC08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1B605D5B" w14:textId="77777777">
        <w:tc>
          <w:tcPr>
            <w:tcW w:w="1188" w:type="dxa"/>
            <w:shd w:val="clear" w:color="auto" w:fill="FFFFFF"/>
          </w:tcPr>
          <w:p w14:paraId="28805E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FB79A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Тележек специальных аэродромных</w:t>
            </w:r>
          </w:p>
        </w:tc>
        <w:tc>
          <w:tcPr>
            <w:tcW w:w="1314" w:type="dxa"/>
            <w:shd w:val="clear" w:color="auto" w:fill="FFFFFF"/>
          </w:tcPr>
          <w:p w14:paraId="21A03D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27FF6CA2" w14:textId="77777777">
        <w:tc>
          <w:tcPr>
            <w:tcW w:w="1188" w:type="dxa"/>
            <w:shd w:val="clear" w:color="auto" w:fill="FFFFFF"/>
          </w:tcPr>
          <w:p w14:paraId="5AEA23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36995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Водомаслогрейка</w:t>
            </w:r>
            <w:proofErr w:type="spellEnd"/>
          </w:p>
        </w:tc>
        <w:tc>
          <w:tcPr>
            <w:tcW w:w="1314" w:type="dxa"/>
            <w:shd w:val="clear" w:color="auto" w:fill="FFFFFF"/>
          </w:tcPr>
          <w:p w14:paraId="648D9E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2FCDDE57" w14:textId="77777777">
        <w:tc>
          <w:tcPr>
            <w:tcW w:w="1188" w:type="dxa"/>
            <w:shd w:val="clear" w:color="auto" w:fill="FFFFFF"/>
          </w:tcPr>
          <w:p w14:paraId="0CF749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05C065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Краны</w:t>
            </w:r>
          </w:p>
        </w:tc>
        <w:tc>
          <w:tcPr>
            <w:tcW w:w="1314" w:type="dxa"/>
            <w:shd w:val="clear" w:color="auto" w:fill="FFFFFF"/>
          </w:tcPr>
          <w:p w14:paraId="410675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3569C6FF" w14:textId="77777777">
        <w:tc>
          <w:tcPr>
            <w:tcW w:w="1188" w:type="dxa"/>
            <w:shd w:val="clear" w:color="auto" w:fill="FFFFFF"/>
          </w:tcPr>
          <w:p w14:paraId="07D776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FE0CD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Катера</w:t>
            </w:r>
          </w:p>
        </w:tc>
        <w:tc>
          <w:tcPr>
            <w:tcW w:w="1314" w:type="dxa"/>
            <w:shd w:val="clear" w:color="auto" w:fill="FFFFFF"/>
          </w:tcPr>
          <w:p w14:paraId="1E2CBD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r>
      <w:tr w:rsidR="00A259BD" w:rsidRPr="00A259BD" w14:paraId="73FC8CCF" w14:textId="77777777">
        <w:tc>
          <w:tcPr>
            <w:tcW w:w="1188" w:type="dxa"/>
            <w:shd w:val="clear" w:color="auto" w:fill="FFFFFF"/>
          </w:tcPr>
          <w:p w14:paraId="3603E4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4E556D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Авиационная мастерская на автомобилях</w:t>
            </w:r>
          </w:p>
        </w:tc>
        <w:tc>
          <w:tcPr>
            <w:tcW w:w="1314" w:type="dxa"/>
            <w:shd w:val="clear" w:color="auto" w:fill="FFFFFF"/>
          </w:tcPr>
          <w:p w14:paraId="3E523D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r>
      <w:tr w:rsidR="00A259BD" w:rsidRPr="00A259BD" w14:paraId="604D9B8D" w14:textId="77777777">
        <w:tc>
          <w:tcPr>
            <w:tcW w:w="1188" w:type="dxa"/>
            <w:tcBorders>
              <w:bottom w:val="single" w:sz="12" w:space="0" w:color="auto"/>
            </w:tcBorders>
            <w:shd w:val="clear" w:color="auto" w:fill="FFFFFF"/>
          </w:tcPr>
          <w:p w14:paraId="3AB2DB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tcBorders>
              <w:bottom w:val="single" w:sz="12" w:space="0" w:color="auto"/>
            </w:tcBorders>
            <w:shd w:val="clear" w:color="auto" w:fill="FFFFFF"/>
          </w:tcPr>
          <w:p w14:paraId="7AA667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Походная кухня для </w:t>
            </w:r>
            <w:proofErr w:type="spellStart"/>
            <w:r w:rsidRPr="00A259BD">
              <w:rPr>
                <w:rFonts w:ascii="Times New Roman" w:hAnsi="Times New Roman"/>
                <w:color w:val="000000" w:themeColor="text1"/>
                <w:sz w:val="16"/>
                <w:szCs w:val="16"/>
              </w:rPr>
              <w:t>летсостава</w:t>
            </w:r>
            <w:proofErr w:type="spellEnd"/>
          </w:p>
        </w:tc>
        <w:tc>
          <w:tcPr>
            <w:tcW w:w="1314" w:type="dxa"/>
            <w:tcBorders>
              <w:bottom w:val="single" w:sz="12" w:space="0" w:color="auto"/>
            </w:tcBorders>
            <w:shd w:val="clear" w:color="auto" w:fill="FFFFFF"/>
          </w:tcPr>
          <w:p w14:paraId="5CE88B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r>
    </w:tbl>
    <w:p w14:paraId="1C556B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производственных возможностей осуществление намеченных опытных образцов не должно встретить особых затруднении, во всяком случае в отношении главнейших пред</w:t>
      </w:r>
      <w:r w:rsidRPr="00A259BD">
        <w:rPr>
          <w:rFonts w:ascii="Times New Roman" w:hAnsi="Times New Roman"/>
          <w:color w:val="000000" w:themeColor="text1"/>
          <w:sz w:val="16"/>
          <w:szCs w:val="16"/>
        </w:rPr>
        <w:softHyphen/>
        <w:t>метов, как специальные автомобили, трактора, аэросани, насколько возможно предусмотреть затруднения без наличия разработанных проектов.</w:t>
      </w:r>
    </w:p>
    <w:p w14:paraId="14177F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Потребные суммы на опытное строительство по аэродромному оборудованию </w:t>
      </w:r>
      <w:proofErr w:type="spellStart"/>
      <w:r w:rsidRPr="00A259BD">
        <w:rPr>
          <w:rFonts w:ascii="Times New Roman" w:hAnsi="Times New Roman"/>
          <w:color w:val="000000" w:themeColor="text1"/>
          <w:sz w:val="16"/>
          <w:szCs w:val="16"/>
        </w:rPr>
        <w:t>выпажаются</w:t>
      </w:r>
      <w:proofErr w:type="spellEnd"/>
      <w:r w:rsidRPr="00A259BD">
        <w:rPr>
          <w:rFonts w:ascii="Times New Roman" w:hAnsi="Times New Roman"/>
          <w:color w:val="000000" w:themeColor="text1"/>
          <w:sz w:val="16"/>
          <w:szCs w:val="16"/>
        </w:rPr>
        <w:t xml:space="preserve"> ы 1.200.000 рублей.</w:t>
      </w:r>
    </w:p>
    <w:p w14:paraId="647610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Издан. и мелкие работы НТК</w:t>
      </w:r>
    </w:p>
    <w:p w14:paraId="2055795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Здесь предусматривается издание НТК для текущего и не инструктирования НТК частей ВВС и издание научных трудов, как результат </w:t>
      </w:r>
      <w:proofErr w:type="spellStart"/>
      <w:r w:rsidRPr="00A259BD">
        <w:rPr>
          <w:rFonts w:ascii="Times New Roman" w:hAnsi="Times New Roman"/>
          <w:color w:val="000000" w:themeColor="text1"/>
          <w:sz w:val="16"/>
          <w:szCs w:val="16"/>
        </w:rPr>
        <w:t>исследиваний</w:t>
      </w:r>
      <w:proofErr w:type="spellEnd"/>
      <w:r w:rsidRPr="00A259BD">
        <w:rPr>
          <w:rFonts w:ascii="Times New Roman" w:hAnsi="Times New Roman"/>
          <w:color w:val="000000" w:themeColor="text1"/>
          <w:sz w:val="16"/>
          <w:szCs w:val="16"/>
        </w:rPr>
        <w:t>, проведенных НТК и имеющих практическое значение.</w:t>
      </w:r>
    </w:p>
    <w:p w14:paraId="0A1DA12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здесь же предусмотрены различные расходы на оплату экспертов и консультантов, а так же выполнение ряда мелких ра</w:t>
      </w:r>
      <w:r w:rsidRPr="00A259BD">
        <w:rPr>
          <w:rFonts w:ascii="Times New Roman" w:hAnsi="Times New Roman"/>
          <w:color w:val="000000" w:themeColor="text1"/>
          <w:sz w:val="16"/>
          <w:szCs w:val="16"/>
        </w:rPr>
        <w:softHyphen/>
        <w:t>бот не входящих в ведение секций.</w:t>
      </w:r>
    </w:p>
    <w:p w14:paraId="2DBD24A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на эти работы предусмотрена на 5 лет сумма в 510.000 руб.</w:t>
      </w:r>
    </w:p>
    <w:p w14:paraId="4C32C9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 уже указывалось при исчисление необходимых средств по опытному строительству на 5 лет учитывались лишь расходы:</w:t>
      </w:r>
    </w:p>
    <w:p w14:paraId="5367D5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На проектирование, постройку и испытание опытных конструк</w:t>
      </w:r>
      <w:r w:rsidRPr="00A259BD">
        <w:rPr>
          <w:rFonts w:ascii="Times New Roman" w:hAnsi="Times New Roman"/>
          <w:color w:val="000000" w:themeColor="text1"/>
          <w:sz w:val="16"/>
          <w:szCs w:val="16"/>
        </w:rPr>
        <w:softHyphen/>
        <w:t>ций.</w:t>
      </w:r>
    </w:p>
    <w:p w14:paraId="5164AF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 xml:space="preserve">2. </w:t>
      </w:r>
      <w:r w:rsidRPr="00A259BD">
        <w:rPr>
          <w:rFonts w:ascii="Times New Roman" w:hAnsi="Times New Roman"/>
          <w:color w:val="000000" w:themeColor="text1"/>
          <w:sz w:val="16"/>
          <w:szCs w:val="16"/>
        </w:rPr>
        <w:t>Теоретическую в экспериментальную проработку вопросов, свя</w:t>
      </w:r>
      <w:r w:rsidRPr="00A259BD">
        <w:rPr>
          <w:rFonts w:ascii="Times New Roman" w:hAnsi="Times New Roman"/>
          <w:color w:val="000000" w:themeColor="text1"/>
          <w:sz w:val="16"/>
          <w:szCs w:val="16"/>
        </w:rPr>
        <w:softHyphen/>
        <w:t xml:space="preserve">занных с изготовлением опытных образцов и для </w:t>
      </w:r>
      <w:proofErr w:type="spellStart"/>
      <w:r w:rsidRPr="00A259BD">
        <w:rPr>
          <w:rFonts w:ascii="Times New Roman" w:hAnsi="Times New Roman"/>
          <w:color w:val="000000" w:themeColor="text1"/>
          <w:sz w:val="16"/>
          <w:szCs w:val="16"/>
        </w:rPr>
        <w:t>решэния</w:t>
      </w:r>
      <w:proofErr w:type="spellEnd"/>
      <w:r w:rsidRPr="00A259BD">
        <w:rPr>
          <w:rFonts w:ascii="Times New Roman" w:hAnsi="Times New Roman"/>
          <w:color w:val="000000" w:themeColor="text1"/>
          <w:sz w:val="16"/>
          <w:szCs w:val="16"/>
        </w:rPr>
        <w:t xml:space="preserve"> новых проблем.</w:t>
      </w:r>
    </w:p>
    <w:p w14:paraId="1EA638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Специальное оборудование и инструмент, требуемый для дан</w:t>
      </w:r>
      <w:r w:rsidRPr="00A259BD">
        <w:rPr>
          <w:rFonts w:ascii="Times New Roman" w:hAnsi="Times New Roman"/>
          <w:color w:val="000000" w:themeColor="text1"/>
          <w:sz w:val="16"/>
          <w:szCs w:val="16"/>
        </w:rPr>
        <w:softHyphen/>
        <w:t>ной работы.</w:t>
      </w:r>
    </w:p>
    <w:p w14:paraId="69E1A92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же касается расходов, </w:t>
      </w:r>
      <w:proofErr w:type="spellStart"/>
      <w:r w:rsidRPr="00A259BD">
        <w:rPr>
          <w:rFonts w:ascii="Times New Roman" w:hAnsi="Times New Roman"/>
          <w:color w:val="000000" w:themeColor="text1"/>
          <w:sz w:val="16"/>
          <w:szCs w:val="16"/>
        </w:rPr>
        <w:t>связапных</w:t>
      </w:r>
      <w:proofErr w:type="spellEnd"/>
      <w:r w:rsidRPr="00A259BD">
        <w:rPr>
          <w:rFonts w:ascii="Times New Roman" w:hAnsi="Times New Roman"/>
          <w:color w:val="000000" w:themeColor="text1"/>
          <w:sz w:val="16"/>
          <w:szCs w:val="16"/>
        </w:rPr>
        <w:t xml:space="preserve"> с установкой необходимого общего оборудования в мастерских и лабораториях, организации опытных отделов, дооборудованием и развитием Научных Институ</w:t>
      </w:r>
      <w:r w:rsidRPr="00A259BD">
        <w:rPr>
          <w:rFonts w:ascii="Times New Roman" w:hAnsi="Times New Roman"/>
          <w:color w:val="000000" w:themeColor="text1"/>
          <w:sz w:val="16"/>
          <w:szCs w:val="16"/>
        </w:rPr>
        <w:softHyphen/>
        <w:t>тов ВСНХ /НАМИ, ЦАГМ и др./ или УВВС /НИИ/, то эти средства планом не учтены.</w:t>
      </w:r>
    </w:p>
    <w:p w14:paraId="1123B9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вошли также в план расходы, связанные с частью работ, указанных ниже.</w:t>
      </w:r>
    </w:p>
    <w:p w14:paraId="2299E0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Таким образом планом не учитываются работы на </w:t>
      </w:r>
      <w:proofErr w:type="spellStart"/>
      <w:r w:rsidRPr="00A259BD">
        <w:rPr>
          <w:rFonts w:ascii="Times New Roman" w:hAnsi="Times New Roman"/>
          <w:color w:val="000000" w:themeColor="text1"/>
          <w:sz w:val="16"/>
          <w:szCs w:val="16"/>
        </w:rPr>
        <w:t>нижеслэдующее</w:t>
      </w:r>
      <w:proofErr w:type="spellEnd"/>
      <w:r w:rsidRPr="00A259BD">
        <w:rPr>
          <w:rFonts w:ascii="Times New Roman" w:hAnsi="Times New Roman"/>
          <w:color w:val="000000" w:themeColor="text1"/>
          <w:sz w:val="16"/>
          <w:szCs w:val="16"/>
        </w:rPr>
        <w:t>:</w:t>
      </w:r>
    </w:p>
    <w:p w14:paraId="044681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Расходы на развитие и оборудование:</w:t>
      </w:r>
    </w:p>
    <w:p w14:paraId="1FF4B7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научных институтов ВСНХ и УВВС.</w:t>
      </w:r>
    </w:p>
    <w:p w14:paraId="0A1F2A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опытных мастерских и заводов: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Орудийно-Арсенального треста и др. организаций, на которых возлагается </w:t>
      </w:r>
      <w:proofErr w:type="spellStart"/>
      <w:r w:rsidRPr="00A259BD">
        <w:rPr>
          <w:rFonts w:ascii="Times New Roman" w:hAnsi="Times New Roman"/>
          <w:color w:val="000000" w:themeColor="text1"/>
          <w:sz w:val="16"/>
          <w:szCs w:val="16"/>
        </w:rPr>
        <w:t>осуществланиз</w:t>
      </w:r>
      <w:proofErr w:type="spellEnd"/>
      <w:r w:rsidRPr="00A259BD">
        <w:rPr>
          <w:rFonts w:ascii="Times New Roman" w:hAnsi="Times New Roman"/>
          <w:color w:val="000000" w:themeColor="text1"/>
          <w:sz w:val="16"/>
          <w:szCs w:val="16"/>
        </w:rPr>
        <w:t xml:space="preserve"> плана опытного строительства.</w:t>
      </w:r>
    </w:p>
    <w:p w14:paraId="68B962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Оборудование металлургических заводов для производства новых сортов стали, или установки новых методов обработки /штамповки/.</w:t>
      </w:r>
    </w:p>
    <w:p w14:paraId="2B0A36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Постройка и оборудование новых заводов для производства </w:t>
      </w:r>
      <w:proofErr w:type="spellStart"/>
      <w:r w:rsidRPr="00A259BD">
        <w:rPr>
          <w:rFonts w:ascii="Times New Roman" w:hAnsi="Times New Roman"/>
          <w:color w:val="000000" w:themeColor="text1"/>
          <w:sz w:val="16"/>
          <w:szCs w:val="16"/>
        </w:rPr>
        <w:t>аллюминия</w:t>
      </w:r>
      <w:proofErr w:type="spellEnd"/>
      <w:r w:rsidRPr="00A259BD">
        <w:rPr>
          <w:rFonts w:ascii="Times New Roman" w:hAnsi="Times New Roman"/>
          <w:color w:val="000000" w:themeColor="text1"/>
          <w:sz w:val="16"/>
          <w:szCs w:val="16"/>
        </w:rPr>
        <w:t>, электрона и др. материалов, необходимых для осуществления плана.</w:t>
      </w:r>
    </w:p>
    <w:p w14:paraId="41E9D38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Не предусмотрены работы по дирижаблестроению, оцениваемые примерно в первой очереди около 20.000.000 рублей,</w:t>
      </w:r>
    </w:p>
    <w:p w14:paraId="42659D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Не предусмотрены средства на работы по стрелковому и химическому вооружению, как идущие по линий АУ и ВОХИМУ.</w:t>
      </w:r>
    </w:p>
    <w:p w14:paraId="4F5A993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Частично предусмотрена средства на радио и электротехническое оборудование, так как основная сумма лабораторных работ общих для всех видов радио и </w:t>
      </w:r>
      <w:proofErr w:type="spellStart"/>
      <w:r w:rsidRPr="00A259BD">
        <w:rPr>
          <w:rFonts w:ascii="Times New Roman" w:hAnsi="Times New Roman"/>
          <w:color w:val="000000" w:themeColor="text1"/>
          <w:sz w:val="16"/>
          <w:szCs w:val="16"/>
        </w:rPr>
        <w:t>элекхротехники</w:t>
      </w:r>
      <w:proofErr w:type="spellEnd"/>
      <w:r w:rsidRPr="00A259BD">
        <w:rPr>
          <w:rFonts w:ascii="Times New Roman" w:hAnsi="Times New Roman"/>
          <w:color w:val="000000" w:themeColor="text1"/>
          <w:sz w:val="16"/>
          <w:szCs w:val="16"/>
        </w:rPr>
        <w:t xml:space="preserve"> должна быть пред усмотрена ВТУ.</w:t>
      </w:r>
    </w:p>
    <w:p w14:paraId="61B5C9F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предусмотрены средства по аэродромному строитель</w:t>
      </w:r>
      <w:r w:rsidRPr="00A259BD">
        <w:rPr>
          <w:rFonts w:ascii="Times New Roman" w:hAnsi="Times New Roman"/>
          <w:color w:val="000000" w:themeColor="text1"/>
          <w:sz w:val="16"/>
          <w:szCs w:val="16"/>
        </w:rPr>
        <w:softHyphen/>
        <w:t>ству и защиты аэродромов как работ, не ведущихся по линии УВВС.</w:t>
      </w:r>
    </w:p>
    <w:p w14:paraId="161319C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Распределение средств на работы, предусмотренные 5-ти летним планом будет нижеследующее: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A259BD" w:rsidRPr="00A259BD" w14:paraId="54DFD2B1" w14:textId="77777777">
        <w:tc>
          <w:tcPr>
            <w:tcW w:w="4788" w:type="dxa"/>
            <w:tcBorders>
              <w:top w:val="single" w:sz="12" w:space="0" w:color="auto"/>
            </w:tcBorders>
            <w:shd w:val="clear" w:color="auto" w:fill="FFFFFF"/>
          </w:tcPr>
          <w:p w14:paraId="75CF93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Самолетостроение</w:t>
            </w:r>
          </w:p>
        </w:tc>
        <w:tc>
          <w:tcPr>
            <w:tcW w:w="4788" w:type="dxa"/>
            <w:tcBorders>
              <w:top w:val="single" w:sz="12" w:space="0" w:color="auto"/>
            </w:tcBorders>
            <w:shd w:val="clear" w:color="auto" w:fill="FFFFFF"/>
          </w:tcPr>
          <w:p w14:paraId="375F0F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10.495.000</w:t>
            </w:r>
          </w:p>
        </w:tc>
      </w:tr>
      <w:tr w:rsidR="00A259BD" w:rsidRPr="00A259BD" w14:paraId="23BCAA5F" w14:textId="77777777">
        <w:tc>
          <w:tcPr>
            <w:tcW w:w="4788" w:type="dxa"/>
            <w:shd w:val="clear" w:color="auto" w:fill="FFFFFF"/>
          </w:tcPr>
          <w:p w14:paraId="29A2A1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Воздухоплавание</w:t>
            </w:r>
          </w:p>
        </w:tc>
        <w:tc>
          <w:tcPr>
            <w:tcW w:w="4788" w:type="dxa"/>
            <w:shd w:val="clear" w:color="auto" w:fill="FFFFFF"/>
          </w:tcPr>
          <w:p w14:paraId="5F0A28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2.000.000</w:t>
            </w:r>
          </w:p>
        </w:tc>
      </w:tr>
      <w:tr w:rsidR="00A259BD" w:rsidRPr="00A259BD" w14:paraId="6E0848A7" w14:textId="77777777">
        <w:tc>
          <w:tcPr>
            <w:tcW w:w="4788" w:type="dxa"/>
            <w:shd w:val="clear" w:color="auto" w:fill="FFFFFF"/>
          </w:tcPr>
          <w:p w14:paraId="17E0C5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Моторостроение</w:t>
            </w:r>
          </w:p>
        </w:tc>
        <w:tc>
          <w:tcPr>
            <w:tcW w:w="4788" w:type="dxa"/>
            <w:shd w:val="clear" w:color="auto" w:fill="FFFFFF"/>
          </w:tcPr>
          <w:p w14:paraId="250FE6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14.500.000</w:t>
            </w:r>
          </w:p>
        </w:tc>
      </w:tr>
      <w:tr w:rsidR="00A259BD" w:rsidRPr="00A259BD" w14:paraId="5B818787" w14:textId="77777777">
        <w:tc>
          <w:tcPr>
            <w:tcW w:w="4788" w:type="dxa"/>
            <w:shd w:val="clear" w:color="auto" w:fill="FFFFFF"/>
          </w:tcPr>
          <w:p w14:paraId="4ED813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Вооружение и оборудование</w:t>
            </w:r>
          </w:p>
        </w:tc>
        <w:tc>
          <w:tcPr>
            <w:tcW w:w="4788" w:type="dxa"/>
            <w:shd w:val="clear" w:color="auto" w:fill="FFFFFF"/>
          </w:tcPr>
          <w:p w14:paraId="526082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5.270.000</w:t>
            </w:r>
          </w:p>
        </w:tc>
      </w:tr>
      <w:tr w:rsidR="00A259BD" w:rsidRPr="00A259BD" w14:paraId="2C4A272A" w14:textId="77777777">
        <w:tc>
          <w:tcPr>
            <w:tcW w:w="4788" w:type="dxa"/>
            <w:shd w:val="clear" w:color="auto" w:fill="FFFFFF"/>
          </w:tcPr>
          <w:p w14:paraId="133922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Материаловедение и стандартизация</w:t>
            </w:r>
          </w:p>
        </w:tc>
        <w:tc>
          <w:tcPr>
            <w:tcW w:w="4788" w:type="dxa"/>
            <w:shd w:val="clear" w:color="auto" w:fill="FFFFFF"/>
          </w:tcPr>
          <w:p w14:paraId="11F62D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5.600.000</w:t>
            </w:r>
          </w:p>
        </w:tc>
      </w:tr>
      <w:tr w:rsidR="00A259BD" w:rsidRPr="00A259BD" w14:paraId="69725FAC" w14:textId="77777777">
        <w:tc>
          <w:tcPr>
            <w:tcW w:w="4788" w:type="dxa"/>
            <w:shd w:val="clear" w:color="auto" w:fill="FFFFFF"/>
          </w:tcPr>
          <w:p w14:paraId="33CD52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Аэродромное оборудование</w:t>
            </w:r>
          </w:p>
        </w:tc>
        <w:tc>
          <w:tcPr>
            <w:tcW w:w="4788" w:type="dxa"/>
            <w:shd w:val="clear" w:color="auto" w:fill="FFFFFF"/>
          </w:tcPr>
          <w:p w14:paraId="66EB3C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1.200.000</w:t>
            </w:r>
          </w:p>
        </w:tc>
      </w:tr>
      <w:tr w:rsidR="00A259BD" w:rsidRPr="00A259BD" w14:paraId="493A9DE0" w14:textId="77777777">
        <w:tc>
          <w:tcPr>
            <w:tcW w:w="4788" w:type="dxa"/>
            <w:shd w:val="clear" w:color="auto" w:fill="FFFFFF"/>
          </w:tcPr>
          <w:p w14:paraId="63CD4B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Издания НТК и разные мелкие работы</w:t>
            </w:r>
          </w:p>
        </w:tc>
        <w:tc>
          <w:tcPr>
            <w:tcW w:w="4788" w:type="dxa"/>
            <w:shd w:val="clear" w:color="auto" w:fill="FFFFFF"/>
          </w:tcPr>
          <w:p w14:paraId="55CA34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510.000</w:t>
            </w:r>
          </w:p>
        </w:tc>
      </w:tr>
      <w:tr w:rsidR="00A259BD" w:rsidRPr="00A259BD" w14:paraId="7223A711" w14:textId="77777777">
        <w:tc>
          <w:tcPr>
            <w:tcW w:w="4788" w:type="dxa"/>
            <w:tcBorders>
              <w:bottom w:val="single" w:sz="12" w:space="0" w:color="auto"/>
            </w:tcBorders>
            <w:shd w:val="clear" w:color="auto" w:fill="FFFFFF"/>
          </w:tcPr>
          <w:p w14:paraId="68C770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 е г о:</w:t>
            </w:r>
          </w:p>
        </w:tc>
        <w:tc>
          <w:tcPr>
            <w:tcW w:w="4788" w:type="dxa"/>
            <w:tcBorders>
              <w:bottom w:val="single" w:sz="12" w:space="0" w:color="auto"/>
            </w:tcBorders>
            <w:shd w:val="clear" w:color="auto" w:fill="FFFFFF"/>
          </w:tcPr>
          <w:p w14:paraId="46241A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39.750.000</w:t>
            </w:r>
          </w:p>
        </w:tc>
      </w:tr>
    </w:tbl>
    <w:p w14:paraId="5CCD3D8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Потребность же в средствах по годам выразится таким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A259BD" w:rsidRPr="00A259BD" w14:paraId="271E3304" w14:textId="77777777">
        <w:tc>
          <w:tcPr>
            <w:tcW w:w="4788" w:type="dxa"/>
            <w:tcBorders>
              <w:top w:val="single" w:sz="12" w:space="0" w:color="auto"/>
            </w:tcBorders>
            <w:shd w:val="clear" w:color="auto" w:fill="FFFFFF"/>
          </w:tcPr>
          <w:p w14:paraId="48BE0B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1928/29 г.</w:t>
            </w:r>
          </w:p>
        </w:tc>
        <w:tc>
          <w:tcPr>
            <w:tcW w:w="4788" w:type="dxa"/>
            <w:tcBorders>
              <w:top w:val="single" w:sz="12" w:space="0" w:color="auto"/>
            </w:tcBorders>
            <w:shd w:val="clear" w:color="auto" w:fill="FFFFFF"/>
          </w:tcPr>
          <w:p w14:paraId="3DC76F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3.770.000 руб.</w:t>
            </w:r>
          </w:p>
        </w:tc>
      </w:tr>
      <w:tr w:rsidR="00A259BD" w:rsidRPr="00A259BD" w14:paraId="3F4D104A" w14:textId="77777777">
        <w:tc>
          <w:tcPr>
            <w:tcW w:w="4788" w:type="dxa"/>
            <w:shd w:val="clear" w:color="auto" w:fill="FFFFFF"/>
          </w:tcPr>
          <w:p w14:paraId="4C97D8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1929/30 г.</w:t>
            </w:r>
          </w:p>
        </w:tc>
        <w:tc>
          <w:tcPr>
            <w:tcW w:w="4788" w:type="dxa"/>
            <w:shd w:val="clear" w:color="auto" w:fill="FFFFFF"/>
          </w:tcPr>
          <w:p w14:paraId="7853BB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8.230.000</w:t>
            </w:r>
          </w:p>
        </w:tc>
      </w:tr>
      <w:tr w:rsidR="00A259BD" w:rsidRPr="00A259BD" w14:paraId="6EE35BD1" w14:textId="77777777">
        <w:tc>
          <w:tcPr>
            <w:tcW w:w="4788" w:type="dxa"/>
            <w:shd w:val="clear" w:color="auto" w:fill="FFFFFF"/>
          </w:tcPr>
          <w:p w14:paraId="0A76CB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1930/31 г.</w:t>
            </w:r>
          </w:p>
        </w:tc>
        <w:tc>
          <w:tcPr>
            <w:tcW w:w="4788" w:type="dxa"/>
            <w:shd w:val="clear" w:color="auto" w:fill="FFFFFF"/>
          </w:tcPr>
          <w:p w14:paraId="0A5EB8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9.025.000</w:t>
            </w:r>
          </w:p>
        </w:tc>
      </w:tr>
      <w:tr w:rsidR="00A259BD" w:rsidRPr="00A259BD" w14:paraId="517ED32D" w14:textId="77777777">
        <w:tc>
          <w:tcPr>
            <w:tcW w:w="4788" w:type="dxa"/>
            <w:shd w:val="clear" w:color="auto" w:fill="FFFFFF"/>
          </w:tcPr>
          <w:p w14:paraId="234663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1931/32 г. </w:t>
            </w:r>
          </w:p>
        </w:tc>
        <w:tc>
          <w:tcPr>
            <w:tcW w:w="4788" w:type="dxa"/>
            <w:shd w:val="clear" w:color="auto" w:fill="FFFFFF"/>
          </w:tcPr>
          <w:p w14:paraId="5E67DC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9.050.000</w:t>
            </w:r>
          </w:p>
        </w:tc>
      </w:tr>
      <w:tr w:rsidR="00A259BD" w:rsidRPr="00A259BD" w14:paraId="6F74BC77" w14:textId="77777777">
        <w:tc>
          <w:tcPr>
            <w:tcW w:w="4788" w:type="dxa"/>
            <w:shd w:val="clear" w:color="auto" w:fill="FFFFFF"/>
          </w:tcPr>
          <w:p w14:paraId="09783F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1932/ЗЗ г.</w:t>
            </w:r>
          </w:p>
        </w:tc>
        <w:tc>
          <w:tcPr>
            <w:tcW w:w="4788" w:type="dxa"/>
            <w:shd w:val="clear" w:color="auto" w:fill="FFFFFF"/>
          </w:tcPr>
          <w:p w14:paraId="6539A4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9.500.000</w:t>
            </w:r>
          </w:p>
        </w:tc>
      </w:tr>
      <w:tr w:rsidR="00A259BD" w:rsidRPr="00A259BD" w14:paraId="66BA1152" w14:textId="77777777">
        <w:tc>
          <w:tcPr>
            <w:tcW w:w="4788" w:type="dxa"/>
            <w:tcBorders>
              <w:bottom w:val="single" w:sz="12" w:space="0" w:color="auto"/>
            </w:tcBorders>
            <w:shd w:val="clear" w:color="auto" w:fill="FFFFFF"/>
          </w:tcPr>
          <w:p w14:paraId="6C6F19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 е г о: </w:t>
            </w:r>
          </w:p>
        </w:tc>
        <w:tc>
          <w:tcPr>
            <w:tcW w:w="4788" w:type="dxa"/>
            <w:tcBorders>
              <w:bottom w:val="single" w:sz="12" w:space="0" w:color="auto"/>
            </w:tcBorders>
            <w:shd w:val="clear" w:color="auto" w:fill="FFFFFF"/>
          </w:tcPr>
          <w:p w14:paraId="7D349E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39.750.000 руб.</w:t>
            </w:r>
          </w:p>
        </w:tc>
      </w:tr>
    </w:tbl>
    <w:p w14:paraId="0B3769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Более подробно распределение средств по объектам расходов указано в приложении.</w:t>
      </w:r>
    </w:p>
    <w:p w14:paraId="67CBD7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заключение следует указать, что примерная стоимость работ была взята на основании опыта предыдущих лет и </w:t>
      </w:r>
      <w:proofErr w:type="spellStart"/>
      <w:r w:rsidRPr="00A259BD">
        <w:rPr>
          <w:rFonts w:ascii="Times New Roman" w:hAnsi="Times New Roman"/>
          <w:color w:val="000000" w:themeColor="text1"/>
          <w:sz w:val="16"/>
          <w:szCs w:val="16"/>
        </w:rPr>
        <w:t>пожтому</w:t>
      </w:r>
      <w:proofErr w:type="spellEnd"/>
      <w:r w:rsidRPr="00A259BD">
        <w:rPr>
          <w:rFonts w:ascii="Times New Roman" w:hAnsi="Times New Roman"/>
          <w:color w:val="000000" w:themeColor="text1"/>
          <w:sz w:val="16"/>
          <w:szCs w:val="16"/>
        </w:rPr>
        <w:t xml:space="preserve"> должна считаться ориентировочной, подлежащей уточнению в сметах каждого года.</w:t>
      </w:r>
    </w:p>
    <w:p w14:paraId="122064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необходимо отметить, что хотя средства, указанные в настоящем плана охватывают всю стоимость работ, но кредито</w:t>
      </w:r>
      <w:r w:rsidRPr="00A259BD">
        <w:rPr>
          <w:rFonts w:ascii="Times New Roman" w:hAnsi="Times New Roman"/>
          <w:color w:val="000000" w:themeColor="text1"/>
          <w:sz w:val="16"/>
          <w:szCs w:val="16"/>
        </w:rPr>
        <w:softHyphen/>
        <w:t xml:space="preserve">вание поставленных в плане работ будет </w:t>
      </w:r>
      <w:proofErr w:type="spellStart"/>
      <w:r w:rsidRPr="00A259BD">
        <w:rPr>
          <w:rFonts w:ascii="Times New Roman" w:hAnsi="Times New Roman"/>
          <w:color w:val="000000" w:themeColor="text1"/>
          <w:sz w:val="16"/>
          <w:szCs w:val="16"/>
        </w:rPr>
        <w:t>иттичастью</w:t>
      </w:r>
      <w:proofErr w:type="spellEnd"/>
      <w:r w:rsidRPr="00A259BD">
        <w:rPr>
          <w:rFonts w:ascii="Times New Roman" w:hAnsi="Times New Roman"/>
          <w:color w:val="000000" w:themeColor="text1"/>
          <w:sz w:val="16"/>
          <w:szCs w:val="16"/>
        </w:rPr>
        <w:t xml:space="preserve"> по линии УВВС, а частью по линий промышленности, согласно существующе</w:t>
      </w:r>
      <w:r w:rsidRPr="00A259BD">
        <w:rPr>
          <w:rFonts w:ascii="Times New Roman" w:hAnsi="Times New Roman"/>
          <w:color w:val="000000" w:themeColor="text1"/>
          <w:sz w:val="16"/>
          <w:szCs w:val="16"/>
        </w:rPr>
        <w:softHyphen/>
        <w:t>го распорядка.</w:t>
      </w:r>
    </w:p>
    <w:p w14:paraId="7FB9594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Предложение</w:t>
      </w:r>
    </w:p>
    <w:p w14:paraId="04A1DA2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w:t>
      </w:r>
      <w:proofErr w:type="spellStart"/>
      <w:r w:rsidRPr="00A259BD">
        <w:rPr>
          <w:rFonts w:ascii="Times New Roman" w:hAnsi="Times New Roman"/>
          <w:color w:val="000000" w:themeColor="text1"/>
          <w:sz w:val="16"/>
          <w:szCs w:val="16"/>
        </w:rPr>
        <w:t>ваключение</w:t>
      </w:r>
      <w:proofErr w:type="spellEnd"/>
      <w:r w:rsidRPr="00A259BD">
        <w:rPr>
          <w:rFonts w:ascii="Times New Roman" w:hAnsi="Times New Roman"/>
          <w:color w:val="000000" w:themeColor="text1"/>
          <w:sz w:val="16"/>
          <w:szCs w:val="16"/>
        </w:rPr>
        <w:t xml:space="preserve"> прошу представленный 5-ти летний план опытного строительства ВВС утвердить как ориентировочный, вместе с приставляемой сметой в сумме 39.750.000 руб.</w:t>
      </w:r>
    </w:p>
    <w:p w14:paraId="503B8F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Поручить </w:t>
      </w:r>
      <w:proofErr w:type="spellStart"/>
      <w:r w:rsidRPr="00A259BD">
        <w:rPr>
          <w:rFonts w:ascii="Times New Roman" w:hAnsi="Times New Roman"/>
          <w:color w:val="000000" w:themeColor="text1"/>
          <w:sz w:val="16"/>
          <w:szCs w:val="16"/>
        </w:rPr>
        <w:t>ВВСу</w:t>
      </w:r>
      <w:proofErr w:type="spellEnd"/>
      <w:r w:rsidRPr="00A259BD">
        <w:rPr>
          <w:rFonts w:ascii="Times New Roman" w:hAnsi="Times New Roman"/>
          <w:color w:val="000000" w:themeColor="text1"/>
          <w:sz w:val="16"/>
          <w:szCs w:val="16"/>
        </w:rPr>
        <w:t xml:space="preserve"> обсудить совместно с </w:t>
      </w:r>
      <w:proofErr w:type="spellStart"/>
      <w:r w:rsidRPr="00A259BD">
        <w:rPr>
          <w:rFonts w:ascii="Times New Roman" w:hAnsi="Times New Roman"/>
          <w:color w:val="000000" w:themeColor="text1"/>
          <w:sz w:val="16"/>
          <w:szCs w:val="16"/>
        </w:rPr>
        <w:t>Мобупр</w:t>
      </w:r>
      <w:proofErr w:type="spellEnd"/>
      <w:r w:rsidRPr="00A259BD">
        <w:rPr>
          <w:rFonts w:ascii="Times New Roman" w:hAnsi="Times New Roman"/>
          <w:color w:val="000000" w:themeColor="text1"/>
          <w:sz w:val="16"/>
          <w:szCs w:val="16"/>
        </w:rPr>
        <w:t xml:space="preserve"> ВСНХ порядок пе</w:t>
      </w:r>
      <w:r w:rsidRPr="00A259BD">
        <w:rPr>
          <w:rFonts w:ascii="Times New Roman" w:hAnsi="Times New Roman"/>
          <w:color w:val="000000" w:themeColor="text1"/>
          <w:sz w:val="16"/>
          <w:szCs w:val="16"/>
        </w:rPr>
        <w:softHyphen/>
        <w:t>редачи задания на осуществление плана соответствующим промыш</w:t>
      </w:r>
      <w:r w:rsidRPr="00A259BD">
        <w:rPr>
          <w:rFonts w:ascii="Times New Roman" w:hAnsi="Times New Roman"/>
          <w:color w:val="000000" w:themeColor="text1"/>
          <w:sz w:val="16"/>
          <w:szCs w:val="16"/>
        </w:rPr>
        <w:softHyphen/>
        <w:t>ленным и научным организациям ВСНХ, организовав где это тре</w:t>
      </w:r>
      <w:r w:rsidRPr="00A259BD">
        <w:rPr>
          <w:rFonts w:ascii="Times New Roman" w:hAnsi="Times New Roman"/>
          <w:color w:val="000000" w:themeColor="text1"/>
          <w:sz w:val="16"/>
          <w:szCs w:val="16"/>
        </w:rPr>
        <w:softHyphen/>
        <w:t>буется конструкторские бюро и отделы опытного строительства,</w:t>
      </w:r>
    </w:p>
    <w:p w14:paraId="17FACA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Примерный перечень таких организаций, которым по мнению ВВС может быть передано исполнение работ плана указано в перечне, приложенном к настоящему докладу.</w:t>
      </w:r>
    </w:p>
    <w:p w14:paraId="0B3772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виду того, что своевременно постановлениями Р^СР от 5.2 и 22.5.29 г. были указаны подробно мероприятия для обеспечения интересов опытного строительства ВВС, но важнейшие из них /как например организация недостающих конструкторских бюро при заводах/ до сих пор не проведены в жизнь, то я прошу РВСР дать поручение на обследование выполнения этих постанов</w:t>
      </w:r>
      <w:r w:rsidRPr="00A259BD">
        <w:rPr>
          <w:rFonts w:ascii="Times New Roman" w:hAnsi="Times New Roman"/>
          <w:color w:val="000000" w:themeColor="text1"/>
          <w:sz w:val="16"/>
          <w:szCs w:val="16"/>
        </w:rPr>
        <w:softHyphen/>
        <w:t>лений.</w:t>
      </w:r>
    </w:p>
    <w:p w14:paraId="69280F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же касается работ не включенных в план работ ВВС, то про</w:t>
      </w:r>
      <w:r w:rsidRPr="00A259BD">
        <w:rPr>
          <w:rFonts w:ascii="Times New Roman" w:hAnsi="Times New Roman"/>
          <w:color w:val="000000" w:themeColor="text1"/>
          <w:sz w:val="16"/>
          <w:szCs w:val="16"/>
        </w:rPr>
        <w:softHyphen/>
        <w:t>шу таковую включить в план соответствующих управлений, а вопросы жесткого дирижаблестроения обсудить дополнительно по получении доклада</w:t>
      </w:r>
    </w:p>
    <w:p w14:paraId="40EA1E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Сводная смета и пятилетний план опытного строи</w:t>
      </w:r>
      <w:r w:rsidRPr="00A259BD">
        <w:rPr>
          <w:rFonts w:ascii="Times New Roman" w:hAnsi="Times New Roman"/>
          <w:color w:val="000000" w:themeColor="text1"/>
          <w:sz w:val="16"/>
          <w:szCs w:val="16"/>
        </w:rPr>
        <w:softHyphen/>
        <w:t>тельства ВВС на " " листах.</w:t>
      </w:r>
    </w:p>
    <w:p w14:paraId="70A47C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 ВВС РККА / Баранов/ (351).</w:t>
      </w:r>
    </w:p>
    <w:p w14:paraId="71544D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3AFF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22 октября 1929 ВСНХ писал письмо N 526с Пред.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Михайлову:</w:t>
      </w:r>
    </w:p>
    <w:p w14:paraId="54708B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основании приказа ВСНХ, НКВМ и ОГПУ от 9 июля 1930 N 73 вновь строящимся заводам, заканчивающимся в настоящее время под литерами А (самолетостроительный завод в р-не Сормово - </w:t>
      </w:r>
      <w:proofErr w:type="spellStart"/>
      <w:r w:rsidRPr="00A259BD">
        <w:rPr>
          <w:rFonts w:ascii="Times New Roman" w:hAnsi="Times New Roman"/>
          <w:color w:val="000000" w:themeColor="text1"/>
          <w:sz w:val="16"/>
          <w:szCs w:val="16"/>
        </w:rPr>
        <w:t>Н.Новгород</w:t>
      </w:r>
      <w:proofErr w:type="spellEnd"/>
      <w:r w:rsidRPr="00A259BD">
        <w:rPr>
          <w:rFonts w:ascii="Times New Roman" w:hAnsi="Times New Roman"/>
          <w:color w:val="000000" w:themeColor="text1"/>
          <w:sz w:val="16"/>
          <w:szCs w:val="16"/>
        </w:rPr>
        <w:t>), В и П (объединенные в р-не Москвы) присваиваются номера А - 21, В и П -20 (2352,132).</w:t>
      </w:r>
    </w:p>
    <w:p w14:paraId="7C93A32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октября 1930 года при поддержке отдела изобретений </w:t>
      </w:r>
      <w:proofErr w:type="spellStart"/>
      <w:r w:rsidRPr="00A259BD">
        <w:rPr>
          <w:rFonts w:ascii="Times New Roman" w:hAnsi="Times New Roman"/>
          <w:color w:val="000000" w:themeColor="text1"/>
          <w:sz w:val="16"/>
          <w:szCs w:val="16"/>
        </w:rPr>
        <w:t>Техштаба</w:t>
      </w:r>
      <w:proofErr w:type="spellEnd"/>
      <w:r w:rsidRPr="00A259BD">
        <w:rPr>
          <w:rFonts w:ascii="Times New Roman" w:hAnsi="Times New Roman"/>
          <w:color w:val="000000" w:themeColor="text1"/>
          <w:sz w:val="16"/>
          <w:szCs w:val="16"/>
        </w:rPr>
        <w:t xml:space="preserve"> НВ было назначено совещание инженеров НТК ВВС, которые пришли к решению, что идея производства десанта выдвинута Гроховским вполне своевременно и технически возможна, что этим должен заняться Штаб РККА (6769, 29-31).</w:t>
      </w:r>
    </w:p>
    <w:p w14:paraId="46E6ED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3DBB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октября 1929 “Страна Советов” отправи</w:t>
      </w:r>
      <w:r w:rsidRPr="00A259BD">
        <w:rPr>
          <w:rFonts w:ascii="Times New Roman" w:hAnsi="Times New Roman"/>
          <w:color w:val="000000" w:themeColor="text1"/>
          <w:sz w:val="16"/>
          <w:szCs w:val="16"/>
        </w:rPr>
        <w:softHyphen/>
        <w:t>лась из Сан-Франциско дальше на восток. На ее борту нахо</w:t>
      </w:r>
      <w:r w:rsidRPr="00A259BD">
        <w:rPr>
          <w:rFonts w:ascii="Times New Roman" w:hAnsi="Times New Roman"/>
          <w:color w:val="000000" w:themeColor="text1"/>
          <w:sz w:val="16"/>
          <w:szCs w:val="16"/>
        </w:rPr>
        <w:softHyphen/>
        <w:t xml:space="preserve">дился представитель Амторга А.В. Петров. На высоте 3000 м перевалили Скалистые горы, затем приземлились в </w:t>
      </w:r>
      <w:proofErr w:type="spellStart"/>
      <w:r w:rsidRPr="00A259BD">
        <w:rPr>
          <w:rFonts w:ascii="Times New Roman" w:hAnsi="Times New Roman"/>
          <w:color w:val="000000" w:themeColor="text1"/>
          <w:sz w:val="16"/>
          <w:szCs w:val="16"/>
        </w:rPr>
        <w:t>Солк</w:t>
      </w:r>
      <w:proofErr w:type="spellEnd"/>
      <w:r w:rsidRPr="00A259BD">
        <w:rPr>
          <w:rFonts w:ascii="Times New Roman" w:hAnsi="Times New Roman"/>
          <w:color w:val="000000" w:themeColor="text1"/>
          <w:sz w:val="16"/>
          <w:szCs w:val="16"/>
        </w:rPr>
        <w:t>-Лейк-Сити. И здесь было много русских, которые встречали летчиков как своих земляков (11286).</w:t>
      </w:r>
    </w:p>
    <w:p w14:paraId="6F43525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B9CF8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75A7F3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CF95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октября 1929 начала работать первая трансконтинентальная линия Нью Йорк - </w:t>
      </w:r>
      <w:proofErr w:type="spellStart"/>
      <w:r w:rsidRPr="00A259BD">
        <w:rPr>
          <w:rFonts w:ascii="Times New Roman" w:hAnsi="Times New Roman"/>
          <w:color w:val="000000" w:themeColor="text1"/>
          <w:sz w:val="16"/>
          <w:szCs w:val="16"/>
        </w:rPr>
        <w:t>Лос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Анжелос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SeeAir</w:t>
      </w:r>
      <w:proofErr w:type="spellEnd"/>
      <w:r w:rsidRPr="00A259BD">
        <w:rPr>
          <w:rFonts w:ascii="Times New Roman" w:hAnsi="Times New Roman"/>
          <w:color w:val="000000" w:themeColor="text1"/>
          <w:sz w:val="16"/>
          <w:szCs w:val="16"/>
        </w:rPr>
        <w:t xml:space="preserve"> Mail (2100).</w:t>
      </w:r>
    </w:p>
    <w:p w14:paraId="579820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21534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октября 1929 начался крах на Нью Йоркской бирже (2241,2).</w:t>
      </w:r>
    </w:p>
    <w:p w14:paraId="0278F6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8391C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37CA6A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0132B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октября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12) и обсуждали вопрос о состоянии снабжения по Р-5, об обеспечении Р-5 лыжами, о состоянии снабжения АНТ-9, о состоянии работ по П-2, о состоянии работ по ДЕР-19, ДЕР-13 для ТБ-1, о поковках по М2, о расширении завода 36 и др. (2367).</w:t>
      </w:r>
    </w:p>
    <w:p w14:paraId="2A718E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Осенью 1929 </w:t>
      </w:r>
      <w:proofErr w:type="spellStart"/>
      <w:r w:rsidRPr="00A259BD">
        <w:rPr>
          <w:rFonts w:ascii="Times New Roman" w:hAnsi="Times New Roman"/>
          <w:color w:val="000000" w:themeColor="text1"/>
          <w:sz w:val="16"/>
          <w:szCs w:val="16"/>
        </w:rPr>
        <w:t>Н.Н.Поликарпов</w:t>
      </w:r>
      <w:proofErr w:type="spellEnd"/>
      <w:r w:rsidRPr="00A259BD">
        <w:rPr>
          <w:rFonts w:ascii="Times New Roman" w:hAnsi="Times New Roman"/>
          <w:color w:val="000000" w:themeColor="text1"/>
          <w:sz w:val="16"/>
          <w:szCs w:val="16"/>
        </w:rPr>
        <w:t>, похоже, был отстранен от должности ГК опытного завода и технического директора и посажен (67,68).</w:t>
      </w:r>
    </w:p>
    <w:p w14:paraId="6176A6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CCC0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октября 1929 вечером Н.Н.П. был арестован на своей московской квартире на Якиманке (7383, 2).</w:t>
      </w:r>
    </w:p>
    <w:p w14:paraId="0CF913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1924-1929 коллектив ОО-ООС Н.Н.П. разработало 40 проектов самолетов (228,71).</w:t>
      </w:r>
    </w:p>
    <w:p w14:paraId="4A7A49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w:t>
      </w:r>
      <w:proofErr w:type="spellStart"/>
      <w:r w:rsidRPr="00A259BD">
        <w:rPr>
          <w:rFonts w:ascii="Times New Roman" w:hAnsi="Times New Roman"/>
          <w:color w:val="000000" w:themeColor="text1"/>
          <w:sz w:val="16"/>
          <w:szCs w:val="16"/>
        </w:rPr>
        <w:t>В.П.Яценко</w:t>
      </w:r>
      <w:proofErr w:type="spellEnd"/>
      <w:r w:rsidRPr="00A259BD">
        <w:rPr>
          <w:rFonts w:ascii="Times New Roman" w:hAnsi="Times New Roman"/>
          <w:color w:val="000000" w:themeColor="text1"/>
          <w:sz w:val="16"/>
          <w:szCs w:val="16"/>
        </w:rPr>
        <w:t xml:space="preserve"> он, придя на 1 завод в ОПО-1 к Н.Н.П. в октябре 1929 был переведен на 39 завод (158,13).</w:t>
      </w:r>
    </w:p>
    <w:p w14:paraId="5069BC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видимому, перешел не один, а вместе с осиротевшим ОПО-1.</w:t>
      </w:r>
    </w:p>
    <w:p w14:paraId="03612E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465E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октября 1929 </w:t>
      </w:r>
      <w:proofErr w:type="spellStart"/>
      <w:r w:rsidRPr="00A259BD">
        <w:rPr>
          <w:rFonts w:ascii="Times New Roman" w:hAnsi="Times New Roman"/>
          <w:color w:val="000000" w:themeColor="text1"/>
          <w:sz w:val="16"/>
          <w:szCs w:val="16"/>
        </w:rPr>
        <w:t>Н.Н.Поликарпов</w:t>
      </w:r>
      <w:proofErr w:type="spellEnd"/>
      <w:r w:rsidRPr="00A259BD">
        <w:rPr>
          <w:rFonts w:ascii="Times New Roman" w:hAnsi="Times New Roman"/>
          <w:color w:val="000000" w:themeColor="text1"/>
          <w:sz w:val="16"/>
          <w:szCs w:val="16"/>
        </w:rPr>
        <w:t xml:space="preserve"> был арестован органами ГПУ, неожиданно предъявившими ему обвинение в контрреволюционной деятельности. Этот арест стал одним из многих подобных, ведущихся уже с 1928 г. Хватали опытных старых специалистов, в основном ведущих работников, всех тех, на кого власти решили свалить просчеты в экономической политике и невозможность достичь социалистического рая в кратчайшие сроки. В 1928-29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xml:space="preserve">, арестовали и поместили в Бутырскую тюрьму Д.П. Григоровича, В.М. Ольховского, И.М. Косткина, А.В. </w:t>
      </w:r>
      <w:proofErr w:type="spellStart"/>
      <w:r w:rsidRPr="00A259BD">
        <w:rPr>
          <w:rFonts w:ascii="Times New Roman" w:hAnsi="Times New Roman"/>
          <w:color w:val="000000" w:themeColor="text1"/>
          <w:sz w:val="16"/>
          <w:szCs w:val="16"/>
        </w:rPr>
        <w:t>Надашкевича</w:t>
      </w:r>
      <w:proofErr w:type="spellEnd"/>
      <w:r w:rsidRPr="00A259BD">
        <w:rPr>
          <w:rFonts w:ascii="Times New Roman" w:hAnsi="Times New Roman"/>
          <w:color w:val="000000" w:themeColor="text1"/>
          <w:sz w:val="16"/>
          <w:szCs w:val="16"/>
        </w:rPr>
        <w:t xml:space="preserve">, Н.Г. Михельсона и многих других. Поликарпова обвиняли в авариях и катастрофах, произошедших с разработанными им самолетами, в связях с антигосударственной, вредительской организацией. Не смотря на то, что конструктор виновным себя не признал, спустя короткое время после ареста его </w:t>
      </w:r>
      <w:proofErr w:type="spellStart"/>
      <w:r w:rsidRPr="00A259BD">
        <w:rPr>
          <w:rFonts w:ascii="Times New Roman" w:hAnsi="Times New Roman"/>
          <w:color w:val="000000" w:themeColor="text1"/>
          <w:sz w:val="16"/>
          <w:szCs w:val="16"/>
        </w:rPr>
        <w:t>безовсякого</w:t>
      </w:r>
      <w:proofErr w:type="spellEnd"/>
      <w:r w:rsidRPr="00A259BD">
        <w:rPr>
          <w:rFonts w:ascii="Times New Roman" w:hAnsi="Times New Roman"/>
          <w:color w:val="000000" w:themeColor="text1"/>
          <w:sz w:val="16"/>
          <w:szCs w:val="16"/>
        </w:rPr>
        <w:t xml:space="preserve"> суда приговорили к расстрелу. Как тогда говорилось: “К высшей мере социальной справедливости” (6593).</w:t>
      </w:r>
    </w:p>
    <w:p w14:paraId="209326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2CD6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октября 1929 г. Н.Н.П арестовали как "вредителя", и даже после освобождения к работе над Р-5 он не возвращался. Задуманная Поликарповым модернизация самолета с переходом на смешанную конструкцию и подвеской бомб калибром до 500 кг так и не была осуществлена.</w:t>
      </w:r>
    </w:p>
    <w:p w14:paraId="7B3C4E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не смог выполнить первый заказ в срок. Причинами стали постоянные изменения в чертежах, нехватка материалов и оборудования. Во Франции заказали 15 комплектов колес, но в срок прибыли только 10. Две недели потеряли потому, что завод, уверенный в преимуществе шасси по типу четвертого экземпляра, заготовил их на всю 1-ю серию, а НТК 9 января 1930 г. утвердил шасси по образцу третьего самолета.</w:t>
      </w:r>
    </w:p>
    <w:p w14:paraId="53A054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Ни ручной стартер, ни освещение в кабине на 1-й серии установить не смогли - слишком много получалось переделок. 7 апреля Алкснис разрешил принять первые семь Р-5 без электрооборудования. Часть изменений, отработанных на опытных машинах, просто проигнорировали. Не было храповиков на винтах, козырьков кабин </w:t>
      </w:r>
      <w:proofErr w:type="spellStart"/>
      <w:r w:rsidRPr="00A259BD">
        <w:rPr>
          <w:rFonts w:ascii="Times New Roman" w:hAnsi="Times New Roman"/>
          <w:color w:val="000000" w:themeColor="text1"/>
          <w:sz w:val="16"/>
          <w:szCs w:val="16"/>
        </w:rPr>
        <w:t>летна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бов</w:t>
      </w:r>
      <w:proofErr w:type="spellEnd"/>
      <w:r w:rsidRPr="00A259BD">
        <w:rPr>
          <w:rFonts w:ascii="Times New Roman" w:hAnsi="Times New Roman"/>
          <w:color w:val="000000" w:themeColor="text1"/>
          <w:sz w:val="16"/>
          <w:szCs w:val="16"/>
        </w:rPr>
        <w:t>, обтекатели колес остались полотняные. Усиление крыла под бомбодержатели не производилось (11936).</w:t>
      </w:r>
    </w:p>
    <w:p w14:paraId="48C7EB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A536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октября 1929 г. он был арестован ОГПУ по обвинению во вредительстве и вместе с другими инженерами- "вредителями" попал сначала в тюрьму, а затем в "шарагу" (тюремное конструкторское бюро) ОГПУ на заводе № 39. После успеха созданного там истребителя И-5 его выпустили, но без снятия судимости. К работе над Р-5 конструктор более не возвращался. Задуманная Поликарповым существенная модернизация Р-5 с переходом на смешанную конструкцию (фюзеляж с каркасом, сваренным из стальных труб, и подобное же оперение) и усилением бомбового вооружения (с подвеской бомб калибром до 500 кг) так и не была осуществлена.</w:t>
      </w:r>
    </w:p>
    <w:p w14:paraId="35314C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Надо сказать, что Р-5 крупно не повезло с тем, что отсутствовал конструкторский коллектив, считавший его "своим" и последовательно занимавшийся совершенствованием машины. Почти все руководство ОСС одновременно с Поликарповым записали в число "вредителей" и посадили. Сам отдел неоднократно реорганизовывали, сливали и разъединяли. Кто только не занимался впоследствии доработками этого биплана: завод № 1, ЦАГИ, НИИ ВВС, Центральное конструкторское бюро (ЦКБ) на заводе № 39. Иногда одну и ту же работу даже делили на части, поручая разным организациям. Разумеется, ничего хорошего из этого не получалось, а если и получалось, то с длительными проволочками, увязками и утрясками, постоянными попытками спихнуть ответственность другому. Отдельные работы, проводившиеся в разных местах небольшими группами или даже конструкторами-</w:t>
      </w:r>
      <w:proofErr w:type="spellStart"/>
      <w:r w:rsidRPr="00A259BD">
        <w:rPr>
          <w:rFonts w:ascii="Times New Roman" w:hAnsi="Times New Roman"/>
          <w:color w:val="000000" w:themeColor="text1"/>
          <w:sz w:val="16"/>
          <w:szCs w:val="16"/>
        </w:rPr>
        <w:t>одиноч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ками</w:t>
      </w:r>
      <w:proofErr w:type="spellEnd"/>
      <w:r w:rsidRPr="00A259BD">
        <w:rPr>
          <w:rFonts w:ascii="Times New Roman" w:hAnsi="Times New Roman"/>
          <w:color w:val="000000" w:themeColor="text1"/>
          <w:sz w:val="16"/>
          <w:szCs w:val="16"/>
        </w:rPr>
        <w:t>, не увязывались в общую систему.</w:t>
      </w:r>
    </w:p>
    <w:p w14:paraId="3F553B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был в модернизации не заинтересован. Надо было хотя бы выполнить уже заключенные договоры. Целый ряд обстоятельств помешал заводу № 1 сдать первый заказ в срок. Причинами стали постоянные изменения в чертежах, нехватка материалов и оборудования. Во Франции заказали 15 комплектов колес "Палладиум" с резиной, но в срок прибыли только десять. Две недели потеряли потому, что завод, уверенный в преимуществе шасси по типу четвертого опытного экземпляра, заготовил их на всю 1-ю серию, а НТК УВВС 9 января 1930 г. утвердило шасси по образцу третьего самолета (старое).</w:t>
      </w:r>
    </w:p>
    <w:p w14:paraId="43D623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Ни ручной стартер, ни электроосвещение в кабине, которые требовало УВВС. на 1-й серии поставить было нельзя - слишком много получалось переделок. 7 апреля Алкснис разрешил принять первые семь Р-5 без электрооборудования. Часть необходимых изменений, внесенных на опытных машинах, просто проигнорировали. Не было храповиков на винтах, козырьков кабин летнабов, обтекатели колес - полотняные. Усиление крыла над бомбодержателями не проводилось (12034).</w:t>
      </w:r>
    </w:p>
    <w:p w14:paraId="090BDB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E50023"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24 или 25 октября 1929 г. арестован по обвинению в участии в контрреволюционной вредительской организации, саботаже и срыве опытных работ начальник ОСС Н.Н. Поликарпов. Он помещен в Бутырскую тюрьму в Москве и находился под следствием более года.</w:t>
      </w:r>
    </w:p>
    <w:p w14:paraId="1443296A"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Деятельность ОСС и других подразделений ЦКБ после этого не остановилась, но еще более замедлилась. При этом не отмечается значительного числа арестованных среди рядовых работников.</w:t>
      </w:r>
    </w:p>
    <w:p w14:paraId="6F989428"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Далее Поликарпов в работе над самолетом И-3 не участвовал, а 18 марта 1931 г. коллегия ОГПУ по несколько отличавшемуся от первоначального обвинению – в шпионаже в пользу французской разведки, контрреволюционной деятельности и подрыве промышленности приговорила Поликарпова к 10 годам заключения в исправительном лагере с поражением в правах, конфискацией имущества. Но никакие из указанных мер пресечения, за исключением собственно тюремного заключения, к нему применены в указанном виде не были – имущество было оставлено семье, с которой разрешали поддерживать связь, в лагеря не отправили, а поскольку в то время никаких выборов не проводилось, то и поражение в правах оказалось чисто формальным. К тому времени уже началось освобождение других арестованных руководителей и конструкторов ЦКБ авиапромышленности – например, 14 марта 1931 г. вышел Д.П. Григорович, арестованный 1 сентября 1928 г.</w:t>
      </w:r>
    </w:p>
    <w:p w14:paraId="4B78BBC4"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После ареста Поликарпова обязанности главного конструктора по И-3 возложены на С.А. </w:t>
      </w:r>
      <w:proofErr w:type="spellStart"/>
      <w:r w:rsidRPr="00441F34">
        <w:rPr>
          <w:rFonts w:ascii="Times New Roman" w:hAnsi="Times New Roman"/>
          <w:color w:val="0070C0"/>
          <w:sz w:val="16"/>
          <w:szCs w:val="16"/>
        </w:rPr>
        <w:t>Кочеригина</w:t>
      </w:r>
      <w:proofErr w:type="spellEnd"/>
      <w:r w:rsidRPr="00441F34">
        <w:rPr>
          <w:rFonts w:ascii="Times New Roman" w:hAnsi="Times New Roman"/>
          <w:color w:val="0070C0"/>
          <w:sz w:val="16"/>
          <w:szCs w:val="16"/>
        </w:rPr>
        <w:t>, который приступил к осуществлению мер по улучшению конструкции самолета – они были намечены еще Поликарповым, но внедрение их затягивалось.</w:t>
      </w:r>
    </w:p>
    <w:p w14:paraId="71C82425"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то же время с учетом отсутствия в ЦКБ, на заводах №№ 25 и 1 подтвержденных фактов вредительства, что в др. отраслях промышленности приобрело широкий размах и выражалось в порче оборудования и продукции и даже в диверсиях, а обвиняемые были замечены лишь в превышении служебных (прежде всего, финансовых) полномочий и в недобросовестном отношении к своим обязанностям, им было предложено пересмотреть свое отношение к делу и работать по специальности, но под надзором ОГПУ – до полного своего исправления.</w:t>
      </w:r>
    </w:p>
    <w:p w14:paraId="261F8665"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 этом Поликарпову и другим осужденным и согласившимся с этим конструкторам были поручены новые работы, не связанные с доводкой и серийным выпуском самолета И-3, важнейшим заданием для них становилось создание нового истребителя И-5 (24887).</w:t>
      </w:r>
    </w:p>
    <w:p w14:paraId="22739A59" w14:textId="77777777" w:rsidR="001057E9" w:rsidRPr="00441F34" w:rsidRDefault="001057E9" w:rsidP="001057E9">
      <w:pPr>
        <w:spacing w:after="0" w:line="240" w:lineRule="auto"/>
        <w:jc w:val="both"/>
        <w:rPr>
          <w:rFonts w:ascii="Times New Roman" w:hAnsi="Times New Roman"/>
          <w:color w:val="0070C0"/>
          <w:sz w:val="16"/>
          <w:szCs w:val="16"/>
        </w:rPr>
      </w:pPr>
    </w:p>
    <w:p w14:paraId="47F51103"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24 октября 1929 г. ночью Н.Н. Поликарпов был арестован у себя дома. Он проживал тогда на Якиманке (Первый </w:t>
      </w:r>
      <w:proofErr w:type="spellStart"/>
      <w:r w:rsidRPr="00441F34">
        <w:rPr>
          <w:rFonts w:ascii="Times New Roman" w:hAnsi="Times New Roman"/>
          <w:color w:val="0070C0"/>
          <w:sz w:val="16"/>
          <w:szCs w:val="16"/>
        </w:rPr>
        <w:t>Бабьегородский</w:t>
      </w:r>
      <w:proofErr w:type="spellEnd"/>
      <w:r w:rsidRPr="00441F34">
        <w:rPr>
          <w:rFonts w:ascii="Times New Roman" w:hAnsi="Times New Roman"/>
          <w:color w:val="0070C0"/>
          <w:sz w:val="16"/>
          <w:szCs w:val="16"/>
        </w:rPr>
        <w:t xml:space="preserve"> переулок, дом №12). Перед уходом Николай Николаевич подошел к кро</w:t>
      </w:r>
      <w:r w:rsidRPr="00441F34">
        <w:rPr>
          <w:rFonts w:ascii="Times New Roman" w:hAnsi="Times New Roman"/>
          <w:color w:val="0070C0"/>
          <w:sz w:val="16"/>
          <w:szCs w:val="16"/>
        </w:rPr>
        <w:softHyphen/>
        <w:t>ватке дочери и попрощался с ней.</w:t>
      </w:r>
    </w:p>
    <w:p w14:paraId="1F9A8146"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Нельзя сказать, что арест был совершен случайно, «по ошибке». Тучи над головой Поликарпова сгущались давно. Ему многое припомнили: даже то, что он был верующим человеком, ходил в цер</w:t>
      </w:r>
      <w:r w:rsidRPr="00441F34">
        <w:rPr>
          <w:rFonts w:ascii="Times New Roman" w:hAnsi="Times New Roman"/>
          <w:color w:val="0070C0"/>
          <w:sz w:val="16"/>
          <w:szCs w:val="16"/>
        </w:rPr>
        <w:softHyphen/>
        <w:t>ковь и носил крест. Завистливые и бездарные коллеги еще с начала двадцатых годов писали о Поликар</w:t>
      </w:r>
      <w:r w:rsidRPr="00441F34">
        <w:rPr>
          <w:rFonts w:ascii="Times New Roman" w:hAnsi="Times New Roman"/>
          <w:color w:val="0070C0"/>
          <w:sz w:val="16"/>
          <w:szCs w:val="16"/>
        </w:rPr>
        <w:softHyphen/>
        <w:t>пове докладные записки в разные инстанции. Многим не нравился его характер, а многим - самостоятель</w:t>
      </w:r>
      <w:r w:rsidRPr="00441F34">
        <w:rPr>
          <w:rFonts w:ascii="Times New Roman" w:hAnsi="Times New Roman"/>
          <w:color w:val="0070C0"/>
          <w:sz w:val="16"/>
          <w:szCs w:val="16"/>
        </w:rPr>
        <w:softHyphen/>
        <w:t>ная, независимая позиция в вопро</w:t>
      </w:r>
      <w:r w:rsidRPr="00441F34">
        <w:rPr>
          <w:rFonts w:ascii="Times New Roman" w:hAnsi="Times New Roman"/>
          <w:color w:val="0070C0"/>
          <w:sz w:val="16"/>
          <w:szCs w:val="16"/>
        </w:rPr>
        <w:softHyphen/>
        <w:t xml:space="preserve">сах проектирования самолетов. А тут еще в 1929 г. </w:t>
      </w:r>
      <w:r w:rsidRPr="00441F34">
        <w:rPr>
          <w:rFonts w:ascii="Times New Roman" w:hAnsi="Times New Roman"/>
          <w:color w:val="0070C0"/>
          <w:sz w:val="16"/>
          <w:szCs w:val="16"/>
        </w:rPr>
        <w:lastRenderedPageBreak/>
        <w:t>разбился один из первых серийных истребителей И-3. Тогда арестовали инженера завода №1 В.В. Калинина, а Поликарпова обвинили в передаче в серийное производство недоведенных само</w:t>
      </w:r>
      <w:r w:rsidRPr="00441F34">
        <w:rPr>
          <w:rFonts w:ascii="Times New Roman" w:hAnsi="Times New Roman"/>
          <w:color w:val="0070C0"/>
          <w:sz w:val="16"/>
          <w:szCs w:val="16"/>
        </w:rPr>
        <w:softHyphen/>
        <w:t>летов. Такое же обвинение после</w:t>
      </w:r>
      <w:r w:rsidRPr="00441F34">
        <w:rPr>
          <w:rFonts w:ascii="Times New Roman" w:hAnsi="Times New Roman"/>
          <w:color w:val="0070C0"/>
          <w:sz w:val="16"/>
          <w:szCs w:val="16"/>
        </w:rPr>
        <w:softHyphen/>
        <w:t xml:space="preserve">довало и после аварии переходной машины П-2. После начала волны репрессий Николай Николаевич, чтобы обезопасить </w:t>
      </w:r>
      <w:proofErr w:type="spellStart"/>
      <w:r w:rsidRPr="00441F34">
        <w:rPr>
          <w:rFonts w:ascii="Times New Roman" w:hAnsi="Times New Roman"/>
          <w:color w:val="0070C0"/>
          <w:sz w:val="16"/>
          <w:szCs w:val="16"/>
        </w:rPr>
        <w:t>себя,старался</w:t>
      </w:r>
      <w:proofErr w:type="spellEnd"/>
      <w:r w:rsidRPr="00441F34">
        <w:rPr>
          <w:rFonts w:ascii="Times New Roman" w:hAnsi="Times New Roman"/>
          <w:color w:val="0070C0"/>
          <w:sz w:val="16"/>
          <w:szCs w:val="16"/>
        </w:rPr>
        <w:t xml:space="preserve"> не предпринимать никаких шагов, способных спровоцировать его арест. По стране тогда катились громкие процессы «Шахтинского дела», дела Промпартии...</w:t>
      </w:r>
    </w:p>
    <w:p w14:paraId="055E2476"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И вот, после обыска, Поликарпова доставили на Лубянку во внутреннюю тюрьму. Ему предъявили обвинение в саботаже решений правительства, в участии в контрреволюционной вре</w:t>
      </w:r>
      <w:r w:rsidRPr="00441F34">
        <w:rPr>
          <w:rFonts w:ascii="Times New Roman" w:hAnsi="Times New Roman"/>
          <w:color w:val="0070C0"/>
          <w:sz w:val="16"/>
          <w:szCs w:val="16"/>
        </w:rPr>
        <w:softHyphen/>
        <w:t>дительской организации.</w:t>
      </w:r>
    </w:p>
    <w:p w14:paraId="07A98808"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Поясним здесь суть этого обви</w:t>
      </w:r>
      <w:r w:rsidRPr="00441F34">
        <w:rPr>
          <w:rFonts w:ascii="Times New Roman" w:hAnsi="Times New Roman"/>
          <w:color w:val="0070C0"/>
          <w:sz w:val="16"/>
          <w:szCs w:val="16"/>
        </w:rPr>
        <w:softHyphen/>
        <w:t>нения. Ранее Поликарпову выдали задание на проектирование «самолёта для обслуживания конницы». Конечно, такой самолёт был нужен коннице для ведения разведки по глубоким тылам противника, для связи, для штурмовки вражеских позиций. И сопровождать</w:t>
      </w:r>
    </w:p>
    <w:p w14:paraId="0DD44120"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кавалерийские части самолёт должен в воздухе, приземляясь на полянки и дороги для дозаправки горючим.</w:t>
      </w:r>
    </w:p>
    <w:p w14:paraId="22D30E2B"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в технических требованиях, санкционированных К.Е. Ворошиловым и С.А. Буденным, значилось и нечто дру</w:t>
      </w:r>
      <w:r w:rsidRPr="00441F34">
        <w:rPr>
          <w:rFonts w:ascii="Times New Roman" w:hAnsi="Times New Roman"/>
          <w:color w:val="0070C0"/>
          <w:sz w:val="16"/>
          <w:szCs w:val="16"/>
        </w:rPr>
        <w:softHyphen/>
        <w:t>гое: во время марша конницы самолет должен был лихо скакать по неровно</w:t>
      </w:r>
      <w:r w:rsidRPr="00441F34">
        <w:rPr>
          <w:rFonts w:ascii="Times New Roman" w:hAnsi="Times New Roman"/>
          <w:color w:val="0070C0"/>
          <w:sz w:val="16"/>
          <w:szCs w:val="16"/>
        </w:rPr>
        <w:softHyphen/>
        <w:t>стям и колдобинам, будучи привязанным за хвост к тачанке в течение нескольких суток. Понятно, во что превратилась бы лёгкая и хрупкая конструкция.</w:t>
      </w:r>
    </w:p>
    <w:p w14:paraId="15D33B2D"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Поликарпов, понимая нелепость требования, пытался добиться от</w:t>
      </w:r>
      <w:r w:rsidRPr="00441F34">
        <w:rPr>
          <w:rFonts w:ascii="Times New Roman" w:hAnsi="Times New Roman"/>
          <w:color w:val="0070C0"/>
          <w:sz w:val="16"/>
          <w:szCs w:val="16"/>
        </w:rPr>
        <w:softHyphen/>
        <w:t>мены этих пунктов задания, но по</w:t>
      </w:r>
      <w:r w:rsidRPr="00441F34">
        <w:rPr>
          <w:rFonts w:ascii="Times New Roman" w:hAnsi="Times New Roman"/>
          <w:color w:val="0070C0"/>
          <w:sz w:val="16"/>
          <w:szCs w:val="16"/>
        </w:rPr>
        <w:softHyphen/>
        <w:t>лучал отказ. Тогда он действительно стал саботировать работы, сначала ссылаясь на отсутствие моторов мощностью 65 - 120 лошадиных сил, которыми должны оснащаться машины, потом на нехватку лёгких сплавов, приборов и т.д. (отметим, что в итоге задание на разработку «самолёта для обслуживания кон</w:t>
      </w:r>
      <w:r w:rsidRPr="00441F34">
        <w:rPr>
          <w:rFonts w:ascii="Times New Roman" w:hAnsi="Times New Roman"/>
          <w:color w:val="0070C0"/>
          <w:sz w:val="16"/>
          <w:szCs w:val="16"/>
        </w:rPr>
        <w:softHyphen/>
        <w:t>ницы» было передано А.С. Яков</w:t>
      </w:r>
      <w:r w:rsidRPr="00441F34">
        <w:rPr>
          <w:rFonts w:ascii="Times New Roman" w:hAnsi="Times New Roman"/>
          <w:color w:val="0070C0"/>
          <w:sz w:val="16"/>
          <w:szCs w:val="16"/>
        </w:rPr>
        <w:softHyphen/>
        <w:t>леву, для чего его группа была развёрнута в КБ. Так появился этот впоследствии всемирно известный коллектив).</w:t>
      </w:r>
    </w:p>
    <w:p w14:paraId="6391DF9F"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Поликарпова также обвиняли:</w:t>
      </w:r>
    </w:p>
    <w:p w14:paraId="6E3CD264"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передаче на завод №1 для серий</w:t>
      </w:r>
      <w:r w:rsidRPr="00441F34">
        <w:rPr>
          <w:rFonts w:ascii="Times New Roman" w:hAnsi="Times New Roman"/>
          <w:color w:val="0070C0"/>
          <w:sz w:val="16"/>
          <w:szCs w:val="16"/>
        </w:rPr>
        <w:softHyphen/>
        <w:t>ного производства недоведенного и до конца не испытанного истре</w:t>
      </w:r>
      <w:r w:rsidRPr="00441F34">
        <w:rPr>
          <w:rFonts w:ascii="Times New Roman" w:hAnsi="Times New Roman"/>
          <w:color w:val="0070C0"/>
          <w:sz w:val="16"/>
          <w:szCs w:val="16"/>
        </w:rPr>
        <w:softHyphen/>
        <w:t>бителя И-3, в том числе элеронов новой конструкции, никем не ут</w:t>
      </w:r>
      <w:r w:rsidRPr="00441F34">
        <w:rPr>
          <w:rFonts w:ascii="Times New Roman" w:hAnsi="Times New Roman"/>
          <w:color w:val="0070C0"/>
          <w:sz w:val="16"/>
          <w:szCs w:val="16"/>
        </w:rPr>
        <w:softHyphen/>
        <w:t>вержденной;</w:t>
      </w:r>
    </w:p>
    <w:p w14:paraId="2E603B4B"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разработке непригодной для экс</w:t>
      </w:r>
      <w:r w:rsidRPr="00441F34">
        <w:rPr>
          <w:rFonts w:ascii="Times New Roman" w:hAnsi="Times New Roman"/>
          <w:color w:val="0070C0"/>
          <w:sz w:val="16"/>
          <w:szCs w:val="16"/>
        </w:rPr>
        <w:softHyphen/>
        <w:t>плуатации конструкции управления И-3 из-за образования люфтов после 10-15 полетов;</w:t>
      </w:r>
    </w:p>
    <w:p w14:paraId="3CCF748D"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использовании на опытном эк</w:t>
      </w:r>
      <w:r w:rsidRPr="00441F34">
        <w:rPr>
          <w:rFonts w:ascii="Times New Roman" w:hAnsi="Times New Roman"/>
          <w:color w:val="0070C0"/>
          <w:sz w:val="16"/>
          <w:szCs w:val="16"/>
        </w:rPr>
        <w:softHyphen/>
        <w:t>земпляре И-3 многих элементов кон</w:t>
      </w:r>
      <w:r w:rsidRPr="00441F34">
        <w:rPr>
          <w:rFonts w:ascii="Times New Roman" w:hAnsi="Times New Roman"/>
          <w:color w:val="0070C0"/>
          <w:sz w:val="16"/>
          <w:szCs w:val="16"/>
        </w:rPr>
        <w:softHyphen/>
        <w:t>струкции, снижающих полетный вес машины, но еще не освоенных серий</w:t>
      </w:r>
      <w:r w:rsidRPr="00441F34">
        <w:rPr>
          <w:rFonts w:ascii="Times New Roman" w:hAnsi="Times New Roman"/>
          <w:color w:val="0070C0"/>
          <w:sz w:val="16"/>
          <w:szCs w:val="16"/>
        </w:rPr>
        <w:softHyphen/>
        <w:t>ным заводом, что затрудняло внедре</w:t>
      </w:r>
      <w:r w:rsidRPr="00441F34">
        <w:rPr>
          <w:rFonts w:ascii="Times New Roman" w:hAnsi="Times New Roman"/>
          <w:color w:val="0070C0"/>
          <w:sz w:val="16"/>
          <w:szCs w:val="16"/>
        </w:rPr>
        <w:softHyphen/>
        <w:t>ние в серию и затягивало сроки;</w:t>
      </w:r>
    </w:p>
    <w:p w14:paraId="7DB729EC"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создании непригодного для ВВС истребителя И-1, предназначенного, прежде всего, для побития рекорда скорости, а также в протаскивании через своих сторонников решения о продолжении работы над этим самолетом якобы с тем, чтобы еще больше нанести материальный ущерб государству;</w:t>
      </w:r>
    </w:p>
    <w:p w14:paraId="76D047BB"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использовании на И-1 схемы мо</w:t>
      </w:r>
      <w:r w:rsidRPr="00441F34">
        <w:rPr>
          <w:rFonts w:ascii="Times New Roman" w:hAnsi="Times New Roman"/>
          <w:color w:val="0070C0"/>
          <w:sz w:val="16"/>
          <w:szCs w:val="16"/>
        </w:rPr>
        <w:softHyphen/>
        <w:t>ноплана, которая не обеспечивает обзор вниз, а при капотировании во время посадки создает опас</w:t>
      </w:r>
      <w:r w:rsidRPr="00441F34">
        <w:rPr>
          <w:rFonts w:ascii="Times New Roman" w:hAnsi="Times New Roman"/>
          <w:color w:val="0070C0"/>
          <w:sz w:val="16"/>
          <w:szCs w:val="16"/>
        </w:rPr>
        <w:softHyphen/>
        <w:t>ность для головы летчика;</w:t>
      </w:r>
    </w:p>
    <w:p w14:paraId="2F5CBAA9"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прекращении работы над бомбар</w:t>
      </w:r>
      <w:r w:rsidRPr="00441F34">
        <w:rPr>
          <w:rFonts w:ascii="Times New Roman" w:hAnsi="Times New Roman"/>
          <w:color w:val="0070C0"/>
          <w:sz w:val="16"/>
          <w:szCs w:val="16"/>
        </w:rPr>
        <w:softHyphen/>
        <w:t>дировщиком Б-1 (2БЛ-1) Колпакова- Мирошниченко;</w:t>
      </w:r>
    </w:p>
    <w:p w14:paraId="1371A443"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предъявлении на государствен</w:t>
      </w:r>
      <w:r w:rsidRPr="00441F34">
        <w:rPr>
          <w:rFonts w:ascii="Times New Roman" w:hAnsi="Times New Roman"/>
          <w:color w:val="0070C0"/>
          <w:sz w:val="16"/>
          <w:szCs w:val="16"/>
        </w:rPr>
        <w:softHyphen/>
        <w:t>ные испытания разведчика Р-5 с дефектами для затягивания сроков испытаний нужной для ВВС машины;</w:t>
      </w:r>
    </w:p>
    <w:p w14:paraId="09B76108"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передаче для серийного производ</w:t>
      </w:r>
      <w:r w:rsidRPr="00441F34">
        <w:rPr>
          <w:rFonts w:ascii="Times New Roman" w:hAnsi="Times New Roman"/>
          <w:color w:val="0070C0"/>
          <w:sz w:val="16"/>
          <w:szCs w:val="16"/>
        </w:rPr>
        <w:softHyphen/>
        <w:t>ства недоведенного Р-5 и т.д., и т.п.</w:t>
      </w:r>
    </w:p>
    <w:p w14:paraId="5B121658" w14:textId="77777777" w:rsidR="001057E9" w:rsidRPr="00441F34" w:rsidRDefault="001057E9" w:rsidP="001057E9">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Виновным себя Поликарпов не признал. Тем не менее, после не</w:t>
      </w:r>
      <w:r w:rsidRPr="00441F34">
        <w:rPr>
          <w:rFonts w:ascii="Times New Roman" w:hAnsi="Times New Roman"/>
          <w:color w:val="0070C0"/>
          <w:sz w:val="16"/>
          <w:szCs w:val="16"/>
        </w:rPr>
        <w:softHyphen/>
        <w:t>долгого следствия его перевели в Бутырскую тюрьму и вскоре без суда приговорили к расстрелу «как соци</w:t>
      </w:r>
      <w:r w:rsidRPr="00441F34">
        <w:rPr>
          <w:rFonts w:ascii="Times New Roman" w:hAnsi="Times New Roman"/>
          <w:color w:val="0070C0"/>
          <w:sz w:val="16"/>
          <w:szCs w:val="16"/>
        </w:rPr>
        <w:softHyphen/>
        <w:t>ально чуждого элемента» (23406).</w:t>
      </w:r>
    </w:p>
    <w:p w14:paraId="5FF00EC6" w14:textId="77777777" w:rsidR="001057E9" w:rsidRPr="00441F34" w:rsidRDefault="001057E9" w:rsidP="001057E9">
      <w:pPr>
        <w:spacing w:after="0" w:line="240" w:lineRule="auto"/>
        <w:jc w:val="both"/>
        <w:rPr>
          <w:rFonts w:ascii="Times New Roman" w:hAnsi="Times New Roman"/>
          <w:color w:val="0070C0"/>
          <w:sz w:val="16"/>
          <w:szCs w:val="16"/>
        </w:rPr>
      </w:pPr>
    </w:p>
    <w:p w14:paraId="26EEC5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октября 1929 г. советское торговое представительство в Германии заклю</w:t>
      </w:r>
      <w:r w:rsidRPr="00A259BD">
        <w:rPr>
          <w:rFonts w:ascii="Times New Roman" w:hAnsi="Times New Roman"/>
          <w:color w:val="000000" w:themeColor="text1"/>
          <w:sz w:val="16"/>
          <w:szCs w:val="16"/>
        </w:rPr>
        <w:softHyphen/>
        <w:t>чило с Хейнкелем дополнительный контракт на поставку 14 летающих лодок НD.55 по цене 52 тыс. марок (общая стоимость дополнительного контракта 728 тыс. марок). В это дополнительное соглашение вошли поставка завод</w:t>
      </w:r>
      <w:r w:rsidRPr="00A259BD">
        <w:rPr>
          <w:rFonts w:ascii="Times New Roman" w:hAnsi="Times New Roman"/>
          <w:color w:val="000000" w:themeColor="text1"/>
          <w:sz w:val="16"/>
          <w:szCs w:val="16"/>
        </w:rPr>
        <w:softHyphen/>
        <w:t>ских чертежей, установка пилотажных приборов, обору</w:t>
      </w:r>
      <w:r w:rsidRPr="00A259BD">
        <w:rPr>
          <w:rFonts w:ascii="Times New Roman" w:hAnsi="Times New Roman"/>
          <w:color w:val="000000" w:themeColor="text1"/>
          <w:sz w:val="16"/>
          <w:szCs w:val="16"/>
        </w:rPr>
        <w:softHyphen/>
        <w:t>дования и инструментов, комплектация каждого самоле</w:t>
      </w:r>
      <w:r w:rsidRPr="00A259BD">
        <w:rPr>
          <w:rFonts w:ascii="Times New Roman" w:hAnsi="Times New Roman"/>
          <w:color w:val="000000" w:themeColor="text1"/>
          <w:sz w:val="16"/>
          <w:szCs w:val="16"/>
        </w:rPr>
        <w:softHyphen/>
        <w:t>та двумя парашютами и спасательными поясами (11107).</w:t>
      </w:r>
    </w:p>
    <w:p w14:paraId="31135A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8ACB4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октября 1929 стартовали из Солт-Лейк-Сити на Чикаго, куда после совершения промежуточной посадки в </w:t>
      </w:r>
      <w:proofErr w:type="spellStart"/>
      <w:r w:rsidRPr="00A259BD">
        <w:rPr>
          <w:rFonts w:ascii="Times New Roman" w:hAnsi="Times New Roman"/>
          <w:color w:val="000000" w:themeColor="text1"/>
          <w:sz w:val="16"/>
          <w:szCs w:val="16"/>
        </w:rPr>
        <w:t>Шайенне</w:t>
      </w:r>
      <w:proofErr w:type="spellEnd"/>
      <w:r w:rsidRPr="00A259BD">
        <w:rPr>
          <w:rFonts w:ascii="Times New Roman" w:hAnsi="Times New Roman"/>
          <w:color w:val="000000" w:themeColor="text1"/>
          <w:sz w:val="16"/>
          <w:szCs w:val="16"/>
        </w:rPr>
        <w:t xml:space="preserve"> прибыли 25 октября. Оттуда путь лежал в Нью-Йорк, однако неожиданно при</w:t>
      </w:r>
      <w:r w:rsidRPr="00A259BD">
        <w:rPr>
          <w:rFonts w:ascii="Times New Roman" w:hAnsi="Times New Roman"/>
          <w:color w:val="000000" w:themeColor="text1"/>
          <w:sz w:val="16"/>
          <w:szCs w:val="16"/>
        </w:rPr>
        <w:softHyphen/>
        <w:t>была делегаций от Генри Форда с предложением посетить Детройт, автомобильную ходил через о. Мичиган. Над во</w:t>
      </w:r>
      <w:r w:rsidRPr="00A259BD">
        <w:rPr>
          <w:rFonts w:ascii="Times New Roman" w:hAnsi="Times New Roman"/>
          <w:color w:val="000000" w:themeColor="text1"/>
          <w:sz w:val="16"/>
          <w:szCs w:val="16"/>
        </w:rPr>
        <w:softHyphen/>
        <w:t>дой пришлось пройти 180 км, но что они были после преодоления 8000 км над океанскими просто</w:t>
      </w:r>
      <w:r w:rsidRPr="00A259BD">
        <w:rPr>
          <w:rFonts w:ascii="Times New Roman" w:hAnsi="Times New Roman"/>
          <w:color w:val="000000" w:themeColor="text1"/>
          <w:sz w:val="16"/>
          <w:szCs w:val="16"/>
        </w:rPr>
        <w:softHyphen/>
        <w:t>рами! (11286).</w:t>
      </w:r>
    </w:p>
    <w:p w14:paraId="3DA47B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131292" w14:textId="77777777" w:rsidR="009556D0"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78BC567C" w14:textId="77777777" w:rsidR="009556D0" w:rsidRPr="00A259BD" w:rsidRDefault="009556D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C4EBF04" w14:textId="77777777" w:rsidR="009556D0" w:rsidRPr="00A259BD" w:rsidRDefault="009556D0" w:rsidP="009236E3">
      <w:pPr>
        <w:pStyle w:val="a3"/>
        <w:rPr>
          <w:color w:val="000000" w:themeColor="text1"/>
          <w:lang w:val="ru-RU"/>
        </w:rPr>
      </w:pPr>
      <w:r w:rsidRPr="00A259BD">
        <w:rPr>
          <w:color w:val="000000" w:themeColor="text1"/>
          <w:lang w:val="ru-RU"/>
        </w:rPr>
        <w:t>24 октября 1929 в агентурных данных наконец-то появились достоверные и наиболее пол</w:t>
      </w:r>
      <w:r w:rsidRPr="00A259BD">
        <w:rPr>
          <w:color w:val="000000" w:themeColor="text1"/>
          <w:lang w:val="ru-RU"/>
        </w:rPr>
        <w:softHyphen/>
        <w:t>ные сведения о состоянии и дислокации китайских авиачастей. Выяснилось, что 20 октя</w:t>
      </w:r>
      <w:r w:rsidRPr="00A259BD">
        <w:rPr>
          <w:color w:val="000000" w:themeColor="text1"/>
          <w:lang w:val="ru-RU"/>
        </w:rPr>
        <w:softHyphen/>
        <w:t>бря из Харбина в Хайлар вылетел авиаотряд № 3 в составе пяти самолётов — три «бомбера» «Бреге» и два разведчика «</w:t>
      </w:r>
      <w:proofErr w:type="spellStart"/>
      <w:r w:rsidRPr="00A259BD">
        <w:rPr>
          <w:color w:val="000000" w:themeColor="text1"/>
          <w:lang w:val="ru-RU"/>
        </w:rPr>
        <w:t>Потез</w:t>
      </w:r>
      <w:proofErr w:type="spellEnd"/>
      <w:r w:rsidRPr="00A259BD">
        <w:rPr>
          <w:color w:val="000000" w:themeColor="text1"/>
          <w:lang w:val="ru-RU"/>
        </w:rPr>
        <w:t>». «Бомбовозы» вооружались шестью бомба</w:t>
      </w:r>
      <w:r w:rsidRPr="00A259BD">
        <w:rPr>
          <w:color w:val="000000" w:themeColor="text1"/>
          <w:lang w:val="ru-RU"/>
        </w:rPr>
        <w:softHyphen/>
        <w:t>ми по 1 пуду 5 фунтов (</w:t>
      </w:r>
      <w:proofErr w:type="spellStart"/>
      <w:r w:rsidRPr="00A259BD">
        <w:rPr>
          <w:color w:val="000000" w:themeColor="text1"/>
          <w:lang w:val="ru-RU"/>
        </w:rPr>
        <w:t>ок</w:t>
      </w:r>
      <w:proofErr w:type="spellEnd"/>
      <w:r w:rsidRPr="00A259BD">
        <w:rPr>
          <w:color w:val="000000" w:themeColor="text1"/>
          <w:lang w:val="ru-RU"/>
        </w:rPr>
        <w:t xml:space="preserve">. 20 кг), разведчики — одним пулемётом «Кольт», всего отряд имел 60 бомб. Авиаотряд № 2 (пять самолётов) придали 1-й </w:t>
      </w:r>
      <w:proofErr w:type="spellStart"/>
      <w:r w:rsidRPr="00A259BD">
        <w:rPr>
          <w:color w:val="000000" w:themeColor="text1"/>
          <w:lang w:val="ru-RU"/>
        </w:rPr>
        <w:t>Мукденской</w:t>
      </w:r>
      <w:proofErr w:type="spellEnd"/>
      <w:r w:rsidRPr="00A259BD">
        <w:rPr>
          <w:color w:val="000000" w:themeColor="text1"/>
          <w:lang w:val="ru-RU"/>
        </w:rPr>
        <w:t xml:space="preserve"> армии и вре</w:t>
      </w:r>
      <w:r w:rsidRPr="00A259BD">
        <w:rPr>
          <w:color w:val="000000" w:themeColor="text1"/>
          <w:lang w:val="ru-RU"/>
        </w:rPr>
        <w:softHyphen/>
        <w:t xml:space="preserve">менно оставили в Харбине (один самолёт при перелете из </w:t>
      </w:r>
      <w:proofErr w:type="spellStart"/>
      <w:r w:rsidRPr="00A259BD">
        <w:rPr>
          <w:color w:val="000000" w:themeColor="text1"/>
          <w:lang w:val="ru-RU"/>
        </w:rPr>
        <w:t>Мукдена</w:t>
      </w:r>
      <w:proofErr w:type="spellEnd"/>
      <w:r w:rsidRPr="00A259BD">
        <w:rPr>
          <w:color w:val="000000" w:themeColor="text1"/>
          <w:lang w:val="ru-RU"/>
        </w:rPr>
        <w:t xml:space="preserve"> из-за неисправности совершил вынужденную посадку в </w:t>
      </w:r>
      <w:proofErr w:type="spellStart"/>
      <w:r w:rsidRPr="00A259BD">
        <w:rPr>
          <w:color w:val="000000" w:themeColor="text1"/>
          <w:lang w:val="ru-RU"/>
        </w:rPr>
        <w:t>Чаньчуне</w:t>
      </w:r>
      <w:proofErr w:type="spellEnd"/>
      <w:r w:rsidRPr="00A259BD">
        <w:rPr>
          <w:color w:val="000000" w:themeColor="text1"/>
          <w:lang w:val="ru-RU"/>
        </w:rPr>
        <w:t xml:space="preserve"> и требовал ремонта). Отряд предназначался для боевых действий в устье Сунгари. Летчики в нем китайские, выпускники </w:t>
      </w:r>
      <w:proofErr w:type="spellStart"/>
      <w:r w:rsidRPr="00A259BD">
        <w:rPr>
          <w:color w:val="000000" w:themeColor="text1"/>
          <w:lang w:val="ru-RU"/>
        </w:rPr>
        <w:t>Мукденской</w:t>
      </w:r>
      <w:proofErr w:type="spellEnd"/>
      <w:r w:rsidRPr="00A259BD">
        <w:rPr>
          <w:color w:val="000000" w:themeColor="text1"/>
          <w:lang w:val="ru-RU"/>
        </w:rPr>
        <w:t xml:space="preserve"> авиашколы, техническое состояние самолетов плохое. При этом агент особо обратил вни</w:t>
      </w:r>
      <w:r w:rsidRPr="00A259BD">
        <w:rPr>
          <w:color w:val="000000" w:themeColor="text1"/>
          <w:lang w:val="ru-RU"/>
        </w:rPr>
        <w:softHyphen/>
        <w:t>мание, что «</w:t>
      </w:r>
      <w:proofErr w:type="spellStart"/>
      <w:r w:rsidRPr="00A259BD">
        <w:rPr>
          <w:color w:val="000000" w:themeColor="text1"/>
          <w:lang w:val="ru-RU"/>
        </w:rPr>
        <w:t>Мукден</w:t>
      </w:r>
      <w:proofErr w:type="spellEnd"/>
      <w:r w:rsidRPr="00A259BD">
        <w:rPr>
          <w:color w:val="000000" w:themeColor="text1"/>
          <w:lang w:val="ru-RU"/>
        </w:rPr>
        <w:t xml:space="preserve"> предложил местному командованию воздержаться от посылки само</w:t>
      </w:r>
      <w:r w:rsidRPr="00A259BD">
        <w:rPr>
          <w:color w:val="000000" w:themeColor="text1"/>
          <w:lang w:val="ru-RU"/>
        </w:rPr>
        <w:softHyphen/>
        <w:t xml:space="preserve">лётов [на ст.] Пограничную и Маньчжурию ввиду превосходства нашей авиации». Позднее разведчики уточнили, что авиаотряд № 2 утром 3 ноября отправили из-под </w:t>
      </w:r>
      <w:proofErr w:type="spellStart"/>
      <w:r w:rsidRPr="00A259BD">
        <w:rPr>
          <w:color w:val="000000" w:themeColor="text1"/>
          <w:lang w:val="ru-RU"/>
        </w:rPr>
        <w:t>Цицикара</w:t>
      </w:r>
      <w:proofErr w:type="spellEnd"/>
      <w:r w:rsidRPr="00A259BD">
        <w:rPr>
          <w:color w:val="000000" w:themeColor="text1"/>
          <w:lang w:val="ru-RU"/>
        </w:rPr>
        <w:t xml:space="preserve"> в </w:t>
      </w:r>
      <w:proofErr w:type="spellStart"/>
      <w:r w:rsidRPr="00A259BD">
        <w:rPr>
          <w:color w:val="000000" w:themeColor="text1"/>
          <w:lang w:val="ru-RU"/>
        </w:rPr>
        <w:t>Саньсинь</w:t>
      </w:r>
      <w:proofErr w:type="spellEnd"/>
      <w:r w:rsidRPr="00A259BD">
        <w:rPr>
          <w:color w:val="000000" w:themeColor="text1"/>
          <w:lang w:val="ru-RU"/>
        </w:rPr>
        <w:t>, и подтвердили наличие в Хайларе авиаотряда № 3 (пять самолётов).</w:t>
      </w:r>
    </w:p>
    <w:p w14:paraId="2402F2EB" w14:textId="77777777" w:rsidR="009556D0" w:rsidRPr="00A259BD" w:rsidRDefault="009556D0" w:rsidP="009236E3">
      <w:pPr>
        <w:pStyle w:val="a3"/>
        <w:rPr>
          <w:color w:val="000000" w:themeColor="text1"/>
          <w:lang w:val="ru-RU"/>
        </w:rPr>
      </w:pPr>
      <w:r w:rsidRPr="00A259BD">
        <w:rPr>
          <w:color w:val="000000" w:themeColor="text1"/>
          <w:lang w:val="ru-RU"/>
        </w:rPr>
        <w:t>Разведсводки оказались единственными документами, где изредка упоминались ки</w:t>
      </w:r>
      <w:r w:rsidRPr="00A259BD">
        <w:rPr>
          <w:color w:val="000000" w:themeColor="text1"/>
          <w:lang w:val="ru-RU"/>
        </w:rPr>
        <w:softHyphen/>
        <w:t>тайские самолёты, в ежеднев</w:t>
      </w:r>
      <w:r w:rsidRPr="00A259BD">
        <w:rPr>
          <w:color w:val="000000" w:themeColor="text1"/>
          <w:lang w:val="ru-RU"/>
        </w:rPr>
        <w:softHyphen/>
        <w:t xml:space="preserve">ных оперсводках их вообще ни разу и не отметили, поскольку ни одного боевого вылета по понятным теперь причинам лётчики Чжан </w:t>
      </w:r>
      <w:proofErr w:type="spellStart"/>
      <w:r w:rsidRPr="00A259BD">
        <w:rPr>
          <w:color w:val="000000" w:themeColor="text1"/>
          <w:lang w:val="ru-RU"/>
        </w:rPr>
        <w:t>Сюэляна</w:t>
      </w:r>
      <w:proofErr w:type="spellEnd"/>
      <w:r w:rsidRPr="00A259BD">
        <w:rPr>
          <w:color w:val="000000" w:themeColor="text1"/>
          <w:lang w:val="ru-RU"/>
        </w:rPr>
        <w:t xml:space="preserve"> так и не сделали. Лишь в одном из </w:t>
      </w:r>
      <w:proofErr w:type="spellStart"/>
      <w:r w:rsidRPr="00A259BD">
        <w:rPr>
          <w:color w:val="000000" w:themeColor="text1"/>
          <w:lang w:val="ru-RU"/>
        </w:rPr>
        <w:t>политдонесений</w:t>
      </w:r>
      <w:proofErr w:type="spellEnd"/>
      <w:r w:rsidRPr="00A259BD">
        <w:rPr>
          <w:color w:val="000000" w:themeColor="text1"/>
          <w:lang w:val="ru-RU"/>
        </w:rPr>
        <w:t xml:space="preserve"> ОКДВА в По</w:t>
      </w:r>
      <w:r w:rsidRPr="00A259BD">
        <w:rPr>
          <w:color w:val="000000" w:themeColor="text1"/>
          <w:lang w:val="ru-RU"/>
        </w:rPr>
        <w:softHyphen/>
        <w:t>литуправление РККА упомяну</w:t>
      </w:r>
      <w:r w:rsidRPr="00A259BD">
        <w:rPr>
          <w:color w:val="000000" w:themeColor="text1"/>
          <w:lang w:val="ru-RU"/>
        </w:rPr>
        <w:softHyphen/>
        <w:t>ли появление на одном участ</w:t>
      </w:r>
      <w:r w:rsidRPr="00A259BD">
        <w:rPr>
          <w:color w:val="000000" w:themeColor="text1"/>
          <w:lang w:val="ru-RU"/>
        </w:rPr>
        <w:softHyphen/>
        <w:t>ке фронта двух «Бреге», быст</w:t>
      </w:r>
      <w:r w:rsidRPr="00A259BD">
        <w:rPr>
          <w:color w:val="000000" w:themeColor="text1"/>
          <w:lang w:val="ru-RU"/>
        </w:rPr>
        <w:softHyphen/>
        <w:t>ро скрывшихся при приближе</w:t>
      </w:r>
      <w:r w:rsidRPr="00A259BD">
        <w:rPr>
          <w:color w:val="000000" w:themeColor="text1"/>
          <w:lang w:val="ru-RU"/>
        </w:rPr>
        <w:softHyphen/>
        <w:t>нии наших самолётов.</w:t>
      </w:r>
    </w:p>
    <w:p w14:paraId="202DDB98" w14:textId="77777777" w:rsidR="009556D0" w:rsidRPr="00A259BD" w:rsidRDefault="009556D0" w:rsidP="009236E3">
      <w:pPr>
        <w:pStyle w:val="a3"/>
        <w:rPr>
          <w:color w:val="000000" w:themeColor="text1"/>
          <w:lang w:val="ru-RU"/>
        </w:rPr>
      </w:pPr>
      <w:r w:rsidRPr="00A259BD">
        <w:rPr>
          <w:color w:val="000000" w:themeColor="text1"/>
          <w:lang w:val="ru-RU"/>
        </w:rPr>
        <w:t>Сейчас китайские источники подтверждают абсолютную достоверность и точность со</w:t>
      </w:r>
      <w:r w:rsidRPr="00A259BD">
        <w:rPr>
          <w:color w:val="000000" w:themeColor="text1"/>
          <w:lang w:val="ru-RU"/>
        </w:rPr>
        <w:softHyphen/>
        <w:t>ветских разведсводок. Действительно, маньчжурские войска не спешили вводить в бой свои авиачасти, понимая, что советская авиация сильнее. Лишь регулярные и очень серь</w:t>
      </w:r>
      <w:r w:rsidRPr="00A259BD">
        <w:rPr>
          <w:color w:val="000000" w:themeColor="text1"/>
          <w:lang w:val="ru-RU"/>
        </w:rPr>
        <w:softHyphen/>
        <w:t xml:space="preserve">ёзные удары по наземным войскам вынудили командование просить у Чжан </w:t>
      </w:r>
      <w:proofErr w:type="spellStart"/>
      <w:r w:rsidRPr="00A259BD">
        <w:rPr>
          <w:color w:val="000000" w:themeColor="text1"/>
          <w:lang w:val="ru-RU"/>
        </w:rPr>
        <w:t>Сюэляна</w:t>
      </w:r>
      <w:proofErr w:type="spellEnd"/>
      <w:r w:rsidRPr="00A259BD">
        <w:rPr>
          <w:color w:val="000000" w:themeColor="text1"/>
          <w:lang w:val="ru-RU"/>
        </w:rPr>
        <w:t xml:space="preserve"> авиационной поддержки. К фронту отправили два авиаотряда. 26 октября 3-й авиаотряд (пять «</w:t>
      </w:r>
      <w:proofErr w:type="spellStart"/>
      <w:r w:rsidRPr="00A259BD">
        <w:rPr>
          <w:color w:val="000000" w:themeColor="text1"/>
          <w:lang w:val="ru-RU"/>
        </w:rPr>
        <w:t>Потезов</w:t>
      </w:r>
      <w:proofErr w:type="spellEnd"/>
      <w:r w:rsidRPr="00A259BD">
        <w:rPr>
          <w:color w:val="000000" w:themeColor="text1"/>
          <w:lang w:val="ru-RU"/>
        </w:rPr>
        <w:t xml:space="preserve">», командир Ван </w:t>
      </w:r>
      <w:proofErr w:type="spellStart"/>
      <w:r w:rsidRPr="00A259BD">
        <w:rPr>
          <w:color w:val="000000" w:themeColor="text1"/>
          <w:lang w:val="ru-RU"/>
        </w:rPr>
        <w:t>Цзюй'йоу</w:t>
      </w:r>
      <w:proofErr w:type="spellEnd"/>
      <w:r w:rsidRPr="00A259BD">
        <w:rPr>
          <w:color w:val="000000" w:themeColor="text1"/>
          <w:lang w:val="ru-RU"/>
        </w:rPr>
        <w:t>), усиленный одним зенитным орудием, расквар</w:t>
      </w:r>
      <w:r w:rsidRPr="00A259BD">
        <w:rPr>
          <w:color w:val="000000" w:themeColor="text1"/>
          <w:lang w:val="ru-RU"/>
        </w:rPr>
        <w:softHyphen/>
        <w:t xml:space="preserve">тировали в </w:t>
      </w:r>
      <w:proofErr w:type="spellStart"/>
      <w:r w:rsidRPr="00A259BD">
        <w:rPr>
          <w:color w:val="000000" w:themeColor="text1"/>
          <w:lang w:val="ru-RU"/>
        </w:rPr>
        <w:t>Анси</w:t>
      </w:r>
      <w:proofErr w:type="spellEnd"/>
      <w:r w:rsidRPr="00A259BD">
        <w:rPr>
          <w:color w:val="000000" w:themeColor="text1"/>
          <w:lang w:val="ru-RU"/>
        </w:rPr>
        <w:t>, оперативно подчинив его Западной армии (15820).</w:t>
      </w:r>
    </w:p>
    <w:p w14:paraId="1A4E0EDE" w14:textId="77777777" w:rsidR="009556D0" w:rsidRPr="00A259BD" w:rsidRDefault="009556D0" w:rsidP="009236E3">
      <w:pPr>
        <w:spacing w:after="0" w:line="240" w:lineRule="auto"/>
        <w:jc w:val="both"/>
        <w:rPr>
          <w:rFonts w:ascii="Times New Roman" w:hAnsi="Times New Roman"/>
          <w:color w:val="000000" w:themeColor="text1"/>
          <w:sz w:val="16"/>
          <w:szCs w:val="16"/>
        </w:rPr>
      </w:pPr>
    </w:p>
    <w:p w14:paraId="3F9D1A6A"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090B1E1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8E1A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октября 1929 проходит заседание Особой комиссии Наркомата РКИ СССР, которое положит начало “делу Академии наук”, или “делу Платонова”. Академия наук СССР вовлечена в процесс так называемой “перестройки”, включающей требования утилитарности научных исследований, перехода на марксистско-ленинскую методологию, “социализации” науки и “пролетаризации” кадров. Дело началось так: 19 октября несколько сотрудников Академии заявили, что в Библиотеке АН СССР – в Пушкинском доме – они “нашли” материалы “большого политического значения” - акты отречения Николая II и Михаила Романовых, материалы Департамента полиции и обвинили руководство Академии в “умышленном сокрытии”, “утаивании” политически важных документов. Власть уверена, что архивы имеют, прежде всего, политическое, а не научное значение и обвиняет ряд сотрудников Академии в “контрреволюционном заговоре”. Около 100 человек (пятая часть сотрудников) будут объявлены “социально чуждыми, бесполезными для социалистического строительства” и уволены по первой категории, что означает потерю не только научного статуса, но и гражданских прав (могут вышвырнуть из квартиры, исключается обслуживание в лечебных учреждениях и т.д.). Арестуют, а потом сошлют академиков: 66-летнего востоковеда Сергея Ольденбурга, 69-летнего историка Сергея Платонова, 53-летнего историка Евгения Тарле и многих других. Всего же пострадает две трети общего состава Академии. В ведущие научные центра Академии и в ее архивы будут посланы специальные комиссии для изъятия крамольных материалов; будут разорены архивные фонды, уничтожены целые коллекции (10739).</w:t>
      </w:r>
    </w:p>
    <w:p w14:paraId="088AE3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45AF56"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3364654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D8E82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октяб</w:t>
      </w:r>
      <w:r w:rsidRPr="00A259BD">
        <w:rPr>
          <w:rFonts w:ascii="Times New Roman" w:hAnsi="Times New Roman"/>
          <w:color w:val="000000" w:themeColor="text1"/>
          <w:sz w:val="16"/>
          <w:szCs w:val="16"/>
        </w:rPr>
        <w:softHyphen/>
        <w:t>ря 1929 в агентурных данных от наконец-то появились достоверные и наиболее полные сведения о состо</w:t>
      </w:r>
      <w:r w:rsidRPr="00A259BD">
        <w:rPr>
          <w:rFonts w:ascii="Times New Roman" w:hAnsi="Times New Roman"/>
          <w:color w:val="000000" w:themeColor="text1"/>
          <w:sz w:val="16"/>
          <w:szCs w:val="16"/>
        </w:rPr>
        <w:softHyphen/>
        <w:t>янии и дислокации китайских авиача</w:t>
      </w:r>
      <w:r w:rsidRPr="00A259BD">
        <w:rPr>
          <w:rFonts w:ascii="Times New Roman" w:hAnsi="Times New Roman"/>
          <w:color w:val="000000" w:themeColor="text1"/>
          <w:sz w:val="16"/>
          <w:szCs w:val="16"/>
        </w:rPr>
        <w:softHyphen/>
        <w:t>стей. Выяснилось, что 20 октября из Харбина в Хайлар вылетел авиаотряд № 3 в составе пяти самолетов - три бомбардировщика “Бреге” и два раз</w:t>
      </w:r>
      <w:r w:rsidRPr="00A259BD">
        <w:rPr>
          <w:rFonts w:ascii="Times New Roman" w:hAnsi="Times New Roman"/>
          <w:color w:val="000000" w:themeColor="text1"/>
          <w:sz w:val="16"/>
          <w:szCs w:val="16"/>
        </w:rPr>
        <w:softHyphen/>
        <w:t>ведчика “</w:t>
      </w:r>
      <w:proofErr w:type="spellStart"/>
      <w:r w:rsidRPr="00A259BD">
        <w:rPr>
          <w:rFonts w:ascii="Times New Roman" w:hAnsi="Times New Roman"/>
          <w:color w:val="000000" w:themeColor="text1"/>
          <w:sz w:val="16"/>
          <w:szCs w:val="16"/>
        </w:rPr>
        <w:t>Потез</w:t>
      </w:r>
      <w:proofErr w:type="spellEnd"/>
      <w:r w:rsidRPr="00A259BD">
        <w:rPr>
          <w:rFonts w:ascii="Times New Roman" w:hAnsi="Times New Roman"/>
          <w:color w:val="000000" w:themeColor="text1"/>
          <w:sz w:val="16"/>
          <w:szCs w:val="16"/>
        </w:rPr>
        <w:t>”. “Бомбовозы” воору</w:t>
      </w:r>
      <w:r w:rsidRPr="00A259BD">
        <w:rPr>
          <w:rFonts w:ascii="Times New Roman" w:hAnsi="Times New Roman"/>
          <w:color w:val="000000" w:themeColor="text1"/>
          <w:sz w:val="16"/>
          <w:szCs w:val="16"/>
        </w:rPr>
        <w:softHyphen/>
        <w:t>жались шестью бомбами по 1 пуду 5 фунтов (</w:t>
      </w:r>
      <w:proofErr w:type="spellStart"/>
      <w:r w:rsidRPr="00A259BD">
        <w:rPr>
          <w:rFonts w:ascii="Times New Roman" w:hAnsi="Times New Roman"/>
          <w:color w:val="000000" w:themeColor="text1"/>
          <w:sz w:val="16"/>
          <w:szCs w:val="16"/>
        </w:rPr>
        <w:t>ок</w:t>
      </w:r>
      <w:proofErr w:type="spellEnd"/>
      <w:r w:rsidRPr="00A259BD">
        <w:rPr>
          <w:rFonts w:ascii="Times New Roman" w:hAnsi="Times New Roman"/>
          <w:color w:val="000000" w:themeColor="text1"/>
          <w:sz w:val="16"/>
          <w:szCs w:val="16"/>
        </w:rPr>
        <w:t>. 20 кг), разведчики - од</w:t>
      </w:r>
      <w:r w:rsidRPr="00A259BD">
        <w:rPr>
          <w:rFonts w:ascii="Times New Roman" w:hAnsi="Times New Roman"/>
          <w:color w:val="000000" w:themeColor="text1"/>
          <w:sz w:val="16"/>
          <w:szCs w:val="16"/>
        </w:rPr>
        <w:softHyphen/>
        <w:t xml:space="preserve">ним пулеметом “Кольт”, всего отряд имел 60 бомб. Авиаотряд № 2 (пять самолетов) придали 1-й </w:t>
      </w:r>
      <w:proofErr w:type="spellStart"/>
      <w:r w:rsidRPr="00A259BD">
        <w:rPr>
          <w:rFonts w:ascii="Times New Roman" w:hAnsi="Times New Roman"/>
          <w:color w:val="000000" w:themeColor="text1"/>
          <w:sz w:val="16"/>
          <w:szCs w:val="16"/>
        </w:rPr>
        <w:t>Мукденской</w:t>
      </w:r>
      <w:proofErr w:type="spellEnd"/>
      <w:r w:rsidRPr="00A259BD">
        <w:rPr>
          <w:rFonts w:ascii="Times New Roman" w:hAnsi="Times New Roman"/>
          <w:color w:val="000000" w:themeColor="text1"/>
          <w:sz w:val="16"/>
          <w:szCs w:val="16"/>
        </w:rPr>
        <w:t xml:space="preserve"> армии и временно оставили в Харбине (один самолет во время перелета из </w:t>
      </w:r>
      <w:proofErr w:type="spellStart"/>
      <w:r w:rsidRPr="00A259BD">
        <w:rPr>
          <w:rFonts w:ascii="Times New Roman" w:hAnsi="Times New Roman"/>
          <w:color w:val="000000" w:themeColor="text1"/>
          <w:sz w:val="16"/>
          <w:szCs w:val="16"/>
        </w:rPr>
        <w:t>Мукдена</w:t>
      </w:r>
      <w:proofErr w:type="spellEnd"/>
      <w:r w:rsidRPr="00A259BD">
        <w:rPr>
          <w:rFonts w:ascii="Times New Roman" w:hAnsi="Times New Roman"/>
          <w:color w:val="000000" w:themeColor="text1"/>
          <w:sz w:val="16"/>
          <w:szCs w:val="16"/>
        </w:rPr>
        <w:t xml:space="preserve"> из-за неисправности совер</w:t>
      </w:r>
      <w:r w:rsidRPr="00A259BD">
        <w:rPr>
          <w:rFonts w:ascii="Times New Roman" w:hAnsi="Times New Roman"/>
          <w:color w:val="000000" w:themeColor="text1"/>
          <w:sz w:val="16"/>
          <w:szCs w:val="16"/>
        </w:rPr>
        <w:softHyphen/>
        <w:t xml:space="preserve">шил вынужденную посадку в </w:t>
      </w:r>
      <w:proofErr w:type="spellStart"/>
      <w:r w:rsidRPr="00A259BD">
        <w:rPr>
          <w:rFonts w:ascii="Times New Roman" w:hAnsi="Times New Roman"/>
          <w:color w:val="000000" w:themeColor="text1"/>
          <w:sz w:val="16"/>
          <w:szCs w:val="16"/>
        </w:rPr>
        <w:t>Чаньчу</w:t>
      </w:r>
      <w:proofErr w:type="spellEnd"/>
      <w:r w:rsidRPr="00A259BD">
        <w:rPr>
          <w:rFonts w:ascii="Times New Roman" w:hAnsi="Times New Roman"/>
          <w:color w:val="000000" w:themeColor="text1"/>
          <w:sz w:val="16"/>
          <w:szCs w:val="16"/>
        </w:rPr>
        <w:t>-не и требовал ремонта). Отряд пред</w:t>
      </w:r>
      <w:r w:rsidRPr="00A259BD">
        <w:rPr>
          <w:rFonts w:ascii="Times New Roman" w:hAnsi="Times New Roman"/>
          <w:color w:val="000000" w:themeColor="text1"/>
          <w:sz w:val="16"/>
          <w:szCs w:val="16"/>
        </w:rPr>
        <w:softHyphen/>
        <w:t>назначен для боевых действий в устье Сунгари. Летчики в нем китайские, вы</w:t>
      </w:r>
      <w:r w:rsidRPr="00A259BD">
        <w:rPr>
          <w:rFonts w:ascii="Times New Roman" w:hAnsi="Times New Roman"/>
          <w:color w:val="000000" w:themeColor="text1"/>
          <w:sz w:val="16"/>
          <w:szCs w:val="16"/>
        </w:rPr>
        <w:softHyphen/>
        <w:t xml:space="preserve">пускники </w:t>
      </w:r>
      <w:proofErr w:type="spellStart"/>
      <w:r w:rsidRPr="00A259BD">
        <w:rPr>
          <w:rFonts w:ascii="Times New Roman" w:hAnsi="Times New Roman"/>
          <w:color w:val="000000" w:themeColor="text1"/>
          <w:sz w:val="16"/>
          <w:szCs w:val="16"/>
        </w:rPr>
        <w:t>Мукденской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авиашколы,тех</w:t>
      </w:r>
      <w:r w:rsidRPr="00A259BD">
        <w:rPr>
          <w:rFonts w:ascii="Times New Roman" w:hAnsi="Times New Roman"/>
          <w:color w:val="000000" w:themeColor="text1"/>
          <w:sz w:val="16"/>
          <w:szCs w:val="16"/>
        </w:rPr>
        <w:softHyphen/>
        <w:t>ническое</w:t>
      </w:r>
      <w:proofErr w:type="spellEnd"/>
      <w:r w:rsidRPr="00A259BD">
        <w:rPr>
          <w:rFonts w:ascii="Times New Roman" w:hAnsi="Times New Roman"/>
          <w:color w:val="000000" w:themeColor="text1"/>
          <w:sz w:val="16"/>
          <w:szCs w:val="16"/>
        </w:rPr>
        <w:t xml:space="preserve"> состояние самолетов пло</w:t>
      </w:r>
      <w:r w:rsidRPr="00A259BD">
        <w:rPr>
          <w:rFonts w:ascii="Times New Roman" w:hAnsi="Times New Roman"/>
          <w:color w:val="000000" w:themeColor="text1"/>
          <w:sz w:val="16"/>
          <w:szCs w:val="16"/>
        </w:rPr>
        <w:softHyphen/>
        <w:t>хое. При этом агент особо обратил внимание, что “...</w:t>
      </w:r>
      <w:proofErr w:type="spellStart"/>
      <w:r w:rsidRPr="00A259BD">
        <w:rPr>
          <w:rFonts w:ascii="Times New Roman" w:hAnsi="Times New Roman"/>
          <w:color w:val="000000" w:themeColor="text1"/>
          <w:sz w:val="16"/>
          <w:szCs w:val="16"/>
        </w:rPr>
        <w:t>Мукден</w:t>
      </w:r>
      <w:proofErr w:type="spellEnd"/>
      <w:r w:rsidRPr="00A259BD">
        <w:rPr>
          <w:rFonts w:ascii="Times New Roman" w:hAnsi="Times New Roman"/>
          <w:color w:val="000000" w:themeColor="text1"/>
          <w:sz w:val="16"/>
          <w:szCs w:val="16"/>
        </w:rPr>
        <w:t xml:space="preserve"> предложил местному командованию воздержать</w:t>
      </w:r>
      <w:r w:rsidRPr="00A259BD">
        <w:rPr>
          <w:rFonts w:ascii="Times New Roman" w:hAnsi="Times New Roman"/>
          <w:color w:val="000000" w:themeColor="text1"/>
          <w:sz w:val="16"/>
          <w:szCs w:val="16"/>
        </w:rPr>
        <w:softHyphen/>
        <w:t>ся от посылки самолетов [на ст.] По</w:t>
      </w:r>
      <w:r w:rsidRPr="00A259BD">
        <w:rPr>
          <w:rFonts w:ascii="Times New Roman" w:hAnsi="Times New Roman"/>
          <w:color w:val="000000" w:themeColor="text1"/>
          <w:sz w:val="16"/>
          <w:szCs w:val="16"/>
        </w:rPr>
        <w:softHyphen/>
        <w:t>граничную и Маньчжурию ввиду пре</w:t>
      </w:r>
      <w:r w:rsidRPr="00A259BD">
        <w:rPr>
          <w:rFonts w:ascii="Times New Roman" w:hAnsi="Times New Roman"/>
          <w:color w:val="000000" w:themeColor="text1"/>
          <w:sz w:val="16"/>
          <w:szCs w:val="16"/>
        </w:rPr>
        <w:softHyphen/>
        <w:t xml:space="preserve">восходства нашей авиации”. Позднее разведчики уточнили, что авиаотряд № 2 утром 3 ноября отправили из-под </w:t>
      </w:r>
      <w:proofErr w:type="spellStart"/>
      <w:r w:rsidRPr="00A259BD">
        <w:rPr>
          <w:rFonts w:ascii="Times New Roman" w:hAnsi="Times New Roman"/>
          <w:color w:val="000000" w:themeColor="text1"/>
          <w:sz w:val="16"/>
          <w:szCs w:val="16"/>
        </w:rPr>
        <w:t>Цицикара</w:t>
      </w:r>
      <w:proofErr w:type="spellEnd"/>
      <w:r w:rsidRPr="00A259BD">
        <w:rPr>
          <w:rFonts w:ascii="Times New Roman" w:hAnsi="Times New Roman"/>
          <w:color w:val="000000" w:themeColor="text1"/>
          <w:sz w:val="16"/>
          <w:szCs w:val="16"/>
        </w:rPr>
        <w:t xml:space="preserve"> в </w:t>
      </w:r>
      <w:proofErr w:type="spellStart"/>
      <w:r w:rsidRPr="00A259BD">
        <w:rPr>
          <w:rFonts w:ascii="Times New Roman" w:hAnsi="Times New Roman"/>
          <w:color w:val="000000" w:themeColor="text1"/>
          <w:sz w:val="16"/>
          <w:szCs w:val="16"/>
        </w:rPr>
        <w:t>Саньсинь</w:t>
      </w:r>
      <w:proofErr w:type="spellEnd"/>
      <w:r w:rsidRPr="00A259BD">
        <w:rPr>
          <w:rFonts w:ascii="Times New Roman" w:hAnsi="Times New Roman"/>
          <w:color w:val="000000" w:themeColor="text1"/>
          <w:sz w:val="16"/>
          <w:szCs w:val="16"/>
        </w:rPr>
        <w:t>, и подтвердили наличие в Хайларе авиаотряда № 3 в составе пяти самолетов .</w:t>
      </w:r>
    </w:p>
    <w:p w14:paraId="4F38FD6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Разведсводки оказались единствен</w:t>
      </w:r>
      <w:r w:rsidRPr="00A259BD">
        <w:rPr>
          <w:rFonts w:ascii="Times New Roman" w:hAnsi="Times New Roman"/>
          <w:color w:val="000000" w:themeColor="text1"/>
          <w:sz w:val="16"/>
          <w:szCs w:val="16"/>
        </w:rPr>
        <w:softHyphen/>
        <w:t>ными документами, в которых изредка упоминались китайские самолеты, в ежедневных оперсводках их вообще ни разу и не отметили, поскольку ни одно</w:t>
      </w:r>
      <w:r w:rsidRPr="00A259BD">
        <w:rPr>
          <w:rFonts w:ascii="Times New Roman" w:hAnsi="Times New Roman"/>
          <w:color w:val="000000" w:themeColor="text1"/>
          <w:sz w:val="16"/>
          <w:szCs w:val="16"/>
        </w:rPr>
        <w:softHyphen/>
        <w:t xml:space="preserve">го боевого вылета по понятным теперь причинам летчики Чжан </w:t>
      </w:r>
      <w:proofErr w:type="spellStart"/>
      <w:r w:rsidRPr="00A259BD">
        <w:rPr>
          <w:rFonts w:ascii="Times New Roman" w:hAnsi="Times New Roman"/>
          <w:color w:val="000000" w:themeColor="text1"/>
          <w:sz w:val="16"/>
          <w:szCs w:val="16"/>
        </w:rPr>
        <w:t>Сюэляна</w:t>
      </w:r>
      <w:proofErr w:type="spellEnd"/>
      <w:r w:rsidRPr="00A259BD">
        <w:rPr>
          <w:rFonts w:ascii="Times New Roman" w:hAnsi="Times New Roman"/>
          <w:color w:val="000000" w:themeColor="text1"/>
          <w:sz w:val="16"/>
          <w:szCs w:val="16"/>
        </w:rPr>
        <w:t xml:space="preserve"> так и не сделали. Лишь в одном из </w:t>
      </w:r>
      <w:proofErr w:type="spellStart"/>
      <w:r w:rsidRPr="00A259BD">
        <w:rPr>
          <w:rFonts w:ascii="Times New Roman" w:hAnsi="Times New Roman"/>
          <w:color w:val="000000" w:themeColor="text1"/>
          <w:sz w:val="16"/>
          <w:szCs w:val="16"/>
        </w:rPr>
        <w:t>политдо</w:t>
      </w:r>
      <w:proofErr w:type="spellEnd"/>
      <w:r w:rsidRPr="00A259BD">
        <w:rPr>
          <w:rFonts w:ascii="Times New Roman" w:hAnsi="Times New Roman"/>
          <w:color w:val="000000" w:themeColor="text1"/>
          <w:sz w:val="16"/>
          <w:szCs w:val="16"/>
        </w:rPr>
        <w:t>-несений ОКДВА в Политуправление РККА упомянули появление на одном из участков вблизи фронта двух “Бре</w:t>
      </w:r>
      <w:r w:rsidRPr="00A259BD">
        <w:rPr>
          <w:rFonts w:ascii="Times New Roman" w:hAnsi="Times New Roman"/>
          <w:color w:val="000000" w:themeColor="text1"/>
          <w:sz w:val="16"/>
          <w:szCs w:val="16"/>
        </w:rPr>
        <w:softHyphen/>
        <w:t>ге”, быстро скрывшихся при прибли</w:t>
      </w:r>
      <w:r w:rsidRPr="00A259BD">
        <w:rPr>
          <w:rFonts w:ascii="Times New Roman" w:hAnsi="Times New Roman"/>
          <w:color w:val="000000" w:themeColor="text1"/>
          <w:sz w:val="16"/>
          <w:szCs w:val="16"/>
        </w:rPr>
        <w:softHyphen/>
        <w:t>жении советских самолетов.</w:t>
      </w:r>
    </w:p>
    <w:p w14:paraId="585EDD6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Сейчас китайские источники под</w:t>
      </w:r>
      <w:r w:rsidRPr="00A259BD">
        <w:rPr>
          <w:rFonts w:ascii="Times New Roman" w:hAnsi="Times New Roman"/>
          <w:color w:val="000000" w:themeColor="text1"/>
          <w:sz w:val="16"/>
          <w:szCs w:val="16"/>
        </w:rPr>
        <w:softHyphen/>
        <w:t>тверждают абсолютную достовер</w:t>
      </w:r>
      <w:r w:rsidRPr="00A259BD">
        <w:rPr>
          <w:rFonts w:ascii="Times New Roman" w:hAnsi="Times New Roman"/>
          <w:color w:val="000000" w:themeColor="text1"/>
          <w:sz w:val="16"/>
          <w:szCs w:val="16"/>
        </w:rPr>
        <w:softHyphen/>
        <w:t>ность и точность советских разведс</w:t>
      </w:r>
      <w:r w:rsidRPr="00A259BD">
        <w:rPr>
          <w:rFonts w:ascii="Times New Roman" w:hAnsi="Times New Roman"/>
          <w:color w:val="000000" w:themeColor="text1"/>
          <w:sz w:val="16"/>
          <w:szCs w:val="16"/>
        </w:rPr>
        <w:softHyphen/>
        <w:t>водок. Действительно, маньчжурские войска не спешили вводить в бой свои авиачасти, понимая, что советская авиация сильнее. Лишь регулярные и очень серьезные удары по наземным войскам вынудили командование про</w:t>
      </w:r>
      <w:r w:rsidRPr="00A259BD">
        <w:rPr>
          <w:rFonts w:ascii="Times New Roman" w:hAnsi="Times New Roman"/>
          <w:color w:val="000000" w:themeColor="text1"/>
          <w:sz w:val="16"/>
          <w:szCs w:val="16"/>
        </w:rPr>
        <w:softHyphen/>
        <w:t xml:space="preserve">сить у Чжан </w:t>
      </w:r>
      <w:proofErr w:type="spellStart"/>
      <w:r w:rsidRPr="00A259BD">
        <w:rPr>
          <w:rFonts w:ascii="Times New Roman" w:hAnsi="Times New Roman"/>
          <w:color w:val="000000" w:themeColor="text1"/>
          <w:sz w:val="16"/>
          <w:szCs w:val="16"/>
        </w:rPr>
        <w:t>Сюэляна</w:t>
      </w:r>
      <w:proofErr w:type="spellEnd"/>
      <w:r w:rsidRPr="00A259BD">
        <w:rPr>
          <w:rFonts w:ascii="Times New Roman" w:hAnsi="Times New Roman"/>
          <w:color w:val="000000" w:themeColor="text1"/>
          <w:sz w:val="16"/>
          <w:szCs w:val="16"/>
        </w:rPr>
        <w:t xml:space="preserve"> авиационной поддержки. К фронту отправили два авиаотряда. 26 октября 3-й авиаотряд (пять “</w:t>
      </w:r>
      <w:proofErr w:type="spellStart"/>
      <w:r w:rsidRPr="00A259BD">
        <w:rPr>
          <w:rFonts w:ascii="Times New Roman" w:hAnsi="Times New Roman"/>
          <w:color w:val="000000" w:themeColor="text1"/>
          <w:sz w:val="16"/>
          <w:szCs w:val="16"/>
        </w:rPr>
        <w:t>Потезов</w:t>
      </w:r>
      <w:proofErr w:type="spellEnd"/>
      <w:r w:rsidRPr="00A259BD">
        <w:rPr>
          <w:rFonts w:ascii="Times New Roman" w:hAnsi="Times New Roman"/>
          <w:color w:val="000000" w:themeColor="text1"/>
          <w:sz w:val="16"/>
          <w:szCs w:val="16"/>
        </w:rPr>
        <w:t xml:space="preserve">”, командир Ван </w:t>
      </w:r>
      <w:proofErr w:type="spellStart"/>
      <w:r w:rsidRPr="00A259BD">
        <w:rPr>
          <w:rFonts w:ascii="Times New Roman" w:hAnsi="Times New Roman"/>
          <w:color w:val="000000" w:themeColor="text1"/>
          <w:sz w:val="16"/>
          <w:szCs w:val="16"/>
        </w:rPr>
        <w:t>Цзюй</w:t>
      </w:r>
      <w:proofErr w:type="spellEnd"/>
      <w:r w:rsidRPr="00A259BD">
        <w:rPr>
          <w:rFonts w:ascii="Times New Roman" w:hAnsi="Times New Roman"/>
          <w:color w:val="000000" w:themeColor="text1"/>
          <w:sz w:val="16"/>
          <w:szCs w:val="16"/>
        </w:rPr>
        <w:t>-'йоу),усиленный одним зенитным ору</w:t>
      </w:r>
      <w:r w:rsidRPr="00A259BD">
        <w:rPr>
          <w:rFonts w:ascii="Times New Roman" w:hAnsi="Times New Roman"/>
          <w:color w:val="000000" w:themeColor="text1"/>
          <w:sz w:val="16"/>
          <w:szCs w:val="16"/>
        </w:rPr>
        <w:softHyphen/>
        <w:t xml:space="preserve">дием, расквартировали в </w:t>
      </w:r>
      <w:proofErr w:type="spellStart"/>
      <w:r w:rsidRPr="00A259BD">
        <w:rPr>
          <w:rFonts w:ascii="Times New Roman" w:hAnsi="Times New Roman"/>
          <w:color w:val="000000" w:themeColor="text1"/>
          <w:sz w:val="16"/>
          <w:szCs w:val="16"/>
        </w:rPr>
        <w:t>Анси</w:t>
      </w:r>
      <w:proofErr w:type="spellEnd"/>
      <w:r w:rsidRPr="00A259BD">
        <w:rPr>
          <w:rFonts w:ascii="Times New Roman" w:hAnsi="Times New Roman"/>
          <w:color w:val="000000" w:themeColor="text1"/>
          <w:sz w:val="16"/>
          <w:szCs w:val="16"/>
        </w:rPr>
        <w:t>, опера</w:t>
      </w:r>
      <w:r w:rsidRPr="00A259BD">
        <w:rPr>
          <w:rFonts w:ascii="Times New Roman" w:hAnsi="Times New Roman"/>
          <w:color w:val="000000" w:themeColor="text1"/>
          <w:sz w:val="16"/>
          <w:szCs w:val="16"/>
        </w:rPr>
        <w:softHyphen/>
        <w:t>тивно подчинив его Западной армии (11216).</w:t>
      </w:r>
    </w:p>
    <w:p w14:paraId="4A6038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5B7AF7"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889560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7B563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октября 1929 был Черный Четверг - крах на бирже, с которого началась великая депрессия (2100). Биржу закрыли, но 28 октября 1929 падение продолжилось в черный понедельник и черный вторник (3907,157).</w:t>
      </w:r>
    </w:p>
    <w:p w14:paraId="34B1E2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47F17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E07773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744A2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октября 1929 г. завод № 25 отправил письмо в Тех</w:t>
      </w:r>
      <w:r w:rsidRPr="00A259BD">
        <w:rPr>
          <w:rFonts w:ascii="Times New Roman" w:hAnsi="Times New Roman"/>
          <w:color w:val="000000" w:themeColor="text1"/>
          <w:sz w:val="16"/>
          <w:szCs w:val="16"/>
        </w:rPr>
        <w:softHyphen/>
        <w:t xml:space="preserve">нический отдел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с информацией, что полу</w:t>
      </w:r>
      <w:r w:rsidRPr="00A259BD">
        <w:rPr>
          <w:rFonts w:ascii="Times New Roman" w:hAnsi="Times New Roman"/>
          <w:color w:val="000000" w:themeColor="text1"/>
          <w:sz w:val="16"/>
          <w:szCs w:val="16"/>
        </w:rPr>
        <w:softHyphen/>
        <w:t xml:space="preserve">ченные новые технические требования к И-7 достаточны исчерпывающие и приемлемы заводом. “...Проектирование ведется. Большая часть требований будет удовлетворена. Дополнительные пулеметы </w:t>
      </w:r>
      <w:proofErr w:type="spellStart"/>
      <w:r w:rsidRPr="00A259BD">
        <w:rPr>
          <w:rFonts w:ascii="Times New Roman" w:hAnsi="Times New Roman"/>
          <w:color w:val="000000" w:themeColor="text1"/>
          <w:sz w:val="16"/>
          <w:szCs w:val="16"/>
        </w:rPr>
        <w:t>можноразместить</w:t>
      </w:r>
      <w:proofErr w:type="spellEnd"/>
      <w:r w:rsidRPr="00A259BD">
        <w:rPr>
          <w:rFonts w:ascii="Times New Roman" w:hAnsi="Times New Roman"/>
          <w:color w:val="000000" w:themeColor="text1"/>
          <w:sz w:val="16"/>
          <w:szCs w:val="16"/>
        </w:rPr>
        <w:t xml:space="preserve"> под крыльями....Гарантировать выполнение требований о фигурах завод не может вследствие отсут</w:t>
      </w:r>
      <w:r w:rsidRPr="00A259BD">
        <w:rPr>
          <w:rFonts w:ascii="Times New Roman" w:hAnsi="Times New Roman"/>
          <w:color w:val="000000" w:themeColor="text1"/>
          <w:sz w:val="16"/>
          <w:szCs w:val="16"/>
        </w:rPr>
        <w:softHyphen/>
        <w:t>ствия проверенных методов расчета..., но к максималь</w:t>
      </w:r>
      <w:r w:rsidRPr="00A259BD">
        <w:rPr>
          <w:rFonts w:ascii="Times New Roman" w:hAnsi="Times New Roman"/>
          <w:color w:val="000000" w:themeColor="text1"/>
          <w:sz w:val="16"/>
          <w:szCs w:val="16"/>
        </w:rPr>
        <w:softHyphen/>
        <w:t>но возможному приближению в этом отношении к рекомендуемым НТК образцам И4 и НД37 все меры за</w:t>
      </w:r>
      <w:r w:rsidRPr="00A259BD">
        <w:rPr>
          <w:rFonts w:ascii="Times New Roman" w:hAnsi="Times New Roman"/>
          <w:color w:val="000000" w:themeColor="text1"/>
          <w:sz w:val="16"/>
          <w:szCs w:val="16"/>
        </w:rPr>
        <w:softHyphen/>
        <w:t>водом будут приняты”. На письме стоит подпись директора завода № 25 Гор</w:t>
      </w:r>
      <w:r w:rsidRPr="00A259BD">
        <w:rPr>
          <w:rFonts w:ascii="Times New Roman" w:hAnsi="Times New Roman"/>
          <w:color w:val="000000" w:themeColor="text1"/>
          <w:sz w:val="16"/>
          <w:szCs w:val="16"/>
        </w:rPr>
        <w:softHyphen/>
        <w:t>шкова и напечатана фамилия Поликарпова, но вместо него подписано оно исполняющим обязанности по</w:t>
      </w:r>
      <w:r w:rsidRPr="00A259BD">
        <w:rPr>
          <w:rFonts w:ascii="Times New Roman" w:hAnsi="Times New Roman"/>
          <w:color w:val="000000" w:themeColor="text1"/>
          <w:sz w:val="16"/>
          <w:szCs w:val="16"/>
        </w:rPr>
        <w:softHyphen/>
        <w:t xml:space="preserve">мощника директора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С.А.Кочеригиным</w:t>
      </w:r>
      <w:proofErr w:type="spellEnd"/>
      <w:r w:rsidRPr="00A259BD">
        <w:rPr>
          <w:rFonts w:ascii="Times New Roman" w:hAnsi="Times New Roman"/>
          <w:color w:val="000000" w:themeColor="text1"/>
          <w:sz w:val="16"/>
          <w:szCs w:val="16"/>
        </w:rPr>
        <w:t>. По-видимому, еще жила надежда на скорый выход Николая Николаевича из тюрьмы (10667).</w:t>
      </w:r>
    </w:p>
    <w:p w14:paraId="3B4E5CB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48A7EF" w14:textId="77777777" w:rsidR="00454A21" w:rsidRPr="00A259BD" w:rsidRDefault="00454A2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октября 1929 г. Протокол ПБ № 105 п.15: О Кертисе (Каменев, Куйбышев, Баранов, Урываев, Гуревич; ПБ от 15-10-1929, протокол № 102, п.21) – ОП. Приняты решения: а) Считать возможным начать переговоры с фирмой Кертис на базе предложений комиссии Политбюро. б) Вопрос о постройке завода не связывать с вопросом об организации восточной линии, рассматривая эти вопросы, как два самостоятельных вопроса. в) По вопросу об организации восточной линии переговоров не вести; в случае постановки этого вопроса Кертисом – запросить Москву. г) Для ведения переговоров командировать Баранова. д) По вопросу о мощности завода исходить из необходимости выпуска одного многомоторного самолета в сутки при одной смене (размеры завода Форда). е) Считать допустимым закупку у фирмы Кертис готовых самолетов и моторов в пределах 4 миллионов долларов в течение двух лет при условии 5-летнего кредита. ж) Поручить </w:t>
      </w:r>
      <w:proofErr w:type="spellStart"/>
      <w:r w:rsidRPr="00A259BD">
        <w:rPr>
          <w:rFonts w:ascii="Times New Roman" w:hAnsi="Times New Roman"/>
          <w:color w:val="000000" w:themeColor="text1"/>
          <w:sz w:val="16"/>
          <w:szCs w:val="16"/>
        </w:rPr>
        <w:t>Главконцесскому</w:t>
      </w:r>
      <w:proofErr w:type="spellEnd"/>
      <w:r w:rsidRPr="00A259BD">
        <w:rPr>
          <w:rFonts w:ascii="Times New Roman" w:hAnsi="Times New Roman"/>
          <w:color w:val="000000" w:themeColor="text1"/>
          <w:sz w:val="16"/>
          <w:szCs w:val="16"/>
        </w:rPr>
        <w:t xml:space="preserve"> телеграфно сообщить Кертису, что председатель Совета гражданской авиации Баранов выезжает в Америку и ему поручено также и ведение переговоров с Кертис (15888).</w:t>
      </w:r>
    </w:p>
    <w:p w14:paraId="265F5D88" w14:textId="77777777" w:rsidR="00454A21" w:rsidRPr="00A259BD" w:rsidRDefault="00454A21" w:rsidP="009236E3">
      <w:pPr>
        <w:spacing w:after="0" w:line="240" w:lineRule="auto"/>
        <w:jc w:val="both"/>
        <w:rPr>
          <w:rFonts w:ascii="Times New Roman" w:hAnsi="Times New Roman"/>
          <w:color w:val="000000" w:themeColor="text1"/>
          <w:sz w:val="16"/>
          <w:szCs w:val="16"/>
        </w:rPr>
      </w:pPr>
    </w:p>
    <w:p w14:paraId="00CF64DF"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октября 1929 состоялось заседание ПБ (Протокол № 105. Особый № 103)</w:t>
      </w:r>
    </w:p>
    <w:p w14:paraId="2F5D764F"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15.-О Кертисе.</w:t>
      </w:r>
    </w:p>
    <w:p w14:paraId="2F90907D"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(ПБ от 10.Х.29 г., пр. № 102, п. 41) .</w:t>
      </w:r>
    </w:p>
    <w:p w14:paraId="5803DDF1"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Каменев, Куйбышев, Баранов, Урываев, Гуревич).</w:t>
      </w:r>
    </w:p>
    <w:p w14:paraId="27665688"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Считать Возможным начать переговоры с фирмой Кер</w:t>
      </w:r>
      <w:r w:rsidRPr="00A259BD">
        <w:rPr>
          <w:rFonts w:ascii="Times New Roman" w:hAnsi="Times New Roman"/>
          <w:color w:val="000000" w:themeColor="text1"/>
          <w:sz w:val="16"/>
          <w:szCs w:val="16"/>
        </w:rPr>
        <w:softHyphen/>
        <w:t>тис на базе, изложенной в предложениях комиссии политбюро.</w:t>
      </w:r>
    </w:p>
    <w:p w14:paraId="1C1277D3"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Вопрос о постройке завода не связывать с вопросом об организации восточной линии, рассматривая их</w:t>
      </w:r>
    </w:p>
    <w:p w14:paraId="0B8B9A05"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как два самостоятельных вопроса.</w:t>
      </w:r>
    </w:p>
    <w:p w14:paraId="05A0666C"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 вопросу об организации восточной линии перего</w:t>
      </w:r>
      <w:r w:rsidRPr="00A259BD">
        <w:rPr>
          <w:rFonts w:ascii="Times New Roman" w:hAnsi="Times New Roman"/>
          <w:color w:val="000000" w:themeColor="text1"/>
          <w:sz w:val="16"/>
          <w:szCs w:val="16"/>
        </w:rPr>
        <w:softHyphen/>
        <w:t>воров не вести. В случае постановки этого вопроса Кертисом - запросить Москву.</w:t>
      </w:r>
    </w:p>
    <w:p w14:paraId="7585DDFA"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Для ведения переговоров командировать т. Баранова</w:t>
      </w:r>
    </w:p>
    <w:p w14:paraId="2BA1A81F"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По вопросу о мощности завода исходить из необходимости выпуска одного многомоторного самолета в сутки при од</w:t>
      </w:r>
      <w:r w:rsidRPr="00A259BD">
        <w:rPr>
          <w:rFonts w:ascii="Times New Roman" w:hAnsi="Times New Roman"/>
          <w:color w:val="000000" w:themeColor="text1"/>
          <w:sz w:val="16"/>
          <w:szCs w:val="16"/>
        </w:rPr>
        <w:softHyphen/>
        <w:t>ной смене (размеры завода Горда).</w:t>
      </w:r>
    </w:p>
    <w:p w14:paraId="73BB811B"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Считать допустимым закупку у фирмы Кертис готовых самолетов и моторов в пределах до 4 миллионов долларов в те</w:t>
      </w:r>
      <w:r w:rsidRPr="00A259BD">
        <w:rPr>
          <w:rFonts w:ascii="Times New Roman" w:hAnsi="Times New Roman"/>
          <w:color w:val="000000" w:themeColor="text1"/>
          <w:sz w:val="16"/>
          <w:szCs w:val="16"/>
        </w:rPr>
        <w:softHyphen/>
        <w:t>чение двух лет при условии 5-тилетнего кредита.</w:t>
      </w:r>
    </w:p>
    <w:p w14:paraId="7B54CC76"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ж) Поручить </w:t>
      </w:r>
      <w:proofErr w:type="spellStart"/>
      <w:r w:rsidRPr="00A259BD">
        <w:rPr>
          <w:rFonts w:ascii="Times New Roman" w:hAnsi="Times New Roman"/>
          <w:color w:val="000000" w:themeColor="text1"/>
          <w:sz w:val="16"/>
          <w:szCs w:val="16"/>
        </w:rPr>
        <w:t>Главконцесскому</w:t>
      </w:r>
      <w:proofErr w:type="spellEnd"/>
      <w:r w:rsidRPr="00A259BD">
        <w:rPr>
          <w:rFonts w:ascii="Times New Roman" w:hAnsi="Times New Roman"/>
          <w:color w:val="000000" w:themeColor="text1"/>
          <w:sz w:val="16"/>
          <w:szCs w:val="16"/>
        </w:rPr>
        <w:t xml:space="preserve"> телеграфно сообщить Керти</w:t>
      </w:r>
      <w:r w:rsidRPr="00A259BD">
        <w:rPr>
          <w:rFonts w:ascii="Times New Roman" w:hAnsi="Times New Roman"/>
          <w:color w:val="000000" w:themeColor="text1"/>
          <w:sz w:val="16"/>
          <w:szCs w:val="16"/>
        </w:rPr>
        <w:softHyphen/>
        <w:t>су, что председатель Совета гражданской авиации т. Баранов выезжает в Америку и ему поручено также и ведение перегово</w:t>
      </w:r>
      <w:r w:rsidRPr="00A259BD">
        <w:rPr>
          <w:rFonts w:ascii="Times New Roman" w:hAnsi="Times New Roman"/>
          <w:color w:val="000000" w:themeColor="text1"/>
          <w:sz w:val="16"/>
          <w:szCs w:val="16"/>
        </w:rPr>
        <w:softHyphen/>
        <w:t>ров с Кертис.</w:t>
      </w:r>
    </w:p>
    <w:p w14:paraId="7F34BB2E"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послана: т. Каменеву; т. Баранову; т. Урываеву; т. Куйбышеву.</w:t>
      </w:r>
    </w:p>
    <w:p w14:paraId="24FDDEB4"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октября 1929 опросом членов ПБ</w:t>
      </w:r>
    </w:p>
    <w:p w14:paraId="3A557722"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О вредительской организации в военной промышленности.</w:t>
      </w:r>
    </w:p>
    <w:p w14:paraId="7BC821B9" w14:textId="6D693913"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 Ягода).</w:t>
      </w:r>
    </w:p>
    <w:p w14:paraId="47C2B642"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Согласиться с предложением ОГПУ о расстреле Михайлова и др. и принять проект сообщения для печати (</w:t>
      </w:r>
      <w:proofErr w:type="spellStart"/>
      <w:r w:rsidRPr="00A259BD">
        <w:rPr>
          <w:rFonts w:ascii="Times New Roman" w:hAnsi="Times New Roman"/>
          <w:color w:val="000000" w:themeColor="text1"/>
          <w:sz w:val="16"/>
          <w:szCs w:val="16"/>
        </w:rPr>
        <w:t>см.приложение</w:t>
      </w:r>
      <w:proofErr w:type="spellEnd"/>
      <w:r w:rsidRPr="00A259BD">
        <w:rPr>
          <w:rFonts w:ascii="Times New Roman" w:hAnsi="Times New Roman"/>
          <w:color w:val="000000" w:themeColor="text1"/>
          <w:sz w:val="16"/>
          <w:szCs w:val="16"/>
        </w:rPr>
        <w:t xml:space="preserve"> № 3).</w:t>
      </w:r>
    </w:p>
    <w:p w14:paraId="13D6EC27"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 3</w:t>
      </w:r>
    </w:p>
    <w:p w14:paraId="372E5668"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п. 22 (о .п.) пр. ПБ № 105.</w:t>
      </w:r>
    </w:p>
    <w:p w14:paraId="07B59D24"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СООБЩЕНИЕ ДЛЯ ПЕЧАТИ.</w:t>
      </w:r>
    </w:p>
    <w:p w14:paraId="5D5A1AE2"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(Принято ПБ ЦК ВКП(б) 21.X.29 г.).</w:t>
      </w:r>
    </w:p>
    <w:p w14:paraId="64C641C4"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Органами ОГПУ раскрыта и ликвидирована </w:t>
      </w:r>
      <w:proofErr w:type="spellStart"/>
      <w:r w:rsidRPr="00A259BD">
        <w:rPr>
          <w:rFonts w:ascii="Times New Roman" w:hAnsi="Times New Roman"/>
          <w:color w:val="000000" w:themeColor="text1"/>
          <w:sz w:val="16"/>
          <w:szCs w:val="16"/>
        </w:rPr>
        <w:t>контр-револю</w:t>
      </w:r>
      <w:r w:rsidRPr="00A259BD">
        <w:rPr>
          <w:rFonts w:ascii="Times New Roman" w:hAnsi="Times New Roman"/>
          <w:color w:val="000000" w:themeColor="text1"/>
          <w:sz w:val="16"/>
          <w:szCs w:val="16"/>
        </w:rPr>
        <w:softHyphen/>
        <w:t>ционная</w:t>
      </w:r>
      <w:proofErr w:type="spellEnd"/>
      <w:r w:rsidRPr="00A259BD">
        <w:rPr>
          <w:rFonts w:ascii="Times New Roman" w:hAnsi="Times New Roman"/>
          <w:color w:val="000000" w:themeColor="text1"/>
          <w:sz w:val="16"/>
          <w:szCs w:val="16"/>
        </w:rPr>
        <w:t xml:space="preserve"> вредительская и шпионская организация в военной промышленности СССР. Организация ставила перед собой задачи - путем вредительства и шпионажа ослабление обороноспособности и содействие иностранным интервентам.</w:t>
      </w:r>
    </w:p>
    <w:p w14:paraId="24D5EB19"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Личный состав ее состоял в подавляющем большинстве из бывших высших чинов царской армии - бывш. генералов и полковников. В связи с этим, Коллегией ОГПУ </w:t>
      </w:r>
      <w:proofErr w:type="spellStart"/>
      <w:r w:rsidRPr="00A259BD">
        <w:rPr>
          <w:rFonts w:ascii="Times New Roman" w:hAnsi="Times New Roman"/>
          <w:color w:val="000000" w:themeColor="text1"/>
          <w:sz w:val="16"/>
          <w:szCs w:val="16"/>
        </w:rPr>
        <w:t>приговорепн</w:t>
      </w:r>
      <w:proofErr w:type="spellEnd"/>
      <w:r w:rsidRPr="00A259BD">
        <w:rPr>
          <w:rFonts w:ascii="Times New Roman" w:hAnsi="Times New Roman"/>
          <w:color w:val="000000" w:themeColor="text1"/>
          <w:sz w:val="16"/>
          <w:szCs w:val="16"/>
        </w:rPr>
        <w:t xml:space="preserve"> к расстрелу: Михайлов В.С. - бывш. генерал, дворянин; </w:t>
      </w:r>
      <w:proofErr w:type="spellStart"/>
      <w:r w:rsidRPr="00A259BD">
        <w:rPr>
          <w:rFonts w:ascii="Times New Roman" w:hAnsi="Times New Roman"/>
          <w:color w:val="000000" w:themeColor="text1"/>
          <w:sz w:val="16"/>
          <w:szCs w:val="16"/>
        </w:rPr>
        <w:t>Высочанский</w:t>
      </w:r>
      <w:proofErr w:type="spellEnd"/>
      <w:r w:rsidRPr="00A259BD">
        <w:rPr>
          <w:rFonts w:ascii="Times New Roman" w:hAnsi="Times New Roman"/>
          <w:color w:val="000000" w:themeColor="text1"/>
          <w:sz w:val="16"/>
          <w:szCs w:val="16"/>
        </w:rPr>
        <w:t xml:space="preserve"> Н.Г. - бывш. генерал, дворянин; </w:t>
      </w:r>
      <w:proofErr w:type="spellStart"/>
      <w:r w:rsidRPr="00A259BD">
        <w:rPr>
          <w:rFonts w:ascii="Times New Roman" w:hAnsi="Times New Roman"/>
          <w:color w:val="000000" w:themeColor="text1"/>
          <w:sz w:val="16"/>
          <w:szCs w:val="16"/>
        </w:rPr>
        <w:t>Дымман</w:t>
      </w:r>
      <w:proofErr w:type="spellEnd"/>
      <w:r w:rsidRPr="00A259BD">
        <w:rPr>
          <w:rFonts w:ascii="Times New Roman" w:hAnsi="Times New Roman"/>
          <w:color w:val="000000" w:themeColor="text1"/>
          <w:sz w:val="16"/>
          <w:szCs w:val="16"/>
        </w:rPr>
        <w:t xml:space="preserve"> В. Л.-бывш. генерал, дворянин; </w:t>
      </w:r>
      <w:proofErr w:type="spellStart"/>
      <w:r w:rsidRPr="00A259BD">
        <w:rPr>
          <w:rFonts w:ascii="Times New Roman" w:hAnsi="Times New Roman"/>
          <w:color w:val="000000" w:themeColor="text1"/>
          <w:sz w:val="16"/>
          <w:szCs w:val="16"/>
        </w:rPr>
        <w:t>Деханов</w:t>
      </w:r>
      <w:proofErr w:type="spellEnd"/>
      <w:r w:rsidRPr="00A259BD">
        <w:rPr>
          <w:rFonts w:ascii="Times New Roman" w:hAnsi="Times New Roman"/>
          <w:color w:val="000000" w:themeColor="text1"/>
          <w:sz w:val="16"/>
          <w:szCs w:val="16"/>
        </w:rPr>
        <w:t xml:space="preserve"> В.И. - бывш. генерал, дворянин; Шульга И.В. - бывш. генерал-порученец при бывш. великом кня</w:t>
      </w:r>
      <w:r w:rsidRPr="00A259BD">
        <w:rPr>
          <w:rFonts w:ascii="Times New Roman" w:hAnsi="Times New Roman"/>
          <w:color w:val="000000" w:themeColor="text1"/>
          <w:sz w:val="16"/>
          <w:szCs w:val="16"/>
        </w:rPr>
        <w:softHyphen/>
        <w:t>зе Сергее Михайловиче.</w:t>
      </w:r>
    </w:p>
    <w:p w14:paraId="3DA8F154"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Приговор приведен в исполнение.</w:t>
      </w:r>
    </w:p>
    <w:p w14:paraId="153EF5CA"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 остальные обвиняемые по указанному делу пригово</w:t>
      </w:r>
      <w:r w:rsidRPr="00A259BD">
        <w:rPr>
          <w:rFonts w:ascii="Times New Roman" w:hAnsi="Times New Roman"/>
          <w:color w:val="000000" w:themeColor="text1"/>
          <w:sz w:val="16"/>
          <w:szCs w:val="16"/>
        </w:rPr>
        <w:softHyphen/>
        <w:t>рены на разные сроки заключения в концентрационные лагеря.</w:t>
      </w:r>
    </w:p>
    <w:p w14:paraId="2B680ACB"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послана: т. Ягоде (23086).</w:t>
      </w:r>
    </w:p>
    <w:p w14:paraId="3F3CA1E6"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Поручить комиссии в составе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Каменева, Баранова, Урываева и Гуревича вести переговоры с фирмой Кертиса об организации смешанного общества для постройки самолете и моторо-строительного завода и </w:t>
      </w:r>
      <w:proofErr w:type="spellStart"/>
      <w:r w:rsidRPr="00A259BD">
        <w:rPr>
          <w:rFonts w:ascii="Times New Roman" w:hAnsi="Times New Roman"/>
          <w:color w:val="000000" w:themeColor="text1"/>
          <w:sz w:val="16"/>
          <w:szCs w:val="16"/>
        </w:rPr>
        <w:t>эксплоатации</w:t>
      </w:r>
      <w:proofErr w:type="spellEnd"/>
      <w:r w:rsidRPr="00A259BD">
        <w:rPr>
          <w:rFonts w:ascii="Times New Roman" w:hAnsi="Times New Roman"/>
          <w:color w:val="000000" w:themeColor="text1"/>
          <w:sz w:val="16"/>
          <w:szCs w:val="16"/>
        </w:rPr>
        <w:t xml:space="preserve"> воздушной ли</w:t>
      </w:r>
      <w:r w:rsidRPr="00A259BD">
        <w:rPr>
          <w:rFonts w:ascii="Times New Roman" w:hAnsi="Times New Roman"/>
          <w:color w:val="000000" w:themeColor="text1"/>
          <w:sz w:val="16"/>
          <w:szCs w:val="16"/>
        </w:rPr>
        <w:softHyphen/>
        <w:t>нии.</w:t>
      </w:r>
    </w:p>
    <w:p w14:paraId="141BCABA"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Предложить комиссии внести свои предложения на утверждение Политбюро.</w:t>
      </w:r>
    </w:p>
    <w:p w14:paraId="093CF0B4" w14:textId="77777777" w:rsidR="009C4A19" w:rsidRPr="00A259BD" w:rsidRDefault="009C4A1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Выписки посланы: т. Каменеву; т. Баранову; т .Урываеву; т. Гуревичу; т. Куйбышеву (23085).</w:t>
      </w:r>
    </w:p>
    <w:p w14:paraId="01EAE689" w14:textId="77777777" w:rsidR="009C4A19" w:rsidRPr="00A259BD" w:rsidRDefault="009C4A19" w:rsidP="009236E3">
      <w:pPr>
        <w:spacing w:after="0" w:line="240" w:lineRule="auto"/>
        <w:jc w:val="both"/>
        <w:rPr>
          <w:rFonts w:ascii="Times New Roman" w:hAnsi="Times New Roman"/>
          <w:color w:val="000000" w:themeColor="text1"/>
          <w:sz w:val="16"/>
          <w:szCs w:val="16"/>
        </w:rPr>
      </w:pPr>
    </w:p>
    <w:p w14:paraId="3393FE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октября 1929 Н.Н.П. по обвинению во вредительстве был арестован (80,416).</w:t>
      </w:r>
    </w:p>
    <w:p w14:paraId="4FA4BF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E619D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октября 1929 ЦАГИ направил в НТК УВВС письмом N 616с Ориентировочный план работ ЦАГИ, связанных с опытным строительством на пятилетку (351). Потом был отменен письмом, направленным 18 ноября 1929.</w:t>
      </w:r>
    </w:p>
    <w:p w14:paraId="01D8FA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ОРИЕНТИРОВОЧНЫЙ ПЛАН работ ЦАГИ, связанных с опытным строительством на послед...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701"/>
        <w:gridCol w:w="1134"/>
        <w:gridCol w:w="992"/>
        <w:gridCol w:w="850"/>
        <w:gridCol w:w="851"/>
        <w:gridCol w:w="1134"/>
        <w:gridCol w:w="1696"/>
      </w:tblGrid>
      <w:tr w:rsidR="00A259BD" w:rsidRPr="00A259BD" w14:paraId="3AF0E1F4" w14:textId="77777777">
        <w:tc>
          <w:tcPr>
            <w:tcW w:w="2235" w:type="dxa"/>
          </w:tcPr>
          <w:p w14:paraId="7C048C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Наименования объектов постройки</w:t>
            </w:r>
          </w:p>
        </w:tc>
        <w:tc>
          <w:tcPr>
            <w:tcW w:w="1701" w:type="dxa"/>
          </w:tcPr>
          <w:p w14:paraId="559156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39FAE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Общая</w:t>
            </w:r>
          </w:p>
        </w:tc>
        <w:tc>
          <w:tcPr>
            <w:tcW w:w="992" w:type="dxa"/>
          </w:tcPr>
          <w:p w14:paraId="5FF0AD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F345C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1929/30</w:t>
            </w:r>
          </w:p>
        </w:tc>
        <w:tc>
          <w:tcPr>
            <w:tcW w:w="851" w:type="dxa"/>
          </w:tcPr>
          <w:p w14:paraId="06DDCB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5DAEA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1930/1931</w:t>
            </w:r>
          </w:p>
        </w:tc>
        <w:tc>
          <w:tcPr>
            <w:tcW w:w="1696" w:type="dxa"/>
          </w:tcPr>
          <w:p w14:paraId="3A71CD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97887C0" w14:textId="77777777">
        <w:tc>
          <w:tcPr>
            <w:tcW w:w="2235" w:type="dxa"/>
          </w:tcPr>
          <w:p w14:paraId="461915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B4C2B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41C04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стоимость</w:t>
            </w:r>
          </w:p>
        </w:tc>
        <w:tc>
          <w:tcPr>
            <w:tcW w:w="992" w:type="dxa"/>
          </w:tcPr>
          <w:p w14:paraId="01DB57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6B1E9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5FCD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06704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7B2159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3AA1CC6" w14:textId="77777777">
        <w:tc>
          <w:tcPr>
            <w:tcW w:w="2235" w:type="dxa"/>
          </w:tcPr>
          <w:p w14:paraId="2FFC99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8A551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93450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7115B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FE1E2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B43B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8681E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7D60BF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9BD0C8C" w14:textId="77777777">
        <w:tc>
          <w:tcPr>
            <w:tcW w:w="2235" w:type="dxa"/>
          </w:tcPr>
          <w:p w14:paraId="301E85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DF6B0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BDF86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руб.</w:t>
            </w:r>
          </w:p>
        </w:tc>
        <w:tc>
          <w:tcPr>
            <w:tcW w:w="992" w:type="dxa"/>
          </w:tcPr>
          <w:p w14:paraId="6926C4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валюта</w:t>
            </w:r>
          </w:p>
        </w:tc>
        <w:tc>
          <w:tcPr>
            <w:tcW w:w="850" w:type="dxa"/>
          </w:tcPr>
          <w:p w14:paraId="0F5957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руб.</w:t>
            </w:r>
          </w:p>
        </w:tc>
        <w:tc>
          <w:tcPr>
            <w:tcW w:w="851" w:type="dxa"/>
          </w:tcPr>
          <w:p w14:paraId="718B01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валюта</w:t>
            </w:r>
          </w:p>
        </w:tc>
        <w:tc>
          <w:tcPr>
            <w:tcW w:w="1134" w:type="dxa"/>
          </w:tcPr>
          <w:p w14:paraId="7CC899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руб.</w:t>
            </w:r>
          </w:p>
        </w:tc>
        <w:tc>
          <w:tcPr>
            <w:tcW w:w="1696" w:type="dxa"/>
          </w:tcPr>
          <w:p w14:paraId="36B005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валюта</w:t>
            </w:r>
          </w:p>
        </w:tc>
      </w:tr>
      <w:tr w:rsidR="00A259BD" w:rsidRPr="00A259BD" w14:paraId="4A64D66D" w14:textId="77777777">
        <w:tc>
          <w:tcPr>
            <w:tcW w:w="2235" w:type="dxa"/>
          </w:tcPr>
          <w:p w14:paraId="049723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Самолетостроение</w:t>
            </w:r>
          </w:p>
        </w:tc>
        <w:tc>
          <w:tcPr>
            <w:tcW w:w="1701" w:type="dxa"/>
          </w:tcPr>
          <w:p w14:paraId="352BCC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C4212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DC152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C82D0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7710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FC1C7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581576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571B138" w14:textId="77777777">
        <w:tc>
          <w:tcPr>
            <w:tcW w:w="2235" w:type="dxa"/>
          </w:tcPr>
          <w:p w14:paraId="1982E1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Опытное строительство</w:t>
            </w:r>
          </w:p>
        </w:tc>
        <w:tc>
          <w:tcPr>
            <w:tcW w:w="1701" w:type="dxa"/>
          </w:tcPr>
          <w:p w14:paraId="4D0448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860D3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5A7FD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8B63E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8D29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C6EFE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592EDA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2801723" w14:textId="77777777">
        <w:tc>
          <w:tcPr>
            <w:tcW w:w="2235" w:type="dxa"/>
          </w:tcPr>
          <w:p w14:paraId="25A89D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Эксперимент. </w:t>
            </w:r>
            <w:proofErr w:type="spellStart"/>
            <w:r w:rsidRPr="00A259BD">
              <w:rPr>
                <w:rFonts w:ascii="Times New Roman" w:hAnsi="Times New Roman"/>
                <w:color w:val="000000" w:themeColor="text1"/>
                <w:sz w:val="16"/>
                <w:szCs w:val="16"/>
              </w:rPr>
              <w:t>морск</w:t>
            </w:r>
            <w:proofErr w:type="spellEnd"/>
            <w:r w:rsidRPr="00A259BD">
              <w:rPr>
                <w:rFonts w:ascii="Times New Roman" w:hAnsi="Times New Roman"/>
                <w:color w:val="000000" w:themeColor="text1"/>
                <w:sz w:val="16"/>
                <w:szCs w:val="16"/>
              </w:rPr>
              <w:t>. лодка</w:t>
            </w:r>
          </w:p>
        </w:tc>
        <w:tc>
          <w:tcPr>
            <w:tcW w:w="1701" w:type="dxa"/>
          </w:tcPr>
          <w:p w14:paraId="50B93B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D35FC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400000</w:t>
            </w:r>
          </w:p>
        </w:tc>
        <w:tc>
          <w:tcPr>
            <w:tcW w:w="992" w:type="dxa"/>
          </w:tcPr>
          <w:p w14:paraId="4B25C7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36ACC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41DB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090A2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47C7AE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3FAC411" w14:textId="77777777">
        <w:tc>
          <w:tcPr>
            <w:tcW w:w="2235" w:type="dxa"/>
          </w:tcPr>
          <w:p w14:paraId="17047C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23090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вычетом аванса</w:t>
            </w:r>
          </w:p>
        </w:tc>
        <w:tc>
          <w:tcPr>
            <w:tcW w:w="1134" w:type="dxa"/>
          </w:tcPr>
          <w:p w14:paraId="3C2394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w:t>
            </w:r>
          </w:p>
        </w:tc>
        <w:tc>
          <w:tcPr>
            <w:tcW w:w="992" w:type="dxa"/>
          </w:tcPr>
          <w:p w14:paraId="3BF2A6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w:t>
            </w:r>
          </w:p>
        </w:tc>
        <w:tc>
          <w:tcPr>
            <w:tcW w:w="850" w:type="dxa"/>
          </w:tcPr>
          <w:p w14:paraId="66DB6A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200000</w:t>
            </w:r>
          </w:p>
        </w:tc>
        <w:tc>
          <w:tcPr>
            <w:tcW w:w="851" w:type="dxa"/>
          </w:tcPr>
          <w:p w14:paraId="0A971A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w:t>
            </w:r>
          </w:p>
        </w:tc>
        <w:tc>
          <w:tcPr>
            <w:tcW w:w="1134" w:type="dxa"/>
          </w:tcPr>
          <w:p w14:paraId="61CF43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w:t>
            </w:r>
          </w:p>
        </w:tc>
        <w:tc>
          <w:tcPr>
            <w:tcW w:w="1696" w:type="dxa"/>
          </w:tcPr>
          <w:p w14:paraId="676EE2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E9B6D03" w14:textId="77777777">
        <w:tc>
          <w:tcPr>
            <w:tcW w:w="2235" w:type="dxa"/>
          </w:tcPr>
          <w:p w14:paraId="664083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3EEE4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0ECD71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60000</w:t>
            </w:r>
          </w:p>
        </w:tc>
        <w:tc>
          <w:tcPr>
            <w:tcW w:w="992" w:type="dxa"/>
          </w:tcPr>
          <w:p w14:paraId="7A8B2F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8A761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5B3E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F76E3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60000</w:t>
            </w:r>
          </w:p>
        </w:tc>
        <w:tc>
          <w:tcPr>
            <w:tcW w:w="1696" w:type="dxa"/>
          </w:tcPr>
          <w:p w14:paraId="4EF7AC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B04F49B" w14:textId="77777777">
        <w:tc>
          <w:tcPr>
            <w:tcW w:w="2235" w:type="dxa"/>
          </w:tcPr>
          <w:p w14:paraId="7BB1B2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Р7-БМВ6</w:t>
            </w:r>
          </w:p>
        </w:tc>
        <w:tc>
          <w:tcPr>
            <w:tcW w:w="1701" w:type="dxa"/>
          </w:tcPr>
          <w:p w14:paraId="6B2085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испытан.</w:t>
            </w:r>
          </w:p>
        </w:tc>
        <w:tc>
          <w:tcPr>
            <w:tcW w:w="1134" w:type="dxa"/>
          </w:tcPr>
          <w:p w14:paraId="59B1DD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992" w:type="dxa"/>
          </w:tcPr>
          <w:p w14:paraId="17921E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BA40B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851" w:type="dxa"/>
          </w:tcPr>
          <w:p w14:paraId="3F50E0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CC671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0407D1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FCFDA00" w14:textId="77777777">
        <w:tc>
          <w:tcPr>
            <w:tcW w:w="2235" w:type="dxa"/>
          </w:tcPr>
          <w:p w14:paraId="4828AE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BC32B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97312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992" w:type="dxa"/>
          </w:tcPr>
          <w:p w14:paraId="7E990A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w:t>
            </w:r>
          </w:p>
        </w:tc>
        <w:tc>
          <w:tcPr>
            <w:tcW w:w="850" w:type="dxa"/>
          </w:tcPr>
          <w:p w14:paraId="503FEF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w:t>
            </w:r>
          </w:p>
        </w:tc>
        <w:tc>
          <w:tcPr>
            <w:tcW w:w="851" w:type="dxa"/>
          </w:tcPr>
          <w:p w14:paraId="3FC96A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CF630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w:t>
            </w:r>
          </w:p>
        </w:tc>
        <w:tc>
          <w:tcPr>
            <w:tcW w:w="1696" w:type="dxa"/>
          </w:tcPr>
          <w:p w14:paraId="7BAA50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w:t>
            </w:r>
          </w:p>
        </w:tc>
      </w:tr>
      <w:tr w:rsidR="00A259BD" w:rsidRPr="00A259BD" w14:paraId="58376735" w14:textId="77777777">
        <w:tc>
          <w:tcPr>
            <w:tcW w:w="2235" w:type="dxa"/>
          </w:tcPr>
          <w:p w14:paraId="73EB02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И4-Юп7</w:t>
            </w:r>
          </w:p>
        </w:tc>
        <w:tc>
          <w:tcPr>
            <w:tcW w:w="1701" w:type="dxa"/>
          </w:tcPr>
          <w:p w14:paraId="19D918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3885F0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w:t>
            </w:r>
          </w:p>
        </w:tc>
        <w:tc>
          <w:tcPr>
            <w:tcW w:w="992" w:type="dxa"/>
          </w:tcPr>
          <w:p w14:paraId="057996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48459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w:t>
            </w:r>
          </w:p>
        </w:tc>
        <w:tc>
          <w:tcPr>
            <w:tcW w:w="851" w:type="dxa"/>
          </w:tcPr>
          <w:p w14:paraId="047312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DA07C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20D2F6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AB557D6" w14:textId="77777777">
        <w:tc>
          <w:tcPr>
            <w:tcW w:w="2235" w:type="dxa"/>
          </w:tcPr>
          <w:p w14:paraId="607F45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Р6-2М30</w:t>
            </w:r>
          </w:p>
        </w:tc>
        <w:tc>
          <w:tcPr>
            <w:tcW w:w="1701" w:type="dxa"/>
          </w:tcPr>
          <w:p w14:paraId="0D984D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26F089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110000</w:t>
            </w:r>
          </w:p>
        </w:tc>
        <w:tc>
          <w:tcPr>
            <w:tcW w:w="992" w:type="dxa"/>
          </w:tcPr>
          <w:p w14:paraId="74D043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w:t>
            </w:r>
          </w:p>
        </w:tc>
        <w:tc>
          <w:tcPr>
            <w:tcW w:w="850" w:type="dxa"/>
          </w:tcPr>
          <w:p w14:paraId="74BF96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110000</w:t>
            </w:r>
          </w:p>
        </w:tc>
        <w:tc>
          <w:tcPr>
            <w:tcW w:w="851" w:type="dxa"/>
          </w:tcPr>
          <w:p w14:paraId="750E3D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w:t>
            </w:r>
          </w:p>
        </w:tc>
        <w:tc>
          <w:tcPr>
            <w:tcW w:w="1134" w:type="dxa"/>
          </w:tcPr>
          <w:p w14:paraId="3E48B0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05A15E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081D903" w14:textId="77777777">
        <w:tc>
          <w:tcPr>
            <w:tcW w:w="2235" w:type="dxa"/>
          </w:tcPr>
          <w:p w14:paraId="39F775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Р6-2М34</w:t>
            </w:r>
          </w:p>
        </w:tc>
        <w:tc>
          <w:tcPr>
            <w:tcW w:w="1701" w:type="dxa"/>
          </w:tcPr>
          <w:p w14:paraId="6574B0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48A465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120000</w:t>
            </w:r>
          </w:p>
        </w:tc>
        <w:tc>
          <w:tcPr>
            <w:tcW w:w="992" w:type="dxa"/>
          </w:tcPr>
          <w:p w14:paraId="65C8B7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w:t>
            </w:r>
          </w:p>
        </w:tc>
        <w:tc>
          <w:tcPr>
            <w:tcW w:w="850" w:type="dxa"/>
          </w:tcPr>
          <w:p w14:paraId="60345D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F0F3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DC29A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0DAE3D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9DF8816" w14:textId="77777777">
        <w:tc>
          <w:tcPr>
            <w:tcW w:w="2235" w:type="dxa"/>
          </w:tcPr>
          <w:p w14:paraId="406F31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4D9BD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304B01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40000</w:t>
            </w:r>
          </w:p>
        </w:tc>
        <w:tc>
          <w:tcPr>
            <w:tcW w:w="992" w:type="dxa"/>
          </w:tcPr>
          <w:p w14:paraId="488390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A48F5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02D1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32899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1696" w:type="dxa"/>
          </w:tcPr>
          <w:p w14:paraId="779428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01DCFE7" w14:textId="77777777">
        <w:tc>
          <w:tcPr>
            <w:tcW w:w="2235" w:type="dxa"/>
          </w:tcPr>
          <w:p w14:paraId="5F7467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Р8-М33</w:t>
            </w:r>
          </w:p>
        </w:tc>
        <w:tc>
          <w:tcPr>
            <w:tcW w:w="1701" w:type="dxa"/>
          </w:tcPr>
          <w:p w14:paraId="0FA6B8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0A0BBA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220000</w:t>
            </w:r>
          </w:p>
        </w:tc>
        <w:tc>
          <w:tcPr>
            <w:tcW w:w="992" w:type="dxa"/>
          </w:tcPr>
          <w:p w14:paraId="7EFFC0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850" w:type="dxa"/>
          </w:tcPr>
          <w:p w14:paraId="347AB2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12D3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74A82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507268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D01039B" w14:textId="77777777">
        <w:tc>
          <w:tcPr>
            <w:tcW w:w="2235" w:type="dxa"/>
          </w:tcPr>
          <w:p w14:paraId="22BDBF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47181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7192AA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w:t>
            </w:r>
          </w:p>
        </w:tc>
        <w:tc>
          <w:tcPr>
            <w:tcW w:w="992" w:type="dxa"/>
          </w:tcPr>
          <w:p w14:paraId="22A6DA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60C54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0EB0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89280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475BEF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7214601" w14:textId="77777777">
        <w:tc>
          <w:tcPr>
            <w:tcW w:w="2235" w:type="dxa"/>
          </w:tcPr>
          <w:p w14:paraId="1AF42A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ШЛ-400/600 НР</w:t>
            </w:r>
          </w:p>
        </w:tc>
        <w:tc>
          <w:tcPr>
            <w:tcW w:w="1701" w:type="dxa"/>
          </w:tcPr>
          <w:p w14:paraId="241F82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67EC3E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220000</w:t>
            </w:r>
          </w:p>
        </w:tc>
        <w:tc>
          <w:tcPr>
            <w:tcW w:w="992" w:type="dxa"/>
          </w:tcPr>
          <w:p w14:paraId="6D14D2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850" w:type="dxa"/>
          </w:tcPr>
          <w:p w14:paraId="52E54C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B906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239DE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31196A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B0D1845" w14:textId="77777777">
        <w:tc>
          <w:tcPr>
            <w:tcW w:w="2235" w:type="dxa"/>
          </w:tcPr>
          <w:p w14:paraId="128770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И3-Юп8</w:t>
            </w:r>
          </w:p>
        </w:tc>
        <w:tc>
          <w:tcPr>
            <w:tcW w:w="1701" w:type="dxa"/>
          </w:tcPr>
          <w:p w14:paraId="70FA6E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смешанная</w:t>
            </w:r>
          </w:p>
        </w:tc>
        <w:tc>
          <w:tcPr>
            <w:tcW w:w="1134" w:type="dxa"/>
          </w:tcPr>
          <w:p w14:paraId="52661E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140000</w:t>
            </w:r>
          </w:p>
        </w:tc>
        <w:tc>
          <w:tcPr>
            <w:tcW w:w="992" w:type="dxa"/>
          </w:tcPr>
          <w:p w14:paraId="329D59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w:t>
            </w:r>
          </w:p>
        </w:tc>
        <w:tc>
          <w:tcPr>
            <w:tcW w:w="850" w:type="dxa"/>
          </w:tcPr>
          <w:p w14:paraId="597DB6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BE9E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9E070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140000</w:t>
            </w:r>
          </w:p>
        </w:tc>
        <w:tc>
          <w:tcPr>
            <w:tcW w:w="1696" w:type="dxa"/>
          </w:tcPr>
          <w:p w14:paraId="52553C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A5F1230" w14:textId="77777777">
        <w:tc>
          <w:tcPr>
            <w:tcW w:w="2235" w:type="dxa"/>
          </w:tcPr>
          <w:p w14:paraId="3068E0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268AD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44C9E3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992" w:type="dxa"/>
          </w:tcPr>
          <w:p w14:paraId="103A10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E8C86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131C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845B4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1696" w:type="dxa"/>
          </w:tcPr>
          <w:p w14:paraId="35312B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C1C703F" w14:textId="77777777">
        <w:tc>
          <w:tcPr>
            <w:tcW w:w="2235" w:type="dxa"/>
          </w:tcPr>
          <w:p w14:paraId="6C498D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И8-Юп7</w:t>
            </w:r>
          </w:p>
        </w:tc>
        <w:tc>
          <w:tcPr>
            <w:tcW w:w="1701" w:type="dxa"/>
          </w:tcPr>
          <w:p w14:paraId="5CD403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моноплан</w:t>
            </w:r>
          </w:p>
        </w:tc>
        <w:tc>
          <w:tcPr>
            <w:tcW w:w="1134" w:type="dxa"/>
          </w:tcPr>
          <w:p w14:paraId="4C8E39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w:t>
            </w:r>
          </w:p>
        </w:tc>
        <w:tc>
          <w:tcPr>
            <w:tcW w:w="992" w:type="dxa"/>
          </w:tcPr>
          <w:p w14:paraId="074179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w:t>
            </w:r>
          </w:p>
        </w:tc>
        <w:tc>
          <w:tcPr>
            <w:tcW w:w="850" w:type="dxa"/>
          </w:tcPr>
          <w:p w14:paraId="75E9DF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1DBC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7C9D4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w:t>
            </w:r>
          </w:p>
        </w:tc>
        <w:tc>
          <w:tcPr>
            <w:tcW w:w="1696" w:type="dxa"/>
          </w:tcPr>
          <w:p w14:paraId="34E0B8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0044108" w14:textId="77777777">
        <w:tc>
          <w:tcPr>
            <w:tcW w:w="2235" w:type="dxa"/>
          </w:tcPr>
          <w:p w14:paraId="5A0AFA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22D64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5267D5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992" w:type="dxa"/>
          </w:tcPr>
          <w:p w14:paraId="747D3F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40BB2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D3AA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64BC3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1696" w:type="dxa"/>
          </w:tcPr>
          <w:p w14:paraId="2396EC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18E6DE9" w14:textId="77777777">
        <w:tc>
          <w:tcPr>
            <w:tcW w:w="2235" w:type="dxa"/>
          </w:tcPr>
          <w:p w14:paraId="6E3FC9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И11-М32</w:t>
            </w:r>
          </w:p>
        </w:tc>
        <w:tc>
          <w:tcPr>
            <w:tcW w:w="1701" w:type="dxa"/>
          </w:tcPr>
          <w:p w14:paraId="20171F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322C70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w:t>
            </w:r>
          </w:p>
        </w:tc>
        <w:tc>
          <w:tcPr>
            <w:tcW w:w="992" w:type="dxa"/>
          </w:tcPr>
          <w:p w14:paraId="6DF2A3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w:t>
            </w:r>
          </w:p>
        </w:tc>
        <w:tc>
          <w:tcPr>
            <w:tcW w:w="850" w:type="dxa"/>
          </w:tcPr>
          <w:p w14:paraId="106DCD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794B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B4606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58842B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20FA300" w14:textId="77777777">
        <w:tc>
          <w:tcPr>
            <w:tcW w:w="2235" w:type="dxa"/>
          </w:tcPr>
          <w:p w14:paraId="301B80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A2532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701FE7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25000</w:t>
            </w:r>
          </w:p>
        </w:tc>
        <w:tc>
          <w:tcPr>
            <w:tcW w:w="992" w:type="dxa"/>
          </w:tcPr>
          <w:p w14:paraId="130E2E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213EC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6526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08585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2D6836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6D740DC" w14:textId="77777777">
        <w:tc>
          <w:tcPr>
            <w:tcW w:w="2235" w:type="dxa"/>
          </w:tcPr>
          <w:p w14:paraId="7CECF1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И12-М37</w:t>
            </w:r>
          </w:p>
        </w:tc>
        <w:tc>
          <w:tcPr>
            <w:tcW w:w="1701" w:type="dxa"/>
          </w:tcPr>
          <w:p w14:paraId="28F490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4948C6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w:t>
            </w:r>
          </w:p>
        </w:tc>
        <w:tc>
          <w:tcPr>
            <w:tcW w:w="992" w:type="dxa"/>
          </w:tcPr>
          <w:p w14:paraId="07FDB2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w:t>
            </w:r>
          </w:p>
        </w:tc>
        <w:tc>
          <w:tcPr>
            <w:tcW w:w="850" w:type="dxa"/>
          </w:tcPr>
          <w:p w14:paraId="2AB10C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274B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F91CB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0729BA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E36EDD7" w14:textId="77777777">
        <w:tc>
          <w:tcPr>
            <w:tcW w:w="2235" w:type="dxa"/>
          </w:tcPr>
          <w:p w14:paraId="6AE017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1FF0D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20A3F7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25000</w:t>
            </w:r>
          </w:p>
        </w:tc>
        <w:tc>
          <w:tcPr>
            <w:tcW w:w="992" w:type="dxa"/>
          </w:tcPr>
          <w:p w14:paraId="4D4F2C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172D2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0916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0A3D8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68A8C9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F7F8BB2" w14:textId="77777777">
        <w:tc>
          <w:tcPr>
            <w:tcW w:w="2235" w:type="dxa"/>
          </w:tcPr>
          <w:p w14:paraId="0C4F28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ТБ4-4М39</w:t>
            </w:r>
          </w:p>
        </w:tc>
        <w:tc>
          <w:tcPr>
            <w:tcW w:w="1701" w:type="dxa"/>
          </w:tcPr>
          <w:p w14:paraId="53CABC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39F74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700000</w:t>
            </w:r>
          </w:p>
        </w:tc>
        <w:tc>
          <w:tcPr>
            <w:tcW w:w="992" w:type="dxa"/>
          </w:tcPr>
          <w:p w14:paraId="374D2B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50000</w:t>
            </w:r>
          </w:p>
        </w:tc>
        <w:tc>
          <w:tcPr>
            <w:tcW w:w="850" w:type="dxa"/>
          </w:tcPr>
          <w:p w14:paraId="26804A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B149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65694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720000</w:t>
            </w:r>
          </w:p>
        </w:tc>
        <w:tc>
          <w:tcPr>
            <w:tcW w:w="1696" w:type="dxa"/>
          </w:tcPr>
          <w:p w14:paraId="428ABC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F1B6347" w14:textId="77777777">
        <w:tc>
          <w:tcPr>
            <w:tcW w:w="2235" w:type="dxa"/>
          </w:tcPr>
          <w:p w14:paraId="3B1F08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08A72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4A6600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w:t>
            </w:r>
          </w:p>
        </w:tc>
        <w:tc>
          <w:tcPr>
            <w:tcW w:w="992" w:type="dxa"/>
          </w:tcPr>
          <w:p w14:paraId="462366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71CFD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2E32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D4367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w:t>
            </w:r>
          </w:p>
        </w:tc>
        <w:tc>
          <w:tcPr>
            <w:tcW w:w="1696" w:type="dxa"/>
          </w:tcPr>
          <w:p w14:paraId="3DE2C1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29D05F9" w14:textId="77777777">
        <w:tc>
          <w:tcPr>
            <w:tcW w:w="2235" w:type="dxa"/>
          </w:tcPr>
          <w:p w14:paraId="18BC5D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ТБ5-4М35</w:t>
            </w:r>
          </w:p>
        </w:tc>
        <w:tc>
          <w:tcPr>
            <w:tcW w:w="1701" w:type="dxa"/>
          </w:tcPr>
          <w:p w14:paraId="0D6683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0E191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1350000</w:t>
            </w:r>
          </w:p>
        </w:tc>
        <w:tc>
          <w:tcPr>
            <w:tcW w:w="992" w:type="dxa"/>
          </w:tcPr>
          <w:p w14:paraId="589484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60000</w:t>
            </w:r>
          </w:p>
        </w:tc>
        <w:tc>
          <w:tcPr>
            <w:tcW w:w="850" w:type="dxa"/>
          </w:tcPr>
          <w:p w14:paraId="54BC1D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C130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16F1C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5EB6B7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325AB2B" w14:textId="77777777">
        <w:tc>
          <w:tcPr>
            <w:tcW w:w="2235" w:type="dxa"/>
          </w:tcPr>
          <w:p w14:paraId="7CFADA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EA7DC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48BF72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w:t>
            </w:r>
          </w:p>
        </w:tc>
        <w:tc>
          <w:tcPr>
            <w:tcW w:w="992" w:type="dxa"/>
          </w:tcPr>
          <w:p w14:paraId="73AB8C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729ED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8CFD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1D46F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0DC67F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58851B8" w14:textId="77777777">
        <w:tc>
          <w:tcPr>
            <w:tcW w:w="2235" w:type="dxa"/>
          </w:tcPr>
          <w:p w14:paraId="272459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ТБОМ</w:t>
            </w:r>
          </w:p>
        </w:tc>
        <w:tc>
          <w:tcPr>
            <w:tcW w:w="1701" w:type="dxa"/>
          </w:tcPr>
          <w:p w14:paraId="3896DF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EFF6D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1000000</w:t>
            </w:r>
          </w:p>
        </w:tc>
        <w:tc>
          <w:tcPr>
            <w:tcW w:w="992" w:type="dxa"/>
          </w:tcPr>
          <w:p w14:paraId="7823F2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60000</w:t>
            </w:r>
          </w:p>
        </w:tc>
        <w:tc>
          <w:tcPr>
            <w:tcW w:w="850" w:type="dxa"/>
          </w:tcPr>
          <w:p w14:paraId="1629EF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C727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0338B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250000</w:t>
            </w:r>
          </w:p>
        </w:tc>
        <w:tc>
          <w:tcPr>
            <w:tcW w:w="1696" w:type="dxa"/>
          </w:tcPr>
          <w:p w14:paraId="4475C8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DF602D9" w14:textId="77777777">
        <w:tc>
          <w:tcPr>
            <w:tcW w:w="2235" w:type="dxa"/>
          </w:tcPr>
          <w:p w14:paraId="09B3E6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5900A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w:t>
            </w:r>
          </w:p>
        </w:tc>
        <w:tc>
          <w:tcPr>
            <w:tcW w:w="1134" w:type="dxa"/>
          </w:tcPr>
          <w:p w14:paraId="11FD34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w:t>
            </w:r>
          </w:p>
        </w:tc>
        <w:tc>
          <w:tcPr>
            <w:tcW w:w="992" w:type="dxa"/>
          </w:tcPr>
          <w:p w14:paraId="39C09F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DB667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9B39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30756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2B9CEB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DB4F713" w14:textId="77777777">
        <w:tc>
          <w:tcPr>
            <w:tcW w:w="2235" w:type="dxa"/>
          </w:tcPr>
          <w:p w14:paraId="21D803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w:t>
            </w:r>
            <w:proofErr w:type="spellStart"/>
            <w:r w:rsidRPr="00A259BD">
              <w:rPr>
                <w:rFonts w:ascii="Times New Roman" w:hAnsi="Times New Roman"/>
                <w:color w:val="000000" w:themeColor="text1"/>
                <w:sz w:val="16"/>
                <w:szCs w:val="16"/>
              </w:rPr>
              <w:t>Внепл</w:t>
            </w:r>
            <w:proofErr w:type="spellEnd"/>
            <w:r w:rsidRPr="00A259BD">
              <w:rPr>
                <w:rFonts w:ascii="Times New Roman" w:hAnsi="Times New Roman"/>
                <w:color w:val="000000" w:themeColor="text1"/>
                <w:sz w:val="16"/>
                <w:szCs w:val="16"/>
              </w:rPr>
              <w:t>. раб.</w:t>
            </w:r>
          </w:p>
        </w:tc>
        <w:tc>
          <w:tcPr>
            <w:tcW w:w="1701" w:type="dxa"/>
          </w:tcPr>
          <w:p w14:paraId="771834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693EA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1200000</w:t>
            </w:r>
          </w:p>
        </w:tc>
        <w:tc>
          <w:tcPr>
            <w:tcW w:w="992" w:type="dxa"/>
          </w:tcPr>
          <w:p w14:paraId="2390FE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C86A6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w:t>
            </w:r>
          </w:p>
        </w:tc>
        <w:tc>
          <w:tcPr>
            <w:tcW w:w="851" w:type="dxa"/>
          </w:tcPr>
          <w:p w14:paraId="24ADBE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85F40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w:t>
            </w:r>
          </w:p>
        </w:tc>
        <w:tc>
          <w:tcPr>
            <w:tcW w:w="1696" w:type="dxa"/>
          </w:tcPr>
          <w:p w14:paraId="392EA6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056B06F" w14:textId="77777777">
        <w:tc>
          <w:tcPr>
            <w:tcW w:w="2235" w:type="dxa"/>
          </w:tcPr>
          <w:p w14:paraId="327777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Контрактация студентов</w:t>
            </w:r>
          </w:p>
        </w:tc>
        <w:tc>
          <w:tcPr>
            <w:tcW w:w="1701" w:type="dxa"/>
          </w:tcPr>
          <w:p w14:paraId="2C3272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6692C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162000</w:t>
            </w:r>
          </w:p>
        </w:tc>
        <w:tc>
          <w:tcPr>
            <w:tcW w:w="992" w:type="dxa"/>
          </w:tcPr>
          <w:p w14:paraId="2BE5DA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C0A8E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36000</w:t>
            </w:r>
          </w:p>
        </w:tc>
        <w:tc>
          <w:tcPr>
            <w:tcW w:w="851" w:type="dxa"/>
          </w:tcPr>
          <w:p w14:paraId="2BFC52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9FB74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45000</w:t>
            </w:r>
          </w:p>
        </w:tc>
        <w:tc>
          <w:tcPr>
            <w:tcW w:w="1696" w:type="dxa"/>
          </w:tcPr>
          <w:p w14:paraId="0E9F4C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68BB5C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(351).</w:t>
      </w:r>
    </w:p>
    <w:p w14:paraId="76E133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A0EE28" w14:textId="77777777" w:rsidR="00127373" w:rsidRPr="00441F34" w:rsidRDefault="00127373" w:rsidP="0012737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25 октября 1929 г. ЦАГИ письмом №616с направил в НТК УВВС «Ориентировочный план работ ЦАГИ, связанных с опытным строительством на пятилетку», в разделе «А» которого («Самолетостроение. Опытное строительство») пунктом 8 предложена разработка модификации самолета И-3 под 9-цилиндровый звездообразный двигатель воздушного охлаждения Бристоль «Юпитер» </w:t>
      </w:r>
      <w:proofErr w:type="spellStart"/>
      <w:r w:rsidRPr="00441F34">
        <w:rPr>
          <w:rFonts w:ascii="Times New Roman" w:hAnsi="Times New Roman"/>
          <w:color w:val="0070C0"/>
          <w:sz w:val="16"/>
          <w:szCs w:val="16"/>
        </w:rPr>
        <w:t>Mk.VIII</w:t>
      </w:r>
      <w:proofErr w:type="spellEnd"/>
      <w:r w:rsidRPr="00441F34">
        <w:rPr>
          <w:rFonts w:ascii="Times New Roman" w:hAnsi="Times New Roman"/>
          <w:color w:val="0070C0"/>
          <w:sz w:val="16"/>
          <w:szCs w:val="16"/>
        </w:rPr>
        <w:t xml:space="preserve"> – модификация без наддува, взлетная мощность 430 или 440 л.с., длительная 475 или 485 л.с. на 1219 м. Предлагалось на 1929…1930 г. выделить 140000 руб. на постройку самолета, 15000 руб. в валюте на закупку двигателей и 20000 руб. на испытания.</w:t>
      </w:r>
    </w:p>
    <w:p w14:paraId="09DD25B0" w14:textId="77777777" w:rsidR="00127373" w:rsidRPr="00441F34" w:rsidRDefault="00127373" w:rsidP="0012737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Письмом от 18 ноября 1929 г. ЦАГИ свое предложение отменил (24887).</w:t>
      </w:r>
    </w:p>
    <w:p w14:paraId="03FB8A69" w14:textId="77777777" w:rsidR="00127373" w:rsidRPr="00441F34" w:rsidRDefault="00127373" w:rsidP="00127373">
      <w:pPr>
        <w:spacing w:after="0" w:line="240" w:lineRule="auto"/>
        <w:jc w:val="both"/>
        <w:rPr>
          <w:rFonts w:ascii="Times New Roman" w:hAnsi="Times New Roman"/>
          <w:color w:val="0070C0"/>
          <w:sz w:val="16"/>
          <w:szCs w:val="16"/>
        </w:rPr>
      </w:pPr>
    </w:p>
    <w:p w14:paraId="38844660" w14:textId="77777777" w:rsidR="00466152"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58C9EBA" w14:textId="77777777" w:rsidR="00466152" w:rsidRPr="00A259BD" w:rsidRDefault="0046615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EB214D8" w14:textId="77777777" w:rsidR="00466152" w:rsidRPr="00A259BD" w:rsidRDefault="00466152"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25 октября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Протокол заседания Политбюро ЦК ВКП(б) № 105. Опросом членов ПБ от 21 октября 1929 г. 22. О вредительской организации в военной промышленности (Ягода). — ОП. Постановили: согласиться с предложением ОГПУ о расстреле Михайлова и др. и принять проект сообщения для печати. (Политбюро... Т. 1. С. 736; РГАСПИ. Ф. 17. Оп. 162. Д. 7. Л. 188) (12416).</w:t>
      </w:r>
    </w:p>
    <w:p w14:paraId="50D6830D" w14:textId="77777777" w:rsidR="00466152" w:rsidRPr="00A259BD" w:rsidRDefault="00466152" w:rsidP="009236E3">
      <w:pPr>
        <w:spacing w:after="0" w:line="240" w:lineRule="auto"/>
        <w:jc w:val="both"/>
        <w:rPr>
          <w:rFonts w:ascii="Times New Roman" w:hAnsi="Times New Roman"/>
          <w:color w:val="000000" w:themeColor="text1"/>
          <w:sz w:val="16"/>
          <w:szCs w:val="16"/>
          <w:u w:color="002060"/>
        </w:rPr>
      </w:pPr>
    </w:p>
    <w:p w14:paraId="506E68BB" w14:textId="77777777" w:rsidR="00454A21" w:rsidRPr="00A259BD" w:rsidRDefault="00454A21" w:rsidP="009236E3">
      <w:pPr>
        <w:pStyle w:val="rtejustify"/>
        <w:spacing w:before="0" w:after="0"/>
        <w:rPr>
          <w:color w:val="000000" w:themeColor="text1"/>
          <w:sz w:val="16"/>
          <w:szCs w:val="16"/>
        </w:rPr>
      </w:pPr>
      <w:r w:rsidRPr="00A259BD">
        <w:rPr>
          <w:bCs/>
          <w:color w:val="000000" w:themeColor="text1"/>
          <w:sz w:val="16"/>
          <w:szCs w:val="16"/>
        </w:rPr>
        <w:t>25 октября 1929 г. — Сообщение Политбюро ЦК ВКП(б) для печати «О вредительской организации в военной промышленности»</w:t>
      </w:r>
    </w:p>
    <w:p w14:paraId="36B4B410"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rPr>
        <w:t>Органами ОГПУ раскрыта и ликвидирована контрреволюционная вредительская и шпионская организация в военной промышленности СССР. Организация ставила перед собой задачи — путем вредительства и шпионажа ослабление обороноспособности страны и содействие иностранным интервентам.</w:t>
      </w:r>
    </w:p>
    <w:p w14:paraId="4D6C9364"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rPr>
        <w:t xml:space="preserve">Личный состав ее состоял в подавляющем большинстве из бывших высших чинов царской армии — быв. генералов и полковников. В связи с этим коллегией ОГПУ приговорены к расстрелу: Михайлов В. С. — быв. генерал, дворянин; </w:t>
      </w:r>
      <w:proofErr w:type="spellStart"/>
      <w:r w:rsidRPr="00A259BD">
        <w:rPr>
          <w:color w:val="000000" w:themeColor="text1"/>
          <w:sz w:val="16"/>
          <w:szCs w:val="16"/>
        </w:rPr>
        <w:t>Высочанский</w:t>
      </w:r>
      <w:proofErr w:type="spellEnd"/>
      <w:r w:rsidRPr="00A259BD">
        <w:rPr>
          <w:color w:val="000000" w:themeColor="text1"/>
          <w:sz w:val="16"/>
          <w:szCs w:val="16"/>
        </w:rPr>
        <w:t xml:space="preserve"> Н. Г. — быв. генерал, дворянин; </w:t>
      </w:r>
      <w:proofErr w:type="spellStart"/>
      <w:r w:rsidRPr="00A259BD">
        <w:rPr>
          <w:color w:val="000000" w:themeColor="text1"/>
          <w:sz w:val="16"/>
          <w:szCs w:val="16"/>
        </w:rPr>
        <w:t>Дымман</w:t>
      </w:r>
      <w:proofErr w:type="spellEnd"/>
      <w:r w:rsidRPr="00A259BD">
        <w:rPr>
          <w:color w:val="000000" w:themeColor="text1"/>
          <w:sz w:val="16"/>
          <w:szCs w:val="16"/>
        </w:rPr>
        <w:t xml:space="preserve"> В. Л. — быв. генерал, дворянин; </w:t>
      </w:r>
      <w:proofErr w:type="spellStart"/>
      <w:r w:rsidRPr="00A259BD">
        <w:rPr>
          <w:color w:val="000000" w:themeColor="text1"/>
          <w:sz w:val="16"/>
          <w:szCs w:val="16"/>
        </w:rPr>
        <w:t>Деханов</w:t>
      </w:r>
      <w:proofErr w:type="spellEnd"/>
      <w:r w:rsidRPr="00A259BD">
        <w:rPr>
          <w:color w:val="000000" w:themeColor="text1"/>
          <w:sz w:val="16"/>
          <w:szCs w:val="16"/>
        </w:rPr>
        <w:t> В. Н. — быв. генерал, дворянин; Шульга Н. В. — быв. генерал-порученец при быв. великом князе Сергее Михайловиче.</w:t>
      </w:r>
    </w:p>
    <w:p w14:paraId="595F4B67"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rPr>
        <w:t>Приговор приведен в исполнение.</w:t>
      </w:r>
    </w:p>
    <w:p w14:paraId="37DC93B9"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rPr>
        <w:t>Все остальные обвиняемые по указанному делу приговорены на разные сроки заключения в концентрационные лагеря.</w:t>
      </w:r>
    </w:p>
    <w:p w14:paraId="241BE9DD" w14:textId="77777777" w:rsidR="00466152" w:rsidRPr="00A259BD" w:rsidRDefault="00466152" w:rsidP="009236E3">
      <w:pPr>
        <w:pStyle w:val="rtejustify"/>
        <w:spacing w:before="0" w:after="0"/>
        <w:rPr>
          <w:color w:val="000000" w:themeColor="text1"/>
          <w:sz w:val="16"/>
          <w:szCs w:val="16"/>
        </w:rPr>
      </w:pPr>
      <w:r w:rsidRPr="00A259BD">
        <w:rPr>
          <w:rStyle w:val="af0"/>
          <w:i w:val="0"/>
          <w:color w:val="000000" w:themeColor="text1"/>
          <w:sz w:val="16"/>
          <w:szCs w:val="16"/>
        </w:rPr>
        <w:t>Примечание:</w:t>
      </w:r>
    </w:p>
    <w:p w14:paraId="5DE78BF7" w14:textId="77777777" w:rsidR="00466152" w:rsidRPr="00A259BD" w:rsidRDefault="00466152"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Дата утверждения Политбюро ЦК ВКП(б). Принято опросом членов Политбюро ЦК ВКП(б) от 21 октября 1929 г.</w:t>
      </w:r>
    </w:p>
    <w:p w14:paraId="16F163EA" w14:textId="77777777" w:rsidR="00466152" w:rsidRPr="00A259BD" w:rsidRDefault="00466152" w:rsidP="009236E3">
      <w:pPr>
        <w:pStyle w:val="ae"/>
        <w:spacing w:before="0" w:after="0"/>
        <w:jc w:val="both"/>
        <w:rPr>
          <w:color w:val="000000" w:themeColor="text1"/>
          <w:sz w:val="16"/>
          <w:szCs w:val="16"/>
        </w:rPr>
      </w:pPr>
      <w:r w:rsidRPr="00A259BD">
        <w:rPr>
          <w:color w:val="000000" w:themeColor="text1"/>
          <w:sz w:val="16"/>
          <w:szCs w:val="16"/>
        </w:rPr>
        <w:t>РГАСПИ. Ф. 17. Оп. 162. Д. 7. Л. 192. Копия.</w:t>
      </w:r>
    </w:p>
    <w:p w14:paraId="4592D209"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РГАСПИ. Ф. 17. Оп. 162. Д. 7. Л. 192. Копия. </w:t>
      </w:r>
    </w:p>
    <w:p w14:paraId="2C908ECB"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377 (12473).</w:t>
      </w:r>
    </w:p>
    <w:p w14:paraId="40C2CE53" w14:textId="77777777" w:rsidR="00466152" w:rsidRPr="00A259BD" w:rsidRDefault="00466152" w:rsidP="009236E3">
      <w:pPr>
        <w:spacing w:after="0" w:line="240" w:lineRule="auto"/>
        <w:jc w:val="both"/>
        <w:rPr>
          <w:rFonts w:ascii="Times New Roman" w:hAnsi="Times New Roman"/>
          <w:color w:val="000000" w:themeColor="text1"/>
          <w:sz w:val="16"/>
          <w:szCs w:val="16"/>
        </w:rPr>
      </w:pPr>
    </w:p>
    <w:p w14:paraId="0C72120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0F2B7D0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6741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октября 1929 была черная пятница на Нью-Йоркской фондовой бирже (3186).</w:t>
      </w:r>
    </w:p>
    <w:p w14:paraId="1E4E05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243246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октября 1929 в США произошел биржевой крах (“черная пятница”), начало всемирного кризиса 1929-1933 гг. (4962).</w:t>
      </w:r>
    </w:p>
    <w:p w14:paraId="54D97E8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D8EB5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AC88B8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A9E3C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октября 1929 состоялось совещание по вопросу об опытном строительстве самолетов и моторов для ГА. Были </w:t>
      </w:r>
      <w:proofErr w:type="spellStart"/>
      <w:r w:rsidRPr="00A259BD">
        <w:rPr>
          <w:rFonts w:ascii="Times New Roman" w:hAnsi="Times New Roman"/>
          <w:color w:val="000000" w:themeColor="text1"/>
          <w:sz w:val="16"/>
          <w:szCs w:val="16"/>
        </w:rPr>
        <w:t>Я.И.Алкснис</w:t>
      </w:r>
      <w:proofErr w:type="spellEnd"/>
      <w:r w:rsidRPr="00A259BD">
        <w:rPr>
          <w:rFonts w:ascii="Times New Roman" w:hAnsi="Times New Roman"/>
          <w:color w:val="000000" w:themeColor="text1"/>
          <w:sz w:val="16"/>
          <w:szCs w:val="16"/>
        </w:rPr>
        <w:t xml:space="preserve"> и С.В.И., а также А.Н.Т. Слушали доклад </w:t>
      </w:r>
      <w:proofErr w:type="spellStart"/>
      <w:r w:rsidRPr="00A259BD">
        <w:rPr>
          <w:rFonts w:ascii="Times New Roman" w:hAnsi="Times New Roman"/>
          <w:color w:val="000000" w:themeColor="text1"/>
          <w:sz w:val="16"/>
          <w:szCs w:val="16"/>
        </w:rPr>
        <w:t>В.А.Зарзара</w:t>
      </w:r>
      <w:proofErr w:type="spellEnd"/>
      <w:r w:rsidRPr="00A259BD">
        <w:rPr>
          <w:rFonts w:ascii="Times New Roman" w:hAnsi="Times New Roman"/>
          <w:color w:val="000000" w:themeColor="text1"/>
          <w:sz w:val="16"/>
          <w:szCs w:val="16"/>
        </w:rPr>
        <w:t>. Решили делать аэрофотосъемочный металлический на основе Р-6, усовершенствовать АНТ-2 и переделать его в 4-х местный с мотором от АНТ-9, конструировать трехмоторный пассажирский для морских сообщений (351). В ЦАГИ получено 31 октября 1929 и N 1084 (351).</w:t>
      </w:r>
    </w:p>
    <w:p w14:paraId="638E33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ИЗ ПРОТОКОЛА</w:t>
      </w:r>
    </w:p>
    <w:p w14:paraId="6151D8D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СОВЕЩАНИЙ ПО ВОПРОСУ ОБ ОПЫТНОМ СТРОИТЕЛЬСТВЕ САМОЛЕТОВ И МОТОРОВ ДЛЯ ГРАЖДАНСКОЙ АВИАЦИИ</w:t>
      </w:r>
    </w:p>
    <w:p w14:paraId="1BF9D8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26 октября 1929 года</w:t>
      </w:r>
    </w:p>
    <w:p w14:paraId="5AE239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Аэрофотосъемочный двухмоторный металлический самолет.</w:t>
      </w:r>
    </w:p>
    <w:p w14:paraId="33D4EC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Призвать машину необходимой, выявить возможность приспособле</w:t>
      </w:r>
      <w:r w:rsidRPr="00A259BD">
        <w:rPr>
          <w:rFonts w:ascii="Times New Roman" w:hAnsi="Times New Roman"/>
          <w:color w:val="000000" w:themeColor="text1"/>
          <w:sz w:val="16"/>
          <w:szCs w:val="16"/>
        </w:rPr>
        <w:softHyphen/>
        <w:t>ния самолета “Р-6” с условием возможности удовлетворения всех хо</w:t>
      </w:r>
      <w:r w:rsidRPr="00A259BD">
        <w:rPr>
          <w:rFonts w:ascii="Times New Roman" w:hAnsi="Times New Roman"/>
          <w:color w:val="000000" w:themeColor="text1"/>
          <w:sz w:val="16"/>
          <w:szCs w:val="16"/>
        </w:rPr>
        <w:softHyphen/>
        <w:t>зяйственных требований, предъявляемых к аэросъемочному самолету. Произвести эти работы в текущем году, в случав невозможности при</w:t>
      </w:r>
      <w:r w:rsidRPr="00A259BD">
        <w:rPr>
          <w:rFonts w:ascii="Times New Roman" w:hAnsi="Times New Roman"/>
          <w:color w:val="000000" w:themeColor="text1"/>
          <w:sz w:val="16"/>
          <w:szCs w:val="16"/>
        </w:rPr>
        <w:softHyphen/>
        <w:t xml:space="preserve">способления самолета “Р-6” </w:t>
      </w:r>
      <w:proofErr w:type="spellStart"/>
      <w:r w:rsidRPr="00A259BD">
        <w:rPr>
          <w:rFonts w:ascii="Times New Roman" w:hAnsi="Times New Roman"/>
          <w:color w:val="000000" w:themeColor="text1"/>
          <w:sz w:val="16"/>
          <w:szCs w:val="16"/>
        </w:rPr>
        <w:t>отлоиить</w:t>
      </w:r>
      <w:proofErr w:type="spellEnd"/>
      <w:r w:rsidRPr="00A259BD">
        <w:rPr>
          <w:rFonts w:ascii="Times New Roman" w:hAnsi="Times New Roman"/>
          <w:color w:val="000000" w:themeColor="text1"/>
          <w:sz w:val="16"/>
          <w:szCs w:val="16"/>
        </w:rPr>
        <w:t xml:space="preserve"> конструирование на следующий год.</w:t>
      </w:r>
    </w:p>
    <w:p w14:paraId="0A7BF57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задание ЦАГИ.</w:t>
      </w:r>
    </w:p>
    <w:p w14:paraId="508495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Конструирование одномоторного металлического самолета.</w:t>
      </w:r>
    </w:p>
    <w:p w14:paraId="096CC1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Внести в план текущего хозяйственного года. Принять следующие условия:</w:t>
      </w:r>
    </w:p>
    <w:p w14:paraId="2C56119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самолет должен явиться усовершенствованием самолета “АНТ-2" на 4 пассажира;</w:t>
      </w:r>
    </w:p>
    <w:p w14:paraId="7CEE24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сконструировать под тот та мотор, который будет установлен на «АНТ-9",</w:t>
      </w:r>
    </w:p>
    <w:p w14:paraId="56F6522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задание ЦАГИ</w:t>
      </w:r>
    </w:p>
    <w:p w14:paraId="42B9EB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Трехмоторный пассажирский самолет для морских сообщений лодочного типа.</w:t>
      </w:r>
    </w:p>
    <w:p w14:paraId="7199A3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Ввести в план конструирование этой машины в текущем году.</w:t>
      </w:r>
    </w:p>
    <w:p w14:paraId="2E178EC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задания ЦАГИ</w:t>
      </w:r>
    </w:p>
    <w:p w14:paraId="58CE7197" w14:textId="77777777" w:rsidR="00F547C5" w:rsidRPr="00A259BD" w:rsidRDefault="00F547C5" w:rsidP="009236E3">
      <w:pPr>
        <w:autoSpaceDE w:val="0"/>
        <w:autoSpaceDN w:val="0"/>
        <w:adjustRightInd w:val="0"/>
        <w:spacing w:after="0" w:line="240" w:lineRule="auto"/>
        <w:jc w:val="both"/>
        <w:rPr>
          <w:rFonts w:ascii="Times New Roman" w:hAnsi="Times New Roman"/>
          <w:smallCaps/>
          <w:color w:val="000000" w:themeColor="text1"/>
          <w:sz w:val="16"/>
          <w:szCs w:val="16"/>
        </w:rPr>
      </w:pPr>
      <w:proofErr w:type="spellStart"/>
      <w:r w:rsidRPr="00A259BD">
        <w:rPr>
          <w:rFonts w:ascii="Times New Roman" w:hAnsi="Times New Roman"/>
          <w:color w:val="000000" w:themeColor="text1"/>
          <w:sz w:val="16"/>
          <w:szCs w:val="16"/>
        </w:rPr>
        <w:t>П.п</w:t>
      </w:r>
      <w:proofErr w:type="spellEnd"/>
      <w:r w:rsidRPr="00A259BD">
        <w:rPr>
          <w:rFonts w:ascii="Times New Roman" w:hAnsi="Times New Roman"/>
          <w:color w:val="000000" w:themeColor="text1"/>
          <w:sz w:val="16"/>
          <w:szCs w:val="16"/>
        </w:rPr>
        <w:t xml:space="preserve">. ПРЕДСЕДАТЕЛЬ: (подпись) (Я.И. </w:t>
      </w:r>
      <w:proofErr w:type="spellStart"/>
      <w:r w:rsidRPr="00A259BD">
        <w:rPr>
          <w:rFonts w:ascii="Times New Roman" w:hAnsi="Times New Roman"/>
          <w:smallCaps/>
          <w:color w:val="000000" w:themeColor="text1"/>
          <w:sz w:val="16"/>
          <w:szCs w:val="16"/>
        </w:rPr>
        <w:t>алкснис</w:t>
      </w:r>
      <w:proofErr w:type="spellEnd"/>
      <w:r w:rsidRPr="00A259BD">
        <w:rPr>
          <w:rFonts w:ascii="Times New Roman" w:hAnsi="Times New Roman"/>
          <w:smallCaps/>
          <w:color w:val="000000" w:themeColor="text1"/>
          <w:sz w:val="16"/>
          <w:szCs w:val="16"/>
        </w:rPr>
        <w:t>)</w:t>
      </w:r>
    </w:p>
    <w:p w14:paraId="02E898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П.п</w:t>
      </w:r>
      <w:proofErr w:type="spellEnd"/>
      <w:r w:rsidRPr="00A259BD">
        <w:rPr>
          <w:rFonts w:ascii="Times New Roman" w:hAnsi="Times New Roman"/>
          <w:color w:val="000000" w:themeColor="text1"/>
          <w:sz w:val="16"/>
          <w:szCs w:val="16"/>
        </w:rPr>
        <w:t>. СЕКРЕТАРЬ: (подпись) (</w:t>
      </w:r>
      <w:proofErr w:type="spellStart"/>
      <w:r w:rsidRPr="00A259BD">
        <w:rPr>
          <w:rFonts w:ascii="Times New Roman" w:hAnsi="Times New Roman"/>
          <w:color w:val="000000" w:themeColor="text1"/>
          <w:sz w:val="16"/>
          <w:szCs w:val="16"/>
        </w:rPr>
        <w:t>Г.И.Силин</w:t>
      </w:r>
      <w:proofErr w:type="spellEnd"/>
      <w:r w:rsidRPr="00A259BD">
        <w:rPr>
          <w:rFonts w:ascii="Times New Roman" w:hAnsi="Times New Roman"/>
          <w:color w:val="000000" w:themeColor="text1"/>
          <w:sz w:val="16"/>
          <w:szCs w:val="16"/>
        </w:rPr>
        <w:t>) (351,53).</w:t>
      </w:r>
    </w:p>
    <w:p w14:paraId="3025CC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52CEB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октября 1929 из-за поломки закончились заводские испытания автожира КАСКР-1, которые шли с 1 сентября (438,600).</w:t>
      </w:r>
    </w:p>
    <w:p w14:paraId="175245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40E5136" w14:textId="77777777" w:rsidR="002414BC" w:rsidRPr="00441F34" w:rsidRDefault="002414BC" w:rsidP="002414B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26 октября 1929 Сергей Александрович </w:t>
      </w:r>
      <w:proofErr w:type="spellStart"/>
      <w:r w:rsidRPr="00441F34">
        <w:rPr>
          <w:rFonts w:ascii="Times New Roman" w:hAnsi="Times New Roman"/>
          <w:color w:val="0070C0"/>
          <w:sz w:val="16"/>
          <w:szCs w:val="16"/>
        </w:rPr>
        <w:t>Кочеригин</w:t>
      </w:r>
      <w:proofErr w:type="spellEnd"/>
      <w:r w:rsidRPr="00441F34">
        <w:rPr>
          <w:rFonts w:ascii="Times New Roman" w:hAnsi="Times New Roman"/>
          <w:color w:val="0070C0"/>
          <w:sz w:val="16"/>
          <w:szCs w:val="16"/>
        </w:rPr>
        <w:t>, хотя, видимо, и не был официальным заме</w:t>
      </w:r>
      <w:r w:rsidRPr="00441F34">
        <w:rPr>
          <w:rFonts w:ascii="Times New Roman" w:hAnsi="Times New Roman"/>
          <w:color w:val="0070C0"/>
          <w:sz w:val="16"/>
          <w:szCs w:val="16"/>
        </w:rPr>
        <w:softHyphen/>
        <w:t>стителем (вряд ли на заводе № 25 была офи</w:t>
      </w:r>
      <w:r w:rsidRPr="00441F34">
        <w:rPr>
          <w:rFonts w:ascii="Times New Roman" w:hAnsi="Times New Roman"/>
          <w:color w:val="0070C0"/>
          <w:sz w:val="16"/>
          <w:szCs w:val="16"/>
        </w:rPr>
        <w:softHyphen/>
        <w:t xml:space="preserve">циальная должность «пом. пом. Директора по </w:t>
      </w:r>
      <w:proofErr w:type="spellStart"/>
      <w:r w:rsidRPr="00441F34">
        <w:rPr>
          <w:rFonts w:ascii="Times New Roman" w:hAnsi="Times New Roman"/>
          <w:color w:val="0070C0"/>
          <w:sz w:val="16"/>
          <w:szCs w:val="16"/>
        </w:rPr>
        <w:t>техчасти</w:t>
      </w:r>
      <w:proofErr w:type="spellEnd"/>
      <w:r w:rsidRPr="00441F34">
        <w:rPr>
          <w:rFonts w:ascii="Times New Roman" w:hAnsi="Times New Roman"/>
          <w:color w:val="0070C0"/>
          <w:sz w:val="16"/>
          <w:szCs w:val="16"/>
        </w:rPr>
        <w:t xml:space="preserve">» - в служебной переписке Николай Николаевич Поликарпов ставил свою подпись после словосочетания «пом. </w:t>
      </w:r>
      <w:proofErr w:type="spellStart"/>
      <w:r w:rsidRPr="00441F34">
        <w:rPr>
          <w:rFonts w:ascii="Times New Roman" w:hAnsi="Times New Roman"/>
          <w:color w:val="0070C0"/>
          <w:sz w:val="16"/>
          <w:szCs w:val="16"/>
        </w:rPr>
        <w:t>дир</w:t>
      </w:r>
      <w:proofErr w:type="spellEnd"/>
      <w:r w:rsidRPr="00441F34">
        <w:rPr>
          <w:rFonts w:ascii="Times New Roman" w:hAnsi="Times New Roman"/>
          <w:color w:val="0070C0"/>
          <w:sz w:val="16"/>
          <w:szCs w:val="16"/>
        </w:rPr>
        <w:t xml:space="preserve">. по </w:t>
      </w:r>
      <w:proofErr w:type="spellStart"/>
      <w:r w:rsidRPr="00441F34">
        <w:rPr>
          <w:rFonts w:ascii="Times New Roman" w:hAnsi="Times New Roman"/>
          <w:color w:val="0070C0"/>
          <w:sz w:val="16"/>
          <w:szCs w:val="16"/>
        </w:rPr>
        <w:t>техчасти</w:t>
      </w:r>
      <w:proofErr w:type="spellEnd"/>
      <w:r w:rsidRPr="00441F34">
        <w:rPr>
          <w:rFonts w:ascii="Times New Roman" w:hAnsi="Times New Roman"/>
          <w:color w:val="0070C0"/>
          <w:sz w:val="16"/>
          <w:szCs w:val="16"/>
        </w:rPr>
        <w:t>»), приступил к исполнению обязанностей руководителя КБ. Право занимать такую серьезную пози</w:t>
      </w:r>
      <w:r w:rsidRPr="00441F34">
        <w:rPr>
          <w:rFonts w:ascii="Times New Roman" w:hAnsi="Times New Roman"/>
          <w:color w:val="0070C0"/>
          <w:sz w:val="16"/>
          <w:szCs w:val="16"/>
        </w:rPr>
        <w:softHyphen/>
        <w:t xml:space="preserve">цию он в дальнейшем доказал на практике, создав ряд оригинальных </w:t>
      </w:r>
      <w:r w:rsidRPr="00441F34">
        <w:rPr>
          <w:rFonts w:ascii="Times New Roman" w:hAnsi="Times New Roman"/>
          <w:color w:val="0070C0"/>
          <w:sz w:val="16"/>
          <w:szCs w:val="16"/>
        </w:rPr>
        <w:lastRenderedPageBreak/>
        <w:t>машин. Наверное, именно ему можно было бы присвоить титул «короля двухместных истребителей». Только самолет ДИ-6, созданный под руководством Сергея Александровича, дошел до стадии се</w:t>
      </w:r>
      <w:r w:rsidRPr="00441F34">
        <w:rPr>
          <w:rFonts w:ascii="Times New Roman" w:hAnsi="Times New Roman"/>
          <w:color w:val="0070C0"/>
          <w:sz w:val="16"/>
          <w:szCs w:val="16"/>
        </w:rPr>
        <w:softHyphen/>
        <w:t>рийного производства. В этом он даже пре</w:t>
      </w:r>
      <w:r w:rsidRPr="00441F34">
        <w:rPr>
          <w:rFonts w:ascii="Times New Roman" w:hAnsi="Times New Roman"/>
          <w:color w:val="0070C0"/>
          <w:sz w:val="16"/>
          <w:szCs w:val="16"/>
        </w:rPr>
        <w:softHyphen/>
        <w:t>взошел своего учителя. Три попытки Поли</w:t>
      </w:r>
      <w:r w:rsidRPr="00441F34">
        <w:rPr>
          <w:rFonts w:ascii="Times New Roman" w:hAnsi="Times New Roman"/>
          <w:color w:val="0070C0"/>
          <w:sz w:val="16"/>
          <w:szCs w:val="16"/>
        </w:rPr>
        <w:softHyphen/>
        <w:t>карпова не привели к успеху.</w:t>
      </w:r>
    </w:p>
    <w:p w14:paraId="744E5C0E" w14:textId="77777777" w:rsidR="002414BC" w:rsidRPr="00441F34" w:rsidRDefault="002414BC" w:rsidP="002414B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К сожалению, в феврале 1931 С.А. </w:t>
      </w:r>
      <w:proofErr w:type="spellStart"/>
      <w:r w:rsidRPr="00441F34">
        <w:rPr>
          <w:rFonts w:ascii="Times New Roman" w:hAnsi="Times New Roman"/>
          <w:color w:val="0070C0"/>
          <w:sz w:val="16"/>
          <w:szCs w:val="16"/>
        </w:rPr>
        <w:t>Кочеригина</w:t>
      </w:r>
      <w:proofErr w:type="spellEnd"/>
      <w:r w:rsidRPr="00441F34">
        <w:rPr>
          <w:rFonts w:ascii="Times New Roman" w:hAnsi="Times New Roman"/>
          <w:color w:val="0070C0"/>
          <w:sz w:val="16"/>
          <w:szCs w:val="16"/>
        </w:rPr>
        <w:t xml:space="preserve"> сменил Семен Иосифович </w:t>
      </w:r>
      <w:proofErr w:type="spellStart"/>
      <w:r w:rsidRPr="00441F34">
        <w:rPr>
          <w:rFonts w:ascii="Times New Roman" w:hAnsi="Times New Roman"/>
          <w:color w:val="0070C0"/>
          <w:sz w:val="16"/>
          <w:szCs w:val="16"/>
        </w:rPr>
        <w:t>Зоншайн</w:t>
      </w:r>
      <w:proofErr w:type="spellEnd"/>
      <w:r w:rsidRPr="00441F34">
        <w:rPr>
          <w:rFonts w:ascii="Times New Roman" w:hAnsi="Times New Roman"/>
          <w:color w:val="0070C0"/>
          <w:sz w:val="16"/>
          <w:szCs w:val="16"/>
        </w:rPr>
        <w:t xml:space="preserve"> - сотрудник ОСС ЦКБ, единственным явным преимуществом которого перед </w:t>
      </w:r>
      <w:proofErr w:type="spellStart"/>
      <w:r w:rsidRPr="00441F34">
        <w:rPr>
          <w:rFonts w:ascii="Times New Roman" w:hAnsi="Times New Roman"/>
          <w:color w:val="0070C0"/>
          <w:sz w:val="16"/>
          <w:szCs w:val="16"/>
        </w:rPr>
        <w:t>Кочеригиным</w:t>
      </w:r>
      <w:proofErr w:type="spellEnd"/>
      <w:r w:rsidRPr="00441F34">
        <w:rPr>
          <w:rFonts w:ascii="Times New Roman" w:hAnsi="Times New Roman"/>
          <w:color w:val="0070C0"/>
          <w:sz w:val="16"/>
          <w:szCs w:val="16"/>
        </w:rPr>
        <w:t xml:space="preserve"> был больший на год стаж работы в КБ Н.Н. Поликарпова. Что привело его на этот пост - личные амбиции, внутренние интриги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или «пожелания» ОГПУ - пока не известно. Под руководством </w:t>
      </w:r>
      <w:proofErr w:type="spellStart"/>
      <w:r w:rsidRPr="00441F34">
        <w:rPr>
          <w:rFonts w:ascii="Times New Roman" w:hAnsi="Times New Roman"/>
          <w:color w:val="0070C0"/>
          <w:sz w:val="16"/>
          <w:szCs w:val="16"/>
        </w:rPr>
        <w:t>Зоншайна</w:t>
      </w:r>
      <w:proofErr w:type="spellEnd"/>
      <w:r w:rsidRPr="00441F34">
        <w:rPr>
          <w:rFonts w:ascii="Times New Roman" w:hAnsi="Times New Roman"/>
          <w:color w:val="0070C0"/>
          <w:sz w:val="16"/>
          <w:szCs w:val="16"/>
        </w:rPr>
        <w:t xml:space="preserve"> вначале была свернута основная масса пер</w:t>
      </w:r>
      <w:r w:rsidRPr="00441F34">
        <w:rPr>
          <w:rFonts w:ascii="Times New Roman" w:hAnsi="Times New Roman"/>
          <w:color w:val="0070C0"/>
          <w:sz w:val="16"/>
          <w:szCs w:val="16"/>
        </w:rPr>
        <w:softHyphen/>
        <w:t>спективных тем КБ, а затем подготовлена ликвидация авиазавода № 25 и ОСС ЦКБ. 1 июля 1930 года он фактически сложил с себя полномочия технического директора и к концу года «перешел на преподавательскую работу». Хотя в дальнейшем Семен Иосифо</w:t>
      </w:r>
      <w:r w:rsidRPr="00441F34">
        <w:rPr>
          <w:rFonts w:ascii="Times New Roman" w:hAnsi="Times New Roman"/>
          <w:color w:val="0070C0"/>
          <w:sz w:val="16"/>
          <w:szCs w:val="16"/>
        </w:rPr>
        <w:softHyphen/>
        <w:t xml:space="preserve">вич </w:t>
      </w:r>
      <w:proofErr w:type="spellStart"/>
      <w:r w:rsidRPr="00441F34">
        <w:rPr>
          <w:rFonts w:ascii="Times New Roman" w:hAnsi="Times New Roman"/>
          <w:color w:val="0070C0"/>
          <w:sz w:val="16"/>
          <w:szCs w:val="16"/>
        </w:rPr>
        <w:t>Зоншайн</w:t>
      </w:r>
      <w:proofErr w:type="spellEnd"/>
      <w:r w:rsidRPr="00441F34">
        <w:rPr>
          <w:rFonts w:ascii="Times New Roman" w:hAnsi="Times New Roman"/>
          <w:color w:val="0070C0"/>
          <w:sz w:val="16"/>
          <w:szCs w:val="16"/>
        </w:rPr>
        <w:t xml:space="preserve"> сыграл известную роль в ста</w:t>
      </w:r>
      <w:r w:rsidRPr="00441F34">
        <w:rPr>
          <w:rFonts w:ascii="Times New Roman" w:hAnsi="Times New Roman"/>
          <w:color w:val="0070C0"/>
          <w:sz w:val="16"/>
          <w:szCs w:val="16"/>
        </w:rPr>
        <w:softHyphen/>
        <w:t>новлении ведущих авиационных вузов СССР МАИ и МАТИ, но в области практического са</w:t>
      </w:r>
      <w:r w:rsidRPr="00441F34">
        <w:rPr>
          <w:rFonts w:ascii="Times New Roman" w:hAnsi="Times New Roman"/>
          <w:color w:val="0070C0"/>
          <w:sz w:val="16"/>
          <w:szCs w:val="16"/>
        </w:rPr>
        <w:softHyphen/>
        <w:t>молетостроения он стал могильщиком КБ По</w:t>
      </w:r>
      <w:r w:rsidRPr="00441F34">
        <w:rPr>
          <w:rFonts w:ascii="Times New Roman" w:hAnsi="Times New Roman"/>
          <w:color w:val="0070C0"/>
          <w:sz w:val="16"/>
          <w:szCs w:val="16"/>
        </w:rPr>
        <w:softHyphen/>
        <w:t>ликарпова (23344).</w:t>
      </w:r>
    </w:p>
    <w:p w14:paraId="7D2E8450" w14:textId="77777777" w:rsidR="002414BC" w:rsidRPr="00441F34" w:rsidRDefault="002414BC" w:rsidP="002414BC">
      <w:pPr>
        <w:spacing w:after="0" w:line="240" w:lineRule="auto"/>
        <w:jc w:val="both"/>
        <w:rPr>
          <w:rFonts w:ascii="Times New Roman" w:hAnsi="Times New Roman"/>
          <w:color w:val="0070C0"/>
          <w:sz w:val="16"/>
          <w:szCs w:val="16"/>
        </w:rPr>
      </w:pPr>
    </w:p>
    <w:p w14:paraId="4A5019DD" w14:textId="77777777" w:rsidR="00F547C5" w:rsidRPr="00A259BD" w:rsidRDefault="002E2A19" w:rsidP="009236E3">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DFD0B8C"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p>
    <w:p w14:paraId="6FB0F9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26 октября и 1 ноября 1929 г. Из протокола заседания Политбюро N 105, особая папка, 1929 г.</w:t>
      </w:r>
    </w:p>
    <w:p w14:paraId="734DCB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вредительской организации в военной промышленности </w:t>
      </w:r>
    </w:p>
    <w:p w14:paraId="0A7FC8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Согласиться с предложением ОГПУ о расстреле Михайлова и др. и принять проект сообщения для печати: </w:t>
      </w:r>
    </w:p>
    <w:p w14:paraId="634B84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Органами ОГПУ раскрыта и ликвидирована контрреволюционная вредительская и шпионская организация в военной промышленности СССР. Организация ставила перед собой задачи — путем вредительства и шпионажа ослабление обороноспособности страны и содействие иностранным интервентам. Личный состав ее состоял в подавляющем большинстве из бывших высших чинов царской армии — бывш. генералов и полковников. В связи с этим Коллегией ОГПУ приговорены к расстрелу: Михайлов В. С.— бывш. генерал, дворянин; </w:t>
      </w:r>
      <w:proofErr w:type="spellStart"/>
      <w:r w:rsidRPr="00A259BD">
        <w:rPr>
          <w:rFonts w:ascii="Times New Roman" w:hAnsi="Times New Roman"/>
          <w:color w:val="000000" w:themeColor="text1"/>
          <w:sz w:val="16"/>
          <w:szCs w:val="16"/>
        </w:rPr>
        <w:t>Высочанский</w:t>
      </w:r>
      <w:proofErr w:type="spellEnd"/>
      <w:r w:rsidRPr="00A259BD">
        <w:rPr>
          <w:rFonts w:ascii="Times New Roman" w:hAnsi="Times New Roman"/>
          <w:color w:val="000000" w:themeColor="text1"/>
          <w:sz w:val="16"/>
          <w:szCs w:val="16"/>
        </w:rPr>
        <w:t xml:space="preserve"> Н. Г.— бывш. генерал, дворянин; </w:t>
      </w:r>
      <w:proofErr w:type="spellStart"/>
      <w:r w:rsidRPr="00A259BD">
        <w:rPr>
          <w:rFonts w:ascii="Times New Roman" w:hAnsi="Times New Roman"/>
          <w:color w:val="000000" w:themeColor="text1"/>
          <w:sz w:val="16"/>
          <w:szCs w:val="16"/>
        </w:rPr>
        <w:t>Дымман</w:t>
      </w:r>
      <w:proofErr w:type="spellEnd"/>
      <w:r w:rsidRPr="00A259BD">
        <w:rPr>
          <w:rFonts w:ascii="Times New Roman" w:hAnsi="Times New Roman"/>
          <w:color w:val="000000" w:themeColor="text1"/>
          <w:sz w:val="16"/>
          <w:szCs w:val="16"/>
        </w:rPr>
        <w:t xml:space="preserve"> В. Л.— бывш. генерал, дворянин; </w:t>
      </w:r>
      <w:proofErr w:type="spellStart"/>
      <w:r w:rsidRPr="00A259BD">
        <w:rPr>
          <w:rFonts w:ascii="Times New Roman" w:hAnsi="Times New Roman"/>
          <w:color w:val="000000" w:themeColor="text1"/>
          <w:sz w:val="16"/>
          <w:szCs w:val="16"/>
        </w:rPr>
        <w:t>Деханов</w:t>
      </w:r>
      <w:proofErr w:type="spellEnd"/>
      <w:r w:rsidRPr="00A259BD">
        <w:rPr>
          <w:rFonts w:ascii="Times New Roman" w:hAnsi="Times New Roman"/>
          <w:color w:val="000000" w:themeColor="text1"/>
          <w:sz w:val="16"/>
          <w:szCs w:val="16"/>
        </w:rPr>
        <w:t xml:space="preserve"> В. Н.— бывш. генерал, дворянин; Шульга Н. В.— бывш. генерал, порученец при бывш. великом князе Сергее Михайловиче. Приговор приведен в исполнение. Все остальные обвиняемые по указанному делу приговорены на разные сроки заключения в концентрационные лагеря. </w:t>
      </w:r>
    </w:p>
    <w:p w14:paraId="6336B8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531E97"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0C95C2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7E006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Между 26 октября и 1 ноября 1929 г. Из протокола заседания Политбюро N 106, особая папка, 1929 г. </w:t>
      </w:r>
    </w:p>
    <w:p w14:paraId="185BA7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 </w:t>
      </w:r>
    </w:p>
    <w:p w14:paraId="0F2E12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Поставить на вид ОГПУ, что оно не сумело в свое время открыть и ликвидировать изменническую антисоветскую работу Блюмкина (резидент ОГПУ, арестован как троцкист). </w:t>
      </w:r>
    </w:p>
    <w:p w14:paraId="75908C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Блюмкина расстрелять. </w:t>
      </w:r>
    </w:p>
    <w:p w14:paraId="456B40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Поручить ОГПУ установить точно характер поведения Горской (агент ОГПУ, жена Блюмкина) (11652).</w:t>
      </w:r>
    </w:p>
    <w:p w14:paraId="3E9650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92B5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Между 26 октября и 1 ноября 1929 г. Из протокола заседания Политбюро N 106, особая папка, 1929 г. </w:t>
      </w:r>
    </w:p>
    <w:p w14:paraId="424C6C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хоперском деле </w:t>
      </w:r>
    </w:p>
    <w:p w14:paraId="08EED2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Расстрелять из 164 арестованных в районе Хопра 60 человек (из них 40 офицеров), остальных — на 10 лет в концлагерь (11652).</w:t>
      </w:r>
    </w:p>
    <w:p w14:paraId="4D198BD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1685A1"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4311591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53F4D30" w14:textId="77777777" w:rsidR="00D95088" w:rsidRPr="00A259BD" w:rsidRDefault="00D95088" w:rsidP="009236E3">
      <w:pPr>
        <w:spacing w:after="0" w:line="240" w:lineRule="auto"/>
        <w:jc w:val="both"/>
        <w:rPr>
          <w:rFonts w:ascii="Times New Roman" w:hAnsi="Times New Roman"/>
          <w:color w:val="000000" w:themeColor="text1"/>
          <w:sz w:val="16"/>
          <w:szCs w:val="16"/>
        </w:rPr>
      </w:pPr>
      <w:bookmarkStart w:id="89" w:name="_Hlk56762059"/>
      <w:r w:rsidRPr="00A259BD">
        <w:rPr>
          <w:rFonts w:ascii="Times New Roman" w:hAnsi="Times New Roman"/>
          <w:color w:val="000000" w:themeColor="text1"/>
          <w:sz w:val="16"/>
          <w:szCs w:val="16"/>
        </w:rPr>
        <w:t xml:space="preserve">26 октября 1929 во время регулярного пассажирского рейса из международного аэропорта Неаполя в Неаполе, Италия, в аэропорт Генуи имени Христофора Колумба за пределами Генуи, Италия, летающая лодка Imperial Airways </w:t>
      </w:r>
      <w:proofErr w:type="spellStart"/>
      <w:r w:rsidRPr="00A259BD">
        <w:rPr>
          <w:rFonts w:ascii="Times New Roman" w:hAnsi="Times New Roman"/>
          <w:color w:val="000000" w:themeColor="text1"/>
          <w:sz w:val="16"/>
          <w:szCs w:val="16"/>
        </w:rPr>
        <w:t>Short</w:t>
      </w:r>
      <w:proofErr w:type="spellEnd"/>
      <w:r w:rsidRPr="00A259BD">
        <w:rPr>
          <w:rFonts w:ascii="Times New Roman" w:hAnsi="Times New Roman"/>
          <w:color w:val="000000" w:themeColor="text1"/>
          <w:sz w:val="16"/>
          <w:szCs w:val="16"/>
        </w:rPr>
        <w:t xml:space="preserve"> S.8 / 1 </w:t>
      </w:r>
      <w:proofErr w:type="spellStart"/>
      <w:r w:rsidRPr="00A259BD">
        <w:rPr>
          <w:rFonts w:ascii="Times New Roman" w:hAnsi="Times New Roman"/>
          <w:color w:val="000000" w:themeColor="text1"/>
          <w:sz w:val="16"/>
          <w:szCs w:val="16"/>
        </w:rPr>
        <w:t>Calcutta</w:t>
      </w:r>
      <w:proofErr w:type="spellEnd"/>
      <w:r w:rsidRPr="00A259BD">
        <w:rPr>
          <w:rFonts w:ascii="Times New Roman" w:hAnsi="Times New Roman"/>
          <w:color w:val="000000" w:themeColor="text1"/>
          <w:sz w:val="16"/>
          <w:szCs w:val="16"/>
        </w:rPr>
        <w:t xml:space="preserve"> City </w:t>
      </w:r>
      <w:proofErr w:type="spellStart"/>
      <w:r w:rsidRPr="00A259BD">
        <w:rPr>
          <w:rFonts w:ascii="Times New Roman" w:hAnsi="Times New Roman"/>
          <w:color w:val="000000" w:themeColor="text1"/>
          <w:sz w:val="16"/>
          <w:szCs w:val="16"/>
        </w:rPr>
        <w:t>of</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Rome</w:t>
      </w:r>
      <w:proofErr w:type="spellEnd"/>
      <w:r w:rsidRPr="00A259BD">
        <w:rPr>
          <w:rFonts w:ascii="Times New Roman" w:hAnsi="Times New Roman"/>
          <w:color w:val="000000" w:themeColor="text1"/>
          <w:sz w:val="16"/>
          <w:szCs w:val="16"/>
        </w:rPr>
        <w:t xml:space="preserve"> (регистрация G-AADN) совершает вынужденную посадку при сильном ветре и плохой погоде в </w:t>
      </w:r>
      <w:proofErr w:type="spellStart"/>
      <w:r w:rsidRPr="00A259BD">
        <w:rPr>
          <w:rFonts w:ascii="Times New Roman" w:hAnsi="Times New Roman"/>
          <w:color w:val="000000" w:themeColor="text1"/>
          <w:sz w:val="16"/>
          <w:szCs w:val="16"/>
        </w:rPr>
        <w:t>Лигурийском</w:t>
      </w:r>
      <w:proofErr w:type="spellEnd"/>
      <w:r w:rsidRPr="00A259BD">
        <w:rPr>
          <w:rFonts w:ascii="Times New Roman" w:hAnsi="Times New Roman"/>
          <w:color w:val="000000" w:themeColor="text1"/>
          <w:sz w:val="16"/>
          <w:szCs w:val="16"/>
        </w:rPr>
        <w:t xml:space="preserve"> море у Ла-Специя, Италия. Она тонет во время попытки отбуксировать ее к берегу, в результате чего погибли все семь человек на борту (20806).</w:t>
      </w:r>
    </w:p>
    <w:p w14:paraId="788117FB" w14:textId="77777777" w:rsidR="00D95088" w:rsidRPr="00A259BD" w:rsidRDefault="00D95088" w:rsidP="009236E3">
      <w:pPr>
        <w:spacing w:after="0" w:line="240" w:lineRule="auto"/>
        <w:jc w:val="both"/>
        <w:rPr>
          <w:rFonts w:ascii="Times New Roman" w:hAnsi="Times New Roman"/>
          <w:color w:val="000000" w:themeColor="text1"/>
          <w:sz w:val="16"/>
          <w:szCs w:val="16"/>
        </w:rPr>
      </w:pPr>
    </w:p>
    <w:bookmarkEnd w:id="89"/>
    <w:p w14:paraId="0B948F6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октября 1929 американка Т. Эванс стала первым человеком, родившимся на борту самолета (4962).</w:t>
      </w:r>
    </w:p>
    <w:p w14:paraId="5D4DD1B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72F98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EDC662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84878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октября 1929 после закрытия состязаний АИР-3, который перелетел в Севастополь, отправился в обратный путь К этому времени погода испортилась, шли дожди и стояли туманы на всем пути. Вскоре после вылета из Севастополя Кошиц и Подлесный попали в густой туман и потеряли ориентировку. Когда наконец машина вынырнула из тумана над самой землей, решили лететь до какой-нибудь железной дороги в надежде по ней дойти до Харькова. Вскоре добрались до какого-то города и, спустившись очень низко, прочли название станции: "Кременчуг". Сообразив, что попали значительно западнее Харькова и не имея карты этого района, летчики решили не садиться, а продолжать полет над железной дорогой. Погода становилась все хуже, пришлось лететь на высоте 10-15 м над землей. Туман был так густ, что летели буквально по телеграфным столбам, да притом в таких условиях, когда уже четвертый столб впереди не был виден. Так, без карты, в тумане, читая названия станций и восстанавливая в памяти карту, проплутали ровно десять часов и все-таки прибыли в Харьков. Там самолет задержался для агитационной работы в связи с проходившим Всеукраинским совещанием Осоавиахима. Было сделано около 20 полетов. Во время одной из посадок водопроводная труба, поставленная в Крыму, наконец сломалась, но тут же на заводе "</w:t>
      </w: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 было сделано новое шасси (11981).</w:t>
      </w:r>
    </w:p>
    <w:p w14:paraId="4F45BF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16FEB8" w14:textId="77777777" w:rsidR="00F77C44" w:rsidRPr="00A259BD" w:rsidRDefault="00F77C4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октября 1929 года «Фоккер» C.IV СССР-150 серийный № 2347 с почтой в 03:25 МСК (07:25 местного времени) вылетел из Новосибирска в Красноярск. Перед вылетом из Новосибирска пилот получил от начальника воздушной станции Новосибирск удовлетворительные сведения о погоде, кроме Болотной, где давалась видимость 200 метров, то есть, туман. Через час после вылета в самом Новосибирске появился туман значительной густоты. Самолет на перегоне </w:t>
      </w:r>
      <w:proofErr w:type="spellStart"/>
      <w:r w:rsidRPr="00A259BD">
        <w:rPr>
          <w:rFonts w:ascii="Times New Roman" w:hAnsi="Times New Roman"/>
          <w:color w:val="000000" w:themeColor="text1"/>
          <w:sz w:val="16"/>
          <w:szCs w:val="16"/>
        </w:rPr>
        <w:t>Тутальская</w:t>
      </w:r>
      <w:proofErr w:type="spellEnd"/>
      <w:r w:rsidRPr="00A259BD">
        <w:rPr>
          <w:rFonts w:ascii="Times New Roman" w:hAnsi="Times New Roman"/>
          <w:color w:val="000000" w:themeColor="text1"/>
          <w:sz w:val="16"/>
          <w:szCs w:val="16"/>
        </w:rPr>
        <w:t xml:space="preserve"> – </w:t>
      </w:r>
      <w:proofErr w:type="spellStart"/>
      <w:r w:rsidRPr="00A259BD">
        <w:rPr>
          <w:rFonts w:ascii="Times New Roman" w:hAnsi="Times New Roman"/>
          <w:color w:val="000000" w:themeColor="text1"/>
          <w:sz w:val="16"/>
          <w:szCs w:val="16"/>
        </w:rPr>
        <w:t>Литвиново</w:t>
      </w:r>
      <w:proofErr w:type="spellEnd"/>
      <w:r w:rsidRPr="00A259BD">
        <w:rPr>
          <w:rFonts w:ascii="Times New Roman" w:hAnsi="Times New Roman"/>
          <w:color w:val="000000" w:themeColor="text1"/>
          <w:sz w:val="16"/>
          <w:szCs w:val="16"/>
        </w:rPr>
        <w:t xml:space="preserve"> Томской железной дороги попал в густой туман, пошел на посадку и под углом врезался в землю в 200-250 м севернее железной дороги на 183-м километре от Новосибирска. Пилот погиб. Хотя катастрофу списали на наличие алкоголя в организме летчика, основной причиной, видимо, была работа системы «</w:t>
      </w:r>
      <w:proofErr w:type="spellStart"/>
      <w:r w:rsidRPr="00A259BD">
        <w:rPr>
          <w:rFonts w:ascii="Times New Roman" w:hAnsi="Times New Roman"/>
          <w:color w:val="000000" w:themeColor="text1"/>
          <w:sz w:val="16"/>
          <w:szCs w:val="16"/>
        </w:rPr>
        <w:t>выпихнизма</w:t>
      </w:r>
      <w:proofErr w:type="spellEnd"/>
      <w:r w:rsidRPr="00A259BD">
        <w:rPr>
          <w:rFonts w:ascii="Times New Roman" w:hAnsi="Times New Roman"/>
          <w:color w:val="000000" w:themeColor="text1"/>
          <w:sz w:val="16"/>
          <w:szCs w:val="16"/>
        </w:rPr>
        <w:t>» – рейс должен быть выполнен вовремя (21125).</w:t>
      </w:r>
    </w:p>
    <w:p w14:paraId="0E36E03E" w14:textId="77777777" w:rsidR="00F77C44" w:rsidRPr="00A259BD" w:rsidRDefault="00F77C44" w:rsidP="009236E3">
      <w:pPr>
        <w:spacing w:after="0" w:line="240" w:lineRule="auto"/>
        <w:jc w:val="both"/>
        <w:rPr>
          <w:rFonts w:ascii="Times New Roman" w:hAnsi="Times New Roman"/>
          <w:color w:val="000000" w:themeColor="text1"/>
          <w:sz w:val="16"/>
          <w:szCs w:val="16"/>
        </w:rPr>
      </w:pPr>
    </w:p>
    <w:p w14:paraId="41DE9126"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2732F0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7E0F4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27-29 октября 1929 г. французы Кост и </w:t>
      </w:r>
      <w:proofErr w:type="spellStart"/>
      <w:r w:rsidRPr="00A259BD">
        <w:rPr>
          <w:rFonts w:ascii="Times New Roman" w:hAnsi="Times New Roman"/>
          <w:color w:val="000000" w:themeColor="text1"/>
          <w:sz w:val="16"/>
          <w:szCs w:val="16"/>
        </w:rPr>
        <w:t>Беллонт</w:t>
      </w:r>
      <w:proofErr w:type="spellEnd"/>
      <w:r w:rsidRPr="00A259BD">
        <w:rPr>
          <w:rFonts w:ascii="Times New Roman" w:hAnsi="Times New Roman"/>
          <w:color w:val="000000" w:themeColor="text1"/>
          <w:sz w:val="16"/>
          <w:szCs w:val="16"/>
        </w:rPr>
        <w:t xml:space="preserve"> на одном из лучших "</w:t>
      </w:r>
      <w:proofErr w:type="spellStart"/>
      <w:r w:rsidRPr="00A259BD">
        <w:rPr>
          <w:rFonts w:ascii="Times New Roman" w:hAnsi="Times New Roman"/>
          <w:color w:val="000000" w:themeColor="text1"/>
          <w:sz w:val="16"/>
          <w:szCs w:val="16"/>
        </w:rPr>
        <w:t>супербидонов</w:t>
      </w:r>
      <w:proofErr w:type="spellEnd"/>
      <w:r w:rsidRPr="00A259BD">
        <w:rPr>
          <w:rFonts w:ascii="Times New Roman" w:hAnsi="Times New Roman"/>
          <w:color w:val="000000" w:themeColor="text1"/>
          <w:sz w:val="16"/>
          <w:szCs w:val="16"/>
        </w:rPr>
        <w:t xml:space="preserve">" совершили перелет из Парижа в </w:t>
      </w:r>
      <w:proofErr w:type="spellStart"/>
      <w:r w:rsidRPr="00A259BD">
        <w:rPr>
          <w:rFonts w:ascii="Times New Roman" w:hAnsi="Times New Roman"/>
          <w:color w:val="000000" w:themeColor="text1"/>
          <w:sz w:val="16"/>
          <w:szCs w:val="16"/>
        </w:rPr>
        <w:t>Цицикар</w:t>
      </w:r>
      <w:proofErr w:type="spellEnd"/>
      <w:r w:rsidRPr="00A259BD">
        <w:rPr>
          <w:rFonts w:ascii="Times New Roman" w:hAnsi="Times New Roman"/>
          <w:color w:val="000000" w:themeColor="text1"/>
          <w:sz w:val="16"/>
          <w:szCs w:val="16"/>
        </w:rPr>
        <w:t xml:space="preserve"> (Китай) дальностью 7905 км. Французские пилоты при достижении первых рекордов дальности летали в основном на бипланах Бреге-XIX, оборудованных дополнительными фюзеляжными топливными баками и поэтому называемых "</w:t>
      </w:r>
      <w:proofErr w:type="spellStart"/>
      <w:r w:rsidRPr="00A259BD">
        <w:rPr>
          <w:rFonts w:ascii="Times New Roman" w:hAnsi="Times New Roman"/>
          <w:color w:val="000000" w:themeColor="text1"/>
          <w:sz w:val="16"/>
          <w:szCs w:val="16"/>
        </w:rPr>
        <w:t>Superbidon</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сверхбидон</w:t>
      </w:r>
      <w:proofErr w:type="spellEnd"/>
      <w:r w:rsidRPr="00A259BD">
        <w:rPr>
          <w:rFonts w:ascii="Times New Roman" w:hAnsi="Times New Roman"/>
          <w:color w:val="000000" w:themeColor="text1"/>
          <w:sz w:val="16"/>
          <w:szCs w:val="16"/>
        </w:rPr>
        <w:t xml:space="preserve">"). В 1930 г. итальянский SM-64 с летчиками Маддалена и </w:t>
      </w:r>
      <w:proofErr w:type="spellStart"/>
      <w:r w:rsidRPr="00A259BD">
        <w:rPr>
          <w:rFonts w:ascii="Times New Roman" w:hAnsi="Times New Roman"/>
          <w:color w:val="000000" w:themeColor="text1"/>
          <w:sz w:val="16"/>
          <w:szCs w:val="16"/>
        </w:rPr>
        <w:t>Чеккони</w:t>
      </w:r>
      <w:proofErr w:type="spellEnd"/>
      <w:r w:rsidRPr="00A259BD">
        <w:rPr>
          <w:rFonts w:ascii="Times New Roman" w:hAnsi="Times New Roman"/>
          <w:color w:val="000000" w:themeColor="text1"/>
          <w:sz w:val="16"/>
          <w:szCs w:val="16"/>
        </w:rPr>
        <w:t xml:space="preserve"> увеличил прежнее достижение до 8189 км за 67 часов 15 минут. 19 марта 1931 г. самолет, пилотируемый летчиками Маддалена и </w:t>
      </w:r>
      <w:proofErr w:type="spellStart"/>
      <w:r w:rsidRPr="00A259BD">
        <w:rPr>
          <w:rFonts w:ascii="Times New Roman" w:hAnsi="Times New Roman"/>
          <w:color w:val="000000" w:themeColor="text1"/>
          <w:sz w:val="16"/>
          <w:szCs w:val="16"/>
        </w:rPr>
        <w:t>Чеккони</w:t>
      </w:r>
      <w:proofErr w:type="spellEnd"/>
      <w:r w:rsidRPr="00A259BD">
        <w:rPr>
          <w:rFonts w:ascii="Times New Roman" w:hAnsi="Times New Roman"/>
          <w:color w:val="000000" w:themeColor="text1"/>
          <w:sz w:val="16"/>
          <w:szCs w:val="16"/>
        </w:rPr>
        <w:t>, развалился в воздухе и погиб (11941).</w:t>
      </w:r>
    </w:p>
    <w:p w14:paraId="3C03E5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C8524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октября 1929 </w:t>
      </w:r>
      <w:proofErr w:type="spellStart"/>
      <w:r w:rsidRPr="00A259BD">
        <w:rPr>
          <w:rFonts w:ascii="Times New Roman" w:hAnsi="Times New Roman"/>
          <w:color w:val="000000" w:themeColor="text1"/>
          <w:sz w:val="16"/>
          <w:szCs w:val="16"/>
        </w:rPr>
        <w:t>Х.Калиновски</w:t>
      </w:r>
      <w:proofErr w:type="spellEnd"/>
      <w:r w:rsidRPr="00A259BD">
        <w:rPr>
          <w:rFonts w:ascii="Times New Roman" w:hAnsi="Times New Roman"/>
          <w:color w:val="000000" w:themeColor="text1"/>
          <w:sz w:val="16"/>
          <w:szCs w:val="16"/>
        </w:rPr>
        <w:t xml:space="preserve"> сообщал, что и Зандер добился значительных успехов в создании ЖРД и в ходе экспериментов его двигатель работал до 45 мин. Использовал кислородно-углеводородную смесь с неназванным окислителем, дающим теплотворную способность в 2400 к (3814).</w:t>
      </w:r>
    </w:p>
    <w:p w14:paraId="1AE441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1A51DC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6756C7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CEB1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октября 1929 закончились гос. испытания Ш-1, которые проходили с 20 октября 1929 (92,381).</w:t>
      </w:r>
    </w:p>
    <w:p w14:paraId="418306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976F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октября 1929 П.И.Б. выступил на заседании РВС о состоянии ВФ (1027,35).</w:t>
      </w:r>
    </w:p>
    <w:p w14:paraId="7EA251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1E59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октября 1929 был подготовлен Ориентировочный план работ ЦАГИ, связанных с опытным строительством на последние 4 года пятилетки (351).</w:t>
      </w:r>
    </w:p>
    <w:p w14:paraId="0B6D71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0B5A9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октября 1929 после обыска Поликарпова доставили на Лубянку во внутреннюю тюрьму. Ему предъявили обвинение в уча</w:t>
      </w:r>
      <w:r w:rsidRPr="00A259BD">
        <w:rPr>
          <w:rFonts w:ascii="Times New Roman" w:hAnsi="Times New Roman"/>
          <w:color w:val="000000" w:themeColor="text1"/>
          <w:sz w:val="16"/>
          <w:szCs w:val="16"/>
        </w:rPr>
        <w:softHyphen/>
        <w:t>стии в контрреволюционной вредительской организа</w:t>
      </w:r>
      <w:r w:rsidRPr="00A259BD">
        <w:rPr>
          <w:rFonts w:ascii="Times New Roman" w:hAnsi="Times New Roman"/>
          <w:color w:val="000000" w:themeColor="text1"/>
          <w:sz w:val="16"/>
          <w:szCs w:val="16"/>
        </w:rPr>
        <w:softHyphen/>
        <w:t>ции. Его также обвиняли: 1) в передаче на завод № 1 для серийного производства недоведенного и до конца не испытанного истребителя И-3, в том числе элеронов но</w:t>
      </w:r>
      <w:r w:rsidRPr="00A259BD">
        <w:rPr>
          <w:rFonts w:ascii="Times New Roman" w:hAnsi="Times New Roman"/>
          <w:color w:val="000000" w:themeColor="text1"/>
          <w:sz w:val="16"/>
          <w:szCs w:val="16"/>
        </w:rPr>
        <w:softHyphen/>
        <w:t>вой конструкции, никем не утвержденной; 2) в разра</w:t>
      </w:r>
      <w:r w:rsidRPr="00A259BD">
        <w:rPr>
          <w:rFonts w:ascii="Times New Roman" w:hAnsi="Times New Roman"/>
          <w:color w:val="000000" w:themeColor="text1"/>
          <w:sz w:val="16"/>
          <w:szCs w:val="16"/>
        </w:rPr>
        <w:softHyphen/>
        <w:t>ботке непригодной для эксплуатации конструкции управления И-3 из-за образования люфтов после 10-15 полетов; 3) в использовании на опытном экземпляре И-3 многих элементов конструкции, снижающих по</w:t>
      </w:r>
      <w:r w:rsidRPr="00A259BD">
        <w:rPr>
          <w:rFonts w:ascii="Times New Roman" w:hAnsi="Times New Roman"/>
          <w:color w:val="000000" w:themeColor="text1"/>
          <w:sz w:val="16"/>
          <w:szCs w:val="16"/>
        </w:rPr>
        <w:softHyphen/>
        <w:t>летный вес машины, но еще не освоенных серийным за</w:t>
      </w:r>
      <w:r w:rsidRPr="00A259BD">
        <w:rPr>
          <w:rFonts w:ascii="Times New Roman" w:hAnsi="Times New Roman"/>
          <w:color w:val="000000" w:themeColor="text1"/>
          <w:sz w:val="16"/>
          <w:szCs w:val="16"/>
        </w:rPr>
        <w:softHyphen/>
        <w:t>водом, с целью затруднить внедрение в серию и затянуть сроки; 4) в создании непригодного для ВВС ис</w:t>
      </w:r>
      <w:r w:rsidRPr="00A259BD">
        <w:rPr>
          <w:rFonts w:ascii="Times New Roman" w:hAnsi="Times New Roman"/>
          <w:color w:val="000000" w:themeColor="text1"/>
          <w:sz w:val="16"/>
          <w:szCs w:val="16"/>
        </w:rPr>
        <w:softHyphen/>
        <w:t xml:space="preserve">требителя И-1, предназначенного прежде всего </w:t>
      </w:r>
      <w:r w:rsidRPr="00A259BD">
        <w:rPr>
          <w:rFonts w:ascii="Times New Roman" w:hAnsi="Times New Roman"/>
          <w:color w:val="000000" w:themeColor="text1"/>
          <w:sz w:val="16"/>
          <w:szCs w:val="16"/>
        </w:rPr>
        <w:lastRenderedPageBreak/>
        <w:t>для по</w:t>
      </w:r>
      <w:r w:rsidRPr="00A259BD">
        <w:rPr>
          <w:rFonts w:ascii="Times New Roman" w:hAnsi="Times New Roman"/>
          <w:color w:val="000000" w:themeColor="text1"/>
          <w:sz w:val="16"/>
          <w:szCs w:val="16"/>
        </w:rPr>
        <w:softHyphen/>
        <w:t>бития рекорда скорости, в протаскивании через своих сторонников решения о продолжении работы над ним, чтобы еще больше нанести материальный ущерб госу</w:t>
      </w:r>
      <w:r w:rsidRPr="00A259BD">
        <w:rPr>
          <w:rFonts w:ascii="Times New Roman" w:hAnsi="Times New Roman"/>
          <w:color w:val="000000" w:themeColor="text1"/>
          <w:sz w:val="16"/>
          <w:szCs w:val="16"/>
        </w:rPr>
        <w:softHyphen/>
        <w:t>дарству; 5) в использовании на И-1 схемы моноплана, которая не обеспечивает обзор вниз, а при капотирова</w:t>
      </w:r>
      <w:r w:rsidRPr="00A259BD">
        <w:rPr>
          <w:rFonts w:ascii="Times New Roman" w:hAnsi="Times New Roman"/>
          <w:color w:val="000000" w:themeColor="text1"/>
          <w:sz w:val="16"/>
          <w:szCs w:val="16"/>
        </w:rPr>
        <w:softHyphen/>
        <w:t>нии во время посадки создает опасность для головы лет</w:t>
      </w:r>
      <w:r w:rsidRPr="00A259BD">
        <w:rPr>
          <w:rFonts w:ascii="Times New Roman" w:hAnsi="Times New Roman"/>
          <w:color w:val="000000" w:themeColor="text1"/>
          <w:sz w:val="16"/>
          <w:szCs w:val="16"/>
        </w:rPr>
        <w:softHyphen/>
        <w:t>чика; 6) в прекращении работы над бомбардировщиком Б-1 (2БЛ-1) Колпакова-Мирошниченко; 7) в предъявле</w:t>
      </w:r>
      <w:r w:rsidRPr="00A259BD">
        <w:rPr>
          <w:rFonts w:ascii="Times New Roman" w:hAnsi="Times New Roman"/>
          <w:color w:val="000000" w:themeColor="text1"/>
          <w:sz w:val="16"/>
          <w:szCs w:val="16"/>
        </w:rPr>
        <w:softHyphen/>
        <w:t>нии на государственные испытания разведчика Р-5 с де</w:t>
      </w:r>
      <w:r w:rsidRPr="00A259BD">
        <w:rPr>
          <w:rFonts w:ascii="Times New Roman" w:hAnsi="Times New Roman"/>
          <w:color w:val="000000" w:themeColor="text1"/>
          <w:sz w:val="16"/>
          <w:szCs w:val="16"/>
        </w:rPr>
        <w:softHyphen/>
        <w:t>фектами для затягивания сроков испытаний нужной для ВВС машины и т.д., и т.п. (10667).</w:t>
      </w:r>
    </w:p>
    <w:p w14:paraId="542E2C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A767EF1" w14:textId="77777777" w:rsidR="00454A21" w:rsidRPr="00A259BD" w:rsidRDefault="00454A21"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 xml:space="preserve">28 октября </w:t>
      </w:r>
      <w:r w:rsidRPr="00A259BD">
        <w:rPr>
          <w:rFonts w:ascii="Times New Roman" w:hAnsi="Times New Roman"/>
          <w:color w:val="000000" w:themeColor="text1"/>
          <w:sz w:val="16"/>
          <w:szCs w:val="16"/>
        </w:rPr>
        <w:t xml:space="preserve">в 1929 году </w:t>
      </w:r>
      <w:proofErr w:type="spellStart"/>
      <w:r w:rsidRPr="00A259BD">
        <w:rPr>
          <w:rFonts w:ascii="Times New Roman" w:hAnsi="Times New Roman"/>
          <w:color w:val="000000" w:themeColor="text1"/>
          <w:sz w:val="16"/>
          <w:szCs w:val="16"/>
        </w:rPr>
        <w:t>В.Степанченок</w:t>
      </w:r>
      <w:proofErr w:type="spellEnd"/>
      <w:r w:rsidRPr="00A259BD">
        <w:rPr>
          <w:rFonts w:ascii="Times New Roman" w:hAnsi="Times New Roman"/>
          <w:color w:val="000000" w:themeColor="text1"/>
          <w:sz w:val="16"/>
          <w:szCs w:val="16"/>
        </w:rPr>
        <w:t xml:space="preserve"> впервые в мире совершил на планере «петлю Нестерова» (14813).</w:t>
      </w:r>
    </w:p>
    <w:p w14:paraId="7EF0984C" w14:textId="77777777" w:rsidR="00454A21" w:rsidRPr="00A259BD" w:rsidRDefault="00454A21" w:rsidP="009236E3">
      <w:pPr>
        <w:spacing w:after="0" w:line="240" w:lineRule="auto"/>
        <w:jc w:val="both"/>
        <w:rPr>
          <w:rFonts w:ascii="Times New Roman" w:hAnsi="Times New Roman"/>
          <w:color w:val="000000" w:themeColor="text1"/>
          <w:sz w:val="16"/>
          <w:szCs w:val="16"/>
        </w:rPr>
      </w:pPr>
    </w:p>
    <w:p w14:paraId="6F0F9704"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4421549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DB6DA21" w14:textId="77777777" w:rsidR="00454A21" w:rsidRPr="00A259BD" w:rsidRDefault="00454A21"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 xml:space="preserve">28 октября </w:t>
      </w:r>
      <w:r w:rsidRPr="00A259BD">
        <w:rPr>
          <w:rFonts w:ascii="Times New Roman" w:hAnsi="Times New Roman"/>
          <w:color w:val="000000" w:themeColor="text1"/>
          <w:sz w:val="16"/>
          <w:szCs w:val="16"/>
        </w:rPr>
        <w:t>в 1929 году первый ребенок рождается на борту самолета (дочь у супругов Эванс над Майами) (14813).</w:t>
      </w:r>
    </w:p>
    <w:p w14:paraId="7ADB0372" w14:textId="77777777" w:rsidR="00454A21" w:rsidRPr="00A259BD" w:rsidRDefault="00454A21" w:rsidP="009236E3">
      <w:pPr>
        <w:spacing w:after="0" w:line="240" w:lineRule="auto"/>
        <w:jc w:val="both"/>
        <w:rPr>
          <w:rFonts w:ascii="Times New Roman" w:hAnsi="Times New Roman"/>
          <w:color w:val="000000" w:themeColor="text1"/>
          <w:sz w:val="16"/>
          <w:szCs w:val="16"/>
        </w:rPr>
      </w:pPr>
    </w:p>
    <w:p w14:paraId="3F2015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октября 1929 на Нью-Йоркской фондовой бирже был черный понедельник (3907,157).</w:t>
      </w:r>
    </w:p>
    <w:p w14:paraId="4CF862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DC2FD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D23575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FDA8C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октября 1929 г. на заседании Правления </w:t>
      </w:r>
      <w:proofErr w:type="spellStart"/>
      <w:r w:rsidRPr="00A259BD">
        <w:rPr>
          <w:rFonts w:ascii="Times New Roman" w:hAnsi="Times New Roman"/>
          <w:color w:val="000000" w:themeColor="text1"/>
          <w:sz w:val="16"/>
          <w:szCs w:val="16"/>
        </w:rPr>
        <w:t>Авиатре</w:t>
      </w:r>
      <w:r w:rsidRPr="00A259BD">
        <w:rPr>
          <w:rFonts w:ascii="Times New Roman" w:hAnsi="Times New Roman"/>
          <w:color w:val="000000" w:themeColor="text1"/>
          <w:sz w:val="16"/>
          <w:szCs w:val="16"/>
        </w:rPr>
        <w:softHyphen/>
        <w:t>ста</w:t>
      </w:r>
      <w:proofErr w:type="spellEnd"/>
      <w:r w:rsidRPr="00A259BD">
        <w:rPr>
          <w:rFonts w:ascii="Times New Roman" w:hAnsi="Times New Roman"/>
          <w:color w:val="000000" w:themeColor="text1"/>
          <w:sz w:val="16"/>
          <w:szCs w:val="16"/>
        </w:rPr>
        <w:t xml:space="preserve"> была скорректирована производственная программа на 1929/30 операционный год: заводу № 1 предписыва</w:t>
      </w:r>
      <w:r w:rsidRPr="00A259BD">
        <w:rPr>
          <w:rFonts w:ascii="Times New Roman" w:hAnsi="Times New Roman"/>
          <w:color w:val="000000" w:themeColor="text1"/>
          <w:sz w:val="16"/>
          <w:szCs w:val="16"/>
        </w:rPr>
        <w:softHyphen/>
        <w:t>лось выпустить 15 штук Р-5 “по типу IV образца этой машины” (10667).</w:t>
      </w:r>
    </w:p>
    <w:p w14:paraId="7E4E14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82A1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октября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13) и обсуждали вопросы о программе производства и КС на текущий год (2367).</w:t>
      </w:r>
    </w:p>
    <w:p w14:paraId="7284F3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892B1A" w14:textId="77777777" w:rsidR="00195D7F" w:rsidRPr="00A259BD" w:rsidRDefault="00195D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октября 1929 года Советом Труда и Обороны (СТО) было принято решение о постройке в Воронеже Авиазавода вблизи ст. Придача Юго-Восточной ж/д на левом берегу реки Воронеж (19829).</w:t>
      </w:r>
    </w:p>
    <w:p w14:paraId="36477091" w14:textId="77777777" w:rsidR="00195D7F" w:rsidRPr="00A259BD" w:rsidRDefault="00195D7F" w:rsidP="009236E3">
      <w:pPr>
        <w:pStyle w:val="ae"/>
        <w:shd w:val="clear" w:color="auto" w:fill="FFFFFF"/>
        <w:spacing w:before="0" w:after="0"/>
        <w:jc w:val="both"/>
        <w:rPr>
          <w:color w:val="000000" w:themeColor="text1"/>
          <w:sz w:val="16"/>
          <w:szCs w:val="16"/>
        </w:rPr>
      </w:pPr>
    </w:p>
    <w:p w14:paraId="6DB648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октября 1929 года СТО было принято решение о постройке Авиазавода вблизи ст. Придача Юго-Восточной ж/д г. Воронежа на левом берегу реки Воронеж. В апреле 1932 года был готов первый производственный корпус. С апреля 1932 года начали делать первые детали для самолета ТБ-3.</w:t>
      </w:r>
    </w:p>
    <w:p w14:paraId="051046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Первая очередь гл. производственного корпуса достраивалась еще в зиму 1932-34 гг. Но сборка первых самолетов в нем уже производилась. В 1934 году выпустили первые 5 самолетов ТБ-3. С этого времени начался выпуск самолетов по заданной программе заводу. В первых числах октября 1941 года было принято решение об эвакуации завода в Куйбышевскую область на ст. Безымянка.</w:t>
      </w:r>
    </w:p>
    <w:p w14:paraId="5C68F6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Новая площадка завода на Безымянке представляла из себя необорудованные, незаконченные строительством производственные и служебные корпуса, начатые строительством </w:t>
      </w:r>
      <w:proofErr w:type="spellStart"/>
      <w:r w:rsidRPr="00A259BD">
        <w:rPr>
          <w:rFonts w:ascii="Times New Roman" w:hAnsi="Times New Roman"/>
          <w:color w:val="000000" w:themeColor="text1"/>
          <w:sz w:val="16"/>
          <w:szCs w:val="16"/>
        </w:rPr>
        <w:t>УОСа</w:t>
      </w:r>
      <w:proofErr w:type="spellEnd"/>
      <w:r w:rsidRPr="00A259BD">
        <w:rPr>
          <w:rFonts w:ascii="Times New Roman" w:hAnsi="Times New Roman"/>
          <w:color w:val="000000" w:themeColor="text1"/>
          <w:sz w:val="16"/>
          <w:szCs w:val="16"/>
        </w:rPr>
        <w:t xml:space="preserve"> НКВД задолго до начала войны.</w:t>
      </w:r>
    </w:p>
    <w:p w14:paraId="41C6FD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Первоначально </w:t>
      </w:r>
      <w:proofErr w:type="spellStart"/>
      <w:r w:rsidRPr="00A259BD">
        <w:rPr>
          <w:rFonts w:ascii="Times New Roman" w:hAnsi="Times New Roman"/>
          <w:color w:val="000000" w:themeColor="text1"/>
          <w:sz w:val="16"/>
          <w:szCs w:val="16"/>
        </w:rPr>
        <w:t>УОСом</w:t>
      </w:r>
      <w:proofErr w:type="spellEnd"/>
      <w:r w:rsidRPr="00A259BD">
        <w:rPr>
          <w:rFonts w:ascii="Times New Roman" w:hAnsi="Times New Roman"/>
          <w:color w:val="000000" w:themeColor="text1"/>
          <w:sz w:val="16"/>
          <w:szCs w:val="16"/>
        </w:rPr>
        <w:t xml:space="preserve"> НКВД намечалось строительство крупнейшего авиационного комбината на ст. Безымянке. Во второй половине декабря 1941 года завод на новой площадке начал выпускать самолеты ИЛ-2.</w:t>
      </w:r>
    </w:p>
    <w:p w14:paraId="09EF4A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эвакуации завода на новую площадку в Воронеже на старой площадке завода остался небольшой коллектив работников завода и завод работал как ремонтная база для удовлетворения нужд Воронежского фронта в ремонте боевых самолетов. Позже на этой территории был организован и работает завод № 64.</w:t>
      </w:r>
    </w:p>
    <w:p w14:paraId="3C1996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Выпуск самолетов заводом: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5"/>
        <w:gridCol w:w="659"/>
        <w:gridCol w:w="559"/>
        <w:gridCol w:w="717"/>
        <w:gridCol w:w="709"/>
        <w:gridCol w:w="567"/>
        <w:gridCol w:w="567"/>
        <w:gridCol w:w="708"/>
        <w:gridCol w:w="709"/>
        <w:gridCol w:w="709"/>
        <w:gridCol w:w="709"/>
        <w:gridCol w:w="708"/>
        <w:gridCol w:w="709"/>
        <w:gridCol w:w="709"/>
        <w:gridCol w:w="709"/>
        <w:gridCol w:w="708"/>
      </w:tblGrid>
      <w:tr w:rsidR="00A259BD" w:rsidRPr="00A259BD" w14:paraId="344FD06E" w14:textId="77777777">
        <w:tc>
          <w:tcPr>
            <w:tcW w:w="725" w:type="dxa"/>
          </w:tcPr>
          <w:p w14:paraId="3CAAB0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Годы</w:t>
            </w:r>
          </w:p>
        </w:tc>
        <w:tc>
          <w:tcPr>
            <w:tcW w:w="659" w:type="dxa"/>
          </w:tcPr>
          <w:p w14:paraId="7B42E1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ТБ-3</w:t>
            </w:r>
          </w:p>
        </w:tc>
        <w:tc>
          <w:tcPr>
            <w:tcW w:w="559" w:type="dxa"/>
          </w:tcPr>
          <w:p w14:paraId="4FDB00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РД</w:t>
            </w:r>
          </w:p>
        </w:tc>
        <w:tc>
          <w:tcPr>
            <w:tcW w:w="717" w:type="dxa"/>
          </w:tcPr>
          <w:p w14:paraId="1FAC3D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ДБ3А</w:t>
            </w:r>
          </w:p>
        </w:tc>
        <w:tc>
          <w:tcPr>
            <w:tcW w:w="709" w:type="dxa"/>
          </w:tcPr>
          <w:p w14:paraId="2DC6D4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ДБ3Ф</w:t>
            </w:r>
          </w:p>
        </w:tc>
        <w:tc>
          <w:tcPr>
            <w:tcW w:w="567" w:type="dxa"/>
          </w:tcPr>
          <w:p w14:paraId="3FDE13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ЕР-2</w:t>
            </w:r>
          </w:p>
        </w:tc>
        <w:tc>
          <w:tcPr>
            <w:tcW w:w="567" w:type="dxa"/>
          </w:tcPr>
          <w:p w14:paraId="458D2F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ИЛ-2</w:t>
            </w:r>
          </w:p>
        </w:tc>
        <w:tc>
          <w:tcPr>
            <w:tcW w:w="708" w:type="dxa"/>
          </w:tcPr>
          <w:p w14:paraId="545CF1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ИЛ-10</w:t>
            </w:r>
          </w:p>
        </w:tc>
        <w:tc>
          <w:tcPr>
            <w:tcW w:w="709" w:type="dxa"/>
          </w:tcPr>
          <w:p w14:paraId="0C9FC7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ТУ-4</w:t>
            </w:r>
          </w:p>
        </w:tc>
        <w:tc>
          <w:tcPr>
            <w:tcW w:w="709" w:type="dxa"/>
          </w:tcPr>
          <w:p w14:paraId="68C547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ИЛ-28</w:t>
            </w:r>
          </w:p>
        </w:tc>
        <w:tc>
          <w:tcPr>
            <w:tcW w:w="709" w:type="dxa"/>
          </w:tcPr>
          <w:p w14:paraId="7355F8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ТУ-95</w:t>
            </w:r>
          </w:p>
        </w:tc>
        <w:tc>
          <w:tcPr>
            <w:tcW w:w="708" w:type="dxa"/>
          </w:tcPr>
          <w:p w14:paraId="443DA7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ТУ-116</w:t>
            </w:r>
          </w:p>
        </w:tc>
        <w:tc>
          <w:tcPr>
            <w:tcW w:w="709" w:type="dxa"/>
          </w:tcPr>
          <w:p w14:paraId="0C4DC0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ТУ-95М</w:t>
            </w:r>
          </w:p>
        </w:tc>
        <w:tc>
          <w:tcPr>
            <w:tcW w:w="709" w:type="dxa"/>
          </w:tcPr>
          <w:p w14:paraId="1DE8FE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ТУ-95К</w:t>
            </w:r>
          </w:p>
        </w:tc>
        <w:tc>
          <w:tcPr>
            <w:tcW w:w="709" w:type="dxa"/>
          </w:tcPr>
          <w:p w14:paraId="0E8442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ТУ-114</w:t>
            </w:r>
          </w:p>
        </w:tc>
        <w:tc>
          <w:tcPr>
            <w:tcW w:w="708" w:type="dxa"/>
          </w:tcPr>
          <w:p w14:paraId="03000F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w:t>
            </w:r>
          </w:p>
        </w:tc>
      </w:tr>
      <w:tr w:rsidR="00A259BD" w:rsidRPr="00A259BD" w14:paraId="0E018845" w14:textId="77777777">
        <w:tc>
          <w:tcPr>
            <w:tcW w:w="725" w:type="dxa"/>
          </w:tcPr>
          <w:p w14:paraId="74FBD5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w:t>
            </w:r>
          </w:p>
        </w:tc>
        <w:tc>
          <w:tcPr>
            <w:tcW w:w="659" w:type="dxa"/>
          </w:tcPr>
          <w:p w14:paraId="7C2ACE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1538E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D94BF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E88AC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C5548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EC0E2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8AC74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B1038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842D1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67349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FC516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0AF2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9F8A2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2717F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7406F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47BF7DFF" w14:textId="77777777">
        <w:tc>
          <w:tcPr>
            <w:tcW w:w="725" w:type="dxa"/>
          </w:tcPr>
          <w:p w14:paraId="6BD576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w:t>
            </w:r>
          </w:p>
        </w:tc>
        <w:tc>
          <w:tcPr>
            <w:tcW w:w="659" w:type="dxa"/>
          </w:tcPr>
          <w:p w14:paraId="773349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58B71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17EFB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F7D0C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B679A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0A000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53AC9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B3ED1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404AC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25B69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7FB43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D4711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A6AB6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AEB0D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66B26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5F31F5A4" w14:textId="77777777">
        <w:tc>
          <w:tcPr>
            <w:tcW w:w="725" w:type="dxa"/>
          </w:tcPr>
          <w:p w14:paraId="18518D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1933</w:t>
            </w:r>
          </w:p>
        </w:tc>
        <w:tc>
          <w:tcPr>
            <w:tcW w:w="659" w:type="dxa"/>
          </w:tcPr>
          <w:p w14:paraId="0BBECB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3198EB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9B72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07E3D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5F85C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FDEF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FD332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447E8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5B6F6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2777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00E56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10E03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199B9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17751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97D18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75C00A33" w14:textId="77777777">
        <w:tc>
          <w:tcPr>
            <w:tcW w:w="725" w:type="dxa"/>
          </w:tcPr>
          <w:p w14:paraId="1AA981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1934</w:t>
            </w:r>
          </w:p>
        </w:tc>
        <w:tc>
          <w:tcPr>
            <w:tcW w:w="659" w:type="dxa"/>
          </w:tcPr>
          <w:p w14:paraId="73DDAF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c>
          <w:tcPr>
            <w:tcW w:w="559" w:type="dxa"/>
          </w:tcPr>
          <w:p w14:paraId="1AA021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C412F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BCEBF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59114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9B938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1B704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5428C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52300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AE1D4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49740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99F19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91C4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E359A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9831B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r>
      <w:tr w:rsidR="00A259BD" w:rsidRPr="00A259BD" w14:paraId="6DF508FA" w14:textId="77777777">
        <w:tc>
          <w:tcPr>
            <w:tcW w:w="725" w:type="dxa"/>
          </w:tcPr>
          <w:p w14:paraId="63542C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1935</w:t>
            </w:r>
          </w:p>
        </w:tc>
        <w:tc>
          <w:tcPr>
            <w:tcW w:w="659" w:type="dxa"/>
          </w:tcPr>
          <w:p w14:paraId="2F2AF3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DD4C3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5C96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9181B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CD890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B37EC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B75F7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79C24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4172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5D3D4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A9881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7AA76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1A09E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9F0C7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52029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02BC8264" w14:textId="77777777">
        <w:tc>
          <w:tcPr>
            <w:tcW w:w="725" w:type="dxa"/>
          </w:tcPr>
          <w:p w14:paraId="6C6656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1936</w:t>
            </w:r>
          </w:p>
        </w:tc>
        <w:tc>
          <w:tcPr>
            <w:tcW w:w="659" w:type="dxa"/>
          </w:tcPr>
          <w:p w14:paraId="2D21C8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424CA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w:t>
            </w:r>
          </w:p>
        </w:tc>
        <w:tc>
          <w:tcPr>
            <w:tcW w:w="717" w:type="dxa"/>
          </w:tcPr>
          <w:p w14:paraId="12733A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99B2A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0C743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76B39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786E2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CA31D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8B546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D4DCF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D0DB7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24BAB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BF4D2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A375B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8BD56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w:t>
            </w:r>
          </w:p>
        </w:tc>
      </w:tr>
      <w:tr w:rsidR="00A259BD" w:rsidRPr="00A259BD" w14:paraId="292CE678" w14:textId="77777777">
        <w:tc>
          <w:tcPr>
            <w:tcW w:w="725" w:type="dxa"/>
          </w:tcPr>
          <w:p w14:paraId="14E2E3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1937</w:t>
            </w:r>
          </w:p>
        </w:tc>
        <w:tc>
          <w:tcPr>
            <w:tcW w:w="659" w:type="dxa"/>
          </w:tcPr>
          <w:p w14:paraId="5F501F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FD909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40C5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w:t>
            </w:r>
          </w:p>
        </w:tc>
        <w:tc>
          <w:tcPr>
            <w:tcW w:w="709" w:type="dxa"/>
          </w:tcPr>
          <w:p w14:paraId="23D66F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4817C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688F7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F8F79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E3DC9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377B4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25490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12559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0EFBC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81171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04B16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BA0F6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w:t>
            </w:r>
          </w:p>
        </w:tc>
      </w:tr>
      <w:tr w:rsidR="00A259BD" w:rsidRPr="00A259BD" w14:paraId="7455BA94" w14:textId="77777777">
        <w:tc>
          <w:tcPr>
            <w:tcW w:w="725" w:type="dxa"/>
          </w:tcPr>
          <w:p w14:paraId="3A9248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1938</w:t>
            </w:r>
          </w:p>
        </w:tc>
        <w:tc>
          <w:tcPr>
            <w:tcW w:w="659" w:type="dxa"/>
          </w:tcPr>
          <w:p w14:paraId="18ECD9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516CD5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4B7B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204</w:t>
            </w:r>
          </w:p>
        </w:tc>
        <w:tc>
          <w:tcPr>
            <w:tcW w:w="709" w:type="dxa"/>
          </w:tcPr>
          <w:p w14:paraId="05C899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BBEEA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63C36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EF710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3DE2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1F0F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EA8E4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04CD9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F50A6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41405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F13FE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D07EE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204</w:t>
            </w:r>
          </w:p>
        </w:tc>
      </w:tr>
      <w:tr w:rsidR="00A259BD" w:rsidRPr="00A259BD" w14:paraId="57AAD3BD" w14:textId="77777777">
        <w:tc>
          <w:tcPr>
            <w:tcW w:w="725" w:type="dxa"/>
          </w:tcPr>
          <w:p w14:paraId="17E3B9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1939</w:t>
            </w:r>
          </w:p>
        </w:tc>
        <w:tc>
          <w:tcPr>
            <w:tcW w:w="659" w:type="dxa"/>
          </w:tcPr>
          <w:p w14:paraId="16488A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77F34E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06AD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555</w:t>
            </w:r>
          </w:p>
        </w:tc>
        <w:tc>
          <w:tcPr>
            <w:tcW w:w="709" w:type="dxa"/>
          </w:tcPr>
          <w:p w14:paraId="372E90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07619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DBE69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CDF27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7EC0C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5AC48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D77D7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98453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49342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06329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74500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D224B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555</w:t>
            </w:r>
          </w:p>
        </w:tc>
      </w:tr>
      <w:tr w:rsidR="00A259BD" w:rsidRPr="00A259BD" w14:paraId="78BA47A7" w14:textId="77777777">
        <w:tc>
          <w:tcPr>
            <w:tcW w:w="725" w:type="dxa"/>
          </w:tcPr>
          <w:p w14:paraId="4F89E4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1940</w:t>
            </w:r>
          </w:p>
        </w:tc>
        <w:tc>
          <w:tcPr>
            <w:tcW w:w="659" w:type="dxa"/>
          </w:tcPr>
          <w:p w14:paraId="7801CA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77C0F0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FC7EA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701E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808</w:t>
            </w:r>
          </w:p>
        </w:tc>
        <w:tc>
          <w:tcPr>
            <w:tcW w:w="567" w:type="dxa"/>
          </w:tcPr>
          <w:p w14:paraId="2F3E11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B320C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A0DE3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1CFFD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334E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267A9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DD6A2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E1D27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F892C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789F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A8984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808</w:t>
            </w:r>
          </w:p>
        </w:tc>
      </w:tr>
      <w:tr w:rsidR="00A259BD" w:rsidRPr="00A259BD" w14:paraId="26926EE8" w14:textId="77777777">
        <w:tc>
          <w:tcPr>
            <w:tcW w:w="725" w:type="dxa"/>
          </w:tcPr>
          <w:p w14:paraId="1D5BD5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1941</w:t>
            </w:r>
          </w:p>
        </w:tc>
        <w:tc>
          <w:tcPr>
            <w:tcW w:w="659" w:type="dxa"/>
          </w:tcPr>
          <w:p w14:paraId="670DA4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15C0B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31FBF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40CB3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329</w:t>
            </w:r>
          </w:p>
        </w:tc>
        <w:tc>
          <w:tcPr>
            <w:tcW w:w="567" w:type="dxa"/>
          </w:tcPr>
          <w:p w14:paraId="36435B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w:t>
            </w:r>
          </w:p>
        </w:tc>
        <w:tc>
          <w:tcPr>
            <w:tcW w:w="567" w:type="dxa"/>
          </w:tcPr>
          <w:p w14:paraId="512200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1510*</w:t>
            </w:r>
          </w:p>
        </w:tc>
        <w:tc>
          <w:tcPr>
            <w:tcW w:w="708" w:type="dxa"/>
          </w:tcPr>
          <w:p w14:paraId="2082AE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06C15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D8941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59A25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58C18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A968E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CF6BC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0B695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78439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1909</w:t>
            </w:r>
          </w:p>
        </w:tc>
      </w:tr>
      <w:tr w:rsidR="00A259BD" w:rsidRPr="00A259BD" w14:paraId="6828A34A" w14:textId="77777777">
        <w:tc>
          <w:tcPr>
            <w:tcW w:w="725" w:type="dxa"/>
          </w:tcPr>
          <w:p w14:paraId="5AB58D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1942</w:t>
            </w:r>
          </w:p>
        </w:tc>
        <w:tc>
          <w:tcPr>
            <w:tcW w:w="659" w:type="dxa"/>
          </w:tcPr>
          <w:p w14:paraId="020346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52AD55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EC2C6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140C3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C9A52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7519E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3837</w:t>
            </w:r>
          </w:p>
        </w:tc>
        <w:tc>
          <w:tcPr>
            <w:tcW w:w="708" w:type="dxa"/>
          </w:tcPr>
          <w:p w14:paraId="012E81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037C5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6AF52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EFB32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5C6F3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C706D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01AE9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38118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A82D4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3837</w:t>
            </w:r>
          </w:p>
        </w:tc>
      </w:tr>
      <w:tr w:rsidR="00A259BD" w:rsidRPr="00A259BD" w14:paraId="4D776917" w14:textId="77777777">
        <w:tc>
          <w:tcPr>
            <w:tcW w:w="725" w:type="dxa"/>
          </w:tcPr>
          <w:p w14:paraId="7A0D2A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1943</w:t>
            </w:r>
          </w:p>
        </w:tc>
        <w:tc>
          <w:tcPr>
            <w:tcW w:w="659" w:type="dxa"/>
          </w:tcPr>
          <w:p w14:paraId="6612D1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7B0A24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3320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6DAA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52201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4A355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4764</w:t>
            </w:r>
          </w:p>
        </w:tc>
        <w:tc>
          <w:tcPr>
            <w:tcW w:w="708" w:type="dxa"/>
          </w:tcPr>
          <w:p w14:paraId="491879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B073F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019A2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26B8C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2F7A7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1D98C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1EA94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F4B9A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27494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4764</w:t>
            </w:r>
          </w:p>
        </w:tc>
      </w:tr>
      <w:tr w:rsidR="00A259BD" w:rsidRPr="00A259BD" w14:paraId="5FADD34F" w14:textId="77777777">
        <w:tc>
          <w:tcPr>
            <w:tcW w:w="725" w:type="dxa"/>
          </w:tcPr>
          <w:p w14:paraId="790767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1944</w:t>
            </w:r>
          </w:p>
        </w:tc>
        <w:tc>
          <w:tcPr>
            <w:tcW w:w="659" w:type="dxa"/>
          </w:tcPr>
          <w:p w14:paraId="2C18C4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4D3D09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AAA3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25010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49D14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93935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3971</w:t>
            </w:r>
          </w:p>
        </w:tc>
        <w:tc>
          <w:tcPr>
            <w:tcW w:w="708" w:type="dxa"/>
          </w:tcPr>
          <w:p w14:paraId="72CDC6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w:t>
            </w:r>
          </w:p>
        </w:tc>
        <w:tc>
          <w:tcPr>
            <w:tcW w:w="709" w:type="dxa"/>
          </w:tcPr>
          <w:p w14:paraId="5B5192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375B5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5B5F7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0D7ED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6C259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8EF69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3BB88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C73C0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4014</w:t>
            </w:r>
          </w:p>
        </w:tc>
      </w:tr>
      <w:tr w:rsidR="00A259BD" w:rsidRPr="00A259BD" w14:paraId="28F0F52E" w14:textId="77777777">
        <w:tc>
          <w:tcPr>
            <w:tcW w:w="725" w:type="dxa"/>
          </w:tcPr>
          <w:p w14:paraId="2A9056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1945</w:t>
            </w:r>
          </w:p>
        </w:tc>
        <w:tc>
          <w:tcPr>
            <w:tcW w:w="659" w:type="dxa"/>
          </w:tcPr>
          <w:p w14:paraId="7E52DC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4BE65F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F45E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CDB65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7C118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5E782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943</w:t>
            </w:r>
          </w:p>
        </w:tc>
        <w:tc>
          <w:tcPr>
            <w:tcW w:w="708" w:type="dxa"/>
          </w:tcPr>
          <w:p w14:paraId="2D9054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1315</w:t>
            </w:r>
          </w:p>
        </w:tc>
        <w:tc>
          <w:tcPr>
            <w:tcW w:w="709" w:type="dxa"/>
          </w:tcPr>
          <w:p w14:paraId="14F9F3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41094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B1FFF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5910B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878DC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B8F4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58FB5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54591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2258</w:t>
            </w:r>
          </w:p>
        </w:tc>
      </w:tr>
      <w:tr w:rsidR="00A259BD" w:rsidRPr="00A259BD" w14:paraId="3E31416C" w14:textId="77777777">
        <w:tc>
          <w:tcPr>
            <w:tcW w:w="725" w:type="dxa"/>
          </w:tcPr>
          <w:p w14:paraId="3EFAAC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1946</w:t>
            </w:r>
          </w:p>
        </w:tc>
        <w:tc>
          <w:tcPr>
            <w:tcW w:w="659" w:type="dxa"/>
          </w:tcPr>
          <w:p w14:paraId="31C4B6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628FA2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69CE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52A19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B237F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BEFA6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3CF88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1018</w:t>
            </w:r>
          </w:p>
        </w:tc>
        <w:tc>
          <w:tcPr>
            <w:tcW w:w="709" w:type="dxa"/>
          </w:tcPr>
          <w:p w14:paraId="7BA8CA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72E5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E4A7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5EA8A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1C3A7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9EAB6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5D48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1B52A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1018</w:t>
            </w:r>
          </w:p>
        </w:tc>
      </w:tr>
      <w:tr w:rsidR="00A259BD" w:rsidRPr="00A259BD" w14:paraId="11069BD8" w14:textId="77777777">
        <w:tc>
          <w:tcPr>
            <w:tcW w:w="725" w:type="dxa"/>
          </w:tcPr>
          <w:p w14:paraId="02A7AB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1947</w:t>
            </w:r>
          </w:p>
        </w:tc>
        <w:tc>
          <w:tcPr>
            <w:tcW w:w="659" w:type="dxa"/>
          </w:tcPr>
          <w:p w14:paraId="75670F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DC657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D05A7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F59C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5849D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B9279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D4CBD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861</w:t>
            </w:r>
          </w:p>
        </w:tc>
        <w:tc>
          <w:tcPr>
            <w:tcW w:w="709" w:type="dxa"/>
          </w:tcPr>
          <w:p w14:paraId="740179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9399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46C2D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518B4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FC9BC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95F9B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3D17B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6694E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861</w:t>
            </w:r>
          </w:p>
        </w:tc>
      </w:tr>
      <w:tr w:rsidR="00A259BD" w:rsidRPr="00A259BD" w14:paraId="258B859A" w14:textId="77777777">
        <w:tc>
          <w:tcPr>
            <w:tcW w:w="725" w:type="dxa"/>
          </w:tcPr>
          <w:p w14:paraId="45955F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1948</w:t>
            </w:r>
          </w:p>
        </w:tc>
        <w:tc>
          <w:tcPr>
            <w:tcW w:w="659" w:type="dxa"/>
          </w:tcPr>
          <w:p w14:paraId="0E8137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E4AE2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ED8C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93AAD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B23B8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4729D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C01A6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662C4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09" w:type="dxa"/>
          </w:tcPr>
          <w:p w14:paraId="160FFA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E0181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AE474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95AA3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548A1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E72AB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031E7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7256B71E" w14:textId="77777777">
        <w:tc>
          <w:tcPr>
            <w:tcW w:w="725" w:type="dxa"/>
          </w:tcPr>
          <w:p w14:paraId="749125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1949</w:t>
            </w:r>
          </w:p>
        </w:tc>
        <w:tc>
          <w:tcPr>
            <w:tcW w:w="659" w:type="dxa"/>
          </w:tcPr>
          <w:p w14:paraId="7F6541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6A9880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77A09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FDC93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C1A63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B61AE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D5D85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7E7B0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w:t>
            </w:r>
          </w:p>
        </w:tc>
        <w:tc>
          <w:tcPr>
            <w:tcW w:w="709" w:type="dxa"/>
          </w:tcPr>
          <w:p w14:paraId="5E7C9B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D6702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3C86F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B6C08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A7EC6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C8951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B0AA4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w:t>
            </w:r>
          </w:p>
        </w:tc>
      </w:tr>
      <w:tr w:rsidR="00A259BD" w:rsidRPr="00A259BD" w14:paraId="4771E32C" w14:textId="77777777">
        <w:tc>
          <w:tcPr>
            <w:tcW w:w="725" w:type="dxa"/>
          </w:tcPr>
          <w:p w14:paraId="03BBDF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1950</w:t>
            </w:r>
          </w:p>
        </w:tc>
        <w:tc>
          <w:tcPr>
            <w:tcW w:w="659" w:type="dxa"/>
          </w:tcPr>
          <w:p w14:paraId="596E97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2B89E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A6F5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31DEE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E51DA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54175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B459E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8E2FB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108</w:t>
            </w:r>
          </w:p>
        </w:tc>
        <w:tc>
          <w:tcPr>
            <w:tcW w:w="709" w:type="dxa"/>
          </w:tcPr>
          <w:p w14:paraId="46D916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132DB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72A5C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F2C37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E6C4D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BEA20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FF57A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108</w:t>
            </w:r>
          </w:p>
        </w:tc>
      </w:tr>
      <w:tr w:rsidR="00A259BD" w:rsidRPr="00A259BD" w14:paraId="0553693F" w14:textId="77777777">
        <w:tc>
          <w:tcPr>
            <w:tcW w:w="725" w:type="dxa"/>
          </w:tcPr>
          <w:p w14:paraId="7724F2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1951</w:t>
            </w:r>
          </w:p>
        </w:tc>
        <w:tc>
          <w:tcPr>
            <w:tcW w:w="659" w:type="dxa"/>
          </w:tcPr>
          <w:p w14:paraId="5F6EE8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3CC83F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4319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E2D48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A4162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96EC8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A0780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C753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w:t>
            </w:r>
          </w:p>
        </w:tc>
        <w:tc>
          <w:tcPr>
            <w:tcW w:w="709" w:type="dxa"/>
          </w:tcPr>
          <w:p w14:paraId="05E6AF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DE1B5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6ECD8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4C83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D4F45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51A04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21972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w:t>
            </w:r>
          </w:p>
        </w:tc>
      </w:tr>
      <w:tr w:rsidR="00A259BD" w:rsidRPr="00A259BD" w14:paraId="72B7FBE3" w14:textId="77777777">
        <w:tc>
          <w:tcPr>
            <w:tcW w:w="725" w:type="dxa"/>
          </w:tcPr>
          <w:p w14:paraId="6BF94C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1952</w:t>
            </w:r>
          </w:p>
        </w:tc>
        <w:tc>
          <w:tcPr>
            <w:tcW w:w="659" w:type="dxa"/>
          </w:tcPr>
          <w:p w14:paraId="55F061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1D5F1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A66A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644D7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A1BC4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653FC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EF90B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32E03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166</w:t>
            </w:r>
          </w:p>
        </w:tc>
        <w:tc>
          <w:tcPr>
            <w:tcW w:w="709" w:type="dxa"/>
          </w:tcPr>
          <w:p w14:paraId="274C1C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DFCD4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78280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478B7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6364E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C781B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6C9B1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166</w:t>
            </w:r>
          </w:p>
        </w:tc>
      </w:tr>
      <w:tr w:rsidR="00A259BD" w:rsidRPr="00A259BD" w14:paraId="378AD552" w14:textId="77777777">
        <w:tc>
          <w:tcPr>
            <w:tcW w:w="725" w:type="dxa"/>
          </w:tcPr>
          <w:p w14:paraId="174726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1953</w:t>
            </w:r>
          </w:p>
        </w:tc>
        <w:tc>
          <w:tcPr>
            <w:tcW w:w="659" w:type="dxa"/>
          </w:tcPr>
          <w:p w14:paraId="1F9EEF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2F53FA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3B502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22C10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F8AA1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469A8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481F9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95C74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w:t>
            </w:r>
          </w:p>
        </w:tc>
        <w:tc>
          <w:tcPr>
            <w:tcW w:w="709" w:type="dxa"/>
          </w:tcPr>
          <w:p w14:paraId="5AE84F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tc>
        <w:tc>
          <w:tcPr>
            <w:tcW w:w="709" w:type="dxa"/>
          </w:tcPr>
          <w:p w14:paraId="1D50F4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5CFF5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60BB5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A2F9D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FCB8E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F38F7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w:t>
            </w:r>
          </w:p>
        </w:tc>
      </w:tr>
      <w:tr w:rsidR="00A259BD" w:rsidRPr="00A259BD" w14:paraId="22112C04" w14:textId="77777777">
        <w:tc>
          <w:tcPr>
            <w:tcW w:w="725" w:type="dxa"/>
          </w:tcPr>
          <w:p w14:paraId="64268F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1954</w:t>
            </w:r>
          </w:p>
        </w:tc>
        <w:tc>
          <w:tcPr>
            <w:tcW w:w="659" w:type="dxa"/>
          </w:tcPr>
          <w:p w14:paraId="3658D3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8B81C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2BB7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A3C82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E5E9C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EA9E2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65802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96648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3FAB3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3CE94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72D9F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4562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CDEE4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DE8D7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8989E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5EC3A350" w14:textId="77777777">
        <w:tc>
          <w:tcPr>
            <w:tcW w:w="725" w:type="dxa"/>
          </w:tcPr>
          <w:p w14:paraId="07D24D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1955</w:t>
            </w:r>
          </w:p>
        </w:tc>
        <w:tc>
          <w:tcPr>
            <w:tcW w:w="659" w:type="dxa"/>
          </w:tcPr>
          <w:p w14:paraId="29F3FC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020C1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39BB4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76CEC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8BA32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A3550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A6DCF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1B433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932F9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A953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708" w:type="dxa"/>
          </w:tcPr>
          <w:p w14:paraId="4201C8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96670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9F3DD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B8200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56780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r>
      <w:tr w:rsidR="00A259BD" w:rsidRPr="00A259BD" w14:paraId="4726EC45" w14:textId="77777777">
        <w:tc>
          <w:tcPr>
            <w:tcW w:w="725" w:type="dxa"/>
          </w:tcPr>
          <w:p w14:paraId="125D12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1956</w:t>
            </w:r>
          </w:p>
        </w:tc>
        <w:tc>
          <w:tcPr>
            <w:tcW w:w="659" w:type="dxa"/>
          </w:tcPr>
          <w:p w14:paraId="178F01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642E96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3DD4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1148D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C7E5D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6D6DC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BDA1B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94F54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379A1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C2FB5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708" w:type="dxa"/>
          </w:tcPr>
          <w:p w14:paraId="2D4C94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DEC16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2823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FE916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C20F3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r>
      <w:tr w:rsidR="00A259BD" w:rsidRPr="00A259BD" w14:paraId="0293EFCB" w14:textId="77777777">
        <w:tc>
          <w:tcPr>
            <w:tcW w:w="725" w:type="dxa"/>
          </w:tcPr>
          <w:p w14:paraId="3B42E6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1957</w:t>
            </w:r>
          </w:p>
        </w:tc>
        <w:tc>
          <w:tcPr>
            <w:tcW w:w="659" w:type="dxa"/>
          </w:tcPr>
          <w:p w14:paraId="10A15C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95EBF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2F00B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E05C2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E06BF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E49E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4A32A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2A5B2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9BDDB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AADD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w:t>
            </w:r>
          </w:p>
        </w:tc>
        <w:tc>
          <w:tcPr>
            <w:tcW w:w="708" w:type="dxa"/>
          </w:tcPr>
          <w:p w14:paraId="7D0076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709" w:type="dxa"/>
          </w:tcPr>
          <w:p w14:paraId="15CF08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27AAE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9478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5E4B8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w:t>
            </w:r>
          </w:p>
        </w:tc>
      </w:tr>
      <w:tr w:rsidR="00A259BD" w:rsidRPr="00A259BD" w14:paraId="1DA199E6" w14:textId="77777777">
        <w:tc>
          <w:tcPr>
            <w:tcW w:w="725" w:type="dxa"/>
          </w:tcPr>
          <w:p w14:paraId="0062F0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1958</w:t>
            </w:r>
          </w:p>
        </w:tc>
        <w:tc>
          <w:tcPr>
            <w:tcW w:w="659" w:type="dxa"/>
          </w:tcPr>
          <w:p w14:paraId="6EB129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D8C64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EA8B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A04DF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7F384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4353F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9C3B8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497FB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592C2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A4340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11E11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98784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tc>
        <w:tc>
          <w:tcPr>
            <w:tcW w:w="709" w:type="dxa"/>
          </w:tcPr>
          <w:p w14:paraId="2EFBEF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709" w:type="dxa"/>
          </w:tcPr>
          <w:p w14:paraId="122574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708" w:type="dxa"/>
          </w:tcPr>
          <w:p w14:paraId="41F2E0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w:t>
            </w:r>
          </w:p>
        </w:tc>
      </w:tr>
      <w:tr w:rsidR="00A259BD" w:rsidRPr="00A259BD" w14:paraId="0C42F99E" w14:textId="77777777">
        <w:tc>
          <w:tcPr>
            <w:tcW w:w="725" w:type="dxa"/>
          </w:tcPr>
          <w:p w14:paraId="5B99D2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w:t>
            </w:r>
          </w:p>
        </w:tc>
        <w:tc>
          <w:tcPr>
            <w:tcW w:w="659" w:type="dxa"/>
          </w:tcPr>
          <w:p w14:paraId="3731A4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c>
          <w:tcPr>
            <w:tcW w:w="559" w:type="dxa"/>
          </w:tcPr>
          <w:p w14:paraId="0680D0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w:t>
            </w:r>
          </w:p>
        </w:tc>
        <w:tc>
          <w:tcPr>
            <w:tcW w:w="717" w:type="dxa"/>
          </w:tcPr>
          <w:p w14:paraId="16B9EE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771</w:t>
            </w:r>
          </w:p>
        </w:tc>
        <w:tc>
          <w:tcPr>
            <w:tcW w:w="709" w:type="dxa"/>
          </w:tcPr>
          <w:p w14:paraId="75EDF0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1137</w:t>
            </w:r>
          </w:p>
        </w:tc>
        <w:tc>
          <w:tcPr>
            <w:tcW w:w="567" w:type="dxa"/>
          </w:tcPr>
          <w:p w14:paraId="44396D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w:t>
            </w:r>
          </w:p>
        </w:tc>
        <w:tc>
          <w:tcPr>
            <w:tcW w:w="567" w:type="dxa"/>
          </w:tcPr>
          <w:p w14:paraId="6A1F6F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15025</w:t>
            </w:r>
          </w:p>
        </w:tc>
        <w:tc>
          <w:tcPr>
            <w:tcW w:w="708" w:type="dxa"/>
          </w:tcPr>
          <w:p w14:paraId="5304AA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3237</w:t>
            </w:r>
          </w:p>
        </w:tc>
        <w:tc>
          <w:tcPr>
            <w:tcW w:w="709" w:type="dxa"/>
          </w:tcPr>
          <w:p w14:paraId="7516BB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480</w:t>
            </w:r>
          </w:p>
        </w:tc>
        <w:tc>
          <w:tcPr>
            <w:tcW w:w="709" w:type="dxa"/>
          </w:tcPr>
          <w:p w14:paraId="04148E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w:t>
            </w:r>
          </w:p>
        </w:tc>
        <w:tc>
          <w:tcPr>
            <w:tcW w:w="709" w:type="dxa"/>
          </w:tcPr>
          <w:p w14:paraId="23BA8E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w:t>
            </w:r>
          </w:p>
        </w:tc>
        <w:tc>
          <w:tcPr>
            <w:tcW w:w="708" w:type="dxa"/>
          </w:tcPr>
          <w:p w14:paraId="46F4F9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709" w:type="dxa"/>
          </w:tcPr>
          <w:p w14:paraId="3F0166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tc>
        <w:tc>
          <w:tcPr>
            <w:tcW w:w="709" w:type="dxa"/>
          </w:tcPr>
          <w:p w14:paraId="33B577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709" w:type="dxa"/>
          </w:tcPr>
          <w:p w14:paraId="53BD68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708" w:type="dxa"/>
          </w:tcPr>
          <w:p w14:paraId="2469DC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20845</w:t>
            </w:r>
          </w:p>
        </w:tc>
      </w:tr>
    </w:tbl>
    <w:p w14:paraId="006EDB0C"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71 машины одна машина во время испытания (лето 1941 года) была подбита в воздухе и сгорела.</w:t>
      </w:r>
    </w:p>
    <w:p w14:paraId="37D61B20"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данным ППО выпуск самолетов числится 1510 (9730).</w:t>
      </w:r>
    </w:p>
    <w:p w14:paraId="2BDB6435"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AA0126F" w14:textId="77777777" w:rsidR="00454A21" w:rsidRPr="00A259BD" w:rsidRDefault="00454A21" w:rsidP="009236E3">
      <w:pPr>
        <w:spacing w:after="0" w:line="240" w:lineRule="auto"/>
        <w:jc w:val="both"/>
        <w:rPr>
          <w:rStyle w:val="ucoz-forum-post"/>
          <w:rFonts w:ascii="Times New Roman" w:eastAsiaTheme="majorEastAsia"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29 октября 1929 года</w:t>
      </w:r>
      <w:r w:rsidRPr="00A259BD">
        <w:rPr>
          <w:rStyle w:val="ucoz-forum-post"/>
          <w:rFonts w:ascii="Times New Roman" w:eastAsiaTheme="majorEastAsia" w:hAnsi="Times New Roman"/>
          <w:color w:val="000000" w:themeColor="text1"/>
          <w:sz w:val="16"/>
          <w:szCs w:val="16"/>
        </w:rPr>
        <w:t xml:space="preserve"> Опубликованы работы: </w:t>
      </w:r>
      <w:proofErr w:type="spellStart"/>
      <w:r w:rsidRPr="00A259BD">
        <w:rPr>
          <w:rStyle w:val="ucoz-forum-post"/>
          <w:rFonts w:ascii="Times New Roman" w:eastAsiaTheme="majorEastAsia" w:hAnsi="Times New Roman"/>
          <w:color w:val="000000" w:themeColor="text1"/>
          <w:sz w:val="16"/>
          <w:szCs w:val="16"/>
        </w:rPr>
        <w:t>К.Э.Циолковского</w:t>
      </w:r>
      <w:proofErr w:type="spellEnd"/>
      <w:r w:rsidRPr="00A259BD">
        <w:rPr>
          <w:rStyle w:val="ucoz-forum-post"/>
          <w:rFonts w:ascii="Times New Roman" w:eastAsiaTheme="majorEastAsia" w:hAnsi="Times New Roman"/>
          <w:color w:val="000000" w:themeColor="text1"/>
          <w:sz w:val="16"/>
          <w:szCs w:val="16"/>
        </w:rPr>
        <w:t xml:space="preserve"> "Космические ракетные поезда" и </w:t>
      </w:r>
      <w:proofErr w:type="spellStart"/>
      <w:r w:rsidRPr="00A259BD">
        <w:rPr>
          <w:rStyle w:val="ucoz-forum-post"/>
          <w:rFonts w:ascii="Times New Roman" w:eastAsiaTheme="majorEastAsia" w:hAnsi="Times New Roman"/>
          <w:color w:val="000000" w:themeColor="text1"/>
          <w:sz w:val="16"/>
          <w:szCs w:val="16"/>
        </w:rPr>
        <w:t>Ю.В.Кондратюка</w:t>
      </w:r>
      <w:proofErr w:type="spellEnd"/>
      <w:r w:rsidRPr="00A259BD">
        <w:rPr>
          <w:rStyle w:val="ucoz-forum-post"/>
          <w:rFonts w:ascii="Times New Roman" w:eastAsiaTheme="majorEastAsia" w:hAnsi="Times New Roman"/>
          <w:color w:val="000000" w:themeColor="text1"/>
          <w:sz w:val="16"/>
          <w:szCs w:val="16"/>
        </w:rPr>
        <w:t xml:space="preserve"> "Завоевание межпланетных пространств" (14814).</w:t>
      </w:r>
    </w:p>
    <w:p w14:paraId="09EFE340" w14:textId="77777777" w:rsidR="00454A21" w:rsidRPr="00A259BD" w:rsidRDefault="00454A21" w:rsidP="009236E3">
      <w:pPr>
        <w:spacing w:after="0" w:line="240" w:lineRule="auto"/>
        <w:jc w:val="both"/>
        <w:rPr>
          <w:rStyle w:val="ucoz-forum-post"/>
          <w:rFonts w:ascii="Times New Roman" w:eastAsiaTheme="majorEastAsia" w:hAnsi="Times New Roman"/>
          <w:color w:val="000000" w:themeColor="text1"/>
          <w:sz w:val="16"/>
          <w:szCs w:val="16"/>
        </w:rPr>
      </w:pPr>
    </w:p>
    <w:p w14:paraId="52EDC732" w14:textId="77777777" w:rsidR="00F547C5" w:rsidRPr="00A259BD" w:rsidRDefault="002E2A19" w:rsidP="009236E3">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6FFA4CE"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p>
    <w:p w14:paraId="18622BEF"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октября 1929 г. Выписка из протокола заседания Президиума ВСНХ СССР об изъятии из ведения </w:t>
      </w:r>
      <w:proofErr w:type="spellStart"/>
      <w:r w:rsidRPr="00A259BD">
        <w:rPr>
          <w:rFonts w:ascii="Times New Roman" w:hAnsi="Times New Roman"/>
          <w:color w:val="000000" w:themeColor="text1"/>
          <w:sz w:val="16"/>
          <w:szCs w:val="16"/>
        </w:rPr>
        <w:t>Орудартреста</w:t>
      </w:r>
      <w:proofErr w:type="spellEnd"/>
      <w:r w:rsidRPr="00A259BD">
        <w:rPr>
          <w:rFonts w:ascii="Times New Roman" w:hAnsi="Times New Roman"/>
          <w:color w:val="000000" w:themeColor="text1"/>
          <w:sz w:val="16"/>
          <w:szCs w:val="16"/>
        </w:rPr>
        <w:t xml:space="preserve"> оптико-механических производственных предприятий и передаче их ВСНХ РСФСР и УССР для соответственного объединения с оптико-механическими предприятиями Московской, Ленинградской областей и УССР (РГАЭ. Ф. 3429. Оп. 6. Д. 193. Л. 13?13 об.) (12417).</w:t>
      </w:r>
    </w:p>
    <w:p w14:paraId="093C330A" w14:textId="77777777" w:rsidR="00466152" w:rsidRPr="00A259BD" w:rsidRDefault="00466152" w:rsidP="009236E3">
      <w:pPr>
        <w:spacing w:after="0" w:line="240" w:lineRule="auto"/>
        <w:jc w:val="both"/>
        <w:rPr>
          <w:rFonts w:ascii="Times New Roman" w:hAnsi="Times New Roman"/>
          <w:color w:val="000000" w:themeColor="text1"/>
          <w:sz w:val="16"/>
          <w:szCs w:val="16"/>
        </w:rPr>
      </w:pPr>
    </w:p>
    <w:p w14:paraId="657EB7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октября 1929 года строительная площадка КМК получила связь по железной дороге с Транссибом – пришел первый состав с лесом. К зиме началось жилищное строительство. На Верхней колонии, недалеко от строительной площадки, строились дома для технического персонала. Возводились бараки и землянки для </w:t>
      </w:r>
      <w:r w:rsidRPr="00A259BD">
        <w:rPr>
          <w:rFonts w:ascii="Times New Roman" w:hAnsi="Times New Roman"/>
          <w:color w:val="000000" w:themeColor="text1"/>
          <w:sz w:val="16"/>
          <w:szCs w:val="16"/>
        </w:rPr>
        <w:lastRenderedPageBreak/>
        <w:t xml:space="preserve">участников строительства. Помимо производственных зданий закладывались столовые, хлебопекарня, овощехранилище, </w:t>
      </w:r>
      <w:proofErr w:type="spellStart"/>
      <w:r w:rsidRPr="00A259BD">
        <w:rPr>
          <w:rFonts w:ascii="Times New Roman" w:hAnsi="Times New Roman"/>
          <w:color w:val="000000" w:themeColor="text1"/>
          <w:sz w:val="16"/>
          <w:szCs w:val="16"/>
        </w:rPr>
        <w:t>мясохранилище</w:t>
      </w:r>
      <w:proofErr w:type="spellEnd"/>
      <w:r w:rsidRPr="00A259BD">
        <w:rPr>
          <w:rFonts w:ascii="Times New Roman" w:hAnsi="Times New Roman"/>
          <w:color w:val="000000" w:themeColor="text1"/>
          <w:sz w:val="16"/>
          <w:szCs w:val="16"/>
        </w:rPr>
        <w:t xml:space="preserve">, ларьки, амбулатория, строилась баня. </w:t>
      </w:r>
    </w:p>
    <w:p w14:paraId="4951FA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стройке процветали различные формы ударничества и постановки “трудовых рекордов” (интересно, что строители КМК “соревновались” со строителями Магнитки). Так, бригада землекопов А.С. Филиппова на обратной засыпке траншеи главного водовода, идущего от водозабора на реке Томь до завода, установила мировой рекорд по перемещению земляного грунта вручную. Примечательно, что лопата бригадира затем стала одним из экспонатов Музея Октябрьской революции в Москве.</w:t>
      </w:r>
    </w:p>
    <w:p w14:paraId="68FEDE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Постепенно наращивались темпы промышленного строительства. Укладывались железнодорожные пути, и велось устройство веток к песчано-галечному и каменному карьеру. К январю 1930 года закончилось сооружение временной системы водоснабжения и были закончены гидрогеологические исследования. Тяжелый труд в кошмарных бытовых условиях стал источником вдохновения для советских писателей и поэтов. Как вспоминал Илья Эренбург, “люди строили завод в неслыханно трудных условиях, кажется, никто нигде так не строил, да и не будет строить”. </w:t>
      </w:r>
    </w:p>
    <w:p w14:paraId="14B1C7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1929 год на стройке была проведена планировка площадки, уложены подъездные пути, возведены кирпичный завод, технологический склад, 18 бараков и несколько каменных домов. Открылись столовая, школа, магазин. В 1930 году “</w:t>
      </w:r>
      <w:proofErr w:type="spellStart"/>
      <w:r w:rsidRPr="00A259BD">
        <w:rPr>
          <w:rFonts w:ascii="Times New Roman" w:hAnsi="Times New Roman"/>
          <w:color w:val="000000" w:themeColor="text1"/>
          <w:sz w:val="16"/>
          <w:szCs w:val="16"/>
        </w:rPr>
        <w:t>Кузнецкстрой</w:t>
      </w:r>
      <w:proofErr w:type="spellEnd"/>
      <w:r w:rsidRPr="00A259BD">
        <w:rPr>
          <w:rFonts w:ascii="Times New Roman" w:hAnsi="Times New Roman"/>
          <w:color w:val="000000" w:themeColor="text1"/>
          <w:sz w:val="16"/>
          <w:szCs w:val="16"/>
        </w:rPr>
        <w:t xml:space="preserve">” вступил в новый период: завершалось строительство подсобных цехов, развернулось сооружение двух доменных печей, мартеновского и прокатного цехов, коксохимического завода и электростанции. </w:t>
      </w:r>
    </w:p>
    <w:p w14:paraId="032E11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Одновременно прокладывались шоссейные дороги, строились кирпичные заводы, и даже реконструкция Гурьевского металлургического завода, снабжавшего стройку металлоизделиями, огнеупорами и фасонным литьем тоже шла по единому графику. Тем не менее, определенное отставание от сроков все же произошло. В мае 1930 года руководителем “</w:t>
      </w:r>
      <w:proofErr w:type="spellStart"/>
      <w:r w:rsidRPr="00A259BD">
        <w:rPr>
          <w:rFonts w:ascii="Times New Roman" w:hAnsi="Times New Roman"/>
          <w:color w:val="000000" w:themeColor="text1"/>
          <w:sz w:val="16"/>
          <w:szCs w:val="16"/>
        </w:rPr>
        <w:t>Кузнецкстроя</w:t>
      </w:r>
      <w:proofErr w:type="spellEnd"/>
      <w:r w:rsidRPr="00A259BD">
        <w:rPr>
          <w:rFonts w:ascii="Times New Roman" w:hAnsi="Times New Roman"/>
          <w:color w:val="000000" w:themeColor="text1"/>
          <w:sz w:val="16"/>
          <w:szCs w:val="16"/>
        </w:rPr>
        <w:t xml:space="preserve">” была назначен партиец с </w:t>
      </w:r>
      <w:proofErr w:type="spellStart"/>
      <w:r w:rsidRPr="00A259BD">
        <w:rPr>
          <w:rFonts w:ascii="Times New Roman" w:hAnsi="Times New Roman"/>
          <w:color w:val="000000" w:themeColor="text1"/>
          <w:sz w:val="16"/>
          <w:szCs w:val="16"/>
        </w:rPr>
        <w:t>дореволюционнам</w:t>
      </w:r>
      <w:proofErr w:type="spellEnd"/>
      <w:r w:rsidRPr="00A259BD">
        <w:rPr>
          <w:rFonts w:ascii="Times New Roman" w:hAnsi="Times New Roman"/>
          <w:color w:val="000000" w:themeColor="text1"/>
          <w:sz w:val="16"/>
          <w:szCs w:val="16"/>
        </w:rPr>
        <w:t xml:space="preserve"> стажем, выпускник Политехнического института в Гренобле С.М. Франкфурт, любивший в печати, кстати, разоблачать “вредителей” и классовых врагов. Впрочем, его судьба не отличилась от истории </w:t>
      </w:r>
      <w:proofErr w:type="spellStart"/>
      <w:r w:rsidRPr="00A259BD">
        <w:rPr>
          <w:rFonts w:ascii="Times New Roman" w:hAnsi="Times New Roman"/>
          <w:color w:val="000000" w:themeColor="text1"/>
          <w:sz w:val="16"/>
          <w:szCs w:val="16"/>
        </w:rPr>
        <w:t>Колгушкина</w:t>
      </w:r>
      <w:proofErr w:type="spellEnd"/>
      <w:r w:rsidRPr="00A259BD">
        <w:rPr>
          <w:rFonts w:ascii="Times New Roman" w:hAnsi="Times New Roman"/>
          <w:color w:val="000000" w:themeColor="text1"/>
          <w:sz w:val="16"/>
          <w:szCs w:val="16"/>
        </w:rPr>
        <w:t xml:space="preserve">. В 1936 году Франкфурта обвинили в измене Родине, шпионаже и терроризме, после чего он был расстрелян. </w:t>
      </w:r>
    </w:p>
    <w:p w14:paraId="1967AB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Заказы на изготовление крупных металлургических агрегатов были размещены в Германии, Англии, отчасти США и Франции. Земляные работы шли круглогодично. В 1931 году число рабочих “</w:t>
      </w:r>
      <w:proofErr w:type="spellStart"/>
      <w:r w:rsidRPr="00A259BD">
        <w:rPr>
          <w:rFonts w:ascii="Times New Roman" w:hAnsi="Times New Roman"/>
          <w:color w:val="000000" w:themeColor="text1"/>
          <w:sz w:val="16"/>
          <w:szCs w:val="16"/>
        </w:rPr>
        <w:t>Кузнецкстроя</w:t>
      </w:r>
      <w:proofErr w:type="spellEnd"/>
      <w:r w:rsidRPr="00A259BD">
        <w:rPr>
          <w:rFonts w:ascii="Times New Roman" w:hAnsi="Times New Roman"/>
          <w:color w:val="000000" w:themeColor="text1"/>
          <w:sz w:val="16"/>
          <w:szCs w:val="16"/>
        </w:rPr>
        <w:t xml:space="preserve">” выросло до 50 тысяч. Еще около 30 тысяч человек были на строительстве железных дорог и рудников. Естественно, что собрать такое количество людей одним только оргнабором было невозможно. По данным исследователя-краеведа Л.И. </w:t>
      </w:r>
      <w:proofErr w:type="spellStart"/>
      <w:r w:rsidRPr="00A259BD">
        <w:rPr>
          <w:rFonts w:ascii="Times New Roman" w:hAnsi="Times New Roman"/>
          <w:color w:val="000000" w:themeColor="text1"/>
          <w:sz w:val="16"/>
          <w:szCs w:val="16"/>
        </w:rPr>
        <w:t>Фойгт</w:t>
      </w:r>
      <w:proofErr w:type="spellEnd"/>
      <w:r w:rsidRPr="00A259BD">
        <w:rPr>
          <w:rFonts w:ascii="Times New Roman" w:hAnsi="Times New Roman"/>
          <w:color w:val="000000" w:themeColor="text1"/>
          <w:sz w:val="16"/>
          <w:szCs w:val="16"/>
        </w:rPr>
        <w:t xml:space="preserve">, до 62% строителей Кузнецкого комбината были раскулаченными крестьянами и заключенными (Л.И. </w:t>
      </w:r>
      <w:proofErr w:type="spellStart"/>
      <w:r w:rsidRPr="00A259BD">
        <w:rPr>
          <w:rFonts w:ascii="Times New Roman" w:hAnsi="Times New Roman"/>
          <w:color w:val="000000" w:themeColor="text1"/>
          <w:sz w:val="16"/>
          <w:szCs w:val="16"/>
        </w:rPr>
        <w:t>Фойгт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Сталинск</w:t>
      </w:r>
      <w:proofErr w:type="spellEnd"/>
      <w:r w:rsidRPr="00A259BD">
        <w:rPr>
          <w:rFonts w:ascii="Times New Roman" w:hAnsi="Times New Roman"/>
          <w:color w:val="000000" w:themeColor="text1"/>
          <w:sz w:val="16"/>
          <w:szCs w:val="16"/>
        </w:rPr>
        <w:t xml:space="preserve"> в годы репрессий. Новокузнецк. 1993-1995)</w:t>
      </w:r>
    </w:p>
    <w:p w14:paraId="391FAF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1931 году стройка освоила </w:t>
      </w:r>
      <w:proofErr w:type="spellStart"/>
      <w:r w:rsidRPr="00A259BD">
        <w:rPr>
          <w:rFonts w:ascii="Times New Roman" w:hAnsi="Times New Roman"/>
          <w:color w:val="000000" w:themeColor="text1"/>
          <w:sz w:val="16"/>
          <w:szCs w:val="16"/>
        </w:rPr>
        <w:t>планово</w:t>
      </w:r>
      <w:proofErr w:type="spellEnd"/>
      <w:r w:rsidRPr="00A259BD">
        <w:rPr>
          <w:rFonts w:ascii="Times New Roman" w:hAnsi="Times New Roman"/>
          <w:color w:val="000000" w:themeColor="text1"/>
          <w:sz w:val="16"/>
          <w:szCs w:val="16"/>
        </w:rPr>
        <w:t xml:space="preserve"> до 150 млн. рублей (в 1930 году – только 50 млн. рублей). К концу года в строй были введены вспомогательные цеха - литейный и </w:t>
      </w:r>
      <w:proofErr w:type="spellStart"/>
      <w:r w:rsidRPr="00A259BD">
        <w:rPr>
          <w:rFonts w:ascii="Times New Roman" w:hAnsi="Times New Roman"/>
          <w:color w:val="000000" w:themeColor="text1"/>
          <w:sz w:val="16"/>
          <w:szCs w:val="16"/>
        </w:rPr>
        <w:t>шамото-динасовый</w:t>
      </w:r>
      <w:proofErr w:type="spellEnd"/>
      <w:r w:rsidRPr="00A259BD">
        <w:rPr>
          <w:rFonts w:ascii="Times New Roman" w:hAnsi="Times New Roman"/>
          <w:color w:val="000000" w:themeColor="text1"/>
          <w:sz w:val="16"/>
          <w:szCs w:val="16"/>
        </w:rPr>
        <w:t xml:space="preserve">. В феврале 1932 года заработала коксовая батарея и ТЭЦ. Первая доменная печь была запущена в конце марта 1932 года (первый чугун – 3 апреля). Советское руководство оценило высоко эти достижения (11539). </w:t>
      </w:r>
    </w:p>
    <w:p w14:paraId="0F9F88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407D67"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октября - 5 ноября 1929 г.</w:t>
      </w:r>
    </w:p>
    <w:p w14:paraId="2317DC25"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Показания С. А. Хренникова о «деятельности контрреволюционной организации в металлопромышленности», данные им в период с 29 октября по 5 ноября 1929 г.</w:t>
      </w:r>
    </w:p>
    <w:p w14:paraId="65653781"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70F3550"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к докладной записке Г. Г. Ягоды и Г. Е. Прокофьева</w:t>
      </w:r>
    </w:p>
    <w:p w14:paraId="1D7D3C05"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6 ноября 1929 г.</w:t>
      </w:r>
    </w:p>
    <w:p w14:paraId="68744C54"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Секретно]</w:t>
      </w:r>
    </w:p>
    <w:p w14:paraId="50A11B6A"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ПОКАЗАНИЯ С. А. ХРЕННИКОВА.</w:t>
      </w:r>
    </w:p>
    <w:p w14:paraId="4FA596BC"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развитие показания от 28 октября с. г. признаю, что в металлической промышленности, в частности в Техсовете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xml:space="preserve">, примерно в 1922 году создалась </w:t>
      </w:r>
      <w:proofErr w:type="spellStart"/>
      <w:r w:rsidRPr="00A259BD">
        <w:rPr>
          <w:rFonts w:ascii="Times New Roman" w:hAnsi="Times New Roman"/>
          <w:color w:val="000000" w:themeColor="text1"/>
          <w:sz w:val="16"/>
          <w:szCs w:val="16"/>
        </w:rPr>
        <w:t>контр-революционная</w:t>
      </w:r>
      <w:proofErr w:type="spellEnd"/>
      <w:r w:rsidRPr="00A259BD">
        <w:rPr>
          <w:rFonts w:ascii="Times New Roman" w:hAnsi="Times New Roman"/>
          <w:color w:val="000000" w:themeColor="text1"/>
          <w:sz w:val="16"/>
          <w:szCs w:val="16"/>
        </w:rPr>
        <w:t xml:space="preserve"> группа, объединенная общими взглядами на нашу промышленность и ставящая себе задачу вынуждать Советское Правительство прибегнуть к помощи иностранного капитала для восстановления промышленности. В этой группе были ГАРТВАН, БЕЛОНОЖКИН, КУТЛЕР, ЖДАНОВ, КУТСКИЙ, НЕЙМАЕР, МИЛЮКОВ, я и др. Наездами бывал в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и СВИЦЫН, который тоже присутствовал во время разговоров наших о концессиях и бывших владельцах, и тоже вполне разделял наши взгляды.</w:t>
      </w:r>
    </w:p>
    <w:p w14:paraId="1E949359"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Образовалась эта группа в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еще до моего вступления в члены Техсовета, куда я был приглашен, насколько помню, в 1922 году. </w:t>
      </w:r>
      <w:proofErr w:type="spellStart"/>
      <w:r w:rsidRPr="00A259BD">
        <w:rPr>
          <w:rFonts w:ascii="Times New Roman" w:hAnsi="Times New Roman"/>
          <w:color w:val="000000" w:themeColor="text1"/>
          <w:sz w:val="16"/>
          <w:szCs w:val="16"/>
        </w:rPr>
        <w:t>Контр-революционная</w:t>
      </w:r>
      <w:proofErr w:type="spellEnd"/>
      <w:r w:rsidRPr="00A259BD">
        <w:rPr>
          <w:rFonts w:ascii="Times New Roman" w:hAnsi="Times New Roman"/>
          <w:color w:val="000000" w:themeColor="text1"/>
          <w:sz w:val="16"/>
          <w:szCs w:val="16"/>
        </w:rPr>
        <w:t xml:space="preserve"> группа вела свою работу по директивам, исходящим из заграницы от бывших владельцев. Основными директивами было на первое время сохранение предприятий для концессий, в частности я передавал инженерам, участвующим в заседаниях Техсовета, директивы МЕЩЕРСКОГО о сохранении предприятий и его намерении взять в концессию их. То же самое говорилось и о намерениях ГЛАССА. Говорили и другие инженеры насчет концессии и о необходимости содействия им. Например, о приезде УРКВАРТА говорил ГАРТВАН, о приезде ЖИВОТОВСКОГО говорил ЖДАНОВ. Говорилось и о том, что надо содействовать концессиям. Свои вредительские планы группа пыталась осуществить путем, например, составления умышленно широкого списка концессий, </w:t>
      </w:r>
      <w:proofErr w:type="spellStart"/>
      <w:r w:rsidRPr="00A259BD">
        <w:rPr>
          <w:rFonts w:ascii="Times New Roman" w:hAnsi="Times New Roman"/>
          <w:color w:val="000000" w:themeColor="text1"/>
          <w:sz w:val="16"/>
          <w:szCs w:val="16"/>
        </w:rPr>
        <w:t>влияни</w:t>
      </w:r>
      <w:proofErr w:type="spellEnd"/>
      <w:r w:rsidRPr="00A259BD">
        <w:rPr>
          <w:rFonts w:ascii="Times New Roman" w:hAnsi="Times New Roman"/>
          <w:color w:val="000000" w:themeColor="text1"/>
          <w:sz w:val="16"/>
          <w:szCs w:val="16"/>
        </w:rPr>
        <w:t xml:space="preserve">[я] на ответственных работников и партийных и внушения им необходимости концессий. В [19]23—24 г. Техсоветом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xml:space="preserve"> была утверждена явно преуменьшенная программа трехлетнего плана работ металлургических заводов. Это было сделано с вредительской целью. В этой трехлетке отразились наиболее ярко все пессимистические настроения </w:t>
      </w:r>
      <w:proofErr w:type="spellStart"/>
      <w:r w:rsidRPr="00A259BD">
        <w:rPr>
          <w:rFonts w:ascii="Times New Roman" w:hAnsi="Times New Roman"/>
          <w:color w:val="000000" w:themeColor="text1"/>
          <w:sz w:val="16"/>
          <w:szCs w:val="16"/>
        </w:rPr>
        <w:t>контр-революционной</w:t>
      </w:r>
      <w:proofErr w:type="spellEnd"/>
      <w:r w:rsidRPr="00A259BD">
        <w:rPr>
          <w:rFonts w:ascii="Times New Roman" w:hAnsi="Times New Roman"/>
          <w:color w:val="000000" w:themeColor="text1"/>
          <w:sz w:val="16"/>
          <w:szCs w:val="16"/>
        </w:rPr>
        <w:t xml:space="preserve"> группы.</w:t>
      </w:r>
    </w:p>
    <w:p w14:paraId="44E58A22"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Записано собственноручно С. ХРЕННИКОВ.</w:t>
      </w:r>
    </w:p>
    <w:p w14:paraId="34F11B29"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29/Х-29 г.</w:t>
      </w:r>
    </w:p>
    <w:p w14:paraId="20ABC173"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ПОКАЗАНИЯ С А. ХРЕННИКОВА.</w:t>
      </w:r>
    </w:p>
    <w:p w14:paraId="78290C2D" w14:textId="77777777" w:rsidR="00F87646" w:rsidRPr="00A259BD" w:rsidRDefault="00F87646"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Контр-революционная</w:t>
      </w:r>
      <w:proofErr w:type="spellEnd"/>
      <w:r w:rsidRPr="00A259BD">
        <w:rPr>
          <w:rFonts w:ascii="Times New Roman" w:hAnsi="Times New Roman"/>
          <w:color w:val="000000" w:themeColor="text1"/>
          <w:sz w:val="16"/>
          <w:szCs w:val="16"/>
        </w:rPr>
        <w:t xml:space="preserve"> вредительская организация в Металлопромышленности в центральных аппаратах получила наибольшее оформление около [19]25/26 года, когда, как я уже указывал, наступил наиболее подходящий момент для проведения вредительства. Ядром этой организации явился в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ВСНХ - бывший Техсовет в лице меня, ЖДАНОВА, БЕЛОНОЖКИНА, ГАРТВАНА, ТАУБЕ, СВИЦЫНА, позднее вошли МИЛЮКОВ, КУТСКИЙ, ЕМЕЛЬЯНОВ. Наиболее сильное влияние на развитие и деятельность этой организации шло с юга, но не отрицаю и своего большого влияния, благодаря отчасти своему прежнему положению, отчасти благодаря тому, что имел связи со старыми хозяевами, с которыми один из первых, входящих в организацию инженеров, я связался и начал получать от них директивы, которые я передавал остальным инженерам.</w:t>
      </w:r>
    </w:p>
    <w:p w14:paraId="59C50B6A"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Записано мной собственноручно. С. ХРЕННИКОВ.</w:t>
      </w:r>
    </w:p>
    <w:p w14:paraId="7753BF17"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1/XI-29 г.</w:t>
      </w:r>
    </w:p>
    <w:p w14:paraId="62D6D089"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ПОКАЗАНИЯ С. А. ХРЕННИКОВА.</w:t>
      </w:r>
    </w:p>
    <w:p w14:paraId="660B0949"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Все разговоры о концессиях, ведшиеся до [19]25 года, ни к каким результатам не повели; в это время приезжали еще концессионеры, насколько помню ЖИВОТОВСКИЙ, ОЛОН[СЬЕ]Н, представители бывших владельцев, которые при свиданиях — с разными инженерами, например, помню, ЖИВОТОВСКИЙ со ЖДАНОВЫМ обсуждали вопрос о необходимости создания соответствующей обстановки для принуждения правительства прибегнуть к концессиям. Основной директивой бывших владельцев в период [19]25 года было доведение Правительства до финансового кризиса в отношении доказывания необходимости больших затрат на восстановление и расширение металлургии. Одна из таких директив была передана через ЖДАНОВА ЖИВОТОВСКИМ всей нашей группе инженеров в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а также самим ЖИВОТОВСКИМ СВИЦЫНУ и ОЛОН[СЬЕ]НОМ СВИЦЫНУ. На основе этого, контрреволюционная группа в металлопромышленности постепенно перешла к активным действиям, и эта группа приняла более организованный вид. К этому времени входили кроме меня в к.-р. организацию ЖДАНОВ, БЕЛОНОЖКИН, КУТСКИЙ, ГАРТВАН, ТАУБЕ, МИЛЮКОВ, СВИЦЫН и др., подробнее о всех должен знать ЖДАНОВ. БЕЛОНОЖКИН проводил вредительство, главным образом, в Ленинграде, проводя умышленно преувеличенные проекты в Гипромезе, например, односменная работа в Ростовском, Тагильском и др. заводах, которые, впоследствии, правда были изменены[,] и во время консультации по разным вопросам по реконструкции заводов </w:t>
      </w:r>
      <w:proofErr w:type="spellStart"/>
      <w:r w:rsidRPr="00A259BD">
        <w:rPr>
          <w:rFonts w:ascii="Times New Roman" w:hAnsi="Times New Roman"/>
          <w:color w:val="000000" w:themeColor="text1"/>
          <w:sz w:val="16"/>
          <w:szCs w:val="16"/>
        </w:rPr>
        <w:t>Ленинмаштреста</w:t>
      </w:r>
      <w:proofErr w:type="spellEnd"/>
      <w:r w:rsidRPr="00A259BD">
        <w:rPr>
          <w:rFonts w:ascii="Times New Roman" w:hAnsi="Times New Roman"/>
          <w:color w:val="000000" w:themeColor="text1"/>
          <w:sz w:val="16"/>
          <w:szCs w:val="16"/>
        </w:rPr>
        <w:t xml:space="preserve">. ЖДАНОВА вредительская работа сосредотачивалась главным образом на Юге. ГАРТВАН и ТАУБЕ проводили вредительство в Госплане, при рассмотрении программ не находили возможным удовлетворять нужды металлопромышленности, находя их нереальными и невыполнимыми, как по финансовым, так и по другим причинам, как, например, объясняли недостатком технического персонала, квалифицированных рабочих, невозможность выполнения при наших условиях в срок капитальных сооружений и т. д., и тем самым задерживали умышленно развитие металлопромышленности. СВИЦЫН проводил вредительство на Юге, встречался сам непосредственно с представителями бывших владельцев, выполнял их директивы[,] и делился также с нами иногда о своих действиях, рассказывая нам об умышленных затяжках капитальных работ, распылял средства по многим сооружениям, преуменьшая искусственно сметы, как, например, </w:t>
      </w:r>
      <w:proofErr w:type="spellStart"/>
      <w:r w:rsidRPr="00A259BD">
        <w:rPr>
          <w:rFonts w:ascii="Times New Roman" w:hAnsi="Times New Roman"/>
          <w:color w:val="000000" w:themeColor="text1"/>
          <w:sz w:val="16"/>
          <w:szCs w:val="16"/>
        </w:rPr>
        <w:t>Фаркуаровское</w:t>
      </w:r>
      <w:proofErr w:type="spellEnd"/>
      <w:r w:rsidRPr="00A259BD">
        <w:rPr>
          <w:rFonts w:ascii="Times New Roman" w:hAnsi="Times New Roman"/>
          <w:color w:val="000000" w:themeColor="text1"/>
          <w:sz w:val="16"/>
          <w:szCs w:val="16"/>
        </w:rPr>
        <w:t xml:space="preserve"> предложение переоборудовать </w:t>
      </w:r>
      <w:proofErr w:type="spellStart"/>
      <w:r w:rsidRPr="00A259BD">
        <w:rPr>
          <w:rFonts w:ascii="Times New Roman" w:hAnsi="Times New Roman"/>
          <w:color w:val="000000" w:themeColor="text1"/>
          <w:sz w:val="16"/>
          <w:szCs w:val="16"/>
        </w:rPr>
        <w:t>Макеевк</w:t>
      </w:r>
      <w:proofErr w:type="spellEnd"/>
      <w:r w:rsidRPr="00A259BD">
        <w:rPr>
          <w:rFonts w:ascii="Times New Roman" w:hAnsi="Times New Roman"/>
          <w:color w:val="000000" w:themeColor="text1"/>
          <w:sz w:val="16"/>
          <w:szCs w:val="16"/>
        </w:rPr>
        <w:t xml:space="preserve">&lt;у,&gt; строительство Керченского завода и т. п. Все это соответствовало директивам быв. владельцев и в центре нами поддерживалось. Непосредственно вредительство в металлопромышленности </w:t>
      </w:r>
      <w:proofErr w:type="spellStart"/>
      <w:r w:rsidRPr="00A259BD">
        <w:rPr>
          <w:rFonts w:ascii="Times New Roman" w:hAnsi="Times New Roman"/>
          <w:color w:val="000000" w:themeColor="text1"/>
          <w:sz w:val="16"/>
          <w:szCs w:val="16"/>
        </w:rPr>
        <w:t>контр-революционная</w:t>
      </w:r>
      <w:proofErr w:type="spellEnd"/>
      <w:r w:rsidRPr="00A259BD">
        <w:rPr>
          <w:rFonts w:ascii="Times New Roman" w:hAnsi="Times New Roman"/>
          <w:color w:val="000000" w:themeColor="text1"/>
          <w:sz w:val="16"/>
          <w:szCs w:val="16"/>
        </w:rPr>
        <w:t xml:space="preserve"> организация начала проводить с 1925 года, затем оно развилось в период [19]26/27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особенно в 1926 г., когда появился германский кредит и представилась возможность к проведению директив о подготовке предприятия для концессии, кроме того явилась возможность ряду инженеров бывать заграницей и видеться с их бывшими хозяевами.</w:t>
      </w:r>
    </w:p>
    <w:p w14:paraId="5070167A"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Связь отдельных членов организации с заграницей.</w:t>
      </w:r>
    </w:p>
    <w:p w14:paraId="771B21CE"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Моя связь с МЕЩЕРСКИМ и с ГЛАССОМ. С МЕЩЕРСКИМ свидания в [19]26 г. и в [19]28 г.[,] с ГЛАССОМ свидания в Москве в [19]21 и в [19]23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и свидания заграницей в [19]26 г. в Берлине и в [19]28 г. в Париже. Мои встречи в Париже в [19]26 г. с ДЕЛЮАЗИ и в том же году на заводе в Бельгии с ЭФРОНОМ.</w:t>
      </w:r>
    </w:p>
    <w:p w14:paraId="66ECD3B8"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СВИЦЫН виделся с ГЛАССОМ в БЕРЛИНЕ и во время приезда в СССР. ЖДАНОВ виделся с ЭФРОНОМ в [19]28 г. в Бельгии[,] с ГЛАССОМ в [19]28 г. в Париже и с ЖИВОТОВСКИМ не помню в каком году в Москве. ТАУБЕ имел связь с ЦЕЙДЛЕРОМ. БЕЛОНОЖКИН виделся со старыми хозяевами, но с кем именно, не помню.</w:t>
      </w:r>
    </w:p>
    <w:p w14:paraId="26832BA9"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директивах, получаемых к.-р. организацией из заграницы.</w:t>
      </w:r>
    </w:p>
    <w:p w14:paraId="112EC8DD"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1921 г. от ГЛАССА я получил директиву о сохранении заводов для концессии. В [19]23 году от ГЛАССА тоже самое. В те же годы от МЕЩЕРСКОГО через ГЛАССА в отношении подготовки для концессий заводов ГОМЗЫ. В [19]24 г. и в [19]25 г. ЖДАНОВ и СВИЦЫН — от ЖИВОТОВСКОГО И ОЛОН[СЬЕ]НА уже директивы относительно проведения нажима на правительство с целью вынудить его к концессиям.</w:t>
      </w:r>
    </w:p>
    <w:p w14:paraId="4ADC914A"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[19]26 г. от МЕЩЕРСКОГО и ГЛАССА я имел непосредственно директивы о дальнейшем нажиме на правительство с целью ослабить финансовую мощь путем вложения больших затрат на переоборудование в капитальное строительство. В это же время МЕЩЕРСКИЙ в Париже мне сообщил, что его и других бывших владельцев поддерживают банки и у них большие надежды на окончание переговоров с Францией о признании Советским Правительством долгов и получении предприятий в компенсацию обратно.</w:t>
      </w:r>
    </w:p>
    <w:p w14:paraId="0ABE96E8"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задачах к.-р. организации.</w:t>
      </w:r>
    </w:p>
    <w:p w14:paraId="4CAFFFA6"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основе нашей контрреволюционности и директив из-за границы </w:t>
      </w:r>
      <w:proofErr w:type="spellStart"/>
      <w:r w:rsidRPr="00A259BD">
        <w:rPr>
          <w:rFonts w:ascii="Times New Roman" w:hAnsi="Times New Roman"/>
          <w:color w:val="000000" w:themeColor="text1"/>
          <w:sz w:val="16"/>
          <w:szCs w:val="16"/>
        </w:rPr>
        <w:t>контр-революционная</w:t>
      </w:r>
      <w:proofErr w:type="spellEnd"/>
      <w:r w:rsidRPr="00A259BD">
        <w:rPr>
          <w:rFonts w:ascii="Times New Roman" w:hAnsi="Times New Roman"/>
          <w:color w:val="000000" w:themeColor="text1"/>
          <w:sz w:val="16"/>
          <w:szCs w:val="16"/>
        </w:rPr>
        <w:t xml:space="preserve"> организация в металлопромышленности ставила основной своей задачей вынудить Советское Правительство прибегнуть к помощи иностранного капитала. Достигалось это проведением ряда вредительских действий, главным образом, сводившихся к затратам[,] не дававшим быстрого и должного эффекта, но в конце концов полезных для концессионеров и бывших владельцев, на приход которых надеялись. В связи с этим особенно задерживалось умышленно развитие южной металлургии, которое усилило диспропорцию между металлургией и металлообработкой. Путем торможения развития металлопромышленности организация замедлила развитие социалистического хозяйства и тем нанесла вред советской власти.</w:t>
      </w:r>
    </w:p>
    <w:p w14:paraId="16EF5415"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Записано собственноручно — ХРЕННИКОВ.</w:t>
      </w:r>
    </w:p>
    <w:p w14:paraId="767955C2"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/XI—29 г.</w:t>
      </w:r>
    </w:p>
    <w:p w14:paraId="27DBF328"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ПОКАЗАНИЯ С. А. ХРЕННИКОВА.</w:t>
      </w:r>
    </w:p>
    <w:p w14:paraId="3C0C0CCA"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Методы работы к.-р. организации.</w:t>
      </w:r>
    </w:p>
    <w:p w14:paraId="35537142"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основании директив, полученных из заграницы от бывших владельцев в [19]24-25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xml:space="preserve">., намечен был между членами этой организации следующий план вредительства: производить на заводах затраты на переоборудование и расширение с тем, чтобы эти затраты не дали быстрых результатов, а пригодились потом концессионерам. Что осуществлялось путем представления трестами в </w:t>
      </w:r>
      <w:proofErr w:type="spellStart"/>
      <w:r w:rsidRPr="00A259BD">
        <w:rPr>
          <w:rFonts w:ascii="Times New Roman" w:hAnsi="Times New Roman"/>
          <w:color w:val="000000" w:themeColor="text1"/>
          <w:sz w:val="16"/>
          <w:szCs w:val="16"/>
        </w:rPr>
        <w:t>Главметалл</w:t>
      </w:r>
      <w:proofErr w:type="spellEnd"/>
      <w:r w:rsidRPr="00A259BD">
        <w:rPr>
          <w:rFonts w:ascii="Times New Roman" w:hAnsi="Times New Roman"/>
          <w:color w:val="000000" w:themeColor="text1"/>
          <w:sz w:val="16"/>
          <w:szCs w:val="16"/>
        </w:rPr>
        <w:t xml:space="preserve"> вредительских программ, после сговора с соответствующими участниками составления и рассмотрения этих программ, или без сговора, взаимно понимая и затем, после утверждения, проводились в жизнь. Для того, чтобы не было разнобоя между отдельными членами организации, иногда собирались по несколько человек и заранее уговаривались, как проводить тот или иной вопрос. Собирались обыкновенно в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у кого-нибудь из членов в кабинете, у меня, у ЖДАНОВА. Некоторые примеры проведенного вредительства: постройка одновременно четырех батарей коксовых печей в </w:t>
      </w:r>
      <w:proofErr w:type="spellStart"/>
      <w:r w:rsidRPr="00A259BD">
        <w:rPr>
          <w:rFonts w:ascii="Times New Roman" w:hAnsi="Times New Roman"/>
          <w:color w:val="000000" w:themeColor="text1"/>
          <w:sz w:val="16"/>
          <w:szCs w:val="16"/>
        </w:rPr>
        <w:t>Югостали</w:t>
      </w:r>
      <w:proofErr w:type="spellEnd"/>
      <w:r w:rsidRPr="00A259BD">
        <w:rPr>
          <w:rFonts w:ascii="Times New Roman" w:hAnsi="Times New Roman"/>
          <w:color w:val="000000" w:themeColor="text1"/>
          <w:sz w:val="16"/>
          <w:szCs w:val="16"/>
        </w:rPr>
        <w:t xml:space="preserve">, причем все батареи из-за недостатка ассигнований строят медленно; вместо этого надо было бы строить быстро, по очереди и вводить их в работу. Умышленная затяжка постройки доменной печи в Макеевке, из-за недостаточных ассигнований, которые умышленно распылялись на другие работы, затягивая их окончание. Преуменьшенная смета Керченского строительства. Закупка излишнего в данный момент оборудования, например, три воздуходувки, четвертая батарея коксовых печей для </w:t>
      </w:r>
      <w:proofErr w:type="spellStart"/>
      <w:r w:rsidRPr="00A259BD">
        <w:rPr>
          <w:rFonts w:ascii="Times New Roman" w:hAnsi="Times New Roman"/>
          <w:color w:val="000000" w:themeColor="text1"/>
          <w:sz w:val="16"/>
          <w:szCs w:val="16"/>
        </w:rPr>
        <w:t>Югостали</w:t>
      </w:r>
      <w:proofErr w:type="spellEnd"/>
      <w:r w:rsidRPr="00A259BD">
        <w:rPr>
          <w:rFonts w:ascii="Times New Roman" w:hAnsi="Times New Roman"/>
          <w:color w:val="000000" w:themeColor="text1"/>
          <w:sz w:val="16"/>
          <w:szCs w:val="16"/>
        </w:rPr>
        <w:t xml:space="preserve">. Умышленная затяжка приспособления и переустройства вагонных мастерских Брянского завода, путем постепенного увеличения программы производства и т. п. Проведение всех этих вредительств по </w:t>
      </w:r>
      <w:proofErr w:type="spellStart"/>
      <w:r w:rsidRPr="00A259BD">
        <w:rPr>
          <w:rFonts w:ascii="Times New Roman" w:hAnsi="Times New Roman"/>
          <w:color w:val="000000" w:themeColor="text1"/>
          <w:sz w:val="16"/>
          <w:szCs w:val="16"/>
        </w:rPr>
        <w:t>Югостали</w:t>
      </w:r>
      <w:proofErr w:type="spellEnd"/>
      <w:r w:rsidRPr="00A259BD">
        <w:rPr>
          <w:rFonts w:ascii="Times New Roman" w:hAnsi="Times New Roman"/>
          <w:color w:val="000000" w:themeColor="text1"/>
          <w:sz w:val="16"/>
          <w:szCs w:val="16"/>
        </w:rPr>
        <w:t xml:space="preserve"> ложится на членов к.-р. организации СВИЦЫНА и ЖДАНОВА, а по заводам ГОМЗЫ — на КУТСКОГО из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w:t>
      </w:r>
    </w:p>
    <w:p w14:paraId="5D2CBC94"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/XI —29г.</w:t>
      </w:r>
    </w:p>
    <w:p w14:paraId="184B5E2C"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Записано собственноручно. С. Хренников.</w:t>
      </w:r>
    </w:p>
    <w:p w14:paraId="1E6880BF"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ПОКАЗАНИЯ С. А. ХРЕННИКОВА.</w:t>
      </w:r>
    </w:p>
    <w:p w14:paraId="2A1FF329"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Кто являлся вдохновителем и руководителем контрреволюционной организации в металлической промышленности СССР?</w:t>
      </w:r>
    </w:p>
    <w:p w14:paraId="26C02238"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ОТВЕТ: Вдохновителем контрреволюционной организации был я.</w:t>
      </w:r>
    </w:p>
    <w:p w14:paraId="33ED8C45"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Когда фактически возникла к-p организация в металлопромышленности?</w:t>
      </w:r>
    </w:p>
    <w:p w14:paraId="3B2B094F"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ОТВЕТ: Начало организации я считаю с 1921 года. Ядром организации был вначале Технический Совет при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в который входили ГАРТВАН, БЕЛОНОЖКИН, ЖДАНОВ, КУТЛЕР и кто еще не знаю. Потом в 1922 году вступил я, КУТСКИЙ, НЕЙМАЕР, СТАРИЦКИЙ и др., которых не помню. Одновременно в ГОМЗЫ тоже создалась к-p группа со мною во главе. В нее входили, кроме меня, НЕЙМАЕР, МАЛАХОВСКИЙ, ТИЛЕ, МАНУИЛОВ, ТИХОМИРОВ, ПОЛУБОЯРИНОВ.</w:t>
      </w:r>
    </w:p>
    <w:p w14:paraId="7D10F828"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Когда получила наибольшее развитие к-p и вредительская деятельность организации?</w:t>
      </w:r>
    </w:p>
    <w:p w14:paraId="0F0D1C48"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ОТВЕТ: Я считаю, наибольшим развитием были 1924 и 1925 годы. Затем продолжалось в [19]26 и 27 годах.</w:t>
      </w:r>
    </w:p>
    <w:p w14:paraId="0502B27A"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ВОПРОС: Кто являлся кроме Вас наиболее активными членами к-р организации в Тех. Совете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xml:space="preserve"> до 1924 года?</w:t>
      </w:r>
    </w:p>
    <w:p w14:paraId="5385AE43"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ОТВЕТ: БЕЛОНОЖКИН, ЖДАНОВ, ГАРТВАН.</w:t>
      </w:r>
    </w:p>
    <w:p w14:paraId="4A7B262B"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Кто являлся инициатором создания к-p ядра в Техсовете?</w:t>
      </w:r>
    </w:p>
    <w:p w14:paraId="717413B0"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ОТВЕТ: Насколько мне известно[,] были БЕЛОНОЖКИН, ГАРТВАН и ЖДАНОВ.</w:t>
      </w:r>
    </w:p>
    <w:p w14:paraId="0D243F80"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Назовите состав к-p организации после 1924 года.</w:t>
      </w:r>
    </w:p>
    <w:p w14:paraId="42A4CF04"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ОТВЕТ: Я являлся главою, кроме меня в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были: ЖДАНОВ, КУТСКИЙ, МИЛЮКОВ, ЕМЕЛЬЯНОВ, пассивное участие в организации принимали также из цветной металлургии ИВАНОВ, судостроения — ШВЕЦОВ, проводя самостоятельно вредительство, первый — по цветной металлургии, в чем меня убеждало следующее: предоставление преуменьшенных смет на заводы </w:t>
      </w:r>
      <w:proofErr w:type="spellStart"/>
      <w:r w:rsidRPr="00A259BD">
        <w:rPr>
          <w:rFonts w:ascii="Times New Roman" w:hAnsi="Times New Roman"/>
          <w:color w:val="000000" w:themeColor="text1"/>
          <w:sz w:val="16"/>
          <w:szCs w:val="16"/>
        </w:rPr>
        <w:t>Алтайполиметалла</w:t>
      </w:r>
      <w:proofErr w:type="spellEnd"/>
      <w:r w:rsidRPr="00A259BD">
        <w:rPr>
          <w:rFonts w:ascii="Times New Roman" w:hAnsi="Times New Roman"/>
          <w:color w:val="000000" w:themeColor="text1"/>
          <w:sz w:val="16"/>
          <w:szCs w:val="16"/>
        </w:rPr>
        <w:t xml:space="preserve">; а второй — по судостроению — постоянное раздувание программ и наоборот, постоянные кризисы с финансами из-за недостатка средств. Кроме того, они состояли в </w:t>
      </w:r>
      <w:proofErr w:type="spellStart"/>
      <w:r w:rsidRPr="00A259BD">
        <w:rPr>
          <w:rFonts w:ascii="Times New Roman" w:hAnsi="Times New Roman"/>
          <w:color w:val="000000" w:themeColor="text1"/>
          <w:sz w:val="16"/>
          <w:szCs w:val="16"/>
        </w:rPr>
        <w:t>Метплане</w:t>
      </w:r>
      <w:proofErr w:type="spellEnd"/>
      <w:r w:rsidRPr="00A259BD">
        <w:rPr>
          <w:rFonts w:ascii="Times New Roman" w:hAnsi="Times New Roman"/>
          <w:color w:val="000000" w:themeColor="text1"/>
          <w:sz w:val="16"/>
          <w:szCs w:val="16"/>
        </w:rPr>
        <w:t xml:space="preserve"> и тоже разделяли наши взгляды и проводили все вопросы с нами вместе, в том числе и вредительского порядка. Пассивно относился к работе и ДОБРОВОЛЬСКИЙ — помощник МИЛЮКОВА, ведавший планово-финансовыми вопросами.</w:t>
      </w:r>
    </w:p>
    <w:p w14:paraId="47A6AB2A"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Кто был наиболее активным членом к-p организации из стоящих под Вами и проводивших вредительство?</w:t>
      </w:r>
    </w:p>
    <w:p w14:paraId="60013483"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ОТВЕТ: ЖДАНОВ являлся наиболее активным вредителем и осуществлял больше других вредительство благодаря тому, что имел не только поддержку, но и постоянное стремление к вредительству со стороны СВИЦЫНА из </w:t>
      </w:r>
      <w:proofErr w:type="spellStart"/>
      <w:r w:rsidRPr="00A259BD">
        <w:rPr>
          <w:rFonts w:ascii="Times New Roman" w:hAnsi="Times New Roman"/>
          <w:color w:val="000000" w:themeColor="text1"/>
          <w:sz w:val="16"/>
          <w:szCs w:val="16"/>
        </w:rPr>
        <w:t>Югостали</w:t>
      </w:r>
      <w:proofErr w:type="spellEnd"/>
      <w:r w:rsidRPr="00A259BD">
        <w:rPr>
          <w:rFonts w:ascii="Times New Roman" w:hAnsi="Times New Roman"/>
          <w:color w:val="000000" w:themeColor="text1"/>
          <w:sz w:val="16"/>
          <w:szCs w:val="16"/>
        </w:rPr>
        <w:t>. Кроме того ЖДАНОВ получал непосредственно и сам директивы от бывших владельцев, как, например, от ЖИВОТОВСКОГО.</w:t>
      </w:r>
    </w:p>
    <w:p w14:paraId="29485FA8"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Укажите наиболее конкретные известные Вам акты вредительства ЖДАНОВА?</w:t>
      </w:r>
    </w:p>
    <w:p w14:paraId="588A703E"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ОТВЕТ: ЖДАНОВЫМ до 1925 года умышленно задерживался, совместно со СВИЦЫНЫМ, пуск стоявших заводов на консервации, притом одних из лучших, как например, Макеевский, Днепровский, Енакиевский и др. Это было сделано в интересах быв. владельцев и во вред Советской власти. Насколько помню в [19]25 или [19]26 году была проведена ЖДАНОВЫМ во вредительских целях преуменьшенная смета Керченского завода, без проекта и достаточных материалов. В результате получилось, что вначале намечалось около 20 млн., а вышло свыше 40 млн. руб. Неправильно составлена опись оборудования, подлежащего заказу заграницей по </w:t>
      </w:r>
      <w:proofErr w:type="spellStart"/>
      <w:r w:rsidRPr="00A259BD">
        <w:rPr>
          <w:rFonts w:ascii="Times New Roman" w:hAnsi="Times New Roman"/>
          <w:color w:val="000000" w:themeColor="text1"/>
          <w:sz w:val="16"/>
          <w:szCs w:val="16"/>
        </w:rPr>
        <w:t>Югостали</w:t>
      </w:r>
      <w:proofErr w:type="spellEnd"/>
      <w:r w:rsidRPr="00A259BD">
        <w:rPr>
          <w:rFonts w:ascii="Times New Roman" w:hAnsi="Times New Roman"/>
          <w:color w:val="000000" w:themeColor="text1"/>
          <w:sz w:val="16"/>
          <w:szCs w:val="16"/>
        </w:rPr>
        <w:t xml:space="preserve">. ЖДАНОВЫМ же вместе со мною проводились через </w:t>
      </w:r>
      <w:proofErr w:type="spellStart"/>
      <w:r w:rsidRPr="00A259BD">
        <w:rPr>
          <w:rFonts w:ascii="Times New Roman" w:hAnsi="Times New Roman"/>
          <w:color w:val="000000" w:themeColor="text1"/>
          <w:sz w:val="16"/>
          <w:szCs w:val="16"/>
        </w:rPr>
        <w:t>Метплан</w:t>
      </w:r>
      <w:proofErr w:type="spellEnd"/>
      <w:r w:rsidRPr="00A259BD">
        <w:rPr>
          <w:rFonts w:ascii="Times New Roman" w:hAnsi="Times New Roman"/>
          <w:color w:val="000000" w:themeColor="text1"/>
          <w:sz w:val="16"/>
          <w:szCs w:val="16"/>
        </w:rPr>
        <w:t xml:space="preserve"> и дальше до Госплана включительно умышленно сокращенные программы производства.</w:t>
      </w:r>
    </w:p>
    <w:p w14:paraId="5200EDEA"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Кто был наиболее активным членом к-p организации или проводившим вредительство, кроме ЖДАНОВА?</w:t>
      </w:r>
    </w:p>
    <w:p w14:paraId="08B3F95C"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ОТВЕТ: Проведение вредительства в машиностроении лежало на зав. отделом Машиностроения КУТСКОМ, который работал в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насколько помню, до 1928 года. КУТСКИЙ получал директивы от меня непосредственно.</w:t>
      </w:r>
    </w:p>
    <w:p w14:paraId="7B71FF9B"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С кем, кроме меня, согласовывал свою работу по вредительству КУТСКИЙ?</w:t>
      </w:r>
    </w:p>
    <w:p w14:paraId="5F67DE8F"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ОТВЕТ: С БЕЛОНОЖКИНЫМ, жившим в Ленинграде, который во время приездов в Москву с ним беседовал.</w:t>
      </w:r>
    </w:p>
    <w:p w14:paraId="2ED1FA87"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Какие вредительства проведены КУТСКИМ в машиностроении?</w:t>
      </w:r>
    </w:p>
    <w:p w14:paraId="4884DA12"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ОТВЕТ: Например, помню постановку тракторостроения на заводе Красный Путиловец, которая потом потребовала значительных средств, непредусмотренных ранее. Развитие вагонного дела на Брянском заводе, которое затянулось из-за изменений программы и потребовал[о] тоже больших, чем предусмотрено средств. По </w:t>
      </w:r>
      <w:proofErr w:type="spellStart"/>
      <w:r w:rsidRPr="00A259BD">
        <w:rPr>
          <w:rFonts w:ascii="Times New Roman" w:hAnsi="Times New Roman"/>
          <w:color w:val="000000" w:themeColor="text1"/>
          <w:sz w:val="16"/>
          <w:szCs w:val="16"/>
        </w:rPr>
        <w:t>ЮМТу</w:t>
      </w:r>
      <w:proofErr w:type="spellEnd"/>
      <w:r w:rsidRPr="00A259BD">
        <w:rPr>
          <w:rFonts w:ascii="Times New Roman" w:hAnsi="Times New Roman"/>
          <w:color w:val="000000" w:themeColor="text1"/>
          <w:sz w:val="16"/>
          <w:szCs w:val="16"/>
        </w:rPr>
        <w:t xml:space="preserve"> помню при постройке болтового </w:t>
      </w:r>
      <w:proofErr w:type="spellStart"/>
      <w:r w:rsidRPr="00A259BD">
        <w:rPr>
          <w:rFonts w:ascii="Times New Roman" w:hAnsi="Times New Roman"/>
          <w:color w:val="000000" w:themeColor="text1"/>
          <w:sz w:val="16"/>
          <w:szCs w:val="16"/>
        </w:rPr>
        <w:t>Торецкого</w:t>
      </w:r>
      <w:proofErr w:type="spellEnd"/>
      <w:r w:rsidRPr="00A259BD">
        <w:rPr>
          <w:rFonts w:ascii="Times New Roman" w:hAnsi="Times New Roman"/>
          <w:color w:val="000000" w:themeColor="text1"/>
          <w:sz w:val="16"/>
          <w:szCs w:val="16"/>
        </w:rPr>
        <w:t xml:space="preserve"> завода умышленно не была предусмотрена электрическая станция. Прочие вредительские акты, проводимые КУТСКИМ, кроме указанных мною в предыдущих показаниях, сейчас не помню.</w:t>
      </w:r>
    </w:p>
    <w:p w14:paraId="2BAEB3E4"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Записано собственноручно С. ХРЕННИКОВ.</w:t>
      </w:r>
    </w:p>
    <w:p w14:paraId="6837F303" w14:textId="77777777" w:rsidR="00F87646" w:rsidRPr="00A259BD" w:rsidRDefault="00F876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3/XI-29 г. (18339).</w:t>
      </w:r>
    </w:p>
    <w:p w14:paraId="4572BB57" w14:textId="77777777" w:rsidR="00F87646" w:rsidRPr="00A259BD" w:rsidRDefault="00F87646" w:rsidP="009236E3">
      <w:pPr>
        <w:spacing w:after="0" w:line="240" w:lineRule="auto"/>
        <w:jc w:val="both"/>
        <w:rPr>
          <w:rFonts w:ascii="Times New Roman" w:hAnsi="Times New Roman"/>
          <w:color w:val="000000" w:themeColor="text1"/>
          <w:sz w:val="16"/>
          <w:szCs w:val="16"/>
        </w:rPr>
      </w:pPr>
    </w:p>
    <w:p w14:paraId="5D89DF1B" w14:textId="77777777" w:rsidR="00170B72" w:rsidRPr="00A259BD" w:rsidRDefault="00170B72" w:rsidP="009236E3">
      <w:pPr>
        <w:autoSpaceDE w:val="0"/>
        <w:autoSpaceDN w:val="0"/>
        <w:adjustRightInd w:val="0"/>
        <w:spacing w:after="0" w:line="240" w:lineRule="auto"/>
        <w:jc w:val="both"/>
        <w:rPr>
          <w:rFonts w:ascii="Times New Roman" w:hAnsi="Times New Roman"/>
          <w:i/>
          <w:iCs/>
          <w:color w:val="000000" w:themeColor="text1"/>
          <w:sz w:val="16"/>
          <w:szCs w:val="16"/>
        </w:rPr>
      </w:pPr>
      <w:r w:rsidRPr="00A259BD">
        <w:rPr>
          <w:rFonts w:ascii="Times New Roman" w:hAnsi="Times New Roman"/>
          <w:i/>
          <w:iCs/>
          <w:color w:val="000000" w:themeColor="text1"/>
          <w:sz w:val="16"/>
          <w:szCs w:val="16"/>
        </w:rPr>
        <w:t>Жизнь и внутрен</w:t>
      </w:r>
      <w:r w:rsidR="00F87646" w:rsidRPr="00A259BD">
        <w:rPr>
          <w:rFonts w:ascii="Times New Roman" w:hAnsi="Times New Roman"/>
          <w:i/>
          <w:iCs/>
          <w:color w:val="000000" w:themeColor="text1"/>
          <w:sz w:val="16"/>
          <w:szCs w:val="16"/>
        </w:rPr>
        <w:t>н</w:t>
      </w:r>
      <w:r w:rsidRPr="00A259BD">
        <w:rPr>
          <w:rFonts w:ascii="Times New Roman" w:hAnsi="Times New Roman"/>
          <w:i/>
          <w:iCs/>
          <w:color w:val="000000" w:themeColor="text1"/>
          <w:sz w:val="16"/>
          <w:szCs w:val="16"/>
        </w:rPr>
        <w:t>яя политика:</w:t>
      </w:r>
    </w:p>
    <w:p w14:paraId="0D40FB3C" w14:textId="77777777" w:rsidR="00170B72" w:rsidRPr="00A259BD" w:rsidRDefault="00170B72"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10F2D9E8" w14:textId="77777777" w:rsidR="00170B72" w:rsidRPr="00A259BD" w:rsidRDefault="00170B72"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 xml:space="preserve">29 октября </w:t>
      </w:r>
      <w:r w:rsidRPr="00A259BD">
        <w:rPr>
          <w:rFonts w:ascii="Times New Roman" w:hAnsi="Times New Roman"/>
          <w:color w:val="000000" w:themeColor="text1"/>
          <w:sz w:val="16"/>
          <w:szCs w:val="16"/>
        </w:rPr>
        <w:t>в 1929 году начались передачи московского радио на зарубежные страны (российское иновещание). Ныне Российская государственная радиовещательная компания "Голос России"</w:t>
      </w:r>
    </w:p>
    <w:p w14:paraId="4F9E5A18" w14:textId="77777777" w:rsidR="00170B72" w:rsidRPr="00A259BD" w:rsidRDefault="00170B72" w:rsidP="009236E3">
      <w:pPr>
        <w:spacing w:after="0" w:line="240" w:lineRule="auto"/>
        <w:jc w:val="both"/>
        <w:rPr>
          <w:rFonts w:ascii="Times New Roman" w:hAnsi="Times New Roman"/>
          <w:color w:val="000000" w:themeColor="text1"/>
          <w:sz w:val="16"/>
          <w:szCs w:val="16"/>
        </w:rPr>
      </w:pPr>
    </w:p>
    <w:p w14:paraId="08F32922" w14:textId="77777777" w:rsidR="00A96F46" w:rsidRPr="00A259BD" w:rsidRDefault="00A96F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29 октября 1929 г. МГЖД постановило завершить работу над проектом метро к 1 апреля 1930 г.{258}В июле 1930 г., во время проведения чистки, план был оформлен. До конца года еще решали вопрос о сдаче материалов в печать{259}.В это время значительная часть проектировщиков была арестована как вредители. За ходом печати следил молодой инженер И. Е. </w:t>
      </w:r>
      <w:proofErr w:type="spellStart"/>
      <w:r w:rsidRPr="00A259BD">
        <w:rPr>
          <w:rFonts w:ascii="Times New Roman" w:hAnsi="Times New Roman"/>
          <w:color w:val="000000" w:themeColor="text1"/>
          <w:sz w:val="16"/>
          <w:szCs w:val="16"/>
        </w:rPr>
        <w:t>Катцен</w:t>
      </w:r>
      <w:proofErr w:type="spellEnd"/>
      <w:r w:rsidRPr="00A259BD">
        <w:rPr>
          <w:rFonts w:ascii="Times New Roman" w:hAnsi="Times New Roman"/>
          <w:color w:val="000000" w:themeColor="text1"/>
          <w:sz w:val="16"/>
          <w:szCs w:val="16"/>
        </w:rPr>
        <w:t xml:space="preserve">, член партии, который пришел в подотдел после окончания учебы в 1929 г., и потому его не тронули{260}. 31 декабря 1930 г. руководство МГЖД издало распоряжение о закрытии подотдела с 1 января 1931 г. в связи с выполнением поставленных задач. Сохранение рабочих материалов было поручено технику Бедрицкому{261}.Он должен был передать проект в архив на случай, если тот когда-то понадобится. Рабочие материалы включали 16 томов с почти тысячью рисунков{262}.За несколько месяцев до своего ареста инженеры </w:t>
      </w:r>
      <w:proofErr w:type="spellStart"/>
      <w:r w:rsidRPr="00A259BD">
        <w:rPr>
          <w:rFonts w:ascii="Times New Roman" w:hAnsi="Times New Roman"/>
          <w:color w:val="000000" w:themeColor="text1"/>
          <w:sz w:val="16"/>
          <w:szCs w:val="16"/>
        </w:rPr>
        <w:t>Мышенков</w:t>
      </w:r>
      <w:proofErr w:type="spellEnd"/>
      <w:r w:rsidRPr="00A259BD">
        <w:rPr>
          <w:rFonts w:ascii="Times New Roman" w:hAnsi="Times New Roman"/>
          <w:color w:val="000000" w:themeColor="text1"/>
          <w:sz w:val="16"/>
          <w:szCs w:val="16"/>
        </w:rPr>
        <w:t xml:space="preserve"> и Мошков в одном журнале опубликовали для обсуждения почти оформленный проект, подчеркнув, что он нуждается в срочной реализации. Они обвиняли в затяжке дела бюрократию, которая годами не принимала решения, тогда как в зарубежных крупных городах с населением свыше 3 млн. чел. не возникало сомнения в необходимости метрополитена. Сотрудники МГЖД, участвовавшие в разработке проекта, были предоставлены самим себе и вынуждены в одиночку решать принципиальные вопросы, тогда как широкая общественная критика могла бы облегчить принятие сложных решений{263}.</w:t>
      </w:r>
    </w:p>
    <w:p w14:paraId="737DABBB" w14:textId="77777777" w:rsidR="00A96F46" w:rsidRPr="00A259BD" w:rsidRDefault="00A96F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Проект МГЖД во многом совпадал с планом Московской городской думы 1912 г. и различался лишь в том, что не предусматривал соединения метро с железнодорожными путями </w:t>
      </w:r>
      <w:proofErr w:type="spellStart"/>
      <w:r w:rsidRPr="00A259BD">
        <w:rPr>
          <w:rFonts w:ascii="Times New Roman" w:hAnsi="Times New Roman"/>
          <w:color w:val="000000" w:themeColor="text1"/>
          <w:sz w:val="16"/>
          <w:szCs w:val="16"/>
        </w:rPr>
        <w:t>инамечал</w:t>
      </w:r>
      <w:proofErr w:type="spellEnd"/>
      <w:r w:rsidRPr="00A259BD">
        <w:rPr>
          <w:rFonts w:ascii="Times New Roman" w:hAnsi="Times New Roman"/>
          <w:color w:val="000000" w:themeColor="text1"/>
          <w:sz w:val="16"/>
          <w:szCs w:val="16"/>
        </w:rPr>
        <w:t xml:space="preserve"> четвертую диаметральную линию (см. рис. 14). В первую очередь предстояло пробить линии от центра к Сокольникам и Смоленскому рынку (1), а также к Белорусскому вокзалу (2). Метро планировали проложить на небольшой глубине по парижскому способу. Профиль тоннелей намечался несколько меньше, чем на железной дороге. Движение железнодорожных составов по подземным путям, таким образом, исключалось. Общая протяженность линий составляла около 50 км{264} (18299).</w:t>
      </w:r>
    </w:p>
    <w:p w14:paraId="37320F7C" w14:textId="77777777" w:rsidR="00A96F46" w:rsidRPr="00A259BD" w:rsidRDefault="00A96F46" w:rsidP="009236E3">
      <w:pPr>
        <w:spacing w:after="0" w:line="240" w:lineRule="auto"/>
        <w:jc w:val="both"/>
        <w:rPr>
          <w:rFonts w:ascii="Times New Roman" w:hAnsi="Times New Roman"/>
          <w:color w:val="000000" w:themeColor="text1"/>
          <w:sz w:val="16"/>
          <w:szCs w:val="16"/>
        </w:rPr>
      </w:pPr>
    </w:p>
    <w:p w14:paraId="1688C6EA"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lang w:val="en-US"/>
        </w:rPr>
      </w:pPr>
      <w:r w:rsidRPr="00A259BD">
        <w:rPr>
          <w:rFonts w:ascii="Times New Roman" w:hAnsi="Times New Roman"/>
          <w:i/>
          <w:iCs/>
          <w:color w:val="000000" w:themeColor="text1"/>
          <w:sz w:val="16"/>
          <w:szCs w:val="16"/>
        </w:rPr>
        <w:t>За</w:t>
      </w:r>
      <w:r w:rsidRPr="00A259BD">
        <w:rPr>
          <w:rFonts w:ascii="Times New Roman" w:hAnsi="Times New Roman"/>
          <w:i/>
          <w:iCs/>
          <w:color w:val="000000" w:themeColor="text1"/>
          <w:sz w:val="16"/>
          <w:szCs w:val="16"/>
          <w:lang w:val="en-US"/>
        </w:rPr>
        <w:t xml:space="preserve"> </w:t>
      </w:r>
      <w:r w:rsidRPr="00A259BD">
        <w:rPr>
          <w:rFonts w:ascii="Times New Roman" w:hAnsi="Times New Roman"/>
          <w:i/>
          <w:iCs/>
          <w:color w:val="000000" w:themeColor="text1"/>
          <w:sz w:val="16"/>
          <w:szCs w:val="16"/>
        </w:rPr>
        <w:t>рубежом</w:t>
      </w:r>
      <w:r w:rsidRPr="00A259BD">
        <w:rPr>
          <w:rFonts w:ascii="Times New Roman" w:hAnsi="Times New Roman"/>
          <w:i/>
          <w:iCs/>
          <w:color w:val="000000" w:themeColor="text1"/>
          <w:sz w:val="16"/>
          <w:szCs w:val="16"/>
          <w:lang w:val="en-US"/>
        </w:rPr>
        <w:t>:</w:t>
      </w:r>
    </w:p>
    <w:p w14:paraId="1843C1B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7A6A96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r w:rsidRPr="00A259BD">
        <w:rPr>
          <w:rFonts w:ascii="Times New Roman" w:hAnsi="Times New Roman"/>
          <w:color w:val="000000" w:themeColor="text1"/>
          <w:sz w:val="16"/>
          <w:szCs w:val="16"/>
          <w:lang w:val="en-US"/>
        </w:rPr>
        <w:t>October 29 1929 Stock Market on Wall Street Crashes (1050).</w:t>
      </w:r>
    </w:p>
    <w:p w14:paraId="661B34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p>
    <w:p w14:paraId="3CA831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октября 1929 - начало великой депрессии (1796). К середине ноября 1929 пропало 30 из 80 млрд. цены акций (2100) - черные вторник (3907,157).</w:t>
      </w:r>
    </w:p>
    <w:p w14:paraId="1B73B1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07A4FC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октября 1929 на биржах мира произошел крах (“черный вторник”), с которого началась Великая депрессия (4962).</w:t>
      </w:r>
    </w:p>
    <w:p w14:paraId="2F5495B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0034F7" w14:textId="77777777" w:rsidR="00454A21" w:rsidRPr="00A259BD" w:rsidRDefault="00454A21"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 xml:space="preserve">29 октября </w:t>
      </w:r>
      <w:r w:rsidRPr="00A259BD">
        <w:rPr>
          <w:rFonts w:ascii="Times New Roman" w:hAnsi="Times New Roman"/>
          <w:color w:val="000000" w:themeColor="text1"/>
          <w:sz w:val="16"/>
          <w:szCs w:val="16"/>
        </w:rPr>
        <w:t xml:space="preserve">в 1929 году "черный вторник" на Уолл-Стрите, ознаменовавшийся катастрофическим падением индекса "Доу-Джонс", падением, приведшим американскую и мировую экономику к великой депрессии, не последней причине прихода нацистов к власти в Германии. Падение акций </w:t>
      </w:r>
      <w:proofErr w:type="spellStart"/>
      <w:r w:rsidRPr="00A259BD">
        <w:rPr>
          <w:rFonts w:ascii="Times New Roman" w:hAnsi="Times New Roman"/>
          <w:color w:val="000000" w:themeColor="text1"/>
          <w:sz w:val="16"/>
          <w:szCs w:val="16"/>
        </w:rPr>
        <w:t>нчалось</w:t>
      </w:r>
      <w:proofErr w:type="spellEnd"/>
      <w:r w:rsidRPr="00A259BD">
        <w:rPr>
          <w:rFonts w:ascii="Times New Roman" w:hAnsi="Times New Roman"/>
          <w:color w:val="000000" w:themeColor="text1"/>
          <w:sz w:val="16"/>
          <w:szCs w:val="16"/>
        </w:rPr>
        <w:t xml:space="preserve"> 24 октября 1929 года в "Черный четверг" и в общем продолжалось до 2 июля 1932 года. В итоге Доу Джонс упал почти на 90%. Утром, как только открылись торги, брокеры, отчаявшись, принялись распродавать акции десятками тысяч, стремясь вернуть хоть какие-то деньги. То же самое начали делать инвесторы и банкиры. К концу дня были проданы 16 410 030 акций (рекорд, перекрытый только в апреле 1968 года), и индекс Доу-Джонса упал на 12,5%. Авуары многих тысяч крупных, средних и мелких акционеров в результате краха биржи обратились в прах. По стране прокатилась волна самоубийств. «Черный вторник» потряс экономику США и стал «спусковым крючком» Великой депрессии, преодоленной американцами только к 1933 году. Он же «способствовал» тяжелейшему экономическому кризису в Западной Европе (14814).</w:t>
      </w:r>
    </w:p>
    <w:p w14:paraId="31FCDD5E" w14:textId="77777777" w:rsidR="00454A21" w:rsidRPr="00A259BD" w:rsidRDefault="00454A21" w:rsidP="009236E3">
      <w:pPr>
        <w:spacing w:after="0" w:line="240" w:lineRule="auto"/>
        <w:jc w:val="both"/>
        <w:rPr>
          <w:rFonts w:ascii="Times New Roman" w:hAnsi="Times New Roman"/>
          <w:color w:val="000000" w:themeColor="text1"/>
          <w:sz w:val="16"/>
          <w:szCs w:val="16"/>
        </w:rPr>
      </w:pPr>
    </w:p>
    <w:p w14:paraId="4CC53F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октября 1929 на борту самолета впервые родился ребенок (над Майами) (3263,609).</w:t>
      </w:r>
    </w:p>
    <w:p w14:paraId="462AC7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2454EA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7E832C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F157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октября 1929 в УВВС решили заказать морское шасси для ТБ-1 в Англии, у известной фирмы "Шорт".</w:t>
      </w:r>
    </w:p>
    <w:p w14:paraId="32BAC8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 тут срочно потребовались поплавки для перелета в Америку. Скопировав немецкую конструкцию, их изготовили по чертежам ЦАГИ на заводе № 22. В Таганроге поплавки смонтировали на "дублере" и успешно испытали. Там самолет потерпел аварию - разрушилась лопасть винта, но машину быстро отремонтировали. Впоследствии на этих поплавках "Страна Советов" благополучно проделала значительную часть своего маршрута.</w:t>
      </w:r>
    </w:p>
    <w:p w14:paraId="42AC8A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Тем временем "Шорт" продала Советскому Союзу пару поплавков подходящей грузоподъемности. Они были немного больше использованных ранее и имели более "полные" очертания. В апреле 1931 г. в Таганрог перегнали один из серийных ТБ-1. Три месяца заняли его сборка и установка на поплавки. 15 июня машину передали морскому отделу НИИ ВВС для госиспытаний. Их проводили в Севастополе до конца августа. Поплавковый вариант в АГОС назвали ТБ-1 а ("а" - от "</w:t>
      </w:r>
      <w:proofErr w:type="spellStart"/>
      <w:r w:rsidRPr="00A259BD">
        <w:rPr>
          <w:rFonts w:ascii="Times New Roman" w:hAnsi="Times New Roman"/>
          <w:color w:val="000000" w:themeColor="text1"/>
          <w:sz w:val="16"/>
          <w:szCs w:val="16"/>
        </w:rPr>
        <w:t>аква</w:t>
      </w:r>
      <w:proofErr w:type="spellEnd"/>
      <w:r w:rsidRPr="00A259BD">
        <w:rPr>
          <w:rFonts w:ascii="Times New Roman" w:hAnsi="Times New Roman"/>
          <w:color w:val="000000" w:themeColor="text1"/>
          <w:sz w:val="16"/>
          <w:szCs w:val="16"/>
        </w:rPr>
        <w:t>" - "вода").</w:t>
      </w:r>
    </w:p>
    <w:p w14:paraId="704F58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Увеличение веса пустого самолета и дополнительное аэродинамическое сопротивление от поплавков, разумеется,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поплавковыми ЮГ-1 и летающими лодками "Валь", ТБ-1а выгодно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2F088C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Начали готовиться к серийному производству поплавков. Английский образец обмерили и выполнили чертежи. Серию хотели поручить заводу № 22, но он был перегружен другими заказами. В результате документацию и поплавок-образец перевезли в Таганрог. Там их стали производить под названием "тип Ж" и устанавливать на самолеты, прибывавшие из Москвы.</w:t>
      </w:r>
    </w:p>
    <w:p w14:paraId="75F2C8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Монтаж поплавков велся уже после прекращения производства ТБ-1. Всего доработке подверглись 66 самолетов. Серийные поплавковые бомбардировщики именовали ТБ-1П или иногда МТБ-1.</w:t>
      </w:r>
    </w:p>
    <w:p w14:paraId="7E117C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Принятие на вооружение ТБ-1П сделало ненужным серийное производство другой машины, ТОМ-1. Этот самолет разрабатывался с августа 1928 г. в конструкторском бюро при заводе № 28 под руководством приглашенного из Франции конструктора П. Ришара. По схеме он был близок к ТБ-1П, но получился больше, тяжелее и имел гладкую, а не гофрированную обшивку. Опытный образец ТОМ-1 изготовили в декабре 1931 г. Хотя эта машина значительно превосходила ТБ-1 а по летным данным, от ее запуска в серию отказались из-за технологической сложности и дороговизны конструкции (12001).</w:t>
      </w:r>
    </w:p>
    <w:p w14:paraId="7FDBE1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26912C" w14:textId="77777777" w:rsidR="0011196A" w:rsidRPr="00A259BD" w:rsidRDefault="0011196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октября 1929 модернизированный «Фоккер» ДХI № 4743 с установками Пул-9 к пулемету ПВ-1, с изменениями в синхронизаторе под мотор «</w:t>
      </w:r>
      <w:proofErr w:type="spellStart"/>
      <w:r w:rsidRPr="00A259BD">
        <w:rPr>
          <w:rFonts w:ascii="Times New Roman" w:hAnsi="Times New Roman"/>
          <w:color w:val="000000" w:themeColor="text1"/>
          <w:sz w:val="16"/>
          <w:szCs w:val="16"/>
        </w:rPr>
        <w:t>Испано</w:t>
      </w:r>
      <w:proofErr w:type="spellEnd"/>
      <w:r w:rsidRPr="00A259BD">
        <w:rPr>
          <w:rFonts w:ascii="Times New Roman" w:hAnsi="Times New Roman"/>
          <w:color w:val="000000" w:themeColor="text1"/>
          <w:sz w:val="16"/>
          <w:szCs w:val="16"/>
        </w:rPr>
        <w:t xml:space="preserve">» поступил с завода № 25 на испытания в НИИ ВВС и его облетали и отстреляли А.Б. Юмашев и В.И. </w:t>
      </w:r>
      <w:proofErr w:type="spellStart"/>
      <w:r w:rsidRPr="00A259BD">
        <w:rPr>
          <w:rFonts w:ascii="Times New Roman" w:hAnsi="Times New Roman"/>
          <w:color w:val="000000" w:themeColor="text1"/>
          <w:sz w:val="16"/>
          <w:szCs w:val="16"/>
        </w:rPr>
        <w:t>Чекарев</w:t>
      </w:r>
      <w:proofErr w:type="spellEnd"/>
      <w:r w:rsidRPr="00A259BD">
        <w:rPr>
          <w:rFonts w:ascii="Times New Roman" w:hAnsi="Times New Roman"/>
          <w:color w:val="000000" w:themeColor="text1"/>
          <w:sz w:val="16"/>
          <w:szCs w:val="16"/>
        </w:rPr>
        <w:t xml:space="preserve">. Ими был выдвинут ряд замечаний по работе установки, которые устранялись уже под руководством С.А. </w:t>
      </w:r>
      <w:proofErr w:type="spellStart"/>
      <w:r w:rsidRPr="00A259BD">
        <w:rPr>
          <w:rFonts w:ascii="Times New Roman" w:hAnsi="Times New Roman"/>
          <w:color w:val="000000" w:themeColor="text1"/>
          <w:sz w:val="16"/>
          <w:szCs w:val="16"/>
        </w:rPr>
        <w:t>Кочеригина</w:t>
      </w:r>
      <w:proofErr w:type="spellEnd"/>
      <w:r w:rsidRPr="00A259BD">
        <w:rPr>
          <w:rFonts w:ascii="Times New Roman" w:hAnsi="Times New Roman"/>
          <w:color w:val="000000" w:themeColor="text1"/>
          <w:sz w:val="16"/>
          <w:szCs w:val="16"/>
        </w:rPr>
        <w:t xml:space="preserve"> (23030).</w:t>
      </w:r>
    </w:p>
    <w:p w14:paraId="379C2B43" w14:textId="77777777" w:rsidR="0011196A" w:rsidRPr="00A259BD" w:rsidRDefault="0011196A" w:rsidP="009236E3">
      <w:pPr>
        <w:spacing w:after="0" w:line="240" w:lineRule="auto"/>
        <w:jc w:val="both"/>
        <w:rPr>
          <w:rFonts w:ascii="Times New Roman" w:hAnsi="Times New Roman"/>
          <w:color w:val="000000" w:themeColor="text1"/>
          <w:sz w:val="16"/>
          <w:szCs w:val="16"/>
        </w:rPr>
      </w:pPr>
    </w:p>
    <w:p w14:paraId="316152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октября 1929 вышло постановление РЗ СТО (</w:t>
      </w:r>
      <w:proofErr w:type="spellStart"/>
      <w:r w:rsidRPr="00A259BD">
        <w:rPr>
          <w:rFonts w:ascii="Times New Roman" w:hAnsi="Times New Roman"/>
          <w:color w:val="000000" w:themeColor="text1"/>
          <w:sz w:val="16"/>
          <w:szCs w:val="16"/>
        </w:rPr>
        <w:t>прот</w:t>
      </w:r>
      <w:proofErr w:type="spellEnd"/>
      <w:r w:rsidRPr="00A259BD">
        <w:rPr>
          <w:rFonts w:ascii="Times New Roman" w:hAnsi="Times New Roman"/>
          <w:color w:val="000000" w:themeColor="text1"/>
          <w:sz w:val="16"/>
          <w:szCs w:val="16"/>
        </w:rPr>
        <w:t>. 14) "О мероприятиях по развитию авиапромышленности в течение 1929-33 г. (1028,88).</w:t>
      </w:r>
    </w:p>
    <w:p w14:paraId="7DA5D3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октября 1929 года секретарь РЗ СТО писал письмо в СНК Чубарю</w:t>
      </w:r>
    </w:p>
    <w:p w14:paraId="5DBE5C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Препровождая постановление РЗ СТО от 16 октября 1929 года "О мероприятиях по развитию авиапромышленности в течении 1929-30 – 1932-33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прошу по ознакомлении вернуть его в Секретариат РЗ СТО, не передавая в аппарат Управления делами СНК УССР.</w:t>
      </w:r>
    </w:p>
    <w:p w14:paraId="6AEE39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Выписка из данного постановления в отношении передачи завода </w:t>
      </w: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прилагается отдельно.</w:t>
      </w:r>
    </w:p>
    <w:p w14:paraId="50261E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постановление и выписка на 4-х листах (3545, 73).</w:t>
      </w:r>
    </w:p>
    <w:p w14:paraId="616ADB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75656C" w14:textId="77777777" w:rsidR="00170B72" w:rsidRPr="00A259BD" w:rsidRDefault="00170B72"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eastAsiaTheme="majorEastAsia" w:hAnsi="Times New Roman"/>
          <w:bCs/>
          <w:color w:val="000000" w:themeColor="text1"/>
          <w:sz w:val="16"/>
          <w:szCs w:val="16"/>
        </w:rPr>
        <w:t xml:space="preserve">30 октября </w:t>
      </w:r>
      <w:r w:rsidRPr="00A259BD">
        <w:rPr>
          <w:rFonts w:ascii="Times New Roman" w:hAnsi="Times New Roman"/>
          <w:color w:val="000000" w:themeColor="text1"/>
          <w:sz w:val="16"/>
          <w:szCs w:val="16"/>
        </w:rPr>
        <w:t xml:space="preserve">в 1929 году окончание межконтинентального перелета Москва - Нью-Йорк, экипаж </w:t>
      </w:r>
      <w:proofErr w:type="spellStart"/>
      <w:r w:rsidRPr="00A259BD">
        <w:rPr>
          <w:rFonts w:ascii="Times New Roman" w:hAnsi="Times New Roman"/>
          <w:color w:val="000000" w:themeColor="text1"/>
          <w:sz w:val="16"/>
          <w:szCs w:val="16"/>
        </w:rPr>
        <w:t>С.А.Шестакова</w:t>
      </w:r>
      <w:proofErr w:type="spellEnd"/>
      <w:r w:rsidRPr="00A259BD">
        <w:rPr>
          <w:rFonts w:ascii="Times New Roman" w:hAnsi="Times New Roman"/>
          <w:color w:val="000000" w:themeColor="text1"/>
          <w:sz w:val="16"/>
          <w:szCs w:val="16"/>
        </w:rPr>
        <w:t xml:space="preserve"> на «АНТ-4» «Страна Советов». Особое место среди многомоторных тяжелых бомбардировщиков занимал «АНТ-4» («ТБ-1») с двумя двигателями «М-17». Созданный в КБ Туполева самолет явился первым советским цельнометаллическим бомбардировщиком конструкции "свободнонесущий моноплан" с низкорасположенным крылом, гофрированной обшивкой и двумя размещенными на передней кромке крыла двигателями. Самолет «АНТ-4» длиной 18 м с размахом крыльев 28,7 м был в то время самым большим цельнометаллическим самолетом в мире. Внутри фюзеляжа размещались бомбовый отсек, места для пилота и члена экипажа. Этот самолет находил применение не только в боевых операциях, но и в гражданской авиации, на нем совершались экспедиции на Северный полюс (14815).</w:t>
      </w:r>
    </w:p>
    <w:p w14:paraId="41C0B8BA" w14:textId="77777777" w:rsidR="00170B72" w:rsidRPr="00A259BD" w:rsidRDefault="00170B72" w:rsidP="009236E3">
      <w:pPr>
        <w:spacing w:after="0" w:line="240" w:lineRule="auto"/>
        <w:jc w:val="both"/>
        <w:rPr>
          <w:rFonts w:ascii="Times New Roman" w:hAnsi="Times New Roman"/>
          <w:color w:val="000000" w:themeColor="text1"/>
          <w:sz w:val="16"/>
          <w:szCs w:val="16"/>
        </w:rPr>
      </w:pPr>
    </w:p>
    <w:p w14:paraId="2B6236D0" w14:textId="77777777" w:rsidR="003F4613" w:rsidRPr="00A259BD" w:rsidRDefault="003F4613" w:rsidP="009236E3">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bookmarkStart w:id="90" w:name="_Hlk91572466"/>
      <w:r w:rsidRPr="00A259BD">
        <w:rPr>
          <w:rFonts w:ascii="Times New Roman" w:hAnsi="Times New Roman"/>
          <w:i/>
          <w:iCs/>
          <w:color w:val="000000" w:themeColor="text1"/>
          <w:sz w:val="16"/>
          <w:szCs w:val="16"/>
        </w:rPr>
        <w:t>Другие оборонные отрасли:</w:t>
      </w:r>
    </w:p>
    <w:p w14:paraId="71DD8EA5" w14:textId="77777777" w:rsidR="003F4613" w:rsidRPr="00A259BD" w:rsidRDefault="003F4613" w:rsidP="009236E3">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p>
    <w:p w14:paraId="2FF71360" w14:textId="77777777" w:rsidR="003F4613" w:rsidRPr="00A259BD" w:rsidRDefault="003F4613"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30 октября 1929 г. РЗ СТО наметило рассмотреть всю совокупность "оборонных мероприятий по пятилетнему плану", включая финансирование, в марте следующего года. От НКВМ требовалось не позднее 25 марта 1930 г. представить в РЗ СТО исходный "материал о мероприятиях по осуществлению оборонного плана на оставшиеся три года пятилетки и контрольные цифры ассигнований на их проведение" (Директива Председателя СТО Рыкова наркому по Военным и Морским Делам Ворошилову, 26.02.1930 // РГВА. Ф. 4. On. 1. Д. 1230. Л. 4-5). У Штаба РККА почти не оставалось времени для проработки этих тем с центральными довольствующими управлениями НКВМ. Развертывать работу Шапошников считал невозможным, пока нарком не утвердит основные плановые предположения (В середине марта Шапошников официально напомнил наркому о требованиях РЗ СТО и обосновал просьбу о "скорейшем решении по представленному Штабом варианту" (Доклад Начальника Штаба РККА Шапошникова Наркому но Военным и Морским Делам Ворошилову, 13-03.1930 //Там же. Л. 11).) (22725).</w:t>
      </w:r>
    </w:p>
    <w:bookmarkEnd w:id="90"/>
    <w:p w14:paraId="34AF1388" w14:textId="77777777" w:rsidR="003F4613" w:rsidRPr="00A259BD" w:rsidRDefault="003F4613" w:rsidP="009236E3">
      <w:pPr>
        <w:spacing w:after="0" w:line="240" w:lineRule="auto"/>
        <w:jc w:val="both"/>
        <w:rPr>
          <w:rFonts w:ascii="Times New Roman" w:hAnsi="Times New Roman"/>
          <w:color w:val="000000" w:themeColor="text1"/>
          <w:sz w:val="16"/>
          <w:szCs w:val="16"/>
        </w:rPr>
      </w:pPr>
    </w:p>
    <w:p w14:paraId="197B7EE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31C03AC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69B12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октября 1929 в 5:00 корабли ДВВФ с десантом двинулись вверх по Сунгари. 8 МР-1 68 отряда несмотря на мороз -11 с ветром успешно вели воздушную разведку. Совершили 17 вылетов (6594, 16).</w:t>
      </w:r>
    </w:p>
    <w:p w14:paraId="761AB8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2778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октября 1929 советская фло</w:t>
      </w:r>
      <w:r w:rsidRPr="00A259BD">
        <w:rPr>
          <w:rFonts w:ascii="Times New Roman" w:hAnsi="Times New Roman"/>
          <w:color w:val="000000" w:themeColor="text1"/>
          <w:sz w:val="16"/>
          <w:szCs w:val="16"/>
        </w:rPr>
        <w:softHyphen/>
        <w:t>тилия двинулась вверх по Сунгари, ставя задачей разгро</w:t>
      </w:r>
      <w:r w:rsidRPr="00A259BD">
        <w:rPr>
          <w:rFonts w:ascii="Times New Roman" w:hAnsi="Times New Roman"/>
          <w:color w:val="000000" w:themeColor="text1"/>
          <w:sz w:val="16"/>
          <w:szCs w:val="16"/>
        </w:rPr>
        <w:softHyphen/>
        <w:t xml:space="preserve">мить противника в районе </w:t>
      </w:r>
      <w:proofErr w:type="spellStart"/>
      <w:r w:rsidRPr="00A259BD">
        <w:rPr>
          <w:rFonts w:ascii="Times New Roman" w:hAnsi="Times New Roman"/>
          <w:color w:val="000000" w:themeColor="text1"/>
          <w:sz w:val="16"/>
          <w:szCs w:val="16"/>
        </w:rPr>
        <w:t>Фугдина</w:t>
      </w:r>
      <w:proofErr w:type="spellEnd"/>
      <w:r w:rsidRPr="00A259BD">
        <w:rPr>
          <w:rFonts w:ascii="Times New Roman" w:hAnsi="Times New Roman"/>
          <w:color w:val="000000" w:themeColor="text1"/>
          <w:sz w:val="16"/>
          <w:szCs w:val="16"/>
        </w:rPr>
        <w:t>. МР-1 68-го отряда ве</w:t>
      </w:r>
      <w:r w:rsidRPr="00A259BD">
        <w:rPr>
          <w:rFonts w:ascii="Times New Roman" w:hAnsi="Times New Roman"/>
          <w:color w:val="000000" w:themeColor="text1"/>
          <w:sz w:val="16"/>
          <w:szCs w:val="16"/>
        </w:rPr>
        <w:softHyphen/>
        <w:t>ли воздушную разведку и охрану своей флотилии с десан</w:t>
      </w:r>
      <w:r w:rsidRPr="00A259BD">
        <w:rPr>
          <w:rFonts w:ascii="Times New Roman" w:hAnsi="Times New Roman"/>
          <w:color w:val="000000" w:themeColor="text1"/>
          <w:sz w:val="16"/>
          <w:szCs w:val="16"/>
        </w:rPr>
        <w:softHyphen/>
        <w:t xml:space="preserve">том. В первый день было совершено 17 вылетов на разведку. 31 октября командир отряда </w:t>
      </w:r>
      <w:proofErr w:type="spellStart"/>
      <w:r w:rsidRPr="00A259BD">
        <w:rPr>
          <w:rFonts w:ascii="Times New Roman" w:hAnsi="Times New Roman"/>
          <w:color w:val="000000" w:themeColor="text1"/>
          <w:sz w:val="16"/>
          <w:szCs w:val="16"/>
        </w:rPr>
        <w:t>Лухт</w:t>
      </w:r>
      <w:proofErr w:type="spellEnd"/>
      <w:r w:rsidRPr="00A259BD">
        <w:rPr>
          <w:rFonts w:ascii="Times New Roman" w:hAnsi="Times New Roman"/>
          <w:color w:val="000000" w:themeColor="text1"/>
          <w:sz w:val="16"/>
          <w:szCs w:val="16"/>
        </w:rPr>
        <w:t xml:space="preserve"> в паре с лет</w:t>
      </w:r>
      <w:r w:rsidRPr="00A259BD">
        <w:rPr>
          <w:rFonts w:ascii="Times New Roman" w:hAnsi="Times New Roman"/>
          <w:color w:val="000000" w:themeColor="text1"/>
          <w:sz w:val="16"/>
          <w:szCs w:val="16"/>
        </w:rPr>
        <w:softHyphen/>
        <w:t xml:space="preserve">чиком </w:t>
      </w:r>
      <w:proofErr w:type="spellStart"/>
      <w:r w:rsidRPr="00A259BD">
        <w:rPr>
          <w:rFonts w:ascii="Times New Roman" w:hAnsi="Times New Roman"/>
          <w:color w:val="000000" w:themeColor="text1"/>
          <w:sz w:val="16"/>
          <w:szCs w:val="16"/>
        </w:rPr>
        <w:t>Д.И.Боровиковым</w:t>
      </w:r>
      <w:proofErr w:type="spellEnd"/>
      <w:r w:rsidRPr="00A259BD">
        <w:rPr>
          <w:rFonts w:ascii="Times New Roman" w:hAnsi="Times New Roman"/>
          <w:color w:val="000000" w:themeColor="text1"/>
          <w:sz w:val="16"/>
          <w:szCs w:val="16"/>
        </w:rPr>
        <w:t xml:space="preserve"> вылетели на бомбардировку вражеских укреплений и кораблей. Несмотря на ожесто</w:t>
      </w:r>
      <w:r w:rsidRPr="00A259BD">
        <w:rPr>
          <w:rFonts w:ascii="Times New Roman" w:hAnsi="Times New Roman"/>
          <w:color w:val="000000" w:themeColor="text1"/>
          <w:sz w:val="16"/>
          <w:szCs w:val="16"/>
        </w:rPr>
        <w:softHyphen/>
        <w:t xml:space="preserve">ченный огонь с земли, два МР-1 прицельно отбомбились по китайской канонерской лодке “Цзян </w:t>
      </w:r>
      <w:proofErr w:type="spellStart"/>
      <w:r w:rsidRPr="00A259BD">
        <w:rPr>
          <w:rFonts w:ascii="Times New Roman" w:hAnsi="Times New Roman"/>
          <w:color w:val="000000" w:themeColor="text1"/>
          <w:sz w:val="16"/>
          <w:szCs w:val="16"/>
        </w:rPr>
        <w:t>Хэн</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Кианг-Хенг</w:t>
      </w:r>
      <w:proofErr w:type="spellEnd"/>
      <w:r w:rsidRPr="00A259BD">
        <w:rPr>
          <w:rFonts w:ascii="Times New Roman" w:hAnsi="Times New Roman"/>
          <w:color w:val="000000" w:themeColor="text1"/>
          <w:sz w:val="16"/>
          <w:szCs w:val="16"/>
        </w:rPr>
        <w:t xml:space="preserve">”). Впоследствии </w:t>
      </w:r>
      <w:proofErr w:type="spellStart"/>
      <w:r w:rsidRPr="00A259BD">
        <w:rPr>
          <w:rFonts w:ascii="Times New Roman" w:hAnsi="Times New Roman"/>
          <w:color w:val="000000" w:themeColor="text1"/>
          <w:sz w:val="16"/>
          <w:szCs w:val="16"/>
        </w:rPr>
        <w:t>Э.М.Лухт</w:t>
      </w:r>
      <w:proofErr w:type="spellEnd"/>
      <w:r w:rsidRPr="00A259BD">
        <w:rPr>
          <w:rFonts w:ascii="Times New Roman" w:hAnsi="Times New Roman"/>
          <w:color w:val="000000" w:themeColor="text1"/>
          <w:sz w:val="16"/>
          <w:szCs w:val="16"/>
        </w:rPr>
        <w:t xml:space="preserve"> докладывал: “Летчиками от</w:t>
      </w:r>
      <w:r w:rsidRPr="00A259BD">
        <w:rPr>
          <w:rFonts w:ascii="Times New Roman" w:hAnsi="Times New Roman"/>
          <w:color w:val="000000" w:themeColor="text1"/>
          <w:sz w:val="16"/>
          <w:szCs w:val="16"/>
        </w:rPr>
        <w:softHyphen/>
        <w:t>ряда уничтожены канонерка “</w:t>
      </w:r>
      <w:proofErr w:type="spellStart"/>
      <w:r w:rsidRPr="00A259BD">
        <w:rPr>
          <w:rFonts w:ascii="Times New Roman" w:hAnsi="Times New Roman"/>
          <w:color w:val="000000" w:themeColor="text1"/>
          <w:sz w:val="16"/>
          <w:szCs w:val="16"/>
        </w:rPr>
        <w:t>Кианг-Хенг</w:t>
      </w:r>
      <w:proofErr w:type="spellEnd"/>
      <w:r w:rsidRPr="00A259BD">
        <w:rPr>
          <w:rFonts w:ascii="Times New Roman" w:hAnsi="Times New Roman"/>
          <w:color w:val="000000" w:themeColor="text1"/>
          <w:sz w:val="16"/>
          <w:szCs w:val="16"/>
        </w:rPr>
        <w:t>”, вооруженный пароход, баржа... Подавлены вражеская артиллерия и пу</w:t>
      </w:r>
      <w:r w:rsidRPr="00A259BD">
        <w:rPr>
          <w:rFonts w:ascii="Times New Roman" w:hAnsi="Times New Roman"/>
          <w:color w:val="000000" w:themeColor="text1"/>
          <w:sz w:val="16"/>
          <w:szCs w:val="16"/>
        </w:rPr>
        <w:softHyphen/>
        <w:t xml:space="preserve">леметные точки. Рассеяна </w:t>
      </w:r>
      <w:proofErr w:type="spellStart"/>
      <w:r w:rsidRPr="00A259BD">
        <w:rPr>
          <w:rFonts w:ascii="Times New Roman" w:hAnsi="Times New Roman"/>
          <w:color w:val="000000" w:themeColor="text1"/>
          <w:sz w:val="16"/>
          <w:szCs w:val="16"/>
        </w:rPr>
        <w:t>белокитайская</w:t>
      </w:r>
      <w:proofErr w:type="spellEnd"/>
      <w:r w:rsidRPr="00A259BD">
        <w:rPr>
          <w:rFonts w:ascii="Times New Roman" w:hAnsi="Times New Roman"/>
          <w:color w:val="000000" w:themeColor="text1"/>
          <w:sz w:val="16"/>
          <w:szCs w:val="16"/>
        </w:rPr>
        <w:t xml:space="preserve"> конница, чем оказана помощь десанту” (11107).</w:t>
      </w:r>
    </w:p>
    <w:p w14:paraId="573E215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91256D" w14:textId="77777777" w:rsidR="00170B72" w:rsidRPr="00A259BD" w:rsidRDefault="00170B72" w:rsidP="009236E3">
      <w:pPr>
        <w:pStyle w:val="a3"/>
        <w:rPr>
          <w:color w:val="000000" w:themeColor="text1"/>
          <w:lang w:val="ru-RU"/>
        </w:rPr>
      </w:pPr>
      <w:r w:rsidRPr="00A259BD">
        <w:rPr>
          <w:color w:val="000000" w:themeColor="text1"/>
          <w:lang w:val="ru-RU"/>
        </w:rPr>
        <w:t>30 октяб</w:t>
      </w:r>
      <w:r w:rsidRPr="00A259BD">
        <w:rPr>
          <w:color w:val="000000" w:themeColor="text1"/>
          <w:lang w:val="ru-RU"/>
        </w:rPr>
        <w:softHyphen/>
        <w:t xml:space="preserve">ря 1929 советская военная флотилия двинулась вверх по Сунгари, ей поставили задачу разгромить вражескую группировку в районе </w:t>
      </w:r>
      <w:proofErr w:type="spellStart"/>
      <w:r w:rsidRPr="00A259BD">
        <w:rPr>
          <w:color w:val="000000" w:themeColor="text1"/>
          <w:lang w:val="ru-RU"/>
        </w:rPr>
        <w:t>Фугдина</w:t>
      </w:r>
      <w:proofErr w:type="spellEnd"/>
      <w:r w:rsidRPr="00A259BD">
        <w:rPr>
          <w:color w:val="000000" w:themeColor="text1"/>
          <w:lang w:val="ru-RU"/>
        </w:rPr>
        <w:t xml:space="preserve"> (</w:t>
      </w:r>
      <w:proofErr w:type="spellStart"/>
      <w:r w:rsidRPr="00A259BD">
        <w:rPr>
          <w:color w:val="000000" w:themeColor="text1"/>
          <w:lang w:val="ru-RU"/>
        </w:rPr>
        <w:t>Фуцзинь</w:t>
      </w:r>
      <w:proofErr w:type="spellEnd"/>
      <w:r w:rsidRPr="00A259BD">
        <w:rPr>
          <w:color w:val="000000" w:themeColor="text1"/>
          <w:lang w:val="ru-RU"/>
        </w:rPr>
        <w:t xml:space="preserve">). Гидросамолеты 68-го </w:t>
      </w:r>
      <w:proofErr w:type="spellStart"/>
      <w:r w:rsidRPr="00A259BD">
        <w:rPr>
          <w:color w:val="000000" w:themeColor="text1"/>
          <w:lang w:val="ru-RU"/>
        </w:rPr>
        <w:t>оао</w:t>
      </w:r>
      <w:proofErr w:type="spellEnd"/>
      <w:r w:rsidRPr="00A259BD">
        <w:rPr>
          <w:color w:val="000000" w:themeColor="text1"/>
          <w:lang w:val="ru-RU"/>
        </w:rPr>
        <w:t xml:space="preserve"> вели воздушную разведку, прикрывали с воздуха корабли с десантом. В первый день операции МР-1 выполнили 17 </w:t>
      </w:r>
      <w:proofErr w:type="spellStart"/>
      <w:r w:rsidRPr="00A259BD">
        <w:rPr>
          <w:color w:val="000000" w:themeColor="text1"/>
          <w:lang w:val="ru-RU"/>
        </w:rPr>
        <w:t>разведполётов</w:t>
      </w:r>
      <w:proofErr w:type="spellEnd"/>
      <w:r w:rsidRPr="00A259BD">
        <w:rPr>
          <w:color w:val="000000" w:themeColor="text1"/>
          <w:lang w:val="ru-RU"/>
        </w:rPr>
        <w:t xml:space="preserve">. На следующий день командир отряда Э.М. </w:t>
      </w:r>
      <w:proofErr w:type="spellStart"/>
      <w:r w:rsidRPr="00A259BD">
        <w:rPr>
          <w:color w:val="000000" w:themeColor="text1"/>
          <w:lang w:val="ru-RU"/>
        </w:rPr>
        <w:t>Лухт</w:t>
      </w:r>
      <w:proofErr w:type="spellEnd"/>
      <w:r w:rsidRPr="00A259BD">
        <w:rPr>
          <w:color w:val="000000" w:themeColor="text1"/>
          <w:lang w:val="ru-RU"/>
        </w:rPr>
        <w:t xml:space="preserve"> и лётчик Д.И. Боровиков парой бомбили вражеские корабли и укрепления. По са</w:t>
      </w:r>
      <w:r w:rsidRPr="00A259BD">
        <w:rPr>
          <w:color w:val="000000" w:themeColor="text1"/>
          <w:lang w:val="ru-RU"/>
        </w:rPr>
        <w:softHyphen/>
        <w:t>молётам открыли массирован</w:t>
      </w:r>
      <w:r w:rsidRPr="00A259BD">
        <w:rPr>
          <w:color w:val="000000" w:themeColor="text1"/>
          <w:lang w:val="ru-RU"/>
        </w:rPr>
        <w:softHyphen/>
        <w:t>ный прицельный огонь с зем</w:t>
      </w:r>
      <w:r w:rsidRPr="00A259BD">
        <w:rPr>
          <w:color w:val="000000" w:themeColor="text1"/>
          <w:lang w:val="ru-RU"/>
        </w:rPr>
        <w:softHyphen/>
        <w:t xml:space="preserve">ли. Прицельно отбомбившись по китайской канонерской лодке, позже </w:t>
      </w:r>
      <w:proofErr w:type="spellStart"/>
      <w:r w:rsidRPr="00A259BD">
        <w:rPr>
          <w:color w:val="000000" w:themeColor="text1"/>
          <w:lang w:val="ru-RU"/>
        </w:rPr>
        <w:t>Лухт</w:t>
      </w:r>
      <w:proofErr w:type="spellEnd"/>
      <w:r w:rsidRPr="00A259BD">
        <w:rPr>
          <w:color w:val="000000" w:themeColor="text1"/>
          <w:lang w:val="ru-RU"/>
        </w:rPr>
        <w:t xml:space="preserve"> доклады</w:t>
      </w:r>
      <w:r w:rsidRPr="00A259BD">
        <w:rPr>
          <w:color w:val="000000" w:themeColor="text1"/>
          <w:lang w:val="ru-RU"/>
        </w:rPr>
        <w:softHyphen/>
        <w:t xml:space="preserve">вал: «Лётчиками отряда уничтожены канонерка... вооружённый пароход, баржа... Подавлены вражеская артиллерия и пулемётные точки. Рассеяна </w:t>
      </w:r>
      <w:proofErr w:type="spellStart"/>
      <w:r w:rsidRPr="00A259BD">
        <w:rPr>
          <w:color w:val="000000" w:themeColor="text1"/>
          <w:lang w:val="ru-RU"/>
        </w:rPr>
        <w:t>белокитайская</w:t>
      </w:r>
      <w:proofErr w:type="spellEnd"/>
      <w:r w:rsidRPr="00A259BD">
        <w:rPr>
          <w:color w:val="000000" w:themeColor="text1"/>
          <w:lang w:val="ru-RU"/>
        </w:rPr>
        <w:t xml:space="preserve"> конница, чем оказана помощь десанту».</w:t>
      </w:r>
    </w:p>
    <w:p w14:paraId="2C5589E3" w14:textId="77777777" w:rsidR="00170B72" w:rsidRPr="00A259BD" w:rsidRDefault="00170B72" w:rsidP="009236E3">
      <w:pPr>
        <w:pStyle w:val="a3"/>
        <w:rPr>
          <w:color w:val="000000" w:themeColor="text1"/>
          <w:lang w:val="ru-RU"/>
        </w:rPr>
      </w:pPr>
      <w:r w:rsidRPr="00A259BD">
        <w:rPr>
          <w:color w:val="000000" w:themeColor="text1"/>
          <w:lang w:val="ru-RU"/>
        </w:rPr>
        <w:t xml:space="preserve">В авторитетных европейских изданиях, таких как «Дейли Телеграф», «Тайме», «Пари Матч» и пр., сразу же отметили, что всего у китайцев на Сунгари имелось семь </w:t>
      </w:r>
      <w:proofErr w:type="spellStart"/>
      <w:r w:rsidRPr="00A259BD">
        <w:rPr>
          <w:color w:val="000000" w:themeColor="text1"/>
          <w:lang w:val="ru-RU"/>
        </w:rPr>
        <w:t>канлодок</w:t>
      </w:r>
      <w:proofErr w:type="spellEnd"/>
      <w:r w:rsidRPr="00A259BD">
        <w:rPr>
          <w:color w:val="000000" w:themeColor="text1"/>
          <w:lang w:val="ru-RU"/>
        </w:rPr>
        <w:t xml:space="preserve"> и вооружённый пароход. Журналисты, получив сведения, что во время боя и пос</w:t>
      </w:r>
      <w:r w:rsidRPr="00A259BD">
        <w:rPr>
          <w:color w:val="000000" w:themeColor="text1"/>
          <w:lang w:val="ru-RU"/>
        </w:rPr>
        <w:softHyphen/>
        <w:t xml:space="preserve">ле него были уничтожены шесть пароходов, а наиболее сильная </w:t>
      </w:r>
      <w:proofErr w:type="spellStart"/>
      <w:r w:rsidRPr="00A259BD">
        <w:rPr>
          <w:color w:val="000000" w:themeColor="text1"/>
          <w:lang w:val="ru-RU"/>
        </w:rPr>
        <w:t>канлодка</w:t>
      </w:r>
      <w:proofErr w:type="spellEnd"/>
      <w:r w:rsidRPr="00A259BD">
        <w:rPr>
          <w:color w:val="000000" w:themeColor="text1"/>
          <w:lang w:val="ru-RU"/>
        </w:rPr>
        <w:t xml:space="preserve"> из боя вышла сильно повреждённой и, </w:t>
      </w:r>
      <w:proofErr w:type="spellStart"/>
      <w:r w:rsidRPr="00A259BD">
        <w:rPr>
          <w:color w:val="000000" w:themeColor="text1"/>
          <w:lang w:val="ru-RU"/>
        </w:rPr>
        <w:t>прийдя</w:t>
      </w:r>
      <w:proofErr w:type="spellEnd"/>
      <w:r w:rsidRPr="00A259BD">
        <w:rPr>
          <w:color w:val="000000" w:themeColor="text1"/>
          <w:lang w:val="ru-RU"/>
        </w:rPr>
        <w:t xml:space="preserve"> в </w:t>
      </w:r>
      <w:proofErr w:type="spellStart"/>
      <w:r w:rsidRPr="00A259BD">
        <w:rPr>
          <w:color w:val="000000" w:themeColor="text1"/>
          <w:lang w:val="ru-RU"/>
        </w:rPr>
        <w:t>Фугдин</w:t>
      </w:r>
      <w:proofErr w:type="spellEnd"/>
      <w:r w:rsidRPr="00A259BD">
        <w:rPr>
          <w:color w:val="000000" w:themeColor="text1"/>
          <w:lang w:val="ru-RU"/>
        </w:rPr>
        <w:t>, затонула, сделали вывод, что «если так, то в настоящее время на Сунгари китайской военной флотилии нет».</w:t>
      </w:r>
    </w:p>
    <w:p w14:paraId="68978149" w14:textId="77777777" w:rsidR="00170B72" w:rsidRPr="00A259BD" w:rsidRDefault="00170B72" w:rsidP="009236E3">
      <w:pPr>
        <w:pStyle w:val="a3"/>
        <w:rPr>
          <w:color w:val="000000" w:themeColor="text1"/>
          <w:lang w:val="ru-RU"/>
        </w:rPr>
      </w:pPr>
      <w:r w:rsidRPr="00A259BD">
        <w:rPr>
          <w:color w:val="000000" w:themeColor="text1"/>
          <w:lang w:val="ru-RU"/>
        </w:rPr>
        <w:t>О контактах с «</w:t>
      </w:r>
      <w:proofErr w:type="spellStart"/>
      <w:r w:rsidRPr="00A259BD">
        <w:rPr>
          <w:color w:val="000000" w:themeColor="text1"/>
          <w:lang w:val="ru-RU"/>
        </w:rPr>
        <w:t>белокитайской</w:t>
      </w:r>
      <w:proofErr w:type="spellEnd"/>
      <w:r w:rsidRPr="00A259BD">
        <w:rPr>
          <w:color w:val="000000" w:themeColor="text1"/>
          <w:lang w:val="ru-RU"/>
        </w:rPr>
        <w:t xml:space="preserve">» авиацией упоминается лишь в воспоминаниях летнаба В. Толстого, начальника штаба 19-го </w:t>
      </w:r>
      <w:proofErr w:type="spellStart"/>
      <w:r w:rsidRPr="00A259BD">
        <w:rPr>
          <w:color w:val="000000" w:themeColor="text1"/>
          <w:lang w:val="ru-RU"/>
        </w:rPr>
        <w:t>ао</w:t>
      </w:r>
      <w:proofErr w:type="spellEnd"/>
      <w:r w:rsidRPr="00A259BD">
        <w:rPr>
          <w:color w:val="000000" w:themeColor="text1"/>
          <w:lang w:val="ru-RU"/>
        </w:rPr>
        <w:t xml:space="preserve"> «Дальневосточный Ультиматум»:</w:t>
      </w:r>
    </w:p>
    <w:p w14:paraId="1747B3B9" w14:textId="77777777" w:rsidR="00170B72" w:rsidRPr="00A259BD" w:rsidRDefault="00170B72" w:rsidP="009236E3">
      <w:pPr>
        <w:pStyle w:val="a3"/>
        <w:rPr>
          <w:color w:val="000000" w:themeColor="text1"/>
          <w:lang w:val="ru-RU"/>
        </w:rPr>
      </w:pPr>
      <w:r w:rsidRPr="00A259BD">
        <w:rPr>
          <w:color w:val="000000" w:themeColor="text1"/>
          <w:lang w:val="ru-RU"/>
        </w:rPr>
        <w:t>«В один из ноябрьских дней внезапно весь отряд «Дальневосточный Ультиматум» был поднят на ноги воздушной тревогой. Так же как и перед бомбометанием все дру</w:t>
      </w:r>
      <w:r w:rsidRPr="00A259BD">
        <w:rPr>
          <w:color w:val="000000" w:themeColor="text1"/>
          <w:lang w:val="ru-RU"/>
        </w:rPr>
        <w:softHyphen/>
        <w:t>жно с сознанием исключительной ответственности заняли свои места. С редкой быст</w:t>
      </w:r>
      <w:r w:rsidRPr="00A259BD">
        <w:rPr>
          <w:color w:val="000000" w:themeColor="text1"/>
          <w:lang w:val="ru-RU"/>
        </w:rPr>
        <w:softHyphen/>
        <w:t>ротой готовились самолёты к вылету. Бинокли выискивали на горизонте воздушного противника, противовоздушная оборона была наготове, посты наблюдения доносили: «Пять китайских самолётов летят в нашу сторону!». — Неужели сбудется воздушный бой? — переговаривались лётчики. Не довелось «Ультиматуму» в этот день померяться силами с самолетами про</w:t>
      </w:r>
      <w:r w:rsidRPr="00A259BD">
        <w:rPr>
          <w:color w:val="000000" w:themeColor="text1"/>
          <w:lang w:val="ru-RU"/>
        </w:rPr>
        <w:softHyphen/>
        <w:t>тивника, они долетели до границы и вер</w:t>
      </w:r>
      <w:r w:rsidRPr="00A259BD">
        <w:rPr>
          <w:color w:val="000000" w:themeColor="text1"/>
          <w:lang w:val="ru-RU"/>
        </w:rPr>
        <w:softHyphen/>
        <w:t>нулись на свой аэродром. Это был день 11 ноября, когда из Харбина прилетели на фронт китайские самолёты. С этого дня отравлено было настроение наших лётчи</w:t>
      </w:r>
      <w:r w:rsidRPr="00A259BD">
        <w:rPr>
          <w:color w:val="000000" w:themeColor="text1"/>
          <w:lang w:val="ru-RU"/>
        </w:rPr>
        <w:softHyphen/>
        <w:t>ков. Они спали и видели воздушный бой, а днем они мучили командование расспро</w:t>
      </w:r>
      <w:r w:rsidRPr="00A259BD">
        <w:rPr>
          <w:color w:val="000000" w:themeColor="text1"/>
          <w:lang w:val="ru-RU"/>
        </w:rPr>
        <w:softHyphen/>
        <w:t xml:space="preserve">сами: «когда же?», «когда же разрешат?». У них уже у каждого были проекты боя, они до тонкости рассчитали маршрут и время, </w:t>
      </w:r>
      <w:r w:rsidRPr="00A259BD">
        <w:rPr>
          <w:rStyle w:val="2f0"/>
          <w:rFonts w:ascii="Times New Roman" w:hAnsi="Times New Roman" w:cs="Times New Roman"/>
          <w:b w:val="0"/>
          <w:color w:val="000000" w:themeColor="text1"/>
          <w:sz w:val="16"/>
          <w:szCs w:val="16"/>
          <w:lang w:val="ru-RU"/>
        </w:rPr>
        <w:t>и</w:t>
      </w:r>
      <w:r w:rsidRPr="00A259BD">
        <w:rPr>
          <w:color w:val="000000" w:themeColor="text1"/>
          <w:lang w:val="ru-RU"/>
        </w:rPr>
        <w:t xml:space="preserve"> количество бомб, но... командование не разрешало. «До тех пор, пока не будет уг</w:t>
      </w:r>
      <w:r w:rsidRPr="00A259BD">
        <w:rPr>
          <w:color w:val="000000" w:themeColor="text1"/>
          <w:lang w:val="ru-RU"/>
        </w:rPr>
        <w:softHyphen/>
        <w:t>розы со стороны китайских самолётов, не трогать!».</w:t>
      </w:r>
    </w:p>
    <w:p w14:paraId="34C690C2" w14:textId="77777777" w:rsidR="00170B72" w:rsidRPr="00A259BD" w:rsidRDefault="00170B72" w:rsidP="009236E3">
      <w:pPr>
        <w:pStyle w:val="a3"/>
        <w:rPr>
          <w:color w:val="000000" w:themeColor="text1"/>
          <w:lang w:val="ru-RU"/>
        </w:rPr>
      </w:pPr>
      <w:r w:rsidRPr="00A259BD">
        <w:rPr>
          <w:color w:val="000000" w:themeColor="text1"/>
          <w:lang w:val="ru-RU"/>
        </w:rPr>
        <w:t>Трудно передать настроение лётчиков. Они готовили пулеметы, проверяли машины, выискивали в небе противника, готовы были каждого пролетающего дикого гуся при</w:t>
      </w:r>
      <w:r w:rsidRPr="00A259BD">
        <w:rPr>
          <w:color w:val="000000" w:themeColor="text1"/>
          <w:lang w:val="ru-RU"/>
        </w:rPr>
        <w:softHyphen/>
        <w:t>нять за китайский самолёт, гадали: «будет или не будет?».</w:t>
      </w:r>
    </w:p>
    <w:p w14:paraId="40AC2011" w14:textId="77777777" w:rsidR="00170B72" w:rsidRPr="00A259BD" w:rsidRDefault="00170B72" w:rsidP="009236E3">
      <w:pPr>
        <w:pStyle w:val="a3"/>
        <w:widowControl/>
        <w:numPr>
          <w:ilvl w:val="0"/>
          <w:numId w:val="1"/>
        </w:numPr>
        <w:tabs>
          <w:tab w:val="left" w:pos="305"/>
        </w:tabs>
        <w:autoSpaceDE/>
        <w:autoSpaceDN/>
        <w:adjustRightInd/>
        <w:rPr>
          <w:color w:val="000000" w:themeColor="text1"/>
        </w:rPr>
      </w:pPr>
      <w:proofErr w:type="spellStart"/>
      <w:r w:rsidRPr="00A259BD">
        <w:rPr>
          <w:color w:val="000000" w:themeColor="text1"/>
        </w:rPr>
        <w:t>Будет</w:t>
      </w:r>
      <w:proofErr w:type="spellEnd"/>
      <w:r w:rsidRPr="00A259BD">
        <w:rPr>
          <w:color w:val="000000" w:themeColor="text1"/>
        </w:rPr>
        <w:t xml:space="preserve">, — </w:t>
      </w:r>
      <w:proofErr w:type="spellStart"/>
      <w:r w:rsidRPr="00A259BD">
        <w:rPr>
          <w:color w:val="000000" w:themeColor="text1"/>
        </w:rPr>
        <w:t>говорит</w:t>
      </w:r>
      <w:proofErr w:type="spellEnd"/>
      <w:r w:rsidRPr="00A259BD">
        <w:rPr>
          <w:color w:val="000000" w:themeColor="text1"/>
        </w:rPr>
        <w:t xml:space="preserve"> </w:t>
      </w:r>
      <w:proofErr w:type="spellStart"/>
      <w:r w:rsidRPr="00A259BD">
        <w:rPr>
          <w:color w:val="000000" w:themeColor="text1"/>
        </w:rPr>
        <w:t>лётчик</w:t>
      </w:r>
      <w:proofErr w:type="spellEnd"/>
      <w:r w:rsidRPr="00A259BD">
        <w:rPr>
          <w:color w:val="000000" w:themeColor="text1"/>
        </w:rPr>
        <w:t xml:space="preserve"> </w:t>
      </w:r>
      <w:proofErr w:type="spellStart"/>
      <w:r w:rsidRPr="00A259BD">
        <w:rPr>
          <w:color w:val="000000" w:themeColor="text1"/>
        </w:rPr>
        <w:t>Соколов</w:t>
      </w:r>
      <w:proofErr w:type="spellEnd"/>
      <w:r w:rsidRPr="00A259BD">
        <w:rPr>
          <w:color w:val="000000" w:themeColor="text1"/>
        </w:rPr>
        <w:t>.</w:t>
      </w:r>
    </w:p>
    <w:p w14:paraId="265711DB" w14:textId="77777777" w:rsidR="00170B72" w:rsidRPr="00A259BD" w:rsidRDefault="00170B72" w:rsidP="009236E3">
      <w:pPr>
        <w:pStyle w:val="a3"/>
        <w:widowControl/>
        <w:numPr>
          <w:ilvl w:val="0"/>
          <w:numId w:val="1"/>
        </w:numPr>
        <w:tabs>
          <w:tab w:val="left" w:pos="430"/>
        </w:tabs>
        <w:autoSpaceDE/>
        <w:autoSpaceDN/>
        <w:adjustRightInd/>
        <w:rPr>
          <w:color w:val="000000" w:themeColor="text1"/>
        </w:rPr>
      </w:pPr>
      <w:r w:rsidRPr="00A259BD">
        <w:rPr>
          <w:color w:val="000000" w:themeColor="text1"/>
          <w:lang w:val="ru-RU"/>
        </w:rPr>
        <w:t>А откуда ты знаешь? — спрашивают его. — По пулемёту сужу, он у меня пророк. В мир</w:t>
      </w:r>
      <w:r w:rsidRPr="00A259BD">
        <w:rPr>
          <w:color w:val="000000" w:themeColor="text1"/>
          <w:lang w:val="ru-RU"/>
        </w:rPr>
        <w:softHyphen/>
        <w:t xml:space="preserve">ное время работает с перебоями, ничего не могу поделать, а как боевую работу почует, так безотказно. </w:t>
      </w:r>
      <w:proofErr w:type="spellStart"/>
      <w:r w:rsidRPr="00A259BD">
        <w:rPr>
          <w:color w:val="000000" w:themeColor="text1"/>
        </w:rPr>
        <w:t>Сегодня</w:t>
      </w:r>
      <w:proofErr w:type="spellEnd"/>
      <w:r w:rsidRPr="00A259BD">
        <w:rPr>
          <w:color w:val="000000" w:themeColor="text1"/>
        </w:rPr>
        <w:t xml:space="preserve"> </w:t>
      </w:r>
      <w:proofErr w:type="spellStart"/>
      <w:r w:rsidRPr="00A259BD">
        <w:rPr>
          <w:color w:val="000000" w:themeColor="text1"/>
        </w:rPr>
        <w:t>пробовал</w:t>
      </w:r>
      <w:proofErr w:type="spellEnd"/>
      <w:r w:rsidRPr="00A259BD">
        <w:rPr>
          <w:color w:val="000000" w:themeColor="text1"/>
        </w:rPr>
        <w:t xml:space="preserve"> — </w:t>
      </w:r>
      <w:proofErr w:type="spellStart"/>
      <w:r w:rsidRPr="00A259BD">
        <w:rPr>
          <w:color w:val="000000" w:themeColor="text1"/>
        </w:rPr>
        <w:t>ни</w:t>
      </w:r>
      <w:proofErr w:type="spellEnd"/>
      <w:r w:rsidRPr="00A259BD">
        <w:rPr>
          <w:color w:val="000000" w:themeColor="text1"/>
        </w:rPr>
        <w:t xml:space="preserve"> </w:t>
      </w:r>
      <w:proofErr w:type="spellStart"/>
      <w:r w:rsidRPr="00A259BD">
        <w:rPr>
          <w:color w:val="000000" w:themeColor="text1"/>
        </w:rPr>
        <w:t>одной</w:t>
      </w:r>
      <w:proofErr w:type="spellEnd"/>
      <w:r w:rsidRPr="00A259BD">
        <w:rPr>
          <w:color w:val="000000" w:themeColor="text1"/>
        </w:rPr>
        <w:t xml:space="preserve"> </w:t>
      </w:r>
      <w:proofErr w:type="spellStart"/>
      <w:r w:rsidRPr="00A259BD">
        <w:rPr>
          <w:color w:val="000000" w:themeColor="text1"/>
        </w:rPr>
        <w:t>задержки</w:t>
      </w:r>
      <w:proofErr w:type="spellEnd"/>
      <w:r w:rsidRPr="00A259BD">
        <w:rPr>
          <w:color w:val="000000" w:themeColor="text1"/>
        </w:rPr>
        <w:t xml:space="preserve"> — </w:t>
      </w:r>
      <w:proofErr w:type="spellStart"/>
      <w:r w:rsidRPr="00A259BD">
        <w:rPr>
          <w:color w:val="000000" w:themeColor="text1"/>
        </w:rPr>
        <w:t>значит</w:t>
      </w:r>
      <w:proofErr w:type="spellEnd"/>
      <w:r w:rsidRPr="00A259BD">
        <w:rPr>
          <w:color w:val="000000" w:themeColor="text1"/>
        </w:rPr>
        <w:t xml:space="preserve">, </w:t>
      </w:r>
      <w:proofErr w:type="spellStart"/>
      <w:r w:rsidRPr="00A259BD">
        <w:rPr>
          <w:color w:val="000000" w:themeColor="text1"/>
        </w:rPr>
        <w:t>будет</w:t>
      </w:r>
      <w:proofErr w:type="spellEnd"/>
      <w:r w:rsidRPr="00A259BD">
        <w:rPr>
          <w:color w:val="000000" w:themeColor="text1"/>
        </w:rPr>
        <w:t xml:space="preserve">, — </w:t>
      </w:r>
      <w:proofErr w:type="spellStart"/>
      <w:r w:rsidRPr="00A259BD">
        <w:rPr>
          <w:color w:val="000000" w:themeColor="text1"/>
        </w:rPr>
        <w:t>шутит</w:t>
      </w:r>
      <w:proofErr w:type="spellEnd"/>
      <w:r w:rsidRPr="00A259BD">
        <w:rPr>
          <w:color w:val="000000" w:themeColor="text1"/>
        </w:rPr>
        <w:t xml:space="preserve"> </w:t>
      </w:r>
      <w:proofErr w:type="spellStart"/>
      <w:r w:rsidRPr="00A259BD">
        <w:rPr>
          <w:color w:val="000000" w:themeColor="text1"/>
        </w:rPr>
        <w:t>он</w:t>
      </w:r>
      <w:proofErr w:type="spellEnd"/>
      <w:r w:rsidRPr="00A259BD">
        <w:rPr>
          <w:color w:val="000000" w:themeColor="text1"/>
        </w:rPr>
        <w:t>.</w:t>
      </w:r>
    </w:p>
    <w:p w14:paraId="7554C4B0" w14:textId="77777777" w:rsidR="00170B72" w:rsidRPr="00A259BD" w:rsidRDefault="00170B72" w:rsidP="009236E3">
      <w:pPr>
        <w:pStyle w:val="a3"/>
        <w:rPr>
          <w:color w:val="000000" w:themeColor="text1"/>
          <w:lang w:val="ru-RU"/>
        </w:rPr>
      </w:pPr>
      <w:r w:rsidRPr="00A259BD">
        <w:rPr>
          <w:color w:val="000000" w:themeColor="text1"/>
          <w:lang w:val="ru-RU"/>
        </w:rPr>
        <w:t xml:space="preserve">17 ноября нависла угроза. Самолёты противника налетели на нашу территорию и вновь ушли к себе. Это совпало с началом маневров </w:t>
      </w:r>
      <w:proofErr w:type="spellStart"/>
      <w:r w:rsidRPr="00A259BD">
        <w:rPr>
          <w:color w:val="000000" w:themeColor="text1"/>
          <w:lang w:val="ru-RU"/>
        </w:rPr>
        <w:t>мукденской</w:t>
      </w:r>
      <w:proofErr w:type="spellEnd"/>
      <w:r w:rsidRPr="00A259BD">
        <w:rPr>
          <w:color w:val="000000" w:themeColor="text1"/>
          <w:lang w:val="ru-RU"/>
        </w:rPr>
        <w:t xml:space="preserve"> конницы в районе Ту</w:t>
      </w:r>
      <w:r w:rsidRPr="00A259BD">
        <w:rPr>
          <w:color w:val="000000" w:themeColor="text1"/>
          <w:lang w:val="ru-RU"/>
        </w:rPr>
        <w:softHyphen/>
        <w:t>рий Рог. «Ультиматум», нагрузившись бомбами, вылетел, имея своей задачей уничто</w:t>
      </w:r>
      <w:r w:rsidRPr="00A259BD">
        <w:rPr>
          <w:color w:val="000000" w:themeColor="text1"/>
          <w:lang w:val="ru-RU"/>
        </w:rPr>
        <w:softHyphen/>
        <w:t>жить китайский авиаотряд.</w:t>
      </w:r>
    </w:p>
    <w:p w14:paraId="500A94BD" w14:textId="77777777" w:rsidR="00170B72" w:rsidRPr="00A259BD" w:rsidRDefault="00170B72" w:rsidP="009236E3">
      <w:pPr>
        <w:pStyle w:val="a3"/>
        <w:rPr>
          <w:color w:val="000000" w:themeColor="text1"/>
          <w:lang w:val="ru-RU"/>
        </w:rPr>
      </w:pPr>
      <w:r w:rsidRPr="00A259BD">
        <w:rPr>
          <w:color w:val="000000" w:themeColor="text1"/>
          <w:lang w:val="ru-RU"/>
        </w:rPr>
        <w:t>Большой и тяжелый путь. Мороз. Ветер. Снежная дымка. Но не это беспокоило лёт</w:t>
      </w:r>
      <w:r w:rsidRPr="00A259BD">
        <w:rPr>
          <w:color w:val="000000" w:themeColor="text1"/>
          <w:lang w:val="ru-RU"/>
        </w:rPr>
        <w:softHyphen/>
        <w:t>чиков. У экипажей на всех самолётах одна мысль: «А что, если опоздаем?».</w:t>
      </w:r>
    </w:p>
    <w:p w14:paraId="40F8F9CA" w14:textId="77777777" w:rsidR="00170B72" w:rsidRPr="00A259BD" w:rsidRDefault="00170B72" w:rsidP="009236E3">
      <w:pPr>
        <w:pStyle w:val="a3"/>
        <w:rPr>
          <w:color w:val="000000" w:themeColor="text1"/>
          <w:lang w:val="ru-RU"/>
        </w:rPr>
      </w:pPr>
      <w:r w:rsidRPr="00A259BD">
        <w:rPr>
          <w:color w:val="000000" w:themeColor="text1"/>
          <w:lang w:val="ru-RU"/>
        </w:rPr>
        <w:t>Приближается цель, видимость плохая, но все глаза направлены к аэродрому, выиски</w:t>
      </w:r>
      <w:r w:rsidRPr="00A259BD">
        <w:rPr>
          <w:color w:val="000000" w:themeColor="text1"/>
          <w:lang w:val="ru-RU"/>
        </w:rPr>
        <w:softHyphen/>
        <w:t>вают самолеты, и возбуждение разом охватывает всех: противник застигнут на месте.</w:t>
      </w:r>
    </w:p>
    <w:p w14:paraId="2A93A023" w14:textId="77777777" w:rsidR="00170B72" w:rsidRPr="00A259BD" w:rsidRDefault="00170B72" w:rsidP="009236E3">
      <w:pPr>
        <w:pStyle w:val="a3"/>
        <w:rPr>
          <w:color w:val="000000" w:themeColor="text1"/>
          <w:lang w:val="ru-RU"/>
        </w:rPr>
      </w:pPr>
      <w:r w:rsidRPr="00A259BD">
        <w:rPr>
          <w:color w:val="000000" w:themeColor="text1"/>
          <w:lang w:val="ru-RU"/>
        </w:rPr>
        <w:t>Первое звено пулемётным огнем атакует самолёты противника. «</w:t>
      </w:r>
      <w:proofErr w:type="spellStart"/>
      <w:r w:rsidRPr="00A259BD">
        <w:rPr>
          <w:color w:val="000000" w:themeColor="text1"/>
          <w:lang w:val="ru-RU"/>
        </w:rPr>
        <w:t>Ультиматовцы</w:t>
      </w:r>
      <w:proofErr w:type="spellEnd"/>
      <w:r w:rsidRPr="00A259BD">
        <w:rPr>
          <w:color w:val="000000" w:themeColor="text1"/>
          <w:lang w:val="ru-RU"/>
        </w:rPr>
        <w:t>» за</w:t>
      </w:r>
      <w:r w:rsidRPr="00A259BD">
        <w:rPr>
          <w:color w:val="000000" w:themeColor="text1"/>
          <w:lang w:val="ru-RU"/>
        </w:rPr>
        <w:softHyphen/>
        <w:t>ходят на бомбометание. Пришедший в себя противник открывает интенсивный огонь из зенитных орудий и пулемётов. Розочки разрывов шрапнелей все ближе и ближе к нашим самолётам, вот они уже нащупали нашу высоту.</w:t>
      </w:r>
    </w:p>
    <w:p w14:paraId="7C732BD0" w14:textId="77777777" w:rsidR="00170B72" w:rsidRPr="00A259BD" w:rsidRDefault="00170B72" w:rsidP="009236E3">
      <w:pPr>
        <w:pStyle w:val="a3"/>
        <w:rPr>
          <w:color w:val="000000" w:themeColor="text1"/>
          <w:lang w:val="ru-RU"/>
        </w:rPr>
      </w:pPr>
      <w:r w:rsidRPr="00A259BD">
        <w:rPr>
          <w:color w:val="000000" w:themeColor="text1"/>
          <w:lang w:val="ru-RU"/>
        </w:rPr>
        <w:t>Под нами на китайском аэродроме пять новеньких французских самолетов «Бреге-19». Заходим на первый залп. Прошло 25 минут. «Ультиматум», выполнив задание, возвра</w:t>
      </w:r>
      <w:r w:rsidRPr="00A259BD">
        <w:rPr>
          <w:color w:val="000000" w:themeColor="text1"/>
          <w:lang w:val="ru-RU"/>
        </w:rPr>
        <w:softHyphen/>
        <w:t>щался обратно. Самолёты противника были выведены из строя?» (15820).</w:t>
      </w:r>
    </w:p>
    <w:p w14:paraId="6964C73E" w14:textId="77777777" w:rsidR="00170B72" w:rsidRPr="00A259BD" w:rsidRDefault="00170B72" w:rsidP="009236E3">
      <w:pPr>
        <w:pStyle w:val="a3"/>
        <w:rPr>
          <w:color w:val="000000" w:themeColor="text1"/>
          <w:lang w:val="ru-RU"/>
        </w:rPr>
      </w:pPr>
    </w:p>
    <w:p w14:paraId="5A3C78F4" w14:textId="77777777" w:rsidR="00170B72" w:rsidRPr="00A259BD" w:rsidRDefault="00170B72" w:rsidP="009236E3">
      <w:pPr>
        <w:pStyle w:val="a3"/>
        <w:rPr>
          <w:color w:val="000000" w:themeColor="text1"/>
          <w:lang w:val="ru-RU"/>
        </w:rPr>
      </w:pPr>
      <w:r w:rsidRPr="00A259BD">
        <w:rPr>
          <w:color w:val="000000" w:themeColor="text1"/>
          <w:lang w:val="ru-RU"/>
        </w:rPr>
        <w:t>30 октября 1929 68-й отряд вылетел тремя звеньями, стартовавшими с интервалами в 30-45 минут. Вода была уже очень холодной, по ней плавало «сало» (куски льда вперемешку со снегом); поплавки самолетов обмерзали, усложняя пилотирование. Всего в налётах на суда приняли уча</w:t>
      </w:r>
      <w:r w:rsidRPr="00A259BD">
        <w:rPr>
          <w:color w:val="000000" w:themeColor="text1"/>
          <w:lang w:val="ru-RU"/>
        </w:rPr>
        <w:softHyphen/>
        <w:t>стие восемь МР-1.</w:t>
      </w:r>
    </w:p>
    <w:p w14:paraId="5CF903E7" w14:textId="77777777" w:rsidR="00170B72" w:rsidRPr="00A259BD" w:rsidRDefault="00170B72" w:rsidP="009236E3">
      <w:pPr>
        <w:pStyle w:val="a3"/>
        <w:rPr>
          <w:color w:val="000000" w:themeColor="text1"/>
          <w:lang w:val="ru-RU"/>
        </w:rPr>
      </w:pPr>
      <w:r w:rsidRPr="00A259BD">
        <w:rPr>
          <w:color w:val="000000" w:themeColor="text1"/>
          <w:lang w:val="ru-RU"/>
        </w:rPr>
        <w:t xml:space="preserve">Гидропланы встретил сильный зенитный огонь — буксиры и баржи прикрывала все та же недобитая </w:t>
      </w:r>
      <w:proofErr w:type="spellStart"/>
      <w:r w:rsidRPr="00A259BD">
        <w:rPr>
          <w:color w:val="000000" w:themeColor="text1"/>
          <w:lang w:val="ru-RU"/>
        </w:rPr>
        <w:t>канлодка</w:t>
      </w:r>
      <w:proofErr w:type="spellEnd"/>
      <w:r w:rsidRPr="00A259BD">
        <w:rPr>
          <w:color w:val="000000" w:themeColor="text1"/>
          <w:lang w:val="ru-RU"/>
        </w:rPr>
        <w:t xml:space="preserve"> «</w:t>
      </w:r>
      <w:proofErr w:type="spellStart"/>
      <w:r w:rsidRPr="00A259BD">
        <w:rPr>
          <w:color w:val="000000" w:themeColor="text1"/>
          <w:lang w:val="ru-RU"/>
        </w:rPr>
        <w:t>Кианг-Хын</w:t>
      </w:r>
      <w:proofErr w:type="spellEnd"/>
      <w:r w:rsidRPr="00A259BD">
        <w:rPr>
          <w:color w:val="000000" w:themeColor="text1"/>
          <w:lang w:val="ru-RU"/>
        </w:rPr>
        <w:t>». Стреляли и с берега. Советские лётчики нанесли первый удар по канонерке. Она получила прямое попадание в правый борт в средней ча</w:t>
      </w:r>
      <w:r w:rsidRPr="00A259BD">
        <w:rPr>
          <w:color w:val="000000" w:themeColor="text1"/>
          <w:lang w:val="ru-RU"/>
        </w:rPr>
        <w:softHyphen/>
        <w:t>сти корпуса. Предполагают, что этого успеха достиг экипаж Д.И. Боровикова. Канонерскую лодку также обстреляли из пулемётов. «</w:t>
      </w:r>
      <w:proofErr w:type="spellStart"/>
      <w:r w:rsidRPr="00A259BD">
        <w:rPr>
          <w:color w:val="000000" w:themeColor="text1"/>
          <w:lang w:val="ru-RU"/>
        </w:rPr>
        <w:t>Кианг-Хын</w:t>
      </w:r>
      <w:proofErr w:type="spellEnd"/>
      <w:r w:rsidRPr="00A259BD">
        <w:rPr>
          <w:color w:val="000000" w:themeColor="text1"/>
          <w:lang w:val="ru-RU"/>
        </w:rPr>
        <w:t xml:space="preserve">» ушла в </w:t>
      </w:r>
      <w:proofErr w:type="spellStart"/>
      <w:r w:rsidRPr="00A259BD">
        <w:rPr>
          <w:color w:val="000000" w:themeColor="text1"/>
          <w:lang w:val="ru-RU"/>
        </w:rPr>
        <w:t>Фугдин</w:t>
      </w:r>
      <w:proofErr w:type="spellEnd"/>
      <w:r w:rsidRPr="00A259BD">
        <w:rPr>
          <w:color w:val="000000" w:themeColor="text1"/>
          <w:lang w:val="ru-RU"/>
        </w:rPr>
        <w:t xml:space="preserve"> и встала на рейде; позже там она и затонула от полученных повреждений. Затем самолёты 68-го </w:t>
      </w:r>
      <w:proofErr w:type="spellStart"/>
      <w:r w:rsidRPr="00A259BD">
        <w:rPr>
          <w:color w:val="000000" w:themeColor="text1"/>
          <w:lang w:val="ru-RU"/>
        </w:rPr>
        <w:t>оао</w:t>
      </w:r>
      <w:proofErr w:type="spellEnd"/>
      <w:r w:rsidRPr="00A259BD">
        <w:rPr>
          <w:color w:val="000000" w:themeColor="text1"/>
          <w:lang w:val="ru-RU"/>
        </w:rPr>
        <w:t xml:space="preserve"> бом</w:t>
      </w:r>
      <w:r w:rsidRPr="00A259BD">
        <w:rPr>
          <w:color w:val="000000" w:themeColor="text1"/>
          <w:lang w:val="ru-RU"/>
        </w:rPr>
        <w:softHyphen/>
        <w:t>бами и пулемётным огнём отогнали лишённые зенитного прикрытия китайские суда на 3 км вверх по реке. При этом потопили один пароход и одну баржу. Китайцы не заверши</w:t>
      </w:r>
      <w:r w:rsidRPr="00A259BD">
        <w:rPr>
          <w:color w:val="000000" w:themeColor="text1"/>
          <w:lang w:val="ru-RU"/>
        </w:rPr>
        <w:softHyphen/>
        <w:t>ли блокировку фарватера, у правого берега реки остался вполне достаточный проход.</w:t>
      </w:r>
    </w:p>
    <w:p w14:paraId="581797E6" w14:textId="77777777" w:rsidR="00170B72" w:rsidRPr="00A259BD" w:rsidRDefault="00170B72" w:rsidP="009236E3">
      <w:pPr>
        <w:pStyle w:val="a3"/>
        <w:rPr>
          <w:color w:val="000000" w:themeColor="text1"/>
          <w:lang w:val="ru-RU"/>
        </w:rPr>
      </w:pPr>
      <w:r w:rsidRPr="00A259BD">
        <w:rPr>
          <w:color w:val="000000" w:themeColor="text1"/>
          <w:lang w:val="ru-RU"/>
        </w:rPr>
        <w:t>Через этот проход прошли корабли Амурской флотилии, принявшие на борт два пол</w:t>
      </w:r>
      <w:r w:rsidRPr="00A259BD">
        <w:rPr>
          <w:color w:val="000000" w:themeColor="text1"/>
          <w:lang w:val="ru-RU"/>
        </w:rPr>
        <w:softHyphen/>
        <w:t xml:space="preserve">ка пехоты. Утром 31 октября они появились у </w:t>
      </w:r>
      <w:proofErr w:type="spellStart"/>
      <w:r w:rsidRPr="00A259BD">
        <w:rPr>
          <w:color w:val="000000" w:themeColor="text1"/>
          <w:lang w:val="ru-RU"/>
        </w:rPr>
        <w:t>Фугдина</w:t>
      </w:r>
      <w:proofErr w:type="spellEnd"/>
      <w:r w:rsidRPr="00A259BD">
        <w:rPr>
          <w:color w:val="000000" w:themeColor="text1"/>
          <w:lang w:val="ru-RU"/>
        </w:rPr>
        <w:t>. Высадку десанта предварили действия 68-го отряда, отправившего на цель восемь машин. Их должно было быть девять, но у одного самолёта не завелся мотор.</w:t>
      </w:r>
    </w:p>
    <w:p w14:paraId="1C2B2A60" w14:textId="77777777" w:rsidR="00170B72" w:rsidRPr="00A259BD" w:rsidRDefault="00170B72" w:rsidP="009236E3">
      <w:pPr>
        <w:pStyle w:val="a3"/>
        <w:rPr>
          <w:color w:val="000000" w:themeColor="text1"/>
          <w:lang w:val="ru-RU"/>
        </w:rPr>
      </w:pPr>
      <w:r w:rsidRPr="00A259BD">
        <w:rPr>
          <w:color w:val="000000" w:themeColor="text1"/>
          <w:lang w:val="ru-RU"/>
        </w:rPr>
        <w:t>Первое звено из трех МР-1 сбросило бомбы на скопление китайской пехоты в юго- восточной части города. Солдаты в панике разбежались. От разрывов бомб загорелись склады, тюрьма и полицейское управление. Один экипаж обнаружил обоз из 20 пово</w:t>
      </w:r>
      <w:r w:rsidRPr="00A259BD">
        <w:rPr>
          <w:color w:val="000000" w:themeColor="text1"/>
          <w:lang w:val="ru-RU"/>
        </w:rPr>
        <w:softHyphen/>
        <w:t>зок и сбросил на него бомбы. Часть повозок была разбита. Другой экипаж атаковал от</w:t>
      </w:r>
      <w:r w:rsidRPr="00A259BD">
        <w:rPr>
          <w:color w:val="000000" w:themeColor="text1"/>
          <w:lang w:val="ru-RU"/>
        </w:rPr>
        <w:softHyphen/>
        <w:t>ходящий отряд кавалерии примерно в 300 сабель и разогнал его осколочными бомбами и пулеметным огнем. При штурмовке с малой высоты гидроплану тоже досталось — он получил 12 пробоин. В порту летчики потопили вооруженный пароход.</w:t>
      </w:r>
    </w:p>
    <w:p w14:paraId="3F0553DB" w14:textId="77777777" w:rsidR="00170B72" w:rsidRPr="00A259BD" w:rsidRDefault="00170B72" w:rsidP="009236E3">
      <w:pPr>
        <w:pStyle w:val="a3"/>
        <w:rPr>
          <w:color w:val="000000" w:themeColor="text1"/>
          <w:lang w:val="ru-RU"/>
        </w:rPr>
      </w:pPr>
      <w:r w:rsidRPr="00A259BD">
        <w:rPr>
          <w:color w:val="000000" w:themeColor="text1"/>
          <w:lang w:val="ru-RU"/>
        </w:rPr>
        <w:t xml:space="preserve">В этот же день советские ВВС понесли первую потерю. Возвращаясь из </w:t>
      </w:r>
      <w:proofErr w:type="spellStart"/>
      <w:r w:rsidRPr="00A259BD">
        <w:rPr>
          <w:color w:val="000000" w:themeColor="text1"/>
          <w:lang w:val="ru-RU"/>
        </w:rPr>
        <w:t>Фугдина</w:t>
      </w:r>
      <w:proofErr w:type="spellEnd"/>
      <w:r w:rsidRPr="00A259BD">
        <w:rPr>
          <w:color w:val="000000" w:themeColor="text1"/>
          <w:lang w:val="ru-RU"/>
        </w:rPr>
        <w:t>, пи</w:t>
      </w:r>
      <w:r w:rsidRPr="00A259BD">
        <w:rPr>
          <w:color w:val="000000" w:themeColor="text1"/>
          <w:lang w:val="ru-RU"/>
        </w:rPr>
        <w:softHyphen/>
        <w:t>лот И.И. Ветров обратил внимание на перегрев двигателя. Оказалось, что течёт радиа</w:t>
      </w:r>
      <w:r w:rsidRPr="00A259BD">
        <w:rPr>
          <w:color w:val="000000" w:themeColor="text1"/>
          <w:lang w:val="ru-RU"/>
        </w:rPr>
        <w:softHyphen/>
        <w:t xml:space="preserve">тор. Возможно, его пробила пуля. Пришлось садиться в гавани </w:t>
      </w:r>
      <w:proofErr w:type="spellStart"/>
      <w:r w:rsidRPr="00A259BD">
        <w:rPr>
          <w:color w:val="000000" w:themeColor="text1"/>
          <w:lang w:val="ru-RU"/>
        </w:rPr>
        <w:t>Лахасусу</w:t>
      </w:r>
      <w:proofErr w:type="spellEnd"/>
      <w:r w:rsidRPr="00A259BD">
        <w:rPr>
          <w:color w:val="000000" w:themeColor="text1"/>
          <w:lang w:val="ru-RU"/>
        </w:rPr>
        <w:t>, не дотянув до плавбазы «Амур» примерно 40 км. Но поплавки попали на отмель, и самолёт скапотиро</w:t>
      </w:r>
      <w:r w:rsidRPr="00A259BD">
        <w:rPr>
          <w:color w:val="000000" w:themeColor="text1"/>
          <w:lang w:val="ru-RU"/>
        </w:rPr>
        <w:softHyphen/>
        <w:t>вал. Поблизости от места посадки находился монитор «Ленин». Лётчики стали кричать и махать руками, зовя на помощь. Монитор подошел и случайно ударом борта смял хво</w:t>
      </w:r>
      <w:r w:rsidRPr="00A259BD">
        <w:rPr>
          <w:color w:val="000000" w:themeColor="text1"/>
          <w:lang w:val="ru-RU"/>
        </w:rPr>
        <w:softHyphen/>
        <w:t>стовое оперение самолёта. Авиаторов взяли на борт, а для буксировки разбитого МР-1 прислали паровой катер. Но из-за сильных повреждений разведчик все же пришлось списать. Интересно, что в официальном отчёте ВВС ОДВА указано, что самолёт перевер</w:t>
      </w:r>
      <w:r w:rsidRPr="00A259BD">
        <w:rPr>
          <w:color w:val="000000" w:themeColor="text1"/>
          <w:lang w:val="ru-RU"/>
        </w:rPr>
        <w:softHyphen/>
        <w:t>нулся из-за сильного бокового ветра и был разрушен волнами (15819).</w:t>
      </w:r>
    </w:p>
    <w:p w14:paraId="4A6ECE20" w14:textId="77777777" w:rsidR="00170B72" w:rsidRPr="00A259BD" w:rsidRDefault="00170B72" w:rsidP="009236E3">
      <w:pPr>
        <w:pStyle w:val="a3"/>
        <w:rPr>
          <w:color w:val="000000" w:themeColor="text1"/>
          <w:lang w:val="ru-RU"/>
        </w:rPr>
      </w:pPr>
    </w:p>
    <w:p w14:paraId="17E68C1A"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октября 1929 на втором этапе операции на Китайско-Восточной железной доро</w:t>
      </w:r>
      <w:r w:rsidRPr="00A259BD">
        <w:rPr>
          <w:rFonts w:ascii="Times New Roman" w:hAnsi="Times New Roman"/>
          <w:color w:val="000000" w:themeColor="text1"/>
          <w:sz w:val="16"/>
          <w:szCs w:val="16"/>
        </w:rPr>
        <w:softHyphen/>
        <w:t>ге (КВЖД) со</w:t>
      </w:r>
      <w:r w:rsidRPr="00A259BD">
        <w:rPr>
          <w:rFonts w:ascii="Times New Roman" w:hAnsi="Times New Roman"/>
          <w:color w:val="000000" w:themeColor="text1"/>
          <w:sz w:val="16"/>
          <w:szCs w:val="16"/>
        </w:rPr>
        <w:softHyphen/>
        <w:t xml:space="preserve">ветская флотилия двинулась вверх по Сунгари, ставя задачей разгромить противника в районе </w:t>
      </w:r>
      <w:proofErr w:type="spellStart"/>
      <w:r w:rsidRPr="00A259BD">
        <w:rPr>
          <w:rFonts w:ascii="Times New Roman" w:hAnsi="Times New Roman"/>
          <w:color w:val="000000" w:themeColor="text1"/>
          <w:sz w:val="16"/>
          <w:szCs w:val="16"/>
        </w:rPr>
        <w:t>Фугдина</w:t>
      </w:r>
      <w:proofErr w:type="spellEnd"/>
      <w:r w:rsidRPr="00A259BD">
        <w:rPr>
          <w:rFonts w:ascii="Times New Roman" w:hAnsi="Times New Roman"/>
          <w:color w:val="000000" w:themeColor="text1"/>
          <w:sz w:val="16"/>
          <w:szCs w:val="16"/>
        </w:rPr>
        <w:t xml:space="preserve">. МР-1 68-го отряда вели воздушную разведку и охрану своей флотилии с десантом. В первый день было совершено 17 вылетов на разведку. 31 октября командир отряда </w:t>
      </w:r>
      <w:proofErr w:type="spellStart"/>
      <w:r w:rsidRPr="00A259BD">
        <w:rPr>
          <w:rFonts w:ascii="Times New Roman" w:hAnsi="Times New Roman"/>
          <w:color w:val="000000" w:themeColor="text1"/>
          <w:sz w:val="16"/>
          <w:szCs w:val="16"/>
        </w:rPr>
        <w:t>Лухт</w:t>
      </w:r>
      <w:proofErr w:type="spellEnd"/>
      <w:r w:rsidRPr="00A259BD">
        <w:rPr>
          <w:rFonts w:ascii="Times New Roman" w:hAnsi="Times New Roman"/>
          <w:color w:val="000000" w:themeColor="text1"/>
          <w:sz w:val="16"/>
          <w:szCs w:val="16"/>
        </w:rPr>
        <w:t xml:space="preserve"> в паре с летчиком </w:t>
      </w:r>
      <w:proofErr w:type="spellStart"/>
      <w:r w:rsidRPr="00A259BD">
        <w:rPr>
          <w:rFonts w:ascii="Times New Roman" w:hAnsi="Times New Roman"/>
          <w:color w:val="000000" w:themeColor="text1"/>
          <w:sz w:val="16"/>
          <w:szCs w:val="16"/>
        </w:rPr>
        <w:t>Д.И.Боровиковым</w:t>
      </w:r>
      <w:proofErr w:type="spellEnd"/>
      <w:r w:rsidRPr="00A259BD">
        <w:rPr>
          <w:rFonts w:ascii="Times New Roman" w:hAnsi="Times New Roman"/>
          <w:color w:val="000000" w:themeColor="text1"/>
          <w:sz w:val="16"/>
          <w:szCs w:val="16"/>
        </w:rPr>
        <w:t xml:space="preserve"> вылетел на бомбардировку вражеских укреплений и кора</w:t>
      </w:r>
      <w:r w:rsidRPr="00A259BD">
        <w:rPr>
          <w:rFonts w:ascii="Times New Roman" w:hAnsi="Times New Roman"/>
          <w:color w:val="000000" w:themeColor="text1"/>
          <w:sz w:val="16"/>
          <w:szCs w:val="16"/>
        </w:rPr>
        <w:softHyphen/>
        <w:t>блей. Несмотря на ожесточенный огонь с зем</w:t>
      </w:r>
      <w:r w:rsidRPr="00A259BD">
        <w:rPr>
          <w:rFonts w:ascii="Times New Roman" w:hAnsi="Times New Roman"/>
          <w:color w:val="000000" w:themeColor="text1"/>
          <w:sz w:val="16"/>
          <w:szCs w:val="16"/>
        </w:rPr>
        <w:softHyphen/>
        <w:t>ли, два МР-1 прицельно отбомбились по ки</w:t>
      </w:r>
      <w:r w:rsidRPr="00A259BD">
        <w:rPr>
          <w:rFonts w:ascii="Times New Roman" w:hAnsi="Times New Roman"/>
          <w:color w:val="000000" w:themeColor="text1"/>
          <w:sz w:val="16"/>
          <w:szCs w:val="16"/>
        </w:rPr>
        <w:softHyphen/>
        <w:t xml:space="preserve">тайской канонерской лодке «Цзян </w:t>
      </w:r>
      <w:proofErr w:type="spellStart"/>
      <w:r w:rsidRPr="00A259BD">
        <w:rPr>
          <w:rFonts w:ascii="Times New Roman" w:hAnsi="Times New Roman"/>
          <w:color w:val="000000" w:themeColor="text1"/>
          <w:sz w:val="16"/>
          <w:szCs w:val="16"/>
        </w:rPr>
        <w:t>Хэн</w:t>
      </w:r>
      <w:proofErr w:type="spellEnd"/>
      <w:r w:rsidRPr="00A259BD">
        <w:rPr>
          <w:rFonts w:ascii="Times New Roman" w:hAnsi="Times New Roman"/>
          <w:color w:val="000000" w:themeColor="text1"/>
          <w:sz w:val="16"/>
          <w:szCs w:val="16"/>
        </w:rPr>
        <w:t xml:space="preserve">» («Ки- </w:t>
      </w:r>
      <w:proofErr w:type="spellStart"/>
      <w:r w:rsidRPr="00A259BD">
        <w:rPr>
          <w:rFonts w:ascii="Times New Roman" w:hAnsi="Times New Roman"/>
          <w:color w:val="000000" w:themeColor="text1"/>
          <w:sz w:val="16"/>
          <w:szCs w:val="16"/>
        </w:rPr>
        <w:t>анг-Хенг</w:t>
      </w:r>
      <w:proofErr w:type="spellEnd"/>
      <w:r w:rsidRPr="00A259BD">
        <w:rPr>
          <w:rFonts w:ascii="Times New Roman" w:hAnsi="Times New Roman"/>
          <w:color w:val="000000" w:themeColor="text1"/>
          <w:sz w:val="16"/>
          <w:szCs w:val="16"/>
        </w:rPr>
        <w:t>»).</w:t>
      </w:r>
    </w:p>
    <w:p w14:paraId="02997932"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Впоследствии </w:t>
      </w:r>
      <w:proofErr w:type="spellStart"/>
      <w:r w:rsidRPr="00A259BD">
        <w:rPr>
          <w:rFonts w:ascii="Times New Roman" w:hAnsi="Times New Roman"/>
          <w:color w:val="000000" w:themeColor="text1"/>
          <w:sz w:val="16"/>
          <w:szCs w:val="16"/>
        </w:rPr>
        <w:t>Э.М.Лухт</w:t>
      </w:r>
      <w:proofErr w:type="spellEnd"/>
      <w:r w:rsidRPr="00A259BD">
        <w:rPr>
          <w:rFonts w:ascii="Times New Roman" w:hAnsi="Times New Roman"/>
          <w:color w:val="000000" w:themeColor="text1"/>
          <w:sz w:val="16"/>
          <w:szCs w:val="16"/>
        </w:rPr>
        <w:t xml:space="preserve"> докладывал: «Лет</w:t>
      </w:r>
      <w:r w:rsidRPr="00A259BD">
        <w:rPr>
          <w:rFonts w:ascii="Times New Roman" w:hAnsi="Times New Roman"/>
          <w:color w:val="000000" w:themeColor="text1"/>
          <w:sz w:val="16"/>
          <w:szCs w:val="16"/>
        </w:rPr>
        <w:softHyphen/>
        <w:t>чиками отряда уничтожены канонерка «</w:t>
      </w:r>
      <w:proofErr w:type="spellStart"/>
      <w:r w:rsidRPr="00A259BD">
        <w:rPr>
          <w:rFonts w:ascii="Times New Roman" w:hAnsi="Times New Roman"/>
          <w:color w:val="000000" w:themeColor="text1"/>
          <w:sz w:val="16"/>
          <w:szCs w:val="16"/>
        </w:rPr>
        <w:t>Кианг-Хенг</w:t>
      </w:r>
      <w:proofErr w:type="spellEnd"/>
      <w:r w:rsidRPr="00A259BD">
        <w:rPr>
          <w:rFonts w:ascii="Times New Roman" w:hAnsi="Times New Roman"/>
          <w:color w:val="000000" w:themeColor="text1"/>
          <w:sz w:val="16"/>
          <w:szCs w:val="16"/>
        </w:rPr>
        <w:t xml:space="preserve">», вооруженный пароход, баржа... Подавлены вражеская артиллерия и пулеметные точки. Рассеяна </w:t>
      </w:r>
      <w:proofErr w:type="spellStart"/>
      <w:r w:rsidRPr="00A259BD">
        <w:rPr>
          <w:rFonts w:ascii="Times New Roman" w:hAnsi="Times New Roman"/>
          <w:color w:val="000000" w:themeColor="text1"/>
          <w:sz w:val="16"/>
          <w:szCs w:val="16"/>
        </w:rPr>
        <w:t>белокитайская</w:t>
      </w:r>
      <w:proofErr w:type="spellEnd"/>
      <w:r w:rsidRPr="00A259BD">
        <w:rPr>
          <w:rFonts w:ascii="Times New Roman" w:hAnsi="Times New Roman"/>
          <w:color w:val="000000" w:themeColor="text1"/>
          <w:sz w:val="16"/>
          <w:szCs w:val="16"/>
        </w:rPr>
        <w:t xml:space="preserve"> кон</w:t>
      </w:r>
      <w:r w:rsidRPr="00A259BD">
        <w:rPr>
          <w:rFonts w:ascii="Times New Roman" w:hAnsi="Times New Roman"/>
          <w:color w:val="000000" w:themeColor="text1"/>
          <w:sz w:val="16"/>
          <w:szCs w:val="16"/>
        </w:rPr>
        <w:softHyphen/>
        <w:t>ница, чем оказана помощь десанту».</w:t>
      </w:r>
    </w:p>
    <w:p w14:paraId="54CB2C09"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Следует отметить, что в ходе всей кампа</w:t>
      </w:r>
      <w:r w:rsidRPr="00A259BD">
        <w:rPr>
          <w:rFonts w:ascii="Times New Roman" w:hAnsi="Times New Roman"/>
          <w:color w:val="000000" w:themeColor="text1"/>
          <w:sz w:val="16"/>
          <w:szCs w:val="16"/>
        </w:rPr>
        <w:softHyphen/>
        <w:t>нии гидросамолетами МР-1 было потопле</w:t>
      </w:r>
      <w:r w:rsidRPr="00A259BD">
        <w:rPr>
          <w:rFonts w:ascii="Times New Roman" w:hAnsi="Times New Roman"/>
          <w:color w:val="000000" w:themeColor="text1"/>
          <w:sz w:val="16"/>
          <w:szCs w:val="16"/>
        </w:rPr>
        <w:softHyphen/>
        <w:t xml:space="preserve">но несколько судов противника, в том числе вооруженные пароходы «Цзян Тун» и «Цзян </w:t>
      </w:r>
      <w:proofErr w:type="spellStart"/>
      <w:r w:rsidRPr="00A259BD">
        <w:rPr>
          <w:rFonts w:ascii="Times New Roman" w:hAnsi="Times New Roman"/>
          <w:color w:val="000000" w:themeColor="text1"/>
          <w:sz w:val="16"/>
          <w:szCs w:val="16"/>
        </w:rPr>
        <w:t>Нань</w:t>
      </w:r>
      <w:proofErr w:type="spellEnd"/>
      <w:r w:rsidRPr="00A259BD">
        <w:rPr>
          <w:rFonts w:ascii="Times New Roman" w:hAnsi="Times New Roman"/>
          <w:color w:val="000000" w:themeColor="text1"/>
          <w:sz w:val="16"/>
          <w:szCs w:val="16"/>
        </w:rPr>
        <w:t>».То есть операции на КВЖД для совет</w:t>
      </w:r>
      <w:r w:rsidRPr="00A259BD">
        <w:rPr>
          <w:rFonts w:ascii="Times New Roman" w:hAnsi="Times New Roman"/>
          <w:color w:val="000000" w:themeColor="text1"/>
          <w:sz w:val="16"/>
          <w:szCs w:val="16"/>
        </w:rPr>
        <w:softHyphen/>
        <w:t>ской морской авиации можно расценивать как одни из наиболее успешных (12301).</w:t>
      </w:r>
    </w:p>
    <w:p w14:paraId="116529F2" w14:textId="77777777" w:rsidR="00466152" w:rsidRPr="00A259BD" w:rsidRDefault="00466152" w:rsidP="009236E3">
      <w:pPr>
        <w:spacing w:after="0" w:line="240" w:lineRule="auto"/>
        <w:jc w:val="both"/>
        <w:rPr>
          <w:rFonts w:ascii="Times New Roman" w:hAnsi="Times New Roman"/>
          <w:color w:val="000000" w:themeColor="text1"/>
          <w:sz w:val="16"/>
          <w:szCs w:val="16"/>
        </w:rPr>
      </w:pPr>
    </w:p>
    <w:p w14:paraId="7106D6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полшестого утра 30 октября 1929 корабли ударной группы встали перед устьем Сунгари. Десантный отряд занял позицию в 7 часов. Головная и десантная части передвигались медленно.</w:t>
      </w:r>
    </w:p>
    <w:p w14:paraId="2E6A23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Разведка, произведённая в этот же день 68-м ОАО, установила, что в десяти верстах ниже </w:t>
      </w:r>
      <w:proofErr w:type="spellStart"/>
      <w:r w:rsidRPr="00A259BD">
        <w:rPr>
          <w:rFonts w:ascii="Times New Roman" w:hAnsi="Times New Roman"/>
          <w:color w:val="000000" w:themeColor="text1"/>
          <w:sz w:val="16"/>
          <w:szCs w:val="16"/>
        </w:rPr>
        <w:t>Фугдина</w:t>
      </w:r>
      <w:proofErr w:type="spellEnd"/>
      <w:r w:rsidRPr="00A259BD">
        <w:rPr>
          <w:rFonts w:ascii="Times New Roman" w:hAnsi="Times New Roman"/>
          <w:color w:val="000000" w:themeColor="text1"/>
          <w:sz w:val="16"/>
          <w:szCs w:val="16"/>
        </w:rPr>
        <w:t xml:space="preserve"> фарватер перегорожен двумя пароходами, тремя баржами и двумя затопленными баржами. У заграждения курсировали вооруженные пароходы и военные корабли китайцев. Монитор “</w:t>
      </w:r>
      <w:proofErr w:type="spellStart"/>
      <w:r w:rsidRPr="00A259BD">
        <w:rPr>
          <w:rFonts w:ascii="Times New Roman" w:hAnsi="Times New Roman"/>
          <w:color w:val="000000" w:themeColor="text1"/>
          <w:sz w:val="16"/>
          <w:szCs w:val="16"/>
        </w:rPr>
        <w:t>Киан</w:t>
      </w:r>
      <w:proofErr w:type="spellEnd"/>
      <w:r w:rsidRPr="00A259BD">
        <w:rPr>
          <w:rFonts w:ascii="Times New Roman" w:hAnsi="Times New Roman"/>
          <w:color w:val="000000" w:themeColor="text1"/>
          <w:sz w:val="16"/>
          <w:szCs w:val="16"/>
        </w:rPr>
        <w:t>-Хен” находился у заграждения выше по течению.</w:t>
      </w:r>
    </w:p>
    <w:p w14:paraId="38E865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Кроме того, воздушная разведка с самолетов МР-1 выявила наличие в </w:t>
      </w:r>
      <w:proofErr w:type="spellStart"/>
      <w:r w:rsidRPr="00A259BD">
        <w:rPr>
          <w:rFonts w:ascii="Times New Roman" w:hAnsi="Times New Roman"/>
          <w:color w:val="000000" w:themeColor="text1"/>
          <w:sz w:val="16"/>
          <w:szCs w:val="16"/>
        </w:rPr>
        <w:t>Фугдине</w:t>
      </w:r>
      <w:proofErr w:type="spellEnd"/>
      <w:r w:rsidRPr="00A259BD">
        <w:rPr>
          <w:rFonts w:ascii="Times New Roman" w:hAnsi="Times New Roman"/>
          <w:color w:val="000000" w:themeColor="text1"/>
          <w:sz w:val="16"/>
          <w:szCs w:val="16"/>
        </w:rPr>
        <w:t xml:space="preserve"> пехотных, кавалерийских частей и артиллерии. По дороге от деревни </w:t>
      </w:r>
      <w:proofErr w:type="spellStart"/>
      <w:r w:rsidRPr="00A259BD">
        <w:rPr>
          <w:rFonts w:ascii="Times New Roman" w:hAnsi="Times New Roman"/>
          <w:color w:val="000000" w:themeColor="text1"/>
          <w:sz w:val="16"/>
          <w:szCs w:val="16"/>
        </w:rPr>
        <w:t>Фанзятунь</w:t>
      </w:r>
      <w:proofErr w:type="spellEnd"/>
      <w:r w:rsidRPr="00A259BD">
        <w:rPr>
          <w:rFonts w:ascii="Times New Roman" w:hAnsi="Times New Roman"/>
          <w:color w:val="000000" w:themeColor="text1"/>
          <w:sz w:val="16"/>
          <w:szCs w:val="16"/>
        </w:rPr>
        <w:t xml:space="preserve"> к селу Полынь было замечено движение пехотной китайской части, численностью до батальона.</w:t>
      </w:r>
    </w:p>
    <w:p w14:paraId="46910A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Выполняя приказ, в 11 часов 30 минут самолеты МР-1 бомбили “крейсер” “</w:t>
      </w:r>
      <w:proofErr w:type="spellStart"/>
      <w:r w:rsidRPr="00A259BD">
        <w:rPr>
          <w:rFonts w:ascii="Times New Roman" w:hAnsi="Times New Roman"/>
          <w:color w:val="000000" w:themeColor="text1"/>
          <w:sz w:val="16"/>
          <w:szCs w:val="16"/>
        </w:rPr>
        <w:t>Киан</w:t>
      </w:r>
      <w:proofErr w:type="spellEnd"/>
      <w:r w:rsidRPr="00A259BD">
        <w:rPr>
          <w:rFonts w:ascii="Times New Roman" w:hAnsi="Times New Roman"/>
          <w:color w:val="000000" w:themeColor="text1"/>
          <w:sz w:val="16"/>
          <w:szCs w:val="16"/>
        </w:rPr>
        <w:t xml:space="preserve">-Хен”. Он получил попадания в правый борт которое привело к </w:t>
      </w:r>
      <w:proofErr w:type="spellStart"/>
      <w:r w:rsidRPr="00A259BD">
        <w:rPr>
          <w:rFonts w:ascii="Times New Roman" w:hAnsi="Times New Roman"/>
          <w:color w:val="000000" w:themeColor="text1"/>
          <w:sz w:val="16"/>
          <w:szCs w:val="16"/>
        </w:rPr>
        <w:t>кренло</w:t>
      </w:r>
      <w:proofErr w:type="spellEnd"/>
      <w:r w:rsidRPr="00A259BD">
        <w:rPr>
          <w:rFonts w:ascii="Times New Roman" w:hAnsi="Times New Roman"/>
          <w:color w:val="000000" w:themeColor="text1"/>
          <w:sz w:val="16"/>
          <w:szCs w:val="16"/>
        </w:rPr>
        <w:t xml:space="preserve"> вынужденно отступил к городу </w:t>
      </w:r>
      <w:proofErr w:type="spellStart"/>
      <w:r w:rsidRPr="00A259BD">
        <w:rPr>
          <w:rFonts w:ascii="Times New Roman" w:hAnsi="Times New Roman"/>
          <w:color w:val="000000" w:themeColor="text1"/>
          <w:sz w:val="16"/>
          <w:szCs w:val="16"/>
        </w:rPr>
        <w:t>Фугдин</w:t>
      </w:r>
      <w:proofErr w:type="spellEnd"/>
      <w:r w:rsidRPr="00A259BD">
        <w:rPr>
          <w:rFonts w:ascii="Times New Roman" w:hAnsi="Times New Roman"/>
          <w:color w:val="000000" w:themeColor="text1"/>
          <w:sz w:val="16"/>
          <w:szCs w:val="16"/>
        </w:rPr>
        <w:t xml:space="preserve"> и встал на якорь.</w:t>
      </w:r>
    </w:p>
    <w:p w14:paraId="4541C9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Десятью минутами позже МР-1 бомбили караван из девяти судов, находившийся в 15 км выше города </w:t>
      </w:r>
      <w:proofErr w:type="spellStart"/>
      <w:r w:rsidRPr="00A259BD">
        <w:rPr>
          <w:rFonts w:ascii="Times New Roman" w:hAnsi="Times New Roman"/>
          <w:color w:val="000000" w:themeColor="text1"/>
          <w:sz w:val="16"/>
          <w:szCs w:val="16"/>
        </w:rPr>
        <w:t>Фугдин</w:t>
      </w:r>
      <w:proofErr w:type="spellEnd"/>
      <w:r w:rsidRPr="00A259BD">
        <w:rPr>
          <w:rFonts w:ascii="Times New Roman" w:hAnsi="Times New Roman"/>
          <w:color w:val="000000" w:themeColor="text1"/>
          <w:sz w:val="16"/>
          <w:szCs w:val="16"/>
        </w:rPr>
        <w:t xml:space="preserve"> и двигающийся вверх по Сунгари. Один вооружённый пароход и баржу утопили. Колёсный пароход, брошенный под пулемётным огнём с самолётов своей командой, выкинулся на берег.</w:t>
      </w:r>
    </w:p>
    <w:p w14:paraId="07DE23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12 часов 40 минут бомбами потопили вооружённый пароход, находившийся у заграждения и не успевший уйти вверх по реке.</w:t>
      </w:r>
    </w:p>
    <w:p w14:paraId="701059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Во время полётов самолёты обстреливали из пулеметов части противника.</w:t>
      </w:r>
    </w:p>
    <w:p w14:paraId="3E51B7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Протралить и обнести буями проход не позволяла надвигающаяся темнота, и в полшестого вечера корабли встали на якорь на ночёвку.</w:t>
      </w:r>
    </w:p>
    <w:p w14:paraId="5FF12C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30 октября авиация совершила 17 полётов общей продолжительностью 32 часа и сбросила 972 кг бомб (9978).</w:t>
      </w:r>
    </w:p>
    <w:p w14:paraId="424FD6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E541F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октября 1929 г. началась </w:t>
      </w:r>
      <w:proofErr w:type="spellStart"/>
      <w:r w:rsidRPr="00A259BD">
        <w:rPr>
          <w:rFonts w:ascii="Times New Roman" w:hAnsi="Times New Roman"/>
          <w:color w:val="000000" w:themeColor="text1"/>
          <w:sz w:val="16"/>
          <w:szCs w:val="16"/>
        </w:rPr>
        <w:t>Фугдинская</w:t>
      </w:r>
      <w:proofErr w:type="spellEnd"/>
      <w:r w:rsidRPr="00A259BD">
        <w:rPr>
          <w:rFonts w:ascii="Times New Roman" w:hAnsi="Times New Roman"/>
          <w:color w:val="000000" w:themeColor="text1"/>
          <w:sz w:val="16"/>
          <w:szCs w:val="16"/>
        </w:rPr>
        <w:t xml:space="preserve"> операция. МР-1 на рейде </w:t>
      </w:r>
      <w:proofErr w:type="spellStart"/>
      <w:r w:rsidRPr="00A259BD">
        <w:rPr>
          <w:rFonts w:ascii="Times New Roman" w:hAnsi="Times New Roman"/>
          <w:color w:val="000000" w:themeColor="text1"/>
          <w:sz w:val="16"/>
          <w:szCs w:val="16"/>
        </w:rPr>
        <w:t>Фугдина</w:t>
      </w:r>
      <w:proofErr w:type="spellEnd"/>
      <w:r w:rsidRPr="00A259BD">
        <w:rPr>
          <w:rFonts w:ascii="Times New Roman" w:hAnsi="Times New Roman"/>
          <w:color w:val="000000" w:themeColor="text1"/>
          <w:sz w:val="16"/>
          <w:szCs w:val="16"/>
        </w:rPr>
        <w:t xml:space="preserve"> атаковали главную цель - китайский корабль “</w:t>
      </w:r>
      <w:proofErr w:type="spellStart"/>
      <w:r w:rsidRPr="00A259BD">
        <w:rPr>
          <w:rFonts w:ascii="Times New Roman" w:hAnsi="Times New Roman"/>
          <w:color w:val="000000" w:themeColor="text1"/>
          <w:sz w:val="16"/>
          <w:szCs w:val="16"/>
        </w:rPr>
        <w:t>Киан</w:t>
      </w:r>
      <w:proofErr w:type="spellEnd"/>
      <w:r w:rsidRPr="00A259BD">
        <w:rPr>
          <w:rFonts w:ascii="Times New Roman" w:hAnsi="Times New Roman"/>
          <w:color w:val="000000" w:themeColor="text1"/>
          <w:sz w:val="16"/>
          <w:szCs w:val="16"/>
        </w:rPr>
        <w:t>-Хен”. В него попали три бомбы и он затонул, как удалось позже выяснить по показаниям местных жите</w:t>
      </w:r>
      <w:r w:rsidRPr="00A259BD">
        <w:rPr>
          <w:rFonts w:ascii="Times New Roman" w:hAnsi="Times New Roman"/>
          <w:color w:val="000000" w:themeColor="text1"/>
          <w:sz w:val="16"/>
          <w:szCs w:val="16"/>
        </w:rPr>
        <w:softHyphen/>
        <w:t>лей и пленных, со своим экипажем, спастись удалось только четверым (10667).</w:t>
      </w:r>
    </w:p>
    <w:p w14:paraId="7520B3E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A201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октября 1929 советская военная флотилия двинулась вверх по Сунгари, ей поставили задачу разгромить вражескую группировку в рай</w:t>
      </w:r>
      <w:r w:rsidRPr="00A259BD">
        <w:rPr>
          <w:rFonts w:ascii="Times New Roman" w:hAnsi="Times New Roman"/>
          <w:color w:val="000000" w:themeColor="text1"/>
          <w:sz w:val="16"/>
          <w:szCs w:val="16"/>
        </w:rPr>
        <w:softHyphen/>
        <w:t xml:space="preserve">оне </w:t>
      </w:r>
      <w:proofErr w:type="spellStart"/>
      <w:r w:rsidRPr="00A259BD">
        <w:rPr>
          <w:rFonts w:ascii="Times New Roman" w:hAnsi="Times New Roman"/>
          <w:color w:val="000000" w:themeColor="text1"/>
          <w:sz w:val="16"/>
          <w:szCs w:val="16"/>
        </w:rPr>
        <w:t>Фугдина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Фуцзинь</w:t>
      </w:r>
      <w:proofErr w:type="spellEnd"/>
      <w:r w:rsidRPr="00A259BD">
        <w:rPr>
          <w:rFonts w:ascii="Times New Roman" w:hAnsi="Times New Roman"/>
          <w:color w:val="000000" w:themeColor="text1"/>
          <w:sz w:val="16"/>
          <w:szCs w:val="16"/>
        </w:rPr>
        <w:t>). Гидро</w:t>
      </w:r>
      <w:r w:rsidRPr="00A259BD">
        <w:rPr>
          <w:rFonts w:ascii="Times New Roman" w:hAnsi="Times New Roman"/>
          <w:color w:val="000000" w:themeColor="text1"/>
          <w:sz w:val="16"/>
          <w:szCs w:val="16"/>
        </w:rPr>
        <w:softHyphen/>
        <w:t xml:space="preserve">самолеты 68-го </w:t>
      </w:r>
      <w:proofErr w:type="spellStart"/>
      <w:r w:rsidRPr="00A259BD">
        <w:rPr>
          <w:rFonts w:ascii="Times New Roman" w:hAnsi="Times New Roman"/>
          <w:color w:val="000000" w:themeColor="text1"/>
          <w:sz w:val="16"/>
          <w:szCs w:val="16"/>
        </w:rPr>
        <w:t>оаро</w:t>
      </w:r>
      <w:proofErr w:type="spellEnd"/>
      <w:r w:rsidRPr="00A259BD">
        <w:rPr>
          <w:rFonts w:ascii="Times New Roman" w:hAnsi="Times New Roman"/>
          <w:color w:val="000000" w:themeColor="text1"/>
          <w:sz w:val="16"/>
          <w:szCs w:val="16"/>
        </w:rPr>
        <w:t xml:space="preserve"> вели воз</w:t>
      </w:r>
      <w:r w:rsidRPr="00A259BD">
        <w:rPr>
          <w:rFonts w:ascii="Times New Roman" w:hAnsi="Times New Roman"/>
          <w:color w:val="000000" w:themeColor="text1"/>
          <w:sz w:val="16"/>
          <w:szCs w:val="16"/>
        </w:rPr>
        <w:softHyphen/>
        <w:t xml:space="preserve">душную разведку, прикрывали с воздуха корабли с десантом. В первый день операции МР-1 выполнили 17 </w:t>
      </w:r>
      <w:proofErr w:type="spellStart"/>
      <w:r w:rsidRPr="00A259BD">
        <w:rPr>
          <w:rFonts w:ascii="Times New Roman" w:hAnsi="Times New Roman"/>
          <w:color w:val="000000" w:themeColor="text1"/>
          <w:sz w:val="16"/>
          <w:szCs w:val="16"/>
        </w:rPr>
        <w:t>разведполетов</w:t>
      </w:r>
      <w:proofErr w:type="spellEnd"/>
      <w:r w:rsidRPr="00A259BD">
        <w:rPr>
          <w:rFonts w:ascii="Times New Roman" w:hAnsi="Times New Roman"/>
          <w:color w:val="000000" w:themeColor="text1"/>
          <w:sz w:val="16"/>
          <w:szCs w:val="16"/>
        </w:rPr>
        <w:t xml:space="preserve">. На следующий день командир отряда Э.М. </w:t>
      </w:r>
      <w:proofErr w:type="spellStart"/>
      <w:r w:rsidRPr="00A259BD">
        <w:rPr>
          <w:rFonts w:ascii="Times New Roman" w:hAnsi="Times New Roman"/>
          <w:color w:val="000000" w:themeColor="text1"/>
          <w:sz w:val="16"/>
          <w:szCs w:val="16"/>
        </w:rPr>
        <w:t>Лухт</w:t>
      </w:r>
      <w:proofErr w:type="spellEnd"/>
      <w:r w:rsidRPr="00A259BD">
        <w:rPr>
          <w:rFonts w:ascii="Times New Roman" w:hAnsi="Times New Roman"/>
          <w:color w:val="000000" w:themeColor="text1"/>
          <w:sz w:val="16"/>
          <w:szCs w:val="16"/>
        </w:rPr>
        <w:t xml:space="preserve"> и летчик Д.И. Боровиков парой бомбили вражеские корабли и укрепле</w:t>
      </w:r>
      <w:r w:rsidRPr="00A259BD">
        <w:rPr>
          <w:rFonts w:ascii="Times New Roman" w:hAnsi="Times New Roman"/>
          <w:color w:val="000000" w:themeColor="text1"/>
          <w:sz w:val="16"/>
          <w:szCs w:val="16"/>
        </w:rPr>
        <w:softHyphen/>
        <w:t xml:space="preserve">ния. По самолетам открыли </w:t>
      </w:r>
      <w:proofErr w:type="spellStart"/>
      <w:r w:rsidRPr="00A259BD">
        <w:rPr>
          <w:rFonts w:ascii="Times New Roman" w:hAnsi="Times New Roman"/>
          <w:color w:val="000000" w:themeColor="text1"/>
          <w:sz w:val="16"/>
          <w:szCs w:val="16"/>
        </w:rPr>
        <w:t>мас-сированный</w:t>
      </w:r>
      <w:proofErr w:type="spellEnd"/>
      <w:r w:rsidRPr="00A259BD">
        <w:rPr>
          <w:rFonts w:ascii="Times New Roman" w:hAnsi="Times New Roman"/>
          <w:color w:val="000000" w:themeColor="text1"/>
          <w:sz w:val="16"/>
          <w:szCs w:val="16"/>
        </w:rPr>
        <w:t xml:space="preserve"> прицельный огонь с земли. Прицельно от</w:t>
      </w:r>
      <w:r w:rsidRPr="00A259BD">
        <w:rPr>
          <w:rFonts w:ascii="Times New Roman" w:hAnsi="Times New Roman"/>
          <w:color w:val="000000" w:themeColor="text1"/>
          <w:sz w:val="16"/>
          <w:szCs w:val="16"/>
        </w:rPr>
        <w:softHyphen/>
        <w:t>бомбившись по китайской ка</w:t>
      </w:r>
      <w:r w:rsidRPr="00A259BD">
        <w:rPr>
          <w:rFonts w:ascii="Times New Roman" w:hAnsi="Times New Roman"/>
          <w:color w:val="000000" w:themeColor="text1"/>
          <w:sz w:val="16"/>
          <w:szCs w:val="16"/>
        </w:rPr>
        <w:softHyphen/>
        <w:t xml:space="preserve">нонерской лодке, позже </w:t>
      </w:r>
      <w:proofErr w:type="spellStart"/>
      <w:r w:rsidRPr="00A259BD">
        <w:rPr>
          <w:rFonts w:ascii="Times New Roman" w:hAnsi="Times New Roman"/>
          <w:color w:val="000000" w:themeColor="text1"/>
          <w:sz w:val="16"/>
          <w:szCs w:val="16"/>
        </w:rPr>
        <w:t>Лухт</w:t>
      </w:r>
      <w:proofErr w:type="spellEnd"/>
      <w:r w:rsidRPr="00A259BD">
        <w:rPr>
          <w:rFonts w:ascii="Times New Roman" w:hAnsi="Times New Roman"/>
          <w:color w:val="000000" w:themeColor="text1"/>
          <w:sz w:val="16"/>
          <w:szCs w:val="16"/>
        </w:rPr>
        <w:t xml:space="preserve"> докладывал: “Летчиками отря</w:t>
      </w:r>
      <w:r w:rsidRPr="00A259BD">
        <w:rPr>
          <w:rFonts w:ascii="Times New Roman" w:hAnsi="Times New Roman"/>
          <w:color w:val="000000" w:themeColor="text1"/>
          <w:sz w:val="16"/>
          <w:szCs w:val="16"/>
        </w:rPr>
        <w:softHyphen/>
        <w:t>да уничтожены канонерка... вооруженный пароход, бар</w:t>
      </w:r>
      <w:r w:rsidRPr="00A259BD">
        <w:rPr>
          <w:rFonts w:ascii="Times New Roman" w:hAnsi="Times New Roman"/>
          <w:color w:val="000000" w:themeColor="text1"/>
          <w:sz w:val="16"/>
          <w:szCs w:val="16"/>
        </w:rPr>
        <w:softHyphen/>
        <w:t>жа... Подавлены вражеская артиллерия и пулеметные точки. Рас</w:t>
      </w:r>
      <w:r w:rsidRPr="00A259BD">
        <w:rPr>
          <w:rFonts w:ascii="Times New Roman" w:hAnsi="Times New Roman"/>
          <w:color w:val="000000" w:themeColor="text1"/>
          <w:sz w:val="16"/>
          <w:szCs w:val="16"/>
        </w:rPr>
        <w:softHyphen/>
        <w:t xml:space="preserve">сеяна </w:t>
      </w:r>
      <w:proofErr w:type="spellStart"/>
      <w:r w:rsidRPr="00A259BD">
        <w:rPr>
          <w:rFonts w:ascii="Times New Roman" w:hAnsi="Times New Roman"/>
          <w:color w:val="000000" w:themeColor="text1"/>
          <w:sz w:val="16"/>
          <w:szCs w:val="16"/>
        </w:rPr>
        <w:t>белокитайская</w:t>
      </w:r>
      <w:proofErr w:type="spellEnd"/>
      <w:r w:rsidRPr="00A259BD">
        <w:rPr>
          <w:rFonts w:ascii="Times New Roman" w:hAnsi="Times New Roman"/>
          <w:color w:val="000000" w:themeColor="text1"/>
          <w:sz w:val="16"/>
          <w:szCs w:val="16"/>
        </w:rPr>
        <w:t xml:space="preserve"> конница, чем оказана помощь десанту”.</w:t>
      </w:r>
    </w:p>
    <w:p w14:paraId="1C2B01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авторитетных европейских изда</w:t>
      </w:r>
      <w:r w:rsidRPr="00A259BD">
        <w:rPr>
          <w:rFonts w:ascii="Times New Roman" w:hAnsi="Times New Roman"/>
          <w:color w:val="000000" w:themeColor="text1"/>
          <w:sz w:val="16"/>
          <w:szCs w:val="16"/>
        </w:rPr>
        <w:softHyphen/>
        <w:t>ниях, таких как “Дейли Телеграф”, “Тайме”, “Пари Матч” и пр., сразу же отметили, что всего у китайцев на Сун</w:t>
      </w:r>
      <w:r w:rsidRPr="00A259BD">
        <w:rPr>
          <w:rFonts w:ascii="Times New Roman" w:hAnsi="Times New Roman"/>
          <w:color w:val="000000" w:themeColor="text1"/>
          <w:sz w:val="16"/>
          <w:szCs w:val="16"/>
        </w:rPr>
        <w:softHyphen/>
        <w:t xml:space="preserve">гари имелось семь </w:t>
      </w:r>
      <w:proofErr w:type="spellStart"/>
      <w:r w:rsidRPr="00A259BD">
        <w:rPr>
          <w:rFonts w:ascii="Times New Roman" w:hAnsi="Times New Roman"/>
          <w:color w:val="000000" w:themeColor="text1"/>
          <w:sz w:val="16"/>
          <w:szCs w:val="16"/>
        </w:rPr>
        <w:t>канлодок</w:t>
      </w:r>
      <w:proofErr w:type="spellEnd"/>
      <w:r w:rsidRPr="00A259BD">
        <w:rPr>
          <w:rFonts w:ascii="Times New Roman" w:hAnsi="Times New Roman"/>
          <w:color w:val="000000" w:themeColor="text1"/>
          <w:sz w:val="16"/>
          <w:szCs w:val="16"/>
        </w:rPr>
        <w:t xml:space="preserve"> и воору</w:t>
      </w:r>
      <w:r w:rsidRPr="00A259BD">
        <w:rPr>
          <w:rFonts w:ascii="Times New Roman" w:hAnsi="Times New Roman"/>
          <w:color w:val="000000" w:themeColor="text1"/>
          <w:sz w:val="16"/>
          <w:szCs w:val="16"/>
        </w:rPr>
        <w:softHyphen/>
        <w:t>женный пароход. Журналисты, полу</w:t>
      </w:r>
      <w:r w:rsidRPr="00A259BD">
        <w:rPr>
          <w:rFonts w:ascii="Times New Roman" w:hAnsi="Times New Roman"/>
          <w:color w:val="000000" w:themeColor="text1"/>
          <w:sz w:val="16"/>
          <w:szCs w:val="16"/>
        </w:rPr>
        <w:softHyphen/>
        <w:t>чив сведения, что во время боя и после него были уничтожены шесть парохо</w:t>
      </w:r>
      <w:r w:rsidRPr="00A259BD">
        <w:rPr>
          <w:rFonts w:ascii="Times New Roman" w:hAnsi="Times New Roman"/>
          <w:color w:val="000000" w:themeColor="text1"/>
          <w:sz w:val="16"/>
          <w:szCs w:val="16"/>
        </w:rPr>
        <w:softHyphen/>
        <w:t xml:space="preserve">дов, а наиболее сильная </w:t>
      </w:r>
      <w:proofErr w:type="spellStart"/>
      <w:r w:rsidRPr="00A259BD">
        <w:rPr>
          <w:rFonts w:ascii="Times New Roman" w:hAnsi="Times New Roman"/>
          <w:color w:val="000000" w:themeColor="text1"/>
          <w:sz w:val="16"/>
          <w:szCs w:val="16"/>
        </w:rPr>
        <w:t>канлодка</w:t>
      </w:r>
      <w:proofErr w:type="spellEnd"/>
      <w:r w:rsidRPr="00A259BD">
        <w:rPr>
          <w:rFonts w:ascii="Times New Roman" w:hAnsi="Times New Roman"/>
          <w:color w:val="000000" w:themeColor="text1"/>
          <w:sz w:val="16"/>
          <w:szCs w:val="16"/>
        </w:rPr>
        <w:t xml:space="preserve"> из боя вышла сильно поврежденной и, </w:t>
      </w:r>
      <w:proofErr w:type="spellStart"/>
      <w:r w:rsidRPr="00A259BD">
        <w:rPr>
          <w:rFonts w:ascii="Times New Roman" w:hAnsi="Times New Roman"/>
          <w:color w:val="000000" w:themeColor="text1"/>
          <w:sz w:val="16"/>
          <w:szCs w:val="16"/>
        </w:rPr>
        <w:t>прийдя</w:t>
      </w:r>
      <w:proofErr w:type="spellEnd"/>
      <w:r w:rsidRPr="00A259BD">
        <w:rPr>
          <w:rFonts w:ascii="Times New Roman" w:hAnsi="Times New Roman"/>
          <w:color w:val="000000" w:themeColor="text1"/>
          <w:sz w:val="16"/>
          <w:szCs w:val="16"/>
        </w:rPr>
        <w:t xml:space="preserve"> в </w:t>
      </w:r>
      <w:proofErr w:type="spellStart"/>
      <w:r w:rsidRPr="00A259BD">
        <w:rPr>
          <w:rFonts w:ascii="Times New Roman" w:hAnsi="Times New Roman"/>
          <w:color w:val="000000" w:themeColor="text1"/>
          <w:sz w:val="16"/>
          <w:szCs w:val="16"/>
        </w:rPr>
        <w:t>Фугдин</w:t>
      </w:r>
      <w:proofErr w:type="spellEnd"/>
      <w:r w:rsidRPr="00A259BD">
        <w:rPr>
          <w:rFonts w:ascii="Times New Roman" w:hAnsi="Times New Roman"/>
          <w:color w:val="000000" w:themeColor="text1"/>
          <w:sz w:val="16"/>
          <w:szCs w:val="16"/>
        </w:rPr>
        <w:t>, затонула, сделали вывод, что “если так, то в настоящее время на Сунгари китайской военной флотилии нет” (11216).</w:t>
      </w:r>
    </w:p>
    <w:p w14:paraId="38F63B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5334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30 октября по 2 ноября 1929 была китайская интервенция на КВЖД. 30 октября дальневосточная флотилия вошла в устье Сунгари и 31 октября при содействии авиации полностью уничтожила остатки </w:t>
      </w:r>
      <w:proofErr w:type="spellStart"/>
      <w:r w:rsidRPr="00A259BD">
        <w:rPr>
          <w:rFonts w:ascii="Times New Roman" w:hAnsi="Times New Roman"/>
          <w:color w:val="000000" w:themeColor="text1"/>
          <w:sz w:val="16"/>
          <w:szCs w:val="16"/>
        </w:rPr>
        <w:t>Сунгарийской</w:t>
      </w:r>
      <w:proofErr w:type="spellEnd"/>
      <w:r w:rsidRPr="00A259BD">
        <w:rPr>
          <w:rFonts w:ascii="Times New Roman" w:hAnsi="Times New Roman"/>
          <w:color w:val="000000" w:themeColor="text1"/>
          <w:sz w:val="16"/>
          <w:szCs w:val="16"/>
        </w:rPr>
        <w:t xml:space="preserve"> военной флотилии китайцев (2443,247).</w:t>
      </w:r>
    </w:p>
    <w:p w14:paraId="68015E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E108FA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30—31 октября 1928 г.</w:t>
      </w:r>
    </w:p>
    <w:p w14:paraId="5C646CE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 секретно</w:t>
      </w:r>
    </w:p>
    <w:p w14:paraId="13B20B5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«Организационная структура РККА с выявлением изменений, происшедших за последние 1,5 года»</w:t>
      </w:r>
    </w:p>
    <w:p w14:paraId="30690DE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Нынешняя организационная структура Красной Армии в ее существенных чертах является результатом:</w:t>
      </w:r>
    </w:p>
    <w:p w14:paraId="49460FF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реорганизация 1924 года, в основу которой были положены развитие и укрепление </w:t>
      </w:r>
      <w:proofErr w:type="spellStart"/>
      <w:r w:rsidRPr="00A259BD">
        <w:rPr>
          <w:rFonts w:ascii="Times New Roman" w:hAnsi="Times New Roman"/>
          <w:color w:val="000000" w:themeColor="text1"/>
          <w:sz w:val="16"/>
          <w:szCs w:val="16"/>
        </w:rPr>
        <w:t>терсистемы</w:t>
      </w:r>
      <w:proofErr w:type="spellEnd"/>
      <w:r w:rsidRPr="00A259BD">
        <w:rPr>
          <w:rFonts w:ascii="Times New Roman" w:hAnsi="Times New Roman"/>
          <w:color w:val="000000" w:themeColor="text1"/>
          <w:sz w:val="16"/>
          <w:szCs w:val="16"/>
        </w:rPr>
        <w:t xml:space="preserve">, усиление технических средств борьбы, выполнение программы </w:t>
      </w:r>
      <w:proofErr w:type="spellStart"/>
      <w:r w:rsidRPr="00A259BD">
        <w:rPr>
          <w:rFonts w:ascii="Times New Roman" w:hAnsi="Times New Roman"/>
          <w:color w:val="000000" w:themeColor="text1"/>
          <w:sz w:val="16"/>
          <w:szCs w:val="16"/>
        </w:rPr>
        <w:t>национальныхформирований</w:t>
      </w:r>
      <w:proofErr w:type="spellEnd"/>
      <w:r w:rsidRPr="00A259BD">
        <w:rPr>
          <w:rFonts w:ascii="Times New Roman" w:hAnsi="Times New Roman"/>
          <w:color w:val="000000" w:themeColor="text1"/>
          <w:sz w:val="16"/>
          <w:szCs w:val="16"/>
        </w:rPr>
        <w:t xml:space="preserve"> и обеспечение мобилизационной и боевой готовности армии;</w:t>
      </w:r>
    </w:p>
    <w:p w14:paraId="1FE0069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мероприятий осени 1926 г., имевших целью рационализацию органов вооруженными силами СССР и аппарата их обслуживания (сокращение тылов, уменьшение процента насыщенности армии начальствующим составом).</w:t>
      </w:r>
    </w:p>
    <w:p w14:paraId="7068E89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Публикуемый обзор (экз. №1) был направлен в РВС СССР; он состоит из докладов ряда управлений ГУ РККА, датированных 30 и 31 октября 1928 года. Некоторые доклады подписаны руководящими должностными лицами ГУ РККА.</w:t>
      </w:r>
    </w:p>
    <w:p w14:paraId="03AF51E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Мероприятия осени 1926 года коснулись почти всех подразделений Сухопутных, Воздушных и Морских сил, включали целый ряд новых формирований, но были в соответствии со сказанным о характере этой реорганизации рассчитаны и координированы таким образом, что штатная численность армии осталась почти без изменения, в пределах установленной правительством нормы (610 000 чел.). Летом 1927 года правительством был принят пятилетний план развития Вооруженных сил и для осуществления вытекающих из этого плана организационных мероприятий бюджетная норма Красной Армии была увеличена до 617 000 человек.</w:t>
      </w:r>
    </w:p>
    <w:p w14:paraId="77E6DB1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Первые мероприятия во исполнение пятилетнего плана были произведены осенью 1927 года, следующим этапом была осень 1928 года, главным образом в отношении Военно-воздушных сил. В результате первых 1,5 лет осуществления пятилетнего плана произошли изменения в соответствии между: а) войсками и органами обслуживания и управления, б) родами войск и в) отдельными группами личного состава армии. Цифровое выражение этих изменений представляется в следующем виде:</w:t>
      </w:r>
    </w:p>
    <w:p w14:paraId="6E710EE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1.Соотношение между войсками и органами обслуживания и управления (таблица №1)*.</w:t>
      </w:r>
    </w:p>
    <w:p w14:paraId="02566BD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составе 617 000 чел. на 1/X.[19]28 г. приходилось:</w:t>
      </w:r>
    </w:p>
    <w:p w14:paraId="48741DE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войсковые части — 519 860 чел. или 84,26% от общ. численности,</w:t>
      </w:r>
    </w:p>
    <w:p w14:paraId="29ABF7F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вузы — 53 648 чел. или 8,69% от общ. численности,</w:t>
      </w:r>
    </w:p>
    <w:p w14:paraId="4555AA4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управления, учреждения и заведения — 43 492 чел. или 7,05% от общ. численности.</w:t>
      </w:r>
    </w:p>
    <w:p w14:paraId="0272724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1/IV.1927 г. войсковые части составляли 82,07%, вузы — 9,27%, аппарат управления и тыловые учреждения — 8,66%. Следовательно, за разбираемый период произошло повышение (на 2,19% от всей численности РККА) удельного веса численности войсковых частей за счет снижения удельного веса вузов и учреждений. Этот процесс можно иллюстрировать еще и таким примером: численность полевых войск (с воздушным и морским флотами) выросла с 461 894 чел. на 1/IV.1927 г. до 485 427 чел. на 1/X.1928 года, или на 23 546 чел.; в то же время штатная численность РККА поднялась с 605 843 чел. до 617 000 чел., т.е. лишь на 11 157 чел. Из этого примера видно, что все увеличение штатной численности РККА пошло исключительно на увеличение строевых частей и что для этого последнего были изысканы, помимо того, довольно значительные возможности внутри самой штатной численности армии.</w:t>
      </w:r>
    </w:p>
    <w:p w14:paraId="7B97241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армии Франции на долю войск падает 635 732 чел. или 92,32% на аппарат управления и тылы — 41 093 чел. или 5,95% общей численности. Отсюда можно сделать вывод о некоторой невыгодности сравнения для РККА, с той, однако, поправкой, что в численность французской армии не входит обслуживающий состав тыловых учреждений и вузов, который содержится на особо отпускаемые для этого средства, а в РККА перевод вольнонаемного состава на операционные кредиты осуществлен лишь частично.</w:t>
      </w:r>
    </w:p>
    <w:p w14:paraId="7050BB2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2.Соотношение между родами войск</w:t>
      </w:r>
    </w:p>
    <w:p w14:paraId="6428E9D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Соотношение между сухопутными, воздушными и морскими строевыми частями (без учреждений, вузов, войсковых штабов и тыловых — местных стрелковых, этапно-транспортных и штрафных частей) представляется в таком виде:</w:t>
      </w:r>
    </w:p>
    <w:p w14:paraId="109F9DC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Сухопутные войска:</w:t>
      </w:r>
    </w:p>
    <w:p w14:paraId="56745F0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апреля 1927 г. - 424 567 (91,93%);</w:t>
      </w:r>
    </w:p>
    <w:p w14:paraId="496EDF9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октября 1928 г. - 439 100 (90,43%).</w:t>
      </w:r>
    </w:p>
    <w:p w14:paraId="3D859A3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Воздушный флот:</w:t>
      </w:r>
    </w:p>
    <w:p w14:paraId="49795C4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апреля 1927 г. - 11 765 (2,54%);</w:t>
      </w:r>
    </w:p>
    <w:p w14:paraId="4FD63A7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октября 1928 г. - 19 501 (5,53%).</w:t>
      </w:r>
    </w:p>
    <w:p w14:paraId="688E51F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Морской флот:</w:t>
      </w:r>
    </w:p>
    <w:p w14:paraId="36EBE71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апреля 1927 г. - 25 562 (5,53%);</w:t>
      </w:r>
    </w:p>
    <w:p w14:paraId="130D668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октября 1928 г. - 26 826 (4,04%).</w:t>
      </w:r>
    </w:p>
    <w:p w14:paraId="0423F91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w:t>
      </w:r>
    </w:p>
    <w:p w14:paraId="7318380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апреля 1927 г. - 461 894;</w:t>
      </w:r>
    </w:p>
    <w:p w14:paraId="032A5FB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октября 1928 г. - 485 427.</w:t>
      </w:r>
    </w:p>
    <w:p w14:paraId="0BA72DB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Таблица говорит, что:</w:t>
      </w:r>
    </w:p>
    <w:p w14:paraId="2791F32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удельный вес сухопутных войск дал снижение на 1,5% при росте абсолютной численности на 14 533 чел.;</w:t>
      </w:r>
    </w:p>
    <w:p w14:paraId="252A84B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удельный вес воздушных сил вырос на 2,99%, при росте абсолютной численности на 7 736 чел.;</w:t>
      </w:r>
    </w:p>
    <w:p w14:paraId="6B33263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удельный вес морских сил дал снижение на 1,5%, при уменьшении абсолютной численности на 1 264 чел.</w:t>
      </w:r>
    </w:p>
    <w:p w14:paraId="244E864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сравнения — таблица по иностранным армиям:</w:t>
      </w:r>
    </w:p>
    <w:p w14:paraId="7382361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Сухопутные войска:</w:t>
      </w:r>
    </w:p>
    <w:p w14:paraId="6563256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РККА - 439 100 (90,43%);</w:t>
      </w:r>
    </w:p>
    <w:p w14:paraId="279F51E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 - 243 471 (93,09%);</w:t>
      </w:r>
    </w:p>
    <w:p w14:paraId="261641E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Финляндия - 27 245 (86,34%);</w:t>
      </w:r>
    </w:p>
    <w:p w14:paraId="3EEAB76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Франция - 442 827 (82,5%).</w:t>
      </w:r>
    </w:p>
    <w:p w14:paraId="4D8A894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Воздушный флот:</w:t>
      </w:r>
    </w:p>
    <w:p w14:paraId="56C1AF6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РККА - 19 501 (5,53%);</w:t>
      </w:r>
    </w:p>
    <w:p w14:paraId="5F73D6B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 - 14 872 (5,68%);</w:t>
      </w:r>
    </w:p>
    <w:p w14:paraId="7A02114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Финляндия - 1 082 (3,43%);</w:t>
      </w:r>
    </w:p>
    <w:p w14:paraId="3C5EFF2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Франция - 22 608 (5,13%).</w:t>
      </w:r>
    </w:p>
    <w:p w14:paraId="23706EB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Морской флот:</w:t>
      </w:r>
    </w:p>
    <w:p w14:paraId="2B55192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РККА - 26 826 (4,04%);</w:t>
      </w:r>
    </w:p>
    <w:p w14:paraId="7AB20A5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Польша - 3 226 (1,23%);</w:t>
      </w:r>
    </w:p>
    <w:p w14:paraId="1B436F0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Финляндия - 3 228 (10,23%);</w:t>
      </w:r>
    </w:p>
    <w:p w14:paraId="0507BEC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Франция - 55 000 (12,37%).</w:t>
      </w:r>
    </w:p>
    <w:p w14:paraId="152DD01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p w14:paraId="19943A3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РККА - 485 423 (100%);</w:t>
      </w:r>
    </w:p>
    <w:p w14:paraId="6689937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 - 261 570 (100%);</w:t>
      </w:r>
    </w:p>
    <w:p w14:paraId="46EA128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Финляндия - 31 555 (100%);</w:t>
      </w:r>
    </w:p>
    <w:p w14:paraId="1CD5423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Франция - 520 435 (100%).</w:t>
      </w:r>
    </w:p>
    <w:p w14:paraId="3C5955C0"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Примечание:Данные</w:t>
      </w:r>
      <w:proofErr w:type="spellEnd"/>
      <w:r w:rsidRPr="00A259BD">
        <w:rPr>
          <w:rFonts w:ascii="Times New Roman" w:hAnsi="Times New Roman"/>
          <w:color w:val="000000" w:themeColor="text1"/>
          <w:sz w:val="16"/>
          <w:szCs w:val="16"/>
        </w:rPr>
        <w:t xml:space="preserve"> по Франции — без колоний и без оккупационных войск Рейнской области.</w:t>
      </w:r>
    </w:p>
    <w:p w14:paraId="4A3B7B9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таблицы следует, что: а) доля сухопутных войск в РККА ниже, чем в Польше, и выше чем во Франции и Финляндии; б) в отношении удельного веса воздушного флота (в процентном отношении от всей численности армии) РККА незначительно уступает Польше, но превосходит Францию и Финляндию. По абсолютной численности наш воздушный флот только немногим меньше французского; это сравнение не выгодно для нас в том смысле, что французский флот, при незначительно большей численности личного состава, значительно превосходит наш флот по числу действующих самолетов; в) удельный вес нашего морского флота выше, чем в Польше, но значительно ниже, чем в Финляндии и Франции; по абсолютной численности наш морской флот во много раз выше численности флотов Польши и Финляндии, но в два с лишним раза ниже численности французского флота.</w:t>
      </w:r>
    </w:p>
    <w:p w14:paraId="67005B3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Соотношение между различными родами войск в масштабе Сухопутных сил РККА представляется в следующем виде:</w:t>
      </w:r>
    </w:p>
    <w:p w14:paraId="13B747C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Пехота:</w:t>
      </w:r>
    </w:p>
    <w:p w14:paraId="7948B8F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апреля 1927 г. - 206 689 (48,91%);</w:t>
      </w:r>
    </w:p>
    <w:p w14:paraId="75ECAD4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октября 1928 г. - 205 084 (46,66%).</w:t>
      </w:r>
    </w:p>
    <w:p w14:paraId="13BF621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Конница:</w:t>
      </w:r>
    </w:p>
    <w:p w14:paraId="3021FCB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апреля 1927 г. - 62 966 (14,85%);</w:t>
      </w:r>
    </w:p>
    <w:p w14:paraId="22E8F0D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октября 1928 г. - 68 020 (15,50%).</w:t>
      </w:r>
    </w:p>
    <w:p w14:paraId="5D6B50D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Технические войска:</w:t>
      </w:r>
    </w:p>
    <w:p w14:paraId="790892C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апреля 1927 г. - 154 912 (36,24%);</w:t>
      </w:r>
    </w:p>
    <w:p w14:paraId="58F2E9B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октября 1928 г. - 165 996 (37,84%).</w:t>
      </w:r>
    </w:p>
    <w:p w14:paraId="79FD68E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p w14:paraId="09AE21B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апреля 1927 г. - 424 567 (100%);</w:t>
      </w:r>
    </w:p>
    <w:p w14:paraId="78501B2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 октября 1928 г. - 439 100 (100%).</w:t>
      </w:r>
    </w:p>
    <w:p w14:paraId="342EB7C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Таким образом, за полтора года мы имеем понижение относительной численности пехоты и увеличение численности конницы (в абсолютных цифрах — 5 054 чел.) и технических войск (в абсолютных цифрах — на 11 084 чел.). Рост конницы падает на формирование национальных частей, усиление войсковой конницы </w:t>
      </w:r>
      <w:proofErr w:type="spellStart"/>
      <w:r w:rsidRPr="00A259BD">
        <w:rPr>
          <w:rFonts w:ascii="Times New Roman" w:hAnsi="Times New Roman"/>
          <w:color w:val="000000" w:themeColor="text1"/>
          <w:sz w:val="16"/>
          <w:szCs w:val="16"/>
        </w:rPr>
        <w:t>тердивизий</w:t>
      </w:r>
      <w:proofErr w:type="spellEnd"/>
      <w:r w:rsidRPr="00A259BD">
        <w:rPr>
          <w:rFonts w:ascii="Times New Roman" w:hAnsi="Times New Roman"/>
          <w:color w:val="000000" w:themeColor="text1"/>
          <w:sz w:val="16"/>
          <w:szCs w:val="16"/>
        </w:rPr>
        <w:t xml:space="preserve"> и на введение в высшие кавалерийские соединения химических ячеек.</w:t>
      </w:r>
    </w:p>
    <w:p w14:paraId="7F4D3D0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Дальнейшее развитие технических войск в составе РККА в пределах одной и той же штатной численности последней возможно или за счет изыскания средств внутри нормы РККА, или за счет переложения части функций по обслуживанию РККА на общегосударственные советские органы.</w:t>
      </w:r>
    </w:p>
    <w:p w14:paraId="512A6F4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Данные о численности технических войск по каждой специальности отдельно таковы:</w:t>
      </w:r>
    </w:p>
    <w:p w14:paraId="63FB28C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Артиллерия: 83 126 (на 1/IV-27 г.), 92 456 (на 1/X-28 г.), итого+9 330 (11,2%);</w:t>
      </w:r>
    </w:p>
    <w:p w14:paraId="3558CA3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Части связи: 32 265 (на 1/IV-27 г.), 32 828 (на 1/X-28 г.), итого+563 (1,4%);</w:t>
      </w:r>
    </w:p>
    <w:p w14:paraId="2A526AF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Инженерные: 21 777 (на 1/IV-27 г.), 20 053 (на 1/X-28 г.), итого-1 724 (-7,9%);</w:t>
      </w:r>
    </w:p>
    <w:p w14:paraId="36DF189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Железнодорожные: 13 712 (на 1/IV-27 г.), 14 129 (на 1/X-28 г.), итого+417 (3,0%);</w:t>
      </w:r>
    </w:p>
    <w:p w14:paraId="27BE566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Химические: 593 (на 1/IV-27 г.), 2 327 (на 1/X-28 г.), итого+1 734 (290,0%);</w:t>
      </w:r>
    </w:p>
    <w:p w14:paraId="4C05A48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Броневые и танковые: 3 439  (на 1/IV-27 г.), 4 203 (на 1/X-28 г.), итого+764 (22,2%);</w:t>
      </w:r>
    </w:p>
    <w:p w14:paraId="0F86AE1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154 912  (на 1/IV-27 г.), 165 996 (на 1/X-28 г.), итого+11 084 (7,2%).</w:t>
      </w:r>
    </w:p>
    <w:p w14:paraId="3CD134F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Наибольшее по абсолютной численности увеличение падает на артиллерию. Весьма ограниченный процент роста частей связи объясняется переводом некоторых частей на территориальное положение, что связано с уменьшением численности части. Уменьшение на 7,9% численности инженерных войск приходится на свертывание трех автомобильных полков в батальоны.</w:t>
      </w:r>
    </w:p>
    <w:p w14:paraId="40E8EF2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Если принять во внимание, что к увеличению численности и удельного веса численности войск по данной таблице нужно добавить рост абсолютной и относительной численности строевых частей военно-воздушных сил, то можно с полной определенностью констатировать, что один из основных принципов реформы 1924 г. — увеличение техники, и </w:t>
      </w:r>
      <w:proofErr w:type="spellStart"/>
      <w:r w:rsidRPr="00A259BD">
        <w:rPr>
          <w:rFonts w:ascii="Times New Roman" w:hAnsi="Times New Roman"/>
          <w:color w:val="000000" w:themeColor="text1"/>
          <w:sz w:val="16"/>
          <w:szCs w:val="16"/>
        </w:rPr>
        <w:t>впервую</w:t>
      </w:r>
      <w:proofErr w:type="spellEnd"/>
      <w:r w:rsidRPr="00A259BD">
        <w:rPr>
          <w:rFonts w:ascii="Times New Roman" w:hAnsi="Times New Roman"/>
          <w:color w:val="000000" w:themeColor="text1"/>
          <w:sz w:val="16"/>
          <w:szCs w:val="16"/>
        </w:rPr>
        <w:t xml:space="preserve"> очередь — воздушного флота, неуклонно проводится в жизнь. Дальнейшее расширение технических войск имеет свои пределы, о которых сказано несколько выше.</w:t>
      </w:r>
    </w:p>
    <w:p w14:paraId="432C3AD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Сравнительные данные, в смысле насыщенности техническими войсками, с иностранными армиями (западных соседей) таковы:</w:t>
      </w:r>
    </w:p>
    <w:p w14:paraId="12DAD58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Пехоты:</w:t>
      </w:r>
    </w:p>
    <w:p w14:paraId="703E5A1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РККА - 205 084 (46,6%);</w:t>
      </w:r>
    </w:p>
    <w:p w14:paraId="2312C0C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 - 137 625 (56,5%);</w:t>
      </w:r>
    </w:p>
    <w:p w14:paraId="21797FF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Румыния - 89 029 (64,7%);</w:t>
      </w:r>
    </w:p>
    <w:p w14:paraId="4D2EBDA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Финляндия - 20 036 (73,9%);</w:t>
      </w:r>
    </w:p>
    <w:p w14:paraId="152EC63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Латвия - 12 084 (74,6%).</w:t>
      </w:r>
    </w:p>
    <w:p w14:paraId="3E76692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Конница:</w:t>
      </w:r>
    </w:p>
    <w:p w14:paraId="5FAC896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РККА - 68 020 (15,5%);</w:t>
      </w:r>
    </w:p>
    <w:p w14:paraId="791F3F6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 - 37 780 (15,5%);</w:t>
      </w:r>
    </w:p>
    <w:p w14:paraId="3ECF50B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Румыния - 14 304 (10,5%);</w:t>
      </w:r>
    </w:p>
    <w:p w14:paraId="32586CA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Финляндия - 1 790 (6,5%);</w:t>
      </w:r>
    </w:p>
    <w:p w14:paraId="054CF2E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Латвия - 917 (5,0%).</w:t>
      </w:r>
    </w:p>
    <w:p w14:paraId="741020A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Технические войска:</w:t>
      </w:r>
    </w:p>
    <w:p w14:paraId="29C257A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РККА - 165 996 (37,8%);</w:t>
      </w:r>
    </w:p>
    <w:p w14:paraId="1FA879C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 - 68 066 (28,0%);</w:t>
      </w:r>
    </w:p>
    <w:p w14:paraId="1D53B8C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Румыния - 34 209 (24,8%);</w:t>
      </w:r>
    </w:p>
    <w:p w14:paraId="2FE4981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Финляндия - 5 419 (19,6%);</w:t>
      </w:r>
    </w:p>
    <w:p w14:paraId="6FAA7B9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Латвия - 3 194 (20,4%).</w:t>
      </w:r>
    </w:p>
    <w:p w14:paraId="7A556C7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p w14:paraId="3A2FB64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РККА - 439 100;</w:t>
      </w:r>
    </w:p>
    <w:p w14:paraId="5370848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 - 243 471;</w:t>
      </w:r>
    </w:p>
    <w:p w14:paraId="1E9A0F5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Румыния - 137 541;</w:t>
      </w:r>
    </w:p>
    <w:p w14:paraId="174BF2B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Финляндия - 27 245;</w:t>
      </w:r>
    </w:p>
    <w:p w14:paraId="57AC575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Латвия - 16 195.</w:t>
      </w:r>
    </w:p>
    <w:p w14:paraId="099E6E4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Процент технических войск в РККА выше, чем в польской и других взятых в таблице армиях. Дать сравнение в этом отношении с французской армией не представляется возможным, так как в имеющемся материале по последней пехота посчитана вместе с танковыми, а конница — с броневыми частями.</w:t>
      </w:r>
    </w:p>
    <w:p w14:paraId="1DFA82C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Процентное содержание (отдельно) артиллерии в сухопутных войсках РККА и в иностранных армиях таково:</w:t>
      </w:r>
    </w:p>
    <w:p w14:paraId="2E78AB7F"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РККА:Общая</w:t>
      </w:r>
      <w:proofErr w:type="spellEnd"/>
      <w:r w:rsidRPr="00A259BD">
        <w:rPr>
          <w:rFonts w:ascii="Times New Roman" w:hAnsi="Times New Roman"/>
          <w:color w:val="000000" w:themeColor="text1"/>
          <w:sz w:val="16"/>
          <w:szCs w:val="16"/>
        </w:rPr>
        <w:t xml:space="preserve"> численность сухопутных войск - 439 100, в том числе артиллерия - 92 456 (21,2%);</w:t>
      </w:r>
    </w:p>
    <w:p w14:paraId="6657E361"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Франция:Общая</w:t>
      </w:r>
      <w:proofErr w:type="spellEnd"/>
      <w:r w:rsidRPr="00A259BD">
        <w:rPr>
          <w:rFonts w:ascii="Times New Roman" w:hAnsi="Times New Roman"/>
          <w:color w:val="000000" w:themeColor="text1"/>
          <w:sz w:val="16"/>
          <w:szCs w:val="16"/>
        </w:rPr>
        <w:t xml:space="preserve"> численность сухопутных войск - 442 827, в том числе артиллерия - 84 614 (19,1%);</w:t>
      </w:r>
    </w:p>
    <w:p w14:paraId="54BADB93"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Польша:Общая</w:t>
      </w:r>
      <w:proofErr w:type="spellEnd"/>
      <w:r w:rsidRPr="00A259BD">
        <w:rPr>
          <w:rFonts w:ascii="Times New Roman" w:hAnsi="Times New Roman"/>
          <w:color w:val="000000" w:themeColor="text1"/>
          <w:sz w:val="16"/>
          <w:szCs w:val="16"/>
        </w:rPr>
        <w:t xml:space="preserve"> численность сухопутных войск - 243 471, в том числе артиллерия - 48 525 (19,9%);</w:t>
      </w:r>
    </w:p>
    <w:p w14:paraId="1F86805A"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Румыния:Общая</w:t>
      </w:r>
      <w:proofErr w:type="spellEnd"/>
      <w:r w:rsidRPr="00A259BD">
        <w:rPr>
          <w:rFonts w:ascii="Times New Roman" w:hAnsi="Times New Roman"/>
          <w:color w:val="000000" w:themeColor="text1"/>
          <w:sz w:val="16"/>
          <w:szCs w:val="16"/>
        </w:rPr>
        <w:t xml:space="preserve"> численность сухопутных войск - 137 541, в том числе артиллерия - 21 371 (15,4%);</w:t>
      </w:r>
    </w:p>
    <w:p w14:paraId="05F6D065"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Финляндия:Общая</w:t>
      </w:r>
      <w:proofErr w:type="spellEnd"/>
      <w:r w:rsidRPr="00A259BD">
        <w:rPr>
          <w:rFonts w:ascii="Times New Roman" w:hAnsi="Times New Roman"/>
          <w:color w:val="000000" w:themeColor="text1"/>
          <w:sz w:val="16"/>
          <w:szCs w:val="16"/>
        </w:rPr>
        <w:t xml:space="preserve"> численность сухопутных войск - 27 245, в том числе артиллерия - 4 279 (15,6%).</w:t>
      </w:r>
    </w:p>
    <w:p w14:paraId="68A5620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Таким образом, процент насыщенности артиллерией для РККА, Польши и Франции примерно одинаков. Однако надо иметь в виду, что в отношении Франции не учтена артиллерия оккупационной Рейнской армии и артиллерия в колониях; если учесть эту артиллерию, то процент всей артиллерии во французской армии будет не ниже, а вероятно, выше, чем в РККА.</w:t>
      </w:r>
    </w:p>
    <w:p w14:paraId="2BAF386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Весь произведенный анализ данных о соответствии численности РККА по родам войск с неоспоримостью свидетельствует о заметном росте технической мощи РККА. Однако этот рост еще не может быть признан достаточным (взять хотя бы броневые, танковые, химические части). Следовательно, нужно дальше изыскивать средства для развития этих войск. Никаких конкретных предположений на пути переложения части функций по обслуживанию РККА на общегосударственные органы в настоящее время указано быть не может. Остается второй путь — изыскания этих средств внутри общей нормы РККА. Делать это за счет сокращения численности основных родов войск нет возможности, так как тер. система, как то видно будет из последующего изложения, упирается в исчерпание районов комплектования. Единственно возможным и правильным представляется перевод лиц вольнонаемного состава за пределы штатной нормы численности РККА, с содержанием их за счет операционных кредитов. Перевод этот имел место, частично, в течение рассматриваемого 1,5-летнего периода. В будущем надо охватить им новые группы вольнонаемного состава. Такого рода мероприятие, вместе с тем, будет приближать РККА к тому положению (в смысле составных контингентов численности армии), в котором находится, например, французская армия, которая, как сказано выше, вольнонаемного состава в своей штатной норме не числит.</w:t>
      </w:r>
    </w:p>
    <w:p w14:paraId="7C13C3A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3.Соотношение между начальствующим, рядовым и остальным составами РККА</w:t>
      </w:r>
    </w:p>
    <w:p w14:paraId="1D45974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Соотношение между различными составами РККА дает сравнительная таблица численности РККА по составам (таблица №2)*. Из нее следует, что за последние полтора года произошли нижеследующие основные изменения в этом направлении:</w:t>
      </w:r>
    </w:p>
    <w:p w14:paraId="11C9BF9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удельный вес численности начсостава (от среднего и выше, включая слушателей) увеличился с 13,81% до 14,47% от всей численности РККА, а в абсолютных цифрах — на 5 610 человек; наибольшую роль в этом увеличении играло формирование новых частей Военно-воздушных сил, давшее увеличение на 3 980 человек;</w:t>
      </w:r>
    </w:p>
    <w:p w14:paraId="03C79ED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удельный вес численности младшего начсостава понизился с 17,70% до 16,64% от всей численности РККА, а в абсолютных цифрах — на 4 601 чел. Эта цифра является (в основном) алгебраической суммой таких изменений, как[-то]: сокращение числа стрелковых взводов в ротах стрелковых полков кадровых дивизий, формирование новых частей Военно-воздушных сил и развитие береговой обороны;</w:t>
      </w:r>
    </w:p>
    <w:p w14:paraId="1C2513D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удельный вес рядового состава вырос с 65,27% до 66,00% от всей численности РККА, а в абсолютных цифрах — на 11 788 чел., из которых 5 692 чел. падает на новые формирования Военно-воздушных сил, а 4 852 чел. — на Сухопутные силы, в последних — главным образом на развитие артиллерии, на усиление войсковой конницы тер. дивизий, на формирование химических взводов и национальных частей; увеличение численности рядового состава в Военно-морских силах падает в основном на передачу им некоторых частей местных стрелковых войск;</w:t>
      </w:r>
    </w:p>
    <w:p w14:paraId="5576FD5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численность вольнонаемных понизилась с 3,22% до 2,89% от всей численности РККА, а в абсолютных цифрах — на 1 640 чел., преимущественно за счет перевода их на операционные кредиты.</w:t>
      </w:r>
    </w:p>
    <w:p w14:paraId="50E2C5F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Изменения, происшедшие в младшем начальствующем, рядовом и вольнонаемном составе, совпадает с общей линией реформы 1924 г. и организационных мероприятий 1926 г. Что </w:t>
      </w:r>
      <w:proofErr w:type="spellStart"/>
      <w:r w:rsidRPr="00A259BD">
        <w:rPr>
          <w:rFonts w:ascii="Times New Roman" w:hAnsi="Times New Roman"/>
          <w:color w:val="000000" w:themeColor="text1"/>
          <w:sz w:val="16"/>
          <w:szCs w:val="16"/>
        </w:rPr>
        <w:t>жекасается</w:t>
      </w:r>
      <w:proofErr w:type="spellEnd"/>
      <w:r w:rsidRPr="00A259BD">
        <w:rPr>
          <w:rFonts w:ascii="Times New Roman" w:hAnsi="Times New Roman"/>
          <w:color w:val="000000" w:themeColor="text1"/>
          <w:sz w:val="16"/>
          <w:szCs w:val="16"/>
        </w:rPr>
        <w:t xml:space="preserve"> увеличения численности начальствующего состава (от среднего и выше), то это увеличение нельзя рассматривать как шаг назад от прежней линии, ибо технические войска, развитие которых отмечено было выше, насыщены этим начсоставом в значительно большем проценте, чем средний по армии (например, в строевых частях Военно-воздушных сил — 31,3%, в то время как во всей РККА — 14,5% от общей штатной численности). Последующее развитие технических войск будет связано и в дальнейшем с некоторым увеличением насыщенности армии начсоставом.</w:t>
      </w:r>
    </w:p>
    <w:p w14:paraId="26D1146F"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Приложение:Диаграммы</w:t>
      </w:r>
      <w:proofErr w:type="spellEnd"/>
      <w:r w:rsidRPr="00A259BD">
        <w:rPr>
          <w:rFonts w:ascii="Times New Roman" w:hAnsi="Times New Roman"/>
          <w:color w:val="000000" w:themeColor="text1"/>
          <w:sz w:val="16"/>
          <w:szCs w:val="16"/>
        </w:rPr>
        <w:t xml:space="preserve"> на 3-х листах*.</w:t>
      </w:r>
    </w:p>
    <w:p w14:paraId="3E09A44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4.Сравнительный анализ построения войскового соединения стрелковой и кавалерийской дивизии— с пехотными и кавалерийскими дивизиями польской, румынской и французской армий (в отношении их численности, огневых средств, обозов т.п.) должен быть произведен по структуре военного времени с учетом в их составе всех штатных подразделений, так как в мирное время некоторые подразделения, по преимуществу специальных родов войск, в целях удобства подготовки в РККА сведены в более крупные единицы вне дивизии, а тыловые учреждения, как правило, вовсе отсутствуют.</w:t>
      </w:r>
    </w:p>
    <w:p w14:paraId="12F08D0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1)Стрелковая (пехотная) дивизия*</w:t>
      </w:r>
    </w:p>
    <w:p w14:paraId="315F908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w:t>
      </w:r>
    </w:p>
    <w:p w14:paraId="3A3840F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РККА: Людей 12 292, лошадей 4 467, повозок 1 4411),</w:t>
      </w:r>
      <w:proofErr w:type="spellStart"/>
      <w:r w:rsidRPr="00A259BD">
        <w:rPr>
          <w:rFonts w:ascii="Times New Roman" w:hAnsi="Times New Roman"/>
          <w:color w:val="000000" w:themeColor="text1"/>
          <w:sz w:val="16"/>
          <w:szCs w:val="16"/>
        </w:rPr>
        <w:t>автомоб</w:t>
      </w:r>
      <w:proofErr w:type="spellEnd"/>
      <w:r w:rsidRPr="00A259BD">
        <w:rPr>
          <w:rFonts w:ascii="Times New Roman" w:hAnsi="Times New Roman"/>
          <w:color w:val="000000" w:themeColor="text1"/>
          <w:sz w:val="16"/>
          <w:szCs w:val="16"/>
        </w:rPr>
        <w:t xml:space="preserve">. легковых 2, </w:t>
      </w:r>
      <w:proofErr w:type="spellStart"/>
      <w:r w:rsidRPr="00A259BD">
        <w:rPr>
          <w:rFonts w:ascii="Times New Roman" w:hAnsi="Times New Roman"/>
          <w:color w:val="000000" w:themeColor="text1"/>
          <w:sz w:val="16"/>
          <w:szCs w:val="16"/>
        </w:rPr>
        <w:t>автомоб</w:t>
      </w:r>
      <w:proofErr w:type="spellEnd"/>
      <w:r w:rsidRPr="00A259BD">
        <w:rPr>
          <w:rFonts w:ascii="Times New Roman" w:hAnsi="Times New Roman"/>
          <w:color w:val="000000" w:themeColor="text1"/>
          <w:sz w:val="16"/>
          <w:szCs w:val="16"/>
        </w:rPr>
        <w:t>. грузовых 1;</w:t>
      </w:r>
    </w:p>
    <w:p w14:paraId="1B2221B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 Людей 13 6522)/13 814,лошадей 5 1412)/5 303,повозок 1 6962)/1748,автомоб. легковых 142)/14;</w:t>
      </w:r>
    </w:p>
    <w:p w14:paraId="07747AB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Румыния: Людей 15 231, лошадей 2 289;</w:t>
      </w:r>
    </w:p>
    <w:p w14:paraId="1A93B2E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Франция: Людей 17 120, лошадей 5 700, повозок 1 400, </w:t>
      </w:r>
      <w:proofErr w:type="spellStart"/>
      <w:r w:rsidRPr="00A259BD">
        <w:rPr>
          <w:rFonts w:ascii="Times New Roman" w:hAnsi="Times New Roman"/>
          <w:color w:val="000000" w:themeColor="text1"/>
          <w:sz w:val="16"/>
          <w:szCs w:val="16"/>
        </w:rPr>
        <w:t>автомоб</w:t>
      </w:r>
      <w:proofErr w:type="spellEnd"/>
      <w:r w:rsidRPr="00A259BD">
        <w:rPr>
          <w:rFonts w:ascii="Times New Roman" w:hAnsi="Times New Roman"/>
          <w:color w:val="000000" w:themeColor="text1"/>
          <w:sz w:val="16"/>
          <w:szCs w:val="16"/>
        </w:rPr>
        <w:t xml:space="preserve">. легковых 34, </w:t>
      </w:r>
      <w:proofErr w:type="spellStart"/>
      <w:r w:rsidRPr="00A259BD">
        <w:rPr>
          <w:rFonts w:ascii="Times New Roman" w:hAnsi="Times New Roman"/>
          <w:color w:val="000000" w:themeColor="text1"/>
          <w:sz w:val="16"/>
          <w:szCs w:val="16"/>
        </w:rPr>
        <w:t>автомоб</w:t>
      </w:r>
      <w:proofErr w:type="spellEnd"/>
      <w:r w:rsidRPr="00A259BD">
        <w:rPr>
          <w:rFonts w:ascii="Times New Roman" w:hAnsi="Times New Roman"/>
          <w:color w:val="000000" w:themeColor="text1"/>
          <w:sz w:val="16"/>
          <w:szCs w:val="16"/>
        </w:rPr>
        <w:t>. грузовых 120.</w:t>
      </w:r>
    </w:p>
    <w:p w14:paraId="2F429F7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1)В том числе 585 двуколок.</w:t>
      </w:r>
    </w:p>
    <w:p w14:paraId="29EC220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2)Числитель — при вооружении рот ручными пулеметами, знаменатель — при вооружении рот легкими пулеметами.</w:t>
      </w:r>
    </w:p>
    <w:p w14:paraId="62E2F85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Структура:</w:t>
      </w:r>
    </w:p>
    <w:p w14:paraId="385DA3C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Стрелковых полков:</w:t>
      </w:r>
    </w:p>
    <w:p w14:paraId="7B60ED6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РККА - 3 (9 батальонов, 27 стрелковых и 9 пулеметных рот);</w:t>
      </w:r>
    </w:p>
    <w:p w14:paraId="50802F4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 - 3 (9 батальонов, 27 стрелковых и 9 пулеметных рот);</w:t>
      </w:r>
    </w:p>
    <w:p w14:paraId="60A3A7A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Румыния - 3 (9 батальонов, 27 стрелковых и 9 пулеметных рот);</w:t>
      </w:r>
    </w:p>
    <w:p w14:paraId="016406E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Франция - 3 (9 батальонов, 27 стрелковых и 9 пулеметных рот).</w:t>
      </w:r>
    </w:p>
    <w:p w14:paraId="756A16E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Артиллерийских полков:</w:t>
      </w:r>
    </w:p>
    <w:p w14:paraId="01FD51D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РККА - 1 (3 дивизиона, 10 3-х </w:t>
      </w:r>
      <w:proofErr w:type="spellStart"/>
      <w:r w:rsidRPr="00A259BD">
        <w:rPr>
          <w:rFonts w:ascii="Times New Roman" w:hAnsi="Times New Roman"/>
          <w:color w:val="000000" w:themeColor="text1"/>
          <w:sz w:val="16"/>
          <w:szCs w:val="16"/>
        </w:rPr>
        <w:t>орудйных</w:t>
      </w:r>
      <w:proofErr w:type="spellEnd"/>
      <w:r w:rsidRPr="00A259BD">
        <w:rPr>
          <w:rFonts w:ascii="Times New Roman" w:hAnsi="Times New Roman"/>
          <w:color w:val="000000" w:themeColor="text1"/>
          <w:sz w:val="16"/>
          <w:szCs w:val="16"/>
        </w:rPr>
        <w:t xml:space="preserve"> батарей);</w:t>
      </w:r>
    </w:p>
    <w:p w14:paraId="6E3A8EA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Польша - 1 (3 дивизиона, 9 4-х </w:t>
      </w:r>
      <w:proofErr w:type="spellStart"/>
      <w:r w:rsidRPr="00A259BD">
        <w:rPr>
          <w:rFonts w:ascii="Times New Roman" w:hAnsi="Times New Roman"/>
          <w:color w:val="000000" w:themeColor="text1"/>
          <w:sz w:val="16"/>
          <w:szCs w:val="16"/>
        </w:rPr>
        <w:t>орудйных</w:t>
      </w:r>
      <w:proofErr w:type="spellEnd"/>
      <w:r w:rsidRPr="00A259BD">
        <w:rPr>
          <w:rFonts w:ascii="Times New Roman" w:hAnsi="Times New Roman"/>
          <w:color w:val="000000" w:themeColor="text1"/>
          <w:sz w:val="16"/>
          <w:szCs w:val="16"/>
        </w:rPr>
        <w:t xml:space="preserve"> батарей);</w:t>
      </w:r>
    </w:p>
    <w:p w14:paraId="577EC6A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Румыния - 2 (5 дивизионов, 13 4-х </w:t>
      </w:r>
      <w:proofErr w:type="spellStart"/>
      <w:r w:rsidRPr="00A259BD">
        <w:rPr>
          <w:rFonts w:ascii="Times New Roman" w:hAnsi="Times New Roman"/>
          <w:color w:val="000000" w:themeColor="text1"/>
          <w:sz w:val="16"/>
          <w:szCs w:val="16"/>
        </w:rPr>
        <w:t>орудйных</w:t>
      </w:r>
      <w:proofErr w:type="spellEnd"/>
      <w:r w:rsidRPr="00A259BD">
        <w:rPr>
          <w:rFonts w:ascii="Times New Roman" w:hAnsi="Times New Roman"/>
          <w:color w:val="000000" w:themeColor="text1"/>
          <w:sz w:val="16"/>
          <w:szCs w:val="16"/>
        </w:rPr>
        <w:t xml:space="preserve"> батарей);</w:t>
      </w:r>
    </w:p>
    <w:p w14:paraId="3597D18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Франция - 2 (5 дивизионов, 15 4-х </w:t>
      </w:r>
      <w:proofErr w:type="spellStart"/>
      <w:r w:rsidRPr="00A259BD">
        <w:rPr>
          <w:rFonts w:ascii="Times New Roman" w:hAnsi="Times New Roman"/>
          <w:color w:val="000000" w:themeColor="text1"/>
          <w:sz w:val="16"/>
          <w:szCs w:val="16"/>
        </w:rPr>
        <w:t>орудйных</w:t>
      </w:r>
      <w:proofErr w:type="spellEnd"/>
      <w:r w:rsidRPr="00A259BD">
        <w:rPr>
          <w:rFonts w:ascii="Times New Roman" w:hAnsi="Times New Roman"/>
          <w:color w:val="000000" w:themeColor="text1"/>
          <w:sz w:val="16"/>
          <w:szCs w:val="16"/>
        </w:rPr>
        <w:t xml:space="preserve"> батарей).</w:t>
      </w:r>
    </w:p>
    <w:p w14:paraId="1C4D1DB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Огневые средства:</w:t>
      </w:r>
    </w:p>
    <w:p w14:paraId="557A369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Пулеметы:</w:t>
      </w:r>
    </w:p>
    <w:p w14:paraId="4C8C5C4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РККА - станковые 162, ручные 148;</w:t>
      </w:r>
    </w:p>
    <w:p w14:paraId="3FBBDB9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 - станковые 128, ручные 334, легкие 172;</w:t>
      </w:r>
    </w:p>
    <w:p w14:paraId="24E40F9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Румыния - станковые 224, ручные 324;</w:t>
      </w:r>
    </w:p>
    <w:p w14:paraId="5C37D91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Франция - станковые 172, ручные 340.</w:t>
      </w:r>
    </w:p>
    <w:p w14:paraId="659140F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75/76мм:</w:t>
      </w:r>
    </w:p>
    <w:p w14:paraId="10773C1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РККА - пушек 36, гаубиц 12, всего 48;</w:t>
      </w:r>
    </w:p>
    <w:p w14:paraId="49494D2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 - пушек 24, гаубиц 12, всего 36;</w:t>
      </w:r>
    </w:p>
    <w:p w14:paraId="1C224C6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Румыния - пушек 36, гаубиц 16, всего 52х);</w:t>
      </w:r>
    </w:p>
    <w:p w14:paraId="6AD9E6D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Франция - пушек 36, гаубиц 24, всего 60.</w:t>
      </w:r>
    </w:p>
    <w:p w14:paraId="447943E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37м/м </w:t>
      </w:r>
      <w:proofErr w:type="spellStart"/>
      <w:r w:rsidRPr="00A259BD">
        <w:rPr>
          <w:rFonts w:ascii="Times New Roman" w:hAnsi="Times New Roman"/>
          <w:color w:val="000000" w:themeColor="text1"/>
          <w:sz w:val="16"/>
          <w:szCs w:val="16"/>
        </w:rPr>
        <w:t>оруд</w:t>
      </w:r>
      <w:proofErr w:type="spellEnd"/>
      <w:r w:rsidRPr="00A259BD">
        <w:rPr>
          <w:rFonts w:ascii="Times New Roman" w:hAnsi="Times New Roman"/>
          <w:color w:val="000000" w:themeColor="text1"/>
          <w:sz w:val="16"/>
          <w:szCs w:val="16"/>
        </w:rPr>
        <w:t>.:</w:t>
      </w:r>
    </w:p>
    <w:p w14:paraId="7B2FF77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РККА - 9;</w:t>
      </w:r>
    </w:p>
    <w:p w14:paraId="7A35BA0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 - 18;</w:t>
      </w:r>
    </w:p>
    <w:p w14:paraId="7A2E1C5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Румыния - 18;</w:t>
      </w:r>
    </w:p>
    <w:p w14:paraId="5603382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Франция - 9.</w:t>
      </w:r>
    </w:p>
    <w:p w14:paraId="548E5A0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Минометов:</w:t>
      </w:r>
    </w:p>
    <w:p w14:paraId="7420B64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РККА - 9;</w:t>
      </w:r>
    </w:p>
    <w:p w14:paraId="25FDA5A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 - 9;</w:t>
      </w:r>
    </w:p>
    <w:p w14:paraId="0EC9964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Румыния - 8;</w:t>
      </w:r>
    </w:p>
    <w:p w14:paraId="6696A64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Франция - -.</w:t>
      </w:r>
    </w:p>
    <w:p w14:paraId="3C763AD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Х)Кроме того, 2 зенитных.</w:t>
      </w:r>
    </w:p>
    <w:p w14:paraId="1EBB979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Количество орудий и станковых </w:t>
      </w:r>
      <w:proofErr w:type="spellStart"/>
      <w:r w:rsidRPr="00A259BD">
        <w:rPr>
          <w:rFonts w:ascii="Times New Roman" w:hAnsi="Times New Roman"/>
          <w:color w:val="000000" w:themeColor="text1"/>
          <w:sz w:val="16"/>
          <w:szCs w:val="16"/>
        </w:rPr>
        <w:t>пулеметов,приходящихся</w:t>
      </w:r>
      <w:proofErr w:type="spellEnd"/>
      <w:r w:rsidRPr="00A259BD">
        <w:rPr>
          <w:rFonts w:ascii="Times New Roman" w:hAnsi="Times New Roman"/>
          <w:color w:val="000000" w:themeColor="text1"/>
          <w:sz w:val="16"/>
          <w:szCs w:val="16"/>
        </w:rPr>
        <w:t xml:space="preserve"> на один батальон следующее:</w:t>
      </w:r>
    </w:p>
    <w:p w14:paraId="1DB3DED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РККА: 5,3 орудий, 18,0 станковых пулеметов;</w:t>
      </w:r>
    </w:p>
    <w:p w14:paraId="1877B2A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 4,0 Орудий,14,2 станковых пулеметов;</w:t>
      </w:r>
    </w:p>
    <w:p w14:paraId="430E338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Румыния: 5,8 Орудий, 24,9 станковых пулеметов;</w:t>
      </w:r>
    </w:p>
    <w:p w14:paraId="12DC4B2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Франция: 6,6 Орудий, 19,1 станковых пулеметов.</w:t>
      </w:r>
    </w:p>
    <w:p w14:paraId="283B704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сравнении на основании приведенных данных стрелковой дивизии Красной Армии с пехотными дивизиями иностранных армий видно, что в смысле организационной структуры собственно пехоты, дивизии одинаковы, разница — в организации артиллерии дивизии (во Франции и Румынии по два артполка, у нас и в Польше — по одному). </w:t>
      </w:r>
    </w:p>
    <w:p w14:paraId="0B4F499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огневых средств наша стрелковая дивизия также может считаться вполне современной, только иностранные дивизии богаче ручными пулеметами, а французская и румынская, кроме того, и орудиями. В отношении прочей техники иностранные дивизии богаче средствами связи и инженерными (у нас роты, у них — батальоны).</w:t>
      </w:r>
    </w:p>
    <w:p w14:paraId="7BC6A14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Что касается маневренности и подвижности, то хотя стрелковая дивизия и меньше по численности других дивизий, но она тяжелее в смысле обоза, поскольку </w:t>
      </w:r>
      <w:proofErr w:type="spellStart"/>
      <w:r w:rsidRPr="00A259BD">
        <w:rPr>
          <w:rFonts w:ascii="Times New Roman" w:hAnsi="Times New Roman"/>
          <w:color w:val="000000" w:themeColor="text1"/>
          <w:sz w:val="16"/>
          <w:szCs w:val="16"/>
        </w:rPr>
        <w:t>механическийтранспорт</w:t>
      </w:r>
      <w:proofErr w:type="spellEnd"/>
      <w:r w:rsidRPr="00A259BD">
        <w:rPr>
          <w:rFonts w:ascii="Times New Roman" w:hAnsi="Times New Roman"/>
          <w:color w:val="000000" w:themeColor="text1"/>
          <w:sz w:val="16"/>
          <w:szCs w:val="16"/>
        </w:rPr>
        <w:t xml:space="preserve"> отсутствует и обоз фактически будет неформенный, что почти удвоит его количество против исчисляемого по штатам.</w:t>
      </w:r>
    </w:p>
    <w:p w14:paraId="0E26444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Тяжелее у нас также и система снабжения, поскольку нормально придется иметь дело с 3 звеньями подвоза (дивизионное, корпусное и армейское). Во Франции же, да и в Польше, нормальным считается базирование полков непосредственно на конечно-выгрузную станцию и лишь в крайности вставляется одно звено подвоза (армейские транспорты).Наша более тяжелая система, конечно, зависит исключительно от больших пространств наших будущих военных театров и бедности их путями сообщения, как железнодорожными, так и грунтовыми.</w:t>
      </w:r>
    </w:p>
    <w:p w14:paraId="6D168B8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2)Кавалерийская дивизия</w:t>
      </w:r>
    </w:p>
    <w:p w14:paraId="14F44A5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w:t>
      </w:r>
    </w:p>
    <w:p w14:paraId="7AD47C0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РККА: Людей 7 919, лошадей 8 494, повозок 1 030, </w:t>
      </w:r>
      <w:proofErr w:type="spellStart"/>
      <w:r w:rsidRPr="00A259BD">
        <w:rPr>
          <w:rFonts w:ascii="Times New Roman" w:hAnsi="Times New Roman"/>
          <w:color w:val="000000" w:themeColor="text1"/>
          <w:sz w:val="16"/>
          <w:szCs w:val="16"/>
        </w:rPr>
        <w:t>автомоб</w:t>
      </w:r>
      <w:proofErr w:type="spellEnd"/>
      <w:r w:rsidRPr="00A259BD">
        <w:rPr>
          <w:rFonts w:ascii="Times New Roman" w:hAnsi="Times New Roman"/>
          <w:color w:val="000000" w:themeColor="text1"/>
          <w:sz w:val="16"/>
          <w:szCs w:val="16"/>
        </w:rPr>
        <w:t>. легковых 1;</w:t>
      </w:r>
    </w:p>
    <w:p w14:paraId="44A676D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 Людей 9 250, лошадей 9 600, повозок 1 430;</w:t>
      </w:r>
    </w:p>
    <w:p w14:paraId="412960A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Румыния: Людей 6 311, лошадей 6 430, повозок 218 (без тылов);</w:t>
      </w:r>
    </w:p>
    <w:p w14:paraId="6B6EDFD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Франция: Людей 9 770, лошадей 8 000, повозок 800, </w:t>
      </w:r>
      <w:proofErr w:type="spellStart"/>
      <w:r w:rsidRPr="00A259BD">
        <w:rPr>
          <w:rFonts w:ascii="Times New Roman" w:hAnsi="Times New Roman"/>
          <w:color w:val="000000" w:themeColor="text1"/>
          <w:sz w:val="16"/>
          <w:szCs w:val="16"/>
        </w:rPr>
        <w:t>автомоб</w:t>
      </w:r>
      <w:proofErr w:type="spellEnd"/>
      <w:r w:rsidRPr="00A259BD">
        <w:rPr>
          <w:rFonts w:ascii="Times New Roman" w:hAnsi="Times New Roman"/>
          <w:color w:val="000000" w:themeColor="text1"/>
          <w:sz w:val="16"/>
          <w:szCs w:val="16"/>
        </w:rPr>
        <w:t xml:space="preserve">. легковых 50, </w:t>
      </w:r>
      <w:proofErr w:type="spellStart"/>
      <w:r w:rsidRPr="00A259BD">
        <w:rPr>
          <w:rFonts w:ascii="Times New Roman" w:hAnsi="Times New Roman"/>
          <w:color w:val="000000" w:themeColor="text1"/>
          <w:sz w:val="16"/>
          <w:szCs w:val="16"/>
        </w:rPr>
        <w:t>автомоб.грузовых</w:t>
      </w:r>
      <w:proofErr w:type="spellEnd"/>
      <w:r w:rsidRPr="00A259BD">
        <w:rPr>
          <w:rFonts w:ascii="Times New Roman" w:hAnsi="Times New Roman"/>
          <w:color w:val="000000" w:themeColor="text1"/>
          <w:sz w:val="16"/>
          <w:szCs w:val="16"/>
        </w:rPr>
        <w:t xml:space="preserve"> 150.</w:t>
      </w:r>
    </w:p>
    <w:p w14:paraId="178EBCF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Структура:</w:t>
      </w:r>
    </w:p>
    <w:p w14:paraId="59F2F7B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РККА - 3 бригады (6 </w:t>
      </w:r>
      <w:proofErr w:type="spellStart"/>
      <w:r w:rsidRPr="00A259BD">
        <w:rPr>
          <w:rFonts w:ascii="Times New Roman" w:hAnsi="Times New Roman"/>
          <w:color w:val="000000" w:themeColor="text1"/>
          <w:sz w:val="16"/>
          <w:szCs w:val="16"/>
        </w:rPr>
        <w:t>кавполков</w:t>
      </w:r>
      <w:proofErr w:type="spellEnd"/>
      <w:r w:rsidRPr="00A259BD">
        <w:rPr>
          <w:rFonts w:ascii="Times New Roman" w:hAnsi="Times New Roman"/>
          <w:color w:val="000000" w:themeColor="text1"/>
          <w:sz w:val="16"/>
          <w:szCs w:val="16"/>
        </w:rPr>
        <w:t>), 1 артдивизион (4 легких, 1 гаубичная 3-х орудийных батареи).</w:t>
      </w:r>
    </w:p>
    <w:p w14:paraId="5915E79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Польша - 3 бригады (6 </w:t>
      </w:r>
      <w:proofErr w:type="spellStart"/>
      <w:r w:rsidRPr="00A259BD">
        <w:rPr>
          <w:rFonts w:ascii="Times New Roman" w:hAnsi="Times New Roman"/>
          <w:color w:val="000000" w:themeColor="text1"/>
          <w:sz w:val="16"/>
          <w:szCs w:val="16"/>
        </w:rPr>
        <w:t>кавполков</w:t>
      </w:r>
      <w:proofErr w:type="spellEnd"/>
      <w:r w:rsidRPr="00A259BD">
        <w:rPr>
          <w:rFonts w:ascii="Times New Roman" w:hAnsi="Times New Roman"/>
          <w:color w:val="000000" w:themeColor="text1"/>
          <w:sz w:val="16"/>
          <w:szCs w:val="16"/>
        </w:rPr>
        <w:t xml:space="preserve">), 2 артдивизиона (6 легких 4-х орудийных батарей), </w:t>
      </w:r>
      <w:proofErr w:type="spellStart"/>
      <w:r w:rsidRPr="00A259BD">
        <w:rPr>
          <w:rFonts w:ascii="Times New Roman" w:hAnsi="Times New Roman"/>
          <w:color w:val="000000" w:themeColor="text1"/>
          <w:sz w:val="16"/>
          <w:szCs w:val="16"/>
        </w:rPr>
        <w:t>автобронеэскадрон</w:t>
      </w:r>
      <w:proofErr w:type="spellEnd"/>
      <w:r w:rsidRPr="00A259BD">
        <w:rPr>
          <w:rFonts w:ascii="Times New Roman" w:hAnsi="Times New Roman"/>
          <w:color w:val="000000" w:themeColor="text1"/>
          <w:sz w:val="16"/>
          <w:szCs w:val="16"/>
        </w:rPr>
        <w:t>.</w:t>
      </w:r>
    </w:p>
    <w:p w14:paraId="386384D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Румыния - 3 бригады (6 </w:t>
      </w:r>
      <w:proofErr w:type="spellStart"/>
      <w:r w:rsidRPr="00A259BD">
        <w:rPr>
          <w:rFonts w:ascii="Times New Roman" w:hAnsi="Times New Roman"/>
          <w:color w:val="000000" w:themeColor="text1"/>
          <w:sz w:val="16"/>
          <w:szCs w:val="16"/>
        </w:rPr>
        <w:t>кавполков</w:t>
      </w:r>
      <w:proofErr w:type="spellEnd"/>
      <w:r w:rsidRPr="00A259BD">
        <w:rPr>
          <w:rFonts w:ascii="Times New Roman" w:hAnsi="Times New Roman"/>
          <w:color w:val="000000" w:themeColor="text1"/>
          <w:sz w:val="16"/>
          <w:szCs w:val="16"/>
        </w:rPr>
        <w:t xml:space="preserve">), 1 артдивизион (3 легких 4-х орудийных батареи), самокатная рота, </w:t>
      </w:r>
      <w:proofErr w:type="spellStart"/>
      <w:r w:rsidRPr="00A259BD">
        <w:rPr>
          <w:rFonts w:ascii="Times New Roman" w:hAnsi="Times New Roman"/>
          <w:color w:val="000000" w:themeColor="text1"/>
          <w:sz w:val="16"/>
          <w:szCs w:val="16"/>
        </w:rPr>
        <w:t>автопулеметный</w:t>
      </w:r>
      <w:proofErr w:type="spellEnd"/>
      <w:r w:rsidRPr="00A259BD">
        <w:rPr>
          <w:rFonts w:ascii="Times New Roman" w:hAnsi="Times New Roman"/>
          <w:color w:val="000000" w:themeColor="text1"/>
          <w:sz w:val="16"/>
          <w:szCs w:val="16"/>
        </w:rPr>
        <w:t xml:space="preserve"> взвод.</w:t>
      </w:r>
    </w:p>
    <w:p w14:paraId="5CEB3FC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Польша - 3 бригады (6 </w:t>
      </w:r>
      <w:proofErr w:type="spellStart"/>
      <w:r w:rsidRPr="00A259BD">
        <w:rPr>
          <w:rFonts w:ascii="Times New Roman" w:hAnsi="Times New Roman"/>
          <w:color w:val="000000" w:themeColor="text1"/>
          <w:sz w:val="16"/>
          <w:szCs w:val="16"/>
        </w:rPr>
        <w:t>кавполков</w:t>
      </w:r>
      <w:proofErr w:type="spellEnd"/>
      <w:r w:rsidRPr="00A259BD">
        <w:rPr>
          <w:rFonts w:ascii="Times New Roman" w:hAnsi="Times New Roman"/>
          <w:color w:val="000000" w:themeColor="text1"/>
          <w:sz w:val="16"/>
          <w:szCs w:val="16"/>
        </w:rPr>
        <w:t>, 3 отд. эскадрона), 2 артдивизиона (6 легких 4-х орудийных батарей), самокатная рота.</w:t>
      </w:r>
    </w:p>
    <w:p w14:paraId="47F9DCA7"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Примечание:Кавалерийские</w:t>
      </w:r>
      <w:proofErr w:type="spellEnd"/>
      <w:r w:rsidRPr="00A259BD">
        <w:rPr>
          <w:rFonts w:ascii="Times New Roman" w:hAnsi="Times New Roman"/>
          <w:color w:val="000000" w:themeColor="text1"/>
          <w:sz w:val="16"/>
          <w:szCs w:val="16"/>
        </w:rPr>
        <w:t xml:space="preserve"> полки по 4 сабельных и по 1 пулеметному эскадрону.</w:t>
      </w:r>
    </w:p>
    <w:p w14:paraId="5792D11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Огневые средства:</w:t>
      </w:r>
    </w:p>
    <w:p w14:paraId="366BC10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Пулеметы:</w:t>
      </w:r>
    </w:p>
    <w:p w14:paraId="5ED8544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РККА - станковые 96, ручные 96;</w:t>
      </w:r>
    </w:p>
    <w:p w14:paraId="2C25E68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 - станковые 72, ручные 96;</w:t>
      </w:r>
    </w:p>
    <w:p w14:paraId="4508E45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Румыния - станковые 50, ручные 204 (автоматы);</w:t>
      </w:r>
    </w:p>
    <w:p w14:paraId="012CB2A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Франция - станковые 120, ручные 315.</w:t>
      </w:r>
    </w:p>
    <w:p w14:paraId="2ACE6A5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75/76мм:</w:t>
      </w:r>
    </w:p>
    <w:p w14:paraId="4BD3466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РККА - пушек 12, гаубиц 3, всего 15;</w:t>
      </w:r>
    </w:p>
    <w:p w14:paraId="033FDF5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 - пушек 24, гаубиц -, всего 24;</w:t>
      </w:r>
    </w:p>
    <w:p w14:paraId="4468554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Румыния - пушек 12, гаубиц -, всего 12;</w:t>
      </w:r>
    </w:p>
    <w:p w14:paraId="719BD5D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Франция - пушек 24, гаубиц -, всего 24.</w:t>
      </w:r>
    </w:p>
    <w:p w14:paraId="026681A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37м/м </w:t>
      </w:r>
      <w:proofErr w:type="spellStart"/>
      <w:r w:rsidRPr="00A259BD">
        <w:rPr>
          <w:rFonts w:ascii="Times New Roman" w:hAnsi="Times New Roman"/>
          <w:color w:val="000000" w:themeColor="text1"/>
          <w:sz w:val="16"/>
          <w:szCs w:val="16"/>
        </w:rPr>
        <w:t>оруд</w:t>
      </w:r>
      <w:proofErr w:type="spellEnd"/>
      <w:r w:rsidRPr="00A259BD">
        <w:rPr>
          <w:rFonts w:ascii="Times New Roman" w:hAnsi="Times New Roman"/>
          <w:color w:val="000000" w:themeColor="text1"/>
          <w:sz w:val="16"/>
          <w:szCs w:val="16"/>
        </w:rPr>
        <w:t>.:</w:t>
      </w:r>
    </w:p>
    <w:p w14:paraId="3189A01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РККА --;</w:t>
      </w:r>
    </w:p>
    <w:p w14:paraId="07CF6ED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 --;</w:t>
      </w:r>
    </w:p>
    <w:p w14:paraId="3BDB3E5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Румыния --;</w:t>
      </w:r>
    </w:p>
    <w:p w14:paraId="64F25C9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Франция - 36.</w:t>
      </w:r>
    </w:p>
    <w:p w14:paraId="40D75C1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Минометов:</w:t>
      </w:r>
    </w:p>
    <w:p w14:paraId="20F561A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РККА --;</w:t>
      </w:r>
    </w:p>
    <w:p w14:paraId="00B1434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 --;</w:t>
      </w:r>
    </w:p>
    <w:p w14:paraId="2B6FBAD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Румыния --;</w:t>
      </w:r>
    </w:p>
    <w:p w14:paraId="785E8F3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Франция - 3.</w:t>
      </w:r>
    </w:p>
    <w:p w14:paraId="5EA9D5B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Приведенными данными устанавливается: в организационном отношении собственно кавалерийских частей, дивизий сравниваемых армий одинаковы.</w:t>
      </w:r>
    </w:p>
    <w:p w14:paraId="34779DE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то же время, польская и французская дивизии богаче артиллерийскими частями — по два дивизиона против одного у нас и в Румынии; затем, в отличие от кавалерийской дивизии РККА, в польской имеется </w:t>
      </w:r>
      <w:proofErr w:type="spellStart"/>
      <w:r w:rsidRPr="00A259BD">
        <w:rPr>
          <w:rFonts w:ascii="Times New Roman" w:hAnsi="Times New Roman"/>
          <w:color w:val="000000" w:themeColor="text1"/>
          <w:sz w:val="16"/>
          <w:szCs w:val="16"/>
        </w:rPr>
        <w:t>автобронеэск</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адр</w:t>
      </w:r>
      <w:proofErr w:type="spellEnd"/>
      <w:r w:rsidRPr="00A259BD">
        <w:rPr>
          <w:rFonts w:ascii="Times New Roman" w:hAnsi="Times New Roman"/>
          <w:color w:val="000000" w:themeColor="text1"/>
          <w:sz w:val="16"/>
          <w:szCs w:val="16"/>
        </w:rPr>
        <w:t>]он (12 машин); в Румынии и во Франции — самокатные части, а во французской дивизии сверх того и 3 отдельных пулеметных эскадрона дивизии.</w:t>
      </w:r>
    </w:p>
    <w:p w14:paraId="6BF2508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огневых средств кавалерийская дивизия Красной Армии в целом слабее иностранных, уступая почти в два раза в числе орудий польской и французской дивизиям и еще больше уступая французской и румынской дивизиям по количеству ручных пулеметов; лишь в отношении станковых пулеметов кавалерийская дивизия Красной Армии несколько сильнее дивизии Польши и Румынии; но французская дивизия сильнее нашей и в этом отношении (120 пулеметов против 96).</w:t>
      </w:r>
    </w:p>
    <w:p w14:paraId="4A085D8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w:t>
      </w:r>
      <w:proofErr w:type="spellStart"/>
      <w:r w:rsidRPr="00A259BD">
        <w:rPr>
          <w:rFonts w:ascii="Times New Roman" w:hAnsi="Times New Roman"/>
          <w:color w:val="000000" w:themeColor="text1"/>
          <w:sz w:val="16"/>
          <w:szCs w:val="16"/>
        </w:rPr>
        <w:t>численностикавалерийская</w:t>
      </w:r>
      <w:proofErr w:type="spellEnd"/>
      <w:r w:rsidRPr="00A259BD">
        <w:rPr>
          <w:rFonts w:ascii="Times New Roman" w:hAnsi="Times New Roman"/>
          <w:color w:val="000000" w:themeColor="text1"/>
          <w:sz w:val="16"/>
          <w:szCs w:val="16"/>
        </w:rPr>
        <w:t xml:space="preserve"> дивизия Красной Армии меньше французской и польской, т.е. легче; но в смысле маневренности им уступает благодаря отсутствию механического транспорта и в виду, как и в стрелковой дивизии, вынужденной замены для ближайшего времени форменных повозок обывательскими.</w:t>
      </w:r>
    </w:p>
    <w:p w14:paraId="3DF8E21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8диаграмм и 2 схемы*.</w:t>
      </w:r>
    </w:p>
    <w:p w14:paraId="1005F18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Сущность военной системы</w:t>
      </w:r>
    </w:p>
    <w:p w14:paraId="4F0FC73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Наша военная система исходит из необходимости охватить военной подготовкой всех трудящихся мужского пола, годных к военной службе.</w:t>
      </w:r>
    </w:p>
    <w:p w14:paraId="2B59AC5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Пример последней империалистической войны показывает, что требования современной войны на живую человеческую силу превышают все расчеты мирного времени и заставляют использовать не только всё физически годное мужское население, но и всю массу, которая в мирное время относится к категории ограниченно годных и даже признанных негодными в мирное время (привлечение во время войны </w:t>
      </w:r>
      <w:proofErr w:type="spellStart"/>
      <w:r w:rsidRPr="00A259BD">
        <w:rPr>
          <w:rFonts w:ascii="Times New Roman" w:hAnsi="Times New Roman"/>
          <w:color w:val="000000" w:themeColor="text1"/>
          <w:sz w:val="16"/>
          <w:szCs w:val="16"/>
        </w:rPr>
        <w:t>безльготников</w:t>
      </w:r>
      <w:proofErr w:type="spellEnd"/>
      <w:r w:rsidRPr="00A259BD">
        <w:rPr>
          <w:rFonts w:ascii="Times New Roman" w:hAnsi="Times New Roman"/>
          <w:color w:val="000000" w:themeColor="text1"/>
          <w:sz w:val="16"/>
          <w:szCs w:val="16"/>
        </w:rPr>
        <w:t>).</w:t>
      </w:r>
    </w:p>
    <w:p w14:paraId="2A367ED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Бывшая царская армия перед войной в 1914 году имела в запасе военнообязанных до 45-летнего возраста, прошедшую военную подготовку, около 3 500 000 человек и за время войны вынуждена была призвать около 12 000 000 человек, совершенно не прошедших военную подготовку, пропуская их через запасные полки, и вливать в армию пополнение с весьма слабой военной подготовкой.</w:t>
      </w:r>
    </w:p>
    <w:p w14:paraId="07ADF9F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Наши учетные данные в настоящее время показывают, что в тех возрастах мужского населения, которые принимали участие в империалистической войне, в среднем 80% по каждому возрасту были привлечены на военную службу и только 20% падают на лиц, занятых в работе по обслуживанию фронта, оставшихся вне армии.</w:t>
      </w:r>
    </w:p>
    <w:p w14:paraId="385C5BF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Если обратиться к примерам современных иностранных армий, то мы увидим, что во всех армиях отмечается стремление к полному охвату военным обучением призывных контингентов путем сокращения сроков службы, призывом на поверочные сборы и т.д.</w:t>
      </w:r>
    </w:p>
    <w:p w14:paraId="4A40F2A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Прилагаемая таблица дает наглядное представление, в какой степени это стремление выполняется.</w:t>
      </w:r>
    </w:p>
    <w:p w14:paraId="38A9443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Франция:</w:t>
      </w:r>
    </w:p>
    <w:p w14:paraId="50AB96A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Призывной контингент 360 000, число годных 250 000, число зачисляемых в армию 250 000, остающиеся в излишке -;</w:t>
      </w:r>
    </w:p>
    <w:p w14:paraId="61BF4AE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Польша:</w:t>
      </w:r>
    </w:p>
    <w:p w14:paraId="02A854C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Призывной контингент 288 000, число годных 190 000, число зачисляемых в армию 140 000, остающиеся в излишке 50 000;</w:t>
      </w:r>
    </w:p>
    <w:p w14:paraId="0EC95B9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Финляндия:</w:t>
      </w:r>
    </w:p>
    <w:p w14:paraId="5DCB8F0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Призывной контингент 35 000, число годных 24 500, число зачисляемых в армию 22 500, остающиеся в излишке 2 000;</w:t>
      </w:r>
    </w:p>
    <w:p w14:paraId="653A712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Румыния:</w:t>
      </w:r>
    </w:p>
    <w:p w14:paraId="0E13EA2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Призывной контингент 180 000, число годных 140 000, число зачисляемых в армию 120 000, остающиеся в излишке 20 000.</w:t>
      </w:r>
    </w:p>
    <w:p w14:paraId="2D0B36E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Из приведенной таблицы видно, что незначительная часть призывников остается в излишке в Польше, Финляндии и Румынии, но этот излишек полностью проходит военную подготовку; в частности, в Польшу для этой цели ежегодно производят досрочное увольнение старослужащих солдат своей армии, на место которых на 6 месяцев призывают </w:t>
      </w:r>
      <w:proofErr w:type="spellStart"/>
      <w:r w:rsidRPr="00A259BD">
        <w:rPr>
          <w:rFonts w:ascii="Times New Roman" w:hAnsi="Times New Roman"/>
          <w:color w:val="000000" w:themeColor="text1"/>
          <w:sz w:val="16"/>
          <w:szCs w:val="16"/>
        </w:rPr>
        <w:t>тотостаток</w:t>
      </w:r>
      <w:proofErr w:type="spellEnd"/>
      <w:r w:rsidRPr="00A259BD">
        <w:rPr>
          <w:rFonts w:ascii="Times New Roman" w:hAnsi="Times New Roman"/>
          <w:color w:val="000000" w:themeColor="text1"/>
          <w:sz w:val="16"/>
          <w:szCs w:val="16"/>
        </w:rPr>
        <w:t>, который остается в излишке после призыва.</w:t>
      </w:r>
    </w:p>
    <w:p w14:paraId="2246407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Нашим Законом об обязательной военной службе установлено обязательное прохождение действительной военной службы всеми трудящимися, физически годными к военной службе, но численность призывного контингента значительно превышает все имеющиеся возможности.</w:t>
      </w:r>
    </w:p>
    <w:p w14:paraId="7C23FB6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Численность призывного контингента, за исключением национальностей, не привлекаемых ранее в армию, которые в настоящее время используются только для комплектования </w:t>
      </w:r>
      <w:proofErr w:type="spellStart"/>
      <w:r w:rsidRPr="00A259BD">
        <w:rPr>
          <w:rFonts w:ascii="Times New Roman" w:hAnsi="Times New Roman"/>
          <w:color w:val="000000" w:themeColor="text1"/>
          <w:sz w:val="16"/>
          <w:szCs w:val="16"/>
        </w:rPr>
        <w:t>нацчастей</w:t>
      </w:r>
      <w:proofErr w:type="spellEnd"/>
      <w:r w:rsidRPr="00A259BD">
        <w:rPr>
          <w:rFonts w:ascii="Times New Roman" w:hAnsi="Times New Roman"/>
          <w:color w:val="000000" w:themeColor="text1"/>
          <w:sz w:val="16"/>
          <w:szCs w:val="16"/>
        </w:rPr>
        <w:t xml:space="preserve">, определяется в среднем 1 300 000 человек. Из указанного числа, число годных к военной службе составляет около 900 000 человек. Для того чтобы пропустить </w:t>
      </w:r>
      <w:proofErr w:type="spellStart"/>
      <w:r w:rsidRPr="00A259BD">
        <w:rPr>
          <w:rFonts w:ascii="Times New Roman" w:hAnsi="Times New Roman"/>
          <w:color w:val="000000" w:themeColor="text1"/>
          <w:sz w:val="16"/>
          <w:szCs w:val="16"/>
        </w:rPr>
        <w:t>эточисло</w:t>
      </w:r>
      <w:proofErr w:type="spellEnd"/>
      <w:r w:rsidRPr="00A259BD">
        <w:rPr>
          <w:rFonts w:ascii="Times New Roman" w:hAnsi="Times New Roman"/>
          <w:color w:val="000000" w:themeColor="text1"/>
          <w:sz w:val="16"/>
          <w:szCs w:val="16"/>
        </w:rPr>
        <w:t xml:space="preserve"> призывников через кадровую армию, пришлось бы Красную Армию довести при двухлетнем сроке службы до 1 000 000, а при одногодичном сроке службы — до 2 000 000 человек. Такой армии Советский Союз содержать не может.</w:t>
      </w:r>
    </w:p>
    <w:p w14:paraId="0B71A1E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 существующей численности и организации Красной Армии охват военным обучением от всего призывного контингента выражается: в кадровый состав — 300 000 — 20%, переменный состав </w:t>
      </w:r>
      <w:proofErr w:type="spellStart"/>
      <w:r w:rsidRPr="00A259BD">
        <w:rPr>
          <w:rFonts w:ascii="Times New Roman" w:hAnsi="Times New Roman"/>
          <w:color w:val="000000" w:themeColor="text1"/>
          <w:sz w:val="16"/>
          <w:szCs w:val="16"/>
        </w:rPr>
        <w:t>тервойск</w:t>
      </w:r>
      <w:proofErr w:type="spellEnd"/>
      <w:r w:rsidRPr="00A259BD">
        <w:rPr>
          <w:rFonts w:ascii="Times New Roman" w:hAnsi="Times New Roman"/>
          <w:color w:val="000000" w:themeColor="text1"/>
          <w:sz w:val="16"/>
          <w:szCs w:val="16"/>
        </w:rPr>
        <w:t xml:space="preserve"> — 240 000 — 16%, а всего в среднем около 540 000 человек. Таким образом, ежегодно остается в излишке около 400 000 — 29% годных призывников, которые должны проходить военную службу так называемым «вневойсковым порядком».(Диаграмма охвата военным обучением ежегодных призывов №12).</w:t>
      </w:r>
    </w:p>
    <w:p w14:paraId="215BCC0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Фактически прохождение вневойскового военного обучения оказалось возможным только в виде трехмесячных сборов на протяжении пятилетнего срока службы вместо 6-месячных сборов силами кадрового начсостава, причем существующая численность Красной Армии позволяет охватить даже таким сокращенным видом </w:t>
      </w:r>
      <w:r w:rsidRPr="00A259BD">
        <w:rPr>
          <w:rFonts w:ascii="Times New Roman" w:hAnsi="Times New Roman"/>
          <w:color w:val="000000" w:themeColor="text1"/>
          <w:sz w:val="16"/>
          <w:szCs w:val="16"/>
        </w:rPr>
        <w:lastRenderedPageBreak/>
        <w:t>военного обучения только 7% излишков. Основная масса излишков, свыше 90%, остается совершенно не обученной военному делу. Указанное обстоятельство приводит к тому, что после достижения предельного возраста военнообязанным запаса, участвовавшим в империалистической и гражданской войне, среди которых имеющих военную подготовку насчитывается свыше 80%,Красная Армия будет иметь из общего числа запаса 13 900 000 человек только 7 710 000 человек обученных военному делу, т.е. около 40% запаса будут совершенно не подготовленных в военном отношении.(Диаграмма запаса военнообязанных №13).</w:t>
      </w:r>
    </w:p>
    <w:p w14:paraId="59AF884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Особенно характерен в этом отношении размер охвата военным обучением в кадровых войсках сравнительно с иностранными армиями. Из общего числа призывного контингента, годного к военной службе, проходят военную службу в кадровых войсках: Франция — 70%, Польша — 49%, Румыния — 67% и в СССР — только 30%.</w:t>
      </w:r>
    </w:p>
    <w:p w14:paraId="3E0BF42B"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Вывод:низкая</w:t>
      </w:r>
      <w:proofErr w:type="spellEnd"/>
      <w:r w:rsidRPr="00A259BD">
        <w:rPr>
          <w:rFonts w:ascii="Times New Roman" w:hAnsi="Times New Roman"/>
          <w:color w:val="000000" w:themeColor="text1"/>
          <w:sz w:val="16"/>
          <w:szCs w:val="16"/>
        </w:rPr>
        <w:t xml:space="preserve"> пропускная способность Красной Армии и накопление в составе запаса большого количества совершенно не обученных военному делу требуют усиления военной подготовки через родственные общественные организации и, в первую очередь — через союз Осоавиахим с задачей охвата всех излишков, остающихся после призыва.</w:t>
      </w:r>
    </w:p>
    <w:p w14:paraId="6BA2F06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Территориальное распределение призывных контингентов и дислокация РККА</w:t>
      </w:r>
    </w:p>
    <w:p w14:paraId="64EEB1D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наличии чрезвычайно большой численности призывного контингента, в значительной степени превышающего потребность в комплектовании армии, территориальное распределение призывных контингентов находится в полном противоречии с дислокацией войсковых частей.</w:t>
      </w:r>
    </w:p>
    <w:p w14:paraId="342A0F2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Настоящая таблица является показателем расхождения между дислокацией войск и территориальным распределением всего военнообязанного запаса:</w:t>
      </w:r>
    </w:p>
    <w:p w14:paraId="4C950B6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Территориальное распределение призывного контингента по округам в %%:</w:t>
      </w:r>
    </w:p>
    <w:p w14:paraId="0CE3A1B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 МВО, 22,5 - УВО, 20,7 - ПриВО, 7,4 - СибВО, 6,9 - БВО, 6,2 - ЛВО, 5,7 - СКВО, 3,3 - ККА, 1,8 - К[азах]АССР, 0,5 - САВО.</w:t>
      </w:r>
    </w:p>
    <w:p w14:paraId="13C0033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Потребность в пополнении кадрового состава по округам [в %%]:</w:t>
      </w:r>
    </w:p>
    <w:p w14:paraId="4848E42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7,9 -МВО, 12,3 -УВО, 2,8 -ПриВО, 5,3 -СибВО, 8,1 -БВО, 7,4 -ЛВО, 3,7 -СКВО, 4,2 -ККА, 0,1 -К[азах]АССР, 3,1 -САВО.</w:t>
      </w:r>
    </w:p>
    <w:p w14:paraId="2F6546F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Потребность в пополнении кадрового и пер. состава [в %%]:</w:t>
      </w:r>
    </w:p>
    <w:p w14:paraId="5B61592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21 -МВО, 22,3 -УВО, 9,8 -ПриВО, 8,0 -СибВО, 11,5 -БВО, 11,7 -ЛВО, 7,0 -СКВО, 5,5 -ККА, 0,1 -К[азах]АССР, 3,1 -САВО.</w:t>
      </w:r>
    </w:p>
    <w:p w14:paraId="40A6606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представленной таблицы видно, что только по УВО совпадает количество призывного контингента, и потребность в пополнении, причем по отдельным районам, даже по Украине, имеется резкое расхождение. По другим округам повсюду имеется или большое насыщение войсками и недостаток контингента или, наоборот, много призываемых, но мало войск. Так, например, по МВО и ПриВО — явное преобладание призываемых, а по БВО и ЛBO — войсковых частей.</w:t>
      </w:r>
    </w:p>
    <w:p w14:paraId="49CCEF1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Это обстоятельство заставляет, с одной стороны, прибегать к массовым перевозкам при очередных призывах и, с другой — в целях пополнения обученных резервов в районах развертывания большого количества войск брать из этих районов призывников больше, а в других округах, менее насыщенных войсками, меньше.</w:t>
      </w:r>
    </w:p>
    <w:p w14:paraId="55FDFF0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Качественная оценка призывных контингентов</w:t>
      </w:r>
    </w:p>
    <w:p w14:paraId="0C2CB08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качественном отношении призывной контингент характеризуется следующими данными:</w:t>
      </w:r>
    </w:p>
    <w:p w14:paraId="297D7C8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1.Из общего числа призываемых годные к военной службе составляют в среднем около 65%. По иностранным армиям число годных при призывах выражается: во Франции — 70%, Польше — 63%, Финляндии — 76% и Румынии — 75%.</w:t>
      </w:r>
    </w:p>
    <w:p w14:paraId="4E1FB53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Результаты призыва на протяжении последних трех лет показывают следующее:</w:t>
      </w:r>
    </w:p>
    <w:p w14:paraId="3178CFB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Результаты </w:t>
      </w:r>
      <w:proofErr w:type="spellStart"/>
      <w:r w:rsidRPr="00A259BD">
        <w:rPr>
          <w:rFonts w:ascii="Times New Roman" w:hAnsi="Times New Roman"/>
          <w:color w:val="000000" w:themeColor="text1"/>
          <w:sz w:val="16"/>
          <w:szCs w:val="16"/>
        </w:rPr>
        <w:t>мед.освидетельствования</w:t>
      </w:r>
      <w:proofErr w:type="spellEnd"/>
      <w:r w:rsidRPr="00A259BD">
        <w:rPr>
          <w:rFonts w:ascii="Times New Roman" w:hAnsi="Times New Roman"/>
          <w:color w:val="000000" w:themeColor="text1"/>
          <w:sz w:val="16"/>
          <w:szCs w:val="16"/>
        </w:rPr>
        <w:t xml:space="preserve"> -годных:</w:t>
      </w:r>
    </w:p>
    <w:p w14:paraId="02C537D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1925: 51,98%безусловно годных, 15,85% ограниченно годных,67,83%всего годных.</w:t>
      </w:r>
    </w:p>
    <w:p w14:paraId="62FBC17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1926: 46,55%безусловно годных, 16,97% ограниченно годных,63,52%всего годных.</w:t>
      </w:r>
    </w:p>
    <w:p w14:paraId="6F3AD3D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 42,92%безусловно годных, 23,11% ограниченно годных,66,03%всего годных.</w:t>
      </w:r>
    </w:p>
    <w:p w14:paraId="3EDCEFF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Результаты </w:t>
      </w:r>
      <w:proofErr w:type="spellStart"/>
      <w:r w:rsidRPr="00A259BD">
        <w:rPr>
          <w:rFonts w:ascii="Times New Roman" w:hAnsi="Times New Roman"/>
          <w:color w:val="000000" w:themeColor="text1"/>
          <w:sz w:val="16"/>
          <w:szCs w:val="16"/>
        </w:rPr>
        <w:t>мед.освидетельствования</w:t>
      </w:r>
      <w:proofErr w:type="spellEnd"/>
      <w:r w:rsidRPr="00A259BD">
        <w:rPr>
          <w:rFonts w:ascii="Times New Roman" w:hAnsi="Times New Roman"/>
          <w:color w:val="000000" w:themeColor="text1"/>
          <w:sz w:val="16"/>
          <w:szCs w:val="16"/>
        </w:rPr>
        <w:t xml:space="preserve"> -негодных:</w:t>
      </w:r>
    </w:p>
    <w:p w14:paraId="3CEF888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1925: 17,58%получивших отсрочки, 0,57% освобожденных по разным причинам, 14,03% безусловно негодных.</w:t>
      </w:r>
    </w:p>
    <w:p w14:paraId="4C54EDF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1926: 20,06%получивших отсрочки, 0,63% освобожденных по разным причинам, 15,79% безусловно негодных.</w:t>
      </w:r>
    </w:p>
    <w:p w14:paraId="713B126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 17,05%получивших отсрочки, 0,56% освобожденных по разным причинам, 16,36% безусловно негодных.</w:t>
      </w:r>
    </w:p>
    <w:p w14:paraId="023DA6D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Указанные результаты медицинского освидетельствования призывного контингента свидетельствуют о ежегодном повышении числа безусловно негодных и понижения безусловно годных. Это повышение объясняется не только понижением физического состояния призывников, а и повышением требований, предъявляемых при призыве в Красную Армию. Особенно характерно в этом отношении то, что при незначительном понижении числа годных наблюдается резкое понижение, безусловно годных при одновременном повышении ограниченно годных, вызываемых исключительно высокими требованиями, предъявляемыми в войсковых частях.</w:t>
      </w:r>
    </w:p>
    <w:p w14:paraId="1235C97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2.По культурному уровню Красная Армия до сих пор получает пополнение далеко неудовлетворительное. В среднем число грамотных определяется в 89% с колебанием по отдельным родам войск от 80 до 98%, но среди грамотных имеющие образовательный ценз составляют 36%. Достаточно грамотных без образовательного ценза — 28% и малограмотных, в незначительной степени отличающихся от неграмотных — 26%.</w:t>
      </w:r>
    </w:p>
    <w:p w14:paraId="347F9C4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3.По социальному положению поступающее пополнение в Красную Армию содержит: в кадровых войсках — 17% рабочих, 4% батраков, 71% крестьян и 8% прочих, в переменном составе </w:t>
      </w:r>
      <w:proofErr w:type="spellStart"/>
      <w:r w:rsidRPr="00A259BD">
        <w:rPr>
          <w:rFonts w:ascii="Times New Roman" w:hAnsi="Times New Roman"/>
          <w:color w:val="000000" w:themeColor="text1"/>
          <w:sz w:val="16"/>
          <w:szCs w:val="16"/>
        </w:rPr>
        <w:t>тервойск</w:t>
      </w:r>
      <w:proofErr w:type="spellEnd"/>
      <w:r w:rsidRPr="00A259BD">
        <w:rPr>
          <w:rFonts w:ascii="Times New Roman" w:hAnsi="Times New Roman"/>
          <w:color w:val="000000" w:themeColor="text1"/>
          <w:sz w:val="16"/>
          <w:szCs w:val="16"/>
        </w:rPr>
        <w:t xml:space="preserve"> — 13% рабочих, 2% батраков, 80% крестьян и 5% прочих. Члены и кандидаты ВКП(б) в кадровых войсках составляют — 3,38%, в переменном составе — 1,7%, члены и кандидаты ВЛКСМ — в кадровых войсках — 11,2% и в переменном составе — 5,34%.</w:t>
      </w:r>
    </w:p>
    <w:p w14:paraId="1E9B0E6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4.При комплектовании Красной Армии чрезвычайно важное значение имеют профессиональные навыки призываемых. Использование этих навыков в специальных родах войск имеют решающее значение при подготовке отдельных войсковых частей, ибо двухгодичный срок службы не позволяет изучить целый ряд специальностей. Доказательством сказанному служит, например, то, что для подготовки в войсках кузнечно-слесарному и плотницкому делу отводится лишь 170 часов, а в школах фабзавуча полтора года и даже в </w:t>
      </w:r>
      <w:proofErr w:type="spellStart"/>
      <w:r w:rsidRPr="00A259BD">
        <w:rPr>
          <w:rFonts w:ascii="Times New Roman" w:hAnsi="Times New Roman"/>
          <w:color w:val="000000" w:themeColor="text1"/>
          <w:sz w:val="16"/>
          <w:szCs w:val="16"/>
        </w:rPr>
        <w:t>ЦИТе</w:t>
      </w:r>
      <w:proofErr w:type="spellEnd"/>
      <w:r w:rsidRPr="00A259BD">
        <w:rPr>
          <w:rFonts w:ascii="Times New Roman" w:hAnsi="Times New Roman"/>
          <w:color w:val="000000" w:themeColor="text1"/>
          <w:sz w:val="16"/>
          <w:szCs w:val="16"/>
        </w:rPr>
        <w:t xml:space="preserve"> (Центральный институт труда) — 450 часов.</w:t>
      </w:r>
    </w:p>
    <w:p w14:paraId="3D858C7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Содержание боеспособных специальных частей в указанных условиях в значительной степени зависит от использования в этих войсках такой категории призывников, которые получили должную квалификацию до военной службы. В этом отношении состояние призывного контингента явно неблагополучно. По профессиональным навыкам те ресурсы, которые подлежат призыву, состоят из основной массы — 73% работников сельского хозяйства, не имеющих никакой квалификации и с пониженным процентом грамотных. Наиболее ценные для армии специалисты составляют весьма низкую прослойку: металлисты — 5%, строители — 2%, шоферы и мотоциклисты — 0,16% и т.д.</w:t>
      </w:r>
    </w:p>
    <w:p w14:paraId="476AB0C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Сравнение с минимальной потребностью Красной Армии в отдельных специалистах представляется следующей таблицей:</w:t>
      </w:r>
    </w:p>
    <w:p w14:paraId="630BE22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Электротехники и </w:t>
      </w:r>
      <w:proofErr w:type="spellStart"/>
      <w:r w:rsidRPr="00A259BD">
        <w:rPr>
          <w:rFonts w:ascii="Times New Roman" w:hAnsi="Times New Roman"/>
          <w:color w:val="000000" w:themeColor="text1"/>
          <w:sz w:val="16"/>
          <w:szCs w:val="16"/>
        </w:rPr>
        <w:t>электромеханики:Ежегодная</w:t>
      </w:r>
      <w:proofErr w:type="spellEnd"/>
      <w:r w:rsidRPr="00A259BD">
        <w:rPr>
          <w:rFonts w:ascii="Times New Roman" w:hAnsi="Times New Roman"/>
          <w:color w:val="000000" w:themeColor="text1"/>
          <w:sz w:val="16"/>
          <w:szCs w:val="16"/>
        </w:rPr>
        <w:t xml:space="preserve"> потребность в специалистах - 3 000, ресурсы специалистов, которые могут быть обращены на комплектование кадрового состава войск - 2 700.</w:t>
      </w:r>
    </w:p>
    <w:p w14:paraId="59F0170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Токари:-"-потребность - 1 000,-"-ресурсы - 750.</w:t>
      </w:r>
    </w:p>
    <w:p w14:paraId="6AAF98F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Печники:-"-потребность - 370,-"-ресурсы - 250.</w:t>
      </w:r>
    </w:p>
    <w:p w14:paraId="6D8B40F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Телеграфисты:-"-потребность - 1 800,-"-ресурсы - 1 200.</w:t>
      </w:r>
    </w:p>
    <w:p w14:paraId="1249629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Шоферы и мотоциклисты:-"-потребность - 1 000,-"-ресурсы - 500.</w:t>
      </w:r>
    </w:p>
    <w:p w14:paraId="2458CAC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Радиотелеграфисты:-"-потребность - 800,-"-ресурсы - 30.</w:t>
      </w:r>
    </w:p>
    <w:p w14:paraId="7D67C81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Химики:-"-потребность - 400,-"-ресурсы - 120.</w:t>
      </w:r>
    </w:p>
    <w:p w14:paraId="117358F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Телефонисты:-"-потребность - 9 000,-"-ресурсы - 70.</w:t>
      </w:r>
    </w:p>
    <w:p w14:paraId="1127FFE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 не только потребность в специалистах РККА в целом, а даже потребность только в одних инженерных войсках и связи по указанным ниже специальностям может быть покрыта за счет имеющихся ресурсов лишь: токари — 71%, плотники — 78%, каменщики и бетонщики — 81%, печники — 51%, электромонтеры и механики — 66%, телеграфисты — 55%, телефонисты и линейные надсмотрщики — 2,5%, радиотелеграфисты — 4%.</w:t>
      </w:r>
    </w:p>
    <w:p w14:paraId="4690048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Трудности комплектования</w:t>
      </w:r>
    </w:p>
    <w:p w14:paraId="1E0B565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Низкая культурность призывного контингента, несоответствие территориального распределения призывников с дислокацией частей и сравнительно большой процент негодных при высоком требовании в отношении физического состояния призывников создает несомненные трудности при комплектовании армии.</w:t>
      </w:r>
    </w:p>
    <w:p w14:paraId="33FBF52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Эти трудности усугубляются еще тем, что материальное положение значительной части призываемых является тяжелым. При наличии большого количества призываемых, когда совершенно неизбежно оставление до 35 % годных вне армии и до 20 % зачислить в переменный состав </w:t>
      </w:r>
      <w:proofErr w:type="spellStart"/>
      <w:r w:rsidRPr="00A259BD">
        <w:rPr>
          <w:rFonts w:ascii="Times New Roman" w:hAnsi="Times New Roman"/>
          <w:color w:val="000000" w:themeColor="text1"/>
          <w:sz w:val="16"/>
          <w:szCs w:val="16"/>
        </w:rPr>
        <w:t>тервойск</w:t>
      </w:r>
      <w:proofErr w:type="spellEnd"/>
      <w:r w:rsidRPr="00A259BD">
        <w:rPr>
          <w:rFonts w:ascii="Times New Roman" w:hAnsi="Times New Roman"/>
          <w:color w:val="000000" w:themeColor="text1"/>
          <w:sz w:val="16"/>
          <w:szCs w:val="16"/>
        </w:rPr>
        <w:t xml:space="preserve">, нашим законом по традиции, перешедшей от бывшей царской армии, установлены льготы по семейно-имущественному положению. Сущность наших льгот сводится в определении очередности назначения в кадровый и переменный состав при призыве в зависимости от их семейного положения. При наличии большой семьи, состоящей на иждивении призываемого, последний получает льготу, дающую ему право назначения в кадровый состав только в случае использования для этой цели всех </w:t>
      </w:r>
      <w:proofErr w:type="spellStart"/>
      <w:r w:rsidRPr="00A259BD">
        <w:rPr>
          <w:rFonts w:ascii="Times New Roman" w:hAnsi="Times New Roman"/>
          <w:color w:val="000000" w:themeColor="text1"/>
          <w:sz w:val="16"/>
          <w:szCs w:val="16"/>
        </w:rPr>
        <w:t>безльготных</w:t>
      </w:r>
      <w:proofErr w:type="spellEnd"/>
      <w:r w:rsidRPr="00A259BD">
        <w:rPr>
          <w:rFonts w:ascii="Times New Roman" w:hAnsi="Times New Roman"/>
          <w:color w:val="000000" w:themeColor="text1"/>
          <w:sz w:val="16"/>
          <w:szCs w:val="16"/>
        </w:rPr>
        <w:t>.</w:t>
      </w:r>
    </w:p>
    <w:p w14:paraId="63F9108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Количество имеющих право на льготу за последней период имеет тенденцию к повышению. Общее число получивших льготу по отношению к призывному контингенту составляло в 1924 году — 20,8%, в 1925 году — 29,6%, в 1926 году — 31,6% и в 1927 году — 34%.</w:t>
      </w:r>
    </w:p>
    <w:p w14:paraId="64FB83F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Причинами повышения льгот являются: [Первое] измельчание сельского хозяйства; наличие 25 миллионов отдельных хозяйств вместо 15 миллионов, существовавших в довоенное время, увеличило количество лиц, являвшихся единственными работниками в семье или в трудовом объединении.</w:t>
      </w:r>
    </w:p>
    <w:p w14:paraId="2003CAF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причиной увеличения количества льготников является высокий призывной возраст. По действующему закону к призыву привлекаются достигшие 21 года к 1 января года призыва. Но в виду того, что призыв производится в сентябре—октябре месяцах, получается, что в армию основная масса призывников попадает достигшая 22-х лет. Отсюда естественное наличие среди призывников большого количества женатых, имеющих самостоятельное хозяйство. По данным призыва прошлого года в числе призывников, направленных в войска, состояло 40,59% женатых.</w:t>
      </w:r>
    </w:p>
    <w:p w14:paraId="4C8F47B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Третьей причиной, влияющей на повышение льготников, является так же иное определение семьи по сравнению с довоенным временем. По нашим законам под семьей понимается не только родственное, а и трудовое объединение, что во всех случаях самостоятельного ведения хозяйства призывниками, независимо от наличия близких родственников, дает право на льготу.</w:t>
      </w:r>
    </w:p>
    <w:p w14:paraId="2FBE2DD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Увеличение льгот вызывает ряд затруднений в комплектовании армии:</w:t>
      </w:r>
    </w:p>
    <w:p w14:paraId="2DF1511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Во-первых, предоставление льгот сокращает количество контингента, подлежащего назначению в армию.</w:t>
      </w:r>
    </w:p>
    <w:p w14:paraId="1DC0E43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Во-вторых, представление льгот по имущественному положению формально остаются вне армии пролетарские и бедняцкие группы трудящихся, представляющие наиболее желательный состав для Красной Армии, затрудняя тем самым социальный отбор пополнения.</w:t>
      </w:r>
    </w:p>
    <w:p w14:paraId="0BFF7A9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В-третьих, желание со стороны призывников воспользоваться льготами ведет к распылению сельского хозяйства и тем самым создает затруднение для развития коллективных форм ведения хозяйства.</w:t>
      </w:r>
    </w:p>
    <w:p w14:paraId="630F4C5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Эти трудности поднимают вопрос об отказе от льгот и государственном обеспечении семей, остающихся без работников.</w:t>
      </w:r>
    </w:p>
    <w:p w14:paraId="5CF1BDF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Тяготы населения по отбыванию военной службы</w:t>
      </w:r>
    </w:p>
    <w:p w14:paraId="4111845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Служба в Красной Армии есть не только почетное право трудящихся, но и их обязанность, и для значительной части населения связана с известными тяготами.</w:t>
      </w:r>
    </w:p>
    <w:p w14:paraId="580E249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Отрыв от производства и сельского хозяйства в продолжении двух лет, в особенности для лиц, имеющих на своем иждивении нетрудоспособных членов семьи, является тяжелым.</w:t>
      </w:r>
    </w:p>
    <w:p w14:paraId="319E96C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Существующие льготы по семейному положению хотя и освобождают большую часть призывников от службы в кадровом составе, но количество льготных в настоящее время достигло таких размеров, что известную часть их приходится назначать в кадровый состав и большую часть — в переменный состав. Только этим обстоятельством объясняется наличие льготных настроений, имеющих место в Красной Армии.</w:t>
      </w:r>
    </w:p>
    <w:p w14:paraId="2C0B865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того, чтобы избежать этих настроений и облегчить тяготы, связанные с прохождением военной службы, имеется единственный путь — обеспечить семьи призываемых </w:t>
      </w:r>
      <w:proofErr w:type="spellStart"/>
      <w:r w:rsidRPr="00A259BD">
        <w:rPr>
          <w:rFonts w:ascii="Times New Roman" w:hAnsi="Times New Roman"/>
          <w:color w:val="000000" w:themeColor="text1"/>
          <w:sz w:val="16"/>
          <w:szCs w:val="16"/>
        </w:rPr>
        <w:t>отгосударства</w:t>
      </w:r>
      <w:proofErr w:type="spellEnd"/>
      <w:r w:rsidRPr="00A259BD">
        <w:rPr>
          <w:rFonts w:ascii="Times New Roman" w:hAnsi="Times New Roman"/>
          <w:color w:val="000000" w:themeColor="text1"/>
          <w:sz w:val="16"/>
          <w:szCs w:val="16"/>
        </w:rPr>
        <w:t>. Хотя постановление правительства об обеспечении семей льготников и имеется, но на местах оно проводится не полностью и в весьма ограниченных размерах.</w:t>
      </w:r>
    </w:p>
    <w:p w14:paraId="512EACD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Основную тяжесть военной службы в смысле отрыва от производства живой силы составляют сроки службы. Существующие сроки службы в Красной Армии рассчитаны главным образом на то, чтобы дать возможность трудящимся при современном их культурном уровне усвоить минимум военных навыков и знаний, необходимых бойцу. Эти сроки службы, слагающиеся из 2-х лет в кадровых войсках. 8-месячного обучения в </w:t>
      </w:r>
      <w:proofErr w:type="spellStart"/>
      <w:r w:rsidRPr="00A259BD">
        <w:rPr>
          <w:rFonts w:ascii="Times New Roman" w:hAnsi="Times New Roman"/>
          <w:color w:val="000000" w:themeColor="text1"/>
          <w:sz w:val="16"/>
          <w:szCs w:val="16"/>
        </w:rPr>
        <w:t>тервойсках</w:t>
      </w:r>
      <w:proofErr w:type="spellEnd"/>
      <w:r w:rsidRPr="00A259BD">
        <w:rPr>
          <w:rFonts w:ascii="Times New Roman" w:hAnsi="Times New Roman"/>
          <w:color w:val="000000" w:themeColor="text1"/>
          <w:sz w:val="16"/>
          <w:szCs w:val="16"/>
        </w:rPr>
        <w:t xml:space="preserve"> и 6-месячного обучения для вневойсковиков, далеко недостаточны. Однако, несмотря на </w:t>
      </w:r>
      <w:proofErr w:type="spellStart"/>
      <w:r w:rsidRPr="00A259BD">
        <w:rPr>
          <w:rFonts w:ascii="Times New Roman" w:hAnsi="Times New Roman"/>
          <w:color w:val="000000" w:themeColor="text1"/>
          <w:sz w:val="16"/>
          <w:szCs w:val="16"/>
        </w:rPr>
        <w:t>это,РВС</w:t>
      </w:r>
      <w:proofErr w:type="spellEnd"/>
      <w:r w:rsidRPr="00A259BD">
        <w:rPr>
          <w:rFonts w:ascii="Times New Roman" w:hAnsi="Times New Roman"/>
          <w:color w:val="000000" w:themeColor="text1"/>
          <w:sz w:val="16"/>
          <w:szCs w:val="16"/>
        </w:rPr>
        <w:t xml:space="preserve"> Союза считает возможным и ведет проработку возможного перехода в будущем на более сокращенные сроки службы и в первую очередь сокращения сроков службы пребывания в кадровых войсках — вместо 2-х лет до одного года.</w:t>
      </w:r>
    </w:p>
    <w:p w14:paraId="06A8EAF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смысле освобождения производственных сил такое сокращение не даст никаких преимуществ, ибо общее число отвлекаемых от производства остается без изменения, но сокращение срока службы, несомненно, облегчает общие условия прохождения службы и, самое главное — позволяет расширять накопление запаса военно-обученных </w:t>
      </w:r>
      <w:proofErr w:type="spellStart"/>
      <w:r w:rsidRPr="00A259BD">
        <w:rPr>
          <w:rFonts w:ascii="Times New Roman" w:hAnsi="Times New Roman"/>
          <w:color w:val="000000" w:themeColor="text1"/>
          <w:sz w:val="16"/>
          <w:szCs w:val="16"/>
        </w:rPr>
        <w:t>резервовв</w:t>
      </w:r>
      <w:proofErr w:type="spellEnd"/>
      <w:r w:rsidRPr="00A259BD">
        <w:rPr>
          <w:rFonts w:ascii="Times New Roman" w:hAnsi="Times New Roman"/>
          <w:color w:val="000000" w:themeColor="text1"/>
          <w:sz w:val="16"/>
          <w:szCs w:val="16"/>
        </w:rPr>
        <w:t xml:space="preserve"> стране.</w:t>
      </w:r>
    </w:p>
    <w:p w14:paraId="194B47D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осуществлении этой меры основная трудность состоит в низкой культурности призывного контингента. Поэтому переход на более сокращенные сроки службы теснейшим образом связан с повышением культурного уровня.</w:t>
      </w:r>
    </w:p>
    <w:p w14:paraId="781101B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Если в швейцарской армии при призыве на действительную военную службу от каждого призываемого требуется обязательный минимум, выражающийся в умении читать, писать, устно и письменно считать со знанием четырех правил арифметики, целых и дробных чисел, в умении производить простые вычисления, в знании географии страны и умении читать ее карту, в знании истории и конституции страны, то у нас есть еще призывники совершенно неграмотные — 11% и значительный процент малограмотных (26%).</w:t>
      </w:r>
    </w:p>
    <w:p w14:paraId="3F7AA84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Территориальное строительство и отношение кадровых и территориальных войск</w:t>
      </w:r>
    </w:p>
    <w:p w14:paraId="5F97C3C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Территориальное строительство за пять лет своего существования — 1923 — 1928 гг. достигло такого развития, что к настоящему времени стрелковые дивизии составляют: территориальные — 41, в то время как кадровые — только 26.(Диаграмма роста территориальных стрелковых дивизии №14).</w:t>
      </w:r>
    </w:p>
    <w:p w14:paraId="5C3E846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Если принять общую численность кадровых и территориальных войск за 100 %, то на долю кадровых падает 52,04%, а на территориальные — 47,96%. По отдельным же родам войск на территориальные войска падает: в пехоте — 60%, в артиллерии — 57% и в коннице — 26%. Это соотношение кадровых и территориальных войск наглядно </w:t>
      </w:r>
      <w:proofErr w:type="spellStart"/>
      <w:r w:rsidRPr="00A259BD">
        <w:rPr>
          <w:rFonts w:ascii="Times New Roman" w:hAnsi="Times New Roman"/>
          <w:color w:val="000000" w:themeColor="text1"/>
          <w:sz w:val="16"/>
          <w:szCs w:val="16"/>
        </w:rPr>
        <w:t>видноиз</w:t>
      </w:r>
      <w:proofErr w:type="spellEnd"/>
      <w:r w:rsidRPr="00A259BD">
        <w:rPr>
          <w:rFonts w:ascii="Times New Roman" w:hAnsi="Times New Roman"/>
          <w:color w:val="000000" w:themeColor="text1"/>
          <w:sz w:val="16"/>
          <w:szCs w:val="16"/>
        </w:rPr>
        <w:t xml:space="preserve"> диаграмм №15 и №16.</w:t>
      </w:r>
    </w:p>
    <w:p w14:paraId="656A5ED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отношению к общей площади территории Советского Союза районы, охваченные </w:t>
      </w:r>
      <w:proofErr w:type="spellStart"/>
      <w:r w:rsidRPr="00A259BD">
        <w:rPr>
          <w:rFonts w:ascii="Times New Roman" w:hAnsi="Times New Roman"/>
          <w:color w:val="000000" w:themeColor="text1"/>
          <w:sz w:val="16"/>
          <w:szCs w:val="16"/>
        </w:rPr>
        <w:t>терстроительством</w:t>
      </w:r>
      <w:proofErr w:type="spellEnd"/>
      <w:r w:rsidRPr="00A259BD">
        <w:rPr>
          <w:rFonts w:ascii="Times New Roman" w:hAnsi="Times New Roman"/>
          <w:color w:val="000000" w:themeColor="text1"/>
          <w:sz w:val="16"/>
          <w:szCs w:val="16"/>
        </w:rPr>
        <w:t xml:space="preserve">, составляют менее 8%, но в отношении полезной площади Советского Союза </w:t>
      </w:r>
      <w:proofErr w:type="spellStart"/>
      <w:r w:rsidRPr="00A259BD">
        <w:rPr>
          <w:rFonts w:ascii="Times New Roman" w:hAnsi="Times New Roman"/>
          <w:color w:val="000000" w:themeColor="text1"/>
          <w:sz w:val="16"/>
          <w:szCs w:val="16"/>
        </w:rPr>
        <w:t>тервойска</w:t>
      </w:r>
      <w:proofErr w:type="spellEnd"/>
      <w:r w:rsidRPr="00A259BD">
        <w:rPr>
          <w:rFonts w:ascii="Times New Roman" w:hAnsi="Times New Roman"/>
          <w:color w:val="000000" w:themeColor="text1"/>
          <w:sz w:val="16"/>
          <w:szCs w:val="16"/>
        </w:rPr>
        <w:t xml:space="preserve"> охватывают 25%. По отдельным республикам </w:t>
      </w:r>
      <w:proofErr w:type="spellStart"/>
      <w:r w:rsidRPr="00A259BD">
        <w:rPr>
          <w:rFonts w:ascii="Times New Roman" w:hAnsi="Times New Roman"/>
          <w:color w:val="000000" w:themeColor="text1"/>
          <w:sz w:val="16"/>
          <w:szCs w:val="16"/>
        </w:rPr>
        <w:t>тервойска</w:t>
      </w:r>
      <w:proofErr w:type="spellEnd"/>
      <w:r w:rsidRPr="00A259BD">
        <w:rPr>
          <w:rFonts w:ascii="Times New Roman" w:hAnsi="Times New Roman"/>
          <w:color w:val="000000" w:themeColor="text1"/>
          <w:sz w:val="16"/>
          <w:szCs w:val="16"/>
        </w:rPr>
        <w:t xml:space="preserve"> охватывают полезную площадь РСФСР — 34%, УССР — 49%, БССР — 34% и ЗСФСР — 38%.(Диаграмма №17).</w:t>
      </w:r>
    </w:p>
    <w:p w14:paraId="3CC4A4B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Из общего числа жителей Советского Союза до 39% падает на проживающих в районах, охваченных </w:t>
      </w:r>
      <w:proofErr w:type="spellStart"/>
      <w:r w:rsidRPr="00A259BD">
        <w:rPr>
          <w:rFonts w:ascii="Times New Roman" w:hAnsi="Times New Roman"/>
          <w:color w:val="000000" w:themeColor="text1"/>
          <w:sz w:val="16"/>
          <w:szCs w:val="16"/>
        </w:rPr>
        <w:t>терстроительством</w:t>
      </w:r>
      <w:proofErr w:type="spellEnd"/>
      <w:r w:rsidRPr="00A259BD">
        <w:rPr>
          <w:rFonts w:ascii="Times New Roman" w:hAnsi="Times New Roman"/>
          <w:color w:val="000000" w:themeColor="text1"/>
          <w:sz w:val="16"/>
          <w:szCs w:val="16"/>
        </w:rPr>
        <w:t>.(Диаграмма №18).</w:t>
      </w:r>
    </w:p>
    <w:p w14:paraId="5EEFAEB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Все указанные размеры охвата советской страны территориальными формированиями свидетельствуют, что важнейшие участки, удовлетворяющие требованиям территориальных войск, нами использованы почти полностью. Характерным в этом отношении является то, что требование, которое было установлено IX партсъездом о формировании территориальных войск в пролетарских центрах, на данной стадии их развития оказалось невыполнимым. Из всех имеющихся в данное </w:t>
      </w:r>
      <w:proofErr w:type="spellStart"/>
      <w:r w:rsidRPr="00A259BD">
        <w:rPr>
          <w:rFonts w:ascii="Times New Roman" w:hAnsi="Times New Roman"/>
          <w:color w:val="000000" w:themeColor="text1"/>
          <w:sz w:val="16"/>
          <w:szCs w:val="16"/>
        </w:rPr>
        <w:t>времятерриториальных</w:t>
      </w:r>
      <w:proofErr w:type="spellEnd"/>
      <w:r w:rsidRPr="00A259BD">
        <w:rPr>
          <w:rFonts w:ascii="Times New Roman" w:hAnsi="Times New Roman"/>
          <w:color w:val="000000" w:themeColor="text1"/>
          <w:sz w:val="16"/>
          <w:szCs w:val="16"/>
        </w:rPr>
        <w:t xml:space="preserve"> частей только 45% имеют в своих районах промышленные очаги, а все остальные части расположены и получают пополнение из чисто крестьянских районов с незначительным количеством рабочих и мелких предприятий. Поэтому возможность дальнейшего развития </w:t>
      </w:r>
      <w:proofErr w:type="spellStart"/>
      <w:r w:rsidRPr="00A259BD">
        <w:rPr>
          <w:rFonts w:ascii="Times New Roman" w:hAnsi="Times New Roman"/>
          <w:color w:val="000000" w:themeColor="text1"/>
          <w:sz w:val="16"/>
          <w:szCs w:val="16"/>
        </w:rPr>
        <w:t>тервойск</w:t>
      </w:r>
      <w:proofErr w:type="spellEnd"/>
      <w:r w:rsidRPr="00A259BD">
        <w:rPr>
          <w:rFonts w:ascii="Times New Roman" w:hAnsi="Times New Roman"/>
          <w:color w:val="000000" w:themeColor="text1"/>
          <w:sz w:val="16"/>
          <w:szCs w:val="16"/>
        </w:rPr>
        <w:t xml:space="preserve"> в данное время совершенно исключается и очередная задача состоит в укреплении существующих территориальных формирований.</w:t>
      </w:r>
    </w:p>
    <w:p w14:paraId="2C0E58B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Создание территориальных войск было вызвано тем резким несоответствием численности Красной Армии и мобилизационных задач, которое создалось после демобилизации к концу 1922 года. Доведенная в своей численности фактически до 562 000 человек Красная Армия естественно не могла обеспечить развертывание массовой армии во время войны. Это обстоятельство заставило искать новые пути в организации вооруженных сил, удовлетворяющие оперативные требования. Под знаком выполнения этих задач наша армия вылилась в стройную систему, состоящую в данное время из кадровых войск, представляющих армию прикрытия и обеспечения мобилизационного развертывания, и территориальных войск — армии военного времени.</w:t>
      </w:r>
    </w:p>
    <w:p w14:paraId="3D6EC4E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наших партийных кругах на первых порах к территориальным войскам существовало некоторое недоверчивое отношение, связанное с теми практическими трудностями, которые встречались на пути организации </w:t>
      </w:r>
      <w:proofErr w:type="spellStart"/>
      <w:r w:rsidRPr="00A259BD">
        <w:rPr>
          <w:rFonts w:ascii="Times New Roman" w:hAnsi="Times New Roman"/>
          <w:color w:val="000000" w:themeColor="text1"/>
          <w:sz w:val="16"/>
          <w:szCs w:val="16"/>
        </w:rPr>
        <w:t>тервойск</w:t>
      </w:r>
      <w:proofErr w:type="spellEnd"/>
      <w:r w:rsidRPr="00A259BD">
        <w:rPr>
          <w:rFonts w:ascii="Times New Roman" w:hAnsi="Times New Roman"/>
          <w:color w:val="000000" w:themeColor="text1"/>
          <w:sz w:val="16"/>
          <w:szCs w:val="16"/>
        </w:rPr>
        <w:t>.</w:t>
      </w:r>
    </w:p>
    <w:p w14:paraId="5D84393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настоящее время основные трудности организационного порядка преодолены и территориальные войска не раз демонстрировали на войсковых маневрах свою боевую готовность. Практика показывает, что наличие крепкого ядра </w:t>
      </w:r>
      <w:proofErr w:type="spellStart"/>
      <w:r w:rsidRPr="00A259BD">
        <w:rPr>
          <w:rFonts w:ascii="Times New Roman" w:hAnsi="Times New Roman"/>
          <w:color w:val="000000" w:themeColor="text1"/>
          <w:sz w:val="16"/>
          <w:szCs w:val="16"/>
        </w:rPr>
        <w:t>комполитсостава</w:t>
      </w:r>
      <w:proofErr w:type="spellEnd"/>
      <w:r w:rsidRPr="00A259BD">
        <w:rPr>
          <w:rFonts w:ascii="Times New Roman" w:hAnsi="Times New Roman"/>
          <w:color w:val="000000" w:themeColor="text1"/>
          <w:sz w:val="16"/>
          <w:szCs w:val="16"/>
        </w:rPr>
        <w:t xml:space="preserve">, представляющего основную организационную силу этих частей, и при наличии пролетарского ядра в переменном составе, достигающую в среднем до 15%, позволяют полностью обеспечить руководство пролетариата и партии в тер-войсках в той же степени, как и в кадровых войсках. Это обстоятельство позволяет по данной ступени развития Красной Армии вопросы </w:t>
      </w:r>
      <w:proofErr w:type="spellStart"/>
      <w:r w:rsidRPr="00A259BD">
        <w:rPr>
          <w:rFonts w:ascii="Times New Roman" w:hAnsi="Times New Roman"/>
          <w:color w:val="000000" w:themeColor="text1"/>
          <w:sz w:val="16"/>
          <w:szCs w:val="16"/>
        </w:rPr>
        <w:t>милиционно</w:t>
      </w:r>
      <w:proofErr w:type="spellEnd"/>
      <w:r w:rsidRPr="00A259BD">
        <w:rPr>
          <w:rFonts w:ascii="Times New Roman" w:hAnsi="Times New Roman"/>
          <w:color w:val="000000" w:themeColor="text1"/>
          <w:sz w:val="16"/>
          <w:szCs w:val="16"/>
        </w:rPr>
        <w:t>-территориального строительства не выделять особо, как это было в первые периоды территориального строительства, а рассматривать как неразрывно связанное с общим состоянием Красной Армии.</w:t>
      </w:r>
    </w:p>
    <w:p w14:paraId="3492E8E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этим причинам и в данном докладе все вопросы относятся в равной мере к кадровым и территориальным войскам.</w:t>
      </w:r>
    </w:p>
    <w:p w14:paraId="02FD2F6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Проблема подготовки младшего начальствующего состава для </w:t>
      </w:r>
      <w:proofErr w:type="spellStart"/>
      <w:r w:rsidRPr="00A259BD">
        <w:rPr>
          <w:rFonts w:ascii="Times New Roman" w:hAnsi="Times New Roman"/>
          <w:color w:val="000000" w:themeColor="text1"/>
          <w:sz w:val="16"/>
          <w:szCs w:val="16"/>
        </w:rPr>
        <w:t>тервойск</w:t>
      </w:r>
      <w:proofErr w:type="spellEnd"/>
    </w:p>
    <w:p w14:paraId="460F205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Особо для территориальных войск стоит вопрос о младшем комсоставе. Важность создания крепкого, политически устойчивого младшего комсостава определяется чрезвычайно большим значением последних в деле внутреннего устройства, поддержания дисциплины и политико-моральной устойчивости войсковых частей. Сложность данного вопроса для </w:t>
      </w:r>
      <w:proofErr w:type="spellStart"/>
      <w:r w:rsidRPr="00A259BD">
        <w:rPr>
          <w:rFonts w:ascii="Times New Roman" w:hAnsi="Times New Roman"/>
          <w:color w:val="000000" w:themeColor="text1"/>
          <w:sz w:val="16"/>
          <w:szCs w:val="16"/>
        </w:rPr>
        <w:t>тервойск</w:t>
      </w:r>
      <w:proofErr w:type="spellEnd"/>
      <w:r w:rsidRPr="00A259BD">
        <w:rPr>
          <w:rFonts w:ascii="Times New Roman" w:hAnsi="Times New Roman"/>
          <w:color w:val="000000" w:themeColor="text1"/>
          <w:sz w:val="16"/>
          <w:szCs w:val="16"/>
        </w:rPr>
        <w:t xml:space="preserve"> заключается, во-первых, в том, что из числа переменного состава за 8-месячный срок обучения подготовить младшего командира нельзя.</w:t>
      </w:r>
    </w:p>
    <w:p w14:paraId="4D5942E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Это положение вынуждает готовить младший командный состав территориальных войск в кадровых войсковых школах этих частей. В течение первого года службы в кадровом составе младший командный состав проходит курс войсковой школы, а в течение второго года совершенствуется в практике командования.</w:t>
      </w:r>
    </w:p>
    <w:p w14:paraId="7467EAA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окончании непрерывной службы в кадрах, при увольнении в долгосрочный отпуск этот младший командный состав перечисляется в переменный состав тер-частей на должности младшего командного состава и продолжает проходить действительную военную службу в переменном составе. Естественно, такое положение вызывало и вызывает вполне справедливое недовольство со стороны младшего комсостава. В целях изжития этого недовольства в новый Закон об обязательной военной службе внесен [ряд] корректив в том смысле, что младшие командиры, перечисляемые в переменный состав, должны привлекаться не ранее как через год после увольнения в долгосрочный отпуск, и лишь на два сбора, с одной стороны. И с другой — время учебных сборов засчитывается им в прохождение </w:t>
      </w:r>
      <w:proofErr w:type="spellStart"/>
      <w:r w:rsidRPr="00A259BD">
        <w:rPr>
          <w:rFonts w:ascii="Times New Roman" w:hAnsi="Times New Roman"/>
          <w:color w:val="000000" w:themeColor="text1"/>
          <w:sz w:val="16"/>
          <w:szCs w:val="16"/>
        </w:rPr>
        <w:t>долгосрочниками</w:t>
      </w:r>
      <w:proofErr w:type="spellEnd"/>
      <w:r w:rsidRPr="00A259BD">
        <w:rPr>
          <w:rFonts w:ascii="Times New Roman" w:hAnsi="Times New Roman"/>
          <w:color w:val="000000" w:themeColor="text1"/>
          <w:sz w:val="16"/>
          <w:szCs w:val="16"/>
        </w:rPr>
        <w:t xml:space="preserve"> повторительных сборов. Но этого недостаточно, нужно установить особые льготы за время состояния в переменном составе.</w:t>
      </w:r>
    </w:p>
    <w:p w14:paraId="51A23A5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Территориальные войска требуют накопление младшего командного состава территориально из района своего расположения. Это положение заставляет войсковые школы </w:t>
      </w:r>
      <w:proofErr w:type="spellStart"/>
      <w:r w:rsidRPr="00A259BD">
        <w:rPr>
          <w:rFonts w:ascii="Times New Roman" w:hAnsi="Times New Roman"/>
          <w:color w:val="000000" w:themeColor="text1"/>
          <w:sz w:val="16"/>
          <w:szCs w:val="16"/>
        </w:rPr>
        <w:t>тервойск</w:t>
      </w:r>
      <w:proofErr w:type="spellEnd"/>
      <w:r w:rsidRPr="00A259BD">
        <w:rPr>
          <w:rFonts w:ascii="Times New Roman" w:hAnsi="Times New Roman"/>
          <w:color w:val="000000" w:themeColor="text1"/>
          <w:sz w:val="16"/>
          <w:szCs w:val="16"/>
        </w:rPr>
        <w:t xml:space="preserve"> пополнять из числа призывников, проживающих в районе комплектования этих войск.</w:t>
      </w:r>
    </w:p>
    <w:p w14:paraId="57A44F6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результате 5-летнего опыта существования территориальных частей к 1928 году выработались три способа комплектования войсковых школ территориальных частей:</w:t>
      </w:r>
    </w:p>
    <w:p w14:paraId="558706A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1)на узко-территориальных </w:t>
      </w:r>
      <w:proofErr w:type="spellStart"/>
      <w:r w:rsidRPr="00A259BD">
        <w:rPr>
          <w:rFonts w:ascii="Times New Roman" w:hAnsi="Times New Roman"/>
          <w:color w:val="000000" w:themeColor="text1"/>
          <w:sz w:val="16"/>
          <w:szCs w:val="16"/>
        </w:rPr>
        <w:t>началах,путем</w:t>
      </w:r>
      <w:proofErr w:type="spellEnd"/>
      <w:r w:rsidRPr="00A259BD">
        <w:rPr>
          <w:rFonts w:ascii="Times New Roman" w:hAnsi="Times New Roman"/>
          <w:color w:val="000000" w:themeColor="text1"/>
          <w:sz w:val="16"/>
          <w:szCs w:val="16"/>
        </w:rPr>
        <w:t xml:space="preserve"> назначения призывников в школы из районов комплектования своих частей;</w:t>
      </w:r>
    </w:p>
    <w:p w14:paraId="3817CFA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2)путем комплектования войсковых </w:t>
      </w:r>
      <w:proofErr w:type="spellStart"/>
      <w:r w:rsidRPr="00A259BD">
        <w:rPr>
          <w:rFonts w:ascii="Times New Roman" w:hAnsi="Times New Roman"/>
          <w:color w:val="000000" w:themeColor="text1"/>
          <w:sz w:val="16"/>
          <w:szCs w:val="16"/>
        </w:rPr>
        <w:t>школодной</w:t>
      </w:r>
      <w:proofErr w:type="spellEnd"/>
      <w:r w:rsidRPr="00A259BD">
        <w:rPr>
          <w:rFonts w:ascii="Times New Roman" w:hAnsi="Times New Roman"/>
          <w:color w:val="000000" w:themeColor="text1"/>
          <w:sz w:val="16"/>
          <w:szCs w:val="16"/>
        </w:rPr>
        <w:t xml:space="preserve"> части из районов </w:t>
      </w:r>
      <w:proofErr w:type="spellStart"/>
      <w:r w:rsidRPr="00A259BD">
        <w:rPr>
          <w:rFonts w:ascii="Times New Roman" w:hAnsi="Times New Roman"/>
          <w:color w:val="000000" w:themeColor="text1"/>
          <w:sz w:val="16"/>
          <w:szCs w:val="16"/>
        </w:rPr>
        <w:t>другойсоответствующей</w:t>
      </w:r>
      <w:proofErr w:type="spellEnd"/>
      <w:r w:rsidRPr="00A259BD">
        <w:rPr>
          <w:rFonts w:ascii="Times New Roman" w:hAnsi="Times New Roman"/>
          <w:color w:val="000000" w:themeColor="text1"/>
          <w:sz w:val="16"/>
          <w:szCs w:val="16"/>
        </w:rPr>
        <w:t xml:space="preserve"> части, входящих в состав одной дивизии;</w:t>
      </w:r>
    </w:p>
    <w:p w14:paraId="0486D58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3)путем комплектования войсковых </w:t>
      </w:r>
      <w:proofErr w:type="spellStart"/>
      <w:r w:rsidRPr="00A259BD">
        <w:rPr>
          <w:rFonts w:ascii="Times New Roman" w:hAnsi="Times New Roman"/>
          <w:color w:val="000000" w:themeColor="text1"/>
          <w:sz w:val="16"/>
          <w:szCs w:val="16"/>
        </w:rPr>
        <w:t>школиз</w:t>
      </w:r>
      <w:proofErr w:type="spellEnd"/>
      <w:r w:rsidRPr="00A259BD">
        <w:rPr>
          <w:rFonts w:ascii="Times New Roman" w:hAnsi="Times New Roman"/>
          <w:color w:val="000000" w:themeColor="text1"/>
          <w:sz w:val="16"/>
          <w:szCs w:val="16"/>
        </w:rPr>
        <w:t xml:space="preserve"> районов соответствующих частей других дивизий.</w:t>
      </w:r>
    </w:p>
    <w:p w14:paraId="43B9451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Наиболее простым является первый способ — узко-территориальный.</w:t>
      </w:r>
    </w:p>
    <w:p w14:paraId="359BBED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На практике по ряду районов, и в особенности в районах чисто крестьянских, узко территориальный способ комплектования таит в себе ряд отрицательных моментов, связанных с близостью дома, которые иногда не покрывают положительных сторон этого способа комплектования. В то же время крестьянские районы не дают необходимой рабочей и партийной прослойки. Это обстоятельство вынуждает прибегать не только ко 2 и 3 способу, но частично (15—20%) комплектовать войсковые школы </w:t>
      </w:r>
      <w:proofErr w:type="spellStart"/>
      <w:r w:rsidRPr="00A259BD">
        <w:rPr>
          <w:rFonts w:ascii="Times New Roman" w:hAnsi="Times New Roman"/>
          <w:color w:val="000000" w:themeColor="text1"/>
          <w:sz w:val="16"/>
          <w:szCs w:val="16"/>
        </w:rPr>
        <w:t>терчастей</w:t>
      </w:r>
      <w:proofErr w:type="spellEnd"/>
      <w:r w:rsidRPr="00A259BD">
        <w:rPr>
          <w:rFonts w:ascii="Times New Roman" w:hAnsi="Times New Roman"/>
          <w:color w:val="000000" w:themeColor="text1"/>
          <w:sz w:val="16"/>
          <w:szCs w:val="16"/>
        </w:rPr>
        <w:t xml:space="preserve"> из районов кадровых войск.</w:t>
      </w:r>
    </w:p>
    <w:p w14:paraId="32F64A1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Учитывая, что комплектование войсковых школ, подготавливающих командиров, составляет одно из главнейших условий боевой подготовки и военно-политического воспитания территориальных частей, нормы рабочей прослойки повышены до 30%, а членов и кандидатов РКП(б) и ВЛКСМ — до 50% и батраков и бедняков — не менее 50%.</w:t>
      </w:r>
    </w:p>
    <w:p w14:paraId="2D85A02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Эти мероприятия и повышение материального обеспечения младшего командного состава, с одной стороны, значительно укрепят классовую прослойку и, с другой, улучшат их общее материальное и бытовое положение.</w:t>
      </w:r>
    </w:p>
    <w:p w14:paraId="7A5E212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Национальные формирования и дальнейшая их программа</w:t>
      </w:r>
    </w:p>
    <w:p w14:paraId="0829DFD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Планомерное развертывание национального строительства в Красной Армии началось с 1924 года, когда РВС СССР была принята пятилетняя программа национальных формирований, охватывающая все союзные и значительную часть автономных республик. Уже к 1927 г. эта программа была полностью осуществлена по Украинской и Белорусской ССР и почти полностью по ЗСФСР. В мае 1927 года в остающуюся часть программы РВС СССР внес, по докладу Штаба РККА, некоторые изменения, основанные на опыте первых лет строительства (например, формирование горной стрелковой и кавалерийских бригад вместо стрелковой и кавалерийских дивизий в республиках Средней Азии, ограничение одним кавалерийским полком формирование в Казахстане). Эту измененную программу намечено было осуществить к 1931-33 гг., причем для этого требовалось увеличение общей численности РККА на 7 547 человек.</w:t>
      </w:r>
    </w:p>
    <w:p w14:paraId="497CB72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настоящему моменту вопрос о национальных формированиях обстоит следующим образом:</w:t>
      </w:r>
    </w:p>
    <w:p w14:paraId="508A7B8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Украинская ССР</w:t>
      </w:r>
    </w:p>
    <w:p w14:paraId="6BB0C9C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намечено по плану: 6территориальных стрелковых дивизий — 12 942</w:t>
      </w:r>
    </w:p>
    <w:p w14:paraId="7839767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существует в настоящее время: 4территориальных стрелковых дивизии — 8 628</w:t>
      </w:r>
    </w:p>
    <w:p w14:paraId="4F827C4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Белорусская ССР</w:t>
      </w:r>
    </w:p>
    <w:p w14:paraId="5BE6DA4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намечено по плану:</w:t>
      </w:r>
    </w:p>
    <w:p w14:paraId="424FD25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Смешанная стрелковая дивизия — 3 391</w:t>
      </w:r>
    </w:p>
    <w:p w14:paraId="0B46496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Территориальная стрелковая дивизия — 2 851</w:t>
      </w:r>
    </w:p>
    <w:p w14:paraId="227B95F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существует в настоящее время: 2Белорусская стрелковая дивизия — 3 391</w:t>
      </w:r>
    </w:p>
    <w:p w14:paraId="7A3412F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ССР Грузии</w:t>
      </w:r>
    </w:p>
    <w:p w14:paraId="3AC98F5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намечено по плану:</w:t>
      </w:r>
    </w:p>
    <w:p w14:paraId="618BBF6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Кадровая горная стрелковая дивизия — 5 537</w:t>
      </w:r>
    </w:p>
    <w:p w14:paraId="493B06B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Территориальная горная стрелковая дивизия — 2 070</w:t>
      </w:r>
    </w:p>
    <w:p w14:paraId="787CB58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существует в настоящее время:</w:t>
      </w:r>
    </w:p>
    <w:p w14:paraId="634DC8B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1-я Грузинская стрелковая дивизия — 5 537</w:t>
      </w:r>
    </w:p>
    <w:p w14:paraId="3A1A4DA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2-я Грузинская стрелковая дивизия — 2 070</w:t>
      </w:r>
    </w:p>
    <w:p w14:paraId="1E20ECF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ССР Армении</w:t>
      </w:r>
    </w:p>
    <w:p w14:paraId="702F5A2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намечено по </w:t>
      </w:r>
      <w:proofErr w:type="spellStart"/>
      <w:r w:rsidRPr="00A259BD">
        <w:rPr>
          <w:rFonts w:ascii="Times New Roman" w:hAnsi="Times New Roman"/>
          <w:color w:val="000000" w:themeColor="text1"/>
          <w:sz w:val="16"/>
          <w:szCs w:val="16"/>
        </w:rPr>
        <w:t>плану:Горная</w:t>
      </w:r>
      <w:proofErr w:type="spellEnd"/>
      <w:r w:rsidRPr="00A259BD">
        <w:rPr>
          <w:rFonts w:ascii="Times New Roman" w:hAnsi="Times New Roman"/>
          <w:color w:val="000000" w:themeColor="text1"/>
          <w:sz w:val="16"/>
          <w:szCs w:val="16"/>
        </w:rPr>
        <w:t xml:space="preserve"> стрелковая дивизия (смешанная) — 4 755</w:t>
      </w:r>
    </w:p>
    <w:p w14:paraId="63A3751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существует в настоящее </w:t>
      </w:r>
      <w:proofErr w:type="spellStart"/>
      <w:r w:rsidRPr="00A259BD">
        <w:rPr>
          <w:rFonts w:ascii="Times New Roman" w:hAnsi="Times New Roman"/>
          <w:color w:val="000000" w:themeColor="text1"/>
          <w:sz w:val="16"/>
          <w:szCs w:val="16"/>
        </w:rPr>
        <w:t>время:Смешанная</w:t>
      </w:r>
      <w:proofErr w:type="spellEnd"/>
      <w:r w:rsidRPr="00A259BD">
        <w:rPr>
          <w:rFonts w:ascii="Times New Roman" w:hAnsi="Times New Roman"/>
          <w:color w:val="000000" w:themeColor="text1"/>
          <w:sz w:val="16"/>
          <w:szCs w:val="16"/>
        </w:rPr>
        <w:t xml:space="preserve"> стрелковая дивизия — 4 755</w:t>
      </w:r>
    </w:p>
    <w:p w14:paraId="10D0FB0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Азербайджанская ССР</w:t>
      </w:r>
    </w:p>
    <w:p w14:paraId="3C3A3FE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намечено по </w:t>
      </w:r>
      <w:proofErr w:type="spellStart"/>
      <w:r w:rsidRPr="00A259BD">
        <w:rPr>
          <w:rFonts w:ascii="Times New Roman" w:hAnsi="Times New Roman"/>
          <w:color w:val="000000" w:themeColor="text1"/>
          <w:sz w:val="16"/>
          <w:szCs w:val="16"/>
        </w:rPr>
        <w:t>плану:Горная</w:t>
      </w:r>
      <w:proofErr w:type="spellEnd"/>
      <w:r w:rsidRPr="00A259BD">
        <w:rPr>
          <w:rFonts w:ascii="Times New Roman" w:hAnsi="Times New Roman"/>
          <w:color w:val="000000" w:themeColor="text1"/>
          <w:sz w:val="16"/>
          <w:szCs w:val="16"/>
        </w:rPr>
        <w:t xml:space="preserve"> стрелковая дивизия (смешанная) — 3 101</w:t>
      </w:r>
    </w:p>
    <w:p w14:paraId="21B2B2B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существует в настоящее </w:t>
      </w:r>
      <w:proofErr w:type="spellStart"/>
      <w:r w:rsidRPr="00A259BD">
        <w:rPr>
          <w:rFonts w:ascii="Times New Roman" w:hAnsi="Times New Roman"/>
          <w:color w:val="000000" w:themeColor="text1"/>
          <w:sz w:val="16"/>
          <w:szCs w:val="16"/>
        </w:rPr>
        <w:t>время:Смешанная</w:t>
      </w:r>
      <w:proofErr w:type="spellEnd"/>
      <w:r w:rsidRPr="00A259BD">
        <w:rPr>
          <w:rFonts w:ascii="Times New Roman" w:hAnsi="Times New Roman"/>
          <w:color w:val="000000" w:themeColor="text1"/>
          <w:sz w:val="16"/>
          <w:szCs w:val="16"/>
        </w:rPr>
        <w:t xml:space="preserve"> стрелковая дивизия — 3 101</w:t>
      </w:r>
    </w:p>
    <w:p w14:paraId="5F7F3E5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Узбекская ССР (с Таджикской и Киргизской АССР)</w:t>
      </w:r>
    </w:p>
    <w:p w14:paraId="2F86A4D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намечено по плану:</w:t>
      </w:r>
    </w:p>
    <w:p w14:paraId="5B6E5F7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Отдельная кадровая горная бригада — 3 000</w:t>
      </w:r>
    </w:p>
    <w:p w14:paraId="3450204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Отдельная кадровая кавалерийская бригада — 2 500</w:t>
      </w:r>
    </w:p>
    <w:p w14:paraId="00F346C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существует в настоящее время:</w:t>
      </w:r>
    </w:p>
    <w:p w14:paraId="0FEEBA8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Отдельный Узбекский стрелковый батальон — 819</w:t>
      </w:r>
    </w:p>
    <w:p w14:paraId="5476810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Отдельный Таджикский горный стрелковый батальон — 451</w:t>
      </w:r>
    </w:p>
    <w:p w14:paraId="61416A9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Управление сводной бригады — 33</w:t>
      </w:r>
    </w:p>
    <w:p w14:paraId="25A2C7B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Узбекский кавалерийский полк — 758</w:t>
      </w:r>
    </w:p>
    <w:p w14:paraId="70D4C5C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Киргизский кавалерийский полк — 361</w:t>
      </w:r>
    </w:p>
    <w:p w14:paraId="2DB3EDE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Узбекская вьючная конно-горная батарея — 128</w:t>
      </w:r>
    </w:p>
    <w:p w14:paraId="6ABBBBD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 по Узбекской ССР — 2 550</w:t>
      </w:r>
    </w:p>
    <w:p w14:paraId="3F232FE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Туркменская ССР</w:t>
      </w:r>
    </w:p>
    <w:p w14:paraId="43F0AAB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намечено по </w:t>
      </w:r>
      <w:proofErr w:type="spellStart"/>
      <w:r w:rsidRPr="00A259BD">
        <w:rPr>
          <w:rFonts w:ascii="Times New Roman" w:hAnsi="Times New Roman"/>
          <w:color w:val="000000" w:themeColor="text1"/>
          <w:sz w:val="16"/>
          <w:szCs w:val="16"/>
        </w:rPr>
        <w:t>плану:Отдельная</w:t>
      </w:r>
      <w:proofErr w:type="spellEnd"/>
      <w:r w:rsidRPr="00A259BD">
        <w:rPr>
          <w:rFonts w:ascii="Times New Roman" w:hAnsi="Times New Roman"/>
          <w:color w:val="000000" w:themeColor="text1"/>
          <w:sz w:val="16"/>
          <w:szCs w:val="16"/>
        </w:rPr>
        <w:t xml:space="preserve"> кадровая кавалерийская бригада — 2 500</w:t>
      </w:r>
    </w:p>
    <w:p w14:paraId="02D248D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существует в настоящее время:</w:t>
      </w:r>
    </w:p>
    <w:p w14:paraId="5840F41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Управление бригады — 20</w:t>
      </w:r>
    </w:p>
    <w:p w14:paraId="4EE1C31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1-й туркменский полк — 654</w:t>
      </w:r>
    </w:p>
    <w:p w14:paraId="46074AC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2-й туркменский полк — 634</w:t>
      </w:r>
    </w:p>
    <w:p w14:paraId="20CCE8A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Казахская АССР</w:t>
      </w:r>
    </w:p>
    <w:p w14:paraId="7005E3C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намечено по </w:t>
      </w:r>
      <w:proofErr w:type="spellStart"/>
      <w:r w:rsidRPr="00A259BD">
        <w:rPr>
          <w:rFonts w:ascii="Times New Roman" w:hAnsi="Times New Roman"/>
          <w:color w:val="000000" w:themeColor="text1"/>
          <w:sz w:val="16"/>
          <w:szCs w:val="16"/>
        </w:rPr>
        <w:t>плану:Кадровый</w:t>
      </w:r>
      <w:proofErr w:type="spellEnd"/>
      <w:r w:rsidRPr="00A259BD">
        <w:rPr>
          <w:rFonts w:ascii="Times New Roman" w:hAnsi="Times New Roman"/>
          <w:color w:val="000000" w:themeColor="text1"/>
          <w:sz w:val="16"/>
          <w:szCs w:val="16"/>
        </w:rPr>
        <w:t xml:space="preserve"> кавалерийский полк — 609</w:t>
      </w:r>
    </w:p>
    <w:p w14:paraId="2D00EB7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существует в настоящее </w:t>
      </w:r>
      <w:proofErr w:type="spellStart"/>
      <w:r w:rsidRPr="00A259BD">
        <w:rPr>
          <w:rFonts w:ascii="Times New Roman" w:hAnsi="Times New Roman"/>
          <w:color w:val="000000" w:themeColor="text1"/>
          <w:sz w:val="16"/>
          <w:szCs w:val="16"/>
        </w:rPr>
        <w:t>время:Отдельный</w:t>
      </w:r>
      <w:proofErr w:type="spellEnd"/>
      <w:r w:rsidRPr="00A259BD">
        <w:rPr>
          <w:rFonts w:ascii="Times New Roman" w:hAnsi="Times New Roman"/>
          <w:color w:val="000000" w:themeColor="text1"/>
          <w:sz w:val="16"/>
          <w:szCs w:val="16"/>
        </w:rPr>
        <w:t xml:space="preserve"> Казахский кавалерийский дивизион — 346</w:t>
      </w:r>
    </w:p>
    <w:p w14:paraId="1757074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Карельская АССР</w:t>
      </w:r>
    </w:p>
    <w:p w14:paraId="00BF2C1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намечено по </w:t>
      </w:r>
      <w:proofErr w:type="spellStart"/>
      <w:r w:rsidRPr="00A259BD">
        <w:rPr>
          <w:rFonts w:ascii="Times New Roman" w:hAnsi="Times New Roman"/>
          <w:color w:val="000000" w:themeColor="text1"/>
          <w:sz w:val="16"/>
          <w:szCs w:val="16"/>
        </w:rPr>
        <w:t>плану:Егерский</w:t>
      </w:r>
      <w:proofErr w:type="spellEnd"/>
      <w:r w:rsidRPr="00A259BD">
        <w:rPr>
          <w:rFonts w:ascii="Times New Roman" w:hAnsi="Times New Roman"/>
          <w:color w:val="000000" w:themeColor="text1"/>
          <w:sz w:val="16"/>
          <w:szCs w:val="16"/>
        </w:rPr>
        <w:t xml:space="preserve"> батальон — 782</w:t>
      </w:r>
    </w:p>
    <w:p w14:paraId="410AA35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существует в настоящее </w:t>
      </w:r>
      <w:proofErr w:type="spellStart"/>
      <w:r w:rsidRPr="00A259BD">
        <w:rPr>
          <w:rFonts w:ascii="Times New Roman" w:hAnsi="Times New Roman"/>
          <w:color w:val="000000" w:themeColor="text1"/>
          <w:sz w:val="16"/>
          <w:szCs w:val="16"/>
        </w:rPr>
        <w:t>время:Отдельный</w:t>
      </w:r>
      <w:proofErr w:type="spellEnd"/>
      <w:r w:rsidRPr="00A259BD">
        <w:rPr>
          <w:rFonts w:ascii="Times New Roman" w:hAnsi="Times New Roman"/>
          <w:color w:val="000000" w:themeColor="text1"/>
          <w:sz w:val="16"/>
          <w:szCs w:val="16"/>
        </w:rPr>
        <w:t xml:space="preserve"> Карельский егерский стрелковый батальон — 753</w:t>
      </w:r>
    </w:p>
    <w:p w14:paraId="5029945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Горские национальности Северного Кавказа</w:t>
      </w:r>
    </w:p>
    <w:p w14:paraId="662D322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намечено по </w:t>
      </w:r>
      <w:proofErr w:type="spellStart"/>
      <w:r w:rsidRPr="00A259BD">
        <w:rPr>
          <w:rFonts w:ascii="Times New Roman" w:hAnsi="Times New Roman"/>
          <w:color w:val="000000" w:themeColor="text1"/>
          <w:sz w:val="16"/>
          <w:szCs w:val="16"/>
        </w:rPr>
        <w:t>плану:Территориальная</w:t>
      </w:r>
      <w:proofErr w:type="spellEnd"/>
      <w:r w:rsidRPr="00A259BD">
        <w:rPr>
          <w:rFonts w:ascii="Times New Roman" w:hAnsi="Times New Roman"/>
          <w:color w:val="000000" w:themeColor="text1"/>
          <w:sz w:val="16"/>
          <w:szCs w:val="16"/>
        </w:rPr>
        <w:t xml:space="preserve"> кавалерийская дивизия — 2 241</w:t>
      </w:r>
    </w:p>
    <w:p w14:paraId="6EE942B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существует в настоящее время:</w:t>
      </w:r>
    </w:p>
    <w:p w14:paraId="05B0D30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Сводный кавалерийский полк в составе:</w:t>
      </w:r>
    </w:p>
    <w:p w14:paraId="6B9B782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Управления — 9</w:t>
      </w:r>
    </w:p>
    <w:p w14:paraId="465D18C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Отдельного Дагестанского </w:t>
      </w:r>
      <w:proofErr w:type="spellStart"/>
      <w:r w:rsidRPr="00A259BD">
        <w:rPr>
          <w:rFonts w:ascii="Times New Roman" w:hAnsi="Times New Roman"/>
          <w:color w:val="000000" w:themeColor="text1"/>
          <w:sz w:val="16"/>
          <w:szCs w:val="16"/>
        </w:rPr>
        <w:t>кав</w:t>
      </w:r>
      <w:proofErr w:type="spellEnd"/>
      <w:r w:rsidRPr="00A259BD">
        <w:rPr>
          <w:rFonts w:ascii="Times New Roman" w:hAnsi="Times New Roman"/>
          <w:color w:val="000000" w:themeColor="text1"/>
          <w:sz w:val="16"/>
          <w:szCs w:val="16"/>
        </w:rPr>
        <w:t>. дивизиона — 363</w:t>
      </w:r>
    </w:p>
    <w:p w14:paraId="7C8C758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Шести отдельных </w:t>
      </w:r>
      <w:proofErr w:type="spellStart"/>
      <w:r w:rsidRPr="00A259BD">
        <w:rPr>
          <w:rFonts w:ascii="Times New Roman" w:hAnsi="Times New Roman"/>
          <w:color w:val="000000" w:themeColor="text1"/>
          <w:sz w:val="16"/>
          <w:szCs w:val="16"/>
        </w:rPr>
        <w:t>кав</w:t>
      </w:r>
      <w:proofErr w:type="spellEnd"/>
      <w:r w:rsidRPr="00A259BD">
        <w:rPr>
          <w:rFonts w:ascii="Times New Roman" w:hAnsi="Times New Roman"/>
          <w:color w:val="000000" w:themeColor="text1"/>
          <w:sz w:val="16"/>
          <w:szCs w:val="16"/>
        </w:rPr>
        <w:t>. взводов — 228</w:t>
      </w:r>
    </w:p>
    <w:p w14:paraId="3385200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 в сводном полку — 600</w:t>
      </w:r>
    </w:p>
    <w:p w14:paraId="152A3C5B"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Бурято</w:t>
      </w:r>
      <w:proofErr w:type="spellEnd"/>
      <w:r w:rsidRPr="00A259BD">
        <w:rPr>
          <w:rFonts w:ascii="Times New Roman" w:hAnsi="Times New Roman"/>
          <w:color w:val="000000" w:themeColor="text1"/>
          <w:sz w:val="16"/>
          <w:szCs w:val="16"/>
        </w:rPr>
        <w:t>-Монгольская</w:t>
      </w:r>
    </w:p>
    <w:p w14:paraId="105A2F0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намечено по </w:t>
      </w:r>
      <w:proofErr w:type="spellStart"/>
      <w:r w:rsidRPr="00A259BD">
        <w:rPr>
          <w:rFonts w:ascii="Times New Roman" w:hAnsi="Times New Roman"/>
          <w:color w:val="000000" w:themeColor="text1"/>
          <w:sz w:val="16"/>
          <w:szCs w:val="16"/>
        </w:rPr>
        <w:t>плану:Отдельный</w:t>
      </w:r>
      <w:proofErr w:type="spellEnd"/>
      <w:r w:rsidRPr="00A259BD">
        <w:rPr>
          <w:rFonts w:ascii="Times New Roman" w:hAnsi="Times New Roman"/>
          <w:color w:val="000000" w:themeColor="text1"/>
          <w:sz w:val="16"/>
          <w:szCs w:val="16"/>
        </w:rPr>
        <w:t xml:space="preserve"> кавалерийский дивизион — 346</w:t>
      </w:r>
    </w:p>
    <w:p w14:paraId="6ECBBDD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существует в настоящее </w:t>
      </w:r>
      <w:proofErr w:type="spellStart"/>
      <w:r w:rsidRPr="00A259BD">
        <w:rPr>
          <w:rFonts w:ascii="Times New Roman" w:hAnsi="Times New Roman"/>
          <w:color w:val="000000" w:themeColor="text1"/>
          <w:sz w:val="16"/>
          <w:szCs w:val="16"/>
        </w:rPr>
        <w:t>время:Отдельный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Бурято</w:t>
      </w:r>
      <w:proofErr w:type="spellEnd"/>
      <w:r w:rsidRPr="00A259BD">
        <w:rPr>
          <w:rFonts w:ascii="Times New Roman" w:hAnsi="Times New Roman"/>
          <w:color w:val="000000" w:themeColor="text1"/>
          <w:sz w:val="16"/>
          <w:szCs w:val="16"/>
        </w:rPr>
        <w:t>-Монгольский кавалерийский дивизион — 346</w:t>
      </w:r>
    </w:p>
    <w:p w14:paraId="193EE32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Якутская АССР</w:t>
      </w:r>
    </w:p>
    <w:p w14:paraId="1C9E422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намечено по </w:t>
      </w:r>
      <w:proofErr w:type="spellStart"/>
      <w:r w:rsidRPr="00A259BD">
        <w:rPr>
          <w:rFonts w:ascii="Times New Roman" w:hAnsi="Times New Roman"/>
          <w:color w:val="000000" w:themeColor="text1"/>
          <w:sz w:val="16"/>
          <w:szCs w:val="16"/>
        </w:rPr>
        <w:t>плану:Школа</w:t>
      </w:r>
      <w:proofErr w:type="spellEnd"/>
      <w:r w:rsidRPr="00A259BD">
        <w:rPr>
          <w:rFonts w:ascii="Times New Roman" w:hAnsi="Times New Roman"/>
          <w:color w:val="000000" w:themeColor="text1"/>
          <w:sz w:val="16"/>
          <w:szCs w:val="16"/>
        </w:rPr>
        <w:t xml:space="preserve"> младшего комсостава — 87</w:t>
      </w:r>
    </w:p>
    <w:p w14:paraId="7E5C1E2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существует в настоящее </w:t>
      </w:r>
      <w:proofErr w:type="spellStart"/>
      <w:r w:rsidRPr="00A259BD">
        <w:rPr>
          <w:rFonts w:ascii="Times New Roman" w:hAnsi="Times New Roman"/>
          <w:color w:val="000000" w:themeColor="text1"/>
          <w:sz w:val="16"/>
          <w:szCs w:val="16"/>
        </w:rPr>
        <w:t>время:Школа</w:t>
      </w:r>
      <w:proofErr w:type="spellEnd"/>
      <w:r w:rsidRPr="00A259BD">
        <w:rPr>
          <w:rFonts w:ascii="Times New Roman" w:hAnsi="Times New Roman"/>
          <w:color w:val="000000" w:themeColor="text1"/>
          <w:sz w:val="16"/>
          <w:szCs w:val="16"/>
        </w:rPr>
        <w:t xml:space="preserve"> младшего комсостава — 87</w:t>
      </w:r>
    </w:p>
    <w:p w14:paraId="2EFE2F3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Татарская АССР</w:t>
      </w:r>
    </w:p>
    <w:p w14:paraId="6866117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намечено по плану:</w:t>
      </w:r>
    </w:p>
    <w:p w14:paraId="2EB9F7A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Территориальный стрелковый полк — 507</w:t>
      </w:r>
    </w:p>
    <w:p w14:paraId="2F5F66B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Отдельный кавалерийский эскадрон — 75</w:t>
      </w:r>
    </w:p>
    <w:p w14:paraId="79F43D2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Башкирская АССР</w:t>
      </w:r>
    </w:p>
    <w:p w14:paraId="29DB676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намечено по плану:</w:t>
      </w:r>
    </w:p>
    <w:p w14:paraId="611B7B1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Территориальный стрелковый полк — 507</w:t>
      </w:r>
    </w:p>
    <w:p w14:paraId="764F026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Отдельный кавалерийский эскадрон — 75</w:t>
      </w:r>
    </w:p>
    <w:p w14:paraId="501C988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существует в настоящее время:</w:t>
      </w:r>
    </w:p>
    <w:p w14:paraId="7413CB1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100-й стрелковый полк — 507</w:t>
      </w:r>
    </w:p>
    <w:p w14:paraId="3663ABC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Отдельный кавалерийский эскадрон 34 стрелковой дивизии — 75</w:t>
      </w:r>
    </w:p>
    <w:p w14:paraId="28C159D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p w14:paraId="1CA06C9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намечено по плану: 47 876 чел.</w:t>
      </w:r>
    </w:p>
    <w:p w14:paraId="5171B9E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Что существует в настоящее время: 34 054 чел.</w:t>
      </w:r>
    </w:p>
    <w:p w14:paraId="12F510A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осуществления оставшейся части программы нужно (не считая татарских национальных частей, которые могут быть созданы из существующих уже частей РККА) 6 075 штатных единиц.</w:t>
      </w:r>
    </w:p>
    <w:p w14:paraId="5E8DCD8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Армия достигла в своем постоянном составе численности 617 000 чел., утвержденной правительством. Дальнейшее развитие программы национальных формирований возможно или путем увеличения общей численности РККА на 6 075 штатных единиц, или же за счет соответствующего сокращения общеармейских частей. Сократить общеармейские части в настоящих условиях немыслимо. Поэтому дальнейшее развитие программы национальных формирований находится в зависимости исключительно от того, будет ли или нет увеличена общая норма штатной численности РККА. Если эта норма увеличена не будет, то обстановка </w:t>
      </w:r>
      <w:proofErr w:type="spellStart"/>
      <w:r w:rsidRPr="00A259BD">
        <w:rPr>
          <w:rFonts w:ascii="Times New Roman" w:hAnsi="Times New Roman"/>
          <w:color w:val="000000" w:themeColor="text1"/>
          <w:sz w:val="16"/>
          <w:szCs w:val="16"/>
        </w:rPr>
        <w:t>заставитограничить</w:t>
      </w:r>
      <w:proofErr w:type="spellEnd"/>
      <w:r w:rsidRPr="00A259BD">
        <w:rPr>
          <w:rFonts w:ascii="Times New Roman" w:hAnsi="Times New Roman"/>
          <w:color w:val="000000" w:themeColor="text1"/>
          <w:sz w:val="16"/>
          <w:szCs w:val="16"/>
        </w:rPr>
        <w:t xml:space="preserve"> программу национальных формирований уже достигнутыми </w:t>
      </w:r>
      <w:proofErr w:type="spellStart"/>
      <w:r w:rsidRPr="00A259BD">
        <w:rPr>
          <w:rFonts w:ascii="Times New Roman" w:hAnsi="Times New Roman"/>
          <w:color w:val="000000" w:themeColor="text1"/>
          <w:sz w:val="16"/>
          <w:szCs w:val="16"/>
        </w:rPr>
        <w:t>рамками,поставив</w:t>
      </w:r>
      <w:proofErr w:type="spellEnd"/>
      <w:r w:rsidRPr="00A259BD">
        <w:rPr>
          <w:rFonts w:ascii="Times New Roman" w:hAnsi="Times New Roman"/>
          <w:color w:val="000000" w:themeColor="text1"/>
          <w:sz w:val="16"/>
          <w:szCs w:val="16"/>
        </w:rPr>
        <w:t xml:space="preserve"> перед существующими национальными частями задачу всемерного их укрепления (в смысле надлежащего укомплектования личным составом, лошадьми, улучшения условий расквартирования и т.п.)[65].</w:t>
      </w:r>
    </w:p>
    <w:p w14:paraId="0112D0F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Перспективы и предложения*</w:t>
      </w:r>
    </w:p>
    <w:p w14:paraId="49E6950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w:t>
      </w:r>
      <w:proofErr w:type="spellStart"/>
      <w:r w:rsidRPr="00A259BD">
        <w:rPr>
          <w:rFonts w:ascii="Times New Roman" w:hAnsi="Times New Roman"/>
          <w:color w:val="000000" w:themeColor="text1"/>
          <w:sz w:val="16"/>
          <w:szCs w:val="16"/>
        </w:rPr>
        <w:t>Милиционно</w:t>
      </w:r>
      <w:proofErr w:type="spellEnd"/>
      <w:r w:rsidRPr="00A259BD">
        <w:rPr>
          <w:rFonts w:ascii="Times New Roman" w:hAnsi="Times New Roman"/>
          <w:color w:val="000000" w:themeColor="text1"/>
          <w:sz w:val="16"/>
          <w:szCs w:val="16"/>
        </w:rPr>
        <w:t>-территориальные формирования на данной ступени развития организации вооруженных сил Советского Союза достигли предела своего развития.</w:t>
      </w:r>
    </w:p>
    <w:p w14:paraId="2DF0017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Дальнейшее расширение </w:t>
      </w:r>
      <w:proofErr w:type="spellStart"/>
      <w:r w:rsidRPr="00A259BD">
        <w:rPr>
          <w:rFonts w:ascii="Times New Roman" w:hAnsi="Times New Roman"/>
          <w:color w:val="000000" w:themeColor="text1"/>
          <w:sz w:val="16"/>
          <w:szCs w:val="16"/>
        </w:rPr>
        <w:t>милиционно</w:t>
      </w:r>
      <w:proofErr w:type="spellEnd"/>
      <w:r w:rsidRPr="00A259BD">
        <w:rPr>
          <w:rFonts w:ascii="Times New Roman" w:hAnsi="Times New Roman"/>
          <w:color w:val="000000" w:themeColor="text1"/>
          <w:sz w:val="16"/>
          <w:szCs w:val="16"/>
        </w:rPr>
        <w:t xml:space="preserve">-территориального формирования упирается, с одной стороны, в невозможность сокращения кадровой армии как армии прикрытия и, с другой, в исчерпании соответствующих ресурсов и районов комплектования. Поэтому очередной задачей на ближайший период времени является укрепление </w:t>
      </w:r>
      <w:proofErr w:type="spellStart"/>
      <w:r w:rsidRPr="00A259BD">
        <w:rPr>
          <w:rFonts w:ascii="Times New Roman" w:hAnsi="Times New Roman"/>
          <w:color w:val="000000" w:themeColor="text1"/>
          <w:sz w:val="16"/>
          <w:szCs w:val="16"/>
        </w:rPr>
        <w:t>терстроительстваи</w:t>
      </w:r>
      <w:proofErr w:type="spellEnd"/>
      <w:r w:rsidRPr="00A259BD">
        <w:rPr>
          <w:rFonts w:ascii="Times New Roman" w:hAnsi="Times New Roman"/>
          <w:color w:val="000000" w:themeColor="text1"/>
          <w:sz w:val="16"/>
          <w:szCs w:val="16"/>
        </w:rPr>
        <w:t xml:space="preserve"> усиление боевой подготовки территориальных частей.</w:t>
      </w:r>
    </w:p>
    <w:p w14:paraId="6B7501F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В целях дальнейшего увеличения военно-обученных резервов и облегчения отбывания военной службы населением является необходимым пойти на дальнейшее сокращение сроков непрерывной службы в кадрах РККА. Однако это сокращение возможно лишь при условии создания необходимых условий, обеспечивающих подготовку </w:t>
      </w:r>
      <w:proofErr w:type="spellStart"/>
      <w:r w:rsidRPr="00A259BD">
        <w:rPr>
          <w:rFonts w:ascii="Times New Roman" w:hAnsi="Times New Roman"/>
          <w:color w:val="000000" w:themeColor="text1"/>
          <w:sz w:val="16"/>
          <w:szCs w:val="16"/>
        </w:rPr>
        <w:t>красноармейцевв</w:t>
      </w:r>
      <w:proofErr w:type="spellEnd"/>
      <w:r w:rsidRPr="00A259BD">
        <w:rPr>
          <w:rFonts w:ascii="Times New Roman" w:hAnsi="Times New Roman"/>
          <w:color w:val="000000" w:themeColor="text1"/>
          <w:sz w:val="16"/>
          <w:szCs w:val="16"/>
        </w:rPr>
        <w:t xml:space="preserve"> сокращенные сроки, и в первую очередь — повышение культурного уровня призываемых.</w:t>
      </w:r>
    </w:p>
    <w:p w14:paraId="02D8D1A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В целях улучшения комплектования и усиления социально-классовой прослойки РККА льготы по семейно-имущественному положению постепенно заменить государственным обеспечением семей призываемых, остающихся без заработка. В то же время в связи с тем, что существующая система льгот по семейно-имущественному положению вызывает дробление крестьянских хозяйств, произвести частичный пересмотр льгот и преимуществ военнослужащим под углом зрения развития колхозного строительства.</w:t>
      </w:r>
    </w:p>
    <w:p w14:paraId="52F079D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 В связи с развитием технических войск и необходимостью укомплектования их квалифицированной силой Наркомвоенмору совместно с </w:t>
      </w:r>
      <w:proofErr w:type="spellStart"/>
      <w:r w:rsidRPr="00A259BD">
        <w:rPr>
          <w:rFonts w:ascii="Times New Roman" w:hAnsi="Times New Roman"/>
          <w:color w:val="000000" w:themeColor="text1"/>
          <w:sz w:val="16"/>
          <w:szCs w:val="16"/>
        </w:rPr>
        <w:t>Наркомтрудом</w:t>
      </w:r>
      <w:proofErr w:type="spellEnd"/>
      <w:r w:rsidRPr="00A259BD">
        <w:rPr>
          <w:rFonts w:ascii="Times New Roman" w:hAnsi="Times New Roman"/>
          <w:color w:val="000000" w:themeColor="text1"/>
          <w:sz w:val="16"/>
          <w:szCs w:val="16"/>
        </w:rPr>
        <w:t xml:space="preserve"> разработать вопросы: накопления среди допризывных возрастов необходимых специалистов, главным образом — по механической тяге и двигателям внутреннего сгорания, и обеспечения размещения в промышленности специалистов, получивших подготовку в рядах РККА.</w:t>
      </w:r>
    </w:p>
    <w:p w14:paraId="6E7F1C7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вопросу о частичном пересмотре льгот и преимуществ военнослужащих в отношении отбывающих службу по призыву под углом зрения развивающегося колхозного строительства</w:t>
      </w:r>
    </w:p>
    <w:p w14:paraId="1D73557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Производственное кооперирование крестьянства является основным путем социалистического преобразования сельского хозяйства. При этом наилучшим способом поднятия благосостояния отдельных хозяйств является переход от единоличных хозяйств к коллективным формам их (коммунам, артелям, товариществам).</w:t>
      </w:r>
    </w:p>
    <w:p w14:paraId="6CA2D9C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деле реконструкции сельского хозяйства на основе производственного кооперирования и коллективизации Рабоче-Крестьянская Красная Армия, на две трети </w:t>
      </w:r>
      <w:proofErr w:type="spellStart"/>
      <w:r w:rsidRPr="00A259BD">
        <w:rPr>
          <w:rFonts w:ascii="Times New Roman" w:hAnsi="Times New Roman"/>
          <w:color w:val="000000" w:themeColor="text1"/>
          <w:sz w:val="16"/>
          <w:szCs w:val="16"/>
        </w:rPr>
        <w:t>состоящаяиз</w:t>
      </w:r>
      <w:proofErr w:type="spellEnd"/>
      <w:r w:rsidRPr="00A259BD">
        <w:rPr>
          <w:rFonts w:ascii="Times New Roman" w:hAnsi="Times New Roman"/>
          <w:color w:val="000000" w:themeColor="text1"/>
          <w:sz w:val="16"/>
          <w:szCs w:val="16"/>
        </w:rPr>
        <w:t xml:space="preserve"> крестьянства, может и должна сыграть громадную роль. Как показывает опыт, красноармейские массы, расширив свой политический кругозор и приобретя технические навыки, идут навстречу колхозному строительству и проявляют к нему значительный интерес. Задача сводится, следовательно, к тому, чтобы создать условия, которые облегчили бы увольняемому в долгосрочный отпуск красноармейцу возможность войти в существующее уже коллективное хозяйство или вместе с товарищами-отпускниками образовать новое. Кроме того, необходимо, чтобы помимо сочувствия к коллективным хозяйствам красноармейцу бросилась в глаза выгодность участия в этих хозяйствах по сравнению с единоличным хозяйством. Советское законодательство уже проводит ряд мероприятий (по наделению землей, землеустройству и т.д.), которые носят </w:t>
      </w:r>
      <w:proofErr w:type="spellStart"/>
      <w:r w:rsidRPr="00A259BD">
        <w:rPr>
          <w:rFonts w:ascii="Times New Roman" w:hAnsi="Times New Roman"/>
          <w:color w:val="000000" w:themeColor="text1"/>
          <w:sz w:val="16"/>
          <w:szCs w:val="16"/>
        </w:rPr>
        <w:t>поощрительныйхарактер</w:t>
      </w:r>
      <w:proofErr w:type="spellEnd"/>
      <w:r w:rsidRPr="00A259BD">
        <w:rPr>
          <w:rFonts w:ascii="Times New Roman" w:hAnsi="Times New Roman"/>
          <w:color w:val="000000" w:themeColor="text1"/>
          <w:sz w:val="16"/>
          <w:szCs w:val="16"/>
        </w:rPr>
        <w:t xml:space="preserve"> по отношению к колхозному строительству. Но для оканчивающих непрерывную службу в кадрах РККА военнослужащих в виду указанного значения в деле колхозного строительства красноармейской массы, надлежит создать ряд особых льгот, которые облегчили бы приобщение увольняемого в долгосрочный отпуск к колхозному строительству.</w:t>
      </w:r>
    </w:p>
    <w:p w14:paraId="3E8A54F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Такими льготами могли бы быть:</w:t>
      </w:r>
    </w:p>
    <w:p w14:paraId="5BE9F99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1.Установление льготного кредитования на членские вступительные взносы как для тех отпускников, которые пожелали бы вступить в уже существующие колхозы, так и во вновь образуемые отпускниками (долгосрочный кредит, уменьшенный процент).</w:t>
      </w:r>
    </w:p>
    <w:p w14:paraId="3A18233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2.Распространение на тот или иной срок (но свыше одного года) на колхозы, образуемые отпускниками, а возможно и на существующие колхозы, пополняемые более чем на половину отпускниками, льгот в области сельского хозяйства, предоставляемых Кодексом о льготах в течение года отдельным хозяйствам отпускников, а именно:</w:t>
      </w:r>
    </w:p>
    <w:p w14:paraId="4B0BD24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производство ссуды посевного материала в первую очередь и на льготных основаниях;</w:t>
      </w:r>
    </w:p>
    <w:p w14:paraId="1F8E5A0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производство кредитования в первую очередь и на льготных основаниях при покупке и продаже живого и мертвого с/х инвентаря;</w:t>
      </w:r>
    </w:p>
    <w:p w14:paraId="332000B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отпуск во временное пользование бесплатно или на льготных условиях с/х инвентаря с прокатных пунктов;</w:t>
      </w:r>
    </w:p>
    <w:p w14:paraId="6DC8BF0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отпуск леса с понижением установленной законом таксы;</w:t>
      </w:r>
    </w:p>
    <w:p w14:paraId="4955591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понижение платы за случку скота;</w:t>
      </w:r>
    </w:p>
    <w:p w14:paraId="6A48AB3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производство бесплатной ветеринарной лечебной помощи, производимой в первую очередь.</w:t>
      </w:r>
    </w:p>
    <w:p w14:paraId="00DC41B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3.Установление на льготных условиях снабжения с/х машинами, орудиями и минеральными удобрениями.</w:t>
      </w:r>
    </w:p>
    <w:p w14:paraId="1CD26EF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4.Разрешение пользоваться наемным трудом в случаях отвлечения членов колхозов для использования военных обязанностей.</w:t>
      </w:r>
    </w:p>
    <w:p w14:paraId="4FF8A16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5.Преимущественный перед отдельными хозяйствами отвод земель из госфонда в случае недостаточности земельных наделов, вливаемых в колхоз его участниками (право на получение земельного надела предоставляется кодексом отдельным хозяйствам).</w:t>
      </w:r>
    </w:p>
    <w:p w14:paraId="1054A1F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6.Преимущественное перед отдельными хозяйствами предоставление на льготных основаниях земель в порядке переселения (это право предоставляется кодексом и отдельным хозяйствам).</w:t>
      </w:r>
    </w:p>
    <w:p w14:paraId="19D5F25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7.Установление первоочередности в производстве землеустроительных работ за счет государства (по кодексу — лишь с понижением оплаты).</w:t>
      </w:r>
    </w:p>
    <w:p w14:paraId="3FBEF89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8.Расширение льготы, предоставленной уже по Положению о едином с/х налоге (сущность имеющейся льготы — колхозы, организуемые отпускниками, освобождаются на два года от уплаты с/х налога, если организованы не менее чем наполовину отпускниками, и притом — в течение первого года по увольнении).</w:t>
      </w:r>
    </w:p>
    <w:p w14:paraId="1C54159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вопросу об особых льготах для младшего начальствующего состава территориальных войск за время состояния в переменном составе</w:t>
      </w:r>
    </w:p>
    <w:p w14:paraId="60CD466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Младший переменный и начальствующий состав территориальных частей комплектуется исключительно из </w:t>
      </w:r>
      <w:proofErr w:type="spellStart"/>
      <w:r w:rsidRPr="00A259BD">
        <w:rPr>
          <w:rFonts w:ascii="Times New Roman" w:hAnsi="Times New Roman"/>
          <w:color w:val="000000" w:themeColor="text1"/>
          <w:sz w:val="16"/>
          <w:szCs w:val="16"/>
        </w:rPr>
        <w:t>долгосрочноотпускного</w:t>
      </w:r>
      <w:proofErr w:type="spellEnd"/>
      <w:r w:rsidRPr="00A259BD">
        <w:rPr>
          <w:rFonts w:ascii="Times New Roman" w:hAnsi="Times New Roman"/>
          <w:color w:val="000000" w:themeColor="text1"/>
          <w:sz w:val="16"/>
          <w:szCs w:val="16"/>
        </w:rPr>
        <w:t xml:space="preserve"> младшего начсостава. Вследствие этого он в течение года по увольнении с непрерывной службы пользуется уже льготами в области трудового землепользования и сельского хозяйства, а также труда и социального страхования, предоставленными кодексом уволенным[66].Однако то обстоятельство, что указанный начсостав, отбыв установленный срок непрерывной службы, в течение трех лет состояния в долгосрочном отпуску вновь ежегодно призывается к исполнению обязанностей службы, хотя бы лишь на учебные сборы, дает достаточные основания, чтобы предоставить ему за время состояния в </w:t>
      </w:r>
      <w:proofErr w:type="spellStart"/>
      <w:r w:rsidRPr="00A259BD">
        <w:rPr>
          <w:rFonts w:ascii="Times New Roman" w:hAnsi="Times New Roman"/>
          <w:color w:val="000000" w:themeColor="text1"/>
          <w:sz w:val="16"/>
          <w:szCs w:val="16"/>
        </w:rPr>
        <w:t>долгосрочномотпуску</w:t>
      </w:r>
      <w:proofErr w:type="spellEnd"/>
      <w:r w:rsidRPr="00A259BD">
        <w:rPr>
          <w:rFonts w:ascii="Times New Roman" w:hAnsi="Times New Roman"/>
          <w:color w:val="000000" w:themeColor="text1"/>
          <w:sz w:val="16"/>
          <w:szCs w:val="16"/>
        </w:rPr>
        <w:t>:</w:t>
      </w:r>
    </w:p>
    <w:p w14:paraId="3E12C39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1.Установленные для состоящих на непрерывной службе льготы в области сельского хозяйства (льготные условия для ссуды посевного материала для кредитования на с/х нужды, отпуска леса, случки скота и т.д.), а равно льготы в области труда и социального страхования (посылка на работу наравне с застрахованными, право на бронирование должностей, на пособие по безработице относительно к стажу работы по найму и т.д.).</w:t>
      </w:r>
    </w:p>
    <w:p w14:paraId="70E77B4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2.Право на льготы по с/х налогу, установленные для состоящих на непрерывной службе (сущность льготы — если хозяйство имеет доходность, не превышающую 190 руб. на хозяйстве при числе едоков менее 4-х и 65 руб. на едока при числе едоков более 4-х, то оно освобождается от 3/4 налога, если же доходность превышает указанные суммы, то при отсутствии в хозяйстве трудоспособных мужчин, оно освобождается от половины налога, а при наличии трудоспособных мужчин — от 1/4 налога).</w:t>
      </w:r>
    </w:p>
    <w:p w14:paraId="7B7269A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Подготовка войск в данный момент</w:t>
      </w:r>
    </w:p>
    <w:p w14:paraId="6F4C117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Материально-техническая база: лагеря, стрельбища, полигоны, учебные поля, учебные пособия, средства на подготовку.</w:t>
      </w:r>
    </w:p>
    <w:p w14:paraId="5448094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Вооружение. Его состояние. Отпуск боеприпасов для обучения и состояние технического имущества.</w:t>
      </w:r>
    </w:p>
    <w:p w14:paraId="6A98E86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Боевой конский состав.</w:t>
      </w:r>
    </w:p>
    <w:p w14:paraId="0718515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Система боевого обучения войск (</w:t>
      </w:r>
      <w:proofErr w:type="spellStart"/>
      <w:r w:rsidRPr="00A259BD">
        <w:rPr>
          <w:rFonts w:ascii="Times New Roman" w:hAnsi="Times New Roman"/>
          <w:color w:val="000000" w:themeColor="text1"/>
          <w:sz w:val="16"/>
          <w:szCs w:val="16"/>
        </w:rPr>
        <w:t>целеустановки</w:t>
      </w:r>
      <w:proofErr w:type="spellEnd"/>
      <w:r w:rsidRPr="00A259BD">
        <w:rPr>
          <w:rFonts w:ascii="Times New Roman" w:hAnsi="Times New Roman"/>
          <w:color w:val="000000" w:themeColor="text1"/>
          <w:sz w:val="16"/>
          <w:szCs w:val="16"/>
        </w:rPr>
        <w:t>, уставы, наставления).</w:t>
      </w:r>
    </w:p>
    <w:p w14:paraId="4AF570F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Достижения в подготовке родов войск.</w:t>
      </w:r>
    </w:p>
    <w:p w14:paraId="44FB7EF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Общевойсковая подготовка, взаимодействие и оценка уровня боевой подготовки на данной ступени.</w:t>
      </w:r>
    </w:p>
    <w:p w14:paraId="7F4264E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Основные недостатки: отставание в подготовке специалистов.</w:t>
      </w:r>
    </w:p>
    <w:p w14:paraId="3126D5D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Перегрузка кадров, проистекающая из необходимости обучения дополнительных контингентов: комсостава запаса, излишков призыва.</w:t>
      </w:r>
    </w:p>
    <w:p w14:paraId="39E5F81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Материально-техническая база: лагеря, стрельбища, полигоны, учебные поля, учебные пособия, средства на подготовку:</w:t>
      </w:r>
    </w:p>
    <w:p w14:paraId="466A53A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Материально-техническая база боевой подготовки войск в части обеспечения их надлежащими лагерными участками со всем необходимым для учебы оборудованием все еще является самым больным местом нашей учебы.</w:t>
      </w:r>
    </w:p>
    <w:p w14:paraId="78191A3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 стратегическая конница почти совершенно (за исключением 4-го конного корпуса) не имеет лагерей, не имеет учебных полей и сколько-нибудь приличных стрельбищ. Имеющиеся лагери, полигоны, учебные поля, стрельбища, саперные и гимнастические городки оборудованы мало по причине недостаточного отпуска (не более 10% потребности) </w:t>
      </w:r>
      <w:proofErr w:type="spellStart"/>
      <w:r w:rsidRPr="00A259BD">
        <w:rPr>
          <w:rFonts w:ascii="Times New Roman" w:hAnsi="Times New Roman"/>
          <w:color w:val="000000" w:themeColor="text1"/>
          <w:sz w:val="16"/>
          <w:szCs w:val="16"/>
        </w:rPr>
        <w:t>инеустановившейся</w:t>
      </w:r>
      <w:proofErr w:type="spellEnd"/>
      <w:r w:rsidRPr="00A259BD">
        <w:rPr>
          <w:rFonts w:ascii="Times New Roman" w:hAnsi="Times New Roman"/>
          <w:color w:val="000000" w:themeColor="text1"/>
          <w:sz w:val="16"/>
          <w:szCs w:val="16"/>
        </w:rPr>
        <w:t xml:space="preserve"> дислокации лагерей.</w:t>
      </w:r>
    </w:p>
    <w:p w14:paraId="760EBDC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Этот вопрос находится в тесной связи с системой отвода земельных участков под лагерное строительство. За </w:t>
      </w:r>
      <w:proofErr w:type="spellStart"/>
      <w:r w:rsidRPr="00A259BD">
        <w:rPr>
          <w:rFonts w:ascii="Times New Roman" w:hAnsi="Times New Roman"/>
          <w:color w:val="000000" w:themeColor="text1"/>
          <w:sz w:val="16"/>
          <w:szCs w:val="16"/>
        </w:rPr>
        <w:t>Военведом</w:t>
      </w:r>
      <w:proofErr w:type="spellEnd"/>
      <w:r w:rsidRPr="00A259BD">
        <w:rPr>
          <w:rFonts w:ascii="Times New Roman" w:hAnsi="Times New Roman"/>
          <w:color w:val="000000" w:themeColor="text1"/>
          <w:sz w:val="16"/>
          <w:szCs w:val="16"/>
        </w:rPr>
        <w:t xml:space="preserve"> в данное время числится 190 участков земель с площадью, далеко недостаточной для обеспечения нормальной учебы; из этого числа земель оформлено всего 25 % из-за отсутствия в распоряжении </w:t>
      </w:r>
      <w:proofErr w:type="spellStart"/>
      <w:r w:rsidRPr="00A259BD">
        <w:rPr>
          <w:rFonts w:ascii="Times New Roman" w:hAnsi="Times New Roman"/>
          <w:color w:val="000000" w:themeColor="text1"/>
          <w:sz w:val="16"/>
          <w:szCs w:val="16"/>
        </w:rPr>
        <w:t>Военведа</w:t>
      </w:r>
      <w:proofErr w:type="spellEnd"/>
      <w:r w:rsidRPr="00A259BD">
        <w:rPr>
          <w:rFonts w:ascii="Times New Roman" w:hAnsi="Times New Roman"/>
          <w:color w:val="000000" w:themeColor="text1"/>
          <w:sz w:val="16"/>
          <w:szCs w:val="16"/>
        </w:rPr>
        <w:t xml:space="preserve"> необходимых средств на их оплату.</w:t>
      </w:r>
    </w:p>
    <w:p w14:paraId="2E93CF1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текущий 1928/29 учебный год положительного разрешения земельного вопроса также не будет достигнуто, так как предположительные к отпуску средства (1 700 000 руб.) обеспечат только на 67% оплату земель, уже оформленных СТО, но еще не оплаченных.</w:t>
      </w:r>
    </w:p>
    <w:p w14:paraId="777D788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настоящее время командованию округов предписано наметить необходимые для лагерей участки земли и войти с ходатайством перед местными советскими органами об </w:t>
      </w:r>
      <w:proofErr w:type="spellStart"/>
      <w:r w:rsidRPr="00A259BD">
        <w:rPr>
          <w:rFonts w:ascii="Times New Roman" w:hAnsi="Times New Roman"/>
          <w:color w:val="000000" w:themeColor="text1"/>
          <w:sz w:val="16"/>
          <w:szCs w:val="16"/>
        </w:rPr>
        <w:t>ихотводе</w:t>
      </w:r>
      <w:proofErr w:type="spellEnd"/>
      <w:r w:rsidRPr="00A259BD">
        <w:rPr>
          <w:rFonts w:ascii="Times New Roman" w:hAnsi="Times New Roman"/>
          <w:color w:val="000000" w:themeColor="text1"/>
          <w:sz w:val="16"/>
          <w:szCs w:val="16"/>
        </w:rPr>
        <w:t xml:space="preserve">; но для обеспечения этого вопроса </w:t>
      </w:r>
      <w:proofErr w:type="spellStart"/>
      <w:r w:rsidRPr="00A259BD">
        <w:rPr>
          <w:rFonts w:ascii="Times New Roman" w:hAnsi="Times New Roman"/>
          <w:color w:val="000000" w:themeColor="text1"/>
          <w:sz w:val="16"/>
          <w:szCs w:val="16"/>
        </w:rPr>
        <w:t>Военведу</w:t>
      </w:r>
      <w:proofErr w:type="spellEnd"/>
      <w:r w:rsidRPr="00A259BD">
        <w:rPr>
          <w:rFonts w:ascii="Times New Roman" w:hAnsi="Times New Roman"/>
          <w:color w:val="000000" w:themeColor="text1"/>
          <w:sz w:val="16"/>
          <w:szCs w:val="16"/>
        </w:rPr>
        <w:t xml:space="preserve"> необходимо иметь ориентировочно до 6 миллионов рублей (предположено же к отпуску в 1928/29 гг. всего — 1,7 млн. рублей),не считая отвода артиллерийских полигонов (на отвод которых необходимо не менее 6 миллионов рублей).</w:t>
      </w:r>
    </w:p>
    <w:p w14:paraId="2386C47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Предлагаемый графический материал(схема №№ 1 и 2)показывает на то, что немногие округа обладают соответствующими земельными участками.</w:t>
      </w:r>
    </w:p>
    <w:p w14:paraId="042AE96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особо тяжелом положении находятся: БВО, МВО, СКВО и ККА.</w:t>
      </w:r>
    </w:p>
    <w:p w14:paraId="7D492A1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учебное оборудование всех лагерей РККА (без артиллерийских полигонов) необходимо около 9 миллионов рублей, а с артиллерийскими полигонами — до 15 миллионов рублей. Означенные цифры предусматривают лишь минимальное учебное оборудование.</w:t>
      </w:r>
    </w:p>
    <w:p w14:paraId="7AE1E45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настоящем учебном году (1928/29) полностью удастся оборудовать только учебные поля (отпускается 1 100 000 рублей).</w:t>
      </w:r>
    </w:p>
    <w:p w14:paraId="4700D76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Пятилетний план лагерно-полигонного строительства (в общей смете до 27 миллионов рублей) реального разрешения еще не получил.</w:t>
      </w:r>
    </w:p>
    <w:p w14:paraId="0654A4D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зимних квартирах вопрос со стрельбищами и тирами стоит также очень остро.</w:t>
      </w:r>
    </w:p>
    <w:p w14:paraId="7844DA2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Большинство имеющихся тиров старой постройки и требуют значительного ремонта; в ряде частей тиров нет вовсе. Имеющиеся тиры в большинстве построены на короткие дистанции (100 м), что не обеспечивает прохождение стрельб в зимнее время.</w:t>
      </w:r>
    </w:p>
    <w:p w14:paraId="04728C7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Отпуск кредитов на боевую подготовку частей РККА и проведение допризывной и вневойсковой подготовки в 1927/28 бюджетном году выражался в сумме 11 600 000 рублей, против 10191 000 рублей 1926/27 бюджетного года, т.е. общее увеличение по § 44 и 45 составляет около 12%.</w:t>
      </w:r>
    </w:p>
    <w:p w14:paraId="3982CFC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указанной выше суммы на войсковую подготовку и маневры отпущено 4 844 000 рублей, что превышает назначение кредита прошлого года на 28,7%.</w:t>
      </w:r>
    </w:p>
    <w:p w14:paraId="6A68C68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Повышение это падает не на основное назначение по обучению частей, а на новые мероприятия: на подготовку студентов гражданских ВУЗов вне лагерным порядком, на переподготовку рядового и младшего начальствующего состава запаса, на оборудование учебных полей и увеличение кредита на маневры.</w:t>
      </w:r>
    </w:p>
    <w:p w14:paraId="5094F15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Кредиты на прочие назначения остались почти на уровне 1926/27 года и нормы отпусков на обучение не возросли и составили в среднем 50—60% норм, установленных приказом РВС СССР.</w:t>
      </w:r>
    </w:p>
    <w:p w14:paraId="7CFBC80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Кредиты на проведение допризывной и вневойсковой подготовки и переподготовку начсостава запаса были отпущены в размере 7 640 000 рублей против 6 756 000 рублей 1926/27 </w:t>
      </w:r>
      <w:proofErr w:type="spellStart"/>
      <w:r w:rsidRPr="00A259BD">
        <w:rPr>
          <w:rFonts w:ascii="Times New Roman" w:hAnsi="Times New Roman"/>
          <w:color w:val="000000" w:themeColor="text1"/>
          <w:sz w:val="16"/>
          <w:szCs w:val="16"/>
        </w:rPr>
        <w:t>года,что</w:t>
      </w:r>
      <w:proofErr w:type="spellEnd"/>
      <w:r w:rsidRPr="00A259BD">
        <w:rPr>
          <w:rFonts w:ascii="Times New Roman" w:hAnsi="Times New Roman"/>
          <w:color w:val="000000" w:themeColor="text1"/>
          <w:sz w:val="16"/>
          <w:szCs w:val="16"/>
        </w:rPr>
        <w:t xml:space="preserve"> составляет увеличение на 14 %, которое и падает целиком на переподготовку начсостава запаса[67].</w:t>
      </w:r>
    </w:p>
    <w:p w14:paraId="6235DFE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Сметой 1928/29 года предусмотрено значительное увеличение кредитов на обучение и нормы отпусков — приближаются к 100 %, установленных приказом РВС СССР норм.</w:t>
      </w:r>
    </w:p>
    <w:p w14:paraId="47DB8AA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Вооружение. Его состояние. Отпуск боеприпасов для обучения и состояния технического имущества:</w:t>
      </w:r>
    </w:p>
    <w:p w14:paraId="4C629AB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Состояние и содержание оружия в целом удовлетворительное, но таковое находится не на должной высоте, главным образом — в отношении ручных пулеметов (Льюиса, Шоша):изношены, расшатаны и не имеют запасных частей.</w:t>
      </w:r>
    </w:p>
    <w:p w14:paraId="7DD6DA0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Начавшееся снабжение армии ручными пулеметами системы Максима—Токарева[68]и Дегтярева[69]значительно улучшит положение с ручными пулеметами, т.к. до настоящего последние годы армия стрельбы из ручных пулеметов не вела из-за плохой материальной части. Из винтовок в наихудшем состоянии находятся винтовки изготовления 1920—1923 гг. Неисправные ныне заменяются (пока в 3-х округах и ВУЗах) на винтовки 1925—1928 гг.</w:t>
      </w:r>
    </w:p>
    <w:p w14:paraId="36769C6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Отпуск боевых патронов для винтовок равен 56%, для ручных пулеметов — 98% и для станковых пулеметов — 75%, установленных уставом норм, что можно считать в общем удовлетворительным. Недостаточен пока отпуск малозарядных и холостых патронов, а также боевых гранат[70].</w:t>
      </w:r>
    </w:p>
    <w:p w14:paraId="7F59EF4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Снаряды для батальонной артиллерии (по 100 на взвод) давали возможность провести минимальный курс показных и боевых стрельб; для минометов (8 мин на миномет) отпуск не обеспечивал даже показных учений.</w:t>
      </w:r>
    </w:p>
    <w:p w14:paraId="383E7AC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артиллерии отпуск боевых припасов также недостаточен, несмотря на некоторое увеличение. Условия хранения и сбережения материальной части артиллерии не вполне удовлетворительны ввиду отсутствия в большинстве артиллерийских частей крытых помещений для хранения.</w:t>
      </w:r>
    </w:p>
    <w:p w14:paraId="4FF8C61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Боевых угломеров-квадратов для пулеметов, прицелов для воздушной стрельбы из пулеметов имеется минимальное число, не обеспечивающее нормальной работы войск. Биноклей, годных для работы в стрелковых частях, имеется крайне ограниченное количество, также не обеспечивающее нормальной работы войск. Дальномеров в пулеметных частях нет.</w:t>
      </w:r>
    </w:p>
    <w:p w14:paraId="15D410C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артиллерийских частях значительный некомплект приборов наблюдения и управления огнем (стереотрубы — </w:t>
      </w:r>
      <w:proofErr w:type="spellStart"/>
      <w:r w:rsidRPr="00A259BD">
        <w:rPr>
          <w:rFonts w:ascii="Times New Roman" w:hAnsi="Times New Roman"/>
          <w:color w:val="000000" w:themeColor="text1"/>
          <w:sz w:val="16"/>
          <w:szCs w:val="16"/>
        </w:rPr>
        <w:t>ок</w:t>
      </w:r>
      <w:proofErr w:type="spellEnd"/>
      <w:r w:rsidRPr="00A259BD">
        <w:rPr>
          <w:rFonts w:ascii="Times New Roman" w:hAnsi="Times New Roman"/>
          <w:color w:val="000000" w:themeColor="text1"/>
          <w:sz w:val="16"/>
          <w:szCs w:val="16"/>
        </w:rPr>
        <w:t xml:space="preserve">. 30%, бинокли — </w:t>
      </w:r>
      <w:proofErr w:type="spellStart"/>
      <w:r w:rsidRPr="00A259BD">
        <w:rPr>
          <w:rFonts w:ascii="Times New Roman" w:hAnsi="Times New Roman"/>
          <w:color w:val="000000" w:themeColor="text1"/>
          <w:sz w:val="16"/>
          <w:szCs w:val="16"/>
        </w:rPr>
        <w:t>ок</w:t>
      </w:r>
      <w:proofErr w:type="spellEnd"/>
      <w:r w:rsidRPr="00A259BD">
        <w:rPr>
          <w:rFonts w:ascii="Times New Roman" w:hAnsi="Times New Roman"/>
          <w:color w:val="000000" w:themeColor="text1"/>
          <w:sz w:val="16"/>
          <w:szCs w:val="16"/>
        </w:rPr>
        <w:t>. 50%, буссоли — 25%, дальномеры — 55%).</w:t>
      </w:r>
    </w:p>
    <w:p w14:paraId="0393C95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Техническим имуществом (связи и инженерным) войсковые части обеспечены в различной степени (от 25 до 100%); мастерским инструментом обеспечены на 50%.</w:t>
      </w:r>
    </w:p>
    <w:p w14:paraId="57A06A9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Маскировочного имущества в частях недостаточно (до 50—65%).</w:t>
      </w:r>
    </w:p>
    <w:p w14:paraId="40262E7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Учебное техническое имущество находится в большинстве в неудовлетворительном состоянии (изношенный кабель, отсутствие батарей для возможности работ в поле).</w:t>
      </w:r>
    </w:p>
    <w:p w14:paraId="13D0B47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Учебных пулеметов имеется всего 30% нормы.</w:t>
      </w:r>
    </w:p>
    <w:p w14:paraId="48A8060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Материальное обеспечение физической подготовки очень слабое: спортивный инвентарь почти отсутствует; снабжение лыжным имуществом совершенно недостаточно (имеется на 7—8% штатного состава частей); лыжи разнородного качества. Пулеметы, артиллерия и обоз санными и лыжными установками также не обеспечены.</w:t>
      </w:r>
    </w:p>
    <w:p w14:paraId="70FC41B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Боевой конский состав и боевой обоз:</w:t>
      </w:r>
    </w:p>
    <w:p w14:paraId="1871D70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Войсковые части пехоты, артиллерии, войсковой и стратегической конницы имеют значительный некомплект строевых лошадей (под седло) — от 23 до 59%, но зато имеют значительный сверхкомплект обозных лошадей (доходящий в стратегической коннице до 105% и в войсковой — до 409%), что в известной степени препятствует наладить полевую подготовку артиллерийских и кавалерийских частей и подготовить на должную высоту конное дело.</w:t>
      </w:r>
    </w:p>
    <w:p w14:paraId="625327B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Чрезвычайно остро обстоит вопрос с боевым обозом для использования его в целях учебы (особенно в зимний период). Штаты обоза мирного времени не обеспечивают целей учебы, особенно в территориальных стрелковых дивизиях, где на период общих сборов приходится прибегать к вольнонаемным. Специальных тачанок для перевозки станковых пулеметов пехота не имеет.</w:t>
      </w:r>
    </w:p>
    <w:p w14:paraId="2B289C0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Система боевого обучения войск (</w:t>
      </w:r>
      <w:proofErr w:type="spellStart"/>
      <w:r w:rsidRPr="00A259BD">
        <w:rPr>
          <w:rFonts w:ascii="Times New Roman" w:hAnsi="Times New Roman"/>
          <w:color w:val="000000" w:themeColor="text1"/>
          <w:sz w:val="16"/>
          <w:szCs w:val="16"/>
        </w:rPr>
        <w:t>целеустановки</w:t>
      </w:r>
      <w:proofErr w:type="spellEnd"/>
      <w:r w:rsidRPr="00A259BD">
        <w:rPr>
          <w:rFonts w:ascii="Times New Roman" w:hAnsi="Times New Roman"/>
          <w:color w:val="000000" w:themeColor="text1"/>
          <w:sz w:val="16"/>
          <w:szCs w:val="16"/>
        </w:rPr>
        <w:t>, уставы и наставления):</w:t>
      </w:r>
    </w:p>
    <w:p w14:paraId="4FF7C4D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Система боевого обучения родов войск в значительной степени зависит от системы обучения пехоты. Поставив рационально обучение пехоты, главного и самого многочисленного рода войск, можно легко соответственно организовать учебу остальных родов войск, оружия и служб.</w:t>
      </w:r>
    </w:p>
    <w:p w14:paraId="6F473A5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лета 1927 года боевая подготовка войск велась в значительной степени обособленно для каждого рода войск, отводя главное внимание подготовке по специальностям. Вопросам взаимодействия родов войск и общевойскового боя отводилось незначительное время. С лета 1927 года в боевую подготовку РККА была внесена значительная четкость (директива Наркомвоенмора от 21 февраля 1927 года) — с перенесением центра тяжести на: 1) усиление внимания к боевой подготовке крупных частей (батальона в пехоте, полка—бригады в коннице и т.д.); 2) упорядочение и оживление общевойсковой подготовки, в частности, обеспечение обучения батальона и полка совместно с артиллерией и другими техническими средствами и отрядных учений.</w:t>
      </w:r>
    </w:p>
    <w:p w14:paraId="1A959AA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Означенные задачи заставили сжать сроки подготовки мелких частей как в пехоте, так в коннице и артиллерии в зимний период, и увеличить до некоторой степени сроки общевойсковых сборов в летний период.</w:t>
      </w:r>
    </w:p>
    <w:p w14:paraId="785A04E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Общевойсковая подготовка в зимний период и в этом случае не получила должного разрешения. Обеспечить в зимнее время выходы частей—отрядов в поле с разнообразными задачами подготовки, несмотря на ясно сознаваемую необходимость в том, было нельзя, ибо учения частей—отрядов не были обеспечены ни соответствующей выучкой молодых бойцов, ни материальной базой (лыжи).</w:t>
      </w:r>
    </w:p>
    <w:p w14:paraId="307AF9C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Учет результатов обучения настоящего года и в особенности результаты маневров показали, что достижения в специальной подготовке отдельных родов войск имеются достаточные, но слаженности совместных действий родов войск в составе полка и высших соединений еще в достаточной мере не достигнуто; налицо резкие недочеты как в технике управления боем со стороны командования и штабов полков и соединений, так и в технике боевого использования родов общевойсковыми начальниками (постановка задач частям различных родов войск, тактическое объединение их действий).</w:t>
      </w:r>
    </w:p>
    <w:p w14:paraId="78CCCB1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связи с вышеизложенным назрела настойчивая необходимость в фактической реализации совместного обучения родов войск на протяжении всего года (а не только в летний период) как в составе крупных соединений, так и мелких подразделений в период их слаживания и специального обучения.</w:t>
      </w:r>
    </w:p>
    <w:p w14:paraId="6398FB7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Переходя к оценке боевых и специальных уставов РККА, необходимо отметить, что некоторые из них уже не отвечают современным требованиям. В первую очередь в ближайшее время войскам будут даны основные новые уставы, как-то: дисциплинарный, внутренний и гарнизонной службы, полевой устав, боевой устав пехоты ч.1 (строевой) и др.[...]</w:t>
      </w:r>
    </w:p>
    <w:p w14:paraId="7EF4D03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Достижения в подготовке родов войск:</w:t>
      </w:r>
    </w:p>
    <w:p w14:paraId="10E5883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1)Пехота:</w:t>
      </w:r>
    </w:p>
    <w:p w14:paraId="50A811C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Задачи, поставленные РВС СССР в боевой подготовке пехоты, в основном получили достаточное разрешение*.Налицо определенный рост боевой подготовки пехоты, сопровождаемый ростом политической сознательности красноармейской массы и начсостава.</w:t>
      </w:r>
    </w:p>
    <w:p w14:paraId="5ABEF10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Строевая </w:t>
      </w:r>
      <w:proofErr w:type="spellStart"/>
      <w:r w:rsidRPr="00A259BD">
        <w:rPr>
          <w:rFonts w:ascii="Times New Roman" w:hAnsi="Times New Roman"/>
          <w:color w:val="000000" w:themeColor="text1"/>
          <w:sz w:val="16"/>
          <w:szCs w:val="16"/>
        </w:rPr>
        <w:t>подготовкабойцов</w:t>
      </w:r>
      <w:proofErr w:type="spellEnd"/>
      <w:r w:rsidRPr="00A259BD">
        <w:rPr>
          <w:rFonts w:ascii="Times New Roman" w:hAnsi="Times New Roman"/>
          <w:color w:val="000000" w:themeColor="text1"/>
          <w:sz w:val="16"/>
          <w:szCs w:val="16"/>
        </w:rPr>
        <w:t>, подразделений и частей значительно поднялась. Командиры и бойцы держат себя уверенно.</w:t>
      </w:r>
    </w:p>
    <w:p w14:paraId="6A31B5C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Физическая </w:t>
      </w:r>
      <w:proofErr w:type="spellStart"/>
      <w:r w:rsidRPr="00A259BD">
        <w:rPr>
          <w:rFonts w:ascii="Times New Roman" w:hAnsi="Times New Roman"/>
          <w:color w:val="000000" w:themeColor="text1"/>
          <w:sz w:val="16"/>
          <w:szCs w:val="16"/>
        </w:rPr>
        <w:t>подготовкаведется</w:t>
      </w:r>
      <w:proofErr w:type="spellEnd"/>
      <w:r w:rsidRPr="00A259BD">
        <w:rPr>
          <w:rFonts w:ascii="Times New Roman" w:hAnsi="Times New Roman"/>
          <w:color w:val="000000" w:themeColor="text1"/>
          <w:sz w:val="16"/>
          <w:szCs w:val="16"/>
        </w:rPr>
        <w:t xml:space="preserve"> на верных установках и можно рассчитывать на успех при обеспечении спортинвентарем.</w:t>
      </w:r>
    </w:p>
    <w:p w14:paraId="101715B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Значительно повысилась маршевая втянутость войсковых частей.</w:t>
      </w:r>
    </w:p>
    <w:p w14:paraId="60A7F9F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Стрелковая </w:t>
      </w:r>
      <w:proofErr w:type="spellStart"/>
      <w:r w:rsidRPr="00A259BD">
        <w:rPr>
          <w:rFonts w:ascii="Times New Roman" w:hAnsi="Times New Roman"/>
          <w:color w:val="000000" w:themeColor="text1"/>
          <w:sz w:val="16"/>
          <w:szCs w:val="16"/>
        </w:rPr>
        <w:t>подготовкапехоты</w:t>
      </w:r>
      <w:proofErr w:type="spellEnd"/>
      <w:r w:rsidRPr="00A259BD">
        <w:rPr>
          <w:rFonts w:ascii="Times New Roman" w:hAnsi="Times New Roman"/>
          <w:color w:val="000000" w:themeColor="text1"/>
          <w:sz w:val="16"/>
          <w:szCs w:val="16"/>
        </w:rPr>
        <w:t xml:space="preserve"> продвигается вперед очень медленно. Материалы по стрелковым смотрам по 45 стрелковым дивизиям (64% всех стрелковых дивизий) показывают, что только 13 дивизий (29% осмотренных частей) достигли вполне удовлетворительных результатов по всем видам стрельб (как индивидуальным, так и боевым) Вполне хорошие результаты из последних дали только 3 дивизии. Остальные 32 дивизии дали слабые результаты по индивидуальным стрельбам и в большинстве удовлетворительные результаты по боевым стрельбам.</w:t>
      </w:r>
    </w:p>
    <w:p w14:paraId="272CA02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Инспектировавшие военные пехотные школы также дали незначительные достижения по стрельбе (из 8 осмотренных школ только 50% дали удовлетворительные результаты). Особенно слабы достижения (как в войсках, так и ВУЗах) в пулеметной стрельбе как из ручных, так и из станковых пулеметов. Подготовка отличных стрелков ощутительных результатов не дала; процент отличных стрелков в частях чрезвычайно мал.</w:t>
      </w:r>
    </w:p>
    <w:p w14:paraId="760950A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Стрельбы по воздушным целям находятся в зачаточном состоянии.</w:t>
      </w:r>
    </w:p>
    <w:p w14:paraId="5E674DD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Стрельбы из станковых пулеметов с угломером-квадрантом во многих частях велись только как показные.</w:t>
      </w:r>
    </w:p>
    <w:p w14:paraId="3C21F5A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организацией и методикой проведения боевых стрельб частями в истекшем году значительно улучшилось. По-прежнему причиной неполного осуществления этого вида стрельб являются недостатки в оборудованных стрельбищах.</w:t>
      </w:r>
    </w:p>
    <w:p w14:paraId="7DDA5C5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сравнению с результатами прошлого года, несмотря на повышение требований, большинство частей дает, однако, определенное (хотя и небольшое) повышение </w:t>
      </w:r>
      <w:proofErr w:type="spellStart"/>
      <w:r w:rsidRPr="00A259BD">
        <w:rPr>
          <w:rFonts w:ascii="Times New Roman" w:hAnsi="Times New Roman"/>
          <w:color w:val="000000" w:themeColor="text1"/>
          <w:sz w:val="16"/>
          <w:szCs w:val="16"/>
        </w:rPr>
        <w:t>стрелковойподготовленности</w:t>
      </w:r>
      <w:proofErr w:type="spellEnd"/>
      <w:r w:rsidRPr="00A259BD">
        <w:rPr>
          <w:rFonts w:ascii="Times New Roman" w:hAnsi="Times New Roman"/>
          <w:color w:val="000000" w:themeColor="text1"/>
          <w:sz w:val="16"/>
          <w:szCs w:val="16"/>
        </w:rPr>
        <w:t xml:space="preserve"> по всем видам оружия пехоты, особенно с точки зрения достаточно умелого тактического использования огневых средств. Причем подготовленность кадровой пехоты значительно выше территориальной (особенно по пулеметам, например: по БВО — кадровая пехота по винтовкам 71% и по пулеметам — 67%, а территориальная пехота по винтовкам — 47% и по пулеметам — 28 %.).</w:t>
      </w:r>
    </w:p>
    <w:p w14:paraId="3D1455E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Основная причина слабого темпа роста стрелковой подготовки лежит в неудовлетворительности методов подготовки и необеспеченности войск тирами и стрельбищами. Меры к улучшению методов принимаются; прежде всего, должно быть переработано «Наставление по стрелковому делу», к чему уже преступлено. Строительству тиров и стрельбищ мешает недостаточность кредитов на эту статью.</w:t>
      </w:r>
    </w:p>
    <w:p w14:paraId="503188D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 время производства инспекторских стрельб почти во всех округах (нет данных из МВО и СКВО) были обнаружены случаи самого грубого очковтирательства, которые выражались в переодевании комсостава рядовыми красноармейцами, в составлении смен из хороших стрелков, гастролерства лучших стрелков из полка в полк и т.п. Случаи эти имели место в следующих дивизиях: 1, 3 и 7 кавалерийских, в 1 Тихоокеанской, 2 Белорусской, 2 Кавказской, 2 Туркестанской, 16, 24, 33, 44, 51 и 57 стрелковых дивизиях.</w:t>
      </w:r>
    </w:p>
    <w:p w14:paraId="175A8F5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ряде случаев старший комсостав сам натаскивал своих подчиненных на организованное очковтирательство (80% означенных командиров дивизий, полков — члены ВПК(б)). С этим недопустимым явлением РВС Союза повел самую решительную борьбу вплоть до отрешения виновных от должностей, независимо от их служебного положения и заслуг в прошлом. Общими усилиями центра, местного командования и парторганизаций очковтирательство будет уничтожено.</w:t>
      </w:r>
    </w:p>
    <w:p w14:paraId="0839FF8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Подготовка </w:t>
      </w:r>
      <w:proofErr w:type="spellStart"/>
      <w:r w:rsidRPr="00A259BD">
        <w:rPr>
          <w:rFonts w:ascii="Times New Roman" w:hAnsi="Times New Roman"/>
          <w:color w:val="000000" w:themeColor="text1"/>
          <w:sz w:val="16"/>
          <w:szCs w:val="16"/>
        </w:rPr>
        <w:t>начсостава.В</w:t>
      </w:r>
      <w:proofErr w:type="spellEnd"/>
      <w:r w:rsidRPr="00A259BD">
        <w:rPr>
          <w:rFonts w:ascii="Times New Roman" w:hAnsi="Times New Roman"/>
          <w:color w:val="000000" w:themeColor="text1"/>
          <w:sz w:val="16"/>
          <w:szCs w:val="16"/>
        </w:rPr>
        <w:t xml:space="preserve"> целом подготовка начсостава за истекший год дала положительные результаты. По категориям наибольшие достижения заметны у командиров батальонов; средние — у командиров рот и взводов и наименьшие — у младшего начсостава. Повысилось сознание ответственности за подготовку своих частей.</w:t>
      </w:r>
    </w:p>
    <w:p w14:paraId="340BDE3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крупных недочетов — недостаточные стрелковые знания у среднего и младшего начсостава (особенно в пулеметном деле); недостаточно четкий командный язык; недостаточная требовательность к подчиненным.</w:t>
      </w:r>
    </w:p>
    <w:p w14:paraId="4658C27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умения начсостава руководить обучением и обучать подразделения истекший год не дал значительных улучшений, за исключением командиров полков и батальонов, участие которых в руководстве боевой подготовкой значительно поднялось. Имеется определенный сдвиг в сторону большего участия штабов полков в руководстве обучением.</w:t>
      </w:r>
    </w:p>
    <w:p w14:paraId="56292AF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Младший начсостав (как общее правило) не овладел инструкторством; не умеет как следует показать и объяснить ошибки, особенно в стрелковом деле.</w:t>
      </w:r>
    </w:p>
    <w:p w14:paraId="046145F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Подготовка в полковых </w:t>
      </w:r>
      <w:proofErr w:type="spellStart"/>
      <w:r w:rsidRPr="00A259BD">
        <w:rPr>
          <w:rFonts w:ascii="Times New Roman" w:hAnsi="Times New Roman"/>
          <w:color w:val="000000" w:themeColor="text1"/>
          <w:sz w:val="16"/>
          <w:szCs w:val="16"/>
        </w:rPr>
        <w:t>школах.Занятия</w:t>
      </w:r>
      <w:proofErr w:type="spellEnd"/>
      <w:r w:rsidRPr="00A259BD">
        <w:rPr>
          <w:rFonts w:ascii="Times New Roman" w:hAnsi="Times New Roman"/>
          <w:color w:val="000000" w:themeColor="text1"/>
          <w:sz w:val="16"/>
          <w:szCs w:val="16"/>
        </w:rPr>
        <w:t xml:space="preserve"> в школах велись интенсивно, продуманно и курсанты относились к занятиям внимательно и деловито. Программы в общем выполнены удовлетворительно.</w:t>
      </w:r>
    </w:p>
    <w:p w14:paraId="22C66D4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недочетам обучения необходимо отнести теоретический уклон обучения в ущерб привитию курсантам практических навыков и знаний; недостаточная инструкторская практика. Недочеты в отборе курсантов по социальному признаку.</w:t>
      </w:r>
    </w:p>
    <w:p w14:paraId="315AEE0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Намечено усиление инструкторской практики для курсантов в форме строевой учебной стажировки в ротах.</w:t>
      </w:r>
    </w:p>
    <w:p w14:paraId="086A1C9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Подготовка льготников по </w:t>
      </w:r>
      <w:proofErr w:type="spellStart"/>
      <w:r w:rsidRPr="00A259BD">
        <w:rPr>
          <w:rFonts w:ascii="Times New Roman" w:hAnsi="Times New Roman"/>
          <w:color w:val="000000" w:themeColor="text1"/>
          <w:sz w:val="16"/>
          <w:szCs w:val="16"/>
        </w:rPr>
        <w:t>образованию.Программы</w:t>
      </w:r>
      <w:proofErr w:type="spellEnd"/>
      <w:r w:rsidRPr="00A259BD">
        <w:rPr>
          <w:rFonts w:ascii="Times New Roman" w:hAnsi="Times New Roman"/>
          <w:color w:val="000000" w:themeColor="text1"/>
          <w:sz w:val="16"/>
          <w:szCs w:val="16"/>
        </w:rPr>
        <w:t xml:space="preserve"> пройдены полностью; при стажировке на командирских должностях выделялись в положительную сторону среди остального младшего начсостава.</w:t>
      </w:r>
    </w:p>
    <w:p w14:paraId="69D8BB5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Подготовка </w:t>
      </w:r>
      <w:proofErr w:type="spellStart"/>
      <w:r w:rsidRPr="00A259BD">
        <w:rPr>
          <w:rFonts w:ascii="Times New Roman" w:hAnsi="Times New Roman"/>
          <w:color w:val="000000" w:themeColor="text1"/>
          <w:sz w:val="16"/>
          <w:szCs w:val="16"/>
        </w:rPr>
        <w:t>красноармейцев.Подготовку</w:t>
      </w:r>
      <w:proofErr w:type="spellEnd"/>
      <w:r w:rsidRPr="00A259BD">
        <w:rPr>
          <w:rFonts w:ascii="Times New Roman" w:hAnsi="Times New Roman"/>
          <w:color w:val="000000" w:themeColor="text1"/>
          <w:sz w:val="16"/>
          <w:szCs w:val="16"/>
        </w:rPr>
        <w:t xml:space="preserve"> одиночного бойца, способного самостоятельно действовать в составе подразделений, можно считать вполне удовлетворительной. К общим недочетам надо отнести: неумение вести наблюдение за полем боя, слабо усвоены технические приемы окапывания и маскировки.</w:t>
      </w:r>
    </w:p>
    <w:p w14:paraId="3A976ED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Полевую подготовку отделения, взвода и роты надо признать вполне удовлетворительной.</w:t>
      </w:r>
    </w:p>
    <w:p w14:paraId="5E84FCF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Подготовка батальона, отряда и полка не получила должной законченности (особенно в территориальных частях).</w:t>
      </w:r>
    </w:p>
    <w:p w14:paraId="2EE939B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подготовке отделения замечаются следующие недочеты: в движении отделений нет гибкости, движения в большинстве прямолинейны; применение к местности и маскировка примитивны; командиры отделений не вполне отчетливо ориентируются на местности; управление огнем ведется «на глазок», без решения стрелковой задачи, путем сознательного учета баллистических свойств своего оружия.</w:t>
      </w:r>
    </w:p>
    <w:p w14:paraId="44570A5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подготовке взводов недостаточно усвоены вопросы взаимодействия огня с движением и также отсутствует сознательный учет баллистических свойств оружия; стрелковым «расчетом» командиры взводов не владеют.</w:t>
      </w:r>
    </w:p>
    <w:p w14:paraId="5A34EA5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подготовке рот станково-пулеметные взводы используются неумело, основная причина этого кроется опять-таки в недостаточном умении решать тактико-стрелковые задачи на основе сознательного «расчета» в недостаточном понимании этой основы управления огнем. Средний комсостав (командиры рот и взводов) слабо знает технические и тактические свойства полковой артиллерии и вообще недостаточно ознакомлен со свойствами современной боевой техники. В постановке задач артиллерии нет еще достаточных практических навыков.</w:t>
      </w:r>
    </w:p>
    <w:p w14:paraId="3B1029E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подготовке батальонов и </w:t>
      </w:r>
      <w:proofErr w:type="spellStart"/>
      <w:r w:rsidRPr="00A259BD">
        <w:rPr>
          <w:rFonts w:ascii="Times New Roman" w:hAnsi="Times New Roman"/>
          <w:color w:val="000000" w:themeColor="text1"/>
          <w:sz w:val="16"/>
          <w:szCs w:val="16"/>
        </w:rPr>
        <w:t>полков_также</w:t>
      </w:r>
      <w:proofErr w:type="spellEnd"/>
      <w:r w:rsidRPr="00A259BD">
        <w:rPr>
          <w:rFonts w:ascii="Times New Roman" w:hAnsi="Times New Roman"/>
          <w:color w:val="000000" w:themeColor="text1"/>
          <w:sz w:val="16"/>
          <w:szCs w:val="16"/>
        </w:rPr>
        <w:t xml:space="preserve"> имеют место случаи отсутствия должного взаимодействия живой ударной силы с пулеметным и артиллерийским огнем; управление батальоном и полком осуществляется нормально до периода полного развертывания в боевой порядок; в дальнейшем же ходе боя это управление ослабевает и зачастую совершенно теряется. Причины этого: слабое регулирование боем по времени и местности, частая смена командных пунктов, при недочетах в комбинированном использовании средств связи.</w:t>
      </w:r>
    </w:p>
    <w:p w14:paraId="7623A81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Противовоздушная оборона частей как на походе, так и в бою осуществляется лишь в самых начальных формах.</w:t>
      </w:r>
    </w:p>
    <w:p w14:paraId="50F4E7F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Служба ВНОС — в таком же положении.</w:t>
      </w:r>
    </w:p>
    <w:p w14:paraId="5E7354E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Военно-химической службе не уделяется должного внимания из-за недостатка учебных средств и полного, в частности, отсутствия имитационных средств.</w:t>
      </w:r>
    </w:p>
    <w:p w14:paraId="098C226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Связь стремятся обосновать главным образом на проволоке. А служба связи в целом организуется и работает еще слабо.</w:t>
      </w:r>
    </w:p>
    <w:p w14:paraId="60102A5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Работа с авиацией и танками была проведена не во всех частях; но там, где она была проведена, она дала определенные положительные результаты (БВО, МВО, УВО, ЛВО, СКВО).</w:t>
      </w:r>
    </w:p>
    <w:p w14:paraId="67347D6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работе со стратегической конницей стрелковые войска получили достаточную практику (УВО, БВО, СКВО, МВО).</w:t>
      </w:r>
    </w:p>
    <w:p w14:paraId="63BADA2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Политработа среди своих частей и местного населения во время полевой подготовки проводилась вполне удовлетворительно. Необходимо отметить активность комсостава в этой работе.</w:t>
      </w:r>
    </w:p>
    <w:p w14:paraId="125054A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общем рост боевой подготовки стрелковых частей нужно считать вполне удовлетворительным, а состояние их боевой подготовки — удовлетворительным.</w:t>
      </w:r>
    </w:p>
    <w:p w14:paraId="2ECB500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процессе дальнейшей работы необходимо:</w:t>
      </w:r>
    </w:p>
    <w:p w14:paraId="48C9BE1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1.Уделить особое внимание практической тренировке командиров всех степеней в технике управления боем, особенно в составе общевойсковых единиц и соединений (от батальона и выше).</w:t>
      </w:r>
    </w:p>
    <w:p w14:paraId="7E8F206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2.Улучшить пулеметную подготовку командного состава и красноармейцев пулеметных подразделений.</w:t>
      </w:r>
    </w:p>
    <w:p w14:paraId="53DAB5E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3.Отнести особое внимание вопросам взаимодействия живой ударной силы с огневыми и техническими средствами полка и б[</w:t>
      </w:r>
      <w:proofErr w:type="spellStart"/>
      <w:r w:rsidRPr="00A259BD">
        <w:rPr>
          <w:rFonts w:ascii="Times New Roman" w:hAnsi="Times New Roman"/>
          <w:color w:val="000000" w:themeColor="text1"/>
          <w:sz w:val="16"/>
          <w:szCs w:val="16"/>
        </w:rPr>
        <w:t>атальо</w:t>
      </w:r>
      <w:proofErr w:type="spellEnd"/>
      <w:r w:rsidRPr="00A259BD">
        <w:rPr>
          <w:rFonts w:ascii="Times New Roman" w:hAnsi="Times New Roman"/>
          <w:color w:val="000000" w:themeColor="text1"/>
          <w:sz w:val="16"/>
          <w:szCs w:val="16"/>
        </w:rPr>
        <w:t>]на.</w:t>
      </w:r>
    </w:p>
    <w:p w14:paraId="0882536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4.Ускорить снабжение всей пехоты современной батальонной артиллерией и ручными пулеметами, а также приборами для точной стрельбы и наблюдения.</w:t>
      </w:r>
    </w:p>
    <w:p w14:paraId="0AC5D45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5.Увеличить практику подготовки общевойсковых соединений в зимних условиях: выводы в поле в составе отрядов с использованием лыж. Повысить обеспеченность пехоты лыжами до степени тактической потребности в них.</w:t>
      </w:r>
    </w:p>
    <w:p w14:paraId="626F92C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6.Поднять у всего начсостава пехоты практические навыки по взаимодействию с артиллерией, танками и авиацией.</w:t>
      </w:r>
    </w:p>
    <w:p w14:paraId="6D5EA43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7.Обратить внимание на тщательную организацию и систематическое проведение боевых стрельб в составе роты, усиленной артиллерией и техническими средствами.</w:t>
      </w:r>
    </w:p>
    <w:p w14:paraId="62CF06E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8.Изменить и рационализировать подготовку младшего комсостава в полковых школах в сторону расширения его инструкторской практики.</w:t>
      </w:r>
    </w:p>
    <w:p w14:paraId="3B49CBC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9.Внести плановость в систему командной и инструкторской подготовки старшего и среднего начсостава и рационализировать его рабочее время.</w:t>
      </w:r>
    </w:p>
    <w:p w14:paraId="191B59A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10.Продолжать привлечение полковых штабов к практическому участию в проведении и живом контроле всей учебы части, особенно ее полевой подготовки.</w:t>
      </w:r>
    </w:p>
    <w:p w14:paraId="494C072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2)Бронечасти:</w:t>
      </w:r>
    </w:p>
    <w:p w14:paraId="04BB640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Материальная обеспеченность.</w:t>
      </w:r>
    </w:p>
    <w:p w14:paraId="23F9E40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истекший год боевая подготовка бронечастей протекала в условиях повысившейся по сравнению с прошлым годом материальной обеспеченности, что имело место главным образом в течение летнего периода:</w:t>
      </w:r>
    </w:p>
    <w:p w14:paraId="44AD6E7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увеличились, пока еще не вполне достаточно, нормы эксплуатации боевых машин и вспомогательного транспорта, а также горюче-смазочных материалов (в 2—3 раза по сравнению с прошлым годом);</w:t>
      </w:r>
    </w:p>
    <w:p w14:paraId="4C74364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увеличился отпуск огнеприпасов, позволяющий полностью пройти специальные программы пулеметных стрельб бронечастей. Недостаток ощущался в патронах к револьверу «Наган» и в гранатах;</w:t>
      </w:r>
    </w:p>
    <w:p w14:paraId="21533A9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усилился в некоторой степени отпуск средств на учебные пособия, в общем далеко еще недостаточный.</w:t>
      </w:r>
    </w:p>
    <w:p w14:paraId="10FB121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Неудовлетворительно обстояли вопросы обеспечения общебытовых условий (о чем свидетельствуют многочисленные жалобы красноармейцев при инспектированиях):</w:t>
      </w:r>
    </w:p>
    <w:p w14:paraId="0AF2ADE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довольствие недостаточно (спец. паек имеют танк. части и только на летний период);</w:t>
      </w:r>
    </w:p>
    <w:p w14:paraId="1B06B98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нет специального обмундирования (последнее имеют также только танк. части с пошивкой его из обыкновенного палаточного материала);</w:t>
      </w:r>
    </w:p>
    <w:p w14:paraId="6C077F5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не везде благополучно и с вопросом казарменного размещения (особенно в 8-м </w:t>
      </w:r>
      <w:proofErr w:type="spellStart"/>
      <w:r w:rsidRPr="00A259BD">
        <w:rPr>
          <w:rFonts w:ascii="Times New Roman" w:hAnsi="Times New Roman"/>
          <w:color w:val="000000" w:themeColor="text1"/>
          <w:sz w:val="16"/>
          <w:szCs w:val="16"/>
        </w:rPr>
        <w:t>автобронедивизионе</w:t>
      </w:r>
      <w:proofErr w:type="spellEnd"/>
      <w:r w:rsidRPr="00A259BD">
        <w:rPr>
          <w:rFonts w:ascii="Times New Roman" w:hAnsi="Times New Roman"/>
          <w:color w:val="000000" w:themeColor="text1"/>
          <w:sz w:val="16"/>
          <w:szCs w:val="16"/>
        </w:rPr>
        <w:t xml:space="preserve"> БВО — крайняя теснота и </w:t>
      </w:r>
      <w:proofErr w:type="spellStart"/>
      <w:r w:rsidRPr="00A259BD">
        <w:rPr>
          <w:rFonts w:ascii="Times New Roman" w:hAnsi="Times New Roman"/>
          <w:color w:val="000000" w:themeColor="text1"/>
          <w:sz w:val="16"/>
          <w:szCs w:val="16"/>
        </w:rPr>
        <w:t>необорудованность</w:t>
      </w:r>
      <w:proofErr w:type="spellEnd"/>
      <w:r w:rsidRPr="00A259BD">
        <w:rPr>
          <w:rFonts w:ascii="Times New Roman" w:hAnsi="Times New Roman"/>
          <w:color w:val="000000" w:themeColor="text1"/>
          <w:sz w:val="16"/>
          <w:szCs w:val="16"/>
        </w:rPr>
        <w:t xml:space="preserve"> жилых и др. помещений).</w:t>
      </w:r>
    </w:p>
    <w:p w14:paraId="76AD725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Специально-техническая подготовка.</w:t>
      </w:r>
    </w:p>
    <w:p w14:paraId="77085AE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Специально-техническая подготовка шоферов бронемашин и механиков-водителей значительно повысилась. Знание материальной части, уход и сбережение в общем на удовлетворительном уровне, а отдельными частями достигнуты и хорошие результаты.</w:t>
      </w:r>
    </w:p>
    <w:p w14:paraId="169548E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танковом полку из 46 танков, работавших в течение летнего периода на отрядных учениях и маневрах и сделавших каждый в среднем около 200 км, только два танка требуют заводского ремонта и то вследствие естественного износа ответственных частей.</w:t>
      </w:r>
    </w:p>
    <w:p w14:paraId="7819D9A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Мотоциклисты-разведчики и шоферы транспортных машин при удовлетворительном теоретическом знании своей машины овладели специальностью в части приобретения практических навыков в меньшей степени, чем указанные выше специалисты.</w:t>
      </w:r>
    </w:p>
    <w:p w14:paraId="12BF7D1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Значительным препятствием к успешной подготовке водителей танков и шоферов бронемашин в части овладения искусством вождения боевой машины, явилась крайняя изношенность таковых при недостаточно удовлетворительном еще качестве их капитального ремонта на заводах АУ. Отсутствие надлежаще оборудованных мастерских сказалось на успешности планомерной эксплуатации. Отсутствие теплого гаража в танк[</w:t>
      </w:r>
      <w:proofErr w:type="spellStart"/>
      <w:r w:rsidRPr="00A259BD">
        <w:rPr>
          <w:rFonts w:ascii="Times New Roman" w:hAnsi="Times New Roman"/>
          <w:color w:val="000000" w:themeColor="text1"/>
          <w:sz w:val="16"/>
          <w:szCs w:val="16"/>
        </w:rPr>
        <w:t>овом</w:t>
      </w:r>
      <w:proofErr w:type="spellEnd"/>
      <w:r w:rsidRPr="00A259BD">
        <w:rPr>
          <w:rFonts w:ascii="Times New Roman" w:hAnsi="Times New Roman"/>
          <w:color w:val="000000" w:themeColor="text1"/>
          <w:sz w:val="16"/>
          <w:szCs w:val="16"/>
        </w:rPr>
        <w:t>] полку ограничивает возможности зимней учебы и полевой зимней практики.</w:t>
      </w:r>
    </w:p>
    <w:p w14:paraId="572E8F6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Стрелковая подготовка.</w:t>
      </w:r>
    </w:p>
    <w:p w14:paraId="3041520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истекший год можно констатировать значительный рост стрелковой подготовки бронечастей по сравнению с предыдущими годами, что видно из следующей сравнительной таблицы по годам (поданным осенних инспекторских стрельб из пулеметов):</w:t>
      </w:r>
    </w:p>
    <w:p w14:paraId="54F4423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Начсостав средний и старший</w:t>
      </w:r>
    </w:p>
    <w:p w14:paraId="399DEF6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[19]26г. - 21,0%;</w:t>
      </w:r>
    </w:p>
    <w:p w14:paraId="7AF5588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[19]27г. - 39,0%;</w:t>
      </w:r>
    </w:p>
    <w:p w14:paraId="3152B37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[19]28г. - 55,0%.</w:t>
      </w:r>
    </w:p>
    <w:p w14:paraId="4CBB0C6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Младший начсостав</w:t>
      </w:r>
    </w:p>
    <w:p w14:paraId="3ED8C70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[19]26г. - 33,3%</w:t>
      </w:r>
    </w:p>
    <w:p w14:paraId="1D57528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[19]27г. - 44 4%</w:t>
      </w:r>
    </w:p>
    <w:p w14:paraId="3A068EE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[19]28г. - 49,5%</w:t>
      </w:r>
    </w:p>
    <w:p w14:paraId="28A485F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Рядовой состав</w:t>
      </w:r>
    </w:p>
    <w:p w14:paraId="4AB5077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[19]26г. - 5,2%</w:t>
      </w:r>
    </w:p>
    <w:p w14:paraId="1DED125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[19]27г. - 18,1%</w:t>
      </w:r>
    </w:p>
    <w:p w14:paraId="2AE460F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[19]28г. - 50%</w:t>
      </w:r>
    </w:p>
    <w:p w14:paraId="16692F7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Общая оценка в % выполнении</w:t>
      </w:r>
    </w:p>
    <w:p w14:paraId="5C4E972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[19]26г. - 15,0%</w:t>
      </w:r>
    </w:p>
    <w:p w14:paraId="4E08E85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[19]27г. - 27,7%</w:t>
      </w:r>
    </w:p>
    <w:p w14:paraId="46C533A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[19]28г. - 54%</w:t>
      </w:r>
    </w:p>
    <w:p w14:paraId="165B91C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Таким образом, из состояния стрелковой немощи бронечасти близко подошли к удовлетворительному уровню состояния стрелковой подготовки.</w:t>
      </w:r>
    </w:p>
    <w:p w14:paraId="51F3EEF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Содержание, уход и сбережение оружия — удовлетворительные. Навыки по действиям при пулеметах и умение устранять задержки значительно повысились.</w:t>
      </w:r>
    </w:p>
    <w:p w14:paraId="1623164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Достигнутый уровень стрелковой подготовки позволяет перейти к более совершенным и сложным методам подготовки, заостряя внимание на специальных стрельбах из движущейся бронемашины по неподвижным и подвижным целям.</w:t>
      </w:r>
    </w:p>
    <w:p w14:paraId="5B1A838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этой целью в начале 1929 года предполагается выпуск для бронечастей «Временного руководства по стрелковой подготовке бронечастей».</w:t>
      </w:r>
    </w:p>
    <w:p w14:paraId="233399F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Тактическая подготовка.</w:t>
      </w:r>
    </w:p>
    <w:p w14:paraId="0DA5A79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Достигнута удовлетворительная тактическая </w:t>
      </w:r>
      <w:proofErr w:type="spellStart"/>
      <w:r w:rsidRPr="00A259BD">
        <w:rPr>
          <w:rFonts w:ascii="Times New Roman" w:hAnsi="Times New Roman"/>
          <w:color w:val="000000" w:themeColor="text1"/>
          <w:sz w:val="16"/>
          <w:szCs w:val="16"/>
        </w:rPr>
        <w:t>сколоченность</w:t>
      </w:r>
      <w:proofErr w:type="spellEnd"/>
      <w:r w:rsidRPr="00A259BD">
        <w:rPr>
          <w:rFonts w:ascii="Times New Roman" w:hAnsi="Times New Roman"/>
          <w:color w:val="000000" w:themeColor="text1"/>
          <w:sz w:val="16"/>
          <w:szCs w:val="16"/>
        </w:rPr>
        <w:t xml:space="preserve"> основных подразделений — взвода танков и бронемашин. Техника боя этих подразделений усвоена, медлительность действий изживается, мобильность повысилась. Управление со стороны комсостава еще не на должной высоте: неумение в полной мере использовать средства связи и разведки, командный язык еще не привился как следствие в значительной мере недостатков самих уставов (части 1 — строи и порядки).</w:t>
      </w:r>
    </w:p>
    <w:p w14:paraId="271B1B0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Действия в составе роты легких (малых) танков по опыту киевских маневров и тяжелых танков по опыту их работы в БВО следует признать удовлетворительными. Техника боя и управления в общем усвоена. Недостатки командования те же, что и во взводе. Работа тыла (боевое питание и восстановление), проводимая опытным порядком по новой системе, еще не на должной высоте, хотя сама система и оправдала себя.</w:t>
      </w:r>
    </w:p>
    <w:p w14:paraId="55E9C1B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Тактическая </w:t>
      </w:r>
      <w:proofErr w:type="spellStart"/>
      <w:r w:rsidRPr="00A259BD">
        <w:rPr>
          <w:rFonts w:ascii="Times New Roman" w:hAnsi="Times New Roman"/>
          <w:color w:val="000000" w:themeColor="text1"/>
          <w:sz w:val="16"/>
          <w:szCs w:val="16"/>
        </w:rPr>
        <w:t>сколоченность</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автоброневых</w:t>
      </w:r>
      <w:proofErr w:type="spellEnd"/>
      <w:r w:rsidRPr="00A259BD">
        <w:rPr>
          <w:rFonts w:ascii="Times New Roman" w:hAnsi="Times New Roman"/>
          <w:color w:val="000000" w:themeColor="text1"/>
          <w:sz w:val="16"/>
          <w:szCs w:val="16"/>
        </w:rPr>
        <w:t xml:space="preserve"> дивизионов и батальонов танков фактически не была осуществлена вследствие отсутствия разрешения на вывод указанных частей в полном составе боевых и транспортных машин и отсутствия специальных машин (</w:t>
      </w:r>
      <w:proofErr w:type="spellStart"/>
      <w:r w:rsidRPr="00A259BD">
        <w:rPr>
          <w:rFonts w:ascii="Times New Roman" w:hAnsi="Times New Roman"/>
          <w:color w:val="000000" w:themeColor="text1"/>
          <w:sz w:val="16"/>
          <w:szCs w:val="16"/>
        </w:rPr>
        <w:t>автокухонь</w:t>
      </w:r>
      <w:proofErr w:type="spellEnd"/>
      <w:r w:rsidRPr="00A259BD">
        <w:rPr>
          <w:rFonts w:ascii="Times New Roman" w:hAnsi="Times New Roman"/>
          <w:color w:val="000000" w:themeColor="text1"/>
          <w:sz w:val="16"/>
          <w:szCs w:val="16"/>
        </w:rPr>
        <w:t xml:space="preserve"> и автомастерских).</w:t>
      </w:r>
    </w:p>
    <w:p w14:paraId="03B8D32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Только на киевских маневрах 11 и 12 </w:t>
      </w:r>
      <w:proofErr w:type="spellStart"/>
      <w:r w:rsidRPr="00A259BD">
        <w:rPr>
          <w:rFonts w:ascii="Times New Roman" w:hAnsi="Times New Roman"/>
          <w:color w:val="000000" w:themeColor="text1"/>
          <w:sz w:val="16"/>
          <w:szCs w:val="16"/>
        </w:rPr>
        <w:t>автобронедивизионы</w:t>
      </w:r>
      <w:proofErr w:type="spellEnd"/>
      <w:r w:rsidRPr="00A259BD">
        <w:rPr>
          <w:rFonts w:ascii="Times New Roman" w:hAnsi="Times New Roman"/>
          <w:color w:val="000000" w:themeColor="text1"/>
          <w:sz w:val="16"/>
          <w:szCs w:val="16"/>
        </w:rPr>
        <w:t xml:space="preserve"> действовали в составе 2-х взводов каждый и обнаружили удовлетворительную тактическую подготовку.</w:t>
      </w:r>
    </w:p>
    <w:p w14:paraId="64898B4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части боевого использования бронечастей со стороны общевойскового командования обнаружилось почти полное неумение ставить задачи бронечастям, пренебрежение к техническим возможностям как следствие незнакомства с боевыми свойствами и т.п.; примеры: большие танки применялись с конницей, танки пере-подчинялись арт. начальникам, танки применялись в составе случайных соединений — 1 танк, 4 танка, 5 и т.д. и т.п.</w:t>
      </w:r>
    </w:p>
    <w:p w14:paraId="0BB13CA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Основы взаимодействия танков с пехотой и </w:t>
      </w:r>
      <w:proofErr w:type="spellStart"/>
      <w:r w:rsidRPr="00A259BD">
        <w:rPr>
          <w:rFonts w:ascii="Times New Roman" w:hAnsi="Times New Roman"/>
          <w:color w:val="000000" w:themeColor="text1"/>
          <w:sz w:val="16"/>
          <w:szCs w:val="16"/>
        </w:rPr>
        <w:t>автобронечастей</w:t>
      </w:r>
      <w:proofErr w:type="spellEnd"/>
      <w:r w:rsidRPr="00A259BD">
        <w:rPr>
          <w:rFonts w:ascii="Times New Roman" w:hAnsi="Times New Roman"/>
          <w:color w:val="000000" w:themeColor="text1"/>
          <w:sz w:val="16"/>
          <w:szCs w:val="16"/>
        </w:rPr>
        <w:t xml:space="preserve"> с конницей*усвоены в тех частях, где имелась возможность проводить совместные с бронечастями отрядные учения. Части же пехоты и конницы, действовавшие на маневрах впервые с бронечастями, характеризовались неумением увязывать свои действия с действиями бронечастей.</w:t>
      </w:r>
    </w:p>
    <w:p w14:paraId="296F761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течение отрядных учений (не включая маневров) подразделениями танкового полка, командированными в округа, проведено 26 показных и экспериментальных учений, 85 — совместных с пехотой; наглядно ознакомлено с танками около 1 700 чел. </w:t>
      </w:r>
      <w:proofErr w:type="spellStart"/>
      <w:r w:rsidRPr="00A259BD">
        <w:rPr>
          <w:rFonts w:ascii="Times New Roman" w:hAnsi="Times New Roman"/>
          <w:color w:val="000000" w:themeColor="text1"/>
          <w:sz w:val="16"/>
          <w:szCs w:val="16"/>
        </w:rPr>
        <w:t>комполитсостава</w:t>
      </w:r>
      <w:proofErr w:type="spellEnd"/>
      <w:r w:rsidRPr="00A259BD">
        <w:rPr>
          <w:rFonts w:ascii="Times New Roman" w:hAnsi="Times New Roman"/>
          <w:color w:val="000000" w:themeColor="text1"/>
          <w:sz w:val="16"/>
          <w:szCs w:val="16"/>
        </w:rPr>
        <w:t xml:space="preserve"> и 24,5 тыс. красноармейцев. Этим положено основание «</w:t>
      </w:r>
      <w:proofErr w:type="spellStart"/>
      <w:r w:rsidRPr="00A259BD">
        <w:rPr>
          <w:rFonts w:ascii="Times New Roman" w:hAnsi="Times New Roman"/>
          <w:color w:val="000000" w:themeColor="text1"/>
          <w:sz w:val="16"/>
          <w:szCs w:val="16"/>
        </w:rPr>
        <w:t>танкизации</w:t>
      </w:r>
      <w:proofErr w:type="spellEnd"/>
      <w:r w:rsidRPr="00A259BD">
        <w:rPr>
          <w:rFonts w:ascii="Times New Roman" w:hAnsi="Times New Roman"/>
          <w:color w:val="000000" w:themeColor="text1"/>
          <w:sz w:val="16"/>
          <w:szCs w:val="16"/>
        </w:rPr>
        <w:t>» нашей армии.</w:t>
      </w:r>
    </w:p>
    <w:p w14:paraId="3411C0B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Выводы.</w:t>
      </w:r>
    </w:p>
    <w:p w14:paraId="281A47E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1За истекший год подготовка бронечастей имела значительный рост. Части боеспособны и находятся в процессе непрестанного роста после известного застоя предшествующих годов. Успехи текущего года объясняются главным образом благодаря повышению материальной обеспеченности обучения и большого внимания к таковому со стороны центра и окружного командования, а также своевременным выпуском программных руководств и наставления «по боевому применению танков».</w:t>
      </w:r>
    </w:p>
    <w:p w14:paraId="1346321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2.Командный состав за истекший год вырос: с подготовкой специалистов справляется, технику своего оружия знает, применять его в общем умеет. Навыки командования еще недостаточны, тактический кругозор в области взаимодействия с другими родами войск еще невелик, но вырос заметно.</w:t>
      </w:r>
    </w:p>
    <w:p w14:paraId="06FC011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3.Специалисты из числа младшего комсостава и рядовых выросли в еще большей степени, чем командный состав; технику своей специальности изучили, но практические навыки в части овладения искусством применения своей специальности в разнообразных условиях обстановки требуют еще значительной шлифовки</w:t>
      </w:r>
    </w:p>
    <w:p w14:paraId="0CC257F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4.В области боевого использования бронечастей со стороны общевойскового командования наблюдаются большие промахи как следствие слабого знакомства с бронечастями.</w:t>
      </w:r>
    </w:p>
    <w:p w14:paraId="16B5C10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Техническая основа взаимодействия бронечастей с основными родами войск усвоена, но в силу недостатков командования не получает еще гибкого и отчетливого выражения.</w:t>
      </w:r>
    </w:p>
    <w:p w14:paraId="55BAEDA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5.Политико-моральное состояние удовлетворительное, но при инспектировании </w:t>
      </w:r>
      <w:proofErr w:type="spellStart"/>
      <w:r w:rsidRPr="00A259BD">
        <w:rPr>
          <w:rFonts w:ascii="Times New Roman" w:hAnsi="Times New Roman"/>
          <w:color w:val="000000" w:themeColor="text1"/>
          <w:sz w:val="16"/>
          <w:szCs w:val="16"/>
        </w:rPr>
        <w:t>автобронечастей</w:t>
      </w:r>
      <w:proofErr w:type="spellEnd"/>
      <w:r w:rsidRPr="00A259BD">
        <w:rPr>
          <w:rFonts w:ascii="Times New Roman" w:hAnsi="Times New Roman"/>
          <w:color w:val="000000" w:themeColor="text1"/>
          <w:sz w:val="16"/>
          <w:szCs w:val="16"/>
        </w:rPr>
        <w:t xml:space="preserve"> (инспектировалось из 6—5 дивизионов) было много жалоб со стороны </w:t>
      </w:r>
      <w:proofErr w:type="spellStart"/>
      <w:r w:rsidRPr="00A259BD">
        <w:rPr>
          <w:rFonts w:ascii="Times New Roman" w:hAnsi="Times New Roman"/>
          <w:color w:val="000000" w:themeColor="text1"/>
          <w:sz w:val="16"/>
          <w:szCs w:val="16"/>
        </w:rPr>
        <w:t>кр</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асноармей</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цев</w:t>
      </w:r>
      <w:proofErr w:type="spellEnd"/>
      <w:r w:rsidRPr="00A259BD">
        <w:rPr>
          <w:rFonts w:ascii="Times New Roman" w:hAnsi="Times New Roman"/>
          <w:color w:val="000000" w:themeColor="text1"/>
          <w:sz w:val="16"/>
          <w:szCs w:val="16"/>
        </w:rPr>
        <w:t xml:space="preserve"> и мл. комсостава на: недостаток питания в летнее время, неудобства существующего обмундирования (длинная серая шинель мешает управлению машинами, затрудняет движение внутри боевых машин, быстро грязнится, обрывается и, вследствие этого, до срока изнашивается). В 8-м </w:t>
      </w:r>
      <w:proofErr w:type="spellStart"/>
      <w:r w:rsidRPr="00A259BD">
        <w:rPr>
          <w:rFonts w:ascii="Times New Roman" w:hAnsi="Times New Roman"/>
          <w:color w:val="000000" w:themeColor="text1"/>
          <w:sz w:val="16"/>
          <w:szCs w:val="16"/>
        </w:rPr>
        <w:t>автоброневом</w:t>
      </w:r>
      <w:proofErr w:type="spellEnd"/>
      <w:r w:rsidRPr="00A259BD">
        <w:rPr>
          <w:rFonts w:ascii="Times New Roman" w:hAnsi="Times New Roman"/>
          <w:color w:val="000000" w:themeColor="text1"/>
          <w:sz w:val="16"/>
          <w:szCs w:val="16"/>
        </w:rPr>
        <w:t xml:space="preserve"> дивизионе, вследствие плохого размещения красноармейцев, последние в массовом порядке заявляли жалобы на неудовлетворительное размещение, которое срывает нормальную подготовку и не дает возможности развернуться культурно-просветительной работе; недостаток белья и мыла и неудобство головного убора, не предохраняющего от ушибов головы команды, находящейся внутри боевых машин.</w:t>
      </w:r>
    </w:p>
    <w:p w14:paraId="7F3BFDC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6.Необходимо продолжить и расширить практику совместного обучения бронечастей (особенно танков) с другими родами войск. Провести такие учения во всех округах и в максимальном числе лагерей, обеспечив это мероприятие материально в полной мере.</w:t>
      </w:r>
    </w:p>
    <w:p w14:paraId="3B839A8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3)Конница:</w:t>
      </w:r>
    </w:p>
    <w:p w14:paraId="42CC01C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достижения. Оценка уровня боевой подготовки как специальной, так и совместно с другими родами войск:</w:t>
      </w:r>
    </w:p>
    <w:p w14:paraId="276D669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Кратко суммируя основные достижения подготовки конницы, необходимо отметить: а) здоровое политико-моральное состояние частей и достижение в области укрепления дисциплины и внутреннего порядка в частях; б) повышение одиночной подготовки бойца в области верховой езды и владения холодным оружием и в) несомненные успехи в </w:t>
      </w:r>
      <w:proofErr w:type="spellStart"/>
      <w:r w:rsidRPr="00A259BD">
        <w:rPr>
          <w:rFonts w:ascii="Times New Roman" w:hAnsi="Times New Roman"/>
          <w:color w:val="000000" w:themeColor="text1"/>
          <w:sz w:val="16"/>
          <w:szCs w:val="16"/>
        </w:rPr>
        <w:t>делевыездки</w:t>
      </w:r>
      <w:proofErr w:type="spellEnd"/>
      <w:r w:rsidRPr="00A259BD">
        <w:rPr>
          <w:rFonts w:ascii="Times New Roman" w:hAnsi="Times New Roman"/>
          <w:color w:val="000000" w:themeColor="text1"/>
          <w:sz w:val="16"/>
          <w:szCs w:val="16"/>
        </w:rPr>
        <w:t xml:space="preserve"> молодой лошади.</w:t>
      </w:r>
    </w:p>
    <w:p w14:paraId="2B04ADC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Оценивая боевую подготовку частей, нужно </w:t>
      </w:r>
      <w:proofErr w:type="spellStart"/>
      <w:r w:rsidRPr="00A259BD">
        <w:rPr>
          <w:rFonts w:ascii="Times New Roman" w:hAnsi="Times New Roman"/>
          <w:color w:val="000000" w:themeColor="text1"/>
          <w:sz w:val="16"/>
          <w:szCs w:val="16"/>
        </w:rPr>
        <w:t>придти</w:t>
      </w:r>
      <w:proofErr w:type="spellEnd"/>
      <w:r w:rsidRPr="00A259BD">
        <w:rPr>
          <w:rFonts w:ascii="Times New Roman" w:hAnsi="Times New Roman"/>
          <w:color w:val="000000" w:themeColor="text1"/>
          <w:sz w:val="16"/>
          <w:szCs w:val="16"/>
        </w:rPr>
        <w:t xml:space="preserve"> к выводу, что:</w:t>
      </w:r>
    </w:p>
    <w:p w14:paraId="6D8AA03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1.Одиночная подготовка </w:t>
      </w:r>
      <w:proofErr w:type="spellStart"/>
      <w:r w:rsidRPr="00A259BD">
        <w:rPr>
          <w:rFonts w:ascii="Times New Roman" w:hAnsi="Times New Roman"/>
          <w:color w:val="000000" w:themeColor="text1"/>
          <w:sz w:val="16"/>
          <w:szCs w:val="16"/>
        </w:rPr>
        <w:t>кр</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асноармей</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ского</w:t>
      </w:r>
      <w:proofErr w:type="spellEnd"/>
      <w:r w:rsidRPr="00A259BD">
        <w:rPr>
          <w:rFonts w:ascii="Times New Roman" w:hAnsi="Times New Roman"/>
          <w:color w:val="000000" w:themeColor="text1"/>
          <w:sz w:val="16"/>
          <w:szCs w:val="16"/>
        </w:rPr>
        <w:t xml:space="preserve"> состава (знание уставов, езда, владение холодным оружием, стрелковое дело и пр.) в общем удовлетворительна.</w:t>
      </w:r>
    </w:p>
    <w:p w14:paraId="7A31A61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недочетам следует </w:t>
      </w:r>
      <w:proofErr w:type="spellStart"/>
      <w:r w:rsidRPr="00A259BD">
        <w:rPr>
          <w:rFonts w:ascii="Times New Roman" w:hAnsi="Times New Roman"/>
          <w:color w:val="000000" w:themeColor="text1"/>
          <w:sz w:val="16"/>
          <w:szCs w:val="16"/>
        </w:rPr>
        <w:t>отнести:а</w:t>
      </w:r>
      <w:proofErr w:type="spellEnd"/>
      <w:r w:rsidRPr="00A259BD">
        <w:rPr>
          <w:rFonts w:ascii="Times New Roman" w:hAnsi="Times New Roman"/>
          <w:color w:val="000000" w:themeColor="text1"/>
          <w:sz w:val="16"/>
          <w:szCs w:val="16"/>
        </w:rPr>
        <w:t xml:space="preserve">) недостаточное умение </w:t>
      </w:r>
      <w:proofErr w:type="spellStart"/>
      <w:r w:rsidRPr="00A259BD">
        <w:rPr>
          <w:rFonts w:ascii="Times New Roman" w:hAnsi="Times New Roman"/>
          <w:color w:val="000000" w:themeColor="text1"/>
          <w:sz w:val="16"/>
          <w:szCs w:val="16"/>
        </w:rPr>
        <w:t>кр-цев</w:t>
      </w:r>
      <w:proofErr w:type="spellEnd"/>
      <w:r w:rsidRPr="00A259BD">
        <w:rPr>
          <w:rFonts w:ascii="Times New Roman" w:hAnsi="Times New Roman"/>
          <w:color w:val="000000" w:themeColor="text1"/>
          <w:sz w:val="16"/>
          <w:szCs w:val="16"/>
        </w:rPr>
        <w:t xml:space="preserve"> применить свои теоретические знания на практической работе в поле, в особенности при действиях в пешем строю (перебежка, самоокапывание и др.) и б) слабую службу конных дозоров.</w:t>
      </w:r>
    </w:p>
    <w:p w14:paraId="5DBE86A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2.Подготовку среднего и старшего командного состава в общем надо признать удовлетворительной. В большинстве своем командный состав тактически вполне грамотен.</w:t>
      </w:r>
    </w:p>
    <w:p w14:paraId="714129C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недочетам следует </w:t>
      </w:r>
      <w:proofErr w:type="spellStart"/>
      <w:r w:rsidRPr="00A259BD">
        <w:rPr>
          <w:rFonts w:ascii="Times New Roman" w:hAnsi="Times New Roman"/>
          <w:color w:val="000000" w:themeColor="text1"/>
          <w:sz w:val="16"/>
          <w:szCs w:val="16"/>
        </w:rPr>
        <w:t>отнести:а</w:t>
      </w:r>
      <w:proofErr w:type="spellEnd"/>
      <w:r w:rsidRPr="00A259BD">
        <w:rPr>
          <w:rFonts w:ascii="Times New Roman" w:hAnsi="Times New Roman"/>
          <w:color w:val="000000" w:themeColor="text1"/>
          <w:sz w:val="16"/>
          <w:szCs w:val="16"/>
        </w:rPr>
        <w:t>) недостаточное знание отдела разведки, особенно боевой; б) недостаточное умение анализировать и оценить все элементы, влияющие на успех боя; в) неумение кратко и четко отдавать приказания и г) нет навыка и умения полностью использовать в условиях боя придаваемые технические средства.</w:t>
      </w:r>
    </w:p>
    <w:p w14:paraId="6BEBD6E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3.Общую строевую подготовку по новому уставу следует признать удовлетворительной.</w:t>
      </w:r>
    </w:p>
    <w:p w14:paraId="51A1788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4.Стрелковая подготовка в сравнении с прошлыми годами повысилась не только в смысле меткости стрельбы, но и в смысле техники ведения огня и управления им, но все же </w:t>
      </w:r>
      <w:proofErr w:type="spellStart"/>
      <w:r w:rsidRPr="00A259BD">
        <w:rPr>
          <w:rFonts w:ascii="Times New Roman" w:hAnsi="Times New Roman"/>
          <w:color w:val="000000" w:themeColor="text1"/>
          <w:sz w:val="16"/>
          <w:szCs w:val="16"/>
        </w:rPr>
        <w:t>вэтой</w:t>
      </w:r>
      <w:proofErr w:type="spellEnd"/>
      <w:r w:rsidRPr="00A259BD">
        <w:rPr>
          <w:rFonts w:ascii="Times New Roman" w:hAnsi="Times New Roman"/>
          <w:color w:val="000000" w:themeColor="text1"/>
          <w:sz w:val="16"/>
          <w:szCs w:val="16"/>
        </w:rPr>
        <w:t xml:space="preserve"> области предстоит еще много работы.</w:t>
      </w:r>
    </w:p>
    <w:p w14:paraId="3A9A781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5.Техника совершения маршей усвоена; положение Боевого устава (части III) в этом отношении проработано основательно; части начинают привыкать к необходимости маскировки от воздушного противника, начинают считаться с его могучим воздействием на земные войска. Однако техника активной борьбы с воздушным противником при помощи имеющихся огневых средств еще не получила необходимого освоения и внедрения.</w:t>
      </w:r>
    </w:p>
    <w:p w14:paraId="52FDCD0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6.Техника разведывательной службы усвоена в полном соответствии с требованиями устава, однако само выполнение разведки отличается недостаточной активностью исполнительной Весьма слабо поставлена организация боевой разведки.</w:t>
      </w:r>
    </w:p>
    <w:p w14:paraId="6DAFEBC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7.В отношении техники боя мелкие подразделения и части конницы до полка усвоили основные положения проекта устава; успешно применяют новые боевые порядки, как для спешенных действий, так и для действий на коне, однако еще до сих пор не изжито неуважение к огню противника и увлечение конными атаками без необходимой огневой подготовки их.</w:t>
      </w:r>
    </w:p>
    <w:p w14:paraId="10F5D1E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8.Взаимодействие конницы со своей авиацией сдвинулось с мертвой точки, но еще не достигло надлежащей степени. Кавалерийские командиры еще не научились правильно ставить задачи авиации, в смысле их точности и конкретности. В этом отношении сказывается еще недостаточное знание свойств этого оружия как в целом, так и по отдельным видам (разведчики, истребители и др.).</w:t>
      </w:r>
    </w:p>
    <w:p w14:paraId="4182F1E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Выводы:</w:t>
      </w:r>
    </w:p>
    <w:p w14:paraId="5787C47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1.Расквартирование частей конницы — скученное. Помещения (людские и конские) содержатся в порядке.</w:t>
      </w:r>
    </w:p>
    <w:p w14:paraId="0E8A2D3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2.Недостаток в седлах (около 20%).</w:t>
      </w:r>
    </w:p>
    <w:p w14:paraId="65F5016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3.Состояние конского состава — удовлетворительное.</w:t>
      </w:r>
    </w:p>
    <w:p w14:paraId="03439A4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4.Судя по настроению бойцов и физическому их состоянию, а также и по состоянию конского состава, конница вполне подготовлена к серьезным, длительным и тяжелым переходам.</w:t>
      </w:r>
    </w:p>
    <w:p w14:paraId="5382185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5.Форсирование конницей речных преград требует детальной теоретической проработки и практической проверки. Основные положения уже теперь могут быть установлены по опыту маневров БВО. Выявлена необходимость в снабжении конницы такими переправочными средствами, как лодки «А2».</w:t>
      </w:r>
    </w:p>
    <w:p w14:paraId="40ECA23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6.Для достижения должного взаимодействия конницы с другими родами войск и придаваемыми ей техническими средствами необходимо, чтобы конница с ними действовала бы чаще, а не только раз в году — на маневрах.</w:t>
      </w:r>
    </w:p>
    <w:p w14:paraId="5117017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7.Подготовку частей конницы в целом следует считать удовлетворительной.</w:t>
      </w:r>
    </w:p>
    <w:p w14:paraId="7A9F75D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4)Артиллерия:</w:t>
      </w:r>
    </w:p>
    <w:p w14:paraId="5278838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достижения. Оценка уровня боевой подготовки войск на данной ступени обучения как специальной, так и совместно с другими родами войск:</w:t>
      </w:r>
    </w:p>
    <w:p w14:paraId="7459FA4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Результаты боевой подготовки артиллерии по округам не одинаковы. На первом месте следует поставить артиллерию ККА, далее идут САВО, БВО, ЛBO, УВО, СКВО, ПриВО, СибВО и МВО.</w:t>
      </w:r>
    </w:p>
    <w:p w14:paraId="3AE4414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Объективный анализ результатов боевой подготовки показывает, что в округах, пропустивших части артиллерии через окружные центры обучения (</w:t>
      </w:r>
      <w:proofErr w:type="spellStart"/>
      <w:r w:rsidRPr="00A259BD">
        <w:rPr>
          <w:rFonts w:ascii="Times New Roman" w:hAnsi="Times New Roman"/>
          <w:color w:val="000000" w:themeColor="text1"/>
          <w:sz w:val="16"/>
          <w:szCs w:val="16"/>
        </w:rPr>
        <w:t>артполигоны</w:t>
      </w:r>
      <w:proofErr w:type="spellEnd"/>
      <w:r w:rsidRPr="00A259BD">
        <w:rPr>
          <w:rFonts w:ascii="Times New Roman" w:hAnsi="Times New Roman"/>
          <w:color w:val="000000" w:themeColor="text1"/>
          <w:sz w:val="16"/>
          <w:szCs w:val="16"/>
        </w:rPr>
        <w:t xml:space="preserve">), выше стоит не только стрелковая, но </w:t>
      </w:r>
      <w:proofErr w:type="spellStart"/>
      <w:r w:rsidRPr="00A259BD">
        <w:rPr>
          <w:rFonts w:ascii="Times New Roman" w:hAnsi="Times New Roman"/>
          <w:color w:val="000000" w:themeColor="text1"/>
          <w:sz w:val="16"/>
          <w:szCs w:val="16"/>
        </w:rPr>
        <w:t>итактическаяподготовка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артчастей</w:t>
      </w:r>
      <w:proofErr w:type="spellEnd"/>
      <w:r w:rsidRPr="00A259BD">
        <w:rPr>
          <w:rFonts w:ascii="Times New Roman" w:hAnsi="Times New Roman"/>
          <w:color w:val="000000" w:themeColor="text1"/>
          <w:sz w:val="16"/>
          <w:szCs w:val="16"/>
        </w:rPr>
        <w:t>, чем еще раз подчеркивается значение артиллерийских центров обучения.</w:t>
      </w:r>
    </w:p>
    <w:p w14:paraId="61A90A7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целом следует отметить: а) здоровое политико-моральное состояние частей артиллерии; б) большие достижения в области укрепления дисциплины и внутреннего порядка в частях; в) безусловное повышение строевой подготовки, выразившееся в основном в четкости отдачи приказаний, быстроте и четкости их выполнения и в хорошей строевой выучке батарей и дивизионов; г) повсеместное стремление углубить вопросы взаимодействия артиллерии с пехотой, что в основном выразилось в тщательном изучении боевого использования пехоты, в правильном использовании групп «ПП» и умелом применении отделения для связи с пехотой; д) повышении внимания к вопросам связи в целом и применение средств зрительной сигнализации в частности; е) несомненное повышение искусства стрельбы у большинства командиров батарей; ж) значительные успехи в области маскировки.</w:t>
      </w:r>
    </w:p>
    <w:p w14:paraId="2D02A67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Наряду с указанными достижениями имеются и существенные недочеты, из коих следует отметить:</w:t>
      </w:r>
    </w:p>
    <w:p w14:paraId="59B8B7A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недостаточную активность старших </w:t>
      </w:r>
      <w:proofErr w:type="spellStart"/>
      <w:r w:rsidRPr="00A259BD">
        <w:rPr>
          <w:rFonts w:ascii="Times New Roman" w:hAnsi="Times New Roman"/>
          <w:color w:val="000000" w:themeColor="text1"/>
          <w:sz w:val="16"/>
          <w:szCs w:val="16"/>
        </w:rPr>
        <w:t>артначальников</w:t>
      </w:r>
      <w:proofErr w:type="spellEnd"/>
      <w:r w:rsidRPr="00A259BD">
        <w:rPr>
          <w:rFonts w:ascii="Times New Roman" w:hAnsi="Times New Roman"/>
          <w:color w:val="000000" w:themeColor="text1"/>
          <w:sz w:val="16"/>
          <w:szCs w:val="16"/>
        </w:rPr>
        <w:t xml:space="preserve"> (командиров артполков) в вопросах боевого использования артиллерии. Обычно для большинства из них ожидание указаний со стороны общевойскового начальника вместо законного осуществления своего права предложения;</w:t>
      </w:r>
    </w:p>
    <w:p w14:paraId="1E6BA4F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малую контактность в работе артиллерийских штабов с общевойсковыми. Откуда не всегда полная взаимная ориентировка и не полное использование артиллерийских возможностей;</w:t>
      </w:r>
    </w:p>
    <w:p w14:paraId="22A4834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неудовлетворительная работа </w:t>
      </w:r>
      <w:proofErr w:type="spellStart"/>
      <w:r w:rsidRPr="00A259BD">
        <w:rPr>
          <w:rFonts w:ascii="Times New Roman" w:hAnsi="Times New Roman"/>
          <w:color w:val="000000" w:themeColor="text1"/>
          <w:sz w:val="16"/>
          <w:szCs w:val="16"/>
        </w:rPr>
        <w:t>артштабов</w:t>
      </w:r>
      <w:proofErr w:type="spellEnd"/>
      <w:r w:rsidRPr="00A259BD">
        <w:rPr>
          <w:rFonts w:ascii="Times New Roman" w:hAnsi="Times New Roman"/>
          <w:color w:val="000000" w:themeColor="text1"/>
          <w:sz w:val="16"/>
          <w:szCs w:val="16"/>
        </w:rPr>
        <w:t xml:space="preserve"> в области разведки, обработки ее данных и ориентирования частей;</w:t>
      </w:r>
    </w:p>
    <w:p w14:paraId="1C4C213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уклон </w:t>
      </w:r>
      <w:proofErr w:type="spellStart"/>
      <w:r w:rsidRPr="00A259BD">
        <w:rPr>
          <w:rFonts w:ascii="Times New Roman" w:hAnsi="Times New Roman"/>
          <w:color w:val="000000" w:themeColor="text1"/>
          <w:sz w:val="16"/>
          <w:szCs w:val="16"/>
        </w:rPr>
        <w:t>артштабов</w:t>
      </w:r>
      <w:proofErr w:type="spellEnd"/>
      <w:r w:rsidRPr="00A259BD">
        <w:rPr>
          <w:rFonts w:ascii="Times New Roman" w:hAnsi="Times New Roman"/>
          <w:color w:val="000000" w:themeColor="text1"/>
          <w:sz w:val="16"/>
          <w:szCs w:val="16"/>
        </w:rPr>
        <w:t xml:space="preserve"> в область канцелярской работы вместо живой активной работы.</w:t>
      </w:r>
    </w:p>
    <w:p w14:paraId="2FA220B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недостаточную еще маневренность артиллерии колесами;</w:t>
      </w:r>
    </w:p>
    <w:p w14:paraId="79CD734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недостаточную подготовленность артиллерии в совместной работе с авиацией;</w:t>
      </w:r>
    </w:p>
    <w:p w14:paraId="59CD4FF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все еще не изжитую стрелковую немощь некоторых командиров батарей (МВО).</w:t>
      </w:r>
    </w:p>
    <w:p w14:paraId="3481FF2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устранение недочетов, указанных в </w:t>
      </w:r>
      <w:proofErr w:type="spellStart"/>
      <w:r w:rsidRPr="00A259BD">
        <w:rPr>
          <w:rFonts w:ascii="Times New Roman" w:hAnsi="Times New Roman"/>
          <w:color w:val="000000" w:themeColor="text1"/>
          <w:sz w:val="16"/>
          <w:szCs w:val="16"/>
        </w:rPr>
        <w:t>пп</w:t>
      </w:r>
      <w:proofErr w:type="spellEnd"/>
      <w:r w:rsidRPr="00A259BD">
        <w:rPr>
          <w:rFonts w:ascii="Times New Roman" w:hAnsi="Times New Roman"/>
          <w:color w:val="000000" w:themeColor="text1"/>
          <w:sz w:val="16"/>
          <w:szCs w:val="16"/>
        </w:rPr>
        <w:t>. «а, б, в, г» должно быть обращено особое внимание; пути для этого — соответствующее важности вопроса заострение его на КУВНАС, Выстрел, КУВК, АКУКС и ВАК, а также на военных играх, полевых поездках и выходках в поле при совместном обучении родов войск.</w:t>
      </w:r>
    </w:p>
    <w:p w14:paraId="7A26C3D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Изжить недочеты в области стрелковой подготовки некоторой (значительное меньшинство) части наших командиров батарей возможно лишь в процессе как зимней (подготовительные к стрельбе упражнения, изучение правил стрельбы), так и летней учебы, обеспечив последнюю соответствующим отпуском боеприпасов.</w:t>
      </w:r>
    </w:p>
    <w:p w14:paraId="3C33602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Практика последних лет показывает, что наши успехи в области совместной работы с авиацией не имеют характера постепенного накопления достижений, а носят случайный, эпизодический характер. Так, округа (САВО), имевшие в прошлом году значительные достижения, в этом — идут в хвосте, не выполняя плана работы вследствие позднего прибытия авиации (опер, задания). Большинство </w:t>
      </w:r>
      <w:proofErr w:type="spellStart"/>
      <w:r w:rsidRPr="00A259BD">
        <w:rPr>
          <w:rFonts w:ascii="Times New Roman" w:hAnsi="Times New Roman"/>
          <w:color w:val="000000" w:themeColor="text1"/>
          <w:sz w:val="16"/>
          <w:szCs w:val="16"/>
        </w:rPr>
        <w:t>терчастей</w:t>
      </w:r>
      <w:proofErr w:type="spellEnd"/>
      <w:r w:rsidRPr="00A259BD">
        <w:rPr>
          <w:rFonts w:ascii="Times New Roman" w:hAnsi="Times New Roman"/>
          <w:color w:val="000000" w:themeColor="text1"/>
          <w:sz w:val="16"/>
          <w:szCs w:val="16"/>
        </w:rPr>
        <w:t xml:space="preserve"> по условиям их дислокации вовсе не имеют практики в работе с авиацией. Артиллерийская подготовка летнабов слаба. Практики в работе с артиллерией в зимний период авиация почти не имеет. Работа авиасигнальных постов не выявляется вовсе, т.к. таковые положено иметь лишь по штатам военного времени.</w:t>
      </w:r>
    </w:p>
    <w:p w14:paraId="19FB89D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Недочеты в области совместной работы артиллерии с авиацией имеют органический характер, повторяясь из года в год. Необходимые мероприятия: создание штатных артиллерийских авиаотрядов в частях АРГК, большое использование корпусных авиаотрядов для совместной работы с артиллерией (в том числе и в зимний период), обязательное обеспечение </w:t>
      </w:r>
      <w:proofErr w:type="spellStart"/>
      <w:r w:rsidRPr="00A259BD">
        <w:rPr>
          <w:rFonts w:ascii="Times New Roman" w:hAnsi="Times New Roman"/>
          <w:color w:val="000000" w:themeColor="text1"/>
          <w:sz w:val="16"/>
          <w:szCs w:val="16"/>
        </w:rPr>
        <w:t>спецартсборов</w:t>
      </w:r>
      <w:proofErr w:type="spellEnd"/>
      <w:r w:rsidRPr="00A259BD">
        <w:rPr>
          <w:rFonts w:ascii="Times New Roman" w:hAnsi="Times New Roman"/>
          <w:color w:val="000000" w:themeColor="text1"/>
          <w:sz w:val="16"/>
          <w:szCs w:val="16"/>
        </w:rPr>
        <w:t xml:space="preserve"> авиачастями, привлечение </w:t>
      </w:r>
      <w:proofErr w:type="spellStart"/>
      <w:r w:rsidRPr="00A259BD">
        <w:rPr>
          <w:rFonts w:ascii="Times New Roman" w:hAnsi="Times New Roman"/>
          <w:color w:val="000000" w:themeColor="text1"/>
          <w:sz w:val="16"/>
          <w:szCs w:val="16"/>
        </w:rPr>
        <w:t>начарткоров</w:t>
      </w:r>
      <w:proofErr w:type="spellEnd"/>
      <w:r w:rsidRPr="00A259BD">
        <w:rPr>
          <w:rFonts w:ascii="Times New Roman" w:hAnsi="Times New Roman"/>
          <w:color w:val="000000" w:themeColor="text1"/>
          <w:sz w:val="16"/>
          <w:szCs w:val="16"/>
        </w:rPr>
        <w:t xml:space="preserve"> к руководству артподготовкой летнабов корпусных авиаотрядов, обеспечение особого отпуска боеприпасов на тренировку летнабов в корректировании стрельбы и др.</w:t>
      </w:r>
    </w:p>
    <w:p w14:paraId="61E2B06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Общий вывод и пожелания:</w:t>
      </w:r>
    </w:p>
    <w:p w14:paraId="50962FF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Результаты боевой подготовки артиллерии за истекший год показывают, что основные </w:t>
      </w:r>
      <w:proofErr w:type="spellStart"/>
      <w:r w:rsidRPr="00A259BD">
        <w:rPr>
          <w:rFonts w:ascii="Times New Roman" w:hAnsi="Times New Roman"/>
          <w:color w:val="000000" w:themeColor="text1"/>
          <w:sz w:val="16"/>
          <w:szCs w:val="16"/>
        </w:rPr>
        <w:t>целеустановки</w:t>
      </w:r>
      <w:proofErr w:type="spellEnd"/>
      <w:r w:rsidRPr="00A259BD">
        <w:rPr>
          <w:rFonts w:ascii="Times New Roman" w:hAnsi="Times New Roman"/>
          <w:color w:val="000000" w:themeColor="text1"/>
          <w:sz w:val="16"/>
          <w:szCs w:val="16"/>
        </w:rPr>
        <w:t xml:space="preserve"> были взяты правильно.</w:t>
      </w:r>
    </w:p>
    <w:p w14:paraId="2CBAFAB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Артиллерия за год выросла количественно и качественно. В центре внимания на предстоящий год по-прежнему должны стоять вопросы стрелковой подготовки артиллерии и вопросы взаимодействия ее с другими родами войск Решительного сдвига в этой области можно ожидать при ускорении материального обеспечения артиллерии по всем видам ее боевого снабжения и при твердом проведении в жизнь мероприятий, обеспечивающих целесообразное и правильное управление войсками со стороны общевойсковых начальников.</w:t>
      </w:r>
    </w:p>
    <w:p w14:paraId="1C2FF14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частности, признается настоятельно необходимым:</w:t>
      </w:r>
    </w:p>
    <w:p w14:paraId="764710B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1.С целью освежения и доукомплектования конского состава усилить ремонтирование артиллерии лошадьми, особенно строевыми.</w:t>
      </w:r>
    </w:p>
    <w:p w14:paraId="1F5A49D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2.Ускорить материальное обеспечение частей зенитной артиллерии</w:t>
      </w:r>
    </w:p>
    <w:p w14:paraId="65CF06C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3.Увеличить нормы отпуска боеприпасов на практические стрельбы</w:t>
      </w:r>
    </w:p>
    <w:p w14:paraId="52440C6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4.Ускорить снабжение артиллерии новыми средствами связи, в первую очередь радиосвязью.</w:t>
      </w:r>
    </w:p>
    <w:p w14:paraId="179CE54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5.Провести ряд конкретных мероприятий (см. п.6) для решительного сдвига в области совместной работы артиллерии с авиацией.</w:t>
      </w:r>
    </w:p>
    <w:p w14:paraId="7913783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6.Настойчиво проводить в среду общевойсковых, пехотных и кавалерийских начальников взгляд на то, что взаимодействие родов войск с артиллерией есть дело не только артиллерийских начальников.</w:t>
      </w:r>
    </w:p>
    <w:p w14:paraId="7AF7465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7.Увеличить число совместных занятий родов войск как в пределах мелких подразделений, так и в соединениях, всемерно используя для этой цели также и зимний период обучения. Целью этих совместных занятий ставить как выработку техники взаимодействия родов войск, так и, что особенно важно, технику управления войсками.</w:t>
      </w:r>
    </w:p>
    <w:p w14:paraId="7B51932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5)Инженерные войска:</w:t>
      </w:r>
    </w:p>
    <w:p w14:paraId="03861CA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состав инженерных войск входят: саперные, конно-саперные, понтонные, маскировочные, автомобильные, электротехнические, гидротехнические и железнодорожные части. Общее количество инженерных войск с железнодорожными составляет 33 950 человек кадра, что по отношению ко всей РККА вместе с железнодорожными составит 5,66%, без железнодорожных войск — 3,4%.</w:t>
      </w:r>
    </w:p>
    <w:p w14:paraId="4B05E70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основных инженерных войск — саперных, составляет 2,4% от общей численности войск РККА (в Германии — 3,36%, в Польше — 2,84%, во Франции — 2,41%)</w:t>
      </w:r>
    </w:p>
    <w:p w14:paraId="3C7D699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территориальных стрелковых дивизиях имеются тер. </w:t>
      </w:r>
      <w:proofErr w:type="spellStart"/>
      <w:r w:rsidRPr="00A259BD">
        <w:rPr>
          <w:rFonts w:ascii="Times New Roman" w:hAnsi="Times New Roman"/>
          <w:color w:val="000000" w:themeColor="text1"/>
          <w:sz w:val="16"/>
          <w:szCs w:val="16"/>
        </w:rPr>
        <w:t>сапроты</w:t>
      </w:r>
      <w:proofErr w:type="spellEnd"/>
      <w:r w:rsidRPr="00A259BD">
        <w:rPr>
          <w:rFonts w:ascii="Times New Roman" w:hAnsi="Times New Roman"/>
          <w:color w:val="000000" w:themeColor="text1"/>
          <w:sz w:val="16"/>
          <w:szCs w:val="16"/>
        </w:rPr>
        <w:t xml:space="preserve"> Переменный состав тер. </w:t>
      </w:r>
      <w:proofErr w:type="spellStart"/>
      <w:r w:rsidRPr="00A259BD">
        <w:rPr>
          <w:rFonts w:ascii="Times New Roman" w:hAnsi="Times New Roman"/>
          <w:color w:val="000000" w:themeColor="text1"/>
          <w:sz w:val="16"/>
          <w:szCs w:val="16"/>
        </w:rPr>
        <w:t>сапрот</w:t>
      </w:r>
      <w:proofErr w:type="spellEnd"/>
      <w:r w:rsidRPr="00A259BD">
        <w:rPr>
          <w:rFonts w:ascii="Times New Roman" w:hAnsi="Times New Roman"/>
          <w:color w:val="000000" w:themeColor="text1"/>
          <w:sz w:val="16"/>
          <w:szCs w:val="16"/>
        </w:rPr>
        <w:t xml:space="preserve"> составляет 12 336 человек. Для </w:t>
      </w:r>
      <w:proofErr w:type="spellStart"/>
      <w:r w:rsidRPr="00A259BD">
        <w:rPr>
          <w:rFonts w:ascii="Times New Roman" w:hAnsi="Times New Roman"/>
          <w:color w:val="000000" w:themeColor="text1"/>
          <w:sz w:val="16"/>
          <w:szCs w:val="16"/>
        </w:rPr>
        <w:t>тердивизии</w:t>
      </w:r>
      <w:proofErr w:type="spellEnd"/>
      <w:r w:rsidRPr="00A259BD">
        <w:rPr>
          <w:rFonts w:ascii="Times New Roman" w:hAnsi="Times New Roman"/>
          <w:color w:val="000000" w:themeColor="text1"/>
          <w:sz w:val="16"/>
          <w:szCs w:val="16"/>
        </w:rPr>
        <w:t xml:space="preserve"> соотношение между численностью дивизии и ее саперами составляет 3,1%.</w:t>
      </w:r>
    </w:p>
    <w:p w14:paraId="3247879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Общее направление боевой </w:t>
      </w:r>
      <w:proofErr w:type="spellStart"/>
      <w:r w:rsidRPr="00A259BD">
        <w:rPr>
          <w:rFonts w:ascii="Times New Roman" w:hAnsi="Times New Roman"/>
          <w:color w:val="000000" w:themeColor="text1"/>
          <w:sz w:val="16"/>
          <w:szCs w:val="16"/>
        </w:rPr>
        <w:t>подготовкии</w:t>
      </w:r>
      <w:proofErr w:type="spellEnd"/>
      <w:r w:rsidRPr="00A259BD">
        <w:rPr>
          <w:rFonts w:ascii="Times New Roman" w:hAnsi="Times New Roman"/>
          <w:color w:val="000000" w:themeColor="text1"/>
          <w:sz w:val="16"/>
          <w:szCs w:val="16"/>
        </w:rPr>
        <w:t xml:space="preserve"> постановки основных задач в подготовке </w:t>
      </w:r>
      <w:proofErr w:type="spellStart"/>
      <w:r w:rsidRPr="00A259BD">
        <w:rPr>
          <w:rFonts w:ascii="Times New Roman" w:hAnsi="Times New Roman"/>
          <w:color w:val="000000" w:themeColor="text1"/>
          <w:sz w:val="16"/>
          <w:szCs w:val="16"/>
        </w:rPr>
        <w:t>инжвойск</w:t>
      </w:r>
      <w:proofErr w:type="spellEnd"/>
      <w:r w:rsidRPr="00A259BD">
        <w:rPr>
          <w:rFonts w:ascii="Times New Roman" w:hAnsi="Times New Roman"/>
          <w:color w:val="000000" w:themeColor="text1"/>
          <w:sz w:val="16"/>
          <w:szCs w:val="16"/>
        </w:rPr>
        <w:t xml:space="preserve"> указано в постановлении РВС СССР от 11 мая 1926 года и 8 февраля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Главнейшими моментами этих постановлений являются:</w:t>
      </w:r>
    </w:p>
    <w:p w14:paraId="7D2A64C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1)уклон в практические работы саперных и железнодорожных частей;</w:t>
      </w:r>
    </w:p>
    <w:p w14:paraId="5E682E5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2)стажировка старшего начсостава </w:t>
      </w:r>
      <w:proofErr w:type="spellStart"/>
      <w:r w:rsidRPr="00A259BD">
        <w:rPr>
          <w:rFonts w:ascii="Times New Roman" w:hAnsi="Times New Roman"/>
          <w:color w:val="000000" w:themeColor="text1"/>
          <w:sz w:val="16"/>
          <w:szCs w:val="16"/>
        </w:rPr>
        <w:t>инжчастей</w:t>
      </w:r>
      <w:proofErr w:type="spellEnd"/>
      <w:r w:rsidRPr="00A259BD">
        <w:rPr>
          <w:rFonts w:ascii="Times New Roman" w:hAnsi="Times New Roman"/>
          <w:color w:val="000000" w:themeColor="text1"/>
          <w:sz w:val="16"/>
          <w:szCs w:val="16"/>
        </w:rPr>
        <w:t xml:space="preserve"> на строительных работах,</w:t>
      </w:r>
    </w:p>
    <w:p w14:paraId="5DC6543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3)вооружение инженерных частей современным техническим имуществом;</w:t>
      </w:r>
    </w:p>
    <w:p w14:paraId="1C99739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4)усиление переправочными средствами саперных частей;</w:t>
      </w:r>
    </w:p>
    <w:p w14:paraId="45F3FE6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5)уклон в саперных частях в «тяжелую технику».</w:t>
      </w:r>
    </w:p>
    <w:p w14:paraId="3C73CF7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Указанные основные пункты постановлений РВС СССР в большинстве проведены в жизнь. Инженерные войска уже в течение нескольких лет выходят на большие практические работы; осуществляется стажировка старшего комсостава инженерных войск на крупных строительных работах; при акционерном обществе «Установка» организованы военно-инженерные курсы, где </w:t>
      </w:r>
      <w:proofErr w:type="spellStart"/>
      <w:r w:rsidRPr="00A259BD">
        <w:rPr>
          <w:rFonts w:ascii="Times New Roman" w:hAnsi="Times New Roman"/>
          <w:color w:val="000000" w:themeColor="text1"/>
          <w:sz w:val="16"/>
          <w:szCs w:val="16"/>
        </w:rPr>
        <w:t>третии</w:t>
      </w:r>
      <w:proofErr w:type="spellEnd"/>
      <w:r w:rsidRPr="00A259BD">
        <w:rPr>
          <w:rFonts w:ascii="Times New Roman" w:hAnsi="Times New Roman"/>
          <w:color w:val="000000" w:themeColor="text1"/>
          <w:sz w:val="16"/>
          <w:szCs w:val="16"/>
        </w:rPr>
        <w:t xml:space="preserve"> год происходит инструкторская подготовка среднего комсостава инженерных войск по постановке обучения </w:t>
      </w:r>
      <w:proofErr w:type="spellStart"/>
      <w:r w:rsidRPr="00A259BD">
        <w:rPr>
          <w:rFonts w:ascii="Times New Roman" w:hAnsi="Times New Roman"/>
          <w:color w:val="000000" w:themeColor="text1"/>
          <w:sz w:val="16"/>
          <w:szCs w:val="16"/>
        </w:rPr>
        <w:t>мастерствам</w:t>
      </w:r>
      <w:proofErr w:type="spellEnd"/>
      <w:r w:rsidRPr="00A259BD">
        <w:rPr>
          <w:rFonts w:ascii="Times New Roman" w:hAnsi="Times New Roman"/>
          <w:color w:val="000000" w:themeColor="text1"/>
          <w:sz w:val="16"/>
          <w:szCs w:val="16"/>
        </w:rPr>
        <w:t xml:space="preserve"> в инженерных войсках по методам Центрального института труда.</w:t>
      </w:r>
    </w:p>
    <w:p w14:paraId="41EB19D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Саперные части снабжаются новым переправочным средством — лодка А2 (24лодки на стрелковую дивизию, что дает 120 </w:t>
      </w:r>
      <w:proofErr w:type="spellStart"/>
      <w:r w:rsidRPr="00A259BD">
        <w:rPr>
          <w:rFonts w:ascii="Times New Roman" w:hAnsi="Times New Roman"/>
          <w:color w:val="000000" w:themeColor="text1"/>
          <w:sz w:val="16"/>
          <w:szCs w:val="16"/>
        </w:rPr>
        <w:t>пог</w:t>
      </w:r>
      <w:proofErr w:type="spellEnd"/>
      <w:r w:rsidRPr="00A259BD">
        <w:rPr>
          <w:rFonts w:ascii="Times New Roman" w:hAnsi="Times New Roman"/>
          <w:color w:val="000000" w:themeColor="text1"/>
          <w:sz w:val="16"/>
          <w:szCs w:val="16"/>
        </w:rPr>
        <w:t>. м. моста для грузов 3,2 т.).</w:t>
      </w:r>
    </w:p>
    <w:p w14:paraId="734A3DF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Необходимо отметить, что фактическое снабжение инженерных частей современным инженерным имуществом происходит чрезвычайно медленно. К 1 сентября 1928 г. </w:t>
      </w:r>
      <w:proofErr w:type="spellStart"/>
      <w:r w:rsidRPr="00A259BD">
        <w:rPr>
          <w:rFonts w:ascii="Times New Roman" w:hAnsi="Times New Roman"/>
          <w:color w:val="000000" w:themeColor="text1"/>
          <w:sz w:val="16"/>
          <w:szCs w:val="16"/>
        </w:rPr>
        <w:t>инжчасти</w:t>
      </w:r>
      <w:proofErr w:type="spellEnd"/>
      <w:r w:rsidRPr="00A259BD">
        <w:rPr>
          <w:rFonts w:ascii="Times New Roman" w:hAnsi="Times New Roman"/>
          <w:color w:val="000000" w:themeColor="text1"/>
          <w:sz w:val="16"/>
          <w:szCs w:val="16"/>
        </w:rPr>
        <w:t xml:space="preserve"> почти полностью снабжены всеми основными специальными уставами, наставлениями и руководствами. Кроме того, для проведения практической учебы </w:t>
      </w:r>
      <w:proofErr w:type="spellStart"/>
      <w:r w:rsidRPr="00A259BD">
        <w:rPr>
          <w:rFonts w:ascii="Times New Roman" w:hAnsi="Times New Roman"/>
          <w:color w:val="000000" w:themeColor="text1"/>
          <w:sz w:val="16"/>
          <w:szCs w:val="16"/>
        </w:rPr>
        <w:t>инжвойска</w:t>
      </w:r>
      <w:proofErr w:type="spellEnd"/>
      <w:r w:rsidRPr="00A259BD">
        <w:rPr>
          <w:rFonts w:ascii="Times New Roman" w:hAnsi="Times New Roman"/>
          <w:color w:val="000000" w:themeColor="text1"/>
          <w:sz w:val="16"/>
          <w:szCs w:val="16"/>
        </w:rPr>
        <w:t xml:space="preserve"> имеют необходимые учебники, пособия и памятки.</w:t>
      </w:r>
    </w:p>
    <w:p w14:paraId="023915A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Состояние боевой подготовки </w:t>
      </w:r>
      <w:proofErr w:type="spellStart"/>
      <w:r w:rsidRPr="00A259BD">
        <w:rPr>
          <w:rFonts w:ascii="Times New Roman" w:hAnsi="Times New Roman"/>
          <w:color w:val="000000" w:themeColor="text1"/>
          <w:sz w:val="16"/>
          <w:szCs w:val="16"/>
        </w:rPr>
        <w:t>инжвойскк</w:t>
      </w:r>
      <w:proofErr w:type="spellEnd"/>
      <w:r w:rsidRPr="00A259BD">
        <w:rPr>
          <w:rFonts w:ascii="Times New Roman" w:hAnsi="Times New Roman"/>
          <w:color w:val="000000" w:themeColor="text1"/>
          <w:sz w:val="16"/>
          <w:szCs w:val="16"/>
        </w:rPr>
        <w:t xml:space="preserve"> осени 1928 года вполне удовлетворительно. Постройка в 1925 г. и 1927 г. железнодорожными и саперными частями двух новых железнодорожных линий — Орша—Лепель и Чернигов—Овруч общим протяжением 320 км, постройка в 1928 г. саперными частями стратегической переправы у Остер-Печки общим протяжением около 5 км, постройка в 1928 г. тяжелых железобетонных точек на Карельском участке и, наконец, ежегодное привлечение инженерных войск на большие постройки общегражданского значения — выявили хорошую специальную подготовку этих частей, умение производить все технические работы в указанный срок. Кроме того, произведенные работы и особенно тяжелые условия работы по оперативным заданиям показали высокое политико-моральное состояние этих частей и их вполне здоровое боевое воспитание. Проведенные в этом году маневры </w:t>
      </w:r>
      <w:proofErr w:type="spellStart"/>
      <w:r w:rsidRPr="00A259BD">
        <w:rPr>
          <w:rFonts w:ascii="Times New Roman" w:hAnsi="Times New Roman"/>
          <w:color w:val="000000" w:themeColor="text1"/>
          <w:sz w:val="16"/>
          <w:szCs w:val="16"/>
        </w:rPr>
        <w:t>подтвердиливполне</w:t>
      </w:r>
      <w:proofErr w:type="spellEnd"/>
      <w:r w:rsidRPr="00A259BD">
        <w:rPr>
          <w:rFonts w:ascii="Times New Roman" w:hAnsi="Times New Roman"/>
          <w:color w:val="000000" w:themeColor="text1"/>
          <w:sz w:val="16"/>
          <w:szCs w:val="16"/>
        </w:rPr>
        <w:t xml:space="preserve"> удовлетворительную боевую подготовку инженерных частей и их хорошее политико-моральное состояние.</w:t>
      </w:r>
    </w:p>
    <w:p w14:paraId="6300CCE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Основными </w:t>
      </w:r>
      <w:proofErr w:type="spellStart"/>
      <w:r w:rsidRPr="00A259BD">
        <w:rPr>
          <w:rFonts w:ascii="Times New Roman" w:hAnsi="Times New Roman"/>
          <w:color w:val="000000" w:themeColor="text1"/>
          <w:sz w:val="16"/>
          <w:szCs w:val="16"/>
        </w:rPr>
        <w:t>недочетамидля</w:t>
      </w:r>
      <w:proofErr w:type="spellEnd"/>
      <w:r w:rsidRPr="00A259BD">
        <w:rPr>
          <w:rFonts w:ascii="Times New Roman" w:hAnsi="Times New Roman"/>
          <w:color w:val="000000" w:themeColor="text1"/>
          <w:sz w:val="16"/>
          <w:szCs w:val="16"/>
        </w:rPr>
        <w:t xml:space="preserve"> успешного проведения боевой подготовки являются:</w:t>
      </w:r>
    </w:p>
    <w:p w14:paraId="30C0E7C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1)некомплект всех видов инженерного имущества и наиболее сказывающегося на обучении — мастерского; 2) недостаточный отпуск кредитов на специальное образование; 3) недостаток отпускаемых средств на летние практические занятия территориальных саперных частей.</w:t>
      </w:r>
    </w:p>
    <w:p w14:paraId="73896AF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Отдельно нужно отметить, что учет роли и работы инженерных войск в будущих войнах заставляет считать недочетом теперешнюю </w:t>
      </w:r>
      <w:proofErr w:type="spellStart"/>
      <w:r w:rsidRPr="00A259BD">
        <w:rPr>
          <w:rFonts w:ascii="Times New Roman" w:hAnsi="Times New Roman"/>
          <w:color w:val="000000" w:themeColor="text1"/>
          <w:sz w:val="16"/>
          <w:szCs w:val="16"/>
        </w:rPr>
        <w:t>снабжённость</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инжвойск</w:t>
      </w:r>
      <w:proofErr w:type="spellEnd"/>
      <w:r w:rsidRPr="00A259BD">
        <w:rPr>
          <w:rFonts w:ascii="Times New Roman" w:hAnsi="Times New Roman"/>
          <w:color w:val="000000" w:themeColor="text1"/>
          <w:sz w:val="16"/>
          <w:szCs w:val="16"/>
        </w:rPr>
        <w:t xml:space="preserve"> инженерным имуществом как по его состоянию, так и по качеству и количеству.</w:t>
      </w:r>
    </w:p>
    <w:p w14:paraId="79D8F76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Личный </w:t>
      </w:r>
      <w:proofErr w:type="spellStart"/>
      <w:r w:rsidRPr="00A259BD">
        <w:rPr>
          <w:rFonts w:ascii="Times New Roman" w:hAnsi="Times New Roman"/>
          <w:color w:val="000000" w:themeColor="text1"/>
          <w:sz w:val="16"/>
          <w:szCs w:val="16"/>
        </w:rPr>
        <w:t>состав.Целями</w:t>
      </w:r>
      <w:proofErr w:type="spellEnd"/>
      <w:r w:rsidRPr="00A259BD">
        <w:rPr>
          <w:rFonts w:ascii="Times New Roman" w:hAnsi="Times New Roman"/>
          <w:color w:val="000000" w:themeColor="text1"/>
          <w:sz w:val="16"/>
          <w:szCs w:val="16"/>
        </w:rPr>
        <w:t xml:space="preserve"> боевой подготовки инженерных войск является: в саперных, конно-саперных и маскировочных частях — выработка инструктора-специалиста, могущего руководить всеми видами полевых инженерных работ и умеющего организовать эти работы и выполнять самостоятельную постройку наиболее сложных сооружений. В остальных инженерных частях — выработка специалиста данной специальности, обладающего опытом и сноровками в ней.</w:t>
      </w:r>
    </w:p>
    <w:p w14:paraId="1398A98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Эти основные задачи могут считаться выполненными, за исключением саперных, конно-саперных и маскировочных частей, где </w:t>
      </w:r>
      <w:proofErr w:type="spellStart"/>
      <w:r w:rsidRPr="00A259BD">
        <w:rPr>
          <w:rFonts w:ascii="Times New Roman" w:hAnsi="Times New Roman"/>
          <w:color w:val="000000" w:themeColor="text1"/>
          <w:sz w:val="16"/>
          <w:szCs w:val="16"/>
        </w:rPr>
        <w:t>выработкаинструкторавстречает</w:t>
      </w:r>
      <w:proofErr w:type="spellEnd"/>
      <w:r w:rsidRPr="00A259BD">
        <w:rPr>
          <w:rFonts w:ascii="Times New Roman" w:hAnsi="Times New Roman"/>
          <w:color w:val="000000" w:themeColor="text1"/>
          <w:sz w:val="16"/>
          <w:szCs w:val="16"/>
        </w:rPr>
        <w:t xml:space="preserve"> ряд затруднений (недостаточность </w:t>
      </w:r>
      <w:proofErr w:type="spellStart"/>
      <w:r w:rsidRPr="00A259BD">
        <w:rPr>
          <w:rFonts w:ascii="Times New Roman" w:hAnsi="Times New Roman"/>
          <w:color w:val="000000" w:themeColor="text1"/>
          <w:sz w:val="16"/>
          <w:szCs w:val="16"/>
        </w:rPr>
        <w:t>инжимущества</w:t>
      </w:r>
      <w:proofErr w:type="spellEnd"/>
      <w:r w:rsidRPr="00A259BD">
        <w:rPr>
          <w:rFonts w:ascii="Times New Roman" w:hAnsi="Times New Roman"/>
          <w:color w:val="000000" w:themeColor="text1"/>
          <w:sz w:val="16"/>
          <w:szCs w:val="16"/>
        </w:rPr>
        <w:t xml:space="preserve"> и кредитов на обучение).</w:t>
      </w:r>
    </w:p>
    <w:p w14:paraId="62AD4C6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Недочетами отработки соответствующего контингента запаса и затруднениями этой подготовки являются: 1) указанный уже недостаточный отпуск на специальное образование; 2) продолжающийся неудовлетворительный состав пополнения узкоспециальных частей (автомобильных, электротехнических, гидротехнических и маскировочных); 3) контингент </w:t>
      </w:r>
      <w:proofErr w:type="spellStart"/>
      <w:r w:rsidRPr="00A259BD">
        <w:rPr>
          <w:rFonts w:ascii="Times New Roman" w:hAnsi="Times New Roman"/>
          <w:color w:val="000000" w:themeColor="text1"/>
          <w:sz w:val="16"/>
          <w:szCs w:val="16"/>
        </w:rPr>
        <w:t>одногодников</w:t>
      </w:r>
      <w:proofErr w:type="spellEnd"/>
      <w:r w:rsidRPr="00A259BD">
        <w:rPr>
          <w:rFonts w:ascii="Times New Roman" w:hAnsi="Times New Roman"/>
          <w:color w:val="000000" w:themeColor="text1"/>
          <w:sz w:val="16"/>
          <w:szCs w:val="16"/>
        </w:rPr>
        <w:t xml:space="preserve"> (льготников по образованию) в </w:t>
      </w:r>
      <w:proofErr w:type="spellStart"/>
      <w:r w:rsidRPr="00A259BD">
        <w:rPr>
          <w:rFonts w:ascii="Times New Roman" w:hAnsi="Times New Roman"/>
          <w:color w:val="000000" w:themeColor="text1"/>
          <w:sz w:val="16"/>
          <w:szCs w:val="16"/>
        </w:rPr>
        <w:t>инжвойсках</w:t>
      </w:r>
      <w:proofErr w:type="spellEnd"/>
      <w:r w:rsidRPr="00A259BD">
        <w:rPr>
          <w:rFonts w:ascii="Times New Roman" w:hAnsi="Times New Roman"/>
          <w:color w:val="000000" w:themeColor="text1"/>
          <w:sz w:val="16"/>
          <w:szCs w:val="16"/>
        </w:rPr>
        <w:t xml:space="preserve"> в своем составе имеет 70 % без технического образования, что чрезвычайно затрудняет подготовку из </w:t>
      </w:r>
      <w:proofErr w:type="spellStart"/>
      <w:r w:rsidRPr="00A259BD">
        <w:rPr>
          <w:rFonts w:ascii="Times New Roman" w:hAnsi="Times New Roman"/>
          <w:color w:val="000000" w:themeColor="text1"/>
          <w:sz w:val="16"/>
          <w:szCs w:val="16"/>
        </w:rPr>
        <w:t>нихкомандиров</w:t>
      </w:r>
      <w:proofErr w:type="spellEnd"/>
      <w:r w:rsidRPr="00A259BD">
        <w:rPr>
          <w:rFonts w:ascii="Times New Roman" w:hAnsi="Times New Roman"/>
          <w:color w:val="000000" w:themeColor="text1"/>
          <w:sz w:val="16"/>
          <w:szCs w:val="16"/>
        </w:rPr>
        <w:t xml:space="preserve"> запаса </w:t>
      </w:r>
      <w:proofErr w:type="spellStart"/>
      <w:r w:rsidRPr="00A259BD">
        <w:rPr>
          <w:rFonts w:ascii="Times New Roman" w:hAnsi="Times New Roman"/>
          <w:color w:val="000000" w:themeColor="text1"/>
          <w:sz w:val="16"/>
          <w:szCs w:val="16"/>
        </w:rPr>
        <w:t>инжвойск</w:t>
      </w:r>
      <w:proofErr w:type="spellEnd"/>
      <w:r w:rsidRPr="00A259BD">
        <w:rPr>
          <w:rFonts w:ascii="Times New Roman" w:hAnsi="Times New Roman"/>
          <w:color w:val="000000" w:themeColor="text1"/>
          <w:sz w:val="16"/>
          <w:szCs w:val="16"/>
        </w:rPr>
        <w:t>.</w:t>
      </w:r>
    </w:p>
    <w:p w14:paraId="2D59F95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Начальствующий </w:t>
      </w:r>
      <w:proofErr w:type="spellStart"/>
      <w:r w:rsidRPr="00A259BD">
        <w:rPr>
          <w:rFonts w:ascii="Times New Roman" w:hAnsi="Times New Roman"/>
          <w:color w:val="000000" w:themeColor="text1"/>
          <w:sz w:val="16"/>
          <w:szCs w:val="16"/>
        </w:rPr>
        <w:t>состав.Младший</w:t>
      </w:r>
      <w:proofErr w:type="spellEnd"/>
      <w:r w:rsidRPr="00A259BD">
        <w:rPr>
          <w:rFonts w:ascii="Times New Roman" w:hAnsi="Times New Roman"/>
          <w:color w:val="000000" w:themeColor="text1"/>
          <w:sz w:val="16"/>
          <w:szCs w:val="16"/>
        </w:rPr>
        <w:t xml:space="preserve"> комсостав подготовлен удовлетворительно. Командирские навыки недостаточно уверенны. Сверхсрочно служащий мл. комсостав по своей подготовке мало отличается от срочнослужащих младших командиров. Подготовка сверхсрочнослужащих является ближайшей очередной задачей.</w:t>
      </w:r>
    </w:p>
    <w:p w14:paraId="6FC06A1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Средний </w:t>
      </w:r>
      <w:proofErr w:type="spellStart"/>
      <w:r w:rsidRPr="00A259BD">
        <w:rPr>
          <w:rFonts w:ascii="Times New Roman" w:hAnsi="Times New Roman"/>
          <w:color w:val="000000" w:themeColor="text1"/>
          <w:sz w:val="16"/>
          <w:szCs w:val="16"/>
        </w:rPr>
        <w:t>начсостав.Нормальные</w:t>
      </w:r>
      <w:proofErr w:type="spellEnd"/>
      <w:r w:rsidRPr="00A259BD">
        <w:rPr>
          <w:rFonts w:ascii="Times New Roman" w:hAnsi="Times New Roman"/>
          <w:color w:val="000000" w:themeColor="text1"/>
          <w:sz w:val="16"/>
          <w:szCs w:val="16"/>
        </w:rPr>
        <w:t xml:space="preserve"> инженерные школы выпускают в данное время средний комсостав вполне удовлетворительно подготовленным. Средний начсостав с занимаемыми должностями справляется.</w:t>
      </w:r>
    </w:p>
    <w:p w14:paraId="43B286C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Число лиц старшего и среднего комсостава, окончивших нормальные инженерные школы, превышает уже 60%; процент не имеющих военного образования от 25%, бывших в 1924 г., снизился до 7% к 1928 году. Партийность — свыше 50%.</w:t>
      </w:r>
    </w:p>
    <w:p w14:paraId="32E9C13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Старший и высший </w:t>
      </w:r>
      <w:proofErr w:type="spellStart"/>
      <w:r w:rsidRPr="00A259BD">
        <w:rPr>
          <w:rFonts w:ascii="Times New Roman" w:hAnsi="Times New Roman"/>
          <w:color w:val="000000" w:themeColor="text1"/>
          <w:sz w:val="16"/>
          <w:szCs w:val="16"/>
        </w:rPr>
        <w:t>начсостав.Работая</w:t>
      </w:r>
      <w:proofErr w:type="spellEnd"/>
      <w:r w:rsidRPr="00A259BD">
        <w:rPr>
          <w:rFonts w:ascii="Times New Roman" w:hAnsi="Times New Roman"/>
          <w:color w:val="000000" w:themeColor="text1"/>
          <w:sz w:val="16"/>
          <w:szCs w:val="16"/>
        </w:rPr>
        <w:t xml:space="preserve"> в Красной Армии в большинстве своем 10 лет и больше, этот состав имеет большой опыт. Однако будучи подготовленным вполне удовлетворительно технически, как специалисты, этот состав, особенно лица инженерного руководства (дивизионные и корпусные инженеры), нуждается в усовершенствовании знаний в вопросах организации работ большого масштаба и в работе в роли начальников инженеров войсковых соединений.</w:t>
      </w:r>
    </w:p>
    <w:p w14:paraId="4CA6EA1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Технические </w:t>
      </w:r>
      <w:proofErr w:type="spellStart"/>
      <w:r w:rsidRPr="00A259BD">
        <w:rPr>
          <w:rFonts w:ascii="Times New Roman" w:hAnsi="Times New Roman"/>
          <w:color w:val="000000" w:themeColor="text1"/>
          <w:sz w:val="16"/>
          <w:szCs w:val="16"/>
        </w:rPr>
        <w:t>вопросы.В</w:t>
      </w:r>
      <w:proofErr w:type="spellEnd"/>
      <w:r w:rsidRPr="00A259BD">
        <w:rPr>
          <w:rFonts w:ascii="Times New Roman" w:hAnsi="Times New Roman"/>
          <w:color w:val="000000" w:themeColor="text1"/>
          <w:sz w:val="16"/>
          <w:szCs w:val="16"/>
        </w:rPr>
        <w:t xml:space="preserve"> течение двух лет инженерные войска производят ряд опытов как по вопросам полевой инженерной техники, так и по испытанию новых образцов технического имущества. Главнейшими задачами в отношении снабжения инженерных войск современным инженерным имуществом является:</w:t>
      </w:r>
    </w:p>
    <w:p w14:paraId="3A6E951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1)для саперных частей — снабжение их разборными мостами, дорожными машинами, лесопилками, механическими бурами, машинами по водоснабжению и т.д.;</w:t>
      </w:r>
    </w:p>
    <w:p w14:paraId="3F5BA54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2)для понтонных частей — механизация понтонного обоза (легкого и тяжелого парков), моторизация судовых средств;</w:t>
      </w:r>
    </w:p>
    <w:p w14:paraId="39E02E3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3)для гидротехнических частей — снабжение современным гидротехническим имуществом.</w:t>
      </w:r>
    </w:p>
    <w:p w14:paraId="6858FDB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 дополнить, что весь темп снабжения инженерных частей современным инженерным имуществом чрезвычайно медленен и, не учитывая и не принимая во внимание все исследования, опыты и т.д., фактически и реально к октябрю 1928 г. по сравнению с периодом до империалистической войны мы имеем: в саперных частях — введение на снабжение лодок типа А, и в электротехнических частях — введение новых прожекторов и звукоулавливателей.</w:t>
      </w:r>
    </w:p>
    <w:p w14:paraId="390B4A1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Темп фактического снабжения войск новыми образцами имущества несомненно должен быть ускорен.</w:t>
      </w:r>
    </w:p>
    <w:p w14:paraId="0126866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6)Войска связи:</w:t>
      </w:r>
    </w:p>
    <w:p w14:paraId="3DFE4D9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состав войск связи входят: радио, телеграфно-телефонные и светосигнальные части, школы собаководства и голубеводства. Всего войск связи в РККА — 32 589 чел. (5,8% от общей численности армии). Если сравнить соотношение войск связи в иностранных армиях, то мы стоим на последнем месте. В обеспечении главнейшими средствами связи в нынешнем году мы </w:t>
      </w:r>
      <w:proofErr w:type="spellStart"/>
      <w:r w:rsidRPr="00A259BD">
        <w:rPr>
          <w:rFonts w:ascii="Times New Roman" w:hAnsi="Times New Roman"/>
          <w:color w:val="000000" w:themeColor="text1"/>
          <w:sz w:val="16"/>
          <w:szCs w:val="16"/>
        </w:rPr>
        <w:t>имеемотносительное,против</w:t>
      </w:r>
      <w:proofErr w:type="spellEnd"/>
      <w:r w:rsidRPr="00A259BD">
        <w:rPr>
          <w:rFonts w:ascii="Times New Roman" w:hAnsi="Times New Roman"/>
          <w:color w:val="000000" w:themeColor="text1"/>
          <w:sz w:val="16"/>
          <w:szCs w:val="16"/>
        </w:rPr>
        <w:t xml:space="preserve"> прошлого года, повышение на 1,4%. В общем, по количеству имущества связи в мирное и военное время мы значительно отстаем от всех заграничных армий.</w:t>
      </w:r>
    </w:p>
    <w:p w14:paraId="5FF4957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После империалистической войны все западные армии уделяли особое внимание насыщению различными средствами связи в соединениях от полка и ниже (полк, батальон, рота, батарея). На это сделан упор. В этих соединениях широко применяются радио, голуби, светосигнальные лампы, свистки, флаги, собаки и пр. Здесь переплетается сложнейшая техника с простейшими средствами (как, например: радио, голуби и флаги). У нас же от полка и ниже в этом отношении совсем неблагополучно.</w:t>
      </w:r>
    </w:p>
    <w:p w14:paraId="4515FCB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Наша стрелковая рота ни дорогих, ни дешевых средств связи совершенно не имеет. Показанные на диаграмме обыкновенные флажки и те в роте имеются условно. Управлять боем без средств связи невозможно. По этой линии необходимо принять срочные и решительные меры. Нужно хотя бы простейшие средства связи (свисток, собака, фонарь) ввести в батальон, роту и батарею Радиостанции мы не имеем только до дивизий; в низших соединениях во всех родах войск (пехота, кавалерия и артиллерия), кроме единичных образцов, радиостанций не имеется.</w:t>
      </w:r>
    </w:p>
    <w:p w14:paraId="778C210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Учебное имущество, на котором приходится обучать красноармейцев (за исключением радио), в большинстве своем устарело и потрепано. В особенности плохи и </w:t>
      </w:r>
      <w:proofErr w:type="spellStart"/>
      <w:r w:rsidRPr="00A259BD">
        <w:rPr>
          <w:rFonts w:ascii="Times New Roman" w:hAnsi="Times New Roman"/>
          <w:color w:val="000000" w:themeColor="text1"/>
          <w:sz w:val="16"/>
          <w:szCs w:val="16"/>
        </w:rPr>
        <w:t>многотипнытелефонные</w:t>
      </w:r>
      <w:proofErr w:type="spellEnd"/>
      <w:r w:rsidRPr="00A259BD">
        <w:rPr>
          <w:rFonts w:ascii="Times New Roman" w:hAnsi="Times New Roman"/>
          <w:color w:val="000000" w:themeColor="text1"/>
          <w:sz w:val="16"/>
          <w:szCs w:val="16"/>
        </w:rPr>
        <w:t xml:space="preserve"> аппараты. Сейчас мы вынуждены обучать красноармейца одновременно на 60 типах телефонов.</w:t>
      </w:r>
    </w:p>
    <w:p w14:paraId="55DC577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Крайне плохо обстоит дело с техническим обозом. Обеспеченность его с каждым годом не повышается, а понижается, некомплект на 1928 г. достигает 34%. Обоз крайне изношен и нуждается в капитальном ремонте и замене. Потрепанность обоза затрудняет специальное обучение войск и также в свою очередь изнашивает имущество связи при перевозках.</w:t>
      </w:r>
    </w:p>
    <w:p w14:paraId="01138FF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войск связи крайне необходимо усилить темп обеспечения их новыми типами телеграфно-телефонного, радио и сигнального имущества с тем, чтобы к концу 1930 года мы смогли реально ввести эти средства связи в стрелковые, артиллерийские и кавалерийские части (полк, батальон, рота и батарея). Одновременно нужно увеличить заготовку и капитальный ремонт специального технического обоза, изъяв из частей неисправный.</w:t>
      </w:r>
    </w:p>
    <w:p w14:paraId="6686277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боевой подготовке связистов РВС Союза поставил задачу как в войсках, так и в школах усилить курс на специализацию и повысить качество обрабатываемого запаса. В настоящее время красноармеец-связист увольняется из армии как квалифицированный специалист (радист, телефонист, собаковед и пр.).</w:t>
      </w:r>
    </w:p>
    <w:p w14:paraId="43A4869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подготовке командного состава в нормальных школах связи мы ввели обязательное преподавание иностранных языков (польский, английский, немецкий) с задачей, чтобы командир-связист по окончании школы мог свободно изучать заграничную технику по иностранной литературе, а в военное время по характеру своей работы мог бы практически применять свои знания иностранных языков (подслушивание, служба на радиостанциях и пр.). Кроме того, уже второй год мы практикуем стажировку командиров-связистов на заводах нашей промышленности (трест слабых токов); там они изучают постановку производства и знакомятся с последними техническими достижениями.</w:t>
      </w:r>
    </w:p>
    <w:p w14:paraId="19CC91B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общем постановка боевой подготовки войск </w:t>
      </w:r>
      <w:proofErr w:type="spellStart"/>
      <w:r w:rsidRPr="00A259BD">
        <w:rPr>
          <w:rFonts w:ascii="Times New Roman" w:hAnsi="Times New Roman"/>
          <w:color w:val="000000" w:themeColor="text1"/>
          <w:sz w:val="16"/>
          <w:szCs w:val="16"/>
        </w:rPr>
        <w:t>связивполне</w:t>
      </w:r>
      <w:proofErr w:type="spellEnd"/>
      <w:r w:rsidRPr="00A259BD">
        <w:rPr>
          <w:rFonts w:ascii="Times New Roman" w:hAnsi="Times New Roman"/>
          <w:color w:val="000000" w:themeColor="text1"/>
          <w:sz w:val="16"/>
          <w:szCs w:val="16"/>
        </w:rPr>
        <w:t xml:space="preserve"> соответствует развитию техники связи и отвечает задачам обороны государства.</w:t>
      </w:r>
    </w:p>
    <w:p w14:paraId="5800110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Подготовка войск связи за минувший год дала заметный рост. Войска связи работают четко и сноровисто и подготовлены вполне удовлетворительно. Их работа на постройке постоянной телеграфной линии Чернигов—Овруч отмечена как выдающаяся; производивший работу 9-й полк связи награжден орденом Красного Трудового Знамени.</w:t>
      </w:r>
    </w:p>
    <w:p w14:paraId="1599D55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Связисты пехоты, артиллерии и кавалерии подготовлены несколько ниже специальных войск связи.</w:t>
      </w:r>
    </w:p>
    <w:p w14:paraId="499A535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Младший комсостав связи подготовлен вполне удовлетворительно. Он фактически и является непосредственным командиром, обучающим красноармейца-специалиста.</w:t>
      </w:r>
    </w:p>
    <w:p w14:paraId="407CA15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Строевой, средний и старший комсостав (командиры рот, батальонов, полка) войск связи подготовлен также вполне удовлетворительно. Значительно слабее подготовлены начальники связи дивизий и корпусов. У последних еще нет четких навыков </w:t>
      </w:r>
      <w:proofErr w:type="spellStart"/>
      <w:r w:rsidRPr="00A259BD">
        <w:rPr>
          <w:rFonts w:ascii="Times New Roman" w:hAnsi="Times New Roman"/>
          <w:color w:val="000000" w:themeColor="text1"/>
          <w:sz w:val="16"/>
          <w:szCs w:val="16"/>
        </w:rPr>
        <w:t>ворганизациислужбы</w:t>
      </w:r>
      <w:proofErr w:type="spellEnd"/>
      <w:r w:rsidRPr="00A259BD">
        <w:rPr>
          <w:rFonts w:ascii="Times New Roman" w:hAnsi="Times New Roman"/>
          <w:color w:val="000000" w:themeColor="text1"/>
          <w:sz w:val="16"/>
          <w:szCs w:val="16"/>
        </w:rPr>
        <w:t xml:space="preserve"> связи. Это объясняется только тем, что по линии подготовки штабов службе связи мало уделялось внимания.</w:t>
      </w:r>
    </w:p>
    <w:p w14:paraId="0846C4A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Войска связи на маневрах нынешнего года работали весьма удовлетворительно и выявили себя как вполне слаженные соединения. Возлагаемые на них задачи выполнялись в подавляющем большинстве аккуратно и своевременно. Довольно сноровисто работали красноармейцы на новых образцах имущества связи, несмотря на то, что это имущество было получено от промышленности за несколько недель до начала маневров. Несмотря на хорошую подготовку войск связи, все же служба связи как таковая и на прошлогодних маневрах и в нынешнем году не дала нужного эффекта.</w:t>
      </w:r>
    </w:p>
    <w:p w14:paraId="1DF1FA2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Почти во всех военных округах на маневрах отмечено:</w:t>
      </w:r>
    </w:p>
    <w:p w14:paraId="6717783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неумение общевойсковых начальников и их начальников штабов правильно ставить задачи войскам связи, организованно и своевременно использовать технические средства связи;</w:t>
      </w:r>
    </w:p>
    <w:p w14:paraId="0A6B0CE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в большинстве случаев общевойсковые начальники всю систему управления строили без учета использования войск связи. Некоторые командиры дивизий игнорировали также и новейшие средства связи (радио). Все это в конечном счете неизбежно приводило к срыву управления, а следовательно, и к разрозненным, совершенно не поучительным действиям отдельных подразделений.</w:t>
      </w:r>
    </w:p>
    <w:p w14:paraId="47DBB61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Причины неумелого использования службы связи общевойсковыми начальниками следующие: а) отсутствие в войсках новых образцов имущества связи (мы вынуждены это имущество выдавать только на маневры); б) крайняя количественная ограниченность средств связи, об этом докладывалось, и в) в подготовке высшего начсостава недостаточно проводилось занятий по службе связи (это относится и к войскам всех родов войск и к высшим военно-учебным заведениям).</w:t>
      </w:r>
    </w:p>
    <w:p w14:paraId="52E6647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Общий </w:t>
      </w:r>
      <w:proofErr w:type="spellStart"/>
      <w:r w:rsidRPr="00A259BD">
        <w:rPr>
          <w:rFonts w:ascii="Times New Roman" w:hAnsi="Times New Roman"/>
          <w:color w:val="000000" w:themeColor="text1"/>
          <w:sz w:val="16"/>
          <w:szCs w:val="16"/>
        </w:rPr>
        <w:t>вывод.Специальная</w:t>
      </w:r>
      <w:proofErr w:type="spellEnd"/>
      <w:r w:rsidRPr="00A259BD">
        <w:rPr>
          <w:rFonts w:ascii="Times New Roman" w:hAnsi="Times New Roman"/>
          <w:color w:val="000000" w:themeColor="text1"/>
          <w:sz w:val="16"/>
          <w:szCs w:val="16"/>
        </w:rPr>
        <w:t xml:space="preserve"> подготовка войск и частей </w:t>
      </w:r>
      <w:proofErr w:type="spellStart"/>
      <w:r w:rsidRPr="00A259BD">
        <w:rPr>
          <w:rFonts w:ascii="Times New Roman" w:hAnsi="Times New Roman"/>
          <w:color w:val="000000" w:themeColor="text1"/>
          <w:sz w:val="16"/>
          <w:szCs w:val="16"/>
        </w:rPr>
        <w:t>связивполне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удовлетворительная,в</w:t>
      </w:r>
      <w:proofErr w:type="spellEnd"/>
      <w:r w:rsidRPr="00A259BD">
        <w:rPr>
          <w:rFonts w:ascii="Times New Roman" w:hAnsi="Times New Roman"/>
          <w:color w:val="000000" w:themeColor="text1"/>
          <w:sz w:val="16"/>
          <w:szCs w:val="16"/>
        </w:rPr>
        <w:t xml:space="preserve"> то же время их боеспособность стоит под угрозой только потому, что у нас совершенно недостаточно средств связи (особенно от полка и ниже).</w:t>
      </w:r>
    </w:p>
    <w:p w14:paraId="6BA8A1E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7)Химические войска:</w:t>
      </w:r>
    </w:p>
    <w:p w14:paraId="3F5762F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Боевая подготовка частей химических войск характеризуется своим приближением к современным боевым требованиям и техническим достижениям военно-химического дела.. Доведение подготовки до указанного состояния в значительной степени обусловлено введением на вооружение </w:t>
      </w:r>
      <w:proofErr w:type="spellStart"/>
      <w:r w:rsidRPr="00A259BD">
        <w:rPr>
          <w:rFonts w:ascii="Times New Roman" w:hAnsi="Times New Roman"/>
          <w:color w:val="000000" w:themeColor="text1"/>
          <w:sz w:val="16"/>
          <w:szCs w:val="16"/>
        </w:rPr>
        <w:t>химчастей</w:t>
      </w:r>
      <w:proofErr w:type="spellEnd"/>
      <w:r w:rsidRPr="00A259BD">
        <w:rPr>
          <w:rFonts w:ascii="Times New Roman" w:hAnsi="Times New Roman"/>
          <w:color w:val="000000" w:themeColor="text1"/>
          <w:sz w:val="16"/>
          <w:szCs w:val="16"/>
        </w:rPr>
        <w:t xml:space="preserve"> новых вполне современных технических средств химического нападения (приборы М-1, М-2 и т.д.), а также благодаря переходу руководства специальной подготовкой </w:t>
      </w:r>
      <w:proofErr w:type="spellStart"/>
      <w:r w:rsidRPr="00A259BD">
        <w:rPr>
          <w:rFonts w:ascii="Times New Roman" w:hAnsi="Times New Roman"/>
          <w:color w:val="000000" w:themeColor="text1"/>
          <w:sz w:val="16"/>
          <w:szCs w:val="16"/>
        </w:rPr>
        <w:t>химчастей</w:t>
      </w:r>
      <w:proofErr w:type="spellEnd"/>
      <w:r w:rsidRPr="00A259BD">
        <w:rPr>
          <w:rFonts w:ascii="Times New Roman" w:hAnsi="Times New Roman"/>
          <w:color w:val="000000" w:themeColor="text1"/>
          <w:sz w:val="16"/>
          <w:szCs w:val="16"/>
        </w:rPr>
        <w:t xml:space="preserve"> к военно-химическому управлению.</w:t>
      </w:r>
    </w:p>
    <w:p w14:paraId="167BC3E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Обеспеченность </w:t>
      </w:r>
      <w:proofErr w:type="spellStart"/>
      <w:r w:rsidRPr="00A259BD">
        <w:rPr>
          <w:rFonts w:ascii="Times New Roman" w:hAnsi="Times New Roman"/>
          <w:color w:val="000000" w:themeColor="text1"/>
          <w:sz w:val="16"/>
          <w:szCs w:val="16"/>
        </w:rPr>
        <w:t>химчастей</w:t>
      </w:r>
      <w:proofErr w:type="spellEnd"/>
      <w:r w:rsidRPr="00A259BD">
        <w:rPr>
          <w:rFonts w:ascii="Times New Roman" w:hAnsi="Times New Roman"/>
          <w:color w:val="000000" w:themeColor="text1"/>
          <w:sz w:val="16"/>
          <w:szCs w:val="16"/>
        </w:rPr>
        <w:t xml:space="preserve"> специальным учебным имуществом (по существующим штатам) в течение прошедшего года доведена до 100%, за исключением </w:t>
      </w:r>
      <w:proofErr w:type="spellStart"/>
      <w:r w:rsidRPr="00A259BD">
        <w:rPr>
          <w:rFonts w:ascii="Times New Roman" w:hAnsi="Times New Roman"/>
          <w:color w:val="000000" w:themeColor="text1"/>
          <w:sz w:val="16"/>
          <w:szCs w:val="16"/>
        </w:rPr>
        <w:t>газометной</w:t>
      </w:r>
      <w:proofErr w:type="spellEnd"/>
      <w:r w:rsidRPr="00A259BD">
        <w:rPr>
          <w:rFonts w:ascii="Times New Roman" w:hAnsi="Times New Roman"/>
          <w:color w:val="000000" w:themeColor="text1"/>
          <w:sz w:val="16"/>
          <w:szCs w:val="16"/>
        </w:rPr>
        <w:t xml:space="preserve"> батареи, которая до настоящего времени работает только на опытных образцах своего вооружения. Значительным тормозом в подготовке </w:t>
      </w:r>
      <w:proofErr w:type="spellStart"/>
      <w:r w:rsidRPr="00A259BD">
        <w:rPr>
          <w:rFonts w:ascii="Times New Roman" w:hAnsi="Times New Roman"/>
          <w:color w:val="000000" w:themeColor="text1"/>
          <w:sz w:val="16"/>
          <w:szCs w:val="16"/>
        </w:rPr>
        <w:t>химчастей</w:t>
      </w:r>
      <w:proofErr w:type="spellEnd"/>
      <w:r w:rsidRPr="00A259BD">
        <w:rPr>
          <w:rFonts w:ascii="Times New Roman" w:hAnsi="Times New Roman"/>
          <w:color w:val="000000" w:themeColor="text1"/>
          <w:sz w:val="16"/>
          <w:szCs w:val="16"/>
        </w:rPr>
        <w:t xml:space="preserve"> являлась недостаточная обеспеченность военно-техническим имуществом (мотоциклы, самокаты, </w:t>
      </w:r>
      <w:proofErr w:type="spellStart"/>
      <w:r w:rsidRPr="00A259BD">
        <w:rPr>
          <w:rFonts w:ascii="Times New Roman" w:hAnsi="Times New Roman"/>
          <w:color w:val="000000" w:themeColor="text1"/>
          <w:sz w:val="16"/>
          <w:szCs w:val="16"/>
        </w:rPr>
        <w:t>маскимущество</w:t>
      </w:r>
      <w:proofErr w:type="spellEnd"/>
      <w:r w:rsidRPr="00A259BD">
        <w:rPr>
          <w:rFonts w:ascii="Times New Roman" w:hAnsi="Times New Roman"/>
          <w:color w:val="000000" w:themeColor="text1"/>
          <w:sz w:val="16"/>
          <w:szCs w:val="16"/>
        </w:rPr>
        <w:t xml:space="preserve">), специальной одеждой, а также колесным боевым обозом, который к началу лета доведен до 100% только благодаря непосредственным распоряжениям РВС СССР; конским составом </w:t>
      </w:r>
      <w:proofErr w:type="spellStart"/>
      <w:r w:rsidRPr="00A259BD">
        <w:rPr>
          <w:rFonts w:ascii="Times New Roman" w:hAnsi="Times New Roman"/>
          <w:color w:val="000000" w:themeColor="text1"/>
          <w:sz w:val="16"/>
          <w:szCs w:val="16"/>
        </w:rPr>
        <w:t>химчасти</w:t>
      </w:r>
      <w:proofErr w:type="spellEnd"/>
      <w:r w:rsidRPr="00A259BD">
        <w:rPr>
          <w:rFonts w:ascii="Times New Roman" w:hAnsi="Times New Roman"/>
          <w:color w:val="000000" w:themeColor="text1"/>
          <w:sz w:val="16"/>
          <w:szCs w:val="16"/>
        </w:rPr>
        <w:t xml:space="preserve"> пополнены на 50% штата только к концу лагерного периода, что чрезвычайно затрудняло организацию полевых выходов в течение всего лагерного периода.</w:t>
      </w:r>
    </w:p>
    <w:p w14:paraId="2516E3D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Осенью прошлого года было произведено развертывание </w:t>
      </w:r>
      <w:proofErr w:type="spellStart"/>
      <w:r w:rsidRPr="00A259BD">
        <w:rPr>
          <w:rFonts w:ascii="Times New Roman" w:hAnsi="Times New Roman"/>
          <w:color w:val="000000" w:themeColor="text1"/>
          <w:sz w:val="16"/>
          <w:szCs w:val="16"/>
        </w:rPr>
        <w:t>химчастей</w:t>
      </w:r>
      <w:proofErr w:type="spellEnd"/>
      <w:r w:rsidRPr="00A259BD">
        <w:rPr>
          <w:rFonts w:ascii="Times New Roman" w:hAnsi="Times New Roman"/>
          <w:color w:val="000000" w:themeColor="text1"/>
          <w:sz w:val="16"/>
          <w:szCs w:val="16"/>
        </w:rPr>
        <w:t xml:space="preserve"> (отдельный учебно-опытный химический батальон развернулся в 1[-й] химический полк и заново сформирован 2[-й] отд. учебно-опытный хим. батальон), благодаря чему текущим летом мы имели возможность организовать большой полевой выход частей военно-химического </w:t>
      </w:r>
      <w:proofErr w:type="spellStart"/>
      <w:r w:rsidRPr="00A259BD">
        <w:rPr>
          <w:rFonts w:ascii="Times New Roman" w:hAnsi="Times New Roman"/>
          <w:color w:val="000000" w:themeColor="text1"/>
          <w:sz w:val="16"/>
          <w:szCs w:val="16"/>
        </w:rPr>
        <w:t>лагсборав</w:t>
      </w:r>
      <w:proofErr w:type="spellEnd"/>
      <w:r w:rsidRPr="00A259BD">
        <w:rPr>
          <w:rFonts w:ascii="Times New Roman" w:hAnsi="Times New Roman"/>
          <w:color w:val="000000" w:themeColor="text1"/>
          <w:sz w:val="16"/>
          <w:szCs w:val="16"/>
        </w:rPr>
        <w:t xml:space="preserve"> район г. Подольска с применением всех специальных подразделений </w:t>
      </w:r>
      <w:proofErr w:type="spellStart"/>
      <w:r w:rsidRPr="00A259BD">
        <w:rPr>
          <w:rFonts w:ascii="Times New Roman" w:hAnsi="Times New Roman"/>
          <w:color w:val="000000" w:themeColor="text1"/>
          <w:sz w:val="16"/>
          <w:szCs w:val="16"/>
        </w:rPr>
        <w:t>химвойск</w:t>
      </w:r>
      <w:proofErr w:type="spellEnd"/>
      <w:r w:rsidRPr="00A259BD">
        <w:rPr>
          <w:rFonts w:ascii="Times New Roman" w:hAnsi="Times New Roman"/>
          <w:color w:val="000000" w:themeColor="text1"/>
          <w:sz w:val="16"/>
          <w:szCs w:val="16"/>
        </w:rPr>
        <w:t xml:space="preserve"> (заражающие, баллонные, огнеметные, дымовые), а также принять участие во всесоюзных киевских маневрах, тоже всеми указанными подразделениями.</w:t>
      </w:r>
    </w:p>
    <w:p w14:paraId="7A2F52B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основании данных, полученных как во время специального военно-химического лагерного сбора, так и во время всесоюзных маневров, состояние подготовки </w:t>
      </w:r>
      <w:proofErr w:type="spellStart"/>
      <w:r w:rsidRPr="00A259BD">
        <w:rPr>
          <w:rFonts w:ascii="Times New Roman" w:hAnsi="Times New Roman"/>
          <w:color w:val="000000" w:themeColor="text1"/>
          <w:sz w:val="16"/>
          <w:szCs w:val="16"/>
        </w:rPr>
        <w:t>химическихчастей</w:t>
      </w:r>
      <w:proofErr w:type="spellEnd"/>
      <w:r w:rsidRPr="00A259BD">
        <w:rPr>
          <w:rFonts w:ascii="Times New Roman" w:hAnsi="Times New Roman"/>
          <w:color w:val="000000" w:themeColor="text1"/>
          <w:sz w:val="16"/>
          <w:szCs w:val="16"/>
        </w:rPr>
        <w:t xml:space="preserve"> рисуется в следующем виде:</w:t>
      </w:r>
    </w:p>
    <w:p w14:paraId="04845B3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1-й химический полк вел подготовку следующих своих подразделений: а) химические (газобаллонные) роты; б) огнеметная рота; в) школа подготовки младшего комсостава; г) рота подготовки </w:t>
      </w:r>
      <w:proofErr w:type="spellStart"/>
      <w:r w:rsidRPr="00A259BD">
        <w:rPr>
          <w:rFonts w:ascii="Times New Roman" w:hAnsi="Times New Roman"/>
          <w:color w:val="000000" w:themeColor="text1"/>
          <w:sz w:val="16"/>
          <w:szCs w:val="16"/>
        </w:rPr>
        <w:t>химинструкторов</w:t>
      </w:r>
      <w:proofErr w:type="spellEnd"/>
      <w:r w:rsidRPr="00A259BD">
        <w:rPr>
          <w:rFonts w:ascii="Times New Roman" w:hAnsi="Times New Roman"/>
          <w:color w:val="000000" w:themeColor="text1"/>
          <w:sz w:val="16"/>
          <w:szCs w:val="16"/>
        </w:rPr>
        <w:t>; д) команда льготников-</w:t>
      </w:r>
      <w:proofErr w:type="spellStart"/>
      <w:r w:rsidRPr="00A259BD">
        <w:rPr>
          <w:rFonts w:ascii="Times New Roman" w:hAnsi="Times New Roman"/>
          <w:color w:val="000000" w:themeColor="text1"/>
          <w:sz w:val="16"/>
          <w:szCs w:val="16"/>
        </w:rPr>
        <w:t>одногодичников</w:t>
      </w:r>
      <w:proofErr w:type="spellEnd"/>
      <w:r w:rsidRPr="00A259BD">
        <w:rPr>
          <w:rFonts w:ascii="Times New Roman" w:hAnsi="Times New Roman"/>
          <w:color w:val="000000" w:themeColor="text1"/>
          <w:sz w:val="16"/>
          <w:szCs w:val="16"/>
        </w:rPr>
        <w:t xml:space="preserve">; е) команда </w:t>
      </w:r>
      <w:proofErr w:type="spellStart"/>
      <w:r w:rsidRPr="00A259BD">
        <w:rPr>
          <w:rFonts w:ascii="Times New Roman" w:hAnsi="Times New Roman"/>
          <w:color w:val="000000" w:themeColor="text1"/>
          <w:sz w:val="16"/>
          <w:szCs w:val="16"/>
        </w:rPr>
        <w:t>ВУЗистов</w:t>
      </w:r>
      <w:proofErr w:type="spellEnd"/>
      <w:r w:rsidRPr="00A259BD">
        <w:rPr>
          <w:rFonts w:ascii="Times New Roman" w:hAnsi="Times New Roman"/>
          <w:color w:val="000000" w:themeColor="text1"/>
          <w:sz w:val="16"/>
          <w:szCs w:val="16"/>
        </w:rPr>
        <w:t xml:space="preserve">, отбывающих </w:t>
      </w:r>
      <w:proofErr w:type="spellStart"/>
      <w:r w:rsidRPr="00A259BD">
        <w:rPr>
          <w:rFonts w:ascii="Times New Roman" w:hAnsi="Times New Roman"/>
          <w:color w:val="000000" w:themeColor="text1"/>
          <w:sz w:val="16"/>
          <w:szCs w:val="16"/>
        </w:rPr>
        <w:t>лагсбор</w:t>
      </w:r>
      <w:proofErr w:type="spellEnd"/>
      <w:r w:rsidRPr="00A259BD">
        <w:rPr>
          <w:rFonts w:ascii="Times New Roman" w:hAnsi="Times New Roman"/>
          <w:color w:val="000000" w:themeColor="text1"/>
          <w:sz w:val="16"/>
          <w:szCs w:val="16"/>
        </w:rPr>
        <w:t xml:space="preserve">; ж) команда начсостава запаса </w:t>
      </w:r>
      <w:proofErr w:type="spellStart"/>
      <w:r w:rsidRPr="00A259BD">
        <w:rPr>
          <w:rFonts w:ascii="Times New Roman" w:hAnsi="Times New Roman"/>
          <w:color w:val="000000" w:themeColor="text1"/>
          <w:sz w:val="16"/>
          <w:szCs w:val="16"/>
        </w:rPr>
        <w:t>химвойск</w:t>
      </w:r>
      <w:proofErr w:type="spellEnd"/>
      <w:r w:rsidRPr="00A259BD">
        <w:rPr>
          <w:rFonts w:ascii="Times New Roman" w:hAnsi="Times New Roman"/>
          <w:color w:val="000000" w:themeColor="text1"/>
          <w:sz w:val="16"/>
          <w:szCs w:val="16"/>
        </w:rPr>
        <w:t>, проходящего летом переподготовку.</w:t>
      </w:r>
    </w:p>
    <w:p w14:paraId="64AC443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Подготовка всех указанных подразделений протекала достаточно планомерно, программы обучения закончены. Химическая и огнеметная роты вполне подготовлены к боевой работе, что видно из их четкой работы на всесоюзных маневрах, когда быстрота подготовки баллонных атак была доведена до 2,5—2,7 часов, а работа огнеметчиков позволила достигнуть наиболее полного взаимодействия огнеметов с пехотой и значительно усилить обороноспособность участков, требующих упорной обороны. Подготовка остальных подразделений полка протекала вполне нормально и дала нужные результаты.</w:t>
      </w:r>
    </w:p>
    <w:p w14:paraId="3FC0E54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 отметить, что в течение текущего лета каждый химик имел возможность произвести выпуск реального газа из баллонов (на полигоне), а каждый огнеметчик — работать с боевым огнеметанием.</w:t>
      </w:r>
    </w:p>
    <w:p w14:paraId="662836E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2-й отдельный учебно-опытный химический батальон вел подготовку следующих своих подразделений: а) заражающие роты, б) дымовые роты, в) школа подготовки младшего комсостава, г) </w:t>
      </w:r>
      <w:proofErr w:type="spellStart"/>
      <w:r w:rsidRPr="00A259BD">
        <w:rPr>
          <w:rFonts w:ascii="Times New Roman" w:hAnsi="Times New Roman"/>
          <w:color w:val="000000" w:themeColor="text1"/>
          <w:sz w:val="16"/>
          <w:szCs w:val="16"/>
        </w:rPr>
        <w:t>газометная</w:t>
      </w:r>
      <w:proofErr w:type="spellEnd"/>
      <w:r w:rsidRPr="00A259BD">
        <w:rPr>
          <w:rFonts w:ascii="Times New Roman" w:hAnsi="Times New Roman"/>
          <w:color w:val="000000" w:themeColor="text1"/>
          <w:sz w:val="16"/>
          <w:szCs w:val="16"/>
        </w:rPr>
        <w:t xml:space="preserve"> батарея.</w:t>
      </w:r>
    </w:p>
    <w:p w14:paraId="2FCEDD3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Условия учебной работы во 2 ОУОХБ были значительно хуже, чем в 1-м </w:t>
      </w:r>
      <w:proofErr w:type="spellStart"/>
      <w:r w:rsidRPr="00A259BD">
        <w:rPr>
          <w:rFonts w:ascii="Times New Roman" w:hAnsi="Times New Roman"/>
          <w:color w:val="000000" w:themeColor="text1"/>
          <w:sz w:val="16"/>
          <w:szCs w:val="16"/>
        </w:rPr>
        <w:t>химполку</w:t>
      </w:r>
      <w:proofErr w:type="spellEnd"/>
      <w:r w:rsidRPr="00A259BD">
        <w:rPr>
          <w:rFonts w:ascii="Times New Roman" w:hAnsi="Times New Roman"/>
          <w:color w:val="000000" w:themeColor="text1"/>
          <w:sz w:val="16"/>
          <w:szCs w:val="16"/>
        </w:rPr>
        <w:t xml:space="preserve">, т.к. в силу совершенно новой организации батальон не имел никаких материальных запасов </w:t>
      </w:r>
      <w:proofErr w:type="spellStart"/>
      <w:r w:rsidRPr="00A259BD">
        <w:rPr>
          <w:rFonts w:ascii="Times New Roman" w:hAnsi="Times New Roman"/>
          <w:color w:val="000000" w:themeColor="text1"/>
          <w:sz w:val="16"/>
          <w:szCs w:val="16"/>
        </w:rPr>
        <w:t>и,главное</w:t>
      </w:r>
      <w:proofErr w:type="spellEnd"/>
      <w:r w:rsidRPr="00A259BD">
        <w:rPr>
          <w:rFonts w:ascii="Times New Roman" w:hAnsi="Times New Roman"/>
          <w:color w:val="000000" w:themeColor="text1"/>
          <w:sz w:val="16"/>
          <w:szCs w:val="16"/>
        </w:rPr>
        <w:t>, не имел до конца лета конского состава, что не позволяло ему в течение всего лета проводить (из-за невозможности поднять боевой обоз) полевые тактические занятия в нужном масштабе.</w:t>
      </w:r>
    </w:p>
    <w:p w14:paraId="2E0846C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Однако несмотря на указанные недостатки, заражающие и дымовые подразделения получили удовлетворительную подготовку и вполне справились с теми широкими боевыми задачами, которые ставились им на всесоюзных маневрах (заражение учебными ОВ площадей размером в сотни тысяч кв. метров, поднятие мощных </w:t>
      </w:r>
      <w:proofErr w:type="spellStart"/>
      <w:r w:rsidRPr="00A259BD">
        <w:rPr>
          <w:rFonts w:ascii="Times New Roman" w:hAnsi="Times New Roman"/>
          <w:color w:val="000000" w:themeColor="text1"/>
          <w:sz w:val="16"/>
          <w:szCs w:val="16"/>
        </w:rPr>
        <w:t>дымзавес</w:t>
      </w:r>
      <w:proofErr w:type="spellEnd"/>
      <w:r w:rsidRPr="00A259BD">
        <w:rPr>
          <w:rFonts w:ascii="Times New Roman" w:hAnsi="Times New Roman"/>
          <w:color w:val="000000" w:themeColor="text1"/>
          <w:sz w:val="16"/>
          <w:szCs w:val="16"/>
        </w:rPr>
        <w:t xml:space="preserve"> и т.п.). В течение лета все химики заражающих подразделений провели работы по заражению местности реальным стойким ОВ (ипритом) в условиях определенной тактической обстановки (на полигоне во время </w:t>
      </w:r>
      <w:proofErr w:type="spellStart"/>
      <w:r w:rsidRPr="00A259BD">
        <w:rPr>
          <w:rFonts w:ascii="Times New Roman" w:hAnsi="Times New Roman"/>
          <w:color w:val="000000" w:themeColor="text1"/>
          <w:sz w:val="16"/>
          <w:szCs w:val="16"/>
        </w:rPr>
        <w:t>общелагерных</w:t>
      </w:r>
      <w:proofErr w:type="spellEnd"/>
      <w:r w:rsidRPr="00A259BD">
        <w:rPr>
          <w:rFonts w:ascii="Times New Roman" w:hAnsi="Times New Roman"/>
          <w:color w:val="000000" w:themeColor="text1"/>
          <w:sz w:val="16"/>
          <w:szCs w:val="16"/>
        </w:rPr>
        <w:t xml:space="preserve"> тактических учений), а </w:t>
      </w:r>
      <w:proofErr w:type="spellStart"/>
      <w:r w:rsidRPr="00A259BD">
        <w:rPr>
          <w:rFonts w:ascii="Times New Roman" w:hAnsi="Times New Roman"/>
          <w:color w:val="000000" w:themeColor="text1"/>
          <w:sz w:val="16"/>
          <w:szCs w:val="16"/>
        </w:rPr>
        <w:t>дымовики</w:t>
      </w:r>
      <w:proofErr w:type="spellEnd"/>
      <w:r w:rsidRPr="00A259BD">
        <w:rPr>
          <w:rFonts w:ascii="Times New Roman" w:hAnsi="Times New Roman"/>
          <w:color w:val="000000" w:themeColor="text1"/>
          <w:sz w:val="16"/>
          <w:szCs w:val="16"/>
        </w:rPr>
        <w:t xml:space="preserve"> проводили поднятие ряда завес с помощью реальных дымовых средств.</w:t>
      </w:r>
    </w:p>
    <w:p w14:paraId="0E9090B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Личный состав </w:t>
      </w:r>
      <w:proofErr w:type="spellStart"/>
      <w:r w:rsidRPr="00A259BD">
        <w:rPr>
          <w:rFonts w:ascii="Times New Roman" w:hAnsi="Times New Roman"/>
          <w:color w:val="000000" w:themeColor="text1"/>
          <w:sz w:val="16"/>
          <w:szCs w:val="16"/>
        </w:rPr>
        <w:t>газометной</w:t>
      </w:r>
      <w:proofErr w:type="spellEnd"/>
      <w:r w:rsidRPr="00A259BD">
        <w:rPr>
          <w:rFonts w:ascii="Times New Roman" w:hAnsi="Times New Roman"/>
          <w:color w:val="000000" w:themeColor="text1"/>
          <w:sz w:val="16"/>
          <w:szCs w:val="16"/>
        </w:rPr>
        <w:t xml:space="preserve"> батареи в виду отсутствия принятой на вооружение материальной части в тактических занятиях по специальности не участвовал, но получил достаточные навыки по обращению с материальной частью при работах с опытными образцами газометов.</w:t>
      </w:r>
    </w:p>
    <w:p w14:paraId="5B0DAF4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Выводы:</w:t>
      </w:r>
    </w:p>
    <w:p w14:paraId="370AF47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1.Подготовка </w:t>
      </w:r>
      <w:proofErr w:type="spellStart"/>
      <w:r w:rsidRPr="00A259BD">
        <w:rPr>
          <w:rFonts w:ascii="Times New Roman" w:hAnsi="Times New Roman"/>
          <w:color w:val="000000" w:themeColor="text1"/>
          <w:sz w:val="16"/>
          <w:szCs w:val="16"/>
        </w:rPr>
        <w:t>химчастей</w:t>
      </w:r>
      <w:proofErr w:type="spellEnd"/>
      <w:r w:rsidRPr="00A259BD">
        <w:rPr>
          <w:rFonts w:ascii="Times New Roman" w:hAnsi="Times New Roman"/>
          <w:color w:val="000000" w:themeColor="text1"/>
          <w:sz w:val="16"/>
          <w:szCs w:val="16"/>
        </w:rPr>
        <w:t xml:space="preserve"> проведена на реальной технической базе и в соответствии с современными боевыми требованиями благодаря доведения снабжения специальными средствами до нужного уровня и объединению руководства специальной подготовкой в руках военно-химического управления.</w:t>
      </w:r>
    </w:p>
    <w:p w14:paraId="3A523F3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2.Необеспеченность в течение летнего периода боевым обозом вредно отразилась на боевой подготовке </w:t>
      </w:r>
      <w:proofErr w:type="spellStart"/>
      <w:r w:rsidRPr="00A259BD">
        <w:rPr>
          <w:rFonts w:ascii="Times New Roman" w:hAnsi="Times New Roman"/>
          <w:color w:val="000000" w:themeColor="text1"/>
          <w:sz w:val="16"/>
          <w:szCs w:val="16"/>
        </w:rPr>
        <w:t>химчастей</w:t>
      </w:r>
      <w:proofErr w:type="spellEnd"/>
      <w:r w:rsidRPr="00A259BD">
        <w:rPr>
          <w:rFonts w:ascii="Times New Roman" w:hAnsi="Times New Roman"/>
          <w:color w:val="000000" w:themeColor="text1"/>
          <w:sz w:val="16"/>
          <w:szCs w:val="16"/>
        </w:rPr>
        <w:t>, не давая возможности довести полевую подготовку до должного размаха.</w:t>
      </w:r>
    </w:p>
    <w:p w14:paraId="0051139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3.Работа с реальным ОВ дала ценные результаты по выработке у химиков боевых навыков.</w:t>
      </w:r>
    </w:p>
    <w:p w14:paraId="4168D76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4.Примененные впервые на всесоюзных маневрах </w:t>
      </w:r>
      <w:proofErr w:type="spellStart"/>
      <w:r w:rsidRPr="00A259BD">
        <w:rPr>
          <w:rFonts w:ascii="Times New Roman" w:hAnsi="Times New Roman"/>
          <w:color w:val="000000" w:themeColor="text1"/>
          <w:sz w:val="16"/>
          <w:szCs w:val="16"/>
        </w:rPr>
        <w:t>химчасти</w:t>
      </w:r>
      <w:proofErr w:type="spellEnd"/>
      <w:r w:rsidRPr="00A259BD">
        <w:rPr>
          <w:rFonts w:ascii="Times New Roman" w:hAnsi="Times New Roman"/>
          <w:color w:val="000000" w:themeColor="text1"/>
          <w:sz w:val="16"/>
          <w:szCs w:val="16"/>
        </w:rPr>
        <w:t xml:space="preserve"> показали достаточно высокую подготовку и с возложенными на них боевыми задачами вполне справились.</w:t>
      </w:r>
    </w:p>
    <w:p w14:paraId="6E1B6A1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5.Для доведения кадра химических войск до необходимого масштаба и приближения их к войскам необходимо ускорить дальнейшее развертывание частей </w:t>
      </w:r>
      <w:proofErr w:type="spellStart"/>
      <w:r w:rsidRPr="00A259BD">
        <w:rPr>
          <w:rFonts w:ascii="Times New Roman" w:hAnsi="Times New Roman"/>
          <w:color w:val="000000" w:themeColor="text1"/>
          <w:sz w:val="16"/>
          <w:szCs w:val="16"/>
        </w:rPr>
        <w:t>химвойск</w:t>
      </w:r>
      <w:proofErr w:type="spellEnd"/>
      <w:r w:rsidRPr="00A259BD">
        <w:rPr>
          <w:rFonts w:ascii="Times New Roman" w:hAnsi="Times New Roman"/>
          <w:color w:val="000000" w:themeColor="text1"/>
          <w:sz w:val="16"/>
          <w:szCs w:val="16"/>
        </w:rPr>
        <w:t xml:space="preserve"> вообще, и в округах в частности.</w:t>
      </w:r>
    </w:p>
    <w:p w14:paraId="2CC127D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6.Для закрепления достигнутых результатов и дальнейшего развития подготовки </w:t>
      </w:r>
      <w:proofErr w:type="spellStart"/>
      <w:r w:rsidRPr="00A259BD">
        <w:rPr>
          <w:rFonts w:ascii="Times New Roman" w:hAnsi="Times New Roman"/>
          <w:color w:val="000000" w:themeColor="text1"/>
          <w:sz w:val="16"/>
          <w:szCs w:val="16"/>
        </w:rPr>
        <w:t>химчастей</w:t>
      </w:r>
      <w:proofErr w:type="spellEnd"/>
      <w:r w:rsidRPr="00A259BD">
        <w:rPr>
          <w:rFonts w:ascii="Times New Roman" w:hAnsi="Times New Roman"/>
          <w:color w:val="000000" w:themeColor="text1"/>
          <w:sz w:val="16"/>
          <w:szCs w:val="16"/>
        </w:rPr>
        <w:t xml:space="preserve"> последние нуждаются в добавочных ассигнованиях на обучение и снабжение.</w:t>
      </w:r>
    </w:p>
    <w:p w14:paraId="0922C50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15ECF6B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Общевойсковая подготовка, взаимодействие и оценка уровня боевой подготовки на данной ступени:</w:t>
      </w:r>
    </w:p>
    <w:p w14:paraId="3EC23A5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Задачи, указанные в постановлении РВС СССР от 8 февраля за №12 и данные войскам в директиве Наркомвоенмора от 29 февраля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за №80614/с., были выполнены в основном полностью.</w:t>
      </w:r>
    </w:p>
    <w:p w14:paraId="3C446C8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Результаты учений показывают значительные успехи в деле взаимодействия родов войск, в первую очередь — пехоты и конницы с артиллерией.</w:t>
      </w:r>
    </w:p>
    <w:p w14:paraId="2805345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Тактические решения принимаются быстро и уверенно. Соразмерно с уставными требованиями и грубым учетом материальных ресурсов, но без достаточного анализа всей обстановки в целом.</w:t>
      </w:r>
    </w:p>
    <w:p w14:paraId="6AB6B72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между началом выполнения приказа и моментом его отдания значительно сократилось, что достигнуто очень короткими приказами, но не охватывающими всех необходимых мероприятий (обеспечение, разведка и устройство тыла).</w:t>
      </w:r>
    </w:p>
    <w:p w14:paraId="7E9CB45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Командный состав и войска все же медленно реагируют на получаемые боевые приказы и приказания. Начало действий войск часто опаздывало на 1—2 часа против назначенных сроков.</w:t>
      </w:r>
    </w:p>
    <w:p w14:paraId="5CC0879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Развертывание войск в боевой порядок значительно ускорялось и укладывается в установленные нормы, но скорость достигается за счет не объяснения боевой задачи, неустановления связи с соседями, пренебрежения к требованиям маскировки и неиспользования условий местности. Необходимость расчленения походной колонны при подходе к противнику и прохождении открытых мест еще не осознана войсками.</w:t>
      </w:r>
    </w:p>
    <w:p w14:paraId="611F697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Учет изменений обстановки в ходе боя и немедленное реагирование на последние в большинстве случаев отсутствует.</w:t>
      </w:r>
    </w:p>
    <w:p w14:paraId="0D1E463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Постановка задач подразделениями и частям слишком обща, особенно пулеметным частям и артиллерии, последние часто запаздывают [с] исполнением, почему иногда самые ответственные моменты боя — атаки — проходят без надлежащего обеспечения огнем станковых пулеметов и артиллерии.</w:t>
      </w:r>
    </w:p>
    <w:p w14:paraId="5D77633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Использование отдельной связи артиллерии с пехотой хорошо при стационарном действии, а при наступлении — нарушается.</w:t>
      </w:r>
    </w:p>
    <w:p w14:paraId="4827507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Местность и огонь противника учитываются недостаточно, благодаря чему боевой порядок подразделений часто не соответствует обстановке.</w:t>
      </w:r>
    </w:p>
    <w:p w14:paraId="274794C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Организовать и провести атаку надлежащим образом по-прежнему не удается; часто не назначается рубежа для атаки, переход в атаку не регулируется соответствующими распоряжениями; дружной атаки не выходило, темп ее недостаточно быстрый и решительный.</w:t>
      </w:r>
    </w:p>
    <w:p w14:paraId="0022F66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Резервы выделяются правильно. Вторые эшелоны как тыловые, не используются, отстают и действуют пассивно, как резервы: техника их применения не проработана, отчего при прохождении ими первого эшелона получается перемешивание. В ходе наступления дистанция между первым и вторым эшелонами велика, огневыми средствами вторые эшелоны почти не поддерживают первые эшелоны.</w:t>
      </w:r>
    </w:p>
    <w:p w14:paraId="58528C2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ведении боя внутри оборонительной полосы противника часто огневые средства отстают, управление расстраивается, связь пехоты с артиллерией обычно прерывается.</w:t>
      </w:r>
    </w:p>
    <w:p w14:paraId="71D8893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Артиллерийские начальники иногда без достаточных оснований избегают непосредственной живой связи с войсковыми начальниками и располагают свои наблюдательные пункты отдельно от пунктов командира, которого они поддерживают, в результате тактическая ориентировка </w:t>
      </w:r>
      <w:proofErr w:type="spellStart"/>
      <w:r w:rsidRPr="00A259BD">
        <w:rPr>
          <w:rFonts w:ascii="Times New Roman" w:hAnsi="Times New Roman"/>
          <w:color w:val="000000" w:themeColor="text1"/>
          <w:sz w:val="16"/>
          <w:szCs w:val="16"/>
        </w:rPr>
        <w:t>артначальников</w:t>
      </w:r>
      <w:proofErr w:type="spellEnd"/>
      <w:r w:rsidRPr="00A259BD">
        <w:rPr>
          <w:rFonts w:ascii="Times New Roman" w:hAnsi="Times New Roman"/>
          <w:color w:val="000000" w:themeColor="text1"/>
          <w:sz w:val="16"/>
          <w:szCs w:val="16"/>
        </w:rPr>
        <w:t xml:space="preserve"> часто неполна и несвоевременна.</w:t>
      </w:r>
    </w:p>
    <w:p w14:paraId="1B15F12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Переезд артиллерии вперед (сопровождение пехоты колесами) почти всегда запаздывает и связь на этот период боя теряется.</w:t>
      </w:r>
    </w:p>
    <w:p w14:paraId="33D1591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Противовоздушная оборона частей как на походе, так и в бою организуется еще недостаточно умело, да и средств (приспособлений) соответствующих ничтожно мало.</w:t>
      </w:r>
    </w:p>
    <w:p w14:paraId="0153546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Средства противохимической борьбы и защиты используются слабо.</w:t>
      </w:r>
    </w:p>
    <w:p w14:paraId="74D9716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Вопросу нормального обеспечения войск средствами комбинированной связи на походе и в бою штабами уделяется мало внимания. Не учёт средств и сил связи и возможности организации таковой по времени, плохая связь с соседями и тылами; неумение целесообразно использовать авиасигнальные средства.</w:t>
      </w:r>
    </w:p>
    <w:p w14:paraId="54E00D3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Инженерные работы по оборудованию позиций производятся недостаточно умело: часто наблюдается бесплановость работ, командование не всегда устанавливает степень оборудования позиций. Маскировка позиций производится недостаточно внимательно и умело. Инженерные работы по оборудованию огневых позиций и наблюдательных пунктов артиллерии проводятся не полно и часто неправильно.</w:t>
      </w:r>
    </w:p>
    <w:p w14:paraId="32675D4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Взаимодействие пехоты с авиацией значительно улучшилось, но главным образом благодаря хорошей тактической подготовке авиации и большой активности летного состава; все же взаимное понимание между войсковой авиацией и земными войсками не достигнуто.</w:t>
      </w:r>
    </w:p>
    <w:p w14:paraId="4272616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Слаженность совместной работы артиллерии с авиацией недостаточна.</w:t>
      </w:r>
    </w:p>
    <w:p w14:paraId="390EB85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Взаимодействие конницы с армейской авиацией еще не достигло надлежащей степени Кавалерийские командиры еще не научились увязывать свою работу с авиацией.</w:t>
      </w:r>
    </w:p>
    <w:p w14:paraId="04C3470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Взаимодействие пехоты с танками в основном (в тех округах, куда были командированы танковые части — ЛBO, БВО, УВО, МВО) усвоена. Обеспечения артиллерией танковой атаки в период ее выполнения, почти не наблюдалось.</w:t>
      </w:r>
    </w:p>
    <w:p w14:paraId="5289052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Вопросы противотанковой обороны войсками усвоены еще слабо.</w:t>
      </w:r>
    </w:p>
    <w:p w14:paraId="6D977DA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Техническая подготовка специальных войск (инженерных и связи) значительно повысилась и вполне достаточна для взаимодействия с основными родами войск, но взаимодействие часто отсутствует по причинам неумелого использования войсковым командованием специальных войск.</w:t>
      </w:r>
    </w:p>
    <w:p w14:paraId="67BD9E9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Работа аппаратов полевого управления оживилась, но не охватывает всех вопросов в целом: отсутствует надлежащее взаимодействие между штабами и начальниками специальных служб. Взаимодействие между высшими и низшими командными инстанциями значительно улучшилось.</w:t>
      </w:r>
    </w:p>
    <w:p w14:paraId="7079854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Система предварительных распоряжений полностью вошла в практику управления войсками.</w:t>
      </w:r>
    </w:p>
    <w:p w14:paraId="00FAFC1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Совместная работа командования и политорганов удовлетворительна.</w:t>
      </w:r>
    </w:p>
    <w:p w14:paraId="37A6C02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Работа политорганов в полевых условиях улучшилась (переход к живому руководству), но в работе допускается много условностей и не всегда умело обеспечиваются учебные цели.</w:t>
      </w:r>
    </w:p>
    <w:p w14:paraId="1327377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Начсоставом всех степеней уделяется мало внимания материальному обеспечению боя и санитарному и ветеринарному обслуживанию частей и подразделений.</w:t>
      </w:r>
    </w:p>
    <w:p w14:paraId="6286DF1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Работа войскового тыла в основном неудовлетворительна: отсутствие обоза, недостаток штатов мирного времени, отсутствие практики у начсостава руководить хозяйственниками в маневренных условиях и отсутствие практики у хозяйственников.</w:t>
      </w:r>
    </w:p>
    <w:p w14:paraId="6B29448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работе посредников на общевойсковых занятиях отмечаются слабые навыки в оценке действий войск с учетом огня.</w:t>
      </w:r>
    </w:p>
    <w:p w14:paraId="2937D53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Несмотря на существенные недочеты общее состояние боевой подготовки всех родов войск следует признать удовлетворительным; войска усвоили методы ведения современного боя с применением наличной боевой и вспомогательной техники*.</w:t>
      </w:r>
    </w:p>
    <w:p w14:paraId="5DFAE8A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недостатки в боевой подготовке войск, отставание в подготовке специалистов</w:t>
      </w:r>
    </w:p>
    <w:p w14:paraId="7DBC5AC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Острота вопроса в подготовке специалистов относится главным образом к территориальным стрелковым и артиллерийским частям и отчасти к стратегической территориальной коннице.</w:t>
      </w:r>
    </w:p>
    <w:p w14:paraId="3DF39E1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Данные инспектирования истекшего года подтверждают факт отставания подготовки специалистов в пехоте и коннице, главным образом — станковых и ручных пулеметчиков, и в артиллерии — всех категорий специалистов (и главным образом орудийного расчета, разведчиков, телефонистов).</w:t>
      </w:r>
    </w:p>
    <w:p w14:paraId="4605E1A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стрелковых частях в новобранческий период едва укладывается подготовка их в стрельбе по земным целям с удовлетворительным результатом В период общих сборов при существующей </w:t>
      </w:r>
      <w:proofErr w:type="spellStart"/>
      <w:r w:rsidRPr="00A259BD">
        <w:rPr>
          <w:rFonts w:ascii="Times New Roman" w:hAnsi="Times New Roman"/>
          <w:color w:val="000000" w:themeColor="text1"/>
          <w:sz w:val="16"/>
          <w:szCs w:val="16"/>
        </w:rPr>
        <w:t>прерывчатости</w:t>
      </w:r>
      <w:proofErr w:type="spellEnd"/>
      <w:r w:rsidRPr="00A259BD">
        <w:rPr>
          <w:rFonts w:ascii="Times New Roman" w:hAnsi="Times New Roman"/>
          <w:color w:val="000000" w:themeColor="text1"/>
          <w:sz w:val="16"/>
          <w:szCs w:val="16"/>
        </w:rPr>
        <w:t xml:space="preserve"> обучения представляется возможным лишь закрепить полученные ранее знания путем тренировки и участия в совместных занятиях и стрельбах. Обучить переменный состав сложной стрельбе по воздушным целям и боевым стрельбам в должной мере не удается.</w:t>
      </w:r>
    </w:p>
    <w:p w14:paraId="6AAEAE1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Таким образом, подготовка пулеметчиков к действиям в современном бою остается не законченной; такое же положение в отношении подготовки основных категорий переменного состава в полковой и дивизионной артиллерии.</w:t>
      </w:r>
    </w:p>
    <w:p w14:paraId="4A58995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Изложенное полностью подтвердилось опытной мобилизацией, проведенной летом настоящего года в 48-й стрелковой дивизии.</w:t>
      </w:r>
    </w:p>
    <w:p w14:paraId="43FE9BC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Костяк современного боя — станковые пулеметные роты были мало боеспособны.</w:t>
      </w:r>
    </w:p>
    <w:p w14:paraId="19AB1BF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Единственным выходом из создавшегося положения надо считать увеличение кадра специалистов определенных категорий в пулеметных ротах (эскадронах) и батареях.</w:t>
      </w:r>
    </w:p>
    <w:p w14:paraId="545C206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Накопление запаса батальонных артиллеристов ничтожное. Территориальные войска имеют о батальонной артиллерии только теоретическое представление (по штату не положены).</w:t>
      </w:r>
    </w:p>
    <w:p w14:paraId="6D5300A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Подготовка связистов в стрелковых полках поднялась до удовлетворительного уровня, за исключением постов «ВНОС»; дополнительные средства связи (собаки, оптические средства, радио) в войсках почти отсутствуют.</w:t>
      </w:r>
    </w:p>
    <w:p w14:paraId="244DEC1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Подготовка гранатометчиков ввиду отсутствия материальной части и боевых припасов совершенно не ведется и войсковые части о действии их не имеют почти никакого представления.</w:t>
      </w:r>
    </w:p>
    <w:p w14:paraId="5C667F3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Подготовка снайперов ввиду отсутствия материальной части (оптических прицелов) почти отсутствует.</w:t>
      </w:r>
    </w:p>
    <w:p w14:paraId="632BA43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Выводы конных разведчиков и отдельные кавалерийские эскадроны (войсковая конница) не могут вести нормального обучения ввиду некомплекта и плохого состояния конского состава.</w:t>
      </w:r>
    </w:p>
    <w:p w14:paraId="1C48C60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Штаты кадров спецчастей в </w:t>
      </w:r>
      <w:proofErr w:type="spellStart"/>
      <w:r w:rsidRPr="00A259BD">
        <w:rPr>
          <w:rFonts w:ascii="Times New Roman" w:hAnsi="Times New Roman"/>
          <w:color w:val="000000" w:themeColor="text1"/>
          <w:sz w:val="16"/>
          <w:szCs w:val="16"/>
        </w:rPr>
        <w:t>тервойсках</w:t>
      </w:r>
      <w:proofErr w:type="spellEnd"/>
      <w:r w:rsidRPr="00A259BD">
        <w:rPr>
          <w:rFonts w:ascii="Times New Roman" w:hAnsi="Times New Roman"/>
          <w:color w:val="000000" w:themeColor="text1"/>
          <w:sz w:val="16"/>
          <w:szCs w:val="16"/>
        </w:rPr>
        <w:t xml:space="preserve"> и вообще методы подготовки войсковых специалистов рядового состава нуждаются во внимательном пересмотре и рационализации.</w:t>
      </w:r>
    </w:p>
    <w:p w14:paraId="2EE0C1E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Перегрузка кадров, проистекающая из необходимости обучения дополнительных контингентов — комсостава запаса, излишков призыва</w:t>
      </w:r>
    </w:p>
    <w:p w14:paraId="7F7C3EF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Нагрузка на войсковые части помимо разрешения прямых задач, состоящих перед войсковыми частями в 1927—1928 уч. году, заключалась:</w:t>
      </w:r>
    </w:p>
    <w:p w14:paraId="5C89825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в переподготовке комсостава запаса (15 000 чел.);</w:t>
      </w:r>
    </w:p>
    <w:p w14:paraId="22595AE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в лагерных сборах </w:t>
      </w:r>
      <w:proofErr w:type="spellStart"/>
      <w:r w:rsidRPr="00A259BD">
        <w:rPr>
          <w:rFonts w:ascii="Times New Roman" w:hAnsi="Times New Roman"/>
          <w:color w:val="000000" w:themeColor="text1"/>
          <w:sz w:val="16"/>
          <w:szCs w:val="16"/>
        </w:rPr>
        <w:t>вузистов</w:t>
      </w:r>
      <w:proofErr w:type="spellEnd"/>
      <w:r w:rsidRPr="00A259BD">
        <w:rPr>
          <w:rFonts w:ascii="Times New Roman" w:hAnsi="Times New Roman"/>
          <w:color w:val="000000" w:themeColor="text1"/>
          <w:sz w:val="16"/>
          <w:szCs w:val="16"/>
        </w:rPr>
        <w:t xml:space="preserve"> (12 000 чел.);</w:t>
      </w:r>
    </w:p>
    <w:p w14:paraId="59023FD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в поверочных сборах запасных (младшего начсостава и рядовых — 48 000);</w:t>
      </w:r>
    </w:p>
    <w:p w14:paraId="4657093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в подготовке </w:t>
      </w:r>
      <w:proofErr w:type="spellStart"/>
      <w:r w:rsidRPr="00A259BD">
        <w:rPr>
          <w:rFonts w:ascii="Times New Roman" w:hAnsi="Times New Roman"/>
          <w:color w:val="000000" w:themeColor="text1"/>
          <w:sz w:val="16"/>
          <w:szCs w:val="16"/>
        </w:rPr>
        <w:t>одногодичников</w:t>
      </w:r>
      <w:proofErr w:type="spellEnd"/>
      <w:r w:rsidRPr="00A259BD">
        <w:rPr>
          <w:rFonts w:ascii="Times New Roman" w:hAnsi="Times New Roman"/>
          <w:color w:val="000000" w:themeColor="text1"/>
          <w:sz w:val="16"/>
          <w:szCs w:val="16"/>
        </w:rPr>
        <w:t xml:space="preserve"> (9 000 чел.);</w:t>
      </w:r>
    </w:p>
    <w:p w14:paraId="1409907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в подготовке призывников для топографических отрядов (3 000 чел .) и местных стрелковых войск (4 200 чел.);</w:t>
      </w:r>
    </w:p>
    <w:p w14:paraId="4DF73CD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в обучении призывников для войск ОГПУ (7 000 чел.).</w:t>
      </w:r>
    </w:p>
    <w:p w14:paraId="20E6766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Сверх того кадры территориальных и кадровых войск принимали участие в обучении допризывников и вневойсковиков в общем числе: допризывников 1906 г. — 613 000 человек; вневойсковиков 1904 г., 1905 г. и 1906 г. — 97 000 человек.</w:t>
      </w:r>
    </w:p>
    <w:p w14:paraId="4459F76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Кроме этого, в 17 территориальных стрелковых дивизиях в новобранческий период обучалось сверх штатной нормы 3 658 чел., по 7 000 человек новобранцев 1-го года службы. </w:t>
      </w:r>
      <w:proofErr w:type="spellStart"/>
      <w:r w:rsidRPr="00A259BD">
        <w:rPr>
          <w:rFonts w:ascii="Times New Roman" w:hAnsi="Times New Roman"/>
          <w:color w:val="000000" w:themeColor="text1"/>
          <w:sz w:val="16"/>
          <w:szCs w:val="16"/>
        </w:rPr>
        <w:t>Всеэти</w:t>
      </w:r>
      <w:proofErr w:type="spellEnd"/>
      <w:r w:rsidRPr="00A259BD">
        <w:rPr>
          <w:rFonts w:ascii="Times New Roman" w:hAnsi="Times New Roman"/>
          <w:color w:val="000000" w:themeColor="text1"/>
          <w:sz w:val="16"/>
          <w:szCs w:val="16"/>
        </w:rPr>
        <w:t xml:space="preserve"> наряды ложились в общем тяжелой нагрузкой на войска как в зимний, так и особенно в летний период, отнимая командный состав (средний и младший в особенности) от его прямых обязанностей. Подготовка комсостава запаса и </w:t>
      </w:r>
      <w:proofErr w:type="spellStart"/>
      <w:r w:rsidRPr="00A259BD">
        <w:rPr>
          <w:rFonts w:ascii="Times New Roman" w:hAnsi="Times New Roman"/>
          <w:color w:val="000000" w:themeColor="text1"/>
          <w:sz w:val="16"/>
          <w:szCs w:val="16"/>
        </w:rPr>
        <w:t>одногодичников</w:t>
      </w:r>
      <w:proofErr w:type="spellEnd"/>
      <w:r w:rsidRPr="00A259BD">
        <w:rPr>
          <w:rFonts w:ascii="Times New Roman" w:hAnsi="Times New Roman"/>
          <w:color w:val="000000" w:themeColor="text1"/>
          <w:sz w:val="16"/>
          <w:szCs w:val="16"/>
        </w:rPr>
        <w:t xml:space="preserve"> почти всей своей тяжестью ложилась на пехоту.</w:t>
      </w:r>
    </w:p>
    <w:p w14:paraId="4A75396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Отрыв кадра на переподготовку начсостава запаса частично сокращен по сформировании специальной школы (Саратовской).</w:t>
      </w:r>
    </w:p>
    <w:p w14:paraId="0E272DF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Отказаться от подготовки студентов вуз[</w:t>
      </w:r>
      <w:proofErr w:type="spellStart"/>
      <w:r w:rsidRPr="00A259BD">
        <w:rPr>
          <w:rFonts w:ascii="Times New Roman" w:hAnsi="Times New Roman"/>
          <w:color w:val="000000" w:themeColor="text1"/>
          <w:sz w:val="16"/>
          <w:szCs w:val="16"/>
        </w:rPr>
        <w:t>ов</w:t>
      </w:r>
      <w:proofErr w:type="spellEnd"/>
      <w:r w:rsidRPr="00A259BD">
        <w:rPr>
          <w:rFonts w:ascii="Times New Roman" w:hAnsi="Times New Roman"/>
          <w:color w:val="000000" w:themeColor="text1"/>
          <w:sz w:val="16"/>
          <w:szCs w:val="16"/>
        </w:rPr>
        <w:t>] нельзя, т.к. это означало бы отказ от проблемы подготовки командных резервов для военного времени.</w:t>
      </w:r>
    </w:p>
    <w:p w14:paraId="101AE32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Поверочные сборы младшего начсостава запаса (38 000 ч.) и рядовых (10 000) велись исключительно в приграничных округах (ЛВО, БВО, УВО и СибВО) в течение августа—сентября сроком три недели. Невзирая на тяжесть их проведения, они не могут идти в счет дополнительной нагрузки, т.к. кадровые части здесь выполняют свою прямую работу по подготовке к мобилизации, с одной стороны, а с другой — в период маневров имеют возможность тренироваться в управлении частями по штатам военного времени.</w:t>
      </w:r>
    </w:p>
    <w:p w14:paraId="728A00A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Подготовка </w:t>
      </w:r>
      <w:proofErr w:type="spellStart"/>
      <w:r w:rsidRPr="00A259BD">
        <w:rPr>
          <w:rFonts w:ascii="Times New Roman" w:hAnsi="Times New Roman"/>
          <w:color w:val="000000" w:themeColor="text1"/>
          <w:sz w:val="16"/>
          <w:szCs w:val="16"/>
        </w:rPr>
        <w:t>одногодичников</w:t>
      </w:r>
      <w:proofErr w:type="spellEnd"/>
      <w:r w:rsidRPr="00A259BD">
        <w:rPr>
          <w:rFonts w:ascii="Times New Roman" w:hAnsi="Times New Roman"/>
          <w:color w:val="000000" w:themeColor="text1"/>
          <w:sz w:val="16"/>
          <w:szCs w:val="16"/>
        </w:rPr>
        <w:t xml:space="preserve"> с нового учебного года не будет являться перегрузкой в связи с созданием роты </w:t>
      </w:r>
      <w:proofErr w:type="spellStart"/>
      <w:r w:rsidRPr="00A259BD">
        <w:rPr>
          <w:rFonts w:ascii="Times New Roman" w:hAnsi="Times New Roman"/>
          <w:color w:val="000000" w:themeColor="text1"/>
          <w:sz w:val="16"/>
          <w:szCs w:val="16"/>
        </w:rPr>
        <w:t>одногодичников</w:t>
      </w:r>
      <w:proofErr w:type="spellEnd"/>
      <w:r w:rsidRPr="00A259BD">
        <w:rPr>
          <w:rFonts w:ascii="Times New Roman" w:hAnsi="Times New Roman"/>
          <w:color w:val="000000" w:themeColor="text1"/>
          <w:sz w:val="16"/>
          <w:szCs w:val="16"/>
        </w:rPr>
        <w:t xml:space="preserve"> в счет одной из стрелковых рот.</w:t>
      </w:r>
    </w:p>
    <w:p w14:paraId="3347CF3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Отвлечение начсостава на допризывную подготовку также значительно сокращено, т.к. таковая оставлена лишь для </w:t>
      </w:r>
      <w:proofErr w:type="spellStart"/>
      <w:r w:rsidRPr="00A259BD">
        <w:rPr>
          <w:rFonts w:ascii="Times New Roman" w:hAnsi="Times New Roman"/>
          <w:color w:val="000000" w:themeColor="text1"/>
          <w:sz w:val="16"/>
          <w:szCs w:val="16"/>
        </w:rPr>
        <w:t>тервойск</w:t>
      </w:r>
      <w:proofErr w:type="spellEnd"/>
      <w:r w:rsidRPr="00A259BD">
        <w:rPr>
          <w:rFonts w:ascii="Times New Roman" w:hAnsi="Times New Roman"/>
          <w:color w:val="000000" w:themeColor="text1"/>
          <w:sz w:val="16"/>
          <w:szCs w:val="16"/>
        </w:rPr>
        <w:t xml:space="preserve"> (360 тыс.), в которой </w:t>
      </w:r>
      <w:proofErr w:type="spellStart"/>
      <w:r w:rsidRPr="00A259BD">
        <w:rPr>
          <w:rFonts w:ascii="Times New Roman" w:hAnsi="Times New Roman"/>
          <w:color w:val="000000" w:themeColor="text1"/>
          <w:sz w:val="16"/>
          <w:szCs w:val="16"/>
        </w:rPr>
        <w:t>допр</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изывная</w:t>
      </w:r>
      <w:proofErr w:type="spellEnd"/>
      <w:r w:rsidRPr="00A259BD">
        <w:rPr>
          <w:rFonts w:ascii="Times New Roman" w:hAnsi="Times New Roman"/>
          <w:color w:val="000000" w:themeColor="text1"/>
          <w:sz w:val="16"/>
          <w:szCs w:val="16"/>
        </w:rPr>
        <w:t>] подготовка является первой ступенью обучения. ДОПОЛНИТЕЛЬНАЯ НАГРУЗКА КАДРОВ ПЕХОТЫ ДОЛЖНА БЫТЬ СОКРАЩЕНА ДО МИНИМУМА*. Решение этого вопроса упирается в недостаток штатной нормы РККА и невозможность передать эту «нагрузку» специально для сего созданным кадрам.</w:t>
      </w:r>
    </w:p>
    <w:p w14:paraId="64E4AAC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проект постановления:</w:t>
      </w:r>
    </w:p>
    <w:p w14:paraId="3378403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Учитывая важнейшее значение практической подготовки войск на местности в условиях близких к боевой обстановке, провести в законодательном порядке указание органам местной власти о необходимости обеспечения отвода земельных участков под полигоны, стрельбища, учебные поля и </w:t>
      </w:r>
      <w:proofErr w:type="spellStart"/>
      <w:r w:rsidRPr="00A259BD">
        <w:rPr>
          <w:rFonts w:ascii="Times New Roman" w:hAnsi="Times New Roman"/>
          <w:color w:val="000000" w:themeColor="text1"/>
          <w:sz w:val="16"/>
          <w:szCs w:val="16"/>
        </w:rPr>
        <w:t>авиаплощадки</w:t>
      </w:r>
      <w:proofErr w:type="spellEnd"/>
      <w:r w:rsidRPr="00A259BD">
        <w:rPr>
          <w:rFonts w:ascii="Times New Roman" w:hAnsi="Times New Roman"/>
          <w:color w:val="000000" w:themeColor="text1"/>
          <w:sz w:val="16"/>
          <w:szCs w:val="16"/>
        </w:rPr>
        <w:t xml:space="preserve"> до проведения оформления землепользования. Одновременно принять меры к разъяснению населению необходимости этих мероприятий и значение их в деле укрепления обороноспособности СССР.</w:t>
      </w:r>
    </w:p>
    <w:p w14:paraId="2743CF4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Расходы, связанные с отводом земель и оборудования их под вышеуказанное значение, провести по бюджету Наркомвоенмора в четырехлетний срок, отнеся частично </w:t>
      </w:r>
      <w:proofErr w:type="spellStart"/>
      <w:r w:rsidRPr="00A259BD">
        <w:rPr>
          <w:rFonts w:ascii="Times New Roman" w:hAnsi="Times New Roman"/>
          <w:color w:val="000000" w:themeColor="text1"/>
          <w:sz w:val="16"/>
          <w:szCs w:val="16"/>
        </w:rPr>
        <w:t>расходна</w:t>
      </w:r>
      <w:proofErr w:type="spellEnd"/>
      <w:r w:rsidRPr="00A259BD">
        <w:rPr>
          <w:rFonts w:ascii="Times New Roman" w:hAnsi="Times New Roman"/>
          <w:color w:val="000000" w:themeColor="text1"/>
          <w:sz w:val="16"/>
          <w:szCs w:val="16"/>
        </w:rPr>
        <w:t xml:space="preserve"> переселение, связанное с отводом земель по Госфонду на переселение.</w:t>
      </w:r>
    </w:p>
    <w:p w14:paraId="6F74909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Военно-учебное дело и подготовка командиров РККА</w:t>
      </w:r>
    </w:p>
    <w:p w14:paraId="65DBE5F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Сеть военно-учебных заведений состоит из: военных («нормальных») школ, выпускающих при сроке обучения 3—4 года командиров взводов всех родов войск; военно-политических курсов, которые в 9 месяцев готовят политруков для продвижения их как по командной, так и по политической линии; КУКС, которые в сроки от 2,5 до 9-ти месяцев совершенствуют и развивают знания и навыки у начсостава (среднего и старшего) соответствующего рода войск для дальнейшего продвижения его по </w:t>
      </w:r>
      <w:proofErr w:type="spellStart"/>
      <w:r w:rsidRPr="00A259BD">
        <w:rPr>
          <w:rFonts w:ascii="Times New Roman" w:hAnsi="Times New Roman"/>
          <w:color w:val="000000" w:themeColor="text1"/>
          <w:sz w:val="16"/>
          <w:szCs w:val="16"/>
        </w:rPr>
        <w:t>службе;военных</w:t>
      </w:r>
      <w:proofErr w:type="spellEnd"/>
      <w:r w:rsidRPr="00A259BD">
        <w:rPr>
          <w:rFonts w:ascii="Times New Roman" w:hAnsi="Times New Roman"/>
          <w:color w:val="000000" w:themeColor="text1"/>
          <w:sz w:val="16"/>
          <w:szCs w:val="16"/>
        </w:rPr>
        <w:t xml:space="preserve"> академий и военных отделений при гражданских высших учебных заведениях* (от 3 до 5 лет), из которых первые готовят командиров с высшим военным и военно-техническим образованием, а вторые — военных специалистов по геодезии, военным сообщениям, электротехнике.</w:t>
      </w:r>
    </w:p>
    <w:p w14:paraId="4012315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Кроме того, для подготовки среднего комсостава запаса организованы занятия </w:t>
      </w:r>
      <w:proofErr w:type="spellStart"/>
      <w:r w:rsidRPr="00A259BD">
        <w:rPr>
          <w:rFonts w:ascii="Times New Roman" w:hAnsi="Times New Roman"/>
          <w:color w:val="000000" w:themeColor="text1"/>
          <w:sz w:val="16"/>
          <w:szCs w:val="16"/>
        </w:rPr>
        <w:t>повысшей</w:t>
      </w:r>
      <w:proofErr w:type="spellEnd"/>
      <w:r w:rsidRPr="00A259BD">
        <w:rPr>
          <w:rFonts w:ascii="Times New Roman" w:hAnsi="Times New Roman"/>
          <w:color w:val="000000" w:themeColor="text1"/>
          <w:sz w:val="16"/>
          <w:szCs w:val="16"/>
        </w:rPr>
        <w:t xml:space="preserve"> допризывной военной </w:t>
      </w:r>
      <w:proofErr w:type="spellStart"/>
      <w:r w:rsidRPr="00A259BD">
        <w:rPr>
          <w:rFonts w:ascii="Times New Roman" w:hAnsi="Times New Roman"/>
          <w:color w:val="000000" w:themeColor="text1"/>
          <w:sz w:val="16"/>
          <w:szCs w:val="16"/>
        </w:rPr>
        <w:t>подготовкев</w:t>
      </w:r>
      <w:proofErr w:type="spellEnd"/>
      <w:r w:rsidRPr="00A259BD">
        <w:rPr>
          <w:rFonts w:ascii="Times New Roman" w:hAnsi="Times New Roman"/>
          <w:color w:val="000000" w:themeColor="text1"/>
          <w:sz w:val="16"/>
          <w:szCs w:val="16"/>
        </w:rPr>
        <w:t xml:space="preserve"> гражданских высших учебных заведениях, где готовятся командиры запаса по всем родам войск и специалисты тыла (180 час. за 4 года, 2 месяца </w:t>
      </w:r>
      <w:proofErr w:type="spellStart"/>
      <w:r w:rsidRPr="00A259BD">
        <w:rPr>
          <w:rFonts w:ascii="Times New Roman" w:hAnsi="Times New Roman"/>
          <w:color w:val="000000" w:themeColor="text1"/>
          <w:sz w:val="16"/>
          <w:szCs w:val="16"/>
        </w:rPr>
        <w:t>лагсборов</w:t>
      </w:r>
      <w:proofErr w:type="spellEnd"/>
      <w:r w:rsidRPr="00A259BD">
        <w:rPr>
          <w:rFonts w:ascii="Times New Roman" w:hAnsi="Times New Roman"/>
          <w:color w:val="000000" w:themeColor="text1"/>
          <w:sz w:val="16"/>
          <w:szCs w:val="16"/>
        </w:rPr>
        <w:t xml:space="preserve"> и 9 месяцев </w:t>
      </w:r>
      <w:proofErr w:type="spellStart"/>
      <w:r w:rsidRPr="00A259BD">
        <w:rPr>
          <w:rFonts w:ascii="Times New Roman" w:hAnsi="Times New Roman"/>
          <w:color w:val="000000" w:themeColor="text1"/>
          <w:sz w:val="16"/>
          <w:szCs w:val="16"/>
        </w:rPr>
        <w:t>послеокончания</w:t>
      </w:r>
      <w:proofErr w:type="spellEnd"/>
      <w:r w:rsidRPr="00A259BD">
        <w:rPr>
          <w:rFonts w:ascii="Times New Roman" w:hAnsi="Times New Roman"/>
          <w:color w:val="000000" w:themeColor="text1"/>
          <w:sz w:val="16"/>
          <w:szCs w:val="16"/>
        </w:rPr>
        <w:t xml:space="preserve"> вуз обязательной военной службы).</w:t>
      </w:r>
    </w:p>
    <w:p w14:paraId="14FB8CB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сети военно-учебных заведений </w:t>
      </w:r>
      <w:proofErr w:type="spellStart"/>
      <w:r w:rsidRPr="00A259BD">
        <w:rPr>
          <w:rFonts w:ascii="Times New Roman" w:hAnsi="Times New Roman"/>
          <w:color w:val="000000" w:themeColor="text1"/>
          <w:sz w:val="16"/>
          <w:szCs w:val="16"/>
        </w:rPr>
        <w:t>имеютсякурсы</w:t>
      </w:r>
      <w:proofErr w:type="spellEnd"/>
      <w:r w:rsidRPr="00A259BD">
        <w:rPr>
          <w:rFonts w:ascii="Times New Roman" w:hAnsi="Times New Roman"/>
          <w:color w:val="000000" w:themeColor="text1"/>
          <w:sz w:val="16"/>
          <w:szCs w:val="16"/>
        </w:rPr>
        <w:t xml:space="preserve"> военной </w:t>
      </w:r>
      <w:proofErr w:type="spellStart"/>
      <w:r w:rsidRPr="00A259BD">
        <w:rPr>
          <w:rFonts w:ascii="Times New Roman" w:hAnsi="Times New Roman"/>
          <w:color w:val="000000" w:themeColor="text1"/>
          <w:sz w:val="16"/>
          <w:szCs w:val="16"/>
        </w:rPr>
        <w:t>доподготовки</w:t>
      </w:r>
      <w:proofErr w:type="spellEnd"/>
      <w:r w:rsidRPr="00A259BD">
        <w:rPr>
          <w:rFonts w:ascii="Times New Roman" w:hAnsi="Times New Roman"/>
          <w:color w:val="000000" w:themeColor="text1"/>
          <w:sz w:val="16"/>
          <w:szCs w:val="16"/>
        </w:rPr>
        <w:t xml:space="preserve"> политруков (срок обучения 9 мес.) и курсы усовершенствования командиров запаса (шестинедельные), а также две подготовительные школы и подготовительное отделение со сроком обучения 3 года.</w:t>
      </w:r>
    </w:p>
    <w:p w14:paraId="1151B4C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I.1.Военные </w:t>
      </w:r>
      <w:proofErr w:type="spellStart"/>
      <w:r w:rsidRPr="00A259BD">
        <w:rPr>
          <w:rFonts w:ascii="Times New Roman" w:hAnsi="Times New Roman"/>
          <w:color w:val="000000" w:themeColor="text1"/>
          <w:sz w:val="16"/>
          <w:szCs w:val="16"/>
        </w:rPr>
        <w:t>школыпомимо</w:t>
      </w:r>
      <w:proofErr w:type="spellEnd"/>
      <w:r w:rsidRPr="00A259BD">
        <w:rPr>
          <w:rFonts w:ascii="Times New Roman" w:hAnsi="Times New Roman"/>
          <w:color w:val="000000" w:themeColor="text1"/>
          <w:sz w:val="16"/>
          <w:szCs w:val="16"/>
        </w:rPr>
        <w:t xml:space="preserve"> военного дают одновременно и общее образование, что необходимо ввиду того, что рабоче-крестьянский молодняк имеет слабую образовательную подготовку. Основная </w:t>
      </w:r>
      <w:proofErr w:type="spellStart"/>
      <w:r w:rsidRPr="00A259BD">
        <w:rPr>
          <w:rFonts w:ascii="Times New Roman" w:hAnsi="Times New Roman"/>
          <w:color w:val="000000" w:themeColor="text1"/>
          <w:sz w:val="16"/>
          <w:szCs w:val="16"/>
        </w:rPr>
        <w:t>целеустановка</w:t>
      </w:r>
      <w:proofErr w:type="spellEnd"/>
      <w:r w:rsidRPr="00A259BD">
        <w:rPr>
          <w:rFonts w:ascii="Times New Roman" w:hAnsi="Times New Roman"/>
          <w:color w:val="000000" w:themeColor="text1"/>
          <w:sz w:val="16"/>
          <w:szCs w:val="16"/>
        </w:rPr>
        <w:t xml:space="preserve"> — подготовка командира, боевого и политического руководителя, могущего сразу же после выпуска приступить к работе командира взвода, имея теоретическую подготовку до уровня командира роты.</w:t>
      </w:r>
    </w:p>
    <w:p w14:paraId="0690F28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Метод подготовки — лабораторный и практический, что видно из распределения времени: за весь курс пехотной школы из 4 814 часов — 2916 часов отведено практической подготовке. В теоретическом же курсе благодаря слабой подготовке курсантов, на чисто военный цикл отведено всего 885 часов, а остальные 464 часа отведены общеобразовательной подготовке и 549 часов общественно-политическому циклу. Таким образом, на строевую и практическую подготовку отводится почти 61%. Зато в теоретическом курсе на долю военных предметов, не включая политработы, выходит только 47%, с политработой же будет на долю военного цикла в теоретическом курсе — 50%.</w:t>
      </w:r>
    </w:p>
    <w:p w14:paraId="01B54D1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Многообразие военного дела требует школ разного типа. Школы можно разделить на группы: а) общевойсковые (пехотные, артиллерийские и кавалерийские), б) строевые-технические и в) специально-технические. Последние два типа готовят и командиров и техников своего дела.</w:t>
      </w:r>
    </w:p>
    <w:p w14:paraId="235BEEC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Курсантский состав по социальному положению в истекшем 1927/28 учебном году имел 36,6 % рабочих, 47,2% — крестьян, 9,2% — служащих и 7% — прочих. По партийному признаку: 31,6% членов и кандидатов ВКП(б), 46% — членов и кандидатов ВЛКСМ, 22,4% — беспартийных. По образованию: 82% с низшим образованием, </w:t>
      </w:r>
      <w:proofErr w:type="spellStart"/>
      <w:r w:rsidRPr="00A259BD">
        <w:rPr>
          <w:rFonts w:ascii="Times New Roman" w:hAnsi="Times New Roman"/>
          <w:color w:val="000000" w:themeColor="text1"/>
          <w:sz w:val="16"/>
          <w:szCs w:val="16"/>
        </w:rPr>
        <w:t>т.е</w:t>
      </w:r>
      <w:proofErr w:type="spellEnd"/>
      <w:r w:rsidRPr="00A259BD">
        <w:rPr>
          <w:rFonts w:ascii="Times New Roman" w:hAnsi="Times New Roman"/>
          <w:color w:val="000000" w:themeColor="text1"/>
          <w:sz w:val="16"/>
          <w:szCs w:val="16"/>
        </w:rPr>
        <w:t xml:space="preserve"> с образованием ниже семилетки, причем в большинстве своем курсанты имеют образование 4-летки и даже меньше</w:t>
      </w:r>
    </w:p>
    <w:p w14:paraId="18E35C2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предварительным данным от 32 школ из 37 прием этого года дал:</w:t>
      </w:r>
    </w:p>
    <w:p w14:paraId="6553F0B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w:t>
      </w:r>
      <w:proofErr w:type="spellStart"/>
      <w:r w:rsidRPr="00A259BD">
        <w:rPr>
          <w:rFonts w:ascii="Times New Roman" w:hAnsi="Times New Roman"/>
          <w:color w:val="000000" w:themeColor="text1"/>
          <w:sz w:val="16"/>
          <w:szCs w:val="16"/>
        </w:rPr>
        <w:t>соцсоставу</w:t>
      </w:r>
      <w:proofErr w:type="spellEnd"/>
    </w:p>
    <w:p w14:paraId="604618B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Рабочих - 55,9%;</w:t>
      </w:r>
    </w:p>
    <w:p w14:paraId="7C2FBAF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Крестьян - 35,9%;</w:t>
      </w:r>
    </w:p>
    <w:p w14:paraId="4E255BD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Прочих - 8,2%.</w:t>
      </w:r>
    </w:p>
    <w:p w14:paraId="0A404DF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w:t>
      </w:r>
      <w:proofErr w:type="spellStart"/>
      <w:r w:rsidRPr="00A259BD">
        <w:rPr>
          <w:rFonts w:ascii="Times New Roman" w:hAnsi="Times New Roman"/>
          <w:color w:val="000000" w:themeColor="text1"/>
          <w:sz w:val="16"/>
          <w:szCs w:val="16"/>
        </w:rPr>
        <w:t>партсоставу</w:t>
      </w:r>
      <w:proofErr w:type="spellEnd"/>
    </w:p>
    <w:p w14:paraId="5FFB21C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Членов и кандидатов ВКП(б) - 24,5%;</w:t>
      </w:r>
    </w:p>
    <w:p w14:paraId="404B48C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Членов и кандидатов ВЛКСМ - 52,3%;</w:t>
      </w:r>
    </w:p>
    <w:p w14:paraId="2333B55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Беспартийных - 23,2%.</w:t>
      </w:r>
    </w:p>
    <w:p w14:paraId="11C0832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 правило, курсанты работают напряженно и с огромным интересом и достигают больших результатов. Но эти достижения, достаточно большие по сравнению с тем, что было до поступления в школу, еще недостаточно удовлетворяют требованиям, предъявляемым командиру — боевому и политическому руководителю. Во всех странах подготовка командира взвода требует в среднем 13—15 лет, в то время как у нас в среднем подготовка занимает от 8 до 9 лет. За границей подготовка слагается из 2—3 лет дошкольной подготовки, 9-ти лет обучения в средней школе, 1—2 лет пребывания в войсках и 2—3—4 лет — в военной школе. 82% наших курсантов имеют 4—5 лет обучения, затем перерыв и 3—4 года обучения в военной школе. При таких условиях достижения школ в смысле подготовки командиров можно считать хорошими. В дальнейшем необходимо идти, рационализируя работу в школах, к уменьшению сроков обучения.</w:t>
      </w:r>
    </w:p>
    <w:p w14:paraId="2175348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2.Военно-политические </w:t>
      </w:r>
      <w:proofErr w:type="spellStart"/>
      <w:r w:rsidRPr="00A259BD">
        <w:rPr>
          <w:rFonts w:ascii="Times New Roman" w:hAnsi="Times New Roman"/>
          <w:color w:val="000000" w:themeColor="text1"/>
          <w:sz w:val="16"/>
          <w:szCs w:val="16"/>
        </w:rPr>
        <w:t>курсыкомплектуются</w:t>
      </w:r>
      <w:proofErr w:type="spellEnd"/>
      <w:r w:rsidRPr="00A259BD">
        <w:rPr>
          <w:rFonts w:ascii="Times New Roman" w:hAnsi="Times New Roman"/>
          <w:color w:val="000000" w:themeColor="text1"/>
          <w:sz w:val="16"/>
          <w:szCs w:val="16"/>
        </w:rPr>
        <w:t xml:space="preserve"> средним командным составом, окончившим военную школу, членами ВКП(б), пробывшими в срою 2 года и аттестованными на продвижение. Соотношение циклов </w:t>
      </w:r>
      <w:proofErr w:type="spellStart"/>
      <w:r w:rsidRPr="00A259BD">
        <w:rPr>
          <w:rFonts w:ascii="Times New Roman" w:hAnsi="Times New Roman"/>
          <w:color w:val="000000" w:themeColor="text1"/>
          <w:sz w:val="16"/>
          <w:szCs w:val="16"/>
        </w:rPr>
        <w:t>накурсах</w:t>
      </w:r>
      <w:proofErr w:type="spellEnd"/>
      <w:r w:rsidRPr="00A259BD">
        <w:rPr>
          <w:rFonts w:ascii="Times New Roman" w:hAnsi="Times New Roman"/>
          <w:color w:val="000000" w:themeColor="text1"/>
          <w:sz w:val="16"/>
          <w:szCs w:val="16"/>
        </w:rPr>
        <w:t xml:space="preserve">: военная подготовка — 35%, общеобразовательная — 14,5%, общественно-политическая — 35% и курс политработы — 15,5%. Соотношение между циклами показывает, что </w:t>
      </w:r>
      <w:proofErr w:type="spellStart"/>
      <w:r w:rsidRPr="00A259BD">
        <w:rPr>
          <w:rFonts w:ascii="Times New Roman" w:hAnsi="Times New Roman"/>
          <w:color w:val="000000" w:themeColor="text1"/>
          <w:sz w:val="16"/>
          <w:szCs w:val="16"/>
        </w:rPr>
        <w:t>курсывместо</w:t>
      </w:r>
      <w:proofErr w:type="spellEnd"/>
      <w:r w:rsidRPr="00A259BD">
        <w:rPr>
          <w:rFonts w:ascii="Times New Roman" w:hAnsi="Times New Roman"/>
          <w:color w:val="000000" w:themeColor="text1"/>
          <w:sz w:val="16"/>
          <w:szCs w:val="16"/>
        </w:rPr>
        <w:t xml:space="preserve"> совершенствования занимались и переподготовкой.</w:t>
      </w:r>
    </w:p>
    <w:p w14:paraId="286C2CEE"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Слушательский</w:t>
      </w:r>
      <w:proofErr w:type="spellEnd"/>
      <w:r w:rsidRPr="00A259BD">
        <w:rPr>
          <w:rFonts w:ascii="Times New Roman" w:hAnsi="Times New Roman"/>
          <w:color w:val="000000" w:themeColor="text1"/>
          <w:sz w:val="16"/>
          <w:szCs w:val="16"/>
        </w:rPr>
        <w:t xml:space="preserve"> состав разбивается: (в процентах)</w:t>
      </w:r>
    </w:p>
    <w:p w14:paraId="590467C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социальному положению:</w:t>
      </w:r>
    </w:p>
    <w:p w14:paraId="190EE5F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Рабочих - 39,7%</w:t>
      </w:r>
    </w:p>
    <w:p w14:paraId="6B97E01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Крестьян - 49,4%</w:t>
      </w:r>
    </w:p>
    <w:p w14:paraId="3C7C72C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Служащих - 8,9%</w:t>
      </w:r>
    </w:p>
    <w:p w14:paraId="0D4CEEF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Прочих - 2,0%</w:t>
      </w:r>
    </w:p>
    <w:p w14:paraId="5B78B1C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партийному стажу:</w:t>
      </w:r>
    </w:p>
    <w:p w14:paraId="4048172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[19]18 г. - 0,45%</w:t>
      </w:r>
    </w:p>
    <w:p w14:paraId="28ACE51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[19]18—20 гг. - 20,0%</w:t>
      </w:r>
    </w:p>
    <w:p w14:paraId="0BDCBC5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[19]21—23 гг. - 15,6%</w:t>
      </w:r>
    </w:p>
    <w:p w14:paraId="2E31C5B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1924г. - 17,1%</w:t>
      </w:r>
    </w:p>
    <w:p w14:paraId="467B109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1925г. - 39,2%</w:t>
      </w:r>
    </w:p>
    <w:p w14:paraId="7A3753A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1926г. - 7,2%</w:t>
      </w:r>
    </w:p>
    <w:p w14:paraId="37912AB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1927г. - 0,45%</w:t>
      </w:r>
    </w:p>
    <w:p w14:paraId="5720DB3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общеобразовательной подготовке:</w:t>
      </w:r>
    </w:p>
    <w:p w14:paraId="2285B46E"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Самоуч</w:t>
      </w:r>
      <w:proofErr w:type="spellEnd"/>
      <w:r w:rsidRPr="00A259BD">
        <w:rPr>
          <w:rFonts w:ascii="Times New Roman" w:hAnsi="Times New Roman"/>
          <w:color w:val="000000" w:themeColor="text1"/>
          <w:sz w:val="16"/>
          <w:szCs w:val="16"/>
        </w:rPr>
        <w:t>. - 6,0%</w:t>
      </w:r>
    </w:p>
    <w:p w14:paraId="7E679A5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Низшее - 90,5%</w:t>
      </w:r>
    </w:p>
    <w:p w14:paraId="6798757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7-летка - 2,9%</w:t>
      </w:r>
    </w:p>
    <w:p w14:paraId="5EDF0DE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Рабфак и техник - 0,6%</w:t>
      </w:r>
    </w:p>
    <w:p w14:paraId="2E252F2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военно-политическому образованию:</w:t>
      </w:r>
    </w:p>
    <w:p w14:paraId="638FF6DD"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Нормальн</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ые</w:t>
      </w:r>
      <w:proofErr w:type="spellEnd"/>
      <w:r w:rsidRPr="00A259BD">
        <w:rPr>
          <w:rFonts w:ascii="Times New Roman" w:hAnsi="Times New Roman"/>
          <w:color w:val="000000" w:themeColor="text1"/>
          <w:sz w:val="16"/>
          <w:szCs w:val="16"/>
        </w:rPr>
        <w:t>] школы — 99,8%</w:t>
      </w:r>
    </w:p>
    <w:p w14:paraId="24FE5F7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 </w:t>
      </w:r>
      <w:proofErr w:type="spellStart"/>
      <w:r w:rsidRPr="00A259BD">
        <w:rPr>
          <w:rFonts w:ascii="Times New Roman" w:hAnsi="Times New Roman"/>
          <w:color w:val="000000" w:themeColor="text1"/>
          <w:sz w:val="16"/>
          <w:szCs w:val="16"/>
        </w:rPr>
        <w:t>имеющ</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воен</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ного</w:t>
      </w:r>
      <w:proofErr w:type="spellEnd"/>
      <w:r w:rsidRPr="00A259BD">
        <w:rPr>
          <w:rFonts w:ascii="Times New Roman" w:hAnsi="Times New Roman"/>
          <w:color w:val="000000" w:themeColor="text1"/>
          <w:sz w:val="16"/>
          <w:szCs w:val="16"/>
        </w:rPr>
        <w:t>] образ[</w:t>
      </w:r>
      <w:proofErr w:type="spellStart"/>
      <w:r w:rsidRPr="00A259BD">
        <w:rPr>
          <w:rFonts w:ascii="Times New Roman" w:hAnsi="Times New Roman"/>
          <w:color w:val="000000" w:themeColor="text1"/>
          <w:sz w:val="16"/>
          <w:szCs w:val="16"/>
        </w:rPr>
        <w:t>ования</w:t>
      </w:r>
      <w:proofErr w:type="spellEnd"/>
      <w:r w:rsidRPr="00A259BD">
        <w:rPr>
          <w:rFonts w:ascii="Times New Roman" w:hAnsi="Times New Roman"/>
          <w:color w:val="000000" w:themeColor="text1"/>
          <w:sz w:val="16"/>
          <w:szCs w:val="16"/>
        </w:rPr>
        <w:t>] — 0,2%</w:t>
      </w:r>
    </w:p>
    <w:p w14:paraId="4DA22B2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3.КУКСыдолжны усовершенствовать тактические и специальные знания и навыки командиров рот и им соответствующих и комбатов для занятия ими следующих должностей. Учебные планы КУКС страдали </w:t>
      </w:r>
      <w:proofErr w:type="spellStart"/>
      <w:r w:rsidRPr="00A259BD">
        <w:rPr>
          <w:rFonts w:ascii="Times New Roman" w:hAnsi="Times New Roman"/>
          <w:color w:val="000000" w:themeColor="text1"/>
          <w:sz w:val="16"/>
          <w:szCs w:val="16"/>
        </w:rPr>
        <w:t>многопредметностью</w:t>
      </w:r>
      <w:proofErr w:type="spellEnd"/>
      <w:r w:rsidRPr="00A259BD">
        <w:rPr>
          <w:rFonts w:ascii="Times New Roman" w:hAnsi="Times New Roman"/>
          <w:color w:val="000000" w:themeColor="text1"/>
          <w:sz w:val="16"/>
          <w:szCs w:val="16"/>
        </w:rPr>
        <w:t xml:space="preserve"> (по причине слабой и общеобразовательной подготовки слушателей). В настоящее время </w:t>
      </w:r>
      <w:proofErr w:type="spellStart"/>
      <w:r w:rsidRPr="00A259BD">
        <w:rPr>
          <w:rFonts w:ascii="Times New Roman" w:hAnsi="Times New Roman"/>
          <w:color w:val="000000" w:themeColor="text1"/>
          <w:sz w:val="16"/>
          <w:szCs w:val="16"/>
        </w:rPr>
        <w:t>многопредметностью</w:t>
      </w:r>
      <w:proofErr w:type="spellEnd"/>
      <w:r w:rsidRPr="00A259BD">
        <w:rPr>
          <w:rFonts w:ascii="Times New Roman" w:hAnsi="Times New Roman"/>
          <w:color w:val="000000" w:themeColor="text1"/>
          <w:sz w:val="16"/>
          <w:szCs w:val="16"/>
        </w:rPr>
        <w:t xml:space="preserve"> сокращена, главным образом, на КУКС основных родов войск элементы различных предметов концентрируются около небольших вопросов — тем, стержнем которых является специальность данного курса.</w:t>
      </w:r>
    </w:p>
    <w:p w14:paraId="615D805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Состав слушателей КУКС в 1927 году дает следующие цифры:</w:t>
      </w:r>
    </w:p>
    <w:p w14:paraId="5B11139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Социальный состав</w:t>
      </w:r>
    </w:p>
    <w:p w14:paraId="3928A7F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Рабочих - 28,6%</w:t>
      </w:r>
    </w:p>
    <w:p w14:paraId="67BFDBE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Крестьян - 49,1%</w:t>
      </w:r>
    </w:p>
    <w:p w14:paraId="466544A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Прочих - 22,3%</w:t>
      </w:r>
    </w:p>
    <w:p w14:paraId="36088D6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Партийный состав</w:t>
      </w:r>
    </w:p>
    <w:p w14:paraId="0126234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Членов и кандидатов ВКП(б) - 61,4%</w:t>
      </w:r>
    </w:p>
    <w:p w14:paraId="2F2439B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Комсомольцев - 0,7%</w:t>
      </w:r>
    </w:p>
    <w:p w14:paraId="1BC773B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[Беспартийных] - 37,9%</w:t>
      </w:r>
    </w:p>
    <w:p w14:paraId="4DAFA62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Боевой стаж</w:t>
      </w:r>
    </w:p>
    <w:p w14:paraId="66855CB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Участвовало в </w:t>
      </w:r>
      <w:proofErr w:type="spellStart"/>
      <w:r w:rsidRPr="00A259BD">
        <w:rPr>
          <w:rFonts w:ascii="Times New Roman" w:hAnsi="Times New Roman"/>
          <w:color w:val="000000" w:themeColor="text1"/>
          <w:sz w:val="16"/>
          <w:szCs w:val="16"/>
        </w:rPr>
        <w:t>империалистич</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еской</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гражд</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анской</w:t>
      </w:r>
      <w:proofErr w:type="spellEnd"/>
      <w:r w:rsidRPr="00A259BD">
        <w:rPr>
          <w:rFonts w:ascii="Times New Roman" w:hAnsi="Times New Roman"/>
          <w:color w:val="000000" w:themeColor="text1"/>
          <w:sz w:val="16"/>
          <w:szCs w:val="16"/>
        </w:rPr>
        <w:t>] войне - 51,4%</w:t>
      </w:r>
    </w:p>
    <w:p w14:paraId="2542283B"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Участв</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овало</w:t>
      </w:r>
      <w:proofErr w:type="spellEnd"/>
      <w:r w:rsidRPr="00A259BD">
        <w:rPr>
          <w:rFonts w:ascii="Times New Roman" w:hAnsi="Times New Roman"/>
          <w:color w:val="000000" w:themeColor="text1"/>
          <w:sz w:val="16"/>
          <w:szCs w:val="16"/>
        </w:rPr>
        <w:t>] только в гражданской войне - 31,8%</w:t>
      </w:r>
    </w:p>
    <w:p w14:paraId="760E13CE"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Участв</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овало</w:t>
      </w:r>
      <w:proofErr w:type="spellEnd"/>
      <w:r w:rsidRPr="00A259BD">
        <w:rPr>
          <w:rFonts w:ascii="Times New Roman" w:hAnsi="Times New Roman"/>
          <w:color w:val="000000" w:themeColor="text1"/>
          <w:sz w:val="16"/>
          <w:szCs w:val="16"/>
        </w:rPr>
        <w:t>] только в империалистической] войне - 6,6%</w:t>
      </w:r>
    </w:p>
    <w:p w14:paraId="151AC4C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участвовало - 10,2%</w:t>
      </w:r>
    </w:p>
    <w:p w14:paraId="3EFB61A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Общеобразовательная подготовка</w:t>
      </w:r>
    </w:p>
    <w:p w14:paraId="4CDE245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Высшее - 1,7%</w:t>
      </w:r>
    </w:p>
    <w:p w14:paraId="01246A2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Среднее - 22,0%</w:t>
      </w:r>
    </w:p>
    <w:p w14:paraId="6D0855F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Низшее - 76,3%</w:t>
      </w:r>
    </w:p>
    <w:p w14:paraId="73D7E19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Курсы усовершенствования проделывают большую работу, которая дает командирам, имеющим опыт Гражданской войны, серьезную теоретическую подготовку, выравнивает их политически и делает из них лиц, которые с успехом воспитывают и обучают командный состав и войска.</w:t>
      </w:r>
    </w:p>
    <w:p w14:paraId="3BF64E0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4.Военные </w:t>
      </w:r>
      <w:proofErr w:type="spellStart"/>
      <w:r w:rsidRPr="00A259BD">
        <w:rPr>
          <w:rFonts w:ascii="Times New Roman" w:hAnsi="Times New Roman"/>
          <w:color w:val="000000" w:themeColor="text1"/>
          <w:sz w:val="16"/>
          <w:szCs w:val="16"/>
        </w:rPr>
        <w:t>академиии</w:t>
      </w:r>
      <w:proofErr w:type="spellEnd"/>
      <w:r w:rsidRPr="00A259BD">
        <w:rPr>
          <w:rFonts w:ascii="Times New Roman" w:hAnsi="Times New Roman"/>
          <w:color w:val="000000" w:themeColor="text1"/>
          <w:sz w:val="16"/>
          <w:szCs w:val="16"/>
        </w:rPr>
        <w:t xml:space="preserve"> отделения имеют задачей подготовку командиров, умеющих управлять или содействовать командованию в управлении общевойсковыми соединениями, а также подготовку работников различных специальностей на обслуживание нужд армии, военной промышленности в военное и мирное время на ответственных должностях.</w:t>
      </w:r>
    </w:p>
    <w:p w14:paraId="731C12D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академиях около 80% партийцев и свыше 20% беспартийных. Если в этом отношении все обстоит благополучно, то в части </w:t>
      </w:r>
      <w:proofErr w:type="spellStart"/>
      <w:r w:rsidRPr="00A259BD">
        <w:rPr>
          <w:rFonts w:ascii="Times New Roman" w:hAnsi="Times New Roman"/>
          <w:color w:val="000000" w:themeColor="text1"/>
          <w:sz w:val="16"/>
          <w:szCs w:val="16"/>
        </w:rPr>
        <w:t>соцсостава</w:t>
      </w:r>
      <w:proofErr w:type="spellEnd"/>
      <w:r w:rsidRPr="00A259BD">
        <w:rPr>
          <w:rFonts w:ascii="Times New Roman" w:hAnsi="Times New Roman"/>
          <w:color w:val="000000" w:themeColor="text1"/>
          <w:sz w:val="16"/>
          <w:szCs w:val="16"/>
        </w:rPr>
        <w:t xml:space="preserve"> слушателей констатировать придется низкий удельный вес рабочих (27%) и преобладание группы крестьян (42%) и прочих (31%).</w:t>
      </w:r>
    </w:p>
    <w:p w14:paraId="170CD4E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целью усиления пролетарского ядра, в текущем году открывается подготовительная группа на 125 человек.</w:t>
      </w:r>
    </w:p>
    <w:p w14:paraId="6251286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5.Высшая допризывная </w:t>
      </w:r>
      <w:proofErr w:type="spellStart"/>
      <w:r w:rsidRPr="00A259BD">
        <w:rPr>
          <w:rFonts w:ascii="Times New Roman" w:hAnsi="Times New Roman"/>
          <w:color w:val="000000" w:themeColor="text1"/>
          <w:sz w:val="16"/>
          <w:szCs w:val="16"/>
        </w:rPr>
        <w:t>подготовкапроводится</w:t>
      </w:r>
      <w:proofErr w:type="spellEnd"/>
      <w:r w:rsidRPr="00A259BD">
        <w:rPr>
          <w:rFonts w:ascii="Times New Roman" w:hAnsi="Times New Roman"/>
          <w:color w:val="000000" w:themeColor="text1"/>
          <w:sz w:val="16"/>
          <w:szCs w:val="16"/>
        </w:rPr>
        <w:t xml:space="preserve"> в гражданских учебных заведениях с 1926—1927 учебного года и только в этом году будут первые выпуски окончивших ее. Ею охвачены 129 высших учебных </w:t>
      </w:r>
      <w:proofErr w:type="spellStart"/>
      <w:r w:rsidRPr="00A259BD">
        <w:rPr>
          <w:rFonts w:ascii="Times New Roman" w:hAnsi="Times New Roman"/>
          <w:color w:val="000000" w:themeColor="text1"/>
          <w:sz w:val="16"/>
          <w:szCs w:val="16"/>
        </w:rPr>
        <w:t>заведенийи</w:t>
      </w:r>
      <w:proofErr w:type="spellEnd"/>
      <w:r w:rsidRPr="00A259BD">
        <w:rPr>
          <w:rFonts w:ascii="Times New Roman" w:hAnsi="Times New Roman"/>
          <w:color w:val="000000" w:themeColor="text1"/>
          <w:sz w:val="16"/>
          <w:szCs w:val="16"/>
        </w:rPr>
        <w:t xml:space="preserve"> 19 техникумов с количеством около 135 тысяч студентов мужчин и женщин. Из этого контингента в 1928 году было проведено через двухмесячные лагерные сборы 12 000 и около 7 000 через трехнедельные выходы в поле из общего числа в 30 000 признанных годными к службе в строю.</w:t>
      </w:r>
    </w:p>
    <w:p w14:paraId="5E87692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Высшая допризывная подготовка состоит из 180 часов теоретического обучения во время пребывания студентов в вузах, двухмесячных лагерных сборов и из включения военных элементов в программы гражданских дисциплин ВУЗов. После окончания ВУЗов и 9-ти месяцев службы в войсках, студенты, прошедшие высшую допризывную подготовку, по сдаче соответствующего экзамена, получают звания командира взвода запаса. Высшая допризывная подготовка, вначале принятая несколько неприязненно, в настоящее время приобрела все права гражданства и встречает поддержку как со стороны органов Наркомпроса, правлений ВУЗов, профессуры, так и со стороны студенчества. </w:t>
      </w:r>
      <w:proofErr w:type="spellStart"/>
      <w:r w:rsidRPr="00A259BD">
        <w:rPr>
          <w:rFonts w:ascii="Times New Roman" w:hAnsi="Times New Roman"/>
          <w:color w:val="000000" w:themeColor="text1"/>
          <w:sz w:val="16"/>
          <w:szCs w:val="16"/>
        </w:rPr>
        <w:t>Подготовкаведется</w:t>
      </w:r>
      <w:proofErr w:type="spellEnd"/>
      <w:r w:rsidRPr="00A259BD">
        <w:rPr>
          <w:rFonts w:ascii="Times New Roman" w:hAnsi="Times New Roman"/>
          <w:color w:val="000000" w:themeColor="text1"/>
          <w:sz w:val="16"/>
          <w:szCs w:val="16"/>
        </w:rPr>
        <w:t xml:space="preserve"> по 17-ти уклонам по родам войск и специальностям и имеет целью накопление не только начсостава запаса, но и работников для тыловых учреждений, развертываемых при мобилизации армии и предприятий военной промышленности. В этом году на основании опыта истекших двух лет, переработаны заново программы по высшей допризывной подготовке, сокращено количество зачетов, приняты меры к ведению в обязательном порядке занятий по физкультуре во всех ВУЗах и </w:t>
      </w:r>
      <w:proofErr w:type="spellStart"/>
      <w:r w:rsidRPr="00A259BD">
        <w:rPr>
          <w:rFonts w:ascii="Times New Roman" w:hAnsi="Times New Roman"/>
          <w:color w:val="000000" w:themeColor="text1"/>
          <w:sz w:val="16"/>
          <w:szCs w:val="16"/>
        </w:rPr>
        <w:t>комвузах</w:t>
      </w:r>
      <w:proofErr w:type="spellEnd"/>
      <w:r w:rsidRPr="00A259BD">
        <w:rPr>
          <w:rFonts w:ascii="Times New Roman" w:hAnsi="Times New Roman"/>
          <w:color w:val="000000" w:themeColor="text1"/>
          <w:sz w:val="16"/>
          <w:szCs w:val="16"/>
        </w:rPr>
        <w:t>; поставлен в порядок дня вопрос о сосредоточении курса высшей допризывной подготовки только на первых трех курсах ВУЗов и изучение вопроса о возможности сокращения срока службы в войсках после окончания вузов для прошедших высшую допризывную подготовку.</w:t>
      </w:r>
    </w:p>
    <w:p w14:paraId="0BDAF649"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II.Трудность</w:t>
      </w:r>
      <w:proofErr w:type="spellEnd"/>
      <w:r w:rsidRPr="00A259BD">
        <w:rPr>
          <w:rFonts w:ascii="Times New Roman" w:hAnsi="Times New Roman"/>
          <w:color w:val="000000" w:themeColor="text1"/>
          <w:sz w:val="16"/>
          <w:szCs w:val="16"/>
        </w:rPr>
        <w:t xml:space="preserve"> комплектования военных школ</w:t>
      </w:r>
    </w:p>
    <w:p w14:paraId="6A27099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Слабость подготовки поступающих контингентов и трудность подбора, несмотря на очень большой наплыв желающих поступить в военные школы (на 4 000 вакансий — 16 000 кандидатов, а если считать с теми, кто отсеян в частях и вербовочными комиссиями, то — около 25 000 кандидатов), объясняется крайней трудностью сочетать соответствующий классовый отбор с необходимой общеобразовательной подготовкой и физическими качествами. Среди поступающих в военные школы имели среднее образование: в 1925 г. — 8,65%,в 1926 г. — 26,03%, в 1927 г. — 17,73%. Прочие имели образование низшее. Надо отметить, что окончание школ II ступени не является еще полной гарантией достаточной подготовки и значительный процент этой группы не справляется со вступительными испытаниями.</w:t>
      </w:r>
    </w:p>
    <w:p w14:paraId="76A6B83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Подбор поступающих по классовому признаку затрудняется слабой тягой в военные школы рабочей молодежи из числа индустриальных рабочих и партийцев. Так, в приеме 1927 года (по данным 22 школ) рабочие составляли 39,8% от общего числа всех принятых, причем чисто индустриальных квалифицированных рабочих было 60,3% от общего числа всех рабочих и всего 24% от общего числа всех принятых.</w:t>
      </w:r>
    </w:p>
    <w:p w14:paraId="74F7280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причины: слабая материальная обеспеченность комсостава (не главная причина) по сравнению с нормами зарплаты на производствах, отсутствие быстрого продвижения по службе и неограниченное служебное время при строгом служебном и неслужебном режиме.</w:t>
      </w:r>
    </w:p>
    <w:p w14:paraId="48C8223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Прием этого года дал, несмотря на слабую работу по вербовке профсоюзов и комсомола, 55,9% рабочих и детей рабочих. Это потому, что Военное ведомство перенесло работу ближе к фабрикам и заводам. Если бы и профсоюзы и комсомол работали более активно и среди масс, то рабочая прослойка могла быть выше.</w:t>
      </w:r>
    </w:p>
    <w:p w14:paraId="40D540F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Число не принятых по состоянию здоровья достигает 55,6%. При приемах последних трех лет брак достигает 50% явившихся на прием, причем особенно много бракуется </w:t>
      </w:r>
      <w:proofErr w:type="spellStart"/>
      <w:r w:rsidRPr="00A259BD">
        <w:rPr>
          <w:rFonts w:ascii="Times New Roman" w:hAnsi="Times New Roman"/>
          <w:color w:val="000000" w:themeColor="text1"/>
          <w:sz w:val="16"/>
          <w:szCs w:val="16"/>
        </w:rPr>
        <w:t>рабочеймолодежи</w:t>
      </w:r>
      <w:proofErr w:type="spellEnd"/>
      <w:r w:rsidRPr="00A259BD">
        <w:rPr>
          <w:rFonts w:ascii="Times New Roman" w:hAnsi="Times New Roman"/>
          <w:color w:val="000000" w:themeColor="text1"/>
          <w:sz w:val="16"/>
          <w:szCs w:val="16"/>
        </w:rPr>
        <w:t>. Так, медицинскими комиссиями было забраковано: в 1926 году — 40% и в 1927 году — 42% от общего числа рабочих, прибывших для поступления в военную школу. Главными причинами браковки являются общее физическое недоразвитие, расстройство сердечных функций и неврастения.</w:t>
      </w:r>
    </w:p>
    <w:p w14:paraId="502A2B48"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III.Накопление</w:t>
      </w:r>
      <w:proofErr w:type="spellEnd"/>
      <w:r w:rsidRPr="00A259BD">
        <w:rPr>
          <w:rFonts w:ascii="Times New Roman" w:hAnsi="Times New Roman"/>
          <w:color w:val="000000" w:themeColor="text1"/>
          <w:sz w:val="16"/>
          <w:szCs w:val="16"/>
        </w:rPr>
        <w:t xml:space="preserve"> и переподготовка начсостава запаса</w:t>
      </w:r>
    </w:p>
    <w:p w14:paraId="7CCB440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Военные школы не могут дать, а кадры не могут вместить всего того числа командного состава, который потребуется в случае войны. Поэтому необходим целый ряд мер, обеспечивающих накопление командного состава запаса и его периодическую подготовку. Так как число командного состава запаса очень велико, то переподготовка его должна носить не эпизодический, а систематический и длительный характер и потому в значительной степени возложена на военные школы.</w:t>
      </w:r>
    </w:p>
    <w:p w14:paraId="1CFE408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Так как военные школы при своем размещении и работе исходят из определенного штата, рассчитанного исключительно на штатное же число курсантов, то естественно, </w:t>
      </w:r>
      <w:proofErr w:type="spellStart"/>
      <w:r w:rsidRPr="00A259BD">
        <w:rPr>
          <w:rFonts w:ascii="Times New Roman" w:hAnsi="Times New Roman"/>
          <w:color w:val="000000" w:themeColor="text1"/>
          <w:sz w:val="16"/>
          <w:szCs w:val="16"/>
        </w:rPr>
        <w:t>чтопридача</w:t>
      </w:r>
      <w:proofErr w:type="spellEnd"/>
      <w:r w:rsidRPr="00A259BD">
        <w:rPr>
          <w:rFonts w:ascii="Times New Roman" w:hAnsi="Times New Roman"/>
          <w:color w:val="000000" w:themeColor="text1"/>
          <w:sz w:val="16"/>
          <w:szCs w:val="16"/>
        </w:rPr>
        <w:t xml:space="preserve"> школам команд </w:t>
      </w:r>
      <w:proofErr w:type="spellStart"/>
      <w:r w:rsidRPr="00A259BD">
        <w:rPr>
          <w:rFonts w:ascii="Times New Roman" w:hAnsi="Times New Roman"/>
          <w:color w:val="000000" w:themeColor="text1"/>
          <w:sz w:val="16"/>
          <w:szCs w:val="16"/>
        </w:rPr>
        <w:t>одногодичников</w:t>
      </w:r>
      <w:proofErr w:type="spellEnd"/>
      <w:r w:rsidRPr="00A259BD">
        <w:rPr>
          <w:rFonts w:ascii="Times New Roman" w:hAnsi="Times New Roman"/>
          <w:color w:val="000000" w:themeColor="text1"/>
          <w:sz w:val="16"/>
          <w:szCs w:val="16"/>
        </w:rPr>
        <w:t xml:space="preserve"> и командиров запаса очень вредно влияет на работу школ. Обстоятельство это вызывается недостатком средств и потому легко может быть исправлено созданием особых учебных заведений. Для этой цели имеется школа в Саратове, которая пропускает около 4 500 в год. Недостаток средств не позволяет освободить военные школы от необходимости работать вне своего прямого назначения.</w:t>
      </w:r>
    </w:p>
    <w:p w14:paraId="60FD348E"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IV.Руководящий</w:t>
      </w:r>
      <w:proofErr w:type="spellEnd"/>
      <w:r w:rsidRPr="00A259BD">
        <w:rPr>
          <w:rFonts w:ascii="Times New Roman" w:hAnsi="Times New Roman"/>
          <w:color w:val="000000" w:themeColor="text1"/>
          <w:sz w:val="16"/>
          <w:szCs w:val="16"/>
        </w:rPr>
        <w:t xml:space="preserve"> и преподавательский состав ВУЗ</w:t>
      </w:r>
    </w:p>
    <w:p w14:paraId="6CD6256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Начальники военно-учебных </w:t>
      </w:r>
      <w:proofErr w:type="spellStart"/>
      <w:r w:rsidRPr="00A259BD">
        <w:rPr>
          <w:rFonts w:ascii="Times New Roman" w:hAnsi="Times New Roman"/>
          <w:color w:val="000000" w:themeColor="text1"/>
          <w:sz w:val="16"/>
          <w:szCs w:val="16"/>
        </w:rPr>
        <w:t>заведений.Руководящий</w:t>
      </w:r>
      <w:proofErr w:type="spellEnd"/>
      <w:r w:rsidRPr="00A259BD">
        <w:rPr>
          <w:rFonts w:ascii="Times New Roman" w:hAnsi="Times New Roman"/>
          <w:color w:val="000000" w:themeColor="text1"/>
          <w:sz w:val="16"/>
          <w:szCs w:val="16"/>
        </w:rPr>
        <w:t xml:space="preserve"> состав ВУЗ характеризуется следующими цифрами:</w:t>
      </w:r>
    </w:p>
    <w:p w14:paraId="6E66610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Моложе 40 лет: на 1/XII-26 г. - 84%, на 1/XII-27 г. - 77%;</w:t>
      </w:r>
    </w:p>
    <w:p w14:paraId="68A5E7D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высшим военным образованием: на 1/XII-26 г. - 66%, на 1/XII-27 г. - 78%;</w:t>
      </w:r>
    </w:p>
    <w:p w14:paraId="3FBC254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Рабочие: на 1/XII-26 г. - 9%, на 1/XII-27 г. - 12%;</w:t>
      </w:r>
    </w:p>
    <w:p w14:paraId="2FEE1C0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Крестьяне: на 1/XII-26 г. - 23%, на 1/XII-27 г. - 26%;</w:t>
      </w:r>
    </w:p>
    <w:p w14:paraId="5CB55A0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Членов и кандидатов ВКП(б): на 1/XII-26 г. - 61%, на 1/XII-27 г. - 63%;</w:t>
      </w:r>
    </w:p>
    <w:p w14:paraId="344CC96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боевым стажем: на 1/XII-26 г. - 91%, на 1/XII-27 г. - 98%.</w:t>
      </w:r>
    </w:p>
    <w:p w14:paraId="00D7CAC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Эти данные говорят о росте рабочей и партийной прослойки и об увеличении среди руководящего состава ВУЗов числа командиров с высшим военным образованием и </w:t>
      </w:r>
      <w:proofErr w:type="spellStart"/>
      <w:r w:rsidRPr="00A259BD">
        <w:rPr>
          <w:rFonts w:ascii="Times New Roman" w:hAnsi="Times New Roman"/>
          <w:color w:val="000000" w:themeColor="text1"/>
          <w:sz w:val="16"/>
          <w:szCs w:val="16"/>
        </w:rPr>
        <w:t>боевымстажем</w:t>
      </w:r>
      <w:proofErr w:type="spellEnd"/>
      <w:r w:rsidRPr="00A259BD">
        <w:rPr>
          <w:rFonts w:ascii="Times New Roman" w:hAnsi="Times New Roman"/>
          <w:color w:val="000000" w:themeColor="text1"/>
          <w:sz w:val="16"/>
          <w:szCs w:val="16"/>
        </w:rPr>
        <w:t>.</w:t>
      </w:r>
    </w:p>
    <w:p w14:paraId="718B74B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Преподавательский состав военно-учебных заведений (кроме академий). В этом отношении Реввоенсоветом СССР была поставлена задача о создании крепкого кадра преподавателей, прошедших нашу советскую военную школу и в результате работы, проделанной за последние два года, мы имеем следующие данные об освежении состава преподавателей военных и специальных предметов.</w:t>
      </w:r>
    </w:p>
    <w:p w14:paraId="0E092EF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Моложе 40 лет: на 1/XII-26 г. - 59%, на 1/XII-27 г. - 70%;</w:t>
      </w:r>
    </w:p>
    <w:p w14:paraId="115C0F8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высшим военным образованием: на 1/XII-26 г. - 15%, на 1/XII-27 г. - 17%;</w:t>
      </w:r>
    </w:p>
    <w:p w14:paraId="13CB83C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 средним военным образованием: на 1/XII-26 г. - 67%, на 1/XII-27 г. - 80%;</w:t>
      </w:r>
    </w:p>
    <w:p w14:paraId="018C5BA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Рабочих: на 1/XII-26 г. - 5%, на 1/XII-27 г. - 8%;</w:t>
      </w:r>
    </w:p>
    <w:p w14:paraId="00A55CD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Крестьян: на 1/XII-26 г. - 9%, на 1/XII-27 г. - 15%;</w:t>
      </w:r>
    </w:p>
    <w:p w14:paraId="62E70336"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Чл</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енов</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канд</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идатов</w:t>
      </w:r>
      <w:proofErr w:type="spellEnd"/>
      <w:r w:rsidRPr="00A259BD">
        <w:rPr>
          <w:rFonts w:ascii="Times New Roman" w:hAnsi="Times New Roman"/>
          <w:color w:val="000000" w:themeColor="text1"/>
          <w:sz w:val="16"/>
          <w:szCs w:val="16"/>
        </w:rPr>
        <w:t>] ВКП(б): на 1/XII-26 г. - 14%, на 1/XII-27 г. - 23%;</w:t>
      </w:r>
    </w:p>
    <w:p w14:paraId="53731DE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боевым стажем: на 1/XII-26 г. - 50%, на 1/XII-27 г. - 66%;</w:t>
      </w:r>
    </w:p>
    <w:p w14:paraId="024FB62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Медленный рост числа преподавателей с высшим военным образованием объясняется тем, что идут два встречных процесса — приток окончивших красные академии и убыль по возрасту старых академиков</w:t>
      </w:r>
    </w:p>
    <w:p w14:paraId="470C0B0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больше половины всех преподавателей (не академиков) пропущено через курсы усовершенствования и Высшую военно-педагогическую школу.</w:t>
      </w:r>
    </w:p>
    <w:p w14:paraId="3410C87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Таким образом, можно отметить постепенный рост рабочей и партийной прослойки и увеличение числа преподавателей с академическим образованием и боевым стажем. Причем дальнейшая работа по освежению преподавательского состава продолжается и идет по линии замены контингента старых педагогов командным составом из войск, прошедших советскую военную школу и фронты Гражданской войны.</w:t>
      </w:r>
    </w:p>
    <w:p w14:paraId="02E8614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Военно-научные </w:t>
      </w:r>
      <w:proofErr w:type="spellStart"/>
      <w:r w:rsidRPr="00A259BD">
        <w:rPr>
          <w:rFonts w:ascii="Times New Roman" w:hAnsi="Times New Roman"/>
          <w:color w:val="000000" w:themeColor="text1"/>
          <w:sz w:val="16"/>
          <w:szCs w:val="16"/>
        </w:rPr>
        <w:t>работники.Если</w:t>
      </w:r>
      <w:proofErr w:type="spellEnd"/>
      <w:r w:rsidRPr="00A259BD">
        <w:rPr>
          <w:rFonts w:ascii="Times New Roman" w:hAnsi="Times New Roman"/>
          <w:color w:val="000000" w:themeColor="text1"/>
          <w:sz w:val="16"/>
          <w:szCs w:val="16"/>
        </w:rPr>
        <w:t xml:space="preserve"> благополучно идет подготовка своего комсостава (мы имеем 79,73% получивших военное образование в Красной Армии и 11,66% получивших это только в старой царской армии), относительно труднее идет замена преподавательского состава в школах и КУКС, то наиболее узким местом является подготовка молодых военно-научных работников в академиях. Здесь при общем количестве преподавателей в академиях 370 чел., из которых свыше 50 лет 130 чел. (35%), мы имеем по штату только 75 адъюнктов (23%), налицо 67 (18%).</w:t>
      </w:r>
    </w:p>
    <w:p w14:paraId="27E933B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всем академиям мы имеем 67 адъюнктов, из них членов и кандидатов ВКП(б) 42 чел. (62,8%), и беспартийных 25 чел. (37,2%); рабочих 7 (10,5%), крестьян 12 (17,9%) и прочих 48 (71,6%).</w:t>
      </w:r>
    </w:p>
    <w:p w14:paraId="3871D98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Необходимость в квалифицированных военных работниках в войсках и в различного рода технических комитетах, а также в военной промышленности не дает возможности быстро подготовлять научную смену, которую приходится отрывать на практическую работу. С этого года вопросу уделено серьезное внимание, и ряд адъюнктов освобожден от совместительства и направлен исключительно для научно-преподавательской работы. Кроме того, наиболее способные и склонные к научной работе общевойсковые начальники направляются в академию для работы в качестве руководителей и преподавателей.</w:t>
      </w:r>
    </w:p>
    <w:p w14:paraId="02B33663"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V.Удельный</w:t>
      </w:r>
      <w:proofErr w:type="spellEnd"/>
      <w:r w:rsidRPr="00A259BD">
        <w:rPr>
          <w:rFonts w:ascii="Times New Roman" w:hAnsi="Times New Roman"/>
          <w:color w:val="000000" w:themeColor="text1"/>
          <w:sz w:val="16"/>
          <w:szCs w:val="16"/>
        </w:rPr>
        <w:t xml:space="preserve"> вес комсостава, подготовленного военными школами РККА</w:t>
      </w:r>
    </w:p>
    <w:p w14:paraId="303A30B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Военные школы начали выпускать курсантов с законченным военным образованием только с 1923 года.</w:t>
      </w:r>
    </w:p>
    <w:p w14:paraId="436C5BB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отношении партийного и комсомольского состава выпуски из военных школ характеризуются следующими цифрами. В выпуске 1926 года было партийцев — 42,7%, комсомольцев — 36,5%, в выпуске 1927 года — партийцев — 50,4% и комсомольцев 30,5% и в последнем выпуске 1928 года — партийцев — 43,4% и комсомольцев — 38,7%, т.е. </w:t>
      </w:r>
      <w:proofErr w:type="spellStart"/>
      <w:r w:rsidRPr="00A259BD">
        <w:rPr>
          <w:rFonts w:ascii="Times New Roman" w:hAnsi="Times New Roman"/>
          <w:color w:val="000000" w:themeColor="text1"/>
          <w:sz w:val="16"/>
          <w:szCs w:val="16"/>
        </w:rPr>
        <w:t>парткомсомольская</w:t>
      </w:r>
      <w:proofErr w:type="spellEnd"/>
      <w:r w:rsidRPr="00A259BD">
        <w:rPr>
          <w:rFonts w:ascii="Times New Roman" w:hAnsi="Times New Roman"/>
          <w:color w:val="000000" w:themeColor="text1"/>
          <w:sz w:val="16"/>
          <w:szCs w:val="16"/>
        </w:rPr>
        <w:t xml:space="preserve"> прослойка среди </w:t>
      </w:r>
      <w:proofErr w:type="spellStart"/>
      <w:r w:rsidRPr="00A259BD">
        <w:rPr>
          <w:rFonts w:ascii="Times New Roman" w:hAnsi="Times New Roman"/>
          <w:color w:val="000000" w:themeColor="text1"/>
          <w:sz w:val="16"/>
          <w:szCs w:val="16"/>
        </w:rPr>
        <w:t>нормальников</w:t>
      </w:r>
      <w:proofErr w:type="spellEnd"/>
      <w:r w:rsidRPr="00A259BD">
        <w:rPr>
          <w:rFonts w:ascii="Times New Roman" w:hAnsi="Times New Roman"/>
          <w:color w:val="000000" w:themeColor="text1"/>
          <w:sz w:val="16"/>
          <w:szCs w:val="16"/>
        </w:rPr>
        <w:t xml:space="preserve"> равна по годам 79,2%, 80,9% и 82,1%. В то время, как в армии она 20%, а среди комсостава 57,2%. При этом если сравнивать </w:t>
      </w:r>
      <w:proofErr w:type="spellStart"/>
      <w:r w:rsidRPr="00A259BD">
        <w:rPr>
          <w:rFonts w:ascii="Times New Roman" w:hAnsi="Times New Roman"/>
          <w:color w:val="000000" w:themeColor="text1"/>
          <w:sz w:val="16"/>
          <w:szCs w:val="16"/>
        </w:rPr>
        <w:t>партсостав</w:t>
      </w:r>
      <w:proofErr w:type="spellEnd"/>
      <w:r w:rsidRPr="00A259BD">
        <w:rPr>
          <w:rFonts w:ascii="Times New Roman" w:hAnsi="Times New Roman"/>
          <w:color w:val="000000" w:themeColor="text1"/>
          <w:sz w:val="16"/>
          <w:szCs w:val="16"/>
        </w:rPr>
        <w:t xml:space="preserve"> выпусков с соответствующими годами приема, то можно отметить значительное увеличение партийной прослойки за время прохождения курса. Это говорит о той большой политико-просветительской </w:t>
      </w:r>
      <w:proofErr w:type="spellStart"/>
      <w:r w:rsidRPr="00A259BD">
        <w:rPr>
          <w:rFonts w:ascii="Times New Roman" w:hAnsi="Times New Roman"/>
          <w:color w:val="000000" w:themeColor="text1"/>
          <w:sz w:val="16"/>
          <w:szCs w:val="16"/>
        </w:rPr>
        <w:t>работе,которая</w:t>
      </w:r>
      <w:proofErr w:type="spellEnd"/>
      <w:r w:rsidRPr="00A259BD">
        <w:rPr>
          <w:rFonts w:ascii="Times New Roman" w:hAnsi="Times New Roman"/>
          <w:color w:val="000000" w:themeColor="text1"/>
          <w:sz w:val="16"/>
          <w:szCs w:val="16"/>
        </w:rPr>
        <w:t xml:space="preserve"> ведется в нашей военной школе.</w:t>
      </w:r>
    </w:p>
    <w:p w14:paraId="2F06530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 же самое и относительно </w:t>
      </w:r>
      <w:proofErr w:type="spellStart"/>
      <w:r w:rsidRPr="00A259BD">
        <w:rPr>
          <w:rFonts w:ascii="Times New Roman" w:hAnsi="Times New Roman"/>
          <w:color w:val="000000" w:themeColor="text1"/>
          <w:sz w:val="16"/>
          <w:szCs w:val="16"/>
        </w:rPr>
        <w:t>соцсостава</w:t>
      </w:r>
      <w:proofErr w:type="spellEnd"/>
      <w:r w:rsidRPr="00A259BD">
        <w:rPr>
          <w:rFonts w:ascii="Times New Roman" w:hAnsi="Times New Roman"/>
          <w:color w:val="000000" w:themeColor="text1"/>
          <w:sz w:val="16"/>
          <w:szCs w:val="16"/>
        </w:rPr>
        <w:t xml:space="preserve"> также имеются достижения За время учебы в школах рабочая прослойка не уменьшается. По годам выпуски дают в 1926 г. — 36,4% рабочих, [19]27 г. — 35,8% и в 1928 г. — 36,4% при общей прослойке рабочих в армии 18,68% и среди комсостава — 25,9%.</w:t>
      </w:r>
    </w:p>
    <w:p w14:paraId="20AC9A4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Кроме того, окончившие красные военные академии составляют среди старшего комсостава 7,27%, а среди высшего 21,18%, а по отношению ко всему комсоставу — 2,41%. Окончившие ВАК и КУВНАС — 2,70%, а окончившие КУКС — 7,34%. Среди командного состава окончившие нормальные военные школы составляют уже 49,59%.Если просмотреть по должностям, то </w:t>
      </w:r>
      <w:proofErr w:type="spellStart"/>
      <w:r w:rsidRPr="00A259BD">
        <w:rPr>
          <w:rFonts w:ascii="Times New Roman" w:hAnsi="Times New Roman"/>
          <w:color w:val="000000" w:themeColor="text1"/>
          <w:sz w:val="16"/>
          <w:szCs w:val="16"/>
        </w:rPr>
        <w:t>нормальники</w:t>
      </w:r>
      <w:proofErr w:type="spellEnd"/>
      <w:r w:rsidRPr="00A259BD">
        <w:rPr>
          <w:rFonts w:ascii="Times New Roman" w:hAnsi="Times New Roman"/>
          <w:color w:val="000000" w:themeColor="text1"/>
          <w:sz w:val="16"/>
          <w:szCs w:val="16"/>
        </w:rPr>
        <w:t xml:space="preserve"> среди комвзводов составляют 84,49%, </w:t>
      </w:r>
      <w:proofErr w:type="spellStart"/>
      <w:r w:rsidRPr="00A259BD">
        <w:rPr>
          <w:rFonts w:ascii="Times New Roman" w:hAnsi="Times New Roman"/>
          <w:color w:val="000000" w:themeColor="text1"/>
          <w:sz w:val="16"/>
          <w:szCs w:val="16"/>
        </w:rPr>
        <w:t>помкомрот</w:t>
      </w:r>
      <w:proofErr w:type="spellEnd"/>
      <w:r w:rsidRPr="00A259BD">
        <w:rPr>
          <w:rFonts w:ascii="Times New Roman" w:hAnsi="Times New Roman"/>
          <w:color w:val="000000" w:themeColor="text1"/>
          <w:sz w:val="16"/>
          <w:szCs w:val="16"/>
        </w:rPr>
        <w:t xml:space="preserve"> — 58,76%, комрот — 43,26 %, </w:t>
      </w:r>
      <w:proofErr w:type="spellStart"/>
      <w:r w:rsidRPr="00A259BD">
        <w:rPr>
          <w:rFonts w:ascii="Times New Roman" w:hAnsi="Times New Roman"/>
          <w:color w:val="000000" w:themeColor="text1"/>
          <w:sz w:val="16"/>
          <w:szCs w:val="16"/>
        </w:rPr>
        <w:t>помкомбатов</w:t>
      </w:r>
      <w:proofErr w:type="spellEnd"/>
      <w:r w:rsidRPr="00A259BD">
        <w:rPr>
          <w:rFonts w:ascii="Times New Roman" w:hAnsi="Times New Roman"/>
          <w:color w:val="000000" w:themeColor="text1"/>
          <w:sz w:val="16"/>
          <w:szCs w:val="16"/>
        </w:rPr>
        <w:t xml:space="preserve"> — 28,53 %, комбатов — 10,5%, </w:t>
      </w:r>
      <w:proofErr w:type="spellStart"/>
      <w:r w:rsidRPr="00A259BD">
        <w:rPr>
          <w:rFonts w:ascii="Times New Roman" w:hAnsi="Times New Roman"/>
          <w:color w:val="000000" w:themeColor="text1"/>
          <w:sz w:val="16"/>
          <w:szCs w:val="16"/>
        </w:rPr>
        <w:t>помкомполков</w:t>
      </w:r>
      <w:proofErr w:type="spellEnd"/>
      <w:r w:rsidRPr="00A259BD">
        <w:rPr>
          <w:rFonts w:ascii="Times New Roman" w:hAnsi="Times New Roman"/>
          <w:color w:val="000000" w:themeColor="text1"/>
          <w:sz w:val="16"/>
          <w:szCs w:val="16"/>
        </w:rPr>
        <w:t xml:space="preserve"> — 4,68%, </w:t>
      </w:r>
      <w:proofErr w:type="spellStart"/>
      <w:r w:rsidRPr="00A259BD">
        <w:rPr>
          <w:rFonts w:ascii="Times New Roman" w:hAnsi="Times New Roman"/>
          <w:color w:val="000000" w:themeColor="text1"/>
          <w:sz w:val="16"/>
          <w:szCs w:val="16"/>
        </w:rPr>
        <w:t>комполков</w:t>
      </w:r>
      <w:proofErr w:type="spellEnd"/>
      <w:r w:rsidRPr="00A259BD">
        <w:rPr>
          <w:rFonts w:ascii="Times New Roman" w:hAnsi="Times New Roman"/>
          <w:color w:val="000000" w:themeColor="text1"/>
          <w:sz w:val="16"/>
          <w:szCs w:val="16"/>
        </w:rPr>
        <w:t xml:space="preserve"> — 1,8% и в высшем комсоставе — 0,88%. Принимая во внимание, что командиры из нормальных школ стали поступать в войска с 1923 года, их продвижение идет быстро. В то время как в царской и буржуазных армиях до комрот надо было прослужить 10 и более лет. Наши </w:t>
      </w:r>
      <w:proofErr w:type="spellStart"/>
      <w:r w:rsidRPr="00A259BD">
        <w:rPr>
          <w:rFonts w:ascii="Times New Roman" w:hAnsi="Times New Roman"/>
          <w:color w:val="000000" w:themeColor="text1"/>
          <w:sz w:val="16"/>
          <w:szCs w:val="16"/>
        </w:rPr>
        <w:t>нормальники</w:t>
      </w:r>
      <w:proofErr w:type="spellEnd"/>
      <w:r w:rsidRPr="00A259BD">
        <w:rPr>
          <w:rFonts w:ascii="Times New Roman" w:hAnsi="Times New Roman"/>
          <w:color w:val="000000" w:themeColor="text1"/>
          <w:sz w:val="16"/>
          <w:szCs w:val="16"/>
        </w:rPr>
        <w:t xml:space="preserve"> служат так, что более 50% окончивших в 1923 году достигли этих должностей через 4 года. Больше того, почти 20,0% добрались до </w:t>
      </w:r>
      <w:proofErr w:type="spellStart"/>
      <w:r w:rsidRPr="00A259BD">
        <w:rPr>
          <w:rFonts w:ascii="Times New Roman" w:hAnsi="Times New Roman"/>
          <w:color w:val="000000" w:themeColor="text1"/>
          <w:sz w:val="16"/>
          <w:szCs w:val="16"/>
        </w:rPr>
        <w:t>помкомбатов</w:t>
      </w:r>
      <w:proofErr w:type="spellEnd"/>
      <w:r w:rsidRPr="00A259BD">
        <w:rPr>
          <w:rFonts w:ascii="Times New Roman" w:hAnsi="Times New Roman"/>
          <w:color w:val="000000" w:themeColor="text1"/>
          <w:sz w:val="16"/>
          <w:szCs w:val="16"/>
        </w:rPr>
        <w:t xml:space="preserve"> и 5,2% — до командиров батальонов.</w:t>
      </w:r>
    </w:p>
    <w:p w14:paraId="18A6472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Число командиров, получивших военно-политическое образование и воспитание в нормальных школах, </w:t>
      </w:r>
      <w:proofErr w:type="spellStart"/>
      <w:r w:rsidRPr="00A259BD">
        <w:rPr>
          <w:rFonts w:ascii="Times New Roman" w:hAnsi="Times New Roman"/>
          <w:color w:val="000000" w:themeColor="text1"/>
          <w:sz w:val="16"/>
          <w:szCs w:val="16"/>
        </w:rPr>
        <w:t>КУКСах</w:t>
      </w:r>
      <w:proofErr w:type="spellEnd"/>
      <w:r w:rsidRPr="00A259BD">
        <w:rPr>
          <w:rFonts w:ascii="Times New Roman" w:hAnsi="Times New Roman"/>
          <w:color w:val="000000" w:themeColor="text1"/>
          <w:sz w:val="16"/>
          <w:szCs w:val="16"/>
        </w:rPr>
        <w:t xml:space="preserve"> и академиях, в войсках все повышается. Этому надо приписать улучшение боевой и политической подготовки красноармейцев, подразделений и частей, крепкое политико-моральное состояние РККА и большевистскую выдержанность армейской партийной организации.</w:t>
      </w:r>
    </w:p>
    <w:p w14:paraId="3E040B4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Предложения:</w:t>
      </w:r>
    </w:p>
    <w:p w14:paraId="3C310BB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1.Наркомвоенмору разработать и внести в законодательные учреждения проект о сокращении срока действительной службы в войсках не ниже 6 месяцев для граждан, окончивших ВУЗы и прошедших высшую допризывную подготовку[71].</w:t>
      </w:r>
    </w:p>
    <w:p w14:paraId="409B476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2.Всем партийным, советским и в первую очередь комсомольским и профессиональным организациям принять самое активное участие в вербовочной кампании в военные школы. Причем: а) главнейшей задачей предстоящего набора оставляется задача </w:t>
      </w:r>
      <w:proofErr w:type="spellStart"/>
      <w:r w:rsidRPr="00A259BD">
        <w:rPr>
          <w:rFonts w:ascii="Times New Roman" w:hAnsi="Times New Roman"/>
          <w:color w:val="000000" w:themeColor="text1"/>
          <w:sz w:val="16"/>
          <w:szCs w:val="16"/>
        </w:rPr>
        <w:t>орабочивания</w:t>
      </w:r>
      <w:proofErr w:type="spellEnd"/>
      <w:r w:rsidRPr="00A259BD">
        <w:rPr>
          <w:rFonts w:ascii="Times New Roman" w:hAnsi="Times New Roman"/>
          <w:color w:val="000000" w:themeColor="text1"/>
          <w:sz w:val="16"/>
          <w:szCs w:val="16"/>
        </w:rPr>
        <w:t xml:space="preserve"> курсантского состава военных школ (приём не менее 50% рабочих от общего числа всего набора); б) вербовку проводить не в порядке ударной кампании, а в порядке систематической плановой работы, доводя вербовочную кампанию до самых низовых ячеек фабрик и заводов; в) особое внимание уделить организации особых курсов для подготовительных занятий с кандидатами, желающими поступить в военные школы с тем, чтобы весь контингент кандидатов из рабочей и батрацкой молодежи был охвачен этими курсами; г) вербовочным комиссиям теперь же приступить к работе с таким расчетом, чтобы подготовительные занятия были начаты не позднее января 1929 года и д) начиная с мая и до конца вербовочной кампании (до 15/IX) областным, губернским и окружным партийным комитетам и исполкомам ежемесячно ставить отчетные доклады вербовочных комиссий о ходе вербовки.</w:t>
      </w:r>
    </w:p>
    <w:p w14:paraId="200FA8D8"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I.Основы</w:t>
      </w:r>
      <w:proofErr w:type="spellEnd"/>
      <w:r w:rsidRPr="00A259BD">
        <w:rPr>
          <w:rFonts w:ascii="Times New Roman" w:hAnsi="Times New Roman"/>
          <w:color w:val="000000" w:themeColor="text1"/>
          <w:sz w:val="16"/>
          <w:szCs w:val="16"/>
        </w:rPr>
        <w:t xml:space="preserve"> прохождения службы начсоставом РККА</w:t>
      </w:r>
    </w:p>
    <w:p w14:paraId="13CD193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годы Гражданской войны и в ближайшие к ним моменты строительства вооруженных сил страны комплектование комсостава РККА не могло быть уложено в рамки определенных требований и происходило с использованием тех источников, которые представлялось возможным изыскать в условиях указанного времени.</w:t>
      </w:r>
    </w:p>
    <w:p w14:paraId="3E4C6BE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Формирование Красной Армии, начатое с помощью офицерства старой армии, потребовало для кадров формируемых частей комсостава из среды рабочих и крестьян, ввиду чего создавалась краткосрочная подготовка командиров на командных курсах и допускалось замещение командных должностей лицами, имевшими лишь некоторый практический боевой стаж.</w:t>
      </w:r>
    </w:p>
    <w:p w14:paraId="14D372F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Только с переходом к обстановке мирного строительства и с поднятием уровня общего развития общей рабочей и крестьянской молодежи явилась возможность положить в основу подготовки комсостава прохождение им нормальных военных школ с 3-х и 4-летним курсом обучения, которые выпускают командиров РККА, вполне отвечающих своему назначению.</w:t>
      </w:r>
    </w:p>
    <w:p w14:paraId="0EEEAB4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Отмеченное выше разнообразие подготовки начсостава в эпоху Гражданской войны и сами условия военного времени не позволяли установить твердую систему прохождения службы начсоставом Продвижение его по должностям определялось, главным образом, требованиями момента и в общем совершалось со значительной быстротой.</w:t>
      </w:r>
    </w:p>
    <w:p w14:paraId="752E719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дальнейшем принимаются меры к урегулированию продвижения начсостава на определенных условиях, но обстановка демобилизации армии и неустановившаяся еще организационная структура последней не давали возможности поставить это дело на твердую базу. Как следствие сказанного, многие продвигались быстрее, чем это следует, другие безмерно засиживались в должностях без всяких служебных перспектив в будущем.</w:t>
      </w:r>
    </w:p>
    <w:p w14:paraId="11C814F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настоящее время состояние армии позволило установить точные и систематизированные правила прохождения службы, обеспечивающие стабилизацию служебного положения начсостава и тем самым дающие ему определенные служебные перспективы.</w:t>
      </w:r>
    </w:p>
    <w:p w14:paraId="43D9AF5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этой целью издано «Положение о прохождении службы средним, старшим и высшим начсоставом РККА в мирное время»,</w:t>
      </w:r>
    </w:p>
    <w:p w14:paraId="11283B0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Первенствующее значение при продвижении по службе начсостава «Положением» придается соответствующему качественному отбору начсостава, главнейшим фактором которого является служебная и политическая аттестация.</w:t>
      </w:r>
    </w:p>
    <w:p w14:paraId="4F6D4BA4"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Аттестование</w:t>
      </w:r>
      <w:proofErr w:type="spellEnd"/>
      <w:r w:rsidRPr="00A259BD">
        <w:rPr>
          <w:rFonts w:ascii="Times New Roman" w:hAnsi="Times New Roman"/>
          <w:color w:val="000000" w:themeColor="text1"/>
          <w:sz w:val="16"/>
          <w:szCs w:val="16"/>
        </w:rPr>
        <w:t xml:space="preserve"> как метод всестороннего выявления качеств начсостава имеет своей задачей охарактеризовать его не только со стороны служебного соответствия. </w:t>
      </w:r>
      <w:proofErr w:type="spellStart"/>
      <w:r w:rsidRPr="00A259BD">
        <w:rPr>
          <w:rFonts w:ascii="Times New Roman" w:hAnsi="Times New Roman"/>
          <w:color w:val="000000" w:themeColor="text1"/>
          <w:sz w:val="16"/>
          <w:szCs w:val="16"/>
        </w:rPr>
        <w:t>Полнаяоценка</w:t>
      </w:r>
      <w:proofErr w:type="spellEnd"/>
      <w:r w:rsidRPr="00A259BD">
        <w:rPr>
          <w:rFonts w:ascii="Times New Roman" w:hAnsi="Times New Roman"/>
          <w:color w:val="000000" w:themeColor="text1"/>
          <w:sz w:val="16"/>
          <w:szCs w:val="16"/>
        </w:rPr>
        <w:t xml:space="preserve"> военного работника складывается из его служебных данных, моральных качеств, политического облика и общественной активности.</w:t>
      </w:r>
    </w:p>
    <w:p w14:paraId="2EFBB31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Это дает возможность производить соответствующий отбор начсостава для продвижения по служебному пути, с отсеиванием всего того, что не соответствует духу и задачам Красной Армии. Объективность и полнота аттестации обеспечивается, с одной стороны, ее коллегиальностью (аттестационные комиссии), а с другой — не секретностью ее для аттестуемых.</w:t>
      </w:r>
    </w:p>
    <w:p w14:paraId="09122B0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Правильность и равномерность продвижения лиц начсостава, признанных в аттестационном порядке заслуживающими повышения, достигается введением минимальных должностных сроков, т.е. сроков, необходимых для приобретения наиболее способными лицами начсостава навыков, знаний и опыта, без которых невозможно исполнение </w:t>
      </w:r>
      <w:proofErr w:type="spellStart"/>
      <w:r w:rsidRPr="00A259BD">
        <w:rPr>
          <w:rFonts w:ascii="Times New Roman" w:hAnsi="Times New Roman"/>
          <w:color w:val="000000" w:themeColor="text1"/>
          <w:sz w:val="16"/>
          <w:szCs w:val="16"/>
        </w:rPr>
        <w:t>следующейвысшей</w:t>
      </w:r>
      <w:proofErr w:type="spellEnd"/>
      <w:r w:rsidRPr="00A259BD">
        <w:rPr>
          <w:rFonts w:ascii="Times New Roman" w:hAnsi="Times New Roman"/>
          <w:color w:val="000000" w:themeColor="text1"/>
          <w:sz w:val="16"/>
          <w:szCs w:val="16"/>
        </w:rPr>
        <w:t xml:space="preserve"> должности.</w:t>
      </w:r>
    </w:p>
    <w:p w14:paraId="1909BC2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указанным срокам командир РККА достигает должностей: комроты — на 5 году службы, комбата — на 8-м году и комполка — на 12-м [году службы].</w:t>
      </w:r>
    </w:p>
    <w:p w14:paraId="258413B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Если сравнить эти сроки с такими же сроками в иностранных армиях, то в последних должностные сроки длиннее: до комроты там в среднем служат от 6 до 12 лет, до комбата — от 10 до 18 лет и до комполка — от 17 до 20 лет.</w:t>
      </w:r>
    </w:p>
    <w:p w14:paraId="56F5FEE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Приобретенная в том или ином этапе прохождения службы «служебная квалификация» закрепляется за комсоставом и служит основой для дальнейшего движения по службе </w:t>
      </w:r>
      <w:proofErr w:type="spellStart"/>
      <w:r w:rsidRPr="00A259BD">
        <w:rPr>
          <w:rFonts w:ascii="Times New Roman" w:hAnsi="Times New Roman"/>
          <w:color w:val="000000" w:themeColor="text1"/>
          <w:sz w:val="16"/>
          <w:szCs w:val="16"/>
        </w:rPr>
        <w:t>иявляется</w:t>
      </w:r>
      <w:proofErr w:type="spellEnd"/>
      <w:r w:rsidRPr="00A259BD">
        <w:rPr>
          <w:rFonts w:ascii="Times New Roman" w:hAnsi="Times New Roman"/>
          <w:color w:val="000000" w:themeColor="text1"/>
          <w:sz w:val="16"/>
          <w:szCs w:val="16"/>
        </w:rPr>
        <w:t xml:space="preserve"> критерием для определения его материального обеспечения.</w:t>
      </w:r>
    </w:p>
    <w:p w14:paraId="36406AB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усовершенствования знаний комсостава при занятии им более ответственных должностей установлено прохождение им курсов усовершенствования, причем комсостав проходит их два раза во время своего служебного пути, а именно, перед назначением на должности комбата и комполка.</w:t>
      </w:r>
    </w:p>
    <w:p w14:paraId="604B9C7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Условия и требования военной службы связаны с наличием у военнослужащего соответствующего запаса сил, энергии, выносливости. Ввиду этого для комсостава РККА установлены предельные возраста, по достижении которых комсостав увольняется со службы в кадрах РККА.</w:t>
      </w:r>
    </w:p>
    <w:p w14:paraId="4FBD755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Эти сроки дают возможность, с одной стороны, выдвижения более молодого контингента начсостава в армии, а с другой стороны, открывают дорогу для продвижения по службе следующей за ним смены.</w:t>
      </w:r>
    </w:p>
    <w:p w14:paraId="324B5FB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этих сроков такова: для среднего начсостава — 40 лет, для старшего — 45 и для высшего — 50 лет.</w:t>
      </w:r>
    </w:p>
    <w:p w14:paraId="10A4233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лица начсостава, отслужившие установленные сроки за полученное образование, могут увольняться со службы из кадров РККА «по желанию», но каждый раз с разрешения Наркомвоенмора.</w:t>
      </w:r>
    </w:p>
    <w:p w14:paraId="03E8854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Такая установка является новым шагом в вопросе подбора начсостава в смысле перехода на начала добровольной службы.</w:t>
      </w:r>
    </w:p>
    <w:p w14:paraId="0A4D850E"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II.Характеристика</w:t>
      </w:r>
      <w:proofErr w:type="spellEnd"/>
      <w:r w:rsidRPr="00A259BD">
        <w:rPr>
          <w:rFonts w:ascii="Times New Roman" w:hAnsi="Times New Roman"/>
          <w:color w:val="000000" w:themeColor="text1"/>
          <w:sz w:val="16"/>
          <w:szCs w:val="16"/>
        </w:rPr>
        <w:t xml:space="preserve"> комсостава и удельный вес командиров, подготовленных школами РККА</w:t>
      </w:r>
    </w:p>
    <w:p w14:paraId="5AF62D8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Командный состав РККА по различным признакам характеризуется следующими данными.</w:t>
      </w:r>
    </w:p>
    <w:p w14:paraId="313D337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1.Партийность.</w:t>
      </w:r>
    </w:p>
    <w:p w14:paraId="13EB2DA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Имеющийся по данному вопросу статистический материал говорит о регулярном и довольно значительном росте партийной группы нашего командного состава.</w:t>
      </w:r>
    </w:p>
    <w:p w14:paraId="40430A9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Темп этого роста виден из нижеследующей таблицы (за 4 последних года) [в процентах].</w:t>
      </w:r>
    </w:p>
    <w:p w14:paraId="66FA92DB"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Чл</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ены</w:t>
      </w:r>
      <w:proofErr w:type="spellEnd"/>
      <w:r w:rsidRPr="00A259BD">
        <w:rPr>
          <w:rFonts w:ascii="Times New Roman" w:hAnsi="Times New Roman"/>
          <w:color w:val="000000" w:themeColor="text1"/>
          <w:sz w:val="16"/>
          <w:szCs w:val="16"/>
        </w:rPr>
        <w:t>] ВКП(б) и кандидаты: 30,6 - 1924, 40,8 - 1925, 42,6 - 1926, 50,8 - 1927;</w:t>
      </w:r>
    </w:p>
    <w:p w14:paraId="35E0BE64"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Чл</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ены</w:t>
      </w:r>
      <w:proofErr w:type="spellEnd"/>
      <w:r w:rsidRPr="00A259BD">
        <w:rPr>
          <w:rFonts w:ascii="Times New Roman" w:hAnsi="Times New Roman"/>
          <w:color w:val="000000" w:themeColor="text1"/>
          <w:sz w:val="16"/>
          <w:szCs w:val="16"/>
        </w:rPr>
        <w:t>] ВЛКСМ: 1,2 - 1924, 2,4 - 1925, 4,8 - 1926, 6,2 - 1927;</w:t>
      </w:r>
    </w:p>
    <w:p w14:paraId="09F4CC36"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Беспартийн</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ые</w:t>
      </w:r>
      <w:proofErr w:type="spellEnd"/>
      <w:r w:rsidRPr="00A259BD">
        <w:rPr>
          <w:rFonts w:ascii="Times New Roman" w:hAnsi="Times New Roman"/>
          <w:color w:val="000000" w:themeColor="text1"/>
          <w:sz w:val="16"/>
          <w:szCs w:val="16"/>
        </w:rPr>
        <w:t>]: 68,2 - 1924, 56,8 - 1925, 52,6 - 1926, 43,0 - 1927.</w:t>
      </w:r>
    </w:p>
    <w:p w14:paraId="0F4AEAD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Темп роста партийной группы комсостава не всегда одинаков. Особенно сильное увеличение партийной прослойки наблюдается в годы, непосредственно следующие за крупными реорганизационными мероприятиями. Так, после реорганизации и пересмотра комсостава в 1924 г. и после увольнения в 1926 г. около 9 000 комсостава мы видим значительное усиление партийной группы в 1925 и 1927 годах.</w:t>
      </w:r>
    </w:p>
    <w:p w14:paraId="48200EE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Естественное же, нормальное увеличение кадров партийного комсостава происходит почти исключительно за счет притока из военных школ молодых командиров, среди которых процент партийных достигает 80. Помимо этого выпуски из военных школ сказываются также и на увеличении комсомольской группы комсостава.</w:t>
      </w:r>
    </w:p>
    <w:p w14:paraId="10E9654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2.Социальное происхождение.</w:t>
      </w:r>
    </w:p>
    <w:p w14:paraId="64DE293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социального происхождения мы имеем следующий материал [в процентах]:</w:t>
      </w:r>
    </w:p>
    <w:p w14:paraId="39DFB1B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Рабочих: 16,0 - 1924, 14,4 - 1925, 16,0 - 1926, 24,0 - 1927;</w:t>
      </w:r>
    </w:p>
    <w:p w14:paraId="55B2978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Крестьян: 50,2 - 1924, 57,7 - 1925, 57,2 - 1926, 51,5 - 1927;</w:t>
      </w:r>
    </w:p>
    <w:p w14:paraId="3F6CA15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Прочих: 33,8 - 1924, 27,9 - 1925, 26,8 - 1926, 24,5 - 1927.</w:t>
      </w:r>
    </w:p>
    <w:p w14:paraId="4575508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Рабочая прослойка среди командного состава растет из года в год. Некоторый перерыв этого роста замечается в 1925 году, что вызвано было перечислением нескольких тысяч административных должностей в командный состав и, как следствие отсюда, общее понижение процента рабочих, так как процент их среди административного состава был невысок.</w:t>
      </w:r>
    </w:p>
    <w:p w14:paraId="409F3C6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Отдельно следует упомянуть о значительном приросте группы рабочих в 1927 г., что стоит в связи с реорганизацией армии, происходившей в конце 1926 года, когда было уволено до 9 000 чел. комсостава.</w:t>
      </w:r>
    </w:p>
    <w:p w14:paraId="37DD5B2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итоге мы имеем хотя и постепенное, но определенно выраженное уменьшение прослойки «прочих» и соответственный рост рабочей группы комсостава. Этот результат должен быть целиком отнесен за счет выпуска из наших военных школ классово подобранного комсостава, среди которого процент рабочих составляет 36—37 процентов (средние данные по 4-м последним выпускам).</w:t>
      </w:r>
    </w:p>
    <w:p w14:paraId="41FF3DF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3.Военное образование.</w:t>
      </w:r>
    </w:p>
    <w:p w14:paraId="77F9E3A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Военное образование комсостава является одной их тех областей строительства РККА, в которой за истекшее трехлетие можно отметить ряд существенных достижений. Непрерывный рост военно-образовательной подготовки командного состава достаточно ясно виден из ниже помещаемой таблицы:</w:t>
      </w:r>
    </w:p>
    <w:p w14:paraId="48A0831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1924</w:t>
      </w:r>
    </w:p>
    <w:p w14:paraId="50D122E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РККА: 1,1%Акад. и КУВНАС, 5,2% курсы усов., 13,9% воен. шк. и </w:t>
      </w:r>
      <w:proofErr w:type="spellStart"/>
      <w:r w:rsidRPr="00A259BD">
        <w:rPr>
          <w:rFonts w:ascii="Times New Roman" w:hAnsi="Times New Roman"/>
          <w:color w:val="000000" w:themeColor="text1"/>
          <w:sz w:val="16"/>
          <w:szCs w:val="16"/>
        </w:rPr>
        <w:t>повт</w:t>
      </w:r>
      <w:proofErr w:type="spellEnd"/>
      <w:r w:rsidRPr="00A259BD">
        <w:rPr>
          <w:rFonts w:ascii="Times New Roman" w:hAnsi="Times New Roman"/>
          <w:color w:val="000000" w:themeColor="text1"/>
          <w:sz w:val="16"/>
          <w:szCs w:val="16"/>
        </w:rPr>
        <w:t xml:space="preserve">. отд., 28,4% </w:t>
      </w:r>
      <w:proofErr w:type="spellStart"/>
      <w:r w:rsidRPr="00A259BD">
        <w:rPr>
          <w:rFonts w:ascii="Times New Roman" w:hAnsi="Times New Roman"/>
          <w:color w:val="000000" w:themeColor="text1"/>
          <w:sz w:val="16"/>
          <w:szCs w:val="16"/>
        </w:rPr>
        <w:t>комкурсы</w:t>
      </w:r>
      <w:proofErr w:type="spellEnd"/>
      <w:r w:rsidRPr="00A259BD">
        <w:rPr>
          <w:rFonts w:ascii="Times New Roman" w:hAnsi="Times New Roman"/>
          <w:color w:val="000000" w:themeColor="text1"/>
          <w:sz w:val="16"/>
          <w:szCs w:val="16"/>
        </w:rPr>
        <w:t>.</w:t>
      </w:r>
    </w:p>
    <w:p w14:paraId="0235D2B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старой армии: 0,7%Академ., 5,2% воен. уч. </w:t>
      </w:r>
      <w:proofErr w:type="spellStart"/>
      <w:r w:rsidRPr="00A259BD">
        <w:rPr>
          <w:rFonts w:ascii="Times New Roman" w:hAnsi="Times New Roman"/>
          <w:color w:val="000000" w:themeColor="text1"/>
          <w:sz w:val="16"/>
          <w:szCs w:val="16"/>
        </w:rPr>
        <w:t>мирн</w:t>
      </w:r>
      <w:proofErr w:type="spellEnd"/>
      <w:r w:rsidRPr="00A259BD">
        <w:rPr>
          <w:rFonts w:ascii="Times New Roman" w:hAnsi="Times New Roman"/>
          <w:color w:val="000000" w:themeColor="text1"/>
          <w:sz w:val="16"/>
          <w:szCs w:val="16"/>
        </w:rPr>
        <w:t>. врем., 17,2% воен. уч. воен. врем. и шк. прапор.</w:t>
      </w:r>
    </w:p>
    <w:p w14:paraId="65E075B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 команды в ст. армии и б/воен. образ.: 28,3%</w:t>
      </w:r>
    </w:p>
    <w:p w14:paraId="6F0FD34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Итого: 43,3%с </w:t>
      </w:r>
      <w:proofErr w:type="spellStart"/>
      <w:r w:rsidRPr="00A259BD">
        <w:rPr>
          <w:rFonts w:ascii="Times New Roman" w:hAnsi="Times New Roman"/>
          <w:color w:val="000000" w:themeColor="text1"/>
          <w:sz w:val="16"/>
          <w:szCs w:val="16"/>
        </w:rPr>
        <w:t>достат</w:t>
      </w:r>
      <w:proofErr w:type="spellEnd"/>
      <w:r w:rsidRPr="00A259BD">
        <w:rPr>
          <w:rFonts w:ascii="Times New Roman" w:hAnsi="Times New Roman"/>
          <w:color w:val="000000" w:themeColor="text1"/>
          <w:sz w:val="16"/>
          <w:szCs w:val="16"/>
        </w:rPr>
        <w:t>. военным образ[</w:t>
      </w:r>
      <w:proofErr w:type="spellStart"/>
      <w:r w:rsidRPr="00A259BD">
        <w:rPr>
          <w:rFonts w:ascii="Times New Roman" w:hAnsi="Times New Roman"/>
          <w:color w:val="000000" w:themeColor="text1"/>
          <w:sz w:val="16"/>
          <w:szCs w:val="16"/>
        </w:rPr>
        <w:t>ованием</w:t>
      </w:r>
      <w:proofErr w:type="spellEnd"/>
      <w:r w:rsidRPr="00A259BD">
        <w:rPr>
          <w:rFonts w:ascii="Times New Roman" w:hAnsi="Times New Roman"/>
          <w:color w:val="000000" w:themeColor="text1"/>
          <w:sz w:val="16"/>
          <w:szCs w:val="16"/>
        </w:rPr>
        <w:t xml:space="preserve">], 56,7% без </w:t>
      </w:r>
      <w:proofErr w:type="spellStart"/>
      <w:r w:rsidRPr="00A259BD">
        <w:rPr>
          <w:rFonts w:ascii="Times New Roman" w:hAnsi="Times New Roman"/>
          <w:color w:val="000000" w:themeColor="text1"/>
          <w:sz w:val="16"/>
          <w:szCs w:val="16"/>
        </w:rPr>
        <w:t>достат</w:t>
      </w:r>
      <w:proofErr w:type="spellEnd"/>
      <w:r w:rsidRPr="00A259BD">
        <w:rPr>
          <w:rFonts w:ascii="Times New Roman" w:hAnsi="Times New Roman"/>
          <w:color w:val="000000" w:themeColor="text1"/>
          <w:sz w:val="16"/>
          <w:szCs w:val="16"/>
        </w:rPr>
        <w:t>. воен. образов.</w:t>
      </w:r>
    </w:p>
    <w:p w14:paraId="4D2942A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1925</w:t>
      </w:r>
    </w:p>
    <w:p w14:paraId="42EFD8A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РККА: 1,7%Акад. и КУВНАС, 9,6% курсы усов., 28,1% воен. шк. и </w:t>
      </w:r>
      <w:proofErr w:type="spellStart"/>
      <w:r w:rsidRPr="00A259BD">
        <w:rPr>
          <w:rFonts w:ascii="Times New Roman" w:hAnsi="Times New Roman"/>
          <w:color w:val="000000" w:themeColor="text1"/>
          <w:sz w:val="16"/>
          <w:szCs w:val="16"/>
        </w:rPr>
        <w:t>повт</w:t>
      </w:r>
      <w:proofErr w:type="spellEnd"/>
      <w:r w:rsidRPr="00A259BD">
        <w:rPr>
          <w:rFonts w:ascii="Times New Roman" w:hAnsi="Times New Roman"/>
          <w:color w:val="000000" w:themeColor="text1"/>
          <w:sz w:val="16"/>
          <w:szCs w:val="16"/>
        </w:rPr>
        <w:t xml:space="preserve">. отд., 21,4% </w:t>
      </w:r>
      <w:proofErr w:type="spellStart"/>
      <w:r w:rsidRPr="00A259BD">
        <w:rPr>
          <w:rFonts w:ascii="Times New Roman" w:hAnsi="Times New Roman"/>
          <w:color w:val="000000" w:themeColor="text1"/>
          <w:sz w:val="16"/>
          <w:szCs w:val="16"/>
        </w:rPr>
        <w:t>комкурсы</w:t>
      </w:r>
      <w:proofErr w:type="spellEnd"/>
      <w:r w:rsidRPr="00A259BD">
        <w:rPr>
          <w:rFonts w:ascii="Times New Roman" w:hAnsi="Times New Roman"/>
          <w:color w:val="000000" w:themeColor="text1"/>
          <w:sz w:val="16"/>
          <w:szCs w:val="16"/>
        </w:rPr>
        <w:t>.</w:t>
      </w:r>
    </w:p>
    <w:p w14:paraId="0657C83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старой армии: 1,3%Академ., 4,5% воен. уч. </w:t>
      </w:r>
      <w:proofErr w:type="spellStart"/>
      <w:r w:rsidRPr="00A259BD">
        <w:rPr>
          <w:rFonts w:ascii="Times New Roman" w:hAnsi="Times New Roman"/>
          <w:color w:val="000000" w:themeColor="text1"/>
          <w:sz w:val="16"/>
          <w:szCs w:val="16"/>
        </w:rPr>
        <w:t>мирн</w:t>
      </w:r>
      <w:proofErr w:type="spellEnd"/>
      <w:r w:rsidRPr="00A259BD">
        <w:rPr>
          <w:rFonts w:ascii="Times New Roman" w:hAnsi="Times New Roman"/>
          <w:color w:val="000000" w:themeColor="text1"/>
          <w:sz w:val="16"/>
          <w:szCs w:val="16"/>
        </w:rPr>
        <w:t>. врем., 12,2% воен. уч. воен. врем. и шк. прапор.</w:t>
      </w:r>
    </w:p>
    <w:p w14:paraId="70A9241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 команды в ст. армии и б/воен. образ.: 21,2%</w:t>
      </w:r>
    </w:p>
    <w:p w14:paraId="23D9BFE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Итого: 57,4%с </w:t>
      </w:r>
      <w:proofErr w:type="spellStart"/>
      <w:r w:rsidRPr="00A259BD">
        <w:rPr>
          <w:rFonts w:ascii="Times New Roman" w:hAnsi="Times New Roman"/>
          <w:color w:val="000000" w:themeColor="text1"/>
          <w:sz w:val="16"/>
          <w:szCs w:val="16"/>
        </w:rPr>
        <w:t>достат</w:t>
      </w:r>
      <w:proofErr w:type="spellEnd"/>
      <w:r w:rsidRPr="00A259BD">
        <w:rPr>
          <w:rFonts w:ascii="Times New Roman" w:hAnsi="Times New Roman"/>
          <w:color w:val="000000" w:themeColor="text1"/>
          <w:sz w:val="16"/>
          <w:szCs w:val="16"/>
        </w:rPr>
        <w:t>. военным образ[</w:t>
      </w:r>
      <w:proofErr w:type="spellStart"/>
      <w:r w:rsidRPr="00A259BD">
        <w:rPr>
          <w:rFonts w:ascii="Times New Roman" w:hAnsi="Times New Roman"/>
          <w:color w:val="000000" w:themeColor="text1"/>
          <w:sz w:val="16"/>
          <w:szCs w:val="16"/>
        </w:rPr>
        <w:t>ованием</w:t>
      </w:r>
      <w:proofErr w:type="spellEnd"/>
      <w:r w:rsidRPr="00A259BD">
        <w:rPr>
          <w:rFonts w:ascii="Times New Roman" w:hAnsi="Times New Roman"/>
          <w:color w:val="000000" w:themeColor="text1"/>
          <w:sz w:val="16"/>
          <w:szCs w:val="16"/>
        </w:rPr>
        <w:t xml:space="preserve">], 42,6% без </w:t>
      </w:r>
      <w:proofErr w:type="spellStart"/>
      <w:r w:rsidRPr="00A259BD">
        <w:rPr>
          <w:rFonts w:ascii="Times New Roman" w:hAnsi="Times New Roman"/>
          <w:color w:val="000000" w:themeColor="text1"/>
          <w:sz w:val="16"/>
          <w:szCs w:val="16"/>
        </w:rPr>
        <w:t>достат</w:t>
      </w:r>
      <w:proofErr w:type="spellEnd"/>
      <w:r w:rsidRPr="00A259BD">
        <w:rPr>
          <w:rFonts w:ascii="Times New Roman" w:hAnsi="Times New Roman"/>
          <w:color w:val="000000" w:themeColor="text1"/>
          <w:sz w:val="16"/>
          <w:szCs w:val="16"/>
        </w:rPr>
        <w:t>. воен. образов.</w:t>
      </w:r>
    </w:p>
    <w:p w14:paraId="73A4A47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1926</w:t>
      </w:r>
    </w:p>
    <w:p w14:paraId="0E463A0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РККА: 1,8%Акад. и КУВНАС, 11,9% курсы усов., 38,3% воен. шк. и </w:t>
      </w:r>
      <w:proofErr w:type="spellStart"/>
      <w:r w:rsidRPr="00A259BD">
        <w:rPr>
          <w:rFonts w:ascii="Times New Roman" w:hAnsi="Times New Roman"/>
          <w:color w:val="000000" w:themeColor="text1"/>
          <w:sz w:val="16"/>
          <w:szCs w:val="16"/>
        </w:rPr>
        <w:t>повт</w:t>
      </w:r>
      <w:proofErr w:type="spellEnd"/>
      <w:r w:rsidRPr="00A259BD">
        <w:rPr>
          <w:rFonts w:ascii="Times New Roman" w:hAnsi="Times New Roman"/>
          <w:color w:val="000000" w:themeColor="text1"/>
          <w:sz w:val="16"/>
          <w:szCs w:val="16"/>
        </w:rPr>
        <w:t xml:space="preserve">. отд., 15,7% </w:t>
      </w:r>
      <w:proofErr w:type="spellStart"/>
      <w:r w:rsidRPr="00A259BD">
        <w:rPr>
          <w:rFonts w:ascii="Times New Roman" w:hAnsi="Times New Roman"/>
          <w:color w:val="000000" w:themeColor="text1"/>
          <w:sz w:val="16"/>
          <w:szCs w:val="16"/>
        </w:rPr>
        <w:t>комкурсы</w:t>
      </w:r>
      <w:proofErr w:type="spellEnd"/>
      <w:r w:rsidRPr="00A259BD">
        <w:rPr>
          <w:rFonts w:ascii="Times New Roman" w:hAnsi="Times New Roman"/>
          <w:color w:val="000000" w:themeColor="text1"/>
          <w:sz w:val="16"/>
          <w:szCs w:val="16"/>
        </w:rPr>
        <w:t>.</w:t>
      </w:r>
    </w:p>
    <w:p w14:paraId="372C0B0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старой армии: 1,1%Академ., 3,7% воен. уч. </w:t>
      </w:r>
      <w:proofErr w:type="spellStart"/>
      <w:r w:rsidRPr="00A259BD">
        <w:rPr>
          <w:rFonts w:ascii="Times New Roman" w:hAnsi="Times New Roman"/>
          <w:color w:val="000000" w:themeColor="text1"/>
          <w:sz w:val="16"/>
          <w:szCs w:val="16"/>
        </w:rPr>
        <w:t>мирн</w:t>
      </w:r>
      <w:proofErr w:type="spellEnd"/>
      <w:r w:rsidRPr="00A259BD">
        <w:rPr>
          <w:rFonts w:ascii="Times New Roman" w:hAnsi="Times New Roman"/>
          <w:color w:val="000000" w:themeColor="text1"/>
          <w:sz w:val="16"/>
          <w:szCs w:val="16"/>
        </w:rPr>
        <w:t>. врем., 10,3% воен. уч. воен. врем. и шк. прапор.</w:t>
      </w:r>
    </w:p>
    <w:p w14:paraId="2FAF32F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 команды в ст. армии и б/воен. образ.: 17,2%</w:t>
      </w:r>
    </w:p>
    <w:p w14:paraId="6F43863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Итого: 67,1%с </w:t>
      </w:r>
      <w:proofErr w:type="spellStart"/>
      <w:r w:rsidRPr="00A259BD">
        <w:rPr>
          <w:rFonts w:ascii="Times New Roman" w:hAnsi="Times New Roman"/>
          <w:color w:val="000000" w:themeColor="text1"/>
          <w:sz w:val="16"/>
          <w:szCs w:val="16"/>
        </w:rPr>
        <w:t>достат</w:t>
      </w:r>
      <w:proofErr w:type="spellEnd"/>
      <w:r w:rsidRPr="00A259BD">
        <w:rPr>
          <w:rFonts w:ascii="Times New Roman" w:hAnsi="Times New Roman"/>
          <w:color w:val="000000" w:themeColor="text1"/>
          <w:sz w:val="16"/>
          <w:szCs w:val="16"/>
        </w:rPr>
        <w:t>. военным образ[</w:t>
      </w:r>
      <w:proofErr w:type="spellStart"/>
      <w:r w:rsidRPr="00A259BD">
        <w:rPr>
          <w:rFonts w:ascii="Times New Roman" w:hAnsi="Times New Roman"/>
          <w:color w:val="000000" w:themeColor="text1"/>
          <w:sz w:val="16"/>
          <w:szCs w:val="16"/>
        </w:rPr>
        <w:t>ованием</w:t>
      </w:r>
      <w:proofErr w:type="spellEnd"/>
      <w:r w:rsidRPr="00A259BD">
        <w:rPr>
          <w:rFonts w:ascii="Times New Roman" w:hAnsi="Times New Roman"/>
          <w:color w:val="000000" w:themeColor="text1"/>
          <w:sz w:val="16"/>
          <w:szCs w:val="16"/>
        </w:rPr>
        <w:t xml:space="preserve">], 32,9% без </w:t>
      </w:r>
      <w:proofErr w:type="spellStart"/>
      <w:r w:rsidRPr="00A259BD">
        <w:rPr>
          <w:rFonts w:ascii="Times New Roman" w:hAnsi="Times New Roman"/>
          <w:color w:val="000000" w:themeColor="text1"/>
          <w:sz w:val="16"/>
          <w:szCs w:val="16"/>
        </w:rPr>
        <w:t>достат</w:t>
      </w:r>
      <w:proofErr w:type="spellEnd"/>
      <w:r w:rsidRPr="00A259BD">
        <w:rPr>
          <w:rFonts w:ascii="Times New Roman" w:hAnsi="Times New Roman"/>
          <w:color w:val="000000" w:themeColor="text1"/>
          <w:sz w:val="16"/>
          <w:szCs w:val="16"/>
        </w:rPr>
        <w:t>. воен. образов.</w:t>
      </w:r>
    </w:p>
    <w:p w14:paraId="0C80232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w:t>
      </w:r>
    </w:p>
    <w:p w14:paraId="2AD153B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РККА: 5,1%Акад. и КУВНАС, 16,0% курсы усов., 49,5% воен. шк. и </w:t>
      </w:r>
      <w:proofErr w:type="spellStart"/>
      <w:r w:rsidRPr="00A259BD">
        <w:rPr>
          <w:rFonts w:ascii="Times New Roman" w:hAnsi="Times New Roman"/>
          <w:color w:val="000000" w:themeColor="text1"/>
          <w:sz w:val="16"/>
          <w:szCs w:val="16"/>
        </w:rPr>
        <w:t>повт</w:t>
      </w:r>
      <w:proofErr w:type="spellEnd"/>
      <w:r w:rsidRPr="00A259BD">
        <w:rPr>
          <w:rFonts w:ascii="Times New Roman" w:hAnsi="Times New Roman"/>
          <w:color w:val="000000" w:themeColor="text1"/>
          <w:sz w:val="16"/>
          <w:szCs w:val="16"/>
        </w:rPr>
        <w:t xml:space="preserve">. отд., 9,1% </w:t>
      </w:r>
      <w:proofErr w:type="spellStart"/>
      <w:r w:rsidRPr="00A259BD">
        <w:rPr>
          <w:rFonts w:ascii="Times New Roman" w:hAnsi="Times New Roman"/>
          <w:color w:val="000000" w:themeColor="text1"/>
          <w:sz w:val="16"/>
          <w:szCs w:val="16"/>
        </w:rPr>
        <w:t>комкурсы</w:t>
      </w:r>
      <w:proofErr w:type="spellEnd"/>
      <w:r w:rsidRPr="00A259BD">
        <w:rPr>
          <w:rFonts w:ascii="Times New Roman" w:hAnsi="Times New Roman"/>
          <w:color w:val="000000" w:themeColor="text1"/>
          <w:sz w:val="16"/>
          <w:szCs w:val="16"/>
        </w:rPr>
        <w:t>.</w:t>
      </w:r>
    </w:p>
    <w:p w14:paraId="3B85E82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старой армии: 1,0%Академ., 3,0% воен. уч. </w:t>
      </w:r>
      <w:proofErr w:type="spellStart"/>
      <w:r w:rsidRPr="00A259BD">
        <w:rPr>
          <w:rFonts w:ascii="Times New Roman" w:hAnsi="Times New Roman"/>
          <w:color w:val="000000" w:themeColor="text1"/>
          <w:sz w:val="16"/>
          <w:szCs w:val="16"/>
        </w:rPr>
        <w:t>мирн</w:t>
      </w:r>
      <w:proofErr w:type="spellEnd"/>
      <w:r w:rsidRPr="00A259BD">
        <w:rPr>
          <w:rFonts w:ascii="Times New Roman" w:hAnsi="Times New Roman"/>
          <w:color w:val="000000" w:themeColor="text1"/>
          <w:sz w:val="16"/>
          <w:szCs w:val="16"/>
        </w:rPr>
        <w:t>. врем., 7,7% воен. уч. воен. врем. и шк. прапор.</w:t>
      </w:r>
    </w:p>
    <w:p w14:paraId="1B27008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 команды в ст. армии и б/воен. образ.: 8,6%</w:t>
      </w:r>
    </w:p>
    <w:p w14:paraId="424ADF0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Итого: 82,3%с </w:t>
      </w:r>
      <w:proofErr w:type="spellStart"/>
      <w:r w:rsidRPr="00A259BD">
        <w:rPr>
          <w:rFonts w:ascii="Times New Roman" w:hAnsi="Times New Roman"/>
          <w:color w:val="000000" w:themeColor="text1"/>
          <w:sz w:val="16"/>
          <w:szCs w:val="16"/>
        </w:rPr>
        <w:t>достат</w:t>
      </w:r>
      <w:proofErr w:type="spellEnd"/>
      <w:r w:rsidRPr="00A259BD">
        <w:rPr>
          <w:rFonts w:ascii="Times New Roman" w:hAnsi="Times New Roman"/>
          <w:color w:val="000000" w:themeColor="text1"/>
          <w:sz w:val="16"/>
          <w:szCs w:val="16"/>
        </w:rPr>
        <w:t>. военным образ[</w:t>
      </w:r>
      <w:proofErr w:type="spellStart"/>
      <w:r w:rsidRPr="00A259BD">
        <w:rPr>
          <w:rFonts w:ascii="Times New Roman" w:hAnsi="Times New Roman"/>
          <w:color w:val="000000" w:themeColor="text1"/>
          <w:sz w:val="16"/>
          <w:szCs w:val="16"/>
        </w:rPr>
        <w:t>ованием</w:t>
      </w:r>
      <w:proofErr w:type="spellEnd"/>
      <w:r w:rsidRPr="00A259BD">
        <w:rPr>
          <w:rFonts w:ascii="Times New Roman" w:hAnsi="Times New Roman"/>
          <w:color w:val="000000" w:themeColor="text1"/>
          <w:sz w:val="16"/>
          <w:szCs w:val="16"/>
        </w:rPr>
        <w:t xml:space="preserve">], 17,7% без </w:t>
      </w:r>
      <w:proofErr w:type="spellStart"/>
      <w:r w:rsidRPr="00A259BD">
        <w:rPr>
          <w:rFonts w:ascii="Times New Roman" w:hAnsi="Times New Roman"/>
          <w:color w:val="000000" w:themeColor="text1"/>
          <w:sz w:val="16"/>
          <w:szCs w:val="16"/>
        </w:rPr>
        <w:t>достат</w:t>
      </w:r>
      <w:proofErr w:type="spellEnd"/>
      <w:r w:rsidRPr="00A259BD">
        <w:rPr>
          <w:rFonts w:ascii="Times New Roman" w:hAnsi="Times New Roman"/>
          <w:color w:val="000000" w:themeColor="text1"/>
          <w:sz w:val="16"/>
          <w:szCs w:val="16"/>
        </w:rPr>
        <w:t>. воен. образов.</w:t>
      </w:r>
    </w:p>
    <w:p w14:paraId="4D5BEA8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Здесь мы видим, прежде всего, рост комсостава с достаточной военной подготовкой в РККА, т.е. окончивших в ней ВУЗы не ниже нормальной военной школы. Процент этих лиц(три первые графы таблицы) возрос с 20,2% в 1924 году до 70,6% в 1927 г., т.е. в три с половиной раза.</w:t>
      </w:r>
    </w:p>
    <w:p w14:paraId="5A416A6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Что касается лиц с недостаточной военной подготовкой (окончившие в РККА краткосрочные </w:t>
      </w:r>
      <w:proofErr w:type="spellStart"/>
      <w:r w:rsidRPr="00A259BD">
        <w:rPr>
          <w:rFonts w:ascii="Times New Roman" w:hAnsi="Times New Roman"/>
          <w:color w:val="000000" w:themeColor="text1"/>
          <w:sz w:val="16"/>
          <w:szCs w:val="16"/>
        </w:rPr>
        <w:t>комкурсы</w:t>
      </w:r>
      <w:proofErr w:type="spellEnd"/>
      <w:r w:rsidRPr="00A259BD">
        <w:rPr>
          <w:rFonts w:ascii="Times New Roman" w:hAnsi="Times New Roman"/>
          <w:color w:val="000000" w:themeColor="text1"/>
          <w:sz w:val="16"/>
          <w:szCs w:val="16"/>
        </w:rPr>
        <w:t>, окончившие в старой армии учебные команды и лица вовсе без военного образования), то окончательная их численность довольно быстро убывает и процент их с 56,7% в 1924 г. снизился до 17,7[%] в 1927 году.</w:t>
      </w:r>
    </w:p>
    <w:p w14:paraId="1A9CBD9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Группа командиров, имеющих законченное военное образование в старой армии (академии и военные училища мирного времени), хотя и убывает в своей численности, но медленно и в силу лишь естественной убыли, так как это в большинстве своем опытные специалисты, служащие в Красной Армии сплошь и рядом с первых месяцев ее существования.</w:t>
      </w:r>
    </w:p>
    <w:p w14:paraId="0A21926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Несколько более быстрый темп уменьшения дает группа бывших офицеров военного времени. Уменьшение ее идет не только в силу естественной убыли, но также и за счет переобучения в ВУЗах Красной Армии. По статистическим данным на 1927 год 47,9% из их числа окончили ВУЗы в РККА (академии, КУВНС и курсы усовершенствования).</w:t>
      </w:r>
    </w:p>
    <w:p w14:paraId="44FA901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Группа комсостава без всякого военного образования состоит в большей своей части из лиц, выдвинутых Гражданской войной и приобретших за годы войны в процессе дальнейшей мирной работы большой служебный опыт и знания, усовершенствованные самообразованием. Ценность этой группы подтверждает факт ее крайне медленного уменьшения вплоть до 1926 года, и лишь в результате реорганизации осенью 1926 года, когда установка отчасти делалась на отсев именно этой группы, она сразу уменьшилась с 12 до 7 процентов.</w:t>
      </w:r>
    </w:p>
    <w:p w14:paraId="5B76F3A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Группа комсостава, окончившего нормальные военные школы, является в настоящее время (если учесть выпуск 1928 г., что еще не отражено в статистических материалах) абсолютно преобладающей группой, составляющей более 50% всего комсостава.</w:t>
      </w:r>
    </w:p>
    <w:p w14:paraId="7D6D84E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 же время ее значение не одинаково для различных групп комсостава (высшего, старшего и среднего). Естественно, что молодые командиры, выпускаемые из школ по должности командиров взводов, насыщают главным образом группу среднего командного состава, где они составляют 63,3%. Всё же и среди старшего командного состава по данным на 1/XII-1927 года было 6,4% окончивших военные школы, а среди высшего — 0,9%.</w:t>
      </w:r>
    </w:p>
    <w:p w14:paraId="6D90D08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Высший, старший и средний командный состав по своей военно-образовательной подготовке, вообще говоря, значительно отличаются друг от друга, что видно из ниже приводимой таблицы по статистическим материалам на 1 декабря 1927 года.</w:t>
      </w:r>
    </w:p>
    <w:p w14:paraId="679CF53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Высший комсостав</w:t>
      </w:r>
    </w:p>
    <w:p w14:paraId="0B77B93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РККА: 21,2%Академия, 19,6% КУВНАС, 2,8% курсы усов., 0,9% воен. школы, 3,9% </w:t>
      </w:r>
      <w:proofErr w:type="spellStart"/>
      <w:r w:rsidRPr="00A259BD">
        <w:rPr>
          <w:rFonts w:ascii="Times New Roman" w:hAnsi="Times New Roman"/>
          <w:color w:val="000000" w:themeColor="text1"/>
          <w:sz w:val="16"/>
          <w:szCs w:val="16"/>
        </w:rPr>
        <w:t>комкурсы</w:t>
      </w:r>
      <w:proofErr w:type="spellEnd"/>
      <w:r w:rsidRPr="00A259BD">
        <w:rPr>
          <w:rFonts w:ascii="Times New Roman" w:hAnsi="Times New Roman"/>
          <w:color w:val="000000" w:themeColor="text1"/>
          <w:sz w:val="16"/>
          <w:szCs w:val="16"/>
        </w:rPr>
        <w:t xml:space="preserve"> и др. ВУЗы РККА.</w:t>
      </w:r>
    </w:p>
    <w:p w14:paraId="0B0926F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старой армии: 16,3%Академия, 12,5% воен. уч. </w:t>
      </w:r>
      <w:proofErr w:type="spellStart"/>
      <w:r w:rsidRPr="00A259BD">
        <w:rPr>
          <w:rFonts w:ascii="Times New Roman" w:hAnsi="Times New Roman"/>
          <w:color w:val="000000" w:themeColor="text1"/>
          <w:sz w:val="16"/>
          <w:szCs w:val="16"/>
        </w:rPr>
        <w:t>мирн</w:t>
      </w:r>
      <w:proofErr w:type="spellEnd"/>
      <w:r w:rsidRPr="00A259BD">
        <w:rPr>
          <w:rFonts w:ascii="Times New Roman" w:hAnsi="Times New Roman"/>
          <w:color w:val="000000" w:themeColor="text1"/>
          <w:sz w:val="16"/>
          <w:szCs w:val="16"/>
        </w:rPr>
        <w:t>. врем., 11,7% воен. уч. воен. врем. и шк. прапор.</w:t>
      </w:r>
    </w:p>
    <w:p w14:paraId="7929474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Без военного образования: 11,1%</w:t>
      </w:r>
    </w:p>
    <w:p w14:paraId="3FA004F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Старший комсостав</w:t>
      </w:r>
    </w:p>
    <w:p w14:paraId="78EB954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РККА: 7,3%Академия, 5,3% КУВНАС, 18,4% курсы усов., 6,4% воен. школы, 15,3% </w:t>
      </w:r>
      <w:proofErr w:type="spellStart"/>
      <w:r w:rsidRPr="00A259BD">
        <w:rPr>
          <w:rFonts w:ascii="Times New Roman" w:hAnsi="Times New Roman"/>
          <w:color w:val="000000" w:themeColor="text1"/>
          <w:sz w:val="16"/>
          <w:szCs w:val="16"/>
        </w:rPr>
        <w:t>комкурсы</w:t>
      </w:r>
      <w:proofErr w:type="spellEnd"/>
      <w:r w:rsidRPr="00A259BD">
        <w:rPr>
          <w:rFonts w:ascii="Times New Roman" w:hAnsi="Times New Roman"/>
          <w:color w:val="000000" w:themeColor="text1"/>
          <w:sz w:val="16"/>
          <w:szCs w:val="16"/>
        </w:rPr>
        <w:t xml:space="preserve"> и др. ВУЗы РККА.</w:t>
      </w:r>
    </w:p>
    <w:p w14:paraId="00CBAAC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старой армии: 1,6%Академия, 9,5% воен. уч. </w:t>
      </w:r>
      <w:proofErr w:type="spellStart"/>
      <w:r w:rsidRPr="00A259BD">
        <w:rPr>
          <w:rFonts w:ascii="Times New Roman" w:hAnsi="Times New Roman"/>
          <w:color w:val="000000" w:themeColor="text1"/>
          <w:sz w:val="16"/>
          <w:szCs w:val="16"/>
        </w:rPr>
        <w:t>мирн</w:t>
      </w:r>
      <w:proofErr w:type="spellEnd"/>
      <w:r w:rsidRPr="00A259BD">
        <w:rPr>
          <w:rFonts w:ascii="Times New Roman" w:hAnsi="Times New Roman"/>
          <w:color w:val="000000" w:themeColor="text1"/>
          <w:sz w:val="16"/>
          <w:szCs w:val="16"/>
        </w:rPr>
        <w:t>. врем., 21,2% воен. уч. воен. врем. и шк. прапор.</w:t>
      </w:r>
    </w:p>
    <w:p w14:paraId="20644FD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Без военного образования: 15,6%</w:t>
      </w:r>
    </w:p>
    <w:p w14:paraId="4356DA7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Средний комсостав</w:t>
      </w:r>
    </w:p>
    <w:p w14:paraId="760909B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РККА: 0,1% Академия, 1,0% КУВНАС, 4,8% курсы усов., 63,3% воен. школы, 19,3% </w:t>
      </w:r>
      <w:proofErr w:type="spellStart"/>
      <w:r w:rsidRPr="00A259BD">
        <w:rPr>
          <w:rFonts w:ascii="Times New Roman" w:hAnsi="Times New Roman"/>
          <w:color w:val="000000" w:themeColor="text1"/>
          <w:sz w:val="16"/>
          <w:szCs w:val="16"/>
        </w:rPr>
        <w:t>комкурсы</w:t>
      </w:r>
      <w:proofErr w:type="spellEnd"/>
      <w:r w:rsidRPr="00A259BD">
        <w:rPr>
          <w:rFonts w:ascii="Times New Roman" w:hAnsi="Times New Roman"/>
          <w:color w:val="000000" w:themeColor="text1"/>
          <w:sz w:val="16"/>
          <w:szCs w:val="16"/>
        </w:rPr>
        <w:t xml:space="preserve"> и др. ВУЗы РККА.</w:t>
      </w:r>
    </w:p>
    <w:p w14:paraId="53C7D12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старой армии:-Академия, 0,9% воен. уч. </w:t>
      </w:r>
      <w:proofErr w:type="spellStart"/>
      <w:r w:rsidRPr="00A259BD">
        <w:rPr>
          <w:rFonts w:ascii="Times New Roman" w:hAnsi="Times New Roman"/>
          <w:color w:val="000000" w:themeColor="text1"/>
          <w:sz w:val="16"/>
          <w:szCs w:val="16"/>
        </w:rPr>
        <w:t>мирн</w:t>
      </w:r>
      <w:proofErr w:type="spellEnd"/>
      <w:r w:rsidRPr="00A259BD">
        <w:rPr>
          <w:rFonts w:ascii="Times New Roman" w:hAnsi="Times New Roman"/>
          <w:color w:val="000000" w:themeColor="text1"/>
          <w:sz w:val="16"/>
          <w:szCs w:val="16"/>
        </w:rPr>
        <w:t>. врем., 3,9% воен. уч. воен. врем. и шк. прапор.</w:t>
      </w:r>
    </w:p>
    <w:p w14:paraId="33B0C80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Без военного образования: 6,7%</w:t>
      </w:r>
    </w:p>
    <w:p w14:paraId="1FF660C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Весь комсостав</w:t>
      </w:r>
    </w:p>
    <w:p w14:paraId="49EA860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РККА: 2,4% Академия, 2,7% КУВНАС, 7,3% курсы усов., 49,5% воен. школы, 17,8% </w:t>
      </w:r>
      <w:proofErr w:type="spellStart"/>
      <w:r w:rsidRPr="00A259BD">
        <w:rPr>
          <w:rFonts w:ascii="Times New Roman" w:hAnsi="Times New Roman"/>
          <w:color w:val="000000" w:themeColor="text1"/>
          <w:sz w:val="16"/>
          <w:szCs w:val="16"/>
        </w:rPr>
        <w:t>комкурсы</w:t>
      </w:r>
      <w:proofErr w:type="spellEnd"/>
      <w:r w:rsidRPr="00A259BD">
        <w:rPr>
          <w:rFonts w:ascii="Times New Roman" w:hAnsi="Times New Roman"/>
          <w:color w:val="000000" w:themeColor="text1"/>
          <w:sz w:val="16"/>
          <w:szCs w:val="16"/>
        </w:rPr>
        <w:t xml:space="preserve"> и др. ВУЗы РККА.</w:t>
      </w:r>
    </w:p>
    <w:p w14:paraId="4524CA6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старой армии: 1,0%Академия, 3,0% воен. уч. </w:t>
      </w:r>
      <w:proofErr w:type="spellStart"/>
      <w:r w:rsidRPr="00A259BD">
        <w:rPr>
          <w:rFonts w:ascii="Times New Roman" w:hAnsi="Times New Roman"/>
          <w:color w:val="000000" w:themeColor="text1"/>
          <w:sz w:val="16"/>
          <w:szCs w:val="16"/>
        </w:rPr>
        <w:t>мирн</w:t>
      </w:r>
      <w:proofErr w:type="spellEnd"/>
      <w:r w:rsidRPr="00A259BD">
        <w:rPr>
          <w:rFonts w:ascii="Times New Roman" w:hAnsi="Times New Roman"/>
          <w:color w:val="000000" w:themeColor="text1"/>
          <w:sz w:val="16"/>
          <w:szCs w:val="16"/>
        </w:rPr>
        <w:t>. врем., 7,7% воен. уч. воен. врем. и шк. прапор.</w:t>
      </w:r>
    </w:p>
    <w:p w14:paraId="2F75C80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Без военного образования: 8,6%</w:t>
      </w:r>
    </w:p>
    <w:p w14:paraId="5487A2F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Как видно из этой таблицы, среди высшего комсостава довольно значительна группа лиц, имеющих высшее военное образование, полученное в РККА (академии и КУВНАС). Таких лиц мы имеем здесь 40,8%. Следующей почти одинаковой по величине группой у высшего комсостава являются лица, получившие военное образование в старой армии, </w:t>
      </w:r>
      <w:proofErr w:type="spellStart"/>
      <w:r w:rsidRPr="00A259BD">
        <w:rPr>
          <w:rFonts w:ascii="Times New Roman" w:hAnsi="Times New Roman"/>
          <w:color w:val="000000" w:themeColor="text1"/>
          <w:sz w:val="16"/>
          <w:szCs w:val="16"/>
        </w:rPr>
        <w:t>которыхнасчитывается</w:t>
      </w:r>
      <w:proofErr w:type="spellEnd"/>
      <w:r w:rsidRPr="00A259BD">
        <w:rPr>
          <w:rFonts w:ascii="Times New Roman" w:hAnsi="Times New Roman"/>
          <w:color w:val="000000" w:themeColor="text1"/>
          <w:sz w:val="16"/>
          <w:szCs w:val="16"/>
        </w:rPr>
        <w:t xml:space="preserve"> 40,5%. Остальные 18,7% приходятся на лиц: без военного образования (11,1%) и окончивших в РККА курсы усовершенствования, военные школы и краткосрочные </w:t>
      </w:r>
      <w:proofErr w:type="spellStart"/>
      <w:r w:rsidRPr="00A259BD">
        <w:rPr>
          <w:rFonts w:ascii="Times New Roman" w:hAnsi="Times New Roman"/>
          <w:color w:val="000000" w:themeColor="text1"/>
          <w:sz w:val="16"/>
          <w:szCs w:val="16"/>
        </w:rPr>
        <w:t>комкурсы</w:t>
      </w:r>
      <w:proofErr w:type="spellEnd"/>
      <w:r w:rsidRPr="00A259BD">
        <w:rPr>
          <w:rFonts w:ascii="Times New Roman" w:hAnsi="Times New Roman"/>
          <w:color w:val="000000" w:themeColor="text1"/>
          <w:sz w:val="16"/>
          <w:szCs w:val="16"/>
        </w:rPr>
        <w:t xml:space="preserve"> (7,6%).</w:t>
      </w:r>
    </w:p>
    <w:p w14:paraId="728493B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 старшего командного состава преобладающей группой является комсостав с образованием в старой армии (бывшие офицеры мирного и военного времени), которых насчитывается 32,3%. Затем идут: группа окончивших курсы усовершенствования в РККА — 18,4%, академии и КУВНАС — 12,6%, </w:t>
      </w:r>
      <w:proofErr w:type="spellStart"/>
      <w:r w:rsidRPr="00A259BD">
        <w:rPr>
          <w:rFonts w:ascii="Times New Roman" w:hAnsi="Times New Roman"/>
          <w:color w:val="000000" w:themeColor="text1"/>
          <w:sz w:val="16"/>
          <w:szCs w:val="16"/>
        </w:rPr>
        <w:t>комкурсы</w:t>
      </w:r>
      <w:proofErr w:type="spellEnd"/>
      <w:r w:rsidRPr="00A259BD">
        <w:rPr>
          <w:rFonts w:ascii="Times New Roman" w:hAnsi="Times New Roman"/>
          <w:color w:val="000000" w:themeColor="text1"/>
          <w:sz w:val="16"/>
          <w:szCs w:val="16"/>
        </w:rPr>
        <w:t xml:space="preserve"> — 15,3% и комсостав без военного образования — 15,0%. Группа лиц без военного образования у старшего комсостава относительно больше, чем у высшего и среднего, но она, как отмечалось выше, состоит из командиров, ценных своим боевым опытом и практическими знаниями, полученными в течение 8-летней мирной работы в армии.</w:t>
      </w:r>
    </w:p>
    <w:p w14:paraId="632371C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Группа среднего командного состава в основной своей массе состоит из окончивших в РККА военные школы (63,3%) и краткосрочные </w:t>
      </w:r>
      <w:proofErr w:type="spellStart"/>
      <w:r w:rsidRPr="00A259BD">
        <w:rPr>
          <w:rFonts w:ascii="Times New Roman" w:hAnsi="Times New Roman"/>
          <w:color w:val="000000" w:themeColor="text1"/>
          <w:sz w:val="16"/>
          <w:szCs w:val="16"/>
        </w:rPr>
        <w:t>комкурсы</w:t>
      </w:r>
      <w:proofErr w:type="spellEnd"/>
      <w:r w:rsidRPr="00A259BD">
        <w:rPr>
          <w:rFonts w:ascii="Times New Roman" w:hAnsi="Times New Roman"/>
          <w:color w:val="000000" w:themeColor="text1"/>
          <w:sz w:val="16"/>
          <w:szCs w:val="16"/>
        </w:rPr>
        <w:t xml:space="preserve"> (19,3%). Группа бывших офицеров здесь уже незначительна — 4,8% и также мала группа комсостава без военного образования — 6,7%.</w:t>
      </w:r>
    </w:p>
    <w:p w14:paraId="61CFBB4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общем итоге по всему командному составу мы имеем:</w:t>
      </w:r>
    </w:p>
    <w:p w14:paraId="7950552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лиц с военным образованием в РККА — 79,7%,</w:t>
      </w:r>
    </w:p>
    <w:p w14:paraId="19E09D0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[лиц с военным образованием] только в ст. армии — 11,7%,</w:t>
      </w:r>
    </w:p>
    <w:p w14:paraId="58F3FA5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лиц без военного образования — 8,6%.</w:t>
      </w:r>
    </w:p>
    <w:p w14:paraId="22D8BB2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4.Общее образование.</w:t>
      </w:r>
    </w:p>
    <w:p w14:paraId="6F91445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общеобразовательному признаку комсостава мы имеем за последние три года следующие данные [в процентах]:</w:t>
      </w:r>
    </w:p>
    <w:p w14:paraId="32F8017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высшим образован.: 2,8 - 1924, 1,8 - 1925, 1,8 - 1926, 1,6 - 1927;</w:t>
      </w:r>
    </w:p>
    <w:p w14:paraId="6F5D2B3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 средним образован.: 35,5 - 1924, 26,0 - 1925, 24,0 - 1926, 21,7 - 1927;</w:t>
      </w:r>
    </w:p>
    <w:p w14:paraId="6450AA6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низшим образован.: 61,7 - 1924, 72,2 - 1925, 74,2 - 1926, 76,7 - 1927.</w:t>
      </w:r>
    </w:p>
    <w:p w14:paraId="05A663A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 видно из этой таблицы общее образование нашего комсостава состоит не только на низком уровне (3/4 с низшим образованием), но кроме того, из года в год процент комсостава с общим образованием не ниже среднего уменьшается. Причина этому та, что в наши нормальные школы идет очень мало молодежи с законченным средним образованием. Правда, в процессе прохождения курса военной школы, они получают и общегражданское образование, но при трехлетием сроке обучения и максимально нагруженной военной и политической программе на долю общеобразовательной подготовки остается очень немного.</w:t>
      </w:r>
    </w:p>
    <w:p w14:paraId="5B4A9C0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Эта сторона дела (комплектование наших школ переменным составом) требует серьезного внимания, т.к. высокая боевая подготовка командных кадров немыслима без солидной общей подготовки, которая является основной базой всякого прогресса. Что было неизбежно и терпимо в период Гражданской войны и в первые годы ее окончания, то не может быть терпимо теперь, на 11 году существования Красной Армии, в условиях повышенных культурных требований красноармейца и его политического роста.</w:t>
      </w:r>
    </w:p>
    <w:p w14:paraId="585134A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Приведенный выше процент комсостава с низшим общим образованием (76,7% на 1927 г.) формально можно было бы уменьшить до 40%, так как распоряжением Наркомпроса </w:t>
      </w:r>
      <w:proofErr w:type="spellStart"/>
      <w:r w:rsidRPr="00A259BD">
        <w:rPr>
          <w:rFonts w:ascii="Times New Roman" w:hAnsi="Times New Roman"/>
          <w:color w:val="000000" w:themeColor="text1"/>
          <w:sz w:val="16"/>
          <w:szCs w:val="16"/>
        </w:rPr>
        <w:t>окончившиевоенные</w:t>
      </w:r>
      <w:proofErr w:type="spellEnd"/>
      <w:r w:rsidRPr="00A259BD">
        <w:rPr>
          <w:rFonts w:ascii="Times New Roman" w:hAnsi="Times New Roman"/>
          <w:color w:val="000000" w:themeColor="text1"/>
          <w:sz w:val="16"/>
          <w:szCs w:val="16"/>
        </w:rPr>
        <w:t xml:space="preserve"> школы приравниваются по общеобразовательному цензу к окончившим школы 2 ступени, но фактически это будет неверно. Результаты приемных экзаменов в академии полностью подтверждают это, так как среди поступивших отмечается значительное число лиц со слабой подготовкой именно по общеобразовательным предметам.</w:t>
      </w:r>
    </w:p>
    <w:p w14:paraId="3E5EB32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5.Служба в старой армии.</w:t>
      </w:r>
    </w:p>
    <w:p w14:paraId="520BC4F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признаку служебного положения (чина) в старой армии мы имеем следующий цифровой материал:</w:t>
      </w:r>
    </w:p>
    <w:p w14:paraId="28913EB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1924</w:t>
      </w:r>
    </w:p>
    <w:p w14:paraId="671F77F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Генералов - 0,3%</w:t>
      </w:r>
    </w:p>
    <w:p w14:paraId="3D49891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Штаб-офицеров - 2,2%</w:t>
      </w:r>
    </w:p>
    <w:p w14:paraId="491CC25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Обер-офицеров - 27,9%</w:t>
      </w:r>
    </w:p>
    <w:p w14:paraId="6F5984E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 офицеров - 30,4%</w:t>
      </w:r>
    </w:p>
    <w:p w14:paraId="584BD22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Подпрапорщики, </w:t>
      </w:r>
      <w:proofErr w:type="spellStart"/>
      <w:r w:rsidRPr="00A259BD">
        <w:rPr>
          <w:rFonts w:ascii="Times New Roman" w:hAnsi="Times New Roman"/>
          <w:color w:val="000000" w:themeColor="text1"/>
          <w:sz w:val="16"/>
          <w:szCs w:val="16"/>
        </w:rPr>
        <w:t>фельдф</w:t>
      </w:r>
      <w:proofErr w:type="spellEnd"/>
      <w:r w:rsidRPr="00A259BD">
        <w:rPr>
          <w:rFonts w:ascii="Times New Roman" w:hAnsi="Times New Roman"/>
          <w:color w:val="000000" w:themeColor="text1"/>
          <w:sz w:val="16"/>
          <w:szCs w:val="16"/>
        </w:rPr>
        <w:t>., и унтер-офиц. - 17,4%</w:t>
      </w:r>
    </w:p>
    <w:p w14:paraId="6FCA0C5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Воен. </w:t>
      </w:r>
      <w:proofErr w:type="spellStart"/>
      <w:r w:rsidRPr="00A259BD">
        <w:rPr>
          <w:rFonts w:ascii="Times New Roman" w:hAnsi="Times New Roman"/>
          <w:color w:val="000000" w:themeColor="text1"/>
          <w:sz w:val="16"/>
          <w:szCs w:val="16"/>
        </w:rPr>
        <w:t>чиновн</w:t>
      </w:r>
      <w:proofErr w:type="spellEnd"/>
      <w:r w:rsidRPr="00A259BD">
        <w:rPr>
          <w:rFonts w:ascii="Times New Roman" w:hAnsi="Times New Roman"/>
          <w:color w:val="000000" w:themeColor="text1"/>
          <w:sz w:val="16"/>
          <w:szCs w:val="16"/>
        </w:rPr>
        <w:t>. - 2,4%</w:t>
      </w:r>
    </w:p>
    <w:p w14:paraId="35484E3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Рядовых - 10,9%</w:t>
      </w:r>
    </w:p>
    <w:p w14:paraId="31ED109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служившие в старой армии - 38,9%</w:t>
      </w:r>
    </w:p>
    <w:p w14:paraId="6EA303D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1925</w:t>
      </w:r>
    </w:p>
    <w:p w14:paraId="7ED740C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Генералов - 0,4%</w:t>
      </w:r>
    </w:p>
    <w:p w14:paraId="22DCB48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Штаб-офицеров - 2.1%</w:t>
      </w:r>
    </w:p>
    <w:p w14:paraId="0806C61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Обер-офицеров - 21,9%</w:t>
      </w:r>
    </w:p>
    <w:p w14:paraId="06E9029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 офицеров - 24,4%</w:t>
      </w:r>
    </w:p>
    <w:p w14:paraId="34145BB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Подпрапорщики, </w:t>
      </w:r>
      <w:proofErr w:type="spellStart"/>
      <w:r w:rsidRPr="00A259BD">
        <w:rPr>
          <w:rFonts w:ascii="Times New Roman" w:hAnsi="Times New Roman"/>
          <w:color w:val="000000" w:themeColor="text1"/>
          <w:sz w:val="16"/>
          <w:szCs w:val="16"/>
        </w:rPr>
        <w:t>фельдф</w:t>
      </w:r>
      <w:proofErr w:type="spellEnd"/>
      <w:r w:rsidRPr="00A259BD">
        <w:rPr>
          <w:rFonts w:ascii="Times New Roman" w:hAnsi="Times New Roman"/>
          <w:color w:val="000000" w:themeColor="text1"/>
          <w:sz w:val="16"/>
          <w:szCs w:val="16"/>
        </w:rPr>
        <w:t>., и унтер-офиц. - 16,0%</w:t>
      </w:r>
    </w:p>
    <w:p w14:paraId="0C0ED8D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Воен. </w:t>
      </w:r>
      <w:proofErr w:type="spellStart"/>
      <w:r w:rsidRPr="00A259BD">
        <w:rPr>
          <w:rFonts w:ascii="Times New Roman" w:hAnsi="Times New Roman"/>
          <w:color w:val="000000" w:themeColor="text1"/>
          <w:sz w:val="16"/>
          <w:szCs w:val="16"/>
        </w:rPr>
        <w:t>чиновн</w:t>
      </w:r>
      <w:proofErr w:type="spellEnd"/>
      <w:r w:rsidRPr="00A259BD">
        <w:rPr>
          <w:rFonts w:ascii="Times New Roman" w:hAnsi="Times New Roman"/>
          <w:color w:val="000000" w:themeColor="text1"/>
          <w:sz w:val="16"/>
          <w:szCs w:val="16"/>
        </w:rPr>
        <w:t>. - 2,5%</w:t>
      </w:r>
    </w:p>
    <w:p w14:paraId="30A2734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Рядовых - 10,7%</w:t>
      </w:r>
    </w:p>
    <w:p w14:paraId="632D07D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служившие в старой армии - 46,4%</w:t>
      </w:r>
    </w:p>
    <w:p w14:paraId="5193956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1926</w:t>
      </w:r>
    </w:p>
    <w:p w14:paraId="25D794B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Генералов - 0,4%</w:t>
      </w:r>
    </w:p>
    <w:p w14:paraId="5A720E5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Штаб-офицеров - 1,8%</w:t>
      </w:r>
    </w:p>
    <w:p w14:paraId="649C3CB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Обер-офицеров - 19,5%</w:t>
      </w:r>
    </w:p>
    <w:p w14:paraId="58D181D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Итого офицеров - 21,7%</w:t>
      </w:r>
    </w:p>
    <w:p w14:paraId="786F9EC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Подпрапорщики, </w:t>
      </w:r>
      <w:proofErr w:type="spellStart"/>
      <w:r w:rsidRPr="00A259BD">
        <w:rPr>
          <w:rFonts w:ascii="Times New Roman" w:hAnsi="Times New Roman"/>
          <w:color w:val="000000" w:themeColor="text1"/>
          <w:sz w:val="16"/>
          <w:szCs w:val="16"/>
        </w:rPr>
        <w:t>фельдф</w:t>
      </w:r>
      <w:proofErr w:type="spellEnd"/>
      <w:r w:rsidRPr="00A259BD">
        <w:rPr>
          <w:rFonts w:ascii="Times New Roman" w:hAnsi="Times New Roman"/>
          <w:color w:val="000000" w:themeColor="text1"/>
          <w:sz w:val="16"/>
          <w:szCs w:val="16"/>
        </w:rPr>
        <w:t>., и унтер-офиц. - 14,7%</w:t>
      </w:r>
    </w:p>
    <w:p w14:paraId="6D2BFC0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Воен. </w:t>
      </w:r>
      <w:proofErr w:type="spellStart"/>
      <w:r w:rsidRPr="00A259BD">
        <w:rPr>
          <w:rFonts w:ascii="Times New Roman" w:hAnsi="Times New Roman"/>
          <w:color w:val="000000" w:themeColor="text1"/>
          <w:sz w:val="16"/>
          <w:szCs w:val="16"/>
        </w:rPr>
        <w:t>чиновн</w:t>
      </w:r>
      <w:proofErr w:type="spellEnd"/>
      <w:r w:rsidRPr="00A259BD">
        <w:rPr>
          <w:rFonts w:ascii="Times New Roman" w:hAnsi="Times New Roman"/>
          <w:color w:val="000000" w:themeColor="text1"/>
          <w:sz w:val="16"/>
          <w:szCs w:val="16"/>
        </w:rPr>
        <w:t>. - 2,2%</w:t>
      </w:r>
    </w:p>
    <w:p w14:paraId="4B71A05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Рядовых - 9,6%</w:t>
      </w:r>
    </w:p>
    <w:p w14:paraId="6121222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служившие в старой армии - 51,8%</w:t>
      </w:r>
    </w:p>
    <w:p w14:paraId="4F28891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w:t>
      </w:r>
    </w:p>
    <w:p w14:paraId="611F028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Генералов - 0,4%</w:t>
      </w:r>
    </w:p>
    <w:p w14:paraId="7DB1CFF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Штаб-офицеров - 1,6%</w:t>
      </w:r>
    </w:p>
    <w:p w14:paraId="2983EA0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Обер-офицеров - 17,6%</w:t>
      </w:r>
    </w:p>
    <w:p w14:paraId="44B7054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 офицеров - 19,6%</w:t>
      </w:r>
    </w:p>
    <w:p w14:paraId="3C519D9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Подпрапорщики, </w:t>
      </w:r>
      <w:proofErr w:type="spellStart"/>
      <w:r w:rsidRPr="00A259BD">
        <w:rPr>
          <w:rFonts w:ascii="Times New Roman" w:hAnsi="Times New Roman"/>
          <w:color w:val="000000" w:themeColor="text1"/>
          <w:sz w:val="16"/>
          <w:szCs w:val="16"/>
        </w:rPr>
        <w:t>фельдф</w:t>
      </w:r>
      <w:proofErr w:type="spellEnd"/>
      <w:r w:rsidRPr="00A259BD">
        <w:rPr>
          <w:rFonts w:ascii="Times New Roman" w:hAnsi="Times New Roman"/>
          <w:color w:val="000000" w:themeColor="text1"/>
          <w:sz w:val="16"/>
          <w:szCs w:val="16"/>
        </w:rPr>
        <w:t>., и унтер-офиц. - 11,2%</w:t>
      </w:r>
    </w:p>
    <w:p w14:paraId="2217001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Воен. </w:t>
      </w:r>
      <w:proofErr w:type="spellStart"/>
      <w:r w:rsidRPr="00A259BD">
        <w:rPr>
          <w:rFonts w:ascii="Times New Roman" w:hAnsi="Times New Roman"/>
          <w:color w:val="000000" w:themeColor="text1"/>
          <w:sz w:val="16"/>
          <w:szCs w:val="16"/>
        </w:rPr>
        <w:t>чиновн</w:t>
      </w:r>
      <w:proofErr w:type="spellEnd"/>
      <w:r w:rsidRPr="00A259BD">
        <w:rPr>
          <w:rFonts w:ascii="Times New Roman" w:hAnsi="Times New Roman"/>
          <w:color w:val="000000" w:themeColor="text1"/>
          <w:sz w:val="16"/>
          <w:szCs w:val="16"/>
        </w:rPr>
        <w:t>. - 1,6%</w:t>
      </w:r>
    </w:p>
    <w:p w14:paraId="676C786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Рядовых - 10,0%</w:t>
      </w:r>
    </w:p>
    <w:p w14:paraId="475505A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служившие в старой армии - 57,6%</w:t>
      </w:r>
    </w:p>
    <w:p w14:paraId="23C5BA0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 видно отсюда общее количество комсостава, не служившего в старой армии, к настоящему времени достигает почти двух третей (на 1927 г. — 57,6%). За счет естественного увеличения этой прослойки происходит соответствующее уменьшение всех других групп.</w:t>
      </w:r>
    </w:p>
    <w:p w14:paraId="737E250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6.Характеристика комсостава центрального и окружного аппаратов и войсковых штабов (корпусов, дивизий, полков).</w:t>
      </w:r>
    </w:p>
    <w:p w14:paraId="4960A91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Выше приведена была характеристика командного состава Красной Армии в целом. Что же касается комсостава управленческого аппарата, то он во многих отношениях разнится от строевого комсостава.</w:t>
      </w:r>
    </w:p>
    <w:p w14:paraId="1C43758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Штабы, учреждения и управления, прежде всего, имеют значительно меньшую партийную и рабочую прослойку по сравнению не только со строевым, но даже и со всем комсоставом в целом. Так, по центральному аппарату мы имеем 69,6% беспартийного комсостава и у комсостава окружных и войсковых штабов — 68,1%, тогда как соответствующий процент для всего комсостава составляет 43,0%, а для строевого — 35,3%. Более подробно это видно из ниже помещаемой таблицы:</w:t>
      </w:r>
    </w:p>
    <w:p w14:paraId="630183C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партийности</w:t>
      </w:r>
    </w:p>
    <w:p w14:paraId="4C29562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Центр. аппарат: 30,3% членов ВКП(б) и кандидатов, 0,1% члены ВЛКСМ, 69,6% б/п;</w:t>
      </w:r>
    </w:p>
    <w:p w14:paraId="68DB602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Окружной [аппарат]: 34,8% членов ВКП(б) и кандидатов, - члены ВЛКСМ, 65,2% б/п;</w:t>
      </w:r>
    </w:p>
    <w:p w14:paraId="43056CC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Штабы корпусов: 29,9% членов ВКП(б) и кандидатов, - члены ВЛКСМ, 70,1% б/п;</w:t>
      </w:r>
    </w:p>
    <w:p w14:paraId="422BAEC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[Штабы] дивизий: 30,8% членов ВКП(б) и кандидатов, - члены ВЛКСМ, 69,2% б/п;</w:t>
      </w:r>
    </w:p>
    <w:p w14:paraId="20DC7B2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[Штабы] полков: 31,0% членов ВКП(б) и кандидатов, 0,1% члены ВЛКСМ, 68,9% б/п;</w:t>
      </w:r>
    </w:p>
    <w:p w14:paraId="456E75B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 комсостав РККА: 56,8% членов ВКП(б) и кандидатов, 7,9% члены ВЛКСМ, 35,3% б/п.</w:t>
      </w:r>
    </w:p>
    <w:p w14:paraId="39A6DDC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социальному происхождению</w:t>
      </w:r>
    </w:p>
    <w:p w14:paraId="5197BFA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Центр. аппарат: 9,7% из рабочих, 27,6% из крестьян, 62,7% из прочих;</w:t>
      </w:r>
    </w:p>
    <w:p w14:paraId="45A0AD7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Окружной [аппарат]: 10,0% из рабочих, 39,1% из крестьян, 50,9% из прочих;</w:t>
      </w:r>
    </w:p>
    <w:p w14:paraId="402B2D0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Штабы корпусов: 16,5% из рабочих, 21,7% из крестьян, 61,8% из прочих;</w:t>
      </w:r>
    </w:p>
    <w:p w14:paraId="536B695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[Штабы] дивизий: 14,5% из рабочих, 41,6% из крестьян, 43,9% из прочих;</w:t>
      </w:r>
    </w:p>
    <w:p w14:paraId="5AB51BD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[Штабы] полков: 15,0% из рабочих, 42,4% из крестьян, 42,6% из прочих;</w:t>
      </w:r>
    </w:p>
    <w:p w14:paraId="70FA4D9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 комсостав РККА: 25,1% из рабочих, 61,1% из крестьян, 13,8% из прочих.</w:t>
      </w:r>
    </w:p>
    <w:p w14:paraId="4D7F7A1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другой стороны, комсостав штабов и управлений отличается от строевого комсостава и по своей военной подготовке. Здесь мы находим большое количество комсостава с высшим военным образованием, а также высокий процент </w:t>
      </w:r>
      <w:proofErr w:type="spellStart"/>
      <w:r w:rsidRPr="00A259BD">
        <w:rPr>
          <w:rFonts w:ascii="Times New Roman" w:hAnsi="Times New Roman"/>
          <w:color w:val="000000" w:themeColor="text1"/>
          <w:sz w:val="16"/>
          <w:szCs w:val="16"/>
        </w:rPr>
        <w:t>бывш</w:t>
      </w:r>
      <w:proofErr w:type="spellEnd"/>
      <w:r w:rsidRPr="00A259BD">
        <w:rPr>
          <w:rFonts w:ascii="Times New Roman" w:hAnsi="Times New Roman"/>
          <w:color w:val="000000" w:themeColor="text1"/>
          <w:sz w:val="16"/>
          <w:szCs w:val="16"/>
        </w:rPr>
        <w:t>[их] офицеров, с другой же стороны, в центральном аппарате имеем 20,1% комсостава без военного образования. Это последнее обстоятельство не является показателем малой квалификации комсостава центрального аппарата, так как ряд командных должностей имеет здесь по существу административный характер и требует скорее большего общего служебного стажа, чем военной подготовки. Данные о военном преобразовании штабного комсостава таковы:</w:t>
      </w:r>
    </w:p>
    <w:p w14:paraId="2E7A9A5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Центр[</w:t>
      </w:r>
      <w:proofErr w:type="spellStart"/>
      <w:r w:rsidRPr="00A259BD">
        <w:rPr>
          <w:rFonts w:ascii="Times New Roman" w:hAnsi="Times New Roman"/>
          <w:color w:val="000000" w:themeColor="text1"/>
          <w:sz w:val="16"/>
          <w:szCs w:val="16"/>
        </w:rPr>
        <w:t>альный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аппар</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ат</w:t>
      </w:r>
      <w:proofErr w:type="spellEnd"/>
      <w:r w:rsidRPr="00A259BD">
        <w:rPr>
          <w:rFonts w:ascii="Times New Roman" w:hAnsi="Times New Roman"/>
          <w:color w:val="000000" w:themeColor="text1"/>
          <w:sz w:val="16"/>
          <w:szCs w:val="16"/>
        </w:rPr>
        <w:t>]</w:t>
      </w:r>
    </w:p>
    <w:p w14:paraId="307FF65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РККА: 28,9% Академия и КУВНАС, 9,0% курсы усовершенствования, 1,2% военные школы, 0,8% </w:t>
      </w:r>
      <w:proofErr w:type="spellStart"/>
      <w:r w:rsidRPr="00A259BD">
        <w:rPr>
          <w:rFonts w:ascii="Times New Roman" w:hAnsi="Times New Roman"/>
          <w:color w:val="000000" w:themeColor="text1"/>
          <w:sz w:val="16"/>
          <w:szCs w:val="16"/>
        </w:rPr>
        <w:t>комкурсы</w:t>
      </w:r>
      <w:proofErr w:type="spellEnd"/>
      <w:r w:rsidRPr="00A259BD">
        <w:rPr>
          <w:rFonts w:ascii="Times New Roman" w:hAnsi="Times New Roman"/>
          <w:color w:val="000000" w:themeColor="text1"/>
          <w:sz w:val="16"/>
          <w:szCs w:val="16"/>
        </w:rPr>
        <w:t xml:space="preserve"> и др. ВУЗы.</w:t>
      </w:r>
    </w:p>
    <w:p w14:paraId="381A2F5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старой армии: 9,9%Академия, 12,7% воен. уч. </w:t>
      </w:r>
      <w:proofErr w:type="spellStart"/>
      <w:r w:rsidRPr="00A259BD">
        <w:rPr>
          <w:rFonts w:ascii="Times New Roman" w:hAnsi="Times New Roman"/>
          <w:color w:val="000000" w:themeColor="text1"/>
          <w:sz w:val="16"/>
          <w:szCs w:val="16"/>
        </w:rPr>
        <w:t>мирн</w:t>
      </w:r>
      <w:proofErr w:type="spellEnd"/>
      <w:r w:rsidRPr="00A259BD">
        <w:rPr>
          <w:rFonts w:ascii="Times New Roman" w:hAnsi="Times New Roman"/>
          <w:color w:val="000000" w:themeColor="text1"/>
          <w:sz w:val="16"/>
          <w:szCs w:val="16"/>
        </w:rPr>
        <w:t>. врем., 14,1% воен. уч. воен. врем. и шк. прапор., 3,3% учебные команды.</w:t>
      </w:r>
    </w:p>
    <w:p w14:paraId="5F95E36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Без военного образования: 20,1%</w:t>
      </w:r>
    </w:p>
    <w:p w14:paraId="1440FFD8"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Окружн</w:t>
      </w:r>
      <w:proofErr w:type="spellEnd"/>
      <w:r w:rsidRPr="00A259BD">
        <w:rPr>
          <w:rFonts w:ascii="Times New Roman" w:hAnsi="Times New Roman"/>
          <w:color w:val="000000" w:themeColor="text1"/>
          <w:sz w:val="16"/>
          <w:szCs w:val="16"/>
        </w:rPr>
        <w:t>[ой] [аппарат]</w:t>
      </w:r>
    </w:p>
    <w:p w14:paraId="1CA3C1C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РККА: 17,4%Академия и КУВНАС, 17,9% курсы усовершенствования, 1,7% военные школы, 0,9% </w:t>
      </w:r>
      <w:proofErr w:type="spellStart"/>
      <w:r w:rsidRPr="00A259BD">
        <w:rPr>
          <w:rFonts w:ascii="Times New Roman" w:hAnsi="Times New Roman"/>
          <w:color w:val="000000" w:themeColor="text1"/>
          <w:sz w:val="16"/>
          <w:szCs w:val="16"/>
        </w:rPr>
        <w:t>комкурсы</w:t>
      </w:r>
      <w:proofErr w:type="spellEnd"/>
      <w:r w:rsidRPr="00A259BD">
        <w:rPr>
          <w:rFonts w:ascii="Times New Roman" w:hAnsi="Times New Roman"/>
          <w:color w:val="000000" w:themeColor="text1"/>
          <w:sz w:val="16"/>
          <w:szCs w:val="16"/>
        </w:rPr>
        <w:t xml:space="preserve"> и др. ВУЗы.</w:t>
      </w:r>
    </w:p>
    <w:p w14:paraId="514D037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старой армии: 3,7%Академия, 11,3% воен. уч. </w:t>
      </w:r>
      <w:proofErr w:type="spellStart"/>
      <w:r w:rsidRPr="00A259BD">
        <w:rPr>
          <w:rFonts w:ascii="Times New Roman" w:hAnsi="Times New Roman"/>
          <w:color w:val="000000" w:themeColor="text1"/>
          <w:sz w:val="16"/>
          <w:szCs w:val="16"/>
        </w:rPr>
        <w:t>мирн</w:t>
      </w:r>
      <w:proofErr w:type="spellEnd"/>
      <w:r w:rsidRPr="00A259BD">
        <w:rPr>
          <w:rFonts w:ascii="Times New Roman" w:hAnsi="Times New Roman"/>
          <w:color w:val="000000" w:themeColor="text1"/>
          <w:sz w:val="16"/>
          <w:szCs w:val="16"/>
        </w:rPr>
        <w:t>. врем., 29,3% воен. уч. воен. врем. и шк. прапор., 1,9% учебные команды.</w:t>
      </w:r>
    </w:p>
    <w:p w14:paraId="128B043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Без военного образования: 15,9%</w:t>
      </w:r>
    </w:p>
    <w:p w14:paraId="7A2C66F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Штабы корпус[</w:t>
      </w:r>
      <w:proofErr w:type="spellStart"/>
      <w:r w:rsidRPr="00A259BD">
        <w:rPr>
          <w:rFonts w:ascii="Times New Roman" w:hAnsi="Times New Roman"/>
          <w:color w:val="000000" w:themeColor="text1"/>
          <w:sz w:val="16"/>
          <w:szCs w:val="16"/>
        </w:rPr>
        <w:t>ов</w:t>
      </w:r>
      <w:proofErr w:type="spellEnd"/>
      <w:r w:rsidRPr="00A259BD">
        <w:rPr>
          <w:rFonts w:ascii="Times New Roman" w:hAnsi="Times New Roman"/>
          <w:color w:val="000000" w:themeColor="text1"/>
          <w:sz w:val="16"/>
          <w:szCs w:val="16"/>
        </w:rPr>
        <w:t>]</w:t>
      </w:r>
    </w:p>
    <w:p w14:paraId="1478425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РККА: 46,4%Академия и КУВНАС, 20,6% курсы усовершенствования, 2,1% военные школы, 1,0% </w:t>
      </w:r>
      <w:proofErr w:type="spellStart"/>
      <w:r w:rsidRPr="00A259BD">
        <w:rPr>
          <w:rFonts w:ascii="Times New Roman" w:hAnsi="Times New Roman"/>
          <w:color w:val="000000" w:themeColor="text1"/>
          <w:sz w:val="16"/>
          <w:szCs w:val="16"/>
        </w:rPr>
        <w:t>комкурсы</w:t>
      </w:r>
      <w:proofErr w:type="spellEnd"/>
      <w:r w:rsidRPr="00A259BD">
        <w:rPr>
          <w:rFonts w:ascii="Times New Roman" w:hAnsi="Times New Roman"/>
          <w:color w:val="000000" w:themeColor="text1"/>
          <w:sz w:val="16"/>
          <w:szCs w:val="16"/>
        </w:rPr>
        <w:t xml:space="preserve"> и др. ВУЗы.</w:t>
      </w:r>
    </w:p>
    <w:p w14:paraId="6496E23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старой армии: 1,0%Академия, 4,1% воен. уч. </w:t>
      </w:r>
      <w:proofErr w:type="spellStart"/>
      <w:r w:rsidRPr="00A259BD">
        <w:rPr>
          <w:rFonts w:ascii="Times New Roman" w:hAnsi="Times New Roman"/>
          <w:color w:val="000000" w:themeColor="text1"/>
          <w:sz w:val="16"/>
          <w:szCs w:val="16"/>
        </w:rPr>
        <w:t>мирн</w:t>
      </w:r>
      <w:proofErr w:type="spellEnd"/>
      <w:r w:rsidRPr="00A259BD">
        <w:rPr>
          <w:rFonts w:ascii="Times New Roman" w:hAnsi="Times New Roman"/>
          <w:color w:val="000000" w:themeColor="text1"/>
          <w:sz w:val="16"/>
          <w:szCs w:val="16"/>
        </w:rPr>
        <w:t>. врем., 22,7% воен. уч. воен. врем. и шк. прапор., - учебные команды.</w:t>
      </w:r>
    </w:p>
    <w:p w14:paraId="0B706E0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Без военного образования: 2,1%</w:t>
      </w:r>
    </w:p>
    <w:p w14:paraId="733A08E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[Штабы] </w:t>
      </w:r>
      <w:proofErr w:type="spellStart"/>
      <w:r w:rsidRPr="00A259BD">
        <w:rPr>
          <w:rFonts w:ascii="Times New Roman" w:hAnsi="Times New Roman"/>
          <w:color w:val="000000" w:themeColor="text1"/>
          <w:sz w:val="16"/>
          <w:szCs w:val="16"/>
        </w:rPr>
        <w:t>дивиз</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ий</w:t>
      </w:r>
      <w:proofErr w:type="spellEnd"/>
      <w:r w:rsidRPr="00A259BD">
        <w:rPr>
          <w:rFonts w:ascii="Times New Roman" w:hAnsi="Times New Roman"/>
          <w:color w:val="000000" w:themeColor="text1"/>
          <w:sz w:val="16"/>
          <w:szCs w:val="16"/>
        </w:rPr>
        <w:t>]</w:t>
      </w:r>
    </w:p>
    <w:p w14:paraId="1473E07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РККА: 23,7%Академия и КУВНАС, 25,1% курсы усовершенствования, 3,2% военные школы, 1,5% </w:t>
      </w:r>
      <w:proofErr w:type="spellStart"/>
      <w:r w:rsidRPr="00A259BD">
        <w:rPr>
          <w:rFonts w:ascii="Times New Roman" w:hAnsi="Times New Roman"/>
          <w:color w:val="000000" w:themeColor="text1"/>
          <w:sz w:val="16"/>
          <w:szCs w:val="16"/>
        </w:rPr>
        <w:t>комкурсы</w:t>
      </w:r>
      <w:proofErr w:type="spellEnd"/>
      <w:r w:rsidRPr="00A259BD">
        <w:rPr>
          <w:rFonts w:ascii="Times New Roman" w:hAnsi="Times New Roman"/>
          <w:color w:val="000000" w:themeColor="text1"/>
          <w:sz w:val="16"/>
          <w:szCs w:val="16"/>
        </w:rPr>
        <w:t xml:space="preserve"> и др. ВУЗы.</w:t>
      </w:r>
    </w:p>
    <w:p w14:paraId="3C76A2E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старой армии: 0,8%Академия, 4,9% воен. уч. </w:t>
      </w:r>
      <w:proofErr w:type="spellStart"/>
      <w:r w:rsidRPr="00A259BD">
        <w:rPr>
          <w:rFonts w:ascii="Times New Roman" w:hAnsi="Times New Roman"/>
          <w:color w:val="000000" w:themeColor="text1"/>
          <w:sz w:val="16"/>
          <w:szCs w:val="16"/>
        </w:rPr>
        <w:t>мирн</w:t>
      </w:r>
      <w:proofErr w:type="spellEnd"/>
      <w:r w:rsidRPr="00A259BD">
        <w:rPr>
          <w:rFonts w:ascii="Times New Roman" w:hAnsi="Times New Roman"/>
          <w:color w:val="000000" w:themeColor="text1"/>
          <w:sz w:val="16"/>
          <w:szCs w:val="16"/>
        </w:rPr>
        <w:t>. врем., 32,2% воен. уч. воен. врем. и шк. прапор., 1,0% учебные команды.</w:t>
      </w:r>
    </w:p>
    <w:p w14:paraId="2E5331F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Без военного образования: 7,6%</w:t>
      </w:r>
    </w:p>
    <w:p w14:paraId="48B061E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[Штабы] полков</w:t>
      </w:r>
    </w:p>
    <w:p w14:paraId="31A8322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РККА: 4,5%Академия и КУВНАС, 34,4% курсы усовершенствования, 14,6% военные школы, 6,0% </w:t>
      </w:r>
      <w:proofErr w:type="spellStart"/>
      <w:r w:rsidRPr="00A259BD">
        <w:rPr>
          <w:rFonts w:ascii="Times New Roman" w:hAnsi="Times New Roman"/>
          <w:color w:val="000000" w:themeColor="text1"/>
          <w:sz w:val="16"/>
          <w:szCs w:val="16"/>
        </w:rPr>
        <w:t>комкурсы</w:t>
      </w:r>
      <w:proofErr w:type="spellEnd"/>
      <w:r w:rsidRPr="00A259BD">
        <w:rPr>
          <w:rFonts w:ascii="Times New Roman" w:hAnsi="Times New Roman"/>
          <w:color w:val="000000" w:themeColor="text1"/>
          <w:sz w:val="16"/>
          <w:szCs w:val="16"/>
        </w:rPr>
        <w:t xml:space="preserve"> и др. ВУЗы.</w:t>
      </w:r>
    </w:p>
    <w:p w14:paraId="1C99099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старой армии:-Академия, 4,7% воен. уч. </w:t>
      </w:r>
      <w:proofErr w:type="spellStart"/>
      <w:r w:rsidRPr="00A259BD">
        <w:rPr>
          <w:rFonts w:ascii="Times New Roman" w:hAnsi="Times New Roman"/>
          <w:color w:val="000000" w:themeColor="text1"/>
          <w:sz w:val="16"/>
          <w:szCs w:val="16"/>
        </w:rPr>
        <w:t>мирн</w:t>
      </w:r>
      <w:proofErr w:type="spellEnd"/>
      <w:r w:rsidRPr="00A259BD">
        <w:rPr>
          <w:rFonts w:ascii="Times New Roman" w:hAnsi="Times New Roman"/>
          <w:color w:val="000000" w:themeColor="text1"/>
          <w:sz w:val="16"/>
          <w:szCs w:val="16"/>
        </w:rPr>
        <w:t>. врем., 29,2% воен. уч. воен. врем. и шк. прапор., 2,4% учебные команды.</w:t>
      </w:r>
    </w:p>
    <w:p w14:paraId="3610BBC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Без военного образования: 4,2%</w:t>
      </w:r>
    </w:p>
    <w:p w14:paraId="3B0041F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Стр. </w:t>
      </w:r>
      <w:proofErr w:type="spellStart"/>
      <w:r w:rsidRPr="00A259BD">
        <w:rPr>
          <w:rFonts w:ascii="Times New Roman" w:hAnsi="Times New Roman"/>
          <w:color w:val="000000" w:themeColor="text1"/>
          <w:sz w:val="16"/>
          <w:szCs w:val="16"/>
        </w:rPr>
        <w:t>комс</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остав</w:t>
      </w:r>
      <w:proofErr w:type="spellEnd"/>
      <w:r w:rsidRPr="00A259BD">
        <w:rPr>
          <w:rFonts w:ascii="Times New Roman" w:hAnsi="Times New Roman"/>
          <w:color w:val="000000" w:themeColor="text1"/>
          <w:sz w:val="16"/>
          <w:szCs w:val="16"/>
        </w:rPr>
        <w:t>] РККА</w:t>
      </w:r>
    </w:p>
    <w:p w14:paraId="13EF92E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РККА: 1,2%Академия и КУВНАС, 17,2% курсы усовершенствования, 63,1% военные школы, 11,2% </w:t>
      </w:r>
      <w:proofErr w:type="spellStart"/>
      <w:r w:rsidRPr="00A259BD">
        <w:rPr>
          <w:rFonts w:ascii="Times New Roman" w:hAnsi="Times New Roman"/>
          <w:color w:val="000000" w:themeColor="text1"/>
          <w:sz w:val="16"/>
          <w:szCs w:val="16"/>
        </w:rPr>
        <w:t>комкурсы</w:t>
      </w:r>
      <w:proofErr w:type="spellEnd"/>
      <w:r w:rsidRPr="00A259BD">
        <w:rPr>
          <w:rFonts w:ascii="Times New Roman" w:hAnsi="Times New Roman"/>
          <w:color w:val="000000" w:themeColor="text1"/>
          <w:sz w:val="16"/>
          <w:szCs w:val="16"/>
        </w:rPr>
        <w:t xml:space="preserve"> и др. ВУЗы.</w:t>
      </w:r>
    </w:p>
    <w:p w14:paraId="68E43AA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старой армии:-Академия, 0,9% воен. уч. </w:t>
      </w:r>
      <w:proofErr w:type="spellStart"/>
      <w:r w:rsidRPr="00A259BD">
        <w:rPr>
          <w:rFonts w:ascii="Times New Roman" w:hAnsi="Times New Roman"/>
          <w:color w:val="000000" w:themeColor="text1"/>
          <w:sz w:val="16"/>
          <w:szCs w:val="16"/>
        </w:rPr>
        <w:t>мирн</w:t>
      </w:r>
      <w:proofErr w:type="spellEnd"/>
      <w:r w:rsidRPr="00A259BD">
        <w:rPr>
          <w:rFonts w:ascii="Times New Roman" w:hAnsi="Times New Roman"/>
          <w:color w:val="000000" w:themeColor="text1"/>
          <w:sz w:val="16"/>
          <w:szCs w:val="16"/>
        </w:rPr>
        <w:t>. врем., 3,5% воен. уч. воен. врем. и шк. прапор., 1,2% учебные команды.</w:t>
      </w:r>
    </w:p>
    <w:p w14:paraId="16AC01F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Без военного </w:t>
      </w:r>
      <w:proofErr w:type="spellStart"/>
      <w:r w:rsidRPr="00A259BD">
        <w:rPr>
          <w:rFonts w:ascii="Times New Roman" w:hAnsi="Times New Roman"/>
          <w:color w:val="000000" w:themeColor="text1"/>
          <w:sz w:val="16"/>
          <w:szCs w:val="16"/>
        </w:rPr>
        <w:t>образования:Нет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ксер</w:t>
      </w:r>
      <w:proofErr w:type="spellEnd"/>
    </w:p>
    <w:p w14:paraId="5FD4825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этой таблицы ясно видна большая разница между строевым и штабным комсоставом. В то время, как строевой комсостав на четыре пятых укомплектован окончившими в РККА военные школы и курсы усовершенствования, в штабах преобладающими группами являются академики и окончившие курсы усовершенствования в РККА, а также лица с военным образованием старой армии. Это последняя группа (бывшие офицеры) находится почти исключительно в штабах, и верою процент их ничтожен (4,4).</w:t>
      </w:r>
    </w:p>
    <w:p w14:paraId="769988D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7.Выводы по характеристике комсостава.</w:t>
      </w:r>
    </w:p>
    <w:p w14:paraId="7B2296C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В отношении партийности необходимо констатировать твердый и определенный ежегодный прирост партийного ядра, что обеспечивается в первую очередь системой комплектования армии комсоставом через военные школы, выпускающими ежегодно значительный процент партийных командиров (выпуск 1928 года дал 82,1% партийных и 17,9 беспартийных молодых командиров).</w:t>
      </w:r>
    </w:p>
    <w:p w14:paraId="78FE92C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В отношении социального распределения комсостава, имеющаяся в настоящее время рабочая прослойка в 24% может считаться недостаточной, но это явление неизбежное, поскольку в настоящий момент в армии все еще имеются значительные кадры старых специалистов. Наши военные школы хотя и дают 37% рабочих из числа выпускаемых командиров, но для значительного изменения общеармейской рабочей прослойки этот процент все же мал, так как ко всему комсоставу он составляет лишь около 3% (ежегодное наслаивание).</w:t>
      </w:r>
    </w:p>
    <w:p w14:paraId="5951B15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Увеличение процента рабочей прослойки командного состава может идти только по линии военных школ, так как выпуск командиров из военных школ является основным источником пополнения командных кадров и основным регулятором качества комсостава. Формирование командира начинается в военной школе. В силу указанного, набор в школу приобретает совершенно исключительное значение.</w:t>
      </w:r>
    </w:p>
    <w:p w14:paraId="2E0D106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Центр тяжести подбора соответствующего комсостава перемещается в подбор курсантов для школ. Здесь следует отметить отсутствие достаточного стремления у </w:t>
      </w:r>
      <w:proofErr w:type="spellStart"/>
      <w:r w:rsidRPr="00A259BD">
        <w:rPr>
          <w:rFonts w:ascii="Times New Roman" w:hAnsi="Times New Roman"/>
          <w:color w:val="000000" w:themeColor="text1"/>
          <w:sz w:val="16"/>
          <w:szCs w:val="16"/>
        </w:rPr>
        <w:t>рабочеймолодежи</w:t>
      </w:r>
      <w:proofErr w:type="spellEnd"/>
      <w:r w:rsidRPr="00A259BD">
        <w:rPr>
          <w:rFonts w:ascii="Times New Roman" w:hAnsi="Times New Roman"/>
          <w:color w:val="000000" w:themeColor="text1"/>
          <w:sz w:val="16"/>
          <w:szCs w:val="16"/>
        </w:rPr>
        <w:t xml:space="preserve"> к поступлению в эти школы.</w:t>
      </w:r>
    </w:p>
    <w:p w14:paraId="463A0E7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Такое крайне нежелательное явление, замедляющее рост рабочей прослойки комсостава, объясняется, главным образом, рядом объективных причин, лежащих как в области бытовых, так и других условий жизни и службы командира.</w:t>
      </w:r>
    </w:p>
    <w:p w14:paraId="3C48B72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Наряду с недостаточным материальным положением командира, самые условия его службы по сравнению с условиями работы рабочих значительно тяжелее.</w:t>
      </w:r>
    </w:p>
    <w:p w14:paraId="4CA8270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Норма рабочего для командира колеблется от 12 до 16 часов в сутки (у партийца еще больше) и о 8-часовом рабочем дне он не может и мечтать.</w:t>
      </w:r>
    </w:p>
    <w:p w14:paraId="69EEA7D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Повышенная ответственность командира за служебные и другие воинские проступки создает и повышенное напряжение его моральных и физических сил, в связи с этим и более сильное утомление.</w:t>
      </w:r>
    </w:p>
    <w:p w14:paraId="03A9AA9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Командир не имеет достаточной свободы в своей личной жизни, так как жизнь его стоит в центре внимания не только своей части, а и всего населения. Командир знает, </w:t>
      </w:r>
      <w:proofErr w:type="spellStart"/>
      <w:r w:rsidRPr="00A259BD">
        <w:rPr>
          <w:rFonts w:ascii="Times New Roman" w:hAnsi="Times New Roman"/>
          <w:color w:val="000000" w:themeColor="text1"/>
          <w:sz w:val="16"/>
          <w:szCs w:val="16"/>
        </w:rPr>
        <w:t>чтопо</w:t>
      </w:r>
      <w:proofErr w:type="spellEnd"/>
      <w:r w:rsidRPr="00A259BD">
        <w:rPr>
          <w:rFonts w:ascii="Times New Roman" w:hAnsi="Times New Roman"/>
          <w:color w:val="000000" w:themeColor="text1"/>
          <w:sz w:val="16"/>
          <w:szCs w:val="16"/>
        </w:rPr>
        <w:t xml:space="preserve"> его поступкам судят о комсоставе всей Красной Армии.</w:t>
      </w:r>
    </w:p>
    <w:p w14:paraId="1F02214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Такая обстановка жизни и службы командира, ставящая его в более стеснительные условия по сравнению с остальными трудящимися, казалось, должна была бы быть компенсирована известным повышением материальных благ.</w:t>
      </w:r>
    </w:p>
    <w:p w14:paraId="2FC339A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самом же деле замечается обратное явление.</w:t>
      </w:r>
    </w:p>
    <w:p w14:paraId="6F883AA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Трех и четырехлетняя учеба командира, протекающая в условиях твердой дисциплины и других тягот военной службы, дает лишь скромный заработок командира взвода — несколько более 100 рублей. Подмастерье же в хлопчатобумажной промышленности, на подготовку которого требуется не более 3-х лет, получает до 125 рублей в месяц (в среднем около 100 рублей).</w:t>
      </w:r>
    </w:p>
    <w:p w14:paraId="583ED0D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дальнейшем с повышением квалификации разница между зарплатой командиров и промышленных рабочих не уменьшается, а становится еще более резкой, доходя до 30%. Отсюда проистекают трудности комплектования военных школ рабочей молодежью.</w:t>
      </w:r>
    </w:p>
    <w:p w14:paraId="7CDF911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Несмотря на несколько еще малый процент рабочих среди комсостава, еще общую социально-политическую устойчивость и соответствие нужно признать вполне удовлетворительными. После Гражданской войны комсостав неоднократно проверялся и отбирался и в массе своей вполне достоин того доверия, которое ему оказывается рабоче-крестьянским государством. Это тем более справедливо по отношению к тому комсоставу, в руках которого находится боевая подготовка, воспитание и вождение армии, а именно — к комсоставу строевому (от ком. войск до комвзвода). Данные о строевом комсоставе показывают, что среди этой основной группы мы имеем две трети партийного комсостава и только одну треть беспартийного. В то же время и рабочая прослойка достигает здесь 25%, а число «прочих» равняется всего лишь 13%.</w:t>
      </w:r>
    </w:p>
    <w:p w14:paraId="27CEF5C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в социально-политическом отношении комсостав уступает лишь политсоставу и стоит значительно выше остальных составов, что видно из ниже помещаемой таблицы:</w:t>
      </w:r>
    </w:p>
    <w:p w14:paraId="49B7B10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партийности</w:t>
      </w:r>
    </w:p>
    <w:p w14:paraId="270F3C4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Командный: 41,5% членов ВКП(б), 9,3% кандидатов, 6,2% член. ВЛКСМ, 43,0% б/п;</w:t>
      </w:r>
    </w:p>
    <w:p w14:paraId="0E8918E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Административный: 14,0% членов ВКП(б), 5,0% кандидатов, 4,5% член. ВЛКСМ, 76,5% б/п;</w:t>
      </w:r>
    </w:p>
    <w:p w14:paraId="3C8C77C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Политический: 92,0% членов ВКП(б), 3,2% кандидатов, 0,5% член. ВЛКСМ, 4,3% б/п;</w:t>
      </w:r>
    </w:p>
    <w:p w14:paraId="73DD14A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Медицинский: 4,7% членов ВКП(б), 2,7% кандидатов, 0,8% член. ВЛКСМ, 91.8% б/п;</w:t>
      </w:r>
    </w:p>
    <w:p w14:paraId="036DCC9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Ветеринарный: 5,9% членов ВКП(б), 2,7% кандидатов, 3,5% член. ВЛКСМ, 87,9% б/п.</w:t>
      </w:r>
    </w:p>
    <w:p w14:paraId="264F98C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социальному происхождению</w:t>
      </w:r>
    </w:p>
    <w:p w14:paraId="56A3BEF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Командный: 24,0% из рабочих, 51,5% из крестьян, 24,5% из прочих;</w:t>
      </w:r>
    </w:p>
    <w:p w14:paraId="62E0D81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Административный: 18,0% из рабочих, 44,9% из крестьян, 37,1% из прочих;</w:t>
      </w:r>
    </w:p>
    <w:p w14:paraId="66CE376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Политический: 33,1% из рабочих, 46,6% из крестьян, 20,3% из прочих;</w:t>
      </w:r>
    </w:p>
    <w:p w14:paraId="103056D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Медицинский: 8,0% из рабочих, 34,4% из крестьян, 57,6% из прочих;</w:t>
      </w:r>
    </w:p>
    <w:p w14:paraId="2980499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Ветеринарный: 8,5% из рабочих, 50,9% из крестьян, 40,6% из прочих.</w:t>
      </w:r>
    </w:p>
    <w:p w14:paraId="3993739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По военной своей подготовке командный состав стоит на достаточно высоком уровне и этот уровень все время повышается путем притока из военных школ и пропуска комсостава через различные курсы усовершенствования. Имеющаяся прослойка комсостава без военного образования находится главным образом в учреждениях и заведениях обслуживающего характера, в строевых же частях такого комсостава очень немного (один—два процента).</w:t>
      </w:r>
    </w:p>
    <w:p w14:paraId="68C5D32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Удельный вес командного состава, подготовленного ВУЗами РККА (академии, курсы усовершенствования и военные школы), все время интенсивно повышается. По последним статистическим данным общая величина этой группы среди строевого комсостава РККА составляла 81,5%. Если учесть происшедшие после этого выпуски из академий, курсов усовершенствования и военных школ, то удельный вес этой группы к настоящему времени можно определить не менее 90%, и в ближайший год—два ее величина достигнет почти 100%.</w:t>
      </w:r>
    </w:p>
    <w:p w14:paraId="08433A18"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III.Увольнение</w:t>
      </w:r>
      <w:proofErr w:type="spellEnd"/>
      <w:r w:rsidRPr="00A259BD">
        <w:rPr>
          <w:rFonts w:ascii="Times New Roman" w:hAnsi="Times New Roman"/>
          <w:color w:val="000000" w:themeColor="text1"/>
          <w:sz w:val="16"/>
          <w:szCs w:val="16"/>
        </w:rPr>
        <w:t xml:space="preserve"> комсостава и устройство начсостава на гражданскую службу</w:t>
      </w:r>
    </w:p>
    <w:p w14:paraId="16186EE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1.За 1927 год из армии было уволено 2 095 человек командного состава, которые по причинам увольнения распределяются следующим образом:</w:t>
      </w:r>
    </w:p>
    <w:p w14:paraId="426378F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болезни — 31,7% (665 чел.)</w:t>
      </w:r>
    </w:p>
    <w:p w14:paraId="7D25A9B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суду — 12,2% (255 чел.)</w:t>
      </w:r>
    </w:p>
    <w:p w14:paraId="28EDFFC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несоответствию — 0,8% (17 чел.)</w:t>
      </w:r>
    </w:p>
    <w:p w14:paraId="4D7AEEE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безвестному отсутствию — 0,1% (2 чел.)</w:t>
      </w:r>
    </w:p>
    <w:p w14:paraId="002B094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невозможностью соответствующего использования — 38,2% (801 чел.) по возрасту — 3,7% (78 чел.)</w:t>
      </w:r>
    </w:p>
    <w:p w14:paraId="0E10A77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выслугой должного срока — 0,7% (14 чел.)</w:t>
      </w:r>
    </w:p>
    <w:p w14:paraId="2FF5479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желанию — 11,5% (241 чел.)</w:t>
      </w:r>
    </w:p>
    <w:p w14:paraId="6FC7448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резерв РККА —1,1% (22 чел.)</w:t>
      </w:r>
    </w:p>
    <w:p w14:paraId="4A9C933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 100%</w:t>
      </w:r>
    </w:p>
    <w:p w14:paraId="73C9347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увольнении по таким причинам, как по болезни, несоответствию, по суду, не представляется возможности производить тот или иной отбор, так как увольнять приходится именно того командира, который по болезни уже не годен к службе в армии. Что же касается увольнений за невозможностью соответствующего использования, по возрасту, по желанию и за выслугой должностного срока, то в этих случаях проводится известный отбор из армии относительно наименее ценного элемента. Так, среди уволенных за 1927 год мы имеем 20,2% без военного образования и окончивших учебные команды в старой армии, тогда как среди всего комсостава РККА соответствующий процент равняется 8,6 %. Процент уволенного комсостава с военным образованием, полученным только в старой армии (в[</w:t>
      </w:r>
      <w:proofErr w:type="spellStart"/>
      <w:r w:rsidRPr="00A259BD">
        <w:rPr>
          <w:rFonts w:ascii="Times New Roman" w:hAnsi="Times New Roman"/>
          <w:color w:val="000000" w:themeColor="text1"/>
          <w:sz w:val="16"/>
          <w:szCs w:val="16"/>
        </w:rPr>
        <w:t>оенные</w:t>
      </w:r>
      <w:proofErr w:type="spellEnd"/>
      <w:r w:rsidRPr="00A259BD">
        <w:rPr>
          <w:rFonts w:ascii="Times New Roman" w:hAnsi="Times New Roman"/>
          <w:color w:val="000000" w:themeColor="text1"/>
          <w:sz w:val="16"/>
          <w:szCs w:val="16"/>
        </w:rPr>
        <w:t>] училища и школы прапорщиков) — 18,5%, в то время как среди всего комсостава этот процент равняется 11,7%.</w:t>
      </w:r>
    </w:p>
    <w:p w14:paraId="08EDD67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партийности и социальному происхождению уволенных по сравнению со всем комсоставом РККА, мы имеем следующие цифры:</w:t>
      </w:r>
    </w:p>
    <w:p w14:paraId="2749D0E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партийности</w:t>
      </w:r>
    </w:p>
    <w:p w14:paraId="55DEF0F3"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Чл</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ены</w:t>
      </w:r>
      <w:proofErr w:type="spellEnd"/>
      <w:r w:rsidRPr="00A259BD">
        <w:rPr>
          <w:rFonts w:ascii="Times New Roman" w:hAnsi="Times New Roman"/>
          <w:color w:val="000000" w:themeColor="text1"/>
          <w:sz w:val="16"/>
          <w:szCs w:val="16"/>
        </w:rPr>
        <w:t>] ВКП(б) и кандидаты: 50,8 - весь комсостав в РККА на 1927 г., 39,5 - уволенный за 1927 г. комсостав;</w:t>
      </w:r>
    </w:p>
    <w:p w14:paraId="64CE705E"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Чл</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ены</w:t>
      </w:r>
      <w:proofErr w:type="spellEnd"/>
      <w:r w:rsidRPr="00A259BD">
        <w:rPr>
          <w:rFonts w:ascii="Times New Roman" w:hAnsi="Times New Roman"/>
          <w:color w:val="000000" w:themeColor="text1"/>
          <w:sz w:val="16"/>
          <w:szCs w:val="16"/>
        </w:rPr>
        <w:t>] ВЛКСМ: 6,2 - весь комсостав в РККА на 1927 г., 3,1 - уволенный за 1927 г. комсостав;</w:t>
      </w:r>
    </w:p>
    <w:p w14:paraId="5EB9BB09"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Беспартийн</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ые</w:t>
      </w:r>
      <w:proofErr w:type="spellEnd"/>
      <w:r w:rsidRPr="00A259BD">
        <w:rPr>
          <w:rFonts w:ascii="Times New Roman" w:hAnsi="Times New Roman"/>
          <w:color w:val="000000" w:themeColor="text1"/>
          <w:sz w:val="16"/>
          <w:szCs w:val="16"/>
        </w:rPr>
        <w:t>]: 43,0 - весь комсостав в РККА на 1927 г., 57,4 - уволенный за 1927 г. комсостав.</w:t>
      </w:r>
    </w:p>
    <w:p w14:paraId="16492FE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социальному происхождению</w:t>
      </w:r>
    </w:p>
    <w:p w14:paraId="10BF460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Рабочих: 24,0 - весь комсостав в РККА на 1927 г., 24,2 - уволенный за 1927 г. комсостав;</w:t>
      </w:r>
    </w:p>
    <w:p w14:paraId="14EF1CB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Крестьян: 51,5 - весь комсостав в РККА на 1927 г., 48,2 - уволенный за 1927 г. комсостав;</w:t>
      </w:r>
    </w:p>
    <w:p w14:paraId="342E6B7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Прочих: 24,5 - весь комсостав в РККА на 1927 г., 27,6 - уволенный за 1927 г. комсостав.</w:t>
      </w:r>
    </w:p>
    <w:p w14:paraId="73DD377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2.Устройство уволенного начсостава на гражданскую службу, борьба с его безработицей, получили широкое развитие с осени 1926 года, когда было проведено большое сокращение начсостава. Ряд изданных Правительством СССР и союзных республик распоряжений регламентировали этот вопрос и в результате работы, проделанной на основании этих распоряжений, имеем около 32 000 чел. демобилизованного начсостава, устроенного на службу за время с осени 1926 г. по июль 1928 г. Число неустроенных к тому времени определялось около 3 000 человек, падавших большей частью на уволенных до 1926 г.</w:t>
      </w:r>
    </w:p>
    <w:p w14:paraId="08A52FB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настоящее время выясняются последние данные*.</w:t>
      </w:r>
    </w:p>
    <w:p w14:paraId="4424398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*Далее начинается заключительный раздел обзора — по вопросу обеспеченности начсоставом запаса для ведения войны. После раздела имеются две подписи — И.И. Гарькавого и не установленного лица.</w:t>
      </w:r>
    </w:p>
    <w:p w14:paraId="3CC0A74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разрешении вопроса нашей обеспеченности начсоставом запаса для ведения войны одно из видных мест занимают работы о количественном накоплении и подготовке требующегося начальствующего состава запаса.</w:t>
      </w:r>
    </w:p>
    <w:p w14:paraId="45DED69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иностранных армиях на каждого кадрового офицера имеется до 9 запасных, у нас же на каждого кадрового офицера имеется всего лишь 2,4 запасных.</w:t>
      </w:r>
    </w:p>
    <w:p w14:paraId="10DC343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Если учесть то обстоятельство, что начсостав по опыту призыва на </w:t>
      </w:r>
      <w:proofErr w:type="spellStart"/>
      <w:r w:rsidRPr="00A259BD">
        <w:rPr>
          <w:rFonts w:ascii="Times New Roman" w:hAnsi="Times New Roman"/>
          <w:color w:val="000000" w:themeColor="text1"/>
          <w:sz w:val="16"/>
          <w:szCs w:val="16"/>
        </w:rPr>
        <w:t>учсборы</w:t>
      </w:r>
      <w:proofErr w:type="spellEnd"/>
      <w:r w:rsidRPr="00A259BD">
        <w:rPr>
          <w:rFonts w:ascii="Times New Roman" w:hAnsi="Times New Roman"/>
          <w:color w:val="000000" w:themeColor="text1"/>
          <w:sz w:val="16"/>
          <w:szCs w:val="16"/>
        </w:rPr>
        <w:t xml:space="preserve"> в течение ряда лет дает значительный процент отсева (до 20%) по состоянию здоровья, то картина обеспеченности изменится в худшую сторону.</w:t>
      </w:r>
    </w:p>
    <w:p w14:paraId="6ACC843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 видим, запас начальствующего состава не удовлетворяет нашей потребности, по отдельным же специальностям комсостава недостатки выступают еще резче.</w:t>
      </w:r>
    </w:p>
    <w:p w14:paraId="42F80D9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целях изжития недостатков и количественного поддержания наличного запаса, проводится подготовка командиров запаса из лиц, имеющих высшее и среднее образование, обучающихся год в войсковых частях и школах. Благодаря этой мере мы получили до настоящего времени 16 500 командиров запаса, текущей осенью получим до 9 000 и в дальнейшем намечено ежегодное поступление до 10 000 командиров. Однако в качественном отношении (</w:t>
      </w:r>
      <w:proofErr w:type="spellStart"/>
      <w:r w:rsidRPr="00A259BD">
        <w:rPr>
          <w:rFonts w:ascii="Times New Roman" w:hAnsi="Times New Roman"/>
          <w:color w:val="000000" w:themeColor="text1"/>
          <w:sz w:val="16"/>
          <w:szCs w:val="16"/>
        </w:rPr>
        <w:t>технич</w:t>
      </w:r>
      <w:proofErr w:type="spellEnd"/>
      <w:r w:rsidRPr="00A259BD">
        <w:rPr>
          <w:rFonts w:ascii="Times New Roman" w:hAnsi="Times New Roman"/>
          <w:color w:val="000000" w:themeColor="text1"/>
          <w:sz w:val="16"/>
          <w:szCs w:val="16"/>
        </w:rPr>
        <w:t>. и полит.) начсостав запаса не всегда полностью удовлетворяет своему назначению.</w:t>
      </w:r>
    </w:p>
    <w:p w14:paraId="412E1FE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Особой разнородностью отличается командный состав, уже находящийся в запасе. Состояние последнего можно охарактеризовать следующими данными [в процентах]:</w:t>
      </w:r>
    </w:p>
    <w:p w14:paraId="218B277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По признаку партийности</w:t>
      </w:r>
    </w:p>
    <w:p w14:paraId="72765A7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Членов ВКП(б) - 13,8 средний, 19,9 старший;</w:t>
      </w:r>
    </w:p>
    <w:p w14:paraId="417A988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Кандидатов - 3,4 средний, 1,5 старший;</w:t>
      </w:r>
    </w:p>
    <w:p w14:paraId="173B079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Беспартийных - 82,8 средний, 78,6 старший.</w:t>
      </w:r>
    </w:p>
    <w:p w14:paraId="4E9F897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роду занятий</w:t>
      </w:r>
    </w:p>
    <w:p w14:paraId="596A8BD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Рабочие - 6,8 средний, 2,1 старший;</w:t>
      </w:r>
    </w:p>
    <w:p w14:paraId="6784054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Земледельцы - 12,0 средний, 2,4 старший;</w:t>
      </w:r>
    </w:p>
    <w:p w14:paraId="4ECC7CB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Кустари и ремесленники - 2,1 средний, 0,7 старший;</w:t>
      </w:r>
    </w:p>
    <w:p w14:paraId="15DA651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Служащих - 79,1 средний, 94,8 старший.</w:t>
      </w:r>
    </w:p>
    <w:p w14:paraId="7664AB3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военному образованию</w:t>
      </w:r>
    </w:p>
    <w:p w14:paraId="0F09865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Высшее военное образование</w:t>
      </w:r>
    </w:p>
    <w:p w14:paraId="7B72BEBE"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Окончившие норм. воен. шк. Красной Армии - 6,2 средний, 7,6 старший;</w:t>
      </w:r>
    </w:p>
    <w:p w14:paraId="7C0C7FBF"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Оконч</w:t>
      </w:r>
      <w:proofErr w:type="spellEnd"/>
      <w:r w:rsidRPr="00A259BD">
        <w:rPr>
          <w:rFonts w:ascii="Times New Roman" w:hAnsi="Times New Roman"/>
          <w:color w:val="000000" w:themeColor="text1"/>
          <w:sz w:val="16"/>
          <w:szCs w:val="16"/>
        </w:rPr>
        <w:t>. воен. учил. ст. армии - 6,2 средний, 9,6 старший;</w:t>
      </w:r>
    </w:p>
    <w:p w14:paraId="068DC4FE"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Оконч</w:t>
      </w:r>
      <w:proofErr w:type="spellEnd"/>
      <w:r w:rsidRPr="00A259BD">
        <w:rPr>
          <w:rFonts w:ascii="Times New Roman" w:hAnsi="Times New Roman"/>
          <w:color w:val="000000" w:themeColor="text1"/>
          <w:sz w:val="16"/>
          <w:szCs w:val="16"/>
        </w:rPr>
        <w:t>. командные курсы воен. врем. Красной Армии - 25,0 средний, 16,2 старший;</w:t>
      </w:r>
    </w:p>
    <w:p w14:paraId="07CAE878" w14:textId="77777777" w:rsidR="00B32F5E" w:rsidRPr="00A259BD" w:rsidRDefault="00B32F5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Оконч</w:t>
      </w:r>
      <w:proofErr w:type="spellEnd"/>
      <w:r w:rsidRPr="00A259BD">
        <w:rPr>
          <w:rFonts w:ascii="Times New Roman" w:hAnsi="Times New Roman"/>
          <w:color w:val="000000" w:themeColor="text1"/>
          <w:sz w:val="16"/>
          <w:szCs w:val="16"/>
        </w:rPr>
        <w:t xml:space="preserve">. школу </w:t>
      </w:r>
      <w:proofErr w:type="spellStart"/>
      <w:r w:rsidRPr="00A259BD">
        <w:rPr>
          <w:rFonts w:ascii="Times New Roman" w:hAnsi="Times New Roman"/>
          <w:color w:val="000000" w:themeColor="text1"/>
          <w:sz w:val="16"/>
          <w:szCs w:val="16"/>
        </w:rPr>
        <w:t>прап</w:t>
      </w:r>
      <w:proofErr w:type="spellEnd"/>
      <w:r w:rsidRPr="00A259BD">
        <w:rPr>
          <w:rFonts w:ascii="Times New Roman" w:hAnsi="Times New Roman"/>
          <w:color w:val="000000" w:themeColor="text1"/>
          <w:sz w:val="16"/>
          <w:szCs w:val="16"/>
        </w:rPr>
        <w:t>. воен. врем. старой армии - 22,2 средний, 9,0 старший;</w:t>
      </w:r>
    </w:p>
    <w:p w14:paraId="0E44ECC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Курсы запаса из </w:t>
      </w:r>
      <w:proofErr w:type="spellStart"/>
      <w:r w:rsidRPr="00A259BD">
        <w:rPr>
          <w:rFonts w:ascii="Times New Roman" w:hAnsi="Times New Roman"/>
          <w:color w:val="000000" w:themeColor="text1"/>
          <w:sz w:val="16"/>
          <w:szCs w:val="16"/>
        </w:rPr>
        <w:t>одногодичники</w:t>
      </w:r>
      <w:proofErr w:type="spellEnd"/>
      <w:r w:rsidRPr="00A259BD">
        <w:rPr>
          <w:rFonts w:ascii="Times New Roman" w:hAnsi="Times New Roman"/>
          <w:color w:val="000000" w:themeColor="text1"/>
          <w:sz w:val="16"/>
          <w:szCs w:val="16"/>
        </w:rPr>
        <w:t xml:space="preserve"> - 13,7 средний, 32,4 старший;</w:t>
      </w:r>
    </w:p>
    <w:p w14:paraId="053D70E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имеет воен. образования - 26,7 средний, 25,2 старший.</w:t>
      </w:r>
    </w:p>
    <w:p w14:paraId="212228F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времени увольнения из Красной Армии</w:t>
      </w:r>
    </w:p>
    <w:p w14:paraId="368B332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Уволены в 1924 г. и позже (после реорганизации армии) - 33 средний, 41 старший;</w:t>
      </w:r>
    </w:p>
    <w:p w14:paraId="153700D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Уволены до 1924 г. - 58 средний, 54 старший;</w:t>
      </w:r>
    </w:p>
    <w:p w14:paraId="7A281A7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служили в Красной Армии - 9 средний, 5 старший.</w:t>
      </w:r>
    </w:p>
    <w:p w14:paraId="6F8CF3D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Отмеченная разнородность подготовки начальствующего состава (особенно командного) и необходимость дальнейшего его совершенствования заставляют обратить самое серьезное внимание на поднятие военных и военно-политических знаний запасного начсостава и притом в первую очередь повышение его теоретических познаний. С этой целью проводится периодическое привлечение запасных к обучению при войсковых частях и военных школах.</w:t>
      </w:r>
    </w:p>
    <w:p w14:paraId="0D73756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настоящего времени обучение запасного начсостава проводилось в следующих размерах:</w:t>
      </w:r>
    </w:p>
    <w:p w14:paraId="216C5C8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1925 г.</w:t>
      </w:r>
    </w:p>
    <w:p w14:paraId="55261B3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Общее количество начсостава - 4 500</w:t>
      </w:r>
    </w:p>
    <w:p w14:paraId="31EE7F4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том числе командного - 4 500</w:t>
      </w:r>
    </w:p>
    <w:p w14:paraId="25954AB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1926 г.</w:t>
      </w:r>
    </w:p>
    <w:p w14:paraId="6B5F2CD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Общее количество начсостава - 11000</w:t>
      </w:r>
    </w:p>
    <w:p w14:paraId="3D48D57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том числе командного - 9 200</w:t>
      </w:r>
    </w:p>
    <w:p w14:paraId="2E329658"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1927 г.</w:t>
      </w:r>
    </w:p>
    <w:p w14:paraId="65BE6C7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Общее количество начсостава - 20 000</w:t>
      </w:r>
    </w:p>
    <w:p w14:paraId="5553B11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том числе командного - 16 900</w:t>
      </w:r>
    </w:p>
    <w:p w14:paraId="06BD075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1928 г.</w:t>
      </w:r>
    </w:p>
    <w:p w14:paraId="1CCE40A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Общее количество начсостава - 19 100</w:t>
      </w:r>
    </w:p>
    <w:p w14:paraId="2F92660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том числе командного - 15 400</w:t>
      </w:r>
    </w:p>
    <w:p w14:paraId="1E604ECB"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Намечено к призыву в 1929 г.</w:t>
      </w:r>
    </w:p>
    <w:p w14:paraId="6FBB831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Общее количество начсостава - 18 300</w:t>
      </w:r>
    </w:p>
    <w:p w14:paraId="07A0A575"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том числе командного - 15 800</w:t>
      </w:r>
    </w:p>
    <w:p w14:paraId="38F8317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Если сравнить количество ежегодно обучаемых с наличием запасного начсостава, то выходит, что к повторным вызовам на обучение мы сможем приступить через 9—10 лет. Для характеристики темпа подготовки можно указать, что мы ежегодно обучаем только 10—11% командного состава, тогда как САСШ — 18—20%, а Польша — 22—24% наличного запаса.</w:t>
      </w:r>
    </w:p>
    <w:p w14:paraId="248EE31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таким темпом обучения нельзя согласиться, большее же количество мы не можем призывать из-за материальных недостатков. Поэтому мы вынуждены выделить наиболее важные контингенты и на подготовке их сосредоточить всё внимание с таким расчетом, чтобы эти контингенты призывались 1—2 раза в каждые 4 года.</w:t>
      </w:r>
    </w:p>
    <w:p w14:paraId="18AAFE6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Остальной же начсостав запаса намечено привлекать к обучению по линии Осоавиахима; однако, поскольку обучение по линии Осоавиахима может проводиться исключительно в добровольном порядке и не может дать практики командования, не приходится строить широкие планы использования Осоавиахима.</w:t>
      </w:r>
    </w:p>
    <w:p w14:paraId="72EE00A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Попутно необходимо отметить, что не всегда наши гражданские организации идут навстречу мероприятиям по обучению начсостава запаса; наблюдаются отдельные случаи стремления освободиться от состоящего у них на службе начсостава, считая вызов его на обучение большим для себя ущербом. Между тем, хотя материальное положение начсостава запаса значительно улучшилось, но все же безработица среди него еще окончательно не изжита; наряду с этим наблюдается использование начсостава гражданскими органами на должностях самой низкой квалификации, вплоть до того, что бывшие командиры полков служат сторожами, моют бутылки и прочее.</w:t>
      </w:r>
    </w:p>
    <w:p w14:paraId="2F9C7EC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Подводя итоги состоянию начальствующего состава запаса и перспективам его улучшения, необходимо отметить следующие пожелания:</w:t>
      </w:r>
    </w:p>
    <w:p w14:paraId="21B79BD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1)усиление накопления и переподготовки начсостава запаса;</w:t>
      </w:r>
    </w:p>
    <w:p w14:paraId="1BE245E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2)обучение некоторой части начсостава по линии Осоавиахима облегчит положение, но не обеспечит полностью готовности РККА, поэтому является насущной необходимостью увеличение средств для обучения запасных и создание условий, благоприятствующих организации учебы начсостава (создание специальных школ);</w:t>
      </w:r>
    </w:p>
    <w:p w14:paraId="52A0444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3)принять суровые меры в отношении гражданских органов, стремящихся освободиться от начсостава запаса, особенно в период его обучения;</w:t>
      </w:r>
    </w:p>
    <w:p w14:paraId="6968025A"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4)принять меры к использованию начсостава на должностях более высокой квалификации, обеспечив тем его существование.</w:t>
      </w:r>
    </w:p>
    <w:p w14:paraId="562F1721"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начальника </w:t>
      </w:r>
      <w:proofErr w:type="spellStart"/>
      <w:r w:rsidRPr="00A259BD">
        <w:rPr>
          <w:rFonts w:ascii="Times New Roman" w:hAnsi="Times New Roman"/>
          <w:color w:val="000000" w:themeColor="text1"/>
          <w:sz w:val="16"/>
          <w:szCs w:val="16"/>
        </w:rPr>
        <w:t>УправленияВ.М</w:t>
      </w:r>
      <w:proofErr w:type="spellEnd"/>
      <w:r w:rsidRPr="00A259BD">
        <w:rPr>
          <w:rFonts w:ascii="Times New Roman" w:hAnsi="Times New Roman"/>
          <w:color w:val="000000" w:themeColor="text1"/>
          <w:sz w:val="16"/>
          <w:szCs w:val="16"/>
        </w:rPr>
        <w:t>. Смородинов*</w:t>
      </w:r>
    </w:p>
    <w:p w14:paraId="67971E0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 2-го </w:t>
      </w:r>
      <w:proofErr w:type="spellStart"/>
      <w:r w:rsidRPr="00A259BD">
        <w:rPr>
          <w:rFonts w:ascii="Times New Roman" w:hAnsi="Times New Roman"/>
          <w:color w:val="000000" w:themeColor="text1"/>
          <w:sz w:val="16"/>
          <w:szCs w:val="16"/>
        </w:rPr>
        <w:t>отделаКнязев</w:t>
      </w:r>
      <w:proofErr w:type="spellEnd"/>
    </w:p>
    <w:p w14:paraId="2B6913D2"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РГВА. Ф. 4. On. 1. Д. 826. Л. 1—96 об. Подлинник (21355).</w:t>
      </w:r>
    </w:p>
    <w:p w14:paraId="792A281E" w14:textId="77777777" w:rsidR="00B32F5E" w:rsidRPr="00A259BD" w:rsidRDefault="00B32F5E" w:rsidP="009236E3">
      <w:pPr>
        <w:spacing w:after="0" w:line="240" w:lineRule="auto"/>
        <w:jc w:val="both"/>
        <w:rPr>
          <w:rFonts w:ascii="Times New Roman" w:hAnsi="Times New Roman"/>
          <w:color w:val="000000" w:themeColor="text1"/>
          <w:sz w:val="16"/>
          <w:szCs w:val="16"/>
        </w:rPr>
      </w:pPr>
    </w:p>
    <w:p w14:paraId="6151F604" w14:textId="77777777" w:rsidR="00B32F5E" w:rsidRPr="00A259BD" w:rsidRDefault="00B32F5E"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30 октября 1929 г. состоялось заседание РЗ СТО</w:t>
      </w:r>
    </w:p>
    <w:p w14:paraId="2057DFAE" w14:textId="77777777" w:rsidR="00B32F5E" w:rsidRPr="00A259BD" w:rsidRDefault="00B32F5E"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Протокол № 41 от 30 октября 1929 г.:</w:t>
      </w:r>
    </w:p>
    <w:p w14:paraId="662CE316" w14:textId="77777777" w:rsidR="00B32F5E" w:rsidRPr="00A259BD" w:rsidRDefault="00B32F5E"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О мероприятиях по развитию авиапромышленности в течение 1929- 30 - 1932-33 года (постановление P3 СТО от 16.10.1929 г. к протоколу P3 СТО № 41 от 30.10.1929 г. по п. 12) (21567).</w:t>
      </w:r>
    </w:p>
    <w:p w14:paraId="6310AAC4" w14:textId="77777777" w:rsidR="00B32F5E" w:rsidRPr="00A259BD" w:rsidRDefault="00B32F5E" w:rsidP="009236E3">
      <w:pPr>
        <w:spacing w:after="0" w:line="240" w:lineRule="auto"/>
        <w:jc w:val="both"/>
        <w:rPr>
          <w:rFonts w:ascii="Times New Roman" w:hAnsi="Times New Roman"/>
          <w:color w:val="000000" w:themeColor="text1"/>
          <w:sz w:val="16"/>
          <w:szCs w:val="16"/>
        </w:rPr>
      </w:pPr>
    </w:p>
    <w:p w14:paraId="11741100"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октября 1929 опросом членов ПБ</w:t>
      </w:r>
    </w:p>
    <w:p w14:paraId="2CBCE0C7"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w:t>
      </w:r>
      <w:proofErr w:type="spellStart"/>
      <w:r w:rsidRPr="00A259BD">
        <w:rPr>
          <w:rFonts w:ascii="Times New Roman" w:hAnsi="Times New Roman"/>
          <w:color w:val="000000" w:themeColor="text1"/>
          <w:sz w:val="16"/>
          <w:szCs w:val="16"/>
        </w:rPr>
        <w:t>Boпрос</w:t>
      </w:r>
      <w:proofErr w:type="spellEnd"/>
      <w:r w:rsidRPr="00A259BD">
        <w:rPr>
          <w:rFonts w:ascii="Times New Roman" w:hAnsi="Times New Roman"/>
          <w:color w:val="000000" w:themeColor="text1"/>
          <w:sz w:val="16"/>
          <w:szCs w:val="16"/>
        </w:rPr>
        <w:t xml:space="preserve"> т. Ворошилова.</w:t>
      </w:r>
    </w:p>
    <w:p w14:paraId="6507F97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Переместить один дредноут и один крейсер из района Балтий</w:t>
      </w:r>
      <w:r w:rsidRPr="00A259BD">
        <w:rPr>
          <w:rFonts w:ascii="Times New Roman" w:hAnsi="Times New Roman"/>
          <w:color w:val="000000" w:themeColor="text1"/>
          <w:sz w:val="16"/>
          <w:szCs w:val="16"/>
        </w:rPr>
        <w:softHyphen/>
        <w:t>ского моря в Черное море.</w:t>
      </w:r>
    </w:p>
    <w:p w14:paraId="7DFA863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послана: т. Ворошилову.</w:t>
      </w:r>
    </w:p>
    <w:p w14:paraId="0EFC2ECC"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О В.</w:t>
      </w:r>
    </w:p>
    <w:p w14:paraId="7B9C05C6"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Поставить на вид ОГПУ, что оно ни сумело в свое время открыть и ликвидировать изменническую антисоветскую работу Блюмкина.</w:t>
      </w:r>
    </w:p>
    <w:p w14:paraId="2B96699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Блюмкина расстрелять.</w:t>
      </w:r>
    </w:p>
    <w:p w14:paraId="445D14E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Поручить ОГПУ установить точно характер поведения Горской.</w:t>
      </w:r>
    </w:p>
    <w:p w14:paraId="41F8B0D9"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послана: т. Ягоде.</w:t>
      </w:r>
    </w:p>
    <w:p w14:paraId="7CA54C1F"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О каучуке.</w:t>
      </w:r>
    </w:p>
    <w:p w14:paraId="6C66328D"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Поставить в Политбюро через месяц доклад ВСНХ о состоянии дел и перспективах советского каучука (</w:t>
      </w:r>
      <w:proofErr w:type="spellStart"/>
      <w:r w:rsidRPr="00A259BD">
        <w:rPr>
          <w:rFonts w:ascii="Times New Roman" w:hAnsi="Times New Roman"/>
          <w:color w:val="000000" w:themeColor="text1"/>
          <w:sz w:val="16"/>
          <w:szCs w:val="16"/>
        </w:rPr>
        <w:t>хандрилла</w:t>
      </w:r>
      <w:proofErr w:type="spellEnd"/>
      <w:r w:rsidRPr="00A259BD">
        <w:rPr>
          <w:rFonts w:ascii="Times New Roman" w:hAnsi="Times New Roman"/>
          <w:color w:val="000000" w:themeColor="text1"/>
          <w:sz w:val="16"/>
          <w:szCs w:val="16"/>
        </w:rPr>
        <w:t xml:space="preserve">, киевский каучук, и мексиканская </w:t>
      </w:r>
      <w:proofErr w:type="spellStart"/>
      <w:r w:rsidRPr="00A259BD">
        <w:rPr>
          <w:rFonts w:ascii="Times New Roman" w:hAnsi="Times New Roman"/>
          <w:color w:val="000000" w:themeColor="text1"/>
          <w:sz w:val="16"/>
          <w:szCs w:val="16"/>
        </w:rPr>
        <w:t>гуанола</w:t>
      </w:r>
      <w:proofErr w:type="spellEnd"/>
      <w:r w:rsidRPr="00A259BD">
        <w:rPr>
          <w:rFonts w:ascii="Times New Roman" w:hAnsi="Times New Roman"/>
          <w:color w:val="000000" w:themeColor="text1"/>
          <w:sz w:val="16"/>
          <w:szCs w:val="16"/>
        </w:rPr>
        <w:t>).</w:t>
      </w:r>
    </w:p>
    <w:p w14:paraId="27AE3DA4"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Выписка послана: т. </w:t>
      </w:r>
      <w:proofErr w:type="spellStart"/>
      <w:r w:rsidRPr="00A259BD">
        <w:rPr>
          <w:rFonts w:ascii="Times New Roman" w:hAnsi="Times New Roman"/>
          <w:color w:val="000000" w:themeColor="text1"/>
          <w:sz w:val="16"/>
          <w:szCs w:val="16"/>
        </w:rPr>
        <w:t>Куйбыщеву</w:t>
      </w:r>
      <w:proofErr w:type="spellEnd"/>
    </w:p>
    <w:p w14:paraId="627F7E23" w14:textId="77777777" w:rsidR="00B32F5E" w:rsidRPr="00A259BD" w:rsidRDefault="00B32F5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ноября 1929 состоялось заседание ПБ (Протокол № 106. Особый № 104) (23087).</w:t>
      </w:r>
    </w:p>
    <w:p w14:paraId="50170272" w14:textId="77777777" w:rsidR="00B32F5E" w:rsidRPr="00A259BD" w:rsidRDefault="00B32F5E" w:rsidP="009236E3">
      <w:pPr>
        <w:spacing w:after="0" w:line="240" w:lineRule="auto"/>
        <w:jc w:val="both"/>
        <w:rPr>
          <w:rFonts w:ascii="Times New Roman" w:hAnsi="Times New Roman"/>
          <w:color w:val="000000" w:themeColor="text1"/>
          <w:sz w:val="16"/>
          <w:szCs w:val="16"/>
        </w:rPr>
      </w:pPr>
    </w:p>
    <w:p w14:paraId="1783AA78" w14:textId="77777777" w:rsidR="00CE760C"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12F78B7" w14:textId="77777777" w:rsidR="00CE760C" w:rsidRPr="00A259BD" w:rsidRDefault="00CE760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36C406" w14:textId="77777777" w:rsidR="00CE760C" w:rsidRPr="00A259BD" w:rsidRDefault="00CE760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октября 1929 г. Секретариат ЦК ВКП (б) принял постановление «Об улучшении библиотечной работы», в котором говорилось о необходимости «провести просмотр книжного состава всех библиотек и очистить его от идеологически вредной, устаревшей и не подходящей к данному типу библиотек литературы». В подлинных </w:t>
      </w:r>
      <w:r w:rsidRPr="00A259BD">
        <w:rPr>
          <w:rFonts w:ascii="Times New Roman" w:hAnsi="Times New Roman"/>
          <w:color w:val="000000" w:themeColor="text1"/>
          <w:sz w:val="16"/>
          <w:szCs w:val="16"/>
        </w:rPr>
        <w:lastRenderedPageBreak/>
        <w:t xml:space="preserve">протоколах Секретариата ЦК никаких подготовительных материалов к этому документу не сохранилось. Свет на происхождение этого постановления проливает Председатель </w:t>
      </w:r>
      <w:proofErr w:type="spellStart"/>
      <w:r w:rsidRPr="00A259BD">
        <w:rPr>
          <w:rFonts w:ascii="Times New Roman" w:hAnsi="Times New Roman"/>
          <w:color w:val="000000" w:themeColor="text1"/>
          <w:sz w:val="16"/>
          <w:szCs w:val="16"/>
        </w:rPr>
        <w:t>Главполитпросвета</w:t>
      </w:r>
      <w:proofErr w:type="spellEnd"/>
      <w:r w:rsidRPr="00A259BD">
        <w:rPr>
          <w:rFonts w:ascii="Times New Roman" w:hAnsi="Times New Roman"/>
          <w:color w:val="000000" w:themeColor="text1"/>
          <w:sz w:val="16"/>
          <w:szCs w:val="16"/>
        </w:rPr>
        <w:t xml:space="preserve"> при Наркомпросе РСФСР </w:t>
      </w:r>
      <w:proofErr w:type="spellStart"/>
      <w:r w:rsidRPr="00A259BD">
        <w:rPr>
          <w:rFonts w:ascii="Times New Roman" w:hAnsi="Times New Roman"/>
          <w:color w:val="000000" w:themeColor="text1"/>
          <w:sz w:val="16"/>
          <w:szCs w:val="16"/>
        </w:rPr>
        <w:t>Н.К.Крупская</w:t>
      </w:r>
      <w:proofErr w:type="spellEnd"/>
      <w:r w:rsidRPr="00A259BD">
        <w:rPr>
          <w:rFonts w:ascii="Times New Roman" w:hAnsi="Times New Roman"/>
          <w:color w:val="000000" w:themeColor="text1"/>
          <w:sz w:val="16"/>
          <w:szCs w:val="16"/>
        </w:rPr>
        <w:t xml:space="preserve"> в письме к своей заместительнице </w:t>
      </w:r>
      <w:proofErr w:type="spellStart"/>
      <w:r w:rsidRPr="00A259BD">
        <w:rPr>
          <w:rFonts w:ascii="Times New Roman" w:hAnsi="Times New Roman"/>
          <w:color w:val="000000" w:themeColor="text1"/>
          <w:sz w:val="16"/>
          <w:szCs w:val="16"/>
        </w:rPr>
        <w:t>А.Г.Кравченко</w:t>
      </w:r>
      <w:proofErr w:type="spellEnd"/>
      <w:r w:rsidRPr="00A259BD">
        <w:rPr>
          <w:rFonts w:ascii="Times New Roman" w:hAnsi="Times New Roman"/>
          <w:color w:val="000000" w:themeColor="text1"/>
          <w:sz w:val="16"/>
          <w:szCs w:val="16"/>
        </w:rPr>
        <w:t>: «Под давлением культотделов [профсоюзов – М.З.] АППО ЦК (Отдел агитации, пропаганды и печати) в последнюю минуту в резолюцию о библиотечном деле вставил пункт о чистке. [...] Профсоюзы требуют, чтобы ГПП (</w:t>
      </w:r>
      <w:proofErr w:type="spellStart"/>
      <w:r w:rsidRPr="00A259BD">
        <w:rPr>
          <w:rFonts w:ascii="Times New Roman" w:hAnsi="Times New Roman"/>
          <w:color w:val="000000" w:themeColor="text1"/>
          <w:sz w:val="16"/>
          <w:szCs w:val="16"/>
        </w:rPr>
        <w:t>Главполитпросвет</w:t>
      </w:r>
      <w:proofErr w:type="spellEnd"/>
      <w:r w:rsidRPr="00A259BD">
        <w:rPr>
          <w:rFonts w:ascii="Times New Roman" w:hAnsi="Times New Roman"/>
          <w:color w:val="000000" w:themeColor="text1"/>
          <w:sz w:val="16"/>
          <w:szCs w:val="16"/>
        </w:rPr>
        <w:t xml:space="preserve"> – М.З.) дал им исчерпывающий список книг с мещанским уклоном». Действительно, за две недели до этого в официальном органе Всесоюзного центрального совета профессиональных союзов (ВЦСПС) газете «Труд» появился Циркуляр № 242 «Учесть уроки Днепропетровского вредительства», в котором прозвучал плохо скрываемый призыв к изъятию «вредной» литературы. Несмотря на противодействие Крупской, анонимный руководитель Наркомпроса принимает решение изъять до 80 % литературы из библиотек массового пользования. Летом 1932 г. эти чистки достигли пика. Из библиотек изымались книги не только классиков литературы, но и работы Маркса, Ленина, Сталина. Всё, что было после этого, мало известно в литературе</w:t>
      </w:r>
      <w:bookmarkStart w:id="91" w:name="_ftnref6"/>
      <w:r w:rsidRPr="00A259BD">
        <w:rPr>
          <w:rFonts w:ascii="Times New Roman" w:hAnsi="Times New Roman"/>
          <w:color w:val="000000" w:themeColor="text1"/>
          <w:sz w:val="16"/>
          <w:szCs w:val="16"/>
        </w:rPr>
        <w:t xml:space="preserve"> (17273)</w:t>
      </w:r>
      <w:bookmarkEnd w:id="91"/>
      <w:r w:rsidRPr="00A259BD">
        <w:rPr>
          <w:rFonts w:ascii="Times New Roman" w:hAnsi="Times New Roman"/>
          <w:color w:val="000000" w:themeColor="text1"/>
          <w:sz w:val="16"/>
          <w:szCs w:val="16"/>
        </w:rPr>
        <w:t>.</w:t>
      </w:r>
    </w:p>
    <w:p w14:paraId="210ACEDB" w14:textId="77777777" w:rsidR="00CE760C" w:rsidRPr="00A259BD" w:rsidRDefault="00CE760C" w:rsidP="009236E3">
      <w:pPr>
        <w:spacing w:after="0" w:line="240" w:lineRule="auto"/>
        <w:jc w:val="both"/>
        <w:rPr>
          <w:rFonts w:ascii="Times New Roman" w:hAnsi="Times New Roman"/>
          <w:color w:val="000000" w:themeColor="text1"/>
          <w:sz w:val="16"/>
          <w:szCs w:val="16"/>
        </w:rPr>
      </w:pPr>
    </w:p>
    <w:p w14:paraId="36AE75A3" w14:textId="77777777" w:rsidR="000922FC" w:rsidRPr="00A259BD" w:rsidRDefault="000922FC"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5DE3AC07" w14:textId="77777777" w:rsidR="000922FC" w:rsidRPr="00A259BD" w:rsidRDefault="000922FC"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24B8321" w14:textId="77777777" w:rsidR="000922FC" w:rsidRPr="00A259BD" w:rsidRDefault="000922FC"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hAnsi="Times New Roman"/>
          <w:color w:val="000000" w:themeColor="text1"/>
          <w:sz w:val="16"/>
          <w:szCs w:val="16"/>
        </w:rPr>
        <w:t xml:space="preserve">30 октября 1929 в Казани из-за неправильных действий механика-водителя танк </w:t>
      </w:r>
      <w:proofErr w:type="spellStart"/>
      <w:r w:rsidRPr="00A259BD">
        <w:rPr>
          <w:rFonts w:ascii="Times New Roman" w:hAnsi="Times New Roman"/>
          <w:color w:val="000000" w:themeColor="text1"/>
          <w:sz w:val="16"/>
          <w:szCs w:val="16"/>
        </w:rPr>
        <w:t>Rheinmetall</w:t>
      </w:r>
      <w:proofErr w:type="spellEnd"/>
      <w:r w:rsidRPr="00A259BD">
        <w:rPr>
          <w:rFonts w:ascii="Times New Roman" w:hAnsi="Times New Roman"/>
          <w:color w:val="000000" w:themeColor="text1"/>
          <w:sz w:val="16"/>
          <w:szCs w:val="16"/>
        </w:rPr>
        <w:t xml:space="preserve"> при попытке преодолеть водоём при движении задним ходом утонул. С ним утонул и инженер компании </w:t>
      </w:r>
      <w:proofErr w:type="spellStart"/>
      <w:r w:rsidRPr="00A259BD">
        <w:rPr>
          <w:rFonts w:ascii="Times New Roman" w:hAnsi="Times New Roman"/>
          <w:color w:val="000000" w:themeColor="text1"/>
          <w:sz w:val="16"/>
          <w:szCs w:val="16"/>
        </w:rPr>
        <w:t>Rheinmetal</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Керрес</w:t>
      </w:r>
      <w:proofErr w:type="spellEnd"/>
      <w:r w:rsidRPr="00A259BD">
        <w:rPr>
          <w:rFonts w:ascii="Times New Roman" w:hAnsi="Times New Roman"/>
          <w:color w:val="000000" w:themeColor="text1"/>
          <w:sz w:val="16"/>
          <w:szCs w:val="16"/>
        </w:rPr>
        <w:t xml:space="preserve">, который отвечал за работу танков. Машину вытащили из воды и отправили на ремонт. Это был первый и последний такой опыт. Даже без учёта неверных действий механика-водителя было ясно, что машины слишком перегружены для плавания. Танки </w:t>
      </w:r>
      <w:proofErr w:type="spellStart"/>
      <w:r w:rsidRPr="00A259BD">
        <w:rPr>
          <w:rFonts w:ascii="Times New Roman" w:hAnsi="Times New Roman"/>
          <w:color w:val="000000" w:themeColor="text1"/>
          <w:sz w:val="16"/>
          <w:szCs w:val="16"/>
        </w:rPr>
        <w:t>Rheinmetall</w:t>
      </w:r>
      <w:proofErr w:type="spellEnd"/>
      <w:r w:rsidRPr="00A259BD">
        <w:rPr>
          <w:rFonts w:ascii="Times New Roman" w:hAnsi="Times New Roman"/>
          <w:color w:val="000000" w:themeColor="text1"/>
          <w:sz w:val="16"/>
          <w:szCs w:val="16"/>
        </w:rPr>
        <w:t xml:space="preserve"> и Daimler-Benz имели боевую массу 16 тонн, а машина </w:t>
      </w:r>
      <w:proofErr w:type="spellStart"/>
      <w:r w:rsidRPr="00A259BD">
        <w:rPr>
          <w:rFonts w:ascii="Times New Roman" w:hAnsi="Times New Roman"/>
          <w:color w:val="000000" w:themeColor="text1"/>
          <w:sz w:val="16"/>
          <w:szCs w:val="16"/>
        </w:rPr>
        <w:t>Krupp</w:t>
      </w:r>
      <w:proofErr w:type="spellEnd"/>
      <w:r w:rsidRPr="00A259BD">
        <w:rPr>
          <w:rFonts w:ascii="Times New Roman" w:hAnsi="Times New Roman"/>
          <w:color w:val="000000" w:themeColor="text1"/>
          <w:sz w:val="16"/>
          <w:szCs w:val="16"/>
        </w:rPr>
        <w:t xml:space="preserve"> — 16,4 тонны. Даже без башен </w:t>
      </w:r>
      <w:proofErr w:type="spellStart"/>
      <w:r w:rsidRPr="00A259BD">
        <w:rPr>
          <w:rFonts w:ascii="Times New Roman" w:hAnsi="Times New Roman"/>
          <w:color w:val="000000" w:themeColor="text1"/>
          <w:sz w:val="16"/>
          <w:szCs w:val="16"/>
        </w:rPr>
        <w:t>Gr.Tr.Rh</w:t>
      </w:r>
      <w:proofErr w:type="spellEnd"/>
      <w:r w:rsidRPr="00A259BD">
        <w:rPr>
          <w:rFonts w:ascii="Times New Roman" w:hAnsi="Times New Roman"/>
          <w:color w:val="000000" w:themeColor="text1"/>
          <w:sz w:val="16"/>
          <w:szCs w:val="16"/>
        </w:rPr>
        <w:t xml:space="preserve">. погружался в воду слишком глубоко, рискуя зачерпнуть воды. В дальнейшем гребные винты со всех танков демонтировали, хотя и ходили разговоры о том, чтобы испытать понтоны для придания плавучести танкам </w:t>
      </w:r>
      <w:r w:rsidRPr="00A259BD">
        <w:rPr>
          <w:rFonts w:ascii="Times New Roman" w:eastAsia="Times New Roman" w:hAnsi="Times New Roman"/>
          <w:color w:val="000000" w:themeColor="text1"/>
          <w:sz w:val="16"/>
          <w:szCs w:val="16"/>
          <w:lang w:eastAsia="ru-RU"/>
        </w:rPr>
        <w:t>(17713).</w:t>
      </w:r>
    </w:p>
    <w:p w14:paraId="25F242C3" w14:textId="77777777" w:rsidR="000922FC" w:rsidRPr="00A259BD" w:rsidRDefault="000922FC" w:rsidP="009236E3">
      <w:pPr>
        <w:spacing w:after="0" w:line="240" w:lineRule="auto"/>
        <w:jc w:val="both"/>
        <w:rPr>
          <w:rFonts w:ascii="Times New Roman" w:eastAsia="Times New Roman" w:hAnsi="Times New Roman"/>
          <w:color w:val="000000" w:themeColor="text1"/>
          <w:sz w:val="16"/>
          <w:szCs w:val="16"/>
          <w:lang w:eastAsia="ru-RU"/>
        </w:rPr>
      </w:pPr>
    </w:p>
    <w:p w14:paraId="59F7E80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68DB72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5B72B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октября 1929 года референт с-та РЗ СТО писал письмо в ВСНХ Урываеву</w:t>
      </w:r>
    </w:p>
    <w:p w14:paraId="6F0334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поручению секретаря РЗ СТО возвращается альбом "Опытное самолетостроение 1927-28 г., завод № 25".</w:t>
      </w:r>
    </w:p>
    <w:p w14:paraId="68F975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Альбом на 26 страницах (3545, 75).</w:t>
      </w:r>
    </w:p>
    <w:p w14:paraId="451FF3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Данные самолетов, построенных (или строящихся) заводом № 25 в 1927/28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58"/>
        <w:gridCol w:w="1027"/>
        <w:gridCol w:w="1134"/>
        <w:gridCol w:w="1134"/>
        <w:gridCol w:w="1134"/>
        <w:gridCol w:w="1134"/>
        <w:gridCol w:w="992"/>
        <w:gridCol w:w="1134"/>
        <w:gridCol w:w="1276"/>
      </w:tblGrid>
      <w:tr w:rsidR="00A259BD" w:rsidRPr="00A259BD" w14:paraId="00B801AA" w14:textId="77777777">
        <w:trPr>
          <w:cantSplit/>
        </w:trPr>
        <w:tc>
          <w:tcPr>
            <w:tcW w:w="2058" w:type="dxa"/>
          </w:tcPr>
          <w:p w14:paraId="75C1B5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Наименования характеристик</w:t>
            </w:r>
          </w:p>
        </w:tc>
        <w:tc>
          <w:tcPr>
            <w:tcW w:w="1027" w:type="dxa"/>
          </w:tcPr>
          <w:p w14:paraId="236A73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Учебный самолет У2-М11 (по данным НИИ)</w:t>
            </w:r>
          </w:p>
        </w:tc>
        <w:tc>
          <w:tcPr>
            <w:tcW w:w="1134" w:type="dxa"/>
          </w:tcPr>
          <w:p w14:paraId="45E14A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переходного типа (разведчик) П2-М6 (по данным НИИ)</w:t>
            </w:r>
          </w:p>
        </w:tc>
        <w:tc>
          <w:tcPr>
            <w:tcW w:w="1134" w:type="dxa"/>
          </w:tcPr>
          <w:p w14:paraId="6EEF8C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Разведчик-бомбардир. Р5-БМВ6 (по </w:t>
            </w:r>
            <w:proofErr w:type="spellStart"/>
            <w:r w:rsidRPr="00A259BD">
              <w:rPr>
                <w:rFonts w:ascii="Times New Roman" w:hAnsi="Times New Roman"/>
                <w:color w:val="000000" w:themeColor="text1"/>
                <w:sz w:val="16"/>
                <w:szCs w:val="16"/>
              </w:rPr>
              <w:t>аэр</w:t>
            </w:r>
            <w:proofErr w:type="spellEnd"/>
            <w:r w:rsidRPr="00A259BD">
              <w:rPr>
                <w:rFonts w:ascii="Times New Roman" w:hAnsi="Times New Roman"/>
                <w:color w:val="000000" w:themeColor="text1"/>
                <w:sz w:val="16"/>
                <w:szCs w:val="16"/>
              </w:rPr>
              <w:t xml:space="preserve">. расчетам) </w:t>
            </w:r>
          </w:p>
        </w:tc>
        <w:tc>
          <w:tcPr>
            <w:tcW w:w="1134" w:type="dxa"/>
          </w:tcPr>
          <w:p w14:paraId="76E786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Одноместный истребитель И3-БМВ6 (по данным НИИ)</w:t>
            </w:r>
          </w:p>
        </w:tc>
        <w:tc>
          <w:tcPr>
            <w:tcW w:w="1134" w:type="dxa"/>
          </w:tcPr>
          <w:p w14:paraId="2B30EB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Одноместный истребитель И3-БМВ6Z (по </w:t>
            </w:r>
            <w:proofErr w:type="spellStart"/>
            <w:r w:rsidRPr="00A259BD">
              <w:rPr>
                <w:rFonts w:ascii="Times New Roman" w:hAnsi="Times New Roman"/>
                <w:color w:val="000000" w:themeColor="text1"/>
                <w:sz w:val="16"/>
                <w:szCs w:val="16"/>
              </w:rPr>
              <w:t>аэрод</w:t>
            </w:r>
            <w:proofErr w:type="spellEnd"/>
            <w:r w:rsidRPr="00A259BD">
              <w:rPr>
                <w:rFonts w:ascii="Times New Roman" w:hAnsi="Times New Roman"/>
                <w:color w:val="000000" w:themeColor="text1"/>
                <w:sz w:val="16"/>
                <w:szCs w:val="16"/>
              </w:rPr>
              <w:t xml:space="preserve">. расчетам) </w:t>
            </w:r>
          </w:p>
        </w:tc>
        <w:tc>
          <w:tcPr>
            <w:tcW w:w="992" w:type="dxa"/>
          </w:tcPr>
          <w:p w14:paraId="0ECE05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Двухместный истребитель Д2-БМВ6Z (по </w:t>
            </w:r>
            <w:proofErr w:type="spellStart"/>
            <w:r w:rsidRPr="00A259BD">
              <w:rPr>
                <w:rFonts w:ascii="Times New Roman" w:hAnsi="Times New Roman"/>
                <w:color w:val="000000" w:themeColor="text1"/>
                <w:sz w:val="16"/>
                <w:szCs w:val="16"/>
              </w:rPr>
              <w:t>аэрод</w:t>
            </w:r>
            <w:proofErr w:type="spellEnd"/>
            <w:r w:rsidRPr="00A259BD">
              <w:rPr>
                <w:rFonts w:ascii="Times New Roman" w:hAnsi="Times New Roman"/>
                <w:color w:val="000000" w:themeColor="text1"/>
                <w:sz w:val="16"/>
                <w:szCs w:val="16"/>
              </w:rPr>
              <w:t xml:space="preserve">. расчетам) </w:t>
            </w:r>
          </w:p>
        </w:tc>
        <w:tc>
          <w:tcPr>
            <w:tcW w:w="1134" w:type="dxa"/>
          </w:tcPr>
          <w:p w14:paraId="10C019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Бомбардир. ТБ2-2БМВ6 (по </w:t>
            </w:r>
            <w:proofErr w:type="spellStart"/>
            <w:r w:rsidRPr="00A259BD">
              <w:rPr>
                <w:rFonts w:ascii="Times New Roman" w:hAnsi="Times New Roman"/>
                <w:color w:val="000000" w:themeColor="text1"/>
                <w:sz w:val="16"/>
                <w:szCs w:val="16"/>
              </w:rPr>
              <w:t>аэрод</w:t>
            </w:r>
            <w:proofErr w:type="spellEnd"/>
            <w:r w:rsidRPr="00A259BD">
              <w:rPr>
                <w:rFonts w:ascii="Times New Roman" w:hAnsi="Times New Roman"/>
                <w:color w:val="000000" w:themeColor="text1"/>
                <w:sz w:val="16"/>
                <w:szCs w:val="16"/>
              </w:rPr>
              <w:t>. расчетам)</w:t>
            </w:r>
          </w:p>
        </w:tc>
        <w:tc>
          <w:tcPr>
            <w:tcW w:w="1276" w:type="dxa"/>
          </w:tcPr>
          <w:p w14:paraId="34A6DE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Переходный самолет Р1-БМВIV (по испытаниям в Таганроге)</w:t>
            </w:r>
          </w:p>
        </w:tc>
      </w:tr>
      <w:tr w:rsidR="00A259BD" w:rsidRPr="00A259BD" w14:paraId="1B2DDF47" w14:textId="77777777">
        <w:trPr>
          <w:cantSplit/>
        </w:trPr>
        <w:tc>
          <w:tcPr>
            <w:tcW w:w="2058" w:type="dxa"/>
          </w:tcPr>
          <w:p w14:paraId="2E2480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Название мотора и мощность в л.с.</w:t>
            </w:r>
          </w:p>
        </w:tc>
        <w:tc>
          <w:tcPr>
            <w:tcW w:w="1027" w:type="dxa"/>
          </w:tcPr>
          <w:p w14:paraId="4956C2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М-11</w:t>
            </w:r>
          </w:p>
          <w:p w14:paraId="207C00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1134" w:type="dxa"/>
          </w:tcPr>
          <w:p w14:paraId="501E0F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М-6</w:t>
            </w:r>
          </w:p>
          <w:p w14:paraId="2C5080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tc>
        <w:tc>
          <w:tcPr>
            <w:tcW w:w="1134" w:type="dxa"/>
          </w:tcPr>
          <w:p w14:paraId="275A45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БМВ6</w:t>
            </w:r>
          </w:p>
          <w:p w14:paraId="4D1BFE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480</w:t>
            </w:r>
          </w:p>
        </w:tc>
        <w:tc>
          <w:tcPr>
            <w:tcW w:w="1134" w:type="dxa"/>
          </w:tcPr>
          <w:p w14:paraId="46050E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БМВ6</w:t>
            </w:r>
          </w:p>
          <w:p w14:paraId="4B0864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480</w:t>
            </w:r>
          </w:p>
        </w:tc>
        <w:tc>
          <w:tcPr>
            <w:tcW w:w="1134" w:type="dxa"/>
          </w:tcPr>
          <w:p w14:paraId="1C00FC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БМВ6</w:t>
            </w:r>
          </w:p>
          <w:p w14:paraId="6CD1FB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992" w:type="dxa"/>
          </w:tcPr>
          <w:p w14:paraId="4E98FF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БМВ6</w:t>
            </w:r>
          </w:p>
          <w:p w14:paraId="5E8A2E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1134" w:type="dxa"/>
          </w:tcPr>
          <w:p w14:paraId="762839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БМВ6</w:t>
            </w:r>
          </w:p>
          <w:p w14:paraId="002373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480</w:t>
            </w:r>
          </w:p>
        </w:tc>
        <w:tc>
          <w:tcPr>
            <w:tcW w:w="1276" w:type="dxa"/>
          </w:tcPr>
          <w:p w14:paraId="6B1427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БМВIV</w:t>
            </w:r>
          </w:p>
          <w:p w14:paraId="7F3E7C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250-300</w:t>
            </w:r>
          </w:p>
        </w:tc>
      </w:tr>
      <w:tr w:rsidR="00A259BD" w:rsidRPr="00A259BD" w14:paraId="5B608A86" w14:textId="77777777">
        <w:trPr>
          <w:cantSplit/>
        </w:trPr>
        <w:tc>
          <w:tcPr>
            <w:tcW w:w="2058" w:type="dxa"/>
          </w:tcPr>
          <w:p w14:paraId="49DB6B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 самолета без нагрузки</w:t>
            </w:r>
          </w:p>
        </w:tc>
        <w:tc>
          <w:tcPr>
            <w:tcW w:w="1027" w:type="dxa"/>
          </w:tcPr>
          <w:p w14:paraId="01A6BD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614</w:t>
            </w:r>
          </w:p>
        </w:tc>
        <w:tc>
          <w:tcPr>
            <w:tcW w:w="1134" w:type="dxa"/>
          </w:tcPr>
          <w:p w14:paraId="74CB05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1007</w:t>
            </w:r>
          </w:p>
        </w:tc>
        <w:tc>
          <w:tcPr>
            <w:tcW w:w="1134" w:type="dxa"/>
          </w:tcPr>
          <w:p w14:paraId="2BA114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1747</w:t>
            </w:r>
          </w:p>
        </w:tc>
        <w:tc>
          <w:tcPr>
            <w:tcW w:w="1134" w:type="dxa"/>
          </w:tcPr>
          <w:p w14:paraId="5D9742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1340</w:t>
            </w:r>
          </w:p>
        </w:tc>
        <w:tc>
          <w:tcPr>
            <w:tcW w:w="1134" w:type="dxa"/>
          </w:tcPr>
          <w:p w14:paraId="0ED46A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1335</w:t>
            </w:r>
          </w:p>
        </w:tc>
        <w:tc>
          <w:tcPr>
            <w:tcW w:w="992" w:type="dxa"/>
          </w:tcPr>
          <w:p w14:paraId="05F3BE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1426</w:t>
            </w:r>
          </w:p>
        </w:tc>
        <w:tc>
          <w:tcPr>
            <w:tcW w:w="1134" w:type="dxa"/>
          </w:tcPr>
          <w:p w14:paraId="72E96E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4118</w:t>
            </w:r>
          </w:p>
        </w:tc>
        <w:tc>
          <w:tcPr>
            <w:tcW w:w="1276" w:type="dxa"/>
          </w:tcPr>
          <w:p w14:paraId="003063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1307</w:t>
            </w:r>
          </w:p>
        </w:tc>
      </w:tr>
      <w:tr w:rsidR="00A259BD" w:rsidRPr="00A259BD" w14:paraId="24057F36" w14:textId="77777777">
        <w:trPr>
          <w:cantSplit/>
        </w:trPr>
        <w:tc>
          <w:tcPr>
            <w:tcW w:w="2058" w:type="dxa"/>
          </w:tcPr>
          <w:p w14:paraId="21AF29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Нагрузка в кг</w:t>
            </w:r>
          </w:p>
        </w:tc>
        <w:tc>
          <w:tcPr>
            <w:tcW w:w="1027" w:type="dxa"/>
          </w:tcPr>
          <w:p w14:paraId="57CB53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255</w:t>
            </w:r>
          </w:p>
        </w:tc>
        <w:tc>
          <w:tcPr>
            <w:tcW w:w="1134" w:type="dxa"/>
          </w:tcPr>
          <w:p w14:paraId="2E5BB3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w:t>
            </w:r>
          </w:p>
        </w:tc>
        <w:tc>
          <w:tcPr>
            <w:tcW w:w="1134" w:type="dxa"/>
          </w:tcPr>
          <w:p w14:paraId="0F01F3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860</w:t>
            </w:r>
          </w:p>
        </w:tc>
        <w:tc>
          <w:tcPr>
            <w:tcW w:w="1134" w:type="dxa"/>
          </w:tcPr>
          <w:p w14:paraId="58F73D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448</w:t>
            </w:r>
          </w:p>
        </w:tc>
        <w:tc>
          <w:tcPr>
            <w:tcW w:w="1134" w:type="dxa"/>
          </w:tcPr>
          <w:p w14:paraId="20036F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475</w:t>
            </w:r>
          </w:p>
        </w:tc>
        <w:tc>
          <w:tcPr>
            <w:tcW w:w="992" w:type="dxa"/>
          </w:tcPr>
          <w:p w14:paraId="3ECDD6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649</w:t>
            </w:r>
          </w:p>
        </w:tc>
        <w:tc>
          <w:tcPr>
            <w:tcW w:w="1134" w:type="dxa"/>
          </w:tcPr>
          <w:p w14:paraId="799AEC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2652</w:t>
            </w:r>
          </w:p>
        </w:tc>
        <w:tc>
          <w:tcPr>
            <w:tcW w:w="1276" w:type="dxa"/>
          </w:tcPr>
          <w:p w14:paraId="477664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w:t>
            </w:r>
          </w:p>
        </w:tc>
      </w:tr>
      <w:tr w:rsidR="00A259BD" w:rsidRPr="00A259BD" w14:paraId="22DD3E6E" w14:textId="77777777">
        <w:trPr>
          <w:cantSplit/>
        </w:trPr>
        <w:tc>
          <w:tcPr>
            <w:tcW w:w="2058" w:type="dxa"/>
          </w:tcPr>
          <w:p w14:paraId="01EE0E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Полный полетный вес </w:t>
            </w:r>
          </w:p>
        </w:tc>
        <w:tc>
          <w:tcPr>
            <w:tcW w:w="1027" w:type="dxa"/>
          </w:tcPr>
          <w:p w14:paraId="24B648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869</w:t>
            </w:r>
          </w:p>
        </w:tc>
        <w:tc>
          <w:tcPr>
            <w:tcW w:w="1134" w:type="dxa"/>
          </w:tcPr>
          <w:p w14:paraId="7FFA24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1457</w:t>
            </w:r>
          </w:p>
        </w:tc>
        <w:tc>
          <w:tcPr>
            <w:tcW w:w="1134" w:type="dxa"/>
          </w:tcPr>
          <w:p w14:paraId="3A4A01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2607*</w:t>
            </w:r>
          </w:p>
        </w:tc>
        <w:tc>
          <w:tcPr>
            <w:tcW w:w="1134" w:type="dxa"/>
          </w:tcPr>
          <w:p w14:paraId="441FC6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1788</w:t>
            </w:r>
          </w:p>
        </w:tc>
        <w:tc>
          <w:tcPr>
            <w:tcW w:w="1134" w:type="dxa"/>
          </w:tcPr>
          <w:p w14:paraId="12056D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1810*</w:t>
            </w:r>
          </w:p>
        </w:tc>
        <w:tc>
          <w:tcPr>
            <w:tcW w:w="992" w:type="dxa"/>
          </w:tcPr>
          <w:p w14:paraId="754E4D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2075</w:t>
            </w:r>
          </w:p>
        </w:tc>
        <w:tc>
          <w:tcPr>
            <w:tcW w:w="1134" w:type="dxa"/>
          </w:tcPr>
          <w:p w14:paraId="580BD9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6770</w:t>
            </w:r>
          </w:p>
        </w:tc>
        <w:tc>
          <w:tcPr>
            <w:tcW w:w="1276" w:type="dxa"/>
          </w:tcPr>
          <w:p w14:paraId="59A826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1757</w:t>
            </w:r>
          </w:p>
        </w:tc>
      </w:tr>
      <w:tr w:rsidR="00A259BD" w:rsidRPr="00A259BD" w14:paraId="610D6C6F" w14:textId="77777777">
        <w:trPr>
          <w:cantSplit/>
        </w:trPr>
        <w:tc>
          <w:tcPr>
            <w:tcW w:w="2058" w:type="dxa"/>
          </w:tcPr>
          <w:p w14:paraId="1CB0D8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Максим. горизонтальная скорость у земли</w:t>
            </w:r>
          </w:p>
        </w:tc>
        <w:tc>
          <w:tcPr>
            <w:tcW w:w="1027" w:type="dxa"/>
          </w:tcPr>
          <w:p w14:paraId="475D5F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155</w:t>
            </w:r>
          </w:p>
        </w:tc>
        <w:tc>
          <w:tcPr>
            <w:tcW w:w="1134" w:type="dxa"/>
          </w:tcPr>
          <w:p w14:paraId="6429CB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206</w:t>
            </w:r>
          </w:p>
        </w:tc>
        <w:tc>
          <w:tcPr>
            <w:tcW w:w="1134" w:type="dxa"/>
          </w:tcPr>
          <w:p w14:paraId="326904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205</w:t>
            </w:r>
          </w:p>
        </w:tc>
        <w:tc>
          <w:tcPr>
            <w:tcW w:w="1134" w:type="dxa"/>
          </w:tcPr>
          <w:p w14:paraId="01DD2B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258</w:t>
            </w:r>
          </w:p>
        </w:tc>
        <w:tc>
          <w:tcPr>
            <w:tcW w:w="1134" w:type="dxa"/>
          </w:tcPr>
          <w:p w14:paraId="1CDEEC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265/294</w:t>
            </w:r>
          </w:p>
        </w:tc>
        <w:tc>
          <w:tcPr>
            <w:tcW w:w="992" w:type="dxa"/>
          </w:tcPr>
          <w:p w14:paraId="2F2287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253</w:t>
            </w:r>
          </w:p>
        </w:tc>
        <w:tc>
          <w:tcPr>
            <w:tcW w:w="1134" w:type="dxa"/>
          </w:tcPr>
          <w:p w14:paraId="5AB6C9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180</w:t>
            </w:r>
          </w:p>
        </w:tc>
        <w:tc>
          <w:tcPr>
            <w:tcW w:w="1276" w:type="dxa"/>
          </w:tcPr>
          <w:p w14:paraId="314C8E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175/179</w:t>
            </w:r>
          </w:p>
        </w:tc>
      </w:tr>
      <w:tr w:rsidR="00A259BD" w:rsidRPr="00A259BD" w14:paraId="0E69FB24" w14:textId="77777777">
        <w:trPr>
          <w:cantSplit/>
        </w:trPr>
        <w:tc>
          <w:tcPr>
            <w:tcW w:w="2058" w:type="dxa"/>
          </w:tcPr>
          <w:p w14:paraId="5B05D4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Максим. горизонтальная скорость на высоте 3000 м</w:t>
            </w:r>
          </w:p>
        </w:tc>
        <w:tc>
          <w:tcPr>
            <w:tcW w:w="1027" w:type="dxa"/>
          </w:tcPr>
          <w:p w14:paraId="09C3E3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4" w:type="dxa"/>
          </w:tcPr>
          <w:p w14:paraId="3AF793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203</w:t>
            </w:r>
          </w:p>
        </w:tc>
        <w:tc>
          <w:tcPr>
            <w:tcW w:w="1134" w:type="dxa"/>
          </w:tcPr>
          <w:p w14:paraId="46F4A2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225</w:t>
            </w:r>
          </w:p>
        </w:tc>
        <w:tc>
          <w:tcPr>
            <w:tcW w:w="1134" w:type="dxa"/>
          </w:tcPr>
          <w:p w14:paraId="31FAC5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279,5</w:t>
            </w:r>
          </w:p>
        </w:tc>
        <w:tc>
          <w:tcPr>
            <w:tcW w:w="1134" w:type="dxa"/>
          </w:tcPr>
          <w:p w14:paraId="7C7065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294</w:t>
            </w:r>
          </w:p>
        </w:tc>
        <w:tc>
          <w:tcPr>
            <w:tcW w:w="992" w:type="dxa"/>
          </w:tcPr>
          <w:p w14:paraId="7EE19F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280</w:t>
            </w:r>
          </w:p>
        </w:tc>
        <w:tc>
          <w:tcPr>
            <w:tcW w:w="1134" w:type="dxa"/>
          </w:tcPr>
          <w:p w14:paraId="30B0F4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198</w:t>
            </w:r>
          </w:p>
        </w:tc>
        <w:tc>
          <w:tcPr>
            <w:tcW w:w="1276" w:type="dxa"/>
          </w:tcPr>
          <w:p w14:paraId="0F9CD3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166</w:t>
            </w:r>
          </w:p>
        </w:tc>
      </w:tr>
      <w:tr w:rsidR="00A259BD" w:rsidRPr="00A259BD" w14:paraId="0D2E5EE8" w14:textId="77777777">
        <w:trPr>
          <w:cantSplit/>
        </w:trPr>
        <w:tc>
          <w:tcPr>
            <w:tcW w:w="2058" w:type="dxa"/>
          </w:tcPr>
          <w:p w14:paraId="12D445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Максим. горизонтальная скорость на высоте 5000 м</w:t>
            </w:r>
          </w:p>
        </w:tc>
        <w:tc>
          <w:tcPr>
            <w:tcW w:w="1027" w:type="dxa"/>
          </w:tcPr>
          <w:p w14:paraId="7473A8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4" w:type="dxa"/>
          </w:tcPr>
          <w:p w14:paraId="140628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179</w:t>
            </w:r>
          </w:p>
        </w:tc>
        <w:tc>
          <w:tcPr>
            <w:tcW w:w="1134" w:type="dxa"/>
          </w:tcPr>
          <w:p w14:paraId="4B522B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215</w:t>
            </w:r>
          </w:p>
        </w:tc>
        <w:tc>
          <w:tcPr>
            <w:tcW w:w="1134" w:type="dxa"/>
          </w:tcPr>
          <w:p w14:paraId="2A567E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268,9</w:t>
            </w:r>
          </w:p>
        </w:tc>
        <w:tc>
          <w:tcPr>
            <w:tcW w:w="1134" w:type="dxa"/>
          </w:tcPr>
          <w:p w14:paraId="533D0E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284</w:t>
            </w:r>
          </w:p>
        </w:tc>
        <w:tc>
          <w:tcPr>
            <w:tcW w:w="992" w:type="dxa"/>
          </w:tcPr>
          <w:p w14:paraId="685530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270</w:t>
            </w:r>
          </w:p>
        </w:tc>
        <w:tc>
          <w:tcPr>
            <w:tcW w:w="1134" w:type="dxa"/>
          </w:tcPr>
          <w:p w14:paraId="273971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180</w:t>
            </w:r>
          </w:p>
        </w:tc>
        <w:tc>
          <w:tcPr>
            <w:tcW w:w="1276" w:type="dxa"/>
          </w:tcPr>
          <w:p w14:paraId="61CCE9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23934636" w14:textId="77777777">
        <w:trPr>
          <w:cantSplit/>
        </w:trPr>
        <w:tc>
          <w:tcPr>
            <w:tcW w:w="2058" w:type="dxa"/>
          </w:tcPr>
          <w:p w14:paraId="46FBAC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Посадочная скорость</w:t>
            </w:r>
          </w:p>
        </w:tc>
        <w:tc>
          <w:tcPr>
            <w:tcW w:w="1027" w:type="dxa"/>
          </w:tcPr>
          <w:p w14:paraId="4021B3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61,5</w:t>
            </w:r>
          </w:p>
        </w:tc>
        <w:tc>
          <w:tcPr>
            <w:tcW w:w="1134" w:type="dxa"/>
          </w:tcPr>
          <w:p w14:paraId="67E2C8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87</w:t>
            </w:r>
          </w:p>
        </w:tc>
        <w:tc>
          <w:tcPr>
            <w:tcW w:w="1134" w:type="dxa"/>
          </w:tcPr>
          <w:p w14:paraId="0227D9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87,6</w:t>
            </w:r>
          </w:p>
        </w:tc>
        <w:tc>
          <w:tcPr>
            <w:tcW w:w="1134" w:type="dxa"/>
          </w:tcPr>
          <w:p w14:paraId="4DC241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w:t>
            </w:r>
          </w:p>
        </w:tc>
        <w:tc>
          <w:tcPr>
            <w:tcW w:w="1134" w:type="dxa"/>
          </w:tcPr>
          <w:p w14:paraId="304E01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101,2</w:t>
            </w:r>
          </w:p>
        </w:tc>
        <w:tc>
          <w:tcPr>
            <w:tcW w:w="992" w:type="dxa"/>
          </w:tcPr>
          <w:p w14:paraId="3BA806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1134" w:type="dxa"/>
          </w:tcPr>
          <w:p w14:paraId="38043A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88,6</w:t>
            </w:r>
          </w:p>
        </w:tc>
        <w:tc>
          <w:tcPr>
            <w:tcW w:w="1276" w:type="dxa"/>
          </w:tcPr>
          <w:p w14:paraId="153815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81,7</w:t>
            </w:r>
          </w:p>
        </w:tc>
      </w:tr>
      <w:tr w:rsidR="00A259BD" w:rsidRPr="00A259BD" w14:paraId="028241B8" w14:textId="77777777">
        <w:trPr>
          <w:cantSplit/>
        </w:trPr>
        <w:tc>
          <w:tcPr>
            <w:tcW w:w="2058" w:type="dxa"/>
          </w:tcPr>
          <w:p w14:paraId="63F94D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подъема на 1000 м в минутах</w:t>
            </w:r>
          </w:p>
        </w:tc>
        <w:tc>
          <w:tcPr>
            <w:tcW w:w="1027" w:type="dxa"/>
          </w:tcPr>
          <w:p w14:paraId="6E2F3B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tc>
        <w:tc>
          <w:tcPr>
            <w:tcW w:w="1134" w:type="dxa"/>
          </w:tcPr>
          <w:p w14:paraId="250816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3,33</w:t>
            </w:r>
          </w:p>
        </w:tc>
        <w:tc>
          <w:tcPr>
            <w:tcW w:w="1134" w:type="dxa"/>
          </w:tcPr>
          <w:p w14:paraId="424D31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3,68</w:t>
            </w:r>
          </w:p>
        </w:tc>
        <w:tc>
          <w:tcPr>
            <w:tcW w:w="1134" w:type="dxa"/>
          </w:tcPr>
          <w:p w14:paraId="267153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w:t>
            </w:r>
          </w:p>
        </w:tc>
        <w:tc>
          <w:tcPr>
            <w:tcW w:w="1134" w:type="dxa"/>
          </w:tcPr>
          <w:p w14:paraId="64A682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1,88</w:t>
            </w:r>
          </w:p>
        </w:tc>
        <w:tc>
          <w:tcPr>
            <w:tcW w:w="992" w:type="dxa"/>
          </w:tcPr>
          <w:p w14:paraId="62DA16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1134" w:type="dxa"/>
          </w:tcPr>
          <w:p w14:paraId="63A6E4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w:t>
            </w:r>
          </w:p>
        </w:tc>
        <w:tc>
          <w:tcPr>
            <w:tcW w:w="1276" w:type="dxa"/>
          </w:tcPr>
          <w:p w14:paraId="1493BB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7,12</w:t>
            </w:r>
          </w:p>
        </w:tc>
      </w:tr>
      <w:tr w:rsidR="00A259BD" w:rsidRPr="00A259BD" w14:paraId="5A951330" w14:textId="77777777">
        <w:trPr>
          <w:cantSplit/>
        </w:trPr>
        <w:tc>
          <w:tcPr>
            <w:tcW w:w="2058" w:type="dxa"/>
          </w:tcPr>
          <w:p w14:paraId="5A1FD2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подъема на 2000 м в минутах</w:t>
            </w:r>
          </w:p>
        </w:tc>
        <w:tc>
          <w:tcPr>
            <w:tcW w:w="1027" w:type="dxa"/>
          </w:tcPr>
          <w:p w14:paraId="11D40F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w:t>
            </w:r>
          </w:p>
        </w:tc>
        <w:tc>
          <w:tcPr>
            <w:tcW w:w="1134" w:type="dxa"/>
          </w:tcPr>
          <w:p w14:paraId="0F6FC4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7,70</w:t>
            </w:r>
          </w:p>
        </w:tc>
        <w:tc>
          <w:tcPr>
            <w:tcW w:w="1134" w:type="dxa"/>
          </w:tcPr>
          <w:p w14:paraId="4DC216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7,48</w:t>
            </w:r>
          </w:p>
        </w:tc>
        <w:tc>
          <w:tcPr>
            <w:tcW w:w="1134" w:type="dxa"/>
          </w:tcPr>
          <w:p w14:paraId="29E4E6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w:t>
            </w:r>
          </w:p>
        </w:tc>
        <w:tc>
          <w:tcPr>
            <w:tcW w:w="1134" w:type="dxa"/>
          </w:tcPr>
          <w:p w14:paraId="4D647A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3,72</w:t>
            </w:r>
          </w:p>
        </w:tc>
        <w:tc>
          <w:tcPr>
            <w:tcW w:w="992" w:type="dxa"/>
          </w:tcPr>
          <w:p w14:paraId="22B8BE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w:t>
            </w:r>
          </w:p>
        </w:tc>
        <w:tc>
          <w:tcPr>
            <w:tcW w:w="1134" w:type="dxa"/>
          </w:tcPr>
          <w:p w14:paraId="247007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12,9</w:t>
            </w:r>
          </w:p>
        </w:tc>
        <w:tc>
          <w:tcPr>
            <w:tcW w:w="1276" w:type="dxa"/>
          </w:tcPr>
          <w:p w14:paraId="78EA96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14,98</w:t>
            </w:r>
          </w:p>
        </w:tc>
      </w:tr>
      <w:tr w:rsidR="00A259BD" w:rsidRPr="00A259BD" w14:paraId="38B87B0A" w14:textId="77777777">
        <w:trPr>
          <w:cantSplit/>
        </w:trPr>
        <w:tc>
          <w:tcPr>
            <w:tcW w:w="2058" w:type="dxa"/>
          </w:tcPr>
          <w:p w14:paraId="240E05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подъема на 3000 м в минутах</w:t>
            </w:r>
          </w:p>
        </w:tc>
        <w:tc>
          <w:tcPr>
            <w:tcW w:w="1027" w:type="dxa"/>
          </w:tcPr>
          <w:p w14:paraId="48E8BE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4" w:type="dxa"/>
          </w:tcPr>
          <w:p w14:paraId="23EF6E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12,67</w:t>
            </w:r>
          </w:p>
        </w:tc>
        <w:tc>
          <w:tcPr>
            <w:tcW w:w="1134" w:type="dxa"/>
          </w:tcPr>
          <w:p w14:paraId="335E62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11,4</w:t>
            </w:r>
          </w:p>
        </w:tc>
        <w:tc>
          <w:tcPr>
            <w:tcW w:w="1134" w:type="dxa"/>
          </w:tcPr>
          <w:p w14:paraId="46E5AC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w:t>
            </w:r>
          </w:p>
        </w:tc>
        <w:tc>
          <w:tcPr>
            <w:tcW w:w="1134" w:type="dxa"/>
          </w:tcPr>
          <w:p w14:paraId="741D41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5,52</w:t>
            </w:r>
          </w:p>
        </w:tc>
        <w:tc>
          <w:tcPr>
            <w:tcW w:w="992" w:type="dxa"/>
          </w:tcPr>
          <w:p w14:paraId="215988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tc>
        <w:tc>
          <w:tcPr>
            <w:tcW w:w="1134" w:type="dxa"/>
          </w:tcPr>
          <w:p w14:paraId="02C72E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19,4</w:t>
            </w:r>
          </w:p>
        </w:tc>
        <w:tc>
          <w:tcPr>
            <w:tcW w:w="1276" w:type="dxa"/>
          </w:tcPr>
          <w:p w14:paraId="2E6020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24,64</w:t>
            </w:r>
          </w:p>
        </w:tc>
      </w:tr>
      <w:tr w:rsidR="00A259BD" w:rsidRPr="00A259BD" w14:paraId="38681F12" w14:textId="77777777">
        <w:trPr>
          <w:cantSplit/>
        </w:trPr>
        <w:tc>
          <w:tcPr>
            <w:tcW w:w="2058" w:type="dxa"/>
          </w:tcPr>
          <w:p w14:paraId="185513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подъема на 5000 м в минутах</w:t>
            </w:r>
          </w:p>
        </w:tc>
        <w:tc>
          <w:tcPr>
            <w:tcW w:w="1027" w:type="dxa"/>
          </w:tcPr>
          <w:p w14:paraId="12E208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4" w:type="dxa"/>
          </w:tcPr>
          <w:p w14:paraId="046294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32,3</w:t>
            </w:r>
          </w:p>
        </w:tc>
        <w:tc>
          <w:tcPr>
            <w:tcW w:w="1134" w:type="dxa"/>
          </w:tcPr>
          <w:p w14:paraId="54E6EC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21,8</w:t>
            </w:r>
          </w:p>
        </w:tc>
        <w:tc>
          <w:tcPr>
            <w:tcW w:w="1134" w:type="dxa"/>
          </w:tcPr>
          <w:p w14:paraId="3A0719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12,8</w:t>
            </w:r>
          </w:p>
        </w:tc>
        <w:tc>
          <w:tcPr>
            <w:tcW w:w="1134" w:type="dxa"/>
          </w:tcPr>
          <w:p w14:paraId="3D76DC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9,96</w:t>
            </w:r>
          </w:p>
        </w:tc>
        <w:tc>
          <w:tcPr>
            <w:tcW w:w="992" w:type="dxa"/>
          </w:tcPr>
          <w:p w14:paraId="1408C3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w:t>
            </w:r>
          </w:p>
        </w:tc>
        <w:tc>
          <w:tcPr>
            <w:tcW w:w="1134" w:type="dxa"/>
          </w:tcPr>
          <w:p w14:paraId="2F3688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43,5</w:t>
            </w:r>
          </w:p>
        </w:tc>
        <w:tc>
          <w:tcPr>
            <w:tcW w:w="1276" w:type="dxa"/>
          </w:tcPr>
          <w:p w14:paraId="5A2AD6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61,04</w:t>
            </w:r>
          </w:p>
        </w:tc>
      </w:tr>
      <w:tr w:rsidR="00A259BD" w:rsidRPr="00A259BD" w14:paraId="21ACF666" w14:textId="77777777">
        <w:trPr>
          <w:cantSplit/>
        </w:trPr>
        <w:tc>
          <w:tcPr>
            <w:tcW w:w="2058" w:type="dxa"/>
          </w:tcPr>
          <w:p w14:paraId="0D7CC6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Теоретический потолок в метрах</w:t>
            </w:r>
          </w:p>
        </w:tc>
        <w:tc>
          <w:tcPr>
            <w:tcW w:w="1027" w:type="dxa"/>
          </w:tcPr>
          <w:p w14:paraId="06D39D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4500</w:t>
            </w:r>
          </w:p>
        </w:tc>
        <w:tc>
          <w:tcPr>
            <w:tcW w:w="1134" w:type="dxa"/>
          </w:tcPr>
          <w:p w14:paraId="7F4B5A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6350**</w:t>
            </w:r>
          </w:p>
        </w:tc>
        <w:tc>
          <w:tcPr>
            <w:tcW w:w="1134" w:type="dxa"/>
          </w:tcPr>
          <w:p w14:paraId="08CE78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7400</w:t>
            </w:r>
          </w:p>
        </w:tc>
        <w:tc>
          <w:tcPr>
            <w:tcW w:w="1134" w:type="dxa"/>
          </w:tcPr>
          <w:p w14:paraId="73E4AF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8000</w:t>
            </w:r>
          </w:p>
        </w:tc>
        <w:tc>
          <w:tcPr>
            <w:tcW w:w="1134" w:type="dxa"/>
          </w:tcPr>
          <w:p w14:paraId="2731D1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8000</w:t>
            </w:r>
          </w:p>
        </w:tc>
        <w:tc>
          <w:tcPr>
            <w:tcW w:w="992" w:type="dxa"/>
          </w:tcPr>
          <w:p w14:paraId="3D2D06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8000</w:t>
            </w:r>
          </w:p>
        </w:tc>
        <w:tc>
          <w:tcPr>
            <w:tcW w:w="1134" w:type="dxa"/>
          </w:tcPr>
          <w:p w14:paraId="0358D0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5680</w:t>
            </w:r>
          </w:p>
        </w:tc>
        <w:tc>
          <w:tcPr>
            <w:tcW w:w="1276" w:type="dxa"/>
          </w:tcPr>
          <w:p w14:paraId="013D24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28C93C49" w14:textId="77777777">
        <w:trPr>
          <w:cantSplit/>
        </w:trPr>
        <w:tc>
          <w:tcPr>
            <w:tcW w:w="2058" w:type="dxa"/>
          </w:tcPr>
          <w:p w14:paraId="037562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Практический потолок в метрах</w:t>
            </w:r>
          </w:p>
        </w:tc>
        <w:tc>
          <w:tcPr>
            <w:tcW w:w="1027" w:type="dxa"/>
          </w:tcPr>
          <w:p w14:paraId="495562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4" w:type="dxa"/>
          </w:tcPr>
          <w:p w14:paraId="6BB4F1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5660 (за 53 мин.)</w:t>
            </w:r>
          </w:p>
        </w:tc>
        <w:tc>
          <w:tcPr>
            <w:tcW w:w="1134" w:type="dxa"/>
          </w:tcPr>
          <w:p w14:paraId="17B494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4" w:type="dxa"/>
          </w:tcPr>
          <w:p w14:paraId="05AE52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6860 (за 29 мин.)</w:t>
            </w:r>
          </w:p>
        </w:tc>
        <w:tc>
          <w:tcPr>
            <w:tcW w:w="1134" w:type="dxa"/>
          </w:tcPr>
          <w:p w14:paraId="0BAAF6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992" w:type="dxa"/>
          </w:tcPr>
          <w:p w14:paraId="38C48A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4" w:type="dxa"/>
          </w:tcPr>
          <w:p w14:paraId="66F7CA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276" w:type="dxa"/>
          </w:tcPr>
          <w:p w14:paraId="4B0F66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5440 (за 85,44 мин.)</w:t>
            </w:r>
          </w:p>
        </w:tc>
      </w:tr>
      <w:tr w:rsidR="00A259BD" w:rsidRPr="00A259BD" w14:paraId="40E39C9C" w14:textId="77777777">
        <w:trPr>
          <w:cantSplit/>
        </w:trPr>
        <w:tc>
          <w:tcPr>
            <w:tcW w:w="2058" w:type="dxa"/>
          </w:tcPr>
          <w:p w14:paraId="4B1A83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Подъем в час, в метрах</w:t>
            </w:r>
          </w:p>
        </w:tc>
        <w:tc>
          <w:tcPr>
            <w:tcW w:w="1027" w:type="dxa"/>
          </w:tcPr>
          <w:p w14:paraId="53217A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4050</w:t>
            </w:r>
          </w:p>
        </w:tc>
        <w:tc>
          <w:tcPr>
            <w:tcW w:w="1134" w:type="dxa"/>
          </w:tcPr>
          <w:p w14:paraId="4663CF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5800</w:t>
            </w:r>
          </w:p>
        </w:tc>
        <w:tc>
          <w:tcPr>
            <w:tcW w:w="1134" w:type="dxa"/>
          </w:tcPr>
          <w:p w14:paraId="7E1537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7250</w:t>
            </w:r>
          </w:p>
        </w:tc>
        <w:tc>
          <w:tcPr>
            <w:tcW w:w="1134" w:type="dxa"/>
          </w:tcPr>
          <w:p w14:paraId="0EEF06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7700</w:t>
            </w:r>
          </w:p>
        </w:tc>
        <w:tc>
          <w:tcPr>
            <w:tcW w:w="1134" w:type="dxa"/>
          </w:tcPr>
          <w:p w14:paraId="02DD4A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7900</w:t>
            </w:r>
          </w:p>
        </w:tc>
        <w:tc>
          <w:tcPr>
            <w:tcW w:w="992" w:type="dxa"/>
          </w:tcPr>
          <w:p w14:paraId="7E7BAF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7500</w:t>
            </w:r>
          </w:p>
        </w:tc>
        <w:tc>
          <w:tcPr>
            <w:tcW w:w="1134" w:type="dxa"/>
          </w:tcPr>
          <w:p w14:paraId="69FF0A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5400</w:t>
            </w:r>
          </w:p>
        </w:tc>
        <w:tc>
          <w:tcPr>
            <w:tcW w:w="1276" w:type="dxa"/>
          </w:tcPr>
          <w:p w14:paraId="7849C3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21877DCD" w14:textId="77777777">
        <w:trPr>
          <w:cantSplit/>
        </w:trPr>
        <w:tc>
          <w:tcPr>
            <w:tcW w:w="2058" w:type="dxa"/>
          </w:tcPr>
          <w:p w14:paraId="76FBD6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365A1D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 на снабжение</w:t>
            </w:r>
          </w:p>
        </w:tc>
        <w:tc>
          <w:tcPr>
            <w:tcW w:w="1134" w:type="dxa"/>
          </w:tcPr>
          <w:p w14:paraId="3A1EE8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 на снабжение</w:t>
            </w:r>
          </w:p>
        </w:tc>
        <w:tc>
          <w:tcPr>
            <w:tcW w:w="1134" w:type="dxa"/>
          </w:tcPr>
          <w:p w14:paraId="4ECA28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испытании в НИИ</w:t>
            </w:r>
          </w:p>
        </w:tc>
        <w:tc>
          <w:tcPr>
            <w:tcW w:w="1134" w:type="dxa"/>
          </w:tcPr>
          <w:p w14:paraId="3C7150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 на снабжение</w:t>
            </w:r>
          </w:p>
        </w:tc>
        <w:tc>
          <w:tcPr>
            <w:tcW w:w="1134" w:type="dxa"/>
          </w:tcPr>
          <w:p w14:paraId="6232BC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испытании в НИИ</w:t>
            </w:r>
          </w:p>
        </w:tc>
        <w:tc>
          <w:tcPr>
            <w:tcW w:w="992" w:type="dxa"/>
          </w:tcPr>
          <w:p w14:paraId="4F8588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постройке</w:t>
            </w:r>
          </w:p>
        </w:tc>
        <w:tc>
          <w:tcPr>
            <w:tcW w:w="1134" w:type="dxa"/>
          </w:tcPr>
          <w:p w14:paraId="50CF21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постройке</w:t>
            </w:r>
          </w:p>
        </w:tc>
        <w:tc>
          <w:tcPr>
            <w:tcW w:w="1276" w:type="dxa"/>
          </w:tcPr>
          <w:p w14:paraId="3547E0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 на снабжение</w:t>
            </w:r>
          </w:p>
        </w:tc>
      </w:tr>
    </w:tbl>
    <w:p w14:paraId="65F1E1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 данные НИИ</w:t>
      </w:r>
    </w:p>
    <w:p w14:paraId="0B71A9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 данные расчета (3545).</w:t>
      </w:r>
    </w:p>
    <w:p w14:paraId="22884B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D31F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октября 1929 в 11 часов 5 минут Кошиц и Подлесный, несмотря на скверную погоду, вылетели в Москву. Низкие облака и тукан заставили лететь опять над самой землей, к тому же на участке Харьков - Курск - под сплошным дождем. Однако спустя 4 часа 20 минут благополучно сели на московском аэродроме, причем средняя скорость оказалась более 180 км/ч. АИР-3 на полчаса обогнал пассажирский самолет К-4, вылетевший одновременно с ним из Харькова. Всего в этом перелете было пройдено около 4000 км. АИР-3 блестяще выдержал еще один экзамен, обнаружив прекрасные эксплуатационные качества.</w:t>
      </w:r>
    </w:p>
    <w:p w14:paraId="7B61A1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короткий срок - 2 месяца - АИР-3 в полевых, внеаэродромных условиях налетал около 10 000 км и 70 часов, а в следующий месяц еще 2000 км, т. е. проделал работу, непосильную в то время даже для серийного, заводской постройки военного самолета. Поразительна выносливость этой маленькой, кустарного изготовления машины, которая и в 40-градусную жару, и в дождь и в холод с неизменным успехом выполняла все задания. Таким образом, АИР-3 по интенсивности эксплуатации и надежности не имел себе равных среди легких самолетов и вплотную поставил вопрос о практическом применении легкомоторной авиации.</w:t>
      </w:r>
    </w:p>
    <w:p w14:paraId="6B7F81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КРАТКОЕ ТЕХНИЧЕСКОЕ ОПИСАНИЕ АИР-3</w:t>
      </w:r>
    </w:p>
    <w:p w14:paraId="15A65E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АИР-3 представлял собой двухместный подкосный моноплан-парасоль цельнодеревянной конструкции.</w:t>
      </w:r>
    </w:p>
    <w:p w14:paraId="2A8B90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Фюзеляж деревянный, прямоугольный, из четырех лонжеронов, бока носовой части и хвост зашиты фанерой (соответственно 3 и 2 мм), а средняя часть расчалена рояльной проволокой 2 мм и обтянута полотном. Лонжероны фюзеляжа сосновые, 27*27 мм, к хвосту убывают до 20*20 мм. Борта задней кабины зашиты фанерой, борт передней кабины из алюминия, съемный, что позволяло устанавливать добавочный бак и облегчало установку и замену приборов.</w:t>
      </w:r>
    </w:p>
    <w:p w14:paraId="4743D2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Крыло толстого профиля "Прандтль" ("Геттинген") №387 неразъемное, состоит из двух лонжеронов и набора нервюр, присоединено к фюзеляжу четырьмя стойками и расчалками и двумя парами подкосов. Конструкция целиком деревянная, отличается незначительным количеством металлических деталей и большой жесткостью. Средняя часть крыла, между подкосами прямоугольная, постоянной толщины и хорды, консоли трапециевидные в плане, с убывающей толщиной и хордой, закругленные на концах.</w:t>
      </w:r>
    </w:p>
    <w:p w14:paraId="0FE103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Лонжероны крыла коробчатые, неразрезные. Полки лонжеронов в средней части крыла постоянного сечения и убывают на консолях. Между полками через одну нервюру вставлены для жесткости перегородки. Стенки лонжеронов из фанеры 2 мм, у консольного узла - 3 мм. В местах установки башмаков крепления крыла лонжерон укреплен фигурными клееными бобышками. Башмаки из стали, очень просты в производстве и легкие благодаря применению сварки.</w:t>
      </w:r>
    </w:p>
    <w:p w14:paraId="464C17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Нервюры I-образные, все они совершенно одинаковой конструкции, в средней части крыла - одной хорды и толщины и установлены через 300 мм, на консолях - через 245 мм и постепенно уменьшаются и по хорде, и по толщине. Изготовлены из липовых планок 6*6 мм и фанеры 1 мм, без облегчения, крепятся жестко к лонжеронам на клею при помощи сосновых уголков.</w:t>
      </w:r>
    </w:p>
    <w:p w14:paraId="702E73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Расчалки в крыле отсутствуют, вместо них крыло обшито фанерой 1,5 мм - вся верхняя часть крыла от заднего лонжерона через переднюю кромку до нижней части переднего лонжерона. Фанера вместе с лонжеронами и нервюрами составляет очень жесткую конструкцию и хорошо сопротивляется горизонтальным усилиям. Весь низ и задняя часть верха крыла обтянуты полотном. Для предохранения фанеры от коробления и для общей жесткости крыла вдоль лонжеронов нервюры соединены между собой продольными стрингерами из липы сечением 15*6 мм. Центральная часть крыла, в которой были установлены баки, зашита фанерой 2 мм только снизу.</w:t>
      </w:r>
    </w:p>
    <w:p w14:paraId="410736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Элероны с убывающей хордой также представляют собой очень жесткие фанерные коробки. Они крепятся к дополнительному лонжерону крыла на трех шарнирах.</w:t>
      </w:r>
    </w:p>
    <w:p w14:paraId="4CD078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Подкосы и стойки - из стальных обтекаемых труб. Все подкосы сварные, каплевидные, 64*32 мм, имеют на одном конце регулировочную вилку.</w:t>
      </w:r>
    </w:p>
    <w:p w14:paraId="749E4F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Хвостовое оперение деревянное, толстого профиля, снабжено расчалками. Каждый руль представляет собой фанерную коробку, очень легкую и жесткую. Рули обтянуты полотном только в хвостовой части, не зашитой фанерой. Все управление - на тросах и роликах с шариковыми подшипниками, благодаря чему достигается почти полное отсутствие </w:t>
      </w:r>
      <w:proofErr w:type="spellStart"/>
      <w:r w:rsidRPr="00A259BD">
        <w:rPr>
          <w:rFonts w:ascii="Times New Roman" w:hAnsi="Times New Roman"/>
          <w:color w:val="000000" w:themeColor="text1"/>
          <w:sz w:val="16"/>
          <w:szCs w:val="16"/>
        </w:rPr>
        <w:t>люфгов</w:t>
      </w:r>
      <w:proofErr w:type="spellEnd"/>
      <w:r w:rsidRPr="00A259BD">
        <w:rPr>
          <w:rFonts w:ascii="Times New Roman" w:hAnsi="Times New Roman"/>
          <w:color w:val="000000" w:themeColor="text1"/>
          <w:sz w:val="16"/>
          <w:szCs w:val="16"/>
        </w:rPr>
        <w:t>, легкость и мягкость работы.</w:t>
      </w:r>
    </w:p>
    <w:p w14:paraId="784A97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Шасси из стальных труб с деревянными обтекателями. Колеса соединены осью из специальной трубы 44*41 мм. Костыль ясеневый, укрепленный на фюзеляже, со свободным ходом на 15 градусов вправо и влево. Амортизация резиновая шнуровая.</w:t>
      </w:r>
    </w:p>
    <w:p w14:paraId="60ABD9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Двигатель. На АИР-3 был установлен пятицилиндровый звездообразный двигатель воздушного охлаждения "Вальтер" NZ максимальной мощностью 60 л. с. На другом варианте устанавливался двигатель М-23 (НАМИ-65) максимальной мощностью 75 л. с.</w:t>
      </w:r>
    </w:p>
    <w:p w14:paraId="3BB81B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Моторная рама сварена из стальных труб 25 * 27 мм и крепится к фюзеляжу четырьмя болтами, допускает замену мотора другим типом и даст легкий доступ к мотору. Моторная рама и сам мотор закрыты алюминиевыми капотами, крепящимися к фюзеляжу и между собой шомполами из стальной проволоки. Нижняя часть фюзеляжа под обеими кабинами также закрывается капотами на шомполах.</w:t>
      </w:r>
    </w:p>
    <w:p w14:paraId="20F72F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 оборудован двумя магнето. Запуск производится посредством пускового магнето.</w:t>
      </w:r>
    </w:p>
    <w:p w14:paraId="45F22D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Топливная система. Три бензобака из луженой жести вставлены в крыло между лонжеронами и привернуты шурупами прямо к лонжеронам. Между баком и лонжероном войлочные прокладки. Верхняя часть бака профилирована под крыло, и поэтому никаких капотов на бак сверху не надевается. Бензиновые трубки каждого бака соединяются при помощи краника в кабине пилота, и дальше бензин самотеком по одной трубке идет через фильтр в карбюратор. Масляный бак установлен в носовой части фюзеляжа перед приборной доской передней кабины, прямо на верхних лонжеронах.</w:t>
      </w:r>
    </w:p>
    <w:p w14:paraId="76CF54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Оборудование кабин. Обе кабины оборудованы комплектом приборов - счетчик оборотов, высотомер, указатель скорости, переговорный прибор, часы. Управление одинарное, только в задней кабине, поэтому там же установлены приборы контроля масла и бензина, креномер, управление мотором и пусковое магнето. В передней кабине, у летнаба - компас.</w:t>
      </w:r>
    </w:p>
    <w:p w14:paraId="0AE439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Центровка АИР-3: с запасом топлива на шесть часов - 28%, с запасом на 14 часов - 32%, нормальная центровка - 33,5%, предельно задняя - 37% (почти пустые баки, легкий пассажир и тяжелый летчик) (11981).</w:t>
      </w:r>
    </w:p>
    <w:p w14:paraId="708627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9D78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октября 1929 г. вышел приказ начальника ВВС ЛВО с требованием тщательного контроля качества смеси из 40% толуола и 60% краснодарского бензина, которая использовалась на самолетах (3224,14).</w:t>
      </w:r>
    </w:p>
    <w:p w14:paraId="6522D3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33CA7A" w14:textId="77777777" w:rsidR="003F4613" w:rsidRPr="00A259BD" w:rsidRDefault="003F461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октября 1929 года всех собрали в здании бывшей тюремной церкви, куда прибыл заместитель начальника ВВС РККА Алкснис. Он объявил, что искупить свою вину вредители смогут, лишь создав, причем в самое короткое время, истребитель, который бы превосходил самые лучшие западные образцы (21481). </w:t>
      </w:r>
    </w:p>
    <w:p w14:paraId="30EB99E4" w14:textId="77777777" w:rsidR="003F4613" w:rsidRPr="00A259BD" w:rsidRDefault="003F4613" w:rsidP="009236E3">
      <w:pPr>
        <w:shd w:val="clear" w:color="auto" w:fill="FFFFFF"/>
        <w:spacing w:after="0" w:line="240" w:lineRule="auto"/>
        <w:jc w:val="both"/>
        <w:rPr>
          <w:rFonts w:ascii="Times New Roman" w:hAnsi="Times New Roman"/>
          <w:color w:val="000000" w:themeColor="text1"/>
          <w:sz w:val="16"/>
          <w:szCs w:val="16"/>
        </w:rPr>
      </w:pPr>
    </w:p>
    <w:p w14:paraId="597B8523" w14:textId="77777777" w:rsidR="003F4613" w:rsidRPr="00A259BD" w:rsidRDefault="003F461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31 октября 1929 работала линия Москва - Иркутск. За это время было выполнено более 80 рейсов. Кроме почты пилоты иногда брали на борт и пассажиров (21432).</w:t>
      </w:r>
    </w:p>
    <w:p w14:paraId="72AF6A3A" w14:textId="77777777" w:rsidR="003F4613" w:rsidRPr="00A259BD" w:rsidRDefault="003F4613" w:rsidP="009236E3">
      <w:pPr>
        <w:pStyle w:val="ae"/>
        <w:shd w:val="clear" w:color="auto" w:fill="FFFFFF"/>
        <w:spacing w:before="0" w:after="0"/>
        <w:jc w:val="both"/>
        <w:textAlignment w:val="baseline"/>
        <w:rPr>
          <w:color w:val="000000" w:themeColor="text1"/>
          <w:sz w:val="16"/>
          <w:szCs w:val="16"/>
        </w:rPr>
      </w:pPr>
    </w:p>
    <w:p w14:paraId="041F966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AD8A46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42736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ок</w:t>
      </w:r>
      <w:r w:rsidRPr="00A259BD">
        <w:rPr>
          <w:rFonts w:ascii="Times New Roman" w:hAnsi="Times New Roman"/>
          <w:color w:val="000000" w:themeColor="text1"/>
          <w:sz w:val="16"/>
          <w:szCs w:val="16"/>
        </w:rPr>
        <w:softHyphen/>
        <w:t>тября 1929 г. проект большого лесовоза был утвержден заказчиком и вскоре одобрен Регистром СССР. По нему на</w:t>
      </w:r>
      <w:r w:rsidRPr="00A259BD">
        <w:rPr>
          <w:rFonts w:ascii="Times New Roman" w:hAnsi="Times New Roman"/>
          <w:color w:val="000000" w:themeColor="text1"/>
          <w:sz w:val="16"/>
          <w:szCs w:val="16"/>
        </w:rPr>
        <w:softHyphen/>
        <w:t>мечалось построить 28 судов, фактически в 1930—1934 гг. по</w:t>
      </w:r>
      <w:r w:rsidRPr="00A259BD">
        <w:rPr>
          <w:rFonts w:ascii="Times New Roman" w:hAnsi="Times New Roman"/>
          <w:color w:val="000000" w:themeColor="text1"/>
          <w:sz w:val="16"/>
          <w:szCs w:val="16"/>
        </w:rPr>
        <w:softHyphen/>
        <w:t>строили 10 судов. Головной лесовоз "</w:t>
      </w:r>
      <w:proofErr w:type="spellStart"/>
      <w:r w:rsidRPr="00A259BD">
        <w:rPr>
          <w:rFonts w:ascii="Times New Roman" w:hAnsi="Times New Roman"/>
          <w:color w:val="000000" w:themeColor="text1"/>
          <w:sz w:val="16"/>
          <w:szCs w:val="16"/>
        </w:rPr>
        <w:t>Волголес</w:t>
      </w:r>
      <w:proofErr w:type="spellEnd"/>
      <w:r w:rsidRPr="00A259BD">
        <w:rPr>
          <w:rFonts w:ascii="Times New Roman" w:hAnsi="Times New Roman"/>
          <w:color w:val="000000" w:themeColor="text1"/>
          <w:sz w:val="16"/>
          <w:szCs w:val="16"/>
        </w:rPr>
        <w:t xml:space="preserve">", заложенный на ленинградском </w:t>
      </w:r>
      <w:proofErr w:type="spellStart"/>
      <w:r w:rsidRPr="00A259BD">
        <w:rPr>
          <w:rFonts w:ascii="Times New Roman" w:hAnsi="Times New Roman"/>
          <w:color w:val="000000" w:themeColor="text1"/>
          <w:sz w:val="16"/>
          <w:szCs w:val="16"/>
        </w:rPr>
        <w:t>заводеим</w:t>
      </w:r>
      <w:proofErr w:type="spellEnd"/>
      <w:r w:rsidRPr="00A259BD">
        <w:rPr>
          <w:rFonts w:ascii="Times New Roman" w:hAnsi="Times New Roman"/>
          <w:color w:val="000000" w:themeColor="text1"/>
          <w:sz w:val="16"/>
          <w:szCs w:val="16"/>
        </w:rPr>
        <w:t>. А. Марта в 1930 г., был спущен на во</w:t>
      </w:r>
      <w:r w:rsidRPr="00A259BD">
        <w:rPr>
          <w:rFonts w:ascii="Times New Roman" w:hAnsi="Times New Roman"/>
          <w:color w:val="000000" w:themeColor="text1"/>
          <w:sz w:val="16"/>
          <w:szCs w:val="16"/>
        </w:rPr>
        <w:softHyphen/>
        <w:t>ду в июле 1931 г. и сдан в эксплуатацию в декабре следующего года. Заводом им. А. Марта построены также "</w:t>
      </w:r>
      <w:proofErr w:type="spellStart"/>
      <w:r w:rsidRPr="00A259BD">
        <w:rPr>
          <w:rFonts w:ascii="Times New Roman" w:hAnsi="Times New Roman"/>
          <w:color w:val="000000" w:themeColor="text1"/>
          <w:sz w:val="16"/>
          <w:szCs w:val="16"/>
        </w:rPr>
        <w:t>Двинолес</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Комилес</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Севзаплес</w:t>
      </w:r>
      <w:proofErr w:type="spellEnd"/>
      <w:r w:rsidRPr="00A259BD">
        <w:rPr>
          <w:rFonts w:ascii="Times New Roman" w:hAnsi="Times New Roman"/>
          <w:color w:val="000000" w:themeColor="text1"/>
          <w:sz w:val="16"/>
          <w:szCs w:val="16"/>
        </w:rPr>
        <w:t>", "Экспортлес" (затем "Максим Горький"), "</w:t>
      </w:r>
      <w:proofErr w:type="spellStart"/>
      <w:r w:rsidRPr="00A259BD">
        <w:rPr>
          <w:rFonts w:ascii="Times New Roman" w:hAnsi="Times New Roman"/>
          <w:color w:val="000000" w:themeColor="text1"/>
          <w:sz w:val="16"/>
          <w:szCs w:val="16"/>
        </w:rPr>
        <w:t>Северолес</w:t>
      </w:r>
      <w:proofErr w:type="spellEnd"/>
      <w:r w:rsidRPr="00A259BD">
        <w:rPr>
          <w:rFonts w:ascii="Times New Roman" w:hAnsi="Times New Roman"/>
          <w:color w:val="000000" w:themeColor="text1"/>
          <w:sz w:val="16"/>
          <w:szCs w:val="16"/>
        </w:rPr>
        <w:t>" (затем "Кузнец Лесов"), "Клара Цеткин" и "</w:t>
      </w:r>
      <w:proofErr w:type="spellStart"/>
      <w:r w:rsidRPr="00A259BD">
        <w:rPr>
          <w:rFonts w:ascii="Times New Roman" w:hAnsi="Times New Roman"/>
          <w:color w:val="000000" w:themeColor="text1"/>
          <w:sz w:val="16"/>
          <w:szCs w:val="16"/>
        </w:rPr>
        <w:t>Лесбел</w:t>
      </w:r>
      <w:proofErr w:type="spellEnd"/>
      <w:r w:rsidRPr="00A259BD">
        <w:rPr>
          <w:rFonts w:ascii="Times New Roman" w:hAnsi="Times New Roman"/>
          <w:color w:val="000000" w:themeColor="text1"/>
          <w:sz w:val="16"/>
          <w:szCs w:val="16"/>
        </w:rPr>
        <w:t>" (затем "Вторая пятилетка"), т. е. всего восемь лесовозов, включая головной. Два судна — "</w:t>
      </w:r>
      <w:proofErr w:type="spellStart"/>
      <w:r w:rsidRPr="00A259BD">
        <w:rPr>
          <w:rFonts w:ascii="Times New Roman" w:hAnsi="Times New Roman"/>
          <w:color w:val="000000" w:themeColor="text1"/>
          <w:sz w:val="16"/>
          <w:szCs w:val="16"/>
        </w:rPr>
        <w:t>Мурманлес</w:t>
      </w:r>
      <w:proofErr w:type="spellEnd"/>
      <w:r w:rsidRPr="00A259BD">
        <w:rPr>
          <w:rFonts w:ascii="Times New Roman" w:hAnsi="Times New Roman"/>
          <w:color w:val="000000" w:themeColor="text1"/>
          <w:sz w:val="16"/>
          <w:szCs w:val="16"/>
        </w:rPr>
        <w:t>" и "Старый большевик" — построила Северная верфь в Ленинграде. Кроме этого два однотипных судна — "Коллек</w:t>
      </w:r>
      <w:r w:rsidRPr="00A259BD">
        <w:rPr>
          <w:rFonts w:ascii="Times New Roman" w:hAnsi="Times New Roman"/>
          <w:color w:val="000000" w:themeColor="text1"/>
          <w:sz w:val="16"/>
          <w:szCs w:val="16"/>
        </w:rPr>
        <w:softHyphen/>
        <w:t>тивизация" и "Строительство" — построены в 1932—1939 гг. нико</w:t>
      </w:r>
      <w:r w:rsidRPr="00A259BD">
        <w:rPr>
          <w:rFonts w:ascii="Times New Roman" w:hAnsi="Times New Roman"/>
          <w:color w:val="000000" w:themeColor="text1"/>
          <w:sz w:val="16"/>
          <w:szCs w:val="16"/>
        </w:rPr>
        <w:softHyphen/>
        <w:t>лаевским заводом им. 61 Коммунара. В ходе постройки они были переоборудованы в рудовозы для линии Камыш-Бурун—Мариу</w:t>
      </w:r>
      <w:r w:rsidRPr="00A259BD">
        <w:rPr>
          <w:rFonts w:ascii="Times New Roman" w:hAnsi="Times New Roman"/>
          <w:color w:val="000000" w:themeColor="text1"/>
          <w:sz w:val="16"/>
          <w:szCs w:val="16"/>
        </w:rPr>
        <w:softHyphen/>
        <w:t>поль, а заодно получили новые названия — "Анатолий Серов" и "Полина Осипенко" соответственно.</w:t>
      </w:r>
    </w:p>
    <w:p w14:paraId="1F69FE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Суда типа "</w:t>
      </w:r>
      <w:proofErr w:type="spellStart"/>
      <w:r w:rsidRPr="00A259BD">
        <w:rPr>
          <w:rFonts w:ascii="Times New Roman" w:hAnsi="Times New Roman"/>
          <w:color w:val="000000" w:themeColor="text1"/>
          <w:sz w:val="16"/>
          <w:szCs w:val="16"/>
        </w:rPr>
        <w:t>Волголес</w:t>
      </w:r>
      <w:proofErr w:type="spellEnd"/>
      <w:r w:rsidRPr="00A259BD">
        <w:rPr>
          <w:rFonts w:ascii="Times New Roman" w:hAnsi="Times New Roman"/>
          <w:color w:val="000000" w:themeColor="text1"/>
          <w:sz w:val="16"/>
          <w:szCs w:val="16"/>
        </w:rPr>
        <w:t xml:space="preserve">" были крупнее и значительно </w:t>
      </w:r>
      <w:proofErr w:type="spellStart"/>
      <w:r w:rsidRPr="00A259BD">
        <w:rPr>
          <w:rFonts w:ascii="Times New Roman" w:hAnsi="Times New Roman"/>
          <w:color w:val="000000" w:themeColor="text1"/>
          <w:sz w:val="16"/>
          <w:szCs w:val="16"/>
        </w:rPr>
        <w:t>мореходнее</w:t>
      </w:r>
      <w:proofErr w:type="spellEnd"/>
      <w:r w:rsidRPr="00A259BD">
        <w:rPr>
          <w:rFonts w:ascii="Times New Roman" w:hAnsi="Times New Roman"/>
          <w:color w:val="000000" w:themeColor="text1"/>
          <w:sz w:val="16"/>
          <w:szCs w:val="16"/>
        </w:rPr>
        <w:t xml:space="preserve"> средних лесовозов, имели близкую к ним архитектуру корпуса, но при этом шесть главных отсеков, три трюма с пятью люками. Кор</w:t>
      </w:r>
      <w:r w:rsidRPr="00A259BD">
        <w:rPr>
          <w:rFonts w:ascii="Times New Roman" w:hAnsi="Times New Roman"/>
          <w:color w:val="000000" w:themeColor="text1"/>
          <w:sz w:val="16"/>
          <w:szCs w:val="16"/>
        </w:rPr>
        <w:softHyphen/>
        <w:t xml:space="preserve">пус оставался клепаным, но при сборке надстроек применялась и сварка. Главное отличие заключалось в энергетической установке: вместо паровой машины был установлен двухтактный дизельный двигатель системы </w:t>
      </w:r>
      <w:proofErr w:type="spellStart"/>
      <w:r w:rsidRPr="00A259BD">
        <w:rPr>
          <w:rFonts w:ascii="Times New Roman" w:hAnsi="Times New Roman"/>
          <w:color w:val="000000" w:themeColor="text1"/>
          <w:sz w:val="16"/>
          <w:szCs w:val="16"/>
        </w:rPr>
        <w:t>Зульцера</w:t>
      </w:r>
      <w:proofErr w:type="spellEnd"/>
      <w:r w:rsidRPr="00A259BD">
        <w:rPr>
          <w:rFonts w:ascii="Times New Roman" w:hAnsi="Times New Roman"/>
          <w:color w:val="000000" w:themeColor="text1"/>
          <w:sz w:val="16"/>
          <w:szCs w:val="16"/>
        </w:rPr>
        <w:t xml:space="preserve"> производства завода "Русский дизель".</w:t>
      </w:r>
    </w:p>
    <w:p w14:paraId="40477C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целом большие лесовозы оказались хотя и тихоходными, но удобными для перевозок судами. Именно суда этого типа были во время войны избраны для перевозки особо крупногабаритных гру</w:t>
      </w:r>
      <w:r w:rsidRPr="00A259BD">
        <w:rPr>
          <w:rFonts w:ascii="Times New Roman" w:hAnsi="Times New Roman"/>
          <w:color w:val="000000" w:themeColor="text1"/>
          <w:sz w:val="16"/>
          <w:szCs w:val="16"/>
        </w:rPr>
        <w:softHyphen/>
        <w:t>зов-паровозов (3898)</w:t>
      </w:r>
    </w:p>
    <w:p w14:paraId="118C8B0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7BDBC3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24E9964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3783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рассветом 31 октября 1929 тральщики начали протраливать проходы. В результате воздушной разведки с МР-1 установили, что на северо-восточной окраине </w:t>
      </w:r>
      <w:proofErr w:type="spellStart"/>
      <w:r w:rsidRPr="00A259BD">
        <w:rPr>
          <w:rFonts w:ascii="Times New Roman" w:hAnsi="Times New Roman"/>
          <w:color w:val="000000" w:themeColor="text1"/>
          <w:sz w:val="16"/>
          <w:szCs w:val="16"/>
        </w:rPr>
        <w:t>Фугдина</w:t>
      </w:r>
      <w:proofErr w:type="spellEnd"/>
      <w:r w:rsidRPr="00A259BD">
        <w:rPr>
          <w:rFonts w:ascii="Times New Roman" w:hAnsi="Times New Roman"/>
          <w:color w:val="000000" w:themeColor="text1"/>
          <w:sz w:val="16"/>
          <w:szCs w:val="16"/>
        </w:rPr>
        <w:t xml:space="preserve"> присутствует кавалерия, а на юго-восточной - пехотные части.</w:t>
      </w:r>
    </w:p>
    <w:p w14:paraId="5CC45C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8 часов 10 минут самолеты МР-1 с высоты 50 метров штурмовали китайские кавалерийские части численностью около 300 сабель, находящиеся на южной окраине </w:t>
      </w:r>
      <w:proofErr w:type="spellStart"/>
      <w:r w:rsidRPr="00A259BD">
        <w:rPr>
          <w:rFonts w:ascii="Times New Roman" w:hAnsi="Times New Roman"/>
          <w:color w:val="000000" w:themeColor="text1"/>
          <w:sz w:val="16"/>
          <w:szCs w:val="16"/>
        </w:rPr>
        <w:t>Фугдина</w:t>
      </w:r>
      <w:proofErr w:type="spellEnd"/>
      <w:r w:rsidRPr="00A259BD">
        <w:rPr>
          <w:rFonts w:ascii="Times New Roman" w:hAnsi="Times New Roman"/>
          <w:color w:val="000000" w:themeColor="text1"/>
          <w:sz w:val="16"/>
          <w:szCs w:val="16"/>
        </w:rPr>
        <w:t>. Кавалеристы ответили ружейно-пулемётным огнём, но, не выдержав атаки самолетов, рассеялись. Тем не менее, один из МР-1 получил 12 пробоин.</w:t>
      </w:r>
    </w:p>
    <w:p w14:paraId="7423E2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рейде </w:t>
      </w:r>
      <w:proofErr w:type="spellStart"/>
      <w:r w:rsidRPr="00A259BD">
        <w:rPr>
          <w:rFonts w:ascii="Times New Roman" w:hAnsi="Times New Roman"/>
          <w:color w:val="000000" w:themeColor="text1"/>
          <w:sz w:val="16"/>
          <w:szCs w:val="16"/>
        </w:rPr>
        <w:t>Фугдина</w:t>
      </w:r>
      <w:proofErr w:type="spellEnd"/>
      <w:r w:rsidRPr="00A259BD">
        <w:rPr>
          <w:rFonts w:ascii="Times New Roman" w:hAnsi="Times New Roman"/>
          <w:color w:val="000000" w:themeColor="text1"/>
          <w:sz w:val="16"/>
          <w:szCs w:val="16"/>
        </w:rPr>
        <w:t xml:space="preserve"> самолетыМР-1 устремились к главной цели -китайскому “крейсеру” “</w:t>
      </w:r>
      <w:proofErr w:type="spellStart"/>
      <w:r w:rsidRPr="00A259BD">
        <w:rPr>
          <w:rFonts w:ascii="Times New Roman" w:hAnsi="Times New Roman"/>
          <w:color w:val="000000" w:themeColor="text1"/>
          <w:sz w:val="16"/>
          <w:szCs w:val="16"/>
        </w:rPr>
        <w:t>Киан</w:t>
      </w:r>
      <w:proofErr w:type="spellEnd"/>
      <w:r w:rsidRPr="00A259BD">
        <w:rPr>
          <w:rFonts w:ascii="Times New Roman" w:hAnsi="Times New Roman"/>
          <w:color w:val="000000" w:themeColor="text1"/>
          <w:sz w:val="16"/>
          <w:szCs w:val="16"/>
        </w:rPr>
        <w:t>-Хен”. В него попало три бомбы, и он затонул (как удалось позже выяснить по показаниям местных жителей и пленных) почти со всем своим экипажем. Спастись удалось только четверым.</w:t>
      </w:r>
    </w:p>
    <w:p w14:paraId="1FB5A5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этого, с самолетов бомбили военные обозы, уходившие из города, и склады.</w:t>
      </w:r>
    </w:p>
    <w:p w14:paraId="16ADB2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Противник с берега непрерывно вёл артиллерийско-пулемёт-</w:t>
      </w:r>
      <w:proofErr w:type="spellStart"/>
      <w:r w:rsidRPr="00A259BD">
        <w:rPr>
          <w:rFonts w:ascii="Times New Roman" w:hAnsi="Times New Roman"/>
          <w:color w:val="000000" w:themeColor="text1"/>
          <w:sz w:val="16"/>
          <w:szCs w:val="16"/>
        </w:rPr>
        <w:t>ный</w:t>
      </w:r>
      <w:proofErr w:type="spellEnd"/>
      <w:r w:rsidRPr="00A259BD">
        <w:rPr>
          <w:rFonts w:ascii="Times New Roman" w:hAnsi="Times New Roman"/>
          <w:color w:val="000000" w:themeColor="text1"/>
          <w:sz w:val="16"/>
          <w:szCs w:val="16"/>
        </w:rPr>
        <w:t xml:space="preserve"> огонь по тральщикам, мониторам и канонерским лодкам, стоящим у затопленного парохода. Наши корабли активно отвечали тем же.</w:t>
      </w:r>
    </w:p>
    <w:p w14:paraId="209480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10 часов 53 минуты был высажен 2-й батальон 4-го полка, который начал наступление. В 13 часов 15 минут высадился батальон 5-го полка, а в 15 часов 15 минут - остальные части 4-го и 5-го стрелковых полков. В 17 часов был доставлен кавалерийский эскадрон, и, таким образом, к этому времени на берегу оказался весь десант. Он пошел в наступление и к 18 часов окружил </w:t>
      </w:r>
      <w:proofErr w:type="spellStart"/>
      <w:r w:rsidRPr="00A259BD">
        <w:rPr>
          <w:rFonts w:ascii="Times New Roman" w:hAnsi="Times New Roman"/>
          <w:color w:val="000000" w:themeColor="text1"/>
          <w:sz w:val="16"/>
          <w:szCs w:val="16"/>
        </w:rPr>
        <w:t>Фугдин</w:t>
      </w:r>
      <w:proofErr w:type="spellEnd"/>
      <w:r w:rsidRPr="00A259BD">
        <w:rPr>
          <w:rFonts w:ascii="Times New Roman" w:hAnsi="Times New Roman"/>
          <w:color w:val="000000" w:themeColor="text1"/>
          <w:sz w:val="16"/>
          <w:szCs w:val="16"/>
        </w:rPr>
        <w:t>. Канонерская лодка “Беднота” прошла за заграждение, осуществляя поддержку десанта.</w:t>
      </w:r>
    </w:p>
    <w:p w14:paraId="7C0253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в течение дня 31 октября 68-го ОАО совершил девять полётов с общим налетом 16 часов, на противника было сброшено 340 кг бомб (9978).</w:t>
      </w:r>
    </w:p>
    <w:p w14:paraId="004C7C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13FD6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октября 1929 КА начала штурм </w:t>
      </w:r>
      <w:proofErr w:type="spellStart"/>
      <w:r w:rsidRPr="00A259BD">
        <w:rPr>
          <w:rFonts w:ascii="Times New Roman" w:hAnsi="Times New Roman"/>
          <w:color w:val="000000" w:themeColor="text1"/>
          <w:sz w:val="16"/>
          <w:szCs w:val="16"/>
        </w:rPr>
        <w:t>Фукдина</w:t>
      </w:r>
      <w:proofErr w:type="spellEnd"/>
      <w:r w:rsidRPr="00A259BD">
        <w:rPr>
          <w:rFonts w:ascii="Times New Roman" w:hAnsi="Times New Roman"/>
          <w:color w:val="000000" w:themeColor="text1"/>
          <w:sz w:val="16"/>
          <w:szCs w:val="16"/>
        </w:rPr>
        <w:t xml:space="preserve"> (Китай) и через три дня он пал (1493,27).</w:t>
      </w:r>
    </w:p>
    <w:p w14:paraId="5907E2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7AB7C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октября 1929 на рассвете советские корабли подошли к </w:t>
      </w:r>
      <w:proofErr w:type="spellStart"/>
      <w:r w:rsidRPr="00A259BD">
        <w:rPr>
          <w:rFonts w:ascii="Times New Roman" w:hAnsi="Times New Roman"/>
          <w:color w:val="000000" w:themeColor="text1"/>
          <w:sz w:val="16"/>
          <w:szCs w:val="16"/>
        </w:rPr>
        <w:t>Фугдину</w:t>
      </w:r>
      <w:proofErr w:type="spellEnd"/>
      <w:r w:rsidRPr="00A259BD">
        <w:rPr>
          <w:rFonts w:ascii="Times New Roman" w:hAnsi="Times New Roman"/>
          <w:color w:val="000000" w:themeColor="text1"/>
          <w:sz w:val="16"/>
          <w:szCs w:val="16"/>
        </w:rPr>
        <w:t xml:space="preserve"> и тральщики проделали проходы в минных заграждениях. Китайские корабли и береговая артиллерия вели огонь и пара МР-1 - командир отряда </w:t>
      </w:r>
      <w:proofErr w:type="spellStart"/>
      <w:r w:rsidRPr="00A259BD">
        <w:rPr>
          <w:rFonts w:ascii="Times New Roman" w:hAnsi="Times New Roman"/>
          <w:color w:val="000000" w:themeColor="text1"/>
          <w:sz w:val="16"/>
          <w:szCs w:val="16"/>
        </w:rPr>
        <w:t>Э.М.Лахта</w:t>
      </w:r>
      <w:proofErr w:type="spellEnd"/>
      <w:r w:rsidRPr="00A259BD">
        <w:rPr>
          <w:rFonts w:ascii="Times New Roman" w:hAnsi="Times New Roman"/>
          <w:color w:val="000000" w:themeColor="text1"/>
          <w:sz w:val="16"/>
          <w:szCs w:val="16"/>
        </w:rPr>
        <w:t xml:space="preserve"> и начштаба </w:t>
      </w:r>
      <w:proofErr w:type="spellStart"/>
      <w:r w:rsidRPr="00A259BD">
        <w:rPr>
          <w:rFonts w:ascii="Times New Roman" w:hAnsi="Times New Roman"/>
          <w:color w:val="000000" w:themeColor="text1"/>
          <w:sz w:val="16"/>
          <w:szCs w:val="16"/>
        </w:rPr>
        <w:t>Д.И.Боровиков</w:t>
      </w:r>
      <w:proofErr w:type="spellEnd"/>
      <w:r w:rsidRPr="00A259BD">
        <w:rPr>
          <w:rFonts w:ascii="Times New Roman" w:hAnsi="Times New Roman"/>
          <w:color w:val="000000" w:themeColor="text1"/>
          <w:sz w:val="16"/>
          <w:szCs w:val="16"/>
        </w:rPr>
        <w:t xml:space="preserve"> - нанесли удар по канонерке </w:t>
      </w:r>
      <w:proofErr w:type="spellStart"/>
      <w:r w:rsidRPr="00A259BD">
        <w:rPr>
          <w:rFonts w:ascii="Times New Roman" w:hAnsi="Times New Roman"/>
          <w:color w:val="000000" w:themeColor="text1"/>
          <w:sz w:val="16"/>
          <w:szCs w:val="16"/>
        </w:rPr>
        <w:t>Цзях</w:t>
      </w:r>
      <w:proofErr w:type="spellEnd"/>
      <w:r w:rsidRPr="00A259BD">
        <w:rPr>
          <w:rFonts w:ascii="Times New Roman" w:hAnsi="Times New Roman"/>
          <w:color w:val="000000" w:themeColor="text1"/>
          <w:sz w:val="16"/>
          <w:szCs w:val="16"/>
        </w:rPr>
        <w:t xml:space="preserve"> Хен (</w:t>
      </w:r>
      <w:proofErr w:type="spellStart"/>
      <w:r w:rsidRPr="00A259BD">
        <w:rPr>
          <w:rFonts w:ascii="Times New Roman" w:hAnsi="Times New Roman"/>
          <w:color w:val="000000" w:themeColor="text1"/>
          <w:sz w:val="16"/>
          <w:szCs w:val="16"/>
        </w:rPr>
        <w:t>Кианг-Хенг</w:t>
      </w:r>
      <w:proofErr w:type="spellEnd"/>
      <w:r w:rsidRPr="00A259BD">
        <w:rPr>
          <w:rFonts w:ascii="Times New Roman" w:hAnsi="Times New Roman"/>
          <w:color w:val="000000" w:themeColor="text1"/>
          <w:sz w:val="16"/>
          <w:szCs w:val="16"/>
        </w:rPr>
        <w:t>), который перевернулся и затонул. Затем атаковали кавалерийский отряд, который пытался сбросить десантников в реку. Действовали с50 м подвергаясь сильному обстрелу с земли. Всего отряд выполнил 9 вылетов, поразили вооруженный пароход и баржу, подавили артиллерию и пулеметы, рассеяли конницу. Потерь не было (6594, 16).</w:t>
      </w:r>
    </w:p>
    <w:p w14:paraId="64EA1F2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B9A8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октября 1929 г. было письмо </w:t>
      </w:r>
      <w:proofErr w:type="spellStart"/>
      <w:r w:rsidRPr="00A259BD">
        <w:rPr>
          <w:rFonts w:ascii="Times New Roman" w:hAnsi="Times New Roman"/>
          <w:color w:val="000000" w:themeColor="text1"/>
          <w:sz w:val="16"/>
          <w:szCs w:val="16"/>
        </w:rPr>
        <w:t>врид</w:t>
      </w:r>
      <w:proofErr w:type="spellEnd"/>
      <w:r w:rsidRPr="00A259BD">
        <w:rPr>
          <w:rFonts w:ascii="Times New Roman" w:hAnsi="Times New Roman"/>
          <w:color w:val="000000" w:themeColor="text1"/>
          <w:sz w:val="16"/>
          <w:szCs w:val="16"/>
        </w:rPr>
        <w:t>. начальника ВВС Балтийского флота Столярского, из которого следует, что го</w:t>
      </w:r>
      <w:r w:rsidRPr="00A259BD">
        <w:rPr>
          <w:rFonts w:ascii="Times New Roman" w:hAnsi="Times New Roman"/>
          <w:color w:val="000000" w:themeColor="text1"/>
          <w:sz w:val="16"/>
          <w:szCs w:val="16"/>
        </w:rPr>
        <w:softHyphen/>
        <w:t xml:space="preserve">товность к отработке торпедного оружия весьма относительная: «62-я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имеет четыре ЮГ-1 (без мостов для крепления торпед и В ОМ ИЗ). Необходимо также шесть болванок торпед и восемь ВОМИЗ. Имеется только один торпедный прицел».</w:t>
      </w:r>
    </w:p>
    <w:p w14:paraId="619382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тем временем продолжались дискуссии о роли флота. Различные подходы к проблеме обозначились в выступлениях начальника штаба РККА М.Н. Тухачевского и началь</w:t>
      </w:r>
      <w:r w:rsidRPr="00A259BD">
        <w:rPr>
          <w:rFonts w:ascii="Times New Roman" w:hAnsi="Times New Roman"/>
          <w:color w:val="000000" w:themeColor="text1"/>
          <w:sz w:val="16"/>
          <w:szCs w:val="16"/>
        </w:rPr>
        <w:softHyphen/>
        <w:t>ника организационно-строевого управления УВМС РККА М.А. Пет</w:t>
      </w:r>
      <w:r w:rsidRPr="00A259BD">
        <w:rPr>
          <w:rFonts w:ascii="Times New Roman" w:hAnsi="Times New Roman"/>
          <w:color w:val="000000" w:themeColor="text1"/>
          <w:sz w:val="16"/>
          <w:szCs w:val="16"/>
        </w:rPr>
        <w:softHyphen/>
        <w:t>рова. Тухачевский с полным осно</w:t>
      </w:r>
      <w:r w:rsidRPr="00A259BD">
        <w:rPr>
          <w:rFonts w:ascii="Times New Roman" w:hAnsi="Times New Roman"/>
          <w:color w:val="000000" w:themeColor="text1"/>
          <w:sz w:val="16"/>
          <w:szCs w:val="16"/>
        </w:rPr>
        <w:softHyphen/>
        <w:t>ванием полагал, что в будущей войне наш флот не будет играть самостоятельной роли. Следова</w:t>
      </w:r>
      <w:r w:rsidRPr="00A259BD">
        <w:rPr>
          <w:rFonts w:ascii="Times New Roman" w:hAnsi="Times New Roman"/>
          <w:color w:val="000000" w:themeColor="text1"/>
          <w:sz w:val="16"/>
          <w:szCs w:val="16"/>
        </w:rPr>
        <w:softHyphen/>
        <w:t>тельно, трата значительных средств на строительство надводного фло</w:t>
      </w:r>
      <w:r w:rsidRPr="00A259BD">
        <w:rPr>
          <w:rFonts w:ascii="Times New Roman" w:hAnsi="Times New Roman"/>
          <w:color w:val="000000" w:themeColor="text1"/>
          <w:sz w:val="16"/>
          <w:szCs w:val="16"/>
        </w:rPr>
        <w:softHyphen/>
        <w:t>та нецелесообразна, а потому сле</w:t>
      </w:r>
      <w:r w:rsidRPr="00A259BD">
        <w:rPr>
          <w:rFonts w:ascii="Times New Roman" w:hAnsi="Times New Roman"/>
          <w:color w:val="000000" w:themeColor="text1"/>
          <w:sz w:val="16"/>
          <w:szCs w:val="16"/>
        </w:rPr>
        <w:softHyphen/>
        <w:t>дует обратить их на усиление под</w:t>
      </w:r>
      <w:r w:rsidRPr="00A259BD">
        <w:rPr>
          <w:rFonts w:ascii="Times New Roman" w:hAnsi="Times New Roman"/>
          <w:color w:val="000000" w:themeColor="text1"/>
          <w:sz w:val="16"/>
          <w:szCs w:val="16"/>
        </w:rPr>
        <w:softHyphen/>
        <w:t>водного флота и морской авиации. Флот должен будет наносить уда</w:t>
      </w:r>
      <w:r w:rsidRPr="00A259BD">
        <w:rPr>
          <w:rFonts w:ascii="Times New Roman" w:hAnsi="Times New Roman"/>
          <w:color w:val="000000" w:themeColor="text1"/>
          <w:sz w:val="16"/>
          <w:szCs w:val="16"/>
        </w:rPr>
        <w:softHyphen/>
        <w:t>ры по коммуникациям, чтобы нару</w:t>
      </w:r>
      <w:r w:rsidRPr="00A259BD">
        <w:rPr>
          <w:rFonts w:ascii="Times New Roman" w:hAnsi="Times New Roman"/>
          <w:color w:val="000000" w:themeColor="text1"/>
          <w:sz w:val="16"/>
          <w:szCs w:val="16"/>
        </w:rPr>
        <w:softHyphen/>
        <w:t>шить снабжение сухопутной армии. Необходимо также создать оборо</w:t>
      </w:r>
      <w:r w:rsidRPr="00A259BD">
        <w:rPr>
          <w:rFonts w:ascii="Times New Roman" w:hAnsi="Times New Roman"/>
          <w:color w:val="000000" w:themeColor="text1"/>
          <w:sz w:val="16"/>
          <w:szCs w:val="16"/>
        </w:rPr>
        <w:softHyphen/>
        <w:t>нительные минно-артиллерийские позиции, чтобы противодействовать попыткам уничтожения флота и вы</w:t>
      </w:r>
      <w:r w:rsidRPr="00A259BD">
        <w:rPr>
          <w:rFonts w:ascii="Times New Roman" w:hAnsi="Times New Roman"/>
          <w:color w:val="000000" w:themeColor="text1"/>
          <w:sz w:val="16"/>
          <w:szCs w:val="16"/>
        </w:rPr>
        <w:softHyphen/>
        <w:t>садки десантов на наше побере</w:t>
      </w:r>
      <w:r w:rsidRPr="00A259BD">
        <w:rPr>
          <w:rFonts w:ascii="Times New Roman" w:hAnsi="Times New Roman"/>
          <w:color w:val="000000" w:themeColor="text1"/>
          <w:sz w:val="16"/>
          <w:szCs w:val="16"/>
        </w:rPr>
        <w:softHyphen/>
        <w:t>жье. Точка зрения Петрова нашла свое выражение в разработанном при его участии "Боевом уставе Военно-морских сил РККА", введен</w:t>
      </w:r>
      <w:r w:rsidRPr="00A259BD">
        <w:rPr>
          <w:rFonts w:ascii="Times New Roman" w:hAnsi="Times New Roman"/>
          <w:color w:val="000000" w:themeColor="text1"/>
          <w:sz w:val="16"/>
          <w:szCs w:val="16"/>
        </w:rPr>
        <w:softHyphen/>
        <w:t xml:space="preserve">ном в действие в 1930 г. Он </w:t>
      </w:r>
      <w:r w:rsidRPr="00A259BD">
        <w:rPr>
          <w:rFonts w:ascii="Times New Roman" w:hAnsi="Times New Roman"/>
          <w:color w:val="000000" w:themeColor="text1"/>
          <w:sz w:val="16"/>
          <w:szCs w:val="16"/>
        </w:rPr>
        <w:lastRenderedPageBreak/>
        <w:t>при</w:t>
      </w:r>
      <w:r w:rsidRPr="00A259BD">
        <w:rPr>
          <w:rFonts w:ascii="Times New Roman" w:hAnsi="Times New Roman"/>
          <w:color w:val="000000" w:themeColor="text1"/>
          <w:sz w:val="16"/>
          <w:szCs w:val="16"/>
        </w:rPr>
        <w:softHyphen/>
        <w:t>держивался мнения, что флот спо</w:t>
      </w:r>
      <w:r w:rsidRPr="00A259BD">
        <w:rPr>
          <w:rFonts w:ascii="Times New Roman" w:hAnsi="Times New Roman"/>
          <w:color w:val="000000" w:themeColor="text1"/>
          <w:sz w:val="16"/>
          <w:szCs w:val="16"/>
        </w:rPr>
        <w:softHyphen/>
        <w:t>собен вести самостоятельные опе</w:t>
      </w:r>
      <w:r w:rsidRPr="00A259BD">
        <w:rPr>
          <w:rFonts w:ascii="Times New Roman" w:hAnsi="Times New Roman"/>
          <w:color w:val="000000" w:themeColor="text1"/>
          <w:sz w:val="16"/>
          <w:szCs w:val="16"/>
        </w:rPr>
        <w:softHyphen/>
        <w:t>рации, направленные на разгром сил противника. Следовательно, главной ударной силой флота в бою должны быть корабли с мощной крупнокалиберной артиллерией (линкоры и крейсера). Торпедное оружие, учитывая короткие дистан</w:t>
      </w:r>
      <w:r w:rsidRPr="00A259BD">
        <w:rPr>
          <w:rFonts w:ascii="Times New Roman" w:hAnsi="Times New Roman"/>
          <w:color w:val="000000" w:themeColor="text1"/>
          <w:sz w:val="16"/>
          <w:szCs w:val="16"/>
        </w:rPr>
        <w:softHyphen/>
        <w:t>ции его применения подводными лодками и катерами, в первую оче</w:t>
      </w:r>
      <w:r w:rsidRPr="00A259BD">
        <w:rPr>
          <w:rFonts w:ascii="Times New Roman" w:hAnsi="Times New Roman"/>
          <w:color w:val="000000" w:themeColor="text1"/>
          <w:sz w:val="16"/>
          <w:szCs w:val="16"/>
        </w:rPr>
        <w:softHyphen/>
        <w:t>редь должно иметь большой бое</w:t>
      </w:r>
      <w:r w:rsidRPr="00A259BD">
        <w:rPr>
          <w:rFonts w:ascii="Times New Roman" w:hAnsi="Times New Roman"/>
          <w:color w:val="000000" w:themeColor="text1"/>
          <w:sz w:val="16"/>
          <w:szCs w:val="16"/>
        </w:rPr>
        <w:softHyphen/>
        <w:t>заряд (12084).</w:t>
      </w:r>
    </w:p>
    <w:p w14:paraId="73088E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A4C96D5"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57433BE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5CD9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октября 1929 СНК заслушал сообщение о скандале в АН, когда в середине октября 1929 комиссия, проверяющая АН в библиотеке Пушкинского Дома и др. местах нашла документы большого политического значения - материалы департамента полиции, корпуса жандармов, охранки, контрразведки, ЦК партии эсеров, кадетов, подпольного съезда меньшевиков 1918 и списки охранников и агентов, оригиналы отречения Николая 2 и Михаила Романова и т.п. Посчитали, что скрыли и отстранили Ольденбурга (423,197).</w:t>
      </w:r>
    </w:p>
    <w:p w14:paraId="0A1822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F297D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октября 1929 газета “Правда” призвала к проведению “всеобщей коллективизации” (4962).</w:t>
      </w:r>
    </w:p>
    <w:p w14:paraId="27B7454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E8B305"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4628899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C32C6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октября 1929 </w:t>
      </w:r>
      <w:proofErr w:type="spellStart"/>
      <w:r w:rsidRPr="00A259BD">
        <w:rPr>
          <w:rFonts w:ascii="Times New Roman" w:hAnsi="Times New Roman"/>
          <w:color w:val="000000" w:themeColor="text1"/>
          <w:sz w:val="16"/>
          <w:szCs w:val="16"/>
        </w:rPr>
        <w:t>нанкинским</w:t>
      </w:r>
      <w:proofErr w:type="spellEnd"/>
      <w:r w:rsidRPr="00A259BD">
        <w:rPr>
          <w:rFonts w:ascii="Times New Roman" w:hAnsi="Times New Roman"/>
          <w:color w:val="000000" w:themeColor="text1"/>
          <w:sz w:val="16"/>
          <w:szCs w:val="16"/>
        </w:rPr>
        <w:t xml:space="preserve"> правительством Китая было заключено соглашение о возвращении Англией концессии в </w:t>
      </w:r>
      <w:proofErr w:type="spellStart"/>
      <w:r w:rsidRPr="00A259BD">
        <w:rPr>
          <w:rFonts w:ascii="Times New Roman" w:hAnsi="Times New Roman"/>
          <w:color w:val="000000" w:themeColor="text1"/>
          <w:sz w:val="16"/>
          <w:szCs w:val="16"/>
        </w:rPr>
        <w:t>Чжэньцзяне</w:t>
      </w:r>
      <w:proofErr w:type="spellEnd"/>
      <w:r w:rsidRPr="00A259BD">
        <w:rPr>
          <w:rFonts w:ascii="Times New Roman" w:hAnsi="Times New Roman"/>
          <w:color w:val="000000" w:themeColor="text1"/>
          <w:sz w:val="16"/>
          <w:szCs w:val="16"/>
        </w:rPr>
        <w:t xml:space="preserve"> (3878,3).</w:t>
      </w:r>
    </w:p>
    <w:p w14:paraId="62F752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2320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октября 1929 возобновилось действие египетской конституции (3907,157).</w:t>
      </w:r>
    </w:p>
    <w:p w14:paraId="6F9FF2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61B915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AA4093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02E6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октября 1929 г. предусматривался вывод самолета ТБ-2, но последовал арест </w:t>
      </w:r>
      <w:proofErr w:type="spellStart"/>
      <w:r w:rsidRPr="00A259BD">
        <w:rPr>
          <w:rFonts w:ascii="Times New Roman" w:hAnsi="Times New Roman"/>
          <w:color w:val="000000" w:themeColor="text1"/>
          <w:sz w:val="16"/>
          <w:szCs w:val="16"/>
        </w:rPr>
        <w:t>Н.Н.Поликарпова</w:t>
      </w:r>
      <w:proofErr w:type="spellEnd"/>
      <w:r w:rsidRPr="00A259BD">
        <w:rPr>
          <w:rFonts w:ascii="Times New Roman" w:hAnsi="Times New Roman"/>
          <w:color w:val="000000" w:themeColor="text1"/>
          <w:sz w:val="16"/>
          <w:szCs w:val="16"/>
        </w:rPr>
        <w:t xml:space="preserve"> по обвинению во "вредительстве". Работы по ТБ-2 возглавил его заместитель </w:t>
      </w:r>
      <w:proofErr w:type="spellStart"/>
      <w:r w:rsidRPr="00A259BD">
        <w:rPr>
          <w:rFonts w:ascii="Times New Roman" w:hAnsi="Times New Roman"/>
          <w:color w:val="000000" w:themeColor="text1"/>
          <w:sz w:val="16"/>
          <w:szCs w:val="16"/>
        </w:rPr>
        <w:t>В.М.Ольховский</w:t>
      </w:r>
      <w:proofErr w:type="spellEnd"/>
      <w:r w:rsidRPr="00A259BD">
        <w:rPr>
          <w:rFonts w:ascii="Times New Roman" w:hAnsi="Times New Roman"/>
          <w:color w:val="000000" w:themeColor="text1"/>
          <w:sz w:val="16"/>
          <w:szCs w:val="16"/>
        </w:rPr>
        <w:t xml:space="preserve">, но отстранение </w:t>
      </w:r>
      <w:proofErr w:type="spellStart"/>
      <w:r w:rsidRPr="00A259BD">
        <w:rPr>
          <w:rFonts w:ascii="Times New Roman" w:hAnsi="Times New Roman"/>
          <w:color w:val="000000" w:themeColor="text1"/>
          <w:sz w:val="16"/>
          <w:szCs w:val="16"/>
        </w:rPr>
        <w:t>Н.Н.Поликарпова</w:t>
      </w:r>
      <w:proofErr w:type="spellEnd"/>
      <w:r w:rsidRPr="00A259BD">
        <w:rPr>
          <w:rFonts w:ascii="Times New Roman" w:hAnsi="Times New Roman"/>
          <w:color w:val="000000" w:themeColor="text1"/>
          <w:sz w:val="16"/>
          <w:szCs w:val="16"/>
        </w:rPr>
        <w:t xml:space="preserve"> самым негативным образом сказалось на самолете (3407).</w:t>
      </w:r>
    </w:p>
    <w:p w14:paraId="1455E8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EB724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октября 1929 г. ввиду отстранения Поликар</w:t>
      </w:r>
      <w:r w:rsidRPr="00A259BD">
        <w:rPr>
          <w:rFonts w:ascii="Times New Roman" w:hAnsi="Times New Roman"/>
          <w:color w:val="000000" w:themeColor="text1"/>
          <w:sz w:val="16"/>
          <w:szCs w:val="16"/>
        </w:rPr>
        <w:softHyphen/>
        <w:t xml:space="preserve">пова от конструкторской деятельности работы над И-6 приостановились, но с декабря возобновились вновь. Руководил ими уже </w:t>
      </w:r>
      <w:proofErr w:type="spellStart"/>
      <w:r w:rsidRPr="00A259BD">
        <w:rPr>
          <w:rFonts w:ascii="Times New Roman" w:hAnsi="Times New Roman"/>
          <w:color w:val="000000" w:themeColor="text1"/>
          <w:sz w:val="16"/>
          <w:szCs w:val="16"/>
        </w:rPr>
        <w:t>С.А.Кочеригин</w:t>
      </w:r>
      <w:proofErr w:type="spellEnd"/>
      <w:r w:rsidRPr="00A259BD">
        <w:rPr>
          <w:rFonts w:ascii="Times New Roman" w:hAnsi="Times New Roman"/>
          <w:color w:val="000000" w:themeColor="text1"/>
          <w:sz w:val="16"/>
          <w:szCs w:val="16"/>
        </w:rPr>
        <w:t>, назначенный глав</w:t>
      </w:r>
      <w:r w:rsidRPr="00A259BD">
        <w:rPr>
          <w:rFonts w:ascii="Times New Roman" w:hAnsi="Times New Roman"/>
          <w:color w:val="000000" w:themeColor="text1"/>
          <w:sz w:val="16"/>
          <w:szCs w:val="16"/>
        </w:rPr>
        <w:softHyphen/>
        <w:t>ным конструктором завода № 25 (10667).</w:t>
      </w:r>
    </w:p>
    <w:p w14:paraId="130740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845B3BB" w14:textId="77777777" w:rsidR="00170B72" w:rsidRPr="00A259BD" w:rsidRDefault="00170B72"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октябре 1929 года за «срыв опытных работ» не избежал ареста и Н.Н. Поликарпов – широко известный конструктор истребителей И-1 и И-3, знаменитых учебных самолетов У-2 (По-2) и разведчиков Р-5, начинавший работу еще у И.И. Сикорского. На момент ареста Николай Николаевич работал помощником директора завода № 25 – главным конструктором.</w:t>
      </w:r>
    </w:p>
    <w:p w14:paraId="450CBC5D" w14:textId="77777777" w:rsidR="00170B72" w:rsidRPr="00A259BD" w:rsidRDefault="00170B72"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Поликарпова обвиняли:</w:t>
      </w:r>
    </w:p>
    <w:p w14:paraId="14A314CE" w14:textId="77777777" w:rsidR="00170B72" w:rsidRPr="00A259BD" w:rsidRDefault="00170B72"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в передаче на завод № 1 для серийного производства недоведенного и до конца не испытанного истребителя И-3;</w:t>
      </w:r>
    </w:p>
    <w:p w14:paraId="4F61CE38" w14:textId="77777777" w:rsidR="00170B72" w:rsidRPr="00A259BD" w:rsidRDefault="00170B72"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в использовании на нем элеронов новой конструкции, не утвержденной ВВС;</w:t>
      </w:r>
    </w:p>
    <w:p w14:paraId="76311AB3" w14:textId="77777777" w:rsidR="00170B72" w:rsidRPr="00A259BD" w:rsidRDefault="00170B72"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в разработке непригодной для эксплуатации конструкции управления И-3, в которой после 10-15 полетов образуются люфты;</w:t>
      </w:r>
    </w:p>
    <w:p w14:paraId="54DA357E" w14:textId="77777777" w:rsidR="00170B72" w:rsidRPr="00A259BD" w:rsidRDefault="00170B72"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в использовании на опытном экземпляре И-3 многих элементов конструкции, но еще не освоенных серийным заводом, для того, чтобы затруднить внедрению в серию и затянуть сроки; ...</w:t>
      </w:r>
    </w:p>
    <w:p w14:paraId="52431557" w14:textId="77777777" w:rsidR="00170B72" w:rsidRPr="00A259BD" w:rsidRDefault="00170B72"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в предъявлении на государственные испытания разведчика Р-5 с дефектами для затягивания сроков испытаний нужной для ВВС машины;</w:t>
      </w:r>
    </w:p>
    <w:p w14:paraId="72967A07" w14:textId="77777777" w:rsidR="00170B72" w:rsidRPr="00A259BD" w:rsidRDefault="00170B72"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в передаче для серийного производства недовведенного Р-5 и </w:t>
      </w:r>
      <w:proofErr w:type="spellStart"/>
      <w:r w:rsidRPr="00A259BD">
        <w:rPr>
          <w:rFonts w:ascii="Times New Roman" w:hAnsi="Times New Roman"/>
          <w:color w:val="000000" w:themeColor="text1"/>
          <w:sz w:val="16"/>
          <w:szCs w:val="16"/>
        </w:rPr>
        <w:t>т.д</w:t>
      </w:r>
      <w:proofErr w:type="spellEnd"/>
      <w:r w:rsidRPr="00A259BD">
        <w:rPr>
          <w:rFonts w:ascii="Times New Roman" w:hAnsi="Times New Roman"/>
          <w:color w:val="000000" w:themeColor="text1"/>
          <w:sz w:val="16"/>
          <w:szCs w:val="16"/>
        </w:rPr>
        <w:t xml:space="preserve"> и т.п».</w:t>
      </w:r>
    </w:p>
    <w:p w14:paraId="11D44D11" w14:textId="77777777" w:rsidR="00170B72" w:rsidRPr="00A259BD" w:rsidRDefault="00170B72"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Наказание </w:t>
      </w:r>
      <w:proofErr w:type="spellStart"/>
      <w:r w:rsidRPr="00A259BD">
        <w:rPr>
          <w:rFonts w:ascii="Times New Roman" w:hAnsi="Times New Roman"/>
          <w:color w:val="000000" w:themeColor="text1"/>
          <w:sz w:val="16"/>
          <w:szCs w:val="16"/>
        </w:rPr>
        <w:t>Н.Н.Поликарпова</w:t>
      </w:r>
      <w:proofErr w:type="spellEnd"/>
      <w:r w:rsidRPr="00A259BD">
        <w:rPr>
          <w:rFonts w:ascii="Times New Roman" w:hAnsi="Times New Roman"/>
          <w:color w:val="000000" w:themeColor="text1"/>
          <w:sz w:val="16"/>
          <w:szCs w:val="16"/>
        </w:rPr>
        <w:t xml:space="preserve"> было суровым: судебной коллегией ОГПУ он был приговорен к высшей мере наказания – расстрелу. Однако с исполнением приговора не спешили и в декабре того же года поместили в Бутырскую тюрьму. Вместе с ним здесь оказались и его коллеги Е.И. Майоранов и В.А. Тисов, Б.Ф. Гончаров – бывший директор опытного завода № 25. В тюрьму так же попали известные авиаспециалисты из других организаций: П.М. </w:t>
      </w:r>
      <w:proofErr w:type="spellStart"/>
      <w:r w:rsidRPr="00A259BD">
        <w:rPr>
          <w:rFonts w:ascii="Times New Roman" w:hAnsi="Times New Roman"/>
          <w:color w:val="000000" w:themeColor="text1"/>
          <w:sz w:val="16"/>
          <w:szCs w:val="16"/>
        </w:rPr>
        <w:t>Крейсон</w:t>
      </w:r>
      <w:proofErr w:type="spellEnd"/>
      <w:r w:rsidRPr="00A259BD">
        <w:rPr>
          <w:rFonts w:ascii="Times New Roman" w:hAnsi="Times New Roman"/>
          <w:color w:val="000000" w:themeColor="text1"/>
          <w:sz w:val="16"/>
          <w:szCs w:val="16"/>
        </w:rPr>
        <w:t xml:space="preserve"> – инженер по статистическим испытаниям, И.М. Косткин – технический директор завода № 1, А.В. </w:t>
      </w:r>
      <w:proofErr w:type="spellStart"/>
      <w:r w:rsidRPr="00A259BD">
        <w:rPr>
          <w:rFonts w:ascii="Times New Roman" w:hAnsi="Times New Roman"/>
          <w:color w:val="000000" w:themeColor="text1"/>
          <w:sz w:val="16"/>
          <w:szCs w:val="16"/>
        </w:rPr>
        <w:t>Надашкевич</w:t>
      </w:r>
      <w:proofErr w:type="spellEnd"/>
      <w:r w:rsidRPr="00A259BD">
        <w:rPr>
          <w:rFonts w:ascii="Times New Roman" w:hAnsi="Times New Roman"/>
          <w:color w:val="000000" w:themeColor="text1"/>
          <w:sz w:val="16"/>
          <w:szCs w:val="16"/>
        </w:rPr>
        <w:t xml:space="preserve"> – конструктор по вооружению (создатель авиационного пулемета ПВ-1), инженеры Б.Н. Тарасович, В.С. Денисов и другие. Всего было арестовано свыше 30-ти специалистов по самолетам, двигателям и авиационному оборудованию (15223).</w:t>
      </w:r>
    </w:p>
    <w:p w14:paraId="189D35A8" w14:textId="77777777" w:rsidR="00170B72" w:rsidRPr="00A259BD" w:rsidRDefault="00170B72" w:rsidP="009236E3">
      <w:pPr>
        <w:shd w:val="clear" w:color="auto" w:fill="FFFFFF"/>
        <w:spacing w:after="0" w:line="240" w:lineRule="auto"/>
        <w:jc w:val="both"/>
        <w:rPr>
          <w:rFonts w:ascii="Times New Roman" w:hAnsi="Times New Roman"/>
          <w:color w:val="000000" w:themeColor="text1"/>
          <w:sz w:val="16"/>
          <w:szCs w:val="16"/>
        </w:rPr>
      </w:pPr>
    </w:p>
    <w:p w14:paraId="62203583" w14:textId="77777777" w:rsidR="00A96F46" w:rsidRPr="00A259BD" w:rsidRDefault="00A96F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октября 1929 года за «срыв опытных работ» не избежал ареста и Н.Н. Поликарпов – широко известный конструктор истребителей И-1 и И-3, знаменитых учебных самолетов У-2 (По-2) и разведчиков Р-5, начинавший работу еще у И.И. Сикорского. На момент ареста Николай Николаевич работал помощником директора завода № 25 – главным конструктором.</w:t>
      </w:r>
    </w:p>
    <w:p w14:paraId="08B1C75F" w14:textId="77777777" w:rsidR="00A96F46" w:rsidRPr="00A259BD" w:rsidRDefault="00A96F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Поликарпова обвиняли:</w:t>
      </w:r>
    </w:p>
    <w:p w14:paraId="273A46C1" w14:textId="77777777" w:rsidR="00A96F46" w:rsidRPr="00A259BD" w:rsidRDefault="00A96F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в передаче на завод № 1 для серийного производства недоведенного и до конца не испытанного истребителя И-3;</w:t>
      </w:r>
    </w:p>
    <w:p w14:paraId="01B91948" w14:textId="77777777" w:rsidR="00A96F46" w:rsidRPr="00A259BD" w:rsidRDefault="00A96F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в использовании на нем элеронов новой конструкции, не утвержденной ВВС;</w:t>
      </w:r>
    </w:p>
    <w:p w14:paraId="350B975A" w14:textId="77777777" w:rsidR="00A96F46" w:rsidRPr="00A259BD" w:rsidRDefault="00A96F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в разработке непригодной для эксплуатации конструкции управления И-3, в которой после 10-15 полетов образуются люфты;</w:t>
      </w:r>
    </w:p>
    <w:p w14:paraId="18BA3A62" w14:textId="77777777" w:rsidR="00A96F46" w:rsidRPr="00A259BD" w:rsidRDefault="00A96F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в использовании на опытном экземпляре И-3 многих элементов конструкции, но еще не освоенных серийным заводом, для того, чтобы затруднить внедрению в серию и затянуть сроки; ...</w:t>
      </w:r>
    </w:p>
    <w:p w14:paraId="3B5E6E2F" w14:textId="77777777" w:rsidR="00A96F46" w:rsidRPr="00A259BD" w:rsidRDefault="00A96F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в предъявлении на государственные испытания разведчика Р-5 с дефектами для затягивания сроков испытаний нужной для ВВС машины;</w:t>
      </w:r>
    </w:p>
    <w:p w14:paraId="30B5DDD6" w14:textId="77777777" w:rsidR="00A96F46" w:rsidRPr="00A259BD" w:rsidRDefault="00A96F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в передаче для серийного производства недовведенного Р-5 и </w:t>
      </w:r>
      <w:proofErr w:type="spellStart"/>
      <w:r w:rsidRPr="00A259BD">
        <w:rPr>
          <w:rFonts w:ascii="Times New Roman" w:hAnsi="Times New Roman"/>
          <w:color w:val="000000" w:themeColor="text1"/>
          <w:sz w:val="16"/>
          <w:szCs w:val="16"/>
        </w:rPr>
        <w:t>т.д</w:t>
      </w:r>
      <w:proofErr w:type="spellEnd"/>
      <w:r w:rsidRPr="00A259BD">
        <w:rPr>
          <w:rFonts w:ascii="Times New Roman" w:hAnsi="Times New Roman"/>
          <w:color w:val="000000" w:themeColor="text1"/>
          <w:sz w:val="16"/>
          <w:szCs w:val="16"/>
        </w:rPr>
        <w:t xml:space="preserve"> и т.п».</w:t>
      </w:r>
    </w:p>
    <w:p w14:paraId="4C0C2FA3" w14:textId="77777777" w:rsidR="00A96F46" w:rsidRPr="00A259BD" w:rsidRDefault="00A96F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Наказание </w:t>
      </w:r>
      <w:proofErr w:type="spellStart"/>
      <w:r w:rsidRPr="00A259BD">
        <w:rPr>
          <w:rFonts w:ascii="Times New Roman" w:hAnsi="Times New Roman"/>
          <w:color w:val="000000" w:themeColor="text1"/>
          <w:sz w:val="16"/>
          <w:szCs w:val="16"/>
        </w:rPr>
        <w:t>Н.Н.Поликарпова</w:t>
      </w:r>
      <w:proofErr w:type="spellEnd"/>
      <w:r w:rsidRPr="00A259BD">
        <w:rPr>
          <w:rFonts w:ascii="Times New Roman" w:hAnsi="Times New Roman"/>
          <w:color w:val="000000" w:themeColor="text1"/>
          <w:sz w:val="16"/>
          <w:szCs w:val="16"/>
        </w:rPr>
        <w:t xml:space="preserve"> было суровым: судебной коллегией ОГПУ он был приговорен к высшей мере наказания – расстрелу. Однако с исполнением приговора не спешили и в декабре того же года поместили в Бутырскую тюрьму. Вместе с ним здесь оказались и его коллеги Е.И. Майоранов и В.А. Тисов, Б.Ф. Гончаров – бывший директор опытного завода № 25. В тюрьму так же попали известные авиаспециалисты из других организаций: П.М. </w:t>
      </w:r>
      <w:proofErr w:type="spellStart"/>
      <w:r w:rsidRPr="00A259BD">
        <w:rPr>
          <w:rFonts w:ascii="Times New Roman" w:hAnsi="Times New Roman"/>
          <w:color w:val="000000" w:themeColor="text1"/>
          <w:sz w:val="16"/>
          <w:szCs w:val="16"/>
        </w:rPr>
        <w:t>Крейсон</w:t>
      </w:r>
      <w:proofErr w:type="spellEnd"/>
      <w:r w:rsidRPr="00A259BD">
        <w:rPr>
          <w:rFonts w:ascii="Times New Roman" w:hAnsi="Times New Roman"/>
          <w:color w:val="000000" w:themeColor="text1"/>
          <w:sz w:val="16"/>
          <w:szCs w:val="16"/>
        </w:rPr>
        <w:t xml:space="preserve"> – инженер по статистическим испытаниям, И.М. Косткин – технический директор завода № 1, А.В. </w:t>
      </w:r>
      <w:proofErr w:type="spellStart"/>
      <w:r w:rsidRPr="00A259BD">
        <w:rPr>
          <w:rFonts w:ascii="Times New Roman" w:hAnsi="Times New Roman"/>
          <w:color w:val="000000" w:themeColor="text1"/>
          <w:sz w:val="16"/>
          <w:szCs w:val="16"/>
        </w:rPr>
        <w:t>Надашкевич</w:t>
      </w:r>
      <w:proofErr w:type="spellEnd"/>
      <w:r w:rsidRPr="00A259BD">
        <w:rPr>
          <w:rFonts w:ascii="Times New Roman" w:hAnsi="Times New Roman"/>
          <w:color w:val="000000" w:themeColor="text1"/>
          <w:sz w:val="16"/>
          <w:szCs w:val="16"/>
        </w:rPr>
        <w:t xml:space="preserve"> – конструктор по вооружению (создатель авиационного пулемета ПВ-1), инженеры Б.Н. Тарасович, В.С. Денисов и другие. Всего было арестовано свыше 30-ти специалистов по самолетам, двигателям и авиационному оборудованию (18293).</w:t>
      </w:r>
    </w:p>
    <w:p w14:paraId="0A8C5257" w14:textId="77777777" w:rsidR="00A96F46" w:rsidRPr="00A259BD" w:rsidRDefault="00A96F46" w:rsidP="009236E3">
      <w:pPr>
        <w:spacing w:after="0" w:line="240" w:lineRule="auto"/>
        <w:jc w:val="both"/>
        <w:rPr>
          <w:rFonts w:ascii="Times New Roman" w:hAnsi="Times New Roman"/>
          <w:color w:val="000000" w:themeColor="text1"/>
          <w:sz w:val="16"/>
          <w:szCs w:val="16"/>
        </w:rPr>
      </w:pPr>
    </w:p>
    <w:p w14:paraId="443F8A1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4A0FD2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F1BA8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октября 1929 г. участники ставшего знаменитым мо</w:t>
      </w:r>
      <w:r w:rsidRPr="00A259BD">
        <w:rPr>
          <w:rFonts w:ascii="Times New Roman" w:hAnsi="Times New Roman"/>
          <w:color w:val="000000" w:themeColor="text1"/>
          <w:sz w:val="16"/>
          <w:szCs w:val="16"/>
        </w:rPr>
        <w:softHyphen/>
        <w:t>топробега вернулись к своим прежним делам, а в канун праздни</w:t>
      </w:r>
      <w:r w:rsidRPr="00A259BD">
        <w:rPr>
          <w:rFonts w:ascii="Times New Roman" w:hAnsi="Times New Roman"/>
          <w:color w:val="000000" w:themeColor="text1"/>
          <w:sz w:val="16"/>
          <w:szCs w:val="16"/>
        </w:rPr>
        <w:softHyphen/>
        <w:t>ка 7 ноября на ИОЗ пришла телеграмма, в которой РУЖ уведом</w:t>
      </w:r>
      <w:r w:rsidRPr="00A259BD">
        <w:rPr>
          <w:rFonts w:ascii="Times New Roman" w:hAnsi="Times New Roman"/>
          <w:color w:val="000000" w:themeColor="text1"/>
          <w:sz w:val="16"/>
          <w:szCs w:val="16"/>
        </w:rPr>
        <w:softHyphen/>
        <w:t>лял о приезде на завод через две недели специальной комиссии ВСНХ для обсуждения целесообразности выпуска мотоциклов в Ижевске [3.92]. В ней же дирекции завода предлагали подгото</w:t>
      </w:r>
      <w:r w:rsidRPr="00A259BD">
        <w:rPr>
          <w:rFonts w:ascii="Times New Roman" w:hAnsi="Times New Roman"/>
          <w:color w:val="000000" w:themeColor="text1"/>
          <w:sz w:val="16"/>
          <w:szCs w:val="16"/>
        </w:rPr>
        <w:softHyphen/>
        <w:t xml:space="preserve">вить предложения о развертывании производства мотоциклов на освободившихся производственных площадях </w:t>
      </w:r>
      <w:proofErr w:type="spellStart"/>
      <w:r w:rsidRPr="00A259BD">
        <w:rPr>
          <w:rFonts w:ascii="Times New Roman" w:hAnsi="Times New Roman"/>
          <w:color w:val="000000" w:themeColor="text1"/>
          <w:sz w:val="16"/>
          <w:szCs w:val="16"/>
        </w:rPr>
        <w:t>ИОЗа</w:t>
      </w:r>
      <w:proofErr w:type="spellEnd"/>
      <w:r w:rsidRPr="00A259BD">
        <w:rPr>
          <w:rFonts w:ascii="Times New Roman" w:hAnsi="Times New Roman"/>
          <w:color w:val="000000" w:themeColor="text1"/>
          <w:sz w:val="16"/>
          <w:szCs w:val="16"/>
        </w:rPr>
        <w:t>. Поскольку за оставшееся время заводчане не могли подготовить и разра</w:t>
      </w:r>
      <w:r w:rsidRPr="00A259BD">
        <w:rPr>
          <w:rFonts w:ascii="Times New Roman" w:hAnsi="Times New Roman"/>
          <w:color w:val="000000" w:themeColor="text1"/>
          <w:sz w:val="16"/>
          <w:szCs w:val="16"/>
        </w:rPr>
        <w:softHyphen/>
        <w:t>ботать проект такой реорганизации, то решили предложить строительство в Ижевске специализированного мотоциклетного завода [3.93] (11429).</w:t>
      </w:r>
    </w:p>
    <w:p w14:paraId="232ECF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CCB09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89FE3B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8EF4F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октябрю 1931 г. КБ-2 завершило проект вооружение Р-ЗЛД немецкой 20-мм автоматической противотанковой пушкой РМ ("</w:t>
      </w:r>
      <w:proofErr w:type="spellStart"/>
      <w:r w:rsidRPr="00A259BD">
        <w:rPr>
          <w:rFonts w:ascii="Times New Roman" w:hAnsi="Times New Roman"/>
          <w:color w:val="000000" w:themeColor="text1"/>
          <w:sz w:val="16"/>
          <w:szCs w:val="16"/>
        </w:rPr>
        <w:t>Рейнме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талл</w:t>
      </w:r>
      <w:proofErr w:type="spellEnd"/>
      <w:r w:rsidRPr="00A259BD">
        <w:rPr>
          <w:rFonts w:ascii="Times New Roman" w:hAnsi="Times New Roman"/>
          <w:color w:val="000000" w:themeColor="text1"/>
          <w:sz w:val="16"/>
          <w:szCs w:val="16"/>
        </w:rPr>
        <w:t xml:space="preserve">"). Она должна была стоять на месте пулемета на левом борту и стрелять через диск </w:t>
      </w:r>
      <w:proofErr w:type="spellStart"/>
      <w:r w:rsidRPr="00A259BD">
        <w:rPr>
          <w:rFonts w:ascii="Times New Roman" w:hAnsi="Times New Roman"/>
          <w:color w:val="000000" w:themeColor="text1"/>
          <w:sz w:val="16"/>
          <w:szCs w:val="16"/>
        </w:rPr>
        <w:t>ометания</w:t>
      </w:r>
      <w:proofErr w:type="spellEnd"/>
      <w:r w:rsidRPr="00A259BD">
        <w:rPr>
          <w:rFonts w:ascii="Times New Roman" w:hAnsi="Times New Roman"/>
          <w:color w:val="000000" w:themeColor="text1"/>
          <w:sz w:val="16"/>
          <w:szCs w:val="16"/>
        </w:rPr>
        <w:t xml:space="preserve"> винта. Однако опытный образец строить не стали, а в 1932 г. эту позицию из плана опытных работ изъяли (11985).</w:t>
      </w:r>
    </w:p>
    <w:p w14:paraId="2FC8C2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C958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началась постройка АНТ-13 (514).</w:t>
      </w:r>
    </w:p>
    <w:p w14:paraId="1E56B4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Интересно, за что конкретно. Важно, что </w:t>
      </w:r>
      <w:proofErr w:type="spellStart"/>
      <w:r w:rsidRPr="00A259BD">
        <w:rPr>
          <w:rFonts w:ascii="Times New Roman" w:hAnsi="Times New Roman"/>
          <w:color w:val="000000" w:themeColor="text1"/>
          <w:sz w:val="16"/>
          <w:szCs w:val="16"/>
        </w:rPr>
        <w:t>Д.П.Григорович</w:t>
      </w:r>
      <w:proofErr w:type="spellEnd"/>
      <w:r w:rsidRPr="00A259BD">
        <w:rPr>
          <w:rFonts w:ascii="Times New Roman" w:hAnsi="Times New Roman"/>
          <w:color w:val="000000" w:themeColor="text1"/>
          <w:sz w:val="16"/>
          <w:szCs w:val="16"/>
        </w:rPr>
        <w:t xml:space="preserve"> сидел с 1 сентября 1928.</w:t>
      </w:r>
    </w:p>
    <w:p w14:paraId="7F6889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774D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НТК УВВС и ЦАГИ обменялись мнениями по вопросу о возможности постройки тяжелых военных самолетов грузоподъемностью 10-25 т (7388, 7).</w:t>
      </w:r>
    </w:p>
    <w:p w14:paraId="43D4C2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442C1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УВВС приобрело у английской фирмы Шорт несколько пар однотипных поплавков разной величины. Изучили в гидроканале ЦАГИ. Образец под 7-8 т самолет (10.66 м, 1.15 м ширина и высота. Внедрили под маркой Ж с 1932 и изготовили 100 пар (92,350).</w:t>
      </w:r>
    </w:p>
    <w:p w14:paraId="201411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CEB84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НТК УВВС обратился в ЦАГИ за соображениями по бомбардировщикам на 10 и 25 т (80,315).</w:t>
      </w:r>
    </w:p>
    <w:p w14:paraId="325114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Ай да С.В.И.</w:t>
      </w:r>
    </w:p>
    <w:p w14:paraId="6B8AFB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72801E" w14:textId="77777777" w:rsidR="00A86A94" w:rsidRPr="00A259BD" w:rsidRDefault="00A86A94" w:rsidP="00A86A94">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октябре 1929 состоялся обмен мнениями между НТК УВВС и ЦАГИ о возможности постройки тяжелых бомбардировщиков грузоподъемностью 10-25 т и потом НТК разработал ТТТ, которые предъявил ЦАГИ в марте 1930 на новый ТБ с М-35 суммарной мощностью 5000 </w:t>
      </w:r>
      <w:proofErr w:type="spellStart"/>
      <w:r w:rsidRPr="00A259BD">
        <w:rPr>
          <w:rFonts w:ascii="Times New Roman" w:hAnsi="Times New Roman"/>
          <w:color w:val="000000" w:themeColor="text1"/>
          <w:sz w:val="16"/>
          <w:szCs w:val="16"/>
        </w:rPr>
        <w:t>нр</w:t>
      </w:r>
      <w:proofErr w:type="spellEnd"/>
      <w:r w:rsidRPr="00A259BD">
        <w:rPr>
          <w:rFonts w:ascii="Times New Roman" w:hAnsi="Times New Roman"/>
          <w:color w:val="000000" w:themeColor="text1"/>
          <w:sz w:val="16"/>
          <w:szCs w:val="16"/>
        </w:rPr>
        <w:t xml:space="preserve"> и массой полезной нагрузки 8820 кг, а сбрасываемого груза - 8000-10000 кг - АНТ-16 (ТБ-4) (2072,64).</w:t>
      </w:r>
    </w:p>
    <w:p w14:paraId="31A9D42B" w14:textId="77777777" w:rsidR="00A86A94" w:rsidRPr="00A259BD" w:rsidRDefault="00A86A94" w:rsidP="00A86A94">
      <w:pPr>
        <w:autoSpaceDE w:val="0"/>
        <w:autoSpaceDN w:val="0"/>
        <w:adjustRightInd w:val="0"/>
        <w:spacing w:after="0" w:line="240" w:lineRule="auto"/>
        <w:jc w:val="both"/>
        <w:rPr>
          <w:rFonts w:ascii="Times New Roman" w:hAnsi="Times New Roman"/>
          <w:color w:val="000000" w:themeColor="text1"/>
          <w:sz w:val="16"/>
          <w:szCs w:val="16"/>
        </w:rPr>
      </w:pPr>
    </w:p>
    <w:p w14:paraId="2AD7F953" w14:textId="77777777" w:rsidR="00A86A94" w:rsidRPr="00441F34" w:rsidRDefault="00A86A94" w:rsidP="00A86A9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октябре 1929 г. НТК УВВС обратился в ЦАГИ с прось</w:t>
      </w:r>
      <w:r w:rsidRPr="00441F34">
        <w:rPr>
          <w:rFonts w:ascii="Times New Roman" w:hAnsi="Times New Roman"/>
          <w:color w:val="0070C0"/>
          <w:sz w:val="16"/>
          <w:szCs w:val="16"/>
        </w:rPr>
        <w:softHyphen/>
        <w:t>бой рассмотреть возможность создания тяжелых бомбардировщиков с грузо</w:t>
      </w:r>
      <w:r w:rsidRPr="00441F34">
        <w:rPr>
          <w:rFonts w:ascii="Times New Roman" w:hAnsi="Times New Roman"/>
          <w:color w:val="0070C0"/>
          <w:sz w:val="16"/>
          <w:szCs w:val="16"/>
        </w:rPr>
        <w:softHyphen/>
        <w:t>подъемностью 10 и 25 т. По расчету ЦАГИ, такие самолеты можно было построить, но для их серийного производства мощ</w:t>
      </w:r>
      <w:r w:rsidRPr="00441F34">
        <w:rPr>
          <w:rFonts w:ascii="Times New Roman" w:hAnsi="Times New Roman"/>
          <w:color w:val="0070C0"/>
          <w:sz w:val="16"/>
          <w:szCs w:val="16"/>
        </w:rPr>
        <w:softHyphen/>
        <w:t>ности советской авиационной промыш</w:t>
      </w:r>
      <w:r w:rsidRPr="00441F34">
        <w:rPr>
          <w:rFonts w:ascii="Times New Roman" w:hAnsi="Times New Roman"/>
          <w:color w:val="0070C0"/>
          <w:sz w:val="16"/>
          <w:szCs w:val="16"/>
        </w:rPr>
        <w:softHyphen/>
        <w:t>ленности еще не хватало. Тем не менее в марте 1930 г. УВВС заказало ЦАГИ про</w:t>
      </w:r>
      <w:r w:rsidRPr="00441F34">
        <w:rPr>
          <w:rFonts w:ascii="Times New Roman" w:hAnsi="Times New Roman"/>
          <w:color w:val="0070C0"/>
          <w:sz w:val="16"/>
          <w:szCs w:val="16"/>
        </w:rPr>
        <w:softHyphen/>
        <w:t>ектирование и изготовление тяжелого бомбардировщика ТБ—4. В КБ он полу</w:t>
      </w:r>
      <w:r w:rsidRPr="00441F34">
        <w:rPr>
          <w:rFonts w:ascii="Times New Roman" w:hAnsi="Times New Roman"/>
          <w:color w:val="0070C0"/>
          <w:sz w:val="16"/>
          <w:szCs w:val="16"/>
        </w:rPr>
        <w:softHyphen/>
        <w:t>чил обозначение АНТ—16 (23474).</w:t>
      </w:r>
    </w:p>
    <w:p w14:paraId="3A849E8C" w14:textId="77777777" w:rsidR="00A86A94" w:rsidRPr="00441F34" w:rsidRDefault="00A86A94" w:rsidP="00A86A94">
      <w:pPr>
        <w:spacing w:after="0" w:line="240" w:lineRule="auto"/>
        <w:jc w:val="both"/>
        <w:rPr>
          <w:rFonts w:ascii="Times New Roman" w:hAnsi="Times New Roman"/>
          <w:color w:val="0070C0"/>
          <w:sz w:val="16"/>
          <w:szCs w:val="16"/>
        </w:rPr>
      </w:pPr>
    </w:p>
    <w:p w14:paraId="4DCF5D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испытывали И-4 серийный (80,117).</w:t>
      </w:r>
    </w:p>
    <w:p w14:paraId="273DF2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E8870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КБ А.Н.Т. приступило к постройке АНТ-6 (ТБ-3) (346,25).</w:t>
      </w:r>
    </w:p>
    <w:p w14:paraId="23516C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C1F947" w14:textId="77777777" w:rsidR="00A86A94" w:rsidRPr="00441F34" w:rsidRDefault="00A86A94" w:rsidP="00A86A9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октябре 1929 г. КБ А.Н.Т. смогло приступить к постройке АНТ—6. Андрей Николаевич, как всегда, разрабатывал общую концепцию самолета. Ответствен</w:t>
      </w:r>
      <w:r w:rsidRPr="00441F34">
        <w:rPr>
          <w:rFonts w:ascii="Times New Roman" w:hAnsi="Times New Roman"/>
          <w:color w:val="0070C0"/>
          <w:sz w:val="16"/>
          <w:szCs w:val="16"/>
        </w:rPr>
        <w:softHyphen/>
        <w:t>ными за проектирование отдельных агре</w:t>
      </w:r>
      <w:r w:rsidRPr="00441F34">
        <w:rPr>
          <w:rFonts w:ascii="Times New Roman" w:hAnsi="Times New Roman"/>
          <w:color w:val="0070C0"/>
          <w:sz w:val="16"/>
          <w:szCs w:val="16"/>
        </w:rPr>
        <w:softHyphen/>
        <w:t>гатов были: В.М. Петляков — крыло, А.А. Архангельский — фюзеляж и управ</w:t>
      </w:r>
      <w:r w:rsidRPr="00441F34">
        <w:rPr>
          <w:rFonts w:ascii="Times New Roman" w:hAnsi="Times New Roman"/>
          <w:color w:val="0070C0"/>
          <w:sz w:val="16"/>
          <w:szCs w:val="16"/>
        </w:rPr>
        <w:softHyphen/>
        <w:t xml:space="preserve">ление, Н.С. Некрасов — оперение, А.И. Путилов — шасси, И.И. </w:t>
      </w:r>
      <w:proofErr w:type="spellStart"/>
      <w:r w:rsidRPr="00441F34">
        <w:rPr>
          <w:rFonts w:ascii="Times New Roman" w:hAnsi="Times New Roman"/>
          <w:color w:val="0070C0"/>
          <w:sz w:val="16"/>
          <w:szCs w:val="16"/>
        </w:rPr>
        <w:t>Погосский</w:t>
      </w:r>
      <w:proofErr w:type="spellEnd"/>
      <w:r w:rsidRPr="00441F34">
        <w:rPr>
          <w:rFonts w:ascii="Times New Roman" w:hAnsi="Times New Roman"/>
          <w:color w:val="0070C0"/>
          <w:sz w:val="16"/>
          <w:szCs w:val="16"/>
        </w:rPr>
        <w:t xml:space="preserve"> — </w:t>
      </w:r>
      <w:proofErr w:type="spellStart"/>
      <w:r w:rsidRPr="00441F34">
        <w:rPr>
          <w:rFonts w:ascii="Times New Roman" w:hAnsi="Times New Roman"/>
          <w:color w:val="0070C0"/>
          <w:sz w:val="16"/>
          <w:szCs w:val="16"/>
        </w:rPr>
        <w:t>мотоустановки</w:t>
      </w:r>
      <w:proofErr w:type="spellEnd"/>
      <w:r w:rsidRPr="00441F34">
        <w:rPr>
          <w:rFonts w:ascii="Times New Roman" w:hAnsi="Times New Roman"/>
          <w:color w:val="0070C0"/>
          <w:sz w:val="16"/>
          <w:szCs w:val="16"/>
        </w:rPr>
        <w:t xml:space="preserve"> и </w:t>
      </w:r>
      <w:proofErr w:type="spellStart"/>
      <w:r w:rsidRPr="00441F34">
        <w:rPr>
          <w:rFonts w:ascii="Times New Roman" w:hAnsi="Times New Roman"/>
          <w:color w:val="0070C0"/>
          <w:sz w:val="16"/>
          <w:szCs w:val="16"/>
        </w:rPr>
        <w:t>рассчеты</w:t>
      </w:r>
      <w:proofErr w:type="spellEnd"/>
      <w:r w:rsidRPr="00441F34">
        <w:rPr>
          <w:rFonts w:ascii="Times New Roman" w:hAnsi="Times New Roman"/>
          <w:color w:val="0070C0"/>
          <w:sz w:val="16"/>
          <w:szCs w:val="16"/>
        </w:rPr>
        <w:t xml:space="preserve">, Е.И. </w:t>
      </w:r>
      <w:proofErr w:type="spellStart"/>
      <w:r w:rsidRPr="00441F34">
        <w:rPr>
          <w:rFonts w:ascii="Times New Roman" w:hAnsi="Times New Roman"/>
          <w:color w:val="0070C0"/>
          <w:sz w:val="16"/>
          <w:szCs w:val="16"/>
        </w:rPr>
        <w:t>Погос</w:t>
      </w:r>
      <w:r w:rsidRPr="00441F34">
        <w:rPr>
          <w:rFonts w:ascii="Times New Roman" w:hAnsi="Times New Roman"/>
          <w:color w:val="0070C0"/>
          <w:sz w:val="16"/>
          <w:szCs w:val="16"/>
        </w:rPr>
        <w:softHyphen/>
        <w:t>ский</w:t>
      </w:r>
      <w:proofErr w:type="spellEnd"/>
      <w:r w:rsidRPr="00441F34">
        <w:rPr>
          <w:rFonts w:ascii="Times New Roman" w:hAnsi="Times New Roman"/>
          <w:color w:val="0070C0"/>
          <w:sz w:val="16"/>
          <w:szCs w:val="16"/>
        </w:rPr>
        <w:t xml:space="preserve"> — </w:t>
      </w:r>
      <w:proofErr w:type="spellStart"/>
      <w:r w:rsidRPr="00441F34">
        <w:rPr>
          <w:rFonts w:ascii="Times New Roman" w:hAnsi="Times New Roman"/>
          <w:color w:val="0070C0"/>
          <w:sz w:val="16"/>
          <w:szCs w:val="16"/>
        </w:rPr>
        <w:t>мотооборудование</w:t>
      </w:r>
      <w:proofErr w:type="spellEnd"/>
      <w:r w:rsidRPr="00441F34">
        <w:rPr>
          <w:rFonts w:ascii="Times New Roman" w:hAnsi="Times New Roman"/>
          <w:color w:val="0070C0"/>
          <w:sz w:val="16"/>
          <w:szCs w:val="16"/>
        </w:rPr>
        <w:t>.</w:t>
      </w:r>
    </w:p>
    <w:p w14:paraId="1785139A" w14:textId="77777777" w:rsidR="00A86A94" w:rsidRPr="00441F34" w:rsidRDefault="00A86A94" w:rsidP="00A86A9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декабре 1929 г., когда облик самоле</w:t>
      </w:r>
      <w:r w:rsidRPr="00441F34">
        <w:rPr>
          <w:rFonts w:ascii="Times New Roman" w:hAnsi="Times New Roman"/>
          <w:color w:val="0070C0"/>
          <w:sz w:val="16"/>
          <w:szCs w:val="16"/>
        </w:rPr>
        <w:softHyphen/>
        <w:t>та уже сформировался и началась его по</w:t>
      </w:r>
      <w:r w:rsidRPr="00441F34">
        <w:rPr>
          <w:rFonts w:ascii="Times New Roman" w:hAnsi="Times New Roman"/>
          <w:color w:val="0070C0"/>
          <w:sz w:val="16"/>
          <w:szCs w:val="16"/>
        </w:rPr>
        <w:softHyphen/>
        <w:t>стройка, УВВС выдвинуло новые, более жесткие требования по дальности, высот</w:t>
      </w:r>
      <w:r w:rsidRPr="00441F34">
        <w:rPr>
          <w:rFonts w:ascii="Times New Roman" w:hAnsi="Times New Roman"/>
          <w:color w:val="0070C0"/>
          <w:sz w:val="16"/>
          <w:szCs w:val="16"/>
        </w:rPr>
        <w:softHyphen/>
        <w:t>ности и грузоподъемности. Их пришлось учитывать уже «на ходу».</w:t>
      </w:r>
    </w:p>
    <w:p w14:paraId="674DC99E" w14:textId="77777777" w:rsidR="00A86A94" w:rsidRPr="00441F34" w:rsidRDefault="00A86A94" w:rsidP="00A86A9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Применение монопланной схемы со свободнонесущим крылом для больших самолетов было, с точки зрения аэроди</w:t>
      </w:r>
      <w:r w:rsidRPr="00441F34">
        <w:rPr>
          <w:rFonts w:ascii="Times New Roman" w:hAnsi="Times New Roman"/>
          <w:color w:val="0070C0"/>
          <w:sz w:val="16"/>
          <w:szCs w:val="16"/>
        </w:rPr>
        <w:softHyphen/>
        <w:t xml:space="preserve">намики, наиболее выгодным. Но за это приходилось, платить </w:t>
      </w:r>
      <w:proofErr w:type="spellStart"/>
      <w:r w:rsidRPr="00441F34">
        <w:rPr>
          <w:rFonts w:ascii="Times New Roman" w:hAnsi="Times New Roman"/>
          <w:color w:val="0070C0"/>
          <w:sz w:val="16"/>
          <w:szCs w:val="16"/>
        </w:rPr>
        <w:t>перетяжелением</w:t>
      </w:r>
      <w:proofErr w:type="spellEnd"/>
      <w:r w:rsidRPr="00441F34">
        <w:rPr>
          <w:rFonts w:ascii="Times New Roman" w:hAnsi="Times New Roman"/>
          <w:color w:val="0070C0"/>
          <w:sz w:val="16"/>
          <w:szCs w:val="16"/>
        </w:rPr>
        <w:t xml:space="preserve"> конструкции из соображений прочности. Туполеву удалось найти изящное реше</w:t>
      </w:r>
      <w:r w:rsidRPr="00441F34">
        <w:rPr>
          <w:rFonts w:ascii="Times New Roman" w:hAnsi="Times New Roman"/>
          <w:color w:val="0070C0"/>
          <w:sz w:val="16"/>
          <w:szCs w:val="16"/>
        </w:rPr>
        <w:softHyphen/>
        <w:t>ние, казалось бы, неразрешимой пробле</w:t>
      </w:r>
      <w:r w:rsidRPr="00441F34">
        <w:rPr>
          <w:rFonts w:ascii="Times New Roman" w:hAnsi="Times New Roman"/>
          <w:color w:val="0070C0"/>
          <w:sz w:val="16"/>
          <w:szCs w:val="16"/>
        </w:rPr>
        <w:softHyphen/>
        <w:t>мы. Как он любил говорить, оно состояло в «революционной разгрузке крыла». Под этим термином понималось размещение в крыле больших масс — двигателей, го</w:t>
      </w:r>
      <w:r w:rsidRPr="00441F34">
        <w:rPr>
          <w:rFonts w:ascii="Times New Roman" w:hAnsi="Times New Roman"/>
          <w:color w:val="0070C0"/>
          <w:sz w:val="16"/>
          <w:szCs w:val="16"/>
        </w:rPr>
        <w:softHyphen/>
        <w:t>рючего. Сочетание «разгрузки» с крылом, имеющим большую относительную тол</w:t>
      </w:r>
      <w:r w:rsidRPr="00441F34">
        <w:rPr>
          <w:rFonts w:ascii="Times New Roman" w:hAnsi="Times New Roman"/>
          <w:color w:val="0070C0"/>
          <w:sz w:val="16"/>
          <w:szCs w:val="16"/>
        </w:rPr>
        <w:softHyphen/>
        <w:t>щину в корне, привело к блестящим ре</w:t>
      </w:r>
      <w:r w:rsidRPr="00441F34">
        <w:rPr>
          <w:rFonts w:ascii="Times New Roman" w:hAnsi="Times New Roman"/>
          <w:color w:val="0070C0"/>
          <w:sz w:val="16"/>
          <w:szCs w:val="16"/>
        </w:rPr>
        <w:softHyphen/>
        <w:t>зультатам. После появления самолетов АНТ-4 и АНТ—6 их схема стала господ</w:t>
      </w:r>
      <w:r w:rsidRPr="00441F34">
        <w:rPr>
          <w:rFonts w:ascii="Times New Roman" w:hAnsi="Times New Roman"/>
          <w:color w:val="0070C0"/>
          <w:sz w:val="16"/>
          <w:szCs w:val="16"/>
        </w:rPr>
        <w:softHyphen/>
        <w:t>ствующей на многие годы. Но все это вы</w:t>
      </w:r>
      <w:r w:rsidRPr="00441F34">
        <w:rPr>
          <w:rFonts w:ascii="Times New Roman" w:hAnsi="Times New Roman"/>
          <w:color w:val="0070C0"/>
          <w:sz w:val="16"/>
          <w:szCs w:val="16"/>
        </w:rPr>
        <w:softHyphen/>
        <w:t>яснится в будущем. А пока развернулась большая, напряженная работа. Приходи</w:t>
      </w:r>
      <w:r w:rsidRPr="00441F34">
        <w:rPr>
          <w:rFonts w:ascii="Times New Roman" w:hAnsi="Times New Roman"/>
          <w:color w:val="0070C0"/>
          <w:sz w:val="16"/>
          <w:szCs w:val="16"/>
        </w:rPr>
        <w:softHyphen/>
        <w:t>лось решать такие «вечные» проблемы как нехватка чертежников, инженеров, клепальщиков...</w:t>
      </w:r>
    </w:p>
    <w:p w14:paraId="2E3CA7F6" w14:textId="77777777" w:rsidR="00A86A94" w:rsidRPr="00441F34" w:rsidRDefault="00A86A94" w:rsidP="00A86A9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Необходимость выдерживать сроки привела к тому, что расчеты на прочность и проектирование велись одновременно. Из-за этого часто приходилось вносить изменения в уже готовые чертежи. Недо</w:t>
      </w:r>
      <w:r w:rsidRPr="00441F34">
        <w:rPr>
          <w:rFonts w:ascii="Times New Roman" w:hAnsi="Times New Roman"/>
          <w:color w:val="0070C0"/>
          <w:sz w:val="16"/>
          <w:szCs w:val="16"/>
        </w:rPr>
        <w:softHyphen/>
        <w:t>ставало производственных площадей, иногда поставляли недоброкачественный прокат. Проблем было много (23474).</w:t>
      </w:r>
    </w:p>
    <w:p w14:paraId="680461FB" w14:textId="77777777" w:rsidR="00A86A94" w:rsidRPr="00441F34" w:rsidRDefault="00A86A94" w:rsidP="00A86A94">
      <w:pPr>
        <w:spacing w:after="0" w:line="240" w:lineRule="auto"/>
        <w:jc w:val="both"/>
        <w:rPr>
          <w:rFonts w:ascii="Times New Roman" w:hAnsi="Times New Roman"/>
          <w:color w:val="0070C0"/>
          <w:sz w:val="16"/>
          <w:szCs w:val="16"/>
        </w:rPr>
      </w:pPr>
    </w:p>
    <w:p w14:paraId="204C35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был подготовлен уточненный материал по ориентировочной стоимости выполнения ЦАГИ 5-ти летнего плана опытного самолетостроения по заданиям УВВС РККА (351).</w:t>
      </w:r>
    </w:p>
    <w:p w14:paraId="26AF9F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ОРИЕНТИРОВОЧНАЯ стоимость выполнения ЦАГИ 5-ти летнего плана опытного самолетостроения по заданиям УВВС РККА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1843"/>
        <w:gridCol w:w="1134"/>
        <w:gridCol w:w="992"/>
        <w:gridCol w:w="992"/>
        <w:gridCol w:w="1134"/>
        <w:gridCol w:w="2412"/>
      </w:tblGrid>
      <w:tr w:rsidR="00A259BD" w:rsidRPr="00A259BD" w14:paraId="6EF186CF" w14:textId="77777777">
        <w:tc>
          <w:tcPr>
            <w:tcW w:w="2093" w:type="dxa"/>
          </w:tcPr>
          <w:p w14:paraId="3A7DD8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Наименования объектов постройки</w:t>
            </w:r>
          </w:p>
        </w:tc>
        <w:tc>
          <w:tcPr>
            <w:tcW w:w="1843" w:type="dxa"/>
          </w:tcPr>
          <w:p w14:paraId="08DE2C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E64B4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Общая</w:t>
            </w:r>
          </w:p>
        </w:tc>
        <w:tc>
          <w:tcPr>
            <w:tcW w:w="992" w:type="dxa"/>
          </w:tcPr>
          <w:p w14:paraId="0868A4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Стоимость по годам</w:t>
            </w:r>
          </w:p>
        </w:tc>
        <w:tc>
          <w:tcPr>
            <w:tcW w:w="992" w:type="dxa"/>
          </w:tcPr>
          <w:p w14:paraId="317457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75EB2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66EB60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05DDEC8" w14:textId="77777777">
        <w:tc>
          <w:tcPr>
            <w:tcW w:w="2093" w:type="dxa"/>
          </w:tcPr>
          <w:p w14:paraId="42CDAD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79671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19401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стоимость</w:t>
            </w:r>
          </w:p>
        </w:tc>
        <w:tc>
          <w:tcPr>
            <w:tcW w:w="992" w:type="dxa"/>
          </w:tcPr>
          <w:p w14:paraId="760929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88D6D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4A549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1411F7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ADABF68" w14:textId="77777777">
        <w:tc>
          <w:tcPr>
            <w:tcW w:w="2093" w:type="dxa"/>
          </w:tcPr>
          <w:p w14:paraId="7C3852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7CD92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487DC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B2917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29/30</w:t>
            </w:r>
          </w:p>
        </w:tc>
        <w:tc>
          <w:tcPr>
            <w:tcW w:w="992" w:type="dxa"/>
          </w:tcPr>
          <w:p w14:paraId="628906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30/31</w:t>
            </w:r>
          </w:p>
        </w:tc>
        <w:tc>
          <w:tcPr>
            <w:tcW w:w="1134" w:type="dxa"/>
          </w:tcPr>
          <w:p w14:paraId="3DD1A0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31/32</w:t>
            </w:r>
          </w:p>
        </w:tc>
        <w:tc>
          <w:tcPr>
            <w:tcW w:w="2412" w:type="dxa"/>
          </w:tcPr>
          <w:p w14:paraId="2E1446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32/33</w:t>
            </w:r>
          </w:p>
        </w:tc>
      </w:tr>
      <w:tr w:rsidR="00A259BD" w:rsidRPr="00A259BD" w14:paraId="4211A927" w14:textId="77777777">
        <w:tc>
          <w:tcPr>
            <w:tcW w:w="2093" w:type="dxa"/>
          </w:tcPr>
          <w:p w14:paraId="14EDF0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Эксперимент. </w:t>
            </w:r>
          </w:p>
        </w:tc>
        <w:tc>
          <w:tcPr>
            <w:tcW w:w="1843" w:type="dxa"/>
          </w:tcPr>
          <w:p w14:paraId="07227C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морск</w:t>
            </w:r>
            <w:proofErr w:type="spellEnd"/>
            <w:r w:rsidRPr="00A259BD">
              <w:rPr>
                <w:rFonts w:ascii="Times New Roman" w:hAnsi="Times New Roman"/>
                <w:color w:val="000000" w:themeColor="text1"/>
                <w:sz w:val="16"/>
                <w:szCs w:val="16"/>
              </w:rPr>
              <w:t>. лодка</w:t>
            </w:r>
          </w:p>
        </w:tc>
        <w:tc>
          <w:tcPr>
            <w:tcW w:w="1134" w:type="dxa"/>
          </w:tcPr>
          <w:p w14:paraId="510E47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400000</w:t>
            </w:r>
          </w:p>
        </w:tc>
        <w:tc>
          <w:tcPr>
            <w:tcW w:w="992" w:type="dxa"/>
          </w:tcPr>
          <w:p w14:paraId="2BDF00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526B2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8A9AF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00B886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A520C72" w14:textId="77777777">
        <w:tc>
          <w:tcPr>
            <w:tcW w:w="2093" w:type="dxa"/>
          </w:tcPr>
          <w:p w14:paraId="3A930E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6AA53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вычетом аванса</w:t>
            </w:r>
          </w:p>
        </w:tc>
        <w:tc>
          <w:tcPr>
            <w:tcW w:w="1134" w:type="dxa"/>
          </w:tcPr>
          <w:p w14:paraId="3F4263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w:t>
            </w:r>
          </w:p>
        </w:tc>
        <w:tc>
          <w:tcPr>
            <w:tcW w:w="992" w:type="dxa"/>
          </w:tcPr>
          <w:p w14:paraId="70F711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200000</w:t>
            </w:r>
          </w:p>
        </w:tc>
        <w:tc>
          <w:tcPr>
            <w:tcW w:w="992" w:type="dxa"/>
          </w:tcPr>
          <w:p w14:paraId="516B49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w:t>
            </w:r>
          </w:p>
        </w:tc>
        <w:tc>
          <w:tcPr>
            <w:tcW w:w="1134" w:type="dxa"/>
          </w:tcPr>
          <w:p w14:paraId="1BF9B1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552512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EE4417B" w14:textId="77777777">
        <w:tc>
          <w:tcPr>
            <w:tcW w:w="2093" w:type="dxa"/>
          </w:tcPr>
          <w:p w14:paraId="08B428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284EA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40181C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80B6D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60000</w:t>
            </w:r>
          </w:p>
        </w:tc>
        <w:tc>
          <w:tcPr>
            <w:tcW w:w="992" w:type="dxa"/>
          </w:tcPr>
          <w:p w14:paraId="698778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36D2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60000</w:t>
            </w:r>
          </w:p>
        </w:tc>
        <w:tc>
          <w:tcPr>
            <w:tcW w:w="2412" w:type="dxa"/>
          </w:tcPr>
          <w:p w14:paraId="0B4486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8A89D50" w14:textId="77777777">
        <w:tc>
          <w:tcPr>
            <w:tcW w:w="2093" w:type="dxa"/>
          </w:tcPr>
          <w:p w14:paraId="75B0EA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F1CEE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40794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1C7A4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2F5B3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70627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3219F3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36C4B1C" w14:textId="77777777">
        <w:tc>
          <w:tcPr>
            <w:tcW w:w="2093" w:type="dxa"/>
          </w:tcPr>
          <w:p w14:paraId="67A7BF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ТБОИ</w:t>
            </w:r>
          </w:p>
        </w:tc>
        <w:tc>
          <w:tcPr>
            <w:tcW w:w="1843" w:type="dxa"/>
          </w:tcPr>
          <w:p w14:paraId="29578B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w:t>
            </w:r>
          </w:p>
        </w:tc>
        <w:tc>
          <w:tcPr>
            <w:tcW w:w="1134" w:type="dxa"/>
          </w:tcPr>
          <w:p w14:paraId="1E8A4E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1000000</w:t>
            </w:r>
          </w:p>
        </w:tc>
        <w:tc>
          <w:tcPr>
            <w:tcW w:w="992" w:type="dxa"/>
          </w:tcPr>
          <w:p w14:paraId="3AE88A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606B8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250000</w:t>
            </w:r>
          </w:p>
        </w:tc>
        <w:tc>
          <w:tcPr>
            <w:tcW w:w="1134" w:type="dxa"/>
          </w:tcPr>
          <w:p w14:paraId="4AD925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750000</w:t>
            </w:r>
          </w:p>
        </w:tc>
        <w:tc>
          <w:tcPr>
            <w:tcW w:w="2412" w:type="dxa"/>
          </w:tcPr>
          <w:p w14:paraId="079112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A403FE0" w14:textId="77777777">
        <w:tc>
          <w:tcPr>
            <w:tcW w:w="2093" w:type="dxa"/>
          </w:tcPr>
          <w:p w14:paraId="4C8A6B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75492B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w:t>
            </w:r>
          </w:p>
        </w:tc>
        <w:tc>
          <w:tcPr>
            <w:tcW w:w="1134" w:type="dxa"/>
          </w:tcPr>
          <w:p w14:paraId="1320C3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w:t>
            </w:r>
          </w:p>
        </w:tc>
        <w:tc>
          <w:tcPr>
            <w:tcW w:w="992" w:type="dxa"/>
          </w:tcPr>
          <w:p w14:paraId="6B07B2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15BC7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90799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w:t>
            </w:r>
          </w:p>
        </w:tc>
        <w:tc>
          <w:tcPr>
            <w:tcW w:w="2412" w:type="dxa"/>
          </w:tcPr>
          <w:p w14:paraId="138D2E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EBCA46C" w14:textId="77777777">
        <w:tc>
          <w:tcPr>
            <w:tcW w:w="2093" w:type="dxa"/>
          </w:tcPr>
          <w:p w14:paraId="7DDF4D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Р7-БМВ6</w:t>
            </w:r>
          </w:p>
        </w:tc>
        <w:tc>
          <w:tcPr>
            <w:tcW w:w="1843" w:type="dxa"/>
          </w:tcPr>
          <w:p w14:paraId="7ABFC6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испытан.</w:t>
            </w:r>
          </w:p>
        </w:tc>
        <w:tc>
          <w:tcPr>
            <w:tcW w:w="1134" w:type="dxa"/>
          </w:tcPr>
          <w:p w14:paraId="2A1D53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992" w:type="dxa"/>
          </w:tcPr>
          <w:p w14:paraId="4217AA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992" w:type="dxa"/>
          </w:tcPr>
          <w:p w14:paraId="20E20E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B49B3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757042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E2A16F9" w14:textId="77777777">
        <w:tc>
          <w:tcPr>
            <w:tcW w:w="2093" w:type="dxa"/>
          </w:tcPr>
          <w:p w14:paraId="55FCAE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9C915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123C65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w:t>
            </w:r>
          </w:p>
        </w:tc>
        <w:tc>
          <w:tcPr>
            <w:tcW w:w="992" w:type="dxa"/>
          </w:tcPr>
          <w:p w14:paraId="321C7E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A360B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w:t>
            </w:r>
          </w:p>
        </w:tc>
        <w:tc>
          <w:tcPr>
            <w:tcW w:w="1134" w:type="dxa"/>
          </w:tcPr>
          <w:p w14:paraId="5663D8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4F8436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AEE52B6" w14:textId="77777777">
        <w:tc>
          <w:tcPr>
            <w:tcW w:w="2093" w:type="dxa"/>
          </w:tcPr>
          <w:p w14:paraId="4FC01A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Р6-2М30</w:t>
            </w:r>
          </w:p>
        </w:tc>
        <w:tc>
          <w:tcPr>
            <w:tcW w:w="1843" w:type="dxa"/>
          </w:tcPr>
          <w:p w14:paraId="17C8B4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09D29A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110000</w:t>
            </w:r>
          </w:p>
        </w:tc>
        <w:tc>
          <w:tcPr>
            <w:tcW w:w="992" w:type="dxa"/>
          </w:tcPr>
          <w:p w14:paraId="6F800F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EF1D4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110000</w:t>
            </w:r>
          </w:p>
        </w:tc>
        <w:tc>
          <w:tcPr>
            <w:tcW w:w="1134" w:type="dxa"/>
          </w:tcPr>
          <w:p w14:paraId="3E673F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19FB5B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7C137A1" w14:textId="77777777">
        <w:tc>
          <w:tcPr>
            <w:tcW w:w="2093" w:type="dxa"/>
          </w:tcPr>
          <w:p w14:paraId="03E7F7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Р6-2М34</w:t>
            </w:r>
          </w:p>
        </w:tc>
        <w:tc>
          <w:tcPr>
            <w:tcW w:w="1843" w:type="dxa"/>
          </w:tcPr>
          <w:p w14:paraId="7503F6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341F55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120000</w:t>
            </w:r>
          </w:p>
        </w:tc>
        <w:tc>
          <w:tcPr>
            <w:tcW w:w="992" w:type="dxa"/>
          </w:tcPr>
          <w:p w14:paraId="312EA9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6268A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FA68F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63CA6C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120000</w:t>
            </w:r>
          </w:p>
        </w:tc>
      </w:tr>
      <w:tr w:rsidR="00A259BD" w:rsidRPr="00A259BD" w14:paraId="77B20A68" w14:textId="77777777">
        <w:tc>
          <w:tcPr>
            <w:tcW w:w="2093" w:type="dxa"/>
          </w:tcPr>
          <w:p w14:paraId="7A8007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CADE9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56EDB3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40000</w:t>
            </w:r>
          </w:p>
        </w:tc>
        <w:tc>
          <w:tcPr>
            <w:tcW w:w="992" w:type="dxa"/>
          </w:tcPr>
          <w:p w14:paraId="7805A7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BF33C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7196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59A05A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r>
      <w:tr w:rsidR="00A259BD" w:rsidRPr="00A259BD" w14:paraId="57F3A75F" w14:textId="77777777">
        <w:tc>
          <w:tcPr>
            <w:tcW w:w="2093" w:type="dxa"/>
          </w:tcPr>
          <w:p w14:paraId="04461F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Р8-2</w:t>
            </w:r>
          </w:p>
        </w:tc>
        <w:tc>
          <w:tcPr>
            <w:tcW w:w="1843" w:type="dxa"/>
          </w:tcPr>
          <w:p w14:paraId="11329A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5D5E4B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440000</w:t>
            </w:r>
          </w:p>
        </w:tc>
        <w:tc>
          <w:tcPr>
            <w:tcW w:w="992" w:type="dxa"/>
          </w:tcPr>
          <w:p w14:paraId="0582C1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43B4D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22362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350000</w:t>
            </w:r>
          </w:p>
        </w:tc>
        <w:tc>
          <w:tcPr>
            <w:tcW w:w="2412" w:type="dxa"/>
          </w:tcPr>
          <w:p w14:paraId="5295CD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90000</w:t>
            </w:r>
          </w:p>
        </w:tc>
      </w:tr>
      <w:tr w:rsidR="00A259BD" w:rsidRPr="00A259BD" w14:paraId="309BBDF3" w14:textId="77777777">
        <w:tc>
          <w:tcPr>
            <w:tcW w:w="2093" w:type="dxa"/>
          </w:tcPr>
          <w:p w14:paraId="3968D1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543EF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1A3664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60000</w:t>
            </w:r>
          </w:p>
        </w:tc>
        <w:tc>
          <w:tcPr>
            <w:tcW w:w="992" w:type="dxa"/>
          </w:tcPr>
          <w:p w14:paraId="33BDEE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87D9C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5FC49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5AA96B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60000</w:t>
            </w:r>
          </w:p>
        </w:tc>
      </w:tr>
      <w:tr w:rsidR="00A259BD" w:rsidRPr="00A259BD" w14:paraId="2DC2737B" w14:textId="77777777">
        <w:tc>
          <w:tcPr>
            <w:tcW w:w="2093" w:type="dxa"/>
          </w:tcPr>
          <w:p w14:paraId="61D2E3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И4-Юп7</w:t>
            </w:r>
          </w:p>
        </w:tc>
        <w:tc>
          <w:tcPr>
            <w:tcW w:w="1843" w:type="dxa"/>
          </w:tcPr>
          <w:p w14:paraId="727819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04802B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w:t>
            </w:r>
          </w:p>
        </w:tc>
        <w:tc>
          <w:tcPr>
            <w:tcW w:w="992" w:type="dxa"/>
          </w:tcPr>
          <w:p w14:paraId="440223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w:t>
            </w:r>
          </w:p>
        </w:tc>
        <w:tc>
          <w:tcPr>
            <w:tcW w:w="992" w:type="dxa"/>
          </w:tcPr>
          <w:p w14:paraId="2125CD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238D6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1988BC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329ECC7" w14:textId="77777777">
        <w:tc>
          <w:tcPr>
            <w:tcW w:w="2093" w:type="dxa"/>
          </w:tcPr>
          <w:p w14:paraId="17D4FF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И5-Юп7</w:t>
            </w:r>
          </w:p>
        </w:tc>
        <w:tc>
          <w:tcPr>
            <w:tcW w:w="1843" w:type="dxa"/>
          </w:tcPr>
          <w:p w14:paraId="615D14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смешанная</w:t>
            </w:r>
          </w:p>
        </w:tc>
        <w:tc>
          <w:tcPr>
            <w:tcW w:w="1134" w:type="dxa"/>
          </w:tcPr>
          <w:p w14:paraId="4AF790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140000</w:t>
            </w:r>
          </w:p>
        </w:tc>
        <w:tc>
          <w:tcPr>
            <w:tcW w:w="992" w:type="dxa"/>
          </w:tcPr>
          <w:p w14:paraId="166A7E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E71B3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140000</w:t>
            </w:r>
          </w:p>
        </w:tc>
        <w:tc>
          <w:tcPr>
            <w:tcW w:w="1134" w:type="dxa"/>
          </w:tcPr>
          <w:p w14:paraId="3B0010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0C988B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94AD0A8" w14:textId="77777777">
        <w:tc>
          <w:tcPr>
            <w:tcW w:w="2093" w:type="dxa"/>
          </w:tcPr>
          <w:p w14:paraId="0A6D64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1BF57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4499CC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992" w:type="dxa"/>
          </w:tcPr>
          <w:p w14:paraId="5B46BB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38624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1134" w:type="dxa"/>
          </w:tcPr>
          <w:p w14:paraId="0C4091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24220C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F1587EC" w14:textId="77777777">
        <w:tc>
          <w:tcPr>
            <w:tcW w:w="2093" w:type="dxa"/>
          </w:tcPr>
          <w:p w14:paraId="56338C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И8-Юп7</w:t>
            </w:r>
          </w:p>
        </w:tc>
        <w:tc>
          <w:tcPr>
            <w:tcW w:w="1843" w:type="dxa"/>
          </w:tcPr>
          <w:p w14:paraId="12B16B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моноплан</w:t>
            </w:r>
          </w:p>
        </w:tc>
        <w:tc>
          <w:tcPr>
            <w:tcW w:w="1134" w:type="dxa"/>
          </w:tcPr>
          <w:p w14:paraId="3B84A1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w:t>
            </w:r>
          </w:p>
        </w:tc>
        <w:tc>
          <w:tcPr>
            <w:tcW w:w="992" w:type="dxa"/>
          </w:tcPr>
          <w:p w14:paraId="6A34BA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3F64F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w:t>
            </w:r>
          </w:p>
        </w:tc>
        <w:tc>
          <w:tcPr>
            <w:tcW w:w="1134" w:type="dxa"/>
          </w:tcPr>
          <w:p w14:paraId="1B5BA2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25851F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F51AA82" w14:textId="77777777">
        <w:tc>
          <w:tcPr>
            <w:tcW w:w="2093" w:type="dxa"/>
          </w:tcPr>
          <w:p w14:paraId="780C6B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F872C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4FC25B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992" w:type="dxa"/>
          </w:tcPr>
          <w:p w14:paraId="6E3573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38B06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1134" w:type="dxa"/>
          </w:tcPr>
          <w:p w14:paraId="57927F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2A42CA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54D2657" w14:textId="77777777">
        <w:tc>
          <w:tcPr>
            <w:tcW w:w="2093" w:type="dxa"/>
          </w:tcPr>
          <w:p w14:paraId="5B0718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И11-М32</w:t>
            </w:r>
          </w:p>
        </w:tc>
        <w:tc>
          <w:tcPr>
            <w:tcW w:w="1843" w:type="dxa"/>
          </w:tcPr>
          <w:p w14:paraId="3A4356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445612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w:t>
            </w:r>
          </w:p>
        </w:tc>
        <w:tc>
          <w:tcPr>
            <w:tcW w:w="992" w:type="dxa"/>
          </w:tcPr>
          <w:p w14:paraId="3502EA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BF5F6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601C2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w:t>
            </w:r>
          </w:p>
        </w:tc>
        <w:tc>
          <w:tcPr>
            <w:tcW w:w="2412" w:type="dxa"/>
          </w:tcPr>
          <w:p w14:paraId="7CA15B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CF164E0" w14:textId="77777777">
        <w:tc>
          <w:tcPr>
            <w:tcW w:w="2093" w:type="dxa"/>
          </w:tcPr>
          <w:p w14:paraId="0BC4AC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314BC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1D9EE8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25000</w:t>
            </w:r>
          </w:p>
        </w:tc>
        <w:tc>
          <w:tcPr>
            <w:tcW w:w="992" w:type="dxa"/>
          </w:tcPr>
          <w:p w14:paraId="745675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3D4D5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7162D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25000</w:t>
            </w:r>
          </w:p>
        </w:tc>
        <w:tc>
          <w:tcPr>
            <w:tcW w:w="2412" w:type="dxa"/>
          </w:tcPr>
          <w:p w14:paraId="78EED1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FE62390" w14:textId="77777777">
        <w:tc>
          <w:tcPr>
            <w:tcW w:w="2093" w:type="dxa"/>
          </w:tcPr>
          <w:p w14:paraId="53B7D3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И12-М37</w:t>
            </w:r>
          </w:p>
        </w:tc>
        <w:tc>
          <w:tcPr>
            <w:tcW w:w="1843" w:type="dxa"/>
          </w:tcPr>
          <w:p w14:paraId="4E2C10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0B7B30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w:t>
            </w:r>
          </w:p>
        </w:tc>
        <w:tc>
          <w:tcPr>
            <w:tcW w:w="992" w:type="dxa"/>
          </w:tcPr>
          <w:p w14:paraId="100DAF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812A3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E28BB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w:t>
            </w:r>
          </w:p>
        </w:tc>
        <w:tc>
          <w:tcPr>
            <w:tcW w:w="2412" w:type="dxa"/>
          </w:tcPr>
          <w:p w14:paraId="7BAA50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D4BF29B" w14:textId="77777777">
        <w:tc>
          <w:tcPr>
            <w:tcW w:w="2093" w:type="dxa"/>
          </w:tcPr>
          <w:p w14:paraId="4AEF2A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45150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4E93C6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25000</w:t>
            </w:r>
          </w:p>
        </w:tc>
        <w:tc>
          <w:tcPr>
            <w:tcW w:w="992" w:type="dxa"/>
          </w:tcPr>
          <w:p w14:paraId="1644DD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AE5F3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2B460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25000</w:t>
            </w:r>
          </w:p>
        </w:tc>
        <w:tc>
          <w:tcPr>
            <w:tcW w:w="2412" w:type="dxa"/>
          </w:tcPr>
          <w:p w14:paraId="2CF2E5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F8C5E6D" w14:textId="77777777">
        <w:tc>
          <w:tcPr>
            <w:tcW w:w="2093" w:type="dxa"/>
          </w:tcPr>
          <w:p w14:paraId="65A70E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ТБ4</w:t>
            </w:r>
          </w:p>
        </w:tc>
        <w:tc>
          <w:tcPr>
            <w:tcW w:w="1843" w:type="dxa"/>
          </w:tcPr>
          <w:p w14:paraId="54D7ED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ACD8B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700000</w:t>
            </w:r>
          </w:p>
        </w:tc>
        <w:tc>
          <w:tcPr>
            <w:tcW w:w="992" w:type="dxa"/>
          </w:tcPr>
          <w:p w14:paraId="3A6157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36B6E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B8CCB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w:t>
            </w:r>
          </w:p>
        </w:tc>
        <w:tc>
          <w:tcPr>
            <w:tcW w:w="2412" w:type="dxa"/>
          </w:tcPr>
          <w:p w14:paraId="336407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21281CB" w14:textId="77777777">
        <w:tc>
          <w:tcPr>
            <w:tcW w:w="2093" w:type="dxa"/>
          </w:tcPr>
          <w:p w14:paraId="670F47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03113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05CC8E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37E80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71AF5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0532B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71B043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9B42FE6" w14:textId="77777777">
        <w:tc>
          <w:tcPr>
            <w:tcW w:w="2093" w:type="dxa"/>
          </w:tcPr>
          <w:p w14:paraId="6B0A11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ТБ5</w:t>
            </w:r>
          </w:p>
        </w:tc>
        <w:tc>
          <w:tcPr>
            <w:tcW w:w="1843" w:type="dxa"/>
          </w:tcPr>
          <w:p w14:paraId="7C59C3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A9FCB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1350000</w:t>
            </w:r>
          </w:p>
        </w:tc>
        <w:tc>
          <w:tcPr>
            <w:tcW w:w="992" w:type="dxa"/>
          </w:tcPr>
          <w:p w14:paraId="7F46AA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51826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A7CA1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3A43E4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1350000</w:t>
            </w:r>
          </w:p>
        </w:tc>
      </w:tr>
      <w:tr w:rsidR="00A259BD" w:rsidRPr="00A259BD" w14:paraId="0A20BD2F" w14:textId="77777777">
        <w:tc>
          <w:tcPr>
            <w:tcW w:w="2093" w:type="dxa"/>
          </w:tcPr>
          <w:p w14:paraId="709E65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7AF26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6557F9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w:t>
            </w:r>
          </w:p>
        </w:tc>
        <w:tc>
          <w:tcPr>
            <w:tcW w:w="992" w:type="dxa"/>
          </w:tcPr>
          <w:p w14:paraId="7B074C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21D9F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575D4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345A5F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w:t>
            </w:r>
          </w:p>
        </w:tc>
      </w:tr>
      <w:tr w:rsidR="00A259BD" w:rsidRPr="00A259BD" w14:paraId="5BB70224" w14:textId="77777777">
        <w:tc>
          <w:tcPr>
            <w:tcW w:w="2093" w:type="dxa"/>
          </w:tcPr>
          <w:p w14:paraId="250672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w:t>
            </w:r>
            <w:proofErr w:type="spellStart"/>
            <w:r w:rsidRPr="00A259BD">
              <w:rPr>
                <w:rFonts w:ascii="Times New Roman" w:hAnsi="Times New Roman"/>
                <w:color w:val="000000" w:themeColor="text1"/>
                <w:sz w:val="16"/>
                <w:szCs w:val="16"/>
              </w:rPr>
              <w:t>Внепл</w:t>
            </w:r>
            <w:proofErr w:type="spellEnd"/>
            <w:r w:rsidRPr="00A259BD">
              <w:rPr>
                <w:rFonts w:ascii="Times New Roman" w:hAnsi="Times New Roman"/>
                <w:color w:val="000000" w:themeColor="text1"/>
                <w:sz w:val="16"/>
                <w:szCs w:val="16"/>
              </w:rPr>
              <w:t>. раб.</w:t>
            </w:r>
          </w:p>
        </w:tc>
        <w:tc>
          <w:tcPr>
            <w:tcW w:w="1843" w:type="dxa"/>
          </w:tcPr>
          <w:p w14:paraId="03716A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10A69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1200000</w:t>
            </w:r>
          </w:p>
        </w:tc>
        <w:tc>
          <w:tcPr>
            <w:tcW w:w="992" w:type="dxa"/>
          </w:tcPr>
          <w:p w14:paraId="776DB7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w:t>
            </w:r>
          </w:p>
        </w:tc>
        <w:tc>
          <w:tcPr>
            <w:tcW w:w="992" w:type="dxa"/>
          </w:tcPr>
          <w:p w14:paraId="47379C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w:t>
            </w:r>
          </w:p>
        </w:tc>
        <w:tc>
          <w:tcPr>
            <w:tcW w:w="1134" w:type="dxa"/>
          </w:tcPr>
          <w:p w14:paraId="3B7CD5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w:t>
            </w:r>
          </w:p>
        </w:tc>
        <w:tc>
          <w:tcPr>
            <w:tcW w:w="2412" w:type="dxa"/>
          </w:tcPr>
          <w:p w14:paraId="3F19CC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w:t>
            </w:r>
          </w:p>
        </w:tc>
      </w:tr>
    </w:tbl>
    <w:p w14:paraId="16DA07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(351).</w:t>
      </w:r>
    </w:p>
    <w:p w14:paraId="4570E7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5CA0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была подготовлена Справка:</w:t>
      </w:r>
    </w:p>
    <w:p w14:paraId="5782A8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Данные самолетов, построенных (или строящихся) заводом № 25 в 1927/28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58"/>
        <w:gridCol w:w="1027"/>
        <w:gridCol w:w="1134"/>
        <w:gridCol w:w="1134"/>
        <w:gridCol w:w="1134"/>
        <w:gridCol w:w="1134"/>
        <w:gridCol w:w="992"/>
        <w:gridCol w:w="1134"/>
        <w:gridCol w:w="1276"/>
      </w:tblGrid>
      <w:tr w:rsidR="00A259BD" w:rsidRPr="00A259BD" w14:paraId="60B7A420" w14:textId="77777777">
        <w:trPr>
          <w:cantSplit/>
        </w:trPr>
        <w:tc>
          <w:tcPr>
            <w:tcW w:w="2058" w:type="dxa"/>
          </w:tcPr>
          <w:p w14:paraId="4A982C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Наименования характеристик</w:t>
            </w:r>
          </w:p>
        </w:tc>
        <w:tc>
          <w:tcPr>
            <w:tcW w:w="1027" w:type="dxa"/>
          </w:tcPr>
          <w:p w14:paraId="4AF882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Учебный самолет У2-М11 (по данным НИИ)</w:t>
            </w:r>
          </w:p>
        </w:tc>
        <w:tc>
          <w:tcPr>
            <w:tcW w:w="1134" w:type="dxa"/>
          </w:tcPr>
          <w:p w14:paraId="3ABD26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переходного типа (разведчик) П2-М6 (по данным НИИ)</w:t>
            </w:r>
          </w:p>
        </w:tc>
        <w:tc>
          <w:tcPr>
            <w:tcW w:w="1134" w:type="dxa"/>
          </w:tcPr>
          <w:p w14:paraId="0570E3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Разведчик-бомбардир. Р5-БМВ6 (по </w:t>
            </w:r>
            <w:proofErr w:type="spellStart"/>
            <w:r w:rsidRPr="00A259BD">
              <w:rPr>
                <w:rFonts w:ascii="Times New Roman" w:hAnsi="Times New Roman"/>
                <w:color w:val="000000" w:themeColor="text1"/>
                <w:sz w:val="16"/>
                <w:szCs w:val="16"/>
              </w:rPr>
              <w:t>аэр</w:t>
            </w:r>
            <w:proofErr w:type="spellEnd"/>
            <w:r w:rsidRPr="00A259BD">
              <w:rPr>
                <w:rFonts w:ascii="Times New Roman" w:hAnsi="Times New Roman"/>
                <w:color w:val="000000" w:themeColor="text1"/>
                <w:sz w:val="16"/>
                <w:szCs w:val="16"/>
              </w:rPr>
              <w:t xml:space="preserve">. расчетам) </w:t>
            </w:r>
          </w:p>
        </w:tc>
        <w:tc>
          <w:tcPr>
            <w:tcW w:w="1134" w:type="dxa"/>
          </w:tcPr>
          <w:p w14:paraId="56CA05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Одноместный истребитель И3-БМВ6 (по данным НИИ)</w:t>
            </w:r>
          </w:p>
        </w:tc>
        <w:tc>
          <w:tcPr>
            <w:tcW w:w="1134" w:type="dxa"/>
          </w:tcPr>
          <w:p w14:paraId="1F44F2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Одноместный истребитель И3-БМВ6Z (по </w:t>
            </w:r>
            <w:proofErr w:type="spellStart"/>
            <w:r w:rsidRPr="00A259BD">
              <w:rPr>
                <w:rFonts w:ascii="Times New Roman" w:hAnsi="Times New Roman"/>
                <w:color w:val="000000" w:themeColor="text1"/>
                <w:sz w:val="16"/>
                <w:szCs w:val="16"/>
              </w:rPr>
              <w:t>аэрод</w:t>
            </w:r>
            <w:proofErr w:type="spellEnd"/>
            <w:r w:rsidRPr="00A259BD">
              <w:rPr>
                <w:rFonts w:ascii="Times New Roman" w:hAnsi="Times New Roman"/>
                <w:color w:val="000000" w:themeColor="text1"/>
                <w:sz w:val="16"/>
                <w:szCs w:val="16"/>
              </w:rPr>
              <w:t xml:space="preserve">. расчетам) </w:t>
            </w:r>
          </w:p>
        </w:tc>
        <w:tc>
          <w:tcPr>
            <w:tcW w:w="992" w:type="dxa"/>
          </w:tcPr>
          <w:p w14:paraId="332A56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Двухместный истребитель Д2-БМВ6Z (по </w:t>
            </w:r>
            <w:proofErr w:type="spellStart"/>
            <w:r w:rsidRPr="00A259BD">
              <w:rPr>
                <w:rFonts w:ascii="Times New Roman" w:hAnsi="Times New Roman"/>
                <w:color w:val="000000" w:themeColor="text1"/>
                <w:sz w:val="16"/>
                <w:szCs w:val="16"/>
              </w:rPr>
              <w:t>аэрод</w:t>
            </w:r>
            <w:proofErr w:type="spellEnd"/>
            <w:r w:rsidRPr="00A259BD">
              <w:rPr>
                <w:rFonts w:ascii="Times New Roman" w:hAnsi="Times New Roman"/>
                <w:color w:val="000000" w:themeColor="text1"/>
                <w:sz w:val="16"/>
                <w:szCs w:val="16"/>
              </w:rPr>
              <w:t xml:space="preserve">. расчетам) </w:t>
            </w:r>
          </w:p>
        </w:tc>
        <w:tc>
          <w:tcPr>
            <w:tcW w:w="1134" w:type="dxa"/>
          </w:tcPr>
          <w:p w14:paraId="7A43A7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Бомбардир. ТБ2-2БМВ6 (по </w:t>
            </w:r>
            <w:proofErr w:type="spellStart"/>
            <w:r w:rsidRPr="00A259BD">
              <w:rPr>
                <w:rFonts w:ascii="Times New Roman" w:hAnsi="Times New Roman"/>
                <w:color w:val="000000" w:themeColor="text1"/>
                <w:sz w:val="16"/>
                <w:szCs w:val="16"/>
              </w:rPr>
              <w:t>аэрод</w:t>
            </w:r>
            <w:proofErr w:type="spellEnd"/>
            <w:r w:rsidRPr="00A259BD">
              <w:rPr>
                <w:rFonts w:ascii="Times New Roman" w:hAnsi="Times New Roman"/>
                <w:color w:val="000000" w:themeColor="text1"/>
                <w:sz w:val="16"/>
                <w:szCs w:val="16"/>
              </w:rPr>
              <w:t>. расчетам)</w:t>
            </w:r>
          </w:p>
        </w:tc>
        <w:tc>
          <w:tcPr>
            <w:tcW w:w="1276" w:type="dxa"/>
          </w:tcPr>
          <w:p w14:paraId="106DD6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Переходный самолет Р1-БМВIV (по испытаниям в Таганроге)</w:t>
            </w:r>
          </w:p>
        </w:tc>
      </w:tr>
      <w:tr w:rsidR="00A259BD" w:rsidRPr="00A259BD" w14:paraId="3CD3BEF2" w14:textId="77777777">
        <w:trPr>
          <w:cantSplit/>
        </w:trPr>
        <w:tc>
          <w:tcPr>
            <w:tcW w:w="2058" w:type="dxa"/>
          </w:tcPr>
          <w:p w14:paraId="00204F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Название мотора и мощность в л.с.</w:t>
            </w:r>
          </w:p>
        </w:tc>
        <w:tc>
          <w:tcPr>
            <w:tcW w:w="1027" w:type="dxa"/>
          </w:tcPr>
          <w:p w14:paraId="729955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М-11</w:t>
            </w:r>
          </w:p>
          <w:p w14:paraId="7F7B8C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1134" w:type="dxa"/>
          </w:tcPr>
          <w:p w14:paraId="41B8CD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М-6</w:t>
            </w:r>
          </w:p>
          <w:p w14:paraId="69A22E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tc>
        <w:tc>
          <w:tcPr>
            <w:tcW w:w="1134" w:type="dxa"/>
          </w:tcPr>
          <w:p w14:paraId="0DEFF0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БМВ6</w:t>
            </w:r>
          </w:p>
          <w:p w14:paraId="48E853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480</w:t>
            </w:r>
          </w:p>
        </w:tc>
        <w:tc>
          <w:tcPr>
            <w:tcW w:w="1134" w:type="dxa"/>
          </w:tcPr>
          <w:p w14:paraId="13CEB8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БМВ6</w:t>
            </w:r>
          </w:p>
          <w:p w14:paraId="7C8A24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480</w:t>
            </w:r>
          </w:p>
        </w:tc>
        <w:tc>
          <w:tcPr>
            <w:tcW w:w="1134" w:type="dxa"/>
          </w:tcPr>
          <w:p w14:paraId="5A950C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БМВ6</w:t>
            </w:r>
          </w:p>
          <w:p w14:paraId="2310D4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992" w:type="dxa"/>
          </w:tcPr>
          <w:p w14:paraId="57A1C0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БМВ6</w:t>
            </w:r>
          </w:p>
          <w:p w14:paraId="7375A4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w:t>
            </w:r>
          </w:p>
        </w:tc>
        <w:tc>
          <w:tcPr>
            <w:tcW w:w="1134" w:type="dxa"/>
          </w:tcPr>
          <w:p w14:paraId="033735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БМВ6</w:t>
            </w:r>
          </w:p>
          <w:p w14:paraId="7816EA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480</w:t>
            </w:r>
          </w:p>
        </w:tc>
        <w:tc>
          <w:tcPr>
            <w:tcW w:w="1276" w:type="dxa"/>
          </w:tcPr>
          <w:p w14:paraId="223807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БМВIV</w:t>
            </w:r>
          </w:p>
          <w:p w14:paraId="5A77B1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250-300</w:t>
            </w:r>
          </w:p>
        </w:tc>
      </w:tr>
      <w:tr w:rsidR="00A259BD" w:rsidRPr="00A259BD" w14:paraId="69DBB2A7" w14:textId="77777777">
        <w:trPr>
          <w:cantSplit/>
        </w:trPr>
        <w:tc>
          <w:tcPr>
            <w:tcW w:w="2058" w:type="dxa"/>
          </w:tcPr>
          <w:p w14:paraId="22510F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 самолета без нагрузки</w:t>
            </w:r>
          </w:p>
        </w:tc>
        <w:tc>
          <w:tcPr>
            <w:tcW w:w="1027" w:type="dxa"/>
          </w:tcPr>
          <w:p w14:paraId="1ADE96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614</w:t>
            </w:r>
          </w:p>
        </w:tc>
        <w:tc>
          <w:tcPr>
            <w:tcW w:w="1134" w:type="dxa"/>
          </w:tcPr>
          <w:p w14:paraId="6850E9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1007</w:t>
            </w:r>
          </w:p>
        </w:tc>
        <w:tc>
          <w:tcPr>
            <w:tcW w:w="1134" w:type="dxa"/>
          </w:tcPr>
          <w:p w14:paraId="031200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1747</w:t>
            </w:r>
          </w:p>
        </w:tc>
        <w:tc>
          <w:tcPr>
            <w:tcW w:w="1134" w:type="dxa"/>
          </w:tcPr>
          <w:p w14:paraId="64B70C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1340</w:t>
            </w:r>
          </w:p>
        </w:tc>
        <w:tc>
          <w:tcPr>
            <w:tcW w:w="1134" w:type="dxa"/>
          </w:tcPr>
          <w:p w14:paraId="5D74CB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1335</w:t>
            </w:r>
          </w:p>
        </w:tc>
        <w:tc>
          <w:tcPr>
            <w:tcW w:w="992" w:type="dxa"/>
          </w:tcPr>
          <w:p w14:paraId="64AB44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1426</w:t>
            </w:r>
          </w:p>
        </w:tc>
        <w:tc>
          <w:tcPr>
            <w:tcW w:w="1134" w:type="dxa"/>
          </w:tcPr>
          <w:p w14:paraId="1968CF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4118</w:t>
            </w:r>
          </w:p>
        </w:tc>
        <w:tc>
          <w:tcPr>
            <w:tcW w:w="1276" w:type="dxa"/>
          </w:tcPr>
          <w:p w14:paraId="64FA1A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1307</w:t>
            </w:r>
          </w:p>
        </w:tc>
      </w:tr>
      <w:tr w:rsidR="00A259BD" w:rsidRPr="00A259BD" w14:paraId="4A44BC00" w14:textId="77777777">
        <w:trPr>
          <w:cantSplit/>
        </w:trPr>
        <w:tc>
          <w:tcPr>
            <w:tcW w:w="2058" w:type="dxa"/>
          </w:tcPr>
          <w:p w14:paraId="2C61A4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Нагрузка в кг</w:t>
            </w:r>
          </w:p>
        </w:tc>
        <w:tc>
          <w:tcPr>
            <w:tcW w:w="1027" w:type="dxa"/>
          </w:tcPr>
          <w:p w14:paraId="38F6A1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255</w:t>
            </w:r>
          </w:p>
        </w:tc>
        <w:tc>
          <w:tcPr>
            <w:tcW w:w="1134" w:type="dxa"/>
          </w:tcPr>
          <w:p w14:paraId="68A8A2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w:t>
            </w:r>
          </w:p>
        </w:tc>
        <w:tc>
          <w:tcPr>
            <w:tcW w:w="1134" w:type="dxa"/>
          </w:tcPr>
          <w:p w14:paraId="2879D6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860</w:t>
            </w:r>
          </w:p>
        </w:tc>
        <w:tc>
          <w:tcPr>
            <w:tcW w:w="1134" w:type="dxa"/>
          </w:tcPr>
          <w:p w14:paraId="65364C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448</w:t>
            </w:r>
          </w:p>
        </w:tc>
        <w:tc>
          <w:tcPr>
            <w:tcW w:w="1134" w:type="dxa"/>
          </w:tcPr>
          <w:p w14:paraId="6F25DD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475</w:t>
            </w:r>
          </w:p>
        </w:tc>
        <w:tc>
          <w:tcPr>
            <w:tcW w:w="992" w:type="dxa"/>
          </w:tcPr>
          <w:p w14:paraId="1AB724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649</w:t>
            </w:r>
          </w:p>
        </w:tc>
        <w:tc>
          <w:tcPr>
            <w:tcW w:w="1134" w:type="dxa"/>
          </w:tcPr>
          <w:p w14:paraId="7F0D66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2652</w:t>
            </w:r>
          </w:p>
        </w:tc>
        <w:tc>
          <w:tcPr>
            <w:tcW w:w="1276" w:type="dxa"/>
          </w:tcPr>
          <w:p w14:paraId="401D97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w:t>
            </w:r>
          </w:p>
        </w:tc>
      </w:tr>
      <w:tr w:rsidR="00A259BD" w:rsidRPr="00A259BD" w14:paraId="60A32A60" w14:textId="77777777">
        <w:trPr>
          <w:cantSplit/>
        </w:trPr>
        <w:tc>
          <w:tcPr>
            <w:tcW w:w="2058" w:type="dxa"/>
          </w:tcPr>
          <w:p w14:paraId="49ED37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Полный полетный вес </w:t>
            </w:r>
          </w:p>
        </w:tc>
        <w:tc>
          <w:tcPr>
            <w:tcW w:w="1027" w:type="dxa"/>
          </w:tcPr>
          <w:p w14:paraId="2C74FC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869</w:t>
            </w:r>
          </w:p>
        </w:tc>
        <w:tc>
          <w:tcPr>
            <w:tcW w:w="1134" w:type="dxa"/>
          </w:tcPr>
          <w:p w14:paraId="1F0331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1457</w:t>
            </w:r>
          </w:p>
        </w:tc>
        <w:tc>
          <w:tcPr>
            <w:tcW w:w="1134" w:type="dxa"/>
          </w:tcPr>
          <w:p w14:paraId="58A190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2607*</w:t>
            </w:r>
          </w:p>
        </w:tc>
        <w:tc>
          <w:tcPr>
            <w:tcW w:w="1134" w:type="dxa"/>
          </w:tcPr>
          <w:p w14:paraId="492F67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1788</w:t>
            </w:r>
          </w:p>
        </w:tc>
        <w:tc>
          <w:tcPr>
            <w:tcW w:w="1134" w:type="dxa"/>
          </w:tcPr>
          <w:p w14:paraId="3AB34C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1810*</w:t>
            </w:r>
          </w:p>
        </w:tc>
        <w:tc>
          <w:tcPr>
            <w:tcW w:w="992" w:type="dxa"/>
          </w:tcPr>
          <w:p w14:paraId="0B79CE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2075</w:t>
            </w:r>
          </w:p>
        </w:tc>
        <w:tc>
          <w:tcPr>
            <w:tcW w:w="1134" w:type="dxa"/>
          </w:tcPr>
          <w:p w14:paraId="5AF55D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6770</w:t>
            </w:r>
          </w:p>
        </w:tc>
        <w:tc>
          <w:tcPr>
            <w:tcW w:w="1276" w:type="dxa"/>
          </w:tcPr>
          <w:p w14:paraId="1222EB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1757</w:t>
            </w:r>
          </w:p>
        </w:tc>
      </w:tr>
      <w:tr w:rsidR="00A259BD" w:rsidRPr="00A259BD" w14:paraId="29391891" w14:textId="77777777">
        <w:trPr>
          <w:cantSplit/>
        </w:trPr>
        <w:tc>
          <w:tcPr>
            <w:tcW w:w="2058" w:type="dxa"/>
          </w:tcPr>
          <w:p w14:paraId="6E9D99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Максим. горизонтальная скорость у земли</w:t>
            </w:r>
          </w:p>
        </w:tc>
        <w:tc>
          <w:tcPr>
            <w:tcW w:w="1027" w:type="dxa"/>
          </w:tcPr>
          <w:p w14:paraId="2F1535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155</w:t>
            </w:r>
          </w:p>
        </w:tc>
        <w:tc>
          <w:tcPr>
            <w:tcW w:w="1134" w:type="dxa"/>
          </w:tcPr>
          <w:p w14:paraId="5BC4D0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206</w:t>
            </w:r>
          </w:p>
        </w:tc>
        <w:tc>
          <w:tcPr>
            <w:tcW w:w="1134" w:type="dxa"/>
          </w:tcPr>
          <w:p w14:paraId="288365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205</w:t>
            </w:r>
          </w:p>
        </w:tc>
        <w:tc>
          <w:tcPr>
            <w:tcW w:w="1134" w:type="dxa"/>
          </w:tcPr>
          <w:p w14:paraId="53D723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258</w:t>
            </w:r>
          </w:p>
        </w:tc>
        <w:tc>
          <w:tcPr>
            <w:tcW w:w="1134" w:type="dxa"/>
          </w:tcPr>
          <w:p w14:paraId="7F8246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265/294</w:t>
            </w:r>
          </w:p>
        </w:tc>
        <w:tc>
          <w:tcPr>
            <w:tcW w:w="992" w:type="dxa"/>
          </w:tcPr>
          <w:p w14:paraId="43CCE6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253</w:t>
            </w:r>
          </w:p>
        </w:tc>
        <w:tc>
          <w:tcPr>
            <w:tcW w:w="1134" w:type="dxa"/>
          </w:tcPr>
          <w:p w14:paraId="26B873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180</w:t>
            </w:r>
          </w:p>
        </w:tc>
        <w:tc>
          <w:tcPr>
            <w:tcW w:w="1276" w:type="dxa"/>
          </w:tcPr>
          <w:p w14:paraId="0D44F3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175/179</w:t>
            </w:r>
          </w:p>
        </w:tc>
      </w:tr>
      <w:tr w:rsidR="00A259BD" w:rsidRPr="00A259BD" w14:paraId="6A15D71C" w14:textId="77777777">
        <w:trPr>
          <w:cantSplit/>
        </w:trPr>
        <w:tc>
          <w:tcPr>
            <w:tcW w:w="2058" w:type="dxa"/>
          </w:tcPr>
          <w:p w14:paraId="0E704E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Максим. горизонтальная скорость на высоте 3000 м</w:t>
            </w:r>
          </w:p>
        </w:tc>
        <w:tc>
          <w:tcPr>
            <w:tcW w:w="1027" w:type="dxa"/>
          </w:tcPr>
          <w:p w14:paraId="057092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4" w:type="dxa"/>
          </w:tcPr>
          <w:p w14:paraId="4AC0C4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203</w:t>
            </w:r>
          </w:p>
        </w:tc>
        <w:tc>
          <w:tcPr>
            <w:tcW w:w="1134" w:type="dxa"/>
          </w:tcPr>
          <w:p w14:paraId="60346E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225</w:t>
            </w:r>
          </w:p>
        </w:tc>
        <w:tc>
          <w:tcPr>
            <w:tcW w:w="1134" w:type="dxa"/>
          </w:tcPr>
          <w:p w14:paraId="567D8D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279,5</w:t>
            </w:r>
          </w:p>
        </w:tc>
        <w:tc>
          <w:tcPr>
            <w:tcW w:w="1134" w:type="dxa"/>
          </w:tcPr>
          <w:p w14:paraId="299F38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294</w:t>
            </w:r>
          </w:p>
        </w:tc>
        <w:tc>
          <w:tcPr>
            <w:tcW w:w="992" w:type="dxa"/>
          </w:tcPr>
          <w:p w14:paraId="5C3D84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280</w:t>
            </w:r>
          </w:p>
        </w:tc>
        <w:tc>
          <w:tcPr>
            <w:tcW w:w="1134" w:type="dxa"/>
          </w:tcPr>
          <w:p w14:paraId="3F0C5F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198</w:t>
            </w:r>
          </w:p>
        </w:tc>
        <w:tc>
          <w:tcPr>
            <w:tcW w:w="1276" w:type="dxa"/>
          </w:tcPr>
          <w:p w14:paraId="58BD1D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166</w:t>
            </w:r>
          </w:p>
        </w:tc>
      </w:tr>
      <w:tr w:rsidR="00A259BD" w:rsidRPr="00A259BD" w14:paraId="409AF2A4" w14:textId="77777777">
        <w:trPr>
          <w:cantSplit/>
        </w:trPr>
        <w:tc>
          <w:tcPr>
            <w:tcW w:w="2058" w:type="dxa"/>
          </w:tcPr>
          <w:p w14:paraId="62EA46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Максим. горизонтальная скорость на высоте 5000 м</w:t>
            </w:r>
          </w:p>
        </w:tc>
        <w:tc>
          <w:tcPr>
            <w:tcW w:w="1027" w:type="dxa"/>
          </w:tcPr>
          <w:p w14:paraId="50905A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4" w:type="dxa"/>
          </w:tcPr>
          <w:p w14:paraId="4CDD0D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179</w:t>
            </w:r>
          </w:p>
        </w:tc>
        <w:tc>
          <w:tcPr>
            <w:tcW w:w="1134" w:type="dxa"/>
          </w:tcPr>
          <w:p w14:paraId="57695A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215</w:t>
            </w:r>
          </w:p>
        </w:tc>
        <w:tc>
          <w:tcPr>
            <w:tcW w:w="1134" w:type="dxa"/>
          </w:tcPr>
          <w:p w14:paraId="7FCD7F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268,9</w:t>
            </w:r>
          </w:p>
        </w:tc>
        <w:tc>
          <w:tcPr>
            <w:tcW w:w="1134" w:type="dxa"/>
          </w:tcPr>
          <w:p w14:paraId="0998BC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284</w:t>
            </w:r>
          </w:p>
        </w:tc>
        <w:tc>
          <w:tcPr>
            <w:tcW w:w="992" w:type="dxa"/>
          </w:tcPr>
          <w:p w14:paraId="4395C7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270</w:t>
            </w:r>
          </w:p>
        </w:tc>
        <w:tc>
          <w:tcPr>
            <w:tcW w:w="1134" w:type="dxa"/>
          </w:tcPr>
          <w:p w14:paraId="641B80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180</w:t>
            </w:r>
          </w:p>
        </w:tc>
        <w:tc>
          <w:tcPr>
            <w:tcW w:w="1276" w:type="dxa"/>
          </w:tcPr>
          <w:p w14:paraId="0E21C5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172F368C" w14:textId="77777777">
        <w:trPr>
          <w:cantSplit/>
        </w:trPr>
        <w:tc>
          <w:tcPr>
            <w:tcW w:w="2058" w:type="dxa"/>
          </w:tcPr>
          <w:p w14:paraId="135B44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Посадочная скорость</w:t>
            </w:r>
          </w:p>
        </w:tc>
        <w:tc>
          <w:tcPr>
            <w:tcW w:w="1027" w:type="dxa"/>
          </w:tcPr>
          <w:p w14:paraId="2F7255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61,5</w:t>
            </w:r>
          </w:p>
        </w:tc>
        <w:tc>
          <w:tcPr>
            <w:tcW w:w="1134" w:type="dxa"/>
          </w:tcPr>
          <w:p w14:paraId="50416D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87</w:t>
            </w:r>
          </w:p>
        </w:tc>
        <w:tc>
          <w:tcPr>
            <w:tcW w:w="1134" w:type="dxa"/>
          </w:tcPr>
          <w:p w14:paraId="791D76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87,6</w:t>
            </w:r>
          </w:p>
        </w:tc>
        <w:tc>
          <w:tcPr>
            <w:tcW w:w="1134" w:type="dxa"/>
          </w:tcPr>
          <w:p w14:paraId="7A63C5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w:t>
            </w:r>
          </w:p>
        </w:tc>
        <w:tc>
          <w:tcPr>
            <w:tcW w:w="1134" w:type="dxa"/>
          </w:tcPr>
          <w:p w14:paraId="60942C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101,2</w:t>
            </w:r>
          </w:p>
        </w:tc>
        <w:tc>
          <w:tcPr>
            <w:tcW w:w="992" w:type="dxa"/>
          </w:tcPr>
          <w:p w14:paraId="2F6EBB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1134" w:type="dxa"/>
          </w:tcPr>
          <w:p w14:paraId="46217C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88,6</w:t>
            </w:r>
          </w:p>
        </w:tc>
        <w:tc>
          <w:tcPr>
            <w:tcW w:w="1276" w:type="dxa"/>
          </w:tcPr>
          <w:p w14:paraId="0DBFEE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81,7</w:t>
            </w:r>
          </w:p>
        </w:tc>
      </w:tr>
      <w:tr w:rsidR="00A259BD" w:rsidRPr="00A259BD" w14:paraId="4F8D9A70" w14:textId="77777777">
        <w:trPr>
          <w:cantSplit/>
        </w:trPr>
        <w:tc>
          <w:tcPr>
            <w:tcW w:w="2058" w:type="dxa"/>
          </w:tcPr>
          <w:p w14:paraId="094C49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подъема на 1000 м в минутах</w:t>
            </w:r>
          </w:p>
        </w:tc>
        <w:tc>
          <w:tcPr>
            <w:tcW w:w="1027" w:type="dxa"/>
          </w:tcPr>
          <w:p w14:paraId="4EAC15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tc>
        <w:tc>
          <w:tcPr>
            <w:tcW w:w="1134" w:type="dxa"/>
          </w:tcPr>
          <w:p w14:paraId="3ACE42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3,33</w:t>
            </w:r>
          </w:p>
        </w:tc>
        <w:tc>
          <w:tcPr>
            <w:tcW w:w="1134" w:type="dxa"/>
          </w:tcPr>
          <w:p w14:paraId="15DC01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3,68</w:t>
            </w:r>
          </w:p>
        </w:tc>
        <w:tc>
          <w:tcPr>
            <w:tcW w:w="1134" w:type="dxa"/>
          </w:tcPr>
          <w:p w14:paraId="343542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w:t>
            </w:r>
          </w:p>
        </w:tc>
        <w:tc>
          <w:tcPr>
            <w:tcW w:w="1134" w:type="dxa"/>
          </w:tcPr>
          <w:p w14:paraId="7A53DA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1,88</w:t>
            </w:r>
          </w:p>
        </w:tc>
        <w:tc>
          <w:tcPr>
            <w:tcW w:w="992" w:type="dxa"/>
          </w:tcPr>
          <w:p w14:paraId="7DE5D6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w:t>
            </w:r>
          </w:p>
        </w:tc>
        <w:tc>
          <w:tcPr>
            <w:tcW w:w="1134" w:type="dxa"/>
          </w:tcPr>
          <w:p w14:paraId="756D4F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w:t>
            </w:r>
          </w:p>
        </w:tc>
        <w:tc>
          <w:tcPr>
            <w:tcW w:w="1276" w:type="dxa"/>
          </w:tcPr>
          <w:p w14:paraId="7D8E1A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7,12</w:t>
            </w:r>
          </w:p>
        </w:tc>
      </w:tr>
      <w:tr w:rsidR="00A259BD" w:rsidRPr="00A259BD" w14:paraId="3F88423A" w14:textId="77777777">
        <w:trPr>
          <w:cantSplit/>
        </w:trPr>
        <w:tc>
          <w:tcPr>
            <w:tcW w:w="2058" w:type="dxa"/>
          </w:tcPr>
          <w:p w14:paraId="066A9F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подъема на 2000 м в минутах</w:t>
            </w:r>
          </w:p>
        </w:tc>
        <w:tc>
          <w:tcPr>
            <w:tcW w:w="1027" w:type="dxa"/>
          </w:tcPr>
          <w:p w14:paraId="4385BD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w:t>
            </w:r>
          </w:p>
        </w:tc>
        <w:tc>
          <w:tcPr>
            <w:tcW w:w="1134" w:type="dxa"/>
          </w:tcPr>
          <w:p w14:paraId="7CB2B5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7,70</w:t>
            </w:r>
          </w:p>
        </w:tc>
        <w:tc>
          <w:tcPr>
            <w:tcW w:w="1134" w:type="dxa"/>
          </w:tcPr>
          <w:p w14:paraId="6EE039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7,48</w:t>
            </w:r>
          </w:p>
        </w:tc>
        <w:tc>
          <w:tcPr>
            <w:tcW w:w="1134" w:type="dxa"/>
          </w:tcPr>
          <w:p w14:paraId="2AF9C2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w:t>
            </w:r>
          </w:p>
        </w:tc>
        <w:tc>
          <w:tcPr>
            <w:tcW w:w="1134" w:type="dxa"/>
          </w:tcPr>
          <w:p w14:paraId="4A9453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3,72</w:t>
            </w:r>
          </w:p>
        </w:tc>
        <w:tc>
          <w:tcPr>
            <w:tcW w:w="992" w:type="dxa"/>
          </w:tcPr>
          <w:p w14:paraId="376130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w:t>
            </w:r>
          </w:p>
        </w:tc>
        <w:tc>
          <w:tcPr>
            <w:tcW w:w="1134" w:type="dxa"/>
          </w:tcPr>
          <w:p w14:paraId="26991B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12,9</w:t>
            </w:r>
          </w:p>
        </w:tc>
        <w:tc>
          <w:tcPr>
            <w:tcW w:w="1276" w:type="dxa"/>
          </w:tcPr>
          <w:p w14:paraId="5AC7D6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14,98</w:t>
            </w:r>
          </w:p>
        </w:tc>
      </w:tr>
      <w:tr w:rsidR="00A259BD" w:rsidRPr="00A259BD" w14:paraId="6595AE5D" w14:textId="77777777">
        <w:trPr>
          <w:cantSplit/>
        </w:trPr>
        <w:tc>
          <w:tcPr>
            <w:tcW w:w="2058" w:type="dxa"/>
          </w:tcPr>
          <w:p w14:paraId="696177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подъема на 3000 м в минутах</w:t>
            </w:r>
          </w:p>
        </w:tc>
        <w:tc>
          <w:tcPr>
            <w:tcW w:w="1027" w:type="dxa"/>
          </w:tcPr>
          <w:p w14:paraId="5B20E8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4" w:type="dxa"/>
          </w:tcPr>
          <w:p w14:paraId="187A67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12,67</w:t>
            </w:r>
          </w:p>
        </w:tc>
        <w:tc>
          <w:tcPr>
            <w:tcW w:w="1134" w:type="dxa"/>
          </w:tcPr>
          <w:p w14:paraId="2ACFE6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11,4</w:t>
            </w:r>
          </w:p>
        </w:tc>
        <w:tc>
          <w:tcPr>
            <w:tcW w:w="1134" w:type="dxa"/>
          </w:tcPr>
          <w:p w14:paraId="04CFEC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w:t>
            </w:r>
          </w:p>
        </w:tc>
        <w:tc>
          <w:tcPr>
            <w:tcW w:w="1134" w:type="dxa"/>
          </w:tcPr>
          <w:p w14:paraId="37B6C3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5,52</w:t>
            </w:r>
          </w:p>
        </w:tc>
        <w:tc>
          <w:tcPr>
            <w:tcW w:w="992" w:type="dxa"/>
          </w:tcPr>
          <w:p w14:paraId="796476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tc>
        <w:tc>
          <w:tcPr>
            <w:tcW w:w="1134" w:type="dxa"/>
          </w:tcPr>
          <w:p w14:paraId="1E2004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19,4</w:t>
            </w:r>
          </w:p>
        </w:tc>
        <w:tc>
          <w:tcPr>
            <w:tcW w:w="1276" w:type="dxa"/>
          </w:tcPr>
          <w:p w14:paraId="4D62E2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24,64</w:t>
            </w:r>
          </w:p>
        </w:tc>
      </w:tr>
      <w:tr w:rsidR="00A259BD" w:rsidRPr="00A259BD" w14:paraId="29410D0C" w14:textId="77777777">
        <w:trPr>
          <w:cantSplit/>
        </w:trPr>
        <w:tc>
          <w:tcPr>
            <w:tcW w:w="2058" w:type="dxa"/>
          </w:tcPr>
          <w:p w14:paraId="3A4F11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подъема на 5000 м в минутах</w:t>
            </w:r>
          </w:p>
        </w:tc>
        <w:tc>
          <w:tcPr>
            <w:tcW w:w="1027" w:type="dxa"/>
          </w:tcPr>
          <w:p w14:paraId="065210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4" w:type="dxa"/>
          </w:tcPr>
          <w:p w14:paraId="15512B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32,3</w:t>
            </w:r>
          </w:p>
        </w:tc>
        <w:tc>
          <w:tcPr>
            <w:tcW w:w="1134" w:type="dxa"/>
          </w:tcPr>
          <w:p w14:paraId="660E89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21,8</w:t>
            </w:r>
          </w:p>
        </w:tc>
        <w:tc>
          <w:tcPr>
            <w:tcW w:w="1134" w:type="dxa"/>
          </w:tcPr>
          <w:p w14:paraId="56B13C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12,8</w:t>
            </w:r>
          </w:p>
        </w:tc>
        <w:tc>
          <w:tcPr>
            <w:tcW w:w="1134" w:type="dxa"/>
          </w:tcPr>
          <w:p w14:paraId="687144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9,96</w:t>
            </w:r>
          </w:p>
        </w:tc>
        <w:tc>
          <w:tcPr>
            <w:tcW w:w="992" w:type="dxa"/>
          </w:tcPr>
          <w:p w14:paraId="5C53A3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w:t>
            </w:r>
          </w:p>
        </w:tc>
        <w:tc>
          <w:tcPr>
            <w:tcW w:w="1134" w:type="dxa"/>
          </w:tcPr>
          <w:p w14:paraId="0FA195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43,5</w:t>
            </w:r>
          </w:p>
        </w:tc>
        <w:tc>
          <w:tcPr>
            <w:tcW w:w="1276" w:type="dxa"/>
          </w:tcPr>
          <w:p w14:paraId="44F294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61,04</w:t>
            </w:r>
          </w:p>
        </w:tc>
      </w:tr>
      <w:tr w:rsidR="00A259BD" w:rsidRPr="00A259BD" w14:paraId="06297D2A" w14:textId="77777777">
        <w:trPr>
          <w:cantSplit/>
        </w:trPr>
        <w:tc>
          <w:tcPr>
            <w:tcW w:w="2058" w:type="dxa"/>
          </w:tcPr>
          <w:p w14:paraId="3F9E5E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Теоретический потолок в метрах</w:t>
            </w:r>
          </w:p>
        </w:tc>
        <w:tc>
          <w:tcPr>
            <w:tcW w:w="1027" w:type="dxa"/>
          </w:tcPr>
          <w:p w14:paraId="39AB79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4500</w:t>
            </w:r>
          </w:p>
        </w:tc>
        <w:tc>
          <w:tcPr>
            <w:tcW w:w="1134" w:type="dxa"/>
          </w:tcPr>
          <w:p w14:paraId="02694B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6350**</w:t>
            </w:r>
          </w:p>
        </w:tc>
        <w:tc>
          <w:tcPr>
            <w:tcW w:w="1134" w:type="dxa"/>
          </w:tcPr>
          <w:p w14:paraId="1C7CAE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7400</w:t>
            </w:r>
          </w:p>
        </w:tc>
        <w:tc>
          <w:tcPr>
            <w:tcW w:w="1134" w:type="dxa"/>
          </w:tcPr>
          <w:p w14:paraId="764A2E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8000</w:t>
            </w:r>
          </w:p>
        </w:tc>
        <w:tc>
          <w:tcPr>
            <w:tcW w:w="1134" w:type="dxa"/>
          </w:tcPr>
          <w:p w14:paraId="16F496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8000</w:t>
            </w:r>
          </w:p>
        </w:tc>
        <w:tc>
          <w:tcPr>
            <w:tcW w:w="992" w:type="dxa"/>
          </w:tcPr>
          <w:p w14:paraId="40423B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8000</w:t>
            </w:r>
          </w:p>
        </w:tc>
        <w:tc>
          <w:tcPr>
            <w:tcW w:w="1134" w:type="dxa"/>
          </w:tcPr>
          <w:p w14:paraId="4803E2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5680</w:t>
            </w:r>
          </w:p>
        </w:tc>
        <w:tc>
          <w:tcPr>
            <w:tcW w:w="1276" w:type="dxa"/>
          </w:tcPr>
          <w:p w14:paraId="5809AC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7BD3BC1B" w14:textId="77777777">
        <w:trPr>
          <w:cantSplit/>
        </w:trPr>
        <w:tc>
          <w:tcPr>
            <w:tcW w:w="2058" w:type="dxa"/>
          </w:tcPr>
          <w:p w14:paraId="00B36F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Практический потолок в метрах</w:t>
            </w:r>
          </w:p>
        </w:tc>
        <w:tc>
          <w:tcPr>
            <w:tcW w:w="1027" w:type="dxa"/>
          </w:tcPr>
          <w:p w14:paraId="7EC49B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4" w:type="dxa"/>
          </w:tcPr>
          <w:p w14:paraId="5798FC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5660 (за 53 мин.)</w:t>
            </w:r>
          </w:p>
        </w:tc>
        <w:tc>
          <w:tcPr>
            <w:tcW w:w="1134" w:type="dxa"/>
          </w:tcPr>
          <w:p w14:paraId="231522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4" w:type="dxa"/>
          </w:tcPr>
          <w:p w14:paraId="7CDBFE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6860 (за 29 мин.)</w:t>
            </w:r>
          </w:p>
        </w:tc>
        <w:tc>
          <w:tcPr>
            <w:tcW w:w="1134" w:type="dxa"/>
          </w:tcPr>
          <w:p w14:paraId="1EC9D3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992" w:type="dxa"/>
          </w:tcPr>
          <w:p w14:paraId="3FC608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134" w:type="dxa"/>
          </w:tcPr>
          <w:p w14:paraId="2B4EE0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276" w:type="dxa"/>
          </w:tcPr>
          <w:p w14:paraId="0BF61D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5440 (за 85,44 мин.)</w:t>
            </w:r>
          </w:p>
        </w:tc>
      </w:tr>
      <w:tr w:rsidR="00A259BD" w:rsidRPr="00A259BD" w14:paraId="26CA03A8" w14:textId="77777777">
        <w:trPr>
          <w:cantSplit/>
        </w:trPr>
        <w:tc>
          <w:tcPr>
            <w:tcW w:w="2058" w:type="dxa"/>
          </w:tcPr>
          <w:p w14:paraId="04E44C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Подъем в час, в метрах</w:t>
            </w:r>
          </w:p>
        </w:tc>
        <w:tc>
          <w:tcPr>
            <w:tcW w:w="1027" w:type="dxa"/>
          </w:tcPr>
          <w:p w14:paraId="454551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4050</w:t>
            </w:r>
          </w:p>
        </w:tc>
        <w:tc>
          <w:tcPr>
            <w:tcW w:w="1134" w:type="dxa"/>
          </w:tcPr>
          <w:p w14:paraId="0F558F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5800</w:t>
            </w:r>
          </w:p>
        </w:tc>
        <w:tc>
          <w:tcPr>
            <w:tcW w:w="1134" w:type="dxa"/>
          </w:tcPr>
          <w:p w14:paraId="607295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7250</w:t>
            </w:r>
          </w:p>
        </w:tc>
        <w:tc>
          <w:tcPr>
            <w:tcW w:w="1134" w:type="dxa"/>
          </w:tcPr>
          <w:p w14:paraId="26CF13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7700</w:t>
            </w:r>
          </w:p>
        </w:tc>
        <w:tc>
          <w:tcPr>
            <w:tcW w:w="1134" w:type="dxa"/>
          </w:tcPr>
          <w:p w14:paraId="7124AA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7900</w:t>
            </w:r>
          </w:p>
        </w:tc>
        <w:tc>
          <w:tcPr>
            <w:tcW w:w="992" w:type="dxa"/>
          </w:tcPr>
          <w:p w14:paraId="269F3A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7500</w:t>
            </w:r>
          </w:p>
        </w:tc>
        <w:tc>
          <w:tcPr>
            <w:tcW w:w="1134" w:type="dxa"/>
          </w:tcPr>
          <w:p w14:paraId="459CFF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5400</w:t>
            </w:r>
          </w:p>
        </w:tc>
        <w:tc>
          <w:tcPr>
            <w:tcW w:w="1276" w:type="dxa"/>
          </w:tcPr>
          <w:p w14:paraId="32F973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7E2CA8F7" w14:textId="77777777">
        <w:trPr>
          <w:cantSplit/>
        </w:trPr>
        <w:tc>
          <w:tcPr>
            <w:tcW w:w="2058" w:type="dxa"/>
          </w:tcPr>
          <w:p w14:paraId="2EFB08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6F93C9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 на снабжение</w:t>
            </w:r>
          </w:p>
        </w:tc>
        <w:tc>
          <w:tcPr>
            <w:tcW w:w="1134" w:type="dxa"/>
          </w:tcPr>
          <w:p w14:paraId="13B03C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 на снабжение</w:t>
            </w:r>
          </w:p>
        </w:tc>
        <w:tc>
          <w:tcPr>
            <w:tcW w:w="1134" w:type="dxa"/>
          </w:tcPr>
          <w:p w14:paraId="6B0CA0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испытании в НИИ</w:t>
            </w:r>
          </w:p>
        </w:tc>
        <w:tc>
          <w:tcPr>
            <w:tcW w:w="1134" w:type="dxa"/>
          </w:tcPr>
          <w:p w14:paraId="5E7772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 на снабжение</w:t>
            </w:r>
          </w:p>
        </w:tc>
        <w:tc>
          <w:tcPr>
            <w:tcW w:w="1134" w:type="dxa"/>
          </w:tcPr>
          <w:p w14:paraId="277249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испытании в НИИ</w:t>
            </w:r>
          </w:p>
        </w:tc>
        <w:tc>
          <w:tcPr>
            <w:tcW w:w="992" w:type="dxa"/>
          </w:tcPr>
          <w:p w14:paraId="667A18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постройке</w:t>
            </w:r>
          </w:p>
        </w:tc>
        <w:tc>
          <w:tcPr>
            <w:tcW w:w="1134" w:type="dxa"/>
          </w:tcPr>
          <w:p w14:paraId="74FA7E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постройке</w:t>
            </w:r>
          </w:p>
        </w:tc>
        <w:tc>
          <w:tcPr>
            <w:tcW w:w="1276" w:type="dxa"/>
          </w:tcPr>
          <w:p w14:paraId="48DA6A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 на снабжение</w:t>
            </w:r>
          </w:p>
        </w:tc>
      </w:tr>
    </w:tbl>
    <w:p w14:paraId="125B17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 данные НИИ</w:t>
      </w:r>
    </w:p>
    <w:p w14:paraId="4B97AE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 данные расчета (3545).</w:t>
      </w:r>
    </w:p>
    <w:p w14:paraId="14FF93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D451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г. был первый полет летающей лодки РОМ-2. Известно, что небольшой период испытаний сопровож</w:t>
      </w:r>
      <w:r w:rsidRPr="00A259BD">
        <w:rPr>
          <w:rFonts w:ascii="Times New Roman" w:hAnsi="Times New Roman"/>
          <w:color w:val="000000" w:themeColor="text1"/>
          <w:sz w:val="16"/>
          <w:szCs w:val="16"/>
        </w:rPr>
        <w:softHyphen/>
        <w:t>дался досадными поломками. Так, 6 ноября при вытаскивании самолета на берег помяли правое нижнее крыло и поплавок (11978).</w:t>
      </w:r>
    </w:p>
    <w:p w14:paraId="0B4DDE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6EAAE0" w14:textId="77777777" w:rsidR="00466152" w:rsidRPr="00A259BD" w:rsidRDefault="00466152"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на испытания предъявили РОМ2-2БМВ6 и они проходили на Черном Море (1028,84).</w:t>
      </w:r>
    </w:p>
    <w:p w14:paraId="419E3FB9" w14:textId="77777777" w:rsidR="00466152" w:rsidRPr="00A259BD" w:rsidRDefault="00466152" w:rsidP="009236E3">
      <w:pPr>
        <w:autoSpaceDE w:val="0"/>
        <w:autoSpaceDN w:val="0"/>
        <w:adjustRightInd w:val="0"/>
        <w:spacing w:after="0" w:line="240" w:lineRule="auto"/>
        <w:jc w:val="both"/>
        <w:rPr>
          <w:rFonts w:ascii="Times New Roman" w:hAnsi="Times New Roman"/>
          <w:color w:val="000000" w:themeColor="text1"/>
          <w:sz w:val="16"/>
          <w:szCs w:val="16"/>
        </w:rPr>
      </w:pPr>
    </w:p>
    <w:p w14:paraId="6EFF68B5" w14:textId="77777777" w:rsidR="00466152" w:rsidRPr="00A259BD" w:rsidRDefault="00466152"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В октябре 1929 г. выполнили первый полет летающей лодки РОМ-2. Известно, что неболь</w:t>
      </w:r>
      <w:r w:rsidRPr="00A259BD">
        <w:rPr>
          <w:rFonts w:ascii="Times New Roman" w:cs="Times New Roman"/>
          <w:color w:val="000000" w:themeColor="text1"/>
          <w:sz w:val="16"/>
          <w:szCs w:val="16"/>
        </w:rPr>
        <w:softHyphen/>
        <w:t>шой период испытаний сопрово</w:t>
      </w:r>
      <w:r w:rsidRPr="00A259BD">
        <w:rPr>
          <w:rFonts w:ascii="Times New Roman" w:cs="Times New Roman"/>
          <w:color w:val="000000" w:themeColor="text1"/>
          <w:sz w:val="16"/>
          <w:szCs w:val="16"/>
        </w:rPr>
        <w:softHyphen/>
        <w:t>ждался досадными поломками. Так, 6 ноября при вытаскивании самолета на берег помяли правое нижнее кры</w:t>
      </w:r>
      <w:r w:rsidRPr="00A259BD">
        <w:rPr>
          <w:rFonts w:ascii="Times New Roman" w:cs="Times New Roman"/>
          <w:color w:val="000000" w:themeColor="text1"/>
          <w:sz w:val="16"/>
          <w:szCs w:val="16"/>
        </w:rPr>
        <w:softHyphen/>
        <w:t>ло и поплавок.</w:t>
      </w:r>
    </w:p>
    <w:p w14:paraId="5760D30D" w14:textId="77777777" w:rsidR="00466152" w:rsidRPr="00A259BD" w:rsidRDefault="00466152"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 xml:space="preserve">Еще одна авария произошла 29 ноября 1929 г. в Севастополе у Константиновской батареи. В этот день в 11.45 летчик </w:t>
      </w:r>
      <w:proofErr w:type="spellStart"/>
      <w:r w:rsidRPr="00A259BD">
        <w:rPr>
          <w:rFonts w:ascii="Times New Roman" w:cs="Times New Roman"/>
          <w:color w:val="000000" w:themeColor="text1"/>
          <w:sz w:val="16"/>
          <w:szCs w:val="16"/>
        </w:rPr>
        <w:t>Рыбальчук</w:t>
      </w:r>
      <w:proofErr w:type="spellEnd"/>
      <w:r w:rsidRPr="00A259BD">
        <w:rPr>
          <w:rFonts w:ascii="Times New Roman" w:cs="Times New Roman"/>
          <w:color w:val="000000" w:themeColor="text1"/>
          <w:sz w:val="16"/>
          <w:szCs w:val="16"/>
        </w:rPr>
        <w:t xml:space="preserve"> произ</w:t>
      </w:r>
      <w:r w:rsidRPr="00A259BD">
        <w:rPr>
          <w:rFonts w:ascii="Times New Roman" w:cs="Times New Roman"/>
          <w:color w:val="000000" w:themeColor="text1"/>
          <w:sz w:val="16"/>
          <w:szCs w:val="16"/>
        </w:rPr>
        <w:softHyphen/>
        <w:t>водил взлеты и посадки при сильном волнении моря. На третьей посадке самолет сильно зарылся в волну, в результате были повреждены неко</w:t>
      </w:r>
      <w:r w:rsidRPr="00A259BD">
        <w:rPr>
          <w:rFonts w:ascii="Times New Roman" w:cs="Times New Roman"/>
          <w:color w:val="000000" w:themeColor="text1"/>
          <w:sz w:val="16"/>
          <w:szCs w:val="16"/>
        </w:rPr>
        <w:softHyphen/>
        <w:t>торые конструктивные узлы. О про</w:t>
      </w:r>
      <w:r w:rsidRPr="00A259BD">
        <w:rPr>
          <w:rFonts w:ascii="Times New Roman" w:cs="Times New Roman"/>
          <w:color w:val="000000" w:themeColor="text1"/>
          <w:sz w:val="16"/>
          <w:szCs w:val="16"/>
        </w:rPr>
        <w:softHyphen/>
        <w:t>должении полетов этого экземпляра РОМ сведения не обнаружены.</w:t>
      </w:r>
    </w:p>
    <w:p w14:paraId="388D77C2" w14:textId="77777777" w:rsidR="00466152" w:rsidRPr="00A259BD" w:rsidRDefault="00466152"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В подготовленной оценке РОМ-2 отмечались удачные обводы лодки, просторная кабина, хороший взлет на волне. Одновременно схема боковых поплавков с низкорасположенными крыльями считалась неудачной, мест</w:t>
      </w:r>
      <w:r w:rsidRPr="00A259BD">
        <w:rPr>
          <w:rFonts w:ascii="Times New Roman" w:cs="Times New Roman"/>
          <w:color w:val="000000" w:themeColor="text1"/>
          <w:sz w:val="16"/>
          <w:szCs w:val="16"/>
        </w:rPr>
        <w:softHyphen/>
        <w:t>ную прочность отдельных элементов определили как недостаточную.</w:t>
      </w:r>
    </w:p>
    <w:p w14:paraId="263825BE" w14:textId="77777777" w:rsidR="00466152" w:rsidRPr="00A259BD" w:rsidRDefault="00466152"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Неудовлетворяющими опреде</w:t>
      </w:r>
      <w:r w:rsidRPr="00A259BD">
        <w:rPr>
          <w:rFonts w:ascii="Times New Roman" w:cs="Times New Roman"/>
          <w:color w:val="000000" w:themeColor="text1"/>
          <w:sz w:val="16"/>
          <w:szCs w:val="16"/>
        </w:rPr>
        <w:softHyphen/>
        <w:t>лили полетную скорость самолета, маневренность в воздухе и радиус действия 445 км (12609).</w:t>
      </w:r>
    </w:p>
    <w:p w14:paraId="530CC2D0" w14:textId="7071A5A7" w:rsidR="00466152" w:rsidRPr="00A259BD" w:rsidRDefault="00466152" w:rsidP="009236E3">
      <w:pPr>
        <w:pStyle w:val="45"/>
        <w:shd w:val="clear" w:color="auto" w:fill="auto"/>
        <w:spacing w:before="0" w:line="240" w:lineRule="auto"/>
        <w:jc w:val="both"/>
        <w:rPr>
          <w:rFonts w:ascii="Times New Roman" w:cs="Times New Roman"/>
          <w:color w:val="000000" w:themeColor="text1"/>
          <w:sz w:val="16"/>
          <w:szCs w:val="16"/>
        </w:rPr>
      </w:pPr>
    </w:p>
    <w:p w14:paraId="7980D9AC" w14:textId="77777777" w:rsidR="003F4613" w:rsidRPr="00A259BD" w:rsidRDefault="003F4613" w:rsidP="009236E3">
      <w:pPr>
        <w:spacing w:after="0" w:line="240" w:lineRule="auto"/>
        <w:jc w:val="both"/>
        <w:rPr>
          <w:rFonts w:ascii="Times New Roman" w:hAnsi="Times New Roman"/>
          <w:color w:val="000000" w:themeColor="text1"/>
          <w:sz w:val="16"/>
          <w:szCs w:val="16"/>
          <w:lang w:eastAsia="ru-RU" w:bidi="ru-RU"/>
        </w:rPr>
      </w:pPr>
      <w:r w:rsidRPr="00A259BD">
        <w:rPr>
          <w:rFonts w:ascii="Times New Roman" w:hAnsi="Times New Roman"/>
          <w:color w:val="000000" w:themeColor="text1"/>
          <w:sz w:val="16"/>
          <w:szCs w:val="16"/>
          <w:lang w:eastAsia="ru-RU" w:bidi="ru-RU"/>
        </w:rPr>
        <w:t>В октябре 1929 МУ-2 был разобран и отправлен в Севастополь для продолжения ис</w:t>
      </w:r>
      <w:r w:rsidRPr="00A259BD">
        <w:rPr>
          <w:rFonts w:ascii="Times New Roman" w:hAnsi="Times New Roman"/>
          <w:color w:val="000000" w:themeColor="text1"/>
          <w:sz w:val="16"/>
          <w:szCs w:val="16"/>
          <w:lang w:eastAsia="ru-RU" w:bidi="ru-RU"/>
        </w:rPr>
        <w:softHyphen/>
        <w:t>пытаний. К сожалению, общий итог оказался неутешительным — ни один гидросамолет, испытывавшийся в Таганроге, в се</w:t>
      </w:r>
      <w:r w:rsidRPr="00A259BD">
        <w:rPr>
          <w:rFonts w:ascii="Times New Roman" w:hAnsi="Times New Roman"/>
          <w:color w:val="000000" w:themeColor="text1"/>
          <w:sz w:val="16"/>
          <w:szCs w:val="16"/>
          <w:lang w:eastAsia="ru-RU" w:bidi="ru-RU"/>
        </w:rPr>
        <w:softHyphen/>
        <w:t>рию не пошел. Поэтому была сделана попытка начать на заводе №31 строительство, выражаясь современным язы</w:t>
      </w:r>
      <w:r w:rsidRPr="00A259BD">
        <w:rPr>
          <w:rFonts w:ascii="Times New Roman" w:hAnsi="Times New Roman"/>
          <w:noProof/>
          <w:color w:val="000000" w:themeColor="text1"/>
          <w:sz w:val="16"/>
          <w:szCs w:val="16"/>
        </w:rPr>
        <mc:AlternateContent>
          <mc:Choice Requires="wps">
            <w:drawing>
              <wp:anchor distT="0" distB="0" distL="0" distR="0" simplePos="0" relativeHeight="251659264" behindDoc="0" locked="0" layoutInCell="1" allowOverlap="1" wp14:anchorId="2759A824" wp14:editId="359438C2">
                <wp:simplePos x="0" y="0"/>
                <wp:positionH relativeFrom="margin">
                  <wp:posOffset>-3404870</wp:posOffset>
                </wp:positionH>
                <wp:positionV relativeFrom="paragraph">
                  <wp:posOffset>1924050</wp:posOffset>
                </wp:positionV>
                <wp:extent cx="1325880" cy="149225"/>
                <wp:effectExtent l="0" t="0" r="0" b="0"/>
                <wp:wrapNone/>
                <wp:docPr id="166" name="Надпись 166"/>
                <wp:cNvGraphicFramePr/>
                <a:graphic xmlns:a="http://schemas.openxmlformats.org/drawingml/2006/main">
                  <a:graphicData uri="http://schemas.microsoft.com/office/word/2010/wordprocessingShape">
                    <wps:wsp>
                      <wps:cNvSpPr txBox="1"/>
                      <wps:spPr>
                        <a:xfrm>
                          <a:off x="0" y="0"/>
                          <a:ext cx="1325880" cy="149225"/>
                        </a:xfrm>
                        <a:prstGeom prst="rect">
                          <a:avLst/>
                        </a:prstGeom>
                        <a:noFill/>
                      </wps:spPr>
                      <wps:txbx>
                        <w:txbxContent>
                          <w:p w14:paraId="703A1FDD" w14:textId="77777777" w:rsidR="003F4613" w:rsidRDefault="003F4613" w:rsidP="003F4613">
                            <w:pPr>
                              <w:pStyle w:val="aff9"/>
                              <w:spacing w:line="240" w:lineRule="auto"/>
                            </w:pPr>
                            <w:r>
                              <w:rPr>
                                <w:color w:val="000000"/>
                                <w:lang w:eastAsia="ru-RU" w:bidi="ru-RU"/>
                              </w:rPr>
                              <w:t>ТБ-1П на заводе №31</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type w14:anchorId="2759A824" id="_x0000_t202" coordsize="21600,21600" o:spt="202" path="m,l,21600r21600,l21600,xe">
                <v:stroke joinstyle="miter"/>
                <v:path gradientshapeok="t" o:connecttype="rect"/>
              </v:shapetype>
              <v:shape id="Надпись 166" o:spid="_x0000_s1026" type="#_x0000_t202" style="position:absolute;left:0;text-align:left;margin-left:-268.1pt;margin-top:151.5pt;width:104.4pt;height:11.75pt;z-index:251659264;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" filled="f" stroked="f">
                <v:textbox inset="0,0,0,0">
                  <w:txbxContent>
                    <w:p w14:paraId="703A1FDD" w14:textId="77777777" w:rsidR="003F4613" w:rsidRDefault="003F4613" w:rsidP="003F4613">
                      <w:pPr>
                        <w:pStyle w:val="aff9"/>
                        <w:spacing w:line="240" w:lineRule="auto"/>
                      </w:pPr>
                      <w:r>
                        <w:rPr>
                          <w:color w:val="000000"/>
                          <w:lang w:eastAsia="ru-RU" w:bidi="ru-RU"/>
                        </w:rPr>
                        <w:t>ТБ-1П на заводе №31</w:t>
                      </w:r>
                    </w:p>
                  </w:txbxContent>
                </v:textbox>
                <w10:wrap anchorx="margin"/>
              </v:shape>
            </w:pict>
          </mc:Fallback>
        </mc:AlternateContent>
      </w:r>
      <w:r w:rsidRPr="00A259BD">
        <w:rPr>
          <w:rFonts w:ascii="Times New Roman" w:hAnsi="Times New Roman"/>
          <w:color w:val="000000" w:themeColor="text1"/>
          <w:sz w:val="16"/>
          <w:szCs w:val="16"/>
          <w:lang w:eastAsia="ru-RU" w:bidi="ru-RU"/>
        </w:rPr>
        <w:t>ком, «пиратской» (т.е. без покупки лицензии) копии лета</w:t>
      </w:r>
      <w:r w:rsidRPr="00A259BD">
        <w:rPr>
          <w:rFonts w:ascii="Times New Roman" w:hAnsi="Times New Roman"/>
          <w:color w:val="000000" w:themeColor="text1"/>
          <w:sz w:val="16"/>
          <w:szCs w:val="16"/>
          <w:lang w:eastAsia="ru-RU" w:bidi="ru-RU"/>
        </w:rPr>
        <w:softHyphen/>
        <w:t>ющей лодки «Дорнье Валь» (20325).</w:t>
      </w:r>
    </w:p>
    <w:p w14:paraId="52ECF938" w14:textId="77777777" w:rsidR="003F4613" w:rsidRPr="00A259BD" w:rsidRDefault="003F4613" w:rsidP="009236E3">
      <w:pPr>
        <w:pStyle w:val="45"/>
        <w:shd w:val="clear" w:color="auto" w:fill="auto"/>
        <w:spacing w:before="0" w:line="240" w:lineRule="auto"/>
        <w:jc w:val="both"/>
        <w:rPr>
          <w:rFonts w:ascii="Times New Roman" w:cs="Times New Roman"/>
          <w:color w:val="000000" w:themeColor="text1"/>
          <w:sz w:val="16"/>
          <w:szCs w:val="16"/>
        </w:rPr>
      </w:pPr>
    </w:p>
    <w:p w14:paraId="2B9A88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1929-го испытания КАСКР продолжили. В ходе их произошло несколько поломок. Машину ремонтировали, попутно устраняя конструктивные недостатки. И когда в конце очередного полета КАСКР-1 опрокинулся и получил серьезные повреждения, пришли к выводу: испытания нужно поручать специалистам (9975).</w:t>
      </w:r>
    </w:p>
    <w:p w14:paraId="627DB3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6C541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последовала 2-я — тоже 10 двигателей М-11, в январе 1930 г. — 3-я (еще 10 М-11). Серийные моторы именовались М-11а (или М-11/А). Все эти серии являлись полуэкспери</w:t>
      </w:r>
      <w:r w:rsidRPr="00A259BD">
        <w:rPr>
          <w:rFonts w:ascii="Times New Roman" w:hAnsi="Times New Roman"/>
          <w:color w:val="000000" w:themeColor="text1"/>
          <w:sz w:val="16"/>
          <w:szCs w:val="16"/>
        </w:rPr>
        <w:softHyphen/>
        <w:t>ментальными. Например, на моторах 2-й серии встречались три типа кре</w:t>
      </w:r>
      <w:r w:rsidRPr="00A259BD">
        <w:rPr>
          <w:rFonts w:ascii="Times New Roman" w:hAnsi="Times New Roman"/>
          <w:color w:val="000000" w:themeColor="text1"/>
          <w:sz w:val="16"/>
          <w:szCs w:val="16"/>
        </w:rPr>
        <w:softHyphen/>
        <w:t>пления всасывающих патрубков, два типа коренных подшипников. Бывший завод «Мотор» (к тому времени вошедший в состав завода № 24) далее никакого отношения к совершенствованию М-11 не имел. Всю работу в этом направлении вели конструкторы завода № 29. В январе 1930 г. они разработали новую головку цилиндра с ребром жесткости вни</w:t>
      </w:r>
      <w:r w:rsidRPr="00A259BD">
        <w:rPr>
          <w:rFonts w:ascii="Times New Roman" w:hAnsi="Times New Roman"/>
          <w:color w:val="000000" w:themeColor="text1"/>
          <w:sz w:val="16"/>
          <w:szCs w:val="16"/>
        </w:rPr>
        <w:softHyphen/>
        <w:t>зу, фланец крепления цилиндра по образцу мотора «Юпитер» и главный шатун на подшипнике скольжения вместо роликового (11852).</w:t>
      </w:r>
    </w:p>
    <w:p w14:paraId="55E259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A1EBE9"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октября 1929 г., после аре</w:t>
      </w:r>
      <w:r w:rsidRPr="00A259BD">
        <w:rPr>
          <w:rFonts w:ascii="Times New Roman" w:hAnsi="Times New Roman"/>
          <w:color w:val="000000" w:themeColor="text1"/>
          <w:sz w:val="16"/>
          <w:szCs w:val="16"/>
        </w:rPr>
        <w:softHyphen/>
        <w:t xml:space="preserve">ста Н.Н. Поликарпова работами по И-6 руководил С.А. </w:t>
      </w:r>
      <w:proofErr w:type="spellStart"/>
      <w:r w:rsidRPr="00A259BD">
        <w:rPr>
          <w:rFonts w:ascii="Times New Roman" w:hAnsi="Times New Roman"/>
          <w:color w:val="000000" w:themeColor="text1"/>
          <w:sz w:val="16"/>
          <w:szCs w:val="16"/>
        </w:rPr>
        <w:t>Кочеригин</w:t>
      </w:r>
      <w:proofErr w:type="spellEnd"/>
      <w:r w:rsidRPr="00A259BD">
        <w:rPr>
          <w:rFonts w:ascii="Times New Roman" w:hAnsi="Times New Roman"/>
          <w:color w:val="000000" w:themeColor="text1"/>
          <w:sz w:val="16"/>
          <w:szCs w:val="16"/>
        </w:rPr>
        <w:t>, назначенный главным кон</w:t>
      </w:r>
      <w:r w:rsidRPr="00A259BD">
        <w:rPr>
          <w:rFonts w:ascii="Times New Roman" w:hAnsi="Times New Roman"/>
          <w:color w:val="000000" w:themeColor="text1"/>
          <w:sz w:val="16"/>
          <w:szCs w:val="16"/>
        </w:rPr>
        <w:softHyphen/>
        <w:t>структором авиазавода №25.</w:t>
      </w:r>
    </w:p>
    <w:p w14:paraId="49E436AA"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Первый экземпляр И-6 имел уменьшен</w:t>
      </w:r>
      <w:r w:rsidRPr="00A259BD">
        <w:rPr>
          <w:rFonts w:ascii="Times New Roman" w:hAnsi="Times New Roman"/>
          <w:color w:val="000000" w:themeColor="text1"/>
          <w:sz w:val="16"/>
          <w:szCs w:val="16"/>
        </w:rPr>
        <w:softHyphen/>
        <w:t>ную площадь крыльев, т.е. строился по вто</w:t>
      </w:r>
      <w:r w:rsidRPr="00A259BD">
        <w:rPr>
          <w:rFonts w:ascii="Times New Roman" w:hAnsi="Times New Roman"/>
          <w:color w:val="000000" w:themeColor="text1"/>
          <w:sz w:val="16"/>
          <w:szCs w:val="16"/>
        </w:rPr>
        <w:softHyphen/>
        <w:t>рому варианту эскизного проекта. К допол</w:t>
      </w:r>
      <w:r w:rsidRPr="00A259BD">
        <w:rPr>
          <w:rFonts w:ascii="Times New Roman" w:hAnsi="Times New Roman"/>
          <w:color w:val="000000" w:themeColor="text1"/>
          <w:sz w:val="16"/>
          <w:szCs w:val="16"/>
        </w:rPr>
        <w:softHyphen/>
        <w:t>нительным отличиям следует отнести разме</w:t>
      </w:r>
      <w:r w:rsidRPr="00A259BD">
        <w:rPr>
          <w:rFonts w:ascii="Times New Roman" w:hAnsi="Times New Roman"/>
          <w:color w:val="000000" w:themeColor="text1"/>
          <w:sz w:val="16"/>
          <w:szCs w:val="16"/>
        </w:rPr>
        <w:softHyphen/>
        <w:t>щение горизонтального оперения в районе продольной оси хвостовой части фюзеляжа.</w:t>
      </w:r>
    </w:p>
    <w:p w14:paraId="5311FC9C"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И-6 представлял собой </w:t>
      </w:r>
      <w:proofErr w:type="spellStart"/>
      <w:r w:rsidRPr="00A259BD">
        <w:rPr>
          <w:rFonts w:ascii="Times New Roman" w:hAnsi="Times New Roman"/>
          <w:color w:val="000000" w:themeColor="text1"/>
          <w:sz w:val="16"/>
          <w:szCs w:val="16"/>
        </w:rPr>
        <w:t>полутороплан</w:t>
      </w:r>
      <w:proofErr w:type="spellEnd"/>
      <w:r w:rsidRPr="00A259BD">
        <w:rPr>
          <w:rFonts w:ascii="Times New Roman" w:hAnsi="Times New Roman"/>
          <w:color w:val="000000" w:themeColor="text1"/>
          <w:sz w:val="16"/>
          <w:szCs w:val="16"/>
        </w:rPr>
        <w:t xml:space="preserve"> сме</w:t>
      </w:r>
      <w:r w:rsidRPr="00A259BD">
        <w:rPr>
          <w:rFonts w:ascii="Times New Roman" w:hAnsi="Times New Roman"/>
          <w:color w:val="000000" w:themeColor="text1"/>
          <w:sz w:val="16"/>
          <w:szCs w:val="16"/>
        </w:rPr>
        <w:softHyphen/>
        <w:t>шанной конструкции. Фюзеляж — деревян</w:t>
      </w:r>
      <w:r w:rsidRPr="00A259BD">
        <w:rPr>
          <w:rFonts w:ascii="Times New Roman" w:hAnsi="Times New Roman"/>
          <w:color w:val="000000" w:themeColor="text1"/>
          <w:sz w:val="16"/>
          <w:szCs w:val="16"/>
        </w:rPr>
        <w:softHyphen/>
        <w:t xml:space="preserve">ный </w:t>
      </w:r>
      <w:proofErr w:type="spellStart"/>
      <w:r w:rsidRPr="00A259BD">
        <w:rPr>
          <w:rFonts w:ascii="Times New Roman" w:hAnsi="Times New Roman"/>
          <w:color w:val="000000" w:themeColor="text1"/>
          <w:sz w:val="16"/>
          <w:szCs w:val="16"/>
        </w:rPr>
        <w:t>полумонокок</w:t>
      </w:r>
      <w:proofErr w:type="spellEnd"/>
      <w:r w:rsidRPr="00A259BD">
        <w:rPr>
          <w:rFonts w:ascii="Times New Roman" w:hAnsi="Times New Roman"/>
          <w:color w:val="000000" w:themeColor="text1"/>
          <w:sz w:val="16"/>
          <w:szCs w:val="16"/>
        </w:rPr>
        <w:t>, выклеенный из шпона на специальной форме и затем собранный на подготовленном каркасе (все как у И-3). Двигатель закрыт дюралюминиевым капо</w:t>
      </w:r>
      <w:r w:rsidRPr="00A259BD">
        <w:rPr>
          <w:rFonts w:ascii="Times New Roman" w:hAnsi="Times New Roman"/>
          <w:color w:val="000000" w:themeColor="text1"/>
          <w:sz w:val="16"/>
          <w:szCs w:val="16"/>
        </w:rPr>
        <w:softHyphen/>
        <w:t>том с индивидуальными обтекателями каж</w:t>
      </w:r>
      <w:r w:rsidRPr="00A259BD">
        <w:rPr>
          <w:rFonts w:ascii="Times New Roman" w:hAnsi="Times New Roman"/>
          <w:color w:val="000000" w:themeColor="text1"/>
          <w:sz w:val="16"/>
          <w:szCs w:val="16"/>
        </w:rPr>
        <w:softHyphen/>
        <w:t>дого цилиндра. В отношении такого реше</w:t>
      </w:r>
      <w:r w:rsidRPr="00A259BD">
        <w:rPr>
          <w:rFonts w:ascii="Times New Roman" w:hAnsi="Times New Roman"/>
          <w:color w:val="000000" w:themeColor="text1"/>
          <w:sz w:val="16"/>
          <w:szCs w:val="16"/>
        </w:rPr>
        <w:softHyphen/>
        <w:t>ния техническая команда высказывалась от</w:t>
      </w:r>
      <w:r w:rsidRPr="00A259BD">
        <w:rPr>
          <w:rFonts w:ascii="Times New Roman" w:hAnsi="Times New Roman"/>
          <w:color w:val="000000" w:themeColor="text1"/>
          <w:sz w:val="16"/>
          <w:szCs w:val="16"/>
        </w:rPr>
        <w:softHyphen/>
        <w:t>рицательно - очень сложная конструкция, которую приходилось долго снимать при об</w:t>
      </w:r>
      <w:r w:rsidRPr="00A259BD">
        <w:rPr>
          <w:rFonts w:ascii="Times New Roman" w:hAnsi="Times New Roman"/>
          <w:color w:val="000000" w:themeColor="text1"/>
          <w:sz w:val="16"/>
          <w:szCs w:val="16"/>
        </w:rPr>
        <w:softHyphen/>
        <w:t>служивании. Топливный бак на 210 кг бензи</w:t>
      </w:r>
      <w:r w:rsidRPr="00A259BD">
        <w:rPr>
          <w:rFonts w:ascii="Times New Roman" w:hAnsi="Times New Roman"/>
          <w:color w:val="000000" w:themeColor="text1"/>
          <w:sz w:val="16"/>
          <w:szCs w:val="16"/>
        </w:rPr>
        <w:softHyphen/>
        <w:t>на в фюзеляже за двигателем.</w:t>
      </w:r>
    </w:p>
    <w:p w14:paraId="7414D93D"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Крылья деревянные, </w:t>
      </w:r>
      <w:proofErr w:type="spellStart"/>
      <w:r w:rsidRPr="00A259BD">
        <w:rPr>
          <w:rFonts w:ascii="Times New Roman" w:hAnsi="Times New Roman"/>
          <w:color w:val="000000" w:themeColor="text1"/>
          <w:sz w:val="16"/>
          <w:szCs w:val="16"/>
        </w:rPr>
        <w:t>двухлонжеронные</w:t>
      </w:r>
      <w:proofErr w:type="spellEnd"/>
      <w:r w:rsidRPr="00A259BD">
        <w:rPr>
          <w:rFonts w:ascii="Times New Roman" w:hAnsi="Times New Roman"/>
          <w:color w:val="000000" w:themeColor="text1"/>
          <w:sz w:val="16"/>
          <w:szCs w:val="16"/>
        </w:rPr>
        <w:t xml:space="preserve">, обтянуты полотном, с расположением </w:t>
      </w:r>
      <w:proofErr w:type="spellStart"/>
      <w:r w:rsidRPr="00A259BD">
        <w:rPr>
          <w:rFonts w:ascii="Times New Roman" w:hAnsi="Times New Roman"/>
          <w:color w:val="000000" w:themeColor="text1"/>
          <w:sz w:val="16"/>
          <w:szCs w:val="16"/>
        </w:rPr>
        <w:t>элеро</w:t>
      </w:r>
      <w:proofErr w:type="spellEnd"/>
      <w:r w:rsidRPr="00A259BD">
        <w:rPr>
          <w:rFonts w:ascii="Times New Roman" w:hAnsi="Times New Roman"/>
          <w:color w:val="000000" w:themeColor="text1"/>
          <w:sz w:val="16"/>
          <w:szCs w:val="16"/>
        </w:rPr>
        <w:t xml:space="preserve"> нов на верхней плоскости. Форма </w:t>
      </w:r>
      <w:proofErr w:type="spellStart"/>
      <w:r w:rsidRPr="00A259BD">
        <w:rPr>
          <w:rFonts w:ascii="Times New Roman" w:hAnsi="Times New Roman"/>
          <w:color w:val="000000" w:themeColor="text1"/>
          <w:sz w:val="16"/>
          <w:szCs w:val="16"/>
        </w:rPr>
        <w:t>законцо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вок</w:t>
      </w:r>
      <w:proofErr w:type="spellEnd"/>
      <w:r w:rsidRPr="00A259BD">
        <w:rPr>
          <w:rFonts w:ascii="Times New Roman" w:hAnsi="Times New Roman"/>
          <w:color w:val="000000" w:themeColor="text1"/>
          <w:sz w:val="16"/>
          <w:szCs w:val="16"/>
        </w:rPr>
        <w:t xml:space="preserve"> в плане эллиптическая. Центроплан дю</w:t>
      </w:r>
      <w:r w:rsidRPr="00A259BD">
        <w:rPr>
          <w:rFonts w:ascii="Times New Roman" w:hAnsi="Times New Roman"/>
          <w:color w:val="000000" w:themeColor="text1"/>
          <w:sz w:val="16"/>
          <w:szCs w:val="16"/>
        </w:rPr>
        <w:softHyphen/>
        <w:t xml:space="preserve">ралевый, обшит полотном. И-образные </w:t>
      </w:r>
      <w:proofErr w:type="spellStart"/>
      <w:r w:rsidRPr="00A259BD">
        <w:rPr>
          <w:rFonts w:ascii="Times New Roman" w:hAnsi="Times New Roman"/>
          <w:color w:val="000000" w:themeColor="text1"/>
          <w:sz w:val="16"/>
          <w:szCs w:val="16"/>
        </w:rPr>
        <w:t>меж</w:t>
      </w:r>
      <w:r w:rsidRPr="00A259BD">
        <w:rPr>
          <w:rFonts w:ascii="Times New Roman" w:hAnsi="Times New Roman"/>
          <w:color w:val="000000" w:themeColor="text1"/>
          <w:sz w:val="16"/>
          <w:szCs w:val="16"/>
        </w:rPr>
        <w:softHyphen/>
        <w:t>крыльевые</w:t>
      </w:r>
      <w:proofErr w:type="spellEnd"/>
      <w:r w:rsidRPr="00A259BD">
        <w:rPr>
          <w:rFonts w:ascii="Times New Roman" w:hAnsi="Times New Roman"/>
          <w:color w:val="000000" w:themeColor="text1"/>
          <w:sz w:val="16"/>
          <w:szCs w:val="16"/>
        </w:rPr>
        <w:t xml:space="preserve"> стойки дюралевые, расчалки лен</w:t>
      </w:r>
      <w:r w:rsidRPr="00A259BD">
        <w:rPr>
          <w:rFonts w:ascii="Times New Roman" w:hAnsi="Times New Roman"/>
          <w:color w:val="000000" w:themeColor="text1"/>
          <w:sz w:val="16"/>
          <w:szCs w:val="16"/>
        </w:rPr>
        <w:softHyphen/>
        <w:t>точные, стальные. Хвостовое оперение дю</w:t>
      </w:r>
      <w:r w:rsidRPr="00A259BD">
        <w:rPr>
          <w:rFonts w:ascii="Times New Roman" w:hAnsi="Times New Roman"/>
          <w:color w:val="000000" w:themeColor="text1"/>
          <w:sz w:val="16"/>
          <w:szCs w:val="16"/>
        </w:rPr>
        <w:softHyphen/>
        <w:t>ралевое, обшито полотном.</w:t>
      </w:r>
    </w:p>
    <w:p w14:paraId="5EDF00EE"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Несмотря на задуманную установку «Юпи</w:t>
      </w:r>
      <w:r w:rsidRPr="00A259BD">
        <w:rPr>
          <w:rFonts w:ascii="Times New Roman" w:hAnsi="Times New Roman"/>
          <w:color w:val="000000" w:themeColor="text1"/>
          <w:sz w:val="16"/>
          <w:szCs w:val="16"/>
        </w:rPr>
        <w:softHyphen/>
        <w:t>тера» 7-й серии, первый экземпляр И-6 был оснащен двигателем Гном-Рон «Юпитер»У1 мощностью 480 л.с. Вес пустого самолета со</w:t>
      </w:r>
      <w:r w:rsidRPr="00A259BD">
        <w:rPr>
          <w:rFonts w:ascii="Times New Roman" w:hAnsi="Times New Roman"/>
          <w:color w:val="000000" w:themeColor="text1"/>
          <w:sz w:val="16"/>
          <w:szCs w:val="16"/>
        </w:rPr>
        <w:softHyphen/>
        <w:t>ставил 1023 кг, полетный вес — 1418 кг. (12295).</w:t>
      </w:r>
    </w:p>
    <w:p w14:paraId="2C338966" w14:textId="77777777" w:rsidR="00466152" w:rsidRPr="00A259BD" w:rsidRDefault="00466152" w:rsidP="009236E3">
      <w:pPr>
        <w:spacing w:after="0" w:line="240" w:lineRule="auto"/>
        <w:jc w:val="both"/>
        <w:rPr>
          <w:rFonts w:ascii="Times New Roman" w:hAnsi="Times New Roman"/>
          <w:color w:val="000000" w:themeColor="text1"/>
          <w:sz w:val="16"/>
          <w:szCs w:val="16"/>
        </w:rPr>
      </w:pPr>
    </w:p>
    <w:p w14:paraId="502AC6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октябре 1929 </w:t>
      </w:r>
      <w:proofErr w:type="spellStart"/>
      <w:r w:rsidRPr="00A259BD">
        <w:rPr>
          <w:rFonts w:ascii="Times New Roman" w:hAnsi="Times New Roman"/>
          <w:color w:val="000000" w:themeColor="text1"/>
          <w:sz w:val="16"/>
          <w:szCs w:val="16"/>
        </w:rPr>
        <w:t>В.П.Яценко</w:t>
      </w:r>
      <w:proofErr w:type="spellEnd"/>
      <w:r w:rsidRPr="00A259BD">
        <w:rPr>
          <w:rFonts w:ascii="Times New Roman" w:hAnsi="Times New Roman"/>
          <w:color w:val="000000" w:themeColor="text1"/>
          <w:sz w:val="16"/>
          <w:szCs w:val="16"/>
        </w:rPr>
        <w:t xml:space="preserve"> стал ведущим конструктором ЦКБ завода 39 (3876,7).</w:t>
      </w:r>
    </w:p>
    <w:p w14:paraId="141B66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4746E4"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года был построен и прошел в общей сложности до 150 часов экспериментальных испытаний мотор ЭН1 экспериментальный нефтяной (мощность 10 л.с., срок предъявления на гос. испытания 1 апреля 1931 года) (6998, 9-14). Максимальная мощность, которую удалось снять до его аварии равна 14 л.с. при 1500 об/мин. при 4-х тактном процессе. Мотор был переделан из керосинового двигателя и поступил на экспериментальные испытания с рядом старых деталей. На 1 октября 1930 года мотор находится в ремонте после аварии, происшедшей из-за поломки картера и требует изготовления нового картера, поршней, ряда форсунок и насосов для продолжения экспериментов (6998, 9-14).</w:t>
      </w:r>
    </w:p>
    <w:p w14:paraId="1B7781A8"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2B5C2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г. при секретариате Московского обкома ВКП(б) состоялось совещание о положении на ГАЗ № 1, на ко</w:t>
      </w:r>
      <w:r w:rsidRPr="00A259BD">
        <w:rPr>
          <w:rFonts w:ascii="Times New Roman" w:hAnsi="Times New Roman"/>
          <w:color w:val="000000" w:themeColor="text1"/>
          <w:sz w:val="16"/>
          <w:szCs w:val="16"/>
        </w:rPr>
        <w:softHyphen/>
        <w:t>тором было решено: "Отмечая элемент несомненного вредитель</w:t>
      </w:r>
      <w:r w:rsidRPr="00A259BD">
        <w:rPr>
          <w:rFonts w:ascii="Times New Roman" w:hAnsi="Times New Roman"/>
          <w:color w:val="000000" w:themeColor="text1"/>
          <w:sz w:val="16"/>
          <w:szCs w:val="16"/>
        </w:rPr>
        <w:softHyphen/>
        <w:t xml:space="preserve">ства... считать необходимым, чтобы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установил кон</w:t>
      </w:r>
      <w:r w:rsidRPr="00A259BD">
        <w:rPr>
          <w:rFonts w:ascii="Times New Roman" w:hAnsi="Times New Roman"/>
          <w:color w:val="000000" w:themeColor="text1"/>
          <w:sz w:val="16"/>
          <w:szCs w:val="16"/>
        </w:rPr>
        <w:softHyphen/>
        <w:t>такты с ОГПУ". Именно к этому периоду относится создание первой авиационной "шарашки" - конструкторского бюро за ре</w:t>
      </w:r>
      <w:r w:rsidRPr="00A259BD">
        <w:rPr>
          <w:rFonts w:ascii="Times New Roman" w:hAnsi="Times New Roman"/>
          <w:color w:val="000000" w:themeColor="text1"/>
          <w:sz w:val="16"/>
          <w:szCs w:val="16"/>
        </w:rPr>
        <w:softHyphen/>
        <w:t>шеткой. В 1929 г. в Бутырской тюрьме было создано КБ ВТ -конструкторское бюро "Внутренняя тюрьма" (10788).</w:t>
      </w:r>
    </w:p>
    <w:p w14:paraId="21E06E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EE23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октябре 1929 </w:t>
      </w:r>
      <w:proofErr w:type="spellStart"/>
      <w:r w:rsidRPr="00A259BD">
        <w:rPr>
          <w:rFonts w:ascii="Times New Roman" w:hAnsi="Times New Roman"/>
          <w:color w:val="000000" w:themeColor="text1"/>
          <w:sz w:val="16"/>
          <w:szCs w:val="16"/>
        </w:rPr>
        <w:t>Ю.И.Пионтковский</w:t>
      </w:r>
      <w:proofErr w:type="spellEnd"/>
      <w:r w:rsidRPr="00A259BD">
        <w:rPr>
          <w:rFonts w:ascii="Times New Roman" w:hAnsi="Times New Roman"/>
          <w:color w:val="000000" w:themeColor="text1"/>
          <w:sz w:val="16"/>
          <w:szCs w:val="16"/>
        </w:rPr>
        <w:t xml:space="preserve"> на АИР-4 выполнил перелет Москва-Киев-Одесса-Севастополь-Москва (316,137).</w:t>
      </w:r>
    </w:p>
    <w:p w14:paraId="7FD04B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E5CD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октябре 1929 на маневрах БФ Дорнье Валь N 57 порывом штормового ветра сбросило с высоты 150 м и ударило о воду в Финском заливе. После этого л Кончин и Острецов сумели запустить моторы и </w:t>
      </w:r>
      <w:proofErr w:type="spellStart"/>
      <w:r w:rsidRPr="00A259BD">
        <w:rPr>
          <w:rFonts w:ascii="Times New Roman" w:hAnsi="Times New Roman"/>
          <w:color w:val="000000" w:themeColor="text1"/>
          <w:sz w:val="16"/>
          <w:szCs w:val="16"/>
        </w:rPr>
        <w:t>дорулить</w:t>
      </w:r>
      <w:proofErr w:type="spellEnd"/>
      <w:r w:rsidRPr="00A259BD">
        <w:rPr>
          <w:rFonts w:ascii="Times New Roman" w:hAnsi="Times New Roman"/>
          <w:color w:val="000000" w:themeColor="text1"/>
          <w:sz w:val="16"/>
          <w:szCs w:val="16"/>
        </w:rPr>
        <w:t xml:space="preserve"> до </w:t>
      </w:r>
      <w:proofErr w:type="spellStart"/>
      <w:r w:rsidRPr="00A259BD">
        <w:rPr>
          <w:rFonts w:ascii="Times New Roman" w:hAnsi="Times New Roman"/>
          <w:color w:val="000000" w:themeColor="text1"/>
          <w:sz w:val="16"/>
          <w:szCs w:val="16"/>
        </w:rPr>
        <w:t>бегега</w:t>
      </w:r>
      <w:proofErr w:type="spellEnd"/>
      <w:r w:rsidRPr="00A259BD">
        <w:rPr>
          <w:rFonts w:ascii="Times New Roman" w:hAnsi="Times New Roman"/>
          <w:color w:val="000000" w:themeColor="text1"/>
          <w:sz w:val="16"/>
          <w:szCs w:val="16"/>
        </w:rPr>
        <w:t>. Вообще это машина только за один 1929 4 раза попадала в аварию (2543,8).</w:t>
      </w:r>
    </w:p>
    <w:p w14:paraId="2F1B8C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F613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года по Постановлению правительства бюро по проектированию и изготовлению приборов теплотехнического контроля при Институте металлов Научно-технического управления ВСНХ (НТУ-СВНХ) было передано в состав треста “</w:t>
      </w:r>
      <w:proofErr w:type="spellStart"/>
      <w:r w:rsidRPr="00A259BD">
        <w:rPr>
          <w:rFonts w:ascii="Times New Roman" w:hAnsi="Times New Roman"/>
          <w:color w:val="000000" w:themeColor="text1"/>
          <w:sz w:val="16"/>
          <w:szCs w:val="16"/>
        </w:rPr>
        <w:t>Главлаборснабжение</w:t>
      </w:r>
      <w:proofErr w:type="spellEnd"/>
      <w:r w:rsidRPr="00A259BD">
        <w:rPr>
          <w:rFonts w:ascii="Times New Roman" w:hAnsi="Times New Roman"/>
          <w:color w:val="000000" w:themeColor="text1"/>
          <w:sz w:val="16"/>
          <w:szCs w:val="16"/>
        </w:rPr>
        <w:t>”, позднее реорганизованное во Всесоюзное объединение точной индустрии “ВОТИ”.</w:t>
      </w:r>
    </w:p>
    <w:p w14:paraId="5149A8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Бюро переданное в состав Треста “</w:t>
      </w:r>
      <w:proofErr w:type="spellStart"/>
      <w:r w:rsidRPr="00A259BD">
        <w:rPr>
          <w:rFonts w:ascii="Times New Roman" w:hAnsi="Times New Roman"/>
          <w:color w:val="000000" w:themeColor="text1"/>
          <w:sz w:val="16"/>
          <w:szCs w:val="16"/>
        </w:rPr>
        <w:t>Главлаборснабжение</w:t>
      </w:r>
      <w:proofErr w:type="spellEnd"/>
      <w:r w:rsidRPr="00A259BD">
        <w:rPr>
          <w:rFonts w:ascii="Times New Roman" w:hAnsi="Times New Roman"/>
          <w:color w:val="000000" w:themeColor="text1"/>
          <w:sz w:val="16"/>
          <w:szCs w:val="16"/>
        </w:rPr>
        <w:t>” было с 1 октября 1929 года реорганизовано в завод с присвоением наименования завод “</w:t>
      </w:r>
      <w:proofErr w:type="spellStart"/>
      <w:r w:rsidRPr="00A259BD">
        <w:rPr>
          <w:rFonts w:ascii="Times New Roman" w:hAnsi="Times New Roman"/>
          <w:color w:val="000000" w:themeColor="text1"/>
          <w:sz w:val="16"/>
          <w:szCs w:val="16"/>
        </w:rPr>
        <w:t>Термоэлектроприбор</w:t>
      </w:r>
      <w:proofErr w:type="spellEnd"/>
      <w:r w:rsidRPr="00A259BD">
        <w:rPr>
          <w:rFonts w:ascii="Times New Roman" w:hAnsi="Times New Roman"/>
          <w:color w:val="000000" w:themeColor="text1"/>
          <w:sz w:val="16"/>
          <w:szCs w:val="16"/>
        </w:rPr>
        <w:t>”, впоследствии переименованный в завод “Пирометр”.</w:t>
      </w:r>
    </w:p>
    <w:p w14:paraId="11C739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организацией НКОП завод вошел в состав НКОП и ему был присвоен № 218.</w:t>
      </w:r>
    </w:p>
    <w:p w14:paraId="22E821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последствии с организацией НКАП завод был передан в НКАП. До второй половины 1932 года завод размещался на ул. Красной связи (бывш. Виленский пер.), д. 17а и занимал здание бывш. Офицерского собрания. В 1932 году в состав завода был передан национализированный частный завод “ПРЭН” (владелец инженер Паршин), производивший аналогичные приборы теплотехнического контроля и помещавшийся по Можайской ул., д. 47.</w:t>
      </w:r>
    </w:p>
    <w:p w14:paraId="3E5061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базе переданного завода “ПРЭН” было организовано производство лабораторных электропечей, впоследствии переданное на организованный завод № 278 НКОП (Ленинград, ул. Плеханова, д. 5). В 1932 году завод в полном составе переводится в предоставленные помещения на ул. </w:t>
      </w:r>
      <w:proofErr w:type="spellStart"/>
      <w:r w:rsidRPr="00A259BD">
        <w:rPr>
          <w:rFonts w:ascii="Times New Roman" w:hAnsi="Times New Roman"/>
          <w:color w:val="000000" w:themeColor="text1"/>
          <w:sz w:val="16"/>
          <w:szCs w:val="16"/>
        </w:rPr>
        <w:t>скороходова</w:t>
      </w:r>
      <w:proofErr w:type="spellEnd"/>
      <w:r w:rsidRPr="00A259BD">
        <w:rPr>
          <w:rFonts w:ascii="Times New Roman" w:hAnsi="Times New Roman"/>
          <w:color w:val="000000" w:themeColor="text1"/>
          <w:sz w:val="16"/>
          <w:szCs w:val="16"/>
        </w:rPr>
        <w:t xml:space="preserve">, полностью освобождая здания по </w:t>
      </w:r>
      <w:proofErr w:type="spellStart"/>
      <w:r w:rsidRPr="00A259BD">
        <w:rPr>
          <w:rFonts w:ascii="Times New Roman" w:hAnsi="Times New Roman"/>
          <w:color w:val="000000" w:themeColor="text1"/>
          <w:sz w:val="16"/>
          <w:szCs w:val="16"/>
        </w:rPr>
        <w:t>улю</w:t>
      </w:r>
      <w:proofErr w:type="spellEnd"/>
      <w:r w:rsidRPr="00A259BD">
        <w:rPr>
          <w:rFonts w:ascii="Times New Roman" w:hAnsi="Times New Roman"/>
          <w:color w:val="000000" w:themeColor="text1"/>
          <w:sz w:val="16"/>
          <w:szCs w:val="16"/>
        </w:rPr>
        <w:t xml:space="preserve"> Красной связи, д. 17а, передав таковое в ведение и эксплуатацию Особого конструкторского бюро “ОСКОНБЮРО”. В течение 1929-1936 гг. завод производил указывающие пирометрические приборы, милливольтметры, термопары и лабораторные электропечи. В 1937 году по решению Правительства заводу было передано производство электроизмерительных приборов с Ленинградского завода “Электроприбор” (завод № 212). К началу 1940 года завод производил приборы: авиационные, морские, для танков, военной связи, теплотехнического контроля и электроизмерительные. В июле-августе 1941 года 30% личного состава и оборудования завода были эвакуированы в Казань на площадку фабрики “Кинопленка”, в 1942 году этой части завода был присвоен № 448, которая по окончании ВОВ была реэвакуирована в Ленинград на площадку бывш. завода № 47 (Корпусной проезд, д. 1).</w:t>
      </w:r>
    </w:p>
    <w:p w14:paraId="2CC4CF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Оставшаяся в Ленинграде часть (70%) личного состава и оборудования в 1942 году была эвакуирована на площадку завода № 279 в Раменское Московской области. В октябре 1941 года завод № 279 из Раменского был эвакуирован в Ижевск и в 1945 году расформирован.</w:t>
      </w:r>
    </w:p>
    <w:p w14:paraId="154F21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нахождению завода в </w:t>
      </w:r>
      <w:proofErr w:type="spellStart"/>
      <w:r w:rsidRPr="00A259BD">
        <w:rPr>
          <w:rFonts w:ascii="Times New Roman" w:hAnsi="Times New Roman"/>
          <w:color w:val="000000" w:themeColor="text1"/>
          <w:sz w:val="16"/>
          <w:szCs w:val="16"/>
        </w:rPr>
        <w:t>Раменсокм</w:t>
      </w:r>
      <w:proofErr w:type="spellEnd"/>
      <w:r w:rsidRPr="00A259BD">
        <w:rPr>
          <w:rFonts w:ascii="Times New Roman" w:hAnsi="Times New Roman"/>
          <w:color w:val="000000" w:themeColor="text1"/>
          <w:sz w:val="16"/>
          <w:szCs w:val="16"/>
        </w:rPr>
        <w:t xml:space="preserve"> ему был присвоен № 149. В этот период завод производил: авиационные, танковые и частично приборы теплотехнического контроля. Производство электроизмерительных приборов было передано на организованный завод 3 295. В апреле 1945 года по решению Правительства производство приборов теплотехнического контроля было реэвакуировано в Ленинград на старую площадку завода № 218.</w:t>
      </w:r>
    </w:p>
    <w:p w14:paraId="17D2F8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Адрес: Ленинград П-61, ул. Скороходова, д. 16</w:t>
      </w:r>
    </w:p>
    <w:p w14:paraId="139F77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Производственный профиль – приборостроение (агрегаты и приборы ракетной, авиационной, военной техники и гироскопические приборы) (9839).</w:t>
      </w:r>
    </w:p>
    <w:p w14:paraId="67C9E7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7C85F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октябре 1929 года было принято решение СТО о постройке авиазавода в Воронеже вблизи ст. Придача </w:t>
      </w:r>
      <w:proofErr w:type="spellStart"/>
      <w:r w:rsidRPr="00A259BD">
        <w:rPr>
          <w:rFonts w:ascii="Times New Roman" w:hAnsi="Times New Roman"/>
          <w:color w:val="000000" w:themeColor="text1"/>
          <w:sz w:val="16"/>
          <w:szCs w:val="16"/>
        </w:rPr>
        <w:t>ЮВж</w:t>
      </w:r>
      <w:proofErr w:type="spellEnd"/>
      <w:r w:rsidRPr="00A259BD">
        <w:rPr>
          <w:rFonts w:ascii="Times New Roman" w:hAnsi="Times New Roman"/>
          <w:color w:val="000000" w:themeColor="text1"/>
          <w:sz w:val="16"/>
          <w:szCs w:val="16"/>
        </w:rPr>
        <w:t>/д. Первый директор завода – Ляховский К.С. , он же начальник Особой строительной конторы – с 1930 года. В апреле 1931 года началась закладка первых крупных зданий и сооружений. В апреле 1932 года был сдан в эксплуатацию первый производственный корпус и начато производство первых деталей самолета ТБ-3 гл. конструктора Туполева. К концу 1934 года завод выпустил первые пять самолетов ТБ-3. С этого года начался выпуск боевых самолетов. С 1935 по 1941 гг. продолжалось интенсивное строительство завода. В первых числах октября 1941 года завод № 18 вместе с коллективом был эвакуирован в Куйбышев. В ноябре 1941 года эвакуация была закончена. За период с 1934 по ноябрь 1941 года завод выпускал: 1934 год – ТБ-3, 5 самолетов гл. конструктора Туполева 1935 год – подготовка производства к новому изделию 1936 год – РД, 14 самолетов гл. конструктора Туполева 1937 год – ДБ-3А, 12 самолетов гл. конструктора С.В.И. 1938 год - ДБ-3А, 204 самолета гл. конструктора С.В.И. 1939 год - ДБ-3А, 155 самолетов гл. конструктора С.В.И. 1940 год - ДБ-3Ф, 808 самолетов гл. конструктора С.В.И. 1941 год - ДБ-3Ф, 329 самолетов гл. конструктора С.В.И. 1941 год – ИЛ-2, 1510 самолетов гл. конструктора С.В.И. 1941 год – “Н” ЕР-2, 70 самолетов гл. конструктора Ермолаева</w:t>
      </w:r>
    </w:p>
    <w:p w14:paraId="6CF786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эвакуации завода № 18 им. Ворошилова в Куйбышев в декабре 1941 года на бывш. площадке завода № 18 в Воронеже был организован филиал завода № 18 по ремонту фронтовых самолетов ИЛ-2 и У-2. В январе 1942 года по приказу КО Юго-западного фронта на площадке базы филиала завода № 18 в Воронеже была организована ремонтная база по ремонту фронтовых самолетов ИЛ-2 и У-2 подчиняющаяся Юго-западному фронту, а также Юго-западным фронтом на площадке бывш. завода № 18 был организован авторемонтный завод № 45. В феврале 1942 года в филиал завода № 18 влился эшелон рабочих и ИТР завода № 135 из Харькова.</w:t>
      </w:r>
    </w:p>
    <w:p w14:paraId="6EFF32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приказу МАП на базе площадки завода № 18 в Воронеже был организован ремонтный завод № 450 по ремонту фронтовых самолетов всех типов и марок, который существовал до 5 июля 1942 года, до дня занятия правобережного Воронежа немцами.</w:t>
      </w:r>
    </w:p>
    <w:p w14:paraId="4F2FC0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приказу ГКО завод № 450 (коллектив и оборудование) был эвакуирован в Пензу и влился в коллектив завода № 163. 12 апреля 1943 года согласно приказа МАП за № 209 на базе бывш. завода № 18 и на его территории был организован завод № 64, расположенный в Воронеже по ул. Циолковского, как самолеторемонтный завод.</w:t>
      </w:r>
    </w:p>
    <w:p w14:paraId="75E622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1943 году завод № 64 имел задачу восстановления и ремонта всех типов самолетов, как на заводе, так и в воинских частях, действующих на ближних фронтах. Согласно приказа МАП за № 121 от 21 февраля 1944 года завод № 64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 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w:t>
      </w:r>
      <w:proofErr w:type="spellStart"/>
      <w:r w:rsidRPr="00A259BD">
        <w:rPr>
          <w:rFonts w:ascii="Times New Roman" w:hAnsi="Times New Roman"/>
          <w:color w:val="000000" w:themeColor="text1"/>
          <w:sz w:val="16"/>
          <w:szCs w:val="16"/>
        </w:rPr>
        <w:t>обеспчеить</w:t>
      </w:r>
      <w:proofErr w:type="spellEnd"/>
      <w:r w:rsidRPr="00A259BD">
        <w:rPr>
          <w:rFonts w:ascii="Times New Roman" w:hAnsi="Times New Roman"/>
          <w:color w:val="000000" w:themeColor="text1"/>
          <w:sz w:val="16"/>
          <w:szCs w:val="16"/>
        </w:rPr>
        <w:t xml:space="preserve"> освоение сборки этого самолета. В течение 1946 и 1947 гг. заводом освоены следующие агрегаты:</w:t>
      </w:r>
    </w:p>
    <w:p w14:paraId="18BB33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хвостовая часть фюзеляжа;</w:t>
      </w:r>
    </w:p>
    <w:p w14:paraId="60AFE2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оперение;</w:t>
      </w:r>
    </w:p>
    <w:p w14:paraId="569E25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шасси.</w:t>
      </w:r>
    </w:p>
    <w:p w14:paraId="0C145F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04A38F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Постановлением СМ за № 1890-700сс от 14 мая 1949 года и приказом министра авиапромышленности за № 374сс/</w:t>
      </w:r>
      <w:proofErr w:type="spellStart"/>
      <w:r w:rsidRPr="00A259BD">
        <w:rPr>
          <w:rFonts w:ascii="Times New Roman" w:hAnsi="Times New Roman"/>
          <w:color w:val="000000" w:themeColor="text1"/>
          <w:sz w:val="16"/>
          <w:szCs w:val="16"/>
        </w:rPr>
        <w:t>ов</w:t>
      </w:r>
      <w:proofErr w:type="spellEnd"/>
      <w:r w:rsidRPr="00A259BD">
        <w:rPr>
          <w:rFonts w:ascii="Times New Roman" w:hAnsi="Times New Roman"/>
          <w:color w:val="000000" w:themeColor="text1"/>
          <w:sz w:val="16"/>
          <w:szCs w:val="16"/>
        </w:rPr>
        <w:t xml:space="preserve">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11B886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6EFD0A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7C9824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w:t>
      </w:r>
    </w:p>
    <w:p w14:paraId="73D025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 Директор – Белявский</w:t>
      </w:r>
    </w:p>
    <w:p w14:paraId="1347EB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Производственный профиль – самолет Ан-10 конструкции Антонова</w:t>
      </w:r>
    </w:p>
    <w:p w14:paraId="492B94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Характеристика аэродрома завода</w:t>
      </w:r>
    </w:p>
    <w:p w14:paraId="27F22F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11110B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E12DD6" w14:textId="77777777" w:rsidR="00E46367" w:rsidRPr="00A259BD" w:rsidRDefault="00E4636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года в Ленинграде был взят под стражу бывший сотрудник ОМОС </w:t>
      </w:r>
      <w:hyperlink r:id="rId206" w:tooltip="Михельсон, Николай Густавович" w:history="1">
        <w:r w:rsidRPr="00A259BD">
          <w:rPr>
            <w:rStyle w:val="a5"/>
            <w:rFonts w:ascii="Times New Roman" w:hAnsi="Times New Roman"/>
            <w:color w:val="000000" w:themeColor="text1"/>
            <w:sz w:val="16"/>
            <w:szCs w:val="16"/>
            <w:u w:val="none"/>
          </w:rPr>
          <w:t>Н. Г. Михельсон</w:t>
        </w:r>
      </w:hyperlink>
      <w:r w:rsidRPr="00A259BD">
        <w:rPr>
          <w:rFonts w:ascii="Times New Roman" w:hAnsi="Times New Roman"/>
          <w:color w:val="000000" w:themeColor="text1"/>
          <w:sz w:val="16"/>
          <w:szCs w:val="16"/>
        </w:rPr>
        <w:t>, который был соавтором первых летающих лодок Д. П. Григоровича, построенных на заводе «Гамаюн». В Москве взяли начальника ОСС </w:t>
      </w:r>
      <w:hyperlink r:id="rId207" w:tooltip="Поликарпов, Николай Николаевич" w:history="1">
        <w:r w:rsidRPr="00A259BD">
          <w:rPr>
            <w:rStyle w:val="a5"/>
            <w:rFonts w:ascii="Times New Roman" w:hAnsi="Times New Roman"/>
            <w:color w:val="000000" w:themeColor="text1"/>
            <w:sz w:val="16"/>
            <w:szCs w:val="16"/>
            <w:u w:val="none"/>
          </w:rPr>
          <w:t>Н. Н. Поликарпова</w:t>
        </w:r>
      </w:hyperlink>
      <w:r w:rsidRPr="00A259BD">
        <w:rPr>
          <w:rFonts w:ascii="Times New Roman" w:hAnsi="Times New Roman"/>
          <w:color w:val="000000" w:themeColor="text1"/>
          <w:sz w:val="16"/>
          <w:szCs w:val="16"/>
        </w:rPr>
        <w:t> и его сослуживцев — И. М. Косткина, В. А. </w:t>
      </w:r>
      <w:proofErr w:type="spellStart"/>
      <w:r w:rsidRPr="00A259BD">
        <w:rPr>
          <w:rFonts w:ascii="Times New Roman" w:hAnsi="Times New Roman"/>
          <w:color w:val="000000" w:themeColor="text1"/>
          <w:sz w:val="16"/>
          <w:szCs w:val="16"/>
        </w:rPr>
        <w:t>Тисова</w:t>
      </w:r>
      <w:proofErr w:type="spellEnd"/>
      <w:r w:rsidRPr="00A259BD">
        <w:rPr>
          <w:rFonts w:ascii="Times New Roman" w:hAnsi="Times New Roman"/>
          <w:color w:val="000000" w:themeColor="text1"/>
          <w:sz w:val="16"/>
          <w:szCs w:val="16"/>
        </w:rPr>
        <w:t>, Е. И. </w:t>
      </w:r>
      <w:proofErr w:type="spellStart"/>
      <w:r w:rsidRPr="00A259BD">
        <w:rPr>
          <w:rFonts w:ascii="Times New Roman" w:hAnsi="Times New Roman"/>
          <w:color w:val="000000" w:themeColor="text1"/>
          <w:sz w:val="16"/>
          <w:szCs w:val="16"/>
        </w:rPr>
        <w:t>Майоранова</w:t>
      </w:r>
      <w:proofErr w:type="spellEnd"/>
      <w:r w:rsidRPr="00A259BD">
        <w:rPr>
          <w:rFonts w:ascii="Times New Roman" w:hAnsi="Times New Roman"/>
          <w:color w:val="000000" w:themeColor="text1"/>
          <w:sz w:val="16"/>
          <w:szCs w:val="16"/>
        </w:rPr>
        <w:t>, В. Ф. Гончарова, П. М. </w:t>
      </w:r>
      <w:proofErr w:type="spellStart"/>
      <w:r w:rsidRPr="00A259BD">
        <w:rPr>
          <w:rFonts w:ascii="Times New Roman" w:hAnsi="Times New Roman"/>
          <w:color w:val="000000" w:themeColor="text1"/>
          <w:sz w:val="16"/>
          <w:szCs w:val="16"/>
        </w:rPr>
        <w:t>Крейсона</w:t>
      </w:r>
      <w:proofErr w:type="spellEnd"/>
      <w:r w:rsidRPr="00A259BD">
        <w:rPr>
          <w:rFonts w:ascii="Times New Roman" w:hAnsi="Times New Roman"/>
          <w:color w:val="000000" w:themeColor="text1"/>
          <w:sz w:val="16"/>
          <w:szCs w:val="16"/>
        </w:rPr>
        <w:t>, В. В. Калинина. Несколько позже арестовали ведущего специалиста в СССР по самолетному вооружению А. В. </w:t>
      </w:r>
      <w:proofErr w:type="spellStart"/>
      <w:r w:rsidRPr="00A259BD">
        <w:rPr>
          <w:rFonts w:ascii="Times New Roman" w:hAnsi="Times New Roman"/>
          <w:color w:val="000000" w:themeColor="text1"/>
          <w:sz w:val="16"/>
          <w:szCs w:val="16"/>
        </w:rPr>
        <w:t>Надашкевича</w:t>
      </w:r>
      <w:proofErr w:type="spellEnd"/>
      <w:r w:rsidRPr="00A259BD">
        <w:rPr>
          <w:rFonts w:ascii="Times New Roman" w:hAnsi="Times New Roman"/>
          <w:color w:val="000000" w:themeColor="text1"/>
          <w:sz w:val="16"/>
          <w:szCs w:val="16"/>
        </w:rPr>
        <w:t xml:space="preserve">. Доказательствами их вины следователи теперь себя не утруждали. Судебные заседания коллегии ОГПУ начались уже в ноябре, и к декабрю все было закончено. Приговоры были самые разнообразные, но в отличие от группы Григоровича, без какой-либо ясной мотивации. Так, Н. Н. Поликарпов, которому </w:t>
      </w:r>
      <w:r w:rsidRPr="00A259BD">
        <w:rPr>
          <w:rFonts w:ascii="Times New Roman" w:hAnsi="Times New Roman"/>
          <w:color w:val="000000" w:themeColor="text1"/>
          <w:sz w:val="16"/>
          <w:szCs w:val="16"/>
        </w:rPr>
        <w:lastRenderedPageBreak/>
        <w:t>невозможно было предъявить и половины того, что было поставлено в вину Григоровичу, был тем не менее приговорен к расстрелу. Задача была простая. Тот процесс деморализации, которому фигуранты по делу Григоровича подвергались почти в течение года, новая партия заключенных должна была пройти ударными темпами за две — три недели. Когда подготовительный период был завершен и, с точки зрения «психологов» </w:t>
      </w:r>
      <w:hyperlink r:id="rId208" w:tooltip="ОГПУ при СНК СССР" w:history="1">
        <w:r w:rsidRPr="00A259BD">
          <w:rPr>
            <w:rStyle w:val="a5"/>
            <w:rFonts w:ascii="Times New Roman" w:hAnsi="Times New Roman"/>
            <w:color w:val="000000" w:themeColor="text1"/>
            <w:sz w:val="16"/>
            <w:szCs w:val="16"/>
            <w:u w:val="none"/>
          </w:rPr>
          <w:t>ОГПУ</w:t>
        </w:r>
      </w:hyperlink>
      <w:r w:rsidRPr="00A259BD">
        <w:rPr>
          <w:rFonts w:ascii="Times New Roman" w:hAnsi="Times New Roman"/>
          <w:color w:val="000000" w:themeColor="text1"/>
          <w:sz w:val="16"/>
          <w:szCs w:val="16"/>
        </w:rPr>
        <w:t>, коллектив (где все пока сидели по одиночным камерам и даже не догадывались, что они члены коллектива) был полностью готов к «творческим свершениям», в последний осенний день 1929 года произошло рождение первого отечественного Особого конструкторского бюро (ОКБ ОГПУ), или иначе — </w:t>
      </w:r>
      <w:hyperlink r:id="rId209" w:tooltip="Шарашка" w:history="1">
        <w:r w:rsidRPr="00A259BD">
          <w:rPr>
            <w:rStyle w:val="a5"/>
            <w:rFonts w:ascii="Times New Roman" w:hAnsi="Times New Roman"/>
            <w:color w:val="000000" w:themeColor="text1"/>
            <w:sz w:val="16"/>
            <w:szCs w:val="16"/>
            <w:u w:val="none"/>
          </w:rPr>
          <w:t>«шараги»</w:t>
        </w:r>
      </w:hyperlink>
      <w:r w:rsidRPr="00A259BD">
        <w:rPr>
          <w:rFonts w:ascii="Times New Roman" w:hAnsi="Times New Roman"/>
          <w:color w:val="000000" w:themeColor="text1"/>
          <w:sz w:val="16"/>
          <w:szCs w:val="16"/>
        </w:rPr>
        <w:t xml:space="preserve"> (18530).</w:t>
      </w:r>
    </w:p>
    <w:p w14:paraId="3AA85537" w14:textId="77777777" w:rsidR="00E46367" w:rsidRPr="00A259BD" w:rsidRDefault="00E46367" w:rsidP="009236E3">
      <w:pPr>
        <w:spacing w:after="0" w:line="240" w:lineRule="auto"/>
        <w:jc w:val="both"/>
        <w:rPr>
          <w:rFonts w:ascii="Times New Roman" w:hAnsi="Times New Roman"/>
          <w:color w:val="000000" w:themeColor="text1"/>
          <w:sz w:val="16"/>
          <w:szCs w:val="16"/>
        </w:rPr>
      </w:pPr>
    </w:p>
    <w:p w14:paraId="66D9FD1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3CF3A9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0078786"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г. была подготовлена справка РЗ СТО об ассигнованиях на оборону на 1929/30 г., которая носит следы своеобразного компромисса.</w:t>
      </w:r>
    </w:p>
    <w:p w14:paraId="4BE70342"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Ассигнования на оборону в 1927/28-1929/30 гг. (</w:t>
      </w:r>
      <w:proofErr w:type="spellStart"/>
      <w:r w:rsidRPr="00A259BD">
        <w:rPr>
          <w:rFonts w:ascii="Times New Roman" w:hAnsi="Times New Roman"/>
          <w:color w:val="000000" w:themeColor="text1"/>
          <w:sz w:val="16"/>
          <w:szCs w:val="16"/>
        </w:rPr>
        <w:t>тыс</w:t>
      </w:r>
      <w:proofErr w:type="spellEnd"/>
      <w:r w:rsidRPr="00A259BD">
        <w:rPr>
          <w:rFonts w:ascii="Times New Roman" w:hAnsi="Times New Roman"/>
          <w:color w:val="000000" w:themeColor="text1"/>
          <w:sz w:val="16"/>
          <w:szCs w:val="16"/>
        </w:rPr>
        <w:t xml:space="preserve"> руб.)</w:t>
      </w:r>
    </w:p>
    <w:tbl>
      <w:tblPr>
        <w:tblW w:w="0" w:type="auto"/>
        <w:tblInd w:w="5" w:type="dxa"/>
        <w:shd w:val="clear" w:color="auto" w:fill="FFFFFF"/>
        <w:tblCellMar>
          <w:left w:w="0" w:type="dxa"/>
          <w:right w:w="0" w:type="dxa"/>
        </w:tblCellMar>
        <w:tblLook w:val="04A0" w:firstRow="1" w:lastRow="0" w:firstColumn="1" w:lastColumn="0" w:noHBand="0" w:noVBand="1"/>
      </w:tblPr>
      <w:tblGrid>
        <w:gridCol w:w="1570"/>
        <w:gridCol w:w="835"/>
        <w:gridCol w:w="840"/>
        <w:gridCol w:w="965"/>
        <w:gridCol w:w="1075"/>
        <w:gridCol w:w="1090"/>
      </w:tblGrid>
      <w:tr w:rsidR="00A259BD" w:rsidRPr="00A259BD" w14:paraId="0EF957B1" w14:textId="77777777" w:rsidTr="001C3F77">
        <w:trPr>
          <w:trHeight w:val="1085"/>
        </w:trPr>
        <w:tc>
          <w:tcPr>
            <w:tcW w:w="1570" w:type="dxa"/>
            <w:tcBorders>
              <w:top w:val="single" w:sz="8" w:space="0" w:color="auto"/>
              <w:left w:val="single" w:sz="8" w:space="0" w:color="auto"/>
              <w:bottom w:val="nil"/>
              <w:right w:val="nil"/>
            </w:tcBorders>
            <w:shd w:val="clear" w:color="auto" w:fill="FFFFFF"/>
            <w:hideMark/>
          </w:tcPr>
          <w:p w14:paraId="7874E42C"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835" w:type="dxa"/>
            <w:tcBorders>
              <w:top w:val="single" w:sz="8" w:space="0" w:color="auto"/>
              <w:left w:val="single" w:sz="8" w:space="0" w:color="auto"/>
              <w:bottom w:val="nil"/>
              <w:right w:val="nil"/>
            </w:tcBorders>
            <w:shd w:val="clear" w:color="auto" w:fill="FFFFFF"/>
            <w:vAlign w:val="center"/>
            <w:hideMark/>
          </w:tcPr>
          <w:p w14:paraId="37626D16"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1927/28</w:t>
            </w:r>
          </w:p>
        </w:tc>
        <w:tc>
          <w:tcPr>
            <w:tcW w:w="840" w:type="dxa"/>
            <w:tcBorders>
              <w:top w:val="single" w:sz="8" w:space="0" w:color="auto"/>
              <w:left w:val="single" w:sz="8" w:space="0" w:color="auto"/>
              <w:bottom w:val="nil"/>
              <w:right w:val="nil"/>
            </w:tcBorders>
            <w:shd w:val="clear" w:color="auto" w:fill="FFFFFF"/>
            <w:vAlign w:val="center"/>
            <w:hideMark/>
          </w:tcPr>
          <w:p w14:paraId="55FFBDA2"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1928/29</w:t>
            </w:r>
          </w:p>
        </w:tc>
        <w:tc>
          <w:tcPr>
            <w:tcW w:w="965" w:type="dxa"/>
            <w:tcBorders>
              <w:top w:val="single" w:sz="8" w:space="0" w:color="auto"/>
              <w:left w:val="single" w:sz="8" w:space="0" w:color="auto"/>
              <w:bottom w:val="nil"/>
              <w:right w:val="nil"/>
            </w:tcBorders>
            <w:shd w:val="clear" w:color="auto" w:fill="FFFFFF"/>
            <w:vAlign w:val="center"/>
            <w:hideMark/>
          </w:tcPr>
          <w:p w14:paraId="4F1AC51F"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Заявка ве</w:t>
            </w:r>
            <w:r w:rsidRPr="00A259BD">
              <w:rPr>
                <w:rFonts w:ascii="Times New Roman" w:hAnsi="Times New Roman"/>
                <w:color w:val="000000" w:themeColor="text1"/>
                <w:sz w:val="16"/>
                <w:szCs w:val="16"/>
              </w:rPr>
              <w:softHyphen/>
              <w:t>домств на 1929/30 г.</w:t>
            </w:r>
          </w:p>
        </w:tc>
        <w:tc>
          <w:tcPr>
            <w:tcW w:w="1075" w:type="dxa"/>
            <w:tcBorders>
              <w:top w:val="single" w:sz="8" w:space="0" w:color="auto"/>
              <w:left w:val="single" w:sz="8" w:space="0" w:color="auto"/>
              <w:bottom w:val="nil"/>
              <w:right w:val="nil"/>
            </w:tcBorders>
            <w:shd w:val="clear" w:color="auto" w:fill="FFFFFF"/>
            <w:vAlign w:val="center"/>
            <w:hideMark/>
          </w:tcPr>
          <w:p w14:paraId="510904DC"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пятилет</w:t>
            </w:r>
            <w:r w:rsidRPr="00A259BD">
              <w:rPr>
                <w:rFonts w:ascii="Times New Roman" w:hAnsi="Times New Roman"/>
                <w:color w:val="000000" w:themeColor="text1"/>
                <w:sz w:val="16"/>
                <w:szCs w:val="16"/>
              </w:rPr>
              <w:softHyphen/>
              <w:t>ке Госплана (закреплено за СО на 1929/30 г.)</w:t>
            </w:r>
          </w:p>
        </w:tc>
        <w:tc>
          <w:tcPr>
            <w:tcW w:w="1090" w:type="dxa"/>
            <w:tcBorders>
              <w:top w:val="single" w:sz="8" w:space="0" w:color="auto"/>
              <w:left w:val="single" w:sz="8" w:space="0" w:color="auto"/>
              <w:bottom w:val="nil"/>
              <w:right w:val="single" w:sz="8" w:space="0" w:color="auto"/>
            </w:tcBorders>
            <w:shd w:val="clear" w:color="auto" w:fill="FFFFFF"/>
            <w:vAlign w:val="center"/>
            <w:hideMark/>
          </w:tcPr>
          <w:p w14:paraId="620C5A84"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Принято правитель</w:t>
            </w:r>
            <w:r w:rsidRPr="00A259BD">
              <w:rPr>
                <w:rFonts w:ascii="Times New Roman" w:hAnsi="Times New Roman"/>
                <w:color w:val="000000" w:themeColor="text1"/>
                <w:sz w:val="16"/>
                <w:szCs w:val="16"/>
              </w:rPr>
              <w:softHyphen/>
              <w:t>ством на 1929/30 г.</w:t>
            </w:r>
          </w:p>
        </w:tc>
      </w:tr>
      <w:tr w:rsidR="00A259BD" w:rsidRPr="00A259BD" w14:paraId="2CEED210" w14:textId="77777777" w:rsidTr="001C3F77">
        <w:trPr>
          <w:trHeight w:val="946"/>
        </w:trPr>
        <w:tc>
          <w:tcPr>
            <w:tcW w:w="1570" w:type="dxa"/>
            <w:tcBorders>
              <w:top w:val="single" w:sz="8" w:space="0" w:color="auto"/>
              <w:left w:val="single" w:sz="8" w:space="0" w:color="auto"/>
              <w:bottom w:val="nil"/>
              <w:right w:val="nil"/>
            </w:tcBorders>
            <w:shd w:val="clear" w:color="auto" w:fill="FFFFFF"/>
            <w:vAlign w:val="center"/>
            <w:hideMark/>
          </w:tcPr>
          <w:p w14:paraId="0EA5DDB2"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НКВМ</w:t>
            </w:r>
          </w:p>
        </w:tc>
        <w:tc>
          <w:tcPr>
            <w:tcW w:w="835" w:type="dxa"/>
            <w:tcBorders>
              <w:top w:val="single" w:sz="8" w:space="0" w:color="auto"/>
              <w:left w:val="single" w:sz="8" w:space="0" w:color="auto"/>
              <w:bottom w:val="nil"/>
              <w:right w:val="nil"/>
            </w:tcBorders>
            <w:shd w:val="clear" w:color="auto" w:fill="FFFFFF"/>
            <w:vAlign w:val="center"/>
            <w:hideMark/>
          </w:tcPr>
          <w:p w14:paraId="0C36B894"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742 385</w:t>
            </w:r>
          </w:p>
        </w:tc>
        <w:tc>
          <w:tcPr>
            <w:tcW w:w="840" w:type="dxa"/>
            <w:tcBorders>
              <w:top w:val="single" w:sz="8" w:space="0" w:color="auto"/>
              <w:left w:val="single" w:sz="8" w:space="0" w:color="auto"/>
              <w:bottom w:val="nil"/>
              <w:right w:val="nil"/>
            </w:tcBorders>
            <w:shd w:val="clear" w:color="auto" w:fill="FFFFFF"/>
            <w:vAlign w:val="center"/>
            <w:hideMark/>
          </w:tcPr>
          <w:p w14:paraId="2A53C11C"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850 700</w:t>
            </w:r>
          </w:p>
        </w:tc>
        <w:tc>
          <w:tcPr>
            <w:tcW w:w="965" w:type="dxa"/>
            <w:tcBorders>
              <w:top w:val="single" w:sz="8" w:space="0" w:color="auto"/>
              <w:left w:val="single" w:sz="8" w:space="0" w:color="auto"/>
              <w:bottom w:val="nil"/>
              <w:right w:val="nil"/>
            </w:tcBorders>
            <w:shd w:val="clear" w:color="auto" w:fill="FFFFFF"/>
            <w:vAlign w:val="center"/>
            <w:hideMark/>
          </w:tcPr>
          <w:p w14:paraId="6A24239D"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1 180 000</w:t>
            </w:r>
          </w:p>
        </w:tc>
        <w:tc>
          <w:tcPr>
            <w:tcW w:w="1075" w:type="dxa"/>
            <w:tcBorders>
              <w:top w:val="single" w:sz="8" w:space="0" w:color="auto"/>
              <w:left w:val="single" w:sz="8" w:space="0" w:color="auto"/>
              <w:bottom w:val="nil"/>
              <w:right w:val="nil"/>
            </w:tcBorders>
            <w:shd w:val="clear" w:color="auto" w:fill="FFFFFF"/>
            <w:vAlign w:val="center"/>
            <w:hideMark/>
          </w:tcPr>
          <w:p w14:paraId="07773314"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900 000/ 978 000</w:t>
            </w:r>
          </w:p>
        </w:tc>
        <w:tc>
          <w:tcPr>
            <w:tcW w:w="1090" w:type="dxa"/>
            <w:tcBorders>
              <w:top w:val="single" w:sz="8" w:space="0" w:color="auto"/>
              <w:left w:val="single" w:sz="8" w:space="0" w:color="auto"/>
              <w:bottom w:val="nil"/>
              <w:right w:val="single" w:sz="8" w:space="0" w:color="auto"/>
            </w:tcBorders>
            <w:shd w:val="clear" w:color="auto" w:fill="FFFFFF"/>
            <w:vAlign w:val="center"/>
            <w:hideMark/>
          </w:tcPr>
          <w:p w14:paraId="02EF2F1B"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985 000/ 995 000 (не оконча</w:t>
            </w:r>
            <w:r w:rsidRPr="00A259BD">
              <w:rPr>
                <w:rFonts w:ascii="Times New Roman" w:hAnsi="Times New Roman"/>
                <w:color w:val="000000" w:themeColor="text1"/>
                <w:sz w:val="16"/>
                <w:szCs w:val="16"/>
              </w:rPr>
              <w:softHyphen/>
              <w:t>тельно)</w:t>
            </w:r>
          </w:p>
        </w:tc>
      </w:tr>
      <w:tr w:rsidR="00A259BD" w:rsidRPr="00A259BD" w14:paraId="06D1A234" w14:textId="77777777" w:rsidTr="001C3F77">
        <w:trPr>
          <w:trHeight w:val="470"/>
        </w:trPr>
        <w:tc>
          <w:tcPr>
            <w:tcW w:w="1570" w:type="dxa"/>
            <w:tcBorders>
              <w:top w:val="nil"/>
              <w:left w:val="single" w:sz="8" w:space="0" w:color="auto"/>
              <w:bottom w:val="nil"/>
              <w:right w:val="nil"/>
            </w:tcBorders>
            <w:shd w:val="clear" w:color="auto" w:fill="FFFFFF"/>
            <w:vAlign w:val="center"/>
            <w:hideMark/>
          </w:tcPr>
          <w:p w14:paraId="60FD6C94"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ОГПУ</w:t>
            </w:r>
          </w:p>
        </w:tc>
        <w:tc>
          <w:tcPr>
            <w:tcW w:w="835" w:type="dxa"/>
            <w:tcBorders>
              <w:top w:val="nil"/>
              <w:left w:val="single" w:sz="8" w:space="0" w:color="auto"/>
              <w:bottom w:val="nil"/>
              <w:right w:val="nil"/>
            </w:tcBorders>
            <w:shd w:val="clear" w:color="auto" w:fill="FFFFFF"/>
            <w:vAlign w:val="center"/>
            <w:hideMark/>
          </w:tcPr>
          <w:p w14:paraId="753B6685"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49 400</w:t>
            </w:r>
          </w:p>
        </w:tc>
        <w:tc>
          <w:tcPr>
            <w:tcW w:w="840" w:type="dxa"/>
            <w:tcBorders>
              <w:top w:val="nil"/>
              <w:left w:val="single" w:sz="8" w:space="0" w:color="auto"/>
              <w:bottom w:val="nil"/>
              <w:right w:val="nil"/>
            </w:tcBorders>
            <w:shd w:val="clear" w:color="auto" w:fill="FFFFFF"/>
            <w:vAlign w:val="center"/>
            <w:hideMark/>
          </w:tcPr>
          <w:p w14:paraId="02D8E6B8"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55 400</w:t>
            </w:r>
          </w:p>
        </w:tc>
        <w:tc>
          <w:tcPr>
            <w:tcW w:w="965" w:type="dxa"/>
            <w:tcBorders>
              <w:top w:val="nil"/>
              <w:left w:val="single" w:sz="8" w:space="0" w:color="auto"/>
              <w:bottom w:val="nil"/>
              <w:right w:val="nil"/>
            </w:tcBorders>
            <w:shd w:val="clear" w:color="auto" w:fill="FFFFFF"/>
            <w:vAlign w:val="center"/>
            <w:hideMark/>
          </w:tcPr>
          <w:p w14:paraId="5617D19F"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73 245</w:t>
            </w:r>
          </w:p>
        </w:tc>
        <w:tc>
          <w:tcPr>
            <w:tcW w:w="1075" w:type="dxa"/>
            <w:tcBorders>
              <w:top w:val="nil"/>
              <w:left w:val="single" w:sz="8" w:space="0" w:color="auto"/>
              <w:bottom w:val="nil"/>
              <w:right w:val="nil"/>
            </w:tcBorders>
            <w:shd w:val="clear" w:color="auto" w:fill="FFFFFF"/>
            <w:vAlign w:val="center"/>
            <w:hideMark/>
          </w:tcPr>
          <w:p w14:paraId="6AD1A41E"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80 000/ 90 000</w:t>
            </w:r>
          </w:p>
        </w:tc>
        <w:tc>
          <w:tcPr>
            <w:tcW w:w="1090" w:type="dxa"/>
            <w:tcBorders>
              <w:top w:val="nil"/>
              <w:left w:val="single" w:sz="8" w:space="0" w:color="auto"/>
              <w:bottom w:val="nil"/>
              <w:right w:val="single" w:sz="8" w:space="0" w:color="auto"/>
            </w:tcBorders>
            <w:shd w:val="clear" w:color="auto" w:fill="FFFFFF"/>
            <w:vAlign w:val="center"/>
            <w:hideMark/>
          </w:tcPr>
          <w:p w14:paraId="0791FE33"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66 000</w:t>
            </w:r>
          </w:p>
        </w:tc>
      </w:tr>
      <w:tr w:rsidR="00A259BD" w:rsidRPr="00A259BD" w14:paraId="2DD2462F" w14:textId="77777777" w:rsidTr="001C3F77">
        <w:trPr>
          <w:trHeight w:val="480"/>
        </w:trPr>
        <w:tc>
          <w:tcPr>
            <w:tcW w:w="1570" w:type="dxa"/>
            <w:tcBorders>
              <w:top w:val="nil"/>
              <w:left w:val="single" w:sz="8" w:space="0" w:color="auto"/>
              <w:bottom w:val="nil"/>
              <w:right w:val="nil"/>
            </w:tcBorders>
            <w:shd w:val="clear" w:color="auto" w:fill="FFFFFF"/>
            <w:vAlign w:val="center"/>
            <w:hideMark/>
          </w:tcPr>
          <w:p w14:paraId="334856CB"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ВСУ</w:t>
            </w:r>
          </w:p>
        </w:tc>
        <w:tc>
          <w:tcPr>
            <w:tcW w:w="835" w:type="dxa"/>
            <w:tcBorders>
              <w:top w:val="nil"/>
              <w:left w:val="single" w:sz="8" w:space="0" w:color="auto"/>
              <w:bottom w:val="nil"/>
              <w:right w:val="nil"/>
            </w:tcBorders>
            <w:shd w:val="clear" w:color="auto" w:fill="FFFFFF"/>
            <w:vAlign w:val="center"/>
            <w:hideMark/>
          </w:tcPr>
          <w:p w14:paraId="79368288"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21 300</w:t>
            </w:r>
          </w:p>
        </w:tc>
        <w:tc>
          <w:tcPr>
            <w:tcW w:w="840" w:type="dxa"/>
            <w:tcBorders>
              <w:top w:val="nil"/>
              <w:left w:val="single" w:sz="8" w:space="0" w:color="auto"/>
              <w:bottom w:val="nil"/>
              <w:right w:val="nil"/>
            </w:tcBorders>
            <w:shd w:val="clear" w:color="auto" w:fill="FFFFFF"/>
            <w:vAlign w:val="center"/>
            <w:hideMark/>
          </w:tcPr>
          <w:p w14:paraId="3B3AA4FA"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23 800</w:t>
            </w:r>
          </w:p>
        </w:tc>
        <w:tc>
          <w:tcPr>
            <w:tcW w:w="965" w:type="dxa"/>
            <w:tcBorders>
              <w:top w:val="nil"/>
              <w:left w:val="single" w:sz="8" w:space="0" w:color="auto"/>
              <w:bottom w:val="nil"/>
              <w:right w:val="nil"/>
            </w:tcBorders>
            <w:shd w:val="clear" w:color="auto" w:fill="FFFFFF"/>
            <w:vAlign w:val="center"/>
            <w:hideMark/>
          </w:tcPr>
          <w:p w14:paraId="53D7D12D"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41 860</w:t>
            </w:r>
          </w:p>
        </w:tc>
        <w:tc>
          <w:tcPr>
            <w:tcW w:w="1075" w:type="dxa"/>
            <w:tcBorders>
              <w:top w:val="nil"/>
              <w:left w:val="single" w:sz="8" w:space="0" w:color="auto"/>
              <w:bottom w:val="nil"/>
              <w:right w:val="nil"/>
            </w:tcBorders>
            <w:shd w:val="clear" w:color="auto" w:fill="FFFFFF"/>
            <w:vAlign w:val="center"/>
            <w:hideMark/>
          </w:tcPr>
          <w:p w14:paraId="19809AB2"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вместе с ОГПУ</w:t>
            </w:r>
          </w:p>
        </w:tc>
        <w:tc>
          <w:tcPr>
            <w:tcW w:w="1090" w:type="dxa"/>
            <w:tcBorders>
              <w:top w:val="nil"/>
              <w:left w:val="single" w:sz="8" w:space="0" w:color="auto"/>
              <w:bottom w:val="nil"/>
              <w:right w:val="single" w:sz="8" w:space="0" w:color="auto"/>
            </w:tcBorders>
            <w:shd w:val="clear" w:color="auto" w:fill="FFFFFF"/>
            <w:vAlign w:val="center"/>
            <w:hideMark/>
          </w:tcPr>
          <w:p w14:paraId="75BB4EFD"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29 800</w:t>
            </w:r>
          </w:p>
        </w:tc>
      </w:tr>
      <w:tr w:rsidR="00A259BD" w:rsidRPr="00A259BD" w14:paraId="7EAFC84A" w14:textId="77777777" w:rsidTr="001C3F77">
        <w:trPr>
          <w:trHeight w:val="494"/>
        </w:trPr>
        <w:tc>
          <w:tcPr>
            <w:tcW w:w="1570" w:type="dxa"/>
            <w:tcBorders>
              <w:top w:val="nil"/>
              <w:left w:val="single" w:sz="8" w:space="0" w:color="auto"/>
              <w:bottom w:val="nil"/>
              <w:right w:val="nil"/>
            </w:tcBorders>
            <w:shd w:val="clear" w:color="auto" w:fill="FFFFFF"/>
            <w:vAlign w:val="center"/>
            <w:hideMark/>
          </w:tcPr>
          <w:p w14:paraId="76DB3FBB" w14:textId="77777777" w:rsidR="00435068" w:rsidRPr="00A259BD" w:rsidRDefault="00435068"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ДотацииВоенпрому</w:t>
            </w:r>
            <w:proofErr w:type="spellEnd"/>
          </w:p>
        </w:tc>
        <w:tc>
          <w:tcPr>
            <w:tcW w:w="835" w:type="dxa"/>
            <w:tcBorders>
              <w:top w:val="nil"/>
              <w:left w:val="single" w:sz="8" w:space="0" w:color="auto"/>
              <w:bottom w:val="nil"/>
              <w:right w:val="nil"/>
            </w:tcBorders>
            <w:shd w:val="clear" w:color="auto" w:fill="FFFFFF"/>
            <w:vAlign w:val="center"/>
            <w:hideMark/>
          </w:tcPr>
          <w:p w14:paraId="5428CDC9"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51 100</w:t>
            </w:r>
          </w:p>
        </w:tc>
        <w:tc>
          <w:tcPr>
            <w:tcW w:w="840" w:type="dxa"/>
            <w:tcBorders>
              <w:top w:val="nil"/>
              <w:left w:val="single" w:sz="8" w:space="0" w:color="auto"/>
              <w:bottom w:val="nil"/>
              <w:right w:val="nil"/>
            </w:tcBorders>
            <w:shd w:val="clear" w:color="auto" w:fill="FFFFFF"/>
            <w:vAlign w:val="center"/>
            <w:hideMark/>
          </w:tcPr>
          <w:p w14:paraId="3C6B84BE"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80 000?</w:t>
            </w:r>
          </w:p>
        </w:tc>
        <w:tc>
          <w:tcPr>
            <w:tcW w:w="965" w:type="dxa"/>
            <w:tcBorders>
              <w:top w:val="nil"/>
              <w:left w:val="single" w:sz="8" w:space="0" w:color="auto"/>
              <w:bottom w:val="nil"/>
              <w:right w:val="nil"/>
            </w:tcBorders>
            <w:shd w:val="clear" w:color="auto" w:fill="FFFFFF"/>
            <w:vAlign w:val="center"/>
            <w:hideMark/>
          </w:tcPr>
          <w:p w14:paraId="03D03602"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234 000</w:t>
            </w:r>
          </w:p>
        </w:tc>
        <w:tc>
          <w:tcPr>
            <w:tcW w:w="1075" w:type="dxa"/>
            <w:tcBorders>
              <w:top w:val="nil"/>
              <w:left w:val="single" w:sz="8" w:space="0" w:color="auto"/>
              <w:bottom w:val="nil"/>
              <w:right w:val="nil"/>
            </w:tcBorders>
            <w:shd w:val="clear" w:color="auto" w:fill="FFFFFF"/>
            <w:vAlign w:val="center"/>
            <w:hideMark/>
          </w:tcPr>
          <w:p w14:paraId="65B49B0E"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90 000/ 120 000</w:t>
            </w:r>
          </w:p>
        </w:tc>
        <w:tc>
          <w:tcPr>
            <w:tcW w:w="1090" w:type="dxa"/>
            <w:tcBorders>
              <w:top w:val="nil"/>
              <w:left w:val="single" w:sz="8" w:space="0" w:color="auto"/>
              <w:bottom w:val="nil"/>
              <w:right w:val="single" w:sz="8" w:space="0" w:color="auto"/>
            </w:tcBorders>
            <w:shd w:val="clear" w:color="auto" w:fill="FFFFFF"/>
            <w:vAlign w:val="center"/>
            <w:hideMark/>
          </w:tcPr>
          <w:p w14:paraId="5CAD47FE"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155 000/ 124 000</w:t>
            </w:r>
          </w:p>
        </w:tc>
      </w:tr>
      <w:tr w:rsidR="00A259BD" w:rsidRPr="00A259BD" w14:paraId="51D00E51" w14:textId="77777777" w:rsidTr="001C3F77">
        <w:trPr>
          <w:trHeight w:val="461"/>
        </w:trPr>
        <w:tc>
          <w:tcPr>
            <w:tcW w:w="1570" w:type="dxa"/>
            <w:tcBorders>
              <w:top w:val="nil"/>
              <w:left w:val="single" w:sz="8" w:space="0" w:color="auto"/>
              <w:bottom w:val="nil"/>
              <w:right w:val="nil"/>
            </w:tcBorders>
            <w:shd w:val="clear" w:color="auto" w:fill="FFFFFF"/>
            <w:vAlign w:val="center"/>
            <w:hideMark/>
          </w:tcPr>
          <w:p w14:paraId="38A3CA1A"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НКПС</w:t>
            </w:r>
          </w:p>
        </w:tc>
        <w:tc>
          <w:tcPr>
            <w:tcW w:w="835" w:type="dxa"/>
            <w:tcBorders>
              <w:top w:val="nil"/>
              <w:left w:val="single" w:sz="8" w:space="0" w:color="auto"/>
              <w:bottom w:val="nil"/>
              <w:right w:val="nil"/>
            </w:tcBorders>
            <w:shd w:val="clear" w:color="auto" w:fill="FFFFFF"/>
            <w:vAlign w:val="center"/>
            <w:hideMark/>
          </w:tcPr>
          <w:p w14:paraId="7E8D0DCD"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90 000</w:t>
            </w:r>
          </w:p>
        </w:tc>
        <w:tc>
          <w:tcPr>
            <w:tcW w:w="840" w:type="dxa"/>
            <w:tcBorders>
              <w:top w:val="nil"/>
              <w:left w:val="single" w:sz="8" w:space="0" w:color="auto"/>
              <w:bottom w:val="nil"/>
              <w:right w:val="nil"/>
            </w:tcBorders>
            <w:shd w:val="clear" w:color="auto" w:fill="FFFFFF"/>
            <w:vAlign w:val="center"/>
            <w:hideMark/>
          </w:tcPr>
          <w:p w14:paraId="045760D2"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70 000</w:t>
            </w:r>
          </w:p>
        </w:tc>
        <w:tc>
          <w:tcPr>
            <w:tcW w:w="965" w:type="dxa"/>
            <w:tcBorders>
              <w:top w:val="nil"/>
              <w:left w:val="single" w:sz="8" w:space="0" w:color="auto"/>
              <w:bottom w:val="nil"/>
              <w:right w:val="nil"/>
            </w:tcBorders>
            <w:shd w:val="clear" w:color="auto" w:fill="FFFFFF"/>
            <w:vAlign w:val="center"/>
            <w:hideMark/>
          </w:tcPr>
          <w:p w14:paraId="272A08C5"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139 000</w:t>
            </w:r>
          </w:p>
        </w:tc>
        <w:tc>
          <w:tcPr>
            <w:tcW w:w="1075" w:type="dxa"/>
            <w:tcBorders>
              <w:top w:val="nil"/>
              <w:left w:val="single" w:sz="8" w:space="0" w:color="auto"/>
              <w:bottom w:val="nil"/>
              <w:right w:val="nil"/>
            </w:tcBorders>
            <w:shd w:val="clear" w:color="auto" w:fill="FFFFFF"/>
            <w:vAlign w:val="center"/>
            <w:hideMark/>
          </w:tcPr>
          <w:p w14:paraId="129F350D"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100 000/ 120 000</w:t>
            </w:r>
          </w:p>
        </w:tc>
        <w:tc>
          <w:tcPr>
            <w:tcW w:w="1090" w:type="dxa"/>
            <w:tcBorders>
              <w:top w:val="nil"/>
              <w:left w:val="single" w:sz="8" w:space="0" w:color="auto"/>
              <w:bottom w:val="nil"/>
              <w:right w:val="single" w:sz="8" w:space="0" w:color="auto"/>
            </w:tcBorders>
            <w:shd w:val="clear" w:color="auto" w:fill="FFFFFF"/>
            <w:vAlign w:val="center"/>
            <w:hideMark/>
          </w:tcPr>
          <w:p w14:paraId="00C2F224"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93 000</w:t>
            </w:r>
          </w:p>
        </w:tc>
      </w:tr>
      <w:tr w:rsidR="00A259BD" w:rsidRPr="00A259BD" w14:paraId="1A239ED1" w14:textId="77777777" w:rsidTr="001C3F77">
        <w:trPr>
          <w:trHeight w:val="283"/>
        </w:trPr>
        <w:tc>
          <w:tcPr>
            <w:tcW w:w="1570" w:type="dxa"/>
            <w:tcBorders>
              <w:top w:val="nil"/>
              <w:left w:val="single" w:sz="8" w:space="0" w:color="auto"/>
              <w:bottom w:val="nil"/>
              <w:right w:val="nil"/>
            </w:tcBorders>
            <w:shd w:val="clear" w:color="auto" w:fill="FFFFFF"/>
            <w:vAlign w:val="center"/>
            <w:hideMark/>
          </w:tcPr>
          <w:p w14:paraId="35C21EF5" w14:textId="77777777" w:rsidR="00435068" w:rsidRPr="00A259BD" w:rsidRDefault="00435068"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НКПиТ</w:t>
            </w:r>
            <w:proofErr w:type="spellEnd"/>
          </w:p>
        </w:tc>
        <w:tc>
          <w:tcPr>
            <w:tcW w:w="835" w:type="dxa"/>
            <w:tcBorders>
              <w:top w:val="nil"/>
              <w:left w:val="single" w:sz="8" w:space="0" w:color="auto"/>
              <w:bottom w:val="nil"/>
              <w:right w:val="nil"/>
            </w:tcBorders>
            <w:shd w:val="clear" w:color="auto" w:fill="FFFFFF"/>
            <w:vAlign w:val="center"/>
            <w:hideMark/>
          </w:tcPr>
          <w:p w14:paraId="732A60A9"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3950</w:t>
            </w:r>
          </w:p>
        </w:tc>
        <w:tc>
          <w:tcPr>
            <w:tcW w:w="840" w:type="dxa"/>
            <w:tcBorders>
              <w:top w:val="nil"/>
              <w:left w:val="single" w:sz="8" w:space="0" w:color="auto"/>
              <w:bottom w:val="nil"/>
              <w:right w:val="nil"/>
            </w:tcBorders>
            <w:shd w:val="clear" w:color="auto" w:fill="FFFFFF"/>
            <w:vAlign w:val="center"/>
            <w:hideMark/>
          </w:tcPr>
          <w:p w14:paraId="3BCB346C"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3400</w:t>
            </w:r>
          </w:p>
        </w:tc>
        <w:tc>
          <w:tcPr>
            <w:tcW w:w="965" w:type="dxa"/>
            <w:tcBorders>
              <w:top w:val="nil"/>
              <w:left w:val="single" w:sz="8" w:space="0" w:color="auto"/>
              <w:bottom w:val="nil"/>
              <w:right w:val="nil"/>
            </w:tcBorders>
            <w:shd w:val="clear" w:color="auto" w:fill="FFFFFF"/>
            <w:vAlign w:val="center"/>
            <w:hideMark/>
          </w:tcPr>
          <w:p w14:paraId="7DA6E4FA"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11000</w:t>
            </w:r>
          </w:p>
        </w:tc>
        <w:tc>
          <w:tcPr>
            <w:tcW w:w="1075" w:type="dxa"/>
            <w:tcBorders>
              <w:top w:val="nil"/>
              <w:left w:val="single" w:sz="8" w:space="0" w:color="auto"/>
              <w:bottom w:val="nil"/>
              <w:right w:val="nil"/>
            </w:tcBorders>
            <w:shd w:val="clear" w:color="auto" w:fill="FFFFFF"/>
            <w:vAlign w:val="center"/>
            <w:hideMark/>
          </w:tcPr>
          <w:p w14:paraId="06AB518C"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5000/7000</w:t>
            </w:r>
          </w:p>
        </w:tc>
        <w:tc>
          <w:tcPr>
            <w:tcW w:w="1090" w:type="dxa"/>
            <w:tcBorders>
              <w:top w:val="nil"/>
              <w:left w:val="single" w:sz="8" w:space="0" w:color="auto"/>
              <w:bottom w:val="nil"/>
              <w:right w:val="single" w:sz="8" w:space="0" w:color="auto"/>
            </w:tcBorders>
            <w:shd w:val="clear" w:color="auto" w:fill="FFFFFF"/>
            <w:vAlign w:val="center"/>
            <w:hideMark/>
          </w:tcPr>
          <w:p w14:paraId="75640BBF"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5300</w:t>
            </w:r>
          </w:p>
        </w:tc>
      </w:tr>
      <w:tr w:rsidR="00A259BD" w:rsidRPr="00A259BD" w14:paraId="4EA54FDF" w14:textId="77777777" w:rsidTr="001C3F77">
        <w:trPr>
          <w:trHeight w:val="288"/>
        </w:trPr>
        <w:tc>
          <w:tcPr>
            <w:tcW w:w="1570" w:type="dxa"/>
            <w:tcBorders>
              <w:top w:val="nil"/>
              <w:left w:val="single" w:sz="8" w:space="0" w:color="auto"/>
              <w:bottom w:val="nil"/>
              <w:right w:val="nil"/>
            </w:tcBorders>
            <w:shd w:val="clear" w:color="auto" w:fill="FFFFFF"/>
            <w:vAlign w:val="center"/>
            <w:hideMark/>
          </w:tcPr>
          <w:p w14:paraId="6390784A" w14:textId="77777777" w:rsidR="00435068" w:rsidRPr="00A259BD" w:rsidRDefault="00435068"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НКТорг</w:t>
            </w:r>
            <w:proofErr w:type="spellEnd"/>
          </w:p>
        </w:tc>
        <w:tc>
          <w:tcPr>
            <w:tcW w:w="835" w:type="dxa"/>
            <w:tcBorders>
              <w:top w:val="nil"/>
              <w:left w:val="single" w:sz="8" w:space="0" w:color="auto"/>
              <w:bottom w:val="nil"/>
              <w:right w:val="nil"/>
            </w:tcBorders>
            <w:shd w:val="clear" w:color="auto" w:fill="FFFFFF"/>
            <w:vAlign w:val="center"/>
            <w:hideMark/>
          </w:tcPr>
          <w:p w14:paraId="386389D9"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486</w:t>
            </w:r>
          </w:p>
        </w:tc>
        <w:tc>
          <w:tcPr>
            <w:tcW w:w="840" w:type="dxa"/>
            <w:tcBorders>
              <w:top w:val="nil"/>
              <w:left w:val="single" w:sz="8" w:space="0" w:color="auto"/>
              <w:bottom w:val="nil"/>
              <w:right w:val="nil"/>
            </w:tcBorders>
            <w:shd w:val="clear" w:color="auto" w:fill="FFFFFF"/>
            <w:vAlign w:val="center"/>
            <w:hideMark/>
          </w:tcPr>
          <w:p w14:paraId="5DAC10F0"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6050</w:t>
            </w:r>
          </w:p>
        </w:tc>
        <w:tc>
          <w:tcPr>
            <w:tcW w:w="965" w:type="dxa"/>
            <w:tcBorders>
              <w:top w:val="nil"/>
              <w:left w:val="single" w:sz="8" w:space="0" w:color="auto"/>
              <w:bottom w:val="nil"/>
              <w:right w:val="nil"/>
            </w:tcBorders>
            <w:shd w:val="clear" w:color="auto" w:fill="FFFFFF"/>
            <w:vAlign w:val="center"/>
            <w:hideMark/>
          </w:tcPr>
          <w:p w14:paraId="2D12AF7D"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19 000</w:t>
            </w:r>
          </w:p>
        </w:tc>
        <w:tc>
          <w:tcPr>
            <w:tcW w:w="1075" w:type="dxa"/>
            <w:tcBorders>
              <w:top w:val="nil"/>
              <w:left w:val="single" w:sz="8" w:space="0" w:color="auto"/>
              <w:bottom w:val="nil"/>
              <w:right w:val="nil"/>
            </w:tcBorders>
            <w:shd w:val="clear" w:color="auto" w:fill="FFFFFF"/>
            <w:vAlign w:val="center"/>
            <w:hideMark/>
          </w:tcPr>
          <w:p w14:paraId="40E32241"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30 000</w:t>
            </w:r>
          </w:p>
        </w:tc>
        <w:tc>
          <w:tcPr>
            <w:tcW w:w="1090" w:type="dxa"/>
            <w:tcBorders>
              <w:top w:val="nil"/>
              <w:left w:val="single" w:sz="8" w:space="0" w:color="auto"/>
              <w:bottom w:val="nil"/>
              <w:right w:val="single" w:sz="8" w:space="0" w:color="auto"/>
            </w:tcBorders>
            <w:shd w:val="clear" w:color="auto" w:fill="FFFFFF"/>
            <w:vAlign w:val="center"/>
            <w:hideMark/>
          </w:tcPr>
          <w:p w14:paraId="64A5FB44"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5000</w:t>
            </w:r>
          </w:p>
        </w:tc>
      </w:tr>
      <w:tr w:rsidR="00A259BD" w:rsidRPr="00A259BD" w14:paraId="32FF15E5" w14:textId="77777777" w:rsidTr="001C3F77">
        <w:trPr>
          <w:trHeight w:val="672"/>
        </w:trPr>
        <w:tc>
          <w:tcPr>
            <w:tcW w:w="1570" w:type="dxa"/>
            <w:tcBorders>
              <w:top w:val="nil"/>
              <w:left w:val="single" w:sz="8" w:space="0" w:color="auto"/>
              <w:bottom w:val="nil"/>
              <w:right w:val="nil"/>
            </w:tcBorders>
            <w:shd w:val="clear" w:color="auto" w:fill="FFFFFF"/>
            <w:vAlign w:val="center"/>
            <w:hideMark/>
          </w:tcPr>
          <w:p w14:paraId="36F5F4A1"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Укрепление по</w:t>
            </w:r>
            <w:r w:rsidRPr="00A259BD">
              <w:rPr>
                <w:rFonts w:ascii="Times New Roman" w:hAnsi="Times New Roman"/>
                <w:color w:val="000000" w:themeColor="text1"/>
                <w:sz w:val="16"/>
                <w:szCs w:val="16"/>
              </w:rPr>
              <w:softHyphen/>
              <w:t>граничной поло</w:t>
            </w:r>
            <w:r w:rsidRPr="00A259BD">
              <w:rPr>
                <w:rFonts w:ascii="Times New Roman" w:hAnsi="Times New Roman"/>
                <w:color w:val="000000" w:themeColor="text1"/>
                <w:sz w:val="16"/>
                <w:szCs w:val="16"/>
              </w:rPr>
              <w:softHyphen/>
              <w:t>сы</w:t>
            </w:r>
          </w:p>
        </w:tc>
        <w:tc>
          <w:tcPr>
            <w:tcW w:w="835" w:type="dxa"/>
            <w:tcBorders>
              <w:top w:val="nil"/>
              <w:left w:val="single" w:sz="8" w:space="0" w:color="auto"/>
              <w:bottom w:val="nil"/>
              <w:right w:val="nil"/>
            </w:tcBorders>
            <w:shd w:val="clear" w:color="auto" w:fill="FFFFFF"/>
            <w:vAlign w:val="center"/>
            <w:hideMark/>
          </w:tcPr>
          <w:p w14:paraId="14B69D6E"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840" w:type="dxa"/>
            <w:tcBorders>
              <w:top w:val="nil"/>
              <w:left w:val="single" w:sz="8" w:space="0" w:color="auto"/>
              <w:bottom w:val="nil"/>
              <w:right w:val="nil"/>
            </w:tcBorders>
            <w:shd w:val="clear" w:color="auto" w:fill="FFFFFF"/>
            <w:vAlign w:val="center"/>
            <w:hideMark/>
          </w:tcPr>
          <w:p w14:paraId="3CC24FBD"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965" w:type="dxa"/>
            <w:tcBorders>
              <w:top w:val="nil"/>
              <w:left w:val="single" w:sz="8" w:space="0" w:color="auto"/>
              <w:bottom w:val="nil"/>
              <w:right w:val="nil"/>
            </w:tcBorders>
            <w:shd w:val="clear" w:color="auto" w:fill="FFFFFF"/>
            <w:vAlign w:val="center"/>
            <w:hideMark/>
          </w:tcPr>
          <w:p w14:paraId="0579EA25"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25 000</w:t>
            </w:r>
          </w:p>
        </w:tc>
        <w:tc>
          <w:tcPr>
            <w:tcW w:w="1075" w:type="dxa"/>
            <w:tcBorders>
              <w:top w:val="nil"/>
              <w:left w:val="single" w:sz="8" w:space="0" w:color="auto"/>
              <w:bottom w:val="nil"/>
              <w:right w:val="nil"/>
            </w:tcBorders>
            <w:shd w:val="clear" w:color="auto" w:fill="FFFFFF"/>
            <w:vAlign w:val="center"/>
            <w:hideMark/>
          </w:tcPr>
          <w:p w14:paraId="311830CF"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1090" w:type="dxa"/>
            <w:tcBorders>
              <w:top w:val="nil"/>
              <w:left w:val="single" w:sz="8" w:space="0" w:color="auto"/>
              <w:bottom w:val="nil"/>
              <w:right w:val="single" w:sz="8" w:space="0" w:color="auto"/>
            </w:tcBorders>
            <w:shd w:val="clear" w:color="auto" w:fill="FFFFFF"/>
            <w:vAlign w:val="center"/>
            <w:hideMark/>
          </w:tcPr>
          <w:p w14:paraId="081544DA"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w:t>
            </w:r>
          </w:p>
        </w:tc>
      </w:tr>
      <w:tr w:rsidR="00A259BD" w:rsidRPr="00A259BD" w14:paraId="5C7BC35C" w14:textId="77777777" w:rsidTr="001C3F77">
        <w:trPr>
          <w:trHeight w:val="370"/>
        </w:trPr>
        <w:tc>
          <w:tcPr>
            <w:tcW w:w="1570" w:type="dxa"/>
            <w:tcBorders>
              <w:top w:val="nil"/>
              <w:left w:val="single" w:sz="8" w:space="0" w:color="auto"/>
              <w:bottom w:val="single" w:sz="8" w:space="0" w:color="auto"/>
              <w:right w:val="nil"/>
            </w:tcBorders>
            <w:shd w:val="clear" w:color="auto" w:fill="FFFFFF"/>
            <w:vAlign w:val="center"/>
            <w:hideMark/>
          </w:tcPr>
          <w:p w14:paraId="7EF7BC97" w14:textId="77777777" w:rsidR="00435068" w:rsidRPr="00A259BD" w:rsidRDefault="00435068"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Остехбюро</w:t>
            </w:r>
            <w:proofErr w:type="spellEnd"/>
          </w:p>
        </w:tc>
        <w:tc>
          <w:tcPr>
            <w:tcW w:w="835" w:type="dxa"/>
            <w:tcBorders>
              <w:top w:val="nil"/>
              <w:left w:val="single" w:sz="8" w:space="0" w:color="auto"/>
              <w:bottom w:val="single" w:sz="8" w:space="0" w:color="auto"/>
              <w:right w:val="nil"/>
            </w:tcBorders>
            <w:shd w:val="clear" w:color="auto" w:fill="FFFFFF"/>
            <w:vAlign w:val="center"/>
            <w:hideMark/>
          </w:tcPr>
          <w:p w14:paraId="010AFB39"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4790</w:t>
            </w:r>
          </w:p>
        </w:tc>
        <w:tc>
          <w:tcPr>
            <w:tcW w:w="840" w:type="dxa"/>
            <w:tcBorders>
              <w:top w:val="nil"/>
              <w:left w:val="single" w:sz="8" w:space="0" w:color="auto"/>
              <w:bottom w:val="single" w:sz="8" w:space="0" w:color="auto"/>
              <w:right w:val="nil"/>
            </w:tcBorders>
            <w:shd w:val="clear" w:color="auto" w:fill="FFFFFF"/>
            <w:vAlign w:val="center"/>
            <w:hideMark/>
          </w:tcPr>
          <w:p w14:paraId="1D5471AE"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4200</w:t>
            </w:r>
          </w:p>
        </w:tc>
        <w:tc>
          <w:tcPr>
            <w:tcW w:w="965" w:type="dxa"/>
            <w:tcBorders>
              <w:top w:val="nil"/>
              <w:left w:val="single" w:sz="8" w:space="0" w:color="auto"/>
              <w:bottom w:val="single" w:sz="8" w:space="0" w:color="auto"/>
              <w:right w:val="nil"/>
            </w:tcBorders>
            <w:shd w:val="clear" w:color="auto" w:fill="FFFFFF"/>
            <w:vAlign w:val="center"/>
            <w:hideMark/>
          </w:tcPr>
          <w:p w14:paraId="4B99EDFD"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6884</w:t>
            </w:r>
          </w:p>
        </w:tc>
        <w:tc>
          <w:tcPr>
            <w:tcW w:w="1075" w:type="dxa"/>
            <w:tcBorders>
              <w:top w:val="nil"/>
              <w:left w:val="single" w:sz="8" w:space="0" w:color="auto"/>
              <w:bottom w:val="single" w:sz="8" w:space="0" w:color="auto"/>
              <w:right w:val="nil"/>
            </w:tcBorders>
            <w:shd w:val="clear" w:color="auto" w:fill="FFFFFF"/>
            <w:vAlign w:val="center"/>
            <w:hideMark/>
          </w:tcPr>
          <w:p w14:paraId="6B4BD6B7"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090" w:type="dxa"/>
            <w:tcBorders>
              <w:top w:val="nil"/>
              <w:left w:val="single" w:sz="8" w:space="0" w:color="auto"/>
              <w:bottom w:val="single" w:sz="8" w:space="0" w:color="auto"/>
              <w:right w:val="single" w:sz="8" w:space="0" w:color="auto"/>
            </w:tcBorders>
            <w:shd w:val="clear" w:color="auto" w:fill="FFFFFF"/>
            <w:vAlign w:val="center"/>
            <w:hideMark/>
          </w:tcPr>
          <w:p w14:paraId="57791DDE"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4500</w:t>
            </w:r>
          </w:p>
        </w:tc>
      </w:tr>
    </w:tbl>
    <w:p w14:paraId="130287FA"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(18393)</w:t>
      </w:r>
    </w:p>
    <w:p w14:paraId="63273658" w14:textId="77777777" w:rsidR="00435068" w:rsidRPr="00A259BD" w:rsidRDefault="00435068" w:rsidP="009236E3">
      <w:pPr>
        <w:spacing w:after="0" w:line="240" w:lineRule="auto"/>
        <w:jc w:val="both"/>
        <w:rPr>
          <w:rFonts w:ascii="Times New Roman" w:hAnsi="Times New Roman"/>
          <w:color w:val="000000" w:themeColor="text1"/>
          <w:sz w:val="16"/>
          <w:szCs w:val="16"/>
        </w:rPr>
      </w:pPr>
    </w:p>
    <w:p w14:paraId="725CB4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октябре 1929 на </w:t>
      </w:r>
      <w:proofErr w:type="spellStart"/>
      <w:r w:rsidRPr="00A259BD">
        <w:rPr>
          <w:rFonts w:ascii="Times New Roman" w:hAnsi="Times New Roman"/>
          <w:color w:val="000000" w:themeColor="text1"/>
          <w:sz w:val="16"/>
          <w:szCs w:val="16"/>
        </w:rPr>
        <w:t>НИАПе</w:t>
      </w:r>
      <w:proofErr w:type="spellEnd"/>
      <w:r w:rsidRPr="00A259BD">
        <w:rPr>
          <w:rFonts w:ascii="Times New Roman" w:hAnsi="Times New Roman"/>
          <w:color w:val="000000" w:themeColor="text1"/>
          <w:sz w:val="16"/>
          <w:szCs w:val="16"/>
        </w:rPr>
        <w:t xml:space="preserve"> закончились испытания модернизированной танковой пушки КТ-28 (Кировская танковая обр. 1927/32, созданная в 1928 на основе качающейся части 76.2 мм полковой пушки обр. 1927, которые проходили с июля 1929. Произошел срыв дульного тормоза (9527,24).</w:t>
      </w:r>
    </w:p>
    <w:p w14:paraId="69844C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650900"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октябре 1929 г. на заводе № 7 был образован военно-опытный отдел с собственной производственной базой — военно-опытной мастерской [2, Д. 15. Л. 45; Д. 18. Л. 36; Д. 23. Л. 18, 19]. Ремонт материальной части артиллерии в организационном отношении осуществлялся следующем образом. Поступившее артиллерийское имущество записывалось в завозную книгу и передавалось для освидетельствования по внешнему виду, которое производили </w:t>
      </w:r>
      <w:proofErr w:type="spellStart"/>
      <w:r w:rsidRPr="00A259BD">
        <w:rPr>
          <w:rFonts w:ascii="Times New Roman" w:hAnsi="Times New Roman"/>
          <w:color w:val="000000" w:themeColor="text1"/>
          <w:sz w:val="16"/>
          <w:szCs w:val="16"/>
        </w:rPr>
        <w:t>арттехники</w:t>
      </w:r>
      <w:proofErr w:type="spellEnd"/>
      <w:r w:rsidRPr="00A259BD">
        <w:rPr>
          <w:rFonts w:ascii="Times New Roman" w:hAnsi="Times New Roman"/>
          <w:color w:val="000000" w:themeColor="text1"/>
          <w:sz w:val="16"/>
          <w:szCs w:val="16"/>
        </w:rPr>
        <w:t xml:space="preserve"> завода. Одновременно с этим материально-заготовительный отдел выписывал в технический отдел извещение о прибывшем </w:t>
      </w:r>
      <w:proofErr w:type="spellStart"/>
      <w:r w:rsidRPr="00A259BD">
        <w:rPr>
          <w:rFonts w:ascii="Times New Roman" w:hAnsi="Times New Roman"/>
          <w:color w:val="000000" w:themeColor="text1"/>
          <w:sz w:val="16"/>
          <w:szCs w:val="16"/>
        </w:rPr>
        <w:t>артимуществе</w:t>
      </w:r>
      <w:proofErr w:type="spellEnd"/>
      <w:r w:rsidRPr="00A259BD">
        <w:rPr>
          <w:rFonts w:ascii="Times New Roman" w:hAnsi="Times New Roman"/>
          <w:color w:val="000000" w:themeColor="text1"/>
          <w:sz w:val="16"/>
          <w:szCs w:val="16"/>
        </w:rPr>
        <w:t xml:space="preserve"> для оформления заказа с указанием необходимых работ, после чего оно поступало в слесарно-сборочной мастерскую. До выписки требования от слесарно-сборочной мастерской </w:t>
      </w:r>
      <w:proofErr w:type="spellStart"/>
      <w:r w:rsidRPr="00A259BD">
        <w:rPr>
          <w:rFonts w:ascii="Times New Roman" w:hAnsi="Times New Roman"/>
          <w:color w:val="000000" w:themeColor="text1"/>
          <w:sz w:val="16"/>
          <w:szCs w:val="16"/>
        </w:rPr>
        <w:t>артимущество</w:t>
      </w:r>
      <w:proofErr w:type="spellEnd"/>
      <w:r w:rsidRPr="00A259BD">
        <w:rPr>
          <w:rFonts w:ascii="Times New Roman" w:hAnsi="Times New Roman"/>
          <w:color w:val="000000" w:themeColor="text1"/>
          <w:sz w:val="16"/>
          <w:szCs w:val="16"/>
        </w:rPr>
        <w:t xml:space="preserve"> состояло на учете склада готовых изделий или склада полуфабрикатов. По окончании ремонта оно поступало на склад готовых изделий, где проходило освидетельствование приемщиками АУ РККА и после этого отправлялось по месту назначения [2, Д. 15. Д. 11. Л. 145]. Одной из основных проблем производства в данный период был высокий процент брака выпускаемых изделий. Конечный контроль над качеством выпускаемой продукции и прием военных изделий осуществляла, как было указано выше, артиллерийская приемка АУ, деятельность которой была построена на реализации комплексного подхода к приему изготовленной и отремонтированной материальной части артиллерии, включавшего в себя разработку необходимых технических условий на всю номенклатуру сдаваемой продукции и полигонные испытания (18628).</w:t>
      </w:r>
    </w:p>
    <w:p w14:paraId="26170CC9" w14:textId="77777777" w:rsidR="00435068" w:rsidRPr="00A259BD" w:rsidRDefault="00435068" w:rsidP="009236E3">
      <w:pPr>
        <w:spacing w:after="0" w:line="240" w:lineRule="auto"/>
        <w:jc w:val="both"/>
        <w:rPr>
          <w:rFonts w:ascii="Times New Roman" w:hAnsi="Times New Roman"/>
          <w:color w:val="000000" w:themeColor="text1"/>
          <w:sz w:val="16"/>
          <w:szCs w:val="16"/>
        </w:rPr>
      </w:pPr>
    </w:p>
    <w:p w14:paraId="5D522EF2" w14:textId="77777777" w:rsidR="00170B72" w:rsidRPr="00A259BD" w:rsidRDefault="00170B7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октябре 1929 начальник УММ И.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направил заместителю председателя реввоенсовета </w:t>
      </w:r>
      <w:proofErr w:type="spellStart"/>
      <w:r w:rsidRPr="00A259BD">
        <w:rPr>
          <w:rFonts w:ascii="Times New Roman" w:hAnsi="Times New Roman"/>
          <w:color w:val="000000" w:themeColor="text1"/>
          <w:sz w:val="16"/>
          <w:szCs w:val="16"/>
        </w:rPr>
        <w:t>Уншлихту</w:t>
      </w:r>
      <w:proofErr w:type="spellEnd"/>
      <w:r w:rsidRPr="00A259BD">
        <w:rPr>
          <w:rFonts w:ascii="Times New Roman" w:hAnsi="Times New Roman"/>
          <w:color w:val="000000" w:themeColor="text1"/>
          <w:sz w:val="16"/>
          <w:szCs w:val="16"/>
        </w:rPr>
        <w:t xml:space="preserve"> письмо следующего содержания:</w:t>
      </w:r>
    </w:p>
    <w:p w14:paraId="34DFCF09" w14:textId="77777777" w:rsidR="00170B72" w:rsidRPr="00A259BD" w:rsidRDefault="00170B7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"СОВЕРШЕННО СЕКРЕТНО</w:t>
      </w:r>
    </w:p>
    <w:p w14:paraId="09164CF0" w14:textId="77777777" w:rsidR="00170B72" w:rsidRPr="00A259BD" w:rsidRDefault="00170B7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ПРЕДСЕДАТЕЛЯ РЕВВОЕНСОВЕТА СССР Тов. УНШЛИХТУ</w:t>
      </w:r>
    </w:p>
    <w:p w14:paraId="37923D4C" w14:textId="77777777" w:rsidR="00170B72" w:rsidRPr="00A259BD" w:rsidRDefault="00170B7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Как я уже сообщал Вам ранее, из имеющихся в настоящее время в Управлении ММ </w:t>
      </w:r>
      <w:proofErr w:type="spellStart"/>
      <w:r w:rsidRPr="00A259BD">
        <w:rPr>
          <w:rFonts w:ascii="Times New Roman" w:hAnsi="Times New Roman"/>
          <w:color w:val="000000" w:themeColor="text1"/>
          <w:sz w:val="16"/>
          <w:szCs w:val="16"/>
        </w:rPr>
        <w:t>проэктов</w:t>
      </w:r>
      <w:proofErr w:type="spellEnd"/>
      <w:r w:rsidRPr="00A259BD">
        <w:rPr>
          <w:rFonts w:ascii="Times New Roman" w:hAnsi="Times New Roman"/>
          <w:color w:val="000000" w:themeColor="text1"/>
          <w:sz w:val="16"/>
          <w:szCs w:val="16"/>
        </w:rPr>
        <w:t xml:space="preserve"> </w:t>
      </w:r>
      <w:hyperlink r:id="rId210"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ов, предложенных в инициативном порядке на конкурсной основе, особого внимания заслуживает </w:t>
      </w:r>
      <w:proofErr w:type="spellStart"/>
      <w:r w:rsidRPr="00A259BD">
        <w:rPr>
          <w:rFonts w:ascii="Times New Roman" w:hAnsi="Times New Roman"/>
          <w:color w:val="000000" w:themeColor="text1"/>
          <w:sz w:val="16"/>
          <w:szCs w:val="16"/>
        </w:rPr>
        <w:t>проэкт</w:t>
      </w:r>
      <w:proofErr w:type="spellEnd"/>
      <w:r w:rsidRPr="00A259BD">
        <w:rPr>
          <w:rFonts w:ascii="Times New Roman" w:hAnsi="Times New Roman"/>
          <w:color w:val="000000" w:themeColor="text1"/>
          <w:sz w:val="16"/>
          <w:szCs w:val="16"/>
        </w:rPr>
        <w:t>, предложенный тов. ДЫРЕНКОВЫМ.</w:t>
      </w:r>
    </w:p>
    <w:p w14:paraId="00466999" w14:textId="77777777" w:rsidR="00170B72" w:rsidRPr="00A259BD" w:rsidRDefault="00170B7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 прочих </w:t>
      </w:r>
      <w:proofErr w:type="spellStart"/>
      <w:r w:rsidRPr="00A259BD">
        <w:rPr>
          <w:rFonts w:ascii="Times New Roman" w:hAnsi="Times New Roman"/>
          <w:color w:val="000000" w:themeColor="text1"/>
          <w:sz w:val="16"/>
          <w:szCs w:val="16"/>
        </w:rPr>
        <w:t>проэктов</w:t>
      </w:r>
      <w:proofErr w:type="spellEnd"/>
      <w:r w:rsidRPr="00A259BD">
        <w:rPr>
          <w:rFonts w:ascii="Times New Roman" w:hAnsi="Times New Roman"/>
          <w:color w:val="000000" w:themeColor="text1"/>
          <w:sz w:val="16"/>
          <w:szCs w:val="16"/>
        </w:rPr>
        <w:t xml:space="preserve"> указанный отличается не только мощным вооружением (2-3 пушки большого калибра и 3-4 пулемета), но и несет оригинальный комбинированный движитель, сочетающий возможность легкого перемещения своим ходом как по бездорожью (на гусеницах), так и по дорогам с твердым покрытием (на колесах) и железнодорожным путям (на специальных скатах). По мнение изобретателя такая схема позволит применять </w:t>
      </w:r>
      <w:hyperlink r:id="rId211"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 во всех видах современного боя без использования специальных транспортных средств что значительно удешевляет его </w:t>
      </w:r>
      <w:proofErr w:type="spellStart"/>
      <w:r w:rsidRPr="00A259BD">
        <w:rPr>
          <w:rFonts w:ascii="Times New Roman" w:hAnsi="Times New Roman"/>
          <w:color w:val="000000" w:themeColor="text1"/>
          <w:sz w:val="16"/>
          <w:szCs w:val="16"/>
        </w:rPr>
        <w:t>эксплоатацию</w:t>
      </w:r>
      <w:proofErr w:type="spellEnd"/>
      <w:r w:rsidRPr="00A259BD">
        <w:rPr>
          <w:rFonts w:ascii="Times New Roman" w:hAnsi="Times New Roman"/>
          <w:color w:val="000000" w:themeColor="text1"/>
          <w:sz w:val="16"/>
          <w:szCs w:val="16"/>
        </w:rPr>
        <w:t>.</w:t>
      </w:r>
    </w:p>
    <w:p w14:paraId="284DD605" w14:textId="77777777" w:rsidR="00170B72" w:rsidRPr="00A259BD" w:rsidRDefault="00170B7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Личная беседа с изобретателем дает понять, что он рассматривает указанный тип </w:t>
      </w:r>
      <w:hyperlink r:id="rId212"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как универсальное боевое средство взамен гусеничных </w:t>
      </w:r>
      <w:hyperlink r:id="rId213"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ов, бронеавтомобилей и даже бронепоездов (в случае сцепки нескольких </w:t>
      </w:r>
      <w:hyperlink r:id="rId214"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ов в поезд).</w:t>
      </w:r>
    </w:p>
    <w:p w14:paraId="4D184393" w14:textId="77777777" w:rsidR="00170B72" w:rsidRPr="00A259BD" w:rsidRDefault="00170B7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Считаю, что соображения автора </w:t>
      </w:r>
      <w:proofErr w:type="spellStart"/>
      <w:r w:rsidRPr="00A259BD">
        <w:rPr>
          <w:rFonts w:ascii="Times New Roman" w:hAnsi="Times New Roman"/>
          <w:color w:val="000000" w:themeColor="text1"/>
          <w:sz w:val="16"/>
          <w:szCs w:val="16"/>
        </w:rPr>
        <w:t>проэкта</w:t>
      </w:r>
      <w:proofErr w:type="spellEnd"/>
      <w:r w:rsidRPr="00A259BD">
        <w:rPr>
          <w:rFonts w:ascii="Times New Roman" w:hAnsi="Times New Roman"/>
          <w:color w:val="000000" w:themeColor="text1"/>
          <w:sz w:val="16"/>
          <w:szCs w:val="16"/>
        </w:rPr>
        <w:t xml:space="preserve"> разумны и должны быть проверены практикой.</w:t>
      </w:r>
    </w:p>
    <w:p w14:paraId="36E54AC0" w14:textId="77777777" w:rsidR="00170B72" w:rsidRPr="00A259BD" w:rsidRDefault="00170B7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Жду Ваших указаний.</w:t>
      </w:r>
    </w:p>
    <w:p w14:paraId="15717441" w14:textId="77777777" w:rsidR="00170B72" w:rsidRPr="00A259BD" w:rsidRDefault="00170B7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 УПРАВЛЕНИЯ ПО МОТОРИЗАЦИИ И МЕХАНИЗАЦИИ РККА /</w:t>
      </w:r>
      <w:proofErr w:type="spellStart"/>
      <w:r w:rsidRPr="00A259BD">
        <w:rPr>
          <w:rFonts w:ascii="Times New Roman" w:hAnsi="Times New Roman"/>
          <w:color w:val="000000" w:themeColor="text1"/>
          <w:sz w:val="16"/>
          <w:szCs w:val="16"/>
        </w:rPr>
        <w:t>И.Халепский</w:t>
      </w:r>
      <w:proofErr w:type="spellEnd"/>
      <w:r w:rsidRPr="00A259BD">
        <w:rPr>
          <w:rFonts w:ascii="Times New Roman" w:hAnsi="Times New Roman"/>
          <w:color w:val="000000" w:themeColor="text1"/>
          <w:sz w:val="16"/>
          <w:szCs w:val="16"/>
        </w:rPr>
        <w:t>/" (15618).</w:t>
      </w:r>
    </w:p>
    <w:p w14:paraId="3C85A68C" w14:textId="77777777" w:rsidR="00170B72" w:rsidRPr="00A259BD" w:rsidRDefault="00170B72" w:rsidP="009236E3">
      <w:pPr>
        <w:spacing w:after="0" w:line="240" w:lineRule="auto"/>
        <w:jc w:val="both"/>
        <w:rPr>
          <w:rFonts w:ascii="Times New Roman" w:hAnsi="Times New Roman"/>
          <w:color w:val="000000" w:themeColor="text1"/>
          <w:sz w:val="16"/>
          <w:szCs w:val="16"/>
        </w:rPr>
      </w:pPr>
    </w:p>
    <w:p w14:paraId="21A3A238" w14:textId="77777777" w:rsidR="00E100D5" w:rsidRPr="00A259BD" w:rsidRDefault="00E100D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lang w:eastAsia="ru-RU" w:bidi="ru-RU"/>
        </w:rPr>
        <w:t>В октябре 1929 г. на ХПЗ завершилась постройка опытного образца танка Т-12 и заняла ровно год — с октября 1928 г. Но ввиду необходимости дооборудования пришлось отложить начало испытаний до апреля 1930 г. Собственно, полноценной боевой машиной этот экземпляр еще не являлся — его корпус и башни были изготовлены из обычной, а не бронированной стали. Танк продемонстри</w:t>
      </w:r>
      <w:r w:rsidRPr="00A259BD">
        <w:rPr>
          <w:rFonts w:ascii="Times New Roman" w:hAnsi="Times New Roman"/>
          <w:color w:val="000000" w:themeColor="text1"/>
          <w:sz w:val="16"/>
          <w:szCs w:val="16"/>
          <w:lang w:eastAsia="ru-RU" w:bidi="ru-RU"/>
        </w:rPr>
        <w:softHyphen/>
        <w:t>ровал возможность передвигаться со скоростью до 30 км/ч и преодолевать окопы шириной 2 м. Вооружение поначалу отсутствовало, установили его уже в ходе испытаний. Вскрылись и недостатки машины: спадание гусенич</w:t>
      </w:r>
      <w:r w:rsidRPr="00A259BD">
        <w:rPr>
          <w:rFonts w:ascii="Times New Roman" w:hAnsi="Times New Roman"/>
          <w:color w:val="000000" w:themeColor="text1"/>
          <w:sz w:val="16"/>
          <w:szCs w:val="16"/>
          <w:lang w:eastAsia="ru-RU" w:bidi="ru-RU"/>
        </w:rPr>
        <w:softHyphen/>
        <w:t>ной ленты из-за налипания грунта, неудовлетворительная работа коробки передач и пр. И хотя по результатам испытаний Т-12 был рекомендован к внедрению в серийное производство, он так и остался в единственном экземпляре. Дело в том, что еще в 1929 г. в Харькове началось проектиро</w:t>
      </w:r>
      <w:r w:rsidRPr="00A259BD">
        <w:rPr>
          <w:rFonts w:ascii="Times New Roman" w:hAnsi="Times New Roman"/>
          <w:color w:val="000000" w:themeColor="text1"/>
          <w:sz w:val="16"/>
          <w:szCs w:val="16"/>
          <w:lang w:eastAsia="ru-RU" w:bidi="ru-RU"/>
        </w:rPr>
        <w:softHyphen/>
        <w:t>вание усовершенствованного маневренного танка Т-24 (23180).</w:t>
      </w:r>
    </w:p>
    <w:p w14:paraId="1D9313C4" w14:textId="77777777" w:rsidR="00E100D5" w:rsidRPr="00A259BD" w:rsidRDefault="00E100D5" w:rsidP="009236E3">
      <w:pPr>
        <w:spacing w:after="0" w:line="240" w:lineRule="auto"/>
        <w:jc w:val="both"/>
        <w:rPr>
          <w:rFonts w:ascii="Times New Roman" w:hAnsi="Times New Roman"/>
          <w:color w:val="000000" w:themeColor="text1"/>
          <w:sz w:val="16"/>
          <w:szCs w:val="16"/>
        </w:rPr>
      </w:pPr>
    </w:p>
    <w:p w14:paraId="6E5326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октябре 1929 один “Форд-А” с пулеметом Максима на установке конструкции </w:t>
      </w:r>
      <w:proofErr w:type="spellStart"/>
      <w:r w:rsidRPr="00A259BD">
        <w:rPr>
          <w:rFonts w:ascii="Times New Roman" w:hAnsi="Times New Roman"/>
          <w:color w:val="000000" w:themeColor="text1"/>
          <w:sz w:val="16"/>
          <w:szCs w:val="16"/>
        </w:rPr>
        <w:t>НИОПа</w:t>
      </w:r>
      <w:proofErr w:type="spellEnd"/>
      <w:r w:rsidRPr="00A259BD">
        <w:rPr>
          <w:rFonts w:ascii="Times New Roman" w:hAnsi="Times New Roman"/>
          <w:color w:val="000000" w:themeColor="text1"/>
          <w:sz w:val="16"/>
          <w:szCs w:val="16"/>
        </w:rPr>
        <w:t xml:space="preserve"> участвовал в учениях опытного механизированного полка, проходив</w:t>
      </w:r>
      <w:r w:rsidRPr="00A259BD">
        <w:rPr>
          <w:rFonts w:ascii="Times New Roman" w:hAnsi="Times New Roman"/>
          <w:color w:val="000000" w:themeColor="text1"/>
          <w:sz w:val="16"/>
          <w:szCs w:val="16"/>
        </w:rPr>
        <w:softHyphen/>
        <w:t>ших под Москвой (11284).</w:t>
      </w:r>
    </w:p>
    <w:p w14:paraId="0707F77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AD1C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октябре 1929 после первого Всесоюзного пробега советских мотоциклов мотоциклы Иж вернули в Ижевск, куда вскоре прибыла Государственная комиссия. Она приняла парадоксальное решение: прекратить работы с мотоциклами в Ижевске и передать все разработки в ленинградский Трест массового производства </w:t>
      </w:r>
      <w:r w:rsidRPr="00A259BD">
        <w:rPr>
          <w:rFonts w:ascii="Times New Roman" w:hAnsi="Times New Roman"/>
          <w:color w:val="000000" w:themeColor="text1"/>
          <w:sz w:val="16"/>
          <w:szCs w:val="16"/>
        </w:rPr>
        <w:lastRenderedPageBreak/>
        <w:t xml:space="preserve">(ТРЕМАСС). П. В. Можарова и некоторых инженеров, в том числе А. М. Лутца и С. Н. Семашко, перевели в Ленинград. В </w:t>
      </w:r>
      <w:proofErr w:type="spellStart"/>
      <w:r w:rsidRPr="00A259BD">
        <w:rPr>
          <w:rFonts w:ascii="Times New Roman" w:hAnsi="Times New Roman"/>
          <w:color w:val="000000" w:themeColor="text1"/>
          <w:sz w:val="16"/>
          <w:szCs w:val="16"/>
        </w:rPr>
        <w:t>ТРЕМАССе</w:t>
      </w:r>
      <w:proofErr w:type="spellEnd"/>
      <w:r w:rsidRPr="00A259BD">
        <w:rPr>
          <w:rFonts w:ascii="Times New Roman" w:hAnsi="Times New Roman"/>
          <w:color w:val="000000" w:themeColor="text1"/>
          <w:sz w:val="16"/>
          <w:szCs w:val="16"/>
        </w:rPr>
        <w:t xml:space="preserve"> не знали, с чего начать, и, чтобы сделать окончательный выбор, Петра Владимировича вновь командировали в Германию. Поскольку речь шла о производстве легкого мотоцикла, на этот раз особое внимание Можаров уделил продукции компании DKW. Основой нового отечественного мотоцикла стала популярная модель Luхus-300. К работе приступили в мае 1930 года, а через месяц изготовили промышленный образец, обозначенный "Тремасс-300". А серийное производство мотоциклов, которые назвали Л-300 (Ленинградские, с двигателем рабочим объёмом 300 </w:t>
      </w:r>
      <w:proofErr w:type="spellStart"/>
      <w:r w:rsidRPr="00A259BD">
        <w:rPr>
          <w:rFonts w:ascii="Times New Roman" w:hAnsi="Times New Roman"/>
          <w:color w:val="000000" w:themeColor="text1"/>
          <w:sz w:val="16"/>
          <w:szCs w:val="16"/>
        </w:rPr>
        <w:t>смз</w:t>
      </w:r>
      <w:proofErr w:type="spellEnd"/>
      <w:r w:rsidRPr="00A259BD">
        <w:rPr>
          <w:rFonts w:ascii="Times New Roman" w:hAnsi="Times New Roman"/>
          <w:color w:val="000000" w:themeColor="text1"/>
          <w:sz w:val="16"/>
          <w:szCs w:val="16"/>
        </w:rPr>
        <w:t>), начали в январе 1931 г. на заводе "Красный Октябрь". На этом миссия Можарова в Ленинграде завершилась (11397).</w:t>
      </w:r>
    </w:p>
    <w:p w14:paraId="27290C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5B4F15" w14:textId="77777777" w:rsidR="00A86A94" w:rsidRPr="00441F34" w:rsidRDefault="00A86A94" w:rsidP="00A86A9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октябре 1929 г. дело о «вредителях» в </w:t>
      </w:r>
      <w:proofErr w:type="spellStart"/>
      <w:r w:rsidRPr="00441F34">
        <w:rPr>
          <w:rFonts w:ascii="Times New Roman" w:hAnsi="Times New Roman"/>
          <w:color w:val="0070C0"/>
          <w:sz w:val="16"/>
          <w:szCs w:val="16"/>
        </w:rPr>
        <w:t>военпроме</w:t>
      </w:r>
      <w:proofErr w:type="spellEnd"/>
      <w:r w:rsidRPr="00441F34">
        <w:rPr>
          <w:rFonts w:ascii="Times New Roman" w:hAnsi="Times New Roman"/>
          <w:color w:val="0070C0"/>
          <w:sz w:val="16"/>
          <w:szCs w:val="16"/>
        </w:rPr>
        <w:t xml:space="preserve"> было закончено. Всего по нему проходил 91 человек. По мнению ОГПУ, «организация ставила перед собой задачи - путем вредительства и шпионажа ослабление обороноспособности страны и содействие иностранным интервентам». В подавляющем большинстве это были выходцы из дворянского сословия и имевшие инженерную специальность. Решение по этому делу выносило Политбюро ЦК ВКП(б). Пятеро из обвиняемых (все бывшие генералы) во главе с В.С. Михайловым были приговорены к высшей мере - расстрелу. Все остальные приговаривались «на разные сроки заключения в концентрационные лагеря»[47].</w:t>
      </w:r>
    </w:p>
    <w:p w14:paraId="6CF5D96E" w14:textId="77777777" w:rsidR="00A86A94" w:rsidRPr="00441F34" w:rsidRDefault="00A86A94" w:rsidP="00A86A9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Так с конца 1920-х годов борьба с «вредительством» стала одним из факторов развития отечественного </w:t>
      </w:r>
      <w:proofErr w:type="spellStart"/>
      <w:r w:rsidRPr="00441F34">
        <w:rPr>
          <w:rFonts w:ascii="Times New Roman" w:hAnsi="Times New Roman"/>
          <w:color w:val="0070C0"/>
          <w:sz w:val="16"/>
          <w:szCs w:val="16"/>
        </w:rPr>
        <w:t>военпрома</w:t>
      </w:r>
      <w:proofErr w:type="spellEnd"/>
      <w:r w:rsidRPr="00441F34">
        <w:rPr>
          <w:rFonts w:ascii="Times New Roman" w:hAnsi="Times New Roman"/>
          <w:color w:val="0070C0"/>
          <w:sz w:val="16"/>
          <w:szCs w:val="16"/>
        </w:rPr>
        <w:t xml:space="preserve"> на этапе первых пятилеток. Соблазн обвинить в неудачах военного строительства конкретных «стрелочников» был столь велик, что очень быстро «вредители» стали обнаруживаться повсеместно. В результативной части обвинительного дела о вредителях в военной промышленности было сказано: «Ввиду того, что в процессе следствия установлен, помимо привлеченных к ответственности и арестованных, еще ряд лиц, входящих в к[</w:t>
      </w:r>
      <w:proofErr w:type="spellStart"/>
      <w:r w:rsidRPr="00441F34">
        <w:rPr>
          <w:rFonts w:ascii="Times New Roman" w:hAnsi="Times New Roman"/>
          <w:color w:val="0070C0"/>
          <w:sz w:val="16"/>
          <w:szCs w:val="16"/>
        </w:rPr>
        <w:t>онтр</w:t>
      </w:r>
      <w:proofErr w:type="spellEnd"/>
      <w:r w:rsidRPr="00441F34">
        <w:rPr>
          <w:rFonts w:ascii="Times New Roman" w:hAnsi="Times New Roman"/>
          <w:color w:val="0070C0"/>
          <w:sz w:val="16"/>
          <w:szCs w:val="16"/>
        </w:rPr>
        <w:t>].-революционную] организацию в военной промышленности, находящихся на свободе, материалы следственного производства в части таковых направлены к доследованию»[48].</w:t>
      </w:r>
    </w:p>
    <w:p w14:paraId="2EA33418" w14:textId="77777777" w:rsidR="00A86A94" w:rsidRPr="00441F34" w:rsidRDefault="00A86A94" w:rsidP="00A86A9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Дело инженеров-«вредителей» сильно повлияло не только на развитие советского военного производства. В результате активной деятельности И.П. </w:t>
      </w:r>
      <w:proofErr w:type="spellStart"/>
      <w:r w:rsidRPr="00441F34">
        <w:rPr>
          <w:rFonts w:ascii="Times New Roman" w:hAnsi="Times New Roman"/>
          <w:color w:val="0070C0"/>
          <w:sz w:val="16"/>
          <w:szCs w:val="16"/>
        </w:rPr>
        <w:t>Павлуновский</w:t>
      </w:r>
      <w:proofErr w:type="spellEnd"/>
      <w:r w:rsidRPr="00441F34">
        <w:rPr>
          <w:rFonts w:ascii="Times New Roman" w:hAnsi="Times New Roman"/>
          <w:color w:val="0070C0"/>
          <w:sz w:val="16"/>
          <w:szCs w:val="16"/>
        </w:rPr>
        <w:t xml:space="preserve"> резко изменил свою карьерную судьбу. Фактически именно он вместо А.Ф. </w:t>
      </w:r>
      <w:proofErr w:type="spellStart"/>
      <w:r w:rsidRPr="00441F34">
        <w:rPr>
          <w:rFonts w:ascii="Times New Roman" w:hAnsi="Times New Roman"/>
          <w:color w:val="0070C0"/>
          <w:sz w:val="16"/>
          <w:szCs w:val="16"/>
        </w:rPr>
        <w:t>Толоконцева</w:t>
      </w:r>
      <w:proofErr w:type="spellEnd"/>
      <w:r w:rsidRPr="00441F34">
        <w:rPr>
          <w:rFonts w:ascii="Times New Roman" w:hAnsi="Times New Roman"/>
          <w:color w:val="0070C0"/>
          <w:sz w:val="16"/>
          <w:szCs w:val="16"/>
        </w:rPr>
        <w:t xml:space="preserve"> стал управлять </w:t>
      </w:r>
      <w:proofErr w:type="spellStart"/>
      <w:r w:rsidRPr="00441F34">
        <w:rPr>
          <w:rFonts w:ascii="Times New Roman" w:hAnsi="Times New Roman"/>
          <w:color w:val="0070C0"/>
          <w:sz w:val="16"/>
          <w:szCs w:val="16"/>
        </w:rPr>
        <w:t>военпромом</w:t>
      </w:r>
      <w:proofErr w:type="spellEnd"/>
      <w:r w:rsidRPr="00441F34">
        <w:rPr>
          <w:rFonts w:ascii="Times New Roman" w:hAnsi="Times New Roman"/>
          <w:color w:val="0070C0"/>
          <w:sz w:val="16"/>
          <w:szCs w:val="16"/>
        </w:rPr>
        <w:t xml:space="preserve">. С июля 1931 года И.П. </w:t>
      </w:r>
      <w:proofErr w:type="spellStart"/>
      <w:r w:rsidRPr="00441F34">
        <w:rPr>
          <w:rFonts w:ascii="Times New Roman" w:hAnsi="Times New Roman"/>
          <w:color w:val="0070C0"/>
          <w:sz w:val="16"/>
          <w:szCs w:val="16"/>
        </w:rPr>
        <w:t>Павлуновский</w:t>
      </w:r>
      <w:proofErr w:type="spellEnd"/>
      <w:r w:rsidRPr="00441F34">
        <w:rPr>
          <w:rFonts w:ascii="Times New Roman" w:hAnsi="Times New Roman"/>
          <w:color w:val="0070C0"/>
          <w:sz w:val="16"/>
          <w:szCs w:val="16"/>
        </w:rPr>
        <w:t xml:space="preserve"> находился в должности заместителя председателя ВСНХ (то есть был заместителем Г.К. Орджоникидзе) по военной промышленности. В 1932 г. ВСНХ и его управленческие структуры были расформированы. Управление </w:t>
      </w:r>
      <w:proofErr w:type="spellStart"/>
      <w:r w:rsidRPr="00441F34">
        <w:rPr>
          <w:rFonts w:ascii="Times New Roman" w:hAnsi="Times New Roman"/>
          <w:color w:val="0070C0"/>
          <w:sz w:val="16"/>
          <w:szCs w:val="16"/>
        </w:rPr>
        <w:t>военпромом</w:t>
      </w:r>
      <w:proofErr w:type="spellEnd"/>
      <w:r w:rsidRPr="00441F34">
        <w:rPr>
          <w:rFonts w:ascii="Times New Roman" w:hAnsi="Times New Roman"/>
          <w:color w:val="0070C0"/>
          <w:sz w:val="16"/>
          <w:szCs w:val="16"/>
        </w:rPr>
        <w:t xml:space="preserve"> было сосредоточено в Главном военно-мобилизационном управлении (ГВМУ) в рамках вновь созданного Наркомата тяжелой промышленности СССР под руководством Г.К. Орджоникидзе. Возглавил ГВМУ и стал фактически правой рукой наркома </w:t>
      </w:r>
      <w:proofErr w:type="spellStart"/>
      <w:r w:rsidRPr="00441F34">
        <w:rPr>
          <w:rFonts w:ascii="Times New Roman" w:hAnsi="Times New Roman"/>
          <w:color w:val="0070C0"/>
          <w:sz w:val="16"/>
          <w:szCs w:val="16"/>
        </w:rPr>
        <w:t>тяжпрома</w:t>
      </w:r>
      <w:proofErr w:type="spellEnd"/>
      <w:r w:rsidRPr="00441F34">
        <w:rPr>
          <w:rFonts w:ascii="Times New Roman" w:hAnsi="Times New Roman"/>
          <w:color w:val="0070C0"/>
          <w:sz w:val="16"/>
          <w:szCs w:val="16"/>
        </w:rPr>
        <w:t xml:space="preserve"> именно И.П. </w:t>
      </w:r>
      <w:proofErr w:type="spellStart"/>
      <w:r w:rsidRPr="00441F34">
        <w:rPr>
          <w:rFonts w:ascii="Times New Roman" w:hAnsi="Times New Roman"/>
          <w:color w:val="0070C0"/>
          <w:sz w:val="16"/>
          <w:szCs w:val="16"/>
        </w:rPr>
        <w:t>Павлуновский</w:t>
      </w:r>
      <w:proofErr w:type="spellEnd"/>
      <w:r w:rsidRPr="00441F34">
        <w:rPr>
          <w:rFonts w:ascii="Times New Roman" w:hAnsi="Times New Roman"/>
          <w:color w:val="0070C0"/>
          <w:sz w:val="16"/>
          <w:szCs w:val="16"/>
        </w:rPr>
        <w:t xml:space="preserve">. А в 1934 г. он стал кандидатом в члены ЦК ВКП(б). Тогда как карьера А.Ф. </w:t>
      </w:r>
      <w:proofErr w:type="spellStart"/>
      <w:r w:rsidRPr="00441F34">
        <w:rPr>
          <w:rFonts w:ascii="Times New Roman" w:hAnsi="Times New Roman"/>
          <w:color w:val="0070C0"/>
          <w:sz w:val="16"/>
          <w:szCs w:val="16"/>
        </w:rPr>
        <w:t>Толоконцева</w:t>
      </w:r>
      <w:proofErr w:type="spellEnd"/>
      <w:r w:rsidRPr="00441F34">
        <w:rPr>
          <w:rFonts w:ascii="Times New Roman" w:hAnsi="Times New Roman"/>
          <w:color w:val="0070C0"/>
          <w:sz w:val="16"/>
          <w:szCs w:val="16"/>
        </w:rPr>
        <w:t xml:space="preserve"> стала медленно стремиться в противоположном направлении. В 1933 г. он из Управления машиностроения и металлообработки перешел на должность начальника </w:t>
      </w:r>
      <w:proofErr w:type="spellStart"/>
      <w:r w:rsidRPr="00441F34">
        <w:rPr>
          <w:rFonts w:ascii="Times New Roman" w:hAnsi="Times New Roman"/>
          <w:color w:val="0070C0"/>
          <w:sz w:val="16"/>
          <w:szCs w:val="16"/>
        </w:rPr>
        <w:t>Главточмаша</w:t>
      </w:r>
      <w:proofErr w:type="spellEnd"/>
      <w:r w:rsidRPr="00441F34">
        <w:rPr>
          <w:rFonts w:ascii="Times New Roman" w:hAnsi="Times New Roman"/>
          <w:color w:val="0070C0"/>
          <w:sz w:val="16"/>
          <w:szCs w:val="16"/>
        </w:rPr>
        <w:t xml:space="preserve"> Наркомата </w:t>
      </w:r>
      <w:proofErr w:type="spellStart"/>
      <w:r w:rsidRPr="00441F34">
        <w:rPr>
          <w:rFonts w:ascii="Times New Roman" w:hAnsi="Times New Roman"/>
          <w:color w:val="0070C0"/>
          <w:sz w:val="16"/>
          <w:szCs w:val="16"/>
        </w:rPr>
        <w:t>тяжпрома</w:t>
      </w:r>
      <w:proofErr w:type="spellEnd"/>
      <w:r w:rsidRPr="00441F34">
        <w:rPr>
          <w:rFonts w:ascii="Times New Roman" w:hAnsi="Times New Roman"/>
          <w:color w:val="0070C0"/>
          <w:sz w:val="16"/>
          <w:szCs w:val="16"/>
        </w:rPr>
        <w:t>, а в 1934 г. был выведен из состава кандидатов в члены ЦК ВКП(б). Однако итог обоих оказался одинаковым: в 1937 г. они были арестованы и впоследствии расстреляны[49] (23536).</w:t>
      </w:r>
    </w:p>
    <w:p w14:paraId="46123C2F" w14:textId="77777777" w:rsidR="00A86A94" w:rsidRPr="00441F34" w:rsidRDefault="00A86A94" w:rsidP="00A86A94">
      <w:pPr>
        <w:spacing w:after="0" w:line="240" w:lineRule="auto"/>
        <w:jc w:val="both"/>
        <w:rPr>
          <w:rFonts w:ascii="Times New Roman" w:hAnsi="Times New Roman"/>
          <w:color w:val="0070C0"/>
          <w:sz w:val="16"/>
          <w:szCs w:val="16"/>
        </w:rPr>
      </w:pPr>
    </w:p>
    <w:p w14:paraId="6CC598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октябре 1929 г. на заводе им. А. Марти в </w:t>
      </w:r>
      <w:proofErr w:type="spellStart"/>
      <w:r w:rsidRPr="00A259BD">
        <w:rPr>
          <w:rFonts w:ascii="Times New Roman" w:hAnsi="Times New Roman"/>
          <w:color w:val="000000" w:themeColor="text1"/>
          <w:sz w:val="16"/>
          <w:szCs w:val="16"/>
        </w:rPr>
        <w:t>Лениграде</w:t>
      </w:r>
      <w:proofErr w:type="spellEnd"/>
      <w:r w:rsidRPr="00A259BD">
        <w:rPr>
          <w:rFonts w:ascii="Times New Roman" w:hAnsi="Times New Roman"/>
          <w:color w:val="000000" w:themeColor="text1"/>
          <w:sz w:val="16"/>
          <w:szCs w:val="16"/>
        </w:rPr>
        <w:t xml:space="preserve"> были за</w:t>
      </w:r>
      <w:r w:rsidRPr="00A259BD">
        <w:rPr>
          <w:rFonts w:ascii="Times New Roman" w:hAnsi="Times New Roman"/>
          <w:color w:val="000000" w:themeColor="text1"/>
          <w:sz w:val="16"/>
          <w:szCs w:val="16"/>
        </w:rPr>
        <w:softHyphen/>
        <w:t>ложены первые 200-сильные одновинтовые паровые буксиры "</w:t>
      </w:r>
      <w:proofErr w:type="spellStart"/>
      <w:r w:rsidRPr="00A259BD">
        <w:rPr>
          <w:rFonts w:ascii="Times New Roman" w:hAnsi="Times New Roman"/>
          <w:color w:val="000000" w:themeColor="text1"/>
          <w:sz w:val="16"/>
          <w:szCs w:val="16"/>
        </w:rPr>
        <w:t>Мартиец</w:t>
      </w:r>
      <w:proofErr w:type="spellEnd"/>
      <w:r w:rsidRPr="00A259BD">
        <w:rPr>
          <w:rFonts w:ascii="Times New Roman" w:hAnsi="Times New Roman"/>
          <w:color w:val="000000" w:themeColor="text1"/>
          <w:sz w:val="16"/>
          <w:szCs w:val="16"/>
        </w:rPr>
        <w:t xml:space="preserve">", "Ударник", "Октябренок", "Производственник" и др. Они положили начало самой крупной серии в предвоенном </w:t>
      </w:r>
      <w:proofErr w:type="spellStart"/>
      <w:r w:rsidRPr="00A259BD">
        <w:rPr>
          <w:rFonts w:ascii="Times New Roman" w:hAnsi="Times New Roman"/>
          <w:color w:val="000000" w:themeColor="text1"/>
          <w:sz w:val="16"/>
          <w:szCs w:val="16"/>
        </w:rPr>
        <w:t>буксирост</w:t>
      </w:r>
      <w:proofErr w:type="spellEnd"/>
      <w:r w:rsidRPr="00A259BD">
        <w:rPr>
          <w:rFonts w:ascii="Times New Roman" w:hAnsi="Times New Roman"/>
          <w:color w:val="000000" w:themeColor="text1"/>
          <w:sz w:val="16"/>
          <w:szCs w:val="16"/>
        </w:rPr>
        <w:t>-роении (94 единицы). Небольшие однопалубные одновинтовые су</w:t>
      </w:r>
      <w:r w:rsidRPr="00A259BD">
        <w:rPr>
          <w:rFonts w:ascii="Times New Roman" w:hAnsi="Times New Roman"/>
          <w:color w:val="000000" w:themeColor="text1"/>
          <w:sz w:val="16"/>
          <w:szCs w:val="16"/>
        </w:rPr>
        <w:softHyphen/>
        <w:t>да типа "</w:t>
      </w:r>
      <w:proofErr w:type="spellStart"/>
      <w:r w:rsidRPr="00A259BD">
        <w:rPr>
          <w:rFonts w:ascii="Times New Roman" w:hAnsi="Times New Roman"/>
          <w:color w:val="000000" w:themeColor="text1"/>
          <w:sz w:val="16"/>
          <w:szCs w:val="16"/>
        </w:rPr>
        <w:t>Мартиец</w:t>
      </w:r>
      <w:proofErr w:type="spellEnd"/>
      <w:r w:rsidRPr="00A259BD">
        <w:rPr>
          <w:rFonts w:ascii="Times New Roman" w:hAnsi="Times New Roman"/>
          <w:color w:val="000000" w:themeColor="text1"/>
          <w:sz w:val="16"/>
          <w:szCs w:val="16"/>
        </w:rPr>
        <w:t>" проектировались для потребностей Мезенского порта. Механическая установка включала паровую машину тройно</w:t>
      </w:r>
      <w:r w:rsidRPr="00A259BD">
        <w:rPr>
          <w:rFonts w:ascii="Times New Roman" w:hAnsi="Times New Roman"/>
          <w:color w:val="000000" w:themeColor="text1"/>
          <w:sz w:val="16"/>
          <w:szCs w:val="16"/>
        </w:rPr>
        <w:softHyphen/>
        <w:t xml:space="preserve">го расширения и цилиндрический </w:t>
      </w:r>
      <w:proofErr w:type="spellStart"/>
      <w:r w:rsidRPr="00A259BD">
        <w:rPr>
          <w:rFonts w:ascii="Times New Roman" w:hAnsi="Times New Roman"/>
          <w:color w:val="000000" w:themeColor="text1"/>
          <w:sz w:val="16"/>
          <w:szCs w:val="16"/>
        </w:rPr>
        <w:t>двухтопочный</w:t>
      </w:r>
      <w:proofErr w:type="spellEnd"/>
      <w:r w:rsidRPr="00A259BD">
        <w:rPr>
          <w:rFonts w:ascii="Times New Roman" w:hAnsi="Times New Roman"/>
          <w:color w:val="000000" w:themeColor="text1"/>
          <w:sz w:val="16"/>
          <w:szCs w:val="16"/>
        </w:rPr>
        <w:t xml:space="preserve"> котел с рабочим давлением пара 13 кгс/см. Первые десять буксиров этого типа в 1929—1932 гг. построил завод им. А. Марти. С 1931 г. в их по</w:t>
      </w:r>
      <w:r w:rsidRPr="00A259BD">
        <w:rPr>
          <w:rFonts w:ascii="Times New Roman" w:hAnsi="Times New Roman"/>
          <w:color w:val="000000" w:themeColor="text1"/>
          <w:sz w:val="16"/>
          <w:szCs w:val="16"/>
        </w:rPr>
        <w:softHyphen/>
        <w:t xml:space="preserve">стройку включился </w:t>
      </w:r>
      <w:proofErr w:type="spellStart"/>
      <w:r w:rsidRPr="00A259BD">
        <w:rPr>
          <w:rFonts w:ascii="Times New Roman" w:hAnsi="Times New Roman"/>
          <w:color w:val="000000" w:themeColor="text1"/>
          <w:sz w:val="16"/>
          <w:szCs w:val="16"/>
        </w:rPr>
        <w:t>Петрозавод</w:t>
      </w:r>
      <w:proofErr w:type="spellEnd"/>
      <w:r w:rsidRPr="00A259BD">
        <w:rPr>
          <w:rFonts w:ascii="Times New Roman" w:hAnsi="Times New Roman"/>
          <w:color w:val="000000" w:themeColor="text1"/>
          <w:sz w:val="16"/>
          <w:szCs w:val="16"/>
        </w:rPr>
        <w:t>, сдавший до 1940 г. 39 единиц в десяти сериях. Начиная со второй серии корпуса буксиров строи</w:t>
      </w:r>
      <w:r w:rsidRPr="00A259BD">
        <w:rPr>
          <w:rFonts w:ascii="Times New Roman" w:hAnsi="Times New Roman"/>
          <w:color w:val="000000" w:themeColor="text1"/>
          <w:sz w:val="16"/>
          <w:szCs w:val="16"/>
        </w:rPr>
        <w:softHyphen/>
        <w:t>лись полностью сварными, что позволило уменьшить массу корпу</w:t>
      </w:r>
      <w:r w:rsidRPr="00A259BD">
        <w:rPr>
          <w:rFonts w:ascii="Times New Roman" w:hAnsi="Times New Roman"/>
          <w:color w:val="000000" w:themeColor="text1"/>
          <w:sz w:val="16"/>
          <w:szCs w:val="16"/>
        </w:rPr>
        <w:softHyphen/>
        <w:t>са на 8 т (3898).</w:t>
      </w:r>
    </w:p>
    <w:p w14:paraId="736FCB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ED931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0F319CA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5443DA"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г. МР-1 68-го отряда совместно с Р-1 40-й ар</w:t>
      </w:r>
      <w:r w:rsidRPr="00A259BD">
        <w:rPr>
          <w:rFonts w:ascii="Times New Roman" w:hAnsi="Times New Roman"/>
          <w:color w:val="000000" w:themeColor="text1"/>
          <w:sz w:val="16"/>
          <w:szCs w:val="16"/>
        </w:rPr>
        <w:softHyphen/>
        <w:t xml:space="preserve">мейской эскадрильи действовали в районе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 xml:space="preserve"> против китайской флотилии, сос</w:t>
      </w:r>
      <w:r w:rsidRPr="00A259BD">
        <w:rPr>
          <w:rFonts w:ascii="Times New Roman" w:hAnsi="Times New Roman"/>
          <w:color w:val="000000" w:themeColor="text1"/>
          <w:sz w:val="16"/>
          <w:szCs w:val="16"/>
        </w:rPr>
        <w:softHyphen/>
        <w:t>редоточенной в устье реки Сунгари. Само</w:t>
      </w:r>
      <w:r w:rsidRPr="00A259BD">
        <w:rPr>
          <w:rFonts w:ascii="Times New Roman" w:hAnsi="Times New Roman"/>
          <w:color w:val="000000" w:themeColor="text1"/>
          <w:sz w:val="16"/>
          <w:szCs w:val="16"/>
        </w:rPr>
        <w:softHyphen/>
        <w:t>леты 40-й эскадрильи и 68-го отряда бомби</w:t>
      </w:r>
      <w:r w:rsidRPr="00A259BD">
        <w:rPr>
          <w:rFonts w:ascii="Times New Roman" w:hAnsi="Times New Roman"/>
          <w:color w:val="000000" w:themeColor="text1"/>
          <w:sz w:val="16"/>
          <w:szCs w:val="16"/>
        </w:rPr>
        <w:softHyphen/>
        <w:t>ли вражеские укрепления, корабли, огневые точки и во многом способствовали успешно</w:t>
      </w:r>
      <w:r w:rsidRPr="00A259BD">
        <w:rPr>
          <w:rFonts w:ascii="Times New Roman" w:hAnsi="Times New Roman"/>
          <w:color w:val="000000" w:themeColor="text1"/>
          <w:sz w:val="16"/>
          <w:szCs w:val="16"/>
        </w:rPr>
        <w:softHyphen/>
        <w:t xml:space="preserve">му захвату </w:t>
      </w:r>
      <w:proofErr w:type="spellStart"/>
      <w:r w:rsidRPr="00A259BD">
        <w:rPr>
          <w:rFonts w:ascii="Times New Roman" w:hAnsi="Times New Roman"/>
          <w:color w:val="000000" w:themeColor="text1"/>
          <w:sz w:val="16"/>
          <w:szCs w:val="16"/>
        </w:rPr>
        <w:t>Лахасусу</w:t>
      </w:r>
      <w:proofErr w:type="spellEnd"/>
      <w:r w:rsidRPr="00A259BD">
        <w:rPr>
          <w:rFonts w:ascii="Times New Roman" w:hAnsi="Times New Roman"/>
          <w:color w:val="000000" w:themeColor="text1"/>
          <w:sz w:val="16"/>
          <w:szCs w:val="16"/>
        </w:rPr>
        <w:t>.</w:t>
      </w:r>
    </w:p>
    <w:p w14:paraId="24BC0C71"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во время вооруженного конфлик</w:t>
      </w:r>
      <w:r w:rsidRPr="00A259BD">
        <w:rPr>
          <w:rFonts w:ascii="Times New Roman" w:hAnsi="Times New Roman"/>
          <w:color w:val="000000" w:themeColor="text1"/>
          <w:sz w:val="16"/>
          <w:szCs w:val="16"/>
        </w:rPr>
        <w:softHyphen/>
        <w:t>та на Китайско-Восточной железной доро</w:t>
      </w:r>
      <w:r w:rsidRPr="00A259BD">
        <w:rPr>
          <w:rFonts w:ascii="Times New Roman" w:hAnsi="Times New Roman"/>
          <w:color w:val="000000" w:themeColor="text1"/>
          <w:sz w:val="16"/>
          <w:szCs w:val="16"/>
        </w:rPr>
        <w:softHyphen/>
        <w:t xml:space="preserve">ге (КВЖД) ценный опыт речных флотилий использовали вполне успешно. В советскую авиационную группировку включили 68-й </w:t>
      </w:r>
      <w:proofErr w:type="spellStart"/>
      <w:r w:rsidRPr="00A259BD">
        <w:rPr>
          <w:rFonts w:ascii="Times New Roman" w:hAnsi="Times New Roman"/>
          <w:color w:val="000000" w:themeColor="text1"/>
          <w:sz w:val="16"/>
          <w:szCs w:val="16"/>
        </w:rPr>
        <w:t>гидроотряд</w:t>
      </w:r>
      <w:proofErr w:type="spellEnd"/>
      <w:r w:rsidRPr="00A259BD">
        <w:rPr>
          <w:rFonts w:ascii="Times New Roman" w:hAnsi="Times New Roman"/>
          <w:color w:val="000000" w:themeColor="text1"/>
          <w:sz w:val="16"/>
          <w:szCs w:val="16"/>
        </w:rPr>
        <w:t xml:space="preserve"> под командованием </w:t>
      </w:r>
      <w:proofErr w:type="spellStart"/>
      <w:r w:rsidRPr="00A259BD">
        <w:rPr>
          <w:rFonts w:ascii="Times New Roman" w:hAnsi="Times New Roman"/>
          <w:color w:val="000000" w:themeColor="text1"/>
          <w:sz w:val="16"/>
          <w:szCs w:val="16"/>
        </w:rPr>
        <w:t>Э.М.Лухта</w:t>
      </w:r>
      <w:proofErr w:type="spellEnd"/>
      <w:r w:rsidRPr="00A259BD">
        <w:rPr>
          <w:rFonts w:ascii="Times New Roman" w:hAnsi="Times New Roman"/>
          <w:color w:val="000000" w:themeColor="text1"/>
          <w:sz w:val="16"/>
          <w:szCs w:val="16"/>
        </w:rPr>
        <w:t>, состоящий из 6-8 поплавковых гидросамо</w:t>
      </w:r>
      <w:r w:rsidRPr="00A259BD">
        <w:rPr>
          <w:rFonts w:ascii="Times New Roman" w:hAnsi="Times New Roman"/>
          <w:color w:val="000000" w:themeColor="text1"/>
          <w:sz w:val="16"/>
          <w:szCs w:val="16"/>
        </w:rPr>
        <w:softHyphen/>
        <w:t>летов МР-1. Отряд базировался на несамо</w:t>
      </w:r>
      <w:r w:rsidRPr="00A259BD">
        <w:rPr>
          <w:rFonts w:ascii="Times New Roman" w:hAnsi="Times New Roman"/>
          <w:color w:val="000000" w:themeColor="text1"/>
          <w:sz w:val="16"/>
          <w:szCs w:val="16"/>
        </w:rPr>
        <w:softHyphen/>
        <w:t>ходной авиаматке «Амур» (бывший монитор «Вихрь»), которая могла брать на борт однов</w:t>
      </w:r>
      <w:r w:rsidRPr="00A259BD">
        <w:rPr>
          <w:rFonts w:ascii="Times New Roman" w:hAnsi="Times New Roman"/>
          <w:color w:val="000000" w:themeColor="text1"/>
          <w:sz w:val="16"/>
          <w:szCs w:val="16"/>
        </w:rPr>
        <w:softHyphen/>
        <w:t>ременно 4 гидросамолета.</w:t>
      </w:r>
    </w:p>
    <w:p w14:paraId="5D360378"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втором этапе операции. 30 октября, со</w:t>
      </w:r>
      <w:r w:rsidRPr="00A259BD">
        <w:rPr>
          <w:rFonts w:ascii="Times New Roman" w:hAnsi="Times New Roman"/>
          <w:color w:val="000000" w:themeColor="text1"/>
          <w:sz w:val="16"/>
          <w:szCs w:val="16"/>
        </w:rPr>
        <w:softHyphen/>
        <w:t xml:space="preserve">ветская флотилия двинулась вверх по Сунгари, ставя задачей разгромить противника в районе </w:t>
      </w:r>
      <w:proofErr w:type="spellStart"/>
      <w:r w:rsidRPr="00A259BD">
        <w:rPr>
          <w:rFonts w:ascii="Times New Roman" w:hAnsi="Times New Roman"/>
          <w:color w:val="000000" w:themeColor="text1"/>
          <w:sz w:val="16"/>
          <w:szCs w:val="16"/>
        </w:rPr>
        <w:t>Фугдина</w:t>
      </w:r>
      <w:proofErr w:type="spellEnd"/>
      <w:r w:rsidRPr="00A259BD">
        <w:rPr>
          <w:rFonts w:ascii="Times New Roman" w:hAnsi="Times New Roman"/>
          <w:color w:val="000000" w:themeColor="text1"/>
          <w:sz w:val="16"/>
          <w:szCs w:val="16"/>
        </w:rPr>
        <w:t xml:space="preserve">. МР-1 68-го отряда вели воздушную разведку и охрану своей флотилии с десантом. В первый день было совершено 17 вылетов на разведку. 31 октября командир отряда </w:t>
      </w:r>
      <w:proofErr w:type="spellStart"/>
      <w:r w:rsidRPr="00A259BD">
        <w:rPr>
          <w:rFonts w:ascii="Times New Roman" w:hAnsi="Times New Roman"/>
          <w:color w:val="000000" w:themeColor="text1"/>
          <w:sz w:val="16"/>
          <w:szCs w:val="16"/>
        </w:rPr>
        <w:t>Лухт</w:t>
      </w:r>
      <w:proofErr w:type="spellEnd"/>
      <w:r w:rsidRPr="00A259BD">
        <w:rPr>
          <w:rFonts w:ascii="Times New Roman" w:hAnsi="Times New Roman"/>
          <w:color w:val="000000" w:themeColor="text1"/>
          <w:sz w:val="16"/>
          <w:szCs w:val="16"/>
        </w:rPr>
        <w:t xml:space="preserve"> в паре с летчиком </w:t>
      </w:r>
      <w:proofErr w:type="spellStart"/>
      <w:r w:rsidRPr="00A259BD">
        <w:rPr>
          <w:rFonts w:ascii="Times New Roman" w:hAnsi="Times New Roman"/>
          <w:color w:val="000000" w:themeColor="text1"/>
          <w:sz w:val="16"/>
          <w:szCs w:val="16"/>
        </w:rPr>
        <w:t>Д.И.Боровиковым</w:t>
      </w:r>
      <w:proofErr w:type="spellEnd"/>
      <w:r w:rsidRPr="00A259BD">
        <w:rPr>
          <w:rFonts w:ascii="Times New Roman" w:hAnsi="Times New Roman"/>
          <w:color w:val="000000" w:themeColor="text1"/>
          <w:sz w:val="16"/>
          <w:szCs w:val="16"/>
        </w:rPr>
        <w:t xml:space="preserve"> вылетел на бомбардировку вражеских укреплений и кора</w:t>
      </w:r>
      <w:r w:rsidRPr="00A259BD">
        <w:rPr>
          <w:rFonts w:ascii="Times New Roman" w:hAnsi="Times New Roman"/>
          <w:color w:val="000000" w:themeColor="text1"/>
          <w:sz w:val="16"/>
          <w:szCs w:val="16"/>
        </w:rPr>
        <w:softHyphen/>
        <w:t>блей. Несмотря на ожесточенный огонь с зем</w:t>
      </w:r>
      <w:r w:rsidRPr="00A259BD">
        <w:rPr>
          <w:rFonts w:ascii="Times New Roman" w:hAnsi="Times New Roman"/>
          <w:color w:val="000000" w:themeColor="text1"/>
          <w:sz w:val="16"/>
          <w:szCs w:val="16"/>
        </w:rPr>
        <w:softHyphen/>
        <w:t>ли, два МР-1 прицельно отбомбились по ки</w:t>
      </w:r>
      <w:r w:rsidRPr="00A259BD">
        <w:rPr>
          <w:rFonts w:ascii="Times New Roman" w:hAnsi="Times New Roman"/>
          <w:color w:val="000000" w:themeColor="text1"/>
          <w:sz w:val="16"/>
          <w:szCs w:val="16"/>
        </w:rPr>
        <w:softHyphen/>
        <w:t xml:space="preserve">тайской канонерской лодке «Цзян </w:t>
      </w:r>
      <w:proofErr w:type="spellStart"/>
      <w:r w:rsidRPr="00A259BD">
        <w:rPr>
          <w:rFonts w:ascii="Times New Roman" w:hAnsi="Times New Roman"/>
          <w:color w:val="000000" w:themeColor="text1"/>
          <w:sz w:val="16"/>
          <w:szCs w:val="16"/>
        </w:rPr>
        <w:t>Хэн</w:t>
      </w:r>
      <w:proofErr w:type="spellEnd"/>
      <w:r w:rsidRPr="00A259BD">
        <w:rPr>
          <w:rFonts w:ascii="Times New Roman" w:hAnsi="Times New Roman"/>
          <w:color w:val="000000" w:themeColor="text1"/>
          <w:sz w:val="16"/>
          <w:szCs w:val="16"/>
        </w:rPr>
        <w:t xml:space="preserve">» («Ки- </w:t>
      </w:r>
      <w:proofErr w:type="spellStart"/>
      <w:r w:rsidRPr="00A259BD">
        <w:rPr>
          <w:rFonts w:ascii="Times New Roman" w:hAnsi="Times New Roman"/>
          <w:color w:val="000000" w:themeColor="text1"/>
          <w:sz w:val="16"/>
          <w:szCs w:val="16"/>
        </w:rPr>
        <w:t>анг-Хенг</w:t>
      </w:r>
      <w:proofErr w:type="spellEnd"/>
      <w:r w:rsidRPr="00A259BD">
        <w:rPr>
          <w:rFonts w:ascii="Times New Roman" w:hAnsi="Times New Roman"/>
          <w:color w:val="000000" w:themeColor="text1"/>
          <w:sz w:val="16"/>
          <w:szCs w:val="16"/>
        </w:rPr>
        <w:t>»).</w:t>
      </w:r>
    </w:p>
    <w:p w14:paraId="7C300A2D"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Впоследствии </w:t>
      </w:r>
      <w:proofErr w:type="spellStart"/>
      <w:r w:rsidRPr="00A259BD">
        <w:rPr>
          <w:rFonts w:ascii="Times New Roman" w:hAnsi="Times New Roman"/>
          <w:color w:val="000000" w:themeColor="text1"/>
          <w:sz w:val="16"/>
          <w:szCs w:val="16"/>
        </w:rPr>
        <w:t>Э.М.Лухт</w:t>
      </w:r>
      <w:proofErr w:type="spellEnd"/>
      <w:r w:rsidRPr="00A259BD">
        <w:rPr>
          <w:rFonts w:ascii="Times New Roman" w:hAnsi="Times New Roman"/>
          <w:color w:val="000000" w:themeColor="text1"/>
          <w:sz w:val="16"/>
          <w:szCs w:val="16"/>
        </w:rPr>
        <w:t xml:space="preserve"> докладывал: «Лет</w:t>
      </w:r>
      <w:r w:rsidRPr="00A259BD">
        <w:rPr>
          <w:rFonts w:ascii="Times New Roman" w:hAnsi="Times New Roman"/>
          <w:color w:val="000000" w:themeColor="text1"/>
          <w:sz w:val="16"/>
          <w:szCs w:val="16"/>
        </w:rPr>
        <w:softHyphen/>
        <w:t>чиками отряда уничтожены канонерка «</w:t>
      </w:r>
      <w:proofErr w:type="spellStart"/>
      <w:r w:rsidRPr="00A259BD">
        <w:rPr>
          <w:rFonts w:ascii="Times New Roman" w:hAnsi="Times New Roman"/>
          <w:color w:val="000000" w:themeColor="text1"/>
          <w:sz w:val="16"/>
          <w:szCs w:val="16"/>
        </w:rPr>
        <w:t>Кианг-Хенг</w:t>
      </w:r>
      <w:proofErr w:type="spellEnd"/>
      <w:r w:rsidRPr="00A259BD">
        <w:rPr>
          <w:rFonts w:ascii="Times New Roman" w:hAnsi="Times New Roman"/>
          <w:color w:val="000000" w:themeColor="text1"/>
          <w:sz w:val="16"/>
          <w:szCs w:val="16"/>
        </w:rPr>
        <w:t xml:space="preserve">», вооруженный пароход, баржа... Подавлены вражеская артиллерия и пулеметные точки. Рассеяна </w:t>
      </w:r>
      <w:proofErr w:type="spellStart"/>
      <w:r w:rsidRPr="00A259BD">
        <w:rPr>
          <w:rFonts w:ascii="Times New Roman" w:hAnsi="Times New Roman"/>
          <w:color w:val="000000" w:themeColor="text1"/>
          <w:sz w:val="16"/>
          <w:szCs w:val="16"/>
        </w:rPr>
        <w:t>белокитайская</w:t>
      </w:r>
      <w:proofErr w:type="spellEnd"/>
      <w:r w:rsidRPr="00A259BD">
        <w:rPr>
          <w:rFonts w:ascii="Times New Roman" w:hAnsi="Times New Roman"/>
          <w:color w:val="000000" w:themeColor="text1"/>
          <w:sz w:val="16"/>
          <w:szCs w:val="16"/>
        </w:rPr>
        <w:t xml:space="preserve"> кон</w:t>
      </w:r>
      <w:r w:rsidRPr="00A259BD">
        <w:rPr>
          <w:rFonts w:ascii="Times New Roman" w:hAnsi="Times New Roman"/>
          <w:color w:val="000000" w:themeColor="text1"/>
          <w:sz w:val="16"/>
          <w:szCs w:val="16"/>
        </w:rPr>
        <w:softHyphen/>
        <w:t>ница, чем оказана помощь десанту».</w:t>
      </w:r>
    </w:p>
    <w:p w14:paraId="5A035CA7"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Следует отметить, что в ходе всей кампа</w:t>
      </w:r>
      <w:r w:rsidRPr="00A259BD">
        <w:rPr>
          <w:rFonts w:ascii="Times New Roman" w:hAnsi="Times New Roman"/>
          <w:color w:val="000000" w:themeColor="text1"/>
          <w:sz w:val="16"/>
          <w:szCs w:val="16"/>
        </w:rPr>
        <w:softHyphen/>
        <w:t>нии гидросамолетами МР-1 было потопле</w:t>
      </w:r>
      <w:r w:rsidRPr="00A259BD">
        <w:rPr>
          <w:rFonts w:ascii="Times New Roman" w:hAnsi="Times New Roman"/>
          <w:color w:val="000000" w:themeColor="text1"/>
          <w:sz w:val="16"/>
          <w:szCs w:val="16"/>
        </w:rPr>
        <w:softHyphen/>
        <w:t xml:space="preserve">но несколько судов противника, в том числе вооруженные пароходы «Цзян Тун» и «Цзян </w:t>
      </w:r>
      <w:proofErr w:type="spellStart"/>
      <w:r w:rsidRPr="00A259BD">
        <w:rPr>
          <w:rFonts w:ascii="Times New Roman" w:hAnsi="Times New Roman"/>
          <w:color w:val="000000" w:themeColor="text1"/>
          <w:sz w:val="16"/>
          <w:szCs w:val="16"/>
        </w:rPr>
        <w:t>Нань</w:t>
      </w:r>
      <w:proofErr w:type="spellEnd"/>
      <w:r w:rsidRPr="00A259BD">
        <w:rPr>
          <w:rFonts w:ascii="Times New Roman" w:hAnsi="Times New Roman"/>
          <w:color w:val="000000" w:themeColor="text1"/>
          <w:sz w:val="16"/>
          <w:szCs w:val="16"/>
        </w:rPr>
        <w:t>».То есть операции на КВЖД для совет</w:t>
      </w:r>
      <w:r w:rsidRPr="00A259BD">
        <w:rPr>
          <w:rFonts w:ascii="Times New Roman" w:hAnsi="Times New Roman"/>
          <w:color w:val="000000" w:themeColor="text1"/>
          <w:sz w:val="16"/>
          <w:szCs w:val="16"/>
        </w:rPr>
        <w:softHyphen/>
        <w:t>ской морской авиации можно расценивать как одни из наиболее успешных (12301).</w:t>
      </w:r>
    </w:p>
    <w:p w14:paraId="4E0659B2" w14:textId="77777777" w:rsidR="00466152" w:rsidRPr="00A259BD" w:rsidRDefault="00466152" w:rsidP="009236E3">
      <w:pPr>
        <w:spacing w:after="0" w:line="240" w:lineRule="auto"/>
        <w:jc w:val="both"/>
        <w:rPr>
          <w:rFonts w:ascii="Times New Roman" w:hAnsi="Times New Roman"/>
          <w:color w:val="000000" w:themeColor="text1"/>
          <w:sz w:val="16"/>
          <w:szCs w:val="16"/>
        </w:rPr>
      </w:pPr>
    </w:p>
    <w:p w14:paraId="64ABD223"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октябре 1929 «Вестник воздушного </w:t>
      </w:r>
      <w:proofErr w:type="spellStart"/>
      <w:r w:rsidRPr="00A259BD">
        <w:rPr>
          <w:rFonts w:ascii="Times New Roman" w:hAnsi="Times New Roman"/>
          <w:color w:val="000000" w:themeColor="text1"/>
          <w:sz w:val="16"/>
          <w:szCs w:val="16"/>
        </w:rPr>
        <w:t>флота»А.Н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Лапчинский</w:t>
      </w:r>
      <w:proofErr w:type="spellEnd"/>
      <w:r w:rsidRPr="00A259BD">
        <w:rPr>
          <w:rFonts w:ascii="Times New Roman" w:hAnsi="Times New Roman"/>
          <w:color w:val="000000" w:themeColor="text1"/>
          <w:sz w:val="16"/>
          <w:szCs w:val="16"/>
        </w:rPr>
        <w:t xml:space="preserve"> писал о том, что «текущий год ознаменовался выходом ряда новых уставов и наставлений, которые должны будут предопределить нашу подготовку на ближайший период времени. (…) Как показывает практика, положения уставов иногда вызывают сомнение на местах. Редакция предлагает со всеми такими сомнениями обращаться к ней» Далее, говоря о новом Полевом Уставе (ПУ–29), он пишет, что «задачи авиации ПУ–29 формулирует следующим образом: авиация содействует сухопутным войскам в выполнении боевых задач, нападая с воздуха на живую силу противника и охраняя их от воздушных нападений борьбой с авиацией противника; препятствует воздушной разведке противника; обслуживает командование и войска разведкою, наблюдением за стрельбой артиллерии и несением службы связи; выполняет самостоятельные оперативные задачи». Там же А.Н. </w:t>
      </w:r>
      <w:proofErr w:type="spellStart"/>
      <w:r w:rsidRPr="00A259BD">
        <w:rPr>
          <w:rFonts w:ascii="Times New Roman" w:hAnsi="Times New Roman"/>
          <w:color w:val="000000" w:themeColor="text1"/>
          <w:sz w:val="16"/>
          <w:szCs w:val="16"/>
        </w:rPr>
        <w:t>Лапчинский</w:t>
      </w:r>
      <w:proofErr w:type="spellEnd"/>
      <w:r w:rsidRPr="00A259BD">
        <w:rPr>
          <w:rFonts w:ascii="Times New Roman" w:hAnsi="Times New Roman"/>
          <w:color w:val="000000" w:themeColor="text1"/>
          <w:sz w:val="16"/>
          <w:szCs w:val="16"/>
        </w:rPr>
        <w:t>, комментируя Боевой устав истребительной авиации (БУИА–29), писал, что «структура авиационных уставов подверглась коренной переработке. (…) В приложении даны закрепленные окончательно строи троек и их боевые порядки. Будем надеяться, что и в других родах авиации мы не встретимся больше с «гусями» по 15 и 20 самолетов» (19566).</w:t>
      </w:r>
    </w:p>
    <w:p w14:paraId="2EA965B4" w14:textId="77777777" w:rsidR="00435068" w:rsidRPr="00A259BD" w:rsidRDefault="00435068" w:rsidP="009236E3">
      <w:pPr>
        <w:spacing w:after="0" w:line="240" w:lineRule="auto"/>
        <w:jc w:val="both"/>
        <w:rPr>
          <w:rFonts w:ascii="Times New Roman" w:hAnsi="Times New Roman"/>
          <w:color w:val="000000" w:themeColor="text1"/>
          <w:sz w:val="16"/>
          <w:szCs w:val="16"/>
        </w:rPr>
      </w:pPr>
    </w:p>
    <w:p w14:paraId="33AF6DD4"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П. Семенов в статье в «Вестнике ВФ» «Работа штурмовой авиации» пишет: «штурмовики действуют группами, а потому необходимы части такого состава, чтобы они могли выполнять типичные свои задачи, не требуя сосредоточения нескольких частей. (…) Боевая единица штурмовиков – это звено 3 – 5 самолетов. Для атаки большой колонны, глубиной до 15 км, потребуются 5 – 6 звеньев, т. е. 15 – 18 самолетов. Считая, что это будет 50 % действующих самолетов, полное их количество должно быть 30 – 36 самолетов. 50 % запаса объясняется большими потерями и порчей материальной части. (…) Кроме того, в штурмовой части необходимы разведывательные самолеты, по одному на отряд. (…) В итоге вместе с командирским самолетом число машин должно быть до 40. (…) В вузах ВВС должны быть специальные отделы, подготовляющие личный состав штурмовиков» (19566).</w:t>
      </w:r>
    </w:p>
    <w:p w14:paraId="6C1523C6" w14:textId="77777777" w:rsidR="00435068" w:rsidRPr="00A259BD" w:rsidRDefault="00435068" w:rsidP="009236E3">
      <w:pPr>
        <w:spacing w:after="0" w:line="240" w:lineRule="auto"/>
        <w:jc w:val="both"/>
        <w:rPr>
          <w:rFonts w:ascii="Times New Roman" w:hAnsi="Times New Roman"/>
          <w:color w:val="000000" w:themeColor="text1"/>
          <w:sz w:val="16"/>
          <w:szCs w:val="16"/>
        </w:rPr>
      </w:pPr>
    </w:p>
    <w:p w14:paraId="020A40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октябрь 1929 г. приходится пик численности самолетов </w:t>
      </w:r>
      <w:r w:rsidR="00466152" w:rsidRPr="00A259BD">
        <w:rPr>
          <w:rFonts w:ascii="Times New Roman" w:hAnsi="Times New Roman"/>
          <w:color w:val="000000" w:themeColor="text1"/>
          <w:sz w:val="16"/>
          <w:szCs w:val="16"/>
        </w:rPr>
        <w:t xml:space="preserve">Р-3 </w:t>
      </w:r>
      <w:r w:rsidRPr="00A259BD">
        <w:rPr>
          <w:rFonts w:ascii="Times New Roman" w:hAnsi="Times New Roman"/>
          <w:color w:val="000000" w:themeColor="text1"/>
          <w:sz w:val="16"/>
          <w:szCs w:val="16"/>
        </w:rPr>
        <w:t>в ВВС РККА: 93 Р-ЗЛД и 19 Р-ЗМ5. Это соответствовало плановым показателям - на эту дату предполагалось иметь в общей сложности 112 Р-3. Но удельный вес разведчиков Туполева в ВВС был невелик - на ту же дату в строю числилось более 1300 Р-1. Р-ЗЛД чаще всего вели визуальную разведку. Донесения летнаб обычно писал карандашом на листочках из блокнота, которые потом сбрасывались в капсуле с вымпелом. Реже пользовались фотоаппаратом - штатным плановым или ручным. Самолеты осуществляли бомбометание и обстрел учебных целей, а также обеспечивали связь между частями и штабами на земле. Они доставляли донесения и карты. Ответные сообщения с земли нередко подбирали "кошкой" - крюком на тросе. Пакет подвешивали на веревке между двумя шестами или пирамидами из винтовок. Упражнение это было довольно опасным и выполнялось только при наличии большой ровной площадки (11985).</w:t>
      </w:r>
    </w:p>
    <w:p w14:paraId="5E683C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FDD3447"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года в строевых подразделениях значилось всего 4 экземпляра И-4. Первым из них на службу в 15-ю авиабригаду Белорусского во</w:t>
      </w:r>
      <w:r w:rsidRPr="00A259BD">
        <w:rPr>
          <w:rFonts w:ascii="Times New Roman" w:hAnsi="Times New Roman"/>
          <w:color w:val="000000" w:themeColor="text1"/>
          <w:sz w:val="16"/>
          <w:szCs w:val="16"/>
        </w:rPr>
        <w:softHyphen/>
        <w:t>енного округа (Брянск) еще в 1928 году по</w:t>
      </w:r>
      <w:r w:rsidRPr="00A259BD">
        <w:rPr>
          <w:rFonts w:ascii="Times New Roman" w:hAnsi="Times New Roman"/>
          <w:color w:val="000000" w:themeColor="text1"/>
          <w:sz w:val="16"/>
          <w:szCs w:val="16"/>
        </w:rPr>
        <w:softHyphen/>
        <w:t>пал опытный экземпляр АНТ-5. Судя по все</w:t>
      </w:r>
      <w:r w:rsidRPr="00A259BD">
        <w:rPr>
          <w:rFonts w:ascii="Times New Roman" w:hAnsi="Times New Roman"/>
          <w:color w:val="000000" w:themeColor="text1"/>
          <w:sz w:val="16"/>
          <w:szCs w:val="16"/>
        </w:rPr>
        <w:softHyphen/>
        <w:t xml:space="preserve">му именно этот самолет значился в 1933 году в 53-й </w:t>
      </w:r>
      <w:proofErr w:type="spellStart"/>
      <w:r w:rsidRPr="00A259BD">
        <w:rPr>
          <w:rFonts w:ascii="Times New Roman" w:hAnsi="Times New Roman"/>
          <w:color w:val="000000" w:themeColor="text1"/>
          <w:sz w:val="16"/>
          <w:szCs w:val="16"/>
        </w:rPr>
        <w:t>каэ</w:t>
      </w:r>
      <w:proofErr w:type="spellEnd"/>
      <w:r w:rsidRPr="00A259BD">
        <w:rPr>
          <w:rFonts w:ascii="Times New Roman" w:hAnsi="Times New Roman"/>
          <w:color w:val="000000" w:themeColor="text1"/>
          <w:sz w:val="16"/>
          <w:szCs w:val="16"/>
        </w:rPr>
        <w:t>, базирующейся в Бобруйске. Дру</w:t>
      </w:r>
      <w:r w:rsidRPr="00A259BD">
        <w:rPr>
          <w:rFonts w:ascii="Times New Roman" w:hAnsi="Times New Roman"/>
          <w:color w:val="000000" w:themeColor="text1"/>
          <w:sz w:val="16"/>
          <w:szCs w:val="16"/>
        </w:rPr>
        <w:softHyphen/>
        <w:t>гих И-4 в Б ВО в этот период не отмечалось.</w:t>
      </w:r>
    </w:p>
    <w:p w14:paraId="442B7962"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Одним из первых, осенью 1929 года И-4 по</w:t>
      </w:r>
      <w:r w:rsidRPr="00A259BD">
        <w:rPr>
          <w:rFonts w:ascii="Times New Roman" w:hAnsi="Times New Roman"/>
          <w:color w:val="000000" w:themeColor="text1"/>
          <w:sz w:val="16"/>
          <w:szCs w:val="16"/>
        </w:rPr>
        <w:softHyphen/>
        <w:t>лучил дислоцирующийся в Петергофе 46-й авиаотряд ВВС Балтийского моря. Ранее в от</w:t>
      </w:r>
      <w:r w:rsidRPr="00A259BD">
        <w:rPr>
          <w:rFonts w:ascii="Times New Roman" w:hAnsi="Times New Roman"/>
          <w:color w:val="000000" w:themeColor="text1"/>
          <w:sz w:val="16"/>
          <w:szCs w:val="16"/>
        </w:rPr>
        <w:softHyphen/>
        <w:t>ряде летали на истребителях И-2, которые большей частью хранились в ангаре, вмещав</w:t>
      </w:r>
      <w:r w:rsidRPr="00A259BD">
        <w:rPr>
          <w:rFonts w:ascii="Times New Roman" w:hAnsi="Times New Roman"/>
          <w:color w:val="000000" w:themeColor="text1"/>
          <w:sz w:val="16"/>
          <w:szCs w:val="16"/>
        </w:rPr>
        <w:softHyphen/>
        <w:t>шем 7 самолетов. С получением пятерки но</w:t>
      </w:r>
      <w:r w:rsidRPr="00A259BD">
        <w:rPr>
          <w:rFonts w:ascii="Times New Roman" w:hAnsi="Times New Roman"/>
          <w:color w:val="000000" w:themeColor="text1"/>
          <w:sz w:val="16"/>
          <w:szCs w:val="16"/>
        </w:rPr>
        <w:softHyphen/>
        <w:t>вых истребителей (зав. № 1532, № 1518, № 1533, № 1535, № 1521, № 1559, № 1541) их на зиму по</w:t>
      </w:r>
      <w:r w:rsidRPr="00A259BD">
        <w:rPr>
          <w:rFonts w:ascii="Times New Roman" w:hAnsi="Times New Roman"/>
          <w:color w:val="000000" w:themeColor="text1"/>
          <w:sz w:val="16"/>
          <w:szCs w:val="16"/>
        </w:rPr>
        <w:softHyphen/>
        <w:t>местили в ангар, а два старых И-2 выкатили на улицу.</w:t>
      </w:r>
    </w:p>
    <w:p w14:paraId="52DC8C87" w14:textId="77777777" w:rsidR="00466152" w:rsidRPr="00A259BD" w:rsidRDefault="004661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Практически одновременно с 46-м </w:t>
      </w:r>
      <w:proofErr w:type="spellStart"/>
      <w:r w:rsidRPr="00A259BD">
        <w:rPr>
          <w:rFonts w:ascii="Times New Roman" w:hAnsi="Times New Roman"/>
          <w:color w:val="000000" w:themeColor="text1"/>
          <w:sz w:val="16"/>
          <w:szCs w:val="16"/>
        </w:rPr>
        <w:t>ао</w:t>
      </w:r>
      <w:proofErr w:type="spellEnd"/>
      <w:r w:rsidRPr="00A259BD">
        <w:rPr>
          <w:rFonts w:ascii="Times New Roman" w:hAnsi="Times New Roman"/>
          <w:color w:val="000000" w:themeColor="text1"/>
          <w:sz w:val="16"/>
          <w:szCs w:val="16"/>
        </w:rPr>
        <w:t xml:space="preserve"> при</w:t>
      </w:r>
      <w:r w:rsidRPr="00A259BD">
        <w:rPr>
          <w:rFonts w:ascii="Times New Roman" w:hAnsi="Times New Roman"/>
          <w:color w:val="000000" w:themeColor="text1"/>
          <w:sz w:val="16"/>
          <w:szCs w:val="16"/>
        </w:rPr>
        <w:softHyphen/>
        <w:t>ступили к освоению И-4 в 1-й Краснозна</w:t>
      </w:r>
      <w:r w:rsidRPr="00A259BD">
        <w:rPr>
          <w:rFonts w:ascii="Times New Roman" w:hAnsi="Times New Roman"/>
          <w:color w:val="000000" w:themeColor="text1"/>
          <w:sz w:val="16"/>
          <w:szCs w:val="16"/>
        </w:rPr>
        <w:softHyphen/>
        <w:t>менной эскадрилье Ленинградского воен</w:t>
      </w:r>
      <w:r w:rsidRPr="00A259BD">
        <w:rPr>
          <w:rFonts w:ascii="Times New Roman" w:hAnsi="Times New Roman"/>
          <w:color w:val="000000" w:themeColor="text1"/>
          <w:sz w:val="16"/>
          <w:szCs w:val="16"/>
        </w:rPr>
        <w:softHyphen/>
        <w:t>ного округа. 1-я эскадрилья базировалась в Красногвардейске и ранее также эксплуати</w:t>
      </w:r>
      <w:r w:rsidRPr="00A259BD">
        <w:rPr>
          <w:rFonts w:ascii="Times New Roman" w:hAnsi="Times New Roman"/>
          <w:color w:val="000000" w:themeColor="text1"/>
          <w:sz w:val="16"/>
          <w:szCs w:val="16"/>
        </w:rPr>
        <w:softHyphen/>
        <w:t>ровала И-2. Так как поначалу здесь получили только три истребителя И-4, то на них переу</w:t>
      </w:r>
      <w:r w:rsidRPr="00A259BD">
        <w:rPr>
          <w:rFonts w:ascii="Times New Roman" w:hAnsi="Times New Roman"/>
          <w:color w:val="000000" w:themeColor="text1"/>
          <w:sz w:val="16"/>
          <w:szCs w:val="16"/>
        </w:rPr>
        <w:softHyphen/>
        <w:t>чивался весь личный состав и 11-й авиаэска</w:t>
      </w:r>
      <w:r w:rsidRPr="00A259BD">
        <w:rPr>
          <w:rFonts w:ascii="Times New Roman" w:hAnsi="Times New Roman"/>
          <w:color w:val="000000" w:themeColor="text1"/>
          <w:sz w:val="16"/>
          <w:szCs w:val="16"/>
        </w:rPr>
        <w:softHyphen/>
        <w:t>дрильи ВВС Л ВО (ё12295).</w:t>
      </w:r>
    </w:p>
    <w:p w14:paraId="7207EE68" w14:textId="77777777" w:rsidR="00466152" w:rsidRPr="00A259BD" w:rsidRDefault="00466152" w:rsidP="009236E3">
      <w:pPr>
        <w:spacing w:after="0" w:line="240" w:lineRule="auto"/>
        <w:jc w:val="both"/>
        <w:rPr>
          <w:rFonts w:ascii="Times New Roman" w:hAnsi="Times New Roman"/>
          <w:color w:val="000000" w:themeColor="text1"/>
          <w:sz w:val="16"/>
          <w:szCs w:val="16"/>
        </w:rPr>
      </w:pPr>
    </w:p>
    <w:p w14:paraId="0CCD5F70" w14:textId="77777777" w:rsidR="00B814DD" w:rsidRPr="00441F34" w:rsidRDefault="00B814DD" w:rsidP="00B814D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В октябре 1929 года в строевых подразделениях ВВС значилось всего 4 экземпляра И-4. Но летом 1930 года число истре</w:t>
      </w:r>
      <w:r w:rsidRPr="00441F34">
        <w:rPr>
          <w:rFonts w:ascii="Times New Roman" w:hAnsi="Times New Roman"/>
          <w:color w:val="0070C0"/>
          <w:sz w:val="16"/>
          <w:szCs w:val="16"/>
        </w:rPr>
        <w:softHyphen/>
        <w:t>бителей И-4 в войсках было уже заметным и соста</w:t>
      </w:r>
      <w:r w:rsidRPr="00441F34">
        <w:rPr>
          <w:rFonts w:ascii="Times New Roman" w:hAnsi="Times New Roman"/>
          <w:color w:val="0070C0"/>
          <w:sz w:val="16"/>
          <w:szCs w:val="16"/>
        </w:rPr>
        <w:softHyphen/>
        <w:t>вило порядка 60 самолетов. Из этого количества 11 И-4 числились в 29-й эскадрилье ВВС Черного моря в Евпатории, 12 — в 70-м отдельном авиаотряде Кав</w:t>
      </w:r>
      <w:r w:rsidRPr="00441F34">
        <w:rPr>
          <w:rFonts w:ascii="Times New Roman" w:hAnsi="Times New Roman"/>
          <w:color w:val="0070C0"/>
          <w:sz w:val="16"/>
          <w:szCs w:val="16"/>
        </w:rPr>
        <w:softHyphen/>
        <w:t>казской Красной Армии в Баку, а также в 44-м авиа</w:t>
      </w:r>
      <w:r w:rsidRPr="00441F34">
        <w:rPr>
          <w:rFonts w:ascii="Times New Roman" w:hAnsi="Times New Roman"/>
          <w:color w:val="0070C0"/>
          <w:sz w:val="16"/>
          <w:szCs w:val="16"/>
        </w:rPr>
        <w:softHyphen/>
        <w:t>отряде в Тифлисе, в 46-м авиаотряде, в 1-й и 11-й эс</w:t>
      </w:r>
      <w:r w:rsidRPr="00441F34">
        <w:rPr>
          <w:rFonts w:ascii="Times New Roman" w:hAnsi="Times New Roman"/>
          <w:color w:val="0070C0"/>
          <w:sz w:val="16"/>
          <w:szCs w:val="16"/>
        </w:rPr>
        <w:softHyphen/>
        <w:t>кадрильях Московского военного округа. Далее их количество продолжало увеличиваться. По состоя</w:t>
      </w:r>
      <w:r w:rsidRPr="00441F34">
        <w:rPr>
          <w:rFonts w:ascii="Times New Roman" w:hAnsi="Times New Roman"/>
          <w:color w:val="0070C0"/>
          <w:sz w:val="16"/>
          <w:szCs w:val="16"/>
        </w:rPr>
        <w:softHyphen/>
        <w:t>нию на 1 января 1931 г. в строю находилось 150 И-4 (23378).</w:t>
      </w:r>
    </w:p>
    <w:p w14:paraId="3DD2F99E" w14:textId="77777777" w:rsidR="00B814DD" w:rsidRPr="00441F34" w:rsidRDefault="00B814DD" w:rsidP="00B814DD">
      <w:pPr>
        <w:spacing w:after="0" w:line="240" w:lineRule="auto"/>
        <w:jc w:val="both"/>
        <w:rPr>
          <w:rFonts w:ascii="Times New Roman" w:hAnsi="Times New Roman"/>
          <w:color w:val="0070C0"/>
          <w:sz w:val="16"/>
          <w:szCs w:val="16"/>
        </w:rPr>
      </w:pPr>
    </w:p>
    <w:p w14:paraId="355204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октябре 1929 г. начальник штаба ВВС РККА </w:t>
      </w:r>
      <w:proofErr w:type="spellStart"/>
      <w:r w:rsidRPr="00A259BD">
        <w:rPr>
          <w:rFonts w:ascii="Times New Roman" w:hAnsi="Times New Roman"/>
          <w:color w:val="000000" w:themeColor="text1"/>
          <w:sz w:val="16"/>
          <w:szCs w:val="16"/>
        </w:rPr>
        <w:t>Н.Ш.Меженинов</w:t>
      </w:r>
      <w:proofErr w:type="spellEnd"/>
      <w:r w:rsidRPr="00A259BD">
        <w:rPr>
          <w:rFonts w:ascii="Times New Roman" w:hAnsi="Times New Roman"/>
          <w:color w:val="000000" w:themeColor="text1"/>
          <w:sz w:val="16"/>
          <w:szCs w:val="16"/>
        </w:rPr>
        <w:t xml:space="preserve"> направил в адрес начальника Во</w:t>
      </w:r>
      <w:r w:rsidRPr="00A259BD">
        <w:rPr>
          <w:rFonts w:ascii="Times New Roman" w:hAnsi="Times New Roman"/>
          <w:color w:val="000000" w:themeColor="text1"/>
          <w:sz w:val="16"/>
          <w:szCs w:val="16"/>
        </w:rPr>
        <w:softHyphen/>
        <w:t>енно-морских сил РККА информа</w:t>
      </w:r>
      <w:r w:rsidRPr="00A259BD">
        <w:rPr>
          <w:rFonts w:ascii="Times New Roman" w:hAnsi="Times New Roman"/>
          <w:color w:val="000000" w:themeColor="text1"/>
          <w:sz w:val="16"/>
          <w:szCs w:val="16"/>
        </w:rPr>
        <w:softHyphen/>
        <w:t xml:space="preserve">цию от заведующего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Бекаури</w:t>
      </w:r>
      <w:proofErr w:type="spellEnd"/>
      <w:r w:rsidRPr="00A259BD">
        <w:rPr>
          <w:rFonts w:ascii="Times New Roman" w:hAnsi="Times New Roman"/>
          <w:color w:val="000000" w:themeColor="text1"/>
          <w:sz w:val="16"/>
          <w:szCs w:val="16"/>
        </w:rPr>
        <w:t>: «В текущем учебном году в ВВС Балтийского моря начина</w:t>
      </w:r>
      <w:r w:rsidRPr="00A259BD">
        <w:rPr>
          <w:rFonts w:ascii="Times New Roman" w:hAnsi="Times New Roman"/>
          <w:color w:val="000000" w:themeColor="text1"/>
          <w:sz w:val="16"/>
          <w:szCs w:val="16"/>
        </w:rPr>
        <w:softHyphen/>
        <w:t>ются систематические занятия по торпедометанию и постановке мин с помощью самолётов. В настоящее время при наличии вооружённой 52-й авиационной эскадрильи (самолё</w:t>
      </w:r>
      <w:r w:rsidRPr="00A259BD">
        <w:rPr>
          <w:rFonts w:ascii="Times New Roman" w:hAnsi="Times New Roman"/>
          <w:color w:val="000000" w:themeColor="text1"/>
          <w:sz w:val="16"/>
          <w:szCs w:val="16"/>
        </w:rPr>
        <w:softHyphen/>
        <w:t>ты ЮГ-1) можно считать вполне обеспеченным постановку минных заграждений, в части же торпедо- метания придется ограничиться по преимуществу подготовительными упражнениями.... Не исключаются также возможности по практичес</w:t>
      </w:r>
      <w:r w:rsidRPr="00A259BD">
        <w:rPr>
          <w:rFonts w:ascii="Times New Roman" w:hAnsi="Times New Roman"/>
          <w:color w:val="000000" w:themeColor="text1"/>
          <w:sz w:val="16"/>
          <w:szCs w:val="16"/>
        </w:rPr>
        <w:softHyphen/>
        <w:t xml:space="preserve">кому сбросу торпед самолетами ТБ, которые могут быть даны 62-й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по получении из-за границы зака</w:t>
      </w:r>
      <w:r w:rsidRPr="00A259BD">
        <w:rPr>
          <w:rFonts w:ascii="Times New Roman" w:hAnsi="Times New Roman"/>
          <w:color w:val="000000" w:themeColor="text1"/>
          <w:sz w:val="16"/>
          <w:szCs w:val="16"/>
        </w:rPr>
        <w:softHyphen/>
        <w:t>занных там поплавков, пока в чис</w:t>
      </w:r>
      <w:r w:rsidRPr="00A259BD">
        <w:rPr>
          <w:rFonts w:ascii="Times New Roman" w:hAnsi="Times New Roman"/>
          <w:color w:val="000000" w:themeColor="text1"/>
          <w:sz w:val="16"/>
          <w:szCs w:val="16"/>
        </w:rPr>
        <w:softHyphen/>
        <w:t>ле на две-три машины. В дальней</w:t>
      </w:r>
      <w:r w:rsidRPr="00A259BD">
        <w:rPr>
          <w:rFonts w:ascii="Times New Roman" w:hAnsi="Times New Roman"/>
          <w:color w:val="000000" w:themeColor="text1"/>
          <w:sz w:val="16"/>
          <w:szCs w:val="16"/>
        </w:rPr>
        <w:softHyphen/>
        <w:t>шем торпедометание должно полу</w:t>
      </w:r>
      <w:r w:rsidRPr="00A259BD">
        <w:rPr>
          <w:rFonts w:ascii="Times New Roman" w:hAnsi="Times New Roman"/>
          <w:color w:val="000000" w:themeColor="text1"/>
          <w:sz w:val="16"/>
          <w:szCs w:val="16"/>
        </w:rPr>
        <w:softHyphen/>
        <w:t>чить более широкое развитие, как на Балтийском, так и на Черномор</w:t>
      </w:r>
      <w:r w:rsidRPr="00A259BD">
        <w:rPr>
          <w:rFonts w:ascii="Times New Roman" w:hAnsi="Times New Roman"/>
          <w:color w:val="000000" w:themeColor="text1"/>
          <w:sz w:val="16"/>
          <w:szCs w:val="16"/>
        </w:rPr>
        <w:softHyphen/>
        <w:t>ском флоте».</w:t>
      </w:r>
    </w:p>
    <w:p w14:paraId="2671E2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на Балтике в Гребном порту сформировали 4-ю авиабри</w:t>
      </w:r>
      <w:r w:rsidRPr="00A259BD">
        <w:rPr>
          <w:rFonts w:ascii="Times New Roman" w:hAnsi="Times New Roman"/>
          <w:color w:val="000000" w:themeColor="text1"/>
          <w:sz w:val="16"/>
          <w:szCs w:val="16"/>
        </w:rPr>
        <w:softHyphen/>
        <w:t>гаду. В неё вошли: 62-я морская разведывательная авиационная эскадрилья (</w:t>
      </w:r>
      <w:proofErr w:type="spellStart"/>
      <w:r w:rsidRPr="00A259BD">
        <w:rPr>
          <w:rFonts w:ascii="Times New Roman" w:hAnsi="Times New Roman"/>
          <w:color w:val="000000" w:themeColor="text1"/>
          <w:sz w:val="16"/>
          <w:szCs w:val="16"/>
        </w:rPr>
        <w:t>мраэ</w:t>
      </w:r>
      <w:proofErr w:type="spellEnd"/>
      <w:r w:rsidRPr="00A259BD">
        <w:rPr>
          <w:rFonts w:ascii="Times New Roman" w:hAnsi="Times New Roman"/>
          <w:color w:val="000000" w:themeColor="text1"/>
          <w:sz w:val="16"/>
          <w:szCs w:val="16"/>
        </w:rPr>
        <w:t>) на самолетах ЮГ-1; 62-й морской разведывательный авиационный отряд (</w:t>
      </w:r>
      <w:proofErr w:type="spellStart"/>
      <w:r w:rsidRPr="00A259BD">
        <w:rPr>
          <w:rFonts w:ascii="Times New Roman" w:hAnsi="Times New Roman"/>
          <w:color w:val="000000" w:themeColor="text1"/>
          <w:sz w:val="16"/>
          <w:szCs w:val="16"/>
        </w:rPr>
        <w:t>мрао</w:t>
      </w:r>
      <w:proofErr w:type="spellEnd"/>
      <w:r w:rsidRPr="00A259BD">
        <w:rPr>
          <w:rFonts w:ascii="Times New Roman" w:hAnsi="Times New Roman"/>
          <w:color w:val="000000" w:themeColor="text1"/>
          <w:sz w:val="16"/>
          <w:szCs w:val="16"/>
        </w:rPr>
        <w:t xml:space="preserve">) на </w:t>
      </w:r>
      <w:proofErr w:type="spellStart"/>
      <w:r w:rsidRPr="00A259BD">
        <w:rPr>
          <w:rFonts w:ascii="Times New Roman" w:hAnsi="Times New Roman"/>
          <w:color w:val="000000" w:themeColor="text1"/>
          <w:sz w:val="16"/>
          <w:szCs w:val="16"/>
        </w:rPr>
        <w:t>Авро</w:t>
      </w:r>
      <w:proofErr w:type="spellEnd"/>
      <w:r w:rsidRPr="00A259BD">
        <w:rPr>
          <w:rFonts w:ascii="Times New Roman" w:hAnsi="Times New Roman"/>
          <w:color w:val="000000" w:themeColor="text1"/>
          <w:sz w:val="16"/>
          <w:szCs w:val="16"/>
        </w:rPr>
        <w:t xml:space="preserve">- 504 и МР-1 (Р-1 на поплавках); 66-й </w:t>
      </w:r>
      <w:proofErr w:type="spellStart"/>
      <w:r w:rsidRPr="00A259BD">
        <w:rPr>
          <w:rFonts w:ascii="Times New Roman" w:hAnsi="Times New Roman"/>
          <w:color w:val="000000" w:themeColor="text1"/>
          <w:sz w:val="16"/>
          <w:szCs w:val="16"/>
        </w:rPr>
        <w:t>мрао</w:t>
      </w:r>
      <w:proofErr w:type="spellEnd"/>
      <w:r w:rsidRPr="00A259BD">
        <w:rPr>
          <w:rFonts w:ascii="Times New Roman" w:hAnsi="Times New Roman"/>
          <w:color w:val="000000" w:themeColor="text1"/>
          <w:sz w:val="16"/>
          <w:szCs w:val="16"/>
        </w:rPr>
        <w:t>, имевший самолеты МР-1 (12084).</w:t>
      </w:r>
    </w:p>
    <w:p w14:paraId="79F809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858BEC"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г. на КВЖД начался советско-китайский вооруженный конфликт. В ходе боев части Красной Армии захватили несколько десятков китайских 81-мм минометов Стокса — Брандта и сотни мин к ним. В ноябре — декабре 1929 г. трофейные минометы были отправлены в Москву и Ленинград для изучения.</w:t>
      </w:r>
    </w:p>
    <w:p w14:paraId="0D559E9A"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Лишь в 1924 г. французскому инженеру Брандту удалось впервые получить образец «правильно летящего оперенного снаряда» — прообраз современной мины.</w:t>
      </w:r>
    </w:p>
    <w:p w14:paraId="28B22076"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1927 г. фирма Брандта наладила производство первых в мире 81-мм минометов, созданных по схеме мнимого треугольника. Кинематическая схема мнимого треугольника — три шарнира и два звена. Третье звено — мнимое. Этим звеном является фунт, на который устанавливается миномет. По этой схеме изготавливалось большинство минометов сопровождения. В конструктивном оформлении она выглядит следующим образом: ствол шарнирно связан с двуногой, опирающейся в грунт, и плитой, также опирающейся в грунт. Двунога и плита друг с другом не связаны.</w:t>
      </w:r>
    </w:p>
    <w:p w14:paraId="54941047"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Минометы Брандта имели гладкий ствол и стреляли оперенными минами. Схема воспламенения заряда была разработана английским инженером Стоксом. Воспламенение и горение основного метательного заряда по этой схеме происходит в замкнутом объеме (в трубке стабилизатора мины) при давлении 900–1500 кг/см2. Пороховые газы прорывают оболочку гильзы и прорываются в пространство за миной. Само же воспламенение происходит путем </w:t>
      </w:r>
      <w:proofErr w:type="spellStart"/>
      <w:r w:rsidRPr="00A259BD">
        <w:rPr>
          <w:rFonts w:ascii="Times New Roman" w:hAnsi="Times New Roman"/>
          <w:color w:val="000000" w:themeColor="text1"/>
          <w:sz w:val="16"/>
          <w:szCs w:val="16"/>
        </w:rPr>
        <w:t>самонакалывания</w:t>
      </w:r>
      <w:proofErr w:type="spellEnd"/>
      <w:r w:rsidRPr="00A259BD">
        <w:rPr>
          <w:rFonts w:ascii="Times New Roman" w:hAnsi="Times New Roman"/>
          <w:color w:val="000000" w:themeColor="text1"/>
          <w:sz w:val="16"/>
          <w:szCs w:val="16"/>
        </w:rPr>
        <w:t xml:space="preserve"> мины, опущенной в ствол на жало ударника на дне канала (рис. 10.5).</w:t>
      </w:r>
    </w:p>
    <w:p w14:paraId="4F416396"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Поэтому такие минометы получили название системы Стокса — Брандта. За рубежом их часто именовали также мортирами сопровождения пехоты. Действительно, 81-мм минометы Стокса — Брандта легко и быстро разбирались на три части — ствол, треногу и опорную плиту.</w:t>
      </w:r>
    </w:p>
    <w:p w14:paraId="1A964BA2"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течение буквально пары лет 81-мм минометы Стокса — Брандта распространились почти по всему миру. Наше же </w:t>
      </w:r>
      <w:proofErr w:type="spellStart"/>
      <w:r w:rsidRPr="00A259BD">
        <w:rPr>
          <w:rFonts w:ascii="Times New Roman" w:hAnsi="Times New Roman"/>
          <w:color w:val="000000" w:themeColor="text1"/>
          <w:sz w:val="16"/>
          <w:szCs w:val="16"/>
        </w:rPr>
        <w:t>артупровление</w:t>
      </w:r>
      <w:proofErr w:type="spellEnd"/>
      <w:r w:rsidRPr="00A259BD">
        <w:rPr>
          <w:rFonts w:ascii="Times New Roman" w:hAnsi="Times New Roman"/>
          <w:color w:val="000000" w:themeColor="text1"/>
          <w:sz w:val="16"/>
          <w:szCs w:val="16"/>
        </w:rPr>
        <w:t xml:space="preserve"> РККА не сумело или не смогло закупить их во Франции.</w:t>
      </w:r>
    </w:p>
    <w:p w14:paraId="12E04D09"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Естественно, что китайские минометы первым делом попали в группу «Д». При первом же знакомстве с ними Н. А. </w:t>
      </w:r>
      <w:proofErr w:type="spellStart"/>
      <w:r w:rsidRPr="00A259BD">
        <w:rPr>
          <w:rFonts w:ascii="Times New Roman" w:hAnsi="Times New Roman"/>
          <w:color w:val="000000" w:themeColor="text1"/>
          <w:sz w:val="16"/>
          <w:szCs w:val="16"/>
        </w:rPr>
        <w:t>Доровлев</w:t>
      </w:r>
      <w:proofErr w:type="spellEnd"/>
      <w:r w:rsidRPr="00A259BD">
        <w:rPr>
          <w:rFonts w:ascii="Times New Roman" w:hAnsi="Times New Roman"/>
          <w:color w:val="000000" w:themeColor="text1"/>
          <w:sz w:val="16"/>
          <w:szCs w:val="16"/>
        </w:rPr>
        <w:t xml:space="preserve"> оценил гениальную простоту изделия. Не раздумывая, он отказался от глухой схемы, хотя работы по таким системам еще велись некоторое время по инерции. В течение нескольких месяцев группа «Д» разработала по схеме мнимого треугольника (а точнее, скопировала китайский миномет) систему из трех минометов калибров 82, 107 и 120 мм.</w:t>
      </w:r>
    </w:p>
    <w:p w14:paraId="41F81B2D"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82-мм батальонный миномет обр. 1937 г.</w:t>
      </w:r>
    </w:p>
    <w:p w14:paraId="66375D12"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120-мм полковой миномет обр. 1938 г.</w:t>
      </w:r>
    </w:p>
    <w:p w14:paraId="74FA5F91"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107-мм горно-вьючный полковой миномет обр. 1938 г.</w:t>
      </w:r>
    </w:p>
    <w:p w14:paraId="44312A52"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Упрошенный 120-мм полковой миномет обр. 1941 г.</w:t>
      </w:r>
    </w:p>
    <w:p w14:paraId="2D317451"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50-мм ротные минометы: а) </w:t>
      </w:r>
      <w:proofErr w:type="spellStart"/>
      <w:r w:rsidRPr="00A259BD">
        <w:rPr>
          <w:rFonts w:ascii="Times New Roman" w:hAnsi="Times New Roman"/>
          <w:color w:val="000000" w:themeColor="text1"/>
          <w:sz w:val="16"/>
          <w:szCs w:val="16"/>
        </w:rPr>
        <w:t>обр</w:t>
      </w:r>
      <w:proofErr w:type="spellEnd"/>
      <w:r w:rsidRPr="00A259BD">
        <w:rPr>
          <w:rFonts w:ascii="Times New Roman" w:hAnsi="Times New Roman"/>
          <w:color w:val="000000" w:themeColor="text1"/>
          <w:sz w:val="16"/>
          <w:szCs w:val="16"/>
        </w:rPr>
        <w:t>: 1938 г.; б) обр. 1940 г.; в) обр. 1941 т.</w:t>
      </w:r>
    </w:p>
    <w:p w14:paraId="5D4809D0" w14:textId="77777777" w:rsidR="00CD77B7" w:rsidRPr="00A259BD" w:rsidRDefault="00CD77B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160-мм миномет обр. 1943 г. МТ-13 (12705).</w:t>
      </w:r>
    </w:p>
    <w:p w14:paraId="2FAD47DB" w14:textId="77777777" w:rsidR="00CD77B7" w:rsidRPr="00A259BD" w:rsidRDefault="00CD77B7" w:rsidP="009236E3">
      <w:pPr>
        <w:spacing w:after="0" w:line="240" w:lineRule="auto"/>
        <w:jc w:val="both"/>
        <w:rPr>
          <w:rFonts w:ascii="Times New Roman" w:hAnsi="Times New Roman"/>
          <w:color w:val="000000" w:themeColor="text1"/>
          <w:sz w:val="16"/>
          <w:szCs w:val="16"/>
        </w:rPr>
      </w:pPr>
    </w:p>
    <w:p w14:paraId="25AA67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октябре 1929 года со склада № 28 (Карачев, Брянская обл.) в Москву было доложено, что с несколькими сотнями 76 мм </w:t>
      </w:r>
      <w:proofErr w:type="spellStart"/>
      <w:r w:rsidRPr="00A259BD">
        <w:rPr>
          <w:rFonts w:ascii="Times New Roman" w:hAnsi="Times New Roman"/>
          <w:color w:val="000000" w:themeColor="text1"/>
          <w:sz w:val="16"/>
          <w:szCs w:val="16"/>
        </w:rPr>
        <w:t>артхимснарядов</w:t>
      </w:r>
      <w:proofErr w:type="spellEnd"/>
      <w:r w:rsidRPr="00A259BD">
        <w:rPr>
          <w:rFonts w:ascii="Times New Roman" w:hAnsi="Times New Roman"/>
          <w:color w:val="000000" w:themeColor="text1"/>
          <w:sz w:val="16"/>
          <w:szCs w:val="16"/>
        </w:rPr>
        <w:t>, которые потекли в 1928-1929 годах, поступили просто - они "не разряжались и закопаны в землю" (9065).</w:t>
      </w:r>
    </w:p>
    <w:p w14:paraId="1550F2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7280B7"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0CC0E33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E2BF5AD" w14:textId="77777777" w:rsidR="007373AB" w:rsidRPr="00A259BD" w:rsidRDefault="007373AB"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 xml:space="preserve">По октябрь 1929 г. за период с 1922 г. в </w:t>
      </w:r>
      <w:proofErr w:type="spellStart"/>
      <w:r w:rsidRPr="00A259BD">
        <w:rPr>
          <w:rFonts w:ascii="Times New Roman" w:hAnsi="Times New Roman"/>
          <w:color w:val="000000" w:themeColor="text1"/>
          <w:sz w:val="16"/>
          <w:szCs w:val="16"/>
          <w:shd w:val="clear" w:color="auto" w:fill="FFFFFF"/>
        </w:rPr>
        <w:t>Главконцесском</w:t>
      </w:r>
      <w:proofErr w:type="spellEnd"/>
      <w:r w:rsidRPr="00A259BD">
        <w:rPr>
          <w:rFonts w:ascii="Times New Roman" w:hAnsi="Times New Roman"/>
          <w:color w:val="000000" w:themeColor="text1"/>
          <w:sz w:val="16"/>
          <w:szCs w:val="16"/>
          <w:shd w:val="clear" w:color="auto" w:fill="FFFFFF"/>
        </w:rPr>
        <w:t xml:space="preserve"> поступило 2670 предложений на получение концессии. Интерес со стороны владельцев капитала был очевиден, хотя политические власти их стран занимали весьма сдержанную позицию. Советская сторона шла навстречу. </w:t>
      </w:r>
      <w:proofErr w:type="spellStart"/>
      <w:r w:rsidRPr="00A259BD">
        <w:rPr>
          <w:rFonts w:ascii="Times New Roman" w:hAnsi="Times New Roman"/>
          <w:color w:val="000000" w:themeColor="text1"/>
          <w:sz w:val="16"/>
          <w:szCs w:val="16"/>
          <w:shd w:val="clear" w:color="auto" w:fill="FFFFFF"/>
        </w:rPr>
        <w:t>Л.Уркарт</w:t>
      </w:r>
      <w:proofErr w:type="spellEnd"/>
      <w:r w:rsidRPr="00A259BD">
        <w:rPr>
          <w:rFonts w:ascii="Times New Roman" w:hAnsi="Times New Roman"/>
          <w:color w:val="000000" w:themeColor="text1"/>
          <w:sz w:val="16"/>
          <w:szCs w:val="16"/>
          <w:shd w:val="clear" w:color="auto" w:fill="FFFFFF"/>
        </w:rPr>
        <w:t xml:space="preserve"> (Англия) до революции представлял в России “Русско-Азиатское Объединенное общество”. Это общество вело разработки руд, каменного угля на Урале и в Западной Сибири. При заключении концессионного договора советское правительство согласилось предоставить </w:t>
      </w:r>
      <w:proofErr w:type="spellStart"/>
      <w:r w:rsidRPr="00A259BD">
        <w:rPr>
          <w:rFonts w:ascii="Times New Roman" w:hAnsi="Times New Roman"/>
          <w:color w:val="000000" w:themeColor="text1"/>
          <w:sz w:val="16"/>
          <w:szCs w:val="16"/>
          <w:shd w:val="clear" w:color="auto" w:fill="FFFFFF"/>
        </w:rPr>
        <w:t>Л.Уркарту</w:t>
      </w:r>
      <w:proofErr w:type="spellEnd"/>
      <w:r w:rsidRPr="00A259BD">
        <w:rPr>
          <w:rFonts w:ascii="Times New Roman" w:hAnsi="Times New Roman"/>
          <w:color w:val="000000" w:themeColor="text1"/>
          <w:sz w:val="16"/>
          <w:szCs w:val="16"/>
          <w:shd w:val="clear" w:color="auto" w:fill="FFFFFF"/>
        </w:rPr>
        <w:t xml:space="preserve"> субсидию (не выше 20 млн. рублей) в компенсацию за убытки, которые он понес в связи с национализацией этого общества. Со своей стороны </w:t>
      </w:r>
      <w:proofErr w:type="spellStart"/>
      <w:r w:rsidRPr="00A259BD">
        <w:rPr>
          <w:rFonts w:ascii="Times New Roman" w:hAnsi="Times New Roman"/>
          <w:color w:val="000000" w:themeColor="text1"/>
          <w:sz w:val="16"/>
          <w:szCs w:val="16"/>
          <w:shd w:val="clear" w:color="auto" w:fill="FFFFFF"/>
        </w:rPr>
        <w:t>Уркарт</w:t>
      </w:r>
      <w:proofErr w:type="spellEnd"/>
      <w:r w:rsidRPr="00A259BD">
        <w:rPr>
          <w:rFonts w:ascii="Times New Roman" w:hAnsi="Times New Roman"/>
          <w:color w:val="000000" w:themeColor="text1"/>
          <w:sz w:val="16"/>
          <w:szCs w:val="16"/>
          <w:shd w:val="clear" w:color="auto" w:fill="FFFFFF"/>
        </w:rPr>
        <w:t xml:space="preserve"> принял на себя обязательство при найме советских граждан (а их было бы около 40 тыс. человек) устанавливать зарплату, которая определялась бы Наркоматом Труда и профсоюзами (20213).</w:t>
      </w:r>
    </w:p>
    <w:p w14:paraId="477CA5D2" w14:textId="77777777" w:rsidR="007373AB" w:rsidRPr="00A259BD" w:rsidRDefault="007373AB" w:rsidP="009236E3">
      <w:pPr>
        <w:spacing w:after="0" w:line="240" w:lineRule="auto"/>
        <w:jc w:val="both"/>
        <w:rPr>
          <w:rFonts w:ascii="Times New Roman" w:hAnsi="Times New Roman"/>
          <w:color w:val="000000" w:themeColor="text1"/>
          <w:sz w:val="16"/>
          <w:szCs w:val="16"/>
          <w:shd w:val="clear" w:color="auto" w:fill="FFFFFF"/>
        </w:rPr>
      </w:pPr>
    </w:p>
    <w:p w14:paraId="5EDA978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года было приказано снять церковные колокола: "Колокольный звон нарушает право широких атеистических масс городов и деревень на заслуженный отдых". Служители культа были приравнены к кулакам: задавленные налогами (налоги в 1928-1930 годах возросли в десять раз), лишенные всех гражданских прав, что означало в первую очередь лишение продовольственных карточек и бесплатного медицинского обслуживания, они стали также подвергаться арестам, высылке или депортации (6804).</w:t>
      </w:r>
    </w:p>
    <w:p w14:paraId="02F4770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881977" w14:textId="77777777" w:rsidR="00850ACF" w:rsidRPr="00A259BD" w:rsidRDefault="00850ACF" w:rsidP="009236E3">
      <w:pPr>
        <w:pStyle w:val="Style23"/>
        <w:widowControl/>
        <w:jc w:val="both"/>
        <w:rPr>
          <w:rFonts w:ascii="Times New Roman" w:hAnsi="Times New Roman"/>
          <w:color w:val="000000" w:themeColor="text1"/>
          <w:sz w:val="16"/>
          <w:szCs w:val="16"/>
        </w:rPr>
      </w:pPr>
      <w:r w:rsidRPr="00A259BD">
        <w:rPr>
          <w:rStyle w:val="FontStyle197"/>
          <w:rFonts w:ascii="Times New Roman" w:hAnsi="Times New Roman" w:cs="Times New Roman"/>
          <w:color w:val="000000" w:themeColor="text1"/>
        </w:rPr>
        <w:t>В октябре 1929 г. карточная система распространилась на крупу, мясо, сельдь, сахар, масло, яйца, и в начале 1930 г. нормы снабжения были вновь сокращены.</w:t>
      </w:r>
      <w:r w:rsidRPr="00A259BD">
        <w:rPr>
          <w:rStyle w:val="FontStyle197"/>
          <w:rFonts w:ascii="Times New Roman" w:hAnsi="Times New Roman" w:cs="Times New Roman"/>
          <w:color w:val="000000" w:themeColor="text1"/>
          <w:vertAlign w:val="superscript"/>
        </w:rPr>
        <w:t>62</w:t>
      </w:r>
      <w:r w:rsidRPr="00A259BD">
        <w:rPr>
          <w:rStyle w:val="FontStyle197"/>
          <w:rFonts w:ascii="Times New Roman" w:hAnsi="Times New Roman" w:cs="Times New Roman"/>
          <w:color w:val="000000" w:themeColor="text1"/>
        </w:rPr>
        <w:t xml:space="preserve"> Закреплялось привилегированное положение Москвы и Ленинграда, а в них партийно-государственной номенклатуры по срав</w:t>
      </w:r>
      <w:r w:rsidRPr="00A259BD">
        <w:rPr>
          <w:rStyle w:val="FontStyle197"/>
          <w:rFonts w:ascii="Times New Roman" w:hAnsi="Times New Roman" w:cs="Times New Roman"/>
          <w:color w:val="000000" w:themeColor="text1"/>
        </w:rPr>
        <w:softHyphen/>
        <w:t>нению с рабочими и промышленных рабочих — с прочими трудящи</w:t>
      </w:r>
      <w:r w:rsidRPr="00A259BD">
        <w:rPr>
          <w:rStyle w:val="FontStyle197"/>
          <w:rFonts w:ascii="Times New Roman" w:hAnsi="Times New Roman" w:cs="Times New Roman"/>
          <w:color w:val="000000" w:themeColor="text1"/>
        </w:rPr>
        <w:softHyphen/>
        <w:t>мися. Даже в Ленинграде продаваемых по карточкам продуктов было не</w:t>
      </w:r>
      <w:r w:rsidRPr="00A259BD">
        <w:rPr>
          <w:rStyle w:val="FontStyle197"/>
          <w:rFonts w:ascii="Times New Roman" w:hAnsi="Times New Roman" w:cs="Times New Roman"/>
          <w:color w:val="000000" w:themeColor="text1"/>
        </w:rPr>
        <w:softHyphen/>
        <w:t>достаточно для скромного нормального питания, и рабочий вынужден был прикупать их по завышенным ценам. Этот новый виток карточ</w:t>
      </w:r>
      <w:r w:rsidRPr="00A259BD">
        <w:rPr>
          <w:rStyle w:val="FontStyle197"/>
          <w:rFonts w:ascii="Times New Roman" w:hAnsi="Times New Roman" w:cs="Times New Roman"/>
          <w:color w:val="000000" w:themeColor="text1"/>
        </w:rPr>
        <w:softHyphen/>
        <w:t>ной системы продолжался до 1935 г. (17231).</w:t>
      </w:r>
    </w:p>
    <w:p w14:paraId="3B45F214" w14:textId="77777777" w:rsidR="00850ACF" w:rsidRPr="00A259BD" w:rsidRDefault="00850ACF" w:rsidP="009236E3">
      <w:pPr>
        <w:spacing w:after="0" w:line="240" w:lineRule="auto"/>
        <w:jc w:val="both"/>
        <w:rPr>
          <w:rFonts w:ascii="Times New Roman" w:hAnsi="Times New Roman"/>
          <w:color w:val="000000" w:themeColor="text1"/>
          <w:sz w:val="16"/>
          <w:szCs w:val="16"/>
        </w:rPr>
      </w:pPr>
    </w:p>
    <w:p w14:paraId="0564BFD0" w14:textId="77777777" w:rsidR="00435068" w:rsidRPr="00A259BD" w:rsidRDefault="00435068"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051F3A2D" w14:textId="77777777" w:rsidR="00435068" w:rsidRPr="00A259BD" w:rsidRDefault="00435068"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A0778E3" w14:textId="77777777" w:rsidR="00435068" w:rsidRPr="00A259BD" w:rsidRDefault="0043506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г. к моменту захвата власти Надир-шахом в Афганистане почти все самолеты, полученные в 1924 из СССР, были неисправны, однако местным авиаторам удалось привести свою технику в боеспособное состояние и она эксплуатировалась еще несколько лет, применяясь для подавления мятежей непокорных племен (18512).</w:t>
      </w:r>
    </w:p>
    <w:p w14:paraId="2BB55A35" w14:textId="77777777" w:rsidR="00435068" w:rsidRPr="00A259BD" w:rsidRDefault="00435068" w:rsidP="009236E3">
      <w:pPr>
        <w:spacing w:after="0" w:line="240" w:lineRule="auto"/>
        <w:jc w:val="both"/>
        <w:rPr>
          <w:rFonts w:ascii="Times New Roman" w:hAnsi="Times New Roman"/>
          <w:color w:val="000000" w:themeColor="text1"/>
          <w:sz w:val="16"/>
          <w:szCs w:val="16"/>
        </w:rPr>
      </w:pPr>
    </w:p>
    <w:p w14:paraId="67527081"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0B2E91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AF10663" w14:textId="77777777" w:rsidR="007373AB" w:rsidRPr="00A259BD" w:rsidRDefault="007373A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года на верфи фирмы Kawasaki в г. Кобе была заложена и вступила в строй в 1932 году первая японская авианесущая под</w:t>
      </w:r>
      <w:r w:rsidRPr="00A259BD">
        <w:rPr>
          <w:rFonts w:ascii="Times New Roman" w:hAnsi="Times New Roman"/>
          <w:color w:val="000000" w:themeColor="text1"/>
          <w:sz w:val="16"/>
          <w:szCs w:val="16"/>
        </w:rPr>
        <w:softHyphen/>
        <w:t>лодка специальной постройки 1- 5 (тип J1M). 1-5 предназначалась для ведения развед</w:t>
      </w:r>
      <w:r w:rsidRPr="00A259BD">
        <w:rPr>
          <w:rFonts w:ascii="Times New Roman" w:hAnsi="Times New Roman"/>
          <w:color w:val="000000" w:themeColor="text1"/>
          <w:sz w:val="16"/>
          <w:szCs w:val="16"/>
        </w:rPr>
        <w:softHyphen/>
        <w:t>ки и борьбы с судоходством против</w:t>
      </w:r>
      <w:r w:rsidRPr="00A259BD">
        <w:rPr>
          <w:rFonts w:ascii="Times New Roman" w:hAnsi="Times New Roman"/>
          <w:color w:val="000000" w:themeColor="text1"/>
          <w:sz w:val="16"/>
          <w:szCs w:val="16"/>
        </w:rPr>
        <w:softHyphen/>
        <w:t>ника на всей акватории Тихого океана и первоначально классифицировалась в случае установки на палубе тяжелого ангара большого поперечного сечения, для хранения разведывательного са</w:t>
      </w:r>
      <w:r w:rsidRPr="00A259BD">
        <w:rPr>
          <w:rFonts w:ascii="Times New Roman" w:hAnsi="Times New Roman"/>
          <w:color w:val="000000" w:themeColor="text1"/>
          <w:sz w:val="16"/>
          <w:szCs w:val="16"/>
        </w:rPr>
        <w:softHyphen/>
        <w:t>молета E6Y1 тип 91 на подлодке было устроено два небольших ангара, мак</w:t>
      </w:r>
      <w:r w:rsidRPr="00A259BD">
        <w:rPr>
          <w:rFonts w:ascii="Times New Roman" w:hAnsi="Times New Roman"/>
          <w:color w:val="000000" w:themeColor="text1"/>
          <w:sz w:val="16"/>
          <w:szCs w:val="16"/>
        </w:rPr>
        <w:softHyphen/>
        <w:t>симально утопленных в палубу. Са</w:t>
      </w:r>
      <w:r w:rsidRPr="00A259BD">
        <w:rPr>
          <w:rFonts w:ascii="Times New Roman" w:hAnsi="Times New Roman"/>
          <w:color w:val="000000" w:themeColor="text1"/>
          <w:sz w:val="16"/>
          <w:szCs w:val="16"/>
        </w:rPr>
        <w:softHyphen/>
        <w:t>молет хранился в них в разобранном состоянии: в правом размещался фю</w:t>
      </w:r>
      <w:r w:rsidRPr="00A259BD">
        <w:rPr>
          <w:rFonts w:ascii="Times New Roman" w:hAnsi="Times New Roman"/>
          <w:color w:val="000000" w:themeColor="text1"/>
          <w:sz w:val="16"/>
          <w:szCs w:val="16"/>
        </w:rPr>
        <w:softHyphen/>
        <w:t>зеляж самолета, а в левом его крылья и поплавки. Узлы самолета извлекались из ангаров при помощи специально</w:t>
      </w:r>
      <w:r w:rsidRPr="00A259BD">
        <w:rPr>
          <w:rFonts w:ascii="Times New Roman" w:hAnsi="Times New Roman"/>
          <w:color w:val="000000" w:themeColor="text1"/>
          <w:sz w:val="16"/>
          <w:szCs w:val="16"/>
        </w:rPr>
        <w:softHyphen/>
        <w:t>го крана (убирающегося в проем па</w:t>
      </w:r>
      <w:r w:rsidRPr="00A259BD">
        <w:rPr>
          <w:rFonts w:ascii="Times New Roman" w:hAnsi="Times New Roman"/>
          <w:color w:val="000000" w:themeColor="text1"/>
          <w:sz w:val="16"/>
          <w:szCs w:val="16"/>
        </w:rPr>
        <w:softHyphen/>
        <w:t>лубы), а затем собирались на верхней палубе. Сборка занимала 30-40 мин. Однако даже при незначительном вол</w:t>
      </w:r>
      <w:r w:rsidRPr="00A259BD">
        <w:rPr>
          <w:rFonts w:ascii="Times New Roman" w:hAnsi="Times New Roman"/>
          <w:color w:val="000000" w:themeColor="text1"/>
          <w:sz w:val="16"/>
          <w:szCs w:val="16"/>
        </w:rPr>
        <w:softHyphen/>
        <w:t>нении низкорасположенные ангары заливало водой, и извлечение самолета становилось практически невыполни</w:t>
      </w:r>
      <w:r w:rsidRPr="00A259BD">
        <w:rPr>
          <w:rFonts w:ascii="Times New Roman" w:hAnsi="Times New Roman"/>
          <w:color w:val="000000" w:themeColor="text1"/>
          <w:sz w:val="16"/>
          <w:szCs w:val="16"/>
        </w:rPr>
        <w:softHyphen/>
        <w:t>мой задачей. Согласно проекту E6Y1 должен был запускаться при помощи пневматической катапульты, располо</w:t>
      </w:r>
      <w:r w:rsidRPr="00A259BD">
        <w:rPr>
          <w:rFonts w:ascii="Times New Roman" w:hAnsi="Times New Roman"/>
          <w:color w:val="000000" w:themeColor="text1"/>
          <w:sz w:val="16"/>
          <w:szCs w:val="16"/>
        </w:rPr>
        <w:softHyphen/>
        <w:t>женной за ангарами в кормовой части лодки. Разработка катапульты (</w:t>
      </w:r>
      <w:proofErr w:type="spellStart"/>
      <w:r w:rsidRPr="00A259BD">
        <w:rPr>
          <w:rFonts w:ascii="Times New Roman" w:hAnsi="Times New Roman"/>
          <w:color w:val="000000" w:themeColor="text1"/>
          <w:sz w:val="16"/>
          <w:szCs w:val="16"/>
        </w:rPr>
        <w:t>Kure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type</w:t>
      </w:r>
      <w:proofErr w:type="spellEnd"/>
      <w:r w:rsidRPr="00A259BD">
        <w:rPr>
          <w:rFonts w:ascii="Times New Roman" w:hAnsi="Times New Roman"/>
          <w:color w:val="000000" w:themeColor="text1"/>
          <w:sz w:val="16"/>
          <w:szCs w:val="16"/>
        </w:rPr>
        <w:t xml:space="preserve"> 1, </w:t>
      </w:r>
      <w:proofErr w:type="spellStart"/>
      <w:r w:rsidRPr="00A259BD">
        <w:rPr>
          <w:rFonts w:ascii="Times New Roman" w:hAnsi="Times New Roman"/>
          <w:color w:val="000000" w:themeColor="text1"/>
          <w:sz w:val="16"/>
          <w:szCs w:val="16"/>
        </w:rPr>
        <w:t>mod</w:t>
      </w:r>
      <w:proofErr w:type="spellEnd"/>
      <w:r w:rsidRPr="00A259BD">
        <w:rPr>
          <w:rFonts w:ascii="Times New Roman" w:hAnsi="Times New Roman"/>
          <w:color w:val="000000" w:themeColor="text1"/>
          <w:sz w:val="16"/>
          <w:szCs w:val="16"/>
        </w:rPr>
        <w:t>. 3, позволявшая запускать самолеты весом до 2 т) задержалась, и ее установили на лодке только в кон</w:t>
      </w:r>
      <w:r w:rsidRPr="00A259BD">
        <w:rPr>
          <w:rFonts w:ascii="Times New Roman" w:hAnsi="Times New Roman"/>
          <w:color w:val="000000" w:themeColor="text1"/>
          <w:sz w:val="16"/>
          <w:szCs w:val="16"/>
        </w:rPr>
        <w:softHyphen/>
        <w:t>це 1933 года, так, что до этого време</w:t>
      </w:r>
      <w:r w:rsidRPr="00A259BD">
        <w:rPr>
          <w:rFonts w:ascii="Times New Roman" w:hAnsi="Times New Roman"/>
          <w:color w:val="000000" w:themeColor="text1"/>
          <w:sz w:val="16"/>
          <w:szCs w:val="16"/>
        </w:rPr>
        <w:softHyphen/>
        <w:t>ни ее бортовой разведчик стартовал с воды (22804).</w:t>
      </w:r>
    </w:p>
    <w:p w14:paraId="4B8EE299" w14:textId="77777777" w:rsidR="007373AB" w:rsidRPr="00A259BD" w:rsidRDefault="007373AB" w:rsidP="009236E3">
      <w:pPr>
        <w:spacing w:after="0" w:line="240" w:lineRule="auto"/>
        <w:jc w:val="both"/>
        <w:rPr>
          <w:rFonts w:ascii="Times New Roman" w:hAnsi="Times New Roman"/>
          <w:color w:val="000000" w:themeColor="text1"/>
          <w:sz w:val="16"/>
          <w:szCs w:val="16"/>
        </w:rPr>
      </w:pPr>
    </w:p>
    <w:p w14:paraId="4AA5FF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 1929 г. Надир-шах захватил Кабул. Ему достались остатки - всего несколько способных подняться в воздух машин. Возможно, что последние Р-1 прожили в Афганистане еще год-два (11923).</w:t>
      </w:r>
    </w:p>
    <w:p w14:paraId="5D37CB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1F9BF8" w14:textId="77777777" w:rsidR="00B814DD" w:rsidRPr="00441F34" w:rsidRDefault="00B814DD" w:rsidP="00B814D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октябре 1929 г. к моменту захвата власти в Афганистане Надир-шахом почти все самолеты были неисправны, однако местным авиаторам удалось привести свою технику в боеспособное состояние и она эксплуатировалась еще несколько лет, применяясь для подавления мятежей непокорных племен (24334).</w:t>
      </w:r>
    </w:p>
    <w:p w14:paraId="58AF6A3C" w14:textId="77777777" w:rsidR="00B814DD" w:rsidRPr="00441F34" w:rsidRDefault="00B814DD" w:rsidP="00B814DD">
      <w:pPr>
        <w:spacing w:after="0" w:line="240" w:lineRule="auto"/>
        <w:jc w:val="both"/>
        <w:rPr>
          <w:rFonts w:ascii="Times New Roman" w:hAnsi="Times New Roman"/>
          <w:color w:val="0070C0"/>
          <w:sz w:val="16"/>
          <w:szCs w:val="16"/>
        </w:rPr>
      </w:pPr>
    </w:p>
    <w:p w14:paraId="4073C14D" w14:textId="77777777" w:rsidR="00170B72"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lastRenderedPageBreak/>
        <w:t>Другие оборонные отрасли:</w:t>
      </w:r>
    </w:p>
    <w:p w14:paraId="33CB7BF1" w14:textId="77777777" w:rsidR="00170B72" w:rsidRPr="00A259BD" w:rsidRDefault="00170B7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5EA5A5" w14:textId="77777777" w:rsidR="00170B72" w:rsidRPr="00A259BD" w:rsidRDefault="00170B7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октябре-ноябре 1929 было проведено сравнение двух проектов. Вариант Т-25, предложенный НАМИ </w:t>
      </w:r>
      <w:proofErr w:type="spellStart"/>
      <w:r w:rsidRPr="00A259BD">
        <w:rPr>
          <w:rFonts w:ascii="Times New Roman" w:hAnsi="Times New Roman"/>
          <w:color w:val="000000" w:themeColor="text1"/>
          <w:sz w:val="16"/>
          <w:szCs w:val="16"/>
        </w:rPr>
        <w:t>отличалася</w:t>
      </w:r>
      <w:proofErr w:type="spellEnd"/>
      <w:r w:rsidRPr="00A259BD">
        <w:rPr>
          <w:rFonts w:ascii="Times New Roman" w:hAnsi="Times New Roman"/>
          <w:color w:val="000000" w:themeColor="text1"/>
          <w:sz w:val="16"/>
          <w:szCs w:val="16"/>
        </w:rPr>
        <w:t xml:space="preserve"> ходовой частью с поднимаемыми и опускаемыми колёсами (наподобие шведского </w:t>
      </w:r>
      <w:hyperlink r:id="rId215"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w:t>
      </w:r>
      <w:proofErr w:type="spellStart"/>
      <w:r w:rsidRPr="00A259BD">
        <w:rPr>
          <w:rFonts w:ascii="Times New Roman" w:hAnsi="Times New Roman"/>
          <w:color w:val="000000" w:themeColor="text1"/>
          <w:sz w:val="16"/>
          <w:szCs w:val="16"/>
        </w:rPr>
        <w:t>Landsverk</w:t>
      </w:r>
      <w:proofErr w:type="spellEnd"/>
      <w:r w:rsidRPr="00A259BD">
        <w:rPr>
          <w:rFonts w:ascii="Times New Roman" w:hAnsi="Times New Roman"/>
          <w:color w:val="000000" w:themeColor="text1"/>
          <w:sz w:val="16"/>
          <w:szCs w:val="16"/>
        </w:rPr>
        <w:t xml:space="preserve"> L-30 или чехословацкого Skoda KH50) установленных снаружи гусеничных цепей. Преимуществом такой схемы было отсутствие необходимости выхода экипажа наружу машины для смены хода. Однако инженеры НАМИ не смогли уложиться в ТЗ (вес – более 4,5 т, скорость – 30-33 км/ч на гусеницах и не более 50 км/ч на колесах).</w:t>
      </w:r>
    </w:p>
    <w:p w14:paraId="6A055D4A" w14:textId="77777777" w:rsidR="00170B72" w:rsidRPr="00A259BD" w:rsidRDefault="00170B7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Колесно-гусеничная </w:t>
      </w:r>
      <w:hyperlink r:id="rId216"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етка </w:t>
      </w:r>
      <w:proofErr w:type="spellStart"/>
      <w:r w:rsidRPr="00A259BD">
        <w:rPr>
          <w:rFonts w:ascii="Times New Roman" w:hAnsi="Times New Roman"/>
          <w:color w:val="000000" w:themeColor="text1"/>
          <w:sz w:val="16"/>
          <w:szCs w:val="16"/>
        </w:rPr>
        <w:t>Симского</w:t>
      </w:r>
      <w:proofErr w:type="spellEnd"/>
      <w:r w:rsidRPr="00A259BD">
        <w:rPr>
          <w:rFonts w:ascii="Times New Roman" w:hAnsi="Times New Roman"/>
          <w:color w:val="000000" w:themeColor="text1"/>
          <w:sz w:val="16"/>
          <w:szCs w:val="16"/>
        </w:rPr>
        <w:t xml:space="preserve"> по проекту представляла собой уменьшенный вид </w:t>
      </w:r>
      <w:hyperlink r:id="rId217"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«Кристи», но при этом имела с ним большие различия в размерах и ходовой части. Так, привод в Т-25 предполагалось осуществить синхронно на все колеса, а для улучшения маневренности предполагалось сделать управляемыми две передние оси и т.д. Проектом предусматривалось достижение скорости движения 45 км/ч на гусеницах и 65 км/ч на колесах при применении 60 л.с. двигателя от </w:t>
      </w:r>
      <w:hyperlink r:id="rId218"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Т-20, или 52 км/ч и 75 км/ч соответственно с двигателем в 70 л.с. Рассмотрев оба проекта в октябре-ноябре 1929 года УММ выбрало первый вариант, поскольку НАМИ не удалось вложиться в ТТЗ по массе и скорости. Постройку опытного образца </w:t>
      </w:r>
      <w:hyperlink r:id="rId219"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етки запланировали на декабрь 1931 года и с этого момента программа развития Т-25 получила весьма ощутимую поддержку.</w:t>
      </w:r>
    </w:p>
    <w:p w14:paraId="6AD8E27B" w14:textId="77777777" w:rsidR="00170B72" w:rsidRPr="00A259BD" w:rsidRDefault="00170B7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Из особенностей </w:t>
      </w:r>
      <w:hyperlink r:id="rId220"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етки Т-25 следует отметить также, во-первых, плавательное приспособление – съемный пустотелый фанерно-дюралевый «поплавок», набитый пробкой или сушеной морской травой. Планировалось использовать эту же </w:t>
      </w:r>
      <w:hyperlink r:id="rId221"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етку для проведения экспериментов по созданию «летающего» и «буксируемого» «</w:t>
      </w:r>
      <w:hyperlink r:id="rId222"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а-планера». Из переписки С. Гинзбурга понятно, что эту </w:t>
      </w:r>
      <w:hyperlink r:id="rId223"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етку предполагалось использовать также в качестве зенитного </w:t>
      </w:r>
      <w:hyperlink r:id="rId224"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а, вооруженного спаркой пулеметов типа ДТ, ДА или ДУ. Для этого планировалось разработать новую, открытую сверху, башню.</w:t>
      </w:r>
    </w:p>
    <w:p w14:paraId="1D757987" w14:textId="77777777" w:rsidR="00170B72" w:rsidRPr="00A259BD" w:rsidRDefault="00170B7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Впрочем, когда дело дошло до воплощения проекта в металл, выявилось множество “подводных камней”, наиболее “острым” из которых стал тот самый колёсно-гусеничных ход. Никаких дополнительных усилий по доработке Т-25 не прилагалось, так как все инженерные и производственные мощности были заняты </w:t>
      </w:r>
      <w:hyperlink r:id="rId225"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ами Т-18 и Т-19. Изготовление опытного образца </w:t>
      </w:r>
      <w:hyperlink r:id="rId226"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етки передали на ХПЗ, но там умышленно затормозили работы по нему, ожидая продолжения дальнейших работ по среднему </w:t>
      </w:r>
      <w:hyperlink r:id="rId227"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у Т-24, постройка которого также была временно приостановлена в виду отсутствия денежных средств. Харьковский паровозостроительный завод попытался «спихнуть с себя» этот малоперспективный проект, ожидая продолжения работ по </w:t>
      </w:r>
      <w:hyperlink r:id="rId228"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у Т-24.</w:t>
      </w:r>
    </w:p>
    <w:p w14:paraId="3EC3F8CC" w14:textId="77777777" w:rsidR="00170B72" w:rsidRPr="00A259BD" w:rsidRDefault="00170B7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Таким образом, проект колесно-гусеничной </w:t>
      </w:r>
      <w:hyperlink r:id="rId229"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етки Т-25 конструкции Гинзбурга – </w:t>
      </w:r>
      <w:proofErr w:type="spellStart"/>
      <w:r w:rsidRPr="00A259BD">
        <w:rPr>
          <w:rFonts w:ascii="Times New Roman" w:hAnsi="Times New Roman"/>
          <w:color w:val="000000" w:themeColor="text1"/>
          <w:sz w:val="16"/>
          <w:szCs w:val="16"/>
        </w:rPr>
        <w:t>Симского</w:t>
      </w:r>
      <w:proofErr w:type="spellEnd"/>
      <w:r w:rsidRPr="00A259BD">
        <w:rPr>
          <w:rFonts w:ascii="Times New Roman" w:hAnsi="Times New Roman"/>
          <w:color w:val="000000" w:themeColor="text1"/>
          <w:sz w:val="16"/>
          <w:szCs w:val="16"/>
        </w:rPr>
        <w:t xml:space="preserve"> был отложен исполнением на один год, а в 1932 г. совершенно закрыт. Основной причиной отказа от дальнейших работ по колесно-гусеничной </w:t>
      </w:r>
      <w:hyperlink r:id="rId230"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етки послужила её чрезвычайно высокая стоимость, которая мало отличалась от стоимости легкого </w:t>
      </w:r>
      <w:hyperlink r:id="rId231"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Т-26 образца 1931 г. Кроме того, изучив возможность серийной постройки </w:t>
      </w:r>
      <w:hyperlink r:id="rId232"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ов иностранного производства в СССР начальник УММ РККА </w:t>
      </w:r>
      <w:proofErr w:type="spellStart"/>
      <w:r w:rsidRPr="00A259BD">
        <w:rPr>
          <w:rFonts w:ascii="Times New Roman" w:hAnsi="Times New Roman"/>
          <w:color w:val="000000" w:themeColor="text1"/>
          <w:sz w:val="16"/>
          <w:szCs w:val="16"/>
        </w:rPr>
        <w:t>И.Халепский</w:t>
      </w:r>
      <w:proofErr w:type="spellEnd"/>
      <w:r w:rsidRPr="00A259BD">
        <w:rPr>
          <w:rFonts w:ascii="Times New Roman" w:hAnsi="Times New Roman"/>
          <w:color w:val="000000" w:themeColor="text1"/>
          <w:sz w:val="16"/>
          <w:szCs w:val="16"/>
        </w:rPr>
        <w:t xml:space="preserve"> сделал вывод, что разумнее будет запустить в производство боевые машины конструкции </w:t>
      </w:r>
      <w:proofErr w:type="spellStart"/>
      <w:r w:rsidRPr="00A259BD">
        <w:rPr>
          <w:rFonts w:ascii="Times New Roman" w:hAnsi="Times New Roman"/>
          <w:color w:val="000000" w:themeColor="text1"/>
          <w:sz w:val="16"/>
          <w:szCs w:val="16"/>
        </w:rPr>
        <w:t>У.Кристи</w:t>
      </w:r>
      <w:proofErr w:type="spellEnd"/>
      <w:r w:rsidRPr="00A259BD">
        <w:rPr>
          <w:rFonts w:ascii="Times New Roman" w:hAnsi="Times New Roman"/>
          <w:color w:val="000000" w:themeColor="text1"/>
          <w:sz w:val="16"/>
          <w:szCs w:val="16"/>
        </w:rPr>
        <w:t xml:space="preserve">, что и было выполнено в 1931 году. Таким образом, надобность в Т-25 отпала сама собой, а место обычных </w:t>
      </w:r>
      <w:hyperlink r:id="rId233"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еток заняли более технологичные и менее дорогостоящие Т-27 (15618).</w:t>
      </w:r>
    </w:p>
    <w:p w14:paraId="7F2C9242" w14:textId="77777777" w:rsidR="00170B72" w:rsidRPr="00A259BD" w:rsidRDefault="00170B72" w:rsidP="009236E3">
      <w:pPr>
        <w:spacing w:after="0" w:line="240" w:lineRule="auto"/>
        <w:jc w:val="both"/>
        <w:rPr>
          <w:rFonts w:ascii="Times New Roman" w:hAnsi="Times New Roman"/>
          <w:color w:val="000000" w:themeColor="text1"/>
          <w:sz w:val="16"/>
          <w:szCs w:val="16"/>
        </w:rPr>
      </w:pPr>
    </w:p>
    <w:p w14:paraId="1DE010B1" w14:textId="77777777" w:rsidR="007373AB" w:rsidRPr="00A259BD" w:rsidRDefault="007373AB"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 xml:space="preserve">В октябре-ноябре 1929 было проведено сравнение двух проектов. Вариант Т-25, предложенный НАМИ </w:t>
      </w:r>
      <w:proofErr w:type="spellStart"/>
      <w:r w:rsidRPr="00A259BD">
        <w:rPr>
          <w:rFonts w:ascii="Times New Roman" w:hAnsi="Times New Roman"/>
          <w:color w:val="000000" w:themeColor="text1"/>
          <w:sz w:val="16"/>
          <w:szCs w:val="16"/>
          <w:bdr w:val="none" w:sz="0" w:space="0" w:color="auto" w:frame="1"/>
        </w:rPr>
        <w:t>отличалася</w:t>
      </w:r>
      <w:proofErr w:type="spellEnd"/>
      <w:r w:rsidRPr="00A259BD">
        <w:rPr>
          <w:rFonts w:ascii="Times New Roman" w:hAnsi="Times New Roman"/>
          <w:color w:val="000000" w:themeColor="text1"/>
          <w:sz w:val="16"/>
          <w:szCs w:val="16"/>
          <w:bdr w:val="none" w:sz="0" w:space="0" w:color="auto" w:frame="1"/>
        </w:rPr>
        <w:t xml:space="preserve"> ходовой частью с поднимаемыми и опускаемыми колёсами (наподобие шведского </w:t>
      </w:r>
      <w:hyperlink r:id="rId234"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 xml:space="preserve">а </w:t>
      </w:r>
      <w:proofErr w:type="spellStart"/>
      <w:r w:rsidRPr="00A259BD">
        <w:rPr>
          <w:rFonts w:ascii="Times New Roman" w:hAnsi="Times New Roman"/>
          <w:color w:val="000000" w:themeColor="text1"/>
          <w:sz w:val="16"/>
          <w:szCs w:val="16"/>
          <w:bdr w:val="none" w:sz="0" w:space="0" w:color="auto" w:frame="1"/>
        </w:rPr>
        <w:t>Landsverk</w:t>
      </w:r>
      <w:proofErr w:type="spellEnd"/>
      <w:r w:rsidRPr="00A259BD">
        <w:rPr>
          <w:rFonts w:ascii="Times New Roman" w:hAnsi="Times New Roman"/>
          <w:color w:val="000000" w:themeColor="text1"/>
          <w:sz w:val="16"/>
          <w:szCs w:val="16"/>
          <w:bdr w:val="none" w:sz="0" w:space="0" w:color="auto" w:frame="1"/>
        </w:rPr>
        <w:t xml:space="preserve"> L-30 или чехословацкого Skoda KH50) установленных снаружи гусеничных цепей. Преимуществом такой схемы было отсутствие необходимости выхода экипажа наружу машины для смены хода. Однако инженеры НАМИ не смогли уложиться в ТЗ (вес – более 4,5 т, скорость – 30-33 км/ч на гусеницах и не более 50 км/ч на колесах).</w:t>
      </w:r>
    </w:p>
    <w:p w14:paraId="37ED0EB9" w14:textId="77777777" w:rsidR="007373AB" w:rsidRPr="00A259BD" w:rsidRDefault="007373AB"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Колесно-гусеничная </w:t>
      </w:r>
      <w:hyperlink r:id="rId235"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 xml:space="preserve">етка </w:t>
      </w:r>
      <w:proofErr w:type="spellStart"/>
      <w:r w:rsidRPr="00A259BD">
        <w:rPr>
          <w:rFonts w:ascii="Times New Roman" w:hAnsi="Times New Roman"/>
          <w:color w:val="000000" w:themeColor="text1"/>
          <w:sz w:val="16"/>
          <w:szCs w:val="16"/>
          <w:bdr w:val="none" w:sz="0" w:space="0" w:color="auto" w:frame="1"/>
        </w:rPr>
        <w:t>Симского</w:t>
      </w:r>
      <w:proofErr w:type="spellEnd"/>
      <w:r w:rsidRPr="00A259BD">
        <w:rPr>
          <w:rFonts w:ascii="Times New Roman" w:hAnsi="Times New Roman"/>
          <w:color w:val="000000" w:themeColor="text1"/>
          <w:sz w:val="16"/>
          <w:szCs w:val="16"/>
          <w:bdr w:val="none" w:sz="0" w:space="0" w:color="auto" w:frame="1"/>
        </w:rPr>
        <w:t xml:space="preserve"> по проекту представляла собой уменьшенный вид </w:t>
      </w:r>
      <w:hyperlink r:id="rId236"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а «Кристи», но при этом имела с ним большие различия в размерах и ходовой части. Так, привод в Т-25 предполагалось осуществить синхронно на все колеса, а для улучшения маневренности предполагалось сделать управляемыми две передние оси и т.д. Проектом предусматривалось достижение скорости движения 45 км/ч на гусеницах и 65 км/ч на колесах при применении 60 л.с. двигателя от </w:t>
      </w:r>
      <w:hyperlink r:id="rId237"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а Т-20, или 52 км/ч и 75 км/ч соответственно с двигателем в 70 л.с. Рассмотрев оба проекта в октябре-ноябре 1929 года УММ выбрало первый вариант, поскольку НАМИ не удалось вложиться в ТТЗ по массе и скорости. Постройку опытного образца </w:t>
      </w:r>
      <w:hyperlink r:id="rId238"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етки запланировали на декабрь 1931 года и с этого момента программа развития Т-25 получила весьма ощутимую поддержку (21513).</w:t>
      </w:r>
    </w:p>
    <w:p w14:paraId="1C5AA06F" w14:textId="77777777" w:rsidR="007373AB" w:rsidRPr="00A259BD" w:rsidRDefault="007373AB" w:rsidP="009236E3">
      <w:pPr>
        <w:spacing w:after="0" w:line="240" w:lineRule="auto"/>
        <w:jc w:val="both"/>
        <w:rPr>
          <w:rFonts w:ascii="Times New Roman" w:hAnsi="Times New Roman"/>
          <w:color w:val="000000" w:themeColor="text1"/>
          <w:sz w:val="16"/>
          <w:szCs w:val="16"/>
          <w:bdr w:val="none" w:sz="0" w:space="0" w:color="auto" w:frame="1"/>
        </w:rPr>
      </w:pPr>
    </w:p>
    <w:p w14:paraId="5BC971E7" w14:textId="77777777" w:rsidR="007373AB" w:rsidRPr="00A259BD" w:rsidRDefault="007373AB" w:rsidP="009236E3">
      <w:pPr>
        <w:shd w:val="clear" w:color="auto" w:fill="FFFFFF"/>
        <w:spacing w:after="0" w:line="240" w:lineRule="auto"/>
        <w:jc w:val="both"/>
        <w:textAlignment w:val="baseline"/>
        <w:rPr>
          <w:rFonts w:ascii="Times New Roman" w:hAnsi="Times New Roman"/>
          <w:color w:val="000000" w:themeColor="text1"/>
          <w:sz w:val="16"/>
          <w:szCs w:val="16"/>
          <w:bdr w:val="none" w:sz="0" w:space="0" w:color="auto" w:frame="1"/>
        </w:rPr>
      </w:pPr>
      <w:r w:rsidRPr="00A259BD">
        <w:rPr>
          <w:rFonts w:ascii="Times New Roman" w:hAnsi="Times New Roman"/>
          <w:color w:val="000000" w:themeColor="text1"/>
          <w:sz w:val="16"/>
          <w:szCs w:val="16"/>
          <w:bdr w:val="none" w:sz="0" w:space="0" w:color="auto" w:frame="1"/>
        </w:rPr>
        <w:t xml:space="preserve">В октябре-ноябре 1929 года, рассмотрев оба проекта </w:t>
      </w:r>
      <w:hyperlink r:id="rId239"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етки Т-25 весом не более 3000-3500 кг, оснащенной двигателем мощностью 40-60 л.с., вооруженной либо пулеметом во вращающейся башне, либо 37-мм пушкой в корпусе и обладающей скоростью движения не менее 40 км/ч на гусеницах и не менее 60 км/ч на колесах – от НАМИ и Большевика, УММ выбрало второй вариант, поскольку НАМИ не удалось вложиться в ТТЗ по массе и скорости. Постройку опытного образца </w:t>
      </w:r>
      <w:hyperlink r:id="rId240"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етки запланировали на декабрь 1931 года и с этого момента программа развития Т-25 получила весьма ощутимую поддержку.</w:t>
      </w:r>
    </w:p>
    <w:p w14:paraId="5A2391DE" w14:textId="77777777" w:rsidR="007373AB" w:rsidRPr="00A259BD" w:rsidRDefault="007373AB"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Из особенностей </w:t>
      </w:r>
      <w:hyperlink r:id="rId241"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етки Т-25 следует отметить также, во-первых, плавательное приспособление – съемный пустотелый фанерно-дюралевый «поплавок», набитый пробкой или сушеной морской травой. Планировалось использовать эту же </w:t>
      </w:r>
      <w:hyperlink r:id="rId242"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етку для проведения экспериментов по созданию «летающего» и «буксируемого» «</w:t>
      </w:r>
      <w:hyperlink r:id="rId243"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а-планера». Из переписки С. Гинзбурга понятно, что эту </w:t>
      </w:r>
      <w:hyperlink r:id="rId244"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етку предполагалось использовать также в качестве зенитного </w:t>
      </w:r>
      <w:hyperlink r:id="rId245"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а, вооруженного спаркой пулеметов типа ДТ, ДА или ДУ. Для этого планировалось разработать новую, открытую сверху, башню.</w:t>
      </w:r>
    </w:p>
    <w:p w14:paraId="219FE185" w14:textId="77777777" w:rsidR="007373AB" w:rsidRPr="00A259BD" w:rsidRDefault="007373AB"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Впрочем, когда дело дошло до воплощения проекта в металл, выявилось множество “подводных камней”, наиболее “острым” из которых стал тот самый колёсно-гусеничных ход. Никаких дополнительных усилий по доработке Т-25 не прилагалось, так как все инженерные и производственные мощности были заняты </w:t>
      </w:r>
      <w:hyperlink r:id="rId246"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ами Т-18 и Т-19. Изготовление опытного образца </w:t>
      </w:r>
      <w:hyperlink r:id="rId247"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етки передали на ХПЗ, но там умышленно затормозили работы по нему, ожидая продолжения дальнейших работ по среднему </w:t>
      </w:r>
      <w:hyperlink r:id="rId248"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у Т-24, постройка которого также была временно приостановлена в виду отсутствия денежных средств. Харьковский паровозостроительный завод попытался «спихнуть с себя» этот малоперспективный проект, ожидая продолжения работ по </w:t>
      </w:r>
      <w:hyperlink r:id="rId249"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у Т-24.</w:t>
      </w:r>
    </w:p>
    <w:p w14:paraId="0D9B6610" w14:textId="77777777" w:rsidR="007373AB" w:rsidRPr="00A259BD" w:rsidRDefault="007373AB"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Таким образом, проект колесно-гусеничной </w:t>
      </w:r>
      <w:hyperlink r:id="rId250"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 xml:space="preserve">етки Т-25 конструкции Гинзбурга – </w:t>
      </w:r>
      <w:proofErr w:type="spellStart"/>
      <w:r w:rsidRPr="00A259BD">
        <w:rPr>
          <w:rFonts w:ascii="Times New Roman" w:hAnsi="Times New Roman"/>
          <w:color w:val="000000" w:themeColor="text1"/>
          <w:sz w:val="16"/>
          <w:szCs w:val="16"/>
          <w:bdr w:val="none" w:sz="0" w:space="0" w:color="auto" w:frame="1"/>
        </w:rPr>
        <w:t>Симского</w:t>
      </w:r>
      <w:proofErr w:type="spellEnd"/>
      <w:r w:rsidRPr="00A259BD">
        <w:rPr>
          <w:rFonts w:ascii="Times New Roman" w:hAnsi="Times New Roman"/>
          <w:color w:val="000000" w:themeColor="text1"/>
          <w:sz w:val="16"/>
          <w:szCs w:val="16"/>
          <w:bdr w:val="none" w:sz="0" w:space="0" w:color="auto" w:frame="1"/>
        </w:rPr>
        <w:t xml:space="preserve"> был отложен исполнением на один год, а в 1932 г. совершенно закрыт. Основной причиной отказа от дальнейших работ по колесно-гусеничной </w:t>
      </w:r>
      <w:hyperlink r:id="rId251"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етки послужила её чрезвычайно высокая стоимость, которая мало отличалась от стоимости легкого </w:t>
      </w:r>
      <w:hyperlink r:id="rId252"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а Т-26 образца 1931 г. Кроме того, изучив возможность серийной постройки </w:t>
      </w:r>
      <w:hyperlink r:id="rId253"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 xml:space="preserve">ов иностранного производства в СССР начальник УММ РККА </w:t>
      </w:r>
      <w:proofErr w:type="spellStart"/>
      <w:r w:rsidRPr="00A259BD">
        <w:rPr>
          <w:rFonts w:ascii="Times New Roman" w:hAnsi="Times New Roman"/>
          <w:color w:val="000000" w:themeColor="text1"/>
          <w:sz w:val="16"/>
          <w:szCs w:val="16"/>
          <w:bdr w:val="none" w:sz="0" w:space="0" w:color="auto" w:frame="1"/>
        </w:rPr>
        <w:t>И.Халепский</w:t>
      </w:r>
      <w:proofErr w:type="spellEnd"/>
      <w:r w:rsidRPr="00A259BD">
        <w:rPr>
          <w:rFonts w:ascii="Times New Roman" w:hAnsi="Times New Roman"/>
          <w:color w:val="000000" w:themeColor="text1"/>
          <w:sz w:val="16"/>
          <w:szCs w:val="16"/>
          <w:bdr w:val="none" w:sz="0" w:space="0" w:color="auto" w:frame="1"/>
        </w:rPr>
        <w:t xml:space="preserve"> сделал вывод, что разумнее будет запустить в производство боевые машины конструкции </w:t>
      </w:r>
      <w:proofErr w:type="spellStart"/>
      <w:r w:rsidRPr="00A259BD">
        <w:rPr>
          <w:rFonts w:ascii="Times New Roman" w:hAnsi="Times New Roman"/>
          <w:color w:val="000000" w:themeColor="text1"/>
          <w:sz w:val="16"/>
          <w:szCs w:val="16"/>
          <w:bdr w:val="none" w:sz="0" w:space="0" w:color="auto" w:frame="1"/>
        </w:rPr>
        <w:t>У.Кристи</w:t>
      </w:r>
      <w:proofErr w:type="spellEnd"/>
      <w:r w:rsidRPr="00A259BD">
        <w:rPr>
          <w:rFonts w:ascii="Times New Roman" w:hAnsi="Times New Roman"/>
          <w:color w:val="000000" w:themeColor="text1"/>
          <w:sz w:val="16"/>
          <w:szCs w:val="16"/>
          <w:bdr w:val="none" w:sz="0" w:space="0" w:color="auto" w:frame="1"/>
        </w:rPr>
        <w:t>, что и было выполнено в 1931 году. Таким образом, надобность в Т-25 отпала сама собой, а место обычных </w:t>
      </w:r>
      <w:hyperlink r:id="rId254"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еток заняли более технологичные и менее дорогостоящие Т-27  (21513).</w:t>
      </w:r>
    </w:p>
    <w:p w14:paraId="1DA736E0" w14:textId="77777777" w:rsidR="007373AB" w:rsidRPr="00A259BD" w:rsidRDefault="007373AB" w:rsidP="009236E3">
      <w:pPr>
        <w:spacing w:after="0" w:line="240" w:lineRule="auto"/>
        <w:jc w:val="both"/>
        <w:rPr>
          <w:rFonts w:ascii="Times New Roman" w:hAnsi="Times New Roman"/>
          <w:color w:val="000000" w:themeColor="text1"/>
          <w:sz w:val="16"/>
          <w:szCs w:val="16"/>
          <w:bdr w:val="none" w:sz="0" w:space="0" w:color="auto" w:frame="1"/>
        </w:rPr>
      </w:pPr>
    </w:p>
    <w:p w14:paraId="6BF3DA3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05088ED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45D5E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октябре-ноябре 1929 был конфликт на КВЖД, в котором приняло участие 40 самолетов (66,198).</w:t>
      </w:r>
    </w:p>
    <w:p w14:paraId="7CECC6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другим данным он был летом 1929</w:t>
      </w:r>
    </w:p>
    <w:p w14:paraId="2281363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208E02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98AFBC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3EAA89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ноября 1929 поплавки двух МР-1 были повреждены льдом. Один самолет, № 672, при посадке на рейде </w:t>
      </w:r>
      <w:proofErr w:type="spellStart"/>
      <w:r w:rsidRPr="00A259BD">
        <w:rPr>
          <w:rFonts w:ascii="Times New Roman" w:hAnsi="Times New Roman"/>
          <w:color w:val="000000" w:themeColor="text1"/>
          <w:sz w:val="16"/>
          <w:szCs w:val="16"/>
        </w:rPr>
        <w:t>Лаха</w:t>
      </w:r>
      <w:r w:rsidRPr="00A259BD">
        <w:rPr>
          <w:rFonts w:ascii="Times New Roman" w:hAnsi="Times New Roman"/>
          <w:color w:val="000000" w:themeColor="text1"/>
          <w:sz w:val="16"/>
          <w:szCs w:val="16"/>
        </w:rPr>
        <w:softHyphen/>
        <w:t>сусу</w:t>
      </w:r>
      <w:proofErr w:type="spellEnd"/>
      <w:r w:rsidRPr="00A259BD">
        <w:rPr>
          <w:rFonts w:ascii="Times New Roman" w:hAnsi="Times New Roman"/>
          <w:color w:val="000000" w:themeColor="text1"/>
          <w:sz w:val="16"/>
          <w:szCs w:val="16"/>
        </w:rPr>
        <w:t xml:space="preserve"> сильной боковой волной и ветром перевернуло че</w:t>
      </w:r>
      <w:r w:rsidRPr="00A259BD">
        <w:rPr>
          <w:rFonts w:ascii="Times New Roman" w:hAnsi="Times New Roman"/>
          <w:color w:val="000000" w:themeColor="text1"/>
          <w:sz w:val="16"/>
          <w:szCs w:val="16"/>
        </w:rPr>
        <w:softHyphen/>
        <w:t xml:space="preserve">рез крыло. Экипаж спасся. Еще один МР-1 № 683, у которого обледенели поплавки, был вынужден сесть на сушу у китайской деревни </w:t>
      </w:r>
      <w:proofErr w:type="spellStart"/>
      <w:r w:rsidRPr="00A259BD">
        <w:rPr>
          <w:rFonts w:ascii="Times New Roman" w:hAnsi="Times New Roman"/>
          <w:color w:val="000000" w:themeColor="text1"/>
          <w:sz w:val="16"/>
          <w:szCs w:val="16"/>
        </w:rPr>
        <w:t>Киндели</w:t>
      </w:r>
      <w:proofErr w:type="spellEnd"/>
      <w:r w:rsidRPr="00A259BD">
        <w:rPr>
          <w:rFonts w:ascii="Times New Roman" w:hAnsi="Times New Roman"/>
          <w:color w:val="000000" w:themeColor="text1"/>
          <w:sz w:val="16"/>
          <w:szCs w:val="16"/>
        </w:rPr>
        <w:t xml:space="preserve"> в полукилометре от берега. Разбитый самолёт был сожжен; экипаж выбрал</w:t>
      </w:r>
      <w:r w:rsidRPr="00A259BD">
        <w:rPr>
          <w:rFonts w:ascii="Times New Roman" w:hAnsi="Times New Roman"/>
          <w:color w:val="000000" w:themeColor="text1"/>
          <w:sz w:val="16"/>
          <w:szCs w:val="16"/>
        </w:rPr>
        <w:softHyphen/>
        <w:t>ся с оружием на нашу территорию. В боях на Сунгари особо отличились командир от</w:t>
      </w:r>
      <w:r w:rsidRPr="00A259BD">
        <w:rPr>
          <w:rFonts w:ascii="Times New Roman" w:hAnsi="Times New Roman"/>
          <w:color w:val="000000" w:themeColor="text1"/>
          <w:sz w:val="16"/>
          <w:szCs w:val="16"/>
        </w:rPr>
        <w:softHyphen/>
        <w:t xml:space="preserve">ряда </w:t>
      </w:r>
      <w:proofErr w:type="spellStart"/>
      <w:r w:rsidRPr="00A259BD">
        <w:rPr>
          <w:rFonts w:ascii="Times New Roman" w:hAnsi="Times New Roman"/>
          <w:color w:val="000000" w:themeColor="text1"/>
          <w:sz w:val="16"/>
          <w:szCs w:val="16"/>
        </w:rPr>
        <w:t>Э.М.Лухт</w:t>
      </w:r>
      <w:proofErr w:type="spellEnd"/>
      <w:r w:rsidRPr="00A259BD">
        <w:rPr>
          <w:rFonts w:ascii="Times New Roman" w:hAnsi="Times New Roman"/>
          <w:color w:val="000000" w:themeColor="text1"/>
          <w:sz w:val="16"/>
          <w:szCs w:val="16"/>
        </w:rPr>
        <w:t xml:space="preserve">, летчики </w:t>
      </w:r>
      <w:proofErr w:type="spellStart"/>
      <w:r w:rsidRPr="00A259BD">
        <w:rPr>
          <w:rFonts w:ascii="Times New Roman" w:hAnsi="Times New Roman"/>
          <w:color w:val="000000" w:themeColor="text1"/>
          <w:sz w:val="16"/>
          <w:szCs w:val="16"/>
        </w:rPr>
        <w:t>Д.И.Боровиков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Б.Я.Козлов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И.Я.Сегедин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П.В.Соловьев</w:t>
      </w:r>
      <w:proofErr w:type="spellEnd"/>
      <w:r w:rsidRPr="00A259BD">
        <w:rPr>
          <w:rFonts w:ascii="Times New Roman" w:hAnsi="Times New Roman"/>
          <w:color w:val="000000" w:themeColor="text1"/>
          <w:sz w:val="16"/>
          <w:szCs w:val="16"/>
        </w:rPr>
        <w:t xml:space="preserve">, инженер отряда </w:t>
      </w:r>
      <w:proofErr w:type="spellStart"/>
      <w:r w:rsidRPr="00A259BD">
        <w:rPr>
          <w:rFonts w:ascii="Times New Roman" w:hAnsi="Times New Roman"/>
          <w:color w:val="000000" w:themeColor="text1"/>
          <w:sz w:val="16"/>
          <w:szCs w:val="16"/>
        </w:rPr>
        <w:t>И.Т.Сухинин</w:t>
      </w:r>
      <w:proofErr w:type="spellEnd"/>
      <w:r w:rsidRPr="00A259BD">
        <w:rPr>
          <w:rFonts w:ascii="Times New Roman" w:hAnsi="Times New Roman"/>
          <w:color w:val="000000" w:themeColor="text1"/>
          <w:sz w:val="16"/>
          <w:szCs w:val="16"/>
        </w:rPr>
        <w:t xml:space="preserve"> (10667).</w:t>
      </w:r>
    </w:p>
    <w:p w14:paraId="7C52566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C9E4C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ноября 1929 “Страна Советов” вы</w:t>
      </w:r>
      <w:r w:rsidRPr="00A259BD">
        <w:rPr>
          <w:rFonts w:ascii="Times New Roman" w:hAnsi="Times New Roman"/>
          <w:color w:val="000000" w:themeColor="text1"/>
          <w:sz w:val="16"/>
          <w:szCs w:val="16"/>
        </w:rPr>
        <w:softHyphen/>
        <w:t>летела из Детройта в Нью-Йорк. На борту находились А.В. Петров и В.М. Петляков. При подходе к го</w:t>
      </w:r>
      <w:r w:rsidRPr="00A259BD">
        <w:rPr>
          <w:rFonts w:ascii="Times New Roman" w:hAnsi="Times New Roman"/>
          <w:color w:val="000000" w:themeColor="text1"/>
          <w:sz w:val="16"/>
          <w:szCs w:val="16"/>
        </w:rPr>
        <w:softHyphen/>
        <w:t>роду АНТ-4 сделал круг над ста</w:t>
      </w:r>
      <w:r w:rsidRPr="00A259BD">
        <w:rPr>
          <w:rFonts w:ascii="Times New Roman" w:hAnsi="Times New Roman"/>
          <w:color w:val="000000" w:themeColor="text1"/>
          <w:sz w:val="16"/>
          <w:szCs w:val="16"/>
        </w:rPr>
        <w:softHyphen/>
        <w:t>туей Свободы, затем к нему при</w:t>
      </w:r>
      <w:r w:rsidRPr="00A259BD">
        <w:rPr>
          <w:rFonts w:ascii="Times New Roman" w:hAnsi="Times New Roman"/>
          <w:color w:val="000000" w:themeColor="text1"/>
          <w:sz w:val="16"/>
          <w:szCs w:val="16"/>
        </w:rPr>
        <w:softHyphen/>
        <w:t>соединилась эскадрилья амери</w:t>
      </w:r>
      <w:r w:rsidRPr="00A259BD">
        <w:rPr>
          <w:rFonts w:ascii="Times New Roman" w:hAnsi="Times New Roman"/>
          <w:color w:val="000000" w:themeColor="text1"/>
          <w:sz w:val="16"/>
          <w:szCs w:val="16"/>
        </w:rPr>
        <w:softHyphen/>
        <w:t>канских самолетов, и они вместе зашли на аэродром Лонг-Айленд в 40 км от города. Там их встреча</w:t>
      </w:r>
      <w:r w:rsidRPr="00A259BD">
        <w:rPr>
          <w:rFonts w:ascii="Times New Roman" w:hAnsi="Times New Roman"/>
          <w:color w:val="000000" w:themeColor="text1"/>
          <w:sz w:val="16"/>
          <w:szCs w:val="16"/>
        </w:rPr>
        <w:softHyphen/>
        <w:t>ла 35-тысячная толпа, а за забо</w:t>
      </w:r>
      <w:r w:rsidRPr="00A259BD">
        <w:rPr>
          <w:rFonts w:ascii="Times New Roman" w:hAnsi="Times New Roman"/>
          <w:color w:val="000000" w:themeColor="text1"/>
          <w:sz w:val="16"/>
          <w:szCs w:val="16"/>
        </w:rPr>
        <w:softHyphen/>
        <w:t>ром оставалось еще около 70 ты</w:t>
      </w:r>
      <w:r w:rsidRPr="00A259BD">
        <w:rPr>
          <w:rFonts w:ascii="Times New Roman" w:hAnsi="Times New Roman"/>
          <w:color w:val="000000" w:themeColor="text1"/>
          <w:sz w:val="16"/>
          <w:szCs w:val="16"/>
        </w:rPr>
        <w:softHyphen/>
        <w:t>сяч человек. На этом воздушное путешествие за</w:t>
      </w:r>
      <w:r w:rsidRPr="00A259BD">
        <w:rPr>
          <w:rFonts w:ascii="Times New Roman" w:hAnsi="Times New Roman"/>
          <w:color w:val="000000" w:themeColor="text1"/>
          <w:sz w:val="16"/>
          <w:szCs w:val="16"/>
        </w:rPr>
        <w:softHyphen/>
        <w:t>кончилось. Всего в ходе перелета было выполнено 24 отдельных полета, пройде</w:t>
      </w:r>
      <w:r w:rsidRPr="00A259BD">
        <w:rPr>
          <w:rFonts w:ascii="Times New Roman" w:hAnsi="Times New Roman"/>
          <w:color w:val="000000" w:themeColor="text1"/>
          <w:sz w:val="16"/>
          <w:szCs w:val="16"/>
        </w:rPr>
        <w:softHyphen/>
        <w:t>но 20612 км за 141 ч 33 мин полетного времени. Средняя путевая скорость со</w:t>
      </w:r>
      <w:r w:rsidRPr="00A259BD">
        <w:rPr>
          <w:rFonts w:ascii="Times New Roman" w:hAnsi="Times New Roman"/>
          <w:color w:val="000000" w:themeColor="text1"/>
          <w:sz w:val="16"/>
          <w:szCs w:val="16"/>
        </w:rPr>
        <w:softHyphen/>
        <w:t>ставляла 146 км/ч. Средняя длина воз</w:t>
      </w:r>
      <w:r w:rsidRPr="00A259BD">
        <w:rPr>
          <w:rFonts w:ascii="Times New Roman" w:hAnsi="Times New Roman"/>
          <w:color w:val="000000" w:themeColor="text1"/>
          <w:sz w:val="16"/>
          <w:szCs w:val="16"/>
        </w:rPr>
        <w:softHyphen/>
        <w:t>душного этапа — 860 км. Протяженность наибольшего этапа Москва-Челябинск сос</w:t>
      </w:r>
      <w:r w:rsidRPr="00A259BD">
        <w:rPr>
          <w:rFonts w:ascii="Times New Roman" w:hAnsi="Times New Roman"/>
          <w:color w:val="000000" w:themeColor="text1"/>
          <w:sz w:val="16"/>
          <w:szCs w:val="16"/>
        </w:rPr>
        <w:softHyphen/>
        <w:t>тавила 1500 км. В общей сложности само</w:t>
      </w:r>
      <w:r w:rsidRPr="00A259BD">
        <w:rPr>
          <w:rFonts w:ascii="Times New Roman" w:hAnsi="Times New Roman"/>
          <w:color w:val="000000" w:themeColor="text1"/>
          <w:sz w:val="16"/>
          <w:szCs w:val="16"/>
        </w:rPr>
        <w:softHyphen/>
        <w:t>лет находился в пути 74 дня (с 23.08 по 1.11), из них летных — 24. Среди причин задержек выделялись замены моторов, на которые ушло 20 дней. Вместе с донесением о завершении за</w:t>
      </w:r>
      <w:r w:rsidRPr="00A259BD">
        <w:rPr>
          <w:rFonts w:ascii="Times New Roman" w:hAnsi="Times New Roman"/>
          <w:color w:val="000000" w:themeColor="text1"/>
          <w:sz w:val="16"/>
          <w:szCs w:val="16"/>
        </w:rPr>
        <w:softHyphen/>
        <w:t>дания экипаж направил предложение про</w:t>
      </w:r>
      <w:r w:rsidRPr="00A259BD">
        <w:rPr>
          <w:rFonts w:ascii="Times New Roman" w:hAnsi="Times New Roman"/>
          <w:color w:val="000000" w:themeColor="text1"/>
          <w:sz w:val="16"/>
          <w:szCs w:val="16"/>
        </w:rPr>
        <w:softHyphen/>
        <w:t>должить перелет на восток. Однако из-за плохой погоды и недостаточной надежно</w:t>
      </w:r>
      <w:r w:rsidRPr="00A259BD">
        <w:rPr>
          <w:rFonts w:ascii="Times New Roman" w:hAnsi="Times New Roman"/>
          <w:color w:val="000000" w:themeColor="text1"/>
          <w:sz w:val="16"/>
          <w:szCs w:val="16"/>
        </w:rPr>
        <w:softHyphen/>
        <w:t>сти двигателей продолжения не последова</w:t>
      </w:r>
      <w:r w:rsidRPr="00A259BD">
        <w:rPr>
          <w:rFonts w:ascii="Times New Roman" w:hAnsi="Times New Roman"/>
          <w:color w:val="000000" w:themeColor="text1"/>
          <w:sz w:val="16"/>
          <w:szCs w:val="16"/>
        </w:rPr>
        <w:softHyphen/>
        <w:t>ло. Экипаж вернулся в СССР пароходом, са</w:t>
      </w:r>
      <w:r w:rsidRPr="00A259BD">
        <w:rPr>
          <w:rFonts w:ascii="Times New Roman" w:hAnsi="Times New Roman"/>
          <w:color w:val="000000" w:themeColor="text1"/>
          <w:sz w:val="16"/>
          <w:szCs w:val="16"/>
        </w:rPr>
        <w:softHyphen/>
        <w:t>молет разобрали и чуть позже отправили тем же путем. В Москву участники эпопеи прибыли 24 декабря 1929 г. (11286)</w:t>
      </w:r>
    </w:p>
    <w:p w14:paraId="455A1F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2C4BEF" w14:textId="77777777" w:rsidR="00D16B0B" w:rsidRPr="006B74EB" w:rsidRDefault="00D16B0B" w:rsidP="00D16B0B">
      <w:pPr>
        <w:spacing w:after="0" w:line="240" w:lineRule="auto"/>
        <w:jc w:val="both"/>
        <w:rPr>
          <w:rFonts w:ascii="Times New Roman" w:hAnsi="Times New Roman"/>
          <w:color w:val="0070C0"/>
          <w:sz w:val="16"/>
          <w:szCs w:val="16"/>
        </w:rPr>
      </w:pPr>
      <w:bookmarkStart w:id="92" w:name="_Hlk79424275"/>
      <w:r>
        <w:rPr>
          <w:rFonts w:ascii="Times New Roman" w:hAnsi="Times New Roman"/>
          <w:color w:val="0070C0"/>
          <w:sz w:val="16"/>
          <w:szCs w:val="16"/>
        </w:rPr>
        <w:t xml:space="preserve">1 </w:t>
      </w:r>
      <w:r w:rsidRPr="006B74EB">
        <w:rPr>
          <w:rFonts w:ascii="Times New Roman" w:hAnsi="Times New Roman"/>
          <w:color w:val="0070C0"/>
          <w:sz w:val="16"/>
          <w:szCs w:val="16"/>
        </w:rPr>
        <w:t>ноября</w:t>
      </w:r>
      <w:r>
        <w:rPr>
          <w:rFonts w:ascii="Times New Roman" w:hAnsi="Times New Roman"/>
          <w:color w:val="0070C0"/>
          <w:sz w:val="16"/>
          <w:szCs w:val="16"/>
        </w:rPr>
        <w:t xml:space="preserve"> 1929 г.</w:t>
      </w:r>
      <w:r w:rsidRPr="006B74EB">
        <w:rPr>
          <w:rFonts w:ascii="Times New Roman" w:hAnsi="Times New Roman"/>
          <w:color w:val="0070C0"/>
          <w:sz w:val="16"/>
          <w:szCs w:val="16"/>
        </w:rPr>
        <w:t xml:space="preserve"> закончился самый большой в СССР перелет Москва-Сан </w:t>
      </w:r>
      <w:r>
        <w:rPr>
          <w:rFonts w:ascii="Times New Roman" w:hAnsi="Times New Roman"/>
          <w:color w:val="0070C0"/>
          <w:sz w:val="16"/>
          <w:szCs w:val="16"/>
        </w:rPr>
        <w:t>Франциск</w:t>
      </w:r>
      <w:r w:rsidRPr="006B74EB">
        <w:rPr>
          <w:rFonts w:ascii="Times New Roman" w:hAnsi="Times New Roman"/>
          <w:color w:val="0070C0"/>
          <w:sz w:val="16"/>
          <w:szCs w:val="16"/>
        </w:rPr>
        <w:t>-Нью-</w:t>
      </w:r>
      <w:r>
        <w:rPr>
          <w:rFonts w:ascii="Times New Roman" w:hAnsi="Times New Roman"/>
          <w:color w:val="0070C0"/>
          <w:sz w:val="16"/>
          <w:szCs w:val="16"/>
        </w:rPr>
        <w:t>Й</w:t>
      </w:r>
      <w:r w:rsidRPr="006B74EB">
        <w:rPr>
          <w:rFonts w:ascii="Times New Roman" w:hAnsi="Times New Roman"/>
          <w:color w:val="0070C0"/>
          <w:sz w:val="16"/>
          <w:szCs w:val="16"/>
        </w:rPr>
        <w:t xml:space="preserve">орк, начатый 23 августа экипажем </w:t>
      </w:r>
      <w:proofErr w:type="spellStart"/>
      <w:r w:rsidRPr="006B74EB">
        <w:rPr>
          <w:rFonts w:ascii="Times New Roman" w:hAnsi="Times New Roman"/>
          <w:color w:val="0070C0"/>
          <w:sz w:val="16"/>
          <w:szCs w:val="16"/>
        </w:rPr>
        <w:t>С.А.</w:t>
      </w:r>
      <w:r>
        <w:rPr>
          <w:rFonts w:ascii="Times New Roman" w:hAnsi="Times New Roman"/>
          <w:color w:val="0070C0"/>
          <w:sz w:val="16"/>
          <w:szCs w:val="16"/>
        </w:rPr>
        <w:t>Ш</w:t>
      </w:r>
      <w:r w:rsidRPr="006B74EB">
        <w:rPr>
          <w:rFonts w:ascii="Times New Roman" w:hAnsi="Times New Roman"/>
          <w:color w:val="0070C0"/>
          <w:sz w:val="16"/>
          <w:szCs w:val="16"/>
        </w:rPr>
        <w:t>еста</w:t>
      </w:r>
      <w:r>
        <w:rPr>
          <w:rFonts w:ascii="Times New Roman" w:hAnsi="Times New Roman"/>
          <w:color w:val="0070C0"/>
          <w:sz w:val="16"/>
          <w:szCs w:val="16"/>
        </w:rPr>
        <w:t>кова</w:t>
      </w:r>
      <w:proofErr w:type="spellEnd"/>
      <w:r>
        <w:rPr>
          <w:rFonts w:ascii="Times New Roman" w:hAnsi="Times New Roman"/>
          <w:color w:val="0070C0"/>
          <w:sz w:val="16"/>
          <w:szCs w:val="16"/>
        </w:rPr>
        <w:t xml:space="preserve"> </w:t>
      </w:r>
      <w:r w:rsidRPr="006B74EB">
        <w:rPr>
          <w:rFonts w:ascii="Times New Roman" w:hAnsi="Times New Roman"/>
          <w:color w:val="0070C0"/>
          <w:sz w:val="16"/>
          <w:szCs w:val="16"/>
        </w:rPr>
        <w:t>на самолете АНТ-4 "Страна Советов".</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В Хабаровске самолет был </w:t>
      </w:r>
      <w:r>
        <w:rPr>
          <w:rFonts w:ascii="Times New Roman" w:hAnsi="Times New Roman"/>
          <w:color w:val="0070C0"/>
          <w:sz w:val="16"/>
          <w:szCs w:val="16"/>
        </w:rPr>
        <w:t>по</w:t>
      </w:r>
      <w:r w:rsidRPr="006B74EB">
        <w:rPr>
          <w:rFonts w:ascii="Times New Roman" w:hAnsi="Times New Roman"/>
          <w:color w:val="0070C0"/>
          <w:sz w:val="16"/>
          <w:szCs w:val="16"/>
        </w:rPr>
        <w:t>ставлен на поплавки и в таком виде доведен до Сиэтла /США/,</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где </w:t>
      </w:r>
      <w:r>
        <w:rPr>
          <w:rFonts w:ascii="Times New Roman" w:hAnsi="Times New Roman"/>
          <w:color w:val="0070C0"/>
          <w:sz w:val="16"/>
          <w:szCs w:val="16"/>
        </w:rPr>
        <w:t>сно</w:t>
      </w:r>
      <w:r w:rsidRPr="006B74EB">
        <w:rPr>
          <w:rFonts w:ascii="Times New Roman" w:hAnsi="Times New Roman"/>
          <w:color w:val="0070C0"/>
          <w:sz w:val="16"/>
          <w:szCs w:val="16"/>
        </w:rPr>
        <w:t>ва был поставлен на колеса .Весь маршрут протяжением 20.580 км</w:t>
      </w:r>
      <w:r>
        <w:rPr>
          <w:rFonts w:ascii="Times New Roman" w:hAnsi="Times New Roman"/>
          <w:color w:val="0070C0"/>
          <w:sz w:val="16"/>
          <w:szCs w:val="16"/>
        </w:rPr>
        <w:t xml:space="preserve"> был</w:t>
      </w:r>
      <w:r w:rsidRPr="006B74EB">
        <w:rPr>
          <w:rFonts w:ascii="Times New Roman" w:hAnsi="Times New Roman"/>
          <w:color w:val="0070C0"/>
          <w:sz w:val="16"/>
          <w:szCs w:val="16"/>
        </w:rPr>
        <w:t xml:space="preserve"> пройден за 136 ч.58 минут со средней скоростью 150 км/ча</w:t>
      </w:r>
      <w:r>
        <w:rPr>
          <w:rFonts w:ascii="Times New Roman" w:hAnsi="Times New Roman"/>
          <w:color w:val="0070C0"/>
          <w:sz w:val="16"/>
          <w:szCs w:val="16"/>
        </w:rPr>
        <w:t>с</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Над </w:t>
      </w:r>
      <w:r>
        <w:rPr>
          <w:rFonts w:ascii="Times New Roman" w:hAnsi="Times New Roman"/>
          <w:color w:val="0070C0"/>
          <w:sz w:val="16"/>
          <w:szCs w:val="16"/>
        </w:rPr>
        <w:t xml:space="preserve">морем </w:t>
      </w:r>
      <w:r w:rsidRPr="006B74EB">
        <w:rPr>
          <w:rFonts w:ascii="Times New Roman" w:hAnsi="Times New Roman"/>
          <w:color w:val="0070C0"/>
          <w:sz w:val="16"/>
          <w:szCs w:val="16"/>
        </w:rPr>
        <w:t xml:space="preserve">было пройдено 7950 км о одной вынужденной посадкой из-за </w:t>
      </w:r>
      <w:r>
        <w:rPr>
          <w:rFonts w:ascii="Times New Roman" w:hAnsi="Times New Roman"/>
          <w:color w:val="0070C0"/>
          <w:sz w:val="16"/>
          <w:szCs w:val="16"/>
        </w:rPr>
        <w:t>отказа</w:t>
      </w:r>
      <w:r w:rsidRPr="006B74EB">
        <w:rPr>
          <w:rFonts w:ascii="Times New Roman" w:hAnsi="Times New Roman"/>
          <w:color w:val="0070C0"/>
          <w:sz w:val="16"/>
          <w:szCs w:val="16"/>
        </w:rPr>
        <w:t xml:space="preserve"> мотора.</w:t>
      </w:r>
      <w:r>
        <w:rPr>
          <w:rFonts w:ascii="Times New Roman" w:hAnsi="Times New Roman"/>
          <w:color w:val="0070C0"/>
          <w:sz w:val="16"/>
          <w:szCs w:val="16"/>
        </w:rPr>
        <w:t xml:space="preserve"> П</w:t>
      </w:r>
      <w:r w:rsidRPr="006B74EB">
        <w:rPr>
          <w:rFonts w:ascii="Times New Roman" w:hAnsi="Times New Roman"/>
          <w:color w:val="0070C0"/>
          <w:sz w:val="16"/>
          <w:szCs w:val="16"/>
        </w:rPr>
        <w:t>олет проходил в тяжелых метеорологических услови</w:t>
      </w:r>
      <w:r>
        <w:rPr>
          <w:rFonts w:ascii="Times New Roman" w:hAnsi="Times New Roman"/>
          <w:color w:val="0070C0"/>
          <w:sz w:val="16"/>
          <w:szCs w:val="16"/>
        </w:rPr>
        <w:t>ях. В</w:t>
      </w:r>
      <w:r w:rsidRPr="006B74EB">
        <w:rPr>
          <w:rFonts w:ascii="Times New Roman" w:hAnsi="Times New Roman"/>
          <w:color w:val="0070C0"/>
          <w:sz w:val="16"/>
          <w:szCs w:val="16"/>
        </w:rPr>
        <w:t xml:space="preserve"> особенности над Алеутскими островами.</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Экипаж и самолет </w:t>
      </w:r>
      <w:r>
        <w:rPr>
          <w:rFonts w:ascii="Times New Roman" w:hAnsi="Times New Roman"/>
          <w:color w:val="0070C0"/>
          <w:sz w:val="16"/>
          <w:szCs w:val="16"/>
        </w:rPr>
        <w:t xml:space="preserve">с </w:t>
      </w:r>
      <w:r w:rsidRPr="006B74EB">
        <w:rPr>
          <w:rFonts w:ascii="Times New Roman" w:hAnsi="Times New Roman"/>
          <w:color w:val="0070C0"/>
          <w:sz w:val="16"/>
          <w:szCs w:val="16"/>
        </w:rPr>
        <w:t>че</w:t>
      </w:r>
      <w:r>
        <w:rPr>
          <w:rFonts w:ascii="Times New Roman" w:hAnsi="Times New Roman"/>
          <w:color w:val="0070C0"/>
          <w:sz w:val="16"/>
          <w:szCs w:val="16"/>
        </w:rPr>
        <w:t>стью</w:t>
      </w:r>
      <w:r w:rsidRPr="006B74EB">
        <w:rPr>
          <w:rFonts w:ascii="Times New Roman" w:hAnsi="Times New Roman"/>
          <w:color w:val="0070C0"/>
          <w:sz w:val="16"/>
          <w:szCs w:val="16"/>
        </w:rPr>
        <w:t xml:space="preserve"> </w:t>
      </w:r>
      <w:r>
        <w:rPr>
          <w:rFonts w:ascii="Times New Roman" w:hAnsi="Times New Roman"/>
          <w:color w:val="0070C0"/>
          <w:sz w:val="16"/>
          <w:szCs w:val="16"/>
        </w:rPr>
        <w:t>вы</w:t>
      </w:r>
      <w:r w:rsidRPr="006B74EB">
        <w:rPr>
          <w:rFonts w:ascii="Times New Roman" w:hAnsi="Times New Roman"/>
          <w:color w:val="0070C0"/>
          <w:sz w:val="16"/>
          <w:szCs w:val="16"/>
        </w:rPr>
        <w:t>держали испытание.</w:t>
      </w:r>
    </w:p>
    <w:p w14:paraId="6669E3D1" w14:textId="77777777" w:rsidR="00D16B0B" w:rsidRPr="006B74EB" w:rsidRDefault="00D16B0B" w:rsidP="00D16B0B">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"Страна советов" была первым советским самолетом,</w:t>
      </w:r>
      <w:r>
        <w:rPr>
          <w:rFonts w:ascii="Times New Roman" w:hAnsi="Times New Roman"/>
          <w:color w:val="0070C0"/>
          <w:sz w:val="16"/>
          <w:szCs w:val="16"/>
        </w:rPr>
        <w:t xml:space="preserve"> </w:t>
      </w:r>
      <w:proofErr w:type="spellStart"/>
      <w:r w:rsidRPr="006B74EB">
        <w:rPr>
          <w:rFonts w:ascii="Times New Roman" w:hAnsi="Times New Roman"/>
          <w:color w:val="0070C0"/>
          <w:sz w:val="16"/>
          <w:szCs w:val="16"/>
        </w:rPr>
        <w:t>прилетеваим</w:t>
      </w:r>
      <w:proofErr w:type="spellEnd"/>
      <w:r w:rsidRPr="006B74EB">
        <w:rPr>
          <w:rFonts w:ascii="Times New Roman" w:hAnsi="Times New Roman"/>
          <w:color w:val="0070C0"/>
          <w:sz w:val="16"/>
          <w:szCs w:val="16"/>
        </w:rPr>
        <w:t xml:space="preserve"> </w:t>
      </w:r>
      <w:r>
        <w:rPr>
          <w:rFonts w:ascii="Times New Roman" w:hAnsi="Times New Roman"/>
          <w:color w:val="0070C0"/>
          <w:sz w:val="16"/>
          <w:szCs w:val="16"/>
        </w:rPr>
        <w:t>в США. П</w:t>
      </w:r>
      <w:r w:rsidRPr="006B74EB">
        <w:rPr>
          <w:rFonts w:ascii="Times New Roman" w:hAnsi="Times New Roman"/>
          <w:color w:val="0070C0"/>
          <w:sz w:val="16"/>
          <w:szCs w:val="16"/>
        </w:rPr>
        <w:t>о</w:t>
      </w:r>
      <w:r>
        <w:rPr>
          <w:rFonts w:ascii="Times New Roman" w:hAnsi="Times New Roman"/>
          <w:color w:val="0070C0"/>
          <w:sz w:val="16"/>
          <w:szCs w:val="16"/>
        </w:rPr>
        <w:t>э</w:t>
      </w:r>
      <w:r w:rsidRPr="006B74EB">
        <w:rPr>
          <w:rFonts w:ascii="Times New Roman" w:hAnsi="Times New Roman"/>
          <w:color w:val="0070C0"/>
          <w:sz w:val="16"/>
          <w:szCs w:val="16"/>
        </w:rPr>
        <w:t>тому понятен был интерес американцев к самолету и его эки</w:t>
      </w:r>
      <w:r>
        <w:rPr>
          <w:rFonts w:ascii="Times New Roman" w:hAnsi="Times New Roman"/>
          <w:color w:val="0070C0"/>
          <w:sz w:val="16"/>
          <w:szCs w:val="16"/>
        </w:rPr>
        <w:t>паж</w:t>
      </w:r>
      <w:r w:rsidRPr="006B74EB">
        <w:rPr>
          <w:rFonts w:ascii="Times New Roman" w:hAnsi="Times New Roman"/>
          <w:color w:val="0070C0"/>
          <w:sz w:val="16"/>
          <w:szCs w:val="16"/>
        </w:rPr>
        <w:t>у.</w:t>
      </w:r>
      <w:r>
        <w:rPr>
          <w:rFonts w:ascii="Times New Roman" w:hAnsi="Times New Roman"/>
          <w:color w:val="0070C0"/>
          <w:sz w:val="16"/>
          <w:szCs w:val="16"/>
        </w:rPr>
        <w:t xml:space="preserve"> Э</w:t>
      </w:r>
      <w:r w:rsidRPr="006B74EB">
        <w:rPr>
          <w:rFonts w:ascii="Times New Roman" w:hAnsi="Times New Roman"/>
          <w:color w:val="0070C0"/>
          <w:sz w:val="16"/>
          <w:szCs w:val="16"/>
        </w:rPr>
        <w:t>к</w:t>
      </w:r>
      <w:r>
        <w:rPr>
          <w:rFonts w:ascii="Times New Roman" w:hAnsi="Times New Roman"/>
          <w:color w:val="0070C0"/>
          <w:sz w:val="16"/>
          <w:szCs w:val="16"/>
        </w:rPr>
        <w:t>и</w:t>
      </w:r>
      <w:r w:rsidRPr="006B74EB">
        <w:rPr>
          <w:rFonts w:ascii="Times New Roman" w:hAnsi="Times New Roman"/>
          <w:color w:val="0070C0"/>
          <w:sz w:val="16"/>
          <w:szCs w:val="16"/>
        </w:rPr>
        <w:t>паж всюду встречал радушный прием и был принят президентом.</w:t>
      </w:r>
      <w:r>
        <w:rPr>
          <w:rFonts w:ascii="Times New Roman" w:hAnsi="Times New Roman"/>
          <w:color w:val="0070C0"/>
          <w:sz w:val="16"/>
          <w:szCs w:val="16"/>
        </w:rPr>
        <w:t xml:space="preserve"> </w:t>
      </w:r>
      <w:r w:rsidRPr="006B74EB">
        <w:rPr>
          <w:rFonts w:ascii="Times New Roman" w:hAnsi="Times New Roman"/>
          <w:color w:val="0070C0"/>
          <w:sz w:val="16"/>
          <w:szCs w:val="16"/>
        </w:rPr>
        <w:t>Печать с интересом следила за ходом перелета и воздавала дол</w:t>
      </w:r>
      <w:r>
        <w:rPr>
          <w:rFonts w:ascii="Times New Roman" w:hAnsi="Times New Roman"/>
          <w:color w:val="0070C0"/>
          <w:sz w:val="16"/>
          <w:szCs w:val="16"/>
        </w:rPr>
        <w:t>г мужеству</w:t>
      </w:r>
      <w:r w:rsidRPr="006B74EB">
        <w:rPr>
          <w:rFonts w:ascii="Times New Roman" w:hAnsi="Times New Roman"/>
          <w:color w:val="0070C0"/>
          <w:sz w:val="16"/>
          <w:szCs w:val="16"/>
        </w:rPr>
        <w:t xml:space="preserve"> и героизму экипажа.</w:t>
      </w:r>
      <w:r>
        <w:rPr>
          <w:rFonts w:ascii="Times New Roman" w:hAnsi="Times New Roman"/>
          <w:color w:val="0070C0"/>
          <w:sz w:val="16"/>
          <w:szCs w:val="16"/>
        </w:rPr>
        <w:t xml:space="preserve"> </w:t>
      </w:r>
      <w:r w:rsidRPr="006B74EB">
        <w:rPr>
          <w:rFonts w:ascii="Times New Roman" w:hAnsi="Times New Roman"/>
          <w:color w:val="0070C0"/>
          <w:sz w:val="16"/>
          <w:szCs w:val="16"/>
        </w:rPr>
        <w:t>Прилет АНТ-4 оказался полезным и для амер</w:t>
      </w:r>
      <w:r>
        <w:rPr>
          <w:rFonts w:ascii="Times New Roman" w:hAnsi="Times New Roman"/>
          <w:color w:val="0070C0"/>
          <w:sz w:val="16"/>
          <w:szCs w:val="16"/>
        </w:rPr>
        <w:t>ик</w:t>
      </w:r>
      <w:r w:rsidRPr="006B74EB">
        <w:rPr>
          <w:rFonts w:ascii="Times New Roman" w:hAnsi="Times New Roman"/>
          <w:color w:val="0070C0"/>
          <w:sz w:val="16"/>
          <w:szCs w:val="16"/>
        </w:rPr>
        <w:t>а</w:t>
      </w:r>
      <w:r>
        <w:rPr>
          <w:rFonts w:ascii="Times New Roman" w:hAnsi="Times New Roman"/>
          <w:color w:val="0070C0"/>
          <w:sz w:val="16"/>
          <w:szCs w:val="16"/>
        </w:rPr>
        <w:t>нских</w:t>
      </w:r>
      <w:r w:rsidRPr="006B74EB">
        <w:rPr>
          <w:rFonts w:ascii="Times New Roman" w:hAnsi="Times New Roman"/>
          <w:color w:val="0070C0"/>
          <w:sz w:val="16"/>
          <w:szCs w:val="16"/>
        </w:rPr>
        <w:t xml:space="preserve"> ав</w:t>
      </w:r>
      <w:r>
        <w:rPr>
          <w:rFonts w:ascii="Times New Roman" w:hAnsi="Times New Roman"/>
          <w:color w:val="0070C0"/>
          <w:sz w:val="16"/>
          <w:szCs w:val="16"/>
        </w:rPr>
        <w:t>и</w:t>
      </w:r>
      <w:r w:rsidRPr="006B74EB">
        <w:rPr>
          <w:rFonts w:ascii="Times New Roman" w:hAnsi="Times New Roman"/>
          <w:color w:val="0070C0"/>
          <w:sz w:val="16"/>
          <w:szCs w:val="16"/>
        </w:rPr>
        <w:t xml:space="preserve">аконструкторов в смысле позаимствования </w:t>
      </w:r>
      <w:r>
        <w:rPr>
          <w:rFonts w:ascii="Times New Roman" w:hAnsi="Times New Roman"/>
          <w:color w:val="0070C0"/>
          <w:sz w:val="16"/>
          <w:szCs w:val="16"/>
        </w:rPr>
        <w:t>к</w:t>
      </w:r>
      <w:r w:rsidRPr="006B74EB">
        <w:rPr>
          <w:rFonts w:ascii="Times New Roman" w:hAnsi="Times New Roman"/>
          <w:color w:val="0070C0"/>
          <w:sz w:val="16"/>
          <w:szCs w:val="16"/>
        </w:rPr>
        <w:t>он</w:t>
      </w:r>
      <w:r>
        <w:rPr>
          <w:rFonts w:ascii="Times New Roman" w:hAnsi="Times New Roman"/>
          <w:color w:val="0070C0"/>
          <w:sz w:val="16"/>
          <w:szCs w:val="16"/>
        </w:rPr>
        <w:t>с</w:t>
      </w:r>
      <w:r w:rsidRPr="006B74EB">
        <w:rPr>
          <w:rFonts w:ascii="Times New Roman" w:hAnsi="Times New Roman"/>
          <w:color w:val="0070C0"/>
          <w:sz w:val="16"/>
          <w:szCs w:val="16"/>
        </w:rPr>
        <w:t>трукти</w:t>
      </w:r>
      <w:r>
        <w:rPr>
          <w:rFonts w:ascii="Times New Roman" w:hAnsi="Times New Roman"/>
          <w:color w:val="0070C0"/>
          <w:sz w:val="16"/>
          <w:szCs w:val="16"/>
        </w:rPr>
        <w:t>вн</w:t>
      </w:r>
      <w:r w:rsidRPr="006B74EB">
        <w:rPr>
          <w:rFonts w:ascii="Times New Roman" w:hAnsi="Times New Roman"/>
          <w:color w:val="0070C0"/>
          <w:sz w:val="16"/>
          <w:szCs w:val="16"/>
        </w:rPr>
        <w:t xml:space="preserve">ых </w:t>
      </w:r>
      <w:r>
        <w:rPr>
          <w:rFonts w:ascii="Times New Roman" w:hAnsi="Times New Roman"/>
          <w:color w:val="0070C0"/>
          <w:sz w:val="16"/>
          <w:szCs w:val="16"/>
        </w:rPr>
        <w:t>фо</w:t>
      </w:r>
      <w:r w:rsidRPr="006B74EB">
        <w:rPr>
          <w:rFonts w:ascii="Times New Roman" w:hAnsi="Times New Roman"/>
          <w:color w:val="0070C0"/>
          <w:sz w:val="16"/>
          <w:szCs w:val="16"/>
        </w:rPr>
        <w:t>р</w:t>
      </w:r>
      <w:r>
        <w:rPr>
          <w:rFonts w:ascii="Times New Roman" w:hAnsi="Times New Roman"/>
          <w:color w:val="0070C0"/>
          <w:sz w:val="16"/>
          <w:szCs w:val="16"/>
        </w:rPr>
        <w:t>м</w:t>
      </w:r>
      <w:r w:rsidRPr="006B74EB">
        <w:rPr>
          <w:rFonts w:ascii="Times New Roman" w:hAnsi="Times New Roman"/>
          <w:color w:val="0070C0"/>
          <w:sz w:val="16"/>
          <w:szCs w:val="16"/>
        </w:rPr>
        <w:t xml:space="preserve"> </w:t>
      </w:r>
      <w:r>
        <w:rPr>
          <w:rFonts w:ascii="Times New Roman" w:hAnsi="Times New Roman"/>
          <w:color w:val="0070C0"/>
          <w:sz w:val="16"/>
          <w:szCs w:val="16"/>
        </w:rPr>
        <w:t>самол</w:t>
      </w:r>
      <w:r w:rsidRPr="006B74EB">
        <w:rPr>
          <w:rFonts w:ascii="Times New Roman" w:hAnsi="Times New Roman"/>
          <w:color w:val="0070C0"/>
          <w:sz w:val="16"/>
          <w:szCs w:val="16"/>
        </w:rPr>
        <w:t>ета.</w:t>
      </w:r>
    </w:p>
    <w:p w14:paraId="0755BA85" w14:textId="77777777" w:rsidR="00D16B0B" w:rsidRDefault="00D16B0B" w:rsidP="00D16B0B">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lastRenderedPageBreak/>
        <w:t>/"Красная звезда” за 2 ноября 1929;</w:t>
      </w:r>
      <w:r>
        <w:rPr>
          <w:rFonts w:ascii="Times New Roman" w:hAnsi="Times New Roman"/>
          <w:color w:val="0070C0"/>
          <w:sz w:val="16"/>
          <w:szCs w:val="16"/>
        </w:rPr>
        <w:t xml:space="preserve"> </w:t>
      </w:r>
      <w:r w:rsidRPr="006B74EB">
        <w:rPr>
          <w:rFonts w:ascii="Times New Roman" w:hAnsi="Times New Roman"/>
          <w:color w:val="0070C0"/>
          <w:sz w:val="16"/>
          <w:szCs w:val="16"/>
        </w:rPr>
        <w:t>ВВ</w:t>
      </w:r>
      <w:r>
        <w:rPr>
          <w:rFonts w:ascii="Times New Roman" w:hAnsi="Times New Roman"/>
          <w:color w:val="0070C0"/>
          <w:sz w:val="16"/>
          <w:szCs w:val="16"/>
        </w:rPr>
        <w:t>Ф</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1959 </w:t>
      </w:r>
      <w:r>
        <w:rPr>
          <w:rFonts w:ascii="Times New Roman" w:hAnsi="Times New Roman"/>
          <w:color w:val="0070C0"/>
          <w:sz w:val="16"/>
          <w:szCs w:val="16"/>
        </w:rPr>
        <w:t>№</w:t>
      </w:r>
      <w:r w:rsidRPr="006B74EB">
        <w:rPr>
          <w:rFonts w:ascii="Times New Roman" w:hAnsi="Times New Roman"/>
          <w:color w:val="0070C0"/>
          <w:sz w:val="16"/>
          <w:szCs w:val="16"/>
        </w:rPr>
        <w:t xml:space="preserve"> 10 со ст.</w:t>
      </w:r>
      <w:r>
        <w:rPr>
          <w:rFonts w:ascii="Times New Roman" w:hAnsi="Times New Roman"/>
          <w:color w:val="0070C0"/>
          <w:sz w:val="16"/>
          <w:szCs w:val="16"/>
        </w:rPr>
        <w:t xml:space="preserve"> </w:t>
      </w:r>
      <w:proofErr w:type="spellStart"/>
      <w:r w:rsidRPr="006B74EB">
        <w:rPr>
          <w:rFonts w:ascii="Times New Roman" w:hAnsi="Times New Roman"/>
          <w:color w:val="0070C0"/>
          <w:sz w:val="16"/>
          <w:szCs w:val="16"/>
        </w:rPr>
        <w:t>Стсрл</w:t>
      </w:r>
      <w:r>
        <w:rPr>
          <w:rFonts w:ascii="Times New Roman" w:hAnsi="Times New Roman"/>
          <w:color w:val="0070C0"/>
          <w:sz w:val="16"/>
          <w:szCs w:val="16"/>
        </w:rPr>
        <w:t>и</w:t>
      </w:r>
      <w:r w:rsidRPr="006B74EB">
        <w:rPr>
          <w:rFonts w:ascii="Times New Roman" w:hAnsi="Times New Roman"/>
          <w:color w:val="0070C0"/>
          <w:sz w:val="16"/>
          <w:szCs w:val="16"/>
        </w:rPr>
        <w:t>гова</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(23370).</w:t>
      </w:r>
    </w:p>
    <w:p w14:paraId="7EE141E0" w14:textId="77777777" w:rsidR="00D16B0B" w:rsidRPr="006B74EB" w:rsidRDefault="00D16B0B" w:rsidP="00D16B0B">
      <w:pPr>
        <w:spacing w:after="0" w:line="240" w:lineRule="auto"/>
        <w:jc w:val="both"/>
        <w:rPr>
          <w:rFonts w:ascii="Times New Roman" w:hAnsi="Times New Roman"/>
          <w:color w:val="0070C0"/>
          <w:sz w:val="16"/>
          <w:szCs w:val="16"/>
        </w:rPr>
      </w:pPr>
    </w:p>
    <w:p w14:paraId="641273B1" w14:textId="77777777" w:rsidR="00886357" w:rsidRPr="00A259BD" w:rsidRDefault="00886357" w:rsidP="009236E3">
      <w:pPr>
        <w:pStyle w:val="ae"/>
        <w:shd w:val="clear" w:color="auto" w:fill="FFFFFF"/>
        <w:spacing w:before="0" w:after="0"/>
        <w:jc w:val="both"/>
        <w:textAlignment w:val="baseline"/>
        <w:rPr>
          <w:color w:val="000000" w:themeColor="text1"/>
          <w:sz w:val="16"/>
          <w:szCs w:val="16"/>
        </w:rPr>
      </w:pPr>
      <w:r w:rsidRPr="00A259BD">
        <w:rPr>
          <w:color w:val="000000" w:themeColor="text1"/>
          <w:sz w:val="16"/>
          <w:szCs w:val="16"/>
        </w:rPr>
        <w:t>С 1 ноября 1929г. вместо ликвидированного Совета по гражданской авиации была организована Главная инспекция ГВФ. Она перешла на самостоятельный общесоюзный бюджет. Ввиду нецелесообразности параллельного существования двух акционерных обществ «Добролет» и «</w:t>
      </w:r>
      <w:proofErr w:type="spellStart"/>
      <w:r w:rsidRPr="00A259BD">
        <w:rPr>
          <w:color w:val="000000" w:themeColor="text1"/>
          <w:sz w:val="16"/>
          <w:szCs w:val="16"/>
        </w:rPr>
        <w:t>Укрвоздухпуть</w:t>
      </w:r>
      <w:proofErr w:type="spellEnd"/>
      <w:r w:rsidRPr="00A259BD">
        <w:rPr>
          <w:color w:val="000000" w:themeColor="text1"/>
          <w:sz w:val="16"/>
          <w:szCs w:val="16"/>
        </w:rPr>
        <w:t>» было решено с 1 ноября 1929г. Слить их в единое Всесоюзное общество гражданского флота «Добролет» (ВО ГВФ «Добролет»). Главная инспекция ГФВ СССР с 23 февраля 1930 года стала высшим государственным органом планирования развития ГВФ и руководила им (21420).</w:t>
      </w:r>
    </w:p>
    <w:p w14:paraId="32ED371A" w14:textId="77777777" w:rsidR="00886357" w:rsidRPr="00A259BD" w:rsidRDefault="00886357" w:rsidP="009236E3">
      <w:pPr>
        <w:pStyle w:val="ae"/>
        <w:shd w:val="clear" w:color="auto" w:fill="FFFFFF"/>
        <w:spacing w:before="0" w:after="0"/>
        <w:jc w:val="both"/>
        <w:textAlignment w:val="baseline"/>
        <w:rPr>
          <w:color w:val="000000" w:themeColor="text1"/>
          <w:sz w:val="16"/>
          <w:szCs w:val="16"/>
        </w:rPr>
      </w:pPr>
    </w:p>
    <w:bookmarkEnd w:id="92"/>
    <w:p w14:paraId="2D709130" w14:textId="77777777" w:rsidR="00114349" w:rsidRPr="00A259BD" w:rsidRDefault="0011434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27EB6B4" w14:textId="77777777" w:rsidR="00114349" w:rsidRPr="00A259BD" w:rsidRDefault="0011434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33F02E"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 по 5 ноября 1929</w:t>
      </w:r>
    </w:p>
    <w:p w14:paraId="7D91F7EA"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Показания К. Ф. </w:t>
      </w:r>
      <w:proofErr w:type="spellStart"/>
      <w:r w:rsidRPr="00A259BD">
        <w:rPr>
          <w:rFonts w:ascii="Times New Roman" w:hAnsi="Times New Roman"/>
          <w:color w:val="000000" w:themeColor="text1"/>
          <w:sz w:val="16"/>
          <w:szCs w:val="16"/>
        </w:rPr>
        <w:t>Неймаера</w:t>
      </w:r>
      <w:proofErr w:type="spellEnd"/>
      <w:r w:rsidRPr="00A259BD">
        <w:rPr>
          <w:rFonts w:ascii="Times New Roman" w:hAnsi="Times New Roman"/>
          <w:color w:val="000000" w:themeColor="text1"/>
          <w:sz w:val="16"/>
          <w:szCs w:val="16"/>
        </w:rPr>
        <w:t xml:space="preserve"> о «контрреволюционной организации в металлопромышленности», данные им в период с 1 по 5 ноября 1929 г.</w:t>
      </w:r>
    </w:p>
    <w:p w14:paraId="63E0B8BA"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F1BA6FD"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к докладной записке Г. Г. Ягоды и Г. Е. Прокофьева</w:t>
      </w:r>
    </w:p>
    <w:p w14:paraId="22E21593"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6 ноября 1929 г.</w:t>
      </w:r>
    </w:p>
    <w:p w14:paraId="56625DD3"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Секретно]</w:t>
      </w:r>
    </w:p>
    <w:p w14:paraId="16B6550D"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ПОКАЗАНИЯ НЕЙМАЕРА КАРЛА ФРАНЦЕВИЧА.</w:t>
      </w:r>
    </w:p>
    <w:p w14:paraId="6BE98EB0"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Привлеченный к делу вредительской контрреволюционной организации по тресту ГОМЗЫ я, шаг за шагом, разбирая всю свою работу с начала Октябрьской революции до настоящего времени, пришел к глубокому сознанию чистосердечно признаться в своей вредительской деятельности и выдать всех лиц, которые принесли тот или иной вред металлопромышленности.</w:t>
      </w:r>
    </w:p>
    <w:p w14:paraId="7A13F443"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Октябрьская революция сразу совершила крутой поворот в жизни заводов, мы — технический персонал заводов — лишились сразу всех материальных благ, которыми мы пользовались при капиталистическом строе. Естественно, что настроение технического персонала было враждебное к Советской власти и никто не верил в прочность нового строя и возможность его продолжительного существования. На Коломенском заводе в то время директором был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КРУЧКЕЛЬ. Я и ТИХОМИРОВ были помощниками. С такими настроениями мы приступили к национализации завода, работа шла на заводе плохо, завод был завален разными отбросами производства военного времени, требовал[</w:t>
      </w:r>
      <w:proofErr w:type="spellStart"/>
      <w:r w:rsidRPr="00A259BD">
        <w:rPr>
          <w:rFonts w:ascii="Times New Roman" w:hAnsi="Times New Roman"/>
          <w:color w:val="000000" w:themeColor="text1"/>
          <w:sz w:val="16"/>
          <w:szCs w:val="16"/>
        </w:rPr>
        <w:t>ись</w:t>
      </w:r>
      <w:proofErr w:type="spellEnd"/>
      <w:r w:rsidRPr="00A259BD">
        <w:rPr>
          <w:rFonts w:ascii="Times New Roman" w:hAnsi="Times New Roman"/>
          <w:color w:val="000000" w:themeColor="text1"/>
          <w:sz w:val="16"/>
          <w:szCs w:val="16"/>
        </w:rPr>
        <w:t>] большие работы по его очистке и ремонту оборудования. Вся эта неблагоприятная производственная конъюнктура еще больше усиливала наше пессимистическое настроение.</w:t>
      </w:r>
    </w:p>
    <w:p w14:paraId="6A8EB821"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 время Правление Объединения Сормово-Коломна из Ленинграда перекочевало в Москву, хотя и не целиком.</w:t>
      </w:r>
    </w:p>
    <w:p w14:paraId="003ACBB2"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После национализации заводов был и организован трест ГОМЗЫ, куда вошли Коломенский, Сормовский, Брянский заводы, ныне Красный Профинтерн, </w:t>
      </w:r>
      <w:proofErr w:type="spellStart"/>
      <w:r w:rsidRPr="00A259BD">
        <w:rPr>
          <w:rFonts w:ascii="Times New Roman" w:hAnsi="Times New Roman"/>
          <w:color w:val="000000" w:themeColor="text1"/>
          <w:sz w:val="16"/>
          <w:szCs w:val="16"/>
        </w:rPr>
        <w:t>Мытищенский</w:t>
      </w:r>
      <w:proofErr w:type="spellEnd"/>
      <w:r w:rsidRPr="00A259BD">
        <w:rPr>
          <w:rFonts w:ascii="Times New Roman" w:hAnsi="Times New Roman"/>
          <w:color w:val="000000" w:themeColor="text1"/>
          <w:sz w:val="16"/>
          <w:szCs w:val="16"/>
        </w:rPr>
        <w:t>, Тверской, Приокский Горн[</w:t>
      </w:r>
      <w:proofErr w:type="spellStart"/>
      <w:r w:rsidRPr="00A259BD">
        <w:rPr>
          <w:rFonts w:ascii="Times New Roman" w:hAnsi="Times New Roman"/>
          <w:color w:val="000000" w:themeColor="text1"/>
          <w:sz w:val="16"/>
          <w:szCs w:val="16"/>
        </w:rPr>
        <w:t>ый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Окр</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уг</w:t>
      </w:r>
      <w:proofErr w:type="spellEnd"/>
      <w:r w:rsidRPr="00A259BD">
        <w:rPr>
          <w:rFonts w:ascii="Times New Roman" w:hAnsi="Times New Roman"/>
          <w:color w:val="000000" w:themeColor="text1"/>
          <w:sz w:val="16"/>
          <w:szCs w:val="16"/>
        </w:rPr>
        <w:t>] и Тишинский завод.</w:t>
      </w:r>
    </w:p>
    <w:p w14:paraId="6AA508E2"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Еще в 1918 году во время моих приездов с Коломенского завода в Москву, где уже тогда находилось правление Объединения Сормово-Коломна, директор-распорядитель А. П. МЕЩЕРСКИЙ говорил мне, что он ведет переговоры, по его выражению, с большевиками об оставлении заводов Объединения Сормово-Коломны в руках акционеров, причем половина акций должна была принадлежать государству и половина акционерам. Он надеялся уговорить Советскую власть пойти на эту сделку, так как был убежден, что без руководства капиталистов заводы работать не смогут. Он старался получить концессию и убедить весь руководящий технический персонал, как Правленческого аппарата ИВИЦКОГО, КОРЕЙВО, ЛЕНЧЕВСКОГО, так и приезжавших с заводов — меня, ТИХОМИРОВА, МАНУЙЛОВА, ХРЕННИКОВА, что единственным выходом из создавшегося положения является передача заводов в концессию и что все инженеры и служащие Объединения должны содействовать этому и сохранить заводы для этой цели.</w:t>
      </w:r>
    </w:p>
    <w:p w14:paraId="5852C029"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Вскоре МЕЩЕРСКИЙ был арестован и через небольшой промежуток времени был выпущен, после чего я его видел один раз, причем он рассказывал о своем аресте и жизни в тюрьме, о своем намерении выехать заграницу, о том, что заводы надо сохранить в полной мере, как здания, так и оборудование, что необходимо препятствовать переброске оборудования заводов Объединения на другие заводы вне этого Объединения.</w:t>
      </w:r>
    </w:p>
    <w:p w14:paraId="79A2C8FF"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Особенно он обращал внимание на ценность Коломенского завода и необходимость его сохранения в том виде, как он был в то время. В процессе разговоров он заметил, что всю работу по сохранению заводов и в целях получения их в концессию он будет вести из заграницы через ХРЕННИКОВА, давая ему соответствующие указания и просил, в случае обращения ХРЕННИКОВА ко мне с вопросом — оказывать ему содействие, против чего я не возражал.</w:t>
      </w:r>
    </w:p>
    <w:p w14:paraId="7505D240"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Записано собственноручно. НЕЙМАЕР.</w:t>
      </w:r>
    </w:p>
    <w:p w14:paraId="7B5FC593"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I/XI-29 г. (18343).</w:t>
      </w:r>
    </w:p>
    <w:p w14:paraId="242BA100" w14:textId="77777777" w:rsidR="00114349" w:rsidRPr="00A259BD" w:rsidRDefault="00114349" w:rsidP="009236E3">
      <w:pPr>
        <w:spacing w:after="0" w:line="240" w:lineRule="auto"/>
        <w:jc w:val="both"/>
        <w:rPr>
          <w:rFonts w:ascii="Times New Roman" w:hAnsi="Times New Roman"/>
          <w:color w:val="000000" w:themeColor="text1"/>
          <w:sz w:val="16"/>
          <w:szCs w:val="16"/>
        </w:rPr>
      </w:pPr>
    </w:p>
    <w:p w14:paraId="38CC3592" w14:textId="77777777" w:rsidR="0056601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0D300134" w14:textId="77777777" w:rsidR="00566015" w:rsidRPr="00A259BD" w:rsidRDefault="0056601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AACF3B" w14:textId="77777777" w:rsidR="00566015" w:rsidRPr="00A259BD" w:rsidRDefault="00566015" w:rsidP="009236E3">
      <w:pPr>
        <w:pStyle w:val="a3"/>
        <w:rPr>
          <w:color w:val="000000" w:themeColor="text1"/>
          <w:lang w:val="ru-RU"/>
        </w:rPr>
      </w:pPr>
      <w:r w:rsidRPr="00A259BD">
        <w:rPr>
          <w:color w:val="000000" w:themeColor="text1"/>
          <w:lang w:val="ru-RU"/>
        </w:rPr>
        <w:t xml:space="preserve">Утром 1 ноября 1929 самолёты 68-го </w:t>
      </w:r>
      <w:proofErr w:type="spellStart"/>
      <w:r w:rsidRPr="00A259BD">
        <w:rPr>
          <w:color w:val="000000" w:themeColor="text1"/>
          <w:lang w:val="ru-RU"/>
        </w:rPr>
        <w:t>гидроотряда</w:t>
      </w:r>
      <w:proofErr w:type="spellEnd"/>
      <w:r w:rsidRPr="00A259BD">
        <w:rPr>
          <w:color w:val="000000" w:themeColor="text1"/>
          <w:lang w:val="ru-RU"/>
        </w:rPr>
        <w:t xml:space="preserve"> отправили на разведку. Вернулись все машины, кроме одной. На долю ее экипажа выпало немало приключений.</w:t>
      </w:r>
    </w:p>
    <w:p w14:paraId="04DCCBC6" w14:textId="77777777" w:rsidR="00566015" w:rsidRPr="00A259BD" w:rsidRDefault="00566015" w:rsidP="009236E3">
      <w:pPr>
        <w:pStyle w:val="a3"/>
        <w:rPr>
          <w:color w:val="000000" w:themeColor="text1"/>
          <w:lang w:val="ru-RU"/>
        </w:rPr>
      </w:pPr>
      <w:r w:rsidRPr="00A259BD">
        <w:rPr>
          <w:color w:val="000000" w:themeColor="text1"/>
          <w:lang w:val="ru-RU"/>
        </w:rPr>
        <w:t>Пилот Ф.Л. Пузанов получил задание сфотографировать полузатонувший «</w:t>
      </w:r>
      <w:proofErr w:type="spellStart"/>
      <w:r w:rsidRPr="00A259BD">
        <w:rPr>
          <w:color w:val="000000" w:themeColor="text1"/>
          <w:lang w:val="ru-RU"/>
        </w:rPr>
        <w:t>Кианг-Хын</w:t>
      </w:r>
      <w:proofErr w:type="spellEnd"/>
      <w:r w:rsidRPr="00A259BD">
        <w:rPr>
          <w:color w:val="000000" w:themeColor="text1"/>
          <w:lang w:val="ru-RU"/>
        </w:rPr>
        <w:t>». Взлёт прошел тяжело — поплавки обледенели, вес возрос, и самолёт с трудом оторвал</w:t>
      </w:r>
      <w:r w:rsidRPr="00A259BD">
        <w:rPr>
          <w:color w:val="000000" w:themeColor="text1"/>
          <w:lang w:val="ru-RU"/>
        </w:rPr>
        <w:softHyphen/>
        <w:t>ся от воды. Пузанов решил спрямить дорогу и пошёл не по реке, а по кратчайшему пу</w:t>
      </w:r>
      <w:r w:rsidRPr="00A259BD">
        <w:rPr>
          <w:color w:val="000000" w:themeColor="text1"/>
          <w:lang w:val="ru-RU"/>
        </w:rPr>
        <w:softHyphen/>
        <w:t>ти, через сушу. Вдруг мотор начал перегреваться, но садиться было некуда — внизу лес.</w:t>
      </w:r>
    </w:p>
    <w:p w14:paraId="25822D65" w14:textId="77777777" w:rsidR="00566015" w:rsidRPr="00A259BD" w:rsidRDefault="00566015" w:rsidP="009236E3">
      <w:pPr>
        <w:pStyle w:val="a3"/>
        <w:rPr>
          <w:color w:val="000000" w:themeColor="text1"/>
          <w:lang w:val="ru-RU"/>
        </w:rPr>
      </w:pPr>
      <w:r w:rsidRPr="00A259BD">
        <w:rPr>
          <w:color w:val="000000" w:themeColor="text1"/>
          <w:lang w:val="ru-RU"/>
        </w:rPr>
        <w:t>Дело закончилось тем, что самолёт приземлился (именно приземлился — на поплав</w:t>
      </w:r>
      <w:r w:rsidRPr="00A259BD">
        <w:rPr>
          <w:color w:val="000000" w:themeColor="text1"/>
          <w:lang w:val="ru-RU"/>
        </w:rPr>
        <w:softHyphen/>
        <w:t xml:space="preserve">ках!) в 2 км от реки и в 4 км — от ближайшей китайской деревни </w:t>
      </w:r>
      <w:proofErr w:type="spellStart"/>
      <w:r w:rsidRPr="00A259BD">
        <w:rPr>
          <w:color w:val="000000" w:themeColor="text1"/>
          <w:lang w:val="ru-RU"/>
        </w:rPr>
        <w:t>Киделя</w:t>
      </w:r>
      <w:proofErr w:type="spellEnd"/>
      <w:r w:rsidRPr="00A259BD">
        <w:rPr>
          <w:color w:val="000000" w:themeColor="text1"/>
          <w:lang w:val="ru-RU"/>
        </w:rPr>
        <w:t>. Удивитель</w:t>
      </w:r>
      <w:r w:rsidRPr="00A259BD">
        <w:rPr>
          <w:color w:val="000000" w:themeColor="text1"/>
          <w:lang w:val="ru-RU"/>
        </w:rPr>
        <w:softHyphen/>
        <w:t xml:space="preserve">но, но никто серьёзно не пострадал, только летнаб </w:t>
      </w:r>
      <w:proofErr w:type="spellStart"/>
      <w:r w:rsidRPr="00A259BD">
        <w:rPr>
          <w:color w:val="000000" w:themeColor="text1"/>
          <w:lang w:val="ru-RU"/>
        </w:rPr>
        <w:t>Кобусов</w:t>
      </w:r>
      <w:proofErr w:type="spellEnd"/>
      <w:r w:rsidRPr="00A259BD">
        <w:rPr>
          <w:color w:val="000000" w:themeColor="text1"/>
          <w:lang w:val="ru-RU"/>
        </w:rPr>
        <w:t xml:space="preserve"> получил по голове диском от </w:t>
      </w:r>
      <w:proofErr w:type="spellStart"/>
      <w:r w:rsidRPr="00A259BD">
        <w:rPr>
          <w:color w:val="000000" w:themeColor="text1"/>
          <w:lang w:val="ru-RU"/>
        </w:rPr>
        <w:t>турельного</w:t>
      </w:r>
      <w:proofErr w:type="spellEnd"/>
      <w:r w:rsidRPr="00A259BD">
        <w:rPr>
          <w:color w:val="000000" w:themeColor="text1"/>
          <w:lang w:val="ru-RU"/>
        </w:rPr>
        <w:t xml:space="preserve"> пулемёта.</w:t>
      </w:r>
    </w:p>
    <w:p w14:paraId="0E143397" w14:textId="77777777" w:rsidR="00566015" w:rsidRPr="00A259BD" w:rsidRDefault="00566015" w:rsidP="009236E3">
      <w:pPr>
        <w:pStyle w:val="a3"/>
        <w:rPr>
          <w:color w:val="000000" w:themeColor="text1"/>
          <w:lang w:val="ru-RU"/>
        </w:rPr>
      </w:pPr>
      <w:r w:rsidRPr="00A259BD">
        <w:rPr>
          <w:color w:val="000000" w:themeColor="text1"/>
          <w:lang w:val="ru-RU"/>
        </w:rPr>
        <w:t>Экипаж решил пешком идти к реке. Вскоре летчики наткнулись на группу китайцев. Не знаю, на каком языке они общались, но Пузанову удалось уговорить местных жите</w:t>
      </w:r>
      <w:r w:rsidRPr="00A259BD">
        <w:rPr>
          <w:color w:val="000000" w:themeColor="text1"/>
          <w:lang w:val="ru-RU"/>
        </w:rPr>
        <w:softHyphen/>
        <w:t>лей переправить лётчиков на другой берег в обмен на карманные часы. На другой сто</w:t>
      </w:r>
      <w:r w:rsidRPr="00A259BD">
        <w:rPr>
          <w:color w:val="000000" w:themeColor="text1"/>
          <w:lang w:val="ru-RU"/>
        </w:rPr>
        <w:softHyphen/>
        <w:t xml:space="preserve">роне зашли в китайскую деревню, но ничего там не добились. Вернулись к реке, развели в </w:t>
      </w:r>
      <w:proofErr w:type="spellStart"/>
      <w:r w:rsidRPr="00A259BD">
        <w:rPr>
          <w:color w:val="000000" w:themeColor="text1"/>
          <w:lang w:val="ru-RU"/>
        </w:rPr>
        <w:t>низинке</w:t>
      </w:r>
      <w:proofErr w:type="spellEnd"/>
      <w:r w:rsidRPr="00A259BD">
        <w:rPr>
          <w:color w:val="000000" w:themeColor="text1"/>
          <w:lang w:val="ru-RU"/>
        </w:rPr>
        <w:t xml:space="preserve"> костерок и стали ждать — не проплывет ли какое-либо советское судно. Ночью появился буксир, тащивший плавбазу «Амур». Обрадованный экипаж на</w:t>
      </w:r>
      <w:r w:rsidRPr="00A259BD">
        <w:rPr>
          <w:color w:val="000000" w:themeColor="text1"/>
          <w:lang w:val="ru-RU"/>
        </w:rPr>
        <w:softHyphen/>
        <w:t>чал палить из наганов и махать горящими головнями, но суда прошли мимо, не оста</w:t>
      </w:r>
      <w:r w:rsidRPr="00A259BD">
        <w:rPr>
          <w:color w:val="000000" w:themeColor="text1"/>
          <w:lang w:val="ru-RU"/>
        </w:rPr>
        <w:softHyphen/>
        <w:t>новившись. Лишь на следующий день неудачников подобрал буксир «Коммунист», перевозивший пограничников.</w:t>
      </w:r>
    </w:p>
    <w:p w14:paraId="380BEEAA" w14:textId="77777777" w:rsidR="00566015" w:rsidRPr="00A259BD" w:rsidRDefault="00566015" w:rsidP="009236E3">
      <w:pPr>
        <w:pStyle w:val="a3"/>
        <w:rPr>
          <w:color w:val="000000" w:themeColor="text1"/>
          <w:lang w:val="ru-RU"/>
        </w:rPr>
      </w:pPr>
      <w:r w:rsidRPr="00A259BD">
        <w:rPr>
          <w:color w:val="000000" w:themeColor="text1"/>
          <w:lang w:val="ru-RU"/>
        </w:rPr>
        <w:t>Но на этом неприятности не кончились. На китайской территории бросили боевой са</w:t>
      </w:r>
      <w:r w:rsidRPr="00A259BD">
        <w:rPr>
          <w:color w:val="000000" w:themeColor="text1"/>
          <w:lang w:val="ru-RU"/>
        </w:rPr>
        <w:softHyphen/>
        <w:t xml:space="preserve">молёт! Экипажу пришлось вернуться к месту посадки; его сопровождали семь человек из команды буксира. Машину нашли, но оказалось, что кто-то уже «прихватизировал» курсовой пулемёт «Виккерс» (попросту вырубив топором деревянную опорную раму), а заодно выпил спирт из компаса. Почему-то </w:t>
      </w:r>
      <w:proofErr w:type="spellStart"/>
      <w:r w:rsidRPr="00A259BD">
        <w:rPr>
          <w:color w:val="000000" w:themeColor="text1"/>
          <w:lang w:val="ru-RU"/>
        </w:rPr>
        <w:t>турельный</w:t>
      </w:r>
      <w:proofErr w:type="spellEnd"/>
      <w:r w:rsidRPr="00A259BD">
        <w:rPr>
          <w:color w:val="000000" w:themeColor="text1"/>
          <w:lang w:val="ru-RU"/>
        </w:rPr>
        <w:t xml:space="preserve"> «Льюис» его не заинтересовал.</w:t>
      </w:r>
    </w:p>
    <w:p w14:paraId="3CCFBC2F" w14:textId="77777777" w:rsidR="00566015" w:rsidRPr="00A259BD" w:rsidRDefault="00566015" w:rsidP="009236E3">
      <w:pPr>
        <w:pStyle w:val="a3"/>
        <w:rPr>
          <w:color w:val="000000" w:themeColor="text1"/>
          <w:lang w:val="ru-RU"/>
        </w:rPr>
      </w:pPr>
      <w:r w:rsidRPr="00A259BD">
        <w:rPr>
          <w:color w:val="000000" w:themeColor="text1"/>
          <w:lang w:val="ru-RU"/>
        </w:rPr>
        <w:t>Авиаторы забрали фотоаппарат, пулемёт с турели и диски к нему. Летнаб сфотографи</w:t>
      </w:r>
      <w:r w:rsidRPr="00A259BD">
        <w:rPr>
          <w:color w:val="000000" w:themeColor="text1"/>
          <w:lang w:val="ru-RU"/>
        </w:rPr>
        <w:softHyphen/>
        <w:t>ровал машину с трех сторон. Затем многострадальный гидроплан пришлось сжечь, по</w:t>
      </w:r>
      <w:r w:rsidRPr="00A259BD">
        <w:rPr>
          <w:color w:val="000000" w:themeColor="text1"/>
          <w:lang w:val="ru-RU"/>
        </w:rPr>
        <w:softHyphen/>
        <w:t xml:space="preserve">скольку тащить его до воды 2 км на руках было невозможно. Пузанов и </w:t>
      </w:r>
      <w:proofErr w:type="spellStart"/>
      <w:r w:rsidRPr="00A259BD">
        <w:rPr>
          <w:color w:val="000000" w:themeColor="text1"/>
          <w:lang w:val="ru-RU"/>
        </w:rPr>
        <w:t>Кобусов</w:t>
      </w:r>
      <w:proofErr w:type="spellEnd"/>
      <w:r w:rsidRPr="00A259BD">
        <w:rPr>
          <w:color w:val="000000" w:themeColor="text1"/>
          <w:lang w:val="ru-RU"/>
        </w:rPr>
        <w:t xml:space="preserve"> потом еще долго писали объяснительные, как же они утратили столь ценное казённое имущество... (15819).</w:t>
      </w:r>
    </w:p>
    <w:p w14:paraId="08733B68" w14:textId="77777777" w:rsidR="00566015" w:rsidRPr="00A259BD" w:rsidRDefault="00566015" w:rsidP="009236E3">
      <w:pPr>
        <w:pStyle w:val="a3"/>
        <w:rPr>
          <w:color w:val="000000" w:themeColor="text1"/>
          <w:lang w:val="ru-RU"/>
        </w:rPr>
      </w:pPr>
    </w:p>
    <w:p w14:paraId="47BAC09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627A9F4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3DDC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ноября 1929 десант при поддержке авиации, мониторов и канонерских лодок занял </w:t>
      </w:r>
      <w:proofErr w:type="spellStart"/>
      <w:r w:rsidRPr="00A259BD">
        <w:rPr>
          <w:rFonts w:ascii="Times New Roman" w:hAnsi="Times New Roman"/>
          <w:color w:val="000000" w:themeColor="text1"/>
          <w:sz w:val="16"/>
          <w:szCs w:val="16"/>
        </w:rPr>
        <w:t>Фугдин</w:t>
      </w:r>
      <w:proofErr w:type="spellEnd"/>
      <w:r w:rsidRPr="00A259BD">
        <w:rPr>
          <w:rFonts w:ascii="Times New Roman" w:hAnsi="Times New Roman"/>
          <w:color w:val="000000" w:themeColor="text1"/>
          <w:sz w:val="16"/>
          <w:szCs w:val="16"/>
        </w:rPr>
        <w:t xml:space="preserve">. Из-за последующего резкого падения температуры воздуха до 11 градусов мороза и усиления ветра до 8 баллов противника не преследовали. Во время полетов 1-2 ноября поплавки двух МР-1 были повреждены льдом. Один самолет, № 672, при посадке на рейде </w:t>
      </w:r>
      <w:proofErr w:type="spellStart"/>
      <w:r w:rsidRPr="00A259BD">
        <w:rPr>
          <w:rFonts w:ascii="Times New Roman" w:hAnsi="Times New Roman"/>
          <w:color w:val="000000" w:themeColor="text1"/>
          <w:sz w:val="16"/>
          <w:szCs w:val="16"/>
        </w:rPr>
        <w:t>Лаха</w:t>
      </w:r>
      <w:r w:rsidRPr="00A259BD">
        <w:rPr>
          <w:rFonts w:ascii="Times New Roman" w:hAnsi="Times New Roman"/>
          <w:color w:val="000000" w:themeColor="text1"/>
          <w:sz w:val="16"/>
          <w:szCs w:val="16"/>
        </w:rPr>
        <w:softHyphen/>
        <w:t>сусу</w:t>
      </w:r>
      <w:proofErr w:type="spellEnd"/>
      <w:r w:rsidRPr="00A259BD">
        <w:rPr>
          <w:rFonts w:ascii="Times New Roman" w:hAnsi="Times New Roman"/>
          <w:color w:val="000000" w:themeColor="text1"/>
          <w:sz w:val="16"/>
          <w:szCs w:val="16"/>
        </w:rPr>
        <w:t xml:space="preserve"> сильной боковой волной и ветром перевернуло че</w:t>
      </w:r>
      <w:r w:rsidRPr="00A259BD">
        <w:rPr>
          <w:rFonts w:ascii="Times New Roman" w:hAnsi="Times New Roman"/>
          <w:color w:val="000000" w:themeColor="text1"/>
          <w:sz w:val="16"/>
          <w:szCs w:val="16"/>
        </w:rPr>
        <w:softHyphen/>
        <w:t xml:space="preserve">рез крыло. Экипаж спасся. Еще один МР-1 № 683, у которого обледенели поплавки, был вынужден сесть на сушу у китайской деревни </w:t>
      </w:r>
      <w:proofErr w:type="spellStart"/>
      <w:r w:rsidRPr="00A259BD">
        <w:rPr>
          <w:rFonts w:ascii="Times New Roman" w:hAnsi="Times New Roman"/>
          <w:color w:val="000000" w:themeColor="text1"/>
          <w:sz w:val="16"/>
          <w:szCs w:val="16"/>
        </w:rPr>
        <w:t>Киндели</w:t>
      </w:r>
      <w:proofErr w:type="spellEnd"/>
      <w:r w:rsidRPr="00A259BD">
        <w:rPr>
          <w:rFonts w:ascii="Times New Roman" w:hAnsi="Times New Roman"/>
          <w:color w:val="000000" w:themeColor="text1"/>
          <w:sz w:val="16"/>
          <w:szCs w:val="16"/>
        </w:rPr>
        <w:t xml:space="preserve"> в полукилометре от берега. Разбитый самолёт был сожжен; экипаж выбрал</w:t>
      </w:r>
      <w:r w:rsidRPr="00A259BD">
        <w:rPr>
          <w:rFonts w:ascii="Times New Roman" w:hAnsi="Times New Roman"/>
          <w:color w:val="000000" w:themeColor="text1"/>
          <w:sz w:val="16"/>
          <w:szCs w:val="16"/>
        </w:rPr>
        <w:softHyphen/>
        <w:t>ся с оружием на нашу территорию. В боях на Сунгари особо отличились командир от</w:t>
      </w:r>
      <w:r w:rsidRPr="00A259BD">
        <w:rPr>
          <w:rFonts w:ascii="Times New Roman" w:hAnsi="Times New Roman"/>
          <w:color w:val="000000" w:themeColor="text1"/>
          <w:sz w:val="16"/>
          <w:szCs w:val="16"/>
        </w:rPr>
        <w:softHyphen/>
        <w:t xml:space="preserve">ряда </w:t>
      </w:r>
      <w:proofErr w:type="spellStart"/>
      <w:r w:rsidRPr="00A259BD">
        <w:rPr>
          <w:rFonts w:ascii="Times New Roman" w:hAnsi="Times New Roman"/>
          <w:color w:val="000000" w:themeColor="text1"/>
          <w:sz w:val="16"/>
          <w:szCs w:val="16"/>
        </w:rPr>
        <w:t>Э.М.Лухт</w:t>
      </w:r>
      <w:proofErr w:type="spellEnd"/>
      <w:r w:rsidRPr="00A259BD">
        <w:rPr>
          <w:rFonts w:ascii="Times New Roman" w:hAnsi="Times New Roman"/>
          <w:color w:val="000000" w:themeColor="text1"/>
          <w:sz w:val="16"/>
          <w:szCs w:val="16"/>
        </w:rPr>
        <w:t xml:space="preserve">, летчики </w:t>
      </w:r>
      <w:proofErr w:type="spellStart"/>
      <w:r w:rsidRPr="00A259BD">
        <w:rPr>
          <w:rFonts w:ascii="Times New Roman" w:hAnsi="Times New Roman"/>
          <w:color w:val="000000" w:themeColor="text1"/>
          <w:sz w:val="16"/>
          <w:szCs w:val="16"/>
        </w:rPr>
        <w:t>Д.И.Боровиков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Б.Я.Козлов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И.Я.Сегедин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П.В.Соловьев</w:t>
      </w:r>
      <w:proofErr w:type="spellEnd"/>
      <w:r w:rsidRPr="00A259BD">
        <w:rPr>
          <w:rFonts w:ascii="Times New Roman" w:hAnsi="Times New Roman"/>
          <w:color w:val="000000" w:themeColor="text1"/>
          <w:sz w:val="16"/>
          <w:szCs w:val="16"/>
        </w:rPr>
        <w:t xml:space="preserve">, инженер отряда </w:t>
      </w:r>
      <w:proofErr w:type="spellStart"/>
      <w:r w:rsidRPr="00A259BD">
        <w:rPr>
          <w:rFonts w:ascii="Times New Roman" w:hAnsi="Times New Roman"/>
          <w:color w:val="000000" w:themeColor="text1"/>
          <w:sz w:val="16"/>
          <w:szCs w:val="16"/>
        </w:rPr>
        <w:t>И.Т.Сухинин</w:t>
      </w:r>
      <w:proofErr w:type="spellEnd"/>
      <w:r w:rsidRPr="00A259BD">
        <w:rPr>
          <w:rFonts w:ascii="Times New Roman" w:hAnsi="Times New Roman"/>
          <w:color w:val="000000" w:themeColor="text1"/>
          <w:sz w:val="16"/>
          <w:szCs w:val="16"/>
        </w:rPr>
        <w:t xml:space="preserve"> (10667).</w:t>
      </w:r>
    </w:p>
    <w:p w14:paraId="01432B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E4AC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ночь на 1 ноября 1929 советские части вошли в </w:t>
      </w:r>
      <w:proofErr w:type="spellStart"/>
      <w:r w:rsidRPr="00A259BD">
        <w:rPr>
          <w:rFonts w:ascii="Times New Roman" w:hAnsi="Times New Roman"/>
          <w:color w:val="000000" w:themeColor="text1"/>
          <w:sz w:val="16"/>
          <w:szCs w:val="16"/>
        </w:rPr>
        <w:t>Фугдин</w:t>
      </w:r>
      <w:proofErr w:type="spellEnd"/>
      <w:r w:rsidRPr="00A259BD">
        <w:rPr>
          <w:rFonts w:ascii="Times New Roman" w:hAnsi="Times New Roman"/>
          <w:color w:val="000000" w:themeColor="text1"/>
          <w:sz w:val="16"/>
          <w:szCs w:val="16"/>
        </w:rPr>
        <w:t>. Город покинула небольшая часть китайских бойцов, а остальные, переодевшись в гражданскую одежду, растворились среди мирных жителей. Вооружение - пять орудий, пулемёты, бомбомёты и винтовки - были утоплены самими китайцами у затонувшего монитора “</w:t>
      </w:r>
      <w:proofErr w:type="spellStart"/>
      <w:r w:rsidRPr="00A259BD">
        <w:rPr>
          <w:rFonts w:ascii="Times New Roman" w:hAnsi="Times New Roman"/>
          <w:color w:val="000000" w:themeColor="text1"/>
          <w:sz w:val="16"/>
          <w:szCs w:val="16"/>
        </w:rPr>
        <w:t>Киан</w:t>
      </w:r>
      <w:proofErr w:type="spellEnd"/>
      <w:r w:rsidRPr="00A259BD">
        <w:rPr>
          <w:rFonts w:ascii="Times New Roman" w:hAnsi="Times New Roman"/>
          <w:color w:val="000000" w:themeColor="text1"/>
          <w:sz w:val="16"/>
          <w:szCs w:val="16"/>
        </w:rPr>
        <w:t xml:space="preserve">-Хен”. Наши противника не преследовали из-за тяжёлых погодных условий. Изучив ситуацию и предполагая, что поставленная перед </w:t>
      </w:r>
      <w:proofErr w:type="spellStart"/>
      <w:r w:rsidRPr="00A259BD">
        <w:rPr>
          <w:rFonts w:ascii="Times New Roman" w:hAnsi="Times New Roman"/>
          <w:color w:val="000000" w:themeColor="text1"/>
          <w:sz w:val="16"/>
          <w:szCs w:val="16"/>
        </w:rPr>
        <w:t>Фугдинской</w:t>
      </w:r>
      <w:proofErr w:type="spellEnd"/>
      <w:r w:rsidRPr="00A259BD">
        <w:rPr>
          <w:rFonts w:ascii="Times New Roman" w:hAnsi="Times New Roman"/>
          <w:color w:val="000000" w:themeColor="text1"/>
          <w:sz w:val="16"/>
          <w:szCs w:val="16"/>
        </w:rPr>
        <w:t xml:space="preserve"> группой задача выполнена, ее командир 1 ноября 1929 г. в 8 часов утра приказал всем частям до 14 часов выйти из города и, погрузившись на транспорты, возвращаться домой в Михайло-Семёновское. Мониторам поступил приказ идти на базу флотилии. Перед отходом с двух обнаруженных военных складов населению выдали 30000 пудов муки. Подорвали радиостанцию, телефонную станцию и телеграф.</w:t>
      </w:r>
    </w:p>
    <w:p w14:paraId="47BC04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Самолёты 68-го ОАО произвели 1 ноября четыре разведывательных полёта в район </w:t>
      </w:r>
      <w:proofErr w:type="spellStart"/>
      <w:r w:rsidRPr="00A259BD">
        <w:rPr>
          <w:rFonts w:ascii="Times New Roman" w:hAnsi="Times New Roman"/>
          <w:color w:val="000000" w:themeColor="text1"/>
          <w:sz w:val="16"/>
          <w:szCs w:val="16"/>
        </w:rPr>
        <w:t>Фугдина</w:t>
      </w:r>
      <w:proofErr w:type="spellEnd"/>
      <w:r w:rsidRPr="00A259BD">
        <w:rPr>
          <w:rFonts w:ascii="Times New Roman" w:hAnsi="Times New Roman"/>
          <w:color w:val="000000" w:themeColor="text1"/>
          <w:sz w:val="16"/>
          <w:szCs w:val="16"/>
        </w:rPr>
        <w:t xml:space="preserve">. Самолёт № 683, у которого обледенели поплавки, 2 ноября был вынужден приземлиться у китайской деревни </w:t>
      </w:r>
      <w:proofErr w:type="spellStart"/>
      <w:r w:rsidRPr="00A259BD">
        <w:rPr>
          <w:rFonts w:ascii="Times New Roman" w:hAnsi="Times New Roman"/>
          <w:color w:val="000000" w:themeColor="text1"/>
          <w:sz w:val="16"/>
          <w:szCs w:val="16"/>
        </w:rPr>
        <w:t>Киндели</w:t>
      </w:r>
      <w:proofErr w:type="spellEnd"/>
      <w:r w:rsidRPr="00A259BD">
        <w:rPr>
          <w:rFonts w:ascii="Times New Roman" w:hAnsi="Times New Roman"/>
          <w:color w:val="000000" w:themeColor="text1"/>
          <w:sz w:val="16"/>
          <w:szCs w:val="16"/>
        </w:rPr>
        <w:t xml:space="preserve"> в полукилометре от берега. Машину, разбитую при посадке, экипаж сжег, а люди выбрались с оружием на свою территорию.</w:t>
      </w:r>
    </w:p>
    <w:p w14:paraId="130E03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тот же день мониторы “Ленин” и “Красный Восток” сели на мель. “Ленин” удалось снять, и он отправился вниз по Сунгари. “Красный Восток” застрял - к концу дня он вмерз в лед, и его пришлось оставить до весны.</w:t>
      </w:r>
    </w:p>
    <w:p w14:paraId="1BA2DF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В результате операции под </w:t>
      </w:r>
      <w:proofErr w:type="spellStart"/>
      <w:r w:rsidRPr="00A259BD">
        <w:rPr>
          <w:rFonts w:ascii="Times New Roman" w:hAnsi="Times New Roman"/>
          <w:color w:val="000000" w:themeColor="text1"/>
          <w:sz w:val="16"/>
          <w:szCs w:val="16"/>
        </w:rPr>
        <w:t>Фугдином</w:t>
      </w:r>
      <w:proofErr w:type="spellEnd"/>
      <w:r w:rsidRPr="00A259BD">
        <w:rPr>
          <w:rFonts w:ascii="Times New Roman" w:hAnsi="Times New Roman"/>
          <w:color w:val="000000" w:themeColor="text1"/>
          <w:sz w:val="16"/>
          <w:szCs w:val="16"/>
        </w:rPr>
        <w:t xml:space="preserve"> были уничтожены монитор “</w:t>
      </w:r>
      <w:proofErr w:type="spellStart"/>
      <w:r w:rsidRPr="00A259BD">
        <w:rPr>
          <w:rFonts w:ascii="Times New Roman" w:hAnsi="Times New Roman"/>
          <w:color w:val="000000" w:themeColor="text1"/>
          <w:sz w:val="16"/>
          <w:szCs w:val="16"/>
        </w:rPr>
        <w:t>Киан</w:t>
      </w:r>
      <w:proofErr w:type="spellEnd"/>
      <w:r w:rsidRPr="00A259BD">
        <w:rPr>
          <w:rFonts w:ascii="Times New Roman" w:hAnsi="Times New Roman"/>
          <w:color w:val="000000" w:themeColor="text1"/>
          <w:sz w:val="16"/>
          <w:szCs w:val="16"/>
        </w:rPr>
        <w:t>-Хен”, два вооружённых парохода, один буксирный пароход, три баржи, радиостанция, два войсковых склада с оружием и обмундированием, полицейское и военное управление, тюрьма.</w:t>
      </w:r>
    </w:p>
    <w:p w14:paraId="526107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Захвачены в качестве трофеев: две исправные баржи, четыре пушки, один прожектор, 60000 штук 3-линейных патронов, большое количество различных предметов вооружения, боезапасов и обмундирования.</w:t>
      </w:r>
    </w:p>
    <w:p w14:paraId="6F7407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советской стороны потери составили 3 человека убитыми, 11 раненых (из них один краснофлотец).</w:t>
      </w:r>
    </w:p>
    <w:p w14:paraId="515E16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Противник потерял 250 человек убитыми, 12 были захвачены в плен (среди них 2 офицера), количество раненых не установлено.</w:t>
      </w:r>
    </w:p>
    <w:p w14:paraId="2196EF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результате </w:t>
      </w:r>
      <w:proofErr w:type="spellStart"/>
      <w:r w:rsidRPr="00A259BD">
        <w:rPr>
          <w:rFonts w:ascii="Times New Roman" w:hAnsi="Times New Roman"/>
          <w:color w:val="000000" w:themeColor="text1"/>
          <w:sz w:val="16"/>
          <w:szCs w:val="16"/>
        </w:rPr>
        <w:t>Фугдинской</w:t>
      </w:r>
      <w:proofErr w:type="spellEnd"/>
      <w:r w:rsidRPr="00A259BD">
        <w:rPr>
          <w:rFonts w:ascii="Times New Roman" w:hAnsi="Times New Roman"/>
          <w:color w:val="000000" w:themeColor="text1"/>
          <w:sz w:val="16"/>
          <w:szCs w:val="16"/>
        </w:rPr>
        <w:t xml:space="preserve"> операции удалось нанести сильный и жестокий удар китайским вооружённым силам на Сунгари. Их флотилия перестала существовать как боевое соединение. Дисциплинированность, чёткость выполнения приказаний и чувство воинского долга способствовали успеху Красной Армии. И выводы, сделанные ее руководством по результатам операции, были правильные: без поддержки авиации боевые действия флота невозможны (9978).</w:t>
      </w:r>
    </w:p>
    <w:p w14:paraId="36740F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D778F8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0EC95DB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E1D40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ноября 1929 СНК РСФСР объявил территорию Сибирского края "неблагополучной по бандитизму". Казахская ССР. Антисоветское восстание началось в </w:t>
      </w:r>
      <w:proofErr w:type="spellStart"/>
      <w:r w:rsidRPr="00A259BD">
        <w:rPr>
          <w:rFonts w:ascii="Times New Roman" w:hAnsi="Times New Roman"/>
          <w:color w:val="000000" w:themeColor="text1"/>
          <w:sz w:val="16"/>
          <w:szCs w:val="16"/>
        </w:rPr>
        <w:t>Батпаккаринском</w:t>
      </w:r>
      <w:proofErr w:type="spellEnd"/>
      <w:r w:rsidRPr="00A259BD">
        <w:rPr>
          <w:rFonts w:ascii="Times New Roman" w:hAnsi="Times New Roman"/>
          <w:color w:val="000000" w:themeColor="text1"/>
          <w:sz w:val="16"/>
          <w:szCs w:val="16"/>
        </w:rPr>
        <w:t xml:space="preserve"> районе. Возглавили повстанцев </w:t>
      </w:r>
      <w:proofErr w:type="spellStart"/>
      <w:r w:rsidRPr="00A259BD">
        <w:rPr>
          <w:rFonts w:ascii="Times New Roman" w:hAnsi="Times New Roman"/>
          <w:color w:val="000000" w:themeColor="text1"/>
          <w:sz w:val="16"/>
          <w:szCs w:val="16"/>
        </w:rPr>
        <w:t>А.Бекежанов</w:t>
      </w:r>
      <w:proofErr w:type="spellEnd"/>
      <w:r w:rsidRPr="00A259BD">
        <w:rPr>
          <w:rFonts w:ascii="Times New Roman" w:hAnsi="Times New Roman"/>
          <w:color w:val="000000" w:themeColor="text1"/>
          <w:sz w:val="16"/>
          <w:szCs w:val="16"/>
        </w:rPr>
        <w:t xml:space="preserve"> (начальник Наурзумской милиции), </w:t>
      </w:r>
      <w:proofErr w:type="spellStart"/>
      <w:r w:rsidRPr="00A259BD">
        <w:rPr>
          <w:rFonts w:ascii="Times New Roman" w:hAnsi="Times New Roman"/>
          <w:color w:val="000000" w:themeColor="text1"/>
          <w:sz w:val="16"/>
          <w:szCs w:val="16"/>
        </w:rPr>
        <w:t>А.Смагулов</w:t>
      </w:r>
      <w:proofErr w:type="spellEnd"/>
      <w:r w:rsidRPr="00A259BD">
        <w:rPr>
          <w:rFonts w:ascii="Times New Roman" w:hAnsi="Times New Roman"/>
          <w:color w:val="000000" w:themeColor="text1"/>
          <w:sz w:val="16"/>
          <w:szCs w:val="16"/>
        </w:rPr>
        <w:t xml:space="preserve"> (бывший первый председатель Тургайского ревкома), Оспанов (агитатор Тургайского райкома партии), </w:t>
      </w:r>
      <w:proofErr w:type="spellStart"/>
      <w:r w:rsidRPr="00A259BD">
        <w:rPr>
          <w:rFonts w:ascii="Times New Roman" w:hAnsi="Times New Roman"/>
          <w:color w:val="000000" w:themeColor="text1"/>
          <w:sz w:val="16"/>
          <w:szCs w:val="16"/>
        </w:rPr>
        <w:t>С.Кадиев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О.Бармаков</w:t>
      </w:r>
      <w:proofErr w:type="spellEnd"/>
      <w:r w:rsidRPr="00A259BD">
        <w:rPr>
          <w:rFonts w:ascii="Times New Roman" w:hAnsi="Times New Roman"/>
          <w:color w:val="000000" w:themeColor="text1"/>
          <w:sz w:val="16"/>
          <w:szCs w:val="16"/>
        </w:rPr>
        <w:t xml:space="preserve">. Среди </w:t>
      </w:r>
      <w:proofErr w:type="spellStart"/>
      <w:r w:rsidRPr="00A259BD">
        <w:rPr>
          <w:rFonts w:ascii="Times New Roman" w:hAnsi="Times New Roman"/>
          <w:color w:val="000000" w:themeColor="text1"/>
          <w:sz w:val="16"/>
          <w:szCs w:val="16"/>
        </w:rPr>
        <w:t>воссташих</w:t>
      </w:r>
      <w:proofErr w:type="spellEnd"/>
      <w:r w:rsidRPr="00A259BD">
        <w:rPr>
          <w:rFonts w:ascii="Times New Roman" w:hAnsi="Times New Roman"/>
          <w:color w:val="000000" w:themeColor="text1"/>
          <w:sz w:val="16"/>
          <w:szCs w:val="16"/>
        </w:rPr>
        <w:t xml:space="preserve"> было 3 коммуниста, 12 комсомольцев, 5 членов аул-советов и 2 председателя местных союзов бедноты (10687).</w:t>
      </w:r>
    </w:p>
    <w:p w14:paraId="233F39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927688" w14:textId="77777777" w:rsidR="0056601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CDA1D37" w14:textId="77777777" w:rsidR="00566015" w:rsidRPr="00A259BD" w:rsidRDefault="0056601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69FB0B4" w14:textId="77777777" w:rsidR="00566015" w:rsidRPr="00A259BD" w:rsidRDefault="00566015"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hAnsi="Times New Roman"/>
          <w:bCs/>
          <w:color w:val="000000" w:themeColor="text1"/>
          <w:sz w:val="16"/>
          <w:szCs w:val="16"/>
        </w:rPr>
        <w:t xml:space="preserve">2 ноября </w:t>
      </w:r>
      <w:r w:rsidRPr="00A259BD">
        <w:rPr>
          <w:rFonts w:ascii="Times New Roman" w:hAnsi="Times New Roman"/>
          <w:color w:val="000000" w:themeColor="text1"/>
          <w:sz w:val="16"/>
          <w:szCs w:val="16"/>
        </w:rPr>
        <w:t xml:space="preserve">в 1929 году завершился перелет Москва - Нью-Йорк через Сибирь и Аляску, с посадками, на самолете «АНТ-4» «Страна Советов». Экипаж состоял из командира </w:t>
      </w:r>
      <w:proofErr w:type="spellStart"/>
      <w:r w:rsidRPr="00A259BD">
        <w:rPr>
          <w:rFonts w:ascii="Times New Roman" w:hAnsi="Times New Roman"/>
          <w:color w:val="000000" w:themeColor="text1"/>
          <w:sz w:val="16"/>
          <w:szCs w:val="16"/>
        </w:rPr>
        <w:t>С.А.Шестакова</w:t>
      </w:r>
      <w:proofErr w:type="spellEnd"/>
      <w:r w:rsidRPr="00A259BD">
        <w:rPr>
          <w:rFonts w:ascii="Times New Roman" w:hAnsi="Times New Roman"/>
          <w:color w:val="000000" w:themeColor="text1"/>
          <w:sz w:val="16"/>
          <w:szCs w:val="16"/>
        </w:rPr>
        <w:t xml:space="preserve"> (тогда личного пилота начальника УВВС), второго пилота Ф.Е. Болотова, штурмана </w:t>
      </w:r>
      <w:proofErr w:type="spellStart"/>
      <w:r w:rsidRPr="00A259BD">
        <w:rPr>
          <w:rFonts w:ascii="Times New Roman" w:hAnsi="Times New Roman"/>
          <w:color w:val="000000" w:themeColor="text1"/>
          <w:sz w:val="16"/>
          <w:szCs w:val="16"/>
        </w:rPr>
        <w:t>Б.В.Стерлигова</w:t>
      </w:r>
      <w:proofErr w:type="spellEnd"/>
      <w:r w:rsidRPr="00A259BD">
        <w:rPr>
          <w:rFonts w:ascii="Times New Roman" w:hAnsi="Times New Roman"/>
          <w:color w:val="000000" w:themeColor="text1"/>
          <w:sz w:val="16"/>
          <w:szCs w:val="16"/>
        </w:rPr>
        <w:t xml:space="preserve"> и бортмеханика </w:t>
      </w:r>
      <w:proofErr w:type="spellStart"/>
      <w:r w:rsidRPr="00A259BD">
        <w:rPr>
          <w:rFonts w:ascii="Times New Roman" w:hAnsi="Times New Roman"/>
          <w:color w:val="000000" w:themeColor="text1"/>
          <w:sz w:val="16"/>
          <w:szCs w:val="16"/>
        </w:rPr>
        <w:t>Д.В.Фуфаева</w:t>
      </w:r>
      <w:proofErr w:type="spellEnd"/>
      <w:r w:rsidRPr="00A259BD">
        <w:rPr>
          <w:rFonts w:ascii="Times New Roman" w:hAnsi="Times New Roman"/>
          <w:color w:val="000000" w:themeColor="text1"/>
          <w:sz w:val="16"/>
          <w:szCs w:val="16"/>
        </w:rPr>
        <w:t>.</w:t>
      </w:r>
    </w:p>
    <w:p w14:paraId="174ACE8C" w14:textId="77777777" w:rsidR="00566015" w:rsidRPr="00A259BD" w:rsidRDefault="0056601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Перелет стартовал 23 августа. «АНТ-4» пересек страну, взял курс к берегам Северной Америки, на подходе к ним попал в тайфун. За три сотни километров от материка вышел из строя один из двух моторов. Можно было попытаться совершить вынужденную посадку, но летчики отказались от этой идеи: в волны полетела часть груза, кое-что из вещей экипажа, слили запасной бензин. Пять с половиной часов тянул самолет на одном двигателе. Отремонтировав мотор, экипаж продолжил полет по маршруту Сан-Франциско-Чикаго-Детройт- Нью-Йорк. Это был настоящий триумф конструкторов машины и ее пилотов: 21 242 километра, преодоленные в сложнейших условиях незнакомой трассы, для тех дней казались фантастическими (14818).</w:t>
      </w:r>
    </w:p>
    <w:p w14:paraId="2BE28C94" w14:textId="77777777" w:rsidR="00566015" w:rsidRPr="00A259BD" w:rsidRDefault="00566015" w:rsidP="009236E3">
      <w:pPr>
        <w:spacing w:after="0" w:line="240" w:lineRule="auto"/>
        <w:jc w:val="both"/>
        <w:rPr>
          <w:rFonts w:ascii="Times New Roman" w:hAnsi="Times New Roman"/>
          <w:color w:val="000000" w:themeColor="text1"/>
          <w:sz w:val="16"/>
          <w:szCs w:val="16"/>
        </w:rPr>
      </w:pPr>
    </w:p>
    <w:p w14:paraId="2D37DAB1" w14:textId="77777777" w:rsidR="00114349" w:rsidRPr="00A259BD" w:rsidRDefault="0011434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2CD725F" w14:textId="77777777" w:rsidR="00114349" w:rsidRPr="00A259BD" w:rsidRDefault="0011434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A97796"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ноября 1929</w:t>
      </w:r>
    </w:p>
    <w:p w14:paraId="365D7D80"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Показания </w:t>
      </w:r>
      <w:proofErr w:type="spellStart"/>
      <w:r w:rsidRPr="00A259BD">
        <w:rPr>
          <w:rFonts w:ascii="Times New Roman" w:hAnsi="Times New Roman"/>
          <w:color w:val="000000" w:themeColor="text1"/>
          <w:sz w:val="16"/>
          <w:szCs w:val="16"/>
        </w:rPr>
        <w:t>Неймаера</w:t>
      </w:r>
      <w:proofErr w:type="spellEnd"/>
      <w:r w:rsidRPr="00A259BD">
        <w:rPr>
          <w:rFonts w:ascii="Times New Roman" w:hAnsi="Times New Roman"/>
          <w:color w:val="000000" w:themeColor="text1"/>
          <w:sz w:val="16"/>
          <w:szCs w:val="16"/>
        </w:rPr>
        <w:t xml:space="preserve"> Карла Францевича от 2/XI-29 г.</w:t>
      </w:r>
    </w:p>
    <w:p w14:paraId="3BA46055"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C1065A3"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Продолжая свои показания, данные мной 1-го ноября с. г. сообщаю следующее:</w:t>
      </w:r>
    </w:p>
    <w:p w14:paraId="0C17E001"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 организации Центрального Правления в 1919 г. «ГОМЗЫ», управление Техн. Отделом было поручено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П. Г. СТАРИЦКОМУ, при чем в Техн. Отдел вошли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быв. при Правлении Сормово-Коломна — т. ЛЕНЧЕВСКИЙ и Р. А. КОРЕЙВО и инженеры, бывшие на заводах главным образом «Сормово-Коломна» и Приокского Горного Округа. Таким образом в Техническом Отделе собрался кружок инженеров — быв. служащих, находившегося под управлением МЕЩЕРСКОГО объединения, а именно: С. А. ХРЕННИКОВА, Н. Л. МАНУЙЛОВА, В. А. ТИХОМИРОВА, Б.С. МАЛАХОВСКОГО, меня и кроме быв. инженеров </w:t>
      </w:r>
      <w:proofErr w:type="spellStart"/>
      <w:r w:rsidRPr="00A259BD">
        <w:rPr>
          <w:rFonts w:ascii="Times New Roman" w:hAnsi="Times New Roman"/>
          <w:color w:val="000000" w:themeColor="text1"/>
          <w:sz w:val="16"/>
          <w:szCs w:val="16"/>
        </w:rPr>
        <w:t>Мытищенского</w:t>
      </w:r>
      <w:proofErr w:type="spellEnd"/>
      <w:r w:rsidRPr="00A259BD">
        <w:rPr>
          <w:rFonts w:ascii="Times New Roman" w:hAnsi="Times New Roman"/>
          <w:color w:val="000000" w:themeColor="text1"/>
          <w:sz w:val="16"/>
          <w:szCs w:val="16"/>
        </w:rPr>
        <w:t xml:space="preserve"> завода — А. С. ПОЛУБОЯРИНОВА.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ТИЛЬДнаходился</w:t>
      </w:r>
      <w:proofErr w:type="spellEnd"/>
      <w:r w:rsidRPr="00A259BD">
        <w:rPr>
          <w:rFonts w:ascii="Times New Roman" w:hAnsi="Times New Roman"/>
          <w:color w:val="000000" w:themeColor="text1"/>
          <w:sz w:val="16"/>
          <w:szCs w:val="16"/>
        </w:rPr>
        <w:t xml:space="preserve"> в то время в отд. Снабжения Правления. Лично я заведовал в то время п/отд. вспомогательных производств литейных и кузнечных.</w:t>
      </w:r>
    </w:p>
    <w:p w14:paraId="0AF94C46"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 вышепоименованные инженеры были настроены антисоветски и не верили в возможность возрождения промышленности вообще и в частности заводов ГОМЗЫ без иностранного капитала. Эти скептические настроения и эти антисоветские усиливаются еще чрезвычайной разрухой хозяйства заводов и трудностями их восстановления. Все полагали, что скоро Советская власть начнет передавать заводы капиталистам. Исходя из этих представлений нами и строилась вся работа на заводах треста.</w:t>
      </w:r>
    </w:p>
    <w:p w14:paraId="18EFDEF7"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Надежды оживились после сообщения ХРЕННИКОВА в [19]21 г., полученного им в свою очередь от приехавшего из Англии ГЛАССА о том, что МЕЩЕРСКИЙ еще не потерял надежды на получение в концессию прежних его заводов, для чего ему якобы обеспечена помощь банков. Многие верили такой возможности, в том числе и я. Подобные сообщения, конечно, подогревали </w:t>
      </w:r>
      <w:proofErr w:type="spellStart"/>
      <w:r w:rsidRPr="00A259BD">
        <w:rPr>
          <w:rFonts w:ascii="Times New Roman" w:hAnsi="Times New Roman"/>
          <w:color w:val="000000" w:themeColor="text1"/>
          <w:sz w:val="16"/>
          <w:szCs w:val="16"/>
        </w:rPr>
        <w:t>контр-революционное</w:t>
      </w:r>
      <w:proofErr w:type="spellEnd"/>
      <w:r w:rsidRPr="00A259BD">
        <w:rPr>
          <w:rFonts w:ascii="Times New Roman" w:hAnsi="Times New Roman"/>
          <w:color w:val="000000" w:themeColor="text1"/>
          <w:sz w:val="16"/>
          <w:szCs w:val="16"/>
        </w:rPr>
        <w:t xml:space="preserve"> настроение всей группы, перечисленной выше, причем надо отметить, что инженеры КОРЕЙВО и ЛЕНЧЕВСКИЙ выбыли из состава Техн. отд. Центр. Правления[,] уехав заграницу.</w:t>
      </w:r>
    </w:p>
    <w:p w14:paraId="454972C9"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Правлении ГОМЗЫ заведывание Техн. отд. было поручено С. А. ХРЕННИКОВУ, который относился к делу весьма апатично, не проявлял никакой инициативы, в творческой работе, как Начальник Техн. отдела не давал твердого руководства и не давал себе труда углубляться в дело.</w:t>
      </w:r>
    </w:p>
    <w:p w14:paraId="2DC566AE"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приезда ГЛАССА в [19]21 г., который явился как бы посланцем МЕЩЕРСКОГО и посредником между последним и ХРЕННИКОВЫМ, ХРЕННИКОВ сообщал каждому о намерениях МЕЩЕРСКОГО и говорил, что надо содействовать передаче предприятий в концессию, путем создания соответствующей конъюнктуры состояния и работы заводов Объединения.</w:t>
      </w:r>
    </w:p>
    <w:p w14:paraId="0900FD00"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Таким образом, после сообщения ХРЕННИКОВА и под его руководством создалась в ГОМЗЫ </w:t>
      </w:r>
      <w:proofErr w:type="spellStart"/>
      <w:r w:rsidRPr="00A259BD">
        <w:rPr>
          <w:rFonts w:ascii="Times New Roman" w:hAnsi="Times New Roman"/>
          <w:color w:val="000000" w:themeColor="text1"/>
          <w:sz w:val="16"/>
          <w:szCs w:val="16"/>
        </w:rPr>
        <w:t>контр-революционная</w:t>
      </w:r>
      <w:proofErr w:type="spellEnd"/>
      <w:r w:rsidRPr="00A259BD">
        <w:rPr>
          <w:rFonts w:ascii="Times New Roman" w:hAnsi="Times New Roman"/>
          <w:color w:val="000000" w:themeColor="text1"/>
          <w:sz w:val="16"/>
          <w:szCs w:val="16"/>
        </w:rPr>
        <w:t xml:space="preserve"> вредительская организация, состоящая из быв. служащих МЕЩЕРСКОГО, а именно: Зав. Техн. отд. С. А. ХРЕННИКОВА, Зав. Металл[</w:t>
      </w:r>
      <w:proofErr w:type="spellStart"/>
      <w:r w:rsidRPr="00A259BD">
        <w:rPr>
          <w:rFonts w:ascii="Times New Roman" w:hAnsi="Times New Roman"/>
          <w:color w:val="000000" w:themeColor="text1"/>
          <w:sz w:val="16"/>
          <w:szCs w:val="16"/>
        </w:rPr>
        <w:t>ическим</w:t>
      </w:r>
      <w:proofErr w:type="spellEnd"/>
      <w:r w:rsidRPr="00A259BD">
        <w:rPr>
          <w:rFonts w:ascii="Times New Roman" w:hAnsi="Times New Roman"/>
          <w:color w:val="000000" w:themeColor="text1"/>
          <w:sz w:val="16"/>
          <w:szCs w:val="16"/>
        </w:rPr>
        <w:t>] п/отд. —  Н. Л. МАНУЙЛОВА, Зав. Прокат[</w:t>
      </w:r>
      <w:proofErr w:type="spellStart"/>
      <w:r w:rsidRPr="00A259BD">
        <w:rPr>
          <w:rFonts w:ascii="Times New Roman" w:hAnsi="Times New Roman"/>
          <w:color w:val="000000" w:themeColor="text1"/>
          <w:sz w:val="16"/>
          <w:szCs w:val="16"/>
        </w:rPr>
        <w:t>ным</w:t>
      </w:r>
      <w:proofErr w:type="spellEnd"/>
      <w:r w:rsidRPr="00A259BD">
        <w:rPr>
          <w:rFonts w:ascii="Times New Roman" w:hAnsi="Times New Roman"/>
          <w:color w:val="000000" w:themeColor="text1"/>
          <w:sz w:val="16"/>
          <w:szCs w:val="16"/>
        </w:rPr>
        <w:t xml:space="preserve">] п/отд. — В. А. ТИЛЛЕ, Зав. п/отд. </w:t>
      </w:r>
      <w:proofErr w:type="spellStart"/>
      <w:r w:rsidRPr="00A259BD">
        <w:rPr>
          <w:rFonts w:ascii="Times New Roman" w:hAnsi="Times New Roman"/>
          <w:color w:val="000000" w:themeColor="text1"/>
          <w:sz w:val="16"/>
          <w:szCs w:val="16"/>
        </w:rPr>
        <w:t>механ</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ического</w:t>
      </w:r>
      <w:proofErr w:type="spellEnd"/>
      <w:r w:rsidRPr="00A259BD">
        <w:rPr>
          <w:rFonts w:ascii="Times New Roman" w:hAnsi="Times New Roman"/>
          <w:color w:val="000000" w:themeColor="text1"/>
          <w:sz w:val="16"/>
          <w:szCs w:val="16"/>
        </w:rPr>
        <w:t>] оборудования] — В. А. ТИХОМИРОВА[,] меня и Зав. вагон[</w:t>
      </w:r>
      <w:proofErr w:type="spellStart"/>
      <w:r w:rsidRPr="00A259BD">
        <w:rPr>
          <w:rFonts w:ascii="Times New Roman" w:hAnsi="Times New Roman"/>
          <w:color w:val="000000" w:themeColor="text1"/>
          <w:sz w:val="16"/>
          <w:szCs w:val="16"/>
        </w:rPr>
        <w:t>ным</w:t>
      </w:r>
      <w:proofErr w:type="spellEnd"/>
      <w:r w:rsidRPr="00A259BD">
        <w:rPr>
          <w:rFonts w:ascii="Times New Roman" w:hAnsi="Times New Roman"/>
          <w:color w:val="000000" w:themeColor="text1"/>
          <w:sz w:val="16"/>
          <w:szCs w:val="16"/>
        </w:rPr>
        <w:t>] п/отд. — А. С. ПОЛУБОЯРИНОВА.</w:t>
      </w:r>
    </w:p>
    <w:p w14:paraId="05F6B009"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 ХРЕННИКОВ, как Зав. Техн. отд., давал направление решению того или другого технического вопроса и его утверждал, таким образом[,] он являлся главным руководителем вредительской деятельности всего Техн. отдела и вышеназванной группы лиц, в частности.</w:t>
      </w:r>
    </w:p>
    <w:p w14:paraId="63CC043C"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Была тенденция давать большие средства на ремонт зданий, которые после долгих лет войны, оставаясь без ремонта, пришли в весьма плачевное состояние, требовался ремонт крыш, фонарей, стропил и т. п.</w:t>
      </w:r>
    </w:p>
    <w:p w14:paraId="24CB7021"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Тоже самое большие средства тратились на ремонт оборудования, сильно потрепанного во время войны, что отчасти входило в задачи нашей организации как восстановление имущества в интересах имевшего намерения получить их в концессию Мещерского, который, таким образом, получит готовые отремонтированные заводы и не будет вынужден вкладывать на их восстановление средств.</w:t>
      </w:r>
    </w:p>
    <w:p w14:paraId="2B995EE8"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Второй приезд ГЛАССА в Союз.</w:t>
      </w:r>
    </w:p>
    <w:p w14:paraId="35DAB79C"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1923 г. ГЛАСС вторично приезжал в Москву и имел свидание с ХРЕННИКОВЫМ. Последний сообщил нам, что МЕЩЕРСКИЙ, хотя и получил отказ в передаче заводов в концессию, но он все-таки надеется, что плохое состояние заводов и малая продуктивность их работы заставят Советское правительство сдать их в концессию, почему по его предложению следовало бы печальное положение заводов усугубить и тем скорее подвинуть вопрос о сдаче их в концессию.</w:t>
      </w:r>
    </w:p>
    <w:p w14:paraId="22C2A088"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Записано собственноручно. К. </w:t>
      </w:r>
      <w:proofErr w:type="spellStart"/>
      <w:r w:rsidRPr="00A259BD">
        <w:rPr>
          <w:rFonts w:ascii="Times New Roman" w:hAnsi="Times New Roman"/>
          <w:color w:val="000000" w:themeColor="text1"/>
          <w:sz w:val="16"/>
          <w:szCs w:val="16"/>
        </w:rPr>
        <w:t>Неймаер</w:t>
      </w:r>
      <w:proofErr w:type="spellEnd"/>
      <w:r w:rsidRPr="00A259BD">
        <w:rPr>
          <w:rFonts w:ascii="Times New Roman" w:hAnsi="Times New Roman"/>
          <w:color w:val="000000" w:themeColor="text1"/>
          <w:sz w:val="16"/>
          <w:szCs w:val="16"/>
        </w:rPr>
        <w:t>.</w:t>
      </w:r>
    </w:p>
    <w:p w14:paraId="1F95587A"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2/XI-29 г. (18344).</w:t>
      </w:r>
    </w:p>
    <w:p w14:paraId="3F6FF658" w14:textId="77777777" w:rsidR="00114349" w:rsidRPr="00A259BD" w:rsidRDefault="00114349" w:rsidP="009236E3">
      <w:pPr>
        <w:spacing w:after="0" w:line="240" w:lineRule="auto"/>
        <w:jc w:val="both"/>
        <w:rPr>
          <w:rFonts w:ascii="Times New Roman" w:hAnsi="Times New Roman"/>
          <w:color w:val="000000" w:themeColor="text1"/>
          <w:sz w:val="16"/>
          <w:szCs w:val="16"/>
        </w:rPr>
      </w:pPr>
    </w:p>
    <w:p w14:paraId="454A6662" w14:textId="77777777" w:rsidR="0056601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246A454" w14:textId="77777777" w:rsidR="00566015" w:rsidRPr="00A259BD" w:rsidRDefault="0056601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1B057A" w14:textId="77777777" w:rsidR="00566015" w:rsidRPr="00A259BD" w:rsidRDefault="00566015"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hAnsi="Times New Roman"/>
          <w:bCs/>
          <w:color w:val="000000" w:themeColor="text1"/>
          <w:sz w:val="16"/>
          <w:szCs w:val="16"/>
        </w:rPr>
        <w:t xml:space="preserve">2 ноября </w:t>
      </w:r>
      <w:r w:rsidRPr="00A259BD">
        <w:rPr>
          <w:rFonts w:ascii="Times New Roman" w:hAnsi="Times New Roman"/>
          <w:color w:val="000000" w:themeColor="text1"/>
          <w:sz w:val="16"/>
          <w:szCs w:val="16"/>
        </w:rPr>
        <w:t xml:space="preserve">в 1929 году совершил первый полет прототип </w:t>
      </w:r>
      <w:proofErr w:type="spellStart"/>
      <w:r w:rsidRPr="00A259BD">
        <w:rPr>
          <w:rFonts w:ascii="Times New Roman" w:hAnsi="Times New Roman"/>
          <w:color w:val="000000" w:themeColor="text1"/>
          <w:sz w:val="16"/>
          <w:szCs w:val="16"/>
        </w:rPr>
        <w:t>cамой</w:t>
      </w:r>
      <w:proofErr w:type="spellEnd"/>
      <w:r w:rsidRPr="00A259BD">
        <w:rPr>
          <w:rFonts w:ascii="Times New Roman" w:hAnsi="Times New Roman"/>
          <w:color w:val="000000" w:themeColor="text1"/>
          <w:sz w:val="16"/>
          <w:szCs w:val="16"/>
        </w:rPr>
        <w:t xml:space="preserve"> большой летающей лодкой, построенной в период между двумя мировыми войнами –«Дорнье» «</w:t>
      </w:r>
      <w:proofErr w:type="spellStart"/>
      <w:r w:rsidRPr="00A259BD">
        <w:rPr>
          <w:rFonts w:ascii="Times New Roman" w:hAnsi="Times New Roman"/>
          <w:color w:val="000000" w:themeColor="text1"/>
          <w:sz w:val="16"/>
          <w:szCs w:val="16"/>
        </w:rPr>
        <w:t>Dо</w:t>
      </w:r>
      <w:proofErr w:type="spellEnd"/>
      <w:r w:rsidRPr="00A259BD">
        <w:rPr>
          <w:rFonts w:ascii="Times New Roman" w:hAnsi="Times New Roman"/>
          <w:color w:val="000000" w:themeColor="text1"/>
          <w:sz w:val="16"/>
          <w:szCs w:val="16"/>
        </w:rPr>
        <w:t xml:space="preserve">-Х». На то время это был самый большой самолет в мире, оснащенный двенадцатью двигателями (первоначально 525-сильными Сименс «Юпитер», затем 600-сильными </w:t>
      </w:r>
      <w:proofErr w:type="spellStart"/>
      <w:r w:rsidRPr="00A259BD">
        <w:rPr>
          <w:rFonts w:ascii="Times New Roman" w:hAnsi="Times New Roman"/>
          <w:color w:val="000000" w:themeColor="text1"/>
          <w:sz w:val="16"/>
          <w:szCs w:val="16"/>
        </w:rPr>
        <w:t>Кертисс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Конкерор</w:t>
      </w:r>
      <w:proofErr w:type="spellEnd"/>
      <w:r w:rsidRPr="00A259BD">
        <w:rPr>
          <w:rFonts w:ascii="Times New Roman" w:hAnsi="Times New Roman"/>
          <w:color w:val="000000" w:themeColor="text1"/>
          <w:sz w:val="16"/>
          <w:szCs w:val="16"/>
        </w:rPr>
        <w:t>») смонтированными тандемными парами на 48 -метровом крыле-моноплане. 21 октября 1929 г. «</w:t>
      </w:r>
      <w:proofErr w:type="spellStart"/>
      <w:r w:rsidRPr="00A259BD">
        <w:rPr>
          <w:rFonts w:ascii="Times New Roman" w:hAnsi="Times New Roman"/>
          <w:color w:val="000000" w:themeColor="text1"/>
          <w:sz w:val="16"/>
          <w:szCs w:val="16"/>
        </w:rPr>
        <w:t>Dо</w:t>
      </w:r>
      <w:proofErr w:type="spellEnd"/>
      <w:r w:rsidRPr="00A259BD">
        <w:rPr>
          <w:rFonts w:ascii="Times New Roman" w:hAnsi="Times New Roman"/>
          <w:color w:val="000000" w:themeColor="text1"/>
          <w:sz w:val="16"/>
          <w:szCs w:val="16"/>
        </w:rPr>
        <w:t>-Х», пилотируемый экипажем из 10 человек, взял на борт 159 пассажиров (из них 9 — безбилетники). Всего были построены три летающие лодки «</w:t>
      </w:r>
      <w:proofErr w:type="spellStart"/>
      <w:r w:rsidRPr="00A259BD">
        <w:rPr>
          <w:rFonts w:ascii="Times New Roman" w:hAnsi="Times New Roman"/>
          <w:color w:val="000000" w:themeColor="text1"/>
          <w:sz w:val="16"/>
          <w:szCs w:val="16"/>
        </w:rPr>
        <w:t>Dо</w:t>
      </w:r>
      <w:proofErr w:type="spellEnd"/>
      <w:r w:rsidRPr="00A259BD">
        <w:rPr>
          <w:rFonts w:ascii="Times New Roman" w:hAnsi="Times New Roman"/>
          <w:color w:val="000000" w:themeColor="text1"/>
          <w:sz w:val="16"/>
          <w:szCs w:val="16"/>
        </w:rPr>
        <w:t>-Х» (14818).</w:t>
      </w:r>
    </w:p>
    <w:p w14:paraId="56AE06CA" w14:textId="77777777" w:rsidR="00566015" w:rsidRPr="00A259BD" w:rsidRDefault="00566015" w:rsidP="009236E3">
      <w:pPr>
        <w:spacing w:after="0" w:line="240" w:lineRule="auto"/>
        <w:jc w:val="both"/>
        <w:rPr>
          <w:rFonts w:ascii="Times New Roman" w:hAnsi="Times New Roman"/>
          <w:color w:val="000000" w:themeColor="text1"/>
          <w:sz w:val="16"/>
          <w:szCs w:val="16"/>
        </w:rPr>
      </w:pPr>
    </w:p>
    <w:p w14:paraId="6D475BC1" w14:textId="77777777" w:rsidR="00525942"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597FC4A" w14:textId="77777777" w:rsidR="00525942" w:rsidRPr="00A259BD" w:rsidRDefault="00525942"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B6826B" w14:textId="77777777" w:rsidR="00525942" w:rsidRPr="00A259BD" w:rsidRDefault="00525942" w:rsidP="009236E3">
      <w:pPr>
        <w:pStyle w:val="rtejustify"/>
        <w:spacing w:before="0" w:after="0"/>
        <w:rPr>
          <w:color w:val="000000" w:themeColor="text1"/>
          <w:sz w:val="16"/>
          <w:szCs w:val="16"/>
        </w:rPr>
      </w:pPr>
      <w:r w:rsidRPr="00A259BD">
        <w:rPr>
          <w:rStyle w:val="af0"/>
          <w:i w:val="0"/>
          <w:color w:val="000000" w:themeColor="text1"/>
          <w:sz w:val="16"/>
          <w:szCs w:val="16"/>
        </w:rPr>
        <w:t xml:space="preserve">3 ноября </w:t>
      </w:r>
      <w:r w:rsidRPr="00A259BD">
        <w:rPr>
          <w:color w:val="000000" w:themeColor="text1"/>
          <w:sz w:val="16"/>
          <w:szCs w:val="16"/>
        </w:rPr>
        <w:t>1929 г</w:t>
      </w:r>
      <w:r w:rsidRPr="00A259BD">
        <w:rPr>
          <w:rStyle w:val="af0"/>
          <w:i w:val="0"/>
          <w:color w:val="000000" w:themeColor="text1"/>
          <w:sz w:val="16"/>
          <w:szCs w:val="16"/>
        </w:rPr>
        <w:t xml:space="preserve">. Протокол Реввоенсовета № 35. </w:t>
      </w:r>
      <w:r w:rsidRPr="00A259BD">
        <w:rPr>
          <w:color w:val="000000" w:themeColor="text1"/>
          <w:sz w:val="16"/>
          <w:szCs w:val="16"/>
        </w:rPr>
        <w:t>2. О мероприятиях по бронетанковому делу в РККА. (Калиновский). 3. О задачах промышленности по проектируемому автостроению. (</w:t>
      </w:r>
      <w:proofErr w:type="spellStart"/>
      <w:r w:rsidRPr="00A259BD">
        <w:rPr>
          <w:color w:val="000000" w:themeColor="text1"/>
          <w:sz w:val="16"/>
          <w:szCs w:val="16"/>
        </w:rPr>
        <w:t>Халепский</w:t>
      </w:r>
      <w:proofErr w:type="spellEnd"/>
      <w:r w:rsidRPr="00A259BD">
        <w:rPr>
          <w:color w:val="000000" w:themeColor="text1"/>
          <w:sz w:val="16"/>
          <w:szCs w:val="16"/>
        </w:rPr>
        <w:t>). 7. О выводе из строя подводных лодок за негодностью. (</w:t>
      </w:r>
      <w:proofErr w:type="spellStart"/>
      <w:r w:rsidRPr="00A259BD">
        <w:rPr>
          <w:color w:val="000000" w:themeColor="text1"/>
          <w:sz w:val="16"/>
          <w:szCs w:val="16"/>
        </w:rPr>
        <w:t>Муклевич</w:t>
      </w:r>
      <w:proofErr w:type="spellEnd"/>
      <w:r w:rsidRPr="00A259BD">
        <w:rPr>
          <w:color w:val="000000" w:themeColor="text1"/>
          <w:sz w:val="16"/>
          <w:szCs w:val="16"/>
        </w:rPr>
        <w:t>). 9. О введении на вооружение моторов «Юпитер», «БМВ»</w:t>
      </w:r>
      <w:r w:rsidRPr="00A259BD">
        <w:rPr>
          <w:color w:val="000000" w:themeColor="text1"/>
          <w:sz w:val="16"/>
          <w:szCs w:val="16"/>
        </w:rPr>
        <w:noBreakHyphen/>
        <w:t>VI и учебного мотора М</w:t>
      </w:r>
      <w:r w:rsidRPr="00A259BD">
        <w:rPr>
          <w:color w:val="000000" w:themeColor="text1"/>
          <w:sz w:val="16"/>
          <w:szCs w:val="16"/>
        </w:rPr>
        <w:noBreakHyphen/>
        <w:t>11. (Баранов). 10. О введении на вооружение комплектов электрооборудования на самолете Р</w:t>
      </w:r>
      <w:r w:rsidRPr="00A259BD">
        <w:rPr>
          <w:color w:val="000000" w:themeColor="text1"/>
          <w:sz w:val="16"/>
          <w:szCs w:val="16"/>
        </w:rPr>
        <w:noBreakHyphen/>
        <w:t>1</w:t>
      </w:r>
      <w:r w:rsidRPr="00A259BD">
        <w:rPr>
          <w:color w:val="000000" w:themeColor="text1"/>
          <w:sz w:val="16"/>
          <w:szCs w:val="16"/>
        </w:rPr>
        <w:noBreakHyphen/>
        <w:t>М</w:t>
      </w:r>
      <w:r w:rsidRPr="00A259BD">
        <w:rPr>
          <w:color w:val="000000" w:themeColor="text1"/>
          <w:sz w:val="16"/>
          <w:szCs w:val="16"/>
        </w:rPr>
        <w:noBreakHyphen/>
        <w:t>5. (Баранов П. И.). 11. О введении на вооружение войсковых и зенитных дальномеров. (Кулик). 12. О боевой пулеметной тачанке для стрелковых частей. (</w:t>
      </w:r>
      <w:proofErr w:type="spellStart"/>
      <w:r w:rsidRPr="00A259BD">
        <w:rPr>
          <w:color w:val="000000" w:themeColor="text1"/>
          <w:sz w:val="16"/>
          <w:szCs w:val="16"/>
        </w:rPr>
        <w:t>Триандафилов</w:t>
      </w:r>
      <w:proofErr w:type="spellEnd"/>
      <w:r w:rsidRPr="00A259BD">
        <w:rPr>
          <w:color w:val="000000" w:themeColor="text1"/>
          <w:sz w:val="16"/>
          <w:szCs w:val="16"/>
        </w:rPr>
        <w:t>). 13. О стандарте морских и сухопутных порохов. (Янсон). (РГВА. Ф. 4. Оп. 18. Д. 15. Л. 243</w:t>
      </w:r>
      <w:r w:rsidRPr="00A259BD">
        <w:rPr>
          <w:color w:val="000000" w:themeColor="text1"/>
          <w:sz w:val="16"/>
          <w:szCs w:val="16"/>
        </w:rPr>
        <w:noBreakHyphen/>
        <w:t>244, 245</w:t>
      </w:r>
      <w:r w:rsidRPr="00A259BD">
        <w:rPr>
          <w:color w:val="000000" w:themeColor="text1"/>
          <w:sz w:val="16"/>
          <w:szCs w:val="16"/>
        </w:rPr>
        <w:noBreakHyphen/>
        <w:t>246) (12342).</w:t>
      </w:r>
    </w:p>
    <w:p w14:paraId="7EB60D0C" w14:textId="77777777" w:rsidR="00525942" w:rsidRPr="00A259BD" w:rsidRDefault="00525942" w:rsidP="009236E3">
      <w:pPr>
        <w:pStyle w:val="rtejustify"/>
        <w:spacing w:before="0" w:after="0"/>
        <w:rPr>
          <w:color w:val="000000" w:themeColor="text1"/>
          <w:sz w:val="16"/>
          <w:szCs w:val="16"/>
        </w:rPr>
      </w:pPr>
    </w:p>
    <w:p w14:paraId="2AC5D59F" w14:textId="77777777" w:rsidR="009E7C7E" w:rsidRPr="00A259BD" w:rsidRDefault="009E7C7E"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lastRenderedPageBreak/>
        <w:t xml:space="preserve">3 ноября 1929 года было образовано Управление Механизации и Моторизации Красной Армии. Таким образом, танки вывели из подчинения артиллерии и сделали независимой структурой. Очень быстро УММ КА пополнилась массой ценных кадров, хорошо разбирающихся в вопросе и имевших рычаги давления на </w:t>
      </w:r>
      <w:proofErr w:type="spellStart"/>
      <w:r w:rsidRPr="00A259BD">
        <w:rPr>
          <w:rFonts w:ascii="Times New Roman" w:eastAsia="Times New Roman" w:hAnsi="Times New Roman"/>
          <w:color w:val="000000" w:themeColor="text1"/>
          <w:sz w:val="16"/>
          <w:szCs w:val="16"/>
          <w:lang w:eastAsia="ru-RU"/>
        </w:rPr>
        <w:t>танкопром</w:t>
      </w:r>
      <w:proofErr w:type="spellEnd"/>
      <w:r w:rsidRPr="00A259BD">
        <w:rPr>
          <w:rFonts w:ascii="Times New Roman" w:eastAsia="Times New Roman" w:hAnsi="Times New Roman"/>
          <w:color w:val="000000" w:themeColor="text1"/>
          <w:sz w:val="16"/>
          <w:szCs w:val="16"/>
          <w:lang w:eastAsia="ru-RU"/>
        </w:rPr>
        <w:t xml:space="preserve">. Во-вторых, И.А. </w:t>
      </w:r>
      <w:proofErr w:type="spellStart"/>
      <w:r w:rsidRPr="00A259BD">
        <w:rPr>
          <w:rFonts w:ascii="Times New Roman" w:eastAsia="Times New Roman" w:hAnsi="Times New Roman"/>
          <w:color w:val="000000" w:themeColor="text1"/>
          <w:sz w:val="16"/>
          <w:szCs w:val="16"/>
          <w:lang w:eastAsia="ru-RU"/>
        </w:rPr>
        <w:t>Халепский</w:t>
      </w:r>
      <w:proofErr w:type="spellEnd"/>
      <w:r w:rsidRPr="00A259BD">
        <w:rPr>
          <w:rFonts w:ascii="Times New Roman" w:eastAsia="Times New Roman" w:hAnsi="Times New Roman"/>
          <w:color w:val="000000" w:themeColor="text1"/>
          <w:sz w:val="16"/>
          <w:szCs w:val="16"/>
          <w:lang w:eastAsia="ru-RU"/>
        </w:rPr>
        <w:t xml:space="preserve">, возглавивший УММ КА, очень быстро поставил вопрос о закупке за рубежом образцов бронетанковой техники. Причем речь шла не об ознакомительных закупках, а о приобретении вместе с документацией и возможности получения технической помощи. Данная постановка вопроса подразумевала простую вещь: если своя промышленность не способна "родить" необходимый танк, то на производство встанет зарубежный. Некоторые данный подход осуждают, рассказывая, что подобным образом рушится своя техническая школа. Но вот ведь удивительно: когда своя техническая школа, в том числе танкостроительная, не была способна создать нормальный танк, в большинстве стран нисколько не гнушались либо купить лицензию, либо купить танки, либо банально своровать идеи у соседей. В этом смысле, кстати говоря, упомянутый Т-19 смотрится довольно забавно. Если Т-18 был машиной самобытной, то в случае с Т-19 отлично угадываются характерные элементы Renault NC и Renault D1. Самое интересное, что этот Renault NC находился в списке целей закупочной комиссии </w:t>
      </w:r>
      <w:proofErr w:type="spellStart"/>
      <w:r w:rsidRPr="00A259BD">
        <w:rPr>
          <w:rFonts w:ascii="Times New Roman" w:eastAsia="Times New Roman" w:hAnsi="Times New Roman"/>
          <w:color w:val="000000" w:themeColor="text1"/>
          <w:sz w:val="16"/>
          <w:szCs w:val="16"/>
          <w:lang w:eastAsia="ru-RU"/>
        </w:rPr>
        <w:t>Халепского</w:t>
      </w:r>
      <w:proofErr w:type="spellEnd"/>
      <w:r w:rsidRPr="00A259BD">
        <w:rPr>
          <w:rFonts w:ascii="Times New Roman" w:eastAsia="Times New Roman" w:hAnsi="Times New Roman"/>
          <w:color w:val="000000" w:themeColor="text1"/>
          <w:sz w:val="16"/>
          <w:szCs w:val="16"/>
          <w:lang w:eastAsia="ru-RU"/>
        </w:rPr>
        <w:t xml:space="preserve">. Также на роль танка сопровождения рассматривался Light </w:t>
      </w:r>
      <w:proofErr w:type="spellStart"/>
      <w:r w:rsidRPr="00A259BD">
        <w:rPr>
          <w:rFonts w:ascii="Times New Roman" w:eastAsia="Times New Roman" w:hAnsi="Times New Roman"/>
          <w:color w:val="000000" w:themeColor="text1"/>
          <w:sz w:val="16"/>
          <w:szCs w:val="16"/>
          <w:lang w:eastAsia="ru-RU"/>
        </w:rPr>
        <w:t>Tank</w:t>
      </w:r>
      <w:proofErr w:type="spellEnd"/>
      <w:r w:rsidRPr="00A259BD">
        <w:rPr>
          <w:rFonts w:ascii="Times New Roman" w:eastAsia="Times New Roman" w:hAnsi="Times New Roman"/>
          <w:color w:val="000000" w:themeColor="text1"/>
          <w:sz w:val="16"/>
          <w:szCs w:val="16"/>
          <w:lang w:eastAsia="ru-RU"/>
        </w:rPr>
        <w:t xml:space="preserve"> T1E1, который вовсю рекламировался в американской прессе (20740).</w:t>
      </w:r>
    </w:p>
    <w:p w14:paraId="02A10D1B" w14:textId="77777777" w:rsidR="009E7C7E" w:rsidRPr="00A259BD" w:rsidRDefault="009E7C7E"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91F7ED2" w14:textId="77777777" w:rsidR="00525942" w:rsidRPr="00A259BD" w:rsidRDefault="005259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 ноября 1929 г. — Письмо заместителя председателя Реввоенсовета СССР С. С. Каменева председателю ВСНХ СССР В. В. Куйбышеву о недостатках при проектировании и строительстве малых подводных лодок</w:t>
      </w:r>
    </w:p>
    <w:p w14:paraId="385102B3" w14:textId="77777777" w:rsidR="00525942" w:rsidRPr="00A259BD" w:rsidRDefault="005259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Письмо заместителя председателя Реввоенсовета СССР С. С. Каменева председателю ВСНХ СССР В. В. Куйбышеву о недостатках при проектировании и строительстве малых подводных лодок</w:t>
      </w:r>
    </w:p>
    <w:p w14:paraId="16E160A6" w14:textId="77777777" w:rsidR="00525942" w:rsidRPr="00A259BD" w:rsidRDefault="00525942"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3—4 ноября 1929 г.</w:t>
      </w:r>
    </w:p>
    <w:p w14:paraId="5F458F0E" w14:textId="77777777" w:rsidR="00525942" w:rsidRPr="00A259BD" w:rsidRDefault="00525942"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0A8DE242" w14:textId="77777777" w:rsidR="00525942" w:rsidRPr="00A259BD" w:rsidRDefault="00525942" w:rsidP="009236E3">
      <w:pPr>
        <w:pStyle w:val="rtejustify"/>
        <w:spacing w:before="0" w:after="0"/>
        <w:rPr>
          <w:color w:val="000000" w:themeColor="text1"/>
          <w:sz w:val="16"/>
          <w:szCs w:val="16"/>
        </w:rPr>
      </w:pPr>
      <w:r w:rsidRPr="00A259BD">
        <w:rPr>
          <w:color w:val="000000" w:themeColor="text1"/>
          <w:sz w:val="16"/>
          <w:szCs w:val="16"/>
        </w:rPr>
        <w:t>РВС СССР считает необходимым обратить Ваше внимание на факты, имеющие место по строительству подводных лодок:</w:t>
      </w:r>
    </w:p>
    <w:p w14:paraId="002DAD1C" w14:textId="77777777" w:rsidR="00525942" w:rsidRPr="00A259BD" w:rsidRDefault="00525942" w:rsidP="009236E3">
      <w:pPr>
        <w:pStyle w:val="rtejustify"/>
        <w:spacing w:before="0" w:after="0"/>
        <w:rPr>
          <w:color w:val="000000" w:themeColor="text1"/>
          <w:sz w:val="16"/>
          <w:szCs w:val="16"/>
        </w:rPr>
      </w:pPr>
      <w:r w:rsidRPr="00A259BD">
        <w:rPr>
          <w:color w:val="000000" w:themeColor="text1"/>
          <w:sz w:val="16"/>
          <w:szCs w:val="16"/>
        </w:rPr>
        <w:t xml:space="preserve">1. Официальное начало работ по малым подлодкам оказалось отмененным </w:t>
      </w:r>
      <w:proofErr w:type="spellStart"/>
      <w:r w:rsidRPr="00A259BD">
        <w:rPr>
          <w:color w:val="000000" w:themeColor="text1"/>
          <w:sz w:val="16"/>
          <w:szCs w:val="16"/>
        </w:rPr>
        <w:t>Главмашиностроем</w:t>
      </w:r>
      <w:proofErr w:type="spellEnd"/>
      <w:r w:rsidRPr="00A259BD">
        <w:rPr>
          <w:color w:val="000000" w:themeColor="text1"/>
          <w:sz w:val="16"/>
          <w:szCs w:val="16"/>
        </w:rPr>
        <w:t xml:space="preserve">, тогда как с </w:t>
      </w:r>
      <w:proofErr w:type="spellStart"/>
      <w:r w:rsidRPr="00A259BD">
        <w:rPr>
          <w:color w:val="000000" w:themeColor="text1"/>
          <w:sz w:val="16"/>
          <w:szCs w:val="16"/>
        </w:rPr>
        <w:t>Судотрестом</w:t>
      </w:r>
      <w:proofErr w:type="spellEnd"/>
      <w:r w:rsidRPr="00A259BD">
        <w:rPr>
          <w:color w:val="000000" w:themeColor="text1"/>
          <w:sz w:val="16"/>
          <w:szCs w:val="16"/>
        </w:rPr>
        <w:t xml:space="preserve"> и заводом была достигнута точная договоренность.</w:t>
      </w:r>
    </w:p>
    <w:p w14:paraId="7356C850" w14:textId="77777777" w:rsidR="00525942" w:rsidRPr="00A259BD" w:rsidRDefault="00525942" w:rsidP="009236E3">
      <w:pPr>
        <w:pStyle w:val="rtejustify"/>
        <w:spacing w:before="0" w:after="0"/>
        <w:rPr>
          <w:color w:val="000000" w:themeColor="text1"/>
          <w:sz w:val="16"/>
          <w:szCs w:val="16"/>
        </w:rPr>
      </w:pPr>
      <w:r w:rsidRPr="00A259BD">
        <w:rPr>
          <w:color w:val="000000" w:themeColor="text1"/>
          <w:sz w:val="16"/>
          <w:szCs w:val="16"/>
        </w:rPr>
        <w:t xml:space="preserve">Хотя </w:t>
      </w:r>
      <w:proofErr w:type="spellStart"/>
      <w:r w:rsidRPr="00A259BD">
        <w:rPr>
          <w:color w:val="000000" w:themeColor="text1"/>
          <w:sz w:val="16"/>
          <w:szCs w:val="16"/>
        </w:rPr>
        <w:t>Главмашинострой</w:t>
      </w:r>
      <w:proofErr w:type="spellEnd"/>
      <w:r w:rsidRPr="00A259BD">
        <w:rPr>
          <w:color w:val="000000" w:themeColor="text1"/>
          <w:sz w:val="16"/>
          <w:szCs w:val="16"/>
        </w:rPr>
        <w:t xml:space="preserve"> и дает заверения, что он успеет закончить постройку подлодок к конечным срокам, но этой уверенности у РВС СССР не имеется, так как все обещания </w:t>
      </w:r>
      <w:proofErr w:type="spellStart"/>
      <w:r w:rsidRPr="00A259BD">
        <w:rPr>
          <w:color w:val="000000" w:themeColor="text1"/>
          <w:sz w:val="16"/>
          <w:szCs w:val="16"/>
        </w:rPr>
        <w:t>Главмашиностроя</w:t>
      </w:r>
      <w:proofErr w:type="spellEnd"/>
      <w:r w:rsidRPr="00A259BD">
        <w:rPr>
          <w:color w:val="000000" w:themeColor="text1"/>
          <w:sz w:val="16"/>
          <w:szCs w:val="16"/>
        </w:rPr>
        <w:t xml:space="preserve"> насчет сроков по военному судостроению оставались не выполненными.</w:t>
      </w:r>
    </w:p>
    <w:p w14:paraId="634F874B" w14:textId="77777777" w:rsidR="00525942" w:rsidRPr="00A259BD" w:rsidRDefault="00525942" w:rsidP="009236E3">
      <w:pPr>
        <w:pStyle w:val="rtejustify"/>
        <w:spacing w:before="0" w:after="0"/>
        <w:rPr>
          <w:color w:val="000000" w:themeColor="text1"/>
          <w:sz w:val="16"/>
          <w:szCs w:val="16"/>
        </w:rPr>
      </w:pPr>
      <w:r w:rsidRPr="00A259BD">
        <w:rPr>
          <w:color w:val="000000" w:themeColor="text1"/>
          <w:sz w:val="16"/>
          <w:szCs w:val="16"/>
        </w:rPr>
        <w:t xml:space="preserve">2. Основной причиной в данном случае выставляется слабость проектировочного бюро по подводному плаванию, но эта же причина, имевшая место и в день согласования (30 августа) срока начала работ на стапелях, не помешала установить закладку на вторую половину октября, а теперь она переносится </w:t>
      </w:r>
      <w:proofErr w:type="spellStart"/>
      <w:r w:rsidRPr="00A259BD">
        <w:rPr>
          <w:color w:val="000000" w:themeColor="text1"/>
          <w:sz w:val="16"/>
          <w:szCs w:val="16"/>
        </w:rPr>
        <w:t>Главмашиностроем</w:t>
      </w:r>
      <w:proofErr w:type="spellEnd"/>
      <w:r w:rsidRPr="00A259BD">
        <w:rPr>
          <w:color w:val="000000" w:themeColor="text1"/>
          <w:sz w:val="16"/>
          <w:szCs w:val="16"/>
        </w:rPr>
        <w:t xml:space="preserve"> уже на январь 1930 г.</w:t>
      </w:r>
    </w:p>
    <w:p w14:paraId="7D063590" w14:textId="77777777" w:rsidR="00525942" w:rsidRPr="00A259BD" w:rsidRDefault="00525942" w:rsidP="009236E3">
      <w:pPr>
        <w:pStyle w:val="rtejustify"/>
        <w:spacing w:before="0" w:after="0"/>
        <w:rPr>
          <w:color w:val="000000" w:themeColor="text1"/>
          <w:sz w:val="16"/>
          <w:szCs w:val="16"/>
        </w:rPr>
      </w:pPr>
      <w:r w:rsidRPr="00A259BD">
        <w:rPr>
          <w:color w:val="000000" w:themeColor="text1"/>
          <w:sz w:val="16"/>
          <w:szCs w:val="16"/>
        </w:rPr>
        <w:t xml:space="preserve">3. Не только проектирование подлодок, но и печатание копий чертежей, необходимых для развертывания постройки больших подлодок на Юге, отнимает месяцы и затягивает на </w:t>
      </w:r>
      <w:proofErr w:type="spellStart"/>
      <w:r w:rsidRPr="00A259BD">
        <w:rPr>
          <w:color w:val="000000" w:themeColor="text1"/>
          <w:sz w:val="16"/>
          <w:szCs w:val="16"/>
        </w:rPr>
        <w:t>Никгосзаводах</w:t>
      </w:r>
      <w:proofErr w:type="spellEnd"/>
      <w:r w:rsidRPr="00A259BD">
        <w:rPr>
          <w:color w:val="000000" w:themeColor="text1"/>
          <w:sz w:val="16"/>
          <w:szCs w:val="16"/>
        </w:rPr>
        <w:t xml:space="preserve"> начало развертывания работ, что озабочивает РВС СССР, так как на Черном море большие подлодки особо необходимы.</w:t>
      </w:r>
    </w:p>
    <w:p w14:paraId="7241D609" w14:textId="77777777" w:rsidR="00525942" w:rsidRPr="00A259BD" w:rsidRDefault="00525942" w:rsidP="009236E3">
      <w:pPr>
        <w:pStyle w:val="rtejustify"/>
        <w:spacing w:before="0" w:after="0"/>
        <w:rPr>
          <w:color w:val="000000" w:themeColor="text1"/>
          <w:sz w:val="16"/>
          <w:szCs w:val="16"/>
        </w:rPr>
      </w:pPr>
      <w:r w:rsidRPr="00A259BD">
        <w:rPr>
          <w:color w:val="000000" w:themeColor="text1"/>
          <w:sz w:val="16"/>
          <w:szCs w:val="16"/>
        </w:rPr>
        <w:t xml:space="preserve">4. Кроме того, НК РКИ при обследовании Николаевских судостроительных заводов обратил внимание на неудовлетворительное качество чертежей </w:t>
      </w:r>
      <w:proofErr w:type="spellStart"/>
      <w:r w:rsidRPr="00A259BD">
        <w:rPr>
          <w:color w:val="000000" w:themeColor="text1"/>
          <w:sz w:val="16"/>
          <w:szCs w:val="16"/>
        </w:rPr>
        <w:t>Балтвода</w:t>
      </w:r>
      <w:proofErr w:type="spellEnd"/>
      <w:r w:rsidRPr="00A259BD">
        <w:rPr>
          <w:color w:val="000000" w:themeColor="text1"/>
          <w:sz w:val="16"/>
          <w:szCs w:val="16"/>
        </w:rPr>
        <w:t>, требующих многочисленных исправлений.</w:t>
      </w:r>
    </w:p>
    <w:p w14:paraId="62BD19DE" w14:textId="77777777" w:rsidR="00525942" w:rsidRPr="00A259BD" w:rsidRDefault="00525942" w:rsidP="009236E3">
      <w:pPr>
        <w:pStyle w:val="rtejustify"/>
        <w:spacing w:before="0" w:after="0"/>
        <w:rPr>
          <w:color w:val="000000" w:themeColor="text1"/>
          <w:sz w:val="16"/>
          <w:szCs w:val="16"/>
        </w:rPr>
      </w:pPr>
      <w:r w:rsidRPr="00A259BD">
        <w:rPr>
          <w:color w:val="000000" w:themeColor="text1"/>
          <w:sz w:val="16"/>
          <w:szCs w:val="16"/>
        </w:rPr>
        <w:t xml:space="preserve">5. По предложению УВМС РККА </w:t>
      </w:r>
      <w:proofErr w:type="spellStart"/>
      <w:r w:rsidRPr="00A259BD">
        <w:rPr>
          <w:color w:val="000000" w:themeColor="text1"/>
          <w:sz w:val="16"/>
          <w:szCs w:val="16"/>
        </w:rPr>
        <w:t>Главмашинострою</w:t>
      </w:r>
      <w:proofErr w:type="spellEnd"/>
      <w:r w:rsidRPr="00A259BD">
        <w:rPr>
          <w:color w:val="000000" w:themeColor="text1"/>
          <w:sz w:val="16"/>
          <w:szCs w:val="16"/>
        </w:rPr>
        <w:t xml:space="preserve"> надлежало развернуть социалистическое соревнование по постройке подлодок между Южным и Северным заводами. Вследствие бумажного подхода к делу осуществление этого стимулирующего начала затянулось.</w:t>
      </w:r>
    </w:p>
    <w:p w14:paraId="0B964A92" w14:textId="77777777" w:rsidR="00525942" w:rsidRPr="00A259BD" w:rsidRDefault="00525942" w:rsidP="009236E3">
      <w:pPr>
        <w:pStyle w:val="rtejustify"/>
        <w:spacing w:before="0" w:after="0"/>
        <w:rPr>
          <w:color w:val="000000" w:themeColor="text1"/>
          <w:sz w:val="16"/>
          <w:szCs w:val="16"/>
        </w:rPr>
      </w:pPr>
      <w:r w:rsidRPr="00A259BD">
        <w:rPr>
          <w:color w:val="000000" w:themeColor="text1"/>
          <w:sz w:val="16"/>
          <w:szCs w:val="16"/>
        </w:rPr>
        <w:t xml:space="preserve">6. Начало развертывания важнейших заказов, по мнению контрагентов </w:t>
      </w:r>
      <w:proofErr w:type="spellStart"/>
      <w:r w:rsidRPr="00A259BD">
        <w:rPr>
          <w:color w:val="000000" w:themeColor="text1"/>
          <w:sz w:val="16"/>
          <w:szCs w:val="16"/>
        </w:rPr>
        <w:t>Судотреста</w:t>
      </w:r>
      <w:proofErr w:type="spellEnd"/>
      <w:r w:rsidRPr="00A259BD">
        <w:rPr>
          <w:color w:val="000000" w:themeColor="text1"/>
          <w:sz w:val="16"/>
          <w:szCs w:val="16"/>
        </w:rPr>
        <w:t xml:space="preserve">, но подлодкам типа «Марксист» вызвало длительную и излишнюю переписку между УВМС и Балтийским заводом, стоящим на «формальной» почве, и заказы начали размещаться в надлежащем энергичном темпе лишь после раскрытия и ликвидации вредительской организации в </w:t>
      </w:r>
      <w:proofErr w:type="spellStart"/>
      <w:r w:rsidRPr="00A259BD">
        <w:rPr>
          <w:color w:val="000000" w:themeColor="text1"/>
          <w:sz w:val="16"/>
          <w:szCs w:val="16"/>
        </w:rPr>
        <w:t>Судотресте</w:t>
      </w:r>
      <w:proofErr w:type="spellEnd"/>
      <w:r w:rsidRPr="00A259BD">
        <w:rPr>
          <w:color w:val="000000" w:themeColor="text1"/>
          <w:sz w:val="16"/>
          <w:szCs w:val="16"/>
        </w:rPr>
        <w:t>.</w:t>
      </w:r>
    </w:p>
    <w:p w14:paraId="1FB76C40" w14:textId="77777777" w:rsidR="00525942" w:rsidRPr="00A259BD" w:rsidRDefault="00525942" w:rsidP="009236E3">
      <w:pPr>
        <w:pStyle w:val="rtejustify"/>
        <w:spacing w:before="0" w:after="0"/>
        <w:rPr>
          <w:color w:val="000000" w:themeColor="text1"/>
          <w:sz w:val="16"/>
          <w:szCs w:val="16"/>
        </w:rPr>
      </w:pPr>
      <w:r w:rsidRPr="00A259BD">
        <w:rPr>
          <w:color w:val="000000" w:themeColor="text1"/>
          <w:sz w:val="16"/>
          <w:szCs w:val="16"/>
        </w:rPr>
        <w:t xml:space="preserve">7. Малые подлодки строятся взамен выходящих из строя за устарелостью и изношенностью многих наличных подлодок </w:t>
      </w:r>
      <w:proofErr w:type="spellStart"/>
      <w:r w:rsidRPr="00A259BD">
        <w:rPr>
          <w:color w:val="000000" w:themeColor="text1"/>
          <w:sz w:val="16"/>
          <w:szCs w:val="16"/>
        </w:rPr>
        <w:t>Балтморя</w:t>
      </w:r>
      <w:proofErr w:type="spellEnd"/>
      <w:r w:rsidRPr="00A259BD">
        <w:rPr>
          <w:color w:val="000000" w:themeColor="text1"/>
          <w:sz w:val="16"/>
          <w:szCs w:val="16"/>
        </w:rPr>
        <w:t>, поэтому аккуратное выполнение конечных сроков готовности малых подлодок необходимо.</w:t>
      </w:r>
    </w:p>
    <w:p w14:paraId="5AC0A957" w14:textId="77777777" w:rsidR="00525942" w:rsidRPr="00A259BD" w:rsidRDefault="00525942" w:rsidP="009236E3">
      <w:pPr>
        <w:pStyle w:val="rtejustify"/>
        <w:spacing w:before="0" w:after="0"/>
        <w:rPr>
          <w:color w:val="000000" w:themeColor="text1"/>
          <w:sz w:val="16"/>
          <w:szCs w:val="16"/>
        </w:rPr>
      </w:pPr>
      <w:r w:rsidRPr="00A259BD">
        <w:rPr>
          <w:color w:val="000000" w:themeColor="text1"/>
          <w:sz w:val="16"/>
          <w:szCs w:val="16"/>
        </w:rPr>
        <w:t>Сроки заводской готовности подлодок к официальным ходовым испытаниям следующие: 1) подлодка «Ерш» — 15 октября 1931 г.; 2) подлодка «Язь» — 1 мая 1932 г.; 3) подлодка «Окунь» — 1 августа 1932 г.; 4) подлодка «Щука» — 1 сентября 1932 г.</w:t>
      </w:r>
    </w:p>
    <w:p w14:paraId="2C2D637F" w14:textId="77777777" w:rsidR="00525942" w:rsidRPr="00A259BD" w:rsidRDefault="00525942" w:rsidP="009236E3">
      <w:pPr>
        <w:pStyle w:val="rtejustify"/>
        <w:spacing w:before="0" w:after="0"/>
        <w:rPr>
          <w:color w:val="000000" w:themeColor="text1"/>
          <w:sz w:val="16"/>
          <w:szCs w:val="16"/>
        </w:rPr>
      </w:pPr>
      <w:r w:rsidRPr="00A259BD">
        <w:rPr>
          <w:color w:val="000000" w:themeColor="text1"/>
          <w:sz w:val="16"/>
          <w:szCs w:val="16"/>
        </w:rPr>
        <w:t xml:space="preserve">8. В целях подготовки развертывания постройки подлодок на случай войны внутри страны заказ на подлодку «Язь» помещен на Сормовской судоверфи </w:t>
      </w:r>
      <w:proofErr w:type="spellStart"/>
      <w:r w:rsidRPr="00A259BD">
        <w:rPr>
          <w:color w:val="000000" w:themeColor="text1"/>
          <w:sz w:val="16"/>
          <w:szCs w:val="16"/>
        </w:rPr>
        <w:t>Гомзы</w:t>
      </w:r>
      <w:proofErr w:type="spellEnd"/>
      <w:r w:rsidRPr="00A259BD">
        <w:rPr>
          <w:color w:val="000000" w:themeColor="text1"/>
          <w:sz w:val="16"/>
          <w:szCs w:val="16"/>
        </w:rPr>
        <w:t>, который не только принял заказ, но и уже командировал двух своих конструкторов для усиления проектировочного бюро подводного плавания на Балтийском заводе.</w:t>
      </w:r>
    </w:p>
    <w:p w14:paraId="644EC066" w14:textId="77777777" w:rsidR="00525942" w:rsidRPr="00A259BD" w:rsidRDefault="00525942" w:rsidP="009236E3">
      <w:pPr>
        <w:pStyle w:val="rtejustify"/>
        <w:spacing w:before="0" w:after="0"/>
        <w:rPr>
          <w:color w:val="000000" w:themeColor="text1"/>
          <w:sz w:val="16"/>
          <w:szCs w:val="16"/>
        </w:rPr>
      </w:pPr>
      <w:r w:rsidRPr="00A259BD">
        <w:rPr>
          <w:color w:val="000000" w:themeColor="text1"/>
          <w:sz w:val="16"/>
          <w:szCs w:val="16"/>
        </w:rPr>
        <w:t xml:space="preserve">Однако опытом снабжения чертежами </w:t>
      </w:r>
      <w:proofErr w:type="spellStart"/>
      <w:r w:rsidRPr="00A259BD">
        <w:rPr>
          <w:color w:val="000000" w:themeColor="text1"/>
          <w:sz w:val="16"/>
          <w:szCs w:val="16"/>
        </w:rPr>
        <w:t>Никгосзаводов</w:t>
      </w:r>
      <w:proofErr w:type="spellEnd"/>
      <w:r w:rsidRPr="00A259BD">
        <w:rPr>
          <w:color w:val="000000" w:themeColor="text1"/>
          <w:sz w:val="16"/>
          <w:szCs w:val="16"/>
        </w:rPr>
        <w:t xml:space="preserve"> констатируется крайняя и медлительность, почему РВС СССР просит Вашего распоряжения </w:t>
      </w:r>
      <w:proofErr w:type="spellStart"/>
      <w:r w:rsidRPr="00A259BD">
        <w:rPr>
          <w:color w:val="000000" w:themeColor="text1"/>
          <w:sz w:val="16"/>
          <w:szCs w:val="16"/>
        </w:rPr>
        <w:t>Главмашинострою</w:t>
      </w:r>
      <w:proofErr w:type="spellEnd"/>
      <w:r w:rsidRPr="00A259BD">
        <w:rPr>
          <w:color w:val="000000" w:themeColor="text1"/>
          <w:sz w:val="16"/>
          <w:szCs w:val="16"/>
        </w:rPr>
        <w:t xml:space="preserve"> наладить дело с бесперебойным снабжением чертежами завода «Сормово».</w:t>
      </w:r>
    </w:p>
    <w:p w14:paraId="3C37EAE9" w14:textId="77777777" w:rsidR="00525942" w:rsidRPr="00A259BD" w:rsidRDefault="00525942" w:rsidP="009236E3">
      <w:pPr>
        <w:pStyle w:val="rtejustify"/>
        <w:spacing w:before="0" w:after="0"/>
        <w:rPr>
          <w:color w:val="000000" w:themeColor="text1"/>
          <w:sz w:val="16"/>
          <w:szCs w:val="16"/>
        </w:rPr>
      </w:pPr>
      <w:r w:rsidRPr="00A259BD">
        <w:rPr>
          <w:color w:val="000000" w:themeColor="text1"/>
          <w:sz w:val="16"/>
          <w:szCs w:val="16"/>
        </w:rPr>
        <w:t>Сообщая о вышеизложенном, РВС СССР просит Вас не допустить, чтобы дело обеспечения морской обороны СССР постройкой подлодок вместо интенсификации давало практически потухающую кривую.</w:t>
      </w:r>
    </w:p>
    <w:p w14:paraId="483BCF06" w14:textId="77777777" w:rsidR="00525942" w:rsidRPr="00A259BD" w:rsidRDefault="00525942"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Зам. </w:t>
      </w:r>
      <w:proofErr w:type="spellStart"/>
      <w:r w:rsidRPr="00A259BD">
        <w:rPr>
          <w:rStyle w:val="af0"/>
          <w:i w:val="0"/>
          <w:color w:val="000000" w:themeColor="text1"/>
          <w:sz w:val="16"/>
          <w:szCs w:val="16"/>
        </w:rPr>
        <w:t>предреввоенсовета</w:t>
      </w:r>
      <w:proofErr w:type="spellEnd"/>
      <w:r w:rsidRPr="00A259BD">
        <w:rPr>
          <w:rStyle w:val="af0"/>
          <w:i w:val="0"/>
          <w:color w:val="000000" w:themeColor="text1"/>
          <w:sz w:val="16"/>
          <w:szCs w:val="16"/>
        </w:rPr>
        <w:t xml:space="preserve"> СССР </w:t>
      </w:r>
      <w:hyperlink r:id="rId255" w:history="1">
        <w:r w:rsidRPr="00A259BD">
          <w:rPr>
            <w:rStyle w:val="af0"/>
            <w:i w:val="0"/>
            <w:color w:val="000000" w:themeColor="text1"/>
            <w:sz w:val="16"/>
            <w:szCs w:val="16"/>
          </w:rPr>
          <w:t>Каменев</w:t>
        </w:r>
      </w:hyperlink>
    </w:p>
    <w:p w14:paraId="398205FA" w14:textId="77777777" w:rsidR="00525942" w:rsidRPr="00A259BD" w:rsidRDefault="00525942" w:rsidP="009236E3">
      <w:pPr>
        <w:pStyle w:val="ae"/>
        <w:spacing w:before="0" w:after="0"/>
        <w:jc w:val="both"/>
        <w:rPr>
          <w:color w:val="000000" w:themeColor="text1"/>
          <w:sz w:val="16"/>
          <w:szCs w:val="16"/>
        </w:rPr>
      </w:pPr>
      <w:r w:rsidRPr="00A259BD">
        <w:rPr>
          <w:color w:val="000000" w:themeColor="text1"/>
          <w:sz w:val="16"/>
          <w:szCs w:val="16"/>
        </w:rPr>
        <w:t>РГАВМФ. Ф. р-360. Оп. 2. Д. 690. Л. 96—96 об. Копия.</w:t>
      </w:r>
    </w:p>
    <w:p w14:paraId="4C2C17C5" w14:textId="77777777" w:rsidR="00525942" w:rsidRPr="00A259BD" w:rsidRDefault="005259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РГАВМФ. Ф. р-360. Оп. 2. Д. 690. Л. 96—96 об. Копия. </w:t>
      </w:r>
    </w:p>
    <w:p w14:paraId="5298B323" w14:textId="77777777" w:rsidR="00525942" w:rsidRPr="00A259BD" w:rsidRDefault="005259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377-378 (12473).</w:t>
      </w:r>
    </w:p>
    <w:p w14:paraId="471D25FF" w14:textId="77777777" w:rsidR="00525942" w:rsidRPr="00A259BD" w:rsidRDefault="00525942" w:rsidP="009236E3">
      <w:pPr>
        <w:spacing w:after="0" w:line="240" w:lineRule="auto"/>
        <w:jc w:val="both"/>
        <w:rPr>
          <w:rFonts w:ascii="Times New Roman" w:hAnsi="Times New Roman"/>
          <w:color w:val="000000" w:themeColor="text1"/>
          <w:sz w:val="16"/>
          <w:szCs w:val="16"/>
        </w:rPr>
      </w:pPr>
    </w:p>
    <w:p w14:paraId="44479123"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ноября 1929</w:t>
      </w:r>
    </w:p>
    <w:p w14:paraId="0897BBF7"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Показания С. А. Хренникова от 3/ХI-1929 года</w:t>
      </w:r>
    </w:p>
    <w:p w14:paraId="4012BAD0"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9958D5D"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Какова роль в организации была МИЛЮКОВА?</w:t>
      </w:r>
    </w:p>
    <w:p w14:paraId="695CED6B"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ОТВЕТ: Вначале он старался проводить в концессию Подольский завод, принадлежащий ранее ЗИНГЕРУ, у которого он служил. Умышленно затягивался переход этого завода на его коренное производство швейных машин. Зачем же, с [19]24 года, он занимался финансовыми вопросами и с согласия его проводились все неправильно составленные сметы. Его роль в организации была пассивная.</w:t>
      </w:r>
    </w:p>
    <w:p w14:paraId="2D0D0A66"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Какова роль в организации БЕЛОНОЖКИНА?</w:t>
      </w:r>
    </w:p>
    <w:p w14:paraId="6854AD70"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ОТВЕТ: Он играл ту же роль, что и я, но в Ленинграде, являясь представителем интересов бывших владельцев, желающих получить свои предприятия в концессию. Из разговоров с БЕЛОНОЖКИНЫМ о нашей промышленности я убеждался постоянно в том, что БЕЛОНОЖКИН вполне разделял мои взгляды о к-p организации, считая необходимым, путем задержки развития советской промышленности, способствовать вынуждению Соввласти прибегнуть к помощи иностранного капитала. О директивах, получаемых мною из заграницы, я ему рассказывал, но он имел самостоятельную связь с представителями бывших владельцев. В этом я убедился при разговорах с БЕЛОНОЖКИНЫМ. От кого получал директивы, БЕЛОНОЖКИН не называл, но можно было понять, что свидание было со старыми хозяевами, в том числе МЕЩЕРСКИМ. По крайней мере, после приезда своего из заграницы в [19]25 году, БЕЛОНОЖКИН, встретившись со мной, сказал: «Виделся со всеми, все кланялись». Под всеми надо понимать наших общих знакомых, старых владельцев, как, </w:t>
      </w:r>
      <w:proofErr w:type="spellStart"/>
      <w:r w:rsidRPr="00A259BD">
        <w:rPr>
          <w:rFonts w:ascii="Times New Roman" w:hAnsi="Times New Roman"/>
          <w:color w:val="000000" w:themeColor="text1"/>
          <w:sz w:val="16"/>
          <w:szCs w:val="16"/>
        </w:rPr>
        <w:t>напр</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имер</w:t>
      </w:r>
      <w:proofErr w:type="spellEnd"/>
      <w:r w:rsidRPr="00A259BD">
        <w:rPr>
          <w:rFonts w:ascii="Times New Roman" w:hAnsi="Times New Roman"/>
          <w:color w:val="000000" w:themeColor="text1"/>
          <w:sz w:val="16"/>
          <w:szCs w:val="16"/>
        </w:rPr>
        <w:t>], МЕЩЕРСКИЙ, ГЛАСС.</w:t>
      </w:r>
    </w:p>
    <w:p w14:paraId="138E9F58"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Каким образом и от кого Вы получали вредительские директивы в [19]24-25 годах?</w:t>
      </w:r>
    </w:p>
    <w:p w14:paraId="6183BDE5"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ОТВЕТ: Кроме разговора со ЖДАНОВЫМ о получении директив от ЖИВОТОВСКОГО, при свидании, я непосредственно получал от ГЛАССА через английскую миссию в Москве письма. Помню, в первом письме он прислал конъюнктуру СССР для того, чтобы я проверил. Эту конъюнктуру, вернее, письмо мне принес КОТОМИН и сказал: «Вот Вам письмо из миссии, полученное из Англии». Это было у меня на квартире. Конъюнктура, насколько я помню, рисовала положение советского хозяйства в отрицательном для Соввласти духе. В конце, помню, было сказано, что конъюнктура ухудшилась. Я посмотрел эту конъюнктуру, и в ней был ряд цифр, касающихся нашего хозяйства, относящихся не только к металлопромышленности. Я написал письмо ГЛАССУ, в котором сообщил, что от поверки конъюнктуры я отказываюсь и, между прочим, в письме сообщил ГЛАССУ, что с концессиями тянуть нельзя, так как положение складывается в пользу развития промышленности собственными средствами и чтобы они спешили ставить вопрос о концессиях. Письмо было направлено через миссию в адрес Гласса в Лондон, насколько помню, …………… Адрес этот был, но я его давно уничтожил, еще в 1928 году. Вскоре после этого, примерно в начале 1925 года, я получил письмо от ГЛАССА, через английскую миссию. Это письмо мне доставил на дом служащий миссии, фамилию не знаю. В этом письме было сказано, что надо нажимать и нам на правительство, чтобы его принудить к сдаче концессий; там же указывалось, как надо проводить вредительство, а именно: путем излишних затрат приводить правительство к финансовому ухудшению, не давать развития полного производства на заводах и т. п. О получении писем от ГЛАССА через миссию я говорил своим единомышленникам, членам организации — но кому, не помню.</w:t>
      </w:r>
    </w:p>
    <w:p w14:paraId="1618EC9C"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Не помните ли Вы других случаев получения писем или посылки их через английскую миссию и другие миссии?</w:t>
      </w:r>
    </w:p>
    <w:p w14:paraId="5539DE29"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ОТВЕТ: Писем больше через миссии не получал и не отправлял. Что касается вообще моих взаимоотношений с английской миссией, то показываю следующее: еще в [19]21 году, когда здесь был ГЛАСС, он просил, нельзя ли через меня посылать посылки в Нижний Новгород от английского представителя в Москве ХОТЧСОНА его родственнице БЕЛАВИНОЙ. Я на это дал согласие и [в]последствии несколько раз приносили из миссии ко мне на квартиру разные посылки, содержащие разные вещи, как-то: платье, белье, шоколад и т. п. Приносили эти посылки из миссии разные лица, например, один раз КОТОМИН, а затем посыльные из миссии. Посылки эти в Н. Новгород отвозил, главным образом, МАЛАХОВСКИЙ и, возможно, инженер АППАК и там сообщали БЕЛАВИНОЙ по телефону, она и приезжала за посылками. В 1924 году я был приглашен своей знакомой В. С. СТЕЛЬНИЦКОЙ к ней на квартиру, в гости. Там я застал одного из секретарей миссии, фамилию не </w:t>
      </w:r>
      <w:r w:rsidRPr="00A259BD">
        <w:rPr>
          <w:rFonts w:ascii="Times New Roman" w:hAnsi="Times New Roman"/>
          <w:color w:val="000000" w:themeColor="text1"/>
          <w:sz w:val="16"/>
          <w:szCs w:val="16"/>
        </w:rPr>
        <w:lastRenderedPageBreak/>
        <w:t xml:space="preserve">помню, но помню, что он бывш. </w:t>
      </w:r>
      <w:proofErr w:type="spellStart"/>
      <w:r w:rsidRPr="00A259BD">
        <w:rPr>
          <w:rFonts w:ascii="Times New Roman" w:hAnsi="Times New Roman"/>
          <w:color w:val="000000" w:themeColor="text1"/>
          <w:sz w:val="16"/>
          <w:szCs w:val="16"/>
        </w:rPr>
        <w:t>берейто</w:t>
      </w:r>
      <w:proofErr w:type="spellEnd"/>
      <w:r w:rsidRPr="00A259BD">
        <w:rPr>
          <w:rFonts w:ascii="Times New Roman" w:hAnsi="Times New Roman"/>
          <w:color w:val="000000" w:themeColor="text1"/>
          <w:sz w:val="16"/>
          <w:szCs w:val="16"/>
        </w:rPr>
        <w:t>[р] или кучер в Детском селе царских конюшен. Через него я ничего не получал и не посылал, и сведений не давал, но при уходе, уже на улице, при прощании, помню, он мне предложил, в случае необходимости, посылать через него заграницу, что нужно. Я его поблагодарил.</w:t>
      </w:r>
    </w:p>
    <w:p w14:paraId="280C9B4B"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Когда и какие миссии Вами посещались?</w:t>
      </w:r>
    </w:p>
    <w:p w14:paraId="06AE6245"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ОТВЕТ: В 1923 году я был приглашен ГЛАССОМ, который жил в это время в миссии, к нему на обед. Оказалось, что там я встретился с их английским представителем ХОТЧСОНОМ и с ним познакомился так же, как с другими служащими посольства. При разговоре с ХОТЧСОНОМ, он меня благодарил за то, что я передавал его посылки свояченице. Кроме того, он меня спрашивал, где я служу, какие заводы входят в ГОМЗЫ. Я объяснил ему на его вопросы, что такое ГОМЗЫ, пояснив, что туда входят </w:t>
      </w:r>
      <w:proofErr w:type="spellStart"/>
      <w:r w:rsidRPr="00A259BD">
        <w:rPr>
          <w:rFonts w:ascii="Times New Roman" w:hAnsi="Times New Roman"/>
          <w:color w:val="000000" w:themeColor="text1"/>
          <w:sz w:val="16"/>
          <w:szCs w:val="16"/>
        </w:rPr>
        <w:t>паровозо</w:t>
      </w:r>
      <w:proofErr w:type="spellEnd"/>
      <w:r w:rsidRPr="00A259BD">
        <w:rPr>
          <w:rFonts w:ascii="Times New Roman" w:hAnsi="Times New Roman"/>
          <w:color w:val="000000" w:themeColor="text1"/>
          <w:sz w:val="16"/>
          <w:szCs w:val="16"/>
        </w:rPr>
        <w:t>- и вагоностроительные заводы главным образом. Спросил, давно ли я знаком с ГЛАССОМ, выразил удовольствие, что ГЛАСС, который намеревается иметь большие дела в СССР, имеет здесь старых знакомых. В конце 1925 года я был в германской миссии, так как мне сообщили, что для получения визы надо явиться лично в посольство к советнику посольства. Я был там у знакомого мне раньше советника ГИЛЬГЕРА, который жил раньше в Москве, будучи зятем владельца завода арматуры ГЕККЕНТАЛЯ. Он меня узнал. Я его спросил, как живет его тесть, а затем он меня спросил, для чего я еду в Германию. Я ему объяснил, что цель моей поездки — закупка машин для наших заводов. После этого он дал мне распоряжение о выдаче визы. Еще случаев посещения иностранных миссий с моей стороны не было.</w:t>
      </w:r>
    </w:p>
    <w:p w14:paraId="6AFC9242"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Записано собственноручно. С. Хренников.</w:t>
      </w:r>
    </w:p>
    <w:p w14:paraId="7683D9B8" w14:textId="77777777" w:rsidR="00114349" w:rsidRPr="00A259BD" w:rsidRDefault="0011434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3/XI-29 г. (18340).</w:t>
      </w:r>
    </w:p>
    <w:p w14:paraId="3B446FD7" w14:textId="77777777" w:rsidR="00114349" w:rsidRPr="00A259BD" w:rsidRDefault="00114349" w:rsidP="009236E3">
      <w:pPr>
        <w:spacing w:after="0" w:line="240" w:lineRule="auto"/>
        <w:jc w:val="both"/>
        <w:rPr>
          <w:rFonts w:ascii="Times New Roman" w:hAnsi="Times New Roman"/>
          <w:color w:val="000000" w:themeColor="text1"/>
          <w:sz w:val="16"/>
          <w:szCs w:val="16"/>
        </w:rPr>
      </w:pPr>
    </w:p>
    <w:p w14:paraId="4B8358A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08ECFEC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F7A2D1" w14:textId="77777777" w:rsidR="00566015" w:rsidRPr="00A259BD" w:rsidRDefault="00566015" w:rsidP="009236E3">
      <w:pPr>
        <w:pStyle w:val="a3"/>
        <w:rPr>
          <w:color w:val="000000" w:themeColor="text1"/>
          <w:lang w:val="ru-RU"/>
        </w:rPr>
      </w:pPr>
      <w:r w:rsidRPr="00A259BD">
        <w:rPr>
          <w:color w:val="000000" w:themeColor="text1"/>
          <w:lang w:val="ru-RU"/>
        </w:rPr>
        <w:t xml:space="preserve">3 ноября 1929 пять самолётов из 2-го авиаотряда (группой командовал Цзян </w:t>
      </w:r>
      <w:proofErr w:type="spellStart"/>
      <w:r w:rsidRPr="00A259BD">
        <w:rPr>
          <w:color w:val="000000" w:themeColor="text1"/>
          <w:lang w:val="ru-RU"/>
        </w:rPr>
        <w:t>Синчэн</w:t>
      </w:r>
      <w:proofErr w:type="spellEnd"/>
      <w:r w:rsidRPr="00A259BD">
        <w:rPr>
          <w:color w:val="000000" w:themeColor="text1"/>
          <w:lang w:val="ru-RU"/>
        </w:rPr>
        <w:t>) пе</w:t>
      </w:r>
      <w:r w:rsidRPr="00A259BD">
        <w:rPr>
          <w:color w:val="000000" w:themeColor="text1"/>
          <w:lang w:val="ru-RU"/>
        </w:rPr>
        <w:softHyphen/>
        <w:t xml:space="preserve">ребазировали в </w:t>
      </w:r>
      <w:proofErr w:type="spellStart"/>
      <w:r w:rsidRPr="00A259BD">
        <w:rPr>
          <w:color w:val="000000" w:themeColor="text1"/>
          <w:lang w:val="ru-RU"/>
        </w:rPr>
        <w:t>Илань</w:t>
      </w:r>
      <w:proofErr w:type="spellEnd"/>
      <w:r w:rsidRPr="00A259BD">
        <w:rPr>
          <w:color w:val="000000" w:themeColor="text1"/>
          <w:lang w:val="ru-RU"/>
        </w:rPr>
        <w:t xml:space="preserve"> в подчинение Восточной армии. В эти же дни еще один самолёт (тип неизвестен, китайцы называли его «</w:t>
      </w:r>
      <w:proofErr w:type="spellStart"/>
      <w:r w:rsidRPr="00A259BD">
        <w:rPr>
          <w:color w:val="000000" w:themeColor="text1"/>
          <w:lang w:val="ru-RU"/>
        </w:rPr>
        <w:t>Цзифэнхао</w:t>
      </w:r>
      <w:proofErr w:type="spellEnd"/>
      <w:r w:rsidRPr="00A259BD">
        <w:rPr>
          <w:color w:val="000000" w:themeColor="text1"/>
          <w:lang w:val="ru-RU"/>
        </w:rPr>
        <w:t>», т.е. «резкий, сильный ветер») раз</w:t>
      </w:r>
      <w:r w:rsidRPr="00A259BD">
        <w:rPr>
          <w:color w:val="000000" w:themeColor="text1"/>
          <w:lang w:val="ru-RU"/>
        </w:rPr>
        <w:softHyphen/>
        <w:t xml:space="preserve">брасывал над </w:t>
      </w:r>
      <w:proofErr w:type="spellStart"/>
      <w:r w:rsidRPr="00A259BD">
        <w:rPr>
          <w:color w:val="000000" w:themeColor="text1"/>
          <w:lang w:val="ru-RU"/>
        </w:rPr>
        <w:t>Цицикаром</w:t>
      </w:r>
      <w:proofErr w:type="spellEnd"/>
      <w:r w:rsidRPr="00A259BD">
        <w:rPr>
          <w:color w:val="000000" w:themeColor="text1"/>
          <w:lang w:val="ru-RU"/>
        </w:rPr>
        <w:t xml:space="preserve"> антисоветские листовки.</w:t>
      </w:r>
    </w:p>
    <w:p w14:paraId="652DE312" w14:textId="77777777" w:rsidR="00566015" w:rsidRPr="00A259BD" w:rsidRDefault="00566015" w:rsidP="009236E3">
      <w:pPr>
        <w:pStyle w:val="a3"/>
        <w:rPr>
          <w:color w:val="000000" w:themeColor="text1"/>
          <w:lang w:val="ru-RU"/>
        </w:rPr>
      </w:pPr>
      <w:r w:rsidRPr="00A259BD">
        <w:rPr>
          <w:color w:val="000000" w:themeColor="text1"/>
          <w:lang w:val="ru-RU"/>
        </w:rPr>
        <w:t xml:space="preserve">Историк из КНР Ма </w:t>
      </w:r>
      <w:proofErr w:type="spellStart"/>
      <w:r w:rsidRPr="00A259BD">
        <w:rPr>
          <w:color w:val="000000" w:themeColor="text1"/>
          <w:lang w:val="ru-RU"/>
        </w:rPr>
        <w:t>Юйфу</w:t>
      </w:r>
      <w:proofErr w:type="spellEnd"/>
      <w:r w:rsidRPr="00A259BD">
        <w:rPr>
          <w:color w:val="000000" w:themeColor="text1"/>
          <w:lang w:val="ru-RU"/>
        </w:rPr>
        <w:t xml:space="preserve"> подтверждает, что авиация Чжан </w:t>
      </w:r>
      <w:proofErr w:type="spellStart"/>
      <w:r w:rsidRPr="00A259BD">
        <w:rPr>
          <w:color w:val="000000" w:themeColor="text1"/>
          <w:lang w:val="ru-RU"/>
        </w:rPr>
        <w:t>Сюэляна</w:t>
      </w:r>
      <w:proofErr w:type="spellEnd"/>
      <w:r w:rsidRPr="00A259BD">
        <w:rPr>
          <w:color w:val="000000" w:themeColor="text1"/>
          <w:lang w:val="ru-RU"/>
        </w:rPr>
        <w:t xml:space="preserve"> практически не выполняла боевых вылетов из-за «очень холодной погоды». Самолёты не могли летать якобы «из-за </w:t>
      </w:r>
      <w:proofErr w:type="spellStart"/>
      <w:r w:rsidRPr="00A259BD">
        <w:rPr>
          <w:color w:val="000000" w:themeColor="text1"/>
          <w:lang w:val="ru-RU"/>
        </w:rPr>
        <w:t>обледения</w:t>
      </w:r>
      <w:proofErr w:type="spellEnd"/>
      <w:r w:rsidRPr="00A259BD">
        <w:rPr>
          <w:color w:val="000000" w:themeColor="text1"/>
          <w:lang w:val="ru-RU"/>
        </w:rPr>
        <w:t>», их приходилось прятать в утеплённых землянках и выводить на аэродром лишь после длительного прогрева моторов — «из-за очень холодных дней» полётов фактически не было.</w:t>
      </w:r>
    </w:p>
    <w:p w14:paraId="2C6D1DC1" w14:textId="77777777" w:rsidR="00566015" w:rsidRPr="00A259BD" w:rsidRDefault="00566015" w:rsidP="009236E3">
      <w:pPr>
        <w:pStyle w:val="a3"/>
        <w:rPr>
          <w:color w:val="000000" w:themeColor="text1"/>
          <w:lang w:val="ru-RU"/>
        </w:rPr>
      </w:pPr>
      <w:r w:rsidRPr="00A259BD">
        <w:rPr>
          <w:color w:val="000000" w:themeColor="text1"/>
          <w:lang w:val="ru-RU"/>
        </w:rPr>
        <w:t>В отличие от китайской, советская авиация в ноябре в «очень холодную погоду» про</w:t>
      </w:r>
      <w:r w:rsidRPr="00A259BD">
        <w:rPr>
          <w:color w:val="000000" w:themeColor="text1"/>
          <w:lang w:val="ru-RU"/>
        </w:rPr>
        <w:softHyphen/>
        <w:t>должала «в одиночку» действовать только против наземных войск противника (15820).</w:t>
      </w:r>
    </w:p>
    <w:p w14:paraId="711B4462" w14:textId="77777777" w:rsidR="00566015" w:rsidRPr="00A259BD" w:rsidRDefault="00566015" w:rsidP="009236E3">
      <w:pPr>
        <w:pStyle w:val="a3"/>
        <w:rPr>
          <w:color w:val="000000" w:themeColor="text1"/>
          <w:lang w:val="ru-RU"/>
        </w:rPr>
      </w:pPr>
    </w:p>
    <w:p w14:paraId="3E1B6A8C" w14:textId="77777777" w:rsidR="00114349" w:rsidRPr="00A259BD" w:rsidRDefault="00114349"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ноября 1929 года образуется Управление Механизации и Моторизации (УММ), таким образом, танковые войска выделяются в независимую структуру (19634).</w:t>
      </w:r>
    </w:p>
    <w:p w14:paraId="3CD35BF2" w14:textId="77777777" w:rsidR="00114349" w:rsidRPr="00A259BD" w:rsidRDefault="00114349" w:rsidP="009236E3">
      <w:pPr>
        <w:shd w:val="clear" w:color="auto" w:fill="FFFFFF"/>
        <w:spacing w:after="0" w:line="240" w:lineRule="auto"/>
        <w:jc w:val="both"/>
        <w:rPr>
          <w:rFonts w:ascii="Times New Roman" w:hAnsi="Times New Roman"/>
          <w:color w:val="000000" w:themeColor="text1"/>
          <w:sz w:val="16"/>
          <w:szCs w:val="16"/>
        </w:rPr>
      </w:pPr>
    </w:p>
    <w:p w14:paraId="137B19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ноября 1929 г. соответствия с постановлением РВС СССР было создано Управление по механизации и моторизации РККА. В его состав вошли автомобильный отдел и автомобильная секция Научно-технического комитета Военно-технического управления, отдел технической тяги и броневая секция Научно-технического комитета Артиллерийского управления, инспекция бронетанковых сил. Начальник управления являлся одновременно начальником механизированных войск РККА и подчинялся непосредственно наркому по военным и морским делам СССР (приказ РВС СССР No.615 от 18 ноября 1929 г.)</w:t>
      </w:r>
    </w:p>
    <w:p w14:paraId="7493BA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положению, объявленному приказом РВС СССР No.367/82 от 22 ноября 1929 г., на Управление, как на центральный орган, возлагалось руководство формированием, боевой и технической подготовкой, обучением, службой, специальным снабжением механизированных войск, моторизацией частей и транспорта РККА. Приказом РВС СССР No.045 от 13 июля 1930 г. руководство деятельностью Управления возлагалось на заместителя наркомвоенмора, одновременно являвшегося начальником вооружений РККА. Эта подчиненность Управления закреплена приказом РВС СССР No.067 от 22 ноября 1930 г.</w:t>
      </w:r>
    </w:p>
    <w:p w14:paraId="6270B3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положению об НКО СССР от 22 ноября 1934 г. переименовано в Автобронетанковое управление. Приказом НКО No.055 от 9 апреля 1936 г. Управление подчинялось Главному управлению вооружения и технического снабжения РККА, после его упразднения по приказу НКО </w:t>
      </w:r>
      <w:proofErr w:type="spellStart"/>
      <w:r w:rsidRPr="00A259BD">
        <w:rPr>
          <w:rFonts w:ascii="Times New Roman" w:hAnsi="Times New Roman"/>
          <w:color w:val="000000" w:themeColor="text1"/>
          <w:sz w:val="16"/>
          <w:szCs w:val="16"/>
        </w:rPr>
        <w:t>No.Ol</w:t>
      </w:r>
      <w:proofErr w:type="spellEnd"/>
      <w:r w:rsidRPr="00A259BD">
        <w:rPr>
          <w:rFonts w:ascii="Times New Roman" w:hAnsi="Times New Roman"/>
          <w:color w:val="000000" w:themeColor="text1"/>
          <w:sz w:val="16"/>
          <w:szCs w:val="16"/>
        </w:rPr>
        <w:t xml:space="preserve"> 14 от 26 июля 1937 г. - наркому обороны, приказом НКО No.0156 от 11 октября 1939 г. - вновь образованному Управлению военно-технического снабжения Красной Армии.</w:t>
      </w:r>
    </w:p>
    <w:p w14:paraId="189AFF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НКО No.0128 от 26 июня 1940 г. реорганизовано в Главное автобронетанковое управление Красной Армии с непосредственным подчинением наркому обороны.</w:t>
      </w:r>
    </w:p>
    <w:p w14:paraId="0D54B7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НКО No.0195 от 24 августа 1940 г. в подчинение ГАБТУ передавались Военная академия механизации и моторизации, бронетанковые и автомобильные училища, курсы усовершенствования (11226).</w:t>
      </w:r>
    </w:p>
    <w:p w14:paraId="06204E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6970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ноября 1929 г.</w:t>
      </w:r>
    </w:p>
    <w:p w14:paraId="07FED7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ПРОТОКОЛ №35 ЗАСЕДАНИЯ РЕВОЛЮЦИОННОГО ВОЕННОГО СОВЕТА СОЮЗА ССР</w:t>
      </w:r>
    </w:p>
    <w:p w14:paraId="56A1612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Москва</w:t>
      </w:r>
    </w:p>
    <w:p w14:paraId="081999F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ПОВЕСТКА №35 ЗАСЕДАНИЯ РВС СССР</w:t>
      </w:r>
    </w:p>
    <w:p w14:paraId="59358A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 мероприятиях по бронетанковому делу в РККА. Докладчик т. Калиновский</w:t>
      </w:r>
    </w:p>
    <w:p w14:paraId="760699E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О задачах промышленности по проектируемому автостроению. Докладчик т. </w:t>
      </w:r>
      <w:proofErr w:type="spellStart"/>
      <w:r w:rsidRPr="00A259BD">
        <w:rPr>
          <w:rFonts w:ascii="Times New Roman" w:hAnsi="Times New Roman"/>
          <w:color w:val="000000" w:themeColor="text1"/>
          <w:sz w:val="16"/>
          <w:szCs w:val="16"/>
        </w:rPr>
        <w:t>Халепский</w:t>
      </w:r>
      <w:proofErr w:type="spellEnd"/>
    </w:p>
    <w:p w14:paraId="764C655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6BD90D8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ПРОТОКОЛ № 35 ЗАСЕДАНИЯ РВС СССР</w:t>
      </w:r>
    </w:p>
    <w:p w14:paraId="00E8DA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Присутствуют: товарищи Ворошилов, </w:t>
      </w:r>
      <w:proofErr w:type="spellStart"/>
      <w:r w:rsidRPr="00A259BD">
        <w:rPr>
          <w:rFonts w:ascii="Times New Roman" w:hAnsi="Times New Roman"/>
          <w:color w:val="000000" w:themeColor="text1"/>
          <w:sz w:val="16"/>
          <w:szCs w:val="16"/>
        </w:rPr>
        <w:t>Уншлихт</w:t>
      </w:r>
      <w:proofErr w:type="spellEnd"/>
      <w:r w:rsidRPr="00A259BD">
        <w:rPr>
          <w:rFonts w:ascii="Times New Roman" w:hAnsi="Times New Roman"/>
          <w:color w:val="000000" w:themeColor="text1"/>
          <w:sz w:val="16"/>
          <w:szCs w:val="16"/>
        </w:rPr>
        <w:t xml:space="preserve">, Каменев, Баранов, </w:t>
      </w:r>
      <w:proofErr w:type="spellStart"/>
      <w:r w:rsidRPr="00A259BD">
        <w:rPr>
          <w:rFonts w:ascii="Times New Roman" w:hAnsi="Times New Roman"/>
          <w:color w:val="000000" w:themeColor="text1"/>
          <w:sz w:val="16"/>
          <w:szCs w:val="16"/>
        </w:rPr>
        <w:t>Муклевич</w:t>
      </w:r>
      <w:proofErr w:type="spellEnd"/>
      <w:r w:rsidRPr="00A259BD">
        <w:rPr>
          <w:rFonts w:ascii="Times New Roman" w:hAnsi="Times New Roman"/>
          <w:color w:val="000000" w:themeColor="text1"/>
          <w:sz w:val="16"/>
          <w:szCs w:val="16"/>
        </w:rPr>
        <w:t>, Буденный, Постников.</w:t>
      </w:r>
    </w:p>
    <w:p w14:paraId="000693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Приглашены: товарищи </w:t>
      </w:r>
      <w:proofErr w:type="spellStart"/>
      <w:r w:rsidRPr="00A259BD">
        <w:rPr>
          <w:rFonts w:ascii="Times New Roman" w:hAnsi="Times New Roman"/>
          <w:color w:val="000000" w:themeColor="text1"/>
          <w:sz w:val="16"/>
          <w:szCs w:val="16"/>
        </w:rPr>
        <w:t>Триандофилов</w:t>
      </w:r>
      <w:proofErr w:type="spellEnd"/>
      <w:r w:rsidRPr="00A259BD">
        <w:rPr>
          <w:rFonts w:ascii="Times New Roman" w:hAnsi="Times New Roman"/>
          <w:color w:val="000000" w:themeColor="text1"/>
          <w:sz w:val="16"/>
          <w:szCs w:val="16"/>
        </w:rPr>
        <w:t xml:space="preserve">, Левандовский, </w:t>
      </w:r>
      <w:proofErr w:type="spellStart"/>
      <w:r w:rsidRPr="00A259BD">
        <w:rPr>
          <w:rFonts w:ascii="Times New Roman" w:hAnsi="Times New Roman"/>
          <w:color w:val="000000" w:themeColor="text1"/>
          <w:sz w:val="16"/>
          <w:szCs w:val="16"/>
        </w:rPr>
        <w:t>Павлуновский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Гарф</w:t>
      </w:r>
      <w:proofErr w:type="spellEnd"/>
      <w:r w:rsidRPr="00A259BD">
        <w:rPr>
          <w:rFonts w:ascii="Times New Roman" w:hAnsi="Times New Roman"/>
          <w:color w:val="000000" w:themeColor="text1"/>
          <w:sz w:val="16"/>
          <w:szCs w:val="16"/>
        </w:rPr>
        <w:t>, Уборевич, Оль-</w:t>
      </w:r>
      <w:proofErr w:type="spellStart"/>
      <w:r w:rsidRPr="00A259BD">
        <w:rPr>
          <w:rFonts w:ascii="Times New Roman" w:hAnsi="Times New Roman"/>
          <w:color w:val="000000" w:themeColor="text1"/>
          <w:sz w:val="16"/>
          <w:szCs w:val="16"/>
        </w:rPr>
        <w:t>ский</w:t>
      </w:r>
      <w:proofErr w:type="spellEnd"/>
      <w:r w:rsidRPr="00A259BD">
        <w:rPr>
          <w:rFonts w:ascii="Times New Roman" w:hAnsi="Times New Roman"/>
          <w:color w:val="000000" w:themeColor="text1"/>
          <w:sz w:val="16"/>
          <w:szCs w:val="16"/>
        </w:rPr>
        <w:t xml:space="preserve">, Ефимов, Калиновский, Урываев, Кулик, Янсон,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Иванов, </w:t>
      </w:r>
      <w:proofErr w:type="spellStart"/>
      <w:r w:rsidRPr="00A259BD">
        <w:rPr>
          <w:rFonts w:ascii="Times New Roman" w:hAnsi="Times New Roman"/>
          <w:color w:val="000000" w:themeColor="text1"/>
          <w:sz w:val="16"/>
          <w:szCs w:val="16"/>
        </w:rPr>
        <w:t>Напернов</w:t>
      </w:r>
      <w:proofErr w:type="spellEnd"/>
      <w:r w:rsidRPr="00A259BD">
        <w:rPr>
          <w:rFonts w:ascii="Times New Roman" w:hAnsi="Times New Roman"/>
          <w:color w:val="000000" w:themeColor="text1"/>
          <w:sz w:val="16"/>
          <w:szCs w:val="16"/>
        </w:rPr>
        <w:t>, Лукин, Нау</w:t>
      </w:r>
      <w:r w:rsidRPr="00A259BD">
        <w:rPr>
          <w:rFonts w:ascii="Times New Roman" w:hAnsi="Times New Roman"/>
          <w:color w:val="000000" w:themeColor="text1"/>
          <w:sz w:val="16"/>
          <w:szCs w:val="16"/>
        </w:rPr>
        <w:softHyphen/>
        <w:t xml:space="preserve">мов, Никольский, Тихомиров, </w:t>
      </w:r>
      <w:proofErr w:type="spellStart"/>
      <w:r w:rsidRPr="00A259BD">
        <w:rPr>
          <w:rFonts w:ascii="Times New Roman" w:hAnsi="Times New Roman"/>
          <w:color w:val="000000" w:themeColor="text1"/>
          <w:sz w:val="16"/>
          <w:szCs w:val="16"/>
        </w:rPr>
        <w:t>Булин</w:t>
      </w:r>
      <w:proofErr w:type="spellEnd"/>
      <w:r w:rsidRPr="00A259BD">
        <w:rPr>
          <w:rFonts w:ascii="Times New Roman" w:hAnsi="Times New Roman"/>
          <w:color w:val="000000" w:themeColor="text1"/>
          <w:sz w:val="16"/>
          <w:szCs w:val="16"/>
        </w:rPr>
        <w:t>, Ульрих, Ланда, Римский-Корсаков, Харламов.</w:t>
      </w:r>
    </w:p>
    <w:p w14:paraId="175AC3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Слушали - постановили:</w:t>
      </w:r>
    </w:p>
    <w:p w14:paraId="1001A7A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2A89C23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 мероприятиях по бронетанковому делу РККА. Докладчик т. Калиновский.</w:t>
      </w:r>
    </w:p>
    <w:p w14:paraId="01ECE57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прениях выступили: тт. Янсон, Кулик, Ефимов, Баранов Н.И., </w:t>
      </w:r>
      <w:proofErr w:type="spellStart"/>
      <w:r w:rsidRPr="00A259BD">
        <w:rPr>
          <w:rFonts w:ascii="Times New Roman" w:hAnsi="Times New Roman"/>
          <w:color w:val="000000" w:themeColor="text1"/>
          <w:sz w:val="16"/>
          <w:szCs w:val="16"/>
        </w:rPr>
        <w:t>Гарф</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Триандофи</w:t>
      </w:r>
      <w:r w:rsidRPr="00A259BD">
        <w:rPr>
          <w:rFonts w:ascii="Times New Roman" w:hAnsi="Times New Roman"/>
          <w:color w:val="000000" w:themeColor="text1"/>
          <w:sz w:val="16"/>
          <w:szCs w:val="16"/>
        </w:rPr>
        <w:softHyphen/>
        <w:t>лов</w:t>
      </w:r>
      <w:proofErr w:type="spellEnd"/>
      <w:r w:rsidRPr="00A259BD">
        <w:rPr>
          <w:rFonts w:ascii="Times New Roman" w:hAnsi="Times New Roman"/>
          <w:color w:val="000000" w:themeColor="text1"/>
          <w:sz w:val="16"/>
          <w:szCs w:val="16"/>
        </w:rPr>
        <w:t>, Ворошилов.</w:t>
      </w:r>
    </w:p>
    <w:p w14:paraId="782B9E9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В целях обеспечения надлежащего руководства за развертыванием намеченного по пятилет</w:t>
      </w:r>
      <w:r w:rsidRPr="00A259BD">
        <w:rPr>
          <w:rFonts w:ascii="Times New Roman" w:hAnsi="Times New Roman"/>
          <w:color w:val="000000" w:themeColor="text1"/>
          <w:sz w:val="16"/>
          <w:szCs w:val="16"/>
        </w:rPr>
        <w:softHyphen/>
        <w:t>нему плану автотракторного и бронетанкового дела в РККА, считать необходимым:</w:t>
      </w:r>
    </w:p>
    <w:p w14:paraId="3C6F95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сформировать в составе центрального аппарата НКВМ самостоятельное управление по моториза</w:t>
      </w:r>
      <w:r w:rsidRPr="00A259BD">
        <w:rPr>
          <w:rFonts w:ascii="Times New Roman" w:hAnsi="Times New Roman"/>
          <w:color w:val="000000" w:themeColor="text1"/>
          <w:sz w:val="16"/>
          <w:szCs w:val="16"/>
        </w:rPr>
        <w:softHyphen/>
        <w:t>ции и механизации РККА, с непосредственным подчинением Революционному Военному Совету СССР.</w:t>
      </w:r>
    </w:p>
    <w:p w14:paraId="1FBD57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Управлению присвоить следующие функции:</w:t>
      </w:r>
    </w:p>
    <w:p w14:paraId="3DD832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боевой подготовки автомобильных, бронетанковых, моторизованных и механизированных войск;</w:t>
      </w:r>
    </w:p>
    <w:p w14:paraId="2A2599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инспектирования всех родов войск, применяющих механическую тягу;</w:t>
      </w:r>
    </w:p>
    <w:p w14:paraId="7F73AFE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снабжения всеми видами транспорта и боевых машин на механической тяге;</w:t>
      </w:r>
    </w:p>
    <w:p w14:paraId="142FA0A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научно-технической разработки, исследования и испытания всех видов транспорта и боевых машин на механической тяге;</w:t>
      </w:r>
    </w:p>
    <w:p w14:paraId="02333D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административные.</w:t>
      </w:r>
    </w:p>
    <w:p w14:paraId="02C563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Все указанные вопросы должны быть изъяты из ведения соответствующих управлений НКВМ и переданы Управлению по моторизации и механизации РККА. Начальнику ГУ РККА в недельный срок, с персональным привлечением т. Калиновского, </w:t>
      </w:r>
      <w:proofErr w:type="spellStart"/>
      <w:r w:rsidRPr="00A259BD">
        <w:rPr>
          <w:rFonts w:ascii="Times New Roman" w:hAnsi="Times New Roman"/>
          <w:color w:val="000000" w:themeColor="text1"/>
          <w:sz w:val="16"/>
          <w:szCs w:val="16"/>
        </w:rPr>
        <w:t>Халепского</w:t>
      </w:r>
      <w:proofErr w:type="spellEnd"/>
      <w:r w:rsidRPr="00A259BD">
        <w:rPr>
          <w:rFonts w:ascii="Times New Roman" w:hAnsi="Times New Roman"/>
          <w:color w:val="000000" w:themeColor="text1"/>
          <w:sz w:val="16"/>
          <w:szCs w:val="16"/>
        </w:rPr>
        <w:t xml:space="preserve"> и Кулика разработать штаты и по</w:t>
      </w:r>
      <w:r w:rsidRPr="00A259BD">
        <w:rPr>
          <w:rFonts w:ascii="Times New Roman" w:hAnsi="Times New Roman"/>
          <w:color w:val="000000" w:themeColor="text1"/>
          <w:sz w:val="16"/>
          <w:szCs w:val="16"/>
        </w:rPr>
        <w:softHyphen/>
        <w:t>ложения о данном управлении.</w:t>
      </w:r>
    </w:p>
    <w:p w14:paraId="6995CC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Управлению немедленно приступить к практической разработке мероприятий по реализации программы строительства, на основе принятой системы автотракторного и бронетанкового воору</w:t>
      </w:r>
      <w:r w:rsidRPr="00A259BD">
        <w:rPr>
          <w:rFonts w:ascii="Times New Roman" w:hAnsi="Times New Roman"/>
          <w:color w:val="000000" w:themeColor="text1"/>
          <w:sz w:val="16"/>
          <w:szCs w:val="16"/>
        </w:rPr>
        <w:softHyphen/>
        <w:t>жения РККА, и доложить РВСС на заседании 23 ноября.</w:t>
      </w:r>
    </w:p>
    <w:p w14:paraId="32C649C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О задачах промышленности по проектируемому автостроению. Докладчик т.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w:t>
      </w:r>
    </w:p>
    <w:p w14:paraId="7C0970B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прениях выступили: тт. Ворошилов, Постников, Урываев, Каменев С. С.</w:t>
      </w:r>
    </w:p>
    <w:p w14:paraId="113729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В основном предложения т. </w:t>
      </w:r>
      <w:proofErr w:type="spellStart"/>
      <w:r w:rsidRPr="00A259BD">
        <w:rPr>
          <w:rFonts w:ascii="Times New Roman" w:hAnsi="Times New Roman"/>
          <w:color w:val="000000" w:themeColor="text1"/>
          <w:sz w:val="16"/>
          <w:szCs w:val="16"/>
        </w:rPr>
        <w:t>Халепского</w:t>
      </w:r>
      <w:proofErr w:type="spellEnd"/>
      <w:r w:rsidRPr="00A259BD">
        <w:rPr>
          <w:rFonts w:ascii="Times New Roman" w:hAnsi="Times New Roman"/>
          <w:color w:val="000000" w:themeColor="text1"/>
          <w:sz w:val="16"/>
          <w:szCs w:val="16"/>
        </w:rPr>
        <w:t xml:space="preserve"> принять. Тов. Каменеву С. С., Постникову и </w:t>
      </w:r>
      <w:proofErr w:type="spellStart"/>
      <w:r w:rsidRPr="00A259BD">
        <w:rPr>
          <w:rFonts w:ascii="Times New Roman" w:hAnsi="Times New Roman"/>
          <w:color w:val="000000" w:themeColor="text1"/>
          <w:sz w:val="16"/>
          <w:szCs w:val="16"/>
        </w:rPr>
        <w:t>Халепско-му</w:t>
      </w:r>
      <w:proofErr w:type="spellEnd"/>
      <w:r w:rsidRPr="00A259BD">
        <w:rPr>
          <w:rFonts w:ascii="Times New Roman" w:hAnsi="Times New Roman"/>
          <w:color w:val="000000" w:themeColor="text1"/>
          <w:sz w:val="16"/>
          <w:szCs w:val="16"/>
        </w:rPr>
        <w:t xml:space="preserve"> окончательно отредактировать Постановление РВС по этому вопросу, стремясь формулировать требования военного ведомства только по принципиальным вопросам, не перегружая их техническими деталями. В постановление включить также требования военного ведомства к типам намечен</w:t>
      </w:r>
      <w:r w:rsidRPr="00A259BD">
        <w:rPr>
          <w:rFonts w:ascii="Times New Roman" w:hAnsi="Times New Roman"/>
          <w:color w:val="000000" w:themeColor="text1"/>
          <w:sz w:val="16"/>
          <w:szCs w:val="16"/>
        </w:rPr>
        <w:softHyphen/>
        <w:t>ных к производству тракторов. Срок работ - семидневный.</w:t>
      </w:r>
    </w:p>
    <w:p w14:paraId="0C3567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77DC9D4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Председатель РВС СССР Ворошилов</w:t>
      </w:r>
    </w:p>
    <w:p w14:paraId="658AC39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Секретарь РВС СССР </w:t>
      </w:r>
      <w:proofErr w:type="spellStart"/>
      <w:r w:rsidRPr="00A259BD">
        <w:rPr>
          <w:rFonts w:ascii="Times New Roman" w:hAnsi="Times New Roman"/>
          <w:color w:val="000000" w:themeColor="text1"/>
          <w:sz w:val="16"/>
          <w:szCs w:val="16"/>
        </w:rPr>
        <w:t>Литуновский</w:t>
      </w:r>
      <w:proofErr w:type="spellEnd"/>
    </w:p>
    <w:p w14:paraId="177F9D5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РГВА. Ф. 4. Оп. 18. Д. 15. Л. 242 - 246. Копия (11210).</w:t>
      </w:r>
    </w:p>
    <w:p w14:paraId="15C36E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83DBB6"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2E90858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95F26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3 ноября 1929 пять самолетов из 2-го авиаотряда (группой командовал Цзян </w:t>
      </w:r>
      <w:proofErr w:type="spellStart"/>
      <w:r w:rsidRPr="00A259BD">
        <w:rPr>
          <w:rFonts w:ascii="Times New Roman" w:hAnsi="Times New Roman"/>
          <w:color w:val="000000" w:themeColor="text1"/>
          <w:sz w:val="16"/>
          <w:szCs w:val="16"/>
        </w:rPr>
        <w:t>Синчэн</w:t>
      </w:r>
      <w:proofErr w:type="spellEnd"/>
      <w:r w:rsidRPr="00A259BD">
        <w:rPr>
          <w:rFonts w:ascii="Times New Roman" w:hAnsi="Times New Roman"/>
          <w:color w:val="000000" w:themeColor="text1"/>
          <w:sz w:val="16"/>
          <w:szCs w:val="16"/>
        </w:rPr>
        <w:t xml:space="preserve">) перебазировали в </w:t>
      </w:r>
      <w:proofErr w:type="spellStart"/>
      <w:r w:rsidRPr="00A259BD">
        <w:rPr>
          <w:rFonts w:ascii="Times New Roman" w:hAnsi="Times New Roman"/>
          <w:color w:val="000000" w:themeColor="text1"/>
          <w:sz w:val="16"/>
          <w:szCs w:val="16"/>
        </w:rPr>
        <w:t>Илань</w:t>
      </w:r>
      <w:proofErr w:type="spellEnd"/>
      <w:r w:rsidRPr="00A259BD">
        <w:rPr>
          <w:rFonts w:ascii="Times New Roman" w:hAnsi="Times New Roman"/>
          <w:color w:val="000000" w:themeColor="text1"/>
          <w:sz w:val="16"/>
          <w:szCs w:val="16"/>
        </w:rPr>
        <w:t xml:space="preserve"> в подчинение Восточной армии. В эти же дни еще один самолет (тип неизве</w:t>
      </w:r>
      <w:r w:rsidRPr="00A259BD">
        <w:rPr>
          <w:rFonts w:ascii="Times New Roman" w:hAnsi="Times New Roman"/>
          <w:color w:val="000000" w:themeColor="text1"/>
          <w:sz w:val="16"/>
          <w:szCs w:val="16"/>
        </w:rPr>
        <w:softHyphen/>
        <w:t>стен, китайцы называли его “</w:t>
      </w:r>
      <w:proofErr w:type="spellStart"/>
      <w:r w:rsidRPr="00A259BD">
        <w:rPr>
          <w:rFonts w:ascii="Times New Roman" w:hAnsi="Times New Roman"/>
          <w:color w:val="000000" w:themeColor="text1"/>
          <w:sz w:val="16"/>
          <w:szCs w:val="16"/>
        </w:rPr>
        <w:t>Цзифэн</w:t>
      </w:r>
      <w:proofErr w:type="spellEnd"/>
      <w:r w:rsidRPr="00A259BD">
        <w:rPr>
          <w:rFonts w:ascii="Times New Roman" w:hAnsi="Times New Roman"/>
          <w:color w:val="000000" w:themeColor="text1"/>
          <w:sz w:val="16"/>
          <w:szCs w:val="16"/>
        </w:rPr>
        <w:t xml:space="preserve">-хао”, т.е. “резкий, сильный ветер”) разбрасывал над </w:t>
      </w:r>
      <w:proofErr w:type="spellStart"/>
      <w:r w:rsidRPr="00A259BD">
        <w:rPr>
          <w:rFonts w:ascii="Times New Roman" w:hAnsi="Times New Roman"/>
          <w:color w:val="000000" w:themeColor="text1"/>
          <w:sz w:val="16"/>
          <w:szCs w:val="16"/>
        </w:rPr>
        <w:t>Цицикаром</w:t>
      </w:r>
      <w:proofErr w:type="spellEnd"/>
      <w:r w:rsidRPr="00A259BD">
        <w:rPr>
          <w:rFonts w:ascii="Times New Roman" w:hAnsi="Times New Roman"/>
          <w:color w:val="000000" w:themeColor="text1"/>
          <w:sz w:val="16"/>
          <w:szCs w:val="16"/>
        </w:rPr>
        <w:t xml:space="preserve"> антисо</w:t>
      </w:r>
      <w:r w:rsidRPr="00A259BD">
        <w:rPr>
          <w:rFonts w:ascii="Times New Roman" w:hAnsi="Times New Roman"/>
          <w:color w:val="000000" w:themeColor="text1"/>
          <w:sz w:val="16"/>
          <w:szCs w:val="16"/>
        </w:rPr>
        <w:softHyphen/>
        <w:t>ветские листовки.</w:t>
      </w:r>
    </w:p>
    <w:p w14:paraId="52490EB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Историк из КНР Ма </w:t>
      </w:r>
      <w:proofErr w:type="spellStart"/>
      <w:r w:rsidRPr="00A259BD">
        <w:rPr>
          <w:rFonts w:ascii="Times New Roman" w:hAnsi="Times New Roman"/>
          <w:color w:val="000000" w:themeColor="text1"/>
          <w:sz w:val="16"/>
          <w:szCs w:val="16"/>
        </w:rPr>
        <w:t>Юйфу</w:t>
      </w:r>
      <w:proofErr w:type="spellEnd"/>
      <w:r w:rsidRPr="00A259BD">
        <w:rPr>
          <w:rFonts w:ascii="Times New Roman" w:hAnsi="Times New Roman"/>
          <w:color w:val="000000" w:themeColor="text1"/>
          <w:sz w:val="16"/>
          <w:szCs w:val="16"/>
        </w:rPr>
        <w:t xml:space="preserve"> в книге “Китайская военная авиация. 1909-1949” подтверждает, что авиация Чжан </w:t>
      </w:r>
      <w:proofErr w:type="spellStart"/>
      <w:r w:rsidRPr="00A259BD">
        <w:rPr>
          <w:rFonts w:ascii="Times New Roman" w:hAnsi="Times New Roman"/>
          <w:color w:val="000000" w:themeColor="text1"/>
          <w:sz w:val="16"/>
          <w:szCs w:val="16"/>
        </w:rPr>
        <w:t>Сюэляна</w:t>
      </w:r>
      <w:proofErr w:type="spellEnd"/>
      <w:r w:rsidRPr="00A259BD">
        <w:rPr>
          <w:rFonts w:ascii="Times New Roman" w:hAnsi="Times New Roman"/>
          <w:color w:val="000000" w:themeColor="text1"/>
          <w:sz w:val="16"/>
          <w:szCs w:val="16"/>
        </w:rPr>
        <w:t xml:space="preserve"> практически не выпол</w:t>
      </w:r>
      <w:r w:rsidRPr="00A259BD">
        <w:rPr>
          <w:rFonts w:ascii="Times New Roman" w:hAnsi="Times New Roman"/>
          <w:color w:val="000000" w:themeColor="text1"/>
          <w:sz w:val="16"/>
          <w:szCs w:val="16"/>
        </w:rPr>
        <w:softHyphen/>
        <w:t>няла боевых вылетов из-за “очень хо</w:t>
      </w:r>
      <w:r w:rsidRPr="00A259BD">
        <w:rPr>
          <w:rFonts w:ascii="Times New Roman" w:hAnsi="Times New Roman"/>
          <w:color w:val="000000" w:themeColor="text1"/>
          <w:sz w:val="16"/>
          <w:szCs w:val="16"/>
        </w:rPr>
        <w:softHyphen/>
        <w:t>лодной погоды”. Самолеты не могли ле</w:t>
      </w:r>
      <w:r w:rsidRPr="00A259BD">
        <w:rPr>
          <w:rFonts w:ascii="Times New Roman" w:hAnsi="Times New Roman"/>
          <w:color w:val="000000" w:themeColor="text1"/>
          <w:sz w:val="16"/>
          <w:szCs w:val="16"/>
        </w:rPr>
        <w:softHyphen/>
        <w:t>тать якобы “из-за обледенения”, их приходилось прятать в утепленных землянках и выводить на аэродром лишь после длительного прогрева мо</w:t>
      </w:r>
      <w:r w:rsidRPr="00A259BD">
        <w:rPr>
          <w:rFonts w:ascii="Times New Roman" w:hAnsi="Times New Roman"/>
          <w:color w:val="000000" w:themeColor="text1"/>
          <w:sz w:val="16"/>
          <w:szCs w:val="16"/>
        </w:rPr>
        <w:softHyphen/>
        <w:t>торов - “из-за очень холодных дней” полетов фактически не было.</w:t>
      </w:r>
    </w:p>
    <w:p w14:paraId="57C5CE4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отличие от китайской, советская авиация в ноябре в “очень холодную погоду” продолжала “в одиночку” действовать только против наземных войск противника (11216).</w:t>
      </w:r>
    </w:p>
    <w:p w14:paraId="5A867CA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69528E" w14:textId="77777777" w:rsidR="00F547C5" w:rsidRPr="00A259BD" w:rsidRDefault="00F547C5" w:rsidP="009236E3">
      <w:pPr>
        <w:autoSpaceDE w:val="0"/>
        <w:autoSpaceDN w:val="0"/>
        <w:adjustRightInd w:val="0"/>
        <w:spacing w:after="0" w:line="240" w:lineRule="auto"/>
        <w:jc w:val="both"/>
        <w:rPr>
          <w:rFonts w:ascii="Times New Roman" w:hAnsi="Times New Roman"/>
          <w:i/>
          <w:iCs/>
          <w:color w:val="000000" w:themeColor="text1"/>
          <w:sz w:val="16"/>
          <w:szCs w:val="16"/>
        </w:rPr>
      </w:pPr>
      <w:r w:rsidRPr="00A259BD">
        <w:rPr>
          <w:rFonts w:ascii="Times New Roman" w:hAnsi="Times New Roman"/>
          <w:i/>
          <w:iCs/>
          <w:color w:val="000000" w:themeColor="text1"/>
          <w:sz w:val="16"/>
          <w:szCs w:val="16"/>
        </w:rPr>
        <w:t xml:space="preserve">Другие </w:t>
      </w:r>
      <w:proofErr w:type="spellStart"/>
      <w:r w:rsidRPr="00A259BD">
        <w:rPr>
          <w:rFonts w:ascii="Times New Roman" w:hAnsi="Times New Roman"/>
          <w:i/>
          <w:iCs/>
          <w:color w:val="000000" w:themeColor="text1"/>
          <w:sz w:val="16"/>
          <w:szCs w:val="16"/>
        </w:rPr>
        <w:t>одоронные</w:t>
      </w:r>
      <w:proofErr w:type="spellEnd"/>
      <w:r w:rsidRPr="00A259BD">
        <w:rPr>
          <w:rFonts w:ascii="Times New Roman" w:hAnsi="Times New Roman"/>
          <w:i/>
          <w:iCs/>
          <w:color w:val="000000" w:themeColor="text1"/>
          <w:sz w:val="16"/>
          <w:szCs w:val="16"/>
        </w:rPr>
        <w:t xml:space="preserve"> отрасли:</w:t>
      </w:r>
    </w:p>
    <w:p w14:paraId="079118C3" w14:textId="77777777" w:rsidR="00F547C5" w:rsidRPr="00A259BD" w:rsidRDefault="00F547C5"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646F98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ноября 1929 закончились испытание танка МС-1, которые проходили с 27 ноября по программе:</w:t>
      </w:r>
    </w:p>
    <w:p w14:paraId="28281E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целью установления средней скорости и выносливости танка.</w:t>
      </w:r>
    </w:p>
    <w:p w14:paraId="261F87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пробег по шоссе на 10 км.</w:t>
      </w:r>
    </w:p>
    <w:p w14:paraId="229A57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пробег по проселку на 87 км.</w:t>
      </w:r>
    </w:p>
    <w:p w14:paraId="162C135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пробег по грунтовым и шоссейным дорогам ночью на 56 км.</w:t>
      </w:r>
    </w:p>
    <w:p w14:paraId="33EDB3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преодоление искусственных и естественных препятствий.</w:t>
      </w:r>
    </w:p>
    <w:p w14:paraId="4105CAD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пробег по пересеченной местности на 13 км с закрытыми люками, е) пробег на 1 км для определения наибольшей скорости движения, ж) стрельба из пулемета и орудия в движении и стоя.</w:t>
      </w:r>
    </w:p>
    <w:p w14:paraId="1642DF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(Подробное описание каждой работы см. приложение № 1).</w:t>
      </w:r>
    </w:p>
    <w:p w14:paraId="1E8B3C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основании указанных испытаний танка МС-1, Комиссия единогласно устанавливает:</w:t>
      </w:r>
    </w:p>
    <w:p w14:paraId="5E9DAA4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В части технической</w:t>
      </w:r>
    </w:p>
    <w:p w14:paraId="61998E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мотору: Недостаточную надежность работы мотора, требующего слишком частого его осмо</w:t>
      </w:r>
      <w:r w:rsidRPr="00A259BD">
        <w:rPr>
          <w:rFonts w:ascii="Times New Roman" w:hAnsi="Times New Roman"/>
          <w:color w:val="000000" w:themeColor="text1"/>
          <w:sz w:val="16"/>
          <w:szCs w:val="16"/>
        </w:rPr>
        <w:softHyphen/>
        <w:t xml:space="preserve">тра и ремонта, как следствие постоянного расстройства его отдельных деталей и отказа в работе </w:t>
      </w:r>
      <w:proofErr w:type="spellStart"/>
      <w:r w:rsidRPr="00A259BD">
        <w:rPr>
          <w:rFonts w:ascii="Times New Roman" w:hAnsi="Times New Roman"/>
          <w:color w:val="000000" w:themeColor="text1"/>
          <w:sz w:val="16"/>
          <w:szCs w:val="16"/>
        </w:rPr>
        <w:t>мас-лопроводной</w:t>
      </w:r>
      <w:proofErr w:type="spellEnd"/>
      <w:r w:rsidRPr="00A259BD">
        <w:rPr>
          <w:rFonts w:ascii="Times New Roman" w:hAnsi="Times New Roman"/>
          <w:color w:val="000000" w:themeColor="text1"/>
          <w:sz w:val="16"/>
          <w:szCs w:val="16"/>
        </w:rPr>
        <w:t xml:space="preserve"> сети.</w:t>
      </w:r>
    </w:p>
    <w:p w14:paraId="5AEB6E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Наиболее отрицательным образом влияющим на надежность работы мотора являются в сущест</w:t>
      </w:r>
      <w:r w:rsidRPr="00A259BD">
        <w:rPr>
          <w:rFonts w:ascii="Times New Roman" w:hAnsi="Times New Roman"/>
          <w:color w:val="000000" w:themeColor="text1"/>
          <w:sz w:val="16"/>
          <w:szCs w:val="16"/>
        </w:rPr>
        <w:softHyphen/>
        <w:t>вующем типе:</w:t>
      </w:r>
    </w:p>
    <w:p w14:paraId="14E8CC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несовершенство конструкции верхнего маслопровода — (пучка), часто ломающегося от тря</w:t>
      </w:r>
      <w:r w:rsidRPr="00A259BD">
        <w:rPr>
          <w:rFonts w:ascii="Times New Roman" w:hAnsi="Times New Roman"/>
          <w:color w:val="000000" w:themeColor="text1"/>
          <w:sz w:val="16"/>
          <w:szCs w:val="16"/>
        </w:rPr>
        <w:softHyphen/>
        <w:t>ски в местах соединения;</w:t>
      </w:r>
    </w:p>
    <w:p w14:paraId="41EE89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пропуск (выбивание) масла из различных соединений - мотора, приводящий в особенности в условиях напряженной боевой обстановки при ослаблении внимания у водителя к наблюдению за давлением </w:t>
      </w:r>
      <w:proofErr w:type="spellStart"/>
      <w:r w:rsidRPr="00A259BD">
        <w:rPr>
          <w:rFonts w:ascii="Times New Roman" w:hAnsi="Times New Roman"/>
          <w:color w:val="000000" w:themeColor="text1"/>
          <w:sz w:val="16"/>
          <w:szCs w:val="16"/>
        </w:rPr>
        <w:t>маслопроводной</w:t>
      </w:r>
      <w:proofErr w:type="spellEnd"/>
      <w:r w:rsidRPr="00A259BD">
        <w:rPr>
          <w:rFonts w:ascii="Times New Roman" w:hAnsi="Times New Roman"/>
          <w:color w:val="000000" w:themeColor="text1"/>
          <w:sz w:val="16"/>
          <w:szCs w:val="16"/>
        </w:rPr>
        <w:t xml:space="preserve"> сети, - к расплавлению шатунных подшипников, т.е. выводу танка из строя.</w:t>
      </w:r>
    </w:p>
    <w:p w14:paraId="7712976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трудный доступ к мотору для устранения даже самых незначительных неисправностей, благо</w:t>
      </w:r>
      <w:r w:rsidRPr="00A259BD">
        <w:rPr>
          <w:rFonts w:ascii="Times New Roman" w:hAnsi="Times New Roman"/>
          <w:color w:val="000000" w:themeColor="text1"/>
          <w:sz w:val="16"/>
          <w:szCs w:val="16"/>
        </w:rPr>
        <w:softHyphen/>
        <w:t xml:space="preserve">даря необходимости </w:t>
      </w:r>
      <w:proofErr w:type="spellStart"/>
      <w:r w:rsidRPr="00A259BD">
        <w:rPr>
          <w:rFonts w:ascii="Times New Roman" w:hAnsi="Times New Roman"/>
          <w:color w:val="000000" w:themeColor="text1"/>
          <w:sz w:val="16"/>
          <w:szCs w:val="16"/>
        </w:rPr>
        <w:t>откидки</w:t>
      </w:r>
      <w:proofErr w:type="spellEnd"/>
      <w:r w:rsidRPr="00A259BD">
        <w:rPr>
          <w:rFonts w:ascii="Times New Roman" w:hAnsi="Times New Roman"/>
          <w:color w:val="000000" w:themeColor="text1"/>
          <w:sz w:val="16"/>
          <w:szCs w:val="16"/>
        </w:rPr>
        <w:t xml:space="preserve"> задней стенки брони, требующей более 2 часов работы команды танка, тогда как само исправление заканчивается в 3 — 10 минут (замена пучка свечи, регулировка клапа</w:t>
      </w:r>
      <w:r w:rsidRPr="00A259BD">
        <w:rPr>
          <w:rFonts w:ascii="Times New Roman" w:hAnsi="Times New Roman"/>
          <w:color w:val="000000" w:themeColor="text1"/>
          <w:sz w:val="16"/>
          <w:szCs w:val="16"/>
        </w:rPr>
        <w:softHyphen/>
        <w:t>нов и т.п.);</w:t>
      </w:r>
    </w:p>
    <w:p w14:paraId="1F486D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недостаточная мощность мотора, обуславливающая малую эффективность работы танка в бо</w:t>
      </w:r>
      <w:r w:rsidRPr="00A259BD">
        <w:rPr>
          <w:rFonts w:ascii="Times New Roman" w:hAnsi="Times New Roman"/>
          <w:color w:val="000000" w:themeColor="text1"/>
          <w:sz w:val="16"/>
          <w:szCs w:val="16"/>
        </w:rPr>
        <w:softHyphen/>
        <w:t>евой обстановке - скорость движения на поле боя, поворотливость и т.п. (подробные дефекты см. приложение №12).</w:t>
      </w:r>
    </w:p>
    <w:p w14:paraId="38A5F1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w:t>
      </w:r>
    </w:p>
    <w:p w14:paraId="511B7F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немедленно устранить дефект с верхним маслопроводом;</w:t>
      </w:r>
    </w:p>
    <w:p w14:paraId="27080C7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произвести перестановку манометра из бокового (в отношении водителя) положения в переднее;</w:t>
      </w:r>
    </w:p>
    <w:p w14:paraId="7AD298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добиться вполне надежной работы мотора в течение 60 - 70 часов непрерывной работы, без не</w:t>
      </w:r>
      <w:r w:rsidRPr="00A259BD">
        <w:rPr>
          <w:rFonts w:ascii="Times New Roman" w:hAnsi="Times New Roman"/>
          <w:color w:val="000000" w:themeColor="text1"/>
          <w:sz w:val="16"/>
          <w:szCs w:val="16"/>
        </w:rPr>
        <w:softHyphen/>
        <w:t>обходимости его осмотра;</w:t>
      </w:r>
    </w:p>
    <w:p w14:paraId="7C2029B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обеспечить более легкий и быстрый доступ к мотору;</w:t>
      </w:r>
    </w:p>
    <w:p w14:paraId="78ED99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 поднять мощность мотора в максимально </w:t>
      </w:r>
      <w:proofErr w:type="spellStart"/>
      <w:r w:rsidRPr="00A259BD">
        <w:rPr>
          <w:rFonts w:ascii="Times New Roman" w:hAnsi="Times New Roman"/>
          <w:color w:val="000000" w:themeColor="text1"/>
          <w:sz w:val="16"/>
          <w:szCs w:val="16"/>
        </w:rPr>
        <w:t>в'озможной</w:t>
      </w:r>
      <w:proofErr w:type="spellEnd"/>
      <w:r w:rsidRPr="00A259BD">
        <w:rPr>
          <w:rFonts w:ascii="Times New Roman" w:hAnsi="Times New Roman"/>
          <w:color w:val="000000" w:themeColor="text1"/>
          <w:sz w:val="16"/>
          <w:szCs w:val="16"/>
        </w:rPr>
        <w:t xml:space="preserve"> степени в пределах тех же габаритов. 2. По движителю (ходовым частям): Недостаточную законченность конструкции движителя, (в • среднем живучесть движителя измеряется 1000 км пробегом), характеризующейся:</w:t>
      </w:r>
    </w:p>
    <w:p w14:paraId="4E367B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ненадежной защитой ходовых частей от грязи, что приводит к быстрому износу малой веду</w:t>
      </w:r>
      <w:r w:rsidRPr="00A259BD">
        <w:rPr>
          <w:rFonts w:ascii="Times New Roman" w:hAnsi="Times New Roman"/>
          <w:color w:val="000000" w:themeColor="text1"/>
          <w:sz w:val="16"/>
          <w:szCs w:val="16"/>
        </w:rPr>
        <w:softHyphen/>
        <w:t>щей шестерни, осей ведущих колес, осей нижних катков и втулок верхних катков;</w:t>
      </w:r>
    </w:p>
    <w:p w14:paraId="1B3280D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быстрым износом малой ведущей шестерни и зубцов венчика ведущего колеса;</w:t>
      </w:r>
    </w:p>
    <w:p w14:paraId="7B84D93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малой обеспеченностью сцепления с почвой гусеницы старого типа;</w:t>
      </w:r>
    </w:p>
    <w:p w14:paraId="328F216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быстрым износом шарниров траков и самих траков;</w:t>
      </w:r>
    </w:p>
    <w:p w14:paraId="3800317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частым соскакиванием на поворотах гусеницы; (Ведомость дефектов см. приложение №12) Необходимо:</w:t>
      </w:r>
    </w:p>
    <w:p w14:paraId="7A76C16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довести живучесть движителя до 3000 км пробега;</w:t>
      </w:r>
    </w:p>
    <w:p w14:paraId="38E5789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устранить в ближайшее время быстрый износ малой ведущей шестерни, требующей для своей замены при износе наибольшего количества времени и сил по сравнению с прочими частя</w:t>
      </w:r>
      <w:r w:rsidRPr="00A259BD">
        <w:rPr>
          <w:rFonts w:ascii="Times New Roman" w:hAnsi="Times New Roman"/>
          <w:color w:val="000000" w:themeColor="text1"/>
          <w:sz w:val="16"/>
          <w:szCs w:val="16"/>
        </w:rPr>
        <w:softHyphen/>
        <w:t>ми движителя;</w:t>
      </w:r>
    </w:p>
    <w:p w14:paraId="564FDD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переконструировать движитель, добившись лучшей защиты ходовых частей от грязи;</w:t>
      </w:r>
    </w:p>
    <w:p w14:paraId="5102636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ускорить переход на новый тип гусеницы (“орлиный коготь”), произведя срочные дополни</w:t>
      </w:r>
      <w:r w:rsidRPr="00A259BD">
        <w:rPr>
          <w:rFonts w:ascii="Times New Roman" w:hAnsi="Times New Roman"/>
          <w:color w:val="000000" w:themeColor="text1"/>
          <w:sz w:val="16"/>
          <w:szCs w:val="16"/>
        </w:rPr>
        <w:softHyphen/>
        <w:t>тельные испытания в различных условиях погоды, грунта и рельефа.</w:t>
      </w:r>
    </w:p>
    <w:p w14:paraId="63AB71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По коробке скоростей: Существенных дефектов не обнаружено, но в прошлом наблюдался быстрый износ шестерни 2-й и 3-й скоростей и частые поломки вилок, каретки 2-й и 3-й скоростей.</w:t>
      </w:r>
    </w:p>
    <w:p w14:paraId="43321A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w:t>
      </w:r>
    </w:p>
    <w:p w14:paraId="7428EC3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в целях повышения средней скорости движения танка, перейти на 4-х скоростную коробку передач, приняв меры к максимально возможному повышению скорости движения;</w:t>
      </w:r>
    </w:p>
    <w:p w14:paraId="60FBFD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устранить ненормальный износ шестерен и поломку вилок в коробке скоростей (дефекты производства).</w:t>
      </w:r>
    </w:p>
    <w:p w14:paraId="3E3F0F0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По системе управления:</w:t>
      </w:r>
    </w:p>
    <w:p w14:paraId="1430D9E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малую обеспеченность поворотливости танка (как правило, последний поворачивается на ме</w:t>
      </w:r>
      <w:r w:rsidRPr="00A259BD">
        <w:rPr>
          <w:rFonts w:ascii="Times New Roman" w:hAnsi="Times New Roman"/>
          <w:color w:val="000000" w:themeColor="text1"/>
          <w:sz w:val="16"/>
          <w:szCs w:val="16"/>
        </w:rPr>
        <w:softHyphen/>
        <w:t>стности с приостановкой и переходом на 1-ю скорость);</w:t>
      </w:r>
    </w:p>
    <w:p w14:paraId="3123987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чрезмерный износ тормозных лент и их нагревание;</w:t>
      </w:r>
    </w:p>
    <w:p w14:paraId="3D9D77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некоторую затрудненность переключения скоростей. Необходимо:</w:t>
      </w:r>
    </w:p>
    <w:p w14:paraId="5CF6D64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добиться возможности маневрирования танком с поворотами любой кривизны и на любых скоростях;</w:t>
      </w:r>
    </w:p>
    <w:p w14:paraId="0486838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в ближайшее время обеспечить плавность торможения, устранив ненормальный износ тор</w:t>
      </w:r>
      <w:r w:rsidRPr="00A259BD">
        <w:rPr>
          <w:rFonts w:ascii="Times New Roman" w:hAnsi="Times New Roman"/>
          <w:color w:val="000000" w:themeColor="text1"/>
          <w:sz w:val="16"/>
          <w:szCs w:val="16"/>
        </w:rPr>
        <w:softHyphen/>
        <w:t>мозных лент и их нагревание;</w:t>
      </w:r>
    </w:p>
    <w:p w14:paraId="3770E5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облегчить переключение скоростей;</w:t>
      </w:r>
    </w:p>
    <w:p w14:paraId="0118AB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проработать вопрос о возможности поднятия над днищем танка всех тяг управления для обес</w:t>
      </w:r>
      <w:r w:rsidRPr="00A259BD">
        <w:rPr>
          <w:rFonts w:ascii="Times New Roman" w:hAnsi="Times New Roman"/>
          <w:color w:val="000000" w:themeColor="text1"/>
          <w:sz w:val="16"/>
          <w:szCs w:val="16"/>
        </w:rPr>
        <w:softHyphen/>
        <w:t>печения их работы при ударах брюхом танка о препятствия.</w:t>
      </w:r>
    </w:p>
    <w:p w14:paraId="2A8033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По корпусу оборудования танка: общая компоновка корпуса и его обтекаемость удовлетвори</w:t>
      </w:r>
      <w:r w:rsidRPr="00A259BD">
        <w:rPr>
          <w:rFonts w:ascii="Times New Roman" w:hAnsi="Times New Roman"/>
          <w:color w:val="000000" w:themeColor="text1"/>
          <w:sz w:val="16"/>
          <w:szCs w:val="16"/>
        </w:rPr>
        <w:softHyphen/>
        <w:t>тельны, но необходимо:</w:t>
      </w:r>
    </w:p>
    <w:p w14:paraId="134722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проработать вопрос о повышении уровня водонепроницаемости танка (до щитка водителя);</w:t>
      </w:r>
    </w:p>
    <w:p w14:paraId="2AFD08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срочно изготовить различные образцы хвостов для проведения испытаний по определению </w:t>
      </w:r>
      <w:proofErr w:type="spellStart"/>
      <w:r w:rsidRPr="00A259BD">
        <w:rPr>
          <w:rFonts w:ascii="Times New Roman" w:hAnsi="Times New Roman"/>
          <w:color w:val="000000" w:themeColor="text1"/>
          <w:sz w:val="16"/>
          <w:szCs w:val="16"/>
        </w:rPr>
        <w:t>наивыгоднейшего</w:t>
      </w:r>
      <w:proofErr w:type="spellEnd"/>
      <w:r w:rsidRPr="00A259BD">
        <w:rPr>
          <w:rFonts w:ascii="Times New Roman" w:hAnsi="Times New Roman"/>
          <w:color w:val="000000" w:themeColor="text1"/>
          <w:sz w:val="16"/>
          <w:szCs w:val="16"/>
        </w:rPr>
        <w:t xml:space="preserve"> профиля хвоста;</w:t>
      </w:r>
    </w:p>
    <w:p w14:paraId="48367BB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переставить фары и гудок в целях лучшей защиты их при преодолении танком естественных и искусственных препятствий;</w:t>
      </w:r>
    </w:p>
    <w:p w14:paraId="6D34E5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упростить и улучшить крепление башни по-походному, устранив возможности ранения рук стрелка;</w:t>
      </w:r>
    </w:p>
    <w:p w14:paraId="216287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улучшить освещение башни, уничтожив длинные путающиеся провода;</w:t>
      </w:r>
    </w:p>
    <w:p w14:paraId="5BE9B9E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 срочно разработать более совершенный оптический прибор для </w:t>
      </w:r>
      <w:proofErr w:type="spellStart"/>
      <w:r w:rsidRPr="00A259BD">
        <w:rPr>
          <w:rFonts w:ascii="Times New Roman" w:hAnsi="Times New Roman"/>
          <w:color w:val="000000" w:themeColor="text1"/>
          <w:sz w:val="16"/>
          <w:szCs w:val="16"/>
        </w:rPr>
        <w:t>танководителя</w:t>
      </w:r>
      <w:proofErr w:type="spellEnd"/>
      <w:r w:rsidRPr="00A259BD">
        <w:rPr>
          <w:rFonts w:ascii="Times New Roman" w:hAnsi="Times New Roman"/>
          <w:color w:val="000000" w:themeColor="text1"/>
          <w:sz w:val="16"/>
          <w:szCs w:val="16"/>
        </w:rPr>
        <w:t>, позволяю</w:t>
      </w:r>
      <w:r w:rsidRPr="00A259BD">
        <w:rPr>
          <w:rFonts w:ascii="Times New Roman" w:hAnsi="Times New Roman"/>
          <w:color w:val="000000" w:themeColor="text1"/>
          <w:sz w:val="16"/>
          <w:szCs w:val="16"/>
        </w:rPr>
        <w:softHyphen/>
        <w:t xml:space="preserve">щий производить наблюдение за местностью при любом положении танка, устранив возможности ушибов для </w:t>
      </w:r>
      <w:proofErr w:type="spellStart"/>
      <w:r w:rsidRPr="00A259BD">
        <w:rPr>
          <w:rFonts w:ascii="Times New Roman" w:hAnsi="Times New Roman"/>
          <w:color w:val="000000" w:themeColor="text1"/>
          <w:sz w:val="16"/>
          <w:szCs w:val="16"/>
        </w:rPr>
        <w:t>танководителя</w:t>
      </w:r>
      <w:proofErr w:type="spellEnd"/>
      <w:r w:rsidRPr="00A259BD">
        <w:rPr>
          <w:rFonts w:ascii="Times New Roman" w:hAnsi="Times New Roman"/>
          <w:color w:val="000000" w:themeColor="text1"/>
          <w:sz w:val="16"/>
          <w:szCs w:val="16"/>
        </w:rPr>
        <w:t>;</w:t>
      </w:r>
    </w:p>
    <w:p w14:paraId="308E59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ускорить радиофикацию танка;</w:t>
      </w:r>
    </w:p>
    <w:p w14:paraId="5FF9D6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срочно разработать мягкое более удобное сидение для водителя.</w:t>
      </w:r>
    </w:p>
    <w:p w14:paraId="0EB35D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 В части стрелковой</w:t>
      </w:r>
    </w:p>
    <w:p w14:paraId="12236D8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(Описание стрельб - приложение №16): в общем, танк удовлетворяет минимальным стрелковым требованиям, могущим быть предъявленными к такому типу, и обладает сильной раскачкой во вре</w:t>
      </w:r>
      <w:r w:rsidRPr="00A259BD">
        <w:rPr>
          <w:rFonts w:ascii="Times New Roman" w:hAnsi="Times New Roman"/>
          <w:color w:val="000000" w:themeColor="text1"/>
          <w:sz w:val="16"/>
          <w:szCs w:val="16"/>
        </w:rPr>
        <w:softHyphen/>
        <w:t>мя движения, что крайне затрудняет ведение огня на ходу, понижает процент поражаемости и тре</w:t>
      </w:r>
      <w:r w:rsidRPr="00A259BD">
        <w:rPr>
          <w:rFonts w:ascii="Times New Roman" w:hAnsi="Times New Roman"/>
          <w:color w:val="000000" w:themeColor="text1"/>
          <w:sz w:val="16"/>
          <w:szCs w:val="16"/>
        </w:rPr>
        <w:softHyphen/>
        <w:t>бует исключительно высокой выучки и постоянной тренировки стрелка. Стрельба из танка, с места дает удовлетворительные результаты на дистанции для пулемета до 600 метров и для пушки до 500 метров (по крупным целям до 800 метров). Стрельба на ходу требует дальнейшего систематического изучения опытным порядком в различных условиях погоды и местности, из дефектов наблюдается:</w:t>
      </w:r>
    </w:p>
    <w:p w14:paraId="742E84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теснота в боевой башне, почему требуется сравнительно большое время, необходимое стрел</w:t>
      </w:r>
      <w:r w:rsidRPr="00A259BD">
        <w:rPr>
          <w:rFonts w:ascii="Times New Roman" w:hAnsi="Times New Roman"/>
          <w:color w:val="000000" w:themeColor="text1"/>
          <w:sz w:val="16"/>
          <w:szCs w:val="16"/>
        </w:rPr>
        <w:softHyphen/>
        <w:t>ку для подготовки оружия к бою;</w:t>
      </w:r>
    </w:p>
    <w:p w14:paraId="379A368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затрудненность и медленность перехода от одного оружия к другому (от пулемета к пушке и обратно);</w:t>
      </w:r>
    </w:p>
    <w:p w14:paraId="322A2A5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неудовлетворительность существующих прицелов вследствие плохой видимости через них целей;</w:t>
      </w:r>
    </w:p>
    <w:p w14:paraId="16A805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непрочность крепления пулеметных магазинов в гнездах танка и сложность работы с ними;</w:t>
      </w:r>
    </w:p>
    <w:p w14:paraId="46E435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непрочность крепления орудия по-походному;</w:t>
      </w:r>
    </w:p>
    <w:p w14:paraId="3BE678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 ненадежность наблюдения за полем боя и вновь появляющимися целями при </w:t>
      </w:r>
      <w:proofErr w:type="spellStart"/>
      <w:r w:rsidRPr="00A259BD">
        <w:rPr>
          <w:rFonts w:ascii="Times New Roman" w:hAnsi="Times New Roman"/>
          <w:color w:val="000000" w:themeColor="text1"/>
          <w:sz w:val="16"/>
          <w:szCs w:val="16"/>
        </w:rPr>
        <w:t>разъединенно-сти</w:t>
      </w:r>
      <w:proofErr w:type="spellEnd"/>
      <w:r w:rsidRPr="00A259BD">
        <w:rPr>
          <w:rFonts w:ascii="Times New Roman" w:hAnsi="Times New Roman"/>
          <w:color w:val="000000" w:themeColor="text1"/>
          <w:sz w:val="16"/>
          <w:szCs w:val="16"/>
        </w:rPr>
        <w:t xml:space="preserve"> наблюдения - командирского и огневого;</w:t>
      </w:r>
    </w:p>
    <w:p w14:paraId="13AC74E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ж) затрудненность работы стрелка и водителя вследствие разброски стреляных гильз по полу (мешают перестановке рычагов управления и ногам стрелка). Необходимо:</w:t>
      </w:r>
    </w:p>
    <w:p w14:paraId="5A0D58B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 целью постоянной, одновременной и быстрой готовности оружия танка к стрельбе в бли</w:t>
      </w:r>
      <w:r w:rsidRPr="00A259BD">
        <w:rPr>
          <w:rFonts w:ascii="Times New Roman" w:hAnsi="Times New Roman"/>
          <w:color w:val="000000" w:themeColor="text1"/>
          <w:sz w:val="16"/>
          <w:szCs w:val="16"/>
        </w:rPr>
        <w:softHyphen/>
        <w:t>жайшем будущем разработать и осуществить постановку пулемета и пушки в одной общей установ</w:t>
      </w:r>
      <w:r w:rsidRPr="00A259BD">
        <w:rPr>
          <w:rFonts w:ascii="Times New Roman" w:hAnsi="Times New Roman"/>
          <w:color w:val="000000" w:themeColor="text1"/>
          <w:sz w:val="16"/>
          <w:szCs w:val="16"/>
        </w:rPr>
        <w:softHyphen/>
        <w:t>ке (спарить);</w:t>
      </w:r>
    </w:p>
    <w:p w14:paraId="4D1086E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иметь общий для пулемета и пушки оптический прицел, синхронно дающий необходимые для данной дистанции углы возвышения для пушки и пулемета;</w:t>
      </w:r>
    </w:p>
    <w:p w14:paraId="0E13DE0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существующие прицелы орудия и пулемета заменить оптическими прицелами, имея целики прицельных приспособлений светящимися и вместо мушки у пушки щиток с двумя вертикальными и одним горизонтальным волосками;</w:t>
      </w:r>
    </w:p>
    <w:p w14:paraId="2B3A70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уничтожить магазинный ремень, как мешающий наводке пулемета и излишний для танкового оружия.</w:t>
      </w:r>
    </w:p>
    <w:p w14:paraId="7C0A92D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улучшить крепление пулеметных магазинов в гнездах танка, установив более точные допуски в размерах гнезд, согласовав с допусками в размерах магазина;</w:t>
      </w:r>
    </w:p>
    <w:p w14:paraId="3CAFB6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сделать приспособление для перевозки в танке принадлежности и запасных частей орудия и пулемёта, а равно гнезда для масленок со смазкой и керосином;</w:t>
      </w:r>
    </w:p>
    <w:p w14:paraId="3BF314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упрочнить крепление орудия по-походному;</w:t>
      </w:r>
    </w:p>
    <w:p w14:paraId="7754240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обеспечить более надежное наблюдение за полем боя непосредственно у орудия и пулемета;</w:t>
      </w:r>
    </w:p>
    <w:p w14:paraId="71F66E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разработать приспособление для улавливания выбрасываемых из пушки и пулемета стреля</w:t>
      </w:r>
      <w:r w:rsidRPr="00A259BD">
        <w:rPr>
          <w:rFonts w:ascii="Times New Roman" w:hAnsi="Times New Roman"/>
          <w:color w:val="000000" w:themeColor="text1"/>
          <w:sz w:val="16"/>
          <w:szCs w:val="16"/>
        </w:rPr>
        <w:softHyphen/>
        <w:t>ных гильз;</w:t>
      </w:r>
    </w:p>
    <w:p w14:paraId="15F105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улучшить связь стрелка с </w:t>
      </w:r>
      <w:proofErr w:type="spellStart"/>
      <w:r w:rsidRPr="00A259BD">
        <w:rPr>
          <w:rFonts w:ascii="Times New Roman" w:hAnsi="Times New Roman"/>
          <w:color w:val="000000" w:themeColor="text1"/>
          <w:sz w:val="16"/>
          <w:szCs w:val="16"/>
        </w:rPr>
        <w:t>танководителем</w:t>
      </w:r>
      <w:proofErr w:type="spellEnd"/>
      <w:r w:rsidRPr="00A259BD">
        <w:rPr>
          <w:rFonts w:ascii="Times New Roman" w:hAnsi="Times New Roman"/>
          <w:color w:val="000000" w:themeColor="text1"/>
          <w:sz w:val="16"/>
          <w:szCs w:val="16"/>
        </w:rPr>
        <w:t xml:space="preserve"> во время боя;</w:t>
      </w:r>
    </w:p>
    <w:p w14:paraId="5A60DE3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ускорить установку на танке огнемета;</w:t>
      </w:r>
    </w:p>
    <w:p w14:paraId="513A1E1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 устранить в существующей системе пушки утечку масла из компрессора во время похода и стрельбы, улучшив сальник и сделав возможность доливки масла, не вынимая орудия из танка.</w:t>
      </w:r>
    </w:p>
    <w:p w14:paraId="3DA1AC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III. В части тактической</w:t>
      </w:r>
    </w:p>
    <w:p w14:paraId="7E6E264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Максимальная скорость танка: на мерном километре без подъёмов танк показал прак</w:t>
      </w:r>
      <w:r w:rsidRPr="00A259BD">
        <w:rPr>
          <w:rFonts w:ascii="Times New Roman" w:hAnsi="Times New Roman"/>
          <w:color w:val="000000" w:themeColor="text1"/>
          <w:sz w:val="16"/>
          <w:szCs w:val="16"/>
        </w:rPr>
        <w:softHyphen/>
        <w:t>тическую наивысшую скорость 15.9 - 16 км/час, что нужно признать недостаточным. Необхо</w:t>
      </w:r>
      <w:r w:rsidRPr="00A259BD">
        <w:rPr>
          <w:rFonts w:ascii="Times New Roman" w:hAnsi="Times New Roman"/>
          <w:color w:val="000000" w:themeColor="text1"/>
          <w:sz w:val="16"/>
          <w:szCs w:val="16"/>
        </w:rPr>
        <w:softHyphen/>
        <w:t>димо при модернизации танка и в последующих типах требовать повышение скорости до 25-30 км/час.</w:t>
      </w:r>
    </w:p>
    <w:p w14:paraId="62BE954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Пределы оперативного использования танка характеризуются следующим: (см. приложение 1 - 9)</w:t>
      </w:r>
    </w:p>
    <w:p w14:paraId="4470D26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нормальный суточный переход в среднем: по шоссе — 90 - 110 км; по проселку — 60 - 80.</w:t>
      </w:r>
    </w:p>
    <w:p w14:paraId="37439F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форсированный переход при хорошей службе восстановления в подготовленном личном со</w:t>
      </w:r>
      <w:r w:rsidRPr="00A259BD">
        <w:rPr>
          <w:rFonts w:ascii="Times New Roman" w:hAnsi="Times New Roman"/>
          <w:color w:val="000000" w:themeColor="text1"/>
          <w:sz w:val="16"/>
          <w:szCs w:val="16"/>
        </w:rPr>
        <w:softHyphen/>
        <w:t>ставе может быть доведен до 150 км.</w:t>
      </w:r>
    </w:p>
    <w:p w14:paraId="383A22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запас хода при полной заправке в среднем: в километрах - в пределах 60 -110 км; в часах рабо</w:t>
      </w:r>
      <w:r w:rsidRPr="00A259BD">
        <w:rPr>
          <w:rFonts w:ascii="Times New Roman" w:hAnsi="Times New Roman"/>
          <w:color w:val="000000" w:themeColor="text1"/>
          <w:sz w:val="16"/>
          <w:szCs w:val="16"/>
        </w:rPr>
        <w:softHyphen/>
        <w:t>ты мотора 6 — 8 часов, в зависимости от состояния дорог.</w:t>
      </w:r>
    </w:p>
    <w:p w14:paraId="293BDC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после форсированного перехода или 2 нормальных суточных переходов необходима дневка • осмотр, ремонт и регулировка материальной части;</w:t>
      </w:r>
    </w:p>
    <w:p w14:paraId="7874A7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оперативная подвижность танка (средняя скорость движения по шоссе 10-14 км; по проселку I 6 - 10 км;</w:t>
      </w:r>
    </w:p>
    <w:p w14:paraId="2E3A560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 процент выхода в ремонт по опыту механизированного полка - около 35% (на контрольно-по-1 </w:t>
      </w:r>
      <w:proofErr w:type="spellStart"/>
      <w:r w:rsidRPr="00A259BD">
        <w:rPr>
          <w:rFonts w:ascii="Times New Roman" w:hAnsi="Times New Roman"/>
          <w:color w:val="000000" w:themeColor="text1"/>
          <w:sz w:val="16"/>
          <w:szCs w:val="16"/>
        </w:rPr>
        <w:t>верочных</w:t>
      </w:r>
      <w:proofErr w:type="spellEnd"/>
      <w:r w:rsidRPr="00A259BD">
        <w:rPr>
          <w:rFonts w:ascii="Times New Roman" w:hAnsi="Times New Roman"/>
          <w:color w:val="000000" w:themeColor="text1"/>
          <w:sz w:val="16"/>
          <w:szCs w:val="16"/>
        </w:rPr>
        <w:t xml:space="preserve"> испытаниях из 3 танков, участвовавших в пробеге, 2 из них выбыло в первый же день, при</w:t>
      </w:r>
      <w:r w:rsidRPr="00A259BD">
        <w:rPr>
          <w:rFonts w:ascii="Times New Roman" w:hAnsi="Times New Roman"/>
          <w:color w:val="000000" w:themeColor="text1"/>
          <w:sz w:val="16"/>
          <w:szCs w:val="16"/>
        </w:rPr>
        <w:softHyphen/>
        <w:t>чем из последних один в капитальный ремонт по недосмотру обслуживающего персонала, а другой | был восстановлен к следующему дню испытаний).</w:t>
      </w:r>
    </w:p>
    <w:p w14:paraId="0F03010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w:t>
      </w:r>
    </w:p>
    <w:p w14:paraId="014AD25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переброску танков данного типа собственным ходом ограничить нормой в 100-150 км,</w:t>
      </w:r>
    </w:p>
    <w:p w14:paraId="2E733B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при модернизации и последующих типах необходимо добиться увеличения норм суточного ] перехода до 150 км и форсированию до 200 км при соответствующем запасе хода.</w:t>
      </w:r>
    </w:p>
    <w:p w14:paraId="15BBA1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количество непрерывных суточных переходов до необходимости дневки должно быть доведе</w:t>
      </w:r>
      <w:r w:rsidRPr="00A259BD">
        <w:rPr>
          <w:rFonts w:ascii="Times New Roman" w:hAnsi="Times New Roman"/>
          <w:color w:val="000000" w:themeColor="text1"/>
          <w:sz w:val="16"/>
          <w:szCs w:val="16"/>
        </w:rPr>
        <w:softHyphen/>
        <w:t>но до 4;</w:t>
      </w:r>
    </w:p>
    <w:p w14:paraId="5A3B660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оперативную подвижность повысить до 15-20 км/час;</w:t>
      </w:r>
    </w:p>
    <w:p w14:paraId="33C67C0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процент простоя танков в ремонте должен быть восполнен наличием штатного технического резерва их в частях и уменьшением процента простоя усилением службы восстановления (запасные части, инструмент, мастерские, квалифицированная рабочая сила).</w:t>
      </w:r>
    </w:p>
    <w:p w14:paraId="60916B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Тактическая подвижность и боевые свойства танка характеризуются следующим:</w:t>
      </w:r>
    </w:p>
    <w:p w14:paraId="45C63A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боевая скорость (приложение №-10) 3,5 — 4,5 км, что крайне недостаточно для условий совре</w:t>
      </w:r>
      <w:r w:rsidRPr="00A259BD">
        <w:rPr>
          <w:rFonts w:ascii="Times New Roman" w:hAnsi="Times New Roman"/>
          <w:color w:val="000000" w:themeColor="text1"/>
          <w:sz w:val="16"/>
          <w:szCs w:val="16"/>
        </w:rPr>
        <w:softHyphen/>
        <w:t>менного боя (обилие огневых средств).</w:t>
      </w:r>
    </w:p>
    <w:p w14:paraId="60CF93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поворотливость весьма ограничена, что уменьшает шансы борьбы танка с противотанковыми пулеметами и пушками.</w:t>
      </w:r>
    </w:p>
    <w:p w14:paraId="16613E2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преодоление искусственных препятствий (приложение №13).</w:t>
      </w:r>
    </w:p>
    <w:p w14:paraId="2B9AEE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Танк хорошо преодолевает малозаметные и все проволочные заграждения нормального типа, поставленные на полях, а также “ежи” высотою до 70 см, оставляя за собой облегченные проходы для пехоты, причем танк без посторонней помощи освобождается от свертков и мотков разрушен</w:t>
      </w:r>
      <w:r w:rsidRPr="00A259BD">
        <w:rPr>
          <w:rFonts w:ascii="Times New Roman" w:hAnsi="Times New Roman"/>
          <w:color w:val="000000" w:themeColor="text1"/>
          <w:sz w:val="16"/>
          <w:szCs w:val="16"/>
        </w:rPr>
        <w:softHyphen/>
        <w:t>ных им проволочных препятствий (удобообтекаемая форма корпуса и свойства двигателя).</w:t>
      </w:r>
    </w:p>
    <w:p w14:paraId="71AF5C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Преодоление заграждений типа рогаток, крепко связанных между собой и поставленных полосой зна</w:t>
      </w:r>
      <w:r w:rsidRPr="00A259BD">
        <w:rPr>
          <w:rFonts w:ascii="Times New Roman" w:hAnsi="Times New Roman"/>
          <w:color w:val="000000" w:themeColor="text1"/>
          <w:sz w:val="16"/>
          <w:szCs w:val="16"/>
        </w:rPr>
        <w:softHyphen/>
        <w:t>чительной ширины, глубины и высоты, представляет для танка наиболее трудно преодолимое препятствие.</w:t>
      </w:r>
    </w:p>
    <w:p w14:paraId="6F698C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Пороги (вертикальные препятствия) при известной высоте их свыше 0,7 м представляют серьез</w:t>
      </w:r>
      <w:r w:rsidRPr="00A259BD">
        <w:rPr>
          <w:rFonts w:ascii="Times New Roman" w:hAnsi="Times New Roman"/>
          <w:color w:val="000000" w:themeColor="text1"/>
          <w:sz w:val="16"/>
          <w:szCs w:val="16"/>
        </w:rPr>
        <w:softHyphen/>
        <w:t>нейший вид препятствия для танка в особенности при мягком или песочном грунте.</w:t>
      </w:r>
    </w:p>
    <w:p w14:paraId="3F4580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Удовлетворительно преодолеваются рвы, канавы, окопы, ходы сообщений при ширине не более 1,8 • 2,0 метра по верху в твердом грунте или с надежным креплением стенок.</w:t>
      </w:r>
    </w:p>
    <w:p w14:paraId="6862006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Танк не преодолевает надолб (противотанковое препятствие) из бревен толщиной 20 - 23 см, врытых в шахматном порядке под углом в 45°.</w:t>
      </w:r>
    </w:p>
    <w:p w14:paraId="12B780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преодоление естественных препятствий (приложение № 14).</w:t>
      </w:r>
    </w:p>
    <w:p w14:paraId="24C141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старой гусенице при мерзлом снежном грунте танк берет подъемы до 10 - 12°, на новой гусе</w:t>
      </w:r>
      <w:r w:rsidRPr="00A259BD">
        <w:rPr>
          <w:rFonts w:ascii="Times New Roman" w:hAnsi="Times New Roman"/>
          <w:color w:val="000000" w:themeColor="text1"/>
          <w:sz w:val="16"/>
          <w:szCs w:val="16"/>
        </w:rPr>
        <w:softHyphen/>
        <w:t>нице (до 25 - 27°), что недостаточно.</w:t>
      </w:r>
    </w:p>
    <w:p w14:paraId="2506CBD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Движение с креном (по косогору) возможно до 26°,</w:t>
      </w:r>
    </w:p>
    <w:p w14:paraId="10C6B3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Броды преодолеваются танком до I метра вполне надежно.</w:t>
      </w:r>
    </w:p>
    <w:p w14:paraId="31E3D84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Танк преодолевает канавы с водой, с топким дном шириною по верху до 1,0 метра и берегами вы</w:t>
      </w:r>
      <w:r w:rsidRPr="00A259BD">
        <w:rPr>
          <w:rFonts w:ascii="Times New Roman" w:hAnsi="Times New Roman"/>
          <w:color w:val="000000" w:themeColor="text1"/>
          <w:sz w:val="16"/>
          <w:szCs w:val="16"/>
        </w:rPr>
        <w:softHyphen/>
        <w:t>сотою до 0,8 метров.</w:t>
      </w:r>
    </w:p>
    <w:p w14:paraId="0CED1FB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Движение по слабо-болотистому грунту возможно.</w:t>
      </w:r>
    </w:p>
    <w:p w14:paraId="7FE790D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Кустарник и отдельные деревья до 10 см преодолеваются без затруднений.</w:t>
      </w:r>
    </w:p>
    <w:p w14:paraId="71AC79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Наблюдение из танка обычного типа (прорези) с крайне ограниченной видимостью.</w:t>
      </w:r>
    </w:p>
    <w:p w14:paraId="00C2A9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управление - внутри танка - обычное голосом и прикосновением рук, что явно неудовлетвори</w:t>
      </w:r>
      <w:r w:rsidRPr="00A259BD">
        <w:rPr>
          <w:rFonts w:ascii="Times New Roman" w:hAnsi="Times New Roman"/>
          <w:color w:val="000000" w:themeColor="text1"/>
          <w:sz w:val="16"/>
          <w:szCs w:val="16"/>
        </w:rPr>
        <w:softHyphen/>
        <w:t>тельно. Управление танком извне, в настоящее время, по существу ничем не обеспечено (трудно на</w:t>
      </w:r>
      <w:r w:rsidRPr="00A259BD">
        <w:rPr>
          <w:rFonts w:ascii="Times New Roman" w:hAnsi="Times New Roman"/>
          <w:color w:val="000000" w:themeColor="text1"/>
          <w:sz w:val="16"/>
          <w:szCs w:val="16"/>
        </w:rPr>
        <w:softHyphen/>
        <w:t>блюдаемая и ограниченная по содержанию флажковая сигнализация;</w:t>
      </w:r>
    </w:p>
    <w:p w14:paraId="46F8B3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ж) слышимость танка (звуковая демаскировка) - звук мотора и лязг гусеницы обнаруживается звукоулавливателем, даже несовершенного типа (“БАРР и </w:t>
      </w:r>
      <w:proofErr w:type="spellStart"/>
      <w:r w:rsidRPr="00A259BD">
        <w:rPr>
          <w:rFonts w:ascii="Times New Roman" w:hAnsi="Times New Roman"/>
          <w:color w:val="000000" w:themeColor="text1"/>
          <w:sz w:val="16"/>
          <w:szCs w:val="16"/>
        </w:rPr>
        <w:t>Струд</w:t>
      </w:r>
      <w:proofErr w:type="spellEnd"/>
      <w:r w:rsidRPr="00A259BD">
        <w:rPr>
          <w:rFonts w:ascii="Times New Roman" w:hAnsi="Times New Roman"/>
          <w:color w:val="000000" w:themeColor="text1"/>
          <w:sz w:val="16"/>
          <w:szCs w:val="16"/>
        </w:rPr>
        <w:t>” нашего изготовления) до 8 км в ле</w:t>
      </w:r>
      <w:r w:rsidRPr="00A259BD">
        <w:rPr>
          <w:rFonts w:ascii="Times New Roman" w:hAnsi="Times New Roman"/>
          <w:color w:val="000000" w:themeColor="text1"/>
          <w:sz w:val="16"/>
          <w:szCs w:val="16"/>
        </w:rPr>
        <w:softHyphen/>
        <w:t>су при неблагоприятных метеорологических условиях;</w:t>
      </w:r>
    </w:p>
    <w:p w14:paraId="4E027F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танк отличается хорошей, с точки зрения (маскировки, конфигураций);</w:t>
      </w:r>
    </w:p>
    <w:p w14:paraId="50D541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условия обслуживания танка, несмотря на некоторые улучшения в данном типе чрезвычайно трудны, что ограничивает возможность полезной боевой работы в танке для средне развитого физи</w:t>
      </w:r>
      <w:r w:rsidRPr="00A259BD">
        <w:rPr>
          <w:rFonts w:ascii="Times New Roman" w:hAnsi="Times New Roman"/>
          <w:color w:val="000000" w:themeColor="text1"/>
          <w:sz w:val="16"/>
          <w:szCs w:val="16"/>
        </w:rPr>
        <w:softHyphen/>
        <w:t>чески человека 2 - 3 часами работы (нахождение под огнем с закрытыми люками при работе мотора и в действии). (Приложение № 16 - 17).</w:t>
      </w:r>
    </w:p>
    <w:p w14:paraId="203BE4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w:t>
      </w:r>
    </w:p>
    <w:p w14:paraId="34B0CD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повысить боевую скорость движения до 10 — 12 км;</w:t>
      </w:r>
    </w:p>
    <w:p w14:paraId="7DBE4A0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улучшить поворотливость танка при любом курсовом угле движения без всякого замедления и приостановок, допуская крен до 30°;</w:t>
      </w:r>
    </w:p>
    <w:p w14:paraId="082B5A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провести систематические испытания по преодолению искусственных препятствий в услови</w:t>
      </w:r>
      <w:r w:rsidRPr="00A259BD">
        <w:rPr>
          <w:rFonts w:ascii="Times New Roman" w:hAnsi="Times New Roman"/>
          <w:color w:val="000000" w:themeColor="text1"/>
          <w:sz w:val="16"/>
          <w:szCs w:val="16"/>
        </w:rPr>
        <w:softHyphen/>
        <w:t>ях зимы, весны и лета, различных грунтов и атмосферных осадков, обратив особенное внимание на преодоление рогаток и порогов, надолб и др.; с целью повышения способности танка к преодолению препятствий и изыскания наилучших средств борьбы с танком;</w:t>
      </w:r>
    </w:p>
    <w:p w14:paraId="0232CD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увеличить способность танка брать подъемы до 45° и крен до 30";</w:t>
      </w:r>
    </w:p>
    <w:p w14:paraId="720754A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проработать на ближайшее будущее вопрос о возможности танка во время преодоления проволоч</w:t>
      </w:r>
      <w:r w:rsidRPr="00A259BD">
        <w:rPr>
          <w:rFonts w:ascii="Times New Roman" w:hAnsi="Times New Roman"/>
          <w:color w:val="000000" w:themeColor="text1"/>
          <w:sz w:val="16"/>
          <w:szCs w:val="16"/>
        </w:rPr>
        <w:softHyphen/>
        <w:t>ных заграждений перерезать или рвать проволоку на ширину своего хода по всей высоте заграждений;</w:t>
      </w:r>
    </w:p>
    <w:p w14:paraId="1E4884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улучшить систему наблюдения из танка, разработав и испытав различные варианты оптиче</w:t>
      </w:r>
      <w:r w:rsidRPr="00A259BD">
        <w:rPr>
          <w:rFonts w:ascii="Times New Roman" w:hAnsi="Times New Roman"/>
          <w:color w:val="000000" w:themeColor="text1"/>
          <w:sz w:val="16"/>
          <w:szCs w:val="16"/>
        </w:rPr>
        <w:softHyphen/>
        <w:t>ских приборов;</w:t>
      </w:r>
    </w:p>
    <w:p w14:paraId="5F00078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обеспечить внутреннюю и внешнюю связь танка;</w:t>
      </w:r>
    </w:p>
    <w:p w14:paraId="1F2E719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принять меры к лучшей маскировке танка в области звуковой (бесшумное движение);</w:t>
      </w:r>
    </w:p>
    <w:p w14:paraId="53C928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принять меры к лучшей защите от ушибов внутри танка и более совершенному оборудованию его в целях уменьшения утомляемости экипажа.</w:t>
      </w:r>
    </w:p>
    <w:p w14:paraId="672EB3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IV. В части общеорганизационной</w:t>
      </w:r>
    </w:p>
    <w:p w14:paraId="05A0D2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отработка и быстрейшее совершенствование данного типа танка требует организации даль</w:t>
      </w:r>
      <w:r w:rsidRPr="00A259BD">
        <w:rPr>
          <w:rFonts w:ascii="Times New Roman" w:hAnsi="Times New Roman"/>
          <w:color w:val="000000" w:themeColor="text1"/>
          <w:sz w:val="16"/>
          <w:szCs w:val="16"/>
        </w:rPr>
        <w:softHyphen/>
        <w:t>нейших систематических испытаний в определенном режиме полигонного характера в частности: в ближайшее время необходимо провести испытание по определению динамики износа танка, под</w:t>
      </w:r>
      <w:r w:rsidRPr="00A259BD">
        <w:rPr>
          <w:rFonts w:ascii="Times New Roman" w:hAnsi="Times New Roman"/>
          <w:color w:val="000000" w:themeColor="text1"/>
          <w:sz w:val="16"/>
          <w:szCs w:val="16"/>
        </w:rPr>
        <w:softHyphen/>
        <w:t>вергнув его воздействию пулеметного, гранатного и артиллерийского огня. В дальнейшем организо</w:t>
      </w:r>
      <w:r w:rsidRPr="00A259BD">
        <w:rPr>
          <w:rFonts w:ascii="Times New Roman" w:hAnsi="Times New Roman"/>
          <w:color w:val="000000" w:themeColor="text1"/>
          <w:sz w:val="16"/>
          <w:szCs w:val="16"/>
        </w:rPr>
        <w:softHyphen/>
        <w:t>вать специальный испытательный полигон для проведения всякого рода испытаний с танками после каждого крупного конструктивного изменения или вновь выпускаемого типа танка;</w:t>
      </w:r>
    </w:p>
    <w:p w14:paraId="05BA86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б) немедленно пересмотреть норму запасных частей и инструменты в авторитетной комиссии и, как правило, установить, что без надлежащего комплекта запасных частей и инструмента танк не должен по</w:t>
      </w:r>
      <w:r w:rsidRPr="00A259BD">
        <w:rPr>
          <w:rFonts w:ascii="Times New Roman" w:hAnsi="Times New Roman"/>
          <w:color w:val="000000" w:themeColor="text1"/>
          <w:sz w:val="16"/>
          <w:szCs w:val="16"/>
        </w:rPr>
        <w:softHyphen/>
        <w:t>ступать в эксплуатацию войсковой части;</w:t>
      </w:r>
    </w:p>
    <w:p w14:paraId="5FB4785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наладить постоянную рабочую связь и обмен опытом между конструкторами, заводом и войско</w:t>
      </w:r>
      <w:r w:rsidRPr="00A259BD">
        <w:rPr>
          <w:rFonts w:ascii="Times New Roman" w:hAnsi="Times New Roman"/>
          <w:color w:val="000000" w:themeColor="text1"/>
          <w:sz w:val="16"/>
          <w:szCs w:val="16"/>
        </w:rPr>
        <w:softHyphen/>
        <w:t>выми частями, введя в систему прикомандирование командиров танковых частей к заводам и обратно;</w:t>
      </w:r>
    </w:p>
    <w:p w14:paraId="297A35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немедленно принять меры к улучшению работы приемочного аппарата НКВМ при заводах, повысив требования по </w:t>
      </w:r>
      <w:proofErr w:type="spellStart"/>
      <w:r w:rsidRPr="00A259BD">
        <w:rPr>
          <w:rFonts w:ascii="Times New Roman" w:hAnsi="Times New Roman"/>
          <w:color w:val="000000" w:themeColor="text1"/>
          <w:sz w:val="16"/>
          <w:szCs w:val="16"/>
        </w:rPr>
        <w:t>добраковке</w:t>
      </w:r>
      <w:proofErr w:type="spellEnd"/>
      <w:r w:rsidRPr="00A259BD">
        <w:rPr>
          <w:rFonts w:ascii="Times New Roman" w:hAnsi="Times New Roman"/>
          <w:color w:val="000000" w:themeColor="text1"/>
          <w:sz w:val="16"/>
          <w:szCs w:val="16"/>
        </w:rPr>
        <w:t xml:space="preserve"> ответственных деталей танка и его оборудования;</w:t>
      </w:r>
    </w:p>
    <w:p w14:paraId="5068B4B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немедленно принять меры по улучшению службы восстановления и ремонта в танковых час</w:t>
      </w:r>
      <w:r w:rsidRPr="00A259BD">
        <w:rPr>
          <w:rFonts w:ascii="Times New Roman" w:hAnsi="Times New Roman"/>
          <w:color w:val="000000" w:themeColor="text1"/>
          <w:sz w:val="16"/>
          <w:szCs w:val="16"/>
        </w:rPr>
        <w:softHyphen/>
        <w:t>тях на базе лучшего обеспечения запасными частями, инструментом, стационарными и подвижны</w:t>
      </w:r>
      <w:r w:rsidRPr="00A259BD">
        <w:rPr>
          <w:rFonts w:ascii="Times New Roman" w:hAnsi="Times New Roman"/>
          <w:color w:val="000000" w:themeColor="text1"/>
          <w:sz w:val="16"/>
          <w:szCs w:val="16"/>
        </w:rPr>
        <w:softHyphen/>
        <w:t>ми (походными) мастерскими и повышения квалификации рабочей силы, в частности - наладить при содействии завода подготовку кадра регулировщиков танковых моторов;</w:t>
      </w:r>
    </w:p>
    <w:p w14:paraId="5BE985A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Военхозупру</w:t>
      </w:r>
      <w:r w:rsidRPr="00A259BD">
        <w:rPr>
          <w:rFonts w:ascii="Times New Roman" w:hAnsi="Times New Roman"/>
          <w:color w:val="000000" w:themeColor="text1"/>
          <w:sz w:val="16"/>
          <w:szCs w:val="16"/>
          <w:vertAlign w:val="superscript"/>
        </w:rPr>
        <w:t>1</w:t>
      </w:r>
      <w:r w:rsidRPr="00A259BD">
        <w:rPr>
          <w:rFonts w:ascii="Times New Roman" w:hAnsi="Times New Roman"/>
          <w:color w:val="000000" w:themeColor="text1"/>
          <w:sz w:val="16"/>
          <w:szCs w:val="16"/>
        </w:rPr>
        <w:t xml:space="preserve"> срочно разработать образцы специального обмундирования для танкистов (го</w:t>
      </w:r>
      <w:r w:rsidRPr="00A259BD">
        <w:rPr>
          <w:rFonts w:ascii="Times New Roman" w:hAnsi="Times New Roman"/>
          <w:color w:val="000000" w:themeColor="text1"/>
          <w:sz w:val="16"/>
          <w:szCs w:val="16"/>
        </w:rPr>
        <w:softHyphen/>
        <w:t>ловной убор, рабочий костюм, шинель и др.);</w:t>
      </w:r>
    </w:p>
    <w:p w14:paraId="28BA3C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ходатайствовать перед РВС СССР об усилении пайка для танкистов (в первую очередь - води</w:t>
      </w:r>
      <w:r w:rsidRPr="00A259BD">
        <w:rPr>
          <w:rFonts w:ascii="Times New Roman" w:hAnsi="Times New Roman"/>
          <w:color w:val="000000" w:themeColor="text1"/>
          <w:sz w:val="16"/>
          <w:szCs w:val="16"/>
        </w:rPr>
        <w:softHyphen/>
        <w:t>телей, командиров танков и рабочих) и улучшения бытовых условий (отдых);</w:t>
      </w:r>
    </w:p>
    <w:p w14:paraId="0BB78C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с целью повышения стрелковой и специальной выучки танкистов увеличить отпуск огнеприпа</w:t>
      </w:r>
      <w:r w:rsidRPr="00A259BD">
        <w:rPr>
          <w:rFonts w:ascii="Times New Roman" w:hAnsi="Times New Roman"/>
          <w:color w:val="000000" w:themeColor="text1"/>
          <w:sz w:val="16"/>
          <w:szCs w:val="16"/>
        </w:rPr>
        <w:softHyphen/>
        <w:t xml:space="preserve">сов (годовая норма) и </w:t>
      </w:r>
      <w:proofErr w:type="spellStart"/>
      <w:r w:rsidRPr="00A259BD">
        <w:rPr>
          <w:rFonts w:ascii="Times New Roman" w:hAnsi="Times New Roman"/>
          <w:color w:val="000000" w:themeColor="text1"/>
          <w:sz w:val="16"/>
          <w:szCs w:val="16"/>
        </w:rPr>
        <w:t>горючесмазочных</w:t>
      </w:r>
      <w:proofErr w:type="spellEnd"/>
      <w:r w:rsidRPr="00A259BD">
        <w:rPr>
          <w:rFonts w:ascii="Times New Roman" w:hAnsi="Times New Roman"/>
          <w:color w:val="000000" w:themeColor="text1"/>
          <w:sz w:val="16"/>
          <w:szCs w:val="16"/>
        </w:rPr>
        <w:t xml:space="preserve"> материалов, ускорив разработку специальных руководств по стрелковой подготовке и вождению танков.</w:t>
      </w:r>
    </w:p>
    <w:p w14:paraId="1B9E6C0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Общее заключение</w:t>
      </w:r>
    </w:p>
    <w:p w14:paraId="27A3F63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Несмотря на ряд существенных недостатков, данный тип танка все же можно охарактеризовать как боеспособную машину, могущую быть использованной с успехом в боевых условиях при соблю</w:t>
      </w:r>
      <w:r w:rsidRPr="00A259BD">
        <w:rPr>
          <w:rFonts w:ascii="Times New Roman" w:hAnsi="Times New Roman"/>
          <w:color w:val="000000" w:themeColor="text1"/>
          <w:sz w:val="16"/>
          <w:szCs w:val="16"/>
        </w:rPr>
        <w:softHyphen/>
        <w:t>дении определенных норм работы и обслуживания. Учитывая, однако, быстрый рост танковой техни</w:t>
      </w:r>
      <w:r w:rsidRPr="00A259BD">
        <w:rPr>
          <w:rFonts w:ascii="Times New Roman" w:hAnsi="Times New Roman"/>
          <w:color w:val="000000" w:themeColor="text1"/>
          <w:sz w:val="16"/>
          <w:szCs w:val="16"/>
        </w:rPr>
        <w:softHyphen/>
        <w:t>ки и уже утвержденную РВС СССР систему танкового вооружения РККА нужно признать этот тип переходным типом, нуждающимся в скорейшем приближении к уровню современных требований.</w:t>
      </w:r>
    </w:p>
    <w:p w14:paraId="58290D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Председатель комиссии: ном. </w:t>
      </w:r>
      <w:proofErr w:type="spellStart"/>
      <w:r w:rsidRPr="00A259BD">
        <w:rPr>
          <w:rFonts w:ascii="Times New Roman" w:hAnsi="Times New Roman"/>
          <w:color w:val="000000" w:themeColor="text1"/>
          <w:sz w:val="16"/>
          <w:szCs w:val="16"/>
        </w:rPr>
        <w:t>комвойск</w:t>
      </w:r>
      <w:proofErr w:type="spellEnd"/>
      <w:r w:rsidRPr="00A259BD">
        <w:rPr>
          <w:rFonts w:ascii="Times New Roman" w:hAnsi="Times New Roman"/>
          <w:color w:val="000000" w:themeColor="text1"/>
          <w:sz w:val="16"/>
          <w:szCs w:val="16"/>
        </w:rPr>
        <w:t xml:space="preserve"> МВО</w:t>
      </w:r>
    </w:p>
    <w:p w14:paraId="39FE3EB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Члены:</w:t>
      </w:r>
    </w:p>
    <w:p w14:paraId="69B924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РГВА. Ф. 31811. Оп. 1. Д. 229. Л. 1 - 7. Копия (11210).</w:t>
      </w:r>
    </w:p>
    <w:p w14:paraId="7EC31E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839A3E"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4-го ноября 1929 года</w:t>
      </w:r>
    </w:p>
    <w:p w14:paraId="39C0F88B"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Показания С. А. Хренникова от 4-го ноября 1929 года.</w:t>
      </w:r>
    </w:p>
    <w:p w14:paraId="3B0BB2EE"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ADC2469"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Когда Вы получали из английской миссии и от кого для проверки или для каких-либо других целей материалы конъюнктурного характера и что эти материалы из себя представляли?</w:t>
      </w:r>
    </w:p>
    <w:p w14:paraId="7A6DA2B6"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ОТВЕТ: Насколько я помню, материал, который я получал в [19]25 году из английской миссии, представлял из себя конъюнктуру СССР за год или полгода, точно не помню. Конъюнктура эта была напечатана на пишущей машинке, представляла из себя таблицу движения производства по разным видам промышленности, как, например, уголь, нефть, чугун и т. п. В конце, как заключение, было сказано, что конъюнктура ухудшается. Вместе с ней было получено письмо от ГЛАССА из Англии. Это было в одном конверте. В письме ГЛАСС просил проверить меня, соответствуют ли, действительно, эти данные этой конъюнктуре. Я посмотрел эту конъюнктуру и ответил письмом, что проверить этого, кроме металла, не берусь, а с металлом, насколько помню, сообщил, что верно. Одновременно я в этом же письме сообщил ГЛАССУ, что промышленность развивается и необходимо ускорить дело с концессиями. Через некоторое время, также в [19]25 году, я получил от ГЛАССА через английскую миссию — второе письмо, в котором он сообщает, что дело с концессиями они двигают, но что и мы должны действовать в СССР в пользу концессии. Одновременно ГЛАСС указывал в этом письме, что именно надо делать, как-то: 1) замедлять развитие производства металлопромышленности; 2) увеличивать затраты на капитальные работы, которые не дадут немедленного эффекта, но пригодятся для концессионеров в будущем; 3) вести пропаганду о необходимости прибегнуть к помощи иностранного капитала для возможности развития нашего производства; 4) и вообще приводить всеми мерами правительство к финансовому кризису и тем самым вынуждать его к сдаче предприятий в концессию. Вместе с этим, была прислана конъюнктура вторично и указывалось, что данные конъюнктуры показывают, что кризис приближается, что еще больше должно нас убеждать в необходимости нажима с нашей стороны для еще большего обострения. Других случаев получения писем или других материалов через миссию не было.</w:t>
      </w:r>
    </w:p>
    <w:p w14:paraId="5B0826C3"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Кому и когда Вы говорили о получении этой конъюнктуры из Англии через миссию?</w:t>
      </w:r>
    </w:p>
    <w:p w14:paraId="62C3F069"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ОТВЕТ: Помню, что о получении из Англии от ГЛАССА конъюнктуры упомянул в разговоре с МЕККОМ в НТК </w:t>
      </w:r>
      <w:proofErr w:type="spellStart"/>
      <w:r w:rsidRPr="00A259BD">
        <w:rPr>
          <w:rFonts w:ascii="Times New Roman" w:hAnsi="Times New Roman"/>
          <w:color w:val="000000" w:themeColor="text1"/>
          <w:sz w:val="16"/>
          <w:szCs w:val="16"/>
        </w:rPr>
        <w:t>НКПСа</w:t>
      </w:r>
      <w:proofErr w:type="spellEnd"/>
      <w:r w:rsidRPr="00A259BD">
        <w:rPr>
          <w:rFonts w:ascii="Times New Roman" w:hAnsi="Times New Roman"/>
          <w:color w:val="000000" w:themeColor="text1"/>
          <w:sz w:val="16"/>
          <w:szCs w:val="16"/>
        </w:rPr>
        <w:t xml:space="preserve">, который являлся членом </w:t>
      </w:r>
      <w:proofErr w:type="spellStart"/>
      <w:r w:rsidRPr="00A259BD">
        <w:rPr>
          <w:rFonts w:ascii="Times New Roman" w:hAnsi="Times New Roman"/>
          <w:color w:val="000000" w:themeColor="text1"/>
          <w:sz w:val="16"/>
          <w:szCs w:val="16"/>
        </w:rPr>
        <w:t>НТКа</w:t>
      </w:r>
      <w:proofErr w:type="spellEnd"/>
      <w:r w:rsidRPr="00A259BD">
        <w:rPr>
          <w:rFonts w:ascii="Times New Roman" w:hAnsi="Times New Roman"/>
          <w:color w:val="000000" w:themeColor="text1"/>
          <w:sz w:val="16"/>
          <w:szCs w:val="16"/>
        </w:rPr>
        <w:t>. Других лиц, с коими я говорил бы об этом — не помню.</w:t>
      </w:r>
    </w:p>
    <w:p w14:paraId="11EAE9BA"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Когда Вы говорили об этом МЕККУ и почему зашла речь с ним о конъюнктуре?</w:t>
      </w:r>
    </w:p>
    <w:p w14:paraId="7C154887"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ОТВЕТ: МЕККУ я говорил об этом в НТК [19]25 году на одном из заседаний НТК, вернее, во время перерыва в кулуарах, наедине. Помню, МЕКК обратился ко мне с такой фразой: «Ну, что, дела идут все хуже и хуже?» Это надо понимать, что он говорит о хозяйственном положении СССР. На это я ему ответил, что полученным из заграницы сведениям, признается, что конъюнктура СССР действительно ухудшается. На это МЕКК спросил: «Откуда Вам это известно?» Я ему сказал, что от моего знакомого ГЛАССА из Англии я получил конъюнктуру, в которой говорится о том, что положение ухудшается.</w:t>
      </w:r>
    </w:p>
    <w:p w14:paraId="578C5994"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Почему Вы говорили об этом МЕККУ, а не кому-либо другому?</w:t>
      </w:r>
    </w:p>
    <w:p w14:paraId="3E556A64"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ОТВЕТ: Во-первых, я считал МЕККА единомышленником и во-вторых — потому, что знал, что он является тоже вредителем. В разговоре со мной МЕКК заявил, что надо вести дело к дезорганизации промышленности, что все равно ничего не выйдет и что они ведут в НКПС такую линию. Я ему ответил, что у нас в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ведется та же линия. Это понималось им, что у нас в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имеется организация, а его я понимал, что в НКПС у них также имеется организация.</w:t>
      </w:r>
    </w:p>
    <w:p w14:paraId="6DDF602F"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Записано собственноручно. С. Хренников.</w:t>
      </w:r>
    </w:p>
    <w:p w14:paraId="2D79CD75"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4/XI-29 г. (18341).</w:t>
      </w:r>
    </w:p>
    <w:p w14:paraId="34CBC803" w14:textId="77777777" w:rsidR="00AB6C52" w:rsidRPr="00A259BD" w:rsidRDefault="00AB6C52" w:rsidP="009236E3">
      <w:pPr>
        <w:spacing w:after="0" w:line="240" w:lineRule="auto"/>
        <w:jc w:val="both"/>
        <w:rPr>
          <w:rFonts w:ascii="Times New Roman" w:hAnsi="Times New Roman"/>
          <w:color w:val="000000" w:themeColor="text1"/>
          <w:sz w:val="16"/>
          <w:szCs w:val="16"/>
        </w:rPr>
      </w:pPr>
    </w:p>
    <w:p w14:paraId="08C4F203"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ноября 1929</w:t>
      </w:r>
    </w:p>
    <w:p w14:paraId="0685052E"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Показания </w:t>
      </w:r>
      <w:proofErr w:type="spellStart"/>
      <w:r w:rsidRPr="00A259BD">
        <w:rPr>
          <w:rFonts w:ascii="Times New Roman" w:hAnsi="Times New Roman"/>
          <w:color w:val="000000" w:themeColor="text1"/>
          <w:sz w:val="16"/>
          <w:szCs w:val="16"/>
        </w:rPr>
        <w:t>Неймаера</w:t>
      </w:r>
      <w:proofErr w:type="spellEnd"/>
      <w:r w:rsidRPr="00A259BD">
        <w:rPr>
          <w:rFonts w:ascii="Times New Roman" w:hAnsi="Times New Roman"/>
          <w:color w:val="000000" w:themeColor="text1"/>
          <w:sz w:val="16"/>
          <w:szCs w:val="16"/>
        </w:rPr>
        <w:t xml:space="preserve"> Карла Францевича. 4/XI-29 г.</w:t>
      </w:r>
    </w:p>
    <w:p w14:paraId="38247002"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8E9BC57"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Уже во время второго приезда ГЛАССА в 1923 г. всей организации было ясно, что при существующих условиях никаких надежд на сдачу заводов концессионерам не имеется и что Советская власть на этот шаг не пойдет, поэтому оставалось выполнить по возможности предложение ГЛАССА о постепенном приведении заводов в такое состояние производственного развала, которое принудило бы Правительство сдавать их в концессию. В этом направлении и должна была быть построена работа каждого из участников </w:t>
      </w:r>
      <w:proofErr w:type="spellStart"/>
      <w:r w:rsidRPr="00A259BD">
        <w:rPr>
          <w:rFonts w:ascii="Times New Roman" w:hAnsi="Times New Roman"/>
          <w:color w:val="000000" w:themeColor="text1"/>
          <w:sz w:val="16"/>
          <w:szCs w:val="16"/>
        </w:rPr>
        <w:t>контр-революционной</w:t>
      </w:r>
      <w:proofErr w:type="spellEnd"/>
      <w:r w:rsidRPr="00A259BD">
        <w:rPr>
          <w:rFonts w:ascii="Times New Roman" w:hAnsi="Times New Roman"/>
          <w:color w:val="000000" w:themeColor="text1"/>
          <w:sz w:val="16"/>
          <w:szCs w:val="16"/>
        </w:rPr>
        <w:t xml:space="preserve"> деятельности по своей специальности. С такой установкой и было преступлено к выполнению указаний ГЛАССА, данных им ХРЕННИКОВУ.</w:t>
      </w:r>
    </w:p>
    <w:p w14:paraId="69EB379C"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Вредительская работа членов </w:t>
      </w:r>
      <w:proofErr w:type="spellStart"/>
      <w:r w:rsidRPr="00A259BD">
        <w:rPr>
          <w:rFonts w:ascii="Times New Roman" w:hAnsi="Times New Roman"/>
          <w:color w:val="000000" w:themeColor="text1"/>
          <w:sz w:val="16"/>
          <w:szCs w:val="16"/>
        </w:rPr>
        <w:t>контр-революционной</w:t>
      </w:r>
      <w:proofErr w:type="spellEnd"/>
      <w:r w:rsidRPr="00A259BD">
        <w:rPr>
          <w:rFonts w:ascii="Times New Roman" w:hAnsi="Times New Roman"/>
          <w:color w:val="000000" w:themeColor="text1"/>
          <w:sz w:val="16"/>
          <w:szCs w:val="16"/>
        </w:rPr>
        <w:t xml:space="preserve"> организации была распределена следующим образом: Н. Л. МАНУЙЛОВ — по металлургической части, В. А. ТИЛЕ — по прокатному производству, В. А. ТИХОМИРОВ — по машиностроению, Ф. С. МАЛАХОВСКИЙ —  по паровозостроению,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xml:space="preserve">. БУЙНЕВИЧ — по выплавке чугуна (теперь он находится заграницей) и я — по заготовительным вспомогательным производствам, ХРЕННИКОВ же возглавлял всю эту работу. В 1924 г. ХРЕННИКОВ заявил мне, что он продолжает поддерживать отношения с ГЛАССОМ через Английское Консульство, что он по тактическим соображениям переходит работать в </w:t>
      </w:r>
      <w:proofErr w:type="spellStart"/>
      <w:r w:rsidRPr="00A259BD">
        <w:rPr>
          <w:rFonts w:ascii="Times New Roman" w:hAnsi="Times New Roman"/>
          <w:color w:val="000000" w:themeColor="text1"/>
          <w:sz w:val="16"/>
          <w:szCs w:val="16"/>
        </w:rPr>
        <w:t>Главметалл</w:t>
      </w:r>
      <w:proofErr w:type="spellEnd"/>
      <w:r w:rsidRPr="00A259BD">
        <w:rPr>
          <w:rFonts w:ascii="Times New Roman" w:hAnsi="Times New Roman"/>
          <w:color w:val="000000" w:themeColor="text1"/>
          <w:sz w:val="16"/>
          <w:szCs w:val="16"/>
        </w:rPr>
        <w:t xml:space="preserve"> и оттуда будет руководить и направлять техническую работу по линии ГОМЗЫ и что там уже есть член </w:t>
      </w:r>
      <w:proofErr w:type="spellStart"/>
      <w:r w:rsidRPr="00A259BD">
        <w:rPr>
          <w:rFonts w:ascii="Times New Roman" w:hAnsi="Times New Roman"/>
          <w:color w:val="000000" w:themeColor="text1"/>
          <w:sz w:val="16"/>
          <w:szCs w:val="16"/>
        </w:rPr>
        <w:t>контр-революционной</w:t>
      </w:r>
      <w:proofErr w:type="spellEnd"/>
      <w:r w:rsidRPr="00A259BD">
        <w:rPr>
          <w:rFonts w:ascii="Times New Roman" w:hAnsi="Times New Roman"/>
          <w:color w:val="000000" w:themeColor="text1"/>
          <w:sz w:val="16"/>
          <w:szCs w:val="16"/>
        </w:rPr>
        <w:t xml:space="preserve"> организации — КУТСКИЙ. По существу дела группа ГОМЗЫ не могла по своей инициативе проводить то или иное вредительство без указания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как по производственной линии, так и по линии капитальных ремонтов и строительства.</w:t>
      </w:r>
    </w:p>
    <w:p w14:paraId="7FC14BFC"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Одним из заданий вредительского характера, полученного ГОМЗОЙ, была организация тракторостроения на Коломенском заводе, паровозный отдел которого надлежало приспособить для этого дела.</w:t>
      </w:r>
    </w:p>
    <w:p w14:paraId="358D0D77"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Выбран был для постройки трактор [«]Коломенец[»], запроектированный в Техбюро, бывшем при Правлении в Москве, где одновременно проектировались и тепловозы. Трактор имел простой нефтяной двигатель в 300 с чем-то сил. Оборудование Паровозного отдела только частично подходило для обработки тракторных мелких деталей, поэтому все крупные станки были без работы. Кроме того, ввиду большого количества нарезных зубчатых колес в тракторах, явилась необходимость в приобретении на внутренних, так и на заграничных рынках зуборезных станков. Затрачено много работы и средств на изготовление моделей, шаблонов, кондукторов, </w:t>
      </w:r>
      <w:proofErr w:type="spellStart"/>
      <w:r w:rsidRPr="00A259BD">
        <w:rPr>
          <w:rFonts w:ascii="Times New Roman" w:hAnsi="Times New Roman"/>
          <w:color w:val="000000" w:themeColor="text1"/>
          <w:sz w:val="16"/>
          <w:szCs w:val="16"/>
        </w:rPr>
        <w:t>болвано</w:t>
      </w:r>
      <w:proofErr w:type="spellEnd"/>
      <w:r w:rsidRPr="00A259BD">
        <w:rPr>
          <w:rFonts w:ascii="Times New Roman" w:hAnsi="Times New Roman"/>
          <w:color w:val="000000" w:themeColor="text1"/>
          <w:sz w:val="16"/>
          <w:szCs w:val="16"/>
        </w:rPr>
        <w:t>[к] для сборки, станков для испытания двигателя и самого трактора.</w:t>
      </w:r>
    </w:p>
    <w:p w14:paraId="7F4A5F13"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общем затраты выразились в солидной сумме 5 млн. руб. и все это для того, чтобы ликвидировать тракторостроение на Коломенском заводе через два года после его организации, так как трактор [«]Коломенец[»], как первый проект такового[,] был еще далеко не совершенен по своей конструкции, во-вторых, он получался очень дорогим, а в-третьих и самое главное — рост ж. д. транспорта вызвал усиленную потребность в паровозах, и </w:t>
      </w:r>
      <w:proofErr w:type="spellStart"/>
      <w:r w:rsidRPr="00A259BD">
        <w:rPr>
          <w:rFonts w:ascii="Times New Roman" w:hAnsi="Times New Roman"/>
          <w:color w:val="000000" w:themeColor="text1"/>
          <w:sz w:val="16"/>
          <w:szCs w:val="16"/>
        </w:rPr>
        <w:t>Коломзавод</w:t>
      </w:r>
      <w:proofErr w:type="spellEnd"/>
      <w:r w:rsidRPr="00A259BD">
        <w:rPr>
          <w:rFonts w:ascii="Times New Roman" w:hAnsi="Times New Roman"/>
          <w:color w:val="000000" w:themeColor="text1"/>
          <w:sz w:val="16"/>
          <w:szCs w:val="16"/>
        </w:rPr>
        <w:t>[у] подлежало вновь перестраивать свое производство на паровозы. Для осуществления последнего вновь пришлось ломать фундаменты станков для испытания двигателей и тракторов, выбрасывать ненужные станки, все это связано с сравнительно значительными расходами.</w:t>
      </w:r>
    </w:p>
    <w:p w14:paraId="632E5BBA"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Если бы завод продолжал делать этот трактор, то в процессе работы он смог бы быть усовершенствован и удешевлен, при такой же спешной ликвидации производства осталось много неиспользованного полуфабриката и уже собранных двигателей и если последние можно было еще частично реализовать, то первые надо было бросать в мартеновскую печь.</w:t>
      </w:r>
    </w:p>
    <w:p w14:paraId="0481EA48"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Таким образом были растрачены большие средства, не давшие никаких результатов и затраты остались потерянными. Всего за время производства было выпущено более 1.000 шт. тракторов, которые оказались совершенно негодными.</w:t>
      </w:r>
    </w:p>
    <w:p w14:paraId="07057B5D"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После провала тракторостроения на Коломенском заводе и решения его ликвидировать, полуфабрикаты были переданы заводу «Красный Профинтерн», который должен был продолжать постройку тракторов, Для каковой цели начали приспосабливать </w:t>
      </w:r>
      <w:proofErr w:type="spellStart"/>
      <w:r w:rsidRPr="00A259BD">
        <w:rPr>
          <w:rFonts w:ascii="Times New Roman" w:hAnsi="Times New Roman"/>
          <w:color w:val="000000" w:themeColor="text1"/>
          <w:sz w:val="16"/>
          <w:szCs w:val="16"/>
        </w:rPr>
        <w:t>машиносборочную</w:t>
      </w:r>
      <w:proofErr w:type="spellEnd"/>
      <w:r w:rsidRPr="00A259BD">
        <w:rPr>
          <w:rFonts w:ascii="Times New Roman" w:hAnsi="Times New Roman"/>
          <w:color w:val="000000" w:themeColor="text1"/>
          <w:sz w:val="16"/>
          <w:szCs w:val="16"/>
        </w:rPr>
        <w:t xml:space="preserve"> мастерскую, но последние работы не были доведены до конца, [так] как ГОМЗЫ получила приказ совершенно прекратить тракторостроение.</w:t>
      </w:r>
    </w:p>
    <w:p w14:paraId="785A62E4"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Убытки от тракторостроения на обоих заводах весьма значительны и выражаются в сумме 6-1/2 млн руб.</w:t>
      </w:r>
    </w:p>
    <w:p w14:paraId="3E90C94D"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Преподанное ГОМЗЕ </w:t>
      </w:r>
      <w:proofErr w:type="spellStart"/>
      <w:r w:rsidRPr="00A259BD">
        <w:rPr>
          <w:rFonts w:ascii="Times New Roman" w:hAnsi="Times New Roman"/>
          <w:color w:val="000000" w:themeColor="text1"/>
          <w:sz w:val="16"/>
          <w:szCs w:val="16"/>
        </w:rPr>
        <w:t>Главметаллом</w:t>
      </w:r>
      <w:proofErr w:type="spellEnd"/>
      <w:r w:rsidRPr="00A259BD">
        <w:rPr>
          <w:rFonts w:ascii="Times New Roman" w:hAnsi="Times New Roman"/>
          <w:color w:val="000000" w:themeColor="text1"/>
          <w:sz w:val="16"/>
          <w:szCs w:val="16"/>
        </w:rPr>
        <w:t xml:space="preserve"> в лице металлообработки задание на тракторостроение на Коломенском и Брянском заводах является вредительским актом на техническом и экономическом фронтах.</w:t>
      </w:r>
    </w:p>
    <w:p w14:paraId="53876E35"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Виновными вредительского акта по тракторостроению со стороны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xml:space="preserve"> являются ХРЕННИКОВ, КУТСКИЙ, МИЛЮКОВ, а по линии ГОМЗЫ — Технический Отдел Центр. Правления в лице моем, ТИХОМИРОВА, а по Коломенскому заводу — Техн. Директор ПУГАВКО С. В.</w:t>
      </w:r>
    </w:p>
    <w:p w14:paraId="0D9BBBED"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Записано собственноручно К. НЕЙМАЕР.</w:t>
      </w:r>
    </w:p>
    <w:p w14:paraId="2A853051"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4/XI-29 г. (18345).</w:t>
      </w:r>
    </w:p>
    <w:p w14:paraId="529B5643" w14:textId="77777777" w:rsidR="00AB6C52" w:rsidRPr="00A259BD" w:rsidRDefault="00AB6C52" w:rsidP="009236E3">
      <w:pPr>
        <w:spacing w:after="0" w:line="240" w:lineRule="auto"/>
        <w:jc w:val="both"/>
        <w:rPr>
          <w:rFonts w:ascii="Times New Roman" w:hAnsi="Times New Roman"/>
          <w:color w:val="000000" w:themeColor="text1"/>
          <w:sz w:val="16"/>
          <w:szCs w:val="16"/>
        </w:rPr>
      </w:pPr>
    </w:p>
    <w:p w14:paraId="2C49231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CD38ED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B1B4F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ноября 1929 состоялось совещание на заводе 26 им. </w:t>
      </w:r>
      <w:proofErr w:type="spellStart"/>
      <w:r w:rsidRPr="00A259BD">
        <w:rPr>
          <w:rFonts w:ascii="Times New Roman" w:hAnsi="Times New Roman"/>
          <w:color w:val="000000" w:themeColor="text1"/>
          <w:sz w:val="16"/>
          <w:szCs w:val="16"/>
        </w:rPr>
        <w:t>В.Н.Павлова</w:t>
      </w:r>
      <w:proofErr w:type="spellEnd"/>
      <w:r w:rsidRPr="00A259BD">
        <w:rPr>
          <w:rFonts w:ascii="Times New Roman" w:hAnsi="Times New Roman"/>
          <w:color w:val="000000" w:themeColor="text1"/>
          <w:sz w:val="16"/>
          <w:szCs w:val="16"/>
        </w:rPr>
        <w:t xml:space="preserve"> о состоянии оборудования и производства на заводе (2367,33).</w:t>
      </w:r>
    </w:p>
    <w:p w14:paraId="51CC98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13D0A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039847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9BC0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ноября 1929 вышло Решение ЦК ВКП(б) о строительстве Харьковского тракторного завода (ХТЗ) (10687).</w:t>
      </w:r>
    </w:p>
    <w:p w14:paraId="073848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9825DD" w14:textId="77777777" w:rsidR="00CA07BA" w:rsidRPr="00A259BD" w:rsidRDefault="00CA07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ноября 1929 Москва. Решение ЦК ВКП(б) о строительстве Харьковского тракторного завода (ХТЗ). Строительство ХТЗ им. Серго Орджоникидзе началось в 1930 году в 15 километрах к востоку от Харькова. Всего на постройку гиганта ушло 15 месяцев. Первый трактор покинул конвейер 1 октября 1931 года – это была заимствованная модель Сталинградского завода СХТЗ 15/30.</w:t>
      </w:r>
    </w:p>
    <w:p w14:paraId="36F147C8" w14:textId="77777777" w:rsidR="00CA07BA" w:rsidRPr="00A259BD" w:rsidRDefault="00CA07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модели ХЗТ советского периода:</w:t>
      </w:r>
    </w:p>
    <w:p w14:paraId="615B9BD8" w14:textId="77777777" w:rsidR="00CA07BA" w:rsidRPr="00A259BD" w:rsidRDefault="00CA07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СХТЗ 15/30 (колесный, 1930).</w:t>
      </w:r>
    </w:p>
    <w:p w14:paraId="1276A5A8" w14:textId="77777777" w:rsidR="00CA07BA" w:rsidRPr="00A259BD" w:rsidRDefault="00CA07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СХЗТ-НАТИ ИТА (гусеничный, 1937) (21168)</w:t>
      </w:r>
    </w:p>
    <w:p w14:paraId="6CBDDEFE" w14:textId="77777777" w:rsidR="00CA07BA" w:rsidRPr="00A259BD" w:rsidRDefault="00CA07BA" w:rsidP="009236E3">
      <w:pPr>
        <w:spacing w:after="0" w:line="240" w:lineRule="auto"/>
        <w:jc w:val="both"/>
        <w:rPr>
          <w:rFonts w:ascii="Times New Roman" w:hAnsi="Times New Roman"/>
          <w:color w:val="000000" w:themeColor="text1"/>
          <w:sz w:val="16"/>
          <w:szCs w:val="16"/>
          <w:shd w:val="clear" w:color="auto" w:fill="FFFFFF"/>
        </w:rPr>
      </w:pPr>
    </w:p>
    <w:p w14:paraId="7E06BD85" w14:textId="77777777" w:rsidR="009E7C7E" w:rsidRPr="00A259BD" w:rsidRDefault="009E7C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ноября 1929 состоялось заседание ПБ (Протокол № 106. Особый № 104) (23087).</w:t>
      </w:r>
    </w:p>
    <w:p w14:paraId="63A19B90" w14:textId="77777777" w:rsidR="009E7C7E" w:rsidRPr="00A259BD" w:rsidRDefault="009E7C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 грузовых автомобилях.</w:t>
      </w:r>
    </w:p>
    <w:p w14:paraId="49D9D414" w14:textId="77777777" w:rsidR="009E7C7E" w:rsidRPr="00A259BD" w:rsidRDefault="009E7C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 Сталин).</w:t>
      </w:r>
    </w:p>
    <w:p w14:paraId="44A9EB44" w14:textId="77777777" w:rsidR="009E7C7E" w:rsidRPr="00A259BD" w:rsidRDefault="009E7C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Считать необходимым срочный ввоз дополнительно 5 тысяч </w:t>
      </w:r>
      <w:proofErr w:type="spellStart"/>
      <w:r w:rsidRPr="00A259BD">
        <w:rPr>
          <w:rFonts w:ascii="Times New Roman" w:hAnsi="Times New Roman"/>
          <w:color w:val="000000" w:themeColor="text1"/>
          <w:sz w:val="16"/>
          <w:szCs w:val="16"/>
        </w:rPr>
        <w:t>грузовыхх</w:t>
      </w:r>
      <w:proofErr w:type="spellEnd"/>
      <w:r w:rsidRPr="00A259BD">
        <w:rPr>
          <w:rFonts w:ascii="Times New Roman" w:hAnsi="Times New Roman"/>
          <w:color w:val="000000" w:themeColor="text1"/>
          <w:sz w:val="16"/>
          <w:szCs w:val="16"/>
        </w:rPr>
        <w:t xml:space="preserve"> авто</w:t>
      </w:r>
      <w:r w:rsidRPr="00A259BD">
        <w:rPr>
          <w:rFonts w:ascii="Times New Roman" w:hAnsi="Times New Roman"/>
          <w:color w:val="000000" w:themeColor="text1"/>
          <w:sz w:val="16"/>
          <w:szCs w:val="16"/>
        </w:rPr>
        <w:softHyphen/>
        <w:t>мобилей.</w:t>
      </w:r>
    </w:p>
    <w:p w14:paraId="45B36E0A" w14:textId="77777777" w:rsidR="009E7C7E" w:rsidRPr="00A259BD" w:rsidRDefault="009E7C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Поручить Комитету по содействию автомобилизации внести свои соображения на основе состоявшегося обмена мнений на сле</w:t>
      </w:r>
      <w:r w:rsidRPr="00A259BD">
        <w:rPr>
          <w:rFonts w:ascii="Times New Roman" w:hAnsi="Times New Roman"/>
          <w:color w:val="000000" w:themeColor="text1"/>
          <w:sz w:val="16"/>
          <w:szCs w:val="16"/>
        </w:rPr>
        <w:softHyphen/>
        <w:t>дующее заседание ПБ.</w:t>
      </w:r>
    </w:p>
    <w:p w14:paraId="0F914369" w14:textId="77777777" w:rsidR="009E7C7E" w:rsidRPr="00A259BD" w:rsidRDefault="009E7C7E"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Выписака</w:t>
      </w:r>
      <w:proofErr w:type="spellEnd"/>
      <w:r w:rsidRPr="00A259BD">
        <w:rPr>
          <w:rFonts w:ascii="Times New Roman" w:hAnsi="Times New Roman"/>
          <w:color w:val="000000" w:themeColor="text1"/>
          <w:sz w:val="16"/>
          <w:szCs w:val="16"/>
        </w:rPr>
        <w:t xml:space="preserve"> послана: т. Рудзутаку.</w:t>
      </w:r>
    </w:p>
    <w:p w14:paraId="52D3DB73" w14:textId="77777777" w:rsidR="009E7C7E" w:rsidRPr="00A259BD" w:rsidRDefault="009E7C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октября 1929 опросом членов ПБ</w:t>
      </w:r>
    </w:p>
    <w:p w14:paraId="2496AF7C" w14:textId="77777777" w:rsidR="009E7C7E" w:rsidRPr="00A259BD" w:rsidRDefault="009E7C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w:t>
      </w:r>
      <w:proofErr w:type="spellStart"/>
      <w:r w:rsidRPr="00A259BD">
        <w:rPr>
          <w:rFonts w:ascii="Times New Roman" w:hAnsi="Times New Roman"/>
          <w:color w:val="000000" w:themeColor="text1"/>
          <w:sz w:val="16"/>
          <w:szCs w:val="16"/>
        </w:rPr>
        <w:t>Boпрос</w:t>
      </w:r>
      <w:proofErr w:type="spellEnd"/>
      <w:r w:rsidRPr="00A259BD">
        <w:rPr>
          <w:rFonts w:ascii="Times New Roman" w:hAnsi="Times New Roman"/>
          <w:color w:val="000000" w:themeColor="text1"/>
          <w:sz w:val="16"/>
          <w:szCs w:val="16"/>
        </w:rPr>
        <w:t xml:space="preserve"> т. Ворошилова.</w:t>
      </w:r>
    </w:p>
    <w:p w14:paraId="43D6E051" w14:textId="77777777" w:rsidR="009E7C7E" w:rsidRPr="00A259BD" w:rsidRDefault="009E7C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Переместить один дредноут и один крейсер из района Балтий</w:t>
      </w:r>
      <w:r w:rsidRPr="00A259BD">
        <w:rPr>
          <w:rFonts w:ascii="Times New Roman" w:hAnsi="Times New Roman"/>
          <w:color w:val="000000" w:themeColor="text1"/>
          <w:sz w:val="16"/>
          <w:szCs w:val="16"/>
        </w:rPr>
        <w:softHyphen/>
        <w:t>ского моря в Черное море.</w:t>
      </w:r>
    </w:p>
    <w:p w14:paraId="25686D14" w14:textId="77777777" w:rsidR="009E7C7E" w:rsidRPr="00A259BD" w:rsidRDefault="009E7C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послана: т. Ворошилову.</w:t>
      </w:r>
    </w:p>
    <w:p w14:paraId="322D5017" w14:textId="77777777" w:rsidR="009E7C7E" w:rsidRPr="00A259BD" w:rsidRDefault="009E7C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О В.</w:t>
      </w:r>
    </w:p>
    <w:p w14:paraId="0F664233" w14:textId="77777777" w:rsidR="009E7C7E" w:rsidRPr="00A259BD" w:rsidRDefault="009E7C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Поставить на вид ОГПУ, что оно ни сумело в свое время открыть и ликвидировать изменническую антисоветскую работу Блюмкина.</w:t>
      </w:r>
    </w:p>
    <w:p w14:paraId="610648B6" w14:textId="77777777" w:rsidR="009E7C7E" w:rsidRPr="00A259BD" w:rsidRDefault="009E7C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Блюмкина расстрелять.</w:t>
      </w:r>
    </w:p>
    <w:p w14:paraId="49205212" w14:textId="77777777" w:rsidR="009E7C7E" w:rsidRPr="00A259BD" w:rsidRDefault="009E7C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Поручить ОГПУ установить точно характер поведения Горской.</w:t>
      </w:r>
    </w:p>
    <w:p w14:paraId="77F96237" w14:textId="77777777" w:rsidR="009E7C7E" w:rsidRPr="00A259BD" w:rsidRDefault="009E7C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послана: т. Ягоде.</w:t>
      </w:r>
    </w:p>
    <w:p w14:paraId="3539C47A" w14:textId="77777777" w:rsidR="009E7C7E" w:rsidRPr="00A259BD" w:rsidRDefault="009E7C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О каучуке.</w:t>
      </w:r>
    </w:p>
    <w:p w14:paraId="043356C3" w14:textId="77777777" w:rsidR="009E7C7E" w:rsidRPr="00A259BD" w:rsidRDefault="009E7C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Поставить в Политбюро через месяц доклад ВСНХ о состоянии дел и перспективах советского каучука (</w:t>
      </w:r>
      <w:proofErr w:type="spellStart"/>
      <w:r w:rsidRPr="00A259BD">
        <w:rPr>
          <w:rFonts w:ascii="Times New Roman" w:hAnsi="Times New Roman"/>
          <w:color w:val="000000" w:themeColor="text1"/>
          <w:sz w:val="16"/>
          <w:szCs w:val="16"/>
        </w:rPr>
        <w:t>хандрилла</w:t>
      </w:r>
      <w:proofErr w:type="spellEnd"/>
      <w:r w:rsidRPr="00A259BD">
        <w:rPr>
          <w:rFonts w:ascii="Times New Roman" w:hAnsi="Times New Roman"/>
          <w:color w:val="000000" w:themeColor="text1"/>
          <w:sz w:val="16"/>
          <w:szCs w:val="16"/>
        </w:rPr>
        <w:t xml:space="preserve">, киевский каучук, и мексиканская </w:t>
      </w:r>
      <w:proofErr w:type="spellStart"/>
      <w:r w:rsidRPr="00A259BD">
        <w:rPr>
          <w:rFonts w:ascii="Times New Roman" w:hAnsi="Times New Roman"/>
          <w:color w:val="000000" w:themeColor="text1"/>
          <w:sz w:val="16"/>
          <w:szCs w:val="16"/>
        </w:rPr>
        <w:t>гуанола</w:t>
      </w:r>
      <w:proofErr w:type="spellEnd"/>
      <w:r w:rsidRPr="00A259BD">
        <w:rPr>
          <w:rFonts w:ascii="Times New Roman" w:hAnsi="Times New Roman"/>
          <w:color w:val="000000" w:themeColor="text1"/>
          <w:sz w:val="16"/>
          <w:szCs w:val="16"/>
        </w:rPr>
        <w:t>).</w:t>
      </w:r>
    </w:p>
    <w:p w14:paraId="40943388" w14:textId="77777777" w:rsidR="009E7C7E" w:rsidRPr="00A259BD" w:rsidRDefault="009E7C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Выписка послана: т. </w:t>
      </w:r>
      <w:proofErr w:type="spellStart"/>
      <w:r w:rsidRPr="00A259BD">
        <w:rPr>
          <w:rFonts w:ascii="Times New Roman" w:hAnsi="Times New Roman"/>
          <w:color w:val="000000" w:themeColor="text1"/>
          <w:sz w:val="16"/>
          <w:szCs w:val="16"/>
        </w:rPr>
        <w:t>Куйбыщеву</w:t>
      </w:r>
      <w:proofErr w:type="spellEnd"/>
      <w:r w:rsidRPr="00A259BD">
        <w:rPr>
          <w:rFonts w:ascii="Times New Roman" w:hAnsi="Times New Roman"/>
          <w:color w:val="000000" w:themeColor="text1"/>
          <w:sz w:val="16"/>
          <w:szCs w:val="16"/>
        </w:rPr>
        <w:t xml:space="preserve"> (23087).</w:t>
      </w:r>
    </w:p>
    <w:p w14:paraId="1089C732" w14:textId="77777777" w:rsidR="009E7C7E" w:rsidRPr="00A259BD" w:rsidRDefault="009E7C7E" w:rsidP="009236E3">
      <w:pPr>
        <w:spacing w:after="0" w:line="240" w:lineRule="auto"/>
        <w:jc w:val="both"/>
        <w:rPr>
          <w:rFonts w:ascii="Times New Roman" w:hAnsi="Times New Roman"/>
          <w:color w:val="000000" w:themeColor="text1"/>
          <w:sz w:val="16"/>
          <w:szCs w:val="16"/>
        </w:rPr>
      </w:pPr>
    </w:p>
    <w:p w14:paraId="1538D8EE"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5-го ноября 1929 г.</w:t>
      </w:r>
    </w:p>
    <w:p w14:paraId="40E6EAD8"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Показания C.А. Хренникова от 5-го ноября 1929 г.</w:t>
      </w:r>
    </w:p>
    <w:p w14:paraId="75CC25C6"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D21DCF"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Что Вам было известно и от кого о существовании вредительских организаций в других отраслях промышленности?</w:t>
      </w:r>
    </w:p>
    <w:p w14:paraId="1ECE51DD"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ОТВЕТ: Я знал от МЕККА, что в НКПС имеется к-p организация, насколько я его понял, во главе с ним. Это я узнал из разговора с ним в 1925 году, но подозрения об этом были и раньше. Подозрения были основаны на тех несуразных действиях НКПС в те времена, как требования на подвижной состав и запасные части постоянно менялись, некоторые запросы были или слишком преувеличены или слишком преуменьшены. МЕККУ я также сказал, что уже в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имеется такая организация. Далее, я понимал из разговоров с РАБИНОВИЧЕМ, что подобная к-p организация существует в каменно-угольной промышленности. РАБИНОВИЧ в разговорах со мной и в выступлениях в разные годы — в [19]23 г. в Клубе Горных Деятелей, на заседаниях </w:t>
      </w:r>
      <w:proofErr w:type="spellStart"/>
      <w:r w:rsidRPr="00A259BD">
        <w:rPr>
          <w:rFonts w:ascii="Times New Roman" w:hAnsi="Times New Roman"/>
          <w:color w:val="000000" w:themeColor="text1"/>
          <w:sz w:val="16"/>
          <w:szCs w:val="16"/>
        </w:rPr>
        <w:t>Главконцесскома</w:t>
      </w:r>
      <w:proofErr w:type="spellEnd"/>
      <w:r w:rsidRPr="00A259BD">
        <w:rPr>
          <w:rFonts w:ascii="Times New Roman" w:hAnsi="Times New Roman"/>
          <w:color w:val="000000" w:themeColor="text1"/>
          <w:sz w:val="16"/>
          <w:szCs w:val="16"/>
        </w:rPr>
        <w:t xml:space="preserve"> в [19]25—26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высказывался определенно, что необходимо вести к тому, чтобы заставить правительство прибегнуть к помощи иностранного капитала. От ГАРТВАНА я знал, что в Госплане существует поддержка нашим действиям с его стороны, со стороны ТАУБЕ. О подробностях работы каждой организация старался не расспрашивать, да и сам не рассказывал подробности, так как считал это вредным. Работа к-p организации в металлопромышленности направлялась директивами, исходившими из заграницы от объединения группы бывших владельцев и банков, получаемых мною от представителей такового объединения ГЛАССА и МЕЩЕРСКОГО, входивших в это объединение[,] и другими, как, напр., ЖДАНОВ от ЖИВОТОВСКОГО, СВИЦЫН от ГЛАССА.</w:t>
      </w:r>
    </w:p>
    <w:p w14:paraId="6C273F95"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Директивы из заграницы, как я уже показывал, получались мною от ГЛАССА и МЕЩЕРСКОГО, лично при свиданиях и в письменном виде, через английскую миссию. В основном, директивы сводились по периодам к следующему: до [19]23—24 года сохранять предприятия Для концессий и всячески содействовать созданию благоприятной обстановки для этого. С 1925 года уже было дано указание приступить к более активным действиям, в виде непосредственных вредительских актов, чтобы вызвать финансовые затруднения у правительства, с целью невозможности своими средствами удовлетворить потребности страны в металлоизделиях и тем самым была бы сорвана индустриализация страны.</w:t>
      </w:r>
    </w:p>
    <w:p w14:paraId="38BF2F17"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Хренников.</w:t>
      </w:r>
    </w:p>
    <w:p w14:paraId="197E57DB"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5/XI-29 года.</w:t>
      </w:r>
    </w:p>
    <w:p w14:paraId="1EFD1F83"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ПОКАЗАНИЯ С. А. ХРЕННИКОВА.</w:t>
      </w:r>
    </w:p>
    <w:p w14:paraId="6FAEABD8"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вредительстве в </w:t>
      </w:r>
      <w:proofErr w:type="spellStart"/>
      <w:r w:rsidRPr="00A259BD">
        <w:rPr>
          <w:rFonts w:ascii="Times New Roman" w:hAnsi="Times New Roman"/>
          <w:color w:val="000000" w:themeColor="text1"/>
          <w:sz w:val="16"/>
          <w:szCs w:val="16"/>
        </w:rPr>
        <w:t>ГИПРОМЕЗе</w:t>
      </w:r>
      <w:proofErr w:type="spellEnd"/>
      <w:r w:rsidRPr="00A259BD">
        <w:rPr>
          <w:rFonts w:ascii="Times New Roman" w:hAnsi="Times New Roman"/>
          <w:color w:val="000000" w:themeColor="text1"/>
          <w:sz w:val="16"/>
          <w:szCs w:val="16"/>
        </w:rPr>
        <w:t>.</w:t>
      </w:r>
    </w:p>
    <w:p w14:paraId="1B0373B5"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1926 году я назначен был председателем Технического Совета Гипромеза. С моим участием там были проведены следующие вредительские акты:</w:t>
      </w:r>
    </w:p>
    <w:p w14:paraId="6E7AB281"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Утвержден был проект Нижне-Тагильского вагонного завода с преувеличением его мощности, благодаря излишним постройкам вспомогательных и заготовительных цехов, как, например, сталелитейной, которая могла быть соединена с сталелитейной Свердловского завода. Это было проведено по инициативе БЕЛОНОЖКИНА.</w:t>
      </w:r>
    </w:p>
    <w:p w14:paraId="741EF133"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Проведено задание на реконструкцию завода «Красный Путиловец», </w:t>
      </w:r>
      <w:proofErr w:type="spellStart"/>
      <w:r w:rsidRPr="00A259BD">
        <w:rPr>
          <w:rFonts w:ascii="Times New Roman" w:hAnsi="Times New Roman"/>
          <w:color w:val="000000" w:themeColor="text1"/>
          <w:sz w:val="16"/>
          <w:szCs w:val="16"/>
        </w:rPr>
        <w:t>несоответствующ</w:t>
      </w:r>
      <w:proofErr w:type="spellEnd"/>
      <w:r w:rsidRPr="00A259BD">
        <w:rPr>
          <w:rFonts w:ascii="Times New Roman" w:hAnsi="Times New Roman"/>
          <w:color w:val="000000" w:themeColor="text1"/>
          <w:sz w:val="16"/>
          <w:szCs w:val="16"/>
        </w:rPr>
        <w:t xml:space="preserve">[ее] требованиям страны, невыгодное в экономическом отношении и </w:t>
      </w:r>
      <w:proofErr w:type="spellStart"/>
      <w:r w:rsidRPr="00A259BD">
        <w:rPr>
          <w:rFonts w:ascii="Times New Roman" w:hAnsi="Times New Roman"/>
          <w:color w:val="000000" w:themeColor="text1"/>
          <w:sz w:val="16"/>
          <w:szCs w:val="16"/>
        </w:rPr>
        <w:t>неувязанное</w:t>
      </w:r>
      <w:proofErr w:type="spellEnd"/>
      <w:r w:rsidRPr="00A259BD">
        <w:rPr>
          <w:rFonts w:ascii="Times New Roman" w:hAnsi="Times New Roman"/>
          <w:color w:val="000000" w:themeColor="text1"/>
          <w:sz w:val="16"/>
          <w:szCs w:val="16"/>
        </w:rPr>
        <w:t xml:space="preserve"> с другими заводами Ленинграда. Именно: а) дано задание на производство до 180 паровозов, что явно было преувеличено и, кроме того, развитие паровозостроения в Ленинграде экономически невыгодно; б) была преувеличена металлургическая программа и </w:t>
      </w:r>
      <w:proofErr w:type="spellStart"/>
      <w:r w:rsidRPr="00A259BD">
        <w:rPr>
          <w:rFonts w:ascii="Times New Roman" w:hAnsi="Times New Roman"/>
          <w:color w:val="000000" w:themeColor="text1"/>
          <w:sz w:val="16"/>
          <w:szCs w:val="16"/>
        </w:rPr>
        <w:t>неувязана</w:t>
      </w:r>
      <w:proofErr w:type="spellEnd"/>
      <w:r w:rsidRPr="00A259BD">
        <w:rPr>
          <w:rFonts w:ascii="Times New Roman" w:hAnsi="Times New Roman"/>
          <w:color w:val="000000" w:themeColor="text1"/>
          <w:sz w:val="16"/>
          <w:szCs w:val="16"/>
        </w:rPr>
        <w:t xml:space="preserve"> даже с заводами Ленинграда. По этому заданию был сделан предварительный проект, который, однако, был забракован. Провести это задание в Техсовете Гипромеза мне в начале удалось лишь благодаря тому, что вопрос этот был умышленно мною поставлен под самый конец сессии, когда много беспристрастных инженеров из провинции, которые бы могли воспрепятствовать проведению этого задания, уже разъехались. Фактически это задание было проведено наличием в сессии инженеров, причастных к вредительству, а с другой стороны, благодаря сочувствию ленинградских членов Совета из патриотизма.</w:t>
      </w:r>
    </w:p>
    <w:p w14:paraId="621838EC"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3.  Умышленно была сначала проведена линия проектирования механических заводов (напр., Тагильского) на работу в одну смену, что должно было повлечь за собой сильно преувеличенную стоимость завода. Это делалось БЕЛОНОЖКИНЫМ, но впоследствии не прошло, т. к. большинство членов стало на сторону многосменной работы.</w:t>
      </w:r>
    </w:p>
    <w:p w14:paraId="564C9844"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Проведены проекты кузницы и чугунно-литейной для тракторного производства на з-де «Красный Путиловец» без увязки с другими подобными мастерскими, как, напр., на заводе Карла Маркса.</w:t>
      </w:r>
    </w:p>
    <w:p w14:paraId="537A3D12"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Записано собственноручно С. Хренников.</w:t>
      </w:r>
    </w:p>
    <w:p w14:paraId="1385C99D"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5/XI-29 г.</w:t>
      </w:r>
    </w:p>
    <w:p w14:paraId="0E9438FF"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353. Л. 3-21. Машинописные копии того времени. На Л. 3,6, 7,10,11, 13, 17, 19, 21 вверху слева — делопроизводственные пометы машинисток.</w:t>
      </w:r>
    </w:p>
    <w:p w14:paraId="675B4183"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Л. 10, 16, 18,20 после машинописной подписи С. А. Хренникова напечатано «Верно:» (заверяющие подписи отсутствуют) (18342).</w:t>
      </w:r>
    </w:p>
    <w:p w14:paraId="32ED253E" w14:textId="77777777" w:rsidR="00AB6C52" w:rsidRPr="00A259BD" w:rsidRDefault="00AB6C52" w:rsidP="009236E3">
      <w:pPr>
        <w:spacing w:after="0" w:line="240" w:lineRule="auto"/>
        <w:jc w:val="both"/>
        <w:rPr>
          <w:rFonts w:ascii="Times New Roman" w:hAnsi="Times New Roman"/>
          <w:color w:val="000000" w:themeColor="text1"/>
          <w:sz w:val="16"/>
          <w:szCs w:val="16"/>
        </w:rPr>
      </w:pPr>
    </w:p>
    <w:p w14:paraId="4EBA8F84"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5-го ноября 1929 г.</w:t>
      </w:r>
    </w:p>
    <w:p w14:paraId="6620AC8B"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Показания </w:t>
      </w:r>
      <w:proofErr w:type="spellStart"/>
      <w:r w:rsidRPr="00A259BD">
        <w:rPr>
          <w:rFonts w:ascii="Times New Roman" w:hAnsi="Times New Roman"/>
          <w:color w:val="000000" w:themeColor="text1"/>
          <w:sz w:val="16"/>
          <w:szCs w:val="16"/>
        </w:rPr>
        <w:t>Неймаера</w:t>
      </w:r>
      <w:proofErr w:type="spellEnd"/>
      <w:r w:rsidRPr="00A259BD">
        <w:rPr>
          <w:rFonts w:ascii="Times New Roman" w:hAnsi="Times New Roman"/>
          <w:color w:val="000000" w:themeColor="text1"/>
          <w:sz w:val="16"/>
          <w:szCs w:val="16"/>
        </w:rPr>
        <w:t xml:space="preserve"> Карла Францевича от 5-го ноября 1929 г.</w:t>
      </w:r>
    </w:p>
    <w:p w14:paraId="0E88386D"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AE95E9A"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Продолжаю свои показания от 4-го ноября с. г.: после ухода ХРЕННИКОВА из ГОМЗЫ в [19]24 году у нас было нелегальное совещание, на котором присутствовали ХРЕННИКОВ, я, МАНУЙЛОВ, ТИЛЕ, ТИХОМИРОВ, ПОЛУБОЯРИНОВ. Совещание по вопросу о вредительстве происходило в ГОМЗЕ в конце рабочего дня и являлось как бы продолжением делового совещания, при этом ХРЕННИКОВ заявил, что он переходит в </w:t>
      </w:r>
      <w:proofErr w:type="spellStart"/>
      <w:r w:rsidRPr="00A259BD">
        <w:rPr>
          <w:rFonts w:ascii="Times New Roman" w:hAnsi="Times New Roman"/>
          <w:color w:val="000000" w:themeColor="text1"/>
          <w:sz w:val="16"/>
          <w:szCs w:val="16"/>
        </w:rPr>
        <w:t>Главметалл</w:t>
      </w:r>
      <w:proofErr w:type="spellEnd"/>
      <w:r w:rsidRPr="00A259BD">
        <w:rPr>
          <w:rFonts w:ascii="Times New Roman" w:hAnsi="Times New Roman"/>
          <w:color w:val="000000" w:themeColor="text1"/>
          <w:sz w:val="16"/>
          <w:szCs w:val="16"/>
        </w:rPr>
        <w:t xml:space="preserve">, что связь его с заграницей с </w:t>
      </w:r>
      <w:proofErr w:type="spellStart"/>
      <w:r w:rsidRPr="00A259BD">
        <w:rPr>
          <w:rFonts w:ascii="Times New Roman" w:hAnsi="Times New Roman"/>
          <w:color w:val="000000" w:themeColor="text1"/>
          <w:sz w:val="16"/>
          <w:szCs w:val="16"/>
        </w:rPr>
        <w:t>Торгпромом</w:t>
      </w:r>
      <w:proofErr w:type="spellEnd"/>
      <w:r w:rsidRPr="00A259BD">
        <w:rPr>
          <w:rFonts w:ascii="Times New Roman" w:hAnsi="Times New Roman"/>
          <w:color w:val="000000" w:themeColor="text1"/>
          <w:sz w:val="16"/>
          <w:szCs w:val="16"/>
        </w:rPr>
        <w:t xml:space="preserve"> через ГЛАССА и английское консульство сохраняется и что он будет давать директивы по вредительской линии из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xml:space="preserve"> совместно с КУТСКИМ; кроме того, он просил, чтобы работа велась сугубо осторожно и все действия были по возможности завуалированы. Все руководство работой в ГОМЗЕ возлагалось на меня, причем по рекомендации ХРЕННИКОВА, я занял его место — начальника Технического отдела.</w:t>
      </w:r>
    </w:p>
    <w:p w14:paraId="05DF0BD9"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Далее, перехожу [к] системе вредительства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xml:space="preserve"> на трест ГОМЗЫ. </w:t>
      </w:r>
      <w:proofErr w:type="spellStart"/>
      <w:r w:rsidRPr="00A259BD">
        <w:rPr>
          <w:rFonts w:ascii="Times New Roman" w:hAnsi="Times New Roman"/>
          <w:color w:val="000000" w:themeColor="text1"/>
          <w:sz w:val="16"/>
          <w:szCs w:val="16"/>
        </w:rPr>
        <w:t>Главметалл</w:t>
      </w:r>
      <w:proofErr w:type="spellEnd"/>
      <w:r w:rsidRPr="00A259BD">
        <w:rPr>
          <w:rFonts w:ascii="Times New Roman" w:hAnsi="Times New Roman"/>
          <w:color w:val="000000" w:themeColor="text1"/>
          <w:sz w:val="16"/>
          <w:szCs w:val="16"/>
        </w:rPr>
        <w:t xml:space="preserve">, в лице </w:t>
      </w:r>
      <w:proofErr w:type="spellStart"/>
      <w:r w:rsidRPr="00A259BD">
        <w:rPr>
          <w:rFonts w:ascii="Times New Roman" w:hAnsi="Times New Roman"/>
          <w:color w:val="000000" w:themeColor="text1"/>
          <w:sz w:val="16"/>
          <w:szCs w:val="16"/>
        </w:rPr>
        <w:t>металлообработк</w:t>
      </w:r>
      <w:proofErr w:type="spellEnd"/>
      <w:r w:rsidRPr="00A259BD">
        <w:rPr>
          <w:rFonts w:ascii="Times New Roman" w:hAnsi="Times New Roman"/>
          <w:color w:val="000000" w:themeColor="text1"/>
          <w:sz w:val="16"/>
          <w:szCs w:val="16"/>
        </w:rPr>
        <w:t>[и], являлся полным хозяином как по части даваемых ГОМЗЕ заданий по выполнению производственных программ на те или другие изделия, так и по части разрешения вопросов нового строительства, капитальных ремонтов, реконструкции заводов и отпускаемых на них средств. Производственные программы менялись очень часто до их окончательного утверждения; точно так же и суммы, ассигнованные на те или иные работы капитального ремонта и строительства. Все это разрешалось с большим опозданием и не давало тресту возможности заблаговременно, перед началом нового операционного года, делать подготовку материалов и других ресурсов производства, а отсюда, как последствие, — слабая нагрузка заводов в 1 и 2 кварталах операционного года, невыполнение заданных программ, а вследствие понижения темпа производства в начале операционного года и повышение себестоимости производства.</w:t>
      </w:r>
    </w:p>
    <w:p w14:paraId="58D62566"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Кроме того, </w:t>
      </w:r>
      <w:proofErr w:type="spellStart"/>
      <w:r w:rsidRPr="00A259BD">
        <w:rPr>
          <w:rFonts w:ascii="Times New Roman" w:hAnsi="Times New Roman"/>
          <w:color w:val="000000" w:themeColor="text1"/>
          <w:sz w:val="16"/>
          <w:szCs w:val="16"/>
        </w:rPr>
        <w:t>Главметалл</w:t>
      </w:r>
      <w:proofErr w:type="spellEnd"/>
      <w:r w:rsidRPr="00A259BD">
        <w:rPr>
          <w:rFonts w:ascii="Times New Roman" w:hAnsi="Times New Roman"/>
          <w:color w:val="000000" w:themeColor="text1"/>
          <w:sz w:val="16"/>
          <w:szCs w:val="16"/>
        </w:rPr>
        <w:t xml:space="preserve"> совершенно не увязывал машиностроения с металлургией и в то время, как программа неравносильно росла, последняя совершенно не обладала достаточными производственными ресурсами для удовлетворения первого. Из-за этого все, и особенно крупные машиностроительные заводы ГОМЗЫ, всегда терпели металлический голод, из-за чего ни одно производство не выполнялось нормальным темпом. Развитие металлургии шло слишком замедленным темпом и в некоторых случаях машиностроительные заводы вынуждены были требовать выписки черного металла из заграницы, на что, конечно, тратилась дорогая валюта. В частности, по тресту ГОМЗЫ было выписано котельное железо для паровозов и даже части железа для судостроения.</w:t>
      </w:r>
    </w:p>
    <w:p w14:paraId="2A65A248"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Все это получалось благодаря умышленно неправильному плану реконструкции металлопромышленности, проводимому </w:t>
      </w:r>
      <w:proofErr w:type="spellStart"/>
      <w:r w:rsidRPr="00A259BD">
        <w:rPr>
          <w:rFonts w:ascii="Times New Roman" w:hAnsi="Times New Roman"/>
          <w:color w:val="000000" w:themeColor="text1"/>
          <w:sz w:val="16"/>
          <w:szCs w:val="16"/>
        </w:rPr>
        <w:t>Главметаллом</w:t>
      </w:r>
      <w:proofErr w:type="spellEnd"/>
      <w:r w:rsidRPr="00A259BD">
        <w:rPr>
          <w:rFonts w:ascii="Times New Roman" w:hAnsi="Times New Roman"/>
          <w:color w:val="000000" w:themeColor="text1"/>
          <w:sz w:val="16"/>
          <w:szCs w:val="16"/>
        </w:rPr>
        <w:t>, в силу которого реконструкция металлообрабатывающей промышленности шла значительно быстрее, нежели добывающей (рудники — уголь, руда) и металлургической. Но и реконструкция обрабатывающей промышленности шла без определенного плана и по некоторым производствам — спорадически. Трестами не давалось определенных указаний о направлении этой реконструкции заводов, какую они должны были получить; тресты не получали указаний о той специализации заводов, которую они должны были бы иметь, не получали подробных проработанных производственных заданий, которые должны были бы быть положены в основу плана реконструкции заводов треста.</w:t>
      </w:r>
    </w:p>
    <w:p w14:paraId="180F7109"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Все подобные установки работы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xml:space="preserve">, в общем, и металлообработки[,] частности, кроме вреда ничего не приносили для дела; они затрудняли работы по переустройству проектных организаций и заводов по составлению проектов. Строго говоря, таковое положение создавалось в </w:t>
      </w:r>
      <w:proofErr w:type="spellStart"/>
      <w:r w:rsidRPr="00A259BD">
        <w:rPr>
          <w:rFonts w:ascii="Times New Roman" w:hAnsi="Times New Roman"/>
          <w:color w:val="000000" w:themeColor="text1"/>
          <w:sz w:val="16"/>
          <w:szCs w:val="16"/>
        </w:rPr>
        <w:t>Главмашинстрое</w:t>
      </w:r>
      <w:proofErr w:type="spellEnd"/>
      <w:r w:rsidRPr="00A259BD">
        <w:rPr>
          <w:rFonts w:ascii="Times New Roman" w:hAnsi="Times New Roman"/>
          <w:color w:val="000000" w:themeColor="text1"/>
          <w:sz w:val="16"/>
          <w:szCs w:val="16"/>
        </w:rPr>
        <w:t xml:space="preserve"> и в настоящее время и </w:t>
      </w:r>
      <w:proofErr w:type="spellStart"/>
      <w:r w:rsidRPr="00A259BD">
        <w:rPr>
          <w:rFonts w:ascii="Times New Roman" w:hAnsi="Times New Roman"/>
          <w:color w:val="000000" w:themeColor="text1"/>
          <w:sz w:val="16"/>
          <w:szCs w:val="16"/>
        </w:rPr>
        <w:t>Мосгипромез</w:t>
      </w:r>
      <w:proofErr w:type="spellEnd"/>
      <w:r w:rsidRPr="00A259BD">
        <w:rPr>
          <w:rFonts w:ascii="Times New Roman" w:hAnsi="Times New Roman"/>
          <w:color w:val="000000" w:themeColor="text1"/>
          <w:sz w:val="16"/>
          <w:szCs w:val="16"/>
        </w:rPr>
        <w:t xml:space="preserve"> никак не может получить требующиеся ему для проектировки реконструкции заводов ГОМЗЫ данные по основной производственной программе пяти-  и десятилетки, без чего вся проектная работа не двигается, проекты запаздывают, а в результате всего этого запаздывает и строительство, а, следовательно, и план выполнения пятилетки находится под ударом.</w:t>
      </w:r>
    </w:p>
    <w:p w14:paraId="237027AF"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Такие серьезные отрасли машиностроения, как дизелестроение, прорабатываются в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весьма слабо, не выясняется более точно и подробно потребность в этих двигателях, не прорабатывалось как следует, каким образом следовало осуществлять эту программу и, в результате, дизелестроение было осуществлено на многих крупных заводах: Сормово, Коломна, Русский Дизель, Харьков, завод б. </w:t>
      </w:r>
      <w:proofErr w:type="spellStart"/>
      <w:r w:rsidRPr="00A259BD">
        <w:rPr>
          <w:rFonts w:ascii="Times New Roman" w:hAnsi="Times New Roman"/>
          <w:color w:val="000000" w:themeColor="text1"/>
          <w:sz w:val="16"/>
          <w:szCs w:val="16"/>
        </w:rPr>
        <w:t>Наваль</w:t>
      </w:r>
      <w:proofErr w:type="spellEnd"/>
      <w:r w:rsidRPr="00A259BD">
        <w:rPr>
          <w:rFonts w:ascii="Times New Roman" w:hAnsi="Times New Roman"/>
          <w:color w:val="000000" w:themeColor="text1"/>
          <w:sz w:val="16"/>
          <w:szCs w:val="16"/>
        </w:rPr>
        <w:t xml:space="preserve"> в Николаеве, б. </w:t>
      </w:r>
      <w:proofErr w:type="spellStart"/>
      <w:r w:rsidRPr="00A259BD">
        <w:rPr>
          <w:rFonts w:ascii="Times New Roman" w:hAnsi="Times New Roman"/>
          <w:color w:val="000000" w:themeColor="text1"/>
          <w:sz w:val="16"/>
          <w:szCs w:val="16"/>
        </w:rPr>
        <w:t>Фельзер</w:t>
      </w:r>
      <w:proofErr w:type="spellEnd"/>
      <w:r w:rsidRPr="00A259BD">
        <w:rPr>
          <w:rFonts w:ascii="Times New Roman" w:hAnsi="Times New Roman"/>
          <w:color w:val="000000" w:themeColor="text1"/>
          <w:sz w:val="16"/>
          <w:szCs w:val="16"/>
        </w:rPr>
        <w:t xml:space="preserve"> в Нижнем, а также на московском заводе быв. </w:t>
      </w:r>
      <w:proofErr w:type="spellStart"/>
      <w:r w:rsidRPr="00A259BD">
        <w:rPr>
          <w:rFonts w:ascii="Times New Roman" w:hAnsi="Times New Roman"/>
          <w:color w:val="000000" w:themeColor="text1"/>
          <w:sz w:val="16"/>
          <w:szCs w:val="16"/>
        </w:rPr>
        <w:t>Бромлей</w:t>
      </w:r>
      <w:proofErr w:type="spellEnd"/>
      <w:r w:rsidRPr="00A259BD">
        <w:rPr>
          <w:rFonts w:ascii="Times New Roman" w:hAnsi="Times New Roman"/>
          <w:color w:val="000000" w:themeColor="text1"/>
          <w:sz w:val="16"/>
          <w:szCs w:val="16"/>
        </w:rPr>
        <w:t>, последнее является полнейшим абсурдом и излишней тратой средств.</w:t>
      </w:r>
    </w:p>
    <w:p w14:paraId="20AF2E02"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Таким образом, в течение целого ряда [лет] </w:t>
      </w:r>
      <w:proofErr w:type="spellStart"/>
      <w:r w:rsidRPr="00A259BD">
        <w:rPr>
          <w:rFonts w:ascii="Times New Roman" w:hAnsi="Times New Roman"/>
          <w:color w:val="000000" w:themeColor="text1"/>
          <w:sz w:val="16"/>
          <w:szCs w:val="16"/>
        </w:rPr>
        <w:t>Главметалл</w:t>
      </w:r>
      <w:proofErr w:type="spellEnd"/>
      <w:r w:rsidRPr="00A259BD">
        <w:rPr>
          <w:rFonts w:ascii="Times New Roman" w:hAnsi="Times New Roman"/>
          <w:color w:val="000000" w:themeColor="text1"/>
          <w:sz w:val="16"/>
          <w:szCs w:val="16"/>
        </w:rPr>
        <w:t xml:space="preserve"> вел вредительскую работу по всем отраслям промышленности.</w:t>
      </w:r>
    </w:p>
    <w:p w14:paraId="7B84B680"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 как директивы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xml:space="preserve"> являются обязательными для всех трестов и заводов металлопромышленности, то они и проводились в жизнь, осуществляя планы вредителей.</w:t>
      </w:r>
    </w:p>
    <w:p w14:paraId="2D5A3A0C"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Главными руководителями по линии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xml:space="preserve"> в течение целого ряда [лет] являются ХРЕННИКОВ, КУТСКИЙ, МОЛЧАНОВ и ЖДАНОВ; я же признаю себя виновным в том, что проводил сознательно вышеназванные мероприятия по ГОМЗЕ в жизнь.</w:t>
      </w:r>
    </w:p>
    <w:p w14:paraId="7971A769"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Записано собственноручно. </w:t>
      </w:r>
      <w:proofErr w:type="spellStart"/>
      <w:r w:rsidRPr="00A259BD">
        <w:rPr>
          <w:rFonts w:ascii="Times New Roman" w:hAnsi="Times New Roman"/>
          <w:color w:val="000000" w:themeColor="text1"/>
          <w:sz w:val="16"/>
          <w:szCs w:val="16"/>
        </w:rPr>
        <w:t>Неймаер</w:t>
      </w:r>
      <w:proofErr w:type="spellEnd"/>
      <w:r w:rsidRPr="00A259BD">
        <w:rPr>
          <w:rFonts w:ascii="Times New Roman" w:hAnsi="Times New Roman"/>
          <w:color w:val="000000" w:themeColor="text1"/>
          <w:sz w:val="16"/>
          <w:szCs w:val="16"/>
        </w:rPr>
        <w:t>.</w:t>
      </w:r>
    </w:p>
    <w:p w14:paraId="18306B2C"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 353. Л. 35-44. Машинописные копии того времени. На Л. 35,37,39, 42 вверху слева — делопроизводственные пометы машинисток. На Л. 44 после машинописной подписи К. Ф. </w:t>
      </w:r>
      <w:proofErr w:type="spellStart"/>
      <w:r w:rsidRPr="00A259BD">
        <w:rPr>
          <w:rFonts w:ascii="Times New Roman" w:hAnsi="Times New Roman"/>
          <w:color w:val="000000" w:themeColor="text1"/>
          <w:sz w:val="16"/>
          <w:szCs w:val="16"/>
        </w:rPr>
        <w:t>Неймаера</w:t>
      </w:r>
      <w:proofErr w:type="spellEnd"/>
      <w:r w:rsidRPr="00A259BD">
        <w:rPr>
          <w:rFonts w:ascii="Times New Roman" w:hAnsi="Times New Roman"/>
          <w:color w:val="000000" w:themeColor="text1"/>
          <w:sz w:val="16"/>
          <w:szCs w:val="16"/>
        </w:rPr>
        <w:t xml:space="preserve"> напечатано: «Верно:» (заверяющая подпись отсутствует) (18346).</w:t>
      </w:r>
    </w:p>
    <w:p w14:paraId="148C2C90" w14:textId="77777777" w:rsidR="00AB6C52" w:rsidRPr="00A259BD" w:rsidRDefault="00AB6C52" w:rsidP="009236E3">
      <w:pPr>
        <w:spacing w:after="0" w:line="240" w:lineRule="auto"/>
        <w:jc w:val="both"/>
        <w:rPr>
          <w:rFonts w:ascii="Times New Roman" w:hAnsi="Times New Roman"/>
          <w:color w:val="000000" w:themeColor="text1"/>
          <w:sz w:val="16"/>
          <w:szCs w:val="16"/>
        </w:rPr>
      </w:pPr>
    </w:p>
    <w:p w14:paraId="60963EEB"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7EF8967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B105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ноября 1929 с Москве открылся планетарий - первый в СССР (3263,628).</w:t>
      </w:r>
    </w:p>
    <w:p w14:paraId="1F3001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B13DA1" w14:textId="77777777" w:rsidR="00566015" w:rsidRPr="00A259BD" w:rsidRDefault="00566015"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5 ноября</w:t>
      </w:r>
      <w:r w:rsidRPr="00A259BD">
        <w:rPr>
          <w:rFonts w:ascii="Times New Roman" w:hAnsi="Times New Roman"/>
          <w:color w:val="000000" w:themeColor="text1"/>
          <w:sz w:val="16"/>
          <w:szCs w:val="16"/>
        </w:rPr>
        <w:t xml:space="preserve"> в 1929 году в Москве открылся первый в СССР планетарий и была проведена первая лекция с демонстрацией искусственного звездного неба. Первым лектором стал директор планетария </w:t>
      </w:r>
      <w:proofErr w:type="spellStart"/>
      <w:r w:rsidRPr="00A259BD">
        <w:rPr>
          <w:rFonts w:ascii="Times New Roman" w:hAnsi="Times New Roman"/>
          <w:color w:val="000000" w:themeColor="text1"/>
          <w:sz w:val="16"/>
          <w:szCs w:val="16"/>
        </w:rPr>
        <w:t>К.Н.Шистовский</w:t>
      </w:r>
      <w:proofErr w:type="spellEnd"/>
      <w:r w:rsidRPr="00A259BD">
        <w:rPr>
          <w:rFonts w:ascii="Times New Roman" w:hAnsi="Times New Roman"/>
          <w:color w:val="000000" w:themeColor="text1"/>
          <w:sz w:val="16"/>
          <w:szCs w:val="16"/>
        </w:rPr>
        <w:t xml:space="preserve">. Строительство планетария производилось по проекту архитекторов </w:t>
      </w:r>
      <w:proofErr w:type="spellStart"/>
      <w:r w:rsidRPr="00A259BD">
        <w:rPr>
          <w:rFonts w:ascii="Times New Roman" w:hAnsi="Times New Roman"/>
          <w:color w:val="000000" w:themeColor="text1"/>
          <w:sz w:val="16"/>
          <w:szCs w:val="16"/>
        </w:rPr>
        <w:t>М.О.Барща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М.И.Синявского</w:t>
      </w:r>
      <w:proofErr w:type="spellEnd"/>
      <w:r w:rsidRPr="00A259BD">
        <w:rPr>
          <w:rFonts w:ascii="Times New Roman" w:hAnsi="Times New Roman"/>
          <w:color w:val="000000" w:themeColor="text1"/>
          <w:sz w:val="16"/>
          <w:szCs w:val="16"/>
        </w:rPr>
        <w:t xml:space="preserve"> с 23 сентября 1928 года, когда в день осеннего равноденствия в фундамент был заложен первый кирпич. В прессе появились восторженные отклики. В журнале "Искра" появились статьи с описанием звездного театра, а на обложке "Огонька" было помещено изображение аппарата планетарий. </w:t>
      </w:r>
      <w:proofErr w:type="spellStart"/>
      <w:r w:rsidRPr="00A259BD">
        <w:rPr>
          <w:rFonts w:ascii="Times New Roman" w:hAnsi="Times New Roman"/>
          <w:color w:val="000000" w:themeColor="text1"/>
          <w:sz w:val="16"/>
          <w:szCs w:val="16"/>
        </w:rPr>
        <w:t>В.В.Маяковский</w:t>
      </w:r>
      <w:proofErr w:type="spellEnd"/>
      <w:r w:rsidRPr="00A259BD">
        <w:rPr>
          <w:rFonts w:ascii="Times New Roman" w:hAnsi="Times New Roman"/>
          <w:color w:val="000000" w:themeColor="text1"/>
          <w:sz w:val="16"/>
          <w:szCs w:val="16"/>
        </w:rPr>
        <w:t xml:space="preserve"> отозвался стихотворением: "Пролетарка, пролетарий, заходите в планетарий..." В самом начале деятельности планетария в нем читались всего три темы по астрономии: "Был ли сотворен мир в шесть дней?", "Земля - шар", "Строение Вселенной". К 1939 году в планетарии читалось около 40 различных тем. Было проведено 16 500 лекций. В первый год существования учреждения небольшим коллективом лекторов - изобретателей был создан прибор Восходящее Солнце, который работал вплоть до закрытия планетария в 1994 году. В 1930-е годы в Московском планетарии работал "Стратосферный комитет", сотрудники которого вели изучение верхних слоев атмосферы и занимались проблемами реактивного движения. Именно в Московском планетарии впервые в мире был разработан и внедрен способ исследования динамики стратосферы при помощи стратосферных зондов с дымовыми шашками. В 1934 году при планетарии был создан астрономический кружок, причем кружковцы не только занимались, но и работали демонстраторами на астрономических пунктах в парках Москвы. Перед Отечественной войной астропункты пропускали до 90 - 100 тысяч человек за сезон. Перед войной в планетарии существовал и специальный звездный театр, поставивший три пьесы: "Галилей", "Джордано Бруно" и "Коперник". С началом Великой Отечественной войны в планетарии проводились специальные лекции Военного цикла для разведчиков и военных летчиков. Помимо лекций в годы войны проводились и выездные лекции по астрономии. В первые же дни войны многие сотрудники планетария были мобилизованы и выехали на фронт. Почти все они погибли на полях сражений.... В 1946 году при планетарии началось строительство астрономической площадки, а с 7 сентября 1947 года по ней начались регулярные экскурсии, проводившиеся до 1988 года. На площадке были установлены оригинальные наглядные пособия и измерительные приборы. В 1954 году член союза писателей СССР, сотрудник планетария, фронтовик </w:t>
      </w:r>
      <w:proofErr w:type="spellStart"/>
      <w:r w:rsidRPr="00A259BD">
        <w:rPr>
          <w:rFonts w:ascii="Times New Roman" w:hAnsi="Times New Roman"/>
          <w:color w:val="000000" w:themeColor="text1"/>
          <w:sz w:val="16"/>
          <w:szCs w:val="16"/>
        </w:rPr>
        <w:t>В.Н.Чухров</w:t>
      </w:r>
      <w:proofErr w:type="spellEnd"/>
      <w:r w:rsidRPr="00A259BD">
        <w:rPr>
          <w:rFonts w:ascii="Times New Roman" w:hAnsi="Times New Roman"/>
          <w:color w:val="000000" w:themeColor="text1"/>
          <w:sz w:val="16"/>
          <w:szCs w:val="16"/>
        </w:rPr>
        <w:t xml:space="preserve"> создал творческий коллектив ПХУТЭМ (</w:t>
      </w:r>
      <w:proofErr w:type="spellStart"/>
      <w:r w:rsidRPr="00A259BD">
        <w:rPr>
          <w:rFonts w:ascii="Times New Roman" w:hAnsi="Times New Roman"/>
          <w:color w:val="000000" w:themeColor="text1"/>
          <w:sz w:val="16"/>
          <w:szCs w:val="16"/>
        </w:rPr>
        <w:t>Планетарский</w:t>
      </w:r>
      <w:proofErr w:type="spellEnd"/>
      <w:r w:rsidRPr="00A259BD">
        <w:rPr>
          <w:rFonts w:ascii="Times New Roman" w:hAnsi="Times New Roman"/>
          <w:color w:val="000000" w:themeColor="text1"/>
          <w:sz w:val="16"/>
          <w:szCs w:val="16"/>
        </w:rPr>
        <w:t xml:space="preserve"> художественный театр эстрадных миниатюр). В начале 1960-х годов в Звездном зале Московского планетария проводилась подготовка первых космонавтов по астронавигации, причем лекторам, обучавшим будущих космонавтов, сообщалось, что они готовят летчиков полярной авиации. В 1977 году планетарий был реконструирован. Вместо старого аппарата был установлен аппарат нового поколения с программным управлением фирмы Карла Цейса. В 1990 году при планетарии была открыта народная обсерватория, в которой был установлен самый большой телескоп в Москве, доступный для массовых наблюдений. С 1989 года действовал Фантастический театр, труппа которого поставила несколько спектаклей по произведениям знаменитых писателей-фантастов. 14 июля 1994 года Московский планетарий закрылся на ремонт... (14821).</w:t>
      </w:r>
    </w:p>
    <w:p w14:paraId="1D961219" w14:textId="77777777" w:rsidR="00566015" w:rsidRPr="00A259BD" w:rsidRDefault="00566015" w:rsidP="009236E3">
      <w:pPr>
        <w:spacing w:after="0" w:line="240" w:lineRule="auto"/>
        <w:jc w:val="both"/>
        <w:rPr>
          <w:rFonts w:ascii="Times New Roman" w:hAnsi="Times New Roman"/>
          <w:color w:val="000000" w:themeColor="text1"/>
          <w:sz w:val="16"/>
          <w:szCs w:val="16"/>
        </w:rPr>
      </w:pPr>
    </w:p>
    <w:p w14:paraId="25DE4B1A" w14:textId="77777777" w:rsidR="00CA07BA" w:rsidRPr="00A259BD" w:rsidRDefault="00CA07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ноября 1929 года в Москве открылся первый в Советском Союзе планетарий. В мире Московский планетарий стал тринадцатым по счету. Десять планетариев находились в Германии, а за ее пределами – всего два. В день открытия планетария в Москве 5 ноября 1929 года в нем была проведена первая лекция с демонстрацией </w:t>
      </w:r>
      <w:r w:rsidRPr="00A259BD">
        <w:rPr>
          <w:rFonts w:ascii="Times New Roman" w:hAnsi="Times New Roman"/>
          <w:color w:val="000000" w:themeColor="text1"/>
          <w:sz w:val="16"/>
          <w:szCs w:val="16"/>
        </w:rPr>
        <w:lastRenderedPageBreak/>
        <w:t xml:space="preserve">искусственного звездного неба. В прессе появились восторженные отклики, а </w:t>
      </w:r>
      <w:proofErr w:type="spellStart"/>
      <w:r w:rsidRPr="00A259BD">
        <w:rPr>
          <w:rFonts w:ascii="Times New Roman" w:hAnsi="Times New Roman"/>
          <w:color w:val="000000" w:themeColor="text1"/>
          <w:sz w:val="16"/>
          <w:szCs w:val="16"/>
        </w:rPr>
        <w:t>В.Маяковский</w:t>
      </w:r>
      <w:proofErr w:type="spellEnd"/>
      <w:r w:rsidRPr="00A259BD">
        <w:rPr>
          <w:rFonts w:ascii="Times New Roman" w:hAnsi="Times New Roman"/>
          <w:color w:val="000000" w:themeColor="text1"/>
          <w:sz w:val="16"/>
          <w:szCs w:val="16"/>
        </w:rPr>
        <w:t xml:space="preserve"> отозвался на событие стихотворением «Пролетарка, пролетарий, заходите в планетарий ...».</w:t>
      </w:r>
    </w:p>
    <w:p w14:paraId="5BF3F092" w14:textId="77777777" w:rsidR="00CA07BA" w:rsidRPr="00A259BD" w:rsidRDefault="00CA07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самом начале работы планетария в нем читались всего три лекции по астрономии: «Был ли сотворен мир в шесть дней?», «Земля – шар», «Строение Вселенной». В первый год существования учреждения небольшим коллективом лекторов-изобретателей был создан прибор Восходящее Солнце, который работал вплоть до закрытия планетария в 1994 году.</w:t>
      </w:r>
    </w:p>
    <w:p w14:paraId="3860FFDC" w14:textId="77777777" w:rsidR="00CA07BA" w:rsidRPr="00A259BD" w:rsidRDefault="00CA07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1930-е годы в Московском планетарии работал «Стратосферный комитет», сотрудники которого вели изучение верхних слоев атмосферы и занимались проблемами реактивного движения. Перед Великой Отечественной войной в планетарии существовал и специальный звездный театр, поставивший три пьесы: «Галилей», «Джордано Бруно» и «Коперник» (21168).</w:t>
      </w:r>
    </w:p>
    <w:p w14:paraId="7C446732" w14:textId="77777777" w:rsidR="00CA07BA" w:rsidRPr="00A259BD" w:rsidRDefault="00CA07BA" w:rsidP="009236E3">
      <w:pPr>
        <w:spacing w:after="0" w:line="240" w:lineRule="auto"/>
        <w:jc w:val="both"/>
        <w:rPr>
          <w:rFonts w:ascii="Times New Roman" w:hAnsi="Times New Roman"/>
          <w:color w:val="000000" w:themeColor="text1"/>
          <w:sz w:val="16"/>
          <w:szCs w:val="16"/>
          <w:shd w:val="clear" w:color="auto" w:fill="FFFFFF"/>
        </w:rPr>
      </w:pPr>
    </w:p>
    <w:p w14:paraId="6737E5EB" w14:textId="77777777" w:rsidR="00CA07BA" w:rsidRPr="00A259BD" w:rsidRDefault="00CA07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ноября 1929 - В Москве открылся первый в СССР планетарий. В этот день в нём была проведена первая лекция с демонстрацией искусственного звездного неба. В прессе появились восторженные отклики, а </w:t>
      </w:r>
      <w:proofErr w:type="spellStart"/>
      <w:r w:rsidRPr="00A259BD">
        <w:rPr>
          <w:rFonts w:ascii="Times New Roman" w:hAnsi="Times New Roman"/>
          <w:color w:val="000000" w:themeColor="text1"/>
          <w:sz w:val="16"/>
          <w:szCs w:val="16"/>
        </w:rPr>
        <w:t>В.Маяковский</w:t>
      </w:r>
      <w:proofErr w:type="spellEnd"/>
      <w:r w:rsidRPr="00A259BD">
        <w:rPr>
          <w:rFonts w:ascii="Times New Roman" w:hAnsi="Times New Roman"/>
          <w:color w:val="000000" w:themeColor="text1"/>
          <w:sz w:val="16"/>
          <w:szCs w:val="16"/>
        </w:rPr>
        <w:t xml:space="preserve"> отозвался на событие стихотворением «Пролетарка, пролетарий, заходите в планетарий...».</w:t>
      </w:r>
    </w:p>
    <w:p w14:paraId="667C52D8" w14:textId="77777777" w:rsidR="00CA07BA" w:rsidRPr="00A259BD" w:rsidRDefault="00CA07B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самом начале работы планетария в нём читались всего три лекции по астрономии: «Был ли сотворен мир в шесть дней?», «Земля — шар», «Строение Вселенной». В первый год существования учреждения небольшим коллективом лекторов-изобретателей был создан прибор Восходящее Солнце, который работал вплоть до закрытия планетария в 1994 </w:t>
      </w:r>
      <w:proofErr w:type="spellStart"/>
      <w:r w:rsidRPr="00A259BD">
        <w:rPr>
          <w:rFonts w:ascii="Times New Roman" w:hAnsi="Times New Roman"/>
          <w:color w:val="000000" w:themeColor="text1"/>
          <w:sz w:val="16"/>
          <w:szCs w:val="16"/>
        </w:rPr>
        <w:t>году.В</w:t>
      </w:r>
      <w:proofErr w:type="spellEnd"/>
      <w:r w:rsidRPr="00A259BD">
        <w:rPr>
          <w:rFonts w:ascii="Times New Roman" w:hAnsi="Times New Roman"/>
          <w:color w:val="000000" w:themeColor="text1"/>
          <w:sz w:val="16"/>
          <w:szCs w:val="16"/>
        </w:rPr>
        <w:t xml:space="preserve"> 1930-е годы в Московском планетарии работал «Стратосферный комитет», сотрудники которого вели изучение верхних слоёв атмосферы и занимались проблемами реактивного движения (22312).</w:t>
      </w:r>
    </w:p>
    <w:p w14:paraId="4A830694" w14:textId="77777777" w:rsidR="00CA07BA" w:rsidRPr="00A259BD" w:rsidRDefault="00CA07BA" w:rsidP="009236E3">
      <w:pPr>
        <w:spacing w:after="0" w:line="240" w:lineRule="auto"/>
        <w:jc w:val="both"/>
        <w:rPr>
          <w:rFonts w:ascii="Times New Roman" w:hAnsi="Times New Roman"/>
          <w:color w:val="000000" w:themeColor="text1"/>
          <w:sz w:val="16"/>
          <w:szCs w:val="16"/>
          <w:shd w:val="clear" w:color="auto" w:fill="FFFFFF"/>
        </w:rPr>
      </w:pPr>
    </w:p>
    <w:p w14:paraId="2140FCE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5342AF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D617D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ноября 1929 Пред. НТК УВВС Дубенский напомнил А.Н.Т. о желательности получить помимо присланной сметы более подробных соображений по проектированию и постройке самолетов под нагрузку 10 и 25 т (7425, 19).</w:t>
      </w:r>
    </w:p>
    <w:p w14:paraId="301C73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843D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ноября 1929 Первый полет пассажирского самолета К-5. Пилот </w:t>
      </w:r>
      <w:proofErr w:type="spellStart"/>
      <w:r w:rsidRPr="00A259BD">
        <w:rPr>
          <w:rFonts w:ascii="Times New Roman" w:hAnsi="Times New Roman"/>
          <w:color w:val="000000" w:themeColor="text1"/>
          <w:sz w:val="16"/>
          <w:szCs w:val="16"/>
        </w:rPr>
        <w:t>М.А.Снигерев</w:t>
      </w:r>
      <w:proofErr w:type="spellEnd"/>
      <w:r w:rsidRPr="00A259BD">
        <w:rPr>
          <w:rFonts w:ascii="Times New Roman" w:hAnsi="Times New Roman"/>
          <w:color w:val="000000" w:themeColor="text1"/>
          <w:sz w:val="16"/>
          <w:szCs w:val="16"/>
        </w:rPr>
        <w:t xml:space="preserve"> (10674).</w:t>
      </w:r>
    </w:p>
    <w:p w14:paraId="423017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12A2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ноября 1929 К-5 первый был закончен и впервые взлетел (70,160). Сделали 260 (237,158).</w:t>
      </w:r>
    </w:p>
    <w:p w14:paraId="480366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89BF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ноября 1929 года К-5 поднялся в воздух (10674).</w:t>
      </w:r>
    </w:p>
    <w:p w14:paraId="507E8C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1EF5B86" w14:textId="77777777" w:rsidR="00566015" w:rsidRPr="00A259BD" w:rsidRDefault="00566015" w:rsidP="009236E3">
      <w:pPr>
        <w:spacing w:after="0" w:line="240" w:lineRule="auto"/>
        <w:jc w:val="both"/>
        <w:rPr>
          <w:rFonts w:ascii="Times New Roman" w:hAnsi="Times New Roman"/>
          <w:bCs/>
          <w:color w:val="000000" w:themeColor="text1"/>
          <w:sz w:val="16"/>
          <w:szCs w:val="16"/>
        </w:rPr>
      </w:pPr>
      <w:r w:rsidRPr="00A259BD">
        <w:rPr>
          <w:rFonts w:ascii="Times New Roman" w:hAnsi="Times New Roman"/>
          <w:bCs/>
          <w:color w:val="000000" w:themeColor="text1"/>
          <w:sz w:val="16"/>
          <w:szCs w:val="16"/>
        </w:rPr>
        <w:t>6 ноября</w:t>
      </w:r>
      <w:r w:rsidRPr="00A259BD">
        <w:rPr>
          <w:rFonts w:ascii="Times New Roman" w:hAnsi="Times New Roman"/>
          <w:color w:val="000000" w:themeColor="text1"/>
          <w:sz w:val="16"/>
          <w:szCs w:val="16"/>
        </w:rPr>
        <w:t xml:space="preserve"> в 1929 году в воздух впервые поднялся опытный одномоторный авиалайнер К-5 конструкции </w:t>
      </w:r>
      <w:proofErr w:type="spellStart"/>
      <w:r w:rsidRPr="00A259BD">
        <w:rPr>
          <w:rFonts w:ascii="Times New Roman" w:hAnsi="Times New Roman"/>
          <w:color w:val="000000" w:themeColor="text1"/>
          <w:sz w:val="16"/>
          <w:szCs w:val="16"/>
        </w:rPr>
        <w:t>К.А.Калинина</w:t>
      </w:r>
      <w:proofErr w:type="spellEnd"/>
      <w:r w:rsidRPr="00A259BD">
        <w:rPr>
          <w:rFonts w:ascii="Times New Roman" w:hAnsi="Times New Roman"/>
          <w:color w:val="000000" w:themeColor="text1"/>
          <w:sz w:val="16"/>
          <w:szCs w:val="16"/>
        </w:rPr>
        <w:t>. Его судьба была более удачной - он стал первым советским крупносерийным транспортным самолётом. Был показан на воздушном параде в Харькове. Изготовленный из дешёвых материалов, экономичный в эксплуатации, К-5 был выпущен в 260 экземплярах с разными двигателями. Эта машина до 1940 г. обслуживала не только авиалинии Украины, но и линии Москва - Ленинград, Москва - Свердловск и многие другие. Находился в эксплуатации до 1940. По существу, это был первый советский крупносерийный пассажирский самолет</w:t>
      </w:r>
    </w:p>
    <w:p w14:paraId="7696D79A" w14:textId="77777777" w:rsidR="00566015" w:rsidRPr="00A259BD" w:rsidRDefault="00566015" w:rsidP="009236E3">
      <w:pPr>
        <w:spacing w:after="0" w:line="240" w:lineRule="auto"/>
        <w:jc w:val="both"/>
        <w:rPr>
          <w:rFonts w:ascii="Times New Roman" w:hAnsi="Times New Roman"/>
          <w:color w:val="000000" w:themeColor="text1"/>
          <w:sz w:val="16"/>
          <w:szCs w:val="16"/>
        </w:rPr>
      </w:pPr>
    </w:p>
    <w:p w14:paraId="13DA2A6E" w14:textId="77777777" w:rsidR="00B3477E" w:rsidRPr="00A259BD" w:rsidRDefault="00B3477E"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6 ноября 1929 при вытаскивании самолета РОМ-2 на берег помяли правое нижнее кры</w:t>
      </w:r>
      <w:r w:rsidRPr="00A259BD">
        <w:rPr>
          <w:rFonts w:ascii="Times New Roman" w:cs="Times New Roman"/>
          <w:color w:val="000000" w:themeColor="text1"/>
          <w:sz w:val="16"/>
          <w:szCs w:val="16"/>
        </w:rPr>
        <w:softHyphen/>
        <w:t>ло и поплавок.</w:t>
      </w:r>
    </w:p>
    <w:p w14:paraId="339A7EA0" w14:textId="77777777" w:rsidR="00B3477E" w:rsidRPr="00A259BD" w:rsidRDefault="00B3477E"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 xml:space="preserve">Еще одна авария произошла 29 ноября 1929 г. в Севастополе у Константиновской батареи. В этот день в 11.45 летчик </w:t>
      </w:r>
      <w:proofErr w:type="spellStart"/>
      <w:r w:rsidRPr="00A259BD">
        <w:rPr>
          <w:rFonts w:ascii="Times New Roman" w:cs="Times New Roman"/>
          <w:color w:val="000000" w:themeColor="text1"/>
          <w:sz w:val="16"/>
          <w:szCs w:val="16"/>
        </w:rPr>
        <w:t>Рыбальчук</w:t>
      </w:r>
      <w:proofErr w:type="spellEnd"/>
      <w:r w:rsidRPr="00A259BD">
        <w:rPr>
          <w:rFonts w:ascii="Times New Roman" w:cs="Times New Roman"/>
          <w:color w:val="000000" w:themeColor="text1"/>
          <w:sz w:val="16"/>
          <w:szCs w:val="16"/>
        </w:rPr>
        <w:t xml:space="preserve"> произ</w:t>
      </w:r>
      <w:r w:rsidRPr="00A259BD">
        <w:rPr>
          <w:rFonts w:ascii="Times New Roman" w:cs="Times New Roman"/>
          <w:color w:val="000000" w:themeColor="text1"/>
          <w:sz w:val="16"/>
          <w:szCs w:val="16"/>
        </w:rPr>
        <w:softHyphen/>
        <w:t>водил взлеты и посадки при сильном волнении моря. На третьей посадке самолет сильно зарылся в волну, в результате были повреждены неко</w:t>
      </w:r>
      <w:r w:rsidRPr="00A259BD">
        <w:rPr>
          <w:rFonts w:ascii="Times New Roman" w:cs="Times New Roman"/>
          <w:color w:val="000000" w:themeColor="text1"/>
          <w:sz w:val="16"/>
          <w:szCs w:val="16"/>
        </w:rPr>
        <w:softHyphen/>
        <w:t>торые конструктивные узлы. О про</w:t>
      </w:r>
      <w:r w:rsidRPr="00A259BD">
        <w:rPr>
          <w:rFonts w:ascii="Times New Roman" w:cs="Times New Roman"/>
          <w:color w:val="000000" w:themeColor="text1"/>
          <w:sz w:val="16"/>
          <w:szCs w:val="16"/>
        </w:rPr>
        <w:softHyphen/>
        <w:t>должении полетов этого экземпляра РОМ сведения не обнаружены.</w:t>
      </w:r>
    </w:p>
    <w:p w14:paraId="48F89099" w14:textId="77777777" w:rsidR="00B3477E" w:rsidRPr="00A259BD" w:rsidRDefault="00B3477E"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В подготовленной оценке РОМ-2 отмечались удачные обводы лодки, просторная кабина, хороший взлет на волне. Одновременно схема боковых поплавков с низкорасположенными крыльями считалась неудачной, мест</w:t>
      </w:r>
      <w:r w:rsidRPr="00A259BD">
        <w:rPr>
          <w:rFonts w:ascii="Times New Roman" w:cs="Times New Roman"/>
          <w:color w:val="000000" w:themeColor="text1"/>
          <w:sz w:val="16"/>
          <w:szCs w:val="16"/>
        </w:rPr>
        <w:softHyphen/>
        <w:t>ную прочность отдельных элементов определили как недостаточную.</w:t>
      </w:r>
    </w:p>
    <w:p w14:paraId="02D01A92" w14:textId="77777777" w:rsidR="00B3477E" w:rsidRPr="00A259BD" w:rsidRDefault="00B3477E"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Неудовлетворяющими опреде</w:t>
      </w:r>
      <w:r w:rsidRPr="00A259BD">
        <w:rPr>
          <w:rFonts w:ascii="Times New Roman" w:cs="Times New Roman"/>
          <w:color w:val="000000" w:themeColor="text1"/>
          <w:sz w:val="16"/>
          <w:szCs w:val="16"/>
        </w:rPr>
        <w:softHyphen/>
        <w:t>лили полетную скорость самолета, маневренность в воздухе и радиус действия 445 км (12609).</w:t>
      </w:r>
    </w:p>
    <w:p w14:paraId="0498167A" w14:textId="77777777" w:rsidR="00B3477E" w:rsidRPr="00A259BD" w:rsidRDefault="00B3477E" w:rsidP="009236E3">
      <w:pPr>
        <w:pStyle w:val="45"/>
        <w:shd w:val="clear" w:color="auto" w:fill="auto"/>
        <w:spacing w:before="0" w:line="240" w:lineRule="auto"/>
        <w:jc w:val="both"/>
        <w:rPr>
          <w:rFonts w:ascii="Times New Roman" w:cs="Times New Roman"/>
          <w:color w:val="000000" w:themeColor="text1"/>
          <w:sz w:val="16"/>
          <w:szCs w:val="16"/>
        </w:rPr>
      </w:pPr>
    </w:p>
    <w:p w14:paraId="59A30C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ноября 1929 г. пр.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 21 в соответствии с пост. СТО от 16 октября 1929 г. завод с 1.01.1930 г. передан из УВП в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ВСНХ и стал называться Харьковский авиационный завод (ХАЗ), с 1932 г. - в ведении ГУАП НКТП. 21.05.1932 г. серийный ХАЗ объединён с ХАЗОСС в единый опытный ХАЗ, директором/ гл. конструктором которого стал К.А. Калинин. С 7.09.1934 г. ХАЗ преобразован в завод № 135 ГУАП НКТП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  г. Харьков, Белгородское шоссе п/я 231 «Экран (1938 г.);  г. Молотов/ /61023 Украина  г. Харьков ул. Сумская, 134 тел. 43-19-85, 707-08-00/ /Московское представительство:  г. Королев Московской обл. тел. 512-24-12/). В 1935 г. завод вновь перепрофилирован в серийный. В 12.1936 г. передан в 1ГУ НКОП. В 01.1939 г. передан в НКАП.</w:t>
      </w:r>
    </w:p>
    <w:p w14:paraId="5F1350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пр.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 82 от 18.02.1930 г. на заводе организован </w:t>
      </w:r>
      <w:proofErr w:type="spellStart"/>
      <w:r w:rsidRPr="00A259BD">
        <w:rPr>
          <w:rFonts w:ascii="Times New Roman" w:hAnsi="Times New Roman"/>
          <w:color w:val="000000" w:themeColor="text1"/>
          <w:sz w:val="16"/>
          <w:szCs w:val="16"/>
        </w:rPr>
        <w:t>моботдел</w:t>
      </w:r>
      <w:proofErr w:type="spellEnd"/>
      <w:r w:rsidRPr="00A259BD">
        <w:rPr>
          <w:rFonts w:ascii="Times New Roman" w:hAnsi="Times New Roman"/>
          <w:color w:val="000000" w:themeColor="text1"/>
          <w:sz w:val="16"/>
          <w:szCs w:val="16"/>
        </w:rPr>
        <w:t>. 3.11.1930 г. образован отдел снабжения завода.</w:t>
      </w:r>
    </w:p>
    <w:p w14:paraId="02F953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Производственная программа завода на 1937 г.: 200 АИР-10.</w:t>
      </w:r>
    </w:p>
    <w:p w14:paraId="320B09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1937 г. велась реконструкция завода, перепланированы производственные площади. «В связи с </w:t>
      </w:r>
      <w:proofErr w:type="spellStart"/>
      <w:r w:rsidRPr="00A259BD">
        <w:rPr>
          <w:rFonts w:ascii="Times New Roman" w:hAnsi="Times New Roman"/>
          <w:color w:val="000000" w:themeColor="text1"/>
          <w:sz w:val="16"/>
          <w:szCs w:val="16"/>
        </w:rPr>
        <w:t>неудовлетворительньми</w:t>
      </w:r>
      <w:proofErr w:type="spellEnd"/>
      <w:r w:rsidRPr="00A259BD">
        <w:rPr>
          <w:rFonts w:ascii="Times New Roman" w:hAnsi="Times New Roman"/>
          <w:color w:val="000000" w:themeColor="text1"/>
          <w:sz w:val="16"/>
          <w:szCs w:val="16"/>
        </w:rPr>
        <w:t xml:space="preserve"> темпами работ» 13/20.01.193 8 г. вышел приказ № 10с провести обследование реконструкции завода; пр. № 89с от 10.03.1938 г. был снят директор завода, с 15.03.1938 г. организована группа по реконструкции завода. Пр. № 302с от 7.08.1938 г. требовалось сдать в 1938 г. в эксплуатацию 2-ю очередь главного корпуса, котельную и насосную.</w:t>
      </w:r>
    </w:p>
    <w:p w14:paraId="6C70D4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 № 0259 от 3.12.1937 г., в связи с освоением на заводе «</w:t>
      </w:r>
      <w:proofErr w:type="spellStart"/>
      <w:r w:rsidRPr="00A259BD">
        <w:rPr>
          <w:rFonts w:ascii="Times New Roman" w:hAnsi="Times New Roman"/>
          <w:color w:val="000000" w:themeColor="text1"/>
          <w:sz w:val="16"/>
          <w:szCs w:val="16"/>
        </w:rPr>
        <w:t>Саркомбайн</w:t>
      </w:r>
      <w:proofErr w:type="spellEnd"/>
      <w:r w:rsidRPr="00A259BD">
        <w:rPr>
          <w:rFonts w:ascii="Times New Roman" w:hAnsi="Times New Roman"/>
          <w:color w:val="000000" w:themeColor="text1"/>
          <w:sz w:val="16"/>
          <w:szCs w:val="16"/>
        </w:rPr>
        <w:t xml:space="preserve">» выпуска Р-10 с завода в 12.1937 г. необходимо было передать два самолета, комплект стапелей и чертежей, а в 1-м квартале 1938 г. - детали и узлы на 10 самолетов; перевести 16 конструкторов во главе с зам. гл. конструктора </w:t>
      </w:r>
      <w:proofErr w:type="spellStart"/>
      <w:r w:rsidRPr="00A259BD">
        <w:rPr>
          <w:rFonts w:ascii="Times New Roman" w:hAnsi="Times New Roman"/>
          <w:color w:val="000000" w:themeColor="text1"/>
          <w:sz w:val="16"/>
          <w:szCs w:val="16"/>
        </w:rPr>
        <w:t>Арсоном</w:t>
      </w:r>
      <w:proofErr w:type="spellEnd"/>
      <w:r w:rsidRPr="00A259BD">
        <w:rPr>
          <w:rFonts w:ascii="Times New Roman" w:hAnsi="Times New Roman"/>
          <w:color w:val="000000" w:themeColor="text1"/>
          <w:sz w:val="16"/>
          <w:szCs w:val="16"/>
        </w:rPr>
        <w:t xml:space="preserve"> в КО завода и 5 ИТР на завод. По пр. № 61с от 17.02.1938 г. требовалось передать в феврале еще 3 самолета; закрепить на «</w:t>
      </w:r>
      <w:proofErr w:type="spellStart"/>
      <w:r w:rsidRPr="00A259BD">
        <w:rPr>
          <w:rFonts w:ascii="Times New Roman" w:hAnsi="Times New Roman"/>
          <w:color w:val="000000" w:themeColor="text1"/>
          <w:sz w:val="16"/>
          <w:szCs w:val="16"/>
        </w:rPr>
        <w:t>Саркомбайне</w:t>
      </w:r>
      <w:proofErr w:type="spellEnd"/>
      <w:r w:rsidRPr="00A259BD">
        <w:rPr>
          <w:rFonts w:ascii="Times New Roman" w:hAnsi="Times New Roman"/>
          <w:color w:val="000000" w:themeColor="text1"/>
          <w:sz w:val="16"/>
          <w:szCs w:val="16"/>
        </w:rPr>
        <w:t>» бригаду завода № 135 по приспособлениям до 1.05.1938 г.</w:t>
      </w:r>
    </w:p>
    <w:p w14:paraId="3FA070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8/10.07.1938 г. вышел приказ № 241с о невыполнении заводом плана по выпуску ХАИ-5. Этим же приказом требовалось к 1.08.1938 г. организовать автоматное отделение цеха № 1.</w:t>
      </w:r>
    </w:p>
    <w:p w14:paraId="0901EE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составе завода цехи (1938 г.): № 1- механический, № 2- слесарно-сварочный, № 3- дюралевый, № 5- сборочный.</w:t>
      </w:r>
    </w:p>
    <w:p w14:paraId="2A1FEB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1938 г. началось освоение производства ББ-1 (Су-2), с 05.1939 г. - реконструкция завода под его выпуск. В соответствии с пост. Правительства № 237сс от 29.07.1939 г. и приказом НКАП № 208сс самолет ББ-1 запускался в серийное производство на заводе № 135. Необходимо было уже в 1939 г. выпустить 10 машин, а в 1940 г.- 500 Су-2. В 1939-1940 г. при заводе работало КБ П.О. Сухого.</w:t>
      </w:r>
    </w:p>
    <w:p w14:paraId="258BD4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1939 г. проектная мощность завода составляла 1000 одномоторных бомбардировщиков в год. План производства на 1941 г.: 600 Су-2. К началу войны завод стал головным по выпуску Су-2.</w:t>
      </w:r>
      <w:r w:rsidRPr="00A259BD">
        <w:rPr>
          <w:rFonts w:ascii="Times New Roman" w:hAnsi="Times New Roman"/>
          <w:color w:val="000000" w:themeColor="text1"/>
          <w:sz w:val="16"/>
          <w:szCs w:val="16"/>
          <w:vertAlign w:val="superscript"/>
        </w:rPr>
        <w:t>144</w:t>
      </w:r>
    </w:p>
    <w:p w14:paraId="005EAD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1940-41 г.- на заводе работало КБ П.Д. Грушина.</w:t>
      </w:r>
    </w:p>
    <w:p w14:paraId="4B435B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войны (~в 1940 г.) заводу № 135 был передан завод № 3 НКВД.</w:t>
      </w:r>
    </w:p>
    <w:p w14:paraId="721A27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приказу № 626с от 5.07.1941 г. завод № 450 НКАП преобразован в филиал завода № 135.</w:t>
      </w:r>
    </w:p>
    <w:p w14:paraId="7073C8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11.1941 г. завод № 135 1ГУ НКАП был эвакуирован в Молотов (решение о эвакуации принято в середине сентября) на площадку строящегося завода № 19 НКАП, где до 01.1942 г. продолжался выпуск Су-2. По приказу № 1050сс от 8.10.1941 г. площадку завода № 135 эвакуирован завод № 289 НКАП. Фактически личный состав и имущество завода были переданы заводу № 135 без оформления. Далее завод № 289 продолжил действовать как самостоятельный. Сюда же эвакуированы заводы № 207 и № 480 НКАП и по приказу № 1103с от 9.11.1941 г. влиты в состав завода № 135. Производство запчастей к самолетам. В соответствии с пост. ГКО № 916 от 19.11.1941 г. заводу поручено производство Ил-2 с М-82. 27.12.1941 г. завод получил документацию на освоение производства Ил-2.</w:t>
      </w:r>
    </w:p>
    <w:p w14:paraId="24D998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пост. ГКО № 1208сс от 24.01.1942 г. и приказом № 79сс от 26.01.1942 г. завод № 135 был расформирован, оборудование и кадры переданы заводам № 30, № 23 и № 381 НКАП. Ремонтные мастерские переведены на площадку бывшего завода № 18 НКАП.</w:t>
      </w:r>
    </w:p>
    <w:p w14:paraId="4ABB8F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23.08.1943 г. Харьков был освобожден, и 28.08.1943 г. ГКО принял решение о восстановлении авиационного завода. По приказу от 29.08.1943 г. начата организация основных производственных подразделений. Завод вновь образован на своей прежней площадке в  г.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proofErr w:type="spellStart"/>
      <w:r w:rsidRPr="00A259BD">
        <w:rPr>
          <w:rFonts w:ascii="Times New Roman" w:hAnsi="Times New Roman"/>
          <w:color w:val="000000" w:themeColor="text1"/>
          <w:sz w:val="16"/>
          <w:szCs w:val="16"/>
          <w:lang w:val="en-US"/>
        </w:rPr>
        <w:t>JIa</w:t>
      </w:r>
      <w:proofErr w:type="spellEnd"/>
      <w:r w:rsidRPr="00A259BD">
        <w:rPr>
          <w:rFonts w:ascii="Times New Roman" w:hAnsi="Times New Roman"/>
          <w:color w:val="000000" w:themeColor="text1"/>
          <w:sz w:val="16"/>
          <w:szCs w:val="16"/>
        </w:rPr>
        <w:t>-5,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18830C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1945-46 г. на завод поставлено трофейное оборудование из Вены с заводов «</w:t>
      </w:r>
      <w:proofErr w:type="spellStart"/>
      <w:r w:rsidRPr="00A259BD">
        <w:rPr>
          <w:rFonts w:ascii="Times New Roman" w:hAnsi="Times New Roman"/>
          <w:color w:val="000000" w:themeColor="text1"/>
          <w:sz w:val="16"/>
          <w:szCs w:val="16"/>
        </w:rPr>
        <w:t>Штейер</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Дамлер</w:t>
      </w:r>
      <w:proofErr w:type="spellEnd"/>
      <w:r w:rsidRPr="00A259BD">
        <w:rPr>
          <w:rFonts w:ascii="Times New Roman" w:hAnsi="Times New Roman"/>
          <w:color w:val="000000" w:themeColor="text1"/>
          <w:sz w:val="16"/>
          <w:szCs w:val="16"/>
        </w:rPr>
        <w:t>-Пух» (330 единиц), «</w:t>
      </w:r>
      <w:proofErr w:type="spellStart"/>
      <w:r w:rsidRPr="00A259BD">
        <w:rPr>
          <w:rFonts w:ascii="Times New Roman" w:hAnsi="Times New Roman"/>
          <w:color w:val="000000" w:themeColor="text1"/>
          <w:sz w:val="16"/>
          <w:szCs w:val="16"/>
        </w:rPr>
        <w:t>Мессершмит</w:t>
      </w:r>
      <w:proofErr w:type="spellEnd"/>
      <w:r w:rsidRPr="00A259BD">
        <w:rPr>
          <w:rFonts w:ascii="Times New Roman" w:hAnsi="Times New Roman"/>
          <w:color w:val="000000" w:themeColor="text1"/>
          <w:sz w:val="16"/>
          <w:szCs w:val="16"/>
        </w:rPr>
        <w:t>» и «Хейнкель» - всего 487 единиц.</w:t>
      </w:r>
    </w:p>
    <w:p w14:paraId="7678F1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18E8B7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С 1946 г. передан в 11ГУ, с 01.1950 г.- из 11ГУ в 1ГУ, а с 1.07.1954 г.- в ЮГУ. В соответствии с пост. СМ СССР № 713-342 от 26.06.1957 г. передан в ведение СНХ УССР.</w:t>
      </w:r>
    </w:p>
    <w:p w14:paraId="32C816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411EE3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w:t>
      </w:r>
      <w:proofErr w:type="spellStart"/>
      <w:r w:rsidRPr="00A259BD">
        <w:rPr>
          <w:rFonts w:ascii="Times New Roman" w:hAnsi="Times New Roman"/>
          <w:color w:val="000000" w:themeColor="text1"/>
          <w:sz w:val="16"/>
          <w:szCs w:val="16"/>
        </w:rPr>
        <w:t>превого</w:t>
      </w:r>
      <w:proofErr w:type="spellEnd"/>
      <w:r w:rsidRPr="00A259BD">
        <w:rPr>
          <w:rFonts w:ascii="Times New Roman" w:hAnsi="Times New Roman"/>
          <w:color w:val="000000" w:themeColor="text1"/>
          <w:sz w:val="16"/>
          <w:szCs w:val="16"/>
        </w:rPr>
        <w:t xml:space="preserve">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5919E8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18.07.1958 г. вышло Постановление СМ СССР о серийном производстве Ту-124.</w:t>
      </w:r>
    </w:p>
    <w:p w14:paraId="51F225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пост, правительства № 846-341 от 1.08.1960 г. началась подготовка к выпуску Ту-134.</w:t>
      </w:r>
    </w:p>
    <w:p w14:paraId="518CAA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1C7983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7CC7EF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1D35FC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3B2A6B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04.1978 г. принято Постановление СМ СССР о производстве Х-55. В 12.1986 г. принято решение о передаче производства Х-55 на Кировский завод «</w:t>
      </w:r>
      <w:proofErr w:type="spellStart"/>
      <w:r w:rsidRPr="00A259BD">
        <w:rPr>
          <w:rFonts w:ascii="Times New Roman" w:hAnsi="Times New Roman"/>
          <w:color w:val="000000" w:themeColor="text1"/>
          <w:sz w:val="16"/>
          <w:szCs w:val="16"/>
        </w:rPr>
        <w:t>Авитек</w:t>
      </w:r>
      <w:proofErr w:type="spellEnd"/>
      <w:r w:rsidRPr="00A259BD">
        <w:rPr>
          <w:rFonts w:ascii="Times New Roman" w:hAnsi="Times New Roman"/>
          <w:color w:val="000000" w:themeColor="text1"/>
          <w:sz w:val="16"/>
          <w:szCs w:val="16"/>
        </w:rPr>
        <w:t>».</w:t>
      </w:r>
    </w:p>
    <w:p w14:paraId="657A89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приказу МАП № 63с от 03.1979 г. производство Ан-72 было передано с </w:t>
      </w:r>
      <w:proofErr w:type="spellStart"/>
      <w:r w:rsidRPr="00A259BD">
        <w:rPr>
          <w:rFonts w:ascii="Times New Roman" w:hAnsi="Times New Roman"/>
          <w:color w:val="000000" w:themeColor="text1"/>
          <w:sz w:val="16"/>
          <w:szCs w:val="16"/>
        </w:rPr>
        <w:t>КиАПО</w:t>
      </w:r>
      <w:proofErr w:type="spellEnd"/>
      <w:r w:rsidRPr="00A259BD">
        <w:rPr>
          <w:rFonts w:ascii="Times New Roman" w:hAnsi="Times New Roman"/>
          <w:color w:val="000000" w:themeColor="text1"/>
          <w:sz w:val="16"/>
          <w:szCs w:val="16"/>
        </w:rPr>
        <w:t xml:space="preserve"> на ХАПО. По приказу Ш 519 от 4.12.1980 г. на заводе начаты работы по подготовке серийного производства Ан-72 и Ан-74. По приказу МАП № 15с от 13.01.1982 г. на завод с </w:t>
      </w:r>
      <w:proofErr w:type="spellStart"/>
      <w:r w:rsidRPr="00A259BD">
        <w:rPr>
          <w:rFonts w:ascii="Times New Roman" w:hAnsi="Times New Roman"/>
          <w:color w:val="000000" w:themeColor="text1"/>
          <w:sz w:val="16"/>
          <w:szCs w:val="16"/>
        </w:rPr>
        <w:t>КиАПО</w:t>
      </w:r>
      <w:proofErr w:type="spellEnd"/>
      <w:r w:rsidRPr="00A259BD">
        <w:rPr>
          <w:rFonts w:ascii="Times New Roman" w:hAnsi="Times New Roman"/>
          <w:color w:val="000000" w:themeColor="text1"/>
          <w:sz w:val="16"/>
          <w:szCs w:val="16"/>
        </w:rPr>
        <w:t xml:space="preserve"> передана техдокументация, оснастка и </w:t>
      </w:r>
      <w:proofErr w:type="spellStart"/>
      <w:r w:rsidRPr="00A259BD">
        <w:rPr>
          <w:rFonts w:ascii="Times New Roman" w:hAnsi="Times New Roman"/>
          <w:color w:val="000000" w:themeColor="text1"/>
          <w:sz w:val="16"/>
          <w:szCs w:val="16"/>
        </w:rPr>
        <w:t>незавешенное</w:t>
      </w:r>
      <w:proofErr w:type="spellEnd"/>
      <w:r w:rsidRPr="00A259BD">
        <w:rPr>
          <w:rFonts w:ascii="Times New Roman" w:hAnsi="Times New Roman"/>
          <w:color w:val="000000" w:themeColor="text1"/>
          <w:sz w:val="16"/>
          <w:szCs w:val="16"/>
        </w:rPr>
        <w:t xml:space="preserve"> производство по Ан-72. В 06.1984 г. начались работы по подготовке производства Ан-74.</w:t>
      </w:r>
    </w:p>
    <w:p w14:paraId="290A69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19.06.1986 г. вступил в строй механический цех № 54.</w:t>
      </w:r>
    </w:p>
    <w:p w14:paraId="0F8A68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4BD877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w:t>
      </w:r>
      <w:proofErr w:type="spellStart"/>
      <w:r w:rsidRPr="00A259BD">
        <w:rPr>
          <w:rFonts w:ascii="Times New Roman" w:hAnsi="Times New Roman"/>
          <w:color w:val="000000" w:themeColor="text1"/>
          <w:sz w:val="16"/>
          <w:szCs w:val="16"/>
        </w:rPr>
        <w:t>плазово</w:t>
      </w:r>
      <w:proofErr w:type="spellEnd"/>
      <w:r w:rsidRPr="00A259BD">
        <w:rPr>
          <w:rFonts w:ascii="Times New Roman" w:hAnsi="Times New Roman"/>
          <w:color w:val="000000" w:themeColor="text1"/>
          <w:sz w:val="16"/>
          <w:szCs w:val="16"/>
        </w:rPr>
        <w:t>-шаблонного цеха№ 19.</w:t>
      </w:r>
    </w:p>
    <w:p w14:paraId="4A7BCA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w:t>
      </w:r>
      <w:proofErr w:type="spellStart"/>
      <w:r w:rsidRPr="00A259BD">
        <w:rPr>
          <w:rFonts w:ascii="Times New Roman" w:hAnsi="Times New Roman"/>
          <w:color w:val="000000" w:themeColor="text1"/>
          <w:sz w:val="16"/>
          <w:szCs w:val="16"/>
        </w:rPr>
        <w:t>декларационно</w:t>
      </w:r>
      <w:proofErr w:type="spellEnd"/>
      <w:r w:rsidRPr="00A259BD">
        <w:rPr>
          <w:rFonts w:ascii="Times New Roman" w:hAnsi="Times New Roman"/>
          <w:color w:val="000000" w:themeColor="text1"/>
          <w:sz w:val="16"/>
          <w:szCs w:val="16"/>
        </w:rPr>
        <w:t xml:space="preserve">-таможенный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A259BD">
        <w:rPr>
          <w:rFonts w:ascii="Times New Roman" w:hAnsi="Times New Roman"/>
          <w:color w:val="000000" w:themeColor="text1"/>
          <w:sz w:val="16"/>
          <w:szCs w:val="16"/>
          <w:lang w:val="en-US"/>
        </w:rPr>
        <w:t>WEB</w:t>
      </w:r>
      <w:r w:rsidRPr="00A259BD">
        <w:rPr>
          <w:rFonts w:ascii="Times New Roman" w:hAnsi="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A259BD">
        <w:rPr>
          <w:rFonts w:ascii="Times New Roman" w:hAnsi="Times New Roman"/>
          <w:color w:val="000000" w:themeColor="text1"/>
          <w:sz w:val="16"/>
          <w:szCs w:val="16"/>
          <w:lang w:val="en-US"/>
        </w:rPr>
        <w:t>PR</w:t>
      </w:r>
      <w:r w:rsidRPr="00A259BD">
        <w:rPr>
          <w:rFonts w:ascii="Times New Roman" w:hAnsi="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0A053F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0669CA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Количество оборудования: (11.1940 г.)- 502 металлорежущих станков.</w:t>
      </w:r>
    </w:p>
    <w:p w14:paraId="239183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(09.1924 г.)- 17 чел., (03.1925 г.)- 50 чел., (1927 г.)- 107 чел., (1983 г.)- 12.500 чел., (2002 г.)~ 9000 чел.</w:t>
      </w:r>
    </w:p>
    <w:p w14:paraId="207A1C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(17.09-12.12.1926; 16.10-16.11.1927; 21.05.1932-7.02.1934 г.)- К.А. Калинин, (12.12.1926- 16.10.1927 г.)- Л.М. </w:t>
      </w:r>
      <w:proofErr w:type="spellStart"/>
      <w:r w:rsidRPr="00A259BD">
        <w:rPr>
          <w:rFonts w:ascii="Times New Roman" w:hAnsi="Times New Roman"/>
          <w:color w:val="000000" w:themeColor="text1"/>
          <w:sz w:val="16"/>
          <w:szCs w:val="16"/>
        </w:rPr>
        <w:t>Мандрыко</w:t>
      </w:r>
      <w:proofErr w:type="spellEnd"/>
      <w:r w:rsidRPr="00A259BD">
        <w:rPr>
          <w:rFonts w:ascii="Times New Roman" w:hAnsi="Times New Roman"/>
          <w:color w:val="000000" w:themeColor="text1"/>
          <w:sz w:val="16"/>
          <w:szCs w:val="16"/>
        </w:rPr>
        <w:t xml:space="preserve">, (16.11.1927-05.1930 г.)- С.А. </w:t>
      </w:r>
      <w:proofErr w:type="spellStart"/>
      <w:r w:rsidRPr="00A259BD">
        <w:rPr>
          <w:rFonts w:ascii="Times New Roman" w:hAnsi="Times New Roman"/>
          <w:color w:val="000000" w:themeColor="text1"/>
          <w:sz w:val="16"/>
          <w:szCs w:val="16"/>
        </w:rPr>
        <w:t>Кривоконь</w:t>
      </w:r>
      <w:proofErr w:type="spellEnd"/>
      <w:r w:rsidRPr="00A259BD">
        <w:rPr>
          <w:rFonts w:ascii="Times New Roman" w:hAnsi="Times New Roman"/>
          <w:color w:val="000000" w:themeColor="text1"/>
          <w:sz w:val="16"/>
          <w:szCs w:val="16"/>
        </w:rPr>
        <w:t xml:space="preserve">, (05.1930-25.11.1931 г.)- Н.П. Королев, (25.11.1931 -21.05.1932 г.)- В.И. Ситников, (7.02.1934-1.07.1936 г.)- С.Ф. Буздалин, (1.07.1936-10.03.1938 г.)-  Г.И. Васильев; и.о. (11.05.1938 г.-)- И.А. </w:t>
      </w:r>
      <w:proofErr w:type="spellStart"/>
      <w:r w:rsidRPr="00A259BD">
        <w:rPr>
          <w:rFonts w:ascii="Times New Roman" w:hAnsi="Times New Roman"/>
          <w:color w:val="000000" w:themeColor="text1"/>
          <w:sz w:val="16"/>
          <w:szCs w:val="16"/>
        </w:rPr>
        <w:t>Энгелыптейн</w:t>
      </w:r>
      <w:proofErr w:type="spellEnd"/>
      <w:r w:rsidRPr="00A259BD">
        <w:rPr>
          <w:rFonts w:ascii="Times New Roman" w:hAnsi="Times New Roman"/>
          <w:color w:val="000000" w:themeColor="text1"/>
          <w:sz w:val="16"/>
          <w:szCs w:val="16"/>
        </w:rPr>
        <w:t xml:space="preserve">; (14.05.1938-05.1940 г.)- С.З. </w:t>
      </w:r>
      <w:proofErr w:type="spellStart"/>
      <w:r w:rsidRPr="00A259BD">
        <w:rPr>
          <w:rFonts w:ascii="Times New Roman" w:hAnsi="Times New Roman"/>
          <w:color w:val="000000" w:themeColor="text1"/>
          <w:sz w:val="16"/>
          <w:szCs w:val="16"/>
        </w:rPr>
        <w:t>Нейштадт</w:t>
      </w:r>
      <w:proofErr w:type="spellEnd"/>
      <w:r w:rsidRPr="00A259BD">
        <w:rPr>
          <w:rFonts w:ascii="Times New Roman" w:hAnsi="Times New Roman"/>
          <w:color w:val="000000" w:themeColor="text1"/>
          <w:sz w:val="16"/>
          <w:szCs w:val="16"/>
        </w:rPr>
        <w:t xml:space="preserve">, (05.1940-02.1941 г.)- Ю.Н. Карпов, (02.1941-01.1942; 12.1943-10.06.1946 г.)- И.М. Кузин, (10.06.1946-9.08.1949 г.)- Б.П. </w:t>
      </w:r>
      <w:proofErr w:type="spellStart"/>
      <w:r w:rsidRPr="00A259BD">
        <w:rPr>
          <w:rFonts w:ascii="Times New Roman" w:hAnsi="Times New Roman"/>
          <w:color w:val="000000" w:themeColor="text1"/>
          <w:sz w:val="16"/>
          <w:szCs w:val="16"/>
        </w:rPr>
        <w:t>Еленевич</w:t>
      </w:r>
      <w:proofErr w:type="spellEnd"/>
      <w:r w:rsidRPr="00A259BD">
        <w:rPr>
          <w:rFonts w:ascii="Times New Roman" w:hAnsi="Times New Roman"/>
          <w:color w:val="000000" w:themeColor="text1"/>
          <w:sz w:val="16"/>
          <w:szCs w:val="16"/>
        </w:rPr>
        <w:t xml:space="preserve">, (9.08.1949-5.06.1958 г.)- В.М. Лиходей, (5.06.1958-10.10.1967 г.)- Н.Ф. Корнилов, (10.10.1967-11.06.1985 г.)- Б .А. Хохлов. Гендиректор (11.06.1985-18.01.1990; 20.06.1995-8.07,2002 г.)- А.К. </w:t>
      </w:r>
      <w:proofErr w:type="spellStart"/>
      <w:r w:rsidRPr="00A259BD">
        <w:rPr>
          <w:rFonts w:ascii="Times New Roman" w:hAnsi="Times New Roman"/>
          <w:color w:val="000000" w:themeColor="text1"/>
          <w:sz w:val="16"/>
          <w:szCs w:val="16"/>
        </w:rPr>
        <w:t>Мялица</w:t>
      </w:r>
      <w:proofErr w:type="spellEnd"/>
      <w:r w:rsidRPr="00A259BD">
        <w:rPr>
          <w:rFonts w:ascii="Times New Roman" w:hAnsi="Times New Roman"/>
          <w:color w:val="000000" w:themeColor="text1"/>
          <w:sz w:val="16"/>
          <w:szCs w:val="16"/>
        </w:rPr>
        <w:t xml:space="preserve"> (затем- министр </w:t>
      </w:r>
      <w:proofErr w:type="spellStart"/>
      <w:r w:rsidRPr="00A259BD">
        <w:rPr>
          <w:rFonts w:ascii="Times New Roman" w:hAnsi="Times New Roman"/>
          <w:color w:val="000000" w:themeColor="text1"/>
          <w:sz w:val="16"/>
          <w:szCs w:val="16"/>
        </w:rPr>
        <w:t>Прмышленной</w:t>
      </w:r>
      <w:proofErr w:type="spellEnd"/>
      <w:r w:rsidRPr="00A259BD">
        <w:rPr>
          <w:rFonts w:ascii="Times New Roman" w:hAnsi="Times New Roman"/>
          <w:color w:val="000000" w:themeColor="text1"/>
          <w:sz w:val="16"/>
          <w:szCs w:val="16"/>
        </w:rPr>
        <w:t xml:space="preserve"> политики Украины), 18.01.1990-28.02.1995 г.)- Л.П. Васильченко, (28.02-20.06.1995 г.)- </w:t>
      </w:r>
      <w:r w:rsidRPr="00A259BD">
        <w:rPr>
          <w:rFonts w:ascii="Times New Roman" w:hAnsi="Times New Roman"/>
          <w:color w:val="000000" w:themeColor="text1"/>
          <w:sz w:val="16"/>
          <w:szCs w:val="16"/>
          <w:lang w:val="en-US"/>
        </w:rPr>
        <w:t>B</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C</w:t>
      </w: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Кладченко</w:t>
      </w:r>
      <w:proofErr w:type="spellEnd"/>
      <w:r w:rsidRPr="00A259BD">
        <w:rPr>
          <w:rFonts w:ascii="Times New Roman" w:hAnsi="Times New Roman"/>
          <w:color w:val="000000" w:themeColor="text1"/>
          <w:sz w:val="16"/>
          <w:szCs w:val="16"/>
        </w:rPr>
        <w:t>, (07.2002-07 г.)- П.О. Науменко; и.о. гендиректора (05.2007 г.-)- С. Задорожный.</w:t>
      </w:r>
    </w:p>
    <w:p w14:paraId="079E6A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директора (15.12.1937-9.09.1938 г.)- И.А. </w:t>
      </w:r>
      <w:proofErr w:type="spellStart"/>
      <w:r w:rsidRPr="00A259BD">
        <w:rPr>
          <w:rFonts w:ascii="Times New Roman" w:hAnsi="Times New Roman"/>
          <w:color w:val="000000" w:themeColor="text1"/>
          <w:sz w:val="16"/>
          <w:szCs w:val="16"/>
        </w:rPr>
        <w:t>Энгелыптейн</w:t>
      </w:r>
      <w:proofErr w:type="spellEnd"/>
      <w:r w:rsidRPr="00A259BD">
        <w:rPr>
          <w:rFonts w:ascii="Times New Roman" w:hAnsi="Times New Roman"/>
          <w:color w:val="000000" w:themeColor="text1"/>
          <w:sz w:val="16"/>
          <w:szCs w:val="16"/>
        </w:rPr>
        <w:t xml:space="preserve">, (9.09.1938 г.-)- Ю.М. </w:t>
      </w:r>
      <w:proofErr w:type="spellStart"/>
      <w:r w:rsidRPr="00A259BD">
        <w:rPr>
          <w:rFonts w:ascii="Times New Roman" w:hAnsi="Times New Roman"/>
          <w:color w:val="000000" w:themeColor="text1"/>
          <w:sz w:val="16"/>
          <w:szCs w:val="16"/>
        </w:rPr>
        <w:t>Бродянский</w:t>
      </w:r>
      <w:proofErr w:type="spellEnd"/>
      <w:r w:rsidRPr="00A259BD">
        <w:rPr>
          <w:rFonts w:ascii="Times New Roman" w:hAnsi="Times New Roman"/>
          <w:color w:val="000000" w:themeColor="text1"/>
          <w:sz w:val="16"/>
          <w:szCs w:val="16"/>
        </w:rPr>
        <w:t xml:space="preserve">. Помощник директора по найму и увольнению (-06.1937-5.11.1938 г.)- П.П. Горяинов, (15.12.1938 г.-)- Я.З. </w:t>
      </w:r>
      <w:proofErr w:type="spellStart"/>
      <w:r w:rsidRPr="00A259BD">
        <w:rPr>
          <w:rFonts w:ascii="Times New Roman" w:hAnsi="Times New Roman"/>
          <w:color w:val="000000" w:themeColor="text1"/>
          <w:sz w:val="16"/>
          <w:szCs w:val="16"/>
        </w:rPr>
        <w:t>Лихолип</w:t>
      </w:r>
      <w:proofErr w:type="spellEnd"/>
      <w:r w:rsidRPr="00A259BD">
        <w:rPr>
          <w:rFonts w:ascii="Times New Roman" w:hAnsi="Times New Roman"/>
          <w:color w:val="000000" w:themeColor="text1"/>
          <w:sz w:val="16"/>
          <w:szCs w:val="16"/>
        </w:rPr>
        <w:t xml:space="preserve">. Зам. гендиректора: технический директор (06.1997-2003 г.-)- В.И. Заяц; по производству (12.2002-03 г.-)- С.М. </w:t>
      </w:r>
      <w:proofErr w:type="spellStart"/>
      <w:r w:rsidRPr="00A259BD">
        <w:rPr>
          <w:rFonts w:ascii="Times New Roman" w:hAnsi="Times New Roman"/>
          <w:color w:val="000000" w:themeColor="text1"/>
          <w:sz w:val="16"/>
          <w:szCs w:val="16"/>
        </w:rPr>
        <w:t>Федак</w:t>
      </w:r>
      <w:proofErr w:type="spellEnd"/>
      <w:r w:rsidRPr="00A259BD">
        <w:rPr>
          <w:rFonts w:ascii="Times New Roman" w:hAnsi="Times New Roman"/>
          <w:color w:val="000000" w:themeColor="text1"/>
          <w:sz w:val="16"/>
          <w:szCs w:val="16"/>
        </w:rPr>
        <w:t xml:space="preserve">;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w:t>
      </w:r>
      <w:proofErr w:type="spellStart"/>
      <w:r w:rsidRPr="00A259BD">
        <w:rPr>
          <w:rFonts w:ascii="Times New Roman" w:hAnsi="Times New Roman"/>
          <w:color w:val="000000" w:themeColor="text1"/>
          <w:sz w:val="16"/>
          <w:szCs w:val="16"/>
        </w:rPr>
        <w:t>Кавчик</w:t>
      </w:r>
      <w:proofErr w:type="spellEnd"/>
      <w:r w:rsidRPr="00A259BD">
        <w:rPr>
          <w:rFonts w:ascii="Times New Roman" w:hAnsi="Times New Roman"/>
          <w:color w:val="000000" w:themeColor="text1"/>
          <w:sz w:val="16"/>
          <w:szCs w:val="16"/>
        </w:rPr>
        <w:t xml:space="preserve">; по капстроительству (04.1998-2003 г.-)- В.Д. Маркелов; по техническому контролю и сертификации (04.2002-03 г.-)- </w:t>
      </w:r>
      <w:r w:rsidRPr="00A259BD">
        <w:rPr>
          <w:rFonts w:ascii="Times New Roman" w:hAnsi="Times New Roman"/>
          <w:color w:val="000000" w:themeColor="text1"/>
          <w:sz w:val="16"/>
          <w:szCs w:val="16"/>
          <w:lang w:val="en-US"/>
        </w:rPr>
        <w:t>B</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C</w:t>
      </w: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Сивокозов</w:t>
      </w:r>
      <w:proofErr w:type="spellEnd"/>
      <w:r w:rsidRPr="00A259BD">
        <w:rPr>
          <w:rFonts w:ascii="Times New Roman" w:hAnsi="Times New Roman"/>
          <w:color w:val="000000" w:themeColor="text1"/>
          <w:sz w:val="16"/>
          <w:szCs w:val="16"/>
        </w:rPr>
        <w:t>;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63597D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инженер (28.10.1928-10.1929 г.)-  Г.Е. Петров (Горбенко), (10.1929-24.02.1933 г.)- Б.П. Лисунов, (24.02.1933- 16.04.1937 г.)- Н.Д. Востров, (16.04.1937-15.12.1937 г.)- Н.Е. Шварев (снят), (15.12.1937-9.09.1938 г.)- И.А. </w:t>
      </w:r>
      <w:proofErr w:type="spellStart"/>
      <w:r w:rsidRPr="00A259BD">
        <w:rPr>
          <w:rFonts w:ascii="Times New Roman" w:hAnsi="Times New Roman"/>
          <w:color w:val="000000" w:themeColor="text1"/>
          <w:sz w:val="16"/>
          <w:szCs w:val="16"/>
        </w:rPr>
        <w:t>Энгельштейн</w:t>
      </w:r>
      <w:proofErr w:type="spellEnd"/>
      <w:r w:rsidRPr="00A259BD">
        <w:rPr>
          <w:rFonts w:ascii="Times New Roman" w:hAnsi="Times New Roman"/>
          <w:color w:val="000000" w:themeColor="text1"/>
          <w:sz w:val="16"/>
          <w:szCs w:val="16"/>
        </w:rPr>
        <w:t xml:space="preserve">, (9.09.1938-02.1941 г.)- Ю.М. </w:t>
      </w:r>
      <w:proofErr w:type="spellStart"/>
      <w:r w:rsidRPr="00A259BD">
        <w:rPr>
          <w:rFonts w:ascii="Times New Roman" w:hAnsi="Times New Roman"/>
          <w:color w:val="000000" w:themeColor="text1"/>
          <w:sz w:val="16"/>
          <w:szCs w:val="16"/>
        </w:rPr>
        <w:t>Бродянский</w:t>
      </w:r>
      <w:proofErr w:type="spellEnd"/>
      <w:r w:rsidRPr="00A259BD">
        <w:rPr>
          <w:rFonts w:ascii="Times New Roman" w:hAnsi="Times New Roman"/>
          <w:color w:val="000000" w:themeColor="text1"/>
          <w:sz w:val="16"/>
          <w:szCs w:val="16"/>
        </w:rPr>
        <w:t xml:space="preserve">, (02.1941 -12.06.1946 г.)- П. Г. Чепелев, (12.06.1946- 11.06.1950 г.)- П. Г. </w:t>
      </w:r>
      <w:proofErr w:type="spellStart"/>
      <w:r w:rsidRPr="00A259BD">
        <w:rPr>
          <w:rFonts w:ascii="Times New Roman" w:hAnsi="Times New Roman"/>
          <w:color w:val="000000" w:themeColor="text1"/>
          <w:sz w:val="16"/>
          <w:szCs w:val="16"/>
        </w:rPr>
        <w:t>Питерин</w:t>
      </w:r>
      <w:proofErr w:type="spellEnd"/>
      <w:r w:rsidRPr="00A259BD">
        <w:rPr>
          <w:rFonts w:ascii="Times New Roman" w:hAnsi="Times New Roman"/>
          <w:color w:val="000000" w:themeColor="text1"/>
          <w:sz w:val="16"/>
          <w:szCs w:val="16"/>
        </w:rPr>
        <w:t xml:space="preserve">, (11.06.1950-7.06.1958 г.)- Н.Ф. Корнилов, (7.06.1958-18.01.1968 г.)- Б.А. Хохлов, (18.01.1968-3.09.1990 г.)- Л.П. Васильченко, (3.09.1990-20.04.1996 г.)- </w:t>
      </w:r>
      <w:r w:rsidRPr="00A259BD">
        <w:rPr>
          <w:rFonts w:ascii="Times New Roman" w:hAnsi="Times New Roman"/>
          <w:color w:val="000000" w:themeColor="text1"/>
          <w:sz w:val="16"/>
          <w:szCs w:val="16"/>
          <w:lang w:val="en-US"/>
        </w:rPr>
        <w:t>B</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C</w:t>
      </w: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Кладченко</w:t>
      </w:r>
      <w:proofErr w:type="spellEnd"/>
      <w:r w:rsidRPr="00A259BD">
        <w:rPr>
          <w:rFonts w:ascii="Times New Roman" w:hAnsi="Times New Roman"/>
          <w:color w:val="000000" w:themeColor="text1"/>
          <w:sz w:val="16"/>
          <w:szCs w:val="16"/>
        </w:rPr>
        <w:t xml:space="preserve">, (20.04-7.10.1996 г.)- В.П. </w:t>
      </w:r>
      <w:proofErr w:type="spellStart"/>
      <w:r w:rsidRPr="00A259BD">
        <w:rPr>
          <w:rFonts w:ascii="Times New Roman" w:hAnsi="Times New Roman"/>
          <w:color w:val="000000" w:themeColor="text1"/>
          <w:sz w:val="16"/>
          <w:szCs w:val="16"/>
        </w:rPr>
        <w:t>Михнич</w:t>
      </w:r>
      <w:proofErr w:type="spellEnd"/>
      <w:r w:rsidRPr="00A259BD">
        <w:rPr>
          <w:rFonts w:ascii="Times New Roman" w:hAnsi="Times New Roman"/>
          <w:color w:val="000000" w:themeColor="text1"/>
          <w:sz w:val="16"/>
          <w:szCs w:val="16"/>
        </w:rPr>
        <w:t>, (10.1996-2003 г.-&gt; В.И. Заяц.</w:t>
      </w:r>
    </w:p>
    <w:p w14:paraId="7B3457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гл. инженера по Ан-74- С.М. </w:t>
      </w:r>
      <w:proofErr w:type="spellStart"/>
      <w:r w:rsidRPr="00A259BD">
        <w:rPr>
          <w:rFonts w:ascii="Times New Roman" w:hAnsi="Times New Roman"/>
          <w:color w:val="000000" w:themeColor="text1"/>
          <w:sz w:val="16"/>
          <w:szCs w:val="16"/>
        </w:rPr>
        <w:t>Федак</w:t>
      </w:r>
      <w:proofErr w:type="spellEnd"/>
      <w:r w:rsidRPr="00A259BD">
        <w:rPr>
          <w:rFonts w:ascii="Times New Roman" w:hAnsi="Times New Roman"/>
          <w:color w:val="000000" w:themeColor="text1"/>
          <w:sz w:val="16"/>
          <w:szCs w:val="16"/>
        </w:rPr>
        <w:t>.</w:t>
      </w:r>
    </w:p>
    <w:p w14:paraId="21FDAE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конструктор (12.12.1926-07.1934 г.)- К.А. Калинин, (12.1935-10.1938 г.-)- И. Г. Неман, (30.12.1938 г.-)- А.А. Дубровин, (09.1939-40 г.)- П.О. Сухой, (11(08). 1940-41 г.)- П.Д. Грушин, (2003 г.)- П.А. Клюев.</w:t>
      </w:r>
    </w:p>
    <w:p w14:paraId="1C0FBD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гл. конструктора (-12.1937 г.)- </w:t>
      </w:r>
      <w:proofErr w:type="spellStart"/>
      <w:r w:rsidRPr="00A259BD">
        <w:rPr>
          <w:rFonts w:ascii="Times New Roman" w:hAnsi="Times New Roman"/>
          <w:color w:val="000000" w:themeColor="text1"/>
          <w:sz w:val="16"/>
          <w:szCs w:val="16"/>
        </w:rPr>
        <w:t>Арсон</w:t>
      </w:r>
      <w:proofErr w:type="spellEnd"/>
      <w:r w:rsidRPr="00A259BD">
        <w:rPr>
          <w:rFonts w:ascii="Times New Roman" w:hAnsi="Times New Roman"/>
          <w:color w:val="000000" w:themeColor="text1"/>
          <w:sz w:val="16"/>
          <w:szCs w:val="16"/>
        </w:rPr>
        <w:t>.</w:t>
      </w:r>
    </w:p>
    <w:p w14:paraId="22E1F6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технолог (08.1979-10.1996 г.)- В.И. Заяц, (2003 г.)- Н.А. Лысых. Гл. механик (2003 г.)- В.А. </w:t>
      </w:r>
      <w:proofErr w:type="spellStart"/>
      <w:r w:rsidRPr="00A259BD">
        <w:rPr>
          <w:rFonts w:ascii="Times New Roman" w:hAnsi="Times New Roman"/>
          <w:color w:val="000000" w:themeColor="text1"/>
          <w:sz w:val="16"/>
          <w:szCs w:val="16"/>
        </w:rPr>
        <w:t>Трушев</w:t>
      </w:r>
      <w:proofErr w:type="spellEnd"/>
      <w:r w:rsidRPr="00A259BD">
        <w:rPr>
          <w:rFonts w:ascii="Times New Roman" w:hAnsi="Times New Roman"/>
          <w:color w:val="000000" w:themeColor="text1"/>
          <w:sz w:val="16"/>
          <w:szCs w:val="16"/>
        </w:rPr>
        <w:t xml:space="preserve">. Гл. энергетик (2003 г.)- Е.Н. Полоз. Гл. метролог (2003 г.)- В.А. Савченко. Гл. металлург (01.1983-04.2002 г.)- </w:t>
      </w:r>
      <w:r w:rsidRPr="00A259BD">
        <w:rPr>
          <w:rFonts w:ascii="Times New Roman" w:hAnsi="Times New Roman"/>
          <w:color w:val="000000" w:themeColor="text1"/>
          <w:sz w:val="16"/>
          <w:szCs w:val="16"/>
          <w:lang w:val="en-US"/>
        </w:rPr>
        <w:t>B</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C</w:t>
      </w: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Сивокозов</w:t>
      </w:r>
      <w:proofErr w:type="spellEnd"/>
      <w:r w:rsidRPr="00A259BD">
        <w:rPr>
          <w:rFonts w:ascii="Times New Roman" w:hAnsi="Times New Roman"/>
          <w:color w:val="000000" w:themeColor="text1"/>
          <w:sz w:val="16"/>
          <w:szCs w:val="16"/>
        </w:rPr>
        <w:t>.</w:t>
      </w:r>
    </w:p>
    <w:p w14:paraId="51AA39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гл. технолога- В.И. Заяц.</w:t>
      </w:r>
    </w:p>
    <w:p w14:paraId="0A5B95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Руководитель коммерческого департамента (2007 г.)- С. Задорожный.</w:t>
      </w:r>
    </w:p>
    <w:p w14:paraId="767481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Гендиректор московского представительства (2002 г.)- И.Н. Платоненко.</w:t>
      </w:r>
    </w:p>
    <w:p w14:paraId="6E8E8C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Руководитель программы Ту-141 (1976 г.-)- А.К. </w:t>
      </w:r>
      <w:proofErr w:type="spellStart"/>
      <w:r w:rsidRPr="00A259BD">
        <w:rPr>
          <w:rFonts w:ascii="Times New Roman" w:hAnsi="Times New Roman"/>
          <w:color w:val="000000" w:themeColor="text1"/>
          <w:sz w:val="16"/>
          <w:szCs w:val="16"/>
        </w:rPr>
        <w:t>Мялица</w:t>
      </w:r>
      <w:proofErr w:type="spellEnd"/>
      <w:r w:rsidRPr="00A259BD">
        <w:rPr>
          <w:rFonts w:ascii="Times New Roman" w:hAnsi="Times New Roman"/>
          <w:color w:val="000000" w:themeColor="text1"/>
          <w:sz w:val="16"/>
          <w:szCs w:val="16"/>
        </w:rPr>
        <w:t xml:space="preserve">. Директор программы Ан-140/ начальник отдела 156 (09.12.2002 г.)- С.М. </w:t>
      </w:r>
      <w:proofErr w:type="spellStart"/>
      <w:r w:rsidRPr="00A259BD">
        <w:rPr>
          <w:rFonts w:ascii="Times New Roman" w:hAnsi="Times New Roman"/>
          <w:color w:val="000000" w:themeColor="text1"/>
          <w:sz w:val="16"/>
          <w:szCs w:val="16"/>
        </w:rPr>
        <w:t>Федак</w:t>
      </w:r>
      <w:proofErr w:type="spellEnd"/>
      <w:r w:rsidRPr="00A259BD">
        <w:rPr>
          <w:rFonts w:ascii="Times New Roman" w:hAnsi="Times New Roman"/>
          <w:color w:val="000000" w:themeColor="text1"/>
          <w:sz w:val="16"/>
          <w:szCs w:val="16"/>
        </w:rPr>
        <w:t>. Директор производственно-эксплуатационного комплекса (07.2001-01.2003 г.)- Н.И. Кирсанов.</w:t>
      </w:r>
    </w:p>
    <w:p w14:paraId="6DAD08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Начальники цехов: № 1 (1950 г.)- И.В. Филоненко; № 005- С.М. </w:t>
      </w:r>
      <w:proofErr w:type="spellStart"/>
      <w:r w:rsidRPr="00A259BD">
        <w:rPr>
          <w:rFonts w:ascii="Times New Roman" w:hAnsi="Times New Roman"/>
          <w:color w:val="000000" w:themeColor="text1"/>
          <w:sz w:val="16"/>
          <w:szCs w:val="16"/>
        </w:rPr>
        <w:t>Федак</w:t>
      </w:r>
      <w:proofErr w:type="spellEnd"/>
      <w:r w:rsidRPr="00A259BD">
        <w:rPr>
          <w:rFonts w:ascii="Times New Roman" w:hAnsi="Times New Roman"/>
          <w:color w:val="000000" w:themeColor="text1"/>
          <w:sz w:val="16"/>
          <w:szCs w:val="16"/>
        </w:rPr>
        <w:t xml:space="preserve">; № 10 (1952 г.)- Т. Г. Полякова; № 23 (1952 г.)- А.П. </w:t>
      </w:r>
      <w:proofErr w:type="spellStart"/>
      <w:r w:rsidRPr="00A259BD">
        <w:rPr>
          <w:rFonts w:ascii="Times New Roman" w:hAnsi="Times New Roman"/>
          <w:color w:val="000000" w:themeColor="text1"/>
          <w:sz w:val="16"/>
          <w:szCs w:val="16"/>
        </w:rPr>
        <w:t>Юрковский</w:t>
      </w:r>
      <w:proofErr w:type="spellEnd"/>
      <w:r w:rsidRPr="00A259BD">
        <w:rPr>
          <w:rFonts w:ascii="Times New Roman" w:hAnsi="Times New Roman"/>
          <w:color w:val="000000" w:themeColor="text1"/>
          <w:sz w:val="16"/>
          <w:szCs w:val="16"/>
        </w:rPr>
        <w:t xml:space="preserve">; № 27 (1951 г.)- М.И. Лекарев; № 28 (1954 г.)- И.М. </w:t>
      </w:r>
      <w:proofErr w:type="spellStart"/>
      <w:r w:rsidRPr="00A259BD">
        <w:rPr>
          <w:rFonts w:ascii="Times New Roman" w:hAnsi="Times New Roman"/>
          <w:color w:val="000000" w:themeColor="text1"/>
          <w:sz w:val="16"/>
          <w:szCs w:val="16"/>
        </w:rPr>
        <w:t>Бергардт</w:t>
      </w:r>
      <w:proofErr w:type="spellEnd"/>
      <w:r w:rsidRPr="00A259BD">
        <w:rPr>
          <w:rFonts w:ascii="Times New Roman" w:hAnsi="Times New Roman"/>
          <w:color w:val="000000" w:themeColor="text1"/>
          <w:sz w:val="16"/>
          <w:szCs w:val="16"/>
        </w:rPr>
        <w:t xml:space="preserve">, № 028 (1980 г.-)- С.М. </w:t>
      </w:r>
      <w:proofErr w:type="spellStart"/>
      <w:r w:rsidRPr="00A259BD">
        <w:rPr>
          <w:rFonts w:ascii="Times New Roman" w:hAnsi="Times New Roman"/>
          <w:color w:val="000000" w:themeColor="text1"/>
          <w:sz w:val="16"/>
          <w:szCs w:val="16"/>
        </w:rPr>
        <w:t>Федак</w:t>
      </w:r>
      <w:proofErr w:type="spellEnd"/>
      <w:r w:rsidRPr="00A259BD">
        <w:rPr>
          <w:rFonts w:ascii="Times New Roman" w:hAnsi="Times New Roman"/>
          <w:color w:val="000000" w:themeColor="text1"/>
          <w:sz w:val="16"/>
          <w:szCs w:val="16"/>
        </w:rPr>
        <w:t xml:space="preserve">; № 29 (1954 г.)- А.П. </w:t>
      </w:r>
      <w:proofErr w:type="spellStart"/>
      <w:r w:rsidRPr="00A259BD">
        <w:rPr>
          <w:rFonts w:ascii="Times New Roman" w:hAnsi="Times New Roman"/>
          <w:color w:val="000000" w:themeColor="text1"/>
          <w:sz w:val="16"/>
          <w:szCs w:val="16"/>
        </w:rPr>
        <w:t>Юрковский</w:t>
      </w:r>
      <w:proofErr w:type="spellEnd"/>
      <w:r w:rsidRPr="00A259BD">
        <w:rPr>
          <w:rFonts w:ascii="Times New Roman" w:hAnsi="Times New Roman"/>
          <w:color w:val="000000" w:themeColor="text1"/>
          <w:sz w:val="16"/>
          <w:szCs w:val="16"/>
        </w:rPr>
        <w:t xml:space="preserve">, № 029 (1962 г.-)- В.И. Заяц; № 33 (1954 г.)- А.П. Чернушенко; № 54 (1986 г.)- Л.И. Янов; № 073 (1987 г.-)- Н.И. Кирсанов; № 85 (1976 г.)- А.К. </w:t>
      </w:r>
      <w:proofErr w:type="spellStart"/>
      <w:r w:rsidRPr="00A259BD">
        <w:rPr>
          <w:rFonts w:ascii="Times New Roman" w:hAnsi="Times New Roman"/>
          <w:color w:val="000000" w:themeColor="text1"/>
          <w:sz w:val="16"/>
          <w:szCs w:val="16"/>
        </w:rPr>
        <w:t>Мялица</w:t>
      </w:r>
      <w:proofErr w:type="spellEnd"/>
      <w:r w:rsidRPr="00A259BD">
        <w:rPr>
          <w:rFonts w:ascii="Times New Roman" w:hAnsi="Times New Roman"/>
          <w:color w:val="000000" w:themeColor="text1"/>
          <w:sz w:val="16"/>
          <w:szCs w:val="16"/>
        </w:rPr>
        <w:t>.</w:t>
      </w:r>
    </w:p>
    <w:p w14:paraId="222B58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Начальники отделов: снабжения (11.1930 г.-)- И.И. Чуркин.</w:t>
      </w:r>
    </w:p>
    <w:p w14:paraId="73EA91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Руководители бригад: по приспособлениям (-1938 г.)- Гринченко.</w:t>
      </w:r>
    </w:p>
    <w:p w14:paraId="08E181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самолеты: К-2 (1927), К-3 (1927), К-4 (1928-30)- 39, К-5 (1930-34)- 293(288), К-6 (1930), К-9 (1930), К-10 (1931), ХАИ-1 (1932)- 1, К-7 (1933)- 1, «Омега» (1933)- 1, И-</w:t>
      </w:r>
      <w:r w:rsidRPr="00A259BD">
        <w:rPr>
          <w:rFonts w:ascii="Times New Roman" w:hAnsi="Times New Roman"/>
          <w:color w:val="000000" w:themeColor="text1"/>
          <w:sz w:val="16"/>
          <w:szCs w:val="16"/>
          <w:lang w:val="en-US"/>
        </w:rPr>
        <w:t>Z</w:t>
      </w:r>
      <w:r w:rsidRPr="00A259BD">
        <w:rPr>
          <w:rFonts w:ascii="Times New Roman" w:hAnsi="Times New Roman"/>
          <w:color w:val="000000" w:themeColor="text1"/>
          <w:sz w:val="16"/>
          <w:szCs w:val="16"/>
        </w:rPr>
        <w:t xml:space="preserve"> (1934-35)- 50, ИП-1 (1936-38)- 200 (по [</w:t>
      </w:r>
      <w:r w:rsidRPr="00A259BD">
        <w:rPr>
          <w:rFonts w:ascii="Times New Roman" w:hAnsi="Times New Roman"/>
          <w:color w:val="000000" w:themeColor="text1"/>
          <w:sz w:val="16"/>
          <w:szCs w:val="16"/>
          <w:lang w:val="en-US"/>
        </w:rPr>
        <w:t>www</w:t>
      </w:r>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lang w:val="en-US"/>
        </w:rPr>
        <w:t>ksamc</w:t>
      </w:r>
      <w:proofErr w:type="spellEnd"/>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com</w:t>
      </w:r>
      <w:r w:rsidRPr="00A259BD">
        <w:rPr>
          <w:rFonts w:ascii="Times New Roman" w:hAnsi="Times New Roman"/>
          <w:color w:val="000000" w:themeColor="text1"/>
          <w:sz w:val="16"/>
          <w:szCs w:val="16"/>
        </w:rPr>
        <w:t>]- 90,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(2004); запчасти для Як-1 (1944-), крыло для Як-3 (1944-), переделка Як-9М в бомбардировщики (1945); БПЛА: Ту-141 «Стриж» (1977-90)- 152; УРВП: Х-55 (1980-87);</w:t>
      </w:r>
    </w:p>
    <w:p w14:paraId="4E3CF4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w:t>
      </w:r>
      <w:proofErr w:type="spellStart"/>
      <w:r w:rsidRPr="00A259BD">
        <w:rPr>
          <w:rFonts w:ascii="Times New Roman" w:hAnsi="Times New Roman"/>
          <w:color w:val="000000" w:themeColor="text1"/>
          <w:sz w:val="16"/>
          <w:szCs w:val="16"/>
        </w:rPr>
        <w:t>Светопровод</w:t>
      </w:r>
      <w:proofErr w:type="spellEnd"/>
      <w:r w:rsidRPr="00A259BD">
        <w:rPr>
          <w:rFonts w:ascii="Times New Roman" w:hAnsi="Times New Roman"/>
          <w:color w:val="000000" w:themeColor="text1"/>
          <w:sz w:val="16"/>
          <w:szCs w:val="16"/>
        </w:rPr>
        <w:t>» для слежения за пусками КА (1960).</w:t>
      </w:r>
      <w:proofErr w:type="spellStart"/>
      <w:r w:rsidRPr="00A259BD">
        <w:rPr>
          <w:rFonts w:ascii="Times New Roman" w:hAnsi="Times New Roman"/>
          <w:color w:val="000000" w:themeColor="text1"/>
          <w:sz w:val="16"/>
          <w:szCs w:val="16"/>
          <w:vertAlign w:val="superscript"/>
          <w:lang w:val="en-US"/>
        </w:rPr>
        <w:t>wwwksamc</w:t>
      </w:r>
      <w:proofErr w:type="spellEnd"/>
      <w:r w:rsidRPr="00A259BD">
        <w:rPr>
          <w:rFonts w:ascii="Times New Roman" w:hAnsi="Times New Roman"/>
          <w:color w:val="000000" w:themeColor="text1"/>
          <w:sz w:val="16"/>
          <w:szCs w:val="16"/>
          <w:vertAlign w:val="superscript"/>
        </w:rPr>
        <w:t xml:space="preserve"> сот</w:t>
      </w:r>
    </w:p>
    <w:p w14:paraId="136E76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Заводские №: 13534 - И-</w:t>
      </w:r>
      <w:r w:rsidRPr="00A259BD">
        <w:rPr>
          <w:rFonts w:ascii="Times New Roman" w:hAnsi="Times New Roman"/>
          <w:color w:val="000000" w:themeColor="text1"/>
          <w:sz w:val="16"/>
          <w:szCs w:val="16"/>
          <w:lang w:val="en-US"/>
        </w:rPr>
        <w:t>Z</w:t>
      </w:r>
      <w:r w:rsidRPr="00A259BD">
        <w:rPr>
          <w:rFonts w:ascii="Times New Roman" w:hAnsi="Times New Roman"/>
          <w:color w:val="000000" w:themeColor="text1"/>
          <w:sz w:val="16"/>
          <w:szCs w:val="16"/>
        </w:rPr>
        <w:t xml:space="preserve"> (11982).</w:t>
      </w:r>
    </w:p>
    <w:p w14:paraId="0FBEFE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33DA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ноября 1929 при вытаскивании самолета РОМ-2 на берег помяли правое нижнее крыло и поплавок (11978).</w:t>
      </w:r>
    </w:p>
    <w:p w14:paraId="395E4C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A517E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591E92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9A981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ноября 1929 была подготовлена:</w:t>
      </w:r>
    </w:p>
    <w:p w14:paraId="66D869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ОБЪЯСНИТЕЛЬНАЯ ЗАПИСКА</w:t>
      </w:r>
    </w:p>
    <w:p w14:paraId="17667B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СВОДКЕ СТАТИСТИЧЕСКИХ ДАННЫХ ПО ВОЕННОЙ ПРОМЫШЛЕННОСТИ (45 заводов) ЗА 12 МЕСЯЦЕВ 1928/29 ОПЕРАЦИОННОГО ГОДА (6 ноября 1929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2126"/>
        <w:gridCol w:w="1286"/>
        <w:gridCol w:w="1286"/>
        <w:gridCol w:w="1114"/>
        <w:gridCol w:w="1276"/>
        <w:gridCol w:w="992"/>
      </w:tblGrid>
      <w:tr w:rsidR="00A259BD" w:rsidRPr="00A259BD" w14:paraId="51A2FD27" w14:textId="77777777">
        <w:tc>
          <w:tcPr>
            <w:tcW w:w="817" w:type="dxa"/>
          </w:tcPr>
          <w:p w14:paraId="518B9C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4097B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Среднесписочное число рабочих и служащих</w:t>
            </w:r>
          </w:p>
        </w:tc>
        <w:tc>
          <w:tcPr>
            <w:tcW w:w="1286" w:type="dxa"/>
          </w:tcPr>
          <w:p w14:paraId="2ADB1E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Валовая продукция</w:t>
            </w:r>
          </w:p>
        </w:tc>
        <w:tc>
          <w:tcPr>
            <w:tcW w:w="1286" w:type="dxa"/>
          </w:tcPr>
          <w:p w14:paraId="332DEF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Товарная продукция</w:t>
            </w:r>
          </w:p>
        </w:tc>
        <w:tc>
          <w:tcPr>
            <w:tcW w:w="1114" w:type="dxa"/>
          </w:tcPr>
          <w:p w14:paraId="043FCF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F10E0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Среднемесячная зарплата</w:t>
            </w:r>
          </w:p>
        </w:tc>
        <w:tc>
          <w:tcPr>
            <w:tcW w:w="992" w:type="dxa"/>
          </w:tcPr>
          <w:p w14:paraId="658F9D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BDC649B" w14:textId="77777777">
        <w:tc>
          <w:tcPr>
            <w:tcW w:w="817" w:type="dxa"/>
          </w:tcPr>
          <w:p w14:paraId="74D6A2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Годы</w:t>
            </w:r>
          </w:p>
        </w:tc>
        <w:tc>
          <w:tcPr>
            <w:tcW w:w="2126" w:type="dxa"/>
          </w:tcPr>
          <w:p w14:paraId="692200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Pr>
          <w:p w14:paraId="587DAE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ценах 1926/27 г </w:t>
            </w:r>
          </w:p>
        </w:tc>
        <w:tc>
          <w:tcPr>
            <w:tcW w:w="1286" w:type="dxa"/>
          </w:tcPr>
          <w:p w14:paraId="68A3B6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6BA05C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ценах 1926/27 г</w:t>
            </w:r>
          </w:p>
        </w:tc>
        <w:tc>
          <w:tcPr>
            <w:tcW w:w="1276" w:type="dxa"/>
          </w:tcPr>
          <w:p w14:paraId="02131D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служащих</w:t>
            </w:r>
          </w:p>
        </w:tc>
        <w:tc>
          <w:tcPr>
            <w:tcW w:w="992" w:type="dxa"/>
          </w:tcPr>
          <w:p w14:paraId="326AF2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рабочих</w:t>
            </w:r>
          </w:p>
        </w:tc>
      </w:tr>
      <w:tr w:rsidR="00A259BD" w:rsidRPr="00A259BD" w14:paraId="4F0504D0" w14:textId="77777777">
        <w:tc>
          <w:tcPr>
            <w:tcW w:w="817" w:type="dxa"/>
          </w:tcPr>
          <w:p w14:paraId="610C79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6A20D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Pr>
          <w:p w14:paraId="01E6C1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(тыс. руб.)</w:t>
            </w:r>
          </w:p>
        </w:tc>
        <w:tc>
          <w:tcPr>
            <w:tcW w:w="1286" w:type="dxa"/>
          </w:tcPr>
          <w:p w14:paraId="0C8FF3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(тыс. руб.)</w:t>
            </w:r>
          </w:p>
        </w:tc>
        <w:tc>
          <w:tcPr>
            <w:tcW w:w="1114" w:type="dxa"/>
          </w:tcPr>
          <w:p w14:paraId="0980A4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(тыс. руб.)</w:t>
            </w:r>
          </w:p>
        </w:tc>
        <w:tc>
          <w:tcPr>
            <w:tcW w:w="1276" w:type="dxa"/>
          </w:tcPr>
          <w:p w14:paraId="273B44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7BB14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572FC8F" w14:textId="77777777">
        <w:tc>
          <w:tcPr>
            <w:tcW w:w="817" w:type="dxa"/>
          </w:tcPr>
          <w:p w14:paraId="0E967B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27-28 г.</w:t>
            </w:r>
          </w:p>
        </w:tc>
        <w:tc>
          <w:tcPr>
            <w:tcW w:w="2126" w:type="dxa"/>
          </w:tcPr>
          <w:p w14:paraId="3E09D2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14945</w:t>
            </w:r>
          </w:p>
        </w:tc>
        <w:tc>
          <w:tcPr>
            <w:tcW w:w="1286" w:type="dxa"/>
          </w:tcPr>
          <w:p w14:paraId="19E114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86686</w:t>
            </w:r>
          </w:p>
        </w:tc>
        <w:tc>
          <w:tcPr>
            <w:tcW w:w="1286" w:type="dxa"/>
          </w:tcPr>
          <w:p w14:paraId="6AE788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305987</w:t>
            </w:r>
          </w:p>
        </w:tc>
        <w:tc>
          <w:tcPr>
            <w:tcW w:w="1114" w:type="dxa"/>
          </w:tcPr>
          <w:p w14:paraId="4F5C93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256678</w:t>
            </w:r>
          </w:p>
        </w:tc>
        <w:tc>
          <w:tcPr>
            <w:tcW w:w="1276" w:type="dxa"/>
          </w:tcPr>
          <w:p w14:paraId="2D9D0B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123</w:t>
            </w:r>
          </w:p>
        </w:tc>
        <w:tc>
          <w:tcPr>
            <w:tcW w:w="992" w:type="dxa"/>
          </w:tcPr>
          <w:p w14:paraId="7CE197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w:t>
            </w:r>
          </w:p>
        </w:tc>
      </w:tr>
      <w:tr w:rsidR="00A259BD" w:rsidRPr="00A259BD" w14:paraId="4689C94A" w14:textId="77777777">
        <w:tc>
          <w:tcPr>
            <w:tcW w:w="817" w:type="dxa"/>
          </w:tcPr>
          <w:p w14:paraId="574FE3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28-29 г.</w:t>
            </w:r>
          </w:p>
        </w:tc>
        <w:tc>
          <w:tcPr>
            <w:tcW w:w="2126" w:type="dxa"/>
          </w:tcPr>
          <w:p w14:paraId="2ECCE3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18153</w:t>
            </w:r>
          </w:p>
        </w:tc>
        <w:tc>
          <w:tcPr>
            <w:tcW w:w="1286" w:type="dxa"/>
          </w:tcPr>
          <w:p w14:paraId="05400D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101536</w:t>
            </w:r>
          </w:p>
        </w:tc>
        <w:tc>
          <w:tcPr>
            <w:tcW w:w="1286" w:type="dxa"/>
          </w:tcPr>
          <w:p w14:paraId="055F22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409411</w:t>
            </w:r>
          </w:p>
        </w:tc>
        <w:tc>
          <w:tcPr>
            <w:tcW w:w="1114" w:type="dxa"/>
          </w:tcPr>
          <w:p w14:paraId="2DB01A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202478</w:t>
            </w:r>
          </w:p>
        </w:tc>
        <w:tc>
          <w:tcPr>
            <w:tcW w:w="1276" w:type="dxa"/>
          </w:tcPr>
          <w:p w14:paraId="58020D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135</w:t>
            </w:r>
          </w:p>
        </w:tc>
        <w:tc>
          <w:tcPr>
            <w:tcW w:w="992" w:type="dxa"/>
          </w:tcPr>
          <w:p w14:paraId="61BDB9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92</w:t>
            </w:r>
          </w:p>
        </w:tc>
      </w:tr>
    </w:tbl>
    <w:p w14:paraId="2EFBFD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(8985,17)</w:t>
      </w:r>
    </w:p>
    <w:p w14:paraId="14421E0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787526E" w14:textId="77777777" w:rsidR="0056601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2D7215E9" w14:textId="77777777" w:rsidR="00566015" w:rsidRPr="00A259BD" w:rsidRDefault="0056601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CBF5E38" w14:textId="77777777" w:rsidR="00566015" w:rsidRPr="00A259BD" w:rsidRDefault="00566015" w:rsidP="009236E3">
      <w:pPr>
        <w:pStyle w:val="a3"/>
        <w:rPr>
          <w:color w:val="000000" w:themeColor="text1"/>
          <w:lang w:val="ru-RU"/>
        </w:rPr>
      </w:pPr>
      <w:r w:rsidRPr="00A259BD">
        <w:rPr>
          <w:color w:val="000000" w:themeColor="text1"/>
          <w:lang w:val="ru-RU"/>
        </w:rPr>
        <w:t>К 6 ноября 1929 Амурская флотилия вернулась на свою базу. Монитор «Красный Восток» сел на мель неподалеку от устья Сунгари и ему пришлось там зазимовать (15819).</w:t>
      </w:r>
    </w:p>
    <w:p w14:paraId="248E4444" w14:textId="77777777" w:rsidR="00566015" w:rsidRPr="00A259BD" w:rsidRDefault="00566015" w:rsidP="009236E3">
      <w:pPr>
        <w:pStyle w:val="a3"/>
        <w:rPr>
          <w:color w:val="000000" w:themeColor="text1"/>
          <w:lang w:val="ru-RU"/>
        </w:rPr>
      </w:pPr>
    </w:p>
    <w:p w14:paraId="00DDA7D8"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ноября 1929 г.</w:t>
      </w:r>
    </w:p>
    <w:p w14:paraId="527CB35A"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Показания А. И. </w:t>
      </w:r>
      <w:proofErr w:type="spellStart"/>
      <w:r w:rsidRPr="00A259BD">
        <w:rPr>
          <w:rFonts w:ascii="Times New Roman" w:hAnsi="Times New Roman"/>
          <w:color w:val="000000" w:themeColor="text1"/>
          <w:sz w:val="16"/>
          <w:szCs w:val="16"/>
        </w:rPr>
        <w:t>Белоножкина</w:t>
      </w:r>
      <w:proofErr w:type="spellEnd"/>
      <w:r w:rsidRPr="00A259BD">
        <w:rPr>
          <w:rFonts w:ascii="Times New Roman" w:hAnsi="Times New Roman"/>
          <w:color w:val="000000" w:themeColor="text1"/>
          <w:sz w:val="16"/>
          <w:szCs w:val="16"/>
        </w:rPr>
        <w:t xml:space="preserve"> о «контрреволюционной деятельности специалистов в металлопромышленности», данные им 7-16 июня 1929 г. Приложение к докладной записке Г. Г. Ягоды и Г. Е. Прокофьева от 6 ноября 1929 г.</w:t>
      </w:r>
    </w:p>
    <w:p w14:paraId="14F97225"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09CAA57"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Секретно]</w:t>
      </w:r>
    </w:p>
    <w:p w14:paraId="553FAE96"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ПОКАЗАНИЯ</w:t>
      </w:r>
    </w:p>
    <w:p w14:paraId="07198850"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БЕЛОНОЖКИНА Александра Ивановича 7/VI-29 г.</w:t>
      </w:r>
    </w:p>
    <w:p w14:paraId="798F140A"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Период моей работы в ВСНХ, в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непосредственно сперва как члена Технического Совета при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а потом как консультант[а], охватывает годы, примерно 1921-1925 включительно. Основная работа состояла: 1) в рассмотрении производственных программ развития отдельных отраслей промышленности; 2) в </w:t>
      </w:r>
      <w:proofErr w:type="spellStart"/>
      <w:r w:rsidRPr="00A259BD">
        <w:rPr>
          <w:rFonts w:ascii="Times New Roman" w:hAnsi="Times New Roman"/>
          <w:color w:val="000000" w:themeColor="text1"/>
          <w:sz w:val="16"/>
          <w:szCs w:val="16"/>
        </w:rPr>
        <w:t>намечании</w:t>
      </w:r>
      <w:proofErr w:type="spellEnd"/>
      <w:r w:rsidRPr="00A259BD">
        <w:rPr>
          <w:rFonts w:ascii="Times New Roman" w:hAnsi="Times New Roman"/>
          <w:color w:val="000000" w:themeColor="text1"/>
          <w:sz w:val="16"/>
          <w:szCs w:val="16"/>
        </w:rPr>
        <w:t xml:space="preserve"> объема и способа реконструкции существующих заводов; 3) в разрешении разных технических вопросов по введению новых производств; 4) рассмотрение проектов отдельных заводов, связанных с расширением их производств; 5) в составлении перспективных планов развития всей металлопромышленности в связи с общим развитием народного хозяйства и других отраслей промышленности.</w:t>
      </w:r>
    </w:p>
    <w:p w14:paraId="0100BF92"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Темп развития народного хозяйства, базой которого] является </w:t>
      </w:r>
      <w:proofErr w:type="spellStart"/>
      <w:r w:rsidRPr="00A259BD">
        <w:rPr>
          <w:rFonts w:ascii="Times New Roman" w:hAnsi="Times New Roman"/>
          <w:color w:val="000000" w:themeColor="text1"/>
          <w:sz w:val="16"/>
          <w:szCs w:val="16"/>
        </w:rPr>
        <w:t>Металлопром</w:t>
      </w:r>
      <w:proofErr w:type="spellEnd"/>
      <w:r w:rsidRPr="00A259BD">
        <w:rPr>
          <w:rFonts w:ascii="Times New Roman" w:hAnsi="Times New Roman"/>
          <w:color w:val="000000" w:themeColor="text1"/>
          <w:sz w:val="16"/>
          <w:szCs w:val="16"/>
        </w:rPr>
        <w:t xml:space="preserve">, требовал глубокой проработки и изучения всех вопросов, связанных с реконструкцией или переустройством определенной отрасли промышленности для правильного направления </w:t>
      </w:r>
      <w:proofErr w:type="spellStart"/>
      <w:r w:rsidRPr="00A259BD">
        <w:rPr>
          <w:rFonts w:ascii="Times New Roman" w:hAnsi="Times New Roman"/>
          <w:color w:val="000000" w:themeColor="text1"/>
          <w:sz w:val="16"/>
          <w:szCs w:val="16"/>
        </w:rPr>
        <w:t>ея</w:t>
      </w:r>
      <w:proofErr w:type="spellEnd"/>
      <w:r w:rsidRPr="00A259BD">
        <w:rPr>
          <w:rFonts w:ascii="Times New Roman" w:hAnsi="Times New Roman"/>
          <w:color w:val="000000" w:themeColor="text1"/>
          <w:sz w:val="16"/>
          <w:szCs w:val="16"/>
        </w:rPr>
        <w:t xml:space="preserve"> в будущем. Нужны были ясное и широкое понимание, по какому пути следует идти в деле концентрации и специализации отдельных отраслей промышленности с целью достижения максимального эффекта и всякая недооценка этого в результате приводила к задержке в развитии и реконструкции отдельных заводов и производств. В особенности такое влияние могла оказать недостаточно глубокая проработка основных производственных вопросов, связанных с реконструкцией черной металлургии, на которой базируется вся остальная промышленность. Только быстрая и четкая разработка основных производственных программ, выявленных из перспективного плана развития всей нашей промышленности, могла способствовать устранению всякого опоздания в разрешении коренных задержек и надвигавшегося металлического голода, а также угрозу приостановки развития наших заводов.</w:t>
      </w:r>
    </w:p>
    <w:p w14:paraId="14C1E1F0"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Действительность показала, что значительная часть работы, проделанной за этот период в отделе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xml:space="preserve">, далеко не соответствовала тем грандиозным задачам по реконструкции нашей металлопромышленности, </w:t>
      </w:r>
      <w:proofErr w:type="spellStart"/>
      <w:r w:rsidRPr="00A259BD">
        <w:rPr>
          <w:rFonts w:ascii="Times New Roman" w:hAnsi="Times New Roman"/>
          <w:color w:val="000000" w:themeColor="text1"/>
          <w:sz w:val="16"/>
          <w:szCs w:val="16"/>
        </w:rPr>
        <w:t>котор</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ые</w:t>
      </w:r>
      <w:proofErr w:type="spellEnd"/>
      <w:r w:rsidRPr="00A259BD">
        <w:rPr>
          <w:rFonts w:ascii="Times New Roman" w:hAnsi="Times New Roman"/>
          <w:color w:val="000000" w:themeColor="text1"/>
          <w:sz w:val="16"/>
          <w:szCs w:val="16"/>
        </w:rPr>
        <w:t>] сама жизнь ставила перед ними. Как следствие явился металлический голод, а темп развития всей металлообрабатывающей промышленности был задержан. Подробности создавшегося положения изложу в следующем показании.</w:t>
      </w:r>
    </w:p>
    <w:p w14:paraId="6D0579DF"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Основной же причиной создавшегося кризиса и металлического голода явилось то, что в некоторых отделах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xml:space="preserve"> на руководящих должностях состояли лица, настроенные крайне антисоветски. Так, напр., во главе отдела Машиностроения, состоял инженер С. А. ХРЕННИКОВ, работающий в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с 1926 года, Отдела Черной Металлургии В. И. ЖДАНОВ, в бывш. Техсовете Р. Я. ГАРТВАН, работавший в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в годы 1921-1924, а затем перешедший в Госплан, в </w:t>
      </w:r>
      <w:proofErr w:type="spellStart"/>
      <w:r w:rsidRPr="00A259BD">
        <w:rPr>
          <w:rFonts w:ascii="Times New Roman" w:hAnsi="Times New Roman"/>
          <w:color w:val="000000" w:themeColor="text1"/>
          <w:sz w:val="16"/>
          <w:szCs w:val="16"/>
        </w:rPr>
        <w:t>Промсекцию</w:t>
      </w:r>
      <w:proofErr w:type="spellEnd"/>
      <w:r w:rsidRPr="00A259BD">
        <w:rPr>
          <w:rFonts w:ascii="Times New Roman" w:hAnsi="Times New Roman"/>
          <w:color w:val="000000" w:themeColor="text1"/>
          <w:sz w:val="16"/>
          <w:szCs w:val="16"/>
        </w:rPr>
        <w:t xml:space="preserve">. Всех этих лиц я знаю, как людей настроенных антисоветски, каким был и я, также работавший в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принимая участие в общей работе разными докладами и участием в решающих заседаниях. Вся же наша деятельность в своей основной работе в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по реконструкции металлопромышленности базировалась на нашем антисоветском настроении. Я не только не отмежевываюсь от работы указанных лиц в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но признаю себя виновным в том, что принимая участие в общей работе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благодаря своему антисоветскому настроению совместно с другими вышеуказанными лицами, задержал темп развития черной металлургии, следствием чего явился металлический голод в стране.</w:t>
      </w:r>
    </w:p>
    <w:p w14:paraId="06214282"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подтверждение указанного можно отметить ряд примеров из реконструкции металлургических заводов, когда частичным расширением или пополнением оборудования надеялись добиться результатов, которые можно было получить только коренным переустройством данного завода. Наряду с этим неправильная оценка будущих производственных возможностей приводила к решению полностью прекратить существование определенного завода и к полному распылению и разорению его оборудования. Этой участи подверглись ряд заводов, которые теперь приходится возобновлять вновь. Непродуманность программы частичного возобновления и пополнения оборудования, повлекла за собой трату значительных народных средств и часто дорогое заграничное оборудование годами лежало неиспользованным. Все это привело к несвоевременному выполнению намеченных производственных программ и в результате наша металлопромышленность не получила нужного ей количества черного металла. Этот срыв повлек за собой срыв программы машиностроения, неудовлетворения с[ельского]/хозяйства необходимым количеством с/х орудий, поставила под удар развитие транспорта и удовлетворение нужд НКПС. Задержалось производство средств производства и вся программа индустриализации страны могла потерпеть крушение.</w:t>
      </w:r>
    </w:p>
    <w:p w14:paraId="4501330B"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Записано собственноручно - А. БЕЛОНОЖКИН.</w:t>
      </w:r>
    </w:p>
    <w:p w14:paraId="5A100137"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ПОКАЗАНИЯ</w:t>
      </w:r>
    </w:p>
    <w:p w14:paraId="330B7B1D"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БЕЛОНОЖКИНА Александра Ивановича.</w:t>
      </w:r>
    </w:p>
    <w:p w14:paraId="5A7EE319"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дополнение данных мною ранее показаний от 7/VI-1929 г. указываю, что основной причиной возникновения металлического голода являлось несоответствие программы </w:t>
      </w:r>
      <w:proofErr w:type="spellStart"/>
      <w:r w:rsidRPr="00A259BD">
        <w:rPr>
          <w:rFonts w:ascii="Times New Roman" w:hAnsi="Times New Roman"/>
          <w:color w:val="000000" w:themeColor="text1"/>
          <w:sz w:val="16"/>
          <w:szCs w:val="16"/>
        </w:rPr>
        <w:t>машинообрабатывающих</w:t>
      </w:r>
      <w:proofErr w:type="spellEnd"/>
      <w:r w:rsidRPr="00A259BD">
        <w:rPr>
          <w:rFonts w:ascii="Times New Roman" w:hAnsi="Times New Roman"/>
          <w:color w:val="000000" w:themeColor="text1"/>
          <w:sz w:val="16"/>
          <w:szCs w:val="16"/>
        </w:rPr>
        <w:t xml:space="preserve"> и металлообрабатывающих заводов с возможной производительностью наших металлургических заводов. Развертывать продукцию этих последних возможно было независимо от какого угодно и[х] переоборудования, только при условии современного обеспечения их сырьем-рудой и топливом. Поэтому начало реконструкции необходимо было начать с переоборудования и развертывания рудников и копей. Это не было сделано. Начать же реконструкцию металлургических заводов нельзя было вне увязки с работами по реконструкции рудников и копей с одной стороны и потребностей машиностроительных и металлообрабатывающих с другой. Нужен был общий план реконструкции, согласованный по всей линии. Такого плана не было. Без него руководящие Отделы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xml:space="preserve"> не могли начать частной реконструкции отдельных отраслей промышленности. На самом деле реконструкция машиностроительных и металлообрабатывающих отраслей была начата независимо от возможности получения потребного количества черных металлов. Фактом, подтверждающим это, может служить развертывание таких производств, как судостроение на Сормовском заводе и дизелестроение на нем и на Коломенском. К реконструкции и переоборудованию верфи на Сормовском заводе преступлено было раньше, чем составлена была общая программа по судостроению, основанная на потребностях </w:t>
      </w:r>
      <w:proofErr w:type="spellStart"/>
      <w:r w:rsidRPr="00A259BD">
        <w:rPr>
          <w:rFonts w:ascii="Times New Roman" w:hAnsi="Times New Roman"/>
          <w:color w:val="000000" w:themeColor="text1"/>
          <w:sz w:val="16"/>
          <w:szCs w:val="16"/>
        </w:rPr>
        <w:t>Главконефти</w:t>
      </w:r>
      <w:proofErr w:type="spellEnd"/>
      <w:r w:rsidRPr="00A259BD">
        <w:rPr>
          <w:rFonts w:ascii="Times New Roman" w:hAnsi="Times New Roman"/>
          <w:color w:val="000000" w:themeColor="text1"/>
          <w:sz w:val="16"/>
          <w:szCs w:val="16"/>
        </w:rPr>
        <w:t xml:space="preserve"> и НКПС.</w:t>
      </w:r>
    </w:p>
    <w:p w14:paraId="50DB0E92"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Тоже в отношении дизелестроения, программа которого не была достаточно продумана, а работа по реконструкции и переоборудованию Сормовского завода началась и приступлено было к постройке новой дизельной мастерской на Коломенском заводе. Точно также без общей плановой увязки шло частичное пополнение оборудования и реконструкция отдельных заводов наших крупных машиностроительных трестов. Наряду с этим недостаточно настойчиво и интенсивно расширялись производства таких важных отраслей, как станкостроение и инструментальное дело, являющиеся фундаментом для должного развития всего машиностроения. Без должного плана и увязки с производственными возможностями отдельных заводов заказывалось дорогое заграничное оборудование, которое не могло быть использовано в должной мере, а миллионы, затраченные на приобретение его, не дали никакого эффекта.</w:t>
      </w:r>
    </w:p>
    <w:p w14:paraId="7ECAE4BB"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Такие вредные директивы исходили из отдела Машиностроения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xml:space="preserve"> и привели к дезорганизации нашей машиностроительной промышленности и в тот тупик, в котором мы находимся с нашими заводами в настоящее время. На них затрачены громадные средства, произведена частично реконструкция, но общего плана специализации их производств в связи со всей потребностью страны - нет. Такая линия велась с целью вынудить Правительство прибегнуть к помощи иностранного капитала и сдать наиболее крупные заводы в концессию. Вдохновителем и руководителем этого был заведующий Отделом Машиностроения Сергей Александрович ХРЕННИКОВ, который благодаря своим контрреволюционным убеждениям, вел линию не на широкую индустриализацию страны, а все его действия сводились к отдельным и частичным попыткам как-нибудь удовлетворить настойчивые требования отдельных трестов и заводов. Согласно с этим составлялись планы, делались доклады, велись дебаты, в которых принимали участие я и Всеволод Иванович ЖДАНОВ и выносились решения об удовлетворении той или иной потребности заводов или о реконструкции их. Все мы проводили подобную линию, хотя и понимали, что она не в интересах государства, а являлась чисто вредительской, поскольку она не была основана на твердых, увязанных в государственном масштабе планах.</w:t>
      </w:r>
    </w:p>
    <w:p w14:paraId="48B5D723"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 на характерные примеры неправильного выбора линии реконструкции, отмечаю планы реконструкции всех заводов объединения ГОМЗЫ. Планы составлялись не в увязке общесоюзной потребности, а по каждому заводу в отдельности, что было в корне неправильно.</w:t>
      </w:r>
    </w:p>
    <w:p w14:paraId="030B47A4"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Таким путем неправильно было намечено развертывание дизелестроения на Сормовском и Коломенском заводах, постройка большегрузных вагонов на Тверском и Брянском, на нем же холодильное дело, устройство нового металлургического отдела и П[а]</w:t>
      </w:r>
      <w:proofErr w:type="spellStart"/>
      <w:r w:rsidRPr="00A259BD">
        <w:rPr>
          <w:rFonts w:ascii="Times New Roman" w:hAnsi="Times New Roman"/>
          <w:color w:val="000000" w:themeColor="text1"/>
          <w:sz w:val="16"/>
          <w:szCs w:val="16"/>
        </w:rPr>
        <w:t>ровозного</w:t>
      </w:r>
      <w:proofErr w:type="spellEnd"/>
      <w:r w:rsidRPr="00A259BD">
        <w:rPr>
          <w:rFonts w:ascii="Times New Roman" w:hAnsi="Times New Roman"/>
          <w:color w:val="000000" w:themeColor="text1"/>
          <w:sz w:val="16"/>
          <w:szCs w:val="16"/>
        </w:rPr>
        <w:t xml:space="preserve"> на Сормовском заводе и на нем же Судостроительного. Были произведены затраты значительных сумм (несколько миллионов) на сооружения, которые в дальнейшем пришлось аннулировать (эстакада на Сормовском заводе). При разработке этих планов, хотя мы и сознавали, что это путь ненормальный, тем не менее фиксировали их и стали приводить в исполнение, несмотря на то, что они носили вредительский характер.</w:t>
      </w:r>
    </w:p>
    <w:p w14:paraId="62C7FD99"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Далее перехожу к нашей </w:t>
      </w:r>
      <w:proofErr w:type="spellStart"/>
      <w:r w:rsidRPr="00A259BD">
        <w:rPr>
          <w:rFonts w:ascii="Times New Roman" w:hAnsi="Times New Roman"/>
          <w:color w:val="000000" w:themeColor="text1"/>
          <w:sz w:val="16"/>
          <w:szCs w:val="16"/>
        </w:rPr>
        <w:t>контр-революционной</w:t>
      </w:r>
      <w:proofErr w:type="spellEnd"/>
      <w:r w:rsidRPr="00A259BD">
        <w:rPr>
          <w:rFonts w:ascii="Times New Roman" w:hAnsi="Times New Roman"/>
          <w:color w:val="000000" w:themeColor="text1"/>
          <w:sz w:val="16"/>
          <w:szCs w:val="16"/>
        </w:rPr>
        <w:t xml:space="preserve"> работе по черной металлургии.</w:t>
      </w:r>
    </w:p>
    <w:p w14:paraId="2D58B811"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Ввиду назревшего металлического голода, явившегося отчасти следствием чрезмерно быстрого темпа развертывания металлообрабатывающей и других отраслей промышленности, а также хозяйства страны, потребляющих металлы и умышленно неучтенного руководителями черной металлургии при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необходимо было все стремления направить на полное использование всех наличных ресурсов наших металлургических заводов и пуск бездействующих (консервированных) заводов. Заведующий отделом черных металлов при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Всеволод Иванович ЖДАНОВ и С. А. ХРЕННИКОВ выбрали путь как раз обратный. Они стали разбазаривать оборудование ряда консервированных заводов с целью частичного использования на других, что в конечном результате ни к чему не привело, а выбило ряд заводов, могущих работать, из строя.</w:t>
      </w:r>
    </w:p>
    <w:p w14:paraId="3F9A3AB8"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Таким образом, ими были разорены </w:t>
      </w:r>
      <w:proofErr w:type="spellStart"/>
      <w:r w:rsidRPr="00A259BD">
        <w:rPr>
          <w:rFonts w:ascii="Times New Roman" w:hAnsi="Times New Roman"/>
          <w:color w:val="000000" w:themeColor="text1"/>
          <w:sz w:val="16"/>
          <w:szCs w:val="16"/>
        </w:rPr>
        <w:t>Донецко</w:t>
      </w:r>
      <w:proofErr w:type="spellEnd"/>
      <w:r w:rsidRPr="00A259BD">
        <w:rPr>
          <w:rFonts w:ascii="Times New Roman" w:hAnsi="Times New Roman"/>
          <w:color w:val="000000" w:themeColor="text1"/>
          <w:sz w:val="16"/>
          <w:szCs w:val="16"/>
        </w:rPr>
        <w:t xml:space="preserve">-Юрьевский завод, </w:t>
      </w:r>
      <w:proofErr w:type="spellStart"/>
      <w:r w:rsidRPr="00A259BD">
        <w:rPr>
          <w:rFonts w:ascii="Times New Roman" w:hAnsi="Times New Roman"/>
          <w:color w:val="000000" w:themeColor="text1"/>
          <w:sz w:val="16"/>
          <w:szCs w:val="16"/>
        </w:rPr>
        <w:t>Дружковский</w:t>
      </w:r>
      <w:proofErr w:type="spellEnd"/>
      <w:r w:rsidRPr="00A259BD">
        <w:rPr>
          <w:rFonts w:ascii="Times New Roman" w:hAnsi="Times New Roman"/>
          <w:color w:val="000000" w:themeColor="text1"/>
          <w:sz w:val="16"/>
          <w:szCs w:val="16"/>
        </w:rPr>
        <w:t xml:space="preserve"> и частью Сулинский, несмотря на то, что они могли успешно работать и особенно последний, который мог дать необходимое количество металла, строящемуся Ростовскому заводу с/хоз. машин.</w:t>
      </w:r>
    </w:p>
    <w:p w14:paraId="1ACB76D1"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Ими же были поставлены на консервацию наши лучшие заводы - Днепровский и Макеевский, а на других - Петровском, Сталинском, Мариупольском, Керченском и др. приступили к крупнейшим работам по реконструкции, выписывая для этого из-за границы все, что возможно было. Размах реконструкции ими был взят умышленно чрезмерный, благодаря чему дорогое заграничное оборудование не было использовано своевременно и громадные средства лежали втуне.</w:t>
      </w:r>
    </w:p>
    <w:p w14:paraId="0A99FED4"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отношении стоимости выполненных работ по реконструкции заводов отмечают, что в общем фактическая стоимость в несколько раз превышала сметную и, как пример колоссального расхождения представляет[</w:t>
      </w:r>
      <w:proofErr w:type="spellStart"/>
      <w:r w:rsidRPr="00A259BD">
        <w:rPr>
          <w:rFonts w:ascii="Times New Roman" w:hAnsi="Times New Roman"/>
          <w:color w:val="000000" w:themeColor="text1"/>
          <w:sz w:val="16"/>
          <w:szCs w:val="16"/>
        </w:rPr>
        <w:t>ся</w:t>
      </w:r>
      <w:proofErr w:type="spellEnd"/>
      <w:r w:rsidRPr="00A259BD">
        <w:rPr>
          <w:rFonts w:ascii="Times New Roman" w:hAnsi="Times New Roman"/>
          <w:color w:val="000000" w:themeColor="text1"/>
          <w:sz w:val="16"/>
          <w:szCs w:val="16"/>
        </w:rPr>
        <w:t>] Керченский завод, для которого по смете было намечено 18 миллионов, а при более подробном пересчете вышло 66 миллионов. Все указанное было мне известно и никаких мер для вскрытия этого завуалированного вредительства я не принимал, в чем и признаю себя виновным.</w:t>
      </w:r>
    </w:p>
    <w:p w14:paraId="50D1C8C1" w14:textId="77777777" w:rsidR="00AB6C52" w:rsidRPr="00A259BD" w:rsidRDefault="00AB6C52"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Контр-революционная</w:t>
      </w:r>
      <w:proofErr w:type="spellEnd"/>
      <w:r w:rsidRPr="00A259BD">
        <w:rPr>
          <w:rFonts w:ascii="Times New Roman" w:hAnsi="Times New Roman"/>
          <w:color w:val="000000" w:themeColor="text1"/>
          <w:sz w:val="16"/>
          <w:szCs w:val="16"/>
        </w:rPr>
        <w:t xml:space="preserve"> деятельность моя и Р. Я. ГАРТВАНА в Техническом Совете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w:t>
      </w:r>
    </w:p>
    <w:p w14:paraId="1B0F87BB"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Техническом Совете при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я принимал участие, примерно с 1921-1924, как член Совета, занимаясь по преимуществу вопросами машиностроительного характера и имеющими отношение к металлопромышленности вообще. Во главе Тех. Совета был инженер Р. Я. ГАРТ- ВАН. Наша работа состояла, главным образом, в критике основных планов, составленных разными Отделами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в разрешении всякого рода вопросов, связанных с реконструкцией заводов, установлением новых производств, рассмотрением проектов новых заводов и составлением перспективных планов для металлопромышленности. Работу такого характера пришлось налаживать впервые, и она представляла громадные затруднения как по новизне вообще, так и по размеру ввиду необходимости оценить не узкую область данной отрасли промышленности, а в государственном &lt;масштабе&gt;, его перспективе. Отрешиться сразу от прежнего, капиталистического подхода, было нам затруднительно и многое, что было намечено, носило явный отпечаток нашего антисоветского воззрения.</w:t>
      </w:r>
    </w:p>
    <w:p w14:paraId="3DD6CED3"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Я и Р. Я. ГАРТВАН считали в начале, что заводы следует вести по прежнему пути, по возможности сохраняя существующие разнообразные производства[,] и не задаваться широким объединением их, считая это преждевременным. Мы затрагивали вопросы и широкого масштаба, напр., об основном капитале промышленности, о потребности для страны на ближайшие годы на паровозы, вагоны, дизеля, тракторы, потребность в металле и вообще всем том, что сама жизнь ставила перед </w:t>
      </w:r>
      <w:proofErr w:type="spellStart"/>
      <w:r w:rsidRPr="00A259BD">
        <w:rPr>
          <w:rFonts w:ascii="Times New Roman" w:hAnsi="Times New Roman"/>
          <w:color w:val="000000" w:themeColor="text1"/>
          <w:sz w:val="16"/>
          <w:szCs w:val="16"/>
        </w:rPr>
        <w:t>Главметаллом</w:t>
      </w:r>
      <w:proofErr w:type="spellEnd"/>
      <w:r w:rsidRPr="00A259BD">
        <w:rPr>
          <w:rFonts w:ascii="Times New Roman" w:hAnsi="Times New Roman"/>
          <w:color w:val="000000" w:themeColor="text1"/>
          <w:sz w:val="16"/>
          <w:szCs w:val="16"/>
        </w:rPr>
        <w:t>.</w:t>
      </w:r>
    </w:p>
    <w:p w14:paraId="74C94FD6"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Докладов по разным вопросам было мною составлено за этот период довольно много и одновременно разбирались разные вопросы на заседаниях. Теперь, за давностью, многое не припоминаю, но одно несомненно, что большинство суждений в своем основном имели антисоветскую подкладку. Установить конкретно нашу </w:t>
      </w:r>
      <w:proofErr w:type="spellStart"/>
      <w:r w:rsidRPr="00A259BD">
        <w:rPr>
          <w:rFonts w:ascii="Times New Roman" w:hAnsi="Times New Roman"/>
          <w:color w:val="000000" w:themeColor="text1"/>
          <w:sz w:val="16"/>
          <w:szCs w:val="16"/>
        </w:rPr>
        <w:t>контр-революционную</w:t>
      </w:r>
      <w:proofErr w:type="spellEnd"/>
      <w:r w:rsidRPr="00A259BD">
        <w:rPr>
          <w:rFonts w:ascii="Times New Roman" w:hAnsi="Times New Roman"/>
          <w:color w:val="000000" w:themeColor="text1"/>
          <w:sz w:val="16"/>
          <w:szCs w:val="16"/>
        </w:rPr>
        <w:t xml:space="preserve"> или вредительскую деятельность затрудняюсь. Но считаю нас виновными в том, что, занимаясь впервые составлением перспективного плана развития металлопромышленности и потребности в металле в стране, мы сознательно уменьшили темп развертывания его и тем дали неверный материал для планирующих органов. Руководствуясь им, они дали недостаточно[е] исходное основание для развития наших металлургических заводов и реконструкция их была задержана, что в конечном итоге привело к недостаче металла.</w:t>
      </w:r>
    </w:p>
    <w:p w14:paraId="6A08C71D"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Как технический орган при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он должен был с исчерпывающей полнотой дать ответ на поставленные вопросы и для правильного направления их в будущем. В этом отношении работа в Совете была слабая, и основную вину должны мы принять на себя, Р. Я. ГАРТВАН, как председатель Тех. Совета, а я как один из заместителей.</w:t>
      </w:r>
    </w:p>
    <w:p w14:paraId="6DCBA5D5"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Записано собственноручно - проф. БЕЛОНОЖКИН (18337).</w:t>
      </w:r>
    </w:p>
    <w:p w14:paraId="38A5D7B6"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13/VI-29 г.</w:t>
      </w:r>
    </w:p>
    <w:p w14:paraId="4D513A5B" w14:textId="77777777" w:rsidR="00AB6C52" w:rsidRPr="00A259BD" w:rsidRDefault="00AB6C52" w:rsidP="009236E3">
      <w:pPr>
        <w:spacing w:after="0" w:line="240" w:lineRule="auto"/>
        <w:jc w:val="both"/>
        <w:rPr>
          <w:rFonts w:ascii="Times New Roman" w:hAnsi="Times New Roman"/>
          <w:color w:val="000000" w:themeColor="text1"/>
          <w:sz w:val="16"/>
          <w:szCs w:val="16"/>
        </w:rPr>
      </w:pPr>
    </w:p>
    <w:p w14:paraId="40389BB6"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ноября 1929 г.</w:t>
      </w:r>
    </w:p>
    <w:p w14:paraId="56BA691C"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Письмо заместителя председателя ОГПУ Г. Г. Ягоды и начальника Экономического управления ОГПУ Г. Е. Прокофьева в ЦК ВКП(б) о результатах следствия о «деятельности контрреволюционной организации в металлопромышленности».</w:t>
      </w:r>
    </w:p>
    <w:p w14:paraId="485F48C3"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A7748C5"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ноября 1929 г.</w:t>
      </w:r>
    </w:p>
    <w:p w14:paraId="1D2F5E92"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Секретно</w:t>
      </w:r>
    </w:p>
    <w:p w14:paraId="3D4BD8F0"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 Сталину</w:t>
      </w:r>
    </w:p>
    <w:p w14:paraId="21CE371F"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результате почти полугодового следствия по делу инженеров-металлистов ХРЕННИКОВА, БЕЛОНОЖКИНА, ЖДАНОВА и др., ОГПУ получено в последнее время ряд следственных материалов, характеризующих деятельность </w:t>
      </w:r>
      <w:proofErr w:type="spellStart"/>
      <w:r w:rsidRPr="00A259BD">
        <w:rPr>
          <w:rFonts w:ascii="Times New Roman" w:hAnsi="Times New Roman"/>
          <w:color w:val="000000" w:themeColor="text1"/>
          <w:sz w:val="16"/>
          <w:szCs w:val="16"/>
        </w:rPr>
        <w:t>контр-революционной</w:t>
      </w:r>
      <w:proofErr w:type="spellEnd"/>
      <w:r w:rsidRPr="00A259BD">
        <w:rPr>
          <w:rFonts w:ascii="Times New Roman" w:hAnsi="Times New Roman"/>
          <w:color w:val="000000" w:themeColor="text1"/>
          <w:sz w:val="16"/>
          <w:szCs w:val="16"/>
        </w:rPr>
        <w:t xml:space="preserve"> организации в металлопромышленности и машиностроении, а именно:</w:t>
      </w:r>
    </w:p>
    <w:p w14:paraId="7F25621F"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w:t>
      </w:r>
      <w:proofErr w:type="spellStart"/>
      <w:r w:rsidRPr="00A259BD">
        <w:rPr>
          <w:rFonts w:ascii="Times New Roman" w:hAnsi="Times New Roman"/>
          <w:color w:val="000000" w:themeColor="text1"/>
          <w:sz w:val="16"/>
          <w:szCs w:val="16"/>
        </w:rPr>
        <w:t>Контр-революционная</w:t>
      </w:r>
      <w:proofErr w:type="spellEnd"/>
      <w:r w:rsidRPr="00A259BD">
        <w:rPr>
          <w:rFonts w:ascii="Times New Roman" w:hAnsi="Times New Roman"/>
          <w:color w:val="000000" w:themeColor="text1"/>
          <w:sz w:val="16"/>
          <w:szCs w:val="16"/>
        </w:rPr>
        <w:t xml:space="preserve"> вредительская организация в машиностроении возникла в 1921 году в тресте «ГОМЗЫ», под руководством ХРЕННИКОВА, в составе группы специалистов б. служащих Акционерного] О-ва «Сормово-Коломна». Организация возникла и проводила вредительство по директивам б. акционера МЕЩЕРСКОГО (члена </w:t>
      </w:r>
      <w:proofErr w:type="spellStart"/>
      <w:r w:rsidRPr="00A259BD">
        <w:rPr>
          <w:rFonts w:ascii="Times New Roman" w:hAnsi="Times New Roman"/>
          <w:color w:val="000000" w:themeColor="text1"/>
          <w:sz w:val="16"/>
          <w:szCs w:val="16"/>
        </w:rPr>
        <w:t>Торгпрома</w:t>
      </w:r>
      <w:proofErr w:type="spellEnd"/>
      <w:r w:rsidRPr="00A259BD">
        <w:rPr>
          <w:rFonts w:ascii="Times New Roman" w:hAnsi="Times New Roman"/>
          <w:color w:val="000000" w:themeColor="text1"/>
          <w:sz w:val="16"/>
          <w:szCs w:val="16"/>
        </w:rPr>
        <w:t xml:space="preserve">), посылавшихся через некоего гражданина] ГЛАССА (тоже чл. </w:t>
      </w:r>
      <w:proofErr w:type="spellStart"/>
      <w:r w:rsidRPr="00A259BD">
        <w:rPr>
          <w:rFonts w:ascii="Times New Roman" w:hAnsi="Times New Roman"/>
          <w:color w:val="000000" w:themeColor="text1"/>
          <w:sz w:val="16"/>
          <w:szCs w:val="16"/>
        </w:rPr>
        <w:t>Торгпрома</w:t>
      </w:r>
      <w:proofErr w:type="spellEnd"/>
      <w:r w:rsidRPr="00A259BD">
        <w:rPr>
          <w:rFonts w:ascii="Times New Roman" w:hAnsi="Times New Roman"/>
          <w:color w:val="000000" w:themeColor="text1"/>
          <w:sz w:val="16"/>
          <w:szCs w:val="16"/>
        </w:rPr>
        <w:t>) и через английскую Миссию лично ХРЕННИКОВУ, связанному с ГЛАССОМ и ХОДЖСОНОМ. Целью вредительства была подготовка концессионной базы для б. владельцев.</w:t>
      </w:r>
    </w:p>
    <w:p w14:paraId="58323280"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w:t>
      </w:r>
      <w:proofErr w:type="spellStart"/>
      <w:r w:rsidRPr="00A259BD">
        <w:rPr>
          <w:rFonts w:ascii="Times New Roman" w:hAnsi="Times New Roman"/>
          <w:color w:val="000000" w:themeColor="text1"/>
          <w:sz w:val="16"/>
          <w:szCs w:val="16"/>
        </w:rPr>
        <w:t>Гомзинская</w:t>
      </w:r>
      <w:proofErr w:type="spellEnd"/>
      <w:r w:rsidRPr="00A259BD">
        <w:rPr>
          <w:rFonts w:ascii="Times New Roman" w:hAnsi="Times New Roman"/>
          <w:color w:val="000000" w:themeColor="text1"/>
          <w:sz w:val="16"/>
          <w:szCs w:val="16"/>
        </w:rPr>
        <w:t xml:space="preserve"> организация, в лице ХРЕННИКОВА, на периоде 1921-25 г. входила в к.-р. организацию, существовавшую в </w:t>
      </w:r>
      <w:proofErr w:type="spellStart"/>
      <w:r w:rsidRPr="00A259BD">
        <w:rPr>
          <w:rFonts w:ascii="Times New Roman" w:hAnsi="Times New Roman"/>
          <w:color w:val="000000" w:themeColor="text1"/>
          <w:sz w:val="16"/>
          <w:szCs w:val="16"/>
        </w:rPr>
        <w:t>Главметалле</w:t>
      </w:r>
      <w:proofErr w:type="spellEnd"/>
      <w:r w:rsidRPr="00A259BD">
        <w:rPr>
          <w:rFonts w:ascii="Times New Roman" w:hAnsi="Times New Roman"/>
          <w:color w:val="000000" w:themeColor="text1"/>
          <w:sz w:val="16"/>
          <w:szCs w:val="16"/>
        </w:rPr>
        <w:t xml:space="preserve"> и его Техническом Совете в составе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енеров</w:t>
      </w:r>
      <w:proofErr w:type="spellEnd"/>
      <w:r w:rsidRPr="00A259BD">
        <w:rPr>
          <w:rFonts w:ascii="Times New Roman" w:hAnsi="Times New Roman"/>
          <w:color w:val="000000" w:themeColor="text1"/>
          <w:sz w:val="16"/>
          <w:szCs w:val="16"/>
        </w:rPr>
        <w:t xml:space="preserve">] ГАРТВАНА, БЕЛОНОЖКИНА, ЖДАНОВА, СВИЦЫНА, ТАУБЕ и друг[их], чем устанавливалось единство действий и для других (не </w:t>
      </w:r>
      <w:proofErr w:type="spellStart"/>
      <w:r w:rsidRPr="00A259BD">
        <w:rPr>
          <w:rFonts w:ascii="Times New Roman" w:hAnsi="Times New Roman"/>
          <w:color w:val="000000" w:themeColor="text1"/>
          <w:sz w:val="16"/>
          <w:szCs w:val="16"/>
        </w:rPr>
        <w:t>Гомзинских</w:t>
      </w:r>
      <w:proofErr w:type="spellEnd"/>
      <w:r w:rsidRPr="00A259BD">
        <w:rPr>
          <w:rFonts w:ascii="Times New Roman" w:hAnsi="Times New Roman"/>
          <w:color w:val="000000" w:themeColor="text1"/>
          <w:sz w:val="16"/>
          <w:szCs w:val="16"/>
        </w:rPr>
        <w:t>) ветвей организации.</w:t>
      </w:r>
    </w:p>
    <w:p w14:paraId="18C8406E"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В 1925 году ХРЕННИКОВ, уже состоя </w:t>
      </w:r>
      <w:proofErr w:type="spellStart"/>
      <w:r w:rsidRPr="00A259BD">
        <w:rPr>
          <w:rFonts w:ascii="Times New Roman" w:hAnsi="Times New Roman"/>
          <w:color w:val="000000" w:themeColor="text1"/>
          <w:sz w:val="16"/>
          <w:szCs w:val="16"/>
        </w:rPr>
        <w:t>Председ</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ателем</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Метплана</w:t>
      </w:r>
      <w:proofErr w:type="spellEnd"/>
      <w:r w:rsidRPr="00A259BD">
        <w:rPr>
          <w:rFonts w:ascii="Times New Roman" w:hAnsi="Times New Roman"/>
          <w:color w:val="000000" w:themeColor="text1"/>
          <w:sz w:val="16"/>
          <w:szCs w:val="16"/>
        </w:rPr>
        <w:t xml:space="preserve"> и членом Правления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xml:space="preserve">, возглавил и окончательно оформил к-р. организацию, охватившую все отрасли деятельности </w:t>
      </w:r>
      <w:proofErr w:type="spellStart"/>
      <w:r w:rsidRPr="00A259BD">
        <w:rPr>
          <w:rFonts w:ascii="Times New Roman" w:hAnsi="Times New Roman"/>
          <w:color w:val="000000" w:themeColor="text1"/>
          <w:sz w:val="16"/>
          <w:szCs w:val="16"/>
        </w:rPr>
        <w:t>Главметалла</w:t>
      </w:r>
      <w:proofErr w:type="spellEnd"/>
      <w:r w:rsidRPr="00A259BD">
        <w:rPr>
          <w:rFonts w:ascii="Times New Roman" w:hAnsi="Times New Roman"/>
          <w:color w:val="000000" w:themeColor="text1"/>
          <w:sz w:val="16"/>
          <w:szCs w:val="16"/>
        </w:rPr>
        <w:t>, распределив для каждого роли по руководству всеми ветвями к.-р. организации в металлопромышленности Юга, Урала, Москвы и Ленинграда (см. его схему).</w:t>
      </w:r>
    </w:p>
    <w:p w14:paraId="555C6CF7"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этого времени вся последующая вредительская деятельность организации сводилась по показаниям БЕЛОНОЖКИН А к созданию </w:t>
      </w:r>
      <w:proofErr w:type="spellStart"/>
      <w:r w:rsidRPr="00A259BD">
        <w:rPr>
          <w:rFonts w:ascii="Times New Roman" w:hAnsi="Times New Roman"/>
          <w:color w:val="000000" w:themeColor="text1"/>
          <w:sz w:val="16"/>
          <w:szCs w:val="16"/>
        </w:rPr>
        <w:t>металического</w:t>
      </w:r>
      <w:proofErr w:type="spellEnd"/>
      <w:r w:rsidRPr="00A259BD">
        <w:rPr>
          <w:rFonts w:ascii="Times New Roman" w:hAnsi="Times New Roman"/>
          <w:color w:val="000000" w:themeColor="text1"/>
          <w:sz w:val="16"/>
          <w:szCs w:val="16"/>
        </w:rPr>
        <w:t xml:space="preserve"> голода в стране, к срыву индустриализации, соответственно этому проводилось вредительство в подпольных ветвях организации (</w:t>
      </w:r>
      <w:proofErr w:type="spellStart"/>
      <w:r w:rsidRPr="00A259BD">
        <w:rPr>
          <w:rFonts w:ascii="Times New Roman" w:hAnsi="Times New Roman"/>
          <w:color w:val="000000" w:themeColor="text1"/>
          <w:sz w:val="16"/>
          <w:szCs w:val="16"/>
        </w:rPr>
        <w:t>Гомзы</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Югосталь</w:t>
      </w:r>
      <w:proofErr w:type="spellEnd"/>
      <w:r w:rsidRPr="00A259BD">
        <w:rPr>
          <w:rFonts w:ascii="Times New Roman" w:hAnsi="Times New Roman"/>
          <w:color w:val="000000" w:themeColor="text1"/>
          <w:sz w:val="16"/>
          <w:szCs w:val="16"/>
        </w:rPr>
        <w:t>, ЮРТ, Гипромез и т. д.).</w:t>
      </w:r>
    </w:p>
    <w:p w14:paraId="55CD11A0"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Организация действовала по директивам </w:t>
      </w:r>
      <w:proofErr w:type="spellStart"/>
      <w:r w:rsidRPr="00A259BD">
        <w:rPr>
          <w:rFonts w:ascii="Times New Roman" w:hAnsi="Times New Roman"/>
          <w:color w:val="000000" w:themeColor="text1"/>
          <w:sz w:val="16"/>
          <w:szCs w:val="16"/>
        </w:rPr>
        <w:t>Торгпрома</w:t>
      </w:r>
      <w:proofErr w:type="spellEnd"/>
      <w:r w:rsidRPr="00A259BD">
        <w:rPr>
          <w:rFonts w:ascii="Times New Roman" w:hAnsi="Times New Roman"/>
          <w:color w:val="000000" w:themeColor="text1"/>
          <w:sz w:val="16"/>
          <w:szCs w:val="16"/>
        </w:rPr>
        <w:t>, с членами которого как отдельные члены организации (ЖДАНОВ, БЕЛОНОЖКИН, СВИЦЫН и др.), так и ХРЕННИКОВ были связаны лично. Кроме того, сам ХРЕННИКОВ был связан с агентами английской разведки.</w:t>
      </w:r>
    </w:p>
    <w:p w14:paraId="372A156C"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Организация имела связь с к.-р. организациями в </w:t>
      </w:r>
      <w:proofErr w:type="spellStart"/>
      <w:r w:rsidRPr="00A259BD">
        <w:rPr>
          <w:rFonts w:ascii="Times New Roman" w:hAnsi="Times New Roman"/>
          <w:color w:val="000000" w:themeColor="text1"/>
          <w:sz w:val="16"/>
          <w:szCs w:val="16"/>
        </w:rPr>
        <w:t>НКПСе</w:t>
      </w:r>
      <w:proofErr w:type="spellEnd"/>
      <w:r w:rsidRPr="00A259BD">
        <w:rPr>
          <w:rFonts w:ascii="Times New Roman" w:hAnsi="Times New Roman"/>
          <w:color w:val="000000" w:themeColor="text1"/>
          <w:sz w:val="16"/>
          <w:szCs w:val="16"/>
        </w:rPr>
        <w:t>, Горнорудной промышленности и цветной металлургии.</w:t>
      </w:r>
    </w:p>
    <w:p w14:paraId="64849218"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иллюстрации изложенного, прилагаем копии собственноручно составленной ХРЕННИКОВЫМ схемы организации, а также копии протоколов допроса ХРЕННИКОВА, БЕЛОНОЖКИНА, НЕЙМАЙЕРА.</w:t>
      </w:r>
    </w:p>
    <w:p w14:paraId="4CE595F5"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ПРЕДСЕДАТЕЛЯ ОГПУ Г. Ягода</w:t>
      </w:r>
    </w:p>
    <w:p w14:paraId="1EB6BFC8"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 </w:t>
      </w:r>
      <w:proofErr w:type="spellStart"/>
      <w:r w:rsidRPr="00A259BD">
        <w:rPr>
          <w:rFonts w:ascii="Times New Roman" w:hAnsi="Times New Roman"/>
          <w:color w:val="000000" w:themeColor="text1"/>
          <w:sz w:val="16"/>
          <w:szCs w:val="16"/>
        </w:rPr>
        <w:t>ЭКОНОМУПРа</w:t>
      </w:r>
      <w:proofErr w:type="spellEnd"/>
      <w:r w:rsidRPr="00A259BD">
        <w:rPr>
          <w:rFonts w:ascii="Times New Roman" w:hAnsi="Times New Roman"/>
          <w:color w:val="000000" w:themeColor="text1"/>
          <w:sz w:val="16"/>
          <w:szCs w:val="16"/>
        </w:rPr>
        <w:t xml:space="preserve"> ОГПУ Г. Прокофьев</w:t>
      </w:r>
    </w:p>
    <w:p w14:paraId="63E82516"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Д. 353. Л. 2-2 об. Машинописный подлинник на бланке ОГПУ при СНК СССР, подписи - автографы. В угловой штамп бланка (Л. 2) вписаны от руки дата и номер документа (№ 44081); гриф секретности - машинописью вверху справа. На Л. 2 на полях слева рукописная помета: «Всем членам ЦК (и кандидатам) и президиуму (и кандидатам) ЦКК. </w:t>
      </w:r>
      <w:proofErr w:type="spellStart"/>
      <w:r w:rsidRPr="00A259BD">
        <w:rPr>
          <w:rFonts w:ascii="Times New Roman" w:hAnsi="Times New Roman"/>
          <w:color w:val="000000" w:themeColor="text1"/>
          <w:sz w:val="16"/>
          <w:szCs w:val="16"/>
        </w:rPr>
        <w:t>Ст</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алин</w:t>
      </w:r>
      <w:proofErr w:type="spellEnd"/>
      <w:r w:rsidRPr="00A259BD">
        <w:rPr>
          <w:rFonts w:ascii="Times New Roman" w:hAnsi="Times New Roman"/>
          <w:color w:val="000000" w:themeColor="text1"/>
          <w:sz w:val="16"/>
          <w:szCs w:val="16"/>
        </w:rPr>
        <w:t>]». Вверху Л. 2 - штампы делопроизводства Секретариата ЦК В КП (б) с данными о количестве размноженных (160) экземпляров документа (с приложениями), датой рассылки «11 —XI 1929 г.» и номером сопроводительного письма «№ 16691/с».</w:t>
      </w:r>
    </w:p>
    <w:p w14:paraId="5BE39721" w14:textId="77777777" w:rsidR="00AB6C52" w:rsidRPr="00A259BD" w:rsidRDefault="00AB6C5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деле (Л. 1) имеется машинописная копия того времени сопроводительного письма о рассылке записки Г. Г. Ягоды и Г. Е. Прокофьева членам и кандидатам ЦК и Президиума ЦКК В КП (б) за подписью помощника Секретаря ЦК (фамилия отсутствует): «По поручению тов. Сталина посылается Вам для сведения записка т. Ягоды от 6.XI. с. г. за № 44081 с приложением материала о вредительстве в металлопромышленности. Просьба, ввиду особой конспиративности, ознакомиться с материалом только лично и вернуть на мое имя. ПРИЛОЖЕНИЕ: экз. № на 26 листах». (Гриф «СТРОГО СЕКРЕТНО», номер документа «№ 16691/с», дата «11 ноября 1929 г.» машинописью) (18336).</w:t>
      </w:r>
    </w:p>
    <w:p w14:paraId="4529BA89" w14:textId="77777777" w:rsidR="00AB6C52" w:rsidRPr="00A259BD" w:rsidRDefault="00AB6C52" w:rsidP="009236E3">
      <w:pPr>
        <w:spacing w:after="0" w:line="240" w:lineRule="auto"/>
        <w:jc w:val="both"/>
        <w:rPr>
          <w:rFonts w:ascii="Times New Roman" w:hAnsi="Times New Roman"/>
          <w:color w:val="000000" w:themeColor="text1"/>
          <w:sz w:val="16"/>
          <w:szCs w:val="16"/>
        </w:rPr>
      </w:pPr>
    </w:p>
    <w:p w14:paraId="6CE5E2A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4A35D69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E7583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ноября 1929 состоялся и первый полет Г-38 Юнкерса - первого в мире четырехмоторного моноплана. Спустя 4 дня его показали журналистам. В 1929 был сделан и итальянский гигант СА-90 (70,202). В 1931 - модернизировали, сделали двухпалубным и удвоили число пассажиров - с 19 до 38 (169,21). В мае 1941 погиб при бомбежке (2206,62).</w:t>
      </w:r>
    </w:p>
    <w:p w14:paraId="4D320F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95D3AB" w14:textId="77777777" w:rsidR="00566015" w:rsidRPr="00A259BD" w:rsidRDefault="00566015"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6 ноября</w:t>
      </w:r>
      <w:r w:rsidRPr="00A259BD">
        <w:rPr>
          <w:rFonts w:ascii="Times New Roman" w:hAnsi="Times New Roman"/>
          <w:color w:val="000000" w:themeColor="text1"/>
          <w:sz w:val="16"/>
          <w:szCs w:val="16"/>
        </w:rPr>
        <w:t xml:space="preserve"> в 1929 году состоялся первый полёт 4-х моторного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«G-38». Он оказался крупнейшим сухопутным авиалайнером тех времён. Гуго Юнкерс имел большие виды на продажи авиалайнера, однако спроса самолёт гигант не нашёл. Было построено всего два экземпляра (14822).</w:t>
      </w:r>
    </w:p>
    <w:p w14:paraId="52E5FB92" w14:textId="77777777" w:rsidR="00566015" w:rsidRPr="00A259BD" w:rsidRDefault="00566015" w:rsidP="009236E3">
      <w:pPr>
        <w:spacing w:after="0" w:line="240" w:lineRule="auto"/>
        <w:jc w:val="both"/>
        <w:rPr>
          <w:rFonts w:ascii="Times New Roman" w:hAnsi="Times New Roman"/>
          <w:color w:val="000000" w:themeColor="text1"/>
          <w:sz w:val="16"/>
          <w:szCs w:val="16"/>
        </w:rPr>
      </w:pPr>
    </w:p>
    <w:p w14:paraId="51D222BF" w14:textId="77777777" w:rsidR="00654DCD" w:rsidRPr="00A259BD" w:rsidRDefault="00654DC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ноября 1929 г. первый полет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G.38 (20806). </w:t>
      </w:r>
    </w:p>
    <w:p w14:paraId="058BCCDC" w14:textId="77777777" w:rsidR="00654DCD" w:rsidRPr="00A259BD" w:rsidRDefault="00654DCD" w:rsidP="009236E3">
      <w:pPr>
        <w:spacing w:after="0" w:line="240" w:lineRule="auto"/>
        <w:jc w:val="both"/>
        <w:rPr>
          <w:rFonts w:ascii="Times New Roman" w:hAnsi="Times New Roman"/>
          <w:color w:val="000000" w:themeColor="text1"/>
          <w:sz w:val="16"/>
          <w:szCs w:val="16"/>
        </w:rPr>
      </w:pPr>
    </w:p>
    <w:p w14:paraId="5F3ED4BC" w14:textId="77777777" w:rsidR="00654DCD" w:rsidRPr="00A259BD" w:rsidRDefault="00654DC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ноября 1929 года — первый полёт транспортного самолёта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G.38. /Германия/</w:t>
      </w:r>
    </w:p>
    <w:p w14:paraId="08740EB6" w14:textId="77777777" w:rsidR="00654DCD" w:rsidRPr="00A259BD" w:rsidRDefault="00654DC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Ещё в 1909 году профессор Хуго Юнкерс задумался о создании аэроплана с крылом большой площади. Но на тот момент технологические возможности не позволяли осуществить задуманное. Лишь спустя 18 лет инженеры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Flugzeug</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und</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Motorenwerke</w:t>
      </w:r>
      <w:proofErr w:type="spellEnd"/>
      <w:r w:rsidRPr="00A259BD">
        <w:rPr>
          <w:rFonts w:ascii="Times New Roman" w:hAnsi="Times New Roman"/>
          <w:color w:val="000000" w:themeColor="text1"/>
          <w:sz w:val="16"/>
          <w:szCs w:val="16"/>
        </w:rPr>
        <w:t xml:space="preserve"> AG под руководством самого Юнкерса приступили к проекту G 38.</w:t>
      </w:r>
    </w:p>
    <w:p w14:paraId="67650A7F" w14:textId="77777777" w:rsidR="00654DCD" w:rsidRPr="00A259BD" w:rsidRDefault="00654DC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Самый большой сухопутный самолёт своего времени G 38 был цельнометаллическим среднепланом с неубирающимся шасси и </w:t>
      </w:r>
      <w:proofErr w:type="spellStart"/>
      <w:r w:rsidRPr="00A259BD">
        <w:rPr>
          <w:rFonts w:ascii="Times New Roman" w:hAnsi="Times New Roman"/>
          <w:color w:val="000000" w:themeColor="text1"/>
          <w:sz w:val="16"/>
          <w:szCs w:val="16"/>
        </w:rPr>
        <w:t>бипланным</w:t>
      </w:r>
      <w:proofErr w:type="spellEnd"/>
      <w:r w:rsidRPr="00A259BD">
        <w:rPr>
          <w:rFonts w:ascii="Times New Roman" w:hAnsi="Times New Roman"/>
          <w:color w:val="000000" w:themeColor="text1"/>
          <w:sz w:val="16"/>
          <w:szCs w:val="16"/>
        </w:rPr>
        <w:t xml:space="preserve"> хвостовым оперением. Оснащался 2 × двигателями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L88 и 2 ×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L8a общей мощностью 2366 л.с. Брал на борт от 30 до 34 пассажиров и 7 членов экипажа. Крейсерская скорость — 175 км/ч, дальность полёта — 3460 км.</w:t>
      </w:r>
    </w:p>
    <w:p w14:paraId="2A5094B0" w14:textId="77777777" w:rsidR="00654DCD" w:rsidRPr="00A259BD" w:rsidRDefault="00654DC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Построили всего 2 экземпляра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G.38 с б/н D-2000 и D-2500. Оба авиалайнера эксплуатировала авиакомпания Deutsche </w:t>
      </w:r>
      <w:proofErr w:type="spellStart"/>
      <w:r w:rsidRPr="00A259BD">
        <w:rPr>
          <w:rFonts w:ascii="Times New Roman" w:hAnsi="Times New Roman"/>
          <w:color w:val="000000" w:themeColor="text1"/>
          <w:sz w:val="16"/>
          <w:szCs w:val="16"/>
        </w:rPr>
        <w:t>Luft</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Hansa</w:t>
      </w:r>
      <w:proofErr w:type="spellEnd"/>
      <w:r w:rsidRPr="00A259BD">
        <w:rPr>
          <w:rFonts w:ascii="Times New Roman" w:hAnsi="Times New Roman"/>
          <w:color w:val="000000" w:themeColor="text1"/>
          <w:sz w:val="16"/>
          <w:szCs w:val="16"/>
        </w:rPr>
        <w:t xml:space="preserve"> A.G., но летали они нечасто. В 1936 году разбился первый G.38, а в 1941 году будет уничтожен и второй самолёт, мобилизованный в Люфтваффе (22300).</w:t>
      </w:r>
    </w:p>
    <w:p w14:paraId="7064E2A6" w14:textId="77777777" w:rsidR="00654DCD" w:rsidRPr="00A259BD" w:rsidRDefault="00654DCD" w:rsidP="009236E3">
      <w:pPr>
        <w:spacing w:after="0" w:line="240" w:lineRule="auto"/>
        <w:jc w:val="both"/>
        <w:rPr>
          <w:rFonts w:ascii="Times New Roman" w:hAnsi="Times New Roman"/>
          <w:color w:val="000000" w:themeColor="text1"/>
          <w:sz w:val="16"/>
          <w:szCs w:val="16"/>
        </w:rPr>
      </w:pPr>
    </w:p>
    <w:p w14:paraId="43853F16" w14:textId="77777777" w:rsidR="00654DCD" w:rsidRPr="00A259BD" w:rsidRDefault="00654DC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ноября 1929 после взлета из аэропорта </w:t>
      </w:r>
      <w:proofErr w:type="spellStart"/>
      <w:r w:rsidRPr="00A259BD">
        <w:rPr>
          <w:rFonts w:ascii="Times New Roman" w:hAnsi="Times New Roman"/>
          <w:color w:val="000000" w:themeColor="text1"/>
          <w:sz w:val="16"/>
          <w:szCs w:val="16"/>
        </w:rPr>
        <w:t>Кройдон</w:t>
      </w:r>
      <w:proofErr w:type="spellEnd"/>
      <w:r w:rsidRPr="00A259BD">
        <w:rPr>
          <w:rFonts w:ascii="Times New Roman" w:hAnsi="Times New Roman"/>
          <w:color w:val="000000" w:themeColor="text1"/>
          <w:sz w:val="16"/>
          <w:szCs w:val="16"/>
        </w:rPr>
        <w:t xml:space="preserve"> в Лондоне, Англии, Deutsche </w:t>
      </w:r>
      <w:proofErr w:type="spellStart"/>
      <w:r w:rsidRPr="00A259BD">
        <w:rPr>
          <w:rFonts w:ascii="Times New Roman" w:hAnsi="Times New Roman"/>
          <w:color w:val="000000" w:themeColor="text1"/>
          <w:sz w:val="16"/>
          <w:szCs w:val="16"/>
        </w:rPr>
        <w:t>Luft</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Hansa</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G 24bi </w:t>
      </w:r>
      <w:proofErr w:type="spellStart"/>
      <w:r w:rsidRPr="00A259BD">
        <w:rPr>
          <w:rFonts w:ascii="Times New Roman" w:hAnsi="Times New Roman"/>
          <w:color w:val="000000" w:themeColor="text1"/>
          <w:sz w:val="16"/>
          <w:szCs w:val="16"/>
        </w:rPr>
        <w:t>Oberschlesien</w:t>
      </w:r>
      <w:proofErr w:type="spellEnd"/>
      <w:r w:rsidRPr="00A259BD">
        <w:rPr>
          <w:rFonts w:ascii="Times New Roman" w:hAnsi="Times New Roman"/>
          <w:color w:val="000000" w:themeColor="text1"/>
          <w:sz w:val="16"/>
          <w:szCs w:val="16"/>
        </w:rPr>
        <w:t xml:space="preserve"> (регистрация D-903) с девятью людьми на борту для регулярных пассажирских рейса в Амстердам в Нидерландах, падает задев деревья на холме в </w:t>
      </w:r>
      <w:proofErr w:type="spellStart"/>
      <w:r w:rsidRPr="00A259BD">
        <w:rPr>
          <w:rFonts w:ascii="Times New Roman" w:hAnsi="Times New Roman"/>
          <w:color w:val="000000" w:themeColor="text1"/>
          <w:sz w:val="16"/>
          <w:szCs w:val="16"/>
        </w:rPr>
        <w:t>Марден</w:t>
      </w:r>
      <w:proofErr w:type="spellEnd"/>
      <w:r w:rsidRPr="00A259BD">
        <w:rPr>
          <w:rFonts w:ascii="Times New Roman" w:hAnsi="Times New Roman"/>
          <w:color w:val="000000" w:themeColor="text1"/>
          <w:sz w:val="16"/>
          <w:szCs w:val="16"/>
        </w:rPr>
        <w:t xml:space="preserve">-парке, графство Суррей, при попытке вернуться в </w:t>
      </w:r>
      <w:proofErr w:type="spellStart"/>
      <w:r w:rsidRPr="00A259BD">
        <w:rPr>
          <w:rFonts w:ascii="Times New Roman" w:hAnsi="Times New Roman"/>
          <w:color w:val="000000" w:themeColor="text1"/>
          <w:sz w:val="16"/>
          <w:szCs w:val="16"/>
        </w:rPr>
        <w:t>Кройдон</w:t>
      </w:r>
      <w:proofErr w:type="spellEnd"/>
      <w:r w:rsidRPr="00A259BD">
        <w:rPr>
          <w:rFonts w:ascii="Times New Roman" w:hAnsi="Times New Roman"/>
          <w:color w:val="000000" w:themeColor="text1"/>
          <w:sz w:val="16"/>
          <w:szCs w:val="16"/>
        </w:rPr>
        <w:t xml:space="preserve"> в густом тумане. Трое из четырех членов экипажа и четверо из пяти пассажиров погибают (20806).</w:t>
      </w:r>
    </w:p>
    <w:p w14:paraId="69D203BC" w14:textId="77777777" w:rsidR="00654DCD" w:rsidRPr="00A259BD" w:rsidRDefault="00654DCD" w:rsidP="009236E3">
      <w:pPr>
        <w:spacing w:after="0" w:line="240" w:lineRule="auto"/>
        <w:jc w:val="both"/>
        <w:rPr>
          <w:rFonts w:ascii="Times New Roman" w:hAnsi="Times New Roman"/>
          <w:color w:val="000000" w:themeColor="text1"/>
          <w:sz w:val="16"/>
          <w:szCs w:val="16"/>
        </w:rPr>
      </w:pPr>
    </w:p>
    <w:p w14:paraId="5BF0EF9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523A49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36DBB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ноября 1929 состоялся первый полет К-5 К.А.К. (333,29). Был показан на воздушном параде в Харькове (438,603).</w:t>
      </w:r>
    </w:p>
    <w:p w14:paraId="23B464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C76456" w14:textId="77777777" w:rsidR="00890B04" w:rsidRPr="006B74EB" w:rsidRDefault="00890B04" w:rsidP="00890B04">
      <w:pPr>
        <w:spacing w:after="0" w:line="240" w:lineRule="auto"/>
        <w:jc w:val="both"/>
        <w:rPr>
          <w:rFonts w:ascii="Times New Roman" w:hAnsi="Times New Roman"/>
          <w:color w:val="0070C0"/>
          <w:sz w:val="16"/>
          <w:szCs w:val="16"/>
        </w:rPr>
      </w:pPr>
      <w:r>
        <w:rPr>
          <w:rFonts w:ascii="Times New Roman" w:hAnsi="Times New Roman"/>
          <w:color w:val="0070C0"/>
          <w:sz w:val="16"/>
          <w:szCs w:val="16"/>
        </w:rPr>
        <w:t>7</w:t>
      </w:r>
      <w:r w:rsidRPr="006B74EB">
        <w:rPr>
          <w:rFonts w:ascii="Times New Roman" w:hAnsi="Times New Roman"/>
          <w:color w:val="0070C0"/>
          <w:sz w:val="16"/>
          <w:szCs w:val="16"/>
        </w:rPr>
        <w:t xml:space="preserve"> ноября</w:t>
      </w:r>
      <w:r>
        <w:rPr>
          <w:rFonts w:ascii="Times New Roman" w:hAnsi="Times New Roman"/>
          <w:color w:val="0070C0"/>
          <w:sz w:val="16"/>
          <w:szCs w:val="16"/>
        </w:rPr>
        <w:t xml:space="preserve"> 1929 г</w:t>
      </w:r>
      <w:r w:rsidRPr="006B74EB">
        <w:rPr>
          <w:rFonts w:ascii="Times New Roman" w:hAnsi="Times New Roman"/>
          <w:color w:val="0070C0"/>
          <w:sz w:val="16"/>
          <w:szCs w:val="16"/>
        </w:rPr>
        <w:t>.</w:t>
      </w:r>
      <w:r>
        <w:rPr>
          <w:rFonts w:ascii="Times New Roman" w:hAnsi="Times New Roman"/>
          <w:color w:val="0070C0"/>
          <w:sz w:val="16"/>
          <w:szCs w:val="16"/>
        </w:rPr>
        <w:t xml:space="preserve"> в</w:t>
      </w:r>
      <w:r w:rsidRPr="006B74EB">
        <w:rPr>
          <w:rFonts w:ascii="Times New Roman" w:hAnsi="Times New Roman"/>
          <w:color w:val="0070C0"/>
          <w:sz w:val="16"/>
          <w:szCs w:val="16"/>
        </w:rPr>
        <w:t xml:space="preserve"> Харькове на воздушном параде впервые был показан пассажирский самолет К-</w:t>
      </w:r>
      <w:r>
        <w:rPr>
          <w:rFonts w:ascii="Times New Roman" w:hAnsi="Times New Roman"/>
          <w:color w:val="0070C0"/>
          <w:sz w:val="16"/>
          <w:szCs w:val="16"/>
        </w:rPr>
        <w:t>5</w:t>
      </w:r>
      <w:r w:rsidRPr="006B74EB">
        <w:rPr>
          <w:rFonts w:ascii="Times New Roman" w:hAnsi="Times New Roman"/>
          <w:color w:val="0070C0"/>
          <w:sz w:val="16"/>
          <w:szCs w:val="16"/>
        </w:rPr>
        <w:t xml:space="preserve"> кон</w:t>
      </w:r>
      <w:r>
        <w:rPr>
          <w:rFonts w:ascii="Times New Roman" w:hAnsi="Times New Roman"/>
          <w:color w:val="0070C0"/>
          <w:sz w:val="16"/>
          <w:szCs w:val="16"/>
        </w:rPr>
        <w:t>с</w:t>
      </w:r>
      <w:r w:rsidRPr="006B74EB">
        <w:rPr>
          <w:rFonts w:ascii="Times New Roman" w:hAnsi="Times New Roman"/>
          <w:color w:val="0070C0"/>
          <w:sz w:val="16"/>
          <w:szCs w:val="16"/>
        </w:rPr>
        <w:t>тру</w:t>
      </w:r>
      <w:r>
        <w:rPr>
          <w:rFonts w:ascii="Times New Roman" w:hAnsi="Times New Roman"/>
          <w:color w:val="0070C0"/>
          <w:sz w:val="16"/>
          <w:szCs w:val="16"/>
        </w:rPr>
        <w:t xml:space="preserve">кции </w:t>
      </w:r>
      <w:proofErr w:type="spellStart"/>
      <w:r w:rsidRPr="006B74EB">
        <w:rPr>
          <w:rFonts w:ascii="Times New Roman" w:hAnsi="Times New Roman"/>
          <w:color w:val="0070C0"/>
          <w:sz w:val="16"/>
          <w:szCs w:val="16"/>
        </w:rPr>
        <w:t>А.К.Кал</w:t>
      </w:r>
      <w:r>
        <w:rPr>
          <w:rFonts w:ascii="Times New Roman" w:hAnsi="Times New Roman"/>
          <w:color w:val="0070C0"/>
          <w:sz w:val="16"/>
          <w:szCs w:val="16"/>
        </w:rPr>
        <w:t>ин</w:t>
      </w:r>
      <w:r w:rsidRPr="006B74EB">
        <w:rPr>
          <w:rFonts w:ascii="Times New Roman" w:hAnsi="Times New Roman"/>
          <w:color w:val="0070C0"/>
          <w:sz w:val="16"/>
          <w:szCs w:val="16"/>
        </w:rPr>
        <w:t>ина</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построен</w:t>
      </w:r>
      <w:r>
        <w:rPr>
          <w:rFonts w:ascii="Times New Roman" w:hAnsi="Times New Roman"/>
          <w:color w:val="0070C0"/>
          <w:sz w:val="16"/>
          <w:szCs w:val="16"/>
        </w:rPr>
        <w:t>ный на</w:t>
      </w:r>
      <w:r w:rsidRPr="006B74EB">
        <w:rPr>
          <w:rFonts w:ascii="Times New Roman" w:hAnsi="Times New Roman"/>
          <w:color w:val="0070C0"/>
          <w:sz w:val="16"/>
          <w:szCs w:val="16"/>
        </w:rPr>
        <w:t xml:space="preserve"> Харьковским авиазаводом в октябре того хе года.</w:t>
      </w:r>
    </w:p>
    <w:p w14:paraId="3861393E" w14:textId="77777777" w:rsidR="00890B04" w:rsidRPr="006B74EB" w:rsidRDefault="00890B04" w:rsidP="00890B04">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К-5 представляет собой дальнейшее развитие самолетов К-2,</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К-3 того </w:t>
      </w:r>
      <w:r>
        <w:rPr>
          <w:rFonts w:ascii="Times New Roman" w:hAnsi="Times New Roman"/>
          <w:color w:val="0070C0"/>
          <w:sz w:val="16"/>
          <w:szCs w:val="16"/>
        </w:rPr>
        <w:t>ж</w:t>
      </w:r>
      <w:r w:rsidRPr="006B74EB">
        <w:rPr>
          <w:rFonts w:ascii="Times New Roman" w:hAnsi="Times New Roman"/>
          <w:color w:val="0070C0"/>
          <w:sz w:val="16"/>
          <w:szCs w:val="16"/>
        </w:rPr>
        <w:t>е конструктора.</w:t>
      </w:r>
      <w:r>
        <w:rPr>
          <w:rFonts w:ascii="Times New Roman" w:hAnsi="Times New Roman"/>
          <w:color w:val="0070C0"/>
          <w:sz w:val="16"/>
          <w:szCs w:val="16"/>
        </w:rPr>
        <w:t xml:space="preserve"> </w:t>
      </w:r>
      <w:r w:rsidRPr="006B74EB">
        <w:rPr>
          <w:rFonts w:ascii="Times New Roman" w:hAnsi="Times New Roman"/>
          <w:color w:val="0070C0"/>
          <w:sz w:val="16"/>
          <w:szCs w:val="16"/>
        </w:rPr>
        <w:t>Испытывался с иностранным мотором «</w:t>
      </w:r>
      <w:proofErr w:type="spellStart"/>
      <w:r>
        <w:rPr>
          <w:rFonts w:ascii="Times New Roman" w:hAnsi="Times New Roman"/>
          <w:color w:val="0070C0"/>
          <w:sz w:val="16"/>
          <w:szCs w:val="16"/>
        </w:rPr>
        <w:t>Х</w:t>
      </w:r>
      <w:r w:rsidRPr="006B74EB">
        <w:rPr>
          <w:rFonts w:ascii="Times New Roman" w:hAnsi="Times New Roman"/>
          <w:color w:val="0070C0"/>
          <w:sz w:val="16"/>
          <w:szCs w:val="16"/>
        </w:rPr>
        <w:t>ор</w:t>
      </w:r>
      <w:r>
        <w:rPr>
          <w:rFonts w:ascii="Times New Roman" w:hAnsi="Times New Roman"/>
          <w:color w:val="0070C0"/>
          <w:sz w:val="16"/>
          <w:szCs w:val="16"/>
        </w:rPr>
        <w:t>нет</w:t>
      </w:r>
      <w:proofErr w:type="spellEnd"/>
      <w:r>
        <w:rPr>
          <w:rFonts w:ascii="Times New Roman" w:hAnsi="Times New Roman"/>
          <w:color w:val="0070C0"/>
          <w:sz w:val="16"/>
          <w:szCs w:val="16"/>
        </w:rPr>
        <w:t>» в</w:t>
      </w:r>
      <w:r w:rsidRPr="006B74EB">
        <w:rPr>
          <w:rFonts w:ascii="Times New Roman" w:hAnsi="Times New Roman"/>
          <w:color w:val="0070C0"/>
          <w:sz w:val="16"/>
          <w:szCs w:val="16"/>
        </w:rPr>
        <w:t xml:space="preserve"> 450 л.</w:t>
      </w:r>
      <w:r>
        <w:rPr>
          <w:rFonts w:ascii="Times New Roman" w:hAnsi="Times New Roman"/>
          <w:color w:val="0070C0"/>
          <w:sz w:val="16"/>
          <w:szCs w:val="16"/>
        </w:rPr>
        <w:t>с</w:t>
      </w:r>
      <w:r w:rsidRPr="006B74EB">
        <w:rPr>
          <w:rFonts w:ascii="Times New Roman" w:hAnsi="Times New Roman"/>
          <w:color w:val="0070C0"/>
          <w:sz w:val="16"/>
          <w:szCs w:val="16"/>
        </w:rPr>
        <w:t>., серий но строился с моторами М-1</w:t>
      </w:r>
      <w:r>
        <w:rPr>
          <w:rFonts w:ascii="Times New Roman" w:hAnsi="Times New Roman"/>
          <w:color w:val="0070C0"/>
          <w:sz w:val="16"/>
          <w:szCs w:val="16"/>
        </w:rPr>
        <w:t>5</w:t>
      </w:r>
      <w:r w:rsidRPr="006B74EB">
        <w:rPr>
          <w:rFonts w:ascii="Times New Roman" w:hAnsi="Times New Roman"/>
          <w:color w:val="0070C0"/>
          <w:sz w:val="16"/>
          <w:szCs w:val="16"/>
        </w:rPr>
        <w:t>,</w:t>
      </w:r>
      <w:r>
        <w:rPr>
          <w:rFonts w:ascii="Times New Roman" w:hAnsi="Times New Roman"/>
          <w:color w:val="0070C0"/>
          <w:sz w:val="16"/>
          <w:szCs w:val="16"/>
        </w:rPr>
        <w:t xml:space="preserve"> И</w:t>
      </w:r>
      <w:r w:rsidRPr="006B74EB">
        <w:rPr>
          <w:rFonts w:ascii="Times New Roman" w:hAnsi="Times New Roman"/>
          <w:color w:val="0070C0"/>
          <w:sz w:val="16"/>
          <w:szCs w:val="16"/>
        </w:rPr>
        <w:t>-22,</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а с </w:t>
      </w:r>
      <w:r>
        <w:rPr>
          <w:rFonts w:ascii="Times New Roman" w:hAnsi="Times New Roman"/>
          <w:color w:val="0070C0"/>
          <w:sz w:val="16"/>
          <w:szCs w:val="16"/>
        </w:rPr>
        <w:t>1934</w:t>
      </w:r>
      <w:r w:rsidRPr="006B74EB">
        <w:rPr>
          <w:rFonts w:ascii="Times New Roman" w:hAnsi="Times New Roman"/>
          <w:color w:val="0070C0"/>
          <w:sz w:val="16"/>
          <w:szCs w:val="16"/>
        </w:rPr>
        <w:t xml:space="preserve"> года - 4 </w:t>
      </w:r>
      <w:r>
        <w:rPr>
          <w:rFonts w:ascii="Times New Roman" w:hAnsi="Times New Roman"/>
          <w:color w:val="0070C0"/>
          <w:sz w:val="16"/>
          <w:szCs w:val="16"/>
        </w:rPr>
        <w:t>с м</w:t>
      </w:r>
      <w:r w:rsidRPr="006B74EB">
        <w:rPr>
          <w:rFonts w:ascii="Times New Roman" w:hAnsi="Times New Roman"/>
          <w:color w:val="0070C0"/>
          <w:sz w:val="16"/>
          <w:szCs w:val="16"/>
        </w:rPr>
        <w:t xml:space="preserve">ором </w:t>
      </w:r>
      <w:r>
        <w:rPr>
          <w:rFonts w:ascii="Times New Roman" w:hAnsi="Times New Roman"/>
          <w:color w:val="0070C0"/>
          <w:sz w:val="16"/>
          <w:szCs w:val="16"/>
        </w:rPr>
        <w:t>М</w:t>
      </w:r>
      <w:r w:rsidRPr="006B74EB">
        <w:rPr>
          <w:rFonts w:ascii="Times New Roman" w:hAnsi="Times New Roman"/>
          <w:color w:val="0070C0"/>
          <w:sz w:val="16"/>
          <w:szCs w:val="16"/>
        </w:rPr>
        <w:t xml:space="preserve">-17 мощностью 500 </w:t>
      </w:r>
      <w:proofErr w:type="spellStart"/>
      <w:r w:rsidRPr="006B74EB">
        <w:rPr>
          <w:rFonts w:ascii="Times New Roman" w:hAnsi="Times New Roman"/>
          <w:color w:val="0070C0"/>
          <w:sz w:val="16"/>
          <w:szCs w:val="16"/>
        </w:rPr>
        <w:t>л,</w:t>
      </w:r>
      <w:r>
        <w:rPr>
          <w:rFonts w:ascii="Times New Roman" w:hAnsi="Times New Roman"/>
          <w:color w:val="0070C0"/>
          <w:sz w:val="16"/>
          <w:szCs w:val="16"/>
        </w:rPr>
        <w:t>с</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Данные К-5 с мотором </w:t>
      </w:r>
      <w:r>
        <w:rPr>
          <w:rFonts w:ascii="Times New Roman" w:hAnsi="Times New Roman"/>
          <w:color w:val="0070C0"/>
          <w:sz w:val="16"/>
          <w:szCs w:val="16"/>
        </w:rPr>
        <w:t>М</w:t>
      </w:r>
      <w:r w:rsidRPr="006B74EB">
        <w:rPr>
          <w:rFonts w:ascii="Times New Roman" w:hAnsi="Times New Roman"/>
          <w:color w:val="0070C0"/>
          <w:sz w:val="16"/>
          <w:szCs w:val="16"/>
        </w:rPr>
        <w:t>-17:</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размах </w:t>
      </w:r>
      <w:r>
        <w:rPr>
          <w:rFonts w:ascii="Times New Roman" w:hAnsi="Times New Roman"/>
          <w:color w:val="0070C0"/>
          <w:sz w:val="16"/>
          <w:szCs w:val="16"/>
        </w:rPr>
        <w:t>–</w:t>
      </w:r>
      <w:r w:rsidRPr="006B74EB">
        <w:rPr>
          <w:rFonts w:ascii="Times New Roman" w:hAnsi="Times New Roman"/>
          <w:color w:val="0070C0"/>
          <w:sz w:val="16"/>
          <w:szCs w:val="16"/>
        </w:rPr>
        <w:t xml:space="preserve"> </w:t>
      </w:r>
      <w:r>
        <w:rPr>
          <w:rFonts w:ascii="Times New Roman" w:hAnsi="Times New Roman"/>
          <w:color w:val="0070C0"/>
          <w:sz w:val="16"/>
          <w:szCs w:val="16"/>
        </w:rPr>
        <w:t>20,5 м</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дл</w:t>
      </w:r>
      <w:r>
        <w:rPr>
          <w:rFonts w:ascii="Times New Roman" w:hAnsi="Times New Roman"/>
          <w:color w:val="0070C0"/>
          <w:sz w:val="16"/>
          <w:szCs w:val="16"/>
        </w:rPr>
        <w:t>и</w:t>
      </w:r>
      <w:r w:rsidRPr="006B74EB">
        <w:rPr>
          <w:rFonts w:ascii="Times New Roman" w:hAnsi="Times New Roman"/>
          <w:color w:val="0070C0"/>
          <w:sz w:val="16"/>
          <w:szCs w:val="16"/>
        </w:rPr>
        <w:t xml:space="preserve">на </w:t>
      </w:r>
      <w:r>
        <w:rPr>
          <w:rFonts w:ascii="Times New Roman" w:hAnsi="Times New Roman"/>
          <w:color w:val="0070C0"/>
          <w:sz w:val="16"/>
          <w:szCs w:val="16"/>
        </w:rPr>
        <w:t>-</w:t>
      </w:r>
      <w:r w:rsidRPr="006B74EB">
        <w:rPr>
          <w:rFonts w:ascii="Times New Roman" w:hAnsi="Times New Roman"/>
          <w:color w:val="0070C0"/>
          <w:sz w:val="16"/>
          <w:szCs w:val="16"/>
        </w:rPr>
        <w:t xml:space="preserve"> 15,8 м; несущая площадь - 60 м';</w:t>
      </w:r>
      <w:r>
        <w:rPr>
          <w:rFonts w:ascii="Times New Roman" w:hAnsi="Times New Roman"/>
          <w:color w:val="0070C0"/>
          <w:sz w:val="16"/>
          <w:szCs w:val="16"/>
        </w:rPr>
        <w:t xml:space="preserve"> </w:t>
      </w:r>
      <w:r w:rsidRPr="006B74EB">
        <w:rPr>
          <w:rFonts w:ascii="Times New Roman" w:hAnsi="Times New Roman"/>
          <w:color w:val="0070C0"/>
          <w:sz w:val="16"/>
          <w:szCs w:val="16"/>
        </w:rPr>
        <w:t>в</w:t>
      </w:r>
      <w:r>
        <w:rPr>
          <w:rFonts w:ascii="Times New Roman" w:hAnsi="Times New Roman"/>
          <w:color w:val="0070C0"/>
          <w:sz w:val="16"/>
          <w:szCs w:val="16"/>
        </w:rPr>
        <w:t>е</w:t>
      </w:r>
      <w:r w:rsidRPr="006B74EB">
        <w:rPr>
          <w:rFonts w:ascii="Times New Roman" w:hAnsi="Times New Roman"/>
          <w:color w:val="0070C0"/>
          <w:sz w:val="16"/>
          <w:szCs w:val="16"/>
        </w:rPr>
        <w:t>с конструкции -</w:t>
      </w:r>
      <w:r>
        <w:rPr>
          <w:rFonts w:ascii="Times New Roman" w:hAnsi="Times New Roman"/>
          <w:color w:val="0070C0"/>
          <w:sz w:val="16"/>
          <w:szCs w:val="16"/>
        </w:rPr>
        <w:t>2,4 м</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полетный вес - 4 </w:t>
      </w:r>
      <w:proofErr w:type="spellStart"/>
      <w:r w:rsidRPr="006B74EB">
        <w:rPr>
          <w:rFonts w:ascii="Times New Roman" w:hAnsi="Times New Roman"/>
          <w:color w:val="0070C0"/>
          <w:sz w:val="16"/>
          <w:szCs w:val="16"/>
        </w:rPr>
        <w:t>тн</w:t>
      </w:r>
      <w:proofErr w:type="spellEnd"/>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скорость максимальная - 190 км/час; </w:t>
      </w:r>
      <w:r>
        <w:rPr>
          <w:rFonts w:ascii="Times New Roman" w:hAnsi="Times New Roman"/>
          <w:color w:val="0070C0"/>
          <w:sz w:val="16"/>
          <w:szCs w:val="16"/>
        </w:rPr>
        <w:t>ско</w:t>
      </w:r>
      <w:r w:rsidRPr="006B74EB">
        <w:rPr>
          <w:rFonts w:ascii="Times New Roman" w:hAnsi="Times New Roman"/>
          <w:color w:val="0070C0"/>
          <w:sz w:val="16"/>
          <w:szCs w:val="16"/>
        </w:rPr>
        <w:t>рость посадочная — 90 км/час;</w:t>
      </w:r>
      <w:r>
        <w:rPr>
          <w:rFonts w:ascii="Times New Roman" w:hAnsi="Times New Roman"/>
          <w:color w:val="0070C0"/>
          <w:sz w:val="16"/>
          <w:szCs w:val="16"/>
        </w:rPr>
        <w:t xml:space="preserve"> </w:t>
      </w:r>
      <w:r w:rsidRPr="006B74EB">
        <w:rPr>
          <w:rFonts w:ascii="Times New Roman" w:hAnsi="Times New Roman"/>
          <w:color w:val="0070C0"/>
          <w:sz w:val="16"/>
          <w:szCs w:val="16"/>
        </w:rPr>
        <w:t>потолок — 4000 м;</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дальность полета </w:t>
      </w:r>
      <w:r>
        <w:rPr>
          <w:rFonts w:ascii="Times New Roman" w:hAnsi="Times New Roman"/>
          <w:color w:val="0070C0"/>
          <w:sz w:val="16"/>
          <w:szCs w:val="16"/>
        </w:rPr>
        <w:t xml:space="preserve">1620 км, </w:t>
      </w:r>
      <w:r w:rsidRPr="006B74EB">
        <w:rPr>
          <w:rFonts w:ascii="Times New Roman" w:hAnsi="Times New Roman"/>
          <w:color w:val="0070C0"/>
          <w:sz w:val="16"/>
          <w:szCs w:val="16"/>
        </w:rPr>
        <w:t>пассажирских мест - 8.</w:t>
      </w:r>
      <w:r>
        <w:rPr>
          <w:rFonts w:ascii="Times New Roman" w:hAnsi="Times New Roman"/>
          <w:color w:val="0070C0"/>
          <w:sz w:val="16"/>
          <w:szCs w:val="16"/>
        </w:rPr>
        <w:t xml:space="preserve"> </w:t>
      </w:r>
      <w:r w:rsidRPr="006B74EB">
        <w:rPr>
          <w:rFonts w:ascii="Times New Roman" w:hAnsi="Times New Roman"/>
          <w:color w:val="0070C0"/>
          <w:sz w:val="16"/>
          <w:szCs w:val="16"/>
        </w:rPr>
        <w:t>Самолет был весьма экономичным и  эксплуатировался в ГВ</w:t>
      </w:r>
      <w:r>
        <w:rPr>
          <w:rFonts w:ascii="Times New Roman" w:hAnsi="Times New Roman"/>
          <w:color w:val="0070C0"/>
          <w:sz w:val="16"/>
          <w:szCs w:val="16"/>
        </w:rPr>
        <w:t>Ф</w:t>
      </w:r>
      <w:r w:rsidRPr="006B74EB">
        <w:rPr>
          <w:rFonts w:ascii="Times New Roman" w:hAnsi="Times New Roman"/>
          <w:color w:val="0070C0"/>
          <w:sz w:val="16"/>
          <w:szCs w:val="16"/>
        </w:rPr>
        <w:t xml:space="preserve"> вплоть до второй мировой войны.</w:t>
      </w:r>
    </w:p>
    <w:p w14:paraId="04DDDF10" w14:textId="77777777" w:rsidR="00890B04" w:rsidRDefault="00890B04" w:rsidP="00890B04">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w:t>
      </w:r>
      <w:r>
        <w:rPr>
          <w:rFonts w:ascii="Times New Roman" w:hAnsi="Times New Roman"/>
          <w:color w:val="0070C0"/>
          <w:sz w:val="16"/>
          <w:szCs w:val="16"/>
        </w:rPr>
        <w:t>«</w:t>
      </w:r>
      <w:r w:rsidRPr="006B74EB">
        <w:rPr>
          <w:rFonts w:ascii="Times New Roman" w:hAnsi="Times New Roman"/>
          <w:color w:val="0070C0"/>
          <w:sz w:val="16"/>
          <w:szCs w:val="16"/>
        </w:rPr>
        <w:t xml:space="preserve">Известия </w:t>
      </w:r>
      <w:r>
        <w:rPr>
          <w:rFonts w:ascii="Times New Roman" w:hAnsi="Times New Roman"/>
          <w:color w:val="0070C0"/>
          <w:sz w:val="16"/>
          <w:szCs w:val="16"/>
        </w:rPr>
        <w:t>Ц</w:t>
      </w:r>
      <w:r w:rsidRPr="006B74EB">
        <w:rPr>
          <w:rFonts w:ascii="Times New Roman" w:hAnsi="Times New Roman"/>
          <w:color w:val="0070C0"/>
          <w:sz w:val="16"/>
          <w:szCs w:val="16"/>
        </w:rPr>
        <w:t>ИК СССР</w:t>
      </w:r>
      <w:r>
        <w:rPr>
          <w:rFonts w:ascii="Times New Roman" w:hAnsi="Times New Roman"/>
          <w:color w:val="0070C0"/>
          <w:sz w:val="16"/>
          <w:szCs w:val="16"/>
        </w:rPr>
        <w:t xml:space="preserve"> </w:t>
      </w:r>
      <w:r w:rsidRPr="006B74EB">
        <w:rPr>
          <w:rFonts w:ascii="Times New Roman" w:hAnsi="Times New Roman"/>
          <w:color w:val="0070C0"/>
          <w:sz w:val="16"/>
          <w:szCs w:val="16"/>
        </w:rPr>
        <w:t>за 11 ноября 1929; ТВ</w:t>
      </w:r>
      <w:r>
        <w:rPr>
          <w:rFonts w:ascii="Times New Roman" w:hAnsi="Times New Roman"/>
          <w:color w:val="0070C0"/>
          <w:sz w:val="16"/>
          <w:szCs w:val="16"/>
        </w:rPr>
        <w:t>Ф</w:t>
      </w:r>
      <w:r w:rsidRPr="006B74EB">
        <w:rPr>
          <w:rFonts w:ascii="Times New Roman" w:hAnsi="Times New Roman"/>
          <w:color w:val="0070C0"/>
          <w:sz w:val="16"/>
          <w:szCs w:val="16"/>
        </w:rPr>
        <w:t>, 1937 № 11-12/</w:t>
      </w:r>
      <w:r>
        <w:rPr>
          <w:rFonts w:ascii="Times New Roman" w:hAnsi="Times New Roman"/>
          <w:color w:val="0070C0"/>
          <w:sz w:val="16"/>
          <w:szCs w:val="16"/>
        </w:rPr>
        <w:t xml:space="preserve"> (23370).</w:t>
      </w:r>
    </w:p>
    <w:p w14:paraId="4EC30CA1" w14:textId="77777777" w:rsidR="00890B04" w:rsidRPr="006B74EB" w:rsidRDefault="00890B04" w:rsidP="00890B04">
      <w:pPr>
        <w:spacing w:after="0" w:line="240" w:lineRule="auto"/>
        <w:jc w:val="both"/>
        <w:rPr>
          <w:rFonts w:ascii="Times New Roman" w:hAnsi="Times New Roman"/>
          <w:color w:val="0070C0"/>
          <w:sz w:val="16"/>
          <w:szCs w:val="16"/>
        </w:rPr>
      </w:pPr>
    </w:p>
    <w:p w14:paraId="5A7CB66E" w14:textId="7E806337" w:rsidR="00566015" w:rsidRPr="00A259BD" w:rsidRDefault="0056601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ноября 1929 г. первые 30 машин </w:t>
      </w:r>
      <w:r w:rsidR="00890B04">
        <w:rPr>
          <w:rFonts w:ascii="Times New Roman" w:hAnsi="Times New Roman"/>
          <w:color w:val="000000" w:themeColor="text1"/>
          <w:sz w:val="16"/>
          <w:szCs w:val="16"/>
        </w:rPr>
        <w:t xml:space="preserve">Р-5 </w:t>
      </w:r>
      <w:r w:rsidRPr="00A259BD">
        <w:rPr>
          <w:rFonts w:ascii="Times New Roman" w:hAnsi="Times New Roman"/>
          <w:color w:val="000000" w:themeColor="text1"/>
          <w:sz w:val="16"/>
          <w:szCs w:val="16"/>
        </w:rPr>
        <w:t>приняли участие в парадах в Москве и Ленинграде в составе колонны под неофициальным названием «Наш ответ Чемберлену» (15132).</w:t>
      </w:r>
    </w:p>
    <w:p w14:paraId="7D6F9331" w14:textId="77777777" w:rsidR="00566015" w:rsidRPr="00A259BD" w:rsidRDefault="00566015" w:rsidP="009236E3">
      <w:pPr>
        <w:spacing w:after="0" w:line="240" w:lineRule="auto"/>
        <w:jc w:val="both"/>
        <w:rPr>
          <w:rFonts w:ascii="Times New Roman" w:hAnsi="Times New Roman"/>
          <w:color w:val="000000" w:themeColor="text1"/>
          <w:sz w:val="16"/>
          <w:szCs w:val="16"/>
        </w:rPr>
      </w:pPr>
    </w:p>
    <w:p w14:paraId="3C6EBAF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F07221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B3CB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ноября 1929 в параде на КП в Москве и в Ленинграде приняли участие первые 30 танков Т-18, изготовленных на средства Осоавиахима под неофициальным названием Наш ответ Чемберлену (4243,9).</w:t>
      </w:r>
    </w:p>
    <w:p w14:paraId="3F903D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9687CB" w14:textId="77777777" w:rsidR="000922FC" w:rsidRPr="00A259BD" w:rsidRDefault="000922FC" w:rsidP="009236E3">
      <w:pPr>
        <w:pStyle w:val="ae"/>
        <w:shd w:val="clear" w:color="auto" w:fill="FFFFFF"/>
        <w:spacing w:before="0" w:after="0"/>
        <w:jc w:val="both"/>
        <w:rPr>
          <w:color w:val="000000" w:themeColor="text1"/>
          <w:sz w:val="16"/>
          <w:szCs w:val="16"/>
        </w:rPr>
      </w:pPr>
      <w:r w:rsidRPr="00A259BD">
        <w:rPr>
          <w:color w:val="000000" w:themeColor="text1"/>
          <w:sz w:val="16"/>
          <w:szCs w:val="16"/>
        </w:rPr>
        <w:t>7-го ноября 1929 года Т-18 впервые показали широкой общественности на параде. Т-18 первой производственной серии были распределены в основном по учебным частям. Поэтому эти машины практически невозможно увидеть в хронике. Похожая судьба была и у 7 танков второй производственной серии, которые строились на средства ОСОАВИАХИМ (17724).</w:t>
      </w:r>
    </w:p>
    <w:p w14:paraId="78E43F59" w14:textId="77777777" w:rsidR="000922FC" w:rsidRPr="00A259BD" w:rsidRDefault="000922FC" w:rsidP="009236E3">
      <w:pPr>
        <w:spacing w:after="0" w:line="240" w:lineRule="auto"/>
        <w:jc w:val="both"/>
        <w:rPr>
          <w:rFonts w:ascii="Times New Roman" w:eastAsia="Times New Roman" w:hAnsi="Times New Roman"/>
          <w:color w:val="000000" w:themeColor="text1"/>
          <w:sz w:val="16"/>
          <w:szCs w:val="16"/>
          <w:lang w:eastAsia="ru-RU"/>
        </w:rPr>
      </w:pPr>
    </w:p>
    <w:p w14:paraId="675F39E8"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ноября 1929 года благодаря настойчивости ВСНХ УССР было принято решение о создании Харьковского автосборочного завода. Создание Харьковского автосборочного завода совпало с началом строительства Ни-</w:t>
      </w:r>
      <w:proofErr w:type="spellStart"/>
      <w:r w:rsidRPr="00A259BD">
        <w:rPr>
          <w:rFonts w:ascii="Times New Roman" w:hAnsi="Times New Roman"/>
          <w:color w:val="000000" w:themeColor="text1"/>
          <w:sz w:val="16"/>
          <w:szCs w:val="16"/>
        </w:rPr>
        <w:t>жегородского</w:t>
      </w:r>
      <w:proofErr w:type="spellEnd"/>
      <w:r w:rsidRPr="00A259BD">
        <w:rPr>
          <w:rFonts w:ascii="Times New Roman" w:hAnsi="Times New Roman"/>
          <w:color w:val="000000" w:themeColor="text1"/>
          <w:sz w:val="16"/>
          <w:szCs w:val="16"/>
        </w:rPr>
        <w:t xml:space="preserve"> (Горьковского) автозавода. </w:t>
      </w:r>
      <w:proofErr w:type="spellStart"/>
      <w:r w:rsidRPr="00A259BD">
        <w:rPr>
          <w:rFonts w:ascii="Times New Roman" w:hAnsi="Times New Roman"/>
          <w:color w:val="000000" w:themeColor="text1"/>
          <w:sz w:val="16"/>
          <w:szCs w:val="16"/>
        </w:rPr>
        <w:t>Пла-нировалось</w:t>
      </w:r>
      <w:proofErr w:type="spellEnd"/>
      <w:r w:rsidRPr="00A259BD">
        <w:rPr>
          <w:rFonts w:ascii="Times New Roman" w:hAnsi="Times New Roman"/>
          <w:color w:val="000000" w:themeColor="text1"/>
          <w:sz w:val="16"/>
          <w:szCs w:val="16"/>
        </w:rPr>
        <w:t xml:space="preserve">, что в Харькове будут собираться автомобили, которые Нижегородский </w:t>
      </w:r>
      <w:proofErr w:type="spellStart"/>
      <w:r w:rsidRPr="00A259BD">
        <w:rPr>
          <w:rFonts w:ascii="Times New Roman" w:hAnsi="Times New Roman"/>
          <w:color w:val="000000" w:themeColor="text1"/>
          <w:sz w:val="16"/>
          <w:szCs w:val="16"/>
        </w:rPr>
        <w:t>автоза</w:t>
      </w:r>
      <w:proofErr w:type="spellEnd"/>
      <w:r w:rsidRPr="00A259BD">
        <w:rPr>
          <w:rFonts w:ascii="Times New Roman" w:hAnsi="Times New Roman"/>
          <w:color w:val="000000" w:themeColor="text1"/>
          <w:sz w:val="16"/>
          <w:szCs w:val="16"/>
        </w:rPr>
        <w:t>-вод будет изготавливать для Украины. Это имело большое народ-</w:t>
      </w:r>
      <w:proofErr w:type="spellStart"/>
      <w:r w:rsidRPr="00A259BD">
        <w:rPr>
          <w:rFonts w:ascii="Times New Roman" w:hAnsi="Times New Roman"/>
          <w:color w:val="000000" w:themeColor="text1"/>
          <w:sz w:val="16"/>
          <w:szCs w:val="16"/>
        </w:rPr>
        <w:t>нохозяйственное</w:t>
      </w:r>
      <w:proofErr w:type="spellEnd"/>
      <w:r w:rsidRPr="00A259BD">
        <w:rPr>
          <w:rFonts w:ascii="Times New Roman" w:hAnsi="Times New Roman"/>
          <w:color w:val="000000" w:themeColor="text1"/>
          <w:sz w:val="16"/>
          <w:szCs w:val="16"/>
        </w:rPr>
        <w:t xml:space="preserve"> значение, </w:t>
      </w:r>
      <w:proofErr w:type="spellStart"/>
      <w:r w:rsidRPr="00A259BD">
        <w:rPr>
          <w:rFonts w:ascii="Times New Roman" w:hAnsi="Times New Roman"/>
          <w:color w:val="000000" w:themeColor="text1"/>
          <w:sz w:val="16"/>
          <w:szCs w:val="16"/>
        </w:rPr>
        <w:t>по-скольку</w:t>
      </w:r>
      <w:proofErr w:type="spellEnd"/>
      <w:r w:rsidRPr="00A259BD">
        <w:rPr>
          <w:rFonts w:ascii="Times New Roman" w:hAnsi="Times New Roman"/>
          <w:color w:val="000000" w:themeColor="text1"/>
          <w:sz w:val="16"/>
          <w:szCs w:val="16"/>
        </w:rPr>
        <w:t xml:space="preserve"> себестоимость украинских автомобилей уменьшалась. Однако ВАТО (Всесоюзное </w:t>
      </w:r>
      <w:proofErr w:type="spellStart"/>
      <w:r w:rsidRPr="00A259BD">
        <w:rPr>
          <w:rFonts w:ascii="Times New Roman" w:hAnsi="Times New Roman"/>
          <w:color w:val="000000" w:themeColor="text1"/>
          <w:sz w:val="16"/>
          <w:szCs w:val="16"/>
        </w:rPr>
        <w:t>ав-тотракторное</w:t>
      </w:r>
      <w:proofErr w:type="spellEnd"/>
      <w:r w:rsidRPr="00A259BD">
        <w:rPr>
          <w:rFonts w:ascii="Times New Roman" w:hAnsi="Times New Roman"/>
          <w:color w:val="000000" w:themeColor="text1"/>
          <w:sz w:val="16"/>
          <w:szCs w:val="16"/>
        </w:rPr>
        <w:t xml:space="preserve"> объединение) еще длительное время </w:t>
      </w:r>
      <w:proofErr w:type="spellStart"/>
      <w:r w:rsidRPr="00A259BD">
        <w:rPr>
          <w:rFonts w:ascii="Times New Roman" w:hAnsi="Times New Roman"/>
          <w:color w:val="000000" w:themeColor="text1"/>
          <w:sz w:val="16"/>
          <w:szCs w:val="16"/>
        </w:rPr>
        <w:t>препятствова-ло</w:t>
      </w:r>
      <w:proofErr w:type="spellEnd"/>
      <w:r w:rsidRPr="00A259BD">
        <w:rPr>
          <w:rFonts w:ascii="Times New Roman" w:hAnsi="Times New Roman"/>
          <w:color w:val="000000" w:themeColor="text1"/>
          <w:sz w:val="16"/>
          <w:szCs w:val="16"/>
        </w:rPr>
        <w:t xml:space="preserve"> созданию завода.</w:t>
      </w:r>
    </w:p>
    <w:p w14:paraId="4B3D6DCB"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Первые месяцы завод размещался в гараже СНК. В конце 1929 года по постановлению Горсовета ему отдали помещение бывшего Ивановского сахарного завода. Прежние владельцы ос-</w:t>
      </w:r>
      <w:proofErr w:type="spellStart"/>
      <w:r w:rsidRPr="00A259BD">
        <w:rPr>
          <w:rFonts w:ascii="Times New Roman" w:hAnsi="Times New Roman"/>
          <w:color w:val="000000" w:themeColor="text1"/>
          <w:sz w:val="16"/>
          <w:szCs w:val="16"/>
        </w:rPr>
        <w:t>тавили</w:t>
      </w:r>
      <w:proofErr w:type="spellEnd"/>
      <w:r w:rsidRPr="00A259BD">
        <w:rPr>
          <w:rFonts w:ascii="Times New Roman" w:hAnsi="Times New Roman"/>
          <w:color w:val="000000" w:themeColor="text1"/>
          <w:sz w:val="16"/>
          <w:szCs w:val="16"/>
        </w:rPr>
        <w:t xml:space="preserve"> полуразрушенное здание - до .лучших времен и лучших хозяев.</w:t>
      </w:r>
    </w:p>
    <w:p w14:paraId="0EA9EFE6"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 вот настали новые времена, и пришли новые хозяева. Решено было произвести капитальный ремонт, а параллельно, буквально по углам </w:t>
      </w:r>
      <w:proofErr w:type="spellStart"/>
      <w:r w:rsidRPr="00A259BD">
        <w:rPr>
          <w:rFonts w:ascii="Times New Roman" w:hAnsi="Times New Roman"/>
          <w:color w:val="000000" w:themeColor="text1"/>
          <w:sz w:val="16"/>
          <w:szCs w:val="16"/>
        </w:rPr>
        <w:t>полуразру-шенного</w:t>
      </w:r>
      <w:proofErr w:type="spellEnd"/>
      <w:r w:rsidRPr="00A259BD">
        <w:rPr>
          <w:rFonts w:ascii="Times New Roman" w:hAnsi="Times New Roman"/>
          <w:color w:val="000000" w:themeColor="text1"/>
          <w:sz w:val="16"/>
          <w:szCs w:val="16"/>
        </w:rPr>
        <w:t xml:space="preserve"> завода, начали организовывать мастерские по сборке автомобилей из фордовских де-талей, поступавших из Америки.</w:t>
      </w:r>
    </w:p>
    <w:p w14:paraId="2864F44B"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Первоначально на заводе работало всего около 50 человек. Большинство - молодежь, лишь несколько старых и опытных </w:t>
      </w:r>
      <w:proofErr w:type="spellStart"/>
      <w:r w:rsidRPr="00A259BD">
        <w:rPr>
          <w:rFonts w:ascii="Times New Roman" w:hAnsi="Times New Roman"/>
          <w:color w:val="000000" w:themeColor="text1"/>
          <w:sz w:val="16"/>
          <w:szCs w:val="16"/>
        </w:rPr>
        <w:t>спе-циалистов</w:t>
      </w:r>
      <w:proofErr w:type="spellEnd"/>
      <w:r w:rsidRPr="00A259BD">
        <w:rPr>
          <w:rFonts w:ascii="Times New Roman" w:hAnsi="Times New Roman"/>
          <w:color w:val="000000" w:themeColor="text1"/>
          <w:sz w:val="16"/>
          <w:szCs w:val="16"/>
        </w:rPr>
        <w:t>.</w:t>
      </w:r>
    </w:p>
    <w:p w14:paraId="43FC9B64"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Инициатором создания за-вода был тогдашний глава </w:t>
      </w:r>
      <w:proofErr w:type="spellStart"/>
      <w:r w:rsidRPr="00A259BD">
        <w:rPr>
          <w:rFonts w:ascii="Times New Roman" w:hAnsi="Times New Roman"/>
          <w:color w:val="000000" w:themeColor="text1"/>
          <w:sz w:val="16"/>
          <w:szCs w:val="16"/>
        </w:rPr>
        <w:t>УкрМЕТО</w:t>
      </w:r>
      <w:proofErr w:type="spellEnd"/>
      <w:r w:rsidRPr="00A259BD">
        <w:rPr>
          <w:rFonts w:ascii="Times New Roman" w:hAnsi="Times New Roman"/>
          <w:color w:val="000000" w:themeColor="text1"/>
          <w:sz w:val="16"/>
          <w:szCs w:val="16"/>
        </w:rPr>
        <w:t xml:space="preserve"> (Государственное республиканское объединение металло-обрабатывающей промышленности) Водопьянов, а руководителем - директор завода Амиров.</w:t>
      </w:r>
    </w:p>
    <w:p w14:paraId="4CE2235E"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Вначале собирали американские автомобили "Форд", собирали хорошо и много, но на этом решили не останавливаться. Еще в 1929 году поднимал-</w:t>
      </w:r>
      <w:proofErr w:type="spellStart"/>
      <w:r w:rsidRPr="00A259BD">
        <w:rPr>
          <w:rFonts w:ascii="Times New Roman" w:hAnsi="Times New Roman"/>
          <w:color w:val="000000" w:themeColor="text1"/>
          <w:sz w:val="16"/>
          <w:szCs w:val="16"/>
        </w:rPr>
        <w:t>ся</w:t>
      </w:r>
      <w:proofErr w:type="spellEnd"/>
      <w:r w:rsidRPr="00A259BD">
        <w:rPr>
          <w:rFonts w:ascii="Times New Roman" w:hAnsi="Times New Roman"/>
          <w:color w:val="000000" w:themeColor="text1"/>
          <w:sz w:val="16"/>
          <w:szCs w:val="16"/>
        </w:rPr>
        <w:t xml:space="preserve"> вопрос о постройке на </w:t>
      </w:r>
      <w:proofErr w:type="spellStart"/>
      <w:r w:rsidRPr="00A259BD">
        <w:rPr>
          <w:rFonts w:ascii="Times New Roman" w:hAnsi="Times New Roman"/>
          <w:color w:val="000000" w:themeColor="text1"/>
          <w:sz w:val="16"/>
          <w:szCs w:val="16"/>
        </w:rPr>
        <w:t>Украи</w:t>
      </w:r>
      <w:proofErr w:type="spellEnd"/>
      <w:r w:rsidRPr="00A259BD">
        <w:rPr>
          <w:rFonts w:ascii="Times New Roman" w:hAnsi="Times New Roman"/>
          <w:color w:val="000000" w:themeColor="text1"/>
          <w:sz w:val="16"/>
          <w:szCs w:val="16"/>
        </w:rPr>
        <w:t>-не завода грузовых автомашин. Называлась даже планируемая цифра - 10000 грузовиков в год.</w:t>
      </w:r>
    </w:p>
    <w:p w14:paraId="1A73B766"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Провести исследовательскую </w:t>
      </w:r>
      <w:proofErr w:type="spellStart"/>
      <w:r w:rsidRPr="00A259BD">
        <w:rPr>
          <w:rFonts w:ascii="Times New Roman" w:hAnsi="Times New Roman"/>
          <w:color w:val="000000" w:themeColor="text1"/>
          <w:sz w:val="16"/>
          <w:szCs w:val="16"/>
        </w:rPr>
        <w:t>ра</w:t>
      </w:r>
      <w:proofErr w:type="spellEnd"/>
      <w:r w:rsidRPr="00A259BD">
        <w:rPr>
          <w:rFonts w:ascii="Times New Roman" w:hAnsi="Times New Roman"/>
          <w:color w:val="000000" w:themeColor="text1"/>
          <w:sz w:val="16"/>
          <w:szCs w:val="16"/>
        </w:rPr>
        <w:t>-боту по конструированию наиболее отвечающей нашим условиям автомашины и практическим возможностям изготовления ее из отечественных материалов - такое задание получил небольшой заводик, известный под названием автосборочного (11602).</w:t>
      </w:r>
    </w:p>
    <w:p w14:paraId="644F8D42"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EB08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ноября 1929 на ИОЗ пришла телеграмма, в которой РУЖ уведом</w:t>
      </w:r>
      <w:r w:rsidRPr="00A259BD">
        <w:rPr>
          <w:rFonts w:ascii="Times New Roman" w:hAnsi="Times New Roman"/>
          <w:color w:val="000000" w:themeColor="text1"/>
          <w:sz w:val="16"/>
          <w:szCs w:val="16"/>
        </w:rPr>
        <w:softHyphen/>
        <w:t>лял о приезде на завод через две недели специальной комиссии ВСНХ для обсуждения целесообразности выпуска мотоциклов в Ижевске [3.92]. В ней же дирекции завода предлагали подгото</w:t>
      </w:r>
      <w:r w:rsidRPr="00A259BD">
        <w:rPr>
          <w:rFonts w:ascii="Times New Roman" w:hAnsi="Times New Roman"/>
          <w:color w:val="000000" w:themeColor="text1"/>
          <w:sz w:val="16"/>
          <w:szCs w:val="16"/>
        </w:rPr>
        <w:softHyphen/>
        <w:t xml:space="preserve">вить предложения о развертывании производства мотоциклов на освободившихся производственных площадях </w:t>
      </w:r>
      <w:proofErr w:type="spellStart"/>
      <w:r w:rsidRPr="00A259BD">
        <w:rPr>
          <w:rFonts w:ascii="Times New Roman" w:hAnsi="Times New Roman"/>
          <w:color w:val="000000" w:themeColor="text1"/>
          <w:sz w:val="16"/>
          <w:szCs w:val="16"/>
        </w:rPr>
        <w:t>ИОЗа</w:t>
      </w:r>
      <w:proofErr w:type="spellEnd"/>
      <w:r w:rsidRPr="00A259BD">
        <w:rPr>
          <w:rFonts w:ascii="Times New Roman" w:hAnsi="Times New Roman"/>
          <w:color w:val="000000" w:themeColor="text1"/>
          <w:sz w:val="16"/>
          <w:szCs w:val="16"/>
        </w:rPr>
        <w:t>. Поскольку за оставшееся время заводчане не могли подготовить и разра</w:t>
      </w:r>
      <w:r w:rsidRPr="00A259BD">
        <w:rPr>
          <w:rFonts w:ascii="Times New Roman" w:hAnsi="Times New Roman"/>
          <w:color w:val="000000" w:themeColor="text1"/>
          <w:sz w:val="16"/>
          <w:szCs w:val="16"/>
        </w:rPr>
        <w:softHyphen/>
        <w:t>ботать проект такой реорганизации, то решили предложить строительство в Ижевске специализированного мотоциклетного завода [3.93] (11429).</w:t>
      </w:r>
    </w:p>
    <w:p w14:paraId="05B4C2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A7AC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ноября 1929 г. был построен и введен в строй Саратовский аккумуляторный завод № 4 (ГС завод № 236 НКОП, НКСП, НКЭП, Саратовской аккумуляторный завод № 4 ВСНХ, ГС Саратовский завод свинцовых аккумуляторов НКОП, ОАО «</w:t>
      </w:r>
      <w:proofErr w:type="spellStart"/>
      <w:r w:rsidRPr="00A259BD">
        <w:rPr>
          <w:rFonts w:ascii="Times New Roman" w:hAnsi="Times New Roman"/>
          <w:color w:val="000000" w:themeColor="text1"/>
          <w:sz w:val="16"/>
          <w:szCs w:val="16"/>
        </w:rPr>
        <w:t>Электроисточник</w:t>
      </w:r>
      <w:proofErr w:type="spellEnd"/>
      <w:r w:rsidRPr="00A259BD">
        <w:rPr>
          <w:rFonts w:ascii="Times New Roman" w:hAnsi="Times New Roman"/>
          <w:color w:val="000000" w:themeColor="text1"/>
          <w:sz w:val="16"/>
          <w:szCs w:val="16"/>
        </w:rPr>
        <w:t>» /410071  г. Саратов ул. Рабочая, 205/) в ведении ГАКТ ВСНХ на месте закрытого в 1920 г. завода «Жесть». Производство аккумуляторов для автомобилей, сельскохозяйственной техники. В соответствии с пост. СНК № 2139-425сс от 21.12.1936 г. и пр. № 59 от 14.02.1937 г. Саратовский завод свинцовых аккумуляторов передан из ВАКТ в ведение ГУ аккумуляторной промышленности НКОП, приказом № 76 от 3.03.1937 г. утвержден Устав завода. По пр. № 18с от 19.01.1938 г. переименован в завод № 236 19ГУ НКОП, приказом № 276 от 20.07.1938 г. утвержден новый Устав завод. В 02.1939 г. из 19ГУ передан в ведение НКСП. В 1941 г. - в ведении НКЭП.</w:t>
      </w:r>
    </w:p>
    <w:p w14:paraId="758095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В 1936 г. утвержден генплан реконструкции завода, в 1936-37 г. велись работы по реконструкции: гл. корпуса (цехи: свинцовый, заготовительный, </w:t>
      </w:r>
      <w:proofErr w:type="spellStart"/>
      <w:r w:rsidRPr="00A259BD">
        <w:rPr>
          <w:rFonts w:ascii="Times New Roman" w:hAnsi="Times New Roman"/>
          <w:color w:val="000000" w:themeColor="text1"/>
          <w:sz w:val="16"/>
          <w:szCs w:val="16"/>
        </w:rPr>
        <w:t>намазочный</w:t>
      </w:r>
      <w:proofErr w:type="spellEnd"/>
      <w:r w:rsidRPr="00A259BD">
        <w:rPr>
          <w:rFonts w:ascii="Times New Roman" w:hAnsi="Times New Roman"/>
          <w:color w:val="000000" w:themeColor="text1"/>
          <w:sz w:val="16"/>
          <w:szCs w:val="16"/>
        </w:rPr>
        <w:t>, формационный, сборочный), малого сборочного цеха, цеха выщелачивания фанеры. Приказом № 0018 от 31.01/2.02.1937 г. заводу предписано создать к 1.01.1938 г. мощности по производству: морских батарей типа «Лебедь» - 40 тыс. шт. в год; аккумуляторов: танковых - 17 тыс. шт.; авиационных - 25 тыс. шт.; прожекторных - 7 тыс. шт.; мотоциклетных - 20 тыс. шт. В соответствии с решением СТО № 173сс от 9.11.1937 г. и пр. № 00249 г. реконструкцию необходимо было завершить к концу 1938 г.; в 3-м квартале 1938 г. построить новый опытный цех. Приказом № 199сс от 5.06.1938 г. требовалось: к 1.07.1938 г. оборудовать стенд для испытаний аккумуляторов; закончить строительство опытного цеха к 15.12.1938 г., реконструкцию завода - к 1.01.1939 г. Во исполнение решения правительства № 152сс приказом № 319сс от 10.08.1938 г. заводу поручено с 1.10.1938 г. обеспечить начало выпуска аккумуляторов 12-А, а к 1.01.1939 г. обеспечить их серийное производство.</w:t>
      </w:r>
    </w:p>
    <w:p w14:paraId="60FD48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годы войны оставался единственным действующим в стране заводом по производству аккумуляторов.</w:t>
      </w:r>
    </w:p>
    <w:p w14:paraId="6FDDF8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1950-е  г. освоен выпуск серебряно-цинковых аккумуляторов для РКТ, ими оснащались все РН и КА.</w:t>
      </w:r>
    </w:p>
    <w:p w14:paraId="318F2F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Далее - вновь назывался Саратовский завод свинцовых аккумуляторов.</w:t>
      </w:r>
    </w:p>
    <w:p w14:paraId="5D1B68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(2000-е): аккумуляторы для военной и ракетно-космической техники, для автомобилей.</w:t>
      </w:r>
    </w:p>
    <w:p w14:paraId="7F9052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(1929 г.)-105 чел., (1939 г.)- около 1000 чел.</w:t>
      </w:r>
    </w:p>
    <w:p w14:paraId="5EAC2E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(1929 г.-)- Э. </w:t>
      </w:r>
      <w:proofErr w:type="spellStart"/>
      <w:r w:rsidRPr="00A259BD">
        <w:rPr>
          <w:rFonts w:ascii="Times New Roman" w:hAnsi="Times New Roman"/>
          <w:color w:val="000000" w:themeColor="text1"/>
          <w:sz w:val="16"/>
          <w:szCs w:val="16"/>
        </w:rPr>
        <w:t>Абрамсон</w:t>
      </w:r>
      <w:proofErr w:type="spellEnd"/>
      <w:r w:rsidRPr="00A259BD">
        <w:rPr>
          <w:rFonts w:ascii="Times New Roman" w:hAnsi="Times New Roman"/>
          <w:color w:val="000000" w:themeColor="text1"/>
          <w:sz w:val="16"/>
          <w:szCs w:val="16"/>
        </w:rPr>
        <w:t>, (-3.08.1937 г.)- М.З. Фольк (снят), (16.09.1937-06.1938 г.-)- И.Т. Новиков.</w:t>
      </w:r>
    </w:p>
    <w:p w14:paraId="0E8D6F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Производство: аккумуляторы:</w:t>
      </w:r>
      <w:r w:rsidRPr="00A259BD">
        <w:rPr>
          <w:rFonts w:ascii="Times New Roman" w:hAnsi="Times New Roman"/>
          <w:color w:val="000000" w:themeColor="text1"/>
          <w:sz w:val="16"/>
          <w:szCs w:val="16"/>
        </w:rPr>
        <w:t xml:space="preserve"> морские типа «П», «М», КСМ, МЛ (1937); 6АТИ-Ш (1938), 6</w:t>
      </w:r>
      <w:r w:rsidRPr="00A259BD">
        <w:rPr>
          <w:rFonts w:ascii="Times New Roman" w:hAnsi="Times New Roman"/>
          <w:color w:val="000000" w:themeColor="text1"/>
          <w:sz w:val="16"/>
          <w:szCs w:val="16"/>
          <w:lang w:val="en-US"/>
        </w:rPr>
        <w:t>AT</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IV</w:t>
      </w:r>
      <w:r w:rsidRPr="00A259BD">
        <w:rPr>
          <w:rFonts w:ascii="Times New Roman" w:hAnsi="Times New Roman"/>
          <w:color w:val="000000" w:themeColor="text1"/>
          <w:sz w:val="16"/>
          <w:szCs w:val="16"/>
        </w:rPr>
        <w:t>, 6А55, 12А (1938-), 12А-5, 12А-23,5 (1938), 12А-30, 12А-60 (11982).</w:t>
      </w:r>
    </w:p>
    <w:p w14:paraId="630238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4EF0AE"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5A74247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4A7E0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ноября 1929 в Правде была опубликована статья И.В.С. "О великом переломе" в жизни деревни (1348,199).</w:t>
      </w:r>
    </w:p>
    <w:p w14:paraId="275FE8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5DF8E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ноября 1929 “Правда” запустила в оборот фразу “Великий перелом” в отношении коллективизации (4962).</w:t>
      </w:r>
    </w:p>
    <w:p w14:paraId="21238AD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9245C6" w14:textId="77777777" w:rsidR="00566015" w:rsidRPr="00A259BD" w:rsidRDefault="00566015"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7 ноября</w:t>
      </w:r>
      <w:r w:rsidRPr="00A259BD">
        <w:rPr>
          <w:rFonts w:ascii="Times New Roman" w:hAnsi="Times New Roman"/>
          <w:color w:val="000000" w:themeColor="text1"/>
          <w:sz w:val="16"/>
          <w:szCs w:val="16"/>
        </w:rPr>
        <w:t xml:space="preserve"> в 1929 году в "Правде" публикуется статья </w:t>
      </w:r>
      <w:proofErr w:type="spellStart"/>
      <w:r w:rsidRPr="00A259BD">
        <w:rPr>
          <w:rFonts w:ascii="Times New Roman" w:hAnsi="Times New Roman"/>
          <w:color w:val="000000" w:themeColor="text1"/>
          <w:sz w:val="16"/>
          <w:szCs w:val="16"/>
        </w:rPr>
        <w:t>И.В.Сталина</w:t>
      </w:r>
      <w:proofErr w:type="spellEnd"/>
      <w:r w:rsidRPr="00A259BD">
        <w:rPr>
          <w:rFonts w:ascii="Times New Roman" w:hAnsi="Times New Roman"/>
          <w:color w:val="000000" w:themeColor="text1"/>
          <w:sz w:val="16"/>
          <w:szCs w:val="16"/>
        </w:rPr>
        <w:t xml:space="preserve"> "Год великого перелома", в которой генсек призывает к "решительному наступлению на кулака". Вот полный текст последнего раздела статьи, названного "Вывод": "Мы идем на всех парах по пути индустриализации - к социализму, оставляя позади нашу вековую "</w:t>
      </w:r>
      <w:proofErr w:type="spellStart"/>
      <w:r w:rsidRPr="00A259BD">
        <w:rPr>
          <w:rFonts w:ascii="Times New Roman" w:hAnsi="Times New Roman"/>
          <w:color w:val="000000" w:themeColor="text1"/>
          <w:sz w:val="16"/>
          <w:szCs w:val="16"/>
        </w:rPr>
        <w:t>рассейскую</w:t>
      </w:r>
      <w:proofErr w:type="spellEnd"/>
      <w:r w:rsidRPr="00A259BD">
        <w:rPr>
          <w:rFonts w:ascii="Times New Roman" w:hAnsi="Times New Roman"/>
          <w:color w:val="000000" w:themeColor="text1"/>
          <w:sz w:val="16"/>
          <w:szCs w:val="16"/>
        </w:rPr>
        <w:t>" отсталость. Мы становимся страной металлической, страной автомобилизации, страной тракторизации. И когда посадим СССР на автомобиль, а мужика на трактор, - пусть попробуют догонять нас почтенные капиталисты, кичащиеся своей "цивилизацией". Мы еще посмотрим, какие из стран можно будет тогда "определить" в отсталые и какие в передовые". ("Правда", № 259, 7 ноября 1929 года) (14823).</w:t>
      </w:r>
    </w:p>
    <w:p w14:paraId="658BBDCE" w14:textId="77777777" w:rsidR="00566015" w:rsidRPr="00A259BD" w:rsidRDefault="00566015" w:rsidP="009236E3">
      <w:pPr>
        <w:spacing w:after="0" w:line="240" w:lineRule="auto"/>
        <w:jc w:val="both"/>
        <w:rPr>
          <w:rFonts w:ascii="Times New Roman" w:hAnsi="Times New Roman"/>
          <w:color w:val="000000" w:themeColor="text1"/>
          <w:sz w:val="16"/>
          <w:szCs w:val="16"/>
        </w:rPr>
      </w:pPr>
    </w:p>
    <w:p w14:paraId="16F8E001" w14:textId="77777777" w:rsidR="00C16DE5" w:rsidRPr="00A259BD" w:rsidRDefault="00C16DE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ноября 1929 года в рамках деятельности ГОЭЛРО вступила в строй Сызранская ГЭС, первая станция гидроэнергетики Поволжья (21168).</w:t>
      </w:r>
    </w:p>
    <w:p w14:paraId="64B6363E" w14:textId="77777777" w:rsidR="00C16DE5" w:rsidRPr="00A259BD" w:rsidRDefault="00C16DE5" w:rsidP="009236E3">
      <w:pPr>
        <w:spacing w:after="0" w:line="240" w:lineRule="auto"/>
        <w:jc w:val="both"/>
        <w:rPr>
          <w:rFonts w:ascii="Times New Roman" w:hAnsi="Times New Roman"/>
          <w:color w:val="000000" w:themeColor="text1"/>
          <w:sz w:val="16"/>
          <w:szCs w:val="16"/>
        </w:rPr>
      </w:pPr>
    </w:p>
    <w:p w14:paraId="3CFD71DC" w14:textId="77777777" w:rsidR="00F547C5" w:rsidRPr="00A259BD" w:rsidRDefault="00EA4835" w:rsidP="009236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205DF9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165F4F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ноября 1929 года в </w:t>
      </w:r>
      <w:proofErr w:type="spellStart"/>
      <w:r w:rsidRPr="00A259BD">
        <w:rPr>
          <w:rFonts w:ascii="Times New Roman" w:hAnsi="Times New Roman"/>
          <w:color w:val="000000" w:themeColor="text1"/>
          <w:sz w:val="16"/>
          <w:szCs w:val="16"/>
        </w:rPr>
        <w:t>Лейкхерсте</w:t>
      </w:r>
      <w:proofErr w:type="spellEnd"/>
      <w:r w:rsidRPr="00A259BD">
        <w:rPr>
          <w:rFonts w:ascii="Times New Roman" w:hAnsi="Times New Roman"/>
          <w:color w:val="000000" w:themeColor="text1"/>
          <w:sz w:val="16"/>
          <w:szCs w:val="16"/>
        </w:rPr>
        <w:t xml:space="preserve"> (США), в только что построенном эллинге, адмирал </w:t>
      </w:r>
      <w:proofErr w:type="spellStart"/>
      <w:r w:rsidRPr="00A259BD">
        <w:rPr>
          <w:rFonts w:ascii="Times New Roman" w:hAnsi="Times New Roman"/>
          <w:color w:val="000000" w:themeColor="text1"/>
          <w:sz w:val="16"/>
          <w:szCs w:val="16"/>
        </w:rPr>
        <w:t>Моффетт</w:t>
      </w:r>
      <w:proofErr w:type="spellEnd"/>
      <w:r w:rsidRPr="00A259BD">
        <w:rPr>
          <w:rFonts w:ascii="Times New Roman" w:hAnsi="Times New Roman"/>
          <w:color w:val="000000" w:themeColor="text1"/>
          <w:sz w:val="16"/>
          <w:szCs w:val="16"/>
        </w:rPr>
        <w:t xml:space="preserve"> вбил первую золотую заклепку в основную переборку огромного нового дирижабля, получившего официальное обозначение ZRS-4. Его строительство сопровождалось техническими неувязками, политическими и финансовыми махинациями, множеством скандалов и шпионскими историями, которые расследовало ФБР. Пресса смаковала каждую мелочь и лепила из них сенсации (11324).</w:t>
      </w:r>
    </w:p>
    <w:p w14:paraId="6169F7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535FA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E88E1F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45143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ноября 1929 г. был создан Уральский научно-исследовательский институт по обогащению и механической обработке полезных ископаемых "</w:t>
      </w:r>
      <w:proofErr w:type="spellStart"/>
      <w:r w:rsidRPr="00A259BD">
        <w:rPr>
          <w:rFonts w:ascii="Times New Roman" w:hAnsi="Times New Roman"/>
          <w:color w:val="000000" w:themeColor="text1"/>
          <w:sz w:val="16"/>
          <w:szCs w:val="16"/>
        </w:rPr>
        <w:t>Уралмеханобр</w:t>
      </w:r>
      <w:proofErr w:type="spellEnd"/>
      <w:r w:rsidRPr="00A259BD">
        <w:rPr>
          <w:rFonts w:ascii="Times New Roman" w:hAnsi="Times New Roman"/>
          <w:color w:val="000000" w:themeColor="text1"/>
          <w:sz w:val="16"/>
          <w:szCs w:val="16"/>
        </w:rPr>
        <w:t xml:space="preserve">". 1 апреля 1930 г. становится Уральским филиалом Всесоюзного научно-исследовательского и проектного института механической обработки полезных ископаемых "Механобр". В 1941 г. головной институт эвакуирован из г. Ленинграда в г. Свердловск и на время войны (1941 - 1945) на базе института и филиала создан Объединенный научно-исследовательский институт механической обработки полезных ископаемых "Механобр". На основании приказа Наркомата цветной металлургии СССР от 19 апреля 1945 г. возобновили свою деятельность в г. Ленинграде - институт Механобр, а в г. Свердловске - его Уральский филиал. Приказом Министерства цветной металлургии СССР от 5 января 1952 г. на базе филиала был создан </w:t>
      </w:r>
      <w:proofErr w:type="spellStart"/>
      <w:r w:rsidRPr="00A259BD">
        <w:rPr>
          <w:rFonts w:ascii="Times New Roman" w:hAnsi="Times New Roman"/>
          <w:color w:val="000000" w:themeColor="text1"/>
          <w:sz w:val="16"/>
          <w:szCs w:val="16"/>
        </w:rPr>
        <w:t>Уралмеханобр</w:t>
      </w:r>
      <w:proofErr w:type="spellEnd"/>
      <w:r w:rsidRPr="00A259BD">
        <w:rPr>
          <w:rFonts w:ascii="Times New Roman" w:hAnsi="Times New Roman"/>
          <w:color w:val="000000" w:themeColor="text1"/>
          <w:sz w:val="16"/>
          <w:szCs w:val="16"/>
        </w:rPr>
        <w:t xml:space="preserve"> (12102).</w:t>
      </w:r>
    </w:p>
    <w:p w14:paraId="6C977AFC" w14:textId="77777777" w:rsidR="00566015" w:rsidRPr="00A259BD" w:rsidRDefault="00566015" w:rsidP="009236E3">
      <w:pPr>
        <w:spacing w:after="0" w:line="240" w:lineRule="auto"/>
        <w:jc w:val="both"/>
        <w:rPr>
          <w:rFonts w:ascii="Times New Roman" w:hAnsi="Times New Roman"/>
          <w:bCs/>
          <w:color w:val="000000" w:themeColor="text1"/>
          <w:sz w:val="16"/>
          <w:szCs w:val="16"/>
        </w:rPr>
      </w:pPr>
    </w:p>
    <w:p w14:paraId="0A560E8F" w14:textId="77777777" w:rsidR="00566015" w:rsidRPr="00A259BD" w:rsidRDefault="00566015"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8 ноября</w:t>
      </w:r>
      <w:r w:rsidRPr="00A259BD">
        <w:rPr>
          <w:rFonts w:ascii="Times New Roman" w:hAnsi="Times New Roman"/>
          <w:color w:val="000000" w:themeColor="text1"/>
          <w:sz w:val="16"/>
          <w:szCs w:val="16"/>
        </w:rPr>
        <w:t xml:space="preserve"> в 1929 году основан Уральский научно-исследовательский и проектный институт обогащения и механической обработки полезных ископаемых (ОАО "</w:t>
      </w:r>
      <w:proofErr w:type="spellStart"/>
      <w:r w:rsidRPr="00A259BD">
        <w:rPr>
          <w:rFonts w:ascii="Times New Roman" w:hAnsi="Times New Roman"/>
          <w:color w:val="000000" w:themeColor="text1"/>
          <w:sz w:val="16"/>
          <w:szCs w:val="16"/>
        </w:rPr>
        <w:t>Уралмеханобр</w:t>
      </w:r>
      <w:proofErr w:type="spellEnd"/>
      <w:r w:rsidRPr="00A259BD">
        <w:rPr>
          <w:rFonts w:ascii="Times New Roman" w:hAnsi="Times New Roman"/>
          <w:color w:val="000000" w:themeColor="text1"/>
          <w:sz w:val="16"/>
          <w:szCs w:val="16"/>
        </w:rPr>
        <w:t xml:space="preserve">", город Екатеринбург). С 2000 г. в составе Уральской </w:t>
      </w:r>
      <w:proofErr w:type="spellStart"/>
      <w:r w:rsidRPr="00A259BD">
        <w:rPr>
          <w:rFonts w:ascii="Times New Roman" w:hAnsi="Times New Roman"/>
          <w:color w:val="000000" w:themeColor="text1"/>
          <w:sz w:val="16"/>
          <w:szCs w:val="16"/>
        </w:rPr>
        <w:t>горно¬металлургической</w:t>
      </w:r>
      <w:proofErr w:type="spellEnd"/>
      <w:r w:rsidRPr="00A259BD">
        <w:rPr>
          <w:rFonts w:ascii="Times New Roman" w:hAnsi="Times New Roman"/>
          <w:color w:val="000000" w:themeColor="text1"/>
          <w:sz w:val="16"/>
          <w:szCs w:val="16"/>
        </w:rPr>
        <w:t xml:space="preserve"> компании, является генеральным проектировщиком всех ее предприятий</w:t>
      </w:r>
    </w:p>
    <w:p w14:paraId="227944EA" w14:textId="77777777" w:rsidR="00566015" w:rsidRPr="00A259BD" w:rsidRDefault="00566015" w:rsidP="009236E3">
      <w:pPr>
        <w:spacing w:after="0" w:line="240" w:lineRule="auto"/>
        <w:jc w:val="both"/>
        <w:rPr>
          <w:rFonts w:ascii="Times New Roman" w:hAnsi="Times New Roman"/>
          <w:color w:val="000000" w:themeColor="text1"/>
          <w:sz w:val="16"/>
          <w:szCs w:val="16"/>
        </w:rPr>
      </w:pPr>
    </w:p>
    <w:p w14:paraId="21558AF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9C1FEC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257DD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ноября 1929 </w:t>
      </w:r>
      <w:proofErr w:type="spellStart"/>
      <w:r w:rsidRPr="00A259BD">
        <w:rPr>
          <w:rFonts w:ascii="Times New Roman" w:hAnsi="Times New Roman"/>
          <w:color w:val="000000" w:themeColor="text1"/>
          <w:sz w:val="16"/>
          <w:szCs w:val="16"/>
        </w:rPr>
        <w:t>И.С.Уншлихт</w:t>
      </w:r>
      <w:proofErr w:type="spellEnd"/>
      <w:r w:rsidRPr="00A259BD">
        <w:rPr>
          <w:rFonts w:ascii="Times New Roman" w:hAnsi="Times New Roman"/>
          <w:color w:val="000000" w:themeColor="text1"/>
          <w:sz w:val="16"/>
          <w:szCs w:val="16"/>
        </w:rPr>
        <w:t xml:space="preserve"> запретил Стране Советов лететь через Атлантику из Америки. </w:t>
      </w:r>
      <w:proofErr w:type="spellStart"/>
      <w:r w:rsidRPr="00A259BD">
        <w:rPr>
          <w:rFonts w:ascii="Times New Roman" w:hAnsi="Times New Roman"/>
          <w:color w:val="000000" w:themeColor="text1"/>
          <w:sz w:val="16"/>
          <w:szCs w:val="16"/>
        </w:rPr>
        <w:t>Р.Бартини</w:t>
      </w:r>
      <w:proofErr w:type="spellEnd"/>
      <w:r w:rsidRPr="00A259BD">
        <w:rPr>
          <w:rFonts w:ascii="Times New Roman" w:hAnsi="Times New Roman"/>
          <w:color w:val="000000" w:themeColor="text1"/>
          <w:sz w:val="16"/>
          <w:szCs w:val="16"/>
        </w:rPr>
        <w:t xml:space="preserve"> отвечал за морскую часть перелета и получил грамоту ВЦИК (99,165).</w:t>
      </w:r>
    </w:p>
    <w:p w14:paraId="0FCED8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455C14" w14:textId="77777777" w:rsidR="0056601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8EA1DB1" w14:textId="77777777" w:rsidR="00566015" w:rsidRPr="00A259BD" w:rsidRDefault="0056601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881F282" w14:textId="77777777" w:rsidR="00566015" w:rsidRPr="00A259BD" w:rsidRDefault="00566015"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hAnsi="Times New Roman"/>
          <w:bCs/>
          <w:color w:val="000000" w:themeColor="text1"/>
          <w:sz w:val="16"/>
          <w:szCs w:val="16"/>
        </w:rPr>
        <w:t xml:space="preserve">9 ноября </w:t>
      </w:r>
      <w:r w:rsidRPr="00A259BD">
        <w:rPr>
          <w:rFonts w:ascii="Times New Roman" w:hAnsi="Times New Roman"/>
          <w:color w:val="000000" w:themeColor="text1"/>
          <w:sz w:val="16"/>
          <w:szCs w:val="16"/>
        </w:rPr>
        <w:t>в 1929 году организовано Ленинградское отделение "</w:t>
      </w:r>
      <w:proofErr w:type="spellStart"/>
      <w:r w:rsidRPr="00A259BD">
        <w:rPr>
          <w:rFonts w:ascii="Times New Roman" w:hAnsi="Times New Roman"/>
          <w:color w:val="000000" w:themeColor="text1"/>
          <w:sz w:val="16"/>
          <w:szCs w:val="16"/>
        </w:rPr>
        <w:t>Оргаметалл</w:t>
      </w:r>
      <w:proofErr w:type="spellEnd"/>
      <w:r w:rsidRPr="00A259BD">
        <w:rPr>
          <w:rFonts w:ascii="Times New Roman" w:hAnsi="Times New Roman"/>
          <w:color w:val="000000" w:themeColor="text1"/>
          <w:sz w:val="16"/>
          <w:szCs w:val="16"/>
        </w:rPr>
        <w:t>", на базе которого 3 апреля 1964 г. был образован Всесоюзный проектно-технологический институт энергетического машиностроения (ВПТИ ЭМ). С этой даты ведет свою историю Научно-исследовательский технологический институт энергетического машиностроения (НИТИ "Энергомаш", город Санкт-Петербург) — головная организация по технологии турбостроения (14825).</w:t>
      </w:r>
    </w:p>
    <w:p w14:paraId="7C412B95" w14:textId="77777777" w:rsidR="00566015" w:rsidRPr="00A259BD" w:rsidRDefault="00566015" w:rsidP="009236E3">
      <w:pPr>
        <w:spacing w:after="0" w:line="240" w:lineRule="auto"/>
        <w:jc w:val="both"/>
        <w:rPr>
          <w:rFonts w:ascii="Times New Roman" w:hAnsi="Times New Roman"/>
          <w:color w:val="000000" w:themeColor="text1"/>
          <w:sz w:val="16"/>
          <w:szCs w:val="16"/>
        </w:rPr>
      </w:pPr>
    </w:p>
    <w:p w14:paraId="0536AC5D" w14:textId="77777777" w:rsidR="00147C6E" w:rsidRPr="00A259BD" w:rsidRDefault="00147C6E" w:rsidP="009236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D7F0D48" w14:textId="77777777" w:rsidR="00147C6E" w:rsidRPr="00A259BD" w:rsidRDefault="00147C6E" w:rsidP="009236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61558B20" w14:textId="77777777" w:rsidR="00147C6E" w:rsidRPr="00A259BD" w:rsidRDefault="00147C6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ноября 1929 пионер американской авиации Карл Бен </w:t>
      </w:r>
      <w:proofErr w:type="spellStart"/>
      <w:r w:rsidRPr="00A259BD">
        <w:rPr>
          <w:rFonts w:ascii="Times New Roman" w:hAnsi="Times New Roman"/>
          <w:color w:val="000000" w:themeColor="text1"/>
          <w:sz w:val="16"/>
          <w:szCs w:val="16"/>
        </w:rPr>
        <w:t>Эйлсон</w:t>
      </w:r>
      <w:proofErr w:type="spellEnd"/>
      <w:r w:rsidRPr="00A259BD">
        <w:rPr>
          <w:rFonts w:ascii="Times New Roman" w:hAnsi="Times New Roman"/>
          <w:color w:val="000000" w:themeColor="text1"/>
          <w:sz w:val="16"/>
          <w:szCs w:val="16"/>
        </w:rPr>
        <w:t xml:space="preserve"> и его механик Эрл Борланд погибают в результате крушения самолета в Сибири при попытке эвакуировать меха и персонал с «</w:t>
      </w:r>
      <w:proofErr w:type="spellStart"/>
      <w:r w:rsidRPr="00A259BD">
        <w:rPr>
          <w:rFonts w:ascii="Times New Roman" w:hAnsi="Times New Roman"/>
          <w:color w:val="000000" w:themeColor="text1"/>
          <w:sz w:val="16"/>
          <w:szCs w:val="16"/>
        </w:rPr>
        <w:t>Нанука</w:t>
      </w:r>
      <w:proofErr w:type="spellEnd"/>
      <w:r w:rsidRPr="00A259BD">
        <w:rPr>
          <w:rFonts w:ascii="Times New Roman" w:hAnsi="Times New Roman"/>
          <w:color w:val="000000" w:themeColor="text1"/>
          <w:sz w:val="16"/>
          <w:szCs w:val="16"/>
        </w:rPr>
        <w:t>», грузового корабля, застрявшего во льдах на мысе Нордкап (ныне Мыс Шмидта ) (20806).</w:t>
      </w:r>
    </w:p>
    <w:p w14:paraId="29C7255D" w14:textId="77777777" w:rsidR="00147C6E" w:rsidRPr="00A259BD" w:rsidRDefault="00147C6E" w:rsidP="009236E3">
      <w:pPr>
        <w:spacing w:after="0" w:line="240" w:lineRule="auto"/>
        <w:jc w:val="both"/>
        <w:rPr>
          <w:rFonts w:ascii="Times New Roman" w:hAnsi="Times New Roman"/>
          <w:color w:val="000000" w:themeColor="text1"/>
          <w:sz w:val="16"/>
          <w:szCs w:val="16"/>
        </w:rPr>
      </w:pPr>
    </w:p>
    <w:p w14:paraId="6B31E278"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73CA12C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A400A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10-17 ноября 1929 состоялся пленум ЦК ВКП(б), на котором приняли решение об ускорении темпов коллективизации и о создании Наркомзема (1348,199). </w:t>
      </w:r>
      <w:proofErr w:type="spellStart"/>
      <w:r w:rsidRPr="00A259BD">
        <w:rPr>
          <w:rFonts w:ascii="Times New Roman" w:hAnsi="Times New Roman"/>
          <w:color w:val="000000" w:themeColor="text1"/>
          <w:sz w:val="16"/>
          <w:szCs w:val="16"/>
        </w:rPr>
        <w:t>Н.И.Бухарина</w:t>
      </w:r>
      <w:proofErr w:type="spellEnd"/>
      <w:r w:rsidRPr="00A259BD">
        <w:rPr>
          <w:rFonts w:ascii="Times New Roman" w:hAnsi="Times New Roman"/>
          <w:color w:val="000000" w:themeColor="text1"/>
          <w:sz w:val="16"/>
          <w:szCs w:val="16"/>
        </w:rPr>
        <w:t xml:space="preserve"> вывели из Политбюро (1348,119) по обвинению в правом уклоне (3908,329). Постановили направить на работу в колхозы 25 тыс. рабочих (</w:t>
      </w:r>
      <w:proofErr w:type="spellStart"/>
      <w:r w:rsidRPr="00A259BD">
        <w:rPr>
          <w:rFonts w:ascii="Times New Roman" w:hAnsi="Times New Roman"/>
          <w:color w:val="000000" w:themeColor="text1"/>
          <w:sz w:val="16"/>
          <w:szCs w:val="16"/>
        </w:rPr>
        <w:t>двадцатипятитысячники</w:t>
      </w:r>
      <w:proofErr w:type="spellEnd"/>
      <w:r w:rsidRPr="00A259BD">
        <w:rPr>
          <w:rFonts w:ascii="Times New Roman" w:hAnsi="Times New Roman"/>
          <w:color w:val="000000" w:themeColor="text1"/>
          <w:sz w:val="16"/>
          <w:szCs w:val="16"/>
        </w:rPr>
        <w:t>) и ускорить темпы индустриализации, чтобы перевыполнить задания пятилетнего плана (3908,330).</w:t>
      </w:r>
    </w:p>
    <w:p w14:paraId="75CD9A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A7CA3C" w14:textId="77777777" w:rsidR="003D3BC7" w:rsidRPr="00A259BD" w:rsidRDefault="003D3BC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ноября 1929 на пленуме ЦК (проходил 10-17 ноября) Николай Бухарин вновь обвинён в «правом уклоне» вместе с двумя другими лидерами — Рыковым и Томским. Бухарина даже выдворили из Политбюро, как «застрельщика и руководителя правых капитулянтов». (26 ноября все трое публикуют заявление, в котором признают свои взгляды ошибочными). На пленуме был взят курс на ускоренное проведение коллективизации, принято решение о создании Наркомзема (образован в декабре). Первым наркомом стал </w:t>
      </w:r>
      <w:proofErr w:type="spellStart"/>
      <w:r w:rsidRPr="00A259BD">
        <w:rPr>
          <w:rFonts w:ascii="Times New Roman" w:hAnsi="Times New Roman"/>
          <w:color w:val="000000" w:themeColor="text1"/>
          <w:sz w:val="16"/>
          <w:szCs w:val="16"/>
        </w:rPr>
        <w:t>Я.Яковлев</w:t>
      </w:r>
      <w:proofErr w:type="spellEnd"/>
      <w:r w:rsidRPr="00A259BD">
        <w:rPr>
          <w:rFonts w:ascii="Times New Roman" w:hAnsi="Times New Roman"/>
          <w:color w:val="000000" w:themeColor="text1"/>
          <w:sz w:val="16"/>
          <w:szCs w:val="16"/>
        </w:rPr>
        <w:t xml:space="preserve"> (Эпштейн). После пленума Бухарин, Рыков и Томский связались через Каменева с Троцким (еще бы, ведь сестра Троцкого была женой Каменева). Лев Давидович провел кратенький инструктаж и ребята образовали "новую платформу" (12629). </w:t>
      </w:r>
    </w:p>
    <w:p w14:paraId="1F0641BB" w14:textId="77777777" w:rsidR="003D3BC7" w:rsidRPr="00A259BD" w:rsidRDefault="003D3BC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1465FE"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F99B0E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624F3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ноября 1929 </w:t>
      </w:r>
      <w:proofErr w:type="spellStart"/>
      <w:r w:rsidRPr="00A259BD">
        <w:rPr>
          <w:rFonts w:ascii="Times New Roman" w:hAnsi="Times New Roman"/>
          <w:color w:val="000000" w:themeColor="text1"/>
          <w:sz w:val="16"/>
          <w:szCs w:val="16"/>
        </w:rPr>
        <w:t>М.Валье</w:t>
      </w:r>
      <w:proofErr w:type="spellEnd"/>
      <w:r w:rsidRPr="00A259BD">
        <w:rPr>
          <w:rFonts w:ascii="Times New Roman" w:hAnsi="Times New Roman"/>
          <w:color w:val="000000" w:themeColor="text1"/>
          <w:sz w:val="16"/>
          <w:szCs w:val="16"/>
        </w:rPr>
        <w:t xml:space="preserve"> сообщал, что в мае 1929 тяга ЖРД Зандера составляла 200 кг в течение более четверти часа и в июле возросла до 300 кг в течение получаса (3814,27).</w:t>
      </w:r>
    </w:p>
    <w:p w14:paraId="12A11D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04F60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B5FD6A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6BA38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11 ноября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17) и обсуждали вопрос об организации мирных производств (для догрузки), о программе на текущий год, о программах заводов 36 и 28, о колесах АНТ-9 и испытании мотора М-11 (2367,58).</w:t>
      </w:r>
    </w:p>
    <w:p w14:paraId="112302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71FAD5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548C0F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320651B"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ноября 1929 г. — Докладная записка заместителя наркома по военным и морским делам СССР И. С. </w:t>
      </w:r>
      <w:proofErr w:type="spellStart"/>
      <w:r w:rsidRPr="00A259BD">
        <w:rPr>
          <w:rFonts w:ascii="Times New Roman" w:hAnsi="Times New Roman"/>
          <w:color w:val="000000" w:themeColor="text1"/>
          <w:sz w:val="16"/>
          <w:szCs w:val="16"/>
        </w:rPr>
        <w:t>Уншлихта</w:t>
      </w:r>
      <w:proofErr w:type="spellEnd"/>
      <w:r w:rsidRPr="00A259BD">
        <w:rPr>
          <w:rFonts w:ascii="Times New Roman" w:hAnsi="Times New Roman"/>
          <w:color w:val="000000" w:themeColor="text1"/>
          <w:sz w:val="16"/>
          <w:szCs w:val="16"/>
        </w:rPr>
        <w:t xml:space="preserve"> наркому К. Е. Ворошилову об организации конструкторских бюро в промышленности</w:t>
      </w:r>
    </w:p>
    <w:p w14:paraId="7CD38350"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Секретно.</w:t>
      </w:r>
    </w:p>
    <w:p w14:paraId="59619157" w14:textId="77777777" w:rsidR="00B3477E" w:rsidRPr="00A259BD" w:rsidRDefault="00B3477E" w:rsidP="009236E3">
      <w:pPr>
        <w:pStyle w:val="rtejustify"/>
        <w:spacing w:before="0" w:after="0"/>
        <w:rPr>
          <w:color w:val="000000" w:themeColor="text1"/>
          <w:sz w:val="16"/>
          <w:szCs w:val="16"/>
        </w:rPr>
      </w:pPr>
      <w:r w:rsidRPr="00A259BD">
        <w:rPr>
          <w:color w:val="000000" w:themeColor="text1"/>
          <w:sz w:val="16"/>
          <w:szCs w:val="16"/>
        </w:rPr>
        <w:t>По вопросу организации конструкторского аппарата в промышленности докладываю:</w:t>
      </w:r>
    </w:p>
    <w:p w14:paraId="0F11AB6C" w14:textId="77777777" w:rsidR="00B3477E" w:rsidRPr="00A259BD" w:rsidRDefault="00B3477E" w:rsidP="009236E3">
      <w:pPr>
        <w:pStyle w:val="rtejustify"/>
        <w:spacing w:before="0" w:after="0"/>
        <w:rPr>
          <w:color w:val="000000" w:themeColor="text1"/>
          <w:sz w:val="16"/>
          <w:szCs w:val="16"/>
        </w:rPr>
      </w:pPr>
      <w:r w:rsidRPr="00A259BD">
        <w:rPr>
          <w:color w:val="000000" w:themeColor="text1"/>
          <w:sz w:val="16"/>
          <w:szCs w:val="16"/>
        </w:rPr>
        <w:t>I. Выяснение вопроса, при каких производствах должны быть организованы конструкторские бюро. Этот вопрос сейчас проработан и имеет согласованность между органами промышленности и аппаратами Наркомвоенмора. Разработанная по этому вопросу схема может быть принята Реввоенсоветом за основу, так как в дальнейшем, несомненно, надо предвидеть необходимость внесения в нее и уточнений, и дополнений, которые сразу предвидеть ввиду новизны дела трудно.</w:t>
      </w:r>
    </w:p>
    <w:p w14:paraId="33EA0888" w14:textId="77777777" w:rsidR="00B3477E" w:rsidRPr="00A259BD" w:rsidRDefault="00B3477E" w:rsidP="009236E3">
      <w:pPr>
        <w:pStyle w:val="rtejustify"/>
        <w:spacing w:before="0" w:after="0"/>
        <w:rPr>
          <w:color w:val="000000" w:themeColor="text1"/>
          <w:sz w:val="16"/>
          <w:szCs w:val="16"/>
        </w:rPr>
      </w:pPr>
      <w:r w:rsidRPr="00A259BD">
        <w:rPr>
          <w:color w:val="000000" w:themeColor="text1"/>
          <w:sz w:val="16"/>
          <w:szCs w:val="16"/>
        </w:rPr>
        <w:t>II. Вопрос о создании аппаратов, руководящих и регулирующих работу вновь создаваемых конструкторских бюро. Этот вопрос встречает принципиальные возражения со стороны центральных аппаратов Наркомвоенмора. Производственники предполагают такой центр, руководящий и регулирующий работу, создать при трестах. Работники центральных управлений Наркомвоенмора опасаются, что создание таких руководящих аппаратов в центре может создать параллелизм работы между этими вновь создающимися центральными аппаратами и научными комитетами наших довольствующих управлений. Тут необходимо получить указание со стороны Революционного военного совета. Думается, что таких руководящих центров в промышленных центральных организациях создавать не следует. Кроме того, не следует их создавать и потому, что нет работников в области конструкторской мысли, которые могли бы занять места в этих центральных управлениях. Все работники, мало-мальски годные для конструкторской работы, должны быть опущены до конструкторских бюро, и никто из них не должен застрять в центре.</w:t>
      </w:r>
    </w:p>
    <w:p w14:paraId="34560905" w14:textId="77777777" w:rsidR="00B3477E" w:rsidRPr="00A259BD" w:rsidRDefault="00B3477E" w:rsidP="009236E3">
      <w:pPr>
        <w:pStyle w:val="rtejustify"/>
        <w:spacing w:before="0" w:after="0"/>
        <w:rPr>
          <w:color w:val="000000" w:themeColor="text1"/>
          <w:sz w:val="16"/>
          <w:szCs w:val="16"/>
        </w:rPr>
      </w:pPr>
      <w:r w:rsidRPr="00A259BD">
        <w:rPr>
          <w:color w:val="000000" w:themeColor="text1"/>
          <w:sz w:val="16"/>
          <w:szCs w:val="16"/>
        </w:rPr>
        <w:t>III. В настоящий момент наиболее ответственной работой во всем этом вопросе является срочное усиление уже существующих в промышленности конструкторских бюро. Вопрос в части усиления конструкторских бюро работниками обстоит так: была создана особая комиссия под председательством т. Берзина, которая просмотрела весь личный состав, могущий быть переданным из Красной армии в промышленность. Составленные списки этой комиссией были представлены на утверждение первому зампреду. Список этот получил утверждение т. </w:t>
      </w:r>
      <w:proofErr w:type="spellStart"/>
      <w:r w:rsidR="00000000">
        <w:fldChar w:fldCharType="begin"/>
      </w:r>
      <w:r w:rsidR="00000000">
        <w:instrText>HYPERLINK "http://www.hrono.ru/biograf/bio_u/unshliht_is.php"</w:instrText>
      </w:r>
      <w:r w:rsidR="00000000">
        <w:fldChar w:fldCharType="separate"/>
      </w:r>
      <w:r w:rsidRPr="00A259BD">
        <w:rPr>
          <w:color w:val="000000" w:themeColor="text1"/>
          <w:sz w:val="16"/>
          <w:szCs w:val="16"/>
        </w:rPr>
        <w:t>Уншлихта</w:t>
      </w:r>
      <w:proofErr w:type="spellEnd"/>
      <w:r w:rsidR="00000000">
        <w:rPr>
          <w:color w:val="000000" w:themeColor="text1"/>
          <w:sz w:val="16"/>
          <w:szCs w:val="16"/>
        </w:rPr>
        <w:fldChar w:fldCharType="end"/>
      </w:r>
      <w:r w:rsidRPr="00A259BD">
        <w:rPr>
          <w:color w:val="000000" w:themeColor="text1"/>
          <w:sz w:val="16"/>
          <w:szCs w:val="16"/>
        </w:rPr>
        <w:t xml:space="preserve"> и передан в командное управление для исполнения. Однако до настоящего времени это задание командным управлением не выполнено. Необходимо срочно осуществить намеченную переброску.</w:t>
      </w:r>
    </w:p>
    <w:p w14:paraId="63A4E6D2" w14:textId="77777777" w:rsidR="00B3477E" w:rsidRPr="00A259BD" w:rsidRDefault="00B3477E" w:rsidP="009236E3">
      <w:pPr>
        <w:pStyle w:val="rtejustify"/>
        <w:spacing w:before="0" w:after="0"/>
        <w:rPr>
          <w:color w:val="000000" w:themeColor="text1"/>
          <w:sz w:val="16"/>
          <w:szCs w:val="16"/>
        </w:rPr>
      </w:pPr>
      <w:r w:rsidRPr="00A259BD">
        <w:rPr>
          <w:color w:val="000000" w:themeColor="text1"/>
          <w:sz w:val="16"/>
          <w:szCs w:val="16"/>
        </w:rPr>
        <w:t xml:space="preserve">IV. Для того чтобы развернулась практическая работа без всяких трений, какие обычно бывают при каждом новом построении, необходимо теперь же составить те положения, по которым будут работать органы Наркомвоенмора и промышленности в деле осуществления конструкторских работ. Наметка таких положений была разработана ГВПУ и МПУ. Однако при рассмотрении </w:t>
      </w:r>
      <w:proofErr w:type="spellStart"/>
      <w:r w:rsidRPr="00A259BD">
        <w:rPr>
          <w:color w:val="000000" w:themeColor="text1"/>
          <w:sz w:val="16"/>
          <w:szCs w:val="16"/>
        </w:rPr>
        <w:t>ВНИКом</w:t>
      </w:r>
      <w:proofErr w:type="spellEnd"/>
      <w:r w:rsidRPr="00A259BD">
        <w:rPr>
          <w:color w:val="000000" w:themeColor="text1"/>
          <w:sz w:val="16"/>
          <w:szCs w:val="16"/>
        </w:rPr>
        <w:t xml:space="preserve"> и довольствующими управлениями эта разработка признана неудовлетворительной, вследствие чего довольствующим управлениям было предложено </w:t>
      </w:r>
      <w:proofErr w:type="spellStart"/>
      <w:r w:rsidRPr="00A259BD">
        <w:rPr>
          <w:color w:val="000000" w:themeColor="text1"/>
          <w:sz w:val="16"/>
          <w:szCs w:val="16"/>
        </w:rPr>
        <w:t>ВНИКом</w:t>
      </w:r>
      <w:proofErr w:type="spellEnd"/>
      <w:r w:rsidRPr="00A259BD">
        <w:rPr>
          <w:color w:val="000000" w:themeColor="text1"/>
          <w:sz w:val="16"/>
          <w:szCs w:val="16"/>
        </w:rPr>
        <w:t xml:space="preserve"> представить свои конкретные предложения. Эта работа донельзя затянулась.</w:t>
      </w:r>
    </w:p>
    <w:p w14:paraId="4837F69B" w14:textId="77777777" w:rsidR="00B3477E" w:rsidRPr="00A259BD" w:rsidRDefault="00B3477E" w:rsidP="009236E3">
      <w:pPr>
        <w:pStyle w:val="rtejustify"/>
        <w:spacing w:before="0" w:after="0"/>
        <w:rPr>
          <w:color w:val="000000" w:themeColor="text1"/>
          <w:sz w:val="16"/>
          <w:szCs w:val="16"/>
        </w:rPr>
      </w:pPr>
      <w:r w:rsidRPr="00A259BD">
        <w:rPr>
          <w:color w:val="000000" w:themeColor="text1"/>
          <w:sz w:val="16"/>
          <w:szCs w:val="16"/>
        </w:rPr>
        <w:t>Выводы. Необходимо отметить, что вопросы о создании конструкторских бюро в промышленности, несмотря на то, что они являются для нас совершенно необходимыми и нуждаются в срочном проведении в жизнь, продвигаются с исключительными трудностями и затяжкой. Необходимо Реввоенсовету дать категорическое указание всем управлениям Наркомвоенмора на ответственность и срочность этого вопроса с тем, чтобы к 1 января все мероприятия, которые должны и могут быть проведены, были бы проведены, о чем должно быть доложено Реввоенсовету. Разработанную схему организации конструкторского аппарата промышленности принять за основу.</w:t>
      </w:r>
    </w:p>
    <w:p w14:paraId="25FC7CDD" w14:textId="77777777" w:rsidR="00B3477E" w:rsidRPr="00A259BD" w:rsidRDefault="00B3477E" w:rsidP="009236E3">
      <w:pPr>
        <w:pStyle w:val="ae"/>
        <w:spacing w:before="0" w:after="0"/>
        <w:jc w:val="both"/>
        <w:rPr>
          <w:color w:val="000000" w:themeColor="text1"/>
          <w:sz w:val="16"/>
          <w:szCs w:val="16"/>
        </w:rPr>
      </w:pPr>
      <w:r w:rsidRPr="00A259BD">
        <w:rPr>
          <w:rStyle w:val="af0"/>
          <w:i w:val="0"/>
          <w:color w:val="000000" w:themeColor="text1"/>
          <w:sz w:val="16"/>
          <w:szCs w:val="16"/>
        </w:rPr>
        <w:t>Зам. наркомвоенмора¹*</w:t>
      </w:r>
    </w:p>
    <w:p w14:paraId="624EFAFB" w14:textId="77777777" w:rsidR="00B3477E" w:rsidRPr="00A259BD" w:rsidRDefault="00B3477E"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Примечание</w:t>
      </w:r>
      <w:r w:rsidRPr="00A259BD">
        <w:rPr>
          <w:color w:val="000000" w:themeColor="text1"/>
          <w:sz w:val="16"/>
          <w:szCs w:val="16"/>
        </w:rPr>
        <w:t>:</w:t>
      </w:r>
    </w:p>
    <w:p w14:paraId="0AFF6114" w14:textId="77777777" w:rsidR="00B3477E" w:rsidRPr="00A259BD" w:rsidRDefault="00B3477E" w:rsidP="009236E3">
      <w:pPr>
        <w:pStyle w:val="ae"/>
        <w:spacing w:before="0" w:after="0"/>
        <w:jc w:val="both"/>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Документ поврежден.</w:t>
      </w:r>
    </w:p>
    <w:p w14:paraId="023BF358" w14:textId="77777777" w:rsidR="00B3477E" w:rsidRPr="00A259BD" w:rsidRDefault="00B3477E" w:rsidP="009236E3">
      <w:pPr>
        <w:pStyle w:val="ae"/>
        <w:spacing w:before="0" w:after="0"/>
        <w:jc w:val="both"/>
        <w:rPr>
          <w:color w:val="000000" w:themeColor="text1"/>
          <w:sz w:val="16"/>
          <w:szCs w:val="16"/>
        </w:rPr>
      </w:pPr>
      <w:r w:rsidRPr="00A259BD">
        <w:rPr>
          <w:color w:val="000000" w:themeColor="text1"/>
          <w:sz w:val="16"/>
          <w:szCs w:val="16"/>
        </w:rPr>
        <w:t>РГАЭ. Ф. 2097. Оп. 1. Д. 993. Л. 65. Заверенная копия.</w:t>
      </w:r>
    </w:p>
    <w:p w14:paraId="50F3177D"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2097. Оп. 1. Д. 993. Л. 65. Заверенная копия. </w:t>
      </w:r>
    </w:p>
    <w:p w14:paraId="18D8E9CF"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378-379 (12474).</w:t>
      </w:r>
    </w:p>
    <w:p w14:paraId="548E7B0C" w14:textId="77777777" w:rsidR="00B3477E" w:rsidRPr="00A259BD" w:rsidRDefault="00B3477E" w:rsidP="009236E3">
      <w:pPr>
        <w:spacing w:after="0" w:line="240" w:lineRule="auto"/>
        <w:jc w:val="both"/>
        <w:rPr>
          <w:rFonts w:ascii="Times New Roman" w:hAnsi="Times New Roman"/>
          <w:color w:val="000000" w:themeColor="text1"/>
          <w:sz w:val="16"/>
          <w:szCs w:val="16"/>
        </w:rPr>
      </w:pPr>
    </w:p>
    <w:p w14:paraId="791354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ноября 1929 года запиской Ягоды и Прокофьева (№ 44081 от 6.11.29 г.) в которой излагались материалы о вредительстве в металлопромышленности возникло дело “Промпартии” (11248).</w:t>
      </w:r>
    </w:p>
    <w:p w14:paraId="75A9F7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96078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AAC0C8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56977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ноября 1929 датирован общий вид легкого самолета АКНЕРЖ-12 С.П.К. и </w:t>
      </w:r>
      <w:proofErr w:type="spellStart"/>
      <w:r w:rsidRPr="00A259BD">
        <w:rPr>
          <w:rFonts w:ascii="Times New Roman" w:hAnsi="Times New Roman"/>
          <w:color w:val="000000" w:themeColor="text1"/>
          <w:sz w:val="16"/>
          <w:szCs w:val="16"/>
        </w:rPr>
        <w:t>С.С.Кричевского</w:t>
      </w:r>
      <w:proofErr w:type="spellEnd"/>
      <w:r w:rsidRPr="00A259BD">
        <w:rPr>
          <w:rFonts w:ascii="Times New Roman" w:hAnsi="Times New Roman"/>
          <w:color w:val="000000" w:themeColor="text1"/>
          <w:sz w:val="16"/>
          <w:szCs w:val="16"/>
        </w:rPr>
        <w:t xml:space="preserve"> (105,99).</w:t>
      </w:r>
    </w:p>
    <w:p w14:paraId="0A10B4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F431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ноября 1929 авторский коллектив с участием СПК завершил проектирование самолета АКНЕЖ-12 (см. Приложение 1) (АМЖ, ф. 5300, № 1) (10676).</w:t>
      </w:r>
    </w:p>
    <w:p w14:paraId="5C09A1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7BE79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46FA54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247B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ноября 1929 инспектор бронесил Красной Армии направил в Штаб РККА “заключение о легковом ав</w:t>
      </w:r>
      <w:r w:rsidRPr="00A259BD">
        <w:rPr>
          <w:rFonts w:ascii="Times New Roman" w:hAnsi="Times New Roman"/>
          <w:color w:val="000000" w:themeColor="text1"/>
          <w:sz w:val="16"/>
          <w:szCs w:val="16"/>
        </w:rPr>
        <w:softHyphen/>
        <w:t>томобиле “Форд-А” как о разведывательной машине”, в ко</w:t>
      </w:r>
      <w:r w:rsidRPr="00A259BD">
        <w:rPr>
          <w:rFonts w:ascii="Times New Roman" w:hAnsi="Times New Roman"/>
          <w:color w:val="000000" w:themeColor="text1"/>
          <w:sz w:val="16"/>
          <w:szCs w:val="16"/>
        </w:rPr>
        <w:softHyphen/>
        <w:t>тором говорилось:</w:t>
      </w:r>
    </w:p>
    <w:p w14:paraId="34A3784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“Машина “Форд”, представленная в полку, помимо прочих выполняемых ей функций использовалась и в каче</w:t>
      </w:r>
      <w:r w:rsidRPr="00A259BD">
        <w:rPr>
          <w:rFonts w:ascii="Times New Roman" w:hAnsi="Times New Roman"/>
          <w:color w:val="000000" w:themeColor="text1"/>
          <w:sz w:val="16"/>
          <w:szCs w:val="16"/>
        </w:rPr>
        <w:softHyphen/>
        <w:t>стве разведывательной машины, для чего на ней имелось соответствующее оборудование для установки вооружения (пулемет). Таким образом, совместно с БА-27 она являлась основным средством несения службы обеспечения (развед</w:t>
      </w:r>
      <w:r w:rsidRPr="00A259BD">
        <w:rPr>
          <w:rFonts w:ascii="Times New Roman" w:hAnsi="Times New Roman"/>
          <w:color w:val="000000" w:themeColor="text1"/>
          <w:sz w:val="16"/>
          <w:szCs w:val="16"/>
        </w:rPr>
        <w:softHyphen/>
        <w:t>ка, охранение) в полку. В процессе учений и маневров лег</w:t>
      </w:r>
      <w:r w:rsidRPr="00A259BD">
        <w:rPr>
          <w:rFonts w:ascii="Times New Roman" w:hAnsi="Times New Roman"/>
          <w:color w:val="000000" w:themeColor="text1"/>
          <w:sz w:val="16"/>
          <w:szCs w:val="16"/>
        </w:rPr>
        <w:softHyphen/>
        <w:t>ковая машина “Форд” показала достаточную скорость движения, хорошую проходимость по грунтовым дорогам, до</w:t>
      </w:r>
      <w:r w:rsidRPr="00A259BD">
        <w:rPr>
          <w:rFonts w:ascii="Times New Roman" w:hAnsi="Times New Roman"/>
          <w:color w:val="000000" w:themeColor="text1"/>
          <w:sz w:val="16"/>
          <w:szCs w:val="16"/>
        </w:rPr>
        <w:softHyphen/>
        <w:t>статочную надежность и большой запас хода, что выдвига</w:t>
      </w:r>
      <w:r w:rsidRPr="00A259BD">
        <w:rPr>
          <w:rFonts w:ascii="Times New Roman" w:hAnsi="Times New Roman"/>
          <w:color w:val="000000" w:themeColor="text1"/>
          <w:sz w:val="16"/>
          <w:szCs w:val="16"/>
        </w:rPr>
        <w:softHyphen/>
        <w:t>ет ее в разряд лучших колесных машин, которые могут быть использованы для службы обеспечения.</w:t>
      </w:r>
    </w:p>
    <w:p w14:paraId="7E4A294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Основным и весьма важным недостатком машины яв</w:t>
      </w:r>
      <w:r w:rsidRPr="00A259BD">
        <w:rPr>
          <w:rFonts w:ascii="Times New Roman" w:hAnsi="Times New Roman"/>
          <w:color w:val="000000" w:themeColor="text1"/>
          <w:sz w:val="16"/>
          <w:szCs w:val="16"/>
        </w:rPr>
        <w:softHyphen/>
        <w:t>ляется ее уязвимость, как следствие отсутствия брони и на</w:t>
      </w:r>
      <w:r w:rsidRPr="00A259BD">
        <w:rPr>
          <w:rFonts w:ascii="Times New Roman" w:hAnsi="Times New Roman"/>
          <w:color w:val="000000" w:themeColor="text1"/>
          <w:sz w:val="16"/>
          <w:szCs w:val="16"/>
        </w:rPr>
        <w:softHyphen/>
        <w:t>личия колес на пневматиках. Представляется целесообраз</w:t>
      </w:r>
      <w:r w:rsidRPr="00A259BD">
        <w:rPr>
          <w:rFonts w:ascii="Times New Roman" w:hAnsi="Times New Roman"/>
          <w:color w:val="000000" w:themeColor="text1"/>
          <w:sz w:val="16"/>
          <w:szCs w:val="16"/>
        </w:rPr>
        <w:softHyphen/>
        <w:t>ным в течение ближайшей зимы осуществление целого ряда опытных образцов машин, с целью установления наиболее пригодного из .них. Желательны следующие варианты:</w:t>
      </w:r>
    </w:p>
    <w:p w14:paraId="7E1DD7A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легкобронированный “Форд”;</w:t>
      </w:r>
    </w:p>
    <w:p w14:paraId="59E6826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w:t>
      </w:r>
      <w:proofErr w:type="spellStart"/>
      <w:r w:rsidRPr="00A259BD">
        <w:rPr>
          <w:rFonts w:ascii="Times New Roman" w:hAnsi="Times New Roman"/>
          <w:color w:val="000000" w:themeColor="text1"/>
          <w:sz w:val="16"/>
          <w:szCs w:val="16"/>
        </w:rPr>
        <w:t>полубронированный</w:t>
      </w:r>
      <w:proofErr w:type="spellEnd"/>
      <w:r w:rsidRPr="00A259BD">
        <w:rPr>
          <w:rFonts w:ascii="Times New Roman" w:hAnsi="Times New Roman"/>
          <w:color w:val="000000" w:themeColor="text1"/>
          <w:sz w:val="16"/>
          <w:szCs w:val="16"/>
        </w:rPr>
        <w:t xml:space="preserve"> “Форд”;</w:t>
      </w:r>
    </w:p>
    <w:p w14:paraId="7B264C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“Форд” с глухой бронировкой” (11284).</w:t>
      </w:r>
    </w:p>
    <w:p w14:paraId="076370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DFD783"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25B7D7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E996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ноября 1929 ЦАГИ в письме в НТК УВВС изложило взгляды на проектирование самолетов-гигантов под нагрузку 10 и 25 т:</w:t>
      </w:r>
    </w:p>
    <w:p w14:paraId="3E4721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связи с тем, что постройка самолетов потребует новых материалов, не изготовляемых нашей промышленностью, ЦАГИ считает, что строительство не может базироваться на отечественных материалах и потребует производства больших заграничных заказов.” (7425, 19).</w:t>
      </w:r>
    </w:p>
    <w:p w14:paraId="49E2DF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9A56E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F05143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0E662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ноября 1929 года был создан трест "Апатит", проводивший работы по освоению месторождений полезных ископаемых Кольского полуострова. Благодаря первому директору треста - Василию Кондрикову были построены крупнейшие предприятия Кольского полуострова : комбинаты "Апатит" и "Североникель". На основе ещё не </w:t>
      </w:r>
      <w:proofErr w:type="spellStart"/>
      <w:r w:rsidRPr="00A259BD">
        <w:rPr>
          <w:rFonts w:ascii="Times New Roman" w:hAnsi="Times New Roman"/>
          <w:color w:val="000000" w:themeColor="text1"/>
          <w:sz w:val="16"/>
          <w:szCs w:val="16"/>
        </w:rPr>
        <w:t>испытывающегося</w:t>
      </w:r>
      <w:proofErr w:type="spellEnd"/>
      <w:r w:rsidRPr="00A259BD">
        <w:rPr>
          <w:rFonts w:ascii="Times New Roman" w:hAnsi="Times New Roman"/>
          <w:color w:val="000000" w:themeColor="text1"/>
          <w:sz w:val="16"/>
          <w:szCs w:val="16"/>
        </w:rPr>
        <w:t xml:space="preserve"> технологического процесса - флотационного обогащения - в феврале 1930 года было принято решение о строительстве обогатительной фабрики в </w:t>
      </w:r>
      <w:proofErr w:type="spellStart"/>
      <w:r w:rsidRPr="00A259BD">
        <w:rPr>
          <w:rFonts w:ascii="Times New Roman" w:hAnsi="Times New Roman"/>
          <w:color w:val="000000" w:themeColor="text1"/>
          <w:sz w:val="16"/>
          <w:szCs w:val="16"/>
        </w:rPr>
        <w:t>хибинах</w:t>
      </w:r>
      <w:proofErr w:type="spellEnd"/>
      <w:r w:rsidRPr="00A259BD">
        <w:rPr>
          <w:rFonts w:ascii="Times New Roman" w:hAnsi="Times New Roman"/>
          <w:color w:val="000000" w:themeColor="text1"/>
          <w:sz w:val="16"/>
          <w:szCs w:val="16"/>
        </w:rPr>
        <w:t xml:space="preserve">. Огромный энтузиазм, высочайшего накала патриотизм советских людей позволили в чрезвычайно сложных условиях за очень короткий срок построить </w:t>
      </w:r>
      <w:proofErr w:type="spellStart"/>
      <w:r w:rsidRPr="00A259BD">
        <w:rPr>
          <w:rFonts w:ascii="Times New Roman" w:hAnsi="Times New Roman"/>
          <w:color w:val="000000" w:themeColor="text1"/>
          <w:sz w:val="16"/>
          <w:szCs w:val="16"/>
        </w:rPr>
        <w:t>апатито</w:t>
      </w:r>
      <w:proofErr w:type="spellEnd"/>
      <w:r w:rsidRPr="00A259BD">
        <w:rPr>
          <w:rFonts w:ascii="Times New Roman" w:hAnsi="Times New Roman"/>
          <w:color w:val="000000" w:themeColor="text1"/>
          <w:sz w:val="16"/>
          <w:szCs w:val="16"/>
        </w:rPr>
        <w:t xml:space="preserve"> - нефелиновую фабрику, первая очередь которой была введена в строй к 8 сентября 1931 года. Ввод новой советской фабрики позволил отказаться от ввода марокканских фосфоритов. Отсюда отправили первый эшелон отечественного апатитового концентрата. "Ещё совсем недавно само слово апатит было знакомо лишь </w:t>
      </w:r>
      <w:proofErr w:type="spellStart"/>
      <w:r w:rsidRPr="00A259BD">
        <w:rPr>
          <w:rFonts w:ascii="Times New Roman" w:hAnsi="Times New Roman"/>
          <w:color w:val="000000" w:themeColor="text1"/>
          <w:sz w:val="16"/>
          <w:szCs w:val="16"/>
        </w:rPr>
        <w:t>минералогам,а</w:t>
      </w:r>
      <w:proofErr w:type="spellEnd"/>
      <w:r w:rsidRPr="00A259BD">
        <w:rPr>
          <w:rFonts w:ascii="Times New Roman" w:hAnsi="Times New Roman"/>
          <w:color w:val="000000" w:themeColor="text1"/>
          <w:sz w:val="16"/>
          <w:szCs w:val="16"/>
        </w:rPr>
        <w:t xml:space="preserve"> сегодня оно волнует тысячи людей. Ради апатита вырастает в Хибинской тундре город..." писал </w:t>
      </w:r>
      <w:proofErr w:type="spellStart"/>
      <w:r w:rsidRPr="00A259BD">
        <w:rPr>
          <w:rFonts w:ascii="Times New Roman" w:hAnsi="Times New Roman"/>
          <w:color w:val="000000" w:themeColor="text1"/>
          <w:sz w:val="16"/>
          <w:szCs w:val="16"/>
        </w:rPr>
        <w:t>А.Е.Ферсман</w:t>
      </w:r>
      <w:proofErr w:type="spellEnd"/>
      <w:r w:rsidRPr="00A259BD">
        <w:rPr>
          <w:rFonts w:ascii="Times New Roman" w:hAnsi="Times New Roman"/>
          <w:color w:val="000000" w:themeColor="text1"/>
          <w:sz w:val="16"/>
          <w:szCs w:val="16"/>
        </w:rPr>
        <w:t xml:space="preserve"> (9702).</w:t>
      </w:r>
    </w:p>
    <w:p w14:paraId="214D14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1447F4" w14:textId="77777777" w:rsidR="00CD7BD7" w:rsidRPr="00A259BD" w:rsidRDefault="00CD7BD7"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hAnsi="Times New Roman"/>
          <w:bCs/>
          <w:color w:val="000000" w:themeColor="text1"/>
          <w:sz w:val="16"/>
          <w:szCs w:val="16"/>
        </w:rPr>
        <w:t xml:space="preserve">13 ноября </w:t>
      </w:r>
      <w:r w:rsidRPr="00A259BD">
        <w:rPr>
          <w:rFonts w:ascii="Times New Roman" w:hAnsi="Times New Roman"/>
          <w:color w:val="000000" w:themeColor="text1"/>
          <w:sz w:val="16"/>
          <w:szCs w:val="16"/>
        </w:rPr>
        <w:t xml:space="preserve">в 1929 году для разработки и эксплуатации </w:t>
      </w:r>
      <w:proofErr w:type="spellStart"/>
      <w:r w:rsidRPr="00A259BD">
        <w:rPr>
          <w:rFonts w:ascii="Times New Roman" w:hAnsi="Times New Roman"/>
          <w:color w:val="000000" w:themeColor="text1"/>
          <w:sz w:val="16"/>
          <w:szCs w:val="16"/>
        </w:rPr>
        <w:t>хибиногорских</w:t>
      </w:r>
      <w:proofErr w:type="spellEnd"/>
      <w:r w:rsidRPr="00A259BD">
        <w:rPr>
          <w:rFonts w:ascii="Times New Roman" w:hAnsi="Times New Roman"/>
          <w:color w:val="000000" w:themeColor="text1"/>
          <w:sz w:val="16"/>
          <w:szCs w:val="16"/>
        </w:rPr>
        <w:t xml:space="preserve"> месторождений апатитовых руд создан горно-химический трест "Апатит" (ныне ОАО, Мурманская область) — основной в стране поставщик сырья для производства минеральных удобрений; старейшее предприятие Кольского полуострова. Входит в число крупнейших мировых производителей фосфатного сырья. 30 марта 1965 г. Указом Президиума Верховного Совета СССР комбинат "Апатит" и трест "</w:t>
      </w:r>
      <w:proofErr w:type="spellStart"/>
      <w:r w:rsidRPr="00A259BD">
        <w:rPr>
          <w:rFonts w:ascii="Times New Roman" w:hAnsi="Times New Roman"/>
          <w:color w:val="000000" w:themeColor="text1"/>
          <w:sz w:val="16"/>
          <w:szCs w:val="16"/>
        </w:rPr>
        <w:t>Апатитстрой</w:t>
      </w:r>
      <w:proofErr w:type="spellEnd"/>
      <w:r w:rsidRPr="00A259BD">
        <w:rPr>
          <w:rFonts w:ascii="Times New Roman" w:hAnsi="Times New Roman"/>
          <w:color w:val="000000" w:themeColor="text1"/>
          <w:sz w:val="16"/>
          <w:szCs w:val="16"/>
        </w:rPr>
        <w:t>" награждены орденами Ленина (14829).</w:t>
      </w:r>
    </w:p>
    <w:p w14:paraId="161911C7" w14:textId="77777777" w:rsidR="00CD7BD7" w:rsidRPr="00A259BD" w:rsidRDefault="00CD7BD7" w:rsidP="009236E3">
      <w:pPr>
        <w:spacing w:after="0" w:line="240" w:lineRule="auto"/>
        <w:jc w:val="both"/>
        <w:rPr>
          <w:rFonts w:ascii="Times New Roman" w:hAnsi="Times New Roman"/>
          <w:color w:val="000000" w:themeColor="text1"/>
          <w:sz w:val="16"/>
          <w:szCs w:val="16"/>
        </w:rPr>
      </w:pPr>
    </w:p>
    <w:p w14:paraId="5ACBCEFA"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7D0408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B4916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ноября 1929 для приема германских репараций в соответствии с планом Янга в Базеле был учрежден банк международных расчетов (3481).</w:t>
      </w:r>
    </w:p>
    <w:p w14:paraId="6DEE05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F5E77F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62D8FB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CEEDD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ноября 1929 года в семь часов утра заводской гудок оповестил округу о начале рабочей смены Ново-Сормовского завода. Это был символический праздник родившегося производственного объекта. Право дать первый гудок было предоставлено старшему кочегару Алексею Гаврилину. Учитывая развернувшееся грандиозное строительство, </w:t>
      </w:r>
      <w:proofErr w:type="spellStart"/>
      <w:r w:rsidRPr="00A259BD">
        <w:rPr>
          <w:rFonts w:ascii="Times New Roman" w:hAnsi="Times New Roman"/>
          <w:color w:val="000000" w:themeColor="text1"/>
          <w:sz w:val="16"/>
          <w:szCs w:val="16"/>
        </w:rPr>
        <w:t>паровозо</w:t>
      </w:r>
      <w:proofErr w:type="spellEnd"/>
      <w:r w:rsidRPr="00A259BD">
        <w:rPr>
          <w:rFonts w:ascii="Times New Roman" w:hAnsi="Times New Roman"/>
          <w:color w:val="000000" w:themeColor="text1"/>
          <w:sz w:val="16"/>
          <w:szCs w:val="16"/>
        </w:rPr>
        <w:t>-вагонно-дизельное объединение ВСНХ приняло решение с 1 октября 1930 года выделить завод «Новое Сормово» из состава завода «Красное Сормово» в самостоятельное предприятие с самостоятельным балансом. Директором завода назначили И.И. Шмырова. В августе 1931 года предприятие было передано в подчинение Всесоюзному орудийно-арсенальному объединению (ВОАО). С 1 января 1932 года завод «Новое Сормово» стал Союзным машиностроительным заводом Всесоюзного орудийно-арсенального объединения с подчинением Наркомату тяжелой промышленности. Этот день стал днем рождения самостоятельного предприятия. Первым директором был назначен Д.С. Лисянский. В 1931 году вышло постановление Высшего совета народного хозяйства (ВСНХ) об отнесении строительства завода «Новое Сормово» к ударным стройкам. Это постановление значительно активизировало строительство и производство. В 1933 году в связи с обострением международной обстановки решение о возведении завода-гиганта в соответствии с первоначальным большим генеральным планом было пересмотрено и принято новое решение о строительстве завода в соответствии с малым генеральным планом, по которому велось строительство вплоть до Великой Отечественной войны. Это положение объяснил Константин Васильевич Бородкин, который после окончания Ленинградского политехнического института (военно-механическое отделение) в 1931 году получил направление на завод «Н». Проектирование завода было начато в октябре 1931 г. и в основном закончено 1 февраля 1933 года. Тогда в пакет проектно-технической документации механосборочных и других цехов входил не только полный комплект организации цеха, но и чертежи трансформаторных подстанций, а также выдача строительных заданий. Заказ оборудования, главным образом импортного, производился немедленно после проведения расчетов и планирования его по технологическим линиям. Специальное оборудование – станки глубокого сверления и расточки, токарные станки для обработки длинных изделий и другие – станкостроительными заводами Союза до 1941 г. не изготовлялось. Поставка инофирмами заказного специального оборудования (главным образом из Германии) для Советского Союза в начале 1933 г. была прекращена по указанию пришедшего к власти Гитлера. Без возможности приобрести необходимое для завода оборудование, проект большого генерального плана не мог быть осуществлен в том виде и на ту мощность, на которую он был ориентирован проектным бюро ВОАО. В связи с этим было принято решение о перепроектировании цехов завода на мощность, которая могла бы обеспечить завезенное на заводскую площадку специальное металлообрабатывающее оборудование. Проектирование цехов завода на меньшую мощность, составляющую примерно половину мощности большого генерального плана, производилось с 2 марта 1933 г. непосредственно на заводе. Монтаж оборудования механосборочных цехов завода осуществлялся по мере готовности проектов цехов в течение 1933-34 гг., а в 1936 г. был закончен полный комплекс проектных и монтажных работ.  С этого момента завод «Н» считается сданным в эксплуатацию (11818).</w:t>
      </w:r>
    </w:p>
    <w:p w14:paraId="52A44F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90E8DB" w14:textId="77777777" w:rsidR="00B3477E"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4641C099" w14:textId="77777777" w:rsidR="00B3477E" w:rsidRPr="00A259BD" w:rsidRDefault="00B3477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3867968" w14:textId="77777777" w:rsidR="00B3477E" w:rsidRPr="00A259BD" w:rsidRDefault="00B3477E"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14 ноября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СТО СССР об отмене постановления Совета труда и обороны от 14 декабря 1923 г. о порядке производства фотографических и кинематографических съемок воинских частей и военных сооружений (СЗ. 1929. № 71. Ст. 681) (12415).</w:t>
      </w:r>
    </w:p>
    <w:p w14:paraId="38EC8417" w14:textId="77777777" w:rsidR="00B3477E" w:rsidRPr="00A259BD" w:rsidRDefault="00B3477E" w:rsidP="009236E3">
      <w:pPr>
        <w:spacing w:after="0" w:line="240" w:lineRule="auto"/>
        <w:jc w:val="both"/>
        <w:rPr>
          <w:rFonts w:ascii="Times New Roman" w:hAnsi="Times New Roman"/>
          <w:color w:val="000000" w:themeColor="text1"/>
          <w:sz w:val="16"/>
          <w:szCs w:val="16"/>
          <w:u w:color="002060"/>
        </w:rPr>
      </w:pPr>
    </w:p>
    <w:p w14:paraId="6494431D"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26DFAAC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DA7FF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ноября 1929 Политбюро приняло следующее решение: </w:t>
      </w:r>
    </w:p>
    <w:p w14:paraId="610FC4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Поручить д-ру Левину написать т. Чичерину, что желателен его приезд в СССР в конце ноября. </w:t>
      </w:r>
    </w:p>
    <w:p w14:paraId="34F1A4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В качестве сопровождающего командировать к т. Чичерину д-ра Левина. </w:t>
      </w:r>
    </w:p>
    <w:p w14:paraId="35532C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Предложить т. Карахану в связи с болезнью т. Чичерина немедленно выехать в Берлин, отложив на некоторое время поездку в Турцию" (11652).</w:t>
      </w:r>
    </w:p>
    <w:p w14:paraId="52DF9D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9887B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19B2D5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27C68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но</w:t>
      </w:r>
      <w:r w:rsidRPr="00A259BD">
        <w:rPr>
          <w:rFonts w:ascii="Times New Roman" w:hAnsi="Times New Roman"/>
          <w:color w:val="000000" w:themeColor="text1"/>
          <w:sz w:val="16"/>
          <w:szCs w:val="16"/>
        </w:rPr>
        <w:softHyphen/>
        <w:t>ября 1929 г. по документации ЦАГИ начало про</w:t>
      </w:r>
      <w:r w:rsidRPr="00A259BD">
        <w:rPr>
          <w:rFonts w:ascii="Times New Roman" w:hAnsi="Times New Roman"/>
          <w:color w:val="000000" w:themeColor="text1"/>
          <w:sz w:val="16"/>
          <w:szCs w:val="16"/>
        </w:rPr>
        <w:softHyphen/>
        <w:t>ектирования самолета И-8 (АНТ-13). Среди лиц, наиболее актив</w:t>
      </w:r>
      <w:r w:rsidRPr="00A259BD">
        <w:rPr>
          <w:rFonts w:ascii="Times New Roman" w:hAnsi="Times New Roman"/>
          <w:color w:val="000000" w:themeColor="text1"/>
          <w:sz w:val="16"/>
          <w:szCs w:val="16"/>
        </w:rPr>
        <w:softHyphen/>
        <w:t>но участвующих в работе, следует отме</w:t>
      </w:r>
      <w:r w:rsidRPr="00A259BD">
        <w:rPr>
          <w:rFonts w:ascii="Times New Roman" w:hAnsi="Times New Roman"/>
          <w:color w:val="000000" w:themeColor="text1"/>
          <w:sz w:val="16"/>
          <w:szCs w:val="16"/>
        </w:rPr>
        <w:softHyphen/>
        <w:t xml:space="preserve">тить </w:t>
      </w:r>
      <w:proofErr w:type="spellStart"/>
      <w:r w:rsidRPr="00A259BD">
        <w:rPr>
          <w:rFonts w:ascii="Times New Roman" w:hAnsi="Times New Roman"/>
          <w:color w:val="000000" w:themeColor="text1"/>
          <w:sz w:val="16"/>
          <w:szCs w:val="16"/>
        </w:rPr>
        <w:t>В.М.Родионова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И.П.Толстых</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А.И.Путилова</w:t>
      </w:r>
      <w:proofErr w:type="spellEnd"/>
      <w:r w:rsidRPr="00A259BD">
        <w:rPr>
          <w:rFonts w:ascii="Times New Roman" w:hAnsi="Times New Roman"/>
          <w:color w:val="000000" w:themeColor="text1"/>
          <w:sz w:val="16"/>
          <w:szCs w:val="16"/>
        </w:rPr>
        <w:t>. По отношению к создава</w:t>
      </w:r>
      <w:r w:rsidRPr="00A259BD">
        <w:rPr>
          <w:rFonts w:ascii="Times New Roman" w:hAnsi="Times New Roman"/>
          <w:color w:val="000000" w:themeColor="text1"/>
          <w:sz w:val="16"/>
          <w:szCs w:val="16"/>
        </w:rPr>
        <w:softHyphen/>
        <w:t>емому истребителю использовали обо</w:t>
      </w:r>
      <w:r w:rsidRPr="00A259BD">
        <w:rPr>
          <w:rFonts w:ascii="Times New Roman" w:hAnsi="Times New Roman"/>
          <w:color w:val="000000" w:themeColor="text1"/>
          <w:sz w:val="16"/>
          <w:szCs w:val="16"/>
        </w:rPr>
        <w:softHyphen/>
        <w:t>значение АНТ-13 — как видим, никакого намека на склонность к суевериям и на страхи перед “чертовой дюжиной”. Так</w:t>
      </w:r>
      <w:r w:rsidRPr="00A259BD">
        <w:rPr>
          <w:rFonts w:ascii="Times New Roman" w:hAnsi="Times New Roman"/>
          <w:color w:val="000000" w:themeColor="text1"/>
          <w:sz w:val="16"/>
          <w:szCs w:val="16"/>
        </w:rPr>
        <w:softHyphen/>
        <w:t>же использовалось и определение “жо</w:t>
      </w:r>
      <w:r w:rsidRPr="00A259BD">
        <w:rPr>
          <w:rFonts w:ascii="Times New Roman" w:hAnsi="Times New Roman"/>
          <w:color w:val="000000" w:themeColor="text1"/>
          <w:sz w:val="16"/>
          <w:szCs w:val="16"/>
        </w:rPr>
        <w:softHyphen/>
        <w:t>кей-перехватчик” (10729).</w:t>
      </w:r>
    </w:p>
    <w:p w14:paraId="25F864B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3D80E0"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ноября 1929 г. официально датируется начало разработки И-8 (АНТ-13). В план авиа</w:t>
      </w:r>
      <w:r w:rsidRPr="00A259BD">
        <w:rPr>
          <w:rFonts w:ascii="Times New Roman" w:hAnsi="Times New Roman"/>
          <w:color w:val="000000" w:themeColor="text1"/>
          <w:sz w:val="16"/>
          <w:szCs w:val="16"/>
        </w:rPr>
        <w:softHyphen/>
        <w:t>промышленности истребитель не включили. Среди активистов деятельности по его со</w:t>
      </w:r>
      <w:r w:rsidRPr="00A259BD">
        <w:rPr>
          <w:rFonts w:ascii="Times New Roman" w:hAnsi="Times New Roman"/>
          <w:color w:val="000000" w:themeColor="text1"/>
          <w:sz w:val="16"/>
          <w:szCs w:val="16"/>
        </w:rPr>
        <w:softHyphen/>
        <w:t>зданию упоминаются инженеры В.М. Роди</w:t>
      </w:r>
      <w:r w:rsidRPr="00A259BD">
        <w:rPr>
          <w:rFonts w:ascii="Times New Roman" w:hAnsi="Times New Roman"/>
          <w:color w:val="000000" w:themeColor="text1"/>
          <w:sz w:val="16"/>
          <w:szCs w:val="16"/>
        </w:rPr>
        <w:softHyphen/>
        <w:t>онов, И.П. Толстых, А.И. Путилов. В ЦАГИ по отношению к создаваемому истребителю использовали обозначение АНТ-13 - как ви</w:t>
      </w:r>
      <w:r w:rsidRPr="00A259BD">
        <w:rPr>
          <w:rFonts w:ascii="Times New Roman" w:hAnsi="Times New Roman"/>
          <w:color w:val="000000" w:themeColor="text1"/>
          <w:sz w:val="16"/>
          <w:szCs w:val="16"/>
        </w:rPr>
        <w:softHyphen/>
        <w:t>дим никакого намека на склонность к суеве</w:t>
      </w:r>
      <w:r w:rsidRPr="00A259BD">
        <w:rPr>
          <w:rFonts w:ascii="Times New Roman" w:hAnsi="Times New Roman"/>
          <w:color w:val="000000" w:themeColor="text1"/>
          <w:sz w:val="16"/>
          <w:szCs w:val="16"/>
        </w:rPr>
        <w:softHyphen/>
        <w:t>риям и на страхи перед «чертовой дюжиной».</w:t>
      </w:r>
    </w:p>
    <w:p w14:paraId="6385DF86"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Также использовалось определение «жокей- перехватчик», которое доходчиво поясняет П.М. </w:t>
      </w:r>
      <w:proofErr w:type="spellStart"/>
      <w:r w:rsidRPr="00A259BD">
        <w:rPr>
          <w:rFonts w:ascii="Times New Roman" w:hAnsi="Times New Roman"/>
          <w:color w:val="000000" w:themeColor="text1"/>
          <w:sz w:val="16"/>
          <w:szCs w:val="16"/>
        </w:rPr>
        <w:t>Крейсон</w:t>
      </w:r>
      <w:proofErr w:type="spellEnd"/>
      <w:r w:rsidRPr="00A259BD">
        <w:rPr>
          <w:rFonts w:ascii="Times New Roman" w:hAnsi="Times New Roman"/>
          <w:color w:val="000000" w:themeColor="text1"/>
          <w:sz w:val="16"/>
          <w:szCs w:val="16"/>
        </w:rPr>
        <w:t xml:space="preserve"> в своей книге «Самолеты за 20 лет» (</w:t>
      </w:r>
      <w:proofErr w:type="spellStart"/>
      <w:r w:rsidRPr="00A259BD">
        <w:rPr>
          <w:rFonts w:ascii="Times New Roman" w:hAnsi="Times New Roman"/>
          <w:color w:val="000000" w:themeColor="text1"/>
          <w:sz w:val="16"/>
          <w:szCs w:val="16"/>
        </w:rPr>
        <w:t>Госмашметиздат</w:t>
      </w:r>
      <w:proofErr w:type="spellEnd"/>
      <w:r w:rsidRPr="00A259BD">
        <w:rPr>
          <w:rFonts w:ascii="Times New Roman" w:hAnsi="Times New Roman"/>
          <w:color w:val="000000" w:themeColor="text1"/>
          <w:sz w:val="16"/>
          <w:szCs w:val="16"/>
        </w:rPr>
        <w:t>, 1934 г., с. 12-13): «В процессе развития истребительной авиа</w:t>
      </w:r>
      <w:r w:rsidRPr="00A259BD">
        <w:rPr>
          <w:rFonts w:ascii="Times New Roman" w:hAnsi="Times New Roman"/>
          <w:color w:val="000000" w:themeColor="text1"/>
          <w:sz w:val="16"/>
          <w:szCs w:val="16"/>
        </w:rPr>
        <w:softHyphen/>
        <w:t>ции в период 1927-1929 гг. появился понача</w:t>
      </w:r>
      <w:r w:rsidRPr="00A259BD">
        <w:rPr>
          <w:rFonts w:ascii="Times New Roman" w:hAnsi="Times New Roman"/>
          <w:color w:val="000000" w:themeColor="text1"/>
          <w:sz w:val="16"/>
          <w:szCs w:val="16"/>
        </w:rPr>
        <w:softHyphen/>
        <w:t xml:space="preserve">лу во Франции (Моран, </w:t>
      </w:r>
      <w:proofErr w:type="spellStart"/>
      <w:r w:rsidRPr="00A259BD">
        <w:rPr>
          <w:rFonts w:ascii="Times New Roman" w:hAnsi="Times New Roman"/>
          <w:color w:val="000000" w:themeColor="text1"/>
          <w:sz w:val="16"/>
          <w:szCs w:val="16"/>
        </w:rPr>
        <w:t>Девуатин</w:t>
      </w:r>
      <w:proofErr w:type="spellEnd"/>
      <w:r w:rsidRPr="00A259BD">
        <w:rPr>
          <w:rFonts w:ascii="Times New Roman" w:hAnsi="Times New Roman"/>
          <w:color w:val="000000" w:themeColor="text1"/>
          <w:sz w:val="16"/>
          <w:szCs w:val="16"/>
        </w:rPr>
        <w:t>, Бернар), затем в Англии (Виккерс) и в США (</w:t>
      </w:r>
      <w:proofErr w:type="spellStart"/>
      <w:r w:rsidRPr="00A259BD">
        <w:rPr>
          <w:rFonts w:ascii="Times New Roman" w:hAnsi="Times New Roman"/>
          <w:color w:val="000000" w:themeColor="text1"/>
          <w:sz w:val="16"/>
          <w:szCs w:val="16"/>
        </w:rPr>
        <w:t>Кертисс</w:t>
      </w:r>
      <w:proofErr w:type="spellEnd"/>
      <w:r w:rsidRPr="00A259BD">
        <w:rPr>
          <w:rFonts w:ascii="Times New Roman" w:hAnsi="Times New Roman"/>
          <w:color w:val="000000" w:themeColor="text1"/>
          <w:sz w:val="16"/>
          <w:szCs w:val="16"/>
        </w:rPr>
        <w:t>) тип истребителя для обороны определенных пунктов или перехватчика — так называемый «жокей». Характерной его особенностью яв</w:t>
      </w:r>
      <w:r w:rsidRPr="00A259BD">
        <w:rPr>
          <w:rFonts w:ascii="Times New Roman" w:hAnsi="Times New Roman"/>
          <w:color w:val="000000" w:themeColor="text1"/>
          <w:sz w:val="16"/>
          <w:szCs w:val="16"/>
        </w:rPr>
        <w:softHyphen/>
        <w:t>лялся малый вес, достигаемый уменьшени</w:t>
      </w:r>
      <w:r w:rsidRPr="00A259BD">
        <w:rPr>
          <w:rFonts w:ascii="Times New Roman" w:hAnsi="Times New Roman"/>
          <w:color w:val="000000" w:themeColor="text1"/>
          <w:sz w:val="16"/>
          <w:szCs w:val="16"/>
        </w:rPr>
        <w:softHyphen/>
        <w:t>ем нагрузки до 300-350 кг (вместо обычной в 420-450 кг), снижением запаса горючего на 1,5-1,75 часа полета и уменьшенным коли</w:t>
      </w:r>
      <w:r w:rsidRPr="00A259BD">
        <w:rPr>
          <w:rFonts w:ascii="Times New Roman" w:hAnsi="Times New Roman"/>
          <w:color w:val="000000" w:themeColor="text1"/>
          <w:sz w:val="16"/>
          <w:szCs w:val="16"/>
        </w:rPr>
        <w:softHyphen/>
        <w:t>чеством патронов для двух пулеметов.</w:t>
      </w:r>
    </w:p>
    <w:p w14:paraId="21DD02D4"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Такие истребители имели весьма малые размеры при высоких горизонтальных ско</w:t>
      </w:r>
      <w:r w:rsidRPr="00A259BD">
        <w:rPr>
          <w:rFonts w:ascii="Times New Roman" w:hAnsi="Times New Roman"/>
          <w:color w:val="000000" w:themeColor="text1"/>
          <w:sz w:val="16"/>
          <w:szCs w:val="16"/>
        </w:rPr>
        <w:softHyphen/>
        <w:t>ростях, скороподъемности и маневренно</w:t>
      </w:r>
      <w:r w:rsidRPr="00A259BD">
        <w:rPr>
          <w:rFonts w:ascii="Times New Roman" w:hAnsi="Times New Roman"/>
          <w:color w:val="000000" w:themeColor="text1"/>
          <w:sz w:val="16"/>
          <w:szCs w:val="16"/>
        </w:rPr>
        <w:softHyphen/>
        <w:t>сти. Полетный вес таких истребителей даже при наличии на них моторов с водяным ох</w:t>
      </w:r>
      <w:r w:rsidRPr="00A259BD">
        <w:rPr>
          <w:rFonts w:ascii="Times New Roman" w:hAnsi="Times New Roman"/>
          <w:color w:val="000000" w:themeColor="text1"/>
          <w:sz w:val="16"/>
          <w:szCs w:val="16"/>
        </w:rPr>
        <w:softHyphen/>
        <w:t>лаждением не превышал 1300-1350 кг, тогда как обычные истребители с мотором водяно</w:t>
      </w:r>
      <w:r w:rsidRPr="00A259BD">
        <w:rPr>
          <w:rFonts w:ascii="Times New Roman" w:hAnsi="Times New Roman"/>
          <w:color w:val="000000" w:themeColor="text1"/>
          <w:sz w:val="16"/>
          <w:szCs w:val="16"/>
        </w:rPr>
        <w:softHyphen/>
        <w:t>го охлаждения имели полетный вес, доходя</w:t>
      </w:r>
      <w:r w:rsidRPr="00A259BD">
        <w:rPr>
          <w:rFonts w:ascii="Times New Roman" w:hAnsi="Times New Roman"/>
          <w:color w:val="000000" w:themeColor="text1"/>
          <w:sz w:val="16"/>
          <w:szCs w:val="16"/>
        </w:rPr>
        <w:softHyphen/>
        <w:t>щий до 1 600-1700 и даже 1800 кг.</w:t>
      </w:r>
    </w:p>
    <w:p w14:paraId="36C24F1D"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1930—1931 гг. в Англии построили </w:t>
      </w:r>
      <w:proofErr w:type="spellStart"/>
      <w:r w:rsidRPr="00A259BD">
        <w:rPr>
          <w:rFonts w:ascii="Times New Roman" w:hAnsi="Times New Roman"/>
          <w:color w:val="000000" w:themeColor="text1"/>
          <w:sz w:val="16"/>
          <w:szCs w:val="16"/>
        </w:rPr>
        <w:t>истре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бители</w:t>
      </w:r>
      <w:proofErr w:type="spellEnd"/>
      <w:r w:rsidRPr="00A259BD">
        <w:rPr>
          <w:rFonts w:ascii="Times New Roman" w:hAnsi="Times New Roman"/>
          <w:color w:val="000000" w:themeColor="text1"/>
          <w:sz w:val="16"/>
          <w:szCs w:val="16"/>
        </w:rPr>
        <w:t>-перехватчики Глостер и 55-19 с вы</w:t>
      </w:r>
      <w:r w:rsidRPr="00A259BD">
        <w:rPr>
          <w:rFonts w:ascii="Times New Roman" w:hAnsi="Times New Roman"/>
          <w:color w:val="000000" w:themeColor="text1"/>
          <w:sz w:val="16"/>
          <w:szCs w:val="16"/>
        </w:rPr>
        <w:softHyphen/>
        <w:t>сотными моторами воздушного охлаждения и шестью пулеметами. При общем весе 1600 кг эти самолеты обладали скоростями на вы</w:t>
      </w:r>
      <w:r w:rsidRPr="00A259BD">
        <w:rPr>
          <w:rFonts w:ascii="Times New Roman" w:hAnsi="Times New Roman"/>
          <w:color w:val="000000" w:themeColor="text1"/>
          <w:sz w:val="16"/>
          <w:szCs w:val="16"/>
        </w:rPr>
        <w:softHyphen/>
        <w:t>сотах 320-350 км/ч, что значительно превы</w:t>
      </w:r>
      <w:r w:rsidRPr="00A259BD">
        <w:rPr>
          <w:rFonts w:ascii="Times New Roman" w:hAnsi="Times New Roman"/>
          <w:color w:val="000000" w:themeColor="text1"/>
          <w:sz w:val="16"/>
          <w:szCs w:val="16"/>
        </w:rPr>
        <w:softHyphen/>
        <w:t>шает прежние французские »жокеи»».</w:t>
      </w:r>
    </w:p>
    <w:p w14:paraId="5761EC0B"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Процитировав уважаемого инженера </w:t>
      </w:r>
      <w:proofErr w:type="spellStart"/>
      <w:r w:rsidRPr="00A259BD">
        <w:rPr>
          <w:rFonts w:ascii="Times New Roman" w:hAnsi="Times New Roman"/>
          <w:color w:val="000000" w:themeColor="text1"/>
          <w:sz w:val="16"/>
          <w:szCs w:val="16"/>
        </w:rPr>
        <w:t>Крейсона</w:t>
      </w:r>
      <w:proofErr w:type="spellEnd"/>
      <w:r w:rsidRPr="00A259BD">
        <w:rPr>
          <w:rFonts w:ascii="Times New Roman" w:hAnsi="Times New Roman"/>
          <w:color w:val="000000" w:themeColor="text1"/>
          <w:sz w:val="16"/>
          <w:szCs w:val="16"/>
        </w:rPr>
        <w:t>, который в начале 1930-х годов являлся начальником 6-й весовой бригады ЦКБ, нельзя отказаться от небольшого до</w:t>
      </w:r>
      <w:r w:rsidRPr="00A259BD">
        <w:rPr>
          <w:rFonts w:ascii="Times New Roman" w:hAnsi="Times New Roman"/>
          <w:color w:val="000000" w:themeColor="text1"/>
          <w:sz w:val="16"/>
          <w:szCs w:val="16"/>
        </w:rPr>
        <w:softHyphen/>
        <w:t>полнения. Судя по всему, в конце 1920-х го</w:t>
      </w:r>
      <w:r w:rsidRPr="00A259BD">
        <w:rPr>
          <w:rFonts w:ascii="Times New Roman" w:hAnsi="Times New Roman"/>
          <w:color w:val="000000" w:themeColor="text1"/>
          <w:sz w:val="16"/>
          <w:szCs w:val="16"/>
        </w:rPr>
        <w:softHyphen/>
        <w:t>дов руководство ВВС Красной Армии осно</w:t>
      </w:r>
      <w:r w:rsidRPr="00A259BD">
        <w:rPr>
          <w:rFonts w:ascii="Times New Roman" w:hAnsi="Times New Roman"/>
          <w:color w:val="000000" w:themeColor="text1"/>
          <w:sz w:val="16"/>
          <w:szCs w:val="16"/>
        </w:rPr>
        <w:softHyphen/>
        <w:t>вательно увлеклось темой облегченных ис</w:t>
      </w:r>
      <w:r w:rsidRPr="00A259BD">
        <w:rPr>
          <w:rFonts w:ascii="Times New Roman" w:hAnsi="Times New Roman"/>
          <w:color w:val="000000" w:themeColor="text1"/>
          <w:sz w:val="16"/>
          <w:szCs w:val="16"/>
        </w:rPr>
        <w:softHyphen/>
        <w:t>требителей-перехватчиков. По крайней ме</w:t>
      </w:r>
      <w:r w:rsidRPr="00A259BD">
        <w:rPr>
          <w:rFonts w:ascii="Times New Roman" w:hAnsi="Times New Roman"/>
          <w:color w:val="000000" w:themeColor="text1"/>
          <w:sz w:val="16"/>
          <w:szCs w:val="16"/>
        </w:rPr>
        <w:softHyphen/>
        <w:t>ре, понятной становится одна из причин не</w:t>
      </w:r>
      <w:r w:rsidRPr="00A259BD">
        <w:rPr>
          <w:rFonts w:ascii="Times New Roman" w:hAnsi="Times New Roman"/>
          <w:color w:val="000000" w:themeColor="text1"/>
          <w:sz w:val="16"/>
          <w:szCs w:val="16"/>
        </w:rPr>
        <w:softHyphen/>
        <w:t xml:space="preserve">довольства </w:t>
      </w:r>
      <w:proofErr w:type="spellStart"/>
      <w:r w:rsidRPr="00A259BD">
        <w:rPr>
          <w:rFonts w:ascii="Times New Roman" w:hAnsi="Times New Roman"/>
          <w:color w:val="000000" w:themeColor="text1"/>
          <w:sz w:val="16"/>
          <w:szCs w:val="16"/>
        </w:rPr>
        <w:t>поликарповским</w:t>
      </w:r>
      <w:proofErr w:type="spellEnd"/>
      <w:r w:rsidRPr="00A259BD">
        <w:rPr>
          <w:rFonts w:ascii="Times New Roman" w:hAnsi="Times New Roman"/>
          <w:color w:val="000000" w:themeColor="text1"/>
          <w:sz w:val="16"/>
          <w:szCs w:val="16"/>
        </w:rPr>
        <w:t xml:space="preserve"> истребителем И-3 - его полетный вес превышал 1860 кг. (12295).</w:t>
      </w:r>
    </w:p>
    <w:p w14:paraId="62A93A09" w14:textId="77777777" w:rsidR="00B3477E" w:rsidRPr="00A259BD" w:rsidRDefault="00B3477E" w:rsidP="009236E3">
      <w:pPr>
        <w:spacing w:after="0" w:line="240" w:lineRule="auto"/>
        <w:jc w:val="both"/>
        <w:rPr>
          <w:rFonts w:ascii="Times New Roman" w:hAnsi="Times New Roman"/>
          <w:color w:val="000000" w:themeColor="text1"/>
          <w:sz w:val="16"/>
          <w:szCs w:val="16"/>
        </w:rPr>
      </w:pPr>
    </w:p>
    <w:p w14:paraId="11245585" w14:textId="77777777" w:rsidR="00F709ED" w:rsidRPr="00A259BD" w:rsidRDefault="00F709ED"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9F19886" w14:textId="77777777" w:rsidR="00F709ED" w:rsidRPr="00A259BD" w:rsidRDefault="00F709E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47511EB"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color w:val="000000" w:themeColor="text1"/>
          <w:sz w:val="16"/>
          <w:szCs w:val="16"/>
        </w:rPr>
        <w:t>15 ноября 1929 года был заключен «Договор о проектировании и постройке опытного самолета типа истребитель под мотор «CURTISS» между объединенным Комитетом общественных организаций ЦАГИ, НТУ ВСНХ и УВВС РККА». Для полного восприятия обстановки того времени, ниже полностью приводится текст договора.</w:t>
      </w:r>
    </w:p>
    <w:p w14:paraId="1A3D118E"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 xml:space="preserve">«Захват Китайской – Восточной </w:t>
      </w:r>
      <w:proofErr w:type="spellStart"/>
      <w:r w:rsidRPr="00A259BD">
        <w:rPr>
          <w:rStyle w:val="af0"/>
          <w:i w:val="0"/>
          <w:color w:val="000000" w:themeColor="text1"/>
          <w:sz w:val="16"/>
          <w:szCs w:val="16"/>
          <w:bdr w:val="none" w:sz="0" w:space="0" w:color="auto" w:frame="1"/>
        </w:rPr>
        <w:t>ж.д</w:t>
      </w:r>
      <w:proofErr w:type="spellEnd"/>
      <w:r w:rsidRPr="00A259BD">
        <w:rPr>
          <w:rStyle w:val="af0"/>
          <w:i w:val="0"/>
          <w:color w:val="000000" w:themeColor="text1"/>
          <w:sz w:val="16"/>
          <w:szCs w:val="16"/>
          <w:bdr w:val="none" w:sz="0" w:space="0" w:color="auto" w:frame="1"/>
        </w:rPr>
        <w:t>. и белобандитские налеты создали военную угрозу на восточной границе Союза. Уже гибнут отдельные бойцы, жертвуя своей жизнью для охраны границ Союза и обеспечения мирной созидательной работы внутри.</w:t>
      </w:r>
    </w:p>
    <w:p w14:paraId="33D73C5E"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В такой момент, когда необходимо принять все меры к укреплению обороноспособности и усилению боевой мощи Союза, рабочие, сотрудники и инженерно-технический коллектив ЦАГИ решили в общественном порядке спроектировать и построить новый тип военного самолета, полагая, что выполнением именно этой работы они наиболее целесообразно выполнят свой долг перед Союзом.</w:t>
      </w:r>
    </w:p>
    <w:p w14:paraId="6333BC6F"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В постройку этого самолета каждый член рабочего коллектива ЦАГИ внесет свой трудовой пай, причем выпуск этой машины явится превышением плана опытно-строительных работ ЦАГИ на текущий год.</w:t>
      </w:r>
    </w:p>
    <w:p w14:paraId="52D0E9CE"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 xml:space="preserve">В исполнение этого решения, мы нижеподписавшиеся, Управление Военно-Воздушных Сил, именуемое в дальнейшем УВВС в лице начальника Военно-Воздушных Сил БАРАНОВА Петра Ионовича с одной стороны и рабочие, служащие и инженерно-технический состав Центрального – Аэро – Гидродинамического Института, именуемого в дальнейшем «Коллектив» в лице своего объединенного Комитета в составе: Петренко С. В., Туполева А. Н., Озерова Г. А., </w:t>
      </w:r>
      <w:proofErr w:type="spellStart"/>
      <w:r w:rsidRPr="00A259BD">
        <w:rPr>
          <w:rStyle w:val="af0"/>
          <w:i w:val="0"/>
          <w:color w:val="000000" w:themeColor="text1"/>
          <w:sz w:val="16"/>
          <w:szCs w:val="16"/>
          <w:bdr w:val="none" w:sz="0" w:space="0" w:color="auto" w:frame="1"/>
        </w:rPr>
        <w:t>Погосского</w:t>
      </w:r>
      <w:proofErr w:type="spellEnd"/>
      <w:r w:rsidRPr="00A259BD">
        <w:rPr>
          <w:rStyle w:val="af0"/>
          <w:i w:val="0"/>
          <w:color w:val="000000" w:themeColor="text1"/>
          <w:sz w:val="16"/>
          <w:szCs w:val="16"/>
          <w:bdr w:val="none" w:sz="0" w:space="0" w:color="auto" w:frame="1"/>
        </w:rPr>
        <w:t xml:space="preserve"> И. И., Стечкина Б. С., </w:t>
      </w:r>
      <w:proofErr w:type="spellStart"/>
      <w:r w:rsidRPr="00A259BD">
        <w:rPr>
          <w:rStyle w:val="af0"/>
          <w:i w:val="0"/>
          <w:color w:val="000000" w:themeColor="text1"/>
          <w:sz w:val="16"/>
          <w:szCs w:val="16"/>
          <w:bdr w:val="none" w:sz="0" w:space="0" w:color="auto" w:frame="1"/>
        </w:rPr>
        <w:t>Мусиньянца</w:t>
      </w:r>
      <w:proofErr w:type="spellEnd"/>
      <w:r w:rsidRPr="00A259BD">
        <w:rPr>
          <w:rStyle w:val="af0"/>
          <w:i w:val="0"/>
          <w:color w:val="000000" w:themeColor="text1"/>
          <w:sz w:val="16"/>
          <w:szCs w:val="16"/>
          <w:bdr w:val="none" w:sz="0" w:space="0" w:color="auto" w:frame="1"/>
        </w:rPr>
        <w:t xml:space="preserve"> Г. Н., Сухого П. О., Чернышева В. Н., </w:t>
      </w:r>
      <w:proofErr w:type="spellStart"/>
      <w:r w:rsidRPr="00A259BD">
        <w:rPr>
          <w:rStyle w:val="af0"/>
          <w:i w:val="0"/>
          <w:color w:val="000000" w:themeColor="text1"/>
          <w:sz w:val="16"/>
          <w:szCs w:val="16"/>
          <w:bdr w:val="none" w:sz="0" w:space="0" w:color="auto" w:frame="1"/>
        </w:rPr>
        <w:t>Изаксона</w:t>
      </w:r>
      <w:proofErr w:type="spellEnd"/>
      <w:r w:rsidRPr="00A259BD">
        <w:rPr>
          <w:rStyle w:val="af0"/>
          <w:i w:val="0"/>
          <w:color w:val="000000" w:themeColor="text1"/>
          <w:sz w:val="16"/>
          <w:szCs w:val="16"/>
          <w:bdr w:val="none" w:sz="0" w:space="0" w:color="auto" w:frame="1"/>
        </w:rPr>
        <w:t xml:space="preserve"> А. М., Родионова М. Н., </w:t>
      </w:r>
      <w:proofErr w:type="spellStart"/>
      <w:r w:rsidRPr="00A259BD">
        <w:rPr>
          <w:rStyle w:val="af0"/>
          <w:i w:val="0"/>
          <w:color w:val="000000" w:themeColor="text1"/>
          <w:sz w:val="16"/>
          <w:szCs w:val="16"/>
          <w:bdr w:val="none" w:sz="0" w:space="0" w:color="auto" w:frame="1"/>
        </w:rPr>
        <w:t>Савышева</w:t>
      </w:r>
      <w:proofErr w:type="spellEnd"/>
      <w:r w:rsidRPr="00A259BD">
        <w:rPr>
          <w:rStyle w:val="af0"/>
          <w:i w:val="0"/>
          <w:color w:val="000000" w:themeColor="text1"/>
          <w:sz w:val="16"/>
          <w:szCs w:val="16"/>
          <w:bdr w:val="none" w:sz="0" w:space="0" w:color="auto" w:frame="1"/>
        </w:rPr>
        <w:t xml:space="preserve"> С. И., Аронова С. М. и Конкина и трех лиц по уполномочию общего собрания Коллектива с другой стороны заключили между собой договор в следующем:</w:t>
      </w:r>
    </w:p>
    <w:p w14:paraId="33A66ADD"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1. Коллектив принимает на себя обязательство всем составом рабочих и сотрудников ЦАГИ, добровольно во внеурочное время спроектировать и построить по собственным чертежам и расчетам, опытный военный самолет типа «Истребитель» под мотор «</w:t>
      </w:r>
      <w:proofErr w:type="spellStart"/>
      <w:r w:rsidRPr="00A259BD">
        <w:rPr>
          <w:rStyle w:val="af0"/>
          <w:i w:val="0"/>
          <w:color w:val="000000" w:themeColor="text1"/>
          <w:sz w:val="16"/>
          <w:szCs w:val="16"/>
          <w:bdr w:val="none" w:sz="0" w:space="0" w:color="auto" w:frame="1"/>
        </w:rPr>
        <w:t>Curtiss</w:t>
      </w:r>
      <w:proofErr w:type="spellEnd"/>
      <w:r w:rsidRPr="00A259BD">
        <w:rPr>
          <w:rStyle w:val="af0"/>
          <w:i w:val="0"/>
          <w:color w:val="000000" w:themeColor="text1"/>
          <w:sz w:val="16"/>
          <w:szCs w:val="16"/>
          <w:bdr w:val="none" w:sz="0" w:space="0" w:color="auto" w:frame="1"/>
        </w:rPr>
        <w:t xml:space="preserve"> </w:t>
      </w:r>
      <w:proofErr w:type="spellStart"/>
      <w:r w:rsidRPr="00A259BD">
        <w:rPr>
          <w:rStyle w:val="af0"/>
          <w:i w:val="0"/>
          <w:color w:val="000000" w:themeColor="text1"/>
          <w:sz w:val="16"/>
          <w:szCs w:val="16"/>
          <w:bdr w:val="none" w:sz="0" w:space="0" w:color="auto" w:frame="1"/>
        </w:rPr>
        <w:t>Concueror</w:t>
      </w:r>
      <w:proofErr w:type="spellEnd"/>
      <w:r w:rsidRPr="00A259BD">
        <w:rPr>
          <w:rStyle w:val="af0"/>
          <w:i w:val="0"/>
          <w:color w:val="000000" w:themeColor="text1"/>
          <w:sz w:val="16"/>
          <w:szCs w:val="16"/>
          <w:bdr w:val="none" w:sz="0" w:space="0" w:color="auto" w:frame="1"/>
        </w:rPr>
        <w:t>» и передать его бесплатно УВВС.</w:t>
      </w:r>
    </w:p>
    <w:p w14:paraId="125E70C3"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lastRenderedPageBreak/>
        <w:t>2. Коллектив обязуется спроектировать и построить данный самолет по техническим условиям, утвержденным УВВС в течение 10-ти месяцев (десяти) со дня подписания настоящего договора.</w:t>
      </w:r>
    </w:p>
    <w:p w14:paraId="4C189F76"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3. По окончании постройки самолета Коллектив обязуется представить УВВС письменный отчет о постройке самолета, его техническое описание и комплект конструктивных чертежей, по которым был изготовлен самолет.</w:t>
      </w:r>
    </w:p>
    <w:p w14:paraId="67AA5BAA"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Примечание: В обязанности Коллектива не входит переработка конструктивных чертежей для производства серии.</w:t>
      </w:r>
    </w:p>
    <w:p w14:paraId="0D8B74E2"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4. Со своей стороны УВВС для постановки на указанный в п.1 самолет представляет Коллективу бесплатно:</w:t>
      </w:r>
    </w:p>
    <w:p w14:paraId="3A0FB9B3"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а. Два мотора «</w:t>
      </w:r>
      <w:proofErr w:type="spellStart"/>
      <w:r w:rsidRPr="00A259BD">
        <w:rPr>
          <w:rStyle w:val="af0"/>
          <w:i w:val="0"/>
          <w:color w:val="000000" w:themeColor="text1"/>
          <w:sz w:val="16"/>
          <w:szCs w:val="16"/>
          <w:bdr w:val="none" w:sz="0" w:space="0" w:color="auto" w:frame="1"/>
        </w:rPr>
        <w:t>Curtiss</w:t>
      </w:r>
      <w:proofErr w:type="spellEnd"/>
      <w:r w:rsidRPr="00A259BD">
        <w:rPr>
          <w:rStyle w:val="af0"/>
          <w:i w:val="0"/>
          <w:color w:val="000000" w:themeColor="text1"/>
          <w:sz w:val="16"/>
          <w:szCs w:val="16"/>
          <w:bdr w:val="none" w:sz="0" w:space="0" w:color="auto" w:frame="1"/>
        </w:rPr>
        <w:t xml:space="preserve"> </w:t>
      </w:r>
      <w:proofErr w:type="spellStart"/>
      <w:r w:rsidRPr="00A259BD">
        <w:rPr>
          <w:rStyle w:val="af0"/>
          <w:i w:val="0"/>
          <w:color w:val="000000" w:themeColor="text1"/>
          <w:sz w:val="16"/>
          <w:szCs w:val="16"/>
          <w:bdr w:val="none" w:sz="0" w:space="0" w:color="auto" w:frame="1"/>
        </w:rPr>
        <w:t>Concueror</w:t>
      </w:r>
      <w:proofErr w:type="spellEnd"/>
      <w:r w:rsidRPr="00A259BD">
        <w:rPr>
          <w:rStyle w:val="af0"/>
          <w:i w:val="0"/>
          <w:color w:val="000000" w:themeColor="text1"/>
          <w:sz w:val="16"/>
          <w:szCs w:val="16"/>
          <w:bdr w:val="none" w:sz="0" w:space="0" w:color="auto" w:frame="1"/>
        </w:rPr>
        <w:t>» с запасными частями.</w:t>
      </w:r>
    </w:p>
    <w:p w14:paraId="0853D954"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б. Полный Комплект необходимых для установки на самолет приборов.</w:t>
      </w:r>
    </w:p>
    <w:p w14:paraId="13C52211"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в. Две пары колес.</w:t>
      </w:r>
    </w:p>
    <w:p w14:paraId="0CB8A2A5"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г. Специальные материалы по спецификации, прилагаемой к настоящему договору.</w:t>
      </w:r>
    </w:p>
    <w:p w14:paraId="22445DD3"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д. Соответствующее оборудование и вооружение, необходимое на данный самолет.</w:t>
      </w:r>
    </w:p>
    <w:p w14:paraId="33D01EE0"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5. По окончании постройки самолета Коллективу предоставляется право провести всесторонние испытания его, на все время которых УВВС представляет Коллективу помещения в ангарах, горючие и смазочные материалы.</w:t>
      </w:r>
    </w:p>
    <w:p w14:paraId="523D4C31"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6. По окончании испытаний самолет поступает бесплатно в полную собственность УВВС, причем авторское право на самолет остается за его строителями.</w:t>
      </w:r>
    </w:p>
    <w:p w14:paraId="14A0E552"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7. Коллектив обязуется периодически информировать УВВС и советскую общественность о ходе работ по выполнению настоящего договора.</w:t>
      </w:r>
    </w:p>
    <w:p w14:paraId="7B8A3561"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8. В случае невыполнения принятых на себя обязательств по вине коллектива, последний предстает перед судом советской общественности как дезертир трудового фронта по обороне границ Советского Союза.</w:t>
      </w:r>
    </w:p>
    <w:p w14:paraId="002ECC18"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9. В случае нарушения договора по вине УВВС, последний обязуется перед лицом советской общественности публично снять с Коллектива принятые в настоящем договоре обязательства.</w:t>
      </w:r>
    </w:p>
    <w:p w14:paraId="1E585FF4"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10. Настоящий договор заключен в 2-х экз., один из них хранится в делах Коллектива, а другой в УВВС.</w:t>
      </w:r>
    </w:p>
    <w:p w14:paraId="3F65E610"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Признавая огромную важность, принятых на себя обязательств, мы даем революционное обещание выполнить целиком настоящий договор, способствующий поднятию боевой мощи Советского Союза.</w:t>
      </w:r>
    </w:p>
    <w:p w14:paraId="4337D48C" w14:textId="77777777" w:rsidR="00F709ED" w:rsidRPr="00A259BD" w:rsidRDefault="00F709ED"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Подписи» (19171).</w:t>
      </w:r>
    </w:p>
    <w:p w14:paraId="4FE1C571" w14:textId="77777777" w:rsidR="00F709ED" w:rsidRPr="00A259BD" w:rsidRDefault="00F709ED" w:rsidP="009236E3">
      <w:pPr>
        <w:pStyle w:val="rtejustify"/>
        <w:shd w:val="clear" w:color="auto" w:fill="FFFFFF"/>
        <w:spacing w:before="0" w:after="0"/>
        <w:rPr>
          <w:color w:val="000000" w:themeColor="text1"/>
          <w:sz w:val="16"/>
          <w:szCs w:val="16"/>
        </w:rPr>
      </w:pPr>
    </w:p>
    <w:p w14:paraId="23605DF0" w14:textId="77777777" w:rsidR="00B3477E"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3008A84" w14:textId="77777777" w:rsidR="00B3477E" w:rsidRPr="00A259BD" w:rsidRDefault="00B3477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6CECAFD"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15 ноября по 18-е ноября 1929 г. в ходе поездки </w:t>
      </w:r>
      <w:proofErr w:type="spellStart"/>
      <w:r w:rsidRPr="00A259BD">
        <w:rPr>
          <w:rFonts w:ascii="Times New Roman" w:hAnsi="Times New Roman"/>
          <w:color w:val="000000" w:themeColor="text1"/>
          <w:sz w:val="16"/>
          <w:szCs w:val="16"/>
        </w:rPr>
        <w:t>врид</w:t>
      </w:r>
      <w:proofErr w:type="spellEnd"/>
      <w:r w:rsidRPr="00A259BD">
        <w:rPr>
          <w:rFonts w:ascii="Times New Roman" w:hAnsi="Times New Roman"/>
          <w:color w:val="000000" w:themeColor="text1"/>
          <w:sz w:val="16"/>
          <w:szCs w:val="16"/>
        </w:rPr>
        <w:t>. председателя 1У-й секции НТК УММ т. Павловского на «</w:t>
      </w:r>
      <w:proofErr w:type="spellStart"/>
      <w:r w:rsidRPr="00A259BD">
        <w:rPr>
          <w:rFonts w:ascii="Times New Roman" w:hAnsi="Times New Roman"/>
          <w:color w:val="000000" w:themeColor="text1"/>
          <w:sz w:val="16"/>
          <w:szCs w:val="16"/>
        </w:rPr>
        <w:t>Челябтракторстрой</w:t>
      </w:r>
      <w:proofErr w:type="spellEnd"/>
      <w:r w:rsidRPr="00A259BD">
        <w:rPr>
          <w:rFonts w:ascii="Times New Roman" w:hAnsi="Times New Roman"/>
          <w:color w:val="000000" w:themeColor="text1"/>
          <w:sz w:val="16"/>
          <w:szCs w:val="16"/>
        </w:rPr>
        <w:t>» были выяснены следующие данные о строительстве завода.</w:t>
      </w:r>
    </w:p>
    <w:p w14:paraId="464E0801"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Окончание строительства основного завода с производительностью 40.000 тракторов КАТЕРПИЛЛЯР 60 в год и пуск завода намечаются на 1-е ноября 1932 г.</w:t>
      </w:r>
    </w:p>
    <w:p w14:paraId="3A95DBC4"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Дабы избежать ошибок Сталинградского Тракторного завода и наладить планомерную подготовку кадров, строительством ЧТС в первую очередь построен Опытный завод с производительностью 120 тракторов в год при работе в 1 смену и до 200 тракторов при 2-х сменной работе.</w:t>
      </w:r>
    </w:p>
    <w:p w14:paraId="221CBA08"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настоящее время закончены модельная и литейная мастерские и заканчиваются оборудованием кузнечная, механическо-сборочная и термическая.</w:t>
      </w:r>
    </w:p>
    <w:p w14:paraId="431997DA"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посещении мной ответственных работников завода и строительства, мне удалось договориться о постройке 2-х тракторов КАТЕРПИЛЛЯР 60 в духе требований УММ по проектам, выполненным НАМИ и утвержденным НТК УММ 16 октября с. г.</w:t>
      </w:r>
    </w:p>
    <w:p w14:paraId="47E362F5"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Данные 2 проекта (9 км и 12 км в час для третьей скорости) будут выполнены на одном из первых 2-х тракторов, выпускаемых заводом по плану 15 февраля 31 г., </w:t>
      </w:r>
      <w:proofErr w:type="spellStart"/>
      <w:r w:rsidRPr="00A259BD">
        <w:rPr>
          <w:rFonts w:ascii="Times New Roman" w:hAnsi="Times New Roman"/>
          <w:color w:val="000000" w:themeColor="text1"/>
          <w:sz w:val="16"/>
          <w:szCs w:val="16"/>
        </w:rPr>
        <w:t>т.о</w:t>
      </w:r>
      <w:proofErr w:type="spellEnd"/>
      <w:r w:rsidRPr="00A259BD">
        <w:rPr>
          <w:rFonts w:ascii="Times New Roman" w:hAnsi="Times New Roman"/>
          <w:color w:val="000000" w:themeColor="text1"/>
          <w:sz w:val="16"/>
          <w:szCs w:val="16"/>
        </w:rPr>
        <w:t xml:space="preserve">. трактор делается с коробкой скоростей, имеющей 3-ю скорость в 12 км, к </w:t>
      </w:r>
      <w:proofErr w:type="spellStart"/>
      <w:r w:rsidRPr="00A259BD">
        <w:rPr>
          <w:rFonts w:ascii="Times New Roman" w:hAnsi="Times New Roman"/>
          <w:color w:val="000000" w:themeColor="text1"/>
          <w:sz w:val="16"/>
          <w:szCs w:val="16"/>
        </w:rPr>
        <w:t>немуже</w:t>
      </w:r>
      <w:proofErr w:type="spellEnd"/>
      <w:r w:rsidRPr="00A259BD">
        <w:rPr>
          <w:rFonts w:ascii="Times New Roman" w:hAnsi="Times New Roman"/>
          <w:color w:val="000000" w:themeColor="text1"/>
          <w:sz w:val="16"/>
          <w:szCs w:val="16"/>
        </w:rPr>
        <w:t xml:space="preserve"> делается набор шестерен для получения 3-й скорости в 9 км. Эти 2 варианта, выполненные для одного трактора, носят название: «Быстроходная коробка скоростей» и «Тихоходная коробка скоростей». Готовность 15 марта 1931 г.</w:t>
      </w:r>
    </w:p>
    <w:p w14:paraId="795825E5"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Одновременно мне удалось доказать работникам опытного завода и заинтересовать их в преимуществе 4-х скоростной коробки перед 3-х скоростной. В результате наших собеседований завод согласился выполнить проект 4-х скоростной коробки скоростей с высшей скоростью в 12 км и изготовить трактор КАТЕРПИЛЛЯР 60 с указанной коробкой к 15 мая 1931 г.</w:t>
      </w:r>
    </w:p>
    <w:p w14:paraId="45B2BAAD"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Мнение иностранных специалистов о больших скоростях (9-12 км) для трактора КАТЕР-ПИЛЛЯР 60 сводится к тому, что такие скорости допустимы для конструкции трактора, но велики для подвижного состава в массе своей неподрессоренного, который применяется </w:t>
      </w:r>
      <w:proofErr w:type="spellStart"/>
      <w:r w:rsidRPr="00A259BD">
        <w:rPr>
          <w:rFonts w:ascii="Times New Roman" w:hAnsi="Times New Roman"/>
          <w:color w:val="000000" w:themeColor="text1"/>
          <w:sz w:val="16"/>
          <w:szCs w:val="16"/>
        </w:rPr>
        <w:t>Зер</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нотрестом</w:t>
      </w:r>
      <w:proofErr w:type="spellEnd"/>
      <w:r w:rsidRPr="00A259BD">
        <w:rPr>
          <w:rFonts w:ascii="Times New Roman" w:hAnsi="Times New Roman"/>
          <w:color w:val="000000" w:themeColor="text1"/>
          <w:sz w:val="16"/>
          <w:szCs w:val="16"/>
        </w:rPr>
        <w:t xml:space="preserve">. Это мнение высказал американец м-р ТОМ, инженер фирмы КАТЕРПИЛЛЯР, до сего времени работавший в </w:t>
      </w:r>
      <w:proofErr w:type="spellStart"/>
      <w:r w:rsidRPr="00A259BD">
        <w:rPr>
          <w:rFonts w:ascii="Times New Roman" w:hAnsi="Times New Roman"/>
          <w:color w:val="000000" w:themeColor="text1"/>
          <w:sz w:val="16"/>
          <w:szCs w:val="16"/>
        </w:rPr>
        <w:t>Зернотресте</w:t>
      </w:r>
      <w:proofErr w:type="spellEnd"/>
      <w:r w:rsidRPr="00A259BD">
        <w:rPr>
          <w:rFonts w:ascii="Times New Roman" w:hAnsi="Times New Roman"/>
          <w:color w:val="000000" w:themeColor="text1"/>
          <w:sz w:val="16"/>
          <w:szCs w:val="16"/>
        </w:rPr>
        <w:t>.</w:t>
      </w:r>
    </w:p>
    <w:p w14:paraId="74B05BAE"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Подобное заявление иностранного специалиста подтверждает наши расчеты об увеличении скорости трактора КАТЕРПИЛЛЯР 60 и наши неоднократные заявления о необходимости </w:t>
      </w:r>
      <w:proofErr w:type="spellStart"/>
      <w:r w:rsidRPr="00A259BD">
        <w:rPr>
          <w:rFonts w:ascii="Times New Roman" w:hAnsi="Times New Roman"/>
          <w:color w:val="000000" w:themeColor="text1"/>
          <w:sz w:val="16"/>
          <w:szCs w:val="16"/>
        </w:rPr>
        <w:t>подрессоривания</w:t>
      </w:r>
      <w:proofErr w:type="spellEnd"/>
      <w:r w:rsidRPr="00A259BD">
        <w:rPr>
          <w:rFonts w:ascii="Times New Roman" w:hAnsi="Times New Roman"/>
          <w:color w:val="000000" w:themeColor="text1"/>
          <w:sz w:val="16"/>
          <w:szCs w:val="16"/>
        </w:rPr>
        <w:t xml:space="preserve"> прицепок для тракторов.</w:t>
      </w:r>
    </w:p>
    <w:p w14:paraId="2CBA2470"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настоящее время, когда вопрос о кадрах стоит чрезвычайно остро, в наши районные строительства тракторных гигантов могут попадать лица, враждебные нам по духу, которые своим участием будут приносить только вред, как прямой, так и косвенный, всей стройке.</w:t>
      </w:r>
    </w:p>
    <w:p w14:paraId="7C14AAD6"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Такой завод, как Челябинский, производящий мощные трактора, по моему мнению, еще в периоде строительства должен быть взят под опеку РККА в лице </w:t>
      </w:r>
      <w:proofErr w:type="spellStart"/>
      <w:r w:rsidRPr="00A259BD">
        <w:rPr>
          <w:rFonts w:ascii="Times New Roman" w:hAnsi="Times New Roman"/>
          <w:color w:val="000000" w:themeColor="text1"/>
          <w:sz w:val="16"/>
          <w:szCs w:val="16"/>
        </w:rPr>
        <w:t>УММдля</w:t>
      </w:r>
      <w:proofErr w:type="spellEnd"/>
      <w:r w:rsidRPr="00A259BD">
        <w:rPr>
          <w:rFonts w:ascii="Times New Roman" w:hAnsi="Times New Roman"/>
          <w:color w:val="000000" w:themeColor="text1"/>
          <w:sz w:val="16"/>
          <w:szCs w:val="16"/>
        </w:rPr>
        <w:t xml:space="preserve"> обеспечения планомерного строительства, предупреждения актов вредительства и внедрения требований В. В. в строительство и будущую продукцию завода.</w:t>
      </w:r>
    </w:p>
    <w:p w14:paraId="3FEABEE4"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обеспечения этого необходимо назначение на </w:t>
      </w:r>
      <w:proofErr w:type="spellStart"/>
      <w:r w:rsidRPr="00A259BD">
        <w:rPr>
          <w:rFonts w:ascii="Times New Roman" w:hAnsi="Times New Roman"/>
          <w:color w:val="000000" w:themeColor="text1"/>
          <w:sz w:val="16"/>
          <w:szCs w:val="16"/>
        </w:rPr>
        <w:t>Челябтракторстрой</w:t>
      </w:r>
      <w:proofErr w:type="spellEnd"/>
      <w:r w:rsidRPr="00A259BD">
        <w:rPr>
          <w:rFonts w:ascii="Times New Roman" w:hAnsi="Times New Roman"/>
          <w:color w:val="000000" w:themeColor="text1"/>
          <w:sz w:val="16"/>
          <w:szCs w:val="16"/>
        </w:rPr>
        <w:t xml:space="preserve"> (ЧТС) нашего ответственного военного представителя в кратчайший срок.</w:t>
      </w:r>
    </w:p>
    <w:p w14:paraId="2BAA0114"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Наличие опытного завода уже сейчас позволяет провести некоторые работы (пока завод не закончен) по подготовке танкового (Т-24) строительства на ЧТС и в смысле наших пожеланий к оборудованию цехов опытного завода.</w:t>
      </w:r>
    </w:p>
    <w:p w14:paraId="33F82459" w14:textId="77777777" w:rsidR="00B3477E" w:rsidRPr="00A259BD" w:rsidRDefault="00B3477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обеспечения бесперебойного выполнения наших (УММ) заказов необходимо теперь же оказать некоторую помощь заводу в получении с Пермского и Ижевского завода легированных сталей и некоторого инструмента» (12258).</w:t>
      </w:r>
    </w:p>
    <w:p w14:paraId="51973A21" w14:textId="77777777" w:rsidR="00B3477E" w:rsidRPr="00A259BD" w:rsidRDefault="00B3477E" w:rsidP="009236E3">
      <w:pPr>
        <w:spacing w:after="0" w:line="240" w:lineRule="auto"/>
        <w:jc w:val="both"/>
        <w:rPr>
          <w:rFonts w:ascii="Times New Roman" w:hAnsi="Times New Roman"/>
          <w:color w:val="000000" w:themeColor="text1"/>
          <w:sz w:val="16"/>
          <w:szCs w:val="16"/>
        </w:rPr>
      </w:pPr>
    </w:p>
    <w:p w14:paraId="3EF7A7F1" w14:textId="77777777" w:rsidR="00147C6E" w:rsidRPr="00A259BD" w:rsidRDefault="00147C6E"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DF29B92" w14:textId="77777777" w:rsidR="00147C6E" w:rsidRPr="00A259BD" w:rsidRDefault="00147C6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4FE60DF" w14:textId="77777777" w:rsidR="00147C6E" w:rsidRPr="00A259BD" w:rsidRDefault="00147C6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ноября 1929 года — первый полёт пассажирского самолёта </w:t>
      </w:r>
      <w:proofErr w:type="spellStart"/>
      <w:r w:rsidRPr="00A259BD">
        <w:rPr>
          <w:rFonts w:ascii="Times New Roman" w:hAnsi="Times New Roman"/>
          <w:color w:val="000000" w:themeColor="text1"/>
          <w:sz w:val="16"/>
          <w:szCs w:val="16"/>
        </w:rPr>
        <w:t>Dyle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et</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Bacalan</w:t>
      </w:r>
      <w:proofErr w:type="spellEnd"/>
      <w:r w:rsidRPr="00A259BD">
        <w:rPr>
          <w:rFonts w:ascii="Times New Roman" w:hAnsi="Times New Roman"/>
          <w:color w:val="000000" w:themeColor="text1"/>
          <w:sz w:val="16"/>
          <w:szCs w:val="16"/>
        </w:rPr>
        <w:t xml:space="preserve"> DB-70 (иногда встречается название SAB DB-70). /Франция/</w:t>
      </w:r>
    </w:p>
    <w:p w14:paraId="7DD70D18" w14:textId="77777777" w:rsidR="00147C6E" w:rsidRPr="00A259BD" w:rsidRDefault="00147C6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концу 1920-х годов авиакомпании стали нуждаться в авиалайнерах на 30-50 человек. В Германии, например, так появился </w:t>
      </w:r>
      <w:proofErr w:type="spellStart"/>
      <w:r w:rsidRPr="00A259BD">
        <w:rPr>
          <w:rFonts w:ascii="Times New Roman" w:hAnsi="Times New Roman"/>
          <w:color w:val="000000" w:themeColor="text1"/>
          <w:sz w:val="16"/>
          <w:szCs w:val="16"/>
        </w:rPr>
        <w:t>Junkers</w:t>
      </w:r>
      <w:proofErr w:type="spellEnd"/>
      <w:r w:rsidRPr="00A259BD">
        <w:rPr>
          <w:rFonts w:ascii="Times New Roman" w:hAnsi="Times New Roman"/>
          <w:color w:val="000000" w:themeColor="text1"/>
          <w:sz w:val="16"/>
          <w:szCs w:val="16"/>
        </w:rPr>
        <w:t xml:space="preserve"> G.38. А одним из французских самолётов, подходивших под эти требования, стал проект DB-70 от компании </w:t>
      </w:r>
      <w:proofErr w:type="spellStart"/>
      <w:r w:rsidRPr="00A259BD">
        <w:rPr>
          <w:rFonts w:ascii="Times New Roman" w:hAnsi="Times New Roman"/>
          <w:color w:val="000000" w:themeColor="text1"/>
          <w:sz w:val="16"/>
          <w:szCs w:val="16"/>
        </w:rPr>
        <w:t>Dyle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et</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Bacalan</w:t>
      </w:r>
      <w:proofErr w:type="spellEnd"/>
      <w:r w:rsidRPr="00A259BD">
        <w:rPr>
          <w:rFonts w:ascii="Times New Roman" w:hAnsi="Times New Roman"/>
          <w:color w:val="000000" w:themeColor="text1"/>
          <w:sz w:val="16"/>
          <w:szCs w:val="16"/>
        </w:rPr>
        <w:t xml:space="preserve">. Руководили проектом инженер Густав </w:t>
      </w:r>
      <w:proofErr w:type="spellStart"/>
      <w:r w:rsidRPr="00A259BD">
        <w:rPr>
          <w:rFonts w:ascii="Times New Roman" w:hAnsi="Times New Roman"/>
          <w:color w:val="000000" w:themeColor="text1"/>
          <w:sz w:val="16"/>
          <w:szCs w:val="16"/>
        </w:rPr>
        <w:t>Летанг</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Gustave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Létang</w:t>
      </w:r>
      <w:proofErr w:type="spellEnd"/>
      <w:r w:rsidRPr="00A259BD">
        <w:rPr>
          <w:rFonts w:ascii="Times New Roman" w:hAnsi="Times New Roman"/>
          <w:color w:val="000000" w:themeColor="text1"/>
          <w:sz w:val="16"/>
          <w:szCs w:val="16"/>
        </w:rPr>
        <w:t xml:space="preserve">) и конструктор Луи де Монж (Louis </w:t>
      </w:r>
      <w:proofErr w:type="spellStart"/>
      <w:r w:rsidRPr="00A259BD">
        <w:rPr>
          <w:rFonts w:ascii="Times New Roman" w:hAnsi="Times New Roman"/>
          <w:color w:val="000000" w:themeColor="text1"/>
          <w:sz w:val="16"/>
          <w:szCs w:val="16"/>
        </w:rPr>
        <w:t>de</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Monge</w:t>
      </w:r>
      <w:proofErr w:type="spellEnd"/>
      <w:r w:rsidRPr="00A259BD">
        <w:rPr>
          <w:rFonts w:ascii="Times New Roman" w:hAnsi="Times New Roman"/>
          <w:color w:val="000000" w:themeColor="text1"/>
          <w:sz w:val="16"/>
          <w:szCs w:val="16"/>
        </w:rPr>
        <w:t>).</w:t>
      </w:r>
    </w:p>
    <w:p w14:paraId="3E1E59DD" w14:textId="77777777" w:rsidR="00147C6E" w:rsidRPr="00A259BD" w:rsidRDefault="00147C6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DB-70 был цельнометаллическим высокопланом с подкосным крылом и двухбалочным хвостовым оперением. Установлены 3 × двигателя </w:t>
      </w:r>
      <w:proofErr w:type="spellStart"/>
      <w:r w:rsidRPr="00A259BD">
        <w:rPr>
          <w:rFonts w:ascii="Times New Roman" w:hAnsi="Times New Roman"/>
          <w:color w:val="000000" w:themeColor="text1"/>
          <w:sz w:val="16"/>
          <w:szCs w:val="16"/>
        </w:rPr>
        <w:t>Hispano-Suiza</w:t>
      </w:r>
      <w:proofErr w:type="spellEnd"/>
      <w:r w:rsidRPr="00A259BD">
        <w:rPr>
          <w:rFonts w:ascii="Times New Roman" w:hAnsi="Times New Roman"/>
          <w:color w:val="000000" w:themeColor="text1"/>
          <w:sz w:val="16"/>
          <w:szCs w:val="16"/>
        </w:rPr>
        <w:t xml:space="preserve"> 12Lbr мощностью 600 л.с. каждый. В толстом фюзеляже размещалось до 28 пассажиров в двух салонах. Круизная скорость — 180 км/ч, дальность полёта — 1000 км.</w:t>
      </w:r>
    </w:p>
    <w:p w14:paraId="2D6A4EC6" w14:textId="77777777" w:rsidR="00147C6E" w:rsidRPr="00A259BD" w:rsidRDefault="00147C6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Самолёт выполнял демонстрационные полёты, участвовал в выставках и в военных учениях. Но ни авиакомпании, ни военные не заинтересовались покупкой DB-70. В 1933 году единственный построенный DB-70 передали в школу подготовки пилотов, а спустя какое-то время и вовсе списали (22300).</w:t>
      </w:r>
    </w:p>
    <w:p w14:paraId="625CD373" w14:textId="77777777" w:rsidR="00147C6E" w:rsidRPr="00A259BD" w:rsidRDefault="00147C6E" w:rsidP="009236E3">
      <w:pPr>
        <w:spacing w:after="0" w:line="240" w:lineRule="auto"/>
        <w:jc w:val="both"/>
        <w:rPr>
          <w:rFonts w:ascii="Times New Roman" w:hAnsi="Times New Roman"/>
          <w:color w:val="000000" w:themeColor="text1"/>
          <w:sz w:val="16"/>
          <w:szCs w:val="16"/>
        </w:rPr>
      </w:pPr>
    </w:p>
    <w:p w14:paraId="319DEEFD" w14:textId="77777777" w:rsidR="00F709ED" w:rsidRPr="00A259BD" w:rsidRDefault="00F709ED"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2E62213" w14:textId="77777777" w:rsidR="00F709ED" w:rsidRPr="00A259BD" w:rsidRDefault="00F709E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B5F54A" w14:textId="77777777" w:rsidR="00F709ED" w:rsidRPr="00A259BD" w:rsidRDefault="00F709ED"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середине ноября 1929 построили ма</w:t>
      </w:r>
      <w:r w:rsidRPr="00A259BD">
        <w:rPr>
          <w:rFonts w:ascii="Times New Roman" w:hAnsi="Times New Roman"/>
          <w:color w:val="000000" w:themeColor="text1"/>
          <w:sz w:val="16"/>
          <w:szCs w:val="16"/>
        </w:rPr>
        <w:softHyphen/>
        <w:t>кеты И-7 с деревянным и металлическим фюзеляжами. В период с 16 ноября по 13 декабря 1929 г. состоялись не</w:t>
      </w:r>
      <w:r w:rsidRPr="00A259BD">
        <w:rPr>
          <w:rFonts w:ascii="Times New Roman" w:hAnsi="Times New Roman"/>
          <w:color w:val="000000" w:themeColor="text1"/>
          <w:sz w:val="16"/>
          <w:szCs w:val="16"/>
        </w:rPr>
        <w:softHyphen/>
        <w:t>сколько заседаний макетных комиссий, на которых ут</w:t>
      </w:r>
      <w:r w:rsidRPr="00A259BD">
        <w:rPr>
          <w:rFonts w:ascii="Times New Roman" w:hAnsi="Times New Roman"/>
          <w:color w:val="000000" w:themeColor="text1"/>
          <w:sz w:val="16"/>
          <w:szCs w:val="16"/>
        </w:rPr>
        <w:softHyphen/>
        <w:t>вердили компоновку самолета и размещение основного оборудования. По высказанным замечаниям и пожела</w:t>
      </w:r>
      <w:r w:rsidRPr="00A259BD">
        <w:rPr>
          <w:rFonts w:ascii="Times New Roman" w:hAnsi="Times New Roman"/>
          <w:color w:val="000000" w:themeColor="text1"/>
          <w:sz w:val="16"/>
          <w:szCs w:val="16"/>
        </w:rPr>
        <w:softHyphen/>
        <w:t>ниям в проекты оперативно вносились соответствую</w:t>
      </w:r>
      <w:r w:rsidRPr="00A259BD">
        <w:rPr>
          <w:rFonts w:ascii="Times New Roman" w:hAnsi="Times New Roman"/>
          <w:color w:val="000000" w:themeColor="text1"/>
          <w:sz w:val="16"/>
          <w:szCs w:val="16"/>
        </w:rPr>
        <w:softHyphen/>
        <w:t xml:space="preserve">щие изменения. В начале января 1930 г. завод № 25 направил на рассмотрение в технический отдел </w:t>
      </w:r>
      <w:proofErr w:type="spellStart"/>
      <w:r w:rsidRPr="00A259BD">
        <w:rPr>
          <w:rFonts w:ascii="Times New Roman" w:hAnsi="Times New Roman"/>
          <w:color w:val="000000" w:themeColor="text1"/>
          <w:sz w:val="16"/>
          <w:szCs w:val="16"/>
        </w:rPr>
        <w:t>Авиатре</w:t>
      </w:r>
      <w:r w:rsidRPr="00A259BD">
        <w:rPr>
          <w:rFonts w:ascii="Times New Roman" w:hAnsi="Times New Roman"/>
          <w:color w:val="000000" w:themeColor="text1"/>
          <w:sz w:val="16"/>
          <w:szCs w:val="16"/>
        </w:rPr>
        <w:softHyphen/>
        <w:t>ста</w:t>
      </w:r>
      <w:proofErr w:type="spellEnd"/>
      <w:r w:rsidRPr="00A259BD">
        <w:rPr>
          <w:rFonts w:ascii="Times New Roman" w:hAnsi="Times New Roman"/>
          <w:color w:val="000000" w:themeColor="text1"/>
          <w:sz w:val="16"/>
          <w:szCs w:val="16"/>
        </w:rPr>
        <w:t xml:space="preserve"> следующие варианты истребителя И-7: № 2 - </w:t>
      </w:r>
      <w:proofErr w:type="spellStart"/>
      <w:r w:rsidRPr="00A259BD">
        <w:rPr>
          <w:rFonts w:ascii="Times New Roman" w:hAnsi="Times New Roman"/>
          <w:color w:val="000000" w:themeColor="text1"/>
          <w:sz w:val="16"/>
          <w:szCs w:val="16"/>
        </w:rPr>
        <w:t>полуто-раплан</w:t>
      </w:r>
      <w:proofErr w:type="spellEnd"/>
      <w:r w:rsidRPr="00A259BD">
        <w:rPr>
          <w:rFonts w:ascii="Times New Roman" w:hAnsi="Times New Roman"/>
          <w:color w:val="000000" w:themeColor="text1"/>
          <w:sz w:val="16"/>
          <w:szCs w:val="16"/>
        </w:rPr>
        <w:t xml:space="preserve">, № 3 - биплан с деревянным фюзеляжем, № 4 -биплан с металлическим сварным фюзеляжем. Вариант № 1, выполненный по предварительным техническим требованиям, остался в КБ. Так как технология сварки обшивки не была отработана, основными вариантами считались № 2 и № 3 с деревянными фюзеляжами. После утверждения проектов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их пере</w:t>
      </w:r>
      <w:r w:rsidRPr="00A259BD">
        <w:rPr>
          <w:rFonts w:ascii="Times New Roman" w:hAnsi="Times New Roman"/>
          <w:color w:val="000000" w:themeColor="text1"/>
          <w:sz w:val="16"/>
          <w:szCs w:val="16"/>
        </w:rPr>
        <w:softHyphen/>
        <w:t>слали в НТК ВВС (10667).</w:t>
      </w:r>
    </w:p>
    <w:p w14:paraId="5C8FEF2C" w14:textId="77777777" w:rsidR="00F709ED" w:rsidRPr="00A259BD" w:rsidRDefault="00F709ED"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D75C47" w14:textId="77777777" w:rsidR="00F709ED" w:rsidRPr="00A259BD" w:rsidRDefault="00F709ED"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18FBDBD9" w14:textId="77777777" w:rsidR="00F709ED" w:rsidRPr="00A259BD" w:rsidRDefault="00F709E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2DD553" w14:textId="77777777" w:rsidR="00F709ED" w:rsidRPr="00A259BD" w:rsidRDefault="00F709ED"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середине ноября 1929 состоялся Пленум ЦК ВКП(б), который подвел итоги первого года пятилетки, отметил рост крупной промышленности на 25%, а тяжелой - на 31%. ПТ выросла на 13%, а также состоялся поворот крестьян к социализму (226,392).</w:t>
      </w:r>
    </w:p>
    <w:p w14:paraId="265D7B30" w14:textId="77777777" w:rsidR="00F709ED" w:rsidRPr="00A259BD" w:rsidRDefault="00F709ED"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мире начинался экономический кризис (226,394).</w:t>
      </w:r>
    </w:p>
    <w:p w14:paraId="6B4BB674" w14:textId="77777777" w:rsidR="00F709ED" w:rsidRPr="00A259BD" w:rsidRDefault="00F709ED" w:rsidP="009236E3">
      <w:pPr>
        <w:autoSpaceDE w:val="0"/>
        <w:autoSpaceDN w:val="0"/>
        <w:adjustRightInd w:val="0"/>
        <w:spacing w:after="0" w:line="240" w:lineRule="auto"/>
        <w:jc w:val="both"/>
        <w:rPr>
          <w:rFonts w:ascii="Times New Roman" w:hAnsi="Times New Roman"/>
          <w:color w:val="000000" w:themeColor="text1"/>
          <w:sz w:val="16"/>
          <w:szCs w:val="16"/>
        </w:rPr>
      </w:pPr>
    </w:p>
    <w:p w14:paraId="52A36E0F" w14:textId="77777777" w:rsidR="00CD7BD7"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62C22145" w14:textId="77777777" w:rsidR="00CD7BD7" w:rsidRPr="00A259BD" w:rsidRDefault="00CD7BD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833C84" w14:textId="77777777" w:rsidR="00CD7BD7" w:rsidRPr="00A259BD" w:rsidRDefault="00CD7BD7" w:rsidP="009236E3">
      <w:pPr>
        <w:pStyle w:val="a3"/>
        <w:rPr>
          <w:color w:val="000000" w:themeColor="text1"/>
          <w:lang w:val="ru-RU"/>
        </w:rPr>
      </w:pPr>
      <w:r w:rsidRPr="00A259BD">
        <w:rPr>
          <w:color w:val="000000" w:themeColor="text1"/>
          <w:lang w:val="ru-RU"/>
        </w:rPr>
        <w:t>16 ноября 1929, за день до начала наступления Приморской группы, шесть самолётов 19-го отряда под прикрыти</w:t>
      </w:r>
      <w:r w:rsidRPr="00A259BD">
        <w:rPr>
          <w:color w:val="000000" w:themeColor="text1"/>
          <w:lang w:val="ru-RU"/>
        </w:rPr>
        <w:softHyphen/>
        <w:t>ем четырех истребителей получили приказ раз</w:t>
      </w:r>
      <w:r w:rsidRPr="00A259BD">
        <w:rPr>
          <w:color w:val="000000" w:themeColor="text1"/>
          <w:lang w:val="ru-RU"/>
        </w:rPr>
        <w:softHyphen/>
        <w:t xml:space="preserve">бомбить аэродром у станции Муданьцзян (Му- </w:t>
      </w:r>
      <w:proofErr w:type="spellStart"/>
      <w:r w:rsidRPr="00A259BD">
        <w:rPr>
          <w:color w:val="000000" w:themeColor="text1"/>
          <w:lang w:val="ru-RU"/>
        </w:rPr>
        <w:t>дацзянь</w:t>
      </w:r>
      <w:proofErr w:type="spellEnd"/>
      <w:r w:rsidRPr="00A259BD">
        <w:rPr>
          <w:color w:val="000000" w:themeColor="text1"/>
          <w:lang w:val="ru-RU"/>
        </w:rPr>
        <w:t>). Несмотря на стрельбу китайских зе</w:t>
      </w:r>
      <w:r w:rsidRPr="00A259BD">
        <w:rPr>
          <w:color w:val="000000" w:themeColor="text1"/>
          <w:lang w:val="ru-RU"/>
        </w:rPr>
        <w:softHyphen/>
        <w:t>нитчиков, налёт оказался успешным. На следу</w:t>
      </w:r>
      <w:r w:rsidRPr="00A259BD">
        <w:rPr>
          <w:color w:val="000000" w:themeColor="text1"/>
          <w:lang w:val="ru-RU"/>
        </w:rPr>
        <w:softHyphen/>
        <w:t xml:space="preserve">ющий день его повторили в том же </w:t>
      </w:r>
      <w:r w:rsidRPr="00A259BD">
        <w:rPr>
          <w:color w:val="000000" w:themeColor="text1"/>
          <w:lang w:val="ru-RU"/>
        </w:rPr>
        <w:lastRenderedPageBreak/>
        <w:t>составе. Разрушили ангар и караульное помещение, уничтожили один и повредили два самолёта, вывели из строя одно зенитное орудие.</w:t>
      </w:r>
    </w:p>
    <w:p w14:paraId="61B575BC" w14:textId="77777777" w:rsidR="00CD7BD7" w:rsidRPr="00A259BD" w:rsidRDefault="00CD7BD7" w:rsidP="009236E3">
      <w:pPr>
        <w:pStyle w:val="a3"/>
        <w:rPr>
          <w:color w:val="000000" w:themeColor="text1"/>
          <w:lang w:val="ru-RU"/>
        </w:rPr>
      </w:pPr>
      <w:r w:rsidRPr="00A259BD">
        <w:rPr>
          <w:color w:val="000000" w:themeColor="text1"/>
          <w:lang w:val="ru-RU"/>
        </w:rPr>
        <w:t xml:space="preserve">В тот же день с утра четыре звена 40-й </w:t>
      </w:r>
      <w:proofErr w:type="spellStart"/>
      <w:r w:rsidRPr="00A259BD">
        <w:rPr>
          <w:color w:val="000000" w:themeColor="text1"/>
          <w:lang w:val="ru-RU"/>
        </w:rPr>
        <w:t>аэ</w:t>
      </w:r>
      <w:proofErr w:type="spellEnd"/>
      <w:r w:rsidRPr="00A259BD">
        <w:rPr>
          <w:color w:val="000000" w:themeColor="text1"/>
          <w:lang w:val="ru-RU"/>
        </w:rPr>
        <w:t xml:space="preserve"> одно за другим атаковали китайскую кавале</w:t>
      </w:r>
      <w:r w:rsidRPr="00A259BD">
        <w:rPr>
          <w:color w:val="000000" w:themeColor="text1"/>
          <w:lang w:val="ru-RU"/>
        </w:rPr>
        <w:softHyphen/>
        <w:t xml:space="preserve">рию на северной окраине города </w:t>
      </w:r>
      <w:proofErr w:type="spellStart"/>
      <w:r w:rsidRPr="00A259BD">
        <w:rPr>
          <w:color w:val="000000" w:themeColor="text1"/>
          <w:lang w:val="ru-RU"/>
        </w:rPr>
        <w:t>Мишаньфу</w:t>
      </w:r>
      <w:proofErr w:type="spellEnd"/>
      <w:r w:rsidRPr="00A259BD">
        <w:rPr>
          <w:color w:val="000000" w:themeColor="text1"/>
          <w:lang w:val="ru-RU"/>
        </w:rPr>
        <w:t>. Сбрасывали серии по четыре бомбы с высоты около 1000 м.</w:t>
      </w:r>
    </w:p>
    <w:p w14:paraId="097288B7" w14:textId="77777777" w:rsidR="00CD7BD7" w:rsidRPr="00A259BD" w:rsidRDefault="00CD7BD7" w:rsidP="009236E3">
      <w:pPr>
        <w:pStyle w:val="a3"/>
        <w:rPr>
          <w:color w:val="000000" w:themeColor="text1"/>
          <w:lang w:val="ru-RU"/>
        </w:rPr>
      </w:pPr>
      <w:r w:rsidRPr="00A259BD">
        <w:rPr>
          <w:color w:val="000000" w:themeColor="text1"/>
          <w:lang w:val="ru-RU"/>
        </w:rPr>
        <w:t>Через два часа лётчики совершили второй на</w:t>
      </w:r>
      <w:r w:rsidRPr="00A259BD">
        <w:rPr>
          <w:color w:val="000000" w:themeColor="text1"/>
          <w:lang w:val="ru-RU"/>
        </w:rPr>
        <w:softHyphen/>
        <w:t xml:space="preserve">лёт — на отходящие от </w:t>
      </w:r>
      <w:proofErr w:type="spellStart"/>
      <w:r w:rsidRPr="00A259BD">
        <w:rPr>
          <w:color w:val="000000" w:themeColor="text1"/>
          <w:lang w:val="ru-RU"/>
        </w:rPr>
        <w:t>Сядиэнну</w:t>
      </w:r>
      <w:proofErr w:type="spellEnd"/>
      <w:r w:rsidRPr="00A259BD">
        <w:rPr>
          <w:color w:val="000000" w:themeColor="text1"/>
          <w:lang w:val="ru-RU"/>
        </w:rPr>
        <w:t xml:space="preserve"> китайские ча</w:t>
      </w:r>
      <w:r w:rsidRPr="00A259BD">
        <w:rPr>
          <w:color w:val="000000" w:themeColor="text1"/>
          <w:lang w:val="ru-RU"/>
        </w:rPr>
        <w:softHyphen/>
        <w:t xml:space="preserve">сти. Последние сосредоточились на берегу реки </w:t>
      </w:r>
      <w:proofErr w:type="spellStart"/>
      <w:r w:rsidRPr="00A259BD">
        <w:rPr>
          <w:color w:val="000000" w:themeColor="text1"/>
          <w:lang w:val="ru-RU"/>
        </w:rPr>
        <w:t>Мурень</w:t>
      </w:r>
      <w:proofErr w:type="spellEnd"/>
      <w:r w:rsidRPr="00A259BD">
        <w:rPr>
          <w:color w:val="000000" w:themeColor="text1"/>
          <w:lang w:val="ru-RU"/>
        </w:rPr>
        <w:t xml:space="preserve"> и пытались через неё перепра</w:t>
      </w:r>
      <w:r w:rsidRPr="00A259BD">
        <w:rPr>
          <w:color w:val="000000" w:themeColor="text1"/>
          <w:lang w:val="ru-RU"/>
        </w:rPr>
        <w:softHyphen/>
        <w:t>виться. Советские войска</w:t>
      </w:r>
      <w:r w:rsidRPr="00A259BD">
        <w:rPr>
          <w:rStyle w:val="147"/>
          <w:rFonts w:ascii="Times New Roman" w:hAnsi="Times New Roman" w:cs="Times New Roman"/>
          <w:color w:val="000000" w:themeColor="text1"/>
          <w:sz w:val="16"/>
          <w:szCs w:val="16"/>
          <w:lang w:val="ru-RU"/>
        </w:rPr>
        <w:t xml:space="preserve"> преследовали</w:t>
      </w:r>
      <w:r w:rsidRPr="00A259BD">
        <w:rPr>
          <w:color w:val="000000" w:themeColor="text1"/>
          <w:lang w:val="ru-RU"/>
        </w:rPr>
        <w:t xml:space="preserve"> их. Семь истребителей 5-й эскадрильи отправили прикрывать 9-ю кавалерийскую бригаду. Ки</w:t>
      </w:r>
      <w:r w:rsidRPr="00A259BD">
        <w:rPr>
          <w:color w:val="000000" w:themeColor="text1"/>
          <w:lang w:val="ru-RU"/>
        </w:rPr>
        <w:softHyphen/>
        <w:t>тайские самолёты в воздухе не показывались.</w:t>
      </w:r>
    </w:p>
    <w:p w14:paraId="09F378AD" w14:textId="77777777" w:rsidR="00CD7BD7" w:rsidRPr="00A259BD" w:rsidRDefault="00CD7BD7" w:rsidP="009236E3">
      <w:pPr>
        <w:pStyle w:val="a3"/>
        <w:rPr>
          <w:color w:val="000000" w:themeColor="text1"/>
          <w:lang w:val="ru-RU"/>
        </w:rPr>
      </w:pPr>
      <w:r w:rsidRPr="00A259BD">
        <w:rPr>
          <w:color w:val="000000" w:themeColor="text1"/>
          <w:lang w:val="ru-RU"/>
        </w:rPr>
        <w:t>Наши лётчики заметили вражеский полк, намеревавшийся перейти в контратаку. Коман</w:t>
      </w:r>
      <w:r w:rsidRPr="00A259BD">
        <w:rPr>
          <w:color w:val="000000" w:themeColor="text1"/>
          <w:lang w:val="ru-RU"/>
        </w:rPr>
        <w:softHyphen/>
        <w:t xml:space="preserve">дир повёл отряд на штурмовку. В результате китайцам не только не дали пойти вперед, но и отогнали обратно к </w:t>
      </w:r>
      <w:proofErr w:type="spellStart"/>
      <w:r w:rsidRPr="00A259BD">
        <w:rPr>
          <w:color w:val="000000" w:themeColor="text1"/>
          <w:lang w:val="ru-RU"/>
        </w:rPr>
        <w:t>Мишаньфу</w:t>
      </w:r>
      <w:proofErr w:type="spellEnd"/>
      <w:r w:rsidRPr="00A259BD">
        <w:rPr>
          <w:color w:val="000000" w:themeColor="text1"/>
          <w:lang w:val="ru-RU"/>
        </w:rPr>
        <w:t>. Затем истребители обстреляли батальон, перепра</w:t>
      </w:r>
      <w:r w:rsidRPr="00A259BD">
        <w:rPr>
          <w:color w:val="000000" w:themeColor="text1"/>
          <w:lang w:val="ru-RU"/>
        </w:rPr>
        <w:softHyphen/>
        <w:t xml:space="preserve">влявшийся через </w:t>
      </w:r>
      <w:proofErr w:type="spellStart"/>
      <w:r w:rsidRPr="00A259BD">
        <w:rPr>
          <w:color w:val="000000" w:themeColor="text1"/>
          <w:lang w:val="ru-RU"/>
        </w:rPr>
        <w:t>Мурень</w:t>
      </w:r>
      <w:proofErr w:type="spellEnd"/>
      <w:r w:rsidRPr="00A259BD">
        <w:rPr>
          <w:color w:val="000000" w:themeColor="text1"/>
          <w:lang w:val="ru-RU"/>
        </w:rPr>
        <w:t>.</w:t>
      </w:r>
    </w:p>
    <w:p w14:paraId="5C692E0F" w14:textId="77777777" w:rsidR="00CD7BD7" w:rsidRPr="00A259BD" w:rsidRDefault="00CD7BD7" w:rsidP="009236E3">
      <w:pPr>
        <w:pStyle w:val="a3"/>
        <w:rPr>
          <w:color w:val="000000" w:themeColor="text1"/>
          <w:lang w:val="ru-RU"/>
        </w:rPr>
      </w:pPr>
      <w:r w:rsidRPr="00A259BD">
        <w:rPr>
          <w:color w:val="000000" w:themeColor="text1"/>
          <w:lang w:val="ru-RU"/>
        </w:rPr>
        <w:t>Немного позже Р-1 40-й эскадрильи и два «Фоккера» отправились выручать группу те</w:t>
      </w:r>
      <w:r w:rsidRPr="00A259BD">
        <w:rPr>
          <w:color w:val="000000" w:themeColor="text1"/>
          <w:lang w:val="ru-RU"/>
        </w:rPr>
        <w:softHyphen/>
        <w:t>лефонистов. Китайское подразделение перерезало линию полевого телефона, а затем попыталось захватить в плен красноармейцев, высланных на ее восстановление. Бомба</w:t>
      </w:r>
      <w:r w:rsidRPr="00A259BD">
        <w:rPr>
          <w:color w:val="000000" w:themeColor="text1"/>
          <w:lang w:val="ru-RU"/>
        </w:rPr>
        <w:softHyphen/>
        <w:t>ми и пулеметным огнем самолёты разогнали китайцев. Еще один Р-1 совершил два вы</w:t>
      </w:r>
      <w:r w:rsidRPr="00A259BD">
        <w:rPr>
          <w:color w:val="000000" w:themeColor="text1"/>
          <w:lang w:val="ru-RU"/>
        </w:rPr>
        <w:softHyphen/>
        <w:t>лета на поддержку 1-й стрелковой дивизии. Он бомбил и обстреливал окопы противника (15819).</w:t>
      </w:r>
    </w:p>
    <w:p w14:paraId="4A18CB8B" w14:textId="77777777" w:rsidR="00CD7BD7" w:rsidRPr="00A259BD" w:rsidRDefault="00CD7BD7" w:rsidP="009236E3">
      <w:pPr>
        <w:spacing w:after="0" w:line="240" w:lineRule="auto"/>
        <w:jc w:val="both"/>
        <w:rPr>
          <w:rFonts w:ascii="Times New Roman" w:hAnsi="Times New Roman"/>
          <w:color w:val="000000" w:themeColor="text1"/>
          <w:sz w:val="16"/>
          <w:szCs w:val="16"/>
        </w:rPr>
      </w:pPr>
    </w:p>
    <w:p w14:paraId="3445620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4CE417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7B16D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ноября 1929 на техническом совещании руководителей групп АГОС В.М.П. поручили сделать весовую сводку АНТ-6 (ТБ-3) (1077,120), а также сообщение о переделках АНТ-9 под моторы Райт (1102).</w:t>
      </w:r>
    </w:p>
    <w:p w14:paraId="4CD23F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E123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16 ноября по 13 декабря 1929 г. состоялись не</w:t>
      </w:r>
      <w:r w:rsidRPr="00A259BD">
        <w:rPr>
          <w:rFonts w:ascii="Times New Roman" w:hAnsi="Times New Roman"/>
          <w:color w:val="000000" w:themeColor="text1"/>
          <w:sz w:val="16"/>
          <w:szCs w:val="16"/>
        </w:rPr>
        <w:softHyphen/>
        <w:t>сколько заседаний макетных комиссий, на которых ут</w:t>
      </w:r>
      <w:r w:rsidRPr="00A259BD">
        <w:rPr>
          <w:rFonts w:ascii="Times New Roman" w:hAnsi="Times New Roman"/>
          <w:color w:val="000000" w:themeColor="text1"/>
          <w:sz w:val="16"/>
          <w:szCs w:val="16"/>
        </w:rPr>
        <w:softHyphen/>
        <w:t>вердили компоновку самолета И-7 и размещение основного оборудования. По высказанным замечаниям и пожела</w:t>
      </w:r>
      <w:r w:rsidRPr="00A259BD">
        <w:rPr>
          <w:rFonts w:ascii="Times New Roman" w:hAnsi="Times New Roman"/>
          <w:color w:val="000000" w:themeColor="text1"/>
          <w:sz w:val="16"/>
          <w:szCs w:val="16"/>
        </w:rPr>
        <w:softHyphen/>
        <w:t>ниям в проекты оперативно вносились соответствую</w:t>
      </w:r>
      <w:r w:rsidRPr="00A259BD">
        <w:rPr>
          <w:rFonts w:ascii="Times New Roman" w:hAnsi="Times New Roman"/>
          <w:color w:val="000000" w:themeColor="text1"/>
          <w:sz w:val="16"/>
          <w:szCs w:val="16"/>
        </w:rPr>
        <w:softHyphen/>
        <w:t xml:space="preserve">щие изменения. В начале января 1930 г. завод № 25 направил на рассмотрение в технический отдел </w:t>
      </w:r>
      <w:proofErr w:type="spellStart"/>
      <w:r w:rsidRPr="00A259BD">
        <w:rPr>
          <w:rFonts w:ascii="Times New Roman" w:hAnsi="Times New Roman"/>
          <w:color w:val="000000" w:themeColor="text1"/>
          <w:sz w:val="16"/>
          <w:szCs w:val="16"/>
        </w:rPr>
        <w:t>Авиатре</w:t>
      </w:r>
      <w:r w:rsidRPr="00A259BD">
        <w:rPr>
          <w:rFonts w:ascii="Times New Roman" w:hAnsi="Times New Roman"/>
          <w:color w:val="000000" w:themeColor="text1"/>
          <w:sz w:val="16"/>
          <w:szCs w:val="16"/>
        </w:rPr>
        <w:softHyphen/>
        <w:t>ста</w:t>
      </w:r>
      <w:proofErr w:type="spellEnd"/>
      <w:r w:rsidRPr="00A259BD">
        <w:rPr>
          <w:rFonts w:ascii="Times New Roman" w:hAnsi="Times New Roman"/>
          <w:color w:val="000000" w:themeColor="text1"/>
          <w:sz w:val="16"/>
          <w:szCs w:val="16"/>
        </w:rPr>
        <w:t xml:space="preserve"> следующие варианты истребителя И-7: № 2 - полутораплан, № 3 - биплан с деревянным фюзеляжем, № 4 -биплан с металлическим сварным фюзеляжем. Вариант № 1, выполненный по предварительным техническим требованиям, остался в КБ. Так как технология сварки обшивки не была отработана, основными вариантами считались № 2 и № 3 с деревянными фюзеляжами. После утверждения проектов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их пере</w:t>
      </w:r>
      <w:r w:rsidRPr="00A259BD">
        <w:rPr>
          <w:rFonts w:ascii="Times New Roman" w:hAnsi="Times New Roman"/>
          <w:color w:val="000000" w:themeColor="text1"/>
          <w:sz w:val="16"/>
          <w:szCs w:val="16"/>
        </w:rPr>
        <w:softHyphen/>
        <w:t>слали в НТК ВВС (10667).</w:t>
      </w:r>
    </w:p>
    <w:p w14:paraId="300FDEC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E13E5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B20B01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00F8C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ноября 1929 была подготовлена:</w:t>
      </w:r>
    </w:p>
    <w:p w14:paraId="1F7F0B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СПРАВКА ОСНОВНЫХ ПОКАЗАТЕЛЕЙ ПО ЗАВОДАМ ВОЕННОЙ ПРОМЫШЛЕННОСТИ ПО ПЛАНУ НА 1929/30 ОПЕРАЦИОННЫЙ ГОД ( 16 ноября 1929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1440"/>
        <w:gridCol w:w="1440"/>
        <w:gridCol w:w="1440"/>
        <w:gridCol w:w="2417"/>
      </w:tblGrid>
      <w:tr w:rsidR="00A259BD" w:rsidRPr="00A259BD" w14:paraId="1EF32A38" w14:textId="77777777">
        <w:tc>
          <w:tcPr>
            <w:tcW w:w="2160" w:type="dxa"/>
          </w:tcPr>
          <w:p w14:paraId="67F2AF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Новое и старое название завода</w:t>
            </w:r>
          </w:p>
        </w:tc>
        <w:tc>
          <w:tcPr>
            <w:tcW w:w="1440" w:type="dxa"/>
          </w:tcPr>
          <w:p w14:paraId="64333C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Количество рабочих</w:t>
            </w:r>
          </w:p>
        </w:tc>
        <w:tc>
          <w:tcPr>
            <w:tcW w:w="1440" w:type="dxa"/>
          </w:tcPr>
          <w:p w14:paraId="1C948C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Товарная продукция (тыс. руб.)</w:t>
            </w:r>
          </w:p>
        </w:tc>
        <w:tc>
          <w:tcPr>
            <w:tcW w:w="1440" w:type="dxa"/>
          </w:tcPr>
          <w:p w14:paraId="09DA39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Мирная продукция (тыс. руб.)</w:t>
            </w:r>
          </w:p>
        </w:tc>
        <w:tc>
          <w:tcPr>
            <w:tcW w:w="2417" w:type="dxa"/>
          </w:tcPr>
          <w:p w14:paraId="13CF9E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Изготовляемые изделия</w:t>
            </w:r>
          </w:p>
        </w:tc>
      </w:tr>
      <w:tr w:rsidR="00A259BD" w:rsidRPr="00A259BD" w14:paraId="1ACE65FA" w14:textId="77777777">
        <w:tc>
          <w:tcPr>
            <w:tcW w:w="2160" w:type="dxa"/>
          </w:tcPr>
          <w:p w14:paraId="71A756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1440" w:type="dxa"/>
          </w:tcPr>
          <w:p w14:paraId="3BC063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440" w:type="dxa"/>
          </w:tcPr>
          <w:p w14:paraId="5EC464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1440" w:type="dxa"/>
          </w:tcPr>
          <w:p w14:paraId="2F6024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2417" w:type="dxa"/>
          </w:tcPr>
          <w:p w14:paraId="167829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r>
      <w:tr w:rsidR="00A259BD" w:rsidRPr="00A259BD" w14:paraId="4071530D" w14:textId="77777777">
        <w:tc>
          <w:tcPr>
            <w:tcW w:w="2160" w:type="dxa"/>
          </w:tcPr>
          <w:p w14:paraId="7B2AE7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ОРУДИЙНО-АРСЕНАЛЬНЫЙ ТРЕСТ</w:t>
            </w:r>
          </w:p>
        </w:tc>
        <w:tc>
          <w:tcPr>
            <w:tcW w:w="1440" w:type="dxa"/>
          </w:tcPr>
          <w:p w14:paraId="380EAE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64B55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31545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522715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9355F96" w14:textId="77777777">
        <w:tc>
          <w:tcPr>
            <w:tcW w:w="2160" w:type="dxa"/>
          </w:tcPr>
          <w:p w14:paraId="568BFB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Мотовилихинский Машиностроительный г. Мотовилиха</w:t>
            </w:r>
          </w:p>
        </w:tc>
        <w:tc>
          <w:tcPr>
            <w:tcW w:w="1440" w:type="dxa"/>
          </w:tcPr>
          <w:p w14:paraId="53369F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11778</w:t>
            </w:r>
          </w:p>
        </w:tc>
        <w:tc>
          <w:tcPr>
            <w:tcW w:w="1440" w:type="dxa"/>
          </w:tcPr>
          <w:p w14:paraId="71931D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23424,7</w:t>
            </w:r>
          </w:p>
        </w:tc>
        <w:tc>
          <w:tcPr>
            <w:tcW w:w="1440" w:type="dxa"/>
          </w:tcPr>
          <w:p w14:paraId="33E212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10260,7</w:t>
            </w:r>
          </w:p>
        </w:tc>
        <w:tc>
          <w:tcPr>
            <w:tcW w:w="2417" w:type="dxa"/>
          </w:tcPr>
          <w:p w14:paraId="02EC95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(пушки больших калибров, драги)</w:t>
            </w:r>
          </w:p>
        </w:tc>
      </w:tr>
      <w:tr w:rsidR="00A259BD" w:rsidRPr="00A259BD" w14:paraId="6924BA17" w14:textId="77777777">
        <w:tc>
          <w:tcPr>
            <w:tcW w:w="2160" w:type="dxa"/>
          </w:tcPr>
          <w:p w14:paraId="1FA0E1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"Большевик" (б. Обуховский) г. Ленинград</w:t>
            </w:r>
          </w:p>
        </w:tc>
        <w:tc>
          <w:tcPr>
            <w:tcW w:w="1440" w:type="dxa"/>
          </w:tcPr>
          <w:p w14:paraId="79F2EF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9025</w:t>
            </w:r>
          </w:p>
        </w:tc>
        <w:tc>
          <w:tcPr>
            <w:tcW w:w="1440" w:type="dxa"/>
          </w:tcPr>
          <w:p w14:paraId="77D045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31280,5</w:t>
            </w:r>
          </w:p>
        </w:tc>
        <w:tc>
          <w:tcPr>
            <w:tcW w:w="1440" w:type="dxa"/>
          </w:tcPr>
          <w:p w14:paraId="0BFDD0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4359,8</w:t>
            </w:r>
          </w:p>
        </w:tc>
        <w:tc>
          <w:tcPr>
            <w:tcW w:w="2417" w:type="dxa"/>
          </w:tcPr>
          <w:p w14:paraId="2321F7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(пушки, танки, литье, авиамоторы, оптика)</w:t>
            </w:r>
          </w:p>
        </w:tc>
      </w:tr>
      <w:tr w:rsidR="00A259BD" w:rsidRPr="00A259BD" w14:paraId="25B1378E" w14:textId="77777777">
        <w:tc>
          <w:tcPr>
            <w:tcW w:w="2160" w:type="dxa"/>
          </w:tcPr>
          <w:p w14:paraId="4103FA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Завод N 8 (б. Московский </w:t>
            </w:r>
            <w:proofErr w:type="spellStart"/>
            <w:r w:rsidRPr="00A259BD">
              <w:rPr>
                <w:rFonts w:ascii="Times New Roman" w:hAnsi="Times New Roman"/>
                <w:color w:val="000000" w:themeColor="text1"/>
                <w:sz w:val="16"/>
                <w:szCs w:val="16"/>
              </w:rPr>
              <w:t>оруд</w:t>
            </w:r>
            <w:proofErr w:type="spellEnd"/>
            <w:r w:rsidRPr="00A259BD">
              <w:rPr>
                <w:rFonts w:ascii="Times New Roman" w:hAnsi="Times New Roman"/>
                <w:color w:val="000000" w:themeColor="text1"/>
                <w:sz w:val="16"/>
                <w:szCs w:val="16"/>
              </w:rPr>
              <w:t>.) г. Мытищи</w:t>
            </w:r>
          </w:p>
        </w:tc>
        <w:tc>
          <w:tcPr>
            <w:tcW w:w="1440" w:type="dxa"/>
          </w:tcPr>
          <w:p w14:paraId="50BA04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1605</w:t>
            </w:r>
          </w:p>
        </w:tc>
        <w:tc>
          <w:tcPr>
            <w:tcW w:w="1440" w:type="dxa"/>
          </w:tcPr>
          <w:p w14:paraId="0B48EE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5768,9</w:t>
            </w:r>
          </w:p>
        </w:tc>
        <w:tc>
          <w:tcPr>
            <w:tcW w:w="1440" w:type="dxa"/>
          </w:tcPr>
          <w:p w14:paraId="07ED50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718,5</w:t>
            </w:r>
          </w:p>
        </w:tc>
        <w:tc>
          <w:tcPr>
            <w:tcW w:w="2417" w:type="dxa"/>
          </w:tcPr>
          <w:p w14:paraId="362432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(пушки небольших калибров, прессовое оборудование)</w:t>
            </w:r>
          </w:p>
        </w:tc>
      </w:tr>
      <w:tr w:rsidR="00A259BD" w:rsidRPr="00A259BD" w14:paraId="5C4DC7AA" w14:textId="77777777">
        <w:tc>
          <w:tcPr>
            <w:tcW w:w="2160" w:type="dxa"/>
          </w:tcPr>
          <w:p w14:paraId="1AAD16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"Баррикады"</w:t>
            </w:r>
          </w:p>
        </w:tc>
        <w:tc>
          <w:tcPr>
            <w:tcW w:w="1440" w:type="dxa"/>
          </w:tcPr>
          <w:p w14:paraId="7D36DE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CF498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E90A0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5D7493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(пушки больших</w:t>
            </w:r>
          </w:p>
        </w:tc>
      </w:tr>
      <w:tr w:rsidR="00A259BD" w:rsidRPr="00A259BD" w14:paraId="33486D41" w14:textId="77777777">
        <w:tc>
          <w:tcPr>
            <w:tcW w:w="2160" w:type="dxa"/>
          </w:tcPr>
          <w:p w14:paraId="2EF1A2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Сталинград</w:t>
            </w:r>
          </w:p>
        </w:tc>
        <w:tc>
          <w:tcPr>
            <w:tcW w:w="1440" w:type="dxa"/>
          </w:tcPr>
          <w:p w14:paraId="06E53F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2348</w:t>
            </w:r>
          </w:p>
        </w:tc>
        <w:tc>
          <w:tcPr>
            <w:tcW w:w="1440" w:type="dxa"/>
          </w:tcPr>
          <w:p w14:paraId="23B578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5389,0</w:t>
            </w:r>
          </w:p>
        </w:tc>
        <w:tc>
          <w:tcPr>
            <w:tcW w:w="1440" w:type="dxa"/>
          </w:tcPr>
          <w:p w14:paraId="03EA96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4457,2</w:t>
            </w:r>
          </w:p>
        </w:tc>
        <w:tc>
          <w:tcPr>
            <w:tcW w:w="2417" w:type="dxa"/>
          </w:tcPr>
          <w:p w14:paraId="598DE2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калибров, драги)</w:t>
            </w:r>
          </w:p>
        </w:tc>
      </w:tr>
      <w:tr w:rsidR="00A259BD" w:rsidRPr="00A259BD" w14:paraId="69A44864" w14:textId="77777777">
        <w:tc>
          <w:tcPr>
            <w:tcW w:w="2160" w:type="dxa"/>
          </w:tcPr>
          <w:p w14:paraId="7C941C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Завод N 7</w:t>
            </w:r>
          </w:p>
        </w:tc>
        <w:tc>
          <w:tcPr>
            <w:tcW w:w="1440" w:type="dxa"/>
          </w:tcPr>
          <w:p w14:paraId="591426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50FCB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9F407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1D453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01886E3" w14:textId="77777777">
        <w:tc>
          <w:tcPr>
            <w:tcW w:w="2160" w:type="dxa"/>
          </w:tcPr>
          <w:p w14:paraId="5E7A25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w:t>
            </w:r>
            <w:proofErr w:type="spellStart"/>
            <w:r w:rsidRPr="00A259BD">
              <w:rPr>
                <w:rFonts w:ascii="Times New Roman" w:hAnsi="Times New Roman"/>
                <w:color w:val="000000" w:themeColor="text1"/>
                <w:sz w:val="16"/>
                <w:szCs w:val="16"/>
              </w:rPr>
              <w:t>Лениградский</w:t>
            </w:r>
            <w:proofErr w:type="spellEnd"/>
          </w:p>
        </w:tc>
        <w:tc>
          <w:tcPr>
            <w:tcW w:w="1440" w:type="dxa"/>
          </w:tcPr>
          <w:p w14:paraId="0EF7E5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73230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B79A4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4A81A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(колеса, авиационные</w:t>
            </w:r>
          </w:p>
        </w:tc>
      </w:tr>
      <w:tr w:rsidR="00A259BD" w:rsidRPr="00A259BD" w14:paraId="01E5F668" w14:textId="77777777">
        <w:tc>
          <w:tcPr>
            <w:tcW w:w="2160" w:type="dxa"/>
          </w:tcPr>
          <w:p w14:paraId="47FB5B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арсенал)</w:t>
            </w:r>
          </w:p>
        </w:tc>
        <w:tc>
          <w:tcPr>
            <w:tcW w:w="1440" w:type="dxa"/>
          </w:tcPr>
          <w:p w14:paraId="10E792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EF46B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1C7DC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B6D79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бомбы, текстильные</w:t>
            </w:r>
          </w:p>
        </w:tc>
      </w:tr>
      <w:tr w:rsidR="00A259BD" w:rsidRPr="00A259BD" w14:paraId="41DE2C7A" w14:textId="77777777">
        <w:tc>
          <w:tcPr>
            <w:tcW w:w="2160" w:type="dxa"/>
          </w:tcPr>
          <w:p w14:paraId="6E2A93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Ленинград</w:t>
            </w:r>
          </w:p>
        </w:tc>
        <w:tc>
          <w:tcPr>
            <w:tcW w:w="1440" w:type="dxa"/>
          </w:tcPr>
          <w:p w14:paraId="7276E2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3944</w:t>
            </w:r>
          </w:p>
        </w:tc>
        <w:tc>
          <w:tcPr>
            <w:tcW w:w="1440" w:type="dxa"/>
          </w:tcPr>
          <w:p w14:paraId="55CE8F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14417,3</w:t>
            </w:r>
          </w:p>
        </w:tc>
        <w:tc>
          <w:tcPr>
            <w:tcW w:w="1440" w:type="dxa"/>
          </w:tcPr>
          <w:p w14:paraId="705163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7644,9</w:t>
            </w:r>
          </w:p>
        </w:tc>
        <w:tc>
          <w:tcPr>
            <w:tcW w:w="2417" w:type="dxa"/>
          </w:tcPr>
          <w:p w14:paraId="7D6C61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машины)</w:t>
            </w:r>
          </w:p>
        </w:tc>
      </w:tr>
      <w:tr w:rsidR="00A259BD" w:rsidRPr="00A259BD" w14:paraId="70AE365F" w14:textId="77777777">
        <w:tc>
          <w:tcPr>
            <w:tcW w:w="2160" w:type="dxa"/>
          </w:tcPr>
          <w:p w14:paraId="035D2C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Завод N 13</w:t>
            </w:r>
          </w:p>
        </w:tc>
        <w:tc>
          <w:tcPr>
            <w:tcW w:w="1440" w:type="dxa"/>
          </w:tcPr>
          <w:p w14:paraId="287744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28243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A64C0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63A96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(передки, лафеты</w:t>
            </w:r>
          </w:p>
        </w:tc>
      </w:tr>
      <w:tr w:rsidR="00A259BD" w:rsidRPr="00A259BD" w14:paraId="2E65D158" w14:textId="77777777">
        <w:tc>
          <w:tcPr>
            <w:tcW w:w="2160" w:type="dxa"/>
          </w:tcPr>
          <w:p w14:paraId="6668DF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Брянский арсенал)</w:t>
            </w:r>
          </w:p>
        </w:tc>
        <w:tc>
          <w:tcPr>
            <w:tcW w:w="1440" w:type="dxa"/>
          </w:tcPr>
          <w:p w14:paraId="605647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90B44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04DD6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5252E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повозки, текстильные</w:t>
            </w:r>
          </w:p>
        </w:tc>
      </w:tr>
      <w:tr w:rsidR="00A259BD" w:rsidRPr="00A259BD" w14:paraId="6118BD54" w14:textId="77777777">
        <w:tc>
          <w:tcPr>
            <w:tcW w:w="2160" w:type="dxa"/>
          </w:tcPr>
          <w:p w14:paraId="131CDE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Брянск</w:t>
            </w:r>
          </w:p>
        </w:tc>
        <w:tc>
          <w:tcPr>
            <w:tcW w:w="1440" w:type="dxa"/>
          </w:tcPr>
          <w:p w14:paraId="55865F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2388</w:t>
            </w:r>
          </w:p>
        </w:tc>
        <w:tc>
          <w:tcPr>
            <w:tcW w:w="1440" w:type="dxa"/>
          </w:tcPr>
          <w:p w14:paraId="1F027C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7345,8</w:t>
            </w:r>
          </w:p>
        </w:tc>
        <w:tc>
          <w:tcPr>
            <w:tcW w:w="1440" w:type="dxa"/>
          </w:tcPr>
          <w:p w14:paraId="3D6603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1298,1</w:t>
            </w:r>
          </w:p>
        </w:tc>
        <w:tc>
          <w:tcPr>
            <w:tcW w:w="2417" w:type="dxa"/>
          </w:tcPr>
          <w:p w14:paraId="0D9325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машины)</w:t>
            </w:r>
          </w:p>
        </w:tc>
      </w:tr>
      <w:tr w:rsidR="00A259BD" w:rsidRPr="00A259BD" w14:paraId="339ABC35" w14:textId="77777777">
        <w:tc>
          <w:tcPr>
            <w:tcW w:w="2160" w:type="dxa"/>
          </w:tcPr>
          <w:p w14:paraId="0D241F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Киевский Краснознаменный</w:t>
            </w:r>
          </w:p>
        </w:tc>
        <w:tc>
          <w:tcPr>
            <w:tcW w:w="1440" w:type="dxa"/>
          </w:tcPr>
          <w:p w14:paraId="3DE4BE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B7136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154C3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BE8F8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(передки, лафеты</w:t>
            </w:r>
          </w:p>
        </w:tc>
      </w:tr>
      <w:tr w:rsidR="00A259BD" w:rsidRPr="00A259BD" w14:paraId="67B35FDC" w14:textId="77777777">
        <w:tc>
          <w:tcPr>
            <w:tcW w:w="2160" w:type="dxa"/>
          </w:tcPr>
          <w:p w14:paraId="5232FF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Киевский Арсенал)</w:t>
            </w:r>
          </w:p>
        </w:tc>
        <w:tc>
          <w:tcPr>
            <w:tcW w:w="1440" w:type="dxa"/>
          </w:tcPr>
          <w:p w14:paraId="097D6E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BFBB1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1CC6E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ACAF8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повозки, текстильные</w:t>
            </w:r>
          </w:p>
        </w:tc>
      </w:tr>
      <w:tr w:rsidR="00A259BD" w:rsidRPr="00A259BD" w14:paraId="7267D1B7" w14:textId="77777777">
        <w:tc>
          <w:tcPr>
            <w:tcW w:w="2160" w:type="dxa"/>
          </w:tcPr>
          <w:p w14:paraId="677178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Киев</w:t>
            </w:r>
          </w:p>
        </w:tc>
        <w:tc>
          <w:tcPr>
            <w:tcW w:w="1440" w:type="dxa"/>
          </w:tcPr>
          <w:p w14:paraId="072E70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3035</w:t>
            </w:r>
          </w:p>
        </w:tc>
        <w:tc>
          <w:tcPr>
            <w:tcW w:w="1440" w:type="dxa"/>
          </w:tcPr>
          <w:p w14:paraId="1BA132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8124,8</w:t>
            </w:r>
          </w:p>
        </w:tc>
        <w:tc>
          <w:tcPr>
            <w:tcW w:w="1440" w:type="dxa"/>
          </w:tcPr>
          <w:p w14:paraId="121F4C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3821,3</w:t>
            </w:r>
          </w:p>
        </w:tc>
        <w:tc>
          <w:tcPr>
            <w:tcW w:w="2417" w:type="dxa"/>
          </w:tcPr>
          <w:p w14:paraId="55C7F0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машины)</w:t>
            </w:r>
          </w:p>
        </w:tc>
      </w:tr>
      <w:tr w:rsidR="00A259BD" w:rsidRPr="00A259BD" w14:paraId="2B034382" w14:textId="77777777">
        <w:tc>
          <w:tcPr>
            <w:tcW w:w="2160" w:type="dxa"/>
          </w:tcPr>
          <w:p w14:paraId="13E549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w:t>
            </w:r>
            <w:proofErr w:type="spellStart"/>
            <w:r w:rsidRPr="00A259BD">
              <w:rPr>
                <w:rFonts w:ascii="Times New Roman" w:hAnsi="Times New Roman"/>
                <w:color w:val="000000" w:themeColor="text1"/>
                <w:sz w:val="16"/>
                <w:szCs w:val="16"/>
              </w:rPr>
              <w:t>Мостяжарт</w:t>
            </w:r>
            <w:proofErr w:type="spellEnd"/>
          </w:p>
        </w:tc>
        <w:tc>
          <w:tcPr>
            <w:tcW w:w="1440" w:type="dxa"/>
          </w:tcPr>
          <w:p w14:paraId="5E38DC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67294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4AD17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F6FB1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(противогазы, котлы</w:t>
            </w:r>
          </w:p>
        </w:tc>
      </w:tr>
      <w:tr w:rsidR="00A259BD" w:rsidRPr="00A259BD" w14:paraId="7C36C924" w14:textId="77777777">
        <w:tc>
          <w:tcPr>
            <w:tcW w:w="2160" w:type="dxa"/>
          </w:tcPr>
          <w:p w14:paraId="374198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Москва</w:t>
            </w:r>
          </w:p>
        </w:tc>
        <w:tc>
          <w:tcPr>
            <w:tcW w:w="1440" w:type="dxa"/>
          </w:tcPr>
          <w:p w14:paraId="6A877B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1705</w:t>
            </w:r>
          </w:p>
        </w:tc>
        <w:tc>
          <w:tcPr>
            <w:tcW w:w="1440" w:type="dxa"/>
          </w:tcPr>
          <w:p w14:paraId="6A98A7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7546,0</w:t>
            </w:r>
          </w:p>
        </w:tc>
        <w:tc>
          <w:tcPr>
            <w:tcW w:w="1440" w:type="dxa"/>
          </w:tcPr>
          <w:p w14:paraId="7D646B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5072,2</w:t>
            </w:r>
          </w:p>
        </w:tc>
        <w:tc>
          <w:tcPr>
            <w:tcW w:w="2417" w:type="dxa"/>
          </w:tcPr>
          <w:p w14:paraId="1071E3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авиабомбы, арматура)</w:t>
            </w:r>
          </w:p>
        </w:tc>
      </w:tr>
      <w:tr w:rsidR="00A259BD" w:rsidRPr="00A259BD" w14:paraId="621DBD35" w14:textId="77777777">
        <w:tc>
          <w:tcPr>
            <w:tcW w:w="2160" w:type="dxa"/>
          </w:tcPr>
          <w:p w14:paraId="5CCF5D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A4753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D67FF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9C670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CD77E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DE8AB18" w14:textId="77777777">
        <w:tc>
          <w:tcPr>
            <w:tcW w:w="2160" w:type="dxa"/>
          </w:tcPr>
          <w:p w14:paraId="29F094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ОРУЖЕЙНО-ПУЛЕМЕТНЫЙ ТРЕСТ</w:t>
            </w:r>
          </w:p>
        </w:tc>
        <w:tc>
          <w:tcPr>
            <w:tcW w:w="1440" w:type="dxa"/>
          </w:tcPr>
          <w:p w14:paraId="0D9075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9FD01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A37C9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92A11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CA230EB" w14:textId="77777777">
        <w:tc>
          <w:tcPr>
            <w:tcW w:w="2160" w:type="dxa"/>
          </w:tcPr>
          <w:p w14:paraId="11F8AC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ТОЗ (Тульские</w:t>
            </w:r>
          </w:p>
        </w:tc>
        <w:tc>
          <w:tcPr>
            <w:tcW w:w="1440" w:type="dxa"/>
          </w:tcPr>
          <w:p w14:paraId="0BF15E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5D100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DFCD7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7D6F5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(винтовки, пулеметы,</w:t>
            </w:r>
          </w:p>
        </w:tc>
      </w:tr>
      <w:tr w:rsidR="00A259BD" w:rsidRPr="00A259BD" w14:paraId="4731BFA9" w14:textId="77777777">
        <w:tc>
          <w:tcPr>
            <w:tcW w:w="2160" w:type="dxa"/>
          </w:tcPr>
          <w:p w14:paraId="353B6B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оружейные заводы)</w:t>
            </w:r>
          </w:p>
        </w:tc>
        <w:tc>
          <w:tcPr>
            <w:tcW w:w="1440" w:type="dxa"/>
          </w:tcPr>
          <w:p w14:paraId="43A58B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0D7FB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8D5A7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795C1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охотничьи ружья,</w:t>
            </w:r>
          </w:p>
        </w:tc>
      </w:tr>
      <w:tr w:rsidR="00A259BD" w:rsidRPr="00A259BD" w14:paraId="24DF9DA4" w14:textId="77777777">
        <w:tc>
          <w:tcPr>
            <w:tcW w:w="2160" w:type="dxa"/>
          </w:tcPr>
          <w:p w14:paraId="5A929A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Тула</w:t>
            </w:r>
          </w:p>
        </w:tc>
        <w:tc>
          <w:tcPr>
            <w:tcW w:w="1440" w:type="dxa"/>
          </w:tcPr>
          <w:p w14:paraId="4540CD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15800</w:t>
            </w:r>
          </w:p>
        </w:tc>
        <w:tc>
          <w:tcPr>
            <w:tcW w:w="1440" w:type="dxa"/>
          </w:tcPr>
          <w:p w14:paraId="621D2C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39689,5</w:t>
            </w:r>
          </w:p>
        </w:tc>
        <w:tc>
          <w:tcPr>
            <w:tcW w:w="1440" w:type="dxa"/>
          </w:tcPr>
          <w:p w14:paraId="145028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19890,4</w:t>
            </w:r>
          </w:p>
        </w:tc>
        <w:tc>
          <w:tcPr>
            <w:tcW w:w="2417" w:type="dxa"/>
          </w:tcPr>
          <w:p w14:paraId="62384C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станки, ватермашины)</w:t>
            </w:r>
          </w:p>
        </w:tc>
      </w:tr>
      <w:tr w:rsidR="00A259BD" w:rsidRPr="00A259BD" w14:paraId="0F82B5E2" w14:textId="77777777">
        <w:tc>
          <w:tcPr>
            <w:tcW w:w="2160" w:type="dxa"/>
          </w:tcPr>
          <w:p w14:paraId="31AF73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ИОЗ (Ижевские</w:t>
            </w:r>
          </w:p>
        </w:tc>
        <w:tc>
          <w:tcPr>
            <w:tcW w:w="1440" w:type="dxa"/>
          </w:tcPr>
          <w:p w14:paraId="32EBBD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8D9FA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D629B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AF762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(винтовки, обоймы,</w:t>
            </w:r>
          </w:p>
        </w:tc>
      </w:tr>
      <w:tr w:rsidR="00A259BD" w:rsidRPr="00A259BD" w14:paraId="2D163D48" w14:textId="77777777">
        <w:tc>
          <w:tcPr>
            <w:tcW w:w="2160" w:type="dxa"/>
          </w:tcPr>
          <w:p w14:paraId="248862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оружейные и сталелитейные</w:t>
            </w:r>
          </w:p>
        </w:tc>
        <w:tc>
          <w:tcPr>
            <w:tcW w:w="1440" w:type="dxa"/>
          </w:tcPr>
          <w:p w14:paraId="1F334E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E49EE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53C93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FEAC8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охотничьи ружья,</w:t>
            </w:r>
          </w:p>
        </w:tc>
      </w:tr>
      <w:tr w:rsidR="00A259BD" w:rsidRPr="00A259BD" w14:paraId="4DAD44AF" w14:textId="77777777">
        <w:tc>
          <w:tcPr>
            <w:tcW w:w="2160" w:type="dxa"/>
          </w:tcPr>
          <w:p w14:paraId="4939B9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w:t>
            </w:r>
          </w:p>
        </w:tc>
        <w:tc>
          <w:tcPr>
            <w:tcW w:w="1440" w:type="dxa"/>
          </w:tcPr>
          <w:p w14:paraId="468626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378FA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33C0F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22201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инструмент, станки,</w:t>
            </w:r>
          </w:p>
        </w:tc>
      </w:tr>
      <w:tr w:rsidR="00A259BD" w:rsidRPr="00A259BD" w14:paraId="7DEA26C3" w14:textId="77777777">
        <w:tc>
          <w:tcPr>
            <w:tcW w:w="2160" w:type="dxa"/>
          </w:tcPr>
          <w:p w14:paraId="0B30D4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Ижевск</w:t>
            </w:r>
          </w:p>
        </w:tc>
        <w:tc>
          <w:tcPr>
            <w:tcW w:w="1440" w:type="dxa"/>
          </w:tcPr>
          <w:p w14:paraId="6B5608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18970</w:t>
            </w:r>
          </w:p>
        </w:tc>
        <w:tc>
          <w:tcPr>
            <w:tcW w:w="1440" w:type="dxa"/>
          </w:tcPr>
          <w:p w14:paraId="5E92C3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29104,4</w:t>
            </w:r>
          </w:p>
        </w:tc>
        <w:tc>
          <w:tcPr>
            <w:tcW w:w="1440" w:type="dxa"/>
          </w:tcPr>
          <w:p w14:paraId="3F74C4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22310,4</w:t>
            </w:r>
          </w:p>
        </w:tc>
        <w:tc>
          <w:tcPr>
            <w:tcW w:w="2417" w:type="dxa"/>
          </w:tcPr>
          <w:p w14:paraId="7D95FB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сталь, </w:t>
            </w:r>
            <w:proofErr w:type="spellStart"/>
            <w:r w:rsidRPr="00A259BD">
              <w:rPr>
                <w:rFonts w:ascii="Times New Roman" w:hAnsi="Times New Roman"/>
                <w:color w:val="000000" w:themeColor="text1"/>
                <w:sz w:val="16"/>
                <w:szCs w:val="16"/>
              </w:rPr>
              <w:t>авиапоковки</w:t>
            </w:r>
            <w:proofErr w:type="spellEnd"/>
            <w:r w:rsidRPr="00A259BD">
              <w:rPr>
                <w:rFonts w:ascii="Times New Roman" w:hAnsi="Times New Roman"/>
                <w:color w:val="000000" w:themeColor="text1"/>
                <w:sz w:val="16"/>
                <w:szCs w:val="16"/>
              </w:rPr>
              <w:t>)</w:t>
            </w:r>
          </w:p>
        </w:tc>
      </w:tr>
      <w:tr w:rsidR="00A259BD" w:rsidRPr="00A259BD" w14:paraId="5E0F5478" w14:textId="77777777">
        <w:tc>
          <w:tcPr>
            <w:tcW w:w="2160" w:type="dxa"/>
          </w:tcPr>
          <w:p w14:paraId="1ADDFC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ИНЗ (Ковровский</w:t>
            </w:r>
          </w:p>
        </w:tc>
        <w:tc>
          <w:tcPr>
            <w:tcW w:w="1440" w:type="dxa"/>
          </w:tcPr>
          <w:p w14:paraId="513454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F9DFE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B3824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3E5B2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(пулеметы Дегтярева,</w:t>
            </w:r>
          </w:p>
        </w:tc>
      </w:tr>
      <w:tr w:rsidR="00A259BD" w:rsidRPr="00A259BD" w14:paraId="5B0FFC2A" w14:textId="77777777">
        <w:tc>
          <w:tcPr>
            <w:tcW w:w="2160" w:type="dxa"/>
          </w:tcPr>
          <w:p w14:paraId="0D2855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пулеметный завод)</w:t>
            </w:r>
          </w:p>
        </w:tc>
        <w:tc>
          <w:tcPr>
            <w:tcW w:w="1440" w:type="dxa"/>
          </w:tcPr>
          <w:p w14:paraId="5F74AF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A6D47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D4FF9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01970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авиационное и </w:t>
            </w:r>
            <w:proofErr w:type="spellStart"/>
            <w:r w:rsidRPr="00A259BD">
              <w:rPr>
                <w:rFonts w:ascii="Times New Roman" w:hAnsi="Times New Roman"/>
                <w:color w:val="000000" w:themeColor="text1"/>
                <w:sz w:val="16"/>
                <w:szCs w:val="16"/>
              </w:rPr>
              <w:t>тан</w:t>
            </w:r>
            <w:proofErr w:type="spellEnd"/>
            <w:r w:rsidRPr="00A259BD">
              <w:rPr>
                <w:rFonts w:ascii="Times New Roman" w:hAnsi="Times New Roman"/>
                <w:color w:val="000000" w:themeColor="text1"/>
                <w:sz w:val="16"/>
                <w:szCs w:val="16"/>
              </w:rPr>
              <w:t>-</w:t>
            </w:r>
          </w:p>
        </w:tc>
      </w:tr>
      <w:tr w:rsidR="00A259BD" w:rsidRPr="00A259BD" w14:paraId="3BDC5F7C" w14:textId="77777777">
        <w:tc>
          <w:tcPr>
            <w:tcW w:w="2160" w:type="dxa"/>
          </w:tcPr>
          <w:p w14:paraId="0F49AC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Ковров</w:t>
            </w:r>
          </w:p>
        </w:tc>
        <w:tc>
          <w:tcPr>
            <w:tcW w:w="1440" w:type="dxa"/>
          </w:tcPr>
          <w:p w14:paraId="187805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4325</w:t>
            </w:r>
          </w:p>
        </w:tc>
        <w:tc>
          <w:tcPr>
            <w:tcW w:w="1440" w:type="dxa"/>
          </w:tcPr>
          <w:p w14:paraId="4F697A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17687,1</w:t>
            </w:r>
          </w:p>
        </w:tc>
        <w:tc>
          <w:tcPr>
            <w:tcW w:w="1440" w:type="dxa"/>
          </w:tcPr>
          <w:p w14:paraId="1C965D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417" w:type="dxa"/>
          </w:tcPr>
          <w:p w14:paraId="4F8EFF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ковое</w:t>
            </w:r>
            <w:proofErr w:type="spellEnd"/>
            <w:r w:rsidRPr="00A259BD">
              <w:rPr>
                <w:rFonts w:ascii="Times New Roman" w:hAnsi="Times New Roman"/>
                <w:color w:val="000000" w:themeColor="text1"/>
                <w:sz w:val="16"/>
                <w:szCs w:val="16"/>
              </w:rPr>
              <w:t xml:space="preserve"> вооружение)</w:t>
            </w:r>
          </w:p>
        </w:tc>
      </w:tr>
      <w:tr w:rsidR="00A259BD" w:rsidRPr="00A259BD" w14:paraId="7E415BE0" w14:textId="77777777">
        <w:tc>
          <w:tcPr>
            <w:tcW w:w="2160" w:type="dxa"/>
          </w:tcPr>
          <w:p w14:paraId="1047DA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СИЗ (Сестрорецкий</w:t>
            </w:r>
          </w:p>
        </w:tc>
        <w:tc>
          <w:tcPr>
            <w:tcW w:w="1440" w:type="dxa"/>
          </w:tcPr>
          <w:p w14:paraId="2FA4EA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4D212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A231E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060D7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(лекала, шаблоны, де-</w:t>
            </w:r>
          </w:p>
        </w:tc>
      </w:tr>
      <w:tr w:rsidR="00A259BD" w:rsidRPr="00A259BD" w14:paraId="0318DC80" w14:textId="77777777">
        <w:tc>
          <w:tcPr>
            <w:tcW w:w="2160" w:type="dxa"/>
          </w:tcPr>
          <w:p w14:paraId="2C6EA7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инструментальный завод)</w:t>
            </w:r>
          </w:p>
        </w:tc>
        <w:tc>
          <w:tcPr>
            <w:tcW w:w="1440" w:type="dxa"/>
          </w:tcPr>
          <w:p w14:paraId="2C2FB2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CEA97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ED5D6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C8CDD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тали, инструмент,</w:t>
            </w:r>
          </w:p>
        </w:tc>
      </w:tr>
      <w:tr w:rsidR="00A259BD" w:rsidRPr="00A259BD" w14:paraId="02E1973C" w14:textId="77777777">
        <w:tc>
          <w:tcPr>
            <w:tcW w:w="2160" w:type="dxa"/>
          </w:tcPr>
          <w:p w14:paraId="6BCFCB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Сестрорецк</w:t>
            </w:r>
          </w:p>
        </w:tc>
        <w:tc>
          <w:tcPr>
            <w:tcW w:w="1440" w:type="dxa"/>
          </w:tcPr>
          <w:p w14:paraId="1DCA65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3735</w:t>
            </w:r>
          </w:p>
        </w:tc>
        <w:tc>
          <w:tcPr>
            <w:tcW w:w="1440" w:type="dxa"/>
          </w:tcPr>
          <w:p w14:paraId="789AF0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11114,6</w:t>
            </w:r>
          </w:p>
        </w:tc>
        <w:tc>
          <w:tcPr>
            <w:tcW w:w="1440" w:type="dxa"/>
          </w:tcPr>
          <w:p w14:paraId="6B02F3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8754,6</w:t>
            </w:r>
          </w:p>
        </w:tc>
        <w:tc>
          <w:tcPr>
            <w:tcW w:w="2417" w:type="dxa"/>
          </w:tcPr>
          <w:p w14:paraId="6B53A4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челноки)</w:t>
            </w:r>
          </w:p>
        </w:tc>
      </w:tr>
      <w:tr w:rsidR="00A259BD" w:rsidRPr="00A259BD" w14:paraId="215CD164" w14:textId="77777777">
        <w:tc>
          <w:tcPr>
            <w:tcW w:w="2160" w:type="dxa"/>
          </w:tcPr>
          <w:p w14:paraId="23737B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ЛИЗ-Красногвардеец</w:t>
            </w:r>
          </w:p>
        </w:tc>
        <w:tc>
          <w:tcPr>
            <w:tcW w:w="1440" w:type="dxa"/>
          </w:tcPr>
          <w:p w14:paraId="2049C8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9A125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632B3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20B2A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9D4FE6E" w14:textId="77777777">
        <w:tc>
          <w:tcPr>
            <w:tcW w:w="2160" w:type="dxa"/>
          </w:tcPr>
          <w:p w14:paraId="00D9BE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б.завод</w:t>
            </w:r>
            <w:proofErr w:type="spellEnd"/>
            <w:r w:rsidRPr="00A259BD">
              <w:rPr>
                <w:rFonts w:ascii="Times New Roman" w:hAnsi="Times New Roman"/>
                <w:color w:val="000000" w:themeColor="text1"/>
                <w:sz w:val="16"/>
                <w:szCs w:val="16"/>
              </w:rPr>
              <w:t xml:space="preserve"> врачебных</w:t>
            </w:r>
          </w:p>
        </w:tc>
        <w:tc>
          <w:tcPr>
            <w:tcW w:w="1440" w:type="dxa"/>
          </w:tcPr>
          <w:p w14:paraId="3C6082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D8CD1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E5FB1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82260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(хирургический ин-</w:t>
            </w:r>
          </w:p>
        </w:tc>
      </w:tr>
      <w:tr w:rsidR="00A259BD" w:rsidRPr="00A259BD" w14:paraId="3EC09888" w14:textId="77777777">
        <w:tc>
          <w:tcPr>
            <w:tcW w:w="2160" w:type="dxa"/>
          </w:tcPr>
          <w:p w14:paraId="1B318B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изготовлений)</w:t>
            </w:r>
          </w:p>
        </w:tc>
        <w:tc>
          <w:tcPr>
            <w:tcW w:w="1440" w:type="dxa"/>
          </w:tcPr>
          <w:p w14:paraId="56D454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AB7F2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DEE53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B1279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примуса, паяльные</w:t>
            </w:r>
          </w:p>
        </w:tc>
      </w:tr>
      <w:tr w:rsidR="00A259BD" w:rsidRPr="00A259BD" w14:paraId="4963DC59" w14:textId="77777777">
        <w:tc>
          <w:tcPr>
            <w:tcW w:w="2160" w:type="dxa"/>
          </w:tcPr>
          <w:p w14:paraId="7DA86E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Ленинград</w:t>
            </w:r>
          </w:p>
        </w:tc>
        <w:tc>
          <w:tcPr>
            <w:tcW w:w="1440" w:type="dxa"/>
          </w:tcPr>
          <w:p w14:paraId="41AD91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2070</w:t>
            </w:r>
          </w:p>
        </w:tc>
        <w:tc>
          <w:tcPr>
            <w:tcW w:w="1440" w:type="dxa"/>
          </w:tcPr>
          <w:p w14:paraId="3AACBB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7663,4</w:t>
            </w:r>
          </w:p>
        </w:tc>
        <w:tc>
          <w:tcPr>
            <w:tcW w:w="1440" w:type="dxa"/>
          </w:tcPr>
          <w:p w14:paraId="0F90A7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7663,4</w:t>
            </w:r>
          </w:p>
        </w:tc>
        <w:tc>
          <w:tcPr>
            <w:tcW w:w="2417" w:type="dxa"/>
          </w:tcPr>
          <w:p w14:paraId="3B7317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лампы)</w:t>
            </w:r>
          </w:p>
        </w:tc>
      </w:tr>
      <w:tr w:rsidR="00A259BD" w:rsidRPr="00A259BD" w14:paraId="61C4C25E" w14:textId="77777777">
        <w:tc>
          <w:tcPr>
            <w:tcW w:w="2160" w:type="dxa"/>
          </w:tcPr>
          <w:p w14:paraId="17091E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3F211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8830B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65C6F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3384B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CE0D922" w14:textId="77777777">
        <w:tc>
          <w:tcPr>
            <w:tcW w:w="2160" w:type="dxa"/>
          </w:tcPr>
          <w:p w14:paraId="54618E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ПАТРОННО-ТРУБОЧНЫЙ ТРЕСТ</w:t>
            </w:r>
          </w:p>
        </w:tc>
        <w:tc>
          <w:tcPr>
            <w:tcW w:w="1440" w:type="dxa"/>
          </w:tcPr>
          <w:p w14:paraId="3D9562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6E6EC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417F7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67621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57B573F" w14:textId="77777777">
        <w:tc>
          <w:tcPr>
            <w:tcW w:w="2160" w:type="dxa"/>
          </w:tcPr>
          <w:p w14:paraId="78F6BC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ТПЗ (Тульский</w:t>
            </w:r>
          </w:p>
        </w:tc>
        <w:tc>
          <w:tcPr>
            <w:tcW w:w="1440" w:type="dxa"/>
          </w:tcPr>
          <w:p w14:paraId="2CA687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B998F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D190A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4A553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(винт. и </w:t>
            </w:r>
            <w:proofErr w:type="spellStart"/>
            <w:r w:rsidRPr="00A259BD">
              <w:rPr>
                <w:rFonts w:ascii="Times New Roman" w:hAnsi="Times New Roman"/>
                <w:color w:val="000000" w:themeColor="text1"/>
                <w:sz w:val="16"/>
                <w:szCs w:val="16"/>
              </w:rPr>
              <w:t>револьв</w:t>
            </w:r>
            <w:proofErr w:type="spellEnd"/>
            <w:r w:rsidRPr="00A259BD">
              <w:rPr>
                <w:rFonts w:ascii="Times New Roman" w:hAnsi="Times New Roman"/>
                <w:color w:val="000000" w:themeColor="text1"/>
                <w:sz w:val="16"/>
                <w:szCs w:val="16"/>
              </w:rPr>
              <w:t>.</w:t>
            </w:r>
          </w:p>
        </w:tc>
      </w:tr>
      <w:tr w:rsidR="00A259BD" w:rsidRPr="00A259BD" w14:paraId="70A30BB2" w14:textId="77777777">
        <w:tc>
          <w:tcPr>
            <w:tcW w:w="2160" w:type="dxa"/>
          </w:tcPr>
          <w:p w14:paraId="57CEE4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патронный завод)</w:t>
            </w:r>
          </w:p>
        </w:tc>
        <w:tc>
          <w:tcPr>
            <w:tcW w:w="1440" w:type="dxa"/>
          </w:tcPr>
          <w:p w14:paraId="3721E4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A409F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C3A04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8DE3B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патроны, пушечные</w:t>
            </w:r>
          </w:p>
        </w:tc>
      </w:tr>
      <w:tr w:rsidR="00A259BD" w:rsidRPr="00A259BD" w14:paraId="2D2EF787" w14:textId="77777777">
        <w:tc>
          <w:tcPr>
            <w:tcW w:w="2160" w:type="dxa"/>
          </w:tcPr>
          <w:p w14:paraId="3A0494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г. Тула</w:t>
            </w:r>
          </w:p>
        </w:tc>
        <w:tc>
          <w:tcPr>
            <w:tcW w:w="1440" w:type="dxa"/>
          </w:tcPr>
          <w:p w14:paraId="5CD29C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7056</w:t>
            </w:r>
          </w:p>
        </w:tc>
        <w:tc>
          <w:tcPr>
            <w:tcW w:w="1440" w:type="dxa"/>
          </w:tcPr>
          <w:p w14:paraId="16DCB1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20762,0</w:t>
            </w:r>
          </w:p>
        </w:tc>
        <w:tc>
          <w:tcPr>
            <w:tcW w:w="1440" w:type="dxa"/>
          </w:tcPr>
          <w:p w14:paraId="2B9292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1347,0</w:t>
            </w:r>
          </w:p>
        </w:tc>
        <w:tc>
          <w:tcPr>
            <w:tcW w:w="2417" w:type="dxa"/>
          </w:tcPr>
          <w:p w14:paraId="3115D2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гильзы, самовары)</w:t>
            </w:r>
          </w:p>
        </w:tc>
      </w:tr>
      <w:tr w:rsidR="00A259BD" w:rsidRPr="00A259BD" w14:paraId="0E2F3A91" w14:textId="77777777">
        <w:tc>
          <w:tcPr>
            <w:tcW w:w="2160" w:type="dxa"/>
          </w:tcPr>
          <w:p w14:paraId="7DDAC4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Завод N 60</w:t>
            </w:r>
          </w:p>
        </w:tc>
        <w:tc>
          <w:tcPr>
            <w:tcW w:w="1440" w:type="dxa"/>
          </w:tcPr>
          <w:p w14:paraId="4CB3D6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A3129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B216C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C4355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4D99A95" w14:textId="77777777">
        <w:tc>
          <w:tcPr>
            <w:tcW w:w="2160" w:type="dxa"/>
          </w:tcPr>
          <w:p w14:paraId="44E675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Луганский патронный)</w:t>
            </w:r>
          </w:p>
        </w:tc>
        <w:tc>
          <w:tcPr>
            <w:tcW w:w="1440" w:type="dxa"/>
          </w:tcPr>
          <w:p w14:paraId="58313C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3E966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C0417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3F97A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(патроны, замки,</w:t>
            </w:r>
          </w:p>
        </w:tc>
      </w:tr>
      <w:tr w:rsidR="00A259BD" w:rsidRPr="00A259BD" w14:paraId="10C8104E" w14:textId="77777777">
        <w:tc>
          <w:tcPr>
            <w:tcW w:w="2160" w:type="dxa"/>
          </w:tcPr>
          <w:p w14:paraId="1B0C25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Луганск</w:t>
            </w:r>
          </w:p>
        </w:tc>
        <w:tc>
          <w:tcPr>
            <w:tcW w:w="1440" w:type="dxa"/>
          </w:tcPr>
          <w:p w14:paraId="3C1374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3199</w:t>
            </w:r>
          </w:p>
        </w:tc>
        <w:tc>
          <w:tcPr>
            <w:tcW w:w="1440" w:type="dxa"/>
          </w:tcPr>
          <w:p w14:paraId="517002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9100,7</w:t>
            </w:r>
          </w:p>
        </w:tc>
        <w:tc>
          <w:tcPr>
            <w:tcW w:w="1440" w:type="dxa"/>
          </w:tcPr>
          <w:p w14:paraId="510C0B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3102,6</w:t>
            </w:r>
          </w:p>
        </w:tc>
        <w:tc>
          <w:tcPr>
            <w:tcW w:w="2417" w:type="dxa"/>
          </w:tcPr>
          <w:p w14:paraId="5618CE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электроарматура)</w:t>
            </w:r>
          </w:p>
        </w:tc>
      </w:tr>
      <w:tr w:rsidR="00A259BD" w:rsidRPr="00A259BD" w14:paraId="628DA0F1" w14:textId="77777777">
        <w:tc>
          <w:tcPr>
            <w:tcW w:w="2160" w:type="dxa"/>
          </w:tcPr>
          <w:p w14:paraId="662633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Завод N 3</w:t>
            </w:r>
          </w:p>
        </w:tc>
        <w:tc>
          <w:tcPr>
            <w:tcW w:w="1440" w:type="dxa"/>
          </w:tcPr>
          <w:p w14:paraId="629304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D2A23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4A57D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BD9EE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8C57B25" w14:textId="77777777">
        <w:tc>
          <w:tcPr>
            <w:tcW w:w="2160" w:type="dxa"/>
          </w:tcPr>
          <w:p w14:paraId="6E6416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Симбирский патронный)</w:t>
            </w:r>
          </w:p>
        </w:tc>
        <w:tc>
          <w:tcPr>
            <w:tcW w:w="1440" w:type="dxa"/>
          </w:tcPr>
          <w:p w14:paraId="10D0E9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9A543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409EF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5C2F97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(патроны, </w:t>
            </w:r>
            <w:proofErr w:type="spellStart"/>
            <w:r w:rsidRPr="00A259BD">
              <w:rPr>
                <w:rFonts w:ascii="Times New Roman" w:hAnsi="Times New Roman"/>
                <w:color w:val="000000" w:themeColor="text1"/>
                <w:sz w:val="16"/>
                <w:szCs w:val="16"/>
              </w:rPr>
              <w:t>радиоиз</w:t>
            </w:r>
            <w:proofErr w:type="spellEnd"/>
            <w:r w:rsidRPr="00A259BD">
              <w:rPr>
                <w:rFonts w:ascii="Times New Roman" w:hAnsi="Times New Roman"/>
                <w:color w:val="000000" w:themeColor="text1"/>
                <w:sz w:val="16"/>
                <w:szCs w:val="16"/>
              </w:rPr>
              <w:t>-</w:t>
            </w:r>
          </w:p>
        </w:tc>
      </w:tr>
      <w:tr w:rsidR="00A259BD" w:rsidRPr="00A259BD" w14:paraId="0E8EF8FA" w14:textId="77777777">
        <w:tc>
          <w:tcPr>
            <w:tcW w:w="2160" w:type="dxa"/>
          </w:tcPr>
          <w:p w14:paraId="3B1210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Ульяновск</w:t>
            </w:r>
          </w:p>
        </w:tc>
        <w:tc>
          <w:tcPr>
            <w:tcW w:w="1440" w:type="dxa"/>
          </w:tcPr>
          <w:p w14:paraId="3EFFE7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3075</w:t>
            </w:r>
          </w:p>
        </w:tc>
        <w:tc>
          <w:tcPr>
            <w:tcW w:w="1440" w:type="dxa"/>
          </w:tcPr>
          <w:p w14:paraId="7A5077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7333,7</w:t>
            </w:r>
          </w:p>
        </w:tc>
        <w:tc>
          <w:tcPr>
            <w:tcW w:w="1440" w:type="dxa"/>
          </w:tcPr>
          <w:p w14:paraId="7C0655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3789,9</w:t>
            </w:r>
          </w:p>
        </w:tc>
        <w:tc>
          <w:tcPr>
            <w:tcW w:w="2417" w:type="dxa"/>
          </w:tcPr>
          <w:p w14:paraId="1A10B8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делия</w:t>
            </w:r>
            <w:proofErr w:type="spellEnd"/>
            <w:r w:rsidRPr="00A259BD">
              <w:rPr>
                <w:rFonts w:ascii="Times New Roman" w:hAnsi="Times New Roman"/>
                <w:color w:val="000000" w:themeColor="text1"/>
                <w:sz w:val="16"/>
                <w:szCs w:val="16"/>
              </w:rPr>
              <w:t>, гильзы)</w:t>
            </w:r>
          </w:p>
        </w:tc>
      </w:tr>
      <w:tr w:rsidR="00A259BD" w:rsidRPr="00A259BD" w14:paraId="34019025" w14:textId="77777777">
        <w:tc>
          <w:tcPr>
            <w:tcW w:w="2160" w:type="dxa"/>
          </w:tcPr>
          <w:p w14:paraId="1DF25A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Завод N 17</w:t>
            </w:r>
          </w:p>
        </w:tc>
        <w:tc>
          <w:tcPr>
            <w:tcW w:w="1440" w:type="dxa"/>
          </w:tcPr>
          <w:p w14:paraId="7586A5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98851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DA118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838BE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F11E8B7" w14:textId="77777777">
        <w:tc>
          <w:tcPr>
            <w:tcW w:w="2160" w:type="dxa"/>
          </w:tcPr>
          <w:p w14:paraId="3B03B3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Подольский патронный)</w:t>
            </w:r>
          </w:p>
        </w:tc>
        <w:tc>
          <w:tcPr>
            <w:tcW w:w="1440" w:type="dxa"/>
          </w:tcPr>
          <w:p w14:paraId="180F1F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73EF0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4A921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778C4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D168959" w14:textId="77777777">
        <w:tc>
          <w:tcPr>
            <w:tcW w:w="2160" w:type="dxa"/>
          </w:tcPr>
          <w:p w14:paraId="6D19B8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Подольск</w:t>
            </w:r>
          </w:p>
        </w:tc>
        <w:tc>
          <w:tcPr>
            <w:tcW w:w="1440" w:type="dxa"/>
          </w:tcPr>
          <w:p w14:paraId="0ED668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1449</w:t>
            </w:r>
          </w:p>
        </w:tc>
        <w:tc>
          <w:tcPr>
            <w:tcW w:w="1440" w:type="dxa"/>
          </w:tcPr>
          <w:p w14:paraId="5263A7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4337,1</w:t>
            </w:r>
          </w:p>
        </w:tc>
        <w:tc>
          <w:tcPr>
            <w:tcW w:w="1440" w:type="dxa"/>
          </w:tcPr>
          <w:p w14:paraId="540E50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1766,6</w:t>
            </w:r>
          </w:p>
        </w:tc>
        <w:tc>
          <w:tcPr>
            <w:tcW w:w="2417" w:type="dxa"/>
          </w:tcPr>
          <w:p w14:paraId="442511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(патроны, электроды)</w:t>
            </w:r>
          </w:p>
        </w:tc>
      </w:tr>
      <w:tr w:rsidR="00A259BD" w:rsidRPr="00A259BD" w14:paraId="0884ECE5" w14:textId="77777777">
        <w:tc>
          <w:tcPr>
            <w:tcW w:w="2160" w:type="dxa"/>
          </w:tcPr>
          <w:p w14:paraId="44A000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МДЗ</w:t>
            </w:r>
          </w:p>
        </w:tc>
        <w:tc>
          <w:tcPr>
            <w:tcW w:w="1440" w:type="dxa"/>
          </w:tcPr>
          <w:p w14:paraId="4936D7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7F6C0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039C3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30CAE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B28C9AA" w14:textId="77777777">
        <w:tc>
          <w:tcPr>
            <w:tcW w:w="2160" w:type="dxa"/>
          </w:tcPr>
          <w:p w14:paraId="6E80D0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Московский дроболитейный)</w:t>
            </w:r>
          </w:p>
        </w:tc>
        <w:tc>
          <w:tcPr>
            <w:tcW w:w="1440" w:type="dxa"/>
          </w:tcPr>
          <w:p w14:paraId="5EC7D6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381EF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AC161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7C712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(дробь, картечь,</w:t>
            </w:r>
          </w:p>
        </w:tc>
      </w:tr>
      <w:tr w:rsidR="00A259BD" w:rsidRPr="00A259BD" w14:paraId="242D8CD8" w14:textId="77777777">
        <w:tc>
          <w:tcPr>
            <w:tcW w:w="2160" w:type="dxa"/>
          </w:tcPr>
          <w:p w14:paraId="66CD69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Москва</w:t>
            </w:r>
          </w:p>
        </w:tc>
        <w:tc>
          <w:tcPr>
            <w:tcW w:w="1440" w:type="dxa"/>
          </w:tcPr>
          <w:p w14:paraId="71509A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614</w:t>
            </w:r>
          </w:p>
        </w:tc>
        <w:tc>
          <w:tcPr>
            <w:tcW w:w="1440" w:type="dxa"/>
          </w:tcPr>
          <w:p w14:paraId="3C3E99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8087,0</w:t>
            </w:r>
          </w:p>
        </w:tc>
        <w:tc>
          <w:tcPr>
            <w:tcW w:w="1440" w:type="dxa"/>
          </w:tcPr>
          <w:p w14:paraId="488F16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8050,7</w:t>
            </w:r>
          </w:p>
        </w:tc>
        <w:tc>
          <w:tcPr>
            <w:tcW w:w="2417" w:type="dxa"/>
          </w:tcPr>
          <w:p w14:paraId="344DB5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гильзы, радиодетали)</w:t>
            </w:r>
          </w:p>
        </w:tc>
      </w:tr>
      <w:tr w:rsidR="00A259BD" w:rsidRPr="00A259BD" w14:paraId="2BD1B492" w14:textId="77777777">
        <w:tc>
          <w:tcPr>
            <w:tcW w:w="2160" w:type="dxa"/>
          </w:tcPr>
          <w:p w14:paraId="028105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Завод N 4</w:t>
            </w:r>
          </w:p>
        </w:tc>
        <w:tc>
          <w:tcPr>
            <w:tcW w:w="1440" w:type="dxa"/>
          </w:tcPr>
          <w:p w14:paraId="2AAD66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946DA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E29D6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6295C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(взрыватели, трубки,</w:t>
            </w:r>
          </w:p>
        </w:tc>
      </w:tr>
      <w:tr w:rsidR="00A259BD" w:rsidRPr="00A259BD" w14:paraId="1CCF8E30" w14:textId="77777777">
        <w:tc>
          <w:tcPr>
            <w:tcW w:w="2160" w:type="dxa"/>
          </w:tcPr>
          <w:p w14:paraId="270903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Ленинградский трубочный)</w:t>
            </w:r>
          </w:p>
        </w:tc>
        <w:tc>
          <w:tcPr>
            <w:tcW w:w="1440" w:type="dxa"/>
          </w:tcPr>
          <w:p w14:paraId="1FC51F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85709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E0912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D1A16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гранаты, мясорубки,</w:t>
            </w:r>
          </w:p>
        </w:tc>
      </w:tr>
      <w:tr w:rsidR="00A259BD" w:rsidRPr="00A259BD" w14:paraId="2F1EC5E9" w14:textId="77777777">
        <w:tc>
          <w:tcPr>
            <w:tcW w:w="2160" w:type="dxa"/>
          </w:tcPr>
          <w:p w14:paraId="618E82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Ленинград</w:t>
            </w:r>
          </w:p>
        </w:tc>
        <w:tc>
          <w:tcPr>
            <w:tcW w:w="1440" w:type="dxa"/>
          </w:tcPr>
          <w:p w14:paraId="333927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4528</w:t>
            </w:r>
          </w:p>
        </w:tc>
        <w:tc>
          <w:tcPr>
            <w:tcW w:w="1440" w:type="dxa"/>
          </w:tcPr>
          <w:p w14:paraId="32A2D5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15277,2</w:t>
            </w:r>
          </w:p>
        </w:tc>
        <w:tc>
          <w:tcPr>
            <w:tcW w:w="1440" w:type="dxa"/>
          </w:tcPr>
          <w:p w14:paraId="2BDB07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8255,4</w:t>
            </w:r>
          </w:p>
        </w:tc>
        <w:tc>
          <w:tcPr>
            <w:tcW w:w="2417" w:type="dxa"/>
          </w:tcPr>
          <w:p w14:paraId="0CB24C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авт. и авиац. свечи)</w:t>
            </w:r>
          </w:p>
        </w:tc>
      </w:tr>
      <w:tr w:rsidR="00A259BD" w:rsidRPr="00A259BD" w14:paraId="31401DE9" w14:textId="77777777">
        <w:tc>
          <w:tcPr>
            <w:tcW w:w="2160" w:type="dxa"/>
          </w:tcPr>
          <w:p w14:paraId="4A9B39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Завод N 42</w:t>
            </w:r>
          </w:p>
        </w:tc>
        <w:tc>
          <w:tcPr>
            <w:tcW w:w="1440" w:type="dxa"/>
          </w:tcPr>
          <w:p w14:paraId="3FECB8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772DC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C845A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C8BFB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91D6A30" w14:textId="77777777">
        <w:tc>
          <w:tcPr>
            <w:tcW w:w="2160" w:type="dxa"/>
          </w:tcPr>
          <w:p w14:paraId="03C83A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Самарский трубочный)</w:t>
            </w:r>
          </w:p>
        </w:tc>
        <w:tc>
          <w:tcPr>
            <w:tcW w:w="1440" w:type="dxa"/>
          </w:tcPr>
          <w:p w14:paraId="3382C0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A0E86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A4D4C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27622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(трубки, запалы,</w:t>
            </w:r>
          </w:p>
        </w:tc>
      </w:tr>
      <w:tr w:rsidR="00A259BD" w:rsidRPr="00A259BD" w14:paraId="7C2E9107" w14:textId="77777777">
        <w:tc>
          <w:tcPr>
            <w:tcW w:w="2160" w:type="dxa"/>
          </w:tcPr>
          <w:p w14:paraId="287FB2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Самара</w:t>
            </w:r>
          </w:p>
        </w:tc>
        <w:tc>
          <w:tcPr>
            <w:tcW w:w="1440" w:type="dxa"/>
          </w:tcPr>
          <w:p w14:paraId="45F8ED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6922</w:t>
            </w:r>
          </w:p>
        </w:tc>
        <w:tc>
          <w:tcPr>
            <w:tcW w:w="1440" w:type="dxa"/>
          </w:tcPr>
          <w:p w14:paraId="79C7B5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20684,1</w:t>
            </w:r>
          </w:p>
        </w:tc>
        <w:tc>
          <w:tcPr>
            <w:tcW w:w="1440" w:type="dxa"/>
          </w:tcPr>
          <w:p w14:paraId="7D9C1B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7450,4</w:t>
            </w:r>
          </w:p>
        </w:tc>
        <w:tc>
          <w:tcPr>
            <w:tcW w:w="2417" w:type="dxa"/>
          </w:tcPr>
          <w:p w14:paraId="68D2DB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электроарматура)</w:t>
            </w:r>
          </w:p>
        </w:tc>
      </w:tr>
      <w:tr w:rsidR="00A259BD" w:rsidRPr="00A259BD" w14:paraId="47065524" w14:textId="77777777">
        <w:tc>
          <w:tcPr>
            <w:tcW w:w="2160" w:type="dxa"/>
          </w:tcPr>
          <w:p w14:paraId="217EB1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Завод N 50</w:t>
            </w:r>
          </w:p>
        </w:tc>
        <w:tc>
          <w:tcPr>
            <w:tcW w:w="1440" w:type="dxa"/>
          </w:tcPr>
          <w:p w14:paraId="1463D4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4E868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30E81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E7F5C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4635610" w14:textId="77777777">
        <w:tc>
          <w:tcPr>
            <w:tcW w:w="2160" w:type="dxa"/>
          </w:tcPr>
          <w:p w14:paraId="58FD10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Пензенский трубочный)</w:t>
            </w:r>
          </w:p>
        </w:tc>
        <w:tc>
          <w:tcPr>
            <w:tcW w:w="1440" w:type="dxa"/>
          </w:tcPr>
          <w:p w14:paraId="7F6587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4FBA8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571F8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06316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C16FB16" w14:textId="77777777">
        <w:tc>
          <w:tcPr>
            <w:tcW w:w="2160" w:type="dxa"/>
          </w:tcPr>
          <w:p w14:paraId="51E97F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Пенза</w:t>
            </w:r>
          </w:p>
        </w:tc>
        <w:tc>
          <w:tcPr>
            <w:tcW w:w="1440" w:type="dxa"/>
          </w:tcPr>
          <w:p w14:paraId="05D3DD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3070</w:t>
            </w:r>
          </w:p>
        </w:tc>
        <w:tc>
          <w:tcPr>
            <w:tcW w:w="1440" w:type="dxa"/>
          </w:tcPr>
          <w:p w14:paraId="2BF2AB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8961,0</w:t>
            </w:r>
          </w:p>
        </w:tc>
        <w:tc>
          <w:tcPr>
            <w:tcW w:w="1440" w:type="dxa"/>
          </w:tcPr>
          <w:p w14:paraId="17989D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5167,2</w:t>
            </w:r>
          </w:p>
        </w:tc>
        <w:tc>
          <w:tcPr>
            <w:tcW w:w="2417" w:type="dxa"/>
          </w:tcPr>
          <w:p w14:paraId="54D8CC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(трубки, велосипеды)</w:t>
            </w:r>
          </w:p>
        </w:tc>
      </w:tr>
      <w:tr w:rsidR="00A259BD" w:rsidRPr="00A259BD" w14:paraId="463224ED" w14:textId="77777777">
        <w:tc>
          <w:tcPr>
            <w:tcW w:w="2160" w:type="dxa"/>
          </w:tcPr>
          <w:p w14:paraId="38AB41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D0542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DC2EE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A5768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63FBC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6B28228" w14:textId="77777777">
        <w:tc>
          <w:tcPr>
            <w:tcW w:w="2160" w:type="dxa"/>
          </w:tcPr>
          <w:p w14:paraId="0CBF63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АВИАТРЕСТ</w:t>
            </w:r>
          </w:p>
        </w:tc>
        <w:tc>
          <w:tcPr>
            <w:tcW w:w="1440" w:type="dxa"/>
          </w:tcPr>
          <w:p w14:paraId="255AEE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C83C7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681CE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CD65C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82F1E33" w14:textId="77777777">
        <w:tc>
          <w:tcPr>
            <w:tcW w:w="2160" w:type="dxa"/>
          </w:tcPr>
          <w:p w14:paraId="19380B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Завод N 1</w:t>
            </w:r>
          </w:p>
        </w:tc>
        <w:tc>
          <w:tcPr>
            <w:tcW w:w="1440" w:type="dxa"/>
          </w:tcPr>
          <w:p w14:paraId="160BE4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15793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7B61B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04D15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B1DB724" w14:textId="77777777">
        <w:tc>
          <w:tcPr>
            <w:tcW w:w="2160" w:type="dxa"/>
          </w:tcPr>
          <w:p w14:paraId="52A654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Дукс)</w:t>
            </w:r>
          </w:p>
        </w:tc>
        <w:tc>
          <w:tcPr>
            <w:tcW w:w="1440" w:type="dxa"/>
          </w:tcPr>
          <w:p w14:paraId="51FB37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D91D2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E3945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63931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3FB63BA" w14:textId="77777777">
        <w:tc>
          <w:tcPr>
            <w:tcW w:w="2160" w:type="dxa"/>
          </w:tcPr>
          <w:p w14:paraId="1E07D4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Москва</w:t>
            </w:r>
          </w:p>
        </w:tc>
        <w:tc>
          <w:tcPr>
            <w:tcW w:w="1440" w:type="dxa"/>
          </w:tcPr>
          <w:p w14:paraId="2D6530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2515</w:t>
            </w:r>
          </w:p>
        </w:tc>
        <w:tc>
          <w:tcPr>
            <w:tcW w:w="1440" w:type="dxa"/>
          </w:tcPr>
          <w:p w14:paraId="1E0835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13370,0</w:t>
            </w:r>
          </w:p>
        </w:tc>
        <w:tc>
          <w:tcPr>
            <w:tcW w:w="1440" w:type="dxa"/>
          </w:tcPr>
          <w:p w14:paraId="3BE66C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417" w:type="dxa"/>
          </w:tcPr>
          <w:p w14:paraId="11D7EF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(самолетостроение)</w:t>
            </w:r>
          </w:p>
        </w:tc>
      </w:tr>
      <w:tr w:rsidR="00A259BD" w:rsidRPr="00A259BD" w14:paraId="2C4301E2" w14:textId="77777777">
        <w:tc>
          <w:tcPr>
            <w:tcW w:w="2160" w:type="dxa"/>
          </w:tcPr>
          <w:p w14:paraId="7E2D96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Завод N 22</w:t>
            </w:r>
          </w:p>
        </w:tc>
        <w:tc>
          <w:tcPr>
            <w:tcW w:w="1440" w:type="dxa"/>
          </w:tcPr>
          <w:p w14:paraId="35F00A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4D70C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900DF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117E10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7B060EA" w14:textId="77777777">
        <w:tc>
          <w:tcPr>
            <w:tcW w:w="2160" w:type="dxa"/>
          </w:tcPr>
          <w:p w14:paraId="21ABF4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дер. Фили</w:t>
            </w:r>
          </w:p>
        </w:tc>
        <w:tc>
          <w:tcPr>
            <w:tcW w:w="1440" w:type="dxa"/>
          </w:tcPr>
          <w:p w14:paraId="5CC6EB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2886</w:t>
            </w:r>
          </w:p>
        </w:tc>
        <w:tc>
          <w:tcPr>
            <w:tcW w:w="1440" w:type="dxa"/>
          </w:tcPr>
          <w:p w14:paraId="564992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13100,0</w:t>
            </w:r>
          </w:p>
        </w:tc>
        <w:tc>
          <w:tcPr>
            <w:tcW w:w="1440" w:type="dxa"/>
          </w:tcPr>
          <w:p w14:paraId="5F9053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417" w:type="dxa"/>
          </w:tcPr>
          <w:p w14:paraId="3EEF91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(самолетостроение)</w:t>
            </w:r>
          </w:p>
        </w:tc>
      </w:tr>
      <w:tr w:rsidR="00A259BD" w:rsidRPr="00A259BD" w14:paraId="3C1598E5" w14:textId="77777777">
        <w:tc>
          <w:tcPr>
            <w:tcW w:w="2160" w:type="dxa"/>
          </w:tcPr>
          <w:p w14:paraId="1482A0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Завод N 23</w:t>
            </w:r>
          </w:p>
        </w:tc>
        <w:tc>
          <w:tcPr>
            <w:tcW w:w="1440" w:type="dxa"/>
          </w:tcPr>
          <w:p w14:paraId="7251C1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580E8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D5667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6BFED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669DB5F" w14:textId="77777777">
        <w:tc>
          <w:tcPr>
            <w:tcW w:w="2160" w:type="dxa"/>
          </w:tcPr>
          <w:p w14:paraId="239760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Ленинград</w:t>
            </w:r>
          </w:p>
        </w:tc>
        <w:tc>
          <w:tcPr>
            <w:tcW w:w="1440" w:type="dxa"/>
          </w:tcPr>
          <w:p w14:paraId="014C00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592</w:t>
            </w:r>
          </w:p>
        </w:tc>
        <w:tc>
          <w:tcPr>
            <w:tcW w:w="1440" w:type="dxa"/>
          </w:tcPr>
          <w:p w14:paraId="5BC5AA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3335,0</w:t>
            </w:r>
          </w:p>
        </w:tc>
        <w:tc>
          <w:tcPr>
            <w:tcW w:w="1440" w:type="dxa"/>
          </w:tcPr>
          <w:p w14:paraId="492BE2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417" w:type="dxa"/>
          </w:tcPr>
          <w:p w14:paraId="33A2C4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(самолетостроение)</w:t>
            </w:r>
          </w:p>
        </w:tc>
      </w:tr>
      <w:tr w:rsidR="00A259BD" w:rsidRPr="00A259BD" w14:paraId="4FD4E033" w14:textId="77777777">
        <w:tc>
          <w:tcPr>
            <w:tcW w:w="2160" w:type="dxa"/>
          </w:tcPr>
          <w:p w14:paraId="261177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Завод N 31</w:t>
            </w:r>
          </w:p>
        </w:tc>
        <w:tc>
          <w:tcPr>
            <w:tcW w:w="1440" w:type="dxa"/>
          </w:tcPr>
          <w:p w14:paraId="0713AF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9339C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BF479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1CDC70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DB4EAC9" w14:textId="77777777">
        <w:tc>
          <w:tcPr>
            <w:tcW w:w="2160" w:type="dxa"/>
          </w:tcPr>
          <w:p w14:paraId="34A9EE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Таганрог</w:t>
            </w:r>
          </w:p>
        </w:tc>
        <w:tc>
          <w:tcPr>
            <w:tcW w:w="1440" w:type="dxa"/>
          </w:tcPr>
          <w:p w14:paraId="762E92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1091</w:t>
            </w:r>
          </w:p>
        </w:tc>
        <w:tc>
          <w:tcPr>
            <w:tcW w:w="1440" w:type="dxa"/>
          </w:tcPr>
          <w:p w14:paraId="73A479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6460,0</w:t>
            </w:r>
          </w:p>
        </w:tc>
        <w:tc>
          <w:tcPr>
            <w:tcW w:w="1440" w:type="dxa"/>
          </w:tcPr>
          <w:p w14:paraId="07C95F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417" w:type="dxa"/>
          </w:tcPr>
          <w:p w14:paraId="534F8B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(самолетостроение)</w:t>
            </w:r>
          </w:p>
        </w:tc>
      </w:tr>
      <w:tr w:rsidR="00A259BD" w:rsidRPr="00A259BD" w14:paraId="7423C912" w14:textId="77777777">
        <w:tc>
          <w:tcPr>
            <w:tcW w:w="2160" w:type="dxa"/>
          </w:tcPr>
          <w:p w14:paraId="109FEA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Завод N 24</w:t>
            </w:r>
          </w:p>
        </w:tc>
        <w:tc>
          <w:tcPr>
            <w:tcW w:w="1440" w:type="dxa"/>
          </w:tcPr>
          <w:p w14:paraId="61F4F7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DD2C3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9A0B5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556739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D78A139" w14:textId="77777777">
        <w:tc>
          <w:tcPr>
            <w:tcW w:w="2160" w:type="dxa"/>
          </w:tcPr>
          <w:p w14:paraId="1BE5A6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Икар)</w:t>
            </w:r>
          </w:p>
        </w:tc>
        <w:tc>
          <w:tcPr>
            <w:tcW w:w="1440" w:type="dxa"/>
          </w:tcPr>
          <w:p w14:paraId="542064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9B458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6BCBC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19288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4F2AADF" w14:textId="77777777">
        <w:tc>
          <w:tcPr>
            <w:tcW w:w="2160" w:type="dxa"/>
          </w:tcPr>
          <w:p w14:paraId="27CDE2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Москва</w:t>
            </w:r>
          </w:p>
        </w:tc>
        <w:tc>
          <w:tcPr>
            <w:tcW w:w="1440" w:type="dxa"/>
          </w:tcPr>
          <w:p w14:paraId="206988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1712</w:t>
            </w:r>
          </w:p>
        </w:tc>
        <w:tc>
          <w:tcPr>
            <w:tcW w:w="1440" w:type="dxa"/>
          </w:tcPr>
          <w:p w14:paraId="0BA64E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11380,0</w:t>
            </w:r>
          </w:p>
        </w:tc>
        <w:tc>
          <w:tcPr>
            <w:tcW w:w="1440" w:type="dxa"/>
          </w:tcPr>
          <w:p w14:paraId="062E84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417" w:type="dxa"/>
          </w:tcPr>
          <w:p w14:paraId="41AF80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(моторостроение)</w:t>
            </w:r>
          </w:p>
        </w:tc>
      </w:tr>
      <w:tr w:rsidR="00A259BD" w:rsidRPr="00A259BD" w14:paraId="2C259B20" w14:textId="77777777">
        <w:tc>
          <w:tcPr>
            <w:tcW w:w="2160" w:type="dxa"/>
          </w:tcPr>
          <w:p w14:paraId="6C91D0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Завод N 26</w:t>
            </w:r>
          </w:p>
        </w:tc>
        <w:tc>
          <w:tcPr>
            <w:tcW w:w="1440" w:type="dxa"/>
          </w:tcPr>
          <w:p w14:paraId="30EB49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D66EB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072F9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55E779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B8BF9EF" w14:textId="77777777">
        <w:tc>
          <w:tcPr>
            <w:tcW w:w="2160" w:type="dxa"/>
          </w:tcPr>
          <w:p w14:paraId="39BCEE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Рыбинск</w:t>
            </w:r>
          </w:p>
        </w:tc>
        <w:tc>
          <w:tcPr>
            <w:tcW w:w="1440" w:type="dxa"/>
          </w:tcPr>
          <w:p w14:paraId="200CB5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1025</w:t>
            </w:r>
          </w:p>
        </w:tc>
        <w:tc>
          <w:tcPr>
            <w:tcW w:w="1440" w:type="dxa"/>
          </w:tcPr>
          <w:p w14:paraId="22A104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6170,0</w:t>
            </w:r>
          </w:p>
        </w:tc>
        <w:tc>
          <w:tcPr>
            <w:tcW w:w="1440" w:type="dxa"/>
          </w:tcPr>
          <w:p w14:paraId="1631F9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417" w:type="dxa"/>
          </w:tcPr>
          <w:p w14:paraId="162DF1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(моторостроение)</w:t>
            </w:r>
          </w:p>
        </w:tc>
      </w:tr>
      <w:tr w:rsidR="00A259BD" w:rsidRPr="00A259BD" w14:paraId="64D11EF4" w14:textId="77777777">
        <w:tc>
          <w:tcPr>
            <w:tcW w:w="2160" w:type="dxa"/>
          </w:tcPr>
          <w:p w14:paraId="44004B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Завод N 29</w:t>
            </w:r>
          </w:p>
        </w:tc>
        <w:tc>
          <w:tcPr>
            <w:tcW w:w="1440" w:type="dxa"/>
          </w:tcPr>
          <w:p w14:paraId="5A4BE3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C6B29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62EE3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FCB49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3FF048A" w14:textId="77777777">
        <w:tc>
          <w:tcPr>
            <w:tcW w:w="2160" w:type="dxa"/>
          </w:tcPr>
          <w:p w14:paraId="459D5F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Запорожье</w:t>
            </w:r>
          </w:p>
        </w:tc>
        <w:tc>
          <w:tcPr>
            <w:tcW w:w="1440" w:type="dxa"/>
          </w:tcPr>
          <w:p w14:paraId="4158B7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668</w:t>
            </w:r>
          </w:p>
        </w:tc>
        <w:tc>
          <w:tcPr>
            <w:tcW w:w="1440" w:type="dxa"/>
          </w:tcPr>
          <w:p w14:paraId="03719F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3500,0</w:t>
            </w:r>
          </w:p>
        </w:tc>
        <w:tc>
          <w:tcPr>
            <w:tcW w:w="1440" w:type="dxa"/>
          </w:tcPr>
          <w:p w14:paraId="38EE4D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417" w:type="dxa"/>
          </w:tcPr>
          <w:p w14:paraId="292964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(моторостроение)</w:t>
            </w:r>
          </w:p>
        </w:tc>
      </w:tr>
      <w:tr w:rsidR="00A259BD" w:rsidRPr="00A259BD" w14:paraId="7857E80D" w14:textId="77777777">
        <w:tc>
          <w:tcPr>
            <w:tcW w:w="2160" w:type="dxa"/>
          </w:tcPr>
          <w:p w14:paraId="595DF2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Завод N 41</w:t>
            </w:r>
          </w:p>
        </w:tc>
        <w:tc>
          <w:tcPr>
            <w:tcW w:w="1440" w:type="dxa"/>
          </w:tcPr>
          <w:p w14:paraId="042E21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8C51A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C8935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6E633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(распиловочный</w:t>
            </w:r>
          </w:p>
        </w:tc>
      </w:tr>
      <w:tr w:rsidR="00A259BD" w:rsidRPr="00A259BD" w14:paraId="65A55A64" w14:textId="77777777">
        <w:tc>
          <w:tcPr>
            <w:tcW w:w="2160" w:type="dxa"/>
          </w:tcPr>
          <w:p w14:paraId="5F6E34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Москва</w:t>
            </w:r>
          </w:p>
        </w:tc>
        <w:tc>
          <w:tcPr>
            <w:tcW w:w="1440" w:type="dxa"/>
          </w:tcPr>
          <w:p w14:paraId="21CEF3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w:t>
            </w:r>
          </w:p>
        </w:tc>
        <w:tc>
          <w:tcPr>
            <w:tcW w:w="1440" w:type="dxa"/>
          </w:tcPr>
          <w:p w14:paraId="1B699B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430,0</w:t>
            </w:r>
          </w:p>
        </w:tc>
        <w:tc>
          <w:tcPr>
            <w:tcW w:w="1440" w:type="dxa"/>
          </w:tcPr>
          <w:p w14:paraId="3D8E21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417" w:type="dxa"/>
          </w:tcPr>
          <w:p w14:paraId="10A6AF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лесоматериалов)</w:t>
            </w:r>
          </w:p>
        </w:tc>
      </w:tr>
      <w:tr w:rsidR="00A259BD" w:rsidRPr="00A259BD" w14:paraId="43773E92" w14:textId="77777777">
        <w:tc>
          <w:tcPr>
            <w:tcW w:w="2160" w:type="dxa"/>
          </w:tcPr>
          <w:p w14:paraId="13898E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Завод N 28</w:t>
            </w:r>
          </w:p>
        </w:tc>
        <w:tc>
          <w:tcPr>
            <w:tcW w:w="1440" w:type="dxa"/>
          </w:tcPr>
          <w:p w14:paraId="1F1CC1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D27E3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E3C3C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17E83C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D635AF0" w14:textId="77777777">
        <w:tc>
          <w:tcPr>
            <w:tcW w:w="2160" w:type="dxa"/>
          </w:tcPr>
          <w:p w14:paraId="50A850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Москва</w:t>
            </w:r>
          </w:p>
        </w:tc>
        <w:tc>
          <w:tcPr>
            <w:tcW w:w="1440" w:type="dxa"/>
          </w:tcPr>
          <w:p w14:paraId="6420CE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310</w:t>
            </w:r>
          </w:p>
        </w:tc>
        <w:tc>
          <w:tcPr>
            <w:tcW w:w="1440" w:type="dxa"/>
          </w:tcPr>
          <w:p w14:paraId="59A439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1330,0</w:t>
            </w:r>
          </w:p>
        </w:tc>
        <w:tc>
          <w:tcPr>
            <w:tcW w:w="1440" w:type="dxa"/>
          </w:tcPr>
          <w:p w14:paraId="0C4E21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417" w:type="dxa"/>
          </w:tcPr>
          <w:p w14:paraId="2C79F2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(пропеллеры, лыжи)</w:t>
            </w:r>
          </w:p>
        </w:tc>
      </w:tr>
      <w:tr w:rsidR="00A259BD" w:rsidRPr="00A259BD" w14:paraId="7A29578B" w14:textId="77777777">
        <w:tc>
          <w:tcPr>
            <w:tcW w:w="2160" w:type="dxa"/>
          </w:tcPr>
          <w:p w14:paraId="47A48E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Завод N 36</w:t>
            </w:r>
          </w:p>
        </w:tc>
        <w:tc>
          <w:tcPr>
            <w:tcW w:w="1440" w:type="dxa"/>
          </w:tcPr>
          <w:p w14:paraId="0EEFC1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EF03A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0F0F0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65872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55D40B2" w14:textId="77777777">
        <w:tc>
          <w:tcPr>
            <w:tcW w:w="2160" w:type="dxa"/>
          </w:tcPr>
          <w:p w14:paraId="1F1066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Москва</w:t>
            </w:r>
          </w:p>
        </w:tc>
        <w:tc>
          <w:tcPr>
            <w:tcW w:w="1440" w:type="dxa"/>
          </w:tcPr>
          <w:p w14:paraId="533587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w:t>
            </w:r>
          </w:p>
        </w:tc>
        <w:tc>
          <w:tcPr>
            <w:tcW w:w="1440" w:type="dxa"/>
          </w:tcPr>
          <w:p w14:paraId="47A7FC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891,0</w:t>
            </w:r>
          </w:p>
        </w:tc>
        <w:tc>
          <w:tcPr>
            <w:tcW w:w="1440" w:type="dxa"/>
          </w:tcPr>
          <w:p w14:paraId="129BD2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417" w:type="dxa"/>
          </w:tcPr>
          <w:p w14:paraId="7EF483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(аэролаки)</w:t>
            </w:r>
          </w:p>
        </w:tc>
      </w:tr>
      <w:tr w:rsidR="00A259BD" w:rsidRPr="00A259BD" w14:paraId="1EE749CC" w14:textId="77777777">
        <w:tc>
          <w:tcPr>
            <w:tcW w:w="2160" w:type="dxa"/>
          </w:tcPr>
          <w:p w14:paraId="658790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CC171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431D3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69A52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94D8B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FFD124D" w14:textId="77777777">
        <w:tc>
          <w:tcPr>
            <w:tcW w:w="2160" w:type="dxa"/>
          </w:tcPr>
          <w:p w14:paraId="2A06CB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ВОЕННО-ХИМИЧЕСКИЙ ТРЕСТ</w:t>
            </w:r>
          </w:p>
        </w:tc>
        <w:tc>
          <w:tcPr>
            <w:tcW w:w="1440" w:type="dxa"/>
          </w:tcPr>
          <w:p w14:paraId="61BEEC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47E25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662C3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5EDD4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80000AF" w14:textId="77777777">
        <w:tc>
          <w:tcPr>
            <w:tcW w:w="2160" w:type="dxa"/>
          </w:tcPr>
          <w:p w14:paraId="2AB406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Завод N 40 им. Ленина</w:t>
            </w:r>
          </w:p>
        </w:tc>
        <w:tc>
          <w:tcPr>
            <w:tcW w:w="1440" w:type="dxa"/>
          </w:tcPr>
          <w:p w14:paraId="57772B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1BDDC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BC26E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D0D72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59EAFB5" w14:textId="77777777">
        <w:tc>
          <w:tcPr>
            <w:tcW w:w="2160" w:type="dxa"/>
          </w:tcPr>
          <w:p w14:paraId="332738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Казанский пороховой)</w:t>
            </w:r>
          </w:p>
        </w:tc>
        <w:tc>
          <w:tcPr>
            <w:tcW w:w="1440" w:type="dxa"/>
          </w:tcPr>
          <w:p w14:paraId="029E3B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B6E51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23E9F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578648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6499710" w14:textId="77777777">
        <w:tc>
          <w:tcPr>
            <w:tcW w:w="2160" w:type="dxa"/>
          </w:tcPr>
          <w:p w14:paraId="43C7A4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Казань</w:t>
            </w:r>
          </w:p>
        </w:tc>
        <w:tc>
          <w:tcPr>
            <w:tcW w:w="1440" w:type="dxa"/>
          </w:tcPr>
          <w:p w14:paraId="5CF8AB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2140</w:t>
            </w:r>
          </w:p>
        </w:tc>
        <w:tc>
          <w:tcPr>
            <w:tcW w:w="1440" w:type="dxa"/>
          </w:tcPr>
          <w:p w14:paraId="4AE747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8897,7</w:t>
            </w:r>
          </w:p>
        </w:tc>
        <w:tc>
          <w:tcPr>
            <w:tcW w:w="1440" w:type="dxa"/>
          </w:tcPr>
          <w:p w14:paraId="25B10A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2417" w:type="dxa"/>
          </w:tcPr>
          <w:p w14:paraId="13F9EE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порох)</w:t>
            </w:r>
          </w:p>
        </w:tc>
      </w:tr>
      <w:tr w:rsidR="00A259BD" w:rsidRPr="00A259BD" w14:paraId="18851623" w14:textId="77777777">
        <w:tc>
          <w:tcPr>
            <w:tcW w:w="2160" w:type="dxa"/>
          </w:tcPr>
          <w:p w14:paraId="003534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Завод им. Косякова</w:t>
            </w:r>
          </w:p>
        </w:tc>
        <w:tc>
          <w:tcPr>
            <w:tcW w:w="1440" w:type="dxa"/>
          </w:tcPr>
          <w:p w14:paraId="141ABE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110BD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A494F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98543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2BCCE04" w14:textId="77777777">
        <w:tc>
          <w:tcPr>
            <w:tcW w:w="2160" w:type="dxa"/>
          </w:tcPr>
          <w:p w14:paraId="44AEFA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Рошальский пороховой)</w:t>
            </w:r>
          </w:p>
        </w:tc>
        <w:tc>
          <w:tcPr>
            <w:tcW w:w="1440" w:type="dxa"/>
          </w:tcPr>
          <w:p w14:paraId="07BCC8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060E9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0FA8F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7592A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(порох, азотная</w:t>
            </w:r>
          </w:p>
        </w:tc>
      </w:tr>
      <w:tr w:rsidR="00A259BD" w:rsidRPr="00A259BD" w14:paraId="6A85E2AE" w14:textId="77777777">
        <w:tc>
          <w:tcPr>
            <w:tcW w:w="2160" w:type="dxa"/>
          </w:tcPr>
          <w:p w14:paraId="503861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Рошаль</w:t>
            </w:r>
          </w:p>
        </w:tc>
        <w:tc>
          <w:tcPr>
            <w:tcW w:w="1440" w:type="dxa"/>
          </w:tcPr>
          <w:p w14:paraId="1DFE2A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2120</w:t>
            </w:r>
          </w:p>
        </w:tc>
        <w:tc>
          <w:tcPr>
            <w:tcW w:w="1440" w:type="dxa"/>
          </w:tcPr>
          <w:p w14:paraId="3AAB88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14538,0</w:t>
            </w:r>
          </w:p>
        </w:tc>
        <w:tc>
          <w:tcPr>
            <w:tcW w:w="1440" w:type="dxa"/>
          </w:tcPr>
          <w:p w14:paraId="619D8D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8535,5</w:t>
            </w:r>
          </w:p>
        </w:tc>
        <w:tc>
          <w:tcPr>
            <w:tcW w:w="2417" w:type="dxa"/>
          </w:tcPr>
          <w:p w14:paraId="744086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кислота, краски)</w:t>
            </w:r>
          </w:p>
        </w:tc>
      </w:tr>
      <w:tr w:rsidR="00A259BD" w:rsidRPr="00A259BD" w14:paraId="56E9B043" w14:textId="77777777">
        <w:tc>
          <w:tcPr>
            <w:tcW w:w="2160" w:type="dxa"/>
          </w:tcPr>
          <w:p w14:paraId="2D5615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"Красный Боевик"</w:t>
            </w:r>
          </w:p>
        </w:tc>
        <w:tc>
          <w:tcPr>
            <w:tcW w:w="1440" w:type="dxa"/>
          </w:tcPr>
          <w:p w14:paraId="5A7B76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D8A46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CB80D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BE623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7EC14366" w14:textId="77777777">
        <w:tc>
          <w:tcPr>
            <w:tcW w:w="2160" w:type="dxa"/>
          </w:tcPr>
          <w:p w14:paraId="5E1BE5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w:t>
            </w:r>
            <w:proofErr w:type="spellStart"/>
            <w:r w:rsidRPr="00A259BD">
              <w:rPr>
                <w:rFonts w:ascii="Times New Roman" w:hAnsi="Times New Roman"/>
                <w:color w:val="000000" w:themeColor="text1"/>
                <w:sz w:val="16"/>
                <w:szCs w:val="16"/>
              </w:rPr>
              <w:t>Тамбовсий</w:t>
            </w:r>
            <w:proofErr w:type="spellEnd"/>
            <w:r w:rsidRPr="00A259BD">
              <w:rPr>
                <w:rFonts w:ascii="Times New Roman" w:hAnsi="Times New Roman"/>
                <w:color w:val="000000" w:themeColor="text1"/>
                <w:sz w:val="16"/>
                <w:szCs w:val="16"/>
              </w:rPr>
              <w:t xml:space="preserve"> пороховой)</w:t>
            </w:r>
          </w:p>
        </w:tc>
        <w:tc>
          <w:tcPr>
            <w:tcW w:w="1440" w:type="dxa"/>
          </w:tcPr>
          <w:p w14:paraId="6F4E1B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28FB9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EC040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07475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(порох, серная</w:t>
            </w:r>
          </w:p>
        </w:tc>
      </w:tr>
      <w:tr w:rsidR="00A259BD" w:rsidRPr="00A259BD" w14:paraId="0AD9936A" w14:textId="77777777">
        <w:tc>
          <w:tcPr>
            <w:tcW w:w="2160" w:type="dxa"/>
          </w:tcPr>
          <w:p w14:paraId="574395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Тамбов</w:t>
            </w:r>
          </w:p>
        </w:tc>
        <w:tc>
          <w:tcPr>
            <w:tcW w:w="1440" w:type="dxa"/>
          </w:tcPr>
          <w:p w14:paraId="56C708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640</w:t>
            </w:r>
          </w:p>
        </w:tc>
        <w:tc>
          <w:tcPr>
            <w:tcW w:w="1440" w:type="dxa"/>
          </w:tcPr>
          <w:p w14:paraId="2C9FE0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695,0</w:t>
            </w:r>
          </w:p>
        </w:tc>
        <w:tc>
          <w:tcPr>
            <w:tcW w:w="1440" w:type="dxa"/>
          </w:tcPr>
          <w:p w14:paraId="0C6C53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175,0</w:t>
            </w:r>
          </w:p>
        </w:tc>
        <w:tc>
          <w:tcPr>
            <w:tcW w:w="2417" w:type="dxa"/>
          </w:tcPr>
          <w:p w14:paraId="32C356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кислота)</w:t>
            </w:r>
          </w:p>
        </w:tc>
      </w:tr>
      <w:tr w:rsidR="00A259BD" w:rsidRPr="00A259BD" w14:paraId="55ED25E6" w14:textId="77777777">
        <w:tc>
          <w:tcPr>
            <w:tcW w:w="2160" w:type="dxa"/>
          </w:tcPr>
          <w:p w14:paraId="57F8FE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Завод N 9</w:t>
            </w:r>
          </w:p>
        </w:tc>
        <w:tc>
          <w:tcPr>
            <w:tcW w:w="1440" w:type="dxa"/>
          </w:tcPr>
          <w:p w14:paraId="06393F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D3D6F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8DBBF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150DA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1A1DB88" w14:textId="77777777">
        <w:tc>
          <w:tcPr>
            <w:tcW w:w="2160" w:type="dxa"/>
          </w:tcPr>
          <w:p w14:paraId="05D3BF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w:t>
            </w:r>
            <w:proofErr w:type="spellStart"/>
            <w:r w:rsidRPr="00A259BD">
              <w:rPr>
                <w:rFonts w:ascii="Times New Roman" w:hAnsi="Times New Roman"/>
                <w:color w:val="000000" w:themeColor="text1"/>
                <w:sz w:val="16"/>
                <w:szCs w:val="16"/>
              </w:rPr>
              <w:t>Шостинский</w:t>
            </w:r>
            <w:proofErr w:type="spellEnd"/>
            <w:r w:rsidRPr="00A259BD">
              <w:rPr>
                <w:rFonts w:ascii="Times New Roman" w:hAnsi="Times New Roman"/>
                <w:color w:val="000000" w:themeColor="text1"/>
                <w:sz w:val="16"/>
                <w:szCs w:val="16"/>
              </w:rPr>
              <w:t xml:space="preserve"> пороховой)</w:t>
            </w:r>
          </w:p>
        </w:tc>
        <w:tc>
          <w:tcPr>
            <w:tcW w:w="1440" w:type="dxa"/>
          </w:tcPr>
          <w:p w14:paraId="2759D3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C23F5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A9C76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F8879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(порох, купорос,</w:t>
            </w:r>
          </w:p>
        </w:tc>
      </w:tr>
      <w:tr w:rsidR="00A259BD" w:rsidRPr="00A259BD" w14:paraId="580F3EF9" w14:textId="77777777">
        <w:tc>
          <w:tcPr>
            <w:tcW w:w="2160" w:type="dxa"/>
          </w:tcPr>
          <w:p w14:paraId="196FCD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Шостка</w:t>
            </w:r>
          </w:p>
        </w:tc>
        <w:tc>
          <w:tcPr>
            <w:tcW w:w="1440" w:type="dxa"/>
          </w:tcPr>
          <w:p w14:paraId="712D1E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2165</w:t>
            </w:r>
          </w:p>
        </w:tc>
        <w:tc>
          <w:tcPr>
            <w:tcW w:w="1440" w:type="dxa"/>
          </w:tcPr>
          <w:p w14:paraId="6B060E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16689,2</w:t>
            </w:r>
          </w:p>
        </w:tc>
        <w:tc>
          <w:tcPr>
            <w:tcW w:w="1440" w:type="dxa"/>
          </w:tcPr>
          <w:p w14:paraId="62682F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15163,6</w:t>
            </w:r>
          </w:p>
        </w:tc>
        <w:tc>
          <w:tcPr>
            <w:tcW w:w="2417" w:type="dxa"/>
          </w:tcPr>
          <w:p w14:paraId="51FFA9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нитрокраски)</w:t>
            </w:r>
          </w:p>
        </w:tc>
      </w:tr>
      <w:tr w:rsidR="00A259BD" w:rsidRPr="00A259BD" w14:paraId="0F515824" w14:textId="77777777">
        <w:tc>
          <w:tcPr>
            <w:tcW w:w="2160" w:type="dxa"/>
          </w:tcPr>
          <w:p w14:paraId="5BEFB9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Ульяновский пороховой</w:t>
            </w:r>
          </w:p>
        </w:tc>
        <w:tc>
          <w:tcPr>
            <w:tcW w:w="1440" w:type="dxa"/>
          </w:tcPr>
          <w:p w14:paraId="16A415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FE3B7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E00A5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9D6C5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(порох, динамит,</w:t>
            </w:r>
          </w:p>
        </w:tc>
      </w:tr>
      <w:tr w:rsidR="00A259BD" w:rsidRPr="00A259BD" w14:paraId="7CE45067" w14:textId="77777777">
        <w:tc>
          <w:tcPr>
            <w:tcW w:w="2160" w:type="dxa"/>
          </w:tcPr>
          <w:p w14:paraId="3EAF12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Ленинград</w:t>
            </w:r>
          </w:p>
        </w:tc>
        <w:tc>
          <w:tcPr>
            <w:tcW w:w="1440" w:type="dxa"/>
          </w:tcPr>
          <w:p w14:paraId="5D5A26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961</w:t>
            </w:r>
          </w:p>
        </w:tc>
        <w:tc>
          <w:tcPr>
            <w:tcW w:w="1440" w:type="dxa"/>
          </w:tcPr>
          <w:p w14:paraId="66807B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4872,5</w:t>
            </w:r>
          </w:p>
        </w:tc>
        <w:tc>
          <w:tcPr>
            <w:tcW w:w="1440" w:type="dxa"/>
          </w:tcPr>
          <w:p w14:paraId="6A2062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4751,9</w:t>
            </w:r>
          </w:p>
        </w:tc>
        <w:tc>
          <w:tcPr>
            <w:tcW w:w="2417" w:type="dxa"/>
          </w:tcPr>
          <w:p w14:paraId="777C76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бикфордов шнур)</w:t>
            </w:r>
          </w:p>
        </w:tc>
      </w:tr>
      <w:tr w:rsidR="00A259BD" w:rsidRPr="00A259BD" w14:paraId="10EE0A28" w14:textId="77777777">
        <w:tc>
          <w:tcPr>
            <w:tcW w:w="2160" w:type="dxa"/>
          </w:tcPr>
          <w:p w14:paraId="5DED89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Завод им. Морозова</w:t>
            </w:r>
          </w:p>
        </w:tc>
        <w:tc>
          <w:tcPr>
            <w:tcW w:w="1440" w:type="dxa"/>
          </w:tcPr>
          <w:p w14:paraId="7CC137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B789D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D31B6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73395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A96F807" w14:textId="77777777">
        <w:tc>
          <w:tcPr>
            <w:tcW w:w="2160" w:type="dxa"/>
          </w:tcPr>
          <w:p w14:paraId="170866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Шлиссельбургский пороховой)</w:t>
            </w:r>
          </w:p>
        </w:tc>
        <w:tc>
          <w:tcPr>
            <w:tcW w:w="1440" w:type="dxa"/>
          </w:tcPr>
          <w:p w14:paraId="384902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3FEE9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55AE1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A7AF8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(порох, динамит,</w:t>
            </w:r>
          </w:p>
        </w:tc>
      </w:tr>
      <w:tr w:rsidR="00A259BD" w:rsidRPr="00A259BD" w14:paraId="253D7F0E" w14:textId="77777777">
        <w:tc>
          <w:tcPr>
            <w:tcW w:w="2160" w:type="dxa"/>
          </w:tcPr>
          <w:p w14:paraId="3CB602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Шлиссельбург</w:t>
            </w:r>
          </w:p>
        </w:tc>
        <w:tc>
          <w:tcPr>
            <w:tcW w:w="1440" w:type="dxa"/>
          </w:tcPr>
          <w:p w14:paraId="2D7C80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1456</w:t>
            </w:r>
          </w:p>
        </w:tc>
        <w:tc>
          <w:tcPr>
            <w:tcW w:w="1440" w:type="dxa"/>
          </w:tcPr>
          <w:p w14:paraId="1C6650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7322,8</w:t>
            </w:r>
          </w:p>
        </w:tc>
        <w:tc>
          <w:tcPr>
            <w:tcW w:w="1440" w:type="dxa"/>
          </w:tcPr>
          <w:p w14:paraId="1C256D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7138,7</w:t>
            </w:r>
          </w:p>
        </w:tc>
        <w:tc>
          <w:tcPr>
            <w:tcW w:w="2417" w:type="dxa"/>
          </w:tcPr>
          <w:p w14:paraId="62EC7B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олеум)</w:t>
            </w:r>
          </w:p>
        </w:tc>
      </w:tr>
      <w:tr w:rsidR="00A259BD" w:rsidRPr="00A259BD" w14:paraId="772E1F73" w14:textId="77777777">
        <w:tc>
          <w:tcPr>
            <w:tcW w:w="2160" w:type="dxa"/>
          </w:tcPr>
          <w:p w14:paraId="434007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Завод N 80 им. Свердлова</w:t>
            </w:r>
          </w:p>
        </w:tc>
        <w:tc>
          <w:tcPr>
            <w:tcW w:w="1440" w:type="dxa"/>
          </w:tcPr>
          <w:p w14:paraId="0A6E0F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B5951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CA9AA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3F709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(тротил, аммонал,</w:t>
            </w:r>
          </w:p>
        </w:tc>
      </w:tr>
      <w:tr w:rsidR="00A259BD" w:rsidRPr="00A259BD" w14:paraId="06F33796" w14:textId="77777777">
        <w:tc>
          <w:tcPr>
            <w:tcW w:w="2160" w:type="dxa"/>
          </w:tcPr>
          <w:p w14:paraId="3F797E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Дзержинск</w:t>
            </w:r>
          </w:p>
        </w:tc>
        <w:tc>
          <w:tcPr>
            <w:tcW w:w="1440" w:type="dxa"/>
          </w:tcPr>
          <w:p w14:paraId="32FAD5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3485</w:t>
            </w:r>
          </w:p>
        </w:tc>
        <w:tc>
          <w:tcPr>
            <w:tcW w:w="1440" w:type="dxa"/>
          </w:tcPr>
          <w:p w14:paraId="5BE33D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20181,7</w:t>
            </w:r>
          </w:p>
        </w:tc>
        <w:tc>
          <w:tcPr>
            <w:tcW w:w="1440" w:type="dxa"/>
          </w:tcPr>
          <w:p w14:paraId="37B111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2760,0</w:t>
            </w:r>
          </w:p>
        </w:tc>
        <w:tc>
          <w:tcPr>
            <w:tcW w:w="2417" w:type="dxa"/>
          </w:tcPr>
          <w:p w14:paraId="1EF062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снарядный взрыв)</w:t>
            </w:r>
          </w:p>
        </w:tc>
      </w:tr>
      <w:tr w:rsidR="00A259BD" w:rsidRPr="00A259BD" w14:paraId="6320110E" w14:textId="77777777">
        <w:tc>
          <w:tcPr>
            <w:tcW w:w="2160" w:type="dxa"/>
          </w:tcPr>
          <w:p w14:paraId="3BA823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Завод N 15</w:t>
            </w:r>
          </w:p>
        </w:tc>
        <w:tc>
          <w:tcPr>
            <w:tcW w:w="1440" w:type="dxa"/>
          </w:tcPr>
          <w:p w14:paraId="3C722C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32945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14E2A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EBF7C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(тротил, тетрил,</w:t>
            </w:r>
          </w:p>
        </w:tc>
      </w:tr>
      <w:tr w:rsidR="00A259BD" w:rsidRPr="00A259BD" w14:paraId="75DDEBB8" w14:textId="77777777">
        <w:tc>
          <w:tcPr>
            <w:tcW w:w="2160" w:type="dxa"/>
          </w:tcPr>
          <w:p w14:paraId="603B36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Чапаевск</w:t>
            </w:r>
          </w:p>
        </w:tc>
        <w:tc>
          <w:tcPr>
            <w:tcW w:w="1440" w:type="dxa"/>
          </w:tcPr>
          <w:p w14:paraId="5A9772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2480</w:t>
            </w:r>
          </w:p>
        </w:tc>
        <w:tc>
          <w:tcPr>
            <w:tcW w:w="1440" w:type="dxa"/>
          </w:tcPr>
          <w:p w14:paraId="7F1006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12955,0</w:t>
            </w:r>
          </w:p>
        </w:tc>
        <w:tc>
          <w:tcPr>
            <w:tcW w:w="1440" w:type="dxa"/>
          </w:tcPr>
          <w:p w14:paraId="24D9BF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1920,0</w:t>
            </w:r>
          </w:p>
        </w:tc>
        <w:tc>
          <w:tcPr>
            <w:tcW w:w="2417" w:type="dxa"/>
          </w:tcPr>
          <w:p w14:paraId="508ABF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снарядный взрыв)</w:t>
            </w:r>
          </w:p>
        </w:tc>
      </w:tr>
      <w:tr w:rsidR="00A259BD" w:rsidRPr="00A259BD" w14:paraId="210114E3" w14:textId="77777777">
        <w:tc>
          <w:tcPr>
            <w:tcW w:w="2160" w:type="dxa"/>
          </w:tcPr>
          <w:p w14:paraId="5DA8E4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Завод N 12</w:t>
            </w:r>
          </w:p>
        </w:tc>
        <w:tc>
          <w:tcPr>
            <w:tcW w:w="1440" w:type="dxa"/>
          </w:tcPr>
          <w:p w14:paraId="3343E0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DFB64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04B7A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A9494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(осветительные </w:t>
            </w:r>
            <w:proofErr w:type="spellStart"/>
            <w:r w:rsidRPr="00A259BD">
              <w:rPr>
                <w:rFonts w:ascii="Times New Roman" w:hAnsi="Times New Roman"/>
                <w:color w:val="000000" w:themeColor="text1"/>
                <w:sz w:val="16"/>
                <w:szCs w:val="16"/>
              </w:rPr>
              <w:t>сре</w:t>
            </w:r>
            <w:proofErr w:type="spellEnd"/>
            <w:r w:rsidRPr="00A259BD">
              <w:rPr>
                <w:rFonts w:ascii="Times New Roman" w:hAnsi="Times New Roman"/>
                <w:color w:val="000000" w:themeColor="text1"/>
                <w:sz w:val="16"/>
                <w:szCs w:val="16"/>
              </w:rPr>
              <w:t>-</w:t>
            </w:r>
          </w:p>
        </w:tc>
      </w:tr>
      <w:tr w:rsidR="00A259BD" w:rsidRPr="00A259BD" w14:paraId="464BB714" w14:textId="77777777">
        <w:tc>
          <w:tcPr>
            <w:tcW w:w="2160" w:type="dxa"/>
          </w:tcPr>
          <w:p w14:paraId="418B11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Богородск</w:t>
            </w:r>
          </w:p>
        </w:tc>
        <w:tc>
          <w:tcPr>
            <w:tcW w:w="1440" w:type="dxa"/>
          </w:tcPr>
          <w:p w14:paraId="0F2ED8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1495</w:t>
            </w:r>
          </w:p>
        </w:tc>
        <w:tc>
          <w:tcPr>
            <w:tcW w:w="1440" w:type="dxa"/>
          </w:tcPr>
          <w:p w14:paraId="1341D4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9715,6</w:t>
            </w:r>
          </w:p>
        </w:tc>
        <w:tc>
          <w:tcPr>
            <w:tcW w:w="1440" w:type="dxa"/>
          </w:tcPr>
          <w:p w14:paraId="5F81F9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1303,0</w:t>
            </w:r>
          </w:p>
        </w:tc>
        <w:tc>
          <w:tcPr>
            <w:tcW w:w="2417" w:type="dxa"/>
          </w:tcPr>
          <w:p w14:paraId="185D17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дства</w:t>
            </w:r>
            <w:proofErr w:type="spellEnd"/>
            <w:r w:rsidRPr="00A259BD">
              <w:rPr>
                <w:rFonts w:ascii="Times New Roman" w:hAnsi="Times New Roman"/>
                <w:color w:val="000000" w:themeColor="text1"/>
                <w:sz w:val="16"/>
                <w:szCs w:val="16"/>
              </w:rPr>
              <w:t>, авиабомбы)</w:t>
            </w:r>
          </w:p>
        </w:tc>
      </w:tr>
      <w:tr w:rsidR="00A259BD" w:rsidRPr="00A259BD" w14:paraId="23381CE0" w14:textId="77777777">
        <w:tc>
          <w:tcPr>
            <w:tcW w:w="2160" w:type="dxa"/>
          </w:tcPr>
          <w:p w14:paraId="61BB5F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10.Завод N 11</w:t>
            </w:r>
          </w:p>
        </w:tc>
        <w:tc>
          <w:tcPr>
            <w:tcW w:w="1440" w:type="dxa"/>
          </w:tcPr>
          <w:p w14:paraId="6C486D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1AEFA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0CF46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AD9DE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(дымовые шашки,</w:t>
            </w:r>
          </w:p>
        </w:tc>
      </w:tr>
      <w:tr w:rsidR="00A259BD" w:rsidRPr="00A259BD" w14:paraId="55010329" w14:textId="77777777">
        <w:tc>
          <w:tcPr>
            <w:tcW w:w="2160" w:type="dxa"/>
          </w:tcPr>
          <w:p w14:paraId="3AB886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Сергиевск</w:t>
            </w:r>
          </w:p>
        </w:tc>
        <w:tc>
          <w:tcPr>
            <w:tcW w:w="1440" w:type="dxa"/>
          </w:tcPr>
          <w:p w14:paraId="540168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731</w:t>
            </w:r>
          </w:p>
        </w:tc>
        <w:tc>
          <w:tcPr>
            <w:tcW w:w="1440" w:type="dxa"/>
          </w:tcPr>
          <w:p w14:paraId="54FFFC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4555,8</w:t>
            </w:r>
          </w:p>
        </w:tc>
        <w:tc>
          <w:tcPr>
            <w:tcW w:w="1440" w:type="dxa"/>
          </w:tcPr>
          <w:p w14:paraId="7B9509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3673,6</w:t>
            </w:r>
          </w:p>
        </w:tc>
        <w:tc>
          <w:tcPr>
            <w:tcW w:w="2417" w:type="dxa"/>
          </w:tcPr>
          <w:p w14:paraId="1F9FEA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аммонал)</w:t>
            </w:r>
          </w:p>
        </w:tc>
      </w:tr>
      <w:tr w:rsidR="00A259BD" w:rsidRPr="00A259BD" w14:paraId="5BB47847" w14:textId="77777777">
        <w:tc>
          <w:tcPr>
            <w:tcW w:w="2160" w:type="dxa"/>
          </w:tcPr>
          <w:p w14:paraId="22E319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11.Краснознаменный</w:t>
            </w:r>
          </w:p>
        </w:tc>
        <w:tc>
          <w:tcPr>
            <w:tcW w:w="1440" w:type="dxa"/>
          </w:tcPr>
          <w:p w14:paraId="7D5838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C7781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FBF82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10299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(детонаторы, освети-</w:t>
            </w:r>
          </w:p>
        </w:tc>
      </w:tr>
      <w:tr w:rsidR="00A259BD" w:rsidRPr="00A259BD" w14:paraId="2E8AD629" w14:textId="77777777">
        <w:tc>
          <w:tcPr>
            <w:tcW w:w="2160" w:type="dxa"/>
          </w:tcPr>
          <w:p w14:paraId="35772F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Ленинград-Охта</w:t>
            </w:r>
          </w:p>
        </w:tc>
        <w:tc>
          <w:tcPr>
            <w:tcW w:w="1440" w:type="dxa"/>
          </w:tcPr>
          <w:p w14:paraId="386578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7C7A3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0DA96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CDF53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тельные и сигналь-</w:t>
            </w:r>
          </w:p>
        </w:tc>
      </w:tr>
      <w:tr w:rsidR="00A259BD" w:rsidRPr="00A259BD" w14:paraId="38254C0E" w14:textId="77777777">
        <w:tc>
          <w:tcPr>
            <w:tcW w:w="2160" w:type="dxa"/>
          </w:tcPr>
          <w:p w14:paraId="1F46B7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г. Ленинград</w:t>
            </w:r>
          </w:p>
        </w:tc>
        <w:tc>
          <w:tcPr>
            <w:tcW w:w="1440" w:type="dxa"/>
          </w:tcPr>
          <w:p w14:paraId="76E8D3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1491</w:t>
            </w:r>
          </w:p>
        </w:tc>
        <w:tc>
          <w:tcPr>
            <w:tcW w:w="1440" w:type="dxa"/>
          </w:tcPr>
          <w:p w14:paraId="5D1218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5330,1</w:t>
            </w:r>
          </w:p>
        </w:tc>
        <w:tc>
          <w:tcPr>
            <w:tcW w:w="1440" w:type="dxa"/>
          </w:tcPr>
          <w:p w14:paraId="1A4DFB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3093,8</w:t>
            </w:r>
          </w:p>
        </w:tc>
        <w:tc>
          <w:tcPr>
            <w:tcW w:w="2417" w:type="dxa"/>
          </w:tcPr>
          <w:p w14:paraId="3CC6F8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ные</w:t>
            </w:r>
            <w:proofErr w:type="spellEnd"/>
            <w:r w:rsidRPr="00A259BD">
              <w:rPr>
                <w:rFonts w:ascii="Times New Roman" w:hAnsi="Times New Roman"/>
                <w:color w:val="000000" w:themeColor="text1"/>
                <w:sz w:val="16"/>
                <w:szCs w:val="16"/>
              </w:rPr>
              <w:t xml:space="preserve"> средства)</w:t>
            </w:r>
          </w:p>
        </w:tc>
      </w:tr>
      <w:tr w:rsidR="00A259BD" w:rsidRPr="00A259BD" w14:paraId="02381036" w14:textId="77777777">
        <w:tc>
          <w:tcPr>
            <w:tcW w:w="2160" w:type="dxa"/>
          </w:tcPr>
          <w:p w14:paraId="09E37B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12."Взрывсельпром"</w:t>
            </w:r>
          </w:p>
        </w:tc>
        <w:tc>
          <w:tcPr>
            <w:tcW w:w="1440" w:type="dxa"/>
          </w:tcPr>
          <w:p w14:paraId="76F52E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6F420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EA028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13E68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026446B0" w14:textId="77777777">
        <w:tc>
          <w:tcPr>
            <w:tcW w:w="2160" w:type="dxa"/>
          </w:tcPr>
          <w:p w14:paraId="3BD2A4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Москва</w:t>
            </w:r>
          </w:p>
        </w:tc>
        <w:tc>
          <w:tcPr>
            <w:tcW w:w="1440" w:type="dxa"/>
          </w:tcPr>
          <w:p w14:paraId="1AFEE9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1080</w:t>
            </w:r>
          </w:p>
        </w:tc>
        <w:tc>
          <w:tcPr>
            <w:tcW w:w="1440" w:type="dxa"/>
          </w:tcPr>
          <w:p w14:paraId="40413F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w:t>
            </w:r>
          </w:p>
        </w:tc>
        <w:tc>
          <w:tcPr>
            <w:tcW w:w="1440" w:type="dxa"/>
          </w:tcPr>
          <w:p w14:paraId="223EF4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w:t>
            </w:r>
          </w:p>
        </w:tc>
        <w:tc>
          <w:tcPr>
            <w:tcW w:w="2417" w:type="dxa"/>
          </w:tcPr>
          <w:p w14:paraId="644692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(подрывные изделия)</w:t>
            </w:r>
          </w:p>
        </w:tc>
      </w:tr>
    </w:tbl>
    <w:p w14:paraId="5BF88755" w14:textId="77777777" w:rsidR="00F547C5" w:rsidRPr="00A259BD" w:rsidRDefault="00F547C5" w:rsidP="009236E3">
      <w:pPr>
        <w:tabs>
          <w:tab w:val="right" w:pos="342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43 завода</w:t>
      </w:r>
    </w:p>
    <w:p w14:paraId="686CA6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Примечание: В таблицу не включены заводы Военно-Кислотного треста, а также заводы по производству военной оптики, военного судостроения, завод по производству </w:t>
      </w:r>
      <w:proofErr w:type="spellStart"/>
      <w:r w:rsidRPr="00A259BD">
        <w:rPr>
          <w:rFonts w:ascii="Times New Roman" w:hAnsi="Times New Roman"/>
          <w:color w:val="000000" w:themeColor="text1"/>
          <w:sz w:val="16"/>
          <w:szCs w:val="16"/>
        </w:rPr>
        <w:t>радиоизделий</w:t>
      </w:r>
      <w:proofErr w:type="spellEnd"/>
      <w:r w:rsidRPr="00A259BD">
        <w:rPr>
          <w:rFonts w:ascii="Times New Roman" w:hAnsi="Times New Roman"/>
          <w:color w:val="000000" w:themeColor="text1"/>
          <w:sz w:val="16"/>
          <w:szCs w:val="16"/>
        </w:rPr>
        <w:t xml:space="preserve"> (8985,17).</w:t>
      </w:r>
    </w:p>
    <w:p w14:paraId="2B4E2F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7FCAF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4E9B0ED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D9470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ноября 1929 г. давая ориентир для беседы Ворошилова с на обеде с </w:t>
      </w:r>
      <w:proofErr w:type="spellStart"/>
      <w:r w:rsidRPr="00A259BD">
        <w:rPr>
          <w:rFonts w:ascii="Times New Roman" w:hAnsi="Times New Roman"/>
          <w:color w:val="000000" w:themeColor="text1"/>
          <w:sz w:val="16"/>
          <w:szCs w:val="16"/>
        </w:rPr>
        <w:t>Рэдером</w:t>
      </w:r>
      <w:proofErr w:type="spellEnd"/>
      <w:r w:rsidRPr="00A259BD">
        <w:rPr>
          <w:rFonts w:ascii="Times New Roman" w:hAnsi="Times New Roman"/>
          <w:color w:val="000000" w:themeColor="text1"/>
          <w:sz w:val="16"/>
          <w:szCs w:val="16"/>
        </w:rPr>
        <w:t xml:space="preserve"> 26 ноября, Крестинский в письме напоминал наркомвоенмору о его положительном решении вопроса «о сотрудничестве с немецкими военными и по флотской линии», а также о намерении Ворошилова «переговорить на эту тему с тов. Сталиным». Крестинский просил </w:t>
      </w:r>
      <w:proofErr w:type="spellStart"/>
      <w:r w:rsidRPr="00A259BD">
        <w:rPr>
          <w:rFonts w:ascii="Times New Roman" w:hAnsi="Times New Roman"/>
          <w:color w:val="000000" w:themeColor="text1"/>
          <w:sz w:val="16"/>
          <w:szCs w:val="16"/>
        </w:rPr>
        <w:t>написатьему</w:t>
      </w:r>
      <w:proofErr w:type="spellEnd"/>
      <w:r w:rsidRPr="00A259BD">
        <w:rPr>
          <w:rFonts w:ascii="Times New Roman" w:hAnsi="Times New Roman"/>
          <w:color w:val="000000" w:themeColor="text1"/>
          <w:sz w:val="16"/>
          <w:szCs w:val="16"/>
        </w:rPr>
        <w:t xml:space="preserve"> «пару слов» относительно того, что ответить шефу «</w:t>
      </w:r>
      <w:proofErr w:type="spellStart"/>
      <w:r w:rsidRPr="00A259BD">
        <w:rPr>
          <w:rFonts w:ascii="Times New Roman" w:hAnsi="Times New Roman"/>
          <w:color w:val="000000" w:themeColor="text1"/>
          <w:sz w:val="16"/>
          <w:szCs w:val="16"/>
        </w:rPr>
        <w:t>райхсмарине</w:t>
      </w:r>
      <w:proofErr w:type="spellEnd"/>
      <w:r w:rsidRPr="00A259BD">
        <w:rPr>
          <w:rFonts w:ascii="Times New Roman" w:hAnsi="Times New Roman"/>
          <w:color w:val="000000" w:themeColor="text1"/>
          <w:sz w:val="16"/>
          <w:szCs w:val="16"/>
        </w:rPr>
        <w:t xml:space="preserve">», если тот заговорит «о сотрудничестве и приезде наших моряков». Однако на обеде 26 ноября 1929 г. </w:t>
      </w:r>
      <w:proofErr w:type="spellStart"/>
      <w:r w:rsidRPr="00A259BD">
        <w:rPr>
          <w:rFonts w:ascii="Times New Roman" w:hAnsi="Times New Roman"/>
          <w:color w:val="000000" w:themeColor="text1"/>
          <w:sz w:val="16"/>
          <w:szCs w:val="16"/>
        </w:rPr>
        <w:t>Рэдер</w:t>
      </w:r>
      <w:proofErr w:type="spellEnd"/>
      <w:r w:rsidRPr="00A259BD">
        <w:rPr>
          <w:rFonts w:ascii="Times New Roman" w:hAnsi="Times New Roman"/>
          <w:color w:val="000000" w:themeColor="text1"/>
          <w:sz w:val="16"/>
          <w:szCs w:val="16"/>
        </w:rPr>
        <w:t xml:space="preserve"> данный вопрос не поднимал. (Там же, л. 63—64). Документы его были выправлены на имя Адамова. (John </w:t>
      </w:r>
      <w:proofErr w:type="spellStart"/>
      <w:r w:rsidRPr="00A259BD">
        <w:rPr>
          <w:rFonts w:ascii="Times New Roman" w:hAnsi="Times New Roman"/>
          <w:color w:val="000000" w:themeColor="text1"/>
          <w:sz w:val="16"/>
          <w:szCs w:val="16"/>
        </w:rPr>
        <w:t>Erickson</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Op</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cit</w:t>
      </w:r>
      <w:proofErr w:type="spellEnd"/>
      <w:r w:rsidRPr="00A259BD">
        <w:rPr>
          <w:rFonts w:ascii="Times New Roman" w:hAnsi="Times New Roman"/>
          <w:color w:val="000000" w:themeColor="text1"/>
          <w:sz w:val="16"/>
          <w:szCs w:val="16"/>
        </w:rPr>
        <w:t>., p. 713).) (11784).</w:t>
      </w:r>
    </w:p>
    <w:p w14:paraId="329C3D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F01843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83941B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79BC5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ноября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18) и обсуждали вопрос об уточнении программы завода 1. Во изменение постановлений Правительства от 20 и 29 октября и по результатам успешных испытаний И-3 с измененным хвостовым оперением программу по И-3 увеличили до 344 (2367,51).</w:t>
      </w:r>
    </w:p>
    <w:p w14:paraId="2DFE4B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825B39A" w14:textId="77777777" w:rsidR="00B814DD" w:rsidRPr="00441F34" w:rsidRDefault="00B814DD" w:rsidP="00B814DD">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17 ноября 1929 г. на заседании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(протокол №18) обсудили вопрос об уточнении программы завода №1 и во изменение постановлений Правительства от 20 и 29 октября и по результатам успешных испытаний И-3 с измененным хвостовым оперением программу по И-3 увеличили вновь увеличили до 344 самолетов, включая выпущенные в 1928…1929 г. и готовый задел (24887).</w:t>
      </w:r>
    </w:p>
    <w:p w14:paraId="4967E07B" w14:textId="77777777" w:rsidR="00B814DD" w:rsidRPr="00441F34" w:rsidRDefault="00B814DD" w:rsidP="00B814DD">
      <w:pPr>
        <w:spacing w:after="0" w:line="240" w:lineRule="auto"/>
        <w:jc w:val="both"/>
        <w:rPr>
          <w:rFonts w:ascii="Times New Roman" w:hAnsi="Times New Roman"/>
          <w:color w:val="0070C0"/>
          <w:sz w:val="16"/>
          <w:szCs w:val="16"/>
        </w:rPr>
      </w:pPr>
    </w:p>
    <w:p w14:paraId="0FA893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ноября 1929 последовал другой заказ на 15 машин Р-5. Первый предстояло выполнить к 1 апреля 1930 г., второй - к 1 июня. Производство развертывали на заводе № 1 в Москве (11936).</w:t>
      </w:r>
    </w:p>
    <w:p w14:paraId="513C80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92C3F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ноября последовал другой заказ на такое же количество машин - 15 машин Р-5. Первый заказ должен был быть выполнен к 1 апреля 1930 г., второй - к I июня. Серийное производство развертывалось на московском заводе № 1, тогда самом крупном в стране. Р-5 должен был стать основным самолетом ВВС РККА, массовой многоцелевой машиной (12034).</w:t>
      </w:r>
    </w:p>
    <w:p w14:paraId="51966F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342E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ноября 1929 г. правительственная комиссия под предсе</w:t>
      </w:r>
      <w:r w:rsidRPr="00A259BD">
        <w:rPr>
          <w:rFonts w:ascii="Times New Roman" w:hAnsi="Times New Roman"/>
          <w:color w:val="000000" w:themeColor="text1"/>
          <w:sz w:val="16"/>
          <w:szCs w:val="16"/>
        </w:rPr>
        <w:softHyphen/>
        <w:t xml:space="preserve">дательством В.С. </w:t>
      </w:r>
      <w:proofErr w:type="spellStart"/>
      <w:r w:rsidRPr="00A259BD">
        <w:rPr>
          <w:rFonts w:ascii="Times New Roman" w:hAnsi="Times New Roman"/>
          <w:color w:val="000000" w:themeColor="text1"/>
          <w:sz w:val="16"/>
          <w:szCs w:val="16"/>
        </w:rPr>
        <w:t>Уншлихта</w:t>
      </w:r>
      <w:proofErr w:type="spellEnd"/>
      <w:r w:rsidRPr="00A259BD">
        <w:rPr>
          <w:rFonts w:ascii="Times New Roman" w:hAnsi="Times New Roman"/>
          <w:color w:val="000000" w:themeColor="text1"/>
          <w:sz w:val="16"/>
          <w:szCs w:val="16"/>
        </w:rPr>
        <w:t xml:space="preserve"> предложила создать конструкторские бюро на всех моторных заводах «для сопровождения серийного производства и усовершенствования». В ноябре 1930 г. более-менее полноценное бюро имелось только на заводе № 24 — 38 человек; две небольшие группы находились на заводах № 26 (11 человек) и на заводе № 29 (шесть). В сочетании с амбициозными планами это приводило к систематиче</w:t>
      </w:r>
      <w:r w:rsidRPr="00A259BD">
        <w:rPr>
          <w:rFonts w:ascii="Times New Roman" w:hAnsi="Times New Roman"/>
          <w:color w:val="000000" w:themeColor="text1"/>
          <w:sz w:val="16"/>
          <w:szCs w:val="16"/>
        </w:rPr>
        <w:softHyphen/>
        <w:t>ским сверхурочным работам конструкторов. На создание новых типов авиационных двигателей СССР тратил в 10-15 раз меньше денег, чем правительства США и Великобритании. С учетом затрат частных фирм этих стран соотношение выглядело еще более удручающим. Соответ</w:t>
      </w:r>
      <w:r w:rsidRPr="00A259BD">
        <w:rPr>
          <w:rFonts w:ascii="Times New Roman" w:hAnsi="Times New Roman"/>
          <w:color w:val="000000" w:themeColor="text1"/>
          <w:sz w:val="16"/>
          <w:szCs w:val="16"/>
        </w:rPr>
        <w:softHyphen/>
        <w:t>ственными были и результаты работы (11852).</w:t>
      </w:r>
    </w:p>
    <w:p w14:paraId="53D66EC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639C08" w14:textId="77777777" w:rsidR="00F709ED" w:rsidRPr="00A259BD" w:rsidRDefault="00F709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ноября 1929 г. письмом № 12/14 </w:t>
      </w:r>
      <w:proofErr w:type="spellStart"/>
      <w:r w:rsidRPr="00A259BD">
        <w:rPr>
          <w:rFonts w:ascii="Times New Roman" w:hAnsi="Times New Roman"/>
          <w:color w:val="000000" w:themeColor="text1"/>
          <w:sz w:val="16"/>
          <w:szCs w:val="16"/>
        </w:rPr>
        <w:t>Наркомвнудел</w:t>
      </w:r>
      <w:proofErr w:type="spellEnd"/>
      <w:r w:rsidRPr="00A259BD">
        <w:rPr>
          <w:rFonts w:ascii="Times New Roman" w:hAnsi="Times New Roman"/>
          <w:color w:val="000000" w:themeColor="text1"/>
          <w:sz w:val="16"/>
          <w:szCs w:val="16"/>
        </w:rPr>
        <w:t xml:space="preserve"> Чувашии тов. Степанов и старший инженер-инспектор Андроников уведомили Совет «Автодора», что по результатам переговоров с командированным представителем аэросанной подсекции по вопросу об установлении научно-эксплуатационных линий было принято решение об организации двух линий по маршруту Чебоксары – Канаш – Батырево протяжённостью в 135 км и Чебоксары – Нижний Новгород – в 320 км. Степанов и Андроников ходатайствовали перед Советом «Автодора» об установлении в ЧАССР линии между двумя этими пунктами и просили выделить двое аэросаней ЦАГИ. Степанов и Андроников отмечали: «Чебоксары после закрытия навигации оторваны ото всего мира на 5 – 6 месяцев, ведь до ближайшей железнодорожной станции Канаш -83 км. До Нижнего Новгорода (краевого центра) 3, а то и 4 дня пути. На аэросанях же этот путь займет 1 день (туда)».</w:t>
      </w:r>
    </w:p>
    <w:p w14:paraId="5C65C867" w14:textId="77777777" w:rsidR="00F709ED" w:rsidRPr="00A259BD" w:rsidRDefault="00F709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НКВД Чувашии были выдвинуты условия организации линий:</w:t>
      </w:r>
    </w:p>
    <w:p w14:paraId="47C60E08" w14:textId="77777777" w:rsidR="00F709ED" w:rsidRPr="00A259BD" w:rsidRDefault="00F709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Открыть линию 15 декабря 1929 г.</w:t>
      </w:r>
    </w:p>
    <w:p w14:paraId="141510FE" w14:textId="77777777" w:rsidR="00F709ED" w:rsidRPr="00A259BD" w:rsidRDefault="00F709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ЦАГИ командирует двух опытных водителей.</w:t>
      </w:r>
    </w:p>
    <w:p w14:paraId="073989B6" w14:textId="77777777" w:rsidR="00F709ED" w:rsidRPr="00A259BD" w:rsidRDefault="00F709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НКВД берёт на себя их содержание и выделяет сверх того 150 руб. командировочных в месяц на каждого.</w:t>
      </w:r>
    </w:p>
    <w:p w14:paraId="4564CFC0" w14:textId="77777777" w:rsidR="00F709ED" w:rsidRPr="00A259BD" w:rsidRDefault="00F709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В их распоряжение НКВД даёт механика, которого водители в течение срока эксплуатации обязаны приучить к уходу за машиной и управлению ею.</w:t>
      </w:r>
    </w:p>
    <w:p w14:paraId="4782E146" w14:textId="77777777" w:rsidR="00F709ED" w:rsidRPr="00A259BD" w:rsidRDefault="00F709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Техническое руководство обеспечивается ЦАГИ.</w:t>
      </w:r>
    </w:p>
    <w:p w14:paraId="0309232F" w14:textId="77777777" w:rsidR="00F709ED" w:rsidRPr="00A259BD" w:rsidRDefault="00F709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Снабжение запасными частями обеспечивается ЦАГИ.</w:t>
      </w:r>
    </w:p>
    <w:p w14:paraId="10977301" w14:textId="77777777" w:rsidR="00F709ED" w:rsidRPr="00A259BD" w:rsidRDefault="00F709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Расходы по текущему ремонту и горючему обеспечиваются за счёт НКВД.</w:t>
      </w:r>
    </w:p>
    <w:p w14:paraId="1D23B84C" w14:textId="77777777" w:rsidR="00F709ED" w:rsidRPr="00A259BD" w:rsidRDefault="00F709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Машины НКВД эксплуатирует через </w:t>
      </w:r>
      <w:proofErr w:type="spellStart"/>
      <w:r w:rsidRPr="00A259BD">
        <w:rPr>
          <w:rFonts w:ascii="Times New Roman" w:hAnsi="Times New Roman"/>
          <w:color w:val="000000" w:themeColor="text1"/>
          <w:sz w:val="16"/>
          <w:szCs w:val="16"/>
        </w:rPr>
        <w:t>Чувашавтодортранс</w:t>
      </w:r>
      <w:proofErr w:type="spellEnd"/>
      <w:r w:rsidRPr="00A259BD">
        <w:rPr>
          <w:rFonts w:ascii="Times New Roman" w:hAnsi="Times New Roman"/>
          <w:color w:val="000000" w:themeColor="text1"/>
          <w:sz w:val="16"/>
          <w:szCs w:val="16"/>
        </w:rPr>
        <w:t xml:space="preserve"> на основании хозрасчёта. Желательно вхождение ЦАГИ пайщиком (стоимостью двух аэросаней).</w:t>
      </w:r>
    </w:p>
    <w:p w14:paraId="7E61F84C" w14:textId="77777777" w:rsidR="00F709ED" w:rsidRPr="00A259BD" w:rsidRDefault="00F709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Зимой 1929/30 г. была принята в эксплуатацию опытная линия Чебоксары – Канаш. За январь и февраль</w:t>
      </w:r>
    </w:p>
    <w:p w14:paraId="0F7F80C3" w14:textId="77777777" w:rsidR="00F709ED" w:rsidRPr="00A259BD" w:rsidRDefault="00F709E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1930 г. на аэросанях ЦАГИ (АНТ)-IV с мотором «Люцифер» было пройдено 5260 км, перевезено 244 пассажира, доставлено 1132 кг грузов. Расстояние от Чебоксар до Канаша аэросани, выходя в рейс примерно раз в один-два дня, проходили за 2,5 часа вместо 10-12 часов, необходимых гужевому транспорту. По итогам первого зимнего сезона, линия была передана в регулярную эксплуатацию, а на заводе № 28 специально для </w:t>
      </w:r>
      <w:proofErr w:type="spellStart"/>
      <w:r w:rsidRPr="00A259BD">
        <w:rPr>
          <w:rFonts w:ascii="Times New Roman" w:hAnsi="Times New Roman"/>
          <w:color w:val="000000" w:themeColor="text1"/>
          <w:sz w:val="16"/>
          <w:szCs w:val="16"/>
        </w:rPr>
        <w:t>Чувашавто</w:t>
      </w:r>
      <w:proofErr w:type="spellEnd"/>
      <w:r w:rsidRPr="00A259BD">
        <w:rPr>
          <w:rFonts w:ascii="Times New Roman" w:hAnsi="Times New Roman"/>
          <w:color w:val="000000" w:themeColor="text1"/>
          <w:sz w:val="16"/>
          <w:szCs w:val="16"/>
        </w:rPr>
        <w:t>-транса были изготовлены аэросани НАТИ-IХ (б) (18640).</w:t>
      </w:r>
    </w:p>
    <w:p w14:paraId="297B63C7" w14:textId="77777777" w:rsidR="00F709ED" w:rsidRPr="00A259BD" w:rsidRDefault="00F709ED" w:rsidP="009236E3">
      <w:pPr>
        <w:spacing w:after="0" w:line="240" w:lineRule="auto"/>
        <w:jc w:val="both"/>
        <w:rPr>
          <w:rFonts w:ascii="Times New Roman" w:hAnsi="Times New Roman"/>
          <w:color w:val="000000" w:themeColor="text1"/>
          <w:sz w:val="16"/>
          <w:szCs w:val="16"/>
        </w:rPr>
      </w:pPr>
    </w:p>
    <w:p w14:paraId="7DAF7FD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0C83DE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148FC2" w14:textId="77777777" w:rsidR="00147C6E" w:rsidRPr="00A259BD" w:rsidRDefault="00147C6E" w:rsidP="009236E3">
      <w:pPr>
        <w:shd w:val="clear" w:color="auto" w:fill="FFFFFF"/>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 xml:space="preserve">17 ноября 1929 года два Т-18 всё же поддержали свою пехоту. В последующие два дня 8 танков вполне успешно поддерживали атаки пехоты. Далее конфликт пошел на убыль, поскольку Чжан </w:t>
      </w:r>
      <w:proofErr w:type="spellStart"/>
      <w:r w:rsidRPr="00A259BD">
        <w:rPr>
          <w:rFonts w:ascii="Times New Roman" w:hAnsi="Times New Roman"/>
          <w:color w:val="000000" w:themeColor="text1"/>
          <w:sz w:val="16"/>
          <w:szCs w:val="16"/>
          <w:shd w:val="clear" w:color="auto" w:fill="FFFFFF"/>
        </w:rPr>
        <w:t>Сюэлян</w:t>
      </w:r>
      <w:proofErr w:type="spellEnd"/>
      <w:r w:rsidRPr="00A259BD">
        <w:rPr>
          <w:rFonts w:ascii="Times New Roman" w:hAnsi="Times New Roman"/>
          <w:color w:val="000000" w:themeColor="text1"/>
          <w:sz w:val="16"/>
          <w:szCs w:val="16"/>
          <w:shd w:val="clear" w:color="auto" w:fill="FFFFFF"/>
        </w:rPr>
        <w:t xml:space="preserve"> начал о чем-то догадываться и запросил переговоры. Таким образом, общий итог боевого применения Т-18 можно считать успешным. Особенно с учетом того, как вели боевые действия обе стороны.</w:t>
      </w:r>
    </w:p>
    <w:p w14:paraId="6DDBF318" w14:textId="77777777" w:rsidR="00147C6E" w:rsidRPr="00A259BD" w:rsidRDefault="00147C6E" w:rsidP="009236E3">
      <w:pPr>
        <w:shd w:val="clear" w:color="auto" w:fill="FFFFFF"/>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Конфликт на КВЖД стал единственным случаем полноценного боевого применения Т-18. В дальнейшем танки второй производственной серии довольно быстро ушли на второй план. С учетом того, что общий объем первых двух производственных серий составлял менее восьмой части от общего выпуска Т-18, неудивительно. От них, понятное дело, избавлялись в первую очередь. Часть танков ранних выпусков отправили на Дальний Восток, где их далее использовали как долговременные огневые точки. В таком виде до наших дней дожило 2 танка ранних серий (22380).</w:t>
      </w:r>
    </w:p>
    <w:p w14:paraId="2A09D5F5" w14:textId="77777777" w:rsidR="00147C6E" w:rsidRPr="00A259BD" w:rsidRDefault="00147C6E" w:rsidP="009236E3">
      <w:pPr>
        <w:spacing w:after="0" w:line="240" w:lineRule="auto"/>
        <w:jc w:val="both"/>
        <w:rPr>
          <w:rFonts w:ascii="Times New Roman" w:hAnsi="Times New Roman"/>
          <w:bCs/>
          <w:color w:val="000000" w:themeColor="text1"/>
          <w:sz w:val="16"/>
          <w:szCs w:val="16"/>
        </w:rPr>
      </w:pPr>
    </w:p>
    <w:p w14:paraId="2CFCEA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ноября 1929 г. М. Л. Сорокин, председатель Автотреста (аналог </w:t>
      </w:r>
      <w:proofErr w:type="spellStart"/>
      <w:r w:rsidRPr="00A259BD">
        <w:rPr>
          <w:rFonts w:ascii="Times New Roman" w:hAnsi="Times New Roman"/>
          <w:color w:val="000000" w:themeColor="text1"/>
          <w:sz w:val="16"/>
          <w:szCs w:val="16"/>
        </w:rPr>
        <w:t>Минавтосельхозмаша</w:t>
      </w:r>
      <w:proofErr w:type="spellEnd"/>
      <w:r w:rsidRPr="00A259BD">
        <w:rPr>
          <w:rFonts w:ascii="Times New Roman" w:hAnsi="Times New Roman"/>
          <w:color w:val="000000" w:themeColor="text1"/>
          <w:sz w:val="16"/>
          <w:szCs w:val="16"/>
        </w:rPr>
        <w:t>), выступая в газете "Известия", утверждал, что НАМИ-1 представляет собой сочетание непроверенных и дорогостоящих в производстве конструктивных новшеств, не нашедших еще себе признания даже в заграничной автомобильной практике. Не будучи техническим специалистом, Сорокин поддался эйфории, возникшей после подписания соглашения с Г. Фордом. Легковые машины ГАЗ-А, как тогда казалось, решат все проблемы. Судьба этих машин складывалась весьма не просто. Они выпускались в небольших количествах на технологически очень слабом заводе "Спартак". Качество выполнения оставляло желать много лучшего. Были в ней и недоработки конструкторского Характера, но концепция, общие решения и назначение автомобиля применительно к отечественным условиям эксплуатации не вызывали сомнений. Тем не менее реплика фордов-</w:t>
      </w:r>
      <w:proofErr w:type="spellStart"/>
      <w:r w:rsidRPr="00A259BD">
        <w:rPr>
          <w:rFonts w:ascii="Times New Roman" w:hAnsi="Times New Roman"/>
          <w:color w:val="000000" w:themeColor="text1"/>
          <w:sz w:val="16"/>
          <w:szCs w:val="16"/>
        </w:rPr>
        <w:t>ского</w:t>
      </w:r>
      <w:proofErr w:type="spellEnd"/>
      <w:r w:rsidRPr="00A259BD">
        <w:rPr>
          <w:rFonts w:ascii="Times New Roman" w:hAnsi="Times New Roman"/>
          <w:color w:val="000000" w:themeColor="text1"/>
          <w:sz w:val="16"/>
          <w:szCs w:val="16"/>
        </w:rPr>
        <w:t xml:space="preserve"> технического директора Ч. </w:t>
      </w:r>
      <w:proofErr w:type="spellStart"/>
      <w:r w:rsidRPr="00A259BD">
        <w:rPr>
          <w:rFonts w:ascii="Times New Roman" w:hAnsi="Times New Roman"/>
          <w:color w:val="000000" w:themeColor="text1"/>
          <w:sz w:val="16"/>
          <w:szCs w:val="16"/>
        </w:rPr>
        <w:t>Соренсена</w:t>
      </w:r>
      <w:proofErr w:type="spellEnd"/>
      <w:r w:rsidRPr="00A259BD">
        <w:rPr>
          <w:rFonts w:ascii="Times New Roman" w:hAnsi="Times New Roman"/>
          <w:color w:val="000000" w:themeColor="text1"/>
          <w:sz w:val="16"/>
          <w:szCs w:val="16"/>
        </w:rPr>
        <w:t xml:space="preserve"> "сырая идея" в адрес конструкции НАМИ-1 помогла сформировать отношение к ней некоторых тогдашних руководителей нашей автомобильной промышленности. Поэтому были отставлены планы выпуска (по 2 тыс. в год) НАМИ-1 на Ижорском заводе под Ленинградом, а производство этой модели на "Спартаке" ликвидировано. Правда, общественность ставила вопрос о постройке нового завода малолитражек, а институт НАТИ начал работу над усовершенствованием модели (руководитель проектирования К. А. Шарапов). Новая машина - она называлась НАТИ-2 - получила хорошо уравновешенный </w:t>
      </w:r>
      <w:proofErr w:type="spellStart"/>
      <w:r w:rsidRPr="00A259BD">
        <w:rPr>
          <w:rFonts w:ascii="Times New Roman" w:hAnsi="Times New Roman"/>
          <w:color w:val="000000" w:themeColor="text1"/>
          <w:sz w:val="16"/>
          <w:szCs w:val="16"/>
        </w:rPr>
        <w:t>четырехци-линдровый</w:t>
      </w:r>
      <w:proofErr w:type="spellEnd"/>
      <w:r w:rsidRPr="00A259BD">
        <w:rPr>
          <w:rFonts w:ascii="Times New Roman" w:hAnsi="Times New Roman"/>
          <w:color w:val="000000" w:themeColor="text1"/>
          <w:sz w:val="16"/>
          <w:szCs w:val="16"/>
        </w:rPr>
        <w:t xml:space="preserve"> двигатель (1211 см1, 22 л. с. при 2800 об/мин), воздушного охлаждения. Причем существовали как верхнеклапанный, так и </w:t>
      </w:r>
      <w:proofErr w:type="spellStart"/>
      <w:r w:rsidRPr="00A259BD">
        <w:rPr>
          <w:rFonts w:ascii="Times New Roman" w:hAnsi="Times New Roman"/>
          <w:color w:val="000000" w:themeColor="text1"/>
          <w:sz w:val="16"/>
          <w:szCs w:val="16"/>
        </w:rPr>
        <w:t>нижнеклапанный</w:t>
      </w:r>
      <w:proofErr w:type="spellEnd"/>
      <w:r w:rsidRPr="00A259BD">
        <w:rPr>
          <w:rFonts w:ascii="Times New Roman" w:hAnsi="Times New Roman"/>
          <w:color w:val="000000" w:themeColor="text1"/>
          <w:sz w:val="16"/>
          <w:szCs w:val="16"/>
        </w:rPr>
        <w:t xml:space="preserve"> (облегченный на 20 кг) его варианты. К. А. Шарапов модернизировал многие узлы: рулевую колонку перенес на левую сторону, использовал колеса и шины от ГАЗ-А, усовершенствовал кузов. Кроме того, он отказался от тормозов, расположенных у главной передачи, и установил их по традиционной схеме. Шарапов изменил прежнюю подвеску передних колес. Вместо двух </w:t>
      </w:r>
      <w:proofErr w:type="spellStart"/>
      <w:r w:rsidRPr="00A259BD">
        <w:rPr>
          <w:rFonts w:ascii="Times New Roman" w:hAnsi="Times New Roman"/>
          <w:color w:val="000000" w:themeColor="text1"/>
          <w:sz w:val="16"/>
          <w:szCs w:val="16"/>
        </w:rPr>
        <w:t>четвертьэл</w:t>
      </w:r>
      <w:proofErr w:type="spellEnd"/>
      <w:r w:rsidRPr="00A259BD">
        <w:rPr>
          <w:rFonts w:ascii="Times New Roman" w:hAnsi="Times New Roman"/>
          <w:color w:val="000000" w:themeColor="text1"/>
          <w:sz w:val="16"/>
          <w:szCs w:val="16"/>
        </w:rPr>
        <w:t xml:space="preserve"> ли </w:t>
      </w:r>
      <w:proofErr w:type="spellStart"/>
      <w:r w:rsidRPr="00A259BD">
        <w:rPr>
          <w:rFonts w:ascii="Times New Roman" w:hAnsi="Times New Roman"/>
          <w:color w:val="000000" w:themeColor="text1"/>
          <w:sz w:val="16"/>
          <w:szCs w:val="16"/>
        </w:rPr>
        <w:t>пти</w:t>
      </w:r>
      <w:proofErr w:type="spellEnd"/>
      <w:r w:rsidRPr="00A259BD">
        <w:rPr>
          <w:rFonts w:ascii="Times New Roman" w:hAnsi="Times New Roman"/>
          <w:color w:val="000000" w:themeColor="text1"/>
          <w:sz w:val="16"/>
          <w:szCs w:val="16"/>
        </w:rPr>
        <w:t xml:space="preserve"> чески х рессор, поддерживающих балку переднего моста, на машине НАТИ-2 использованы четыре такие же рессоры - по две одна над другой у каждого переднего колеса. Расположенные таким образом рессоры могут воспринимать тормозные реакции, и поэтому стало возможным снабдить тормозами и передние колеса. Несмотря на перечисленные нововведения, автомобиль сохранил первоначальные характерные </w:t>
      </w:r>
      <w:r w:rsidRPr="00A259BD">
        <w:rPr>
          <w:rFonts w:ascii="Times New Roman" w:hAnsi="Times New Roman"/>
          <w:color w:val="000000" w:themeColor="text1"/>
          <w:sz w:val="16"/>
          <w:szCs w:val="16"/>
        </w:rPr>
        <w:lastRenderedPageBreak/>
        <w:t>особенности: хребтовую раму, независимую подвеску задних колес, главную передачу без дифференциала. Когда конструкция НАТИ-2 была готова, выпуск НАМИ-1 уже свернули (12098).</w:t>
      </w:r>
    </w:p>
    <w:p w14:paraId="7DAF4B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F5568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07062AD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A5C50F" w14:textId="77777777" w:rsidR="00CD7BD7" w:rsidRPr="00A259BD" w:rsidRDefault="00CD7BD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ночь на 17 ноября 1929 года три бронепоезда – №65, №66 и №67 двинулись вслед за подразделениями 21-й стрелковой дивизии, когда перешли границу Манчжурии, недалеко от разъезда 86. Несмотря на сопротивление китайских войск, уже 20 ноября был захвачен город Манчжурия. При этом советские войска захватили на железнодорожной станции два бронепоезда, принадлежавших до этого китайцам. Из Манчжурии путь бронепоездов лежал на другой китайский опорный пункт – город Хайлар, который был захвачен 27-го. Потеря этих городов, разгром основных армейских частей, заставили китайцев принять советские условия (15218).</w:t>
      </w:r>
    </w:p>
    <w:p w14:paraId="7C859335" w14:textId="77777777" w:rsidR="00CD7BD7" w:rsidRPr="00A259BD" w:rsidRDefault="00CD7BD7" w:rsidP="009236E3">
      <w:pPr>
        <w:spacing w:after="0" w:line="240" w:lineRule="auto"/>
        <w:jc w:val="both"/>
        <w:rPr>
          <w:rFonts w:ascii="Times New Roman" w:hAnsi="Times New Roman"/>
          <w:color w:val="000000" w:themeColor="text1"/>
          <w:sz w:val="16"/>
          <w:szCs w:val="16"/>
        </w:rPr>
      </w:pPr>
    </w:p>
    <w:p w14:paraId="2B6D5263" w14:textId="77777777" w:rsidR="00CD7BD7" w:rsidRPr="00A259BD" w:rsidRDefault="00CD7BD7" w:rsidP="009236E3">
      <w:pPr>
        <w:pStyle w:val="a3"/>
        <w:rPr>
          <w:color w:val="000000" w:themeColor="text1"/>
          <w:lang w:val="ru-RU"/>
        </w:rPr>
      </w:pPr>
      <w:r w:rsidRPr="00A259BD">
        <w:rPr>
          <w:color w:val="000000" w:themeColor="text1"/>
          <w:lang w:val="ru-RU"/>
        </w:rPr>
        <w:t>17 ноября 1929 Красная Армия начала наступление. Целями для бомбометания стали укре</w:t>
      </w:r>
      <w:r w:rsidRPr="00A259BD">
        <w:rPr>
          <w:color w:val="000000" w:themeColor="text1"/>
          <w:lang w:val="ru-RU"/>
        </w:rPr>
        <w:softHyphen/>
        <w:t xml:space="preserve">пления близ </w:t>
      </w:r>
      <w:proofErr w:type="spellStart"/>
      <w:r w:rsidRPr="00A259BD">
        <w:rPr>
          <w:color w:val="000000" w:themeColor="text1"/>
          <w:lang w:val="ru-RU"/>
        </w:rPr>
        <w:t>Чжапайнора</w:t>
      </w:r>
      <w:proofErr w:type="spellEnd"/>
      <w:r w:rsidRPr="00A259BD">
        <w:rPr>
          <w:color w:val="000000" w:themeColor="text1"/>
          <w:lang w:val="ru-RU"/>
        </w:rPr>
        <w:t xml:space="preserve">, крепость </w:t>
      </w:r>
      <w:proofErr w:type="spellStart"/>
      <w:r w:rsidRPr="00A259BD">
        <w:rPr>
          <w:color w:val="000000" w:themeColor="text1"/>
          <w:lang w:val="ru-RU"/>
        </w:rPr>
        <w:t>Ливенсин</w:t>
      </w:r>
      <w:proofErr w:type="spellEnd"/>
      <w:r w:rsidRPr="00A259BD">
        <w:rPr>
          <w:color w:val="000000" w:themeColor="text1"/>
          <w:lang w:val="ru-RU"/>
        </w:rPr>
        <w:t xml:space="preserve"> (в других документах — </w:t>
      </w:r>
      <w:proofErr w:type="spellStart"/>
      <w:r w:rsidRPr="00A259BD">
        <w:rPr>
          <w:color w:val="000000" w:themeColor="text1"/>
          <w:lang w:val="ru-RU"/>
        </w:rPr>
        <w:t>Либенсян</w:t>
      </w:r>
      <w:proofErr w:type="spellEnd"/>
      <w:r w:rsidRPr="00A259BD">
        <w:rPr>
          <w:color w:val="000000" w:themeColor="text1"/>
          <w:lang w:val="ru-RU"/>
        </w:rPr>
        <w:t>), военный городок и радиостанция в городе Маньчжурия. Одновременно вели разведку передвиже</w:t>
      </w:r>
      <w:r w:rsidRPr="00A259BD">
        <w:rPr>
          <w:color w:val="000000" w:themeColor="text1"/>
          <w:lang w:val="ru-RU"/>
        </w:rPr>
        <w:softHyphen/>
        <w:t>ния китайских войск. Сделали попытку провести корректировку огня батареи тяжёлой ар</w:t>
      </w:r>
      <w:r w:rsidRPr="00A259BD">
        <w:rPr>
          <w:color w:val="000000" w:themeColor="text1"/>
          <w:lang w:val="ru-RU"/>
        </w:rPr>
        <w:softHyphen/>
        <w:t xml:space="preserve">тиллерии по радио. Послали один из лучших экипажей — лётчика </w:t>
      </w:r>
      <w:proofErr w:type="spellStart"/>
      <w:r w:rsidRPr="00A259BD">
        <w:rPr>
          <w:color w:val="000000" w:themeColor="text1"/>
          <w:lang w:val="ru-RU"/>
        </w:rPr>
        <w:t>Пржелуского</w:t>
      </w:r>
      <w:proofErr w:type="spellEnd"/>
      <w:r w:rsidRPr="00A259BD">
        <w:rPr>
          <w:color w:val="000000" w:themeColor="text1"/>
          <w:lang w:val="ru-RU"/>
        </w:rPr>
        <w:t xml:space="preserve"> и летнаба Уруса, но его постигла неудача. Радио работало нормально, слышимость оказалась хо</w:t>
      </w:r>
      <w:r w:rsidRPr="00A259BD">
        <w:rPr>
          <w:color w:val="000000" w:themeColor="text1"/>
          <w:lang w:val="ru-RU"/>
        </w:rPr>
        <w:softHyphen/>
        <w:t>рошая, однако летнаб никак не мог выявить разрывы снарядов именно той батареи, ко</w:t>
      </w:r>
      <w:r w:rsidRPr="00A259BD">
        <w:rPr>
          <w:color w:val="000000" w:themeColor="text1"/>
          <w:lang w:val="ru-RU"/>
        </w:rPr>
        <w:softHyphen/>
        <w:t>торую он корректировал, поскольку одновременно стреляли еще несколько.</w:t>
      </w:r>
    </w:p>
    <w:p w14:paraId="1BFE7CCE" w14:textId="77777777" w:rsidR="00CD7BD7" w:rsidRPr="00A259BD" w:rsidRDefault="00CD7BD7" w:rsidP="009236E3">
      <w:pPr>
        <w:pStyle w:val="a3"/>
        <w:rPr>
          <w:color w:val="000000" w:themeColor="text1"/>
          <w:lang w:val="ru-RU"/>
        </w:rPr>
      </w:pPr>
      <w:r w:rsidRPr="00A259BD">
        <w:rPr>
          <w:color w:val="000000" w:themeColor="text1"/>
          <w:lang w:val="ru-RU"/>
        </w:rPr>
        <w:t>После налёта авиации и артиллерийской подготовки части ОДВА пошли в атаку. Десять танков МС-1 прорвали оборону китайцев и ушли вперед, перерезав железную дорогу Мань</w:t>
      </w:r>
      <w:r w:rsidRPr="00A259BD">
        <w:rPr>
          <w:color w:val="000000" w:themeColor="text1"/>
          <w:lang w:val="ru-RU"/>
        </w:rPr>
        <w:softHyphen/>
        <w:t>чжурия-</w:t>
      </w:r>
      <w:proofErr w:type="spellStart"/>
      <w:r w:rsidRPr="00A259BD">
        <w:rPr>
          <w:color w:val="000000" w:themeColor="text1"/>
          <w:lang w:val="ru-RU"/>
        </w:rPr>
        <w:t>Чжалайнор</w:t>
      </w:r>
      <w:proofErr w:type="spellEnd"/>
      <w:r w:rsidRPr="00A259BD">
        <w:rPr>
          <w:color w:val="000000" w:themeColor="text1"/>
          <w:lang w:val="ru-RU"/>
        </w:rPr>
        <w:t xml:space="preserve">. Там их догнала наша пехота. В другом месте к дороге вышла 5-я кавалерийская бригада, захватившая поезд. К утру следующего дня Маньчжурия и </w:t>
      </w:r>
      <w:proofErr w:type="spellStart"/>
      <w:r w:rsidRPr="00A259BD">
        <w:rPr>
          <w:color w:val="000000" w:themeColor="text1"/>
          <w:lang w:val="ru-RU"/>
        </w:rPr>
        <w:t>Чжалайнор</w:t>
      </w:r>
      <w:proofErr w:type="spellEnd"/>
      <w:r w:rsidRPr="00A259BD">
        <w:rPr>
          <w:color w:val="000000" w:themeColor="text1"/>
          <w:lang w:val="ru-RU"/>
        </w:rPr>
        <w:t xml:space="preserve"> фактически попали в окружение.</w:t>
      </w:r>
    </w:p>
    <w:p w14:paraId="0D06A057" w14:textId="77777777" w:rsidR="00CD7BD7" w:rsidRPr="00A259BD" w:rsidRDefault="00CD7BD7" w:rsidP="009236E3">
      <w:pPr>
        <w:pStyle w:val="a3"/>
        <w:rPr>
          <w:color w:val="000000" w:themeColor="text1"/>
          <w:lang w:val="ru-RU"/>
        </w:rPr>
      </w:pPr>
      <w:r w:rsidRPr="00A259BD">
        <w:rPr>
          <w:color w:val="000000" w:themeColor="text1"/>
          <w:lang w:val="ru-RU"/>
        </w:rPr>
        <w:t>Забайкальская группа была намного мощнее Приморской. Она включала три стрелко</w:t>
      </w:r>
      <w:r w:rsidRPr="00A259BD">
        <w:rPr>
          <w:color w:val="000000" w:themeColor="text1"/>
          <w:lang w:val="ru-RU"/>
        </w:rPr>
        <w:softHyphen/>
        <w:t>вые дивизии, кавалерийскую бригаду, а также ряд других частей и подразделений. Но и силы китайцев, противостоящие ей, тоже были значительные. Возможно, именно мас</w:t>
      </w:r>
      <w:r w:rsidRPr="00A259BD">
        <w:rPr>
          <w:color w:val="000000" w:themeColor="text1"/>
          <w:lang w:val="ru-RU"/>
        </w:rPr>
        <w:softHyphen/>
        <w:t>штабы обусловили то, что операции на Забайкальском направлении начались на два месяца позже, чем на Приморском.</w:t>
      </w:r>
    </w:p>
    <w:p w14:paraId="5241D13E" w14:textId="77777777" w:rsidR="00CD7BD7" w:rsidRPr="00A259BD" w:rsidRDefault="00CD7BD7" w:rsidP="009236E3">
      <w:pPr>
        <w:pStyle w:val="a3"/>
        <w:rPr>
          <w:color w:val="000000" w:themeColor="text1"/>
          <w:lang w:val="ru-RU"/>
        </w:rPr>
      </w:pPr>
      <w:r w:rsidRPr="00A259BD">
        <w:rPr>
          <w:color w:val="000000" w:themeColor="text1"/>
          <w:lang w:val="ru-RU"/>
        </w:rPr>
        <w:t xml:space="preserve">Подчиненные группе 26-ю эскадрилью, 25-й и 6-й авиаотряды (всего 31 самолёт) разместили на аэродроме «Даурия». Там уже стояла настоящая зима. Вылетевший из Читы 6-й отряд под командованием </w:t>
      </w:r>
      <w:proofErr w:type="spellStart"/>
      <w:r w:rsidRPr="00A259BD">
        <w:rPr>
          <w:color w:val="000000" w:themeColor="text1"/>
          <w:lang w:val="ru-RU"/>
        </w:rPr>
        <w:t>Маслюженко</w:t>
      </w:r>
      <w:proofErr w:type="spellEnd"/>
      <w:r w:rsidRPr="00A259BD">
        <w:rPr>
          <w:color w:val="000000" w:themeColor="text1"/>
          <w:lang w:val="ru-RU"/>
        </w:rPr>
        <w:t xml:space="preserve"> перед посадкой обнаружил, что вни</w:t>
      </w:r>
      <w:r w:rsidRPr="00A259BD">
        <w:rPr>
          <w:color w:val="000000" w:themeColor="text1"/>
          <w:lang w:val="ru-RU"/>
        </w:rPr>
        <w:softHyphen/>
        <w:t>зу толстый слой снега. Но машины-то взлетели на колесах! Положение спас командир стоявшей рядом кавалерийской бригады К.К. Рокоссовский, спешно выгнавший на лёт</w:t>
      </w:r>
      <w:r w:rsidRPr="00A259BD">
        <w:rPr>
          <w:color w:val="000000" w:themeColor="text1"/>
          <w:lang w:val="ru-RU"/>
        </w:rPr>
        <w:softHyphen/>
        <w:t>ное поле два полка всадников. Лошади копытами утоптали площадку и все шесть са</w:t>
      </w:r>
      <w:r w:rsidRPr="00A259BD">
        <w:rPr>
          <w:color w:val="000000" w:themeColor="text1"/>
          <w:lang w:val="ru-RU"/>
        </w:rPr>
        <w:softHyphen/>
        <w:t>молетов сели благополучно.</w:t>
      </w:r>
    </w:p>
    <w:p w14:paraId="420514BC" w14:textId="77777777" w:rsidR="00CD7BD7" w:rsidRPr="00A259BD" w:rsidRDefault="00CD7BD7" w:rsidP="009236E3">
      <w:pPr>
        <w:pStyle w:val="a3"/>
        <w:rPr>
          <w:color w:val="000000" w:themeColor="text1"/>
          <w:lang w:val="ru-RU"/>
        </w:rPr>
      </w:pPr>
      <w:r w:rsidRPr="00A259BD">
        <w:rPr>
          <w:color w:val="000000" w:themeColor="text1"/>
          <w:lang w:val="ru-RU"/>
        </w:rPr>
        <w:t>Место оказалось «не то, чтобы очень как». Воду и даже дрова приходилось доставлять по железной дороге (местные жители использовали в качестве топлива сушёный навоз). Условия проживания личного состава тоже были, мягко говоря, спартанские. Горючее для самолётов завезли из расчёта на три дня, бомб и патронов — на всю операцию. Аэ</w:t>
      </w:r>
      <w:r w:rsidRPr="00A259BD">
        <w:rPr>
          <w:color w:val="000000" w:themeColor="text1"/>
          <w:lang w:val="ru-RU"/>
        </w:rPr>
        <w:softHyphen/>
        <w:t>родром находился в 75 км от штаба группы, с которым наладили телеграфную связь, и в 80 км от линии фронта.</w:t>
      </w:r>
    </w:p>
    <w:p w14:paraId="57F948A3" w14:textId="77777777" w:rsidR="00CD7BD7" w:rsidRPr="00A259BD" w:rsidRDefault="00CD7BD7" w:rsidP="009236E3">
      <w:pPr>
        <w:pStyle w:val="a3"/>
        <w:rPr>
          <w:color w:val="000000" w:themeColor="text1"/>
          <w:lang w:val="ru-RU"/>
        </w:rPr>
      </w:pPr>
      <w:r w:rsidRPr="00A259BD">
        <w:rPr>
          <w:color w:val="000000" w:themeColor="text1"/>
          <w:lang w:val="ru-RU"/>
        </w:rPr>
        <w:t>21-й дивизии предстояло блокировать гарнизон железнодорожной станции Маньчжу</w:t>
      </w:r>
      <w:r w:rsidRPr="00A259BD">
        <w:rPr>
          <w:color w:val="000000" w:themeColor="text1"/>
          <w:lang w:val="ru-RU"/>
        </w:rPr>
        <w:softHyphen/>
        <w:t xml:space="preserve">рия. 36-я, поддержанная танковой ротой, наносила удар с севера между Маньчжурией и </w:t>
      </w:r>
      <w:proofErr w:type="spellStart"/>
      <w:r w:rsidRPr="00A259BD">
        <w:rPr>
          <w:color w:val="000000" w:themeColor="text1"/>
          <w:lang w:val="ru-RU"/>
        </w:rPr>
        <w:t>Чжалайнором</w:t>
      </w:r>
      <w:proofErr w:type="spellEnd"/>
      <w:r w:rsidRPr="00A259BD">
        <w:rPr>
          <w:color w:val="000000" w:themeColor="text1"/>
          <w:lang w:val="ru-RU"/>
        </w:rPr>
        <w:t xml:space="preserve"> (Далайнором), отсекая друг от друга две китайские бригады. 35-я дивизия шла на </w:t>
      </w:r>
      <w:proofErr w:type="spellStart"/>
      <w:r w:rsidRPr="00A259BD">
        <w:rPr>
          <w:color w:val="000000" w:themeColor="text1"/>
          <w:lang w:val="ru-RU"/>
        </w:rPr>
        <w:t>Чжалайнор</w:t>
      </w:r>
      <w:proofErr w:type="spellEnd"/>
      <w:r w:rsidRPr="00A259BD">
        <w:rPr>
          <w:color w:val="000000" w:themeColor="text1"/>
          <w:lang w:val="ru-RU"/>
        </w:rPr>
        <w:t>, одновременно отрезая противнику пути отхода на Хайлар. Примор</w:t>
      </w:r>
      <w:r w:rsidRPr="00A259BD">
        <w:rPr>
          <w:color w:val="000000" w:themeColor="text1"/>
          <w:lang w:val="ru-RU"/>
        </w:rPr>
        <w:softHyphen/>
        <w:t xml:space="preserve">ская группа должна была возобновить наступление и взять город </w:t>
      </w:r>
      <w:proofErr w:type="spellStart"/>
      <w:r w:rsidRPr="00A259BD">
        <w:rPr>
          <w:color w:val="000000" w:themeColor="text1"/>
          <w:lang w:val="ru-RU"/>
        </w:rPr>
        <w:t>Мишаньфу</w:t>
      </w:r>
      <w:proofErr w:type="spellEnd"/>
      <w:r w:rsidRPr="00A259BD">
        <w:rPr>
          <w:color w:val="000000" w:themeColor="text1"/>
          <w:lang w:val="ru-RU"/>
        </w:rPr>
        <w:t>.</w:t>
      </w:r>
    </w:p>
    <w:p w14:paraId="116474FA" w14:textId="77777777" w:rsidR="00CD7BD7" w:rsidRPr="00A259BD" w:rsidRDefault="00CD7BD7" w:rsidP="009236E3">
      <w:pPr>
        <w:pStyle w:val="a3"/>
        <w:rPr>
          <w:color w:val="000000" w:themeColor="text1"/>
          <w:lang w:val="ru-RU"/>
        </w:rPr>
      </w:pPr>
      <w:r w:rsidRPr="00A259BD">
        <w:rPr>
          <w:color w:val="000000" w:themeColor="text1"/>
          <w:lang w:val="ru-RU"/>
        </w:rPr>
        <w:t>Перед началом операции советские самолёты провели интенсивную разведку рай</w:t>
      </w:r>
      <w:r w:rsidRPr="00A259BD">
        <w:rPr>
          <w:color w:val="000000" w:themeColor="text1"/>
          <w:lang w:val="ru-RU"/>
        </w:rPr>
        <w:softHyphen/>
        <w:t>она Маньчжурия-</w:t>
      </w:r>
      <w:proofErr w:type="spellStart"/>
      <w:r w:rsidRPr="00A259BD">
        <w:rPr>
          <w:color w:val="000000" w:themeColor="text1"/>
          <w:lang w:val="ru-RU"/>
        </w:rPr>
        <w:t>Чжалайнор</w:t>
      </w:r>
      <w:proofErr w:type="spellEnd"/>
      <w:r w:rsidRPr="00A259BD">
        <w:rPr>
          <w:color w:val="000000" w:themeColor="text1"/>
          <w:lang w:val="ru-RU"/>
        </w:rPr>
        <w:t>. 15 ноября рекогносцировку с воздуха там произвел коман</w:t>
      </w:r>
      <w:r w:rsidRPr="00A259BD">
        <w:rPr>
          <w:color w:val="000000" w:themeColor="text1"/>
          <w:lang w:val="ru-RU"/>
        </w:rPr>
        <w:softHyphen/>
        <w:t>дир 63-го полка. Всю полосу обороны противника сфотографировали, это позволило впоследствии обойти и изолировать наиболее укреплённые места (15819).</w:t>
      </w:r>
    </w:p>
    <w:p w14:paraId="55E8538A" w14:textId="77777777" w:rsidR="00CD7BD7" w:rsidRPr="00A259BD" w:rsidRDefault="00CD7BD7" w:rsidP="009236E3">
      <w:pPr>
        <w:pStyle w:val="a3"/>
        <w:rPr>
          <w:color w:val="000000" w:themeColor="text1"/>
          <w:lang w:val="ru-RU"/>
        </w:rPr>
      </w:pPr>
    </w:p>
    <w:p w14:paraId="4CD9C23A" w14:textId="77777777" w:rsidR="00CD7BD7" w:rsidRPr="00A259BD" w:rsidRDefault="00CD7BD7"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hAnsi="Times New Roman"/>
          <w:bCs/>
          <w:color w:val="000000" w:themeColor="text1"/>
          <w:sz w:val="16"/>
          <w:szCs w:val="16"/>
        </w:rPr>
        <w:t xml:space="preserve">17 ноября </w:t>
      </w:r>
      <w:r w:rsidRPr="00A259BD">
        <w:rPr>
          <w:rFonts w:ascii="Times New Roman" w:hAnsi="Times New Roman"/>
          <w:color w:val="000000" w:themeColor="text1"/>
          <w:sz w:val="16"/>
          <w:szCs w:val="16"/>
        </w:rPr>
        <w:t>в 1929 году в ходе советско-китайского конфликта на КВЖД войсками Забайкальской группы (С. С. Вострецов) Особой Краснознаменной Дальневосточной армии (В. К. Блюхер) началась Маньчжуро-</w:t>
      </w:r>
      <w:proofErr w:type="spellStart"/>
      <w:r w:rsidRPr="00A259BD">
        <w:rPr>
          <w:rFonts w:ascii="Times New Roman" w:hAnsi="Times New Roman"/>
          <w:color w:val="000000" w:themeColor="text1"/>
          <w:sz w:val="16"/>
          <w:szCs w:val="16"/>
        </w:rPr>
        <w:t>Чжалайнорская</w:t>
      </w:r>
      <w:proofErr w:type="spellEnd"/>
      <w:r w:rsidRPr="00A259BD">
        <w:rPr>
          <w:rFonts w:ascii="Times New Roman" w:hAnsi="Times New Roman"/>
          <w:color w:val="000000" w:themeColor="text1"/>
          <w:sz w:val="16"/>
          <w:szCs w:val="16"/>
        </w:rPr>
        <w:t xml:space="preserve"> наступательная операция. В ходе операции, завершившейся 20 ноября, взято в плен 8 тыс. китайцев, в том числе 250 офицеров. Наши потери составили 123 человека убитыми (14833).</w:t>
      </w:r>
    </w:p>
    <w:p w14:paraId="58FD16E4" w14:textId="77777777" w:rsidR="00CD7BD7" w:rsidRPr="00A259BD" w:rsidRDefault="00CD7BD7" w:rsidP="009236E3">
      <w:pPr>
        <w:spacing w:after="0" w:line="240" w:lineRule="auto"/>
        <w:jc w:val="both"/>
        <w:rPr>
          <w:rFonts w:ascii="Times New Roman" w:hAnsi="Times New Roman"/>
          <w:color w:val="000000" w:themeColor="text1"/>
          <w:sz w:val="16"/>
          <w:szCs w:val="16"/>
        </w:rPr>
      </w:pPr>
    </w:p>
    <w:p w14:paraId="00641148" w14:textId="77777777" w:rsidR="00CD7BD7" w:rsidRPr="00A259BD" w:rsidRDefault="00CD7BD7" w:rsidP="009236E3">
      <w:pPr>
        <w:pStyle w:val="a3"/>
        <w:rPr>
          <w:color w:val="000000" w:themeColor="text1"/>
          <w:lang w:val="ru-RU"/>
        </w:rPr>
      </w:pPr>
      <w:r w:rsidRPr="00A259BD">
        <w:rPr>
          <w:color w:val="000000" w:themeColor="text1"/>
          <w:lang w:val="ru-RU"/>
        </w:rPr>
        <w:t>17 ноября 1929 одновременно с Забайкальской группой ОДВА вновь начала наступление Приморская груп</w:t>
      </w:r>
      <w:r w:rsidRPr="00A259BD">
        <w:rPr>
          <w:color w:val="000000" w:themeColor="text1"/>
          <w:lang w:val="ru-RU"/>
        </w:rPr>
        <w:softHyphen/>
        <w:t xml:space="preserve">па. Ей ставилась задача овладеть городом </w:t>
      </w:r>
      <w:proofErr w:type="spellStart"/>
      <w:r w:rsidRPr="00A259BD">
        <w:rPr>
          <w:color w:val="000000" w:themeColor="text1"/>
          <w:lang w:val="ru-RU"/>
        </w:rPr>
        <w:t>Мишаньфу</w:t>
      </w:r>
      <w:proofErr w:type="spellEnd"/>
      <w:r w:rsidRPr="00A259BD">
        <w:rPr>
          <w:color w:val="000000" w:themeColor="text1"/>
          <w:lang w:val="ru-RU"/>
        </w:rPr>
        <w:t>. С воздуха наши части поддержи</w:t>
      </w:r>
      <w:r w:rsidRPr="00A259BD">
        <w:rPr>
          <w:color w:val="000000" w:themeColor="text1"/>
          <w:lang w:val="ru-RU"/>
        </w:rPr>
        <w:softHyphen/>
        <w:t>вали 40-я эскадрилья (15 самолётов Р-1), один отряд 5-й истребительной эскадрильи (семь «Фоккеров») и 19-й отряд (восемь Р-1). Все самолёты сосредоточили на аэродро</w:t>
      </w:r>
      <w:r w:rsidRPr="00A259BD">
        <w:rPr>
          <w:color w:val="000000" w:themeColor="text1"/>
          <w:lang w:val="ru-RU"/>
        </w:rPr>
        <w:softHyphen/>
        <w:t>ме «Камень-Рыболов». Они должны были решать две основные задачи: разведку путей продвижения войск и их поддержку на поле боя; бомбить населённые пункты запрещалось (15819).</w:t>
      </w:r>
    </w:p>
    <w:p w14:paraId="19F7B294" w14:textId="77777777" w:rsidR="00CD7BD7" w:rsidRPr="00A259BD" w:rsidRDefault="00CD7BD7" w:rsidP="009236E3">
      <w:pPr>
        <w:pStyle w:val="a3"/>
        <w:rPr>
          <w:color w:val="000000" w:themeColor="text1"/>
          <w:lang w:val="ru-RU"/>
        </w:rPr>
      </w:pPr>
    </w:p>
    <w:p w14:paraId="4E8A8CD1" w14:textId="77777777" w:rsidR="00CD7BD7" w:rsidRPr="00A259BD" w:rsidRDefault="00CD7BD7" w:rsidP="009236E3">
      <w:pPr>
        <w:pStyle w:val="a3"/>
        <w:rPr>
          <w:color w:val="000000" w:themeColor="text1"/>
          <w:lang w:val="ru-RU"/>
        </w:rPr>
      </w:pPr>
      <w:r w:rsidRPr="00A259BD">
        <w:rPr>
          <w:color w:val="000000" w:themeColor="text1"/>
          <w:lang w:val="ru-RU"/>
        </w:rPr>
        <w:t xml:space="preserve">17-18 ноября 1929 Р-1 из 40-й </w:t>
      </w:r>
      <w:proofErr w:type="spellStart"/>
      <w:r w:rsidRPr="00A259BD">
        <w:rPr>
          <w:color w:val="000000" w:themeColor="text1"/>
          <w:lang w:val="ru-RU"/>
        </w:rPr>
        <w:t>аэ</w:t>
      </w:r>
      <w:proofErr w:type="spellEnd"/>
      <w:r w:rsidRPr="00A259BD">
        <w:rPr>
          <w:color w:val="000000" w:themeColor="text1"/>
          <w:lang w:val="ru-RU"/>
        </w:rPr>
        <w:t xml:space="preserve"> поддерживали наступление войск в работе города Мишань. При содействии авиации город был взят, противник понес серьёзные потери.</w:t>
      </w:r>
    </w:p>
    <w:p w14:paraId="344906D9" w14:textId="77777777" w:rsidR="00CD7BD7" w:rsidRPr="00A259BD" w:rsidRDefault="00CD7BD7" w:rsidP="009236E3">
      <w:pPr>
        <w:pStyle w:val="a3"/>
        <w:rPr>
          <w:color w:val="000000" w:themeColor="text1"/>
          <w:lang w:val="ru-RU"/>
        </w:rPr>
      </w:pPr>
      <w:r w:rsidRPr="00A259BD">
        <w:rPr>
          <w:color w:val="000000" w:themeColor="text1"/>
          <w:lang w:val="ru-RU"/>
        </w:rPr>
        <w:t xml:space="preserve">17 ноября началась операция в районе </w:t>
      </w:r>
      <w:proofErr w:type="spellStart"/>
      <w:r w:rsidRPr="00A259BD">
        <w:rPr>
          <w:color w:val="000000" w:themeColor="text1"/>
          <w:lang w:val="ru-RU"/>
        </w:rPr>
        <w:t>Чжалайнора</w:t>
      </w:r>
      <w:proofErr w:type="spellEnd"/>
      <w:r w:rsidRPr="00A259BD">
        <w:rPr>
          <w:color w:val="000000" w:themeColor="text1"/>
          <w:lang w:val="ru-RU"/>
        </w:rPr>
        <w:t>, 20 Р-1 бомбили укрепления юж</w:t>
      </w:r>
      <w:r w:rsidRPr="00A259BD">
        <w:rPr>
          <w:color w:val="000000" w:themeColor="text1"/>
          <w:lang w:val="ru-RU"/>
        </w:rPr>
        <w:softHyphen/>
        <w:t xml:space="preserve">ной линии обороны китайцев, которые наземные части затем захватили стремительной атакой 18 ноября самолёты 25-го </w:t>
      </w:r>
      <w:proofErr w:type="spellStart"/>
      <w:r w:rsidRPr="00A259BD">
        <w:rPr>
          <w:color w:val="000000" w:themeColor="text1"/>
          <w:lang w:val="ru-RU"/>
        </w:rPr>
        <w:t>ао</w:t>
      </w:r>
      <w:proofErr w:type="spellEnd"/>
      <w:r w:rsidRPr="00A259BD">
        <w:rPr>
          <w:color w:val="000000" w:themeColor="text1"/>
          <w:lang w:val="ru-RU"/>
        </w:rPr>
        <w:t xml:space="preserve"> атаковали китайские войска в районе ст. Маньчжу</w:t>
      </w:r>
      <w:r w:rsidRPr="00A259BD">
        <w:rPr>
          <w:color w:val="000000" w:themeColor="text1"/>
          <w:lang w:val="ru-RU"/>
        </w:rPr>
        <w:softHyphen/>
        <w:t xml:space="preserve">рия, Р-1 из 6-го авиаотряда и 26-й эскадрильи </w:t>
      </w:r>
      <w:proofErr w:type="spellStart"/>
      <w:r w:rsidRPr="00A259BD">
        <w:rPr>
          <w:color w:val="000000" w:themeColor="text1"/>
          <w:lang w:val="ru-RU"/>
        </w:rPr>
        <w:t>бомбо</w:t>
      </w:r>
      <w:proofErr w:type="spellEnd"/>
      <w:r w:rsidRPr="00A259BD">
        <w:rPr>
          <w:color w:val="000000" w:themeColor="text1"/>
          <w:lang w:val="ru-RU"/>
        </w:rPr>
        <w:t>-штурмовыми ударами обраба</w:t>
      </w:r>
      <w:r w:rsidRPr="00A259BD">
        <w:rPr>
          <w:color w:val="000000" w:themeColor="text1"/>
          <w:lang w:val="ru-RU"/>
        </w:rPr>
        <w:softHyphen/>
        <w:t xml:space="preserve">тывали передний край обороны китайцев в районе </w:t>
      </w:r>
      <w:proofErr w:type="spellStart"/>
      <w:r w:rsidRPr="00A259BD">
        <w:rPr>
          <w:color w:val="000000" w:themeColor="text1"/>
          <w:lang w:val="ru-RU"/>
        </w:rPr>
        <w:t>Чжалайнора</w:t>
      </w:r>
      <w:proofErr w:type="spellEnd"/>
      <w:r w:rsidRPr="00A259BD">
        <w:rPr>
          <w:color w:val="000000" w:themeColor="text1"/>
          <w:lang w:val="ru-RU"/>
        </w:rPr>
        <w:t xml:space="preserve">. 18 ноября советские войска штурмом овладели </w:t>
      </w:r>
      <w:proofErr w:type="spellStart"/>
      <w:r w:rsidRPr="00A259BD">
        <w:rPr>
          <w:color w:val="000000" w:themeColor="text1"/>
          <w:lang w:val="ru-RU"/>
        </w:rPr>
        <w:t>Чжалайнором</w:t>
      </w:r>
      <w:proofErr w:type="spellEnd"/>
      <w:r w:rsidRPr="00A259BD">
        <w:rPr>
          <w:color w:val="000000" w:themeColor="text1"/>
          <w:lang w:val="ru-RU"/>
        </w:rPr>
        <w:t>, 20 ноября взяли станцию Маньчжурия.</w:t>
      </w:r>
    </w:p>
    <w:p w14:paraId="7098857A" w14:textId="77777777" w:rsidR="00CD7BD7" w:rsidRPr="00A259BD" w:rsidRDefault="00CD7BD7" w:rsidP="009236E3">
      <w:pPr>
        <w:pStyle w:val="a3"/>
        <w:rPr>
          <w:color w:val="000000" w:themeColor="text1"/>
          <w:lang w:val="ru-RU"/>
        </w:rPr>
      </w:pPr>
      <w:r w:rsidRPr="00A259BD">
        <w:rPr>
          <w:color w:val="000000" w:themeColor="text1"/>
          <w:lang w:val="ru-RU"/>
        </w:rPr>
        <w:t>Далее наши самолёты перешли к бомбардировке китайских резервов в направлении на Хайлар. 29 ноября китайские части оставили город, часть советских самолётов пе</w:t>
      </w:r>
      <w:r w:rsidRPr="00A259BD">
        <w:rPr>
          <w:color w:val="000000" w:themeColor="text1"/>
          <w:lang w:val="ru-RU"/>
        </w:rPr>
        <w:softHyphen/>
        <w:t>ребазировалась на местный аэродром. Отсюда в течение нескольких дней лётчики вы</w:t>
      </w:r>
      <w:r w:rsidRPr="00A259BD">
        <w:rPr>
          <w:color w:val="000000" w:themeColor="text1"/>
          <w:lang w:val="ru-RU"/>
        </w:rPr>
        <w:softHyphen/>
        <w:t>полнили последние боевые вылеты, главным образом, разведывательные (15820).</w:t>
      </w:r>
    </w:p>
    <w:p w14:paraId="26458093" w14:textId="77777777" w:rsidR="00CD7BD7" w:rsidRPr="00A259BD" w:rsidRDefault="00CD7BD7" w:rsidP="009236E3">
      <w:pPr>
        <w:pStyle w:val="a3"/>
        <w:rPr>
          <w:color w:val="000000" w:themeColor="text1"/>
          <w:lang w:val="ru-RU"/>
        </w:rPr>
      </w:pPr>
    </w:p>
    <w:p w14:paraId="536246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17-18 ноября 1929 состоялась </w:t>
      </w:r>
      <w:proofErr w:type="spellStart"/>
      <w:r w:rsidRPr="00A259BD">
        <w:rPr>
          <w:rFonts w:ascii="Times New Roman" w:hAnsi="Times New Roman"/>
          <w:color w:val="000000" w:themeColor="text1"/>
          <w:sz w:val="16"/>
          <w:szCs w:val="16"/>
        </w:rPr>
        <w:t>Мишаньфуская</w:t>
      </w:r>
      <w:proofErr w:type="spellEnd"/>
      <w:r w:rsidRPr="00A259BD">
        <w:rPr>
          <w:rFonts w:ascii="Times New Roman" w:hAnsi="Times New Roman"/>
          <w:color w:val="000000" w:themeColor="text1"/>
          <w:sz w:val="16"/>
          <w:szCs w:val="16"/>
        </w:rPr>
        <w:t xml:space="preserve"> операция по разгрому группировки китайских войск в районе Мишаня силами ДВА </w:t>
      </w:r>
      <w:proofErr w:type="spellStart"/>
      <w:r w:rsidRPr="00A259BD">
        <w:rPr>
          <w:rFonts w:ascii="Times New Roman" w:hAnsi="Times New Roman"/>
          <w:color w:val="000000" w:themeColor="text1"/>
          <w:sz w:val="16"/>
          <w:szCs w:val="16"/>
        </w:rPr>
        <w:t>В.К.Блюхера</w:t>
      </w:r>
      <w:proofErr w:type="spellEnd"/>
      <w:r w:rsidRPr="00A259BD">
        <w:rPr>
          <w:rFonts w:ascii="Times New Roman" w:hAnsi="Times New Roman"/>
          <w:color w:val="000000" w:themeColor="text1"/>
          <w:sz w:val="16"/>
          <w:szCs w:val="16"/>
        </w:rPr>
        <w:t xml:space="preserve">. Группа </w:t>
      </w:r>
      <w:proofErr w:type="spellStart"/>
      <w:r w:rsidRPr="00A259BD">
        <w:rPr>
          <w:rFonts w:ascii="Times New Roman" w:hAnsi="Times New Roman"/>
          <w:color w:val="000000" w:themeColor="text1"/>
          <w:sz w:val="16"/>
          <w:szCs w:val="16"/>
        </w:rPr>
        <w:t>А.Я.Лапина</w:t>
      </w:r>
      <w:proofErr w:type="spellEnd"/>
      <w:r w:rsidRPr="00A259BD">
        <w:rPr>
          <w:rFonts w:ascii="Times New Roman" w:hAnsi="Times New Roman"/>
          <w:color w:val="000000" w:themeColor="text1"/>
          <w:sz w:val="16"/>
          <w:szCs w:val="16"/>
        </w:rPr>
        <w:t xml:space="preserve"> разбила китайцев (2438,409).</w:t>
      </w:r>
    </w:p>
    <w:p w14:paraId="7C3A07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346B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C 17 по 20 ноября 1929 состоялась </w:t>
      </w:r>
      <w:proofErr w:type="spellStart"/>
      <w:r w:rsidRPr="00A259BD">
        <w:rPr>
          <w:rFonts w:ascii="Times New Roman" w:hAnsi="Times New Roman"/>
          <w:color w:val="000000" w:themeColor="text1"/>
          <w:sz w:val="16"/>
          <w:szCs w:val="16"/>
        </w:rPr>
        <w:t>Манчжурско-Чжалайонорская</w:t>
      </w:r>
      <w:proofErr w:type="spellEnd"/>
      <w:r w:rsidRPr="00A259BD">
        <w:rPr>
          <w:rFonts w:ascii="Times New Roman" w:hAnsi="Times New Roman"/>
          <w:color w:val="000000" w:themeColor="text1"/>
          <w:sz w:val="16"/>
          <w:szCs w:val="16"/>
        </w:rPr>
        <w:t xml:space="preserve"> операция во время советско-китайского конфликта по поводу КВЖД. Группа </w:t>
      </w:r>
      <w:proofErr w:type="spellStart"/>
      <w:r w:rsidRPr="00A259BD">
        <w:rPr>
          <w:rFonts w:ascii="Times New Roman" w:hAnsi="Times New Roman"/>
          <w:color w:val="000000" w:themeColor="text1"/>
          <w:sz w:val="16"/>
          <w:szCs w:val="16"/>
        </w:rPr>
        <w:t>С.С.Вострецова</w:t>
      </w:r>
      <w:proofErr w:type="spellEnd"/>
      <w:r w:rsidRPr="00A259BD">
        <w:rPr>
          <w:rFonts w:ascii="Times New Roman" w:hAnsi="Times New Roman"/>
          <w:color w:val="000000" w:themeColor="text1"/>
          <w:sz w:val="16"/>
          <w:szCs w:val="16"/>
        </w:rPr>
        <w:t xml:space="preserve"> в 8 тыс. чел. прорвала пограничные укрепления, окружила и разбила китайские войска численностью 15 тыс. (2438,390).</w:t>
      </w:r>
    </w:p>
    <w:p w14:paraId="4B0C09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7DD04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ноября 1929 три советские дивизии и одна кавалерийская бригада в составе 18 </w:t>
      </w:r>
      <w:proofErr w:type="spellStart"/>
      <w:r w:rsidRPr="00A259BD">
        <w:rPr>
          <w:rFonts w:ascii="Times New Roman" w:hAnsi="Times New Roman"/>
          <w:color w:val="000000" w:themeColor="text1"/>
          <w:sz w:val="16"/>
          <w:szCs w:val="16"/>
        </w:rPr>
        <w:t>кавкорпуса</w:t>
      </w:r>
      <w:proofErr w:type="spellEnd"/>
      <w:r w:rsidRPr="00A259BD">
        <w:rPr>
          <w:rFonts w:ascii="Times New Roman" w:hAnsi="Times New Roman"/>
          <w:color w:val="000000" w:themeColor="text1"/>
          <w:sz w:val="16"/>
          <w:szCs w:val="16"/>
        </w:rPr>
        <w:t xml:space="preserve"> начали движение в направлении </w:t>
      </w:r>
      <w:proofErr w:type="spellStart"/>
      <w:r w:rsidRPr="00A259BD">
        <w:rPr>
          <w:rFonts w:ascii="Times New Roman" w:hAnsi="Times New Roman"/>
          <w:color w:val="000000" w:themeColor="text1"/>
          <w:sz w:val="16"/>
          <w:szCs w:val="16"/>
        </w:rPr>
        <w:t>Манчули</w:t>
      </w:r>
      <w:proofErr w:type="spellEnd"/>
      <w:r w:rsidRPr="00A259BD">
        <w:rPr>
          <w:rFonts w:ascii="Times New Roman" w:hAnsi="Times New Roman"/>
          <w:color w:val="000000" w:themeColor="text1"/>
          <w:sz w:val="16"/>
          <w:szCs w:val="16"/>
        </w:rPr>
        <w:t xml:space="preserve"> - пункта, где сходятся советская, китайская и монгольская границы. Пересекли ж/д и захватили китайцев в клещи. Подтянули танки и артиллерию и разгромили. Р-1 выполняли бомбардировки (1493,27). Это была </w:t>
      </w:r>
      <w:proofErr w:type="spellStart"/>
      <w:r w:rsidRPr="00A259BD">
        <w:rPr>
          <w:rFonts w:ascii="Times New Roman" w:hAnsi="Times New Roman"/>
          <w:color w:val="000000" w:themeColor="text1"/>
          <w:sz w:val="16"/>
          <w:szCs w:val="16"/>
        </w:rPr>
        <w:t>Маньжуро-Чжаланорская</w:t>
      </w:r>
      <w:proofErr w:type="spellEnd"/>
      <w:r w:rsidRPr="00A259BD">
        <w:rPr>
          <w:rFonts w:ascii="Times New Roman" w:hAnsi="Times New Roman"/>
          <w:color w:val="000000" w:themeColor="text1"/>
          <w:sz w:val="16"/>
          <w:szCs w:val="16"/>
        </w:rPr>
        <w:t xml:space="preserve"> операция Забайкальской группы ОКЗДВ. Шла до 20 ноября и взяли в плен 8 тыс. </w:t>
      </w:r>
      <w:proofErr w:type="spellStart"/>
      <w:r w:rsidRPr="00A259BD">
        <w:rPr>
          <w:rFonts w:ascii="Times New Roman" w:hAnsi="Times New Roman"/>
          <w:color w:val="000000" w:themeColor="text1"/>
          <w:sz w:val="16"/>
          <w:szCs w:val="16"/>
        </w:rPr>
        <w:t>белокитайцев</w:t>
      </w:r>
      <w:proofErr w:type="spellEnd"/>
      <w:r w:rsidRPr="00A259BD">
        <w:rPr>
          <w:rFonts w:ascii="Times New Roman" w:hAnsi="Times New Roman"/>
          <w:color w:val="000000" w:themeColor="text1"/>
          <w:sz w:val="16"/>
          <w:szCs w:val="16"/>
        </w:rPr>
        <w:t>, в т.ч. 250 офицеров, потеряв 123 чел. (3398,402).</w:t>
      </w:r>
    </w:p>
    <w:p w14:paraId="650EE2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7180085" w14:textId="77777777" w:rsidR="000922FC" w:rsidRPr="00A259BD" w:rsidRDefault="000922FC" w:rsidP="009236E3">
      <w:pPr>
        <w:pStyle w:val="ae"/>
        <w:shd w:val="clear" w:color="auto" w:fill="FFFFFF"/>
        <w:spacing w:before="0" w:after="0"/>
        <w:jc w:val="both"/>
        <w:rPr>
          <w:color w:val="000000" w:themeColor="text1"/>
          <w:sz w:val="16"/>
          <w:szCs w:val="16"/>
        </w:rPr>
      </w:pPr>
      <w:r w:rsidRPr="00A259BD">
        <w:rPr>
          <w:color w:val="000000" w:themeColor="text1"/>
          <w:sz w:val="16"/>
          <w:szCs w:val="16"/>
        </w:rPr>
        <w:t>17 ноября 1929 года, во время Маньчжуро-</w:t>
      </w:r>
      <w:proofErr w:type="spellStart"/>
      <w:r w:rsidRPr="00A259BD">
        <w:rPr>
          <w:color w:val="000000" w:themeColor="text1"/>
          <w:sz w:val="16"/>
          <w:szCs w:val="16"/>
        </w:rPr>
        <w:t>Чжалайнорской</w:t>
      </w:r>
      <w:proofErr w:type="spellEnd"/>
      <w:r w:rsidRPr="00A259BD">
        <w:rPr>
          <w:color w:val="000000" w:themeColor="text1"/>
          <w:sz w:val="16"/>
          <w:szCs w:val="16"/>
        </w:rPr>
        <w:t xml:space="preserve"> операции рано утром состоялся боевой дебют советских танков. Танки оказали существенное влияние на ход боевых действий. Спустя считанные дни китайцы запросили перемирия, на этом конфликт на КВЖД был исчерпан. Больше Т-18 в боях не участвовали (по крайней мере как танки) (17724).</w:t>
      </w:r>
    </w:p>
    <w:p w14:paraId="3ED8A83D" w14:textId="77777777" w:rsidR="000922FC" w:rsidRPr="00A259BD" w:rsidRDefault="000922FC" w:rsidP="009236E3">
      <w:pPr>
        <w:spacing w:after="0" w:line="240" w:lineRule="auto"/>
        <w:jc w:val="both"/>
        <w:rPr>
          <w:rFonts w:ascii="Times New Roman" w:eastAsia="Times New Roman" w:hAnsi="Times New Roman"/>
          <w:color w:val="000000" w:themeColor="text1"/>
          <w:sz w:val="16"/>
          <w:szCs w:val="16"/>
          <w:lang w:eastAsia="ru-RU"/>
        </w:rPr>
      </w:pPr>
    </w:p>
    <w:p w14:paraId="18BAEF4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17-18 ноября 1929 Р-1 из 40-й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под</w:t>
      </w:r>
      <w:r w:rsidRPr="00A259BD">
        <w:rPr>
          <w:rFonts w:ascii="Times New Roman" w:hAnsi="Times New Roman"/>
          <w:color w:val="000000" w:themeColor="text1"/>
          <w:sz w:val="16"/>
          <w:szCs w:val="16"/>
        </w:rPr>
        <w:softHyphen/>
        <w:t>держивали наступление войск в рабо</w:t>
      </w:r>
      <w:r w:rsidRPr="00A259BD">
        <w:rPr>
          <w:rFonts w:ascii="Times New Roman" w:hAnsi="Times New Roman"/>
          <w:color w:val="000000" w:themeColor="text1"/>
          <w:sz w:val="16"/>
          <w:szCs w:val="16"/>
        </w:rPr>
        <w:softHyphen/>
        <w:t>те города Мишань. При содействии авиации город был взят, противник понес серьезные потери (11216).</w:t>
      </w:r>
    </w:p>
    <w:p w14:paraId="567B06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C2EE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17-19 ноября 1929 в ходе боев за КВЖД активно использовалась рота танком МС-1 из 9 машин для атак в целях изоляции гарнизонов станций Манчжурия и </w:t>
      </w:r>
      <w:proofErr w:type="spellStart"/>
      <w:r w:rsidRPr="00A259BD">
        <w:rPr>
          <w:rFonts w:ascii="Times New Roman" w:hAnsi="Times New Roman"/>
          <w:color w:val="000000" w:themeColor="text1"/>
          <w:sz w:val="16"/>
          <w:szCs w:val="16"/>
        </w:rPr>
        <w:t>Чжалайнор</w:t>
      </w:r>
      <w:proofErr w:type="spellEnd"/>
      <w:r w:rsidRPr="00A259BD">
        <w:rPr>
          <w:rFonts w:ascii="Times New Roman" w:hAnsi="Times New Roman"/>
          <w:color w:val="000000" w:themeColor="text1"/>
          <w:sz w:val="16"/>
          <w:szCs w:val="16"/>
        </w:rPr>
        <w:t xml:space="preserve"> (4332).</w:t>
      </w:r>
    </w:p>
    <w:p w14:paraId="79316C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0F4B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ноября 1929 началась операция в районе </w:t>
      </w:r>
      <w:proofErr w:type="spellStart"/>
      <w:r w:rsidRPr="00A259BD">
        <w:rPr>
          <w:rFonts w:ascii="Times New Roman" w:hAnsi="Times New Roman"/>
          <w:color w:val="000000" w:themeColor="text1"/>
          <w:sz w:val="16"/>
          <w:szCs w:val="16"/>
        </w:rPr>
        <w:t>Чжалайнора</w:t>
      </w:r>
      <w:proofErr w:type="spellEnd"/>
      <w:r w:rsidRPr="00A259BD">
        <w:rPr>
          <w:rFonts w:ascii="Times New Roman" w:hAnsi="Times New Roman"/>
          <w:color w:val="000000" w:themeColor="text1"/>
          <w:sz w:val="16"/>
          <w:szCs w:val="16"/>
        </w:rPr>
        <w:t>, 20 Р-1 бомбили укрепления южной линии обороны китайцев, которые наземные части за</w:t>
      </w:r>
      <w:r w:rsidRPr="00A259BD">
        <w:rPr>
          <w:rFonts w:ascii="Times New Roman" w:hAnsi="Times New Roman"/>
          <w:color w:val="000000" w:themeColor="text1"/>
          <w:sz w:val="16"/>
          <w:szCs w:val="16"/>
        </w:rPr>
        <w:softHyphen/>
        <w:t>тем захватили стремительной атакой 18 ноября самолеты 25-го авиаотряда атаковали китайские войска в районе ст. Маньчжурия, Р-1 из б-го авиаотря</w:t>
      </w:r>
      <w:r w:rsidRPr="00A259BD">
        <w:rPr>
          <w:rFonts w:ascii="Times New Roman" w:hAnsi="Times New Roman"/>
          <w:color w:val="000000" w:themeColor="text1"/>
          <w:sz w:val="16"/>
          <w:szCs w:val="16"/>
        </w:rPr>
        <w:softHyphen/>
        <w:t xml:space="preserve">да и 26-й эскадрильи </w:t>
      </w:r>
      <w:proofErr w:type="spellStart"/>
      <w:r w:rsidRPr="00A259BD">
        <w:rPr>
          <w:rFonts w:ascii="Times New Roman" w:hAnsi="Times New Roman"/>
          <w:color w:val="000000" w:themeColor="text1"/>
          <w:sz w:val="16"/>
          <w:szCs w:val="16"/>
        </w:rPr>
        <w:t>бомбо-штурмо-выми</w:t>
      </w:r>
      <w:proofErr w:type="spellEnd"/>
      <w:r w:rsidRPr="00A259BD">
        <w:rPr>
          <w:rFonts w:ascii="Times New Roman" w:hAnsi="Times New Roman"/>
          <w:color w:val="000000" w:themeColor="text1"/>
          <w:sz w:val="16"/>
          <w:szCs w:val="16"/>
        </w:rPr>
        <w:t xml:space="preserve"> ударами обрабатывали передний край обороны китайцев в районе </w:t>
      </w:r>
      <w:proofErr w:type="spellStart"/>
      <w:r w:rsidRPr="00A259BD">
        <w:rPr>
          <w:rFonts w:ascii="Times New Roman" w:hAnsi="Times New Roman"/>
          <w:color w:val="000000" w:themeColor="text1"/>
          <w:sz w:val="16"/>
          <w:szCs w:val="16"/>
        </w:rPr>
        <w:t>Чжа</w:t>
      </w:r>
      <w:r w:rsidRPr="00A259BD">
        <w:rPr>
          <w:rFonts w:ascii="Times New Roman" w:hAnsi="Times New Roman"/>
          <w:color w:val="000000" w:themeColor="text1"/>
          <w:sz w:val="16"/>
          <w:szCs w:val="16"/>
        </w:rPr>
        <w:softHyphen/>
        <w:t>лайнора</w:t>
      </w:r>
      <w:proofErr w:type="spellEnd"/>
      <w:r w:rsidRPr="00A259BD">
        <w:rPr>
          <w:rFonts w:ascii="Times New Roman" w:hAnsi="Times New Roman"/>
          <w:color w:val="000000" w:themeColor="text1"/>
          <w:sz w:val="16"/>
          <w:szCs w:val="16"/>
        </w:rPr>
        <w:t xml:space="preserve">. 18 ноября советские войска штурмом овладели </w:t>
      </w:r>
      <w:proofErr w:type="spellStart"/>
      <w:r w:rsidRPr="00A259BD">
        <w:rPr>
          <w:rFonts w:ascii="Times New Roman" w:hAnsi="Times New Roman"/>
          <w:color w:val="000000" w:themeColor="text1"/>
          <w:sz w:val="16"/>
          <w:szCs w:val="16"/>
        </w:rPr>
        <w:t>Чжалайнором</w:t>
      </w:r>
      <w:proofErr w:type="spellEnd"/>
      <w:r w:rsidRPr="00A259BD">
        <w:rPr>
          <w:rFonts w:ascii="Times New Roman" w:hAnsi="Times New Roman"/>
          <w:color w:val="000000" w:themeColor="text1"/>
          <w:sz w:val="16"/>
          <w:szCs w:val="16"/>
        </w:rPr>
        <w:t>, 20 ноября взяли станцию Маньчжурия.</w:t>
      </w:r>
    </w:p>
    <w:p w14:paraId="7DDF52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Далее наши самолеты перешли к бомбардировке китайских резервов в направлении на Хайлар. 29 ноября китайские части оставили город, часть советских самолетов перебазирова</w:t>
      </w:r>
      <w:r w:rsidRPr="00A259BD">
        <w:rPr>
          <w:rFonts w:ascii="Times New Roman" w:hAnsi="Times New Roman"/>
          <w:color w:val="000000" w:themeColor="text1"/>
          <w:sz w:val="16"/>
          <w:szCs w:val="16"/>
        </w:rPr>
        <w:softHyphen/>
        <w:t>лась на местный аэродром. Отсюда в течение нескольких дней летчики вы</w:t>
      </w:r>
      <w:r w:rsidRPr="00A259BD">
        <w:rPr>
          <w:rFonts w:ascii="Times New Roman" w:hAnsi="Times New Roman"/>
          <w:color w:val="000000" w:themeColor="text1"/>
          <w:sz w:val="16"/>
          <w:szCs w:val="16"/>
        </w:rPr>
        <w:softHyphen/>
        <w:t>полнили последние боевые вылеты, главным образом, разведывательные (11216).</w:t>
      </w:r>
    </w:p>
    <w:p w14:paraId="7B672F8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96DF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ноября 1929 20 самолетов нанесли бомбовый удар по укрепленным позициям в районе </w:t>
      </w:r>
      <w:proofErr w:type="spellStart"/>
      <w:r w:rsidRPr="00A259BD">
        <w:rPr>
          <w:rFonts w:ascii="Times New Roman" w:hAnsi="Times New Roman"/>
          <w:color w:val="000000" w:themeColor="text1"/>
          <w:sz w:val="16"/>
          <w:szCs w:val="16"/>
        </w:rPr>
        <w:t>Чжалайнор</w:t>
      </w:r>
      <w:proofErr w:type="spellEnd"/>
      <w:r w:rsidRPr="00A259BD">
        <w:rPr>
          <w:rFonts w:ascii="Times New Roman" w:hAnsi="Times New Roman"/>
          <w:color w:val="000000" w:themeColor="text1"/>
          <w:sz w:val="16"/>
          <w:szCs w:val="16"/>
        </w:rPr>
        <w:t xml:space="preserve">, штурмовали пехоту и </w:t>
      </w:r>
      <w:proofErr w:type="spellStart"/>
      <w:r w:rsidRPr="00A259BD">
        <w:rPr>
          <w:rFonts w:ascii="Times New Roman" w:hAnsi="Times New Roman"/>
          <w:color w:val="000000" w:themeColor="text1"/>
          <w:sz w:val="16"/>
          <w:szCs w:val="16"/>
        </w:rPr>
        <w:t>кавалериюартиллерию</w:t>
      </w:r>
      <w:proofErr w:type="spellEnd"/>
      <w:r w:rsidRPr="00A259BD">
        <w:rPr>
          <w:rFonts w:ascii="Times New Roman" w:hAnsi="Times New Roman"/>
          <w:color w:val="000000" w:themeColor="text1"/>
          <w:sz w:val="16"/>
          <w:szCs w:val="16"/>
        </w:rPr>
        <w:t xml:space="preserve"> (6594, 16).</w:t>
      </w:r>
    </w:p>
    <w:p w14:paraId="770ED7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6ED898"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A77F99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7AEDC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ноября 1929 Пленум ЦК ВКП(б) вывел из состава ПБ </w:t>
      </w:r>
      <w:proofErr w:type="spellStart"/>
      <w:r w:rsidRPr="00A259BD">
        <w:rPr>
          <w:rFonts w:ascii="Times New Roman" w:hAnsi="Times New Roman"/>
          <w:color w:val="000000" w:themeColor="text1"/>
          <w:sz w:val="16"/>
          <w:szCs w:val="16"/>
        </w:rPr>
        <w:t>Н.Бухарина</w:t>
      </w:r>
      <w:proofErr w:type="spellEnd"/>
      <w:r w:rsidRPr="00A259BD">
        <w:rPr>
          <w:rFonts w:ascii="Times New Roman" w:hAnsi="Times New Roman"/>
          <w:color w:val="000000" w:themeColor="text1"/>
          <w:sz w:val="16"/>
          <w:szCs w:val="16"/>
        </w:rPr>
        <w:t xml:space="preserve"> как застрельщика и руководителя правых капитулянтов (3481).</w:t>
      </w:r>
    </w:p>
    <w:p w14:paraId="6A4B92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42DBBB" w14:textId="77777777" w:rsidR="00CD7BD7" w:rsidRPr="00A259BD" w:rsidRDefault="00CD7BD7"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hAnsi="Times New Roman"/>
          <w:bCs/>
          <w:color w:val="000000" w:themeColor="text1"/>
          <w:sz w:val="16"/>
          <w:szCs w:val="16"/>
        </w:rPr>
        <w:t xml:space="preserve">17 ноября </w:t>
      </w:r>
      <w:r w:rsidRPr="00A259BD">
        <w:rPr>
          <w:rFonts w:ascii="Times New Roman" w:hAnsi="Times New Roman"/>
          <w:color w:val="000000" w:themeColor="text1"/>
          <w:sz w:val="16"/>
          <w:szCs w:val="16"/>
        </w:rPr>
        <w:t>в 1929 году пленум ЦК ВКП(б) выводит из состава Политбюро Николая Бухарина как “застрельщика и руководителя правых капитулянтов” (14833).</w:t>
      </w:r>
    </w:p>
    <w:p w14:paraId="4FF475F7" w14:textId="77777777" w:rsidR="00CD7BD7" w:rsidRPr="00A259BD" w:rsidRDefault="00CD7BD7" w:rsidP="009236E3">
      <w:pPr>
        <w:spacing w:after="0" w:line="240" w:lineRule="auto"/>
        <w:jc w:val="both"/>
        <w:rPr>
          <w:rFonts w:ascii="Times New Roman" w:hAnsi="Times New Roman"/>
          <w:color w:val="000000" w:themeColor="text1"/>
          <w:sz w:val="16"/>
          <w:szCs w:val="16"/>
        </w:rPr>
      </w:pPr>
    </w:p>
    <w:p w14:paraId="705E67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r w:rsidRPr="00A259BD">
        <w:rPr>
          <w:rFonts w:ascii="Times New Roman" w:hAnsi="Times New Roman"/>
          <w:color w:val="000000" w:themeColor="text1"/>
          <w:sz w:val="16"/>
          <w:szCs w:val="16"/>
          <w:lang w:val="en-US"/>
        </w:rPr>
        <w:t xml:space="preserve">Central Committee Resolution of November 17, 1929, </w:t>
      </w:r>
      <w:proofErr w:type="spellStart"/>
      <w:r w:rsidRPr="00A259BD">
        <w:rPr>
          <w:rFonts w:ascii="Times New Roman" w:hAnsi="Times New Roman"/>
          <w:color w:val="000000" w:themeColor="text1"/>
          <w:sz w:val="16"/>
          <w:szCs w:val="16"/>
          <w:lang w:val="en-US"/>
        </w:rPr>
        <w:t>officiall</w:t>
      </w:r>
      <w:proofErr w:type="spellEnd"/>
      <w:r w:rsidRPr="00A259BD">
        <w:rPr>
          <w:rFonts w:ascii="Times New Roman" w:hAnsi="Times New Roman"/>
          <w:color w:val="000000" w:themeColor="text1"/>
          <w:sz w:val="16"/>
          <w:szCs w:val="16"/>
          <w:lang w:val="en-US"/>
        </w:rPr>
        <w:t xml:space="preserve"> launched collectivization (1065).</w:t>
      </w:r>
    </w:p>
    <w:p w14:paraId="70AC49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p>
    <w:p w14:paraId="1C9492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ноября 1929 специальным решением ЦК официально началась коллективизация (1065).</w:t>
      </w:r>
    </w:p>
    <w:p w14:paraId="0AD73B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E1D8C5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E9E159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AFF57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ноября 1929 года НИИ ВВС получил Задание НТК УВВС № 3268 на испытания самолета ФДХI – М6 с ленточными растяжками и N-образными стойками</w:t>
      </w:r>
    </w:p>
    <w:p w14:paraId="7667958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EDFBB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ноября 1929 ЦАГИ (Зам. директора ЦАГИ Петренко и Зав. отделом АГОС А.Н.Т. (за него подписал другой)) направил зам. НТК УВВС </w:t>
      </w:r>
      <w:proofErr w:type="spellStart"/>
      <w:r w:rsidRPr="00A259BD">
        <w:rPr>
          <w:rFonts w:ascii="Times New Roman" w:hAnsi="Times New Roman"/>
          <w:color w:val="000000" w:themeColor="text1"/>
          <w:sz w:val="16"/>
          <w:szCs w:val="16"/>
        </w:rPr>
        <w:t>Н.М.Харламову</w:t>
      </w:r>
      <w:proofErr w:type="spellEnd"/>
      <w:r w:rsidRPr="00A259BD">
        <w:rPr>
          <w:rFonts w:ascii="Times New Roman" w:hAnsi="Times New Roman"/>
          <w:color w:val="000000" w:themeColor="text1"/>
          <w:sz w:val="16"/>
          <w:szCs w:val="16"/>
        </w:rPr>
        <w:t xml:space="preserve"> письмо за N 666с с данными по ориентировочной стоимости выполнения ЦАГИ 5-ти летнего плана опытного самолетостроения по заданиям УВВС РККА с изменениями, сделанными по указанию комиссии под председательством </w:t>
      </w:r>
      <w:proofErr w:type="spellStart"/>
      <w:r w:rsidRPr="00A259BD">
        <w:rPr>
          <w:rFonts w:ascii="Times New Roman" w:hAnsi="Times New Roman"/>
          <w:color w:val="000000" w:themeColor="text1"/>
          <w:sz w:val="16"/>
          <w:szCs w:val="16"/>
        </w:rPr>
        <w:t>А.И.Алксниса</w:t>
      </w:r>
      <w:proofErr w:type="spellEnd"/>
      <w:r w:rsidRPr="00A259BD">
        <w:rPr>
          <w:rFonts w:ascii="Times New Roman" w:hAnsi="Times New Roman"/>
          <w:color w:val="000000" w:themeColor="text1"/>
          <w:sz w:val="16"/>
          <w:szCs w:val="16"/>
        </w:rPr>
        <w:t xml:space="preserve"> и отменившими письмо N 616с от 28 октября 1929. </w:t>
      </w:r>
      <w:proofErr w:type="spellStart"/>
      <w:r w:rsidRPr="00A259BD">
        <w:rPr>
          <w:rFonts w:ascii="Times New Roman" w:hAnsi="Times New Roman"/>
          <w:color w:val="000000" w:themeColor="text1"/>
          <w:sz w:val="16"/>
          <w:szCs w:val="16"/>
        </w:rPr>
        <w:t>Н.М.Харламов</w:t>
      </w:r>
      <w:proofErr w:type="spellEnd"/>
      <w:r w:rsidRPr="00A259BD">
        <w:rPr>
          <w:rFonts w:ascii="Times New Roman" w:hAnsi="Times New Roman"/>
          <w:color w:val="000000" w:themeColor="text1"/>
          <w:sz w:val="16"/>
          <w:szCs w:val="16"/>
        </w:rPr>
        <w:t xml:space="preserve"> получил 14 ноября 1929 (351).</w:t>
      </w:r>
    </w:p>
    <w:p w14:paraId="683843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Таким образом, в октябре 1929 был подготовлен уточненный и измененный материал по ориентировочной стоимости выполнения ЦАГИ 5-ти летнего плана опытного самолетостроения по заданиям УВВС РККА (351).</w:t>
      </w:r>
    </w:p>
    <w:p w14:paraId="517E2F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отмену представленных Вам при </w:t>
      </w:r>
      <w:proofErr w:type="spellStart"/>
      <w:r w:rsidRPr="00A259BD">
        <w:rPr>
          <w:rFonts w:ascii="Times New Roman" w:hAnsi="Times New Roman"/>
          <w:color w:val="000000" w:themeColor="text1"/>
          <w:sz w:val="16"/>
          <w:szCs w:val="16"/>
        </w:rPr>
        <w:t>снишеннии</w:t>
      </w:r>
      <w:proofErr w:type="spellEnd"/>
      <w:r w:rsidRPr="00A259BD">
        <w:rPr>
          <w:rFonts w:ascii="Times New Roman" w:hAnsi="Times New Roman"/>
          <w:color w:val="000000" w:themeColor="text1"/>
          <w:sz w:val="16"/>
          <w:szCs w:val="16"/>
        </w:rPr>
        <w:t xml:space="preserve"> № 616с от 28 октября 1929 сметных соображений по 5-летнему плану самолетостроения, при сем представляется измененные соображения, сделанные по указанию Комиссии под председательством т. Алксниса</w:t>
      </w:r>
    </w:p>
    <w:p w14:paraId="70E818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Ведомость в 2-х экз.</w:t>
      </w:r>
    </w:p>
    <w:p w14:paraId="130757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ОРИЕНТИРОВОЧНАЯ</w:t>
      </w:r>
    </w:p>
    <w:p w14:paraId="1BB77B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стоимость выполнения ЦАГИ 5-летнего плана опытного самолетостроения по заданиям УВВС РККА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701"/>
        <w:gridCol w:w="1134"/>
        <w:gridCol w:w="850"/>
        <w:gridCol w:w="851"/>
        <w:gridCol w:w="851"/>
        <w:gridCol w:w="851"/>
      </w:tblGrid>
      <w:tr w:rsidR="00A259BD" w:rsidRPr="00A259BD" w14:paraId="18FF62A5" w14:textId="77777777">
        <w:tc>
          <w:tcPr>
            <w:tcW w:w="2235" w:type="dxa"/>
          </w:tcPr>
          <w:p w14:paraId="68FDEA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Наименования объектов постройки</w:t>
            </w:r>
          </w:p>
        </w:tc>
        <w:tc>
          <w:tcPr>
            <w:tcW w:w="1701" w:type="dxa"/>
          </w:tcPr>
          <w:p w14:paraId="700715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AC0B5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Общая</w:t>
            </w:r>
          </w:p>
        </w:tc>
        <w:tc>
          <w:tcPr>
            <w:tcW w:w="850" w:type="dxa"/>
          </w:tcPr>
          <w:p w14:paraId="2E11E8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1929/30</w:t>
            </w:r>
          </w:p>
        </w:tc>
        <w:tc>
          <w:tcPr>
            <w:tcW w:w="851" w:type="dxa"/>
          </w:tcPr>
          <w:p w14:paraId="000999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1930/31</w:t>
            </w:r>
          </w:p>
        </w:tc>
        <w:tc>
          <w:tcPr>
            <w:tcW w:w="851" w:type="dxa"/>
          </w:tcPr>
          <w:p w14:paraId="0B50DB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1931/32</w:t>
            </w:r>
          </w:p>
        </w:tc>
        <w:tc>
          <w:tcPr>
            <w:tcW w:w="851" w:type="dxa"/>
          </w:tcPr>
          <w:p w14:paraId="3811AB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1932/33</w:t>
            </w:r>
          </w:p>
        </w:tc>
      </w:tr>
      <w:tr w:rsidR="00A259BD" w:rsidRPr="00A259BD" w14:paraId="39D6B32E" w14:textId="77777777">
        <w:tc>
          <w:tcPr>
            <w:tcW w:w="2235" w:type="dxa"/>
          </w:tcPr>
          <w:p w14:paraId="187806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F9EE7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E1468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стоимость</w:t>
            </w:r>
          </w:p>
        </w:tc>
        <w:tc>
          <w:tcPr>
            <w:tcW w:w="850" w:type="dxa"/>
          </w:tcPr>
          <w:p w14:paraId="0FEE36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A451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DC44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30AF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D9F5505" w14:textId="77777777">
        <w:tc>
          <w:tcPr>
            <w:tcW w:w="2235" w:type="dxa"/>
          </w:tcPr>
          <w:p w14:paraId="7CA4D1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9F62F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49B74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ADA7E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36E0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54A4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2C5A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59EE358" w14:textId="77777777">
        <w:tc>
          <w:tcPr>
            <w:tcW w:w="2235" w:type="dxa"/>
          </w:tcPr>
          <w:p w14:paraId="448D87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4875B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7BEF6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руб.</w:t>
            </w:r>
          </w:p>
        </w:tc>
        <w:tc>
          <w:tcPr>
            <w:tcW w:w="850" w:type="dxa"/>
          </w:tcPr>
          <w:p w14:paraId="540432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руб.</w:t>
            </w:r>
          </w:p>
        </w:tc>
        <w:tc>
          <w:tcPr>
            <w:tcW w:w="851" w:type="dxa"/>
          </w:tcPr>
          <w:p w14:paraId="401B88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руб.</w:t>
            </w:r>
          </w:p>
        </w:tc>
        <w:tc>
          <w:tcPr>
            <w:tcW w:w="851" w:type="dxa"/>
          </w:tcPr>
          <w:p w14:paraId="7B4F87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1DDC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FBB7278" w14:textId="77777777">
        <w:tc>
          <w:tcPr>
            <w:tcW w:w="2235" w:type="dxa"/>
          </w:tcPr>
          <w:p w14:paraId="4B8490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Самолетостроение</w:t>
            </w:r>
          </w:p>
        </w:tc>
        <w:tc>
          <w:tcPr>
            <w:tcW w:w="1701" w:type="dxa"/>
          </w:tcPr>
          <w:p w14:paraId="37A15C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45721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DB751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C2E6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0152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BE2C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15A8E35" w14:textId="77777777">
        <w:tc>
          <w:tcPr>
            <w:tcW w:w="2235" w:type="dxa"/>
          </w:tcPr>
          <w:p w14:paraId="45233E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Опытное строительство</w:t>
            </w:r>
          </w:p>
        </w:tc>
        <w:tc>
          <w:tcPr>
            <w:tcW w:w="1701" w:type="dxa"/>
          </w:tcPr>
          <w:p w14:paraId="742B78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2AD95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83A5E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592F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6CD8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BEA8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AB36DA6" w14:textId="77777777">
        <w:tc>
          <w:tcPr>
            <w:tcW w:w="2235" w:type="dxa"/>
          </w:tcPr>
          <w:p w14:paraId="4A0E54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Эксперимент. </w:t>
            </w:r>
            <w:proofErr w:type="spellStart"/>
            <w:r w:rsidRPr="00A259BD">
              <w:rPr>
                <w:rFonts w:ascii="Times New Roman" w:hAnsi="Times New Roman"/>
                <w:color w:val="000000" w:themeColor="text1"/>
                <w:sz w:val="16"/>
                <w:szCs w:val="16"/>
              </w:rPr>
              <w:t>Морск</w:t>
            </w:r>
            <w:proofErr w:type="spellEnd"/>
            <w:r w:rsidRPr="00A259BD">
              <w:rPr>
                <w:rFonts w:ascii="Times New Roman" w:hAnsi="Times New Roman"/>
                <w:color w:val="000000" w:themeColor="text1"/>
                <w:sz w:val="16"/>
                <w:szCs w:val="16"/>
              </w:rPr>
              <w:t>. Лодка - 2М</w:t>
            </w:r>
          </w:p>
        </w:tc>
        <w:tc>
          <w:tcPr>
            <w:tcW w:w="1701" w:type="dxa"/>
          </w:tcPr>
          <w:p w14:paraId="22BB7D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D987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400000</w:t>
            </w:r>
          </w:p>
        </w:tc>
        <w:tc>
          <w:tcPr>
            <w:tcW w:w="850" w:type="dxa"/>
          </w:tcPr>
          <w:p w14:paraId="6D395D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CFD9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C7FE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7E48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2506A6E" w14:textId="77777777">
        <w:tc>
          <w:tcPr>
            <w:tcW w:w="2235" w:type="dxa"/>
          </w:tcPr>
          <w:p w14:paraId="408233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E10B9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 вычетом аванса (100000)</w:t>
            </w:r>
          </w:p>
        </w:tc>
        <w:tc>
          <w:tcPr>
            <w:tcW w:w="1134" w:type="dxa"/>
          </w:tcPr>
          <w:p w14:paraId="42B913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w:t>
            </w:r>
          </w:p>
        </w:tc>
        <w:tc>
          <w:tcPr>
            <w:tcW w:w="850" w:type="dxa"/>
          </w:tcPr>
          <w:p w14:paraId="512A6E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200000</w:t>
            </w:r>
          </w:p>
        </w:tc>
        <w:tc>
          <w:tcPr>
            <w:tcW w:w="851" w:type="dxa"/>
          </w:tcPr>
          <w:p w14:paraId="63F019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w:t>
            </w:r>
          </w:p>
        </w:tc>
        <w:tc>
          <w:tcPr>
            <w:tcW w:w="851" w:type="dxa"/>
          </w:tcPr>
          <w:p w14:paraId="0D0B61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9BF6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5690084" w14:textId="77777777">
        <w:tc>
          <w:tcPr>
            <w:tcW w:w="2235" w:type="dxa"/>
          </w:tcPr>
          <w:p w14:paraId="420FDA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5499F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248AE1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60000</w:t>
            </w:r>
          </w:p>
        </w:tc>
        <w:tc>
          <w:tcPr>
            <w:tcW w:w="850" w:type="dxa"/>
          </w:tcPr>
          <w:p w14:paraId="7EF822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5B7E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60000</w:t>
            </w:r>
          </w:p>
        </w:tc>
        <w:tc>
          <w:tcPr>
            <w:tcW w:w="851" w:type="dxa"/>
          </w:tcPr>
          <w:p w14:paraId="211827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C101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9EF73BF" w14:textId="77777777">
        <w:tc>
          <w:tcPr>
            <w:tcW w:w="2235" w:type="dxa"/>
          </w:tcPr>
          <w:p w14:paraId="48459F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ТБОМ - Мот</w:t>
            </w:r>
          </w:p>
        </w:tc>
        <w:tc>
          <w:tcPr>
            <w:tcW w:w="1701" w:type="dxa"/>
          </w:tcPr>
          <w:p w14:paraId="31F81E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6C7FA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1000000</w:t>
            </w:r>
          </w:p>
        </w:tc>
        <w:tc>
          <w:tcPr>
            <w:tcW w:w="850" w:type="dxa"/>
          </w:tcPr>
          <w:p w14:paraId="10D205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51" w:type="dxa"/>
          </w:tcPr>
          <w:p w14:paraId="6428A0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250000</w:t>
            </w:r>
          </w:p>
        </w:tc>
        <w:tc>
          <w:tcPr>
            <w:tcW w:w="851" w:type="dxa"/>
          </w:tcPr>
          <w:p w14:paraId="05A2AC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750000</w:t>
            </w:r>
          </w:p>
        </w:tc>
        <w:tc>
          <w:tcPr>
            <w:tcW w:w="851" w:type="dxa"/>
          </w:tcPr>
          <w:p w14:paraId="4CB57F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FAF1BE3" w14:textId="77777777">
        <w:tc>
          <w:tcPr>
            <w:tcW w:w="2235" w:type="dxa"/>
          </w:tcPr>
          <w:p w14:paraId="223862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81AE8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6B492C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w:t>
            </w:r>
          </w:p>
        </w:tc>
        <w:tc>
          <w:tcPr>
            <w:tcW w:w="850" w:type="dxa"/>
          </w:tcPr>
          <w:p w14:paraId="714BB8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F52E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FD47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w:t>
            </w:r>
          </w:p>
        </w:tc>
        <w:tc>
          <w:tcPr>
            <w:tcW w:w="851" w:type="dxa"/>
          </w:tcPr>
          <w:p w14:paraId="07A3BD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E6E4B74" w14:textId="77777777">
        <w:tc>
          <w:tcPr>
            <w:tcW w:w="2235" w:type="dxa"/>
          </w:tcPr>
          <w:p w14:paraId="6BCDAF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Р7-БМВ6</w:t>
            </w:r>
          </w:p>
        </w:tc>
        <w:tc>
          <w:tcPr>
            <w:tcW w:w="1701" w:type="dxa"/>
          </w:tcPr>
          <w:p w14:paraId="4CC357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испытан.</w:t>
            </w:r>
          </w:p>
        </w:tc>
        <w:tc>
          <w:tcPr>
            <w:tcW w:w="1134" w:type="dxa"/>
          </w:tcPr>
          <w:p w14:paraId="7D1022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850" w:type="dxa"/>
          </w:tcPr>
          <w:p w14:paraId="6F0DD2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851" w:type="dxa"/>
          </w:tcPr>
          <w:p w14:paraId="005A32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4354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01BA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D7854A6" w14:textId="77777777">
        <w:tc>
          <w:tcPr>
            <w:tcW w:w="2235" w:type="dxa"/>
          </w:tcPr>
          <w:p w14:paraId="485184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A4671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7B6CE1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w:t>
            </w:r>
          </w:p>
        </w:tc>
        <w:tc>
          <w:tcPr>
            <w:tcW w:w="850" w:type="dxa"/>
          </w:tcPr>
          <w:p w14:paraId="1B17F3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DE35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100000</w:t>
            </w:r>
          </w:p>
        </w:tc>
        <w:tc>
          <w:tcPr>
            <w:tcW w:w="851" w:type="dxa"/>
          </w:tcPr>
          <w:p w14:paraId="67BA4F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9147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242D2EB" w14:textId="77777777">
        <w:tc>
          <w:tcPr>
            <w:tcW w:w="2235" w:type="dxa"/>
          </w:tcPr>
          <w:p w14:paraId="3C544E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94807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B550D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8EFCF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FC47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3F6E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88CD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BCB5B76" w14:textId="77777777">
        <w:tc>
          <w:tcPr>
            <w:tcW w:w="2235" w:type="dxa"/>
          </w:tcPr>
          <w:p w14:paraId="38A277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Р6-2М30</w:t>
            </w:r>
          </w:p>
        </w:tc>
        <w:tc>
          <w:tcPr>
            <w:tcW w:w="1701" w:type="dxa"/>
          </w:tcPr>
          <w:p w14:paraId="4BDC06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53010A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110000</w:t>
            </w:r>
          </w:p>
        </w:tc>
        <w:tc>
          <w:tcPr>
            <w:tcW w:w="850" w:type="dxa"/>
          </w:tcPr>
          <w:p w14:paraId="69FCE1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54DE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110000</w:t>
            </w:r>
          </w:p>
        </w:tc>
        <w:tc>
          <w:tcPr>
            <w:tcW w:w="851" w:type="dxa"/>
          </w:tcPr>
          <w:p w14:paraId="43F1E4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CE8B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12C42847" w14:textId="77777777">
        <w:tc>
          <w:tcPr>
            <w:tcW w:w="2235" w:type="dxa"/>
          </w:tcPr>
          <w:p w14:paraId="238098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Р6-2М34</w:t>
            </w:r>
          </w:p>
        </w:tc>
        <w:tc>
          <w:tcPr>
            <w:tcW w:w="1701" w:type="dxa"/>
          </w:tcPr>
          <w:p w14:paraId="175A0B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747DC6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120000</w:t>
            </w:r>
          </w:p>
        </w:tc>
        <w:tc>
          <w:tcPr>
            <w:tcW w:w="850" w:type="dxa"/>
          </w:tcPr>
          <w:p w14:paraId="182E7B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3F08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42A4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B73D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120000</w:t>
            </w:r>
          </w:p>
        </w:tc>
      </w:tr>
      <w:tr w:rsidR="00A259BD" w:rsidRPr="00A259BD" w14:paraId="755B1AE8" w14:textId="77777777">
        <w:tc>
          <w:tcPr>
            <w:tcW w:w="2235" w:type="dxa"/>
          </w:tcPr>
          <w:p w14:paraId="0A49D6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DBC9A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578439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40000</w:t>
            </w:r>
          </w:p>
        </w:tc>
        <w:tc>
          <w:tcPr>
            <w:tcW w:w="850" w:type="dxa"/>
          </w:tcPr>
          <w:p w14:paraId="06A378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5799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851" w:type="dxa"/>
          </w:tcPr>
          <w:p w14:paraId="63AC45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F894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r>
      <w:tr w:rsidR="00A259BD" w:rsidRPr="00A259BD" w14:paraId="64825578" w14:textId="77777777">
        <w:tc>
          <w:tcPr>
            <w:tcW w:w="2235" w:type="dxa"/>
          </w:tcPr>
          <w:p w14:paraId="43242C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Р8-2М</w:t>
            </w:r>
          </w:p>
        </w:tc>
        <w:tc>
          <w:tcPr>
            <w:tcW w:w="1701" w:type="dxa"/>
          </w:tcPr>
          <w:p w14:paraId="5DBB76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7BC561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440000</w:t>
            </w:r>
          </w:p>
        </w:tc>
        <w:tc>
          <w:tcPr>
            <w:tcW w:w="850" w:type="dxa"/>
          </w:tcPr>
          <w:p w14:paraId="5E379F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FBBD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AA01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350000</w:t>
            </w:r>
          </w:p>
        </w:tc>
        <w:tc>
          <w:tcPr>
            <w:tcW w:w="851" w:type="dxa"/>
          </w:tcPr>
          <w:p w14:paraId="5F0F2E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90000</w:t>
            </w:r>
          </w:p>
        </w:tc>
      </w:tr>
      <w:tr w:rsidR="00A259BD" w:rsidRPr="00A259BD" w14:paraId="53EE1861" w14:textId="77777777">
        <w:tc>
          <w:tcPr>
            <w:tcW w:w="2235" w:type="dxa"/>
          </w:tcPr>
          <w:p w14:paraId="7715B9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788CC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7608C3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60000</w:t>
            </w:r>
          </w:p>
        </w:tc>
        <w:tc>
          <w:tcPr>
            <w:tcW w:w="850" w:type="dxa"/>
          </w:tcPr>
          <w:p w14:paraId="4953ED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BB9B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4723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1E63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60000</w:t>
            </w:r>
          </w:p>
        </w:tc>
      </w:tr>
      <w:tr w:rsidR="00A259BD" w:rsidRPr="00A259BD" w14:paraId="2E882980" w14:textId="77777777">
        <w:tc>
          <w:tcPr>
            <w:tcW w:w="2235" w:type="dxa"/>
          </w:tcPr>
          <w:p w14:paraId="702A21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И4-Юп7</w:t>
            </w:r>
          </w:p>
        </w:tc>
        <w:tc>
          <w:tcPr>
            <w:tcW w:w="1701" w:type="dxa"/>
          </w:tcPr>
          <w:p w14:paraId="1B5A94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7D01FA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w:t>
            </w:r>
          </w:p>
        </w:tc>
        <w:tc>
          <w:tcPr>
            <w:tcW w:w="850" w:type="dxa"/>
          </w:tcPr>
          <w:p w14:paraId="4FE4B4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w:t>
            </w:r>
          </w:p>
        </w:tc>
        <w:tc>
          <w:tcPr>
            <w:tcW w:w="851" w:type="dxa"/>
          </w:tcPr>
          <w:p w14:paraId="13F052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9716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447D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3747739" w14:textId="77777777">
        <w:tc>
          <w:tcPr>
            <w:tcW w:w="2235" w:type="dxa"/>
          </w:tcPr>
          <w:p w14:paraId="38ACD9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И5-Ю7</w:t>
            </w:r>
          </w:p>
        </w:tc>
        <w:tc>
          <w:tcPr>
            <w:tcW w:w="1701" w:type="dxa"/>
          </w:tcPr>
          <w:p w14:paraId="5A1796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смешанная</w:t>
            </w:r>
          </w:p>
        </w:tc>
        <w:tc>
          <w:tcPr>
            <w:tcW w:w="1134" w:type="dxa"/>
          </w:tcPr>
          <w:p w14:paraId="560646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140000</w:t>
            </w:r>
          </w:p>
        </w:tc>
        <w:tc>
          <w:tcPr>
            <w:tcW w:w="850" w:type="dxa"/>
          </w:tcPr>
          <w:p w14:paraId="49CADF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FE9C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140000</w:t>
            </w:r>
          </w:p>
        </w:tc>
        <w:tc>
          <w:tcPr>
            <w:tcW w:w="851" w:type="dxa"/>
          </w:tcPr>
          <w:p w14:paraId="70D387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06BC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4C1B41BB" w14:textId="77777777">
        <w:tc>
          <w:tcPr>
            <w:tcW w:w="2235" w:type="dxa"/>
          </w:tcPr>
          <w:p w14:paraId="060EBE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EA61A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w:t>
            </w:r>
          </w:p>
        </w:tc>
        <w:tc>
          <w:tcPr>
            <w:tcW w:w="1134" w:type="dxa"/>
          </w:tcPr>
          <w:p w14:paraId="4553C4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850" w:type="dxa"/>
          </w:tcPr>
          <w:p w14:paraId="39B82C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91B1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851" w:type="dxa"/>
          </w:tcPr>
          <w:p w14:paraId="15460B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266C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D161BA7" w14:textId="77777777">
        <w:tc>
          <w:tcPr>
            <w:tcW w:w="2235" w:type="dxa"/>
          </w:tcPr>
          <w:p w14:paraId="4CB587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И8-Юп7</w:t>
            </w:r>
          </w:p>
        </w:tc>
        <w:tc>
          <w:tcPr>
            <w:tcW w:w="1701" w:type="dxa"/>
          </w:tcPr>
          <w:p w14:paraId="6B1B97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моноплан</w:t>
            </w:r>
          </w:p>
        </w:tc>
        <w:tc>
          <w:tcPr>
            <w:tcW w:w="1134" w:type="dxa"/>
          </w:tcPr>
          <w:p w14:paraId="1C80D8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w:t>
            </w:r>
          </w:p>
        </w:tc>
        <w:tc>
          <w:tcPr>
            <w:tcW w:w="850" w:type="dxa"/>
          </w:tcPr>
          <w:p w14:paraId="160628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4B24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w:t>
            </w:r>
          </w:p>
        </w:tc>
        <w:tc>
          <w:tcPr>
            <w:tcW w:w="851" w:type="dxa"/>
          </w:tcPr>
          <w:p w14:paraId="2EB53F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626D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63DC5D9" w14:textId="77777777">
        <w:tc>
          <w:tcPr>
            <w:tcW w:w="2235" w:type="dxa"/>
          </w:tcPr>
          <w:p w14:paraId="442FAA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39DE9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0C088B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850" w:type="dxa"/>
          </w:tcPr>
          <w:p w14:paraId="3EE8AA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E633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20000</w:t>
            </w:r>
          </w:p>
        </w:tc>
        <w:tc>
          <w:tcPr>
            <w:tcW w:w="851" w:type="dxa"/>
          </w:tcPr>
          <w:p w14:paraId="604480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1511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66BA5F38" w14:textId="77777777">
        <w:tc>
          <w:tcPr>
            <w:tcW w:w="2235" w:type="dxa"/>
          </w:tcPr>
          <w:p w14:paraId="2ADBE0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И11-М32</w:t>
            </w:r>
          </w:p>
        </w:tc>
        <w:tc>
          <w:tcPr>
            <w:tcW w:w="1701" w:type="dxa"/>
          </w:tcPr>
          <w:p w14:paraId="5041C5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063A29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w:t>
            </w:r>
          </w:p>
        </w:tc>
        <w:tc>
          <w:tcPr>
            <w:tcW w:w="850" w:type="dxa"/>
          </w:tcPr>
          <w:p w14:paraId="004401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E73D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325C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w:t>
            </w:r>
          </w:p>
        </w:tc>
        <w:tc>
          <w:tcPr>
            <w:tcW w:w="851" w:type="dxa"/>
          </w:tcPr>
          <w:p w14:paraId="04059F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DB8D216" w14:textId="77777777">
        <w:tc>
          <w:tcPr>
            <w:tcW w:w="2235" w:type="dxa"/>
          </w:tcPr>
          <w:p w14:paraId="16E3C2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ABA58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19EB25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25000</w:t>
            </w:r>
          </w:p>
        </w:tc>
        <w:tc>
          <w:tcPr>
            <w:tcW w:w="850" w:type="dxa"/>
          </w:tcPr>
          <w:p w14:paraId="6D0C52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C07F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F555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25000</w:t>
            </w:r>
          </w:p>
        </w:tc>
        <w:tc>
          <w:tcPr>
            <w:tcW w:w="851" w:type="dxa"/>
          </w:tcPr>
          <w:p w14:paraId="11CB42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3353F147" w14:textId="77777777">
        <w:tc>
          <w:tcPr>
            <w:tcW w:w="2235" w:type="dxa"/>
          </w:tcPr>
          <w:p w14:paraId="76606B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И12-М37</w:t>
            </w:r>
          </w:p>
        </w:tc>
        <w:tc>
          <w:tcPr>
            <w:tcW w:w="1701" w:type="dxa"/>
          </w:tcPr>
          <w:p w14:paraId="6BF9F8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модификация</w:t>
            </w:r>
          </w:p>
        </w:tc>
        <w:tc>
          <w:tcPr>
            <w:tcW w:w="1134" w:type="dxa"/>
          </w:tcPr>
          <w:p w14:paraId="6FB38D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w:t>
            </w:r>
          </w:p>
        </w:tc>
        <w:tc>
          <w:tcPr>
            <w:tcW w:w="850" w:type="dxa"/>
          </w:tcPr>
          <w:p w14:paraId="5637F5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E298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F50C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DC4B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160000</w:t>
            </w:r>
          </w:p>
        </w:tc>
      </w:tr>
      <w:tr w:rsidR="00A259BD" w:rsidRPr="00A259BD" w14:paraId="234E1E7B" w14:textId="77777777">
        <w:tc>
          <w:tcPr>
            <w:tcW w:w="2235" w:type="dxa"/>
          </w:tcPr>
          <w:p w14:paraId="365BFE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23C2F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59FB13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25000</w:t>
            </w:r>
          </w:p>
        </w:tc>
        <w:tc>
          <w:tcPr>
            <w:tcW w:w="850" w:type="dxa"/>
          </w:tcPr>
          <w:p w14:paraId="1036EF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9720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D2A3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D855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25000</w:t>
            </w:r>
          </w:p>
        </w:tc>
      </w:tr>
      <w:tr w:rsidR="00A259BD" w:rsidRPr="00A259BD" w14:paraId="6633F5AB" w14:textId="77777777">
        <w:tc>
          <w:tcPr>
            <w:tcW w:w="2235" w:type="dxa"/>
          </w:tcPr>
          <w:p w14:paraId="06F419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ТБ5-4М35</w:t>
            </w:r>
          </w:p>
        </w:tc>
        <w:tc>
          <w:tcPr>
            <w:tcW w:w="1701" w:type="dxa"/>
          </w:tcPr>
          <w:p w14:paraId="5D84C0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8DC30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1350000</w:t>
            </w:r>
          </w:p>
        </w:tc>
        <w:tc>
          <w:tcPr>
            <w:tcW w:w="850" w:type="dxa"/>
          </w:tcPr>
          <w:p w14:paraId="42451B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3AA4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D041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6448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1350000</w:t>
            </w:r>
          </w:p>
        </w:tc>
      </w:tr>
      <w:tr w:rsidR="00A259BD" w:rsidRPr="00A259BD" w14:paraId="08D7AED4" w14:textId="77777777">
        <w:tc>
          <w:tcPr>
            <w:tcW w:w="2235" w:type="dxa"/>
          </w:tcPr>
          <w:p w14:paraId="726493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76B97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w:t>
            </w:r>
          </w:p>
        </w:tc>
        <w:tc>
          <w:tcPr>
            <w:tcW w:w="1134" w:type="dxa"/>
          </w:tcPr>
          <w:p w14:paraId="159BE6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w:t>
            </w:r>
          </w:p>
        </w:tc>
        <w:tc>
          <w:tcPr>
            <w:tcW w:w="850" w:type="dxa"/>
          </w:tcPr>
          <w:p w14:paraId="18F2B3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E490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829A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729C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150000</w:t>
            </w:r>
          </w:p>
        </w:tc>
      </w:tr>
      <w:tr w:rsidR="00A259BD" w:rsidRPr="00A259BD" w14:paraId="75C15C20" w14:textId="77777777">
        <w:tc>
          <w:tcPr>
            <w:tcW w:w="2235" w:type="dxa"/>
          </w:tcPr>
          <w:p w14:paraId="555AB4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w:t>
            </w:r>
            <w:proofErr w:type="spellStart"/>
            <w:r w:rsidRPr="00A259BD">
              <w:rPr>
                <w:rFonts w:ascii="Times New Roman" w:hAnsi="Times New Roman"/>
                <w:color w:val="000000" w:themeColor="text1"/>
                <w:sz w:val="16"/>
                <w:szCs w:val="16"/>
              </w:rPr>
              <w:t>Внепл</w:t>
            </w:r>
            <w:proofErr w:type="spellEnd"/>
            <w:r w:rsidRPr="00A259BD">
              <w:rPr>
                <w:rFonts w:ascii="Times New Roman" w:hAnsi="Times New Roman"/>
                <w:color w:val="000000" w:themeColor="text1"/>
                <w:sz w:val="16"/>
                <w:szCs w:val="16"/>
              </w:rPr>
              <w:t>. Задания, как то: подготовка к перелетам, мелкие усовершенствования и изменения в конструкции и пр.</w:t>
            </w:r>
          </w:p>
        </w:tc>
        <w:tc>
          <w:tcPr>
            <w:tcW w:w="1701" w:type="dxa"/>
          </w:tcPr>
          <w:p w14:paraId="13B99F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3372F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1200000</w:t>
            </w:r>
          </w:p>
        </w:tc>
        <w:tc>
          <w:tcPr>
            <w:tcW w:w="850" w:type="dxa"/>
          </w:tcPr>
          <w:p w14:paraId="072E43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w:t>
            </w:r>
          </w:p>
        </w:tc>
        <w:tc>
          <w:tcPr>
            <w:tcW w:w="851" w:type="dxa"/>
          </w:tcPr>
          <w:p w14:paraId="14CFB6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w:t>
            </w:r>
          </w:p>
        </w:tc>
        <w:tc>
          <w:tcPr>
            <w:tcW w:w="851" w:type="dxa"/>
          </w:tcPr>
          <w:p w14:paraId="7FA75E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w:t>
            </w:r>
          </w:p>
        </w:tc>
        <w:tc>
          <w:tcPr>
            <w:tcW w:w="851" w:type="dxa"/>
          </w:tcPr>
          <w:p w14:paraId="52E9FD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300000</w:t>
            </w:r>
          </w:p>
        </w:tc>
      </w:tr>
      <w:tr w:rsidR="00A259BD" w:rsidRPr="00A259BD" w14:paraId="485A5B39" w14:textId="77777777">
        <w:tc>
          <w:tcPr>
            <w:tcW w:w="2235" w:type="dxa"/>
          </w:tcPr>
          <w:p w14:paraId="15F81E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Итого</w:t>
            </w:r>
          </w:p>
        </w:tc>
        <w:tc>
          <w:tcPr>
            <w:tcW w:w="1701" w:type="dxa"/>
          </w:tcPr>
          <w:p w14:paraId="6AB9DD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77040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6660000</w:t>
            </w:r>
          </w:p>
        </w:tc>
        <w:tc>
          <w:tcPr>
            <w:tcW w:w="850" w:type="dxa"/>
          </w:tcPr>
          <w:p w14:paraId="287732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550000</w:t>
            </w:r>
          </w:p>
        </w:tc>
        <w:tc>
          <w:tcPr>
            <w:tcW w:w="851" w:type="dxa"/>
          </w:tcPr>
          <w:p w14:paraId="7FCD4B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2100000</w:t>
            </w:r>
          </w:p>
        </w:tc>
        <w:tc>
          <w:tcPr>
            <w:tcW w:w="851" w:type="dxa"/>
          </w:tcPr>
          <w:p w14:paraId="01E5CF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1735000</w:t>
            </w:r>
          </w:p>
        </w:tc>
        <w:tc>
          <w:tcPr>
            <w:tcW w:w="851" w:type="dxa"/>
          </w:tcPr>
          <w:p w14:paraId="6852B7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2275000</w:t>
            </w:r>
          </w:p>
        </w:tc>
      </w:tr>
    </w:tbl>
    <w:p w14:paraId="4D6A87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(351).</w:t>
      </w:r>
    </w:p>
    <w:p w14:paraId="0ACDD1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F597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ноября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18) и обсуждали вопрос о приемке стали и головок мотора М-17 (2367,55).</w:t>
      </w:r>
    </w:p>
    <w:p w14:paraId="2CB8A2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358B4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B2DF43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FDF9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ноября 1929 года на заседании комиссии РВС был заслушан доклад </w:t>
      </w:r>
      <w:proofErr w:type="spellStart"/>
      <w:r w:rsidRPr="00A259BD">
        <w:rPr>
          <w:rFonts w:ascii="Times New Roman" w:hAnsi="Times New Roman"/>
          <w:color w:val="000000" w:themeColor="text1"/>
          <w:sz w:val="16"/>
          <w:szCs w:val="16"/>
        </w:rPr>
        <w:t>Дыренкова</w:t>
      </w:r>
      <w:proofErr w:type="spellEnd"/>
      <w:r w:rsidRPr="00A259BD">
        <w:rPr>
          <w:rFonts w:ascii="Times New Roman" w:hAnsi="Times New Roman"/>
          <w:color w:val="000000" w:themeColor="text1"/>
          <w:sz w:val="16"/>
          <w:szCs w:val="16"/>
        </w:rPr>
        <w:t xml:space="preserve"> о "конструктивно-технических данных, боевых и тактических свойствах разработанной им системы - проект среднего маневренного танка". По результатам доклада было принято постановление следующего содержания: "Признать целесообразным подвергнуть испытанию танк системы Д с каковой целью дать срочный заказ Ижорскому заводу на 6 опытных экземпляров танка со сроком сдачи первого танка не позднее 1 апреля 1930 года". Первоначальным вариантом предусматривалось размещение основного вооружения - трех 45-мм орудий Соколова - в трех башнях, но впоследствии число башен сократили до двух. (10291).</w:t>
      </w:r>
    </w:p>
    <w:p w14:paraId="464F28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FABF48" w14:textId="77777777" w:rsidR="00B0759B" w:rsidRPr="00A259BD" w:rsidRDefault="00B0759B"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 xml:space="preserve">18 ноября 1929 года на заседании комиссии РВС был заслушан доклад </w:t>
      </w:r>
      <w:proofErr w:type="spellStart"/>
      <w:r w:rsidRPr="00A259BD">
        <w:rPr>
          <w:rFonts w:ascii="Times New Roman" w:hAnsi="Times New Roman"/>
          <w:color w:val="000000" w:themeColor="text1"/>
          <w:sz w:val="16"/>
          <w:szCs w:val="16"/>
          <w:bdr w:val="none" w:sz="0" w:space="0" w:color="auto" w:frame="1"/>
        </w:rPr>
        <w:t>Дыренкова</w:t>
      </w:r>
      <w:proofErr w:type="spellEnd"/>
      <w:r w:rsidRPr="00A259BD">
        <w:rPr>
          <w:rFonts w:ascii="Times New Roman" w:hAnsi="Times New Roman"/>
          <w:color w:val="000000" w:themeColor="text1"/>
          <w:sz w:val="16"/>
          <w:szCs w:val="16"/>
          <w:bdr w:val="none" w:sz="0" w:space="0" w:color="auto" w:frame="1"/>
        </w:rPr>
        <w:t xml:space="preserve"> о "конструктивно-технических данных, боевых и тактических свойствах разработанной им системы — проект среднего маневренного </w:t>
      </w:r>
      <w:hyperlink r:id="rId256"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а". По результатам доклада было принято постановление следующего содержания:</w:t>
      </w:r>
    </w:p>
    <w:p w14:paraId="3F890E0A" w14:textId="77777777" w:rsidR="00B0759B" w:rsidRPr="00A259BD" w:rsidRDefault="00B0759B"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"Признать целесообразным подвергнуть испытанию </w:t>
      </w:r>
      <w:hyperlink r:id="rId257"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 системы Д с каковой целью дать срочный заказ Ижорскому заводу на 6 опытных экземпляров </w:t>
      </w:r>
      <w:hyperlink r:id="rId258"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а со сроком сдачи первого </w:t>
      </w:r>
      <w:hyperlink r:id="rId259"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а не позднее 1 апреля 1930 года" (21513).</w:t>
      </w:r>
    </w:p>
    <w:p w14:paraId="07EC6A28" w14:textId="77777777" w:rsidR="00B0759B" w:rsidRPr="00A259BD" w:rsidRDefault="00B0759B" w:rsidP="009236E3">
      <w:pPr>
        <w:spacing w:after="0" w:line="240" w:lineRule="auto"/>
        <w:jc w:val="both"/>
        <w:rPr>
          <w:rFonts w:ascii="Times New Roman" w:hAnsi="Times New Roman"/>
          <w:color w:val="000000" w:themeColor="text1"/>
          <w:sz w:val="16"/>
          <w:szCs w:val="16"/>
          <w:bdr w:val="none" w:sz="0" w:space="0" w:color="auto" w:frame="1"/>
        </w:rPr>
      </w:pPr>
    </w:p>
    <w:p w14:paraId="65DDD8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ноября 1929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xml:space="preserve"> сделал доклад на тему постройки среднего колесно-гусеничного танка собственной конструк</w:t>
      </w:r>
      <w:r w:rsidRPr="00A259BD">
        <w:rPr>
          <w:rFonts w:ascii="Times New Roman" w:hAnsi="Times New Roman"/>
          <w:color w:val="000000" w:themeColor="text1"/>
          <w:sz w:val="16"/>
          <w:szCs w:val="16"/>
        </w:rPr>
        <w:softHyphen/>
        <w:t>ции представителям РВС СССР и только что созданного управления моториза</w:t>
      </w:r>
      <w:r w:rsidRPr="00A259BD">
        <w:rPr>
          <w:rFonts w:ascii="Times New Roman" w:hAnsi="Times New Roman"/>
          <w:color w:val="000000" w:themeColor="text1"/>
          <w:sz w:val="16"/>
          <w:szCs w:val="16"/>
        </w:rPr>
        <w:softHyphen/>
        <w:t xml:space="preserve">ции и механизации РККА. Военным проект понравился, и было принято решение о постройке машины на Ижорском заводе. Работы </w:t>
      </w:r>
      <w:r w:rsidRPr="00A259BD">
        <w:rPr>
          <w:rFonts w:ascii="Times New Roman" w:hAnsi="Times New Roman"/>
          <w:color w:val="000000" w:themeColor="text1"/>
          <w:sz w:val="16"/>
          <w:szCs w:val="16"/>
        </w:rPr>
        <w:lastRenderedPageBreak/>
        <w:t xml:space="preserve">по постройке танка начались в декабре, причем в документах того времени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xml:space="preserve"> именовал себя “упол</w:t>
      </w:r>
      <w:r w:rsidRPr="00A259BD">
        <w:rPr>
          <w:rFonts w:ascii="Times New Roman" w:hAnsi="Times New Roman"/>
          <w:color w:val="000000" w:themeColor="text1"/>
          <w:sz w:val="16"/>
          <w:szCs w:val="16"/>
        </w:rPr>
        <w:softHyphen/>
        <w:t>номоченный РВС СССР по заказу особого назначения”. Ему в помощь выделили чертежников и инженеров. Одна</w:t>
      </w:r>
      <w:r w:rsidRPr="00A259BD">
        <w:rPr>
          <w:rFonts w:ascii="Times New Roman" w:hAnsi="Times New Roman"/>
          <w:color w:val="000000" w:themeColor="text1"/>
          <w:sz w:val="16"/>
          <w:szCs w:val="16"/>
        </w:rPr>
        <w:softHyphen/>
        <w:t>ко изготовление машины затянулось — заводу не хватало оборудования, материалов да и просто времени на построй</w:t>
      </w:r>
      <w:r w:rsidRPr="00A259BD">
        <w:rPr>
          <w:rFonts w:ascii="Times New Roman" w:hAnsi="Times New Roman"/>
          <w:color w:val="000000" w:themeColor="text1"/>
          <w:sz w:val="16"/>
          <w:szCs w:val="16"/>
        </w:rPr>
        <w:softHyphen/>
        <w:t>ку танка. Тем временем энергичный изобретатель не терял времени даром — он начал работы по изготовлению свар</w:t>
      </w:r>
      <w:r w:rsidRPr="00A259BD">
        <w:rPr>
          <w:rFonts w:ascii="Times New Roman" w:hAnsi="Times New Roman"/>
          <w:color w:val="000000" w:themeColor="text1"/>
          <w:sz w:val="16"/>
          <w:szCs w:val="16"/>
        </w:rPr>
        <w:softHyphen/>
        <w:t>ных бронекорпусов для танков МС-1, предложил проект бронированных тракторов и колесной танкетки (11284).</w:t>
      </w:r>
    </w:p>
    <w:p w14:paraId="0ACF58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F7451D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3C75526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E6AEA0" w14:textId="77777777" w:rsidR="00CD7BD7" w:rsidRPr="00A259BD" w:rsidRDefault="00CD7BD7" w:rsidP="009236E3">
      <w:pPr>
        <w:pStyle w:val="a3"/>
        <w:tabs>
          <w:tab w:val="left" w:pos="462"/>
        </w:tabs>
        <w:rPr>
          <w:color w:val="000000" w:themeColor="text1"/>
          <w:lang w:val="ru-RU"/>
        </w:rPr>
      </w:pPr>
      <w:r w:rsidRPr="00A259BD">
        <w:rPr>
          <w:color w:val="000000" w:themeColor="text1"/>
          <w:lang w:val="ru-RU"/>
        </w:rPr>
        <w:t xml:space="preserve">18 ноября 1929 авиация продолжила нанесение ударов по городам Маньчжурия, </w:t>
      </w:r>
      <w:proofErr w:type="spellStart"/>
      <w:r w:rsidRPr="00A259BD">
        <w:rPr>
          <w:color w:val="000000" w:themeColor="text1"/>
          <w:lang w:val="ru-RU"/>
        </w:rPr>
        <w:t>Чжалайнор</w:t>
      </w:r>
      <w:proofErr w:type="spellEnd"/>
      <w:r w:rsidRPr="00A259BD">
        <w:rPr>
          <w:color w:val="000000" w:themeColor="text1"/>
          <w:lang w:val="ru-RU"/>
        </w:rPr>
        <w:t xml:space="preserve"> и станции Цаган, у которой сосредотачивались резервы китайцев. Работу лётчиков ос</w:t>
      </w:r>
      <w:r w:rsidRPr="00A259BD">
        <w:rPr>
          <w:color w:val="000000" w:themeColor="text1"/>
          <w:lang w:val="ru-RU"/>
        </w:rPr>
        <w:softHyphen/>
        <w:t>ложняла погода: висела низкая облачность. Местами приходилось снижаться до 40-50 м. Один разведчик, возвращаясь на аэродром, чуть не столкнулся с самолётом, улетавшим бомбить Цаган.</w:t>
      </w:r>
    </w:p>
    <w:p w14:paraId="5BC62A55" w14:textId="77777777" w:rsidR="00CD7BD7" w:rsidRPr="00A259BD" w:rsidRDefault="00CD7BD7" w:rsidP="009236E3">
      <w:pPr>
        <w:pStyle w:val="a3"/>
        <w:rPr>
          <w:color w:val="000000" w:themeColor="text1"/>
          <w:lang w:val="ru-RU"/>
        </w:rPr>
      </w:pPr>
      <w:r w:rsidRPr="00A259BD">
        <w:rPr>
          <w:color w:val="000000" w:themeColor="text1"/>
          <w:lang w:val="ru-RU"/>
        </w:rPr>
        <w:t>Один из вылетов бомбардировщиков кончился полным конфузом. Три экипажа, ле</w:t>
      </w:r>
      <w:r w:rsidRPr="00A259BD">
        <w:rPr>
          <w:color w:val="000000" w:themeColor="text1"/>
          <w:lang w:val="ru-RU"/>
        </w:rPr>
        <w:softHyphen/>
        <w:t xml:space="preserve">тавшие на разведку, сообщили, что видели у станции </w:t>
      </w:r>
      <w:proofErr w:type="spellStart"/>
      <w:r w:rsidRPr="00A259BD">
        <w:rPr>
          <w:color w:val="000000" w:themeColor="text1"/>
          <w:lang w:val="ru-RU"/>
        </w:rPr>
        <w:t>Ваньтунь</w:t>
      </w:r>
      <w:proofErr w:type="spellEnd"/>
      <w:r w:rsidRPr="00A259BD">
        <w:rPr>
          <w:color w:val="000000" w:themeColor="text1"/>
          <w:lang w:val="ru-RU"/>
        </w:rPr>
        <w:t xml:space="preserve"> колонну войск — пехоту и кавалерию численностью до двух дивизий. Срочно подняли в воздух весь 6-й отряд, шесть Р-1. Он нашел цель: внизу двигалась огромная серая лента. Отряд произвел бом</w:t>
      </w:r>
      <w:r w:rsidRPr="00A259BD">
        <w:rPr>
          <w:color w:val="000000" w:themeColor="text1"/>
          <w:lang w:val="ru-RU"/>
        </w:rPr>
        <w:softHyphen/>
        <w:t>бометание с высоты 1200 м и «добился хороших попаданий». Затем следовало про- штурмовать колонну пулеметами. Снизившись, лётчики обнаружили, что под ними вовсе не китайские солдаты, а стадо скота, которое монголы-кочевники угоняли из района во</w:t>
      </w:r>
      <w:r w:rsidRPr="00A259BD">
        <w:rPr>
          <w:color w:val="000000" w:themeColor="text1"/>
          <w:lang w:val="ru-RU"/>
        </w:rPr>
        <w:softHyphen/>
        <w:t>енных действий. Оправдываясь, экипажи потом говорили, что с высоты овцы очень по</w:t>
      </w:r>
      <w:r w:rsidRPr="00A259BD">
        <w:rPr>
          <w:color w:val="000000" w:themeColor="text1"/>
          <w:lang w:val="ru-RU"/>
        </w:rPr>
        <w:softHyphen/>
        <w:t>хожи на пехоту в серой защитной форме, а коровы и верблюды — на кавалерию.</w:t>
      </w:r>
    </w:p>
    <w:p w14:paraId="5C52E29B" w14:textId="77777777" w:rsidR="00CD7BD7" w:rsidRPr="00A259BD" w:rsidRDefault="00CD7BD7" w:rsidP="009236E3">
      <w:pPr>
        <w:pStyle w:val="a3"/>
        <w:rPr>
          <w:color w:val="000000" w:themeColor="text1"/>
          <w:lang w:val="ru-RU"/>
        </w:rPr>
      </w:pPr>
      <w:r w:rsidRPr="00A259BD">
        <w:rPr>
          <w:color w:val="000000" w:themeColor="text1"/>
          <w:lang w:val="ru-RU"/>
        </w:rPr>
        <w:t>А вот настоящую опасность из-за погоды чуть не проворонили. Китайцы сосредоточи</w:t>
      </w:r>
      <w:r w:rsidRPr="00A259BD">
        <w:rPr>
          <w:color w:val="000000" w:themeColor="text1"/>
          <w:lang w:val="ru-RU"/>
        </w:rPr>
        <w:softHyphen/>
        <w:t xml:space="preserve">лись в южной и юго-восточной части укреплений под </w:t>
      </w:r>
      <w:proofErr w:type="spellStart"/>
      <w:r w:rsidRPr="00A259BD">
        <w:rPr>
          <w:color w:val="000000" w:themeColor="text1"/>
          <w:lang w:val="ru-RU"/>
        </w:rPr>
        <w:t>Чжалайнором</w:t>
      </w:r>
      <w:proofErr w:type="spellEnd"/>
      <w:r w:rsidRPr="00A259BD">
        <w:rPr>
          <w:color w:val="000000" w:themeColor="text1"/>
          <w:lang w:val="ru-RU"/>
        </w:rPr>
        <w:t>, собираясь пойти на прорыв окружения. Наконец, их заметили, но всего несколько самолётов поднялись для преследования уходящей пехоты. Одна группа пыталась уйти в северо-восточном напра</w:t>
      </w:r>
      <w:r w:rsidRPr="00A259BD">
        <w:rPr>
          <w:color w:val="000000" w:themeColor="text1"/>
          <w:lang w:val="ru-RU"/>
        </w:rPr>
        <w:softHyphen/>
        <w:t>влении. Пилот Чайкин, возвращавшийся с разведки, обнаружил её и пулемётным огнем погнал обратно на цепь грузовиков с пулемётами. Эти моторизованные тачанки довер</w:t>
      </w:r>
      <w:r w:rsidRPr="00A259BD">
        <w:rPr>
          <w:color w:val="000000" w:themeColor="text1"/>
          <w:lang w:val="ru-RU"/>
        </w:rPr>
        <w:softHyphen/>
        <w:t>шили дело. Ответным огнем с земли на самолёте Чайкина перебило растяжку крыла, но лётчик благополучно вернулся на базу (15819).</w:t>
      </w:r>
    </w:p>
    <w:p w14:paraId="72CC4B71" w14:textId="77777777" w:rsidR="00CD7BD7" w:rsidRPr="00A259BD" w:rsidRDefault="00CD7BD7" w:rsidP="009236E3">
      <w:pPr>
        <w:pStyle w:val="a3"/>
        <w:rPr>
          <w:color w:val="000000" w:themeColor="text1"/>
          <w:lang w:val="ru-RU"/>
        </w:rPr>
      </w:pPr>
    </w:p>
    <w:p w14:paraId="227726EA" w14:textId="77777777" w:rsidR="00CD7BD7" w:rsidRPr="00A259BD" w:rsidRDefault="00CD7BD7" w:rsidP="009236E3">
      <w:pPr>
        <w:pStyle w:val="a3"/>
        <w:rPr>
          <w:color w:val="000000" w:themeColor="text1"/>
          <w:lang w:val="ru-RU"/>
        </w:rPr>
      </w:pPr>
      <w:r w:rsidRPr="00A259BD">
        <w:rPr>
          <w:color w:val="000000" w:themeColor="text1"/>
          <w:lang w:val="ru-RU"/>
        </w:rPr>
        <w:t>18 ноября 1929 рано утром самолёты вылетели на разведку. Одна из машин села у ко</w:t>
      </w:r>
      <w:r w:rsidRPr="00A259BD">
        <w:rPr>
          <w:color w:val="000000" w:themeColor="text1"/>
          <w:lang w:val="ru-RU"/>
        </w:rPr>
        <w:softHyphen/>
        <w:t>мандного пункта полка и оперативно передала данные о передвижениях китайцев. Про</w:t>
      </w:r>
      <w:r w:rsidRPr="00A259BD">
        <w:rPr>
          <w:color w:val="000000" w:themeColor="text1"/>
          <w:lang w:val="ru-RU"/>
        </w:rPr>
        <w:softHyphen/>
        <w:t>тивник продолжал отступление. Разведчики вели поиск рассыпавшихся больших и малых групп китайских солдат и иногда сами атаковали их. Так, звено 40-й эскадрильи нанесло бомбовый удар по скоплению примерно 1000 пехотинцев и 2000 всадников. Семь Р-1 и шесть истребите</w:t>
      </w:r>
      <w:r w:rsidRPr="00A259BD">
        <w:rPr>
          <w:color w:val="000000" w:themeColor="text1"/>
          <w:lang w:val="ru-RU"/>
        </w:rPr>
        <w:softHyphen/>
        <w:t xml:space="preserve">лей поддержали атаку красноармейцев в районе деревни </w:t>
      </w:r>
      <w:proofErr w:type="spellStart"/>
      <w:r w:rsidRPr="00A259BD">
        <w:rPr>
          <w:color w:val="000000" w:themeColor="text1"/>
          <w:lang w:val="ru-RU"/>
        </w:rPr>
        <w:t>Сионидза</w:t>
      </w:r>
      <w:proofErr w:type="spellEnd"/>
      <w:r w:rsidRPr="00A259BD">
        <w:rPr>
          <w:color w:val="000000" w:themeColor="text1"/>
          <w:lang w:val="ru-RU"/>
        </w:rPr>
        <w:t xml:space="preserve">; противник в панике бежал за </w:t>
      </w:r>
      <w:proofErr w:type="spellStart"/>
      <w:r w:rsidRPr="00A259BD">
        <w:rPr>
          <w:color w:val="000000" w:themeColor="text1"/>
          <w:lang w:val="ru-RU"/>
        </w:rPr>
        <w:t>Мурень</w:t>
      </w:r>
      <w:proofErr w:type="spellEnd"/>
      <w:r w:rsidRPr="00A259BD">
        <w:rPr>
          <w:color w:val="000000" w:themeColor="text1"/>
          <w:lang w:val="ru-RU"/>
        </w:rPr>
        <w:t>, понеся большие потери.</w:t>
      </w:r>
    </w:p>
    <w:p w14:paraId="501C9209" w14:textId="77777777" w:rsidR="00CD7BD7" w:rsidRPr="00A259BD" w:rsidRDefault="00CD7BD7" w:rsidP="009236E3">
      <w:pPr>
        <w:pStyle w:val="a3"/>
        <w:rPr>
          <w:color w:val="000000" w:themeColor="text1"/>
          <w:lang w:val="ru-RU"/>
        </w:rPr>
      </w:pPr>
      <w:r w:rsidRPr="00A259BD">
        <w:rPr>
          <w:color w:val="000000" w:themeColor="text1"/>
          <w:lang w:val="ru-RU"/>
        </w:rPr>
        <w:t>Самолёты очень эффективно применили осколочные бомбы АО-8. Они рвались в плотных скоплениях людей, поражая по пять—восемь человек. При этом осколки разлетались низко: осмотр трупов погибших китайских солдат показал, что боль</w:t>
      </w:r>
      <w:r w:rsidRPr="00A259BD">
        <w:rPr>
          <w:color w:val="000000" w:themeColor="text1"/>
          <w:lang w:val="ru-RU"/>
        </w:rPr>
        <w:softHyphen/>
        <w:t>шинство из них получило тяжёлые ранения ног и нижней час</w:t>
      </w:r>
      <w:r w:rsidRPr="00A259BD">
        <w:rPr>
          <w:color w:val="000000" w:themeColor="text1"/>
          <w:lang w:val="ru-RU"/>
        </w:rPr>
        <w:softHyphen/>
        <w:t>ти живота. Один из разведчиков, возвращаясь назад, пулемёт</w:t>
      </w:r>
      <w:r w:rsidRPr="00A259BD">
        <w:rPr>
          <w:color w:val="000000" w:themeColor="text1"/>
          <w:lang w:val="ru-RU"/>
        </w:rPr>
        <w:softHyphen/>
        <w:t>ным огнем рассеял попавшийся по пути отряд китайцев.</w:t>
      </w:r>
    </w:p>
    <w:p w14:paraId="731B317E" w14:textId="77777777" w:rsidR="00CD7BD7" w:rsidRPr="00A259BD" w:rsidRDefault="00CD7BD7" w:rsidP="009236E3">
      <w:pPr>
        <w:pStyle w:val="a3"/>
        <w:rPr>
          <w:color w:val="000000" w:themeColor="text1"/>
          <w:lang w:val="ru-RU"/>
        </w:rPr>
      </w:pPr>
      <w:r w:rsidRPr="00A259BD">
        <w:rPr>
          <w:color w:val="000000" w:themeColor="text1"/>
          <w:lang w:val="ru-RU"/>
        </w:rPr>
        <w:t>На этом активные действия авиации ОДВА закончились, а к 7 декабря вообще все полёты прекратились (15819).</w:t>
      </w:r>
    </w:p>
    <w:p w14:paraId="7546A0E3" w14:textId="77777777" w:rsidR="00CD7BD7" w:rsidRPr="00A259BD" w:rsidRDefault="00CD7BD7" w:rsidP="009236E3">
      <w:pPr>
        <w:pStyle w:val="a3"/>
        <w:rPr>
          <w:color w:val="000000" w:themeColor="text1"/>
          <w:lang w:val="ru-RU"/>
        </w:rPr>
      </w:pPr>
    </w:p>
    <w:p w14:paraId="319716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ноября 1929 самолеты 6 отряда и 26 эскадрильи обрабатывали передний край и </w:t>
      </w:r>
      <w:proofErr w:type="spellStart"/>
      <w:r w:rsidRPr="00A259BD">
        <w:rPr>
          <w:rFonts w:ascii="Times New Roman" w:hAnsi="Times New Roman"/>
          <w:color w:val="000000" w:themeColor="text1"/>
          <w:sz w:val="16"/>
          <w:szCs w:val="16"/>
        </w:rPr>
        <w:t>Чжайлор</w:t>
      </w:r>
      <w:proofErr w:type="spellEnd"/>
      <w:r w:rsidRPr="00A259BD">
        <w:rPr>
          <w:rFonts w:ascii="Times New Roman" w:hAnsi="Times New Roman"/>
          <w:color w:val="000000" w:themeColor="text1"/>
          <w:sz w:val="16"/>
          <w:szCs w:val="16"/>
        </w:rPr>
        <w:t xml:space="preserve"> пал (6594, 16).</w:t>
      </w:r>
    </w:p>
    <w:p w14:paraId="0C559D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8E5A20" w14:textId="77777777" w:rsidR="00382A41" w:rsidRPr="00A259BD" w:rsidRDefault="00382A41"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18 ноября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ЦИК и СНК СССР о мерах по упорядочению военного дела в СССР (СЗ. 1929. № 72. Ст. 692) (12415).</w:t>
      </w:r>
    </w:p>
    <w:p w14:paraId="2F244F86" w14:textId="77777777" w:rsidR="00382A41" w:rsidRPr="00A259BD" w:rsidRDefault="00382A41" w:rsidP="009236E3">
      <w:pPr>
        <w:spacing w:after="0" w:line="240" w:lineRule="auto"/>
        <w:jc w:val="both"/>
        <w:rPr>
          <w:rFonts w:ascii="Times New Roman" w:hAnsi="Times New Roman"/>
          <w:color w:val="000000" w:themeColor="text1"/>
          <w:sz w:val="16"/>
          <w:szCs w:val="16"/>
          <w:u w:color="002060"/>
        </w:rPr>
      </w:pPr>
    </w:p>
    <w:p w14:paraId="1F0B8F9D" w14:textId="77777777" w:rsidR="00382A41" w:rsidRPr="00A259BD" w:rsidRDefault="00382A41" w:rsidP="009236E3">
      <w:pPr>
        <w:pStyle w:val="rtejustify"/>
        <w:spacing w:before="0" w:after="0"/>
        <w:rPr>
          <w:color w:val="000000" w:themeColor="text1"/>
          <w:sz w:val="16"/>
          <w:szCs w:val="16"/>
        </w:rPr>
      </w:pPr>
      <w:r w:rsidRPr="00A259BD">
        <w:rPr>
          <w:rStyle w:val="af0"/>
          <w:i w:val="0"/>
          <w:color w:val="000000" w:themeColor="text1"/>
          <w:sz w:val="16"/>
          <w:szCs w:val="16"/>
        </w:rPr>
        <w:t xml:space="preserve">18 ноября </w:t>
      </w:r>
      <w:r w:rsidRPr="00A259BD">
        <w:rPr>
          <w:color w:val="000000" w:themeColor="text1"/>
          <w:sz w:val="16"/>
          <w:szCs w:val="16"/>
        </w:rPr>
        <w:t>1929 г</w:t>
      </w:r>
      <w:r w:rsidRPr="00A259BD">
        <w:rPr>
          <w:rStyle w:val="af0"/>
          <w:i w:val="0"/>
          <w:color w:val="000000" w:themeColor="text1"/>
          <w:sz w:val="16"/>
          <w:szCs w:val="16"/>
        </w:rPr>
        <w:t xml:space="preserve">. Протокол Реввоенсовета № 36. </w:t>
      </w:r>
      <w:r w:rsidRPr="00A259BD">
        <w:rPr>
          <w:color w:val="000000" w:themeColor="text1"/>
          <w:sz w:val="16"/>
          <w:szCs w:val="16"/>
        </w:rPr>
        <w:t xml:space="preserve">2. О расформировании Управления снабжений РККА и об утверждении должности начальника вооружений РККА. (Ворошилов, </w:t>
      </w:r>
      <w:proofErr w:type="spellStart"/>
      <w:r w:rsidRPr="00A259BD">
        <w:rPr>
          <w:color w:val="000000" w:themeColor="text1"/>
          <w:sz w:val="16"/>
          <w:szCs w:val="16"/>
        </w:rPr>
        <w:t>Корк</w:t>
      </w:r>
      <w:proofErr w:type="spellEnd"/>
      <w:r w:rsidRPr="00A259BD">
        <w:rPr>
          <w:color w:val="000000" w:themeColor="text1"/>
          <w:sz w:val="16"/>
          <w:szCs w:val="16"/>
        </w:rPr>
        <w:t>). (РГВА. Ф. 4. Оп. 18. Д. 15. Л. 248) (12342).</w:t>
      </w:r>
    </w:p>
    <w:p w14:paraId="19913BE6" w14:textId="77777777" w:rsidR="00382A41" w:rsidRPr="00A259BD" w:rsidRDefault="00382A41" w:rsidP="009236E3">
      <w:pPr>
        <w:pStyle w:val="rtejustify"/>
        <w:spacing w:before="0" w:after="0"/>
        <w:rPr>
          <w:color w:val="000000" w:themeColor="text1"/>
          <w:sz w:val="16"/>
          <w:szCs w:val="16"/>
        </w:rPr>
      </w:pPr>
    </w:p>
    <w:p w14:paraId="3D915B47" w14:textId="77777777" w:rsidR="0004177A" w:rsidRPr="00A259BD" w:rsidRDefault="0004177A"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93" w:name="_Hlk91526987"/>
      <w:r w:rsidRPr="00A259BD">
        <w:rPr>
          <w:rFonts w:ascii="Times New Roman" w:hAnsi="Times New Roman"/>
          <w:color w:val="000000" w:themeColor="text1"/>
          <w:sz w:val="16"/>
          <w:szCs w:val="16"/>
        </w:rPr>
        <w:t xml:space="preserve">18 ноября 1929 </w:t>
      </w:r>
      <w:r w:rsidRPr="00A259BD">
        <w:rPr>
          <w:rFonts w:ascii="Times New Roman" w:eastAsia="Times New Roman" w:hAnsi="Times New Roman"/>
          <w:color w:val="000000" w:themeColor="text1"/>
          <w:sz w:val="16"/>
          <w:szCs w:val="16"/>
          <w:lang w:eastAsia="ru-RU"/>
        </w:rPr>
        <w:t xml:space="preserve">предшественник Тухачевского на посту начальника Штаба РККА – </w:t>
      </w:r>
      <w:proofErr w:type="spellStart"/>
      <w:r w:rsidRPr="00A259BD">
        <w:rPr>
          <w:rFonts w:ascii="Times New Roman" w:eastAsia="Times New Roman" w:hAnsi="Times New Roman"/>
          <w:color w:val="000000" w:themeColor="text1"/>
          <w:sz w:val="16"/>
          <w:szCs w:val="16"/>
          <w:lang w:eastAsia="ru-RU"/>
        </w:rPr>
        <w:t>помошник</w:t>
      </w:r>
      <w:proofErr w:type="spellEnd"/>
      <w:r w:rsidRPr="00A259BD">
        <w:rPr>
          <w:rFonts w:ascii="Times New Roman" w:eastAsia="Times New Roman" w:hAnsi="Times New Roman"/>
          <w:color w:val="000000" w:themeColor="text1"/>
          <w:sz w:val="16"/>
          <w:szCs w:val="16"/>
          <w:lang w:eastAsia="ru-RU"/>
        </w:rPr>
        <w:t xml:space="preserve"> </w:t>
      </w:r>
      <w:proofErr w:type="spellStart"/>
      <w:r w:rsidRPr="00A259BD">
        <w:rPr>
          <w:rFonts w:ascii="Times New Roman" w:eastAsia="Times New Roman" w:hAnsi="Times New Roman"/>
          <w:color w:val="000000" w:themeColor="text1"/>
          <w:sz w:val="16"/>
          <w:szCs w:val="16"/>
          <w:lang w:eastAsia="ru-RU"/>
        </w:rPr>
        <w:t>комвойсками</w:t>
      </w:r>
      <w:proofErr w:type="spellEnd"/>
      <w:r w:rsidRPr="00A259BD">
        <w:rPr>
          <w:rFonts w:ascii="Times New Roman" w:eastAsia="Times New Roman" w:hAnsi="Times New Roman"/>
          <w:color w:val="000000" w:themeColor="text1"/>
          <w:sz w:val="16"/>
          <w:szCs w:val="16"/>
          <w:lang w:eastAsia="ru-RU"/>
        </w:rPr>
        <w:t xml:space="preserve"> УВО П. П. Лебедев двумя месяцами ранее Тухачевского представил проект неотложного увеличения ВВС. Исходной точкой рассуждений Лебедева также служил взятый нами темп индустриализации". Это обстоятельство он понимал прежде всего как фактор, способный спровоцировать соседние государства напасть на СССР, и потому просил адресата "не читать дальше его записки", если есть полная гарантия того, что н ближайшие 2-4 года войны не будет. Крупное увеличение авиационных сил Лебедев рассматривал как наиболее эффективное средство сдерживания. В случае предлагаемого удвоения авиации РККА вероятные противники "не рискнут на нас напасть, так как они превосходно знают, что при отсутствии господства в воздухе или по крайней мере равенства в авиационных силах удача для них немыслима". Поэтому автор проекта считал необходимым в 1930 г добавить 1000 боевых самолетов и 500 запасных, а к концу пятилетки довести ВВС до 5 тысяч машин. "...Доказано, - утверждал прекрасно осведомленный помощник </w:t>
      </w:r>
      <w:proofErr w:type="spellStart"/>
      <w:r w:rsidRPr="00A259BD">
        <w:rPr>
          <w:rFonts w:ascii="Times New Roman" w:eastAsia="Times New Roman" w:hAnsi="Times New Roman"/>
          <w:color w:val="000000" w:themeColor="text1"/>
          <w:sz w:val="16"/>
          <w:szCs w:val="16"/>
          <w:lang w:eastAsia="ru-RU"/>
        </w:rPr>
        <w:t>комвойсками</w:t>
      </w:r>
      <w:proofErr w:type="spellEnd"/>
      <w:r w:rsidRPr="00A259BD">
        <w:rPr>
          <w:rFonts w:ascii="Times New Roman" w:eastAsia="Times New Roman" w:hAnsi="Times New Roman"/>
          <w:color w:val="000000" w:themeColor="text1"/>
          <w:sz w:val="16"/>
          <w:szCs w:val="16"/>
          <w:lang w:eastAsia="ru-RU"/>
        </w:rPr>
        <w:t xml:space="preserve"> УВО, - что этого числа достаточно для того, чтобы мы имели более сильную авиацию, чем наши противники, даже в том случае, если на границу пожалуют регулярные авиационные силы больших буржуазных государств".</w:t>
      </w:r>
    </w:p>
    <w:p w14:paraId="0C6781C5" w14:textId="77777777" w:rsidR="0004177A" w:rsidRPr="00A259BD" w:rsidRDefault="0004177A" w:rsidP="009236E3">
      <w:pPr>
        <w:spacing w:after="0" w:line="240" w:lineRule="auto"/>
        <w:jc w:val="both"/>
        <w:rPr>
          <w:rFonts w:ascii="Times New Roman" w:hAnsi="Times New Roman"/>
          <w:color w:val="000000" w:themeColor="text1"/>
          <w:sz w:val="16"/>
          <w:szCs w:val="16"/>
        </w:rPr>
      </w:pPr>
      <w:r w:rsidRPr="00A259BD">
        <w:rPr>
          <w:rFonts w:ascii="Times New Roman" w:eastAsia="Times New Roman" w:hAnsi="Times New Roman"/>
          <w:color w:val="000000" w:themeColor="text1"/>
          <w:sz w:val="16"/>
          <w:szCs w:val="16"/>
          <w:lang w:eastAsia="ru-RU"/>
        </w:rPr>
        <w:t xml:space="preserve">Необходимые расходы в 150 млн рублей Лебедев рассматривал как "жертву" и "страховую премию", уплата которой позволит гарантировать "спокойное развитие индустриализации страны в течение ближайших лет". К своему меморандуму оп прилагал записку на 12 листах с обоснованием экономических расчетов и сроков осуществления предлагаемого плана с точки зрения международного положения и состояния авиации вероятных противников (Докладная записка Помощника </w:t>
      </w:r>
      <w:proofErr w:type="spellStart"/>
      <w:r w:rsidRPr="00A259BD">
        <w:rPr>
          <w:rFonts w:ascii="Times New Roman" w:eastAsia="Times New Roman" w:hAnsi="Times New Roman"/>
          <w:color w:val="000000" w:themeColor="text1"/>
          <w:sz w:val="16"/>
          <w:szCs w:val="16"/>
          <w:lang w:eastAsia="ru-RU"/>
        </w:rPr>
        <w:t>Комвойсками</w:t>
      </w:r>
      <w:proofErr w:type="spellEnd"/>
      <w:r w:rsidRPr="00A259BD">
        <w:rPr>
          <w:rFonts w:ascii="Times New Roman" w:eastAsia="Times New Roman" w:hAnsi="Times New Roman"/>
          <w:color w:val="000000" w:themeColor="text1"/>
          <w:sz w:val="16"/>
          <w:szCs w:val="16"/>
          <w:lang w:eastAsia="ru-RU"/>
        </w:rPr>
        <w:t xml:space="preserve"> УВО Лебедева </w:t>
      </w:r>
      <w:proofErr w:type="spellStart"/>
      <w:r w:rsidRPr="00A259BD">
        <w:rPr>
          <w:rFonts w:ascii="Times New Roman" w:eastAsia="Times New Roman" w:hAnsi="Times New Roman"/>
          <w:color w:val="000000" w:themeColor="text1"/>
          <w:sz w:val="16"/>
          <w:szCs w:val="16"/>
          <w:lang w:eastAsia="ru-RU"/>
        </w:rPr>
        <w:t>Комвойсками</w:t>
      </w:r>
      <w:proofErr w:type="spellEnd"/>
      <w:r w:rsidRPr="00A259BD">
        <w:rPr>
          <w:rFonts w:ascii="Times New Roman" w:eastAsia="Times New Roman" w:hAnsi="Times New Roman"/>
          <w:color w:val="000000" w:themeColor="text1"/>
          <w:sz w:val="16"/>
          <w:szCs w:val="16"/>
          <w:lang w:eastAsia="ru-RU"/>
        </w:rPr>
        <w:t xml:space="preserve"> УВО Якиру, 18.11.1929 // На службе в Красной Армии: Документы и материалы о деятельности П. П. Лебедева / Сост. В. И. Авдеев и др. Чебоксары, 1991. С. 264-266) (22725).</w:t>
      </w:r>
    </w:p>
    <w:p w14:paraId="79EA2746" w14:textId="77777777" w:rsidR="0004177A" w:rsidRPr="00A259BD" w:rsidRDefault="0004177A" w:rsidP="009236E3">
      <w:pPr>
        <w:spacing w:after="0" w:line="240" w:lineRule="auto"/>
        <w:jc w:val="both"/>
        <w:rPr>
          <w:rFonts w:ascii="Times New Roman" w:hAnsi="Times New Roman"/>
          <w:color w:val="000000" w:themeColor="text1"/>
          <w:sz w:val="16"/>
          <w:szCs w:val="16"/>
        </w:rPr>
      </w:pPr>
    </w:p>
    <w:bookmarkEnd w:id="93"/>
    <w:p w14:paraId="73B3B36E"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4FF76AB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1C69E2A" w14:textId="77777777" w:rsidR="009E1756" w:rsidRPr="00A259BD" w:rsidRDefault="009E1756"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18 ноября</w:t>
      </w:r>
      <w:r w:rsidRPr="00A259BD">
        <w:rPr>
          <w:rFonts w:ascii="Times New Roman" w:hAnsi="Times New Roman"/>
          <w:color w:val="000000" w:themeColor="text1"/>
          <w:sz w:val="16"/>
          <w:szCs w:val="16"/>
        </w:rPr>
        <w:t xml:space="preserve"> в 1929 году русский инженер и изобретатель 41-летний Владимир Зворыкин, эмигрировавший из России после революции, продемонстрировал в США первую трубку, передающую изображение. Позже его по справедливости назовут "отцом телевидения" (14834).</w:t>
      </w:r>
    </w:p>
    <w:p w14:paraId="1BAE925E" w14:textId="77777777" w:rsidR="009E1756" w:rsidRPr="00A259BD" w:rsidRDefault="009E1756" w:rsidP="009236E3">
      <w:pPr>
        <w:spacing w:after="0" w:line="240" w:lineRule="auto"/>
        <w:jc w:val="both"/>
        <w:rPr>
          <w:rFonts w:ascii="Times New Roman" w:hAnsi="Times New Roman"/>
          <w:color w:val="000000" w:themeColor="text1"/>
          <w:sz w:val="16"/>
          <w:szCs w:val="16"/>
        </w:rPr>
      </w:pPr>
    </w:p>
    <w:p w14:paraId="0E183BE1" w14:textId="77777777" w:rsidR="00383DFC" w:rsidRPr="00A259BD" w:rsidRDefault="00383DF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ноября 1929 года во Франции был спущен на воду гигантский под</w:t>
      </w:r>
      <w:r w:rsidRPr="00A259BD">
        <w:rPr>
          <w:rFonts w:ascii="Times New Roman" w:hAnsi="Times New Roman"/>
          <w:color w:val="000000" w:themeColor="text1"/>
          <w:sz w:val="16"/>
          <w:szCs w:val="16"/>
        </w:rPr>
        <w:softHyphen/>
        <w:t>водный артиллерийский крейсер “</w:t>
      </w:r>
      <w:proofErr w:type="spellStart"/>
      <w:r w:rsidRPr="00A259BD">
        <w:rPr>
          <w:rFonts w:ascii="Times New Roman" w:hAnsi="Times New Roman"/>
          <w:color w:val="000000" w:themeColor="text1"/>
          <w:sz w:val="16"/>
          <w:szCs w:val="16"/>
        </w:rPr>
        <w:t>Сюркуф</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Surcouf</w:t>
      </w:r>
      <w:proofErr w:type="spellEnd"/>
      <w:r w:rsidRPr="00A259BD">
        <w:rPr>
          <w:rFonts w:ascii="Times New Roman" w:hAnsi="Times New Roman"/>
          <w:color w:val="000000" w:themeColor="text1"/>
          <w:sz w:val="16"/>
          <w:szCs w:val="16"/>
        </w:rPr>
        <w:t>”) водоизмещени</w:t>
      </w:r>
      <w:r w:rsidRPr="00A259BD">
        <w:rPr>
          <w:rFonts w:ascii="Times New Roman" w:hAnsi="Times New Roman"/>
          <w:color w:val="000000" w:themeColor="text1"/>
          <w:sz w:val="16"/>
          <w:szCs w:val="16"/>
        </w:rPr>
        <w:softHyphen/>
        <w:t xml:space="preserve">ем 4000 т, вооруженный двумя 203- мм орудиями и имеющий в кормовой части надстройки “тяжелый” ангар для разведывательного самолета МВ- 411 </w:t>
      </w:r>
      <w:proofErr w:type="spellStart"/>
      <w:r w:rsidRPr="00A259BD">
        <w:rPr>
          <w:rFonts w:ascii="Times New Roman" w:hAnsi="Times New Roman"/>
          <w:color w:val="000000" w:themeColor="text1"/>
          <w:sz w:val="16"/>
          <w:szCs w:val="16"/>
        </w:rPr>
        <w:t>Petrel</w:t>
      </w:r>
      <w:proofErr w:type="spellEnd"/>
      <w:r w:rsidRPr="00A259BD">
        <w:rPr>
          <w:rFonts w:ascii="Times New Roman" w:hAnsi="Times New Roman"/>
          <w:color w:val="000000" w:themeColor="text1"/>
          <w:sz w:val="16"/>
          <w:szCs w:val="16"/>
        </w:rPr>
        <w:t>. Двухместный поплавковый гидроплан хранился в ангаре со сня</w:t>
      </w:r>
      <w:r w:rsidRPr="00A259BD">
        <w:rPr>
          <w:rFonts w:ascii="Times New Roman" w:hAnsi="Times New Roman"/>
          <w:color w:val="000000" w:themeColor="text1"/>
          <w:sz w:val="16"/>
          <w:szCs w:val="16"/>
        </w:rPr>
        <w:softHyphen/>
        <w:t>тыми крыльями и сложенными вместе фюзеляжем и поплавками. Взлет осу</w:t>
      </w:r>
      <w:r w:rsidRPr="00A259BD">
        <w:rPr>
          <w:rFonts w:ascii="Times New Roman" w:hAnsi="Times New Roman"/>
          <w:color w:val="000000" w:themeColor="text1"/>
          <w:sz w:val="16"/>
          <w:szCs w:val="16"/>
        </w:rPr>
        <w:softHyphen/>
        <w:t>ществлялся с воды, самолет спускался на воду и поднимался на борт специ</w:t>
      </w:r>
      <w:r w:rsidRPr="00A259BD">
        <w:rPr>
          <w:rFonts w:ascii="Times New Roman" w:hAnsi="Times New Roman"/>
          <w:color w:val="000000" w:themeColor="text1"/>
          <w:sz w:val="16"/>
          <w:szCs w:val="16"/>
        </w:rPr>
        <w:softHyphen/>
        <w:t>альным подъемным краном. Ангар соединялся с прочным корпусом спе</w:t>
      </w:r>
      <w:r w:rsidRPr="00A259BD">
        <w:rPr>
          <w:rFonts w:ascii="Times New Roman" w:hAnsi="Times New Roman"/>
          <w:color w:val="000000" w:themeColor="text1"/>
          <w:sz w:val="16"/>
          <w:szCs w:val="16"/>
        </w:rPr>
        <w:softHyphen/>
        <w:t>циальной шахтой, что позволяло на</w:t>
      </w:r>
      <w:r w:rsidRPr="00A259BD">
        <w:rPr>
          <w:rFonts w:ascii="Times New Roman" w:hAnsi="Times New Roman"/>
          <w:color w:val="000000" w:themeColor="text1"/>
          <w:sz w:val="16"/>
          <w:szCs w:val="16"/>
        </w:rPr>
        <w:softHyphen/>
        <w:t>чинать подготовку самолета к вылету еще под водой, как и на М-2. “</w:t>
      </w:r>
      <w:proofErr w:type="spellStart"/>
      <w:r w:rsidRPr="00A259BD">
        <w:rPr>
          <w:rFonts w:ascii="Times New Roman" w:hAnsi="Times New Roman"/>
          <w:color w:val="000000" w:themeColor="text1"/>
          <w:sz w:val="16"/>
          <w:szCs w:val="16"/>
        </w:rPr>
        <w:t>Сюркуф</w:t>
      </w:r>
      <w:proofErr w:type="spellEnd"/>
      <w:r w:rsidRPr="00A259BD">
        <w:rPr>
          <w:rFonts w:ascii="Times New Roman" w:hAnsi="Times New Roman"/>
          <w:color w:val="000000" w:themeColor="text1"/>
          <w:sz w:val="16"/>
          <w:szCs w:val="16"/>
        </w:rPr>
        <w:t>” предназначался для крейсерских опе</w:t>
      </w:r>
      <w:r w:rsidRPr="00A259BD">
        <w:rPr>
          <w:rFonts w:ascii="Times New Roman" w:hAnsi="Times New Roman"/>
          <w:color w:val="000000" w:themeColor="text1"/>
          <w:sz w:val="16"/>
          <w:szCs w:val="16"/>
        </w:rPr>
        <w:softHyphen/>
        <w:t>раций на удаленных коммуникациях в океанах и защиты Французских ко</w:t>
      </w:r>
      <w:r w:rsidRPr="00A259BD">
        <w:rPr>
          <w:rFonts w:ascii="Times New Roman" w:hAnsi="Times New Roman"/>
          <w:color w:val="000000" w:themeColor="text1"/>
          <w:sz w:val="16"/>
          <w:szCs w:val="16"/>
        </w:rPr>
        <w:softHyphen/>
        <w:t>лоний от набегов одиночных боевых кораблей противника. Подводный крейсер обладал дальностью плавания (в надводном положении) до 12000 км и автономностью до 90 суток. “</w:t>
      </w:r>
      <w:proofErr w:type="spellStart"/>
      <w:r w:rsidRPr="00A259BD">
        <w:rPr>
          <w:rFonts w:ascii="Times New Roman" w:hAnsi="Times New Roman"/>
          <w:color w:val="000000" w:themeColor="text1"/>
          <w:sz w:val="16"/>
          <w:szCs w:val="16"/>
        </w:rPr>
        <w:t>Сюркуф</w:t>
      </w:r>
      <w:proofErr w:type="spellEnd"/>
      <w:r w:rsidRPr="00A259BD">
        <w:rPr>
          <w:rFonts w:ascii="Times New Roman" w:hAnsi="Times New Roman"/>
          <w:color w:val="000000" w:themeColor="text1"/>
          <w:sz w:val="16"/>
          <w:szCs w:val="16"/>
        </w:rPr>
        <w:t>” был введен в строй в 1934 году, и ба</w:t>
      </w:r>
      <w:r w:rsidRPr="00A259BD">
        <w:rPr>
          <w:rFonts w:ascii="Times New Roman" w:hAnsi="Times New Roman"/>
          <w:color w:val="000000" w:themeColor="text1"/>
          <w:sz w:val="16"/>
          <w:szCs w:val="16"/>
        </w:rPr>
        <w:softHyphen/>
        <w:t>зировался в Бресте. После поражения и капитуляции Франции в 1940 году “</w:t>
      </w:r>
      <w:proofErr w:type="spellStart"/>
      <w:r w:rsidRPr="00A259BD">
        <w:rPr>
          <w:rFonts w:ascii="Times New Roman" w:hAnsi="Times New Roman"/>
          <w:color w:val="000000" w:themeColor="text1"/>
          <w:sz w:val="16"/>
          <w:szCs w:val="16"/>
        </w:rPr>
        <w:t>Сюркуф</w:t>
      </w:r>
      <w:proofErr w:type="spellEnd"/>
      <w:r w:rsidRPr="00A259BD">
        <w:rPr>
          <w:rFonts w:ascii="Times New Roman" w:hAnsi="Times New Roman"/>
          <w:color w:val="000000" w:themeColor="text1"/>
          <w:sz w:val="16"/>
          <w:szCs w:val="16"/>
        </w:rPr>
        <w:t>” на одном дизеле (второй как раз был разобран для ремонта) успел выйти в море и 18 июня пришварто</w:t>
      </w:r>
      <w:r w:rsidRPr="00A259BD">
        <w:rPr>
          <w:rFonts w:ascii="Times New Roman" w:hAnsi="Times New Roman"/>
          <w:color w:val="000000" w:themeColor="text1"/>
          <w:sz w:val="16"/>
          <w:szCs w:val="16"/>
        </w:rPr>
        <w:softHyphen/>
        <w:t>вался в английском порту Плимута. После ремонта подводная лодка была отправлена в Канаду, где в течение 1941 года участвовала в обеспечении конвойных операций. В феврале 1942 года во время перебазирования в Ти</w:t>
      </w:r>
      <w:r w:rsidRPr="00A259BD">
        <w:rPr>
          <w:rFonts w:ascii="Times New Roman" w:hAnsi="Times New Roman"/>
          <w:color w:val="000000" w:themeColor="text1"/>
          <w:sz w:val="16"/>
          <w:szCs w:val="16"/>
        </w:rPr>
        <w:softHyphen/>
        <w:t>хий океан “</w:t>
      </w:r>
      <w:proofErr w:type="spellStart"/>
      <w:r w:rsidRPr="00A259BD">
        <w:rPr>
          <w:rFonts w:ascii="Times New Roman" w:hAnsi="Times New Roman"/>
          <w:color w:val="000000" w:themeColor="text1"/>
          <w:sz w:val="16"/>
          <w:szCs w:val="16"/>
        </w:rPr>
        <w:t>Сюркуф</w:t>
      </w:r>
      <w:proofErr w:type="spellEnd"/>
      <w:r w:rsidRPr="00A259BD">
        <w:rPr>
          <w:rFonts w:ascii="Times New Roman" w:hAnsi="Times New Roman"/>
          <w:color w:val="000000" w:themeColor="text1"/>
          <w:sz w:val="16"/>
          <w:szCs w:val="16"/>
        </w:rPr>
        <w:t>” исчез в районе Панамского канала (возможно, потер</w:t>
      </w:r>
      <w:r w:rsidRPr="00A259BD">
        <w:rPr>
          <w:rFonts w:ascii="Times New Roman" w:hAnsi="Times New Roman"/>
          <w:color w:val="000000" w:themeColor="text1"/>
          <w:sz w:val="16"/>
          <w:szCs w:val="16"/>
        </w:rPr>
        <w:softHyphen/>
        <w:t>пев катастрофу в результате столкно</w:t>
      </w:r>
      <w:r w:rsidRPr="00A259BD">
        <w:rPr>
          <w:rFonts w:ascii="Times New Roman" w:hAnsi="Times New Roman"/>
          <w:color w:val="000000" w:themeColor="text1"/>
          <w:sz w:val="16"/>
          <w:szCs w:val="16"/>
        </w:rPr>
        <w:softHyphen/>
        <w:t>вения с американским военным транс</w:t>
      </w:r>
      <w:r w:rsidRPr="00A259BD">
        <w:rPr>
          <w:rFonts w:ascii="Times New Roman" w:hAnsi="Times New Roman"/>
          <w:color w:val="000000" w:themeColor="text1"/>
          <w:sz w:val="16"/>
          <w:szCs w:val="16"/>
        </w:rPr>
        <w:softHyphen/>
        <w:t>портом) (22804).</w:t>
      </w:r>
    </w:p>
    <w:p w14:paraId="52BDE501" w14:textId="77777777" w:rsidR="00383DFC" w:rsidRPr="00A259BD" w:rsidRDefault="00383DFC" w:rsidP="009236E3">
      <w:pPr>
        <w:spacing w:after="0" w:line="240" w:lineRule="auto"/>
        <w:jc w:val="both"/>
        <w:rPr>
          <w:rFonts w:ascii="Times New Roman" w:hAnsi="Times New Roman"/>
          <w:color w:val="000000" w:themeColor="text1"/>
          <w:sz w:val="16"/>
          <w:szCs w:val="16"/>
        </w:rPr>
      </w:pPr>
    </w:p>
    <w:p w14:paraId="1331E336" w14:textId="77777777" w:rsidR="009E1756" w:rsidRPr="00A259BD" w:rsidRDefault="009E1756"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18 ноября</w:t>
      </w:r>
      <w:r w:rsidRPr="00A259BD">
        <w:rPr>
          <w:rFonts w:ascii="Times New Roman" w:hAnsi="Times New Roman"/>
          <w:color w:val="000000" w:themeColor="text1"/>
          <w:sz w:val="16"/>
          <w:szCs w:val="16"/>
        </w:rPr>
        <w:t xml:space="preserve"> в 1929 году один из руководителей партии германских нацистов Йозеф Геббельс записал в дневнике: "Убедительная победа на выборах, особенно в Берлине. С 39 000 в мае мы поднялись до 130 000. Особенный прирост у нас в пролетарских районах. Отняли у марксизма 50 000 голосов" (14834).</w:t>
      </w:r>
    </w:p>
    <w:p w14:paraId="7BE657E5" w14:textId="77777777" w:rsidR="009E1756" w:rsidRPr="00A259BD" w:rsidRDefault="009E1756" w:rsidP="009236E3">
      <w:pPr>
        <w:spacing w:after="0" w:line="240" w:lineRule="auto"/>
        <w:jc w:val="both"/>
        <w:rPr>
          <w:rFonts w:ascii="Times New Roman" w:hAnsi="Times New Roman"/>
          <w:color w:val="000000" w:themeColor="text1"/>
          <w:sz w:val="16"/>
          <w:szCs w:val="16"/>
        </w:rPr>
      </w:pPr>
    </w:p>
    <w:p w14:paraId="4EC6DEC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ноября 1929 из-за цунами на острове Ньюфаундленд (Канада) погибли 27 человек (4962).</w:t>
      </w:r>
    </w:p>
    <w:p w14:paraId="3E5C87F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D950F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203268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DEB23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ноября 1929 года в НИИ ВВС закончились гос. испытания самолета ТБ-1 2 БМВ VI постройки завода № 22, которые проходили с 1 августа 1929.</w:t>
      </w:r>
    </w:p>
    <w:p w14:paraId="40B520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испытания самолета ТБ-1 2 БМВ VI постройки завода № 22</w:t>
      </w:r>
    </w:p>
    <w:p w14:paraId="7FBA1E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ТБ-1 постройки завода № 22 в конструктивном отношении ничем не отличается от опытного самолета постройки ЦАГИ.</w:t>
      </w:r>
    </w:p>
    <w:p w14:paraId="223A26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данные и регулировка те же, что и у опытного самолета.</w:t>
      </w:r>
    </w:p>
    <w:p w14:paraId="2BEF87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1F256B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основании результатов испытания НИИ считает, что при устранении недочетов, перечисленных в перечне и подлежащих устранению </w:t>
      </w:r>
      <w:proofErr w:type="spellStart"/>
      <w:r w:rsidRPr="00A259BD">
        <w:rPr>
          <w:rFonts w:ascii="Times New Roman" w:hAnsi="Times New Roman"/>
          <w:color w:val="000000" w:themeColor="text1"/>
          <w:sz w:val="16"/>
          <w:szCs w:val="16"/>
        </w:rPr>
        <w:t>устранинию</w:t>
      </w:r>
      <w:proofErr w:type="spellEnd"/>
      <w:r w:rsidRPr="00A259BD">
        <w:rPr>
          <w:rFonts w:ascii="Times New Roman" w:hAnsi="Times New Roman"/>
          <w:color w:val="000000" w:themeColor="text1"/>
          <w:sz w:val="16"/>
          <w:szCs w:val="16"/>
        </w:rPr>
        <w:t xml:space="preserve"> в серии, самолет может быть принят на вооружение строевых частей (6995).</w:t>
      </w:r>
    </w:p>
    <w:p w14:paraId="799952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A0B869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 ноября 1929 года в НИИ ВВС закончились испытания самолета И4 ЮVI, которые проходили с 10 октября 1929.</w:t>
      </w:r>
    </w:p>
    <w:p w14:paraId="773797E3"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2ACAC66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основании произведенных испытаний НИИ считает, что самолеты И-4 ЮVI первой серии, постройки завода № 22 могут быть приняты на снабжение ВВС (6936).</w:t>
      </w:r>
    </w:p>
    <w:p w14:paraId="402AC08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28C3B9" w14:textId="77777777" w:rsidR="00D56121"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0DE97164" w14:textId="77777777" w:rsidR="00D56121" w:rsidRPr="00A259BD" w:rsidRDefault="00D5612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FAFD35B" w14:textId="77777777" w:rsidR="009E1756" w:rsidRPr="00A259BD" w:rsidRDefault="009E1756" w:rsidP="009236E3">
      <w:pPr>
        <w:pStyle w:val="a3"/>
        <w:tabs>
          <w:tab w:val="left" w:pos="462"/>
        </w:tabs>
        <w:rPr>
          <w:color w:val="000000" w:themeColor="text1"/>
          <w:lang w:val="ru-RU"/>
        </w:rPr>
      </w:pPr>
      <w:r w:rsidRPr="00A259BD">
        <w:rPr>
          <w:color w:val="000000" w:themeColor="text1"/>
          <w:lang w:val="ru-RU"/>
        </w:rPr>
        <w:t>19 ноября 1929 погода ещё более ухудшилась. Лишь самые опытные экипажи летали на раз</w:t>
      </w:r>
      <w:r w:rsidRPr="00A259BD">
        <w:rPr>
          <w:color w:val="000000" w:themeColor="text1"/>
          <w:lang w:val="ru-RU"/>
        </w:rPr>
        <w:softHyphen/>
        <w:t xml:space="preserve">ведку. Зато над </w:t>
      </w:r>
      <w:proofErr w:type="spellStart"/>
      <w:r w:rsidRPr="00A259BD">
        <w:rPr>
          <w:color w:val="000000" w:themeColor="text1"/>
          <w:lang w:val="ru-RU"/>
        </w:rPr>
        <w:t>Чжалайнором</w:t>
      </w:r>
      <w:proofErr w:type="spellEnd"/>
      <w:r w:rsidRPr="00A259BD">
        <w:rPr>
          <w:color w:val="000000" w:themeColor="text1"/>
          <w:lang w:val="ru-RU"/>
        </w:rPr>
        <w:t xml:space="preserve"> впервые появился китайский самолёт. Он с высоты около 200 м сбросил вымпел с донесением, который упал на позиции красноармейцев. Рас</w:t>
      </w:r>
      <w:r w:rsidRPr="00A259BD">
        <w:rPr>
          <w:color w:val="000000" w:themeColor="text1"/>
          <w:lang w:val="ru-RU"/>
        </w:rPr>
        <w:softHyphen/>
        <w:t xml:space="preserve">шифровав иероглифы, в штабе прочитали сообщение: «Держитесь, к вам на помощь идут две бригады». Китайское командование ещё не знало, что командир </w:t>
      </w:r>
      <w:proofErr w:type="spellStart"/>
      <w:r w:rsidRPr="00A259BD">
        <w:rPr>
          <w:color w:val="000000" w:themeColor="text1"/>
          <w:lang w:val="ru-RU"/>
        </w:rPr>
        <w:t>чжалайнорского</w:t>
      </w:r>
      <w:proofErr w:type="spellEnd"/>
      <w:r w:rsidRPr="00A259BD">
        <w:rPr>
          <w:color w:val="000000" w:themeColor="text1"/>
          <w:lang w:val="ru-RU"/>
        </w:rPr>
        <w:t xml:space="preserve"> гар</w:t>
      </w:r>
      <w:r w:rsidRPr="00A259BD">
        <w:rPr>
          <w:color w:val="000000" w:themeColor="text1"/>
          <w:lang w:val="ru-RU"/>
        </w:rPr>
        <w:softHyphen/>
        <w:t>низона уже убит, а его подчинённые частично разбежались, частично сдались в плен.</w:t>
      </w:r>
    </w:p>
    <w:p w14:paraId="274C3595" w14:textId="77777777" w:rsidR="009E1756" w:rsidRPr="00A259BD" w:rsidRDefault="009E1756" w:rsidP="009236E3">
      <w:pPr>
        <w:pStyle w:val="a3"/>
        <w:rPr>
          <w:color w:val="000000" w:themeColor="text1"/>
          <w:lang w:val="ru-RU"/>
        </w:rPr>
      </w:pPr>
      <w:r w:rsidRPr="00A259BD">
        <w:rPr>
          <w:color w:val="000000" w:themeColor="text1"/>
          <w:lang w:val="ru-RU"/>
        </w:rPr>
        <w:t xml:space="preserve">Наши </w:t>
      </w:r>
      <w:proofErr w:type="spellStart"/>
      <w:r w:rsidRPr="00A259BD">
        <w:rPr>
          <w:color w:val="000000" w:themeColor="text1"/>
          <w:lang w:val="ru-RU"/>
        </w:rPr>
        <w:t>авиаразведчики</w:t>
      </w:r>
      <w:proofErr w:type="spellEnd"/>
      <w:r w:rsidRPr="00A259BD">
        <w:rPr>
          <w:color w:val="000000" w:themeColor="text1"/>
          <w:lang w:val="ru-RU"/>
        </w:rPr>
        <w:t xml:space="preserve"> тоже с трудом отличали, где свои войска, а где — чужие, и вре</w:t>
      </w:r>
      <w:r w:rsidRPr="00A259BD">
        <w:rPr>
          <w:color w:val="000000" w:themeColor="text1"/>
          <w:lang w:val="ru-RU"/>
        </w:rPr>
        <w:softHyphen/>
        <w:t>менами сбрасывали вымпелы с разведданными противнику. В боевых порядках насту</w:t>
      </w:r>
      <w:r w:rsidRPr="00A259BD">
        <w:rPr>
          <w:color w:val="000000" w:themeColor="text1"/>
          <w:lang w:val="ru-RU"/>
        </w:rPr>
        <w:softHyphen/>
        <w:t xml:space="preserve">пающих частей должны были следовать сигнальные посты с так называемыми полотнищами </w:t>
      </w:r>
      <w:proofErr w:type="spellStart"/>
      <w:r w:rsidRPr="00A259BD">
        <w:rPr>
          <w:color w:val="000000" w:themeColor="text1"/>
          <w:lang w:val="ru-RU"/>
        </w:rPr>
        <w:t>Попхэма</w:t>
      </w:r>
      <w:proofErr w:type="spellEnd"/>
      <w:r w:rsidRPr="00A259BD">
        <w:rPr>
          <w:color w:val="000000" w:themeColor="text1"/>
          <w:lang w:val="ru-RU"/>
        </w:rPr>
        <w:t>, которыми полагалось выкладывать на земле условные знаки для самолётов. Однако они нередко отставали от передовых подразделений. Кавалеристам для распознавания с воздуха выдали специальные белые попоны из расчёта по одной на четыре—пять лошадей, но они быстро испачкались и сверху их было видно плохо.</w:t>
      </w:r>
    </w:p>
    <w:p w14:paraId="31B061B5" w14:textId="77777777" w:rsidR="009E1756" w:rsidRPr="00A259BD" w:rsidRDefault="009E1756" w:rsidP="009236E3">
      <w:pPr>
        <w:pStyle w:val="a3"/>
        <w:rPr>
          <w:color w:val="000000" w:themeColor="text1"/>
          <w:lang w:val="ru-RU"/>
        </w:rPr>
      </w:pPr>
      <w:r w:rsidRPr="00A259BD">
        <w:rPr>
          <w:color w:val="000000" w:themeColor="text1"/>
          <w:lang w:val="ru-RU"/>
        </w:rPr>
        <w:t xml:space="preserve">Радиосвязь с наземными частями отсутствовала. Радиостанций не хватало, например, на всю </w:t>
      </w:r>
      <w:proofErr w:type="spellStart"/>
      <w:r w:rsidRPr="00A259BD">
        <w:rPr>
          <w:color w:val="000000" w:themeColor="text1"/>
          <w:lang w:val="ru-RU"/>
        </w:rPr>
        <w:t>кавбрига</w:t>
      </w:r>
      <w:proofErr w:type="spellEnd"/>
      <w:r w:rsidRPr="00A259BD">
        <w:rPr>
          <w:color w:val="000000" w:themeColor="text1"/>
          <w:lang w:val="ru-RU"/>
        </w:rPr>
        <w:t>- ду имелся всего один передатчик, да и тот неис</w:t>
      </w:r>
      <w:r w:rsidRPr="00A259BD">
        <w:rPr>
          <w:color w:val="000000" w:themeColor="text1"/>
          <w:lang w:val="ru-RU"/>
        </w:rPr>
        <w:softHyphen/>
        <w:t>правный.</w:t>
      </w:r>
    </w:p>
    <w:p w14:paraId="56A128A8" w14:textId="77777777" w:rsidR="009E1756" w:rsidRPr="00A259BD" w:rsidRDefault="009E1756" w:rsidP="009236E3">
      <w:pPr>
        <w:pStyle w:val="a3"/>
        <w:rPr>
          <w:color w:val="000000" w:themeColor="text1"/>
          <w:lang w:val="ru-RU"/>
        </w:rPr>
      </w:pPr>
      <w:r w:rsidRPr="00A259BD">
        <w:rPr>
          <w:color w:val="000000" w:themeColor="text1"/>
          <w:lang w:val="ru-RU"/>
        </w:rPr>
        <w:t>К концу третье</w:t>
      </w:r>
      <w:r w:rsidRPr="00A259BD">
        <w:rPr>
          <w:color w:val="000000" w:themeColor="text1"/>
          <w:lang w:val="ru-RU"/>
        </w:rPr>
        <w:softHyphen/>
        <w:t>го дня операции в Даурии кончился бензин. Военным пришлось рекви</w:t>
      </w:r>
      <w:r w:rsidRPr="00A259BD">
        <w:rPr>
          <w:color w:val="000000" w:themeColor="text1"/>
          <w:lang w:val="ru-RU"/>
        </w:rPr>
        <w:softHyphen/>
        <w:t xml:space="preserve">зировать запасы </w:t>
      </w:r>
      <w:r w:rsidRPr="00A259BD">
        <w:rPr>
          <w:rStyle w:val="2pt1"/>
          <w:rFonts w:ascii="Times New Roman" w:hAnsi="Times New Roman" w:cs="Times New Roman"/>
          <w:color w:val="000000" w:themeColor="text1"/>
          <w:spacing w:val="0"/>
          <w:sz w:val="16"/>
          <w:szCs w:val="16"/>
          <w:lang w:val="ru-RU"/>
        </w:rPr>
        <w:t xml:space="preserve">гражданской </w:t>
      </w:r>
      <w:r w:rsidRPr="00A259BD">
        <w:rPr>
          <w:rStyle w:val="1pt2"/>
          <w:rFonts w:ascii="Times New Roman" w:hAnsi="Times New Roman" w:cs="Times New Roman"/>
          <w:color w:val="000000" w:themeColor="text1"/>
          <w:spacing w:val="0"/>
          <w:sz w:val="16"/>
          <w:szCs w:val="16"/>
          <w:lang w:val="ru-RU"/>
        </w:rPr>
        <w:t xml:space="preserve">авиакомпании </w:t>
      </w:r>
      <w:r w:rsidRPr="00A259BD">
        <w:rPr>
          <w:color w:val="000000" w:themeColor="text1"/>
          <w:lang w:val="ru-RU"/>
        </w:rPr>
        <w:t>«</w:t>
      </w:r>
      <w:proofErr w:type="spellStart"/>
      <w:r w:rsidRPr="00A259BD">
        <w:rPr>
          <w:color w:val="000000" w:themeColor="text1"/>
          <w:lang w:val="ru-RU"/>
        </w:rPr>
        <w:t>Добролёт</w:t>
      </w:r>
      <w:proofErr w:type="spellEnd"/>
      <w:r w:rsidRPr="00A259BD">
        <w:rPr>
          <w:color w:val="000000" w:themeColor="text1"/>
          <w:lang w:val="ru-RU"/>
        </w:rPr>
        <w:t>». Рас</w:t>
      </w:r>
      <w:r w:rsidRPr="00A259BD">
        <w:rPr>
          <w:color w:val="000000" w:themeColor="text1"/>
          <w:lang w:val="ru-RU"/>
        </w:rPr>
        <w:softHyphen/>
        <w:t>ход бомб превы</w:t>
      </w:r>
      <w:r w:rsidRPr="00A259BD">
        <w:rPr>
          <w:color w:val="000000" w:themeColor="text1"/>
          <w:lang w:val="ru-RU"/>
        </w:rPr>
        <w:softHyphen/>
        <w:t>шал расчётный.</w:t>
      </w:r>
    </w:p>
    <w:p w14:paraId="7FA18EF1" w14:textId="77777777" w:rsidR="009E1756" w:rsidRPr="00A259BD" w:rsidRDefault="009E1756" w:rsidP="009236E3">
      <w:pPr>
        <w:pStyle w:val="a3"/>
        <w:rPr>
          <w:color w:val="000000" w:themeColor="text1"/>
          <w:lang w:val="ru-RU"/>
        </w:rPr>
      </w:pPr>
      <w:r w:rsidRPr="00A259BD">
        <w:rPr>
          <w:color w:val="000000" w:themeColor="text1"/>
          <w:lang w:val="ru-RU"/>
        </w:rPr>
        <w:t>Не успевали подвозить продовольствие: на завтрак лётчикам давали только хлеб с мас</w:t>
      </w:r>
      <w:r w:rsidRPr="00A259BD">
        <w:rPr>
          <w:color w:val="000000" w:themeColor="text1"/>
          <w:lang w:val="ru-RU"/>
        </w:rPr>
        <w:softHyphen/>
        <w:t>лом и чай.</w:t>
      </w:r>
    </w:p>
    <w:p w14:paraId="73F5B28D" w14:textId="77777777" w:rsidR="009E1756" w:rsidRPr="00A259BD" w:rsidRDefault="009E1756" w:rsidP="009236E3">
      <w:pPr>
        <w:pStyle w:val="a3"/>
        <w:rPr>
          <w:color w:val="000000" w:themeColor="text1"/>
          <w:lang w:val="ru-RU"/>
        </w:rPr>
      </w:pPr>
      <w:r w:rsidRPr="00A259BD">
        <w:rPr>
          <w:color w:val="000000" w:themeColor="text1"/>
          <w:lang w:val="ru-RU"/>
        </w:rPr>
        <w:t>Проблемы создавала зима. Хотя самолеты высоко не поднимались, и на средних высо</w:t>
      </w:r>
      <w:r w:rsidRPr="00A259BD">
        <w:rPr>
          <w:color w:val="000000" w:themeColor="text1"/>
          <w:lang w:val="ru-RU"/>
        </w:rPr>
        <w:softHyphen/>
        <w:t>тах в ноябре было отнюдь не жарко. При этом некоторые работы трудно было выполнять в перчатках. Например, готовить к сбросу вымпелы или наносить пометки в планшете.</w:t>
      </w:r>
    </w:p>
    <w:p w14:paraId="33CFC6EE" w14:textId="77777777" w:rsidR="009E1756" w:rsidRPr="00A259BD" w:rsidRDefault="009E1756" w:rsidP="009236E3">
      <w:pPr>
        <w:pStyle w:val="a3"/>
        <w:rPr>
          <w:color w:val="000000" w:themeColor="text1"/>
          <w:lang w:val="ru-RU"/>
        </w:rPr>
      </w:pPr>
      <w:r w:rsidRPr="00A259BD">
        <w:rPr>
          <w:color w:val="000000" w:themeColor="text1"/>
          <w:lang w:val="ru-RU"/>
        </w:rPr>
        <w:t>Чтобы управление не заедало из-за загустевшего масла, всю смазку с тросов смыли керосином, а чтобы масло не замерзло в проводке к манометру, в трубопровод тоже добавляли керосин. Уже при 15 градусах мороза приборы на Р-1 начинали врать, уро</w:t>
      </w:r>
      <w:r w:rsidRPr="00A259BD">
        <w:rPr>
          <w:color w:val="000000" w:themeColor="text1"/>
          <w:lang w:val="ru-RU"/>
        </w:rPr>
        <w:softHyphen/>
        <w:t>вень спирта в компасах опускался, появлялись воздушные пузыри, делавшие стрелку невидимой. При 25 градусах замерзал хронометр на приборной доске (а наручные или карманные часы тогда были редкостью). При этой же температуре переставала рабо</w:t>
      </w:r>
      <w:r w:rsidRPr="00A259BD">
        <w:rPr>
          <w:color w:val="000000" w:themeColor="text1"/>
          <w:lang w:val="ru-RU"/>
        </w:rPr>
        <w:softHyphen/>
        <w:t>тать перемотка пленки в аэрофотоаппаратах «</w:t>
      </w:r>
      <w:proofErr w:type="spellStart"/>
      <w:r w:rsidRPr="00A259BD">
        <w:rPr>
          <w:color w:val="000000" w:themeColor="text1"/>
          <w:lang w:val="ru-RU"/>
        </w:rPr>
        <w:t>Поттэ</w:t>
      </w:r>
      <w:proofErr w:type="spellEnd"/>
      <w:r w:rsidRPr="00A259BD">
        <w:rPr>
          <w:color w:val="000000" w:themeColor="text1"/>
          <w:lang w:val="ru-RU"/>
        </w:rPr>
        <w:t>». Ещё раньше замерзала резино</w:t>
      </w:r>
      <w:r w:rsidRPr="00A259BD">
        <w:rPr>
          <w:color w:val="000000" w:themeColor="text1"/>
          <w:lang w:val="ru-RU"/>
        </w:rPr>
        <w:softHyphen/>
        <w:t xml:space="preserve">вая «груша», при помощи которой летнаб приводил в действие </w:t>
      </w:r>
      <w:proofErr w:type="spellStart"/>
      <w:r w:rsidRPr="00A259BD">
        <w:rPr>
          <w:color w:val="000000" w:themeColor="text1"/>
          <w:lang w:val="ru-RU"/>
        </w:rPr>
        <w:t>пневмозатвор</w:t>
      </w:r>
      <w:proofErr w:type="spellEnd"/>
      <w:r w:rsidRPr="00A259BD">
        <w:rPr>
          <w:color w:val="000000" w:themeColor="text1"/>
          <w:lang w:val="ru-RU"/>
        </w:rPr>
        <w:t xml:space="preserve"> аппарата. Но этот вопрос решился просто: перед съёмкой летнаб для обогрева засовывал «клизму» себе в штаны.</w:t>
      </w:r>
    </w:p>
    <w:p w14:paraId="450F6E1B" w14:textId="77777777" w:rsidR="009E1756" w:rsidRPr="00A259BD" w:rsidRDefault="009E1756" w:rsidP="009236E3">
      <w:pPr>
        <w:pStyle w:val="a3"/>
        <w:rPr>
          <w:color w:val="000000" w:themeColor="text1"/>
          <w:lang w:val="ru-RU"/>
        </w:rPr>
      </w:pPr>
      <w:r w:rsidRPr="00A259BD">
        <w:rPr>
          <w:color w:val="000000" w:themeColor="text1"/>
          <w:lang w:val="ru-RU"/>
        </w:rPr>
        <w:t>Из-за холодов много времени занимала подготовка самолётов к полётам. Воду и мас</w:t>
      </w:r>
      <w:r w:rsidRPr="00A259BD">
        <w:rPr>
          <w:color w:val="000000" w:themeColor="text1"/>
          <w:lang w:val="ru-RU"/>
        </w:rPr>
        <w:softHyphen/>
        <w:t xml:space="preserve">ло приходилось греть в «гончарках» (обогревателях Гончарова), но они работали плохо — шланги лопались, краны замерзали. Тогда в качестве </w:t>
      </w:r>
      <w:proofErr w:type="spellStart"/>
      <w:r w:rsidRPr="00A259BD">
        <w:rPr>
          <w:color w:val="000000" w:themeColor="text1"/>
          <w:lang w:val="ru-RU"/>
        </w:rPr>
        <w:t>водомаслогреек</w:t>
      </w:r>
      <w:proofErr w:type="spellEnd"/>
      <w:r w:rsidRPr="00A259BD">
        <w:rPr>
          <w:color w:val="000000" w:themeColor="text1"/>
          <w:lang w:val="ru-RU"/>
        </w:rPr>
        <w:t xml:space="preserve"> приспособили полевые кухни.</w:t>
      </w:r>
    </w:p>
    <w:p w14:paraId="7BFFCCE2" w14:textId="77777777" w:rsidR="009E1756" w:rsidRPr="00A259BD" w:rsidRDefault="009E1756" w:rsidP="009236E3">
      <w:pPr>
        <w:pStyle w:val="a3"/>
        <w:rPr>
          <w:color w:val="000000" w:themeColor="text1"/>
          <w:lang w:val="ru-RU"/>
        </w:rPr>
      </w:pPr>
      <w:r w:rsidRPr="00A259BD">
        <w:rPr>
          <w:color w:val="000000" w:themeColor="text1"/>
          <w:lang w:val="ru-RU"/>
        </w:rPr>
        <w:t>При запуске двигателей винты дергали, выстраивая цепочки из 3-4 человек. Обмунди</w:t>
      </w:r>
      <w:r w:rsidRPr="00A259BD">
        <w:rPr>
          <w:color w:val="000000" w:themeColor="text1"/>
          <w:lang w:val="ru-RU"/>
        </w:rPr>
        <w:softHyphen/>
        <w:t>рование наземного состава было совершенно непригодно для проведения более—ме</w:t>
      </w:r>
      <w:r w:rsidRPr="00A259BD">
        <w:rPr>
          <w:color w:val="000000" w:themeColor="text1"/>
          <w:lang w:val="ru-RU"/>
        </w:rPr>
        <w:softHyphen/>
        <w:t>нее точных работ зимой. Из-за боязни обморозить оружейников иногда отказывались от замены уже подвешенных под самолёты боеприпасов на более подходящие: летали бом</w:t>
      </w:r>
      <w:r w:rsidRPr="00A259BD">
        <w:rPr>
          <w:color w:val="000000" w:themeColor="text1"/>
          <w:lang w:val="ru-RU"/>
        </w:rPr>
        <w:softHyphen/>
        <w:t xml:space="preserve">бить пехоту фугасками, а на </w:t>
      </w:r>
      <w:proofErr w:type="spellStart"/>
      <w:r w:rsidRPr="00A259BD">
        <w:rPr>
          <w:color w:val="000000" w:themeColor="text1"/>
          <w:lang w:val="ru-RU"/>
        </w:rPr>
        <w:t>Чжалайнор</w:t>
      </w:r>
      <w:proofErr w:type="spellEnd"/>
      <w:r w:rsidRPr="00A259BD">
        <w:rPr>
          <w:color w:val="000000" w:themeColor="text1"/>
          <w:lang w:val="ru-RU"/>
        </w:rPr>
        <w:t xml:space="preserve"> сбросили много мелких осколочных бомбочек АО-8, малоэффективных против городских построек и укреплений. На подготовку груп</w:t>
      </w:r>
      <w:r w:rsidRPr="00A259BD">
        <w:rPr>
          <w:color w:val="000000" w:themeColor="text1"/>
          <w:lang w:val="ru-RU"/>
        </w:rPr>
        <w:softHyphen/>
        <w:t>пы из 12-14 Р-1 уходило до двух часов. Для того чтобы сохранить готовность машин к вылету по приказу, приходилось запускать и прогревать моторы каждые 15-20 минут (15819).</w:t>
      </w:r>
    </w:p>
    <w:p w14:paraId="1F63FA75" w14:textId="77777777" w:rsidR="009E1756" w:rsidRPr="00A259BD" w:rsidRDefault="009E1756" w:rsidP="009236E3">
      <w:pPr>
        <w:pStyle w:val="a3"/>
        <w:rPr>
          <w:color w:val="000000" w:themeColor="text1"/>
          <w:lang w:val="ru-RU"/>
        </w:rPr>
      </w:pPr>
    </w:p>
    <w:p w14:paraId="598C13D3"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DE15DC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9D7196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20 ноября 1929 года по 31 марта 1930 года самолет ТБ-1 № 602 в 51-ю эскадрилью (Воронеж) в ходе технических и эксплуатационных испытаний совершил 78 полетов продолжительностью 20 часов 07 минут. Общий налет самолета до начала войсковых испытательных полетов: 118 полетов продолжительностью 51 час 45 минут (6842).</w:t>
      </w:r>
    </w:p>
    <w:p w14:paraId="4BF7096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303457" w14:textId="77777777" w:rsidR="00F547C5" w:rsidRPr="00A259BD" w:rsidRDefault="002E2A19" w:rsidP="009236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754E6D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0F59BFFD" w14:textId="77777777" w:rsidR="00F86546" w:rsidRPr="00A259BD" w:rsidRDefault="00F86546" w:rsidP="009236E3">
      <w:pPr>
        <w:pStyle w:val="ae"/>
        <w:shd w:val="clear" w:color="auto" w:fill="FFFFFF"/>
        <w:spacing w:before="0" w:after="0"/>
        <w:jc w:val="both"/>
        <w:rPr>
          <w:color w:val="000000" w:themeColor="text1"/>
          <w:sz w:val="16"/>
          <w:szCs w:val="16"/>
        </w:rPr>
      </w:pPr>
      <w:r w:rsidRPr="00A259BD">
        <w:rPr>
          <w:color w:val="000000" w:themeColor="text1"/>
          <w:sz w:val="16"/>
          <w:szCs w:val="16"/>
        </w:rPr>
        <w:t>20 ноября 1929 г. приказом РВС СССР No.360/78 была учреждена должность начальника вооружений РККА. По положению, объявленному приказом РВС СССР No.372/84 от 28 ноября 1929 г., на него возлагались: разработка системы вооружения РККА, руководство усовершенствованием и введением новых образцов вооружения и военной техники, разработка перспективных планов обеспечения РККА вооружением, контроль за выполнением военных заказов промышленными предприятиями, наблюдение за работой Распорядительного заседания СТО, мобилизационно-планового сектора ВСНХ, за научной и конструкторской работой научно-исследовательских институтов и конструкторских бюро. Начальник вооружений подчинялся непосредственно наркому по военным и морским делам, а с июля 1930 г. стал заместителем наркома Ему подчинялись Артиллерийское, Военно-техническое, Военно-химическое управления, Управление механизации и моторизации РККА, Военно-техническая академия; рабочим аппаратом являлся технический штаб.</w:t>
      </w:r>
    </w:p>
    <w:p w14:paraId="012715AB" w14:textId="77777777" w:rsidR="00F86546" w:rsidRPr="00A259BD" w:rsidRDefault="00F86546" w:rsidP="009236E3">
      <w:pPr>
        <w:pStyle w:val="ae"/>
        <w:shd w:val="clear" w:color="auto" w:fill="FFFFFF"/>
        <w:spacing w:before="0" w:after="0"/>
        <w:jc w:val="both"/>
        <w:rPr>
          <w:color w:val="000000" w:themeColor="text1"/>
          <w:sz w:val="16"/>
          <w:szCs w:val="16"/>
        </w:rPr>
      </w:pPr>
      <w:r w:rsidRPr="00A259BD">
        <w:rPr>
          <w:color w:val="000000" w:themeColor="text1"/>
          <w:sz w:val="16"/>
          <w:szCs w:val="16"/>
        </w:rPr>
        <w:t xml:space="preserve">  В период с 1930 по 1933 г. последовал ряд организационно-функциональных изменений в аппарате управления начальника вооружений, которые были закреплены новым положением, введенным приказом РВС СССР No.037 от 3 августа 1933 г., и положением об НКО СССР от 22 ноября 1934 г. На начальника вооружений возлагалось руководство строительством всей системы вооружения РККА, наиболее эффективным размещением в военных конструкциях авиационного, бронетанкового, артиллерийского, химического и технического вооружения. Ему непосредственно подчинялись управления: Главное артиллерийское, Военно-химическое, Связи, Военных изобретений, отдел стандартов и </w:t>
      </w:r>
      <w:proofErr w:type="spellStart"/>
      <w:r w:rsidRPr="00A259BD">
        <w:rPr>
          <w:color w:val="000000" w:themeColor="text1"/>
          <w:sz w:val="16"/>
          <w:szCs w:val="16"/>
        </w:rPr>
        <w:t>суррогатирования</w:t>
      </w:r>
      <w:proofErr w:type="spellEnd"/>
      <w:r w:rsidRPr="00A259BD">
        <w:rPr>
          <w:color w:val="000000" w:themeColor="text1"/>
          <w:sz w:val="16"/>
          <w:szCs w:val="16"/>
        </w:rPr>
        <w:t>, а по вопросам вооружения-центральные управления РККА и начальники родов войск. В ноябре 1934 г. было подчинено Управление телемеханики РККА,</w:t>
      </w:r>
    </w:p>
    <w:p w14:paraId="537702E8" w14:textId="77777777" w:rsidR="00F86546" w:rsidRPr="00A259BD" w:rsidRDefault="00F86546" w:rsidP="009236E3">
      <w:pPr>
        <w:pStyle w:val="ae"/>
        <w:shd w:val="clear" w:color="auto" w:fill="FFFFFF"/>
        <w:spacing w:before="0" w:after="0"/>
        <w:jc w:val="both"/>
        <w:rPr>
          <w:color w:val="000000" w:themeColor="text1"/>
          <w:sz w:val="16"/>
          <w:szCs w:val="16"/>
        </w:rPr>
      </w:pPr>
      <w:r w:rsidRPr="00A259BD">
        <w:rPr>
          <w:color w:val="000000" w:themeColor="text1"/>
          <w:sz w:val="16"/>
          <w:szCs w:val="16"/>
        </w:rPr>
        <w:t>  Приказом НКО No.055 от 9 апреля 1936 г. было образовано Главное управление вооружения и технического снабжения РККА, во главе его был поставлен начальник вооружений РККА, должность которого получила наименование начальника вооружения и технического снабжения РККА. Помимо прежних функций на него возлагалось планирование всего материально-технического снабжения армии. Он объединял и руководил деятельностью Артиллерийского, Автобронетанкового, Инженерного, Технического, Химического управлений, Управлений связи и Снабжения горючим РККА,</w:t>
      </w:r>
    </w:p>
    <w:p w14:paraId="17B76A8E" w14:textId="77777777" w:rsidR="00F86546" w:rsidRPr="00A259BD" w:rsidRDefault="00F86546" w:rsidP="009236E3">
      <w:pPr>
        <w:pStyle w:val="ae"/>
        <w:shd w:val="clear" w:color="auto" w:fill="FFFFFF"/>
        <w:spacing w:before="0" w:after="0"/>
        <w:jc w:val="both"/>
        <w:rPr>
          <w:color w:val="000000" w:themeColor="text1"/>
          <w:sz w:val="16"/>
          <w:szCs w:val="16"/>
        </w:rPr>
      </w:pPr>
      <w:r w:rsidRPr="00A259BD">
        <w:rPr>
          <w:color w:val="000000" w:themeColor="text1"/>
          <w:sz w:val="16"/>
          <w:szCs w:val="16"/>
        </w:rPr>
        <w:t>  Приказом НКО No.0114 от 26 июля 1937 г. должность упразднена, аппарат управления реорганизован и передан ряду центральных управлений Красной Армии (20986).</w:t>
      </w:r>
    </w:p>
    <w:p w14:paraId="727F9A95" w14:textId="77777777" w:rsidR="00F86546" w:rsidRPr="00A259BD" w:rsidRDefault="00F86546" w:rsidP="009236E3">
      <w:pPr>
        <w:spacing w:after="0" w:line="240" w:lineRule="auto"/>
        <w:jc w:val="both"/>
        <w:rPr>
          <w:rFonts w:ascii="Times New Roman" w:hAnsi="Times New Roman"/>
          <w:color w:val="000000" w:themeColor="text1"/>
          <w:sz w:val="16"/>
          <w:szCs w:val="16"/>
        </w:rPr>
      </w:pPr>
    </w:p>
    <w:p w14:paraId="6F289BE5" w14:textId="77777777" w:rsidR="00D56121" w:rsidRPr="00A259BD" w:rsidRDefault="00D56121" w:rsidP="009236E3">
      <w:pPr>
        <w:spacing w:after="0" w:line="240" w:lineRule="auto"/>
        <w:jc w:val="both"/>
        <w:rPr>
          <w:rStyle w:val="af0"/>
          <w:rFonts w:ascii="Times New Roman" w:hAnsi="Times New Roman"/>
          <w:i w:val="0"/>
          <w:color w:val="000000" w:themeColor="text1"/>
          <w:sz w:val="16"/>
          <w:szCs w:val="16"/>
        </w:rPr>
      </w:pPr>
      <w:r w:rsidRPr="00A259BD">
        <w:rPr>
          <w:rFonts w:ascii="Times New Roman" w:hAnsi="Times New Roman"/>
          <w:bCs/>
          <w:color w:val="000000" w:themeColor="text1"/>
          <w:sz w:val="16"/>
          <w:szCs w:val="16"/>
        </w:rPr>
        <w:t xml:space="preserve">20 ноября 1929 г. — Письмо начальника Управления по механизации и моторизации РККА И. А. </w:t>
      </w:r>
      <w:proofErr w:type="spellStart"/>
      <w:r w:rsidRPr="00A259BD">
        <w:rPr>
          <w:rFonts w:ascii="Times New Roman" w:hAnsi="Times New Roman"/>
          <w:bCs/>
          <w:color w:val="000000" w:themeColor="text1"/>
          <w:sz w:val="16"/>
          <w:szCs w:val="16"/>
        </w:rPr>
        <w:t>Халепского</w:t>
      </w:r>
      <w:proofErr w:type="spellEnd"/>
      <w:r w:rsidRPr="00A259BD">
        <w:rPr>
          <w:rFonts w:ascii="Times New Roman" w:hAnsi="Times New Roman"/>
          <w:bCs/>
          <w:color w:val="000000" w:themeColor="text1"/>
          <w:sz w:val="16"/>
          <w:szCs w:val="16"/>
        </w:rPr>
        <w:t xml:space="preserve"> председателю ВСНХ СССР В. В. Куйбышеву о развитии моторного производства и концентрации конструкторских и исследовательских сил</w:t>
      </w:r>
    </w:p>
    <w:p w14:paraId="03F19F93"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Секретно.</w:t>
      </w:r>
    </w:p>
    <w:p w14:paraId="678375C9"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Лично.</w:t>
      </w:r>
    </w:p>
    <w:p w14:paraId="394A8061"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Уважаемый товарищ.</w:t>
      </w:r>
    </w:p>
    <w:p w14:paraId="7A2BD357"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 xml:space="preserve">В настоящее время Революционным военным советом Союза разрабатывается вопрос промышленного задания по тракторному делу для промышленности. Практическим выполнителем этой задачи является вновь формируемое Управление по механизации и моторизации армии, мною возглавляемое. Приступая к проработке вышеуказанного вопроса, мною проанализирована и изучена программа тракторостроения и всех намечаемых типов тракторов к постройке на проектируемых тракторных заводах Союза. Не входя в обсуждение количества выпуска на том или ином тракторном заводе, ибо намечаемая программа такова, что открывает огромные перспективы развертывания моторизированных частей армии в существующую пятилетку, я считаю необходимым довести до Вашего личного сведения в отношении утверждения самих типов тракторов, которые намечает </w:t>
      </w:r>
      <w:proofErr w:type="spellStart"/>
      <w:r w:rsidRPr="00A259BD">
        <w:rPr>
          <w:color w:val="000000" w:themeColor="text1"/>
          <w:sz w:val="16"/>
          <w:szCs w:val="16"/>
        </w:rPr>
        <w:t>Главмашинстрой</w:t>
      </w:r>
      <w:proofErr w:type="spellEnd"/>
      <w:r w:rsidRPr="00A259BD">
        <w:rPr>
          <w:color w:val="000000" w:themeColor="text1"/>
          <w:sz w:val="16"/>
          <w:szCs w:val="16"/>
        </w:rPr>
        <w:t xml:space="preserve"> к производству.</w:t>
      </w:r>
    </w:p>
    <w:p w14:paraId="7E57A318"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Тов. </w:t>
      </w:r>
      <w:proofErr w:type="spellStart"/>
      <w:r w:rsidR="00000000">
        <w:fldChar w:fldCharType="begin"/>
      </w:r>
      <w:r w:rsidR="00000000">
        <w:instrText>HYPERLINK "http://www.az-libr.ru/Persons/000/Src/0004/08143220.shtml"</w:instrText>
      </w:r>
      <w:r w:rsidR="00000000">
        <w:fldChar w:fldCharType="separate"/>
      </w:r>
      <w:r w:rsidRPr="00A259BD">
        <w:rPr>
          <w:color w:val="000000" w:themeColor="text1"/>
          <w:sz w:val="16"/>
          <w:szCs w:val="16"/>
        </w:rPr>
        <w:t>Толоконцев</w:t>
      </w:r>
      <w:proofErr w:type="spellEnd"/>
      <w:r w:rsidR="00000000">
        <w:rPr>
          <w:color w:val="000000" w:themeColor="text1"/>
          <w:sz w:val="16"/>
          <w:szCs w:val="16"/>
        </w:rPr>
        <w:fldChar w:fldCharType="end"/>
      </w:r>
      <w:r w:rsidRPr="00A259BD">
        <w:rPr>
          <w:color w:val="000000" w:themeColor="text1"/>
          <w:sz w:val="16"/>
          <w:szCs w:val="16"/>
        </w:rPr>
        <w:t>, как это мне известно, намечает следующую программу:</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5"/>
        <w:gridCol w:w="9450"/>
        <w:gridCol w:w="1427"/>
      </w:tblGrid>
      <w:tr w:rsidR="00A259BD" w:rsidRPr="00A259BD" w14:paraId="3BB99D43"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0318BE8B"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6752807C"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7F268"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Тип трактора и завод, его изготовляющий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B7D10"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Мощность</w:t>
            </w:r>
          </w:p>
        </w:tc>
      </w:tr>
      <w:tr w:rsidR="00A259BD" w:rsidRPr="00A259BD" w14:paraId="36A24FF4"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5AD2F3FF"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7639D"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ФИ — колесный, завод «Красный Путиловец» в Ленинграде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5600A"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10-20</w:t>
            </w:r>
          </w:p>
        </w:tc>
      </w:tr>
      <w:tr w:rsidR="00A259BD" w:rsidRPr="00A259BD" w14:paraId="0B4D9C77"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0BE201E9"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FF8F2"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«Интернационал» — колесный, завод им. Дзержинского в Сталинграде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E49AE"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15-30</w:t>
            </w:r>
          </w:p>
        </w:tc>
      </w:tr>
      <w:tr w:rsidR="00A259BD" w:rsidRPr="00A259BD" w14:paraId="2E7A215E"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3B782546"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AB012"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«Катерпиллер» — гусеничный в Челябинске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15A82"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30-40</w:t>
            </w:r>
          </w:p>
        </w:tc>
      </w:tr>
      <w:tr w:rsidR="00A259BD" w:rsidRPr="00A259BD" w14:paraId="43F33518"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1E5EDB75"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5D5D8"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«Катерпиллер» — гусеничный в Челябинске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99E1B"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50-60</w:t>
            </w:r>
          </w:p>
        </w:tc>
      </w:tr>
      <w:tr w:rsidR="00A259BD" w:rsidRPr="00A259BD" w14:paraId="0A07A128"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6448B7E7"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3FF1F"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«Коммунар» — гусеничный в Харькове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F18CE"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50-60</w:t>
            </w:r>
          </w:p>
        </w:tc>
      </w:tr>
      <w:tr w:rsidR="00A259BD" w:rsidRPr="00A259BD" w14:paraId="39F5D715"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61BE3AFE"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A1CB4"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Тяжелый — гусеничный в Харькове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C1DF4"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100-120</w:t>
            </w:r>
          </w:p>
        </w:tc>
      </w:tr>
    </w:tbl>
    <w:p w14:paraId="2749185F"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Если проектируемые типы тракторов попытаться сочетать с программой производства танкостроения и самоходных установок принятой системы танко-тракторного вооружения РВС Союза и утвержденной директивными органами и РЗ СТО, мы явно обнаруживаем полное несоответствие той проектируемой материально-технической базы по тракторному строительству, на которой только и возможно осуществить все задачи, связанные с танко-тракторным вооружением армии.</w:t>
      </w:r>
    </w:p>
    <w:p w14:paraId="3A38C2E3"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Приведенная таблица, характеризуя собою мощности моторов и скорости движения тракторов, ни в какой мере не отвечает тактическим требованиям моторизированных частей, где трактор должен являться видом моторизированной повозки боевого сопровождения. Больше того, тракторостроение должно являться основной производственной базой танкостроения.</w:t>
      </w:r>
    </w:p>
    <w:p w14:paraId="2E995828"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lastRenderedPageBreak/>
        <w:t>В данном утверждении мы можем убедиться в анализе моторизации частей европейских армий и САСШ. В странах Европы и Америки так называемые коммерческие двигатели автотракторного производства нашли весьма широкое применение в своих конструкциях в пользовании их для моторизации армии.</w:t>
      </w:r>
    </w:p>
    <w:p w14:paraId="4BD7BA44"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А что делается у нас: тип трактора «Фордзон» с программой выпуска нескольких десятков тысяч в год по своим тяговым свойствам и колесной конструкции для армии не нужен и уже сейчас из всех мобилизационных планов вычеркнут. Тип трактора «Интернационал» в настоящее время подготавливается к 20</w:t>
      </w:r>
      <w:r w:rsidRPr="00A259BD">
        <w:rPr>
          <w:color w:val="000000" w:themeColor="text1"/>
          <w:sz w:val="16"/>
          <w:szCs w:val="16"/>
        </w:rPr>
        <w:noBreakHyphen/>
        <w:t>тысячной программе выпуска, также маломощный и благодаря только колесной конструкции отвечает армейским требованиям. Между прочим, если бы в начале проектирования Сталинградского завода предусмотреть требования к трактору и с точки зрения использования его для обороны, то мы бы избежали уже имевших место ошибок с «Фордзоном». Несмотря на это, мы все-таки продолжаем усугублять положение дела и с дальнейшим выбором типов тракторов по проектируемым тракторным заводам в Харькове и Челябинске, ибо для меня абсолютно непонятно даже с точки зрения сельскохозяйственной машинизации, зачем это нужно иметь тип «Катерпиллер» в 40 сил, если проектируется «Катерпиллер» в 60 сил. Во-первых, первый тип, совсем незначительно превышающий мощность «Интернационала» (мощнее на 10 сил); во-вторых, слабее только на 20 сил второго. Не правильнее ли было бы путем конструктивного видоизменения поднять мощность «Интернационала» до 45 сил, что технически, возможно, увеличит производственную программу, и «Интернационал» строить не только колесный, но и с гусеничным ходом.</w:t>
      </w:r>
    </w:p>
    <w:p w14:paraId="2E11A456"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Мое мнение, что в Челябинске вместо проектируемого производства двух типов «Катерпиллера» в 40 и 60 сил строить только 60</w:t>
      </w:r>
      <w:r w:rsidRPr="00A259BD">
        <w:rPr>
          <w:color w:val="000000" w:themeColor="text1"/>
          <w:sz w:val="16"/>
          <w:szCs w:val="16"/>
        </w:rPr>
        <w:noBreakHyphen/>
        <w:t>65 сил и вместо 40 сил строить 110</w:t>
      </w:r>
      <w:r w:rsidRPr="00A259BD">
        <w:rPr>
          <w:color w:val="000000" w:themeColor="text1"/>
          <w:sz w:val="16"/>
          <w:szCs w:val="16"/>
        </w:rPr>
        <w:noBreakHyphen/>
        <w:t>120 сил. На Харьковском заводе поставить производство 180</w:t>
      </w:r>
      <w:r w:rsidRPr="00A259BD">
        <w:rPr>
          <w:color w:val="000000" w:themeColor="text1"/>
          <w:sz w:val="16"/>
          <w:szCs w:val="16"/>
        </w:rPr>
        <w:noBreakHyphen/>
        <w:t>200 сил. Вот схема принципиальной установки мощности тяговых усилий, которая, с моей точки зрения, будет отвечать и интересам промышленно-сельскохозяйственным, и обороны страны.</w:t>
      </w:r>
    </w:p>
    <w:p w14:paraId="75DA44B7"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 xml:space="preserve">Кроме того, я полагаю, что </w:t>
      </w:r>
      <w:proofErr w:type="spellStart"/>
      <w:r w:rsidRPr="00A259BD">
        <w:rPr>
          <w:color w:val="000000" w:themeColor="text1"/>
          <w:sz w:val="16"/>
          <w:szCs w:val="16"/>
        </w:rPr>
        <w:t>Главмашинстрой</w:t>
      </w:r>
      <w:proofErr w:type="spellEnd"/>
      <w:r w:rsidRPr="00A259BD">
        <w:rPr>
          <w:color w:val="000000" w:themeColor="text1"/>
          <w:sz w:val="16"/>
          <w:szCs w:val="16"/>
        </w:rPr>
        <w:t xml:space="preserve"> в своей принципиальной установке (см. таблицу) проектирует свою программу весьма бесперспективно по тяговой мощности тракторных моторов. Их программа — сегодняшнего дня, ибо следующую пятилетку, несомненно, будут знаменовать собою десятки сотен весьма мощных, типа «Гигант», хозяйств и плюс к этому требования лесной и пр...³* промышленности — потребует, несомненно, мощного трактора, о чем совсем не говорят намеченные типы к постройке.</w:t>
      </w:r>
    </w:p>
    <w:p w14:paraId="518B19A4"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 xml:space="preserve">Кстати сказать, когда проектировались тракторы «Коммунар» и «Большевик», то </w:t>
      </w:r>
      <w:proofErr w:type="spellStart"/>
      <w:r w:rsidRPr="00A259BD">
        <w:rPr>
          <w:color w:val="000000" w:themeColor="text1"/>
          <w:sz w:val="16"/>
          <w:szCs w:val="16"/>
        </w:rPr>
        <w:t>военвед</w:t>
      </w:r>
      <w:proofErr w:type="spellEnd"/>
      <w:r w:rsidRPr="00A259BD">
        <w:rPr>
          <w:color w:val="000000" w:themeColor="text1"/>
          <w:sz w:val="16"/>
          <w:szCs w:val="16"/>
        </w:rPr>
        <w:t xml:space="preserve"> так же, как и сейчас, настаивал и настоял на производстве мощных типов в интересах обороны страны, доказывая вместе с тем, что эти типы с большим успехом будут использованы для машинизации сельскохозяйственных и промышленных целей. Наркомзем категорически протестовал и заявлял, что это будет грозить срывом машинизации сельского хозяйства и что такой тип, кроме военного ведомства, никому не нужен. Жизнь опровергла сомнения Наркомзема, и сейчас тракторы «Коммунар» и «Большевик» распределяются по разверстке правительства между хозяйственными органами и требованиями </w:t>
      </w:r>
      <w:proofErr w:type="spellStart"/>
      <w:r w:rsidRPr="00A259BD">
        <w:rPr>
          <w:color w:val="000000" w:themeColor="text1"/>
          <w:sz w:val="16"/>
          <w:szCs w:val="16"/>
        </w:rPr>
        <w:t>военведа</w:t>
      </w:r>
      <w:proofErr w:type="spellEnd"/>
      <w:r w:rsidRPr="00A259BD">
        <w:rPr>
          <w:color w:val="000000" w:themeColor="text1"/>
          <w:sz w:val="16"/>
          <w:szCs w:val="16"/>
        </w:rPr>
        <w:t>. Мне думается, что данный неоспоримый факт должен быть весьма поучительным при существующих наметках по установлению типов.</w:t>
      </w:r>
    </w:p>
    <w:p w14:paraId="6063777A"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Из всего вышесказанного делаю следующие выводы:</w:t>
      </w:r>
    </w:p>
    <w:p w14:paraId="62EB676C"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1. Учитывая оборону Союза, при развертывании тракторного производства, дабы добиться наилучшей гибкости в моторо-тракторостроении, не меняя дислокации намеченных тракторных заводов, построить единый специальный завод моторов.</w:t>
      </w:r>
    </w:p>
    <w:p w14:paraId="7BEB8DD8"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В данном случае примером может служить Америка, где существуют десятки таких заводов, которые строят только моторы, как, например, «Геркулес», «Буда» и тот же «</w:t>
      </w:r>
      <w:proofErr w:type="spellStart"/>
      <w:r w:rsidRPr="00A259BD">
        <w:rPr>
          <w:color w:val="000000" w:themeColor="text1"/>
          <w:sz w:val="16"/>
          <w:szCs w:val="16"/>
        </w:rPr>
        <w:t>Клетрак</w:t>
      </w:r>
      <w:proofErr w:type="spellEnd"/>
      <w:r w:rsidRPr="00A259BD">
        <w:rPr>
          <w:color w:val="000000" w:themeColor="text1"/>
          <w:sz w:val="16"/>
          <w:szCs w:val="16"/>
        </w:rPr>
        <w:t>», который мы покупаем.</w:t>
      </w:r>
    </w:p>
    <w:p w14:paraId="16ADA217"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Если такой завод будет построен, все споры отпадут сами по себе, ибо гибкость производства в повышении мощности моторов любых типов будет обеспечена, в чем я лично убедился, будучи в Америке на автозаводах. Больше того, мы такой системой страхуем себя от технической косности и морально-технической устарелости в типах тракторного производства.</w:t>
      </w:r>
    </w:p>
    <w:p w14:paraId="1E300155"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2. Нужно со всей категоричностью исходить в тяговых усилиях из предельных тяговых усилий современных тракторов, учитывая дальнейшее укрупнение совхозов и коллективных хозяйств и, главным образом, обороны страны, так как вне этого нельзя рассчитывать на успех моторизации армии. В этом мы убеждаемся на богатейшей капиталистической стране — Америке, которая проектировала свой последний танк Т</w:t>
      </w:r>
      <w:r w:rsidRPr="00A259BD">
        <w:rPr>
          <w:color w:val="000000" w:themeColor="text1"/>
          <w:sz w:val="16"/>
          <w:szCs w:val="16"/>
        </w:rPr>
        <w:noBreakHyphen/>
        <w:t>17 на коммерческом тракторном моторе, который дал скорость 28 миль в час.</w:t>
      </w:r>
    </w:p>
    <w:p w14:paraId="32AFDD77"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3. Если найдете возможным (о чем я убедительно прошу Вас как члена нашей партии) заслушать меня в комиссии по тракторостроению, которую Вы возглавляете, ибо в письме весьма трудно изложить исчерпывающе по всем выдвинутым мною вопросам.</w:t>
      </w:r>
    </w:p>
    <w:p w14:paraId="1FCFF1ED"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 xml:space="preserve">4. В заключение несколько слов о </w:t>
      </w:r>
      <w:hyperlink r:id="rId260" w:history="1">
        <w:r w:rsidRPr="00A259BD">
          <w:rPr>
            <w:color w:val="000000" w:themeColor="text1"/>
            <w:sz w:val="16"/>
            <w:szCs w:val="16"/>
          </w:rPr>
          <w:t>НАМИ</w:t>
        </w:r>
      </w:hyperlink>
      <w:r w:rsidRPr="00A259BD">
        <w:rPr>
          <w:color w:val="000000" w:themeColor="text1"/>
          <w:sz w:val="16"/>
          <w:szCs w:val="16"/>
        </w:rPr>
        <w:t>. Лично полагаю, что в недооценке возможности использования наших конструкторских научно-технических сил, хотя бы на основе уже получаемой технической помощи по авто-моторостроению, мы делаем огромную ошибку. Институт до сих пор не у дел. Все его начинания кроме иронии со стороны промышленности ничего не встречают. Развитие авто- и тракторостроения идет обособленно и никак не связано с институтом. Конструкторские силы распылены группами по трестам и работают так же обособленно без достаточного руководства.</w:t>
      </w:r>
    </w:p>
    <w:p w14:paraId="0780E6D2"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Учитывая нашу бедность в технических кадрах, необходимо концентрировать силы, и мне думается, что таким центром должен явиться НАМИ. Кроме этого, необходимо концентрировать и денежные средства на исследовательские и конструкторские работы; нужно положить конец со всей категоричностью кустарщине, которая имеет место до сих пор.</w:t>
      </w:r>
    </w:p>
    <w:p w14:paraId="7723B1F8"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Высказанная мною точка зрения по типам тракторов на днях будет доложена народному комиссару т. </w:t>
      </w:r>
      <w:hyperlink r:id="rId261" w:history="1">
        <w:r w:rsidRPr="00A259BD">
          <w:rPr>
            <w:color w:val="000000" w:themeColor="text1"/>
            <w:sz w:val="16"/>
            <w:szCs w:val="16"/>
          </w:rPr>
          <w:t>Ворошилову</w:t>
        </w:r>
      </w:hyperlink>
      <w:r w:rsidRPr="00A259BD">
        <w:rPr>
          <w:color w:val="000000" w:themeColor="text1"/>
          <w:sz w:val="16"/>
          <w:szCs w:val="16"/>
        </w:rPr>
        <w:t>, после чего, видимо, последует окончательное промышленности задание от Революционного военного совета Союза по тракторостроению в целях удовлетворения нужд обороны.</w:t>
      </w:r>
    </w:p>
    <w:p w14:paraId="2F6F7354" w14:textId="77777777" w:rsidR="00382A41" w:rsidRPr="00A259BD" w:rsidRDefault="00000000" w:rsidP="009236E3">
      <w:pPr>
        <w:pStyle w:val="ae"/>
        <w:spacing w:before="0" w:after="0"/>
        <w:jc w:val="both"/>
        <w:rPr>
          <w:color w:val="000000" w:themeColor="text1"/>
          <w:sz w:val="16"/>
          <w:szCs w:val="16"/>
        </w:rPr>
      </w:pPr>
      <w:hyperlink r:id="rId262" w:history="1">
        <w:proofErr w:type="spellStart"/>
        <w:r w:rsidR="00382A41" w:rsidRPr="00A259BD">
          <w:rPr>
            <w:rStyle w:val="af0"/>
            <w:i w:val="0"/>
            <w:color w:val="000000" w:themeColor="text1"/>
            <w:sz w:val="16"/>
            <w:szCs w:val="16"/>
          </w:rPr>
          <w:t>Халепский</w:t>
        </w:r>
        <w:proofErr w:type="spellEnd"/>
      </w:hyperlink>
    </w:p>
    <w:p w14:paraId="61A81749" w14:textId="77777777" w:rsidR="00382A41" w:rsidRPr="00A259BD" w:rsidRDefault="00382A41"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r w:rsidRPr="00A259BD">
        <w:rPr>
          <w:color w:val="000000" w:themeColor="text1"/>
          <w:sz w:val="16"/>
          <w:szCs w:val="16"/>
        </w:rPr>
        <w:t>:</w:t>
      </w:r>
    </w:p>
    <w:p w14:paraId="08922716"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w:t>
      </w:r>
      <w:r w:rsidRPr="00A259BD">
        <w:rPr>
          <w:rStyle w:val="af0"/>
          <w:i w:val="0"/>
          <w:color w:val="000000" w:themeColor="text1"/>
          <w:sz w:val="16"/>
          <w:szCs w:val="16"/>
        </w:rPr>
        <w:t>Управление по механизации и моторизации армии</w:t>
      </w:r>
      <w:r w:rsidRPr="00A259BD">
        <w:rPr>
          <w:color w:val="000000" w:themeColor="text1"/>
          <w:sz w:val="16"/>
          <w:szCs w:val="16"/>
        </w:rPr>
        <w:t xml:space="preserve"> (УММ РККА) было создано в соответствии с постановлением РВС СССР от 3 ноября 1929 г. В его состав вошли автомобильный отдел и автомобильная секция Научно-технического комитета Военно-технического управления, отдел технической тяги и броневая секция Научно-технического комитета Артиллерийского управления, инспекция бронетанковых сил. Начальник управления являлся одновременно начальником механизированных войск РККА и подчинялся непосредственно наркому по военным и морским делам СССР (приказ РВС СССР от 18 ноября 1929 г.). По положению, объявленному приказом РВС СССР от 22 ноября 1929 г., на управление, как на центральный орган, возлагалось руководство формированием, боевой и технической подготовкой, обучением, службой, специальным снабжением механизированных войск, моторизацией частей и транспорта РККА. Приказом РВС СССР от 13 июля 1930 г. руководство деятельностью управления возлагалось на заместителя наркомвоенмора СССР, одновременно являвшегося начальником вооружений РККА. Эта подчиненность управления была закреплена приказом РВС СССР от 22 ноября 1930 г. По положению о Наркомате обороны СССР от 22 ноября 1934 г. УММ РККА переименовано в Автобронетанковое управление.</w:t>
      </w:r>
    </w:p>
    <w:p w14:paraId="69F2291E"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xml:space="preserve">* Копии направлены В. В. </w:t>
      </w:r>
      <w:proofErr w:type="spellStart"/>
      <w:r w:rsidRPr="00A259BD">
        <w:rPr>
          <w:color w:val="000000" w:themeColor="text1"/>
          <w:sz w:val="16"/>
          <w:szCs w:val="16"/>
        </w:rPr>
        <w:t>Межлауку</w:t>
      </w:r>
      <w:proofErr w:type="spellEnd"/>
      <w:r w:rsidRPr="00A259BD">
        <w:rPr>
          <w:color w:val="000000" w:themeColor="text1"/>
          <w:sz w:val="16"/>
          <w:szCs w:val="16"/>
        </w:rPr>
        <w:t>, А. М. Постникову и М. Г. Урываеву.</w:t>
      </w:r>
    </w:p>
    <w:p w14:paraId="0A205199"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vertAlign w:val="superscript"/>
        </w:rPr>
        <w:t>3</w:t>
      </w:r>
      <w:r w:rsidRPr="00A259BD">
        <w:rPr>
          <w:color w:val="000000" w:themeColor="text1"/>
          <w:sz w:val="16"/>
          <w:szCs w:val="16"/>
        </w:rPr>
        <w:t>* Текст поврежден.</w:t>
      </w:r>
    </w:p>
    <w:p w14:paraId="14E70B10" w14:textId="77777777" w:rsidR="00382A41" w:rsidRPr="00A259BD" w:rsidRDefault="00382A41" w:rsidP="009236E3">
      <w:pPr>
        <w:pStyle w:val="ae"/>
        <w:spacing w:before="0" w:after="0"/>
        <w:jc w:val="both"/>
        <w:rPr>
          <w:color w:val="000000" w:themeColor="text1"/>
          <w:sz w:val="16"/>
          <w:szCs w:val="16"/>
        </w:rPr>
      </w:pPr>
      <w:r w:rsidRPr="00A259BD">
        <w:rPr>
          <w:color w:val="000000" w:themeColor="text1"/>
          <w:sz w:val="16"/>
          <w:szCs w:val="16"/>
        </w:rPr>
        <w:t>РГАЭ. Ф. 3429. Оп. 16. Д. 141. Л. 98—97. Подлинник.</w:t>
      </w:r>
    </w:p>
    <w:p w14:paraId="7EA02C4A"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3429. Оп. 16. Д. 141. Л. 98—97. Подлинник. </w:t>
      </w:r>
    </w:p>
    <w:p w14:paraId="61D01E06"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380-382 (12475).</w:t>
      </w:r>
    </w:p>
    <w:p w14:paraId="081CB1DC" w14:textId="77777777" w:rsidR="00382A41" w:rsidRPr="00A259BD" w:rsidRDefault="00382A41" w:rsidP="009236E3">
      <w:pPr>
        <w:spacing w:after="0" w:line="240" w:lineRule="auto"/>
        <w:jc w:val="both"/>
        <w:rPr>
          <w:rFonts w:ascii="Times New Roman" w:hAnsi="Times New Roman"/>
          <w:color w:val="000000" w:themeColor="text1"/>
          <w:sz w:val="16"/>
          <w:szCs w:val="16"/>
        </w:rPr>
      </w:pPr>
    </w:p>
    <w:p w14:paraId="4FE00B0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6114F28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BA8E1BB" w14:textId="77777777" w:rsidR="00D56121" w:rsidRPr="00A259BD" w:rsidRDefault="00D56121" w:rsidP="009236E3">
      <w:pPr>
        <w:pStyle w:val="a3"/>
        <w:rPr>
          <w:color w:val="000000" w:themeColor="text1"/>
          <w:lang w:val="ru-RU"/>
        </w:rPr>
      </w:pPr>
      <w:r w:rsidRPr="00A259BD">
        <w:rPr>
          <w:color w:val="000000" w:themeColor="text1"/>
          <w:lang w:val="ru-RU"/>
        </w:rPr>
        <w:t>20 ноября 1929 китайцы, окруженные в городе Маньчжурия, решились идти на прорыв. Самолёты с утра бомбили и обстреливали их позиции и саму станцию. По советским данным, были нанесены «чувствительные штурмовые удары». Китайцы сформировали три колонны, прорывавшиеся в разных направлениях. Авиация засекла их перемещение. Самолеты 25-го отряда выявили передвижение одной из колонн на юг. Один из разведчиков сбросил вымпел на передовой пост, откуда в штаб послали сообщение по телефону. Это позволило выиграть время, чтобы выставить заслон.</w:t>
      </w:r>
    </w:p>
    <w:p w14:paraId="18E8C815" w14:textId="77777777" w:rsidR="00D56121" w:rsidRPr="00A259BD" w:rsidRDefault="00D56121" w:rsidP="009236E3">
      <w:pPr>
        <w:pStyle w:val="a3"/>
        <w:rPr>
          <w:color w:val="000000" w:themeColor="text1"/>
          <w:lang w:val="ru-RU"/>
        </w:rPr>
      </w:pPr>
      <w:r w:rsidRPr="00A259BD">
        <w:rPr>
          <w:color w:val="000000" w:themeColor="text1"/>
          <w:lang w:val="ru-RU"/>
        </w:rPr>
        <w:t>На аэродроме «Даурия» стояли три Р-1, из-за неисправностей не вылетевшие ранее. Их и отправили штурмовать китайцев. Согласно отчету ВВС ОДВА, после атаки этого звена противник, «понесший огромные потери», потерял управление войсками, а его солдаты либо разбежались, либо вернулись обратно в город.</w:t>
      </w:r>
    </w:p>
    <w:p w14:paraId="35509EED" w14:textId="77777777" w:rsidR="00D56121" w:rsidRPr="00A259BD" w:rsidRDefault="00D56121" w:rsidP="009236E3">
      <w:pPr>
        <w:pStyle w:val="a3"/>
        <w:rPr>
          <w:color w:val="000000" w:themeColor="text1"/>
          <w:lang w:val="ru-RU"/>
        </w:rPr>
      </w:pPr>
      <w:r w:rsidRPr="00A259BD">
        <w:rPr>
          <w:color w:val="000000" w:themeColor="text1"/>
          <w:lang w:val="ru-RU"/>
        </w:rPr>
        <w:t xml:space="preserve">Поднявшиеся в воздух чуть раньше основные силы 26-й </w:t>
      </w:r>
      <w:proofErr w:type="spellStart"/>
      <w:r w:rsidRPr="00A259BD">
        <w:rPr>
          <w:color w:val="000000" w:themeColor="text1"/>
          <w:lang w:val="ru-RU"/>
        </w:rPr>
        <w:t>аэ</w:t>
      </w:r>
      <w:proofErr w:type="spellEnd"/>
      <w:r w:rsidRPr="00A259BD">
        <w:rPr>
          <w:color w:val="000000" w:themeColor="text1"/>
          <w:lang w:val="ru-RU"/>
        </w:rPr>
        <w:t xml:space="preserve"> и 6-го </w:t>
      </w:r>
      <w:proofErr w:type="spellStart"/>
      <w:r w:rsidRPr="00A259BD">
        <w:rPr>
          <w:color w:val="000000" w:themeColor="text1"/>
          <w:lang w:val="ru-RU"/>
        </w:rPr>
        <w:t>ао</w:t>
      </w:r>
      <w:proofErr w:type="spellEnd"/>
      <w:r w:rsidRPr="00A259BD">
        <w:rPr>
          <w:color w:val="000000" w:themeColor="text1"/>
          <w:lang w:val="ru-RU"/>
        </w:rPr>
        <w:t xml:space="preserve"> в это время ле</w:t>
      </w:r>
      <w:r w:rsidRPr="00A259BD">
        <w:rPr>
          <w:color w:val="000000" w:themeColor="text1"/>
          <w:lang w:val="ru-RU"/>
        </w:rPr>
        <w:softHyphen/>
        <w:t>тели бомбить Маньчжурию, уже захваченную красноармейцами. Сообщение о взятии города пришло на аэродром слишком поздно, а отсутствие радиосвязи не позволяло из</w:t>
      </w:r>
      <w:r w:rsidRPr="00A259BD">
        <w:rPr>
          <w:color w:val="000000" w:themeColor="text1"/>
          <w:lang w:val="ru-RU"/>
        </w:rPr>
        <w:softHyphen/>
        <w:t>вестить экипажи об отмене задания. Вслед за бомбардировщиками срочно послали са</w:t>
      </w:r>
      <w:r w:rsidRPr="00A259BD">
        <w:rPr>
          <w:color w:val="000000" w:themeColor="text1"/>
          <w:lang w:val="ru-RU"/>
        </w:rPr>
        <w:softHyphen/>
        <w:t>молёт, с которого собирались махать белым флагом, отменяя бомбометание. Но он не догнал далеко улетевшие машины, и бомбы все же упали на город. К счастью, никто из красноармейцев не погиб, хотя несколько человек получили ранения.</w:t>
      </w:r>
    </w:p>
    <w:p w14:paraId="70EDC702" w14:textId="77777777" w:rsidR="00D56121" w:rsidRPr="00A259BD" w:rsidRDefault="00D56121" w:rsidP="009236E3">
      <w:pPr>
        <w:pStyle w:val="a3"/>
        <w:rPr>
          <w:color w:val="000000" w:themeColor="text1"/>
          <w:lang w:val="ru-RU"/>
        </w:rPr>
      </w:pPr>
      <w:r w:rsidRPr="00A259BD">
        <w:rPr>
          <w:color w:val="000000" w:themeColor="text1"/>
          <w:lang w:val="ru-RU"/>
        </w:rPr>
        <w:t xml:space="preserve">После капитуляции гарнизона Маньчжурии самолёты вели поиск разбегающихся групп вражеских солдат. Иногда удавалось обнаружить такие группы по 20-30 человек </w:t>
      </w:r>
      <w:r w:rsidRPr="00A259BD">
        <w:rPr>
          <w:rStyle w:val="4c"/>
          <w:rFonts w:ascii="Times New Roman" w:hAnsi="Times New Roman" w:cs="Times New Roman"/>
          <w:b w:val="0"/>
          <w:color w:val="000000" w:themeColor="text1"/>
          <w:sz w:val="16"/>
          <w:szCs w:val="16"/>
          <w:lang w:val="ru-RU"/>
        </w:rPr>
        <w:t>и</w:t>
      </w:r>
      <w:r w:rsidRPr="00A259BD">
        <w:rPr>
          <w:color w:val="000000" w:themeColor="text1"/>
          <w:lang w:val="ru-RU"/>
        </w:rPr>
        <w:t xml:space="preserve"> навести на них красноармейцев (15819).</w:t>
      </w:r>
    </w:p>
    <w:p w14:paraId="6CF87A8E" w14:textId="77777777" w:rsidR="00D56121" w:rsidRPr="00A259BD" w:rsidRDefault="00D56121" w:rsidP="009236E3">
      <w:pPr>
        <w:pStyle w:val="a3"/>
        <w:rPr>
          <w:color w:val="000000" w:themeColor="text1"/>
          <w:lang w:val="ru-RU"/>
        </w:rPr>
      </w:pPr>
    </w:p>
    <w:p w14:paraId="138289E8" w14:textId="77777777" w:rsidR="00382A41" w:rsidRPr="00A259BD" w:rsidRDefault="00382A41"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ноября 1929 года 10 танков (рота) МС-1 впервые были применены в районе КВЖД. В ходе боевых действий 7 танков из 10 вышли из строя главным образом по раз</w:t>
      </w:r>
      <w:r w:rsidRPr="00A259BD">
        <w:rPr>
          <w:rFonts w:ascii="Times New Roman" w:hAnsi="Times New Roman"/>
          <w:color w:val="000000" w:themeColor="text1"/>
          <w:sz w:val="16"/>
          <w:szCs w:val="16"/>
        </w:rPr>
        <w:softHyphen/>
        <w:t>личного рода техническим причинам (ЦГАСА, ф 33879, оп.6, д.2,л.85) (11504).</w:t>
      </w:r>
    </w:p>
    <w:p w14:paraId="11F1478D" w14:textId="77777777" w:rsidR="00382A41" w:rsidRPr="00A259BD" w:rsidRDefault="00382A41"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529D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ноября 1929 г. в связи с учреждением приказом РВС СССР No.360/78 должности начальника вооружений РККА в его подчинение передавалось Военно-химическое управление РККА.</w:t>
      </w:r>
    </w:p>
    <w:p w14:paraId="2C720B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С 1 мая 1932 г. (приказ РВС СССР No.074 от 4 июля 1932 г.) Управление становится центральным органом Наркомвоенмора СССР по руководству боевой и технической подготовкой химических войск и по военно-химической подготовке частей РККА.</w:t>
      </w:r>
    </w:p>
    <w:p w14:paraId="2E2E18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положению об НКО СССР от 22 ноября 1934 г. переименовано в Химическое управление РККА.</w:t>
      </w:r>
    </w:p>
    <w:p w14:paraId="3974FC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приказу НКО No.055 от 9 апреля 1936 г. Управление подчинялось Главному управлению вооружения и технического снабжения РККА, а приказом НКО No.0156 от 11 октября 1939 г. - Главному управлению военно-технического снабжения Красной Армии.</w:t>
      </w:r>
    </w:p>
    <w:p w14:paraId="57F7B9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НКО No.0037 от 26 июля 1940 г. Управление преобразовано в Управление военно-химической защиты Красной Армии.</w:t>
      </w:r>
    </w:p>
    <w:p w14:paraId="5581FD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76EC23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1F30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ноября 1929 г. в связи с ликвидацией УС РККА как самостоятельное управление АУ РККА приказом РВС СССР No.360/78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3389F4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4E631A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4AF184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2E8357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C07F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ноября 1929 г. была учреждена Должность начальника вооружений РККА приказом РВС СССР No.360/78. По положению, объявленному приказом РВС СССР No.372/84 от 28 ноября 1929 г., на него возлагались: разработка системы вооружения РККА, руководство усовершенствованием и введением новых образцов вооружения и военной техники, разработка перспективных планов обеспечения РККА вооружением, контроль за выполнением военных заказов промышленными предприятиями, наблюдение за работой Распорядительного заседания СТО, мобилизационно-планового сектора ВСНХ, за научной и конструкторской работой научно-исследовательских институтов и конструкторских бюро. Начальник вооружений подчинялся непосредственно наркому по военным и морским делам, а с июля 1930 г. стал заместителем наркома Ему подчинялись Артиллерийское, Военно-техническое, Военно-химическое управления, Управление механизации и моторизации РККА, Военно-техническая академия; рабочим аппаратом являлся технический штаб.</w:t>
      </w:r>
    </w:p>
    <w:p w14:paraId="16FA4F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период с 1930 по 1933 г. последовал ряд организационно-функциональных изменений в аппарате управления начальника вооружений, которые были закреплены новым положением, введенным приказом РВС СССР No.037 от 3 августа 1933 г., и положением об НКО СССР от 22 ноября 1934 г. На начальника вооружений возлагалось руководство строительством всей системы вооружения РККА, наиболее эффективным размещением в военных конструкциях авиационного, бронетанкового, артиллерийского, химического и технического вооружения. Ему непосредственно подчинялись управления: Главное артиллерийское, Военно-химическое, Связи, Военных изобретений, отдел стандартов и </w:t>
      </w:r>
      <w:proofErr w:type="spellStart"/>
      <w:r w:rsidRPr="00A259BD">
        <w:rPr>
          <w:rFonts w:ascii="Times New Roman" w:hAnsi="Times New Roman"/>
          <w:color w:val="000000" w:themeColor="text1"/>
          <w:sz w:val="16"/>
          <w:szCs w:val="16"/>
        </w:rPr>
        <w:t>суррогатирования</w:t>
      </w:r>
      <w:proofErr w:type="spellEnd"/>
      <w:r w:rsidRPr="00A259BD">
        <w:rPr>
          <w:rFonts w:ascii="Times New Roman" w:hAnsi="Times New Roman"/>
          <w:color w:val="000000" w:themeColor="text1"/>
          <w:sz w:val="16"/>
          <w:szCs w:val="16"/>
        </w:rPr>
        <w:t>, а по вопросам вооружения - центральные управления РККА и начальники родов войск. В ноябре 1934 г. было подчинено Управление телемеханики РККА,</w:t>
      </w:r>
    </w:p>
    <w:p w14:paraId="1BC1CA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НКО No.055 от 9 апреля 1936 г. было образовано Главное управление вооружения и технического снабжения РККА, во главе его был поставлен начальник вооружений РККА, должность которого получила наименование начальника вооружения и технического снабжения РККА. Помимо прежних функций на него возлагалось планирование всего материально-технического снабжения армии. Он объединял и руководил деятельностью Артиллерийского, Автобронетанкового, Инженерного, Технического, Химического управлений, Управлений связи и Снабжения горючим РККА,</w:t>
      </w:r>
    </w:p>
    <w:p w14:paraId="749344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НКО No.0114 от 26 июля 1937 г. должность упразднена, аппарат управления реорганизован и передан ряду центральных управлений Красной Армии (11226).</w:t>
      </w:r>
    </w:p>
    <w:p w14:paraId="50B167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0D655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ноября 1929 авиация и бронепоезд разгромили 3 тыс. отряд китайцев, пытавшийся прорваться со станции Манчжурия (6594, 16).</w:t>
      </w:r>
    </w:p>
    <w:p w14:paraId="798EF1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BD1888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070062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4A8CE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ноября 1929 НТК УВВС (журнал 42с) утвердил заключения по испытаниям И-4 и ТБ-1 А.Н.Т. (2371).</w:t>
      </w:r>
    </w:p>
    <w:p w14:paraId="6B171B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9599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ноября 1929 результаты испытаний головного самолета ТБ-1 были рассмотрены на секции НТК. При обсуждении выявился ряд вопросов управляемости и маневренности машины, на которые испытатели не смогли дать ответа. Пришлось назначить дополнительные испытания, прошедшие в январе 1930 г. (12001).</w:t>
      </w:r>
    </w:p>
    <w:p w14:paraId="3629BD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570E2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ноября 1929 г. на заседании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при</w:t>
      </w:r>
      <w:r w:rsidRPr="00A259BD">
        <w:rPr>
          <w:rFonts w:ascii="Times New Roman" w:hAnsi="Times New Roman"/>
          <w:color w:val="000000" w:themeColor="text1"/>
          <w:sz w:val="16"/>
          <w:szCs w:val="16"/>
        </w:rPr>
        <w:softHyphen/>
        <w:t>няли следующее решение: “Ввиду заключения НТК о непригодности самолетов И-1 М-5 в частях УВВС (недо</w:t>
      </w:r>
      <w:r w:rsidRPr="00A259BD">
        <w:rPr>
          <w:rFonts w:ascii="Times New Roman" w:hAnsi="Times New Roman"/>
          <w:color w:val="000000" w:themeColor="text1"/>
          <w:sz w:val="16"/>
          <w:szCs w:val="16"/>
        </w:rPr>
        <w:softHyphen/>
        <w:t>статок прочности при искусственной нагрузке для пере</w:t>
      </w:r>
      <w:r w:rsidRPr="00A259BD">
        <w:rPr>
          <w:rFonts w:ascii="Times New Roman" w:hAnsi="Times New Roman"/>
          <w:color w:val="000000" w:themeColor="text1"/>
          <w:sz w:val="16"/>
          <w:szCs w:val="16"/>
        </w:rPr>
        <w:softHyphen/>
        <w:t>мещения центра тяжести) и понижения их прочности от долгого хранения, а также и загрузки ими производст</w:t>
      </w:r>
      <w:r w:rsidRPr="00A259BD">
        <w:rPr>
          <w:rFonts w:ascii="Times New Roman" w:hAnsi="Times New Roman"/>
          <w:color w:val="000000" w:themeColor="text1"/>
          <w:sz w:val="16"/>
          <w:szCs w:val="16"/>
        </w:rPr>
        <w:softHyphen/>
        <w:t>венных площадей завода № 1, войти с ходатайством в ГВПУ (Главное военно-промышленное управление ВСНХ) о передаче 12 машин И-1 как музейных в другие организации или же об их уничтожении”. Но это еще не последняя точка в истории И-1 (10667).</w:t>
      </w:r>
    </w:p>
    <w:p w14:paraId="78C681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741F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ноября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по вопросу "О производственной программе на текущий год по заводам АП (протокол 19):</w:t>
      </w:r>
    </w:p>
    <w:p w14:paraId="6BE250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заводу 24</w:t>
      </w:r>
    </w:p>
    <w:p w14:paraId="6440A5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М-5 - 700</w:t>
      </w:r>
    </w:p>
    <w:p w14:paraId="1F2D16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М-2 - 250</w:t>
      </w:r>
    </w:p>
    <w:p w14:paraId="1FB7D3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М-19 - 5</w:t>
      </w:r>
    </w:p>
    <w:p w14:paraId="6A31F1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М-27 - 5</w:t>
      </w:r>
    </w:p>
    <w:p w14:paraId="190A0A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М-26 - 10</w:t>
      </w:r>
    </w:p>
    <w:p w14:paraId="3152CB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2М-15 - 5</w:t>
      </w:r>
    </w:p>
    <w:p w14:paraId="50480D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заводу 29</w:t>
      </w:r>
    </w:p>
    <w:p w14:paraId="772C77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М-6 - 64</w:t>
      </w:r>
    </w:p>
    <w:p w14:paraId="7FFC61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М-11 - 150 (включая недодел 28/29 + заказ для ГВФ).</w:t>
      </w:r>
    </w:p>
    <w:p w14:paraId="102962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М-22 - 10</w:t>
      </w:r>
    </w:p>
    <w:p w14:paraId="1EAEF0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заводу 26</w:t>
      </w:r>
    </w:p>
    <w:p w14:paraId="384E89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М-17 - 250 (включая недодел 28/29).</w:t>
      </w:r>
    </w:p>
    <w:p w14:paraId="37FB8D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заводу 1</w:t>
      </w:r>
    </w:p>
    <w:p w14:paraId="486DF6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Р-1 - 110</w:t>
      </w:r>
    </w:p>
    <w:p w14:paraId="3D8DCD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И-3 - 344 (включая недодел 28/29).</w:t>
      </w:r>
    </w:p>
    <w:p w14:paraId="04133F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Р-5 - 15</w:t>
      </w:r>
    </w:p>
    <w:p w14:paraId="7184D5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заводу 23</w:t>
      </w:r>
    </w:p>
    <w:p w14:paraId="10042F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У-1 - 75</w:t>
      </w:r>
    </w:p>
    <w:p w14:paraId="0BA4A2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У-2 - 100 (включая недодел 28/29 и 10 шт. для Добролета).</w:t>
      </w:r>
    </w:p>
    <w:p w14:paraId="45FE1F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МУ-1 - 16</w:t>
      </w:r>
    </w:p>
    <w:p w14:paraId="410DFE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включить в программу окончание 30 самолетов.</w:t>
      </w:r>
    </w:p>
    <w:p w14:paraId="50D732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П-2 по договору 28/29</w:t>
      </w:r>
    </w:p>
    <w:p w14:paraId="6AABD3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заводу 22</w:t>
      </w:r>
    </w:p>
    <w:p w14:paraId="5CD699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И-4 - 135 (включая недодел 28/29).</w:t>
      </w:r>
    </w:p>
    <w:p w14:paraId="2FC7C9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ТБ-1 - 48</w:t>
      </w:r>
    </w:p>
    <w:p w14:paraId="1E7BC0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Р-6 - 5</w:t>
      </w:r>
    </w:p>
    <w:p w14:paraId="0C8623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АНТ-9 - 10</w:t>
      </w:r>
    </w:p>
    <w:p w14:paraId="110DC9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заводу 31</w:t>
      </w:r>
    </w:p>
    <w:p w14:paraId="590012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Р-1 - 393</w:t>
      </w:r>
    </w:p>
    <w:p w14:paraId="72D37C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МР-5 - 3 (по особому заказу после утв. концепции).</w:t>
      </w:r>
    </w:p>
    <w:p w14:paraId="365BB1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 - 2</w:t>
      </w:r>
    </w:p>
    <w:p w14:paraId="76A74A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По заводу 39</w:t>
      </w:r>
    </w:p>
    <w:p w14:paraId="0AE4F8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Ремонт, изготовление ремонтных комплектов (самолеты).</w:t>
      </w:r>
    </w:p>
    <w:p w14:paraId="0D2A36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заводу 35</w:t>
      </w:r>
    </w:p>
    <w:p w14:paraId="27881E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Ремонт моторов и самолетов, изготовление запчастей</w:t>
      </w:r>
    </w:p>
    <w:p w14:paraId="2BF850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заводу 43</w:t>
      </w:r>
    </w:p>
    <w:p w14:paraId="7037CB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Ремонт моторов и агрегатов</w:t>
      </w:r>
    </w:p>
    <w:p w14:paraId="2788CA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заводу 45</w:t>
      </w:r>
    </w:p>
    <w:p w14:paraId="45C3AD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Ремонт моторов и агрегатов</w:t>
      </w:r>
    </w:p>
    <w:p w14:paraId="7EE8AB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заводу 47</w:t>
      </w:r>
    </w:p>
    <w:p w14:paraId="3F0F73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Ремонт моторов и агрегатов (2367,78).</w:t>
      </w:r>
    </w:p>
    <w:p w14:paraId="4ED2AD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12AD106" w14:textId="77777777" w:rsidR="0019689C" w:rsidRPr="00441F34" w:rsidRDefault="0019689C" w:rsidP="0019689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21 ноября 1929 г. состоялось заседание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по вопросу «О производственной программе на текущий год по заводам авиапромышленности» (протокол №19), на котором план выпуска 344 самолетов И-3 подтвержден (24887).</w:t>
      </w:r>
    </w:p>
    <w:p w14:paraId="32A1877B" w14:textId="77777777" w:rsidR="0019689C" w:rsidRPr="00441F34" w:rsidRDefault="0019689C" w:rsidP="0019689C">
      <w:pPr>
        <w:spacing w:after="0" w:line="240" w:lineRule="auto"/>
        <w:jc w:val="both"/>
        <w:rPr>
          <w:rFonts w:ascii="Times New Roman" w:hAnsi="Times New Roman"/>
          <w:color w:val="0070C0"/>
          <w:sz w:val="16"/>
          <w:szCs w:val="16"/>
        </w:rPr>
      </w:pPr>
    </w:p>
    <w:p w14:paraId="79D74B47" w14:textId="77777777" w:rsidR="0019689C" w:rsidRPr="00441F34" w:rsidRDefault="0019689C" w:rsidP="0019689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21 ноября 1929 г. на заседании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было решено просить Главное военно-промышленное управление ВСНХ СССР, на чьем балансе оказались 12 находившихся самолетов И-1 (11 из них – некомплектные) передать Осоавиахиму и др. военно-патриотическим организациям в качестве «музейных экспонатов» (а фактически нелетных учебных пособий). И видимо в отношении части самолетов так и было сделано – они оказались в аэроклубах без двигателей или с моторами нерабочими. Полетов на них не производилось.</w:t>
      </w:r>
    </w:p>
    <w:p w14:paraId="536FDB94" w14:textId="77777777" w:rsidR="0019689C" w:rsidRPr="00441F34" w:rsidRDefault="0019689C" w:rsidP="0019689C">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1930 г. один самолет из остававшихся на заводе № 1 был затребован ЦКБ-39 для наземной отработки убирающегося шасси экспериментального сверхскоростного истребителя ЭИ конструкции Р.Л. Бартини. К середине 1930 г. самолет был доставлен на завод № 39, но 18.07.30 г. было решено работу по самолету ЭИ из плана ЦКБ-39 исключить, и доработку этого самолета тоже прекратили. Он находился на заводе № 1 примерно до середины 1930 г., когда был утилизирован (23578).</w:t>
      </w:r>
    </w:p>
    <w:p w14:paraId="05478F1E" w14:textId="77777777" w:rsidR="0019689C" w:rsidRPr="00441F34" w:rsidRDefault="0019689C" w:rsidP="0019689C">
      <w:pPr>
        <w:spacing w:after="0" w:line="240" w:lineRule="auto"/>
        <w:jc w:val="both"/>
        <w:rPr>
          <w:rFonts w:ascii="Times New Roman" w:hAnsi="Times New Roman"/>
          <w:color w:val="0070C0"/>
          <w:sz w:val="16"/>
          <w:szCs w:val="16"/>
        </w:rPr>
      </w:pPr>
    </w:p>
    <w:p w14:paraId="036020DA" w14:textId="77777777" w:rsidR="00582146" w:rsidRPr="00A259BD" w:rsidRDefault="00582146" w:rsidP="009236E3">
      <w:pPr>
        <w:spacing w:after="0" w:line="240" w:lineRule="auto"/>
        <w:jc w:val="both"/>
        <w:rPr>
          <w:rStyle w:val="af0"/>
          <w:rFonts w:ascii="Times New Roman" w:hAnsi="Times New Roman"/>
          <w:i w:val="0"/>
          <w:color w:val="000000" w:themeColor="text1"/>
          <w:sz w:val="16"/>
          <w:szCs w:val="16"/>
        </w:rPr>
      </w:pPr>
      <w:r w:rsidRPr="00A259BD">
        <w:rPr>
          <w:rFonts w:ascii="Times New Roman" w:hAnsi="Times New Roman"/>
          <w:bCs/>
          <w:color w:val="000000" w:themeColor="text1"/>
          <w:sz w:val="16"/>
          <w:szCs w:val="16"/>
        </w:rPr>
        <w:t xml:space="preserve">21 ноября 1929 г. — Протокол совещания у председателя правления </w:t>
      </w:r>
      <w:proofErr w:type="spellStart"/>
      <w:r w:rsidRPr="00A259BD">
        <w:rPr>
          <w:rFonts w:ascii="Times New Roman" w:hAnsi="Times New Roman"/>
          <w:bCs/>
          <w:color w:val="000000" w:themeColor="text1"/>
          <w:sz w:val="16"/>
          <w:szCs w:val="16"/>
        </w:rPr>
        <w:t>Авиатреста</w:t>
      </w:r>
      <w:proofErr w:type="spellEnd"/>
      <w:r w:rsidRPr="00A259BD">
        <w:rPr>
          <w:rFonts w:ascii="Times New Roman" w:hAnsi="Times New Roman"/>
          <w:bCs/>
          <w:color w:val="000000" w:themeColor="text1"/>
          <w:sz w:val="16"/>
          <w:szCs w:val="16"/>
        </w:rPr>
        <w:t xml:space="preserve"> И. К. Михайлова об организации работ по стальному самолетостроению</w:t>
      </w:r>
    </w:p>
    <w:p w14:paraId="19D901F8"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Секретно.</w:t>
      </w:r>
    </w:p>
    <w:p w14:paraId="352D5878" w14:textId="77777777" w:rsidR="00382A41" w:rsidRPr="00A259BD" w:rsidRDefault="00382A41" w:rsidP="009236E3">
      <w:pPr>
        <w:pStyle w:val="rtejustify"/>
        <w:spacing w:before="0" w:after="0"/>
        <w:rPr>
          <w:color w:val="000000" w:themeColor="text1"/>
          <w:sz w:val="16"/>
          <w:szCs w:val="16"/>
        </w:rPr>
      </w:pPr>
      <w:r w:rsidRPr="00A259BD">
        <w:rPr>
          <w:rStyle w:val="af0"/>
          <w:i w:val="0"/>
          <w:color w:val="000000" w:themeColor="text1"/>
          <w:sz w:val="16"/>
          <w:szCs w:val="16"/>
        </w:rPr>
        <w:t>Присутствовали</w:t>
      </w:r>
      <w:r w:rsidRPr="00A259BD">
        <w:rPr>
          <w:color w:val="000000" w:themeColor="text1"/>
          <w:sz w:val="16"/>
          <w:szCs w:val="16"/>
        </w:rPr>
        <w:t xml:space="preserve">: Михайлов, </w:t>
      </w:r>
      <w:proofErr w:type="spellStart"/>
      <w:r w:rsidRPr="00A259BD">
        <w:rPr>
          <w:color w:val="000000" w:themeColor="text1"/>
          <w:sz w:val="16"/>
          <w:szCs w:val="16"/>
        </w:rPr>
        <w:t>Друян</w:t>
      </w:r>
      <w:proofErr w:type="spellEnd"/>
      <w:r w:rsidRPr="00A259BD">
        <w:rPr>
          <w:color w:val="000000" w:themeColor="text1"/>
          <w:sz w:val="16"/>
          <w:szCs w:val="16"/>
        </w:rPr>
        <w:t xml:space="preserve">, </w:t>
      </w:r>
      <w:proofErr w:type="spellStart"/>
      <w:r w:rsidRPr="00A259BD">
        <w:rPr>
          <w:color w:val="000000" w:themeColor="text1"/>
          <w:sz w:val="16"/>
          <w:szCs w:val="16"/>
        </w:rPr>
        <w:t>Окромешко</w:t>
      </w:r>
      <w:proofErr w:type="spellEnd"/>
      <w:r w:rsidRPr="00A259BD">
        <w:rPr>
          <w:color w:val="000000" w:themeColor="text1"/>
          <w:sz w:val="16"/>
          <w:szCs w:val="16"/>
        </w:rPr>
        <w:t>, Рубенчик, Мельников, Инихов; от Военно-воздушной академии — Хорьков, Львов, Фролов; от завода № 22 — Артамонов, Самсонов; от Харьковского завода «</w:t>
      </w:r>
      <w:proofErr w:type="spellStart"/>
      <w:r w:rsidRPr="00A259BD">
        <w:rPr>
          <w:color w:val="000000" w:themeColor="text1"/>
          <w:sz w:val="16"/>
          <w:szCs w:val="16"/>
        </w:rPr>
        <w:t>Укрвоздухпуть</w:t>
      </w:r>
      <w:proofErr w:type="spellEnd"/>
      <w:r w:rsidRPr="00A259BD">
        <w:rPr>
          <w:color w:val="000000" w:themeColor="text1"/>
          <w:sz w:val="16"/>
          <w:szCs w:val="16"/>
        </w:rPr>
        <w:t>» — Калинин.</w:t>
      </w:r>
    </w:p>
    <w:p w14:paraId="27A7B11D" w14:textId="77777777" w:rsidR="00382A41" w:rsidRPr="00A259BD" w:rsidRDefault="00382A41" w:rsidP="009236E3">
      <w:pPr>
        <w:pStyle w:val="rtejustify"/>
        <w:spacing w:before="0" w:after="0"/>
        <w:rPr>
          <w:color w:val="000000" w:themeColor="text1"/>
          <w:sz w:val="16"/>
          <w:szCs w:val="16"/>
        </w:rPr>
      </w:pPr>
      <w:r w:rsidRPr="00A259BD">
        <w:rPr>
          <w:rStyle w:val="af0"/>
          <w:i w:val="0"/>
          <w:color w:val="000000" w:themeColor="text1"/>
          <w:sz w:val="16"/>
          <w:szCs w:val="16"/>
        </w:rPr>
        <w:t>Слушали:</w:t>
      </w:r>
      <w:r w:rsidRPr="00A259BD">
        <w:rPr>
          <w:color w:val="000000" w:themeColor="text1"/>
          <w:sz w:val="16"/>
          <w:szCs w:val="16"/>
        </w:rPr>
        <w:t xml:space="preserve"> 1. Об организации работ по стальному самолетостроению (Львов, Артамонов, Самсонов).</w:t>
      </w:r>
    </w:p>
    <w:p w14:paraId="67425DE1" w14:textId="77777777" w:rsidR="00382A41" w:rsidRPr="00A259BD" w:rsidRDefault="00382A41" w:rsidP="009236E3">
      <w:pPr>
        <w:pStyle w:val="rtejustify"/>
        <w:spacing w:before="0" w:after="0"/>
        <w:rPr>
          <w:color w:val="000000" w:themeColor="text1"/>
          <w:sz w:val="16"/>
          <w:szCs w:val="16"/>
        </w:rPr>
      </w:pPr>
      <w:r w:rsidRPr="00A259BD">
        <w:rPr>
          <w:rStyle w:val="af0"/>
          <w:i w:val="0"/>
          <w:color w:val="000000" w:themeColor="text1"/>
          <w:sz w:val="16"/>
          <w:szCs w:val="16"/>
        </w:rPr>
        <w:t>Постановили:</w:t>
      </w:r>
      <w:r w:rsidRPr="00A259BD">
        <w:rPr>
          <w:color w:val="000000" w:themeColor="text1"/>
          <w:sz w:val="16"/>
          <w:szCs w:val="16"/>
        </w:rPr>
        <w:t xml:space="preserve"> 1. На основании обмена мнений на настоящем совещании и имеющихся материалов и заграничной практики считать возможным и необходимым приступить к разрешению задач по организации работ по стальному самолетостроению на заводах </w:t>
      </w:r>
      <w:proofErr w:type="spellStart"/>
      <w:r w:rsidRPr="00A259BD">
        <w:rPr>
          <w:color w:val="000000" w:themeColor="text1"/>
          <w:sz w:val="16"/>
          <w:szCs w:val="16"/>
        </w:rPr>
        <w:t>Авиатреста</w:t>
      </w:r>
      <w:proofErr w:type="spellEnd"/>
      <w:r w:rsidRPr="00A259BD">
        <w:rPr>
          <w:color w:val="000000" w:themeColor="text1"/>
          <w:sz w:val="16"/>
          <w:szCs w:val="16"/>
        </w:rPr>
        <w:t>.</w:t>
      </w:r>
    </w:p>
    <w:p w14:paraId="7818715A"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2. Поручить ТО выявить номенклатуру, а КФО и ОСО срочно заказать их за границей по кредитам опытного строительства.</w:t>
      </w:r>
    </w:p>
    <w:p w14:paraId="5CC18A1F"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3. Предложить заводу № 25 совместно с Военно-воздушной академией приступить к переделке имеющегося самолета И</w:t>
      </w:r>
      <w:r w:rsidRPr="00A259BD">
        <w:rPr>
          <w:color w:val="000000" w:themeColor="text1"/>
          <w:sz w:val="16"/>
          <w:szCs w:val="16"/>
        </w:rPr>
        <w:noBreakHyphen/>
        <w:t>4 на стальную конструкцию, привлекая к этой работе также ЦАГИ.</w:t>
      </w:r>
    </w:p>
    <w:p w14:paraId="07DCADFE"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Поручить юрбюро совместно с ТО договориться с УВВС о возможности практического разрешения этого вопроса.</w:t>
      </w:r>
    </w:p>
    <w:p w14:paraId="380B9DE0"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4. Поручить ТО проработать вопрос о заключении договора с Военно-воздушной академией с соответствующим финансированием на продолжение научно-изыскательских работ по стальному самолетостроению и предусмотреть соответствующие кредиты.</w:t>
      </w:r>
    </w:p>
    <w:p w14:paraId="30B4617C"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 xml:space="preserve">5. Поручить </w:t>
      </w:r>
      <w:hyperlink r:id="rId263" w:history="1">
        <w:r w:rsidRPr="00A259BD">
          <w:rPr>
            <w:color w:val="000000" w:themeColor="text1"/>
            <w:sz w:val="16"/>
            <w:szCs w:val="16"/>
          </w:rPr>
          <w:t>конструктору Калинину</w:t>
        </w:r>
      </w:hyperlink>
      <w:r w:rsidRPr="00A259BD">
        <w:rPr>
          <w:color w:val="000000" w:themeColor="text1"/>
          <w:sz w:val="16"/>
          <w:szCs w:val="16"/>
        </w:rPr>
        <w:t xml:space="preserve"> включить в план работ своей группы в текущем году проектирование и постройку стальных крыльев одной из выстроенных гражданских машин по кредитам опытного гражданского самолетостроения.</w:t>
      </w:r>
    </w:p>
    <w:p w14:paraId="130C93FD"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6. Поручить КФО совместно с ТО войти с ходатайством в ГВПУ о подготовке баз для стального самолетостроения.</w:t>
      </w:r>
    </w:p>
    <w:p w14:paraId="6495FE64"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 xml:space="preserve">7. Поручить </w:t>
      </w:r>
      <w:proofErr w:type="spellStart"/>
      <w:r w:rsidRPr="00A259BD">
        <w:rPr>
          <w:color w:val="000000" w:themeColor="text1"/>
          <w:sz w:val="16"/>
          <w:szCs w:val="16"/>
        </w:rPr>
        <w:t>инж</w:t>
      </w:r>
      <w:proofErr w:type="spellEnd"/>
      <w:r w:rsidRPr="00A259BD">
        <w:rPr>
          <w:color w:val="000000" w:themeColor="text1"/>
          <w:sz w:val="16"/>
          <w:szCs w:val="16"/>
        </w:rPr>
        <w:t>[</w:t>
      </w:r>
      <w:proofErr w:type="spellStart"/>
      <w:r w:rsidRPr="00A259BD">
        <w:rPr>
          <w:color w:val="000000" w:themeColor="text1"/>
          <w:sz w:val="16"/>
          <w:szCs w:val="16"/>
        </w:rPr>
        <w:t>енерам</w:t>
      </w:r>
      <w:proofErr w:type="spellEnd"/>
      <w:r w:rsidRPr="00A259BD">
        <w:rPr>
          <w:color w:val="000000" w:themeColor="text1"/>
          <w:sz w:val="16"/>
          <w:szCs w:val="16"/>
        </w:rPr>
        <w:t>] Артамонову, Самсонову и Калинину в месячный срок представить все материалы по заграничной командировке в части изучения ими постановки работы по стальному самолетостроению на заграничных заводах.</w:t>
      </w:r>
    </w:p>
    <w:p w14:paraId="694D25FB"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8. Поручить ТО собрать по этому же вопросу в ЦАГИ соответствующий материал.</w:t>
      </w:r>
    </w:p>
    <w:p w14:paraId="4FB6FE5A"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9. Поручить ТО для проработки всех вопросов, связанных с организацией работ по стальному самолетостроению, создать бюро и производство опытных работ по осуществлению стального самолетостроения вести на заводе № 39.</w:t>
      </w:r>
    </w:p>
    <w:p w14:paraId="3A489950" w14:textId="77777777" w:rsidR="00382A41" w:rsidRPr="00A259BD" w:rsidRDefault="00382A41" w:rsidP="009236E3">
      <w:pPr>
        <w:pStyle w:val="ae"/>
        <w:spacing w:before="0" w:after="0"/>
        <w:jc w:val="both"/>
        <w:rPr>
          <w:color w:val="000000" w:themeColor="text1"/>
          <w:sz w:val="16"/>
          <w:szCs w:val="16"/>
        </w:rPr>
      </w:pPr>
      <w:r w:rsidRPr="00A259BD">
        <w:rPr>
          <w:color w:val="000000" w:themeColor="text1"/>
          <w:sz w:val="16"/>
          <w:szCs w:val="16"/>
        </w:rPr>
        <w:t>РГАЭ. Ф. 8328. Оп. 1. Д. 5636. Л. 5—6. Заверенная копия.</w:t>
      </w:r>
    </w:p>
    <w:p w14:paraId="0E2E6B01"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8328. Оп. 1. Д. 5636. Л. 5—6. Заверенная копия. </w:t>
      </w:r>
    </w:p>
    <w:p w14:paraId="25CBD025"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382-383 (12476).</w:t>
      </w:r>
    </w:p>
    <w:p w14:paraId="16FCD98F" w14:textId="77777777" w:rsidR="00382A41" w:rsidRPr="00A259BD" w:rsidRDefault="00382A41" w:rsidP="009236E3">
      <w:pPr>
        <w:spacing w:after="0" w:line="240" w:lineRule="auto"/>
        <w:jc w:val="both"/>
        <w:rPr>
          <w:rFonts w:ascii="Times New Roman" w:hAnsi="Times New Roman"/>
          <w:color w:val="000000" w:themeColor="text1"/>
          <w:sz w:val="16"/>
          <w:szCs w:val="16"/>
        </w:rPr>
      </w:pPr>
    </w:p>
    <w:p w14:paraId="3CE38C14" w14:textId="77777777" w:rsidR="00A54A92" w:rsidRPr="00A259BD" w:rsidRDefault="00A54A9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ноября 1929 на испытания в НИИ ВВС повторно был предъявлен модернизированный заводом № 25 «Фоккер» ДХI № 4743 с установками Пул-9 к пулемету ПВ-1, с изменениями в синхронизаторе под мотор «</w:t>
      </w:r>
      <w:proofErr w:type="spellStart"/>
      <w:r w:rsidRPr="00A259BD">
        <w:rPr>
          <w:rFonts w:ascii="Times New Roman" w:hAnsi="Times New Roman"/>
          <w:color w:val="000000" w:themeColor="text1"/>
          <w:sz w:val="16"/>
          <w:szCs w:val="16"/>
        </w:rPr>
        <w:t>Испано</w:t>
      </w:r>
      <w:proofErr w:type="spellEnd"/>
      <w:r w:rsidRPr="00A259BD">
        <w:rPr>
          <w:rFonts w:ascii="Times New Roman" w:hAnsi="Times New Roman"/>
          <w:color w:val="000000" w:themeColor="text1"/>
          <w:sz w:val="16"/>
          <w:szCs w:val="16"/>
        </w:rPr>
        <w:t xml:space="preserve">», но и в этот раз без про </w:t>
      </w:r>
      <w:proofErr w:type="spellStart"/>
      <w:r w:rsidRPr="00A259BD">
        <w:rPr>
          <w:rFonts w:ascii="Times New Roman" w:hAnsi="Times New Roman"/>
          <w:color w:val="000000" w:themeColor="text1"/>
          <w:sz w:val="16"/>
          <w:szCs w:val="16"/>
        </w:rPr>
        <w:t>блемне</w:t>
      </w:r>
      <w:proofErr w:type="spellEnd"/>
      <w:r w:rsidRPr="00A259BD">
        <w:rPr>
          <w:rFonts w:ascii="Times New Roman" w:hAnsi="Times New Roman"/>
          <w:color w:val="000000" w:themeColor="text1"/>
          <w:sz w:val="16"/>
          <w:szCs w:val="16"/>
        </w:rPr>
        <w:t xml:space="preserve"> обошлось. Произошло 5 задержек из-за </w:t>
      </w:r>
      <w:proofErr w:type="spellStart"/>
      <w:r w:rsidRPr="00A259BD">
        <w:rPr>
          <w:rFonts w:ascii="Times New Roman" w:hAnsi="Times New Roman"/>
          <w:color w:val="000000" w:themeColor="text1"/>
          <w:sz w:val="16"/>
          <w:szCs w:val="16"/>
        </w:rPr>
        <w:t>недохода</w:t>
      </w:r>
      <w:proofErr w:type="spellEnd"/>
      <w:r w:rsidRPr="00A259BD">
        <w:rPr>
          <w:rFonts w:ascii="Times New Roman" w:hAnsi="Times New Roman"/>
          <w:color w:val="000000" w:themeColor="text1"/>
          <w:sz w:val="16"/>
          <w:szCs w:val="16"/>
        </w:rPr>
        <w:t xml:space="preserve"> замка и рамы по причине блокировки </w:t>
      </w:r>
      <w:proofErr w:type="spellStart"/>
      <w:r w:rsidRPr="00A259BD">
        <w:rPr>
          <w:rFonts w:ascii="Times New Roman" w:hAnsi="Times New Roman"/>
          <w:color w:val="000000" w:themeColor="text1"/>
          <w:sz w:val="16"/>
          <w:szCs w:val="16"/>
        </w:rPr>
        <w:t>звеньеотводов</w:t>
      </w:r>
      <w:proofErr w:type="spellEnd"/>
      <w:r w:rsidRPr="00A259BD">
        <w:rPr>
          <w:rFonts w:ascii="Times New Roman" w:hAnsi="Times New Roman"/>
          <w:color w:val="000000" w:themeColor="text1"/>
          <w:sz w:val="16"/>
          <w:szCs w:val="16"/>
        </w:rPr>
        <w:t xml:space="preserve"> из-за плохой подгонки рукавов. Кроме того, оказалось, что пружинки крышек приемных и отводных рукавов достаточно слабы, так что в полете было утеряно 457 стреляных звеньев. На некоторых режимах работы мотора отмечалась значительная вибрация кольца прицела, а на пикировании закрывалась крышечка «</w:t>
      </w:r>
      <w:proofErr w:type="spellStart"/>
      <w:r w:rsidRPr="00A259BD">
        <w:rPr>
          <w:rFonts w:ascii="Times New Roman" w:hAnsi="Times New Roman"/>
          <w:color w:val="000000" w:themeColor="text1"/>
          <w:sz w:val="16"/>
          <w:szCs w:val="16"/>
        </w:rPr>
        <w:t>Альдиса</w:t>
      </w:r>
      <w:proofErr w:type="spellEnd"/>
      <w:r w:rsidRPr="00A259BD">
        <w:rPr>
          <w:rFonts w:ascii="Times New Roman" w:hAnsi="Times New Roman"/>
          <w:color w:val="000000" w:themeColor="text1"/>
          <w:sz w:val="16"/>
          <w:szCs w:val="16"/>
        </w:rPr>
        <w:t xml:space="preserve">», кроме того, в полете открывались новые лючки для подхода к синхронизаторам. Окончательно «Фоккер» ДХI № 4743 завод № 25 передал НИИ ВВС 4 декабря 1929 года. Выполненные доработки военные одобрили и новое вооружение истребителя было признано удовлетворительным. В отчете было сказано, что «произведенные изменения необходимо внести в </w:t>
      </w:r>
      <w:proofErr w:type="spellStart"/>
      <w:r w:rsidRPr="00A259BD">
        <w:rPr>
          <w:rFonts w:ascii="Times New Roman" w:hAnsi="Times New Roman"/>
          <w:color w:val="000000" w:themeColor="text1"/>
          <w:sz w:val="16"/>
          <w:szCs w:val="16"/>
        </w:rPr>
        <w:t>построительные</w:t>
      </w:r>
      <w:proofErr w:type="spellEnd"/>
      <w:r w:rsidRPr="00A259BD">
        <w:rPr>
          <w:rFonts w:ascii="Times New Roman" w:hAnsi="Times New Roman"/>
          <w:color w:val="000000" w:themeColor="text1"/>
          <w:sz w:val="16"/>
          <w:szCs w:val="16"/>
        </w:rPr>
        <w:t xml:space="preserve"> чертежи по оборудованию и перевооружению всей серии самолетов…», правда, пока свидетельств установки пулеметов ПВ-1 на строевые машины обнаружить не удалось (23030).</w:t>
      </w:r>
    </w:p>
    <w:p w14:paraId="0081A7C6" w14:textId="77777777" w:rsidR="00A54A92" w:rsidRPr="00A259BD" w:rsidRDefault="00A54A92" w:rsidP="009236E3">
      <w:pPr>
        <w:spacing w:after="0" w:line="240" w:lineRule="auto"/>
        <w:jc w:val="both"/>
        <w:rPr>
          <w:rFonts w:ascii="Times New Roman" w:hAnsi="Times New Roman"/>
          <w:color w:val="000000" w:themeColor="text1"/>
          <w:sz w:val="16"/>
          <w:szCs w:val="16"/>
        </w:rPr>
      </w:pPr>
    </w:p>
    <w:p w14:paraId="7D330CAD"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A7A3ED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CA5B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ноября 1929 года сообщается о вскрытой контрреволюционной вредительской организации в бумажной промышленности. 25 декабря того же года доложено о вредительстве в авиапромышленности. 22 марта 1933 года о вредительстве фашистской контрреволюционной организации в химической промышленности среди НТР </w:t>
      </w:r>
      <w:proofErr w:type="spellStart"/>
      <w:r w:rsidRPr="00A259BD">
        <w:rPr>
          <w:rFonts w:ascii="Times New Roman" w:hAnsi="Times New Roman"/>
          <w:color w:val="000000" w:themeColor="text1"/>
          <w:sz w:val="16"/>
          <w:szCs w:val="16"/>
        </w:rPr>
        <w:t>Угрешского</w:t>
      </w:r>
      <w:proofErr w:type="spellEnd"/>
      <w:r w:rsidRPr="00A259BD">
        <w:rPr>
          <w:rFonts w:ascii="Times New Roman" w:hAnsi="Times New Roman"/>
          <w:color w:val="000000" w:themeColor="text1"/>
          <w:sz w:val="16"/>
          <w:szCs w:val="16"/>
        </w:rPr>
        <w:t xml:space="preserve"> химзавода и др. Дошло дело и до крестьян. 28 января 1932 года Политбюро ЦК ВКП(б) рассмотрело вопросы ОГПУ по делу Трудовой крестьянской партии. Было предварительно решено обвиняемым выше 8 лет лишения свободы не давать. </w:t>
      </w:r>
    </w:p>
    <w:p w14:paraId="24141F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Украинский народный центр предлагалось судить как контрреволюционную организацию, выше 6 лет не давать, несколько человек, в том числе Грушевского, а также и коммунистов освободить от приговора. </w:t>
      </w:r>
    </w:p>
    <w:p w14:paraId="33159F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этом велась в прессе большая пропагандистская кампания о вредительстве (11248).</w:t>
      </w:r>
    </w:p>
    <w:p w14:paraId="5F8813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25A6E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ноября 1929 вышло постановление ЦИК, которым граждане СССР, отказавшиеся вернуться из-за границы (невозвращенцы) объявлялись вне закона и в случае обнаружения расстреливались в 24 часа (3908,330).</w:t>
      </w:r>
    </w:p>
    <w:p w14:paraId="623FE8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C411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ноября 1929 Правда начала кампанию против гнилого либерализма и сочувствия врагам (3908,330).</w:t>
      </w:r>
    </w:p>
    <w:p w14:paraId="24D05D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88D757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5E0183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0EDD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ноября 1929 письмом ЦАГИ N 668/с был отправлен Ориентировочный план работ ЦАГИ, связанных с опытным строительством на последние 4 года пятилетки (351).</w:t>
      </w:r>
    </w:p>
    <w:p w14:paraId="424E0BC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7269B7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F27440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06A916C" w14:textId="77777777" w:rsidR="00582146" w:rsidRPr="00A259BD" w:rsidRDefault="00582146" w:rsidP="009236E3">
      <w:pPr>
        <w:pStyle w:val="a3"/>
        <w:rPr>
          <w:color w:val="000000" w:themeColor="text1"/>
          <w:lang w:val="ru-RU"/>
        </w:rPr>
      </w:pPr>
      <w:r w:rsidRPr="00A259BD">
        <w:rPr>
          <w:color w:val="000000" w:themeColor="text1"/>
          <w:lang w:val="ru-RU"/>
        </w:rPr>
        <w:t>22 ноя</w:t>
      </w:r>
      <w:r w:rsidRPr="00A259BD">
        <w:rPr>
          <w:color w:val="000000" w:themeColor="text1"/>
          <w:lang w:val="ru-RU"/>
        </w:rPr>
        <w:softHyphen/>
        <w:t>бря 1929 г. в Ижевске собрался совет заводоуправления, на заседание которого прибыли представители руководства ВСНХ и военные, а так</w:t>
      </w:r>
      <w:r w:rsidRPr="00A259BD">
        <w:rPr>
          <w:color w:val="000000" w:themeColor="text1"/>
          <w:lang w:val="ru-RU"/>
        </w:rPr>
        <w:softHyphen/>
        <w:t>же райкома партии и профсоюза. После бурного обсуждения присутст</w:t>
      </w:r>
      <w:r w:rsidRPr="00A259BD">
        <w:rPr>
          <w:color w:val="000000" w:themeColor="text1"/>
          <w:lang w:val="ru-RU"/>
        </w:rPr>
        <w:softHyphen/>
        <w:t>вовавшие были уведомлены об уже принятом решении - прекратить ра</w:t>
      </w:r>
      <w:r w:rsidRPr="00A259BD">
        <w:rPr>
          <w:color w:val="000000" w:themeColor="text1"/>
          <w:lang w:val="ru-RU"/>
        </w:rPr>
        <w:softHyphen/>
        <w:t xml:space="preserve">боты по мотоциклам. </w:t>
      </w:r>
      <w:proofErr w:type="spellStart"/>
      <w:r w:rsidRPr="00A259BD">
        <w:rPr>
          <w:color w:val="000000" w:themeColor="text1"/>
          <w:lang w:val="ru-RU"/>
        </w:rPr>
        <w:t>Мотосекцию</w:t>
      </w:r>
      <w:proofErr w:type="spellEnd"/>
      <w:r w:rsidRPr="00A259BD">
        <w:rPr>
          <w:color w:val="000000" w:themeColor="text1"/>
          <w:lang w:val="ru-RU"/>
        </w:rPr>
        <w:t xml:space="preserve"> </w:t>
      </w:r>
      <w:proofErr w:type="spellStart"/>
      <w:r w:rsidRPr="00A259BD">
        <w:rPr>
          <w:color w:val="000000" w:themeColor="text1"/>
          <w:lang w:val="ru-RU"/>
        </w:rPr>
        <w:t>Ижстальзавода</w:t>
      </w:r>
      <w:proofErr w:type="spellEnd"/>
      <w:r w:rsidRPr="00A259BD">
        <w:rPr>
          <w:color w:val="000000" w:themeColor="text1"/>
          <w:lang w:val="ru-RU"/>
        </w:rPr>
        <w:t xml:space="preserve"> расформировали, все материалы по опытному </w:t>
      </w:r>
      <w:proofErr w:type="spellStart"/>
      <w:r w:rsidRPr="00A259BD">
        <w:rPr>
          <w:color w:val="000000" w:themeColor="text1"/>
          <w:lang w:val="ru-RU"/>
        </w:rPr>
        <w:t>мотоциклостроению</w:t>
      </w:r>
      <w:proofErr w:type="spellEnd"/>
      <w:r w:rsidRPr="00A259BD">
        <w:rPr>
          <w:color w:val="000000" w:themeColor="text1"/>
          <w:lang w:val="ru-RU"/>
        </w:rPr>
        <w:t xml:space="preserve"> передали в ленинградский трест массового производства (15753).</w:t>
      </w:r>
    </w:p>
    <w:p w14:paraId="6359A8E2" w14:textId="77777777" w:rsidR="00582146" w:rsidRPr="00A259BD" w:rsidRDefault="00582146" w:rsidP="009236E3">
      <w:pPr>
        <w:pStyle w:val="a3"/>
        <w:rPr>
          <w:color w:val="000000" w:themeColor="text1"/>
          <w:lang w:val="ru-RU"/>
        </w:rPr>
      </w:pPr>
    </w:p>
    <w:p w14:paraId="01B0DF57" w14:textId="77777777" w:rsidR="00582146" w:rsidRPr="00A259BD" w:rsidRDefault="005821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 xml:space="preserve">22 ноября </w:t>
      </w:r>
      <w:r w:rsidRPr="00A259BD">
        <w:rPr>
          <w:rFonts w:ascii="Times New Roman" w:hAnsi="Times New Roman"/>
          <w:color w:val="000000" w:themeColor="text1"/>
          <w:sz w:val="16"/>
          <w:szCs w:val="16"/>
        </w:rPr>
        <w:t>в 1929 году образовано Главное автобронетанковое управление (ГАБТУ) Минобороны Российской Федерации</w:t>
      </w:r>
    </w:p>
    <w:p w14:paraId="7974BC08" w14:textId="77777777" w:rsidR="00582146" w:rsidRPr="00A259BD" w:rsidRDefault="00582146" w:rsidP="009236E3">
      <w:pPr>
        <w:spacing w:after="0" w:line="240" w:lineRule="auto"/>
        <w:jc w:val="both"/>
        <w:rPr>
          <w:rFonts w:ascii="Times New Roman" w:hAnsi="Times New Roman"/>
          <w:color w:val="000000" w:themeColor="text1"/>
          <w:sz w:val="16"/>
          <w:szCs w:val="16"/>
        </w:rPr>
      </w:pPr>
    </w:p>
    <w:p w14:paraId="0E5E7E4A"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22 ноября 1929 г. для решения задачи дальнейшего развития бронетанкового вооружения приказом Реввоенсовета СССР было создано Управление механизации и моторизации (УММ) РККА. Первым начальником УММ РККА назначили командарма 1 ранга И.А. </w:t>
      </w:r>
      <w:proofErr w:type="spellStart"/>
      <w:r w:rsidRPr="00A259BD">
        <w:rPr>
          <w:rFonts w:ascii="Times New Roman" w:hAnsi="Times New Roman"/>
          <w:color w:val="000000" w:themeColor="text1"/>
          <w:sz w:val="16"/>
          <w:szCs w:val="16"/>
        </w:rPr>
        <w:t>Халепского</w:t>
      </w:r>
      <w:proofErr w:type="spellEnd"/>
      <w:r w:rsidRPr="00A259BD">
        <w:rPr>
          <w:rFonts w:ascii="Times New Roman" w:hAnsi="Times New Roman"/>
          <w:color w:val="000000" w:themeColor="text1"/>
          <w:sz w:val="16"/>
          <w:szCs w:val="16"/>
        </w:rPr>
        <w:t xml:space="preserve">. Управлением были разработаны и приняты к реализации перспективные планы оснащения Красной Армии бронетанковым вооружением и техникой. В результате в конце 1929 г ГКБ приступило к созданию усовершенствованного варианта маневренного </w:t>
      </w:r>
      <w:proofErr w:type="spellStart"/>
      <w:r w:rsidRPr="00A259BD">
        <w:rPr>
          <w:rFonts w:ascii="Times New Roman" w:hAnsi="Times New Roman"/>
          <w:color w:val="000000" w:themeColor="text1"/>
          <w:sz w:val="16"/>
          <w:szCs w:val="16"/>
        </w:rPr>
        <w:t>танка.Весной</w:t>
      </w:r>
      <w:proofErr w:type="spellEnd"/>
      <w:r w:rsidRPr="00A259BD">
        <w:rPr>
          <w:rFonts w:ascii="Times New Roman" w:hAnsi="Times New Roman"/>
          <w:color w:val="000000" w:themeColor="text1"/>
          <w:sz w:val="16"/>
          <w:szCs w:val="16"/>
        </w:rPr>
        <w:t xml:space="preserve"> 1930 г. в ГКБОАТ под руководством С.П. </w:t>
      </w:r>
      <w:proofErr w:type="spellStart"/>
      <w:r w:rsidRPr="00A259BD">
        <w:rPr>
          <w:rFonts w:ascii="Times New Roman" w:hAnsi="Times New Roman"/>
          <w:color w:val="000000" w:themeColor="text1"/>
          <w:sz w:val="16"/>
          <w:szCs w:val="16"/>
        </w:rPr>
        <w:t>Шукапова</w:t>
      </w:r>
      <w:proofErr w:type="spellEnd"/>
      <w:r w:rsidRPr="00A259BD">
        <w:rPr>
          <w:rFonts w:ascii="Times New Roman" w:hAnsi="Times New Roman"/>
          <w:color w:val="000000" w:themeColor="text1"/>
          <w:sz w:val="16"/>
          <w:szCs w:val="16"/>
        </w:rPr>
        <w:t xml:space="preserve"> при участии конструкторов ХПЗ подготовили проект танка, получившего обозначение Т-24 (первоначально он именовался «Т-12 улучшенный»). В проектировании принимали участие В.И. Заславский и Б.А </w:t>
      </w:r>
      <w:proofErr w:type="spellStart"/>
      <w:r w:rsidRPr="00A259BD">
        <w:rPr>
          <w:rFonts w:ascii="Times New Roman" w:hAnsi="Times New Roman"/>
          <w:color w:val="000000" w:themeColor="text1"/>
          <w:sz w:val="16"/>
          <w:szCs w:val="16"/>
        </w:rPr>
        <w:t>Андрыхевич</w:t>
      </w:r>
      <w:proofErr w:type="spellEnd"/>
      <w:r w:rsidRPr="00A259BD">
        <w:rPr>
          <w:rFonts w:ascii="Times New Roman" w:hAnsi="Times New Roman"/>
          <w:color w:val="000000" w:themeColor="text1"/>
          <w:sz w:val="16"/>
          <w:szCs w:val="16"/>
        </w:rPr>
        <w:t xml:space="preserve">. Приспособление двигателя М-6 и разработку отдельных узлов моторной установки выполнил специально приглашенный для этой цели А.А. Микулин. 28 мая того же года проект танка Т-24 направили председателю НТК </w:t>
      </w:r>
      <w:proofErr w:type="spellStart"/>
      <w:r w:rsidRPr="00A259BD">
        <w:rPr>
          <w:rFonts w:ascii="Times New Roman" w:hAnsi="Times New Roman"/>
          <w:color w:val="000000" w:themeColor="text1"/>
          <w:sz w:val="16"/>
          <w:szCs w:val="16"/>
        </w:rPr>
        <w:t>Оружобъединения</w:t>
      </w:r>
      <w:proofErr w:type="spellEnd"/>
      <w:r w:rsidRPr="00A259BD">
        <w:rPr>
          <w:rFonts w:ascii="Times New Roman" w:hAnsi="Times New Roman"/>
          <w:color w:val="000000" w:themeColor="text1"/>
          <w:sz w:val="16"/>
          <w:szCs w:val="16"/>
        </w:rPr>
        <w:t xml:space="preserve"> Адамсу для рассмотрения и утверждения (12303).</w:t>
      </w:r>
    </w:p>
    <w:p w14:paraId="5A1F9F58" w14:textId="77777777" w:rsidR="00382A41" w:rsidRPr="00A259BD" w:rsidRDefault="00382A41" w:rsidP="009236E3">
      <w:pPr>
        <w:spacing w:after="0" w:line="240" w:lineRule="auto"/>
        <w:jc w:val="both"/>
        <w:rPr>
          <w:rFonts w:ascii="Times New Roman" w:hAnsi="Times New Roman"/>
          <w:color w:val="000000" w:themeColor="text1"/>
          <w:sz w:val="16"/>
          <w:szCs w:val="16"/>
        </w:rPr>
      </w:pPr>
    </w:p>
    <w:p w14:paraId="0A30D13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ноября 1929 г. на </w:t>
      </w:r>
      <w:proofErr w:type="spellStart"/>
      <w:r w:rsidRPr="00A259BD">
        <w:rPr>
          <w:rFonts w:ascii="Times New Roman" w:hAnsi="Times New Roman"/>
          <w:color w:val="000000" w:themeColor="text1"/>
          <w:sz w:val="16"/>
          <w:szCs w:val="16"/>
        </w:rPr>
        <w:t>ИОЗе</w:t>
      </w:r>
      <w:proofErr w:type="spellEnd"/>
      <w:r w:rsidRPr="00A259BD">
        <w:rPr>
          <w:rFonts w:ascii="Times New Roman" w:hAnsi="Times New Roman"/>
          <w:color w:val="000000" w:themeColor="text1"/>
          <w:sz w:val="16"/>
          <w:szCs w:val="16"/>
        </w:rPr>
        <w:t xml:space="preserve"> собрался совет заводоуправления, на заседание которого прибыли представители руководства ВСНХ и ГВТУ, а также делегаты от райкома ВКП(б) и завкома. Председательствовал член президиума Всесоюзной сельскохо</w:t>
      </w:r>
      <w:r w:rsidRPr="00A259BD">
        <w:rPr>
          <w:rFonts w:ascii="Times New Roman" w:hAnsi="Times New Roman"/>
          <w:color w:val="000000" w:themeColor="text1"/>
          <w:sz w:val="16"/>
          <w:szCs w:val="16"/>
        </w:rPr>
        <w:softHyphen/>
        <w:t>зяйственной выставки (ВСХВ) и начальник Главного военно-по</w:t>
      </w:r>
      <w:r w:rsidRPr="00A259BD">
        <w:rPr>
          <w:rFonts w:ascii="Times New Roman" w:hAnsi="Times New Roman"/>
          <w:color w:val="000000" w:themeColor="text1"/>
          <w:sz w:val="16"/>
          <w:szCs w:val="16"/>
        </w:rPr>
        <w:softHyphen/>
        <w:t>литического управления Урываев. Он сообщил, что цель визита правительственной делегации состоит в принятии решения о пре</w:t>
      </w:r>
      <w:r w:rsidRPr="00A259BD">
        <w:rPr>
          <w:rFonts w:ascii="Times New Roman" w:hAnsi="Times New Roman"/>
          <w:color w:val="000000" w:themeColor="text1"/>
          <w:sz w:val="16"/>
          <w:szCs w:val="16"/>
        </w:rPr>
        <w:softHyphen/>
        <w:t xml:space="preserve">кращении </w:t>
      </w:r>
      <w:proofErr w:type="spellStart"/>
      <w:r w:rsidRPr="00A259BD">
        <w:rPr>
          <w:rFonts w:ascii="Times New Roman" w:hAnsi="Times New Roman"/>
          <w:color w:val="000000" w:themeColor="text1"/>
          <w:sz w:val="16"/>
          <w:szCs w:val="16"/>
        </w:rPr>
        <w:t>мотоциклостроения</w:t>
      </w:r>
      <w:proofErr w:type="spellEnd"/>
      <w:r w:rsidRPr="00A259BD">
        <w:rPr>
          <w:rFonts w:ascii="Times New Roman" w:hAnsi="Times New Roman"/>
          <w:color w:val="000000" w:themeColor="text1"/>
          <w:sz w:val="16"/>
          <w:szCs w:val="16"/>
        </w:rPr>
        <w:t xml:space="preserve"> в Ижевске, и предоставил слово для доклада о подготовке </w:t>
      </w:r>
      <w:proofErr w:type="spellStart"/>
      <w:r w:rsidRPr="00A259BD">
        <w:rPr>
          <w:rFonts w:ascii="Times New Roman" w:hAnsi="Times New Roman"/>
          <w:color w:val="000000" w:themeColor="text1"/>
          <w:sz w:val="16"/>
          <w:szCs w:val="16"/>
        </w:rPr>
        <w:t>мотоциклостроения</w:t>
      </w:r>
      <w:proofErr w:type="spellEnd"/>
      <w:r w:rsidRPr="00A259BD">
        <w:rPr>
          <w:rFonts w:ascii="Times New Roman" w:hAnsi="Times New Roman"/>
          <w:color w:val="000000" w:themeColor="text1"/>
          <w:sz w:val="16"/>
          <w:szCs w:val="16"/>
        </w:rPr>
        <w:t xml:space="preserve"> на </w:t>
      </w:r>
      <w:proofErr w:type="spellStart"/>
      <w:r w:rsidRPr="00A259BD">
        <w:rPr>
          <w:rFonts w:ascii="Times New Roman" w:hAnsi="Times New Roman"/>
          <w:color w:val="000000" w:themeColor="text1"/>
          <w:sz w:val="16"/>
          <w:szCs w:val="16"/>
        </w:rPr>
        <w:t>ИОЗе</w:t>
      </w:r>
      <w:proofErr w:type="spellEnd"/>
      <w:r w:rsidRPr="00A259BD">
        <w:rPr>
          <w:rFonts w:ascii="Times New Roman" w:hAnsi="Times New Roman"/>
          <w:color w:val="000000" w:themeColor="text1"/>
          <w:sz w:val="16"/>
          <w:szCs w:val="16"/>
        </w:rPr>
        <w:t xml:space="preserve"> П.В. Можарову. Основное внимание докладчик уделил сущности предпо</w:t>
      </w:r>
      <w:r w:rsidRPr="00A259BD">
        <w:rPr>
          <w:rFonts w:ascii="Times New Roman" w:hAnsi="Times New Roman"/>
          <w:color w:val="000000" w:themeColor="text1"/>
          <w:sz w:val="16"/>
          <w:szCs w:val="16"/>
        </w:rPr>
        <w:softHyphen/>
        <w:t>лагаемой технической помощи зарубежных фирм. В завязавшей</w:t>
      </w:r>
      <w:r w:rsidRPr="00A259BD">
        <w:rPr>
          <w:rFonts w:ascii="Times New Roman" w:hAnsi="Times New Roman"/>
          <w:color w:val="000000" w:themeColor="text1"/>
          <w:sz w:val="16"/>
          <w:szCs w:val="16"/>
        </w:rPr>
        <w:softHyphen/>
        <w:t xml:space="preserve">ся дискуссии представители ВСНХ (Урываев, Н.И. </w:t>
      </w:r>
      <w:proofErr w:type="spellStart"/>
      <w:r w:rsidRPr="00A259BD">
        <w:rPr>
          <w:rFonts w:ascii="Times New Roman" w:hAnsi="Times New Roman"/>
          <w:color w:val="000000" w:themeColor="text1"/>
          <w:sz w:val="16"/>
          <w:szCs w:val="16"/>
        </w:rPr>
        <w:t>Мирзаханов</w:t>
      </w:r>
      <w:proofErr w:type="spellEnd"/>
      <w:r w:rsidRPr="00A259BD">
        <w:rPr>
          <w:rFonts w:ascii="Times New Roman" w:hAnsi="Times New Roman"/>
          <w:color w:val="000000" w:themeColor="text1"/>
          <w:sz w:val="16"/>
          <w:szCs w:val="16"/>
        </w:rPr>
        <w:t xml:space="preserve"> и др.) убеждали собравшихся в неподготовленности </w:t>
      </w:r>
      <w:proofErr w:type="spellStart"/>
      <w:r w:rsidRPr="00A259BD">
        <w:rPr>
          <w:rFonts w:ascii="Times New Roman" w:hAnsi="Times New Roman"/>
          <w:color w:val="000000" w:themeColor="text1"/>
          <w:sz w:val="16"/>
          <w:szCs w:val="16"/>
        </w:rPr>
        <w:t>ИОЗа</w:t>
      </w:r>
      <w:proofErr w:type="spellEnd"/>
      <w:r w:rsidRPr="00A259BD">
        <w:rPr>
          <w:rFonts w:ascii="Times New Roman" w:hAnsi="Times New Roman"/>
          <w:color w:val="000000" w:themeColor="text1"/>
          <w:sz w:val="16"/>
          <w:szCs w:val="16"/>
        </w:rPr>
        <w:t xml:space="preserve"> к выпус</w:t>
      </w:r>
      <w:r w:rsidRPr="00A259BD">
        <w:rPr>
          <w:rFonts w:ascii="Times New Roman" w:hAnsi="Times New Roman"/>
          <w:color w:val="000000" w:themeColor="text1"/>
          <w:sz w:val="16"/>
          <w:szCs w:val="16"/>
        </w:rPr>
        <w:softHyphen/>
        <w:t>ку мотоциклов (недостатке производственных площадей, специ</w:t>
      </w:r>
      <w:r w:rsidRPr="00A259BD">
        <w:rPr>
          <w:rFonts w:ascii="Times New Roman" w:hAnsi="Times New Roman"/>
          <w:color w:val="000000" w:themeColor="text1"/>
          <w:sz w:val="16"/>
          <w:szCs w:val="16"/>
        </w:rPr>
        <w:softHyphen/>
        <w:t xml:space="preserve">ального оборудования, специалистов), а представители Ижевска (директор </w:t>
      </w:r>
      <w:proofErr w:type="spellStart"/>
      <w:r w:rsidRPr="00A259BD">
        <w:rPr>
          <w:rFonts w:ascii="Times New Roman" w:hAnsi="Times New Roman"/>
          <w:color w:val="000000" w:themeColor="text1"/>
          <w:sz w:val="16"/>
          <w:szCs w:val="16"/>
        </w:rPr>
        <w:t>ИОЗа</w:t>
      </w:r>
      <w:proofErr w:type="spellEnd"/>
      <w:r w:rsidRPr="00A259BD">
        <w:rPr>
          <w:rFonts w:ascii="Times New Roman" w:hAnsi="Times New Roman"/>
          <w:color w:val="000000" w:themeColor="text1"/>
          <w:sz w:val="16"/>
          <w:szCs w:val="16"/>
        </w:rPr>
        <w:t xml:space="preserve"> М.И. Ершов, специалисты завода П.В. Можаров, П.В. Шеломов, Соколов, И.А. </w:t>
      </w:r>
      <w:proofErr w:type="spellStart"/>
      <w:r w:rsidRPr="00A259BD">
        <w:rPr>
          <w:rFonts w:ascii="Times New Roman" w:hAnsi="Times New Roman"/>
          <w:color w:val="000000" w:themeColor="text1"/>
          <w:sz w:val="16"/>
          <w:szCs w:val="16"/>
        </w:rPr>
        <w:t>Козилов</w:t>
      </w:r>
      <w:proofErr w:type="spellEnd"/>
      <w:r w:rsidRPr="00A259BD">
        <w:rPr>
          <w:rFonts w:ascii="Times New Roman" w:hAnsi="Times New Roman"/>
          <w:color w:val="000000" w:themeColor="text1"/>
          <w:sz w:val="16"/>
          <w:szCs w:val="16"/>
        </w:rPr>
        <w:t xml:space="preserve"> и др.) утверждали об</w:t>
      </w:r>
      <w:r w:rsidRPr="00A259BD">
        <w:rPr>
          <w:rFonts w:ascii="Times New Roman" w:hAnsi="Times New Roman"/>
          <w:color w:val="000000" w:themeColor="text1"/>
          <w:sz w:val="16"/>
          <w:szCs w:val="16"/>
        </w:rPr>
        <w:softHyphen/>
        <w:t>ратное. Так, Урываев заявил: “Вы идёте по линии развития тан</w:t>
      </w:r>
      <w:r w:rsidRPr="00A259BD">
        <w:rPr>
          <w:rFonts w:ascii="Times New Roman" w:hAnsi="Times New Roman"/>
          <w:color w:val="000000" w:themeColor="text1"/>
          <w:sz w:val="16"/>
          <w:szCs w:val="16"/>
        </w:rPr>
        <w:softHyphen/>
        <w:t>костроения, что требует довольно больших средств и сооруже</w:t>
      </w:r>
      <w:r w:rsidRPr="00A259BD">
        <w:rPr>
          <w:rFonts w:ascii="Times New Roman" w:hAnsi="Times New Roman"/>
          <w:color w:val="000000" w:themeColor="text1"/>
          <w:sz w:val="16"/>
          <w:szCs w:val="16"/>
        </w:rPr>
        <w:softHyphen/>
        <w:t>ний”, - и далее, - “Вы построили хорошие машины, но их с успе</w:t>
      </w:r>
      <w:r w:rsidRPr="00A259BD">
        <w:rPr>
          <w:rFonts w:ascii="Times New Roman" w:hAnsi="Times New Roman"/>
          <w:color w:val="000000" w:themeColor="text1"/>
          <w:sz w:val="16"/>
          <w:szCs w:val="16"/>
        </w:rPr>
        <w:softHyphen/>
        <w:t>хом можно сделать и на других заводах”, - а затем, - “Я не могу взять на себя задачу постройки в Ижевске мотоциклетного заво</w:t>
      </w:r>
      <w:r w:rsidRPr="00A259BD">
        <w:rPr>
          <w:rFonts w:ascii="Times New Roman" w:hAnsi="Times New Roman"/>
          <w:color w:val="000000" w:themeColor="text1"/>
          <w:sz w:val="16"/>
          <w:szCs w:val="16"/>
        </w:rPr>
        <w:softHyphen/>
        <w:t xml:space="preserve">да, так как был бы разбит на голову в СТО”. </w:t>
      </w:r>
      <w:proofErr w:type="spellStart"/>
      <w:r w:rsidRPr="00A259BD">
        <w:rPr>
          <w:rFonts w:ascii="Times New Roman" w:hAnsi="Times New Roman"/>
          <w:color w:val="000000" w:themeColor="text1"/>
          <w:sz w:val="16"/>
          <w:szCs w:val="16"/>
        </w:rPr>
        <w:t>Мирзаханов</w:t>
      </w:r>
      <w:proofErr w:type="spellEnd"/>
      <w:r w:rsidRPr="00A259BD">
        <w:rPr>
          <w:rFonts w:ascii="Times New Roman" w:hAnsi="Times New Roman"/>
          <w:color w:val="000000" w:themeColor="text1"/>
          <w:sz w:val="16"/>
          <w:szCs w:val="16"/>
        </w:rPr>
        <w:t xml:space="preserve"> сооб</w:t>
      </w:r>
      <w:r w:rsidRPr="00A259BD">
        <w:rPr>
          <w:rFonts w:ascii="Times New Roman" w:hAnsi="Times New Roman"/>
          <w:color w:val="000000" w:themeColor="text1"/>
          <w:sz w:val="16"/>
          <w:szCs w:val="16"/>
        </w:rPr>
        <w:softHyphen/>
        <w:t>щил следующее: “Сегодня, когда этот вопрос должен оконча</w:t>
      </w:r>
      <w:r w:rsidRPr="00A259BD">
        <w:rPr>
          <w:rFonts w:ascii="Times New Roman" w:hAnsi="Times New Roman"/>
          <w:color w:val="000000" w:themeColor="text1"/>
          <w:sz w:val="16"/>
          <w:szCs w:val="16"/>
        </w:rPr>
        <w:softHyphen/>
        <w:t>тельно разрешиться, я уполномочен заявить, что правление тре</w:t>
      </w:r>
      <w:r w:rsidRPr="00A259BD">
        <w:rPr>
          <w:rFonts w:ascii="Times New Roman" w:hAnsi="Times New Roman"/>
          <w:color w:val="000000" w:themeColor="text1"/>
          <w:sz w:val="16"/>
          <w:szCs w:val="16"/>
        </w:rPr>
        <w:softHyphen/>
        <w:t xml:space="preserve">ста против того, чтобы на </w:t>
      </w:r>
      <w:proofErr w:type="spellStart"/>
      <w:r w:rsidRPr="00A259BD">
        <w:rPr>
          <w:rFonts w:ascii="Times New Roman" w:hAnsi="Times New Roman"/>
          <w:color w:val="000000" w:themeColor="text1"/>
          <w:sz w:val="16"/>
          <w:szCs w:val="16"/>
        </w:rPr>
        <w:t>Ижзаводе</w:t>
      </w:r>
      <w:proofErr w:type="spellEnd"/>
      <w:r w:rsidRPr="00A259BD">
        <w:rPr>
          <w:rFonts w:ascii="Times New Roman" w:hAnsi="Times New Roman"/>
          <w:color w:val="000000" w:themeColor="text1"/>
          <w:sz w:val="16"/>
          <w:szCs w:val="16"/>
        </w:rPr>
        <w:t xml:space="preserve"> ставить вопрос о </w:t>
      </w:r>
      <w:proofErr w:type="spellStart"/>
      <w:r w:rsidRPr="00A259BD">
        <w:rPr>
          <w:rFonts w:ascii="Times New Roman" w:hAnsi="Times New Roman"/>
          <w:color w:val="000000" w:themeColor="text1"/>
          <w:sz w:val="16"/>
          <w:szCs w:val="16"/>
        </w:rPr>
        <w:t>мотоцик-лостроении</w:t>
      </w:r>
      <w:proofErr w:type="spellEnd"/>
      <w:r w:rsidRPr="00A259BD">
        <w:rPr>
          <w:rFonts w:ascii="Times New Roman" w:hAnsi="Times New Roman"/>
          <w:color w:val="000000" w:themeColor="text1"/>
          <w:sz w:val="16"/>
          <w:szCs w:val="16"/>
        </w:rPr>
        <w:t xml:space="preserve">... над мотоциклами поставлен крест...”. Заводчанам оставалось лишь возражать. Ершов сказал: “Основная причина, почему мы настаиваем на </w:t>
      </w:r>
      <w:proofErr w:type="spellStart"/>
      <w:r w:rsidRPr="00A259BD">
        <w:rPr>
          <w:rFonts w:ascii="Times New Roman" w:hAnsi="Times New Roman"/>
          <w:color w:val="000000" w:themeColor="text1"/>
          <w:sz w:val="16"/>
          <w:szCs w:val="16"/>
        </w:rPr>
        <w:t>мотоциклостроении</w:t>
      </w:r>
      <w:proofErr w:type="spellEnd"/>
      <w:r w:rsidRPr="00A259BD">
        <w:rPr>
          <w:rFonts w:ascii="Times New Roman" w:hAnsi="Times New Roman"/>
          <w:color w:val="000000" w:themeColor="text1"/>
          <w:sz w:val="16"/>
          <w:szCs w:val="16"/>
        </w:rPr>
        <w:t xml:space="preserve"> - это </w:t>
      </w:r>
      <w:proofErr w:type="spellStart"/>
      <w:r w:rsidRPr="00A259BD">
        <w:rPr>
          <w:rFonts w:ascii="Times New Roman" w:hAnsi="Times New Roman"/>
          <w:color w:val="000000" w:themeColor="text1"/>
          <w:sz w:val="16"/>
          <w:szCs w:val="16"/>
        </w:rPr>
        <w:t>незагружен</w:t>
      </w:r>
      <w:r w:rsidRPr="00A259BD">
        <w:rPr>
          <w:rFonts w:ascii="Times New Roman" w:hAnsi="Times New Roman"/>
          <w:color w:val="000000" w:themeColor="text1"/>
          <w:sz w:val="16"/>
          <w:szCs w:val="16"/>
        </w:rPr>
        <w:softHyphen/>
        <w:t>ность</w:t>
      </w:r>
      <w:proofErr w:type="spellEnd"/>
      <w:r w:rsidRPr="00A259BD">
        <w:rPr>
          <w:rFonts w:ascii="Times New Roman" w:hAnsi="Times New Roman"/>
          <w:color w:val="000000" w:themeColor="text1"/>
          <w:sz w:val="16"/>
          <w:szCs w:val="16"/>
        </w:rPr>
        <w:t xml:space="preserve"> оружейных цехов при высокой квалификации рабочей си</w:t>
      </w:r>
      <w:r w:rsidRPr="00A259BD">
        <w:rPr>
          <w:rFonts w:ascii="Times New Roman" w:hAnsi="Times New Roman"/>
          <w:color w:val="000000" w:themeColor="text1"/>
          <w:sz w:val="16"/>
          <w:szCs w:val="16"/>
        </w:rPr>
        <w:softHyphen/>
        <w:t>лы”, Сомов спросил: “Меня интересует вопрос, почему в Ленин</w:t>
      </w:r>
      <w:r w:rsidRPr="00A259BD">
        <w:rPr>
          <w:rFonts w:ascii="Times New Roman" w:hAnsi="Times New Roman"/>
          <w:color w:val="000000" w:themeColor="text1"/>
          <w:sz w:val="16"/>
          <w:szCs w:val="16"/>
        </w:rPr>
        <w:softHyphen/>
        <w:t>граде может быть поставлено производство мотоциклов, а в Ижевске оно нерентабельно?”, Белоусов заявил: “Идея мотоци</w:t>
      </w:r>
      <w:r w:rsidRPr="00A259BD">
        <w:rPr>
          <w:rFonts w:ascii="Times New Roman" w:hAnsi="Times New Roman"/>
          <w:color w:val="000000" w:themeColor="text1"/>
          <w:sz w:val="16"/>
          <w:szCs w:val="16"/>
        </w:rPr>
        <w:softHyphen/>
        <w:t xml:space="preserve">клов на </w:t>
      </w:r>
      <w:proofErr w:type="spellStart"/>
      <w:r w:rsidRPr="00A259BD">
        <w:rPr>
          <w:rFonts w:ascii="Times New Roman" w:hAnsi="Times New Roman"/>
          <w:color w:val="000000" w:themeColor="text1"/>
          <w:sz w:val="16"/>
          <w:szCs w:val="16"/>
        </w:rPr>
        <w:t>Ижзаводе</w:t>
      </w:r>
      <w:proofErr w:type="spellEnd"/>
      <w:r w:rsidRPr="00A259BD">
        <w:rPr>
          <w:rFonts w:ascii="Times New Roman" w:hAnsi="Times New Roman"/>
          <w:color w:val="000000" w:themeColor="text1"/>
          <w:sz w:val="16"/>
          <w:szCs w:val="16"/>
        </w:rPr>
        <w:t xml:space="preserve"> заслуживает внимания. Это бесспорно”, - и да</w:t>
      </w:r>
      <w:r w:rsidRPr="00A259BD">
        <w:rPr>
          <w:rFonts w:ascii="Times New Roman" w:hAnsi="Times New Roman"/>
          <w:color w:val="000000" w:themeColor="text1"/>
          <w:sz w:val="16"/>
          <w:szCs w:val="16"/>
        </w:rPr>
        <w:softHyphen/>
        <w:t>лее, - “Когда нам оставался месяц до окончания работы с наши</w:t>
      </w:r>
      <w:r w:rsidRPr="00A259BD">
        <w:rPr>
          <w:rFonts w:ascii="Times New Roman" w:hAnsi="Times New Roman"/>
          <w:color w:val="000000" w:themeColor="text1"/>
          <w:sz w:val="16"/>
          <w:szCs w:val="16"/>
        </w:rPr>
        <w:softHyphen/>
        <w:t>ми мотоциклами и столько же до пробега, мы получили теле</w:t>
      </w:r>
      <w:r w:rsidRPr="00A259BD">
        <w:rPr>
          <w:rFonts w:ascii="Times New Roman" w:hAnsi="Times New Roman"/>
          <w:color w:val="000000" w:themeColor="text1"/>
          <w:sz w:val="16"/>
          <w:szCs w:val="16"/>
        </w:rPr>
        <w:softHyphen/>
        <w:t xml:space="preserve">грамму - снять </w:t>
      </w:r>
      <w:proofErr w:type="spellStart"/>
      <w:r w:rsidRPr="00A259BD">
        <w:rPr>
          <w:rFonts w:ascii="Times New Roman" w:hAnsi="Times New Roman"/>
          <w:color w:val="000000" w:themeColor="text1"/>
          <w:sz w:val="16"/>
          <w:szCs w:val="16"/>
        </w:rPr>
        <w:t>мотоциклостроение</w:t>
      </w:r>
      <w:proofErr w:type="spellEnd"/>
      <w:r w:rsidRPr="00A259BD">
        <w:rPr>
          <w:rFonts w:ascii="Times New Roman" w:hAnsi="Times New Roman"/>
          <w:color w:val="000000" w:themeColor="text1"/>
          <w:sz w:val="16"/>
          <w:szCs w:val="16"/>
        </w:rPr>
        <w:t>”, - и, наконец, - “Со стороны треста мы имеем ни более, ни менее как трусость и нежелание за</w:t>
      </w:r>
      <w:r w:rsidRPr="00A259BD">
        <w:rPr>
          <w:rFonts w:ascii="Times New Roman" w:hAnsi="Times New Roman"/>
          <w:color w:val="000000" w:themeColor="text1"/>
          <w:sz w:val="16"/>
          <w:szCs w:val="16"/>
        </w:rPr>
        <w:softHyphen/>
        <w:t xml:space="preserve">ниматься таким серьёзным и большим делом” [3.94]. Обсуждение зашло в тупик, и предотвратить запрет </w:t>
      </w:r>
      <w:proofErr w:type="spellStart"/>
      <w:r w:rsidRPr="00A259BD">
        <w:rPr>
          <w:rFonts w:ascii="Times New Roman" w:hAnsi="Times New Roman"/>
          <w:color w:val="000000" w:themeColor="text1"/>
          <w:sz w:val="16"/>
          <w:szCs w:val="16"/>
        </w:rPr>
        <w:t>мотоциклостроения</w:t>
      </w:r>
      <w:proofErr w:type="spellEnd"/>
      <w:r w:rsidRPr="00A259BD">
        <w:rPr>
          <w:rFonts w:ascii="Times New Roman" w:hAnsi="Times New Roman"/>
          <w:color w:val="000000" w:themeColor="text1"/>
          <w:sz w:val="16"/>
          <w:szCs w:val="16"/>
        </w:rPr>
        <w:t xml:space="preserve"> на </w:t>
      </w:r>
      <w:proofErr w:type="spellStart"/>
      <w:r w:rsidRPr="00A259BD">
        <w:rPr>
          <w:rFonts w:ascii="Times New Roman" w:hAnsi="Times New Roman"/>
          <w:color w:val="000000" w:themeColor="text1"/>
          <w:sz w:val="16"/>
          <w:szCs w:val="16"/>
        </w:rPr>
        <w:t>ИОЗе</w:t>
      </w:r>
      <w:proofErr w:type="spellEnd"/>
      <w:r w:rsidRPr="00A259BD">
        <w:rPr>
          <w:rFonts w:ascii="Times New Roman" w:hAnsi="Times New Roman"/>
          <w:color w:val="000000" w:themeColor="text1"/>
          <w:sz w:val="16"/>
          <w:szCs w:val="16"/>
        </w:rPr>
        <w:t xml:space="preserve"> не удалось. Вслед за тем на заводе произвели серьёзные из</w:t>
      </w:r>
      <w:r w:rsidRPr="00A259BD">
        <w:rPr>
          <w:rFonts w:ascii="Times New Roman" w:hAnsi="Times New Roman"/>
          <w:color w:val="000000" w:themeColor="text1"/>
          <w:sz w:val="16"/>
          <w:szCs w:val="16"/>
        </w:rPr>
        <w:softHyphen/>
        <w:t>менения (11429).</w:t>
      </w:r>
    </w:p>
    <w:p w14:paraId="0DD78B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0595F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6E566F9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5046F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ноября 1929 приказом РВС было создано УММ РККА, начальником которого стал командарм 1р </w:t>
      </w:r>
      <w:proofErr w:type="spellStart"/>
      <w:r w:rsidRPr="00A259BD">
        <w:rPr>
          <w:rFonts w:ascii="Times New Roman" w:hAnsi="Times New Roman"/>
          <w:color w:val="000000" w:themeColor="text1"/>
          <w:sz w:val="16"/>
          <w:szCs w:val="16"/>
        </w:rPr>
        <w:t>И.А.Халепский</w:t>
      </w:r>
      <w:proofErr w:type="spellEnd"/>
      <w:r w:rsidRPr="00A259BD">
        <w:rPr>
          <w:rFonts w:ascii="Times New Roman" w:hAnsi="Times New Roman"/>
          <w:color w:val="000000" w:themeColor="text1"/>
          <w:sz w:val="16"/>
          <w:szCs w:val="16"/>
        </w:rPr>
        <w:t xml:space="preserve"> (9527,13).</w:t>
      </w:r>
    </w:p>
    <w:p w14:paraId="163500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A5841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ноября 1929 г. ПРИКАЗОМ РЕВОЛЮЦИОННОГО ВОЕННОГО СОВЕТА СССР № 367/82 было введено в действие Положение об управлении по механизации и моторизации РККА:</w:t>
      </w:r>
    </w:p>
    <w:p w14:paraId="76CE89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Ввести в действие объявляемое Положение об управлении по механизации и моторизации РККА.</w:t>
      </w:r>
    </w:p>
    <w:p w14:paraId="6C82D1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Народный комиссар по военным и морским делам и Председатель РВС СССР Ворошилов</w:t>
      </w:r>
    </w:p>
    <w:p w14:paraId="719C0C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w:t>
      </w:r>
    </w:p>
    <w:p w14:paraId="0A99D1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Утверждено</w:t>
      </w:r>
    </w:p>
    <w:p w14:paraId="4A19B8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Народный комиссар по военным и морским делам и Председатель РВС СССР</w:t>
      </w:r>
    </w:p>
    <w:p w14:paraId="57BDFA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Ворошилов </w:t>
      </w:r>
    </w:p>
    <w:p w14:paraId="2E3F70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ноября 1929 года</w:t>
      </w:r>
    </w:p>
    <w:p w14:paraId="52D303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Положение об Управлении по механизации и моторизации РККА</w:t>
      </w:r>
    </w:p>
    <w:p w14:paraId="043EFC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 1. Управление по механизации и моторизации РККА является центральным органом НКВМ по руководству формированием, мобилизацией, боевой и технической подготовкой, специальным снабжением, обучением и службой механизированных войск РККА, а также ведает всеми вопросами моторизации частей и транспорта РККА, их специальным снабжением и специальной подготовкой их личного состава.</w:t>
      </w:r>
    </w:p>
    <w:p w14:paraId="7F63B9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 2. Управление по механизации и моторизации РККА состоит из:</w:t>
      </w:r>
    </w:p>
    <w:p w14:paraId="2FCC5A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Управления учебно-строевого,</w:t>
      </w:r>
    </w:p>
    <w:p w14:paraId="4DB679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Управления технического,</w:t>
      </w:r>
    </w:p>
    <w:p w14:paraId="6C6190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Научно-технического комитета, действующего на основании особого о нем Положения.</w:t>
      </w:r>
    </w:p>
    <w:p w14:paraId="75FDEB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Управлении по механизации и моторизации РККА состоит инспектор ММС, являющийся по должности заместителем начальника Управления по механизации и моторизации РККА и действующий, как таковой, на основе Положения об инспекциях РККА.</w:t>
      </w:r>
    </w:p>
    <w:p w14:paraId="294E1E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 3. На Управление по механизации и моторизации РККА возлагается:</w:t>
      </w:r>
    </w:p>
    <w:p w14:paraId="34F41A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разработка учебных планов, программ и методических руководств для механизированных, самостоятельных моторизованных войск и автомобильных частей;</w:t>
      </w:r>
    </w:p>
    <w:p w14:paraId="139BBF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участие в разрабатываемых Штабом РККА перспективных планов развития и мобилизационного развертывания механизированных и моторизованных войск (частей) РККА;</w:t>
      </w:r>
    </w:p>
    <w:p w14:paraId="590F7F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обеспечение специальным снабжением мобилизационного развертывания моторизованных частей РККА;</w:t>
      </w:r>
    </w:p>
    <w:p w14:paraId="42A79D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руководство, на основе указаний начальника Штаба РККА и начальника ГУРККА, мобилизацией </w:t>
      </w:r>
      <w:proofErr w:type="spellStart"/>
      <w:r w:rsidRPr="00A259BD">
        <w:rPr>
          <w:rFonts w:ascii="Times New Roman" w:hAnsi="Times New Roman"/>
          <w:color w:val="000000" w:themeColor="text1"/>
          <w:sz w:val="16"/>
          <w:szCs w:val="16"/>
        </w:rPr>
        <w:t>автомотовело</w:t>
      </w:r>
      <w:proofErr w:type="spellEnd"/>
      <w:r w:rsidRPr="00A259BD">
        <w:rPr>
          <w:rFonts w:ascii="Times New Roman" w:hAnsi="Times New Roman"/>
          <w:color w:val="000000" w:themeColor="text1"/>
          <w:sz w:val="16"/>
          <w:szCs w:val="16"/>
        </w:rPr>
        <w:t>- и тракторного имущества;</w:t>
      </w:r>
    </w:p>
    <w:p w14:paraId="33415F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разработка, на основе оперативно-тактических заданий Штаба РККА, системы вооружения механизированных войск, а также составление тактико-технических требований, ко всем предметам специального снабжения (механизированной тяги) по моторизации частей РККА;</w:t>
      </w:r>
    </w:p>
    <w:p w14:paraId="6E0258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постановка испытаний всех новых образцов системы вооружений механизированных частей РККА и всех образцов механической тяги для моторизации частей РККА и ответственность во всех отношениях;</w:t>
      </w:r>
    </w:p>
    <w:p w14:paraId="6B0A49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разработка вопросов обеспечения возможных театров военных действий ремонтными и эксплуатационными базами для механизированных и моторизованных сил;</w:t>
      </w:r>
    </w:p>
    <w:p w14:paraId="04AB9D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разработка проектов уставов по боевому применению и по боевой деятельности механизированных войск (частей) РККА, а также специальных наставлений по применению специальных средств механической тяги моторизованных частей РККА;</w:t>
      </w:r>
    </w:p>
    <w:p w14:paraId="46C1CD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участие в разработке планов и программ по соответствующей специальной подготовке переменного состава ВУЗов;</w:t>
      </w:r>
    </w:p>
    <w:p w14:paraId="13FAA4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участие в назначении и перемещении личного состава механизированных войск (частей) РККА, на основе Положения о прохождении службы начсоставом РККА и дача заключений по назначениям и перемещениям личного состава специальной технической службы моторизованных частей РККА;</w:t>
      </w:r>
    </w:p>
    <w:p w14:paraId="1187BA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определение, на основе существующих планов механизации и моторизации РККА, потребностей во всех видах материальной части, специального имущества и составление сметных исчислений потребности в кредитах;</w:t>
      </w:r>
    </w:p>
    <w:p w14:paraId="1EFFDF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 дача заданий для промышленности по всем видам материального и специального снабжения, а также установление сроков выполнения этих заданий, технических условий и образцов технического имущества и по наблюдению за выполнением заказов и приемки готовых изделий;</w:t>
      </w:r>
    </w:p>
    <w:p w14:paraId="5940F1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 наблюдение за усовершенствованием начсостава механизированных войск и в отношении специальной технической службы начсостава моторизованных частей РККА;</w:t>
      </w:r>
    </w:p>
    <w:p w14:paraId="2B7BFB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руководство приемкой, хранением и распределением всех видов эксплуатационных материалов для всех средств механической тяги и транспорта РККА.</w:t>
      </w:r>
    </w:p>
    <w:p w14:paraId="4E741F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 4. Во главе Управления по механизации и моторизации РККА стоит Начальник </w:t>
      </w:r>
      <w:proofErr w:type="spellStart"/>
      <w:r w:rsidRPr="00A259BD">
        <w:rPr>
          <w:rFonts w:ascii="Times New Roman" w:hAnsi="Times New Roman"/>
          <w:color w:val="000000" w:themeColor="text1"/>
          <w:sz w:val="16"/>
          <w:szCs w:val="16"/>
        </w:rPr>
        <w:t>механизирован¬ных</w:t>
      </w:r>
      <w:proofErr w:type="spellEnd"/>
      <w:r w:rsidRPr="00A259BD">
        <w:rPr>
          <w:rFonts w:ascii="Times New Roman" w:hAnsi="Times New Roman"/>
          <w:color w:val="000000" w:themeColor="text1"/>
          <w:sz w:val="16"/>
          <w:szCs w:val="16"/>
        </w:rPr>
        <w:t xml:space="preserve"> войск РККА, который подчиняется непосредственно Народному комиссару по военным и морским делам, руководит всей работой Управления и несет ответственность за нее во всех отношениях.</w:t>
      </w:r>
    </w:p>
    <w:p w14:paraId="57E1B0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начальник Управления по механизации и моторизации РККА:</w:t>
      </w:r>
    </w:p>
    <w:p w14:paraId="084D59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участвует в разработке всех заявок по развитию </w:t>
      </w:r>
      <w:proofErr w:type="spellStart"/>
      <w:r w:rsidRPr="00A259BD">
        <w:rPr>
          <w:rFonts w:ascii="Times New Roman" w:hAnsi="Times New Roman"/>
          <w:color w:val="000000" w:themeColor="text1"/>
          <w:sz w:val="16"/>
          <w:szCs w:val="16"/>
        </w:rPr>
        <w:t>автомотовело</w:t>
      </w:r>
      <w:proofErr w:type="spellEnd"/>
      <w:r w:rsidRPr="00A259BD">
        <w:rPr>
          <w:rFonts w:ascii="Times New Roman" w:hAnsi="Times New Roman"/>
          <w:color w:val="000000" w:themeColor="text1"/>
          <w:sz w:val="16"/>
          <w:szCs w:val="16"/>
        </w:rPr>
        <w:t>- и тракторной промышленности по техническим условиям и образцам;</w:t>
      </w:r>
    </w:p>
    <w:p w14:paraId="1A79ED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участвует в разработке всех вопросов по организации механизированных и моторизованных сил РККА;</w:t>
      </w:r>
    </w:p>
    <w:p w14:paraId="529649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инспектирует строевые части, учреждения и заведения механизированных войск (частей) РККА во всех отношениях, а моторизованные части РККА в специально-техническом отношении;</w:t>
      </w:r>
    </w:p>
    <w:p w14:paraId="6A7CC1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утверждает наставления, инструкции, руководства и правила по специальным и техническим службам механизированных войск РККА и по специально-технической службе моторизованных частей РККА;</w:t>
      </w:r>
    </w:p>
    <w:p w14:paraId="4F116B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утверждает договоры на поставку всех предметов специального снабжения и разрешает вопросы отнесения за счет государства убытков по хранению и эксплуатации этих предметов, в пределах предоставленных ему прав;</w:t>
      </w:r>
    </w:p>
    <w:p w14:paraId="6A66A7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наблюдает за выполнением промышленностью текущих военных заказов и инспектирует конструкторскую работу, ведущуюся в соответствующих научных учреждениях и конструкторских бюро.</w:t>
      </w:r>
    </w:p>
    <w:p w14:paraId="7F313D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Ст. 5. Начальнику Управления по механизации и моторизации РККА подчиняются в </w:t>
      </w:r>
      <w:proofErr w:type="spellStart"/>
      <w:r w:rsidRPr="00A259BD">
        <w:rPr>
          <w:rFonts w:ascii="Times New Roman" w:hAnsi="Times New Roman"/>
          <w:color w:val="000000" w:themeColor="text1"/>
          <w:sz w:val="16"/>
          <w:szCs w:val="16"/>
        </w:rPr>
        <w:t>специаль¬ном</w:t>
      </w:r>
      <w:proofErr w:type="spellEnd"/>
      <w:r w:rsidRPr="00A259BD">
        <w:rPr>
          <w:rFonts w:ascii="Times New Roman" w:hAnsi="Times New Roman"/>
          <w:color w:val="000000" w:themeColor="text1"/>
          <w:sz w:val="16"/>
          <w:szCs w:val="16"/>
        </w:rPr>
        <w:t xml:space="preserve"> и техническом отношении механизированные войска РККА, а также в части специально технической службы и специального технического снабжения - моторизованные части РККА.</w:t>
      </w:r>
    </w:p>
    <w:p w14:paraId="1F015B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Соединения механизированных и моторизованных войск (частей) РККА, не входящие в состав военных округов, подчиняются непосредственно начальнику Управления по механизации и моторизации РККА во всех отношениях.</w:t>
      </w:r>
    </w:p>
    <w:p w14:paraId="12311C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 Главного управления РККА Левандовский</w:t>
      </w:r>
    </w:p>
    <w:p w14:paraId="0121D5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2</w:t>
      </w:r>
    </w:p>
    <w:p w14:paraId="0A10D5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Утверждено</w:t>
      </w:r>
    </w:p>
    <w:p w14:paraId="42C937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Народный Комиссар по военным и морским делам и Председатель РВС СССР Ворошилов </w:t>
      </w:r>
    </w:p>
    <w:p w14:paraId="3C65D3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ноября 1929 года</w:t>
      </w:r>
    </w:p>
    <w:p w14:paraId="295EE8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Положение об Управлении по механизации и моторизации РККА</w:t>
      </w:r>
    </w:p>
    <w:p w14:paraId="38FA03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ГЛАВА 1 </w:t>
      </w:r>
    </w:p>
    <w:p w14:paraId="6A73CC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ОБЩИЕ ПОЛОЖЕНИЯ</w:t>
      </w:r>
    </w:p>
    <w:p w14:paraId="778928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 1. Управление по механизации и моторизации РККА является центральным органом НКВМ по руководству формированием, мобилизацией, боевой и технической подготовкой, специальным снабжением, обучением и службой механизированных войск РККА, а также ведает всеми вопросами моторизации частей и транспорта РККА, их специальным снабжением и специальной подготовкой их личного </w:t>
      </w:r>
      <w:proofErr w:type="spellStart"/>
      <w:r w:rsidRPr="00A259BD">
        <w:rPr>
          <w:rFonts w:ascii="Times New Roman" w:hAnsi="Times New Roman"/>
          <w:color w:val="000000" w:themeColor="text1"/>
          <w:sz w:val="16"/>
          <w:szCs w:val="16"/>
        </w:rPr>
        <w:t>со¬става</w:t>
      </w:r>
      <w:proofErr w:type="spellEnd"/>
      <w:r w:rsidRPr="00A259BD">
        <w:rPr>
          <w:rFonts w:ascii="Times New Roman" w:hAnsi="Times New Roman"/>
          <w:color w:val="000000" w:themeColor="text1"/>
          <w:sz w:val="16"/>
          <w:szCs w:val="16"/>
        </w:rPr>
        <w:t>.</w:t>
      </w:r>
    </w:p>
    <w:p w14:paraId="63EBCA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 2. Управление по механизации и моторизации РККА состоит из:</w:t>
      </w:r>
    </w:p>
    <w:p w14:paraId="67B318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Управления учебно-строевого,</w:t>
      </w:r>
    </w:p>
    <w:p w14:paraId="5CD241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Управления технического,</w:t>
      </w:r>
    </w:p>
    <w:p w14:paraId="091D4B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Научно-технического комитета, действующего на основании особого о нем Положения.</w:t>
      </w:r>
    </w:p>
    <w:p w14:paraId="43E36A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Управлении по механизации и моторизации РККА состоит Инспектор ММС, являющийся по должности заместителем начальника Управления по механизации и моторизации РККА и действующий, как таковой, на основе Положения об Инспекциях РККА.</w:t>
      </w:r>
    </w:p>
    <w:p w14:paraId="0666F7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 3. На Управление по механизации и моторизации РККА возлагается:</w:t>
      </w:r>
    </w:p>
    <w:p w14:paraId="37448B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разработка учебных планов, программ и методических руководств для механизированных, самостоятельных моторизованных войск и автомобильных частей;</w:t>
      </w:r>
    </w:p>
    <w:p w14:paraId="5B9F67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участие в разрабатываемых Штабом РККА перспективных планов развития и мобилизационного развертывания механизированных и моторизованных войск (частей) РККА;</w:t>
      </w:r>
    </w:p>
    <w:p w14:paraId="0D5EE5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обеспечение специальным снабжением мобилизационного развертывания моторизованных частей РККА;</w:t>
      </w:r>
    </w:p>
    <w:p w14:paraId="0C9207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руководство, на основе указаний Начальника Штаба РККА и Начальника ГУРККА, мобилизацией </w:t>
      </w:r>
      <w:proofErr w:type="spellStart"/>
      <w:r w:rsidRPr="00A259BD">
        <w:rPr>
          <w:rFonts w:ascii="Times New Roman" w:hAnsi="Times New Roman"/>
          <w:color w:val="000000" w:themeColor="text1"/>
          <w:sz w:val="16"/>
          <w:szCs w:val="16"/>
        </w:rPr>
        <w:t>автомотовело</w:t>
      </w:r>
      <w:proofErr w:type="spellEnd"/>
      <w:r w:rsidRPr="00A259BD">
        <w:rPr>
          <w:rFonts w:ascii="Times New Roman" w:hAnsi="Times New Roman"/>
          <w:color w:val="000000" w:themeColor="text1"/>
          <w:sz w:val="16"/>
          <w:szCs w:val="16"/>
        </w:rPr>
        <w:t>- и тракторного имущества;</w:t>
      </w:r>
    </w:p>
    <w:p w14:paraId="592B88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разработка, на основе оперативно-тактических заданий Штаба РККА, системы вооружения механизированных войск, а также составление тактико-технических требований, ко всем предметам специального снабжения (механизированной тяги) по моторизации частей РККА;</w:t>
      </w:r>
    </w:p>
    <w:p w14:paraId="760FF2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постановка испытаний всех новых образцов системы вооружений механизированных частей РККА и всех образцов механической тяги для моторизации частей РККА и ответственность во всех отношениях;</w:t>
      </w:r>
    </w:p>
    <w:p w14:paraId="5CC8C2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разработка вопросов обеспечения возможных театров военных действий ремонтными и эксплуатационными базами для механизированных и моторизованных сил;</w:t>
      </w:r>
    </w:p>
    <w:p w14:paraId="1CE5A1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разработка проектов уставов по боевому применению и по боевой деятельности механизированных войск (частей) РККА, а также специальных наставлений по применению специальных средств механической тяги моторизованных частей РККА;</w:t>
      </w:r>
    </w:p>
    <w:p w14:paraId="306A63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участие в разработке планов и программ по соответствующей специальной подготовке переменного состава ВУЗов;</w:t>
      </w:r>
    </w:p>
    <w:p w14:paraId="7C749B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участие в назначении и перемещении личного состава механизированных войск (частей) РККА, на основе Положения о прохождении службы начсоставом РККА и дача заключений по назначениям и перемещениям личного состава специальной технической службы моторизованных частей РККА;</w:t>
      </w:r>
    </w:p>
    <w:p w14:paraId="208A97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определение, на основе существующих планов механизации и моторизации РККА, потребностей во всех видах материальной части, специального имущества и составление сметных исчислений потребности в кредитах;</w:t>
      </w:r>
    </w:p>
    <w:p w14:paraId="7FE731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 дача заданий для промышленности по всем видам материального и специального снабжения, а также установление сроков выполнения этих заданий, технических условий и образцов технического имущества и по наблюдению за выполнением заказов и приемки готовых изделий;</w:t>
      </w:r>
    </w:p>
    <w:p w14:paraId="6352E4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 наблюдение за усовершенствованием начсостава механизированных войск и в отношении специальной технической службы начсостава моторизованных частей РККА;</w:t>
      </w:r>
    </w:p>
    <w:p w14:paraId="7E1B5F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руководство приемкой, хранением и распределением всех видов эксплуатационных материалов для всех средств механической тяги и транспорта РККА.</w:t>
      </w:r>
    </w:p>
    <w:p w14:paraId="7B3109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 4. Во главе Управления по механизации и моторизации РККА стоит Начальник </w:t>
      </w:r>
      <w:proofErr w:type="spellStart"/>
      <w:r w:rsidRPr="00A259BD">
        <w:rPr>
          <w:rFonts w:ascii="Times New Roman" w:hAnsi="Times New Roman"/>
          <w:color w:val="000000" w:themeColor="text1"/>
          <w:sz w:val="16"/>
          <w:szCs w:val="16"/>
        </w:rPr>
        <w:t>механизирован¬ных</w:t>
      </w:r>
      <w:proofErr w:type="spellEnd"/>
      <w:r w:rsidRPr="00A259BD">
        <w:rPr>
          <w:rFonts w:ascii="Times New Roman" w:hAnsi="Times New Roman"/>
          <w:color w:val="000000" w:themeColor="text1"/>
          <w:sz w:val="16"/>
          <w:szCs w:val="16"/>
        </w:rPr>
        <w:t xml:space="preserve"> войск РККА, который подчиняется непосредственно Народному комиссару по военным и морским делам, руководит всей работой Управления и несет ответственность за нее во всех отношениях.</w:t>
      </w:r>
    </w:p>
    <w:p w14:paraId="2346FF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Начальник Управления по механизации и моторизации РККА:</w:t>
      </w:r>
    </w:p>
    <w:p w14:paraId="75BFA1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участвует в разработке всех заявок по развитию </w:t>
      </w:r>
      <w:proofErr w:type="spellStart"/>
      <w:r w:rsidRPr="00A259BD">
        <w:rPr>
          <w:rFonts w:ascii="Times New Roman" w:hAnsi="Times New Roman"/>
          <w:color w:val="000000" w:themeColor="text1"/>
          <w:sz w:val="16"/>
          <w:szCs w:val="16"/>
        </w:rPr>
        <w:t>автомотовело</w:t>
      </w:r>
      <w:proofErr w:type="spellEnd"/>
      <w:r w:rsidRPr="00A259BD">
        <w:rPr>
          <w:rFonts w:ascii="Times New Roman" w:hAnsi="Times New Roman"/>
          <w:color w:val="000000" w:themeColor="text1"/>
          <w:sz w:val="16"/>
          <w:szCs w:val="16"/>
        </w:rPr>
        <w:t>- и тракторной промышленности по техническим условиям и образцам;</w:t>
      </w:r>
    </w:p>
    <w:p w14:paraId="53932D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участвует в разработке всех вопросов по организации механизированных и моторизованных сил РККА;</w:t>
      </w:r>
    </w:p>
    <w:p w14:paraId="503C82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инспектирует строевые части, учреждения и заведения механизированных войск (частей) РККА во всех отношениях, а моторизованные части РККА в специально-техническом отношении;</w:t>
      </w:r>
    </w:p>
    <w:p w14:paraId="3C5868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утверждает наставления, инструкции, руководства и правила по специальным и техническим службам механизированных войск РККА и по специально-технической службе моторизованных частей РККА;</w:t>
      </w:r>
    </w:p>
    <w:p w14:paraId="26AA17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утверждает договоры на поставку всех предметов специального снабжения и разрешает вопросы отнесения за счет государства убытков по хранению и эксплуатации этих предметов, в пределах предоставленных ему прав;</w:t>
      </w:r>
    </w:p>
    <w:p w14:paraId="665098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наблюдает за выполнением промышленностью текущих военных заказов и инспектирует конструкторскую работу, ведущуюся в соответствующих научных учреждениях и конструкторских бюро.</w:t>
      </w:r>
    </w:p>
    <w:p w14:paraId="3CE5BE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 5. Начальнику Управления по механизации и моторизации РККА подчиняются в специальном и техническом отношении механизированные войска РККА, а также в части специально-технической службы и специального технического снабжения - моторизованные части РККА.</w:t>
      </w:r>
    </w:p>
    <w:p w14:paraId="54D2D2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Соединения механизированных и моторизованных войск (частей) РККА, не входящие в состав военных округов, подчиняются непосредственно Начальнику Управления по механизации и моторизации РККА во всех отношениях.</w:t>
      </w:r>
    </w:p>
    <w:p w14:paraId="36E2EF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ГЛАВА 2 </w:t>
      </w:r>
    </w:p>
    <w:p w14:paraId="3B17D5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УПРАВЛЕНИЕ УЧЕБНО-СТРОЕВОЕ</w:t>
      </w:r>
    </w:p>
    <w:p w14:paraId="1C63E4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Ведению Управления подлежит:</w:t>
      </w:r>
    </w:p>
    <w:p w14:paraId="3F3C59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вопросы организационно-мобилизационные;</w:t>
      </w:r>
    </w:p>
    <w:p w14:paraId="0942EA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разработка системы вооружения механизированных и моторизованных сил РККА;</w:t>
      </w:r>
    </w:p>
    <w:p w14:paraId="672570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установление тактических требований к основным образцам средств механизации и моторизации РККА;</w:t>
      </w:r>
    </w:p>
    <w:p w14:paraId="226887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вопросы квартирного расписания ММС;</w:t>
      </w:r>
    </w:p>
    <w:p w14:paraId="1F1FA3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изучение вопросов оперативно-тактического использования ММС иностранных армий;</w:t>
      </w:r>
    </w:p>
    <w:p w14:paraId="1BDFD0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вопросы боевой и специальной подготовки, обучения и воспитания личного состава механизированных и моторизованных сил РККА;</w:t>
      </w:r>
    </w:p>
    <w:p w14:paraId="744220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ж) разработка </w:t>
      </w:r>
      <w:proofErr w:type="spellStart"/>
      <w:r w:rsidRPr="00A259BD">
        <w:rPr>
          <w:rFonts w:ascii="Times New Roman" w:hAnsi="Times New Roman"/>
          <w:color w:val="000000" w:themeColor="text1"/>
          <w:sz w:val="16"/>
          <w:szCs w:val="16"/>
        </w:rPr>
        <w:t>боевьгх</w:t>
      </w:r>
      <w:proofErr w:type="spellEnd"/>
      <w:r w:rsidRPr="00A259BD">
        <w:rPr>
          <w:rFonts w:ascii="Times New Roman" w:hAnsi="Times New Roman"/>
          <w:color w:val="000000" w:themeColor="text1"/>
          <w:sz w:val="16"/>
          <w:szCs w:val="16"/>
        </w:rPr>
        <w:t xml:space="preserve"> уставов ММС РККА;</w:t>
      </w:r>
    </w:p>
    <w:p w14:paraId="27E478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вопросы устройства и несения службы ММС;</w:t>
      </w:r>
    </w:p>
    <w:p w14:paraId="02ECEF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вопросы назначения и перемещения личного состава ММС.</w:t>
      </w:r>
    </w:p>
    <w:p w14:paraId="56BC1F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Учебно-строевое управление состоит из двух отделов:</w:t>
      </w:r>
    </w:p>
    <w:p w14:paraId="0A1230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 Боевой подготовки, 2- Организационно-мобилизационного.</w:t>
      </w:r>
    </w:p>
    <w:p w14:paraId="76E5E5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ОТДЕЛ - Боевой подготовки</w:t>
      </w:r>
    </w:p>
    <w:p w14:paraId="6C99F4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Ведению отдела подлежит:</w:t>
      </w:r>
    </w:p>
    <w:p w14:paraId="694CF5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разработка системы вооружения ММС;</w:t>
      </w:r>
    </w:p>
    <w:p w14:paraId="487CC3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установление тактическо-технических требований к основным образцам специального снабжения по механизации и моторизации РККА;</w:t>
      </w:r>
    </w:p>
    <w:p w14:paraId="756AD6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изучение вопросов механизации и моторизации армий иностранных государств;</w:t>
      </w:r>
    </w:p>
    <w:p w14:paraId="1EA0B3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вопросы квартирного расписания ММС, учреждений и заведений УММ мирного времени;</w:t>
      </w:r>
    </w:p>
    <w:p w14:paraId="1609F5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вопросы использования ММС в мирное время;</w:t>
      </w:r>
    </w:p>
    <w:p w14:paraId="171CC3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разработка материалов и вопросов по учебно-боевой подготовке ММС и руководящих указаний и мероприятий по ним, а также наблюдение за прохождением учебно-боевой подготовки ММС;</w:t>
      </w:r>
    </w:p>
    <w:p w14:paraId="45863E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ж) разработка проектов уставов по боевому применению и по боевой деятельности механизированных войск РККА, а также специальных наставлений по применению специальных средств механической тяги моторизованных частей РККА;</w:t>
      </w:r>
    </w:p>
    <w:p w14:paraId="4A27FF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разработка учебных планов, программ и методических руководств для механизированных, самостоятельных, моторизованных и автомобильных частей;</w:t>
      </w:r>
    </w:p>
    <w:p w14:paraId="7B80EA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участие в разработке планов и программ по соответствующей специальной подготовке переменного состава ВУЗов;</w:t>
      </w:r>
    </w:p>
    <w:p w14:paraId="1BA487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наблюдение за усовершенствованием начсостава механизированных войск и в отношении специальной технической службы начсостава моторизованных частей РККА;</w:t>
      </w:r>
    </w:p>
    <w:p w14:paraId="11F5F5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вопросы финансирования боевой и специальной подготовки строевых частей и обеспечение учебными пособиями.</w:t>
      </w:r>
    </w:p>
    <w:p w14:paraId="23C6E1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ОТДЕЛ - Организационно-мобилизационный</w:t>
      </w:r>
    </w:p>
    <w:p w14:paraId="1FC85C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Ведению отдела подлежит:</w:t>
      </w:r>
    </w:p>
    <w:p w14:paraId="648FB3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участие в разработке вопросов организации ММС РККА;</w:t>
      </w:r>
    </w:p>
    <w:p w14:paraId="77EF65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участие в разработке вопросов развития ММС РККА;</w:t>
      </w:r>
    </w:p>
    <w:p w14:paraId="3617B0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участие в разработке вопросов мобилизационного развертывания ММС РККА;</w:t>
      </w:r>
    </w:p>
    <w:p w14:paraId="45E5CB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разработка вопросов обеспечения возможных театров военных действий ремонтными и эксплуатационными базами для ММС;</w:t>
      </w:r>
    </w:p>
    <w:p w14:paraId="1BBC44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 разработка основных указаний, директив и инструкций по вопросам подготовки и проведения мобилизации </w:t>
      </w:r>
      <w:proofErr w:type="spellStart"/>
      <w:r w:rsidRPr="00A259BD">
        <w:rPr>
          <w:rFonts w:ascii="Times New Roman" w:hAnsi="Times New Roman"/>
          <w:color w:val="000000" w:themeColor="text1"/>
          <w:sz w:val="16"/>
          <w:szCs w:val="16"/>
        </w:rPr>
        <w:t>автомотовело</w:t>
      </w:r>
      <w:proofErr w:type="spellEnd"/>
      <w:r w:rsidRPr="00A259BD">
        <w:rPr>
          <w:rFonts w:ascii="Times New Roman" w:hAnsi="Times New Roman"/>
          <w:color w:val="000000" w:themeColor="text1"/>
          <w:sz w:val="16"/>
          <w:szCs w:val="16"/>
        </w:rPr>
        <w:t>- и тракторного имущества, находящегося в промышленности, сельском хозяйстве, гражданских учреждениях и у населения;</w:t>
      </w:r>
    </w:p>
    <w:p w14:paraId="2094A8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разработка проектов положений и штатов частей и учреждений ММС;</w:t>
      </w:r>
    </w:p>
    <w:p w14:paraId="020FD8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исчисление потребности РККА в части ММС по мирному и военному времени в предметах специального снабжения;</w:t>
      </w:r>
    </w:p>
    <w:p w14:paraId="34EE25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составление для других Управлений данных для проработки и обеспечения ими строительных программ ММС в части вооружения и других видов снабжения;</w:t>
      </w:r>
    </w:p>
    <w:p w14:paraId="2F27A5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разработка вопросов разгрузки и эвакуации учреждений, непосредственно подчиненных УММ РККА;</w:t>
      </w:r>
    </w:p>
    <w:p w14:paraId="1EFF60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разработка планов накопления мобилизационных запасов имущества;</w:t>
      </w:r>
    </w:p>
    <w:p w14:paraId="4619D9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составление смет на расходы, связанные с проведением мобилизации, и на расходы, связанные с ведением войны в части специального снабжения;</w:t>
      </w:r>
    </w:p>
    <w:p w14:paraId="68C8F2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 участие в назначении и перемещении личного состава механизированных войск РККА;</w:t>
      </w:r>
    </w:p>
    <w:p w14:paraId="000ABB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ГЛАВА 3 </w:t>
      </w:r>
    </w:p>
    <w:p w14:paraId="36DA9C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ТЕХНИЧЕСКОЕ УПРАВЛЕНИЕ</w:t>
      </w:r>
    </w:p>
    <w:p w14:paraId="7BC3C7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10.Ведению Управления подлежит:</w:t>
      </w:r>
    </w:p>
    <w:p w14:paraId="20B855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заготовление табельного специально-технического имущества на основе плана развития ММС РККА, его учет, распределение, эксплуатация, хранение и списание в расход;</w:t>
      </w:r>
    </w:p>
    <w:p w14:paraId="5AA4B6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обеспечение специальным снабжением мобилизационного развертывания моторизованных частей РККА;</w:t>
      </w:r>
    </w:p>
    <w:p w14:paraId="7C05F5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дача заданий для промышленности по всем видам материального и специального снабжения, а также установление сроков выполнения этих заданий, технических условий и образцов технического имущества;</w:t>
      </w:r>
    </w:p>
    <w:p w14:paraId="0B9B67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наблюдение за выполнением гражданской и военной промышленностью и другими заготовительными органами заказов на специальное имущество;</w:t>
      </w:r>
    </w:p>
    <w:p w14:paraId="63ED2D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составление перспективных планов заказов промышленности на военное время, на основе плана развития и строительства ММС;</w:t>
      </w:r>
    </w:p>
    <w:p w14:paraId="1CEEF7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руководство развитием автотракторной промышленности Союза в части использования союзной продукции для военных целей;</w:t>
      </w:r>
    </w:p>
    <w:p w14:paraId="1694FE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обеспечение театров военных действий ремонтными и эксплуатационными базами для частей ММС;</w:t>
      </w:r>
    </w:p>
    <w:p w14:paraId="6CE16E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накопление мобилизационных и неприкосновенных запасов специального снабжения и эксплуатационных материалов и их централизованный учет;</w:t>
      </w:r>
    </w:p>
    <w:p w14:paraId="1F50E5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составление планов заказов, сметных соображений на кредиты, необходимые для их реализации и эксплуатационных расходов ММС;</w:t>
      </w:r>
    </w:p>
    <w:p w14:paraId="7D7C5B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распределение между частями, учреждениями и заведениями ММС специального имущества и кредитов на его заготовку;</w:t>
      </w:r>
    </w:p>
    <w:p w14:paraId="26C6B6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составление сметных предложений и расчетов по перечню денежных отпусков;</w:t>
      </w:r>
    </w:p>
    <w:p w14:paraId="30660B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 руководство складским хозяйством, ремонтирующим и хранящим специальное имущество ММС;</w:t>
      </w:r>
    </w:p>
    <w:p w14:paraId="55D246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 разработка норм эксплуатационного расхода и амортизации имущества;</w:t>
      </w:r>
    </w:p>
    <w:p w14:paraId="7EDF8D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участие в разработке и заключение коллективных договоров по содержанию рабочих и служащих всех специальностей частей и учреждений ММС;</w:t>
      </w:r>
    </w:p>
    <w:p w14:paraId="613DA0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 составление положений, инструкций и руководств по ведению учета и отчетности, хранению, содержанию и технической эксплуатации имущества;</w:t>
      </w:r>
    </w:p>
    <w:p w14:paraId="1440C9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 руководство и объединение работ по составлению табелей и норм снабжения предметами, </w:t>
      </w:r>
      <w:proofErr w:type="spellStart"/>
      <w:r w:rsidRPr="00A259BD">
        <w:rPr>
          <w:rFonts w:ascii="Times New Roman" w:hAnsi="Times New Roman"/>
          <w:color w:val="000000" w:themeColor="text1"/>
          <w:sz w:val="16"/>
          <w:szCs w:val="16"/>
        </w:rPr>
        <w:t>на¬ходящимися</w:t>
      </w:r>
      <w:proofErr w:type="spellEnd"/>
      <w:r w:rsidRPr="00A259BD">
        <w:rPr>
          <w:rFonts w:ascii="Times New Roman" w:hAnsi="Times New Roman"/>
          <w:color w:val="000000" w:themeColor="text1"/>
          <w:sz w:val="16"/>
          <w:szCs w:val="16"/>
        </w:rPr>
        <w:t xml:space="preserve"> в введении УММ РККА по мирному и военному времени и проведение их уставленным порядком;</w:t>
      </w:r>
    </w:p>
    <w:p w14:paraId="14707B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разработка норм мобилизационных запасов специального технического имущества и эксплуатационных материалов;</w:t>
      </w:r>
    </w:p>
    <w:p w14:paraId="3A385A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 руководство реализацией негодного имущества с соответствующим использованием вырученных средств;</w:t>
      </w:r>
    </w:p>
    <w:p w14:paraId="1EEB12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 вопросы технического развития и усовершенствования средств механизации и моторизации РККА;</w:t>
      </w:r>
    </w:p>
    <w:p w14:paraId="3B2178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 изучение достижений иностранной техники в области конструирования средств механизации и моторизации армий.</w:t>
      </w:r>
    </w:p>
    <w:p w14:paraId="0E142F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Начальнику Технического управления УММ предоставляется [право] определять количество должностей инспекторов, приемщиков и контрольных мастеров и пр., подлежащих выделению в отдельные приемные аппараты, в пределах, установленных общей штатной численностью и отпускаемых по смете денежных средств.</w:t>
      </w:r>
    </w:p>
    <w:p w14:paraId="3778C5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Техническое управление состоит из 4 отделов:</w:t>
      </w:r>
    </w:p>
    <w:p w14:paraId="2F2B3C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w:t>
      </w:r>
      <w:proofErr w:type="spellStart"/>
      <w:r w:rsidRPr="00A259BD">
        <w:rPr>
          <w:rFonts w:ascii="Times New Roman" w:hAnsi="Times New Roman"/>
          <w:color w:val="000000" w:themeColor="text1"/>
          <w:sz w:val="16"/>
          <w:szCs w:val="16"/>
        </w:rPr>
        <w:t>Танкотракторного</w:t>
      </w:r>
      <w:proofErr w:type="spellEnd"/>
      <w:r w:rsidRPr="00A259BD">
        <w:rPr>
          <w:rFonts w:ascii="Times New Roman" w:hAnsi="Times New Roman"/>
          <w:color w:val="000000" w:themeColor="text1"/>
          <w:sz w:val="16"/>
          <w:szCs w:val="16"/>
        </w:rPr>
        <w:t>,</w:t>
      </w:r>
    </w:p>
    <w:p w14:paraId="28C501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Броневых и транспортных автомобилей и мотоциклов,</w:t>
      </w:r>
    </w:p>
    <w:p w14:paraId="28D8C2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Бронепоездов и бронедрезин,</w:t>
      </w:r>
    </w:p>
    <w:p w14:paraId="1EA7D1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Складов и мастерских,</w:t>
      </w:r>
    </w:p>
    <w:p w14:paraId="272679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Финансовой части.</w:t>
      </w:r>
    </w:p>
    <w:p w14:paraId="0A1ACE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Управлении состоит Старший инспектор приемок;</w:t>
      </w:r>
    </w:p>
    <w:p w14:paraId="418397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Ведению 1-3 отделов по принадлежности подлежит:</w:t>
      </w:r>
    </w:p>
    <w:p w14:paraId="70664F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разработка годовых планов по заготовлению и ремонту специального имущества на заводах и мастерских;</w:t>
      </w:r>
    </w:p>
    <w:p w14:paraId="200AAD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заключение договоров на изготовление и ремонт предметов специального довольствия, наблюдение за выполнением заказов и вывоз с заводов и мастерских заготовленного и отремонтированного имущества;</w:t>
      </w:r>
    </w:p>
    <w:p w14:paraId="54A967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разработка плана распределения специального имущества и отпуск его;</w:t>
      </w:r>
    </w:p>
    <w:p w14:paraId="01EC0C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учет (количественный и по техническому состоянию) предметов специального довольствия в войсках, складах и производственных предприятиях;</w:t>
      </w:r>
    </w:p>
    <w:p w14:paraId="579DC3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разработка вопросов введения на вооружение РККА вновь устанавливаемых образцов и снятие с вооружения устаревших, использование и хранение последних;</w:t>
      </w:r>
    </w:p>
    <w:p w14:paraId="5A5248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наблюдение за постановкой дела специального снабжения и инструктирование войск и учреждений в этом отношении;</w:t>
      </w:r>
    </w:p>
    <w:p w14:paraId="21A63E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разработка инструкций и руководств по предметам ведения Отделов;</w:t>
      </w:r>
    </w:p>
    <w:p w14:paraId="01A87D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разработка норм и табелей комплектов и расчетов по специальному техническому довольствию;</w:t>
      </w:r>
    </w:p>
    <w:p w14:paraId="37E46B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разрешение технических вопросов по укладке, хранению, содержанию и эксплуатации имущества;</w:t>
      </w:r>
    </w:p>
    <w:p w14:paraId="510F17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контроль над эксплуатацией средств механизации и моторизации частями и учреждениями РККА;</w:t>
      </w:r>
    </w:p>
    <w:p w14:paraId="4B0C6C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выяснение производственных возможностей промышленности по обеспечению РККА средствами механизации и моторизации;</w:t>
      </w:r>
    </w:p>
    <w:p w14:paraId="36BB2C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 разработка вопросов, связанных с импортным заготовлением имущества;</w:t>
      </w:r>
    </w:p>
    <w:p w14:paraId="45B13A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 участие в установлении типов, марок и стандартов средств механизации и моторизации с целью согласования их с потребностями РККА;</w:t>
      </w:r>
    </w:p>
    <w:p w14:paraId="3B15EF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организация испытаний всех новых образцов системы вооружения механизированных сил РККА и всех образцов для моторизации частей РККА.</w:t>
      </w:r>
    </w:p>
    <w:p w14:paraId="539645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Кроме общих вопросов, указанных в п. 13, ведению каждого Отдела по принадлежности подлежит учет: тракторов, тракторных прицепов, автомобилей, мотоциклов, самокатов и железнодорожных автодрезин, находящихся в промышленности, сельском хозяйстве, учреждениях и у гражданского населения, и согласование вопросов </w:t>
      </w:r>
      <w:proofErr w:type="spellStart"/>
      <w:r w:rsidRPr="00A259BD">
        <w:rPr>
          <w:rFonts w:ascii="Times New Roman" w:hAnsi="Times New Roman"/>
          <w:color w:val="000000" w:themeColor="text1"/>
          <w:sz w:val="16"/>
          <w:szCs w:val="16"/>
        </w:rPr>
        <w:t>автомотовело</w:t>
      </w:r>
      <w:proofErr w:type="spellEnd"/>
      <w:r w:rsidRPr="00A259BD">
        <w:rPr>
          <w:rFonts w:ascii="Times New Roman" w:hAnsi="Times New Roman"/>
          <w:color w:val="000000" w:themeColor="text1"/>
          <w:sz w:val="16"/>
          <w:szCs w:val="16"/>
        </w:rPr>
        <w:t>- и тракторного производств промышленности с потребностями Наркомвоенмора с подлежащим представительством в Госорганах.</w:t>
      </w:r>
    </w:p>
    <w:p w14:paraId="4702CB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Ведению отдела складов и мастерских подлежит:</w:t>
      </w:r>
    </w:p>
    <w:p w14:paraId="5132ED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разработка вопросов организации, устройства, оборудования и охраны (караульной, противопожарной и противовоздушной) складов </w:t>
      </w:r>
      <w:proofErr w:type="spellStart"/>
      <w:r w:rsidRPr="00A259BD">
        <w:rPr>
          <w:rFonts w:ascii="Times New Roman" w:hAnsi="Times New Roman"/>
          <w:color w:val="000000" w:themeColor="text1"/>
          <w:sz w:val="16"/>
          <w:szCs w:val="16"/>
        </w:rPr>
        <w:t>автоброне-танкотракторного</w:t>
      </w:r>
      <w:proofErr w:type="spellEnd"/>
      <w:r w:rsidRPr="00A259BD">
        <w:rPr>
          <w:rFonts w:ascii="Times New Roman" w:hAnsi="Times New Roman"/>
          <w:color w:val="000000" w:themeColor="text1"/>
          <w:sz w:val="16"/>
          <w:szCs w:val="16"/>
        </w:rPr>
        <w:t xml:space="preserve"> имущества. Учет их состояния и оборудования;</w:t>
      </w:r>
    </w:p>
    <w:p w14:paraId="29CE6F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разработка штатов складов и мастерских, положений о них, а также инструкций и руководств по вопросам деятельности складов и мастерских;</w:t>
      </w:r>
    </w:p>
    <w:p w14:paraId="6F9DB1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исчисление всех кредитов, потребных на содержание и функционирование складов, заявка потребности в них по соответствующим органам, распределение и наблюдение за их использованием;</w:t>
      </w:r>
    </w:p>
    <w:p w14:paraId="0FA134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составление перспективных и годовых планов работ складов и мастерских; учет и поверка их выполнения;</w:t>
      </w:r>
    </w:p>
    <w:p w14:paraId="36783E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учет и передача в реализацию негодного и ненужного имущества, хранящегося на складах;</w:t>
      </w:r>
    </w:p>
    <w:p w14:paraId="3DFC6C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е) разработка проектов правил и форм материального учета и отчетности на складах;</w:t>
      </w:r>
    </w:p>
    <w:p w14:paraId="17CAA7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разработка вопросов постройки и эксплуатации подъездных железных дорог (широкой и узкой колеи) как к складам и полигонам, так и на их территории</w:t>
      </w:r>
    </w:p>
    <w:p w14:paraId="548AFB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 разрешение вопросов транспортирования </w:t>
      </w:r>
      <w:proofErr w:type="spellStart"/>
      <w:r w:rsidRPr="00A259BD">
        <w:rPr>
          <w:rFonts w:ascii="Times New Roman" w:hAnsi="Times New Roman"/>
          <w:color w:val="000000" w:themeColor="text1"/>
          <w:sz w:val="16"/>
          <w:szCs w:val="16"/>
        </w:rPr>
        <w:t>автобронетанкотракторного</w:t>
      </w:r>
      <w:proofErr w:type="spellEnd"/>
      <w:r w:rsidRPr="00A259BD">
        <w:rPr>
          <w:rFonts w:ascii="Times New Roman" w:hAnsi="Times New Roman"/>
          <w:color w:val="000000" w:themeColor="text1"/>
          <w:sz w:val="16"/>
          <w:szCs w:val="16"/>
        </w:rPr>
        <w:t xml:space="preserve"> имущества по всем видам транспорта. Составление плана перевозок, истребование, распределение и учет перевозочных кредитов;</w:t>
      </w:r>
    </w:p>
    <w:p w14:paraId="72E151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заготовка и обеспечение мастерских материалами, оборудованием и приборами, учет оборудования мастерских;</w:t>
      </w:r>
    </w:p>
    <w:p w14:paraId="4910B4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руководство тарифно-нормировочной работой мастерских, проработка вопросов механизации и рационализации ремонтных работ;</w:t>
      </w:r>
    </w:p>
    <w:p w14:paraId="20F071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проработка и проведение вопросов об установлении норм оплаты личного состава складов, содержащегося на операционных кредитах.</w:t>
      </w:r>
    </w:p>
    <w:p w14:paraId="433BF9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Участие в заключении колдоговоров с Профсоюзами.</w:t>
      </w:r>
    </w:p>
    <w:p w14:paraId="6EE079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Ведению Финансовой части подлежит:</w:t>
      </w:r>
    </w:p>
    <w:p w14:paraId="34AF50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составление общих смет на имущество по механизации и моторизации РККА;</w:t>
      </w:r>
    </w:p>
    <w:p w14:paraId="44AE24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разработка вопросов обеспечения денежными средствами нужд снабжения специальным имуществом в мирное время;</w:t>
      </w:r>
    </w:p>
    <w:p w14:paraId="67C371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разработка планов общих по заготовлению предметов механизации и моторизации по полной обеспеченности РККА; годовых - по заготовлению тех же предметов; по использованию средств на специальное довольствие от учреждений и гражданских Наркоматов; годовых - по импортным заказам;</w:t>
      </w:r>
    </w:p>
    <w:p w14:paraId="4FEAC5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составление сметных предположений по договорам, расходам и специальным кредитам, относящимся к кругу ведения управления, а также составление соответствующих исчислений для сверхсметных ассигнований;</w:t>
      </w:r>
    </w:p>
    <w:p w14:paraId="7C9DA5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 </w:t>
      </w:r>
      <w:proofErr w:type="spellStart"/>
      <w:r w:rsidRPr="00A259BD">
        <w:rPr>
          <w:rFonts w:ascii="Times New Roman" w:hAnsi="Times New Roman"/>
          <w:color w:val="000000" w:themeColor="text1"/>
          <w:sz w:val="16"/>
          <w:szCs w:val="16"/>
        </w:rPr>
        <w:t>разассигнование</w:t>
      </w:r>
      <w:proofErr w:type="spellEnd"/>
      <w:r w:rsidRPr="00A259BD">
        <w:rPr>
          <w:rFonts w:ascii="Times New Roman" w:hAnsi="Times New Roman"/>
          <w:color w:val="000000" w:themeColor="text1"/>
          <w:sz w:val="16"/>
          <w:szCs w:val="16"/>
        </w:rPr>
        <w:t>, учет движения и расходования открываемых в распоряжение управления сметных и сверхсметных кредитов, а равно кредитов, передаваемых другими ведомствами и организациями; расчеты по платежным документам, предъявляемым к оплате;</w:t>
      </w:r>
    </w:p>
    <w:p w14:paraId="46D97E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проверка поступающих в управление: требований об отпуске кредитов, платежных документов, предъявляемых к оплате, технических смет и отчетов по заготовлению технического довольствия и по производству работ специального снабжения;</w:t>
      </w:r>
    </w:p>
    <w:p w14:paraId="20CDAD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рассмотрение калькуляций и определение цен на предметы специального довольствия.</w:t>
      </w:r>
    </w:p>
    <w:p w14:paraId="0D84F2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ГЛАВА 4 </w:t>
      </w:r>
    </w:p>
    <w:p w14:paraId="405F54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НАУЧНО-ТЕХНИЧЕСКИЙ КОМИТЕТ УММ РККА</w:t>
      </w:r>
    </w:p>
    <w:p w14:paraId="242D47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НТК УММ РККА ведает следующими отраслями военной техники в пределах, определенных Положением об НТК (приказ РВС СССР № 200 1929 г.): танковой, самоходными артиллерийскими установками, автомобильной, мотоциклетной и самокатной, прицепным транспортом механизированных частей РККА, а также бронедрезинами и бронепоездами (без железнодорожной артиллерии всех калибров);</w:t>
      </w:r>
    </w:p>
    <w:p w14:paraId="7819C4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НТК непосредственно подчинен Научно-испытательный технический Полигон, существующий на основании особого положения.</w:t>
      </w:r>
    </w:p>
    <w:p w14:paraId="0F93C9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НТК состоит из 6 секций;</w:t>
      </w:r>
    </w:p>
    <w:p w14:paraId="33A50D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Танков и самоходных установок.</w:t>
      </w:r>
    </w:p>
    <w:p w14:paraId="5E0ACD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Броневых и транспортных автомобилей, мотоциклов и самокатов.</w:t>
      </w:r>
    </w:p>
    <w:p w14:paraId="5F7BEE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Бронепоездов и бронедрезин.</w:t>
      </w:r>
    </w:p>
    <w:p w14:paraId="306F82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Тракторов и прицепных повозок.</w:t>
      </w:r>
    </w:p>
    <w:p w14:paraId="40ECBC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Боевого применения и специальных служб.</w:t>
      </w:r>
    </w:p>
    <w:p w14:paraId="551075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Организации производств и ремонта (10977).</w:t>
      </w:r>
    </w:p>
    <w:p w14:paraId="7382F6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24060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ноября 1929 г. По положению, объявленному приказом РВС СССР No.367/82, на Управление по механизации и моторизации РККА, как на центральный орган, возлагалось руководство формированием, боевой и технической подготовкой, обучением, службой, специальным снабжением механизированных войск, моторизацией частей и транспорта РККА. Приказом РВС СССР No.045 от 13 июля 1930 г. руководство деятельностью Управления возлагалось на заместителя наркомвоенмора, одновременно являвшегося начальником вооружений РККА. Эта подчиненность Управления закреплена приказом РВС СССР No.067 от 22 ноября 1930 г.</w:t>
      </w:r>
    </w:p>
    <w:p w14:paraId="7AD2C9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положению об НКО СССР от 22 ноября 1934 г. переименовано в Автобронетанковое управление. Приказом НКО No.055 от 9 апреля 1936 г. Управление подчинялось Главному управлению вооружения и технического снабжения РККА, после его упразднения по приказу НКО </w:t>
      </w:r>
      <w:proofErr w:type="spellStart"/>
      <w:r w:rsidRPr="00A259BD">
        <w:rPr>
          <w:rFonts w:ascii="Times New Roman" w:hAnsi="Times New Roman"/>
          <w:color w:val="000000" w:themeColor="text1"/>
          <w:sz w:val="16"/>
          <w:szCs w:val="16"/>
        </w:rPr>
        <w:t>No.Ol</w:t>
      </w:r>
      <w:proofErr w:type="spellEnd"/>
      <w:r w:rsidRPr="00A259BD">
        <w:rPr>
          <w:rFonts w:ascii="Times New Roman" w:hAnsi="Times New Roman"/>
          <w:color w:val="000000" w:themeColor="text1"/>
          <w:sz w:val="16"/>
          <w:szCs w:val="16"/>
        </w:rPr>
        <w:t xml:space="preserve"> 14 от 26 июля 1937 г. - наркому обороны, приказом НКО No.0156 от 11 октября 1939 г. - вновь образованному Управлению военно-технического снабжения Красной Армии.</w:t>
      </w:r>
    </w:p>
    <w:p w14:paraId="039A3A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НКО No.0128 от 26 июня 1940 г. реорганизовано в Главное автобронетанковое управление Красной Армии с непосредственным подчинением наркому обороны.</w:t>
      </w:r>
    </w:p>
    <w:p w14:paraId="4EB226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НКО No.0195 от 24 августа 1940 г. в подчинение ГАБТУ передавались Военная академия механизации и моторизации, бронетанковые и автомобильные училища, курсы усовершенствования (11226).</w:t>
      </w:r>
    </w:p>
    <w:p w14:paraId="23814F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2D686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ноября 1929 начался переход из Кронштадта в Севастополь линкора Парижская Коммуна и крейсера Профинтерн (3481).</w:t>
      </w:r>
    </w:p>
    <w:p w14:paraId="6AFC77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280433B" w14:textId="77777777" w:rsidR="00582146" w:rsidRPr="00A259BD" w:rsidRDefault="005821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 xml:space="preserve">22 ноября </w:t>
      </w:r>
      <w:r w:rsidRPr="00A259BD">
        <w:rPr>
          <w:rFonts w:ascii="Times New Roman" w:hAnsi="Times New Roman"/>
          <w:color w:val="000000" w:themeColor="text1"/>
          <w:sz w:val="16"/>
          <w:szCs w:val="16"/>
        </w:rPr>
        <w:t>в 1929 году начало героического перехода из Кронштадта в Севастополь линейного корабля «Парижская коммуна» и крейсера «Профинтерн» (14837).</w:t>
      </w:r>
    </w:p>
    <w:p w14:paraId="3DA02C63" w14:textId="77777777" w:rsidR="00582146" w:rsidRPr="00A259BD" w:rsidRDefault="00582146" w:rsidP="009236E3">
      <w:pPr>
        <w:spacing w:after="0" w:line="240" w:lineRule="auto"/>
        <w:jc w:val="both"/>
        <w:rPr>
          <w:rFonts w:ascii="Times New Roman" w:hAnsi="Times New Roman"/>
          <w:color w:val="000000" w:themeColor="text1"/>
          <w:sz w:val="16"/>
          <w:szCs w:val="16"/>
        </w:rPr>
      </w:pPr>
    </w:p>
    <w:p w14:paraId="3063873C" w14:textId="77777777" w:rsidR="00D951E9" w:rsidRPr="00A259BD" w:rsidRDefault="00D951E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ноября 1929 года начало перехода из Кронштадта в Севастополь линейного корабля «Парижская коммуна» и крейсера «Профинтерн».</w:t>
      </w:r>
    </w:p>
    <w:p w14:paraId="7547D18D" w14:textId="77777777" w:rsidR="00D951E9" w:rsidRPr="00A259BD" w:rsidRDefault="00D951E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году, чтобы продлить период обучения и дать экипажам хорошую морскую практику, было решено совершить длительное плавание в условиях зимних штормов. В поход шел отряд в составе линкора “Парижская коммуна” и крейсера “Профинтерн”. Командиром отряда был назначен опытный моряк Л. М. Галлер. Крейсером командовал А. А. Кузнецов. Отряд должен был пройти от Кронштадта через Атлантический океан и </w:t>
      </w:r>
      <w:proofErr w:type="spellStart"/>
      <w:r w:rsidRPr="00A259BD">
        <w:rPr>
          <w:rFonts w:ascii="Times New Roman" w:hAnsi="Times New Roman"/>
          <w:color w:val="000000" w:themeColor="text1"/>
          <w:sz w:val="16"/>
          <w:szCs w:val="16"/>
        </w:rPr>
        <w:t>Средиземноеморе</w:t>
      </w:r>
      <w:proofErr w:type="spellEnd"/>
      <w:r w:rsidRPr="00A259BD">
        <w:rPr>
          <w:rFonts w:ascii="Times New Roman" w:hAnsi="Times New Roman"/>
          <w:color w:val="000000" w:themeColor="text1"/>
          <w:sz w:val="16"/>
          <w:szCs w:val="16"/>
        </w:rPr>
        <w:t xml:space="preserve"> до Неаполя и обратно.</w:t>
      </w:r>
    </w:p>
    <w:p w14:paraId="5F3EF65F" w14:textId="77777777" w:rsidR="00D951E9" w:rsidRPr="00A259BD" w:rsidRDefault="00D951E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Встретив в море наступивший 1930 год, отряд 1 января пришел в бухту </w:t>
      </w:r>
      <w:proofErr w:type="spellStart"/>
      <w:r w:rsidRPr="00A259BD">
        <w:rPr>
          <w:rFonts w:ascii="Times New Roman" w:hAnsi="Times New Roman"/>
          <w:color w:val="000000" w:themeColor="text1"/>
          <w:sz w:val="16"/>
          <w:szCs w:val="16"/>
        </w:rPr>
        <w:t>Кальярнна</w:t>
      </w:r>
      <w:proofErr w:type="spellEnd"/>
      <w:r w:rsidRPr="00A259BD">
        <w:rPr>
          <w:rFonts w:ascii="Times New Roman" w:hAnsi="Times New Roman"/>
          <w:color w:val="000000" w:themeColor="text1"/>
          <w:sz w:val="16"/>
          <w:szCs w:val="16"/>
        </w:rPr>
        <w:t xml:space="preserve"> Сардинии. Здесь уже ждали транспорты с топливом и водой. 6 января было получено разрешение на заход в гавань города Кальяри и увольнение команд на берег. Впервые за полтора месяца моряки могли почувствовать под ногами твердую землю. 8 января корабли покинули гостеприимный Кальяри, а на следующий день пришли в Неаполь - конечную цель похода.</w:t>
      </w:r>
    </w:p>
    <w:p w14:paraId="0D7E86F0" w14:textId="77777777" w:rsidR="00D951E9" w:rsidRPr="00A259BD" w:rsidRDefault="00D951E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Командование отряда понимало, что поврежденным кораблям с уставшими экипажами нелегко будет проделать обратный путь через штормовую Атлантику до Кольского полуострова. Галлер отправил в Москву телеграмму с просьбой разрешить идти в Черное море, где произвести основательный ремонт и весной вернуться в Кронштадт. Пройдены Средиземное и Эгейское моря, корабли вошли в Дарданеллы. В полдень 17 января отряд вышел в Черное море. Встреченные черноморскими эсминцами, “Парижская коммуна” и “Профинтерн” 18 января 1930 года вошли в Севастополь. Поход, показавший хорошую морскую выучку моряков молодого советского флота, завершился. За 57 суток корабли прошли 6269 миль (21168).</w:t>
      </w:r>
    </w:p>
    <w:p w14:paraId="4A0B524B" w14:textId="77777777" w:rsidR="00D951E9" w:rsidRPr="00A259BD" w:rsidRDefault="00D951E9" w:rsidP="009236E3">
      <w:pPr>
        <w:spacing w:after="0" w:line="240" w:lineRule="auto"/>
        <w:jc w:val="both"/>
        <w:rPr>
          <w:rFonts w:ascii="Times New Roman" w:hAnsi="Times New Roman"/>
          <w:color w:val="000000" w:themeColor="text1"/>
          <w:sz w:val="16"/>
          <w:szCs w:val="16"/>
        </w:rPr>
      </w:pPr>
    </w:p>
    <w:p w14:paraId="44D3B8D7" w14:textId="77777777" w:rsidR="00582146"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0966F902" w14:textId="77777777" w:rsidR="00582146" w:rsidRPr="00A259BD" w:rsidRDefault="0058214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6B8097" w14:textId="77777777" w:rsidR="00582146" w:rsidRPr="00A259BD" w:rsidRDefault="005821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 xml:space="preserve">22 ноября </w:t>
      </w:r>
      <w:r w:rsidRPr="00A259BD">
        <w:rPr>
          <w:rFonts w:ascii="Times New Roman" w:hAnsi="Times New Roman"/>
          <w:color w:val="000000" w:themeColor="text1"/>
          <w:sz w:val="16"/>
          <w:szCs w:val="16"/>
        </w:rPr>
        <w:t>в 1929 году в подмосковном Сергиевом Посаде - беда. Как написал в дневнике Михаил Пришвин: "22 ноября. В Лавре снимают колокола, и тот в 4000 пудов, единственный в мире, тоже пойдет в переплавку. Чистое злодейство, и заступиться нельзя никому и как-то неприлично: слишком много жизней губят ежедневно, чтобы можно было отстаивать колокол..."</w:t>
      </w:r>
    </w:p>
    <w:p w14:paraId="0D3109E9" w14:textId="77777777" w:rsidR="00582146" w:rsidRPr="00A259BD" w:rsidRDefault="00582146" w:rsidP="009236E3">
      <w:pPr>
        <w:spacing w:after="0" w:line="240" w:lineRule="auto"/>
        <w:jc w:val="both"/>
        <w:rPr>
          <w:rFonts w:ascii="Times New Roman" w:hAnsi="Times New Roman"/>
          <w:color w:val="000000" w:themeColor="text1"/>
          <w:sz w:val="16"/>
          <w:szCs w:val="16"/>
        </w:rPr>
      </w:pPr>
    </w:p>
    <w:p w14:paraId="2D55D61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102C46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236CA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ноября 1929 состоялось заседание РВС (</w:t>
      </w:r>
      <w:proofErr w:type="spellStart"/>
      <w:r w:rsidRPr="00A259BD">
        <w:rPr>
          <w:rFonts w:ascii="Times New Roman" w:hAnsi="Times New Roman"/>
          <w:color w:val="000000" w:themeColor="text1"/>
          <w:sz w:val="16"/>
          <w:szCs w:val="16"/>
        </w:rPr>
        <w:t>прот</w:t>
      </w:r>
      <w:proofErr w:type="spellEnd"/>
      <w:r w:rsidRPr="00A259BD">
        <w:rPr>
          <w:rFonts w:ascii="Times New Roman" w:hAnsi="Times New Roman"/>
          <w:color w:val="000000" w:themeColor="text1"/>
          <w:sz w:val="16"/>
          <w:szCs w:val="16"/>
        </w:rPr>
        <w:t>. 37) и в т.ч. обсудили "О заданиях промышленности на 1929/1930 гг." Отмечено, что АП отказывается выполнять задания (1028,75).</w:t>
      </w:r>
    </w:p>
    <w:p w14:paraId="3AF95F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E1D1F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14042B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94C9F2E" w14:textId="77777777" w:rsidR="00382A41" w:rsidRPr="00A259BD" w:rsidRDefault="00382A41" w:rsidP="009236E3">
      <w:pPr>
        <w:pStyle w:val="rtejustify"/>
        <w:spacing w:before="0" w:after="0"/>
        <w:rPr>
          <w:color w:val="000000" w:themeColor="text1"/>
          <w:sz w:val="16"/>
          <w:szCs w:val="16"/>
        </w:rPr>
      </w:pPr>
      <w:r w:rsidRPr="00A259BD">
        <w:rPr>
          <w:rStyle w:val="af0"/>
          <w:i w:val="0"/>
          <w:color w:val="000000" w:themeColor="text1"/>
          <w:sz w:val="16"/>
          <w:szCs w:val="16"/>
        </w:rPr>
        <w:t xml:space="preserve">23 ноября </w:t>
      </w:r>
      <w:r w:rsidRPr="00A259BD">
        <w:rPr>
          <w:color w:val="000000" w:themeColor="text1"/>
          <w:sz w:val="16"/>
          <w:szCs w:val="16"/>
        </w:rPr>
        <w:t>1929 г</w:t>
      </w:r>
      <w:r w:rsidRPr="00A259BD">
        <w:rPr>
          <w:rStyle w:val="af0"/>
          <w:i w:val="0"/>
          <w:color w:val="000000" w:themeColor="text1"/>
          <w:sz w:val="16"/>
          <w:szCs w:val="16"/>
        </w:rPr>
        <w:t>. Протокол Реввоенсовета № 37.</w:t>
      </w:r>
      <w:r w:rsidRPr="00A259BD">
        <w:rPr>
          <w:color w:val="000000" w:themeColor="text1"/>
          <w:sz w:val="16"/>
          <w:szCs w:val="16"/>
        </w:rPr>
        <w:t xml:space="preserve"> 6. О снятии пики с вооружения конницы. (Буденный). 9. О заданиях авиапромышленности на 1929/30 г. (Постников). (РГВА. Ф. 4. Оп. 18. Д. 15. Л. 253, 254) (13242).</w:t>
      </w:r>
    </w:p>
    <w:p w14:paraId="1B8377D0" w14:textId="77777777" w:rsidR="00382A41" w:rsidRPr="00A259BD" w:rsidRDefault="00382A41" w:rsidP="009236E3">
      <w:pPr>
        <w:pStyle w:val="rtejustify"/>
        <w:spacing w:before="0" w:after="0"/>
        <w:rPr>
          <w:color w:val="000000" w:themeColor="text1"/>
          <w:sz w:val="16"/>
          <w:szCs w:val="16"/>
        </w:rPr>
      </w:pPr>
    </w:p>
    <w:p w14:paraId="1D9820B6"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23 ноября 1929 </w:t>
      </w:r>
      <w:r w:rsidRPr="00A259BD">
        <w:rPr>
          <w:rFonts w:ascii="Times New Roman" w:hAnsi="Times New Roman"/>
          <w:color w:val="000000" w:themeColor="text1"/>
          <w:sz w:val="16"/>
          <w:szCs w:val="16"/>
        </w:rPr>
        <w:t>ЦИК и СНК приняли постановление «Об уголовной ответственности за выпуск недоброкачественной продукции и за несоблюдение стандартов» (12265).</w:t>
      </w:r>
    </w:p>
    <w:p w14:paraId="702B97CB"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536B30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ноября 1929 г. ЦИК и СНК приняли постановление об уголовной ответственности за выпуск недоброкачественной продукции и несоблюдение обязательных стандартов. Это постановление еще больше повышало авторитет стандартов. В 1930 г. Комитет по стандартизации стал называться Всесоюзным комитетом </w:t>
      </w:r>
      <w:r w:rsidRPr="00A259BD">
        <w:rPr>
          <w:rFonts w:ascii="Times New Roman" w:hAnsi="Times New Roman"/>
          <w:color w:val="000000" w:themeColor="text1"/>
          <w:sz w:val="16"/>
          <w:szCs w:val="16"/>
        </w:rPr>
        <w:lastRenderedPageBreak/>
        <w:t>стандартизации (ВКС) при Совете Труда и Обороны. К этому времени относится первый опыт государственного планирования работ в области стандартизации: впервые был разработан Государственный план стандартизации (на 1930-1931 гг.). В 1940 г. был организован Всесоюзный комитет стандартов при Совете Народных Комиссаров СССР. С этого времени общесоюзные стандарты стали называться государственными стандартами и обозначаться индексом ГОСТ с добавлением порядкового номера и года утверждения, например ГОСТ 169-40 (11148).</w:t>
      </w:r>
    </w:p>
    <w:p w14:paraId="52436F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02C36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ноября 1929 г. </w:t>
      </w:r>
      <w:proofErr w:type="spellStart"/>
      <w:r w:rsidRPr="00A259BD">
        <w:rPr>
          <w:rFonts w:ascii="Times New Roman" w:hAnsi="Times New Roman"/>
          <w:color w:val="000000" w:themeColor="text1"/>
          <w:sz w:val="16"/>
          <w:szCs w:val="16"/>
        </w:rPr>
        <w:t>намортехупром</w:t>
      </w:r>
      <w:proofErr w:type="spellEnd"/>
      <w:r w:rsidRPr="00A259BD">
        <w:rPr>
          <w:rFonts w:ascii="Times New Roman" w:hAnsi="Times New Roman"/>
          <w:color w:val="000000" w:themeColor="text1"/>
          <w:sz w:val="16"/>
          <w:szCs w:val="16"/>
        </w:rPr>
        <w:t xml:space="preserve"> Н. И. Власьевым было сформулировано первое задание для "</w:t>
      </w:r>
      <w:proofErr w:type="spellStart"/>
      <w:r w:rsidRPr="00A259BD">
        <w:rPr>
          <w:rFonts w:ascii="Times New Roman" w:hAnsi="Times New Roman"/>
          <w:color w:val="000000" w:themeColor="text1"/>
          <w:sz w:val="16"/>
          <w:szCs w:val="16"/>
        </w:rPr>
        <w:t>торпедоноски</w:t>
      </w:r>
      <w:proofErr w:type="spellEnd"/>
      <w:r w:rsidRPr="00A259BD">
        <w:rPr>
          <w:rFonts w:ascii="Times New Roman" w:hAnsi="Times New Roman"/>
          <w:color w:val="000000" w:themeColor="text1"/>
          <w:sz w:val="16"/>
          <w:szCs w:val="16"/>
        </w:rPr>
        <w:t>" или "лидера торпедных катеров". Назначение корабля — "производство достаточно мощных торпедных атак на военные корабли противника в откры</w:t>
      </w:r>
      <w:r w:rsidRPr="00A259BD">
        <w:rPr>
          <w:rFonts w:ascii="Times New Roman" w:hAnsi="Times New Roman"/>
          <w:color w:val="000000" w:themeColor="text1"/>
          <w:sz w:val="16"/>
          <w:szCs w:val="16"/>
        </w:rPr>
        <w:softHyphen/>
        <w:t>том море, в узкостях, шхерах... и пр., а также дозорная служба: про</w:t>
      </w:r>
      <w:r w:rsidRPr="00A259BD">
        <w:rPr>
          <w:rFonts w:ascii="Times New Roman" w:hAnsi="Times New Roman"/>
          <w:color w:val="000000" w:themeColor="text1"/>
          <w:sz w:val="16"/>
          <w:szCs w:val="16"/>
        </w:rPr>
        <w:softHyphen/>
        <w:t>тиволодочная борьба артиллерией и глубинными бомбами". Водо</w:t>
      </w:r>
      <w:r w:rsidRPr="00A259BD">
        <w:rPr>
          <w:rFonts w:ascii="Times New Roman" w:hAnsi="Times New Roman"/>
          <w:color w:val="000000" w:themeColor="text1"/>
          <w:sz w:val="16"/>
          <w:szCs w:val="16"/>
        </w:rPr>
        <w:softHyphen/>
        <w:t>измещение в пределах 60 т, мореходность 8 балл., скорость 43 уз, дальность плавания 600 миль, вооружение два торпедных аппарата с возможностью стрельбы на оба борта, один 37-мм автомат и два 12,7-мм пулемета.</w:t>
      </w:r>
    </w:p>
    <w:p w14:paraId="3B317E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Проектирование "</w:t>
      </w:r>
      <w:proofErr w:type="spellStart"/>
      <w:r w:rsidRPr="00A259BD">
        <w:rPr>
          <w:rFonts w:ascii="Times New Roman" w:hAnsi="Times New Roman"/>
          <w:color w:val="000000" w:themeColor="text1"/>
          <w:sz w:val="16"/>
          <w:szCs w:val="16"/>
        </w:rPr>
        <w:t>торпедоноски</w:t>
      </w:r>
      <w:proofErr w:type="spellEnd"/>
      <w:r w:rsidRPr="00A259BD">
        <w:rPr>
          <w:rFonts w:ascii="Times New Roman" w:hAnsi="Times New Roman"/>
          <w:color w:val="000000" w:themeColor="text1"/>
          <w:sz w:val="16"/>
          <w:szCs w:val="16"/>
        </w:rPr>
        <w:t>" велось бригадой глиссеров ЦАГИ под руководством В. С. Некрасова (3898).</w:t>
      </w:r>
    </w:p>
    <w:p w14:paraId="74D721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C284181" w14:textId="77777777" w:rsidR="00582146"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2F65E5C7" w14:textId="77777777" w:rsidR="00582146" w:rsidRPr="00A259BD" w:rsidRDefault="0058214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32CDD21" w14:textId="77777777" w:rsidR="00582146" w:rsidRPr="00A259BD" w:rsidRDefault="00582146" w:rsidP="009236E3">
      <w:pPr>
        <w:pStyle w:val="a3"/>
        <w:rPr>
          <w:color w:val="000000" w:themeColor="text1"/>
          <w:lang w:val="ru-RU"/>
        </w:rPr>
      </w:pPr>
      <w:r w:rsidRPr="00A259BD">
        <w:rPr>
          <w:color w:val="000000" w:themeColor="text1"/>
          <w:lang w:val="ru-RU"/>
        </w:rPr>
        <w:t>23 ноября 1929 авиаторы получили приказ разбомбить железнодорожный мост неподалеку от города. Экипажи зашли на цель в плотном строю пеленгом с интервалом 5-7 м. Бомбы сбросили залпом по ведущему, но в мост не попали, все бомбы легли с перелётом. Командир отряда честно признал в своем рапорте: «Фактические результаты были плачевны».</w:t>
      </w:r>
    </w:p>
    <w:p w14:paraId="1B2C3307" w14:textId="77777777" w:rsidR="00582146" w:rsidRPr="00A259BD" w:rsidRDefault="00582146" w:rsidP="009236E3">
      <w:pPr>
        <w:pStyle w:val="a3"/>
        <w:rPr>
          <w:color w:val="000000" w:themeColor="text1"/>
          <w:lang w:val="ru-RU"/>
        </w:rPr>
      </w:pPr>
      <w:r w:rsidRPr="00A259BD">
        <w:rPr>
          <w:color w:val="000000" w:themeColor="text1"/>
          <w:lang w:val="ru-RU"/>
        </w:rPr>
        <w:t>Успешнее оказался совершённый в тот же день налёт на аэродром близ Хайлара. Ту</w:t>
      </w:r>
      <w:r w:rsidRPr="00A259BD">
        <w:rPr>
          <w:color w:val="000000" w:themeColor="text1"/>
          <w:lang w:val="ru-RU"/>
        </w:rPr>
        <w:softHyphen/>
        <w:t>да летал всего один Р-1, но ему удалось вывести из строя два самолёта. В тот же день китайские лётчики покинули эту площадку и улетели вглубь страны. Это подтвердила сделанная два дня спустя фотосъёмка (15819).</w:t>
      </w:r>
    </w:p>
    <w:p w14:paraId="09AE46B9" w14:textId="77777777" w:rsidR="00582146" w:rsidRPr="00A259BD" w:rsidRDefault="00582146" w:rsidP="009236E3">
      <w:pPr>
        <w:pStyle w:val="a3"/>
        <w:rPr>
          <w:color w:val="000000" w:themeColor="text1"/>
          <w:lang w:val="ru-RU"/>
        </w:rPr>
      </w:pPr>
    </w:p>
    <w:p w14:paraId="7DDBDD01"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76BA593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5FE45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23 и 30 ноября 1929. Из протокола заседания Политбюро N 108, особая папка, 1929 г.</w:t>
      </w:r>
    </w:p>
    <w:p w14:paraId="66CECF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порядке сношений с полпредом в Англии </w:t>
      </w:r>
    </w:p>
    <w:p w14:paraId="26F19E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Принять проект инструкции, предложенный т. Литвиновым, с добавлением из проекта т. Ягоды. </w:t>
      </w:r>
    </w:p>
    <w:p w14:paraId="1E64C1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Инструкция Лондонскому полпредству по обеспечению секретности документов и сношений (окончательная редакция) </w:t>
      </w:r>
    </w:p>
    <w:p w14:paraId="1A54FF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Передача сообщений по телеграфу шифром или кодом не должна считаться достаточной гарантией сохранения передаваемого содержания в секрете. Предлагается поэтому ни в коем случае не передавать по телеграфу шифром таких сообщений или сведений, расшифрование которых могло бы компрометировать </w:t>
      </w:r>
      <w:proofErr w:type="spellStart"/>
      <w:r w:rsidRPr="00A259BD">
        <w:rPr>
          <w:rFonts w:ascii="Times New Roman" w:hAnsi="Times New Roman"/>
          <w:color w:val="000000" w:themeColor="text1"/>
          <w:sz w:val="16"/>
          <w:szCs w:val="16"/>
        </w:rPr>
        <w:t>совпра</w:t>
      </w:r>
      <w:proofErr w:type="spellEnd"/>
      <w:r w:rsidRPr="00A259BD">
        <w:rPr>
          <w:rFonts w:ascii="Times New Roman" w:hAnsi="Times New Roman"/>
          <w:color w:val="000000" w:themeColor="text1"/>
          <w:sz w:val="16"/>
          <w:szCs w:val="16"/>
        </w:rPr>
        <w:t xml:space="preserve"> (советское правительство) или полпредство, хотя бы даже с буржуазной точки зрения, или же могло бы приносить государству вред. Строгое соблюдение этого правила остается на личной ответственности полпреда и руководителей НКИД. </w:t>
      </w:r>
    </w:p>
    <w:p w14:paraId="49E229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Соответственно п. 1-му рекомендуется сноситься по секретным делам преимущественно при помощи дипкурьерской связи, прибегая по таким вопросам к телеграфной переписке лишь в самых исключительных случаях срочности. Особо секретные сообщения необходимо зашифровывать даже при пересылке диппочтой. </w:t>
      </w:r>
    </w:p>
    <w:p w14:paraId="0464CB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В некоторых случаях срочности сообщений рекомендуется, вместо прямой отсылки телеграмм из Лондона, передавать сообщения с курьерами в Берлинское полпредство для телеграфирования оттуда в Москву. </w:t>
      </w:r>
    </w:p>
    <w:p w14:paraId="29D733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Обеспечить постоянную бдительную охрану секретных документов в полпредстве, возложив эту охрану на шифровальщиков. </w:t>
      </w:r>
    </w:p>
    <w:p w14:paraId="3FF073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Хранить в полпредстве лишь самое незначительное количество секретных документов, необходимых для текущей работы. Все остальное необходимо уничтожать или отсылать в архив НКИД. </w:t>
      </w:r>
    </w:p>
    <w:p w14:paraId="068CC6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За личной ответственностью полпреда и руководителей НКИД не должно быть допускаемо использование </w:t>
      </w:r>
      <w:proofErr w:type="spellStart"/>
      <w:r w:rsidRPr="00A259BD">
        <w:rPr>
          <w:rFonts w:ascii="Times New Roman" w:hAnsi="Times New Roman"/>
          <w:color w:val="000000" w:themeColor="text1"/>
          <w:sz w:val="16"/>
          <w:szCs w:val="16"/>
        </w:rPr>
        <w:t>шифроаппарата</w:t>
      </w:r>
      <w:proofErr w:type="spellEnd"/>
      <w:r w:rsidRPr="00A259BD">
        <w:rPr>
          <w:rFonts w:ascii="Times New Roman" w:hAnsi="Times New Roman"/>
          <w:color w:val="000000" w:themeColor="text1"/>
          <w:sz w:val="16"/>
          <w:szCs w:val="16"/>
        </w:rPr>
        <w:t xml:space="preserve"> НКИД и торгпредства, а также дипкурьерской связи для нужд ИККИ, Профинтерна, </w:t>
      </w:r>
      <w:proofErr w:type="spellStart"/>
      <w:r w:rsidRPr="00A259BD">
        <w:rPr>
          <w:rFonts w:ascii="Times New Roman" w:hAnsi="Times New Roman"/>
          <w:color w:val="000000" w:themeColor="text1"/>
          <w:sz w:val="16"/>
          <w:szCs w:val="16"/>
        </w:rPr>
        <w:t>МОПРа</w:t>
      </w:r>
      <w:proofErr w:type="spellEnd"/>
      <w:r w:rsidRPr="00A259BD">
        <w:rPr>
          <w:rFonts w:ascii="Times New Roman" w:hAnsi="Times New Roman"/>
          <w:color w:val="000000" w:themeColor="text1"/>
          <w:sz w:val="16"/>
          <w:szCs w:val="16"/>
        </w:rPr>
        <w:t xml:space="preserve"> и т. п. организаций. </w:t>
      </w:r>
    </w:p>
    <w:p w14:paraId="61B1A3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Запретить прием каких бы то ни было сотрудников на месте (не исключая должностей курьеров, дворников, швейцаров, уборщиц и личной прислуги). Исключение допускается лишь с предварительного разрешения Москвы. </w:t>
      </w:r>
    </w:p>
    <w:p w14:paraId="76D066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У всех несгораемых шкафов, бывших ранее в употреблении в Лондоне, должны быть переделаны замки и ключи, по возможности в Москве. Все помещения полпредства должны быть периодически обследуемы на предмет выявления микрофонов. </w:t>
      </w:r>
    </w:p>
    <w:p w14:paraId="33EBBD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Запретить вынесение на собрание ячейки или бюро ячейки дел, относящихся к оперативным и вообще секретной работе полпредства. </w:t>
      </w:r>
    </w:p>
    <w:p w14:paraId="75DE82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Считать недопустимым хранение секретных бумаг на личных квартирах полпреда и сотрудников даже в том случае, если эти квартиры находятся внутри экстерриториальных помещений. </w:t>
      </w:r>
    </w:p>
    <w:p w14:paraId="743989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Чаще практиковать вызов в Москву полпреда или секретаря посольства для дачи им личных директив. </w:t>
      </w:r>
    </w:p>
    <w:p w14:paraId="5E5749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послана: т. Литвинову (11652).</w:t>
      </w:r>
    </w:p>
    <w:p w14:paraId="55B2D8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935FCF6"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736341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57874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ноября 1929 Линдберг устроил предоставление Годдарду 50 тыс. долл. от фонда </w:t>
      </w:r>
      <w:proofErr w:type="spellStart"/>
      <w:r w:rsidRPr="00A259BD">
        <w:rPr>
          <w:rFonts w:ascii="Times New Roman" w:hAnsi="Times New Roman"/>
          <w:color w:val="000000" w:themeColor="text1"/>
          <w:sz w:val="16"/>
          <w:szCs w:val="16"/>
        </w:rPr>
        <w:t>Гугенхеймера</w:t>
      </w:r>
      <w:proofErr w:type="spellEnd"/>
      <w:r w:rsidRPr="00A259BD">
        <w:rPr>
          <w:rFonts w:ascii="Times New Roman" w:hAnsi="Times New Roman"/>
          <w:color w:val="000000" w:themeColor="text1"/>
          <w:sz w:val="16"/>
          <w:szCs w:val="16"/>
        </w:rPr>
        <w:t xml:space="preserve"> на развитие работ в области ракетостроения (2273).</w:t>
      </w:r>
    </w:p>
    <w:p w14:paraId="6908E4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35AAA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6E18F6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484D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ноября 1929 А.С.Я. подписал чертеж АИР-2 с Вальтер 60 </w:t>
      </w:r>
      <w:proofErr w:type="spellStart"/>
      <w:r w:rsidRPr="00A259BD">
        <w:rPr>
          <w:rFonts w:ascii="Times New Roman" w:hAnsi="Times New Roman"/>
          <w:color w:val="000000" w:themeColor="text1"/>
          <w:sz w:val="16"/>
          <w:szCs w:val="16"/>
        </w:rPr>
        <w:t>нр</w:t>
      </w:r>
      <w:proofErr w:type="spellEnd"/>
      <w:r w:rsidRPr="00A259BD">
        <w:rPr>
          <w:rFonts w:ascii="Times New Roman" w:hAnsi="Times New Roman"/>
          <w:color w:val="000000" w:themeColor="text1"/>
          <w:sz w:val="16"/>
          <w:szCs w:val="16"/>
        </w:rPr>
        <w:t xml:space="preserve"> на поплавках (2483,9).</w:t>
      </w:r>
    </w:p>
    <w:p w14:paraId="2EE409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4299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ноября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20) и обсуждали мероприятия по выполнению 5 летнего плана работы АП и работу завода 23 (2367).</w:t>
      </w:r>
    </w:p>
    <w:p w14:paraId="7EFF6D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81C45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24 ноября 1929 </w:t>
      </w: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 xml:space="preserve"> официально перешел в административное управление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(1367).</w:t>
      </w:r>
    </w:p>
    <w:p w14:paraId="5FA6CF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D6AC8B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4A1BF0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C299C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ноября 1929 вышло предписание зам. председателя РВС СССР за № 906/с, которым была образован</w:t>
      </w:r>
      <w:r w:rsidRPr="00A259BD">
        <w:rPr>
          <w:rFonts w:ascii="Times New Roman" w:hAnsi="Times New Roman"/>
          <w:color w:val="000000" w:themeColor="text1"/>
          <w:sz w:val="16"/>
          <w:szCs w:val="16"/>
        </w:rPr>
        <w:softHyphen/>
        <w:t xml:space="preserve">на комиссия под председательством </w:t>
      </w:r>
      <w:proofErr w:type="spellStart"/>
      <w:r w:rsidRPr="00A259BD">
        <w:rPr>
          <w:rFonts w:ascii="Times New Roman" w:hAnsi="Times New Roman"/>
          <w:color w:val="000000" w:themeColor="text1"/>
          <w:sz w:val="16"/>
          <w:szCs w:val="16"/>
        </w:rPr>
        <w:t>Халепского</w:t>
      </w:r>
      <w:proofErr w:type="spellEnd"/>
      <w:r w:rsidRPr="00A259BD">
        <w:rPr>
          <w:rFonts w:ascii="Times New Roman" w:hAnsi="Times New Roman"/>
          <w:color w:val="000000" w:themeColor="text1"/>
          <w:sz w:val="16"/>
          <w:szCs w:val="16"/>
        </w:rPr>
        <w:t xml:space="preserve"> в составе членов: пом. начальника Управления по механи</w:t>
      </w:r>
      <w:r w:rsidRPr="00A259BD">
        <w:rPr>
          <w:rFonts w:ascii="Times New Roman" w:hAnsi="Times New Roman"/>
          <w:color w:val="000000" w:themeColor="text1"/>
          <w:sz w:val="16"/>
          <w:szCs w:val="16"/>
        </w:rPr>
        <w:softHyphen/>
        <w:t>зации и моторизации РККА - т. Калиновского, пом. начальника II управления Штаба РККА - т. Рыба</w:t>
      </w:r>
      <w:r w:rsidRPr="00A259BD">
        <w:rPr>
          <w:rFonts w:ascii="Times New Roman" w:hAnsi="Times New Roman"/>
          <w:color w:val="000000" w:themeColor="text1"/>
          <w:sz w:val="16"/>
          <w:szCs w:val="16"/>
        </w:rPr>
        <w:softHyphen/>
        <w:t>кова, постоянного члена Научно-технического комитета АУ - т. Цветковского, пом. начальника 4 от</w:t>
      </w:r>
      <w:r w:rsidRPr="00A259BD">
        <w:rPr>
          <w:rFonts w:ascii="Times New Roman" w:hAnsi="Times New Roman"/>
          <w:color w:val="000000" w:themeColor="text1"/>
          <w:sz w:val="16"/>
          <w:szCs w:val="16"/>
        </w:rPr>
        <w:softHyphen/>
        <w:t xml:space="preserve">дела II управления Штаба РККА - т. Маурер, пом. начальника 1 отдела ВНИК - т. </w:t>
      </w:r>
      <w:proofErr w:type="spellStart"/>
      <w:r w:rsidRPr="00A259BD">
        <w:rPr>
          <w:rFonts w:ascii="Times New Roman" w:hAnsi="Times New Roman"/>
          <w:color w:val="000000" w:themeColor="text1"/>
          <w:sz w:val="16"/>
          <w:szCs w:val="16"/>
        </w:rPr>
        <w:t>Аловертова</w:t>
      </w:r>
      <w:proofErr w:type="spellEnd"/>
      <w:r w:rsidRPr="00A259BD">
        <w:rPr>
          <w:rFonts w:ascii="Times New Roman" w:hAnsi="Times New Roman"/>
          <w:color w:val="000000" w:themeColor="text1"/>
          <w:sz w:val="16"/>
          <w:szCs w:val="16"/>
        </w:rPr>
        <w:t xml:space="preserve">, начальника конструкторского бюро ОАТ - т. </w:t>
      </w:r>
      <w:proofErr w:type="spellStart"/>
      <w:r w:rsidRPr="00A259BD">
        <w:rPr>
          <w:rFonts w:ascii="Times New Roman" w:hAnsi="Times New Roman"/>
          <w:color w:val="000000" w:themeColor="text1"/>
          <w:sz w:val="16"/>
          <w:szCs w:val="16"/>
        </w:rPr>
        <w:t>Шукалова</w:t>
      </w:r>
      <w:proofErr w:type="spellEnd"/>
      <w:r w:rsidRPr="00A259BD">
        <w:rPr>
          <w:rFonts w:ascii="Times New Roman" w:hAnsi="Times New Roman"/>
          <w:color w:val="000000" w:themeColor="text1"/>
          <w:sz w:val="16"/>
          <w:szCs w:val="16"/>
        </w:rPr>
        <w:t xml:space="preserve">, ст. инженера ГВПУ - т. </w:t>
      </w:r>
      <w:proofErr w:type="spellStart"/>
      <w:r w:rsidRPr="00A259BD">
        <w:rPr>
          <w:rFonts w:ascii="Times New Roman" w:hAnsi="Times New Roman"/>
          <w:color w:val="000000" w:themeColor="text1"/>
          <w:sz w:val="16"/>
          <w:szCs w:val="16"/>
        </w:rPr>
        <w:t>Викмана</w:t>
      </w:r>
      <w:proofErr w:type="spellEnd"/>
      <w:r w:rsidRPr="00A259BD">
        <w:rPr>
          <w:rFonts w:ascii="Times New Roman" w:hAnsi="Times New Roman"/>
          <w:color w:val="000000" w:themeColor="text1"/>
          <w:sz w:val="16"/>
          <w:szCs w:val="16"/>
        </w:rPr>
        <w:t>, заведующего испытательной станцией МС-1 на заводе "Большевик" - т. Судоплатова, начальника военно-инженер</w:t>
      </w:r>
      <w:r w:rsidRPr="00A259BD">
        <w:rPr>
          <w:rFonts w:ascii="Times New Roman" w:hAnsi="Times New Roman"/>
          <w:color w:val="000000" w:themeColor="text1"/>
          <w:sz w:val="16"/>
          <w:szCs w:val="16"/>
        </w:rPr>
        <w:softHyphen/>
        <w:t>ного полигона ВТУ — т. Шатагина и пом. командира по технической части 3 танкового полка - т. Мо</w:t>
      </w:r>
      <w:r w:rsidRPr="00A259BD">
        <w:rPr>
          <w:rFonts w:ascii="Times New Roman" w:hAnsi="Times New Roman"/>
          <w:color w:val="000000" w:themeColor="text1"/>
          <w:sz w:val="16"/>
          <w:szCs w:val="16"/>
        </w:rPr>
        <w:softHyphen/>
        <w:t xml:space="preserve">розова для производства испытания танка МС-1 в период с 27 ноября по 4 декабря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(11210)</w:t>
      </w:r>
    </w:p>
    <w:p w14:paraId="1377CFD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66DBE7A"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6B3137D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A3743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ноября 1929 открылся Пленум ЦК ВКП(б), принявший решение об отмене карточной системы, о списании задолженности колхозов и совхозов и упразднении политотделов МТС (3481).</w:t>
      </w:r>
    </w:p>
    <w:p w14:paraId="1526CD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C9E66A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3D4D52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7032E9D" w14:textId="77777777" w:rsidR="006752AA" w:rsidRPr="00A259BD" w:rsidRDefault="006752A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ноября 1929 в журнале </w:t>
      </w:r>
      <w:proofErr w:type="spellStart"/>
      <w:r w:rsidRPr="00A259BD">
        <w:rPr>
          <w:rFonts w:ascii="Times New Roman" w:hAnsi="Times New Roman"/>
          <w:color w:val="000000" w:themeColor="text1"/>
          <w:sz w:val="16"/>
          <w:szCs w:val="16"/>
        </w:rPr>
        <w:t>Арткома</w:t>
      </w:r>
      <w:proofErr w:type="spellEnd"/>
      <w:r w:rsidRPr="00A259BD">
        <w:rPr>
          <w:rFonts w:ascii="Times New Roman" w:hAnsi="Times New Roman"/>
          <w:color w:val="000000" w:themeColor="text1"/>
          <w:sz w:val="16"/>
          <w:szCs w:val="16"/>
        </w:rPr>
        <w:t xml:space="preserve"> от сообщается о заказе партии дистанционных зенитных прицелов. Он называется комбинированным т.к использованы элементы прицелов: ТРОЗ- заимствована переменная длина </w:t>
      </w:r>
      <w:proofErr w:type="spellStart"/>
      <w:r w:rsidRPr="00A259BD">
        <w:rPr>
          <w:rFonts w:ascii="Times New Roman" w:hAnsi="Times New Roman"/>
          <w:color w:val="000000" w:themeColor="text1"/>
          <w:sz w:val="16"/>
          <w:szCs w:val="16"/>
        </w:rPr>
        <w:t>приццельной</w:t>
      </w:r>
      <w:proofErr w:type="spellEnd"/>
      <w:r w:rsidRPr="00A259BD">
        <w:rPr>
          <w:rFonts w:ascii="Times New Roman" w:hAnsi="Times New Roman"/>
          <w:color w:val="000000" w:themeColor="text1"/>
          <w:sz w:val="16"/>
          <w:szCs w:val="16"/>
        </w:rPr>
        <w:t xml:space="preserve"> линии путем перемещения переднего визира у Сверчкова - кольцевой визир, у </w:t>
      </w:r>
      <w:proofErr w:type="spellStart"/>
      <w:r w:rsidRPr="00A259BD">
        <w:rPr>
          <w:rFonts w:ascii="Times New Roman" w:hAnsi="Times New Roman"/>
          <w:color w:val="000000" w:themeColor="text1"/>
          <w:sz w:val="16"/>
          <w:szCs w:val="16"/>
        </w:rPr>
        <w:t>Пейкри</w:t>
      </w:r>
      <w:proofErr w:type="spellEnd"/>
      <w:r w:rsidRPr="00A259BD">
        <w:rPr>
          <w:rFonts w:ascii="Times New Roman" w:hAnsi="Times New Roman"/>
          <w:color w:val="000000" w:themeColor="text1"/>
          <w:sz w:val="16"/>
          <w:szCs w:val="16"/>
        </w:rPr>
        <w:t xml:space="preserve"> - задний визир. И в декабре он (комбинированный прицел) принимается на вооружение (19739).</w:t>
      </w:r>
    </w:p>
    <w:p w14:paraId="201FFBE7" w14:textId="77777777" w:rsidR="006752AA" w:rsidRPr="00A259BD" w:rsidRDefault="006752AA" w:rsidP="009236E3">
      <w:pPr>
        <w:spacing w:after="0" w:line="240" w:lineRule="auto"/>
        <w:jc w:val="both"/>
        <w:rPr>
          <w:rFonts w:ascii="Times New Roman" w:hAnsi="Times New Roman"/>
          <w:color w:val="000000" w:themeColor="text1"/>
          <w:sz w:val="16"/>
          <w:szCs w:val="16"/>
        </w:rPr>
      </w:pPr>
    </w:p>
    <w:p w14:paraId="060F8F9C" w14:textId="77777777" w:rsidR="00382A41" w:rsidRPr="00A259BD" w:rsidRDefault="00382A41"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25 ноября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Протокол заседания Политбюро ЦК ВКП(б) № 107. 25. О танкостроении (Ворошилов). — ОП. (Политбюро... Т. 1. С. 740) (12416).</w:t>
      </w:r>
    </w:p>
    <w:p w14:paraId="1E04FA1D" w14:textId="77777777" w:rsidR="00382A41" w:rsidRPr="00A259BD" w:rsidRDefault="00382A41" w:rsidP="009236E3">
      <w:pPr>
        <w:spacing w:after="0" w:line="240" w:lineRule="auto"/>
        <w:jc w:val="both"/>
        <w:rPr>
          <w:rFonts w:ascii="Times New Roman" w:hAnsi="Times New Roman"/>
          <w:color w:val="000000" w:themeColor="text1"/>
          <w:sz w:val="16"/>
          <w:szCs w:val="16"/>
          <w:u w:color="002060"/>
        </w:rPr>
      </w:pPr>
    </w:p>
    <w:p w14:paraId="3FFBE4F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ноября 1929 г. была подготовлена:</w:t>
      </w:r>
    </w:p>
    <w:p w14:paraId="3D8C3EB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СПРАВКА УММ В РВС О ХОДЕ ВЫПОЛНЕНИЯ ПРОМЫШЛЕННОСТЬЮ ЗАКАЗОВ ПО ПОСТРОЙКЕ ТАНКОВ</w:t>
      </w:r>
    </w:p>
    <w:p w14:paraId="484F8C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г. Москва</w:t>
      </w:r>
    </w:p>
    <w:p w14:paraId="2EBD0C8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типу малого танка</w:t>
      </w:r>
    </w:p>
    <w:p w14:paraId="2596017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Проект малого танка выработан конструкторским бюро Орудийно-арсенального треста в 1926 г. Пер</w:t>
      </w:r>
      <w:r w:rsidRPr="00A259BD">
        <w:rPr>
          <w:rFonts w:ascii="Times New Roman" w:hAnsi="Times New Roman"/>
          <w:color w:val="000000" w:themeColor="text1"/>
          <w:sz w:val="16"/>
          <w:szCs w:val="16"/>
        </w:rPr>
        <w:softHyphen/>
        <w:t>вый его образец изготовлен заводом “Большевик” 6 апреля 1927 г.</w:t>
      </w:r>
    </w:p>
    <w:p w14:paraId="06C300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После испытания дан заказ 1 февраля 1928 г. на 108 шт. со сроком сдачи в 1927-1928 гг. и 78 шт. в 1928-1929 гг.</w:t>
      </w:r>
    </w:p>
    <w:p w14:paraId="01E6F4E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Дополнительный заказ — апрель месяц 1928 г. еще 25 шт. со сроком сдачи 1 декабря 1929 г. Итого заказано: 133 штуки.</w:t>
      </w:r>
    </w:p>
    <w:p w14:paraId="144E22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Фактически сдано 96 шт.</w:t>
      </w:r>
    </w:p>
    <w:p w14:paraId="148E678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w:t>
      </w:r>
      <w:proofErr w:type="spellStart"/>
      <w:r w:rsidRPr="00A259BD">
        <w:rPr>
          <w:rFonts w:ascii="Times New Roman" w:hAnsi="Times New Roman"/>
          <w:color w:val="000000" w:themeColor="text1"/>
          <w:sz w:val="16"/>
          <w:szCs w:val="16"/>
        </w:rPr>
        <w:t>Недосдано</w:t>
      </w:r>
      <w:proofErr w:type="spellEnd"/>
      <w:r w:rsidRPr="00A259BD">
        <w:rPr>
          <w:rFonts w:ascii="Times New Roman" w:hAnsi="Times New Roman"/>
          <w:color w:val="000000" w:themeColor="text1"/>
          <w:sz w:val="16"/>
          <w:szCs w:val="16"/>
        </w:rPr>
        <w:t xml:space="preserve"> 37 шт. по заказу 1928-1929 гг.</w:t>
      </w:r>
    </w:p>
    <w:p w14:paraId="3625E3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предстоящим заказам 1929-1930 гг. по типу малого танка</w:t>
      </w:r>
    </w:p>
    <w:p w14:paraId="669000E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По постановлению Рабочего Заседания Совета Труда и Обороны промышленность должна принять к исполнению 300 шт. танков без недоделанных 37 шт. по 1928-1929 гг.</w:t>
      </w:r>
    </w:p>
    <w:p w14:paraId="3D80B9B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Из этой партии НКВМ авансировано уже в 1928-1929 гг. на 72 танка. В настоящее время пред</w:t>
      </w:r>
      <w:r w:rsidRPr="00A259BD">
        <w:rPr>
          <w:rFonts w:ascii="Times New Roman" w:hAnsi="Times New Roman"/>
          <w:color w:val="000000" w:themeColor="text1"/>
          <w:sz w:val="16"/>
          <w:szCs w:val="16"/>
        </w:rPr>
        <w:softHyphen/>
        <w:t>стоит заключить договор на 228 танков.</w:t>
      </w:r>
    </w:p>
    <w:p w14:paraId="0E61D37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Указанная выше партия должна выпускаться при соответствующей модернизации малого тан</w:t>
      </w:r>
      <w:r w:rsidRPr="00A259BD">
        <w:rPr>
          <w:rFonts w:ascii="Times New Roman" w:hAnsi="Times New Roman"/>
          <w:color w:val="000000" w:themeColor="text1"/>
          <w:sz w:val="16"/>
          <w:szCs w:val="16"/>
        </w:rPr>
        <w:softHyphen/>
        <w:t>ка, как-то: по повышению скорости танка: 1-я серия -16 километров в час, 2-я серия — 16 километ</w:t>
      </w:r>
      <w:r w:rsidRPr="00A259BD">
        <w:rPr>
          <w:rFonts w:ascii="Times New Roman" w:hAnsi="Times New Roman"/>
          <w:color w:val="000000" w:themeColor="text1"/>
          <w:sz w:val="16"/>
          <w:szCs w:val="16"/>
        </w:rPr>
        <w:softHyphen/>
        <w:t>ров, 3-я серия -18 километров и 4-я серия — до 25 километров в час. Эти обязательства промышлен</w:t>
      </w:r>
      <w:r w:rsidRPr="00A259BD">
        <w:rPr>
          <w:rFonts w:ascii="Times New Roman" w:hAnsi="Times New Roman"/>
          <w:color w:val="000000" w:themeColor="text1"/>
          <w:sz w:val="16"/>
          <w:szCs w:val="16"/>
        </w:rPr>
        <w:softHyphen/>
        <w:t>ностью приняты.</w:t>
      </w:r>
    </w:p>
    <w:p w14:paraId="59F932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 НКВМ нет никакой уверенности в выполнении программы в 300 шт. целиком, не говоря уже о модернизации танков всей 3-й серии.</w:t>
      </w:r>
    </w:p>
    <w:p w14:paraId="480E59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до сих пор не приступил к конкретным мероприятиям по пересмотру производственных ) процессов, а Трест мало что сделал в отношении развертывания производственных программ и за</w:t>
      </w:r>
      <w:r w:rsidRPr="00A259BD">
        <w:rPr>
          <w:rFonts w:ascii="Times New Roman" w:hAnsi="Times New Roman"/>
          <w:color w:val="000000" w:themeColor="text1"/>
          <w:sz w:val="16"/>
          <w:szCs w:val="16"/>
        </w:rPr>
        <w:softHyphen/>
        <w:t>воза импортного оборудования.</w:t>
      </w:r>
    </w:p>
    <w:p w14:paraId="699322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типу среднего танка</w:t>
      </w:r>
    </w:p>
    <w:p w14:paraId="4CA5549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Заказ дан 1 ноября 1928 г. на опытный образец Орудийно-арсенальному тресту. Изготавлива</w:t>
      </w:r>
      <w:r w:rsidRPr="00A259BD">
        <w:rPr>
          <w:rFonts w:ascii="Times New Roman" w:hAnsi="Times New Roman"/>
          <w:color w:val="000000" w:themeColor="text1"/>
          <w:sz w:val="16"/>
          <w:szCs w:val="16"/>
        </w:rPr>
        <w:softHyphen/>
        <w:t>ется танк на ХПЗ.</w:t>
      </w:r>
    </w:p>
    <w:p w14:paraId="7DAAB1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Срок исполнения 1 декабря 1929 г., дабы танк был готов к полным войсковым испытаниям.</w:t>
      </w:r>
    </w:p>
    <w:p w14:paraId="187768E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Тов.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xml:space="preserve"> сократил сроки НКВМ в изготовлении образца для вышеуказанных целей до 1 сентября 1929 г., то есть взял обязательство выполнить скорее установленного срока на четыре месяца.</w:t>
      </w:r>
    </w:p>
    <w:p w14:paraId="37FFF6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На основании этого РЗ СТО приняло программу строительства 30 штук средних танков со сроком сдачи 1 октября 1930 г.</w:t>
      </w:r>
    </w:p>
    <w:p w14:paraId="71AB05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Фактическая сторона дела не соответствует действительности, ибо на сегодняшний день впол</w:t>
      </w:r>
      <w:r w:rsidRPr="00A259BD">
        <w:rPr>
          <w:rFonts w:ascii="Times New Roman" w:hAnsi="Times New Roman"/>
          <w:color w:val="000000" w:themeColor="text1"/>
          <w:sz w:val="16"/>
          <w:szCs w:val="16"/>
        </w:rPr>
        <w:softHyphen/>
        <w:t>не законченного образца, по которому нужно строить серии, нет.</w:t>
      </w:r>
    </w:p>
    <w:p w14:paraId="48EFF4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Танк ожидается только для заводских испытаний в декабре - январе месяце (по заявлению за</w:t>
      </w:r>
      <w:r w:rsidRPr="00A259BD">
        <w:rPr>
          <w:rFonts w:ascii="Times New Roman" w:hAnsi="Times New Roman"/>
          <w:color w:val="000000" w:themeColor="text1"/>
          <w:sz w:val="16"/>
          <w:szCs w:val="16"/>
        </w:rPr>
        <w:softHyphen/>
        <w:t>вода и конструкторского бюро Орудийно-арсенального треста).</w:t>
      </w:r>
    </w:p>
    <w:p w14:paraId="388AE4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Что же касается войсковых испытаний, то танк предполагается предъявить как законченный I образец для войсковых испытаний в мае-июне месяце 1930 г., и только после этого можно говорить о сроках первой партии серийного производства. Таким образом, по самым оптимальным расчетам} на сегодняшний день мы имеем запоздание на девять-десять месяцев.</w:t>
      </w:r>
    </w:p>
    <w:p w14:paraId="437EE08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всего вышесказанного совершенно очевидно, что серийный заказ в 30 штук средних танков срывается.</w:t>
      </w:r>
    </w:p>
    <w:p w14:paraId="75794E9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Танкетка</w:t>
      </w:r>
    </w:p>
    <w:p w14:paraId="49CA1BF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Разработка начата в 1927 г. на заводе “Большевик” и НАМИ.</w:t>
      </w:r>
    </w:p>
    <w:p w14:paraId="699F329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Приступлено к изготовлению в 1928 г. (февраль-март месяцы). Постройка подтверждена РВС Союза - январь 1929г. (как промежуточного типа).</w:t>
      </w:r>
    </w:p>
    <w:p w14:paraId="1B64814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Срок сдачи 1929 г., май месяц — для заводских и общевойсковых испытаний. До сих пор ни</w:t>
      </w:r>
      <w:r w:rsidRPr="00A259BD">
        <w:rPr>
          <w:rFonts w:ascii="Times New Roman" w:hAnsi="Times New Roman"/>
          <w:color w:val="000000" w:themeColor="text1"/>
          <w:sz w:val="16"/>
          <w:szCs w:val="16"/>
        </w:rPr>
        <w:softHyphen/>
        <w:t>чего не сделано. Орудийно-арсенальный трест обещает сдать в декабре месяце 1929 г. Тип танкетки не отвечает системе вооружения и пускать данную танкетку в опытно-серийное производство без капитальной реконструкции нецелесообразно.</w:t>
      </w:r>
    </w:p>
    <w:p w14:paraId="79BF6F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Для нового типа по тактико-техническим требованиям </w:t>
      </w:r>
      <w:proofErr w:type="spellStart"/>
      <w:r w:rsidRPr="00A259BD">
        <w:rPr>
          <w:rFonts w:ascii="Times New Roman" w:hAnsi="Times New Roman"/>
          <w:color w:val="000000" w:themeColor="text1"/>
          <w:sz w:val="16"/>
          <w:szCs w:val="16"/>
        </w:rPr>
        <w:t>НКВМа</w:t>
      </w:r>
      <w:proofErr w:type="spellEnd"/>
      <w:r w:rsidRPr="00A259BD">
        <w:rPr>
          <w:rFonts w:ascii="Times New Roman" w:hAnsi="Times New Roman"/>
          <w:color w:val="000000" w:themeColor="text1"/>
          <w:sz w:val="16"/>
          <w:szCs w:val="16"/>
        </w:rPr>
        <w:t xml:space="preserve"> законченного проекта нет. Проект разрабатывается, предполагают закончить к 1 января [1930 г.]</w:t>
      </w:r>
    </w:p>
    <w:p w14:paraId="4025A05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Данного типа танкетки требуется изготовить, по постановлению РЗ СТО 10 штук. Положение с за</w:t>
      </w:r>
      <w:r w:rsidRPr="00A259BD">
        <w:rPr>
          <w:rFonts w:ascii="Times New Roman" w:hAnsi="Times New Roman"/>
          <w:color w:val="000000" w:themeColor="text1"/>
          <w:sz w:val="16"/>
          <w:szCs w:val="16"/>
        </w:rPr>
        <w:softHyphen/>
        <w:t>казом чрезвычайно тяжелое, так как проект незакончен, завод не определен, где изготовлять данную опытную серию. Также не определено где вообще предполагается развернуть массовое производство.</w:t>
      </w:r>
    </w:p>
    <w:p w14:paraId="7E8553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прочим, данная опытная серия должна быть, во что бы то ни стало построенной в 1929-1930 гг., к 1 октября, в противном случае мы поставим под угрозу срыва организацию механизиро</w:t>
      </w:r>
      <w:r w:rsidRPr="00A259BD">
        <w:rPr>
          <w:rFonts w:ascii="Times New Roman" w:hAnsi="Times New Roman"/>
          <w:color w:val="000000" w:themeColor="text1"/>
          <w:sz w:val="16"/>
          <w:szCs w:val="16"/>
        </w:rPr>
        <w:softHyphen/>
        <w:t>ванных войсковых соединений.</w:t>
      </w:r>
    </w:p>
    <w:p w14:paraId="5BD4747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 УММ РККА </w:t>
      </w:r>
      <w:proofErr w:type="spellStart"/>
      <w:r w:rsidRPr="00A259BD">
        <w:rPr>
          <w:rFonts w:ascii="Times New Roman" w:hAnsi="Times New Roman"/>
          <w:color w:val="000000" w:themeColor="text1"/>
          <w:sz w:val="16"/>
          <w:szCs w:val="16"/>
        </w:rPr>
        <w:t>Халепский</w:t>
      </w:r>
      <w:proofErr w:type="spellEnd"/>
    </w:p>
    <w:p w14:paraId="0085873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 </w:t>
      </w:r>
      <w:proofErr w:type="spellStart"/>
      <w:r w:rsidRPr="00A259BD">
        <w:rPr>
          <w:rFonts w:ascii="Times New Roman" w:hAnsi="Times New Roman"/>
          <w:color w:val="000000" w:themeColor="text1"/>
          <w:sz w:val="16"/>
          <w:szCs w:val="16"/>
        </w:rPr>
        <w:t>танкотракторного</w:t>
      </w:r>
      <w:proofErr w:type="spellEnd"/>
      <w:r w:rsidRPr="00A259BD">
        <w:rPr>
          <w:rFonts w:ascii="Times New Roman" w:hAnsi="Times New Roman"/>
          <w:color w:val="000000" w:themeColor="text1"/>
          <w:sz w:val="16"/>
          <w:szCs w:val="16"/>
        </w:rPr>
        <w:t xml:space="preserve"> отдела</w:t>
      </w:r>
    </w:p>
    <w:p w14:paraId="1DA0745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Поляков</w:t>
      </w:r>
    </w:p>
    <w:p w14:paraId="2F9AF1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РГВА Ф. 4. Оп. 2. Д. 504. Л. 47 - 48. Подлинник (11210).</w:t>
      </w:r>
    </w:p>
    <w:p w14:paraId="66229DE7" w14:textId="77777777" w:rsidR="00F547C5" w:rsidRPr="00A259BD" w:rsidRDefault="00F547C5" w:rsidP="009236E3">
      <w:pPr>
        <w:spacing w:after="0" w:line="240" w:lineRule="auto"/>
        <w:jc w:val="both"/>
        <w:rPr>
          <w:rFonts w:ascii="Times New Roman" w:hAnsi="Times New Roman"/>
          <w:color w:val="000000" w:themeColor="text1"/>
          <w:sz w:val="16"/>
          <w:szCs w:val="16"/>
        </w:rPr>
      </w:pPr>
    </w:p>
    <w:p w14:paraId="59108D9B" w14:textId="77777777" w:rsidR="00502E84" w:rsidRPr="00A259BD" w:rsidRDefault="00502E8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ноября 1929 г. решением Политбюро были определены типы танков и организационная структура танковых частей в составе Красной Армии. Там же была сформулирована основная боевая задача танковых войск: действуя в тактической зоне боя, служить средством поддержки пехоты и кавалерии в наступательных операциях. Согласно танковой программе, СССР должен был иметь в мирное время 1500 танков, способных выдвинуться на передовую. Резерв первого периода войны был определён в 1500–2000 танков, и ещё столько же должны были дать дальнейшие поставки промышленности(17208). </w:t>
      </w:r>
    </w:p>
    <w:p w14:paraId="6B155E01" w14:textId="77777777" w:rsidR="00502E84" w:rsidRPr="00A259BD" w:rsidRDefault="00502E84" w:rsidP="009236E3">
      <w:pPr>
        <w:spacing w:after="0" w:line="240" w:lineRule="auto"/>
        <w:jc w:val="both"/>
        <w:rPr>
          <w:rFonts w:ascii="Times New Roman" w:hAnsi="Times New Roman"/>
          <w:color w:val="000000" w:themeColor="text1"/>
          <w:sz w:val="16"/>
          <w:szCs w:val="16"/>
        </w:rPr>
      </w:pPr>
    </w:p>
    <w:p w14:paraId="2DC43F6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25—30 ноября 1929 года на </w:t>
      </w:r>
      <w:proofErr w:type="spellStart"/>
      <w:r w:rsidRPr="00A259BD">
        <w:rPr>
          <w:rFonts w:ascii="Times New Roman" w:hAnsi="Times New Roman"/>
          <w:color w:val="000000" w:themeColor="text1"/>
          <w:sz w:val="16"/>
          <w:szCs w:val="16"/>
        </w:rPr>
        <w:t>НИОПе</w:t>
      </w:r>
      <w:proofErr w:type="spellEnd"/>
      <w:r w:rsidRPr="00A259BD">
        <w:rPr>
          <w:rFonts w:ascii="Times New Roman" w:hAnsi="Times New Roman"/>
          <w:color w:val="000000" w:themeColor="text1"/>
          <w:sz w:val="16"/>
          <w:szCs w:val="16"/>
        </w:rPr>
        <w:t xml:space="preserve"> “под председательст</w:t>
      </w:r>
      <w:r w:rsidRPr="00A259BD">
        <w:rPr>
          <w:rFonts w:ascii="Times New Roman" w:hAnsi="Times New Roman"/>
          <w:color w:val="000000" w:themeColor="text1"/>
          <w:sz w:val="16"/>
          <w:szCs w:val="16"/>
        </w:rPr>
        <w:softHyphen/>
        <w:t xml:space="preserve">вом т. </w:t>
      </w:r>
      <w:proofErr w:type="spellStart"/>
      <w:r w:rsidRPr="00A259BD">
        <w:rPr>
          <w:rFonts w:ascii="Times New Roman" w:hAnsi="Times New Roman"/>
          <w:color w:val="000000" w:themeColor="text1"/>
          <w:sz w:val="16"/>
          <w:szCs w:val="16"/>
        </w:rPr>
        <w:t>Блюмберга</w:t>
      </w:r>
      <w:proofErr w:type="spellEnd"/>
      <w:r w:rsidRPr="00A259BD">
        <w:rPr>
          <w:rFonts w:ascii="Times New Roman" w:hAnsi="Times New Roman"/>
          <w:color w:val="000000" w:themeColor="text1"/>
          <w:sz w:val="16"/>
          <w:szCs w:val="16"/>
        </w:rPr>
        <w:t>” прошло испытание легковых машин и мо</w:t>
      </w:r>
      <w:r w:rsidRPr="00A259BD">
        <w:rPr>
          <w:rFonts w:ascii="Times New Roman" w:hAnsi="Times New Roman"/>
          <w:color w:val="000000" w:themeColor="text1"/>
          <w:sz w:val="16"/>
          <w:szCs w:val="16"/>
        </w:rPr>
        <w:softHyphen/>
        <w:t xml:space="preserve">тоциклов, вооруженных пулеметами в мастерских </w:t>
      </w:r>
      <w:proofErr w:type="spellStart"/>
      <w:r w:rsidRPr="00A259BD">
        <w:rPr>
          <w:rFonts w:ascii="Times New Roman" w:hAnsi="Times New Roman"/>
          <w:color w:val="000000" w:themeColor="text1"/>
          <w:sz w:val="16"/>
          <w:szCs w:val="16"/>
        </w:rPr>
        <w:t>НИОПа</w:t>
      </w:r>
      <w:proofErr w:type="spellEnd"/>
      <w:r w:rsidRPr="00A259BD">
        <w:rPr>
          <w:rFonts w:ascii="Times New Roman" w:hAnsi="Times New Roman"/>
          <w:color w:val="000000" w:themeColor="text1"/>
          <w:sz w:val="16"/>
          <w:szCs w:val="16"/>
        </w:rPr>
        <w:t xml:space="preserve"> и на заводе № 2. Всего испытывалось три приспособленных автомобиля и три мотоцикла, из них 1 “Форд-А”, 1 НАМИ-1 (малолитражка, изготовление которых вел московский завод “Спартак”) и 2 мотоцикла “Харлей-Дэвидсон” с оборудова</w:t>
      </w:r>
      <w:r w:rsidRPr="00A259BD">
        <w:rPr>
          <w:rFonts w:ascii="Times New Roman" w:hAnsi="Times New Roman"/>
          <w:color w:val="000000" w:themeColor="text1"/>
          <w:sz w:val="16"/>
          <w:szCs w:val="16"/>
        </w:rPr>
        <w:softHyphen/>
        <w:t xml:space="preserve">нием конструкции </w:t>
      </w:r>
      <w:proofErr w:type="spellStart"/>
      <w:r w:rsidRPr="00A259BD">
        <w:rPr>
          <w:rFonts w:ascii="Times New Roman" w:hAnsi="Times New Roman"/>
          <w:color w:val="000000" w:themeColor="text1"/>
          <w:sz w:val="16"/>
          <w:szCs w:val="16"/>
        </w:rPr>
        <w:t>НИОПом</w:t>
      </w:r>
      <w:proofErr w:type="spellEnd"/>
      <w:r w:rsidRPr="00A259BD">
        <w:rPr>
          <w:rFonts w:ascii="Times New Roman" w:hAnsi="Times New Roman"/>
          <w:color w:val="000000" w:themeColor="text1"/>
          <w:sz w:val="16"/>
          <w:szCs w:val="16"/>
        </w:rPr>
        <w:t>, а 1 “Форд-А” и 1 мотоцикл -конструкции завода № 2. Все машины были осмотрены ко</w:t>
      </w:r>
      <w:r w:rsidRPr="00A259BD">
        <w:rPr>
          <w:rFonts w:ascii="Times New Roman" w:hAnsi="Times New Roman"/>
          <w:color w:val="000000" w:themeColor="text1"/>
          <w:sz w:val="16"/>
          <w:szCs w:val="16"/>
        </w:rPr>
        <w:softHyphen/>
        <w:t>миссией, которая отмечала следующее:</w:t>
      </w:r>
    </w:p>
    <w:p w14:paraId="5CC03F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“Автомобиль “Форд-А”, оборудованный НИОП - за</w:t>
      </w:r>
      <w:r w:rsidRPr="00A259BD">
        <w:rPr>
          <w:rFonts w:ascii="Times New Roman" w:hAnsi="Times New Roman"/>
          <w:color w:val="000000" w:themeColor="text1"/>
          <w:sz w:val="16"/>
          <w:szCs w:val="16"/>
        </w:rPr>
        <w:softHyphen/>
        <w:t>пас для пулемета Максим 2 катушки по 250 патронов и 3 па</w:t>
      </w:r>
      <w:r w:rsidRPr="00A259BD">
        <w:rPr>
          <w:rFonts w:ascii="Times New Roman" w:hAnsi="Times New Roman"/>
          <w:color w:val="000000" w:themeColor="text1"/>
          <w:sz w:val="16"/>
          <w:szCs w:val="16"/>
        </w:rPr>
        <w:softHyphen/>
        <w:t>тронных коробки, всего 1250 патрон, запас для пулемета ДП — 4 магазина. Общий вес оборудования с пулеметами и патронами — 197,65 кг. При условии изъятия одного пас</w:t>
      </w:r>
      <w:r w:rsidRPr="00A259BD">
        <w:rPr>
          <w:rFonts w:ascii="Times New Roman" w:hAnsi="Times New Roman"/>
          <w:color w:val="000000" w:themeColor="text1"/>
          <w:sz w:val="16"/>
          <w:szCs w:val="16"/>
        </w:rPr>
        <w:softHyphen/>
        <w:t>сажира перегрузка машины остается 120 кг.</w:t>
      </w:r>
    </w:p>
    <w:p w14:paraId="5644CA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Автомобиль НАМИ — запас к пулеметам такой же, вес оборудования и боеприпасов 175,7 кг. Перегрузка машины при условии изъятия одного седока - около 100 кг.</w:t>
      </w:r>
    </w:p>
    <w:p w14:paraId="282648A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Автомобиль “Форд-А” ИНЗ № 2 — для Максима имеет</w:t>
      </w:r>
      <w:r w:rsidRPr="00A259BD">
        <w:rPr>
          <w:rFonts w:ascii="Times New Roman" w:hAnsi="Times New Roman"/>
          <w:color w:val="000000" w:themeColor="text1"/>
          <w:sz w:val="16"/>
          <w:szCs w:val="16"/>
        </w:rPr>
        <w:softHyphen/>
        <w:t>ся 8 коробок патронов, для ручного пулемета ДП 10 магази</w:t>
      </w:r>
      <w:r w:rsidRPr="00A259BD">
        <w:rPr>
          <w:rFonts w:ascii="Times New Roman" w:hAnsi="Times New Roman"/>
          <w:color w:val="000000" w:themeColor="text1"/>
          <w:sz w:val="16"/>
          <w:szCs w:val="16"/>
        </w:rPr>
        <w:softHyphen/>
        <w:t>нов. Общий вес оборудования и боеприпасов 250 кг. Пере</w:t>
      </w:r>
      <w:r w:rsidRPr="00A259BD">
        <w:rPr>
          <w:rFonts w:ascii="Times New Roman" w:hAnsi="Times New Roman"/>
          <w:color w:val="000000" w:themeColor="text1"/>
          <w:sz w:val="16"/>
          <w:szCs w:val="16"/>
        </w:rPr>
        <w:softHyphen/>
        <w:t>грузка при изъятии одного седока около 170 кг.</w:t>
      </w:r>
    </w:p>
    <w:p w14:paraId="5FBD675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конструктивном отношении крепление пулеметных станков рассчитано не только на наземную, но и на зенит</w:t>
      </w:r>
      <w:r w:rsidRPr="00A259BD">
        <w:rPr>
          <w:rFonts w:ascii="Times New Roman" w:hAnsi="Times New Roman"/>
          <w:color w:val="000000" w:themeColor="text1"/>
          <w:sz w:val="16"/>
          <w:szCs w:val="16"/>
        </w:rPr>
        <w:softHyphen/>
        <w:t>ную стрельбу, и крепление их более простое, чем на образ</w:t>
      </w:r>
      <w:r w:rsidRPr="00A259BD">
        <w:rPr>
          <w:rFonts w:ascii="Times New Roman" w:hAnsi="Times New Roman"/>
          <w:color w:val="000000" w:themeColor="text1"/>
          <w:sz w:val="16"/>
          <w:szCs w:val="16"/>
        </w:rPr>
        <w:softHyphen/>
        <w:t>цах НИОП”.</w:t>
      </w:r>
    </w:p>
    <w:p w14:paraId="00322B1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Автомобили были испытаны пробегом на 200 км и стрельбой по мишеням, причем стрельба велась как с ме</w:t>
      </w:r>
      <w:r w:rsidRPr="00A259BD">
        <w:rPr>
          <w:rFonts w:ascii="Times New Roman" w:hAnsi="Times New Roman"/>
          <w:color w:val="000000" w:themeColor="text1"/>
          <w:sz w:val="16"/>
          <w:szCs w:val="16"/>
        </w:rPr>
        <w:softHyphen/>
        <w:t>ста, так и в движении. В своих выводах по итогам испыта</w:t>
      </w:r>
      <w:r w:rsidRPr="00A259BD">
        <w:rPr>
          <w:rFonts w:ascii="Times New Roman" w:hAnsi="Times New Roman"/>
          <w:color w:val="000000" w:themeColor="text1"/>
          <w:sz w:val="16"/>
          <w:szCs w:val="16"/>
        </w:rPr>
        <w:softHyphen/>
        <w:t xml:space="preserve">ний комиссия </w:t>
      </w:r>
      <w:proofErr w:type="spellStart"/>
      <w:r w:rsidRPr="00A259BD">
        <w:rPr>
          <w:rFonts w:ascii="Times New Roman" w:hAnsi="Times New Roman"/>
          <w:color w:val="000000" w:themeColor="text1"/>
          <w:sz w:val="16"/>
          <w:szCs w:val="16"/>
        </w:rPr>
        <w:t>Блюмберга</w:t>
      </w:r>
      <w:proofErr w:type="spellEnd"/>
      <w:r w:rsidRPr="00A259BD">
        <w:rPr>
          <w:rFonts w:ascii="Times New Roman" w:hAnsi="Times New Roman"/>
          <w:color w:val="000000" w:themeColor="text1"/>
          <w:sz w:val="16"/>
          <w:szCs w:val="16"/>
        </w:rPr>
        <w:t xml:space="preserve"> отмечала:</w:t>
      </w:r>
    </w:p>
    <w:p w14:paraId="1FAB7A2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Идея вооружения мотоциклов и автомобилей пуле</w:t>
      </w:r>
      <w:r w:rsidRPr="00A259BD">
        <w:rPr>
          <w:rFonts w:ascii="Times New Roman" w:hAnsi="Times New Roman"/>
          <w:color w:val="000000" w:themeColor="text1"/>
          <w:sz w:val="16"/>
          <w:szCs w:val="16"/>
        </w:rPr>
        <w:softHyphen/>
        <w:t>метами заслуживает серьезного внимания. Такие автомоби</w:t>
      </w:r>
      <w:r w:rsidRPr="00A259BD">
        <w:rPr>
          <w:rFonts w:ascii="Times New Roman" w:hAnsi="Times New Roman"/>
          <w:color w:val="000000" w:themeColor="text1"/>
          <w:sz w:val="16"/>
          <w:szCs w:val="16"/>
        </w:rPr>
        <w:softHyphen/>
        <w:t>ли могут быть использованы не только для транспортирова</w:t>
      </w:r>
      <w:r w:rsidRPr="00A259BD">
        <w:rPr>
          <w:rFonts w:ascii="Times New Roman" w:hAnsi="Times New Roman"/>
          <w:color w:val="000000" w:themeColor="text1"/>
          <w:sz w:val="16"/>
          <w:szCs w:val="16"/>
        </w:rPr>
        <w:softHyphen/>
        <w:t>ния пулеметов, но и для боевых целей.</w:t>
      </w:r>
    </w:p>
    <w:p w14:paraId="107911F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Признать, что ни одно из представленных пулемет</w:t>
      </w:r>
      <w:r w:rsidRPr="00A259BD">
        <w:rPr>
          <w:rFonts w:ascii="Times New Roman" w:hAnsi="Times New Roman"/>
          <w:color w:val="000000" w:themeColor="text1"/>
          <w:sz w:val="16"/>
          <w:szCs w:val="16"/>
        </w:rPr>
        <w:softHyphen/>
        <w:t>ных оборудовании не удовлетворяет требованиям РККА (перегрузка автомобиля, неудобство работы пулеметчиков и т.д.).</w:t>
      </w:r>
    </w:p>
    <w:p w14:paraId="0FB4028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При конструировании не учтена возможность </w:t>
      </w:r>
      <w:proofErr w:type="spellStart"/>
      <w:r w:rsidRPr="00A259BD">
        <w:rPr>
          <w:rFonts w:ascii="Times New Roman" w:hAnsi="Times New Roman"/>
          <w:color w:val="000000" w:themeColor="text1"/>
          <w:sz w:val="16"/>
          <w:szCs w:val="16"/>
        </w:rPr>
        <w:t>забро-нирования</w:t>
      </w:r>
      <w:proofErr w:type="spellEnd"/>
      <w:r w:rsidRPr="00A259BD">
        <w:rPr>
          <w:rFonts w:ascii="Times New Roman" w:hAnsi="Times New Roman"/>
          <w:color w:val="000000" w:themeColor="text1"/>
          <w:sz w:val="16"/>
          <w:szCs w:val="16"/>
        </w:rPr>
        <w:t xml:space="preserve"> машины” (11284).</w:t>
      </w:r>
    </w:p>
    <w:p w14:paraId="07D108C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8799F6" w14:textId="77777777" w:rsidR="001B2291" w:rsidRPr="00A259BD" w:rsidRDefault="001B229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ноября 1929 состоялось заседание ПБ (Протокол № 107. Особый № 105)</w:t>
      </w:r>
    </w:p>
    <w:p w14:paraId="3B2A2971" w14:textId="77777777" w:rsidR="001B2291" w:rsidRPr="00A259BD" w:rsidRDefault="001B229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О договоре о технической помощи с французской </w:t>
      </w:r>
      <w:proofErr w:type="spellStart"/>
      <w:r w:rsidRPr="00A259BD">
        <w:rPr>
          <w:rFonts w:ascii="Times New Roman" w:hAnsi="Times New Roman"/>
          <w:color w:val="000000" w:themeColor="text1"/>
          <w:sz w:val="16"/>
          <w:szCs w:val="16"/>
        </w:rPr>
        <w:t>аллюминиевой</w:t>
      </w:r>
      <w:proofErr w:type="spellEnd"/>
      <w:r w:rsidRPr="00A259BD">
        <w:rPr>
          <w:rFonts w:ascii="Times New Roman" w:hAnsi="Times New Roman"/>
          <w:color w:val="000000" w:themeColor="text1"/>
          <w:sz w:val="16"/>
          <w:szCs w:val="16"/>
        </w:rPr>
        <w:t xml:space="preserve"> компании</w:t>
      </w:r>
    </w:p>
    <w:p w14:paraId="5B849AEE" w14:textId="77777777" w:rsidR="001B2291" w:rsidRPr="00A259BD" w:rsidRDefault="001B229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Рухимович</w:t>
      </w:r>
      <w:proofErr w:type="spellEnd"/>
      <w:r w:rsidRPr="00A259BD">
        <w:rPr>
          <w:rFonts w:ascii="Times New Roman" w:hAnsi="Times New Roman"/>
          <w:color w:val="000000" w:themeColor="text1"/>
          <w:sz w:val="16"/>
          <w:szCs w:val="16"/>
        </w:rPr>
        <w:t xml:space="preserve">, Гуревич, Каменев, Шлейфер, </w:t>
      </w:r>
      <w:proofErr w:type="spellStart"/>
      <w:r w:rsidRPr="00A259BD">
        <w:rPr>
          <w:rFonts w:ascii="Times New Roman" w:hAnsi="Times New Roman"/>
          <w:color w:val="000000" w:themeColor="text1"/>
          <w:sz w:val="16"/>
          <w:szCs w:val="16"/>
        </w:rPr>
        <w:t>Хинчук</w:t>
      </w:r>
      <w:proofErr w:type="spellEnd"/>
      <w:r w:rsidRPr="00A259BD">
        <w:rPr>
          <w:rFonts w:ascii="Times New Roman" w:hAnsi="Times New Roman"/>
          <w:color w:val="000000" w:themeColor="text1"/>
          <w:sz w:val="16"/>
          <w:szCs w:val="16"/>
        </w:rPr>
        <w:t>).</w:t>
      </w:r>
    </w:p>
    <w:p w14:paraId="09389639" w14:textId="77777777" w:rsidR="001B2291" w:rsidRPr="00A259BD" w:rsidRDefault="001B229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Вопрос о договоре с французской </w:t>
      </w:r>
      <w:proofErr w:type="spellStart"/>
      <w:r w:rsidRPr="00A259BD">
        <w:rPr>
          <w:rFonts w:ascii="Times New Roman" w:hAnsi="Times New Roman"/>
          <w:color w:val="000000" w:themeColor="text1"/>
          <w:sz w:val="16"/>
          <w:szCs w:val="16"/>
        </w:rPr>
        <w:t>аллюминиевой</w:t>
      </w:r>
      <w:proofErr w:type="spellEnd"/>
      <w:r w:rsidRPr="00A259BD">
        <w:rPr>
          <w:rFonts w:ascii="Times New Roman" w:hAnsi="Times New Roman"/>
          <w:color w:val="000000" w:themeColor="text1"/>
          <w:sz w:val="16"/>
          <w:szCs w:val="16"/>
        </w:rPr>
        <w:t xml:space="preserve"> компанией о технической помощи передать на предварительное рассмотрение, на основе обмена мнений в Политбюро, комиссии в составе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Розенгольца</w:t>
      </w:r>
      <w:proofErr w:type="spellEnd"/>
      <w:r w:rsidRPr="00A259BD">
        <w:rPr>
          <w:rFonts w:ascii="Times New Roman" w:hAnsi="Times New Roman"/>
          <w:color w:val="000000" w:themeColor="text1"/>
          <w:sz w:val="16"/>
          <w:szCs w:val="16"/>
        </w:rPr>
        <w:t>, Каменева, Серебровского, Гуревича и Шлейфера.</w:t>
      </w:r>
    </w:p>
    <w:p w14:paraId="5AE7C28D" w14:textId="77777777" w:rsidR="001B2291" w:rsidRPr="00A259BD" w:rsidRDefault="001B229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Созыв комиссии за т. </w:t>
      </w:r>
      <w:proofErr w:type="spellStart"/>
      <w:r w:rsidRPr="00A259BD">
        <w:rPr>
          <w:rFonts w:ascii="Times New Roman" w:hAnsi="Times New Roman"/>
          <w:color w:val="000000" w:themeColor="text1"/>
          <w:sz w:val="16"/>
          <w:szCs w:val="16"/>
        </w:rPr>
        <w:t>Розенгольцем</w:t>
      </w:r>
      <w:proofErr w:type="spellEnd"/>
      <w:r w:rsidRPr="00A259BD">
        <w:rPr>
          <w:rFonts w:ascii="Times New Roman" w:hAnsi="Times New Roman"/>
          <w:color w:val="000000" w:themeColor="text1"/>
          <w:sz w:val="16"/>
          <w:szCs w:val="16"/>
        </w:rPr>
        <w:t>.</w:t>
      </w:r>
    </w:p>
    <w:p w14:paraId="081F7DC2" w14:textId="77777777" w:rsidR="001B2291" w:rsidRPr="00A259BD" w:rsidRDefault="001B229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Принять предложение т. Томского о назначении расследования по существу всего вопроса о договоре с "И.Г. ". Поручить HKPKИ на следующем заседании Политбюро доложить о результа</w:t>
      </w:r>
      <w:r w:rsidRPr="00A259BD">
        <w:rPr>
          <w:rFonts w:ascii="Times New Roman" w:hAnsi="Times New Roman"/>
          <w:color w:val="000000" w:themeColor="text1"/>
          <w:sz w:val="16"/>
          <w:szCs w:val="16"/>
        </w:rPr>
        <w:softHyphen/>
        <w:t>тах расследования.</w:t>
      </w:r>
    </w:p>
    <w:p w14:paraId="3B28297C" w14:textId="77777777" w:rsidR="001B2291" w:rsidRPr="00A259BD" w:rsidRDefault="001B229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Выписки посланы: </w:t>
      </w:r>
      <w:proofErr w:type="spellStart"/>
      <w:r w:rsidRPr="00A259BD">
        <w:rPr>
          <w:rFonts w:ascii="Times New Roman" w:hAnsi="Times New Roman"/>
          <w:color w:val="000000" w:themeColor="text1"/>
          <w:sz w:val="16"/>
          <w:szCs w:val="16"/>
        </w:rPr>
        <w:t>т.Розенгольцу</w:t>
      </w:r>
      <w:proofErr w:type="spellEnd"/>
      <w:r w:rsidRPr="00A259BD">
        <w:rPr>
          <w:rFonts w:ascii="Times New Roman" w:hAnsi="Times New Roman"/>
          <w:color w:val="000000" w:themeColor="text1"/>
          <w:sz w:val="16"/>
          <w:szCs w:val="16"/>
        </w:rPr>
        <w:t xml:space="preserve">, т. Каменеву, т. Серебровскому, т. Гуревичу, т. </w:t>
      </w:r>
      <w:proofErr w:type="spellStart"/>
      <w:r w:rsidRPr="00A259BD">
        <w:rPr>
          <w:rFonts w:ascii="Times New Roman" w:hAnsi="Times New Roman"/>
          <w:color w:val="000000" w:themeColor="text1"/>
          <w:sz w:val="16"/>
          <w:szCs w:val="16"/>
        </w:rPr>
        <w:t>Шлеиферу</w:t>
      </w:r>
      <w:proofErr w:type="spellEnd"/>
      <w:r w:rsidRPr="00A259BD">
        <w:rPr>
          <w:rFonts w:ascii="Times New Roman" w:hAnsi="Times New Roman"/>
          <w:color w:val="000000" w:themeColor="text1"/>
          <w:sz w:val="16"/>
          <w:szCs w:val="16"/>
        </w:rPr>
        <w:t xml:space="preserve"> – п. "а"</w:t>
      </w:r>
    </w:p>
    <w:p w14:paraId="0ECC41C2" w14:textId="77777777" w:rsidR="001B2291" w:rsidRPr="00A259BD" w:rsidRDefault="001B229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 Орджоникидзе - "б"</w:t>
      </w:r>
    </w:p>
    <w:p w14:paraId="4D035C6F" w14:textId="77777777" w:rsidR="001B2291" w:rsidRPr="00A259BD" w:rsidRDefault="001B229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О </w:t>
      </w:r>
      <w:proofErr w:type="spellStart"/>
      <w:r w:rsidRPr="00A259BD">
        <w:rPr>
          <w:rFonts w:ascii="Times New Roman" w:hAnsi="Times New Roman"/>
          <w:color w:val="000000" w:themeColor="text1"/>
          <w:sz w:val="16"/>
          <w:szCs w:val="16"/>
        </w:rPr>
        <w:t>таикостроении</w:t>
      </w:r>
      <w:proofErr w:type="spellEnd"/>
      <w:r w:rsidRPr="00A259BD">
        <w:rPr>
          <w:rFonts w:ascii="Times New Roman" w:hAnsi="Times New Roman"/>
          <w:color w:val="000000" w:themeColor="text1"/>
          <w:sz w:val="16"/>
          <w:szCs w:val="16"/>
        </w:rPr>
        <w:t>.</w:t>
      </w:r>
    </w:p>
    <w:p w14:paraId="14FDE791" w14:textId="77777777" w:rsidR="001B2291" w:rsidRPr="00A259BD" w:rsidRDefault="001B229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 Ворошилов).</w:t>
      </w:r>
    </w:p>
    <w:p w14:paraId="6BA965F6" w14:textId="77777777" w:rsidR="001B2291" w:rsidRPr="00A259BD" w:rsidRDefault="001B229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Передать вопрос в комиссию в следующем составе: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Орд</w:t>
      </w:r>
      <w:r w:rsidRPr="00A259BD">
        <w:rPr>
          <w:rFonts w:ascii="Times New Roman" w:hAnsi="Times New Roman"/>
          <w:color w:val="000000" w:themeColor="text1"/>
          <w:sz w:val="16"/>
          <w:szCs w:val="16"/>
        </w:rPr>
        <w:softHyphen/>
        <w:t xml:space="preserve">жоникидзе (председатель), Ворошилов, Куйбышев, Павловский, Урываев, </w:t>
      </w:r>
      <w:proofErr w:type="spellStart"/>
      <w:r w:rsidRPr="00A259BD">
        <w:rPr>
          <w:rFonts w:ascii="Times New Roman" w:hAnsi="Times New Roman"/>
          <w:color w:val="000000" w:themeColor="text1"/>
          <w:sz w:val="16"/>
          <w:szCs w:val="16"/>
        </w:rPr>
        <w:t>Толоконцев</w:t>
      </w:r>
      <w:proofErr w:type="spellEnd"/>
      <w:r w:rsidRPr="00A259BD">
        <w:rPr>
          <w:rFonts w:ascii="Times New Roman" w:hAnsi="Times New Roman"/>
          <w:color w:val="000000" w:themeColor="text1"/>
          <w:sz w:val="16"/>
          <w:szCs w:val="16"/>
        </w:rPr>
        <w:t xml:space="preserve">, Постников,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w:t>
      </w:r>
    </w:p>
    <w:p w14:paraId="5CB988B9" w14:textId="77777777" w:rsidR="001B2291" w:rsidRPr="00A259BD" w:rsidRDefault="001B229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Выписки </w:t>
      </w:r>
      <w:proofErr w:type="spellStart"/>
      <w:r w:rsidRPr="00A259BD">
        <w:rPr>
          <w:rFonts w:ascii="Times New Roman" w:hAnsi="Times New Roman"/>
          <w:color w:val="000000" w:themeColor="text1"/>
          <w:sz w:val="16"/>
          <w:szCs w:val="16"/>
        </w:rPr>
        <w:t>послаы</w:t>
      </w:r>
      <w:proofErr w:type="spellEnd"/>
      <w:r w:rsidRPr="00A259BD">
        <w:rPr>
          <w:rFonts w:ascii="Times New Roman" w:hAnsi="Times New Roman"/>
          <w:color w:val="000000" w:themeColor="text1"/>
          <w:sz w:val="16"/>
          <w:szCs w:val="16"/>
        </w:rPr>
        <w:t xml:space="preserve">: т. Орджоникидзе, т. Ворошилову, т. Куйбышеву, т. </w:t>
      </w:r>
      <w:proofErr w:type="spellStart"/>
      <w:r w:rsidRPr="00A259BD">
        <w:rPr>
          <w:rFonts w:ascii="Times New Roman" w:hAnsi="Times New Roman"/>
          <w:color w:val="000000" w:themeColor="text1"/>
          <w:sz w:val="16"/>
          <w:szCs w:val="16"/>
        </w:rPr>
        <w:t>Павлуновскому</w:t>
      </w:r>
      <w:proofErr w:type="spellEnd"/>
      <w:r w:rsidRPr="00A259BD">
        <w:rPr>
          <w:rFonts w:ascii="Times New Roman" w:hAnsi="Times New Roman"/>
          <w:color w:val="000000" w:themeColor="text1"/>
          <w:sz w:val="16"/>
          <w:szCs w:val="16"/>
        </w:rPr>
        <w:t xml:space="preserve">, т. Урываеву, т. </w:t>
      </w:r>
      <w:proofErr w:type="spellStart"/>
      <w:r w:rsidRPr="00A259BD">
        <w:rPr>
          <w:rFonts w:ascii="Times New Roman" w:hAnsi="Times New Roman"/>
          <w:color w:val="000000" w:themeColor="text1"/>
          <w:sz w:val="16"/>
          <w:szCs w:val="16"/>
        </w:rPr>
        <w:t>Толоконцеву</w:t>
      </w:r>
      <w:proofErr w:type="spellEnd"/>
      <w:r w:rsidRPr="00A259BD">
        <w:rPr>
          <w:rFonts w:ascii="Times New Roman" w:hAnsi="Times New Roman"/>
          <w:color w:val="000000" w:themeColor="text1"/>
          <w:sz w:val="16"/>
          <w:szCs w:val="16"/>
        </w:rPr>
        <w:t xml:space="preserve">, т .Постникову, т. </w:t>
      </w:r>
      <w:proofErr w:type="spellStart"/>
      <w:r w:rsidRPr="00A259BD">
        <w:rPr>
          <w:rFonts w:ascii="Times New Roman" w:hAnsi="Times New Roman"/>
          <w:color w:val="000000" w:themeColor="text1"/>
          <w:sz w:val="16"/>
          <w:szCs w:val="16"/>
        </w:rPr>
        <w:t>Халепскому</w:t>
      </w:r>
      <w:proofErr w:type="spellEnd"/>
      <w:r w:rsidRPr="00A259BD">
        <w:rPr>
          <w:rFonts w:ascii="Times New Roman" w:hAnsi="Times New Roman"/>
          <w:color w:val="000000" w:themeColor="text1"/>
          <w:sz w:val="16"/>
          <w:szCs w:val="16"/>
        </w:rPr>
        <w:t xml:space="preserve"> (23088).</w:t>
      </w:r>
    </w:p>
    <w:p w14:paraId="54BF12DF" w14:textId="77777777" w:rsidR="001B2291" w:rsidRPr="00A259BD" w:rsidRDefault="001B2291" w:rsidP="009236E3">
      <w:pPr>
        <w:spacing w:after="0" w:line="240" w:lineRule="auto"/>
        <w:jc w:val="both"/>
        <w:rPr>
          <w:rFonts w:ascii="Times New Roman" w:hAnsi="Times New Roman"/>
          <w:color w:val="000000" w:themeColor="text1"/>
          <w:sz w:val="16"/>
          <w:szCs w:val="16"/>
        </w:rPr>
      </w:pPr>
    </w:p>
    <w:p w14:paraId="794A5BB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lastRenderedPageBreak/>
        <w:t>Армия:</w:t>
      </w:r>
    </w:p>
    <w:p w14:paraId="34AD2F6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3007D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ноября 1929 решением ПБ были определены типы танков и оргструктура танковых частей в составе КА. Хотели в мирное время 1500 танков, а резерв первого периода войны - 1500-2000. Столько должна была поставить дополнительно промышленность. Сформулировали и основную боевую задачу танковых войск - действуя в тактической зоне боя служить средством поддержки пехоты и кавалерии в наступательных операциях. Создали УММ (9089,100).</w:t>
      </w:r>
    </w:p>
    <w:p w14:paraId="74EDA7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8C46EF" w14:textId="77777777" w:rsidR="001B2291" w:rsidRPr="00A259BD" w:rsidRDefault="001B2291"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C8A3AD4" w14:textId="77777777" w:rsidR="001B2291" w:rsidRPr="00A259BD" w:rsidRDefault="001B229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5B92350" w14:textId="77777777" w:rsidR="001B2291" w:rsidRPr="00A259BD" w:rsidRDefault="001B229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ноября 1929 испанская правительственная авиакомпания CLASSA официально начинает эксплуатацию всех линий, ранее принадлежавших авиакомпаниям, которые объединились в нее, включая Iberia (20806).</w:t>
      </w:r>
    </w:p>
    <w:p w14:paraId="6A8C9ED5" w14:textId="77777777" w:rsidR="001B2291" w:rsidRPr="00A259BD" w:rsidRDefault="001B2291" w:rsidP="009236E3">
      <w:pPr>
        <w:spacing w:after="0" w:line="240" w:lineRule="auto"/>
        <w:jc w:val="both"/>
        <w:rPr>
          <w:rFonts w:ascii="Times New Roman" w:hAnsi="Times New Roman"/>
          <w:color w:val="000000" w:themeColor="text1"/>
          <w:sz w:val="16"/>
          <w:szCs w:val="16"/>
        </w:rPr>
      </w:pPr>
    </w:p>
    <w:p w14:paraId="5C3DD97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BCD943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8BBA2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ноября 1929 закончились гос. испытания АНТ-5, которые проходили с 15 октября 1929 (346,21).</w:t>
      </w:r>
    </w:p>
    <w:p w14:paraId="4155DB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E1C0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 ноября 1929 в НИИ ВВС закончились испытания серийного самолета И-4 № 1513 (первый серийный самолет постройки завода № 22), которые проходили с 15 октября 1929</w:t>
      </w:r>
    </w:p>
    <w:p w14:paraId="109EEB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испытания серийного самолета И-4 № 1513 (первый серийный самолет постройки завода № 22).</w:t>
      </w:r>
    </w:p>
    <w:p w14:paraId="3BC0AD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мотором ЮVI</w:t>
      </w:r>
    </w:p>
    <w:p w14:paraId="69DABE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металлической конструкции полутораплан с V-образной стойкой, одноместный. Идентичен ранее испытанному в НИИ самолету И-4 Ю-VI ЦАГИ.</w:t>
      </w:r>
    </w:p>
    <w:p w14:paraId="07DDE9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675745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основании произведенных испытаний НИИ считает, что самолеты И-4 ЮVI первой серии постройки завода № 22 могут быть приняты на снабжение ВВС (6997).</w:t>
      </w:r>
    </w:p>
    <w:p w14:paraId="1A1080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1152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ноября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21) и обсуждали вопрос о поездке на заводы (</w:t>
      </w: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 29, 45), об испытании опытных машин в Севастополе (2367).</w:t>
      </w:r>
    </w:p>
    <w:p w14:paraId="6197D0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81DCEF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4A9ABDA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D6A0E7A" w14:textId="77777777" w:rsidR="00582146" w:rsidRPr="00A259BD" w:rsidRDefault="00582146" w:rsidP="009236E3">
      <w:pPr>
        <w:pStyle w:val="a3"/>
        <w:rPr>
          <w:color w:val="000000" w:themeColor="text1"/>
          <w:lang w:val="ru-RU"/>
        </w:rPr>
      </w:pPr>
      <w:r w:rsidRPr="00A259BD">
        <w:rPr>
          <w:color w:val="000000" w:themeColor="text1"/>
          <w:lang w:val="ru-RU"/>
        </w:rPr>
        <w:t xml:space="preserve">26 ноября 1929 Китайское правительство вынужденно запросило помощь у международных наблюдателей, но СССР твердо заявил, что переговоры возможны лишь без каких-либо посредников. Представитель Маньчжурского провинциального правительства выехал на переговоры в Хабаровск, где 22 декабря подписали мирное соглашение, и конфликт был исчерпан; Все советские части ушли с территории Маньчжурии. Авиации Чжан </w:t>
      </w:r>
      <w:proofErr w:type="spellStart"/>
      <w:r w:rsidRPr="00A259BD">
        <w:rPr>
          <w:color w:val="000000" w:themeColor="text1"/>
          <w:lang w:val="ru-RU"/>
        </w:rPr>
        <w:t>Сю</w:t>
      </w:r>
      <w:r w:rsidRPr="00A259BD">
        <w:rPr>
          <w:color w:val="000000" w:themeColor="text1"/>
          <w:lang w:val="ru-RU"/>
        </w:rPr>
        <w:softHyphen/>
        <w:t>эляна</w:t>
      </w:r>
      <w:proofErr w:type="spellEnd"/>
      <w:r w:rsidRPr="00A259BD">
        <w:rPr>
          <w:color w:val="000000" w:themeColor="text1"/>
          <w:lang w:val="ru-RU"/>
        </w:rPr>
        <w:t xml:space="preserve"> оставалось существовать еще около двух лет, пока в сентябре 1931 г. Маньчжу</w:t>
      </w:r>
      <w:r w:rsidRPr="00A259BD">
        <w:rPr>
          <w:color w:val="000000" w:themeColor="text1"/>
          <w:lang w:val="ru-RU"/>
        </w:rPr>
        <w:softHyphen/>
        <w:t xml:space="preserve">рию не оккупировали японцы. Противодействия в воздухе им не было, все «соколы» и «тигры» Чжан </w:t>
      </w:r>
      <w:proofErr w:type="spellStart"/>
      <w:r w:rsidRPr="00A259BD">
        <w:rPr>
          <w:color w:val="000000" w:themeColor="text1"/>
          <w:lang w:val="ru-RU"/>
        </w:rPr>
        <w:t>Сюэляна</w:t>
      </w:r>
      <w:proofErr w:type="spellEnd"/>
      <w:r w:rsidRPr="00A259BD">
        <w:rPr>
          <w:color w:val="000000" w:themeColor="text1"/>
          <w:lang w:val="ru-RU"/>
        </w:rPr>
        <w:t xml:space="preserve"> благополучно разбежались с </w:t>
      </w:r>
      <w:proofErr w:type="spellStart"/>
      <w:r w:rsidRPr="00A259BD">
        <w:rPr>
          <w:color w:val="000000" w:themeColor="text1"/>
          <w:lang w:val="ru-RU"/>
        </w:rPr>
        <w:t>мукденского</w:t>
      </w:r>
      <w:proofErr w:type="spellEnd"/>
      <w:r w:rsidRPr="00A259BD">
        <w:rPr>
          <w:color w:val="000000" w:themeColor="text1"/>
          <w:lang w:val="ru-RU"/>
        </w:rPr>
        <w:t xml:space="preserve"> аэродрома (15820).</w:t>
      </w:r>
    </w:p>
    <w:p w14:paraId="58BA2640" w14:textId="77777777" w:rsidR="00582146" w:rsidRPr="00A259BD" w:rsidRDefault="00582146" w:rsidP="009236E3">
      <w:pPr>
        <w:pStyle w:val="a3"/>
        <w:rPr>
          <w:color w:val="000000" w:themeColor="text1"/>
          <w:lang w:val="ru-RU"/>
        </w:rPr>
      </w:pPr>
    </w:p>
    <w:p w14:paraId="785A4D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ноября 1929 г.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докладывал, что 22 ноября 1929 г. ПРИКАЗОМ РЕВОЛЮЦИОННОГО ВОЕННОГО СОВЕТА СССР № 367/82 было введено в действие Положение об управлении по механизации и моторизации РККА:</w:t>
      </w:r>
    </w:p>
    <w:p w14:paraId="3B5B0E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Ввести в действие объявляемое Положение об управлении по механизации и моторизации РККА.</w:t>
      </w:r>
    </w:p>
    <w:p w14:paraId="2F3C7C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Народный комиссар по военным и морским делам и Председатель РВС СССР Ворошилов</w:t>
      </w:r>
    </w:p>
    <w:p w14:paraId="3E7155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w:t>
      </w:r>
    </w:p>
    <w:p w14:paraId="1CF26C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Утверждено</w:t>
      </w:r>
    </w:p>
    <w:p w14:paraId="1B2A0F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Народный комиссар по военным и морским делам и Председатель РВС СССР</w:t>
      </w:r>
    </w:p>
    <w:p w14:paraId="37AAAD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Ворошилов </w:t>
      </w:r>
    </w:p>
    <w:p w14:paraId="29DDAA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ноября 1929 года</w:t>
      </w:r>
    </w:p>
    <w:p w14:paraId="37DCB3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Положение об Управлении по механизации и моторизации РККА</w:t>
      </w:r>
    </w:p>
    <w:p w14:paraId="28DA80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 1. Управление по механизации и моторизации РККА является центральным органом НКВМ по руководству формированием, мобилизацией, боевой и технической подготовкой, специальным снабжением, обучением и службой механизированных войск РККА, а также ведает всеми вопросами моторизации частей и транспорта РККА, их специальным снабжением и специальной подготовкой их личного состава.</w:t>
      </w:r>
    </w:p>
    <w:p w14:paraId="616E8D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 2. Управление по механизации и моторизации РККА состоит из:</w:t>
      </w:r>
    </w:p>
    <w:p w14:paraId="6925CC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Управления учебно-строевого,</w:t>
      </w:r>
    </w:p>
    <w:p w14:paraId="6A24B9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Управления технического,</w:t>
      </w:r>
    </w:p>
    <w:p w14:paraId="1DE974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Научно-технического комитета, действующего на основании особого о нем Положения.</w:t>
      </w:r>
    </w:p>
    <w:p w14:paraId="20196D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Управлении по механизации и моторизации РККА состоит инспектор ММС, являющийся по должности заместителем начальника Управления по механизации и моторизации РККА и действующий, как таковой, на основе Положения об инспекциях РККА.</w:t>
      </w:r>
    </w:p>
    <w:p w14:paraId="0A7B91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 3. На Управление по механизации и моторизации РККА возлагается:</w:t>
      </w:r>
    </w:p>
    <w:p w14:paraId="4187F7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разработка учебных планов, программ и методических руководств для механизированных, самостоятельных моторизованных войск и автомобильных частей;</w:t>
      </w:r>
    </w:p>
    <w:p w14:paraId="182F5D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участие в разрабатываемых Штабом РККА перспективных планов развития и мобилизационного развертывания механизированных и моторизованных войск (частей) РККА;</w:t>
      </w:r>
    </w:p>
    <w:p w14:paraId="6C2D07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обеспечение специальным снабжением мобилизационного развертывания моторизованных частей РККА;</w:t>
      </w:r>
    </w:p>
    <w:p w14:paraId="168EA7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руководство, на основе указаний начальника Штаба РККА и начальника ГУРККА, мобилизацией </w:t>
      </w:r>
      <w:proofErr w:type="spellStart"/>
      <w:r w:rsidRPr="00A259BD">
        <w:rPr>
          <w:rFonts w:ascii="Times New Roman" w:hAnsi="Times New Roman"/>
          <w:color w:val="000000" w:themeColor="text1"/>
          <w:sz w:val="16"/>
          <w:szCs w:val="16"/>
        </w:rPr>
        <w:t>автомотовело</w:t>
      </w:r>
      <w:proofErr w:type="spellEnd"/>
      <w:r w:rsidRPr="00A259BD">
        <w:rPr>
          <w:rFonts w:ascii="Times New Roman" w:hAnsi="Times New Roman"/>
          <w:color w:val="000000" w:themeColor="text1"/>
          <w:sz w:val="16"/>
          <w:szCs w:val="16"/>
        </w:rPr>
        <w:t>- и тракторного имущества;</w:t>
      </w:r>
    </w:p>
    <w:p w14:paraId="79C9B6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разработка, на основе оперативно-тактических заданий Штаба РККА, системы вооружения механизированных войск, а также составление тактико-технических требований, ко всем предметам специального снабжения (механизированной тяги) по моторизации частей РККА;</w:t>
      </w:r>
    </w:p>
    <w:p w14:paraId="4A656C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постановка испытаний всех новых образцов системы вооружений механизированных частей РККА и всех образцов механической тяги для моторизации частей РККА и ответственность во всех отношениях;</w:t>
      </w:r>
    </w:p>
    <w:p w14:paraId="30122A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разработка вопросов обеспечения возможных театров военных действий ремонтными и эксплуатационными базами для механизированных и моторизованных сил;</w:t>
      </w:r>
    </w:p>
    <w:p w14:paraId="43FB2A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разработка проектов уставов по боевому применению и по боевой деятельности механизированных войск (частей) РККА, а также специальных наставлений по применению специальных средств механической тяги моторизованных частей РККА;</w:t>
      </w:r>
    </w:p>
    <w:p w14:paraId="158FB9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участие в разработке планов и программ по соответствующей специальной подготовке переменного состава ВУЗов;</w:t>
      </w:r>
    </w:p>
    <w:p w14:paraId="45CF39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участие в назначении и перемещении личного состава механизированных войск (частей) РККА, на основе Положения о прохождении службы начсоставом РККА и дача заключений по назначениям и перемещениям личного состава специальной технической службы моторизованных частей РККА;</w:t>
      </w:r>
    </w:p>
    <w:p w14:paraId="39E4BD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определение, на основе существующих планов механизации и моторизации РККА, потребностей во всех видах материальной части, специального имущества и составление сметных исчислений потребности в кредитах;</w:t>
      </w:r>
    </w:p>
    <w:p w14:paraId="17346F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 дача заданий для промышленности по всем видам материального и специального снабжения, а также установление сроков выполнения этих заданий, технических условий и образцов технического имущества и по наблюдению за выполнением заказов и приемки готовых изделий;</w:t>
      </w:r>
    </w:p>
    <w:p w14:paraId="51B34A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 наблюдение за усовершенствованием начсостава механизированных войск и в отношении специальной технической службы начсостава моторизованных частей РККА;</w:t>
      </w:r>
    </w:p>
    <w:p w14:paraId="664656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руководство приемкой, хранением и распределением всех видов эксплуатационных материалов для всех средств механической тяги и транспорта РККА.</w:t>
      </w:r>
    </w:p>
    <w:p w14:paraId="337EB3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 4. Во главе Управления по механизации и моторизации РККА стоит Начальник </w:t>
      </w:r>
      <w:proofErr w:type="spellStart"/>
      <w:r w:rsidRPr="00A259BD">
        <w:rPr>
          <w:rFonts w:ascii="Times New Roman" w:hAnsi="Times New Roman"/>
          <w:color w:val="000000" w:themeColor="text1"/>
          <w:sz w:val="16"/>
          <w:szCs w:val="16"/>
        </w:rPr>
        <w:t>механизирован¬ных</w:t>
      </w:r>
      <w:proofErr w:type="spellEnd"/>
      <w:r w:rsidRPr="00A259BD">
        <w:rPr>
          <w:rFonts w:ascii="Times New Roman" w:hAnsi="Times New Roman"/>
          <w:color w:val="000000" w:themeColor="text1"/>
          <w:sz w:val="16"/>
          <w:szCs w:val="16"/>
        </w:rPr>
        <w:t xml:space="preserve"> войск РККА, который подчиняется непосредственно Народному комиссару по военным и морским делам, руководит всей работой Управления и несет ответственность за нее во всех отношениях.</w:t>
      </w:r>
    </w:p>
    <w:p w14:paraId="1EAB9D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начальник Управления по механизации и моторизации РККА:</w:t>
      </w:r>
    </w:p>
    <w:p w14:paraId="38C0A3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участвует в разработке всех заявок по развитию </w:t>
      </w:r>
      <w:proofErr w:type="spellStart"/>
      <w:r w:rsidRPr="00A259BD">
        <w:rPr>
          <w:rFonts w:ascii="Times New Roman" w:hAnsi="Times New Roman"/>
          <w:color w:val="000000" w:themeColor="text1"/>
          <w:sz w:val="16"/>
          <w:szCs w:val="16"/>
        </w:rPr>
        <w:t>автомотовело</w:t>
      </w:r>
      <w:proofErr w:type="spellEnd"/>
      <w:r w:rsidRPr="00A259BD">
        <w:rPr>
          <w:rFonts w:ascii="Times New Roman" w:hAnsi="Times New Roman"/>
          <w:color w:val="000000" w:themeColor="text1"/>
          <w:sz w:val="16"/>
          <w:szCs w:val="16"/>
        </w:rPr>
        <w:t>- и тракторной промышленности по техническим условиям и образцам;</w:t>
      </w:r>
    </w:p>
    <w:p w14:paraId="513EA7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участвует в разработке всех вопросов по организации механизированных и моторизованных сил РККА;</w:t>
      </w:r>
    </w:p>
    <w:p w14:paraId="6BB7CD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инспектирует строевые части, учреждения и заведения механизированных войск (частей) РККА во всех отношениях, а моторизованные части РККА в специально-техническом отношении;</w:t>
      </w:r>
    </w:p>
    <w:p w14:paraId="055FB8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утверждает наставления, инструкции, руководства и правила по специальным и техническим службам механизированных войск РККА и по специально-технической службе моторизованных частей РККА;</w:t>
      </w:r>
    </w:p>
    <w:p w14:paraId="442943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д) утверждает договоры на поставку всех предметов специального снабжения и разрешает вопросы отнесения за счет государства убытков по хранению и эксплуатации этих предметов, в пределах предоставленных ему прав;</w:t>
      </w:r>
    </w:p>
    <w:p w14:paraId="7E1080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наблюдает за выполнением промышленностью текущих военных заказов и инспектирует конструкторскую работу, ведущуюся в соответствующих научных учреждениях и конструкторских бюро.</w:t>
      </w:r>
    </w:p>
    <w:p w14:paraId="5A128B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 5. Начальнику Управления по механизации и моторизации РККА подчиняются в </w:t>
      </w:r>
      <w:proofErr w:type="spellStart"/>
      <w:r w:rsidRPr="00A259BD">
        <w:rPr>
          <w:rFonts w:ascii="Times New Roman" w:hAnsi="Times New Roman"/>
          <w:color w:val="000000" w:themeColor="text1"/>
          <w:sz w:val="16"/>
          <w:szCs w:val="16"/>
        </w:rPr>
        <w:t>специаль¬ном</w:t>
      </w:r>
      <w:proofErr w:type="spellEnd"/>
      <w:r w:rsidRPr="00A259BD">
        <w:rPr>
          <w:rFonts w:ascii="Times New Roman" w:hAnsi="Times New Roman"/>
          <w:color w:val="000000" w:themeColor="text1"/>
          <w:sz w:val="16"/>
          <w:szCs w:val="16"/>
        </w:rPr>
        <w:t xml:space="preserve"> и техническом отношении механизированные войска РККА, а также в части специально технической службы и специального технического снабжения - моторизованные части РККА.</w:t>
      </w:r>
    </w:p>
    <w:p w14:paraId="148733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Соединения механизированных и моторизованных войск (частей) РККА, не входящие в состав военных округов, подчиняются непосредственно начальнику Управления по механизации и моторизации РККА во всех отношениях.</w:t>
      </w:r>
    </w:p>
    <w:p w14:paraId="21D9AD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 Главного управления РККА Левандовский</w:t>
      </w:r>
    </w:p>
    <w:p w14:paraId="36EEB7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2</w:t>
      </w:r>
    </w:p>
    <w:p w14:paraId="7EF2F1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Утверждено</w:t>
      </w:r>
    </w:p>
    <w:p w14:paraId="491772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Народный Комиссар по военным и морским делам и Председатель РВС СССР Ворошилов </w:t>
      </w:r>
    </w:p>
    <w:p w14:paraId="239216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ноября 1929 года</w:t>
      </w:r>
    </w:p>
    <w:p w14:paraId="366630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Положение об Управлении по механизации и моторизации РККА</w:t>
      </w:r>
    </w:p>
    <w:p w14:paraId="096ABD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ГЛАВА 1 </w:t>
      </w:r>
    </w:p>
    <w:p w14:paraId="5EFB7F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ОБЩИЕ ПОЛОЖЕНИЯ</w:t>
      </w:r>
    </w:p>
    <w:p w14:paraId="714B89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 1. Управление по механизации и моторизации РККА является центральным органом НКВМ по руководству формированием, мобилизацией, боевой и технической подготовкой, специальным снабжением, обучением и службой механизированных войск РККА, а также ведает всеми вопросами моторизации частей и транспорта РККА, их специальным снабжением и специальной подготовкой их личного </w:t>
      </w:r>
      <w:proofErr w:type="spellStart"/>
      <w:r w:rsidRPr="00A259BD">
        <w:rPr>
          <w:rFonts w:ascii="Times New Roman" w:hAnsi="Times New Roman"/>
          <w:color w:val="000000" w:themeColor="text1"/>
          <w:sz w:val="16"/>
          <w:szCs w:val="16"/>
        </w:rPr>
        <w:t>со¬става</w:t>
      </w:r>
      <w:proofErr w:type="spellEnd"/>
      <w:r w:rsidRPr="00A259BD">
        <w:rPr>
          <w:rFonts w:ascii="Times New Roman" w:hAnsi="Times New Roman"/>
          <w:color w:val="000000" w:themeColor="text1"/>
          <w:sz w:val="16"/>
          <w:szCs w:val="16"/>
        </w:rPr>
        <w:t>.</w:t>
      </w:r>
    </w:p>
    <w:p w14:paraId="79F3CD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 2. Управление по механизации и моторизации РККА состоит из:</w:t>
      </w:r>
    </w:p>
    <w:p w14:paraId="191CC4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Управления учебно-строевого,</w:t>
      </w:r>
    </w:p>
    <w:p w14:paraId="7F9872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Управления технического,</w:t>
      </w:r>
    </w:p>
    <w:p w14:paraId="167A94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Научно-технического комитета, действующего на основании особого о нем Положения.</w:t>
      </w:r>
    </w:p>
    <w:p w14:paraId="779DBA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Управлении по механизации и моторизации РККА состоит Инспектор ММС, являющийся по должности заместителем начальника Управления по механизации и моторизации РККА и действующий, как таковой, на основе Положения об Инспекциях РККА.</w:t>
      </w:r>
    </w:p>
    <w:p w14:paraId="790689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 3. На Управление по механизации и моторизации РККА возлагается:</w:t>
      </w:r>
    </w:p>
    <w:p w14:paraId="0AE3FD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разработка учебных планов, программ и методических руководств для механизированных, самостоятельных моторизованных войск и автомобильных частей;</w:t>
      </w:r>
    </w:p>
    <w:p w14:paraId="678357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участие в разрабатываемых Штабом РККА перспективных планов развития и мобилизационного развертывания механизированных и моторизованных войск (частей) РККА;</w:t>
      </w:r>
    </w:p>
    <w:p w14:paraId="34B344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обеспечение специальным снабжением мобилизационного развертывания моторизованных частей РККА;</w:t>
      </w:r>
    </w:p>
    <w:p w14:paraId="5C64C5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руководство, на основе указаний Начальника Штаба РККА и Начальника ГУРККА, мобилизацией </w:t>
      </w:r>
      <w:proofErr w:type="spellStart"/>
      <w:r w:rsidRPr="00A259BD">
        <w:rPr>
          <w:rFonts w:ascii="Times New Roman" w:hAnsi="Times New Roman"/>
          <w:color w:val="000000" w:themeColor="text1"/>
          <w:sz w:val="16"/>
          <w:szCs w:val="16"/>
        </w:rPr>
        <w:t>автомотовело</w:t>
      </w:r>
      <w:proofErr w:type="spellEnd"/>
      <w:r w:rsidRPr="00A259BD">
        <w:rPr>
          <w:rFonts w:ascii="Times New Roman" w:hAnsi="Times New Roman"/>
          <w:color w:val="000000" w:themeColor="text1"/>
          <w:sz w:val="16"/>
          <w:szCs w:val="16"/>
        </w:rPr>
        <w:t>- и тракторного имущества;</w:t>
      </w:r>
    </w:p>
    <w:p w14:paraId="20F967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разработка, на основе оперативно-тактических заданий Штаба РККА, системы вооружения механизированных войск, а также составление тактико-технических требований, ко всем предметам специального снабжения (механизированной тяги) по моторизации частей РККА;</w:t>
      </w:r>
    </w:p>
    <w:p w14:paraId="1AFF26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постановка испытаний всех новых образцов системы вооружений механизированных частей РККА и всех образцов механической тяги для моторизации частей РККА и ответственность во всех отношениях;</w:t>
      </w:r>
    </w:p>
    <w:p w14:paraId="497648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разработка вопросов обеспечения возможных театров военных действий ремонтными и эксплуатационными базами для механизированных и моторизованных сил;</w:t>
      </w:r>
    </w:p>
    <w:p w14:paraId="59B93B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разработка проектов уставов по боевому применению и по боевой деятельности механизированных войск (частей) РККА, а также специальных наставлений по применению специальных средств механической тяги моторизованных частей РККА;</w:t>
      </w:r>
    </w:p>
    <w:p w14:paraId="321B5C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участие в разработке планов и программ по соответствующей специальной подготовке переменного состава ВУЗов;</w:t>
      </w:r>
    </w:p>
    <w:p w14:paraId="5EBC7B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участие в назначении и перемещении личного состава механизированных войск (частей) РККА, на основе Положения о прохождении службы начсоставом РККА и дача заключений по назначениям и перемещениям личного состава специальной технической службы моторизованных частей РККА;</w:t>
      </w:r>
    </w:p>
    <w:p w14:paraId="7FEC0A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определение, на основе существующих планов механизации и моторизации РККА, потребностей во всех видах материальной части, специального имущества и составление сметных исчислений потребности в кредитах;</w:t>
      </w:r>
    </w:p>
    <w:p w14:paraId="1D640E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 дача заданий для промышленности по всем видам материального и специального снабжения, а также установление сроков выполнения этих заданий, технических условий и образцов технического имущества и по наблюдению за выполнением заказов и приемки готовых изделий;</w:t>
      </w:r>
    </w:p>
    <w:p w14:paraId="2299E1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 наблюдение за усовершенствованием начсостава механизированных войск и в отношении специальной технической службы начсостава моторизованных частей РККА;</w:t>
      </w:r>
    </w:p>
    <w:p w14:paraId="045BFA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руководство приемкой, хранением и распределением всех видов эксплуатационных материалов для всех средств механической тяги и транспорта РККА.</w:t>
      </w:r>
    </w:p>
    <w:p w14:paraId="57B647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 4. Во главе Управления по механизации и моторизации РККА стоит Начальник </w:t>
      </w:r>
      <w:proofErr w:type="spellStart"/>
      <w:r w:rsidRPr="00A259BD">
        <w:rPr>
          <w:rFonts w:ascii="Times New Roman" w:hAnsi="Times New Roman"/>
          <w:color w:val="000000" w:themeColor="text1"/>
          <w:sz w:val="16"/>
          <w:szCs w:val="16"/>
        </w:rPr>
        <w:t>механизирован¬ных</w:t>
      </w:r>
      <w:proofErr w:type="spellEnd"/>
      <w:r w:rsidRPr="00A259BD">
        <w:rPr>
          <w:rFonts w:ascii="Times New Roman" w:hAnsi="Times New Roman"/>
          <w:color w:val="000000" w:themeColor="text1"/>
          <w:sz w:val="16"/>
          <w:szCs w:val="16"/>
        </w:rPr>
        <w:t xml:space="preserve"> войск РККА, который подчиняется непосредственно Народному комиссару по военным и морским делам, руководит всей работой Управления и несет ответственность за нее во всех отношениях.</w:t>
      </w:r>
    </w:p>
    <w:p w14:paraId="06DAB3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Начальник Управления по механизации и моторизации РККА:</w:t>
      </w:r>
    </w:p>
    <w:p w14:paraId="0F256E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участвует в разработке всех заявок по развитию </w:t>
      </w:r>
      <w:proofErr w:type="spellStart"/>
      <w:r w:rsidRPr="00A259BD">
        <w:rPr>
          <w:rFonts w:ascii="Times New Roman" w:hAnsi="Times New Roman"/>
          <w:color w:val="000000" w:themeColor="text1"/>
          <w:sz w:val="16"/>
          <w:szCs w:val="16"/>
        </w:rPr>
        <w:t>автомотовело</w:t>
      </w:r>
      <w:proofErr w:type="spellEnd"/>
      <w:r w:rsidRPr="00A259BD">
        <w:rPr>
          <w:rFonts w:ascii="Times New Roman" w:hAnsi="Times New Roman"/>
          <w:color w:val="000000" w:themeColor="text1"/>
          <w:sz w:val="16"/>
          <w:szCs w:val="16"/>
        </w:rPr>
        <w:t>- и тракторной промышленности по техническим условиям и образцам;</w:t>
      </w:r>
    </w:p>
    <w:p w14:paraId="2A016A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участвует в разработке всех вопросов по организации механизированных и моторизованных сил РККА;</w:t>
      </w:r>
    </w:p>
    <w:p w14:paraId="13617C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инспектирует строевые части, учреждения и заведения механизированных войск (частей) РККА во всех отношениях, а моторизованные части РККА в специально-техническом отношении;</w:t>
      </w:r>
    </w:p>
    <w:p w14:paraId="1DFC21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утверждает наставления, инструкции, руководства и правила по специальным и техническим службам механизированных войск РККА и по специально-технической службе моторизованных частей РККА;</w:t>
      </w:r>
    </w:p>
    <w:p w14:paraId="6C8AE6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утверждает договоры на поставку всех предметов специального снабжения и разрешает вопросы отнесения за счет государства убытков по хранению и эксплуатации этих предметов, в пределах предоставленных ему прав;</w:t>
      </w:r>
    </w:p>
    <w:p w14:paraId="27C7EC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наблюдает за выполнением промышленностью текущих военных заказов и инспектирует конструкторскую работу, ведущуюся в соответствующих научных учреждениях и конструкторских бюро.</w:t>
      </w:r>
    </w:p>
    <w:p w14:paraId="3BB97B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 5. Начальнику Управления по механизации и моторизации РККА подчиняются в специальном и техническом отношении механизированные войска РККА, а также в части специально-технической службы и специального технического снабжения - моторизованные части РККА.</w:t>
      </w:r>
    </w:p>
    <w:p w14:paraId="55BB71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Соединения механизированных и моторизованных войск (частей) РККА, не входящие в состав военных округов, подчиняются непосредственно Начальнику Управления по механизации и моторизации РККА во всех отношениях.</w:t>
      </w:r>
    </w:p>
    <w:p w14:paraId="12F23E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ГЛАВА 2 </w:t>
      </w:r>
    </w:p>
    <w:p w14:paraId="7248AC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УПРАВЛЕНИЕ УЧЕБНО-СТРОЕВОЕ</w:t>
      </w:r>
    </w:p>
    <w:p w14:paraId="68FC54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Ведению Управления подлежит:</w:t>
      </w:r>
    </w:p>
    <w:p w14:paraId="333AB3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вопросы организационно-мобилизационные;</w:t>
      </w:r>
    </w:p>
    <w:p w14:paraId="6E0B42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разработка системы вооружения механизированных и моторизованных сил РККА;</w:t>
      </w:r>
    </w:p>
    <w:p w14:paraId="40F93B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установление тактических требований к основным образцам средств механизации и моторизации РККА;</w:t>
      </w:r>
    </w:p>
    <w:p w14:paraId="346435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вопросы квартирного расписания ММС;</w:t>
      </w:r>
    </w:p>
    <w:p w14:paraId="036996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изучение вопросов оперативно-тактического использования ММС иностранных армий;</w:t>
      </w:r>
    </w:p>
    <w:p w14:paraId="04C1D3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вопросы боевой и специальной подготовки, обучения и воспитания личного состава механизированных и моторизованных сил РККА;</w:t>
      </w:r>
    </w:p>
    <w:p w14:paraId="1ADE90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ж) разработка </w:t>
      </w:r>
      <w:proofErr w:type="spellStart"/>
      <w:r w:rsidRPr="00A259BD">
        <w:rPr>
          <w:rFonts w:ascii="Times New Roman" w:hAnsi="Times New Roman"/>
          <w:color w:val="000000" w:themeColor="text1"/>
          <w:sz w:val="16"/>
          <w:szCs w:val="16"/>
        </w:rPr>
        <w:t>боевьгх</w:t>
      </w:r>
      <w:proofErr w:type="spellEnd"/>
      <w:r w:rsidRPr="00A259BD">
        <w:rPr>
          <w:rFonts w:ascii="Times New Roman" w:hAnsi="Times New Roman"/>
          <w:color w:val="000000" w:themeColor="text1"/>
          <w:sz w:val="16"/>
          <w:szCs w:val="16"/>
        </w:rPr>
        <w:t xml:space="preserve"> уставов ММС РККА;</w:t>
      </w:r>
    </w:p>
    <w:p w14:paraId="675116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вопросы устройства и несения службы ММС;</w:t>
      </w:r>
    </w:p>
    <w:p w14:paraId="2CD38D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вопросы назначения и перемещения личного состава ММС.</w:t>
      </w:r>
    </w:p>
    <w:p w14:paraId="4AF5DA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Учебно-строевое управление состоит из двух отделов:</w:t>
      </w:r>
    </w:p>
    <w:p w14:paraId="54CC7F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 Боевой подготовки, 2- Организационно-мобилизационного.</w:t>
      </w:r>
    </w:p>
    <w:p w14:paraId="444F95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ОТДЕЛ - Боевой подготовки</w:t>
      </w:r>
    </w:p>
    <w:p w14:paraId="3C2306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Ведению отдела подлежит:</w:t>
      </w:r>
    </w:p>
    <w:p w14:paraId="26C9C3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разработка системы вооружения ММС;</w:t>
      </w:r>
    </w:p>
    <w:p w14:paraId="2554CF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установление тактическо-технических требований к основным образцам специального снабжения по механизации и моторизации РККА;</w:t>
      </w:r>
    </w:p>
    <w:p w14:paraId="41B421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изучение вопросов механизации и моторизации армий иностранных государств;</w:t>
      </w:r>
    </w:p>
    <w:p w14:paraId="368239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вопросы квартирного расписания ММС, учреждений и заведений УММ мирного времени;</w:t>
      </w:r>
    </w:p>
    <w:p w14:paraId="3CF4FB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д) вопросы использования ММС в мирное время;</w:t>
      </w:r>
    </w:p>
    <w:p w14:paraId="1D57FB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разработка материалов и вопросов по учебно-боевой подготовке ММС и руководящих указаний и мероприятий по ним, а также наблюдение за прохождением учебно-боевой подготовки ММС;</w:t>
      </w:r>
    </w:p>
    <w:p w14:paraId="5360E5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разработка проектов уставов по боевому применению и по боевой деятельности механизированных войск РККА, а также специальных наставлений по применению специальных средств механической тяги моторизованных частей РККА;</w:t>
      </w:r>
    </w:p>
    <w:p w14:paraId="475F1A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разработка учебных планов, программ и методических руководств для механизированных, самостоятельных, моторизованных и автомобильных частей;</w:t>
      </w:r>
    </w:p>
    <w:p w14:paraId="267D7C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участие в разработке планов и программ по соответствующей специальной подготовке переменного состава ВУЗов;</w:t>
      </w:r>
    </w:p>
    <w:p w14:paraId="370C26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наблюдение за усовершенствованием начсостава механизированных войск и в отношении специальной технической службы начсостава моторизованных частей РККА;</w:t>
      </w:r>
    </w:p>
    <w:p w14:paraId="6837B0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вопросы финансирования боевой и специальной подготовки строевых частей и обеспечение учебными пособиями.</w:t>
      </w:r>
    </w:p>
    <w:p w14:paraId="3B8957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ОТДЕЛ - Организационно-мобилизационный</w:t>
      </w:r>
    </w:p>
    <w:p w14:paraId="1EEA85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Ведению отдела подлежит:</w:t>
      </w:r>
    </w:p>
    <w:p w14:paraId="2606AD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участие в разработке вопросов организации ММС РККА;</w:t>
      </w:r>
    </w:p>
    <w:p w14:paraId="694001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участие в разработке вопросов развития ММС РККА;</w:t>
      </w:r>
    </w:p>
    <w:p w14:paraId="577FFF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участие в разработке вопросов мобилизационного развертывания ММС РККА;</w:t>
      </w:r>
    </w:p>
    <w:p w14:paraId="648476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разработка вопросов обеспечения возможных театров военных действий ремонтными и эксплуатационными базами для ММС;</w:t>
      </w:r>
    </w:p>
    <w:p w14:paraId="48CA58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 разработка основных указаний, директив и инструкций по вопросам подготовки и проведения мобилизации </w:t>
      </w:r>
      <w:proofErr w:type="spellStart"/>
      <w:r w:rsidRPr="00A259BD">
        <w:rPr>
          <w:rFonts w:ascii="Times New Roman" w:hAnsi="Times New Roman"/>
          <w:color w:val="000000" w:themeColor="text1"/>
          <w:sz w:val="16"/>
          <w:szCs w:val="16"/>
        </w:rPr>
        <w:t>автомотовело</w:t>
      </w:r>
      <w:proofErr w:type="spellEnd"/>
      <w:r w:rsidRPr="00A259BD">
        <w:rPr>
          <w:rFonts w:ascii="Times New Roman" w:hAnsi="Times New Roman"/>
          <w:color w:val="000000" w:themeColor="text1"/>
          <w:sz w:val="16"/>
          <w:szCs w:val="16"/>
        </w:rPr>
        <w:t>- и тракторного имущества, находящегося в промышленности, сельском хозяйстве, гражданских учреждениях и у населения;</w:t>
      </w:r>
    </w:p>
    <w:p w14:paraId="15BB2E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разработка проектов положений и штатов частей и учреждений ММС;</w:t>
      </w:r>
    </w:p>
    <w:p w14:paraId="4900C2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исчисление потребности РККА в части ММС по мирному и военному времени в предметах специального снабжения;</w:t>
      </w:r>
    </w:p>
    <w:p w14:paraId="3D2BCA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составление для других Управлений данных для проработки и обеспечения ими строительных программ ММС в части вооружения и других видов снабжения;</w:t>
      </w:r>
    </w:p>
    <w:p w14:paraId="53FC2E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разработка вопросов разгрузки и эвакуации учреждений, непосредственно подчиненных УММ РККА;</w:t>
      </w:r>
    </w:p>
    <w:p w14:paraId="0C80B4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разработка планов накопления мобилизационных запасов имущества;</w:t>
      </w:r>
    </w:p>
    <w:p w14:paraId="408AD0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составление смет на расходы, связанные с проведением мобилизации, и на расходы, связанные с ведением войны в части специального снабжения;</w:t>
      </w:r>
    </w:p>
    <w:p w14:paraId="28712E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 участие в назначении и перемещении личного состава механизированных войск РККА;</w:t>
      </w:r>
    </w:p>
    <w:p w14:paraId="1900E3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ГЛАВА 3 </w:t>
      </w:r>
    </w:p>
    <w:p w14:paraId="521C99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ТЕХНИЧЕСКОЕ УПРАВЛЕНИЕ</w:t>
      </w:r>
    </w:p>
    <w:p w14:paraId="2E2760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10.Ведению Управления подлежит:</w:t>
      </w:r>
    </w:p>
    <w:p w14:paraId="37B8BE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заготовление табельного специально-технического имущества на основе плана развития ММС РККА, его учет, распределение, эксплуатация, хранение и списание в расход;</w:t>
      </w:r>
    </w:p>
    <w:p w14:paraId="4564EF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обеспечение специальным снабжением мобилизационного развертывания моторизованных частей РККА;</w:t>
      </w:r>
    </w:p>
    <w:p w14:paraId="4C49FC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дача заданий для промышленности по всем видам материального и специального снабжения, а также установление сроков выполнения этих заданий, технических условий и образцов технического имущества;</w:t>
      </w:r>
    </w:p>
    <w:p w14:paraId="4D69CF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наблюдение за выполнением гражданской и военной промышленностью и другими заготовительными органами заказов на специальное имущество;</w:t>
      </w:r>
    </w:p>
    <w:p w14:paraId="6F525E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составление перспективных планов заказов промышленности на военное время, на основе плана развития и строительства ММС;</w:t>
      </w:r>
    </w:p>
    <w:p w14:paraId="46113D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руководство развитием автотракторной промышленности Союза в части использования союзной продукции для военных целей;</w:t>
      </w:r>
    </w:p>
    <w:p w14:paraId="1E83BE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обеспечение театров военных действий ремонтными и эксплуатационными базами для частей ММС;</w:t>
      </w:r>
    </w:p>
    <w:p w14:paraId="3F3F22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накопление мобилизационных и неприкосновенных запасов специального снабжения и эксплуатационных материалов и их централизованный учет;</w:t>
      </w:r>
    </w:p>
    <w:p w14:paraId="741E0A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составление планов заказов, сметных соображений на кредиты, необходимые для их реализации и эксплуатационных расходов ММС;</w:t>
      </w:r>
    </w:p>
    <w:p w14:paraId="3F871F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распределение между частями, учреждениями и заведениями ММС специального имущества и кредитов на его заготовку;</w:t>
      </w:r>
    </w:p>
    <w:p w14:paraId="3DC6F9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составление сметных предложений и расчетов по перечню денежных отпусков;</w:t>
      </w:r>
    </w:p>
    <w:p w14:paraId="156330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 руководство складским хозяйством, ремонтирующим и хранящим специальное имущество ММС;</w:t>
      </w:r>
    </w:p>
    <w:p w14:paraId="1935C8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 разработка норм эксплуатационного расхода и амортизации имущества;</w:t>
      </w:r>
    </w:p>
    <w:p w14:paraId="3F5874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участие в разработке и заключение коллективных договоров по содержанию рабочих и служащих всех специальностей частей и учреждений ММС;</w:t>
      </w:r>
    </w:p>
    <w:p w14:paraId="3F6F4C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 составление положений, инструкций и руководств по ведению учета и отчетности, хранению, содержанию и технической эксплуатации имущества;</w:t>
      </w:r>
    </w:p>
    <w:p w14:paraId="2BE61B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 руководство и объединение работ по составлению табелей и норм снабжения предметами, </w:t>
      </w:r>
      <w:proofErr w:type="spellStart"/>
      <w:r w:rsidRPr="00A259BD">
        <w:rPr>
          <w:rFonts w:ascii="Times New Roman" w:hAnsi="Times New Roman"/>
          <w:color w:val="000000" w:themeColor="text1"/>
          <w:sz w:val="16"/>
          <w:szCs w:val="16"/>
        </w:rPr>
        <w:t>на¬ходящимися</w:t>
      </w:r>
      <w:proofErr w:type="spellEnd"/>
      <w:r w:rsidRPr="00A259BD">
        <w:rPr>
          <w:rFonts w:ascii="Times New Roman" w:hAnsi="Times New Roman"/>
          <w:color w:val="000000" w:themeColor="text1"/>
          <w:sz w:val="16"/>
          <w:szCs w:val="16"/>
        </w:rPr>
        <w:t xml:space="preserve"> в введении УММ РККА по мирному и военному времени и проведение их уставленным порядком;</w:t>
      </w:r>
    </w:p>
    <w:p w14:paraId="35B8DD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разработка норм мобилизационных запасов специального технического имущества и эксплуатационных материалов;</w:t>
      </w:r>
    </w:p>
    <w:p w14:paraId="1022E4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 руководство реализацией негодного имущества с соответствующим использованием вырученных средств;</w:t>
      </w:r>
    </w:p>
    <w:p w14:paraId="25B573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 вопросы технического развития и усовершенствования средств механизации и моторизации РККА;</w:t>
      </w:r>
    </w:p>
    <w:p w14:paraId="3D1425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 изучение достижений иностранной техники в области конструирования средств механизации и моторизации армий.</w:t>
      </w:r>
    </w:p>
    <w:p w14:paraId="48DFA2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Начальнику Технического управления УММ предоставляется [право] определять количество должностей инспекторов, приемщиков и контрольных мастеров и пр., подлежащих выделению в отдельные приемные аппараты, в пределах, установленных общей штатной численностью и отпускаемых по смете денежных средств.</w:t>
      </w:r>
    </w:p>
    <w:p w14:paraId="467BE6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Техническое управление состоит из 4 отделов:</w:t>
      </w:r>
    </w:p>
    <w:p w14:paraId="1A373D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w:t>
      </w:r>
      <w:proofErr w:type="spellStart"/>
      <w:r w:rsidRPr="00A259BD">
        <w:rPr>
          <w:rFonts w:ascii="Times New Roman" w:hAnsi="Times New Roman"/>
          <w:color w:val="000000" w:themeColor="text1"/>
          <w:sz w:val="16"/>
          <w:szCs w:val="16"/>
        </w:rPr>
        <w:t>Танкотракторного</w:t>
      </w:r>
      <w:proofErr w:type="spellEnd"/>
      <w:r w:rsidRPr="00A259BD">
        <w:rPr>
          <w:rFonts w:ascii="Times New Roman" w:hAnsi="Times New Roman"/>
          <w:color w:val="000000" w:themeColor="text1"/>
          <w:sz w:val="16"/>
          <w:szCs w:val="16"/>
        </w:rPr>
        <w:t>,</w:t>
      </w:r>
    </w:p>
    <w:p w14:paraId="543B56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Броневых и транспортных автомобилей и мотоциклов,</w:t>
      </w:r>
    </w:p>
    <w:p w14:paraId="03766F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Бронепоездов и бронедрезин,</w:t>
      </w:r>
    </w:p>
    <w:p w14:paraId="719B5B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Складов и мастерских,</w:t>
      </w:r>
    </w:p>
    <w:p w14:paraId="70006C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Финансовой части.</w:t>
      </w:r>
    </w:p>
    <w:p w14:paraId="5B3EB5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Управлении состоит Старший инспектор приемок;</w:t>
      </w:r>
    </w:p>
    <w:p w14:paraId="0FC5A3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Ведению 1-3 отделов по принадлежности подлежит:</w:t>
      </w:r>
    </w:p>
    <w:p w14:paraId="2C2121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разработка годовых планов по заготовлению и ремонту специального имущества на заводах и мастерских;</w:t>
      </w:r>
    </w:p>
    <w:p w14:paraId="0E0D64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заключение договоров на изготовление и ремонт предметов специального довольствия, наблюдение за выполнением заказов и вывоз с заводов и мастерских заготовленного и отремонтированного имущества;</w:t>
      </w:r>
    </w:p>
    <w:p w14:paraId="32CD3C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разработка плана распределения специального имущества и отпуск его;</w:t>
      </w:r>
    </w:p>
    <w:p w14:paraId="0687AD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учет (количественный и по техническому состоянию) предметов специального довольствия в войсках, складах и производственных предприятиях;</w:t>
      </w:r>
    </w:p>
    <w:p w14:paraId="1E2185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разработка вопросов введения на вооружение РККА вновь устанавливаемых образцов и снятие с вооружения устаревших, использование и хранение последних;</w:t>
      </w:r>
    </w:p>
    <w:p w14:paraId="071313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наблюдение за постановкой дела специального снабжения и инструктирование войск и учреждений в этом отношении;</w:t>
      </w:r>
    </w:p>
    <w:p w14:paraId="01EF19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разработка инструкций и руководств по предметам ведения Отделов;</w:t>
      </w:r>
    </w:p>
    <w:p w14:paraId="4CAA62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разработка норм и табелей комплектов и расчетов по специальному техническому довольствию;</w:t>
      </w:r>
    </w:p>
    <w:p w14:paraId="3F7FBC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разрешение технических вопросов по укладке, хранению, содержанию и эксплуатации имущества;</w:t>
      </w:r>
    </w:p>
    <w:p w14:paraId="227150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контроль над эксплуатацией средств механизации и моторизации частями и учреждениями РККА;</w:t>
      </w:r>
    </w:p>
    <w:p w14:paraId="702752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выяснение производственных возможностей промышленности по обеспечению РККА средствами механизации и моторизации;</w:t>
      </w:r>
    </w:p>
    <w:p w14:paraId="2F8DDC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 разработка вопросов, связанных с импортным заготовлением имущества;</w:t>
      </w:r>
    </w:p>
    <w:p w14:paraId="705B48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 участие в установлении типов, марок и стандартов средств механизации и моторизации с целью согласования их с потребностями РККА;</w:t>
      </w:r>
    </w:p>
    <w:p w14:paraId="78F5AB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организация испытаний всех новых образцов системы вооружения механизированных сил РККА и всех образцов для моторизации частей РККА.</w:t>
      </w:r>
    </w:p>
    <w:p w14:paraId="03C5FE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Кроме общих вопросов, указанных в п. 13, ведению каждого Отдела по принадлежности подлежит учет: тракторов, тракторных прицепов, автомобилей, мотоциклов, самокатов и железнодорожных автодрезин, находящихся в промышленности, сельском хозяйстве, учреждениях и у гражданского населения, и согласование вопросов </w:t>
      </w:r>
      <w:proofErr w:type="spellStart"/>
      <w:r w:rsidRPr="00A259BD">
        <w:rPr>
          <w:rFonts w:ascii="Times New Roman" w:hAnsi="Times New Roman"/>
          <w:color w:val="000000" w:themeColor="text1"/>
          <w:sz w:val="16"/>
          <w:szCs w:val="16"/>
        </w:rPr>
        <w:t>автомотовело</w:t>
      </w:r>
      <w:proofErr w:type="spellEnd"/>
      <w:r w:rsidRPr="00A259BD">
        <w:rPr>
          <w:rFonts w:ascii="Times New Roman" w:hAnsi="Times New Roman"/>
          <w:color w:val="000000" w:themeColor="text1"/>
          <w:sz w:val="16"/>
          <w:szCs w:val="16"/>
        </w:rPr>
        <w:t>- и тракторного производств промышленности с потребностями Наркомвоенмора с подлежащим представительством в Госорганах.</w:t>
      </w:r>
    </w:p>
    <w:p w14:paraId="5DB02C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Ведению отдела складов и мастерских подлежит:</w:t>
      </w:r>
    </w:p>
    <w:p w14:paraId="4AA1C3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разработка вопросов организации, устройства, оборудования и охраны (караульной, противопожарной и противовоздушной) складов </w:t>
      </w:r>
      <w:proofErr w:type="spellStart"/>
      <w:r w:rsidRPr="00A259BD">
        <w:rPr>
          <w:rFonts w:ascii="Times New Roman" w:hAnsi="Times New Roman"/>
          <w:color w:val="000000" w:themeColor="text1"/>
          <w:sz w:val="16"/>
          <w:szCs w:val="16"/>
        </w:rPr>
        <w:t>автоброне-танкотракторного</w:t>
      </w:r>
      <w:proofErr w:type="spellEnd"/>
      <w:r w:rsidRPr="00A259BD">
        <w:rPr>
          <w:rFonts w:ascii="Times New Roman" w:hAnsi="Times New Roman"/>
          <w:color w:val="000000" w:themeColor="text1"/>
          <w:sz w:val="16"/>
          <w:szCs w:val="16"/>
        </w:rPr>
        <w:t xml:space="preserve"> имущества. Учет их состояния и оборудования;</w:t>
      </w:r>
    </w:p>
    <w:p w14:paraId="3AD5BA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разработка штатов складов и мастерских, положений о них, а также инструкций и руководств по вопросам деятельности складов и мастерских;</w:t>
      </w:r>
    </w:p>
    <w:p w14:paraId="3459DE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исчисление всех кредитов, потребных на содержание и функционирование складов, заявка потребности в них по соответствующим органам, распределение и наблюдение за их использованием;</w:t>
      </w:r>
    </w:p>
    <w:p w14:paraId="76ACCD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составление перспективных и годовых планов работ складов и мастерских; учет и поверка их выполнения;</w:t>
      </w:r>
    </w:p>
    <w:p w14:paraId="5E48CC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учет и передача в реализацию негодного и ненужного имущества, хранящегося на складах;</w:t>
      </w:r>
    </w:p>
    <w:p w14:paraId="29CC0D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разработка проектов правил и форм материального учета и отчетности на складах;</w:t>
      </w:r>
    </w:p>
    <w:p w14:paraId="143240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разработка вопросов постройки и эксплуатации подъездных железных дорог (широкой и узкой колеи) как к складам и полигонам, так и на их территории</w:t>
      </w:r>
    </w:p>
    <w:p w14:paraId="66E18F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 разрешение вопросов транспортирования </w:t>
      </w:r>
      <w:proofErr w:type="spellStart"/>
      <w:r w:rsidRPr="00A259BD">
        <w:rPr>
          <w:rFonts w:ascii="Times New Roman" w:hAnsi="Times New Roman"/>
          <w:color w:val="000000" w:themeColor="text1"/>
          <w:sz w:val="16"/>
          <w:szCs w:val="16"/>
        </w:rPr>
        <w:t>автобронетанкотракторного</w:t>
      </w:r>
      <w:proofErr w:type="spellEnd"/>
      <w:r w:rsidRPr="00A259BD">
        <w:rPr>
          <w:rFonts w:ascii="Times New Roman" w:hAnsi="Times New Roman"/>
          <w:color w:val="000000" w:themeColor="text1"/>
          <w:sz w:val="16"/>
          <w:szCs w:val="16"/>
        </w:rPr>
        <w:t xml:space="preserve"> имущества по всем видам транспорта. Составление плана перевозок, истребование, распределение и учет перевозочных кредитов;</w:t>
      </w:r>
    </w:p>
    <w:p w14:paraId="764048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заготовка и обеспечение мастерских материалами, оборудованием и приборами, учет оборудования мастерских;</w:t>
      </w:r>
    </w:p>
    <w:p w14:paraId="1B3AE0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руководство тарифно-нормировочной работой мастерских, проработка вопросов механизации и рационализации ремонтных работ;</w:t>
      </w:r>
    </w:p>
    <w:p w14:paraId="3CCCFD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проработка и проведение вопросов об установлении норм оплаты личного состава складов, содержащегося на операционных кредитах.</w:t>
      </w:r>
    </w:p>
    <w:p w14:paraId="1F1A19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Участие в заключении колдоговоров с Профсоюзами.</w:t>
      </w:r>
    </w:p>
    <w:p w14:paraId="475778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Ведению Финансовой части подлежит:</w:t>
      </w:r>
    </w:p>
    <w:p w14:paraId="01C72B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составление общих смет на имущество по механизации и моторизации РККА;</w:t>
      </w:r>
    </w:p>
    <w:p w14:paraId="50CBCE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разработка вопросов обеспечения денежными средствами нужд снабжения специальным имуществом в мирное время;</w:t>
      </w:r>
    </w:p>
    <w:p w14:paraId="35B11A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разработка планов общих по заготовлению предметов механизации и моторизации по полной обеспеченности РККА; годовых - по заготовлению тех же предметов; по использованию средств на специальное довольствие от учреждений и гражданских Наркоматов; годовых - по импортным заказам;</w:t>
      </w:r>
    </w:p>
    <w:p w14:paraId="665DC0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составление сметных предположений по договорам, расходам и специальным кредитам, относящимся к кругу ведения управления, а также составление соответствующих исчислений для сверхсметных ассигнований;</w:t>
      </w:r>
    </w:p>
    <w:p w14:paraId="359D98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 </w:t>
      </w:r>
      <w:proofErr w:type="spellStart"/>
      <w:r w:rsidRPr="00A259BD">
        <w:rPr>
          <w:rFonts w:ascii="Times New Roman" w:hAnsi="Times New Roman"/>
          <w:color w:val="000000" w:themeColor="text1"/>
          <w:sz w:val="16"/>
          <w:szCs w:val="16"/>
        </w:rPr>
        <w:t>разассигнование</w:t>
      </w:r>
      <w:proofErr w:type="spellEnd"/>
      <w:r w:rsidRPr="00A259BD">
        <w:rPr>
          <w:rFonts w:ascii="Times New Roman" w:hAnsi="Times New Roman"/>
          <w:color w:val="000000" w:themeColor="text1"/>
          <w:sz w:val="16"/>
          <w:szCs w:val="16"/>
        </w:rPr>
        <w:t>, учет движения и расходования открываемых в распоряжение управления сметных и сверхсметных кредитов, а равно кредитов, передаваемых другими ведомствами и организациями; расчеты по платежным документам, предъявляемым к оплате;</w:t>
      </w:r>
    </w:p>
    <w:p w14:paraId="79F22D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проверка поступающих в управление: требований об отпуске кредитов, платежных документов, предъявляемых к оплате, технических смет и отчетов по заготовлению технического довольствия и по производству работ специального снабжения;</w:t>
      </w:r>
    </w:p>
    <w:p w14:paraId="5AC068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рассмотрение калькуляций и определение цен на предметы специального довольствия.</w:t>
      </w:r>
    </w:p>
    <w:p w14:paraId="22739A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ГЛАВА 4 </w:t>
      </w:r>
    </w:p>
    <w:p w14:paraId="480B7B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НАУЧНО-ТЕХНИЧЕСКИЙ КОМИТЕТ УММ РККА</w:t>
      </w:r>
    </w:p>
    <w:p w14:paraId="7B8111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НТК УММ РККА ведает следующими отраслями военной техники в пределах, определенных Положением об НТК (приказ РВС СССР № 200 1929 г.): танковой, самоходными артиллерийскими установками, автомобильной, мотоциклетной и самокатной, прицепным транспортом механизированных частей РККА, а также бронедрезинами и бронепоездами (без железнодорожной артиллерии всех калибров);</w:t>
      </w:r>
    </w:p>
    <w:p w14:paraId="217F2B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НТК непосредственно подчинен Научно-испытательный технический Полигон, существующий на основании особого положения.</w:t>
      </w:r>
    </w:p>
    <w:p w14:paraId="26AA10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 НТК состоит из 6 секций;</w:t>
      </w:r>
    </w:p>
    <w:p w14:paraId="65454D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Танков и самоходных установок.</w:t>
      </w:r>
    </w:p>
    <w:p w14:paraId="2EB2D6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Броневых и транспортных автомобилей, мотоциклов и самокатов.</w:t>
      </w:r>
    </w:p>
    <w:p w14:paraId="1DEE90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Бронепоездов и бронедрезин.</w:t>
      </w:r>
    </w:p>
    <w:p w14:paraId="641F3B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Тракторов и прицепных повозок.</w:t>
      </w:r>
    </w:p>
    <w:p w14:paraId="1D3901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Боевого применения и специальных служб.</w:t>
      </w:r>
    </w:p>
    <w:p w14:paraId="2EFC3B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Организации производств и ремонта (10977).</w:t>
      </w:r>
    </w:p>
    <w:p w14:paraId="1D82DA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00B84B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14EE91C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F5C70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ноября 1929 </w:t>
      </w:r>
      <w:proofErr w:type="spellStart"/>
      <w:r w:rsidRPr="00A259BD">
        <w:rPr>
          <w:rFonts w:ascii="Times New Roman" w:hAnsi="Times New Roman"/>
          <w:color w:val="000000" w:themeColor="text1"/>
          <w:sz w:val="16"/>
          <w:szCs w:val="16"/>
        </w:rPr>
        <w:t>Н.И.Бухарин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А.И.Рыков</w:t>
      </w:r>
      <w:proofErr w:type="spellEnd"/>
      <w:r w:rsidRPr="00A259BD">
        <w:rPr>
          <w:rFonts w:ascii="Times New Roman" w:hAnsi="Times New Roman"/>
          <w:color w:val="000000" w:themeColor="text1"/>
          <w:sz w:val="16"/>
          <w:szCs w:val="16"/>
        </w:rPr>
        <w:t xml:space="preserve"> и Томский опубликовали заявление о признании ошибок (1348,119).</w:t>
      </w:r>
    </w:p>
    <w:p w14:paraId="384D9D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92D72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6055DCC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0362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ноября 1929 г. состоялась беседа Ворошилова с на обеде с </w:t>
      </w:r>
      <w:proofErr w:type="spellStart"/>
      <w:r w:rsidRPr="00A259BD">
        <w:rPr>
          <w:rFonts w:ascii="Times New Roman" w:hAnsi="Times New Roman"/>
          <w:color w:val="000000" w:themeColor="text1"/>
          <w:sz w:val="16"/>
          <w:szCs w:val="16"/>
        </w:rPr>
        <w:t>Рэдером</w:t>
      </w:r>
      <w:proofErr w:type="spellEnd"/>
      <w:r w:rsidRPr="00A259BD">
        <w:rPr>
          <w:rFonts w:ascii="Times New Roman" w:hAnsi="Times New Roman"/>
          <w:color w:val="000000" w:themeColor="text1"/>
          <w:sz w:val="16"/>
          <w:szCs w:val="16"/>
        </w:rPr>
        <w:t xml:space="preserve">, для которой Крестинский в письме от 16 ноября 1929 г. напоминал наркомвоенмору о его положительном решении вопроса «о сотрудничестве с немецкими военными и по флотской линии», а также о намерении Ворошилова «переговорить на эту тему с тов. Сталиным». Крестинский просил </w:t>
      </w:r>
      <w:proofErr w:type="spellStart"/>
      <w:r w:rsidRPr="00A259BD">
        <w:rPr>
          <w:rFonts w:ascii="Times New Roman" w:hAnsi="Times New Roman"/>
          <w:color w:val="000000" w:themeColor="text1"/>
          <w:sz w:val="16"/>
          <w:szCs w:val="16"/>
        </w:rPr>
        <w:t>написатьему</w:t>
      </w:r>
      <w:proofErr w:type="spellEnd"/>
      <w:r w:rsidRPr="00A259BD">
        <w:rPr>
          <w:rFonts w:ascii="Times New Roman" w:hAnsi="Times New Roman"/>
          <w:color w:val="000000" w:themeColor="text1"/>
          <w:sz w:val="16"/>
          <w:szCs w:val="16"/>
        </w:rPr>
        <w:t xml:space="preserve"> «пару слов» относительно того, что ответить шефу «</w:t>
      </w:r>
      <w:proofErr w:type="spellStart"/>
      <w:r w:rsidRPr="00A259BD">
        <w:rPr>
          <w:rFonts w:ascii="Times New Roman" w:hAnsi="Times New Roman"/>
          <w:color w:val="000000" w:themeColor="text1"/>
          <w:sz w:val="16"/>
          <w:szCs w:val="16"/>
        </w:rPr>
        <w:t>райхсмарине</w:t>
      </w:r>
      <w:proofErr w:type="spellEnd"/>
      <w:r w:rsidRPr="00A259BD">
        <w:rPr>
          <w:rFonts w:ascii="Times New Roman" w:hAnsi="Times New Roman"/>
          <w:color w:val="000000" w:themeColor="text1"/>
          <w:sz w:val="16"/>
          <w:szCs w:val="16"/>
        </w:rPr>
        <w:t xml:space="preserve">», если тот заговорит «о сотрудничестве и приезде наших моряков». Однако на обеде 26 ноября 1929 г. </w:t>
      </w:r>
      <w:proofErr w:type="spellStart"/>
      <w:r w:rsidRPr="00A259BD">
        <w:rPr>
          <w:rFonts w:ascii="Times New Roman" w:hAnsi="Times New Roman"/>
          <w:color w:val="000000" w:themeColor="text1"/>
          <w:sz w:val="16"/>
          <w:szCs w:val="16"/>
        </w:rPr>
        <w:t>Рэдер</w:t>
      </w:r>
      <w:proofErr w:type="spellEnd"/>
      <w:r w:rsidRPr="00A259BD">
        <w:rPr>
          <w:rFonts w:ascii="Times New Roman" w:hAnsi="Times New Roman"/>
          <w:color w:val="000000" w:themeColor="text1"/>
          <w:sz w:val="16"/>
          <w:szCs w:val="16"/>
        </w:rPr>
        <w:t xml:space="preserve"> данный вопрос не поднимал. (Там же, л. 63—64). Документы его были выправлены на имя Адамова. (John </w:t>
      </w:r>
      <w:proofErr w:type="spellStart"/>
      <w:r w:rsidRPr="00A259BD">
        <w:rPr>
          <w:rFonts w:ascii="Times New Roman" w:hAnsi="Times New Roman"/>
          <w:color w:val="000000" w:themeColor="text1"/>
          <w:sz w:val="16"/>
          <w:szCs w:val="16"/>
        </w:rPr>
        <w:t>Erickson</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Op</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cit</w:t>
      </w:r>
      <w:proofErr w:type="spellEnd"/>
      <w:r w:rsidRPr="00A259BD">
        <w:rPr>
          <w:rFonts w:ascii="Times New Roman" w:hAnsi="Times New Roman"/>
          <w:color w:val="000000" w:themeColor="text1"/>
          <w:sz w:val="16"/>
          <w:szCs w:val="16"/>
        </w:rPr>
        <w:t>., p. 713).) (11784).</w:t>
      </w:r>
    </w:p>
    <w:p w14:paraId="71E03E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A72F02" w14:textId="77777777" w:rsidR="00095DA4" w:rsidRPr="00A259BD" w:rsidRDefault="00095DA4"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6C34302" w14:textId="77777777" w:rsidR="00095DA4" w:rsidRPr="00A259BD" w:rsidRDefault="00095DA4"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91C55B2" w14:textId="77777777" w:rsidR="00095DA4" w:rsidRPr="00A259BD" w:rsidRDefault="00095DA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ноября 1929 после взлета из Хэла Фар, Мальта, </w:t>
      </w:r>
      <w:proofErr w:type="spellStart"/>
      <w:r w:rsidRPr="00A259BD">
        <w:rPr>
          <w:rFonts w:ascii="Times New Roman" w:hAnsi="Times New Roman"/>
          <w:color w:val="000000" w:themeColor="text1"/>
          <w:sz w:val="16"/>
          <w:szCs w:val="16"/>
        </w:rPr>
        <w:t>Fairey</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Flycatcher</w:t>
      </w:r>
      <w:proofErr w:type="spellEnd"/>
      <w:r w:rsidRPr="00A259BD">
        <w:rPr>
          <w:rFonts w:ascii="Times New Roman" w:hAnsi="Times New Roman"/>
          <w:color w:val="000000" w:themeColor="text1"/>
          <w:sz w:val="16"/>
          <w:szCs w:val="16"/>
        </w:rPr>
        <w:t xml:space="preserve"> Королевских ВВС приземляется на борт британского авианосца HMS </w:t>
      </w:r>
      <w:proofErr w:type="spellStart"/>
      <w:r w:rsidRPr="00A259BD">
        <w:rPr>
          <w:rFonts w:ascii="Times New Roman" w:hAnsi="Times New Roman"/>
          <w:color w:val="000000" w:themeColor="text1"/>
          <w:sz w:val="16"/>
          <w:szCs w:val="16"/>
        </w:rPr>
        <w:t>Courageous</w:t>
      </w:r>
      <w:proofErr w:type="spellEnd"/>
      <w:r w:rsidRPr="00A259BD">
        <w:rPr>
          <w:rFonts w:ascii="Times New Roman" w:hAnsi="Times New Roman"/>
          <w:color w:val="000000" w:themeColor="text1"/>
          <w:sz w:val="16"/>
          <w:szCs w:val="16"/>
        </w:rPr>
        <w:t>, совершив первую ночную посадку на авианосце истребителя флота (20806).</w:t>
      </w:r>
    </w:p>
    <w:p w14:paraId="0F1066E8" w14:textId="77777777" w:rsidR="00095DA4" w:rsidRPr="00A259BD" w:rsidRDefault="00095DA4" w:rsidP="009236E3">
      <w:pPr>
        <w:spacing w:after="0" w:line="240" w:lineRule="auto"/>
        <w:jc w:val="both"/>
        <w:rPr>
          <w:rFonts w:ascii="Times New Roman" w:hAnsi="Times New Roman"/>
          <w:color w:val="000000" w:themeColor="text1"/>
          <w:sz w:val="16"/>
          <w:szCs w:val="16"/>
        </w:rPr>
      </w:pPr>
    </w:p>
    <w:p w14:paraId="03489293" w14:textId="77777777" w:rsidR="00095DA4" w:rsidRPr="00A259BD" w:rsidRDefault="00095DA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ноября 1929 г. первый полет </w:t>
      </w:r>
      <w:proofErr w:type="spellStart"/>
      <w:r w:rsidRPr="00A259BD">
        <w:rPr>
          <w:rFonts w:ascii="Times New Roman" w:hAnsi="Times New Roman"/>
          <w:color w:val="000000" w:themeColor="text1"/>
          <w:sz w:val="16"/>
          <w:szCs w:val="16"/>
        </w:rPr>
        <w:t>Vickers</w:t>
      </w:r>
      <w:proofErr w:type="spellEnd"/>
      <w:r w:rsidRPr="00A259BD">
        <w:rPr>
          <w:rFonts w:ascii="Times New Roman" w:hAnsi="Times New Roman"/>
          <w:color w:val="000000" w:themeColor="text1"/>
          <w:sz w:val="16"/>
          <w:szCs w:val="16"/>
        </w:rPr>
        <w:t xml:space="preserve"> Type 177 (20806).</w:t>
      </w:r>
    </w:p>
    <w:p w14:paraId="122BBF09" w14:textId="77777777" w:rsidR="00095DA4" w:rsidRPr="00A259BD" w:rsidRDefault="00095DA4" w:rsidP="009236E3">
      <w:pPr>
        <w:spacing w:after="0" w:line="240" w:lineRule="auto"/>
        <w:jc w:val="both"/>
        <w:rPr>
          <w:rFonts w:ascii="Times New Roman" w:hAnsi="Times New Roman"/>
          <w:color w:val="000000" w:themeColor="text1"/>
          <w:sz w:val="16"/>
          <w:szCs w:val="16"/>
        </w:rPr>
      </w:pPr>
    </w:p>
    <w:p w14:paraId="334C8780" w14:textId="77777777" w:rsidR="00095DA4" w:rsidRPr="00A259BD" w:rsidRDefault="00095DA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ноября 1929 - Первый полет </w:t>
      </w:r>
      <w:proofErr w:type="spellStart"/>
      <w:r w:rsidRPr="00A259BD">
        <w:rPr>
          <w:rFonts w:ascii="Times New Roman" w:hAnsi="Times New Roman"/>
          <w:color w:val="000000" w:themeColor="text1"/>
          <w:sz w:val="16"/>
          <w:szCs w:val="16"/>
        </w:rPr>
        <w:t>Vickers</w:t>
      </w:r>
      <w:proofErr w:type="spellEnd"/>
      <w:r w:rsidRPr="00A259BD">
        <w:rPr>
          <w:rFonts w:ascii="Times New Roman" w:hAnsi="Times New Roman"/>
          <w:color w:val="000000" w:themeColor="text1"/>
          <w:sz w:val="16"/>
          <w:szCs w:val="16"/>
        </w:rPr>
        <w:t xml:space="preserve"> Type 143.</w:t>
      </w:r>
    </w:p>
    <w:p w14:paraId="19F71211" w14:textId="77777777" w:rsidR="00095DA4" w:rsidRPr="00A259BD" w:rsidRDefault="00095DA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После провала у себя на родине с истребителями Type 123/141 </w:t>
      </w:r>
      <w:proofErr w:type="spellStart"/>
      <w:r w:rsidRPr="00A259BD">
        <w:rPr>
          <w:rFonts w:ascii="Times New Roman" w:hAnsi="Times New Roman"/>
          <w:color w:val="000000" w:themeColor="text1"/>
          <w:sz w:val="16"/>
          <w:szCs w:val="16"/>
        </w:rPr>
        <w:t>Scout</w:t>
      </w:r>
      <w:proofErr w:type="spellEnd"/>
      <w:r w:rsidRPr="00A259BD">
        <w:rPr>
          <w:rFonts w:ascii="Times New Roman" w:hAnsi="Times New Roman"/>
          <w:color w:val="000000" w:themeColor="text1"/>
          <w:sz w:val="16"/>
          <w:szCs w:val="16"/>
        </w:rPr>
        <w:t xml:space="preserve"> фирма </w:t>
      </w:r>
      <w:proofErr w:type="spellStart"/>
      <w:r w:rsidRPr="00A259BD">
        <w:rPr>
          <w:rFonts w:ascii="Times New Roman" w:hAnsi="Times New Roman"/>
          <w:color w:val="000000" w:themeColor="text1"/>
          <w:sz w:val="16"/>
          <w:szCs w:val="16"/>
        </w:rPr>
        <w:t>Vickers</w:t>
      </w:r>
      <w:proofErr w:type="spellEnd"/>
      <w:r w:rsidRPr="00A259BD">
        <w:rPr>
          <w:rFonts w:ascii="Times New Roman" w:hAnsi="Times New Roman"/>
          <w:color w:val="000000" w:themeColor="text1"/>
          <w:sz w:val="16"/>
          <w:szCs w:val="16"/>
        </w:rPr>
        <w:t xml:space="preserve"> попробовала поискать покупателя за рубежом. И в 1929 году пришел небольшой успех - Боливия заказала для своих ВВС шесть самолетов. Эти самолеты, в основном аналогичных истребителю Type 141, оснащенные звездообразным двигателем Bristol </w:t>
      </w:r>
      <w:proofErr w:type="spellStart"/>
      <w:r w:rsidRPr="00A259BD">
        <w:rPr>
          <w:rFonts w:ascii="Times New Roman" w:hAnsi="Times New Roman"/>
          <w:color w:val="000000" w:themeColor="text1"/>
          <w:sz w:val="16"/>
          <w:szCs w:val="16"/>
        </w:rPr>
        <w:t>Jupiter</w:t>
      </w:r>
      <w:proofErr w:type="spellEnd"/>
      <w:r w:rsidRPr="00A259BD">
        <w:rPr>
          <w:rFonts w:ascii="Times New Roman" w:hAnsi="Times New Roman"/>
          <w:color w:val="000000" w:themeColor="text1"/>
          <w:sz w:val="16"/>
          <w:szCs w:val="16"/>
        </w:rPr>
        <w:t xml:space="preserve"> VIA мощностью 450 л.с., с переделанным шасси и некоторыми другими небольшими модификациями, получили обозначение </w:t>
      </w:r>
      <w:proofErr w:type="spellStart"/>
      <w:r w:rsidRPr="00A259BD">
        <w:rPr>
          <w:rFonts w:ascii="Times New Roman" w:hAnsi="Times New Roman"/>
          <w:color w:val="000000" w:themeColor="text1"/>
          <w:sz w:val="16"/>
          <w:szCs w:val="16"/>
        </w:rPr>
        <w:t>Vickers</w:t>
      </w:r>
      <w:proofErr w:type="spellEnd"/>
      <w:r w:rsidRPr="00A259BD">
        <w:rPr>
          <w:rFonts w:ascii="Times New Roman" w:hAnsi="Times New Roman"/>
          <w:color w:val="000000" w:themeColor="text1"/>
          <w:sz w:val="16"/>
          <w:szCs w:val="16"/>
        </w:rPr>
        <w:t xml:space="preserve"> Type 143 </w:t>
      </w:r>
      <w:proofErr w:type="spellStart"/>
      <w:r w:rsidRPr="00A259BD">
        <w:rPr>
          <w:rFonts w:ascii="Times New Roman" w:hAnsi="Times New Roman"/>
          <w:color w:val="000000" w:themeColor="text1"/>
          <w:sz w:val="16"/>
          <w:szCs w:val="16"/>
        </w:rPr>
        <w:t>Bolivian</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Scout</w:t>
      </w:r>
      <w:proofErr w:type="spellEnd"/>
      <w:r w:rsidRPr="00A259BD">
        <w:rPr>
          <w:rFonts w:ascii="Times New Roman" w:hAnsi="Times New Roman"/>
          <w:color w:val="000000" w:themeColor="text1"/>
          <w:sz w:val="16"/>
          <w:szCs w:val="16"/>
        </w:rPr>
        <w:t xml:space="preserve">. Два 7.7-мм пулемета </w:t>
      </w:r>
      <w:proofErr w:type="spellStart"/>
      <w:r w:rsidRPr="00A259BD">
        <w:rPr>
          <w:rFonts w:ascii="Times New Roman" w:hAnsi="Times New Roman"/>
          <w:color w:val="000000" w:themeColor="text1"/>
          <w:sz w:val="16"/>
          <w:szCs w:val="16"/>
        </w:rPr>
        <w:t>Vickers</w:t>
      </w:r>
      <w:proofErr w:type="spellEnd"/>
      <w:r w:rsidRPr="00A259BD">
        <w:rPr>
          <w:rFonts w:ascii="Times New Roman" w:hAnsi="Times New Roman"/>
          <w:color w:val="000000" w:themeColor="text1"/>
          <w:sz w:val="16"/>
          <w:szCs w:val="16"/>
        </w:rPr>
        <w:t xml:space="preserve"> установили по бокам  фюзеляжа, для стрельбы между  цилиндрами двигателя.</w:t>
      </w:r>
    </w:p>
    <w:p w14:paraId="367CE47A" w14:textId="77777777" w:rsidR="00095DA4" w:rsidRPr="00A259BD" w:rsidRDefault="00095DA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января 1930 года самолеты поставлялись в Боливию. Самолет высоко оценивались ВВС этой страны и стал первым боливийским истребителем сбившим противника в ходе боев в 1932 году между Боливией и Парагваем.  В результате этих боевых действий было потеряно три самолета  </w:t>
      </w:r>
      <w:proofErr w:type="spellStart"/>
      <w:r w:rsidRPr="00A259BD">
        <w:rPr>
          <w:rFonts w:ascii="Times New Roman" w:hAnsi="Times New Roman"/>
          <w:color w:val="000000" w:themeColor="text1"/>
          <w:sz w:val="16"/>
          <w:szCs w:val="16"/>
        </w:rPr>
        <w:t>Bolivian</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Scout</w:t>
      </w:r>
      <w:proofErr w:type="spellEnd"/>
      <w:r w:rsidRPr="00A259BD">
        <w:rPr>
          <w:rFonts w:ascii="Times New Roman" w:hAnsi="Times New Roman"/>
          <w:color w:val="000000" w:themeColor="text1"/>
          <w:sz w:val="16"/>
          <w:szCs w:val="16"/>
        </w:rPr>
        <w:t xml:space="preserve"> (22480).</w:t>
      </w:r>
    </w:p>
    <w:p w14:paraId="7055EF0A" w14:textId="77777777" w:rsidR="00095DA4" w:rsidRPr="00A259BD" w:rsidRDefault="00095DA4" w:rsidP="009236E3">
      <w:pPr>
        <w:spacing w:after="0" w:line="240" w:lineRule="auto"/>
        <w:jc w:val="both"/>
        <w:rPr>
          <w:rFonts w:ascii="Times New Roman" w:hAnsi="Times New Roman"/>
          <w:color w:val="000000" w:themeColor="text1"/>
          <w:sz w:val="16"/>
          <w:szCs w:val="16"/>
        </w:rPr>
      </w:pPr>
    </w:p>
    <w:p w14:paraId="42D91C13"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E16D2C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CA005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ноября 1929 А.С.Я. подписал чертеж АИР-2 с Вальтер 60 </w:t>
      </w:r>
      <w:proofErr w:type="spellStart"/>
      <w:r w:rsidRPr="00A259BD">
        <w:rPr>
          <w:rFonts w:ascii="Times New Roman" w:hAnsi="Times New Roman"/>
          <w:color w:val="000000" w:themeColor="text1"/>
          <w:sz w:val="16"/>
          <w:szCs w:val="16"/>
        </w:rPr>
        <w:t>нр</w:t>
      </w:r>
      <w:proofErr w:type="spellEnd"/>
      <w:r w:rsidRPr="00A259BD">
        <w:rPr>
          <w:rFonts w:ascii="Times New Roman" w:hAnsi="Times New Roman"/>
          <w:color w:val="000000" w:themeColor="text1"/>
          <w:sz w:val="16"/>
          <w:szCs w:val="16"/>
        </w:rPr>
        <w:t xml:space="preserve"> (2483,9).</w:t>
      </w:r>
    </w:p>
    <w:p w14:paraId="51FB87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8BE4F2" w14:textId="77777777" w:rsidR="00582146" w:rsidRPr="00A259BD" w:rsidRDefault="00582146" w:rsidP="009236E3">
      <w:pPr>
        <w:spacing w:after="0" w:line="240" w:lineRule="auto"/>
        <w:jc w:val="both"/>
        <w:rPr>
          <w:rStyle w:val="af0"/>
          <w:rFonts w:ascii="Times New Roman" w:hAnsi="Times New Roman"/>
          <w:i w:val="0"/>
          <w:color w:val="000000" w:themeColor="text1"/>
          <w:sz w:val="16"/>
          <w:szCs w:val="16"/>
        </w:rPr>
      </w:pPr>
      <w:r w:rsidRPr="00A259BD">
        <w:rPr>
          <w:rFonts w:ascii="Times New Roman" w:hAnsi="Times New Roman"/>
          <w:bCs/>
          <w:color w:val="000000" w:themeColor="text1"/>
          <w:sz w:val="16"/>
          <w:szCs w:val="16"/>
        </w:rPr>
        <w:t xml:space="preserve">27 ноября 1929 г. — Докладная записка заместителя наркома по военным и морским делам и председателя РВС СССР И. С. </w:t>
      </w:r>
      <w:proofErr w:type="spellStart"/>
      <w:r w:rsidRPr="00A259BD">
        <w:rPr>
          <w:rFonts w:ascii="Times New Roman" w:hAnsi="Times New Roman"/>
          <w:bCs/>
          <w:color w:val="000000" w:themeColor="text1"/>
          <w:sz w:val="16"/>
          <w:szCs w:val="16"/>
        </w:rPr>
        <w:t>Уншлихта</w:t>
      </w:r>
      <w:proofErr w:type="spellEnd"/>
      <w:r w:rsidRPr="00A259BD">
        <w:rPr>
          <w:rFonts w:ascii="Times New Roman" w:hAnsi="Times New Roman"/>
          <w:bCs/>
          <w:color w:val="000000" w:themeColor="text1"/>
          <w:sz w:val="16"/>
          <w:szCs w:val="16"/>
        </w:rPr>
        <w:t xml:space="preserve"> в РЗ СТО СССР о мероприятиях по организации производства авиационных моторов</w:t>
      </w:r>
    </w:p>
    <w:p w14:paraId="46DADEA5"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559C4BC3"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После Гражданской войны, в период 1922/23 г., авиационная промышленность приступила к организации производства авиационных моторов по заграничным типам выпуска 1917</w:t>
      </w:r>
      <w:r w:rsidRPr="00A259BD">
        <w:rPr>
          <w:color w:val="000000" w:themeColor="text1"/>
          <w:sz w:val="16"/>
          <w:szCs w:val="16"/>
        </w:rPr>
        <w:noBreakHyphen/>
        <w:t>1918 гг. В 1924</w:t>
      </w:r>
      <w:r w:rsidRPr="00A259BD">
        <w:rPr>
          <w:color w:val="000000" w:themeColor="text1"/>
          <w:sz w:val="16"/>
          <w:szCs w:val="16"/>
        </w:rPr>
        <w:noBreakHyphen/>
        <w:t>1925 гг. заводы выпустили серии авиационных моторов с водяным охлаждением мощностью. М</w:t>
      </w:r>
      <w:r w:rsidRPr="00A259BD">
        <w:rPr>
          <w:color w:val="000000" w:themeColor="text1"/>
          <w:sz w:val="16"/>
          <w:szCs w:val="16"/>
        </w:rPr>
        <w:noBreakHyphen/>
        <w:t>5 — 400 НР, М</w:t>
      </w:r>
      <w:r w:rsidRPr="00A259BD">
        <w:rPr>
          <w:color w:val="000000" w:themeColor="text1"/>
          <w:sz w:val="16"/>
          <w:szCs w:val="16"/>
        </w:rPr>
        <w:noBreakHyphen/>
        <w:t xml:space="preserve">6 — 300 НР. Эти типы моторов. идущих на снабжение боевых самолетов строевых частей, остаются и на сегодняшний день главной массой продукции заводов </w:t>
      </w:r>
      <w:proofErr w:type="spellStart"/>
      <w:r w:rsidRPr="00A259BD">
        <w:rPr>
          <w:color w:val="000000" w:themeColor="text1"/>
          <w:sz w:val="16"/>
          <w:szCs w:val="16"/>
        </w:rPr>
        <w:t>Авиатреста</w:t>
      </w:r>
      <w:proofErr w:type="spellEnd"/>
      <w:r w:rsidRPr="00A259BD">
        <w:rPr>
          <w:color w:val="000000" w:themeColor="text1"/>
          <w:sz w:val="16"/>
          <w:szCs w:val="16"/>
        </w:rPr>
        <w:t>.</w:t>
      </w:r>
    </w:p>
    <w:p w14:paraId="6813604A"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 xml:space="preserve">В марте месяце 1925 г. УВВС предъявило </w:t>
      </w:r>
      <w:proofErr w:type="spellStart"/>
      <w:r w:rsidRPr="00A259BD">
        <w:rPr>
          <w:color w:val="000000" w:themeColor="text1"/>
          <w:sz w:val="16"/>
          <w:szCs w:val="16"/>
        </w:rPr>
        <w:t>Авиатресту</w:t>
      </w:r>
      <w:proofErr w:type="spellEnd"/>
      <w:r w:rsidRPr="00A259BD">
        <w:rPr>
          <w:color w:val="000000" w:themeColor="text1"/>
          <w:sz w:val="16"/>
          <w:szCs w:val="16"/>
        </w:rPr>
        <w:t xml:space="preserve"> технические требования на разработку опытных моторов 600</w:t>
      </w:r>
      <w:r w:rsidRPr="00A259BD">
        <w:rPr>
          <w:color w:val="000000" w:themeColor="text1"/>
          <w:sz w:val="16"/>
          <w:szCs w:val="16"/>
        </w:rPr>
        <w:noBreakHyphen/>
        <w:t>700 НР, имея в виду, что устаревающие типы моторов массового производства М</w:t>
      </w:r>
      <w:r w:rsidRPr="00A259BD">
        <w:rPr>
          <w:color w:val="000000" w:themeColor="text1"/>
          <w:sz w:val="16"/>
          <w:szCs w:val="16"/>
        </w:rPr>
        <w:noBreakHyphen/>
        <w:t>5 и М</w:t>
      </w:r>
      <w:r w:rsidRPr="00A259BD">
        <w:rPr>
          <w:color w:val="000000" w:themeColor="text1"/>
          <w:sz w:val="16"/>
          <w:szCs w:val="16"/>
        </w:rPr>
        <w:noBreakHyphen/>
        <w:t>6 (образца 1917</w:t>
      </w:r>
      <w:r w:rsidRPr="00A259BD">
        <w:rPr>
          <w:color w:val="000000" w:themeColor="text1"/>
          <w:sz w:val="16"/>
          <w:szCs w:val="16"/>
        </w:rPr>
        <w:noBreakHyphen/>
        <w:t xml:space="preserve">1928²*) должны быть заменены моторами более современными по своей конструкции. Вместе с тем УВВС РККА поставило перед </w:t>
      </w:r>
      <w:proofErr w:type="spellStart"/>
      <w:r w:rsidRPr="00A259BD">
        <w:rPr>
          <w:color w:val="000000" w:themeColor="text1"/>
          <w:sz w:val="16"/>
          <w:szCs w:val="16"/>
        </w:rPr>
        <w:t>Авиатрестом</w:t>
      </w:r>
      <w:proofErr w:type="spellEnd"/>
      <w:r w:rsidRPr="00A259BD">
        <w:rPr>
          <w:color w:val="000000" w:themeColor="text1"/>
          <w:sz w:val="16"/>
          <w:szCs w:val="16"/>
        </w:rPr>
        <w:t xml:space="preserve"> вопрос о том, чтобы одновременно с проработкой своих конструкций закупить лицензии на заграничные образцы моторов современных конструкций.</w:t>
      </w:r>
    </w:p>
    <w:p w14:paraId="4A61D8AA" w14:textId="77777777" w:rsidR="00382A41" w:rsidRPr="00A259BD" w:rsidRDefault="00382A41" w:rsidP="009236E3">
      <w:pPr>
        <w:pStyle w:val="rtejustify"/>
        <w:spacing w:before="0" w:after="0"/>
        <w:rPr>
          <w:color w:val="000000" w:themeColor="text1"/>
          <w:sz w:val="16"/>
          <w:szCs w:val="16"/>
        </w:rPr>
      </w:pPr>
      <w:proofErr w:type="spellStart"/>
      <w:r w:rsidRPr="00A259BD">
        <w:rPr>
          <w:color w:val="000000" w:themeColor="text1"/>
          <w:sz w:val="16"/>
          <w:szCs w:val="16"/>
        </w:rPr>
        <w:t>Авиатрестом</w:t>
      </w:r>
      <w:proofErr w:type="spellEnd"/>
      <w:r w:rsidRPr="00A259BD">
        <w:rPr>
          <w:color w:val="000000" w:themeColor="text1"/>
          <w:sz w:val="16"/>
          <w:szCs w:val="16"/>
        </w:rPr>
        <w:t xml:space="preserve"> было приступлено к проработке 3 типов мощных моторов на опытном отделе завода № 24: У</w:t>
      </w:r>
      <w:r w:rsidRPr="00A259BD">
        <w:rPr>
          <w:color w:val="000000" w:themeColor="text1"/>
          <w:sz w:val="16"/>
          <w:szCs w:val="16"/>
        </w:rPr>
        <w:noBreakHyphen/>
        <w:t>12 — двухрядный мотор с 12</w:t>
      </w:r>
      <w:r w:rsidRPr="00A259BD">
        <w:rPr>
          <w:color w:val="000000" w:themeColor="text1"/>
          <w:sz w:val="16"/>
          <w:szCs w:val="16"/>
        </w:rPr>
        <w:noBreakHyphen/>
        <w:t>ю цилиндрами, номинальной мощностью 500 НР, с водяным охлаждением; мотор УУ</w:t>
      </w:r>
      <w:r w:rsidRPr="00A259BD">
        <w:rPr>
          <w:color w:val="000000" w:themeColor="text1"/>
          <w:sz w:val="16"/>
          <w:szCs w:val="16"/>
        </w:rPr>
        <w:noBreakHyphen/>
        <w:t>18 — трехрядный с 18</w:t>
      </w:r>
      <w:r w:rsidRPr="00A259BD">
        <w:rPr>
          <w:color w:val="000000" w:themeColor="text1"/>
          <w:sz w:val="16"/>
          <w:szCs w:val="16"/>
        </w:rPr>
        <w:noBreakHyphen/>
        <w:t>ю цилиндрами, номинальной мощностью 750 НР, с водяным охлаждением и мотор М</w:t>
      </w:r>
      <w:r w:rsidRPr="00A259BD">
        <w:rPr>
          <w:color w:val="000000" w:themeColor="text1"/>
          <w:sz w:val="16"/>
          <w:szCs w:val="16"/>
        </w:rPr>
        <w:noBreakHyphen/>
        <w:t>15 воздушного охлаждения, с номинальной мощностью 500 НР.</w:t>
      </w:r>
    </w:p>
    <w:p w14:paraId="26C1CD2C"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Заводская приработка и испытания мотора УУ</w:t>
      </w:r>
      <w:r w:rsidRPr="00A259BD">
        <w:rPr>
          <w:color w:val="000000" w:themeColor="text1"/>
          <w:sz w:val="16"/>
          <w:szCs w:val="16"/>
        </w:rPr>
        <w:noBreakHyphen/>
        <w:t xml:space="preserve">18 протекали с 19 мая 1928 г. по 2 октября 1929 г. Мотор, благодаря систематическим поломкам деталей и полной аварии при испытаниях (поломка картера и коленчатого вала) не мог быть предъявлен </w:t>
      </w:r>
      <w:proofErr w:type="spellStart"/>
      <w:r w:rsidRPr="00A259BD">
        <w:rPr>
          <w:color w:val="000000" w:themeColor="text1"/>
          <w:sz w:val="16"/>
          <w:szCs w:val="16"/>
        </w:rPr>
        <w:t>Авиатрестом</w:t>
      </w:r>
      <w:proofErr w:type="spellEnd"/>
      <w:r w:rsidRPr="00A259BD">
        <w:rPr>
          <w:color w:val="000000" w:themeColor="text1"/>
          <w:sz w:val="16"/>
          <w:szCs w:val="16"/>
        </w:rPr>
        <w:t xml:space="preserve"> на типовое испытание научно-испытательному институту ВВС. Заводские испытания двух других моторов У</w:t>
      </w:r>
      <w:r w:rsidRPr="00A259BD">
        <w:rPr>
          <w:color w:val="000000" w:themeColor="text1"/>
          <w:sz w:val="16"/>
          <w:szCs w:val="16"/>
        </w:rPr>
        <w:noBreakHyphen/>
        <w:t>12 и М</w:t>
      </w:r>
      <w:r w:rsidRPr="00A259BD">
        <w:rPr>
          <w:color w:val="000000" w:themeColor="text1"/>
          <w:sz w:val="16"/>
          <w:szCs w:val="16"/>
        </w:rPr>
        <w:noBreakHyphen/>
        <w:t xml:space="preserve">15 продолжались в период с 18 июля 1928 г. по 4 октября 1929 г. и также не дали положительных результатов и </w:t>
      </w:r>
      <w:r w:rsidRPr="00A259BD">
        <w:rPr>
          <w:color w:val="000000" w:themeColor="text1"/>
          <w:sz w:val="16"/>
          <w:szCs w:val="16"/>
        </w:rPr>
        <w:lastRenderedPageBreak/>
        <w:t>не могли быть предъявлены на типовое испытание. Таким образом, опытное моторостроение по мощным образцам за период 1925</w:t>
      </w:r>
      <w:r w:rsidRPr="00A259BD">
        <w:rPr>
          <w:color w:val="000000" w:themeColor="text1"/>
          <w:sz w:val="16"/>
          <w:szCs w:val="16"/>
        </w:rPr>
        <w:noBreakHyphen/>
        <w:t>1929 гг. не дало конструкций, признанных годными к введению на массовое производство.</w:t>
      </w:r>
    </w:p>
    <w:p w14:paraId="73E8DB89"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Заключенные за этот период времени договора на техническую помощь по постройке у нас немецкого мотора «БМВ</w:t>
      </w:r>
      <w:r w:rsidRPr="00A259BD">
        <w:rPr>
          <w:color w:val="000000" w:themeColor="text1"/>
          <w:sz w:val="16"/>
          <w:szCs w:val="16"/>
        </w:rPr>
        <w:noBreakHyphen/>
        <w:t>VI» номинальной мощности 450 НР с водяным охлаждением и договор с французской фирмой «Гном и Рон» на постройку у нас мотора «Юпитер» 420</w:t>
      </w:r>
      <w:r w:rsidRPr="00A259BD">
        <w:rPr>
          <w:color w:val="000000" w:themeColor="text1"/>
          <w:sz w:val="16"/>
          <w:szCs w:val="16"/>
        </w:rPr>
        <w:noBreakHyphen/>
        <w:t>480 НР с воздушным охлаждением полностью не реализованы.</w:t>
      </w:r>
    </w:p>
    <w:p w14:paraId="473B0CB5"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Мотор «БМВ», внедренный в производство на заводе № 26 в Рыбинске, выпущен в 1929 г. первой опытной партией в 10 шт., имея основную деталь — коленчатый вал — заграничной выработки. Производство мотора «Юпитер</w:t>
      </w:r>
      <w:r w:rsidRPr="00A259BD">
        <w:rPr>
          <w:color w:val="000000" w:themeColor="text1"/>
          <w:sz w:val="16"/>
          <w:szCs w:val="16"/>
        </w:rPr>
        <w:noBreakHyphen/>
        <w:t xml:space="preserve">VI» еще не налажено, и первый мотор с завода № 29, по заявлению </w:t>
      </w:r>
      <w:proofErr w:type="spellStart"/>
      <w:r w:rsidRPr="00A259BD">
        <w:rPr>
          <w:color w:val="000000" w:themeColor="text1"/>
          <w:sz w:val="16"/>
          <w:szCs w:val="16"/>
        </w:rPr>
        <w:t>Авиатреста</w:t>
      </w:r>
      <w:proofErr w:type="spellEnd"/>
      <w:r w:rsidRPr="00A259BD">
        <w:rPr>
          <w:color w:val="000000" w:themeColor="text1"/>
          <w:sz w:val="16"/>
          <w:szCs w:val="16"/>
        </w:rPr>
        <w:t>, будет подан лишь в июне 1930 г. Подобные темпы приводят к тому, что самый мощный моторостроительный завод № 24 остается на устаревшем М</w:t>
      </w:r>
      <w:r w:rsidRPr="00A259BD">
        <w:rPr>
          <w:color w:val="000000" w:themeColor="text1"/>
          <w:sz w:val="16"/>
          <w:szCs w:val="16"/>
        </w:rPr>
        <w:noBreakHyphen/>
        <w:t>5 в 400 НР и М</w:t>
      </w:r>
      <w:r w:rsidRPr="00A259BD">
        <w:rPr>
          <w:color w:val="000000" w:themeColor="text1"/>
          <w:sz w:val="16"/>
          <w:szCs w:val="16"/>
        </w:rPr>
        <w:noBreakHyphen/>
        <w:t xml:space="preserve">2 в 120 НР, и благодаря неудаче в постройке опытных образцов, предусмотренных к внедрению в производство на этом заводе, </w:t>
      </w:r>
      <w:proofErr w:type="spellStart"/>
      <w:r w:rsidRPr="00A259BD">
        <w:rPr>
          <w:color w:val="000000" w:themeColor="text1"/>
          <w:sz w:val="16"/>
          <w:szCs w:val="16"/>
        </w:rPr>
        <w:t>Авиатрестом</w:t>
      </w:r>
      <w:proofErr w:type="spellEnd"/>
      <w:r w:rsidRPr="00A259BD">
        <w:rPr>
          <w:color w:val="000000" w:themeColor="text1"/>
          <w:sz w:val="16"/>
          <w:szCs w:val="16"/>
        </w:rPr>
        <w:t xml:space="preserve"> не может быть выдержан темп и сроки развертывания на мощных типах по этому заводу.</w:t>
      </w:r>
    </w:p>
    <w:p w14:paraId="3F6351FF"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 xml:space="preserve">В докладе </w:t>
      </w:r>
      <w:proofErr w:type="spellStart"/>
      <w:r w:rsidRPr="00A259BD">
        <w:rPr>
          <w:color w:val="000000" w:themeColor="text1"/>
          <w:sz w:val="16"/>
          <w:szCs w:val="16"/>
        </w:rPr>
        <w:t>Авиатреста</w:t>
      </w:r>
      <w:proofErr w:type="spellEnd"/>
      <w:r w:rsidRPr="00A259BD">
        <w:rPr>
          <w:color w:val="000000" w:themeColor="text1"/>
          <w:sz w:val="16"/>
          <w:szCs w:val="16"/>
        </w:rPr>
        <w:t xml:space="preserve"> в СТО по пятилетнему плану развития уже в 1928/29 г. завод должен был быть в состоянии изготовить опытную партию в 25 моторов типа У</w:t>
      </w:r>
      <w:r w:rsidRPr="00A259BD">
        <w:rPr>
          <w:color w:val="000000" w:themeColor="text1"/>
          <w:sz w:val="16"/>
          <w:szCs w:val="16"/>
        </w:rPr>
        <w:noBreakHyphen/>
        <w:t>12 или УУ</w:t>
      </w:r>
      <w:r w:rsidRPr="00A259BD">
        <w:rPr>
          <w:color w:val="000000" w:themeColor="text1"/>
          <w:sz w:val="16"/>
          <w:szCs w:val="16"/>
        </w:rPr>
        <w:noBreakHyphen/>
        <w:t xml:space="preserve">18, а в текущем 1929/30 г. завод уже должен был быть в состоянии дать по этим типам 460 ед. Вместе с тем по плану </w:t>
      </w:r>
      <w:proofErr w:type="spellStart"/>
      <w:r w:rsidRPr="00A259BD">
        <w:rPr>
          <w:color w:val="000000" w:themeColor="text1"/>
          <w:sz w:val="16"/>
          <w:szCs w:val="16"/>
        </w:rPr>
        <w:t>Авиатреста</w:t>
      </w:r>
      <w:proofErr w:type="spellEnd"/>
      <w:r w:rsidRPr="00A259BD">
        <w:rPr>
          <w:color w:val="000000" w:themeColor="text1"/>
          <w:sz w:val="16"/>
          <w:szCs w:val="16"/>
        </w:rPr>
        <w:t xml:space="preserve"> этот же завод № 24 должен в 1930/31 г. приступить к постройке серии мощных моторов с воздушным охлаждением типа 2 М</w:t>
      </w:r>
      <w:r w:rsidRPr="00A259BD">
        <w:rPr>
          <w:color w:val="000000" w:themeColor="text1"/>
          <w:sz w:val="16"/>
          <w:szCs w:val="16"/>
        </w:rPr>
        <w:noBreakHyphen/>
        <w:t>15 с тем, чтобы потом передать весь производственный опыт на вновь проектируемый к постройке моторостроительный завод. Уже в 1929/30 г. завод должен был быть в состоянии изготовить опытную серию в 50 моторов, а между тем тип мотора М</w:t>
      </w:r>
      <w:r w:rsidRPr="00A259BD">
        <w:rPr>
          <w:color w:val="000000" w:themeColor="text1"/>
          <w:sz w:val="16"/>
          <w:szCs w:val="16"/>
        </w:rPr>
        <w:noBreakHyphen/>
        <w:t>15 оказался к началу года не предъявленным к введению на снабжение ВВС. Это ставит под угрозу срок развертывания производства и на новом заводе. Подобное положение обязывает:</w:t>
      </w:r>
    </w:p>
    <w:p w14:paraId="604D8019"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 xml:space="preserve">1. Теперь же закупить </w:t>
      </w:r>
      <w:proofErr w:type="spellStart"/>
      <w:r w:rsidRPr="00A259BD">
        <w:rPr>
          <w:color w:val="000000" w:themeColor="text1"/>
          <w:sz w:val="16"/>
          <w:szCs w:val="16"/>
        </w:rPr>
        <w:t>лиценз</w:t>
      </w:r>
      <w:proofErr w:type="spellEnd"/>
      <w:r w:rsidRPr="00A259BD">
        <w:rPr>
          <w:color w:val="000000" w:themeColor="text1"/>
          <w:sz w:val="16"/>
          <w:szCs w:val="16"/>
        </w:rPr>
        <w:t xml:space="preserve"> или техпомощь на один из мощных современных моторов, который в ускоренном темпе ввести на производство на заводе № 24; на основе совещания с представителями промышленности таким типом мог бы быть один из авиационных американских моторов мощностью 600</w:t>
      </w:r>
      <w:r w:rsidRPr="00A259BD">
        <w:rPr>
          <w:color w:val="000000" w:themeColor="text1"/>
          <w:sz w:val="16"/>
          <w:szCs w:val="16"/>
        </w:rPr>
        <w:noBreakHyphen/>
        <w:t>800 НР.</w:t>
      </w:r>
    </w:p>
    <w:p w14:paraId="18381E78"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 xml:space="preserve">2. Обязать </w:t>
      </w:r>
      <w:proofErr w:type="spellStart"/>
      <w:r w:rsidRPr="00A259BD">
        <w:rPr>
          <w:color w:val="000000" w:themeColor="text1"/>
          <w:sz w:val="16"/>
          <w:szCs w:val="16"/>
        </w:rPr>
        <w:t>Авиатрест</w:t>
      </w:r>
      <w:proofErr w:type="spellEnd"/>
      <w:r w:rsidRPr="00A259BD">
        <w:rPr>
          <w:color w:val="000000" w:themeColor="text1"/>
          <w:sz w:val="16"/>
          <w:szCs w:val="16"/>
        </w:rPr>
        <w:t xml:space="preserve"> всемерно ускорить развертывание производства моторов «Юпитер</w:t>
      </w:r>
      <w:r w:rsidRPr="00A259BD">
        <w:rPr>
          <w:color w:val="000000" w:themeColor="text1"/>
          <w:sz w:val="16"/>
          <w:szCs w:val="16"/>
        </w:rPr>
        <w:noBreakHyphen/>
        <w:t xml:space="preserve">VI» на заводе № 29 с тем, чтобы обеспечить выпуск продукции в сроки и количествах, предусмотренных планом </w:t>
      </w:r>
      <w:proofErr w:type="spellStart"/>
      <w:r w:rsidRPr="00A259BD">
        <w:rPr>
          <w:color w:val="000000" w:themeColor="text1"/>
          <w:sz w:val="16"/>
          <w:szCs w:val="16"/>
        </w:rPr>
        <w:t>Авиатреста</w:t>
      </w:r>
      <w:proofErr w:type="spellEnd"/>
      <w:r w:rsidRPr="00A259BD">
        <w:rPr>
          <w:color w:val="000000" w:themeColor="text1"/>
          <w:sz w:val="16"/>
          <w:szCs w:val="16"/>
        </w:rPr>
        <w:t xml:space="preserve"> по докладу в СТО.</w:t>
      </w:r>
    </w:p>
    <w:p w14:paraId="3BF59DD6"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3. Обязать ВСНХ соблюсти сроки развертывания подсобной промышленности для обеспечения поковки и прочими материалами моторостроения.</w:t>
      </w:r>
    </w:p>
    <w:p w14:paraId="58B4F614"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4. Признать необходимым срочный ввоз из-за границы коленчатых валов к мотору «БМВ</w:t>
      </w:r>
      <w:r w:rsidRPr="00A259BD">
        <w:rPr>
          <w:color w:val="000000" w:themeColor="text1"/>
          <w:sz w:val="16"/>
          <w:szCs w:val="16"/>
        </w:rPr>
        <w:noBreakHyphen/>
        <w:t>VI» своей постройки в количестве, обеспечивающем мобилизационную потребность выпуска моторов по 1930/31 г., а также форсирование работ по подготовлению валов на заводе № 26 с использованием опыта и технической помощи «Круппа».</w:t>
      </w:r>
    </w:p>
    <w:p w14:paraId="31514737" w14:textId="77777777" w:rsidR="00382A41" w:rsidRPr="00A259BD" w:rsidRDefault="00382A41" w:rsidP="009236E3">
      <w:pPr>
        <w:pStyle w:val="rtejustify"/>
        <w:spacing w:before="0" w:after="0"/>
        <w:rPr>
          <w:color w:val="000000" w:themeColor="text1"/>
          <w:sz w:val="16"/>
          <w:szCs w:val="16"/>
        </w:rPr>
      </w:pPr>
      <w:r w:rsidRPr="00A259BD">
        <w:rPr>
          <w:color w:val="000000" w:themeColor="text1"/>
          <w:sz w:val="16"/>
          <w:szCs w:val="16"/>
        </w:rPr>
        <w:t>5. Ввезти из-за границы приборы зажигания для устаревающих моторов М</w:t>
      </w:r>
      <w:r w:rsidRPr="00A259BD">
        <w:rPr>
          <w:color w:val="000000" w:themeColor="text1"/>
          <w:sz w:val="16"/>
          <w:szCs w:val="16"/>
        </w:rPr>
        <w:noBreakHyphen/>
        <w:t xml:space="preserve">5 для обеспечения мобилизационной потребности в них в количестве выпуска этих моторов по 1930/31 г. с прибавкой </w:t>
      </w:r>
      <w:proofErr w:type="spellStart"/>
      <w:r w:rsidRPr="00A259BD">
        <w:rPr>
          <w:color w:val="000000" w:themeColor="text1"/>
          <w:sz w:val="16"/>
          <w:szCs w:val="16"/>
        </w:rPr>
        <w:t>недовыпускаемых</w:t>
      </w:r>
      <w:proofErr w:type="spellEnd"/>
      <w:r w:rsidRPr="00A259BD">
        <w:rPr>
          <w:color w:val="000000" w:themeColor="text1"/>
          <w:sz w:val="16"/>
          <w:szCs w:val="16"/>
        </w:rPr>
        <w:t xml:space="preserve"> У</w:t>
      </w:r>
      <w:r w:rsidRPr="00A259BD">
        <w:rPr>
          <w:color w:val="000000" w:themeColor="text1"/>
          <w:sz w:val="16"/>
          <w:szCs w:val="16"/>
        </w:rPr>
        <w:noBreakHyphen/>
        <w:t>12 и УУ</w:t>
      </w:r>
      <w:r w:rsidRPr="00A259BD">
        <w:rPr>
          <w:color w:val="000000" w:themeColor="text1"/>
          <w:sz w:val="16"/>
          <w:szCs w:val="16"/>
        </w:rPr>
        <w:noBreakHyphen/>
        <w:t>18.</w:t>
      </w:r>
    </w:p>
    <w:p w14:paraId="1625DCAE" w14:textId="77777777" w:rsidR="00382A41" w:rsidRPr="00A259BD" w:rsidRDefault="00382A41" w:rsidP="009236E3">
      <w:pPr>
        <w:pStyle w:val="rteright"/>
        <w:spacing w:before="0" w:after="0"/>
        <w:jc w:val="both"/>
        <w:rPr>
          <w:color w:val="000000" w:themeColor="text1"/>
          <w:sz w:val="16"/>
          <w:szCs w:val="16"/>
        </w:rPr>
      </w:pPr>
      <w:r w:rsidRPr="00A259BD">
        <w:rPr>
          <w:rStyle w:val="af0"/>
          <w:i w:val="0"/>
          <w:color w:val="000000" w:themeColor="text1"/>
          <w:sz w:val="16"/>
          <w:szCs w:val="16"/>
        </w:rPr>
        <w:t xml:space="preserve">Зам. наркомвоенмора и председателя РВС СССР </w:t>
      </w:r>
      <w:hyperlink r:id="rId264" w:history="1">
        <w:proofErr w:type="spellStart"/>
        <w:r w:rsidRPr="00A259BD">
          <w:rPr>
            <w:rStyle w:val="af0"/>
            <w:i w:val="0"/>
            <w:color w:val="000000" w:themeColor="text1"/>
            <w:sz w:val="16"/>
            <w:szCs w:val="16"/>
          </w:rPr>
          <w:t>Уншлихт</w:t>
        </w:r>
        <w:proofErr w:type="spellEnd"/>
      </w:hyperlink>
    </w:p>
    <w:p w14:paraId="458FAE91" w14:textId="77777777" w:rsidR="00382A41" w:rsidRPr="00A259BD" w:rsidRDefault="00382A41"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r w:rsidRPr="00A259BD">
        <w:rPr>
          <w:color w:val="000000" w:themeColor="text1"/>
          <w:sz w:val="16"/>
          <w:szCs w:val="16"/>
        </w:rPr>
        <w:t>:</w:t>
      </w:r>
    </w:p>
    <w:p w14:paraId="3428C2B9" w14:textId="77777777" w:rsidR="00382A41" w:rsidRPr="00A259BD" w:rsidRDefault="00382A41" w:rsidP="009236E3">
      <w:pPr>
        <w:pStyle w:val="ae"/>
        <w:spacing w:before="0" w:after="0"/>
        <w:jc w:val="both"/>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Копии направлены: начальнику МПУ ВСНХ СССР А. М. Постникову и начальнику ГВПУ ВСНХ СССР М. Г. Урываеву.</w:t>
      </w:r>
    </w:p>
    <w:p w14:paraId="1AC30914" w14:textId="77777777" w:rsidR="00382A41" w:rsidRPr="00A259BD" w:rsidRDefault="00382A41" w:rsidP="009236E3">
      <w:pPr>
        <w:pStyle w:val="ae"/>
        <w:spacing w:before="0" w:after="0"/>
        <w:jc w:val="both"/>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Так в тексте, правильно — 1918.</w:t>
      </w:r>
    </w:p>
    <w:p w14:paraId="473FFDE3" w14:textId="77777777" w:rsidR="00382A41" w:rsidRPr="00A259BD" w:rsidRDefault="00382A41" w:rsidP="009236E3">
      <w:pPr>
        <w:pStyle w:val="ae"/>
        <w:spacing w:before="0" w:after="0"/>
        <w:jc w:val="both"/>
        <w:rPr>
          <w:color w:val="000000" w:themeColor="text1"/>
          <w:sz w:val="16"/>
          <w:szCs w:val="16"/>
        </w:rPr>
      </w:pPr>
      <w:r w:rsidRPr="00A259BD">
        <w:rPr>
          <w:color w:val="000000" w:themeColor="text1"/>
          <w:sz w:val="16"/>
          <w:szCs w:val="16"/>
        </w:rPr>
        <w:t>РГАЭ. Ф. 2097. Оп. 1. Д. 1001. Л. 28—27. Заверенная копия.</w:t>
      </w:r>
    </w:p>
    <w:p w14:paraId="7CFBBB16"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2097. Оп. 1. Д. 1001. Л. 28—27. Заверенная копия. </w:t>
      </w:r>
    </w:p>
    <w:p w14:paraId="60454216" w14:textId="77777777" w:rsidR="00382A41" w:rsidRPr="00A259BD" w:rsidRDefault="00382A4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383-385 (12477).</w:t>
      </w:r>
    </w:p>
    <w:p w14:paraId="5C053303" w14:textId="77777777" w:rsidR="00382A41" w:rsidRPr="00A259BD" w:rsidRDefault="00382A41" w:rsidP="009236E3">
      <w:pPr>
        <w:spacing w:after="0" w:line="240" w:lineRule="auto"/>
        <w:jc w:val="both"/>
        <w:rPr>
          <w:rFonts w:ascii="Times New Roman" w:hAnsi="Times New Roman"/>
          <w:color w:val="000000" w:themeColor="text1"/>
          <w:sz w:val="16"/>
          <w:szCs w:val="16"/>
        </w:rPr>
      </w:pPr>
    </w:p>
    <w:p w14:paraId="7D4FEC26" w14:textId="77777777" w:rsidR="003A50FB" w:rsidRDefault="003A50FB" w:rsidP="003A50FB">
      <w:pPr>
        <w:spacing w:after="0" w:line="240" w:lineRule="auto"/>
        <w:jc w:val="both"/>
        <w:rPr>
          <w:rFonts w:ascii="Times New Roman" w:hAnsi="Times New Roman"/>
          <w:color w:val="0070C0"/>
          <w:sz w:val="16"/>
          <w:szCs w:val="16"/>
        </w:rPr>
      </w:pPr>
      <w:r>
        <w:rPr>
          <w:rFonts w:ascii="Times New Roman" w:hAnsi="Times New Roman"/>
          <w:color w:val="0070C0"/>
          <w:sz w:val="16"/>
          <w:szCs w:val="16"/>
        </w:rPr>
        <w:t xml:space="preserve">27 </w:t>
      </w:r>
      <w:r w:rsidRPr="006B74EB">
        <w:rPr>
          <w:rFonts w:ascii="Times New Roman" w:hAnsi="Times New Roman"/>
          <w:color w:val="0070C0"/>
          <w:sz w:val="16"/>
          <w:szCs w:val="16"/>
        </w:rPr>
        <w:t>ноябр</w:t>
      </w:r>
      <w:r>
        <w:rPr>
          <w:rFonts w:ascii="Times New Roman" w:hAnsi="Times New Roman"/>
          <w:color w:val="0070C0"/>
          <w:sz w:val="16"/>
          <w:szCs w:val="16"/>
        </w:rPr>
        <w:t xml:space="preserve">я 1829 г. </w:t>
      </w:r>
      <w:proofErr w:type="spellStart"/>
      <w:r w:rsidRPr="006B74EB">
        <w:rPr>
          <w:rFonts w:ascii="Times New Roman" w:hAnsi="Times New Roman"/>
          <w:color w:val="0070C0"/>
          <w:sz w:val="16"/>
          <w:szCs w:val="16"/>
        </w:rPr>
        <w:t>Замнаркомвоенмор</w:t>
      </w:r>
      <w:proofErr w:type="spellEnd"/>
      <w:r w:rsidRPr="006B74EB">
        <w:rPr>
          <w:rFonts w:ascii="Times New Roman" w:hAnsi="Times New Roman"/>
          <w:color w:val="0070C0"/>
          <w:sz w:val="16"/>
          <w:szCs w:val="16"/>
        </w:rPr>
        <w:t xml:space="preserve"> </w:t>
      </w:r>
      <w:proofErr w:type="spellStart"/>
      <w:r w:rsidRPr="006B74EB">
        <w:rPr>
          <w:rFonts w:ascii="Times New Roman" w:hAnsi="Times New Roman"/>
          <w:color w:val="0070C0"/>
          <w:sz w:val="16"/>
          <w:szCs w:val="16"/>
        </w:rPr>
        <w:t>И.С.Уншлжхт</w:t>
      </w:r>
      <w:proofErr w:type="spellEnd"/>
      <w:r w:rsidRPr="006B74EB">
        <w:rPr>
          <w:rFonts w:ascii="Times New Roman" w:hAnsi="Times New Roman"/>
          <w:color w:val="0070C0"/>
          <w:sz w:val="16"/>
          <w:szCs w:val="16"/>
        </w:rPr>
        <w:t xml:space="preserve"> в докладе распорядите</w:t>
      </w:r>
      <w:r w:rsidRPr="006B74EB">
        <w:rPr>
          <w:rFonts w:ascii="Times New Roman" w:hAnsi="Times New Roman"/>
          <w:color w:val="0070C0"/>
          <w:sz w:val="16"/>
          <w:szCs w:val="16"/>
        </w:rPr>
        <w:softHyphen/>
        <w:t>л</w:t>
      </w:r>
      <w:r>
        <w:rPr>
          <w:rFonts w:ascii="Times New Roman" w:hAnsi="Times New Roman"/>
          <w:color w:val="0070C0"/>
          <w:sz w:val="16"/>
          <w:szCs w:val="16"/>
        </w:rPr>
        <w:t>ьному</w:t>
      </w:r>
      <w:r w:rsidRPr="006B74EB">
        <w:rPr>
          <w:rFonts w:ascii="Times New Roman" w:hAnsi="Times New Roman"/>
          <w:color w:val="0070C0"/>
          <w:sz w:val="16"/>
          <w:szCs w:val="16"/>
        </w:rPr>
        <w:t xml:space="preserve"> заседанию СТО предложил:</w:t>
      </w:r>
    </w:p>
    <w:p w14:paraId="7E236756" w14:textId="77777777" w:rsidR="003A50FB" w:rsidRPr="006B74EB" w:rsidRDefault="003A50FB" w:rsidP="003A50FB">
      <w:pPr>
        <w:spacing w:after="0" w:line="240" w:lineRule="auto"/>
        <w:jc w:val="both"/>
        <w:rPr>
          <w:rFonts w:ascii="Times New Roman" w:hAnsi="Times New Roman"/>
          <w:color w:val="0070C0"/>
          <w:sz w:val="16"/>
          <w:szCs w:val="16"/>
        </w:rPr>
      </w:pPr>
      <w:r>
        <w:rPr>
          <w:rFonts w:ascii="Times New Roman" w:hAnsi="Times New Roman"/>
          <w:color w:val="0070C0"/>
          <w:sz w:val="16"/>
          <w:szCs w:val="16"/>
        </w:rPr>
        <w:t>1</w:t>
      </w:r>
      <w:r w:rsidRPr="006B74EB">
        <w:rPr>
          <w:rFonts w:ascii="Times New Roman" w:hAnsi="Times New Roman"/>
          <w:color w:val="0070C0"/>
          <w:sz w:val="16"/>
          <w:szCs w:val="16"/>
        </w:rPr>
        <w:t xml:space="preserve">/ теперь же закупить </w:t>
      </w:r>
      <w:r>
        <w:rPr>
          <w:rFonts w:ascii="Times New Roman" w:hAnsi="Times New Roman"/>
          <w:color w:val="0070C0"/>
          <w:sz w:val="16"/>
          <w:szCs w:val="16"/>
        </w:rPr>
        <w:t>лицензию</w:t>
      </w:r>
      <w:r w:rsidRPr="006B74EB">
        <w:rPr>
          <w:rFonts w:ascii="Times New Roman" w:hAnsi="Times New Roman"/>
          <w:color w:val="0070C0"/>
          <w:sz w:val="16"/>
          <w:szCs w:val="16"/>
        </w:rPr>
        <w:t xml:space="preserve"> или техпомощь на один </w:t>
      </w:r>
      <w:r>
        <w:rPr>
          <w:rFonts w:ascii="Times New Roman" w:hAnsi="Times New Roman"/>
          <w:color w:val="0070C0"/>
          <w:sz w:val="16"/>
          <w:szCs w:val="16"/>
        </w:rPr>
        <w:t>и</w:t>
      </w:r>
      <w:r w:rsidRPr="006B74EB">
        <w:rPr>
          <w:rFonts w:ascii="Times New Roman" w:hAnsi="Times New Roman"/>
          <w:color w:val="0070C0"/>
          <w:sz w:val="16"/>
          <w:szCs w:val="16"/>
        </w:rPr>
        <w:t>з мощных современных моторов,</w:t>
      </w:r>
      <w:r>
        <w:rPr>
          <w:rFonts w:ascii="Times New Roman" w:hAnsi="Times New Roman"/>
          <w:color w:val="0070C0"/>
          <w:sz w:val="16"/>
          <w:szCs w:val="16"/>
        </w:rPr>
        <w:t xml:space="preserve"> </w:t>
      </w:r>
      <w:r w:rsidRPr="006B74EB">
        <w:rPr>
          <w:rFonts w:ascii="Times New Roman" w:hAnsi="Times New Roman"/>
          <w:color w:val="0070C0"/>
          <w:sz w:val="16"/>
          <w:szCs w:val="16"/>
        </w:rPr>
        <w:t>кото</w:t>
      </w:r>
      <w:r>
        <w:rPr>
          <w:rFonts w:ascii="Times New Roman" w:hAnsi="Times New Roman"/>
          <w:color w:val="0070C0"/>
          <w:sz w:val="16"/>
          <w:szCs w:val="16"/>
        </w:rPr>
        <w:t>рый</w:t>
      </w:r>
      <w:r w:rsidRPr="006B74EB">
        <w:rPr>
          <w:rFonts w:ascii="Times New Roman" w:hAnsi="Times New Roman"/>
          <w:color w:val="0070C0"/>
          <w:sz w:val="16"/>
          <w:szCs w:val="16"/>
        </w:rPr>
        <w:t xml:space="preserve"> в ускоренном темпе ввести на производство на заводе </w:t>
      </w:r>
      <w:r>
        <w:rPr>
          <w:rFonts w:ascii="Times New Roman" w:hAnsi="Times New Roman"/>
          <w:color w:val="0070C0"/>
          <w:sz w:val="16"/>
          <w:szCs w:val="16"/>
        </w:rPr>
        <w:t>№</w:t>
      </w:r>
      <w:r w:rsidRPr="006B74EB">
        <w:rPr>
          <w:rFonts w:ascii="Times New Roman" w:hAnsi="Times New Roman"/>
          <w:color w:val="0070C0"/>
          <w:sz w:val="16"/>
          <w:szCs w:val="16"/>
        </w:rPr>
        <w:t xml:space="preserve"> 24;</w:t>
      </w:r>
    </w:p>
    <w:p w14:paraId="2F40400F" w14:textId="77777777" w:rsidR="003A50FB" w:rsidRDefault="003A50FB" w:rsidP="003A50FB">
      <w:pPr>
        <w:spacing w:after="0" w:line="240" w:lineRule="auto"/>
        <w:jc w:val="both"/>
        <w:rPr>
          <w:rFonts w:ascii="Times New Roman" w:hAnsi="Times New Roman"/>
          <w:color w:val="0070C0"/>
          <w:sz w:val="16"/>
          <w:szCs w:val="16"/>
        </w:rPr>
      </w:pPr>
      <w:r>
        <w:rPr>
          <w:rFonts w:ascii="Times New Roman" w:hAnsi="Times New Roman"/>
          <w:color w:val="0070C0"/>
          <w:sz w:val="16"/>
          <w:szCs w:val="16"/>
        </w:rPr>
        <w:t>2/ у</w:t>
      </w:r>
      <w:r w:rsidRPr="006B74EB">
        <w:rPr>
          <w:rFonts w:ascii="Times New Roman" w:hAnsi="Times New Roman"/>
          <w:color w:val="0070C0"/>
          <w:sz w:val="16"/>
          <w:szCs w:val="16"/>
        </w:rPr>
        <w:t xml:space="preserve">скорить производство мотора </w:t>
      </w:r>
      <w:r>
        <w:rPr>
          <w:rFonts w:ascii="Times New Roman" w:hAnsi="Times New Roman"/>
          <w:color w:val="0070C0"/>
          <w:sz w:val="16"/>
          <w:szCs w:val="16"/>
        </w:rPr>
        <w:t>«</w:t>
      </w:r>
      <w:r w:rsidRPr="006B74EB">
        <w:rPr>
          <w:rFonts w:ascii="Times New Roman" w:hAnsi="Times New Roman"/>
          <w:color w:val="0070C0"/>
          <w:sz w:val="16"/>
          <w:szCs w:val="16"/>
        </w:rPr>
        <w:t>юпитер-У1</w:t>
      </w:r>
      <w:r>
        <w:rPr>
          <w:rFonts w:ascii="Times New Roman" w:hAnsi="Times New Roman"/>
          <w:color w:val="0070C0"/>
          <w:sz w:val="16"/>
          <w:szCs w:val="16"/>
        </w:rPr>
        <w:t>»</w:t>
      </w:r>
      <w:r w:rsidRPr="006B74EB">
        <w:rPr>
          <w:rFonts w:ascii="Times New Roman" w:hAnsi="Times New Roman"/>
          <w:color w:val="0070C0"/>
          <w:sz w:val="16"/>
          <w:szCs w:val="16"/>
        </w:rPr>
        <w:t xml:space="preserve"> на заводе </w:t>
      </w:r>
      <w:r>
        <w:rPr>
          <w:rFonts w:ascii="Times New Roman" w:hAnsi="Times New Roman"/>
          <w:color w:val="0070C0"/>
          <w:sz w:val="16"/>
          <w:szCs w:val="16"/>
        </w:rPr>
        <w:t>№</w:t>
      </w:r>
      <w:r w:rsidRPr="006B74EB">
        <w:rPr>
          <w:rFonts w:ascii="Times New Roman" w:hAnsi="Times New Roman"/>
          <w:color w:val="0070C0"/>
          <w:sz w:val="16"/>
          <w:szCs w:val="16"/>
        </w:rPr>
        <w:t xml:space="preserve"> 26;</w:t>
      </w:r>
    </w:p>
    <w:p w14:paraId="4EE655FE" w14:textId="618C9D80" w:rsidR="003A50FB" w:rsidRDefault="003A50FB" w:rsidP="003A50FB">
      <w:pPr>
        <w:spacing w:after="0" w:line="240" w:lineRule="auto"/>
        <w:jc w:val="both"/>
        <w:rPr>
          <w:rFonts w:ascii="Times New Roman" w:hAnsi="Times New Roman"/>
          <w:color w:val="0070C0"/>
          <w:sz w:val="16"/>
          <w:szCs w:val="16"/>
        </w:rPr>
      </w:pPr>
      <w:r>
        <w:rPr>
          <w:rFonts w:ascii="Times New Roman" w:hAnsi="Times New Roman"/>
          <w:color w:val="0070C0"/>
          <w:sz w:val="16"/>
          <w:szCs w:val="16"/>
        </w:rPr>
        <w:t>3</w:t>
      </w:r>
      <w:r w:rsidRPr="006B74EB">
        <w:rPr>
          <w:rFonts w:ascii="Times New Roman" w:hAnsi="Times New Roman"/>
          <w:color w:val="0070C0"/>
          <w:sz w:val="16"/>
          <w:szCs w:val="16"/>
        </w:rPr>
        <w:t xml:space="preserve">/ </w:t>
      </w:r>
      <w:proofErr w:type="spellStart"/>
      <w:r w:rsidRPr="006B74EB">
        <w:rPr>
          <w:rFonts w:ascii="Times New Roman" w:hAnsi="Times New Roman"/>
          <w:color w:val="0070C0"/>
          <w:sz w:val="16"/>
          <w:szCs w:val="16"/>
        </w:rPr>
        <w:t>при</w:t>
      </w:r>
      <w:r>
        <w:rPr>
          <w:rFonts w:ascii="Times New Roman" w:hAnsi="Times New Roman"/>
          <w:color w:val="0070C0"/>
          <w:sz w:val="16"/>
          <w:szCs w:val="16"/>
        </w:rPr>
        <w:t>знатьн</w:t>
      </w:r>
      <w:r w:rsidRPr="006B74EB">
        <w:rPr>
          <w:rFonts w:ascii="Times New Roman" w:hAnsi="Times New Roman"/>
          <w:color w:val="0070C0"/>
          <w:sz w:val="16"/>
          <w:szCs w:val="16"/>
        </w:rPr>
        <w:t>еобход</w:t>
      </w:r>
      <w:r>
        <w:rPr>
          <w:rFonts w:ascii="Times New Roman" w:hAnsi="Times New Roman"/>
          <w:color w:val="0070C0"/>
          <w:sz w:val="16"/>
          <w:szCs w:val="16"/>
        </w:rPr>
        <w:t>имым</w:t>
      </w:r>
      <w:proofErr w:type="spellEnd"/>
      <w:r w:rsidRPr="006B74EB">
        <w:rPr>
          <w:rFonts w:ascii="Times New Roman" w:hAnsi="Times New Roman"/>
          <w:color w:val="0070C0"/>
          <w:sz w:val="16"/>
          <w:szCs w:val="16"/>
        </w:rPr>
        <w:t xml:space="preserve"> срочный ввоз из-за</w:t>
      </w:r>
      <w:r>
        <w:rPr>
          <w:rFonts w:ascii="Times New Roman" w:hAnsi="Times New Roman"/>
          <w:color w:val="0070C0"/>
          <w:sz w:val="16"/>
          <w:szCs w:val="16"/>
        </w:rPr>
        <w:t xml:space="preserve"> границы</w:t>
      </w:r>
      <w:r w:rsidRPr="006B74EB">
        <w:rPr>
          <w:rFonts w:ascii="Times New Roman" w:hAnsi="Times New Roman"/>
          <w:color w:val="0070C0"/>
          <w:sz w:val="16"/>
          <w:szCs w:val="16"/>
        </w:rPr>
        <w:t xml:space="preserve"> коленчатых валов к </w:t>
      </w:r>
      <w:r>
        <w:rPr>
          <w:rFonts w:ascii="Times New Roman" w:hAnsi="Times New Roman"/>
          <w:color w:val="0070C0"/>
          <w:sz w:val="16"/>
          <w:szCs w:val="16"/>
        </w:rPr>
        <w:t>мотору</w:t>
      </w:r>
      <w:r w:rsidRPr="006B74EB">
        <w:rPr>
          <w:rFonts w:ascii="Times New Roman" w:hAnsi="Times New Roman"/>
          <w:color w:val="0070C0"/>
          <w:sz w:val="16"/>
          <w:szCs w:val="16"/>
        </w:rPr>
        <w:t xml:space="preserve"> БМВ-У1 своей постройки в количестве,</w:t>
      </w:r>
      <w:r>
        <w:rPr>
          <w:rFonts w:ascii="Times New Roman" w:hAnsi="Times New Roman"/>
          <w:color w:val="0070C0"/>
          <w:sz w:val="16"/>
          <w:szCs w:val="16"/>
        </w:rPr>
        <w:t xml:space="preserve"> </w:t>
      </w:r>
      <w:r w:rsidRPr="006B74EB">
        <w:rPr>
          <w:rFonts w:ascii="Times New Roman" w:hAnsi="Times New Roman"/>
          <w:color w:val="0070C0"/>
          <w:sz w:val="16"/>
          <w:szCs w:val="16"/>
        </w:rPr>
        <w:t>обеспечивающ</w:t>
      </w:r>
      <w:r>
        <w:rPr>
          <w:rFonts w:ascii="Times New Roman" w:hAnsi="Times New Roman"/>
          <w:color w:val="0070C0"/>
          <w:sz w:val="16"/>
          <w:szCs w:val="16"/>
        </w:rPr>
        <w:t>и</w:t>
      </w:r>
      <w:r w:rsidRPr="006B74EB">
        <w:rPr>
          <w:rFonts w:ascii="Times New Roman" w:hAnsi="Times New Roman"/>
          <w:color w:val="0070C0"/>
          <w:sz w:val="16"/>
          <w:szCs w:val="16"/>
        </w:rPr>
        <w:t>м необхо</w:t>
      </w:r>
      <w:r>
        <w:rPr>
          <w:rFonts w:ascii="Times New Roman" w:hAnsi="Times New Roman"/>
          <w:color w:val="0070C0"/>
          <w:sz w:val="16"/>
          <w:szCs w:val="16"/>
        </w:rPr>
        <w:t>димую</w:t>
      </w:r>
      <w:r w:rsidRPr="006B74EB">
        <w:rPr>
          <w:rFonts w:ascii="Times New Roman" w:hAnsi="Times New Roman"/>
          <w:color w:val="0070C0"/>
          <w:sz w:val="16"/>
          <w:szCs w:val="16"/>
        </w:rPr>
        <w:t xml:space="preserve"> потребность выпуска моторов по 30-31 г</w:t>
      </w:r>
      <w:r>
        <w:rPr>
          <w:rFonts w:ascii="Times New Roman" w:hAnsi="Times New Roman"/>
          <w:color w:val="0070C0"/>
          <w:sz w:val="16"/>
          <w:szCs w:val="16"/>
        </w:rPr>
        <w:t xml:space="preserve">г., а </w:t>
      </w:r>
      <w:r w:rsidRPr="006B74EB">
        <w:rPr>
          <w:rFonts w:ascii="Times New Roman" w:hAnsi="Times New Roman"/>
          <w:color w:val="0070C0"/>
          <w:sz w:val="16"/>
          <w:szCs w:val="16"/>
        </w:rPr>
        <w:t>также фор</w:t>
      </w:r>
      <w:r>
        <w:rPr>
          <w:rFonts w:ascii="Times New Roman" w:hAnsi="Times New Roman"/>
          <w:color w:val="0070C0"/>
          <w:sz w:val="16"/>
          <w:szCs w:val="16"/>
        </w:rPr>
        <w:t>си</w:t>
      </w:r>
      <w:r w:rsidRPr="006B74EB">
        <w:rPr>
          <w:rFonts w:ascii="Times New Roman" w:hAnsi="Times New Roman"/>
          <w:color w:val="0070C0"/>
          <w:sz w:val="16"/>
          <w:szCs w:val="16"/>
        </w:rPr>
        <w:t>ро</w:t>
      </w:r>
      <w:r>
        <w:rPr>
          <w:rFonts w:ascii="Times New Roman" w:hAnsi="Times New Roman"/>
          <w:color w:val="0070C0"/>
          <w:sz w:val="16"/>
          <w:szCs w:val="16"/>
        </w:rPr>
        <w:t xml:space="preserve">вать </w:t>
      </w:r>
      <w:r w:rsidRPr="006B74EB">
        <w:rPr>
          <w:rFonts w:ascii="Times New Roman" w:hAnsi="Times New Roman"/>
          <w:color w:val="0070C0"/>
          <w:sz w:val="16"/>
          <w:szCs w:val="16"/>
        </w:rPr>
        <w:t xml:space="preserve">работу по подготовке валов на заводе № 26 </w:t>
      </w:r>
      <w:r>
        <w:rPr>
          <w:rFonts w:ascii="Times New Roman" w:hAnsi="Times New Roman"/>
          <w:color w:val="0070C0"/>
          <w:sz w:val="16"/>
          <w:szCs w:val="16"/>
        </w:rPr>
        <w:t>с</w:t>
      </w:r>
      <w:r w:rsidRPr="006B74EB">
        <w:rPr>
          <w:rFonts w:ascii="Times New Roman" w:hAnsi="Times New Roman"/>
          <w:color w:val="0070C0"/>
          <w:sz w:val="16"/>
          <w:szCs w:val="16"/>
        </w:rPr>
        <w:t xml:space="preserve"> использованием </w:t>
      </w:r>
      <w:r>
        <w:rPr>
          <w:rFonts w:ascii="Times New Roman" w:hAnsi="Times New Roman"/>
          <w:color w:val="0070C0"/>
          <w:sz w:val="16"/>
          <w:szCs w:val="16"/>
        </w:rPr>
        <w:t>опыта и</w:t>
      </w:r>
      <w:r w:rsidRPr="006B74EB">
        <w:rPr>
          <w:rFonts w:ascii="Times New Roman" w:hAnsi="Times New Roman"/>
          <w:color w:val="0070C0"/>
          <w:sz w:val="16"/>
          <w:szCs w:val="16"/>
        </w:rPr>
        <w:t xml:space="preserve"> технической помощи Круппа;</w:t>
      </w:r>
    </w:p>
    <w:p w14:paraId="757DC33E" w14:textId="77777777" w:rsidR="003A50FB" w:rsidRPr="006B74EB" w:rsidRDefault="003A50FB" w:rsidP="003A50FB">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 xml:space="preserve">4/ ввезти </w:t>
      </w:r>
      <w:r>
        <w:rPr>
          <w:rFonts w:ascii="Times New Roman" w:hAnsi="Times New Roman"/>
          <w:color w:val="0070C0"/>
          <w:sz w:val="16"/>
          <w:szCs w:val="16"/>
        </w:rPr>
        <w:t>и</w:t>
      </w:r>
      <w:r w:rsidRPr="006B74EB">
        <w:rPr>
          <w:rFonts w:ascii="Times New Roman" w:hAnsi="Times New Roman"/>
          <w:color w:val="0070C0"/>
          <w:sz w:val="16"/>
          <w:szCs w:val="16"/>
        </w:rPr>
        <w:t>з-за границы пр</w:t>
      </w:r>
      <w:r>
        <w:rPr>
          <w:rFonts w:ascii="Times New Roman" w:hAnsi="Times New Roman"/>
          <w:color w:val="0070C0"/>
          <w:sz w:val="16"/>
          <w:szCs w:val="16"/>
        </w:rPr>
        <w:t>и</w:t>
      </w:r>
      <w:r w:rsidRPr="006B74EB">
        <w:rPr>
          <w:rFonts w:ascii="Times New Roman" w:hAnsi="Times New Roman"/>
          <w:color w:val="0070C0"/>
          <w:sz w:val="16"/>
          <w:szCs w:val="16"/>
        </w:rPr>
        <w:t>бо</w:t>
      </w:r>
      <w:r>
        <w:rPr>
          <w:rFonts w:ascii="Times New Roman" w:hAnsi="Times New Roman"/>
          <w:color w:val="0070C0"/>
          <w:sz w:val="16"/>
          <w:szCs w:val="16"/>
        </w:rPr>
        <w:t>ры з</w:t>
      </w:r>
      <w:r w:rsidRPr="006B74EB">
        <w:rPr>
          <w:rFonts w:ascii="Times New Roman" w:hAnsi="Times New Roman"/>
          <w:color w:val="0070C0"/>
          <w:sz w:val="16"/>
          <w:szCs w:val="16"/>
        </w:rPr>
        <w:t>а</w:t>
      </w:r>
      <w:r>
        <w:rPr>
          <w:rFonts w:ascii="Times New Roman" w:hAnsi="Times New Roman"/>
          <w:color w:val="0070C0"/>
          <w:sz w:val="16"/>
          <w:szCs w:val="16"/>
        </w:rPr>
        <w:t>жи</w:t>
      </w:r>
      <w:r w:rsidRPr="006B74EB">
        <w:rPr>
          <w:rFonts w:ascii="Times New Roman" w:hAnsi="Times New Roman"/>
          <w:color w:val="0070C0"/>
          <w:sz w:val="16"/>
          <w:szCs w:val="16"/>
        </w:rPr>
        <w:t>гания для устаревающего мотора М-5"</w:t>
      </w:r>
    </w:p>
    <w:p w14:paraId="74B816C9" w14:textId="77777777" w:rsidR="003A50FB" w:rsidRDefault="003A50FB" w:rsidP="003A50FB">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/ЦГ</w:t>
      </w:r>
      <w:r>
        <w:rPr>
          <w:rFonts w:ascii="Times New Roman" w:hAnsi="Times New Roman"/>
          <w:color w:val="0070C0"/>
          <w:sz w:val="16"/>
          <w:szCs w:val="16"/>
        </w:rPr>
        <w:t>АСА</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ф</w:t>
      </w:r>
      <w:r>
        <w:rPr>
          <w:rFonts w:ascii="Times New Roman" w:hAnsi="Times New Roman"/>
          <w:color w:val="0070C0"/>
          <w:sz w:val="16"/>
          <w:szCs w:val="16"/>
        </w:rPr>
        <w:t xml:space="preserve">. </w:t>
      </w:r>
      <w:r w:rsidRPr="006B74EB">
        <w:rPr>
          <w:rFonts w:ascii="Times New Roman" w:hAnsi="Times New Roman"/>
          <w:color w:val="0070C0"/>
          <w:sz w:val="16"/>
          <w:szCs w:val="16"/>
        </w:rPr>
        <w:t>4,</w:t>
      </w:r>
      <w:r>
        <w:rPr>
          <w:rFonts w:ascii="Times New Roman" w:hAnsi="Times New Roman"/>
          <w:color w:val="0070C0"/>
          <w:sz w:val="16"/>
          <w:szCs w:val="16"/>
        </w:rPr>
        <w:t xml:space="preserve"> оп</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1,</w:t>
      </w:r>
      <w:r>
        <w:rPr>
          <w:rFonts w:ascii="Times New Roman" w:hAnsi="Times New Roman"/>
          <w:color w:val="0070C0"/>
          <w:sz w:val="16"/>
          <w:szCs w:val="16"/>
        </w:rPr>
        <w:t xml:space="preserve"> д</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941,</w:t>
      </w:r>
      <w:r>
        <w:rPr>
          <w:rFonts w:ascii="Times New Roman" w:hAnsi="Times New Roman"/>
          <w:color w:val="0070C0"/>
          <w:sz w:val="16"/>
          <w:szCs w:val="16"/>
        </w:rPr>
        <w:t xml:space="preserve"> л</w:t>
      </w:r>
      <w:r w:rsidRPr="006B74EB">
        <w:rPr>
          <w:rFonts w:ascii="Times New Roman" w:hAnsi="Times New Roman"/>
          <w:color w:val="0070C0"/>
          <w:sz w:val="16"/>
          <w:szCs w:val="16"/>
        </w:rPr>
        <w:t>.</w:t>
      </w:r>
      <w:r>
        <w:rPr>
          <w:rFonts w:ascii="Times New Roman" w:hAnsi="Times New Roman"/>
          <w:color w:val="0070C0"/>
          <w:sz w:val="16"/>
          <w:szCs w:val="16"/>
        </w:rPr>
        <w:t xml:space="preserve"> </w:t>
      </w:r>
      <w:r w:rsidRPr="006B74EB">
        <w:rPr>
          <w:rFonts w:ascii="Times New Roman" w:hAnsi="Times New Roman"/>
          <w:color w:val="0070C0"/>
          <w:sz w:val="16"/>
          <w:szCs w:val="16"/>
        </w:rPr>
        <w:t>72/</w:t>
      </w:r>
      <w:r>
        <w:rPr>
          <w:rFonts w:ascii="Times New Roman" w:hAnsi="Times New Roman"/>
          <w:color w:val="0070C0"/>
          <w:sz w:val="16"/>
          <w:szCs w:val="16"/>
        </w:rPr>
        <w:t xml:space="preserve"> (23370).</w:t>
      </w:r>
    </w:p>
    <w:p w14:paraId="554F0133" w14:textId="77777777" w:rsidR="003A50FB" w:rsidRPr="006B74EB" w:rsidRDefault="003A50FB" w:rsidP="003A50FB">
      <w:pPr>
        <w:spacing w:after="0" w:line="240" w:lineRule="auto"/>
        <w:jc w:val="both"/>
        <w:rPr>
          <w:rFonts w:ascii="Times New Roman" w:hAnsi="Times New Roman"/>
          <w:color w:val="0070C0"/>
          <w:sz w:val="16"/>
          <w:szCs w:val="16"/>
        </w:rPr>
      </w:pPr>
    </w:p>
    <w:p w14:paraId="4E82DEF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DAFB02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80476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ноября 1929 года были изданы два приказа по ВСНХ СССР за подписью его председателя Валериана Владимировича Куйбышева о максимальном содействии </w:t>
      </w:r>
      <w:proofErr w:type="spellStart"/>
      <w:r w:rsidRPr="00A259BD">
        <w:rPr>
          <w:rFonts w:ascii="Times New Roman" w:hAnsi="Times New Roman"/>
          <w:color w:val="000000" w:themeColor="text1"/>
          <w:sz w:val="16"/>
          <w:szCs w:val="16"/>
        </w:rPr>
        <w:t>Челябтракторострою</w:t>
      </w:r>
      <w:proofErr w:type="spellEnd"/>
      <w:r w:rsidRPr="00A259BD">
        <w:rPr>
          <w:rFonts w:ascii="Times New Roman" w:hAnsi="Times New Roman"/>
          <w:color w:val="000000" w:themeColor="text1"/>
          <w:sz w:val="16"/>
          <w:szCs w:val="16"/>
        </w:rPr>
        <w:t xml:space="preserve">. Мощность завода составляла 40 тысяч тракторов в год. Гигантский завод приехали строить многие десятки тысяч человек. Вместе с быстро растущим персоналом будущего завода они составляли около 60 тысяч человек, что равнялось численности населения Челябинска в 1928-м. ЧТЗ и его рабочие поселки заняли большую территорию к востоку от Челябинска, на которой стала складываться своя система торговли, общественного питания, здравоохранения, бытового обслуживания, учреждений культуры. </w:t>
      </w:r>
      <w:proofErr w:type="spellStart"/>
      <w:r w:rsidRPr="00A259BD">
        <w:rPr>
          <w:rFonts w:ascii="Times New Roman" w:hAnsi="Times New Roman"/>
          <w:color w:val="000000" w:themeColor="text1"/>
          <w:sz w:val="16"/>
          <w:szCs w:val="16"/>
        </w:rPr>
        <w:t>Тракторострой</w:t>
      </w:r>
      <w:proofErr w:type="spellEnd"/>
      <w:r w:rsidRPr="00A259BD">
        <w:rPr>
          <w:rFonts w:ascii="Times New Roman" w:hAnsi="Times New Roman"/>
          <w:color w:val="000000" w:themeColor="text1"/>
          <w:sz w:val="16"/>
          <w:szCs w:val="16"/>
        </w:rPr>
        <w:t xml:space="preserve"> стал организующим центром всей новой формирующейся части Челябинска (11556).</w:t>
      </w:r>
    </w:p>
    <w:p w14:paraId="4E495D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F83C13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ноября 1929 г. был подготовлен АКТ ИСПЫТАНИЙ ТАНКА МС-1</w:t>
      </w:r>
    </w:p>
    <w:p w14:paraId="2C995B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основании предписания зам. председателя РВС СССР от 24 ноября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за № 906/с, образован</w:t>
      </w:r>
      <w:r w:rsidRPr="00A259BD">
        <w:rPr>
          <w:rFonts w:ascii="Times New Roman" w:hAnsi="Times New Roman"/>
          <w:color w:val="000000" w:themeColor="text1"/>
          <w:sz w:val="16"/>
          <w:szCs w:val="16"/>
        </w:rPr>
        <w:softHyphen/>
        <w:t>ная комиссия под моим председательством в составе членов: пом. начальника Управления по механи</w:t>
      </w:r>
      <w:r w:rsidRPr="00A259BD">
        <w:rPr>
          <w:rFonts w:ascii="Times New Roman" w:hAnsi="Times New Roman"/>
          <w:color w:val="000000" w:themeColor="text1"/>
          <w:sz w:val="16"/>
          <w:szCs w:val="16"/>
        </w:rPr>
        <w:softHyphen/>
        <w:t>зации и моторизации РККА - т. Калиновского, пом. начальника II управления Штаба РККА - т. Рыба</w:t>
      </w:r>
      <w:r w:rsidRPr="00A259BD">
        <w:rPr>
          <w:rFonts w:ascii="Times New Roman" w:hAnsi="Times New Roman"/>
          <w:color w:val="000000" w:themeColor="text1"/>
          <w:sz w:val="16"/>
          <w:szCs w:val="16"/>
        </w:rPr>
        <w:softHyphen/>
        <w:t>кова, постоянного члена Научно-технического комитета АУ - т. Цветковского, пом. начальника 4 от</w:t>
      </w:r>
      <w:r w:rsidRPr="00A259BD">
        <w:rPr>
          <w:rFonts w:ascii="Times New Roman" w:hAnsi="Times New Roman"/>
          <w:color w:val="000000" w:themeColor="text1"/>
          <w:sz w:val="16"/>
          <w:szCs w:val="16"/>
        </w:rPr>
        <w:softHyphen/>
        <w:t xml:space="preserve">дела II управления Штаба РККА - т. Маурер, пом. начальника 1 отдела ВНИК - т. </w:t>
      </w:r>
      <w:proofErr w:type="spellStart"/>
      <w:r w:rsidRPr="00A259BD">
        <w:rPr>
          <w:rFonts w:ascii="Times New Roman" w:hAnsi="Times New Roman"/>
          <w:color w:val="000000" w:themeColor="text1"/>
          <w:sz w:val="16"/>
          <w:szCs w:val="16"/>
        </w:rPr>
        <w:t>Аловертова</w:t>
      </w:r>
      <w:proofErr w:type="spellEnd"/>
      <w:r w:rsidRPr="00A259BD">
        <w:rPr>
          <w:rFonts w:ascii="Times New Roman" w:hAnsi="Times New Roman"/>
          <w:color w:val="000000" w:themeColor="text1"/>
          <w:sz w:val="16"/>
          <w:szCs w:val="16"/>
        </w:rPr>
        <w:t xml:space="preserve">, начальника конструкторского бюро ОАТ - т. </w:t>
      </w:r>
      <w:proofErr w:type="spellStart"/>
      <w:r w:rsidRPr="00A259BD">
        <w:rPr>
          <w:rFonts w:ascii="Times New Roman" w:hAnsi="Times New Roman"/>
          <w:color w:val="000000" w:themeColor="text1"/>
          <w:sz w:val="16"/>
          <w:szCs w:val="16"/>
        </w:rPr>
        <w:t>Шукалова</w:t>
      </w:r>
      <w:proofErr w:type="spellEnd"/>
      <w:r w:rsidRPr="00A259BD">
        <w:rPr>
          <w:rFonts w:ascii="Times New Roman" w:hAnsi="Times New Roman"/>
          <w:color w:val="000000" w:themeColor="text1"/>
          <w:sz w:val="16"/>
          <w:szCs w:val="16"/>
        </w:rPr>
        <w:t xml:space="preserve">, ст. инженера ГВПУ - т. </w:t>
      </w:r>
      <w:proofErr w:type="spellStart"/>
      <w:r w:rsidRPr="00A259BD">
        <w:rPr>
          <w:rFonts w:ascii="Times New Roman" w:hAnsi="Times New Roman"/>
          <w:color w:val="000000" w:themeColor="text1"/>
          <w:sz w:val="16"/>
          <w:szCs w:val="16"/>
        </w:rPr>
        <w:t>Викмана</w:t>
      </w:r>
      <w:proofErr w:type="spellEnd"/>
      <w:r w:rsidRPr="00A259BD">
        <w:rPr>
          <w:rFonts w:ascii="Times New Roman" w:hAnsi="Times New Roman"/>
          <w:color w:val="000000" w:themeColor="text1"/>
          <w:sz w:val="16"/>
          <w:szCs w:val="16"/>
        </w:rPr>
        <w:t>, заведующего испытательной станцией МС-1 на заводе "Большевик" - т. Судоплатова, начальника военно-инженер</w:t>
      </w:r>
      <w:r w:rsidRPr="00A259BD">
        <w:rPr>
          <w:rFonts w:ascii="Times New Roman" w:hAnsi="Times New Roman"/>
          <w:color w:val="000000" w:themeColor="text1"/>
          <w:sz w:val="16"/>
          <w:szCs w:val="16"/>
        </w:rPr>
        <w:softHyphen/>
        <w:t>ного полигона ВТУ — т. Шатагина и пом. командира по технической части 3 танкового полка - т. Мо</w:t>
      </w:r>
      <w:r w:rsidRPr="00A259BD">
        <w:rPr>
          <w:rFonts w:ascii="Times New Roman" w:hAnsi="Times New Roman"/>
          <w:color w:val="000000" w:themeColor="text1"/>
          <w:sz w:val="16"/>
          <w:szCs w:val="16"/>
        </w:rPr>
        <w:softHyphen/>
        <w:t xml:space="preserve">розова - произвела испытание танка МС-1 в период с 27 ноября по 4 декабря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 по программе:</w:t>
      </w:r>
    </w:p>
    <w:p w14:paraId="125B71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целью установления средней скорости и выносливости танка.</w:t>
      </w:r>
    </w:p>
    <w:p w14:paraId="59152D7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пробег по шоссе на 10 км.</w:t>
      </w:r>
    </w:p>
    <w:p w14:paraId="1C7F3B4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пробег по проселку на 87 км.</w:t>
      </w:r>
    </w:p>
    <w:p w14:paraId="5811D9F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пробег по грунтовым и шоссейным дорогам ночью на 56 км.</w:t>
      </w:r>
    </w:p>
    <w:p w14:paraId="3FE414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преодоление искусственных и естественных препятствий.</w:t>
      </w:r>
    </w:p>
    <w:p w14:paraId="2BFBF34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пробег по пересеченной местности на 13 км с закрытыми люками, е) пробег на 1 км для определения наибольшей скорости движения, ж) стрельба из пулемета и орудия в движении и стоя.</w:t>
      </w:r>
    </w:p>
    <w:p w14:paraId="7BB168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(Подробное описание каждой работы см. приложение № 1).'</w:t>
      </w:r>
    </w:p>
    <w:p w14:paraId="5FFA32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основании указанных испытаний танка МС-1, Комиссия единогласно устанавливает:</w:t>
      </w:r>
    </w:p>
    <w:p w14:paraId="1C5FEB6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 В части технической</w:t>
      </w:r>
    </w:p>
    <w:p w14:paraId="26D79D5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мотору: Недостаточную надежность работы мотора, требующего слишком частого его осмо</w:t>
      </w:r>
      <w:r w:rsidRPr="00A259BD">
        <w:rPr>
          <w:rFonts w:ascii="Times New Roman" w:hAnsi="Times New Roman"/>
          <w:color w:val="000000" w:themeColor="text1"/>
          <w:sz w:val="16"/>
          <w:szCs w:val="16"/>
        </w:rPr>
        <w:softHyphen/>
        <w:t xml:space="preserve">тра и ремонта, как следствие постоянного расстройства его отдельных деталей и отказа в работе </w:t>
      </w:r>
      <w:proofErr w:type="spellStart"/>
      <w:r w:rsidRPr="00A259BD">
        <w:rPr>
          <w:rFonts w:ascii="Times New Roman" w:hAnsi="Times New Roman"/>
          <w:color w:val="000000" w:themeColor="text1"/>
          <w:sz w:val="16"/>
          <w:szCs w:val="16"/>
        </w:rPr>
        <w:t>мас-лопроводной</w:t>
      </w:r>
      <w:proofErr w:type="spellEnd"/>
      <w:r w:rsidRPr="00A259BD">
        <w:rPr>
          <w:rFonts w:ascii="Times New Roman" w:hAnsi="Times New Roman"/>
          <w:color w:val="000000" w:themeColor="text1"/>
          <w:sz w:val="16"/>
          <w:szCs w:val="16"/>
        </w:rPr>
        <w:t xml:space="preserve"> сети.</w:t>
      </w:r>
    </w:p>
    <w:p w14:paraId="38BC36A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Наиболее отрицательным образом влияющим на надежность работы мотора являются в сущест</w:t>
      </w:r>
      <w:r w:rsidRPr="00A259BD">
        <w:rPr>
          <w:rFonts w:ascii="Times New Roman" w:hAnsi="Times New Roman"/>
          <w:color w:val="000000" w:themeColor="text1"/>
          <w:sz w:val="16"/>
          <w:szCs w:val="16"/>
        </w:rPr>
        <w:softHyphen/>
        <w:t>вующем типе:</w:t>
      </w:r>
    </w:p>
    <w:p w14:paraId="2788630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несовершенство конструкции верхнего маслопровода — (пучка), часто ломающегося от тря</w:t>
      </w:r>
      <w:r w:rsidRPr="00A259BD">
        <w:rPr>
          <w:rFonts w:ascii="Times New Roman" w:hAnsi="Times New Roman"/>
          <w:color w:val="000000" w:themeColor="text1"/>
          <w:sz w:val="16"/>
          <w:szCs w:val="16"/>
        </w:rPr>
        <w:softHyphen/>
        <w:t>ски в местах соединения;</w:t>
      </w:r>
    </w:p>
    <w:p w14:paraId="364CDC2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пропуск (выбивание) масла из различных соединений - мотора, приводящий в особенности в условиях напряженной боевой обстановки при ослаблении внимания у водителя к наблюдению за давлением </w:t>
      </w:r>
      <w:proofErr w:type="spellStart"/>
      <w:r w:rsidRPr="00A259BD">
        <w:rPr>
          <w:rFonts w:ascii="Times New Roman" w:hAnsi="Times New Roman"/>
          <w:color w:val="000000" w:themeColor="text1"/>
          <w:sz w:val="16"/>
          <w:szCs w:val="16"/>
        </w:rPr>
        <w:t>маслопроводной</w:t>
      </w:r>
      <w:proofErr w:type="spellEnd"/>
      <w:r w:rsidRPr="00A259BD">
        <w:rPr>
          <w:rFonts w:ascii="Times New Roman" w:hAnsi="Times New Roman"/>
          <w:color w:val="000000" w:themeColor="text1"/>
          <w:sz w:val="16"/>
          <w:szCs w:val="16"/>
        </w:rPr>
        <w:t xml:space="preserve"> сети, - к расплавлению шатунных подшипников, т.е. выводу танка из строя.</w:t>
      </w:r>
    </w:p>
    <w:p w14:paraId="3DA612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трудный доступ к мотору для устранения даже самых незначительных неисправностей, благо</w:t>
      </w:r>
      <w:r w:rsidRPr="00A259BD">
        <w:rPr>
          <w:rFonts w:ascii="Times New Roman" w:hAnsi="Times New Roman"/>
          <w:color w:val="000000" w:themeColor="text1"/>
          <w:sz w:val="16"/>
          <w:szCs w:val="16"/>
        </w:rPr>
        <w:softHyphen/>
        <w:t xml:space="preserve">даря необходимости </w:t>
      </w:r>
      <w:proofErr w:type="spellStart"/>
      <w:r w:rsidRPr="00A259BD">
        <w:rPr>
          <w:rFonts w:ascii="Times New Roman" w:hAnsi="Times New Roman"/>
          <w:color w:val="000000" w:themeColor="text1"/>
          <w:sz w:val="16"/>
          <w:szCs w:val="16"/>
        </w:rPr>
        <w:t>откидки</w:t>
      </w:r>
      <w:proofErr w:type="spellEnd"/>
      <w:r w:rsidRPr="00A259BD">
        <w:rPr>
          <w:rFonts w:ascii="Times New Roman" w:hAnsi="Times New Roman"/>
          <w:color w:val="000000" w:themeColor="text1"/>
          <w:sz w:val="16"/>
          <w:szCs w:val="16"/>
        </w:rPr>
        <w:t xml:space="preserve"> задней стенки брони, требующей более 2 часов работы команды танка, тогда как само исправление заканчивается в 3 — 10 минут (замена пучка свечи, регулировка клапа</w:t>
      </w:r>
      <w:r w:rsidRPr="00A259BD">
        <w:rPr>
          <w:rFonts w:ascii="Times New Roman" w:hAnsi="Times New Roman"/>
          <w:color w:val="000000" w:themeColor="text1"/>
          <w:sz w:val="16"/>
          <w:szCs w:val="16"/>
        </w:rPr>
        <w:softHyphen/>
        <w:t>нов и т.п.);</w:t>
      </w:r>
    </w:p>
    <w:p w14:paraId="272315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недостаточная мощность мотора, обуславливающая малую эффективность работы танка в бо</w:t>
      </w:r>
      <w:r w:rsidRPr="00A259BD">
        <w:rPr>
          <w:rFonts w:ascii="Times New Roman" w:hAnsi="Times New Roman"/>
          <w:color w:val="000000" w:themeColor="text1"/>
          <w:sz w:val="16"/>
          <w:szCs w:val="16"/>
        </w:rPr>
        <w:softHyphen/>
        <w:t>евой обстановке - скорость движения на поле боя, поворотливость и т.п. (подробные дефекты см. приложение №12).</w:t>
      </w:r>
    </w:p>
    <w:p w14:paraId="07EC4F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w:t>
      </w:r>
    </w:p>
    <w:p w14:paraId="0FC2D84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немедленно устранить дефект с верхним маслопроводом;</w:t>
      </w:r>
    </w:p>
    <w:p w14:paraId="40F07AA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произвести перестановку манометра из бокового (в отношении водителя) положения в переднее;</w:t>
      </w:r>
    </w:p>
    <w:p w14:paraId="649D53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добиться вполне надежной работы мотора в течение 60 - 70 часов непрерывной работы, без не</w:t>
      </w:r>
      <w:r w:rsidRPr="00A259BD">
        <w:rPr>
          <w:rFonts w:ascii="Times New Roman" w:hAnsi="Times New Roman"/>
          <w:color w:val="000000" w:themeColor="text1"/>
          <w:sz w:val="16"/>
          <w:szCs w:val="16"/>
        </w:rPr>
        <w:softHyphen/>
        <w:t>обходимости его осмотра;</w:t>
      </w:r>
    </w:p>
    <w:p w14:paraId="02AB370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обеспечить более легкий и быстрый доступ к мотору;</w:t>
      </w:r>
    </w:p>
    <w:p w14:paraId="7D69AFA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 поднять мощность мотора в максимально </w:t>
      </w:r>
      <w:proofErr w:type="spellStart"/>
      <w:r w:rsidRPr="00A259BD">
        <w:rPr>
          <w:rFonts w:ascii="Times New Roman" w:hAnsi="Times New Roman"/>
          <w:color w:val="000000" w:themeColor="text1"/>
          <w:sz w:val="16"/>
          <w:szCs w:val="16"/>
        </w:rPr>
        <w:t>в'озможной</w:t>
      </w:r>
      <w:proofErr w:type="spellEnd"/>
      <w:r w:rsidRPr="00A259BD">
        <w:rPr>
          <w:rFonts w:ascii="Times New Roman" w:hAnsi="Times New Roman"/>
          <w:color w:val="000000" w:themeColor="text1"/>
          <w:sz w:val="16"/>
          <w:szCs w:val="16"/>
        </w:rPr>
        <w:t xml:space="preserve"> степени в пределах тех же габаритов. 2. По движителю (ходовым частям): Недостаточную законченность конструкции движителя, (в • среднем живучесть движителя измеряется 1000 км пробегом), характеризующейся:</w:t>
      </w:r>
    </w:p>
    <w:p w14:paraId="5A854DE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ненадежной защитой ходовых частей от грязи, что приводит к быстрому износу малой веду</w:t>
      </w:r>
      <w:r w:rsidRPr="00A259BD">
        <w:rPr>
          <w:rFonts w:ascii="Times New Roman" w:hAnsi="Times New Roman"/>
          <w:color w:val="000000" w:themeColor="text1"/>
          <w:sz w:val="16"/>
          <w:szCs w:val="16"/>
        </w:rPr>
        <w:softHyphen/>
        <w:t>щей шестерни, осей ведущих колес, осей нижних катков и втулок верхних катков;</w:t>
      </w:r>
    </w:p>
    <w:p w14:paraId="470B51F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б) быстрым износом малой ведущей шестерни и зубцов венчика ведущего колеса;</w:t>
      </w:r>
    </w:p>
    <w:p w14:paraId="18554F6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малой обеспеченностью сцепления с почвой гусеницы старого типа;</w:t>
      </w:r>
    </w:p>
    <w:p w14:paraId="1BD3B2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быстрым износом шарниров траков и самих траков;</w:t>
      </w:r>
    </w:p>
    <w:p w14:paraId="2374C0E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частым соскакиванием на поворотах гусеницы; (Ведомость дефектов см. приложение №12) Необходимо:</w:t>
      </w:r>
    </w:p>
    <w:p w14:paraId="5119524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довести живучесть движителя до 3000 км пробега;</w:t>
      </w:r>
    </w:p>
    <w:p w14:paraId="5376715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устранить в ближайшее время быстрый износ малой ведущей шестерни, требующей для своей замены при износе наибольшего количества времени и сил по сравнению с прочими частя</w:t>
      </w:r>
      <w:r w:rsidRPr="00A259BD">
        <w:rPr>
          <w:rFonts w:ascii="Times New Roman" w:hAnsi="Times New Roman"/>
          <w:color w:val="000000" w:themeColor="text1"/>
          <w:sz w:val="16"/>
          <w:szCs w:val="16"/>
        </w:rPr>
        <w:softHyphen/>
        <w:t>ми движителя;</w:t>
      </w:r>
    </w:p>
    <w:p w14:paraId="01E7FB7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переконструировать движитель, добившись лучшей защиты ходовых частей от грязи;</w:t>
      </w:r>
    </w:p>
    <w:p w14:paraId="3BA7CA2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ускорить переход на новый тип гусеницы (“орлиный коготь”), произведя срочные дополни</w:t>
      </w:r>
      <w:r w:rsidRPr="00A259BD">
        <w:rPr>
          <w:rFonts w:ascii="Times New Roman" w:hAnsi="Times New Roman"/>
          <w:color w:val="000000" w:themeColor="text1"/>
          <w:sz w:val="16"/>
          <w:szCs w:val="16"/>
        </w:rPr>
        <w:softHyphen/>
        <w:t>тельные испытания в различных условиях погоды, грунта и рельефа.</w:t>
      </w:r>
    </w:p>
    <w:p w14:paraId="2F03B2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По коробке скоростей: Существенных дефектов не обнаружено, но в прошлом наблюдался быстрый износ шестерни 2-й и 3-й скоростей и частые поломки вилок, каретки 2-й и 3-й скоростей.</w:t>
      </w:r>
    </w:p>
    <w:p w14:paraId="3BEBA7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w:t>
      </w:r>
    </w:p>
    <w:p w14:paraId="5A85492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в целях повышения средней скорости движения танка, перейти на 4-х скоростную коробку передач, приняв меры к максимально возможному повышению скорости движения;</w:t>
      </w:r>
    </w:p>
    <w:p w14:paraId="4654B9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устранить ненормальный износ шестерен и поломку вилок в коробке скоростей (дефекты производства).</w:t>
      </w:r>
    </w:p>
    <w:p w14:paraId="3B5E78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По системе управления:</w:t>
      </w:r>
    </w:p>
    <w:p w14:paraId="3232C4F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малую обеспеченность поворотливости танка (как правило, последний поворачивается на ме</w:t>
      </w:r>
      <w:r w:rsidRPr="00A259BD">
        <w:rPr>
          <w:rFonts w:ascii="Times New Roman" w:hAnsi="Times New Roman"/>
          <w:color w:val="000000" w:themeColor="text1"/>
          <w:sz w:val="16"/>
          <w:szCs w:val="16"/>
        </w:rPr>
        <w:softHyphen/>
        <w:t>стности с приостановкой и переходом на 1-ю скорость);</w:t>
      </w:r>
    </w:p>
    <w:p w14:paraId="60BB9F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чрезмерный износ тормозных лент и их нагревание;</w:t>
      </w:r>
    </w:p>
    <w:p w14:paraId="18F08A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некоторую затрудненность переключения скоростей. Необходимо:</w:t>
      </w:r>
    </w:p>
    <w:p w14:paraId="5EEFA0E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добиться возможности маневрирования танком с поворотами любой кривизны и на любых скоростях;</w:t>
      </w:r>
    </w:p>
    <w:p w14:paraId="29FB94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в ближайшее время обеспечить плавность торможения, устранив ненормальный износ тор</w:t>
      </w:r>
      <w:r w:rsidRPr="00A259BD">
        <w:rPr>
          <w:rFonts w:ascii="Times New Roman" w:hAnsi="Times New Roman"/>
          <w:color w:val="000000" w:themeColor="text1"/>
          <w:sz w:val="16"/>
          <w:szCs w:val="16"/>
        </w:rPr>
        <w:softHyphen/>
        <w:t>мозных лент и их нагревание;</w:t>
      </w:r>
    </w:p>
    <w:p w14:paraId="337CFE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облегчить переключение скоростей;</w:t>
      </w:r>
    </w:p>
    <w:p w14:paraId="5D40C0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проработать вопрос о возможности поднятия над днищем танка всех тяг управления для обес</w:t>
      </w:r>
      <w:r w:rsidRPr="00A259BD">
        <w:rPr>
          <w:rFonts w:ascii="Times New Roman" w:hAnsi="Times New Roman"/>
          <w:color w:val="000000" w:themeColor="text1"/>
          <w:sz w:val="16"/>
          <w:szCs w:val="16"/>
        </w:rPr>
        <w:softHyphen/>
        <w:t>печения их работы при ударах брюхом танка о препятствия.</w:t>
      </w:r>
    </w:p>
    <w:p w14:paraId="1825C4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По корпусу оборудования танка: общая компоновка корпуса и его обтекаемость удовлетвори</w:t>
      </w:r>
      <w:r w:rsidRPr="00A259BD">
        <w:rPr>
          <w:rFonts w:ascii="Times New Roman" w:hAnsi="Times New Roman"/>
          <w:color w:val="000000" w:themeColor="text1"/>
          <w:sz w:val="16"/>
          <w:szCs w:val="16"/>
        </w:rPr>
        <w:softHyphen/>
        <w:t>тельны, но необходимо:</w:t>
      </w:r>
    </w:p>
    <w:p w14:paraId="7BFC69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проработать вопрос о повышении уровня водонепроницаемости танка (до щитка водителя);</w:t>
      </w:r>
    </w:p>
    <w:p w14:paraId="1D62A3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срочно изготовить различные образцы хвостов для проведения испытаний по определению </w:t>
      </w:r>
      <w:proofErr w:type="spellStart"/>
      <w:r w:rsidRPr="00A259BD">
        <w:rPr>
          <w:rFonts w:ascii="Times New Roman" w:hAnsi="Times New Roman"/>
          <w:color w:val="000000" w:themeColor="text1"/>
          <w:sz w:val="16"/>
          <w:szCs w:val="16"/>
        </w:rPr>
        <w:t>наивыгоднейшего</w:t>
      </w:r>
      <w:proofErr w:type="spellEnd"/>
      <w:r w:rsidRPr="00A259BD">
        <w:rPr>
          <w:rFonts w:ascii="Times New Roman" w:hAnsi="Times New Roman"/>
          <w:color w:val="000000" w:themeColor="text1"/>
          <w:sz w:val="16"/>
          <w:szCs w:val="16"/>
        </w:rPr>
        <w:t xml:space="preserve"> профиля хвоста;</w:t>
      </w:r>
    </w:p>
    <w:p w14:paraId="6C2063E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переставить фары и гудок в целях лучшей защиты их при преодолении танком естественных и искусственных препятствий;</w:t>
      </w:r>
    </w:p>
    <w:p w14:paraId="31A6142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упростить и улучшить крепление башни по-походному, устранив возможности ранения рук стрелка;</w:t>
      </w:r>
    </w:p>
    <w:p w14:paraId="4B5EDCE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улучшить освещение башни, уничтожив длинные путающиеся провода;</w:t>
      </w:r>
    </w:p>
    <w:p w14:paraId="114C61A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 срочно разработать более совершенный оптический прибор для </w:t>
      </w:r>
      <w:proofErr w:type="spellStart"/>
      <w:r w:rsidRPr="00A259BD">
        <w:rPr>
          <w:rFonts w:ascii="Times New Roman" w:hAnsi="Times New Roman"/>
          <w:color w:val="000000" w:themeColor="text1"/>
          <w:sz w:val="16"/>
          <w:szCs w:val="16"/>
        </w:rPr>
        <w:t>танководителя</w:t>
      </w:r>
      <w:proofErr w:type="spellEnd"/>
      <w:r w:rsidRPr="00A259BD">
        <w:rPr>
          <w:rFonts w:ascii="Times New Roman" w:hAnsi="Times New Roman"/>
          <w:color w:val="000000" w:themeColor="text1"/>
          <w:sz w:val="16"/>
          <w:szCs w:val="16"/>
        </w:rPr>
        <w:t>, позволяю</w:t>
      </w:r>
      <w:r w:rsidRPr="00A259BD">
        <w:rPr>
          <w:rFonts w:ascii="Times New Roman" w:hAnsi="Times New Roman"/>
          <w:color w:val="000000" w:themeColor="text1"/>
          <w:sz w:val="16"/>
          <w:szCs w:val="16"/>
        </w:rPr>
        <w:softHyphen/>
        <w:t xml:space="preserve">щий производить наблюдение за местностью при любом положении танка, устранив возможности ушибов для </w:t>
      </w:r>
      <w:proofErr w:type="spellStart"/>
      <w:r w:rsidRPr="00A259BD">
        <w:rPr>
          <w:rFonts w:ascii="Times New Roman" w:hAnsi="Times New Roman"/>
          <w:color w:val="000000" w:themeColor="text1"/>
          <w:sz w:val="16"/>
          <w:szCs w:val="16"/>
        </w:rPr>
        <w:t>танководителя</w:t>
      </w:r>
      <w:proofErr w:type="spellEnd"/>
      <w:r w:rsidRPr="00A259BD">
        <w:rPr>
          <w:rFonts w:ascii="Times New Roman" w:hAnsi="Times New Roman"/>
          <w:color w:val="000000" w:themeColor="text1"/>
          <w:sz w:val="16"/>
          <w:szCs w:val="16"/>
        </w:rPr>
        <w:t>;</w:t>
      </w:r>
    </w:p>
    <w:p w14:paraId="3A4A38A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ускорить радиофикацию танка;</w:t>
      </w:r>
    </w:p>
    <w:p w14:paraId="4C6D20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срочно разработать мягкое более удобное сидение для водителя.</w:t>
      </w:r>
    </w:p>
    <w:p w14:paraId="119273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 В части стрелковой</w:t>
      </w:r>
    </w:p>
    <w:p w14:paraId="3A7393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(Описание стрельб - приложение №16): в общем, танк удовлетворяет минимальным стрелковым требованиям, могущим быть предъявленными к такому типу, и обладает сильной раскачкой во вре</w:t>
      </w:r>
      <w:r w:rsidRPr="00A259BD">
        <w:rPr>
          <w:rFonts w:ascii="Times New Roman" w:hAnsi="Times New Roman"/>
          <w:color w:val="000000" w:themeColor="text1"/>
          <w:sz w:val="16"/>
          <w:szCs w:val="16"/>
        </w:rPr>
        <w:softHyphen/>
        <w:t>мя движения, что крайне затрудняет ведение огня на ходу, понижает процент поражаемости и тре</w:t>
      </w:r>
      <w:r w:rsidRPr="00A259BD">
        <w:rPr>
          <w:rFonts w:ascii="Times New Roman" w:hAnsi="Times New Roman"/>
          <w:color w:val="000000" w:themeColor="text1"/>
          <w:sz w:val="16"/>
          <w:szCs w:val="16"/>
        </w:rPr>
        <w:softHyphen/>
        <w:t>бует исключительно высокой выучки и постоянной тренировки стрелка. Стрельба из танка, с места дает удовлетворительные результаты на дистанции для пулемета до 600 метров и для пушки до 500 метров (по крупным целям до 800 метров). Стрельба на ходу требует дальнейшего систематического изучения опытным порядком в различных условиях погоды и местности, из дефектов наблюдается:</w:t>
      </w:r>
    </w:p>
    <w:p w14:paraId="7EFD6A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теснота в боевой башне, почему требуется сравнительно большое время, необходимое стрел</w:t>
      </w:r>
      <w:r w:rsidRPr="00A259BD">
        <w:rPr>
          <w:rFonts w:ascii="Times New Roman" w:hAnsi="Times New Roman"/>
          <w:color w:val="000000" w:themeColor="text1"/>
          <w:sz w:val="16"/>
          <w:szCs w:val="16"/>
        </w:rPr>
        <w:softHyphen/>
        <w:t>ку для подготовки оружия к бою;</w:t>
      </w:r>
    </w:p>
    <w:p w14:paraId="5AFB92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затрудненность и медленность перехода от одного оружия к другому (от пулемета к пушке и обратно);</w:t>
      </w:r>
    </w:p>
    <w:p w14:paraId="002032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неудовлетворительность существующих прицелов вследствие плохой видимости через них целей;</w:t>
      </w:r>
    </w:p>
    <w:p w14:paraId="6E33CBE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непрочность крепления пулеметных магазинов в гнездах танка и сложность работы с ними;</w:t>
      </w:r>
    </w:p>
    <w:p w14:paraId="5422989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непрочность крепления орудия по-походному;</w:t>
      </w:r>
    </w:p>
    <w:p w14:paraId="4E45A7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 ненадежность наблюдения за полем боя и вновь появляющимися целями при </w:t>
      </w:r>
      <w:proofErr w:type="spellStart"/>
      <w:r w:rsidRPr="00A259BD">
        <w:rPr>
          <w:rFonts w:ascii="Times New Roman" w:hAnsi="Times New Roman"/>
          <w:color w:val="000000" w:themeColor="text1"/>
          <w:sz w:val="16"/>
          <w:szCs w:val="16"/>
        </w:rPr>
        <w:t>разъединенно-сти</w:t>
      </w:r>
      <w:proofErr w:type="spellEnd"/>
      <w:r w:rsidRPr="00A259BD">
        <w:rPr>
          <w:rFonts w:ascii="Times New Roman" w:hAnsi="Times New Roman"/>
          <w:color w:val="000000" w:themeColor="text1"/>
          <w:sz w:val="16"/>
          <w:szCs w:val="16"/>
        </w:rPr>
        <w:t xml:space="preserve"> наблюдения - командирского и огневого;</w:t>
      </w:r>
    </w:p>
    <w:p w14:paraId="613FC17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затрудненность работы стрелка и водителя вследствие разброски стреляных гильз по полу (мешают перестановке рычагов управления и ногам стрелка). Необходимо:</w:t>
      </w:r>
    </w:p>
    <w:p w14:paraId="65ECDB1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 целью постоянной, одновременной и быстрой готовности оружия танка к стрельбе в бли</w:t>
      </w:r>
      <w:r w:rsidRPr="00A259BD">
        <w:rPr>
          <w:rFonts w:ascii="Times New Roman" w:hAnsi="Times New Roman"/>
          <w:color w:val="000000" w:themeColor="text1"/>
          <w:sz w:val="16"/>
          <w:szCs w:val="16"/>
        </w:rPr>
        <w:softHyphen/>
        <w:t>жайшем будущем разработать и осуществить постановку пулемета и пушки в одной общей установ</w:t>
      </w:r>
      <w:r w:rsidRPr="00A259BD">
        <w:rPr>
          <w:rFonts w:ascii="Times New Roman" w:hAnsi="Times New Roman"/>
          <w:color w:val="000000" w:themeColor="text1"/>
          <w:sz w:val="16"/>
          <w:szCs w:val="16"/>
        </w:rPr>
        <w:softHyphen/>
        <w:t>ке (спарить);</w:t>
      </w:r>
    </w:p>
    <w:p w14:paraId="4A9E40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иметь общий для пулемета и пушки оптический прицел, синхронно дающий необходимые для данной дистанции углы возвышения для пушки и пулемета;</w:t>
      </w:r>
    </w:p>
    <w:p w14:paraId="340ED0A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существующие прицелы орудия и пулемета заменить оптическими прицелами, имея целики прицельных приспособлений светящимися и вместо мушки у пушки щиток с двумя вертикальными и одним горизонтальным волосками;</w:t>
      </w:r>
    </w:p>
    <w:p w14:paraId="3766BBD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уничтожить магазинный ремень, как мешающий наводке пулемета и излишний для танкового оружия.</w:t>
      </w:r>
    </w:p>
    <w:p w14:paraId="7B4194B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улучшить крепление пулеметных магазинов в гнездах танка, установив более точные допуски в размерах гнезд, согласовав с допусками в размерах магазина;</w:t>
      </w:r>
    </w:p>
    <w:p w14:paraId="1DF2968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сделать приспособление для перевозки в танке принадлежности и запасных частей орудия и пулемёта, а равно гнезда для масленок со смазкой и керосином;</w:t>
      </w:r>
    </w:p>
    <w:p w14:paraId="7E86A5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упрочнить крепление орудия по-походному;</w:t>
      </w:r>
    </w:p>
    <w:p w14:paraId="0E84DFE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обеспечить более надежное наблюдение за полем боя непосредственно у орудия и пулемета;</w:t>
      </w:r>
    </w:p>
    <w:p w14:paraId="1A8F49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разработать приспособление для улавливания выбрасываемых из пушки и пулемета стреля</w:t>
      </w:r>
      <w:r w:rsidRPr="00A259BD">
        <w:rPr>
          <w:rFonts w:ascii="Times New Roman" w:hAnsi="Times New Roman"/>
          <w:color w:val="000000" w:themeColor="text1"/>
          <w:sz w:val="16"/>
          <w:szCs w:val="16"/>
        </w:rPr>
        <w:softHyphen/>
        <w:t>ных гильз;</w:t>
      </w:r>
    </w:p>
    <w:p w14:paraId="061150B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улучшить связь стрелка с </w:t>
      </w:r>
      <w:proofErr w:type="spellStart"/>
      <w:r w:rsidRPr="00A259BD">
        <w:rPr>
          <w:rFonts w:ascii="Times New Roman" w:hAnsi="Times New Roman"/>
          <w:color w:val="000000" w:themeColor="text1"/>
          <w:sz w:val="16"/>
          <w:szCs w:val="16"/>
        </w:rPr>
        <w:t>танководителем</w:t>
      </w:r>
      <w:proofErr w:type="spellEnd"/>
      <w:r w:rsidRPr="00A259BD">
        <w:rPr>
          <w:rFonts w:ascii="Times New Roman" w:hAnsi="Times New Roman"/>
          <w:color w:val="000000" w:themeColor="text1"/>
          <w:sz w:val="16"/>
          <w:szCs w:val="16"/>
        </w:rPr>
        <w:t xml:space="preserve"> во время боя;</w:t>
      </w:r>
    </w:p>
    <w:p w14:paraId="615172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л) ускорить установку на танке огнемета;</w:t>
      </w:r>
    </w:p>
    <w:p w14:paraId="0CB521D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 устранить в существующей системе пушки утечку масла из компрессора во время похода и стрельбы, улучшив сальник и сделав возможность доливки масла, не вынимая орудия из танка.</w:t>
      </w:r>
    </w:p>
    <w:p w14:paraId="1BDFE4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III. В части тактической</w:t>
      </w:r>
    </w:p>
    <w:p w14:paraId="776074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Максимальная скорость танка: на мерном километре без подъёмов танк показал прак</w:t>
      </w:r>
      <w:r w:rsidRPr="00A259BD">
        <w:rPr>
          <w:rFonts w:ascii="Times New Roman" w:hAnsi="Times New Roman"/>
          <w:color w:val="000000" w:themeColor="text1"/>
          <w:sz w:val="16"/>
          <w:szCs w:val="16"/>
        </w:rPr>
        <w:softHyphen/>
        <w:t>тическую наивысшую скорость 15.9 - 16 км/час, что нужно признать недостаточным. Необхо</w:t>
      </w:r>
      <w:r w:rsidRPr="00A259BD">
        <w:rPr>
          <w:rFonts w:ascii="Times New Roman" w:hAnsi="Times New Roman"/>
          <w:color w:val="000000" w:themeColor="text1"/>
          <w:sz w:val="16"/>
          <w:szCs w:val="16"/>
        </w:rPr>
        <w:softHyphen/>
        <w:t>димо при модернизации танка и в последующих типах требовать повышение скорости до 25-30 км/час.</w:t>
      </w:r>
    </w:p>
    <w:p w14:paraId="4A4F50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Пределы оперативного использования танка характеризуются следующим: (см. приложение 1 - 9)</w:t>
      </w:r>
    </w:p>
    <w:p w14:paraId="5FC124D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нормальный суточный переход в среднем: по шоссе — 90 - 110 км; по проселку — 60 - 80.</w:t>
      </w:r>
    </w:p>
    <w:p w14:paraId="0FAFA1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форсированный переход при хорошей службе восстановления в подготовленном личном со</w:t>
      </w:r>
      <w:r w:rsidRPr="00A259BD">
        <w:rPr>
          <w:rFonts w:ascii="Times New Roman" w:hAnsi="Times New Roman"/>
          <w:color w:val="000000" w:themeColor="text1"/>
          <w:sz w:val="16"/>
          <w:szCs w:val="16"/>
        </w:rPr>
        <w:softHyphen/>
        <w:t>ставе может быть доведен до 150 км.</w:t>
      </w:r>
    </w:p>
    <w:p w14:paraId="5FD391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запас хода при полной заправке в среднем: в километрах - в пределах 60 -110 км; в часах рабо</w:t>
      </w:r>
      <w:r w:rsidRPr="00A259BD">
        <w:rPr>
          <w:rFonts w:ascii="Times New Roman" w:hAnsi="Times New Roman"/>
          <w:color w:val="000000" w:themeColor="text1"/>
          <w:sz w:val="16"/>
          <w:szCs w:val="16"/>
        </w:rPr>
        <w:softHyphen/>
        <w:t>ты мотора 6 — 8 часов, в зависимости от состояния дорог.</w:t>
      </w:r>
    </w:p>
    <w:p w14:paraId="527B179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после форсированного перехода или 2 нормальных суточных переходов необходима дневка • осмотр, ремонт и регулировка материальной части;</w:t>
      </w:r>
    </w:p>
    <w:p w14:paraId="5744A7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оперативная подвижность танка (средняя скорость движения по шоссе 10-14 км; по проселку I 6 - 10 км;</w:t>
      </w:r>
    </w:p>
    <w:p w14:paraId="7FE1EEB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 процент выхода в ремонт по опыту механизированного полка - около 35% (на контрольно-по-1 </w:t>
      </w:r>
      <w:proofErr w:type="spellStart"/>
      <w:r w:rsidRPr="00A259BD">
        <w:rPr>
          <w:rFonts w:ascii="Times New Roman" w:hAnsi="Times New Roman"/>
          <w:color w:val="000000" w:themeColor="text1"/>
          <w:sz w:val="16"/>
          <w:szCs w:val="16"/>
        </w:rPr>
        <w:t>верочных</w:t>
      </w:r>
      <w:proofErr w:type="spellEnd"/>
      <w:r w:rsidRPr="00A259BD">
        <w:rPr>
          <w:rFonts w:ascii="Times New Roman" w:hAnsi="Times New Roman"/>
          <w:color w:val="000000" w:themeColor="text1"/>
          <w:sz w:val="16"/>
          <w:szCs w:val="16"/>
        </w:rPr>
        <w:t xml:space="preserve"> испытаниях из 3 танков, участвовавших в пробеге, 2 из них выбыло в первый же день, при</w:t>
      </w:r>
      <w:r w:rsidRPr="00A259BD">
        <w:rPr>
          <w:rFonts w:ascii="Times New Roman" w:hAnsi="Times New Roman"/>
          <w:color w:val="000000" w:themeColor="text1"/>
          <w:sz w:val="16"/>
          <w:szCs w:val="16"/>
        </w:rPr>
        <w:softHyphen/>
        <w:t>чем из последних один в капитальный ремонт по недосмотру обслуживающего персонала, а другой | был восстановлен к следующему дню испытаний).</w:t>
      </w:r>
    </w:p>
    <w:p w14:paraId="1990C6C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w:t>
      </w:r>
    </w:p>
    <w:p w14:paraId="62261B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переброску танков данного типа собственным ходом ограничить нормой в 100-150 км,</w:t>
      </w:r>
    </w:p>
    <w:p w14:paraId="6AFFB65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при модернизации и последующих типах необходимо добиться увеличения норм суточного ] перехода до 150 км и форсированию до 200 км при соответствующем запасе хода.</w:t>
      </w:r>
    </w:p>
    <w:p w14:paraId="6F0274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количество непрерывных суточных переходов до необходимости дневки должно быть доведе</w:t>
      </w:r>
      <w:r w:rsidRPr="00A259BD">
        <w:rPr>
          <w:rFonts w:ascii="Times New Roman" w:hAnsi="Times New Roman"/>
          <w:color w:val="000000" w:themeColor="text1"/>
          <w:sz w:val="16"/>
          <w:szCs w:val="16"/>
        </w:rPr>
        <w:softHyphen/>
        <w:t>но до 4;</w:t>
      </w:r>
    </w:p>
    <w:p w14:paraId="4C2DF8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оперативную подвижность повысить до 15-20 км/час;</w:t>
      </w:r>
    </w:p>
    <w:p w14:paraId="1A929B8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процент простоя танков в ремонте должен быть восполнен наличием штатного технического резерва их в частях и уменьшением процента простоя усилением службы восстановления (запасные части, инструмент, мастерские, квалифицированная рабочая сила).</w:t>
      </w:r>
    </w:p>
    <w:p w14:paraId="0565BE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Тактическая подвижность и боевые свойства танка характеризуются следующим:</w:t>
      </w:r>
    </w:p>
    <w:p w14:paraId="2B3D6A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боевая скорость (приложение №-10) 3,5 — 4,5 км, что крайне недостаточно для условий совре</w:t>
      </w:r>
      <w:r w:rsidRPr="00A259BD">
        <w:rPr>
          <w:rFonts w:ascii="Times New Roman" w:hAnsi="Times New Roman"/>
          <w:color w:val="000000" w:themeColor="text1"/>
          <w:sz w:val="16"/>
          <w:szCs w:val="16"/>
        </w:rPr>
        <w:softHyphen/>
        <w:t>менного боя (обилие огневых средств).</w:t>
      </w:r>
    </w:p>
    <w:p w14:paraId="6E3C41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поворотливость весьма ограничена, что уменьшает шансы борьбы танка с противотанковыми пулеметами и пушками.</w:t>
      </w:r>
    </w:p>
    <w:p w14:paraId="18AC435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преодоление искусственных препятствий (приложение №13).</w:t>
      </w:r>
    </w:p>
    <w:p w14:paraId="23A087E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Танк хорошо преодолевает малозаметные и все проволочные заграждения нормального типа, поставленные на полях, а также “ежи” высотою до 70 см, оставляя за собой облегченные проходы для пехоты, причем танк без посторонней помощи освобождается от свертков и мотков разрушен</w:t>
      </w:r>
      <w:r w:rsidRPr="00A259BD">
        <w:rPr>
          <w:rFonts w:ascii="Times New Roman" w:hAnsi="Times New Roman"/>
          <w:color w:val="000000" w:themeColor="text1"/>
          <w:sz w:val="16"/>
          <w:szCs w:val="16"/>
        </w:rPr>
        <w:softHyphen/>
        <w:t>ных им проволочных препятствий (удобообтекаемая форма корпуса и свойства двигателя).</w:t>
      </w:r>
    </w:p>
    <w:p w14:paraId="608B33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Преодоление заграждений типа рогаток, крепко связанных между собой и поставленных полосой зна</w:t>
      </w:r>
      <w:r w:rsidRPr="00A259BD">
        <w:rPr>
          <w:rFonts w:ascii="Times New Roman" w:hAnsi="Times New Roman"/>
          <w:color w:val="000000" w:themeColor="text1"/>
          <w:sz w:val="16"/>
          <w:szCs w:val="16"/>
        </w:rPr>
        <w:softHyphen/>
        <w:t>чительной ширины, глубины и высоты, представляет для танка наиболее трудно преодолимое препятствие.</w:t>
      </w:r>
    </w:p>
    <w:p w14:paraId="573E4D5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Пороги (вертикальные препятствия) при известной высоте их свыше 0,7 м представляют серьез</w:t>
      </w:r>
      <w:r w:rsidRPr="00A259BD">
        <w:rPr>
          <w:rFonts w:ascii="Times New Roman" w:hAnsi="Times New Roman"/>
          <w:color w:val="000000" w:themeColor="text1"/>
          <w:sz w:val="16"/>
          <w:szCs w:val="16"/>
        </w:rPr>
        <w:softHyphen/>
        <w:t>нейший вид препятствия для танка в особенности при мягком или песочном грунте.</w:t>
      </w:r>
    </w:p>
    <w:p w14:paraId="0C29617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Удовлетворительно преодолеваются рвы, канавы, окопы, ходы сообщений при ширине не более 1,8 • 2,0 метра по верху в твердом грунте или с надежным креплением стенок.</w:t>
      </w:r>
    </w:p>
    <w:p w14:paraId="2A8DC75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Танк не преодолевает надолб (противотанковое препятствие) из бревен толщиной 20 - 23 см, врытых в шахматном порядке под углом в 45°.</w:t>
      </w:r>
    </w:p>
    <w:p w14:paraId="1C2405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преодоление естественных препятствий (приложение № 14).</w:t>
      </w:r>
    </w:p>
    <w:p w14:paraId="2CFF7D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старой гусенице при мерзлом снежном грунте танк берет подъемы до 10 - 12°, на новой гусе</w:t>
      </w:r>
      <w:r w:rsidRPr="00A259BD">
        <w:rPr>
          <w:rFonts w:ascii="Times New Roman" w:hAnsi="Times New Roman"/>
          <w:color w:val="000000" w:themeColor="text1"/>
          <w:sz w:val="16"/>
          <w:szCs w:val="16"/>
        </w:rPr>
        <w:softHyphen/>
        <w:t>нице (до 25 - 27°), что недостаточно.</w:t>
      </w:r>
    </w:p>
    <w:p w14:paraId="606E99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Движение с креном (по косогору) возможно до 26°,</w:t>
      </w:r>
    </w:p>
    <w:p w14:paraId="0DF9E1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Броды преодолеваются танком до I метра вполне надежно.</w:t>
      </w:r>
    </w:p>
    <w:p w14:paraId="463C71E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Танк преодолевает канавы с водой, с топким дном шириною по верху до 1,0 метра и берегами вы</w:t>
      </w:r>
      <w:r w:rsidRPr="00A259BD">
        <w:rPr>
          <w:rFonts w:ascii="Times New Roman" w:hAnsi="Times New Roman"/>
          <w:color w:val="000000" w:themeColor="text1"/>
          <w:sz w:val="16"/>
          <w:szCs w:val="16"/>
        </w:rPr>
        <w:softHyphen/>
        <w:t>сотою до 0,8 метров.</w:t>
      </w:r>
    </w:p>
    <w:p w14:paraId="17EAF9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Движение по слабо-болотистому грунту возможно.</w:t>
      </w:r>
    </w:p>
    <w:p w14:paraId="2C838DE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Кустарник и отдельные деревья до 10 см преодолеваются без затруднений.</w:t>
      </w:r>
    </w:p>
    <w:p w14:paraId="4DE6F0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Наблюдение из танка обычного типа (прорези) с крайне ограниченной видимостью.</w:t>
      </w:r>
    </w:p>
    <w:p w14:paraId="2F99608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управление - внутри танка - обычное голосом и прикосновением рук, что явно неудовлетвори</w:t>
      </w:r>
      <w:r w:rsidRPr="00A259BD">
        <w:rPr>
          <w:rFonts w:ascii="Times New Roman" w:hAnsi="Times New Roman"/>
          <w:color w:val="000000" w:themeColor="text1"/>
          <w:sz w:val="16"/>
          <w:szCs w:val="16"/>
        </w:rPr>
        <w:softHyphen/>
        <w:t>тельно. Управление танком извне, в настоящее время, по существу ничем не обеспечено (трудно на</w:t>
      </w:r>
      <w:r w:rsidRPr="00A259BD">
        <w:rPr>
          <w:rFonts w:ascii="Times New Roman" w:hAnsi="Times New Roman"/>
          <w:color w:val="000000" w:themeColor="text1"/>
          <w:sz w:val="16"/>
          <w:szCs w:val="16"/>
        </w:rPr>
        <w:softHyphen/>
        <w:t>блюдаемая и ограниченная по содержанию флажковая сигнализация;</w:t>
      </w:r>
    </w:p>
    <w:p w14:paraId="2A1884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ж) слышимость танка (звуковая демаскировка) - звук мотора и лязг гусеницы обнаруживается звукоулавливателем, даже несовершенного типа (“БАРР и </w:t>
      </w:r>
      <w:proofErr w:type="spellStart"/>
      <w:r w:rsidRPr="00A259BD">
        <w:rPr>
          <w:rFonts w:ascii="Times New Roman" w:hAnsi="Times New Roman"/>
          <w:color w:val="000000" w:themeColor="text1"/>
          <w:sz w:val="16"/>
          <w:szCs w:val="16"/>
        </w:rPr>
        <w:t>Струд</w:t>
      </w:r>
      <w:proofErr w:type="spellEnd"/>
      <w:r w:rsidRPr="00A259BD">
        <w:rPr>
          <w:rFonts w:ascii="Times New Roman" w:hAnsi="Times New Roman"/>
          <w:color w:val="000000" w:themeColor="text1"/>
          <w:sz w:val="16"/>
          <w:szCs w:val="16"/>
        </w:rPr>
        <w:t>” нашего изготовления) до 8 км в ле</w:t>
      </w:r>
      <w:r w:rsidRPr="00A259BD">
        <w:rPr>
          <w:rFonts w:ascii="Times New Roman" w:hAnsi="Times New Roman"/>
          <w:color w:val="000000" w:themeColor="text1"/>
          <w:sz w:val="16"/>
          <w:szCs w:val="16"/>
        </w:rPr>
        <w:softHyphen/>
        <w:t>су при неблагоприятных метеорологических условиях;</w:t>
      </w:r>
    </w:p>
    <w:p w14:paraId="0994164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танк отличается хорошей, с точки зрения (маскировки, конфигураций);</w:t>
      </w:r>
    </w:p>
    <w:p w14:paraId="112790C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условия обслуживания танка, несмотря на некоторые улучшения в данном типе чрезвычайно трудны, что ограничивает возможность полезной боевой работы в танке для средне развитого физи</w:t>
      </w:r>
      <w:r w:rsidRPr="00A259BD">
        <w:rPr>
          <w:rFonts w:ascii="Times New Roman" w:hAnsi="Times New Roman"/>
          <w:color w:val="000000" w:themeColor="text1"/>
          <w:sz w:val="16"/>
          <w:szCs w:val="16"/>
        </w:rPr>
        <w:softHyphen/>
        <w:t>чески человека 2 - 3 часами работы (нахождение под огнем с закрытыми люками при работе мотора и в действии). (Приложение № 16 - 17).</w:t>
      </w:r>
    </w:p>
    <w:p w14:paraId="35E9630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w:t>
      </w:r>
    </w:p>
    <w:p w14:paraId="5589DE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повысить боевую скорость движения до 10 — 12 км;</w:t>
      </w:r>
    </w:p>
    <w:p w14:paraId="251F8E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улучшить поворотливость танка при любом курсовом угле движения без всякого замедления и приостановок, допуская крен до 30°;</w:t>
      </w:r>
    </w:p>
    <w:p w14:paraId="46BBAA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провести систематические испытания по преодолению искусственных препятствий в услови</w:t>
      </w:r>
      <w:r w:rsidRPr="00A259BD">
        <w:rPr>
          <w:rFonts w:ascii="Times New Roman" w:hAnsi="Times New Roman"/>
          <w:color w:val="000000" w:themeColor="text1"/>
          <w:sz w:val="16"/>
          <w:szCs w:val="16"/>
        </w:rPr>
        <w:softHyphen/>
        <w:t>ях зимы, весны и лета, различных грунтов и атмосферных осадков, обратив особенное внимание на преодоление рогаток и порогов, надолб и др.; с целью повышения способности танка к преодолению препятствий и изыскания наилучших средств борьбы с танком;</w:t>
      </w:r>
    </w:p>
    <w:p w14:paraId="2876159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увеличить способность танка брать подъемы до 45° и крен до 30";</w:t>
      </w:r>
    </w:p>
    <w:p w14:paraId="5527669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проработать на ближайшее будущее вопрос о возможности танка во время преодоления проволоч</w:t>
      </w:r>
      <w:r w:rsidRPr="00A259BD">
        <w:rPr>
          <w:rFonts w:ascii="Times New Roman" w:hAnsi="Times New Roman"/>
          <w:color w:val="000000" w:themeColor="text1"/>
          <w:sz w:val="16"/>
          <w:szCs w:val="16"/>
        </w:rPr>
        <w:softHyphen/>
        <w:t>ных заграждений перерезать или рвать проволоку на ширину своего хода по всей высоте заграждений;</w:t>
      </w:r>
    </w:p>
    <w:p w14:paraId="6398CC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улучшить систему наблюдения из танка, разработав и испытав различные варианты оптиче</w:t>
      </w:r>
      <w:r w:rsidRPr="00A259BD">
        <w:rPr>
          <w:rFonts w:ascii="Times New Roman" w:hAnsi="Times New Roman"/>
          <w:color w:val="000000" w:themeColor="text1"/>
          <w:sz w:val="16"/>
          <w:szCs w:val="16"/>
        </w:rPr>
        <w:softHyphen/>
        <w:t>ских приборов;</w:t>
      </w:r>
    </w:p>
    <w:p w14:paraId="77D7584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обеспечить внутреннюю и внешнюю связь танка;</w:t>
      </w:r>
    </w:p>
    <w:p w14:paraId="1B6320D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принять меры к лучшей маскировке танка в области звуковой (бесшумное движение);</w:t>
      </w:r>
    </w:p>
    <w:p w14:paraId="44EFD20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принять меры к лучшей защите от ушибов внутри танка и более совершенному оборудованию его в целях уменьшения утомляемости экипажа.</w:t>
      </w:r>
    </w:p>
    <w:p w14:paraId="3F58AB3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IV. В части общеорганизационной</w:t>
      </w:r>
    </w:p>
    <w:p w14:paraId="47ADF7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отработка и быстрейшее совершенствование данного типа танка требует организации даль</w:t>
      </w:r>
      <w:r w:rsidRPr="00A259BD">
        <w:rPr>
          <w:rFonts w:ascii="Times New Roman" w:hAnsi="Times New Roman"/>
          <w:color w:val="000000" w:themeColor="text1"/>
          <w:sz w:val="16"/>
          <w:szCs w:val="16"/>
        </w:rPr>
        <w:softHyphen/>
        <w:t>нейших систематических испытаний в определенном режиме полигонного характера в частности: в ближайшее время необходимо провести испытание по определению динамики износа танка, под</w:t>
      </w:r>
      <w:r w:rsidRPr="00A259BD">
        <w:rPr>
          <w:rFonts w:ascii="Times New Roman" w:hAnsi="Times New Roman"/>
          <w:color w:val="000000" w:themeColor="text1"/>
          <w:sz w:val="16"/>
          <w:szCs w:val="16"/>
        </w:rPr>
        <w:softHyphen/>
        <w:t>вергнув его воздействию пулеметного, гранатного и артиллерийского огня. В дальнейшем организо</w:t>
      </w:r>
      <w:r w:rsidRPr="00A259BD">
        <w:rPr>
          <w:rFonts w:ascii="Times New Roman" w:hAnsi="Times New Roman"/>
          <w:color w:val="000000" w:themeColor="text1"/>
          <w:sz w:val="16"/>
          <w:szCs w:val="16"/>
        </w:rPr>
        <w:softHyphen/>
        <w:t>вать специальный испытательный полигон для проведения всякого рода испытаний с танками после каждого крупного конструктивного изменения или вновь выпускаемого типа танка;</w:t>
      </w:r>
    </w:p>
    <w:p w14:paraId="77ECDC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немедленно пересмотреть норму запасных частей и инструменты в авторитетной комиссии и, как правило, установить, что без надлежащего комплекта запасных частей и инструмента танк не должен по</w:t>
      </w:r>
      <w:r w:rsidRPr="00A259BD">
        <w:rPr>
          <w:rFonts w:ascii="Times New Roman" w:hAnsi="Times New Roman"/>
          <w:color w:val="000000" w:themeColor="text1"/>
          <w:sz w:val="16"/>
          <w:szCs w:val="16"/>
        </w:rPr>
        <w:softHyphen/>
        <w:t>ступать в эксплуатацию войсковой части;</w:t>
      </w:r>
    </w:p>
    <w:p w14:paraId="54C505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наладить постоянную рабочую связь и обмен опытом между конструкторами, заводом и войско</w:t>
      </w:r>
      <w:r w:rsidRPr="00A259BD">
        <w:rPr>
          <w:rFonts w:ascii="Times New Roman" w:hAnsi="Times New Roman"/>
          <w:color w:val="000000" w:themeColor="text1"/>
          <w:sz w:val="16"/>
          <w:szCs w:val="16"/>
        </w:rPr>
        <w:softHyphen/>
        <w:t>выми частями, введя в систему прикомандирование командиров танковых частей к заводам и обратно;</w:t>
      </w:r>
    </w:p>
    <w:p w14:paraId="256546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немедленно принять меры к улучшению работы приемочного аппарата НКВМ при заводах, повысив требования по </w:t>
      </w:r>
      <w:proofErr w:type="spellStart"/>
      <w:r w:rsidRPr="00A259BD">
        <w:rPr>
          <w:rFonts w:ascii="Times New Roman" w:hAnsi="Times New Roman"/>
          <w:color w:val="000000" w:themeColor="text1"/>
          <w:sz w:val="16"/>
          <w:szCs w:val="16"/>
        </w:rPr>
        <w:t>добраковке</w:t>
      </w:r>
      <w:proofErr w:type="spellEnd"/>
      <w:r w:rsidRPr="00A259BD">
        <w:rPr>
          <w:rFonts w:ascii="Times New Roman" w:hAnsi="Times New Roman"/>
          <w:color w:val="000000" w:themeColor="text1"/>
          <w:sz w:val="16"/>
          <w:szCs w:val="16"/>
        </w:rPr>
        <w:t xml:space="preserve"> ответственных деталей танка и его оборудования;</w:t>
      </w:r>
    </w:p>
    <w:p w14:paraId="393E2AD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немедленно принять меры по улучшению службы восстановления и ремонта в танковых час</w:t>
      </w:r>
      <w:r w:rsidRPr="00A259BD">
        <w:rPr>
          <w:rFonts w:ascii="Times New Roman" w:hAnsi="Times New Roman"/>
          <w:color w:val="000000" w:themeColor="text1"/>
          <w:sz w:val="16"/>
          <w:szCs w:val="16"/>
        </w:rPr>
        <w:softHyphen/>
        <w:t>тях на базе лучшего обеспечения запасными частями, инструментом, стационарными и подвижны</w:t>
      </w:r>
      <w:r w:rsidRPr="00A259BD">
        <w:rPr>
          <w:rFonts w:ascii="Times New Roman" w:hAnsi="Times New Roman"/>
          <w:color w:val="000000" w:themeColor="text1"/>
          <w:sz w:val="16"/>
          <w:szCs w:val="16"/>
        </w:rPr>
        <w:softHyphen/>
        <w:t>ми (походными) мастерскими и повышения квалификации рабочей силы, в частности - наладить при содействии завода подготовку кадра регулировщиков танковых моторов;</w:t>
      </w:r>
    </w:p>
    <w:p w14:paraId="20FEF93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Военхозупру</w:t>
      </w:r>
      <w:r w:rsidRPr="00A259BD">
        <w:rPr>
          <w:rFonts w:ascii="Times New Roman" w:hAnsi="Times New Roman"/>
          <w:color w:val="000000" w:themeColor="text1"/>
          <w:sz w:val="16"/>
          <w:szCs w:val="16"/>
          <w:vertAlign w:val="superscript"/>
        </w:rPr>
        <w:t>1</w:t>
      </w:r>
      <w:r w:rsidRPr="00A259BD">
        <w:rPr>
          <w:rFonts w:ascii="Times New Roman" w:hAnsi="Times New Roman"/>
          <w:color w:val="000000" w:themeColor="text1"/>
          <w:sz w:val="16"/>
          <w:szCs w:val="16"/>
        </w:rPr>
        <w:t xml:space="preserve"> срочно разработать образцы специального обмундирования для танкистов (го</w:t>
      </w:r>
      <w:r w:rsidRPr="00A259BD">
        <w:rPr>
          <w:rFonts w:ascii="Times New Roman" w:hAnsi="Times New Roman"/>
          <w:color w:val="000000" w:themeColor="text1"/>
          <w:sz w:val="16"/>
          <w:szCs w:val="16"/>
        </w:rPr>
        <w:softHyphen/>
        <w:t>ловной убор, рабочий костюм, шинель и др.);</w:t>
      </w:r>
    </w:p>
    <w:p w14:paraId="70AC5F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ходатайствовать перед РВС СССР об усилении пайка для танкистов (в первую очередь - води</w:t>
      </w:r>
      <w:r w:rsidRPr="00A259BD">
        <w:rPr>
          <w:rFonts w:ascii="Times New Roman" w:hAnsi="Times New Roman"/>
          <w:color w:val="000000" w:themeColor="text1"/>
          <w:sz w:val="16"/>
          <w:szCs w:val="16"/>
        </w:rPr>
        <w:softHyphen/>
        <w:t>телей, командиров танков и рабочих) и улучшения бытовых условий (отдых);</w:t>
      </w:r>
    </w:p>
    <w:p w14:paraId="1FD09A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с целью повышения стрелковой и специальной выучки танкистов увеличить отпуск огнеприпа</w:t>
      </w:r>
      <w:r w:rsidRPr="00A259BD">
        <w:rPr>
          <w:rFonts w:ascii="Times New Roman" w:hAnsi="Times New Roman"/>
          <w:color w:val="000000" w:themeColor="text1"/>
          <w:sz w:val="16"/>
          <w:szCs w:val="16"/>
        </w:rPr>
        <w:softHyphen/>
        <w:t xml:space="preserve">сов (годовая норма) и </w:t>
      </w:r>
      <w:proofErr w:type="spellStart"/>
      <w:r w:rsidRPr="00A259BD">
        <w:rPr>
          <w:rFonts w:ascii="Times New Roman" w:hAnsi="Times New Roman"/>
          <w:color w:val="000000" w:themeColor="text1"/>
          <w:sz w:val="16"/>
          <w:szCs w:val="16"/>
        </w:rPr>
        <w:t>горючесмазочных</w:t>
      </w:r>
      <w:proofErr w:type="spellEnd"/>
      <w:r w:rsidRPr="00A259BD">
        <w:rPr>
          <w:rFonts w:ascii="Times New Roman" w:hAnsi="Times New Roman"/>
          <w:color w:val="000000" w:themeColor="text1"/>
          <w:sz w:val="16"/>
          <w:szCs w:val="16"/>
        </w:rPr>
        <w:t xml:space="preserve"> материалов, ускорив разработку специальных руководств по стрелковой подготовке и вождению танков.</w:t>
      </w:r>
    </w:p>
    <w:p w14:paraId="20CB0EB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Общее заключение</w:t>
      </w:r>
    </w:p>
    <w:p w14:paraId="28FFF52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Несмотря на ряд существенных недостатков, данный тип танка все же можно охарактеризовать как боеспособную машину, могущую быть использованной с успехом в боевых условиях при соблю</w:t>
      </w:r>
      <w:r w:rsidRPr="00A259BD">
        <w:rPr>
          <w:rFonts w:ascii="Times New Roman" w:hAnsi="Times New Roman"/>
          <w:color w:val="000000" w:themeColor="text1"/>
          <w:sz w:val="16"/>
          <w:szCs w:val="16"/>
        </w:rPr>
        <w:softHyphen/>
        <w:t>дении определенных норм работы и обслуживания. Учитывая, однако, быстрый рост танковой техни</w:t>
      </w:r>
      <w:r w:rsidRPr="00A259BD">
        <w:rPr>
          <w:rFonts w:ascii="Times New Roman" w:hAnsi="Times New Roman"/>
          <w:color w:val="000000" w:themeColor="text1"/>
          <w:sz w:val="16"/>
          <w:szCs w:val="16"/>
        </w:rPr>
        <w:softHyphen/>
        <w:t>ки и уже утвержденную РВС СССР систему танкового вооружения РККА нужно признать этот тип переходным типом, нуждающимся в скорейшем приближении к уровню современных требований.</w:t>
      </w:r>
    </w:p>
    <w:p w14:paraId="7E6C598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Председатель комиссии: ном. </w:t>
      </w:r>
      <w:proofErr w:type="spellStart"/>
      <w:r w:rsidRPr="00A259BD">
        <w:rPr>
          <w:rFonts w:ascii="Times New Roman" w:hAnsi="Times New Roman"/>
          <w:color w:val="000000" w:themeColor="text1"/>
          <w:sz w:val="16"/>
          <w:szCs w:val="16"/>
        </w:rPr>
        <w:t>комвойск</w:t>
      </w:r>
      <w:proofErr w:type="spellEnd"/>
      <w:r w:rsidRPr="00A259BD">
        <w:rPr>
          <w:rFonts w:ascii="Times New Roman" w:hAnsi="Times New Roman"/>
          <w:color w:val="000000" w:themeColor="text1"/>
          <w:sz w:val="16"/>
          <w:szCs w:val="16"/>
        </w:rPr>
        <w:t xml:space="preserve"> МВО</w:t>
      </w:r>
    </w:p>
    <w:p w14:paraId="1DB3FFD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Члены:</w:t>
      </w:r>
    </w:p>
    <w:p w14:paraId="1D69B1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РГВА. Ф. 31811. Оп. 1. Д. 229. Л. 1 - 7. Копия (11210).</w:t>
      </w:r>
    </w:p>
    <w:p w14:paraId="7ADE38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5832D5" w14:textId="77777777" w:rsidR="00A96240" w:rsidRPr="00A259BD" w:rsidRDefault="00A9624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период с 27 ноября по 4 декабря 1929 проходили контрольно-проверочные испытания трех танков МС-1. Целью испытаний было установление средней скорос</w:t>
      </w:r>
      <w:r w:rsidRPr="00A259BD">
        <w:rPr>
          <w:rFonts w:ascii="Times New Roman" w:hAnsi="Times New Roman"/>
          <w:color w:val="000000" w:themeColor="text1"/>
          <w:sz w:val="16"/>
          <w:szCs w:val="16"/>
        </w:rPr>
        <w:softHyphen/>
        <w:t>ти и выносливости танка. Испытания выявили недоста</w:t>
      </w:r>
      <w:r w:rsidRPr="00A259BD">
        <w:rPr>
          <w:rFonts w:ascii="Times New Roman" w:hAnsi="Times New Roman"/>
          <w:color w:val="000000" w:themeColor="text1"/>
          <w:sz w:val="16"/>
          <w:szCs w:val="16"/>
        </w:rPr>
        <w:softHyphen/>
        <w:t>точную надежность работы мотора, требующего слиш</w:t>
      </w:r>
      <w:r w:rsidRPr="00A259BD">
        <w:rPr>
          <w:rFonts w:ascii="Times New Roman" w:hAnsi="Times New Roman"/>
          <w:color w:val="000000" w:themeColor="text1"/>
          <w:sz w:val="16"/>
          <w:szCs w:val="16"/>
        </w:rPr>
        <w:softHyphen/>
        <w:t>ком частого осмотра и ремонта, как следствие постоян</w:t>
      </w:r>
      <w:r w:rsidRPr="00A259BD">
        <w:rPr>
          <w:rFonts w:ascii="Times New Roman" w:hAnsi="Times New Roman"/>
          <w:color w:val="000000" w:themeColor="text1"/>
          <w:sz w:val="16"/>
          <w:szCs w:val="16"/>
        </w:rPr>
        <w:softHyphen/>
        <w:t xml:space="preserve">ного расстройства его отдельных частей и отказов в работе </w:t>
      </w:r>
      <w:proofErr w:type="spellStart"/>
      <w:r w:rsidRPr="00A259BD">
        <w:rPr>
          <w:rFonts w:ascii="Times New Roman" w:hAnsi="Times New Roman"/>
          <w:color w:val="000000" w:themeColor="text1"/>
          <w:sz w:val="16"/>
          <w:szCs w:val="16"/>
        </w:rPr>
        <w:t>маслопроводной</w:t>
      </w:r>
      <w:proofErr w:type="spellEnd"/>
      <w:r w:rsidRPr="00A259BD">
        <w:rPr>
          <w:rFonts w:ascii="Times New Roman" w:hAnsi="Times New Roman"/>
          <w:color w:val="000000" w:themeColor="text1"/>
          <w:sz w:val="16"/>
          <w:szCs w:val="16"/>
        </w:rPr>
        <w:t xml:space="preserve"> сети (по терминологии того времени). Основные дефекты были связаны с несо</w:t>
      </w:r>
      <w:r w:rsidRPr="00A259BD">
        <w:rPr>
          <w:rFonts w:ascii="Times New Roman" w:hAnsi="Times New Roman"/>
          <w:color w:val="000000" w:themeColor="text1"/>
          <w:sz w:val="16"/>
          <w:szCs w:val="16"/>
        </w:rPr>
        <w:softHyphen/>
        <w:t>вершенством конструкции верхнего маслопровода, так называемого «пучка», часто ломающегося от тряски.</w:t>
      </w:r>
    </w:p>
    <w:p w14:paraId="2AA2E1A8" w14:textId="77777777" w:rsidR="00A96240" w:rsidRPr="00A259BD" w:rsidRDefault="00A9624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Была выявлена недостаточная мощность мотора, обуславливающая малую эффективность работы тан</w:t>
      </w:r>
      <w:r w:rsidRPr="00A259BD">
        <w:rPr>
          <w:rFonts w:ascii="Times New Roman" w:hAnsi="Times New Roman"/>
          <w:color w:val="000000" w:themeColor="text1"/>
          <w:sz w:val="16"/>
          <w:szCs w:val="16"/>
        </w:rPr>
        <w:softHyphen/>
        <w:t>ка в боевой обстановке - скорость движения на поле боя, поворотливость и т.п. Танк показывал на мерном километре наивысшую скорость 15,9-16 км/ч. При этом отмечалась удовлетворительная проходимость танка (22518).</w:t>
      </w:r>
    </w:p>
    <w:p w14:paraId="45B7C06C" w14:textId="77777777" w:rsidR="00A96240" w:rsidRPr="00A259BD" w:rsidRDefault="00A96240" w:rsidP="009236E3">
      <w:pPr>
        <w:spacing w:after="0" w:line="240" w:lineRule="auto"/>
        <w:jc w:val="both"/>
        <w:rPr>
          <w:rFonts w:ascii="Times New Roman" w:hAnsi="Times New Roman"/>
          <w:color w:val="000000" w:themeColor="text1"/>
          <w:sz w:val="16"/>
          <w:szCs w:val="16"/>
        </w:rPr>
      </w:pPr>
    </w:p>
    <w:p w14:paraId="3A2BC2C0" w14:textId="77777777" w:rsidR="00582146"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3BDB17A4" w14:textId="77777777" w:rsidR="00582146" w:rsidRPr="00A259BD" w:rsidRDefault="0058214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F26CAE3" w14:textId="77777777" w:rsidR="00582146" w:rsidRPr="00A259BD" w:rsidRDefault="00582146" w:rsidP="009236E3">
      <w:pPr>
        <w:pStyle w:val="a3"/>
        <w:rPr>
          <w:color w:val="000000" w:themeColor="text1"/>
          <w:lang w:val="ru-RU"/>
        </w:rPr>
      </w:pPr>
      <w:r w:rsidRPr="00A259BD">
        <w:rPr>
          <w:color w:val="000000" w:themeColor="text1"/>
          <w:lang w:val="ru-RU"/>
        </w:rPr>
        <w:t xml:space="preserve">27 ноября 1929 на </w:t>
      </w:r>
      <w:proofErr w:type="spellStart"/>
      <w:r w:rsidRPr="00A259BD">
        <w:rPr>
          <w:color w:val="000000" w:themeColor="text1"/>
          <w:lang w:val="ru-RU"/>
        </w:rPr>
        <w:t>хайларский</w:t>
      </w:r>
      <w:proofErr w:type="spellEnd"/>
      <w:r w:rsidRPr="00A259BD">
        <w:rPr>
          <w:color w:val="000000" w:themeColor="text1"/>
          <w:lang w:val="ru-RU"/>
        </w:rPr>
        <w:t xml:space="preserve"> аэродром пере</w:t>
      </w:r>
      <w:r w:rsidRPr="00A259BD">
        <w:rPr>
          <w:color w:val="000000" w:themeColor="text1"/>
          <w:lang w:val="ru-RU"/>
        </w:rPr>
        <w:softHyphen/>
        <w:t xml:space="preserve">летел первый Р-1. Его экипаж должен был обеспечить посадку на новом месте всей 26-й </w:t>
      </w:r>
      <w:proofErr w:type="spellStart"/>
      <w:r w:rsidRPr="00A259BD">
        <w:rPr>
          <w:color w:val="000000" w:themeColor="text1"/>
          <w:lang w:val="ru-RU"/>
        </w:rPr>
        <w:t>аэ</w:t>
      </w:r>
      <w:proofErr w:type="spellEnd"/>
      <w:r w:rsidRPr="00A259BD">
        <w:rPr>
          <w:color w:val="000000" w:themeColor="text1"/>
          <w:lang w:val="ru-RU"/>
        </w:rPr>
        <w:t>. На следующий день эскадрилья и 6-й отряд отправились вместе бомбить же</w:t>
      </w:r>
      <w:r w:rsidRPr="00A259BD">
        <w:rPr>
          <w:color w:val="000000" w:themeColor="text1"/>
          <w:lang w:val="ru-RU"/>
        </w:rPr>
        <w:softHyphen/>
        <w:t xml:space="preserve">лезнодорожную станцию </w:t>
      </w:r>
      <w:proofErr w:type="spellStart"/>
      <w:r w:rsidRPr="00A259BD">
        <w:rPr>
          <w:color w:val="000000" w:themeColor="text1"/>
          <w:lang w:val="ru-RU"/>
        </w:rPr>
        <w:t>Бухэду</w:t>
      </w:r>
      <w:proofErr w:type="spellEnd"/>
      <w:r w:rsidRPr="00A259BD">
        <w:rPr>
          <w:color w:val="000000" w:themeColor="text1"/>
          <w:lang w:val="ru-RU"/>
        </w:rPr>
        <w:t xml:space="preserve"> у хребта Большой Хинган. Это была первая операция, спланированная вернувшимся из Москвы </w:t>
      </w:r>
      <w:proofErr w:type="spellStart"/>
      <w:r w:rsidRPr="00A259BD">
        <w:rPr>
          <w:color w:val="000000" w:themeColor="text1"/>
          <w:lang w:val="ru-RU"/>
        </w:rPr>
        <w:t>Кишем</w:t>
      </w:r>
      <w:proofErr w:type="spellEnd"/>
      <w:r w:rsidRPr="00A259BD">
        <w:rPr>
          <w:color w:val="000000" w:themeColor="text1"/>
          <w:lang w:val="ru-RU"/>
        </w:rPr>
        <w:t>. Посадка предполагалась в Хайларе.</w:t>
      </w:r>
    </w:p>
    <w:p w14:paraId="6E425E46" w14:textId="77777777" w:rsidR="00582146" w:rsidRPr="00A259BD" w:rsidRDefault="00582146" w:rsidP="009236E3">
      <w:pPr>
        <w:pStyle w:val="a3"/>
        <w:rPr>
          <w:color w:val="000000" w:themeColor="text1"/>
          <w:lang w:val="ru-RU"/>
        </w:rPr>
      </w:pPr>
      <w:r w:rsidRPr="00A259BD">
        <w:rPr>
          <w:color w:val="000000" w:themeColor="text1"/>
          <w:lang w:val="ru-RU"/>
        </w:rPr>
        <w:t>До цели группа дошла благополучно и сбросила бомбы, но над станцией самолёт лет</w:t>
      </w:r>
      <w:r w:rsidRPr="00A259BD">
        <w:rPr>
          <w:color w:val="000000" w:themeColor="text1"/>
          <w:lang w:val="ru-RU"/>
        </w:rPr>
        <w:softHyphen/>
        <w:t xml:space="preserve">чика Портнова и летнаба Иванова получил пулю в мотор. Пилот совершил вынужденную посадку на вражеской территории у деревни </w:t>
      </w:r>
      <w:proofErr w:type="spellStart"/>
      <w:r w:rsidRPr="00A259BD">
        <w:rPr>
          <w:color w:val="000000" w:themeColor="text1"/>
          <w:lang w:val="ru-RU"/>
        </w:rPr>
        <w:t>Мяньдухэ</w:t>
      </w:r>
      <w:proofErr w:type="spellEnd"/>
      <w:r w:rsidRPr="00A259BD">
        <w:rPr>
          <w:color w:val="000000" w:themeColor="text1"/>
          <w:lang w:val="ru-RU"/>
        </w:rPr>
        <w:t>. Экипаж успел сжечь машину, но затем попал в плен к китайским кавалеристам. Дальнейшая участь этих лётчиков неиз</w:t>
      </w:r>
      <w:r w:rsidRPr="00A259BD">
        <w:rPr>
          <w:color w:val="000000" w:themeColor="text1"/>
          <w:lang w:val="ru-RU"/>
        </w:rPr>
        <w:softHyphen/>
        <w:t>вестна, из плена они не вернулись.</w:t>
      </w:r>
    </w:p>
    <w:p w14:paraId="03278E48" w14:textId="77777777" w:rsidR="00582146" w:rsidRPr="00A259BD" w:rsidRDefault="00582146" w:rsidP="009236E3">
      <w:pPr>
        <w:pStyle w:val="a3"/>
        <w:rPr>
          <w:color w:val="000000" w:themeColor="text1"/>
          <w:lang w:val="ru-RU"/>
        </w:rPr>
      </w:pPr>
      <w:r w:rsidRPr="00A259BD">
        <w:rPr>
          <w:color w:val="000000" w:themeColor="text1"/>
          <w:lang w:val="ru-RU"/>
        </w:rPr>
        <w:t>На обратном пути остальные машины попали в сплошную густую облачность и потеря</w:t>
      </w:r>
      <w:r w:rsidRPr="00A259BD">
        <w:rPr>
          <w:color w:val="000000" w:themeColor="text1"/>
          <w:lang w:val="ru-RU"/>
        </w:rPr>
        <w:softHyphen/>
        <w:t>ли друг друга. Самолёты возвращались звеньями, парами и поодиночке, но большая часть экипажей благополучно добралась до Хайлара. Лётчик Орлов заблудился, но потом увидел внизу железную дорогу и по ней пришел в Хайлар. Пилот Кабанов долетел до ре</w:t>
      </w:r>
      <w:r w:rsidRPr="00A259BD">
        <w:rPr>
          <w:color w:val="000000" w:themeColor="text1"/>
          <w:lang w:val="ru-RU"/>
        </w:rPr>
        <w:softHyphen/>
        <w:t>ки Аргунь и двигался вдоль нее. Он сел у поселка Старо-</w:t>
      </w:r>
      <w:proofErr w:type="spellStart"/>
      <w:r w:rsidRPr="00A259BD">
        <w:rPr>
          <w:color w:val="000000" w:themeColor="text1"/>
          <w:lang w:val="ru-RU"/>
        </w:rPr>
        <w:t>Цурухайтуевский</w:t>
      </w:r>
      <w:proofErr w:type="spellEnd"/>
      <w:r w:rsidRPr="00A259BD">
        <w:rPr>
          <w:color w:val="000000" w:themeColor="text1"/>
          <w:lang w:val="ru-RU"/>
        </w:rPr>
        <w:t xml:space="preserve"> и, восстано</w:t>
      </w:r>
      <w:r w:rsidRPr="00A259BD">
        <w:rPr>
          <w:color w:val="000000" w:themeColor="text1"/>
          <w:lang w:val="ru-RU"/>
        </w:rPr>
        <w:softHyphen/>
        <w:t>вив ориентировку, на следующий день вернулся в Даурию.</w:t>
      </w:r>
    </w:p>
    <w:p w14:paraId="1F8A1489" w14:textId="77777777" w:rsidR="00582146" w:rsidRPr="00A259BD" w:rsidRDefault="00582146" w:rsidP="009236E3">
      <w:pPr>
        <w:pStyle w:val="a3"/>
        <w:rPr>
          <w:color w:val="000000" w:themeColor="text1"/>
          <w:lang w:val="ru-RU"/>
        </w:rPr>
      </w:pPr>
      <w:r w:rsidRPr="00A259BD">
        <w:rPr>
          <w:color w:val="000000" w:themeColor="text1"/>
          <w:lang w:val="ru-RU"/>
        </w:rPr>
        <w:lastRenderedPageBreak/>
        <w:t>К вечеру на наших аэродромах недосчитались трёх самолётов. О пленении Иванова и Портнова узнали из перехвата китайского радио, оставалась невыясненной судьба ещё двух экипажей (15819).</w:t>
      </w:r>
    </w:p>
    <w:p w14:paraId="0F427DFA" w14:textId="77777777" w:rsidR="00582146" w:rsidRPr="00A259BD" w:rsidRDefault="00582146" w:rsidP="009236E3">
      <w:pPr>
        <w:pStyle w:val="a3"/>
        <w:rPr>
          <w:color w:val="000000" w:themeColor="text1"/>
          <w:lang w:val="ru-RU"/>
        </w:rPr>
      </w:pPr>
    </w:p>
    <w:p w14:paraId="04E79EC4"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44C2687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12F98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ноября 1929 </w:t>
      </w:r>
      <w:proofErr w:type="spellStart"/>
      <w:r w:rsidRPr="00A259BD">
        <w:rPr>
          <w:rFonts w:ascii="Times New Roman" w:hAnsi="Times New Roman"/>
          <w:color w:val="000000" w:themeColor="text1"/>
          <w:sz w:val="16"/>
          <w:szCs w:val="16"/>
        </w:rPr>
        <w:t>И.Сталин</w:t>
      </w:r>
      <w:proofErr w:type="spellEnd"/>
      <w:r w:rsidRPr="00A259BD">
        <w:rPr>
          <w:rFonts w:ascii="Times New Roman" w:hAnsi="Times New Roman"/>
          <w:color w:val="000000" w:themeColor="text1"/>
          <w:sz w:val="16"/>
          <w:szCs w:val="16"/>
        </w:rPr>
        <w:t xml:space="preserve"> объявил о переходе от "ограничения эксплуататорских тенденций кулаков" к "полной ликвидации кулачества как класса" (10687).</w:t>
      </w:r>
    </w:p>
    <w:p w14:paraId="4A066B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347DB46"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26B3FEE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476C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 ноября 1929 </w:t>
      </w:r>
      <w:proofErr w:type="spellStart"/>
      <w:r w:rsidRPr="00A259BD">
        <w:rPr>
          <w:rFonts w:ascii="Times New Roman" w:hAnsi="Times New Roman"/>
          <w:color w:val="000000" w:themeColor="text1"/>
          <w:sz w:val="16"/>
          <w:szCs w:val="16"/>
        </w:rPr>
        <w:t>манчжурская</w:t>
      </w:r>
      <w:proofErr w:type="spellEnd"/>
      <w:r w:rsidRPr="00A259BD">
        <w:rPr>
          <w:rFonts w:ascii="Times New Roman" w:hAnsi="Times New Roman"/>
          <w:color w:val="000000" w:themeColor="text1"/>
          <w:sz w:val="16"/>
          <w:szCs w:val="16"/>
        </w:rPr>
        <w:t xml:space="preserve"> группировка китайцев капитулировала, а 19 корпус в Мишане к северу от Владивостока разгромил другую часть китайской армии. Там тоже было два звена ВВС (1493,28).</w:t>
      </w:r>
    </w:p>
    <w:p w14:paraId="690E60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F07F29" w14:textId="77777777" w:rsidR="00A31A8B" w:rsidRPr="00A259BD" w:rsidRDefault="00A31A8B"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44B1A8A" w14:textId="77777777" w:rsidR="00A31A8B" w:rsidRPr="00A259BD" w:rsidRDefault="00A31A8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9F87FB6" w14:textId="77777777" w:rsidR="00A31A8B" w:rsidRPr="00A259BD" w:rsidRDefault="00A31A8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27–28 ноября 1929 Ричард Эвелин Берд и команда совершают первый полет над Южным полюсом на Ford </w:t>
      </w:r>
      <w:proofErr w:type="spellStart"/>
      <w:r w:rsidRPr="00A259BD">
        <w:rPr>
          <w:rFonts w:ascii="Times New Roman" w:hAnsi="Times New Roman"/>
          <w:color w:val="000000" w:themeColor="text1"/>
          <w:sz w:val="16"/>
          <w:szCs w:val="16"/>
        </w:rPr>
        <w:t>Trimotor</w:t>
      </w:r>
      <w:proofErr w:type="spellEnd"/>
      <w:r w:rsidRPr="00A259BD">
        <w:rPr>
          <w:rFonts w:ascii="Times New Roman" w:hAnsi="Times New Roman"/>
          <w:color w:val="000000" w:themeColor="text1"/>
          <w:sz w:val="16"/>
          <w:szCs w:val="16"/>
        </w:rPr>
        <w:t xml:space="preserve"> (20806).</w:t>
      </w:r>
    </w:p>
    <w:p w14:paraId="6D482894" w14:textId="77777777" w:rsidR="00A31A8B" w:rsidRPr="00A259BD" w:rsidRDefault="00A31A8B" w:rsidP="009236E3">
      <w:pPr>
        <w:spacing w:after="0" w:line="240" w:lineRule="auto"/>
        <w:jc w:val="both"/>
        <w:rPr>
          <w:rFonts w:ascii="Times New Roman" w:hAnsi="Times New Roman"/>
          <w:color w:val="000000" w:themeColor="text1"/>
          <w:sz w:val="16"/>
          <w:szCs w:val="16"/>
        </w:rPr>
      </w:pPr>
    </w:p>
    <w:p w14:paraId="6788B5A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2ADD86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54CB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ноября 1929 состоялось первое организационное собрание Комитета по развитию воздухоплавания в СССР. Председателем избрали П.И.Б. и решили собирать деньги на фонд дирижаблестроения (438,604).</w:t>
      </w:r>
    </w:p>
    <w:p w14:paraId="6A0087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41865ED" w14:textId="5F1EC386" w:rsidR="003A50FB" w:rsidRPr="006B74EB" w:rsidRDefault="003A50FB" w:rsidP="003A50FB">
      <w:pPr>
        <w:spacing w:after="0" w:line="240" w:lineRule="auto"/>
        <w:jc w:val="both"/>
        <w:rPr>
          <w:rFonts w:ascii="Times New Roman" w:hAnsi="Times New Roman"/>
          <w:color w:val="0070C0"/>
          <w:sz w:val="16"/>
          <w:szCs w:val="16"/>
        </w:rPr>
      </w:pPr>
      <w:r>
        <w:rPr>
          <w:rFonts w:ascii="Times New Roman" w:hAnsi="Times New Roman"/>
          <w:color w:val="0070C0"/>
          <w:sz w:val="16"/>
          <w:szCs w:val="16"/>
        </w:rPr>
        <w:t>28</w:t>
      </w:r>
      <w:r w:rsidRPr="006B74EB">
        <w:rPr>
          <w:rFonts w:ascii="Times New Roman" w:hAnsi="Times New Roman"/>
          <w:color w:val="0070C0"/>
          <w:sz w:val="16"/>
          <w:szCs w:val="16"/>
        </w:rPr>
        <w:t xml:space="preserve"> ноября</w:t>
      </w:r>
      <w:r>
        <w:rPr>
          <w:rFonts w:ascii="Times New Roman" w:hAnsi="Times New Roman"/>
          <w:color w:val="0070C0"/>
          <w:sz w:val="16"/>
          <w:szCs w:val="16"/>
        </w:rPr>
        <w:t xml:space="preserve"> 1929 г</w:t>
      </w:r>
      <w:r w:rsidRPr="006B74EB">
        <w:rPr>
          <w:rFonts w:ascii="Times New Roman" w:hAnsi="Times New Roman"/>
          <w:color w:val="0070C0"/>
          <w:sz w:val="16"/>
          <w:szCs w:val="16"/>
        </w:rPr>
        <w:t>.</w:t>
      </w:r>
      <w:r>
        <w:rPr>
          <w:rFonts w:ascii="Times New Roman" w:hAnsi="Times New Roman"/>
          <w:color w:val="0070C0"/>
          <w:sz w:val="16"/>
          <w:szCs w:val="16"/>
        </w:rPr>
        <w:t xml:space="preserve"> с</w:t>
      </w:r>
      <w:r w:rsidRPr="006B74EB">
        <w:rPr>
          <w:rFonts w:ascii="Times New Roman" w:hAnsi="Times New Roman"/>
          <w:color w:val="0070C0"/>
          <w:sz w:val="16"/>
          <w:szCs w:val="16"/>
        </w:rPr>
        <w:t>остоялось п</w:t>
      </w:r>
      <w:r>
        <w:rPr>
          <w:rFonts w:ascii="Times New Roman" w:hAnsi="Times New Roman"/>
          <w:color w:val="0070C0"/>
          <w:sz w:val="16"/>
          <w:szCs w:val="16"/>
        </w:rPr>
        <w:t>е</w:t>
      </w:r>
      <w:r w:rsidRPr="006B74EB">
        <w:rPr>
          <w:rFonts w:ascii="Times New Roman" w:hAnsi="Times New Roman"/>
          <w:color w:val="0070C0"/>
          <w:sz w:val="16"/>
          <w:szCs w:val="16"/>
        </w:rPr>
        <w:t xml:space="preserve">рвое организационное собрание комитета </w:t>
      </w:r>
      <w:r>
        <w:rPr>
          <w:rFonts w:ascii="Times New Roman" w:hAnsi="Times New Roman"/>
          <w:color w:val="0070C0"/>
          <w:sz w:val="16"/>
          <w:szCs w:val="16"/>
        </w:rPr>
        <w:t>по</w:t>
      </w:r>
      <w:r w:rsidRPr="006B74EB">
        <w:rPr>
          <w:rFonts w:ascii="Times New Roman" w:hAnsi="Times New Roman"/>
          <w:color w:val="0070C0"/>
          <w:sz w:val="16"/>
          <w:szCs w:val="16"/>
        </w:rPr>
        <w:t xml:space="preserve"> развитию воздухоплавания в СССР.</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Председателем комитета был </w:t>
      </w:r>
      <w:r>
        <w:rPr>
          <w:rFonts w:ascii="Times New Roman" w:hAnsi="Times New Roman"/>
          <w:color w:val="0070C0"/>
          <w:sz w:val="16"/>
          <w:szCs w:val="16"/>
        </w:rPr>
        <w:t>и</w:t>
      </w:r>
      <w:r w:rsidRPr="006B74EB">
        <w:rPr>
          <w:rFonts w:ascii="Times New Roman" w:hAnsi="Times New Roman"/>
          <w:color w:val="0070C0"/>
          <w:sz w:val="16"/>
          <w:szCs w:val="16"/>
        </w:rPr>
        <w:t>збран начальник</w:t>
      </w:r>
      <w:r>
        <w:rPr>
          <w:rFonts w:ascii="Times New Roman" w:hAnsi="Times New Roman"/>
          <w:color w:val="0070C0"/>
          <w:sz w:val="16"/>
          <w:szCs w:val="16"/>
        </w:rPr>
        <w:t xml:space="preserve"> ВВС </w:t>
      </w:r>
      <w:r w:rsidRPr="006B74EB">
        <w:rPr>
          <w:rFonts w:ascii="Times New Roman" w:hAnsi="Times New Roman"/>
          <w:color w:val="0070C0"/>
          <w:sz w:val="16"/>
          <w:szCs w:val="16"/>
        </w:rPr>
        <w:t xml:space="preserve">П.И. Баранов. Комитет решил приступить к </w:t>
      </w:r>
      <w:r>
        <w:rPr>
          <w:rFonts w:ascii="Times New Roman" w:hAnsi="Times New Roman"/>
          <w:color w:val="0070C0"/>
          <w:sz w:val="16"/>
          <w:szCs w:val="16"/>
        </w:rPr>
        <w:t>с</w:t>
      </w:r>
      <w:r w:rsidRPr="006B74EB">
        <w:rPr>
          <w:rFonts w:ascii="Times New Roman" w:hAnsi="Times New Roman"/>
          <w:color w:val="0070C0"/>
          <w:sz w:val="16"/>
          <w:szCs w:val="16"/>
        </w:rPr>
        <w:t>бору средств в фонд дирижаблестроения.</w:t>
      </w:r>
      <w:r>
        <w:rPr>
          <w:rFonts w:ascii="Times New Roman" w:hAnsi="Times New Roman"/>
          <w:color w:val="0070C0"/>
          <w:sz w:val="16"/>
          <w:szCs w:val="16"/>
        </w:rPr>
        <w:t xml:space="preserve"> </w:t>
      </w:r>
      <w:r w:rsidRPr="006B74EB">
        <w:rPr>
          <w:rFonts w:ascii="Times New Roman" w:hAnsi="Times New Roman"/>
          <w:color w:val="0070C0"/>
          <w:sz w:val="16"/>
          <w:szCs w:val="16"/>
        </w:rPr>
        <w:t>Члены Комитета тут же внесли по 10</w:t>
      </w:r>
      <w:r>
        <w:rPr>
          <w:rFonts w:ascii="Times New Roman" w:hAnsi="Times New Roman"/>
          <w:color w:val="0070C0"/>
          <w:sz w:val="16"/>
          <w:szCs w:val="16"/>
        </w:rPr>
        <w:t xml:space="preserve"> </w:t>
      </w:r>
      <w:r w:rsidRPr="006B74EB">
        <w:rPr>
          <w:rFonts w:ascii="Times New Roman" w:hAnsi="Times New Roman"/>
          <w:color w:val="0070C0"/>
          <w:sz w:val="16"/>
          <w:szCs w:val="16"/>
        </w:rPr>
        <w:t>рублей ка</w:t>
      </w:r>
      <w:r>
        <w:rPr>
          <w:rFonts w:ascii="Times New Roman" w:hAnsi="Times New Roman"/>
          <w:color w:val="0070C0"/>
          <w:sz w:val="16"/>
          <w:szCs w:val="16"/>
        </w:rPr>
        <w:t>ж</w:t>
      </w:r>
      <w:r w:rsidRPr="006B74EB">
        <w:rPr>
          <w:rFonts w:ascii="Times New Roman" w:hAnsi="Times New Roman"/>
          <w:color w:val="0070C0"/>
          <w:sz w:val="16"/>
          <w:szCs w:val="16"/>
        </w:rPr>
        <w:t>дый.</w:t>
      </w:r>
      <w:r>
        <w:rPr>
          <w:rFonts w:ascii="Times New Roman" w:hAnsi="Times New Roman"/>
          <w:color w:val="0070C0"/>
          <w:sz w:val="16"/>
          <w:szCs w:val="16"/>
        </w:rPr>
        <w:t xml:space="preserve"> </w:t>
      </w:r>
      <w:r w:rsidRPr="006B74EB">
        <w:rPr>
          <w:rFonts w:ascii="Times New Roman" w:hAnsi="Times New Roman"/>
          <w:color w:val="0070C0"/>
          <w:sz w:val="16"/>
          <w:szCs w:val="16"/>
        </w:rPr>
        <w:t xml:space="preserve">Развитию дирижаблестроения был придан широкий </w:t>
      </w:r>
      <w:r>
        <w:rPr>
          <w:rFonts w:ascii="Times New Roman" w:hAnsi="Times New Roman"/>
          <w:color w:val="0070C0"/>
          <w:sz w:val="16"/>
          <w:szCs w:val="16"/>
        </w:rPr>
        <w:t>разма</w:t>
      </w:r>
      <w:r w:rsidRPr="006B74EB">
        <w:rPr>
          <w:rFonts w:ascii="Times New Roman" w:hAnsi="Times New Roman"/>
          <w:color w:val="0070C0"/>
          <w:sz w:val="16"/>
          <w:szCs w:val="16"/>
        </w:rPr>
        <w:t>х с привлечением общественности.</w:t>
      </w:r>
    </w:p>
    <w:p w14:paraId="470B0918" w14:textId="77777777" w:rsidR="003A50FB" w:rsidRDefault="003A50FB" w:rsidP="003A50FB">
      <w:pPr>
        <w:spacing w:after="0" w:line="240" w:lineRule="auto"/>
        <w:jc w:val="both"/>
        <w:rPr>
          <w:rFonts w:ascii="Times New Roman" w:hAnsi="Times New Roman"/>
          <w:color w:val="0070C0"/>
          <w:sz w:val="16"/>
          <w:szCs w:val="16"/>
        </w:rPr>
      </w:pPr>
      <w:r w:rsidRPr="006B74EB">
        <w:rPr>
          <w:rFonts w:ascii="Times New Roman" w:hAnsi="Times New Roman"/>
          <w:color w:val="0070C0"/>
          <w:sz w:val="16"/>
          <w:szCs w:val="16"/>
        </w:rPr>
        <w:t>/"Красная звезда" за 1 декабря 1929 г./</w:t>
      </w:r>
      <w:r>
        <w:rPr>
          <w:rFonts w:ascii="Times New Roman" w:hAnsi="Times New Roman"/>
          <w:color w:val="0070C0"/>
          <w:sz w:val="16"/>
          <w:szCs w:val="16"/>
        </w:rPr>
        <w:t xml:space="preserve"> (23370).</w:t>
      </w:r>
    </w:p>
    <w:p w14:paraId="0D68A8F3" w14:textId="77777777" w:rsidR="003A50FB" w:rsidRDefault="003A50FB" w:rsidP="003A50FB">
      <w:pPr>
        <w:spacing w:after="0" w:line="240" w:lineRule="auto"/>
        <w:jc w:val="both"/>
        <w:rPr>
          <w:rFonts w:ascii="Times New Roman" w:hAnsi="Times New Roman"/>
          <w:color w:val="0070C0"/>
          <w:sz w:val="16"/>
          <w:szCs w:val="16"/>
        </w:rPr>
      </w:pPr>
    </w:p>
    <w:p w14:paraId="3166AEC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4B4B999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E5081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ноября 1929 г. по положению, объявленному приказом РВС СССР No.372/84, на Начальника вооружений возлагались: разработка системы вооружения РККА, руководство усовершенствованием и введением новых образцов вооружения и военной техники, разработка перспективных планов обеспечения РККА вооружением, контроль за выполнением военных заказов промышленными предприятиями, наблюдение за работой Распорядительного заседания СТО, мобилизационно-планового сектора ВСНХ, за научной и конструкторской работой научно-исследовательских институтов и конструкторских бюро. Начальник вооружений подчинялся непосредственно наркому по военным и морским делам, а с июля 1930 г. стал заместителем наркома Ему подчинялись Артиллерийское, Военно-техническое, Военно-химическое управления, Управление механизации и моторизации РККА, Военно-техническая академия; рабочим аппаратом являлся технический штаб.</w:t>
      </w:r>
    </w:p>
    <w:p w14:paraId="6179CD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период с 1930 по 1933 г. последовал ряд организационно-функциональных изменений в аппарате управления начальника вооружений, которые были закреплены новым положением, введенным приказом РВС СССР No.037 от 3 августа 1933 г., и положением об НКО СССР от 22 ноября 1934 г. На начальника вооружений возлагалось руководство строительством всей системы вооружения РККА, наиболее эффективным размещением в военных конструкциях авиационного, бронетанкового, артиллерийского, химического и технического вооружения. Ему непосредственно подчинялись управления: Главное артиллерийское, Военно-химическое, Связи, Военных изобретений, отдел стандартов и </w:t>
      </w:r>
      <w:proofErr w:type="spellStart"/>
      <w:r w:rsidRPr="00A259BD">
        <w:rPr>
          <w:rFonts w:ascii="Times New Roman" w:hAnsi="Times New Roman"/>
          <w:color w:val="000000" w:themeColor="text1"/>
          <w:sz w:val="16"/>
          <w:szCs w:val="16"/>
        </w:rPr>
        <w:t>суррогатирования</w:t>
      </w:r>
      <w:proofErr w:type="spellEnd"/>
      <w:r w:rsidRPr="00A259BD">
        <w:rPr>
          <w:rFonts w:ascii="Times New Roman" w:hAnsi="Times New Roman"/>
          <w:color w:val="000000" w:themeColor="text1"/>
          <w:sz w:val="16"/>
          <w:szCs w:val="16"/>
        </w:rPr>
        <w:t>, а по вопросам вооружения - центральные управления РККА и начальники родов войск. В ноябре 1934 г. было подчинено Управление телемеханики РККА,</w:t>
      </w:r>
    </w:p>
    <w:p w14:paraId="18C9F1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НКО No.055 от 9 апреля 1936 г. было образовано Главное управление вооружения и технического снабжения РККА, во главе его был поставлен начальник вооружений РККА, должность которого получила наименование начальника вооружения и технического снабжения РККА. Помимо прежних функций на него возлагалось планирование всего материально-технического снабжения армии. Он объединял и руководил деятельностью Артиллерийского, Автобронетанкового, Инженерного, Технического, Химического управлений, Управлений связи и Снабжения горючим РККА,</w:t>
      </w:r>
    </w:p>
    <w:p w14:paraId="16553D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НКО No.0114 от 26 июля 1937 г. должность упразднена, аппарат управления реорганизован и передан ряду центральных управлений Красной Армии (11226).</w:t>
      </w:r>
    </w:p>
    <w:p w14:paraId="5F1C49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2B280D"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1AC5AA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C1DBF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28-29 ноября американец Richard E. </w:t>
      </w:r>
      <w:proofErr w:type="spellStart"/>
      <w:r w:rsidRPr="00A259BD">
        <w:rPr>
          <w:rFonts w:ascii="Times New Roman" w:hAnsi="Times New Roman"/>
          <w:color w:val="000000" w:themeColor="text1"/>
          <w:sz w:val="16"/>
          <w:szCs w:val="16"/>
        </w:rPr>
        <w:t>Byrd</w:t>
      </w:r>
      <w:proofErr w:type="spellEnd"/>
      <w:r w:rsidRPr="00A259BD">
        <w:rPr>
          <w:rFonts w:ascii="Times New Roman" w:hAnsi="Times New Roman"/>
          <w:color w:val="000000" w:themeColor="text1"/>
          <w:sz w:val="16"/>
          <w:szCs w:val="16"/>
        </w:rPr>
        <w:t xml:space="preserve"> совершил первый полет над Южным полюсом на Форд-</w:t>
      </w:r>
      <w:proofErr w:type="spellStart"/>
      <w:r w:rsidRPr="00A259BD">
        <w:rPr>
          <w:rFonts w:ascii="Times New Roman" w:hAnsi="Times New Roman"/>
          <w:color w:val="000000" w:themeColor="text1"/>
          <w:sz w:val="16"/>
          <w:szCs w:val="16"/>
        </w:rPr>
        <w:t>тримотор</w:t>
      </w:r>
      <w:proofErr w:type="spellEnd"/>
      <w:r w:rsidRPr="00A259BD">
        <w:rPr>
          <w:rFonts w:ascii="Times New Roman" w:hAnsi="Times New Roman"/>
          <w:color w:val="000000" w:themeColor="text1"/>
          <w:sz w:val="16"/>
          <w:szCs w:val="16"/>
        </w:rPr>
        <w:t xml:space="preserve"> Флойд Беннет (237,158).</w:t>
      </w:r>
    </w:p>
    <w:p w14:paraId="4C48C3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70C2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r w:rsidRPr="00A259BD">
        <w:rPr>
          <w:rFonts w:ascii="Times New Roman" w:hAnsi="Times New Roman"/>
          <w:color w:val="000000" w:themeColor="text1"/>
          <w:sz w:val="16"/>
          <w:szCs w:val="16"/>
          <w:lang w:val="en-US"/>
        </w:rPr>
        <w:t xml:space="preserve">November 29, 1929 The first flight over the South Pole was made in a Ford trimotor named the Floyd Bennett. The flight was commanded by Commander R. E. Byrd who also did the navigating. Bernt </w:t>
      </w:r>
      <w:proofErr w:type="spellStart"/>
      <w:r w:rsidRPr="00A259BD">
        <w:rPr>
          <w:rFonts w:ascii="Times New Roman" w:hAnsi="Times New Roman"/>
          <w:color w:val="000000" w:themeColor="text1"/>
          <w:sz w:val="16"/>
          <w:szCs w:val="16"/>
          <w:lang w:val="en-US"/>
        </w:rPr>
        <w:t>Balchen</w:t>
      </w:r>
      <w:proofErr w:type="spellEnd"/>
      <w:r w:rsidRPr="00A259BD">
        <w:rPr>
          <w:rFonts w:ascii="Times New Roman" w:hAnsi="Times New Roman"/>
          <w:color w:val="000000" w:themeColor="text1"/>
          <w:sz w:val="16"/>
          <w:szCs w:val="16"/>
          <w:lang w:val="en-US"/>
        </w:rPr>
        <w:t xml:space="preserve"> was pilot, Harold June was co-pilot and radio operator and Captain Ashley McKinley, USA photographer. Take-off from Little America on McMurdo Sound was at 10:29 p.m. on the 28th, New York time, and the Pole was reached at 8:55 a.m. on the 29th. The round trip, including a fuel stop on the return flight, required almost 19 hours (1090).</w:t>
      </w:r>
    </w:p>
    <w:p w14:paraId="66F52C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lang w:val="en-US"/>
        </w:rPr>
      </w:pPr>
    </w:p>
    <w:p w14:paraId="66C7FD8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28 ноября 1929 г. был выполнен первый полет к Южному полюсу, </w:t>
      </w:r>
      <w:proofErr w:type="spellStart"/>
      <w:r w:rsidRPr="00A259BD">
        <w:rPr>
          <w:rFonts w:ascii="Times New Roman" w:hAnsi="Times New Roman"/>
          <w:color w:val="000000" w:themeColor="text1"/>
          <w:sz w:val="16"/>
          <w:szCs w:val="16"/>
        </w:rPr>
        <w:t>Р.Бэрд</w:t>
      </w:r>
      <w:proofErr w:type="spellEnd"/>
      <w:r w:rsidRPr="00A259BD">
        <w:rPr>
          <w:rFonts w:ascii="Times New Roman" w:hAnsi="Times New Roman"/>
          <w:color w:val="000000" w:themeColor="text1"/>
          <w:sz w:val="16"/>
          <w:szCs w:val="16"/>
        </w:rPr>
        <w:t xml:space="preserve"> (США) (6395).</w:t>
      </w:r>
    </w:p>
    <w:p w14:paraId="2155B73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62F2B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F06AE6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E5E51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ноября 1929 г. в Севастополе у Константиновской ба</w:t>
      </w:r>
      <w:r w:rsidRPr="00A259BD">
        <w:rPr>
          <w:rFonts w:ascii="Times New Roman" w:hAnsi="Times New Roman"/>
          <w:color w:val="000000" w:themeColor="text1"/>
          <w:sz w:val="16"/>
          <w:szCs w:val="16"/>
        </w:rPr>
        <w:softHyphen/>
        <w:t xml:space="preserve">тареи в 11.45 летчик </w:t>
      </w:r>
      <w:proofErr w:type="spellStart"/>
      <w:r w:rsidRPr="00A259BD">
        <w:rPr>
          <w:rFonts w:ascii="Times New Roman" w:hAnsi="Times New Roman"/>
          <w:color w:val="000000" w:themeColor="text1"/>
          <w:sz w:val="16"/>
          <w:szCs w:val="16"/>
        </w:rPr>
        <w:t>Рыбальчук</w:t>
      </w:r>
      <w:proofErr w:type="spellEnd"/>
      <w:r w:rsidRPr="00A259BD">
        <w:rPr>
          <w:rFonts w:ascii="Times New Roman" w:hAnsi="Times New Roman"/>
          <w:color w:val="000000" w:themeColor="text1"/>
          <w:sz w:val="16"/>
          <w:szCs w:val="16"/>
        </w:rPr>
        <w:t xml:space="preserve"> производил взлеты и посадки на РОМ-2 при сильном волнении моря. На третьей посадке самолет сильно зарылся в волну, в результате были по</w:t>
      </w:r>
      <w:r w:rsidRPr="00A259BD">
        <w:rPr>
          <w:rFonts w:ascii="Times New Roman" w:hAnsi="Times New Roman"/>
          <w:color w:val="000000" w:themeColor="text1"/>
          <w:sz w:val="16"/>
          <w:szCs w:val="16"/>
        </w:rPr>
        <w:softHyphen/>
        <w:t xml:space="preserve">вреждены некоторые конструктивные узлы. О продолжении полетов этого экземпляра РОМ сведения не обнаружены. В подготовленной оценке РОМ-2 </w:t>
      </w:r>
      <w:proofErr w:type="spellStart"/>
      <w:r w:rsidRPr="00A259BD">
        <w:rPr>
          <w:rFonts w:ascii="Times New Roman" w:hAnsi="Times New Roman"/>
          <w:color w:val="000000" w:themeColor="text1"/>
          <w:sz w:val="16"/>
          <w:szCs w:val="16"/>
        </w:rPr>
        <w:t>отмеча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лись</w:t>
      </w:r>
      <w:proofErr w:type="spellEnd"/>
      <w:r w:rsidRPr="00A259BD">
        <w:rPr>
          <w:rFonts w:ascii="Times New Roman" w:hAnsi="Times New Roman"/>
          <w:color w:val="000000" w:themeColor="text1"/>
          <w:sz w:val="16"/>
          <w:szCs w:val="16"/>
        </w:rPr>
        <w:t xml:space="preserve"> удачные обводы лодки, просторная каби</w:t>
      </w:r>
      <w:r w:rsidRPr="00A259BD">
        <w:rPr>
          <w:rFonts w:ascii="Times New Roman" w:hAnsi="Times New Roman"/>
          <w:color w:val="000000" w:themeColor="text1"/>
          <w:sz w:val="16"/>
          <w:szCs w:val="16"/>
        </w:rPr>
        <w:softHyphen/>
        <w:t>на, хороший взлет на волне. Одновременно схема боковых поплавков с низко располо</w:t>
      </w:r>
      <w:r w:rsidRPr="00A259BD">
        <w:rPr>
          <w:rFonts w:ascii="Times New Roman" w:hAnsi="Times New Roman"/>
          <w:color w:val="000000" w:themeColor="text1"/>
          <w:sz w:val="16"/>
          <w:szCs w:val="16"/>
        </w:rPr>
        <w:softHyphen/>
        <w:t>женными крыльями считалась неудачной, местную прочность отдельных элементов определили как недостаточную. Неудовлетворительными определили по</w:t>
      </w:r>
      <w:r w:rsidRPr="00A259BD">
        <w:rPr>
          <w:rFonts w:ascii="Times New Roman" w:hAnsi="Times New Roman"/>
          <w:color w:val="000000" w:themeColor="text1"/>
          <w:sz w:val="16"/>
          <w:szCs w:val="16"/>
        </w:rPr>
        <w:softHyphen/>
        <w:t>летную скорость самолета, маневренность в воздухе и радиус действия 445 км (11978).</w:t>
      </w:r>
    </w:p>
    <w:p w14:paraId="637AEC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E256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ноября 1929 приговоренного к расстрелу Н.Н.П. в Бутырках перевели в другую </w:t>
      </w:r>
      <w:proofErr w:type="spellStart"/>
      <w:r w:rsidRPr="00A259BD">
        <w:rPr>
          <w:rFonts w:ascii="Times New Roman" w:hAnsi="Times New Roman"/>
          <w:color w:val="000000" w:themeColor="text1"/>
          <w:sz w:val="16"/>
          <w:szCs w:val="16"/>
        </w:rPr>
        <w:t>камерую</w:t>
      </w:r>
      <w:proofErr w:type="spellEnd"/>
      <w:r w:rsidRPr="00A259BD">
        <w:rPr>
          <w:rFonts w:ascii="Times New Roman" w:hAnsi="Times New Roman"/>
          <w:color w:val="000000" w:themeColor="text1"/>
          <w:sz w:val="16"/>
          <w:szCs w:val="16"/>
        </w:rPr>
        <w:t xml:space="preserve"> Он встретил там </w:t>
      </w:r>
      <w:proofErr w:type="spellStart"/>
      <w:r w:rsidRPr="00A259BD">
        <w:rPr>
          <w:rFonts w:ascii="Times New Roman" w:hAnsi="Times New Roman"/>
          <w:color w:val="000000" w:themeColor="text1"/>
          <w:sz w:val="16"/>
          <w:szCs w:val="16"/>
        </w:rPr>
        <w:t>И.М.Косткина</w:t>
      </w:r>
      <w:proofErr w:type="spellEnd"/>
      <w:r w:rsidRPr="00A259BD">
        <w:rPr>
          <w:rFonts w:ascii="Times New Roman" w:hAnsi="Times New Roman"/>
          <w:color w:val="000000" w:themeColor="text1"/>
          <w:sz w:val="16"/>
          <w:szCs w:val="16"/>
        </w:rPr>
        <w:t xml:space="preserve">. Затем в тот же день подселили </w:t>
      </w:r>
      <w:proofErr w:type="spellStart"/>
      <w:r w:rsidRPr="00A259BD">
        <w:rPr>
          <w:rFonts w:ascii="Times New Roman" w:hAnsi="Times New Roman"/>
          <w:color w:val="000000" w:themeColor="text1"/>
          <w:sz w:val="16"/>
          <w:szCs w:val="16"/>
        </w:rPr>
        <w:t>В.а.Тисова</w:t>
      </w:r>
      <w:proofErr w:type="spellEnd"/>
      <w:r w:rsidRPr="00A259BD">
        <w:rPr>
          <w:rFonts w:ascii="Times New Roman" w:hAnsi="Times New Roman"/>
          <w:color w:val="000000" w:themeColor="text1"/>
          <w:sz w:val="16"/>
          <w:szCs w:val="16"/>
        </w:rPr>
        <w:t xml:space="preserve"> (7383, 2).</w:t>
      </w:r>
    </w:p>
    <w:p w14:paraId="6F1342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DA7332" w14:textId="293DDB53"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ноября 1929 г. </w:t>
      </w:r>
      <w:proofErr w:type="spellStart"/>
      <w:r w:rsidRPr="00A259BD">
        <w:rPr>
          <w:rFonts w:ascii="Times New Roman" w:hAnsi="Times New Roman"/>
          <w:color w:val="000000" w:themeColor="text1"/>
          <w:sz w:val="16"/>
          <w:szCs w:val="16"/>
        </w:rPr>
        <w:t>Н.Н.Поликарпова</w:t>
      </w:r>
      <w:proofErr w:type="spellEnd"/>
      <w:r w:rsidRPr="00A259BD">
        <w:rPr>
          <w:rFonts w:ascii="Times New Roman" w:hAnsi="Times New Roman"/>
          <w:color w:val="000000" w:themeColor="text1"/>
          <w:sz w:val="16"/>
          <w:szCs w:val="16"/>
        </w:rPr>
        <w:t xml:space="preserve"> взяли с вещами и перевели в другую камеру. К своему изумлению он уви</w:t>
      </w:r>
      <w:r w:rsidRPr="00A259BD">
        <w:rPr>
          <w:rFonts w:ascii="Times New Roman" w:hAnsi="Times New Roman"/>
          <w:color w:val="000000" w:themeColor="text1"/>
          <w:sz w:val="16"/>
          <w:szCs w:val="16"/>
        </w:rPr>
        <w:softHyphen/>
        <w:t xml:space="preserve">дел там Ивана Михайловича Косткина. Не успели они обменяться несколькими фразами, как в камеру ввели Василия Александровича </w:t>
      </w:r>
      <w:proofErr w:type="spellStart"/>
      <w:r w:rsidRPr="00A259BD">
        <w:rPr>
          <w:rFonts w:ascii="Times New Roman" w:hAnsi="Times New Roman"/>
          <w:color w:val="000000" w:themeColor="text1"/>
          <w:sz w:val="16"/>
          <w:szCs w:val="16"/>
        </w:rPr>
        <w:t>Тисова</w:t>
      </w:r>
      <w:proofErr w:type="spellEnd"/>
      <w:r w:rsidRPr="00A259BD">
        <w:rPr>
          <w:rFonts w:ascii="Times New Roman" w:hAnsi="Times New Roman"/>
          <w:color w:val="000000" w:themeColor="text1"/>
          <w:sz w:val="16"/>
          <w:szCs w:val="16"/>
        </w:rPr>
        <w:t>. Затем внесли две кой</w:t>
      </w:r>
      <w:r w:rsidRPr="00A259BD">
        <w:rPr>
          <w:rFonts w:ascii="Times New Roman" w:hAnsi="Times New Roman"/>
          <w:color w:val="000000" w:themeColor="text1"/>
          <w:sz w:val="16"/>
          <w:szCs w:val="16"/>
        </w:rPr>
        <w:softHyphen/>
        <w:t>ки и предложили располагаться. Начались разговоры, которым не было конца. На следующее утро всем троим приказали надеть пальто. Вместе с сопровождающим охранником они вы</w:t>
      </w:r>
      <w:r w:rsidRPr="00A259BD">
        <w:rPr>
          <w:rFonts w:ascii="Times New Roman" w:hAnsi="Times New Roman"/>
          <w:color w:val="000000" w:themeColor="text1"/>
          <w:sz w:val="16"/>
          <w:szCs w:val="16"/>
        </w:rPr>
        <w:softHyphen/>
        <w:t>шли в тюремный двор, поднялись на второй этаж отдельно стоящего внутри Бутырской тюрьмы здания. Вид комнаты для тюрьмы был необычен: в удобном, просторном и светлом помещении в ряд стояли чертеж</w:t>
      </w:r>
      <w:r w:rsidRPr="00A259BD">
        <w:rPr>
          <w:rFonts w:ascii="Times New Roman" w:hAnsi="Times New Roman"/>
          <w:color w:val="000000" w:themeColor="text1"/>
          <w:sz w:val="16"/>
          <w:szCs w:val="16"/>
        </w:rPr>
        <w:softHyphen/>
        <w:t>ные доски, на столах лежали чертежные принадлежнос</w:t>
      </w:r>
      <w:r w:rsidRPr="00A259BD">
        <w:rPr>
          <w:rFonts w:ascii="Times New Roman" w:hAnsi="Times New Roman"/>
          <w:color w:val="000000" w:themeColor="text1"/>
          <w:sz w:val="16"/>
          <w:szCs w:val="16"/>
        </w:rPr>
        <w:softHyphen/>
        <w:t xml:space="preserve">ти, научно-техническая литература. Там постепенно собрались хорошо знакомые между собой заключенные конструкторы и инженеры. </w:t>
      </w:r>
      <w:proofErr w:type="spellStart"/>
      <w:r w:rsidRPr="00A259BD">
        <w:rPr>
          <w:rFonts w:ascii="Times New Roman" w:hAnsi="Times New Roman"/>
          <w:color w:val="000000" w:themeColor="text1"/>
          <w:sz w:val="16"/>
          <w:szCs w:val="16"/>
        </w:rPr>
        <w:t>Д.П.Григорович</w:t>
      </w:r>
      <w:proofErr w:type="spellEnd"/>
      <w:r w:rsidRPr="00A259BD">
        <w:rPr>
          <w:rFonts w:ascii="Times New Roman" w:hAnsi="Times New Roman"/>
          <w:color w:val="000000" w:themeColor="text1"/>
          <w:sz w:val="16"/>
          <w:szCs w:val="16"/>
        </w:rPr>
        <w:t xml:space="preserve"> объявил, что ему поручено из числа арестованных скомплекто</w:t>
      </w:r>
      <w:r w:rsidRPr="00A259BD">
        <w:rPr>
          <w:rFonts w:ascii="Times New Roman" w:hAnsi="Times New Roman"/>
          <w:color w:val="000000" w:themeColor="text1"/>
          <w:sz w:val="16"/>
          <w:szCs w:val="16"/>
        </w:rPr>
        <w:softHyphen/>
        <w:t>вать конструкторскую группу для создания новой тех</w:t>
      </w:r>
      <w:r w:rsidRPr="00A259BD">
        <w:rPr>
          <w:rFonts w:ascii="Times New Roman" w:hAnsi="Times New Roman"/>
          <w:color w:val="000000" w:themeColor="text1"/>
          <w:sz w:val="16"/>
          <w:szCs w:val="16"/>
        </w:rPr>
        <w:softHyphen/>
        <w:t>ники. Тут же распределили обязанности каждого. Перед обедом всем предложили выйти на прогулку в примы</w:t>
      </w:r>
      <w:r w:rsidRPr="00A259BD">
        <w:rPr>
          <w:rFonts w:ascii="Times New Roman" w:hAnsi="Times New Roman"/>
          <w:color w:val="000000" w:themeColor="text1"/>
          <w:sz w:val="16"/>
          <w:szCs w:val="16"/>
        </w:rPr>
        <w:softHyphen/>
        <w:t xml:space="preserve">кающий к зданию садик. Обедали за рабочими столами, качество пищи было лучше, чем в камерах. Так началась работа Особого конструкторского бюро (ОКБ). Его начальником являлся представитель ОГПУ </w:t>
      </w:r>
      <w:proofErr w:type="spellStart"/>
      <w:r w:rsidRPr="00A259BD">
        <w:rPr>
          <w:rFonts w:ascii="Times New Roman" w:hAnsi="Times New Roman"/>
          <w:color w:val="000000" w:themeColor="text1"/>
          <w:sz w:val="16"/>
          <w:szCs w:val="16"/>
        </w:rPr>
        <w:t>Горьянов</w:t>
      </w:r>
      <w:proofErr w:type="spellEnd"/>
      <w:r w:rsidRPr="00A259BD">
        <w:rPr>
          <w:rFonts w:ascii="Times New Roman" w:hAnsi="Times New Roman"/>
          <w:color w:val="000000" w:themeColor="text1"/>
          <w:sz w:val="16"/>
          <w:szCs w:val="16"/>
        </w:rPr>
        <w:t xml:space="preserve">. Другой представитель ОГПУ </w:t>
      </w:r>
      <w:proofErr w:type="spellStart"/>
      <w:r w:rsidRPr="00A259BD">
        <w:rPr>
          <w:rFonts w:ascii="Times New Roman" w:hAnsi="Times New Roman"/>
          <w:color w:val="000000" w:themeColor="text1"/>
          <w:sz w:val="16"/>
          <w:szCs w:val="16"/>
        </w:rPr>
        <w:t>Змуда</w:t>
      </w:r>
      <w:proofErr w:type="spellEnd"/>
      <w:r w:rsidRPr="00A259BD">
        <w:rPr>
          <w:rFonts w:ascii="Times New Roman" w:hAnsi="Times New Roman"/>
          <w:color w:val="000000" w:themeColor="text1"/>
          <w:sz w:val="16"/>
          <w:szCs w:val="16"/>
        </w:rPr>
        <w:t xml:space="preserve"> отвечал за организацию труда и быта. После обеда приехал заместитель начальника ВВС </w:t>
      </w:r>
      <w:proofErr w:type="spellStart"/>
      <w:r w:rsidRPr="00A259BD">
        <w:rPr>
          <w:rFonts w:ascii="Times New Roman" w:hAnsi="Times New Roman"/>
          <w:color w:val="000000" w:themeColor="text1"/>
          <w:sz w:val="16"/>
          <w:szCs w:val="16"/>
        </w:rPr>
        <w:t>Я.И.Алкснис</w:t>
      </w:r>
      <w:proofErr w:type="spellEnd"/>
      <w:r w:rsidRPr="00A259BD">
        <w:rPr>
          <w:rFonts w:ascii="Times New Roman" w:hAnsi="Times New Roman"/>
          <w:color w:val="000000" w:themeColor="text1"/>
          <w:sz w:val="16"/>
          <w:szCs w:val="16"/>
        </w:rPr>
        <w:t xml:space="preserve"> и выдал задание на проектирование ряда са</w:t>
      </w:r>
      <w:r w:rsidRPr="00A259BD">
        <w:rPr>
          <w:rFonts w:ascii="Times New Roman" w:hAnsi="Times New Roman"/>
          <w:color w:val="000000" w:themeColor="text1"/>
          <w:sz w:val="16"/>
          <w:szCs w:val="16"/>
        </w:rPr>
        <w:softHyphen/>
        <w:t>молетов, в том числе маневренного истребителя с двига</w:t>
      </w:r>
      <w:r w:rsidRPr="00A259BD">
        <w:rPr>
          <w:rFonts w:ascii="Times New Roman" w:hAnsi="Times New Roman"/>
          <w:color w:val="000000" w:themeColor="text1"/>
          <w:sz w:val="16"/>
          <w:szCs w:val="16"/>
        </w:rPr>
        <w:softHyphen/>
        <w:t>телем воздушного охлаждения. Оно повторяло задание на истребитель И-5, с которым конструкторское бюро ЦАГИ не справилось. Проект предстояло завершить к марту 1930 г. и тогда же представить на рассмотрение в НТК ВВС. Продувки моделей в аэродинамической трубе, как и проведение других исследований “на стороне”, не предусматривались. Поликарпов, истосковавшись по работе за время за</w:t>
      </w:r>
      <w:r w:rsidRPr="00A259BD">
        <w:rPr>
          <w:rFonts w:ascii="Times New Roman" w:hAnsi="Times New Roman"/>
          <w:color w:val="000000" w:themeColor="text1"/>
          <w:sz w:val="16"/>
          <w:szCs w:val="16"/>
        </w:rPr>
        <w:softHyphen/>
        <w:t>ключения, с головой ушел в эскизное проектирование. Работа отвлекала его от грустных мыслей. Параллельно эскизы истребителя набрасывали и другие конструкто</w:t>
      </w:r>
      <w:r w:rsidRPr="00A259BD">
        <w:rPr>
          <w:rFonts w:ascii="Times New Roman" w:hAnsi="Times New Roman"/>
          <w:color w:val="000000" w:themeColor="text1"/>
          <w:sz w:val="16"/>
          <w:szCs w:val="16"/>
        </w:rPr>
        <w:softHyphen/>
        <w:t xml:space="preserve">ры, в том числе </w:t>
      </w:r>
      <w:proofErr w:type="spellStart"/>
      <w:r w:rsidRPr="00A259BD">
        <w:rPr>
          <w:rFonts w:ascii="Times New Roman" w:hAnsi="Times New Roman"/>
          <w:color w:val="000000" w:themeColor="text1"/>
          <w:sz w:val="16"/>
          <w:szCs w:val="16"/>
        </w:rPr>
        <w:t>Д.П.Григорович</w:t>
      </w:r>
      <w:proofErr w:type="spellEnd"/>
      <w:r w:rsidRPr="00A259BD">
        <w:rPr>
          <w:rFonts w:ascii="Times New Roman" w:hAnsi="Times New Roman"/>
          <w:color w:val="000000" w:themeColor="text1"/>
          <w:sz w:val="16"/>
          <w:szCs w:val="16"/>
        </w:rPr>
        <w:t>. После обсуждения про</w:t>
      </w:r>
      <w:r w:rsidRPr="00A259BD">
        <w:rPr>
          <w:rFonts w:ascii="Times New Roman" w:hAnsi="Times New Roman"/>
          <w:color w:val="000000" w:themeColor="text1"/>
          <w:sz w:val="16"/>
          <w:szCs w:val="16"/>
        </w:rPr>
        <w:softHyphen/>
        <w:t>ектов остановились на двух вариантах: Григоровича и Поликарпова. Наиболее существенно они расходились в хвостовой части фюзеляжа. Дмитрий Павлович предпо</w:t>
      </w:r>
      <w:r w:rsidRPr="00A259BD">
        <w:rPr>
          <w:rFonts w:ascii="Times New Roman" w:hAnsi="Times New Roman"/>
          <w:color w:val="000000" w:themeColor="text1"/>
          <w:sz w:val="16"/>
          <w:szCs w:val="16"/>
        </w:rPr>
        <w:softHyphen/>
        <w:t>лагал сделать ее конической, как позже это было им реа</w:t>
      </w:r>
      <w:r w:rsidRPr="00A259BD">
        <w:rPr>
          <w:rFonts w:ascii="Times New Roman" w:hAnsi="Times New Roman"/>
          <w:color w:val="000000" w:themeColor="text1"/>
          <w:sz w:val="16"/>
          <w:szCs w:val="16"/>
        </w:rPr>
        <w:softHyphen/>
        <w:t>лизовано в истребителях И-2, ИП-1. Надо отметить, что в отличие от других конструкторов, начинавших проек</w:t>
      </w:r>
      <w:r w:rsidRPr="00A259BD">
        <w:rPr>
          <w:rFonts w:ascii="Times New Roman" w:hAnsi="Times New Roman"/>
          <w:color w:val="000000" w:themeColor="text1"/>
          <w:sz w:val="16"/>
          <w:szCs w:val="16"/>
        </w:rPr>
        <w:softHyphen/>
        <w:t xml:space="preserve">тирование истребителя “с нуля”, у Николая Николаевича был за плечами опыт разработки </w:t>
      </w:r>
      <w:r w:rsidRPr="00A259BD">
        <w:rPr>
          <w:rFonts w:ascii="Times New Roman" w:hAnsi="Times New Roman"/>
          <w:color w:val="000000" w:themeColor="text1"/>
          <w:sz w:val="16"/>
          <w:szCs w:val="16"/>
        </w:rPr>
        <w:lastRenderedPageBreak/>
        <w:t>близких по типу ма</w:t>
      </w:r>
      <w:r w:rsidRPr="00A259BD">
        <w:rPr>
          <w:rFonts w:ascii="Times New Roman" w:hAnsi="Times New Roman"/>
          <w:color w:val="000000" w:themeColor="text1"/>
          <w:sz w:val="16"/>
          <w:szCs w:val="16"/>
        </w:rPr>
        <w:softHyphen/>
        <w:t>шин: И-3, И-5 (1927 г.), И-6, И-7 (1929 г.). Это создавало известную гарантию успеха (немаловажную для нахо</w:t>
      </w:r>
      <w:r w:rsidRPr="00A259BD">
        <w:rPr>
          <w:rFonts w:ascii="Times New Roman" w:hAnsi="Times New Roman"/>
          <w:color w:val="000000" w:themeColor="text1"/>
          <w:sz w:val="16"/>
          <w:szCs w:val="16"/>
        </w:rPr>
        <w:softHyphen/>
        <w:t>дившихся в заключении инженеров), поэтому большин</w:t>
      </w:r>
      <w:r w:rsidRPr="00A259BD">
        <w:rPr>
          <w:rFonts w:ascii="Times New Roman" w:hAnsi="Times New Roman"/>
          <w:color w:val="000000" w:themeColor="text1"/>
          <w:sz w:val="16"/>
          <w:szCs w:val="16"/>
        </w:rPr>
        <w:softHyphen/>
        <w:t>ство высказалось в пользу проекта Поликарпова. Дмитрий Павлович Григорович, который был по на</w:t>
      </w:r>
      <w:r w:rsidRPr="00A259BD">
        <w:rPr>
          <w:rFonts w:ascii="Times New Roman" w:hAnsi="Times New Roman"/>
          <w:color w:val="000000" w:themeColor="text1"/>
          <w:sz w:val="16"/>
          <w:szCs w:val="16"/>
        </w:rPr>
        <w:softHyphen/>
        <w:t>туре человеком резким, защищая свой взгляд на проек</w:t>
      </w:r>
      <w:r w:rsidRPr="00A259BD">
        <w:rPr>
          <w:rFonts w:ascii="Times New Roman" w:hAnsi="Times New Roman"/>
          <w:color w:val="000000" w:themeColor="text1"/>
          <w:sz w:val="16"/>
          <w:szCs w:val="16"/>
        </w:rPr>
        <w:softHyphen/>
        <w:t>тирование, вспылил. В горячих спорах устранить разногласия не удалось. На следующий день Григоро</w:t>
      </w:r>
      <w:r w:rsidRPr="00A259BD">
        <w:rPr>
          <w:rFonts w:ascii="Times New Roman" w:hAnsi="Times New Roman"/>
          <w:color w:val="000000" w:themeColor="text1"/>
          <w:sz w:val="16"/>
          <w:szCs w:val="16"/>
        </w:rPr>
        <w:softHyphen/>
        <w:t xml:space="preserve">вич сказался больным и не вышел из камеры. Для того, чтобы сдвинуть дело с мертвой точки, по предложению </w:t>
      </w:r>
      <w:proofErr w:type="spellStart"/>
      <w:r w:rsidRPr="00A259BD">
        <w:rPr>
          <w:rFonts w:ascii="Times New Roman" w:hAnsi="Times New Roman"/>
          <w:color w:val="000000" w:themeColor="text1"/>
          <w:sz w:val="16"/>
          <w:szCs w:val="16"/>
        </w:rPr>
        <w:t>И.М.Косткина</w:t>
      </w:r>
      <w:proofErr w:type="spellEnd"/>
      <w:r w:rsidRPr="00A259BD">
        <w:rPr>
          <w:rFonts w:ascii="Times New Roman" w:hAnsi="Times New Roman"/>
          <w:color w:val="000000" w:themeColor="text1"/>
          <w:sz w:val="16"/>
          <w:szCs w:val="16"/>
        </w:rPr>
        <w:t xml:space="preserve"> к Дмитрию Павловичу для переговоров.; направили </w:t>
      </w:r>
      <w:proofErr w:type="spellStart"/>
      <w:r w:rsidRPr="00A259BD">
        <w:rPr>
          <w:rFonts w:ascii="Times New Roman" w:hAnsi="Times New Roman"/>
          <w:color w:val="000000" w:themeColor="text1"/>
          <w:sz w:val="16"/>
          <w:szCs w:val="16"/>
        </w:rPr>
        <w:t>В.Л.Корвина</w:t>
      </w:r>
      <w:proofErr w:type="spellEnd"/>
      <w:r w:rsidRPr="00A259BD">
        <w:rPr>
          <w:rFonts w:ascii="Times New Roman" w:hAnsi="Times New Roman"/>
          <w:color w:val="000000" w:themeColor="text1"/>
          <w:sz w:val="16"/>
          <w:szCs w:val="16"/>
        </w:rPr>
        <w:t xml:space="preserve">. Он сумел убедить Григоровича в достоинствах проекта Поликарпова. Работа </w:t>
      </w:r>
      <w:proofErr w:type="spellStart"/>
      <w:r w:rsidRPr="00A259BD">
        <w:rPr>
          <w:rFonts w:ascii="Times New Roman" w:hAnsi="Times New Roman"/>
          <w:color w:val="000000" w:themeColor="text1"/>
          <w:sz w:val="16"/>
          <w:szCs w:val="16"/>
        </w:rPr>
        <w:t>возобно</w:t>
      </w:r>
      <w:proofErr w:type="spellEnd"/>
      <w:r w:rsidRPr="00A259BD">
        <w:rPr>
          <w:rFonts w:ascii="Times New Roman" w:hAnsi="Times New Roman"/>
          <w:color w:val="000000" w:themeColor="text1"/>
          <w:sz w:val="16"/>
          <w:szCs w:val="16"/>
        </w:rPr>
        <w:t xml:space="preserve">- \ вилась. Дмитрий Павлович был отходчивым человеком” I через день он, как ни в чем ни бывало, приступил к </w:t>
      </w:r>
      <w:proofErr w:type="spellStart"/>
      <w:r w:rsidRPr="00A259BD">
        <w:rPr>
          <w:rFonts w:ascii="Times New Roman" w:hAnsi="Times New Roman"/>
          <w:color w:val="000000" w:themeColor="text1"/>
          <w:sz w:val="16"/>
          <w:szCs w:val="16"/>
        </w:rPr>
        <w:t>ис</w:t>
      </w:r>
      <w:proofErr w:type="spellEnd"/>
      <w:r w:rsidRPr="00A259BD">
        <w:rPr>
          <w:rFonts w:ascii="Times New Roman" w:hAnsi="Times New Roman"/>
          <w:color w:val="000000" w:themeColor="text1"/>
          <w:sz w:val="16"/>
          <w:szCs w:val="16"/>
        </w:rPr>
        <w:t xml:space="preserve">-У </w:t>
      </w:r>
      <w:proofErr w:type="spellStart"/>
      <w:r w:rsidRPr="00A259BD">
        <w:rPr>
          <w:rFonts w:ascii="Times New Roman" w:hAnsi="Times New Roman"/>
          <w:color w:val="000000" w:themeColor="text1"/>
          <w:sz w:val="16"/>
          <w:szCs w:val="16"/>
        </w:rPr>
        <w:t>полнению</w:t>
      </w:r>
      <w:proofErr w:type="spellEnd"/>
      <w:r w:rsidRPr="00A259BD">
        <w:rPr>
          <w:rFonts w:ascii="Times New Roman" w:hAnsi="Times New Roman"/>
          <w:color w:val="000000" w:themeColor="text1"/>
          <w:sz w:val="16"/>
          <w:szCs w:val="16"/>
        </w:rPr>
        <w:t xml:space="preserve"> своих обязанностей и сам активно участво-1 вал в разработке машины. Основные расчеты вели! </w:t>
      </w:r>
      <w:proofErr w:type="spellStart"/>
      <w:r w:rsidRPr="00A259BD">
        <w:rPr>
          <w:rFonts w:ascii="Times New Roman" w:hAnsi="Times New Roman"/>
          <w:color w:val="000000" w:themeColor="text1"/>
          <w:sz w:val="16"/>
          <w:szCs w:val="16"/>
        </w:rPr>
        <w:t>Б.Ф.Гончаров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В.В.Калинин</w:t>
      </w:r>
      <w:proofErr w:type="spellEnd"/>
      <w:r w:rsidRPr="00A259BD">
        <w:rPr>
          <w:rFonts w:ascii="Times New Roman" w:hAnsi="Times New Roman"/>
          <w:color w:val="000000" w:themeColor="text1"/>
          <w:sz w:val="16"/>
          <w:szCs w:val="16"/>
        </w:rPr>
        <w:t xml:space="preserve"> при участии Н.Н.Поликар-1пова и </w:t>
      </w:r>
      <w:proofErr w:type="spellStart"/>
      <w:r w:rsidRPr="00A259BD">
        <w:rPr>
          <w:rFonts w:ascii="Times New Roman" w:hAnsi="Times New Roman"/>
          <w:color w:val="000000" w:themeColor="text1"/>
          <w:sz w:val="16"/>
          <w:szCs w:val="16"/>
        </w:rPr>
        <w:t>Д.П.Григоровича</w:t>
      </w:r>
      <w:proofErr w:type="spellEnd"/>
      <w:r w:rsidRPr="00A259BD">
        <w:rPr>
          <w:rFonts w:ascii="Times New Roman" w:hAnsi="Times New Roman"/>
          <w:color w:val="000000" w:themeColor="text1"/>
          <w:sz w:val="16"/>
          <w:szCs w:val="16"/>
        </w:rPr>
        <w:t>. Проектируемые машины по</w:t>
      </w:r>
      <w:r w:rsidRPr="00A259BD">
        <w:rPr>
          <w:rFonts w:ascii="Times New Roman" w:hAnsi="Times New Roman"/>
          <w:color w:val="000000" w:themeColor="text1"/>
          <w:sz w:val="16"/>
          <w:szCs w:val="16"/>
        </w:rPr>
        <w:softHyphen/>
        <w:t>лучали обозначение ВТ, что означало “внутренняя тюрьма”, и соответствующий порядковый номер разра</w:t>
      </w:r>
      <w:r w:rsidRPr="00A259BD">
        <w:rPr>
          <w:rFonts w:ascii="Times New Roman" w:hAnsi="Times New Roman"/>
          <w:color w:val="000000" w:themeColor="text1"/>
          <w:sz w:val="16"/>
          <w:szCs w:val="16"/>
        </w:rPr>
        <w:softHyphen/>
        <w:t>ботки (10667).</w:t>
      </w:r>
    </w:p>
    <w:p w14:paraId="67822A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95A7E6" w14:textId="77777777" w:rsidR="006752AA" w:rsidRPr="00A259BD" w:rsidRDefault="006752A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ноября 1929 г. </w:t>
      </w:r>
      <w:proofErr w:type="spellStart"/>
      <w:r w:rsidRPr="00A259BD">
        <w:rPr>
          <w:rFonts w:ascii="Times New Roman" w:hAnsi="Times New Roman"/>
          <w:color w:val="000000" w:themeColor="text1"/>
          <w:sz w:val="16"/>
          <w:szCs w:val="16"/>
        </w:rPr>
        <w:t>юыд</w:t>
      </w:r>
      <w:proofErr w:type="spellEnd"/>
      <w:r w:rsidRPr="00A259BD">
        <w:rPr>
          <w:rFonts w:ascii="Times New Roman" w:hAnsi="Times New Roman"/>
          <w:color w:val="000000" w:themeColor="text1"/>
          <w:sz w:val="16"/>
          <w:szCs w:val="16"/>
        </w:rPr>
        <w:t xml:space="preserve"> подготовлен доклад </w:t>
      </w:r>
      <w:proofErr w:type="spellStart"/>
      <w:r w:rsidRPr="00A259BD">
        <w:rPr>
          <w:rFonts w:ascii="Times New Roman" w:hAnsi="Times New Roman"/>
          <w:color w:val="000000" w:themeColor="text1"/>
          <w:sz w:val="16"/>
          <w:szCs w:val="16"/>
        </w:rPr>
        <w:t>Главконцесскому</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заместителя уполномоченного НКВМ при НКТ СССР </w:t>
      </w:r>
      <w:proofErr w:type="spellStart"/>
      <w:r w:rsidRPr="00A259BD">
        <w:rPr>
          <w:rFonts w:ascii="Times New Roman" w:hAnsi="Times New Roman"/>
          <w:color w:val="000000" w:themeColor="text1"/>
          <w:sz w:val="16"/>
          <w:szCs w:val="16"/>
        </w:rPr>
        <w:t>Дубянского</w:t>
      </w:r>
      <w:proofErr w:type="spellEnd"/>
      <w:r w:rsidRPr="00A259BD">
        <w:rPr>
          <w:rFonts w:ascii="Times New Roman" w:hAnsi="Times New Roman"/>
          <w:color w:val="000000" w:themeColor="text1"/>
          <w:sz w:val="16"/>
          <w:szCs w:val="16"/>
        </w:rPr>
        <w:t>:</w:t>
      </w:r>
    </w:p>
    <w:p w14:paraId="1356D97B" w14:textId="77777777" w:rsidR="006752AA" w:rsidRPr="00A259BD" w:rsidRDefault="006752A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«Нашему уполномоченному в Берлине было дано задание провести переговоры с доктором Хейнкель о возможности его перехода со всем техническим и руководящим составом на работу к нам в Союз. Практически в настоящее время наш уполномоченный поставил перед Хейнкелем вопрос о переброске части Конструкторского отдела Хейнкеля в СССР. Фирма согласилась это предложение рассмотреть, на что потребовала 7-10-дневный срок.</w:t>
      </w:r>
    </w:p>
    <w:p w14:paraId="05E1FCA2" w14:textId="77777777" w:rsidR="006752AA" w:rsidRPr="00A259BD" w:rsidRDefault="006752A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Судя по первому </w:t>
      </w:r>
      <w:proofErr w:type="spellStart"/>
      <w:r w:rsidRPr="00A259BD">
        <w:rPr>
          <w:rFonts w:ascii="Times New Roman" w:hAnsi="Times New Roman"/>
          <w:color w:val="000000" w:themeColor="text1"/>
          <w:sz w:val="16"/>
          <w:szCs w:val="16"/>
        </w:rPr>
        <w:t>впечателению</w:t>
      </w:r>
      <w:proofErr w:type="spellEnd"/>
      <w:r w:rsidRPr="00A259BD">
        <w:rPr>
          <w:rFonts w:ascii="Times New Roman" w:hAnsi="Times New Roman"/>
          <w:color w:val="000000" w:themeColor="text1"/>
          <w:sz w:val="16"/>
          <w:szCs w:val="16"/>
        </w:rPr>
        <w:t xml:space="preserve">, наше предложение фирме кажется щекотливым, и </w:t>
      </w:r>
      <w:proofErr w:type="spellStart"/>
      <w:r w:rsidRPr="00A259BD">
        <w:rPr>
          <w:rFonts w:ascii="Times New Roman" w:hAnsi="Times New Roman"/>
          <w:color w:val="000000" w:themeColor="text1"/>
          <w:sz w:val="16"/>
          <w:szCs w:val="16"/>
        </w:rPr>
        <w:t>др</w:t>
      </w:r>
      <w:proofErr w:type="spellEnd"/>
      <w:r w:rsidRPr="00A259BD">
        <w:rPr>
          <w:rFonts w:ascii="Times New Roman" w:hAnsi="Times New Roman"/>
          <w:color w:val="000000" w:themeColor="text1"/>
          <w:sz w:val="16"/>
          <w:szCs w:val="16"/>
        </w:rPr>
        <w:t xml:space="preserve"> Хейнкель не совсем ясно представляет себе организационную форму такой совместной работы…»</w:t>
      </w:r>
    </w:p>
    <w:p w14:paraId="49A58820" w14:textId="77777777" w:rsidR="006752AA" w:rsidRPr="00A259BD" w:rsidRDefault="006752A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Переписка </w:t>
      </w:r>
      <w:proofErr w:type="spellStart"/>
      <w:r w:rsidRPr="00A259BD">
        <w:rPr>
          <w:rFonts w:ascii="Times New Roman" w:hAnsi="Times New Roman"/>
          <w:color w:val="000000" w:themeColor="text1"/>
          <w:sz w:val="16"/>
          <w:szCs w:val="16"/>
        </w:rPr>
        <w:t>Главконцесскома</w:t>
      </w:r>
      <w:proofErr w:type="spellEnd"/>
      <w:r w:rsidRPr="00A259BD">
        <w:rPr>
          <w:rFonts w:ascii="Times New Roman" w:hAnsi="Times New Roman"/>
          <w:color w:val="000000" w:themeColor="text1"/>
          <w:sz w:val="16"/>
          <w:szCs w:val="16"/>
        </w:rPr>
        <w:t xml:space="preserve"> свидетельствует о том, что в правлении фирмы «Хейнкель» советское предложение рассматривали со всей серьезностью:</w:t>
      </w:r>
    </w:p>
    <w:p w14:paraId="6E641315" w14:textId="77777777" w:rsidR="006752AA" w:rsidRPr="00A259BD" w:rsidRDefault="006752A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«Дополнительно… ставлю вас в известность, что мною получено от нашего уполномоченного в Берлине сообщение о принципиальном согласии ф-мы Хейнкеля на совместную работу в СССР. Окончательное свое решение ф. Хейнкель даст по получении от нас полных данных о реальных формах сотрудничества и конкретных условиях, на которых желательно для нас привлечь фирму к сотрудничеству».</w:t>
      </w:r>
    </w:p>
    <w:p w14:paraId="103CF635" w14:textId="77777777" w:rsidR="006752AA" w:rsidRPr="00A259BD" w:rsidRDefault="006752A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Исходя из анализа имеющихся в распоряжении документов, можно предположить, что в процессе переговоров о «переезде Хейнкеля в СССР» постепенно был выработан вариант, напоминавший бегство Фоккера в Голландию. Сам Эрнст Хейнкель, скорее всего, согласился бы на любое советское предложение, поскольку германская экономика, привязанная к курсу доллара репарационным планом </w:t>
      </w:r>
      <w:proofErr w:type="spellStart"/>
      <w:r w:rsidRPr="00A259BD">
        <w:rPr>
          <w:rFonts w:ascii="Times New Roman" w:hAnsi="Times New Roman"/>
          <w:color w:val="000000" w:themeColor="text1"/>
          <w:sz w:val="16"/>
          <w:szCs w:val="16"/>
        </w:rPr>
        <w:t>Дауэса</w:t>
      </w:r>
      <w:proofErr w:type="spellEnd"/>
      <w:r w:rsidRPr="00A259BD">
        <w:rPr>
          <w:rFonts w:ascii="Times New Roman" w:hAnsi="Times New Roman"/>
          <w:color w:val="000000" w:themeColor="text1"/>
          <w:sz w:val="16"/>
          <w:szCs w:val="16"/>
        </w:rPr>
        <w:t>, уже начинала ощущать на себе последствия Великой депрессии. Скорее всего, дальнейшее развитие проекта было заблокировано на более высоких административных уровнях в НКВМ или в Совнаркоме, где не желали повторения прежних ошибок, допущенных в «деле Юнкерса». Так или иначе, Хейнкель советским авиаконструктором не стал (18263).</w:t>
      </w:r>
    </w:p>
    <w:p w14:paraId="0DBE002F" w14:textId="77777777" w:rsidR="006752AA" w:rsidRPr="00A259BD" w:rsidRDefault="006752AA" w:rsidP="009236E3">
      <w:pPr>
        <w:spacing w:after="0" w:line="240" w:lineRule="auto"/>
        <w:jc w:val="both"/>
        <w:rPr>
          <w:rFonts w:ascii="Times New Roman" w:hAnsi="Times New Roman"/>
          <w:color w:val="000000" w:themeColor="text1"/>
          <w:sz w:val="16"/>
          <w:szCs w:val="16"/>
        </w:rPr>
      </w:pPr>
    </w:p>
    <w:p w14:paraId="4D19D6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ноября 1929 согласно Технико-экономическому паспорту была организована Лаборатория двигателей внутреннего сгорания Украинского научно-исследовательского института </w:t>
      </w:r>
      <w:proofErr w:type="spellStart"/>
      <w:r w:rsidRPr="00A259BD">
        <w:rPr>
          <w:rFonts w:ascii="Times New Roman" w:hAnsi="Times New Roman"/>
          <w:color w:val="000000" w:themeColor="text1"/>
          <w:sz w:val="16"/>
          <w:szCs w:val="16"/>
        </w:rPr>
        <w:t>промэнергетики</w:t>
      </w:r>
      <w:proofErr w:type="spellEnd"/>
      <w:r w:rsidRPr="00A259BD">
        <w:rPr>
          <w:rFonts w:ascii="Times New Roman" w:hAnsi="Times New Roman"/>
          <w:color w:val="000000" w:themeColor="text1"/>
          <w:sz w:val="16"/>
          <w:szCs w:val="16"/>
        </w:rPr>
        <w:t xml:space="preserve">, будущий Украинский научно-исследовательский </w:t>
      </w:r>
      <w:proofErr w:type="spellStart"/>
      <w:r w:rsidRPr="00A259BD">
        <w:rPr>
          <w:rFonts w:ascii="Times New Roman" w:hAnsi="Times New Roman"/>
          <w:color w:val="000000" w:themeColor="text1"/>
          <w:sz w:val="16"/>
          <w:szCs w:val="16"/>
        </w:rPr>
        <w:t>авиадизельный</w:t>
      </w:r>
      <w:proofErr w:type="spellEnd"/>
      <w:r w:rsidRPr="00A259BD">
        <w:rPr>
          <w:rFonts w:ascii="Times New Roman" w:hAnsi="Times New Roman"/>
          <w:color w:val="000000" w:themeColor="text1"/>
          <w:sz w:val="16"/>
          <w:szCs w:val="16"/>
        </w:rPr>
        <w:t xml:space="preserve"> институт (Харьковский филиал НИИ ГВФ)</w:t>
      </w:r>
    </w:p>
    <w:p w14:paraId="7333B0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организации:</w:t>
      </w:r>
    </w:p>
    <w:p w14:paraId="2103BA5C"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29 ноября 1929 года – Лаборатория двигателей внутреннего сгорания Украинского научно-исследовательского института </w:t>
      </w:r>
      <w:proofErr w:type="spellStart"/>
      <w:r w:rsidRPr="00A259BD">
        <w:rPr>
          <w:rFonts w:ascii="Times New Roman" w:hAnsi="Times New Roman"/>
          <w:color w:val="000000" w:themeColor="text1"/>
          <w:sz w:val="16"/>
          <w:szCs w:val="16"/>
        </w:rPr>
        <w:t>промэнергетики</w:t>
      </w:r>
      <w:proofErr w:type="spellEnd"/>
      <w:r w:rsidRPr="00A259BD">
        <w:rPr>
          <w:rFonts w:ascii="Times New Roman" w:hAnsi="Times New Roman"/>
          <w:color w:val="000000" w:themeColor="text1"/>
          <w:sz w:val="16"/>
          <w:szCs w:val="16"/>
        </w:rPr>
        <w:t>.</w:t>
      </w:r>
    </w:p>
    <w:p w14:paraId="27112BF9"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 мая 1931 года филиал Украинского научно-исследовательского института </w:t>
      </w:r>
      <w:proofErr w:type="spellStart"/>
      <w:r w:rsidRPr="00A259BD">
        <w:rPr>
          <w:rFonts w:ascii="Times New Roman" w:hAnsi="Times New Roman"/>
          <w:color w:val="000000" w:themeColor="text1"/>
          <w:sz w:val="16"/>
          <w:szCs w:val="16"/>
        </w:rPr>
        <w:t>промэнергетики</w:t>
      </w:r>
      <w:proofErr w:type="spellEnd"/>
      <w:r w:rsidRPr="00A259BD">
        <w:rPr>
          <w:rFonts w:ascii="Times New Roman" w:hAnsi="Times New Roman"/>
          <w:color w:val="000000" w:themeColor="text1"/>
          <w:sz w:val="16"/>
          <w:szCs w:val="16"/>
        </w:rPr>
        <w:t>.</w:t>
      </w:r>
    </w:p>
    <w:p w14:paraId="58D0AD0C"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 января 1932 года Украинский научно-исследовательский институт двигателей внутреннего сгорания в системе ВСНХ УССР, затем </w:t>
      </w:r>
      <w:proofErr w:type="spellStart"/>
      <w:r w:rsidRPr="00A259BD">
        <w:rPr>
          <w:rFonts w:ascii="Times New Roman" w:hAnsi="Times New Roman"/>
          <w:color w:val="000000" w:themeColor="text1"/>
          <w:sz w:val="16"/>
          <w:szCs w:val="16"/>
        </w:rPr>
        <w:t>Нарокмтяжпрома</w:t>
      </w:r>
      <w:proofErr w:type="spellEnd"/>
      <w:r w:rsidRPr="00A259BD">
        <w:rPr>
          <w:rFonts w:ascii="Times New Roman" w:hAnsi="Times New Roman"/>
          <w:color w:val="000000" w:themeColor="text1"/>
          <w:sz w:val="16"/>
          <w:szCs w:val="16"/>
        </w:rPr>
        <w:t>.</w:t>
      </w:r>
    </w:p>
    <w:p w14:paraId="588B8B09"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15 марта 1932 года Научно-исследовательский институт двигателей внутреннего сгорания (Харьковский филиал НИИ ГВФ).</w:t>
      </w:r>
    </w:p>
    <w:p w14:paraId="7C61C4C3"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3 августа 1932 года Украинский научно-исследовательский </w:t>
      </w:r>
      <w:proofErr w:type="spellStart"/>
      <w:r w:rsidRPr="00A259BD">
        <w:rPr>
          <w:rFonts w:ascii="Times New Roman" w:hAnsi="Times New Roman"/>
          <w:color w:val="000000" w:themeColor="text1"/>
          <w:sz w:val="16"/>
          <w:szCs w:val="16"/>
        </w:rPr>
        <w:t>авиадизельный</w:t>
      </w:r>
      <w:proofErr w:type="spellEnd"/>
      <w:r w:rsidRPr="00A259BD">
        <w:rPr>
          <w:rFonts w:ascii="Times New Roman" w:hAnsi="Times New Roman"/>
          <w:color w:val="000000" w:themeColor="text1"/>
          <w:sz w:val="16"/>
          <w:szCs w:val="16"/>
        </w:rPr>
        <w:t xml:space="preserve"> институт Харьковский филиал НИИ авиационных двигателей ГВФ "Аэрофлота".</w:t>
      </w:r>
    </w:p>
    <w:p w14:paraId="4DC66D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Адрес: Харьков, </w:t>
      </w:r>
      <w:proofErr w:type="spellStart"/>
      <w:r w:rsidRPr="00A259BD">
        <w:rPr>
          <w:rFonts w:ascii="Times New Roman" w:hAnsi="Times New Roman"/>
          <w:color w:val="000000" w:themeColor="text1"/>
          <w:sz w:val="16"/>
          <w:szCs w:val="16"/>
        </w:rPr>
        <w:t>Черноглазовская</w:t>
      </w:r>
      <w:proofErr w:type="spellEnd"/>
      <w:r w:rsidRPr="00A259BD">
        <w:rPr>
          <w:rFonts w:ascii="Times New Roman" w:hAnsi="Times New Roman"/>
          <w:color w:val="000000" w:themeColor="text1"/>
          <w:sz w:val="16"/>
          <w:szCs w:val="16"/>
        </w:rPr>
        <w:t>, 21/23</w:t>
      </w:r>
    </w:p>
    <w:p w14:paraId="50690F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Цели и задачи института</w:t>
      </w:r>
    </w:p>
    <w:p w14:paraId="698C78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Изучение, исследование, проектирование и изготовление опытных конструкций, внедрение в производство и эксплуатацию дизелей для авиации и воздухоплавания (7726, 31-47).</w:t>
      </w:r>
    </w:p>
    <w:p w14:paraId="4CF7E0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65CCD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486FEAC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88FE27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ноября 1929 китайские части оставили город Хайлар, часть советских самолетов перебазирова</w:t>
      </w:r>
      <w:r w:rsidRPr="00A259BD">
        <w:rPr>
          <w:rFonts w:ascii="Times New Roman" w:hAnsi="Times New Roman"/>
          <w:color w:val="000000" w:themeColor="text1"/>
          <w:sz w:val="16"/>
          <w:szCs w:val="16"/>
        </w:rPr>
        <w:softHyphen/>
        <w:t>лась на местный аэродром. Отсюда в течение нескольких дней летчики вы</w:t>
      </w:r>
      <w:r w:rsidRPr="00A259BD">
        <w:rPr>
          <w:rFonts w:ascii="Times New Roman" w:hAnsi="Times New Roman"/>
          <w:color w:val="000000" w:themeColor="text1"/>
          <w:sz w:val="16"/>
          <w:szCs w:val="16"/>
        </w:rPr>
        <w:softHyphen/>
        <w:t>полнили последние боевые вылеты, главным образом, разведывательные (11216).</w:t>
      </w:r>
    </w:p>
    <w:p w14:paraId="12EFABD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A07BA7" w14:textId="77777777" w:rsidR="00516617" w:rsidRPr="00A259BD" w:rsidRDefault="00516617" w:rsidP="009236E3">
      <w:pPr>
        <w:pStyle w:val="a3"/>
        <w:rPr>
          <w:color w:val="000000" w:themeColor="text1"/>
          <w:lang w:val="ru-RU"/>
        </w:rPr>
      </w:pPr>
      <w:r w:rsidRPr="00A259BD">
        <w:rPr>
          <w:color w:val="000000" w:themeColor="text1"/>
          <w:lang w:val="ru-RU"/>
        </w:rPr>
        <w:t>29 ноября 1929 группа Р-1, приземлившаяся в Хайларе, вновь загрузилась бомбами, нане</w:t>
      </w:r>
      <w:r w:rsidRPr="00A259BD">
        <w:rPr>
          <w:color w:val="000000" w:themeColor="text1"/>
          <w:lang w:val="ru-RU"/>
        </w:rPr>
        <w:softHyphen/>
        <w:t xml:space="preserve">сла повторный удар по </w:t>
      </w:r>
      <w:proofErr w:type="spellStart"/>
      <w:r w:rsidRPr="00A259BD">
        <w:rPr>
          <w:color w:val="000000" w:themeColor="text1"/>
          <w:lang w:val="ru-RU"/>
        </w:rPr>
        <w:t>Бухэду</w:t>
      </w:r>
      <w:proofErr w:type="spellEnd"/>
      <w:r w:rsidRPr="00A259BD">
        <w:rPr>
          <w:color w:val="000000" w:themeColor="text1"/>
          <w:lang w:val="ru-RU"/>
        </w:rPr>
        <w:t xml:space="preserve"> и вернулась в Даурию. О пропавших экипажах лётчиков </w:t>
      </w:r>
      <w:proofErr w:type="spellStart"/>
      <w:r w:rsidRPr="00A259BD">
        <w:rPr>
          <w:color w:val="000000" w:themeColor="text1"/>
          <w:lang w:val="ru-RU"/>
        </w:rPr>
        <w:t>Цатурова</w:t>
      </w:r>
      <w:proofErr w:type="spellEnd"/>
      <w:r w:rsidRPr="00A259BD">
        <w:rPr>
          <w:color w:val="000000" w:themeColor="text1"/>
          <w:lang w:val="ru-RU"/>
        </w:rPr>
        <w:t xml:space="preserve"> из 26-й эскадрильи и Мочалова из 6-го отряда по-прежнему ничего не было известно. На их розыск послали самолёты. 1 декабря оба бомбардировщика нашли сго</w:t>
      </w:r>
      <w:r w:rsidRPr="00A259BD">
        <w:rPr>
          <w:color w:val="000000" w:themeColor="text1"/>
          <w:lang w:val="ru-RU"/>
        </w:rPr>
        <w:softHyphen/>
        <w:t xml:space="preserve">ревшими у деревни </w:t>
      </w:r>
      <w:proofErr w:type="spellStart"/>
      <w:r w:rsidRPr="00A259BD">
        <w:rPr>
          <w:color w:val="000000" w:themeColor="text1"/>
          <w:lang w:val="ru-RU"/>
        </w:rPr>
        <w:t>Худугэундыр</w:t>
      </w:r>
      <w:proofErr w:type="spellEnd"/>
      <w:r w:rsidRPr="00A259BD">
        <w:rPr>
          <w:color w:val="000000" w:themeColor="text1"/>
          <w:lang w:val="ru-RU"/>
        </w:rPr>
        <w:t xml:space="preserve">, в 45 км севернее Хайлара.; В тот же день Мочалов и его летнаб Алтайский пешком пришли в Далайнор. На следующий день туда же прибыл </w:t>
      </w:r>
      <w:proofErr w:type="spellStart"/>
      <w:r w:rsidRPr="00A259BD">
        <w:rPr>
          <w:color w:val="000000" w:themeColor="text1"/>
          <w:lang w:val="ru-RU"/>
        </w:rPr>
        <w:t>Цатуров</w:t>
      </w:r>
      <w:proofErr w:type="spellEnd"/>
      <w:r w:rsidRPr="00A259BD">
        <w:rPr>
          <w:color w:val="000000" w:themeColor="text1"/>
          <w:lang w:val="ru-RU"/>
        </w:rPr>
        <w:t>. Его летнаба Дмитриева с обмороженными ногами красноармейцы подобрали у станции Цаган.</w:t>
      </w:r>
    </w:p>
    <w:p w14:paraId="1AB464A7" w14:textId="77777777" w:rsidR="00516617" w:rsidRPr="00A259BD" w:rsidRDefault="00516617" w:rsidP="009236E3">
      <w:pPr>
        <w:pStyle w:val="a3"/>
        <w:rPr>
          <w:color w:val="000000" w:themeColor="text1"/>
          <w:lang w:val="ru-RU"/>
        </w:rPr>
      </w:pPr>
      <w:r w:rsidRPr="00A259BD">
        <w:rPr>
          <w:color w:val="000000" w:themeColor="text1"/>
          <w:lang w:val="ru-RU"/>
        </w:rPr>
        <w:t>Оказалось, что оба экипажа решили, будто они приземлились на вражеской террито</w:t>
      </w:r>
      <w:r w:rsidRPr="00A259BD">
        <w:rPr>
          <w:color w:val="000000" w:themeColor="text1"/>
          <w:lang w:val="ru-RU"/>
        </w:rPr>
        <w:softHyphen/>
        <w:t>рии, не зная, что находятся более чем в 70 км от фронта. Согласно инструкции, авиа</w:t>
      </w:r>
      <w:r w:rsidRPr="00A259BD">
        <w:rPr>
          <w:color w:val="000000" w:themeColor="text1"/>
          <w:lang w:val="ru-RU"/>
        </w:rPr>
        <w:softHyphen/>
        <w:t>торы сожгли машины и стали искать своих. Надо сказать, что ориентация в степях Забайкалья оказалась очень сложным делом. Населенных пунктов там почти нет, при</w:t>
      </w:r>
      <w:r w:rsidRPr="00A259BD">
        <w:rPr>
          <w:color w:val="000000" w:themeColor="text1"/>
          <w:lang w:val="ru-RU"/>
        </w:rPr>
        <w:softHyphen/>
        <w:t>родных ориентиров тоже негусто. А техникой «слепого» полёта в облаках с весьма при</w:t>
      </w:r>
      <w:r w:rsidRPr="00A259BD">
        <w:rPr>
          <w:color w:val="000000" w:themeColor="text1"/>
          <w:lang w:val="ru-RU"/>
        </w:rPr>
        <w:softHyphen/>
        <w:t>митивным приборным оснащением владели очень немногие. Так что, лётчиков нельзя винить за их ошибку (15819).</w:t>
      </w:r>
    </w:p>
    <w:p w14:paraId="158609E0" w14:textId="77777777" w:rsidR="00516617" w:rsidRPr="00A259BD" w:rsidRDefault="00516617" w:rsidP="009236E3">
      <w:pPr>
        <w:pStyle w:val="a3"/>
        <w:rPr>
          <w:color w:val="000000" w:themeColor="text1"/>
          <w:lang w:val="ru-RU"/>
        </w:rPr>
      </w:pPr>
    </w:p>
    <w:p w14:paraId="52359A7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D74652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598E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ноября 1929 Richard </w:t>
      </w:r>
      <w:proofErr w:type="spellStart"/>
      <w:r w:rsidRPr="00A259BD">
        <w:rPr>
          <w:rFonts w:ascii="Times New Roman" w:hAnsi="Times New Roman"/>
          <w:color w:val="000000" w:themeColor="text1"/>
          <w:sz w:val="16"/>
          <w:szCs w:val="16"/>
        </w:rPr>
        <w:t>Byrd</w:t>
      </w:r>
      <w:proofErr w:type="spellEnd"/>
      <w:r w:rsidRPr="00A259BD">
        <w:rPr>
          <w:rFonts w:ascii="Times New Roman" w:hAnsi="Times New Roman"/>
          <w:color w:val="000000" w:themeColor="text1"/>
          <w:sz w:val="16"/>
          <w:szCs w:val="16"/>
        </w:rPr>
        <w:t xml:space="preserve"> выполнил полет над Южным Полюсом (1090).</w:t>
      </w:r>
    </w:p>
    <w:p w14:paraId="77C6C9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3E337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D491B1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8A150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ноября 1929 состоялся сбор команды ВТ в Бутырках, выступление </w:t>
      </w:r>
      <w:proofErr w:type="spellStart"/>
      <w:r w:rsidRPr="00A259BD">
        <w:rPr>
          <w:rFonts w:ascii="Times New Roman" w:hAnsi="Times New Roman"/>
          <w:color w:val="000000" w:themeColor="text1"/>
          <w:sz w:val="16"/>
          <w:szCs w:val="16"/>
        </w:rPr>
        <w:t>Я.И.Алксниса</w:t>
      </w:r>
      <w:proofErr w:type="spellEnd"/>
      <w:r w:rsidRPr="00A259BD">
        <w:rPr>
          <w:rFonts w:ascii="Times New Roman" w:hAnsi="Times New Roman"/>
          <w:color w:val="000000" w:themeColor="text1"/>
          <w:sz w:val="16"/>
          <w:szCs w:val="16"/>
        </w:rPr>
        <w:t xml:space="preserve"> - международная обстановка сложная - прошу отдать разум и силы на создание в кратчайший срок истребителя, который превосходил бы машины вероятных врагов. ГК будет Д.П.Г., первым </w:t>
      </w:r>
      <w:proofErr w:type="spellStart"/>
      <w:r w:rsidRPr="00A259BD">
        <w:rPr>
          <w:rFonts w:ascii="Times New Roman" w:hAnsi="Times New Roman"/>
          <w:color w:val="000000" w:themeColor="text1"/>
          <w:sz w:val="16"/>
          <w:szCs w:val="16"/>
        </w:rPr>
        <w:t>помошником</w:t>
      </w:r>
      <w:proofErr w:type="spellEnd"/>
      <w:r w:rsidRPr="00A259BD">
        <w:rPr>
          <w:rFonts w:ascii="Times New Roman" w:hAnsi="Times New Roman"/>
          <w:color w:val="000000" w:themeColor="text1"/>
          <w:sz w:val="16"/>
          <w:szCs w:val="16"/>
        </w:rPr>
        <w:t xml:space="preserve"> - Н.Н.П. (79,118).</w:t>
      </w:r>
    </w:p>
    <w:p w14:paraId="6FA462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 Н.Н.П. посидел чуть больше месяца, а Д.П.Г. - четырнадцать. Сидели на втором этаже отдельно стоящего здания в Бутырках (7383, 2)</w:t>
      </w:r>
    </w:p>
    <w:p w14:paraId="105E90F6" w14:textId="77777777" w:rsidR="00516617" w:rsidRPr="00A259BD" w:rsidRDefault="00516617" w:rsidP="009236E3">
      <w:pPr>
        <w:shd w:val="clear" w:color="auto" w:fill="FFFFFF"/>
        <w:spacing w:after="0" w:line="240" w:lineRule="auto"/>
        <w:jc w:val="both"/>
        <w:rPr>
          <w:rFonts w:ascii="Times New Roman" w:hAnsi="Times New Roman"/>
          <w:color w:val="000000" w:themeColor="text1"/>
          <w:sz w:val="16"/>
          <w:szCs w:val="16"/>
        </w:rPr>
      </w:pPr>
    </w:p>
    <w:p w14:paraId="16EBD48F" w14:textId="77777777" w:rsidR="00516617" w:rsidRPr="00A259BD" w:rsidRDefault="00516617"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30-го ноября 1929 года с заключенными авиаспециалистами в Бутырках встречался заместитель начальника Управления ВВС РККА Я.И. Алкснис. Заявив, «что международная обстановка сложная», Алкснис призвал их «отдать разум и силы на создание в кратчайший срок истребителя, который превосходил бы машины вероятных врагов». Был назван и срок создания истребителя – март 1930 года. В начале декабря 1929 года, из этой категории арестованных авиаспециалистов Экономическое управление ОГПУ организовало в Бутырской тюрьме «Особое конструкторское бюро», назначив неофициальным техническим руководителем Д.П. Григоровича, а Н.Н. Поликарпова – его заместителем. Административным руководителем ОКБ был поставлен функционер Экономического управления (ЭКУ) ОГПУ СССР А.Г. </w:t>
      </w:r>
      <w:proofErr w:type="spellStart"/>
      <w:r w:rsidRPr="00A259BD">
        <w:rPr>
          <w:rFonts w:ascii="Times New Roman" w:hAnsi="Times New Roman"/>
          <w:color w:val="000000" w:themeColor="text1"/>
          <w:sz w:val="16"/>
          <w:szCs w:val="16"/>
        </w:rPr>
        <w:t>Горянов</w:t>
      </w:r>
      <w:proofErr w:type="spellEnd"/>
      <w:r w:rsidRPr="00A259BD">
        <w:rPr>
          <w:rFonts w:ascii="Times New Roman" w:hAnsi="Times New Roman"/>
          <w:color w:val="000000" w:themeColor="text1"/>
          <w:sz w:val="16"/>
          <w:szCs w:val="16"/>
        </w:rPr>
        <w:t xml:space="preserve">–Горный. За организацию труда и быта «сотрудников ОКБ» отвечал </w:t>
      </w:r>
      <w:proofErr w:type="spellStart"/>
      <w:r w:rsidRPr="00A259BD">
        <w:rPr>
          <w:rFonts w:ascii="Times New Roman" w:hAnsi="Times New Roman"/>
          <w:color w:val="000000" w:themeColor="text1"/>
          <w:sz w:val="16"/>
          <w:szCs w:val="16"/>
        </w:rPr>
        <w:t>Змуда</w:t>
      </w:r>
      <w:proofErr w:type="spellEnd"/>
      <w:r w:rsidRPr="00A259BD">
        <w:rPr>
          <w:rFonts w:ascii="Times New Roman" w:hAnsi="Times New Roman"/>
          <w:color w:val="000000" w:themeColor="text1"/>
          <w:sz w:val="16"/>
          <w:szCs w:val="16"/>
        </w:rPr>
        <w:t xml:space="preserve"> – также представитель ОГПУ. Для работы в тюрьме были выделены помещения, оборудованные чертежными досками и другими принадлежностями. Коллектив ОКБ отличался очень высокой квалификацией. Эскизным проектированием истребителя занимался Н.Н. Поликарпов: набрасывали эскизы и другие конструкторы, в том числе Д.П. Григорович. Они же вели и основные расчеты, с привлечением Б.Ф. Гончарова и В.В. Калинина. В начале 1930 года, когда на чертежах репрессированных конструкторов появились контуры будущей машины, и возникла необходимость в проведении опытных работ, ОКБ предоставили несколько охраняемых сотрудниками ОГПУ ангаров на территории завода № 39 им. Менжинского, получивших название «внутренняя тюрьма». Один из ангаров, именуемый «седьмым», был разделен на две половины: в одной находилось конструкторское бюро, в другой – жилая зона. Заместителем руководителя ОКБ стал директор завода № 39 Н.Е. </w:t>
      </w:r>
      <w:proofErr w:type="spellStart"/>
      <w:r w:rsidRPr="00A259BD">
        <w:rPr>
          <w:rFonts w:ascii="Times New Roman" w:hAnsi="Times New Roman"/>
          <w:color w:val="000000" w:themeColor="text1"/>
          <w:sz w:val="16"/>
          <w:szCs w:val="16"/>
        </w:rPr>
        <w:t>Пауфлер</w:t>
      </w:r>
      <w:proofErr w:type="spellEnd"/>
      <w:r w:rsidRPr="00A259BD">
        <w:rPr>
          <w:rFonts w:ascii="Times New Roman" w:hAnsi="Times New Roman"/>
          <w:color w:val="000000" w:themeColor="text1"/>
          <w:sz w:val="16"/>
          <w:szCs w:val="16"/>
        </w:rPr>
        <w:t xml:space="preserve">. Тогда же ОКБ было переименовано в Центральное конструкторское бюро - ЦКБ-З9, и стало входить в состав Технического отделения ЭКУ ОГПУ, ведавшего использованием арестованных специалистов. Для ускорения работ ЦКБ-39 вскоре было расширено за счет привлечения вольнонаемных авиационных специалистов. Можно предположить, что тогда в его состав вошли и специалисты ЦКБ ВАО, образованного в марте 1930 года. Ядром новой организации явились конструкторы заводов № 22 и № 25, а также «группа из седьмого ангара» завода № 39. Образованный коллектив ЦКБ отличался очень высокой квалификацией. Поскольку заключенным конструкторам выход за охраняемую территорию был строго запрещен, связь с другими производственными подразделениями завода осуществлял вольнонаемный инженер С.М. </w:t>
      </w:r>
      <w:proofErr w:type="spellStart"/>
      <w:r w:rsidRPr="00A259BD">
        <w:rPr>
          <w:rFonts w:ascii="Times New Roman" w:hAnsi="Times New Roman"/>
          <w:color w:val="000000" w:themeColor="text1"/>
          <w:sz w:val="16"/>
          <w:szCs w:val="16"/>
        </w:rPr>
        <w:t>Данскер</w:t>
      </w:r>
      <w:proofErr w:type="spellEnd"/>
      <w:r w:rsidRPr="00A259BD">
        <w:rPr>
          <w:rFonts w:ascii="Times New Roman" w:hAnsi="Times New Roman"/>
          <w:color w:val="000000" w:themeColor="text1"/>
          <w:sz w:val="16"/>
          <w:szCs w:val="16"/>
        </w:rPr>
        <w:t>. Летчиком-испытателем ЦКБ-39 был назначен Б.Л. Бухгольц. Так было образовано и начало работать печально–знаменитое ЦКБ-39 ОГПУ, первое в истории авиации (15223).</w:t>
      </w:r>
    </w:p>
    <w:p w14:paraId="70462559" w14:textId="77777777" w:rsidR="00516617" w:rsidRPr="00A259BD" w:rsidRDefault="00516617" w:rsidP="009236E3">
      <w:pPr>
        <w:shd w:val="clear" w:color="auto" w:fill="FFFFFF"/>
        <w:spacing w:after="0" w:line="240" w:lineRule="auto"/>
        <w:jc w:val="both"/>
        <w:rPr>
          <w:rFonts w:ascii="Times New Roman" w:hAnsi="Times New Roman"/>
          <w:color w:val="000000" w:themeColor="text1"/>
          <w:sz w:val="16"/>
          <w:szCs w:val="16"/>
        </w:rPr>
      </w:pPr>
    </w:p>
    <w:p w14:paraId="4E13B866" w14:textId="77777777" w:rsidR="006752AA" w:rsidRPr="00A259BD" w:rsidRDefault="006752A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30-го ноября 1929 года с заключенными авиаспециалистами в Бутырках встречался заместитель начальника Управления ВВС РККА Я.И. Алкснис. Заявив, «что международная обстановка сложная», Алкснис призвал их «отдать разум и силы на создание в кратчайший срок истребителя, который превосходил бы машины вероятных врагов». Был назван и срок создания истребителя – март 1930 года (18293).</w:t>
      </w:r>
    </w:p>
    <w:p w14:paraId="6595FEA3" w14:textId="77777777" w:rsidR="006752AA" w:rsidRPr="00A259BD" w:rsidRDefault="006752AA" w:rsidP="009236E3">
      <w:pPr>
        <w:spacing w:after="0" w:line="240" w:lineRule="auto"/>
        <w:jc w:val="both"/>
        <w:rPr>
          <w:rFonts w:ascii="Times New Roman" w:hAnsi="Times New Roman"/>
          <w:color w:val="000000" w:themeColor="text1"/>
          <w:sz w:val="16"/>
          <w:szCs w:val="16"/>
        </w:rPr>
      </w:pPr>
    </w:p>
    <w:p w14:paraId="4656AE66" w14:textId="77777777" w:rsidR="006752AA" w:rsidRPr="00A259BD" w:rsidRDefault="006752A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30 ноября 1929 в последний осенний день 1929 года произошло рождение первого отечественного Особого конструкторского бюро (ОКБ ОГПУ), или иначе — </w:t>
      </w:r>
      <w:hyperlink r:id="rId265" w:tooltip="Шарашка" w:history="1">
        <w:r w:rsidRPr="00A259BD">
          <w:rPr>
            <w:rStyle w:val="a5"/>
            <w:rFonts w:ascii="Times New Roman" w:hAnsi="Times New Roman"/>
            <w:color w:val="000000" w:themeColor="text1"/>
            <w:sz w:val="16"/>
            <w:szCs w:val="16"/>
            <w:u w:val="none"/>
          </w:rPr>
          <w:t>«шараги»</w:t>
        </w:r>
      </w:hyperlink>
      <w:r w:rsidRPr="00A259BD">
        <w:rPr>
          <w:rFonts w:ascii="Times New Roman" w:hAnsi="Times New Roman"/>
          <w:color w:val="000000" w:themeColor="text1"/>
          <w:sz w:val="16"/>
          <w:szCs w:val="16"/>
        </w:rPr>
        <w:t>. Сначала ОКБ ОГПУ располагалось в тюремной церкви Бутырок. В тот день всех заключенных конструкторов и инженеров прямо в </w:t>
      </w:r>
      <w:hyperlink r:id="rId266" w:tooltip="Бутырская тюрьма" w:history="1">
        <w:r w:rsidRPr="00A259BD">
          <w:rPr>
            <w:rStyle w:val="a5"/>
            <w:rFonts w:ascii="Times New Roman" w:hAnsi="Times New Roman"/>
            <w:color w:val="000000" w:themeColor="text1"/>
            <w:sz w:val="16"/>
            <w:szCs w:val="16"/>
            <w:u w:val="none"/>
          </w:rPr>
          <w:t>Бутырках</w:t>
        </w:r>
      </w:hyperlink>
      <w:r w:rsidRPr="00A259BD">
        <w:rPr>
          <w:rFonts w:ascii="Times New Roman" w:hAnsi="Times New Roman"/>
          <w:color w:val="000000" w:themeColor="text1"/>
          <w:sz w:val="16"/>
          <w:szCs w:val="16"/>
        </w:rPr>
        <w:t>, в помещении бывшей тюремной церкви впервые собрали вместе. В основном они были знакомы друг с другом, но даже не догадывались, что сидят в соседних камерах. Дальше, как вспоминал </w:t>
      </w:r>
      <w:hyperlink r:id="rId267" w:tooltip="Корвин-Кербер, Виктор Львович" w:history="1">
        <w:r w:rsidRPr="00A259BD">
          <w:rPr>
            <w:rStyle w:val="a5"/>
            <w:rFonts w:ascii="Times New Roman" w:hAnsi="Times New Roman"/>
            <w:color w:val="000000" w:themeColor="text1"/>
            <w:sz w:val="16"/>
            <w:szCs w:val="16"/>
            <w:u w:val="none"/>
          </w:rPr>
          <w:t>В. Л. Корвин-Кербер</w:t>
        </w:r>
      </w:hyperlink>
      <w:r w:rsidRPr="00A259BD">
        <w:rPr>
          <w:rFonts w:ascii="Times New Roman" w:hAnsi="Times New Roman"/>
          <w:color w:val="000000" w:themeColor="text1"/>
          <w:sz w:val="16"/>
          <w:szCs w:val="16"/>
        </w:rPr>
        <w:t>, произошло следующее:</w:t>
      </w:r>
    </w:p>
    <w:p w14:paraId="066D4A36" w14:textId="77777777" w:rsidR="006752AA" w:rsidRPr="00A259BD" w:rsidRDefault="006752A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«Днем появился заместитель начальника ВВС тов. </w:t>
      </w:r>
      <w:hyperlink r:id="rId268" w:tooltip="Алкснис, Яков Иванович" w:history="1">
        <w:r w:rsidRPr="00A259BD">
          <w:rPr>
            <w:rStyle w:val="a5"/>
            <w:rFonts w:ascii="Times New Roman" w:hAnsi="Times New Roman"/>
            <w:color w:val="000000" w:themeColor="text1"/>
            <w:sz w:val="16"/>
            <w:szCs w:val="16"/>
            <w:u w:val="none"/>
          </w:rPr>
          <w:t>Я. И. Алкснис</w:t>
        </w:r>
      </w:hyperlink>
      <w:r w:rsidRPr="00A259BD">
        <w:rPr>
          <w:rFonts w:ascii="Times New Roman" w:hAnsi="Times New Roman"/>
          <w:color w:val="000000" w:themeColor="text1"/>
          <w:sz w:val="16"/>
          <w:szCs w:val="16"/>
        </w:rPr>
        <w:t>. Он объявил задание: спроектировать, а затем построить истребитель под мотор „Юпитер“, но такой, который превзойдет любой из имеющихся на вооружении капиталистических стран, как по скорости, так по скороподъемности и вооружению. Нужны два пулемета, стреляющие через винт, и желательно предусмотреть ещё два, а также фотоустановку и бомбодержатели для четырёх бомб по 25 кг. Проект должен быть выполнен в рекордно короткий срок, и чертежи готовы для производства к концу марта. Тогда же должен быть представлен макет. На рассмотрение НТК проект передаваться не будет. Главным конструктором назначался Григорович, его заместителем — Поликарпов».</w:t>
      </w:r>
    </w:p>
    <w:p w14:paraId="29C4B436" w14:textId="77777777" w:rsidR="006752AA" w:rsidRPr="00A259BD" w:rsidRDefault="006752A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Непосредственно руководил ОКБ ОГПУ помощник начальника технического отделения Экономического отдела ОГПУ </w:t>
      </w:r>
      <w:hyperlink r:id="rId269" w:tooltip="Горянов-Горный, Анатолий Георгиевич" w:history="1">
        <w:r w:rsidRPr="00A259BD">
          <w:rPr>
            <w:rStyle w:val="a5"/>
            <w:rFonts w:ascii="Times New Roman" w:hAnsi="Times New Roman"/>
            <w:color w:val="000000" w:themeColor="text1"/>
            <w:sz w:val="16"/>
            <w:szCs w:val="16"/>
            <w:u w:val="none"/>
          </w:rPr>
          <w:t>А. Г. </w:t>
        </w:r>
        <w:proofErr w:type="spellStart"/>
        <w:r w:rsidRPr="00A259BD">
          <w:rPr>
            <w:rStyle w:val="a5"/>
            <w:rFonts w:ascii="Times New Roman" w:hAnsi="Times New Roman"/>
            <w:color w:val="000000" w:themeColor="text1"/>
            <w:sz w:val="16"/>
            <w:szCs w:val="16"/>
            <w:u w:val="none"/>
          </w:rPr>
          <w:t>Горянов</w:t>
        </w:r>
        <w:proofErr w:type="spellEnd"/>
        <w:r w:rsidRPr="00A259BD">
          <w:rPr>
            <w:rStyle w:val="a5"/>
            <w:rFonts w:ascii="Times New Roman" w:hAnsi="Times New Roman"/>
            <w:color w:val="000000" w:themeColor="text1"/>
            <w:sz w:val="16"/>
            <w:szCs w:val="16"/>
            <w:u w:val="none"/>
          </w:rPr>
          <w:t>-Горный</w:t>
        </w:r>
      </w:hyperlink>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Бенкович</w:t>
      </w:r>
      <w:proofErr w:type="spellEnd"/>
      <w:r w:rsidRPr="00A259BD">
        <w:rPr>
          <w:rFonts w:ascii="Times New Roman" w:hAnsi="Times New Roman"/>
          <w:color w:val="000000" w:themeColor="text1"/>
          <w:sz w:val="16"/>
          <w:szCs w:val="16"/>
        </w:rPr>
        <w:t>), а его полномочным представителем, неотлучно находившимся с заключенными, был С. М. </w:t>
      </w:r>
      <w:proofErr w:type="spellStart"/>
      <w:r w:rsidRPr="00A259BD">
        <w:rPr>
          <w:rFonts w:ascii="Times New Roman" w:hAnsi="Times New Roman"/>
          <w:color w:val="000000" w:themeColor="text1"/>
          <w:sz w:val="16"/>
          <w:szCs w:val="16"/>
        </w:rPr>
        <w:t>Змуда</w:t>
      </w:r>
      <w:proofErr w:type="spellEnd"/>
      <w:r w:rsidRPr="00A259BD">
        <w:rPr>
          <w:rFonts w:ascii="Times New Roman" w:hAnsi="Times New Roman"/>
          <w:color w:val="000000" w:themeColor="text1"/>
          <w:sz w:val="16"/>
          <w:szCs w:val="16"/>
        </w:rPr>
        <w:t>. Заключенные авиаинженеры были переведены на усиленное питание, им разрешили прогулки и свидания с близкими. Работы над проектом истребителя начались прямо в тюремной церкви.</w:t>
      </w:r>
    </w:p>
    <w:p w14:paraId="7A42571A" w14:textId="77777777" w:rsidR="006752AA" w:rsidRPr="00A259BD" w:rsidRDefault="006752A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 1930 г., по воспоминаниям В. Л. </w:t>
      </w:r>
      <w:proofErr w:type="spellStart"/>
      <w:r w:rsidRPr="00A259BD">
        <w:rPr>
          <w:rFonts w:ascii="Times New Roman" w:hAnsi="Times New Roman"/>
          <w:color w:val="000000" w:themeColor="text1"/>
          <w:sz w:val="16"/>
          <w:szCs w:val="16"/>
        </w:rPr>
        <w:t>Корвин-Кербера:произошли</w:t>
      </w:r>
      <w:proofErr w:type="spellEnd"/>
      <w:r w:rsidRPr="00A259BD">
        <w:rPr>
          <w:rFonts w:ascii="Times New Roman" w:hAnsi="Times New Roman"/>
          <w:color w:val="000000" w:themeColor="text1"/>
          <w:sz w:val="16"/>
          <w:szCs w:val="16"/>
        </w:rPr>
        <w:t xml:space="preserve"> события, которых никто не ожидал. Внезапно после ужина всем было предложено собрать свои вещи и приготовиться в камере для выхода. Нас погрузили в небольшой автобус и повезли по городу. Куда, зачем, никто не понимал. Наконец, двери автобуса открылись и все увидели деревянный </w:t>
      </w:r>
      <w:hyperlink r:id="rId270" w:tooltip="Московский авиационный завод № 39" w:history="1">
        <w:r w:rsidRPr="00A259BD">
          <w:rPr>
            <w:rStyle w:val="a5"/>
            <w:rFonts w:ascii="Times New Roman" w:hAnsi="Times New Roman"/>
            <w:color w:val="000000" w:themeColor="text1"/>
            <w:sz w:val="16"/>
            <w:szCs w:val="16"/>
            <w:u w:val="none"/>
          </w:rPr>
          <w:t>ангар-мастерскую завода № 39</w:t>
        </w:r>
      </w:hyperlink>
      <w:r w:rsidRPr="00A259BD">
        <w:rPr>
          <w:rFonts w:ascii="Times New Roman" w:hAnsi="Times New Roman"/>
          <w:color w:val="000000" w:themeColor="text1"/>
          <w:sz w:val="16"/>
          <w:szCs w:val="16"/>
        </w:rPr>
        <w:t xml:space="preserve"> (Ангар № 7 завода № 39, в котором ранее велась сборка триплан «КОМТА» в 1921 г.). Вошли внутрь ангара и в самом конце, войдя за дверь, оказались в просторном помещении. Вдоль стен стояли кровати, а посередине большой стол со стопками газет и журналов. Сопровождавший всех </w:t>
      </w:r>
      <w:proofErr w:type="spellStart"/>
      <w:r w:rsidRPr="00A259BD">
        <w:rPr>
          <w:rFonts w:ascii="Times New Roman" w:hAnsi="Times New Roman"/>
          <w:color w:val="000000" w:themeColor="text1"/>
          <w:sz w:val="16"/>
          <w:szCs w:val="16"/>
        </w:rPr>
        <w:t>Змуда</w:t>
      </w:r>
      <w:proofErr w:type="spellEnd"/>
      <w:r w:rsidRPr="00A259BD">
        <w:rPr>
          <w:rFonts w:ascii="Times New Roman" w:hAnsi="Times New Roman"/>
          <w:color w:val="000000" w:themeColor="text1"/>
          <w:sz w:val="16"/>
          <w:szCs w:val="16"/>
        </w:rPr>
        <w:t xml:space="preserve"> предложил размещаться по кроватям на своё усмотрение. Справа от входа разместились: Б. Ф. Гончаров, Н. Н. Поликарпов, В. А. Тисов, И. М. Косткин, А. Н. Седельников, я и Е. И. Майоранов. Слева — Д. П. Григорович, П. М. </w:t>
      </w:r>
      <w:proofErr w:type="spellStart"/>
      <w:r w:rsidRPr="00A259BD">
        <w:rPr>
          <w:rFonts w:ascii="Times New Roman" w:hAnsi="Times New Roman"/>
          <w:color w:val="000000" w:themeColor="text1"/>
          <w:sz w:val="16"/>
          <w:szCs w:val="16"/>
        </w:rPr>
        <w:t>Крейсон</w:t>
      </w:r>
      <w:proofErr w:type="spellEnd"/>
      <w:r w:rsidRPr="00A259BD">
        <w:rPr>
          <w:rFonts w:ascii="Times New Roman" w:hAnsi="Times New Roman"/>
          <w:color w:val="000000" w:themeColor="text1"/>
          <w:sz w:val="16"/>
          <w:szCs w:val="16"/>
        </w:rPr>
        <w:t>, Н. Г. Михельсон и другие».</w:t>
      </w:r>
    </w:p>
    <w:p w14:paraId="5E147854" w14:textId="77777777" w:rsidR="006752AA" w:rsidRPr="00A259BD" w:rsidRDefault="006752A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Перевод на завод потребовался в связи с тем, что работы над истребителем подошли к стадии макетирования и создания опытного образца. Организовать производство в тюремных условиях было невозможно. Небольшой авиазавод (скорее мастерские), примыкавший к </w:t>
      </w:r>
      <w:hyperlink r:id="rId271" w:tooltip="Центральный аэродром имени М. В. Фрунзе" w:history="1">
        <w:r w:rsidRPr="00A259BD">
          <w:rPr>
            <w:rStyle w:val="a5"/>
            <w:rFonts w:ascii="Times New Roman" w:hAnsi="Times New Roman"/>
            <w:color w:val="000000" w:themeColor="text1"/>
            <w:sz w:val="16"/>
            <w:szCs w:val="16"/>
            <w:u w:val="none"/>
          </w:rPr>
          <w:t>Центральному аэродрому</w:t>
        </w:r>
      </w:hyperlink>
      <w:r w:rsidRPr="00A259BD">
        <w:rPr>
          <w:rFonts w:ascii="Times New Roman" w:hAnsi="Times New Roman"/>
          <w:color w:val="000000" w:themeColor="text1"/>
          <w:sz w:val="16"/>
          <w:szCs w:val="16"/>
        </w:rPr>
        <w:t> обнесли колючей проволокой, расставили охрану. Сюда и привезли заключенных. С этого момента «ОКБ ОГПУ» по номеру завода стало называться «ЦКБ-39 ОГПУ им. Менжинского».</w:t>
      </w:r>
    </w:p>
    <w:p w14:paraId="52592055" w14:textId="77777777" w:rsidR="006752AA" w:rsidRPr="00A259BD" w:rsidRDefault="006752A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Оценив проект и поняв, что «вредители» и «враги народа» успешно перевоспитываются, кураторы </w:t>
      </w:r>
      <w:hyperlink r:id="rId272" w:tooltip="ОГПУ при СНК СССР" w:history="1">
        <w:r w:rsidRPr="00A259BD">
          <w:rPr>
            <w:rStyle w:val="a5"/>
            <w:rFonts w:ascii="Times New Roman" w:hAnsi="Times New Roman"/>
            <w:color w:val="000000" w:themeColor="text1"/>
            <w:sz w:val="16"/>
            <w:szCs w:val="16"/>
            <w:u w:val="none"/>
          </w:rPr>
          <w:t>ОГПУ</w:t>
        </w:r>
      </w:hyperlink>
      <w:r w:rsidRPr="00A259BD">
        <w:rPr>
          <w:rFonts w:ascii="Times New Roman" w:hAnsi="Times New Roman"/>
          <w:color w:val="000000" w:themeColor="text1"/>
          <w:sz w:val="16"/>
          <w:szCs w:val="16"/>
        </w:rPr>
        <w:t> решили усложнить задачу. Корвин-Кербер писал:</w:t>
      </w:r>
    </w:p>
    <w:p w14:paraId="403A3359" w14:textId="77777777" w:rsidR="006752AA" w:rsidRPr="00A259BD" w:rsidRDefault="006752A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«Однажды вечером приехало большое начальство: А. Г. </w:t>
      </w:r>
      <w:proofErr w:type="spellStart"/>
      <w:r w:rsidRPr="00A259BD">
        <w:rPr>
          <w:rFonts w:ascii="Times New Roman" w:hAnsi="Times New Roman"/>
          <w:color w:val="000000" w:themeColor="text1"/>
          <w:sz w:val="16"/>
          <w:szCs w:val="16"/>
        </w:rPr>
        <w:t>Горянов</w:t>
      </w:r>
      <w:proofErr w:type="spellEnd"/>
      <w:r w:rsidRPr="00A259BD">
        <w:rPr>
          <w:rFonts w:ascii="Times New Roman" w:hAnsi="Times New Roman"/>
          <w:color w:val="000000" w:themeColor="text1"/>
          <w:sz w:val="16"/>
          <w:szCs w:val="16"/>
        </w:rPr>
        <w:t>-Горный и </w:t>
      </w:r>
      <w:hyperlink r:id="rId273" w:tooltip="Гай, Марк Исаевич" w:history="1">
        <w:r w:rsidRPr="00A259BD">
          <w:rPr>
            <w:rStyle w:val="a5"/>
            <w:rFonts w:ascii="Times New Roman" w:hAnsi="Times New Roman"/>
            <w:color w:val="000000" w:themeColor="text1"/>
            <w:sz w:val="16"/>
            <w:szCs w:val="16"/>
            <w:u w:val="none"/>
          </w:rPr>
          <w:t>М. И. Гай</w:t>
        </w:r>
      </w:hyperlink>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Штоклянд</w:t>
      </w:r>
      <w:proofErr w:type="spellEnd"/>
      <w:r w:rsidRPr="00A259BD">
        <w:rPr>
          <w:rFonts w:ascii="Times New Roman" w:hAnsi="Times New Roman"/>
          <w:color w:val="000000" w:themeColor="text1"/>
          <w:sz w:val="16"/>
          <w:szCs w:val="16"/>
        </w:rPr>
        <w:t> — начальник 8 и 9 отделений Экономического управления ОГПУ). </w:t>
      </w:r>
      <w:proofErr w:type="spellStart"/>
      <w:r w:rsidRPr="00A259BD">
        <w:rPr>
          <w:rFonts w:ascii="Times New Roman" w:hAnsi="Times New Roman"/>
          <w:color w:val="000000" w:themeColor="text1"/>
          <w:sz w:val="16"/>
          <w:szCs w:val="16"/>
        </w:rPr>
        <w:t>Змуда</w:t>
      </w:r>
      <w:proofErr w:type="spellEnd"/>
      <w:r w:rsidRPr="00A259BD">
        <w:rPr>
          <w:rFonts w:ascii="Times New Roman" w:hAnsi="Times New Roman"/>
          <w:color w:val="000000" w:themeColor="text1"/>
          <w:sz w:val="16"/>
          <w:szCs w:val="16"/>
        </w:rPr>
        <w:t xml:space="preserve"> с охранником внесли в помещение корзины и ящики. Тут же на столах появилось вино и в большом количестве закуска. Всех членов ЦКБ пригласили за стол. Все насторожились, мы не могли понять, какую цель преследует такой банкет. Слово взял Гай. Он похвалил присутствующих за успешную работу и добавил, что решением командования срок постройки самолета-истребителя с 1-го июня переносится на 1-е мая, причём уже 26 марта должен быть представлен макет. Оспаривать новые сроки было нельзя. Пришлось заверить начальство, что коллектив с задачей справится. А ведь кроме самолета к первому мая нужно будет построить все для стат. испытаний».</w:t>
      </w:r>
    </w:p>
    <w:p w14:paraId="13D0A857" w14:textId="77777777" w:rsidR="006752AA" w:rsidRPr="00A259BD" w:rsidRDefault="006752A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Несмотря на столь сжатые сроки было разработано полтора десятка вариантов проекта истребителя, из числа которых только три отобрали для строительства опытных образцов. Варианты отличались в деталях (проекты под разные двигатели, разное вооружение, наличие или отсутствие обтекателей двигателя и т. д.). К назначенной дате был готов первый опытный самолёт, первоначально получивший название </w:t>
      </w:r>
      <w:hyperlink r:id="rId274" w:tooltip="И-5" w:history="1">
        <w:r w:rsidRPr="00A259BD">
          <w:rPr>
            <w:rStyle w:val="a5"/>
            <w:rFonts w:ascii="Times New Roman" w:hAnsi="Times New Roman"/>
            <w:color w:val="000000" w:themeColor="text1"/>
            <w:sz w:val="16"/>
            <w:szCs w:val="16"/>
            <w:u w:val="none"/>
          </w:rPr>
          <w:t>ВТ-11</w:t>
        </w:r>
      </w:hyperlink>
      <w:r w:rsidRPr="00A259BD">
        <w:rPr>
          <w:rFonts w:ascii="Times New Roman" w:hAnsi="Times New Roman"/>
          <w:color w:val="000000" w:themeColor="text1"/>
          <w:sz w:val="16"/>
          <w:szCs w:val="16"/>
        </w:rPr>
        <w:t> («внутренняя тюрьма» — 11-й вариант). Он был испытан здесь же на Центральном аэродроме. Летчик </w:t>
      </w:r>
      <w:hyperlink r:id="rId275" w:tooltip="Бухольц, Бенедикт Леонович" w:history="1">
        <w:r w:rsidRPr="00A259BD">
          <w:rPr>
            <w:rStyle w:val="a5"/>
            <w:rFonts w:ascii="Times New Roman" w:hAnsi="Times New Roman"/>
            <w:color w:val="000000" w:themeColor="text1"/>
            <w:sz w:val="16"/>
            <w:szCs w:val="16"/>
            <w:u w:val="none"/>
          </w:rPr>
          <w:t>Б. Л. Бухгольц</w:t>
        </w:r>
      </w:hyperlink>
      <w:r w:rsidRPr="00A259BD">
        <w:rPr>
          <w:rFonts w:ascii="Times New Roman" w:hAnsi="Times New Roman"/>
          <w:color w:val="000000" w:themeColor="text1"/>
          <w:sz w:val="16"/>
          <w:szCs w:val="16"/>
        </w:rPr>
        <w:t> 28 апреля 1930 года уже в первом полете высоко оценил качества самолёта, а ОГПУ сделало вывод об эффективности подневольного умственного труда. Так был дан старт созданию научно-технических «шараг» практически во всех отраслях народного хозяйства и прежде всего в военной промышленности (18530).</w:t>
      </w:r>
    </w:p>
    <w:p w14:paraId="46D6BE43" w14:textId="77777777" w:rsidR="006752AA" w:rsidRPr="00A259BD" w:rsidRDefault="006752AA" w:rsidP="009236E3">
      <w:pPr>
        <w:spacing w:after="0" w:line="240" w:lineRule="auto"/>
        <w:jc w:val="both"/>
        <w:rPr>
          <w:rFonts w:ascii="Times New Roman" w:hAnsi="Times New Roman"/>
          <w:color w:val="000000" w:themeColor="text1"/>
          <w:sz w:val="16"/>
          <w:szCs w:val="16"/>
        </w:rPr>
      </w:pPr>
    </w:p>
    <w:p w14:paraId="374DF4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ноября 1929 вышло постановление РЗ СТО (</w:t>
      </w:r>
      <w:proofErr w:type="spellStart"/>
      <w:r w:rsidRPr="00A259BD">
        <w:rPr>
          <w:rFonts w:ascii="Times New Roman" w:hAnsi="Times New Roman"/>
          <w:color w:val="000000" w:themeColor="text1"/>
          <w:sz w:val="16"/>
          <w:szCs w:val="16"/>
        </w:rPr>
        <w:t>прот</w:t>
      </w:r>
      <w:proofErr w:type="spellEnd"/>
      <w:r w:rsidRPr="00A259BD">
        <w:rPr>
          <w:rFonts w:ascii="Times New Roman" w:hAnsi="Times New Roman"/>
          <w:color w:val="000000" w:themeColor="text1"/>
          <w:sz w:val="16"/>
          <w:szCs w:val="16"/>
        </w:rPr>
        <w:t>. 42) "О развертывании строительства авиамоторов" (1028,88).</w:t>
      </w:r>
    </w:p>
    <w:p w14:paraId="449927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85FA8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8EA194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733319A" w14:textId="77777777" w:rsidR="006B671E" w:rsidRPr="00A259BD" w:rsidRDefault="006B671E"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94" w:name="_Hlk91401866"/>
      <w:r w:rsidRPr="00A259BD">
        <w:rPr>
          <w:rFonts w:ascii="Times New Roman" w:eastAsia="Times New Roman" w:hAnsi="Times New Roman"/>
          <w:color w:val="000000" w:themeColor="text1"/>
          <w:sz w:val="16"/>
          <w:szCs w:val="16"/>
          <w:lang w:eastAsia="ru-RU"/>
        </w:rPr>
        <w:t xml:space="preserve">30 ноября 1929 по докладу начальника вооружений РККА Уборевича РЗ СТО рассмотрело "разногласия по заказам НКВМ промышленности" и обязало ВСНХ "выполнить полностью заказ НКВМ на 1929/30 год по материальной части артиллерии, огнеприпасам и другим видам боевого снабжения" (Выписка из протокола РЗ СТО № 42 от 30.11.1929 // Там же. Д. 64. Л. 187. О том, что Ворошилов не сгущал краски при оценке положения дел в военной промышленности на пороге 1930 г., свидетельствует "Доклад о выполнении оборонных мероприятий за I полугодие 1929/30 г.", который 28 мая 1930 г. председатель сектора обороны Госплана Мехоношин направил председателю РЗ СТО (РГАЭ. Ф. 4372. Оп. 91. Д 564. Л. 142-149). </w:t>
      </w:r>
      <w:proofErr w:type="spellStart"/>
      <w:r w:rsidRPr="00A259BD">
        <w:rPr>
          <w:rFonts w:ascii="Times New Roman" w:eastAsia="Times New Roman" w:hAnsi="Times New Roman"/>
          <w:color w:val="000000" w:themeColor="text1"/>
          <w:sz w:val="16"/>
          <w:szCs w:val="16"/>
          <w:lang w:eastAsia="ru-RU"/>
        </w:rPr>
        <w:t>Ocновные</w:t>
      </w:r>
      <w:proofErr w:type="spellEnd"/>
      <w:r w:rsidRPr="00A259BD">
        <w:rPr>
          <w:rFonts w:ascii="Times New Roman" w:eastAsia="Times New Roman" w:hAnsi="Times New Roman"/>
          <w:color w:val="000000" w:themeColor="text1"/>
          <w:sz w:val="16"/>
          <w:szCs w:val="16"/>
          <w:lang w:eastAsia="ru-RU"/>
        </w:rPr>
        <w:t xml:space="preserve"> выводы этого доклада отражены в проекте постановления РЗ СТО, который был подписан как Мехоношиным, так и председателем Госплана Кржижановским. Они предлагали "признать неудовлетворительным выполните промышленностью оборонного плана как по линии капитального строительства, так и в части реализации заказов Наркомвоенмора" (То же. Л. 118). Еще показательнее проект постановления Политбюро, подготовленный председателем ВСНХ Куйбышевым о работе подведомственной ему отрасли: "...в основном решения Политбюро </w:t>
      </w:r>
      <w:proofErr w:type="spellStart"/>
      <w:r w:rsidRPr="00A259BD">
        <w:rPr>
          <w:rFonts w:ascii="Times New Roman" w:eastAsia="Times New Roman" w:hAnsi="Times New Roman"/>
          <w:color w:val="000000" w:themeColor="text1"/>
          <w:sz w:val="16"/>
          <w:szCs w:val="16"/>
          <w:lang w:eastAsia="ru-RU"/>
        </w:rPr>
        <w:t>or</w:t>
      </w:r>
      <w:proofErr w:type="spellEnd"/>
      <w:r w:rsidRPr="00A259BD">
        <w:rPr>
          <w:rFonts w:ascii="Times New Roman" w:eastAsia="Times New Roman" w:hAnsi="Times New Roman"/>
          <w:color w:val="000000" w:themeColor="text1"/>
          <w:sz w:val="16"/>
          <w:szCs w:val="16"/>
          <w:lang w:eastAsia="ru-RU"/>
        </w:rPr>
        <w:t xml:space="preserve"> 15/VП-29 г. не выполнены, темп, взятый на оздоровление и восстановление различных производств военной промышленности, оказался совершенно неудовлетворительным, и последняя по-прежнему не сумела подготовиться к выполнению возложенных на нее задач по обороне страны" (Проект постановления Политбюро ЦК ВКП(б) "О ходе ликвидации вредительства на предприятиях военной промышленности" //Лубянка: Сталин и ВЧК-1ТТУ-ОГПУ-НКВД Архив Статна: Документы высших органов партийной и государственной власти, Янв. 1922 - дек. 1936 / Сост. В. II Хаустов и др. М, 2003 С. 221 -222). О результатах обследования военной промышленности, проведенного управлением вооружений РККА в начале 1930 г., см.: STONE D. </w:t>
      </w:r>
      <w:proofErr w:type="spellStart"/>
      <w:r w:rsidRPr="00A259BD">
        <w:rPr>
          <w:rFonts w:ascii="Times New Roman" w:eastAsia="Times New Roman" w:hAnsi="Times New Roman"/>
          <w:color w:val="000000" w:themeColor="text1"/>
          <w:sz w:val="16"/>
          <w:szCs w:val="16"/>
          <w:lang w:eastAsia="ru-RU"/>
        </w:rPr>
        <w:t>Hammer</w:t>
      </w:r>
      <w:proofErr w:type="spellEnd"/>
      <w:r w:rsidRPr="00A259BD">
        <w:rPr>
          <w:rFonts w:ascii="Times New Roman" w:eastAsia="Times New Roman" w:hAnsi="Times New Roman"/>
          <w:color w:val="000000" w:themeColor="text1"/>
          <w:sz w:val="16"/>
          <w:szCs w:val="16"/>
          <w:lang w:eastAsia="ru-RU"/>
        </w:rPr>
        <w:t xml:space="preserve"> </w:t>
      </w:r>
      <w:proofErr w:type="spellStart"/>
      <w:r w:rsidRPr="00A259BD">
        <w:rPr>
          <w:rFonts w:ascii="Times New Roman" w:eastAsia="Times New Roman" w:hAnsi="Times New Roman"/>
          <w:color w:val="000000" w:themeColor="text1"/>
          <w:sz w:val="16"/>
          <w:szCs w:val="16"/>
          <w:lang w:eastAsia="ru-RU"/>
        </w:rPr>
        <w:t>and</w:t>
      </w:r>
      <w:proofErr w:type="spellEnd"/>
      <w:r w:rsidRPr="00A259BD">
        <w:rPr>
          <w:rFonts w:ascii="Times New Roman" w:eastAsia="Times New Roman" w:hAnsi="Times New Roman"/>
          <w:color w:val="000000" w:themeColor="text1"/>
          <w:sz w:val="16"/>
          <w:szCs w:val="16"/>
          <w:lang w:eastAsia="ru-RU"/>
        </w:rPr>
        <w:t xml:space="preserve"> </w:t>
      </w:r>
      <w:proofErr w:type="spellStart"/>
      <w:r w:rsidRPr="00A259BD">
        <w:rPr>
          <w:rFonts w:ascii="Times New Roman" w:eastAsia="Times New Roman" w:hAnsi="Times New Roman"/>
          <w:color w:val="000000" w:themeColor="text1"/>
          <w:sz w:val="16"/>
          <w:szCs w:val="16"/>
          <w:lang w:eastAsia="ru-RU"/>
        </w:rPr>
        <w:t>Kifle</w:t>
      </w:r>
      <w:proofErr w:type="spellEnd"/>
      <w:r w:rsidRPr="00A259BD">
        <w:rPr>
          <w:rFonts w:ascii="Times New Roman" w:eastAsia="Times New Roman" w:hAnsi="Times New Roman"/>
          <w:color w:val="000000" w:themeColor="text1"/>
          <w:sz w:val="16"/>
          <w:szCs w:val="16"/>
          <w:lang w:eastAsia="ru-RU"/>
        </w:rPr>
        <w:t xml:space="preserve">. </w:t>
      </w:r>
      <w:proofErr w:type="spellStart"/>
      <w:r w:rsidRPr="00A259BD">
        <w:rPr>
          <w:rFonts w:ascii="Times New Roman" w:eastAsia="Times New Roman" w:hAnsi="Times New Roman"/>
          <w:color w:val="000000" w:themeColor="text1"/>
          <w:sz w:val="16"/>
          <w:szCs w:val="16"/>
          <w:lang w:eastAsia="ru-RU"/>
        </w:rPr>
        <w:t>Lawrence</w:t>
      </w:r>
      <w:proofErr w:type="spellEnd"/>
      <w:r w:rsidRPr="00A259BD">
        <w:rPr>
          <w:rFonts w:ascii="Times New Roman" w:eastAsia="Times New Roman" w:hAnsi="Times New Roman"/>
          <w:color w:val="000000" w:themeColor="text1"/>
          <w:sz w:val="16"/>
          <w:szCs w:val="16"/>
          <w:lang w:eastAsia="ru-RU"/>
        </w:rPr>
        <w:t xml:space="preserve"> (КС), P. 162-163. Уборевич официально определил последние месяцы 1929 г. как период, прошедший под знаком "вредительства" в военной промышленности (</w:t>
      </w:r>
      <w:proofErr w:type="spellStart"/>
      <w:r w:rsidRPr="00A259BD">
        <w:rPr>
          <w:rFonts w:ascii="Times New Roman" w:eastAsia="Times New Roman" w:hAnsi="Times New Roman"/>
          <w:color w:val="000000" w:themeColor="text1"/>
          <w:sz w:val="16"/>
          <w:szCs w:val="16"/>
          <w:lang w:eastAsia="ru-RU"/>
        </w:rPr>
        <w:t>Ibid</w:t>
      </w:r>
      <w:proofErr w:type="spellEnd"/>
      <w:r w:rsidRPr="00A259BD">
        <w:rPr>
          <w:rFonts w:ascii="Times New Roman" w:eastAsia="Times New Roman" w:hAnsi="Times New Roman"/>
          <w:color w:val="000000" w:themeColor="text1"/>
          <w:sz w:val="16"/>
          <w:szCs w:val="16"/>
          <w:lang w:eastAsia="ru-RU"/>
        </w:rPr>
        <w:t>. Р. 166)) (22725).</w:t>
      </w:r>
    </w:p>
    <w:bookmarkEnd w:id="94"/>
    <w:p w14:paraId="1202B9E3" w14:textId="77777777" w:rsidR="006B671E" w:rsidRPr="00A259BD" w:rsidRDefault="006B671E" w:rsidP="009236E3">
      <w:pPr>
        <w:spacing w:after="0" w:line="240" w:lineRule="auto"/>
        <w:jc w:val="both"/>
        <w:rPr>
          <w:rFonts w:ascii="Times New Roman" w:hAnsi="Times New Roman"/>
          <w:color w:val="000000" w:themeColor="text1"/>
          <w:sz w:val="16"/>
          <w:szCs w:val="16"/>
        </w:rPr>
      </w:pPr>
    </w:p>
    <w:p w14:paraId="37D80CF6" w14:textId="77777777" w:rsidR="00516617" w:rsidRPr="00A259BD" w:rsidRDefault="00516617" w:rsidP="009236E3">
      <w:pPr>
        <w:spacing w:after="0" w:line="240" w:lineRule="auto"/>
        <w:jc w:val="both"/>
        <w:rPr>
          <w:rStyle w:val="af0"/>
          <w:rFonts w:ascii="Times New Roman" w:hAnsi="Times New Roman"/>
          <w:i w:val="0"/>
          <w:color w:val="000000" w:themeColor="text1"/>
          <w:sz w:val="16"/>
          <w:szCs w:val="16"/>
        </w:rPr>
      </w:pPr>
      <w:r w:rsidRPr="00A259BD">
        <w:rPr>
          <w:rFonts w:ascii="Times New Roman" w:hAnsi="Times New Roman"/>
          <w:bCs/>
          <w:color w:val="000000" w:themeColor="text1"/>
          <w:sz w:val="16"/>
          <w:szCs w:val="16"/>
        </w:rPr>
        <w:t>Не позднее 30 ноября 1929 г. — Докладная записка ВСНХ СССР в РЗ СТО СССР о переговорах по привлечению иностранной технической помощи по военным производствам</w:t>
      </w:r>
    </w:p>
    <w:p w14:paraId="7676093D" w14:textId="77777777" w:rsidR="009640CD" w:rsidRPr="00A259BD" w:rsidRDefault="009640CD"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294D5B21"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t>ВСНХ докладывает, что согласно решению директивных органов о привлечении иностранной технической помощи по военным производствам был командирован зам. начальника ГВПУ т. </w:t>
      </w:r>
      <w:proofErr w:type="spellStart"/>
      <w:r w:rsidRPr="00A259BD">
        <w:rPr>
          <w:color w:val="000000" w:themeColor="text1"/>
          <w:sz w:val="16"/>
          <w:szCs w:val="16"/>
        </w:rPr>
        <w:t>Будневич</w:t>
      </w:r>
      <w:proofErr w:type="spellEnd"/>
      <w:r w:rsidRPr="00A259BD">
        <w:rPr>
          <w:color w:val="000000" w:themeColor="text1"/>
          <w:sz w:val="16"/>
          <w:szCs w:val="16"/>
        </w:rPr>
        <w:t xml:space="preserve"> для переговоров с рядом фирм.</w:t>
      </w:r>
    </w:p>
    <w:p w14:paraId="17ADBF1B"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t>1. «</w:t>
      </w:r>
      <w:r w:rsidRPr="00A259BD">
        <w:rPr>
          <w:rStyle w:val="af0"/>
          <w:i w:val="0"/>
          <w:color w:val="000000" w:themeColor="text1"/>
          <w:sz w:val="16"/>
          <w:szCs w:val="16"/>
        </w:rPr>
        <w:t>Крупп</w:t>
      </w:r>
      <w:r w:rsidRPr="00A259BD">
        <w:rPr>
          <w:color w:val="000000" w:themeColor="text1"/>
          <w:sz w:val="16"/>
          <w:szCs w:val="16"/>
        </w:rPr>
        <w:t>» сделал заявление, что по условиям Версальского договора³* они не имеют юридического права заключать с нами военный договор и что, таким образом, в настоящее время вопрос о прямом сотрудничестве «Круппа» с нами должен отпасть, однако, если бы мы желали, то такое сотрудничество «Крупп» предлагает организовать через рейхсвер. Разумеется, что как все переговоры, так и последнее предложение главная администрация «Круппа» согласовывала с рейхсвером, что т. </w:t>
      </w:r>
      <w:proofErr w:type="spellStart"/>
      <w:r w:rsidRPr="00A259BD">
        <w:rPr>
          <w:color w:val="000000" w:themeColor="text1"/>
          <w:sz w:val="16"/>
          <w:szCs w:val="16"/>
        </w:rPr>
        <w:t>Будневичу</w:t>
      </w:r>
      <w:proofErr w:type="spellEnd"/>
      <w:r w:rsidRPr="00A259BD">
        <w:rPr>
          <w:color w:val="000000" w:themeColor="text1"/>
          <w:sz w:val="16"/>
          <w:szCs w:val="16"/>
        </w:rPr>
        <w:t xml:space="preserve"> и было сказано.</w:t>
      </w:r>
    </w:p>
    <w:p w14:paraId="7F893889"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t>В ответ на это т. </w:t>
      </w:r>
      <w:proofErr w:type="spellStart"/>
      <w:r w:rsidRPr="00A259BD">
        <w:rPr>
          <w:color w:val="000000" w:themeColor="text1"/>
          <w:sz w:val="16"/>
          <w:szCs w:val="16"/>
        </w:rPr>
        <w:t>Будневич</w:t>
      </w:r>
      <w:proofErr w:type="spellEnd"/>
      <w:r w:rsidRPr="00A259BD">
        <w:rPr>
          <w:color w:val="000000" w:themeColor="text1"/>
          <w:sz w:val="16"/>
          <w:szCs w:val="16"/>
        </w:rPr>
        <w:t xml:space="preserve"> заявил фирме «Крупп», что такого рода предложение носит политический характер и что промышленность может вступать в отношения только с такой же промышленностью, ибо политические вопросы не входят в ее компетенцию. Желая во что бы то ни стало завязать с нами отношения по военному сотрудничеству (совершенно ясно, что это есть собственно желание рейхсвера), фирма «Крупп» предложила т. </w:t>
      </w:r>
      <w:proofErr w:type="spellStart"/>
      <w:r w:rsidRPr="00A259BD">
        <w:rPr>
          <w:color w:val="000000" w:themeColor="text1"/>
          <w:sz w:val="16"/>
          <w:szCs w:val="16"/>
        </w:rPr>
        <w:t>Будневичу</w:t>
      </w:r>
      <w:proofErr w:type="spellEnd"/>
      <w:r w:rsidRPr="00A259BD">
        <w:rPr>
          <w:color w:val="000000" w:themeColor="text1"/>
          <w:sz w:val="16"/>
          <w:szCs w:val="16"/>
        </w:rPr>
        <w:t xml:space="preserve"> начать сотрудничество с того, чтобы они командировали нам своих лучших инженеров-организаторов для рационализации наших артиллерийских заводов.</w:t>
      </w:r>
    </w:p>
    <w:p w14:paraId="4E4AD5C8"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t>2. </w:t>
      </w:r>
      <w:r w:rsidRPr="00A259BD">
        <w:rPr>
          <w:rStyle w:val="af0"/>
          <w:i w:val="0"/>
          <w:color w:val="000000" w:themeColor="text1"/>
          <w:sz w:val="16"/>
          <w:szCs w:val="16"/>
        </w:rPr>
        <w:t>«</w:t>
      </w:r>
      <w:proofErr w:type="spellStart"/>
      <w:r w:rsidRPr="00A259BD">
        <w:rPr>
          <w:rStyle w:val="af0"/>
          <w:i w:val="0"/>
          <w:color w:val="000000" w:themeColor="text1"/>
          <w:sz w:val="16"/>
          <w:szCs w:val="16"/>
        </w:rPr>
        <w:t>Рейнметалл</w:t>
      </w:r>
      <w:proofErr w:type="spellEnd"/>
      <w:r w:rsidRPr="00A259BD">
        <w:rPr>
          <w:rStyle w:val="af0"/>
          <w:i w:val="0"/>
          <w:color w:val="000000" w:themeColor="text1"/>
          <w:sz w:val="16"/>
          <w:szCs w:val="16"/>
        </w:rPr>
        <w:t>» —</w:t>
      </w:r>
      <w:r w:rsidRPr="00A259BD">
        <w:rPr>
          <w:color w:val="000000" w:themeColor="text1"/>
          <w:sz w:val="16"/>
          <w:szCs w:val="16"/>
        </w:rPr>
        <w:t xml:space="preserve"> по существу абсолютно подконтрольное предприятие рейхсвера. Единственный в Германии артиллерийский завод, легально существующий по Версальскому договору. Был ряд переговоров между т. </w:t>
      </w:r>
      <w:proofErr w:type="spellStart"/>
      <w:r w:rsidRPr="00A259BD">
        <w:rPr>
          <w:color w:val="000000" w:themeColor="text1"/>
          <w:sz w:val="16"/>
          <w:szCs w:val="16"/>
        </w:rPr>
        <w:t>Будневичем</w:t>
      </w:r>
      <w:proofErr w:type="spellEnd"/>
      <w:r w:rsidRPr="00A259BD">
        <w:rPr>
          <w:color w:val="000000" w:themeColor="text1"/>
          <w:sz w:val="16"/>
          <w:szCs w:val="16"/>
        </w:rPr>
        <w:t xml:space="preserve"> и генеральным директором «</w:t>
      </w:r>
      <w:proofErr w:type="spellStart"/>
      <w:r w:rsidRPr="00A259BD">
        <w:rPr>
          <w:color w:val="000000" w:themeColor="text1"/>
          <w:sz w:val="16"/>
          <w:szCs w:val="16"/>
        </w:rPr>
        <w:t>Рейнметалла</w:t>
      </w:r>
      <w:proofErr w:type="spellEnd"/>
      <w:r w:rsidRPr="00A259BD">
        <w:rPr>
          <w:color w:val="000000" w:themeColor="text1"/>
          <w:sz w:val="16"/>
          <w:szCs w:val="16"/>
        </w:rPr>
        <w:t xml:space="preserve">» </w:t>
      </w:r>
      <w:proofErr w:type="spellStart"/>
      <w:r w:rsidRPr="00A259BD">
        <w:rPr>
          <w:color w:val="000000" w:themeColor="text1"/>
          <w:sz w:val="16"/>
          <w:szCs w:val="16"/>
        </w:rPr>
        <w:t>Эльтце</w:t>
      </w:r>
      <w:proofErr w:type="spellEnd"/>
      <w:r w:rsidRPr="00A259BD">
        <w:rPr>
          <w:color w:val="000000" w:themeColor="text1"/>
          <w:sz w:val="16"/>
          <w:szCs w:val="16"/>
        </w:rPr>
        <w:t xml:space="preserve">. Последний сделал заявление, что имеет прямое поручение от </w:t>
      </w:r>
      <w:proofErr w:type="spellStart"/>
      <w:r w:rsidRPr="00A259BD">
        <w:rPr>
          <w:color w:val="000000" w:themeColor="text1"/>
          <w:sz w:val="16"/>
          <w:szCs w:val="16"/>
        </w:rPr>
        <w:t>Хайе</w:t>
      </w:r>
      <w:proofErr w:type="spellEnd"/>
      <w:r w:rsidRPr="00A259BD">
        <w:rPr>
          <w:color w:val="000000" w:themeColor="text1"/>
          <w:sz w:val="16"/>
          <w:szCs w:val="16"/>
        </w:rPr>
        <w:t xml:space="preserve">, командующего рейхсвером, найти практические формы для сотрудничества с нами. По этому вопросу </w:t>
      </w:r>
      <w:proofErr w:type="spellStart"/>
      <w:r w:rsidRPr="00A259BD">
        <w:rPr>
          <w:color w:val="000000" w:themeColor="text1"/>
          <w:sz w:val="16"/>
          <w:szCs w:val="16"/>
        </w:rPr>
        <w:t>Эльтце</w:t>
      </w:r>
      <w:proofErr w:type="spellEnd"/>
      <w:r w:rsidRPr="00A259BD">
        <w:rPr>
          <w:color w:val="000000" w:themeColor="text1"/>
          <w:sz w:val="16"/>
          <w:szCs w:val="16"/>
        </w:rPr>
        <w:t xml:space="preserve"> также был у </w:t>
      </w:r>
      <w:proofErr w:type="spellStart"/>
      <w:r w:rsidRPr="00A259BD">
        <w:rPr>
          <w:color w:val="000000" w:themeColor="text1"/>
          <w:sz w:val="16"/>
          <w:szCs w:val="16"/>
        </w:rPr>
        <w:t>Греннера</w:t>
      </w:r>
      <w:proofErr w:type="spellEnd"/>
      <w:r w:rsidRPr="00A259BD">
        <w:rPr>
          <w:color w:val="000000" w:themeColor="text1"/>
          <w:sz w:val="16"/>
          <w:szCs w:val="16"/>
        </w:rPr>
        <w:t xml:space="preserve"> (военного министра).</w:t>
      </w:r>
    </w:p>
    <w:p w14:paraId="27F836CB"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t>Предложения «</w:t>
      </w:r>
      <w:proofErr w:type="spellStart"/>
      <w:r w:rsidRPr="00A259BD">
        <w:rPr>
          <w:color w:val="000000" w:themeColor="text1"/>
          <w:sz w:val="16"/>
          <w:szCs w:val="16"/>
        </w:rPr>
        <w:t>Рейнметалла</w:t>
      </w:r>
      <w:proofErr w:type="spellEnd"/>
      <w:r w:rsidRPr="00A259BD">
        <w:rPr>
          <w:color w:val="000000" w:themeColor="text1"/>
          <w:sz w:val="16"/>
          <w:szCs w:val="16"/>
        </w:rPr>
        <w:t>»: они берутся составлять нам любые проекты в своих конструкторских бюро (артиллерия, автоматика, военный обоз), предлагает вместе с чертежами и рабочий инструмент для того, чтобы мы имели возможность сразу же приступить к производству, предлагает взять на себя наблюдение за производством опытных экземпляров и за их испытанием, чтобы гарантировать успех оружия. «</w:t>
      </w:r>
      <w:proofErr w:type="spellStart"/>
      <w:r w:rsidRPr="00A259BD">
        <w:rPr>
          <w:color w:val="000000" w:themeColor="text1"/>
          <w:sz w:val="16"/>
          <w:szCs w:val="16"/>
        </w:rPr>
        <w:t>Рейнметалл</w:t>
      </w:r>
      <w:proofErr w:type="spellEnd"/>
      <w:r w:rsidRPr="00A259BD">
        <w:rPr>
          <w:color w:val="000000" w:themeColor="text1"/>
          <w:sz w:val="16"/>
          <w:szCs w:val="16"/>
        </w:rPr>
        <w:t xml:space="preserve">» также желал бы оказать содействие в переоборудовании наших заводов по последнему слову техники. Предлагает передать опыт по применению порохов, взрывчатых веществ, все то, что им известно по взрывателям, трубкам и по оптике. Могут нам предоставить техпомощь по производству качественных сталей, по </w:t>
      </w:r>
      <w:proofErr w:type="spellStart"/>
      <w:r w:rsidRPr="00A259BD">
        <w:rPr>
          <w:color w:val="000000" w:themeColor="text1"/>
          <w:sz w:val="16"/>
          <w:szCs w:val="16"/>
        </w:rPr>
        <w:t>нитрированию</w:t>
      </w:r>
      <w:proofErr w:type="spellEnd"/>
      <w:r w:rsidRPr="00A259BD">
        <w:rPr>
          <w:color w:val="000000" w:themeColor="text1"/>
          <w:sz w:val="16"/>
          <w:szCs w:val="16"/>
        </w:rPr>
        <w:t xml:space="preserve"> стали и по </w:t>
      </w:r>
      <w:proofErr w:type="spellStart"/>
      <w:r w:rsidRPr="00A259BD">
        <w:rPr>
          <w:color w:val="000000" w:themeColor="text1"/>
          <w:sz w:val="16"/>
          <w:szCs w:val="16"/>
        </w:rPr>
        <w:t>автофретажу</w:t>
      </w:r>
      <w:proofErr w:type="spellEnd"/>
      <w:r w:rsidRPr="00A259BD">
        <w:rPr>
          <w:color w:val="000000" w:themeColor="text1"/>
          <w:sz w:val="16"/>
          <w:szCs w:val="16"/>
        </w:rPr>
        <w:t xml:space="preserve"> (на 3 последние производства договор с «Круппом» заключен). Могут организовать конструкторские бюро в Москве, укомплектованными их инженерами. Договор на 10 лет. Между прочим, осталось невыясненным, почему «Крупп» отказывается от официального договора, а «</w:t>
      </w:r>
      <w:proofErr w:type="spellStart"/>
      <w:r w:rsidRPr="00A259BD">
        <w:rPr>
          <w:color w:val="000000" w:themeColor="text1"/>
          <w:sz w:val="16"/>
          <w:szCs w:val="16"/>
        </w:rPr>
        <w:t>Рейнметалл</w:t>
      </w:r>
      <w:proofErr w:type="spellEnd"/>
      <w:r w:rsidRPr="00A259BD">
        <w:rPr>
          <w:color w:val="000000" w:themeColor="text1"/>
          <w:sz w:val="16"/>
          <w:szCs w:val="16"/>
        </w:rPr>
        <w:t>» предлагает таковой. По-видимому, здесь какая-то тактика рейхсвера.</w:t>
      </w:r>
    </w:p>
    <w:p w14:paraId="785ADB1D"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t>При ознакомлении с «</w:t>
      </w:r>
      <w:proofErr w:type="spellStart"/>
      <w:r w:rsidRPr="00A259BD">
        <w:rPr>
          <w:color w:val="000000" w:themeColor="text1"/>
          <w:sz w:val="16"/>
          <w:szCs w:val="16"/>
        </w:rPr>
        <w:t>Рейнметаллом</w:t>
      </w:r>
      <w:proofErr w:type="spellEnd"/>
      <w:r w:rsidRPr="00A259BD">
        <w:rPr>
          <w:color w:val="000000" w:themeColor="text1"/>
          <w:sz w:val="16"/>
          <w:szCs w:val="16"/>
        </w:rPr>
        <w:t>» было установлено, что «</w:t>
      </w:r>
      <w:proofErr w:type="spellStart"/>
      <w:r w:rsidRPr="00A259BD">
        <w:rPr>
          <w:color w:val="000000" w:themeColor="text1"/>
          <w:sz w:val="16"/>
          <w:szCs w:val="16"/>
        </w:rPr>
        <w:t>Рейнметалл</w:t>
      </w:r>
      <w:proofErr w:type="spellEnd"/>
      <w:r w:rsidRPr="00A259BD">
        <w:rPr>
          <w:color w:val="000000" w:themeColor="text1"/>
          <w:sz w:val="16"/>
          <w:szCs w:val="16"/>
        </w:rPr>
        <w:t xml:space="preserve">» имеет сильное конструкторское бюро, возглавляемое известным в Германии конструктором </w:t>
      </w:r>
      <w:proofErr w:type="spellStart"/>
      <w:r w:rsidRPr="00A259BD">
        <w:rPr>
          <w:color w:val="000000" w:themeColor="text1"/>
          <w:sz w:val="16"/>
          <w:szCs w:val="16"/>
        </w:rPr>
        <w:t>Ромбергом</w:t>
      </w:r>
      <w:proofErr w:type="spellEnd"/>
      <w:r w:rsidRPr="00A259BD">
        <w:rPr>
          <w:color w:val="000000" w:themeColor="text1"/>
          <w:sz w:val="16"/>
          <w:szCs w:val="16"/>
        </w:rPr>
        <w:t xml:space="preserve"> и что «</w:t>
      </w:r>
      <w:proofErr w:type="spellStart"/>
      <w:r w:rsidRPr="00A259BD">
        <w:rPr>
          <w:color w:val="000000" w:themeColor="text1"/>
          <w:sz w:val="16"/>
          <w:szCs w:val="16"/>
        </w:rPr>
        <w:t>Рейнметалл</w:t>
      </w:r>
      <w:proofErr w:type="spellEnd"/>
      <w:r w:rsidRPr="00A259BD">
        <w:rPr>
          <w:color w:val="000000" w:themeColor="text1"/>
          <w:sz w:val="16"/>
          <w:szCs w:val="16"/>
        </w:rPr>
        <w:t>» совершил перевооружение рейхсвера на основе синтезирования опыта мировой войны. Вся конструкторская мысль «</w:t>
      </w:r>
      <w:proofErr w:type="spellStart"/>
      <w:r w:rsidRPr="00A259BD">
        <w:rPr>
          <w:color w:val="000000" w:themeColor="text1"/>
          <w:sz w:val="16"/>
          <w:szCs w:val="16"/>
        </w:rPr>
        <w:t>Рейнметалла</w:t>
      </w:r>
      <w:proofErr w:type="spellEnd"/>
      <w:r w:rsidRPr="00A259BD">
        <w:rPr>
          <w:color w:val="000000" w:themeColor="text1"/>
          <w:sz w:val="16"/>
          <w:szCs w:val="16"/>
        </w:rPr>
        <w:t xml:space="preserve">» проникнута идеей «дешевой войны». Здесь осуществлены задачи по нормализации, взаимозаменяемости, универсальности и упрощения как в системах вооружения, так равно и в методах их производства. Качественные стали заменяются, где это возможно, железом и т. д. В результате переговоров, в которых принимал участие генерал </w:t>
      </w:r>
      <w:proofErr w:type="spellStart"/>
      <w:r w:rsidRPr="00A259BD">
        <w:rPr>
          <w:color w:val="000000" w:themeColor="text1"/>
          <w:sz w:val="16"/>
          <w:szCs w:val="16"/>
        </w:rPr>
        <w:t>Ширмер</w:t>
      </w:r>
      <w:proofErr w:type="spellEnd"/>
      <w:r w:rsidRPr="00A259BD">
        <w:rPr>
          <w:color w:val="000000" w:themeColor="text1"/>
          <w:sz w:val="16"/>
          <w:szCs w:val="16"/>
        </w:rPr>
        <w:t xml:space="preserve">, официальный представитель рейхсвера на этом заводе, т. </w:t>
      </w:r>
      <w:proofErr w:type="spellStart"/>
      <w:r w:rsidRPr="00A259BD">
        <w:rPr>
          <w:color w:val="000000" w:themeColor="text1"/>
          <w:sz w:val="16"/>
          <w:szCs w:val="16"/>
        </w:rPr>
        <w:t>Будневичу</w:t>
      </w:r>
      <w:proofErr w:type="spellEnd"/>
      <w:r w:rsidRPr="00A259BD">
        <w:rPr>
          <w:color w:val="000000" w:themeColor="text1"/>
          <w:sz w:val="16"/>
          <w:szCs w:val="16"/>
        </w:rPr>
        <w:t xml:space="preserve"> была доверительно вручена система вооружения германской армии, которая ныне изучается.</w:t>
      </w:r>
    </w:p>
    <w:p w14:paraId="5094F1C7"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lastRenderedPageBreak/>
        <w:t>Тов. </w:t>
      </w:r>
      <w:proofErr w:type="spellStart"/>
      <w:r w:rsidRPr="00A259BD">
        <w:rPr>
          <w:color w:val="000000" w:themeColor="text1"/>
          <w:sz w:val="16"/>
          <w:szCs w:val="16"/>
        </w:rPr>
        <w:t>Будневичем</w:t>
      </w:r>
      <w:proofErr w:type="spellEnd"/>
      <w:r w:rsidRPr="00A259BD">
        <w:rPr>
          <w:color w:val="000000" w:themeColor="text1"/>
          <w:sz w:val="16"/>
          <w:szCs w:val="16"/>
        </w:rPr>
        <w:t xml:space="preserve"> было обусловлено, что главная администрация «</w:t>
      </w:r>
      <w:proofErr w:type="spellStart"/>
      <w:r w:rsidRPr="00A259BD">
        <w:rPr>
          <w:color w:val="000000" w:themeColor="text1"/>
          <w:sz w:val="16"/>
          <w:szCs w:val="16"/>
        </w:rPr>
        <w:t>Рейнметалла</w:t>
      </w:r>
      <w:proofErr w:type="spellEnd"/>
      <w:r w:rsidRPr="00A259BD">
        <w:rPr>
          <w:color w:val="000000" w:themeColor="text1"/>
          <w:sz w:val="16"/>
          <w:szCs w:val="16"/>
        </w:rPr>
        <w:t>» (</w:t>
      </w:r>
      <w:proofErr w:type="spellStart"/>
      <w:r w:rsidRPr="00A259BD">
        <w:rPr>
          <w:color w:val="000000" w:themeColor="text1"/>
          <w:sz w:val="16"/>
          <w:szCs w:val="16"/>
        </w:rPr>
        <w:t>Эльтце</w:t>
      </w:r>
      <w:proofErr w:type="spellEnd"/>
      <w:r w:rsidRPr="00A259BD">
        <w:rPr>
          <w:color w:val="000000" w:themeColor="text1"/>
          <w:sz w:val="16"/>
          <w:szCs w:val="16"/>
        </w:rPr>
        <w:t xml:space="preserve">, </w:t>
      </w:r>
      <w:proofErr w:type="spellStart"/>
      <w:r w:rsidRPr="00A259BD">
        <w:rPr>
          <w:color w:val="000000" w:themeColor="text1"/>
          <w:sz w:val="16"/>
          <w:szCs w:val="16"/>
        </w:rPr>
        <w:t>Ромберг</w:t>
      </w:r>
      <w:proofErr w:type="spellEnd"/>
      <w:r w:rsidRPr="00A259BD">
        <w:rPr>
          <w:color w:val="000000" w:themeColor="text1"/>
          <w:sz w:val="16"/>
          <w:szCs w:val="16"/>
        </w:rPr>
        <w:t xml:space="preserve">, </w:t>
      </w:r>
      <w:proofErr w:type="spellStart"/>
      <w:r w:rsidRPr="00A259BD">
        <w:rPr>
          <w:color w:val="000000" w:themeColor="text1"/>
          <w:sz w:val="16"/>
          <w:szCs w:val="16"/>
        </w:rPr>
        <w:t>Ширмер</w:t>
      </w:r>
      <w:proofErr w:type="spellEnd"/>
      <w:r w:rsidRPr="00A259BD">
        <w:rPr>
          <w:color w:val="000000" w:themeColor="text1"/>
          <w:sz w:val="16"/>
          <w:szCs w:val="16"/>
        </w:rPr>
        <w:t>) в октябре месяце будут приглашены в Москву для конкретизации предложения.</w:t>
      </w:r>
    </w:p>
    <w:p w14:paraId="7D0C3E13"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t>Во время переговоров с фирмами «Крупп» и «</w:t>
      </w:r>
      <w:proofErr w:type="spellStart"/>
      <w:r w:rsidRPr="00A259BD">
        <w:rPr>
          <w:color w:val="000000" w:themeColor="text1"/>
          <w:sz w:val="16"/>
          <w:szCs w:val="16"/>
        </w:rPr>
        <w:t>Рейнметалл</w:t>
      </w:r>
      <w:proofErr w:type="spellEnd"/>
      <w:r w:rsidRPr="00A259BD">
        <w:rPr>
          <w:color w:val="000000" w:themeColor="text1"/>
          <w:sz w:val="16"/>
          <w:szCs w:val="16"/>
        </w:rPr>
        <w:t>» через представителей этих фирм рейхсвер зондировал вопрос об унификации вооружения между армиями и т. д.</w:t>
      </w:r>
    </w:p>
    <w:p w14:paraId="59B6567D"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t>3. </w:t>
      </w:r>
      <w:r w:rsidRPr="00A259BD">
        <w:rPr>
          <w:rStyle w:val="af0"/>
          <w:i w:val="0"/>
          <w:color w:val="000000" w:themeColor="text1"/>
          <w:sz w:val="16"/>
          <w:szCs w:val="16"/>
        </w:rPr>
        <w:t xml:space="preserve">Австрийский Ротшильд. Главный директор </w:t>
      </w:r>
      <w:proofErr w:type="spellStart"/>
      <w:r w:rsidRPr="00A259BD">
        <w:rPr>
          <w:rStyle w:val="af0"/>
          <w:i w:val="0"/>
          <w:color w:val="000000" w:themeColor="text1"/>
          <w:sz w:val="16"/>
          <w:szCs w:val="16"/>
        </w:rPr>
        <w:t>Мандль</w:t>
      </w:r>
      <w:proofErr w:type="spellEnd"/>
      <w:r w:rsidRPr="00A259BD">
        <w:rPr>
          <w:rStyle w:val="af0"/>
          <w:i w:val="0"/>
          <w:color w:val="000000" w:themeColor="text1"/>
          <w:sz w:val="16"/>
          <w:szCs w:val="16"/>
        </w:rPr>
        <w:t>.</w:t>
      </w:r>
      <w:r w:rsidRPr="00A259BD">
        <w:rPr>
          <w:color w:val="000000" w:themeColor="text1"/>
          <w:sz w:val="16"/>
          <w:szCs w:val="16"/>
        </w:rPr>
        <w:t xml:space="preserve"> В течение примерно года ГВПУ ведет переговоры о привлечении технической помощи по патронному производству. Тов. </w:t>
      </w:r>
      <w:proofErr w:type="spellStart"/>
      <w:r w:rsidRPr="00A259BD">
        <w:rPr>
          <w:color w:val="000000" w:themeColor="text1"/>
          <w:sz w:val="16"/>
          <w:szCs w:val="16"/>
        </w:rPr>
        <w:t>Будневич</w:t>
      </w:r>
      <w:proofErr w:type="spellEnd"/>
      <w:r w:rsidRPr="00A259BD">
        <w:rPr>
          <w:color w:val="000000" w:themeColor="text1"/>
          <w:sz w:val="16"/>
          <w:szCs w:val="16"/>
        </w:rPr>
        <w:t xml:space="preserve"> вместе с инженерами также осматривал эти заводы, где установлено, что все производимые в Европе патроны неизмеримо лучше наших. Так, прицельная дальность их нормального патрона равна 4,5 км против 2,3 км нашего патрона. Бронебойный — трассирующий патрон, фосфорно-зажигательный, измеряющий дистанции — все они по своим качествам превосходят все, что мы имеем. Это также касается меньшей изнашиваемости стволов (другая обтюрация). Организация производства находится на исключительной высоте как в области применения труда рабочих (одна работница обслуживает 10</w:t>
      </w:r>
      <w:r w:rsidRPr="00A259BD">
        <w:rPr>
          <w:color w:val="000000" w:themeColor="text1"/>
          <w:sz w:val="16"/>
          <w:szCs w:val="16"/>
        </w:rPr>
        <w:noBreakHyphen/>
        <w:t>12 станков, а у нас 4</w:t>
      </w:r>
      <w:r w:rsidRPr="00A259BD">
        <w:rPr>
          <w:color w:val="000000" w:themeColor="text1"/>
          <w:sz w:val="16"/>
          <w:szCs w:val="16"/>
        </w:rPr>
        <w:noBreakHyphen/>
        <w:t>5), так и в отношении расхода инструмента на единицу изделия. Достаточно упомянуть, что на одном из заводов, равном по своей мощности нашему Подольскому заводу, работает 15 инструментальщиков вместо 125 в Подольске.</w:t>
      </w:r>
    </w:p>
    <w:p w14:paraId="4320CF5A"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t xml:space="preserve">В настоящее время в Европе образовался патронно-ружейный картель под руководством </w:t>
      </w:r>
      <w:proofErr w:type="spellStart"/>
      <w:r w:rsidRPr="00A259BD">
        <w:rPr>
          <w:color w:val="000000" w:themeColor="text1"/>
          <w:sz w:val="16"/>
          <w:szCs w:val="16"/>
        </w:rPr>
        <w:t>Мандля</w:t>
      </w:r>
      <w:proofErr w:type="spellEnd"/>
      <w:r w:rsidRPr="00A259BD">
        <w:rPr>
          <w:color w:val="000000" w:themeColor="text1"/>
          <w:sz w:val="16"/>
          <w:szCs w:val="16"/>
        </w:rPr>
        <w:t>. Сюда входят австрийские, голландские, польские, югославские патронные заводы, а также заканчивающийся оборудованием ружейно-пулеметный завод в Швейцарии, совладельцем которого состоит «</w:t>
      </w:r>
      <w:proofErr w:type="spellStart"/>
      <w:r w:rsidRPr="00A259BD">
        <w:rPr>
          <w:color w:val="000000" w:themeColor="text1"/>
          <w:sz w:val="16"/>
          <w:szCs w:val="16"/>
        </w:rPr>
        <w:t>Рейнметалл</w:t>
      </w:r>
      <w:proofErr w:type="spellEnd"/>
      <w:r w:rsidRPr="00A259BD">
        <w:rPr>
          <w:color w:val="000000" w:themeColor="text1"/>
          <w:sz w:val="16"/>
          <w:szCs w:val="16"/>
        </w:rPr>
        <w:t>» (рейхсвер).</w:t>
      </w:r>
    </w:p>
    <w:p w14:paraId="5CBF96A5"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t>Во время переговоров о техпомощи было заявлено, что они отказываются от предоставления нам технической помощи в нашем понимании и что есть единственный путь для освоения достижений европейских патронных заводов — это выдача пятилетнего заказа на 100 млн. шт. патронов. На почве этого заказа могут обучаться наши инженеры, конструкторы и рабочие, так как наше обучение на заказах иностранных государств (заводы работают для Аргентины, Турции, Китая и др.) не может быть допущено.</w:t>
      </w:r>
    </w:p>
    <w:p w14:paraId="3D0327CF"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t xml:space="preserve">Первоначальное предложение </w:t>
      </w:r>
      <w:proofErr w:type="spellStart"/>
      <w:r w:rsidRPr="00A259BD">
        <w:rPr>
          <w:color w:val="000000" w:themeColor="text1"/>
          <w:sz w:val="16"/>
          <w:szCs w:val="16"/>
        </w:rPr>
        <w:t>Мандля</w:t>
      </w:r>
      <w:proofErr w:type="spellEnd"/>
      <w:r w:rsidRPr="00A259BD">
        <w:rPr>
          <w:color w:val="000000" w:themeColor="text1"/>
          <w:sz w:val="16"/>
          <w:szCs w:val="16"/>
        </w:rPr>
        <w:t xml:space="preserve"> заключалось в том, чтобы мы выдали заказ на 5 лет на специальные патроны в общей стоимости 10 млн. долларов. В дальнейшем, после ряда переговоров, </w:t>
      </w:r>
      <w:proofErr w:type="spellStart"/>
      <w:r w:rsidRPr="00A259BD">
        <w:rPr>
          <w:color w:val="000000" w:themeColor="text1"/>
          <w:sz w:val="16"/>
          <w:szCs w:val="16"/>
        </w:rPr>
        <w:t>Мандль</w:t>
      </w:r>
      <w:proofErr w:type="spellEnd"/>
      <w:r w:rsidRPr="00A259BD">
        <w:rPr>
          <w:color w:val="000000" w:themeColor="text1"/>
          <w:sz w:val="16"/>
          <w:szCs w:val="16"/>
        </w:rPr>
        <w:t xml:space="preserve"> сделал новое предложение, сводящееся к тому, чтобы мы выдали заказ в течение 5 лет на 7 млн. долларов. Тов. </w:t>
      </w:r>
      <w:proofErr w:type="spellStart"/>
      <w:r w:rsidRPr="00A259BD">
        <w:rPr>
          <w:color w:val="000000" w:themeColor="text1"/>
          <w:sz w:val="16"/>
          <w:szCs w:val="16"/>
        </w:rPr>
        <w:t>Будневичем</w:t>
      </w:r>
      <w:proofErr w:type="spellEnd"/>
      <w:r w:rsidRPr="00A259BD">
        <w:rPr>
          <w:color w:val="000000" w:themeColor="text1"/>
          <w:sz w:val="16"/>
          <w:szCs w:val="16"/>
        </w:rPr>
        <w:t xml:space="preserve"> было выдвинуто контрпредложение (переговоры велись без каких бы то ни было обязательств) о том, что на заказ, количество которого должно быть уменьшено, мы поставим свой порох, латунь, капсюли, бронебойную сталь (</w:t>
      </w:r>
      <w:proofErr w:type="spellStart"/>
      <w:r w:rsidRPr="00A259BD">
        <w:rPr>
          <w:color w:val="000000" w:themeColor="text1"/>
          <w:sz w:val="16"/>
          <w:szCs w:val="16"/>
        </w:rPr>
        <w:t>Мандль</w:t>
      </w:r>
      <w:proofErr w:type="spellEnd"/>
      <w:r w:rsidRPr="00A259BD">
        <w:rPr>
          <w:color w:val="000000" w:themeColor="text1"/>
          <w:sz w:val="16"/>
          <w:szCs w:val="16"/>
        </w:rPr>
        <w:t xml:space="preserve"> обязался передать секрет этого металлургического производства). Это предложение </w:t>
      </w:r>
      <w:proofErr w:type="spellStart"/>
      <w:r w:rsidRPr="00A259BD">
        <w:rPr>
          <w:color w:val="000000" w:themeColor="text1"/>
          <w:sz w:val="16"/>
          <w:szCs w:val="16"/>
        </w:rPr>
        <w:t>Мандлем</w:t>
      </w:r>
      <w:proofErr w:type="spellEnd"/>
      <w:r w:rsidRPr="00A259BD">
        <w:rPr>
          <w:color w:val="000000" w:themeColor="text1"/>
          <w:sz w:val="16"/>
          <w:szCs w:val="16"/>
        </w:rPr>
        <w:t xml:space="preserve"> было принято в качестве основы для дальнейших переговоров. Произведенные в Москве подсчеты дают ориентировочно нижеследующее: наши поставки по этому заказу оцениваются примерно в 4150 тыс. руб. Таким образом, чистые валютные платежи против 100 или 120 млн. патронов (количество патронов зависит от ассортимента) должны составить в течение 5 лет примерно сумму в 4550 тыс. долларов.</w:t>
      </w:r>
    </w:p>
    <w:p w14:paraId="3D1B114F"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t xml:space="preserve">Если договор будет заключен, то </w:t>
      </w:r>
      <w:proofErr w:type="spellStart"/>
      <w:r w:rsidRPr="00A259BD">
        <w:rPr>
          <w:color w:val="000000" w:themeColor="text1"/>
          <w:sz w:val="16"/>
          <w:szCs w:val="16"/>
        </w:rPr>
        <w:t>Мандль</w:t>
      </w:r>
      <w:proofErr w:type="spellEnd"/>
      <w:r w:rsidRPr="00A259BD">
        <w:rPr>
          <w:color w:val="000000" w:themeColor="text1"/>
          <w:sz w:val="16"/>
          <w:szCs w:val="16"/>
        </w:rPr>
        <w:t xml:space="preserve"> обязан также составлять нам проекты наших патронных заводов на началах себестоимости, а также передать нам все свои достижения, которые будут осуществлены в течение действия договора. </w:t>
      </w:r>
      <w:proofErr w:type="spellStart"/>
      <w:r w:rsidRPr="00A259BD">
        <w:rPr>
          <w:color w:val="000000" w:themeColor="text1"/>
          <w:sz w:val="16"/>
          <w:szCs w:val="16"/>
        </w:rPr>
        <w:t>Мандль</w:t>
      </w:r>
      <w:proofErr w:type="spellEnd"/>
      <w:r w:rsidRPr="00A259BD">
        <w:rPr>
          <w:color w:val="000000" w:themeColor="text1"/>
          <w:sz w:val="16"/>
          <w:szCs w:val="16"/>
        </w:rPr>
        <w:t xml:space="preserve"> также приглашен т. </w:t>
      </w:r>
      <w:proofErr w:type="spellStart"/>
      <w:r w:rsidRPr="00A259BD">
        <w:rPr>
          <w:color w:val="000000" w:themeColor="text1"/>
          <w:sz w:val="16"/>
          <w:szCs w:val="16"/>
        </w:rPr>
        <w:t>Будневичем</w:t>
      </w:r>
      <w:proofErr w:type="spellEnd"/>
      <w:r w:rsidRPr="00A259BD">
        <w:rPr>
          <w:color w:val="000000" w:themeColor="text1"/>
          <w:sz w:val="16"/>
          <w:szCs w:val="16"/>
        </w:rPr>
        <w:t xml:space="preserve"> в Москву для переговоров. ГВПУ, со своей стороны, полагает, что поскольку переговоры с группой Ротшильда не имеют никаких политических обязательств, надлежит предрешить вопрос об организации технической помощи в патронном производстве на принципах </w:t>
      </w:r>
      <w:proofErr w:type="spellStart"/>
      <w:r w:rsidRPr="00A259BD">
        <w:rPr>
          <w:color w:val="000000" w:themeColor="text1"/>
          <w:sz w:val="16"/>
          <w:szCs w:val="16"/>
        </w:rPr>
        <w:t>Мандля</w:t>
      </w:r>
      <w:proofErr w:type="spellEnd"/>
      <w:r w:rsidRPr="00A259BD">
        <w:rPr>
          <w:color w:val="000000" w:themeColor="text1"/>
          <w:sz w:val="16"/>
          <w:szCs w:val="16"/>
        </w:rPr>
        <w:t xml:space="preserve"> с тем, чтобы здесь, в Москве, добиться уменьшения размера заказа, т. е. валютных платежей в течение 5 лет. Заказы эти должны быть выданы РВСС по его бюджету, так как военная промышленность не может покупать патроны. ГВПУ полагает, что вопрос о заключении договора с </w:t>
      </w:r>
      <w:proofErr w:type="spellStart"/>
      <w:r w:rsidRPr="00A259BD">
        <w:rPr>
          <w:color w:val="000000" w:themeColor="text1"/>
          <w:sz w:val="16"/>
          <w:szCs w:val="16"/>
        </w:rPr>
        <w:t>Мандлем</w:t>
      </w:r>
      <w:proofErr w:type="spellEnd"/>
      <w:r w:rsidRPr="00A259BD">
        <w:rPr>
          <w:color w:val="000000" w:themeColor="text1"/>
          <w:sz w:val="16"/>
          <w:szCs w:val="16"/>
        </w:rPr>
        <w:t xml:space="preserve"> должен быть форсирован, дабы не утерять текущий 1929/30 г.</w:t>
      </w:r>
    </w:p>
    <w:p w14:paraId="5273C6C2"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t>4. </w:t>
      </w:r>
      <w:r w:rsidRPr="00A259BD">
        <w:rPr>
          <w:rStyle w:val="af0"/>
          <w:i w:val="0"/>
          <w:color w:val="000000" w:themeColor="text1"/>
          <w:sz w:val="16"/>
          <w:szCs w:val="16"/>
        </w:rPr>
        <w:t>«Цейс».</w:t>
      </w:r>
      <w:r w:rsidRPr="00A259BD">
        <w:rPr>
          <w:color w:val="000000" w:themeColor="text1"/>
          <w:sz w:val="16"/>
          <w:szCs w:val="16"/>
        </w:rPr>
        <w:t xml:space="preserve"> ВСНХ полагает, что по определенным объектам должен быть заключен договор [о] технической помощи с «Цейсом» После ряда переговоров фирма «Цейс» изъявила согласие на переговоры о технической помощи. Точно так же администрация «Цейс» т. </w:t>
      </w:r>
      <w:proofErr w:type="spellStart"/>
      <w:r w:rsidRPr="00A259BD">
        <w:rPr>
          <w:color w:val="000000" w:themeColor="text1"/>
          <w:sz w:val="16"/>
          <w:szCs w:val="16"/>
        </w:rPr>
        <w:t>Будневичем</w:t>
      </w:r>
      <w:proofErr w:type="spellEnd"/>
      <w:r w:rsidRPr="00A259BD">
        <w:rPr>
          <w:color w:val="000000" w:themeColor="text1"/>
          <w:sz w:val="16"/>
          <w:szCs w:val="16"/>
        </w:rPr>
        <w:t xml:space="preserve"> приглашена в Москву.</w:t>
      </w:r>
    </w:p>
    <w:p w14:paraId="3E9CF01F"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t>5. </w:t>
      </w:r>
      <w:r w:rsidRPr="00A259BD">
        <w:rPr>
          <w:rStyle w:val="af0"/>
          <w:i w:val="0"/>
          <w:color w:val="000000" w:themeColor="text1"/>
          <w:sz w:val="16"/>
          <w:szCs w:val="16"/>
        </w:rPr>
        <w:t>«Юнкерс».</w:t>
      </w:r>
      <w:r w:rsidRPr="00A259BD">
        <w:rPr>
          <w:color w:val="000000" w:themeColor="text1"/>
          <w:sz w:val="16"/>
          <w:szCs w:val="16"/>
        </w:rPr>
        <w:t xml:space="preserve"> Фирма «Юнкерс» пригласила т. </w:t>
      </w:r>
      <w:proofErr w:type="spellStart"/>
      <w:r w:rsidRPr="00A259BD">
        <w:rPr>
          <w:color w:val="000000" w:themeColor="text1"/>
          <w:sz w:val="16"/>
          <w:szCs w:val="16"/>
        </w:rPr>
        <w:t>Будневича</w:t>
      </w:r>
      <w:proofErr w:type="spellEnd"/>
      <w:r w:rsidRPr="00A259BD">
        <w:rPr>
          <w:color w:val="000000" w:themeColor="text1"/>
          <w:sz w:val="16"/>
          <w:szCs w:val="16"/>
        </w:rPr>
        <w:t xml:space="preserve"> осмотреть ее завод в Дессау. Был показан авиационный дизель, на котором «Юнкерс» уже летает. Этот дизель работал на станке 50 часов и в воздухе 15 часов. Юнкерс сообщил, что построив дизель, массовый выпуск которого начнется с весны 1930 г., фирма «Юнкерс» разрешила проблему безопасных полетов, так как мировые данные по авариям дают указания о том, что все воздушные аварии происходят от двух причин: от карбюрации и от зажигания. Как известно, дизель не имеет ни того, ни другого. Кроме того, эксплуатационные данные дизеля показывают, что он дает экономию против моторов на 70%.</w:t>
      </w:r>
    </w:p>
    <w:p w14:paraId="25B4A177"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t>Во время переговоров фирма «Юнкерс» поставила перед т. </w:t>
      </w:r>
      <w:proofErr w:type="spellStart"/>
      <w:r w:rsidRPr="00A259BD">
        <w:rPr>
          <w:color w:val="000000" w:themeColor="text1"/>
          <w:sz w:val="16"/>
          <w:szCs w:val="16"/>
        </w:rPr>
        <w:t>Будневичем</w:t>
      </w:r>
      <w:proofErr w:type="spellEnd"/>
      <w:r w:rsidRPr="00A259BD">
        <w:rPr>
          <w:color w:val="000000" w:themeColor="text1"/>
          <w:sz w:val="16"/>
          <w:szCs w:val="16"/>
        </w:rPr>
        <w:t xml:space="preserve"> вопрос о необходимости возобновления технического сотрудничества между «Юнкерсом» и нашей авиацией. Конкретных переговоров на эту тему т. </w:t>
      </w:r>
      <w:proofErr w:type="spellStart"/>
      <w:r w:rsidRPr="00A259BD">
        <w:rPr>
          <w:color w:val="000000" w:themeColor="text1"/>
          <w:sz w:val="16"/>
          <w:szCs w:val="16"/>
        </w:rPr>
        <w:t>Будневич</w:t>
      </w:r>
      <w:proofErr w:type="spellEnd"/>
      <w:r w:rsidRPr="00A259BD">
        <w:rPr>
          <w:color w:val="000000" w:themeColor="text1"/>
          <w:sz w:val="16"/>
          <w:szCs w:val="16"/>
        </w:rPr>
        <w:t xml:space="preserve"> не вел. Ввиду особого интереса, который представляет из себя сконструированный «Юнкерсом» дизель, ВСНХ полагает, что этому делу должно быть уделено как ГВПУ, так и РВСС пристальное внимание.</w:t>
      </w:r>
    </w:p>
    <w:p w14:paraId="1DA321A8"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t>6. </w:t>
      </w:r>
      <w:proofErr w:type="spellStart"/>
      <w:r w:rsidRPr="00A259BD">
        <w:rPr>
          <w:rStyle w:val="af0"/>
          <w:i w:val="0"/>
          <w:color w:val="000000" w:themeColor="text1"/>
          <w:sz w:val="16"/>
          <w:szCs w:val="16"/>
        </w:rPr>
        <w:t>Гау</w:t>
      </w:r>
      <w:proofErr w:type="spellEnd"/>
      <w:r w:rsidRPr="00A259BD">
        <w:rPr>
          <w:rStyle w:val="af0"/>
          <w:i w:val="0"/>
          <w:color w:val="000000" w:themeColor="text1"/>
          <w:sz w:val="16"/>
          <w:szCs w:val="16"/>
        </w:rPr>
        <w:t>.</w:t>
      </w:r>
      <w:r w:rsidRPr="00A259BD">
        <w:rPr>
          <w:color w:val="000000" w:themeColor="text1"/>
          <w:sz w:val="16"/>
          <w:szCs w:val="16"/>
        </w:rPr>
        <w:t xml:space="preserve"> В течение текущего года ГВПУ вело переговоры с германским конструктором по металлическим пропеллерам </w:t>
      </w:r>
      <w:proofErr w:type="spellStart"/>
      <w:r w:rsidRPr="00A259BD">
        <w:rPr>
          <w:color w:val="000000" w:themeColor="text1"/>
          <w:sz w:val="16"/>
          <w:szCs w:val="16"/>
        </w:rPr>
        <w:t>Гау</w:t>
      </w:r>
      <w:proofErr w:type="spellEnd"/>
      <w:r w:rsidRPr="00A259BD">
        <w:rPr>
          <w:color w:val="000000" w:themeColor="text1"/>
          <w:sz w:val="16"/>
          <w:szCs w:val="16"/>
        </w:rPr>
        <w:t xml:space="preserve">. </w:t>
      </w:r>
      <w:proofErr w:type="spellStart"/>
      <w:r w:rsidRPr="00A259BD">
        <w:rPr>
          <w:color w:val="000000" w:themeColor="text1"/>
          <w:sz w:val="16"/>
          <w:szCs w:val="16"/>
        </w:rPr>
        <w:t>Гау</w:t>
      </w:r>
      <w:proofErr w:type="spellEnd"/>
      <w:r w:rsidRPr="00A259BD">
        <w:rPr>
          <w:color w:val="000000" w:themeColor="text1"/>
          <w:sz w:val="16"/>
          <w:szCs w:val="16"/>
        </w:rPr>
        <w:t xml:space="preserve"> изобрел пропеллер с изменяющимся шагом как на земле, так и в воздухе. Это предложение представляет для нашей авиации серьезный интерес, и ГВПУ пригласило конструктора </w:t>
      </w:r>
      <w:proofErr w:type="spellStart"/>
      <w:r w:rsidRPr="00A259BD">
        <w:rPr>
          <w:color w:val="000000" w:themeColor="text1"/>
          <w:sz w:val="16"/>
          <w:szCs w:val="16"/>
        </w:rPr>
        <w:t>Гау</w:t>
      </w:r>
      <w:proofErr w:type="spellEnd"/>
      <w:r w:rsidRPr="00A259BD">
        <w:rPr>
          <w:color w:val="000000" w:themeColor="text1"/>
          <w:sz w:val="16"/>
          <w:szCs w:val="16"/>
        </w:rPr>
        <w:t xml:space="preserve"> для переговоров в Москву. За продажу этого патента конструктор </w:t>
      </w:r>
      <w:proofErr w:type="spellStart"/>
      <w:r w:rsidRPr="00A259BD">
        <w:rPr>
          <w:color w:val="000000" w:themeColor="text1"/>
          <w:sz w:val="16"/>
          <w:szCs w:val="16"/>
        </w:rPr>
        <w:t>Гау</w:t>
      </w:r>
      <w:proofErr w:type="spellEnd"/>
      <w:r w:rsidRPr="00A259BD">
        <w:rPr>
          <w:color w:val="000000" w:themeColor="text1"/>
          <w:sz w:val="16"/>
          <w:szCs w:val="16"/>
        </w:rPr>
        <w:t>, после ряда переговоров, требует 75 тыс. долларов.</w:t>
      </w:r>
    </w:p>
    <w:p w14:paraId="164EF231"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t>7. Независимо от тех вопросов, которые уже освещены выше, т. </w:t>
      </w:r>
      <w:proofErr w:type="spellStart"/>
      <w:r w:rsidRPr="00A259BD">
        <w:rPr>
          <w:color w:val="000000" w:themeColor="text1"/>
          <w:sz w:val="16"/>
          <w:szCs w:val="16"/>
        </w:rPr>
        <w:t>Будневичем</w:t>
      </w:r>
      <w:proofErr w:type="spellEnd"/>
      <w:r w:rsidRPr="00A259BD">
        <w:rPr>
          <w:color w:val="000000" w:themeColor="text1"/>
          <w:sz w:val="16"/>
          <w:szCs w:val="16"/>
        </w:rPr>
        <w:t xml:space="preserve"> зондировалась возможность приглашения на работу в военную промышленность ряда крупных специалистов. Дальнейшие шаги в этой области осуществляются уполномоченным ГВПУ в Берлине и Париже. Этот вопрос форсируется, ибо без привлечения крупных специалистов (вместе с ними должны приехать и специалисты меньшего масштаба), особенно в связи с состоянием технических кадров военной промышленности, нельзя разрешить стоящих перед ней задач. Это дело имеет свои особые трудности, которые в каждом отдельном случае будут согласовываться ВСНХ с ОГПУ и 4</w:t>
      </w:r>
      <w:r w:rsidRPr="00A259BD">
        <w:rPr>
          <w:color w:val="000000" w:themeColor="text1"/>
          <w:sz w:val="16"/>
          <w:szCs w:val="16"/>
        </w:rPr>
        <w:noBreakHyphen/>
        <w:t>м управлением Штаба РККА. Изложенные выше мероприятия ГВПУ были освещены на специальной комиссии РВСС по технической помощи и получили свое одобрение.</w:t>
      </w:r>
    </w:p>
    <w:p w14:paraId="6DADF234"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t>ВСНХ СССР считает необходимым:</w:t>
      </w:r>
    </w:p>
    <w:p w14:paraId="45319BC4"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t>1) чтобы РЗ СТО санкционировало приглашение ГВПУ указанных выше фирм и лиц. Для подготовки этих переговоров и для участия в них должны быть совместным распоряжением ВСНХ и РВСС образованы полномочные комиссии;</w:t>
      </w:r>
    </w:p>
    <w:p w14:paraId="1B31972E"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rPr>
        <w:t>2) чтобы РЗ СТО был фиксирован размер валюты для заключения договоров техпомощи как по линии ВСНХ, так равно и РВСС. Этот размер валюты может быть определен во время переговоров в Москве и в каждом отдельном случае должен быть санкционирован РЗ СТО.</w:t>
      </w:r>
    </w:p>
    <w:p w14:paraId="5881858B" w14:textId="77777777" w:rsidR="009640CD" w:rsidRPr="00A259BD" w:rsidRDefault="009640CD"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r w:rsidRPr="00A259BD">
        <w:rPr>
          <w:color w:val="000000" w:themeColor="text1"/>
          <w:sz w:val="16"/>
          <w:szCs w:val="16"/>
        </w:rPr>
        <w:t>:</w:t>
      </w:r>
    </w:p>
    <w:p w14:paraId="7BED0A6C"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Подготовлена к заседанию РЗ СТО СССР 30 ноября 1929 г.</w:t>
      </w:r>
    </w:p>
    <w:p w14:paraId="4FB5C4C6"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Датируется по времени заседания РЗ СТО СССР.</w:t>
      </w:r>
    </w:p>
    <w:p w14:paraId="0B4ABD5E" w14:textId="77777777" w:rsidR="009640CD" w:rsidRPr="00A259BD" w:rsidRDefault="009640CD" w:rsidP="009236E3">
      <w:pPr>
        <w:pStyle w:val="rtejustify"/>
        <w:spacing w:before="0" w:after="0"/>
        <w:rPr>
          <w:color w:val="000000" w:themeColor="text1"/>
          <w:sz w:val="16"/>
          <w:szCs w:val="16"/>
        </w:rPr>
      </w:pPr>
      <w:r w:rsidRPr="00A259BD">
        <w:rPr>
          <w:color w:val="000000" w:themeColor="text1"/>
          <w:sz w:val="16"/>
          <w:szCs w:val="16"/>
          <w:vertAlign w:val="superscript"/>
        </w:rPr>
        <w:t>3</w:t>
      </w:r>
      <w:r w:rsidRPr="00A259BD">
        <w:rPr>
          <w:color w:val="000000" w:themeColor="text1"/>
          <w:sz w:val="16"/>
          <w:szCs w:val="16"/>
        </w:rPr>
        <w:t>* </w:t>
      </w:r>
      <w:r w:rsidRPr="00A259BD">
        <w:rPr>
          <w:rStyle w:val="af0"/>
          <w:i w:val="0"/>
          <w:color w:val="000000" w:themeColor="text1"/>
          <w:sz w:val="16"/>
          <w:szCs w:val="16"/>
        </w:rPr>
        <w:t>Версальский договор —</w:t>
      </w:r>
      <w:r w:rsidRPr="00A259BD">
        <w:rPr>
          <w:color w:val="000000" w:themeColor="text1"/>
          <w:sz w:val="16"/>
          <w:szCs w:val="16"/>
        </w:rPr>
        <w:t xml:space="preserve"> один из основных договоров, официально завершивших Первую мировую войну, был подписан в Версале 28 июня 1919 г. Специальная часть Версальского мирного договора была посвящена военным вопросам: ограничивались вооруженные силы Германии, отменялась всеобщая воинская повинность. Устанавливалось количество и виды вооружения для германской армии, запрещалось иметь тяжелую артиллерию, танки, военную и морскую авиацию. Производство оружия контролировалось союзниками. Версальский мирный договор начал подвергаться нарушению вскоре после его подписания. Сначала были нарушены постановления и договоры о репарациях, а в 1932 г. Германии удалось полностью освободиться от репарационных обязательств.</w:t>
      </w:r>
    </w:p>
    <w:p w14:paraId="4D4F8608" w14:textId="77777777" w:rsidR="009640CD" w:rsidRPr="00A259BD" w:rsidRDefault="009640CD" w:rsidP="009236E3">
      <w:pPr>
        <w:pStyle w:val="ae"/>
        <w:spacing w:before="0" w:after="0"/>
        <w:jc w:val="both"/>
        <w:rPr>
          <w:color w:val="000000" w:themeColor="text1"/>
          <w:sz w:val="16"/>
          <w:szCs w:val="16"/>
        </w:rPr>
      </w:pPr>
      <w:r w:rsidRPr="00A259BD">
        <w:rPr>
          <w:color w:val="000000" w:themeColor="text1"/>
          <w:sz w:val="16"/>
          <w:szCs w:val="16"/>
        </w:rPr>
        <w:t>РГАЭ. Ф. 2097. Оп. 1. Д. 988. Л. 214—218. Копия.</w:t>
      </w:r>
    </w:p>
    <w:p w14:paraId="7ED5B44C" w14:textId="77777777" w:rsidR="009640CD" w:rsidRPr="00A259BD" w:rsidRDefault="009640C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2097. Оп. 1. Д. 988. Л. 214—218. Копия. </w:t>
      </w:r>
    </w:p>
    <w:p w14:paraId="6772CE2E" w14:textId="77777777" w:rsidR="009640CD" w:rsidRPr="00A259BD" w:rsidRDefault="009640C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385-388 (12478).</w:t>
      </w:r>
    </w:p>
    <w:p w14:paraId="3A5C9D3E" w14:textId="77777777" w:rsidR="009640CD" w:rsidRPr="00A259BD" w:rsidRDefault="009640CD" w:rsidP="009236E3">
      <w:pPr>
        <w:spacing w:after="0" w:line="240" w:lineRule="auto"/>
        <w:jc w:val="both"/>
        <w:rPr>
          <w:rFonts w:ascii="Times New Roman" w:hAnsi="Times New Roman"/>
          <w:color w:val="000000" w:themeColor="text1"/>
          <w:sz w:val="16"/>
          <w:szCs w:val="16"/>
        </w:rPr>
      </w:pPr>
    </w:p>
    <w:p w14:paraId="0E0927E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25—30 ноября 1929 года на </w:t>
      </w:r>
      <w:proofErr w:type="spellStart"/>
      <w:r w:rsidRPr="00A259BD">
        <w:rPr>
          <w:rFonts w:ascii="Times New Roman" w:hAnsi="Times New Roman"/>
          <w:color w:val="000000" w:themeColor="text1"/>
          <w:sz w:val="16"/>
          <w:szCs w:val="16"/>
        </w:rPr>
        <w:t>НИОПе</w:t>
      </w:r>
      <w:proofErr w:type="spellEnd"/>
      <w:r w:rsidRPr="00A259BD">
        <w:rPr>
          <w:rFonts w:ascii="Times New Roman" w:hAnsi="Times New Roman"/>
          <w:color w:val="000000" w:themeColor="text1"/>
          <w:sz w:val="16"/>
          <w:szCs w:val="16"/>
        </w:rPr>
        <w:t xml:space="preserve"> “под председательст</w:t>
      </w:r>
      <w:r w:rsidRPr="00A259BD">
        <w:rPr>
          <w:rFonts w:ascii="Times New Roman" w:hAnsi="Times New Roman"/>
          <w:color w:val="000000" w:themeColor="text1"/>
          <w:sz w:val="16"/>
          <w:szCs w:val="16"/>
        </w:rPr>
        <w:softHyphen/>
        <w:t xml:space="preserve">вом т. </w:t>
      </w:r>
      <w:proofErr w:type="spellStart"/>
      <w:r w:rsidRPr="00A259BD">
        <w:rPr>
          <w:rFonts w:ascii="Times New Roman" w:hAnsi="Times New Roman"/>
          <w:color w:val="000000" w:themeColor="text1"/>
          <w:sz w:val="16"/>
          <w:szCs w:val="16"/>
        </w:rPr>
        <w:t>Блюмберга</w:t>
      </w:r>
      <w:proofErr w:type="spellEnd"/>
      <w:r w:rsidRPr="00A259BD">
        <w:rPr>
          <w:rFonts w:ascii="Times New Roman" w:hAnsi="Times New Roman"/>
          <w:color w:val="000000" w:themeColor="text1"/>
          <w:sz w:val="16"/>
          <w:szCs w:val="16"/>
        </w:rPr>
        <w:t>” прошло испытание легковых машин и мо</w:t>
      </w:r>
      <w:r w:rsidRPr="00A259BD">
        <w:rPr>
          <w:rFonts w:ascii="Times New Roman" w:hAnsi="Times New Roman"/>
          <w:color w:val="000000" w:themeColor="text1"/>
          <w:sz w:val="16"/>
          <w:szCs w:val="16"/>
        </w:rPr>
        <w:softHyphen/>
        <w:t xml:space="preserve">тоциклов, вооруженных пулеметами в мастерских </w:t>
      </w:r>
      <w:proofErr w:type="spellStart"/>
      <w:r w:rsidRPr="00A259BD">
        <w:rPr>
          <w:rFonts w:ascii="Times New Roman" w:hAnsi="Times New Roman"/>
          <w:color w:val="000000" w:themeColor="text1"/>
          <w:sz w:val="16"/>
          <w:szCs w:val="16"/>
        </w:rPr>
        <w:t>НИОПа</w:t>
      </w:r>
      <w:proofErr w:type="spellEnd"/>
      <w:r w:rsidRPr="00A259BD">
        <w:rPr>
          <w:rFonts w:ascii="Times New Roman" w:hAnsi="Times New Roman"/>
          <w:color w:val="000000" w:themeColor="text1"/>
          <w:sz w:val="16"/>
          <w:szCs w:val="16"/>
        </w:rPr>
        <w:t xml:space="preserve"> и на заводе № 2. Всего испытывалось три приспособленных автомобиля и три мотоцикла, из них 1 “Форд-А”, 1 НАМИ-1 (малолитражка, изготовление которых вел московский завод “Спартак”) и 2 мотоцикла “Харлей-Дэвидсон” с оборудова</w:t>
      </w:r>
      <w:r w:rsidRPr="00A259BD">
        <w:rPr>
          <w:rFonts w:ascii="Times New Roman" w:hAnsi="Times New Roman"/>
          <w:color w:val="000000" w:themeColor="text1"/>
          <w:sz w:val="16"/>
          <w:szCs w:val="16"/>
        </w:rPr>
        <w:softHyphen/>
        <w:t xml:space="preserve">нием конструкции </w:t>
      </w:r>
      <w:proofErr w:type="spellStart"/>
      <w:r w:rsidRPr="00A259BD">
        <w:rPr>
          <w:rFonts w:ascii="Times New Roman" w:hAnsi="Times New Roman"/>
          <w:color w:val="000000" w:themeColor="text1"/>
          <w:sz w:val="16"/>
          <w:szCs w:val="16"/>
        </w:rPr>
        <w:t>НИОПом</w:t>
      </w:r>
      <w:proofErr w:type="spellEnd"/>
      <w:r w:rsidRPr="00A259BD">
        <w:rPr>
          <w:rFonts w:ascii="Times New Roman" w:hAnsi="Times New Roman"/>
          <w:color w:val="000000" w:themeColor="text1"/>
          <w:sz w:val="16"/>
          <w:szCs w:val="16"/>
        </w:rPr>
        <w:t>, а 1 “Форд-А” и 1 мотоцикл -конструкции завода № 2. Все машины были осмотрены ко</w:t>
      </w:r>
      <w:r w:rsidRPr="00A259BD">
        <w:rPr>
          <w:rFonts w:ascii="Times New Roman" w:hAnsi="Times New Roman"/>
          <w:color w:val="000000" w:themeColor="text1"/>
          <w:sz w:val="16"/>
          <w:szCs w:val="16"/>
        </w:rPr>
        <w:softHyphen/>
        <w:t>миссией, которая отмечала следующее:</w:t>
      </w:r>
    </w:p>
    <w:p w14:paraId="104C43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“Автомобиль “Форд-А”, оборудованный НИОП - за</w:t>
      </w:r>
      <w:r w:rsidRPr="00A259BD">
        <w:rPr>
          <w:rFonts w:ascii="Times New Roman" w:hAnsi="Times New Roman"/>
          <w:color w:val="000000" w:themeColor="text1"/>
          <w:sz w:val="16"/>
          <w:szCs w:val="16"/>
        </w:rPr>
        <w:softHyphen/>
        <w:t>пас для пулемета Максим 2 катушки по 250 патронов и 3 па</w:t>
      </w:r>
      <w:r w:rsidRPr="00A259BD">
        <w:rPr>
          <w:rFonts w:ascii="Times New Roman" w:hAnsi="Times New Roman"/>
          <w:color w:val="000000" w:themeColor="text1"/>
          <w:sz w:val="16"/>
          <w:szCs w:val="16"/>
        </w:rPr>
        <w:softHyphen/>
        <w:t>тронных коробки, всего 1250 патрон, запас для пулемета ДП — 4 магазина. Общий вес оборудования с пулеметами и патронами — 197,65 кг. При условии изъятия одного пас</w:t>
      </w:r>
      <w:r w:rsidRPr="00A259BD">
        <w:rPr>
          <w:rFonts w:ascii="Times New Roman" w:hAnsi="Times New Roman"/>
          <w:color w:val="000000" w:themeColor="text1"/>
          <w:sz w:val="16"/>
          <w:szCs w:val="16"/>
        </w:rPr>
        <w:softHyphen/>
        <w:t>сажира перегрузка машины остается 120 кг.</w:t>
      </w:r>
    </w:p>
    <w:p w14:paraId="58D5A1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Автомобиль НАМИ — запас к пулеметам такой же, вес оборудования и боеприпасов 175,7 кг. Перегрузка машины при условии изъятия одного седока - около 100 кг.</w:t>
      </w:r>
    </w:p>
    <w:p w14:paraId="16AFE7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Автомобиль “Форд-А” ИНЗ № 2 — для Максима имеет</w:t>
      </w:r>
      <w:r w:rsidRPr="00A259BD">
        <w:rPr>
          <w:rFonts w:ascii="Times New Roman" w:hAnsi="Times New Roman"/>
          <w:color w:val="000000" w:themeColor="text1"/>
          <w:sz w:val="16"/>
          <w:szCs w:val="16"/>
        </w:rPr>
        <w:softHyphen/>
        <w:t>ся 8 коробок патронов, для ручного пулемета ДП 10 магази</w:t>
      </w:r>
      <w:r w:rsidRPr="00A259BD">
        <w:rPr>
          <w:rFonts w:ascii="Times New Roman" w:hAnsi="Times New Roman"/>
          <w:color w:val="000000" w:themeColor="text1"/>
          <w:sz w:val="16"/>
          <w:szCs w:val="16"/>
        </w:rPr>
        <w:softHyphen/>
        <w:t>нов. Общий вес оборудования и боеприпасов 250 кг. Пере</w:t>
      </w:r>
      <w:r w:rsidRPr="00A259BD">
        <w:rPr>
          <w:rFonts w:ascii="Times New Roman" w:hAnsi="Times New Roman"/>
          <w:color w:val="000000" w:themeColor="text1"/>
          <w:sz w:val="16"/>
          <w:szCs w:val="16"/>
        </w:rPr>
        <w:softHyphen/>
        <w:t>грузка при изъятии одного седока около 170 кг.</w:t>
      </w:r>
    </w:p>
    <w:p w14:paraId="755558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конструктивном отношении крепление пулеметных станков рассчитано не только на наземную, но и на зенит</w:t>
      </w:r>
      <w:r w:rsidRPr="00A259BD">
        <w:rPr>
          <w:rFonts w:ascii="Times New Roman" w:hAnsi="Times New Roman"/>
          <w:color w:val="000000" w:themeColor="text1"/>
          <w:sz w:val="16"/>
          <w:szCs w:val="16"/>
        </w:rPr>
        <w:softHyphen/>
        <w:t>ную стрельбу, и крепление их более простое, чем на образ</w:t>
      </w:r>
      <w:r w:rsidRPr="00A259BD">
        <w:rPr>
          <w:rFonts w:ascii="Times New Roman" w:hAnsi="Times New Roman"/>
          <w:color w:val="000000" w:themeColor="text1"/>
          <w:sz w:val="16"/>
          <w:szCs w:val="16"/>
        </w:rPr>
        <w:softHyphen/>
        <w:t>цах НИОП”.</w:t>
      </w:r>
    </w:p>
    <w:p w14:paraId="66382B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Автомобили были испытаны пробегом на 200 км и стрельбой по мишеням, причем стрельба велась как с ме</w:t>
      </w:r>
      <w:r w:rsidRPr="00A259BD">
        <w:rPr>
          <w:rFonts w:ascii="Times New Roman" w:hAnsi="Times New Roman"/>
          <w:color w:val="000000" w:themeColor="text1"/>
          <w:sz w:val="16"/>
          <w:szCs w:val="16"/>
        </w:rPr>
        <w:softHyphen/>
        <w:t>ста, так и в движении. В своих выводах по итогам испыта</w:t>
      </w:r>
      <w:r w:rsidRPr="00A259BD">
        <w:rPr>
          <w:rFonts w:ascii="Times New Roman" w:hAnsi="Times New Roman"/>
          <w:color w:val="000000" w:themeColor="text1"/>
          <w:sz w:val="16"/>
          <w:szCs w:val="16"/>
        </w:rPr>
        <w:softHyphen/>
        <w:t xml:space="preserve">ний комиссия </w:t>
      </w:r>
      <w:proofErr w:type="spellStart"/>
      <w:r w:rsidRPr="00A259BD">
        <w:rPr>
          <w:rFonts w:ascii="Times New Roman" w:hAnsi="Times New Roman"/>
          <w:color w:val="000000" w:themeColor="text1"/>
          <w:sz w:val="16"/>
          <w:szCs w:val="16"/>
        </w:rPr>
        <w:t>Блюмберга</w:t>
      </w:r>
      <w:proofErr w:type="spellEnd"/>
      <w:r w:rsidRPr="00A259BD">
        <w:rPr>
          <w:rFonts w:ascii="Times New Roman" w:hAnsi="Times New Roman"/>
          <w:color w:val="000000" w:themeColor="text1"/>
          <w:sz w:val="16"/>
          <w:szCs w:val="16"/>
        </w:rPr>
        <w:t xml:space="preserve"> отмечала:</w:t>
      </w:r>
    </w:p>
    <w:p w14:paraId="13FA3B2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Идея вооружения мотоциклов и автомобилей пуле</w:t>
      </w:r>
      <w:r w:rsidRPr="00A259BD">
        <w:rPr>
          <w:rFonts w:ascii="Times New Roman" w:hAnsi="Times New Roman"/>
          <w:color w:val="000000" w:themeColor="text1"/>
          <w:sz w:val="16"/>
          <w:szCs w:val="16"/>
        </w:rPr>
        <w:softHyphen/>
        <w:t>метами заслуживает серьезного внимания. Такие автомоби</w:t>
      </w:r>
      <w:r w:rsidRPr="00A259BD">
        <w:rPr>
          <w:rFonts w:ascii="Times New Roman" w:hAnsi="Times New Roman"/>
          <w:color w:val="000000" w:themeColor="text1"/>
          <w:sz w:val="16"/>
          <w:szCs w:val="16"/>
        </w:rPr>
        <w:softHyphen/>
        <w:t>ли могут быть использованы не только для транспортирова</w:t>
      </w:r>
      <w:r w:rsidRPr="00A259BD">
        <w:rPr>
          <w:rFonts w:ascii="Times New Roman" w:hAnsi="Times New Roman"/>
          <w:color w:val="000000" w:themeColor="text1"/>
          <w:sz w:val="16"/>
          <w:szCs w:val="16"/>
        </w:rPr>
        <w:softHyphen/>
        <w:t>ния пулеметов, но и для боевых целей.</w:t>
      </w:r>
    </w:p>
    <w:p w14:paraId="01BB29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Признать, что ни одно из представленных пулемет</w:t>
      </w:r>
      <w:r w:rsidRPr="00A259BD">
        <w:rPr>
          <w:rFonts w:ascii="Times New Roman" w:hAnsi="Times New Roman"/>
          <w:color w:val="000000" w:themeColor="text1"/>
          <w:sz w:val="16"/>
          <w:szCs w:val="16"/>
        </w:rPr>
        <w:softHyphen/>
        <w:t>ных оборудовании не удовлетворяет требованиям РККА (перегрузка автомобиля, неудобство работы пулеметчиков и т.д.).</w:t>
      </w:r>
    </w:p>
    <w:p w14:paraId="0434A6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При конструировании не учтена возможность </w:t>
      </w:r>
      <w:proofErr w:type="spellStart"/>
      <w:r w:rsidRPr="00A259BD">
        <w:rPr>
          <w:rFonts w:ascii="Times New Roman" w:hAnsi="Times New Roman"/>
          <w:color w:val="000000" w:themeColor="text1"/>
          <w:sz w:val="16"/>
          <w:szCs w:val="16"/>
        </w:rPr>
        <w:t>забро-нирования</w:t>
      </w:r>
      <w:proofErr w:type="spellEnd"/>
      <w:r w:rsidRPr="00A259BD">
        <w:rPr>
          <w:rFonts w:ascii="Times New Roman" w:hAnsi="Times New Roman"/>
          <w:color w:val="000000" w:themeColor="text1"/>
          <w:sz w:val="16"/>
          <w:szCs w:val="16"/>
        </w:rPr>
        <w:t xml:space="preserve"> машины” (11284).</w:t>
      </w:r>
    </w:p>
    <w:p w14:paraId="72E6B49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AAB9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30 ноября 1929 г. Приказом по ВСНХ СССР на базе ранее существовавших трестов было создано Всесо</w:t>
      </w:r>
      <w:r w:rsidRPr="00A259BD">
        <w:rPr>
          <w:rFonts w:ascii="Times New Roman" w:hAnsi="Times New Roman"/>
          <w:color w:val="000000" w:themeColor="text1"/>
          <w:sz w:val="16"/>
          <w:szCs w:val="16"/>
        </w:rPr>
        <w:softHyphen/>
        <w:t xml:space="preserve">юзное объединение морских заводов и верфей </w:t>
      </w:r>
      <w:proofErr w:type="spellStart"/>
      <w:r w:rsidRPr="00A259BD">
        <w:rPr>
          <w:rFonts w:ascii="Times New Roman" w:hAnsi="Times New Roman"/>
          <w:color w:val="000000" w:themeColor="text1"/>
          <w:sz w:val="16"/>
          <w:szCs w:val="16"/>
        </w:rPr>
        <w:t>Союзверфь</w:t>
      </w:r>
      <w:proofErr w:type="spellEnd"/>
      <w:r w:rsidRPr="00A259BD">
        <w:rPr>
          <w:rFonts w:ascii="Times New Roman" w:hAnsi="Times New Roman"/>
          <w:color w:val="000000" w:themeColor="text1"/>
          <w:sz w:val="16"/>
          <w:szCs w:val="16"/>
        </w:rPr>
        <w:t>, куда вошли все заводы морского судостроения (первоначально ленинг</w:t>
      </w:r>
      <w:r w:rsidRPr="00A259BD">
        <w:rPr>
          <w:rFonts w:ascii="Times New Roman" w:hAnsi="Times New Roman"/>
          <w:color w:val="000000" w:themeColor="text1"/>
          <w:sz w:val="16"/>
          <w:szCs w:val="16"/>
        </w:rPr>
        <w:softHyphen/>
        <w:t>радские Балтийский, им. А. Марти, Северная верфь и "Красный су</w:t>
      </w:r>
      <w:r w:rsidRPr="00A259BD">
        <w:rPr>
          <w:rFonts w:ascii="Times New Roman" w:hAnsi="Times New Roman"/>
          <w:color w:val="000000" w:themeColor="text1"/>
          <w:sz w:val="16"/>
          <w:szCs w:val="16"/>
        </w:rPr>
        <w:softHyphen/>
        <w:t>достроитель", николаевские им. А. Марти и "</w:t>
      </w:r>
      <w:proofErr w:type="spellStart"/>
      <w:r w:rsidRPr="00A259BD">
        <w:rPr>
          <w:rFonts w:ascii="Times New Roman" w:hAnsi="Times New Roman"/>
          <w:color w:val="000000" w:themeColor="text1"/>
          <w:sz w:val="16"/>
          <w:szCs w:val="16"/>
        </w:rPr>
        <w:t>Руссуд</w:t>
      </w:r>
      <w:proofErr w:type="spellEnd"/>
      <w:r w:rsidRPr="00A259BD">
        <w:rPr>
          <w:rFonts w:ascii="Times New Roman" w:hAnsi="Times New Roman"/>
          <w:color w:val="000000" w:themeColor="text1"/>
          <w:sz w:val="16"/>
          <w:szCs w:val="16"/>
        </w:rPr>
        <w:t xml:space="preserve">", в феврале 1930 г. переименованный в завод им. 61 Коммунара, </w:t>
      </w:r>
      <w:proofErr w:type="spellStart"/>
      <w:r w:rsidRPr="00A259BD">
        <w:rPr>
          <w:rFonts w:ascii="Times New Roman" w:hAnsi="Times New Roman"/>
          <w:color w:val="000000" w:themeColor="text1"/>
          <w:sz w:val="16"/>
          <w:szCs w:val="16"/>
        </w:rPr>
        <w:t>Севморзавод</w:t>
      </w:r>
      <w:proofErr w:type="spellEnd"/>
      <w:r w:rsidRPr="00A259BD">
        <w:rPr>
          <w:rFonts w:ascii="Times New Roman" w:hAnsi="Times New Roman"/>
          <w:color w:val="000000" w:themeColor="text1"/>
          <w:sz w:val="16"/>
          <w:szCs w:val="16"/>
        </w:rPr>
        <w:t>, Дальзавод, который в то время носил название "</w:t>
      </w:r>
      <w:proofErr w:type="spellStart"/>
      <w:r w:rsidRPr="00A259BD">
        <w:rPr>
          <w:rFonts w:ascii="Times New Roman" w:hAnsi="Times New Roman"/>
          <w:color w:val="000000" w:themeColor="text1"/>
          <w:sz w:val="16"/>
          <w:szCs w:val="16"/>
        </w:rPr>
        <w:t>Крестинтерн</w:t>
      </w:r>
      <w:proofErr w:type="spellEnd"/>
      <w:r w:rsidRPr="00A259BD">
        <w:rPr>
          <w:rFonts w:ascii="Times New Roman" w:hAnsi="Times New Roman"/>
          <w:color w:val="000000" w:themeColor="text1"/>
          <w:sz w:val="16"/>
          <w:szCs w:val="16"/>
        </w:rPr>
        <w:t>", т. е. "Крестьянский интернационал", и Волжская верфь железобетонного судостроения. Позднее к ним добавилось введенное в эксплуата</w:t>
      </w:r>
      <w:r w:rsidRPr="00A259BD">
        <w:rPr>
          <w:rFonts w:ascii="Times New Roman" w:hAnsi="Times New Roman"/>
          <w:color w:val="000000" w:themeColor="text1"/>
          <w:sz w:val="16"/>
          <w:szCs w:val="16"/>
        </w:rPr>
        <w:softHyphen/>
        <w:t>цию после консервации в 20-х гг. бывшее Новое Адмиралтейство, которое последние годы являлось частью Адмиралтейского завода, а с вводом в состав действующих стало самостоятельным предпри</w:t>
      </w:r>
      <w:r w:rsidRPr="00A259BD">
        <w:rPr>
          <w:rFonts w:ascii="Times New Roman" w:hAnsi="Times New Roman"/>
          <w:color w:val="000000" w:themeColor="text1"/>
          <w:sz w:val="16"/>
          <w:szCs w:val="16"/>
        </w:rPr>
        <w:softHyphen/>
        <w:t>ятием и получило название "</w:t>
      </w:r>
      <w:proofErr w:type="spellStart"/>
      <w:r w:rsidRPr="00A259BD">
        <w:rPr>
          <w:rFonts w:ascii="Times New Roman" w:hAnsi="Times New Roman"/>
          <w:color w:val="000000" w:themeColor="text1"/>
          <w:sz w:val="16"/>
          <w:szCs w:val="16"/>
        </w:rPr>
        <w:t>Судомех</w:t>
      </w:r>
      <w:proofErr w:type="spellEnd"/>
      <w:r w:rsidRPr="00A259BD">
        <w:rPr>
          <w:rFonts w:ascii="Times New Roman" w:hAnsi="Times New Roman"/>
          <w:color w:val="000000" w:themeColor="text1"/>
          <w:sz w:val="16"/>
          <w:szCs w:val="16"/>
        </w:rPr>
        <w:t xml:space="preserve">". Кроме промышленных предприятий в состав </w:t>
      </w:r>
      <w:proofErr w:type="spellStart"/>
      <w:r w:rsidRPr="00A259BD">
        <w:rPr>
          <w:rFonts w:ascii="Times New Roman" w:hAnsi="Times New Roman"/>
          <w:color w:val="000000" w:themeColor="text1"/>
          <w:sz w:val="16"/>
          <w:szCs w:val="16"/>
        </w:rPr>
        <w:t>Союзверфи</w:t>
      </w:r>
      <w:proofErr w:type="spellEnd"/>
      <w:r w:rsidRPr="00A259BD">
        <w:rPr>
          <w:rFonts w:ascii="Times New Roman" w:hAnsi="Times New Roman"/>
          <w:color w:val="000000" w:themeColor="text1"/>
          <w:sz w:val="16"/>
          <w:szCs w:val="16"/>
        </w:rPr>
        <w:t xml:space="preserve"> вошли хозрасчетная контора по проектированию судов и судостроительных заводов "</w:t>
      </w:r>
      <w:proofErr w:type="spellStart"/>
      <w:r w:rsidRPr="00A259BD">
        <w:rPr>
          <w:rFonts w:ascii="Times New Roman" w:hAnsi="Times New Roman"/>
          <w:color w:val="000000" w:themeColor="text1"/>
          <w:sz w:val="16"/>
          <w:szCs w:val="16"/>
        </w:rPr>
        <w:t>Судопроверфь</w:t>
      </w:r>
      <w:proofErr w:type="spellEnd"/>
      <w:r w:rsidRPr="00A259BD">
        <w:rPr>
          <w:rFonts w:ascii="Times New Roman" w:hAnsi="Times New Roman"/>
          <w:color w:val="000000" w:themeColor="text1"/>
          <w:sz w:val="16"/>
          <w:szCs w:val="16"/>
        </w:rPr>
        <w:t>" (создана на базе конторы по проектированию судов "</w:t>
      </w:r>
      <w:proofErr w:type="spellStart"/>
      <w:r w:rsidRPr="00A259BD">
        <w:rPr>
          <w:rFonts w:ascii="Times New Roman" w:hAnsi="Times New Roman"/>
          <w:color w:val="000000" w:themeColor="text1"/>
          <w:sz w:val="16"/>
          <w:szCs w:val="16"/>
        </w:rPr>
        <w:t>Судопроект</w:t>
      </w:r>
      <w:proofErr w:type="spellEnd"/>
      <w:r w:rsidRPr="00A259BD">
        <w:rPr>
          <w:rFonts w:ascii="Times New Roman" w:hAnsi="Times New Roman"/>
          <w:color w:val="000000" w:themeColor="text1"/>
          <w:sz w:val="16"/>
          <w:szCs w:val="16"/>
        </w:rPr>
        <w:t xml:space="preserve">" — До 1928 г. — ЦБМС и проектного отдела </w:t>
      </w:r>
      <w:proofErr w:type="spellStart"/>
      <w:r w:rsidRPr="00A259BD">
        <w:rPr>
          <w:rFonts w:ascii="Times New Roman" w:hAnsi="Times New Roman"/>
          <w:color w:val="000000" w:themeColor="text1"/>
          <w:sz w:val="16"/>
          <w:szCs w:val="16"/>
        </w:rPr>
        <w:t>Гипромаша</w:t>
      </w:r>
      <w:proofErr w:type="spellEnd"/>
      <w:r w:rsidRPr="00A259BD">
        <w:rPr>
          <w:rFonts w:ascii="Times New Roman" w:hAnsi="Times New Roman"/>
          <w:color w:val="000000" w:themeColor="text1"/>
          <w:sz w:val="16"/>
          <w:szCs w:val="16"/>
        </w:rPr>
        <w:t>), два кораблестроительных института (в Ленинграде и Николаеве), судострои</w:t>
      </w:r>
      <w:r w:rsidRPr="00A259BD">
        <w:rPr>
          <w:rFonts w:ascii="Times New Roman" w:hAnsi="Times New Roman"/>
          <w:color w:val="000000" w:themeColor="text1"/>
          <w:sz w:val="16"/>
          <w:szCs w:val="16"/>
        </w:rPr>
        <w:softHyphen/>
        <w:t>тельный техникум, школы фабрично-заводского ученичества, а также ряд строительных организаций (3898).</w:t>
      </w:r>
    </w:p>
    <w:p w14:paraId="0BAA67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6396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ноября 1929 г. на базе общесоюзных трестов нефтяной промышленности было организовано Всесоюзное объединение нефтяной промышленности “</w:t>
      </w:r>
      <w:proofErr w:type="spellStart"/>
      <w:r w:rsidRPr="00A259BD">
        <w:rPr>
          <w:rFonts w:ascii="Times New Roman" w:hAnsi="Times New Roman"/>
          <w:color w:val="000000" w:themeColor="text1"/>
          <w:sz w:val="16"/>
          <w:szCs w:val="16"/>
        </w:rPr>
        <w:t>Союзнефть</w:t>
      </w:r>
      <w:proofErr w:type="spellEnd"/>
      <w:r w:rsidRPr="00A259BD">
        <w:rPr>
          <w:rFonts w:ascii="Times New Roman" w:hAnsi="Times New Roman"/>
          <w:color w:val="000000" w:themeColor="text1"/>
          <w:sz w:val="16"/>
          <w:szCs w:val="16"/>
        </w:rPr>
        <w:t>” (11522).</w:t>
      </w:r>
    </w:p>
    <w:p w14:paraId="3E9FB3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B891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ноября 1929 года Приказом ВСНХ СССР от на базе ранее существовавших трестов в Ленинграде было создано Всесоюзное объединение судостроительной про­мышленности (</w:t>
      </w:r>
      <w:proofErr w:type="spellStart"/>
      <w:r w:rsidRPr="00A259BD">
        <w:rPr>
          <w:rFonts w:ascii="Times New Roman" w:hAnsi="Times New Roman"/>
          <w:color w:val="000000" w:themeColor="text1"/>
          <w:sz w:val="16"/>
          <w:szCs w:val="16"/>
        </w:rPr>
        <w:t>Союзверфь</w:t>
      </w:r>
      <w:proofErr w:type="spellEnd"/>
      <w:r w:rsidRPr="00A259BD">
        <w:rPr>
          <w:rFonts w:ascii="Times New Roman" w:hAnsi="Times New Roman"/>
          <w:color w:val="000000" w:themeColor="text1"/>
          <w:sz w:val="16"/>
          <w:szCs w:val="16"/>
        </w:rPr>
        <w:t xml:space="preserve">), куда вошли все заводы морского судостроения страны. Правление </w:t>
      </w:r>
      <w:proofErr w:type="spellStart"/>
      <w:r w:rsidRPr="00A259BD">
        <w:rPr>
          <w:rFonts w:ascii="Times New Roman" w:hAnsi="Times New Roman"/>
          <w:color w:val="000000" w:themeColor="text1"/>
          <w:sz w:val="16"/>
          <w:szCs w:val="16"/>
        </w:rPr>
        <w:t>Союзверфи</w:t>
      </w:r>
      <w:proofErr w:type="spellEnd"/>
      <w:r w:rsidRPr="00A259BD">
        <w:rPr>
          <w:rFonts w:ascii="Times New Roman" w:hAnsi="Times New Roman"/>
          <w:color w:val="000000" w:themeColor="text1"/>
          <w:sz w:val="16"/>
          <w:szCs w:val="16"/>
        </w:rPr>
        <w:t xml:space="preserve"> имело свои филиа­лы в Москве и Харькове. В январе 1932 года во Владивостоке было основано Объеди­нение дальневосточных судостроительных заводов (</w:t>
      </w:r>
      <w:proofErr w:type="spellStart"/>
      <w:r w:rsidRPr="00A259BD">
        <w:rPr>
          <w:rFonts w:ascii="Times New Roman" w:hAnsi="Times New Roman"/>
          <w:color w:val="000000" w:themeColor="text1"/>
          <w:sz w:val="16"/>
          <w:szCs w:val="16"/>
        </w:rPr>
        <w:t>Востоксоюзверфь</w:t>
      </w:r>
      <w:proofErr w:type="spellEnd"/>
      <w:r w:rsidRPr="00A259BD">
        <w:rPr>
          <w:rFonts w:ascii="Times New Roman" w:hAnsi="Times New Roman"/>
          <w:color w:val="000000" w:themeColor="text1"/>
          <w:sz w:val="16"/>
          <w:szCs w:val="16"/>
        </w:rPr>
        <w:t xml:space="preserve">), заместителем управляющего которого по техническим во­просам был назначен известный корабель­ный инженер </w:t>
      </w:r>
      <w:proofErr w:type="spellStart"/>
      <w:r w:rsidRPr="00A259BD">
        <w:rPr>
          <w:rFonts w:ascii="Times New Roman" w:hAnsi="Times New Roman"/>
          <w:color w:val="000000" w:themeColor="text1"/>
          <w:sz w:val="16"/>
          <w:szCs w:val="16"/>
        </w:rPr>
        <w:t>П.Г.Гойнкис</w:t>
      </w:r>
      <w:proofErr w:type="spellEnd"/>
      <w:r w:rsidRPr="00A259BD">
        <w:rPr>
          <w:rFonts w:ascii="Times New Roman" w:hAnsi="Times New Roman"/>
          <w:color w:val="000000" w:themeColor="text1"/>
          <w:sz w:val="16"/>
          <w:szCs w:val="16"/>
        </w:rPr>
        <w:t>. В апреле 1933 года в составе Нарко­мата тяжелой промышленности было созда­но Главное управление судостроительной промышленности (</w:t>
      </w:r>
      <w:proofErr w:type="spellStart"/>
      <w:r w:rsidRPr="00A259BD">
        <w:rPr>
          <w:rFonts w:ascii="Times New Roman" w:hAnsi="Times New Roman"/>
          <w:color w:val="000000" w:themeColor="text1"/>
          <w:sz w:val="16"/>
          <w:szCs w:val="16"/>
        </w:rPr>
        <w:t>Главсудпром</w:t>
      </w:r>
      <w:proofErr w:type="spellEnd"/>
      <w:r w:rsidRPr="00A259BD">
        <w:rPr>
          <w:rFonts w:ascii="Times New Roman" w:hAnsi="Times New Roman"/>
          <w:color w:val="000000" w:themeColor="text1"/>
          <w:sz w:val="16"/>
          <w:szCs w:val="16"/>
        </w:rPr>
        <w:t>), в структу­ре которого находилось Главное управле­ние морского судостроения (</w:t>
      </w:r>
      <w:proofErr w:type="spellStart"/>
      <w:r w:rsidRPr="00A259BD">
        <w:rPr>
          <w:rFonts w:ascii="Times New Roman" w:hAnsi="Times New Roman"/>
          <w:color w:val="000000" w:themeColor="text1"/>
          <w:sz w:val="16"/>
          <w:szCs w:val="16"/>
        </w:rPr>
        <w:t>Главморпром</w:t>
      </w:r>
      <w:proofErr w:type="spellEnd"/>
      <w:r w:rsidRPr="00A259BD">
        <w:rPr>
          <w:rFonts w:ascii="Times New Roman" w:hAnsi="Times New Roman"/>
          <w:color w:val="000000" w:themeColor="text1"/>
          <w:sz w:val="16"/>
          <w:szCs w:val="16"/>
        </w:rPr>
        <w:t xml:space="preserve">, начальник— </w:t>
      </w:r>
      <w:proofErr w:type="spellStart"/>
      <w:r w:rsidRPr="00A259BD">
        <w:rPr>
          <w:rFonts w:ascii="Times New Roman" w:hAnsi="Times New Roman"/>
          <w:color w:val="000000" w:themeColor="text1"/>
          <w:sz w:val="16"/>
          <w:szCs w:val="16"/>
        </w:rPr>
        <w:t>Р.А.Муклевич</w:t>
      </w:r>
      <w:proofErr w:type="spellEnd"/>
      <w:r w:rsidRPr="00A259BD">
        <w:rPr>
          <w:rFonts w:ascii="Times New Roman" w:hAnsi="Times New Roman"/>
          <w:color w:val="000000" w:themeColor="text1"/>
          <w:sz w:val="16"/>
          <w:szCs w:val="16"/>
        </w:rPr>
        <w:t>) (11866).</w:t>
      </w:r>
    </w:p>
    <w:p w14:paraId="36A91A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4565ECD" w14:textId="77777777" w:rsidR="00CB23E1" w:rsidRPr="00A259BD" w:rsidRDefault="00CB23E1"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07FD29D" w14:textId="77777777" w:rsidR="00CB23E1" w:rsidRPr="00A259BD" w:rsidRDefault="00CB23E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8704B1D" w14:textId="77777777" w:rsidR="00CB23E1" w:rsidRPr="00A259BD" w:rsidRDefault="00CB23E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ноября 1929 г. на первом рас</w:t>
      </w:r>
      <w:r w:rsidRPr="00A259BD">
        <w:rPr>
          <w:rFonts w:ascii="Times New Roman" w:hAnsi="Times New Roman"/>
          <w:color w:val="000000" w:themeColor="text1"/>
          <w:sz w:val="16"/>
          <w:szCs w:val="16"/>
        </w:rPr>
        <w:softHyphen/>
        <w:t>ширенном заседании комитета были заслушаны доклады А.Н. Туполева «О перспективах дири</w:t>
      </w:r>
      <w:r w:rsidRPr="00A259BD">
        <w:rPr>
          <w:rFonts w:ascii="Times New Roman" w:hAnsi="Times New Roman"/>
          <w:color w:val="000000" w:themeColor="text1"/>
          <w:sz w:val="16"/>
          <w:szCs w:val="16"/>
        </w:rPr>
        <w:softHyphen/>
        <w:t>жаблестроения в СССР» и Соколова «О разви</w:t>
      </w:r>
      <w:r w:rsidRPr="00A259BD">
        <w:rPr>
          <w:rFonts w:ascii="Times New Roman" w:hAnsi="Times New Roman"/>
          <w:color w:val="000000" w:themeColor="text1"/>
          <w:sz w:val="16"/>
          <w:szCs w:val="16"/>
        </w:rPr>
        <w:softHyphen/>
        <w:t>тии воздухоплавания за границей». Были также образованы комиссии, охватывавшие все обла</w:t>
      </w:r>
      <w:r w:rsidRPr="00A259BD">
        <w:rPr>
          <w:rFonts w:ascii="Times New Roman" w:hAnsi="Times New Roman"/>
          <w:color w:val="000000" w:themeColor="text1"/>
          <w:sz w:val="16"/>
          <w:szCs w:val="16"/>
        </w:rPr>
        <w:softHyphen/>
        <w:t>сти воздухоплавания: комиссия конструкций (председатель — А.Н. Туполев), комиссия мо</w:t>
      </w:r>
      <w:r w:rsidRPr="00A259BD">
        <w:rPr>
          <w:rFonts w:ascii="Times New Roman" w:hAnsi="Times New Roman"/>
          <w:color w:val="000000" w:themeColor="text1"/>
          <w:sz w:val="16"/>
          <w:szCs w:val="16"/>
        </w:rPr>
        <w:softHyphen/>
        <w:t>торов (Б.С. Стечкин), комиссия организации производства (Постников), комиссия примене</w:t>
      </w:r>
      <w:r w:rsidRPr="00A259BD">
        <w:rPr>
          <w:rFonts w:ascii="Times New Roman" w:hAnsi="Times New Roman"/>
          <w:color w:val="000000" w:themeColor="text1"/>
          <w:sz w:val="16"/>
          <w:szCs w:val="16"/>
        </w:rPr>
        <w:softHyphen/>
        <w:t>ния дирижаблей (С.А. Меженинов), комиссия наземного оборудования (П.С. Дубенский), ко</w:t>
      </w:r>
      <w:r w:rsidRPr="00A259BD">
        <w:rPr>
          <w:rFonts w:ascii="Times New Roman" w:hAnsi="Times New Roman"/>
          <w:color w:val="000000" w:themeColor="text1"/>
          <w:sz w:val="16"/>
          <w:szCs w:val="16"/>
        </w:rPr>
        <w:softHyphen/>
        <w:t xml:space="preserve">миссия агитации и пропаганды (К.А. </w:t>
      </w:r>
      <w:proofErr w:type="spellStart"/>
      <w:r w:rsidRPr="00A259BD">
        <w:rPr>
          <w:rFonts w:ascii="Times New Roman" w:hAnsi="Times New Roman"/>
          <w:color w:val="000000" w:themeColor="text1"/>
          <w:sz w:val="16"/>
          <w:szCs w:val="16"/>
        </w:rPr>
        <w:t>Мехоно</w:t>
      </w:r>
      <w:proofErr w:type="spellEnd"/>
      <w:r w:rsidRPr="00A259BD">
        <w:rPr>
          <w:rFonts w:ascii="Times New Roman" w:hAnsi="Times New Roman"/>
          <w:color w:val="000000" w:themeColor="text1"/>
          <w:sz w:val="16"/>
          <w:szCs w:val="16"/>
        </w:rPr>
        <w:t>- шин), комиссия по подготовке специалистов (С.Г. Хорьков).</w:t>
      </w:r>
    </w:p>
    <w:p w14:paraId="16FE8635" w14:textId="77777777" w:rsidR="00CB23E1" w:rsidRPr="00A259BD" w:rsidRDefault="00CB23E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Тогда же газета «Правда» и ЦС Союза </w:t>
      </w:r>
      <w:proofErr w:type="spellStart"/>
      <w:r w:rsidRPr="00A259BD">
        <w:rPr>
          <w:rFonts w:ascii="Times New Roman" w:hAnsi="Times New Roman"/>
          <w:color w:val="000000" w:themeColor="text1"/>
          <w:sz w:val="16"/>
          <w:szCs w:val="16"/>
        </w:rPr>
        <w:t>Осоави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ахим</w:t>
      </w:r>
      <w:proofErr w:type="spellEnd"/>
      <w:r w:rsidRPr="00A259BD">
        <w:rPr>
          <w:rFonts w:ascii="Times New Roman" w:hAnsi="Times New Roman"/>
          <w:color w:val="000000" w:themeColor="text1"/>
          <w:sz w:val="16"/>
          <w:szCs w:val="16"/>
        </w:rPr>
        <w:t xml:space="preserve"> СССР начали кампанию по сбору средств на строительство дирижаблей под лозунгами: «За мощное развитие советского дирижабле</w:t>
      </w:r>
      <w:r w:rsidRPr="00A259BD">
        <w:rPr>
          <w:rFonts w:ascii="Times New Roman" w:hAnsi="Times New Roman"/>
          <w:color w:val="000000" w:themeColor="text1"/>
          <w:sz w:val="16"/>
          <w:szCs w:val="16"/>
        </w:rPr>
        <w:softHyphen/>
        <w:t>строения!», «Догнать и перегнать капиталисти</w:t>
      </w:r>
      <w:r w:rsidRPr="00A259BD">
        <w:rPr>
          <w:rFonts w:ascii="Times New Roman" w:hAnsi="Times New Roman"/>
          <w:color w:val="000000" w:themeColor="text1"/>
          <w:sz w:val="16"/>
          <w:szCs w:val="16"/>
        </w:rPr>
        <w:softHyphen/>
        <w:t>ческие государства и в области дирижаблестро</w:t>
      </w:r>
      <w:r w:rsidRPr="00A259BD">
        <w:rPr>
          <w:rFonts w:ascii="Times New Roman" w:hAnsi="Times New Roman"/>
          <w:color w:val="000000" w:themeColor="text1"/>
          <w:sz w:val="16"/>
          <w:szCs w:val="16"/>
        </w:rPr>
        <w:softHyphen/>
        <w:t>ения!» и «Над страной Советов должны и будут реять десятки мощных советских дирижаблей!». На этот раз кампания по сбору средств протекала успешно, отчисления от организаций достигали значительных сумм. Всего за три месяца было собрано два млн рублей (20120).</w:t>
      </w:r>
    </w:p>
    <w:p w14:paraId="3D6F5D98" w14:textId="77777777" w:rsidR="00CB23E1" w:rsidRPr="00A259BD" w:rsidRDefault="00CB23E1" w:rsidP="009236E3">
      <w:pPr>
        <w:spacing w:after="0" w:line="240" w:lineRule="auto"/>
        <w:jc w:val="both"/>
        <w:rPr>
          <w:rFonts w:ascii="Times New Roman" w:hAnsi="Times New Roman"/>
          <w:color w:val="000000" w:themeColor="text1"/>
          <w:sz w:val="16"/>
          <w:szCs w:val="16"/>
        </w:rPr>
      </w:pPr>
    </w:p>
    <w:p w14:paraId="1064707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83C796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30A1F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ноября 1929 Пред. РВС К.Е.В. был сделан доклад в СТО об отставании отечественной военной промышленности (3879,3).</w:t>
      </w:r>
    </w:p>
    <w:p w14:paraId="767710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B462B7" w14:textId="77777777" w:rsidR="008A55E8" w:rsidRPr="00A259BD" w:rsidRDefault="008A55E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ноября 1929 г. Ворошилов сделал доклад «в директивном органе» (т. е., в Политбюро ЦК) «об отставании промышленности в разработке конструкций образцов всех типов танков». Комиссия Орджоникидзе по поручению Политбюро командировала за границу группу представителей НКО и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для приобретения образцов танков, </w:t>
      </w:r>
      <w:proofErr w:type="spellStart"/>
      <w:r w:rsidRPr="00A259BD">
        <w:rPr>
          <w:rFonts w:ascii="Times New Roman" w:hAnsi="Times New Roman"/>
          <w:color w:val="000000" w:themeColor="text1"/>
          <w:sz w:val="16"/>
          <w:szCs w:val="16"/>
        </w:rPr>
        <w:t>арттягачей</w:t>
      </w:r>
      <w:proofErr w:type="spellEnd"/>
      <w:r w:rsidRPr="00A259BD">
        <w:rPr>
          <w:rFonts w:ascii="Times New Roman" w:hAnsi="Times New Roman"/>
          <w:color w:val="000000" w:themeColor="text1"/>
          <w:sz w:val="16"/>
          <w:szCs w:val="16"/>
        </w:rPr>
        <w:t xml:space="preserve"> и получения по их производству технической помощи. 30 декабря 1929 г. эта группа во главе с начальником УММ РККА </w:t>
      </w:r>
      <w:proofErr w:type="spellStart"/>
      <w:r w:rsidRPr="00A259BD">
        <w:rPr>
          <w:rFonts w:ascii="Times New Roman" w:hAnsi="Times New Roman"/>
          <w:color w:val="000000" w:themeColor="text1"/>
          <w:sz w:val="16"/>
          <w:szCs w:val="16"/>
        </w:rPr>
        <w:t>Халепским</w:t>
      </w:r>
      <w:proofErr w:type="spellEnd"/>
      <w:r w:rsidRPr="00A259BD">
        <w:rPr>
          <w:rFonts w:ascii="Times New Roman" w:hAnsi="Times New Roman"/>
          <w:color w:val="000000" w:themeColor="text1"/>
          <w:sz w:val="16"/>
          <w:szCs w:val="16"/>
        </w:rPr>
        <w:t xml:space="preserve"> отправилась в Германию. Группа </w:t>
      </w:r>
      <w:proofErr w:type="spellStart"/>
      <w:r w:rsidRPr="00A259BD">
        <w:rPr>
          <w:rFonts w:ascii="Times New Roman" w:hAnsi="Times New Roman"/>
          <w:color w:val="000000" w:themeColor="text1"/>
          <w:sz w:val="16"/>
          <w:szCs w:val="16"/>
        </w:rPr>
        <w:t>Халепского</w:t>
      </w:r>
      <w:proofErr w:type="spellEnd"/>
      <w:r w:rsidRPr="00A259BD">
        <w:rPr>
          <w:rFonts w:ascii="Times New Roman" w:hAnsi="Times New Roman"/>
          <w:color w:val="000000" w:themeColor="text1"/>
          <w:sz w:val="16"/>
          <w:szCs w:val="16"/>
        </w:rPr>
        <w:t xml:space="preserve"> побывала затем в </w:t>
      </w:r>
      <w:proofErr w:type="spellStart"/>
      <w:r w:rsidRPr="00A259BD">
        <w:rPr>
          <w:rFonts w:ascii="Times New Roman" w:hAnsi="Times New Roman"/>
          <w:color w:val="000000" w:themeColor="text1"/>
          <w:sz w:val="16"/>
          <w:szCs w:val="16"/>
        </w:rPr>
        <w:t>Чехо</w:t>
      </w:r>
      <w:proofErr w:type="spellEnd"/>
      <w:r w:rsidRPr="00A259BD">
        <w:rPr>
          <w:rFonts w:ascii="Times New Roman" w:hAnsi="Times New Roman"/>
          <w:color w:val="000000" w:themeColor="text1"/>
          <w:sz w:val="16"/>
          <w:szCs w:val="16"/>
        </w:rPr>
        <w:t>-Словакии, Франции, Англии и США. В Германии ей были открыты двери фирм-производителей танков, автомобилей, моторов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«Крупп», «Даймлер-Бенц», «</w:t>
      </w:r>
      <w:proofErr w:type="spellStart"/>
      <w:r w:rsidRPr="00A259BD">
        <w:rPr>
          <w:rFonts w:ascii="Times New Roman" w:hAnsi="Times New Roman"/>
          <w:color w:val="000000" w:themeColor="text1"/>
          <w:sz w:val="16"/>
          <w:szCs w:val="16"/>
        </w:rPr>
        <w:t>Маффай</w:t>
      </w:r>
      <w:proofErr w:type="spellEnd"/>
      <w:r w:rsidRPr="00A259BD">
        <w:rPr>
          <w:rFonts w:ascii="Times New Roman" w:hAnsi="Times New Roman"/>
          <w:color w:val="000000" w:themeColor="text1"/>
          <w:sz w:val="16"/>
          <w:szCs w:val="16"/>
        </w:rPr>
        <w:t>», «Линке-Хофман». Она закупила несколько образцов (</w:t>
      </w:r>
      <w:proofErr w:type="spellStart"/>
      <w:r w:rsidRPr="00A259BD">
        <w:rPr>
          <w:rFonts w:ascii="Times New Roman" w:hAnsi="Times New Roman"/>
          <w:color w:val="000000" w:themeColor="text1"/>
          <w:sz w:val="16"/>
          <w:szCs w:val="16"/>
        </w:rPr>
        <w:t>арттягачи</w:t>
      </w:r>
      <w:proofErr w:type="spellEnd"/>
      <w:r w:rsidRPr="00A259BD">
        <w:rPr>
          <w:rFonts w:ascii="Times New Roman" w:hAnsi="Times New Roman"/>
          <w:color w:val="000000" w:themeColor="text1"/>
          <w:sz w:val="16"/>
          <w:szCs w:val="16"/>
        </w:rPr>
        <w:t xml:space="preserve"> у фирмы «</w:t>
      </w:r>
      <w:proofErr w:type="spellStart"/>
      <w:r w:rsidRPr="00A259BD">
        <w:rPr>
          <w:rFonts w:ascii="Times New Roman" w:hAnsi="Times New Roman"/>
          <w:color w:val="000000" w:themeColor="text1"/>
          <w:sz w:val="16"/>
          <w:szCs w:val="16"/>
        </w:rPr>
        <w:t>Маффай</w:t>
      </w:r>
      <w:proofErr w:type="spellEnd"/>
      <w:r w:rsidRPr="00A259BD">
        <w:rPr>
          <w:rFonts w:ascii="Times New Roman" w:hAnsi="Times New Roman"/>
          <w:color w:val="000000" w:themeColor="text1"/>
          <w:sz w:val="16"/>
          <w:szCs w:val="16"/>
        </w:rPr>
        <w:t xml:space="preserve">», быстроходные тракторы у фирмы «Линке-Хофман» и др.). Всего инженерный отдел советского торгпредства в Германии закупил военного оборудования и снаряжения в 1929/30 хозяйственном году на 5,25 млн. м. </w:t>
      </w:r>
    </w:p>
    <w:p w14:paraId="333BF4B3" w14:textId="77777777" w:rsidR="008A55E8" w:rsidRPr="00A259BD" w:rsidRDefault="008A55E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Особенно удачным оказалось сотрудничество с конструктором-танкостроителем Э.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xml:space="preserve">»), с которым был заключен контракт о работе в СССР. Разработанный им средний танк «Т-Г» (Танк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по своим боевым и техническим качествам превосходил находившийся на вооружении РККА средний танк «Т-24». Такую высокую оценку дала ему комиссия Политбюро ЦК ВКП(б) по танкостроению в докладе Политбюро 19 февраля 1931 г. Танк «Т-Г» был признан основным типом среднего танка и было предложено срочно развернуть его производство в Харькове и на Урале.</w:t>
      </w:r>
      <w:hyperlink r:id="rId276" w:anchor="n_410" w:history="1">
        <w:r w:rsidRPr="00A259BD">
          <w:rPr>
            <w:rStyle w:val="a5"/>
            <w:rFonts w:ascii="Times New Roman" w:hAnsi="Times New Roman"/>
            <w:color w:val="000000" w:themeColor="text1"/>
            <w:sz w:val="16"/>
            <w:szCs w:val="16"/>
          </w:rPr>
          <w:t>[410]</w:t>
        </w:r>
      </w:hyperlink>
      <w:r w:rsidRPr="00A259BD">
        <w:rPr>
          <w:rFonts w:ascii="Times New Roman" w:hAnsi="Times New Roman"/>
          <w:color w:val="000000" w:themeColor="text1"/>
          <w:sz w:val="16"/>
          <w:szCs w:val="16"/>
        </w:rPr>
        <w:t xml:space="preserve"> В сентябре 1931 г.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xml:space="preserve"> выехал в Германию.</w:t>
      </w:r>
    </w:p>
    <w:p w14:paraId="1E275849" w14:textId="77777777" w:rsidR="008A55E8" w:rsidRPr="00A259BD" w:rsidRDefault="008A55E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w:t>
      </w:r>
      <w:proofErr w:type="spellStart"/>
      <w:r w:rsidRPr="00A259BD">
        <w:rPr>
          <w:rFonts w:ascii="Times New Roman" w:hAnsi="Times New Roman"/>
          <w:color w:val="000000" w:themeColor="text1"/>
          <w:sz w:val="16"/>
          <w:szCs w:val="16"/>
        </w:rPr>
        <w:t>губкома</w:t>
      </w:r>
      <w:proofErr w:type="spellEnd"/>
      <w:r w:rsidRPr="00A259BD">
        <w:rPr>
          <w:rFonts w:ascii="Times New Roman" w:hAnsi="Times New Roman"/>
          <w:color w:val="000000" w:themeColor="text1"/>
          <w:sz w:val="16"/>
          <w:szCs w:val="16"/>
        </w:rPr>
        <w:t xml:space="preserve"> (обкома) ВКП(б) в 1926–1934 гг.), с которым Сталин дружил, отправится к нему в Сочи 12 сентября и «о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xml:space="preserve"> &lt;. &gt; расскажет &lt;…&gt; всё сам» (18265).</w:t>
      </w:r>
    </w:p>
    <w:p w14:paraId="6672B984" w14:textId="77777777" w:rsidR="008A55E8" w:rsidRPr="00A259BD" w:rsidRDefault="008A55E8" w:rsidP="009236E3">
      <w:pPr>
        <w:spacing w:after="0" w:line="240" w:lineRule="auto"/>
        <w:jc w:val="both"/>
        <w:rPr>
          <w:rFonts w:ascii="Times New Roman" w:hAnsi="Times New Roman"/>
          <w:color w:val="000000" w:themeColor="text1"/>
          <w:sz w:val="16"/>
          <w:szCs w:val="16"/>
        </w:rPr>
      </w:pPr>
    </w:p>
    <w:p w14:paraId="5A43E4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ноября - начале декабря 1929 года харьковские танкостроители приступили к проектированию нового танка - Т-24, а уже в конце июля 1930 года были изготовлены первые три экземпляра нового танка. Один из первых танков Т-24 был срочно направлен в Кубинку для сравнительных испытаний с Т-12. Внешне новый танк существенно отличался от своего предшественника. Новый, более просторный корпус танка, имел развитые броневые ниши над </w:t>
      </w:r>
      <w:proofErr w:type="spellStart"/>
      <w:r w:rsidRPr="00A259BD">
        <w:rPr>
          <w:rFonts w:ascii="Times New Roman" w:hAnsi="Times New Roman"/>
          <w:color w:val="000000" w:themeColor="text1"/>
          <w:sz w:val="16"/>
          <w:szCs w:val="16"/>
        </w:rPr>
        <w:t>надгусеничными</w:t>
      </w:r>
      <w:proofErr w:type="spellEnd"/>
      <w:r w:rsidRPr="00A259BD">
        <w:rPr>
          <w:rFonts w:ascii="Times New Roman" w:hAnsi="Times New Roman"/>
          <w:color w:val="000000" w:themeColor="text1"/>
          <w:sz w:val="16"/>
          <w:szCs w:val="16"/>
        </w:rPr>
        <w:t xml:space="preserve"> полками. В них, подобно МС-1, были расположены дополнительные топливные баки. В связи с этим была уменьшена высота обвода гусеничных лент. В специальном выступе подбашенной коробки, слева от люка механика-водителя, была расположена шаровая установка лобового пулемета ДТ. Претерпела изменения конструкция люка механика-водителя и бортового люка для посадки экипажа. В связи с установкой нового двигателя и изменением конструкции отдельных элементов трансмиссии была изменена конструкция кормовой части корпуса танка (10710).</w:t>
      </w:r>
    </w:p>
    <w:p w14:paraId="799C44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AE9EF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ноября 1929 года, в связи с отставанием промышленности в разработке конструкции образцов всех типов танков, отвечающих принятой системе вооружения Реввоенсове</w:t>
      </w:r>
      <w:r w:rsidRPr="00A259BD">
        <w:rPr>
          <w:rFonts w:ascii="Times New Roman" w:hAnsi="Times New Roman"/>
          <w:color w:val="000000" w:themeColor="text1"/>
          <w:sz w:val="16"/>
          <w:szCs w:val="16"/>
        </w:rPr>
        <w:softHyphen/>
        <w:t>том Союза, Народным комиссаром и председателем Революционного Военного Совета Союза т. Во</w:t>
      </w:r>
      <w:r w:rsidRPr="00A259BD">
        <w:rPr>
          <w:rFonts w:ascii="Times New Roman" w:hAnsi="Times New Roman"/>
          <w:color w:val="000000" w:themeColor="text1"/>
          <w:sz w:val="16"/>
          <w:szCs w:val="16"/>
        </w:rPr>
        <w:softHyphen/>
        <w:t>рошиловым был сделан доклад в директивном органе.</w:t>
      </w:r>
    </w:p>
    <w:p w14:paraId="7B94BA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заседании последнего поручено комиссии т. Орджоникидзе разработать ряд конкретных ме</w:t>
      </w:r>
      <w:r w:rsidRPr="00A259BD">
        <w:rPr>
          <w:rFonts w:ascii="Times New Roman" w:hAnsi="Times New Roman"/>
          <w:color w:val="000000" w:themeColor="text1"/>
          <w:sz w:val="16"/>
          <w:szCs w:val="16"/>
        </w:rPr>
        <w:softHyphen/>
        <w:t>роприятий.</w:t>
      </w:r>
    </w:p>
    <w:p w14:paraId="13C05D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заседании 5 декабря комиссией т. Орджоникидзе было принято решение командировать заграницу представителей военного ведомства и промышленности для приобретения: образцов тан</w:t>
      </w:r>
      <w:r w:rsidRPr="00A259BD">
        <w:rPr>
          <w:rFonts w:ascii="Times New Roman" w:hAnsi="Times New Roman"/>
          <w:color w:val="000000" w:themeColor="text1"/>
          <w:sz w:val="16"/>
          <w:szCs w:val="16"/>
        </w:rPr>
        <w:softHyphen/>
        <w:t xml:space="preserve">ков, </w:t>
      </w:r>
      <w:proofErr w:type="spellStart"/>
      <w:r w:rsidRPr="00A259BD">
        <w:rPr>
          <w:rFonts w:ascii="Times New Roman" w:hAnsi="Times New Roman"/>
          <w:color w:val="000000" w:themeColor="text1"/>
          <w:sz w:val="16"/>
          <w:szCs w:val="16"/>
        </w:rPr>
        <w:t>арттягачей</w:t>
      </w:r>
      <w:proofErr w:type="spellEnd"/>
      <w:r w:rsidRPr="00A259BD">
        <w:rPr>
          <w:rFonts w:ascii="Times New Roman" w:hAnsi="Times New Roman"/>
          <w:color w:val="000000" w:themeColor="text1"/>
          <w:sz w:val="16"/>
          <w:szCs w:val="16"/>
        </w:rPr>
        <w:t xml:space="preserve"> и получения технической помощи по вышеуказанным объектам (11210).</w:t>
      </w:r>
    </w:p>
    <w:p w14:paraId="55BDE4B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FCB8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ноября 1929 года в соответствии с распоряжением треста РУЖ все работы по мотоциклам на </w:t>
      </w:r>
      <w:proofErr w:type="spellStart"/>
      <w:r w:rsidRPr="00A259BD">
        <w:rPr>
          <w:rFonts w:ascii="Times New Roman" w:hAnsi="Times New Roman"/>
          <w:color w:val="000000" w:themeColor="text1"/>
          <w:sz w:val="16"/>
          <w:szCs w:val="16"/>
        </w:rPr>
        <w:t>ИОЗе</w:t>
      </w:r>
      <w:proofErr w:type="spellEnd"/>
      <w:r w:rsidRPr="00A259BD">
        <w:rPr>
          <w:rFonts w:ascii="Times New Roman" w:hAnsi="Times New Roman"/>
          <w:color w:val="000000" w:themeColor="text1"/>
          <w:sz w:val="16"/>
          <w:szCs w:val="16"/>
        </w:rPr>
        <w:t xml:space="preserve"> прекратили. Сот</w:t>
      </w:r>
      <w:r w:rsidRPr="00A259BD">
        <w:rPr>
          <w:rFonts w:ascii="Times New Roman" w:hAnsi="Times New Roman"/>
          <w:color w:val="000000" w:themeColor="text1"/>
          <w:sz w:val="16"/>
          <w:szCs w:val="16"/>
        </w:rPr>
        <w:softHyphen/>
        <w:t xml:space="preserve">рудников </w:t>
      </w:r>
      <w:proofErr w:type="spellStart"/>
      <w:r w:rsidRPr="00A259BD">
        <w:rPr>
          <w:rFonts w:ascii="Times New Roman" w:hAnsi="Times New Roman"/>
          <w:color w:val="000000" w:themeColor="text1"/>
          <w:sz w:val="16"/>
          <w:szCs w:val="16"/>
        </w:rPr>
        <w:t>мотосекции</w:t>
      </w:r>
      <w:proofErr w:type="spellEnd"/>
      <w:r w:rsidRPr="00A259BD">
        <w:rPr>
          <w:rFonts w:ascii="Times New Roman" w:hAnsi="Times New Roman"/>
          <w:color w:val="000000" w:themeColor="text1"/>
          <w:sz w:val="16"/>
          <w:szCs w:val="16"/>
        </w:rPr>
        <w:t xml:space="preserve"> трудоустроили в другие подразделения за</w:t>
      </w:r>
      <w:r w:rsidRPr="00A259BD">
        <w:rPr>
          <w:rFonts w:ascii="Times New Roman" w:hAnsi="Times New Roman"/>
          <w:color w:val="000000" w:themeColor="text1"/>
          <w:sz w:val="16"/>
          <w:szCs w:val="16"/>
        </w:rPr>
        <w:softHyphen/>
        <w:t>вода. Разгромив замечательно проявивший себя трудовой коллек</w:t>
      </w:r>
      <w:r w:rsidRPr="00A259BD">
        <w:rPr>
          <w:rFonts w:ascii="Times New Roman" w:hAnsi="Times New Roman"/>
          <w:color w:val="000000" w:themeColor="text1"/>
          <w:sz w:val="16"/>
          <w:szCs w:val="16"/>
        </w:rPr>
        <w:softHyphen/>
        <w:t xml:space="preserve">тив РУЖ распорядился передать все результаты опытного </w:t>
      </w:r>
      <w:proofErr w:type="spellStart"/>
      <w:r w:rsidRPr="00A259BD">
        <w:rPr>
          <w:rFonts w:ascii="Times New Roman" w:hAnsi="Times New Roman"/>
          <w:color w:val="000000" w:themeColor="text1"/>
          <w:sz w:val="16"/>
          <w:szCs w:val="16"/>
        </w:rPr>
        <w:t>мото</w:t>
      </w:r>
      <w:r w:rsidRPr="00A259BD">
        <w:rPr>
          <w:rFonts w:ascii="Times New Roman" w:hAnsi="Times New Roman"/>
          <w:color w:val="000000" w:themeColor="text1"/>
          <w:sz w:val="16"/>
          <w:szCs w:val="16"/>
        </w:rPr>
        <w:softHyphen/>
        <w:t>циклостроения</w:t>
      </w:r>
      <w:proofErr w:type="spellEnd"/>
      <w:r w:rsidRPr="00A259BD">
        <w:rPr>
          <w:rFonts w:ascii="Times New Roman" w:hAnsi="Times New Roman"/>
          <w:color w:val="000000" w:themeColor="text1"/>
          <w:sz w:val="16"/>
          <w:szCs w:val="16"/>
        </w:rPr>
        <w:t xml:space="preserve"> в ленинградский трест массового производства (ТРЕМАСС). На поверку оказалось, что самым ценным резуль</w:t>
      </w:r>
      <w:r w:rsidRPr="00A259BD">
        <w:rPr>
          <w:rFonts w:ascii="Times New Roman" w:hAnsi="Times New Roman"/>
          <w:color w:val="000000" w:themeColor="text1"/>
          <w:sz w:val="16"/>
          <w:szCs w:val="16"/>
        </w:rPr>
        <w:softHyphen/>
        <w:t xml:space="preserve">татом этой подвижнической деятельности стал практический опыт наиболее квалифицированных инженеров </w:t>
      </w:r>
      <w:proofErr w:type="spellStart"/>
      <w:r w:rsidRPr="00A259BD">
        <w:rPr>
          <w:rFonts w:ascii="Times New Roman" w:hAnsi="Times New Roman"/>
          <w:color w:val="000000" w:themeColor="text1"/>
          <w:sz w:val="16"/>
          <w:szCs w:val="16"/>
        </w:rPr>
        <w:t>мотосекции</w:t>
      </w:r>
      <w:proofErr w:type="spellEnd"/>
      <w:r w:rsidRPr="00A259BD">
        <w:rPr>
          <w:rFonts w:ascii="Times New Roman" w:hAnsi="Times New Roman"/>
          <w:color w:val="000000" w:themeColor="text1"/>
          <w:sz w:val="16"/>
          <w:szCs w:val="16"/>
        </w:rPr>
        <w:t>. К ним относились П.В. Можаров, А.М. Лутц, С.Н. Семашко и не</w:t>
      </w:r>
      <w:r w:rsidRPr="00A259BD">
        <w:rPr>
          <w:rFonts w:ascii="Times New Roman" w:hAnsi="Times New Roman"/>
          <w:color w:val="000000" w:themeColor="text1"/>
          <w:sz w:val="16"/>
          <w:szCs w:val="16"/>
        </w:rPr>
        <w:softHyphen/>
        <w:t xml:space="preserve">которые другие. Поэтому ряд специалистов бывшей </w:t>
      </w:r>
      <w:proofErr w:type="spellStart"/>
      <w:r w:rsidRPr="00A259BD">
        <w:rPr>
          <w:rFonts w:ascii="Times New Roman" w:hAnsi="Times New Roman"/>
          <w:color w:val="000000" w:themeColor="text1"/>
          <w:sz w:val="16"/>
          <w:szCs w:val="16"/>
        </w:rPr>
        <w:t>мотосекции</w:t>
      </w:r>
      <w:proofErr w:type="spellEnd"/>
      <w:r w:rsidRPr="00A259BD">
        <w:rPr>
          <w:rFonts w:ascii="Times New Roman" w:hAnsi="Times New Roman"/>
          <w:color w:val="000000" w:themeColor="text1"/>
          <w:sz w:val="16"/>
          <w:szCs w:val="16"/>
        </w:rPr>
        <w:t xml:space="preserve"> откомандировали в распоряжение ТРЕМАСС для оказания тех</w:t>
      </w:r>
      <w:r w:rsidRPr="00A259BD">
        <w:rPr>
          <w:rFonts w:ascii="Times New Roman" w:hAnsi="Times New Roman"/>
          <w:color w:val="000000" w:themeColor="text1"/>
          <w:sz w:val="16"/>
          <w:szCs w:val="16"/>
        </w:rPr>
        <w:softHyphen/>
        <w:t>нической помощи при освоении выпуска мотоциклов в Ленингра</w:t>
      </w:r>
      <w:r w:rsidRPr="00A259BD">
        <w:rPr>
          <w:rFonts w:ascii="Times New Roman" w:hAnsi="Times New Roman"/>
          <w:color w:val="000000" w:themeColor="text1"/>
          <w:sz w:val="16"/>
          <w:szCs w:val="16"/>
        </w:rPr>
        <w:softHyphen/>
        <w:t>де. Лишив Ижевск финансирования для строительства мотоцик</w:t>
      </w:r>
      <w:r w:rsidRPr="00A259BD">
        <w:rPr>
          <w:rFonts w:ascii="Times New Roman" w:hAnsi="Times New Roman"/>
          <w:color w:val="000000" w:themeColor="text1"/>
          <w:sz w:val="16"/>
          <w:szCs w:val="16"/>
        </w:rPr>
        <w:softHyphen/>
        <w:t xml:space="preserve">летного завода и ведущих специалистов, создавших первые на </w:t>
      </w:r>
      <w:proofErr w:type="spellStart"/>
      <w:r w:rsidRPr="00A259BD">
        <w:rPr>
          <w:rFonts w:ascii="Times New Roman" w:hAnsi="Times New Roman"/>
          <w:color w:val="000000" w:themeColor="text1"/>
          <w:sz w:val="16"/>
          <w:szCs w:val="16"/>
        </w:rPr>
        <w:t>ИОЗе</w:t>
      </w:r>
      <w:proofErr w:type="spellEnd"/>
      <w:r w:rsidRPr="00A259BD">
        <w:rPr>
          <w:rFonts w:ascii="Times New Roman" w:hAnsi="Times New Roman"/>
          <w:color w:val="000000" w:themeColor="text1"/>
          <w:sz w:val="16"/>
          <w:szCs w:val="16"/>
        </w:rPr>
        <w:t xml:space="preserve"> мотоциклы, трест РУЖ и ВСНХ не смогли уничтожить са</w:t>
      </w:r>
      <w:r w:rsidRPr="00A259BD">
        <w:rPr>
          <w:rFonts w:ascii="Times New Roman" w:hAnsi="Times New Roman"/>
          <w:color w:val="000000" w:themeColor="text1"/>
          <w:sz w:val="16"/>
          <w:szCs w:val="16"/>
        </w:rPr>
        <w:softHyphen/>
        <w:t>му идею создания подобного предприятия в этом городе [3.95].</w:t>
      </w:r>
    </w:p>
    <w:p w14:paraId="2A331CF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Причина закрытия </w:t>
      </w:r>
      <w:proofErr w:type="spellStart"/>
      <w:r w:rsidRPr="00A259BD">
        <w:rPr>
          <w:rFonts w:ascii="Times New Roman" w:hAnsi="Times New Roman"/>
          <w:color w:val="000000" w:themeColor="text1"/>
          <w:sz w:val="16"/>
          <w:szCs w:val="16"/>
        </w:rPr>
        <w:t>мотосекции</w:t>
      </w:r>
      <w:proofErr w:type="spellEnd"/>
      <w:r w:rsidRPr="00A259BD">
        <w:rPr>
          <w:rFonts w:ascii="Times New Roman" w:hAnsi="Times New Roman"/>
          <w:color w:val="000000" w:themeColor="text1"/>
          <w:sz w:val="16"/>
          <w:szCs w:val="16"/>
        </w:rPr>
        <w:t xml:space="preserve"> на </w:t>
      </w:r>
      <w:proofErr w:type="spellStart"/>
      <w:r w:rsidRPr="00A259BD">
        <w:rPr>
          <w:rFonts w:ascii="Times New Roman" w:hAnsi="Times New Roman"/>
          <w:color w:val="000000" w:themeColor="text1"/>
          <w:sz w:val="16"/>
          <w:szCs w:val="16"/>
        </w:rPr>
        <w:t>ИОЗе</w:t>
      </w:r>
      <w:proofErr w:type="spellEnd"/>
      <w:r w:rsidRPr="00A259BD">
        <w:rPr>
          <w:rFonts w:ascii="Times New Roman" w:hAnsi="Times New Roman"/>
          <w:color w:val="000000" w:themeColor="text1"/>
          <w:sz w:val="16"/>
          <w:szCs w:val="16"/>
        </w:rPr>
        <w:t xml:space="preserve"> состояла в “</w:t>
      </w:r>
      <w:proofErr w:type="spellStart"/>
      <w:r w:rsidRPr="00A259BD">
        <w:rPr>
          <w:rFonts w:ascii="Times New Roman" w:hAnsi="Times New Roman"/>
          <w:color w:val="000000" w:themeColor="text1"/>
          <w:sz w:val="16"/>
          <w:szCs w:val="16"/>
        </w:rPr>
        <w:t>подко</w:t>
      </w:r>
      <w:r w:rsidRPr="00A259BD">
        <w:rPr>
          <w:rFonts w:ascii="Times New Roman" w:hAnsi="Times New Roman"/>
          <w:color w:val="000000" w:themeColor="text1"/>
          <w:sz w:val="16"/>
          <w:szCs w:val="16"/>
        </w:rPr>
        <w:softHyphen/>
        <w:t>вёрной</w:t>
      </w:r>
      <w:proofErr w:type="spellEnd"/>
      <w:r w:rsidRPr="00A259BD">
        <w:rPr>
          <w:rFonts w:ascii="Times New Roman" w:hAnsi="Times New Roman"/>
          <w:color w:val="000000" w:themeColor="text1"/>
          <w:sz w:val="16"/>
          <w:szCs w:val="16"/>
        </w:rPr>
        <w:t xml:space="preserve"> борьбе” внутри ВСНХ и стремлении некоторых регионов получить финансирование на освоение производства мотоциклов, что позволило бы им создать у себя новые рабочие места, разви</w:t>
      </w:r>
      <w:r w:rsidRPr="00A259BD">
        <w:rPr>
          <w:rFonts w:ascii="Times New Roman" w:hAnsi="Times New Roman"/>
          <w:color w:val="000000" w:themeColor="text1"/>
          <w:sz w:val="16"/>
          <w:szCs w:val="16"/>
        </w:rPr>
        <w:softHyphen/>
        <w:t>вать промышленную инфраструктуру, словом, улучшать качество жизни на их территории. В тот период даже расчётная потреб</w:t>
      </w:r>
      <w:r w:rsidRPr="00A259BD">
        <w:rPr>
          <w:rFonts w:ascii="Times New Roman" w:hAnsi="Times New Roman"/>
          <w:color w:val="000000" w:themeColor="text1"/>
          <w:sz w:val="16"/>
          <w:szCs w:val="16"/>
        </w:rPr>
        <w:softHyphen/>
        <w:t>ность в мотоциклах на ближайшие пять лет достигала 250 тыс. машин, а реальная предполагалась ещё большей [3.96]. А это тре</w:t>
      </w:r>
      <w:r w:rsidRPr="00A259BD">
        <w:rPr>
          <w:rFonts w:ascii="Times New Roman" w:hAnsi="Times New Roman"/>
          <w:color w:val="000000" w:themeColor="text1"/>
          <w:sz w:val="16"/>
          <w:szCs w:val="16"/>
        </w:rPr>
        <w:softHyphen/>
        <w:t>бовало больших капиталовложений из госбюджета, на что и рас</w:t>
      </w:r>
      <w:r w:rsidRPr="00A259BD">
        <w:rPr>
          <w:rFonts w:ascii="Times New Roman" w:hAnsi="Times New Roman"/>
          <w:color w:val="000000" w:themeColor="text1"/>
          <w:sz w:val="16"/>
          <w:szCs w:val="16"/>
        </w:rPr>
        <w:softHyphen/>
        <w:t>считывали руководители этих регионов. А между тем, зарубеж</w:t>
      </w:r>
      <w:r w:rsidRPr="00A259BD">
        <w:rPr>
          <w:rFonts w:ascii="Times New Roman" w:hAnsi="Times New Roman"/>
          <w:color w:val="000000" w:themeColor="text1"/>
          <w:sz w:val="16"/>
          <w:szCs w:val="16"/>
        </w:rPr>
        <w:softHyphen/>
        <w:t xml:space="preserve">ная практика свидетельствовала, что освоение </w:t>
      </w:r>
      <w:proofErr w:type="spellStart"/>
      <w:r w:rsidRPr="00A259BD">
        <w:rPr>
          <w:rFonts w:ascii="Times New Roman" w:hAnsi="Times New Roman"/>
          <w:color w:val="000000" w:themeColor="text1"/>
          <w:sz w:val="16"/>
          <w:szCs w:val="16"/>
        </w:rPr>
        <w:t>мотоциклострое-ния</w:t>
      </w:r>
      <w:proofErr w:type="spellEnd"/>
      <w:r w:rsidRPr="00A259BD">
        <w:rPr>
          <w:rFonts w:ascii="Times New Roman" w:hAnsi="Times New Roman"/>
          <w:color w:val="000000" w:themeColor="text1"/>
          <w:sz w:val="16"/>
          <w:szCs w:val="16"/>
        </w:rPr>
        <w:t xml:space="preserve"> требует относительно небольших дополнительных расходов, если оно осуществляется на оружейных заводах. Примером тому служили фирмы БСА, ФН, “Армстронг” и др. В этом, а также во многом свойственном только нашей стране и именно в тот пери</w:t>
      </w:r>
      <w:r w:rsidRPr="00A259BD">
        <w:rPr>
          <w:rFonts w:ascii="Times New Roman" w:hAnsi="Times New Roman"/>
          <w:color w:val="000000" w:themeColor="text1"/>
          <w:sz w:val="16"/>
          <w:szCs w:val="16"/>
        </w:rPr>
        <w:softHyphen/>
        <w:t>од, состояло преимущество Ижевска перед другими претендента</w:t>
      </w:r>
      <w:r w:rsidRPr="00A259BD">
        <w:rPr>
          <w:rFonts w:ascii="Times New Roman" w:hAnsi="Times New Roman"/>
          <w:color w:val="000000" w:themeColor="text1"/>
          <w:sz w:val="16"/>
          <w:szCs w:val="16"/>
        </w:rPr>
        <w:softHyphen/>
        <w:t>ми на финансирование создания первого в стране мотоциклетно</w:t>
      </w:r>
      <w:r w:rsidRPr="00A259BD">
        <w:rPr>
          <w:rFonts w:ascii="Times New Roman" w:hAnsi="Times New Roman"/>
          <w:color w:val="000000" w:themeColor="text1"/>
          <w:sz w:val="16"/>
          <w:szCs w:val="16"/>
        </w:rPr>
        <w:softHyphen/>
        <w:t>го завода [3.97]. На постройку такого предприятия претендовали Тула, Москва и Ленинград.</w:t>
      </w:r>
    </w:p>
    <w:p w14:paraId="05EB48F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Тульских оружейных заводах самодеятельные конструк</w:t>
      </w:r>
      <w:r w:rsidRPr="00A259BD">
        <w:rPr>
          <w:rFonts w:ascii="Times New Roman" w:hAnsi="Times New Roman"/>
          <w:color w:val="000000" w:themeColor="text1"/>
          <w:sz w:val="16"/>
          <w:szCs w:val="16"/>
        </w:rPr>
        <w:softHyphen/>
        <w:t>торы Константинов, Н. Токарев, Шитиков и др. экспериментиро</w:t>
      </w:r>
      <w:r w:rsidRPr="00A259BD">
        <w:rPr>
          <w:rFonts w:ascii="Times New Roman" w:hAnsi="Times New Roman"/>
          <w:color w:val="000000" w:themeColor="text1"/>
          <w:sz w:val="16"/>
          <w:szCs w:val="16"/>
        </w:rPr>
        <w:softHyphen/>
        <w:t>вали с изготовлением мотоциклов на основе иномарок, с доработ</w:t>
      </w:r>
      <w:r w:rsidRPr="00A259BD">
        <w:rPr>
          <w:rFonts w:ascii="Times New Roman" w:hAnsi="Times New Roman"/>
          <w:color w:val="000000" w:themeColor="text1"/>
          <w:sz w:val="16"/>
          <w:szCs w:val="16"/>
        </w:rPr>
        <w:softHyphen/>
        <w:t>кой отдельных узлов [3.98].</w:t>
      </w:r>
    </w:p>
    <w:p w14:paraId="2E5ACA4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Москве предполагалось кооперировать производство мото</w:t>
      </w:r>
      <w:r w:rsidRPr="00A259BD">
        <w:rPr>
          <w:rFonts w:ascii="Times New Roman" w:hAnsi="Times New Roman"/>
          <w:color w:val="000000" w:themeColor="text1"/>
          <w:sz w:val="16"/>
          <w:szCs w:val="16"/>
        </w:rPr>
        <w:softHyphen/>
        <w:t>циклов с массовым выпуском велосипедов на одном и том же за</w:t>
      </w:r>
      <w:r w:rsidRPr="00A259BD">
        <w:rPr>
          <w:rFonts w:ascii="Times New Roman" w:hAnsi="Times New Roman"/>
          <w:color w:val="000000" w:themeColor="text1"/>
          <w:sz w:val="16"/>
          <w:szCs w:val="16"/>
        </w:rPr>
        <w:softHyphen/>
        <w:t>воде [3.27]. Ведь именно так в 1909-1915 гг. организовали выпуск мотоциклов на фирме “Дукс” [2.11]. Впрочем, известны примеры успешного освоения выпуска мотоциклов на фирмах другого профиля, например, оружейных: английской БСА и бельгийской ФН [3.99] (11429).</w:t>
      </w:r>
    </w:p>
    <w:p w14:paraId="6C0FCA0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C586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ноября 1929 г. Ворошилов сделал доклад «в директивном органе» (т. е., в Политбюро ЦК) «об отставании промышленности в разработке конструкций образцов всех типов танков». Комиссия Орджоникидзе по поручению Политбюро командировала за границу группу представителей НКО и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для приобретения образцов танков, </w:t>
      </w:r>
      <w:proofErr w:type="spellStart"/>
      <w:r w:rsidRPr="00A259BD">
        <w:rPr>
          <w:rFonts w:ascii="Times New Roman" w:hAnsi="Times New Roman"/>
          <w:color w:val="000000" w:themeColor="text1"/>
          <w:sz w:val="16"/>
          <w:szCs w:val="16"/>
        </w:rPr>
        <w:t>арттягачей</w:t>
      </w:r>
      <w:proofErr w:type="spellEnd"/>
      <w:r w:rsidRPr="00A259BD">
        <w:rPr>
          <w:rFonts w:ascii="Times New Roman" w:hAnsi="Times New Roman"/>
          <w:color w:val="000000" w:themeColor="text1"/>
          <w:sz w:val="16"/>
          <w:szCs w:val="16"/>
        </w:rPr>
        <w:t xml:space="preserve"> и получения по их производству технической помощи. 30 декабря 1929 г. эта группа во главе с начальником УММ РККА </w:t>
      </w:r>
      <w:proofErr w:type="spellStart"/>
      <w:r w:rsidRPr="00A259BD">
        <w:rPr>
          <w:rFonts w:ascii="Times New Roman" w:hAnsi="Times New Roman"/>
          <w:color w:val="000000" w:themeColor="text1"/>
          <w:sz w:val="16"/>
          <w:szCs w:val="16"/>
        </w:rPr>
        <w:t>Халепским</w:t>
      </w:r>
      <w:proofErr w:type="spellEnd"/>
      <w:r w:rsidRPr="00A259BD">
        <w:rPr>
          <w:rFonts w:ascii="Times New Roman" w:hAnsi="Times New Roman"/>
          <w:color w:val="000000" w:themeColor="text1"/>
          <w:sz w:val="16"/>
          <w:szCs w:val="16"/>
        </w:rPr>
        <w:t xml:space="preserve"> отправилась в Германию. Группа </w:t>
      </w:r>
      <w:proofErr w:type="spellStart"/>
      <w:r w:rsidRPr="00A259BD">
        <w:rPr>
          <w:rFonts w:ascii="Times New Roman" w:hAnsi="Times New Roman"/>
          <w:color w:val="000000" w:themeColor="text1"/>
          <w:sz w:val="16"/>
          <w:szCs w:val="16"/>
        </w:rPr>
        <w:t>Халепского</w:t>
      </w:r>
      <w:proofErr w:type="spellEnd"/>
      <w:r w:rsidRPr="00A259BD">
        <w:rPr>
          <w:rFonts w:ascii="Times New Roman" w:hAnsi="Times New Roman"/>
          <w:color w:val="000000" w:themeColor="text1"/>
          <w:sz w:val="16"/>
          <w:szCs w:val="16"/>
        </w:rPr>
        <w:t xml:space="preserve"> побывала затем в </w:t>
      </w:r>
      <w:proofErr w:type="spellStart"/>
      <w:r w:rsidRPr="00A259BD">
        <w:rPr>
          <w:rFonts w:ascii="Times New Roman" w:hAnsi="Times New Roman"/>
          <w:color w:val="000000" w:themeColor="text1"/>
          <w:sz w:val="16"/>
          <w:szCs w:val="16"/>
        </w:rPr>
        <w:t>Чехо</w:t>
      </w:r>
      <w:proofErr w:type="spellEnd"/>
      <w:r w:rsidRPr="00A259BD">
        <w:rPr>
          <w:rFonts w:ascii="Times New Roman" w:hAnsi="Times New Roman"/>
          <w:color w:val="000000" w:themeColor="text1"/>
          <w:sz w:val="16"/>
          <w:szCs w:val="16"/>
        </w:rPr>
        <w:t>-Словакии, Франции, Англии и США. В Германии ей были открыты двери фирм-производителей танков, автомобилей, моторов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«Крупп», «Даймлер-Бенц», «</w:t>
      </w:r>
      <w:proofErr w:type="spellStart"/>
      <w:r w:rsidRPr="00A259BD">
        <w:rPr>
          <w:rFonts w:ascii="Times New Roman" w:hAnsi="Times New Roman"/>
          <w:color w:val="000000" w:themeColor="text1"/>
          <w:sz w:val="16"/>
          <w:szCs w:val="16"/>
        </w:rPr>
        <w:t>Маффай</w:t>
      </w:r>
      <w:proofErr w:type="spellEnd"/>
      <w:r w:rsidRPr="00A259BD">
        <w:rPr>
          <w:rFonts w:ascii="Times New Roman" w:hAnsi="Times New Roman"/>
          <w:color w:val="000000" w:themeColor="text1"/>
          <w:sz w:val="16"/>
          <w:szCs w:val="16"/>
        </w:rPr>
        <w:t>», «Линке-Хофман». Она закупила несколько образцов (</w:t>
      </w:r>
      <w:proofErr w:type="spellStart"/>
      <w:r w:rsidRPr="00A259BD">
        <w:rPr>
          <w:rFonts w:ascii="Times New Roman" w:hAnsi="Times New Roman"/>
          <w:color w:val="000000" w:themeColor="text1"/>
          <w:sz w:val="16"/>
          <w:szCs w:val="16"/>
        </w:rPr>
        <w:t>арттягачи</w:t>
      </w:r>
      <w:proofErr w:type="spellEnd"/>
      <w:r w:rsidRPr="00A259BD">
        <w:rPr>
          <w:rFonts w:ascii="Times New Roman" w:hAnsi="Times New Roman"/>
          <w:color w:val="000000" w:themeColor="text1"/>
          <w:sz w:val="16"/>
          <w:szCs w:val="16"/>
        </w:rPr>
        <w:t xml:space="preserve"> у фирмы «</w:t>
      </w:r>
      <w:proofErr w:type="spellStart"/>
      <w:r w:rsidRPr="00A259BD">
        <w:rPr>
          <w:rFonts w:ascii="Times New Roman" w:hAnsi="Times New Roman"/>
          <w:color w:val="000000" w:themeColor="text1"/>
          <w:sz w:val="16"/>
          <w:szCs w:val="16"/>
        </w:rPr>
        <w:t>Маффай</w:t>
      </w:r>
      <w:proofErr w:type="spellEnd"/>
      <w:r w:rsidRPr="00A259BD">
        <w:rPr>
          <w:rFonts w:ascii="Times New Roman" w:hAnsi="Times New Roman"/>
          <w:color w:val="000000" w:themeColor="text1"/>
          <w:sz w:val="16"/>
          <w:szCs w:val="16"/>
        </w:rPr>
        <w:t xml:space="preserve">», быстроходные тракторы у фирмы «Линке-Хофман» и др. ) (РГВА, ф. 31811, </w:t>
      </w:r>
      <w:proofErr w:type="spellStart"/>
      <w:r w:rsidRPr="00A259BD">
        <w:rPr>
          <w:rFonts w:ascii="Times New Roman" w:hAnsi="Times New Roman"/>
          <w:color w:val="000000" w:themeColor="text1"/>
          <w:sz w:val="16"/>
          <w:szCs w:val="16"/>
        </w:rPr>
        <w:t>on</w:t>
      </w:r>
      <w:proofErr w:type="spellEnd"/>
      <w:r w:rsidRPr="00A259BD">
        <w:rPr>
          <w:rFonts w:ascii="Times New Roman" w:hAnsi="Times New Roman"/>
          <w:color w:val="000000" w:themeColor="text1"/>
          <w:sz w:val="16"/>
          <w:szCs w:val="16"/>
        </w:rPr>
        <w:t xml:space="preserve">. 1, д. 7, л. 35-37.). Всего инженерный отдел советского торгпредства в Германии закупил военного оборудования и снаряжения в 1929/30 хозяйственном году на 5,25 млн. м. (РГВА, ф. 31863, оп. 1, д. 2106, л. 3.). Особенно удачным оказалось сотрудничество с конструктором-танкостроителем Э.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xml:space="preserve">»), с которым был заключен контракт о работе в СССР. Разработанный им средний танк «Т-Г» (Танк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xml:space="preserve">) по своим боевым и техническим качествам превосходил находившийся на вооружении РККА средний танк «Т-24». Такую высокую оценку дала ему комиссия Политбюро ЦК ВКП(б) по танкостроению в докладе Политбюро 19 февраля 1931 г. Танк «Т-Г» был признан основным типом среднего танка и было предложено срочно развернуть его производство в Харькове и на Урале (Захаров В. В. Указ. Соч. С. 92.). В сентябре 1931 г.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xml:space="preserve"> выехал в Германию. 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w:t>
      </w:r>
      <w:proofErr w:type="spellStart"/>
      <w:r w:rsidRPr="00A259BD">
        <w:rPr>
          <w:rFonts w:ascii="Times New Roman" w:hAnsi="Times New Roman"/>
          <w:color w:val="000000" w:themeColor="text1"/>
          <w:sz w:val="16"/>
          <w:szCs w:val="16"/>
        </w:rPr>
        <w:t>губкома</w:t>
      </w:r>
      <w:proofErr w:type="spellEnd"/>
      <w:r w:rsidRPr="00A259BD">
        <w:rPr>
          <w:rFonts w:ascii="Times New Roman" w:hAnsi="Times New Roman"/>
          <w:color w:val="000000" w:themeColor="text1"/>
          <w:sz w:val="16"/>
          <w:szCs w:val="16"/>
        </w:rPr>
        <w:t xml:space="preserve"> (обкома) ВКП(б) в 1926 — 1934 гг. ), с которым Сталин дружил, отправится к нему в Сочи 12 сентября и «о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xml:space="preserve"> &lt; . . &gt; расскажет &lt;...&gt; всё сам» (Иосиф Сталин в объятиях семьи: Из личного архива (Сборник документов). М., 1993, с. 35—36,42.). В условиях экономического кризиса 1929 — 1933гг. («великая депрессия») значение СССР как рынка сбыта германской промышленной, в т. ч. и военно-промышленной продукции, резко возросло. Так, если экспорт Германии в такие страны, как Франция, Голландия, Великобритания в 1932 г. по сравнению с 1929 г. сократился соответственно на 48,6%, 53,2% и 65,7%, то ее экспорт в СССР, наоборот, возрос на 176% (</w:t>
      </w:r>
      <w:proofErr w:type="spellStart"/>
      <w:r w:rsidRPr="00A259BD">
        <w:rPr>
          <w:rFonts w:ascii="Times New Roman" w:hAnsi="Times New Roman"/>
          <w:color w:val="000000" w:themeColor="text1"/>
          <w:sz w:val="16"/>
          <w:szCs w:val="16"/>
        </w:rPr>
        <w:t>Ахтамзян</w:t>
      </w:r>
      <w:proofErr w:type="spellEnd"/>
      <w:r w:rsidRPr="00A259BD">
        <w:rPr>
          <w:rFonts w:ascii="Times New Roman" w:hAnsi="Times New Roman"/>
          <w:color w:val="000000" w:themeColor="text1"/>
          <w:sz w:val="16"/>
          <w:szCs w:val="16"/>
        </w:rPr>
        <w:t xml:space="preserve"> А. А. Указ. соч. С. 261.). Подобный рост в значительной мере был обусловлен тем обстоятельством, что Москва, жестко поставив вопрос перед Берлином об экспортных кредитах, сумела настоять на своем. Переговоры о новом кредите были начаты беседой германского посла в Москве </w:t>
      </w:r>
      <w:proofErr w:type="spellStart"/>
      <w:r w:rsidRPr="00A259BD">
        <w:rPr>
          <w:rFonts w:ascii="Times New Roman" w:hAnsi="Times New Roman"/>
          <w:color w:val="000000" w:themeColor="text1"/>
          <w:sz w:val="16"/>
          <w:szCs w:val="16"/>
        </w:rPr>
        <w:t>Дирксена</w:t>
      </w:r>
      <w:proofErr w:type="spellEnd"/>
      <w:r w:rsidRPr="00A259BD">
        <w:rPr>
          <w:rFonts w:ascii="Times New Roman" w:hAnsi="Times New Roman"/>
          <w:color w:val="000000" w:themeColor="text1"/>
          <w:sz w:val="16"/>
          <w:szCs w:val="16"/>
        </w:rPr>
        <w:t xml:space="preserve"> с наркомом внешней торговли А. И. Микояном и членом коллегии НКИД СССР </w:t>
      </w:r>
      <w:proofErr w:type="spellStart"/>
      <w:r w:rsidRPr="00A259BD">
        <w:rPr>
          <w:rFonts w:ascii="Times New Roman" w:hAnsi="Times New Roman"/>
          <w:color w:val="000000" w:themeColor="text1"/>
          <w:sz w:val="16"/>
          <w:szCs w:val="16"/>
        </w:rPr>
        <w:t>Стомоняковым</w:t>
      </w:r>
      <w:proofErr w:type="spellEnd"/>
      <w:r w:rsidRPr="00A259BD">
        <w:rPr>
          <w:rFonts w:ascii="Times New Roman" w:hAnsi="Times New Roman"/>
          <w:color w:val="000000" w:themeColor="text1"/>
          <w:sz w:val="16"/>
          <w:szCs w:val="16"/>
        </w:rPr>
        <w:t xml:space="preserve"> на приеме в германском посольстве 12 апреля 1929 г. Микоян заявил тогда германскому дипломату: «Тяжелых и невыгодных кредитов мы больше брать не будем». И Москва сумела реализовать данный подход. В свою очередь </w:t>
      </w:r>
      <w:proofErr w:type="spellStart"/>
      <w:r w:rsidRPr="00A259BD">
        <w:rPr>
          <w:rFonts w:ascii="Times New Roman" w:hAnsi="Times New Roman"/>
          <w:color w:val="000000" w:themeColor="text1"/>
          <w:sz w:val="16"/>
          <w:szCs w:val="16"/>
        </w:rPr>
        <w:t>Дирксен</w:t>
      </w:r>
      <w:proofErr w:type="spellEnd"/>
      <w:r w:rsidRPr="00A259BD">
        <w:rPr>
          <w:rFonts w:ascii="Times New Roman" w:hAnsi="Times New Roman"/>
          <w:color w:val="000000" w:themeColor="text1"/>
          <w:sz w:val="16"/>
          <w:szCs w:val="16"/>
        </w:rPr>
        <w:t xml:space="preserve"> постоянно ставил вопрос о кредитах перед министром иностранных дел </w:t>
      </w:r>
      <w:proofErr w:type="spellStart"/>
      <w:r w:rsidRPr="00A259BD">
        <w:rPr>
          <w:rFonts w:ascii="Times New Roman" w:hAnsi="Times New Roman"/>
          <w:color w:val="000000" w:themeColor="text1"/>
          <w:sz w:val="16"/>
          <w:szCs w:val="16"/>
        </w:rPr>
        <w:t>Курциусом</w:t>
      </w:r>
      <w:proofErr w:type="spellEnd"/>
      <w:r w:rsidRPr="00A259BD">
        <w:rPr>
          <w:rFonts w:ascii="Times New Roman" w:hAnsi="Times New Roman"/>
          <w:color w:val="000000" w:themeColor="text1"/>
          <w:sz w:val="16"/>
          <w:szCs w:val="16"/>
        </w:rPr>
        <w:t>, подчеркивая его политическое значение в условиях, когда в Германии заговорили о «кризисе Рапалло», «конце Рапалло», указывая при этом на обострение внутриполитической обстановки и ужесточение режима в СССР (11784).</w:t>
      </w:r>
    </w:p>
    <w:p w14:paraId="18D897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2DE3C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23876DF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D9219B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концу ноября 1929 г. боевые действия на КВЖД практически прекратились, а 22 декабря в Хабаровске состоялось под</w:t>
      </w:r>
      <w:r w:rsidRPr="00A259BD">
        <w:rPr>
          <w:rFonts w:ascii="Times New Roman" w:hAnsi="Times New Roman"/>
          <w:color w:val="000000" w:themeColor="text1"/>
          <w:sz w:val="16"/>
          <w:szCs w:val="16"/>
        </w:rPr>
        <w:softHyphen/>
        <w:t>писание соглашения между СССР и Китаем, предусматри</w:t>
      </w:r>
      <w:r w:rsidRPr="00A259BD">
        <w:rPr>
          <w:rFonts w:ascii="Times New Roman" w:hAnsi="Times New Roman"/>
          <w:color w:val="000000" w:themeColor="text1"/>
          <w:sz w:val="16"/>
          <w:szCs w:val="16"/>
        </w:rPr>
        <w:softHyphen/>
        <w:t>вающее ликвидацию конфликта и восстановление движе</w:t>
      </w:r>
      <w:r w:rsidRPr="00A259BD">
        <w:rPr>
          <w:rFonts w:ascii="Times New Roman" w:hAnsi="Times New Roman"/>
          <w:color w:val="000000" w:themeColor="text1"/>
          <w:sz w:val="16"/>
          <w:szCs w:val="16"/>
        </w:rPr>
        <w:softHyphen/>
        <w:t>ния на КВЖД. Советские войска после этого были выве</w:t>
      </w:r>
      <w:r w:rsidRPr="00A259BD">
        <w:rPr>
          <w:rFonts w:ascii="Times New Roman" w:hAnsi="Times New Roman"/>
          <w:color w:val="000000" w:themeColor="text1"/>
          <w:sz w:val="16"/>
          <w:szCs w:val="16"/>
        </w:rPr>
        <w:softHyphen/>
        <w:t xml:space="preserve">дены из Маньчжурии. 40-ю эскадрилью перевели к постоянному месту дислокации в Спасск-Дальний, а 68-й </w:t>
      </w:r>
      <w:proofErr w:type="spellStart"/>
      <w:r w:rsidRPr="00A259BD">
        <w:rPr>
          <w:rFonts w:ascii="Times New Roman" w:hAnsi="Times New Roman"/>
          <w:color w:val="000000" w:themeColor="text1"/>
          <w:sz w:val="16"/>
          <w:szCs w:val="16"/>
        </w:rPr>
        <w:t>гидроотряд</w:t>
      </w:r>
      <w:proofErr w:type="spellEnd"/>
      <w:r w:rsidRPr="00A259BD">
        <w:rPr>
          <w:rFonts w:ascii="Times New Roman" w:hAnsi="Times New Roman"/>
          <w:color w:val="000000" w:themeColor="text1"/>
          <w:sz w:val="16"/>
          <w:szCs w:val="16"/>
        </w:rPr>
        <w:t xml:space="preserve"> стал основой для формирования авиации Амурской речной флотилии (11107).</w:t>
      </w:r>
    </w:p>
    <w:p w14:paraId="08F210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80F0FA"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концу ноября 1929 г. боевые действия на Китайско-Восточной железной доро</w:t>
      </w:r>
      <w:r w:rsidRPr="00A259BD">
        <w:rPr>
          <w:rFonts w:ascii="Times New Roman" w:hAnsi="Times New Roman"/>
          <w:color w:val="000000" w:themeColor="text1"/>
          <w:sz w:val="16"/>
          <w:szCs w:val="16"/>
        </w:rPr>
        <w:softHyphen/>
        <w:t>ге (КВЖД) практически прекратились, а 22 декабря в Хабаровске состоялось подписание соглаше</w:t>
      </w:r>
      <w:r w:rsidRPr="00A259BD">
        <w:rPr>
          <w:rFonts w:ascii="Times New Roman" w:hAnsi="Times New Roman"/>
          <w:color w:val="000000" w:themeColor="text1"/>
          <w:sz w:val="16"/>
          <w:szCs w:val="16"/>
        </w:rPr>
        <w:softHyphen/>
        <w:t>ния между СССР и Китаем, предусматрива</w:t>
      </w:r>
      <w:r w:rsidRPr="00A259BD">
        <w:rPr>
          <w:rFonts w:ascii="Times New Roman" w:hAnsi="Times New Roman"/>
          <w:color w:val="000000" w:themeColor="text1"/>
          <w:sz w:val="16"/>
          <w:szCs w:val="16"/>
        </w:rPr>
        <w:softHyphen/>
        <w:t>ющее ликвидацию конфликта и восстанов</w:t>
      </w:r>
      <w:r w:rsidRPr="00A259BD">
        <w:rPr>
          <w:rFonts w:ascii="Times New Roman" w:hAnsi="Times New Roman"/>
          <w:color w:val="000000" w:themeColor="text1"/>
          <w:sz w:val="16"/>
          <w:szCs w:val="16"/>
        </w:rPr>
        <w:softHyphen/>
        <w:t>ление на КВЖД прежнего положения. Со</w:t>
      </w:r>
      <w:r w:rsidRPr="00A259BD">
        <w:rPr>
          <w:rFonts w:ascii="Times New Roman" w:hAnsi="Times New Roman"/>
          <w:color w:val="000000" w:themeColor="text1"/>
          <w:sz w:val="16"/>
          <w:szCs w:val="16"/>
        </w:rPr>
        <w:softHyphen/>
        <w:t xml:space="preserve">ветские войска после этого были выведены из Маньчжурии. 40-ю эскадрилью перевели постоянному месту дислокации в Спасск-Дальний, а 68-й </w:t>
      </w:r>
      <w:proofErr w:type="spellStart"/>
      <w:r w:rsidRPr="00A259BD">
        <w:rPr>
          <w:rFonts w:ascii="Times New Roman" w:hAnsi="Times New Roman"/>
          <w:color w:val="000000" w:themeColor="text1"/>
          <w:sz w:val="16"/>
          <w:szCs w:val="16"/>
        </w:rPr>
        <w:t>гидроотряд</w:t>
      </w:r>
      <w:proofErr w:type="spellEnd"/>
      <w:r w:rsidRPr="00A259BD">
        <w:rPr>
          <w:rFonts w:ascii="Times New Roman" w:hAnsi="Times New Roman"/>
          <w:color w:val="000000" w:themeColor="text1"/>
          <w:sz w:val="16"/>
          <w:szCs w:val="16"/>
        </w:rPr>
        <w:t xml:space="preserve"> стал основой для формирования авиации Амурской речной флотилии (12301).</w:t>
      </w:r>
    </w:p>
    <w:p w14:paraId="72A97139" w14:textId="77777777" w:rsidR="00DA14E0" w:rsidRPr="00A259BD" w:rsidRDefault="00DA14E0" w:rsidP="009236E3">
      <w:pPr>
        <w:spacing w:after="0" w:line="240" w:lineRule="auto"/>
        <w:jc w:val="both"/>
        <w:rPr>
          <w:rFonts w:ascii="Times New Roman" w:hAnsi="Times New Roman"/>
          <w:color w:val="000000" w:themeColor="text1"/>
          <w:sz w:val="16"/>
          <w:szCs w:val="16"/>
        </w:rPr>
      </w:pPr>
    </w:p>
    <w:p w14:paraId="69697FB5" w14:textId="77777777" w:rsidR="00516617" w:rsidRPr="00A259BD" w:rsidRDefault="00516617" w:rsidP="009236E3">
      <w:pPr>
        <w:pStyle w:val="a3"/>
        <w:rPr>
          <w:color w:val="000000" w:themeColor="text1"/>
          <w:lang w:val="ru-RU"/>
        </w:rPr>
      </w:pPr>
      <w:r w:rsidRPr="00A259BD">
        <w:rPr>
          <w:color w:val="000000" w:themeColor="text1"/>
          <w:lang w:val="ru-RU"/>
        </w:rPr>
        <w:t>В конце ноября 1929 китайские власти предприняли шаги к началу перего</w:t>
      </w:r>
      <w:r w:rsidRPr="00A259BD">
        <w:rPr>
          <w:color w:val="000000" w:themeColor="text1"/>
          <w:lang w:val="ru-RU"/>
        </w:rPr>
        <w:softHyphen/>
        <w:t>воров с советским командованием, а 3 декабря в Никольск-Уссурийске подписали предварительный протокол, подтверждавший соглашение 1924 г. (15819).</w:t>
      </w:r>
    </w:p>
    <w:p w14:paraId="0F552118" w14:textId="77777777" w:rsidR="00516617" w:rsidRPr="00A259BD" w:rsidRDefault="00516617" w:rsidP="009236E3">
      <w:pPr>
        <w:pStyle w:val="a3"/>
        <w:rPr>
          <w:color w:val="000000" w:themeColor="text1"/>
          <w:lang w:val="ru-RU"/>
        </w:rPr>
      </w:pPr>
    </w:p>
    <w:p w14:paraId="4FE33D2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BAD09A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85856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ноябре 1929 УВВС заказало ЦАГИ тяжелый бомбардировщик ТБ-4 (АНТ-16).</w:t>
      </w:r>
    </w:p>
    <w:p w14:paraId="100448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6EBC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г. АГОС ЦАГИ военные официально заказали проектирование и постройку опытного образца тяжелого бомбардировщика под обозначением ТБ-4. в 1929 г. ОТБ заинтересовалось возможностью постройки самолета большой грузоподъемности - до 25 - 30 т. Сделанные в ЦАГИ прикидки показали, что в настоящее время это нереально, но создать машину, способную поднять около 10 т, можно попробовать. В диалог ОТБ и ЦАГИ вмешалось Управление ВВС, решившее сделать из этого летающего гиганта </w:t>
      </w:r>
      <w:proofErr w:type="spellStart"/>
      <w:r w:rsidRPr="00A259BD">
        <w:rPr>
          <w:rFonts w:ascii="Times New Roman" w:hAnsi="Times New Roman"/>
          <w:color w:val="000000" w:themeColor="text1"/>
          <w:sz w:val="16"/>
          <w:szCs w:val="16"/>
        </w:rPr>
        <w:t>супербомбовоз</w:t>
      </w:r>
      <w:proofErr w:type="spellEnd"/>
      <w:r w:rsidRPr="00A259BD">
        <w:rPr>
          <w:rFonts w:ascii="Times New Roman" w:hAnsi="Times New Roman"/>
          <w:color w:val="000000" w:themeColor="text1"/>
          <w:sz w:val="16"/>
          <w:szCs w:val="16"/>
        </w:rPr>
        <w:t xml:space="preserve"> (12024).</w:t>
      </w:r>
    </w:p>
    <w:p w14:paraId="26335C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6AF5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г. АГОС ЦАГИ военные официально заказали проектирование и постройку опытного образца тяжелого бомбардировщика под обозначением ТБ-4. В 1929 г. ОТБ заинтересовалось возможностью постройки самолета большой грузоподъемности - до 25 - 30 т. Сделанные в ЦАГИ прикидки показали, что в настоящее время это нереально, но создать машину, способную поднять около 10 т, можно попробовать. В диалог ОТБ и ЦАГИ вмешалось УВВС, решившее сделать излетающего гиганта </w:t>
      </w:r>
      <w:proofErr w:type="spellStart"/>
      <w:r w:rsidRPr="00A259BD">
        <w:rPr>
          <w:rFonts w:ascii="Times New Roman" w:hAnsi="Times New Roman"/>
          <w:color w:val="000000" w:themeColor="text1"/>
          <w:sz w:val="16"/>
          <w:szCs w:val="16"/>
        </w:rPr>
        <w:t>супербомбовоз</w:t>
      </w:r>
      <w:proofErr w:type="spellEnd"/>
      <w:r w:rsidRPr="00A259BD">
        <w:rPr>
          <w:rFonts w:ascii="Times New Roman" w:hAnsi="Times New Roman"/>
          <w:color w:val="000000" w:themeColor="text1"/>
          <w:sz w:val="16"/>
          <w:szCs w:val="16"/>
        </w:rPr>
        <w:t xml:space="preserve"> (12036).</w:t>
      </w:r>
    </w:p>
    <w:p w14:paraId="714FDB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B377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в воздух поднялся самолет ЛАКМ-1 </w:t>
      </w:r>
      <w:proofErr w:type="spellStart"/>
      <w:r w:rsidRPr="00A259BD">
        <w:rPr>
          <w:rFonts w:ascii="Times New Roman" w:hAnsi="Times New Roman"/>
          <w:color w:val="000000" w:themeColor="text1"/>
          <w:sz w:val="16"/>
          <w:szCs w:val="16"/>
        </w:rPr>
        <w:t>М.В.Смирнова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Я.Л.Зархи</w:t>
      </w:r>
      <w:proofErr w:type="spellEnd"/>
      <w:r w:rsidRPr="00A259BD">
        <w:rPr>
          <w:rFonts w:ascii="Times New Roman" w:hAnsi="Times New Roman"/>
          <w:color w:val="000000" w:themeColor="text1"/>
          <w:sz w:val="16"/>
          <w:szCs w:val="16"/>
        </w:rPr>
        <w:t xml:space="preserve"> и на нем летали В.П.Ч. и </w:t>
      </w:r>
      <w:proofErr w:type="spellStart"/>
      <w:r w:rsidRPr="00A259BD">
        <w:rPr>
          <w:rFonts w:ascii="Times New Roman" w:hAnsi="Times New Roman"/>
          <w:color w:val="000000" w:themeColor="text1"/>
          <w:sz w:val="16"/>
          <w:szCs w:val="16"/>
        </w:rPr>
        <w:t>А.К.Иост</w:t>
      </w:r>
      <w:proofErr w:type="spellEnd"/>
      <w:r w:rsidRPr="00A259BD">
        <w:rPr>
          <w:rFonts w:ascii="Times New Roman" w:hAnsi="Times New Roman"/>
          <w:color w:val="000000" w:themeColor="text1"/>
          <w:sz w:val="16"/>
          <w:szCs w:val="16"/>
        </w:rPr>
        <w:t xml:space="preserve"> (310).</w:t>
      </w:r>
    </w:p>
    <w:p w14:paraId="42F929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C18C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г. конструкторский отдел НИИ ВВС получил задание разработать для Р-1 систему дозаправки в воздухе. Ее применение позволило бы существенно увеличить радиус действия самолета. С середины декабря группа инженера А.К. </w:t>
      </w:r>
      <w:proofErr w:type="spellStart"/>
      <w:r w:rsidRPr="00A259BD">
        <w:rPr>
          <w:rFonts w:ascii="Times New Roman" w:hAnsi="Times New Roman"/>
          <w:color w:val="000000" w:themeColor="text1"/>
          <w:sz w:val="16"/>
          <w:szCs w:val="16"/>
        </w:rPr>
        <w:t>Запанованного</w:t>
      </w:r>
      <w:proofErr w:type="spellEnd"/>
      <w:r w:rsidRPr="00A259BD">
        <w:rPr>
          <w:rFonts w:ascii="Times New Roman" w:hAnsi="Times New Roman"/>
          <w:color w:val="000000" w:themeColor="text1"/>
          <w:sz w:val="16"/>
          <w:szCs w:val="16"/>
        </w:rPr>
        <w:t xml:space="preserve"> приступила к проектированию необходимой оснастки. Эскизный проект завершили к 5 апреля 1930 г. С 4 июня в мастерских НИИ началось изготовление оборудования. К 7 июля все было готово, но пришлось ждать прибытия двух серийных Р-1 для переделки.</w:t>
      </w:r>
    </w:p>
    <w:p w14:paraId="7B286D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Один самолет переоборудовали в танкер-заправщик, второй оснастили для дозаправки. На танкере 30 м шланга наматывалось на барабан, закрепленный на турели. Вращая турель, можно было выпускать или сматывать шланг. Пулеметы, конечно, при этом сняли. К шлангу был примотан тканью телефонный провод для выравнивания электрических потенциалов между обеими машинами. Этот провод имел на обоих концах вилки, которые присоединяли к розеткам на самолетах. Шланг выпускался наружу через окно в полу, предназначенное для бомбового прицела «Герц». Чтобы шланг в воздухе поменьше болтался, к нижнему концу его присоединили груз — гирю. На обоих самолетах в фюзеляже установили баки емкостью по 32 л, отсоединенные от </w:t>
      </w:r>
      <w:proofErr w:type="spellStart"/>
      <w:r w:rsidRPr="00A259BD">
        <w:rPr>
          <w:rFonts w:ascii="Times New Roman" w:hAnsi="Times New Roman"/>
          <w:color w:val="000000" w:themeColor="text1"/>
          <w:sz w:val="16"/>
          <w:szCs w:val="16"/>
        </w:rPr>
        <w:t>бензосистемы</w:t>
      </w:r>
      <w:proofErr w:type="spellEnd"/>
      <w:r w:rsidRPr="00A259BD">
        <w:rPr>
          <w:rFonts w:ascii="Times New Roman" w:hAnsi="Times New Roman"/>
          <w:color w:val="000000" w:themeColor="text1"/>
          <w:sz w:val="16"/>
          <w:szCs w:val="16"/>
        </w:rPr>
        <w:t>.</w:t>
      </w:r>
    </w:p>
    <w:p w14:paraId="58F520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Сначала экипажи самолетов тренировались, выпуская и ловя веревку с грузом. Первый полет с дозаправкой совершили 29 августа. Сначала попробовали переливать воду, затем бензин. Расстояние между самолетами было около 12 м. Механик, сидевший в задней кабине заправляемого Р-1, руками ловил гирю и заправлял конец шланга в горловину бака. После окончания перелива он его вытаскивал, а автоматический клапан на шланге перекрывал магистраль. Обратно шланг втягивать побоялись - перед посадкой его просто сбрасывали. Всего до 1 декабря сделали 26 полетов. Пришли к выводу, что принятый метод опасен для заправляемого самолета и его экипажа. Болтающаяся гиря могла нанести серьезные повреждения. В одном случае она действительно пробила верхнюю плоскость, а затем шланг попал под винт, отрубивший от него трехметровый кусок.</w:t>
      </w:r>
    </w:p>
    <w:p w14:paraId="4EF345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Полученный опыт группа </w:t>
      </w:r>
      <w:proofErr w:type="spellStart"/>
      <w:r w:rsidRPr="00A259BD">
        <w:rPr>
          <w:rFonts w:ascii="Times New Roman" w:hAnsi="Times New Roman"/>
          <w:color w:val="000000" w:themeColor="text1"/>
          <w:sz w:val="16"/>
          <w:szCs w:val="16"/>
        </w:rPr>
        <w:t>Запанованного</w:t>
      </w:r>
      <w:proofErr w:type="spellEnd"/>
      <w:r w:rsidRPr="00A259BD">
        <w:rPr>
          <w:rFonts w:ascii="Times New Roman" w:hAnsi="Times New Roman"/>
          <w:color w:val="000000" w:themeColor="text1"/>
          <w:sz w:val="16"/>
          <w:szCs w:val="16"/>
        </w:rPr>
        <w:t xml:space="preserve"> использовала позже при разработке систем дозаправки других самолетов (11923).</w:t>
      </w:r>
    </w:p>
    <w:p w14:paraId="65B539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63A1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г. НИИ ВВС поручили проработать конструкцию устройств для дозаправки применительно к самолету Р-1. Этот деревянный биплан, советская модификация английского разведчика и легкого бомбардировщика Де Хе- </w:t>
      </w:r>
      <w:proofErr w:type="spellStart"/>
      <w:r w:rsidRPr="00A259BD">
        <w:rPr>
          <w:rFonts w:ascii="Times New Roman" w:hAnsi="Times New Roman"/>
          <w:color w:val="000000" w:themeColor="text1"/>
          <w:sz w:val="16"/>
          <w:szCs w:val="16"/>
        </w:rPr>
        <w:t>вилленд</w:t>
      </w:r>
      <w:proofErr w:type="spellEnd"/>
      <w:r w:rsidRPr="00A259BD">
        <w:rPr>
          <w:rFonts w:ascii="Times New Roman" w:hAnsi="Times New Roman"/>
          <w:color w:val="000000" w:themeColor="text1"/>
          <w:sz w:val="16"/>
          <w:szCs w:val="16"/>
        </w:rPr>
        <w:t xml:space="preserve"> DH.9a, тогда являлся самой массовой машиной в нашей авиации. К работе приступили во второй половине декабря. Группой конструкторов руководил военный инженер А.К. </w:t>
      </w:r>
      <w:proofErr w:type="spellStart"/>
      <w:r w:rsidRPr="00A259BD">
        <w:rPr>
          <w:rFonts w:ascii="Times New Roman" w:hAnsi="Times New Roman"/>
          <w:color w:val="000000" w:themeColor="text1"/>
          <w:sz w:val="16"/>
          <w:szCs w:val="16"/>
        </w:rPr>
        <w:t>Запанованный</w:t>
      </w:r>
      <w:proofErr w:type="spellEnd"/>
      <w:r w:rsidRPr="00A259BD">
        <w:rPr>
          <w:rFonts w:ascii="Times New Roman" w:hAnsi="Times New Roman"/>
          <w:color w:val="000000" w:themeColor="text1"/>
          <w:sz w:val="16"/>
          <w:szCs w:val="16"/>
        </w:rPr>
        <w:t>. У нас идею с передачей емкостей с самолета на самолет отбросили сразу, перейдя к тому варианту, который и стал позднее основным, - переливанию топлива из баков одной машины в баки другой через шланг- трубопровод.</w:t>
      </w:r>
    </w:p>
    <w:p w14:paraId="2D4402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Эскизный проект был готов 5 апреля 1930 г. Его одобрили и с 4 июня в мастерских начали делать необходимые детали, узлы и агрегаты. На самолете-заправщике ("</w:t>
      </w:r>
      <w:proofErr w:type="spellStart"/>
      <w:r w:rsidRPr="00A259BD">
        <w:rPr>
          <w:rFonts w:ascii="Times New Roman" w:hAnsi="Times New Roman"/>
          <w:color w:val="000000" w:themeColor="text1"/>
          <w:sz w:val="16"/>
          <w:szCs w:val="16"/>
        </w:rPr>
        <w:t>бензи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новозе</w:t>
      </w:r>
      <w:proofErr w:type="spellEnd"/>
      <w:r w:rsidRPr="00A259BD">
        <w:rPr>
          <w:rFonts w:ascii="Times New Roman" w:hAnsi="Times New Roman"/>
          <w:color w:val="000000" w:themeColor="text1"/>
          <w:sz w:val="16"/>
          <w:szCs w:val="16"/>
        </w:rPr>
        <w:t>" или "</w:t>
      </w:r>
      <w:proofErr w:type="spellStart"/>
      <w:r w:rsidRPr="00A259BD">
        <w:rPr>
          <w:rFonts w:ascii="Times New Roman" w:hAnsi="Times New Roman"/>
          <w:color w:val="000000" w:themeColor="text1"/>
          <w:sz w:val="16"/>
          <w:szCs w:val="16"/>
        </w:rPr>
        <w:t>бензиноносце</w:t>
      </w:r>
      <w:proofErr w:type="spellEnd"/>
      <w:r w:rsidRPr="00A259BD">
        <w:rPr>
          <w:rFonts w:ascii="Times New Roman" w:hAnsi="Times New Roman"/>
          <w:color w:val="000000" w:themeColor="text1"/>
          <w:sz w:val="16"/>
          <w:szCs w:val="16"/>
        </w:rPr>
        <w:t xml:space="preserve">") пулеметная турель превращалась в барабан, на который наматывался 30-метровый шланг. Вращая турель, можно было его выпускать или втягивать через окно для бомбового прицела "Герц". Шланг, обтянутый материей, заканчивался наконечником с автоматическим </w:t>
      </w:r>
      <w:proofErr w:type="spellStart"/>
      <w:r w:rsidRPr="00A259BD">
        <w:rPr>
          <w:rFonts w:ascii="Times New Roman" w:hAnsi="Times New Roman"/>
          <w:color w:val="000000" w:themeColor="text1"/>
          <w:sz w:val="16"/>
          <w:szCs w:val="16"/>
        </w:rPr>
        <w:t>перекрывным</w:t>
      </w:r>
      <w:proofErr w:type="spellEnd"/>
      <w:r w:rsidRPr="00A259BD">
        <w:rPr>
          <w:rFonts w:ascii="Times New Roman" w:hAnsi="Times New Roman"/>
          <w:color w:val="000000" w:themeColor="text1"/>
          <w:sz w:val="16"/>
          <w:szCs w:val="16"/>
        </w:rPr>
        <w:t xml:space="preserve"> клапаном и свинцовой гирей весом 3,5 кг. Внутри шланга шел телефонный провод для выравнивания потенциалов между самолетами: в противном случае мог произойти разряд статического электричества, опасный пожаром. С обоих концов провода имелись </w:t>
      </w:r>
      <w:proofErr w:type="spellStart"/>
      <w:r w:rsidRPr="00A259BD">
        <w:rPr>
          <w:rFonts w:ascii="Times New Roman" w:hAnsi="Times New Roman"/>
          <w:color w:val="000000" w:themeColor="text1"/>
          <w:sz w:val="16"/>
          <w:szCs w:val="16"/>
        </w:rPr>
        <w:t>штепсели</w:t>
      </w:r>
      <w:proofErr w:type="spellEnd"/>
      <w:r w:rsidRPr="00A259BD">
        <w:rPr>
          <w:rFonts w:ascii="Times New Roman" w:hAnsi="Times New Roman"/>
          <w:color w:val="000000" w:themeColor="text1"/>
          <w:sz w:val="16"/>
          <w:szCs w:val="16"/>
        </w:rPr>
        <w:t xml:space="preserve"> для подсоединения к розеткам на борту. Слив намеревались осуществлять самотеком. На Р-1, в который собирались переливать горючее, кроме розетки монтировалась приемная горловина. Поскольку все рассматривалось только как эксперимент, на обоих самолетах использовались баки емкостью по 32 л, не подсоединенные к топливной системе.</w:t>
      </w:r>
    </w:p>
    <w:p w14:paraId="2524BD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К 31 июля 1930 г. все изготовили, но никак не могли получить самолеты для переделки. Лишь в августе стало возможно начать полеты. Сначала просто попробовали ловить веревку с грузом. Самолеты пристраивались друг над другом, уравнивали скорости и техник, сидевший в кабине летнаба на нижней машине, ловил "грузовую грушу". Это оказалось делом нелегким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0D9875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самолета. При разъединении шланга клапан перекрыл дальнейшую подачу. Потом по такой же схеме стали переливать бензин.</w:t>
      </w:r>
    </w:p>
    <w:p w14:paraId="2CDD1E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одном из полетов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полетов.</w:t>
      </w:r>
    </w:p>
    <w:p w14:paraId="39E146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Но Р-1 считался уже устаревшей машиной, не имевшей перспектив. На вооружение ВВС РККА поступали новые боевые самолеты - разведчики и легкие бомбардировщики Р-5 и тяжелые бомбардировщики ТБ-1. На последние тогда возлагались стратегические функции, для них увеличение дальности было наиболее актуально. Приняли решение </w:t>
      </w:r>
      <w:proofErr w:type="spellStart"/>
      <w:r w:rsidRPr="00A259BD">
        <w:rPr>
          <w:rFonts w:ascii="Times New Roman" w:hAnsi="Times New Roman"/>
          <w:color w:val="000000" w:themeColor="text1"/>
          <w:sz w:val="16"/>
          <w:szCs w:val="16"/>
        </w:rPr>
        <w:t>дозаправлять</w:t>
      </w:r>
      <w:proofErr w:type="spellEnd"/>
      <w:r w:rsidRPr="00A259BD">
        <w:rPr>
          <w:rFonts w:ascii="Times New Roman" w:hAnsi="Times New Roman"/>
          <w:color w:val="000000" w:themeColor="text1"/>
          <w:sz w:val="16"/>
          <w:szCs w:val="16"/>
        </w:rPr>
        <w:t xml:space="preserve"> ТБ-1, а в качестве "</w:t>
      </w:r>
      <w:proofErr w:type="spellStart"/>
      <w:r w:rsidRPr="00A259BD">
        <w:rPr>
          <w:rFonts w:ascii="Times New Roman" w:hAnsi="Times New Roman"/>
          <w:color w:val="000000" w:themeColor="text1"/>
          <w:sz w:val="16"/>
          <w:szCs w:val="16"/>
        </w:rPr>
        <w:t>бензиновоза</w:t>
      </w:r>
      <w:proofErr w:type="spellEnd"/>
      <w:r w:rsidRPr="00A259BD">
        <w:rPr>
          <w:rFonts w:ascii="Times New Roman" w:hAnsi="Times New Roman"/>
          <w:color w:val="000000" w:themeColor="text1"/>
          <w:sz w:val="16"/>
          <w:szCs w:val="16"/>
        </w:rPr>
        <w:t>" использовать Р-5. В январе 1932 г. закончили проработку проекта переделки обоих самолетов. В отличие от Р-1 на Р-5 шланг наматывался на барабан ручной лебедки в кабине летнаба. Лебедка монтировалась на месте фотоаппарата (12036).</w:t>
      </w:r>
    </w:p>
    <w:p w14:paraId="125C2E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5E4264" w14:textId="77777777" w:rsidR="0071589C" w:rsidRPr="00A259BD" w:rsidRDefault="0071589C"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В ноябре 1929 г. НИИ ВВС поручили проработать конструкцию устройств для дозаправки применительно к самолёту Р-1. Этот деревянный биплан, советская модификация английского разведчика и лёгкого бомбардировщика Де </w:t>
      </w:r>
      <w:proofErr w:type="spellStart"/>
      <w:r w:rsidRPr="00A259BD">
        <w:rPr>
          <w:rFonts w:ascii="Times New Roman" w:eastAsia="Times New Roman" w:hAnsi="Times New Roman"/>
          <w:color w:val="000000" w:themeColor="text1"/>
          <w:sz w:val="16"/>
          <w:szCs w:val="16"/>
          <w:lang w:eastAsia="ru-RU"/>
        </w:rPr>
        <w:t>Хевилленд</w:t>
      </w:r>
      <w:proofErr w:type="spellEnd"/>
      <w:r w:rsidRPr="00A259BD">
        <w:rPr>
          <w:rFonts w:ascii="Times New Roman" w:eastAsia="Times New Roman" w:hAnsi="Times New Roman"/>
          <w:color w:val="000000" w:themeColor="text1"/>
          <w:sz w:val="16"/>
          <w:szCs w:val="16"/>
          <w:lang w:eastAsia="ru-RU"/>
        </w:rPr>
        <w:t xml:space="preserve"> DH.9a, тогда являлся самой массовой машиной в нашей авиации. К работе приступили во второй половине декабря. Группой конструкторов руководил военный инженер А.К. </w:t>
      </w:r>
      <w:proofErr w:type="spellStart"/>
      <w:r w:rsidRPr="00A259BD">
        <w:rPr>
          <w:rFonts w:ascii="Times New Roman" w:eastAsia="Times New Roman" w:hAnsi="Times New Roman"/>
          <w:color w:val="000000" w:themeColor="text1"/>
          <w:sz w:val="16"/>
          <w:szCs w:val="16"/>
          <w:lang w:eastAsia="ru-RU"/>
        </w:rPr>
        <w:t>Запанованный</w:t>
      </w:r>
      <w:proofErr w:type="spellEnd"/>
      <w:r w:rsidRPr="00A259BD">
        <w:rPr>
          <w:rFonts w:ascii="Times New Roman" w:eastAsia="Times New Roman" w:hAnsi="Times New Roman"/>
          <w:color w:val="000000" w:themeColor="text1"/>
          <w:sz w:val="16"/>
          <w:szCs w:val="16"/>
          <w:lang w:eastAsia="ru-RU"/>
        </w:rPr>
        <w:t>.</w:t>
      </w:r>
    </w:p>
    <w:p w14:paraId="3C25E898" w14:textId="77777777" w:rsidR="0071589C" w:rsidRPr="00A259BD" w:rsidRDefault="0071589C"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…Эскизный проект был готов 5 апреля 1930 г. Его одобрили, и с 4 июня в мастерских начали делать необходимые детали, узлы и агрегаты. На самолёте-заправщике („</w:t>
      </w:r>
      <w:proofErr w:type="spellStart"/>
      <w:r w:rsidRPr="00A259BD">
        <w:rPr>
          <w:rFonts w:ascii="Times New Roman" w:eastAsia="Times New Roman" w:hAnsi="Times New Roman"/>
          <w:color w:val="000000" w:themeColor="text1"/>
          <w:sz w:val="16"/>
          <w:szCs w:val="16"/>
          <w:lang w:eastAsia="ru-RU"/>
        </w:rPr>
        <w:t>бензиновозе</w:t>
      </w:r>
      <w:proofErr w:type="spellEnd"/>
      <w:r w:rsidRPr="00A259BD">
        <w:rPr>
          <w:rFonts w:ascii="Times New Roman" w:eastAsia="Times New Roman" w:hAnsi="Times New Roman"/>
          <w:color w:val="000000" w:themeColor="text1"/>
          <w:sz w:val="16"/>
          <w:szCs w:val="16"/>
          <w:lang w:eastAsia="ru-RU"/>
        </w:rPr>
        <w:t>“ или „</w:t>
      </w:r>
      <w:proofErr w:type="spellStart"/>
      <w:r w:rsidRPr="00A259BD">
        <w:rPr>
          <w:rFonts w:ascii="Times New Roman" w:eastAsia="Times New Roman" w:hAnsi="Times New Roman"/>
          <w:color w:val="000000" w:themeColor="text1"/>
          <w:sz w:val="16"/>
          <w:szCs w:val="16"/>
          <w:lang w:eastAsia="ru-RU"/>
        </w:rPr>
        <w:t>бензиноносце</w:t>
      </w:r>
      <w:proofErr w:type="spellEnd"/>
      <w:r w:rsidRPr="00A259BD">
        <w:rPr>
          <w:rFonts w:ascii="Times New Roman" w:eastAsia="Times New Roman" w:hAnsi="Times New Roman"/>
          <w:color w:val="000000" w:themeColor="text1"/>
          <w:sz w:val="16"/>
          <w:szCs w:val="16"/>
          <w:lang w:eastAsia="ru-RU"/>
        </w:rPr>
        <w:t xml:space="preserve">“) пулеметная турель превращалась в барабан, на который наматывался 30-метровый шланг. Вращая турель, можно было его выпускать или втягивать через окно для бомбового прицела „Герц“. Шланг, обтянутый материей, заканчивался наконечником с автоматическим </w:t>
      </w:r>
      <w:proofErr w:type="spellStart"/>
      <w:r w:rsidRPr="00A259BD">
        <w:rPr>
          <w:rFonts w:ascii="Times New Roman" w:eastAsia="Times New Roman" w:hAnsi="Times New Roman"/>
          <w:color w:val="000000" w:themeColor="text1"/>
          <w:sz w:val="16"/>
          <w:szCs w:val="16"/>
          <w:lang w:eastAsia="ru-RU"/>
        </w:rPr>
        <w:t>перекрывным</w:t>
      </w:r>
      <w:proofErr w:type="spellEnd"/>
      <w:r w:rsidRPr="00A259BD">
        <w:rPr>
          <w:rFonts w:ascii="Times New Roman" w:eastAsia="Times New Roman" w:hAnsi="Times New Roman"/>
          <w:color w:val="000000" w:themeColor="text1"/>
          <w:sz w:val="16"/>
          <w:szCs w:val="16"/>
          <w:lang w:eastAsia="ru-RU"/>
        </w:rPr>
        <w:t xml:space="preserve"> клапаном и свинцовой гирей весом 3,5 кг. Внутри шланга шел телефонный провод для выравнивания потенциалов между самолётами: в противном случае мог произойти разряд статического электричества, опасный пожаром. С обоих концов провода имелись </w:t>
      </w:r>
      <w:proofErr w:type="spellStart"/>
      <w:r w:rsidRPr="00A259BD">
        <w:rPr>
          <w:rFonts w:ascii="Times New Roman" w:eastAsia="Times New Roman" w:hAnsi="Times New Roman"/>
          <w:color w:val="000000" w:themeColor="text1"/>
          <w:sz w:val="16"/>
          <w:szCs w:val="16"/>
          <w:lang w:eastAsia="ru-RU"/>
        </w:rPr>
        <w:t>штепсели</w:t>
      </w:r>
      <w:proofErr w:type="spellEnd"/>
      <w:r w:rsidRPr="00A259BD">
        <w:rPr>
          <w:rFonts w:ascii="Times New Roman" w:eastAsia="Times New Roman" w:hAnsi="Times New Roman"/>
          <w:color w:val="000000" w:themeColor="text1"/>
          <w:sz w:val="16"/>
          <w:szCs w:val="16"/>
          <w:lang w:eastAsia="ru-RU"/>
        </w:rPr>
        <w:t xml:space="preserve"> для подсоединения к розеткам на борту. Слив намеревались осуществлять самотёком. На Р-1, в который собирались переливать горючее, кроме розетки монтировалась приёмная горловина. Поскольку всё рассматривалось только как эксперимент, на обоих самолётах использовались баки ёмкостью по 32 л, не подсоединённые к топливной системе.</w:t>
      </w:r>
    </w:p>
    <w:p w14:paraId="1558E936" w14:textId="77777777" w:rsidR="0071589C" w:rsidRPr="00A259BD" w:rsidRDefault="0071589C"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К 31 июля 1930 г. оборудование изготовили, но никак не могли получить самолёты для переделки. Лишь в августе стало возможно начать полёты. Сначала просто попробовали ловить верёвку с грузом. Самолёты пристраивались друг над другом, уравнивали скорости и техник, сидевший в кабине летнаба на нижней машине, ловил „грузовую грушу“. Это оказалось делом нелёгким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0EF775DE" w14:textId="77777777" w:rsidR="0071589C" w:rsidRPr="00A259BD" w:rsidRDefault="0071589C"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самолёта. При разъединении шланга клапан перекрыл дальнейшую подачу. Потом по такой же схеме стали переливать бензин.</w:t>
      </w:r>
    </w:p>
    <w:p w14:paraId="4671706F" w14:textId="77777777" w:rsidR="0071589C" w:rsidRPr="00A259BD" w:rsidRDefault="0071589C"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одном из полётов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полётов» </w:t>
      </w:r>
      <w:hyperlink r:id="rId277" w:history="1">
        <w:r w:rsidRPr="00A259BD">
          <w:rPr>
            <w:rFonts w:ascii="Times New Roman" w:eastAsia="Times New Roman" w:hAnsi="Times New Roman"/>
            <w:color w:val="000000" w:themeColor="text1"/>
            <w:sz w:val="16"/>
            <w:szCs w:val="16"/>
            <w:lang w:eastAsia="ru-RU"/>
          </w:rPr>
          <w:t>[55]</w:t>
        </w:r>
      </w:hyperlink>
      <w:r w:rsidRPr="00A259BD">
        <w:rPr>
          <w:rFonts w:ascii="Times New Roman" w:eastAsia="Times New Roman" w:hAnsi="Times New Roman"/>
          <w:color w:val="000000" w:themeColor="text1"/>
          <w:sz w:val="16"/>
          <w:szCs w:val="16"/>
          <w:lang w:eastAsia="ru-RU"/>
        </w:rPr>
        <w:t xml:space="preserve"> .</w:t>
      </w:r>
    </w:p>
    <w:p w14:paraId="08F3214D" w14:textId="77777777" w:rsidR="0071589C" w:rsidRPr="00A259BD" w:rsidRDefault="0071589C"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Эти эксперименты были не больше, чем повторением американских опытов 1923 г. Теперь на повестке дня стояла более серьёзная задача — отработать воздушную дозаправку бомбардировщиков ТБ-1. В случае успеха бомбардировщики с неполными баками могли взлетать с увеличенным запасом бомб, а затем, в полёте, пополнять запас горючего (17489).</w:t>
      </w:r>
    </w:p>
    <w:p w14:paraId="72514BAE" w14:textId="77777777" w:rsidR="0071589C" w:rsidRPr="00A259BD" w:rsidRDefault="0071589C" w:rsidP="009236E3">
      <w:pPr>
        <w:spacing w:after="0" w:line="240" w:lineRule="auto"/>
        <w:jc w:val="both"/>
        <w:rPr>
          <w:rFonts w:ascii="Times New Roman" w:eastAsia="Times New Roman" w:hAnsi="Times New Roman"/>
          <w:color w:val="000000" w:themeColor="text1"/>
          <w:sz w:val="16"/>
          <w:szCs w:val="16"/>
          <w:lang w:eastAsia="ru-RU"/>
        </w:rPr>
      </w:pPr>
    </w:p>
    <w:p w14:paraId="009B469F" w14:textId="77777777" w:rsidR="00533D58" w:rsidRPr="00A259BD" w:rsidRDefault="00533D58" w:rsidP="009236E3">
      <w:pPr>
        <w:spacing w:after="0" w:line="240" w:lineRule="auto"/>
        <w:jc w:val="both"/>
        <w:textAlignment w:val="baseline"/>
        <w:rPr>
          <w:rFonts w:ascii="Times New Roman" w:eastAsia="Times New Roman" w:hAnsi="Times New Roman"/>
          <w:color w:val="000000" w:themeColor="text1"/>
          <w:sz w:val="16"/>
          <w:szCs w:val="16"/>
          <w:lang w:eastAsia="ru-RU"/>
        </w:rPr>
      </w:pPr>
      <w:bookmarkStart w:id="95" w:name="_Hlk81243443"/>
      <w:r w:rsidRPr="00A259BD">
        <w:rPr>
          <w:rFonts w:ascii="Times New Roman" w:eastAsia="Times New Roman" w:hAnsi="Times New Roman"/>
          <w:color w:val="000000" w:themeColor="text1"/>
          <w:sz w:val="16"/>
          <w:szCs w:val="16"/>
          <w:bdr w:val="none" w:sz="0" w:space="0" w:color="auto" w:frame="1"/>
          <w:lang w:eastAsia="ru-RU"/>
        </w:rPr>
        <w:t>В ноябре 1929 г. двигатель Кертис </w:t>
      </w:r>
      <w:r w:rsidRPr="00A259BD">
        <w:rPr>
          <w:rFonts w:ascii="Times New Roman" w:eastAsia="Times New Roman" w:hAnsi="Times New Roman"/>
          <w:color w:val="000000" w:themeColor="text1"/>
          <w:sz w:val="16"/>
          <w:szCs w:val="16"/>
          <w:bdr w:val="none" w:sz="0" w:space="0" w:color="auto" w:frame="1"/>
          <w:lang w:val="en-US" w:eastAsia="ru-RU"/>
        </w:rPr>
        <w:t>V</w:t>
      </w:r>
      <w:r w:rsidRPr="00A259BD">
        <w:rPr>
          <w:rFonts w:ascii="Times New Roman" w:eastAsia="Times New Roman" w:hAnsi="Times New Roman"/>
          <w:color w:val="000000" w:themeColor="text1"/>
          <w:sz w:val="16"/>
          <w:szCs w:val="16"/>
          <w:bdr w:val="none" w:sz="0" w:space="0" w:color="auto" w:frame="1"/>
          <w:lang w:eastAsia="ru-RU"/>
        </w:rPr>
        <w:t>-1650</w:t>
      </w:r>
      <w:r w:rsidRPr="00A259BD">
        <w:rPr>
          <w:rFonts w:ascii="Times New Roman" w:eastAsia="Times New Roman" w:hAnsi="Times New Roman"/>
          <w:color w:val="000000" w:themeColor="text1"/>
          <w:sz w:val="16"/>
          <w:szCs w:val="16"/>
          <w:bdr w:val="none" w:sz="0" w:space="0" w:color="auto" w:frame="1"/>
          <w:lang w:val="en-US" w:eastAsia="ru-RU"/>
        </w:rPr>
        <w:t> </w:t>
      </w:r>
      <w:r w:rsidRPr="00A259BD">
        <w:rPr>
          <w:rFonts w:ascii="Times New Roman" w:eastAsia="Times New Roman" w:hAnsi="Times New Roman"/>
          <w:color w:val="000000" w:themeColor="text1"/>
          <w:sz w:val="16"/>
          <w:szCs w:val="16"/>
          <w:bdr w:val="none" w:sz="0" w:space="0" w:color="auto" w:frame="1"/>
          <w:lang w:eastAsia="ru-RU"/>
        </w:rPr>
        <w:t>«</w:t>
      </w:r>
      <w:proofErr w:type="spellStart"/>
      <w:r w:rsidRPr="00A259BD">
        <w:rPr>
          <w:rFonts w:ascii="Times New Roman" w:eastAsia="Times New Roman" w:hAnsi="Times New Roman"/>
          <w:color w:val="000000" w:themeColor="text1"/>
          <w:sz w:val="16"/>
          <w:szCs w:val="16"/>
          <w:bdr w:val="none" w:sz="0" w:space="0" w:color="auto" w:frame="1"/>
          <w:lang w:eastAsia="ru-RU"/>
        </w:rPr>
        <w:t>Конкверор</w:t>
      </w:r>
      <w:proofErr w:type="spellEnd"/>
      <w:r w:rsidRPr="00A259BD">
        <w:rPr>
          <w:rFonts w:ascii="Times New Roman" w:eastAsia="Times New Roman" w:hAnsi="Times New Roman"/>
          <w:color w:val="000000" w:themeColor="text1"/>
          <w:sz w:val="16"/>
          <w:szCs w:val="16"/>
          <w:bdr w:val="none" w:sz="0" w:space="0" w:color="auto" w:frame="1"/>
          <w:lang w:eastAsia="ru-RU"/>
        </w:rPr>
        <w:t>» был рекомендован НТК УВВС. С ним знакомился в США Б.С. Стечкин и дал о нем хороший отзыв. Советский Союз купил в США 12 «</w:t>
      </w:r>
      <w:proofErr w:type="spellStart"/>
      <w:r w:rsidRPr="00A259BD">
        <w:rPr>
          <w:rFonts w:ascii="Times New Roman" w:eastAsia="Times New Roman" w:hAnsi="Times New Roman"/>
          <w:color w:val="000000" w:themeColor="text1"/>
          <w:sz w:val="16"/>
          <w:szCs w:val="16"/>
          <w:bdr w:val="none" w:sz="0" w:space="0" w:color="auto" w:frame="1"/>
          <w:lang w:eastAsia="ru-RU"/>
        </w:rPr>
        <w:t>Конквероров</w:t>
      </w:r>
      <w:proofErr w:type="spellEnd"/>
      <w:r w:rsidRPr="00A259BD">
        <w:rPr>
          <w:rFonts w:ascii="Times New Roman" w:eastAsia="Times New Roman" w:hAnsi="Times New Roman"/>
          <w:color w:val="000000" w:themeColor="text1"/>
          <w:sz w:val="16"/>
          <w:szCs w:val="16"/>
          <w:bdr w:val="none" w:sz="0" w:space="0" w:color="auto" w:frame="1"/>
          <w:lang w:eastAsia="ru-RU"/>
        </w:rPr>
        <w:t>». Их использовали на первом экземпляре ТБ-3 и некоторых опытных самолетах. В 1934 г. один из «</w:t>
      </w:r>
      <w:proofErr w:type="spellStart"/>
      <w:r w:rsidRPr="00A259BD">
        <w:rPr>
          <w:rFonts w:ascii="Times New Roman" w:eastAsia="Times New Roman" w:hAnsi="Times New Roman"/>
          <w:color w:val="000000" w:themeColor="text1"/>
          <w:sz w:val="16"/>
          <w:szCs w:val="16"/>
          <w:bdr w:val="none" w:sz="0" w:space="0" w:color="auto" w:frame="1"/>
          <w:lang w:eastAsia="ru-RU"/>
        </w:rPr>
        <w:t>Конквероров</w:t>
      </w:r>
      <w:proofErr w:type="spellEnd"/>
      <w:r w:rsidRPr="00A259BD">
        <w:rPr>
          <w:rFonts w:ascii="Times New Roman" w:eastAsia="Times New Roman" w:hAnsi="Times New Roman"/>
          <w:color w:val="000000" w:themeColor="text1"/>
          <w:sz w:val="16"/>
          <w:szCs w:val="16"/>
          <w:bdr w:val="none" w:sz="0" w:space="0" w:color="auto" w:frame="1"/>
          <w:lang w:eastAsia="ru-RU"/>
        </w:rPr>
        <w:t>» на Заводе опытных конструкций (ЗОК) ЦАГИ доработали, введя привод вентилятора охлаждения и заменив редуктор. Его поставили на экспериментальном вертолете 11-ЭА. Этот вертолет испытывали и дорабатывали до весны 1941 г. (21511).</w:t>
      </w:r>
    </w:p>
    <w:bookmarkEnd w:id="95"/>
    <w:p w14:paraId="5FF0EDAB" w14:textId="77777777" w:rsidR="00533D58" w:rsidRPr="00A259BD" w:rsidRDefault="00533D58" w:rsidP="009236E3">
      <w:pPr>
        <w:spacing w:after="0" w:line="240" w:lineRule="auto"/>
        <w:jc w:val="both"/>
        <w:rPr>
          <w:rFonts w:ascii="Times New Roman" w:hAnsi="Times New Roman"/>
          <w:color w:val="000000" w:themeColor="text1"/>
          <w:sz w:val="16"/>
          <w:szCs w:val="16"/>
        </w:rPr>
      </w:pPr>
    </w:p>
    <w:p w14:paraId="33D141B5"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ноябре 1929 года заводом 24 начал проектироваться и строиться мотор М-27. Прототипом этого мотора является W-18, который прошел 100 часов гос. испытаний при мощности номинальной 600 л.с., причем основным его дефектом была течь блоков после 50 часов работы мотора, так как мотор М-27 построен без импеллера (6998, 9-14).</w:t>
      </w:r>
    </w:p>
    <w:p w14:paraId="7DD27B04"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EC6467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ноябре 1929 были подготовлены Сведения о выполнении заданий Отдела применения НИИ за октябрь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1876"/>
        <w:gridCol w:w="2660"/>
        <w:gridCol w:w="2835"/>
      </w:tblGrid>
      <w:tr w:rsidR="00A259BD" w:rsidRPr="00A259BD" w14:paraId="0C24B2FE" w14:textId="77777777">
        <w:tc>
          <w:tcPr>
            <w:tcW w:w="3227" w:type="dxa"/>
          </w:tcPr>
          <w:p w14:paraId="678ACA9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Наименование задания</w:t>
            </w:r>
          </w:p>
        </w:tc>
        <w:tc>
          <w:tcPr>
            <w:tcW w:w="1876" w:type="dxa"/>
          </w:tcPr>
          <w:p w14:paraId="528B61B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Когда дано задание</w:t>
            </w:r>
          </w:p>
        </w:tc>
        <w:tc>
          <w:tcPr>
            <w:tcW w:w="2660" w:type="dxa"/>
          </w:tcPr>
          <w:p w14:paraId="482FA4C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Срок выполнения</w:t>
            </w:r>
          </w:p>
        </w:tc>
        <w:tc>
          <w:tcPr>
            <w:tcW w:w="2835" w:type="dxa"/>
          </w:tcPr>
          <w:p w14:paraId="66D1728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каком состоянии находится задание </w:t>
            </w:r>
          </w:p>
        </w:tc>
      </w:tr>
      <w:tr w:rsidR="00A259BD" w:rsidRPr="00A259BD" w14:paraId="23DE5D5B" w14:textId="77777777">
        <w:tc>
          <w:tcPr>
            <w:tcW w:w="3227" w:type="dxa"/>
          </w:tcPr>
          <w:p w14:paraId="76F361F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Испытание самолета БРЕГЕ 19 В-2 </w:t>
            </w:r>
            <w:proofErr w:type="spellStart"/>
            <w:r w:rsidRPr="00A259BD">
              <w:rPr>
                <w:rFonts w:ascii="Times New Roman" w:hAnsi="Times New Roman"/>
                <w:color w:val="000000" w:themeColor="text1"/>
                <w:sz w:val="16"/>
                <w:szCs w:val="16"/>
              </w:rPr>
              <w:t>Лоррен</w:t>
            </w:r>
            <w:proofErr w:type="spellEnd"/>
            <w:r w:rsidRPr="00A259BD">
              <w:rPr>
                <w:rFonts w:ascii="Times New Roman" w:hAnsi="Times New Roman"/>
                <w:color w:val="000000" w:themeColor="text1"/>
                <w:sz w:val="16"/>
                <w:szCs w:val="16"/>
              </w:rPr>
              <w:t xml:space="preserve"> Дитрих</w:t>
            </w:r>
          </w:p>
        </w:tc>
        <w:tc>
          <w:tcPr>
            <w:tcW w:w="1876" w:type="dxa"/>
          </w:tcPr>
          <w:p w14:paraId="7202E4B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60" w:type="dxa"/>
          </w:tcPr>
          <w:p w14:paraId="740D87D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процессе испытания</w:t>
            </w:r>
          </w:p>
        </w:tc>
        <w:tc>
          <w:tcPr>
            <w:tcW w:w="2835" w:type="dxa"/>
          </w:tcPr>
          <w:p w14:paraId="4622107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r>
      <w:tr w:rsidR="00A259BD" w:rsidRPr="00A259BD" w14:paraId="242334C6" w14:textId="77777777">
        <w:tc>
          <w:tcPr>
            <w:tcW w:w="3227" w:type="dxa"/>
          </w:tcPr>
          <w:p w14:paraId="24B0216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Р-V БМВ VI 2-й экземпляр</w:t>
            </w:r>
          </w:p>
        </w:tc>
        <w:tc>
          <w:tcPr>
            <w:tcW w:w="1876" w:type="dxa"/>
          </w:tcPr>
          <w:p w14:paraId="13FE793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60" w:type="dxa"/>
          </w:tcPr>
          <w:p w14:paraId="247CCBB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Выполнено</w:t>
            </w:r>
          </w:p>
        </w:tc>
        <w:tc>
          <w:tcPr>
            <w:tcW w:w="2835" w:type="dxa"/>
          </w:tcPr>
          <w:p w14:paraId="629FB658"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r>
      <w:tr w:rsidR="00A259BD" w:rsidRPr="00A259BD" w14:paraId="0A80BE1C" w14:textId="77777777">
        <w:tc>
          <w:tcPr>
            <w:tcW w:w="3227" w:type="dxa"/>
          </w:tcPr>
          <w:p w14:paraId="75AC4B7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НД-43</w:t>
            </w:r>
          </w:p>
        </w:tc>
        <w:tc>
          <w:tcPr>
            <w:tcW w:w="1876" w:type="dxa"/>
          </w:tcPr>
          <w:p w14:paraId="6DD9307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60" w:type="dxa"/>
          </w:tcPr>
          <w:p w14:paraId="4025EDD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процессе испытания</w:t>
            </w:r>
          </w:p>
        </w:tc>
        <w:tc>
          <w:tcPr>
            <w:tcW w:w="2835" w:type="dxa"/>
          </w:tcPr>
          <w:p w14:paraId="0A23625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w:t>
            </w:r>
          </w:p>
        </w:tc>
      </w:tr>
      <w:tr w:rsidR="00A259BD" w:rsidRPr="00A259BD" w14:paraId="38A772CE" w14:textId="77777777">
        <w:tc>
          <w:tcPr>
            <w:tcW w:w="3227" w:type="dxa"/>
          </w:tcPr>
          <w:p w14:paraId="080A007B"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Испытание самолета ТБ1</w:t>
            </w:r>
          </w:p>
        </w:tc>
        <w:tc>
          <w:tcPr>
            <w:tcW w:w="1876" w:type="dxa"/>
          </w:tcPr>
          <w:p w14:paraId="02C12D0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60" w:type="dxa"/>
          </w:tcPr>
          <w:p w14:paraId="47E91DD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Выполнено</w:t>
            </w:r>
          </w:p>
        </w:tc>
        <w:tc>
          <w:tcPr>
            <w:tcW w:w="2835" w:type="dxa"/>
          </w:tcPr>
          <w:p w14:paraId="55299E3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r>
    </w:tbl>
    <w:p w14:paraId="0AEC25F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(6953, 76-78).</w:t>
      </w:r>
    </w:p>
    <w:p w14:paraId="207992D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02B2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ноябре 1929 г. чертежи на мотор Юпитер 9А</w:t>
      </w:r>
      <w:r w:rsidRPr="00A259BD">
        <w:rPr>
          <w:rFonts w:ascii="Times New Roman" w:hAnsi="Times New Roman"/>
          <w:color w:val="000000" w:themeColor="text1"/>
          <w:sz w:val="16"/>
          <w:szCs w:val="16"/>
          <w:lang w:val="en-US"/>
        </w:rPr>
        <w:t>s</w:t>
      </w:r>
      <w:r w:rsidRPr="00A259BD">
        <w:rPr>
          <w:rFonts w:ascii="Times New Roman" w:hAnsi="Times New Roman"/>
          <w:color w:val="000000" w:themeColor="text1"/>
          <w:sz w:val="16"/>
          <w:szCs w:val="16"/>
        </w:rPr>
        <w:t xml:space="preserve"> приняли во Франции, в Советский Союз их доставили в начале следующего года (11852).</w:t>
      </w:r>
    </w:p>
    <w:p w14:paraId="4995D9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4F9D3D" w14:textId="77777777" w:rsidR="00843D2E" w:rsidRPr="00441F34" w:rsidRDefault="00843D2E" w:rsidP="00843D2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ноябре 1929 г. во Франции представитель завода №29 принял чертежи двигателя и прочую документацию (24115).</w:t>
      </w:r>
    </w:p>
    <w:p w14:paraId="7650203F" w14:textId="77777777" w:rsidR="00843D2E" w:rsidRPr="00441F34" w:rsidRDefault="00843D2E" w:rsidP="00843D2E">
      <w:pPr>
        <w:spacing w:after="0" w:line="240" w:lineRule="auto"/>
        <w:jc w:val="both"/>
        <w:rPr>
          <w:rFonts w:ascii="Times New Roman" w:hAnsi="Times New Roman"/>
          <w:color w:val="0070C0"/>
          <w:sz w:val="16"/>
          <w:szCs w:val="16"/>
        </w:rPr>
      </w:pPr>
    </w:p>
    <w:p w14:paraId="14D53D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года ВАО (в то время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на основании постановлений вышестоящих органов, предложило ГСМ (тогда еще ОСН Гипромеза) взять на себя разработку расширенного промышленного задания нового авиамоторного завода, долженствующий обеспечить выпуск следующих моторов:</w:t>
      </w:r>
    </w:p>
    <w:p w14:paraId="53989B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М-22 или М-15 – 1000 штук</w:t>
      </w:r>
    </w:p>
    <w:p w14:paraId="208101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М-26 – 1000 штук</w:t>
      </w:r>
    </w:p>
    <w:p w14:paraId="103421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М-65 – 400 штук</w:t>
      </w:r>
    </w:p>
    <w:p w14:paraId="3AEB0A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Причем было указано место вероятной постройки завода – Уральская область, район Перми</w:t>
      </w:r>
    </w:p>
    <w:p w14:paraId="65F820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Ввиду неполучения исходных материалов и других причин, к работе по составлению проекта было приступлено лишь 1 мая 1930 года и работа закончена 17 августа 1930 года.</w:t>
      </w:r>
    </w:p>
    <w:p w14:paraId="7AF307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августе 1930 года Технико-экономическое совещание при директоре </w:t>
      </w:r>
      <w:proofErr w:type="spellStart"/>
      <w:r w:rsidRPr="00A259BD">
        <w:rPr>
          <w:rFonts w:ascii="Times New Roman" w:hAnsi="Times New Roman"/>
          <w:color w:val="000000" w:themeColor="text1"/>
          <w:sz w:val="16"/>
          <w:szCs w:val="16"/>
        </w:rPr>
        <w:t>Гипроспецмета</w:t>
      </w:r>
      <w:proofErr w:type="spellEnd"/>
      <w:r w:rsidRPr="00A259BD">
        <w:rPr>
          <w:rFonts w:ascii="Times New Roman" w:hAnsi="Times New Roman"/>
          <w:color w:val="000000" w:themeColor="text1"/>
          <w:sz w:val="16"/>
          <w:szCs w:val="16"/>
        </w:rPr>
        <w:t xml:space="preserve"> в основном разработанное задание приняло и с указанным районом постройки (Пермь) согласилось. В сентябре 1930 года ВАО, на основании возросшей потребности ВВС и ВГФ, разработало новое задание для окончательного проекта Пермского авиамоторного завода, включающее задание указанное в первом варианте.</w:t>
      </w:r>
    </w:p>
    <w:p w14:paraId="5862D7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Закрепленная за заводом площадка расположена непосредственно вдоль ж/д ветки от разъезда № 51 по правую сторону Сибирского тракта, в 2-х км от Перми. В первом полугодии 1932 года к заводу проложена трамвайная линия и с июня 1932 года завод имеет трамвайное сообщение с гг. Пермь и </w:t>
      </w:r>
      <w:proofErr w:type="spellStart"/>
      <w:r w:rsidRPr="00A259BD">
        <w:rPr>
          <w:rFonts w:ascii="Times New Roman" w:hAnsi="Times New Roman"/>
          <w:color w:val="000000" w:themeColor="text1"/>
          <w:sz w:val="16"/>
          <w:szCs w:val="16"/>
        </w:rPr>
        <w:t>Молотово</w:t>
      </w:r>
      <w:proofErr w:type="spellEnd"/>
      <w:r w:rsidRPr="00A259BD">
        <w:rPr>
          <w:rFonts w:ascii="Times New Roman" w:hAnsi="Times New Roman"/>
          <w:color w:val="000000" w:themeColor="text1"/>
          <w:sz w:val="16"/>
          <w:szCs w:val="16"/>
        </w:rPr>
        <w:t>.</w:t>
      </w:r>
    </w:p>
    <w:p w14:paraId="62EB04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первому варианту проекта завода, разработанному </w:t>
      </w:r>
      <w:proofErr w:type="spellStart"/>
      <w:r w:rsidRPr="00A259BD">
        <w:rPr>
          <w:rFonts w:ascii="Times New Roman" w:hAnsi="Times New Roman"/>
          <w:color w:val="000000" w:themeColor="text1"/>
          <w:sz w:val="16"/>
          <w:szCs w:val="16"/>
        </w:rPr>
        <w:t>Гипроспецметом</w:t>
      </w:r>
      <w:proofErr w:type="spellEnd"/>
      <w:r w:rsidRPr="00A259BD">
        <w:rPr>
          <w:rFonts w:ascii="Times New Roman" w:hAnsi="Times New Roman"/>
          <w:color w:val="000000" w:themeColor="text1"/>
          <w:sz w:val="16"/>
          <w:szCs w:val="16"/>
        </w:rPr>
        <w:t>, под литер. С-47 по договору, заключенному им с ВАОЮ завод должен был превосходить по производительности все существовавшие в то время в СССР авиамоторные заводы и относился к крупнейшим заводам мира, так как по намеченному выпуску он уступал только ведущим американским заводам “РАЙТ” и “КЕРТИС”.</w:t>
      </w:r>
    </w:p>
    <w:p w14:paraId="6D17DC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Проектная мощность завода по этому варианту была рассчитана на выпуск в течении года:</w:t>
      </w:r>
    </w:p>
    <w:p w14:paraId="47739B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3000 штук моторов М-15 с </w:t>
      </w:r>
      <w:proofErr w:type="spellStart"/>
      <w:r w:rsidRPr="00A259BD">
        <w:rPr>
          <w:rFonts w:ascii="Times New Roman" w:hAnsi="Times New Roman"/>
          <w:color w:val="000000" w:themeColor="text1"/>
          <w:sz w:val="16"/>
          <w:szCs w:val="16"/>
        </w:rPr>
        <w:t>компл</w:t>
      </w:r>
      <w:proofErr w:type="spellEnd"/>
      <w:r w:rsidRPr="00A259BD">
        <w:rPr>
          <w:rFonts w:ascii="Times New Roman" w:hAnsi="Times New Roman"/>
          <w:color w:val="000000" w:themeColor="text1"/>
          <w:sz w:val="16"/>
          <w:szCs w:val="16"/>
        </w:rPr>
        <w:t>. зап. частей</w:t>
      </w:r>
    </w:p>
    <w:p w14:paraId="39131F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3000 штук моторов М-26</w:t>
      </w:r>
    </w:p>
    <w:p w14:paraId="2DAB40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др.</w:t>
      </w:r>
    </w:p>
    <w:p w14:paraId="1DDCC6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Согласно разработанного </w:t>
      </w:r>
      <w:proofErr w:type="spellStart"/>
      <w:r w:rsidRPr="00A259BD">
        <w:rPr>
          <w:rFonts w:ascii="Times New Roman" w:hAnsi="Times New Roman"/>
          <w:color w:val="000000" w:themeColor="text1"/>
          <w:sz w:val="16"/>
          <w:szCs w:val="16"/>
        </w:rPr>
        <w:t>Гипроспецметом</w:t>
      </w:r>
      <w:proofErr w:type="spellEnd"/>
      <w:r w:rsidRPr="00A259BD">
        <w:rPr>
          <w:rFonts w:ascii="Times New Roman" w:hAnsi="Times New Roman"/>
          <w:color w:val="000000" w:themeColor="text1"/>
          <w:sz w:val="16"/>
          <w:szCs w:val="16"/>
        </w:rPr>
        <w:t xml:space="preserve"> проекта С-47 было приступлено с весны 1931 года к постройке завода, а равно после полного окончания проекта и получения в августе 1931 года всего проектного материала и на основании его, в сентябре того же года были составлены заявки на импортное и прочее оборудование. Однако, заявки были задержаны ВАО из-за лимитов. В октябре поступило распоряжение срочно пересоставить заявку на импорт в связи с тем, что объект производства завода меняется: вместо М-15 и М-26, снимаемых с производства, вводится М-22. В конце декабря на основании Постановления СТО, завод получил распоряжение </w:t>
      </w:r>
      <w:r w:rsidRPr="00A259BD">
        <w:rPr>
          <w:rFonts w:ascii="Times New Roman" w:hAnsi="Times New Roman"/>
          <w:color w:val="000000" w:themeColor="text1"/>
          <w:sz w:val="16"/>
          <w:szCs w:val="16"/>
        </w:rPr>
        <w:lastRenderedPageBreak/>
        <w:t>от ВАО вновь вернуться к М-15 и М-26. В конце февраля 1932 года поступает распоряжение от только что организовавшегося моторного треста о новом изменении задания, а именно – снова М-22, причем мощность завода должна быть 6000 штук в год. В связи с этим возникла необходимость коренной перепроектировки завода. Дальнейшие работы по строительству приняли такое направление:</w:t>
      </w:r>
    </w:p>
    <w:p w14:paraId="39B9CE50"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Строительство должно без задержек продолжаться в основном согласно проектных материалов С-47.</w:t>
      </w:r>
    </w:p>
    <w:p w14:paraId="282CAAA8"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своим аппаратом должен развернуть подготовительные работы как в части разработки технологического процесса, используя материалы завода № 29, так и в части оборудования производственного и общезаводского, имея целью создать мощность первой очереди на 1 января 1933 года – 1000 моторов М-22.</w:t>
      </w:r>
    </w:p>
    <w:p w14:paraId="549BAF78" w14:textId="77777777" w:rsidR="00F547C5" w:rsidRPr="00A259BD" w:rsidRDefault="00F547C5" w:rsidP="009236E3">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Перепроектировку завода на полную мощность – 6000 моторов поручено в марте вновь организованной при </w:t>
      </w:r>
      <w:proofErr w:type="spellStart"/>
      <w:r w:rsidRPr="00A259BD">
        <w:rPr>
          <w:rFonts w:ascii="Times New Roman" w:hAnsi="Times New Roman"/>
          <w:color w:val="000000" w:themeColor="text1"/>
          <w:sz w:val="16"/>
          <w:szCs w:val="16"/>
        </w:rPr>
        <w:t>ГУАПе</w:t>
      </w:r>
      <w:proofErr w:type="spellEnd"/>
      <w:r w:rsidRPr="00A259BD">
        <w:rPr>
          <w:rFonts w:ascii="Times New Roman" w:hAnsi="Times New Roman"/>
          <w:color w:val="000000" w:themeColor="text1"/>
          <w:sz w:val="16"/>
          <w:szCs w:val="16"/>
        </w:rPr>
        <w:t xml:space="preserve"> проектной организации </w:t>
      </w:r>
      <w:proofErr w:type="spellStart"/>
      <w:r w:rsidRPr="00A259BD">
        <w:rPr>
          <w:rFonts w:ascii="Times New Roman" w:hAnsi="Times New Roman"/>
          <w:color w:val="000000" w:themeColor="text1"/>
          <w:sz w:val="16"/>
          <w:szCs w:val="16"/>
        </w:rPr>
        <w:t>Гипроавио</w:t>
      </w:r>
      <w:proofErr w:type="spellEnd"/>
      <w:r w:rsidRPr="00A259BD">
        <w:rPr>
          <w:rFonts w:ascii="Times New Roman" w:hAnsi="Times New Roman"/>
          <w:color w:val="000000" w:themeColor="text1"/>
          <w:sz w:val="16"/>
          <w:szCs w:val="16"/>
        </w:rPr>
        <w:t xml:space="preserve"> ………..</w:t>
      </w:r>
    </w:p>
    <w:p w14:paraId="73A770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Согласно произведенным </w:t>
      </w:r>
      <w:proofErr w:type="spellStart"/>
      <w:r w:rsidRPr="00A259BD">
        <w:rPr>
          <w:rFonts w:ascii="Times New Roman" w:hAnsi="Times New Roman"/>
          <w:color w:val="000000" w:themeColor="text1"/>
          <w:sz w:val="16"/>
          <w:szCs w:val="16"/>
        </w:rPr>
        <w:t>Гипроавио</w:t>
      </w:r>
      <w:proofErr w:type="spellEnd"/>
      <w:r w:rsidRPr="00A259BD">
        <w:rPr>
          <w:rFonts w:ascii="Times New Roman" w:hAnsi="Times New Roman"/>
          <w:color w:val="000000" w:themeColor="text1"/>
          <w:sz w:val="16"/>
          <w:szCs w:val="16"/>
        </w:rPr>
        <w:t xml:space="preserve"> расчетам, производственные площади потребуют увеличения против С-47 в среднем 80-90%. Осуществление строительных работ по этому расширению завода переносится на 1933 год.</w:t>
      </w:r>
    </w:p>
    <w:p w14:paraId="7994AE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Директор завода – Чубуков П.И. (9290).</w:t>
      </w:r>
    </w:p>
    <w:p w14:paraId="57E52B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BD93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г. состоялось заседание коллегии </w:t>
      </w:r>
      <w:proofErr w:type="spellStart"/>
      <w:r w:rsidRPr="00A259BD">
        <w:rPr>
          <w:rFonts w:ascii="Times New Roman" w:hAnsi="Times New Roman"/>
          <w:color w:val="000000" w:themeColor="text1"/>
          <w:sz w:val="16"/>
          <w:szCs w:val="16"/>
        </w:rPr>
        <w:t>Главметстроя</w:t>
      </w:r>
      <w:proofErr w:type="spellEnd"/>
      <w:r w:rsidRPr="00A259BD">
        <w:rPr>
          <w:rFonts w:ascii="Times New Roman" w:hAnsi="Times New Roman"/>
          <w:color w:val="000000" w:themeColor="text1"/>
          <w:sz w:val="16"/>
          <w:szCs w:val="16"/>
        </w:rPr>
        <w:t xml:space="preserve"> ВСНХ СССР, на котором была принята программа - завершить строительство к 1 октября 1932 г., создать производственные мощности для выпуска 15 тыс. комбайнов в год с последующим увеличением до 25 тыс. Ставилась конкретная задача - к сельскохозяйственному сезону 1933 г. выпустить 2 200 сеялок, 4 500 сенокосилок и 3 000 комбайнов. Именно в этой технике испытывало острый дефицит сельское хозяйство края.</w:t>
      </w:r>
    </w:p>
    <w:p w14:paraId="3CCFC9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Первым начальником строительства и директором завода “</w:t>
      </w:r>
      <w:proofErr w:type="spellStart"/>
      <w:r w:rsidRPr="00A259BD">
        <w:rPr>
          <w:rFonts w:ascii="Times New Roman" w:hAnsi="Times New Roman"/>
          <w:color w:val="000000" w:themeColor="text1"/>
          <w:sz w:val="16"/>
          <w:szCs w:val="16"/>
        </w:rPr>
        <w:t>Сибкомбайн</w:t>
      </w:r>
      <w:proofErr w:type="spellEnd"/>
      <w:r w:rsidRPr="00A259BD">
        <w:rPr>
          <w:rFonts w:ascii="Times New Roman" w:hAnsi="Times New Roman"/>
          <w:color w:val="000000" w:themeColor="text1"/>
          <w:sz w:val="16"/>
          <w:szCs w:val="16"/>
        </w:rPr>
        <w:t xml:space="preserve">” был А. И. </w:t>
      </w:r>
      <w:proofErr w:type="spellStart"/>
      <w:r w:rsidRPr="00A259BD">
        <w:rPr>
          <w:rFonts w:ascii="Times New Roman" w:hAnsi="Times New Roman"/>
          <w:color w:val="000000" w:themeColor="text1"/>
          <w:sz w:val="16"/>
          <w:szCs w:val="16"/>
        </w:rPr>
        <w:t>Морин</w:t>
      </w:r>
      <w:proofErr w:type="spellEnd"/>
      <w:r w:rsidRPr="00A259BD">
        <w:rPr>
          <w:rFonts w:ascii="Times New Roman" w:hAnsi="Times New Roman"/>
          <w:color w:val="000000" w:themeColor="text1"/>
          <w:sz w:val="16"/>
          <w:szCs w:val="16"/>
        </w:rPr>
        <w:t xml:space="preserve"> (9684).</w:t>
      </w:r>
    </w:p>
    <w:p w14:paraId="0A7E6B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F007A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ноябре 1929 начал строиться будущий комбинат № 179. В начале 1930-х г. сначала как завод “</w:t>
      </w:r>
      <w:proofErr w:type="spellStart"/>
      <w:r w:rsidRPr="00A259BD">
        <w:rPr>
          <w:rFonts w:ascii="Times New Roman" w:hAnsi="Times New Roman"/>
          <w:color w:val="000000" w:themeColor="text1"/>
          <w:sz w:val="16"/>
          <w:szCs w:val="16"/>
        </w:rPr>
        <w:t>Сибкомбайн</w:t>
      </w:r>
      <w:proofErr w:type="spellEnd"/>
      <w:r w:rsidRPr="00A259BD">
        <w:rPr>
          <w:rFonts w:ascii="Times New Roman" w:hAnsi="Times New Roman"/>
          <w:color w:val="000000" w:themeColor="text1"/>
          <w:sz w:val="16"/>
          <w:szCs w:val="16"/>
        </w:rPr>
        <w:t>”, затем “</w:t>
      </w:r>
      <w:proofErr w:type="spellStart"/>
      <w:r w:rsidRPr="00A259BD">
        <w:rPr>
          <w:rFonts w:ascii="Times New Roman" w:hAnsi="Times New Roman"/>
          <w:color w:val="000000" w:themeColor="text1"/>
          <w:sz w:val="16"/>
          <w:szCs w:val="16"/>
        </w:rPr>
        <w:t>Сибметаллстрой</w:t>
      </w:r>
      <w:proofErr w:type="spellEnd"/>
      <w:r w:rsidRPr="00A259BD">
        <w:rPr>
          <w:rFonts w:ascii="Times New Roman" w:hAnsi="Times New Roman"/>
          <w:color w:val="000000" w:themeColor="text1"/>
          <w:sz w:val="16"/>
          <w:szCs w:val="16"/>
        </w:rPr>
        <w:t xml:space="preserve">”. Достроен в 1941 г. С началом войны сюда эвакуировано 15 предприятий НКБ, влитых в состав комбината. Позже из состава комбината выделились самостоятельные заводы: металлургический, завод № 556, № 677 и № 188. </w:t>
      </w:r>
    </w:p>
    <w:p w14:paraId="407050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1960-е г.- в ведении Управления точного машиностроения Западно-Сибирского совнархоза.</w:t>
      </w:r>
    </w:p>
    <w:p w14:paraId="2FC8CF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Указу Президента РФ № 1009 от 4.08.2004 г. ОАО вошло в число стратегических оборонных предприятий.</w:t>
      </w:r>
    </w:p>
    <w:p w14:paraId="45D198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(1942 г.)- А.В. </w:t>
      </w:r>
      <w:proofErr w:type="spellStart"/>
      <w:r w:rsidRPr="00A259BD">
        <w:rPr>
          <w:rFonts w:ascii="Times New Roman" w:hAnsi="Times New Roman"/>
          <w:color w:val="000000" w:themeColor="text1"/>
          <w:sz w:val="16"/>
          <w:szCs w:val="16"/>
        </w:rPr>
        <w:t>Саханицкий</w:t>
      </w:r>
      <w:proofErr w:type="spellEnd"/>
      <w:r w:rsidRPr="00A259BD">
        <w:rPr>
          <w:rFonts w:ascii="Times New Roman" w:hAnsi="Times New Roman"/>
          <w:color w:val="000000" w:themeColor="text1"/>
          <w:sz w:val="16"/>
          <w:szCs w:val="16"/>
        </w:rPr>
        <w:t xml:space="preserve">, (1942-43 г.)- Г.И. Ивановский (зам. наркома боеприпасов). </w:t>
      </w:r>
    </w:p>
    <w:p w14:paraId="14C982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(ВОВ) снаряды- 125 млн., мины, взрыватели; ЗУР В-600П (С-125); авиационная противолодочная ракета АПР-1 “Кондор” (-1974 г.)- 263; задвижки, вентили, фланцы (2000-е).</w:t>
      </w:r>
    </w:p>
    <w:p w14:paraId="11A205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Комбинат № 179 НКБ, завод “</w:t>
      </w:r>
      <w:proofErr w:type="spellStart"/>
      <w:r w:rsidRPr="00A259BD">
        <w:rPr>
          <w:rFonts w:ascii="Times New Roman" w:hAnsi="Times New Roman"/>
          <w:color w:val="000000" w:themeColor="text1"/>
          <w:sz w:val="16"/>
          <w:szCs w:val="16"/>
        </w:rPr>
        <w:t>Сибкомбайн</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Сибметаллстрой</w:t>
      </w:r>
      <w:proofErr w:type="spellEnd"/>
      <w:r w:rsidRPr="00A259BD">
        <w:rPr>
          <w:rFonts w:ascii="Times New Roman" w:hAnsi="Times New Roman"/>
          <w:color w:val="000000" w:themeColor="text1"/>
          <w:sz w:val="16"/>
          <w:szCs w:val="16"/>
        </w:rPr>
        <w:t xml:space="preserve">”, завод “Сибсельмаш”, ПО, ГУП “Машзавод ПО “Сибсельмаш” </w:t>
      </w:r>
      <w:proofErr w:type="spellStart"/>
      <w:r w:rsidRPr="00A259BD">
        <w:rPr>
          <w:rFonts w:ascii="Times New Roman" w:hAnsi="Times New Roman"/>
          <w:color w:val="000000" w:themeColor="text1"/>
          <w:sz w:val="16"/>
          <w:szCs w:val="16"/>
        </w:rPr>
        <w:t>Росбоеприпаса</w:t>
      </w:r>
      <w:proofErr w:type="spellEnd"/>
      <w:r w:rsidRPr="00A259BD">
        <w:rPr>
          <w:rFonts w:ascii="Times New Roman" w:hAnsi="Times New Roman"/>
          <w:color w:val="000000" w:themeColor="text1"/>
          <w:sz w:val="16"/>
          <w:szCs w:val="16"/>
        </w:rPr>
        <w:t>, ОАО “Новосибирское ПО “Сибсельмаш”</w:t>
      </w:r>
    </w:p>
    <w:p w14:paraId="0FB64A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630031 г. Новосибирск</w:t>
      </w:r>
    </w:p>
    <w:p w14:paraId="5F5DF3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Новосибирский металлургический завод им. Кузьмина (НМЗ)</w:t>
      </w:r>
    </w:p>
    <w:p w14:paraId="326583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Новосибирск</w:t>
      </w:r>
    </w:p>
    <w:p w14:paraId="7B8402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Выделился из состава комбината № 179.</w:t>
      </w:r>
    </w:p>
    <w:p w14:paraId="12509C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Входит в “Евразхолдинг” (2003 г.). До 10.2004 г. заводом руководила управляющая компания “Сибирско-Амурская сталь”, с 10.2004 г.- вновь гендиректор.</w:t>
      </w:r>
    </w:p>
    <w:p w14:paraId="3989D4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Гендиректор- О. Меркушев (затем- гендиректор ОАО “Амурметалл”), (10.2004 г.-)- В. </w:t>
      </w:r>
      <w:proofErr w:type="spellStart"/>
      <w:r w:rsidRPr="00A259BD">
        <w:rPr>
          <w:rFonts w:ascii="Times New Roman" w:hAnsi="Times New Roman"/>
          <w:color w:val="000000" w:themeColor="text1"/>
          <w:sz w:val="16"/>
          <w:szCs w:val="16"/>
        </w:rPr>
        <w:t>Ожиганов</w:t>
      </w:r>
      <w:proofErr w:type="spellEnd"/>
      <w:r w:rsidRPr="00A259BD">
        <w:rPr>
          <w:rFonts w:ascii="Times New Roman" w:hAnsi="Times New Roman"/>
          <w:color w:val="000000" w:themeColor="text1"/>
          <w:sz w:val="16"/>
          <w:szCs w:val="16"/>
        </w:rPr>
        <w:t xml:space="preserve"> (10776).</w:t>
      </w:r>
    </w:p>
    <w:p w14:paraId="77B29C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258F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г. Электромоторному заводу (Завод № 266 ИМ. И.И. </w:t>
      </w:r>
      <w:proofErr w:type="spellStart"/>
      <w:r w:rsidRPr="00A259BD">
        <w:rPr>
          <w:rFonts w:ascii="Times New Roman" w:hAnsi="Times New Roman"/>
          <w:color w:val="000000" w:themeColor="text1"/>
          <w:sz w:val="16"/>
          <w:szCs w:val="16"/>
          <w:lang w:val="en-US"/>
        </w:rPr>
        <w:t>Jlence</w:t>
      </w:r>
      <w:proofErr w:type="spellEnd"/>
      <w:r w:rsidRPr="00A259BD">
        <w:rPr>
          <w:rFonts w:ascii="Times New Roman" w:hAnsi="Times New Roman"/>
          <w:color w:val="000000" w:themeColor="text1"/>
          <w:sz w:val="16"/>
          <w:szCs w:val="16"/>
        </w:rPr>
        <w:t xml:space="preserve"> НКАП, МАП, Электромоторный завод им. Лепсе НКЭП, НКЭС, Кировский электромашиностроительный завод им. И.И. Лепсе, Кировское электромашиностроительное ПО (КЭМПО) «Лепсе», ОАО «Электромашиностроительный завод (ЭМСЗ) «Лепсе» РАКА, ФАП /г. Москва ул. Ткацкая, 15 ст. Черкизово (1940 г.);  г. Киров </w:t>
      </w:r>
      <w:proofErr w:type="spellStart"/>
      <w:r w:rsidRPr="00A259BD">
        <w:rPr>
          <w:rFonts w:ascii="Times New Roman" w:hAnsi="Times New Roman"/>
          <w:color w:val="000000" w:themeColor="text1"/>
          <w:sz w:val="16"/>
          <w:szCs w:val="16"/>
        </w:rPr>
        <w:t>Филейское</w:t>
      </w:r>
      <w:proofErr w:type="spellEnd"/>
      <w:r w:rsidRPr="00A259BD">
        <w:rPr>
          <w:rFonts w:ascii="Times New Roman" w:hAnsi="Times New Roman"/>
          <w:color w:val="000000" w:themeColor="text1"/>
          <w:sz w:val="16"/>
          <w:szCs w:val="16"/>
        </w:rPr>
        <w:t xml:space="preserve"> ш. (1942 г.)/ /610006  г. Киров пр. Октябрьский, 24 тел. 23-74-47/ /Московское представительство: ул. Б. Садовая, 8/) присвоено имя И.И. Лепсе. В 1932 г. завод расширен. В 1937 г. завод им. Лепсе - в ведении </w:t>
      </w:r>
      <w:proofErr w:type="spellStart"/>
      <w:r w:rsidRPr="00A259BD">
        <w:rPr>
          <w:rFonts w:ascii="Times New Roman" w:hAnsi="Times New Roman"/>
          <w:color w:val="000000" w:themeColor="text1"/>
          <w:sz w:val="16"/>
          <w:szCs w:val="16"/>
        </w:rPr>
        <w:t>Главэнергопрома</w:t>
      </w:r>
      <w:proofErr w:type="spellEnd"/>
      <w:r w:rsidRPr="00A259BD">
        <w:rPr>
          <w:rFonts w:ascii="Times New Roman" w:hAnsi="Times New Roman"/>
          <w:color w:val="000000" w:themeColor="text1"/>
          <w:sz w:val="16"/>
          <w:szCs w:val="16"/>
        </w:rPr>
        <w:t xml:space="preserve"> НКТП. Далее передан в НКЭП.</w:t>
      </w:r>
    </w:p>
    <w:p w14:paraId="2E0C5F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начале 1932 г. на завод перевели отдел с Московского электрозавода (завода АТЭ), занимавшийся разработкой </w:t>
      </w:r>
      <w:proofErr w:type="spellStart"/>
      <w:r w:rsidRPr="00A259BD">
        <w:rPr>
          <w:rFonts w:ascii="Times New Roman" w:hAnsi="Times New Roman"/>
          <w:color w:val="000000" w:themeColor="text1"/>
          <w:sz w:val="16"/>
          <w:szCs w:val="16"/>
        </w:rPr>
        <w:t>радиомашин</w:t>
      </w:r>
      <w:proofErr w:type="spellEnd"/>
      <w:r w:rsidRPr="00A259BD">
        <w:rPr>
          <w:rFonts w:ascii="Times New Roman" w:hAnsi="Times New Roman"/>
          <w:color w:val="000000" w:themeColor="text1"/>
          <w:sz w:val="16"/>
          <w:szCs w:val="16"/>
        </w:rPr>
        <w:t>.</w:t>
      </w:r>
    </w:p>
    <w:p w14:paraId="2BBCAD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1930-32 г. было сформировано заводское КБ. Началась разработка и производство флюгерных и авиамоторных генераторов, </w:t>
      </w:r>
      <w:proofErr w:type="spellStart"/>
      <w:r w:rsidRPr="00A259BD">
        <w:rPr>
          <w:rFonts w:ascii="Times New Roman" w:hAnsi="Times New Roman"/>
          <w:color w:val="000000" w:themeColor="text1"/>
          <w:sz w:val="16"/>
          <w:szCs w:val="16"/>
        </w:rPr>
        <w:t>радиоумформеров</w:t>
      </w:r>
      <w:proofErr w:type="spellEnd"/>
      <w:r w:rsidRPr="00A259BD">
        <w:rPr>
          <w:rFonts w:ascii="Times New Roman" w:hAnsi="Times New Roman"/>
          <w:color w:val="000000" w:themeColor="text1"/>
          <w:sz w:val="16"/>
          <w:szCs w:val="16"/>
        </w:rPr>
        <w:t>, текстильных электромоторов.</w:t>
      </w:r>
    </w:p>
    <w:p w14:paraId="004998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1935 по 1941 г. прошла реконструкция и расширение завода (в соответствии с пост. КО от 2.10.1939 г. реконструкция должна была быть завершена в 1940 г.).</w:t>
      </w:r>
    </w:p>
    <w:p w14:paraId="226F79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приказу НКАП № 51с от 10.03.1939 г. завод передан из НКЭС во 2ГУ (далее- 4ГУ) НКАП с присвоением названия завод № 266 им. Лепсе. В 1939 г. для расширения завода ему передана соседняя территория, занимаемая бараками завода № 24, и территория банно-прачечного комбината. Кроме того, в 12.1940 г. заводу переданы сооружения и оборудование Центральных авторемонтных мастерских (ЦАРМ) и 4-го таксомоторного парка.</w:t>
      </w:r>
    </w:p>
    <w:p w14:paraId="299BAA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предвоенные годы завод был практически единственным в НКАП по разработке и производству электрооборудования для самолетов. К 1940 г. заводом было оснащено 322 типа самолетов. С конца 1939 г. началось освоение выпуска механизмов дистанционного управления. Создан автомат пикирования для Пе-2, автоматы управления аэродинамическими поверхностями. Для доводки и освоения серии агрегатов «ДУ» на завод перевели группу А.А. Енгибаряна с завода № 22 НКАП.</w:t>
      </w:r>
    </w:p>
    <w:p w14:paraId="53F28C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приказам № 660сс от 9.07.1941 г. и № 1057сс от 10.10.1941 г. завод № 266 4ГУ НКАП вместе с ОКБ и опытным цехом эвакуирован в  г. Киров на площадку завода № 461 НКАП. По приказу № 1096с от 5.11.1941 г. в результате слияния заводов № 266, № 461 и № 476, также эвакуированного из Москвы, образован объединенный завод № 266 НКАП.</w:t>
      </w:r>
    </w:p>
    <w:p w14:paraId="1AFA45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площадке эвакуированного завода в Москве по приказу № 46с от 17.01.1942 г. образованы Агрегатные ремонтные мастерские № 266. Далее по приказу № 459с от 22.06.1942 г. мастерские преобразованы в филиал завода № 266 НКАП по электромашинам (директор- Доценко). По приказу № 198с от 8.04.1943 г. на базе филиала образован самостоятельный завод № 140 НКАП.</w:t>
      </w:r>
    </w:p>
    <w:p w14:paraId="0E5A03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приказу № 206сс от 21.03.1944 г. с завода № 266 переведено большое количество станков, рабочих и ИТР для укрепления производства на завод № 451 НКАП. В начале 1944 г. часть специалистов завода была переведена на завод № 487 для освоения выпуска топливных агрегатов.</w:t>
      </w:r>
    </w:p>
    <w:p w14:paraId="2E3A5E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годы войны продолжено производство электрооборудования для Пе-2 и Ла-5, магнето БСМ-14. Кроме того, выпускались литые корпуса гранат, системы освещения «Заря» и запчасти к ним по заказам ГАУ и НКВМФ (с 09.1944 г. эти работы переданы на завод № 307 НКАП). По приказу № 280с от 7.05.1946 г. завод передан го 4ГУ во 2ГУ.</w:t>
      </w:r>
    </w:p>
    <w:p w14:paraId="10586C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1957 г. завод как серийный передан в ведение СНХ.</w:t>
      </w:r>
    </w:p>
    <w:p w14:paraId="2B57E7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заводе с 08.1955 г. действовал филиал ОКБ-476 по доводке электроагрегатов. Затем- это самостоятельное АО «Электропривод».</w:t>
      </w:r>
    </w:p>
    <w:p w14:paraId="665B57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20.04.1972 г. создан филиал завода в Кирово-Чепецке (затем- ВЭЛКОНТ).</w:t>
      </w:r>
    </w:p>
    <w:p w14:paraId="594721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1998-99 г. ЭМСЗ «Лепсе»- в ведении Департамента авиакосмической промышленности Минэкономики, в 2003 г.- в ведении РАКА. По решению правительства № 22-р от 9.01.2004 г. вошло в перечень стратегических предприятий.</w:t>
      </w:r>
    </w:p>
    <w:p w14:paraId="18CB4F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2002 г. выпускалось более 600 типов авиационных электроагрегатов.</w:t>
      </w:r>
    </w:p>
    <w:p w14:paraId="4AB01D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(2004 г.): авиационное электрическое (электродвигатели, генераторы, реле, электромеханизмы), электротепловое, электромагнитное оборудование, радиотехнические приборы; (2006 г.): программа освоения лицензионного производства Су-27СК в Китае и Су-ЗОМКИ в Индии.</w:t>
      </w:r>
    </w:p>
    <w:p w14:paraId="61787B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2005 г. входило в состав Научно-производственного холдинга «</w:t>
      </w:r>
      <w:proofErr w:type="spellStart"/>
      <w:r w:rsidRPr="00A259BD">
        <w:rPr>
          <w:rFonts w:ascii="Times New Roman" w:hAnsi="Times New Roman"/>
          <w:color w:val="000000" w:themeColor="text1"/>
          <w:sz w:val="16"/>
          <w:szCs w:val="16"/>
        </w:rPr>
        <w:t>Аэроэлектромаш</w:t>
      </w:r>
      <w:proofErr w:type="spellEnd"/>
      <w:r w:rsidRPr="00A259BD">
        <w:rPr>
          <w:rFonts w:ascii="Times New Roman" w:hAnsi="Times New Roman"/>
          <w:color w:val="000000" w:themeColor="text1"/>
          <w:sz w:val="16"/>
          <w:szCs w:val="16"/>
        </w:rPr>
        <w:t>».</w:t>
      </w:r>
    </w:p>
    <w:p w14:paraId="661DB0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(2000-е)- около 8000 чел.</w:t>
      </w:r>
    </w:p>
    <w:p w14:paraId="1C10AA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(-1940-45 г.-&gt; И.А. Дикарев, (10.1942 г.)- </w:t>
      </w:r>
      <w:proofErr w:type="spellStart"/>
      <w:r w:rsidRPr="00A259BD">
        <w:rPr>
          <w:rFonts w:ascii="Times New Roman" w:hAnsi="Times New Roman"/>
          <w:color w:val="000000" w:themeColor="text1"/>
          <w:sz w:val="16"/>
          <w:szCs w:val="16"/>
        </w:rPr>
        <w:t>Доченко</w:t>
      </w:r>
      <w:proofErr w:type="spellEnd"/>
      <w:r w:rsidRPr="00A259BD">
        <w:rPr>
          <w:rFonts w:ascii="Times New Roman" w:hAnsi="Times New Roman"/>
          <w:color w:val="000000" w:themeColor="text1"/>
          <w:sz w:val="16"/>
          <w:szCs w:val="16"/>
        </w:rPr>
        <w:t xml:space="preserve">, (03.1946 г.)- Н.М. Клюкин, (1966 г.)- А.С. </w:t>
      </w:r>
      <w:proofErr w:type="spellStart"/>
      <w:r w:rsidRPr="00A259BD">
        <w:rPr>
          <w:rFonts w:ascii="Times New Roman" w:hAnsi="Times New Roman"/>
          <w:color w:val="000000" w:themeColor="text1"/>
          <w:sz w:val="16"/>
          <w:szCs w:val="16"/>
        </w:rPr>
        <w:t>Болынев</w:t>
      </w:r>
      <w:proofErr w:type="spellEnd"/>
      <w:r w:rsidRPr="00A259BD">
        <w:rPr>
          <w:rFonts w:ascii="Times New Roman" w:hAnsi="Times New Roman"/>
          <w:color w:val="000000" w:themeColor="text1"/>
          <w:sz w:val="16"/>
          <w:szCs w:val="16"/>
        </w:rPr>
        <w:t>, Шабалин. Гендиректор (1997-2007 г.-)-  Г.А. Мамаев.</w:t>
      </w:r>
    </w:p>
    <w:p w14:paraId="46670A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директора (ВОВ)- Н.А. </w:t>
      </w:r>
      <w:proofErr w:type="spellStart"/>
      <w:r w:rsidRPr="00A259BD">
        <w:rPr>
          <w:rFonts w:ascii="Times New Roman" w:hAnsi="Times New Roman"/>
          <w:color w:val="000000" w:themeColor="text1"/>
          <w:sz w:val="16"/>
          <w:szCs w:val="16"/>
        </w:rPr>
        <w:t>Головчинов</w:t>
      </w:r>
      <w:proofErr w:type="spellEnd"/>
      <w:r w:rsidRPr="00A259BD">
        <w:rPr>
          <w:rFonts w:ascii="Times New Roman" w:hAnsi="Times New Roman"/>
          <w:color w:val="000000" w:themeColor="text1"/>
          <w:sz w:val="16"/>
          <w:szCs w:val="16"/>
        </w:rPr>
        <w:t xml:space="preserve">. Зам. гендиректора (2007 г.)- С. Лаптев, (2007 г.)- Б. </w:t>
      </w:r>
      <w:proofErr w:type="spellStart"/>
      <w:r w:rsidRPr="00A259BD">
        <w:rPr>
          <w:rFonts w:ascii="Times New Roman" w:hAnsi="Times New Roman"/>
          <w:color w:val="000000" w:themeColor="text1"/>
          <w:sz w:val="16"/>
          <w:szCs w:val="16"/>
        </w:rPr>
        <w:t>Карпман</w:t>
      </w:r>
      <w:proofErr w:type="spellEnd"/>
      <w:r w:rsidRPr="00A259BD">
        <w:rPr>
          <w:rFonts w:ascii="Times New Roman" w:hAnsi="Times New Roman"/>
          <w:color w:val="000000" w:themeColor="text1"/>
          <w:sz w:val="16"/>
          <w:szCs w:val="16"/>
        </w:rPr>
        <w:t>.</w:t>
      </w:r>
    </w:p>
    <w:p w14:paraId="7A1A7B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 производства (ВОВ)- К.Т. </w:t>
      </w:r>
      <w:proofErr w:type="spellStart"/>
      <w:r w:rsidRPr="00A259BD">
        <w:rPr>
          <w:rFonts w:ascii="Times New Roman" w:hAnsi="Times New Roman"/>
          <w:color w:val="000000" w:themeColor="text1"/>
          <w:sz w:val="16"/>
          <w:szCs w:val="16"/>
        </w:rPr>
        <w:t>Шармазанов</w:t>
      </w:r>
      <w:proofErr w:type="spellEnd"/>
      <w:r w:rsidRPr="00A259BD">
        <w:rPr>
          <w:rFonts w:ascii="Times New Roman" w:hAnsi="Times New Roman"/>
          <w:color w:val="000000" w:themeColor="text1"/>
          <w:sz w:val="16"/>
          <w:szCs w:val="16"/>
        </w:rPr>
        <w:t>. Директор по ВЭС и маркетингу (-2005-06 г.-)- В.А. Альгин.</w:t>
      </w:r>
    </w:p>
    <w:p w14:paraId="64FC70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инженер (ВОВ)- Н.А. </w:t>
      </w:r>
      <w:proofErr w:type="spellStart"/>
      <w:r w:rsidRPr="00A259BD">
        <w:rPr>
          <w:rFonts w:ascii="Times New Roman" w:hAnsi="Times New Roman"/>
          <w:color w:val="000000" w:themeColor="text1"/>
          <w:sz w:val="16"/>
          <w:szCs w:val="16"/>
        </w:rPr>
        <w:t>Головчинов</w:t>
      </w:r>
      <w:proofErr w:type="spellEnd"/>
      <w:r w:rsidRPr="00A259BD">
        <w:rPr>
          <w:rFonts w:ascii="Times New Roman" w:hAnsi="Times New Roman"/>
          <w:color w:val="000000" w:themeColor="text1"/>
          <w:sz w:val="16"/>
          <w:szCs w:val="16"/>
        </w:rPr>
        <w:t>.</w:t>
      </w:r>
    </w:p>
    <w:p w14:paraId="4379F7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конструктор (-03.1941 г.)- А.К. </w:t>
      </w:r>
      <w:proofErr w:type="spellStart"/>
      <w:r w:rsidRPr="00A259BD">
        <w:rPr>
          <w:rFonts w:ascii="Times New Roman" w:hAnsi="Times New Roman"/>
          <w:color w:val="000000" w:themeColor="text1"/>
          <w:sz w:val="16"/>
          <w:szCs w:val="16"/>
        </w:rPr>
        <w:t>Голдобенков</w:t>
      </w:r>
      <w:proofErr w:type="spellEnd"/>
      <w:r w:rsidRPr="00A259BD">
        <w:rPr>
          <w:rFonts w:ascii="Times New Roman" w:hAnsi="Times New Roman"/>
          <w:color w:val="000000" w:themeColor="text1"/>
          <w:sz w:val="16"/>
          <w:szCs w:val="16"/>
        </w:rPr>
        <w:t xml:space="preserve">, (05.1941 г.-)- Ф.И. Голгофский (по умформерам, генераторам и морским </w:t>
      </w:r>
      <w:proofErr w:type="spellStart"/>
      <w:r w:rsidRPr="00A259BD">
        <w:rPr>
          <w:rFonts w:ascii="Times New Roman" w:hAnsi="Times New Roman"/>
          <w:color w:val="000000" w:themeColor="text1"/>
          <w:sz w:val="16"/>
          <w:szCs w:val="16"/>
        </w:rPr>
        <w:t>радиомашинам</w:t>
      </w:r>
      <w:proofErr w:type="spellEnd"/>
      <w:r w:rsidRPr="00A259BD">
        <w:rPr>
          <w:rFonts w:ascii="Times New Roman" w:hAnsi="Times New Roman"/>
          <w:color w:val="000000" w:themeColor="text1"/>
          <w:sz w:val="16"/>
          <w:szCs w:val="16"/>
        </w:rPr>
        <w:t>), (11.1941 г.-)- А.А. Енгибарян.</w:t>
      </w:r>
    </w:p>
    <w:p w14:paraId="392464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Шеф-электрик (06.1937 г.)- А.К. </w:t>
      </w:r>
      <w:proofErr w:type="spellStart"/>
      <w:r w:rsidRPr="00A259BD">
        <w:rPr>
          <w:rFonts w:ascii="Times New Roman" w:hAnsi="Times New Roman"/>
          <w:color w:val="000000" w:themeColor="text1"/>
          <w:sz w:val="16"/>
          <w:szCs w:val="16"/>
        </w:rPr>
        <w:t>Голдобенков</w:t>
      </w:r>
      <w:proofErr w:type="spellEnd"/>
      <w:r w:rsidRPr="00A259BD">
        <w:rPr>
          <w:rFonts w:ascii="Times New Roman" w:hAnsi="Times New Roman"/>
          <w:color w:val="000000" w:themeColor="text1"/>
          <w:sz w:val="16"/>
          <w:szCs w:val="16"/>
        </w:rPr>
        <w:t xml:space="preserve">. Гл. технолог (ВОВ)- М.Е. </w:t>
      </w:r>
      <w:proofErr w:type="spellStart"/>
      <w:r w:rsidRPr="00A259BD">
        <w:rPr>
          <w:rFonts w:ascii="Times New Roman" w:hAnsi="Times New Roman"/>
          <w:color w:val="000000" w:themeColor="text1"/>
          <w:sz w:val="16"/>
          <w:szCs w:val="16"/>
        </w:rPr>
        <w:t>Едидович</w:t>
      </w:r>
      <w:proofErr w:type="spellEnd"/>
      <w:r w:rsidRPr="00A259BD">
        <w:rPr>
          <w:rFonts w:ascii="Times New Roman" w:hAnsi="Times New Roman"/>
          <w:color w:val="000000" w:themeColor="text1"/>
          <w:sz w:val="16"/>
          <w:szCs w:val="16"/>
        </w:rPr>
        <w:t>.</w:t>
      </w:r>
    </w:p>
    <w:p w14:paraId="442EFF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Начальники отделов: СКО (ВОВ)- В. Г. Могилевский; ОКО (ВОВ)- С.Л. Маневич.</w:t>
      </w:r>
    </w:p>
    <w:p w14:paraId="5A1720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Производство:</w:t>
      </w:r>
      <w:r w:rsidRPr="00A259BD">
        <w:rPr>
          <w:rFonts w:ascii="Times New Roman" w:hAnsi="Times New Roman"/>
          <w:color w:val="000000" w:themeColor="text1"/>
          <w:sz w:val="16"/>
          <w:szCs w:val="16"/>
        </w:rPr>
        <w:t xml:space="preserve"> динамо-машины ДСФ-500, -650, ДСФИ-1000 (1937); генераторы ГС-500, -850, -1500 (1937), ДОС-1, ДОС-2, ГС-10-350, -20-650, -30-1000, ДСФ-500 (1930-е), ГС-32-1000, ГТ-500 (ВОВ); электромоторы: для </w:t>
      </w:r>
      <w:proofErr w:type="spellStart"/>
      <w:r w:rsidRPr="00A259BD">
        <w:rPr>
          <w:rFonts w:ascii="Times New Roman" w:hAnsi="Times New Roman"/>
          <w:color w:val="000000" w:themeColor="text1"/>
          <w:sz w:val="16"/>
          <w:szCs w:val="16"/>
        </w:rPr>
        <w:t>бензопомпы</w:t>
      </w:r>
      <w:proofErr w:type="spellEnd"/>
      <w:r w:rsidRPr="00A259BD">
        <w:rPr>
          <w:rFonts w:ascii="Times New Roman" w:hAnsi="Times New Roman"/>
          <w:color w:val="000000" w:themeColor="text1"/>
          <w:sz w:val="16"/>
          <w:szCs w:val="16"/>
        </w:rPr>
        <w:t xml:space="preserve"> МП 24/225 (1937), МУ-30, -50, -100, -1000 (ВОВ); распределительная коробка РК-34 (1937); магнето БСМ-14 (ВОВ); </w:t>
      </w:r>
      <w:proofErr w:type="spellStart"/>
      <w:r w:rsidRPr="00A259BD">
        <w:rPr>
          <w:rFonts w:ascii="Times New Roman" w:hAnsi="Times New Roman"/>
          <w:color w:val="000000" w:themeColor="text1"/>
          <w:sz w:val="16"/>
          <w:szCs w:val="16"/>
        </w:rPr>
        <w:t>радиоумформеры</w:t>
      </w:r>
      <w:proofErr w:type="spellEnd"/>
      <w:r w:rsidRPr="00A259BD">
        <w:rPr>
          <w:rFonts w:ascii="Times New Roman" w:hAnsi="Times New Roman"/>
          <w:color w:val="000000" w:themeColor="text1"/>
          <w:sz w:val="16"/>
          <w:szCs w:val="16"/>
        </w:rPr>
        <w:t>: РМ-2, -3, -5, -7, -8, РУН-10, РУК-300 (1930-е), РУ-11Б, РУ-45Б (ВОВ); механизмы дистанционного управления: АП-1, ГРШ-1, УН-1, УР-2, УС-1, УТ-1, УТ-3 (ВОВ); крановые электромеханизмы МПК-31А, МПК-34Б, МПК-40, МВД-4Е6К для Ил-114, Ил-96, Су-30МКИ; исполнительные электромеханизмы привода рулей ИМПР-80 для Су-80, МПР-172 (2005); электрооборудование для газовой и нефтедобывающей отраслей (2005); электростеклоподъемники для ВАЗ (2006); магнитофоны: «Электроника- 003С», «Олимп-ООЗС, -004С, МПК-004С, МПК-005С, -006С, -700, -701, -702, А-400»; усилитель «Олимп ДУ-005» (11982).</w:t>
      </w:r>
    </w:p>
    <w:p w14:paraId="44560C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369208" w14:textId="77777777" w:rsidR="009F3EBB" w:rsidRPr="00A259BD" w:rsidRDefault="009F3EB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ноябре 1929 г. Бутырской тюрьме было создано Особое конструкторское бюро (ОКБ). В январе следующего года ОКБ перевели на авиазавод No. 39, где начали создавать Центральное конструкторское бюро (ЦКБ). На территории завода имелся деревянный одноэтажный ангар No. 7, приспособленный под жилье для арестантов. В нем под охраной жили и работали 20 заключенных (18532).</w:t>
      </w:r>
    </w:p>
    <w:p w14:paraId="2C8D0A29" w14:textId="77777777" w:rsidR="009F3EBB" w:rsidRPr="00A259BD" w:rsidRDefault="009F3EBB" w:rsidP="009236E3">
      <w:pPr>
        <w:spacing w:after="0" w:line="240" w:lineRule="auto"/>
        <w:jc w:val="both"/>
        <w:rPr>
          <w:rFonts w:ascii="Times New Roman" w:hAnsi="Times New Roman"/>
          <w:color w:val="000000" w:themeColor="text1"/>
          <w:sz w:val="16"/>
          <w:szCs w:val="16"/>
        </w:rPr>
      </w:pPr>
    </w:p>
    <w:p w14:paraId="55B2CF23" w14:textId="77777777" w:rsidR="00843D2E" w:rsidRPr="00441F34" w:rsidRDefault="00843D2E" w:rsidP="00843D2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ноябре 1929 года Петропав</w:t>
      </w:r>
      <w:r w:rsidRPr="00441F34">
        <w:rPr>
          <w:rFonts w:ascii="Times New Roman" w:hAnsi="Times New Roman"/>
          <w:color w:val="0070C0"/>
          <w:sz w:val="16"/>
          <w:szCs w:val="16"/>
        </w:rPr>
        <w:softHyphen/>
        <w:t>ловский провел первые опытные отстрелы турбореактивного снаряда, получившего индекс ТРС-82. Для запуска он использо</w:t>
      </w:r>
      <w:r w:rsidRPr="00441F34">
        <w:rPr>
          <w:rFonts w:ascii="Times New Roman" w:hAnsi="Times New Roman"/>
          <w:color w:val="0070C0"/>
          <w:sz w:val="16"/>
          <w:szCs w:val="16"/>
        </w:rPr>
        <w:softHyphen/>
        <w:t>вал тонкостенную стальную трубу с продолговатыми прорезя</w:t>
      </w:r>
      <w:r w:rsidRPr="00441F34">
        <w:rPr>
          <w:rFonts w:ascii="Times New Roman" w:hAnsi="Times New Roman"/>
          <w:color w:val="0070C0"/>
          <w:sz w:val="16"/>
          <w:szCs w:val="16"/>
        </w:rPr>
        <w:softHyphen/>
        <w:t>ми. Вращение снаряда вокруг продольной оси осуществлялось за счет частичного отвода пороховых газов через специальные отверстия в ракетной камере. Стабилизация снаряда в полете действительно помогла повысить точность, но на вращение затрачивалось около 25 процентов всей энергии пороховых газов, что привело к потере скорости и снижению дальности стрельбы.</w:t>
      </w:r>
    </w:p>
    <w:p w14:paraId="47C15D03" w14:textId="77777777" w:rsidR="00843D2E" w:rsidRPr="00441F34" w:rsidRDefault="00843D2E" w:rsidP="00843D2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Решая проблему скорости и дальности, Петропавловский предложил смонтировать установку на самолете. Скорость са</w:t>
      </w:r>
      <w:r w:rsidRPr="00441F34">
        <w:rPr>
          <w:rFonts w:ascii="Times New Roman" w:hAnsi="Times New Roman"/>
          <w:color w:val="0070C0"/>
          <w:sz w:val="16"/>
          <w:szCs w:val="16"/>
        </w:rPr>
        <w:softHyphen/>
        <w:t>молета позволит увеличить скорость схода снаряда, и требуе</w:t>
      </w:r>
      <w:r w:rsidRPr="00441F34">
        <w:rPr>
          <w:rFonts w:ascii="Times New Roman" w:hAnsi="Times New Roman"/>
          <w:color w:val="0070C0"/>
          <w:sz w:val="16"/>
          <w:szCs w:val="16"/>
        </w:rPr>
        <w:softHyphen/>
        <w:t>мые характеристики будут достигнуты. Опыт подобной работы в ГДЛ отсутствовал. Экспериментальную установку с пакетом труб разместили на верхнем крыле учебного биплана У-1.</w:t>
      </w:r>
    </w:p>
    <w:p w14:paraId="601A1A20" w14:textId="77777777" w:rsidR="00843D2E" w:rsidRPr="00441F34" w:rsidRDefault="00843D2E" w:rsidP="00843D2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Летчики заинтересовались реактивными снарядами ГДЛ, но до принятия решения о возможности их использования в авиации требовалось провести большой объем исследований и испытаний. Артиллерийское управление требовало отчета о работе, проделанной в соответствии с заданием. В соответ</w:t>
      </w:r>
      <w:r w:rsidRPr="00441F34">
        <w:rPr>
          <w:rFonts w:ascii="Times New Roman" w:hAnsi="Times New Roman"/>
          <w:color w:val="0070C0"/>
          <w:sz w:val="16"/>
          <w:szCs w:val="16"/>
        </w:rPr>
        <w:softHyphen/>
        <w:t>ствии с заданием необходимо было создать оружие не для ави</w:t>
      </w:r>
      <w:r w:rsidRPr="00441F34">
        <w:rPr>
          <w:rFonts w:ascii="Times New Roman" w:hAnsi="Times New Roman"/>
          <w:color w:val="0070C0"/>
          <w:sz w:val="16"/>
          <w:szCs w:val="16"/>
        </w:rPr>
        <w:softHyphen/>
        <w:t>ации, а для сухопутных войск.</w:t>
      </w:r>
    </w:p>
    <w:p w14:paraId="646915E3" w14:textId="77777777" w:rsidR="00843D2E" w:rsidRPr="00441F34" w:rsidRDefault="00843D2E" w:rsidP="00843D2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Параллельно Петропавловский занялся разработкой тур</w:t>
      </w:r>
      <w:r w:rsidRPr="00441F34">
        <w:rPr>
          <w:rFonts w:ascii="Times New Roman" w:hAnsi="Times New Roman"/>
          <w:color w:val="0070C0"/>
          <w:sz w:val="16"/>
          <w:szCs w:val="16"/>
        </w:rPr>
        <w:softHyphen/>
        <w:t>бореактивных противотанковых снарядов, а Артемьев - сна</w:t>
      </w:r>
      <w:r w:rsidRPr="00441F34">
        <w:rPr>
          <w:rFonts w:ascii="Times New Roman" w:hAnsi="Times New Roman"/>
          <w:color w:val="0070C0"/>
          <w:sz w:val="16"/>
          <w:szCs w:val="16"/>
        </w:rPr>
        <w:softHyphen/>
        <w:t>рядов, стабилизируемых в полете штоком. Противотанковый снаряд мог получиться, так как не требовал большой дально</w:t>
      </w:r>
      <w:r w:rsidRPr="00441F34">
        <w:rPr>
          <w:rFonts w:ascii="Times New Roman" w:hAnsi="Times New Roman"/>
          <w:color w:val="0070C0"/>
          <w:sz w:val="16"/>
          <w:szCs w:val="16"/>
        </w:rPr>
        <w:softHyphen/>
        <w:t>сти полета. Петропавловский выбрал для него калибр 65 мил</w:t>
      </w:r>
      <w:r w:rsidRPr="00441F34">
        <w:rPr>
          <w:rFonts w:ascii="Times New Roman" w:hAnsi="Times New Roman"/>
          <w:color w:val="0070C0"/>
          <w:sz w:val="16"/>
          <w:szCs w:val="16"/>
        </w:rPr>
        <w:softHyphen/>
        <w:t>лиметров и оснастил бронебойной головной частью. Это был первый в мире проект противотанкового реактивного снаряда. Снаряды со штоком Артемьева опирались на известную с дав</w:t>
      </w:r>
      <w:r w:rsidRPr="00441F34">
        <w:rPr>
          <w:rFonts w:ascii="Times New Roman" w:hAnsi="Times New Roman"/>
          <w:color w:val="0070C0"/>
          <w:sz w:val="16"/>
          <w:szCs w:val="16"/>
        </w:rPr>
        <w:softHyphen/>
        <w:t>них пор и хорошо отработанную конструкцию ракет с длинным хвостовым стабилизатором, но снаряжались зарядами из ново</w:t>
      </w:r>
      <w:r w:rsidRPr="00441F34">
        <w:rPr>
          <w:rFonts w:ascii="Times New Roman" w:hAnsi="Times New Roman"/>
          <w:color w:val="0070C0"/>
          <w:sz w:val="16"/>
          <w:szCs w:val="16"/>
        </w:rPr>
        <w:softHyphen/>
        <w:t>го бездымного пороха. К сожалению, обе работы закончились неудачно. Малая скорость не позволяла реактивному снаря</w:t>
      </w:r>
      <w:r w:rsidRPr="00441F34">
        <w:rPr>
          <w:rFonts w:ascii="Times New Roman" w:hAnsi="Times New Roman"/>
          <w:color w:val="0070C0"/>
          <w:sz w:val="16"/>
          <w:szCs w:val="16"/>
        </w:rPr>
        <w:softHyphen/>
        <w:t xml:space="preserve">ду Петропавловского пробить танковую броню. Отказавшись в конце 1930 года от идеи снаряда со штоком, Артемьев сделал следующую запись в своем дневнике: «Громоздкость ракетного станка, неудобство поджигания ракеты </w:t>
      </w:r>
      <w:proofErr w:type="spellStart"/>
      <w:r w:rsidRPr="00441F34">
        <w:rPr>
          <w:rFonts w:ascii="Times New Roman" w:hAnsi="Times New Roman"/>
          <w:color w:val="0070C0"/>
          <w:sz w:val="16"/>
          <w:szCs w:val="16"/>
        </w:rPr>
        <w:t>палительной</w:t>
      </w:r>
      <w:proofErr w:type="spellEnd"/>
      <w:r w:rsidRPr="00441F34">
        <w:rPr>
          <w:rFonts w:ascii="Times New Roman" w:hAnsi="Times New Roman"/>
          <w:color w:val="0070C0"/>
          <w:sz w:val="16"/>
          <w:szCs w:val="16"/>
        </w:rPr>
        <w:t xml:space="preserve"> или удар</w:t>
      </w:r>
      <w:r w:rsidRPr="00441F34">
        <w:rPr>
          <w:rFonts w:ascii="Times New Roman" w:hAnsi="Times New Roman"/>
          <w:color w:val="0070C0"/>
          <w:sz w:val="16"/>
          <w:szCs w:val="16"/>
        </w:rPr>
        <w:softHyphen/>
        <w:t>ной свечой, укрепленной на длинной палке,... послужили при</w:t>
      </w:r>
      <w:r w:rsidRPr="00441F34">
        <w:rPr>
          <w:rFonts w:ascii="Times New Roman" w:hAnsi="Times New Roman"/>
          <w:color w:val="0070C0"/>
          <w:sz w:val="16"/>
          <w:szCs w:val="16"/>
        </w:rPr>
        <w:softHyphen/>
        <w:t>чиной отрицательного заключения» (23510).</w:t>
      </w:r>
    </w:p>
    <w:p w14:paraId="2E79A49F" w14:textId="77777777" w:rsidR="00843D2E" w:rsidRPr="00441F34" w:rsidRDefault="00843D2E" w:rsidP="00843D2E">
      <w:pPr>
        <w:spacing w:after="0" w:line="240" w:lineRule="auto"/>
        <w:jc w:val="both"/>
        <w:rPr>
          <w:rFonts w:ascii="Times New Roman" w:hAnsi="Times New Roman"/>
          <w:color w:val="0070C0"/>
          <w:sz w:val="16"/>
          <w:szCs w:val="16"/>
        </w:rPr>
      </w:pPr>
    </w:p>
    <w:p w14:paraId="39CB84C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FB1EE3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0C4343" w14:textId="77777777" w:rsidR="009F3EBB" w:rsidRPr="00A259BD" w:rsidRDefault="009F3EB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ноябре 1929 г. на Пленуме ЦК ВКП(б) В. В. Куйбышеву пришлось даже отметить, что иностранная техническая помощь "ввиду острого значения химии в деле обороноспособности страны, в деле конкуренции с мировыми концернами" дается нам с наибольшими трудностями и нет уверенности в том, что она достаточно доброкачественна 32 . В частности, предприятия искусственного волокна неоднократно страдали от того, что из-за границы поступало некомплектное, а порой устаревшее и некачественное оборудование. В ходе строительства иногда обнаруживалась несостоятельность иностранных проектов. С некоторыми зарубежными специалистами пришлось даже расторгнуть контракты и отказаться от их "услуг" (18301).</w:t>
      </w:r>
    </w:p>
    <w:p w14:paraId="097D63A5" w14:textId="77777777" w:rsidR="009F3EBB" w:rsidRPr="00A259BD" w:rsidRDefault="009F3EBB" w:rsidP="009236E3">
      <w:pPr>
        <w:spacing w:after="0" w:line="240" w:lineRule="auto"/>
        <w:jc w:val="both"/>
        <w:rPr>
          <w:rFonts w:ascii="Times New Roman" w:hAnsi="Times New Roman"/>
          <w:color w:val="000000" w:themeColor="text1"/>
          <w:sz w:val="16"/>
          <w:szCs w:val="16"/>
        </w:rPr>
      </w:pPr>
    </w:p>
    <w:p w14:paraId="33B82E9C" w14:textId="77777777" w:rsidR="00484989" w:rsidRPr="00A259BD" w:rsidRDefault="00484989"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В ноябре 1929 г. коллектив НАМИ, где начали создавать эскизный проект колесно-гусеничного шасси с поднимаемыми и опускаемыми автомобильными колесами, расположенными вне гусеничных лент по типу </w:t>
      </w:r>
      <w:hyperlink r:id="rId278"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 xml:space="preserve">а </w:t>
      </w:r>
      <w:proofErr w:type="spellStart"/>
      <w:r w:rsidRPr="00A259BD">
        <w:rPr>
          <w:rFonts w:ascii="Times New Roman" w:hAnsi="Times New Roman"/>
          <w:color w:val="000000" w:themeColor="text1"/>
          <w:sz w:val="16"/>
          <w:szCs w:val="16"/>
          <w:bdr w:val="none" w:sz="0" w:space="0" w:color="auto" w:frame="1"/>
        </w:rPr>
        <w:t>Фольмера</w:t>
      </w:r>
      <w:proofErr w:type="spellEnd"/>
      <w:r w:rsidRPr="00A259BD">
        <w:rPr>
          <w:rFonts w:ascii="Times New Roman" w:hAnsi="Times New Roman"/>
          <w:color w:val="000000" w:themeColor="text1"/>
          <w:sz w:val="16"/>
          <w:szCs w:val="16"/>
          <w:bdr w:val="none" w:sz="0" w:space="0" w:color="auto" w:frame="1"/>
        </w:rPr>
        <w:t>, вызвал на соцсоревнование своих коллег из КБ завода «Большевик». Завод и КБ лихорадило с производством и модернизацией </w:t>
      </w:r>
      <w:hyperlink r:id="rId279"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ов Т-18, а также разработкой новых образцов (Т-19 и Т-20) и потому для работы над эскизным проектом колесно-гусеничной </w:t>
      </w:r>
      <w:hyperlink r:id="rId280"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 xml:space="preserve">етки Т-25 весом не более 3000-3500 кг, оснащенной двигателем мощностью 40-60 л.с., вооруженной либо пулеметом во вращающейся башне, либо 37-мм пушкой в корпусе и обладающей скоростью движения не менее 40 км/ч на гусеницах и не менее 60 км/ч на колесах был выделен всего один человек – инженер-конструктор В. </w:t>
      </w:r>
      <w:proofErr w:type="spellStart"/>
      <w:r w:rsidRPr="00A259BD">
        <w:rPr>
          <w:rFonts w:ascii="Times New Roman" w:hAnsi="Times New Roman"/>
          <w:color w:val="000000" w:themeColor="text1"/>
          <w:sz w:val="16"/>
          <w:szCs w:val="16"/>
          <w:bdr w:val="none" w:sz="0" w:space="0" w:color="auto" w:frame="1"/>
        </w:rPr>
        <w:t>Симский</w:t>
      </w:r>
      <w:proofErr w:type="spellEnd"/>
      <w:r w:rsidRPr="00A259BD">
        <w:rPr>
          <w:rFonts w:ascii="Times New Roman" w:hAnsi="Times New Roman"/>
          <w:color w:val="000000" w:themeColor="text1"/>
          <w:sz w:val="16"/>
          <w:szCs w:val="16"/>
          <w:bdr w:val="none" w:sz="0" w:space="0" w:color="auto" w:frame="1"/>
        </w:rPr>
        <w:t xml:space="preserve">. Общее руководство проектированием, а также оказание инженеру В. </w:t>
      </w:r>
      <w:proofErr w:type="spellStart"/>
      <w:r w:rsidRPr="00A259BD">
        <w:rPr>
          <w:rFonts w:ascii="Times New Roman" w:hAnsi="Times New Roman"/>
          <w:color w:val="000000" w:themeColor="text1"/>
          <w:sz w:val="16"/>
          <w:szCs w:val="16"/>
          <w:bdr w:val="none" w:sz="0" w:space="0" w:color="auto" w:frame="1"/>
        </w:rPr>
        <w:t>Симскому</w:t>
      </w:r>
      <w:proofErr w:type="spellEnd"/>
      <w:r w:rsidRPr="00A259BD">
        <w:rPr>
          <w:rFonts w:ascii="Times New Roman" w:hAnsi="Times New Roman"/>
          <w:color w:val="000000" w:themeColor="text1"/>
          <w:sz w:val="16"/>
          <w:szCs w:val="16"/>
          <w:bdr w:val="none" w:sz="0" w:space="0" w:color="auto" w:frame="1"/>
        </w:rPr>
        <w:t xml:space="preserve"> необходимой консультационной помощи было поручено С. Гинзбургу.</w:t>
      </w:r>
    </w:p>
    <w:p w14:paraId="3BE0E845" w14:textId="77777777" w:rsidR="00484989" w:rsidRPr="00A259BD" w:rsidRDefault="00484989" w:rsidP="009236E3">
      <w:pPr>
        <w:shd w:val="clear" w:color="auto" w:fill="FFFFFF"/>
        <w:spacing w:after="0" w:line="240" w:lineRule="auto"/>
        <w:jc w:val="both"/>
        <w:textAlignment w:val="baseline"/>
        <w:rPr>
          <w:rFonts w:ascii="Times New Roman" w:hAnsi="Times New Roman"/>
          <w:color w:val="000000" w:themeColor="text1"/>
          <w:sz w:val="16"/>
          <w:szCs w:val="16"/>
        </w:rPr>
      </w:pPr>
      <w:r w:rsidRPr="00A259BD">
        <w:rPr>
          <w:rFonts w:ascii="Times New Roman" w:hAnsi="Times New Roman"/>
          <w:color w:val="000000" w:themeColor="text1"/>
          <w:sz w:val="16"/>
          <w:szCs w:val="16"/>
          <w:bdr w:val="none" w:sz="0" w:space="0" w:color="auto" w:frame="1"/>
        </w:rPr>
        <w:t xml:space="preserve">В отличие от своих соперников здесь выбрали иную схему перехода с колес на гусеницы – «переобуванием», что позволяло отказаться от сложных приводов поднимания/опускания корпуса и колес. При разработке эскизного проекта Т-25 В. </w:t>
      </w:r>
      <w:proofErr w:type="spellStart"/>
      <w:r w:rsidRPr="00A259BD">
        <w:rPr>
          <w:rFonts w:ascii="Times New Roman" w:hAnsi="Times New Roman"/>
          <w:color w:val="000000" w:themeColor="text1"/>
          <w:sz w:val="16"/>
          <w:szCs w:val="16"/>
          <w:bdr w:val="none" w:sz="0" w:space="0" w:color="auto" w:frame="1"/>
        </w:rPr>
        <w:t>Симскому</w:t>
      </w:r>
      <w:proofErr w:type="spellEnd"/>
      <w:r w:rsidRPr="00A259BD">
        <w:rPr>
          <w:rFonts w:ascii="Times New Roman" w:hAnsi="Times New Roman"/>
          <w:color w:val="000000" w:themeColor="text1"/>
          <w:sz w:val="16"/>
          <w:szCs w:val="16"/>
          <w:bdr w:val="none" w:sz="0" w:space="0" w:color="auto" w:frame="1"/>
        </w:rPr>
        <w:t xml:space="preserve"> предстояло решить самую сложную на тот момент задачу – как обеспечить переход с колёсного хода на гусеничного. Поскольку материалов по этой теме в СССР не было вообще </w:t>
      </w:r>
      <w:proofErr w:type="spellStart"/>
      <w:r w:rsidRPr="00A259BD">
        <w:rPr>
          <w:rFonts w:ascii="Times New Roman" w:hAnsi="Times New Roman"/>
          <w:color w:val="000000" w:themeColor="text1"/>
          <w:sz w:val="16"/>
          <w:szCs w:val="16"/>
          <w:bdr w:val="none" w:sz="0" w:space="0" w:color="auto" w:frame="1"/>
        </w:rPr>
        <w:t>Симский</w:t>
      </w:r>
      <w:proofErr w:type="spellEnd"/>
      <w:r w:rsidRPr="00A259BD">
        <w:rPr>
          <w:rFonts w:ascii="Times New Roman" w:hAnsi="Times New Roman"/>
          <w:color w:val="000000" w:themeColor="text1"/>
          <w:sz w:val="16"/>
          <w:szCs w:val="16"/>
          <w:bdr w:val="none" w:sz="0" w:space="0" w:color="auto" w:frame="1"/>
        </w:rPr>
        <w:t xml:space="preserve"> взялся за изучение убогой документации по </w:t>
      </w:r>
      <w:hyperlink r:id="rId281" w:history="1">
        <w:r w:rsidRPr="00A259BD">
          <w:rPr>
            <w:rStyle w:val="a5"/>
            <w:rFonts w:ascii="Times New Roman" w:hAnsi="Times New Roman"/>
            <w:color w:val="000000" w:themeColor="text1"/>
            <w:sz w:val="16"/>
            <w:szCs w:val="16"/>
            <w:bdr w:val="none" w:sz="0" w:space="0" w:color="auto" w:frame="1"/>
          </w:rPr>
          <w:t>танк</w:t>
        </w:r>
      </w:hyperlink>
      <w:r w:rsidRPr="00A259BD">
        <w:rPr>
          <w:rFonts w:ascii="Times New Roman" w:hAnsi="Times New Roman"/>
          <w:color w:val="000000" w:themeColor="text1"/>
          <w:sz w:val="16"/>
          <w:szCs w:val="16"/>
          <w:bdr w:val="none" w:sz="0" w:space="0" w:color="auto" w:frame="1"/>
        </w:rPr>
        <w:t xml:space="preserve">у </w:t>
      </w:r>
      <w:proofErr w:type="spellStart"/>
      <w:r w:rsidRPr="00A259BD">
        <w:rPr>
          <w:rFonts w:ascii="Times New Roman" w:hAnsi="Times New Roman"/>
          <w:color w:val="000000" w:themeColor="text1"/>
          <w:sz w:val="16"/>
          <w:szCs w:val="16"/>
          <w:bdr w:val="none" w:sz="0" w:space="0" w:color="auto" w:frame="1"/>
        </w:rPr>
        <w:t>Christi</w:t>
      </w:r>
      <w:proofErr w:type="spellEnd"/>
      <w:r w:rsidRPr="00A259BD">
        <w:rPr>
          <w:rFonts w:ascii="Times New Roman" w:hAnsi="Times New Roman"/>
          <w:color w:val="000000" w:themeColor="text1"/>
          <w:sz w:val="16"/>
          <w:szCs w:val="16"/>
          <w:bdr w:val="none" w:sz="0" w:space="0" w:color="auto" w:frame="1"/>
        </w:rPr>
        <w:t xml:space="preserve"> M1928, привезённой заместителем начальника УММ </w:t>
      </w:r>
      <w:proofErr w:type="spellStart"/>
      <w:r w:rsidRPr="00A259BD">
        <w:rPr>
          <w:rFonts w:ascii="Times New Roman" w:hAnsi="Times New Roman"/>
          <w:color w:val="000000" w:themeColor="text1"/>
          <w:sz w:val="16"/>
          <w:szCs w:val="16"/>
          <w:bdr w:val="none" w:sz="0" w:space="0" w:color="auto" w:frame="1"/>
        </w:rPr>
        <w:t>И.Халепским</w:t>
      </w:r>
      <w:proofErr w:type="spellEnd"/>
      <w:r w:rsidRPr="00A259BD">
        <w:rPr>
          <w:rFonts w:ascii="Times New Roman" w:hAnsi="Times New Roman"/>
          <w:color w:val="000000" w:themeColor="text1"/>
          <w:sz w:val="16"/>
          <w:szCs w:val="16"/>
          <w:bdr w:val="none" w:sz="0" w:space="0" w:color="auto" w:frame="1"/>
        </w:rPr>
        <w:t xml:space="preserve"> из США. По сути, имеющиеся бумаги носили рекламно-ознакомительный характер и не давали полного представления о работе нового типа движителя. Тем не менее, </w:t>
      </w:r>
      <w:proofErr w:type="spellStart"/>
      <w:r w:rsidRPr="00A259BD">
        <w:rPr>
          <w:rFonts w:ascii="Times New Roman" w:hAnsi="Times New Roman"/>
          <w:color w:val="000000" w:themeColor="text1"/>
          <w:sz w:val="16"/>
          <w:szCs w:val="16"/>
          <w:bdr w:val="none" w:sz="0" w:space="0" w:color="auto" w:frame="1"/>
        </w:rPr>
        <w:t>Симскому</w:t>
      </w:r>
      <w:proofErr w:type="spellEnd"/>
      <w:r w:rsidRPr="00A259BD">
        <w:rPr>
          <w:rFonts w:ascii="Times New Roman" w:hAnsi="Times New Roman"/>
          <w:color w:val="000000" w:themeColor="text1"/>
          <w:sz w:val="16"/>
          <w:szCs w:val="16"/>
          <w:bdr w:val="none" w:sz="0" w:space="0" w:color="auto" w:frame="1"/>
        </w:rPr>
        <w:t xml:space="preserve"> удалось не только спроектировать собственный аналог, но и вложиться в требования технического задания (21513).</w:t>
      </w:r>
    </w:p>
    <w:p w14:paraId="3E3B717D" w14:textId="77777777" w:rsidR="00484989" w:rsidRPr="00A259BD" w:rsidRDefault="00484989" w:rsidP="009236E3">
      <w:pPr>
        <w:spacing w:after="0" w:line="240" w:lineRule="auto"/>
        <w:jc w:val="both"/>
        <w:rPr>
          <w:rFonts w:ascii="Times New Roman" w:hAnsi="Times New Roman"/>
          <w:color w:val="000000" w:themeColor="text1"/>
          <w:sz w:val="16"/>
          <w:szCs w:val="16"/>
          <w:bdr w:val="none" w:sz="0" w:space="0" w:color="auto" w:frame="1"/>
        </w:rPr>
      </w:pPr>
    </w:p>
    <w:p w14:paraId="2A645FA0" w14:textId="77777777" w:rsidR="009F3EBB" w:rsidRPr="00A259BD" w:rsidRDefault="009F3EBB"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Амторг заключил договор с </w:t>
      </w:r>
      <w:proofErr w:type="spellStart"/>
      <w:r w:rsidRPr="00A259BD">
        <w:rPr>
          <w:rFonts w:ascii="Times New Roman" w:hAnsi="Times New Roman"/>
          <w:color w:val="000000" w:themeColor="text1"/>
          <w:sz w:val="16"/>
          <w:szCs w:val="16"/>
        </w:rPr>
        <w:t>Franc</w:t>
      </w:r>
      <w:proofErr w:type="spellEnd"/>
      <w:r w:rsidRPr="00A259BD">
        <w:rPr>
          <w:rFonts w:ascii="Times New Roman" w:hAnsi="Times New Roman"/>
          <w:color w:val="000000" w:themeColor="text1"/>
          <w:sz w:val="16"/>
          <w:szCs w:val="16"/>
        </w:rPr>
        <w:t xml:space="preserve"> D. Chase на техническое и инженерное содействие в организации тракторного завода (3447).</w:t>
      </w:r>
    </w:p>
    <w:p w14:paraId="67B536D1" w14:textId="77777777" w:rsidR="009F3EBB" w:rsidRPr="00A259BD" w:rsidRDefault="009F3EBB" w:rsidP="009236E3">
      <w:pPr>
        <w:autoSpaceDE w:val="0"/>
        <w:autoSpaceDN w:val="0"/>
        <w:adjustRightInd w:val="0"/>
        <w:spacing w:after="0" w:line="240" w:lineRule="auto"/>
        <w:jc w:val="both"/>
        <w:rPr>
          <w:rFonts w:ascii="Times New Roman" w:hAnsi="Times New Roman"/>
          <w:color w:val="000000" w:themeColor="text1"/>
          <w:sz w:val="16"/>
          <w:szCs w:val="16"/>
        </w:rPr>
      </w:pPr>
    </w:p>
    <w:p w14:paraId="2E04EA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г. </w:t>
      </w:r>
      <w:proofErr w:type="spellStart"/>
      <w:r w:rsidRPr="00A259BD">
        <w:rPr>
          <w:rFonts w:ascii="Times New Roman" w:hAnsi="Times New Roman"/>
          <w:color w:val="000000" w:themeColor="text1"/>
          <w:sz w:val="16"/>
          <w:szCs w:val="16"/>
        </w:rPr>
        <w:t>Главметстроем</w:t>
      </w:r>
      <w:proofErr w:type="spellEnd"/>
      <w:r w:rsidRPr="00A259BD">
        <w:rPr>
          <w:rFonts w:ascii="Times New Roman" w:hAnsi="Times New Roman"/>
          <w:color w:val="000000" w:themeColor="text1"/>
          <w:sz w:val="16"/>
          <w:szCs w:val="16"/>
        </w:rPr>
        <w:t xml:space="preserve"> ВСНХ было определено построить к 1.10.1932  г. комбайновый завод мощностью 15 тыс. комбайнов в год с последующим увеличением до 25 тыс. В 12.1929 г. правительством приняло решение о подготовке к строительству комбайнового завода в Новосибирске. Завод «</w:t>
      </w:r>
      <w:proofErr w:type="spellStart"/>
      <w:r w:rsidRPr="00A259BD">
        <w:rPr>
          <w:rFonts w:ascii="Times New Roman" w:hAnsi="Times New Roman"/>
          <w:color w:val="000000" w:themeColor="text1"/>
          <w:sz w:val="16"/>
          <w:szCs w:val="16"/>
        </w:rPr>
        <w:t>Сибкомбайн</w:t>
      </w:r>
      <w:proofErr w:type="spellEnd"/>
      <w:r w:rsidRPr="00A259BD">
        <w:rPr>
          <w:rFonts w:ascii="Times New Roman" w:hAnsi="Times New Roman"/>
          <w:color w:val="000000" w:themeColor="text1"/>
          <w:sz w:val="16"/>
          <w:szCs w:val="16"/>
        </w:rPr>
        <w:t>» (Комбинат № 179 НКОП, НКБ, п/я 155, завод «</w:t>
      </w:r>
      <w:proofErr w:type="spellStart"/>
      <w:r w:rsidRPr="00A259BD">
        <w:rPr>
          <w:rFonts w:ascii="Times New Roman" w:hAnsi="Times New Roman"/>
          <w:color w:val="000000" w:themeColor="text1"/>
          <w:sz w:val="16"/>
          <w:szCs w:val="16"/>
        </w:rPr>
        <w:t>Сибкомбайн</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Сибтекстилыиашстрой</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Сибметаллстрой</w:t>
      </w:r>
      <w:proofErr w:type="spellEnd"/>
      <w:r w:rsidRPr="00A259BD">
        <w:rPr>
          <w:rFonts w:ascii="Times New Roman" w:hAnsi="Times New Roman"/>
          <w:color w:val="000000" w:themeColor="text1"/>
          <w:sz w:val="16"/>
          <w:szCs w:val="16"/>
        </w:rPr>
        <w:t xml:space="preserve">», завод «Сибсельмаш», ПО, ГУП «Машзавод ПО «Сибсельмаш» </w:t>
      </w:r>
      <w:proofErr w:type="spellStart"/>
      <w:r w:rsidRPr="00A259BD">
        <w:rPr>
          <w:rFonts w:ascii="Times New Roman" w:hAnsi="Times New Roman"/>
          <w:color w:val="000000" w:themeColor="text1"/>
          <w:sz w:val="16"/>
          <w:szCs w:val="16"/>
        </w:rPr>
        <w:t>Росбоеприпаса</w:t>
      </w:r>
      <w:proofErr w:type="spellEnd"/>
      <w:r w:rsidRPr="00A259BD">
        <w:rPr>
          <w:rFonts w:ascii="Times New Roman" w:hAnsi="Times New Roman"/>
          <w:color w:val="000000" w:themeColor="text1"/>
          <w:sz w:val="16"/>
          <w:szCs w:val="16"/>
        </w:rPr>
        <w:t>, ОАО «Новосибирское ПО «Сибсельмаш» /630031  г. Новосибирск/) начал строиться в 1930 г. В 07.1930 г. были построены временные мастерские, начато строительство заводоуправления, ремонтно- механического цеха и кузницы. Первый комбайн построен в 1931 г. В 11.1932 г. СТО принял решение реконструировать «</w:t>
      </w:r>
      <w:proofErr w:type="spellStart"/>
      <w:r w:rsidRPr="00A259BD">
        <w:rPr>
          <w:rFonts w:ascii="Times New Roman" w:hAnsi="Times New Roman"/>
          <w:color w:val="000000" w:themeColor="text1"/>
          <w:sz w:val="16"/>
          <w:szCs w:val="16"/>
        </w:rPr>
        <w:t>Сибкомбайн</w:t>
      </w:r>
      <w:proofErr w:type="spellEnd"/>
      <w:r w:rsidRPr="00A259BD">
        <w:rPr>
          <w:rFonts w:ascii="Times New Roman" w:hAnsi="Times New Roman"/>
          <w:color w:val="000000" w:themeColor="text1"/>
          <w:sz w:val="16"/>
          <w:szCs w:val="16"/>
        </w:rPr>
        <w:t>» и поручить ему выпуск текстильных машин с одновременным выпуском 5000 комбайнов в год. Завод был переименован в «</w:t>
      </w:r>
      <w:proofErr w:type="spellStart"/>
      <w:r w:rsidRPr="00A259BD">
        <w:rPr>
          <w:rFonts w:ascii="Times New Roman" w:hAnsi="Times New Roman"/>
          <w:color w:val="000000" w:themeColor="text1"/>
          <w:sz w:val="16"/>
          <w:szCs w:val="16"/>
        </w:rPr>
        <w:t>Сибтекстильмашстрой</w:t>
      </w:r>
      <w:proofErr w:type="spellEnd"/>
      <w:r w:rsidRPr="00A259BD">
        <w:rPr>
          <w:rFonts w:ascii="Times New Roman" w:hAnsi="Times New Roman"/>
          <w:color w:val="000000" w:themeColor="text1"/>
          <w:sz w:val="16"/>
          <w:szCs w:val="16"/>
        </w:rPr>
        <w:t>», а в 12.1933 г. - в «</w:t>
      </w:r>
      <w:proofErr w:type="spellStart"/>
      <w:r w:rsidRPr="00A259BD">
        <w:rPr>
          <w:rFonts w:ascii="Times New Roman" w:hAnsi="Times New Roman"/>
          <w:color w:val="000000" w:themeColor="text1"/>
          <w:sz w:val="16"/>
          <w:szCs w:val="16"/>
        </w:rPr>
        <w:t>Сибметаллстрой</w:t>
      </w:r>
      <w:proofErr w:type="spellEnd"/>
      <w:r w:rsidRPr="00A259BD">
        <w:rPr>
          <w:rFonts w:ascii="Times New Roman" w:hAnsi="Times New Roman"/>
          <w:color w:val="000000" w:themeColor="text1"/>
          <w:sz w:val="16"/>
          <w:szCs w:val="16"/>
        </w:rPr>
        <w:t>». В 1932- 33  г. введены в строй цеха: инструментальный, ремонтно-механический, деревообрабатывающий, литейный и транспортный. К 1934 г. «</w:t>
      </w:r>
      <w:proofErr w:type="spellStart"/>
      <w:r w:rsidRPr="00A259BD">
        <w:rPr>
          <w:rFonts w:ascii="Times New Roman" w:hAnsi="Times New Roman"/>
          <w:color w:val="000000" w:themeColor="text1"/>
          <w:sz w:val="16"/>
          <w:szCs w:val="16"/>
        </w:rPr>
        <w:t>Сибметаллстрой</w:t>
      </w:r>
      <w:proofErr w:type="spellEnd"/>
      <w:r w:rsidRPr="00A259BD">
        <w:rPr>
          <w:rFonts w:ascii="Times New Roman" w:hAnsi="Times New Roman"/>
          <w:color w:val="000000" w:themeColor="text1"/>
          <w:sz w:val="16"/>
          <w:szCs w:val="16"/>
        </w:rPr>
        <w:t>» становится машиностроительным заводом, выпускающим оборудование для текстильной промышленности, автотракторные детали, станки, мелкие и средние двигатели. В 1934-36 г. завод освоил выпуск запчастей к тракторам, автомобилям и текстильным машинам, оборудование для водного и железнодорожного транспорта, с 1937 г. начато освоение выпуска станков.</w:t>
      </w:r>
    </w:p>
    <w:p w14:paraId="0DB3BC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пр. НКОП № </w:t>
      </w:r>
      <w:proofErr w:type="spellStart"/>
      <w:r w:rsidRPr="00A259BD">
        <w:rPr>
          <w:rFonts w:ascii="Times New Roman" w:hAnsi="Times New Roman"/>
          <w:color w:val="000000" w:themeColor="text1"/>
          <w:sz w:val="16"/>
          <w:szCs w:val="16"/>
        </w:rPr>
        <w:t>Обсс</w:t>
      </w:r>
      <w:proofErr w:type="spellEnd"/>
      <w:r w:rsidRPr="00A259BD">
        <w:rPr>
          <w:rFonts w:ascii="Times New Roman" w:hAnsi="Times New Roman"/>
          <w:color w:val="000000" w:themeColor="text1"/>
          <w:sz w:val="16"/>
          <w:szCs w:val="16"/>
        </w:rPr>
        <w:t xml:space="preserve"> от 30.12.1936 г. «</w:t>
      </w:r>
      <w:proofErr w:type="spellStart"/>
      <w:r w:rsidRPr="00A259BD">
        <w:rPr>
          <w:rFonts w:ascii="Times New Roman" w:hAnsi="Times New Roman"/>
          <w:color w:val="000000" w:themeColor="text1"/>
          <w:sz w:val="16"/>
          <w:szCs w:val="16"/>
        </w:rPr>
        <w:t>Сибметаллстрой</w:t>
      </w:r>
      <w:proofErr w:type="spellEnd"/>
      <w:r w:rsidRPr="00A259BD">
        <w:rPr>
          <w:rFonts w:ascii="Times New Roman" w:hAnsi="Times New Roman"/>
          <w:color w:val="000000" w:themeColor="text1"/>
          <w:sz w:val="16"/>
          <w:szCs w:val="16"/>
        </w:rPr>
        <w:t>» переименован в завод № 179. В 02-08.1937 г. - в ведении 4ГУ, по пр. № 0180 от 15.08.1937 г. передан в новое 13ГУ. В 02.1939 г. комбинат № 179 13ГУ НКОП передан в ведение 13ГУ НКБ.</w:t>
      </w:r>
      <w:r w:rsidRPr="00A259BD">
        <w:rPr>
          <w:rFonts w:ascii="Times New Roman" w:hAnsi="Times New Roman"/>
          <w:color w:val="000000" w:themeColor="text1"/>
          <w:sz w:val="16"/>
          <w:szCs w:val="16"/>
          <w:vertAlign w:val="superscript"/>
        </w:rPr>
        <w:t>132</w:t>
      </w:r>
    </w:p>
    <w:p w14:paraId="435B7F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НКОП № 0025 от 4.02.1937 г. комбинату предписано к 1.01.1938 г. создать мощности по выпуску корпусов: 76-мм снарядов - 2,5 млн. шт. в год; взрывателей - 2,5 млн. шт.</w:t>
      </w:r>
    </w:p>
    <w:p w14:paraId="2834C6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Приказом № 0222 от 28.09.1937 г. заводу была установлена программа по выпуску в 1938 г. 100 токарно- винторезных станков 161-А и спецмашин: для обжима оболочек ПЛ-25 - 100, для </w:t>
      </w:r>
      <w:proofErr w:type="spellStart"/>
      <w:r w:rsidRPr="00A259BD">
        <w:rPr>
          <w:rFonts w:ascii="Times New Roman" w:hAnsi="Times New Roman"/>
          <w:color w:val="000000" w:themeColor="text1"/>
          <w:sz w:val="16"/>
          <w:szCs w:val="16"/>
        </w:rPr>
        <w:t>переобжима</w:t>
      </w:r>
      <w:proofErr w:type="spellEnd"/>
      <w:r w:rsidRPr="00A259BD">
        <w:rPr>
          <w:rFonts w:ascii="Times New Roman" w:hAnsi="Times New Roman"/>
          <w:color w:val="000000" w:themeColor="text1"/>
          <w:sz w:val="16"/>
          <w:szCs w:val="16"/>
        </w:rPr>
        <w:t xml:space="preserve"> гильз - 40, для пробивки затравочных отверстий - 128, </w:t>
      </w:r>
      <w:proofErr w:type="spellStart"/>
      <w:r w:rsidRPr="00A259BD">
        <w:rPr>
          <w:rFonts w:ascii="Times New Roman" w:hAnsi="Times New Roman"/>
          <w:color w:val="000000" w:themeColor="text1"/>
          <w:sz w:val="16"/>
          <w:szCs w:val="16"/>
        </w:rPr>
        <w:t>электроотжига</w:t>
      </w:r>
      <w:proofErr w:type="spellEnd"/>
      <w:r w:rsidRPr="00A259BD">
        <w:rPr>
          <w:rFonts w:ascii="Times New Roman" w:hAnsi="Times New Roman"/>
          <w:color w:val="000000" w:themeColor="text1"/>
          <w:sz w:val="16"/>
          <w:szCs w:val="16"/>
        </w:rPr>
        <w:t xml:space="preserve"> - 12.</w:t>
      </w:r>
    </w:p>
    <w:p w14:paraId="0B9EBC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 00146 от 2.07.1937 г. требовалось к 1.01.1938 г.: закончить постройку: отделений холодной обработки и кузнечно-прессового корпуса «С» (снарядного); корпуса «В-1» (взрыватели); корпуса «П» (патронного); корпуса № 5 инструментального цеха; начать строительство гильзового и металлопрокатного цехов; на площадке № 2 начать строительство цехов первого производства с вводом мощностей по снаряжению 500 млн. патронов в 1 квартале 1938 г. «В связи с неудовлетворительными темпами работ» 13/20.01.1938 г. вышел приказ № Юс провести обследование строительства комбината.</w:t>
      </w:r>
    </w:p>
    <w:p w14:paraId="63BE34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составе комбината (1937 г.): корпус № 30 (термическое отделение и кузница), № 25 (ремонтно-механический цех); объекты: № 1- «С», 3- «П», 27- «В», 4- «Г», 2- литейный цех, 5- инструментальный, 30- кузнечно- термический, 21- лаборатория, 31- экспериментальный.</w:t>
      </w:r>
    </w:p>
    <w:p w14:paraId="12E1C0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Приказом № 1 </w:t>
      </w:r>
      <w:proofErr w:type="spellStart"/>
      <w:r w:rsidRPr="00A259BD">
        <w:rPr>
          <w:rFonts w:ascii="Times New Roman" w:hAnsi="Times New Roman"/>
          <w:color w:val="000000" w:themeColor="text1"/>
          <w:sz w:val="16"/>
          <w:szCs w:val="16"/>
        </w:rPr>
        <w:t>Юсс</w:t>
      </w:r>
      <w:proofErr w:type="spellEnd"/>
      <w:r w:rsidRPr="00A259BD">
        <w:rPr>
          <w:rFonts w:ascii="Times New Roman" w:hAnsi="Times New Roman"/>
          <w:color w:val="000000" w:themeColor="text1"/>
          <w:sz w:val="16"/>
          <w:szCs w:val="16"/>
        </w:rPr>
        <w:t xml:space="preserve"> от 26.03.1938 г. комбинату выдано </w:t>
      </w:r>
      <w:proofErr w:type="spellStart"/>
      <w:r w:rsidRPr="00A259BD">
        <w:rPr>
          <w:rFonts w:ascii="Times New Roman" w:hAnsi="Times New Roman"/>
          <w:color w:val="000000" w:themeColor="text1"/>
          <w:sz w:val="16"/>
          <w:szCs w:val="16"/>
        </w:rPr>
        <w:t>мобзадание</w:t>
      </w:r>
      <w:proofErr w:type="spellEnd"/>
      <w:r w:rsidRPr="00A259BD">
        <w:rPr>
          <w:rFonts w:ascii="Times New Roman" w:hAnsi="Times New Roman"/>
          <w:color w:val="000000" w:themeColor="text1"/>
          <w:sz w:val="16"/>
          <w:szCs w:val="16"/>
        </w:rPr>
        <w:t xml:space="preserve"> по выпуску 12,7-мм патронов.</w:t>
      </w:r>
    </w:p>
    <w:p w14:paraId="79A8C6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Перед войной одновременно вводились в строй производства: № 1- снарядное (мощность- 11 млн. осколочно- фугасных снарядов 76-, 122- и 152-мм в год); № 2- </w:t>
      </w:r>
      <w:proofErr w:type="spellStart"/>
      <w:r w:rsidRPr="00A259BD">
        <w:rPr>
          <w:rFonts w:ascii="Times New Roman" w:hAnsi="Times New Roman"/>
          <w:color w:val="000000" w:themeColor="text1"/>
          <w:sz w:val="16"/>
          <w:szCs w:val="16"/>
        </w:rPr>
        <w:t>взрывательное</w:t>
      </w:r>
      <w:proofErr w:type="spellEnd"/>
      <w:r w:rsidRPr="00A259BD">
        <w:rPr>
          <w:rFonts w:ascii="Times New Roman" w:hAnsi="Times New Roman"/>
          <w:color w:val="000000" w:themeColor="text1"/>
          <w:sz w:val="16"/>
          <w:szCs w:val="16"/>
        </w:rPr>
        <w:t xml:space="preserve"> (16 млн. взрывателей типа ГВМЗ в год); № 3- патронное (1,5 млрд. 7,62-мм и 100 млн. 12,7-мм патронов в год); № 4а- второе снарядное (1939 г., полностью на оборудовании чешской фирмы "</w:t>
      </w:r>
      <w:r w:rsidRPr="00A259BD">
        <w:rPr>
          <w:rFonts w:ascii="Times New Roman" w:hAnsi="Times New Roman"/>
          <w:color w:val="000000" w:themeColor="text1"/>
          <w:sz w:val="16"/>
          <w:szCs w:val="16"/>
          <w:lang w:val="en-US"/>
        </w:rPr>
        <w:t>Skoda</w:t>
      </w:r>
      <w:r w:rsidRPr="00A259BD">
        <w:rPr>
          <w:rFonts w:ascii="Times New Roman" w:hAnsi="Times New Roman"/>
          <w:color w:val="000000" w:themeColor="text1"/>
          <w:sz w:val="16"/>
          <w:szCs w:val="16"/>
        </w:rPr>
        <w:t>", мощность- 2 млн. 122- и 152-мм снарядов в год); № 5- металлургическое (прокатное, заложено в 1939 г., мощностью 220 тыс. т биметаллической ленты в год). Кроме того, создавались производства: инструментальное, тарное, газогенераторное, компрессорное; ТЭЦ и др. объекты. Планировалось также создать собственные снаряжательное производство и испытательный полигон. Имел проектную мощность по выпуску 40-45% всей продукции НКБ, однако строительство шло тяжело, не хватало оборудования. 13.06.1940 г. Комитетом обороны принято решение о форсировании строительства комбината № 179 НКБ, по которому строительство должно быть закончено к 1.12.1941 г. Достроен комбинат в конце 1942 г. В 1940 г. начат выпуск снарядов, взрывателей и патронов. Пост. ГКО № 4779 от 15.12.1943 г. для работы на комбинате выделены военнослужащие, негодные к строевой службе.</w:t>
      </w:r>
    </w:p>
    <w:p w14:paraId="5AD3CB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началом войны сюда эвакуировано 15 предприятий НКБ, влитых в состав комбината: в т.ч. по Постановлению ГКО № 99сс от 11.07.1941 г. завод № 77; основная часть завода № 187 (производство 20-, 57-, 76- и 152-мм орудийных гильз, 20- и 23-мм корпусов снарядов, всего 1670 ед. оборудования, 2300 чел.), к 30.12.1941 г. прибыло 1136 ед., часть его смонтирована и введена в строй, к 30.01.1942 г. восстановлено производство мощностью: орудийные гильзы: 20-мм - 18 млн. шт. в год, 57-мм - 1 млн. шт., 76-мм - 2 млн. шт.; часть завода № 65 (производство 45-мм, 57-мм и 122-м снарядов, всего 1529 ед. оборудования, 1890 чел.), к 30.12.1941 г. основное количество оборудования прибыло, часть его смонтирована и введена в строй, к 30.01.1942 г. восстановлено производство корпусов: 45-мм - 840 тыс. шт. в год, 76-мм - 400 тыс. шт., 122-мм - 1 млн. шт., затем оборудование перепрофилировано на выпуск 120-мм мин и </w:t>
      </w:r>
      <w:r w:rsidRPr="00A259BD">
        <w:rPr>
          <w:rFonts w:ascii="Times New Roman" w:hAnsi="Times New Roman"/>
          <w:color w:val="000000" w:themeColor="text1"/>
          <w:sz w:val="16"/>
          <w:szCs w:val="16"/>
          <w:lang w:val="en-US"/>
        </w:rPr>
        <w:t>PC</w:t>
      </w:r>
      <w:r w:rsidRPr="00A259BD">
        <w:rPr>
          <w:rFonts w:ascii="Times New Roman" w:hAnsi="Times New Roman"/>
          <w:color w:val="000000" w:themeColor="text1"/>
          <w:sz w:val="16"/>
          <w:szCs w:val="16"/>
        </w:rPr>
        <w:t xml:space="preserve"> М-8; часть завода № 70 (производство 76-мм дистанционных гранат, 120 ед. оборудования), к 30.12.1941 г. прибыло лишь 14 ед. 22.09.1941 г. вышло постановление ГКО № 704 о комбинате № 179. Позже из </w:t>
      </w:r>
      <w:r w:rsidRPr="00A259BD">
        <w:rPr>
          <w:rFonts w:ascii="Times New Roman" w:hAnsi="Times New Roman"/>
          <w:color w:val="000000" w:themeColor="text1"/>
          <w:sz w:val="16"/>
          <w:szCs w:val="16"/>
        </w:rPr>
        <w:lastRenderedPageBreak/>
        <w:t>состава комбината выделилось 5 самостоятельных заводов: № 188, № 556, № 677, металлургический № 702 на базе прокатного производства, вероятно, также завод № 325.</w:t>
      </w:r>
    </w:p>
    <w:p w14:paraId="0A2C43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12.1942-09.1944 г. - в ведении 4ГУ НКБ.</w:t>
      </w:r>
    </w:p>
    <w:p w14:paraId="5F29A4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03.1942 г. заводу поручено разработать осколочную гранату для «двухфунтовой английской пушки» танка «Валентайн». 25.10.1944 г. вышло распоряжение ГКО № 6774 о мерах по изготовлению 200 тыс. корпусов 76-мм снарядов на комбинате в 4-м квартале 1944 г.</w:t>
      </w:r>
    </w:p>
    <w:p w14:paraId="5BA498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Имел наименование «п/я 155». В 1960-е  г.- в ведении Управления точного машиностроения Западно- Сибирского совнархоза.</w:t>
      </w:r>
    </w:p>
    <w:p w14:paraId="5486D7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Указу Президента РФ № 1009 от 4.08.2004 г. ОАО вошло в число стратегических оборонных предприятий.</w:t>
      </w:r>
    </w:p>
    <w:p w14:paraId="53F7BA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(1940 г.)- 5310 чел., (1942 г.)- 20.500 чел., (12.1942 г.)- 17690 чел.</w:t>
      </w:r>
      <w:r w:rsidRPr="00A259BD">
        <w:rPr>
          <w:rFonts w:ascii="Times New Roman" w:hAnsi="Times New Roman"/>
          <w:color w:val="000000" w:themeColor="text1"/>
          <w:sz w:val="16"/>
          <w:szCs w:val="16"/>
          <w:vertAlign w:val="superscript"/>
        </w:rPr>
        <w:t>132</w:t>
      </w:r>
    </w:p>
    <w:p w14:paraId="61BF30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(1930 г.-)- А.И. </w:t>
      </w:r>
      <w:proofErr w:type="spellStart"/>
      <w:r w:rsidRPr="00A259BD">
        <w:rPr>
          <w:rFonts w:ascii="Times New Roman" w:hAnsi="Times New Roman"/>
          <w:color w:val="000000" w:themeColor="text1"/>
          <w:sz w:val="16"/>
          <w:szCs w:val="16"/>
        </w:rPr>
        <w:t>Морин</w:t>
      </w:r>
      <w:proofErr w:type="spellEnd"/>
      <w:r w:rsidRPr="00A259BD">
        <w:rPr>
          <w:rFonts w:ascii="Times New Roman" w:hAnsi="Times New Roman"/>
          <w:color w:val="000000" w:themeColor="text1"/>
          <w:sz w:val="16"/>
          <w:szCs w:val="16"/>
        </w:rPr>
        <w:t xml:space="preserve">, (-04-14.07.1937 г.)- А.В. Белов (снят), (15.07-10.1937 г.-&gt; А.В. Захаров, (1942- 43 г.)-  Г.И. Ивановский (зам. НКБ), (-11.1943-46 г.)- г-м А.В. </w:t>
      </w:r>
      <w:proofErr w:type="spellStart"/>
      <w:r w:rsidRPr="00A259BD">
        <w:rPr>
          <w:rFonts w:ascii="Times New Roman" w:hAnsi="Times New Roman"/>
          <w:color w:val="000000" w:themeColor="text1"/>
          <w:sz w:val="16"/>
          <w:szCs w:val="16"/>
        </w:rPr>
        <w:t>Саханицкий</w:t>
      </w:r>
      <w:proofErr w:type="spellEnd"/>
      <w:r w:rsidRPr="00A259BD">
        <w:rPr>
          <w:rFonts w:ascii="Times New Roman" w:hAnsi="Times New Roman"/>
          <w:color w:val="000000" w:themeColor="text1"/>
          <w:sz w:val="16"/>
          <w:szCs w:val="16"/>
        </w:rPr>
        <w:t>.</w:t>
      </w:r>
    </w:p>
    <w:p w14:paraId="7EC741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 строительства (-06-07.1937 г.)- А.В. Белов, (16.08.1937 г.-)- А.В. Захаров. Зам. директора (- 28.02.1937 г.)- Б.А. </w:t>
      </w:r>
      <w:proofErr w:type="spellStart"/>
      <w:r w:rsidRPr="00A259BD">
        <w:rPr>
          <w:rFonts w:ascii="Times New Roman" w:hAnsi="Times New Roman"/>
          <w:color w:val="000000" w:themeColor="text1"/>
          <w:sz w:val="16"/>
          <w:szCs w:val="16"/>
        </w:rPr>
        <w:t>Мощицкий</w:t>
      </w:r>
      <w:proofErr w:type="spellEnd"/>
      <w:r w:rsidRPr="00A259BD">
        <w:rPr>
          <w:rFonts w:ascii="Times New Roman" w:hAnsi="Times New Roman"/>
          <w:color w:val="000000" w:themeColor="text1"/>
          <w:sz w:val="16"/>
          <w:szCs w:val="16"/>
        </w:rPr>
        <w:t>, (06.1937 г.)- А.А. Калинин.</w:t>
      </w:r>
    </w:p>
    <w:p w14:paraId="3D3586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начальника строительства (15.06.1938 г.-)- С.К. Полухин.</w:t>
      </w:r>
    </w:p>
    <w:p w14:paraId="4966B2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инженер (-28.02.1937 г.)- Б .А. </w:t>
      </w:r>
      <w:proofErr w:type="spellStart"/>
      <w:r w:rsidRPr="00A259BD">
        <w:rPr>
          <w:rFonts w:ascii="Times New Roman" w:hAnsi="Times New Roman"/>
          <w:color w:val="000000" w:themeColor="text1"/>
          <w:sz w:val="16"/>
          <w:szCs w:val="16"/>
        </w:rPr>
        <w:t>Мощицкий</w:t>
      </w:r>
      <w:proofErr w:type="spellEnd"/>
      <w:r w:rsidRPr="00A259BD">
        <w:rPr>
          <w:rFonts w:ascii="Times New Roman" w:hAnsi="Times New Roman"/>
          <w:color w:val="000000" w:themeColor="text1"/>
          <w:sz w:val="16"/>
          <w:szCs w:val="16"/>
        </w:rPr>
        <w:t>, (06.1937 г.)- А.А. Калинин, (15.06.1938 г.-)- С.К. Полухин.</w:t>
      </w:r>
    </w:p>
    <w:p w14:paraId="03CFE4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Начальники отделов: (09.1938 г.)- Роганов.</w:t>
      </w:r>
      <w:r w:rsidRPr="00A259BD">
        <w:rPr>
          <w:rFonts w:ascii="Times New Roman" w:hAnsi="Times New Roman"/>
          <w:color w:val="000000" w:themeColor="text1"/>
          <w:sz w:val="16"/>
          <w:szCs w:val="16"/>
          <w:vertAlign w:val="superscript"/>
        </w:rPr>
        <w:t>139</w:t>
      </w:r>
    </w:p>
    <w:p w14:paraId="5972CB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станки: токарно-винторезный 161-А (1937-); спецмашины </w:t>
      </w:r>
      <w:r w:rsidRPr="00A259BD">
        <w:rPr>
          <w:rFonts w:ascii="Times New Roman" w:hAnsi="Times New Roman"/>
          <w:color w:val="000000" w:themeColor="text1"/>
          <w:sz w:val="16"/>
          <w:szCs w:val="16"/>
          <w:lang w:val="en-US"/>
        </w:rPr>
        <w:t>IIJI</w:t>
      </w:r>
      <w:r w:rsidRPr="00A259BD">
        <w:rPr>
          <w:rFonts w:ascii="Times New Roman" w:hAnsi="Times New Roman"/>
          <w:color w:val="000000" w:themeColor="text1"/>
          <w:sz w:val="16"/>
          <w:szCs w:val="16"/>
        </w:rPr>
        <w:t xml:space="preserve">-25 (1937-), П-30, ЭО (1940-); снаряды: 76-мм (1940-44-) всего (ВОВ)- 125 млн., подкалиберные бронебойные 45-мм, 85-мм (1942-43-); мины; взрыватели: КТМ-1, ГВМЗ (1940-); ЗУР В-600П (С-125) (ВОВ); авиационная противолодочная ракета </w:t>
      </w:r>
      <w:r w:rsidRPr="00A259BD">
        <w:rPr>
          <w:rFonts w:ascii="Times New Roman" w:hAnsi="Times New Roman"/>
          <w:color w:val="000000" w:themeColor="text1"/>
          <w:sz w:val="16"/>
          <w:szCs w:val="16"/>
          <w:lang w:val="en-US"/>
        </w:rPr>
        <w:t>AIIP</w:t>
      </w:r>
      <w:r w:rsidRPr="00A259BD">
        <w:rPr>
          <w:rFonts w:ascii="Times New Roman" w:hAnsi="Times New Roman"/>
          <w:color w:val="000000" w:themeColor="text1"/>
          <w:sz w:val="16"/>
          <w:szCs w:val="16"/>
        </w:rPr>
        <w:t>-1 «Кондор» (-1974)- 263; задвижки, вентили, фланцы (2000-е).</w:t>
      </w:r>
    </w:p>
    <w:p w14:paraId="23F9A0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СКБ-179 МОП /г. Новосибирск/</w:t>
      </w:r>
    </w:p>
    <w:p w14:paraId="3A91E1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Начальники бюро: (-1966 г.)- Е.К. Юровский (11982).</w:t>
      </w:r>
    </w:p>
    <w:p w14:paraId="098F2F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1E9279" w14:textId="77777777" w:rsidR="00516617" w:rsidRPr="00A259BD" w:rsidRDefault="00516617"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г. состоялось заседание коллегии </w:t>
      </w:r>
      <w:proofErr w:type="spellStart"/>
      <w:r w:rsidRPr="00A259BD">
        <w:rPr>
          <w:rFonts w:ascii="Times New Roman" w:hAnsi="Times New Roman"/>
          <w:color w:val="000000" w:themeColor="text1"/>
          <w:sz w:val="16"/>
          <w:szCs w:val="16"/>
        </w:rPr>
        <w:t>Главметстроя</w:t>
      </w:r>
      <w:proofErr w:type="spellEnd"/>
      <w:r w:rsidRPr="00A259BD">
        <w:rPr>
          <w:rFonts w:ascii="Times New Roman" w:hAnsi="Times New Roman"/>
          <w:color w:val="000000" w:themeColor="text1"/>
          <w:sz w:val="16"/>
          <w:szCs w:val="16"/>
        </w:rPr>
        <w:t xml:space="preserve"> ВСНХ СССР, на котором была принята программа — завершить строительство к 1 октября 1932 г., создать производственные мощности для выпуска 15 тыс. комбайнов в год с последующим увеличением до 25 тыс. Ставилась конкретная задача — к сельскохозяйственному сезону 1933 г. выпустить 2 200 сеялок, 4 500 сенокосилок и 3 000 комбайнов. Именно в этой технике испытывало острый дефицит сельское хозяйство края (11591).</w:t>
      </w:r>
    </w:p>
    <w:p w14:paraId="10E61CA7" w14:textId="77777777" w:rsidR="00516617" w:rsidRPr="00A259BD" w:rsidRDefault="00516617"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E5ED56" w14:textId="77777777" w:rsidR="00516617" w:rsidRPr="00A259BD" w:rsidRDefault="0051661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г. состоялось заседание коллегии </w:t>
      </w:r>
      <w:proofErr w:type="spellStart"/>
      <w:r w:rsidRPr="00A259BD">
        <w:rPr>
          <w:rFonts w:ascii="Times New Roman" w:hAnsi="Times New Roman"/>
          <w:color w:val="000000" w:themeColor="text1"/>
          <w:sz w:val="16"/>
          <w:szCs w:val="16"/>
        </w:rPr>
        <w:t>Главметстроя</w:t>
      </w:r>
      <w:proofErr w:type="spellEnd"/>
      <w:r w:rsidRPr="00A259BD">
        <w:rPr>
          <w:rFonts w:ascii="Times New Roman" w:hAnsi="Times New Roman"/>
          <w:color w:val="000000" w:themeColor="text1"/>
          <w:sz w:val="16"/>
          <w:szCs w:val="16"/>
        </w:rPr>
        <w:t xml:space="preserve"> ВСНХ СССР, на котором была принята программа — завершить строительство Новосибирского комбайнового завода к 1 октября 1932 г., создать производственные мощности для выпуска 15 тыс. комбайнов в год с последующим увеличением до 25 тыс. Ставилась конкретная задача — к сельскохозяйственному сезону 1933 г. выпустить 2 200 сеялок, 4 500 сенокосилок и 3 000 комбайнов. Именно в этой технике испытывало острый дефицит сельское хозяйство края. Первым начальником строительства и директором  завода  «</w:t>
      </w:r>
      <w:proofErr w:type="spellStart"/>
      <w:r w:rsidRPr="00A259BD">
        <w:rPr>
          <w:rFonts w:ascii="Times New Roman" w:hAnsi="Times New Roman"/>
          <w:color w:val="000000" w:themeColor="text1"/>
          <w:sz w:val="16"/>
          <w:szCs w:val="16"/>
        </w:rPr>
        <w:t>Сибкомбайн</w:t>
      </w:r>
      <w:proofErr w:type="spellEnd"/>
      <w:r w:rsidRPr="00A259BD">
        <w:rPr>
          <w:rFonts w:ascii="Times New Roman" w:hAnsi="Times New Roman"/>
          <w:color w:val="000000" w:themeColor="text1"/>
          <w:sz w:val="16"/>
          <w:szCs w:val="16"/>
        </w:rPr>
        <w:t>» был А. И. </w:t>
      </w:r>
      <w:proofErr w:type="spellStart"/>
      <w:r w:rsidRPr="00A259BD">
        <w:rPr>
          <w:rFonts w:ascii="Times New Roman" w:hAnsi="Times New Roman"/>
          <w:color w:val="000000" w:themeColor="text1"/>
          <w:sz w:val="16"/>
          <w:szCs w:val="16"/>
        </w:rPr>
        <w:t>Морин</w:t>
      </w:r>
      <w:proofErr w:type="spellEnd"/>
      <w:r w:rsidRPr="00A259BD">
        <w:rPr>
          <w:rFonts w:ascii="Times New Roman" w:hAnsi="Times New Roman"/>
          <w:color w:val="000000" w:themeColor="text1"/>
          <w:sz w:val="16"/>
          <w:szCs w:val="16"/>
        </w:rPr>
        <w:t>. 2 июля 1930 г. он сообщал в Высший совет народного хозяйства Куйбышеву о том, что закончено строительство временных мастерских, получено для них оборудование, начато сооружение заводоуправления, ремонтно-механического цеха, кузницы, заложено 10 корпусов «соцгорода» и т. д. Одновременно отмечалось, что несвоевременно поступает из Москвы и Ленинграда проектная документация, квалификация кадров низкая, обеспеченность оборудованием и инструментом, экскаваторами и автомашинами, а также строительными материалами плохая. На строительстве  завода  работали 3 000 рабочих, 30 % из них были квалифицированными. Рабочие-каменщики выполняли нормы выработки только на 40–50 % (15733).</w:t>
      </w:r>
    </w:p>
    <w:p w14:paraId="1DCEDEB3" w14:textId="77777777" w:rsidR="00516617" w:rsidRPr="00A259BD" w:rsidRDefault="00516617" w:rsidP="009236E3">
      <w:pPr>
        <w:spacing w:after="0" w:line="240" w:lineRule="auto"/>
        <w:jc w:val="both"/>
        <w:rPr>
          <w:rFonts w:ascii="Times New Roman" w:hAnsi="Times New Roman"/>
          <w:color w:val="000000" w:themeColor="text1"/>
          <w:sz w:val="16"/>
          <w:szCs w:val="16"/>
        </w:rPr>
      </w:pPr>
    </w:p>
    <w:p w14:paraId="244246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года НТК предоставил эскизный проект 130/45-мм пушки Б-13. Баллистические данные проекта совпадали с данными 130/55-мм пушки. Так, начальная скорость снаряда обр. 1911 г. (39,86 кг) должна была быть 823 м/с, но давление в канале ствола должно было возрасти с 2750 кг/см2 до 3150 кг/см2, благодаря чему длина ствола была уменьшена с 55 до 45 калибров. Проектом предусматривалось гильзовое заряжание; затвор горизонтальный клиновой с полуавтоматикой по типу Б-1-К. </w:t>
      </w:r>
      <w:proofErr w:type="spellStart"/>
      <w:r w:rsidRPr="00A259BD">
        <w:rPr>
          <w:rFonts w:ascii="Times New Roman" w:hAnsi="Times New Roman"/>
          <w:color w:val="000000" w:themeColor="text1"/>
          <w:sz w:val="16"/>
          <w:szCs w:val="16"/>
        </w:rPr>
        <w:t>Досылатель</w:t>
      </w:r>
      <w:proofErr w:type="spellEnd"/>
      <w:r w:rsidRPr="00A259BD">
        <w:rPr>
          <w:rFonts w:ascii="Times New Roman" w:hAnsi="Times New Roman"/>
          <w:color w:val="000000" w:themeColor="text1"/>
          <w:sz w:val="16"/>
          <w:szCs w:val="16"/>
        </w:rPr>
        <w:t xml:space="preserve"> гидропневматический броскового типа (близкий к Б-7). Досылка заряда в гильзе ручная (3861).</w:t>
      </w:r>
    </w:p>
    <w:p w14:paraId="1D94B5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D0ED9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г. М.Н. Тухачевский, будучи командующим Ленинградским военным округом, "настоятельно ходатайствовал о принятии на вооружение батальонной артиллерии пушки ДРП". Правда, за год до этого председатель РВС СССР А.И. </w:t>
      </w:r>
      <w:proofErr w:type="spellStart"/>
      <w:r w:rsidRPr="00A259BD">
        <w:rPr>
          <w:rFonts w:ascii="Times New Roman" w:hAnsi="Times New Roman"/>
          <w:color w:val="000000" w:themeColor="text1"/>
          <w:sz w:val="16"/>
          <w:szCs w:val="16"/>
        </w:rPr>
        <w:t>Корк</w:t>
      </w:r>
      <w:proofErr w:type="spellEnd"/>
      <w:r w:rsidRPr="00A259BD">
        <w:rPr>
          <w:rFonts w:ascii="Times New Roman" w:hAnsi="Times New Roman"/>
          <w:color w:val="000000" w:themeColor="text1"/>
          <w:sz w:val="16"/>
          <w:szCs w:val="16"/>
        </w:rPr>
        <w:t xml:space="preserve"> и начальник артиллерийского управления РККА Г.И. Кулик рекомендовали воздержаться от принятия ее на вооружение. Спор военачальников разрешился весной 1931 г., после назначения Тухачевского заместителем Наркомвоенмора - начальником вооружений РККА.</w:t>
      </w:r>
    </w:p>
    <w:p w14:paraId="6DB448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1935 г. сдали заказчику 134 пушки БПК.</w:t>
      </w:r>
    </w:p>
    <w:p w14:paraId="3845A0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БПК состояла из ствола, прицельного приспособления и двухколесного лафета. На затворе орудия крепился на резьбе сопловой блок. Особенностью этого орудия, как, впрочем, и остальных, предназначенных для сухопутных войск, были стандартные патроны от трехдюймовых орудий. Правда, гильза отличалась отверстием в ее донной части, из которого после воспламенения истекали пороховые газы. Снаряд имел ведущий поясок, расположенный в донной части и легко деформировавшийся при его движении в канале ствола. После выстрела боец открывал затвор, из которого извлекалась использованная гильза.</w:t>
      </w:r>
    </w:p>
    <w:p w14:paraId="623811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БПК можно было использовать и как миномет при стрельбе специальными минами на расстояние до одного километра. Для этого снимали сопло и в зарядную камеру вставляли приспособление в виде укороченной латунной гильзы с жалом. Заряжание и выстрел происходили как в обычном миномете (11617).</w:t>
      </w:r>
    </w:p>
    <w:p w14:paraId="1C1299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0A864A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г. конструктор АНИИ К.М. Иванов по заказу </w:t>
      </w:r>
      <w:proofErr w:type="spellStart"/>
      <w:r w:rsidRPr="00A259BD">
        <w:rPr>
          <w:rFonts w:ascii="Times New Roman" w:hAnsi="Times New Roman"/>
          <w:color w:val="000000" w:themeColor="text1"/>
          <w:sz w:val="16"/>
          <w:szCs w:val="16"/>
        </w:rPr>
        <w:t>Управления.механизации</w:t>
      </w:r>
      <w:proofErr w:type="spellEnd"/>
      <w:r w:rsidRPr="00A259BD">
        <w:rPr>
          <w:rFonts w:ascii="Times New Roman" w:hAnsi="Times New Roman"/>
          <w:color w:val="000000" w:themeColor="text1"/>
          <w:sz w:val="16"/>
          <w:szCs w:val="16"/>
        </w:rPr>
        <w:t xml:space="preserve"> и моторизации (УММ) РККА выполнил проект самоходной 76,2-мм пушки со</w:t>
      </w:r>
      <w:r w:rsidRPr="00A259BD">
        <w:rPr>
          <w:rFonts w:ascii="Times New Roman" w:hAnsi="Times New Roman"/>
          <w:color w:val="000000" w:themeColor="text1"/>
          <w:sz w:val="16"/>
          <w:szCs w:val="16"/>
        </w:rPr>
        <w:softHyphen/>
        <w:t>провождения мехчастей на базе малого танка Т-18 и бро</w:t>
      </w:r>
      <w:r w:rsidRPr="00A259BD">
        <w:rPr>
          <w:rFonts w:ascii="Times New Roman" w:hAnsi="Times New Roman"/>
          <w:color w:val="000000" w:themeColor="text1"/>
          <w:sz w:val="16"/>
          <w:szCs w:val="16"/>
        </w:rPr>
        <w:softHyphen/>
        <w:t>нированного трактора-транспортера к ней. Машина представляла собой развитие идеи французского танка поддержки на шасси “Рено-ФТ” с учетом применения шасси и бронекорпуса Т-18. Подобно французскому про</w:t>
      </w:r>
      <w:r w:rsidRPr="00A259BD">
        <w:rPr>
          <w:rFonts w:ascii="Times New Roman" w:hAnsi="Times New Roman"/>
          <w:color w:val="000000" w:themeColor="text1"/>
          <w:sz w:val="16"/>
          <w:szCs w:val="16"/>
        </w:rPr>
        <w:softHyphen/>
        <w:t xml:space="preserve">тотипу на корпусе танка была размещена неподвижная клепаная боевая рубка с установленной в нем полковой 76,2-мм пушкой, для уменьшения отката дополненной щелевым дульным тормозом конструкции П.Н. </w:t>
      </w:r>
      <w:proofErr w:type="spellStart"/>
      <w:r w:rsidRPr="00A259BD">
        <w:rPr>
          <w:rFonts w:ascii="Times New Roman" w:hAnsi="Times New Roman"/>
          <w:color w:val="000000" w:themeColor="text1"/>
          <w:sz w:val="16"/>
          <w:szCs w:val="16"/>
        </w:rPr>
        <w:t>Сячинтова</w:t>
      </w:r>
      <w:proofErr w:type="spellEnd"/>
      <w:r w:rsidRPr="00A259BD">
        <w:rPr>
          <w:rFonts w:ascii="Times New Roman" w:hAnsi="Times New Roman"/>
          <w:color w:val="000000" w:themeColor="text1"/>
          <w:sz w:val="16"/>
          <w:szCs w:val="16"/>
        </w:rPr>
        <w:t>. Кроме того, по инициативе АНИИ был выполнен эс</w:t>
      </w:r>
      <w:r w:rsidRPr="00A259BD">
        <w:rPr>
          <w:rFonts w:ascii="Times New Roman" w:hAnsi="Times New Roman"/>
          <w:color w:val="000000" w:themeColor="text1"/>
          <w:sz w:val="16"/>
          <w:szCs w:val="16"/>
        </w:rPr>
        <w:softHyphen/>
        <w:t>киз установки в рубку указанной САУ 37-мм противотан</w:t>
      </w:r>
      <w:r w:rsidRPr="00A259BD">
        <w:rPr>
          <w:rFonts w:ascii="Times New Roman" w:hAnsi="Times New Roman"/>
          <w:color w:val="000000" w:themeColor="text1"/>
          <w:sz w:val="16"/>
          <w:szCs w:val="16"/>
        </w:rPr>
        <w:softHyphen/>
        <w:t>ковой пушки большой мощности (ПС-2), или 45-мм тан</w:t>
      </w:r>
      <w:r w:rsidRPr="00A259BD">
        <w:rPr>
          <w:rFonts w:ascii="Times New Roman" w:hAnsi="Times New Roman"/>
          <w:color w:val="000000" w:themeColor="text1"/>
          <w:sz w:val="16"/>
          <w:szCs w:val="16"/>
        </w:rPr>
        <w:softHyphen/>
        <w:t>ковой пушки обр. 1930 г. (той самой, которая должна бы</w:t>
      </w:r>
      <w:r w:rsidRPr="00A259BD">
        <w:rPr>
          <w:rFonts w:ascii="Times New Roman" w:hAnsi="Times New Roman"/>
          <w:color w:val="000000" w:themeColor="text1"/>
          <w:sz w:val="16"/>
          <w:szCs w:val="16"/>
        </w:rPr>
        <w:softHyphen/>
        <w:t>ла пойти на Т-12/Т-24), которые предполагалось исполь</w:t>
      </w:r>
      <w:r w:rsidRPr="00A259BD">
        <w:rPr>
          <w:rFonts w:ascii="Times New Roman" w:hAnsi="Times New Roman"/>
          <w:color w:val="000000" w:themeColor="text1"/>
          <w:sz w:val="16"/>
          <w:szCs w:val="16"/>
        </w:rPr>
        <w:softHyphen/>
        <w:t>зовать для борьбы с вражескими танками. Так как возимый боекомплект указанных САУ был крайне ограничен, то для их снабжения предполагалось по</w:t>
      </w:r>
      <w:r w:rsidRPr="00A259BD">
        <w:rPr>
          <w:rFonts w:ascii="Times New Roman" w:hAnsi="Times New Roman"/>
          <w:color w:val="000000" w:themeColor="text1"/>
          <w:sz w:val="16"/>
          <w:szCs w:val="16"/>
        </w:rPr>
        <w:softHyphen/>
        <w:t>строить специальную машину снабжения из расчета одна машина на батарею. Поскольку экипаж машины снабжения состоял всего из одного человека (водителя), бензобаки уб</w:t>
      </w:r>
      <w:r w:rsidRPr="00A259BD">
        <w:rPr>
          <w:rFonts w:ascii="Times New Roman" w:hAnsi="Times New Roman"/>
          <w:color w:val="000000" w:themeColor="text1"/>
          <w:sz w:val="16"/>
          <w:szCs w:val="16"/>
        </w:rPr>
        <w:softHyphen/>
        <w:t xml:space="preserve">рали внутрь корпуса, а в подбашенную коробку был встроен </w:t>
      </w:r>
      <w:proofErr w:type="spellStart"/>
      <w:r w:rsidRPr="00A259BD">
        <w:rPr>
          <w:rFonts w:ascii="Times New Roman" w:hAnsi="Times New Roman"/>
          <w:color w:val="000000" w:themeColor="text1"/>
          <w:sz w:val="16"/>
          <w:szCs w:val="16"/>
        </w:rPr>
        <w:t>бронеящик</w:t>
      </w:r>
      <w:proofErr w:type="spellEnd"/>
      <w:r w:rsidRPr="00A259BD">
        <w:rPr>
          <w:rFonts w:ascii="Times New Roman" w:hAnsi="Times New Roman"/>
          <w:color w:val="000000" w:themeColor="text1"/>
          <w:sz w:val="16"/>
          <w:szCs w:val="16"/>
        </w:rPr>
        <w:t xml:space="preserve"> для перевозки 50 выстрелов калибра 76,2 мм, или 16 лотков с 37-мм или 45-мм снарядами (11417).</w:t>
      </w:r>
    </w:p>
    <w:p w14:paraId="272B2E8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A561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г. </w:t>
      </w:r>
      <w:proofErr w:type="spellStart"/>
      <w:r w:rsidRPr="00A259BD">
        <w:rPr>
          <w:rFonts w:ascii="Times New Roman" w:hAnsi="Times New Roman"/>
          <w:color w:val="000000" w:themeColor="text1"/>
          <w:sz w:val="16"/>
          <w:szCs w:val="16"/>
        </w:rPr>
        <w:t>Намишники</w:t>
      </w:r>
      <w:proofErr w:type="spellEnd"/>
      <w:r w:rsidRPr="00A259BD">
        <w:rPr>
          <w:rFonts w:ascii="Times New Roman" w:hAnsi="Times New Roman"/>
          <w:color w:val="000000" w:themeColor="text1"/>
          <w:sz w:val="16"/>
          <w:szCs w:val="16"/>
        </w:rPr>
        <w:t xml:space="preserve"> вызвали на соцсорев</w:t>
      </w:r>
      <w:r w:rsidRPr="00A259BD">
        <w:rPr>
          <w:rFonts w:ascii="Times New Roman" w:hAnsi="Times New Roman"/>
          <w:color w:val="000000" w:themeColor="text1"/>
          <w:sz w:val="16"/>
          <w:szCs w:val="16"/>
        </w:rPr>
        <w:softHyphen/>
        <w:t xml:space="preserve">нование своих коллег из КБ завода “Большевик”. Завод и КБ лихорадило с производством и модернизацией танков Т-18, а также разработкой новых образцов (Т-19 и Т-20) и потому для работы над эскизным проектом был выделен всего один человек — инженер-конструктор В. </w:t>
      </w:r>
      <w:proofErr w:type="spellStart"/>
      <w:r w:rsidRPr="00A259BD">
        <w:rPr>
          <w:rFonts w:ascii="Times New Roman" w:hAnsi="Times New Roman"/>
          <w:color w:val="000000" w:themeColor="text1"/>
          <w:sz w:val="16"/>
          <w:szCs w:val="16"/>
        </w:rPr>
        <w:t>Симский</w:t>
      </w:r>
      <w:proofErr w:type="spellEnd"/>
      <w:r w:rsidRPr="00A259BD">
        <w:rPr>
          <w:rFonts w:ascii="Times New Roman" w:hAnsi="Times New Roman"/>
          <w:color w:val="000000" w:themeColor="text1"/>
          <w:sz w:val="16"/>
          <w:szCs w:val="16"/>
        </w:rPr>
        <w:t xml:space="preserve">. Общее руководство проектированием, а также оказание инженеру В. </w:t>
      </w:r>
      <w:proofErr w:type="spellStart"/>
      <w:r w:rsidRPr="00A259BD">
        <w:rPr>
          <w:rFonts w:ascii="Times New Roman" w:hAnsi="Times New Roman"/>
          <w:color w:val="000000" w:themeColor="text1"/>
          <w:sz w:val="16"/>
          <w:szCs w:val="16"/>
        </w:rPr>
        <w:t>Симскому</w:t>
      </w:r>
      <w:proofErr w:type="spellEnd"/>
      <w:r w:rsidRPr="00A259BD">
        <w:rPr>
          <w:rFonts w:ascii="Times New Roman" w:hAnsi="Times New Roman"/>
          <w:color w:val="000000" w:themeColor="text1"/>
          <w:sz w:val="16"/>
          <w:szCs w:val="16"/>
        </w:rPr>
        <w:t xml:space="preserve"> необходимой консультационной помощи было поручено С. Гинзбургу. В отличие от своих соперников здесь выбрали иную схему перехода с колес на гусеницы — “переобуванием”, что позволяло отказаться от сложных приводов поднима</w:t>
      </w:r>
      <w:r w:rsidRPr="00A259BD">
        <w:rPr>
          <w:rFonts w:ascii="Times New Roman" w:hAnsi="Times New Roman"/>
          <w:color w:val="000000" w:themeColor="text1"/>
          <w:sz w:val="16"/>
          <w:szCs w:val="16"/>
        </w:rPr>
        <w:softHyphen/>
        <w:t xml:space="preserve">ния/опускания корпуса и колес. При разработке эскизного проекта Т-25 В. </w:t>
      </w:r>
      <w:proofErr w:type="spellStart"/>
      <w:r w:rsidRPr="00A259BD">
        <w:rPr>
          <w:rFonts w:ascii="Times New Roman" w:hAnsi="Times New Roman"/>
          <w:color w:val="000000" w:themeColor="text1"/>
          <w:sz w:val="16"/>
          <w:szCs w:val="16"/>
        </w:rPr>
        <w:t>Симский</w:t>
      </w:r>
      <w:proofErr w:type="spellEnd"/>
      <w:r w:rsidRPr="00A259BD">
        <w:rPr>
          <w:rFonts w:ascii="Times New Roman" w:hAnsi="Times New Roman"/>
          <w:color w:val="000000" w:themeColor="text1"/>
          <w:sz w:val="16"/>
          <w:szCs w:val="16"/>
        </w:rPr>
        <w:t xml:space="preserve"> добросовестно изучил ту убогую документацию (а скорее — материалы рекламного характе</w:t>
      </w:r>
      <w:r w:rsidRPr="00A259BD">
        <w:rPr>
          <w:rFonts w:ascii="Times New Roman" w:hAnsi="Times New Roman"/>
          <w:color w:val="000000" w:themeColor="text1"/>
          <w:sz w:val="16"/>
          <w:szCs w:val="16"/>
        </w:rPr>
        <w:softHyphen/>
        <w:t xml:space="preserve">ра), которые нач. УММ И.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привез из своей ознакомительной поездки в Америку. В октябре-ноябре было проведено сравнение двух проектов, которое окончи</w:t>
      </w:r>
      <w:r w:rsidRPr="00A259BD">
        <w:rPr>
          <w:rFonts w:ascii="Times New Roman" w:hAnsi="Times New Roman"/>
          <w:color w:val="000000" w:themeColor="text1"/>
          <w:sz w:val="16"/>
          <w:szCs w:val="16"/>
        </w:rPr>
        <w:softHyphen/>
        <w:t>лось в пользу второго: ибо инженеры НАМИ не смогли уложиться в ТЗ (вес - более 4,5 т, скорость - 30-33 км/ч на гусеницах и не более 50 км/ч на колесах). Колесно-гусеничная танкетка Т-25 по проекту пред</w:t>
      </w:r>
      <w:r w:rsidRPr="00A259BD">
        <w:rPr>
          <w:rFonts w:ascii="Times New Roman" w:hAnsi="Times New Roman"/>
          <w:color w:val="000000" w:themeColor="text1"/>
          <w:sz w:val="16"/>
          <w:szCs w:val="16"/>
        </w:rPr>
        <w:softHyphen/>
        <w:t>ставляла собой уменьшенный вид танка “Кристи”, но при этом имела с ним большие различия. Так, привод в Т-25 предполагалось осуществить синхронно на все колеса, а для улучшения маневренности предполагалось сделать управляемыми две передние оси и т.д. Проектом преду</w:t>
      </w:r>
      <w:r w:rsidRPr="00A259BD">
        <w:rPr>
          <w:rFonts w:ascii="Times New Roman" w:hAnsi="Times New Roman"/>
          <w:color w:val="000000" w:themeColor="text1"/>
          <w:sz w:val="16"/>
          <w:szCs w:val="16"/>
        </w:rPr>
        <w:softHyphen/>
        <w:t>сматривалось достижение скорости движения 45 км/ч на гусеницах и 65 км/ч на колесах при применении 60 л.с. дви</w:t>
      </w:r>
      <w:r w:rsidRPr="00A259BD">
        <w:rPr>
          <w:rFonts w:ascii="Times New Roman" w:hAnsi="Times New Roman"/>
          <w:color w:val="000000" w:themeColor="text1"/>
          <w:sz w:val="16"/>
          <w:szCs w:val="16"/>
        </w:rPr>
        <w:softHyphen/>
        <w:t>гателя от танка Т-20, или 52 км/ч и 75 км/ч соответственно с двигателем в 70 л.с. Изготовление первого опытного эк</w:t>
      </w:r>
      <w:r w:rsidRPr="00A259BD">
        <w:rPr>
          <w:rFonts w:ascii="Times New Roman" w:hAnsi="Times New Roman"/>
          <w:color w:val="000000" w:themeColor="text1"/>
          <w:sz w:val="16"/>
          <w:szCs w:val="16"/>
        </w:rPr>
        <w:softHyphen/>
        <w:t>земпляра предполагалось к декабрю 1931 г. Из особенностей Т-25 следует отметить также, во-первых, плавательное приспособление — съемный пустотелый фанерно-дюралевый “поплавок”, набитый пробкой или су</w:t>
      </w:r>
      <w:r w:rsidRPr="00A259BD">
        <w:rPr>
          <w:rFonts w:ascii="Times New Roman" w:hAnsi="Times New Roman"/>
          <w:color w:val="000000" w:themeColor="text1"/>
          <w:sz w:val="16"/>
          <w:szCs w:val="16"/>
        </w:rPr>
        <w:softHyphen/>
        <w:t>шеной морской травой. Планировалось использовать эту же танкетку для проведения экспериментов по созданию “лета</w:t>
      </w:r>
      <w:r w:rsidRPr="00A259BD">
        <w:rPr>
          <w:rFonts w:ascii="Times New Roman" w:hAnsi="Times New Roman"/>
          <w:color w:val="000000" w:themeColor="text1"/>
          <w:sz w:val="16"/>
          <w:szCs w:val="16"/>
        </w:rPr>
        <w:softHyphen/>
        <w:t>ющего” и “буксируемого” “танка-планера”. Из переписки С. Гинзбурга понятно, что эту танкетку предполагалось ис</w:t>
      </w:r>
      <w:r w:rsidRPr="00A259BD">
        <w:rPr>
          <w:rFonts w:ascii="Times New Roman" w:hAnsi="Times New Roman"/>
          <w:color w:val="000000" w:themeColor="text1"/>
          <w:sz w:val="16"/>
          <w:szCs w:val="16"/>
        </w:rPr>
        <w:softHyphen/>
        <w:t>пользовать также в качестве зенитного танка, вооруженного спаркой пулеметов типа ДТ, ДА или ДУ. Для этого планиро</w:t>
      </w:r>
      <w:r w:rsidRPr="00A259BD">
        <w:rPr>
          <w:rFonts w:ascii="Times New Roman" w:hAnsi="Times New Roman"/>
          <w:color w:val="000000" w:themeColor="text1"/>
          <w:sz w:val="16"/>
          <w:szCs w:val="16"/>
        </w:rPr>
        <w:softHyphen/>
        <w:t>валось разработать новую, открытую сверху, башню. Однако при проработке проекта Т-25 КБ “Большевика” столкнулось с большими трудностями, тем более что опыт</w:t>
      </w:r>
      <w:r w:rsidRPr="00A259BD">
        <w:rPr>
          <w:rFonts w:ascii="Times New Roman" w:hAnsi="Times New Roman"/>
          <w:color w:val="000000" w:themeColor="text1"/>
          <w:sz w:val="16"/>
          <w:szCs w:val="16"/>
        </w:rPr>
        <w:softHyphen/>
        <w:t>ный участок был занят танком Т-19. Доработку проекта и изготовление опытной машины планировалось передать КБ ХПЗ, который стоял без финансирования программы производства Т-24. Но Харьковский паровозостроительный завод попытались “спихнуть с себя” этот малоперспективный проект, ожидая продолжения работ по танку Т-24. Таким образом, проект колесно-гусеничной танкетки Т-25 конструкции Гинзбурга—</w:t>
      </w:r>
      <w:proofErr w:type="spellStart"/>
      <w:r w:rsidRPr="00A259BD">
        <w:rPr>
          <w:rFonts w:ascii="Times New Roman" w:hAnsi="Times New Roman"/>
          <w:color w:val="000000" w:themeColor="text1"/>
          <w:sz w:val="16"/>
          <w:szCs w:val="16"/>
        </w:rPr>
        <w:t>Симского</w:t>
      </w:r>
      <w:proofErr w:type="spellEnd"/>
      <w:r w:rsidRPr="00A259BD">
        <w:rPr>
          <w:rFonts w:ascii="Times New Roman" w:hAnsi="Times New Roman"/>
          <w:color w:val="000000" w:themeColor="text1"/>
          <w:sz w:val="16"/>
          <w:szCs w:val="16"/>
        </w:rPr>
        <w:t xml:space="preserve"> был отложен ис</w:t>
      </w:r>
      <w:r w:rsidRPr="00A259BD">
        <w:rPr>
          <w:rFonts w:ascii="Times New Roman" w:hAnsi="Times New Roman"/>
          <w:color w:val="000000" w:themeColor="text1"/>
          <w:sz w:val="16"/>
          <w:szCs w:val="16"/>
        </w:rPr>
        <w:softHyphen/>
        <w:t>полнением на один год, а в 1932 г. совершенно закрыт ввиду высокой стоимости боевой машины (10733,105).</w:t>
      </w:r>
    </w:p>
    <w:p w14:paraId="69940E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ED46C5" w14:textId="77777777" w:rsidR="00516617" w:rsidRPr="00A259BD" w:rsidRDefault="0051661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г. НАМИ вызвал на соцсоревнование своих коллег из КБ завода «Большевик». Завод и КБ лихорадило с производством и модернизацией </w:t>
      </w:r>
      <w:hyperlink r:id="rId282"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ов Т-18, а также разработкой новых образцов (Т-19 и Т-20) и потому для работы над эскизным проектом был выделен всего один человек – инженер-конструктор В. </w:t>
      </w:r>
      <w:proofErr w:type="spellStart"/>
      <w:r w:rsidRPr="00A259BD">
        <w:rPr>
          <w:rFonts w:ascii="Times New Roman" w:hAnsi="Times New Roman"/>
          <w:color w:val="000000" w:themeColor="text1"/>
          <w:sz w:val="16"/>
          <w:szCs w:val="16"/>
        </w:rPr>
        <w:t>Симский</w:t>
      </w:r>
      <w:proofErr w:type="spellEnd"/>
      <w:r w:rsidRPr="00A259BD">
        <w:rPr>
          <w:rFonts w:ascii="Times New Roman" w:hAnsi="Times New Roman"/>
          <w:color w:val="000000" w:themeColor="text1"/>
          <w:sz w:val="16"/>
          <w:szCs w:val="16"/>
        </w:rPr>
        <w:t xml:space="preserve">. Общее руководство проектированием, а также оказание инженеру В. </w:t>
      </w:r>
      <w:proofErr w:type="spellStart"/>
      <w:r w:rsidRPr="00A259BD">
        <w:rPr>
          <w:rFonts w:ascii="Times New Roman" w:hAnsi="Times New Roman"/>
          <w:color w:val="000000" w:themeColor="text1"/>
          <w:sz w:val="16"/>
          <w:szCs w:val="16"/>
        </w:rPr>
        <w:t>Симскому</w:t>
      </w:r>
      <w:proofErr w:type="spellEnd"/>
      <w:r w:rsidRPr="00A259BD">
        <w:rPr>
          <w:rFonts w:ascii="Times New Roman" w:hAnsi="Times New Roman"/>
          <w:color w:val="000000" w:themeColor="text1"/>
          <w:sz w:val="16"/>
          <w:szCs w:val="16"/>
        </w:rPr>
        <w:t xml:space="preserve"> необходимой консультационной помощи было поручено С. Гинзбургу.</w:t>
      </w:r>
    </w:p>
    <w:p w14:paraId="7CC0D92A" w14:textId="77777777" w:rsidR="00516617" w:rsidRPr="00A259BD" w:rsidRDefault="0051661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В отличие от своих соперников здесь выбрали иную схему перехода с колес на гусеницы – «переобуванием», что позволяло отказаться от сложных приводов поднимания/опускания корпуса и колес. При разработке эскизного проекта Т-25 В. </w:t>
      </w:r>
      <w:proofErr w:type="spellStart"/>
      <w:r w:rsidRPr="00A259BD">
        <w:rPr>
          <w:rFonts w:ascii="Times New Roman" w:hAnsi="Times New Roman"/>
          <w:color w:val="000000" w:themeColor="text1"/>
          <w:sz w:val="16"/>
          <w:szCs w:val="16"/>
        </w:rPr>
        <w:t>Симскому</w:t>
      </w:r>
      <w:proofErr w:type="spellEnd"/>
      <w:r w:rsidRPr="00A259BD">
        <w:rPr>
          <w:rFonts w:ascii="Times New Roman" w:hAnsi="Times New Roman"/>
          <w:color w:val="000000" w:themeColor="text1"/>
          <w:sz w:val="16"/>
          <w:szCs w:val="16"/>
        </w:rPr>
        <w:t xml:space="preserve"> предстояло решить самую сложную на тот момент задачу – как обеспечить переход с колёсного хода на гусеничного. Поскольку материалов по этой теме в СССР не было вообще </w:t>
      </w:r>
      <w:proofErr w:type="spellStart"/>
      <w:r w:rsidRPr="00A259BD">
        <w:rPr>
          <w:rFonts w:ascii="Times New Roman" w:hAnsi="Times New Roman"/>
          <w:color w:val="000000" w:themeColor="text1"/>
          <w:sz w:val="16"/>
          <w:szCs w:val="16"/>
        </w:rPr>
        <w:t>Симский</w:t>
      </w:r>
      <w:proofErr w:type="spellEnd"/>
      <w:r w:rsidRPr="00A259BD">
        <w:rPr>
          <w:rFonts w:ascii="Times New Roman" w:hAnsi="Times New Roman"/>
          <w:color w:val="000000" w:themeColor="text1"/>
          <w:sz w:val="16"/>
          <w:szCs w:val="16"/>
        </w:rPr>
        <w:t xml:space="preserve"> взялся за изучение убогой документации по </w:t>
      </w:r>
      <w:hyperlink r:id="rId283"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у </w:t>
      </w:r>
      <w:proofErr w:type="spellStart"/>
      <w:r w:rsidRPr="00A259BD">
        <w:rPr>
          <w:rFonts w:ascii="Times New Roman" w:hAnsi="Times New Roman"/>
          <w:color w:val="000000" w:themeColor="text1"/>
          <w:sz w:val="16"/>
          <w:szCs w:val="16"/>
        </w:rPr>
        <w:t>Christi</w:t>
      </w:r>
      <w:proofErr w:type="spellEnd"/>
      <w:r w:rsidRPr="00A259BD">
        <w:rPr>
          <w:rFonts w:ascii="Times New Roman" w:hAnsi="Times New Roman"/>
          <w:color w:val="000000" w:themeColor="text1"/>
          <w:sz w:val="16"/>
          <w:szCs w:val="16"/>
        </w:rPr>
        <w:t xml:space="preserve"> M1928, привезённой заместителем начальника УММ </w:t>
      </w:r>
      <w:proofErr w:type="spellStart"/>
      <w:r w:rsidRPr="00A259BD">
        <w:rPr>
          <w:rFonts w:ascii="Times New Roman" w:hAnsi="Times New Roman"/>
          <w:color w:val="000000" w:themeColor="text1"/>
          <w:sz w:val="16"/>
          <w:szCs w:val="16"/>
        </w:rPr>
        <w:t>И.Халепским</w:t>
      </w:r>
      <w:proofErr w:type="spellEnd"/>
      <w:r w:rsidRPr="00A259BD">
        <w:rPr>
          <w:rFonts w:ascii="Times New Roman" w:hAnsi="Times New Roman"/>
          <w:color w:val="000000" w:themeColor="text1"/>
          <w:sz w:val="16"/>
          <w:szCs w:val="16"/>
        </w:rPr>
        <w:t xml:space="preserve"> из США. По сути, имеющиеся бумаги носили рекламно-ознакомительный характер и не давали полного представления о работе нового типа движителя. Тем не менее, </w:t>
      </w:r>
      <w:proofErr w:type="spellStart"/>
      <w:r w:rsidRPr="00A259BD">
        <w:rPr>
          <w:rFonts w:ascii="Times New Roman" w:hAnsi="Times New Roman"/>
          <w:color w:val="000000" w:themeColor="text1"/>
          <w:sz w:val="16"/>
          <w:szCs w:val="16"/>
        </w:rPr>
        <w:t>Симскому</w:t>
      </w:r>
      <w:proofErr w:type="spellEnd"/>
      <w:r w:rsidRPr="00A259BD">
        <w:rPr>
          <w:rFonts w:ascii="Times New Roman" w:hAnsi="Times New Roman"/>
          <w:color w:val="000000" w:themeColor="text1"/>
          <w:sz w:val="16"/>
          <w:szCs w:val="16"/>
        </w:rPr>
        <w:t xml:space="preserve"> удалось не только спроектировать собственный аналог, но и вложиться в требования технического задания.</w:t>
      </w:r>
    </w:p>
    <w:p w14:paraId="0D582C27" w14:textId="77777777" w:rsidR="00516617" w:rsidRPr="00A259BD" w:rsidRDefault="0051661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октябре-ноябре было проведено сравнение двух проектов. Вариант Т-25, предложенный НАМИ </w:t>
      </w:r>
      <w:proofErr w:type="spellStart"/>
      <w:r w:rsidRPr="00A259BD">
        <w:rPr>
          <w:rFonts w:ascii="Times New Roman" w:hAnsi="Times New Roman"/>
          <w:color w:val="000000" w:themeColor="text1"/>
          <w:sz w:val="16"/>
          <w:szCs w:val="16"/>
        </w:rPr>
        <w:t>отличалася</w:t>
      </w:r>
      <w:proofErr w:type="spellEnd"/>
      <w:r w:rsidRPr="00A259BD">
        <w:rPr>
          <w:rFonts w:ascii="Times New Roman" w:hAnsi="Times New Roman"/>
          <w:color w:val="000000" w:themeColor="text1"/>
          <w:sz w:val="16"/>
          <w:szCs w:val="16"/>
        </w:rPr>
        <w:t xml:space="preserve"> ходовой частью с поднимаемыми и опускаемыми колёсами (наподобие шведского </w:t>
      </w:r>
      <w:hyperlink r:id="rId284"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w:t>
      </w:r>
      <w:proofErr w:type="spellStart"/>
      <w:r w:rsidRPr="00A259BD">
        <w:rPr>
          <w:rFonts w:ascii="Times New Roman" w:hAnsi="Times New Roman"/>
          <w:color w:val="000000" w:themeColor="text1"/>
          <w:sz w:val="16"/>
          <w:szCs w:val="16"/>
        </w:rPr>
        <w:t>Landsverk</w:t>
      </w:r>
      <w:proofErr w:type="spellEnd"/>
      <w:r w:rsidRPr="00A259BD">
        <w:rPr>
          <w:rFonts w:ascii="Times New Roman" w:hAnsi="Times New Roman"/>
          <w:color w:val="000000" w:themeColor="text1"/>
          <w:sz w:val="16"/>
          <w:szCs w:val="16"/>
        </w:rPr>
        <w:t xml:space="preserve"> L-30 или чехословацкого Skoda KH50) установленных снаружи гусеничных цепей. Преимуществом такой схемы было отсутствие необходимости выхода экипажа наружу машины для смены хода. Однако инженеры НАМИ не смогли уложиться в ТЗ (вес – более 4,5 т, скорость – 30-33 км/ч на гусеницах и не более 50 км/ч на колесах).</w:t>
      </w:r>
    </w:p>
    <w:p w14:paraId="0AA28C71" w14:textId="77777777" w:rsidR="00516617" w:rsidRPr="00A259BD" w:rsidRDefault="0051661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Колесно-гусеничная </w:t>
      </w:r>
      <w:hyperlink r:id="rId285"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етка </w:t>
      </w:r>
      <w:proofErr w:type="spellStart"/>
      <w:r w:rsidRPr="00A259BD">
        <w:rPr>
          <w:rFonts w:ascii="Times New Roman" w:hAnsi="Times New Roman"/>
          <w:color w:val="000000" w:themeColor="text1"/>
          <w:sz w:val="16"/>
          <w:szCs w:val="16"/>
        </w:rPr>
        <w:t>Симского</w:t>
      </w:r>
      <w:proofErr w:type="spellEnd"/>
      <w:r w:rsidRPr="00A259BD">
        <w:rPr>
          <w:rFonts w:ascii="Times New Roman" w:hAnsi="Times New Roman"/>
          <w:color w:val="000000" w:themeColor="text1"/>
          <w:sz w:val="16"/>
          <w:szCs w:val="16"/>
        </w:rPr>
        <w:t xml:space="preserve"> по проекту представляла собой уменьшенный вид </w:t>
      </w:r>
      <w:hyperlink r:id="rId286"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«Кристи», но при этом имела с ним большие различия в размерах и ходовой части. Так, привод в Т-25 предполагалось осуществить синхронно на все колеса, а для улучшения маневренности предполагалось сделать управляемыми две передние оси и т.д. Проектом предусматривалось достижение скорости движения 45 км/ч на гусеницах и 65 км/ч на колесах при применении 60 л.с. двигателя от </w:t>
      </w:r>
      <w:hyperlink r:id="rId287"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Т-20, или 52 км/ч и 75 км/ч соответственно с двигателем в 70 л.с. Рассмотрев оба проекта в октябре-ноябре 1929 года УММ выбрало первый вариант, поскольку НАМИ не удалось вложиться в ТТЗ по массе и скорости. Постройку опытного образца </w:t>
      </w:r>
      <w:hyperlink r:id="rId288"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етки запланировали на декабрь 1931 года и с этого момента программа развития Т-25 получила весьма ощутимую поддержку.</w:t>
      </w:r>
    </w:p>
    <w:p w14:paraId="18F28E57" w14:textId="77777777" w:rsidR="00516617" w:rsidRPr="00A259BD" w:rsidRDefault="0051661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Из особенностей </w:t>
      </w:r>
      <w:hyperlink r:id="rId289"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етки Т-25 следует отметить также, во-первых, плавательное приспособление – съемный пустотелый фанерно-дюралевый «поплавок», набитый пробкой или сушеной морской травой. Планировалось использовать эту же </w:t>
      </w:r>
      <w:hyperlink r:id="rId290"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етку для проведения экспериментов по созданию «летающего» и «буксируемого» «</w:t>
      </w:r>
      <w:hyperlink r:id="rId291"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а-планера». Из переписки С. Гинзбурга понятно, что эту </w:t>
      </w:r>
      <w:hyperlink r:id="rId292"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етку предполагалось использовать также в качестве зенитного </w:t>
      </w:r>
      <w:hyperlink r:id="rId293"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а, вооруженного спаркой пулеметов типа ДТ, ДА или ДУ. Для этого планировалось разработать новую, открытую сверху, башню.</w:t>
      </w:r>
    </w:p>
    <w:p w14:paraId="2C4B576E" w14:textId="77777777" w:rsidR="00516617" w:rsidRPr="00A259BD" w:rsidRDefault="0051661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Впрочем, когда дело дошло до воплощения проекта в металл, выявилось множество “подводных камней”, наиболее “острым” из которых стал тот самый колёсно-гусеничных ход. Никаких дополнительных усилий по доработке Т-25 не прилагалось, так как все инженерные и производственные мощности были заняты </w:t>
      </w:r>
      <w:hyperlink r:id="rId294"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ами Т-18 и Т-19. Изготовление опытного образца </w:t>
      </w:r>
      <w:hyperlink r:id="rId295"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етки передали на ХПЗ, но там умышленно затормозили работы по нему, ожидая продолжения дальнейших работ по среднему </w:t>
      </w:r>
      <w:hyperlink r:id="rId296"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у Т-24, постройка которого также была временно приостановлена в виду отсутствия денежных средств. Харьковский паровозостроительный завод попытался «спихнуть с себя» этот малоперспективный проект, ожидая продолжения работ по </w:t>
      </w:r>
      <w:hyperlink r:id="rId297"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у Т-24.</w:t>
      </w:r>
    </w:p>
    <w:p w14:paraId="6165D6CC" w14:textId="77777777" w:rsidR="00516617" w:rsidRPr="00A259BD" w:rsidRDefault="0051661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Таким образом, проект колесно-гусеничной </w:t>
      </w:r>
      <w:hyperlink r:id="rId298"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етки Т-25 конструкции Гинзбурга – </w:t>
      </w:r>
      <w:proofErr w:type="spellStart"/>
      <w:r w:rsidRPr="00A259BD">
        <w:rPr>
          <w:rFonts w:ascii="Times New Roman" w:hAnsi="Times New Roman"/>
          <w:color w:val="000000" w:themeColor="text1"/>
          <w:sz w:val="16"/>
          <w:szCs w:val="16"/>
        </w:rPr>
        <w:t>Симского</w:t>
      </w:r>
      <w:proofErr w:type="spellEnd"/>
      <w:r w:rsidRPr="00A259BD">
        <w:rPr>
          <w:rFonts w:ascii="Times New Roman" w:hAnsi="Times New Roman"/>
          <w:color w:val="000000" w:themeColor="text1"/>
          <w:sz w:val="16"/>
          <w:szCs w:val="16"/>
        </w:rPr>
        <w:t xml:space="preserve"> был отложен исполнением на один год, а в 1932 г. совершенно закрыт. Основной причиной отказа от дальнейших работ по колесно-гусеничной </w:t>
      </w:r>
      <w:hyperlink r:id="rId299"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етки послужила её чрезвычайно высокая стоимость, которая мало отличалась от стоимости легкого </w:t>
      </w:r>
      <w:hyperlink r:id="rId300"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Т-26 образца 1931 г. Кроме того, изучив возможность серийной постройки </w:t>
      </w:r>
      <w:hyperlink r:id="rId301"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ов иностранного производства в СССР начальник УММ РККА </w:t>
      </w:r>
      <w:proofErr w:type="spellStart"/>
      <w:r w:rsidRPr="00A259BD">
        <w:rPr>
          <w:rFonts w:ascii="Times New Roman" w:hAnsi="Times New Roman"/>
          <w:color w:val="000000" w:themeColor="text1"/>
          <w:sz w:val="16"/>
          <w:szCs w:val="16"/>
        </w:rPr>
        <w:t>И.Халепский</w:t>
      </w:r>
      <w:proofErr w:type="spellEnd"/>
      <w:r w:rsidRPr="00A259BD">
        <w:rPr>
          <w:rFonts w:ascii="Times New Roman" w:hAnsi="Times New Roman"/>
          <w:color w:val="000000" w:themeColor="text1"/>
          <w:sz w:val="16"/>
          <w:szCs w:val="16"/>
        </w:rPr>
        <w:t xml:space="preserve"> сделал вывод, что разумнее будет запустить в производство боевые машины конструкции </w:t>
      </w:r>
      <w:proofErr w:type="spellStart"/>
      <w:r w:rsidRPr="00A259BD">
        <w:rPr>
          <w:rFonts w:ascii="Times New Roman" w:hAnsi="Times New Roman"/>
          <w:color w:val="000000" w:themeColor="text1"/>
          <w:sz w:val="16"/>
          <w:szCs w:val="16"/>
        </w:rPr>
        <w:t>У.Кристи</w:t>
      </w:r>
      <w:proofErr w:type="spellEnd"/>
      <w:r w:rsidRPr="00A259BD">
        <w:rPr>
          <w:rFonts w:ascii="Times New Roman" w:hAnsi="Times New Roman"/>
          <w:color w:val="000000" w:themeColor="text1"/>
          <w:sz w:val="16"/>
          <w:szCs w:val="16"/>
        </w:rPr>
        <w:t xml:space="preserve">, что и было выполнено в 1931 году. Таким образом, надобность в Т-25 отпала сама собой, а место обычных </w:t>
      </w:r>
      <w:hyperlink r:id="rId302"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еток заняли более технологичные и менее дорогостоящие Т-27 (15618).</w:t>
      </w:r>
    </w:p>
    <w:p w14:paraId="1AEE4706" w14:textId="77777777" w:rsidR="00516617" w:rsidRPr="00A259BD" w:rsidRDefault="00516617" w:rsidP="009236E3">
      <w:pPr>
        <w:spacing w:after="0" w:line="240" w:lineRule="auto"/>
        <w:jc w:val="both"/>
        <w:rPr>
          <w:rFonts w:ascii="Times New Roman" w:hAnsi="Times New Roman"/>
          <w:color w:val="000000" w:themeColor="text1"/>
          <w:sz w:val="16"/>
          <w:szCs w:val="16"/>
        </w:rPr>
      </w:pPr>
    </w:p>
    <w:p w14:paraId="28A1D994" w14:textId="77777777" w:rsidR="00843D2E" w:rsidRPr="00441F34" w:rsidRDefault="00843D2E" w:rsidP="00843D2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ноябре 1929 г. Начальник Управления моторизации и механизации (УММ) Рабоче-Крестьянской Красной армии (РККА) И.А. </w:t>
      </w:r>
      <w:proofErr w:type="spellStart"/>
      <w:r w:rsidRPr="00441F34">
        <w:rPr>
          <w:rFonts w:ascii="Times New Roman" w:hAnsi="Times New Roman"/>
          <w:color w:val="0070C0"/>
          <w:sz w:val="16"/>
          <w:szCs w:val="16"/>
        </w:rPr>
        <w:t>Халепский</w:t>
      </w:r>
      <w:proofErr w:type="spellEnd"/>
      <w:r w:rsidRPr="00441F34">
        <w:rPr>
          <w:rFonts w:ascii="Times New Roman" w:hAnsi="Times New Roman"/>
          <w:color w:val="0070C0"/>
          <w:sz w:val="16"/>
          <w:szCs w:val="16"/>
        </w:rPr>
        <w:t xml:space="preserve"> указывал на тот факт, что планируемая материально-техническая база тракторостроения полностью не соответствует задачам «танко-тракторного вооружения армии», поскольку «мощности моторов и скорости движения тракторов ни в какой мере не отвечают тактическим требованиям моторизированных частей». В качестве основной меры, позволявшей преодолеть эту проблему в будущем, начальник УММ предлагал, ссылаясь на опыт США, создавать специальные моторные заводы, помимо существующих тракторных. По его мнению, это позволяло успешно повышать мощность моторов. Именно такой подход он наблюдал во время своих командировок в Соединенные Штаты[37]. Кроме моторного производства, в стране фактически отсутствовала промышленная база по изготовлению шестерней, шарикоподшипников и электрооборудования, способная удовлетворить нужды танкостроения. Этот сектор индустрии только начинал свое развитие, и пока данные комплектующие советская промышленность была вынуждена в значительной степени импортировать[38] (23536).</w:t>
      </w:r>
    </w:p>
    <w:p w14:paraId="6424C992" w14:textId="77777777" w:rsidR="00843D2E" w:rsidRPr="00441F34" w:rsidRDefault="00843D2E" w:rsidP="00843D2E">
      <w:pPr>
        <w:spacing w:after="0" w:line="240" w:lineRule="auto"/>
        <w:jc w:val="both"/>
        <w:rPr>
          <w:rFonts w:ascii="Times New Roman" w:hAnsi="Times New Roman"/>
          <w:color w:val="0070C0"/>
          <w:sz w:val="16"/>
          <w:szCs w:val="16"/>
        </w:rPr>
      </w:pPr>
    </w:p>
    <w:p w14:paraId="42276E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г. произошел окончательный выбор машины для ЧТЗ. Приказом ВСНХ СССР предлагалось начать проектирование производства гусеничного трактора типа американской фирмы "Катерпиллер" в 50–60 л.с. с выпуском 40 тыс. машин в год. По своей производственной мощности ЧТЗ должен был превосходить в полтора раза строившиеся Сталинградский, и Харьковский тракторные заводы, вместе взятые. </w:t>
      </w:r>
    </w:p>
    <w:p w14:paraId="7DD161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Проектирование Челябинского тракторного завода было поручено специальной группе, созданной при Государственном институте по проектированию металлических заводов (ГИПРОМЕЗ) в Ленинграде. В неё вошли инженеры </w:t>
      </w:r>
      <w:proofErr w:type="spellStart"/>
      <w:r w:rsidRPr="00A259BD">
        <w:rPr>
          <w:rFonts w:ascii="Times New Roman" w:hAnsi="Times New Roman"/>
          <w:color w:val="000000" w:themeColor="text1"/>
          <w:sz w:val="16"/>
          <w:szCs w:val="16"/>
        </w:rPr>
        <w:t>К.П.Ловин</w:t>
      </w:r>
      <w:proofErr w:type="spellEnd"/>
      <w:r w:rsidRPr="00A259BD">
        <w:rPr>
          <w:rFonts w:ascii="Times New Roman" w:hAnsi="Times New Roman"/>
          <w:color w:val="000000" w:themeColor="text1"/>
          <w:sz w:val="16"/>
          <w:szCs w:val="16"/>
        </w:rPr>
        <w:t xml:space="preserve">, назначенный начальником строительства, </w:t>
      </w:r>
      <w:proofErr w:type="spellStart"/>
      <w:r w:rsidRPr="00A259BD">
        <w:rPr>
          <w:rFonts w:ascii="Times New Roman" w:hAnsi="Times New Roman"/>
          <w:color w:val="000000" w:themeColor="text1"/>
          <w:sz w:val="16"/>
          <w:szCs w:val="16"/>
        </w:rPr>
        <w:t>И.В.Иванов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Н.А.Межевич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А.Ю.Божко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Г.Г.Одобашьян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С.М.Лещенко</w:t>
      </w:r>
      <w:proofErr w:type="spellEnd"/>
      <w:r w:rsidRPr="00A259BD">
        <w:rPr>
          <w:rFonts w:ascii="Times New Roman" w:hAnsi="Times New Roman"/>
          <w:color w:val="000000" w:themeColor="text1"/>
          <w:sz w:val="16"/>
          <w:szCs w:val="16"/>
        </w:rPr>
        <w:t xml:space="preserve"> и др. Несмотря на многочисленные трудности и отсутствие опыта проектирования подобных предприятий, эскизный проект был составлен за 50 дней. Он получил высокую оценку американских специалистов тракторостроительных фирм "Катерпиллер" и "Альберт Кан". При ЧТЗ предусматривалось сооружение небольшого опытного завода, своеобразной лаборатории по освоению процессов производства и кузницы кадров квалифицированных рабочих для основного предприятия. ЧТЗ должен был стать крупнейшим в стране заводом по производству тяжёлых гусеничных машин. Масштабы будущего производства многим казались невероятными: 40 тыс. машин в год, т.е. через каждые 6–7 минут – гусеничный трактор! Ни в Европе, ни в Америке не было подобного завода. Даже с конвейеров американской фирмы "Катерпиллер", тип трактора которой был взят за основу, сходило всего 5–6 тысяч таких машин в год!.</w:t>
      </w:r>
    </w:p>
    <w:p w14:paraId="648C74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Сооружение такого предприятия было возможно только при использовании передового опыта, накопленного в мировом тракторостроении. Поэтому разработку генерального плана ЧТЗ и проекта основных цехов решено было перенести в США. Однако отношения с иностранными фирмами складывались непросто: сказывалось влияние не только политических факторов, но и экономических, в частности, учитывалась и будущая конкуренция на мировом рынке (11557).</w:t>
      </w:r>
    </w:p>
    <w:p w14:paraId="7B4BBE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CEA6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ноябре 1929 коллегией «</w:t>
      </w:r>
      <w:proofErr w:type="spellStart"/>
      <w:r w:rsidRPr="00A259BD">
        <w:rPr>
          <w:rFonts w:ascii="Times New Roman" w:hAnsi="Times New Roman"/>
          <w:color w:val="000000" w:themeColor="text1"/>
          <w:sz w:val="16"/>
          <w:szCs w:val="16"/>
        </w:rPr>
        <w:t>Главмапшнстроя</w:t>
      </w:r>
      <w:proofErr w:type="spellEnd"/>
      <w:r w:rsidRPr="00A259BD">
        <w:rPr>
          <w:rFonts w:ascii="Times New Roman" w:hAnsi="Times New Roman"/>
          <w:color w:val="000000" w:themeColor="text1"/>
          <w:sz w:val="16"/>
          <w:szCs w:val="16"/>
        </w:rPr>
        <w:t xml:space="preserve">» принято решение о строительстве в Выксе завода по производству дробильного оборудования было </w:t>
      </w:r>
      <w:proofErr w:type="spellStart"/>
      <w:r w:rsidRPr="00A259BD">
        <w:rPr>
          <w:rFonts w:ascii="Times New Roman" w:hAnsi="Times New Roman"/>
          <w:color w:val="000000" w:themeColor="text1"/>
          <w:sz w:val="16"/>
          <w:szCs w:val="16"/>
        </w:rPr>
        <w:t>принятов</w:t>
      </w:r>
      <w:proofErr w:type="spellEnd"/>
      <w:r w:rsidRPr="00A259BD">
        <w:rPr>
          <w:rFonts w:ascii="Times New Roman" w:hAnsi="Times New Roman"/>
          <w:color w:val="000000" w:themeColor="text1"/>
          <w:sz w:val="16"/>
          <w:szCs w:val="16"/>
        </w:rPr>
        <w:t xml:space="preserve"> (Завод № 177 НКТП, Выксунский завод ДРО НКТП, НКОП, Выксунский завод «ДРА» НКСС, Выксунский завод дробильно-размольного оборудования (ДРО), ОАО «</w:t>
      </w:r>
      <w:proofErr w:type="spellStart"/>
      <w:r w:rsidRPr="00A259BD">
        <w:rPr>
          <w:rFonts w:ascii="Times New Roman" w:hAnsi="Times New Roman"/>
          <w:color w:val="000000" w:themeColor="text1"/>
          <w:sz w:val="16"/>
          <w:szCs w:val="16"/>
        </w:rPr>
        <w:t>Дробмаш</w:t>
      </w:r>
      <w:proofErr w:type="spellEnd"/>
      <w:r w:rsidRPr="00A259BD">
        <w:rPr>
          <w:rFonts w:ascii="Times New Roman" w:hAnsi="Times New Roman"/>
          <w:color w:val="000000" w:themeColor="text1"/>
          <w:sz w:val="16"/>
          <w:szCs w:val="16"/>
        </w:rPr>
        <w:t xml:space="preserve">» /607061  г. Выкса Горьковской обл. ул. Заводская/). В 04.1937 г. Выксунский завод ДРО - в ведении </w:t>
      </w:r>
      <w:proofErr w:type="spellStart"/>
      <w:r w:rsidRPr="00A259BD">
        <w:rPr>
          <w:rFonts w:ascii="Times New Roman" w:hAnsi="Times New Roman"/>
          <w:color w:val="000000" w:themeColor="text1"/>
          <w:sz w:val="16"/>
          <w:szCs w:val="16"/>
        </w:rPr>
        <w:t>Главсредмаша</w:t>
      </w:r>
      <w:proofErr w:type="spellEnd"/>
      <w:r w:rsidRPr="00A259BD">
        <w:rPr>
          <w:rFonts w:ascii="Times New Roman" w:hAnsi="Times New Roman"/>
          <w:color w:val="000000" w:themeColor="text1"/>
          <w:sz w:val="16"/>
          <w:szCs w:val="16"/>
        </w:rPr>
        <w:t xml:space="preserve"> НКТП, в 06.1937 г. - в ведении НКОП.</w:t>
      </w:r>
    </w:p>
    <w:p w14:paraId="49DCCD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30.03.1933 г. завод выпустил первую продукцию - дробилку Щ-3. Первоначально проектирование велось на базе зарубежного опыта. Но уже с 1937 г. завод самостоятельно проектирует и изготавливает дробильно- размольное, прессовое и другие виды оборудования.</w:t>
      </w:r>
    </w:p>
    <w:p w14:paraId="36B371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пост. СНК от 15.12.1940 г. и приказом НКАП № 748 от 17.12.1940 г. на заводе организовано производство бронекорпусов для Ил-2.</w:t>
      </w:r>
      <w:r w:rsidRPr="00A259BD">
        <w:rPr>
          <w:rFonts w:ascii="Times New Roman" w:hAnsi="Times New Roman"/>
          <w:color w:val="000000" w:themeColor="text1"/>
          <w:sz w:val="16"/>
          <w:szCs w:val="16"/>
          <w:vertAlign w:val="superscript"/>
        </w:rPr>
        <w:t>96</w:t>
      </w:r>
      <w:r w:rsidRPr="00A259BD">
        <w:rPr>
          <w:rFonts w:ascii="Times New Roman" w:hAnsi="Times New Roman"/>
          <w:color w:val="000000" w:themeColor="text1"/>
          <w:sz w:val="16"/>
          <w:szCs w:val="16"/>
        </w:rPr>
        <w:t xml:space="preserve"> В соответствии с пост. ГКО № 1сс от 1.07.1941 г. Выксунскому заводу «ДРА» НКСС поручен выпуск комплектующих для танков Т-34 и авиамоторов М-17. В годы войны завод выпускал военную продукцию: корпуса легких танков, САУ, бронекорпуса Ил-2, корпуса мин и </w:t>
      </w:r>
      <w:proofErr w:type="spellStart"/>
      <w:r w:rsidRPr="00A259BD">
        <w:rPr>
          <w:rFonts w:ascii="Times New Roman" w:hAnsi="Times New Roman"/>
          <w:color w:val="000000" w:themeColor="text1"/>
          <w:sz w:val="16"/>
          <w:szCs w:val="16"/>
        </w:rPr>
        <w:t>РСов</w:t>
      </w:r>
      <w:proofErr w:type="spellEnd"/>
      <w:r w:rsidRPr="00A259BD">
        <w:rPr>
          <w:rFonts w:ascii="Times New Roman" w:hAnsi="Times New Roman"/>
          <w:color w:val="000000" w:themeColor="text1"/>
          <w:sz w:val="16"/>
          <w:szCs w:val="16"/>
        </w:rPr>
        <w:t>. Работы по корабельной броне (1942 г.).</w:t>
      </w:r>
      <w:r w:rsidRPr="00A259BD">
        <w:rPr>
          <w:rFonts w:ascii="Times New Roman" w:hAnsi="Times New Roman"/>
          <w:color w:val="000000" w:themeColor="text1"/>
          <w:sz w:val="16"/>
          <w:szCs w:val="16"/>
          <w:vertAlign w:val="superscript"/>
        </w:rPr>
        <w:t>61</w:t>
      </w:r>
      <w:r w:rsidRPr="00A259BD">
        <w:rPr>
          <w:rFonts w:ascii="Times New Roman" w:hAnsi="Times New Roman"/>
          <w:color w:val="000000" w:themeColor="text1"/>
          <w:sz w:val="16"/>
          <w:szCs w:val="16"/>
        </w:rPr>
        <w:t xml:space="preserve"> 16.03.1944 г. вышло распоряжение ГКО № 5409 об обеспечении кооперированных поставок с завода № 177 бронекорпусов СУ-16 на завод № 40 НКТП.</w:t>
      </w:r>
    </w:p>
    <w:p w14:paraId="1D0C4B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1942 г. завод № 177 - в ведении НКТП.</w:t>
      </w:r>
    </w:p>
    <w:p w14:paraId="7BBCA1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войны завод возвращается к производству дробильно-сортировочного оборудования. К началу 2000-х  г. выпущено около 110 тысяч единиц оборудования, в т.ч. 31 тысяча дробилок и около 60 тысяч агрегатов.</w:t>
      </w:r>
    </w:p>
    <w:p w14:paraId="0E80BD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(2000-е): дробильно-сортировочное оборудование: щековые, конусные, роторные, молотковые дробилки; питатели, грохоты, конвейеры, передвижные и транспортируемые агрегаты.</w:t>
      </w:r>
    </w:p>
    <w:p w14:paraId="7BF781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2002 г. ОАО «</w:t>
      </w:r>
      <w:proofErr w:type="spellStart"/>
      <w:r w:rsidRPr="00A259BD">
        <w:rPr>
          <w:rFonts w:ascii="Times New Roman" w:hAnsi="Times New Roman"/>
          <w:color w:val="000000" w:themeColor="text1"/>
          <w:sz w:val="16"/>
          <w:szCs w:val="16"/>
        </w:rPr>
        <w:t>Дробмаш</w:t>
      </w:r>
      <w:proofErr w:type="spellEnd"/>
      <w:r w:rsidRPr="00A259BD">
        <w:rPr>
          <w:rFonts w:ascii="Times New Roman" w:hAnsi="Times New Roman"/>
          <w:color w:val="000000" w:themeColor="text1"/>
          <w:sz w:val="16"/>
          <w:szCs w:val="16"/>
        </w:rPr>
        <w:t>» вошло в состав компании «Строительные машины и механизмы».</w:t>
      </w:r>
    </w:p>
    <w:p w14:paraId="612E59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Директор (06.1937 г.)- Н.Б. Завадский.</w:t>
      </w:r>
    </w:p>
    <w:p w14:paraId="4A31D7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директора (06.1937 г.)- А.П. Петров.</w:t>
      </w:r>
      <w:r w:rsidRPr="00A259BD">
        <w:rPr>
          <w:rFonts w:ascii="Times New Roman" w:hAnsi="Times New Roman"/>
          <w:color w:val="000000" w:themeColor="text1"/>
          <w:sz w:val="16"/>
          <w:szCs w:val="16"/>
          <w:vertAlign w:val="superscript"/>
        </w:rPr>
        <w:t>139</w:t>
      </w:r>
    </w:p>
    <w:p w14:paraId="752130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бронекорпуса: для Ил-2 (1941-), для танков Т-60, Т-70 (ВОВ), для САУ-76 (ВОВ), АСУ-57 (1950-е); бронеавтомобиль БА-20 (ВОВ); погон для Т-34 (ВОВ); корпуса мин М-82 и </w:t>
      </w:r>
      <w:r w:rsidRPr="00A259BD">
        <w:rPr>
          <w:rFonts w:ascii="Times New Roman" w:hAnsi="Times New Roman"/>
          <w:color w:val="000000" w:themeColor="text1"/>
          <w:sz w:val="16"/>
          <w:szCs w:val="16"/>
          <w:lang w:val="en-US"/>
        </w:rPr>
        <w:t>PC</w:t>
      </w:r>
      <w:r w:rsidRPr="00A259BD">
        <w:rPr>
          <w:rFonts w:ascii="Times New Roman" w:hAnsi="Times New Roman"/>
          <w:color w:val="000000" w:themeColor="text1"/>
          <w:sz w:val="16"/>
          <w:szCs w:val="16"/>
        </w:rPr>
        <w:t xml:space="preserve"> М-8, М-13 и М-30 (ВОВ); дробилка щековая Щ-3 (1933-) (11982).</w:t>
      </w:r>
    </w:p>
    <w:p w14:paraId="154803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B2588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ноябре 1929 г. линейный корабль Парижская коммуна убыл на Черное море, где и вошел в состав Черноморского флота. Участвовал в Великой Отечественной войне и в 1945 г. был наг</w:t>
      </w:r>
      <w:r w:rsidRPr="00A259BD">
        <w:rPr>
          <w:rFonts w:ascii="Times New Roman" w:hAnsi="Times New Roman"/>
          <w:color w:val="000000" w:themeColor="text1"/>
          <w:sz w:val="16"/>
          <w:szCs w:val="16"/>
        </w:rPr>
        <w:softHyphen/>
        <w:t>ражден орденом Красного Знамени. После войны корабль выполнял функции учебного суд</w:t>
      </w:r>
      <w:r w:rsidRPr="00A259BD">
        <w:rPr>
          <w:rFonts w:ascii="Times New Roman" w:hAnsi="Times New Roman"/>
          <w:color w:val="000000" w:themeColor="text1"/>
          <w:sz w:val="16"/>
          <w:szCs w:val="16"/>
        </w:rPr>
        <w:softHyphen/>
        <w:t>на, а 1956 г. был исключен из списков ВМФ (10711,666).</w:t>
      </w:r>
    </w:p>
    <w:p w14:paraId="02FB84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0D1D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года, в обстановке крайней спешки НТКМ представил эскизный проект нового 130-мм палубного орудия с длиной ствола 45 калибров. Принятая концепция быстроходных небронированных лидеров ограниченного водоизмещения ис­ключала возможность применения башен­ных артустановок и вынуждала использо­вать на них щитовые палубные установки. За неимением в наличии новых, пригодных для лидеров, артустановок и при дефиците времени пришлось создавать артиллерию главного калибра «по прототипу». За осно­ву был принят проект 130-мм орудия образ­ца 1913 года Обуховского завода с длиной ствола 55 калибров для легких крейсеров типов «Светлана» и «Адмирал Нахимов». В проекте предусматривалась установ­ка доработанного 130-мм орудия на поворотное основание с обеспечением защиты его расчета противопульным щитом; сохра­нились также раздельно-гильзовое заряжа­ние и ручная досылка гильзы. В связи с </w:t>
      </w:r>
      <w:r w:rsidRPr="00A259BD">
        <w:rPr>
          <w:rFonts w:ascii="Times New Roman" w:hAnsi="Times New Roman"/>
          <w:color w:val="000000" w:themeColor="text1"/>
          <w:sz w:val="16"/>
          <w:szCs w:val="16"/>
        </w:rPr>
        <w:lastRenderedPageBreak/>
        <w:t xml:space="preserve">умень­шением длины ствола до 45 калибров при­шлось пойти на увеличение давления в его канале, что предполагало достижение бал­листических данных прототипа. Разработка нового орудия велась сотрудниками конст­рукторского бюро завода «Большевик» под руководством </w:t>
      </w:r>
      <w:proofErr w:type="spellStart"/>
      <w:r w:rsidRPr="00A259BD">
        <w:rPr>
          <w:rFonts w:ascii="Times New Roman" w:hAnsi="Times New Roman"/>
          <w:color w:val="000000" w:themeColor="text1"/>
          <w:sz w:val="16"/>
          <w:szCs w:val="16"/>
        </w:rPr>
        <w:t>Г.Н.Рафаловича</w:t>
      </w:r>
      <w:proofErr w:type="spellEnd"/>
      <w:r w:rsidRPr="00A259BD">
        <w:rPr>
          <w:rFonts w:ascii="Times New Roman" w:hAnsi="Times New Roman"/>
          <w:color w:val="000000" w:themeColor="text1"/>
          <w:sz w:val="16"/>
          <w:szCs w:val="16"/>
        </w:rPr>
        <w:t xml:space="preserve">. Однако его расчетная скорострельность не удовлетво­ряла моряков. На состоявшемся 23 января 1930 года совещании в УВМС было решено внести в проект некоторые конструктивные изменения, чтобы повысить скорострель­ность с 10 до 14 выстрелов в минуту за счет снабжения приводов вертикальной и горизонтальной наводки муфтами Дженни и за­мены гидропневматических полуавтомати­ки и </w:t>
      </w:r>
      <w:proofErr w:type="spellStart"/>
      <w:r w:rsidRPr="00A259BD">
        <w:rPr>
          <w:rFonts w:ascii="Times New Roman" w:hAnsi="Times New Roman"/>
          <w:color w:val="000000" w:themeColor="text1"/>
          <w:sz w:val="16"/>
          <w:szCs w:val="16"/>
        </w:rPr>
        <w:t>досылателя</w:t>
      </w:r>
      <w:proofErr w:type="spellEnd"/>
      <w:r w:rsidRPr="00A259BD">
        <w:rPr>
          <w:rFonts w:ascii="Times New Roman" w:hAnsi="Times New Roman"/>
          <w:color w:val="000000" w:themeColor="text1"/>
          <w:sz w:val="16"/>
          <w:szCs w:val="16"/>
        </w:rPr>
        <w:t xml:space="preserve"> на пружинные (11866).</w:t>
      </w:r>
    </w:p>
    <w:p w14:paraId="403B70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4A360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1107084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5D64B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первый ТБ-1 прибыл в Воронеж, где создавалась бригада тяжелых бомбардировщиков - 11-я (включавшая 51, 53-ю и 59-ю эскадрильи). Пока не поступили ТБ-1, каждой из них передали по одному "Голиафу". Это позволило ознакомить с пилотированием двухмоторных машин молодых летчиков, обучавшихся ранее на бипланах Р-1. Это был головной серийный самолет № 602, за ним последовал только что собранный № 605. Последний пришел некомплектным - без бомбового вооружения. Машины предназначались для войсковых испытаний и были переданы 51-й эскадрилье, которой командовал </w:t>
      </w:r>
      <w:proofErr w:type="spellStart"/>
      <w:r w:rsidRPr="00A259BD">
        <w:rPr>
          <w:rFonts w:ascii="Times New Roman" w:hAnsi="Times New Roman"/>
          <w:color w:val="000000" w:themeColor="text1"/>
          <w:sz w:val="16"/>
          <w:szCs w:val="16"/>
        </w:rPr>
        <w:t>комэск</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Добролеж</w:t>
      </w:r>
      <w:proofErr w:type="spellEnd"/>
      <w:r w:rsidRPr="00A259BD">
        <w:rPr>
          <w:rFonts w:ascii="Times New Roman" w:hAnsi="Times New Roman"/>
          <w:color w:val="000000" w:themeColor="text1"/>
          <w:sz w:val="16"/>
          <w:szCs w:val="16"/>
        </w:rPr>
        <w:t>. Он же и стал пилотом на № 602. На второй самолет назначили командира отряда Мелешкина.</w:t>
      </w:r>
    </w:p>
    <w:p w14:paraId="1918DC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Первый полет совершил </w:t>
      </w:r>
      <w:proofErr w:type="spellStart"/>
      <w:r w:rsidRPr="00A259BD">
        <w:rPr>
          <w:rFonts w:ascii="Times New Roman" w:hAnsi="Times New Roman"/>
          <w:color w:val="000000" w:themeColor="text1"/>
          <w:sz w:val="16"/>
          <w:szCs w:val="16"/>
        </w:rPr>
        <w:t>Добролеж</w:t>
      </w:r>
      <w:proofErr w:type="spellEnd"/>
      <w:r w:rsidRPr="00A259BD">
        <w:rPr>
          <w:rFonts w:ascii="Times New Roman" w:hAnsi="Times New Roman"/>
          <w:color w:val="000000" w:themeColor="text1"/>
          <w:sz w:val="16"/>
          <w:szCs w:val="16"/>
        </w:rPr>
        <w:t xml:space="preserve">; на правом сиденье находился командир отряда Якобсон. Они поднялись, сделали круг и сели, затем повторили то же самое, выдав на посадке пару "козлов". Потом </w:t>
      </w:r>
      <w:proofErr w:type="spellStart"/>
      <w:r w:rsidRPr="00A259BD">
        <w:rPr>
          <w:rFonts w:ascii="Times New Roman" w:hAnsi="Times New Roman"/>
          <w:color w:val="000000" w:themeColor="text1"/>
          <w:sz w:val="16"/>
          <w:szCs w:val="16"/>
        </w:rPr>
        <w:t>комэск</w:t>
      </w:r>
      <w:proofErr w:type="spellEnd"/>
      <w:r w:rsidRPr="00A259BD">
        <w:rPr>
          <w:rFonts w:ascii="Times New Roman" w:hAnsi="Times New Roman"/>
          <w:color w:val="000000" w:themeColor="text1"/>
          <w:sz w:val="16"/>
          <w:szCs w:val="16"/>
        </w:rPr>
        <w:t xml:space="preserve"> летал с разными летчиками, которым в будущем предстояло стать командирами экипажей. Через неделю командиры отрядов Якобсон и Рябенко уже сами выступали в роли инструкторов. По отчету об испытаниях, летчик, освоивший Р-1, мог самостоятельно пилотировать ТБ-1 после 10 - 12 учебных полетов.</w:t>
      </w:r>
    </w:p>
    <w:p w14:paraId="69DE91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Подготовка периодически прерывалась поломками: то заело подшипник правого колеса, то заклинило червяк поворота стабилизатора; отказывали приборы, замасливались свечи, переставали работать жалюзи радиаторов. Выявились и просто ошибки конструкторов. Например, карманы для навигационных инструментов в носовой кабине не соответствовали габаритам самих инструментов. Но в целом самолеты проявили себя хорошо. Несмотря на то, что до трети посадок новички совершали с "козлами", шасси выдерживали.</w:t>
      </w:r>
    </w:p>
    <w:p w14:paraId="1A89A5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Научившись летать, перешли к отработке боевого применения по программе тактических испытаний. Стали летать строем пеленга с превышением или принижением ведомой машины. Приказы передавали флажками. Семафорил обычно штурман. Пробовали вывешивать цветные вымпелы, но уже с расстояния 400 м их начинали путать.</w:t>
      </w:r>
    </w:p>
    <w:p w14:paraId="2DA4AE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Внутри самолета с общением тоже было непросто. Даже сидевшие бок о бок пилоты переговаривались исключительно жестами. От командира к штурману приказания передавались по переговорной трубе - резиновому шлангу с двумя воронками. Для этого приходилось кричать изо всех сил. "В редких случаях удавалось понимать друг друга", - написали в отчете.</w:t>
      </w:r>
    </w:p>
    <w:p w14:paraId="21CD96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Особенно сильно недостаточная связь между членами экипажа проявилась, когда начались учебные бои с истребителями и бомбометание. Пилоты не могли ничего сообщить стрелкам и наоборот. На ТБ-1 одновременно заходило до трех истребителей с разных сторон. Стрелки усердно крутили турели. При этом необходимо было координировать положение двух задних установок - они просто сцеплялись между собой стволами пулеметов. Оказалось также, что из-за завихрений воздуха вращение одной турели сбивает наводку другой. Стрелки работали с большой опаской - стоя, они не пристегивались ремнями.</w:t>
      </w:r>
    </w:p>
    <w:p w14:paraId="6701AE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Много проблем выявилось и при учебном бомбометании, к которому приступили с 1 апреля 1930 г. Пилот цели не видел, его наводил штурман. У того тоже обзор был не очень хорош: низкокачественный целлулоид окон быстро помутнел. Поэтому штурман просто высовывался через бортик передней турели и рукой указывал пилоту направление. Точно выйти на курс таким способом было нелегко.</w:t>
      </w:r>
    </w:p>
    <w:p w14:paraId="469B34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Бомбили залпом и сериями. Даже четыре бомбы сразу сбросить оказалось трудно - слишком большие усилия на ручке Сбр-9. Пытались бомбить с двух самолетов одновременно.</w:t>
      </w:r>
    </w:p>
    <w:p w14:paraId="4B4775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июня </w:t>
      </w:r>
      <w:proofErr w:type="spellStart"/>
      <w:r w:rsidRPr="00A259BD">
        <w:rPr>
          <w:rFonts w:ascii="Times New Roman" w:hAnsi="Times New Roman"/>
          <w:color w:val="000000" w:themeColor="text1"/>
          <w:sz w:val="16"/>
          <w:szCs w:val="16"/>
        </w:rPr>
        <w:t>Добролеж</w:t>
      </w:r>
      <w:proofErr w:type="spellEnd"/>
      <w:r w:rsidRPr="00A259BD">
        <w:rPr>
          <w:rFonts w:ascii="Times New Roman" w:hAnsi="Times New Roman"/>
          <w:color w:val="000000" w:themeColor="text1"/>
          <w:sz w:val="16"/>
          <w:szCs w:val="16"/>
        </w:rPr>
        <w:t xml:space="preserve"> летал и ночью. Согласно программе, провели несколько вылетов с бомбометанием в темноте.</w:t>
      </w:r>
    </w:p>
    <w:p w14:paraId="0F69DA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Войсковые испытания завершились в августе того же года, когда в бригаду стали прибывать новые машины (12001).</w:t>
      </w:r>
    </w:p>
    <w:p w14:paraId="6AFE16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A361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г. УВВС собрало в частях, эксплуатировавших новый разведчик, отзывы о самолете. Они имели, в основном, вид длинных перечней конструктивных и технологических дефектов в 25 - 30 пунктов. В частности, отмечалось несовершенство крепления главных (фюзеляжных) бензобаков (они раскачивались на лентах, как на качелях) и радиатора, течи кранов и помп, теснота кабины лет- </w:t>
      </w:r>
      <w:proofErr w:type="spellStart"/>
      <w:r w:rsidRPr="00A259BD">
        <w:rPr>
          <w:rFonts w:ascii="Times New Roman" w:hAnsi="Times New Roman"/>
          <w:color w:val="000000" w:themeColor="text1"/>
          <w:sz w:val="16"/>
          <w:szCs w:val="16"/>
        </w:rPr>
        <w:t>наба</w:t>
      </w:r>
      <w:proofErr w:type="spellEnd"/>
      <w:r w:rsidRPr="00A259BD">
        <w:rPr>
          <w:rFonts w:ascii="Times New Roman" w:hAnsi="Times New Roman"/>
          <w:color w:val="000000" w:themeColor="text1"/>
          <w:sz w:val="16"/>
          <w:szCs w:val="16"/>
        </w:rPr>
        <w:t xml:space="preserve">, слабость узлов крепления </w:t>
      </w:r>
      <w:proofErr w:type="spellStart"/>
      <w:r w:rsidRPr="00A259BD">
        <w:rPr>
          <w:rFonts w:ascii="Times New Roman" w:hAnsi="Times New Roman"/>
          <w:color w:val="000000" w:themeColor="text1"/>
          <w:sz w:val="16"/>
          <w:szCs w:val="16"/>
        </w:rPr>
        <w:t>моторамы</w:t>
      </w:r>
      <w:proofErr w:type="spellEnd"/>
      <w:r w:rsidRPr="00A259BD">
        <w:rPr>
          <w:rFonts w:ascii="Times New Roman" w:hAnsi="Times New Roman"/>
          <w:color w:val="000000" w:themeColor="text1"/>
          <w:sz w:val="16"/>
          <w:szCs w:val="16"/>
        </w:rPr>
        <w:t>. В Средней Азии и Закавказье выявилась также недостаточная для условий юга мощность системы охлаждения: летом вода в радиаторе почти закипала. Существовала и специфика освоения Р-3 летным составом - самолет Туполева куда резче реагировал на движения рулей, чем инертный Р-1.</w:t>
      </w:r>
    </w:p>
    <w:p w14:paraId="06ECCF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Аварийность в частях, вооруженных Р-3, была довольно большой. С июня по сентябрь 1929 г. зафиксировали семь случаев, две машины пришлось из-за повреждений списать. Например, 30 июля 1929 г. командир звена </w:t>
      </w:r>
      <w:proofErr w:type="spellStart"/>
      <w:r w:rsidRPr="00A259BD">
        <w:rPr>
          <w:rFonts w:ascii="Times New Roman" w:hAnsi="Times New Roman"/>
          <w:color w:val="000000" w:themeColor="text1"/>
          <w:sz w:val="16"/>
          <w:szCs w:val="16"/>
        </w:rPr>
        <w:t>Сталанский</w:t>
      </w:r>
      <w:proofErr w:type="spellEnd"/>
      <w:r w:rsidRPr="00A259BD">
        <w:rPr>
          <w:rFonts w:ascii="Times New Roman" w:hAnsi="Times New Roman"/>
          <w:color w:val="000000" w:themeColor="text1"/>
          <w:sz w:val="16"/>
          <w:szCs w:val="16"/>
        </w:rPr>
        <w:t xml:space="preserve"> из 30-й </w:t>
      </w:r>
      <w:proofErr w:type="spellStart"/>
      <w:r w:rsidRPr="00A259BD">
        <w:rPr>
          <w:rFonts w:ascii="Times New Roman" w:hAnsi="Times New Roman"/>
          <w:color w:val="000000" w:themeColor="text1"/>
          <w:sz w:val="16"/>
          <w:szCs w:val="16"/>
        </w:rPr>
        <w:t>аэ</w:t>
      </w:r>
      <w:proofErr w:type="spellEnd"/>
      <w:r w:rsidRPr="00A259BD">
        <w:rPr>
          <w:rFonts w:ascii="Times New Roman" w:hAnsi="Times New Roman"/>
          <w:color w:val="000000" w:themeColor="text1"/>
          <w:sz w:val="16"/>
          <w:szCs w:val="16"/>
        </w:rPr>
        <w:t xml:space="preserve"> разбил Р-ЗЛД на посадке. Экипаж не пострадал, но машину сочли не подлежащей ремонту.</w:t>
      </w:r>
    </w:p>
    <w:p w14:paraId="45D847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октябрь 1929 г. приходится пик численности этих самолетов в ВВС РККА: 93 Р-ЗЛД и 19 Р-ЗМ5. Это соответствовало плановым показателям - на эту дату предполагалось иметь в общей сложности 112 Р-3. Но удельный вес разведчиков Туполева в ВВС был невелик - на ту же дату в строю числилось более 1300 Р-1.</w:t>
      </w:r>
    </w:p>
    <w:p w14:paraId="154D5D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Р-ЗЛД чаще всего вели визуальную разведку. Донесения летнаб обычно писал карандашом на листочках из блокнота, которые потом сбрасывались в капсуле с вымпелом. Реже пользовались фотоаппаратом - штатным плановым или ручным. Самолеты осуществляли бомбометание и обстрел учебных целей, а также обеспечивали связь между частями и штабами на земле. Они доставляли донесения и карты. Ответные сообщения с земли нередко подбирали "кошкой" - крюком на тросе. Пакет подвешивали на веревке между двумя шестами или пирамидами из винтовок. Упражнение это было довольно опасным и выполнялось только при наличии большой ровной площадки (11985).</w:t>
      </w:r>
    </w:p>
    <w:p w14:paraId="53FCFC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7B93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РВС присвоил </w:t>
      </w:r>
      <w:proofErr w:type="spellStart"/>
      <w:r w:rsidRPr="00A259BD">
        <w:rPr>
          <w:rFonts w:ascii="Times New Roman" w:hAnsi="Times New Roman"/>
          <w:color w:val="000000" w:themeColor="text1"/>
          <w:sz w:val="16"/>
          <w:szCs w:val="16"/>
        </w:rPr>
        <w:t>Я.И.Алкснису</w:t>
      </w:r>
      <w:proofErr w:type="spellEnd"/>
      <w:r w:rsidRPr="00A259BD">
        <w:rPr>
          <w:rFonts w:ascii="Times New Roman" w:hAnsi="Times New Roman"/>
          <w:color w:val="000000" w:themeColor="text1"/>
          <w:sz w:val="16"/>
          <w:szCs w:val="16"/>
        </w:rPr>
        <w:t xml:space="preserve"> звание военного летчика РККА (66,158), а до этого второй по рангу руководитель ВВС летать не умел.</w:t>
      </w:r>
    </w:p>
    <w:p w14:paraId="3ED66A7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2BF56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ноябре 1929 года Постановлением РВС СССР было создано Управ</w:t>
      </w:r>
      <w:r w:rsidRPr="00A259BD">
        <w:rPr>
          <w:rFonts w:ascii="Times New Roman" w:hAnsi="Times New Roman"/>
          <w:color w:val="000000" w:themeColor="text1"/>
          <w:sz w:val="16"/>
          <w:szCs w:val="16"/>
        </w:rPr>
        <w:softHyphen/>
        <w:t>ление механизации и моторизации РККА (УММ), которое в конце 1934 года было переименовано в Автобронетанковое управление Красной Ар</w:t>
      </w:r>
      <w:r w:rsidRPr="00A259BD">
        <w:rPr>
          <w:rFonts w:ascii="Times New Roman" w:hAnsi="Times New Roman"/>
          <w:color w:val="000000" w:themeColor="text1"/>
          <w:sz w:val="16"/>
          <w:szCs w:val="16"/>
        </w:rPr>
        <w:softHyphen/>
        <w:t xml:space="preserve">мии (АБТУКА). Начальником управления был назначен </w:t>
      </w:r>
      <w:proofErr w:type="spellStart"/>
      <w:r w:rsidRPr="00A259BD">
        <w:rPr>
          <w:rFonts w:ascii="Times New Roman" w:hAnsi="Times New Roman"/>
          <w:color w:val="000000" w:themeColor="text1"/>
          <w:sz w:val="16"/>
          <w:szCs w:val="16"/>
        </w:rPr>
        <w:t>И.А.Халепский</w:t>
      </w:r>
      <w:proofErr w:type="spellEnd"/>
      <w:r w:rsidRPr="00A259BD">
        <w:rPr>
          <w:rFonts w:ascii="Times New Roman" w:hAnsi="Times New Roman"/>
          <w:color w:val="000000" w:themeColor="text1"/>
          <w:sz w:val="16"/>
          <w:szCs w:val="16"/>
        </w:rPr>
        <w:t>, “видный во</w:t>
      </w:r>
      <w:r w:rsidRPr="00A259BD">
        <w:rPr>
          <w:rFonts w:ascii="Times New Roman" w:hAnsi="Times New Roman"/>
          <w:color w:val="000000" w:themeColor="text1"/>
          <w:sz w:val="16"/>
          <w:szCs w:val="16"/>
        </w:rPr>
        <w:softHyphen/>
        <w:t xml:space="preserve">еначальник и крупный специалист в области организации технического оснащения Красной Армии” (так было преподнесено это назначение во многих официальных источниках), а помощниками начальника У ММ были назначены </w:t>
      </w:r>
      <w:proofErr w:type="spellStart"/>
      <w:r w:rsidRPr="00A259BD">
        <w:rPr>
          <w:rFonts w:ascii="Times New Roman" w:hAnsi="Times New Roman"/>
          <w:color w:val="000000" w:themeColor="text1"/>
          <w:sz w:val="16"/>
          <w:szCs w:val="16"/>
        </w:rPr>
        <w:t>Г.Г.Бокис</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К.Б.Калиновский</w:t>
      </w:r>
      <w:proofErr w:type="spellEnd"/>
      <w:r w:rsidRPr="00A259BD">
        <w:rPr>
          <w:rFonts w:ascii="Times New Roman" w:hAnsi="Times New Roman"/>
          <w:color w:val="000000" w:themeColor="text1"/>
          <w:sz w:val="16"/>
          <w:szCs w:val="16"/>
        </w:rPr>
        <w:t xml:space="preserve">. В гражданскую войну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был назначен начальником связи 3-й Армии Восточного фронта. С октября 1918 года Иннокентий Андреевич чрезвычайный комиссар связи всех фронтов, с марта 1919 года он нарком почт и телеграфов Украины, начальник связи Южного, Юго-Западного и Кавказского фронтов. С 1920 года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помощник, а затем замес</w:t>
      </w:r>
      <w:r w:rsidRPr="00A259BD">
        <w:rPr>
          <w:rFonts w:ascii="Times New Roman" w:hAnsi="Times New Roman"/>
          <w:color w:val="000000" w:themeColor="text1"/>
          <w:sz w:val="16"/>
          <w:szCs w:val="16"/>
        </w:rPr>
        <w:softHyphen/>
        <w:t xml:space="preserve">титель начальника и начальник Управления связи РККА. С 1924 по 1929 год Иннокентий Андреевич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работал на</w:t>
      </w:r>
      <w:r w:rsidRPr="00A259BD">
        <w:rPr>
          <w:rFonts w:ascii="Times New Roman" w:hAnsi="Times New Roman"/>
          <w:color w:val="000000" w:themeColor="text1"/>
          <w:sz w:val="16"/>
          <w:szCs w:val="16"/>
        </w:rPr>
        <w:softHyphen/>
        <w:t>чальником Военно-технического управления РККА и после этого был назначен начальником Управления моторизации и механизации РККА. (11405).</w:t>
      </w:r>
    </w:p>
    <w:p w14:paraId="416D504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AE03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утвердили должность начальника вооружений РККА и назначили </w:t>
      </w:r>
      <w:proofErr w:type="spellStart"/>
      <w:r w:rsidRPr="00A259BD">
        <w:rPr>
          <w:rFonts w:ascii="Times New Roman" w:hAnsi="Times New Roman"/>
          <w:color w:val="000000" w:themeColor="text1"/>
          <w:sz w:val="16"/>
          <w:szCs w:val="16"/>
        </w:rPr>
        <w:t>И.П.Уборевича</w:t>
      </w:r>
      <w:proofErr w:type="spellEnd"/>
      <w:r w:rsidRPr="00A259BD">
        <w:rPr>
          <w:rFonts w:ascii="Times New Roman" w:hAnsi="Times New Roman"/>
          <w:color w:val="000000" w:themeColor="text1"/>
          <w:sz w:val="16"/>
          <w:szCs w:val="16"/>
        </w:rPr>
        <w:t xml:space="preserve"> (1073,30).</w:t>
      </w:r>
    </w:p>
    <w:p w14:paraId="43BA86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CFEF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г. было создано уже упоминавшееся Управление механизации и моторизации (УММ) РККА. Организация УММ была чрезвычайно важна, поскольку до 1929 г. в СССР не было танкового производства и необходимых кадров конструкторов-танкостроителей. Становлению этого направления способствовали энтузиасты танкового дела И. А.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и К. Б. Калиновский.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возглавлял УММ вплоть до 1934 г. Специальным постановлением РВС СССР было предусмотрено создание различных типов танков: танкетка, средний, большой (тяжелый) и мостовой танки, а также их тактико-технические характеристики. 23 января 1930 к РВС утвердил программу создания различных видов самолетов (в том числе гидросамолетов), аэростатов, аэрофотоаппаратов и приборов на первую 5-летку, причем главное внимание было уделено бомбардировочной и истребительной авиации (Советские Вооруженные Силы. История строительства. М., 1978, с. 182,185; КПСС —организатор защиты социалистического Отечества. М., 1977. С. 163-164.). Особое внимание было уделено увеличению численности инженерно-технических кадров старшего звена. Для этого на базе военной академии им. Фрунзе был создан ряд специализированных военных академий (Военно-техническая, Артиллерийская, Военно-химическая, Военно-инженерная и др. ). Это позволило увеличить число слушателей с 3200 в 1928 г. до 16,5 тыс. в 1932 г. В январе 1931 г. РВС уточнил план строительства РККА на 1931 — 1933 гг., завершив тем самым процесс разработки первого 5-летнего плана военного строительства. В 1933 г. была начата разработка второго 5-летнего плана строительства РККА на 1934 — 1938гг., направленного на завершение начавшегося технического перевооружения РККА. СТО принял тогда постановления «О программе военно-морского строительства на 1933 — 1938гг. », «О системе артиллерийского вооружения РККА на вторую пятилетку», позднее утвердил план развития ВВС на 1935-1937 гг. (Жуков Г. К. Воспоминания и размышления. В трех томах. М.,1990. Т. 1.С. 174-178.). Вся страна постепенно превращалась в военный лагерь. И безобидная на первый взгляд закупка за рубежом партии сукна защитного цвета и медикаментов превращалась в акцию по повышению обороноспособности и выживаемости советского строя в условиях капиталистического окружения. Параллельно схожие процессы происходили в Германии. Там в недрах военного министерства был подготовлен мобилизационный план на случай военных действий (т. наз. «А-план»), предусматривавший наличие 300-тысячного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(21-я дивизия). С учетом ограниченных средств военного бюджета вооружение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должно было проводиться в два этапа (1928 — 1932гг. и 1933 — 1938гг. ). Осенью 1928г. правительство одобрило первую программу вооружений, выделив на оснащение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250 млн. м. Еще 80 млн. м. было </w:t>
      </w:r>
      <w:r w:rsidRPr="00A259BD">
        <w:rPr>
          <w:rFonts w:ascii="Times New Roman" w:hAnsi="Times New Roman"/>
          <w:color w:val="000000" w:themeColor="text1"/>
          <w:sz w:val="16"/>
          <w:szCs w:val="16"/>
        </w:rPr>
        <w:lastRenderedPageBreak/>
        <w:t>выделено на развитие «</w:t>
      </w:r>
      <w:proofErr w:type="spellStart"/>
      <w:r w:rsidRPr="00A259BD">
        <w:rPr>
          <w:rFonts w:ascii="Times New Roman" w:hAnsi="Times New Roman"/>
          <w:color w:val="000000" w:themeColor="text1"/>
          <w:sz w:val="16"/>
          <w:szCs w:val="16"/>
        </w:rPr>
        <w:t>райхсмарине</w:t>
      </w:r>
      <w:proofErr w:type="spellEnd"/>
      <w:r w:rsidRPr="00A259BD">
        <w:rPr>
          <w:rFonts w:ascii="Times New Roman" w:hAnsi="Times New Roman"/>
          <w:color w:val="000000" w:themeColor="text1"/>
          <w:sz w:val="16"/>
          <w:szCs w:val="16"/>
        </w:rPr>
        <w:t>». Главной целью программы было создание соответствующих прототипов современных самолетов и танков. Начатая в 1926 г. работа уже к 1929 — 1930гг. дала первые плоды: фирмы «Крупп»,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xml:space="preserve">», «Даймлер-Бенц» подготовили модели тяжелого и легкого танков. Вряд ли возможно до конца выявить все отдельные контракты и сделки, заключенные советскими внешнеторговыми организациями, специализированными объединениями и трестами с немецкими фирмами, а также их филиалами в третьих странах, равно как и выявить все несостоявшиеся контракты, несостоявшиеся в силу того, что фирмы, по совету представителей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показывали и давали советским представителям сразу столько, что заключение контракта после этого становилось попросту ненужным. Опыт взаимодействия с небольшими предприятиями (теми же «Юнкерсом», «</w:t>
      </w:r>
      <w:proofErr w:type="spellStart"/>
      <w:r w:rsidRPr="00A259BD">
        <w:rPr>
          <w:rFonts w:ascii="Times New Roman" w:hAnsi="Times New Roman"/>
          <w:color w:val="000000" w:themeColor="text1"/>
          <w:sz w:val="16"/>
          <w:szCs w:val="16"/>
        </w:rPr>
        <w:t>Штольценбергом</w:t>
      </w:r>
      <w:proofErr w:type="spellEnd"/>
      <w:r w:rsidRPr="00A259BD">
        <w:rPr>
          <w:rFonts w:ascii="Times New Roman" w:hAnsi="Times New Roman"/>
          <w:color w:val="000000" w:themeColor="text1"/>
          <w:sz w:val="16"/>
          <w:szCs w:val="16"/>
        </w:rPr>
        <w:t>» и др. ) оказался чрезвычайно полезным для советского военно-промышленного комплекса, переживавшего тогда стадию становления. Он показал, что с малыми и средними зарубежными предприятиями, — если умело составить договор (без упоминаний о третейском суде и арбитраже, гарантии инвестиций, получения прибылей и т. д. ) и использовать международную ситуацию, а то и открыто использовать такое действенное средство как политический шантаж руководителей почти союзной державы, — то можно было не только получить оборудование, обучить работников использовать его, но и, обвинив своих партнеров «в преступной халатности», «вредительстве» и прочих грехах, обобрать и разорить, вынудив их затем долгие годы восстанавливать свою репутацию (11784).</w:t>
      </w:r>
    </w:p>
    <w:p w14:paraId="7528CD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968408B"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6F80D95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1F4F20" w14:textId="77777777" w:rsidR="009F3EBB" w:rsidRPr="00A259BD" w:rsidRDefault="009F3EB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ноябре 1929 Пленум ЦК ВКП(б) чётко определил главную задачу – «догнать и перегнать» передовые капиталистические страны – как практическое выражение государственной политики. В его решениях подчёркивалась необходимость обеспечить иностранной технической литературой все лаборатории вузов и втузов, организовать изучение студентами и молодыми специалистами иностранных языков (19546).</w:t>
      </w:r>
    </w:p>
    <w:p w14:paraId="752B5B29" w14:textId="77777777" w:rsidR="009F3EBB" w:rsidRPr="00A259BD" w:rsidRDefault="009F3EBB" w:rsidP="009236E3">
      <w:pPr>
        <w:spacing w:after="0" w:line="240" w:lineRule="auto"/>
        <w:jc w:val="both"/>
        <w:rPr>
          <w:rFonts w:ascii="Times New Roman" w:hAnsi="Times New Roman"/>
          <w:color w:val="000000" w:themeColor="text1"/>
          <w:sz w:val="16"/>
          <w:szCs w:val="16"/>
        </w:rPr>
      </w:pPr>
    </w:p>
    <w:p w14:paraId="1B551A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пленум ЦК вывел из ЦК </w:t>
      </w:r>
      <w:proofErr w:type="spellStart"/>
      <w:r w:rsidRPr="00A259BD">
        <w:rPr>
          <w:rFonts w:ascii="Times New Roman" w:hAnsi="Times New Roman"/>
          <w:color w:val="000000" w:themeColor="text1"/>
          <w:sz w:val="16"/>
          <w:szCs w:val="16"/>
        </w:rPr>
        <w:t>Н.И.Бухарина</w:t>
      </w:r>
      <w:proofErr w:type="spellEnd"/>
      <w:r w:rsidRPr="00A259BD">
        <w:rPr>
          <w:rFonts w:ascii="Times New Roman" w:hAnsi="Times New Roman"/>
          <w:color w:val="000000" w:themeColor="text1"/>
          <w:sz w:val="16"/>
          <w:szCs w:val="16"/>
        </w:rPr>
        <w:t xml:space="preserve"> - как застрельщики и руководителя правых капитулянтов, а </w:t>
      </w:r>
      <w:proofErr w:type="spellStart"/>
      <w:r w:rsidRPr="00A259BD">
        <w:rPr>
          <w:rFonts w:ascii="Times New Roman" w:hAnsi="Times New Roman"/>
          <w:color w:val="000000" w:themeColor="text1"/>
          <w:sz w:val="16"/>
          <w:szCs w:val="16"/>
        </w:rPr>
        <w:t>А.И.Рыкову</w:t>
      </w:r>
      <w:proofErr w:type="spellEnd"/>
      <w:r w:rsidRPr="00A259BD">
        <w:rPr>
          <w:rFonts w:ascii="Times New Roman" w:hAnsi="Times New Roman"/>
          <w:color w:val="000000" w:themeColor="text1"/>
          <w:sz w:val="16"/>
          <w:szCs w:val="16"/>
        </w:rPr>
        <w:t xml:space="preserve"> и Томскому сделал предупреждение. После этого лидеры правых подали заявления о признании ошибок и правильности генеральной линии партии, но не вели активной борьбы за претворение ее в жизнь (226,387).</w:t>
      </w:r>
    </w:p>
    <w:p w14:paraId="2ADCC1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F8F4F6" w14:textId="77777777" w:rsidR="009F3EBB" w:rsidRPr="00A259BD" w:rsidRDefault="009F3EB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Ноябрь 1929. Начальник ударной группы по борьбе с бандитизмом Московского уголовного розыска Л. Д. Буль в рапорте начальнику оперативного отдела ОГПУ К. В. Паукеру писал: "Местами сборищ проституток являют </w:t>
      </w:r>
      <w:proofErr w:type="spellStart"/>
      <w:r w:rsidRPr="00A259BD">
        <w:rPr>
          <w:rFonts w:ascii="Times New Roman" w:hAnsi="Times New Roman"/>
          <w:color w:val="000000" w:themeColor="text1"/>
          <w:sz w:val="16"/>
          <w:szCs w:val="16"/>
        </w:rPr>
        <w:t>ся</w:t>
      </w:r>
      <w:proofErr w:type="spellEnd"/>
      <w:r w:rsidRPr="00A259BD">
        <w:rPr>
          <w:rFonts w:ascii="Times New Roman" w:hAnsi="Times New Roman"/>
          <w:color w:val="000000" w:themeColor="text1"/>
          <w:sz w:val="16"/>
          <w:szCs w:val="16"/>
        </w:rPr>
        <w:t xml:space="preserve"> центральные улицы города, по которым с наступления вечера невозможно пройти, не подвергаясь открытым приставаниям, сопровождающимся оскорблениями в виде площадной брани. Скопление проституток в определенных пунктах, в свою очередь, вызывает сборище хулиганов, большая часть которых является сутенерами и выступает в защиту своих "подруг" при столкновениях с прохожими. Это ненормальное явление вызывает нарекания рабочих на бездействие карательных органов". Буль предлагал, начиная с трех часов дня и до 12 ночи "изымать" проституток в районах Театрального проезда, Неглинной улицы, Петровки, Столешникова переулка, Тверской, Арбата, Садовой-</w:t>
      </w:r>
      <w:proofErr w:type="spellStart"/>
      <w:r w:rsidRPr="00A259BD">
        <w:rPr>
          <w:rFonts w:ascii="Times New Roman" w:hAnsi="Times New Roman"/>
          <w:color w:val="000000" w:themeColor="text1"/>
          <w:sz w:val="16"/>
          <w:szCs w:val="16"/>
        </w:rPr>
        <w:t>Тримфальной</w:t>
      </w:r>
      <w:proofErr w:type="spellEnd"/>
      <w:r w:rsidRPr="00A259BD">
        <w:rPr>
          <w:rFonts w:ascii="Times New Roman" w:hAnsi="Times New Roman"/>
          <w:color w:val="000000" w:themeColor="text1"/>
          <w:sz w:val="16"/>
          <w:szCs w:val="16"/>
        </w:rPr>
        <w:t xml:space="preserve"> и Цветного бульвара. Сотрудники милиции должны были играть роль клиентов и, пригласив проститутку в гостиницу, "дорогой сдавать ее в ближайшее отделение милиции" (18726).</w:t>
      </w:r>
    </w:p>
    <w:p w14:paraId="76DA85EA" w14:textId="77777777" w:rsidR="009F3EBB" w:rsidRPr="00A259BD" w:rsidRDefault="009F3EBB" w:rsidP="009236E3">
      <w:pPr>
        <w:spacing w:after="0" w:line="240" w:lineRule="auto"/>
        <w:jc w:val="both"/>
        <w:rPr>
          <w:rFonts w:ascii="Times New Roman" w:hAnsi="Times New Roman"/>
          <w:color w:val="000000" w:themeColor="text1"/>
          <w:sz w:val="16"/>
          <w:szCs w:val="16"/>
        </w:rPr>
      </w:pPr>
    </w:p>
    <w:p w14:paraId="385048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w:t>
      </w:r>
      <w:proofErr w:type="spellStart"/>
      <w:r w:rsidRPr="00A259BD">
        <w:rPr>
          <w:rFonts w:ascii="Times New Roman" w:hAnsi="Times New Roman"/>
          <w:color w:val="000000" w:themeColor="text1"/>
          <w:sz w:val="16"/>
          <w:szCs w:val="16"/>
        </w:rPr>
        <w:t>Мос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ковское</w:t>
      </w:r>
      <w:proofErr w:type="spellEnd"/>
      <w:r w:rsidRPr="00A259BD">
        <w:rPr>
          <w:rFonts w:ascii="Times New Roman" w:hAnsi="Times New Roman"/>
          <w:color w:val="000000" w:themeColor="text1"/>
          <w:sz w:val="16"/>
          <w:szCs w:val="16"/>
        </w:rPr>
        <w:t xml:space="preserve"> радио начало вещание на иностранных языках для зарубежных слушателей. Первые передачи проводились на немецком языке, затем – на французском и английском языках (11223).</w:t>
      </w:r>
    </w:p>
    <w:p w14:paraId="7AF1F0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E9548FA"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01D5A6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12171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ноябре 1929 года строительство R.100 закончились и 16 декабря он впервые поднялся в небо. Каркас дирижабля R.100 был сделан целиком из дюраля и по принципам и методам конструирования </w:t>
      </w:r>
      <w:proofErr w:type="spellStart"/>
      <w:r w:rsidRPr="00A259BD">
        <w:rPr>
          <w:rFonts w:ascii="Times New Roman" w:hAnsi="Times New Roman"/>
          <w:color w:val="000000" w:themeColor="text1"/>
          <w:sz w:val="16"/>
          <w:szCs w:val="16"/>
        </w:rPr>
        <w:t>цеппелиновского</w:t>
      </w:r>
      <w:proofErr w:type="spellEnd"/>
      <w:r w:rsidRPr="00A259BD">
        <w:rPr>
          <w:rFonts w:ascii="Times New Roman" w:hAnsi="Times New Roman"/>
          <w:color w:val="000000" w:themeColor="text1"/>
          <w:sz w:val="16"/>
          <w:szCs w:val="16"/>
        </w:rPr>
        <w:t xml:space="preserve"> типа дирижаблей. Однако между конструкциями R.100 и обычного цеппелина имелись значительные отличия.</w:t>
      </w:r>
    </w:p>
    <w:p w14:paraId="2B04F2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Форма R. 100 мало отличалась от первоначальной формы R.101 (без цилиндрической вставки). Дирижабль R.100 предназначался для пассажирских сообщений. Помещения для пассажиров так же, как и в R.101, располагались внутри каркаса дирижабля; наружу выступала только находящаяся под пассажирским помещением сравнительно небольшая гондола управления и подвешенные к каркасу 3 моторные гондолы. Пассажирские помещения находились на трех этажах в передней части корабля, на значительном расстоянии от моторов, между 5-м и 6-м шпангоутами. Нижний этаж, расположенный непосредственно над гондолой, предназначался для размещения экипажа, два других этажа — для пассажиров. В среднем [293] этаже находилась большая столовая на 56 мест. С обеих сторон столовой шли палубы для прогулок. Такие же палубы для прогулок имелись и на верхнем этаже. Каюты для пассажиров помещались на обоих этажах. Всего имелось 32 каюты, предназначенные для 100 пассажиров. </w:t>
      </w:r>
    </w:p>
    <w:p w14:paraId="77E10D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 время стоянки корабля на причальной мачте пассажиры попадали в свои помещения внутри каркаса через люк с откидным мостиком в передней части дирижабля и далее по коридору, тянущемуся внизу внутри каркаса. </w:t>
      </w:r>
    </w:p>
    <w:p w14:paraId="0FBECE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Моторных гондол было всего 3; они находились за миделевым сечением, ближе к корме. В каждой из них были установлены по 2 мотора Роллс-Ройс “Кондор”, мощностью по 660 л. с. каждый. Моторы располагались: один в передней, другой в задней части гондолы. Соответственно были и винты — тянущий и толкающий. </w:t>
      </w:r>
    </w:p>
    <w:p w14:paraId="260399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 проектировании R.100 выяснялся вопрос, что именно является более выгодным: шесть отдельных гондол с одним мотором в каждой или три моторных гондолы с двумя моторами. В последнем случае коэффициент полезного действия заднего винта, работающего в струе переднего винта, меньше. В то же время увеличение веса при установке шести гондол вместо трех, а также необходимость иметь при этом лишних механиков в значительной мере компенсировали недостаток установки двух моторов в одной гондоле. Задние двигатели каждой гондолы снабжались механизмом реверса, позволявшим изменять направление вращения винта. </w:t>
      </w:r>
    </w:p>
    <w:p w14:paraId="731732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испытаниях R.100 достиг максимальной скорости 132 км/ч и показал себя в целом хорошо. Вершиной его карьеры стал двойной [294] перелет Атлантического океана из </w:t>
      </w:r>
      <w:proofErr w:type="spellStart"/>
      <w:r w:rsidRPr="00A259BD">
        <w:rPr>
          <w:rFonts w:ascii="Times New Roman" w:hAnsi="Times New Roman"/>
          <w:color w:val="000000" w:themeColor="text1"/>
          <w:sz w:val="16"/>
          <w:szCs w:val="16"/>
        </w:rPr>
        <w:t>Кардингтона</w:t>
      </w:r>
      <w:proofErr w:type="spellEnd"/>
      <w:r w:rsidRPr="00A259BD">
        <w:rPr>
          <w:rFonts w:ascii="Times New Roman" w:hAnsi="Times New Roman"/>
          <w:color w:val="000000" w:themeColor="text1"/>
          <w:sz w:val="16"/>
          <w:szCs w:val="16"/>
        </w:rPr>
        <w:t xml:space="preserve"> в Монреаль и обратно, совершенный в августе 1930 года. В том полете на его борту находилось 38 человек экипажа и 44 пассажира. На подходе к Монреалю дирижабль благополучно преодолел полосу сильных грозовых шквалов, причем в полете был произведен ремонт сорванной обтяжки руля высоты. Путешествие в Канаду длилось 78 часов, а обратный полет, благодаря сильному попутному ветру, сократился до 58 часов. Во время этого перелета были проверены технические качества корабля. Такие впечатляющие результаты еще больше укрепили мнение сторонников дирижаблей в счастливом будущем британского воздухоплавательного транспорта. Ускоренными темпами строились аэродромы и причальные вышки в Исмаилии (Египет), в Карачи (Индия), в Сент-Губерте (Канада) и в </w:t>
      </w:r>
      <w:proofErr w:type="spellStart"/>
      <w:r w:rsidRPr="00A259BD">
        <w:rPr>
          <w:rFonts w:ascii="Times New Roman" w:hAnsi="Times New Roman"/>
          <w:color w:val="000000" w:themeColor="text1"/>
          <w:sz w:val="16"/>
          <w:szCs w:val="16"/>
        </w:rPr>
        <w:t>Гроутвилле</w:t>
      </w:r>
      <w:proofErr w:type="spellEnd"/>
      <w:r w:rsidRPr="00A259BD">
        <w:rPr>
          <w:rFonts w:ascii="Times New Roman" w:hAnsi="Times New Roman"/>
          <w:color w:val="000000" w:themeColor="text1"/>
          <w:sz w:val="16"/>
          <w:szCs w:val="16"/>
        </w:rPr>
        <w:t xml:space="preserve"> и Дурбане (Южная Африка) (11324).</w:t>
      </w:r>
    </w:p>
    <w:p w14:paraId="5BFB2C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EEDB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ноябре 1929 с крахом Нью-Йоркской фондовой биржи прекратилось кредитование европейских стран из США (3907,157).</w:t>
      </w:r>
    </w:p>
    <w:p w14:paraId="5F6287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E7D3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ноябре 1929 г. Амторгом был подписан контракт с Frank D. Chase на техническое и инженерное содействие в организации тракторного литейного завода (9366).</w:t>
      </w:r>
    </w:p>
    <w:p w14:paraId="15A920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E613B33" w14:textId="77777777" w:rsidR="00783840" w:rsidRPr="00A259BD" w:rsidRDefault="00783840"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328D131" w14:textId="77777777" w:rsidR="00783840" w:rsidRPr="00A259BD" w:rsidRDefault="0078384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3216E8C" w14:textId="77777777" w:rsidR="00783840" w:rsidRPr="00A259BD" w:rsidRDefault="0078384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lang w:eastAsia="ru-RU" w:bidi="ru-RU"/>
        </w:rPr>
        <w:t xml:space="preserve">К концу осени 1929 г. был готов паровой дирижабль, разработанный в США под руководством Т. </w:t>
      </w:r>
      <w:proofErr w:type="spellStart"/>
      <w:r w:rsidRPr="00A259BD">
        <w:rPr>
          <w:rFonts w:ascii="Times New Roman" w:hAnsi="Times New Roman"/>
          <w:color w:val="000000" w:themeColor="text1"/>
          <w:sz w:val="16"/>
          <w:szCs w:val="16"/>
          <w:lang w:eastAsia="ru-RU" w:bidi="ru-RU"/>
        </w:rPr>
        <w:t>Слэйта</w:t>
      </w:r>
      <w:proofErr w:type="spellEnd"/>
      <w:r w:rsidRPr="00A259BD">
        <w:rPr>
          <w:rFonts w:ascii="Times New Roman" w:hAnsi="Times New Roman"/>
          <w:color w:val="000000" w:themeColor="text1"/>
          <w:sz w:val="16"/>
          <w:szCs w:val="16"/>
          <w:lang w:eastAsia="ru-RU" w:bidi="ru-RU"/>
        </w:rPr>
        <w:t>. Сконстру</w:t>
      </w:r>
      <w:r w:rsidRPr="00A259BD">
        <w:rPr>
          <w:rFonts w:ascii="Times New Roman" w:hAnsi="Times New Roman"/>
          <w:color w:val="000000" w:themeColor="text1"/>
          <w:sz w:val="16"/>
          <w:szCs w:val="16"/>
          <w:lang w:eastAsia="ru-RU" w:bidi="ru-RU"/>
        </w:rPr>
        <w:softHyphen/>
        <w:t>ировали и изготовили цельноме</w:t>
      </w:r>
      <w:r w:rsidRPr="00A259BD">
        <w:rPr>
          <w:rFonts w:ascii="Times New Roman" w:hAnsi="Times New Roman"/>
          <w:color w:val="000000" w:themeColor="text1"/>
          <w:sz w:val="16"/>
          <w:szCs w:val="16"/>
          <w:lang w:eastAsia="ru-RU" w:bidi="ru-RU"/>
        </w:rPr>
        <w:softHyphen/>
        <w:t>таллический пассажирский аппарат легче воздуха, получивший назва</w:t>
      </w:r>
      <w:r w:rsidRPr="00A259BD">
        <w:rPr>
          <w:rFonts w:ascii="Times New Roman" w:hAnsi="Times New Roman"/>
          <w:color w:val="000000" w:themeColor="text1"/>
          <w:sz w:val="16"/>
          <w:szCs w:val="16"/>
          <w:lang w:eastAsia="ru-RU" w:bidi="ru-RU"/>
        </w:rPr>
        <w:softHyphen/>
        <w:t>ние «Сити оф Глендейл» (в честь го</w:t>
      </w:r>
      <w:r w:rsidRPr="00A259BD">
        <w:rPr>
          <w:rFonts w:ascii="Times New Roman" w:hAnsi="Times New Roman"/>
          <w:color w:val="000000" w:themeColor="text1"/>
          <w:sz w:val="16"/>
          <w:szCs w:val="16"/>
          <w:lang w:eastAsia="ru-RU" w:bidi="ru-RU"/>
        </w:rPr>
        <w:softHyphen/>
        <w:t>рода, где его собирали). Дирижабль с экипажем из пяти человек должен был перевозить 35 пассажиров.</w:t>
      </w:r>
    </w:p>
    <w:p w14:paraId="149AD2B8" w14:textId="77777777" w:rsidR="00783840" w:rsidRPr="00A259BD" w:rsidRDefault="00783840" w:rsidP="009236E3">
      <w:pPr>
        <w:spacing w:after="0" w:line="240" w:lineRule="auto"/>
        <w:jc w:val="both"/>
        <w:rPr>
          <w:rFonts w:ascii="Times New Roman" w:hAnsi="Times New Roman"/>
          <w:color w:val="000000" w:themeColor="text1"/>
          <w:sz w:val="16"/>
          <w:szCs w:val="16"/>
          <w:lang w:eastAsia="ru-RU" w:bidi="ru-RU"/>
        </w:rPr>
      </w:pPr>
      <w:r w:rsidRPr="00A259BD">
        <w:rPr>
          <w:rFonts w:ascii="Times New Roman" w:hAnsi="Times New Roman"/>
          <w:color w:val="000000" w:themeColor="text1"/>
          <w:sz w:val="16"/>
          <w:szCs w:val="16"/>
          <w:lang w:eastAsia="ru-RU" w:bidi="ru-RU"/>
        </w:rPr>
        <w:t>Он отличался очень оригиналь</w:t>
      </w:r>
      <w:r w:rsidRPr="00A259BD">
        <w:rPr>
          <w:rFonts w:ascii="Times New Roman" w:hAnsi="Times New Roman"/>
          <w:color w:val="000000" w:themeColor="text1"/>
          <w:sz w:val="16"/>
          <w:szCs w:val="16"/>
          <w:lang w:eastAsia="ru-RU" w:bidi="ru-RU"/>
        </w:rPr>
        <w:softHyphen/>
        <w:t>ной силовой установкой. Паровая турбина мощностью 600 л.с., смон</w:t>
      </w:r>
      <w:r w:rsidRPr="00A259BD">
        <w:rPr>
          <w:rFonts w:ascii="Times New Roman" w:hAnsi="Times New Roman"/>
          <w:color w:val="000000" w:themeColor="text1"/>
          <w:sz w:val="16"/>
          <w:szCs w:val="16"/>
          <w:lang w:eastAsia="ru-RU" w:bidi="ru-RU"/>
        </w:rPr>
        <w:softHyphen/>
        <w:t>тированная в самом носу баллона, напрямую вращала высокообо</w:t>
      </w:r>
      <w:r w:rsidRPr="00A259BD">
        <w:rPr>
          <w:rFonts w:ascii="Times New Roman" w:hAnsi="Times New Roman"/>
          <w:color w:val="000000" w:themeColor="text1"/>
          <w:sz w:val="16"/>
          <w:szCs w:val="16"/>
          <w:lang w:eastAsia="ru-RU" w:bidi="ru-RU"/>
        </w:rPr>
        <w:softHyphen/>
        <w:t>ротный вентилятор диаметром 1,47 м. Он крутился при 4000 - 6000 об/мин! Поток воздуха от вен</w:t>
      </w:r>
      <w:r w:rsidRPr="00A259BD">
        <w:rPr>
          <w:rFonts w:ascii="Times New Roman" w:hAnsi="Times New Roman"/>
          <w:color w:val="000000" w:themeColor="text1"/>
          <w:sz w:val="16"/>
          <w:szCs w:val="16"/>
          <w:lang w:eastAsia="ru-RU" w:bidi="ru-RU"/>
        </w:rPr>
        <w:softHyphen/>
        <w:t>тилятора омывал корпус. По бокам имелись еще четыре подобных двигателя поменьше: два по 40 л.с. и два по 10 л.с. Они имели устрой</w:t>
      </w:r>
      <w:r w:rsidRPr="00A259BD">
        <w:rPr>
          <w:rFonts w:ascii="Times New Roman" w:hAnsi="Times New Roman"/>
          <w:color w:val="000000" w:themeColor="text1"/>
          <w:sz w:val="16"/>
          <w:szCs w:val="16"/>
          <w:lang w:eastAsia="ru-RU" w:bidi="ru-RU"/>
        </w:rPr>
        <w:softHyphen/>
        <w:t>ство реверса и предназначались для маневрирования и медленного движения задним ходом. Еще две вспомогательных турбины крутили электрогенератор и насосы. Пар поступал из котла, размещенного в передней части гондолы. Исполь</w:t>
      </w:r>
      <w:r w:rsidRPr="00A259BD">
        <w:rPr>
          <w:rFonts w:ascii="Times New Roman" w:hAnsi="Times New Roman"/>
          <w:color w:val="000000" w:themeColor="text1"/>
          <w:sz w:val="16"/>
          <w:szCs w:val="16"/>
          <w:lang w:eastAsia="ru-RU" w:bidi="ru-RU"/>
        </w:rPr>
        <w:softHyphen/>
        <w:t>зовали два вида топлива: нефть и природный газ. Чередуя их, наме</w:t>
      </w:r>
      <w:r w:rsidRPr="00A259BD">
        <w:rPr>
          <w:rFonts w:ascii="Times New Roman" w:hAnsi="Times New Roman"/>
          <w:color w:val="000000" w:themeColor="text1"/>
          <w:sz w:val="16"/>
          <w:szCs w:val="16"/>
          <w:lang w:eastAsia="ru-RU" w:bidi="ru-RU"/>
        </w:rPr>
        <w:softHyphen/>
        <w:t>ревались добиться нужного баланса подъемной силы без применения балласта. Вся силовая установка ве</w:t>
      </w:r>
      <w:r w:rsidRPr="00A259BD">
        <w:rPr>
          <w:rFonts w:ascii="Times New Roman" w:hAnsi="Times New Roman"/>
          <w:color w:val="000000" w:themeColor="text1"/>
          <w:sz w:val="16"/>
          <w:szCs w:val="16"/>
          <w:lang w:eastAsia="ru-RU" w:bidi="ru-RU"/>
        </w:rPr>
        <w:softHyphen/>
        <w:t>сила примерно 800 кг. Конструктор считал, что его дирижабль сможет двигаться со скоростью до 130 км/ч.</w:t>
      </w:r>
    </w:p>
    <w:p w14:paraId="129298DD" w14:textId="77777777" w:rsidR="00783840" w:rsidRPr="00A259BD" w:rsidRDefault="00783840" w:rsidP="009236E3">
      <w:pPr>
        <w:spacing w:after="0" w:line="240" w:lineRule="auto"/>
        <w:jc w:val="both"/>
        <w:rPr>
          <w:rFonts w:ascii="Times New Roman" w:hAnsi="Times New Roman"/>
          <w:color w:val="000000" w:themeColor="text1"/>
          <w:sz w:val="16"/>
          <w:szCs w:val="16"/>
          <w:lang w:eastAsia="ru-RU" w:bidi="ru-RU"/>
        </w:rPr>
      </w:pPr>
      <w:r w:rsidRPr="00A259BD">
        <w:rPr>
          <w:rFonts w:ascii="Times New Roman" w:hAnsi="Times New Roman"/>
          <w:color w:val="000000" w:themeColor="text1"/>
          <w:sz w:val="16"/>
          <w:szCs w:val="16"/>
          <w:lang w:eastAsia="ru-RU" w:bidi="ru-RU"/>
        </w:rPr>
        <w:t>Две попытки вывести дири</w:t>
      </w:r>
      <w:r w:rsidRPr="00A259BD">
        <w:rPr>
          <w:rFonts w:ascii="Times New Roman" w:hAnsi="Times New Roman"/>
          <w:color w:val="000000" w:themeColor="text1"/>
          <w:sz w:val="16"/>
          <w:szCs w:val="16"/>
          <w:lang w:eastAsia="ru-RU" w:bidi="ru-RU"/>
        </w:rPr>
        <w:softHyphen/>
        <w:t>жабль на летное поле не удались из-за сильного ветра. Третий раз это попробовали сделать 19 декабря. Аппарат слишком долго вытаски</w:t>
      </w:r>
      <w:r w:rsidRPr="00A259BD">
        <w:rPr>
          <w:rFonts w:ascii="Times New Roman" w:hAnsi="Times New Roman"/>
          <w:color w:val="000000" w:themeColor="text1"/>
          <w:sz w:val="16"/>
          <w:szCs w:val="16"/>
          <w:lang w:eastAsia="ru-RU" w:bidi="ru-RU"/>
        </w:rPr>
        <w:softHyphen/>
        <w:t>вали из ангара, алюминиевая об</w:t>
      </w:r>
      <w:r w:rsidRPr="00A259BD">
        <w:rPr>
          <w:rFonts w:ascii="Times New Roman" w:hAnsi="Times New Roman"/>
          <w:color w:val="000000" w:themeColor="text1"/>
          <w:sz w:val="16"/>
          <w:szCs w:val="16"/>
          <w:lang w:eastAsia="ru-RU" w:bidi="ru-RU"/>
        </w:rPr>
        <w:softHyphen/>
        <w:t>шивка перегрелась. Давление водо</w:t>
      </w:r>
      <w:r w:rsidRPr="00A259BD">
        <w:rPr>
          <w:rFonts w:ascii="Times New Roman" w:hAnsi="Times New Roman"/>
          <w:color w:val="000000" w:themeColor="text1"/>
          <w:sz w:val="16"/>
          <w:szCs w:val="16"/>
          <w:lang w:eastAsia="ru-RU" w:bidi="ru-RU"/>
        </w:rPr>
        <w:softHyphen/>
        <w:t>рода в баллоне сильно поднялось, полетели заклепки. Из-за потери части газа дирижабль рухнул вниз и получил повреждения. Силовую установку даже толком не успели запустить. «Сити оф Глендейл» осел в ангаре, потом грянул кризис и его продали в металлолом (21347).</w:t>
      </w:r>
    </w:p>
    <w:p w14:paraId="1CFF1CB8" w14:textId="77777777" w:rsidR="00783840" w:rsidRPr="00A259BD" w:rsidRDefault="00783840" w:rsidP="009236E3">
      <w:pPr>
        <w:spacing w:after="0" w:line="240" w:lineRule="auto"/>
        <w:jc w:val="both"/>
        <w:rPr>
          <w:rFonts w:ascii="Times New Roman" w:hAnsi="Times New Roman"/>
          <w:color w:val="000000" w:themeColor="text1"/>
          <w:sz w:val="16"/>
          <w:szCs w:val="16"/>
          <w:lang w:eastAsia="ru-RU" w:bidi="ru-RU"/>
        </w:rPr>
      </w:pPr>
      <w:r w:rsidRPr="00A259BD">
        <w:rPr>
          <w:rFonts w:ascii="Times New Roman" w:hAnsi="Times New Roman"/>
          <w:color w:val="000000" w:themeColor="text1"/>
          <w:sz w:val="16"/>
          <w:szCs w:val="16"/>
          <w:lang w:eastAsia="ru-RU" w:bidi="ru-RU"/>
        </w:rPr>
        <w:t>14 августа 1934 г. на ПТ-1 утвердили официальные техниче</w:t>
      </w:r>
      <w:r w:rsidRPr="00A259BD">
        <w:rPr>
          <w:rFonts w:ascii="Times New Roman" w:hAnsi="Times New Roman"/>
          <w:color w:val="000000" w:themeColor="text1"/>
          <w:sz w:val="16"/>
          <w:szCs w:val="16"/>
          <w:lang w:eastAsia="ru-RU" w:bidi="ru-RU"/>
        </w:rPr>
        <w:softHyphen/>
        <w:t>ские требования. В них прямо написали, что предназна</w:t>
      </w:r>
      <w:r w:rsidRPr="00A259BD">
        <w:rPr>
          <w:rFonts w:ascii="Times New Roman" w:hAnsi="Times New Roman"/>
          <w:color w:val="000000" w:themeColor="text1"/>
          <w:sz w:val="16"/>
          <w:szCs w:val="16"/>
          <w:lang w:eastAsia="ru-RU" w:bidi="ru-RU"/>
        </w:rPr>
        <w:softHyphen/>
        <w:t>чается она для тяжелого бомбардировщика ТБ-3. Эскизный проект подготовили в 1931 г. В переписке 1932 г. встретилось упоминание, что уста</w:t>
      </w:r>
      <w:r w:rsidRPr="00A259BD">
        <w:rPr>
          <w:rFonts w:ascii="Times New Roman" w:hAnsi="Times New Roman"/>
          <w:color w:val="000000" w:themeColor="text1"/>
          <w:sz w:val="16"/>
          <w:szCs w:val="16"/>
          <w:lang w:eastAsia="ru-RU" w:bidi="ru-RU"/>
        </w:rPr>
        <w:softHyphen/>
        <w:t>новка состояла из двух турбин, котла и вспомогательных агрегатов; суммарная мощность - 3000 л.с.</w:t>
      </w:r>
    </w:p>
    <w:p w14:paraId="01FD8ECC" w14:textId="77777777" w:rsidR="00783840" w:rsidRPr="00A259BD" w:rsidRDefault="00783840" w:rsidP="009236E3">
      <w:pPr>
        <w:spacing w:after="0" w:line="240" w:lineRule="auto"/>
        <w:jc w:val="both"/>
        <w:rPr>
          <w:rFonts w:ascii="Times New Roman" w:hAnsi="Times New Roman"/>
          <w:color w:val="000000" w:themeColor="text1"/>
          <w:sz w:val="16"/>
          <w:szCs w:val="16"/>
          <w:lang w:eastAsia="ru-RU" w:bidi="ru-RU"/>
        </w:rPr>
      </w:pPr>
      <w:r w:rsidRPr="00A259BD">
        <w:rPr>
          <w:rFonts w:ascii="Times New Roman" w:hAnsi="Times New Roman"/>
          <w:color w:val="000000" w:themeColor="text1"/>
          <w:sz w:val="16"/>
          <w:szCs w:val="16"/>
          <w:lang w:eastAsia="ru-RU" w:bidi="ru-RU"/>
        </w:rPr>
        <w:t>Турбины с понижающими редукторами устанавли</w:t>
      </w:r>
      <w:r w:rsidRPr="00A259BD">
        <w:rPr>
          <w:rFonts w:ascii="Times New Roman" w:hAnsi="Times New Roman"/>
          <w:color w:val="000000" w:themeColor="text1"/>
          <w:sz w:val="16"/>
          <w:szCs w:val="16"/>
          <w:lang w:eastAsia="ru-RU" w:bidi="ru-RU"/>
        </w:rPr>
        <w:softHyphen/>
        <w:t xml:space="preserve">вались на </w:t>
      </w:r>
      <w:proofErr w:type="spellStart"/>
      <w:r w:rsidRPr="00A259BD">
        <w:rPr>
          <w:rFonts w:ascii="Times New Roman" w:hAnsi="Times New Roman"/>
          <w:color w:val="000000" w:themeColor="text1"/>
          <w:sz w:val="16"/>
          <w:szCs w:val="16"/>
          <w:lang w:eastAsia="ru-RU" w:bidi="ru-RU"/>
        </w:rPr>
        <w:t>подмоторных</w:t>
      </w:r>
      <w:proofErr w:type="spellEnd"/>
      <w:r w:rsidRPr="00A259BD">
        <w:rPr>
          <w:rFonts w:ascii="Times New Roman" w:hAnsi="Times New Roman"/>
          <w:color w:val="000000" w:themeColor="text1"/>
          <w:sz w:val="16"/>
          <w:szCs w:val="16"/>
          <w:lang w:eastAsia="ru-RU" w:bidi="ru-RU"/>
        </w:rPr>
        <w:t xml:space="preserve"> рамах на передней кромке крыла. Мощность каждой определялась в 1500 л.с. с возможностью форсирования на пять минут на 20% (то есть до 1800 л.с.). Парогенератор в виде </w:t>
      </w:r>
      <w:proofErr w:type="spellStart"/>
      <w:r w:rsidRPr="00A259BD">
        <w:rPr>
          <w:rFonts w:ascii="Times New Roman" w:hAnsi="Times New Roman"/>
          <w:color w:val="000000" w:themeColor="text1"/>
          <w:sz w:val="16"/>
          <w:szCs w:val="16"/>
          <w:lang w:eastAsia="ru-RU" w:bidi="ru-RU"/>
        </w:rPr>
        <w:t>многозаход</w:t>
      </w:r>
      <w:proofErr w:type="spellEnd"/>
      <w:r w:rsidRPr="00A259BD">
        <w:rPr>
          <w:rFonts w:ascii="Times New Roman" w:hAnsi="Times New Roman"/>
          <w:color w:val="000000" w:themeColor="text1"/>
          <w:sz w:val="16"/>
          <w:szCs w:val="16"/>
          <w:lang w:eastAsia="ru-RU" w:bidi="ru-RU"/>
        </w:rPr>
        <w:t xml:space="preserve">- </w:t>
      </w:r>
      <w:proofErr w:type="spellStart"/>
      <w:r w:rsidRPr="00A259BD">
        <w:rPr>
          <w:rFonts w:ascii="Times New Roman" w:hAnsi="Times New Roman"/>
          <w:color w:val="000000" w:themeColor="text1"/>
          <w:sz w:val="16"/>
          <w:szCs w:val="16"/>
          <w:lang w:eastAsia="ru-RU" w:bidi="ru-RU"/>
        </w:rPr>
        <w:t>ного</w:t>
      </w:r>
      <w:proofErr w:type="spellEnd"/>
      <w:r w:rsidRPr="00A259BD">
        <w:rPr>
          <w:rFonts w:ascii="Times New Roman" w:hAnsi="Times New Roman"/>
          <w:color w:val="000000" w:themeColor="text1"/>
          <w:sz w:val="16"/>
          <w:szCs w:val="16"/>
          <w:lang w:eastAsia="ru-RU" w:bidi="ru-RU"/>
        </w:rPr>
        <w:t xml:space="preserve"> змеевика располагался в фюзеляже. Предусма</w:t>
      </w:r>
      <w:r w:rsidRPr="00A259BD">
        <w:rPr>
          <w:rFonts w:ascii="Times New Roman" w:hAnsi="Times New Roman"/>
          <w:color w:val="000000" w:themeColor="text1"/>
          <w:sz w:val="16"/>
          <w:szCs w:val="16"/>
          <w:lang w:eastAsia="ru-RU" w:bidi="ru-RU"/>
        </w:rPr>
        <w:softHyphen/>
        <w:t xml:space="preserve">тривался предварительный подогрев воды. Топливом для котла должен был быть мазут или нефть. Зажигание осуществлялось </w:t>
      </w:r>
      <w:proofErr w:type="spellStart"/>
      <w:r w:rsidRPr="00A259BD">
        <w:rPr>
          <w:rFonts w:ascii="Times New Roman" w:hAnsi="Times New Roman"/>
          <w:color w:val="000000" w:themeColor="text1"/>
          <w:sz w:val="16"/>
          <w:szCs w:val="16"/>
          <w:lang w:eastAsia="ru-RU" w:bidi="ru-RU"/>
        </w:rPr>
        <w:t>электрозапалом</w:t>
      </w:r>
      <w:proofErr w:type="spellEnd"/>
      <w:r w:rsidRPr="00A259BD">
        <w:rPr>
          <w:rFonts w:ascii="Times New Roman" w:hAnsi="Times New Roman"/>
          <w:color w:val="000000" w:themeColor="text1"/>
          <w:sz w:val="16"/>
          <w:szCs w:val="16"/>
          <w:lang w:eastAsia="ru-RU" w:bidi="ru-RU"/>
        </w:rPr>
        <w:t xml:space="preserve"> после нажатия кнопки </w:t>
      </w:r>
      <w:r w:rsidRPr="00A259BD">
        <w:rPr>
          <w:rFonts w:ascii="Times New Roman" w:hAnsi="Times New Roman"/>
          <w:color w:val="000000" w:themeColor="text1"/>
          <w:sz w:val="16"/>
          <w:szCs w:val="16"/>
          <w:lang w:eastAsia="ru-RU" w:bidi="ru-RU"/>
        </w:rPr>
        <w:lastRenderedPageBreak/>
        <w:t>на пульте борттехника. Задание требовало наличия системы автоматического регулирования давления пара, оборотов турбин и прочего. Пар после турбин подавался в конденсаторы в «щелях» крыла. Их было четыре секции на каждую турбину. Воздуходувка котла и насосы приводились в действие вспомогательными паровыми турбинами. Для запуска установки предусма</w:t>
      </w:r>
      <w:r w:rsidRPr="00A259BD">
        <w:rPr>
          <w:rFonts w:ascii="Times New Roman" w:hAnsi="Times New Roman"/>
          <w:color w:val="000000" w:themeColor="text1"/>
          <w:sz w:val="16"/>
          <w:szCs w:val="16"/>
          <w:lang w:eastAsia="ru-RU" w:bidi="ru-RU"/>
        </w:rPr>
        <w:softHyphen/>
        <w:t>тривались пусковой вентилятор и насосы, работавшие от небольшого бензинового мотора. Как и на обычном ТБ-3, обеспечивался доступ ко всем основным узлам силовой установки в полете. Общий вес определялся в 3000 кг, ресурс до первой переборки - 100 часов (21347).</w:t>
      </w:r>
    </w:p>
    <w:p w14:paraId="775BD450" w14:textId="77777777" w:rsidR="00783840" w:rsidRPr="00A259BD" w:rsidRDefault="00783840" w:rsidP="009236E3">
      <w:pPr>
        <w:spacing w:after="0" w:line="240" w:lineRule="auto"/>
        <w:jc w:val="both"/>
        <w:rPr>
          <w:rFonts w:ascii="Times New Roman" w:hAnsi="Times New Roman"/>
          <w:color w:val="000000" w:themeColor="text1"/>
          <w:sz w:val="16"/>
          <w:szCs w:val="16"/>
        </w:rPr>
      </w:pPr>
    </w:p>
    <w:p w14:paraId="145484A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971797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14DCE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началу зимы 1929 Мастерские ВВА выпустили самолет БИЧ-7 Б.И.Ч. с - двухместное летающее крыло с элеронами обратного профиля с мотором Бристоль-Люцифер 100 л.с. Шасси одноколесное с тремя костылями (1076,848).</w:t>
      </w:r>
    </w:p>
    <w:p w14:paraId="00E5CF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614BC8" w14:textId="77777777" w:rsidR="00457F4F" w:rsidRPr="00A259BD" w:rsidRDefault="00457F4F"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EA4F181" w14:textId="77777777" w:rsidR="00457F4F" w:rsidRPr="00A259BD" w:rsidRDefault="00457F4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8D1A989"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зиме 1929/30 г. в Отделе зимнего транспорта НАМИ по штату числилось 9 человек: заведующий отделом, старший инженер, 2 инженера-конструктора, 2 чертёжника-конструктора и 3 механика. Для передачи на серийный завод была готова документация на аэросани НАМИ-IX, был выполнен проект аэросаней НАМИ-IХ (18640).</w:t>
      </w:r>
    </w:p>
    <w:p w14:paraId="6E61A96C" w14:textId="77777777" w:rsidR="00457F4F" w:rsidRPr="00A259BD" w:rsidRDefault="00457F4F" w:rsidP="009236E3">
      <w:pPr>
        <w:spacing w:after="0" w:line="240" w:lineRule="auto"/>
        <w:jc w:val="both"/>
        <w:rPr>
          <w:rFonts w:ascii="Times New Roman" w:hAnsi="Times New Roman"/>
          <w:color w:val="000000" w:themeColor="text1"/>
          <w:sz w:val="16"/>
          <w:szCs w:val="16"/>
        </w:rPr>
      </w:pPr>
    </w:p>
    <w:p w14:paraId="33AD82B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27C8D0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F3C457A" w14:textId="77777777" w:rsidR="00DA14E0" w:rsidRPr="00A259BD" w:rsidRDefault="00DA14E0"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1 декабря 1929 г. состоялась Комиссия по определению даль</w:t>
      </w:r>
      <w:r w:rsidRPr="00A259BD">
        <w:rPr>
          <w:rFonts w:ascii="Times New Roman" w:cs="Times New Roman"/>
          <w:color w:val="000000" w:themeColor="text1"/>
          <w:sz w:val="16"/>
          <w:szCs w:val="16"/>
        </w:rPr>
        <w:softHyphen/>
        <w:t>нейшей судьбы МР-5. В работе комиссии принимал участие, в том числе, и представитель НТК УВВС Бартини. Было сделано заключение, что МР-5 имеет неудачные обводы носовой части лодки, что ведет к значитель</w:t>
      </w:r>
      <w:r w:rsidRPr="00A259BD">
        <w:rPr>
          <w:rFonts w:ascii="Times New Roman" w:cs="Times New Roman"/>
          <w:color w:val="000000" w:themeColor="text1"/>
          <w:sz w:val="16"/>
          <w:szCs w:val="16"/>
        </w:rPr>
        <w:softHyphen/>
        <w:t>ному брызгообразованию на взлете, «летчиков в кабине заливает водой». По этой причине не стали проводить испытание его мореходности при ветровой волне и накате. Кроме того, пилоты отметили невысокие манев</w:t>
      </w:r>
      <w:r w:rsidRPr="00A259BD">
        <w:rPr>
          <w:rFonts w:ascii="Times New Roman" w:cs="Times New Roman"/>
          <w:color w:val="000000" w:themeColor="text1"/>
          <w:sz w:val="16"/>
          <w:szCs w:val="16"/>
        </w:rPr>
        <w:softHyphen/>
        <w:t>ренные свойства самолета на боевой высоте 3000 м. По совокупности всех эксплуатационных качеств комиссия не рекомендовала принимать МР-5 в представленном виде на снабжение ВВС РККА. Предлагалось произвести изменения обводов носовой части лодки, после чего все испытания по</w:t>
      </w:r>
      <w:r w:rsidRPr="00A259BD">
        <w:rPr>
          <w:rFonts w:ascii="Times New Roman" w:cs="Times New Roman"/>
          <w:color w:val="000000" w:themeColor="text1"/>
          <w:sz w:val="16"/>
          <w:szCs w:val="16"/>
        </w:rPr>
        <w:softHyphen/>
        <w:t>вторить.</w:t>
      </w:r>
    </w:p>
    <w:p w14:paraId="664228AB" w14:textId="77777777" w:rsidR="00DA14E0" w:rsidRPr="00A259BD" w:rsidRDefault="00DA14E0"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Для реализации задуманных переделок в начале 1930 г. МР-5 передали в конструкторское бюро Ришара, получившее наименование ОПО-4. Здесь работа значилась как плановая в течение года. Однако, судя по многочисленности заданий, возложенных на эту организацию, здесь было не до исправления само</w:t>
      </w:r>
      <w:r w:rsidRPr="00A259BD">
        <w:rPr>
          <w:rFonts w:ascii="Times New Roman" w:cs="Times New Roman"/>
          <w:color w:val="000000" w:themeColor="text1"/>
          <w:sz w:val="16"/>
          <w:szCs w:val="16"/>
        </w:rPr>
        <w:softHyphen/>
        <w:t>летов других конструкторов. Таким образом, работа по созданию МР-5 благополучно пережила ОМОС, ОПО-3, а с уходом Ришара и ОПО-4.</w:t>
      </w:r>
    </w:p>
    <w:p w14:paraId="131F0FAD" w14:textId="77777777" w:rsidR="00DA14E0" w:rsidRPr="00A259BD" w:rsidRDefault="00DA14E0"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В 1931 г. начальник морского отдела ЦКБ-ЦАГИ И.В. Четвериков добился разрешения довести много</w:t>
      </w:r>
      <w:r w:rsidRPr="00A259BD">
        <w:rPr>
          <w:rFonts w:ascii="Times New Roman" w:cs="Times New Roman"/>
          <w:color w:val="000000" w:themeColor="text1"/>
          <w:sz w:val="16"/>
          <w:szCs w:val="16"/>
        </w:rPr>
        <w:softHyphen/>
        <w:t>страдальный МР-5 до хороших пока</w:t>
      </w:r>
      <w:r w:rsidRPr="00A259BD">
        <w:rPr>
          <w:rFonts w:ascii="Times New Roman" w:cs="Times New Roman"/>
          <w:color w:val="000000" w:themeColor="text1"/>
          <w:sz w:val="16"/>
          <w:szCs w:val="16"/>
        </w:rPr>
        <w:softHyphen/>
        <w:t>зателей мореходности. Ему удалось построить новый деревянный ло</w:t>
      </w:r>
      <w:r w:rsidRPr="00A259BD">
        <w:rPr>
          <w:rFonts w:ascii="Times New Roman" w:cs="Times New Roman"/>
          <w:color w:val="000000" w:themeColor="text1"/>
          <w:sz w:val="16"/>
          <w:szCs w:val="16"/>
        </w:rPr>
        <w:softHyphen/>
        <w:t>дочный фюзеляж, с которым само</w:t>
      </w:r>
      <w:r w:rsidRPr="00A259BD">
        <w:rPr>
          <w:rFonts w:ascii="Times New Roman" w:cs="Times New Roman"/>
          <w:color w:val="000000" w:themeColor="text1"/>
          <w:sz w:val="16"/>
          <w:szCs w:val="16"/>
        </w:rPr>
        <w:softHyphen/>
        <w:t>лет обозначался как ЦКБ №10 или МР-5бис. В январе 1932 г. Четвериков докладывал, что начались испытания самолета N210. Очевидно, это были летные испытания на лыжах. Основ</w:t>
      </w:r>
      <w:r w:rsidRPr="00A259BD">
        <w:rPr>
          <w:rFonts w:ascii="Times New Roman" w:cs="Times New Roman"/>
          <w:color w:val="000000" w:themeColor="text1"/>
          <w:sz w:val="16"/>
          <w:szCs w:val="16"/>
        </w:rPr>
        <w:softHyphen/>
        <w:t>ные испытания провели летом 1932 г. на участке Москвы-реки, там, где сейчас находится Центральный парк культуры и отдыха (ЦПКО). Обводы модернизированной лодки теперь оценивались удачными, брызгообразование снизилось до приемлемых значений. Впрочем, вопрос о серии не возникал. В то время на авиазаво</w:t>
      </w:r>
      <w:r w:rsidRPr="00A259BD">
        <w:rPr>
          <w:rFonts w:ascii="Times New Roman" w:cs="Times New Roman"/>
          <w:color w:val="000000" w:themeColor="text1"/>
          <w:sz w:val="16"/>
          <w:szCs w:val="16"/>
        </w:rPr>
        <w:softHyphen/>
        <w:t>де в Таганроге уже серийно строили лицензионную летающую лодку ита</w:t>
      </w:r>
      <w:r w:rsidRPr="00A259BD">
        <w:rPr>
          <w:rFonts w:ascii="Times New Roman" w:cs="Times New Roman"/>
          <w:color w:val="000000" w:themeColor="text1"/>
          <w:sz w:val="16"/>
          <w:szCs w:val="16"/>
        </w:rPr>
        <w:softHyphen/>
        <w:t>льянской конструкции Савойя С-62, которая в ВВС РККА получила обо</w:t>
      </w:r>
      <w:r w:rsidRPr="00A259BD">
        <w:rPr>
          <w:rFonts w:ascii="Times New Roman" w:cs="Times New Roman"/>
          <w:color w:val="000000" w:themeColor="text1"/>
          <w:sz w:val="16"/>
          <w:szCs w:val="16"/>
        </w:rPr>
        <w:softHyphen/>
        <w:t>значение МР-4 (12609).</w:t>
      </w:r>
    </w:p>
    <w:p w14:paraId="29A91460" w14:textId="77777777" w:rsidR="00DA14E0" w:rsidRPr="00A259BD" w:rsidRDefault="00DA14E0" w:rsidP="009236E3">
      <w:pPr>
        <w:pStyle w:val="45"/>
        <w:shd w:val="clear" w:color="auto" w:fill="auto"/>
        <w:spacing w:before="0" w:line="240" w:lineRule="auto"/>
        <w:jc w:val="both"/>
        <w:rPr>
          <w:rFonts w:ascii="Times New Roman" w:cs="Times New Roman"/>
          <w:color w:val="000000" w:themeColor="text1"/>
          <w:sz w:val="16"/>
          <w:szCs w:val="16"/>
        </w:rPr>
      </w:pPr>
    </w:p>
    <w:p w14:paraId="567F6703"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декабря 1929 г. Заключение НИИ ВВС по НО-43 гласило: «по сравнению с предше</w:t>
      </w:r>
      <w:r w:rsidRPr="00A259BD">
        <w:rPr>
          <w:rFonts w:ascii="Times New Roman" w:hAnsi="Times New Roman"/>
          <w:color w:val="000000" w:themeColor="text1"/>
          <w:sz w:val="16"/>
          <w:szCs w:val="16"/>
        </w:rPr>
        <w:softHyphen/>
        <w:t>ственником, его боевые свойства значитель</w:t>
      </w:r>
      <w:r w:rsidRPr="00A259BD">
        <w:rPr>
          <w:rFonts w:ascii="Times New Roman" w:hAnsi="Times New Roman"/>
          <w:color w:val="000000" w:themeColor="text1"/>
          <w:sz w:val="16"/>
          <w:szCs w:val="16"/>
        </w:rPr>
        <w:softHyphen/>
        <w:t>но ниже и он не может быть рекомендован на снабжение ВВС».</w:t>
      </w:r>
    </w:p>
    <w:p w14:paraId="709FCA82"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связи с отрицательными результатами испытаний взоры вновь обратились к НО- 37. Строить в серии решили его, под него и приобрели лицензию на постройку. Дого</w:t>
      </w:r>
      <w:r w:rsidRPr="00A259BD">
        <w:rPr>
          <w:rFonts w:ascii="Times New Roman" w:hAnsi="Times New Roman"/>
          <w:color w:val="000000" w:themeColor="text1"/>
          <w:sz w:val="16"/>
          <w:szCs w:val="16"/>
        </w:rPr>
        <w:softHyphen/>
        <w:t>вор с фирмой Эрнста Хейнкеля и Государст</w:t>
      </w:r>
      <w:r w:rsidRPr="00A259BD">
        <w:rPr>
          <w:rFonts w:ascii="Times New Roman" w:hAnsi="Times New Roman"/>
          <w:color w:val="000000" w:themeColor="text1"/>
          <w:sz w:val="16"/>
          <w:szCs w:val="16"/>
        </w:rPr>
        <w:softHyphen/>
        <w:t>венным трестом авиапромышленности СССР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был заключен 26 мар</w:t>
      </w:r>
      <w:r w:rsidRPr="00A259BD">
        <w:rPr>
          <w:rFonts w:ascii="Times New Roman" w:hAnsi="Times New Roman"/>
          <w:color w:val="000000" w:themeColor="text1"/>
          <w:sz w:val="16"/>
          <w:szCs w:val="16"/>
        </w:rPr>
        <w:softHyphen/>
        <w:t>та 1930 года, за №599 он был завизирован в Полномочном Представительстве СССР в Германии 27 марта 1930 года. Советская сторона за 150 тысяч марок получала право на строительство НО-37 сроком на три года. При этом подразумевалась техническая по</w:t>
      </w:r>
      <w:r w:rsidRPr="00A259BD">
        <w:rPr>
          <w:rFonts w:ascii="Times New Roman" w:hAnsi="Times New Roman"/>
          <w:color w:val="000000" w:themeColor="text1"/>
          <w:sz w:val="16"/>
          <w:szCs w:val="16"/>
        </w:rPr>
        <w:softHyphen/>
        <w:t>мощь при освоении в производстве, в само</w:t>
      </w:r>
      <w:r w:rsidRPr="00A259BD">
        <w:rPr>
          <w:rFonts w:ascii="Times New Roman" w:hAnsi="Times New Roman"/>
          <w:color w:val="000000" w:themeColor="text1"/>
          <w:sz w:val="16"/>
          <w:szCs w:val="16"/>
        </w:rPr>
        <w:softHyphen/>
        <w:t>лет вносились также все положительные из</w:t>
      </w:r>
      <w:r w:rsidRPr="00A259BD">
        <w:rPr>
          <w:rFonts w:ascii="Times New Roman" w:hAnsi="Times New Roman"/>
          <w:color w:val="000000" w:themeColor="text1"/>
          <w:sz w:val="16"/>
          <w:szCs w:val="16"/>
        </w:rPr>
        <w:softHyphen/>
        <w:t>менения, реализованные на самолете НО-43 (12295).</w:t>
      </w:r>
    </w:p>
    <w:p w14:paraId="3D28D70F" w14:textId="77777777" w:rsidR="00DA14E0" w:rsidRPr="00A259BD" w:rsidRDefault="00DA14E0" w:rsidP="009236E3">
      <w:pPr>
        <w:spacing w:after="0" w:line="240" w:lineRule="auto"/>
        <w:jc w:val="both"/>
        <w:rPr>
          <w:rFonts w:ascii="Times New Roman" w:hAnsi="Times New Roman"/>
          <w:color w:val="000000" w:themeColor="text1"/>
          <w:sz w:val="16"/>
          <w:szCs w:val="16"/>
        </w:rPr>
      </w:pPr>
    </w:p>
    <w:p w14:paraId="62CF41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декабря 1929 началась организации КБ ВТ (79,124).</w:t>
      </w:r>
    </w:p>
    <w:p w14:paraId="441B35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D7B1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декабря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23) и обсуждали состояние работ на заводе 29, состоянии работ по М-22 и др. (2367).</w:t>
      </w:r>
    </w:p>
    <w:p w14:paraId="07B975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3DE92A6" w14:textId="77777777" w:rsidR="00C11642" w:rsidRPr="00A259BD" w:rsidRDefault="00C1164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lang w:eastAsia="ru-RU" w:bidi="ru-RU"/>
        </w:rPr>
        <w:t>1 декабря 1929 организовали Главную Инспекцию Гражданского воздушного флота, да</w:t>
      </w:r>
      <w:r w:rsidRPr="00A259BD">
        <w:rPr>
          <w:rFonts w:ascii="Times New Roman" w:hAnsi="Times New Roman"/>
          <w:color w:val="000000" w:themeColor="text1"/>
          <w:sz w:val="16"/>
          <w:szCs w:val="16"/>
          <w:lang w:eastAsia="ru-RU" w:bidi="ru-RU"/>
        </w:rPr>
        <w:softHyphen/>
        <w:t>лее произошло слияние двух действующих в СССР авиа</w:t>
      </w:r>
      <w:r w:rsidRPr="00A259BD">
        <w:rPr>
          <w:rFonts w:ascii="Times New Roman" w:hAnsi="Times New Roman"/>
          <w:color w:val="000000" w:themeColor="text1"/>
          <w:sz w:val="16"/>
          <w:szCs w:val="16"/>
          <w:lang w:eastAsia="ru-RU" w:bidi="ru-RU"/>
        </w:rPr>
        <w:softHyphen/>
        <w:t>компаний: «</w:t>
      </w:r>
      <w:proofErr w:type="spellStart"/>
      <w:r w:rsidRPr="00A259BD">
        <w:rPr>
          <w:rFonts w:ascii="Times New Roman" w:hAnsi="Times New Roman"/>
          <w:color w:val="000000" w:themeColor="text1"/>
          <w:sz w:val="16"/>
          <w:szCs w:val="16"/>
          <w:lang w:eastAsia="ru-RU" w:bidi="ru-RU"/>
        </w:rPr>
        <w:t>Укрвоздухпути</w:t>
      </w:r>
      <w:proofErr w:type="spellEnd"/>
      <w:r w:rsidRPr="00A259BD">
        <w:rPr>
          <w:rFonts w:ascii="Times New Roman" w:hAnsi="Times New Roman"/>
          <w:color w:val="000000" w:themeColor="text1"/>
          <w:sz w:val="16"/>
          <w:szCs w:val="16"/>
          <w:lang w:eastAsia="ru-RU" w:bidi="ru-RU"/>
        </w:rPr>
        <w:t>» и «Добролета». Новый «Добро</w:t>
      </w:r>
      <w:r w:rsidRPr="00A259BD">
        <w:rPr>
          <w:rFonts w:ascii="Times New Roman" w:hAnsi="Times New Roman"/>
          <w:color w:val="000000" w:themeColor="text1"/>
          <w:sz w:val="16"/>
          <w:szCs w:val="16"/>
          <w:lang w:eastAsia="ru-RU" w:bidi="ru-RU"/>
        </w:rPr>
        <w:softHyphen/>
        <w:t>лет» и «Главная инспекция» просуществовали недолго, в ок</w:t>
      </w:r>
      <w:r w:rsidRPr="00A259BD">
        <w:rPr>
          <w:rFonts w:ascii="Times New Roman" w:hAnsi="Times New Roman"/>
          <w:color w:val="000000" w:themeColor="text1"/>
          <w:sz w:val="16"/>
          <w:szCs w:val="16"/>
          <w:lang w:eastAsia="ru-RU" w:bidi="ru-RU"/>
        </w:rPr>
        <w:softHyphen/>
        <w:t>тябре 1930 года было организовано Всесоюзное объединение Гражданского воздушного флота (ВО ГВФ), на которое в числе прочего возложили опытное строитель</w:t>
      </w:r>
      <w:r w:rsidRPr="00A259BD">
        <w:rPr>
          <w:rFonts w:ascii="Times New Roman" w:hAnsi="Times New Roman"/>
          <w:color w:val="000000" w:themeColor="text1"/>
          <w:sz w:val="16"/>
          <w:szCs w:val="16"/>
          <w:lang w:eastAsia="ru-RU" w:bidi="ru-RU"/>
        </w:rPr>
        <w:softHyphen/>
        <w:t>ство всех летательных аппаратов, их испытание и внедре</w:t>
      </w:r>
      <w:r w:rsidRPr="00A259BD">
        <w:rPr>
          <w:rFonts w:ascii="Times New Roman" w:hAnsi="Times New Roman"/>
          <w:color w:val="000000" w:themeColor="text1"/>
          <w:sz w:val="16"/>
          <w:szCs w:val="16"/>
          <w:lang w:eastAsia="ru-RU" w:bidi="ru-RU"/>
        </w:rPr>
        <w:softHyphen/>
        <w:t>ние в эксплуатацию на воздушных линиях. Кроме того, в том же месяце был образован Научно-исследовательский</w:t>
      </w:r>
      <w:r w:rsidRPr="00A259BD">
        <w:rPr>
          <w:rFonts w:ascii="Times New Roman" w:hAnsi="Times New Roman"/>
          <w:color w:val="000000" w:themeColor="text1"/>
          <w:sz w:val="16"/>
          <w:szCs w:val="16"/>
        </w:rPr>
        <w:t xml:space="preserve"> </w:t>
      </w:r>
      <w:r w:rsidRPr="00A259BD">
        <w:rPr>
          <w:rFonts w:ascii="Times New Roman" w:hAnsi="Times New Roman"/>
          <w:color w:val="000000" w:themeColor="text1"/>
          <w:sz w:val="16"/>
          <w:szCs w:val="16"/>
          <w:lang w:eastAsia="ru-RU" w:bidi="ru-RU"/>
        </w:rPr>
        <w:t>институт гражданского воздушного флота (НИИ ГВФ), ко</w:t>
      </w:r>
      <w:r w:rsidRPr="00A259BD">
        <w:rPr>
          <w:rFonts w:ascii="Times New Roman" w:hAnsi="Times New Roman"/>
          <w:color w:val="000000" w:themeColor="text1"/>
          <w:sz w:val="16"/>
          <w:szCs w:val="16"/>
          <w:lang w:eastAsia="ru-RU" w:bidi="ru-RU"/>
        </w:rPr>
        <w:softHyphen/>
        <w:t>торый официально начал функционировать с января 1931 года. Вот именно в этом институте, на базе мастерских «Добролета» продолжила действовать небольшая группы Путилова по стальному самолетостроению. В ноябре 1930 г. ООС переехал из ВВА в помещение бывших ремонтных мастерских «Добролета». Здесь образовалось КБ числен</w:t>
      </w:r>
      <w:r w:rsidRPr="00A259BD">
        <w:rPr>
          <w:rFonts w:ascii="Times New Roman" w:hAnsi="Times New Roman"/>
          <w:color w:val="000000" w:themeColor="text1"/>
          <w:sz w:val="16"/>
          <w:szCs w:val="16"/>
          <w:lang w:eastAsia="ru-RU" w:bidi="ru-RU"/>
        </w:rPr>
        <w:softHyphen/>
        <w:t xml:space="preserve">ностью около 30 человек. Начальниками бригад были: П. И. </w:t>
      </w:r>
      <w:proofErr w:type="spellStart"/>
      <w:r w:rsidRPr="00A259BD">
        <w:rPr>
          <w:rFonts w:ascii="Times New Roman" w:hAnsi="Times New Roman"/>
          <w:color w:val="000000" w:themeColor="text1"/>
          <w:sz w:val="16"/>
          <w:szCs w:val="16"/>
          <w:lang w:eastAsia="ru-RU" w:bidi="ru-RU"/>
        </w:rPr>
        <w:t>Эберзин</w:t>
      </w:r>
      <w:proofErr w:type="spellEnd"/>
      <w:r w:rsidRPr="00A259BD">
        <w:rPr>
          <w:rFonts w:ascii="Times New Roman" w:hAnsi="Times New Roman"/>
          <w:color w:val="000000" w:themeColor="text1"/>
          <w:sz w:val="16"/>
          <w:szCs w:val="16"/>
          <w:lang w:eastAsia="ru-RU" w:bidi="ru-RU"/>
        </w:rPr>
        <w:t xml:space="preserve">, Н. Г. Нуров, И. Ф. Мохов, Б. К. Мальцев, И. В. </w:t>
      </w:r>
      <w:proofErr w:type="spellStart"/>
      <w:r w:rsidRPr="00A259BD">
        <w:rPr>
          <w:rFonts w:ascii="Times New Roman" w:hAnsi="Times New Roman"/>
          <w:color w:val="000000" w:themeColor="text1"/>
          <w:sz w:val="16"/>
          <w:szCs w:val="16"/>
          <w:lang w:eastAsia="ru-RU" w:bidi="ru-RU"/>
        </w:rPr>
        <w:t>Остославский</w:t>
      </w:r>
      <w:proofErr w:type="spellEnd"/>
      <w:r w:rsidRPr="00A259BD">
        <w:rPr>
          <w:rFonts w:ascii="Times New Roman" w:hAnsi="Times New Roman"/>
          <w:color w:val="000000" w:themeColor="text1"/>
          <w:sz w:val="16"/>
          <w:szCs w:val="16"/>
          <w:lang w:eastAsia="ru-RU" w:bidi="ru-RU"/>
        </w:rPr>
        <w:t xml:space="preserve"> и другие, по технологии сварки рабо</w:t>
      </w:r>
      <w:r w:rsidRPr="00A259BD">
        <w:rPr>
          <w:rFonts w:ascii="Times New Roman" w:hAnsi="Times New Roman"/>
          <w:color w:val="000000" w:themeColor="text1"/>
          <w:sz w:val="16"/>
          <w:szCs w:val="16"/>
          <w:lang w:eastAsia="ru-RU" w:bidi="ru-RU"/>
        </w:rPr>
        <w:softHyphen/>
        <w:t>тали П. Н. Львов, А. П. Кононов, С. М. Попов (20365).</w:t>
      </w:r>
    </w:p>
    <w:p w14:paraId="6CACE064" w14:textId="77777777" w:rsidR="00C11642" w:rsidRPr="00A259BD" w:rsidRDefault="00C11642" w:rsidP="009236E3">
      <w:pPr>
        <w:spacing w:after="0" w:line="240" w:lineRule="auto"/>
        <w:jc w:val="both"/>
        <w:rPr>
          <w:rFonts w:ascii="Times New Roman" w:hAnsi="Times New Roman"/>
          <w:color w:val="000000" w:themeColor="text1"/>
          <w:sz w:val="16"/>
          <w:szCs w:val="16"/>
        </w:rPr>
      </w:pPr>
    </w:p>
    <w:p w14:paraId="70DF3387" w14:textId="77777777" w:rsidR="00F7798D"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DC8C0AC" w14:textId="77777777" w:rsidR="00F7798D" w:rsidRPr="00A259BD" w:rsidRDefault="00F7798D"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9945F6C" w14:textId="77777777" w:rsidR="00F7798D" w:rsidRPr="00A259BD" w:rsidRDefault="00F7798D"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bCs/>
          <w:iCs/>
          <w:color w:val="000000" w:themeColor="text1"/>
          <w:sz w:val="16"/>
          <w:szCs w:val="16"/>
        </w:rPr>
        <w:t>1-5 декабря 1929 г.</w:t>
      </w:r>
      <w:r w:rsidRPr="00A259BD">
        <w:rPr>
          <w:rFonts w:ascii="Times New Roman" w:hAnsi="Times New Roman"/>
          <w:color w:val="000000" w:themeColor="text1"/>
          <w:sz w:val="16"/>
          <w:szCs w:val="16"/>
        </w:rPr>
        <w:t xml:space="preserve"> Серия испытаний 76 мм артснарядов в снаряжении трех ОВ раздражающего действия методом подрыва на полигоне в Кузьминках (Москва). </w:t>
      </w:r>
      <w:r w:rsidRPr="00A259BD">
        <w:rPr>
          <w:rFonts w:ascii="Times New Roman" w:hAnsi="Times New Roman"/>
          <w:bCs/>
          <w:iCs/>
          <w:color w:val="000000" w:themeColor="text1"/>
          <w:sz w:val="16"/>
          <w:szCs w:val="16"/>
        </w:rPr>
        <w:t>Биологических контроль эффективности и быстроты действия ОВ осуществлялся на людях</w:t>
      </w:r>
      <w:r w:rsidRPr="00A259BD">
        <w:rPr>
          <w:rFonts w:ascii="Times New Roman" w:hAnsi="Times New Roman"/>
          <w:color w:val="000000" w:themeColor="text1"/>
          <w:sz w:val="16"/>
          <w:szCs w:val="16"/>
        </w:rPr>
        <w:t>, выставленных на различных расстояниях от места подрыва. Цель испытаний — «</w:t>
      </w:r>
      <w:r w:rsidRPr="00A259BD">
        <w:rPr>
          <w:rFonts w:ascii="Times New Roman" w:hAnsi="Times New Roman"/>
          <w:iCs/>
          <w:color w:val="000000" w:themeColor="text1"/>
          <w:sz w:val="16"/>
          <w:szCs w:val="16"/>
        </w:rPr>
        <w:t>определение времени, в течение которого можно находиться у места подрыва без противогаза</w:t>
      </w:r>
      <w:r w:rsidRPr="00A259BD">
        <w:rPr>
          <w:rFonts w:ascii="Times New Roman" w:hAnsi="Times New Roman"/>
          <w:color w:val="000000" w:themeColor="text1"/>
          <w:sz w:val="16"/>
          <w:szCs w:val="16"/>
        </w:rPr>
        <w:t>» (17133).</w:t>
      </w:r>
    </w:p>
    <w:p w14:paraId="2C1DA361" w14:textId="77777777" w:rsidR="00F7798D" w:rsidRPr="00A259BD" w:rsidRDefault="00F7798D" w:rsidP="009236E3">
      <w:pPr>
        <w:shd w:val="clear" w:color="auto" w:fill="FFFFFF"/>
        <w:spacing w:after="0" w:line="240" w:lineRule="auto"/>
        <w:jc w:val="both"/>
        <w:rPr>
          <w:rFonts w:ascii="Times New Roman" w:hAnsi="Times New Roman"/>
          <w:color w:val="000000" w:themeColor="text1"/>
          <w:sz w:val="16"/>
          <w:szCs w:val="16"/>
        </w:rPr>
      </w:pPr>
    </w:p>
    <w:p w14:paraId="08117E5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22932C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18E3F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декабря 1929 Приказом АОУ № 282 от был введен (с того же числа) новый штат Центрального аппарата:</w:t>
      </w:r>
    </w:p>
    <w:p w14:paraId="6914F2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Председатель ОГПУ (</w:t>
      </w:r>
      <w:proofErr w:type="spellStart"/>
      <w:r w:rsidRPr="00A259BD">
        <w:rPr>
          <w:rFonts w:ascii="Times New Roman" w:hAnsi="Times New Roman"/>
          <w:color w:val="000000" w:themeColor="text1"/>
          <w:sz w:val="16"/>
          <w:szCs w:val="16"/>
        </w:rPr>
        <w:t>В.Р.Менжинский</w:t>
      </w:r>
      <w:proofErr w:type="spellEnd"/>
      <w:r w:rsidRPr="00A259BD">
        <w:rPr>
          <w:rFonts w:ascii="Times New Roman" w:hAnsi="Times New Roman"/>
          <w:color w:val="000000" w:themeColor="text1"/>
          <w:sz w:val="16"/>
          <w:szCs w:val="16"/>
        </w:rPr>
        <w:t>), заместители председателя ОГПУ (</w:t>
      </w:r>
      <w:proofErr w:type="spellStart"/>
      <w:r w:rsidRPr="00A259BD">
        <w:rPr>
          <w:rFonts w:ascii="Times New Roman" w:hAnsi="Times New Roman"/>
          <w:color w:val="000000" w:themeColor="text1"/>
          <w:sz w:val="16"/>
          <w:szCs w:val="16"/>
        </w:rPr>
        <w:t>Г.Г.Ягода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С.А.Мессинг</w:t>
      </w:r>
      <w:proofErr w:type="spellEnd"/>
      <w:r w:rsidRPr="00A259BD">
        <w:rPr>
          <w:rFonts w:ascii="Times New Roman" w:hAnsi="Times New Roman"/>
          <w:color w:val="000000" w:themeColor="text1"/>
          <w:sz w:val="16"/>
          <w:szCs w:val="16"/>
        </w:rPr>
        <w:t>), секретарь председателя ОГПУ (</w:t>
      </w:r>
      <w:proofErr w:type="spellStart"/>
      <w:r w:rsidRPr="00A259BD">
        <w:rPr>
          <w:rFonts w:ascii="Times New Roman" w:hAnsi="Times New Roman"/>
          <w:color w:val="000000" w:themeColor="text1"/>
          <w:sz w:val="16"/>
          <w:szCs w:val="16"/>
        </w:rPr>
        <w:t>В.Л.Герсон</w:t>
      </w:r>
      <w:proofErr w:type="spellEnd"/>
      <w:r w:rsidRPr="00A259BD">
        <w:rPr>
          <w:rFonts w:ascii="Times New Roman" w:hAnsi="Times New Roman"/>
          <w:color w:val="000000" w:themeColor="text1"/>
          <w:sz w:val="16"/>
          <w:szCs w:val="16"/>
        </w:rPr>
        <w:t>), Особоуполномоченный при председателе ОГПУ (</w:t>
      </w:r>
      <w:proofErr w:type="spellStart"/>
      <w:r w:rsidRPr="00A259BD">
        <w:rPr>
          <w:rFonts w:ascii="Times New Roman" w:hAnsi="Times New Roman"/>
          <w:color w:val="000000" w:themeColor="text1"/>
          <w:sz w:val="16"/>
          <w:szCs w:val="16"/>
        </w:rPr>
        <w:t>М.М.Луцкий</w:t>
      </w:r>
      <w:proofErr w:type="spellEnd"/>
      <w:r w:rsidRPr="00A259BD">
        <w:rPr>
          <w:rFonts w:ascii="Times New Roman" w:hAnsi="Times New Roman"/>
          <w:color w:val="000000" w:themeColor="text1"/>
          <w:sz w:val="16"/>
          <w:szCs w:val="16"/>
        </w:rPr>
        <w:t>), секретарь Коллегии ОГПУ (</w:t>
      </w:r>
      <w:proofErr w:type="spellStart"/>
      <w:r w:rsidRPr="00A259BD">
        <w:rPr>
          <w:rFonts w:ascii="Times New Roman" w:hAnsi="Times New Roman"/>
          <w:color w:val="000000" w:themeColor="text1"/>
          <w:sz w:val="16"/>
          <w:szCs w:val="16"/>
        </w:rPr>
        <w:t>А.М.Шанин</w:t>
      </w:r>
      <w:proofErr w:type="spellEnd"/>
      <w:r w:rsidRPr="00A259BD">
        <w:rPr>
          <w:rFonts w:ascii="Times New Roman" w:hAnsi="Times New Roman"/>
          <w:color w:val="000000" w:themeColor="text1"/>
          <w:sz w:val="16"/>
          <w:szCs w:val="16"/>
        </w:rPr>
        <w:t>, он же - начальник ОЦР и Специального отделения) (7557).</w:t>
      </w:r>
    </w:p>
    <w:p w14:paraId="63B9DE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Часть секретного хранения архивных фондов ОГПУ (уполномоченный - </w:t>
      </w:r>
      <w:proofErr w:type="spellStart"/>
      <w:r w:rsidRPr="00A259BD">
        <w:rPr>
          <w:rFonts w:ascii="Times New Roman" w:hAnsi="Times New Roman"/>
          <w:color w:val="000000" w:themeColor="text1"/>
          <w:sz w:val="16"/>
          <w:szCs w:val="16"/>
        </w:rPr>
        <w:t>М.А.Александров</w:t>
      </w:r>
      <w:proofErr w:type="spellEnd"/>
      <w:r w:rsidRPr="00A259BD">
        <w:rPr>
          <w:rFonts w:ascii="Times New Roman" w:hAnsi="Times New Roman"/>
          <w:color w:val="000000" w:themeColor="text1"/>
          <w:sz w:val="16"/>
          <w:szCs w:val="16"/>
        </w:rPr>
        <w:t>) (7557).</w:t>
      </w:r>
    </w:p>
    <w:p w14:paraId="6C9996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Комиссия по распределению и хранению секретных сумм (секретарь - </w:t>
      </w:r>
      <w:proofErr w:type="spellStart"/>
      <w:r w:rsidRPr="00A259BD">
        <w:rPr>
          <w:rFonts w:ascii="Times New Roman" w:hAnsi="Times New Roman"/>
          <w:color w:val="000000" w:themeColor="text1"/>
          <w:sz w:val="16"/>
          <w:szCs w:val="16"/>
        </w:rPr>
        <w:t>Ф.Н.Чарковский</w:t>
      </w:r>
      <w:proofErr w:type="spellEnd"/>
      <w:r w:rsidRPr="00A259BD">
        <w:rPr>
          <w:rFonts w:ascii="Times New Roman" w:hAnsi="Times New Roman"/>
          <w:color w:val="000000" w:themeColor="text1"/>
          <w:sz w:val="16"/>
          <w:szCs w:val="16"/>
        </w:rPr>
        <w:t>) (7557).</w:t>
      </w:r>
    </w:p>
    <w:p w14:paraId="5B219B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Особая инспекция при Коллегии ОГПУ (</w:t>
      </w:r>
      <w:proofErr w:type="spellStart"/>
      <w:r w:rsidRPr="00A259BD">
        <w:rPr>
          <w:rFonts w:ascii="Times New Roman" w:hAnsi="Times New Roman"/>
          <w:color w:val="000000" w:themeColor="text1"/>
          <w:sz w:val="16"/>
          <w:szCs w:val="16"/>
        </w:rPr>
        <w:t>А.А.Холщевников</w:t>
      </w:r>
      <w:proofErr w:type="spellEnd"/>
      <w:r w:rsidRPr="00A259BD">
        <w:rPr>
          <w:rFonts w:ascii="Times New Roman" w:hAnsi="Times New Roman"/>
          <w:color w:val="000000" w:themeColor="text1"/>
          <w:sz w:val="16"/>
          <w:szCs w:val="16"/>
        </w:rPr>
        <w:t>) (7557).</w:t>
      </w:r>
    </w:p>
    <w:p w14:paraId="33460F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Центральное шифровальное бюро (</w:t>
      </w:r>
      <w:proofErr w:type="spellStart"/>
      <w:r w:rsidRPr="00A259BD">
        <w:rPr>
          <w:rFonts w:ascii="Times New Roman" w:hAnsi="Times New Roman"/>
          <w:color w:val="000000" w:themeColor="text1"/>
          <w:sz w:val="16"/>
          <w:szCs w:val="16"/>
        </w:rPr>
        <w:t>В.М.Колосов</w:t>
      </w:r>
      <w:proofErr w:type="spellEnd"/>
      <w:r w:rsidRPr="00A259BD">
        <w:rPr>
          <w:rFonts w:ascii="Times New Roman" w:hAnsi="Times New Roman"/>
          <w:color w:val="000000" w:themeColor="text1"/>
          <w:sz w:val="16"/>
          <w:szCs w:val="16"/>
        </w:rPr>
        <w:t>, он же - начальник 1 отделения Спецотдела) (7557).</w:t>
      </w:r>
    </w:p>
    <w:p w14:paraId="21D049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Специальное отделение при Коллегии ОГПУ (начальник - </w:t>
      </w:r>
      <w:proofErr w:type="spellStart"/>
      <w:r w:rsidRPr="00A259BD">
        <w:rPr>
          <w:rFonts w:ascii="Times New Roman" w:hAnsi="Times New Roman"/>
          <w:color w:val="000000" w:themeColor="text1"/>
          <w:sz w:val="16"/>
          <w:szCs w:val="16"/>
        </w:rPr>
        <w:t>А.М.Шанин</w:t>
      </w:r>
      <w:proofErr w:type="spellEnd"/>
      <w:r w:rsidRPr="00A259BD">
        <w:rPr>
          <w:rFonts w:ascii="Times New Roman" w:hAnsi="Times New Roman"/>
          <w:color w:val="000000" w:themeColor="text1"/>
          <w:sz w:val="16"/>
          <w:szCs w:val="16"/>
        </w:rPr>
        <w:t xml:space="preserve">, комиссары для особых поручений Специального отделения - </w:t>
      </w:r>
      <w:proofErr w:type="spellStart"/>
      <w:r w:rsidRPr="00A259BD">
        <w:rPr>
          <w:rFonts w:ascii="Times New Roman" w:hAnsi="Times New Roman"/>
          <w:color w:val="000000" w:themeColor="text1"/>
          <w:sz w:val="16"/>
          <w:szCs w:val="16"/>
        </w:rPr>
        <w:t>А.П.Рогов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И.Ф.Юсис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Ф.И.Сотников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Р.М.Габалин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А.К.Чернов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П.П.Пакалн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Я.Ф.Родованский</w:t>
      </w:r>
      <w:proofErr w:type="spellEnd"/>
      <w:r w:rsidRPr="00A259BD">
        <w:rPr>
          <w:rFonts w:ascii="Times New Roman" w:hAnsi="Times New Roman"/>
          <w:color w:val="000000" w:themeColor="text1"/>
          <w:sz w:val="16"/>
          <w:szCs w:val="16"/>
        </w:rPr>
        <w:t>) (7557).</w:t>
      </w:r>
    </w:p>
    <w:p w14:paraId="4EA752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Особоуполномоченный при Коллегии ОГПУ (</w:t>
      </w:r>
      <w:proofErr w:type="spellStart"/>
      <w:r w:rsidRPr="00A259BD">
        <w:rPr>
          <w:rFonts w:ascii="Times New Roman" w:hAnsi="Times New Roman"/>
          <w:color w:val="000000" w:themeColor="text1"/>
          <w:sz w:val="16"/>
          <w:szCs w:val="16"/>
        </w:rPr>
        <w:t>В.Д.Фельдман</w:t>
      </w:r>
      <w:proofErr w:type="spellEnd"/>
      <w:r w:rsidRPr="00A259BD">
        <w:rPr>
          <w:rFonts w:ascii="Times New Roman" w:hAnsi="Times New Roman"/>
          <w:color w:val="000000" w:themeColor="text1"/>
          <w:sz w:val="16"/>
          <w:szCs w:val="16"/>
        </w:rPr>
        <w:t>) (7557).</w:t>
      </w:r>
    </w:p>
    <w:p w14:paraId="041224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СОУ (начальник - </w:t>
      </w:r>
      <w:proofErr w:type="spellStart"/>
      <w:r w:rsidRPr="00A259BD">
        <w:rPr>
          <w:rFonts w:ascii="Times New Roman" w:hAnsi="Times New Roman"/>
          <w:color w:val="000000" w:themeColor="text1"/>
          <w:sz w:val="16"/>
          <w:szCs w:val="16"/>
        </w:rPr>
        <w:t>Е.Г.Евдокимов</w:t>
      </w:r>
      <w:proofErr w:type="spellEnd"/>
      <w:r w:rsidRPr="00A259BD">
        <w:rPr>
          <w:rFonts w:ascii="Times New Roman" w:hAnsi="Times New Roman"/>
          <w:color w:val="000000" w:themeColor="text1"/>
          <w:sz w:val="16"/>
          <w:szCs w:val="16"/>
        </w:rPr>
        <w:t xml:space="preserve">, первый помощник начальника СОУ - </w:t>
      </w:r>
      <w:proofErr w:type="spellStart"/>
      <w:r w:rsidRPr="00A259BD">
        <w:rPr>
          <w:rFonts w:ascii="Times New Roman" w:hAnsi="Times New Roman"/>
          <w:color w:val="000000" w:themeColor="text1"/>
          <w:sz w:val="16"/>
          <w:szCs w:val="16"/>
        </w:rPr>
        <w:t>Я.К.Ольский</w:t>
      </w:r>
      <w:proofErr w:type="spellEnd"/>
      <w:r w:rsidRPr="00A259BD">
        <w:rPr>
          <w:rFonts w:ascii="Times New Roman" w:hAnsi="Times New Roman"/>
          <w:color w:val="000000" w:themeColor="text1"/>
          <w:sz w:val="16"/>
          <w:szCs w:val="16"/>
        </w:rPr>
        <w:t xml:space="preserve">, второй помощник начальника СОУ - </w:t>
      </w:r>
      <w:proofErr w:type="spellStart"/>
      <w:r w:rsidRPr="00A259BD">
        <w:rPr>
          <w:rFonts w:ascii="Times New Roman" w:hAnsi="Times New Roman"/>
          <w:color w:val="000000" w:themeColor="text1"/>
          <w:sz w:val="16"/>
          <w:szCs w:val="16"/>
        </w:rPr>
        <w:t>А.Х.Артузов</w:t>
      </w:r>
      <w:proofErr w:type="spellEnd"/>
      <w:r w:rsidRPr="00A259BD">
        <w:rPr>
          <w:rFonts w:ascii="Times New Roman" w:hAnsi="Times New Roman"/>
          <w:color w:val="000000" w:themeColor="text1"/>
          <w:sz w:val="16"/>
          <w:szCs w:val="16"/>
        </w:rPr>
        <w:t xml:space="preserve">, сотрудник для особых поручений при начальнике СОУ - </w:t>
      </w:r>
      <w:proofErr w:type="spellStart"/>
      <w:r w:rsidRPr="00A259BD">
        <w:rPr>
          <w:rFonts w:ascii="Times New Roman" w:hAnsi="Times New Roman"/>
          <w:color w:val="000000" w:themeColor="text1"/>
          <w:sz w:val="16"/>
          <w:szCs w:val="16"/>
        </w:rPr>
        <w:t>Б.Я.Кальнинг</w:t>
      </w:r>
      <w:proofErr w:type="spellEnd"/>
      <w:r w:rsidRPr="00A259BD">
        <w:rPr>
          <w:rFonts w:ascii="Times New Roman" w:hAnsi="Times New Roman"/>
          <w:color w:val="000000" w:themeColor="text1"/>
          <w:sz w:val="16"/>
          <w:szCs w:val="16"/>
        </w:rPr>
        <w:t xml:space="preserve">, секретарь СОУ - </w:t>
      </w:r>
      <w:proofErr w:type="spellStart"/>
      <w:r w:rsidRPr="00A259BD">
        <w:rPr>
          <w:rFonts w:ascii="Times New Roman" w:hAnsi="Times New Roman"/>
          <w:color w:val="000000" w:themeColor="text1"/>
          <w:sz w:val="16"/>
          <w:szCs w:val="16"/>
        </w:rPr>
        <w:t>П.П.Буланов</w:t>
      </w:r>
      <w:proofErr w:type="spellEnd"/>
      <w:r w:rsidRPr="00A259BD">
        <w:rPr>
          <w:rFonts w:ascii="Times New Roman" w:hAnsi="Times New Roman"/>
          <w:color w:val="000000" w:themeColor="text1"/>
          <w:sz w:val="16"/>
          <w:szCs w:val="16"/>
        </w:rPr>
        <w:t xml:space="preserve">, старшие уполномоченные СОУ - </w:t>
      </w:r>
      <w:proofErr w:type="spellStart"/>
      <w:r w:rsidRPr="00A259BD">
        <w:rPr>
          <w:rFonts w:ascii="Times New Roman" w:hAnsi="Times New Roman"/>
          <w:color w:val="000000" w:themeColor="text1"/>
          <w:sz w:val="16"/>
          <w:szCs w:val="16"/>
        </w:rPr>
        <w:t>Б.И.Гудзь</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М.П.Чопяк</w:t>
      </w:r>
      <w:proofErr w:type="spellEnd"/>
      <w:r w:rsidRPr="00A259BD">
        <w:rPr>
          <w:rFonts w:ascii="Times New Roman" w:hAnsi="Times New Roman"/>
          <w:color w:val="000000" w:themeColor="text1"/>
          <w:sz w:val="16"/>
          <w:szCs w:val="16"/>
        </w:rPr>
        <w:t>):</w:t>
      </w:r>
    </w:p>
    <w:p w14:paraId="472124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 (начальник - </w:t>
      </w:r>
      <w:proofErr w:type="spellStart"/>
      <w:r w:rsidRPr="00A259BD">
        <w:rPr>
          <w:rFonts w:ascii="Times New Roman" w:hAnsi="Times New Roman"/>
          <w:color w:val="000000" w:themeColor="text1"/>
          <w:sz w:val="16"/>
          <w:szCs w:val="16"/>
        </w:rPr>
        <w:t>Я.С.Агранов</w:t>
      </w:r>
      <w:proofErr w:type="spellEnd"/>
      <w:r w:rsidRPr="00A259BD">
        <w:rPr>
          <w:rFonts w:ascii="Times New Roman" w:hAnsi="Times New Roman"/>
          <w:color w:val="000000" w:themeColor="text1"/>
          <w:sz w:val="16"/>
          <w:szCs w:val="16"/>
        </w:rPr>
        <w:t xml:space="preserve">, заместитель начальника СО - вакансия, помощники начальника СО - </w:t>
      </w:r>
      <w:proofErr w:type="spellStart"/>
      <w:r w:rsidRPr="00A259BD">
        <w:rPr>
          <w:rFonts w:ascii="Times New Roman" w:hAnsi="Times New Roman"/>
          <w:color w:val="000000" w:themeColor="text1"/>
          <w:sz w:val="16"/>
          <w:szCs w:val="16"/>
        </w:rPr>
        <w:t>А.А.Андреева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Е.А.Тучков</w:t>
      </w:r>
      <w:proofErr w:type="spellEnd"/>
      <w:r w:rsidRPr="00A259BD">
        <w:rPr>
          <w:rFonts w:ascii="Times New Roman" w:hAnsi="Times New Roman"/>
          <w:color w:val="000000" w:themeColor="text1"/>
          <w:sz w:val="16"/>
          <w:szCs w:val="16"/>
        </w:rPr>
        <w:t>),</w:t>
      </w:r>
    </w:p>
    <w:p w14:paraId="5D7768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отделение (анархисты, начальник - </w:t>
      </w:r>
      <w:proofErr w:type="spellStart"/>
      <w:r w:rsidRPr="00A259BD">
        <w:rPr>
          <w:rFonts w:ascii="Times New Roman" w:hAnsi="Times New Roman"/>
          <w:color w:val="000000" w:themeColor="text1"/>
          <w:sz w:val="16"/>
          <w:szCs w:val="16"/>
        </w:rPr>
        <w:t>Л.И.Юргенс</w:t>
      </w:r>
      <w:proofErr w:type="spellEnd"/>
      <w:r w:rsidRPr="00A259BD">
        <w:rPr>
          <w:rFonts w:ascii="Times New Roman" w:hAnsi="Times New Roman"/>
          <w:color w:val="000000" w:themeColor="text1"/>
          <w:sz w:val="16"/>
          <w:szCs w:val="16"/>
        </w:rPr>
        <w:t xml:space="preserve">), </w:t>
      </w:r>
    </w:p>
    <w:p w14:paraId="48E8A0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отделение (меньшевики и бундовцы, - </w:t>
      </w:r>
      <w:proofErr w:type="spellStart"/>
      <w:r w:rsidRPr="00A259BD">
        <w:rPr>
          <w:rFonts w:ascii="Times New Roman" w:hAnsi="Times New Roman"/>
          <w:color w:val="000000" w:themeColor="text1"/>
          <w:sz w:val="16"/>
          <w:szCs w:val="16"/>
        </w:rPr>
        <w:t>П.И.Колосовский</w:t>
      </w:r>
      <w:proofErr w:type="spellEnd"/>
      <w:r w:rsidRPr="00A259BD">
        <w:rPr>
          <w:rFonts w:ascii="Times New Roman" w:hAnsi="Times New Roman"/>
          <w:color w:val="000000" w:themeColor="text1"/>
          <w:sz w:val="16"/>
          <w:szCs w:val="16"/>
        </w:rPr>
        <w:t xml:space="preserve">), </w:t>
      </w:r>
    </w:p>
    <w:p w14:paraId="1F65CC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отделение (эсеры всех направлений, антисоветские проявления в деревне, национальное движение в Белоруссии и на Украине, - </w:t>
      </w:r>
      <w:proofErr w:type="spellStart"/>
      <w:r w:rsidRPr="00A259BD">
        <w:rPr>
          <w:rFonts w:ascii="Times New Roman" w:hAnsi="Times New Roman"/>
          <w:color w:val="000000" w:themeColor="text1"/>
          <w:sz w:val="16"/>
          <w:szCs w:val="16"/>
        </w:rPr>
        <w:t>Н.И.Соболев</w:t>
      </w:r>
      <w:proofErr w:type="spellEnd"/>
      <w:r w:rsidRPr="00A259BD">
        <w:rPr>
          <w:rFonts w:ascii="Times New Roman" w:hAnsi="Times New Roman"/>
          <w:color w:val="000000" w:themeColor="text1"/>
          <w:sz w:val="16"/>
          <w:szCs w:val="16"/>
        </w:rPr>
        <w:t xml:space="preserve">), </w:t>
      </w:r>
    </w:p>
    <w:p w14:paraId="1F63FA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отделение (бывшие провокаторы, жандармы, контрразведчики белых армий, каратели и тюремщики; антисоветские еврейские группы и партии, - </w:t>
      </w:r>
      <w:proofErr w:type="spellStart"/>
      <w:r w:rsidRPr="00A259BD">
        <w:rPr>
          <w:rFonts w:ascii="Times New Roman" w:hAnsi="Times New Roman"/>
          <w:color w:val="000000" w:themeColor="text1"/>
          <w:sz w:val="16"/>
          <w:szCs w:val="16"/>
        </w:rPr>
        <w:t>Я.М.Генкин</w:t>
      </w:r>
      <w:proofErr w:type="spellEnd"/>
      <w:r w:rsidRPr="00A259BD">
        <w:rPr>
          <w:rFonts w:ascii="Times New Roman" w:hAnsi="Times New Roman"/>
          <w:color w:val="000000" w:themeColor="text1"/>
          <w:sz w:val="16"/>
          <w:szCs w:val="16"/>
        </w:rPr>
        <w:t xml:space="preserve">), </w:t>
      </w:r>
    </w:p>
    <w:p w14:paraId="59877D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отделение (антисоветские проявления среди интеллигенции и молодежи, правые группы и партии, - </w:t>
      </w:r>
      <w:proofErr w:type="spellStart"/>
      <w:r w:rsidRPr="00A259BD">
        <w:rPr>
          <w:rFonts w:ascii="Times New Roman" w:hAnsi="Times New Roman"/>
          <w:color w:val="000000" w:themeColor="text1"/>
          <w:sz w:val="16"/>
          <w:szCs w:val="16"/>
        </w:rPr>
        <w:t>С.Б.Гельфер</w:t>
      </w:r>
      <w:proofErr w:type="spellEnd"/>
      <w:r w:rsidRPr="00A259BD">
        <w:rPr>
          <w:rFonts w:ascii="Times New Roman" w:hAnsi="Times New Roman"/>
          <w:color w:val="000000" w:themeColor="text1"/>
          <w:sz w:val="16"/>
          <w:szCs w:val="16"/>
        </w:rPr>
        <w:t xml:space="preserve">), </w:t>
      </w:r>
    </w:p>
    <w:p w14:paraId="3DF6A7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отделение (церковники и сектанты всех культов и течений, - </w:t>
      </w:r>
      <w:proofErr w:type="spellStart"/>
      <w:r w:rsidRPr="00A259BD">
        <w:rPr>
          <w:rFonts w:ascii="Times New Roman" w:hAnsi="Times New Roman"/>
          <w:color w:val="000000" w:themeColor="text1"/>
          <w:sz w:val="16"/>
          <w:szCs w:val="16"/>
        </w:rPr>
        <w:t>Е.А.Тучков</w:t>
      </w:r>
      <w:proofErr w:type="spellEnd"/>
      <w:r w:rsidRPr="00A259BD">
        <w:rPr>
          <w:rFonts w:ascii="Times New Roman" w:hAnsi="Times New Roman"/>
          <w:color w:val="000000" w:themeColor="text1"/>
          <w:sz w:val="16"/>
          <w:szCs w:val="16"/>
        </w:rPr>
        <w:t xml:space="preserve">), </w:t>
      </w:r>
    </w:p>
    <w:p w14:paraId="3A94AC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отделение (закавказские национальные партии, грузинские меньшевики, федералисты, </w:t>
      </w:r>
      <w:proofErr w:type="spellStart"/>
      <w:r w:rsidRPr="00A259BD">
        <w:rPr>
          <w:rFonts w:ascii="Times New Roman" w:hAnsi="Times New Roman"/>
          <w:color w:val="000000" w:themeColor="text1"/>
          <w:sz w:val="16"/>
          <w:szCs w:val="16"/>
        </w:rPr>
        <w:t>нацдемократы</w:t>
      </w:r>
      <w:proofErr w:type="spellEnd"/>
      <w:r w:rsidRPr="00A259BD">
        <w:rPr>
          <w:rFonts w:ascii="Times New Roman" w:hAnsi="Times New Roman"/>
          <w:color w:val="000000" w:themeColor="text1"/>
          <w:sz w:val="16"/>
          <w:szCs w:val="16"/>
        </w:rPr>
        <w:t xml:space="preserve"> и дашнаки, - </w:t>
      </w:r>
      <w:proofErr w:type="spellStart"/>
      <w:r w:rsidRPr="00A259BD">
        <w:rPr>
          <w:rFonts w:ascii="Times New Roman" w:hAnsi="Times New Roman"/>
          <w:color w:val="000000" w:themeColor="text1"/>
          <w:sz w:val="16"/>
          <w:szCs w:val="16"/>
        </w:rPr>
        <w:t>Д.И.Просвирнин</w:t>
      </w:r>
      <w:proofErr w:type="spellEnd"/>
      <w:r w:rsidRPr="00A259BD">
        <w:rPr>
          <w:rFonts w:ascii="Times New Roman" w:hAnsi="Times New Roman"/>
          <w:color w:val="000000" w:themeColor="text1"/>
          <w:sz w:val="16"/>
          <w:szCs w:val="16"/>
        </w:rPr>
        <w:t xml:space="preserve">), </w:t>
      </w:r>
    </w:p>
    <w:p w14:paraId="74A6B0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отделение (антисоветская деятельность исключенных из ВКП(б) - "свои люди"; нелегальные антипартийные группировки; антисоветские проявления среди рабочих и безработных, - </w:t>
      </w:r>
      <w:proofErr w:type="spellStart"/>
      <w:r w:rsidRPr="00A259BD">
        <w:rPr>
          <w:rFonts w:ascii="Times New Roman" w:hAnsi="Times New Roman"/>
          <w:color w:val="000000" w:themeColor="text1"/>
          <w:sz w:val="16"/>
          <w:szCs w:val="16"/>
        </w:rPr>
        <w:t>А.Ф.Рутковский</w:t>
      </w:r>
      <w:proofErr w:type="spellEnd"/>
      <w:r w:rsidRPr="00A259BD">
        <w:rPr>
          <w:rFonts w:ascii="Times New Roman" w:hAnsi="Times New Roman"/>
          <w:color w:val="000000" w:themeColor="text1"/>
          <w:sz w:val="16"/>
          <w:szCs w:val="16"/>
        </w:rPr>
        <w:t xml:space="preserve">); </w:t>
      </w:r>
    </w:p>
    <w:p w14:paraId="39D0EA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КРО (начальник - </w:t>
      </w:r>
      <w:proofErr w:type="spellStart"/>
      <w:r w:rsidRPr="00A259BD">
        <w:rPr>
          <w:rFonts w:ascii="Times New Roman" w:hAnsi="Times New Roman"/>
          <w:color w:val="000000" w:themeColor="text1"/>
          <w:sz w:val="16"/>
          <w:szCs w:val="16"/>
        </w:rPr>
        <w:t>Я.К.Ольский</w:t>
      </w:r>
      <w:proofErr w:type="spellEnd"/>
      <w:r w:rsidRPr="00A259BD">
        <w:rPr>
          <w:rFonts w:ascii="Times New Roman" w:hAnsi="Times New Roman"/>
          <w:color w:val="000000" w:themeColor="text1"/>
          <w:sz w:val="16"/>
          <w:szCs w:val="16"/>
        </w:rPr>
        <w:t xml:space="preserve">, помощники начальника КРО - </w:t>
      </w:r>
      <w:proofErr w:type="spellStart"/>
      <w:r w:rsidRPr="00A259BD">
        <w:rPr>
          <w:rFonts w:ascii="Times New Roman" w:hAnsi="Times New Roman"/>
          <w:color w:val="000000" w:themeColor="text1"/>
          <w:sz w:val="16"/>
          <w:szCs w:val="16"/>
        </w:rPr>
        <w:t>В.А.Стырне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С.В.Пузицкий</w:t>
      </w:r>
      <w:proofErr w:type="spellEnd"/>
      <w:r w:rsidRPr="00A259BD">
        <w:rPr>
          <w:rFonts w:ascii="Times New Roman" w:hAnsi="Times New Roman"/>
          <w:color w:val="000000" w:themeColor="text1"/>
          <w:sz w:val="16"/>
          <w:szCs w:val="16"/>
        </w:rPr>
        <w:t xml:space="preserve">): </w:t>
      </w:r>
    </w:p>
    <w:p w14:paraId="1EBAFE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 отделение (</w:t>
      </w:r>
      <w:proofErr w:type="spellStart"/>
      <w:r w:rsidRPr="00A259BD">
        <w:rPr>
          <w:rFonts w:ascii="Times New Roman" w:hAnsi="Times New Roman"/>
          <w:color w:val="000000" w:themeColor="text1"/>
          <w:sz w:val="16"/>
          <w:szCs w:val="16"/>
        </w:rPr>
        <w:t>А.Р.Формайстер</w:t>
      </w:r>
      <w:proofErr w:type="spellEnd"/>
      <w:r w:rsidRPr="00A259BD">
        <w:rPr>
          <w:rFonts w:ascii="Times New Roman" w:hAnsi="Times New Roman"/>
          <w:color w:val="000000" w:themeColor="text1"/>
          <w:sz w:val="16"/>
          <w:szCs w:val="16"/>
        </w:rPr>
        <w:t xml:space="preserve">), </w:t>
      </w:r>
    </w:p>
    <w:p w14:paraId="06AFED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отделение (</w:t>
      </w:r>
      <w:proofErr w:type="spellStart"/>
      <w:r w:rsidRPr="00A259BD">
        <w:rPr>
          <w:rFonts w:ascii="Times New Roman" w:hAnsi="Times New Roman"/>
          <w:color w:val="000000" w:themeColor="text1"/>
          <w:sz w:val="16"/>
          <w:szCs w:val="16"/>
        </w:rPr>
        <w:t>К.Ф.Роллер</w:t>
      </w:r>
      <w:proofErr w:type="spellEnd"/>
      <w:r w:rsidRPr="00A259BD">
        <w:rPr>
          <w:rFonts w:ascii="Times New Roman" w:hAnsi="Times New Roman"/>
          <w:color w:val="000000" w:themeColor="text1"/>
          <w:sz w:val="16"/>
          <w:szCs w:val="16"/>
        </w:rPr>
        <w:t xml:space="preserve">), </w:t>
      </w:r>
    </w:p>
    <w:p w14:paraId="263D89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отделение (</w:t>
      </w:r>
      <w:proofErr w:type="spellStart"/>
      <w:r w:rsidRPr="00A259BD">
        <w:rPr>
          <w:rFonts w:ascii="Times New Roman" w:hAnsi="Times New Roman"/>
          <w:color w:val="000000" w:themeColor="text1"/>
          <w:sz w:val="16"/>
          <w:szCs w:val="16"/>
        </w:rPr>
        <w:t>К.И.Науиокайтис</w:t>
      </w:r>
      <w:proofErr w:type="spellEnd"/>
      <w:r w:rsidRPr="00A259BD">
        <w:rPr>
          <w:rFonts w:ascii="Times New Roman" w:hAnsi="Times New Roman"/>
          <w:color w:val="000000" w:themeColor="text1"/>
          <w:sz w:val="16"/>
          <w:szCs w:val="16"/>
        </w:rPr>
        <w:t xml:space="preserve">), </w:t>
      </w:r>
    </w:p>
    <w:p w14:paraId="21D189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отделение (</w:t>
      </w:r>
      <w:proofErr w:type="spellStart"/>
      <w:r w:rsidRPr="00A259BD">
        <w:rPr>
          <w:rFonts w:ascii="Times New Roman" w:hAnsi="Times New Roman"/>
          <w:color w:val="000000" w:themeColor="text1"/>
          <w:sz w:val="16"/>
          <w:szCs w:val="16"/>
        </w:rPr>
        <w:t>В.С.Кияковский</w:t>
      </w:r>
      <w:proofErr w:type="spellEnd"/>
      <w:r w:rsidRPr="00A259BD">
        <w:rPr>
          <w:rFonts w:ascii="Times New Roman" w:hAnsi="Times New Roman"/>
          <w:color w:val="000000" w:themeColor="text1"/>
          <w:sz w:val="16"/>
          <w:szCs w:val="16"/>
        </w:rPr>
        <w:t xml:space="preserve">), </w:t>
      </w:r>
    </w:p>
    <w:p w14:paraId="7E8E6F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отделение (</w:t>
      </w:r>
      <w:proofErr w:type="spellStart"/>
      <w:r w:rsidRPr="00A259BD">
        <w:rPr>
          <w:rFonts w:ascii="Times New Roman" w:hAnsi="Times New Roman"/>
          <w:color w:val="000000" w:themeColor="text1"/>
          <w:sz w:val="16"/>
          <w:szCs w:val="16"/>
        </w:rPr>
        <w:t>И.Ф.Тубала</w:t>
      </w:r>
      <w:proofErr w:type="spellEnd"/>
      <w:r w:rsidRPr="00A259BD">
        <w:rPr>
          <w:rFonts w:ascii="Times New Roman" w:hAnsi="Times New Roman"/>
          <w:color w:val="000000" w:themeColor="text1"/>
          <w:sz w:val="16"/>
          <w:szCs w:val="16"/>
        </w:rPr>
        <w:t xml:space="preserve">), </w:t>
      </w:r>
    </w:p>
    <w:p w14:paraId="3963D0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отделение (</w:t>
      </w:r>
      <w:proofErr w:type="spellStart"/>
      <w:r w:rsidRPr="00A259BD">
        <w:rPr>
          <w:rFonts w:ascii="Times New Roman" w:hAnsi="Times New Roman"/>
          <w:color w:val="000000" w:themeColor="text1"/>
          <w:sz w:val="16"/>
          <w:szCs w:val="16"/>
        </w:rPr>
        <w:t>Н.И.Демиденко</w:t>
      </w:r>
      <w:proofErr w:type="spellEnd"/>
      <w:r w:rsidRPr="00A259BD">
        <w:rPr>
          <w:rFonts w:ascii="Times New Roman" w:hAnsi="Times New Roman"/>
          <w:color w:val="000000" w:themeColor="text1"/>
          <w:sz w:val="16"/>
          <w:szCs w:val="16"/>
        </w:rPr>
        <w:t xml:space="preserve">), </w:t>
      </w:r>
    </w:p>
    <w:p w14:paraId="455043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отделение (</w:t>
      </w:r>
      <w:proofErr w:type="spellStart"/>
      <w:r w:rsidRPr="00A259BD">
        <w:rPr>
          <w:rFonts w:ascii="Times New Roman" w:hAnsi="Times New Roman"/>
          <w:color w:val="000000" w:themeColor="text1"/>
          <w:sz w:val="16"/>
          <w:szCs w:val="16"/>
        </w:rPr>
        <w:t>С.Г.Гендин</w:t>
      </w:r>
      <w:proofErr w:type="spellEnd"/>
      <w:r w:rsidRPr="00A259BD">
        <w:rPr>
          <w:rFonts w:ascii="Times New Roman" w:hAnsi="Times New Roman"/>
          <w:color w:val="000000" w:themeColor="text1"/>
          <w:sz w:val="16"/>
          <w:szCs w:val="16"/>
        </w:rPr>
        <w:t xml:space="preserve">), </w:t>
      </w:r>
    </w:p>
    <w:p w14:paraId="332E7C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отделение (</w:t>
      </w:r>
      <w:proofErr w:type="spellStart"/>
      <w:r w:rsidRPr="00A259BD">
        <w:rPr>
          <w:rFonts w:ascii="Times New Roman" w:hAnsi="Times New Roman"/>
          <w:color w:val="000000" w:themeColor="text1"/>
          <w:sz w:val="16"/>
          <w:szCs w:val="16"/>
        </w:rPr>
        <w:t>М.А.Розенфельд</w:t>
      </w:r>
      <w:proofErr w:type="spellEnd"/>
      <w:r w:rsidRPr="00A259BD">
        <w:rPr>
          <w:rFonts w:ascii="Times New Roman" w:hAnsi="Times New Roman"/>
          <w:color w:val="000000" w:themeColor="text1"/>
          <w:sz w:val="16"/>
          <w:szCs w:val="16"/>
        </w:rPr>
        <w:t>);</w:t>
      </w:r>
    </w:p>
    <w:p w14:paraId="196282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ОО (начальник - </w:t>
      </w:r>
      <w:proofErr w:type="spellStart"/>
      <w:r w:rsidRPr="00A259BD">
        <w:rPr>
          <w:rFonts w:ascii="Times New Roman" w:hAnsi="Times New Roman"/>
          <w:color w:val="000000" w:themeColor="text1"/>
          <w:sz w:val="16"/>
          <w:szCs w:val="16"/>
        </w:rPr>
        <w:t>Я.К.Ольский</w:t>
      </w:r>
      <w:proofErr w:type="spellEnd"/>
      <w:r w:rsidRPr="00A259BD">
        <w:rPr>
          <w:rFonts w:ascii="Times New Roman" w:hAnsi="Times New Roman"/>
          <w:color w:val="000000" w:themeColor="text1"/>
          <w:sz w:val="16"/>
          <w:szCs w:val="16"/>
        </w:rPr>
        <w:t xml:space="preserve">, помощник начальника ОО - </w:t>
      </w:r>
      <w:proofErr w:type="spellStart"/>
      <w:r w:rsidRPr="00A259BD">
        <w:rPr>
          <w:rFonts w:ascii="Times New Roman" w:hAnsi="Times New Roman"/>
          <w:color w:val="000000" w:themeColor="text1"/>
          <w:sz w:val="16"/>
          <w:szCs w:val="16"/>
        </w:rPr>
        <w:t>А.Г.Лепин</w:t>
      </w:r>
      <w:proofErr w:type="spellEnd"/>
      <w:r w:rsidRPr="00A259BD">
        <w:rPr>
          <w:rFonts w:ascii="Times New Roman" w:hAnsi="Times New Roman"/>
          <w:color w:val="000000" w:themeColor="text1"/>
          <w:sz w:val="16"/>
          <w:szCs w:val="16"/>
        </w:rPr>
        <w:t xml:space="preserve">): </w:t>
      </w:r>
    </w:p>
    <w:p w14:paraId="7338A9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отделение (</w:t>
      </w:r>
      <w:proofErr w:type="spellStart"/>
      <w:r w:rsidRPr="00A259BD">
        <w:rPr>
          <w:rFonts w:ascii="Times New Roman" w:hAnsi="Times New Roman"/>
          <w:color w:val="000000" w:themeColor="text1"/>
          <w:sz w:val="16"/>
          <w:szCs w:val="16"/>
        </w:rPr>
        <w:t>А.И.Полуэктов</w:t>
      </w:r>
      <w:proofErr w:type="spellEnd"/>
      <w:r w:rsidRPr="00A259BD">
        <w:rPr>
          <w:rFonts w:ascii="Times New Roman" w:hAnsi="Times New Roman"/>
          <w:color w:val="000000" w:themeColor="text1"/>
          <w:sz w:val="16"/>
          <w:szCs w:val="16"/>
        </w:rPr>
        <w:t xml:space="preserve">), </w:t>
      </w:r>
    </w:p>
    <w:p w14:paraId="5FD255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отделение (</w:t>
      </w:r>
      <w:proofErr w:type="spellStart"/>
      <w:r w:rsidRPr="00A259BD">
        <w:rPr>
          <w:rFonts w:ascii="Times New Roman" w:hAnsi="Times New Roman"/>
          <w:color w:val="000000" w:themeColor="text1"/>
          <w:sz w:val="16"/>
          <w:szCs w:val="16"/>
        </w:rPr>
        <w:t>В.М.Троицкий</w:t>
      </w:r>
      <w:proofErr w:type="spellEnd"/>
      <w:r w:rsidRPr="00A259BD">
        <w:rPr>
          <w:rFonts w:ascii="Times New Roman" w:hAnsi="Times New Roman"/>
          <w:color w:val="000000" w:themeColor="text1"/>
          <w:sz w:val="16"/>
          <w:szCs w:val="16"/>
        </w:rPr>
        <w:t xml:space="preserve">), </w:t>
      </w:r>
    </w:p>
    <w:p w14:paraId="232108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отделение (</w:t>
      </w:r>
      <w:proofErr w:type="spellStart"/>
      <w:r w:rsidRPr="00A259BD">
        <w:rPr>
          <w:rFonts w:ascii="Times New Roman" w:hAnsi="Times New Roman"/>
          <w:color w:val="000000" w:themeColor="text1"/>
          <w:sz w:val="16"/>
          <w:szCs w:val="16"/>
        </w:rPr>
        <w:t>С.Ф.Пинталь</w:t>
      </w:r>
      <w:proofErr w:type="spellEnd"/>
      <w:r w:rsidRPr="00A259BD">
        <w:rPr>
          <w:rFonts w:ascii="Times New Roman" w:hAnsi="Times New Roman"/>
          <w:color w:val="000000" w:themeColor="text1"/>
          <w:sz w:val="16"/>
          <w:szCs w:val="16"/>
        </w:rPr>
        <w:t xml:space="preserve">); </w:t>
      </w:r>
    </w:p>
    <w:p w14:paraId="455AA5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ИНФО и ПК (начальник - </w:t>
      </w:r>
      <w:proofErr w:type="spellStart"/>
      <w:r w:rsidRPr="00A259BD">
        <w:rPr>
          <w:rFonts w:ascii="Times New Roman" w:hAnsi="Times New Roman"/>
          <w:color w:val="000000" w:themeColor="text1"/>
          <w:sz w:val="16"/>
          <w:szCs w:val="16"/>
        </w:rPr>
        <w:t>Н.Н.Алексеев</w:t>
      </w:r>
      <w:proofErr w:type="spellEnd"/>
      <w:r w:rsidRPr="00A259BD">
        <w:rPr>
          <w:rFonts w:ascii="Times New Roman" w:hAnsi="Times New Roman"/>
          <w:color w:val="000000" w:themeColor="text1"/>
          <w:sz w:val="16"/>
          <w:szCs w:val="16"/>
        </w:rPr>
        <w:t xml:space="preserve">, помощники начальника ИНФО и ПК - </w:t>
      </w:r>
      <w:proofErr w:type="spellStart"/>
      <w:r w:rsidRPr="00A259BD">
        <w:rPr>
          <w:rFonts w:ascii="Times New Roman" w:hAnsi="Times New Roman"/>
          <w:color w:val="000000" w:themeColor="text1"/>
          <w:sz w:val="16"/>
          <w:szCs w:val="16"/>
        </w:rPr>
        <w:t>И.В.Запорожец</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Я.С.Визель</w:t>
      </w:r>
      <w:proofErr w:type="spellEnd"/>
      <w:r w:rsidRPr="00A259BD">
        <w:rPr>
          <w:rFonts w:ascii="Times New Roman" w:hAnsi="Times New Roman"/>
          <w:color w:val="000000" w:themeColor="text1"/>
          <w:sz w:val="16"/>
          <w:szCs w:val="16"/>
        </w:rPr>
        <w:t xml:space="preserve">): </w:t>
      </w:r>
    </w:p>
    <w:p w14:paraId="417E30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отделение (</w:t>
      </w:r>
      <w:proofErr w:type="spellStart"/>
      <w:r w:rsidRPr="00A259BD">
        <w:rPr>
          <w:rFonts w:ascii="Times New Roman" w:hAnsi="Times New Roman"/>
          <w:color w:val="000000" w:themeColor="text1"/>
          <w:sz w:val="16"/>
          <w:szCs w:val="16"/>
        </w:rPr>
        <w:t>А.В.Калачников</w:t>
      </w:r>
      <w:proofErr w:type="spellEnd"/>
      <w:r w:rsidRPr="00A259BD">
        <w:rPr>
          <w:rFonts w:ascii="Times New Roman" w:hAnsi="Times New Roman"/>
          <w:color w:val="000000" w:themeColor="text1"/>
          <w:sz w:val="16"/>
          <w:szCs w:val="16"/>
        </w:rPr>
        <w:t xml:space="preserve">), </w:t>
      </w:r>
    </w:p>
    <w:p w14:paraId="211DDA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отделение (</w:t>
      </w:r>
      <w:proofErr w:type="spellStart"/>
      <w:r w:rsidRPr="00A259BD">
        <w:rPr>
          <w:rFonts w:ascii="Times New Roman" w:hAnsi="Times New Roman"/>
          <w:color w:val="000000" w:themeColor="text1"/>
          <w:sz w:val="16"/>
          <w:szCs w:val="16"/>
        </w:rPr>
        <w:t>М.А.Герасимова</w:t>
      </w:r>
      <w:proofErr w:type="spellEnd"/>
      <w:r w:rsidRPr="00A259BD">
        <w:rPr>
          <w:rFonts w:ascii="Times New Roman" w:hAnsi="Times New Roman"/>
          <w:color w:val="000000" w:themeColor="text1"/>
          <w:sz w:val="16"/>
          <w:szCs w:val="16"/>
        </w:rPr>
        <w:t xml:space="preserve">), </w:t>
      </w:r>
    </w:p>
    <w:p w14:paraId="115DCE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отделение (</w:t>
      </w:r>
      <w:proofErr w:type="spellStart"/>
      <w:r w:rsidRPr="00A259BD">
        <w:rPr>
          <w:rFonts w:ascii="Times New Roman" w:hAnsi="Times New Roman"/>
          <w:color w:val="000000" w:themeColor="text1"/>
          <w:sz w:val="16"/>
          <w:szCs w:val="16"/>
        </w:rPr>
        <w:t>П.М.Лобов</w:t>
      </w:r>
      <w:proofErr w:type="spellEnd"/>
      <w:r w:rsidRPr="00A259BD">
        <w:rPr>
          <w:rFonts w:ascii="Times New Roman" w:hAnsi="Times New Roman"/>
          <w:color w:val="000000" w:themeColor="text1"/>
          <w:sz w:val="16"/>
          <w:szCs w:val="16"/>
        </w:rPr>
        <w:t xml:space="preserve">), </w:t>
      </w:r>
    </w:p>
    <w:p w14:paraId="56BFE5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отделение (</w:t>
      </w:r>
      <w:proofErr w:type="spellStart"/>
      <w:r w:rsidRPr="00A259BD">
        <w:rPr>
          <w:rFonts w:ascii="Times New Roman" w:hAnsi="Times New Roman"/>
          <w:color w:val="000000" w:themeColor="text1"/>
          <w:sz w:val="16"/>
          <w:szCs w:val="16"/>
        </w:rPr>
        <w:t>А.Г.Лундин</w:t>
      </w:r>
      <w:proofErr w:type="spellEnd"/>
      <w:r w:rsidRPr="00A259BD">
        <w:rPr>
          <w:rFonts w:ascii="Times New Roman" w:hAnsi="Times New Roman"/>
          <w:color w:val="000000" w:themeColor="text1"/>
          <w:sz w:val="16"/>
          <w:szCs w:val="16"/>
        </w:rPr>
        <w:t xml:space="preserve">), </w:t>
      </w:r>
    </w:p>
    <w:p w14:paraId="1AC964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отделение (</w:t>
      </w:r>
      <w:proofErr w:type="spellStart"/>
      <w:r w:rsidRPr="00A259BD">
        <w:rPr>
          <w:rFonts w:ascii="Times New Roman" w:hAnsi="Times New Roman"/>
          <w:color w:val="000000" w:themeColor="text1"/>
          <w:sz w:val="16"/>
          <w:szCs w:val="16"/>
        </w:rPr>
        <w:t>И.Ф.Соловьев</w:t>
      </w:r>
      <w:proofErr w:type="spellEnd"/>
      <w:r w:rsidRPr="00A259BD">
        <w:rPr>
          <w:rFonts w:ascii="Times New Roman" w:hAnsi="Times New Roman"/>
          <w:color w:val="000000" w:themeColor="text1"/>
          <w:sz w:val="16"/>
          <w:szCs w:val="16"/>
        </w:rPr>
        <w:t xml:space="preserve">), </w:t>
      </w:r>
    </w:p>
    <w:p w14:paraId="3B1782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отделение (</w:t>
      </w:r>
      <w:proofErr w:type="spellStart"/>
      <w:r w:rsidRPr="00A259BD">
        <w:rPr>
          <w:rFonts w:ascii="Times New Roman" w:hAnsi="Times New Roman"/>
          <w:color w:val="000000" w:themeColor="text1"/>
          <w:sz w:val="16"/>
          <w:szCs w:val="16"/>
        </w:rPr>
        <w:t>Р.Э.Калькис</w:t>
      </w:r>
      <w:proofErr w:type="spellEnd"/>
      <w:r w:rsidRPr="00A259BD">
        <w:rPr>
          <w:rFonts w:ascii="Times New Roman" w:hAnsi="Times New Roman"/>
          <w:color w:val="000000" w:themeColor="text1"/>
          <w:sz w:val="16"/>
          <w:szCs w:val="16"/>
        </w:rPr>
        <w:t xml:space="preserve">), </w:t>
      </w:r>
    </w:p>
    <w:p w14:paraId="0FFB27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отделение (</w:t>
      </w:r>
      <w:proofErr w:type="spellStart"/>
      <w:r w:rsidRPr="00A259BD">
        <w:rPr>
          <w:rFonts w:ascii="Times New Roman" w:hAnsi="Times New Roman"/>
          <w:color w:val="000000" w:themeColor="text1"/>
          <w:sz w:val="16"/>
          <w:szCs w:val="16"/>
        </w:rPr>
        <w:t>А.И.Агаянц</w:t>
      </w:r>
      <w:proofErr w:type="spellEnd"/>
      <w:r w:rsidRPr="00A259BD">
        <w:rPr>
          <w:rFonts w:ascii="Times New Roman" w:hAnsi="Times New Roman"/>
          <w:color w:val="000000" w:themeColor="text1"/>
          <w:sz w:val="16"/>
          <w:szCs w:val="16"/>
        </w:rPr>
        <w:t xml:space="preserve">), </w:t>
      </w:r>
    </w:p>
    <w:p w14:paraId="313061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отделение (</w:t>
      </w:r>
      <w:proofErr w:type="spellStart"/>
      <w:r w:rsidRPr="00A259BD">
        <w:rPr>
          <w:rFonts w:ascii="Times New Roman" w:hAnsi="Times New Roman"/>
          <w:color w:val="000000" w:themeColor="text1"/>
          <w:sz w:val="16"/>
          <w:szCs w:val="16"/>
        </w:rPr>
        <w:t>врид</w:t>
      </w:r>
      <w:proofErr w:type="spellEnd"/>
      <w:r w:rsidRPr="00A259BD">
        <w:rPr>
          <w:rFonts w:ascii="Times New Roman" w:hAnsi="Times New Roman"/>
          <w:color w:val="000000" w:themeColor="text1"/>
          <w:sz w:val="16"/>
          <w:szCs w:val="16"/>
        </w:rPr>
        <w:t xml:space="preserve"> начальника - </w:t>
      </w:r>
      <w:proofErr w:type="spellStart"/>
      <w:r w:rsidRPr="00A259BD">
        <w:rPr>
          <w:rFonts w:ascii="Times New Roman" w:hAnsi="Times New Roman"/>
          <w:color w:val="000000" w:themeColor="text1"/>
          <w:sz w:val="16"/>
          <w:szCs w:val="16"/>
        </w:rPr>
        <w:t>А.З.Назарбекова</w:t>
      </w:r>
      <w:proofErr w:type="spellEnd"/>
      <w:r w:rsidRPr="00A259BD">
        <w:rPr>
          <w:rFonts w:ascii="Times New Roman" w:hAnsi="Times New Roman"/>
          <w:color w:val="000000" w:themeColor="text1"/>
          <w:sz w:val="16"/>
          <w:szCs w:val="16"/>
        </w:rPr>
        <w:t>);</w:t>
      </w:r>
    </w:p>
    <w:p w14:paraId="282929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Оперод</w:t>
      </w:r>
      <w:proofErr w:type="spellEnd"/>
      <w:r w:rsidRPr="00A259BD">
        <w:rPr>
          <w:rFonts w:ascii="Times New Roman" w:hAnsi="Times New Roman"/>
          <w:color w:val="000000" w:themeColor="text1"/>
          <w:sz w:val="16"/>
          <w:szCs w:val="16"/>
        </w:rPr>
        <w:t xml:space="preserve"> (начальник - </w:t>
      </w:r>
      <w:proofErr w:type="spellStart"/>
      <w:r w:rsidRPr="00A259BD">
        <w:rPr>
          <w:rFonts w:ascii="Times New Roman" w:hAnsi="Times New Roman"/>
          <w:color w:val="000000" w:themeColor="text1"/>
          <w:sz w:val="16"/>
          <w:szCs w:val="16"/>
        </w:rPr>
        <w:t>К.В.Паукер</w:t>
      </w:r>
      <w:proofErr w:type="spellEnd"/>
      <w:r w:rsidRPr="00A259BD">
        <w:rPr>
          <w:rFonts w:ascii="Times New Roman" w:hAnsi="Times New Roman"/>
          <w:color w:val="000000" w:themeColor="text1"/>
          <w:sz w:val="16"/>
          <w:szCs w:val="16"/>
        </w:rPr>
        <w:t xml:space="preserve">): </w:t>
      </w:r>
    </w:p>
    <w:p w14:paraId="4E1E3F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отделение (</w:t>
      </w:r>
      <w:proofErr w:type="spellStart"/>
      <w:r w:rsidRPr="00A259BD">
        <w:rPr>
          <w:rFonts w:ascii="Times New Roman" w:hAnsi="Times New Roman"/>
          <w:color w:val="000000" w:themeColor="text1"/>
          <w:sz w:val="16"/>
          <w:szCs w:val="16"/>
        </w:rPr>
        <w:t>А.И.Рыбкин</w:t>
      </w:r>
      <w:proofErr w:type="spellEnd"/>
      <w:r w:rsidRPr="00A259BD">
        <w:rPr>
          <w:rFonts w:ascii="Times New Roman" w:hAnsi="Times New Roman"/>
          <w:color w:val="000000" w:themeColor="text1"/>
          <w:sz w:val="16"/>
          <w:szCs w:val="16"/>
        </w:rPr>
        <w:t xml:space="preserve">), </w:t>
      </w:r>
    </w:p>
    <w:p w14:paraId="796A7D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отделение (</w:t>
      </w:r>
      <w:proofErr w:type="spellStart"/>
      <w:r w:rsidRPr="00A259BD">
        <w:rPr>
          <w:rFonts w:ascii="Times New Roman" w:hAnsi="Times New Roman"/>
          <w:color w:val="000000" w:themeColor="text1"/>
          <w:sz w:val="16"/>
          <w:szCs w:val="16"/>
        </w:rPr>
        <w:t>Г.В.Голов</w:t>
      </w:r>
      <w:proofErr w:type="spellEnd"/>
      <w:r w:rsidRPr="00A259BD">
        <w:rPr>
          <w:rFonts w:ascii="Times New Roman" w:hAnsi="Times New Roman"/>
          <w:color w:val="000000" w:themeColor="text1"/>
          <w:sz w:val="16"/>
          <w:szCs w:val="16"/>
        </w:rPr>
        <w:t xml:space="preserve">), </w:t>
      </w:r>
    </w:p>
    <w:p w14:paraId="05552E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отделение (</w:t>
      </w:r>
      <w:proofErr w:type="spellStart"/>
      <w:r w:rsidRPr="00A259BD">
        <w:rPr>
          <w:rFonts w:ascii="Times New Roman" w:hAnsi="Times New Roman"/>
          <w:color w:val="000000" w:themeColor="text1"/>
          <w:sz w:val="16"/>
          <w:szCs w:val="16"/>
        </w:rPr>
        <w:t>Ф.П.Фокин</w:t>
      </w:r>
      <w:proofErr w:type="spellEnd"/>
      <w:r w:rsidRPr="00A259BD">
        <w:rPr>
          <w:rFonts w:ascii="Times New Roman" w:hAnsi="Times New Roman"/>
          <w:color w:val="000000" w:themeColor="text1"/>
          <w:sz w:val="16"/>
          <w:szCs w:val="16"/>
        </w:rPr>
        <w:t xml:space="preserve">), </w:t>
      </w:r>
    </w:p>
    <w:p w14:paraId="2FE54A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отделение (</w:t>
      </w:r>
      <w:proofErr w:type="spellStart"/>
      <w:r w:rsidRPr="00A259BD">
        <w:rPr>
          <w:rFonts w:ascii="Times New Roman" w:hAnsi="Times New Roman"/>
          <w:color w:val="000000" w:themeColor="text1"/>
          <w:sz w:val="16"/>
          <w:szCs w:val="16"/>
        </w:rPr>
        <w:t>И.Ю.Лоренс</w:t>
      </w:r>
      <w:proofErr w:type="spellEnd"/>
      <w:r w:rsidRPr="00A259BD">
        <w:rPr>
          <w:rFonts w:ascii="Times New Roman" w:hAnsi="Times New Roman"/>
          <w:color w:val="000000" w:themeColor="text1"/>
          <w:sz w:val="16"/>
          <w:szCs w:val="16"/>
        </w:rPr>
        <w:t xml:space="preserve">), </w:t>
      </w:r>
    </w:p>
    <w:p w14:paraId="0A6DA8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ударная группа по борьбе с бандитизмом (</w:t>
      </w:r>
      <w:proofErr w:type="spellStart"/>
      <w:r w:rsidRPr="00A259BD">
        <w:rPr>
          <w:rFonts w:ascii="Times New Roman" w:hAnsi="Times New Roman"/>
          <w:color w:val="000000" w:themeColor="text1"/>
          <w:sz w:val="16"/>
          <w:szCs w:val="16"/>
        </w:rPr>
        <w:t>Л.Д.Вуль</w:t>
      </w:r>
      <w:proofErr w:type="spellEnd"/>
      <w:r w:rsidRPr="00A259BD">
        <w:rPr>
          <w:rFonts w:ascii="Times New Roman" w:hAnsi="Times New Roman"/>
          <w:color w:val="000000" w:themeColor="text1"/>
          <w:sz w:val="16"/>
          <w:szCs w:val="16"/>
        </w:rPr>
        <w:t>);</w:t>
      </w:r>
    </w:p>
    <w:p w14:paraId="2BF793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 (начальник - </w:t>
      </w:r>
      <w:proofErr w:type="spellStart"/>
      <w:r w:rsidRPr="00A259BD">
        <w:rPr>
          <w:rFonts w:ascii="Times New Roman" w:hAnsi="Times New Roman"/>
          <w:color w:val="000000" w:themeColor="text1"/>
          <w:sz w:val="16"/>
          <w:szCs w:val="16"/>
        </w:rPr>
        <w:t>Т.М.Дьяков</w:t>
      </w:r>
      <w:proofErr w:type="spellEnd"/>
      <w:r w:rsidRPr="00A259BD">
        <w:rPr>
          <w:rFonts w:ascii="Times New Roman" w:hAnsi="Times New Roman"/>
          <w:color w:val="000000" w:themeColor="text1"/>
          <w:sz w:val="16"/>
          <w:szCs w:val="16"/>
        </w:rPr>
        <w:t xml:space="preserve">, помощник начальника ВО - </w:t>
      </w:r>
      <w:proofErr w:type="spellStart"/>
      <w:r w:rsidRPr="00A259BD">
        <w:rPr>
          <w:rFonts w:ascii="Times New Roman" w:hAnsi="Times New Roman"/>
          <w:color w:val="000000" w:themeColor="text1"/>
          <w:sz w:val="16"/>
          <w:szCs w:val="16"/>
        </w:rPr>
        <w:t>А.Д.Соболев</w:t>
      </w:r>
      <w:proofErr w:type="spellEnd"/>
      <w:r w:rsidRPr="00A259BD">
        <w:rPr>
          <w:rFonts w:ascii="Times New Roman" w:hAnsi="Times New Roman"/>
          <w:color w:val="000000" w:themeColor="text1"/>
          <w:sz w:val="16"/>
          <w:szCs w:val="16"/>
        </w:rPr>
        <w:t xml:space="preserve"> с 9 декабря, он же - начальник 2 отделения): </w:t>
      </w:r>
    </w:p>
    <w:p w14:paraId="53CF32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отделение (</w:t>
      </w:r>
      <w:proofErr w:type="spellStart"/>
      <w:r w:rsidRPr="00A259BD">
        <w:rPr>
          <w:rFonts w:ascii="Times New Roman" w:hAnsi="Times New Roman"/>
          <w:color w:val="000000" w:themeColor="text1"/>
          <w:sz w:val="16"/>
          <w:szCs w:val="16"/>
        </w:rPr>
        <w:t>Л.А.Приходько</w:t>
      </w:r>
      <w:proofErr w:type="spellEnd"/>
      <w:r w:rsidRPr="00A259BD">
        <w:rPr>
          <w:rFonts w:ascii="Times New Roman" w:hAnsi="Times New Roman"/>
          <w:color w:val="000000" w:themeColor="text1"/>
          <w:sz w:val="16"/>
          <w:szCs w:val="16"/>
        </w:rPr>
        <w:t xml:space="preserve">), </w:t>
      </w:r>
    </w:p>
    <w:p w14:paraId="4EC6C2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отделение (</w:t>
      </w:r>
      <w:proofErr w:type="spellStart"/>
      <w:r w:rsidRPr="00A259BD">
        <w:rPr>
          <w:rFonts w:ascii="Times New Roman" w:hAnsi="Times New Roman"/>
          <w:color w:val="000000" w:themeColor="text1"/>
          <w:sz w:val="16"/>
          <w:szCs w:val="16"/>
        </w:rPr>
        <w:t>А.Д.Соболев</w:t>
      </w:r>
      <w:proofErr w:type="spellEnd"/>
      <w:r w:rsidRPr="00A259BD">
        <w:rPr>
          <w:rFonts w:ascii="Times New Roman" w:hAnsi="Times New Roman"/>
          <w:color w:val="000000" w:themeColor="text1"/>
          <w:sz w:val="16"/>
          <w:szCs w:val="16"/>
        </w:rPr>
        <w:t xml:space="preserve">, с 9 декабря), </w:t>
      </w:r>
    </w:p>
    <w:p w14:paraId="3A3388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отделение (</w:t>
      </w:r>
      <w:proofErr w:type="spellStart"/>
      <w:r w:rsidRPr="00A259BD">
        <w:rPr>
          <w:rFonts w:ascii="Times New Roman" w:hAnsi="Times New Roman"/>
          <w:color w:val="000000" w:themeColor="text1"/>
          <w:sz w:val="16"/>
          <w:szCs w:val="16"/>
        </w:rPr>
        <w:t>А.А.Алмаев</w:t>
      </w:r>
      <w:proofErr w:type="spellEnd"/>
      <w:r w:rsidRPr="00A259BD">
        <w:rPr>
          <w:rFonts w:ascii="Times New Roman" w:hAnsi="Times New Roman"/>
          <w:color w:val="000000" w:themeColor="text1"/>
          <w:sz w:val="16"/>
          <w:szCs w:val="16"/>
        </w:rPr>
        <w:t>);</w:t>
      </w:r>
    </w:p>
    <w:p w14:paraId="65F560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ОЦР (начальник - </w:t>
      </w:r>
      <w:proofErr w:type="spellStart"/>
      <w:r w:rsidRPr="00A259BD">
        <w:rPr>
          <w:rFonts w:ascii="Times New Roman" w:hAnsi="Times New Roman"/>
          <w:color w:val="000000" w:themeColor="text1"/>
          <w:sz w:val="16"/>
          <w:szCs w:val="16"/>
        </w:rPr>
        <w:t>А.М.Шанин</w:t>
      </w:r>
      <w:proofErr w:type="spellEnd"/>
      <w:r w:rsidRPr="00A259BD">
        <w:rPr>
          <w:rFonts w:ascii="Times New Roman" w:hAnsi="Times New Roman"/>
          <w:color w:val="000000" w:themeColor="text1"/>
          <w:sz w:val="16"/>
          <w:szCs w:val="16"/>
        </w:rPr>
        <w:t xml:space="preserve">, помощники начальника ОЦР - </w:t>
      </w:r>
      <w:proofErr w:type="spellStart"/>
      <w:r w:rsidRPr="00A259BD">
        <w:rPr>
          <w:rFonts w:ascii="Times New Roman" w:hAnsi="Times New Roman"/>
          <w:color w:val="000000" w:themeColor="text1"/>
          <w:sz w:val="16"/>
          <w:szCs w:val="16"/>
        </w:rPr>
        <w:t>И.П.Павлов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В.Г.Лебедев</w:t>
      </w:r>
      <w:proofErr w:type="spellEnd"/>
      <w:r w:rsidRPr="00A259BD">
        <w:rPr>
          <w:rFonts w:ascii="Times New Roman" w:hAnsi="Times New Roman"/>
          <w:color w:val="000000" w:themeColor="text1"/>
          <w:sz w:val="16"/>
          <w:szCs w:val="16"/>
        </w:rPr>
        <w:t xml:space="preserve">): </w:t>
      </w:r>
    </w:p>
    <w:p w14:paraId="117AB2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учетное отделение (</w:t>
      </w:r>
      <w:proofErr w:type="spellStart"/>
      <w:r w:rsidRPr="00A259BD">
        <w:rPr>
          <w:rFonts w:ascii="Times New Roman" w:hAnsi="Times New Roman"/>
          <w:color w:val="000000" w:themeColor="text1"/>
          <w:sz w:val="16"/>
          <w:szCs w:val="16"/>
        </w:rPr>
        <w:t>С.Я.Зубкин</w:t>
      </w:r>
      <w:proofErr w:type="spellEnd"/>
      <w:r w:rsidRPr="00A259BD">
        <w:rPr>
          <w:rFonts w:ascii="Times New Roman" w:hAnsi="Times New Roman"/>
          <w:color w:val="000000" w:themeColor="text1"/>
          <w:sz w:val="16"/>
          <w:szCs w:val="16"/>
        </w:rPr>
        <w:t xml:space="preserve">), </w:t>
      </w:r>
    </w:p>
    <w:p w14:paraId="2B15E9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регистрационное отделение (начальник - один из помощников начальника ОЦР), </w:t>
      </w:r>
    </w:p>
    <w:p w14:paraId="02A3AF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отделение тюремного и следственного надзора(</w:t>
      </w:r>
      <w:proofErr w:type="spellStart"/>
      <w:r w:rsidRPr="00A259BD">
        <w:rPr>
          <w:rFonts w:ascii="Times New Roman" w:hAnsi="Times New Roman"/>
          <w:color w:val="000000" w:themeColor="text1"/>
          <w:sz w:val="16"/>
          <w:szCs w:val="16"/>
        </w:rPr>
        <w:t>Я.А.Штаммер</w:t>
      </w:r>
      <w:proofErr w:type="spellEnd"/>
      <w:r w:rsidRPr="00A259BD">
        <w:rPr>
          <w:rFonts w:ascii="Times New Roman" w:hAnsi="Times New Roman"/>
          <w:color w:val="000000" w:themeColor="text1"/>
          <w:sz w:val="16"/>
          <w:szCs w:val="16"/>
        </w:rPr>
        <w:t xml:space="preserve">), </w:t>
      </w:r>
    </w:p>
    <w:p w14:paraId="5C8220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статистическое отделение (</w:t>
      </w:r>
      <w:proofErr w:type="spellStart"/>
      <w:r w:rsidRPr="00A259BD">
        <w:rPr>
          <w:rFonts w:ascii="Times New Roman" w:hAnsi="Times New Roman"/>
          <w:color w:val="000000" w:themeColor="text1"/>
          <w:sz w:val="16"/>
          <w:szCs w:val="16"/>
        </w:rPr>
        <w:t>А.С.Кузнецов</w:t>
      </w:r>
      <w:proofErr w:type="spellEnd"/>
      <w:r w:rsidRPr="00A259BD">
        <w:rPr>
          <w:rFonts w:ascii="Times New Roman" w:hAnsi="Times New Roman"/>
          <w:color w:val="000000" w:themeColor="text1"/>
          <w:sz w:val="16"/>
          <w:szCs w:val="16"/>
        </w:rPr>
        <w:t xml:space="preserve">), </w:t>
      </w:r>
    </w:p>
    <w:p w14:paraId="0713E9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центральный архив (</w:t>
      </w:r>
      <w:proofErr w:type="spellStart"/>
      <w:r w:rsidRPr="00A259BD">
        <w:rPr>
          <w:rFonts w:ascii="Times New Roman" w:hAnsi="Times New Roman"/>
          <w:color w:val="000000" w:themeColor="text1"/>
          <w:sz w:val="16"/>
          <w:szCs w:val="16"/>
        </w:rPr>
        <w:t>Е.Е.Солонович</w:t>
      </w:r>
      <w:proofErr w:type="spellEnd"/>
      <w:r w:rsidRPr="00A259BD">
        <w:rPr>
          <w:rFonts w:ascii="Times New Roman" w:hAnsi="Times New Roman"/>
          <w:color w:val="000000" w:themeColor="text1"/>
          <w:sz w:val="16"/>
          <w:szCs w:val="16"/>
        </w:rPr>
        <w:t>) (7557).</w:t>
      </w:r>
    </w:p>
    <w:p w14:paraId="21E0FB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ГУПО и войск ОГПУ (начальник - </w:t>
      </w:r>
      <w:proofErr w:type="spellStart"/>
      <w:r w:rsidRPr="00A259BD">
        <w:rPr>
          <w:rFonts w:ascii="Times New Roman" w:hAnsi="Times New Roman"/>
          <w:color w:val="000000" w:themeColor="text1"/>
          <w:sz w:val="16"/>
          <w:szCs w:val="16"/>
        </w:rPr>
        <w:t>И.А.Воронцов</w:t>
      </w:r>
      <w:proofErr w:type="spellEnd"/>
      <w:r w:rsidRPr="00A259BD">
        <w:rPr>
          <w:rFonts w:ascii="Times New Roman" w:hAnsi="Times New Roman"/>
          <w:color w:val="000000" w:themeColor="text1"/>
          <w:sz w:val="16"/>
          <w:szCs w:val="16"/>
        </w:rPr>
        <w:t xml:space="preserve">); Часть по охране границ (начальник - </w:t>
      </w:r>
      <w:proofErr w:type="spellStart"/>
      <w:r w:rsidRPr="00A259BD">
        <w:rPr>
          <w:rFonts w:ascii="Times New Roman" w:hAnsi="Times New Roman"/>
          <w:color w:val="000000" w:themeColor="text1"/>
          <w:sz w:val="16"/>
          <w:szCs w:val="16"/>
        </w:rPr>
        <w:t>А.М.Рутенберг</w:t>
      </w:r>
      <w:proofErr w:type="spellEnd"/>
      <w:r w:rsidRPr="00A259BD">
        <w:rPr>
          <w:rFonts w:ascii="Times New Roman" w:hAnsi="Times New Roman"/>
          <w:color w:val="000000" w:themeColor="text1"/>
          <w:sz w:val="16"/>
          <w:szCs w:val="16"/>
        </w:rPr>
        <w:t>) (7557).</w:t>
      </w:r>
    </w:p>
    <w:p w14:paraId="4F2EA4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ЭКУ (начальник - </w:t>
      </w:r>
      <w:proofErr w:type="spellStart"/>
      <w:r w:rsidRPr="00A259BD">
        <w:rPr>
          <w:rFonts w:ascii="Times New Roman" w:hAnsi="Times New Roman"/>
          <w:color w:val="000000" w:themeColor="text1"/>
          <w:sz w:val="16"/>
          <w:szCs w:val="16"/>
        </w:rPr>
        <w:t>Г.Е.Прокофьев</w:t>
      </w:r>
      <w:proofErr w:type="spellEnd"/>
      <w:r w:rsidRPr="00A259BD">
        <w:rPr>
          <w:rFonts w:ascii="Times New Roman" w:hAnsi="Times New Roman"/>
          <w:color w:val="000000" w:themeColor="text1"/>
          <w:sz w:val="16"/>
          <w:szCs w:val="16"/>
        </w:rPr>
        <w:t xml:space="preserve">, помощники начальника ЭКУ - </w:t>
      </w:r>
      <w:proofErr w:type="spellStart"/>
      <w:r w:rsidRPr="00A259BD">
        <w:rPr>
          <w:rFonts w:ascii="Times New Roman" w:hAnsi="Times New Roman"/>
          <w:color w:val="000000" w:themeColor="text1"/>
          <w:sz w:val="16"/>
          <w:szCs w:val="16"/>
        </w:rPr>
        <w:t>Л.Г.Миронов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А.Л.Молочников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А.А.Слуцкий</w:t>
      </w:r>
      <w:proofErr w:type="spellEnd"/>
      <w:r w:rsidRPr="00A259BD">
        <w:rPr>
          <w:rFonts w:ascii="Times New Roman" w:hAnsi="Times New Roman"/>
          <w:color w:val="000000" w:themeColor="text1"/>
          <w:sz w:val="16"/>
          <w:szCs w:val="16"/>
        </w:rPr>
        <w:t xml:space="preserve">): </w:t>
      </w:r>
    </w:p>
    <w:p w14:paraId="4B5B02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отделение (</w:t>
      </w:r>
      <w:proofErr w:type="spellStart"/>
      <w:r w:rsidRPr="00A259BD">
        <w:rPr>
          <w:rFonts w:ascii="Times New Roman" w:hAnsi="Times New Roman"/>
          <w:color w:val="000000" w:themeColor="text1"/>
          <w:sz w:val="16"/>
          <w:szCs w:val="16"/>
        </w:rPr>
        <w:t>А.А.Слуцкий</w:t>
      </w:r>
      <w:proofErr w:type="spellEnd"/>
      <w:r w:rsidRPr="00A259BD">
        <w:rPr>
          <w:rFonts w:ascii="Times New Roman" w:hAnsi="Times New Roman"/>
          <w:color w:val="000000" w:themeColor="text1"/>
          <w:sz w:val="16"/>
          <w:szCs w:val="16"/>
        </w:rPr>
        <w:t xml:space="preserve">), </w:t>
      </w:r>
    </w:p>
    <w:p w14:paraId="7D8E99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отделение (</w:t>
      </w:r>
      <w:proofErr w:type="spellStart"/>
      <w:r w:rsidRPr="00A259BD">
        <w:rPr>
          <w:rFonts w:ascii="Times New Roman" w:hAnsi="Times New Roman"/>
          <w:color w:val="000000" w:themeColor="text1"/>
          <w:sz w:val="16"/>
          <w:szCs w:val="16"/>
        </w:rPr>
        <w:t>А.А.Слуцкий</w:t>
      </w:r>
      <w:proofErr w:type="spellEnd"/>
      <w:r w:rsidRPr="00A259BD">
        <w:rPr>
          <w:rFonts w:ascii="Times New Roman" w:hAnsi="Times New Roman"/>
          <w:color w:val="000000" w:themeColor="text1"/>
          <w:sz w:val="16"/>
          <w:szCs w:val="16"/>
        </w:rPr>
        <w:t xml:space="preserve"> - по совместительству), </w:t>
      </w:r>
    </w:p>
    <w:p w14:paraId="62B3CF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отделение (</w:t>
      </w:r>
      <w:proofErr w:type="spellStart"/>
      <w:r w:rsidRPr="00A259BD">
        <w:rPr>
          <w:rFonts w:ascii="Times New Roman" w:hAnsi="Times New Roman"/>
          <w:color w:val="000000" w:themeColor="text1"/>
          <w:sz w:val="16"/>
          <w:szCs w:val="16"/>
        </w:rPr>
        <w:t>Ж.Д.Рекстин</w:t>
      </w:r>
      <w:proofErr w:type="spellEnd"/>
      <w:r w:rsidRPr="00A259BD">
        <w:rPr>
          <w:rFonts w:ascii="Times New Roman" w:hAnsi="Times New Roman"/>
          <w:color w:val="000000" w:themeColor="text1"/>
          <w:sz w:val="16"/>
          <w:szCs w:val="16"/>
        </w:rPr>
        <w:t xml:space="preserve">), </w:t>
      </w:r>
    </w:p>
    <w:p w14:paraId="27378F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отделение (</w:t>
      </w:r>
      <w:proofErr w:type="spellStart"/>
      <w:r w:rsidRPr="00A259BD">
        <w:rPr>
          <w:rFonts w:ascii="Times New Roman" w:hAnsi="Times New Roman"/>
          <w:color w:val="000000" w:themeColor="text1"/>
          <w:sz w:val="16"/>
          <w:szCs w:val="16"/>
        </w:rPr>
        <w:t>Я.Д.Раппопорт</w:t>
      </w:r>
      <w:proofErr w:type="spellEnd"/>
      <w:r w:rsidRPr="00A259BD">
        <w:rPr>
          <w:rFonts w:ascii="Times New Roman" w:hAnsi="Times New Roman"/>
          <w:color w:val="000000" w:themeColor="text1"/>
          <w:sz w:val="16"/>
          <w:szCs w:val="16"/>
        </w:rPr>
        <w:t xml:space="preserve">), </w:t>
      </w:r>
    </w:p>
    <w:p w14:paraId="198F3C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отделение (</w:t>
      </w:r>
      <w:proofErr w:type="spellStart"/>
      <w:r w:rsidRPr="00A259BD">
        <w:rPr>
          <w:rFonts w:ascii="Times New Roman" w:hAnsi="Times New Roman"/>
          <w:color w:val="000000" w:themeColor="text1"/>
          <w:sz w:val="16"/>
          <w:szCs w:val="16"/>
        </w:rPr>
        <w:t>А.М.Ершов</w:t>
      </w:r>
      <w:proofErr w:type="spellEnd"/>
      <w:r w:rsidRPr="00A259BD">
        <w:rPr>
          <w:rFonts w:ascii="Times New Roman" w:hAnsi="Times New Roman"/>
          <w:color w:val="000000" w:themeColor="text1"/>
          <w:sz w:val="16"/>
          <w:szCs w:val="16"/>
        </w:rPr>
        <w:t xml:space="preserve">), </w:t>
      </w:r>
    </w:p>
    <w:p w14:paraId="270A5E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отделение (</w:t>
      </w:r>
      <w:proofErr w:type="spellStart"/>
      <w:r w:rsidRPr="00A259BD">
        <w:rPr>
          <w:rFonts w:ascii="Times New Roman" w:hAnsi="Times New Roman"/>
          <w:color w:val="000000" w:themeColor="text1"/>
          <w:sz w:val="16"/>
          <w:szCs w:val="16"/>
        </w:rPr>
        <w:t>М.С.Ливертовский</w:t>
      </w:r>
      <w:proofErr w:type="spellEnd"/>
      <w:r w:rsidRPr="00A259BD">
        <w:rPr>
          <w:rFonts w:ascii="Times New Roman" w:hAnsi="Times New Roman"/>
          <w:color w:val="000000" w:themeColor="text1"/>
          <w:sz w:val="16"/>
          <w:szCs w:val="16"/>
        </w:rPr>
        <w:t xml:space="preserve">), </w:t>
      </w:r>
    </w:p>
    <w:p w14:paraId="53EA44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отделение (</w:t>
      </w:r>
      <w:proofErr w:type="spellStart"/>
      <w:r w:rsidRPr="00A259BD">
        <w:rPr>
          <w:rFonts w:ascii="Times New Roman" w:hAnsi="Times New Roman"/>
          <w:color w:val="000000" w:themeColor="text1"/>
          <w:sz w:val="16"/>
          <w:szCs w:val="16"/>
        </w:rPr>
        <w:t>М.О.Станиславский</w:t>
      </w:r>
      <w:proofErr w:type="spellEnd"/>
      <w:r w:rsidRPr="00A259BD">
        <w:rPr>
          <w:rFonts w:ascii="Times New Roman" w:hAnsi="Times New Roman"/>
          <w:color w:val="000000" w:themeColor="text1"/>
          <w:sz w:val="16"/>
          <w:szCs w:val="16"/>
        </w:rPr>
        <w:t xml:space="preserve">), </w:t>
      </w:r>
    </w:p>
    <w:p w14:paraId="5D6538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отделение (</w:t>
      </w:r>
      <w:proofErr w:type="spellStart"/>
      <w:r w:rsidRPr="00A259BD">
        <w:rPr>
          <w:rFonts w:ascii="Times New Roman" w:hAnsi="Times New Roman"/>
          <w:color w:val="000000" w:themeColor="text1"/>
          <w:sz w:val="16"/>
          <w:szCs w:val="16"/>
        </w:rPr>
        <w:t>Э.А.Зибрак</w:t>
      </w:r>
      <w:proofErr w:type="spellEnd"/>
      <w:r w:rsidRPr="00A259BD">
        <w:rPr>
          <w:rFonts w:ascii="Times New Roman" w:hAnsi="Times New Roman"/>
          <w:color w:val="000000" w:themeColor="text1"/>
          <w:sz w:val="16"/>
          <w:szCs w:val="16"/>
        </w:rPr>
        <w:t xml:space="preserve">), </w:t>
      </w:r>
    </w:p>
    <w:p w14:paraId="0F413F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отделение (</w:t>
      </w:r>
      <w:proofErr w:type="spellStart"/>
      <w:r w:rsidRPr="00A259BD">
        <w:rPr>
          <w:rFonts w:ascii="Times New Roman" w:hAnsi="Times New Roman"/>
          <w:color w:val="000000" w:themeColor="text1"/>
          <w:sz w:val="16"/>
          <w:szCs w:val="16"/>
        </w:rPr>
        <w:t>М.И.Гай</w:t>
      </w:r>
      <w:proofErr w:type="spellEnd"/>
      <w:r w:rsidRPr="00A259BD">
        <w:rPr>
          <w:rFonts w:ascii="Times New Roman" w:hAnsi="Times New Roman"/>
          <w:color w:val="000000" w:themeColor="text1"/>
          <w:sz w:val="16"/>
          <w:szCs w:val="16"/>
        </w:rPr>
        <w:t>),</w:t>
      </w:r>
    </w:p>
    <w:p w14:paraId="551CDE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отделение (</w:t>
      </w:r>
      <w:proofErr w:type="spellStart"/>
      <w:r w:rsidRPr="00A259BD">
        <w:rPr>
          <w:rFonts w:ascii="Times New Roman" w:hAnsi="Times New Roman"/>
          <w:color w:val="000000" w:themeColor="text1"/>
          <w:sz w:val="16"/>
          <w:szCs w:val="16"/>
        </w:rPr>
        <w:t>Ж.Д.Рекстин</w:t>
      </w:r>
      <w:proofErr w:type="spellEnd"/>
      <w:r w:rsidRPr="00A259BD">
        <w:rPr>
          <w:rFonts w:ascii="Times New Roman" w:hAnsi="Times New Roman"/>
          <w:color w:val="000000" w:themeColor="text1"/>
          <w:sz w:val="16"/>
          <w:szCs w:val="16"/>
        </w:rPr>
        <w:t xml:space="preserve"> - по совместительству) (7557).</w:t>
      </w:r>
    </w:p>
    <w:p w14:paraId="4F8F68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Специальный отдел (начальник - </w:t>
      </w:r>
      <w:proofErr w:type="spellStart"/>
      <w:r w:rsidRPr="00A259BD">
        <w:rPr>
          <w:rFonts w:ascii="Times New Roman" w:hAnsi="Times New Roman"/>
          <w:color w:val="000000" w:themeColor="text1"/>
          <w:sz w:val="16"/>
          <w:szCs w:val="16"/>
        </w:rPr>
        <w:t>Г.И.Бокий</w:t>
      </w:r>
      <w:proofErr w:type="spellEnd"/>
      <w:r w:rsidRPr="00A259BD">
        <w:rPr>
          <w:rFonts w:ascii="Times New Roman" w:hAnsi="Times New Roman"/>
          <w:color w:val="000000" w:themeColor="text1"/>
          <w:sz w:val="16"/>
          <w:szCs w:val="16"/>
        </w:rPr>
        <w:t xml:space="preserve">, помощники начальника Спецотдела - А.Г. Гусев, </w:t>
      </w:r>
      <w:proofErr w:type="spellStart"/>
      <w:r w:rsidRPr="00A259BD">
        <w:rPr>
          <w:rFonts w:ascii="Times New Roman" w:hAnsi="Times New Roman"/>
          <w:color w:val="000000" w:themeColor="text1"/>
          <w:sz w:val="16"/>
          <w:szCs w:val="16"/>
        </w:rPr>
        <w:t>Ф.И.Эйхманс</w:t>
      </w:r>
      <w:proofErr w:type="spellEnd"/>
      <w:r w:rsidRPr="00A259BD">
        <w:rPr>
          <w:rFonts w:ascii="Times New Roman" w:hAnsi="Times New Roman"/>
          <w:color w:val="000000" w:themeColor="text1"/>
          <w:sz w:val="16"/>
          <w:szCs w:val="16"/>
        </w:rPr>
        <w:t xml:space="preserve">): </w:t>
      </w:r>
    </w:p>
    <w:p w14:paraId="4B96A4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отделение (наблюдение за сохранением режима секретности во всех партийных, государственных и общественных организациях, начальник - </w:t>
      </w:r>
      <w:proofErr w:type="spellStart"/>
      <w:r w:rsidRPr="00A259BD">
        <w:rPr>
          <w:rFonts w:ascii="Times New Roman" w:hAnsi="Times New Roman"/>
          <w:color w:val="000000" w:themeColor="text1"/>
          <w:sz w:val="16"/>
          <w:szCs w:val="16"/>
        </w:rPr>
        <w:t>В.М.Колосов</w:t>
      </w:r>
      <w:proofErr w:type="spellEnd"/>
      <w:r w:rsidRPr="00A259BD">
        <w:rPr>
          <w:rFonts w:ascii="Times New Roman" w:hAnsi="Times New Roman"/>
          <w:color w:val="000000" w:themeColor="text1"/>
          <w:sz w:val="16"/>
          <w:szCs w:val="16"/>
        </w:rPr>
        <w:t xml:space="preserve">), </w:t>
      </w:r>
    </w:p>
    <w:p w14:paraId="6D3148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отделение (создание шифров и кодов для ОГПУ, Наркомвоенмора и НКИД, радиоперехват, начальник - </w:t>
      </w:r>
      <w:proofErr w:type="spellStart"/>
      <w:r w:rsidRPr="00A259BD">
        <w:rPr>
          <w:rFonts w:ascii="Times New Roman" w:hAnsi="Times New Roman"/>
          <w:color w:val="000000" w:themeColor="text1"/>
          <w:sz w:val="16"/>
          <w:szCs w:val="16"/>
        </w:rPr>
        <w:t>Ф.Г.Тихомиров</w:t>
      </w:r>
      <w:proofErr w:type="spellEnd"/>
      <w:r w:rsidRPr="00A259BD">
        <w:rPr>
          <w:rFonts w:ascii="Times New Roman" w:hAnsi="Times New Roman"/>
          <w:color w:val="000000" w:themeColor="text1"/>
          <w:sz w:val="16"/>
          <w:szCs w:val="16"/>
        </w:rPr>
        <w:t xml:space="preserve">), </w:t>
      </w:r>
    </w:p>
    <w:p w14:paraId="16B138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отделение (руководство шифровальной работой в системе ОГПУ, связь с заграничными резидентурами, а также руководство лагерями ОГПУ - </w:t>
      </w:r>
      <w:proofErr w:type="spellStart"/>
      <w:r w:rsidRPr="00A259BD">
        <w:rPr>
          <w:rFonts w:ascii="Times New Roman" w:hAnsi="Times New Roman"/>
          <w:color w:val="000000" w:themeColor="text1"/>
          <w:sz w:val="16"/>
          <w:szCs w:val="16"/>
        </w:rPr>
        <w:t>Ф.И.Эйхманс</w:t>
      </w:r>
      <w:proofErr w:type="spellEnd"/>
      <w:r w:rsidRPr="00A259BD">
        <w:rPr>
          <w:rFonts w:ascii="Times New Roman" w:hAnsi="Times New Roman"/>
          <w:color w:val="000000" w:themeColor="text1"/>
          <w:sz w:val="16"/>
          <w:szCs w:val="16"/>
        </w:rPr>
        <w:t xml:space="preserve">, он же помощник начальника Спецотдела), </w:t>
      </w:r>
    </w:p>
    <w:p w14:paraId="27C7D8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отделение (дешифровка перехваченных документов, - </w:t>
      </w:r>
      <w:proofErr w:type="spellStart"/>
      <w:r w:rsidRPr="00A259BD">
        <w:rPr>
          <w:rFonts w:ascii="Times New Roman" w:hAnsi="Times New Roman"/>
          <w:color w:val="000000" w:themeColor="text1"/>
          <w:sz w:val="16"/>
          <w:szCs w:val="16"/>
        </w:rPr>
        <w:t>А.Г.Гусев</w:t>
      </w:r>
      <w:proofErr w:type="spellEnd"/>
      <w:r w:rsidRPr="00A259BD">
        <w:rPr>
          <w:rFonts w:ascii="Times New Roman" w:hAnsi="Times New Roman"/>
          <w:color w:val="000000" w:themeColor="text1"/>
          <w:sz w:val="16"/>
          <w:szCs w:val="16"/>
        </w:rPr>
        <w:t xml:space="preserve"> (с сентября 1923-го по январь 1938-го), он же помощник начальника Спецотдела), </w:t>
      </w:r>
    </w:p>
    <w:p w14:paraId="38D5ED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отделение (криптографическое обслуживание военного ведомства, - </w:t>
      </w:r>
      <w:proofErr w:type="spellStart"/>
      <w:r w:rsidRPr="00A259BD">
        <w:rPr>
          <w:rFonts w:ascii="Times New Roman" w:hAnsi="Times New Roman"/>
          <w:color w:val="000000" w:themeColor="text1"/>
          <w:sz w:val="16"/>
          <w:szCs w:val="16"/>
        </w:rPr>
        <w:t>В.Д.Цибизов</w:t>
      </w:r>
      <w:proofErr w:type="spellEnd"/>
      <w:r w:rsidRPr="00A259BD">
        <w:rPr>
          <w:rFonts w:ascii="Times New Roman" w:hAnsi="Times New Roman"/>
          <w:color w:val="000000" w:themeColor="text1"/>
          <w:sz w:val="16"/>
          <w:szCs w:val="16"/>
        </w:rPr>
        <w:t xml:space="preserve">), </w:t>
      </w:r>
    </w:p>
    <w:p w14:paraId="021347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лаборатория (одно время именовавшаяся 7 отделением и занимавшаяся прикладными химией и графологией, - начальник - </w:t>
      </w:r>
      <w:proofErr w:type="spellStart"/>
      <w:r w:rsidRPr="00A259BD">
        <w:rPr>
          <w:rFonts w:ascii="Times New Roman" w:hAnsi="Times New Roman"/>
          <w:color w:val="000000" w:themeColor="text1"/>
          <w:sz w:val="16"/>
          <w:szCs w:val="16"/>
        </w:rPr>
        <w:t>Е.Е.Гоппиус</w:t>
      </w:r>
      <w:proofErr w:type="spellEnd"/>
      <w:r w:rsidRPr="00A259BD">
        <w:rPr>
          <w:rFonts w:ascii="Times New Roman" w:hAnsi="Times New Roman"/>
          <w:color w:val="000000" w:themeColor="text1"/>
          <w:sz w:val="16"/>
          <w:szCs w:val="16"/>
        </w:rPr>
        <w:t xml:space="preserve">), </w:t>
      </w:r>
    </w:p>
    <w:p w14:paraId="38BCEB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техническое отделение (</w:t>
      </w:r>
      <w:proofErr w:type="spellStart"/>
      <w:r w:rsidRPr="00A259BD">
        <w:rPr>
          <w:rFonts w:ascii="Times New Roman" w:hAnsi="Times New Roman"/>
          <w:color w:val="000000" w:themeColor="text1"/>
          <w:sz w:val="16"/>
          <w:szCs w:val="16"/>
        </w:rPr>
        <w:t>А.Д.Чурган</w:t>
      </w:r>
      <w:proofErr w:type="spellEnd"/>
      <w:r w:rsidRPr="00A259BD">
        <w:rPr>
          <w:rFonts w:ascii="Times New Roman" w:hAnsi="Times New Roman"/>
          <w:color w:val="000000" w:themeColor="text1"/>
          <w:sz w:val="16"/>
          <w:szCs w:val="16"/>
        </w:rPr>
        <w:t xml:space="preserve">), </w:t>
      </w:r>
    </w:p>
    <w:p w14:paraId="42A866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фотография (</w:t>
      </w:r>
      <w:proofErr w:type="spellStart"/>
      <w:r w:rsidRPr="00A259BD">
        <w:rPr>
          <w:rFonts w:ascii="Times New Roman" w:hAnsi="Times New Roman"/>
          <w:color w:val="000000" w:themeColor="text1"/>
          <w:sz w:val="16"/>
          <w:szCs w:val="16"/>
        </w:rPr>
        <w:t>П.А.Алексеев</w:t>
      </w:r>
      <w:proofErr w:type="spellEnd"/>
      <w:r w:rsidRPr="00A259BD">
        <w:rPr>
          <w:rFonts w:ascii="Times New Roman" w:hAnsi="Times New Roman"/>
          <w:color w:val="000000" w:themeColor="text1"/>
          <w:sz w:val="16"/>
          <w:szCs w:val="16"/>
        </w:rPr>
        <w:t>) (7557).</w:t>
      </w:r>
    </w:p>
    <w:p w14:paraId="5182FC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ИНО (начальник - зампред ОГПУ </w:t>
      </w:r>
      <w:proofErr w:type="spellStart"/>
      <w:r w:rsidRPr="00A259BD">
        <w:rPr>
          <w:rFonts w:ascii="Times New Roman" w:hAnsi="Times New Roman"/>
          <w:color w:val="000000" w:themeColor="text1"/>
          <w:sz w:val="16"/>
          <w:szCs w:val="16"/>
        </w:rPr>
        <w:t>С.А.Мессинг</w:t>
      </w:r>
      <w:proofErr w:type="spellEnd"/>
      <w:r w:rsidRPr="00A259BD">
        <w:rPr>
          <w:rFonts w:ascii="Times New Roman" w:hAnsi="Times New Roman"/>
          <w:color w:val="000000" w:themeColor="text1"/>
          <w:sz w:val="16"/>
          <w:szCs w:val="16"/>
        </w:rPr>
        <w:t xml:space="preserve">, помощники начальника ИНО - </w:t>
      </w:r>
      <w:proofErr w:type="spellStart"/>
      <w:r w:rsidRPr="00A259BD">
        <w:rPr>
          <w:rFonts w:ascii="Times New Roman" w:hAnsi="Times New Roman"/>
          <w:color w:val="000000" w:themeColor="text1"/>
          <w:sz w:val="16"/>
          <w:szCs w:val="16"/>
        </w:rPr>
        <w:t>М.С.Горб</w:t>
      </w:r>
      <w:proofErr w:type="spellEnd"/>
      <w:r w:rsidRPr="00A259BD">
        <w:rPr>
          <w:rFonts w:ascii="Times New Roman" w:hAnsi="Times New Roman"/>
          <w:color w:val="000000" w:themeColor="text1"/>
          <w:sz w:val="16"/>
          <w:szCs w:val="16"/>
        </w:rPr>
        <w:t xml:space="preserve">, еще две должности вакантны): </w:t>
      </w:r>
    </w:p>
    <w:p w14:paraId="292374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Закордонная часть (начальник - одновременно начальник ИНО), </w:t>
      </w:r>
    </w:p>
    <w:p w14:paraId="502E9B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отделение иностранной регистратуры (</w:t>
      </w:r>
      <w:proofErr w:type="spellStart"/>
      <w:r w:rsidRPr="00A259BD">
        <w:rPr>
          <w:rFonts w:ascii="Times New Roman" w:hAnsi="Times New Roman"/>
          <w:color w:val="000000" w:themeColor="text1"/>
          <w:sz w:val="16"/>
          <w:szCs w:val="16"/>
        </w:rPr>
        <w:t>И.А.Бабкин</w:t>
      </w:r>
      <w:proofErr w:type="spellEnd"/>
      <w:r w:rsidRPr="00A259BD">
        <w:rPr>
          <w:rFonts w:ascii="Times New Roman" w:hAnsi="Times New Roman"/>
          <w:color w:val="000000" w:themeColor="text1"/>
          <w:sz w:val="16"/>
          <w:szCs w:val="16"/>
        </w:rPr>
        <w:t>) (7557).</w:t>
      </w:r>
    </w:p>
    <w:p w14:paraId="271353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 (начальник - </w:t>
      </w:r>
      <w:proofErr w:type="spellStart"/>
      <w:r w:rsidRPr="00A259BD">
        <w:rPr>
          <w:rFonts w:ascii="Times New Roman" w:hAnsi="Times New Roman"/>
          <w:color w:val="000000" w:themeColor="text1"/>
          <w:sz w:val="16"/>
          <w:szCs w:val="16"/>
        </w:rPr>
        <w:t>Г.И.Благонравов</w:t>
      </w:r>
      <w:proofErr w:type="spellEnd"/>
      <w:r w:rsidRPr="00A259BD">
        <w:rPr>
          <w:rFonts w:ascii="Times New Roman" w:hAnsi="Times New Roman"/>
          <w:color w:val="000000" w:themeColor="text1"/>
          <w:sz w:val="16"/>
          <w:szCs w:val="16"/>
        </w:rPr>
        <w:t xml:space="preserve">, помощники начальника ТО - </w:t>
      </w:r>
      <w:proofErr w:type="spellStart"/>
      <w:r w:rsidRPr="00A259BD">
        <w:rPr>
          <w:rFonts w:ascii="Times New Roman" w:hAnsi="Times New Roman"/>
          <w:color w:val="000000" w:themeColor="text1"/>
          <w:sz w:val="16"/>
          <w:szCs w:val="16"/>
        </w:rPr>
        <w:t>Д.В.Усов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В.А.Кишкин</w:t>
      </w:r>
      <w:proofErr w:type="spellEnd"/>
      <w:r w:rsidRPr="00A259BD">
        <w:rPr>
          <w:rFonts w:ascii="Times New Roman" w:hAnsi="Times New Roman"/>
          <w:color w:val="000000" w:themeColor="text1"/>
          <w:sz w:val="16"/>
          <w:szCs w:val="16"/>
        </w:rPr>
        <w:t xml:space="preserve">): </w:t>
      </w:r>
    </w:p>
    <w:p w14:paraId="2B7E2F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отделение (</w:t>
      </w:r>
      <w:proofErr w:type="spellStart"/>
      <w:r w:rsidRPr="00A259BD">
        <w:rPr>
          <w:rFonts w:ascii="Times New Roman" w:hAnsi="Times New Roman"/>
          <w:color w:val="000000" w:themeColor="text1"/>
          <w:sz w:val="16"/>
          <w:szCs w:val="16"/>
        </w:rPr>
        <w:t>врид</w:t>
      </w:r>
      <w:proofErr w:type="spellEnd"/>
      <w:r w:rsidRPr="00A259BD">
        <w:rPr>
          <w:rFonts w:ascii="Times New Roman" w:hAnsi="Times New Roman"/>
          <w:color w:val="000000" w:themeColor="text1"/>
          <w:sz w:val="16"/>
          <w:szCs w:val="16"/>
        </w:rPr>
        <w:t xml:space="preserve"> начальника </w:t>
      </w:r>
      <w:proofErr w:type="spellStart"/>
      <w:r w:rsidRPr="00A259BD">
        <w:rPr>
          <w:rFonts w:ascii="Times New Roman" w:hAnsi="Times New Roman"/>
          <w:color w:val="000000" w:themeColor="text1"/>
          <w:sz w:val="16"/>
          <w:szCs w:val="16"/>
        </w:rPr>
        <w:t>А.В.Сарапулкин</w:t>
      </w:r>
      <w:proofErr w:type="spellEnd"/>
      <w:r w:rsidRPr="00A259BD">
        <w:rPr>
          <w:rFonts w:ascii="Times New Roman" w:hAnsi="Times New Roman"/>
          <w:color w:val="000000" w:themeColor="text1"/>
          <w:sz w:val="16"/>
          <w:szCs w:val="16"/>
        </w:rPr>
        <w:t xml:space="preserve">), </w:t>
      </w:r>
    </w:p>
    <w:p w14:paraId="22DED9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отделение (</w:t>
      </w:r>
      <w:proofErr w:type="spellStart"/>
      <w:r w:rsidRPr="00A259BD">
        <w:rPr>
          <w:rFonts w:ascii="Times New Roman" w:hAnsi="Times New Roman"/>
          <w:color w:val="000000" w:themeColor="text1"/>
          <w:sz w:val="16"/>
          <w:szCs w:val="16"/>
        </w:rPr>
        <w:t>А.А.Леонов</w:t>
      </w:r>
      <w:proofErr w:type="spellEnd"/>
      <w:r w:rsidRPr="00A259BD">
        <w:rPr>
          <w:rFonts w:ascii="Times New Roman" w:hAnsi="Times New Roman"/>
          <w:color w:val="000000" w:themeColor="text1"/>
          <w:sz w:val="16"/>
          <w:szCs w:val="16"/>
        </w:rPr>
        <w:t xml:space="preserve">), </w:t>
      </w:r>
    </w:p>
    <w:p w14:paraId="5A57CC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отделение (</w:t>
      </w:r>
      <w:proofErr w:type="spellStart"/>
      <w:r w:rsidRPr="00A259BD">
        <w:rPr>
          <w:rFonts w:ascii="Times New Roman" w:hAnsi="Times New Roman"/>
          <w:color w:val="000000" w:themeColor="text1"/>
          <w:sz w:val="16"/>
          <w:szCs w:val="16"/>
        </w:rPr>
        <w:t>К.С.Зильберман</w:t>
      </w:r>
      <w:proofErr w:type="spellEnd"/>
      <w:r w:rsidRPr="00A259BD">
        <w:rPr>
          <w:rFonts w:ascii="Times New Roman" w:hAnsi="Times New Roman"/>
          <w:color w:val="000000" w:themeColor="text1"/>
          <w:sz w:val="16"/>
          <w:szCs w:val="16"/>
        </w:rPr>
        <w:t xml:space="preserve">), </w:t>
      </w:r>
    </w:p>
    <w:p w14:paraId="755590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отделение (</w:t>
      </w:r>
      <w:proofErr w:type="spellStart"/>
      <w:r w:rsidRPr="00A259BD">
        <w:rPr>
          <w:rFonts w:ascii="Times New Roman" w:hAnsi="Times New Roman"/>
          <w:color w:val="000000" w:themeColor="text1"/>
          <w:sz w:val="16"/>
          <w:szCs w:val="16"/>
        </w:rPr>
        <w:t>А.Я.Раман</w:t>
      </w:r>
      <w:proofErr w:type="spellEnd"/>
      <w:r w:rsidRPr="00A259BD">
        <w:rPr>
          <w:rFonts w:ascii="Times New Roman" w:hAnsi="Times New Roman"/>
          <w:color w:val="000000" w:themeColor="text1"/>
          <w:sz w:val="16"/>
          <w:szCs w:val="16"/>
        </w:rPr>
        <w:t>) (7557).</w:t>
      </w:r>
    </w:p>
    <w:p w14:paraId="6EA2C5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АОУ (начальник - </w:t>
      </w:r>
      <w:proofErr w:type="spellStart"/>
      <w:r w:rsidRPr="00A259BD">
        <w:rPr>
          <w:rFonts w:ascii="Times New Roman" w:hAnsi="Times New Roman"/>
          <w:color w:val="000000" w:themeColor="text1"/>
          <w:sz w:val="16"/>
          <w:szCs w:val="16"/>
        </w:rPr>
        <w:t>И.А.Воронцов</w:t>
      </w:r>
      <w:proofErr w:type="spellEnd"/>
      <w:r w:rsidRPr="00A259BD">
        <w:rPr>
          <w:rFonts w:ascii="Times New Roman" w:hAnsi="Times New Roman"/>
          <w:color w:val="000000" w:themeColor="text1"/>
          <w:sz w:val="16"/>
          <w:szCs w:val="16"/>
        </w:rPr>
        <w:t xml:space="preserve">): </w:t>
      </w:r>
    </w:p>
    <w:p w14:paraId="757227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организационный отдел (</w:t>
      </w:r>
      <w:proofErr w:type="spellStart"/>
      <w:r w:rsidRPr="00A259BD">
        <w:rPr>
          <w:rFonts w:ascii="Times New Roman" w:hAnsi="Times New Roman"/>
          <w:color w:val="000000" w:themeColor="text1"/>
          <w:sz w:val="16"/>
          <w:szCs w:val="16"/>
        </w:rPr>
        <w:t>И.М.Островский</w:t>
      </w:r>
      <w:proofErr w:type="spellEnd"/>
      <w:r w:rsidRPr="00A259BD">
        <w:rPr>
          <w:rFonts w:ascii="Times New Roman" w:hAnsi="Times New Roman"/>
          <w:color w:val="000000" w:themeColor="text1"/>
          <w:sz w:val="16"/>
          <w:szCs w:val="16"/>
        </w:rPr>
        <w:t xml:space="preserve">), </w:t>
      </w:r>
    </w:p>
    <w:p w14:paraId="375FA5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административный отдел (</w:t>
      </w:r>
      <w:proofErr w:type="spellStart"/>
      <w:r w:rsidRPr="00A259BD">
        <w:rPr>
          <w:rFonts w:ascii="Times New Roman" w:hAnsi="Times New Roman"/>
          <w:color w:val="000000" w:themeColor="text1"/>
          <w:sz w:val="16"/>
          <w:szCs w:val="16"/>
        </w:rPr>
        <w:t>А.П.Флексер</w:t>
      </w:r>
      <w:proofErr w:type="spellEnd"/>
      <w:r w:rsidRPr="00A259BD">
        <w:rPr>
          <w:rFonts w:ascii="Times New Roman" w:hAnsi="Times New Roman"/>
          <w:color w:val="000000" w:themeColor="text1"/>
          <w:sz w:val="16"/>
          <w:szCs w:val="16"/>
        </w:rPr>
        <w:t xml:space="preserve">), </w:t>
      </w:r>
    </w:p>
    <w:p w14:paraId="6B4C4B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комендатура (</w:t>
      </w:r>
      <w:proofErr w:type="spellStart"/>
      <w:r w:rsidRPr="00A259BD">
        <w:rPr>
          <w:rFonts w:ascii="Times New Roman" w:hAnsi="Times New Roman"/>
          <w:color w:val="000000" w:themeColor="text1"/>
          <w:sz w:val="16"/>
          <w:szCs w:val="16"/>
        </w:rPr>
        <w:t>В.М.Блохин</w:t>
      </w:r>
      <w:proofErr w:type="spellEnd"/>
      <w:r w:rsidRPr="00A259BD">
        <w:rPr>
          <w:rFonts w:ascii="Times New Roman" w:hAnsi="Times New Roman"/>
          <w:color w:val="000000" w:themeColor="text1"/>
          <w:sz w:val="16"/>
          <w:szCs w:val="16"/>
        </w:rPr>
        <w:t xml:space="preserve">), </w:t>
      </w:r>
    </w:p>
    <w:p w14:paraId="68FE19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хозяйственный отдел (</w:t>
      </w:r>
      <w:proofErr w:type="spellStart"/>
      <w:r w:rsidRPr="00A259BD">
        <w:rPr>
          <w:rFonts w:ascii="Times New Roman" w:hAnsi="Times New Roman"/>
          <w:color w:val="000000" w:themeColor="text1"/>
          <w:sz w:val="16"/>
          <w:szCs w:val="16"/>
        </w:rPr>
        <w:t>А.К.Колесников</w:t>
      </w:r>
      <w:proofErr w:type="spellEnd"/>
      <w:r w:rsidRPr="00A259BD">
        <w:rPr>
          <w:rFonts w:ascii="Times New Roman" w:hAnsi="Times New Roman"/>
          <w:color w:val="000000" w:themeColor="text1"/>
          <w:sz w:val="16"/>
          <w:szCs w:val="16"/>
        </w:rPr>
        <w:t xml:space="preserve">), </w:t>
      </w:r>
    </w:p>
    <w:p w14:paraId="772FF3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отдел службы связи (</w:t>
      </w:r>
      <w:proofErr w:type="spellStart"/>
      <w:r w:rsidRPr="00A259BD">
        <w:rPr>
          <w:rFonts w:ascii="Times New Roman" w:hAnsi="Times New Roman"/>
          <w:color w:val="000000" w:themeColor="text1"/>
          <w:sz w:val="16"/>
          <w:szCs w:val="16"/>
        </w:rPr>
        <w:t>П.А.Яковлев</w:t>
      </w:r>
      <w:proofErr w:type="spellEnd"/>
      <w:r w:rsidRPr="00A259BD">
        <w:rPr>
          <w:rFonts w:ascii="Times New Roman" w:hAnsi="Times New Roman"/>
          <w:color w:val="000000" w:themeColor="text1"/>
          <w:sz w:val="16"/>
          <w:szCs w:val="16"/>
        </w:rPr>
        <w:t xml:space="preserve">), </w:t>
      </w:r>
    </w:p>
    <w:p w14:paraId="05A82F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склад (</w:t>
      </w:r>
      <w:proofErr w:type="spellStart"/>
      <w:r w:rsidRPr="00A259BD">
        <w:rPr>
          <w:rFonts w:ascii="Times New Roman" w:hAnsi="Times New Roman"/>
          <w:color w:val="000000" w:themeColor="text1"/>
          <w:sz w:val="16"/>
          <w:szCs w:val="16"/>
        </w:rPr>
        <w:t>Н.И.Никулин</w:t>
      </w:r>
      <w:proofErr w:type="spellEnd"/>
      <w:r w:rsidRPr="00A259BD">
        <w:rPr>
          <w:rFonts w:ascii="Times New Roman" w:hAnsi="Times New Roman"/>
          <w:color w:val="000000" w:themeColor="text1"/>
          <w:sz w:val="16"/>
          <w:szCs w:val="16"/>
        </w:rPr>
        <w:t xml:space="preserve">), </w:t>
      </w:r>
    </w:p>
    <w:p w14:paraId="2036E8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телефонная станция (</w:t>
      </w:r>
      <w:proofErr w:type="spellStart"/>
      <w:r w:rsidRPr="00A259BD">
        <w:rPr>
          <w:rFonts w:ascii="Times New Roman" w:hAnsi="Times New Roman"/>
          <w:color w:val="000000" w:themeColor="text1"/>
          <w:sz w:val="16"/>
          <w:szCs w:val="16"/>
        </w:rPr>
        <w:t>Г.А.Кудинов</w:t>
      </w:r>
      <w:proofErr w:type="spellEnd"/>
      <w:r w:rsidRPr="00A259BD">
        <w:rPr>
          <w:rFonts w:ascii="Times New Roman" w:hAnsi="Times New Roman"/>
          <w:color w:val="000000" w:themeColor="text1"/>
          <w:sz w:val="16"/>
          <w:szCs w:val="16"/>
        </w:rPr>
        <w:t xml:space="preserve">), </w:t>
      </w:r>
    </w:p>
    <w:p w14:paraId="758E1A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санитарная часть (</w:t>
      </w:r>
      <w:proofErr w:type="spellStart"/>
      <w:r w:rsidRPr="00A259BD">
        <w:rPr>
          <w:rFonts w:ascii="Times New Roman" w:hAnsi="Times New Roman"/>
          <w:color w:val="000000" w:themeColor="text1"/>
          <w:sz w:val="16"/>
          <w:szCs w:val="16"/>
        </w:rPr>
        <w:t>М.Г.Кушнер</w:t>
      </w:r>
      <w:proofErr w:type="spellEnd"/>
      <w:r w:rsidRPr="00A259BD">
        <w:rPr>
          <w:rFonts w:ascii="Times New Roman" w:hAnsi="Times New Roman"/>
          <w:color w:val="000000" w:themeColor="text1"/>
          <w:sz w:val="16"/>
          <w:szCs w:val="16"/>
        </w:rPr>
        <w:t xml:space="preserve">), </w:t>
      </w:r>
    </w:p>
    <w:p w14:paraId="678B32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тюремный отдел (начальник - </w:t>
      </w:r>
      <w:proofErr w:type="spellStart"/>
      <w:r w:rsidRPr="00A259BD">
        <w:rPr>
          <w:rFonts w:ascii="Times New Roman" w:hAnsi="Times New Roman"/>
          <w:color w:val="000000" w:themeColor="text1"/>
          <w:sz w:val="16"/>
          <w:szCs w:val="16"/>
        </w:rPr>
        <w:t>К.Я.Дукис</w:t>
      </w:r>
      <w:proofErr w:type="spellEnd"/>
      <w:r w:rsidRPr="00A259BD">
        <w:rPr>
          <w:rFonts w:ascii="Times New Roman" w:hAnsi="Times New Roman"/>
          <w:color w:val="000000" w:themeColor="text1"/>
          <w:sz w:val="16"/>
          <w:szCs w:val="16"/>
        </w:rPr>
        <w:t xml:space="preserve">, он же - начальник Внутренней тюрьмы и комендант Бутырской), </w:t>
      </w:r>
    </w:p>
    <w:p w14:paraId="622406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Суздальский </w:t>
      </w:r>
      <w:proofErr w:type="spellStart"/>
      <w:r w:rsidRPr="00A259BD">
        <w:rPr>
          <w:rFonts w:ascii="Times New Roman" w:hAnsi="Times New Roman"/>
          <w:color w:val="000000" w:themeColor="text1"/>
          <w:sz w:val="16"/>
          <w:szCs w:val="16"/>
        </w:rPr>
        <w:t>политизолятор</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Я.Я.Брамбат</w:t>
      </w:r>
      <w:proofErr w:type="spellEnd"/>
      <w:r w:rsidRPr="00A259BD">
        <w:rPr>
          <w:rFonts w:ascii="Times New Roman" w:hAnsi="Times New Roman"/>
          <w:color w:val="000000" w:themeColor="text1"/>
          <w:sz w:val="16"/>
          <w:szCs w:val="16"/>
        </w:rPr>
        <w:t xml:space="preserve">), </w:t>
      </w:r>
    </w:p>
    <w:p w14:paraId="1B227B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Верхне-Уральский </w:t>
      </w:r>
      <w:proofErr w:type="spellStart"/>
      <w:r w:rsidRPr="00A259BD">
        <w:rPr>
          <w:rFonts w:ascii="Times New Roman" w:hAnsi="Times New Roman"/>
          <w:color w:val="000000" w:themeColor="text1"/>
          <w:sz w:val="16"/>
          <w:szCs w:val="16"/>
        </w:rPr>
        <w:t>политизолятор</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И.М.Бизюков</w:t>
      </w:r>
      <w:proofErr w:type="spellEnd"/>
      <w:r w:rsidRPr="00A259BD">
        <w:rPr>
          <w:rFonts w:ascii="Times New Roman" w:hAnsi="Times New Roman"/>
          <w:color w:val="000000" w:themeColor="text1"/>
          <w:sz w:val="16"/>
          <w:szCs w:val="16"/>
        </w:rPr>
        <w:t xml:space="preserve">), </w:t>
      </w:r>
    </w:p>
    <w:p w14:paraId="14EC12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Ярославский </w:t>
      </w:r>
      <w:proofErr w:type="spellStart"/>
      <w:r w:rsidRPr="00A259BD">
        <w:rPr>
          <w:rFonts w:ascii="Times New Roman" w:hAnsi="Times New Roman"/>
          <w:color w:val="000000" w:themeColor="text1"/>
          <w:sz w:val="16"/>
          <w:szCs w:val="16"/>
        </w:rPr>
        <w:t>политизолятор</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И.Т.Федорьян</w:t>
      </w:r>
      <w:proofErr w:type="spellEnd"/>
      <w:r w:rsidRPr="00A259BD">
        <w:rPr>
          <w:rFonts w:ascii="Times New Roman" w:hAnsi="Times New Roman"/>
          <w:color w:val="000000" w:themeColor="text1"/>
          <w:sz w:val="16"/>
          <w:szCs w:val="16"/>
        </w:rPr>
        <w:t xml:space="preserve">), </w:t>
      </w:r>
    </w:p>
    <w:p w14:paraId="3F9E8A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Челябинский </w:t>
      </w:r>
      <w:proofErr w:type="spellStart"/>
      <w:r w:rsidRPr="00A259BD">
        <w:rPr>
          <w:rFonts w:ascii="Times New Roman" w:hAnsi="Times New Roman"/>
          <w:color w:val="000000" w:themeColor="text1"/>
          <w:sz w:val="16"/>
          <w:szCs w:val="16"/>
        </w:rPr>
        <w:t>политизолятор</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Т.У.Грачев</w:t>
      </w:r>
      <w:proofErr w:type="spellEnd"/>
      <w:r w:rsidRPr="00A259BD">
        <w:rPr>
          <w:rFonts w:ascii="Times New Roman" w:hAnsi="Times New Roman"/>
          <w:color w:val="000000" w:themeColor="text1"/>
          <w:sz w:val="16"/>
          <w:szCs w:val="16"/>
        </w:rPr>
        <w:t>) (7557).</w:t>
      </w:r>
    </w:p>
    <w:p w14:paraId="4039F4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Общий штат Центрального аппарата ОГПУ (включая штаты районных уполномоченных ИНФО в районах города Москвы) составил на 1 декабря 1929-го 2409 человека (7557).</w:t>
      </w:r>
    </w:p>
    <w:p w14:paraId="0A73DE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2936D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A29D33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1998B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декабря 1929 Нач. Спецотдела при ОГПУ писал письмо № 17634 Нач. ГВПУ</w:t>
      </w:r>
    </w:p>
    <w:p w14:paraId="2A902E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Копия: Секретный отдел ВСНХ</w:t>
      </w:r>
    </w:p>
    <w:p w14:paraId="78504A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издания объединенного приказа по ВСНХ СССР, Наркомвоенмору и ОГПУ от 9 июля 1927 г. № 73/сс и объявленной в этом приказе Инструкции о порядке засекречивания работы заводов военной и авиационной промышленности был издан целый ряд дополнительных приказов, регулирующих взаимоотношения с учреждениями, с которыми приходится вести деловую переписку, как с трестами военной промышленности, так и непосредственно с заводами.</w:t>
      </w:r>
    </w:p>
    <w:p w14:paraId="3B5390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Кроме того в связи с усилением работы производственных совещаний на военных предприятиях и освещения этой работы как в стенных газетах, так и в печатных местного и союзного значения был издан целый ряд циркулярных распоряжений по этому вопросу.</w:t>
      </w:r>
    </w:p>
    <w:p w14:paraId="0FCAA9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обслуживания военной промышленности при наркоматах РСФСР и УССР созданы специальные инспекции - санитарная, правовая, техническая, которые действуют на основании постановления СНК и в </w:t>
      </w:r>
      <w:proofErr w:type="spellStart"/>
      <w:r w:rsidRPr="00A259BD">
        <w:rPr>
          <w:rFonts w:ascii="Times New Roman" w:hAnsi="Times New Roman"/>
          <w:color w:val="000000" w:themeColor="text1"/>
          <w:sz w:val="16"/>
          <w:szCs w:val="16"/>
        </w:rPr>
        <w:t>соответствиии</w:t>
      </w:r>
      <w:proofErr w:type="spellEnd"/>
      <w:r w:rsidRPr="00A259BD">
        <w:rPr>
          <w:rFonts w:ascii="Times New Roman" w:hAnsi="Times New Roman"/>
          <w:color w:val="000000" w:themeColor="text1"/>
          <w:sz w:val="16"/>
          <w:szCs w:val="16"/>
        </w:rPr>
        <w:t xml:space="preserve"> с приказом, изданным на этот счет ВСНХ, НКТ и ОГПУ.</w:t>
      </w:r>
    </w:p>
    <w:p w14:paraId="6CC71F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Точно </w:t>
      </w:r>
      <w:proofErr w:type="spellStart"/>
      <w:r w:rsidRPr="00A259BD">
        <w:rPr>
          <w:rFonts w:ascii="Times New Roman" w:hAnsi="Times New Roman"/>
          <w:color w:val="000000" w:themeColor="text1"/>
          <w:sz w:val="16"/>
          <w:szCs w:val="16"/>
        </w:rPr>
        <w:t>такжэе</w:t>
      </w:r>
      <w:proofErr w:type="spellEnd"/>
      <w:r w:rsidRPr="00A259BD">
        <w:rPr>
          <w:rFonts w:ascii="Times New Roman" w:hAnsi="Times New Roman"/>
          <w:color w:val="000000" w:themeColor="text1"/>
          <w:sz w:val="16"/>
          <w:szCs w:val="16"/>
        </w:rPr>
        <w:t xml:space="preserve">, изданы циркулярные распоряжения, регулирующие деловые отношения с </w:t>
      </w:r>
      <w:proofErr w:type="spellStart"/>
      <w:r w:rsidRPr="00A259BD">
        <w:rPr>
          <w:rFonts w:ascii="Times New Roman" w:hAnsi="Times New Roman"/>
          <w:color w:val="000000" w:themeColor="text1"/>
          <w:sz w:val="16"/>
          <w:szCs w:val="16"/>
        </w:rPr>
        <w:t>Главсоцстрахом</w:t>
      </w:r>
      <w:proofErr w:type="spellEnd"/>
      <w:r w:rsidRPr="00A259BD">
        <w:rPr>
          <w:rFonts w:ascii="Times New Roman" w:hAnsi="Times New Roman"/>
          <w:color w:val="000000" w:themeColor="text1"/>
          <w:sz w:val="16"/>
          <w:szCs w:val="16"/>
        </w:rPr>
        <w:t xml:space="preserve">, относительно обслуживания рабочих и служащих военных предприятий в части выплаты соцстрахования при временной утрате работоспособности, с Госстрахом в части страхования всех помещений и предприятий военной промышленности, порядка их страхования и выплаты страховой премии, С </w:t>
      </w:r>
      <w:proofErr w:type="spellStart"/>
      <w:r w:rsidRPr="00A259BD">
        <w:rPr>
          <w:rFonts w:ascii="Times New Roman" w:hAnsi="Times New Roman"/>
          <w:color w:val="000000" w:themeColor="text1"/>
          <w:sz w:val="16"/>
          <w:szCs w:val="16"/>
        </w:rPr>
        <w:t>Цекомбанком</w:t>
      </w:r>
      <w:proofErr w:type="spellEnd"/>
      <w:r w:rsidRPr="00A259BD">
        <w:rPr>
          <w:rFonts w:ascii="Times New Roman" w:hAnsi="Times New Roman"/>
          <w:color w:val="000000" w:themeColor="text1"/>
          <w:sz w:val="16"/>
          <w:szCs w:val="16"/>
        </w:rPr>
        <w:t>, кредитующим рабочее строительство на военных заводах и т.д.</w:t>
      </w:r>
    </w:p>
    <w:p w14:paraId="2E0B44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Таким образом, приказ № 73\сс при таком положении сам по себе без дополнительных, изданных в развитие этого приказа приказов, не может считаться исчерпывающим и требует переработки с учетом всех изданных в развитие его приказов и циркуляров, для того, чтобы это было сконцентрировано в одном месте и представлялось бы ы виде сборника приказов, относящихся к засекречиванию военной промышленности.</w:t>
      </w:r>
    </w:p>
    <w:p w14:paraId="015C06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Ввиду этого, специальный отдел ОГПУ считает необходимым:</w:t>
      </w:r>
    </w:p>
    <w:p w14:paraId="4280B0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Приказ № 73/сс переработать в соответствии с действительным положением военных заводов, т.к. за этот промежуток времени с дня издания этого приказа произошли заметные изменения как в </w:t>
      </w:r>
      <w:proofErr w:type="spellStart"/>
      <w:r w:rsidRPr="00A259BD">
        <w:rPr>
          <w:rFonts w:ascii="Times New Roman" w:hAnsi="Times New Roman"/>
          <w:color w:val="000000" w:themeColor="text1"/>
          <w:sz w:val="16"/>
          <w:szCs w:val="16"/>
        </w:rPr>
        <w:t>структорном</w:t>
      </w:r>
      <w:proofErr w:type="spellEnd"/>
      <w:r w:rsidRPr="00A259BD">
        <w:rPr>
          <w:rFonts w:ascii="Times New Roman" w:hAnsi="Times New Roman"/>
          <w:color w:val="000000" w:themeColor="text1"/>
          <w:sz w:val="16"/>
          <w:szCs w:val="16"/>
        </w:rPr>
        <w:t xml:space="preserve"> отношении, так и в ведомственном, как например:</w:t>
      </w:r>
    </w:p>
    <w:p w14:paraId="5DFADC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Заводы военно-кислотного треста перешли в ведение </w:t>
      </w:r>
      <w:proofErr w:type="spellStart"/>
      <w:r w:rsidRPr="00A259BD">
        <w:rPr>
          <w:rFonts w:ascii="Times New Roman" w:hAnsi="Times New Roman"/>
          <w:color w:val="000000" w:themeColor="text1"/>
          <w:sz w:val="16"/>
          <w:szCs w:val="16"/>
        </w:rPr>
        <w:t>Главхима</w:t>
      </w:r>
      <w:proofErr w:type="spellEnd"/>
    </w:p>
    <w:p w14:paraId="7BF14F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завод №12 Радио из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в ГОТ</w:t>
      </w:r>
    </w:p>
    <w:p w14:paraId="738CCC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заводы и мастерские </w:t>
      </w:r>
      <w:proofErr w:type="spellStart"/>
      <w:r w:rsidRPr="00A259BD">
        <w:rPr>
          <w:rFonts w:ascii="Times New Roman" w:hAnsi="Times New Roman"/>
          <w:color w:val="000000" w:themeColor="text1"/>
          <w:sz w:val="16"/>
          <w:szCs w:val="16"/>
        </w:rPr>
        <w:t>Промвоздуха</w:t>
      </w:r>
      <w:proofErr w:type="spellEnd"/>
      <w:r w:rsidRPr="00A259BD">
        <w:rPr>
          <w:rFonts w:ascii="Times New Roman" w:hAnsi="Times New Roman"/>
          <w:color w:val="000000" w:themeColor="text1"/>
          <w:sz w:val="16"/>
          <w:szCs w:val="16"/>
        </w:rPr>
        <w:t xml:space="preserve"> в </w:t>
      </w:r>
      <w:proofErr w:type="spellStart"/>
      <w:r w:rsidRPr="00A259BD">
        <w:rPr>
          <w:rFonts w:ascii="Times New Roman" w:hAnsi="Times New Roman"/>
          <w:color w:val="000000" w:themeColor="text1"/>
          <w:sz w:val="16"/>
          <w:szCs w:val="16"/>
        </w:rPr>
        <w:t>Авиатрест</w:t>
      </w:r>
      <w:proofErr w:type="spellEnd"/>
    </w:p>
    <w:p w14:paraId="7B8FC4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Строящиеся вновь химические заводы благодаря </w:t>
      </w:r>
      <w:proofErr w:type="spellStart"/>
      <w:r w:rsidRPr="00A259BD">
        <w:rPr>
          <w:rFonts w:ascii="Times New Roman" w:hAnsi="Times New Roman"/>
          <w:color w:val="000000" w:themeColor="text1"/>
          <w:sz w:val="16"/>
          <w:szCs w:val="16"/>
        </w:rPr>
        <w:t>неприсвоению</w:t>
      </w:r>
      <w:proofErr w:type="spellEnd"/>
      <w:r w:rsidRPr="00A259BD">
        <w:rPr>
          <w:rFonts w:ascii="Times New Roman" w:hAnsi="Times New Roman"/>
          <w:color w:val="000000" w:themeColor="text1"/>
          <w:sz w:val="16"/>
          <w:szCs w:val="16"/>
        </w:rPr>
        <w:t xml:space="preserve"> определенных наименований называются по-разному и тем самым вносят определенную путаницу.</w:t>
      </w:r>
    </w:p>
    <w:p w14:paraId="5560A1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Наличие целого </w:t>
      </w:r>
      <w:proofErr w:type="spellStart"/>
      <w:r w:rsidRPr="00A259BD">
        <w:rPr>
          <w:rFonts w:ascii="Times New Roman" w:hAnsi="Times New Roman"/>
          <w:color w:val="000000" w:themeColor="text1"/>
          <w:sz w:val="16"/>
          <w:szCs w:val="16"/>
        </w:rPr>
        <w:t>рядо</w:t>
      </w:r>
      <w:proofErr w:type="spellEnd"/>
      <w:r w:rsidRPr="00A259BD">
        <w:rPr>
          <w:rFonts w:ascii="Times New Roman" w:hAnsi="Times New Roman"/>
          <w:color w:val="000000" w:themeColor="text1"/>
          <w:sz w:val="16"/>
          <w:szCs w:val="16"/>
        </w:rPr>
        <w:t xml:space="preserve"> дополнительных объединенных приказов по ? СССР, НКТ СССР </w:t>
      </w:r>
      <w:proofErr w:type="spellStart"/>
      <w:r w:rsidRPr="00A259BD">
        <w:rPr>
          <w:rFonts w:ascii="Times New Roman" w:hAnsi="Times New Roman"/>
          <w:color w:val="000000" w:themeColor="text1"/>
          <w:sz w:val="16"/>
          <w:szCs w:val="16"/>
        </w:rPr>
        <w:t>отнеосительно</w:t>
      </w:r>
      <w:proofErr w:type="spellEnd"/>
      <w:r w:rsidRPr="00A259BD">
        <w:rPr>
          <w:rFonts w:ascii="Times New Roman" w:hAnsi="Times New Roman"/>
          <w:color w:val="000000" w:themeColor="text1"/>
          <w:sz w:val="16"/>
          <w:szCs w:val="16"/>
        </w:rPr>
        <w:t xml:space="preserve"> обслуживания военной промышленности </w:t>
      </w:r>
      <w:proofErr w:type="spellStart"/>
      <w:r w:rsidRPr="00A259BD">
        <w:rPr>
          <w:rFonts w:ascii="Times New Roman" w:hAnsi="Times New Roman"/>
          <w:color w:val="000000" w:themeColor="text1"/>
          <w:sz w:val="16"/>
          <w:szCs w:val="16"/>
        </w:rPr>
        <w:t>инспецкиями</w:t>
      </w:r>
      <w:proofErr w:type="spellEnd"/>
      <w:r w:rsidRPr="00A259BD">
        <w:rPr>
          <w:rFonts w:ascii="Times New Roman" w:hAnsi="Times New Roman"/>
          <w:color w:val="000000" w:themeColor="text1"/>
          <w:sz w:val="16"/>
          <w:szCs w:val="16"/>
        </w:rPr>
        <w:t xml:space="preserve"> (правовой, технической и санитарной).</w:t>
      </w:r>
    </w:p>
    <w:p w14:paraId="772E09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То же ВСНХ с </w:t>
      </w:r>
      <w:proofErr w:type="spellStart"/>
      <w:r w:rsidRPr="00A259BD">
        <w:rPr>
          <w:rFonts w:ascii="Times New Roman" w:hAnsi="Times New Roman"/>
          <w:color w:val="000000" w:themeColor="text1"/>
          <w:sz w:val="16"/>
          <w:szCs w:val="16"/>
        </w:rPr>
        <w:t>Главсоцстрахом</w:t>
      </w:r>
      <w:proofErr w:type="spellEnd"/>
      <w:r w:rsidRPr="00A259BD">
        <w:rPr>
          <w:rFonts w:ascii="Times New Roman" w:hAnsi="Times New Roman"/>
          <w:color w:val="000000" w:themeColor="text1"/>
          <w:sz w:val="16"/>
          <w:szCs w:val="16"/>
        </w:rPr>
        <w:t xml:space="preserve"> и Госстрахом</w:t>
      </w:r>
    </w:p>
    <w:p w14:paraId="3C3058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То же ВСНХ СССР и ВЦСПС в части работы производственных совещаний и освещения в печати результатов их и т.п.</w:t>
      </w:r>
    </w:p>
    <w:p w14:paraId="25AD28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Тоже ГВПУ и Наркомпроса в части производственной практики студентов ВУЗов, а в данное время необходимо включить и порядок работы этих студентов, как контрактованных на постоянную работу.</w:t>
      </w:r>
    </w:p>
    <w:p w14:paraId="7EEA61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Считая, что издание этого сборника приведет к улучшению работы заинтересованных в этом Наркоматов, Специальный отдел при ОГПУ просит составление его поручить в короткие сроки (8826,64)</w:t>
      </w:r>
    </w:p>
    <w:p w14:paraId="00B68B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1B367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D05292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A09A6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декабря 1929 П.И.Б. на заседании РВС (</w:t>
      </w:r>
      <w:proofErr w:type="spellStart"/>
      <w:r w:rsidRPr="00A259BD">
        <w:rPr>
          <w:rFonts w:ascii="Times New Roman" w:hAnsi="Times New Roman"/>
          <w:color w:val="000000" w:themeColor="text1"/>
          <w:sz w:val="16"/>
          <w:szCs w:val="16"/>
        </w:rPr>
        <w:t>прот</w:t>
      </w:r>
      <w:proofErr w:type="spellEnd"/>
      <w:r w:rsidRPr="00A259BD">
        <w:rPr>
          <w:rFonts w:ascii="Times New Roman" w:hAnsi="Times New Roman"/>
          <w:color w:val="000000" w:themeColor="text1"/>
          <w:sz w:val="16"/>
          <w:szCs w:val="16"/>
        </w:rPr>
        <w:t>. 38) докладывал об опытных самолетах (п.6), которые закончены разработкой и испытанием (1028,75).</w:t>
      </w:r>
    </w:p>
    <w:p w14:paraId="7F4CE4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w:t>
      </w:r>
    </w:p>
    <w:p w14:paraId="43E56E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6.1. И-3 - принять на вооружение РККА подтвердив </w:t>
      </w:r>
      <w:proofErr w:type="spellStart"/>
      <w:r w:rsidRPr="00A259BD">
        <w:rPr>
          <w:rFonts w:ascii="Times New Roman" w:hAnsi="Times New Roman"/>
          <w:color w:val="000000" w:themeColor="text1"/>
          <w:sz w:val="16"/>
          <w:szCs w:val="16"/>
        </w:rPr>
        <w:t>Авиатресту</w:t>
      </w:r>
      <w:proofErr w:type="spellEnd"/>
      <w:r w:rsidRPr="00A259BD">
        <w:rPr>
          <w:rFonts w:ascii="Times New Roman" w:hAnsi="Times New Roman"/>
          <w:color w:val="000000" w:themeColor="text1"/>
          <w:sz w:val="16"/>
          <w:szCs w:val="16"/>
        </w:rPr>
        <w:t xml:space="preserve"> необходимость устранения недочетов;</w:t>
      </w:r>
    </w:p>
    <w:p w14:paraId="53DFBD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Обязать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к 15 декабря устранить недостатки по Р-5, отмеченные УВВС после испытаний 3-го экземпляра. Обязать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изготовить для войсковых испытаний к 01.04.1930 15 Р-5 и еще 15 к 01.06, чтобы дать заказ на серию в 4 тыс. (1028,76);</w:t>
      </w:r>
    </w:p>
    <w:p w14:paraId="4986C5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П-2 считать возможным принять на вооружение поручив к 1 января 1930 устранить все недостатки;</w:t>
      </w:r>
    </w:p>
    <w:p w14:paraId="52474E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Вопрос о моторах V-12 и 18 передать на рассмотрение РЗ СТО </w:t>
      </w:r>
      <w:proofErr w:type="spellStart"/>
      <w:r w:rsidRPr="00A259BD">
        <w:rPr>
          <w:rFonts w:ascii="Times New Roman" w:hAnsi="Times New Roman"/>
          <w:color w:val="000000" w:themeColor="text1"/>
          <w:sz w:val="16"/>
          <w:szCs w:val="16"/>
        </w:rPr>
        <w:t>Уншлихту</w:t>
      </w:r>
      <w:proofErr w:type="spellEnd"/>
      <w:r w:rsidRPr="00A259BD">
        <w:rPr>
          <w:rFonts w:ascii="Times New Roman" w:hAnsi="Times New Roman"/>
          <w:color w:val="000000" w:themeColor="text1"/>
          <w:sz w:val="16"/>
          <w:szCs w:val="16"/>
        </w:rPr>
        <w:t>;</w:t>
      </w:r>
    </w:p>
    <w:p w14:paraId="149B67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Принять к сведению, сообщение К.Е.В., что он доложит о ненормальностях в строительстве самолетов и моторов в высших инстанциях (1028,76).</w:t>
      </w:r>
    </w:p>
    <w:p w14:paraId="28E651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Также приняли на вооружение М-11, Юпитер-6, БМВ-6, Комплект электрооборудования на Р-1 М5.</w:t>
      </w:r>
    </w:p>
    <w:p w14:paraId="26C28E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Также поставили на утверждение РВС вопрос о разрешении заказа опытной партии торпед ВВС (30 шт.) и мин ВОМИЗ (15 шт.) для войсковых испытаний (1028,78).</w:t>
      </w:r>
    </w:p>
    <w:p w14:paraId="10E234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Переход к претворению в жизнь широкомасштабных проектов социально-экономического развития страны, определенных первым пятилетним планом, породил новую реорганизацию управления экономикой. К концу 20-х годов все отчетливее стала проявляться негативность практики дублирования работы трестов деятельностью главков ВСНХ, при этом основная функция главков - оказание предприятиям технической помощи и осуществление технического руководства - фактически превратились в формальность (275).</w:t>
      </w:r>
    </w:p>
    <w:p w14:paraId="510A7D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B5CFD4"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3 декабря 1929 г. на заседании Реввоенсовета (протокол №38) Начальник ВВС П.И. Баранов доложил об опытных самолетах, которые закончены разработкой и испытанием, и по результатам обсуждения постановили пунктом 6.1 (первым, в котором говорится о принятии решений) «И-3 – принять на вооружение РККА подтвердив </w:t>
      </w:r>
      <w:proofErr w:type="spellStart"/>
      <w:r w:rsidRPr="00441F34">
        <w:rPr>
          <w:rFonts w:ascii="Times New Roman" w:hAnsi="Times New Roman"/>
          <w:color w:val="0070C0"/>
          <w:sz w:val="16"/>
          <w:szCs w:val="16"/>
        </w:rPr>
        <w:t>Авиатресту</w:t>
      </w:r>
      <w:proofErr w:type="spellEnd"/>
      <w:r w:rsidRPr="00441F34">
        <w:rPr>
          <w:rFonts w:ascii="Times New Roman" w:hAnsi="Times New Roman"/>
          <w:color w:val="0070C0"/>
          <w:sz w:val="16"/>
          <w:szCs w:val="16"/>
        </w:rPr>
        <w:t xml:space="preserve"> необходимость устранения недочетов» (24887).</w:t>
      </w:r>
    </w:p>
    <w:p w14:paraId="34F2AC9E" w14:textId="77777777" w:rsidR="001F0627" w:rsidRPr="00441F34" w:rsidRDefault="001F0627" w:rsidP="001F0627">
      <w:pPr>
        <w:spacing w:after="0" w:line="240" w:lineRule="auto"/>
        <w:jc w:val="both"/>
        <w:rPr>
          <w:rFonts w:ascii="Times New Roman" w:hAnsi="Times New Roman"/>
          <w:color w:val="0070C0"/>
          <w:sz w:val="16"/>
          <w:szCs w:val="16"/>
        </w:rPr>
      </w:pPr>
    </w:p>
    <w:p w14:paraId="1A8ADADB" w14:textId="77777777" w:rsidR="00DA14E0"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BFAC20C" w14:textId="77777777" w:rsidR="00DA14E0" w:rsidRPr="00A259BD" w:rsidRDefault="00DA14E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DF332EE" w14:textId="77777777" w:rsidR="00E75E4F" w:rsidRPr="00A259BD" w:rsidRDefault="00E75E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декабря 1929 г. на заседании МПС специальной комиссией по военному планированию, куда наряду с работниками ВСНХ, СО Госплана входили представители РВС, НКВМ, всех трестов, ответственных за производство отдельных видов вооружений, были сформулированы базовые его принципы, которые как бы обобщали предшествующие дискуссии. Они дают ключ к пони</w:t>
      </w:r>
      <w:r w:rsidRPr="00A259BD">
        <w:rPr>
          <w:rFonts w:ascii="Times New Roman" w:hAnsi="Times New Roman"/>
          <w:color w:val="000000" w:themeColor="text1"/>
          <w:sz w:val="16"/>
          <w:szCs w:val="16"/>
        </w:rPr>
        <w:softHyphen/>
        <w:t>манию структуры советской военной промышленности на весь период существования планово-директивной экономики, понятия советского ВПК, соотношения общих и специальных затрат на военное производство.</w:t>
      </w:r>
    </w:p>
    <w:p w14:paraId="35F5B5DE" w14:textId="77777777" w:rsidR="00E75E4F" w:rsidRPr="00A259BD" w:rsidRDefault="00E75E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Суть этих принципов состояла в следующем. </w:t>
      </w:r>
      <w:proofErr w:type="spellStart"/>
      <w:r w:rsidRPr="00A259BD">
        <w:rPr>
          <w:rFonts w:ascii="Times New Roman" w:hAnsi="Times New Roman"/>
          <w:color w:val="000000" w:themeColor="text1"/>
          <w:sz w:val="16"/>
          <w:szCs w:val="16"/>
        </w:rPr>
        <w:t>Военпром</w:t>
      </w:r>
      <w:proofErr w:type="spellEnd"/>
      <w:r w:rsidRPr="00A259BD">
        <w:rPr>
          <w:rFonts w:ascii="Times New Roman" w:hAnsi="Times New Roman"/>
          <w:color w:val="000000" w:themeColor="text1"/>
          <w:sz w:val="16"/>
          <w:szCs w:val="16"/>
        </w:rPr>
        <w:t xml:space="preserve"> дол</w:t>
      </w:r>
      <w:r w:rsidRPr="00A259BD">
        <w:rPr>
          <w:rFonts w:ascii="Times New Roman" w:hAnsi="Times New Roman"/>
          <w:color w:val="000000" w:themeColor="text1"/>
          <w:sz w:val="16"/>
          <w:szCs w:val="16"/>
        </w:rPr>
        <w:softHyphen/>
        <w:t>жен решать проблему наращивания мощностей военной про</w:t>
      </w:r>
      <w:r w:rsidRPr="00A259BD">
        <w:rPr>
          <w:rFonts w:ascii="Times New Roman" w:hAnsi="Times New Roman"/>
          <w:color w:val="000000" w:themeColor="text1"/>
          <w:sz w:val="16"/>
          <w:szCs w:val="16"/>
        </w:rPr>
        <w:softHyphen/>
        <w:t>мышленности путем выделения минимального количества заво</w:t>
      </w:r>
      <w:r w:rsidRPr="00A259BD">
        <w:rPr>
          <w:rFonts w:ascii="Times New Roman" w:hAnsi="Times New Roman"/>
          <w:color w:val="000000" w:themeColor="text1"/>
          <w:sz w:val="16"/>
          <w:szCs w:val="16"/>
        </w:rPr>
        <w:softHyphen/>
        <w:t>дов, способных удовлетворять заявки НКВМ по всей номенкла</w:t>
      </w:r>
      <w:r w:rsidRPr="00A259BD">
        <w:rPr>
          <w:rFonts w:ascii="Times New Roman" w:hAnsi="Times New Roman"/>
          <w:color w:val="000000" w:themeColor="text1"/>
          <w:sz w:val="16"/>
          <w:szCs w:val="16"/>
        </w:rPr>
        <w:softHyphen/>
        <w:t>туре военных изделий. “Теория единого выстрела”, ранее слу</w:t>
      </w:r>
      <w:r w:rsidRPr="00A259BD">
        <w:rPr>
          <w:rFonts w:ascii="Times New Roman" w:hAnsi="Times New Roman"/>
          <w:color w:val="000000" w:themeColor="text1"/>
          <w:sz w:val="16"/>
          <w:szCs w:val="16"/>
        </w:rPr>
        <w:softHyphen/>
        <w:t>жившая основой для выделения обособленных кадровых воен</w:t>
      </w:r>
      <w:r w:rsidRPr="00A259BD">
        <w:rPr>
          <w:rFonts w:ascii="Times New Roman" w:hAnsi="Times New Roman"/>
          <w:color w:val="000000" w:themeColor="text1"/>
          <w:sz w:val="16"/>
          <w:szCs w:val="16"/>
        </w:rPr>
        <w:softHyphen/>
        <w:t>ных заводов, теперь рассматривалась как “вредительская”.</w:t>
      </w:r>
    </w:p>
    <w:p w14:paraId="2E4EE496" w14:textId="77777777" w:rsidR="00E75E4F" w:rsidRPr="00A259BD" w:rsidRDefault="00E75E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Главным направлением развития военного производства те</w:t>
      </w:r>
      <w:r w:rsidRPr="00A259BD">
        <w:rPr>
          <w:rFonts w:ascii="Times New Roman" w:hAnsi="Times New Roman"/>
          <w:color w:val="000000" w:themeColor="text1"/>
          <w:sz w:val="16"/>
          <w:szCs w:val="16"/>
        </w:rPr>
        <w:softHyphen/>
        <w:t>перь провозглашалась милитаризация гражданской промышленности (внедрение военных производств в мирную промышленность) путем специализации и кооперирования отдельных заводов в про</w:t>
      </w:r>
      <w:r w:rsidRPr="00A259BD">
        <w:rPr>
          <w:rFonts w:ascii="Times New Roman" w:hAnsi="Times New Roman"/>
          <w:color w:val="000000" w:themeColor="text1"/>
          <w:sz w:val="16"/>
          <w:szCs w:val="16"/>
        </w:rPr>
        <w:softHyphen/>
        <w:t>изводстве военной продукции. Основная задача при этом виделась, во-первых, в том, чтобы в числе кадровых заводов оставались только наиболее мощные, а также вполне определившиеся по спе</w:t>
      </w:r>
      <w:r w:rsidRPr="00A259BD">
        <w:rPr>
          <w:rFonts w:ascii="Times New Roman" w:hAnsi="Times New Roman"/>
          <w:color w:val="000000" w:themeColor="text1"/>
          <w:sz w:val="16"/>
          <w:szCs w:val="16"/>
        </w:rPr>
        <w:softHyphen/>
        <w:t>циализации как военные, или заводы, которые в мирное время со</w:t>
      </w:r>
      <w:r w:rsidRPr="00A259BD">
        <w:rPr>
          <w:rFonts w:ascii="Times New Roman" w:hAnsi="Times New Roman"/>
          <w:color w:val="000000" w:themeColor="text1"/>
          <w:sz w:val="16"/>
          <w:szCs w:val="16"/>
        </w:rPr>
        <w:softHyphen/>
        <w:t>храняют характер военных, способны ускоренно развернуться в пе</w:t>
      </w:r>
      <w:r w:rsidRPr="00A259BD">
        <w:rPr>
          <w:rFonts w:ascii="Times New Roman" w:hAnsi="Times New Roman"/>
          <w:color w:val="000000" w:themeColor="text1"/>
          <w:sz w:val="16"/>
          <w:szCs w:val="16"/>
        </w:rPr>
        <w:softHyphen/>
        <w:t>риод мобилизации на полную мощность и за которыми обеспечива</w:t>
      </w:r>
      <w:r w:rsidRPr="00A259BD">
        <w:rPr>
          <w:rFonts w:ascii="Times New Roman" w:hAnsi="Times New Roman"/>
          <w:color w:val="000000" w:themeColor="text1"/>
          <w:sz w:val="16"/>
          <w:szCs w:val="16"/>
        </w:rPr>
        <w:softHyphen/>
        <w:t xml:space="preserve">ется ведущая роль ко всем прочим мобилизуемым в случае войны предприятиям. Во-вторых, </w:t>
      </w:r>
      <w:proofErr w:type="spellStart"/>
      <w:r w:rsidRPr="00A259BD">
        <w:rPr>
          <w:rFonts w:ascii="Times New Roman" w:hAnsi="Times New Roman"/>
          <w:color w:val="000000" w:themeColor="text1"/>
          <w:sz w:val="16"/>
          <w:szCs w:val="16"/>
        </w:rPr>
        <w:t>провозглашаласьдалеко</w:t>
      </w:r>
      <w:proofErr w:type="spellEnd"/>
      <w:r w:rsidRPr="00A259BD">
        <w:rPr>
          <w:rFonts w:ascii="Times New Roman" w:hAnsi="Times New Roman"/>
          <w:color w:val="000000" w:themeColor="text1"/>
          <w:sz w:val="16"/>
          <w:szCs w:val="16"/>
        </w:rPr>
        <w:t xml:space="preserve"> идущая асси</w:t>
      </w:r>
      <w:r w:rsidRPr="00A259BD">
        <w:rPr>
          <w:rFonts w:ascii="Times New Roman" w:hAnsi="Times New Roman"/>
          <w:color w:val="000000" w:themeColor="text1"/>
          <w:sz w:val="16"/>
          <w:szCs w:val="16"/>
        </w:rPr>
        <w:softHyphen/>
        <w:t>миляция военных производств с гражданской промышленностью, которую нужно вести так, чтобы максимально сократить на пяти</w:t>
      </w:r>
      <w:r w:rsidRPr="00A259BD">
        <w:rPr>
          <w:rFonts w:ascii="Times New Roman" w:hAnsi="Times New Roman"/>
          <w:color w:val="000000" w:themeColor="text1"/>
          <w:sz w:val="16"/>
          <w:szCs w:val="16"/>
        </w:rPr>
        <w:softHyphen/>
        <w:t>летку затраты на специальное военное строительство.</w:t>
      </w:r>
    </w:p>
    <w:p w14:paraId="23A4074A" w14:textId="77777777" w:rsidR="00E75E4F" w:rsidRPr="00A259BD" w:rsidRDefault="00E75E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Комиссия выработала также принципы деления мобилизуе</w:t>
      </w:r>
      <w:r w:rsidRPr="00A259BD">
        <w:rPr>
          <w:rFonts w:ascii="Times New Roman" w:hAnsi="Times New Roman"/>
          <w:color w:val="000000" w:themeColor="text1"/>
          <w:sz w:val="16"/>
          <w:szCs w:val="16"/>
        </w:rPr>
        <w:softHyphen/>
        <w:t>мых предприятий на группы. К кадровым заводам относятся только те, которые охватывают в совокупности все военные производства, работающие по заявкам НКВМ. Им предписыва</w:t>
      </w:r>
      <w:r w:rsidRPr="00A259BD">
        <w:rPr>
          <w:rFonts w:ascii="Times New Roman" w:hAnsi="Times New Roman"/>
          <w:color w:val="000000" w:themeColor="text1"/>
          <w:sz w:val="16"/>
          <w:szCs w:val="16"/>
        </w:rPr>
        <w:softHyphen/>
        <w:t>лось освободиться от несвойственных их производству заданий, что было новшеством, ибо военные заводы России всегда были многофункциональными. К числу кадровых, естественно, отно</w:t>
      </w:r>
      <w:r w:rsidRPr="00A259BD">
        <w:rPr>
          <w:rFonts w:ascii="Times New Roman" w:hAnsi="Times New Roman"/>
          <w:color w:val="000000" w:themeColor="text1"/>
          <w:sz w:val="16"/>
          <w:szCs w:val="16"/>
        </w:rPr>
        <w:softHyphen/>
        <w:t>сились специальные военные заводы. Наряду с ними - отдель</w:t>
      </w:r>
      <w:r w:rsidRPr="00A259BD">
        <w:rPr>
          <w:rFonts w:ascii="Times New Roman" w:hAnsi="Times New Roman"/>
          <w:color w:val="000000" w:themeColor="text1"/>
          <w:sz w:val="16"/>
          <w:szCs w:val="16"/>
        </w:rPr>
        <w:softHyphen/>
        <w:t>ные заводы гражданской промышленности, не охваченные в це</w:t>
      </w:r>
      <w:r w:rsidRPr="00A259BD">
        <w:rPr>
          <w:rFonts w:ascii="Times New Roman" w:hAnsi="Times New Roman"/>
          <w:color w:val="000000" w:themeColor="text1"/>
          <w:sz w:val="16"/>
          <w:szCs w:val="16"/>
        </w:rPr>
        <w:softHyphen/>
        <w:t xml:space="preserve">лом номенклатурой военных заказов, но имеющие отдельные военные цеха (кадровые цеха, отделы) или отдельные </w:t>
      </w:r>
      <w:proofErr w:type="spellStart"/>
      <w:r w:rsidRPr="00A259BD">
        <w:rPr>
          <w:rFonts w:ascii="Times New Roman" w:hAnsi="Times New Roman"/>
          <w:color w:val="000000" w:themeColor="text1"/>
          <w:sz w:val="16"/>
          <w:szCs w:val="16"/>
        </w:rPr>
        <w:t>военно</w:t>
      </w:r>
      <w:r w:rsidRPr="00A259BD">
        <w:rPr>
          <w:rFonts w:ascii="Times New Roman" w:hAnsi="Times New Roman"/>
          <w:color w:val="000000" w:themeColor="text1"/>
          <w:sz w:val="16"/>
          <w:szCs w:val="16"/>
        </w:rPr>
        <w:softHyphen/>
        <w:t>производственные</w:t>
      </w:r>
      <w:proofErr w:type="spellEnd"/>
      <w:r w:rsidRPr="00A259BD">
        <w:rPr>
          <w:rFonts w:ascii="Times New Roman" w:hAnsi="Times New Roman"/>
          <w:color w:val="000000" w:themeColor="text1"/>
          <w:sz w:val="16"/>
          <w:szCs w:val="16"/>
        </w:rPr>
        <w:t xml:space="preserve"> ячейки (участки) большего или меньшего значения, учитывающие особенность производства, величину </w:t>
      </w:r>
      <w:proofErr w:type="spellStart"/>
      <w:r w:rsidRPr="00A259BD">
        <w:rPr>
          <w:rFonts w:ascii="Times New Roman" w:hAnsi="Times New Roman"/>
          <w:color w:val="000000" w:themeColor="text1"/>
          <w:sz w:val="16"/>
          <w:szCs w:val="16"/>
        </w:rPr>
        <w:t>мобзадания</w:t>
      </w:r>
      <w:proofErr w:type="spellEnd"/>
      <w:r w:rsidRPr="00A259BD">
        <w:rPr>
          <w:rFonts w:ascii="Times New Roman" w:hAnsi="Times New Roman"/>
          <w:color w:val="000000" w:themeColor="text1"/>
          <w:sz w:val="16"/>
          <w:szCs w:val="16"/>
        </w:rPr>
        <w:t xml:space="preserve"> и др. На мирное время признаками кадровых заво</w:t>
      </w:r>
      <w:r w:rsidRPr="00A259BD">
        <w:rPr>
          <w:rFonts w:ascii="Times New Roman" w:hAnsi="Times New Roman"/>
          <w:color w:val="000000" w:themeColor="text1"/>
          <w:sz w:val="16"/>
          <w:szCs w:val="16"/>
        </w:rPr>
        <w:softHyphen/>
        <w:t>дов становились их готовность к немедленному развертыванию военного производства, начиная со стартового уровня заказов НКВМ на мирное время, наличие условий для такого разверты</w:t>
      </w:r>
      <w:r w:rsidRPr="00A259BD">
        <w:rPr>
          <w:rFonts w:ascii="Times New Roman" w:hAnsi="Times New Roman"/>
          <w:color w:val="000000" w:themeColor="text1"/>
          <w:sz w:val="16"/>
          <w:szCs w:val="16"/>
        </w:rPr>
        <w:softHyphen/>
        <w:t>вания (оборудование, запасы сырья и материалов, рабочие и специалисты), количество заказов, получаемых от НКВМ, роль предприятия по отношению к другим мобилизуемым заводам, доля свободного от заказов НКВМ основного капитала, позво</w:t>
      </w:r>
      <w:r w:rsidRPr="00A259BD">
        <w:rPr>
          <w:rFonts w:ascii="Times New Roman" w:hAnsi="Times New Roman"/>
          <w:color w:val="000000" w:themeColor="text1"/>
          <w:sz w:val="16"/>
          <w:szCs w:val="16"/>
        </w:rPr>
        <w:softHyphen/>
        <w:t>ляющего производить перепланирование в процессе мобилиза</w:t>
      </w:r>
      <w:r w:rsidRPr="00A259BD">
        <w:rPr>
          <w:rFonts w:ascii="Times New Roman" w:hAnsi="Times New Roman"/>
          <w:color w:val="000000" w:themeColor="text1"/>
          <w:sz w:val="16"/>
          <w:szCs w:val="16"/>
        </w:rPr>
        <w:softHyphen/>
        <w:t>ции. Они должны были выступать центрами научно-исследова</w:t>
      </w:r>
      <w:r w:rsidRPr="00A259BD">
        <w:rPr>
          <w:rFonts w:ascii="Times New Roman" w:hAnsi="Times New Roman"/>
          <w:color w:val="000000" w:themeColor="text1"/>
          <w:sz w:val="16"/>
          <w:szCs w:val="16"/>
        </w:rPr>
        <w:softHyphen/>
        <w:t>тельской, опытной, конструкторской и рационализаторской ра</w:t>
      </w:r>
      <w:r w:rsidRPr="00A259BD">
        <w:rPr>
          <w:rFonts w:ascii="Times New Roman" w:hAnsi="Times New Roman"/>
          <w:color w:val="000000" w:themeColor="text1"/>
          <w:sz w:val="16"/>
          <w:szCs w:val="16"/>
        </w:rPr>
        <w:softHyphen/>
        <w:t>боты, быть руководящими по отношению к другим мобилизуе</w:t>
      </w:r>
      <w:r w:rsidRPr="00A259BD">
        <w:rPr>
          <w:rFonts w:ascii="Times New Roman" w:hAnsi="Times New Roman"/>
          <w:color w:val="000000" w:themeColor="text1"/>
          <w:sz w:val="16"/>
          <w:szCs w:val="16"/>
        </w:rPr>
        <w:softHyphen/>
        <w:t>мым предприятиям с родственными военными производствами в том смысле, чтобы передавать им последние достижения в об</w:t>
      </w:r>
      <w:r w:rsidRPr="00A259BD">
        <w:rPr>
          <w:rFonts w:ascii="Times New Roman" w:hAnsi="Times New Roman"/>
          <w:color w:val="000000" w:themeColor="text1"/>
          <w:sz w:val="16"/>
          <w:szCs w:val="16"/>
        </w:rPr>
        <w:softHyphen/>
        <w:t>ласти изготовления военных изделий, наблюдать за постанов</w:t>
      </w:r>
      <w:r w:rsidRPr="00A259BD">
        <w:rPr>
          <w:rFonts w:ascii="Times New Roman" w:hAnsi="Times New Roman"/>
          <w:color w:val="000000" w:themeColor="text1"/>
          <w:sz w:val="16"/>
          <w:szCs w:val="16"/>
        </w:rPr>
        <w:softHyphen/>
        <w:t>кой и исполнением опытных заказов, производить экспертизу мобилизационных планов, правильности расчетов, использования оборудования, установления норм, категорий работников, подготовки специального техперсонала. Предприятия, относи</w:t>
      </w:r>
      <w:r w:rsidRPr="00A259BD">
        <w:rPr>
          <w:rFonts w:ascii="Times New Roman" w:hAnsi="Times New Roman"/>
          <w:color w:val="000000" w:themeColor="text1"/>
          <w:sz w:val="16"/>
          <w:szCs w:val="16"/>
        </w:rPr>
        <w:softHyphen/>
        <w:t>мые к числу мобилизуемых, в мирное время приписывались к кадровым заводам. На этой основе велось “кустование” кадро</w:t>
      </w:r>
      <w:r w:rsidRPr="00A259BD">
        <w:rPr>
          <w:rFonts w:ascii="Times New Roman" w:hAnsi="Times New Roman"/>
          <w:color w:val="000000" w:themeColor="text1"/>
          <w:sz w:val="16"/>
          <w:szCs w:val="16"/>
        </w:rPr>
        <w:softHyphen/>
        <w:t>вых и мобилизуемых предприятий, производилось выделение головных и вспомогательных заводов. Головными заводами в составе “куста” определялись те, которые производят сборку сложного изделия или изготовляют основные части военных из</w:t>
      </w:r>
      <w:r w:rsidRPr="00A259BD">
        <w:rPr>
          <w:rFonts w:ascii="Times New Roman" w:hAnsi="Times New Roman"/>
          <w:color w:val="000000" w:themeColor="text1"/>
          <w:sz w:val="16"/>
          <w:szCs w:val="16"/>
        </w:rPr>
        <w:softHyphen/>
        <w:t>делий. В однородных производствах число кадровых заводов должно было быть сведено к минимуму и определяться внуши</w:t>
      </w:r>
      <w:r w:rsidRPr="00A259BD">
        <w:rPr>
          <w:rFonts w:ascii="Times New Roman" w:hAnsi="Times New Roman"/>
          <w:color w:val="000000" w:themeColor="text1"/>
          <w:sz w:val="16"/>
          <w:szCs w:val="16"/>
        </w:rPr>
        <w:softHyphen/>
        <w:t>тельной долей заказов НКВМ. Там, где наличия одного кадро</w:t>
      </w:r>
      <w:r w:rsidRPr="00A259BD">
        <w:rPr>
          <w:rFonts w:ascii="Times New Roman" w:hAnsi="Times New Roman"/>
          <w:color w:val="000000" w:themeColor="text1"/>
          <w:sz w:val="16"/>
          <w:szCs w:val="16"/>
        </w:rPr>
        <w:softHyphen/>
        <w:t>вого завода считалось недостаточным, а производство охваты</w:t>
      </w:r>
      <w:r w:rsidRPr="00A259BD">
        <w:rPr>
          <w:rFonts w:ascii="Times New Roman" w:hAnsi="Times New Roman"/>
          <w:color w:val="000000" w:themeColor="text1"/>
          <w:sz w:val="16"/>
          <w:szCs w:val="16"/>
        </w:rPr>
        <w:softHyphen/>
        <w:t xml:space="preserve">вало большое число предприятий, таких как снаряжательное, </w:t>
      </w:r>
      <w:proofErr w:type="spellStart"/>
      <w:r w:rsidRPr="00A259BD">
        <w:rPr>
          <w:rFonts w:ascii="Times New Roman" w:hAnsi="Times New Roman"/>
          <w:color w:val="000000" w:themeColor="text1"/>
          <w:sz w:val="16"/>
          <w:szCs w:val="16"/>
        </w:rPr>
        <w:t>взрывательное</w:t>
      </w:r>
      <w:proofErr w:type="spellEnd"/>
      <w:r w:rsidRPr="00A259BD">
        <w:rPr>
          <w:rFonts w:ascii="Times New Roman" w:hAnsi="Times New Roman"/>
          <w:color w:val="000000" w:themeColor="text1"/>
          <w:sz w:val="16"/>
          <w:szCs w:val="16"/>
        </w:rPr>
        <w:t>, т.е. производство боеприпасов, допускалось не</w:t>
      </w:r>
      <w:r w:rsidRPr="00A259BD">
        <w:rPr>
          <w:rFonts w:ascii="Times New Roman" w:hAnsi="Times New Roman"/>
          <w:color w:val="000000" w:themeColor="text1"/>
          <w:sz w:val="16"/>
          <w:szCs w:val="16"/>
        </w:rPr>
        <w:softHyphen/>
        <w:t xml:space="preserve">сколько кадровых заводов. Должны были </w:t>
      </w:r>
      <w:r w:rsidRPr="00A259BD">
        <w:rPr>
          <w:rFonts w:ascii="Times New Roman" w:hAnsi="Times New Roman"/>
          <w:color w:val="000000" w:themeColor="text1"/>
          <w:sz w:val="16"/>
          <w:szCs w:val="16"/>
        </w:rPr>
        <w:lastRenderedPageBreak/>
        <w:t>обеспечиваться тех</w:t>
      </w:r>
      <w:r w:rsidRPr="00A259BD">
        <w:rPr>
          <w:rFonts w:ascii="Times New Roman" w:hAnsi="Times New Roman"/>
          <w:color w:val="000000" w:themeColor="text1"/>
          <w:sz w:val="16"/>
          <w:szCs w:val="16"/>
        </w:rPr>
        <w:softHyphen/>
        <w:t>ническое соответствие и взаимозаменяемость производимых изделий по всему циклу военных производств. Констатирова</w:t>
      </w:r>
      <w:r w:rsidRPr="00A259BD">
        <w:rPr>
          <w:rFonts w:ascii="Times New Roman" w:hAnsi="Times New Roman"/>
          <w:color w:val="000000" w:themeColor="text1"/>
          <w:sz w:val="16"/>
          <w:szCs w:val="16"/>
        </w:rPr>
        <w:softHyphen/>
        <w:t>лось, что особо ответственные задачи кадровых заводов требу</w:t>
      </w:r>
      <w:r w:rsidRPr="00A259BD">
        <w:rPr>
          <w:rFonts w:ascii="Times New Roman" w:hAnsi="Times New Roman"/>
          <w:color w:val="000000" w:themeColor="text1"/>
          <w:sz w:val="16"/>
          <w:szCs w:val="16"/>
        </w:rPr>
        <w:softHyphen/>
        <w:t>ют, чтобы они размещались вне угрожаемой в случае войны территории.</w:t>
      </w:r>
    </w:p>
    <w:p w14:paraId="66B86F95" w14:textId="77777777" w:rsidR="00E75E4F" w:rsidRPr="00A259BD" w:rsidRDefault="00E75E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Заводы, не вошедшие в число кадровых, но подлежащие мо</w:t>
      </w:r>
      <w:r w:rsidRPr="00A259BD">
        <w:rPr>
          <w:rFonts w:ascii="Times New Roman" w:hAnsi="Times New Roman"/>
          <w:color w:val="000000" w:themeColor="text1"/>
          <w:sz w:val="16"/>
          <w:szCs w:val="16"/>
        </w:rPr>
        <w:softHyphen/>
        <w:t>билизации в случае воины, должны были создавать в мирное время военно-производственные ячейки и сохранять существу</w:t>
      </w:r>
      <w:r w:rsidRPr="00A259BD">
        <w:rPr>
          <w:rFonts w:ascii="Times New Roman" w:hAnsi="Times New Roman"/>
          <w:color w:val="000000" w:themeColor="text1"/>
          <w:sz w:val="16"/>
          <w:szCs w:val="16"/>
        </w:rPr>
        <w:softHyphen/>
        <w:t>ющие, работающие по заказам НКВМ. Если таких заказов не было, то предусматривалось, что время от времени будут выда</w:t>
      </w:r>
      <w:r w:rsidRPr="00A259BD">
        <w:rPr>
          <w:rFonts w:ascii="Times New Roman" w:hAnsi="Times New Roman"/>
          <w:color w:val="000000" w:themeColor="text1"/>
          <w:sz w:val="16"/>
          <w:szCs w:val="16"/>
        </w:rPr>
        <w:softHyphen/>
        <w:t>ваться заказы в порядке проведения опытной мобилизации. С целью сохранения мобилизационной готовности загрузка предприятий мирной продукцией не должна была решаться в ущерб военному производству, с тем, чтобы сохранялась возможность его быстрого перепланирования на случай войны. В мирное время мобилизуемые предприятия должны были иметь такую степень мобилизационной готовности, которая обеспечивала бы соответствующие темпы развертывания всего “куста”. Предприятия, не имеющие военно-производственных ячеек, в мирное время должны были получать раз в несколько лет опытные заказы на предмет возможной установки на них военных производств в случае опытной мобилизации. В целом, как говорилось в документе, пятилетка должна была решить следующие задачи: сократить число заводов собственно воен</w:t>
      </w:r>
      <w:r w:rsidRPr="00A259BD">
        <w:rPr>
          <w:rFonts w:ascii="Times New Roman" w:hAnsi="Times New Roman"/>
          <w:color w:val="000000" w:themeColor="text1"/>
          <w:sz w:val="16"/>
          <w:szCs w:val="16"/>
        </w:rPr>
        <w:softHyphen/>
        <w:t>ной промышленности, оставляя в числе кадровых только основ</w:t>
      </w:r>
      <w:r w:rsidRPr="00A259BD">
        <w:rPr>
          <w:rFonts w:ascii="Times New Roman" w:hAnsi="Times New Roman"/>
          <w:color w:val="000000" w:themeColor="text1"/>
          <w:sz w:val="16"/>
          <w:szCs w:val="16"/>
        </w:rPr>
        <w:softHyphen/>
        <w:t>ные по каждой номенклатуре военных изделий, заявленных НКВМ; включить в число кадровых ряд заводов (цехов) граж</w:t>
      </w:r>
      <w:r w:rsidRPr="00A259BD">
        <w:rPr>
          <w:rFonts w:ascii="Times New Roman" w:hAnsi="Times New Roman"/>
          <w:color w:val="000000" w:themeColor="text1"/>
          <w:sz w:val="16"/>
          <w:szCs w:val="16"/>
        </w:rPr>
        <w:softHyphen/>
        <w:t>данской промышленности, охваченных номенклатурой НКВМ; перепланировать отдельные военные заводы и военные цеха гражданских предприятий на производство мирной продукции, сохраняя, однако, военно-производственные ячейки; “кустова</w:t>
      </w:r>
      <w:r w:rsidRPr="00A259BD">
        <w:rPr>
          <w:rFonts w:ascii="Times New Roman" w:hAnsi="Times New Roman"/>
          <w:color w:val="000000" w:themeColor="text1"/>
          <w:sz w:val="16"/>
          <w:szCs w:val="16"/>
        </w:rPr>
        <w:softHyphen/>
        <w:t>ние” предприятий, увязывание их работы с базами снабжения</w:t>
      </w:r>
      <w:bookmarkStart w:id="96" w:name="_ednref40"/>
      <w:r w:rsidRPr="00A259BD">
        <w:rPr>
          <w:rFonts w:ascii="Times New Roman" w:hAnsi="Times New Roman"/>
          <w:color w:val="000000" w:themeColor="text1"/>
          <w:sz w:val="16"/>
          <w:szCs w:val="16"/>
        </w:rPr>
        <w:t xml:space="preserve"> (18393)</w:t>
      </w:r>
      <w:bookmarkEnd w:id="96"/>
      <w:r w:rsidRPr="00A259BD">
        <w:rPr>
          <w:rFonts w:ascii="Times New Roman" w:hAnsi="Times New Roman"/>
          <w:color w:val="000000" w:themeColor="text1"/>
          <w:sz w:val="16"/>
          <w:szCs w:val="16"/>
        </w:rPr>
        <w:t>.</w:t>
      </w:r>
    </w:p>
    <w:p w14:paraId="4C9D8ED4" w14:textId="77777777" w:rsidR="00E75E4F" w:rsidRPr="00A259BD" w:rsidRDefault="00E75E4F" w:rsidP="009236E3">
      <w:pPr>
        <w:spacing w:after="0" w:line="240" w:lineRule="auto"/>
        <w:jc w:val="both"/>
        <w:rPr>
          <w:rFonts w:ascii="Times New Roman" w:hAnsi="Times New Roman"/>
          <w:color w:val="000000" w:themeColor="text1"/>
          <w:sz w:val="16"/>
          <w:szCs w:val="16"/>
        </w:rPr>
      </w:pPr>
    </w:p>
    <w:p w14:paraId="537D43D7" w14:textId="77777777" w:rsidR="00DA14E0" w:rsidRPr="00A259BD" w:rsidRDefault="00DA14E0" w:rsidP="009236E3">
      <w:pPr>
        <w:pStyle w:val="rtejustify"/>
        <w:spacing w:before="0" w:after="0"/>
        <w:rPr>
          <w:color w:val="000000" w:themeColor="text1"/>
          <w:sz w:val="16"/>
          <w:szCs w:val="16"/>
        </w:rPr>
      </w:pPr>
      <w:r w:rsidRPr="00A259BD">
        <w:rPr>
          <w:rStyle w:val="af0"/>
          <w:i w:val="0"/>
          <w:color w:val="000000" w:themeColor="text1"/>
          <w:sz w:val="16"/>
          <w:szCs w:val="16"/>
        </w:rPr>
        <w:t xml:space="preserve">3 декабря </w:t>
      </w:r>
      <w:r w:rsidRPr="00A259BD">
        <w:rPr>
          <w:color w:val="000000" w:themeColor="text1"/>
          <w:sz w:val="16"/>
          <w:szCs w:val="16"/>
        </w:rPr>
        <w:t>1929 г</w:t>
      </w:r>
      <w:r w:rsidRPr="00A259BD">
        <w:rPr>
          <w:rStyle w:val="af0"/>
          <w:i w:val="0"/>
          <w:color w:val="000000" w:themeColor="text1"/>
          <w:sz w:val="16"/>
          <w:szCs w:val="16"/>
        </w:rPr>
        <w:t xml:space="preserve">. Протокол Реввоенсовета № 38. </w:t>
      </w:r>
      <w:r w:rsidRPr="00A259BD">
        <w:rPr>
          <w:color w:val="000000" w:themeColor="text1"/>
          <w:sz w:val="16"/>
          <w:szCs w:val="16"/>
        </w:rPr>
        <w:t>1. Пересмотр программы строительства морского флота. (</w:t>
      </w:r>
      <w:proofErr w:type="spellStart"/>
      <w:r w:rsidRPr="00A259BD">
        <w:rPr>
          <w:color w:val="000000" w:themeColor="text1"/>
          <w:sz w:val="16"/>
          <w:szCs w:val="16"/>
        </w:rPr>
        <w:t>Муклевич</w:t>
      </w:r>
      <w:proofErr w:type="spellEnd"/>
      <w:r w:rsidRPr="00A259BD">
        <w:rPr>
          <w:color w:val="000000" w:themeColor="text1"/>
          <w:sz w:val="16"/>
          <w:szCs w:val="16"/>
        </w:rPr>
        <w:t>). 2. Об утверждении проекта канонерской лодки для отдельного отряда судов реки Днепра. (</w:t>
      </w:r>
      <w:proofErr w:type="spellStart"/>
      <w:r w:rsidRPr="00A259BD">
        <w:rPr>
          <w:color w:val="000000" w:themeColor="text1"/>
          <w:sz w:val="16"/>
          <w:szCs w:val="16"/>
        </w:rPr>
        <w:t>Муклевич</w:t>
      </w:r>
      <w:proofErr w:type="spellEnd"/>
      <w:r w:rsidRPr="00A259BD">
        <w:rPr>
          <w:color w:val="000000" w:themeColor="text1"/>
          <w:sz w:val="16"/>
          <w:szCs w:val="16"/>
        </w:rPr>
        <w:t>, Игнатьев). 6. Об опытных образцах самолетов. (Баранов П. И.). 7. О введении на вооружение. (Баранов). 8. О заготовке торпед «ВВС» и мин «</w:t>
      </w:r>
      <w:proofErr w:type="spellStart"/>
      <w:r w:rsidRPr="00A259BD">
        <w:rPr>
          <w:color w:val="000000" w:themeColor="text1"/>
          <w:sz w:val="16"/>
          <w:szCs w:val="16"/>
        </w:rPr>
        <w:t>Вомиз</w:t>
      </w:r>
      <w:proofErr w:type="spellEnd"/>
      <w:r w:rsidRPr="00A259BD">
        <w:rPr>
          <w:color w:val="000000" w:themeColor="text1"/>
          <w:sz w:val="16"/>
          <w:szCs w:val="16"/>
        </w:rPr>
        <w:t>». (Баранов П. И.). (РГВА. Ф. 4. Оп. 18. Д. 15. Л. 256, 257</w:t>
      </w:r>
      <w:r w:rsidRPr="00A259BD">
        <w:rPr>
          <w:color w:val="000000" w:themeColor="text1"/>
          <w:sz w:val="16"/>
          <w:szCs w:val="16"/>
        </w:rPr>
        <w:noBreakHyphen/>
        <w:t>258) (13242).</w:t>
      </w:r>
    </w:p>
    <w:p w14:paraId="07A06D5E" w14:textId="77777777" w:rsidR="00DA14E0" w:rsidRPr="00A259BD" w:rsidRDefault="00DA14E0" w:rsidP="009236E3">
      <w:pPr>
        <w:pStyle w:val="rtejustify"/>
        <w:spacing w:before="0" w:after="0"/>
        <w:rPr>
          <w:color w:val="000000" w:themeColor="text1"/>
          <w:sz w:val="16"/>
          <w:szCs w:val="16"/>
        </w:rPr>
      </w:pPr>
    </w:p>
    <w:p w14:paraId="309075F5"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10A046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858D4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декабря 1929 года появилась Служебная записка Главного Концессионного Комитета при СНК СССР заместителю председателя Совета Народных Комиссаров </w:t>
      </w:r>
      <w:proofErr w:type="spellStart"/>
      <w:r w:rsidRPr="00A259BD">
        <w:rPr>
          <w:rFonts w:ascii="Times New Roman" w:hAnsi="Times New Roman"/>
          <w:color w:val="000000" w:themeColor="text1"/>
          <w:sz w:val="16"/>
          <w:szCs w:val="16"/>
        </w:rPr>
        <w:t>Я.Э.Рудзутаку</w:t>
      </w:r>
      <w:proofErr w:type="spellEnd"/>
      <w:r w:rsidRPr="00A259BD">
        <w:rPr>
          <w:rFonts w:ascii="Times New Roman" w:hAnsi="Times New Roman"/>
          <w:color w:val="000000" w:themeColor="text1"/>
          <w:sz w:val="16"/>
          <w:szCs w:val="16"/>
        </w:rPr>
        <w:t xml:space="preserve"> о нецелесообразности составления перспективного концессионного плана </w:t>
      </w:r>
    </w:p>
    <w:p w14:paraId="32D4FD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Постановлением СТО от 6/Х1-29 г. обязаны представить в Госплан СССР союзные наркоматы и союзные республики концессионные планы по подведомственным им отраслям народного хозяйства. </w:t>
      </w:r>
    </w:p>
    <w:p w14:paraId="2FFC40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ГКК считает несвоевременным постановку вопроса о перспективном концессионном плане по следующим соображениям: </w:t>
      </w:r>
    </w:p>
    <w:p w14:paraId="7B4430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В настоящее время концессионное дело переживает большую заминку и до сих пор не выкристаллизовались новые формы привлечения иностранного капитала. </w:t>
      </w:r>
    </w:p>
    <w:p w14:paraId="021851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При нынешних темпах нашего народного хозяйства очень затруднительно установить на пять лет вперед план и размеры привлечения иностранного капитала. </w:t>
      </w:r>
    </w:p>
    <w:p w14:paraId="7A03EA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этим соображениям ГКК просит СТО отменить постановление от 6/Х1 о концессионном планет. Со своей стороны ГКК предлагает следующее постановление: </w:t>
      </w:r>
    </w:p>
    <w:p w14:paraId="035242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“Ввиду невозможности выяснить в настоящее время размеры инвестиций иностранного капитала, равным образом формы привлечения этого капитала, СТО считает возможным разрешить ГКК отложить работу по составлению в настоящее время концессионного плана”. </w:t>
      </w:r>
    </w:p>
    <w:p w14:paraId="05D810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Председатель </w:t>
      </w:r>
      <w:proofErr w:type="spellStart"/>
      <w:r w:rsidRPr="00A259BD">
        <w:rPr>
          <w:rFonts w:ascii="Times New Roman" w:hAnsi="Times New Roman"/>
          <w:color w:val="000000" w:themeColor="text1"/>
          <w:sz w:val="16"/>
          <w:szCs w:val="16"/>
        </w:rPr>
        <w:t>Главконцесскома</w:t>
      </w:r>
      <w:proofErr w:type="spellEnd"/>
      <w:r w:rsidRPr="00A259BD">
        <w:rPr>
          <w:rFonts w:ascii="Times New Roman" w:hAnsi="Times New Roman"/>
          <w:color w:val="000000" w:themeColor="text1"/>
          <w:sz w:val="16"/>
          <w:szCs w:val="16"/>
        </w:rPr>
        <w:t xml:space="preserve"> (Каменев) </w:t>
      </w:r>
    </w:p>
    <w:p w14:paraId="4CFAFA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 Секретариатом ГКК (Тихонов)</w:t>
      </w:r>
    </w:p>
    <w:p w14:paraId="5365BD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ГАРФ. Ф. Р-5446. Оп. 6. Д. 405. Л. 7. Подлинник. Подписи -автографы (11232).</w:t>
      </w:r>
    </w:p>
    <w:p w14:paraId="011131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BA1D674"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5AACC7E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17EC5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декабря 1929 последовало новое решение высшей партийной инстанции СССР: </w:t>
      </w:r>
    </w:p>
    <w:p w14:paraId="67750F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"Ввиду сообщения т. Чичерина и пользующих его врачей, что состояние здоровья позволяет ему выехать в Москву лишь после четырехнедельной подготовки к переезду, максимально ускорить приезд т. Чичерина в Москву. Принять необходимые меры по врачебной линии как к подготовке т. Чичерина к переезду, так и организации самого переезда. Поручить тт. Енукидзе и Карахану принять меры к устройству пребывания и лечения т. Чичерина в СССР" (11652). </w:t>
      </w:r>
    </w:p>
    <w:p w14:paraId="10D0FC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4E0B4B8" w14:textId="77777777" w:rsidR="0078669E" w:rsidRPr="00A259BD" w:rsidRDefault="0078669E"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B81DE8C" w14:textId="77777777" w:rsidR="0078669E" w:rsidRPr="00A259BD" w:rsidRDefault="0078669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3F181A2" w14:textId="77777777" w:rsidR="0078669E" w:rsidRPr="00A259BD" w:rsidRDefault="0078669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декабря 1929 года завод № 25 вновь передал «Фоккер» ДХI № 4743 в НИИ ВВС. Выполненные доработки военные одобрили и новое вооружение истребителя было признано удовлетворительным. В отчете было сказано, что «произведенные изменения необходимо внести в </w:t>
      </w:r>
      <w:proofErr w:type="spellStart"/>
      <w:r w:rsidRPr="00A259BD">
        <w:rPr>
          <w:rFonts w:ascii="Times New Roman" w:hAnsi="Times New Roman"/>
          <w:color w:val="000000" w:themeColor="text1"/>
          <w:sz w:val="16"/>
          <w:szCs w:val="16"/>
        </w:rPr>
        <w:t>построительные</w:t>
      </w:r>
      <w:proofErr w:type="spellEnd"/>
      <w:r w:rsidRPr="00A259BD">
        <w:rPr>
          <w:rFonts w:ascii="Times New Roman" w:hAnsi="Times New Roman"/>
          <w:color w:val="000000" w:themeColor="text1"/>
          <w:sz w:val="16"/>
          <w:szCs w:val="16"/>
        </w:rPr>
        <w:t xml:space="preserve"> чертежи по оборудованию и перевооружению всей серии самолетов…», правда, пока свидетельств установки пулеметов ПВ-1 на строевые машины обнаружить не удалось (23030).</w:t>
      </w:r>
    </w:p>
    <w:p w14:paraId="3306DEE5" w14:textId="77777777" w:rsidR="0078669E" w:rsidRPr="00A259BD" w:rsidRDefault="0078669E" w:rsidP="009236E3">
      <w:pPr>
        <w:spacing w:after="0" w:line="240" w:lineRule="auto"/>
        <w:jc w:val="both"/>
        <w:rPr>
          <w:rFonts w:ascii="Times New Roman" w:hAnsi="Times New Roman"/>
          <w:color w:val="000000" w:themeColor="text1"/>
          <w:sz w:val="16"/>
          <w:szCs w:val="16"/>
        </w:rPr>
      </w:pPr>
    </w:p>
    <w:p w14:paraId="3C6D494E" w14:textId="77777777" w:rsidR="00B10A4F" w:rsidRPr="00A259BD" w:rsidRDefault="00B10A4F"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47A21BEA" w14:textId="77777777" w:rsidR="00B10A4F" w:rsidRPr="00A259BD" w:rsidRDefault="00B10A4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115AD09" w14:textId="77777777" w:rsidR="00B10A4F" w:rsidRPr="00A259BD" w:rsidRDefault="00B10A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декабря 1929 года Приказ РВС ССР № 377 О присвоении звания военного летчика Заместителю Начальника ВВС РККА тов. Алкснису Я.И. </w:t>
      </w:r>
    </w:p>
    <w:p w14:paraId="279C019F" w14:textId="77777777" w:rsidR="00B10A4F" w:rsidRPr="00A259BD" w:rsidRDefault="00B10A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Заместитель Начальника ВВС РККА тов. Яков Иванович Алкснис начал систематическую летную подготовку на учебном самолете 22 августа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xml:space="preserve">. на Центральном аэродроме им. Фрунзе. Несмотря на 2-х недельный перерыв в его летной учебе на время Всесоюзных маневров, тов. Алкснис 30 сентября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xml:space="preserve">. вылетел самостоятельно на учебном самолете и, используя каждый летный день, закончил самостоятельную тренировку на этом самолете в течение октября месяца, совмещая летную учебу со службой в Управлении ВВС по занимаемой должности. Из-за нелетной погоды в Москве тов. Алкснис в последних числах октября с разрешения Начальника ВВС РККА, направляется в Севастополь (Кача), где 2 ноября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приступает к своей летной учебе на боевом разведывательном самолете (к вывозным полетам), 7-го ноября, в День 12-й годовщины Октябрьской Революции, вылетает уже самостоятельно на боевом разведывательном самолете и 16 ноября заканчивает на нем полную летную программу. С большим удовлетворением отмечая эти успехи и достижения и поздравляя с ними тов. Алксниса, Реввоенсовет Союза ССР удостаивает его звания военного летчика РККА.</w:t>
      </w:r>
    </w:p>
    <w:p w14:paraId="26F6F1F4" w14:textId="77777777" w:rsidR="00B10A4F" w:rsidRPr="00A259BD" w:rsidRDefault="00B10A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Заместитель Председателя Революционного Военного Совета Союза ССР /</w:t>
      </w:r>
      <w:proofErr w:type="spellStart"/>
      <w:r w:rsidRPr="00A259BD">
        <w:rPr>
          <w:rFonts w:ascii="Times New Roman" w:hAnsi="Times New Roman"/>
          <w:color w:val="000000" w:themeColor="text1"/>
          <w:sz w:val="16"/>
          <w:szCs w:val="16"/>
        </w:rPr>
        <w:t>Уншлихт</w:t>
      </w:r>
      <w:proofErr w:type="spellEnd"/>
      <w:r w:rsidRPr="00A259BD">
        <w:rPr>
          <w:rFonts w:ascii="Times New Roman" w:hAnsi="Times New Roman"/>
          <w:color w:val="000000" w:themeColor="text1"/>
          <w:sz w:val="16"/>
          <w:szCs w:val="16"/>
        </w:rPr>
        <w:t>/ (По Управлению Военных Воздушных сил РККА)» (РГВА. Ф. 4. Оп. 3. Д. 3171. Л. 402.) (19566).</w:t>
      </w:r>
    </w:p>
    <w:p w14:paraId="6AACD22A" w14:textId="77777777" w:rsidR="00B10A4F" w:rsidRPr="00A259BD" w:rsidRDefault="00B10A4F" w:rsidP="009236E3">
      <w:pPr>
        <w:spacing w:after="0" w:line="240" w:lineRule="auto"/>
        <w:jc w:val="both"/>
        <w:rPr>
          <w:rFonts w:ascii="Times New Roman" w:hAnsi="Times New Roman"/>
          <w:color w:val="000000" w:themeColor="text1"/>
          <w:sz w:val="16"/>
          <w:szCs w:val="16"/>
        </w:rPr>
      </w:pPr>
    </w:p>
    <w:p w14:paraId="03077BC4"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123ADE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0D324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декабря 1929 на совещании с представителями инспекции ГВФ ЦАГИ пытался запустить АНТ-2 в серию с 300 л.с. Райтом и самостоятельно за свой счет делал головную машину, но не успел как хотел к 10 апреля 1930 (1016,119).</w:t>
      </w:r>
    </w:p>
    <w:p w14:paraId="1F19F8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259B6C4" w14:textId="77777777" w:rsidR="00311DFC" w:rsidRPr="00A259BD" w:rsidRDefault="00311DFC"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5 декабря 1929 г. на совещании представителей Гражданского воздушного флота и ЦАГИ об опытном строительстве самолётов и моторов для гражданской авиации вновь был поднят вопрос о серийном выпуске АНТ-2, но в четырёхместном варианте, с мотором воздушного охлаждения Райт «</w:t>
      </w:r>
      <w:proofErr w:type="spellStart"/>
      <w:r w:rsidRPr="00A259BD">
        <w:rPr>
          <w:rFonts w:ascii="Times New Roman" w:eastAsia="Times New Roman" w:hAnsi="Times New Roman"/>
          <w:color w:val="000000" w:themeColor="text1"/>
          <w:sz w:val="16"/>
          <w:szCs w:val="16"/>
          <w:lang w:eastAsia="ru-RU"/>
        </w:rPr>
        <w:t>Уирлуинд</w:t>
      </w:r>
      <w:proofErr w:type="spellEnd"/>
      <w:r w:rsidRPr="00A259BD">
        <w:rPr>
          <w:rFonts w:ascii="Times New Roman" w:eastAsia="Times New Roman" w:hAnsi="Times New Roman"/>
          <w:color w:val="000000" w:themeColor="text1"/>
          <w:sz w:val="16"/>
          <w:szCs w:val="16"/>
          <w:lang w:eastAsia="ru-RU"/>
        </w:rPr>
        <w:t xml:space="preserve">» мощностью 300 л. с., несколько образцов которых вскоре приобрели в США. Одновременно с чертежами для серии, в АГОС ЦАГИ </w:t>
      </w:r>
      <w:hyperlink r:id="rId303" w:history="1">
        <w:r w:rsidRPr="00A259BD">
          <w:rPr>
            <w:rFonts w:ascii="Times New Roman" w:eastAsia="Times New Roman" w:hAnsi="Times New Roman"/>
            <w:color w:val="000000" w:themeColor="text1"/>
            <w:sz w:val="16"/>
            <w:szCs w:val="16"/>
            <w:lang w:eastAsia="ru-RU"/>
          </w:rPr>
          <w:t>[32]</w:t>
        </w:r>
      </w:hyperlink>
      <w:r w:rsidRPr="00A259BD">
        <w:rPr>
          <w:rFonts w:ascii="Times New Roman" w:eastAsia="Times New Roman" w:hAnsi="Times New Roman"/>
          <w:color w:val="000000" w:themeColor="text1"/>
          <w:sz w:val="16"/>
          <w:szCs w:val="16"/>
          <w:lang w:eastAsia="ru-RU"/>
        </w:rPr>
        <w:t xml:space="preserve"> приступили к изготовлению головной машины. Согласно отчёту АГОС от 30 октября 1930 г. «АНТ-2 бис строился внепланово, с использованием задела Кольчугинского завода, и намеченный срок выпуска самолёта АНТ-2 бис 10.IV-30 г. не был выполнен». В материалах АГОС от 25 июня 1930 г. сообщалось, что самолёт сделал только один полёт, испытания пришлось прервать из-за течи масла </w:t>
      </w:r>
      <w:hyperlink r:id="rId304" w:history="1">
        <w:r w:rsidRPr="00A259BD">
          <w:rPr>
            <w:rFonts w:ascii="Times New Roman" w:eastAsia="Times New Roman" w:hAnsi="Times New Roman"/>
            <w:color w:val="000000" w:themeColor="text1"/>
            <w:sz w:val="16"/>
            <w:szCs w:val="16"/>
            <w:lang w:eastAsia="ru-RU"/>
          </w:rPr>
          <w:t>[33]</w:t>
        </w:r>
      </w:hyperlink>
      <w:r w:rsidRPr="00A259BD">
        <w:rPr>
          <w:rFonts w:ascii="Times New Roman" w:eastAsia="Times New Roman" w:hAnsi="Times New Roman"/>
          <w:color w:val="000000" w:themeColor="text1"/>
          <w:sz w:val="16"/>
          <w:szCs w:val="16"/>
          <w:lang w:eastAsia="ru-RU"/>
        </w:rPr>
        <w:t xml:space="preserve"> . Да он был уже и не нужен, так как разворачивался серийный выпуск 9-местного АНТ-9 со значительно лучшими характеристиками (17489).</w:t>
      </w:r>
    </w:p>
    <w:p w14:paraId="06C552C6" w14:textId="77777777" w:rsidR="00311DFC" w:rsidRPr="00A259BD" w:rsidRDefault="00311DFC" w:rsidP="009236E3">
      <w:pPr>
        <w:spacing w:after="0" w:line="240" w:lineRule="auto"/>
        <w:jc w:val="both"/>
        <w:rPr>
          <w:rFonts w:ascii="Times New Roman" w:eastAsia="Times New Roman" w:hAnsi="Times New Roman"/>
          <w:color w:val="000000" w:themeColor="text1"/>
          <w:sz w:val="16"/>
          <w:szCs w:val="16"/>
          <w:lang w:eastAsia="ru-RU"/>
        </w:rPr>
      </w:pPr>
    </w:p>
    <w:p w14:paraId="0F513648" w14:textId="77777777" w:rsidR="00E041A2" w:rsidRPr="00A259BD" w:rsidRDefault="00E041A2"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декабря 1929 г. на совещании представителей Гражданского воздушного флота и ЦАГИ об опытном строительстве самолётов и моторов для гражданской авиации вновь был поднят вопрос о серийном выпуске АНТ-2, но в четырёхместном варианте, с мотором воздушного охлаждения Райт «</w:t>
      </w:r>
      <w:proofErr w:type="spellStart"/>
      <w:r w:rsidRPr="00A259BD">
        <w:rPr>
          <w:rFonts w:ascii="Times New Roman" w:hAnsi="Times New Roman"/>
          <w:color w:val="000000" w:themeColor="text1"/>
          <w:sz w:val="16"/>
          <w:szCs w:val="16"/>
        </w:rPr>
        <w:t>Уирлуинд</w:t>
      </w:r>
      <w:proofErr w:type="spellEnd"/>
      <w:r w:rsidRPr="00A259BD">
        <w:rPr>
          <w:rFonts w:ascii="Times New Roman" w:hAnsi="Times New Roman"/>
          <w:color w:val="000000" w:themeColor="text1"/>
          <w:sz w:val="16"/>
          <w:szCs w:val="16"/>
        </w:rPr>
        <w:t>» мощностью 300 л. с., несколько образцов которых приобрели в США.</w:t>
      </w:r>
    </w:p>
    <w:p w14:paraId="399C291F" w14:textId="77777777" w:rsidR="00E041A2" w:rsidRPr="00A259BD" w:rsidRDefault="00E041A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hAnsi="Times New Roman"/>
          <w:color w:val="000000" w:themeColor="text1"/>
          <w:sz w:val="16"/>
          <w:szCs w:val="16"/>
        </w:rPr>
        <w:t>Одновременно с чертежами для серии, в АГОС ЦАГИ приступили к изготовлению головной машины (21472).</w:t>
      </w:r>
    </w:p>
    <w:p w14:paraId="36E2503F" w14:textId="77777777" w:rsidR="00E041A2" w:rsidRPr="00A259BD" w:rsidRDefault="00E041A2"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B053A0A" w14:textId="3C616BDB"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декабря 1929 </w:t>
      </w:r>
      <w:r w:rsidR="00083B1A" w:rsidRPr="00A259BD">
        <w:rPr>
          <w:rFonts w:ascii="Times New Roman" w:hAnsi="Times New Roman"/>
          <w:color w:val="000000" w:themeColor="text1"/>
          <w:sz w:val="16"/>
          <w:szCs w:val="16"/>
        </w:rPr>
        <w:t xml:space="preserve">ли </w:t>
      </w:r>
      <w:r w:rsidRPr="00A259BD">
        <w:rPr>
          <w:rFonts w:ascii="Times New Roman" w:hAnsi="Times New Roman"/>
          <w:color w:val="000000" w:themeColor="text1"/>
          <w:sz w:val="16"/>
          <w:szCs w:val="16"/>
        </w:rPr>
        <w:t>. письмом N 175сс направил Пред. РВС доклад "Об опытном строительстве самолетов" (1028,80):</w:t>
      </w:r>
    </w:p>
    <w:p w14:paraId="72906F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И3-БМВ6;</w:t>
      </w:r>
    </w:p>
    <w:p w14:paraId="2A1BAB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Р5-БМВ6;</w:t>
      </w:r>
    </w:p>
    <w:p w14:paraId="0285D7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Р2-БМВ6;</w:t>
      </w:r>
    </w:p>
    <w:p w14:paraId="63B198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ТБ-2-2БМВ6;</w:t>
      </w:r>
    </w:p>
    <w:p w14:paraId="2F3019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РОМ2-2БМВ6.</w:t>
      </w:r>
    </w:p>
    <w:p w14:paraId="634B9C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 плохо (1028,84).</w:t>
      </w:r>
    </w:p>
    <w:p w14:paraId="66CEEF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4239EF"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 декабря 1929 г. Начальник ВВС П.И. Баранов письмом №175сс направил Председателю РВС доклад «Об опытном строительстве самолетов», в котором окончание работ по самолету И-3 вновь поставлено первым пунктом с указанием на все еще не устраненные недостатки (24887).</w:t>
      </w:r>
    </w:p>
    <w:p w14:paraId="74B570D2" w14:textId="77777777" w:rsidR="001F0627" w:rsidRPr="00441F34" w:rsidRDefault="001F0627" w:rsidP="001F0627">
      <w:pPr>
        <w:spacing w:after="0" w:line="240" w:lineRule="auto"/>
        <w:jc w:val="both"/>
        <w:rPr>
          <w:rFonts w:ascii="Times New Roman" w:hAnsi="Times New Roman"/>
          <w:color w:val="0070C0"/>
          <w:sz w:val="16"/>
          <w:szCs w:val="16"/>
        </w:rPr>
      </w:pPr>
    </w:p>
    <w:p w14:paraId="2BC8154A" w14:textId="77777777" w:rsidR="00F80FAE" w:rsidRPr="00A259BD" w:rsidRDefault="00F80FAE" w:rsidP="009236E3">
      <w:pPr>
        <w:spacing w:after="0" w:line="240" w:lineRule="auto"/>
        <w:jc w:val="both"/>
        <w:rPr>
          <w:rFonts w:ascii="Times New Roman" w:hAnsi="Times New Roman"/>
          <w:iCs/>
          <w:color w:val="000000" w:themeColor="text1"/>
          <w:sz w:val="16"/>
          <w:szCs w:val="16"/>
        </w:rPr>
      </w:pPr>
      <w:r w:rsidRPr="00A259BD">
        <w:rPr>
          <w:rFonts w:ascii="Times New Roman" w:hAnsi="Times New Roman"/>
          <w:color w:val="000000" w:themeColor="text1"/>
          <w:sz w:val="16"/>
          <w:szCs w:val="16"/>
        </w:rPr>
        <w:t xml:space="preserve">5 декабря 1929 г. Протокол ПБ № 108 п.12: Договор о технической помощи с французской алюминиевой компанией (ПБ от 25-11-1929, протокол № 107, п.13; </w:t>
      </w:r>
      <w:proofErr w:type="spellStart"/>
      <w:r w:rsidRPr="00A259BD">
        <w:rPr>
          <w:rFonts w:ascii="Times New Roman" w:hAnsi="Times New Roman"/>
          <w:color w:val="000000" w:themeColor="text1"/>
          <w:sz w:val="16"/>
          <w:szCs w:val="16"/>
        </w:rPr>
        <w:t>Розенгольц</w:t>
      </w:r>
      <w:proofErr w:type="spellEnd"/>
      <w:r w:rsidRPr="00A259BD">
        <w:rPr>
          <w:rFonts w:ascii="Times New Roman" w:hAnsi="Times New Roman"/>
          <w:color w:val="000000" w:themeColor="text1"/>
          <w:sz w:val="16"/>
          <w:szCs w:val="16"/>
        </w:rPr>
        <w:t>) – ОП. Решено принять следующие предложения комиссии: а) ВСНХ СССР в трехмесячный срок закончить полузаводские опыты получения окиси алюминия; б) срочно пригласить крупных иностранных специалистов по организации алюминиевого производства; в) срочно начать переговоры с американской алюминиевой компанией о привлечении ее для оказания технической помощи; г) поручить ВСНХ СССР сообщить французской алюминиевой компании, что внесенный ею проект договора является неприемлемым и не может являться базой для переговоров. ВСНХ следовало предложить французам схему оплаты за техническое содействие по выполнению проекта алюминиевого завода; д) предложить ВСНХ СССР более интенсивно вести поисковые разведки бокситовых месторождений, установив премии геологическим партиям и отдельным лицам (15865).</w:t>
      </w:r>
    </w:p>
    <w:p w14:paraId="35E58C67" w14:textId="77777777" w:rsidR="00F80FAE" w:rsidRPr="00A259BD" w:rsidRDefault="00F80FAE" w:rsidP="009236E3">
      <w:pPr>
        <w:spacing w:after="0" w:line="240" w:lineRule="auto"/>
        <w:jc w:val="both"/>
        <w:rPr>
          <w:rFonts w:ascii="Times New Roman" w:hAnsi="Times New Roman"/>
          <w:iCs/>
          <w:color w:val="000000" w:themeColor="text1"/>
          <w:sz w:val="16"/>
          <w:szCs w:val="16"/>
        </w:rPr>
      </w:pPr>
    </w:p>
    <w:p w14:paraId="4248211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4292DE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AD25DD2" w14:textId="77777777" w:rsidR="00B16BFE" w:rsidRPr="00A259BD" w:rsidRDefault="00B16BF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декабря 1929 года было принято Постановление ЦК ВКП(б) «О реорганизации управления промышленностью». В постановлении говорилось о создании объединений предприятий не только союзного, но и республиканского значения для ликвидации дублирования в системе управления промышленностью. Изменялись задачи ВСНХ СССР: сокращалась его деятельность по оперативному руководству хозяйственными органами, усиливалась планирующая и координирующая роль, особенно в области технической политики. С этой целью в ВСНХ создавалось единое плановое технико-экономическое управление. Среди многих обязанностей этому органу вменялось руководство научно-исследовательской работой и управление НИИ. «В целях приближения деятельности научно-исследовательских институтов к практическим задачам производства, объединениям передавались НИИ, занимающиеся вопросами, относящимися к этой отрасли промышленности…» (19546).</w:t>
      </w:r>
    </w:p>
    <w:p w14:paraId="1365FA8A" w14:textId="77777777" w:rsidR="00B16BFE" w:rsidRPr="00A259BD" w:rsidRDefault="00B16BFE" w:rsidP="009236E3">
      <w:pPr>
        <w:spacing w:after="0" w:line="240" w:lineRule="auto"/>
        <w:jc w:val="both"/>
        <w:rPr>
          <w:rFonts w:ascii="Times New Roman" w:hAnsi="Times New Roman"/>
          <w:color w:val="000000" w:themeColor="text1"/>
          <w:sz w:val="16"/>
          <w:szCs w:val="16"/>
        </w:rPr>
      </w:pPr>
    </w:p>
    <w:p w14:paraId="4A492AEB" w14:textId="77777777" w:rsidR="00B16BFE" w:rsidRPr="00A259BD" w:rsidRDefault="00B16BF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декабря 1929 г. постановлением ЦК ВКП (б) «О реорганизации управления промышленностью», происходит преобразование трестов и синдикатов в отраслевые объединения (главки) и передача им управления промышленностью5. Все электротехнические тресты, включая и ЭТЗСТ, были включены к началу 1930 г. в состав Всесоюзного электротехнического объединения, правление которого располагалось в Москве.</w:t>
      </w:r>
    </w:p>
    <w:p w14:paraId="74004858" w14:textId="77777777" w:rsidR="00B16BFE" w:rsidRPr="00A259BD" w:rsidRDefault="00B16BF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Руководство страны в 1929/1930 г. переходит от государственного регулирования товарно-денежных отношений к директивным методам строго-планового распределения финансовых и материальных ресурсов между отраслями экономики, их производственными единицами и объединениями4</w:t>
      </w:r>
    </w:p>
    <w:p w14:paraId="49E4430A" w14:textId="77777777" w:rsidR="00B16BFE" w:rsidRPr="00A259BD" w:rsidRDefault="00B16BF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целях концентрации работы по выполнению текущих военных заказов и по мобилизационной подготовке предприятий все мобилизационные и военные органы прежних трестов были объединены в Специальное управление (СУ) ВЭО, во главе которого стал В.И. Романовский6. В составе этого управления функционировал ряд профильные секторов, в т.ч. радио- и проводной связи (18297).</w:t>
      </w:r>
    </w:p>
    <w:p w14:paraId="54ECC633" w14:textId="77777777" w:rsidR="00B16BFE" w:rsidRPr="00A259BD" w:rsidRDefault="00B16BFE" w:rsidP="009236E3">
      <w:pPr>
        <w:spacing w:after="0" w:line="240" w:lineRule="auto"/>
        <w:jc w:val="both"/>
        <w:rPr>
          <w:rFonts w:ascii="Times New Roman" w:hAnsi="Times New Roman"/>
          <w:color w:val="000000" w:themeColor="text1"/>
          <w:sz w:val="16"/>
          <w:szCs w:val="16"/>
        </w:rPr>
      </w:pPr>
    </w:p>
    <w:p w14:paraId="1A7C7E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декабря 1929 Политбюро ЦК ВКП(б) приняло постановление "О выполнении танкостроительной программы". Говорилось что есть только один танк - Т-18 с 37 мм пушкой производства завода Большевик, который устарел. Предложили купить за границей (1566,77).</w:t>
      </w:r>
    </w:p>
    <w:p w14:paraId="34FF652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постановлении констатируется, что “к настоящему времени на вооружении РККА имеется только тип танка Т-18 (скорость 12 км/час, вооружение 37 мм пушка и 2 пулемета, защищен 18 мм. броней), производство которого установлено на заводе ; “Большевик””. Далее, отмечается, что Т-18 не отвечает совре</w:t>
      </w:r>
      <w:r w:rsidRPr="00A259BD">
        <w:rPr>
          <w:rFonts w:ascii="Times New Roman" w:hAnsi="Times New Roman"/>
          <w:color w:val="000000" w:themeColor="text1"/>
          <w:sz w:val="16"/>
          <w:szCs w:val="16"/>
        </w:rPr>
        <w:softHyphen/>
        <w:t>менным требованиям, а других конструкций нет, что 5-летняя программа тракторостроения не увязана с танкостроением по вопросам обеспечения броней и моторами. Политбюро предло</w:t>
      </w:r>
      <w:r w:rsidRPr="00A259BD">
        <w:rPr>
          <w:rFonts w:ascii="Times New Roman" w:hAnsi="Times New Roman"/>
          <w:color w:val="000000" w:themeColor="text1"/>
          <w:sz w:val="16"/>
          <w:szCs w:val="16"/>
        </w:rPr>
        <w:softHyphen/>
        <w:t>жило командировать за границу “авторитетную комиссию” из представителей военной промышленности и военного ведомства для отбора и закупки образцов бронетанковой техники, а также выяснения возможности получения технической помощи (РЦХИДНИ ф. 17, оп. 162, д. 8, л. 18) (1566).</w:t>
      </w:r>
    </w:p>
    <w:p w14:paraId="44D910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2342CF1"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 декабря 1929 г. ПОСТАНОВЛЕНИЕ ЦК ВКП(б) О РЕОРГАНИЗАЦИИ УПРАВЛЕНИЯ ПРОМЫШЛЕННОСТЬЮ</w:t>
      </w:r>
    </w:p>
    <w:p w14:paraId="56AD0FC9"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ПРОИЗВОДСТВЕННОЕ ПРЕДПРИЯТИЕ</w:t>
      </w:r>
    </w:p>
    <w:p w14:paraId="48438423"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Предприятие является основным звеном управления промышленностью. Поэтому техническое обслуживание предприятия, правильная организация снабжения, наиболее совершенная организация труда внутри предприятия, полное проведение единоначалия на производстве, создание наиболее благоприятных условий для максимальной активности рабочего коллектива и технического персонала предприятия, подбор квалифицированной администрации, необходимая степень самостоятельности предприятия являются основой дальнейшего улучшения системы управления социалистической промышленности.</w:t>
      </w:r>
    </w:p>
    <w:p w14:paraId="6130FEB1"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 Перевод предприятий на хозяйственный расчет вполне себя оправдал. Хозрасчет выявляет лицо предприятия, способствует рационализации производства, правильной организации сбыта и снабжения и вызывает вместе с тем противодействие элементам бюрократизма и волокиты.</w:t>
      </w:r>
    </w:p>
    <w:p w14:paraId="2FA7AD2F"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Одновременно перевод предприятий на хозяйственный расчет способствует рациональной постановке учета производственной деятельности предприятия и ознакомлению масс с этой деятельностью.</w:t>
      </w:r>
    </w:p>
    <w:p w14:paraId="4EABB898"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До настоящего времени перевод на хозяйственный расчет совершился далеко не на всех предприятиях. Это мероприятие должно быть решительно проведено в кратчайший срок на всех без исключения предприятиях </w:t>
      </w:r>
      <w:proofErr w:type="spellStart"/>
      <w:r w:rsidRPr="00441F34">
        <w:rPr>
          <w:rFonts w:ascii="Times New Roman" w:hAnsi="Times New Roman"/>
          <w:color w:val="0070C0"/>
          <w:sz w:val="16"/>
          <w:szCs w:val="16"/>
        </w:rPr>
        <w:t>госпромышленности</w:t>
      </w:r>
      <w:proofErr w:type="spellEnd"/>
      <w:r w:rsidRPr="00441F34">
        <w:rPr>
          <w:rFonts w:ascii="Times New Roman" w:hAnsi="Times New Roman"/>
          <w:color w:val="0070C0"/>
          <w:sz w:val="16"/>
          <w:szCs w:val="16"/>
        </w:rPr>
        <w:t>.</w:t>
      </w:r>
    </w:p>
    <w:p w14:paraId="2CD574DD"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 При строжайшем соблюдении производственно-финансовой плановой дисциплины в рамках заданных лимитов предприятие должно быть самостоятельным. Его администрация несет полную ответственность за выполнение программы.</w:t>
      </w:r>
    </w:p>
    <w:p w14:paraId="13F10D5E"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распоряжение предприятия предоставляется определенная сумма средств, размер которой определяется ежегодна </w:t>
      </w:r>
      <w:proofErr w:type="spellStart"/>
      <w:r w:rsidRPr="00441F34">
        <w:rPr>
          <w:rFonts w:ascii="Times New Roman" w:hAnsi="Times New Roman"/>
          <w:color w:val="0070C0"/>
          <w:sz w:val="16"/>
          <w:szCs w:val="16"/>
        </w:rPr>
        <w:t>промфинпланом</w:t>
      </w:r>
      <w:proofErr w:type="spellEnd"/>
      <w:r w:rsidRPr="00441F34">
        <w:rPr>
          <w:rFonts w:ascii="Times New Roman" w:hAnsi="Times New Roman"/>
          <w:color w:val="0070C0"/>
          <w:sz w:val="16"/>
          <w:szCs w:val="16"/>
        </w:rPr>
        <w:t xml:space="preserve">. На основе </w:t>
      </w:r>
      <w:proofErr w:type="spellStart"/>
      <w:r w:rsidRPr="00441F34">
        <w:rPr>
          <w:rFonts w:ascii="Times New Roman" w:hAnsi="Times New Roman"/>
          <w:color w:val="0070C0"/>
          <w:sz w:val="16"/>
          <w:szCs w:val="16"/>
        </w:rPr>
        <w:t>промфинплана</w:t>
      </w:r>
      <w:proofErr w:type="spellEnd"/>
      <w:r w:rsidRPr="00441F34">
        <w:rPr>
          <w:rFonts w:ascii="Times New Roman" w:hAnsi="Times New Roman"/>
          <w:color w:val="0070C0"/>
          <w:sz w:val="16"/>
          <w:szCs w:val="16"/>
        </w:rPr>
        <w:t xml:space="preserve"> в наряде-заказе оговариваются устанавливаемая для предприятия на год производственная сметная себестоимость и взаимные начисления при нарушении установленных нарядом-заказом условий.</w:t>
      </w:r>
    </w:p>
    <w:p w14:paraId="219A82C7"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4. Последовательное проведение хозрасчета предприятий требует принятия мер к выявлению успехов и недочетов отдельных цехов и отделов предприятий. С этой целью предприятие должно устанавливать плановое задание для отдельных частей его (цеха, отдела). По цехам, отделам предприятия должен вестись учет произведенных за месяц расходов (в том числе и падающих на их долю части амортизации и накладных расходов). Расходы отдельных частей предприятия должны сопоставляться с результатами их производственной деятельности.</w:t>
      </w:r>
    </w:p>
    <w:p w14:paraId="3F97C58A"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Итоги деятельности предприятий и их частей должны обсуждаться на периодических производственных конференциях, и на основе этого профсоюзные организации должны организовать свою массовую </w:t>
      </w:r>
      <w:proofErr w:type="spellStart"/>
      <w:r w:rsidRPr="00441F34">
        <w:rPr>
          <w:rFonts w:ascii="Times New Roman" w:hAnsi="Times New Roman"/>
          <w:color w:val="0070C0"/>
          <w:sz w:val="16"/>
          <w:szCs w:val="16"/>
        </w:rPr>
        <w:t>экономработу</w:t>
      </w:r>
      <w:proofErr w:type="spellEnd"/>
      <w:r w:rsidRPr="00441F34">
        <w:rPr>
          <w:rFonts w:ascii="Times New Roman" w:hAnsi="Times New Roman"/>
          <w:color w:val="0070C0"/>
          <w:sz w:val="16"/>
          <w:szCs w:val="16"/>
        </w:rPr>
        <w:t xml:space="preserve"> в предприятии.</w:t>
      </w:r>
    </w:p>
    <w:p w14:paraId="3C821048"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 Предприятие имеет самостоятельный баланс. Основой месячного баланса предприятия должны быть данные себестоимости продукции. Разница между заданной и фактической себестоимостью при непременном условии выполнения требований о качестве вырабатываемой продукции является основным показателем успешности работы предприятия.</w:t>
      </w:r>
    </w:p>
    <w:p w14:paraId="64B76921"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Часть этой разницы в размере, предусмотренном законом, остается в распоряжении предприятия и по утверждении годового баланса расходуется по усмотрению последнего на производственно-бытовые нужды.</w:t>
      </w:r>
    </w:p>
    <w:p w14:paraId="6B49020F"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целях обеспечения выполнения заданий по себестоимости необходимо гарантировать для предприятия получение им сырья и материалов по заранее установленным ценам.</w:t>
      </w:r>
    </w:p>
    <w:p w14:paraId="6AE0E8F1"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 Постановка дела учета и отчетности на предприятии должна быть улучшена. Полный баланс с необходимыми приложениями и отчетность по себестоимости по главным видам изготовляемой продукции должны составляться предприятиями не позднее 15—17-го числа по истечении операционного месяца.</w:t>
      </w:r>
    </w:p>
    <w:p w14:paraId="51554A2E"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Отчетность по себестоимости должна стать основным материалом для технического руководства и мероприятий по рационализации при безусловной обязательности технического контроля над качеством продукции.</w:t>
      </w:r>
    </w:p>
    <w:p w14:paraId="500B9E74"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 Поставленные перед промышленностью задания по увеличению производства, снижению себестоимости и качеству продукции требуют решительного проведения специализации предприятий.</w:t>
      </w:r>
    </w:p>
    <w:p w14:paraId="68CA9683"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 Для улучшения технического руководства предприятием предложить ВСНХ СССР обратить особое внимание на развитие сети фабрично-заводских лабораторий, добиться увеличения числа специалистов, занятых непосредственно на производстве, а также ввести в состав технических совещаний на предприятиях представителей наиболее выдающихся рабочих, заводских изобретателей и молодого инженерства.</w:t>
      </w:r>
    </w:p>
    <w:p w14:paraId="3EFD1FA5"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II. ОБЪЕДИНЕНИЕ ПРЕДПРИЯТИЙ</w:t>
      </w:r>
    </w:p>
    <w:p w14:paraId="0FB3C0AE"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Ныне существующая система главных управлений не соответствует задачам периода реконструкции, в особенности в области технического руководства.</w:t>
      </w:r>
    </w:p>
    <w:p w14:paraId="7DF38E7A"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то же время в руках синдикатов постепенно сосредоточивалось фактическое руководство соответствующими </w:t>
      </w:r>
      <w:proofErr w:type="spellStart"/>
      <w:r w:rsidRPr="00441F34">
        <w:rPr>
          <w:rFonts w:ascii="Times New Roman" w:hAnsi="Times New Roman"/>
          <w:color w:val="0070C0"/>
          <w:sz w:val="16"/>
          <w:szCs w:val="16"/>
        </w:rPr>
        <w:t>отраслямипромышленности</w:t>
      </w:r>
      <w:proofErr w:type="spellEnd"/>
      <w:r w:rsidRPr="00441F34">
        <w:rPr>
          <w:rFonts w:ascii="Times New Roman" w:hAnsi="Times New Roman"/>
          <w:color w:val="0070C0"/>
          <w:sz w:val="16"/>
          <w:szCs w:val="16"/>
        </w:rPr>
        <w:t xml:space="preserve"> и большинство их вынуждено было заниматься вопросами производственных программ, капитального строительства, планирования, снабжения, распределения и т. п.</w:t>
      </w:r>
    </w:p>
    <w:p w14:paraId="03ADD22A"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Вследствие этого по целому ряду синдикатов наблюдается в значительной мере дублирование их работы с работой главков ВСНХ.</w:t>
      </w:r>
    </w:p>
    <w:p w14:paraId="3E6441D7"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Ввиду этого необходима ликвидация главных управлений и создание состоящих на хозрасчете организаций по руководству отраслями промышленности на базе синдикатов (по примеру того, как это было проведено в текстильной промышленности).</w:t>
      </w:r>
    </w:p>
    <w:p w14:paraId="273EB1DE"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2. Главнейшими функциями этих хозрасчетных организаций должны быть следующие:</w:t>
      </w:r>
    </w:p>
    <w:p w14:paraId="2B3A668B"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планирование производства, планирование и руководство капитальным строительством, техническое руководство, организация сбыта и снабжения, руководство коммерческой и финансовой деятельностью, вопросы труда, подготовка и распределение кадров, назначение и увольнение руководящего персонала.</w:t>
      </w:r>
    </w:p>
    <w:p w14:paraId="7A7CB49D"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 Создаются три типа объединений отдельных отраслей промышленности:</w:t>
      </w:r>
    </w:p>
    <w:p w14:paraId="1D29EE3D"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а) Объединение, охватывающее предприятия и тресты только союзного значения. В этом случае объединение руководит всеми сторонами деятельности входящих в него промышленных единиц в соответствии с функциями, изложенными в п. 2.</w:t>
      </w:r>
    </w:p>
    <w:p w14:paraId="6CA54FBB"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б) Объединение, охватывающее предприятия и тресты как союзной, так и республиканской и местной </w:t>
      </w:r>
      <w:proofErr w:type="spellStart"/>
      <w:r w:rsidRPr="00441F34">
        <w:rPr>
          <w:rFonts w:ascii="Times New Roman" w:hAnsi="Times New Roman"/>
          <w:color w:val="0070C0"/>
          <w:sz w:val="16"/>
          <w:szCs w:val="16"/>
        </w:rPr>
        <w:t>промышленности.В</w:t>
      </w:r>
      <w:proofErr w:type="spellEnd"/>
      <w:r w:rsidRPr="00441F34">
        <w:rPr>
          <w:rFonts w:ascii="Times New Roman" w:hAnsi="Times New Roman"/>
          <w:color w:val="0070C0"/>
          <w:sz w:val="16"/>
          <w:szCs w:val="16"/>
        </w:rPr>
        <w:t xml:space="preserve"> этом случае по отношению к предприятиям и трестам союзного значения объединение выполняет все функции, изложенные в п. 2 настоящего раздела.</w:t>
      </w:r>
    </w:p>
    <w:p w14:paraId="1CF0B445"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отношению же к предприятиям и трестам республиканского значения объединение выполняет синдикатские функции, к которым добавляется планирование производства и капитального строительства, общее техническое руководство в области рационализации и реконструкции, общее руководство в деле подготовки кадров.</w:t>
      </w:r>
    </w:p>
    <w:p w14:paraId="59406DF1"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Объединение синдикатского типа, охватывающее предприятия и тресты только республиканского и местного значения.</w:t>
      </w:r>
    </w:p>
    <w:p w14:paraId="17C69D35"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этом случае объединение выполняет только синдикатские функции, к которым добавляется общее межреспубликанское планирование производства и капитального строительства и наблюдение за проведением рационализации и в особенности технической реконструкции. Взаимоотношения трестов республиканского и местного значения с объединениями строятся на началах коммерческого расчета.</w:t>
      </w:r>
    </w:p>
    <w:p w14:paraId="3989A7E3"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4. Объединения создаются не только союзного, но и республиканского значения.</w:t>
      </w:r>
    </w:p>
    <w:p w14:paraId="70FA7AB1"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 Являясь хозрасчетным органом, объединение имеет свой баланс. На этом балансе значатся все средства и имущество предприятий и трестов союзного значения данной отрасли промышленности. Прибыль объединения образуется из разницы между отпускными ценами и себестоимостью продукции объединения.</w:t>
      </w:r>
    </w:p>
    <w:p w14:paraId="5441C03A"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 трестам республиканского и местного значения, входящим в состав объединения, последним (объединением) ведется особый счет прибылей и убытков с отнесением их на счет этих трестов в соответствии со сданной этими трестами продукцией.</w:t>
      </w:r>
    </w:p>
    <w:p w14:paraId="79784882"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Объединение рассчитывается с трестами республиканского и местного значения, входящими в его состав, на тех же основаниях, которые ныне приняты для синдикатов.</w:t>
      </w:r>
    </w:p>
    <w:p w14:paraId="1682A275"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Создание единой хозрасчетной организации требует решительного упрощения системы обложения промышленности: поручить НКФ и ВСНХ СССР разработать систему обложения </w:t>
      </w:r>
      <w:proofErr w:type="spellStart"/>
      <w:r w:rsidRPr="00441F34">
        <w:rPr>
          <w:rFonts w:ascii="Times New Roman" w:hAnsi="Times New Roman"/>
          <w:color w:val="0070C0"/>
          <w:sz w:val="16"/>
          <w:szCs w:val="16"/>
        </w:rPr>
        <w:t>госпромышленности</w:t>
      </w:r>
      <w:proofErr w:type="spellEnd"/>
      <w:r w:rsidRPr="00441F34">
        <w:rPr>
          <w:rFonts w:ascii="Times New Roman" w:hAnsi="Times New Roman"/>
          <w:color w:val="0070C0"/>
          <w:sz w:val="16"/>
          <w:szCs w:val="16"/>
        </w:rPr>
        <w:t xml:space="preserve"> по принципу единого отчисления от прибылей.</w:t>
      </w:r>
    </w:p>
    <w:p w14:paraId="2C9F2677"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 Центральное место в работе объединения должно быть отведено руководству технико-производственной работой предприятий и трестов, входящих в их состав.</w:t>
      </w:r>
    </w:p>
    <w:p w14:paraId="70937367"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соответствии с этим в каждом объединении должна быть выделена группа высококвалифицированных специалистов, освобожденных от всякой текущей работы, за исключением их прямых обязанностей по техническому руководству.</w:t>
      </w:r>
    </w:p>
    <w:p w14:paraId="63BF1DE4"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Эта группа должна разрабатывать генеральные линии реконструкции данной отрасли промышленности и должна быть ответственна за распространение заграничного технического опыта и достижений лучших предприятий СССР на другие действующие и вновь строящиеся предприятия, находящиеся в ведении объединения.</w:t>
      </w:r>
    </w:p>
    <w:p w14:paraId="35EAAE30"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Техническое руководство в объединении должно быть организовано преимущественно по функциональному признаку.</w:t>
      </w:r>
    </w:p>
    <w:p w14:paraId="072932AB"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 В целях приближения деятельности научно-исследовательских институтов к практическим задачам производства объединениям передаются научно-исследовательские институты, занимающиеся вопросами, относящимися преимущественно к данной отрасли промышленности.</w:t>
      </w:r>
    </w:p>
    <w:p w14:paraId="52898BAF"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8. Объединение организует снабжение входящих в его состав предприятий основными материалами как непосредственно, так и путем заключения генеральных договоров с соответствующими снабженческими организациями.</w:t>
      </w:r>
    </w:p>
    <w:p w14:paraId="01C08FF2"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Аппараты снабжения должны быть приближены к потребляющим организациям.</w:t>
      </w:r>
    </w:p>
    <w:p w14:paraId="535EE272"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9. С целью усиления оперативных прав и ответственности объединения промышленных предприятий необходимо, чтобы при планировании товарооборота ВСНХ и НКТ давали лишь общие директивы о снижении отпускных цен, указывая средний предел этого снижения, с тем чтобы дальнейшая оперативная работа в области установления цен была в максимальной степени предоставлена самим объединениям.</w:t>
      </w:r>
    </w:p>
    <w:p w14:paraId="7A221DB5"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III. ТРЕСТ</w:t>
      </w:r>
    </w:p>
    <w:p w14:paraId="09DAA7FC"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При создании объединений предприятия могут входить в их состав как через тресты, так и непосредственно.</w:t>
      </w:r>
    </w:p>
    <w:p w14:paraId="246B3282"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Тресты должны сосредоточивать свою работу на вопросах технического руководства, рационализации, реконструкции, причем, как правило, у них изымаются функции сбыта и снабжения.</w:t>
      </w:r>
    </w:p>
    <w:p w14:paraId="3F7D7566"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Могут быть также случаи, когда трест остается со всеми функциями, присвоенными ему ныне действующим положением.</w:t>
      </w:r>
    </w:p>
    <w:p w14:paraId="4B0DB188"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 Для обеспечения использования современных достижений науки и техники в производственной жизни промпредприятий перед трестами должны быть поставлены следующие главнейшие задачи:</w:t>
      </w:r>
    </w:p>
    <w:p w14:paraId="67608253"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а) организация обмена техническим опытом между предприятиями;</w:t>
      </w:r>
    </w:p>
    <w:p w14:paraId="7C7494C6"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б) обеспечение своевременного использования промышленностью достижений научно-технических институтов, лабораторий и других исследовательских организаций;</w:t>
      </w:r>
    </w:p>
    <w:p w14:paraId="1F7C5BFB"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своевременное ознакомление предприятий с современными достижениями технической мысли на заграничных предприятиях; принятие мер к тому, чтобы эти достижения можно было в кратчайший срок применить также и на предприятиях СССР;</w:t>
      </w:r>
    </w:p>
    <w:p w14:paraId="00E15CF7"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г) контроль над мобилизацией внутренних ресурсов предприятий и правильной постановкой складского дела;</w:t>
      </w:r>
    </w:p>
    <w:p w14:paraId="60B82CB8"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 организация рациональной постановки учета производства и бухгалтерии в предприятиях;</w:t>
      </w:r>
    </w:p>
    <w:p w14:paraId="14988981"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е) своевременное применение разработанных специальными органами стандартов в промышленных предприятиях;</w:t>
      </w:r>
    </w:p>
    <w:p w14:paraId="3ADFE611"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ж) образование специальных органов рационализации.</w:t>
      </w:r>
    </w:p>
    <w:p w14:paraId="3A89E99A"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 Техническое руководство предприятий и трестов должно осуществляться специально выделенной ячейкой высококвалифицированных специалистов, освобожденных от всякой другой работы.</w:t>
      </w:r>
    </w:p>
    <w:p w14:paraId="57D3811A"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Техническое руководство осуществляется трестом преимущественно по функциональному признаку.</w:t>
      </w:r>
    </w:p>
    <w:p w14:paraId="680C9936"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целях разрешения поставленных выше задач трест должен широко практиковать организацию временных технических комиссий из практических работников предприятия, в том числе выдающихся рабочих, заводских изобретателей, наиболее опытных мастеров и молодых инженеров, поручая им проработку вопросов о технических нововведениях и распространение достижений одного предприятия на остальные.</w:t>
      </w:r>
    </w:p>
    <w:p w14:paraId="465E937E"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4. Техническое руководство предприятиями со стороны треста должно базироваться на себестоимости.</w:t>
      </w:r>
    </w:p>
    <w:p w14:paraId="354D31AD"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 Как общее правило, тресты должны строиться по принципам объединения ими предприятий однородного производства и их специализации.</w:t>
      </w:r>
    </w:p>
    <w:p w14:paraId="6D7778B6"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Параллельные тресты, охватывающие предприятия с одинаковым характером производства в пределах одного и того же экономического района, не должны организовываться.</w:t>
      </w:r>
    </w:p>
    <w:p w14:paraId="1B5EC72B"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 Необходимо максимально приблизить управления трестов территориально к объединяемым ими предприятиям.</w:t>
      </w:r>
    </w:p>
    <w:p w14:paraId="1E0B8993"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IV. ВЫСШИЙ СОВЕТ НАРОДНОГО ХОЗЯЙСТВА СОЮЗА</w:t>
      </w:r>
    </w:p>
    <w:p w14:paraId="3BA994C9"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ВСНХ, сокращая область своего оперативного вмешательства по отношению к низшим инстанциям, должен сосредоточить свое основное внимание на составлении производственно-финансовых планов развития промышленности и ее технической реконструкции, на увязке работ отдельных отраслей промышленности, на разработке главнейших директив в области текущего планирования и регулирования промышленности, на контроле по их выполнению, на укомплектовании и инструктировании хозорганов.</w:t>
      </w:r>
    </w:p>
    <w:p w14:paraId="73BDA853"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 Взаимоотношения ВСНХ Союза с республиканскими ВСНХ определяются установленным, ныне действующим положением.</w:t>
      </w:r>
    </w:p>
    <w:p w14:paraId="4DEF7907"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 этом должны быть усилены моменты технического руководства и технической помощи.</w:t>
      </w:r>
    </w:p>
    <w:p w14:paraId="7702EB90"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 Работа ВСНХ Союза по руководству объединениями в основном должна заключаться в выработке основных директив по составлению планов реконструкции данной отрасли промышленности, утверждении контрольных цифр и планов капитальных работ, назначении и увольнении правления объединения, утверждении балансов и отчетов, распределении прибылей и убытков, разрешении расходования специальных капиталов, ревизии и обследовании деятельности объединения, утверждении уставов и уставных капиталов, установлении отпускных цен.</w:t>
      </w:r>
    </w:p>
    <w:p w14:paraId="4613F457"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4. Усиление технических моментов как в перспективном, так и текущем планировании промышленности требует создания в ВСНХ Союза единого органа технико-экономического планирования.</w:t>
      </w:r>
    </w:p>
    <w:p w14:paraId="06917F5B"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 Единое плановое технико-экономическое управление ВСНХ осуществляет следующие основные функции:</w:t>
      </w:r>
    </w:p>
    <w:p w14:paraId="16CF800E"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а) планирование промышленности, разработка перспективных планов и контрольных цифр, планирование географического размещения предприятий и районирования промышленности, разработка вопросов промышленной политики и промышленного законодательства, согласование работы отдельных объединений;</w:t>
      </w:r>
    </w:p>
    <w:p w14:paraId="31706331"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б) руководство технической реконструкцией промышленности, разработка генеральных линий технического развития промышленности, организация новых производств, специализация и т. д.; общее руководство научно-исследовательской работой и управление научно-исследовательскими институтами, ему непосредственно подчиненными; руководство работой по перенесению </w:t>
      </w:r>
      <w:r w:rsidRPr="00441F34">
        <w:rPr>
          <w:rFonts w:ascii="Tahoma" w:hAnsi="Tahoma" w:cs="Tahoma"/>
          <w:color w:val="0070C0"/>
          <w:sz w:val="16"/>
          <w:szCs w:val="16"/>
        </w:rPr>
        <w:t>﻿</w:t>
      </w:r>
      <w:r w:rsidRPr="00441F34">
        <w:rPr>
          <w:rFonts w:ascii="Times New Roman" w:hAnsi="Times New Roman"/>
          <w:color w:val="0070C0"/>
          <w:sz w:val="16"/>
          <w:szCs w:val="16"/>
        </w:rPr>
        <w:t>заграничного опыта, по обмену опытом между предприятиями по стандартизации и рационализации.</w:t>
      </w:r>
    </w:p>
    <w:p w14:paraId="3F9A1AEE"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6. Основной задачей главной инспекции должна быть проверка выполнения всеми органами промышленности важнейших директив правительства и президиума ВСНХ.</w:t>
      </w:r>
    </w:p>
    <w:p w14:paraId="1607E4EB"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Главная инспекция должна широко практиковать использование республиканских и местных органов ВСНХ для инспектирования промышленности, а также привлечение рабочих масс и общественных организаций к обследованиям.</w:t>
      </w:r>
    </w:p>
    <w:p w14:paraId="47E5D7A6"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7. ВСНХ обязан руководить подготовкой, подбором, учетом и использованием кадров в промышленности. При этом должно быть обеспечено широкое участие профессиональных организаций в подборе руководящих кадров органов управления всех звеньев промышленности.</w:t>
      </w:r>
    </w:p>
    <w:p w14:paraId="578ED1B2"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 * * </w:t>
      </w:r>
    </w:p>
    <w:p w14:paraId="1D0F8411"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 проведении в жизнь реорганизации управления промышленностью профсоюзы и хозорганы должны обеспечить активное участие рабочих в разрешении всех важнейших вопросов руководства предприятием и соответствующими отраслями промышленности, в составлении и проработке производственных планов и заданий, а также в контроле за их выполнением.</w:t>
      </w:r>
    </w:p>
    <w:p w14:paraId="774A30F3"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Все профорганизации, начиная с фабзавкома и кончая ВЦСПС, должны принимать участие во всем процессе разработки контрольных цифр и </w:t>
      </w:r>
      <w:proofErr w:type="spellStart"/>
      <w:r w:rsidRPr="00441F34">
        <w:rPr>
          <w:rFonts w:ascii="Times New Roman" w:hAnsi="Times New Roman"/>
          <w:color w:val="0070C0"/>
          <w:sz w:val="16"/>
          <w:szCs w:val="16"/>
        </w:rPr>
        <w:t>промфинпланов</w:t>
      </w:r>
      <w:proofErr w:type="spellEnd"/>
      <w:r w:rsidRPr="00441F34">
        <w:rPr>
          <w:rFonts w:ascii="Times New Roman" w:hAnsi="Times New Roman"/>
          <w:color w:val="0070C0"/>
          <w:sz w:val="16"/>
          <w:szCs w:val="16"/>
        </w:rPr>
        <w:t>, в разверстке заданий по трестам, предприятиям и цехам. С этой целью профорганизации должны повседневно собирать, изучать и систематизировать предложения рабочих, ударных бригад, производственных совещаний и производственных комиссий, подготовляя на основе этих предложений свои поправки и дополнения к производственно-финансовым планам предприятий и хозорганов.</w:t>
      </w:r>
    </w:p>
    <w:p w14:paraId="7444E3FE"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Профессиональные союзы и </w:t>
      </w:r>
      <w:proofErr w:type="spellStart"/>
      <w:r w:rsidRPr="00441F34">
        <w:rPr>
          <w:rFonts w:ascii="Times New Roman" w:hAnsi="Times New Roman"/>
          <w:color w:val="0070C0"/>
          <w:sz w:val="16"/>
          <w:szCs w:val="16"/>
        </w:rPr>
        <w:t>хозорганизации</w:t>
      </w:r>
      <w:proofErr w:type="spellEnd"/>
      <w:r w:rsidRPr="00441F34">
        <w:rPr>
          <w:rFonts w:ascii="Times New Roman" w:hAnsi="Times New Roman"/>
          <w:color w:val="0070C0"/>
          <w:sz w:val="16"/>
          <w:szCs w:val="16"/>
        </w:rPr>
        <w:t xml:space="preserve"> должны организовать работу по планированию таким образом, чтобы было обеспечено предварительное обсуждение плановых предположений (контрольные цифры, </w:t>
      </w:r>
      <w:proofErr w:type="spellStart"/>
      <w:r w:rsidRPr="00441F34">
        <w:rPr>
          <w:rFonts w:ascii="Times New Roman" w:hAnsi="Times New Roman"/>
          <w:color w:val="0070C0"/>
          <w:sz w:val="16"/>
          <w:szCs w:val="16"/>
        </w:rPr>
        <w:t>промфинплан</w:t>
      </w:r>
      <w:proofErr w:type="spellEnd"/>
      <w:r w:rsidRPr="00441F34">
        <w:rPr>
          <w:rFonts w:ascii="Times New Roman" w:hAnsi="Times New Roman"/>
          <w:color w:val="0070C0"/>
          <w:sz w:val="16"/>
          <w:szCs w:val="16"/>
        </w:rPr>
        <w:t xml:space="preserve"> и т. д.) на широких собраниях рабочих масс: производственных совещаниях, конференциях, цеховых или групповых собраниях рабочих.</w:t>
      </w:r>
    </w:p>
    <w:p w14:paraId="11EB8216"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Особое внимание хозорганы и профорганизации должны уделить обслуживанию работы ударных бригад и созданию всех необходимых условий для развертывания социалистического соревнования.</w:t>
      </w:r>
    </w:p>
    <w:p w14:paraId="12EA2E62"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Хозорганы обязаны организовать постоянную деловую проработку опыта социалистического соревнования и ударных бригад, предложений отдельных рабочих, производственных совещаний, временных контрольных комиссий и т. д. с целью скорейшего продвижения и распространения на всю промышленность или на отдельные ее отрасли предложенных рабочими изобретений и усовершенствований (24167).</w:t>
      </w:r>
    </w:p>
    <w:p w14:paraId="3D021568" w14:textId="77777777" w:rsidR="001F0627" w:rsidRPr="00441F34" w:rsidRDefault="001F0627" w:rsidP="001F0627">
      <w:pPr>
        <w:spacing w:after="0" w:line="240" w:lineRule="auto"/>
        <w:jc w:val="both"/>
        <w:rPr>
          <w:rFonts w:ascii="Times New Roman" w:hAnsi="Times New Roman"/>
          <w:color w:val="0070C0"/>
          <w:sz w:val="16"/>
          <w:szCs w:val="16"/>
        </w:rPr>
      </w:pPr>
    </w:p>
    <w:p w14:paraId="13FC0C47" w14:textId="77777777" w:rsidR="001F0627" w:rsidRPr="00441F34" w:rsidRDefault="001F0627" w:rsidP="001F0627">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Все верно, но реальность была совсем иной и боролись за количество любой ценой</w:t>
      </w:r>
    </w:p>
    <w:p w14:paraId="476FBCEF" w14:textId="77777777" w:rsidR="001F0627" w:rsidRPr="00441F34" w:rsidRDefault="001F0627" w:rsidP="001F0627">
      <w:pPr>
        <w:spacing w:after="0" w:line="240" w:lineRule="auto"/>
        <w:jc w:val="both"/>
        <w:rPr>
          <w:rFonts w:ascii="Times New Roman" w:hAnsi="Times New Roman"/>
          <w:color w:val="0070C0"/>
          <w:sz w:val="16"/>
          <w:szCs w:val="16"/>
        </w:rPr>
      </w:pPr>
    </w:p>
    <w:p w14:paraId="566509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декабря 1929 г. вышло постановление Политбюро ЦК ВКП(б) “О ВЫПОЛНЕНИИ ТАНКО-СТРОИТЕЛЬНОЙ ПРОГРАММЫ”. В нем говорилось:</w:t>
      </w:r>
    </w:p>
    <w:p w14:paraId="7D29FB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 К настоящему времени на вооружении РККА имеется только тип танка Т-18 (скорость 12 км/час, вооружение 37-мм. пушка и 2 пулемета, защищен 18 мм. броней), производство которого установлено на заводе “Большевик”,</w:t>
      </w:r>
    </w:p>
    <w:p w14:paraId="4EB140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Т-18 не отвечает современным требованиям к данному типу танков,</w:t>
      </w:r>
    </w:p>
    <w:p w14:paraId="0111E2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Кроме Т-18 других конструкций не имеется,</w:t>
      </w:r>
    </w:p>
    <w:p w14:paraId="261C09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Пятилетняя программа тракторостроения и моторостроения не увязана с танкостроением и удовлетворением потребностей армии в танках и мощных тракторах. Не проработано обеспечение танкостроения броней и моторами, нет достаточных конструкторских сил...” (5745, 37).</w:t>
      </w:r>
    </w:p>
    <w:p w14:paraId="1CAF63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спасения ситуации с отечественным танкостроением в этом постановлении предлагались следующие меры:</w:t>
      </w:r>
    </w:p>
    <w:p w14:paraId="0F89B6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5. Обеспечение выполнения установленной Политбюро программы (15.07.1929 г.) танкостроения требует:</w:t>
      </w:r>
    </w:p>
    <w:p w14:paraId="313C71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форсированного решения всех вопросов, связанных с производством танков и тракторов (броня, мотор, </w:t>
      </w:r>
      <w:proofErr w:type="spellStart"/>
      <w:r w:rsidRPr="00A259BD">
        <w:rPr>
          <w:rFonts w:ascii="Times New Roman" w:hAnsi="Times New Roman"/>
          <w:color w:val="000000" w:themeColor="text1"/>
          <w:sz w:val="16"/>
          <w:szCs w:val="16"/>
        </w:rPr>
        <w:t>стсь</w:t>
      </w:r>
      <w:proofErr w:type="spellEnd"/>
      <w:r w:rsidRPr="00A259BD">
        <w:rPr>
          <w:rFonts w:ascii="Times New Roman" w:hAnsi="Times New Roman"/>
          <w:color w:val="000000" w:themeColor="text1"/>
          <w:sz w:val="16"/>
          <w:szCs w:val="16"/>
        </w:rPr>
        <w:t>\ь и т.д.),</w:t>
      </w:r>
    </w:p>
    <w:p w14:paraId="76D5E0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скорейшее получение отвечающих современным требованиям типов и образцов танков. 6....Командировать заграницу авторитетную комиссию из представителей ВСНХ и Наркомвоенмора и возложить задачу:</w:t>
      </w:r>
    </w:p>
    <w:p w14:paraId="0608E9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выбор и закупку типов и образцов танков,</w:t>
      </w:r>
    </w:p>
    <w:p w14:paraId="1EE657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выяснения возможностей получения техпомощи и конструкторов.</w:t>
      </w:r>
    </w:p>
    <w:p w14:paraId="05B9FE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Закончить работу не позже 1.04.1930 г (5745, 37).</w:t>
      </w:r>
    </w:p>
    <w:p w14:paraId="4B68A1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Программа танкостроения должна быть выполнена к концу 1932/33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xml:space="preserve"> (5745, 37).</w:t>
      </w:r>
    </w:p>
    <w:p w14:paraId="07F834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Программа танкостроения 1929/30 гг. в размере 300 танков Т-18, 30 танков Т-12 и 10 танкеток должна быть выполнена к октябрю 1930 г.” (5745, 37).</w:t>
      </w:r>
    </w:p>
    <w:p w14:paraId="5812B4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E181943"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декабря 1929 состоялось заседание ПБ (Протокол № 108. Особый № 106)</w:t>
      </w:r>
    </w:p>
    <w:p w14:paraId="3D8DE4F3"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О танкостроении</w:t>
      </w:r>
    </w:p>
    <w:p w14:paraId="07950E4E"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(ПБ от 25.Х1.29 г., пр. № 107, п. 25)</w:t>
      </w:r>
    </w:p>
    <w:p w14:paraId="7C527982"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Орджоникидзе, Ворошилов, Куйбышев, </w:t>
      </w:r>
      <w:proofErr w:type="spellStart"/>
      <w:r w:rsidRPr="00A259BD">
        <w:rPr>
          <w:rFonts w:ascii="Times New Roman" w:hAnsi="Times New Roman"/>
          <w:color w:val="000000" w:themeColor="text1"/>
          <w:sz w:val="16"/>
          <w:szCs w:val="16"/>
        </w:rPr>
        <w:t>Павлуновский</w:t>
      </w:r>
      <w:proofErr w:type="spellEnd"/>
      <w:r w:rsidRPr="00A259BD">
        <w:rPr>
          <w:rFonts w:ascii="Times New Roman" w:hAnsi="Times New Roman"/>
          <w:color w:val="000000" w:themeColor="text1"/>
          <w:sz w:val="16"/>
          <w:szCs w:val="16"/>
        </w:rPr>
        <w:t xml:space="preserve">, Урываев,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w:t>
      </w:r>
    </w:p>
    <w:p w14:paraId="030C72C1"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Принять предложенный комиссией проект постановления о танкостроении (см. приложение № 1).</w:t>
      </w:r>
    </w:p>
    <w:p w14:paraId="0F9B19C7"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Приложение № 1 к п. 11, пр. ПБ № 108.</w:t>
      </w:r>
    </w:p>
    <w:p w14:paraId="4C389B98"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 ВЫПОЛПЕННИ ТАНКО-ТРАКТОРНОЙ ПРОГРАММЫ.</w:t>
      </w:r>
    </w:p>
    <w:p w14:paraId="32B5FED2"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(Принято Политбюро ЦК ВКП(б) от 5.ХП.29 г.).</w:t>
      </w:r>
    </w:p>
    <w:p w14:paraId="0AFD87A6"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Констатировать, что к настоящему времени на вооружении РККА имеется только лишь тип малого танка Т-18 (скорость его 12 ки</w:t>
      </w:r>
      <w:r w:rsidRPr="00A259BD">
        <w:rPr>
          <w:rFonts w:ascii="Times New Roman" w:hAnsi="Times New Roman"/>
          <w:color w:val="000000" w:themeColor="text1"/>
          <w:sz w:val="16"/>
          <w:szCs w:val="16"/>
        </w:rPr>
        <w:softHyphen/>
        <w:t>лометров, вооружен 37 мил. пушкой и двумя пулеметами и защищен 16 мил. броней), производство которого установлено на заводе "Большевик".</w:t>
      </w:r>
    </w:p>
    <w:p w14:paraId="3B49981D"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Танк T-18 является недостаточно отвечающим современным требованиям к данному типу танков и производство его в оконча</w:t>
      </w:r>
      <w:r w:rsidRPr="00A259BD">
        <w:rPr>
          <w:rFonts w:ascii="Times New Roman" w:hAnsi="Times New Roman"/>
          <w:color w:val="000000" w:themeColor="text1"/>
          <w:sz w:val="16"/>
          <w:szCs w:val="16"/>
        </w:rPr>
        <w:softHyphen/>
        <w:t>тельном виде до сих пор не установлено.</w:t>
      </w:r>
    </w:p>
    <w:p w14:paraId="115D5BD7"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Кроме танка Т-18 типов и конструкций танков среднего, большого и танкетки не имеется.</w:t>
      </w:r>
    </w:p>
    <w:p w14:paraId="45990FA3"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Пятилетняя программа тракторостроения и моторостроения не увязаны с танкостроением и удовлетворением потребностей армии в мощных тракторах. Не проработано обеспечение танкостроения бро</w:t>
      </w:r>
      <w:r w:rsidRPr="00A259BD">
        <w:rPr>
          <w:rFonts w:ascii="Times New Roman" w:hAnsi="Times New Roman"/>
          <w:color w:val="000000" w:themeColor="text1"/>
          <w:sz w:val="16"/>
          <w:szCs w:val="16"/>
        </w:rPr>
        <w:softHyphen/>
        <w:t>ней и моторами, нет достаточных конструкторских сил, обеспечиваю</w:t>
      </w:r>
      <w:r w:rsidRPr="00A259BD">
        <w:rPr>
          <w:rFonts w:ascii="Times New Roman" w:hAnsi="Times New Roman"/>
          <w:color w:val="000000" w:themeColor="text1"/>
          <w:sz w:val="16"/>
          <w:szCs w:val="16"/>
        </w:rPr>
        <w:softHyphen/>
        <w:t>щих выполнение плана танкостроения и нет примерного развития за</w:t>
      </w:r>
      <w:r w:rsidRPr="00A259BD">
        <w:rPr>
          <w:rFonts w:ascii="Times New Roman" w:hAnsi="Times New Roman"/>
          <w:color w:val="000000" w:themeColor="text1"/>
          <w:sz w:val="16"/>
          <w:szCs w:val="16"/>
        </w:rPr>
        <w:softHyphen/>
        <w:t>водов по годам для выполнения программы ПВ от 15 июля 1923 г.</w:t>
      </w:r>
    </w:p>
    <w:p w14:paraId="1BF9B376"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Обеспечение выполнения установленной ПВ программы танко</w:t>
      </w:r>
      <w:r w:rsidRPr="00A259BD">
        <w:rPr>
          <w:rFonts w:ascii="Times New Roman" w:hAnsi="Times New Roman"/>
          <w:color w:val="000000" w:themeColor="text1"/>
          <w:sz w:val="16"/>
          <w:szCs w:val="16"/>
        </w:rPr>
        <w:softHyphen/>
        <w:t>строения требует:</w:t>
      </w:r>
    </w:p>
    <w:p w14:paraId="55668823"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форсированного разрешения всех вопросов, связанных с про</w:t>
      </w:r>
      <w:r w:rsidRPr="00A259BD">
        <w:rPr>
          <w:rFonts w:ascii="Times New Roman" w:hAnsi="Times New Roman"/>
          <w:color w:val="000000" w:themeColor="text1"/>
          <w:sz w:val="16"/>
          <w:szCs w:val="16"/>
        </w:rPr>
        <w:softHyphen/>
        <w:t>изводством танков и тракторов (броня, мотор, сталь и т.п.);</w:t>
      </w:r>
    </w:p>
    <w:p w14:paraId="5981917D"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скорейшее получение, отвечающих современным требованиям типов и образцов танков.</w:t>
      </w:r>
    </w:p>
    <w:p w14:paraId="5AB73C07"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Ввиду слабости наших конструкторских сил по танкам, а также отсутствия типов и конструкций танков, отвечающим современ</w:t>
      </w:r>
      <w:r w:rsidRPr="00A259BD">
        <w:rPr>
          <w:rFonts w:ascii="Times New Roman" w:hAnsi="Times New Roman"/>
          <w:color w:val="000000" w:themeColor="text1"/>
          <w:sz w:val="16"/>
          <w:szCs w:val="16"/>
        </w:rPr>
        <w:softHyphen/>
        <w:t xml:space="preserve">ным требованиям войны - командировать не позже 20 декабря 1929г. заграницу авторитетную комиссию из представителей ВСНХ и </w:t>
      </w:r>
      <w:proofErr w:type="spellStart"/>
      <w:r w:rsidRPr="00A259BD">
        <w:rPr>
          <w:rFonts w:ascii="Times New Roman" w:hAnsi="Times New Roman"/>
          <w:color w:val="000000" w:themeColor="text1"/>
          <w:sz w:val="16"/>
          <w:szCs w:val="16"/>
        </w:rPr>
        <w:t>НКВоенмора</w:t>
      </w:r>
      <w:proofErr w:type="spellEnd"/>
    </w:p>
    <w:p w14:paraId="4286CDA8"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комиссию возложить задачи:</w:t>
      </w:r>
    </w:p>
    <w:p w14:paraId="488C7C33"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Выбор и закупку типов и образцов танков в особенности образцов среднего и большого танков:</w:t>
      </w:r>
    </w:p>
    <w:p w14:paraId="50858605"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выяснение возможностей получения технической помощи и конструкторов.</w:t>
      </w:r>
    </w:p>
    <w:p w14:paraId="2D735153"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Комиссии закончить работу не позже 1 апреля 1930 г.</w:t>
      </w:r>
    </w:p>
    <w:p w14:paraId="3C039905"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Программа танкостроения, определенная постановлением По- от 15 июля 1929 г., должна быть выполнена к концу 1932/33 г.</w:t>
      </w:r>
    </w:p>
    <w:p w14:paraId="711233AC"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Программа танкостроения 1929/30 г. в размере 300 танков </w:t>
      </w:r>
      <w:proofErr w:type="spellStart"/>
      <w:r w:rsidRPr="00A259BD">
        <w:rPr>
          <w:rFonts w:ascii="Times New Roman" w:hAnsi="Times New Roman"/>
          <w:color w:val="000000" w:themeColor="text1"/>
          <w:sz w:val="16"/>
          <w:szCs w:val="16"/>
        </w:rPr>
        <w:t>танков</w:t>
      </w:r>
      <w:proofErr w:type="spellEnd"/>
      <w:r w:rsidRPr="00A259BD">
        <w:rPr>
          <w:rFonts w:ascii="Times New Roman" w:hAnsi="Times New Roman"/>
          <w:color w:val="000000" w:themeColor="text1"/>
          <w:sz w:val="16"/>
          <w:szCs w:val="16"/>
        </w:rPr>
        <w:t xml:space="preserve"> Т-18, 30 танков Т-12 и 10 танкеток, должна быть выполнена к октябрю 1930 года.</w:t>
      </w:r>
    </w:p>
    <w:p w14:paraId="62554C09"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Продлить работу комиссии Политбюро до 3 января 1930 г.</w:t>
      </w:r>
    </w:p>
    <w:p w14:paraId="7D52ED87"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этот срок комиссии проработать и представить на утверждение Политбюро мероприятия, обеспечивающие выполнение программы как текущего года, так и на четырехлетие.</w:t>
      </w:r>
    </w:p>
    <w:p w14:paraId="716F4256"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Выписки посланы: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Ворошилову, Куйбышеву, Орджоникидзе</w:t>
      </w:r>
    </w:p>
    <w:p w14:paraId="5450C577"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О договоре о технической помощи c _французской </w:t>
      </w:r>
      <w:proofErr w:type="spellStart"/>
      <w:r w:rsidRPr="00A259BD">
        <w:rPr>
          <w:rFonts w:ascii="Times New Roman" w:hAnsi="Times New Roman"/>
          <w:color w:val="000000" w:themeColor="text1"/>
          <w:sz w:val="16"/>
          <w:szCs w:val="16"/>
        </w:rPr>
        <w:t>аллюминиевой</w:t>
      </w:r>
      <w:proofErr w:type="spellEnd"/>
      <w:r w:rsidRPr="00A259BD">
        <w:rPr>
          <w:rFonts w:ascii="Times New Roman" w:hAnsi="Times New Roman"/>
          <w:color w:val="000000" w:themeColor="text1"/>
          <w:sz w:val="16"/>
          <w:szCs w:val="16"/>
        </w:rPr>
        <w:t xml:space="preserve"> компанией.</w:t>
      </w:r>
    </w:p>
    <w:p w14:paraId="39B4598C"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(ПБ от 25.XI.29 г., пр. № 107, п.13).</w:t>
      </w:r>
    </w:p>
    <w:p w14:paraId="56DC183D"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 </w:t>
      </w:r>
      <w:proofErr w:type="spellStart"/>
      <w:r w:rsidRPr="00A259BD">
        <w:rPr>
          <w:rFonts w:ascii="Times New Roman" w:hAnsi="Times New Roman"/>
          <w:color w:val="000000" w:themeColor="text1"/>
          <w:sz w:val="16"/>
          <w:szCs w:val="16"/>
        </w:rPr>
        <w:t>Розенгольц</w:t>
      </w:r>
      <w:proofErr w:type="spellEnd"/>
      <w:r w:rsidRPr="00A259BD">
        <w:rPr>
          <w:rFonts w:ascii="Times New Roman" w:hAnsi="Times New Roman"/>
          <w:color w:val="000000" w:themeColor="text1"/>
          <w:sz w:val="16"/>
          <w:szCs w:val="16"/>
        </w:rPr>
        <w:t>).</w:t>
      </w:r>
    </w:p>
    <w:p w14:paraId="549AC7D5"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Принять следующие предложения комиссии:</w:t>
      </w:r>
    </w:p>
    <w:p w14:paraId="50F110E4"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Предложить ВСНХ СССР не позже чем в 3-х месячный срок закончить полузаводские опыты получения окиси </w:t>
      </w:r>
      <w:proofErr w:type="spellStart"/>
      <w:r w:rsidRPr="00A259BD">
        <w:rPr>
          <w:rFonts w:ascii="Times New Roman" w:hAnsi="Times New Roman"/>
          <w:color w:val="000000" w:themeColor="text1"/>
          <w:sz w:val="16"/>
          <w:szCs w:val="16"/>
        </w:rPr>
        <w:t>аллюминия</w:t>
      </w:r>
      <w:proofErr w:type="spellEnd"/>
      <w:r w:rsidRPr="00A259BD">
        <w:rPr>
          <w:rFonts w:ascii="Times New Roman" w:hAnsi="Times New Roman"/>
          <w:color w:val="000000" w:themeColor="text1"/>
          <w:sz w:val="16"/>
          <w:szCs w:val="16"/>
        </w:rPr>
        <w:t>, обеспечив вполне беспристрастное наблюдение как за самими опытами, так и за составлением калькуляционных выводов.</w:t>
      </w:r>
    </w:p>
    <w:p w14:paraId="4B21E4DA"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Независимо от ведения переговоров по привлечению технической помощи с производственными фирмами, в сроч</w:t>
      </w:r>
      <w:r w:rsidRPr="00A259BD">
        <w:rPr>
          <w:rFonts w:ascii="Times New Roman" w:hAnsi="Times New Roman"/>
          <w:color w:val="000000" w:themeColor="text1"/>
          <w:sz w:val="16"/>
          <w:szCs w:val="16"/>
        </w:rPr>
        <w:softHyphen/>
        <w:t xml:space="preserve">ном порядке пригласить крупных иностранных специалистов по организации </w:t>
      </w:r>
      <w:proofErr w:type="spellStart"/>
      <w:r w:rsidRPr="00A259BD">
        <w:rPr>
          <w:rFonts w:ascii="Times New Roman" w:hAnsi="Times New Roman"/>
          <w:color w:val="000000" w:themeColor="text1"/>
          <w:sz w:val="16"/>
          <w:szCs w:val="16"/>
        </w:rPr>
        <w:t>аллюминиевого</w:t>
      </w:r>
      <w:proofErr w:type="spellEnd"/>
      <w:r w:rsidRPr="00A259BD">
        <w:rPr>
          <w:rFonts w:ascii="Times New Roman" w:hAnsi="Times New Roman"/>
          <w:color w:val="000000" w:themeColor="text1"/>
          <w:sz w:val="16"/>
          <w:szCs w:val="16"/>
        </w:rPr>
        <w:t xml:space="preserve"> производства. Об исполнении доложить ПБ через месяц.</w:t>
      </w:r>
    </w:p>
    <w:p w14:paraId="6E5559DB"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w:t>
      </w:r>
      <w:proofErr w:type="spellStart"/>
      <w:r w:rsidRPr="00A259BD">
        <w:rPr>
          <w:rFonts w:ascii="Times New Roman" w:hAnsi="Times New Roman"/>
          <w:color w:val="000000" w:themeColor="text1"/>
          <w:sz w:val="16"/>
          <w:szCs w:val="16"/>
        </w:rPr>
        <w:t>Рбязать</w:t>
      </w:r>
      <w:proofErr w:type="spellEnd"/>
      <w:r w:rsidRPr="00A259BD">
        <w:rPr>
          <w:rFonts w:ascii="Times New Roman" w:hAnsi="Times New Roman"/>
          <w:color w:val="000000" w:themeColor="text1"/>
          <w:sz w:val="16"/>
          <w:szCs w:val="16"/>
        </w:rPr>
        <w:t xml:space="preserve"> ВСНХ СССР срочно начать переговоры с амери</w:t>
      </w:r>
      <w:r w:rsidRPr="00A259BD">
        <w:rPr>
          <w:rFonts w:ascii="Times New Roman" w:hAnsi="Times New Roman"/>
          <w:color w:val="000000" w:themeColor="text1"/>
          <w:sz w:val="16"/>
          <w:szCs w:val="16"/>
        </w:rPr>
        <w:softHyphen/>
        <w:t xml:space="preserve">канской </w:t>
      </w:r>
      <w:proofErr w:type="spellStart"/>
      <w:r w:rsidRPr="00A259BD">
        <w:rPr>
          <w:rFonts w:ascii="Times New Roman" w:hAnsi="Times New Roman"/>
          <w:color w:val="000000" w:themeColor="text1"/>
          <w:sz w:val="16"/>
          <w:szCs w:val="16"/>
        </w:rPr>
        <w:t>аллюминиевой</w:t>
      </w:r>
      <w:proofErr w:type="spellEnd"/>
      <w:r w:rsidRPr="00A259BD">
        <w:rPr>
          <w:rFonts w:ascii="Times New Roman" w:hAnsi="Times New Roman"/>
          <w:color w:val="000000" w:themeColor="text1"/>
          <w:sz w:val="16"/>
          <w:szCs w:val="16"/>
        </w:rPr>
        <w:t xml:space="preserve"> компанией по вопросу о привлечении ее для оказания нам технической помощи.</w:t>
      </w:r>
    </w:p>
    <w:p w14:paraId="5B651E84"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этой целью поручить ВСНХ СССР в трехдневный срок командировать в Америку ответственного представителя.</w:t>
      </w:r>
    </w:p>
    <w:p w14:paraId="5150A6D0"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Одновременно использовать эти переговоры для давле</w:t>
      </w:r>
      <w:r w:rsidRPr="00A259BD">
        <w:rPr>
          <w:rFonts w:ascii="Times New Roman" w:hAnsi="Times New Roman"/>
          <w:color w:val="000000" w:themeColor="text1"/>
          <w:sz w:val="16"/>
          <w:szCs w:val="16"/>
        </w:rPr>
        <w:softHyphen/>
        <w:t xml:space="preserve">ния на французскую </w:t>
      </w:r>
      <w:proofErr w:type="spellStart"/>
      <w:r w:rsidRPr="00A259BD">
        <w:rPr>
          <w:rFonts w:ascii="Times New Roman" w:hAnsi="Times New Roman"/>
          <w:color w:val="000000" w:themeColor="text1"/>
          <w:sz w:val="16"/>
          <w:szCs w:val="16"/>
        </w:rPr>
        <w:t>аллюминиевую</w:t>
      </w:r>
      <w:proofErr w:type="spellEnd"/>
      <w:r w:rsidRPr="00A259BD">
        <w:rPr>
          <w:rFonts w:ascii="Times New Roman" w:hAnsi="Times New Roman"/>
          <w:color w:val="000000" w:themeColor="text1"/>
          <w:sz w:val="16"/>
          <w:szCs w:val="16"/>
        </w:rPr>
        <w:t xml:space="preserve"> компанию.</w:t>
      </w:r>
    </w:p>
    <w:p w14:paraId="1E1C52E1"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г) Поручить ВСНХ СССР сообщить французской </w:t>
      </w:r>
      <w:proofErr w:type="spellStart"/>
      <w:r w:rsidRPr="00A259BD">
        <w:rPr>
          <w:rFonts w:ascii="Times New Roman" w:hAnsi="Times New Roman"/>
          <w:color w:val="000000" w:themeColor="text1"/>
          <w:sz w:val="16"/>
          <w:szCs w:val="16"/>
        </w:rPr>
        <w:t>аллюминие</w:t>
      </w:r>
      <w:r w:rsidRPr="00A259BD">
        <w:rPr>
          <w:rFonts w:ascii="Times New Roman" w:hAnsi="Times New Roman"/>
          <w:color w:val="000000" w:themeColor="text1"/>
          <w:sz w:val="16"/>
          <w:szCs w:val="16"/>
        </w:rPr>
        <w:softHyphen/>
        <w:t>вой</w:t>
      </w:r>
      <w:proofErr w:type="spellEnd"/>
      <w:r w:rsidRPr="00A259BD">
        <w:rPr>
          <w:rFonts w:ascii="Times New Roman" w:hAnsi="Times New Roman"/>
          <w:color w:val="000000" w:themeColor="text1"/>
          <w:sz w:val="16"/>
          <w:szCs w:val="16"/>
        </w:rPr>
        <w:t xml:space="preserve"> компании, что внесенный ею проект договора является неприемлемым и не может явиться базой для переговоров по следующим причинам:</w:t>
      </w:r>
    </w:p>
    <w:p w14:paraId="3FA448FF"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Неприемлемость обязательств по закупке 50 % импорт</w:t>
      </w:r>
      <w:r w:rsidRPr="00A259BD">
        <w:rPr>
          <w:rFonts w:ascii="Times New Roman" w:hAnsi="Times New Roman"/>
          <w:color w:val="000000" w:themeColor="text1"/>
          <w:sz w:val="16"/>
          <w:szCs w:val="16"/>
        </w:rPr>
        <w:softHyphen/>
        <w:t xml:space="preserve">ного контингента </w:t>
      </w:r>
      <w:proofErr w:type="spellStart"/>
      <w:r w:rsidRPr="00A259BD">
        <w:rPr>
          <w:rFonts w:ascii="Times New Roman" w:hAnsi="Times New Roman"/>
          <w:color w:val="000000" w:themeColor="text1"/>
          <w:sz w:val="16"/>
          <w:szCs w:val="16"/>
        </w:rPr>
        <w:t>аллюминия</w:t>
      </w:r>
      <w:proofErr w:type="spellEnd"/>
      <w:r w:rsidRPr="00A259BD">
        <w:rPr>
          <w:rFonts w:ascii="Times New Roman" w:hAnsi="Times New Roman"/>
          <w:color w:val="000000" w:themeColor="text1"/>
          <w:sz w:val="16"/>
          <w:szCs w:val="16"/>
        </w:rPr>
        <w:t>.</w:t>
      </w:r>
    </w:p>
    <w:p w14:paraId="1C912E83"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Неприемлемость условий расчета.</w:t>
      </w:r>
    </w:p>
    <w:p w14:paraId="08B22332"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 </w:t>
      </w:r>
      <w:proofErr w:type="spellStart"/>
      <w:r w:rsidRPr="00A259BD">
        <w:rPr>
          <w:rFonts w:ascii="Times New Roman" w:hAnsi="Times New Roman"/>
          <w:color w:val="000000" w:themeColor="text1"/>
          <w:sz w:val="16"/>
          <w:szCs w:val="16"/>
        </w:rPr>
        <w:t>Неприемленость</w:t>
      </w:r>
      <w:proofErr w:type="spellEnd"/>
      <w:r w:rsidRPr="00A259BD">
        <w:rPr>
          <w:rFonts w:ascii="Times New Roman" w:hAnsi="Times New Roman"/>
          <w:color w:val="000000" w:themeColor="text1"/>
          <w:sz w:val="16"/>
          <w:szCs w:val="16"/>
        </w:rPr>
        <w:t xml:space="preserve"> стоимости технического содействия.</w:t>
      </w:r>
    </w:p>
    <w:p w14:paraId="34FCF335"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касаясь ряда второстепенных предложений выдвинуть следующую схему по основным вопросам:</w:t>
      </w:r>
    </w:p>
    <w:p w14:paraId="670AFB03"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За техническое содействие мы уплачиваем 2.000.000 руб., из которых 10 % - после сдачи нам архива фирмы, 30 % - после выполнения окончательного проекта, 30 % - после пуска завода в ход и 30 % - через год после пуска завода в ход.</w:t>
      </w:r>
    </w:p>
    <w:p w14:paraId="2B4C9C39"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В наших закупках </w:t>
      </w:r>
      <w:proofErr w:type="spellStart"/>
      <w:r w:rsidRPr="00A259BD">
        <w:rPr>
          <w:rFonts w:ascii="Times New Roman" w:hAnsi="Times New Roman"/>
          <w:color w:val="000000" w:themeColor="text1"/>
          <w:sz w:val="16"/>
          <w:szCs w:val="16"/>
        </w:rPr>
        <w:t>аллюминия</w:t>
      </w:r>
      <w:proofErr w:type="spellEnd"/>
      <w:r w:rsidRPr="00A259BD">
        <w:rPr>
          <w:rFonts w:ascii="Times New Roman" w:hAnsi="Times New Roman"/>
          <w:color w:val="000000" w:themeColor="text1"/>
          <w:sz w:val="16"/>
          <w:szCs w:val="16"/>
        </w:rPr>
        <w:t xml:space="preserve"> заграницей мы сохраня</w:t>
      </w:r>
      <w:r w:rsidRPr="00A259BD">
        <w:rPr>
          <w:rFonts w:ascii="Times New Roman" w:hAnsi="Times New Roman"/>
          <w:color w:val="000000" w:themeColor="text1"/>
          <w:sz w:val="16"/>
          <w:szCs w:val="16"/>
        </w:rPr>
        <w:softHyphen/>
        <w:t>ем полную свободу действий.</w:t>
      </w:r>
    </w:p>
    <w:p w14:paraId="35121365"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послана: тов. Куйбышеву.</w:t>
      </w:r>
    </w:p>
    <w:p w14:paraId="117ED79F"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декабря 1929 опросом членов ПБ</w:t>
      </w:r>
    </w:p>
    <w:p w14:paraId="4A229EA4"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73.- О грузовых автомобилях.</w:t>
      </w:r>
    </w:p>
    <w:p w14:paraId="2D2CD60B"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 Рудзутак).</w:t>
      </w:r>
    </w:p>
    <w:p w14:paraId="2C1C1D05"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3акупку 5.000 автомобилей произвести при условии получения кредита не меньше, чем на 12 месяцев с момента поставки автомобилей.</w:t>
      </w:r>
    </w:p>
    <w:p w14:paraId="4D92050F"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Первое предложение сделать Форду, указав, что эти 5.000 машин забираются сверх количеств, обязательных к закупке по договору о техпомощи </w:t>
      </w:r>
      <w:proofErr w:type="spellStart"/>
      <w:r w:rsidRPr="00A259BD">
        <w:rPr>
          <w:rFonts w:ascii="Times New Roman" w:hAnsi="Times New Roman"/>
          <w:color w:val="000000" w:themeColor="text1"/>
          <w:sz w:val="16"/>
          <w:szCs w:val="16"/>
        </w:rPr>
        <w:t>Автострою</w:t>
      </w:r>
      <w:proofErr w:type="spellEnd"/>
      <w:r w:rsidRPr="00A259BD">
        <w:rPr>
          <w:rFonts w:ascii="Times New Roman" w:hAnsi="Times New Roman"/>
          <w:color w:val="000000" w:themeColor="text1"/>
          <w:sz w:val="16"/>
          <w:szCs w:val="16"/>
        </w:rPr>
        <w:t>. В случае не</w:t>
      </w:r>
      <w:r w:rsidRPr="00A259BD">
        <w:rPr>
          <w:rFonts w:ascii="Times New Roman" w:hAnsi="Times New Roman"/>
          <w:color w:val="000000" w:themeColor="text1"/>
          <w:sz w:val="16"/>
          <w:szCs w:val="16"/>
        </w:rPr>
        <w:softHyphen/>
        <w:t xml:space="preserve">принятия Фордом этих условий, разместить заказ у </w:t>
      </w:r>
      <w:proofErr w:type="spellStart"/>
      <w:r w:rsidRPr="00A259BD">
        <w:rPr>
          <w:rFonts w:ascii="Times New Roman" w:hAnsi="Times New Roman"/>
          <w:color w:val="000000" w:themeColor="text1"/>
          <w:sz w:val="16"/>
          <w:szCs w:val="16"/>
        </w:rPr>
        <w:t>Дженераль</w:t>
      </w:r>
      <w:proofErr w:type="spellEnd"/>
      <w:r w:rsidRPr="00A259BD">
        <w:rPr>
          <w:rFonts w:ascii="Times New Roman" w:hAnsi="Times New Roman"/>
          <w:color w:val="000000" w:themeColor="text1"/>
          <w:sz w:val="16"/>
          <w:szCs w:val="16"/>
        </w:rPr>
        <w:t xml:space="preserve"> Моторс на условиях кредита 12-18 месяцев с момента поставки.</w:t>
      </w:r>
    </w:p>
    <w:p w14:paraId="75D8EBC9"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Разрешить произвести дополнительный расход валюты в размере 900.000 рублей на доставку автомобилей в СССР.</w:t>
      </w:r>
    </w:p>
    <w:p w14:paraId="1DDA67F8"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В случае невозможности получения кредита в Амери</w:t>
      </w:r>
      <w:r w:rsidRPr="00A259BD">
        <w:rPr>
          <w:rFonts w:ascii="Times New Roman" w:hAnsi="Times New Roman"/>
          <w:color w:val="000000" w:themeColor="text1"/>
          <w:sz w:val="16"/>
          <w:szCs w:val="16"/>
        </w:rPr>
        <w:softHyphen/>
        <w:t xml:space="preserve">ке, </w:t>
      </w:r>
      <w:proofErr w:type="spellStart"/>
      <w:r w:rsidRPr="00A259BD">
        <w:rPr>
          <w:rFonts w:ascii="Times New Roman" w:hAnsi="Times New Roman"/>
          <w:color w:val="000000" w:themeColor="text1"/>
          <w:sz w:val="16"/>
          <w:szCs w:val="16"/>
        </w:rPr>
        <w:t>Союзнаркомторгу</w:t>
      </w:r>
      <w:proofErr w:type="spellEnd"/>
      <w:r w:rsidRPr="00A259BD">
        <w:rPr>
          <w:rFonts w:ascii="Times New Roman" w:hAnsi="Times New Roman"/>
          <w:color w:val="000000" w:themeColor="text1"/>
          <w:sz w:val="16"/>
          <w:szCs w:val="16"/>
        </w:rPr>
        <w:t xml:space="preserve"> выяснить возможность закупки грузо</w:t>
      </w:r>
      <w:r w:rsidRPr="00A259BD">
        <w:rPr>
          <w:rFonts w:ascii="Times New Roman" w:hAnsi="Times New Roman"/>
          <w:color w:val="000000" w:themeColor="text1"/>
          <w:sz w:val="16"/>
          <w:szCs w:val="16"/>
        </w:rPr>
        <w:softHyphen/>
        <w:t>вых машин в Европе на условиях более длительного кредита.</w:t>
      </w:r>
    </w:p>
    <w:p w14:paraId="5ED368F0" w14:textId="77777777" w:rsidR="002F2046" w:rsidRPr="00A259BD" w:rsidRDefault="002F204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Выписки посланы: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Рудзутаку, Микояну (23089).</w:t>
      </w:r>
    </w:p>
    <w:p w14:paraId="6F6DA2D7" w14:textId="77777777" w:rsidR="002F2046" w:rsidRPr="00A259BD" w:rsidRDefault="002F2046" w:rsidP="009236E3">
      <w:pPr>
        <w:spacing w:after="0" w:line="240" w:lineRule="auto"/>
        <w:jc w:val="both"/>
        <w:rPr>
          <w:rFonts w:ascii="Times New Roman" w:hAnsi="Times New Roman"/>
          <w:color w:val="000000" w:themeColor="text1"/>
          <w:sz w:val="16"/>
          <w:szCs w:val="16"/>
        </w:rPr>
      </w:pPr>
    </w:p>
    <w:p w14:paraId="60ADD9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декабря 1929 Политбюро ЦК ВКП(б) приняло постановление "О выполнении танкостроительной программы", в котором потребовало увязать пятилетнюю программу тракторостроения с танко-строением по вопросам обеспечения броней и моторами. Важная роль в танкостроении отводилась Челябинскому тракторному заводу (ЧТЗ), решение о строительстве которого Совнарком СССР принял 29 мая 1929-го (11556).</w:t>
      </w:r>
    </w:p>
    <w:p w14:paraId="087E38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D42C7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декабря 1929 г. комиссия под председательством </w:t>
      </w:r>
      <w:proofErr w:type="spellStart"/>
      <w:r w:rsidRPr="00A259BD">
        <w:rPr>
          <w:rFonts w:ascii="Times New Roman" w:hAnsi="Times New Roman"/>
          <w:color w:val="000000" w:themeColor="text1"/>
          <w:sz w:val="16"/>
          <w:szCs w:val="16"/>
        </w:rPr>
        <w:t>наркомтяжпром</w:t>
      </w:r>
      <w:proofErr w:type="spellEnd"/>
      <w:r w:rsidRPr="00A259BD">
        <w:rPr>
          <w:rFonts w:ascii="Times New Roman" w:hAnsi="Times New Roman"/>
          <w:color w:val="000000" w:themeColor="text1"/>
          <w:sz w:val="16"/>
          <w:szCs w:val="16"/>
        </w:rPr>
        <w:t xml:space="preserve"> Г. Орджоникидзе приняла решение об об</w:t>
      </w:r>
      <w:r w:rsidRPr="00A259BD">
        <w:rPr>
          <w:rFonts w:ascii="Times New Roman" w:hAnsi="Times New Roman"/>
          <w:color w:val="000000" w:themeColor="text1"/>
          <w:sz w:val="16"/>
          <w:szCs w:val="16"/>
        </w:rPr>
        <w:softHyphen/>
        <w:t>ращении к зарубежному опыту, который виделся в пригла</w:t>
      </w:r>
      <w:r w:rsidRPr="00A259BD">
        <w:rPr>
          <w:rFonts w:ascii="Times New Roman" w:hAnsi="Times New Roman"/>
          <w:color w:val="000000" w:themeColor="text1"/>
          <w:sz w:val="16"/>
          <w:szCs w:val="16"/>
        </w:rPr>
        <w:softHyphen/>
        <w:t>шении в СССР зарубежных конструкторов и командирова</w:t>
      </w:r>
      <w:r w:rsidRPr="00A259BD">
        <w:rPr>
          <w:rFonts w:ascii="Times New Roman" w:hAnsi="Times New Roman"/>
          <w:color w:val="000000" w:themeColor="text1"/>
          <w:sz w:val="16"/>
          <w:szCs w:val="16"/>
        </w:rPr>
        <w:softHyphen/>
        <w:t xml:space="preserve">нии за границу лучших представителей военного ведомства и промышленности для приобретения образцов танков, </w:t>
      </w:r>
      <w:proofErr w:type="spellStart"/>
      <w:r w:rsidRPr="00A259BD">
        <w:rPr>
          <w:rFonts w:ascii="Times New Roman" w:hAnsi="Times New Roman"/>
          <w:color w:val="000000" w:themeColor="text1"/>
          <w:sz w:val="16"/>
          <w:szCs w:val="16"/>
        </w:rPr>
        <w:t>арттягачей</w:t>
      </w:r>
      <w:proofErr w:type="spellEnd"/>
      <w:r w:rsidRPr="00A259BD">
        <w:rPr>
          <w:rFonts w:ascii="Times New Roman" w:hAnsi="Times New Roman"/>
          <w:color w:val="000000" w:themeColor="text1"/>
          <w:sz w:val="16"/>
          <w:szCs w:val="16"/>
        </w:rPr>
        <w:t xml:space="preserve"> с документацией и получения технической по</w:t>
      </w:r>
      <w:r w:rsidRPr="00A259BD">
        <w:rPr>
          <w:rFonts w:ascii="Times New Roman" w:hAnsi="Times New Roman"/>
          <w:color w:val="000000" w:themeColor="text1"/>
          <w:sz w:val="16"/>
          <w:szCs w:val="16"/>
        </w:rPr>
        <w:softHyphen/>
        <w:t>мощи по вышеуказанным объектам (10733,120).</w:t>
      </w:r>
    </w:p>
    <w:p w14:paraId="35E3B87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27DC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декабря 1929 комиссией под председательством зам. Пред. СНК Г.К.О. по докладу пред. РВС К.Е.В было принято решение командировать за границу представителей военного ведомства и промышленности для приобретения образцов вооружения и получения техпомощи по организации их производства (3879,3).</w:t>
      </w:r>
    </w:p>
    <w:p w14:paraId="204435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3C775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декабря 1929 г. Во исполнение б-го пункта постановления Политбюро ЦК ВКП(б) “О ВЫПОЛНЕНИИ ТАНКО-СТРОИТЕЛЬНОЙ ПРОГРАММЫ” за границу для ознакомления и закупок заграничных моделей бронетанковой техники была отправлена Комиссия во главе с начальником свежесозданного Управления Механизации и Моторизации (УММ) РККА И.А. </w:t>
      </w:r>
      <w:proofErr w:type="spellStart"/>
      <w:r w:rsidRPr="00A259BD">
        <w:rPr>
          <w:rFonts w:ascii="Times New Roman" w:hAnsi="Times New Roman"/>
          <w:color w:val="000000" w:themeColor="text1"/>
          <w:sz w:val="16"/>
          <w:szCs w:val="16"/>
        </w:rPr>
        <w:t>Халепским</w:t>
      </w:r>
      <w:proofErr w:type="spellEnd"/>
      <w:r w:rsidRPr="00A259BD">
        <w:rPr>
          <w:rFonts w:ascii="Times New Roman" w:hAnsi="Times New Roman"/>
          <w:color w:val="000000" w:themeColor="text1"/>
          <w:sz w:val="16"/>
          <w:szCs w:val="16"/>
        </w:rPr>
        <w:t>, причём комиссию изначально нацеливали на покупку не только образцов, но и технической документации, позволявшей наладить массовое производство аналогичной техники в СССР (5745, 37).</w:t>
      </w:r>
    </w:p>
    <w:p w14:paraId="45E0A1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94E27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декабря 1929 комиссией т. Орджоникидзе было принято решение командировать заграницу представителей военного ведомства и промышленности для приобретения: образцов тан</w:t>
      </w:r>
      <w:r w:rsidRPr="00A259BD">
        <w:rPr>
          <w:rFonts w:ascii="Times New Roman" w:hAnsi="Times New Roman"/>
          <w:color w:val="000000" w:themeColor="text1"/>
          <w:sz w:val="16"/>
          <w:szCs w:val="16"/>
        </w:rPr>
        <w:softHyphen/>
        <w:t xml:space="preserve">ков, </w:t>
      </w:r>
      <w:proofErr w:type="spellStart"/>
      <w:r w:rsidRPr="00A259BD">
        <w:rPr>
          <w:rFonts w:ascii="Times New Roman" w:hAnsi="Times New Roman"/>
          <w:color w:val="000000" w:themeColor="text1"/>
          <w:sz w:val="16"/>
          <w:szCs w:val="16"/>
        </w:rPr>
        <w:t>арттягачей</w:t>
      </w:r>
      <w:proofErr w:type="spellEnd"/>
      <w:r w:rsidRPr="00A259BD">
        <w:rPr>
          <w:rFonts w:ascii="Times New Roman" w:hAnsi="Times New Roman"/>
          <w:color w:val="000000" w:themeColor="text1"/>
          <w:sz w:val="16"/>
          <w:szCs w:val="16"/>
        </w:rPr>
        <w:t xml:space="preserve"> и получения технической помощи по вышеуказанным объектам. В последующем заседании директивного органа принятое постановление комиссией т. Орджо</w:t>
      </w:r>
      <w:r w:rsidRPr="00A259BD">
        <w:rPr>
          <w:rFonts w:ascii="Times New Roman" w:hAnsi="Times New Roman"/>
          <w:color w:val="000000" w:themeColor="text1"/>
          <w:sz w:val="16"/>
          <w:szCs w:val="16"/>
        </w:rPr>
        <w:softHyphen/>
        <w:t>никидзе утверждено. На основании которого, по заданию Народного комиссара т. Ворошилова, Штабом РККА с участием начальника УММ и начальника вооружений разработан план поездки ко</w:t>
      </w:r>
      <w:r w:rsidRPr="00A259BD">
        <w:rPr>
          <w:rFonts w:ascii="Times New Roman" w:hAnsi="Times New Roman"/>
          <w:color w:val="000000" w:themeColor="text1"/>
          <w:sz w:val="16"/>
          <w:szCs w:val="16"/>
        </w:rPr>
        <w:softHyphen/>
        <w:t>миссии за границу.</w:t>
      </w:r>
    </w:p>
    <w:p w14:paraId="4BC1C1C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План поездки 27 января 1929 г. утвержден Наркомом т. Ворошиловым. 30 января 1929 г. комис</w:t>
      </w:r>
      <w:r w:rsidRPr="00A259BD">
        <w:rPr>
          <w:rFonts w:ascii="Times New Roman" w:hAnsi="Times New Roman"/>
          <w:color w:val="000000" w:themeColor="text1"/>
          <w:sz w:val="16"/>
          <w:szCs w:val="16"/>
        </w:rPr>
        <w:softHyphen/>
        <w:t>сия выехала за границу.</w:t>
      </w:r>
    </w:p>
    <w:p w14:paraId="6332FBF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Согласно утвержденного плана, комиссия посетила следующие страны: Германия, Чехослова</w:t>
      </w:r>
      <w:r w:rsidRPr="00A259BD">
        <w:rPr>
          <w:rFonts w:ascii="Times New Roman" w:hAnsi="Times New Roman"/>
          <w:color w:val="000000" w:themeColor="text1"/>
          <w:sz w:val="16"/>
          <w:szCs w:val="16"/>
        </w:rPr>
        <w:softHyphen/>
        <w:t>кия, Франция, Англия и Америка (11210).</w:t>
      </w:r>
    </w:p>
    <w:p w14:paraId="35F9911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4109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декабря 1929 г. было принято постановление ЦК ВКП(б) “О реорганизации управления промышленностью”, в соответствии с которым все синдикаты ликвидировались (включая, разумеется, Нефтяной), а вместо главных управлений ВСНХ создавались всесоюзные отраслевые объединения. В январе 1930 г. недавно созданное объединение стало называться Государственным всесоюзным объединением нефтяной и газовой промышленности ВСНХ СССР “</w:t>
      </w:r>
      <w:proofErr w:type="spellStart"/>
      <w:r w:rsidRPr="00A259BD">
        <w:rPr>
          <w:rFonts w:ascii="Times New Roman" w:hAnsi="Times New Roman"/>
          <w:color w:val="000000" w:themeColor="text1"/>
          <w:sz w:val="16"/>
          <w:szCs w:val="16"/>
        </w:rPr>
        <w:t>Союзнефть</w:t>
      </w:r>
      <w:proofErr w:type="spellEnd"/>
      <w:r w:rsidRPr="00A259BD">
        <w:rPr>
          <w:rFonts w:ascii="Times New Roman" w:hAnsi="Times New Roman"/>
          <w:color w:val="000000" w:themeColor="text1"/>
          <w:sz w:val="16"/>
          <w:szCs w:val="16"/>
        </w:rPr>
        <w:t>”. На базе “</w:t>
      </w:r>
      <w:proofErr w:type="spellStart"/>
      <w:r w:rsidRPr="00A259BD">
        <w:rPr>
          <w:rFonts w:ascii="Times New Roman" w:hAnsi="Times New Roman"/>
          <w:color w:val="000000" w:themeColor="text1"/>
          <w:sz w:val="16"/>
          <w:szCs w:val="16"/>
        </w:rPr>
        <w:t>Нефтесиндиката</w:t>
      </w:r>
      <w:proofErr w:type="spellEnd"/>
      <w:r w:rsidRPr="00A259BD">
        <w:rPr>
          <w:rFonts w:ascii="Times New Roman" w:hAnsi="Times New Roman"/>
          <w:color w:val="000000" w:themeColor="text1"/>
          <w:sz w:val="16"/>
          <w:szCs w:val="16"/>
        </w:rPr>
        <w:t>” создавался трест “</w:t>
      </w:r>
      <w:proofErr w:type="spellStart"/>
      <w:r w:rsidRPr="00A259BD">
        <w:rPr>
          <w:rFonts w:ascii="Times New Roman" w:hAnsi="Times New Roman"/>
          <w:color w:val="000000" w:themeColor="text1"/>
          <w:sz w:val="16"/>
          <w:szCs w:val="16"/>
        </w:rPr>
        <w:t>Союзнефтесбыт</w:t>
      </w:r>
      <w:proofErr w:type="spellEnd"/>
      <w:r w:rsidRPr="00A259BD">
        <w:rPr>
          <w:rFonts w:ascii="Times New Roman" w:hAnsi="Times New Roman"/>
          <w:color w:val="000000" w:themeColor="text1"/>
          <w:sz w:val="16"/>
          <w:szCs w:val="16"/>
        </w:rPr>
        <w:t>”.</w:t>
      </w:r>
    </w:p>
    <w:p w14:paraId="5426EE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структуре объединения, наряду с центральным аппаратом, в 1930 г. существовали тресты “Азнефть”, “Грознефть”, “</w:t>
      </w:r>
      <w:proofErr w:type="spellStart"/>
      <w:r w:rsidRPr="00A259BD">
        <w:rPr>
          <w:rFonts w:ascii="Times New Roman" w:hAnsi="Times New Roman"/>
          <w:color w:val="000000" w:themeColor="text1"/>
          <w:sz w:val="16"/>
          <w:szCs w:val="16"/>
        </w:rPr>
        <w:t>Эмбанефть</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Сахалиннефть</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Средазнефть</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Туркменнефть</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Востокнефть</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Нефтепроводстрой</w:t>
      </w:r>
      <w:proofErr w:type="spellEnd"/>
      <w:r w:rsidRPr="00A259BD">
        <w:rPr>
          <w:rFonts w:ascii="Times New Roman" w:hAnsi="Times New Roman"/>
          <w:color w:val="000000" w:themeColor="text1"/>
          <w:sz w:val="16"/>
          <w:szCs w:val="16"/>
        </w:rPr>
        <w:t>”, “Нефтезаводы” (11522).</w:t>
      </w:r>
    </w:p>
    <w:p w14:paraId="7488C1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668BA6" w14:textId="77777777" w:rsidR="00DA14E0" w:rsidRPr="00A259BD" w:rsidRDefault="00DA14E0"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5 декабря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xml:space="preserve">. Протокол заседания Политбюро ЦК ВКП(б) № 108. 11. О танкостроении (ПБ от 25 ноября 1929 г., пр. № 107, п. 25) (Орджоникидзе, Ворошилов, Куйбышев, </w:t>
      </w:r>
      <w:proofErr w:type="spellStart"/>
      <w:r w:rsidRPr="00A259BD">
        <w:rPr>
          <w:rFonts w:ascii="Times New Roman" w:hAnsi="Times New Roman"/>
          <w:color w:val="000000" w:themeColor="text1"/>
          <w:sz w:val="16"/>
          <w:szCs w:val="16"/>
          <w:u w:color="002060"/>
        </w:rPr>
        <w:t>Павлуновский</w:t>
      </w:r>
      <w:proofErr w:type="spellEnd"/>
      <w:r w:rsidRPr="00A259BD">
        <w:rPr>
          <w:rFonts w:ascii="Times New Roman" w:hAnsi="Times New Roman"/>
          <w:color w:val="000000" w:themeColor="text1"/>
          <w:sz w:val="16"/>
          <w:szCs w:val="16"/>
          <w:u w:color="002060"/>
        </w:rPr>
        <w:t xml:space="preserve">, Урываев, </w:t>
      </w:r>
      <w:proofErr w:type="spellStart"/>
      <w:r w:rsidRPr="00A259BD">
        <w:rPr>
          <w:rFonts w:ascii="Times New Roman" w:hAnsi="Times New Roman"/>
          <w:color w:val="000000" w:themeColor="text1"/>
          <w:sz w:val="16"/>
          <w:szCs w:val="16"/>
          <w:u w:color="002060"/>
        </w:rPr>
        <w:t>Халепский</w:t>
      </w:r>
      <w:proofErr w:type="spellEnd"/>
      <w:r w:rsidRPr="00A259BD">
        <w:rPr>
          <w:rFonts w:ascii="Times New Roman" w:hAnsi="Times New Roman"/>
          <w:color w:val="000000" w:themeColor="text1"/>
          <w:sz w:val="16"/>
          <w:szCs w:val="16"/>
          <w:u w:color="002060"/>
        </w:rPr>
        <w:t xml:space="preserve">). — ОП. 37. О бюджете на 1929/30 г. (Рыков, Рудзутак, Кржижановский, Брюханов, </w:t>
      </w:r>
      <w:proofErr w:type="spellStart"/>
      <w:r w:rsidRPr="00A259BD">
        <w:rPr>
          <w:rFonts w:ascii="Times New Roman" w:hAnsi="Times New Roman"/>
          <w:color w:val="000000" w:themeColor="text1"/>
          <w:sz w:val="16"/>
          <w:szCs w:val="16"/>
          <w:u w:color="002060"/>
        </w:rPr>
        <w:t>Чуцкаев</w:t>
      </w:r>
      <w:proofErr w:type="spellEnd"/>
      <w:r w:rsidRPr="00A259BD">
        <w:rPr>
          <w:rFonts w:ascii="Times New Roman" w:hAnsi="Times New Roman"/>
          <w:color w:val="000000" w:themeColor="text1"/>
          <w:sz w:val="16"/>
          <w:szCs w:val="16"/>
          <w:u w:color="002060"/>
        </w:rPr>
        <w:t xml:space="preserve">, Ветошкин, </w:t>
      </w:r>
      <w:proofErr w:type="spellStart"/>
      <w:r w:rsidRPr="00A259BD">
        <w:rPr>
          <w:rFonts w:ascii="Times New Roman" w:hAnsi="Times New Roman"/>
          <w:color w:val="000000" w:themeColor="text1"/>
          <w:sz w:val="16"/>
          <w:szCs w:val="16"/>
          <w:u w:color="002060"/>
        </w:rPr>
        <w:t>Теумин</w:t>
      </w:r>
      <w:proofErr w:type="spellEnd"/>
      <w:r w:rsidRPr="00A259BD">
        <w:rPr>
          <w:rFonts w:ascii="Times New Roman" w:hAnsi="Times New Roman"/>
          <w:color w:val="000000" w:themeColor="text1"/>
          <w:sz w:val="16"/>
          <w:szCs w:val="16"/>
          <w:u w:color="002060"/>
        </w:rPr>
        <w:t xml:space="preserve">, Амосов, </w:t>
      </w:r>
      <w:proofErr w:type="spellStart"/>
      <w:r w:rsidRPr="00A259BD">
        <w:rPr>
          <w:rFonts w:ascii="Times New Roman" w:hAnsi="Times New Roman"/>
          <w:color w:val="000000" w:themeColor="text1"/>
          <w:sz w:val="16"/>
          <w:szCs w:val="16"/>
          <w:u w:color="002060"/>
        </w:rPr>
        <w:t>Аболин</w:t>
      </w:r>
      <w:proofErr w:type="spellEnd"/>
      <w:r w:rsidRPr="00A259BD">
        <w:rPr>
          <w:rFonts w:ascii="Times New Roman" w:hAnsi="Times New Roman"/>
          <w:color w:val="000000" w:themeColor="text1"/>
          <w:sz w:val="16"/>
          <w:szCs w:val="16"/>
          <w:u w:color="002060"/>
        </w:rPr>
        <w:t>). Постановили: д) увеличить ассигнование на оборону на 22 млн. руб., уменьшив на 3 млн. руб. резервный фонд СНК СССР. (Политбюро... Т. 1. С. 742, 743; РГАСПИ. Ф. 17. Оп. 162. Д. 8. Л. 15) (12416).</w:t>
      </w:r>
    </w:p>
    <w:p w14:paraId="220825AA" w14:textId="77777777" w:rsidR="00DA14E0" w:rsidRPr="00A259BD" w:rsidRDefault="00DA14E0" w:rsidP="009236E3">
      <w:pPr>
        <w:spacing w:after="0" w:line="240" w:lineRule="auto"/>
        <w:jc w:val="both"/>
        <w:rPr>
          <w:rFonts w:ascii="Times New Roman" w:hAnsi="Times New Roman"/>
          <w:color w:val="000000" w:themeColor="text1"/>
          <w:sz w:val="16"/>
          <w:szCs w:val="16"/>
          <w:u w:color="002060"/>
        </w:rPr>
      </w:pPr>
    </w:p>
    <w:p w14:paraId="2D99B3BD" w14:textId="77777777" w:rsidR="009864FE" w:rsidRPr="00A259BD" w:rsidRDefault="009864FE" w:rsidP="009236E3">
      <w:pPr>
        <w:pStyle w:val="rtejustify"/>
        <w:spacing w:before="0" w:after="0"/>
        <w:rPr>
          <w:color w:val="000000" w:themeColor="text1"/>
          <w:sz w:val="16"/>
          <w:szCs w:val="16"/>
        </w:rPr>
      </w:pPr>
      <w:r w:rsidRPr="00A259BD">
        <w:rPr>
          <w:bCs/>
          <w:color w:val="000000" w:themeColor="text1"/>
          <w:sz w:val="16"/>
          <w:szCs w:val="16"/>
        </w:rPr>
        <w:t>5 декабря 1929 г. — Постановление Политбюро ЦК ВКП(б) «О выполнении танко-тракторной программы»</w:t>
      </w:r>
    </w:p>
    <w:p w14:paraId="7C913059"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1. Констатировать, что к настоящему времени на вооружении РККА имеется только лишь тип малого танка Т</w:t>
      </w:r>
      <w:r w:rsidRPr="00A259BD">
        <w:rPr>
          <w:color w:val="000000" w:themeColor="text1"/>
          <w:sz w:val="16"/>
          <w:szCs w:val="16"/>
        </w:rPr>
        <w:noBreakHyphen/>
        <w:t>18 (скорость его 12 км, вооружен 37</w:t>
      </w:r>
      <w:r w:rsidRPr="00A259BD">
        <w:rPr>
          <w:color w:val="000000" w:themeColor="text1"/>
          <w:sz w:val="16"/>
          <w:szCs w:val="16"/>
        </w:rPr>
        <w:noBreakHyphen/>
        <w:t>мм пушкой и 2 пулеметами и защищен 16</w:t>
      </w:r>
      <w:r w:rsidRPr="00A259BD">
        <w:rPr>
          <w:color w:val="000000" w:themeColor="text1"/>
          <w:sz w:val="16"/>
          <w:szCs w:val="16"/>
        </w:rPr>
        <w:noBreakHyphen/>
        <w:t>мм броней), производство которого установлено на заводе «Большевик».</w:t>
      </w:r>
    </w:p>
    <w:p w14:paraId="68F8CC9A"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2. Танк Т</w:t>
      </w:r>
      <w:r w:rsidRPr="00A259BD">
        <w:rPr>
          <w:color w:val="000000" w:themeColor="text1"/>
          <w:sz w:val="16"/>
          <w:szCs w:val="16"/>
        </w:rPr>
        <w:noBreakHyphen/>
        <w:t>18 является недостаточно отвечающим современным требованиям к данному типу танков и производство его в окончательном виде до сих пор не установлено.</w:t>
      </w:r>
    </w:p>
    <w:p w14:paraId="2BCE1CF8"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3. Кроме танка Т</w:t>
      </w:r>
      <w:r w:rsidRPr="00A259BD">
        <w:rPr>
          <w:color w:val="000000" w:themeColor="text1"/>
          <w:sz w:val="16"/>
          <w:szCs w:val="16"/>
        </w:rPr>
        <w:noBreakHyphen/>
        <w:t>18, типов и конструкций танков среднего, большого и танкетки не имеется,</w:t>
      </w:r>
    </w:p>
    <w:p w14:paraId="1D3A1496"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4. Пятилетняя программа тракторостроения и моторостроения не увязаны с танкостроением и удовлетворением потребностей армии в мощных тракторах. Не проработано обеспечение танкостроения броней и моторами, нет достаточных конструкторских сил, обеспечивающих выполнение плана танкостроения, и нет примерного развития заводов по годам для выполнения программы ПБ от 15 июля 1929 г.</w:t>
      </w:r>
    </w:p>
    <w:p w14:paraId="583484B3"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5. Обеспечение выполнения установленной ПБ программы танкостроения требует:</w:t>
      </w:r>
    </w:p>
    <w:p w14:paraId="71D3A86E"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а) форсированного разрешения всех вопросов, связанных с производством танков и тракторов (броня, мотор, сталь и т. д.);</w:t>
      </w:r>
    </w:p>
    <w:p w14:paraId="5FF18942"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б) скорейшее получение, отвечающих современным требованиям типов и образцов танков.</w:t>
      </w:r>
    </w:p>
    <w:p w14:paraId="502B8836"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 xml:space="preserve">6. Ввиду слабости наших конструкторских сил по танкам, а также отсутствия типов и конструкций танков, отвечающим современным требованиям войны, командировать не позже 20 декабря 1929 г. за границу авторитетную комиссию из представителей ВСНХ и </w:t>
      </w:r>
      <w:proofErr w:type="spellStart"/>
      <w:r w:rsidRPr="00A259BD">
        <w:rPr>
          <w:color w:val="000000" w:themeColor="text1"/>
          <w:sz w:val="16"/>
          <w:szCs w:val="16"/>
        </w:rPr>
        <w:t>НКВоенмора</w:t>
      </w:r>
      <w:proofErr w:type="spellEnd"/>
      <w:r w:rsidRPr="00A259BD">
        <w:rPr>
          <w:color w:val="000000" w:themeColor="text1"/>
          <w:sz w:val="16"/>
          <w:szCs w:val="16"/>
        </w:rPr>
        <w:t>;</w:t>
      </w:r>
    </w:p>
    <w:p w14:paraId="3115544A"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На комиссию возложить задачи:</w:t>
      </w:r>
    </w:p>
    <w:p w14:paraId="1A4F581A"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а) выбор и закупку типов и образцов танков, в особенности образцов среднего и большого танков;</w:t>
      </w:r>
    </w:p>
    <w:p w14:paraId="70F3A047"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б) выяснение возможностей получения технической помощи и конструкторов.</w:t>
      </w:r>
    </w:p>
    <w:p w14:paraId="4D58C4E5"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Комиссии закончить работу не позже 1 апреля 1930 г.</w:t>
      </w:r>
    </w:p>
    <w:p w14:paraId="61865DD4"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7. Программа танкостроения, определенная постановлением Политбюро от 15 июля 1929 г., должна быть выполнена к концу 1932/33 г.</w:t>
      </w:r>
    </w:p>
    <w:p w14:paraId="7ACA89A5"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8. Программа танкостроения 1929/30 г. в размере 300 танков Т</w:t>
      </w:r>
      <w:r w:rsidRPr="00A259BD">
        <w:rPr>
          <w:color w:val="000000" w:themeColor="text1"/>
          <w:sz w:val="16"/>
          <w:szCs w:val="16"/>
        </w:rPr>
        <w:noBreakHyphen/>
        <w:t>18, 30 танков Т</w:t>
      </w:r>
      <w:r w:rsidRPr="00A259BD">
        <w:rPr>
          <w:color w:val="000000" w:themeColor="text1"/>
          <w:sz w:val="16"/>
          <w:szCs w:val="16"/>
        </w:rPr>
        <w:noBreakHyphen/>
        <w:t>12 и 10 танкеток должна быть выполнена к октябрю 1930 г.</w:t>
      </w:r>
    </w:p>
    <w:p w14:paraId="470F73E8"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9. Продлить работу комиссии Политбюро до 3 января 1930 г. В этот срок комиссии проработать и представить на утверждение Политбюро мероприятия, обеспечивающие выполнение программы как текущего года, так и на четырехлетие.</w:t>
      </w:r>
    </w:p>
    <w:p w14:paraId="36DE5397" w14:textId="77777777" w:rsidR="00DA14E0" w:rsidRPr="00A259BD" w:rsidRDefault="00DA14E0"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Примечание</w:t>
      </w:r>
      <w:r w:rsidRPr="00A259BD">
        <w:rPr>
          <w:color w:val="000000" w:themeColor="text1"/>
          <w:sz w:val="16"/>
          <w:szCs w:val="16"/>
        </w:rPr>
        <w:t>:</w:t>
      </w:r>
    </w:p>
    <w:p w14:paraId="0A398633" w14:textId="77777777" w:rsidR="00DA14E0" w:rsidRPr="00A259BD" w:rsidRDefault="00DA14E0" w:rsidP="009236E3">
      <w:pPr>
        <w:pStyle w:val="ae"/>
        <w:spacing w:before="0" w:after="0"/>
        <w:jc w:val="both"/>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Дата утверждения Политбюро ЦК ВКП(б).</w:t>
      </w:r>
    </w:p>
    <w:p w14:paraId="5BDE0ACC" w14:textId="77777777" w:rsidR="00DA14E0" w:rsidRPr="00A259BD" w:rsidRDefault="00DA14E0" w:rsidP="009236E3">
      <w:pPr>
        <w:pStyle w:val="ae"/>
        <w:spacing w:before="0" w:after="0"/>
        <w:jc w:val="both"/>
        <w:rPr>
          <w:color w:val="000000" w:themeColor="text1"/>
          <w:sz w:val="16"/>
          <w:szCs w:val="16"/>
        </w:rPr>
      </w:pPr>
      <w:r w:rsidRPr="00A259BD">
        <w:rPr>
          <w:color w:val="000000" w:themeColor="text1"/>
          <w:sz w:val="16"/>
          <w:szCs w:val="16"/>
        </w:rPr>
        <w:t>РГАСПИ. Ф. 17. Оп. 162. Д. 8. Л. 18—19. Заверенная копия.</w:t>
      </w:r>
    </w:p>
    <w:p w14:paraId="70511DC1"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РГАСПИ. Ф. 17. Оп. 162. Д. 8. Л. 18—19. Заверенная копия. </w:t>
      </w:r>
    </w:p>
    <w:p w14:paraId="72EF79A9"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388-389 (12479).</w:t>
      </w:r>
    </w:p>
    <w:p w14:paraId="681B2EAB" w14:textId="77777777" w:rsidR="00DA14E0" w:rsidRPr="00A259BD" w:rsidRDefault="00DA14E0" w:rsidP="009236E3">
      <w:pPr>
        <w:spacing w:after="0" w:line="240" w:lineRule="auto"/>
        <w:jc w:val="both"/>
        <w:rPr>
          <w:rFonts w:ascii="Times New Roman" w:hAnsi="Times New Roman"/>
          <w:color w:val="000000" w:themeColor="text1"/>
          <w:sz w:val="16"/>
          <w:szCs w:val="16"/>
        </w:rPr>
      </w:pPr>
    </w:p>
    <w:p w14:paraId="75DA5413" w14:textId="77777777" w:rsidR="00DA14E0" w:rsidRPr="00A259BD" w:rsidRDefault="00DA14E0"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5 декабря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ЦК ВКП(б) «О реорганизации управления промышленностью». (КПСС в резолюциях... Изд. 9?е. Т. 5. М. 1984 С. 60?67) (12416).</w:t>
      </w:r>
    </w:p>
    <w:p w14:paraId="53D843B4" w14:textId="77777777" w:rsidR="00DA14E0" w:rsidRPr="00A259BD" w:rsidRDefault="00DA14E0" w:rsidP="009236E3">
      <w:pPr>
        <w:spacing w:after="0" w:line="240" w:lineRule="auto"/>
        <w:jc w:val="both"/>
        <w:rPr>
          <w:rFonts w:ascii="Times New Roman" w:hAnsi="Times New Roman"/>
          <w:color w:val="000000" w:themeColor="text1"/>
          <w:sz w:val="16"/>
          <w:szCs w:val="16"/>
          <w:u w:color="002060"/>
        </w:rPr>
      </w:pPr>
    </w:p>
    <w:p w14:paraId="2AAA3253"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5 декабря 1929 </w:t>
      </w:r>
      <w:r w:rsidRPr="00A259BD">
        <w:rPr>
          <w:rFonts w:ascii="Times New Roman" w:hAnsi="Times New Roman"/>
          <w:color w:val="000000" w:themeColor="text1"/>
          <w:sz w:val="16"/>
          <w:szCs w:val="16"/>
        </w:rPr>
        <w:t>Политбюро ЦК ВКП(б) указало ВСНХ на необходимость создать специальный трест по организации разведения каучуконосных растений; одобрило проект постановления, внесенный ВСНХ и НК РКИ, о реорганизации управления промышленностью, дополнив его указанием на необходимость широкого участия рабочих масс и профорганизаций в управлении производством; утвердило проект постановления ЦК ВКП (б) «О рабочей силе и безработице» (12265).</w:t>
      </w:r>
    </w:p>
    <w:p w14:paraId="5E595D23"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2556F064"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1350FCA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4F961B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декабря 1929 </w:t>
      </w:r>
      <w:proofErr w:type="spellStart"/>
      <w:r w:rsidRPr="00A259BD">
        <w:rPr>
          <w:rFonts w:ascii="Times New Roman" w:hAnsi="Times New Roman"/>
          <w:color w:val="000000" w:themeColor="text1"/>
          <w:sz w:val="16"/>
          <w:szCs w:val="16"/>
        </w:rPr>
        <w:t>Л.М.Каганович</w:t>
      </w:r>
      <w:proofErr w:type="spellEnd"/>
      <w:r w:rsidRPr="00A259BD">
        <w:rPr>
          <w:rFonts w:ascii="Times New Roman" w:hAnsi="Times New Roman"/>
          <w:color w:val="000000" w:themeColor="text1"/>
          <w:sz w:val="16"/>
          <w:szCs w:val="16"/>
        </w:rPr>
        <w:t xml:space="preserve"> составил список из 21 кандидата в состав яковлевской комиссии. Политбюро ее утвердило. И уже через три дня Яковлев создал 8 подкомиссий, которые начали разрабатывать грандиозный план массо</w:t>
      </w:r>
      <w:r w:rsidRPr="00A259BD">
        <w:rPr>
          <w:rFonts w:ascii="Times New Roman" w:hAnsi="Times New Roman"/>
          <w:color w:val="000000" w:themeColor="text1"/>
          <w:sz w:val="16"/>
          <w:szCs w:val="16"/>
        </w:rPr>
        <w:softHyphen/>
        <w:t>вой, сплошной, как тогда писали, коллективизации деревни. В тот же день, то есть 8 декабря, Яковлева утвердили комиссаром Российского зем</w:t>
      </w:r>
      <w:r w:rsidRPr="00A259BD">
        <w:rPr>
          <w:rFonts w:ascii="Times New Roman" w:hAnsi="Times New Roman"/>
          <w:color w:val="000000" w:themeColor="text1"/>
          <w:sz w:val="16"/>
          <w:szCs w:val="16"/>
        </w:rPr>
        <w:softHyphen/>
        <w:t>леделия и он начал быстрыми темпами осуществлять коллективизацию с применением репрессивных мер не только к зажиточным хозяевам, но и к середнякам (11504).</w:t>
      </w:r>
    </w:p>
    <w:p w14:paraId="0E269B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2928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декабря 1929 было издано постановление ЦК ВКП(б) "О реорганизации управления правительством" (423,108), развившее постановление от 5 сентября 1929 и в котором подвергалась критическому разбору деятельность ВСНХ за последнее время, определялись задачи этого своеобразного Наркомата промышленности на будущее: работа ВСНХ СССР теперь, в первую очередь, сосредоточивалась на составлении производственно-финансовых планов развития промышленности, ее технической реконструкции, на координации деятельности отдельных отраслей индустрии, решении узловых кадровых Вопросов. В постановлении указывалось, что параллелизм в работе и дублирование функций должны быть устранены путем создания на базе главков ВСНХ и трестов хозрасчетных организаций-объединений по руководству отдельными отраслями народного хозяйства (275).</w:t>
      </w:r>
    </w:p>
    <w:p w14:paraId="180ACC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650DB1" w14:textId="77777777" w:rsidR="002560EF" w:rsidRPr="00A259BD" w:rsidRDefault="002560EF"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декабря </w:t>
      </w:r>
      <w:bookmarkStart w:id="97" w:name="YANDEX_12"/>
      <w:bookmarkEnd w:id="97"/>
      <w:r w:rsidRPr="00A259BD">
        <w:rPr>
          <w:rStyle w:val="highlight"/>
          <w:rFonts w:ascii="Times New Roman" w:hAnsi="Times New Roman"/>
          <w:color w:val="000000" w:themeColor="text1"/>
          <w:sz w:val="16"/>
          <w:szCs w:val="16"/>
        </w:rPr>
        <w:t> 1929 </w:t>
      </w:r>
      <w:r w:rsidRPr="00A259BD">
        <w:rPr>
          <w:rFonts w:ascii="Times New Roman" w:hAnsi="Times New Roman"/>
          <w:color w:val="000000" w:themeColor="text1"/>
          <w:sz w:val="16"/>
          <w:szCs w:val="16"/>
        </w:rPr>
        <w:t xml:space="preserve"> г., учитывая опыт Всесоюзного текстильного синдиката, ЦК ВКП(б) принял постановление «О реорганизации управления промышленностью». Было признано целесообразным ликвидировать главные управления ВСНХ и на базе синдикатов создать хозрасчетные объединения, в функции которых входило: планирование и руководство производством и капитальным строительством; организация материально-технического снабжения; организация сбыта; руководство финансовой деятельностью; подготовка и распределение кадров. Предприятия могли входить в объединения как непосредственно, так и через тресты, которые должны были организовываться по принципу производственной специализации. Основная задача трестов заключалась в техническом руководстве и проведении рационализаторской работы. От функций сбыта и снабжения тресты, как правило, были освобождены. Реорганизация системы управления промышленностью в основном была проведена в течение первых месяцев 1930 г. Добиваясь устранения недостатков в работе промышленности, ЦК ВКП(б) издал целый ряд постановлений, в которых определялись конкретные меры по улучшению управления промышленностью (постановления «О </w:t>
      </w:r>
      <w:proofErr w:type="spellStart"/>
      <w:r w:rsidRPr="00A259BD">
        <w:rPr>
          <w:rFonts w:ascii="Times New Roman" w:hAnsi="Times New Roman"/>
          <w:color w:val="000000" w:themeColor="text1"/>
          <w:sz w:val="16"/>
          <w:szCs w:val="16"/>
        </w:rPr>
        <w:t>Югостали</w:t>
      </w:r>
      <w:proofErr w:type="spellEnd"/>
      <w:r w:rsidRPr="00A259BD">
        <w:rPr>
          <w:rFonts w:ascii="Times New Roman" w:hAnsi="Times New Roman"/>
          <w:color w:val="000000" w:themeColor="text1"/>
          <w:sz w:val="16"/>
          <w:szCs w:val="16"/>
        </w:rPr>
        <w:t xml:space="preserve">» — от 8 августа </w:t>
      </w:r>
      <w:bookmarkStart w:id="98" w:name="YANDEX_13"/>
      <w:bookmarkEnd w:id="98"/>
      <w:r w:rsidRPr="00A259BD">
        <w:rPr>
          <w:rStyle w:val="highlight"/>
          <w:rFonts w:ascii="Times New Roman" w:hAnsi="Times New Roman"/>
          <w:color w:val="000000" w:themeColor="text1"/>
          <w:sz w:val="16"/>
          <w:szCs w:val="16"/>
        </w:rPr>
        <w:t> 1929 </w:t>
      </w:r>
      <w:r w:rsidRPr="00A259BD">
        <w:rPr>
          <w:rFonts w:ascii="Times New Roman" w:hAnsi="Times New Roman"/>
          <w:color w:val="000000" w:themeColor="text1"/>
          <w:sz w:val="16"/>
          <w:szCs w:val="16"/>
        </w:rPr>
        <w:t xml:space="preserve"> г., «О </w:t>
      </w:r>
      <w:proofErr w:type="spellStart"/>
      <w:r w:rsidRPr="00A259BD">
        <w:rPr>
          <w:rFonts w:ascii="Times New Roman" w:hAnsi="Times New Roman"/>
          <w:color w:val="000000" w:themeColor="text1"/>
          <w:sz w:val="16"/>
          <w:szCs w:val="16"/>
        </w:rPr>
        <w:t>Северолесе</w:t>
      </w:r>
      <w:proofErr w:type="spellEnd"/>
      <w:r w:rsidRPr="00A259BD">
        <w:rPr>
          <w:rFonts w:ascii="Times New Roman" w:hAnsi="Times New Roman"/>
          <w:color w:val="000000" w:themeColor="text1"/>
          <w:sz w:val="16"/>
          <w:szCs w:val="16"/>
        </w:rPr>
        <w:t xml:space="preserve">» — от 6 января 1930 г., «О тресте </w:t>
      </w:r>
      <w:proofErr w:type="spellStart"/>
      <w:r w:rsidRPr="00A259BD">
        <w:rPr>
          <w:rFonts w:ascii="Times New Roman" w:hAnsi="Times New Roman"/>
          <w:color w:val="000000" w:themeColor="text1"/>
          <w:sz w:val="16"/>
          <w:szCs w:val="16"/>
        </w:rPr>
        <w:t>Гомзы</w:t>
      </w:r>
      <w:proofErr w:type="spellEnd"/>
      <w:r w:rsidRPr="00A259BD">
        <w:rPr>
          <w:rFonts w:ascii="Times New Roman" w:hAnsi="Times New Roman"/>
          <w:color w:val="000000" w:themeColor="text1"/>
          <w:sz w:val="16"/>
          <w:szCs w:val="16"/>
        </w:rPr>
        <w:t xml:space="preserve">» — от 5 февраля 1930 г., «О работе </w:t>
      </w:r>
      <w:proofErr w:type="spellStart"/>
      <w:r w:rsidRPr="00A259BD">
        <w:rPr>
          <w:rFonts w:ascii="Times New Roman" w:hAnsi="Times New Roman"/>
          <w:color w:val="000000" w:themeColor="text1"/>
          <w:sz w:val="16"/>
          <w:szCs w:val="16"/>
        </w:rPr>
        <w:t>Уралмета</w:t>
      </w:r>
      <w:proofErr w:type="spellEnd"/>
      <w:r w:rsidRPr="00A259BD">
        <w:rPr>
          <w:rFonts w:ascii="Times New Roman" w:hAnsi="Times New Roman"/>
          <w:color w:val="000000" w:themeColor="text1"/>
          <w:sz w:val="16"/>
          <w:szCs w:val="16"/>
        </w:rPr>
        <w:t>»—от 25 мая 1930 г., «Об угольной промышленности Кузбасса» — от 10 января 1931 г. и др.). С конца 1931 и в 1932 гг. проводилось разукрупнение громоздких объединений, что обеспечивало дальнейшую специализацию производства, повышало эффективность руководства предприятиями (17226).</w:t>
      </w:r>
    </w:p>
    <w:p w14:paraId="4CCB3ED4" w14:textId="77777777" w:rsidR="002560EF" w:rsidRPr="00A259BD" w:rsidRDefault="002560EF" w:rsidP="009236E3">
      <w:pPr>
        <w:autoSpaceDE w:val="0"/>
        <w:autoSpaceDN w:val="0"/>
        <w:adjustRightInd w:val="0"/>
        <w:spacing w:after="0" w:line="240" w:lineRule="auto"/>
        <w:jc w:val="both"/>
        <w:rPr>
          <w:rFonts w:ascii="Times New Roman" w:hAnsi="Times New Roman"/>
          <w:color w:val="000000" w:themeColor="text1"/>
          <w:sz w:val="16"/>
          <w:szCs w:val="16"/>
        </w:rPr>
      </w:pPr>
    </w:p>
    <w:p w14:paraId="2C362A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декабря 1929 образованная в составе Узбекской ССР Таджикская АССР, стала ССР (3481).</w:t>
      </w:r>
    </w:p>
    <w:p w14:paraId="3516AC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1F343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5-10 декабря 1929 в Москве прошел съезд ударных бригад и появился лозунг - Пятилетку в 4 года (3908,330).</w:t>
      </w:r>
    </w:p>
    <w:p w14:paraId="2C611C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47FD00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65BD04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B519DF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декабря 1929 в США создана первая организация нудистов (4962).</w:t>
      </w:r>
    </w:p>
    <w:p w14:paraId="2526D23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5B89F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BC941A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2E81A28"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6 декабря 1929 </w:t>
      </w:r>
      <w:r w:rsidRPr="00A259BD">
        <w:rPr>
          <w:rFonts w:ascii="Times New Roman" w:hAnsi="Times New Roman"/>
          <w:color w:val="000000" w:themeColor="text1"/>
          <w:sz w:val="16"/>
          <w:szCs w:val="16"/>
        </w:rPr>
        <w:t>2-я сессия ЦИК 5-го созыва приняла постановление «О контрольных цифрах народного хозяйства на 1929/30 г.» (12265).</w:t>
      </w:r>
    </w:p>
    <w:p w14:paraId="6D402162"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504D96ED" w14:textId="77777777" w:rsidR="00B16BFE" w:rsidRPr="00A259BD" w:rsidRDefault="00B16BF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декабря 1929 г. в КБ НТК АУ состоялось заседание с участием начальника КБ НТК В. В. Иванова, районного инспектора приемок АУ Г. Д. </w:t>
      </w:r>
      <w:proofErr w:type="spellStart"/>
      <w:r w:rsidRPr="00A259BD">
        <w:rPr>
          <w:rFonts w:ascii="Times New Roman" w:hAnsi="Times New Roman"/>
          <w:color w:val="000000" w:themeColor="text1"/>
          <w:sz w:val="16"/>
          <w:szCs w:val="16"/>
        </w:rPr>
        <w:t>Гродского</w:t>
      </w:r>
      <w:proofErr w:type="spellEnd"/>
      <w:r w:rsidRPr="00A259BD">
        <w:rPr>
          <w:rFonts w:ascii="Times New Roman" w:hAnsi="Times New Roman"/>
          <w:color w:val="000000" w:themeColor="text1"/>
          <w:sz w:val="16"/>
          <w:szCs w:val="16"/>
        </w:rPr>
        <w:t xml:space="preserve">, помощника директора завода № 7 по технической части Н. К. </w:t>
      </w:r>
      <w:proofErr w:type="spellStart"/>
      <w:r w:rsidRPr="00A259BD">
        <w:rPr>
          <w:rFonts w:ascii="Times New Roman" w:hAnsi="Times New Roman"/>
          <w:color w:val="000000" w:themeColor="text1"/>
          <w:sz w:val="16"/>
          <w:szCs w:val="16"/>
        </w:rPr>
        <w:t>Перфилетова</w:t>
      </w:r>
      <w:proofErr w:type="spellEnd"/>
      <w:r w:rsidRPr="00A259BD">
        <w:rPr>
          <w:rFonts w:ascii="Times New Roman" w:hAnsi="Times New Roman"/>
          <w:color w:val="000000" w:themeColor="text1"/>
          <w:sz w:val="16"/>
          <w:szCs w:val="16"/>
        </w:rPr>
        <w:t>, заведующего опытной мастерской И. П. Платонова, на котором обсуждалось состояние опытного производства на заводе. Участниками было отмечено недостаточное планирование поступления заказов в мастерскую, сбои в поставках от смежников, что вызывало смещение сроков выполнения нарядов уже заводом № 7. В результате было принято решение о необходимости дооснащения военно-опытной мастерской необходимым оборудованием и увеличения в ее штате квалифицированных инженерных кадров. Кроме этого, насущной необходимостью было упорядочение организационной составляющей производства, в связи с чем было высказано предложение снять с военно-опытного отдела обязанность ведения серийных заказов, чтобы иметь возможность сосредоточиться на опытных и выработать конкретный и посильный для завода план выполнения заданий с четкой последовательностью, установленной АУ совместно с ОАТ [1, Ф. 7р. Оп. 12. Д. 9. Л. 329, 332] (18628).</w:t>
      </w:r>
    </w:p>
    <w:p w14:paraId="4BA3D258" w14:textId="77777777" w:rsidR="00B16BFE" w:rsidRPr="00A259BD" w:rsidRDefault="00B16BFE" w:rsidP="009236E3">
      <w:pPr>
        <w:spacing w:after="0" w:line="240" w:lineRule="auto"/>
        <w:jc w:val="both"/>
        <w:rPr>
          <w:rFonts w:ascii="Times New Roman" w:hAnsi="Times New Roman"/>
          <w:color w:val="000000" w:themeColor="text1"/>
          <w:sz w:val="16"/>
          <w:szCs w:val="16"/>
        </w:rPr>
      </w:pPr>
    </w:p>
    <w:p w14:paraId="66C968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декабря 1929 г. приказом НКТП было утверждено Положение об институте (ГС НИИ-8 НКОП, Государственный институт телевидения (ВНИИТ) НКТП). По пр. НКОП № </w:t>
      </w:r>
      <w:proofErr w:type="spellStart"/>
      <w:r w:rsidRPr="00A259BD">
        <w:rPr>
          <w:rFonts w:ascii="Times New Roman" w:hAnsi="Times New Roman"/>
          <w:color w:val="000000" w:themeColor="text1"/>
          <w:sz w:val="16"/>
          <w:szCs w:val="16"/>
        </w:rPr>
        <w:t>Обсс</w:t>
      </w:r>
      <w:proofErr w:type="spellEnd"/>
      <w:r w:rsidRPr="00A259BD">
        <w:rPr>
          <w:rFonts w:ascii="Times New Roman" w:hAnsi="Times New Roman"/>
          <w:color w:val="000000" w:themeColor="text1"/>
          <w:sz w:val="16"/>
          <w:szCs w:val="16"/>
        </w:rPr>
        <w:t xml:space="preserve"> от 30.12.1936г. ВНИИТ переименован в НИИ-8 НКОП, приказом № 262 от 31.07.1937г. утверждено Положение о ГС НИИ-8 5ГУ (и на 12.1938г.). Далее НИИ-8 слит с НИИ-9 в единый НИИ-9 (до 04.1940 г.).</w:t>
      </w:r>
    </w:p>
    <w:p w14:paraId="57B77A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Создана телевизионная установка «Доломит» (на основе американской разработки) для ТБ-3.</w:t>
      </w:r>
      <w:r w:rsidRPr="00A259BD">
        <w:rPr>
          <w:rFonts w:ascii="Times New Roman" w:hAnsi="Times New Roman"/>
          <w:color w:val="000000" w:themeColor="text1"/>
          <w:sz w:val="16"/>
          <w:szCs w:val="16"/>
          <w:vertAlign w:val="superscript"/>
        </w:rPr>
        <w:t>85</w:t>
      </w:r>
    </w:p>
    <w:p w14:paraId="34DBED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 (-06-16.08.1937г.)- В.Т.(Г) </w:t>
      </w:r>
      <w:proofErr w:type="spellStart"/>
      <w:r w:rsidRPr="00A259BD">
        <w:rPr>
          <w:rFonts w:ascii="Times New Roman" w:hAnsi="Times New Roman"/>
          <w:color w:val="000000" w:themeColor="text1"/>
          <w:sz w:val="16"/>
          <w:szCs w:val="16"/>
        </w:rPr>
        <w:t>Волоковский</w:t>
      </w:r>
      <w:proofErr w:type="spellEnd"/>
      <w:r w:rsidRPr="00A259BD">
        <w:rPr>
          <w:rFonts w:ascii="Times New Roman" w:hAnsi="Times New Roman"/>
          <w:color w:val="000000" w:themeColor="text1"/>
          <w:sz w:val="16"/>
          <w:szCs w:val="16"/>
        </w:rPr>
        <w:t>, (-09.1937-01.1938г.-)- П.И. Крюков.</w:t>
      </w:r>
    </w:p>
    <w:p w14:paraId="742CBE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Помощник директора по найму и увольнению (28.09.1938г.-)- И.М. Лобов.</w:t>
      </w:r>
      <w:r w:rsidRPr="00A259BD">
        <w:rPr>
          <w:rFonts w:ascii="Times New Roman" w:hAnsi="Times New Roman"/>
          <w:color w:val="000000" w:themeColor="text1"/>
          <w:sz w:val="16"/>
          <w:szCs w:val="16"/>
          <w:vertAlign w:val="superscript"/>
        </w:rPr>
        <w:t>Ь9</w:t>
      </w:r>
    </w:p>
    <w:p w14:paraId="73915E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Руководитель группы телевидения (1936-37г.) - А.А. Расплетин (11982).</w:t>
      </w:r>
    </w:p>
    <w:p w14:paraId="2AD66F10" w14:textId="77777777" w:rsidR="001D6576" w:rsidRPr="00A259BD" w:rsidRDefault="001D6576"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F6F91C0" w14:textId="77777777" w:rsidR="00F80FAE"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763763E4" w14:textId="77777777" w:rsidR="00F80FAE" w:rsidRPr="00A259BD" w:rsidRDefault="00F80FA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6000675" w14:textId="77777777" w:rsidR="00F80FAE" w:rsidRPr="00A259BD" w:rsidRDefault="00F80FAE" w:rsidP="009236E3">
      <w:pPr>
        <w:pStyle w:val="a3"/>
        <w:rPr>
          <w:color w:val="000000" w:themeColor="text1"/>
          <w:lang w:val="ru-RU"/>
        </w:rPr>
      </w:pPr>
      <w:r w:rsidRPr="00A259BD">
        <w:rPr>
          <w:color w:val="000000" w:themeColor="text1"/>
          <w:lang w:val="ru-RU"/>
        </w:rPr>
        <w:t>До 6 декабря 1929 по журналу боевых действий значится только разведка. Самолёты следили за отступлением китайских войск. За период боев эскадрилья и два отряда За</w:t>
      </w:r>
      <w:r w:rsidRPr="00A259BD">
        <w:rPr>
          <w:color w:val="000000" w:themeColor="text1"/>
          <w:lang w:val="ru-RU"/>
        </w:rPr>
        <w:softHyphen/>
        <w:t>байкальской группы потеряли в общей сложности три самолёта. 19 машин получили пу</w:t>
      </w:r>
      <w:r w:rsidRPr="00A259BD">
        <w:rPr>
          <w:color w:val="000000" w:themeColor="text1"/>
          <w:lang w:val="ru-RU"/>
        </w:rPr>
        <w:softHyphen/>
        <w:t>левые пробоины. Один экипаж попал в плен, лётчик Борейко был ранен (15819).</w:t>
      </w:r>
    </w:p>
    <w:p w14:paraId="0A048E40" w14:textId="77777777" w:rsidR="00F80FAE" w:rsidRPr="00A259BD" w:rsidRDefault="00F80FAE" w:rsidP="009236E3">
      <w:pPr>
        <w:pStyle w:val="a3"/>
        <w:rPr>
          <w:color w:val="000000" w:themeColor="text1"/>
          <w:lang w:val="ru-RU"/>
        </w:rPr>
      </w:pPr>
    </w:p>
    <w:p w14:paraId="6BD1D542" w14:textId="77777777" w:rsidR="00F80FAE"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6BEF4507" w14:textId="77777777" w:rsidR="00F80FAE" w:rsidRPr="00A259BD" w:rsidRDefault="00F80FA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53807B7" w14:textId="77777777" w:rsidR="00F80FAE" w:rsidRPr="00A259BD" w:rsidRDefault="00F80FAE"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6 декабря</w:t>
      </w:r>
      <w:r w:rsidRPr="00A259BD">
        <w:rPr>
          <w:rFonts w:ascii="Times New Roman" w:hAnsi="Times New Roman"/>
          <w:color w:val="000000" w:themeColor="text1"/>
          <w:sz w:val="16"/>
          <w:szCs w:val="16"/>
        </w:rPr>
        <w:t xml:space="preserve"> в 1929 году НКВД СССР принял с грифом "Совершенно секретно" постановление №118: "Запретить совершенно так называемый трезвон, или звон во все колокола; при сокращении колокольного звона колокола должны быть сняты и переданы в государственные учреждения для использования в хозяйственных нуждах" (14852).</w:t>
      </w:r>
    </w:p>
    <w:p w14:paraId="618CE027" w14:textId="77777777" w:rsidR="00F80FAE" w:rsidRPr="00A259BD" w:rsidRDefault="00F80FAE" w:rsidP="009236E3">
      <w:pPr>
        <w:spacing w:after="0" w:line="240" w:lineRule="auto"/>
        <w:jc w:val="both"/>
        <w:rPr>
          <w:rFonts w:ascii="Times New Roman" w:hAnsi="Times New Roman"/>
          <w:color w:val="000000" w:themeColor="text1"/>
          <w:sz w:val="16"/>
          <w:szCs w:val="16"/>
        </w:rPr>
      </w:pPr>
    </w:p>
    <w:p w14:paraId="74802EDA" w14:textId="77777777" w:rsidR="00F80FAE"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492569B" w14:textId="77777777" w:rsidR="00F80FAE" w:rsidRPr="00A259BD" w:rsidRDefault="00F80FA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D116A6D" w14:textId="77777777" w:rsidR="00F80FAE" w:rsidRPr="00A259BD" w:rsidRDefault="00F80FAE"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6 декабря</w:t>
      </w:r>
      <w:r w:rsidRPr="00A259BD">
        <w:rPr>
          <w:rFonts w:ascii="Times New Roman" w:hAnsi="Times New Roman"/>
          <w:color w:val="000000" w:themeColor="text1"/>
          <w:sz w:val="16"/>
          <w:szCs w:val="16"/>
        </w:rPr>
        <w:t xml:space="preserve"> в 1929 году в Турции вводится равное право голоса для женщин (14852).</w:t>
      </w:r>
    </w:p>
    <w:p w14:paraId="102CA3A7" w14:textId="77777777" w:rsidR="00F80FAE" w:rsidRPr="00A259BD" w:rsidRDefault="00F80FAE" w:rsidP="009236E3">
      <w:pPr>
        <w:spacing w:after="0" w:line="240" w:lineRule="auto"/>
        <w:jc w:val="both"/>
        <w:rPr>
          <w:rFonts w:ascii="Times New Roman" w:hAnsi="Times New Roman"/>
          <w:color w:val="000000" w:themeColor="text1"/>
          <w:sz w:val="16"/>
          <w:szCs w:val="16"/>
        </w:rPr>
      </w:pPr>
    </w:p>
    <w:p w14:paraId="1B8EFF2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7DF71E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2228D7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начала декабря 1929 и в те</w:t>
      </w:r>
      <w:r w:rsidRPr="00A259BD">
        <w:rPr>
          <w:rFonts w:ascii="Times New Roman" w:hAnsi="Times New Roman"/>
          <w:color w:val="000000" w:themeColor="text1"/>
          <w:sz w:val="16"/>
          <w:szCs w:val="16"/>
        </w:rPr>
        <w:softHyphen/>
        <w:t>чение ближайшего года разработка новых типов бронеавто</w:t>
      </w:r>
      <w:r w:rsidRPr="00A259BD">
        <w:rPr>
          <w:rFonts w:ascii="Times New Roman" w:hAnsi="Times New Roman"/>
          <w:color w:val="000000" w:themeColor="text1"/>
          <w:sz w:val="16"/>
          <w:szCs w:val="16"/>
        </w:rPr>
        <w:softHyphen/>
        <w:t xml:space="preserve">мобилей была тесно связана с именем Николая </w:t>
      </w:r>
      <w:proofErr w:type="spellStart"/>
      <w:r w:rsidRPr="00A259BD">
        <w:rPr>
          <w:rFonts w:ascii="Times New Roman" w:hAnsi="Times New Roman"/>
          <w:color w:val="000000" w:themeColor="text1"/>
          <w:sz w:val="16"/>
          <w:szCs w:val="16"/>
        </w:rPr>
        <w:t>Дыренкова</w:t>
      </w:r>
      <w:proofErr w:type="spellEnd"/>
      <w:r w:rsidRPr="00A259BD">
        <w:rPr>
          <w:rFonts w:ascii="Times New Roman" w:hAnsi="Times New Roman"/>
          <w:color w:val="000000" w:themeColor="text1"/>
          <w:sz w:val="16"/>
          <w:szCs w:val="16"/>
        </w:rPr>
        <w:t>, талантливого изобретателя-самоучки, не имевшего ника</w:t>
      </w:r>
      <w:r w:rsidRPr="00A259BD">
        <w:rPr>
          <w:rFonts w:ascii="Times New Roman" w:hAnsi="Times New Roman"/>
          <w:color w:val="000000" w:themeColor="text1"/>
          <w:sz w:val="16"/>
          <w:szCs w:val="16"/>
        </w:rPr>
        <w:softHyphen/>
        <w:t>кого специального образования. Однако он обладал кипу</w:t>
      </w:r>
      <w:r w:rsidRPr="00A259BD">
        <w:rPr>
          <w:rFonts w:ascii="Times New Roman" w:hAnsi="Times New Roman"/>
          <w:color w:val="000000" w:themeColor="text1"/>
          <w:sz w:val="16"/>
          <w:szCs w:val="16"/>
        </w:rPr>
        <w:softHyphen/>
        <w:t>чей энергией и высокими амбициями, поэтому пробивал себе дорогу “наверх” любыми средствами. Его карьера на</w:t>
      </w:r>
      <w:r w:rsidRPr="00A259BD">
        <w:rPr>
          <w:rFonts w:ascii="Times New Roman" w:hAnsi="Times New Roman"/>
          <w:color w:val="000000" w:themeColor="text1"/>
          <w:sz w:val="16"/>
          <w:szCs w:val="16"/>
        </w:rPr>
        <w:softHyphen/>
        <w:t>чалась в 1928 году, когда он спроектировал “железнодорож</w:t>
      </w:r>
      <w:r w:rsidRPr="00A259BD">
        <w:rPr>
          <w:rFonts w:ascii="Times New Roman" w:hAnsi="Times New Roman"/>
          <w:color w:val="000000" w:themeColor="text1"/>
          <w:sz w:val="16"/>
          <w:szCs w:val="16"/>
        </w:rPr>
        <w:softHyphen/>
        <w:t xml:space="preserve">ный авто-вагон” (с двигателем внутреннего сгорания) для народного комиссариата здравоохранения Украины. Вагон был построен и успешно эксплуатировался, пройдя за год более 6500 км. 5 октября 1929 года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xml:space="preserve"> направил в реввоенсовет СССР письмо с предложением построить средний колесно-гусеничный танк собственной конструк</w:t>
      </w:r>
      <w:r w:rsidRPr="00A259BD">
        <w:rPr>
          <w:rFonts w:ascii="Times New Roman" w:hAnsi="Times New Roman"/>
          <w:color w:val="000000" w:themeColor="text1"/>
          <w:sz w:val="16"/>
          <w:szCs w:val="16"/>
        </w:rPr>
        <w:softHyphen/>
        <w:t>ции и 18 ноября сделал доклад на эту тему представителям РВС СССР и только что созданного управления моториза</w:t>
      </w:r>
      <w:r w:rsidRPr="00A259BD">
        <w:rPr>
          <w:rFonts w:ascii="Times New Roman" w:hAnsi="Times New Roman"/>
          <w:color w:val="000000" w:themeColor="text1"/>
          <w:sz w:val="16"/>
          <w:szCs w:val="16"/>
        </w:rPr>
        <w:softHyphen/>
        <w:t>ции и механизации РККА. Военным проект понравился, и было принято решение о постройке машины на Ижорском заводе.</w:t>
      </w:r>
    </w:p>
    <w:p w14:paraId="729A6F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Работы по постройке танка начались в декабре, причем в документах того времени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xml:space="preserve"> именовал себя “упол</w:t>
      </w:r>
      <w:r w:rsidRPr="00A259BD">
        <w:rPr>
          <w:rFonts w:ascii="Times New Roman" w:hAnsi="Times New Roman"/>
          <w:color w:val="000000" w:themeColor="text1"/>
          <w:sz w:val="16"/>
          <w:szCs w:val="16"/>
        </w:rPr>
        <w:softHyphen/>
        <w:t>номоченный РВС СССР по заказу особого назначения”. Ему в помощь выделили чертежников и инженеров. Одна</w:t>
      </w:r>
      <w:r w:rsidRPr="00A259BD">
        <w:rPr>
          <w:rFonts w:ascii="Times New Roman" w:hAnsi="Times New Roman"/>
          <w:color w:val="000000" w:themeColor="text1"/>
          <w:sz w:val="16"/>
          <w:szCs w:val="16"/>
        </w:rPr>
        <w:softHyphen/>
        <w:t>ко изготовление машины затянулось — заводу не хватало оборудования, материалов да и просто времени на построй</w:t>
      </w:r>
      <w:r w:rsidRPr="00A259BD">
        <w:rPr>
          <w:rFonts w:ascii="Times New Roman" w:hAnsi="Times New Roman"/>
          <w:color w:val="000000" w:themeColor="text1"/>
          <w:sz w:val="16"/>
          <w:szCs w:val="16"/>
        </w:rPr>
        <w:softHyphen/>
        <w:t>ку танка. Тем временем энергичный изобретатель не терял времени даром — он начал работы по изготовлению свар</w:t>
      </w:r>
      <w:r w:rsidRPr="00A259BD">
        <w:rPr>
          <w:rFonts w:ascii="Times New Roman" w:hAnsi="Times New Roman"/>
          <w:color w:val="000000" w:themeColor="text1"/>
          <w:sz w:val="16"/>
          <w:szCs w:val="16"/>
        </w:rPr>
        <w:softHyphen/>
        <w:t>ных бронекорпусов для танков МС-1, предложил проект бронированных тракторов и колесной танкетки (11284).</w:t>
      </w:r>
    </w:p>
    <w:p w14:paraId="29AA62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8A13FEB" w14:textId="77777777" w:rsidR="00B16BFE" w:rsidRPr="00A259BD" w:rsidRDefault="00B16BF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начале декабря 1929 года, из этой категории арестованных авиаспециалистов Экономическое управление ОГПУ организовало в Бутырской тюрьме «Особое конструкторское бюро», назначив неофициальным техническим руководителем Д.П. Григоровича, а Н.Н. Поликарпова – его заместителем. Административным руководителем ОКБ был поставлен функционер Экономического управления (ЭКУ) ОГПУ СССР А.Г. </w:t>
      </w:r>
      <w:proofErr w:type="spellStart"/>
      <w:r w:rsidRPr="00A259BD">
        <w:rPr>
          <w:rFonts w:ascii="Times New Roman" w:hAnsi="Times New Roman"/>
          <w:color w:val="000000" w:themeColor="text1"/>
          <w:sz w:val="16"/>
          <w:szCs w:val="16"/>
        </w:rPr>
        <w:t>Горянов</w:t>
      </w:r>
      <w:proofErr w:type="spellEnd"/>
      <w:r w:rsidRPr="00A259BD">
        <w:rPr>
          <w:rFonts w:ascii="Times New Roman" w:hAnsi="Times New Roman"/>
          <w:color w:val="000000" w:themeColor="text1"/>
          <w:sz w:val="16"/>
          <w:szCs w:val="16"/>
        </w:rPr>
        <w:t xml:space="preserve">–Горный. За организацию труда и быта «сотрудников ОКБ» отвечал </w:t>
      </w:r>
      <w:proofErr w:type="spellStart"/>
      <w:r w:rsidRPr="00A259BD">
        <w:rPr>
          <w:rFonts w:ascii="Times New Roman" w:hAnsi="Times New Roman"/>
          <w:color w:val="000000" w:themeColor="text1"/>
          <w:sz w:val="16"/>
          <w:szCs w:val="16"/>
        </w:rPr>
        <w:t>Змуда</w:t>
      </w:r>
      <w:proofErr w:type="spellEnd"/>
      <w:r w:rsidRPr="00A259BD">
        <w:rPr>
          <w:rFonts w:ascii="Times New Roman" w:hAnsi="Times New Roman"/>
          <w:color w:val="000000" w:themeColor="text1"/>
          <w:sz w:val="16"/>
          <w:szCs w:val="16"/>
        </w:rPr>
        <w:t xml:space="preserve"> – также представитель ОГПУ.</w:t>
      </w:r>
    </w:p>
    <w:p w14:paraId="2D1DC17C" w14:textId="77777777" w:rsidR="00B16BFE" w:rsidRPr="00A259BD" w:rsidRDefault="00B16BF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работы в тюрьме были выделены помещения, оборудованные чертежными досками и другими принадлежностями. Коллектив ОКБ отличался очень высокой квалификацией. Эскизным проектированием истребителя занимался Н.Н. Поликарпов: набрасывали эскизы и другие конструкторы, в том числе Д.П. Григорович. Они же вели и основные расчеты, с привлечением Б.Ф. Гончарова и В.В. Калинина (18293).</w:t>
      </w:r>
    </w:p>
    <w:p w14:paraId="699484D7" w14:textId="77777777" w:rsidR="00B16BFE" w:rsidRPr="00A259BD" w:rsidRDefault="00B16BFE" w:rsidP="009236E3">
      <w:pPr>
        <w:spacing w:after="0" w:line="240" w:lineRule="auto"/>
        <w:jc w:val="both"/>
        <w:rPr>
          <w:rFonts w:ascii="Times New Roman" w:hAnsi="Times New Roman"/>
          <w:color w:val="000000" w:themeColor="text1"/>
          <w:sz w:val="16"/>
          <w:szCs w:val="16"/>
        </w:rPr>
      </w:pPr>
    </w:p>
    <w:p w14:paraId="01B9214C" w14:textId="77777777" w:rsidR="00DA14E0"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63F1762" w14:textId="77777777" w:rsidR="00DA14E0" w:rsidRPr="00A259BD" w:rsidRDefault="00DA14E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D70DBFA" w14:textId="77777777" w:rsidR="00DA14E0" w:rsidRPr="00A259BD" w:rsidRDefault="00DA14E0"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7 декабря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РЗ СТО СССР о передаче НКВМ и НКПС судовой брони, хранящейся на предприятиях промышленности (РГАЭ. Ф. 4372. Оп. 91. Д. 349. Л. 183?182) (12415).</w:t>
      </w:r>
    </w:p>
    <w:p w14:paraId="5DB3DA57" w14:textId="77777777" w:rsidR="00DA14E0" w:rsidRPr="00A259BD" w:rsidRDefault="00DA14E0"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Постановление РЗ СТО СССР об упорядочении работы по подготовке автотранспорта СССР к обороне (РГАЭ. Ф. 4372. Оп. 91. Д. 349. Л. 228?226) (12415).</w:t>
      </w:r>
    </w:p>
    <w:p w14:paraId="57CC113F" w14:textId="77777777" w:rsidR="00DA14E0" w:rsidRPr="00A259BD" w:rsidRDefault="00DA14E0" w:rsidP="009236E3">
      <w:pPr>
        <w:spacing w:after="0" w:line="240" w:lineRule="auto"/>
        <w:jc w:val="both"/>
        <w:rPr>
          <w:rFonts w:ascii="Times New Roman" w:hAnsi="Times New Roman"/>
          <w:color w:val="000000" w:themeColor="text1"/>
          <w:sz w:val="16"/>
          <w:szCs w:val="16"/>
          <w:u w:color="002060"/>
        </w:rPr>
      </w:pPr>
    </w:p>
    <w:p w14:paraId="4ABE8F54"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0B8D638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A2F2B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декабря 1929 вышло Постановление СНК СССР “О финансировании лагерей ОГПУ”, в котором все ИТЛ были переведены на самоокупаемость и освобождены от уплаты подоходного налога и промыслового налога с оборота. Перевод мест лишения свободы на самоокупаемость снимал с государства бремя расходов на содержание практически любых масс заключенных, так как стоимость выполнения ими работ покрывала, иногда с превышением, все траты (9042).</w:t>
      </w:r>
    </w:p>
    <w:p w14:paraId="0EA392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28E4C9"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7 декабря 1929 г. вышло Постановление СНК СССР "О финансировании лагерей ОГПУ" </w:t>
      </w:r>
    </w:p>
    <w:p w14:paraId="1FDDB7BB"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Совет Народных Комиссаров Союза ССР постановляет: </w:t>
      </w:r>
    </w:p>
    <w:p w14:paraId="17DE4A11"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Перевести с 1 октября 1929 г. Соловецкий, </w:t>
      </w:r>
      <w:proofErr w:type="spellStart"/>
      <w:r w:rsidRPr="00A259BD">
        <w:rPr>
          <w:rFonts w:ascii="Times New Roman" w:hAnsi="Times New Roman"/>
          <w:color w:val="000000" w:themeColor="text1"/>
          <w:sz w:val="16"/>
          <w:szCs w:val="16"/>
        </w:rPr>
        <w:t>Вишерский</w:t>
      </w:r>
      <w:proofErr w:type="spellEnd"/>
      <w:r w:rsidRPr="00A259BD">
        <w:rPr>
          <w:rFonts w:ascii="Times New Roman" w:hAnsi="Times New Roman"/>
          <w:color w:val="000000" w:themeColor="text1"/>
          <w:sz w:val="16"/>
          <w:szCs w:val="16"/>
        </w:rPr>
        <w:t xml:space="preserve"> и Северные (район Ухты) лагеря ОГПУ емкостью до 90 000 заключенных на самоокупаемость. </w:t>
      </w:r>
    </w:p>
    <w:p w14:paraId="45CC2C71"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Поручить Наркомфину СССР и ОГПУ в 3-х месячный срок определить и внести на утверждение Правительства размер необходимых средств для организации новых лагерей ОГПУ в Сибири, ДВК, Казахстане и Средней Азии в соответствии с постановлением СНК СССР от 15 августа 1929 г. Поручить НКФ СССР и ОГПУ привлечь к обсуждению этого вопроса, в случае необходимости, представителей заинтересованных республик. </w:t>
      </w:r>
    </w:p>
    <w:p w14:paraId="44D1C2B8"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Поручить НКФ СССР освободить предприятия перечисленных выше лагерей ОГПУ от уплаты подоходного налога и от промыслового налога с оборота предприятий, падающего на отпуск товаров другим предприятиям лагерей ОГПУ и на нужды заключенных. </w:t>
      </w:r>
    </w:p>
    <w:p w14:paraId="3E27D440"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Председатель подготовительной комиссии СНК Союза ССР Г. </w:t>
      </w:r>
      <w:proofErr w:type="spellStart"/>
      <w:r w:rsidRPr="00A259BD">
        <w:rPr>
          <w:rFonts w:ascii="Times New Roman" w:hAnsi="Times New Roman"/>
          <w:color w:val="000000" w:themeColor="text1"/>
          <w:sz w:val="16"/>
          <w:szCs w:val="16"/>
        </w:rPr>
        <w:t>Леплевский</w:t>
      </w:r>
      <w:proofErr w:type="spellEnd"/>
    </w:p>
    <w:p w14:paraId="19067910"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Утверждается. </w:t>
      </w:r>
    </w:p>
    <w:p w14:paraId="285F1E2D"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председателя Совета Народных Комиссаров Союза ССР Б. Шмидт (12107).</w:t>
      </w:r>
    </w:p>
    <w:p w14:paraId="641563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8917C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D62BE0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0211957"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8 декабря 1929 </w:t>
      </w:r>
      <w:r w:rsidRPr="00A259BD">
        <w:rPr>
          <w:rFonts w:ascii="Times New Roman" w:hAnsi="Times New Roman"/>
          <w:color w:val="000000" w:themeColor="text1"/>
          <w:sz w:val="16"/>
          <w:szCs w:val="16"/>
        </w:rPr>
        <w:t>2-я сессия ЦИК 5-го созыва приняла постановления: «О едином государственном бюджете СССР на 1929/30 г.», «Об утверждении отчета по исполнению единого государственного бюджета СССР за 1927/28 г.», «По докладу о тракторостроении и сельхозмашиностроении» (12265).</w:t>
      </w:r>
    </w:p>
    <w:p w14:paraId="00D5EFAF"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2A58AE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8 декабря 1929 года по докладу военпре</w:t>
      </w:r>
      <w:r w:rsidRPr="00A259BD">
        <w:rPr>
          <w:rFonts w:ascii="Times New Roman" w:hAnsi="Times New Roman"/>
          <w:color w:val="000000" w:themeColor="text1"/>
          <w:sz w:val="16"/>
          <w:szCs w:val="16"/>
        </w:rPr>
        <w:softHyphen/>
        <w:t>да по поводу выполнения заказа на бронеавтомобили БА-27: “За октябрь изготовлено первые 20 машин, за ноябрь — 12, по 8 декаб</w:t>
      </w:r>
      <w:r w:rsidRPr="00A259BD">
        <w:rPr>
          <w:rFonts w:ascii="Times New Roman" w:hAnsi="Times New Roman"/>
          <w:color w:val="000000" w:themeColor="text1"/>
          <w:sz w:val="16"/>
          <w:szCs w:val="16"/>
        </w:rPr>
        <w:softHyphen/>
        <w:t>ря - 11, всего 43. Готовы на 90 % - 11, на 80% - 8, на 70% -8, на 50% — 11, свободных шасси - 3, итого 73 машины” (11284).</w:t>
      </w:r>
    </w:p>
    <w:p w14:paraId="272063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8989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8 декабря 1929 </w:t>
      </w:r>
      <w:proofErr w:type="spellStart"/>
      <w:r w:rsidRPr="00A259BD">
        <w:rPr>
          <w:rFonts w:ascii="Times New Roman" w:hAnsi="Times New Roman"/>
          <w:color w:val="000000" w:themeColor="text1"/>
          <w:sz w:val="16"/>
          <w:szCs w:val="16"/>
        </w:rPr>
        <w:t>годапо</w:t>
      </w:r>
      <w:proofErr w:type="spellEnd"/>
      <w:r w:rsidRPr="00A259BD">
        <w:rPr>
          <w:rFonts w:ascii="Times New Roman" w:hAnsi="Times New Roman"/>
          <w:color w:val="000000" w:themeColor="text1"/>
          <w:sz w:val="16"/>
          <w:szCs w:val="16"/>
        </w:rPr>
        <w:t xml:space="preserve"> докладу военпреда, датированного: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w:t>
      </w:r>
      <w:proofErr w:type="spellStart"/>
      <w:r w:rsidRPr="00A259BD">
        <w:rPr>
          <w:rFonts w:ascii="Times New Roman" w:hAnsi="Times New Roman"/>
          <w:color w:val="000000" w:themeColor="text1"/>
          <w:sz w:val="16"/>
          <w:szCs w:val="16"/>
        </w:rPr>
        <w:t>т.д</w:t>
      </w:r>
      <w:proofErr w:type="spellEnd"/>
      <w:r w:rsidRPr="00A259BD">
        <w:rPr>
          <w:rFonts w:ascii="Times New Roman" w:hAnsi="Times New Roman"/>
          <w:color w:val="000000" w:themeColor="text1"/>
          <w:sz w:val="16"/>
          <w:szCs w:val="16"/>
        </w:rPr>
        <w:t>;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w:t>
      </w:r>
      <w:proofErr w:type="spellStart"/>
      <w:r w:rsidRPr="00A259BD">
        <w:rPr>
          <w:rFonts w:ascii="Times New Roman" w:hAnsi="Times New Roman"/>
          <w:color w:val="000000" w:themeColor="text1"/>
          <w:sz w:val="16"/>
          <w:szCs w:val="16"/>
        </w:rPr>
        <w:t>Тимкен</w:t>
      </w:r>
      <w:proofErr w:type="spellEnd"/>
      <w:r w:rsidRPr="00A259BD">
        <w:rPr>
          <w:rFonts w:ascii="Times New Roman" w:hAnsi="Times New Roman"/>
          <w:color w:val="000000" w:themeColor="text1"/>
          <w:sz w:val="16"/>
          <w:szCs w:val="16"/>
        </w:rPr>
        <w:t xml:space="preserve">».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w:t>
      </w:r>
      <w:proofErr w:type="spellStart"/>
      <w:r w:rsidRPr="00A259BD">
        <w:rPr>
          <w:rFonts w:ascii="Times New Roman" w:hAnsi="Times New Roman"/>
          <w:color w:val="000000" w:themeColor="text1"/>
          <w:sz w:val="16"/>
          <w:szCs w:val="16"/>
        </w:rPr>
        <w:t>автоброневые</w:t>
      </w:r>
      <w:proofErr w:type="spellEnd"/>
      <w:r w:rsidRPr="00A259BD">
        <w:rPr>
          <w:rFonts w:ascii="Times New Roman" w:hAnsi="Times New Roman"/>
          <w:color w:val="000000" w:themeColor="text1"/>
          <w:sz w:val="16"/>
          <w:szCs w:val="16"/>
        </w:rPr>
        <w:t xml:space="preserve">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w:t>
      </w:r>
      <w:proofErr w:type="spellStart"/>
      <w:r w:rsidRPr="00A259BD">
        <w:rPr>
          <w:rFonts w:ascii="Times New Roman" w:hAnsi="Times New Roman"/>
          <w:color w:val="000000" w:themeColor="text1"/>
          <w:sz w:val="16"/>
          <w:szCs w:val="16"/>
        </w:rPr>
        <w:t>мото</w:t>
      </w:r>
      <w:proofErr w:type="spellEnd"/>
      <w:r w:rsidRPr="00A259BD">
        <w:rPr>
          <w:rFonts w:ascii="Times New Roman" w:hAnsi="Times New Roman"/>
          <w:color w:val="000000" w:themeColor="text1"/>
          <w:sz w:val="16"/>
          <w:szCs w:val="16"/>
        </w:rPr>
        <w:t xml:space="preserve">-отрядов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w:t>
      </w:r>
      <w:proofErr w:type="spellStart"/>
      <w:r w:rsidRPr="00A259BD">
        <w:rPr>
          <w:rFonts w:ascii="Times New Roman" w:hAnsi="Times New Roman"/>
          <w:color w:val="000000" w:themeColor="text1"/>
          <w:sz w:val="16"/>
          <w:szCs w:val="16"/>
        </w:rPr>
        <w:t>бронеэскадронов</w:t>
      </w:r>
      <w:proofErr w:type="spellEnd"/>
      <w:r w:rsidRPr="00A259BD">
        <w:rPr>
          <w:rFonts w:ascii="Times New Roman" w:hAnsi="Times New Roman"/>
          <w:color w:val="000000" w:themeColor="text1"/>
          <w:sz w:val="16"/>
          <w:szCs w:val="16"/>
        </w:rPr>
        <w:t xml:space="preserve">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w:t>
      </w:r>
      <w:proofErr w:type="spellStart"/>
      <w:r w:rsidRPr="00A259BD">
        <w:rPr>
          <w:rFonts w:ascii="Times New Roman" w:hAnsi="Times New Roman"/>
          <w:color w:val="000000" w:themeColor="text1"/>
          <w:sz w:val="16"/>
          <w:szCs w:val="16"/>
        </w:rPr>
        <w:t>Араватом</w:t>
      </w:r>
      <w:proofErr w:type="spellEnd"/>
      <w:r w:rsidRPr="00A259BD">
        <w:rPr>
          <w:rFonts w:ascii="Times New Roman" w:hAnsi="Times New Roman"/>
          <w:color w:val="000000" w:themeColor="text1"/>
          <w:sz w:val="16"/>
          <w:szCs w:val="16"/>
        </w:rPr>
        <w:t xml:space="preserve">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5770CF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1DDE98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A259BD" w:rsidRPr="00A259BD" w14:paraId="29DD80EF" w14:textId="77777777" w:rsidTr="009864FE">
        <w:tc>
          <w:tcPr>
            <w:tcW w:w="4715" w:type="dxa"/>
            <w:tcBorders>
              <w:top w:val="single" w:sz="12" w:space="0" w:color="auto"/>
            </w:tcBorders>
          </w:tcPr>
          <w:p w14:paraId="7F9530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Масса</w:t>
            </w:r>
          </w:p>
        </w:tc>
        <w:tc>
          <w:tcPr>
            <w:tcW w:w="4800" w:type="dxa"/>
            <w:tcBorders>
              <w:top w:val="single" w:sz="12" w:space="0" w:color="auto"/>
            </w:tcBorders>
          </w:tcPr>
          <w:p w14:paraId="197147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4100 кг</w:t>
            </w:r>
          </w:p>
        </w:tc>
      </w:tr>
      <w:tr w:rsidR="00A259BD" w:rsidRPr="00A259BD" w14:paraId="1D84E355" w14:textId="77777777" w:rsidTr="009864FE">
        <w:tc>
          <w:tcPr>
            <w:tcW w:w="4715" w:type="dxa"/>
          </w:tcPr>
          <w:p w14:paraId="31A820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Экипаж</w:t>
            </w:r>
          </w:p>
        </w:tc>
        <w:tc>
          <w:tcPr>
            <w:tcW w:w="4800" w:type="dxa"/>
          </w:tcPr>
          <w:p w14:paraId="19EFBF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человека</w:t>
            </w:r>
          </w:p>
        </w:tc>
      </w:tr>
      <w:tr w:rsidR="00A259BD" w:rsidRPr="00A259BD" w14:paraId="40327E35" w14:textId="77777777" w:rsidTr="009864FE">
        <w:tc>
          <w:tcPr>
            <w:tcW w:w="4715" w:type="dxa"/>
          </w:tcPr>
          <w:p w14:paraId="0E11F5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Длина</w:t>
            </w:r>
          </w:p>
        </w:tc>
        <w:tc>
          <w:tcPr>
            <w:tcW w:w="4800" w:type="dxa"/>
          </w:tcPr>
          <w:p w14:paraId="61F647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4617 мм</w:t>
            </w:r>
          </w:p>
        </w:tc>
      </w:tr>
      <w:tr w:rsidR="00A259BD" w:rsidRPr="00A259BD" w14:paraId="6E300F1C" w14:textId="77777777" w:rsidTr="009864FE">
        <w:tc>
          <w:tcPr>
            <w:tcW w:w="4715" w:type="dxa"/>
          </w:tcPr>
          <w:p w14:paraId="6C207D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Ширина</w:t>
            </w:r>
          </w:p>
        </w:tc>
        <w:tc>
          <w:tcPr>
            <w:tcW w:w="4800" w:type="dxa"/>
          </w:tcPr>
          <w:p w14:paraId="358298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1710 мм</w:t>
            </w:r>
          </w:p>
        </w:tc>
      </w:tr>
      <w:tr w:rsidR="00A259BD" w:rsidRPr="00A259BD" w14:paraId="5C3C4766" w14:textId="77777777" w:rsidTr="009864FE">
        <w:tc>
          <w:tcPr>
            <w:tcW w:w="4715" w:type="dxa"/>
          </w:tcPr>
          <w:p w14:paraId="44C08C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w:t>
            </w:r>
          </w:p>
        </w:tc>
        <w:tc>
          <w:tcPr>
            <w:tcW w:w="4800" w:type="dxa"/>
          </w:tcPr>
          <w:p w14:paraId="29D7F0C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2520 мм</w:t>
            </w:r>
          </w:p>
        </w:tc>
      </w:tr>
      <w:tr w:rsidR="00A259BD" w:rsidRPr="00A259BD" w14:paraId="24A435C6" w14:textId="77777777" w:rsidTr="009864FE">
        <w:tc>
          <w:tcPr>
            <w:tcW w:w="4715" w:type="dxa"/>
          </w:tcPr>
          <w:p w14:paraId="0F8BF6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Клиренс</w:t>
            </w:r>
          </w:p>
        </w:tc>
        <w:tc>
          <w:tcPr>
            <w:tcW w:w="4800" w:type="dxa"/>
          </w:tcPr>
          <w:p w14:paraId="07856C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 мм</w:t>
            </w:r>
          </w:p>
        </w:tc>
      </w:tr>
      <w:tr w:rsidR="00A259BD" w:rsidRPr="00A259BD" w14:paraId="3A6434F8" w14:textId="77777777" w:rsidTr="009864FE">
        <w:tc>
          <w:tcPr>
            <w:tcW w:w="4715" w:type="dxa"/>
          </w:tcPr>
          <w:p w14:paraId="4AAFC1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Давление на грунт</w:t>
            </w:r>
          </w:p>
        </w:tc>
        <w:tc>
          <w:tcPr>
            <w:tcW w:w="4800" w:type="dxa"/>
          </w:tcPr>
          <w:p w14:paraId="538BEF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 кг/см2</w:t>
            </w:r>
          </w:p>
        </w:tc>
      </w:tr>
      <w:tr w:rsidR="00A259BD" w:rsidRPr="00A259BD" w14:paraId="70338596" w14:textId="77777777" w:rsidTr="009864FE">
        <w:tc>
          <w:tcPr>
            <w:tcW w:w="4715" w:type="dxa"/>
          </w:tcPr>
          <w:p w14:paraId="3150E5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Тип двигателя</w:t>
            </w:r>
          </w:p>
        </w:tc>
        <w:tc>
          <w:tcPr>
            <w:tcW w:w="4800" w:type="dxa"/>
          </w:tcPr>
          <w:p w14:paraId="078E11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4-х </w:t>
            </w:r>
            <w:proofErr w:type="spellStart"/>
            <w:r w:rsidRPr="00A259BD">
              <w:rPr>
                <w:rFonts w:ascii="Times New Roman" w:hAnsi="Times New Roman"/>
                <w:color w:val="000000" w:themeColor="text1"/>
                <w:sz w:val="16"/>
                <w:szCs w:val="16"/>
              </w:rPr>
              <w:t>цил</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карб</w:t>
            </w:r>
            <w:proofErr w:type="spellEnd"/>
            <w:r w:rsidRPr="00A259BD">
              <w:rPr>
                <w:rFonts w:ascii="Times New Roman" w:hAnsi="Times New Roman"/>
                <w:color w:val="000000" w:themeColor="text1"/>
                <w:sz w:val="16"/>
                <w:szCs w:val="16"/>
              </w:rPr>
              <w:t>. АМО</w:t>
            </w:r>
          </w:p>
        </w:tc>
      </w:tr>
      <w:tr w:rsidR="00A259BD" w:rsidRPr="00A259BD" w14:paraId="57D8DFE3" w14:textId="77777777" w:rsidTr="009864FE">
        <w:tc>
          <w:tcPr>
            <w:tcW w:w="4715" w:type="dxa"/>
          </w:tcPr>
          <w:p w14:paraId="0398B5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Мощность двигателя</w:t>
            </w:r>
          </w:p>
        </w:tc>
        <w:tc>
          <w:tcPr>
            <w:tcW w:w="4800" w:type="dxa"/>
          </w:tcPr>
          <w:p w14:paraId="147B43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 л.с.</w:t>
            </w:r>
          </w:p>
        </w:tc>
      </w:tr>
      <w:tr w:rsidR="00A259BD" w:rsidRPr="00A259BD" w14:paraId="1E8C2765" w14:textId="77777777" w:rsidTr="009864FE">
        <w:tc>
          <w:tcPr>
            <w:tcW w:w="4715" w:type="dxa"/>
          </w:tcPr>
          <w:p w14:paraId="3611DA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по шоссе</w:t>
            </w:r>
          </w:p>
        </w:tc>
        <w:tc>
          <w:tcPr>
            <w:tcW w:w="4800" w:type="dxa"/>
          </w:tcPr>
          <w:p w14:paraId="65EF0B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30 км/ч</w:t>
            </w:r>
          </w:p>
        </w:tc>
      </w:tr>
      <w:tr w:rsidR="00A259BD" w:rsidRPr="00A259BD" w14:paraId="68D64103" w14:textId="77777777" w:rsidTr="009864FE">
        <w:tc>
          <w:tcPr>
            <w:tcW w:w="4715" w:type="dxa"/>
          </w:tcPr>
          <w:p w14:paraId="01D01F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Запас хода по шоссе</w:t>
            </w:r>
          </w:p>
        </w:tc>
        <w:tc>
          <w:tcPr>
            <w:tcW w:w="4800" w:type="dxa"/>
          </w:tcPr>
          <w:p w14:paraId="28448C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180 км</w:t>
            </w:r>
          </w:p>
        </w:tc>
      </w:tr>
      <w:tr w:rsidR="00A259BD" w:rsidRPr="00A259BD" w14:paraId="17D5E1FF" w14:textId="77777777" w:rsidTr="009864FE">
        <w:tc>
          <w:tcPr>
            <w:tcW w:w="4715" w:type="dxa"/>
          </w:tcPr>
          <w:p w14:paraId="7E88F1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Преодолеваемый подъем</w:t>
            </w:r>
          </w:p>
        </w:tc>
        <w:tc>
          <w:tcPr>
            <w:tcW w:w="4800" w:type="dxa"/>
          </w:tcPr>
          <w:p w14:paraId="669FB4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15°</w:t>
            </w:r>
          </w:p>
        </w:tc>
      </w:tr>
      <w:tr w:rsidR="00A259BD" w:rsidRPr="00A259BD" w14:paraId="7E837E48" w14:textId="77777777" w:rsidTr="009864FE">
        <w:tc>
          <w:tcPr>
            <w:tcW w:w="4715" w:type="dxa"/>
          </w:tcPr>
          <w:p w14:paraId="034BA1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Вооружение</w:t>
            </w:r>
          </w:p>
        </w:tc>
        <w:tc>
          <w:tcPr>
            <w:tcW w:w="4800" w:type="dxa"/>
          </w:tcPr>
          <w:p w14:paraId="0773BF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37-мм пушка </w:t>
            </w:r>
            <w:proofErr w:type="spellStart"/>
            <w:r w:rsidRPr="00A259BD">
              <w:rPr>
                <w:rFonts w:ascii="Times New Roman" w:hAnsi="Times New Roman"/>
                <w:color w:val="000000" w:themeColor="text1"/>
                <w:sz w:val="16"/>
                <w:szCs w:val="16"/>
              </w:rPr>
              <w:t>Гочкис</w:t>
            </w:r>
            <w:proofErr w:type="spellEnd"/>
            <w:r w:rsidRPr="00A259BD">
              <w:rPr>
                <w:rFonts w:ascii="Times New Roman" w:hAnsi="Times New Roman"/>
                <w:color w:val="000000" w:themeColor="text1"/>
                <w:sz w:val="16"/>
                <w:szCs w:val="16"/>
              </w:rPr>
              <w:t>, 7,62-мм пулемет ДТ</w:t>
            </w:r>
          </w:p>
        </w:tc>
      </w:tr>
      <w:tr w:rsidR="00A259BD" w:rsidRPr="00A259BD" w14:paraId="44F32C3B" w14:textId="77777777" w:rsidTr="009864FE">
        <w:tc>
          <w:tcPr>
            <w:tcW w:w="4715" w:type="dxa"/>
          </w:tcPr>
          <w:p w14:paraId="15907E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Боекомплект</w:t>
            </w:r>
          </w:p>
        </w:tc>
        <w:tc>
          <w:tcPr>
            <w:tcW w:w="4800" w:type="dxa"/>
          </w:tcPr>
          <w:p w14:paraId="63440E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 снарядов, 2016 патронов</w:t>
            </w:r>
          </w:p>
        </w:tc>
      </w:tr>
      <w:tr w:rsidR="00A259BD" w:rsidRPr="00A259BD" w14:paraId="01643D87" w14:textId="77777777" w:rsidTr="009864FE">
        <w:tc>
          <w:tcPr>
            <w:tcW w:w="4715" w:type="dxa"/>
            <w:tcBorders>
              <w:bottom w:val="single" w:sz="12" w:space="0" w:color="auto"/>
            </w:tcBorders>
          </w:tcPr>
          <w:p w14:paraId="3FF4AE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Бронирование</w:t>
            </w:r>
          </w:p>
        </w:tc>
        <w:tc>
          <w:tcPr>
            <w:tcW w:w="4800" w:type="dxa"/>
            <w:tcBorders>
              <w:bottom w:val="single" w:sz="12" w:space="0" w:color="auto"/>
            </w:tcBorders>
          </w:tcPr>
          <w:p w14:paraId="28CAA6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 мм</w:t>
            </w:r>
          </w:p>
        </w:tc>
      </w:tr>
    </w:tbl>
    <w:p w14:paraId="7D9910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(11861).</w:t>
      </w:r>
    </w:p>
    <w:p w14:paraId="741707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27EF54D"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декабря 1929 г.</w:t>
      </w:r>
    </w:p>
    <w:p w14:paraId="4B9561F7"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Письмо бывшего председателя завкома Днепровского завода А. Белецкого в ЦК ВКП(б) о фактах «контрреволюции в металлопромышленности» в Донбассе в 1920-е гг. 8 декабря 1929 г.</w:t>
      </w:r>
    </w:p>
    <w:p w14:paraId="3CDC1626"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24A8C57"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декабря 1929 г.</w:t>
      </w:r>
    </w:p>
    <w:p w14:paraId="60F6CBF5"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СЕКРЕТНО</w:t>
      </w:r>
    </w:p>
    <w:p w14:paraId="76FB547C"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Ц.К. В.К.П.(б)</w:t>
      </w:r>
    </w:p>
    <w:p w14:paraId="22E51B20"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Москва.</w:t>
      </w:r>
    </w:p>
    <w:p w14:paraId="4A4E5AB0"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Возвращая докладную записку тов. ЯГОДЫ на имя тов. СТАЛИНА, об открытии контрреволюции в метало-промышленности сообщаю, что подозрения об этом у меня были еще в 1923 году.</w:t>
      </w:r>
    </w:p>
    <w:p w14:paraId="3AF9F764"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1-м съезде работников </w:t>
      </w:r>
      <w:proofErr w:type="spellStart"/>
      <w:r w:rsidRPr="00A259BD">
        <w:rPr>
          <w:rFonts w:ascii="Times New Roman" w:hAnsi="Times New Roman"/>
          <w:color w:val="000000" w:themeColor="text1"/>
          <w:sz w:val="16"/>
          <w:szCs w:val="16"/>
        </w:rPr>
        <w:t>Югостали</w:t>
      </w:r>
      <w:proofErr w:type="spellEnd"/>
      <w:r w:rsidRPr="00A259BD">
        <w:rPr>
          <w:rFonts w:ascii="Times New Roman" w:hAnsi="Times New Roman"/>
          <w:color w:val="000000" w:themeColor="text1"/>
          <w:sz w:val="16"/>
          <w:szCs w:val="16"/>
        </w:rPr>
        <w:t xml:space="preserve"> в Харькове, где я выступал против пуска Сталинского завода и вложения в него больших средств, так как тогда мы были еще бедны. В то время, на этом съезде СВИЦИН, БАРДИН, ГУЛЫГА и[,] к сожалению[,] коммунисты б. Управляющий Сталинского Комбината т. МАКАРОВ и Председатель Райкома Металлистов тов. ВОЛКОВ, меня сильно обругали, так как я рельефно защищал, что преступно вкладывать большие деньги в «старую галошу», а лучший в Союзе Каменский завод, настаивали те же СВИЦИН, БАРДИН, ГУЛЫГА[,] закрыть, говорили, что его не следует трепать, а нужно оставить до лучших дней.</w:t>
      </w:r>
    </w:p>
    <w:p w14:paraId="22948EEC"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Через некоторое время мне удалось уловить нить контрреволюционной группы работников Днепровского завода, о чем своевременно был поставлен в известность Уполномоченный ГПУ т. БОЙКО, после этого случайно было прочтено письмо б. Главного инженера ЖАРНОВСКОГО, присланное из Польши на имя б. Главного Бухгалтера ХРАПОВЕЦКОГО, это письмо случайно прочла подруга дочери ХРАПОВЕЦКОГО — жена СВЕРЧЕВСКОГО, она сказала мужу, а он сейчас же сообщил мне об этом. В письме было сказано, что «Общество Вам сократило жалование на 30 %».</w:t>
      </w:r>
    </w:p>
    <w:p w14:paraId="383BB42C"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Я об этом сейчас же донес ГПУ, сам выехал по делу завода к т. ДЗЕРЖИНСКОМУ, я ему в присутствии т. РЕДЕНСА рассказал обо всем, что делается на заводе и в частности об этом письме.</w:t>
      </w:r>
    </w:p>
    <w:p w14:paraId="657BDDEA"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 ДЗЕРЖИНСКИЙ внимательно выслушал, задал несколько вопросов, дал мне маленькую следующую записку[:] «т. КРИВОВУ — Дорогой Товарищ! Примите пожалуйста т. БЕЛЕЦКОГО, Председателя Завкома Днепропетровского завода. Ф. ДЗЕРЖИНСКИЙ 19/III- 2[5] г.[»] Записка у меня хранится.</w:t>
      </w:r>
    </w:p>
    <w:p w14:paraId="5BFD435B"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видимому, тов. ДЗЕРЖИНСКИЙ действовал не скверно, так как я на второй день встретил СВИЦИНА в Московской Конторе </w:t>
      </w:r>
      <w:proofErr w:type="spellStart"/>
      <w:r w:rsidRPr="00A259BD">
        <w:rPr>
          <w:rFonts w:ascii="Times New Roman" w:hAnsi="Times New Roman"/>
          <w:color w:val="000000" w:themeColor="text1"/>
          <w:sz w:val="16"/>
          <w:szCs w:val="16"/>
        </w:rPr>
        <w:t>Югостали</w:t>
      </w:r>
      <w:proofErr w:type="spellEnd"/>
      <w:r w:rsidRPr="00A259BD">
        <w:rPr>
          <w:rFonts w:ascii="Times New Roman" w:hAnsi="Times New Roman"/>
          <w:color w:val="000000" w:themeColor="text1"/>
          <w:sz w:val="16"/>
          <w:szCs w:val="16"/>
        </w:rPr>
        <w:t>, и он мне с «удивлением» сказал, что ночью арестовано 17 человек работников Днепровского завода.</w:t>
      </w:r>
    </w:p>
    <w:p w14:paraId="1E0DE2BC"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 ДЗЕРЖИНСКИЙ помог мне тем, что отложил закрытие завода на несколько месяцев.</w:t>
      </w:r>
    </w:p>
    <w:p w14:paraId="15C0169F"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так, я три раза по вопросу Днепровского завода бывал у т. ДЗЕРЖИНСКОГО, пока не удалось выявить Экономическую Контрреволюцию.</w:t>
      </w:r>
    </w:p>
    <w:p w14:paraId="0530A0D1"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последний раз, когда я выехал от имени всех организаций по этому вопросу (фактически нелегально, так как все официально были вынуждены согласиться с закрытием завода).</w:t>
      </w:r>
    </w:p>
    <w:p w14:paraId="3596173E"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Я приехал в Правление </w:t>
      </w:r>
      <w:proofErr w:type="spellStart"/>
      <w:r w:rsidRPr="00A259BD">
        <w:rPr>
          <w:rFonts w:ascii="Times New Roman" w:hAnsi="Times New Roman"/>
          <w:color w:val="000000" w:themeColor="text1"/>
          <w:sz w:val="16"/>
          <w:szCs w:val="16"/>
        </w:rPr>
        <w:t>Югостали</w:t>
      </w:r>
      <w:proofErr w:type="spellEnd"/>
      <w:r w:rsidRPr="00A259BD">
        <w:rPr>
          <w:rFonts w:ascii="Times New Roman" w:hAnsi="Times New Roman"/>
          <w:color w:val="000000" w:themeColor="text1"/>
          <w:sz w:val="16"/>
          <w:szCs w:val="16"/>
        </w:rPr>
        <w:t>, задал СВИЦИНУ вопрос, как он смотрит на пуск, вместо по одной доменной на Сталинском и им. Петровского заводах, 2-х доменных на Днепровском заводе, он мне ответил: «Я бы возражал», я ему ответил, [«]а я буду этот вопрос ставить[»], он ответил: «Я буду категорически возражать», тогда я сказал, что по вопросу этого завода я еду и дойду, хотя бы к самому СТАЛИНУ[,] и мне сейчас нетрудно с Вами воевать, поскольку я знаю, кто враг пуска Днепропетровского завода, Вы кладете деньги в пропасть.</w:t>
      </w:r>
    </w:p>
    <w:p w14:paraId="5A066A88"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Я сейчас же пошел в Украинский Комитет Металлистов[.] Украинский Комитет на второй день созвал заседание Президиума, куда был вызван тов. МАСЛОВ (Инженер с ВСНХ — коммунист), представитель от </w:t>
      </w:r>
      <w:proofErr w:type="spellStart"/>
      <w:r w:rsidRPr="00A259BD">
        <w:rPr>
          <w:rFonts w:ascii="Times New Roman" w:hAnsi="Times New Roman"/>
          <w:color w:val="000000" w:themeColor="text1"/>
          <w:sz w:val="16"/>
          <w:szCs w:val="16"/>
        </w:rPr>
        <w:t>Югостали</w:t>
      </w:r>
      <w:proofErr w:type="spellEnd"/>
      <w:r w:rsidRPr="00A259BD">
        <w:rPr>
          <w:rFonts w:ascii="Times New Roman" w:hAnsi="Times New Roman"/>
          <w:color w:val="000000" w:themeColor="text1"/>
          <w:sz w:val="16"/>
          <w:szCs w:val="16"/>
        </w:rPr>
        <w:t xml:space="preserve"> — Главный инженер ЛОМОВ, я сделал доклад, по моему докладу тов. МАСЛОВ задал несколько вопросов ЛОМОВУ[,] и один из вопросов «Будут ли в Днепровском заводе доменные печи перестраиваться или пускаться так как они есть». Тов. ЛОМОВ ответил, что «будут пускаться, так как они есть»[.] [Т]</w:t>
      </w:r>
      <w:proofErr w:type="spellStart"/>
      <w:r w:rsidRPr="00A259BD">
        <w:rPr>
          <w:rFonts w:ascii="Times New Roman" w:hAnsi="Times New Roman"/>
          <w:color w:val="000000" w:themeColor="text1"/>
          <w:sz w:val="16"/>
          <w:szCs w:val="16"/>
        </w:rPr>
        <w:t>огда</w:t>
      </w:r>
      <w:proofErr w:type="spellEnd"/>
      <w:r w:rsidRPr="00A259BD">
        <w:rPr>
          <w:rFonts w:ascii="Times New Roman" w:hAnsi="Times New Roman"/>
          <w:color w:val="000000" w:themeColor="text1"/>
          <w:sz w:val="16"/>
          <w:szCs w:val="16"/>
        </w:rPr>
        <w:t xml:space="preserve"> МАСЛОВ обрушился на </w:t>
      </w:r>
      <w:proofErr w:type="spellStart"/>
      <w:r w:rsidRPr="00A259BD">
        <w:rPr>
          <w:rFonts w:ascii="Times New Roman" w:hAnsi="Times New Roman"/>
          <w:color w:val="000000" w:themeColor="text1"/>
          <w:sz w:val="16"/>
          <w:szCs w:val="16"/>
        </w:rPr>
        <w:t>Югосталь</w:t>
      </w:r>
      <w:proofErr w:type="spellEnd"/>
      <w:r w:rsidRPr="00A259BD">
        <w:rPr>
          <w:rFonts w:ascii="Times New Roman" w:hAnsi="Times New Roman"/>
          <w:color w:val="000000" w:themeColor="text1"/>
          <w:sz w:val="16"/>
          <w:szCs w:val="16"/>
        </w:rPr>
        <w:t>, почему она до сих пор обманывала и почему не был первым пущен Днепровский завод[.] ЛОМОВ ответил, что после вчерашней моей беседы со СВИЦИНЫМ, СВИЦИН дал телеграфное распоряжение Днепровскому заводу немедленно приступить к ремонту 2-х доменных печей.</w:t>
      </w:r>
    </w:p>
    <w:p w14:paraId="4331C869"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Мне кажется, что здесь мы должны были понять, неужели СВИЦИН имел такую силу, что один давал такие важные распоряжения.</w:t>
      </w:r>
    </w:p>
    <w:p w14:paraId="67E23849"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Когда я пришел на завод[ы] Коминтерн и Коммунар, оба завода были в большом дефиците, пришлось вести ожесточенную войну с техническим персоналом, чтобы завод поставить на должную высоту и добиться рентабельности, но ничего не вышло до тех пор, пока не сняли ставленников СВИЦИНА, как Главного инженера РУБИНШТЕЙНА.</w:t>
      </w:r>
    </w:p>
    <w:p w14:paraId="6C96480C"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СВИЦИН по ИТС[,] споря со мной, довел это дело до ВСНХ СССР и только при настойчивой поддержке местных организаций и т. КАССИОРА И. В. мне удалось его снять.</w:t>
      </w:r>
    </w:p>
    <w:p w14:paraId="5C56D40B"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Когда я выставил обвинения РУБИНШТЕЙНУ, что он ведет техническое руководство заводом разрушительно, то он мне заявил, что он имеет от СВИЦИНА директиву, о которой мне не говорил. И недаром СВИЦИН препятствовал присоединению завода Карла Маркса к заводу Коминтерн, который граничит с ним, чтобы можно было питать болванкой завода Карла Маркса завод Коминтерн, на чем можно было экономить на одной оплате за перевозку болванки с разных заводов Донбасса 400 000 р. в год, не говоря о других экономиях.</w:t>
      </w:r>
    </w:p>
    <w:p w14:paraId="0A118231"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мое настоятельное требование соединить заводы, Правление заставило СВИЦИНА дать соображения по этому вопросу.</w:t>
      </w:r>
    </w:p>
    <w:p w14:paraId="5CBC3D42"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СВИЦИН посылает своих ставленников, как ДУДКЕВИЧ, которые дают заключение, которое нужно СВИЦИНУ.</w:t>
      </w:r>
    </w:p>
    <w:p w14:paraId="3C86F44E"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И получалось, что болванку с Днепропетровска продают на Урал и в </w:t>
      </w:r>
      <w:proofErr w:type="spellStart"/>
      <w:r w:rsidRPr="00A259BD">
        <w:rPr>
          <w:rFonts w:ascii="Times New Roman" w:hAnsi="Times New Roman"/>
          <w:color w:val="000000" w:themeColor="text1"/>
          <w:sz w:val="16"/>
          <w:szCs w:val="16"/>
        </w:rPr>
        <w:t>Краматорскую</w:t>
      </w:r>
      <w:proofErr w:type="spellEnd"/>
      <w:r w:rsidRPr="00A259BD">
        <w:rPr>
          <w:rFonts w:ascii="Times New Roman" w:hAnsi="Times New Roman"/>
          <w:color w:val="000000" w:themeColor="text1"/>
          <w:sz w:val="16"/>
          <w:szCs w:val="16"/>
        </w:rPr>
        <w:t xml:space="preserve">, а болванку с Таганрога, Мариуполя, </w:t>
      </w:r>
      <w:proofErr w:type="spellStart"/>
      <w:r w:rsidRPr="00A259BD">
        <w:rPr>
          <w:rFonts w:ascii="Times New Roman" w:hAnsi="Times New Roman"/>
          <w:color w:val="000000" w:themeColor="text1"/>
          <w:sz w:val="16"/>
          <w:szCs w:val="16"/>
        </w:rPr>
        <w:t>Юзовки</w:t>
      </w:r>
      <w:proofErr w:type="spellEnd"/>
      <w:r w:rsidRPr="00A259BD">
        <w:rPr>
          <w:rFonts w:ascii="Times New Roman" w:hAnsi="Times New Roman"/>
          <w:color w:val="000000" w:themeColor="text1"/>
          <w:sz w:val="16"/>
          <w:szCs w:val="16"/>
        </w:rPr>
        <w:t xml:space="preserve"> и других заводов Донбасса посылают в Днепропетровск.</w:t>
      </w:r>
    </w:p>
    <w:p w14:paraId="20571A52"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СВИЦИН дает распоряжение ломать новую мартеновскую печь на зав[оде] б. СИДУАРА «Ц» в Днепропетровске, под видом надобности кирпича. Ломается новая доменная печь на Днепровском заводе.</w:t>
      </w:r>
    </w:p>
    <w:p w14:paraId="4899884A"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 нашей поездке машиной, из Каменского в Днепропетровск, я[,] СВИЦИН и б. Председатель Треста </w:t>
      </w:r>
      <w:proofErr w:type="spellStart"/>
      <w:r w:rsidRPr="00A259BD">
        <w:rPr>
          <w:rFonts w:ascii="Times New Roman" w:hAnsi="Times New Roman"/>
          <w:color w:val="000000" w:themeColor="text1"/>
          <w:sz w:val="16"/>
          <w:szCs w:val="16"/>
        </w:rPr>
        <w:t>Югостали</w:t>
      </w:r>
      <w:proofErr w:type="spellEnd"/>
      <w:r w:rsidRPr="00A259BD">
        <w:rPr>
          <w:rFonts w:ascii="Times New Roman" w:hAnsi="Times New Roman"/>
          <w:color w:val="000000" w:themeColor="text1"/>
          <w:sz w:val="16"/>
          <w:szCs w:val="16"/>
        </w:rPr>
        <w:t xml:space="preserve"> т. СУДАКОВ, при подъезде к заводу «Ц» между СУДАКОВЫМ и СВИЦИНЫМ зашла речь о разборке двух доменных печей на лом, я вмешался в этот разговор, что на лом их пускать преждевременно, так как они могут быть использованы. Я считаю неверным, что Мартеновскую печь завода «Ц» поломали. Об этом не только мое роптание, оно имеется в среде рабочих. Возможно, что это тогда послужило задержкой в поломке этих доменных печей, о чем я говорил на совещании Правления Заводоуправления </w:t>
      </w:r>
      <w:proofErr w:type="spellStart"/>
      <w:r w:rsidRPr="00A259BD">
        <w:rPr>
          <w:rFonts w:ascii="Times New Roman" w:hAnsi="Times New Roman"/>
          <w:color w:val="000000" w:themeColor="text1"/>
          <w:sz w:val="16"/>
          <w:szCs w:val="16"/>
        </w:rPr>
        <w:t>Югостали</w:t>
      </w:r>
      <w:proofErr w:type="spellEnd"/>
      <w:r w:rsidRPr="00A259BD">
        <w:rPr>
          <w:rFonts w:ascii="Times New Roman" w:hAnsi="Times New Roman"/>
          <w:color w:val="000000" w:themeColor="text1"/>
          <w:sz w:val="16"/>
          <w:szCs w:val="16"/>
        </w:rPr>
        <w:t xml:space="preserve"> под председательством тов. ДЗЕРЖИНСКОГО от 23/V-26r. (ст. 25 стенограммы), за что несколько советских техников пожали мне руку.</w:t>
      </w:r>
    </w:p>
    <w:p w14:paraId="450E6A2E"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заседания я т. ДЗЕРЖИНСКОМУ говорил, что та контрреволюция, которая открыта, хотя бы на Днепровском заводе, это есть цеховая ячейка контрреволюции, а центральная есть где-то выше, так как денег они не могли получить для восстановления Днепровского завода без поддержки центральной контрреволюционной организации, об этом слышал и т. РЕДЕНС.</w:t>
      </w:r>
    </w:p>
    <w:p w14:paraId="550C44BF"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настоящее время данные печи будут пущены в работу.</w:t>
      </w:r>
    </w:p>
    <w:p w14:paraId="52B62BA7"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Перейду к вновь вверенному мне заводу им. тов. ФРУНЗЕ. Считаю, что и здесь, хотя и на малом, отсталом заводе, но и здесь, по моему мнению, легко удавалось проводить контрреволюционные намерения.</w:t>
      </w:r>
    </w:p>
    <w:p w14:paraId="31B57E76"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Нужно было, чтобы завод был рентабельный и выпускал на 50 % продукции больше, чем он выпускал на самом деле, для чего нужно было в силовое хозяйство сделать небольшие затраты, около 500-600 тыс. рублей, можно было это оправдать в год ликвидацией только одних простоев и получить прибыли 1 м[</w:t>
      </w:r>
      <w:proofErr w:type="spellStart"/>
      <w:r w:rsidRPr="00A259BD">
        <w:rPr>
          <w:rFonts w:ascii="Times New Roman" w:hAnsi="Times New Roman"/>
          <w:color w:val="000000" w:themeColor="text1"/>
          <w:sz w:val="16"/>
          <w:szCs w:val="16"/>
        </w:rPr>
        <w:t>лн</w:t>
      </w:r>
      <w:proofErr w:type="spellEnd"/>
      <w:r w:rsidRPr="00A259BD">
        <w:rPr>
          <w:rFonts w:ascii="Times New Roman" w:hAnsi="Times New Roman"/>
          <w:color w:val="000000" w:themeColor="text1"/>
          <w:sz w:val="16"/>
          <w:szCs w:val="16"/>
        </w:rPr>
        <w:t>]. 100 т[</w:t>
      </w:r>
      <w:proofErr w:type="spellStart"/>
      <w:r w:rsidRPr="00A259BD">
        <w:rPr>
          <w:rFonts w:ascii="Times New Roman" w:hAnsi="Times New Roman"/>
          <w:color w:val="000000" w:themeColor="text1"/>
          <w:sz w:val="16"/>
          <w:szCs w:val="16"/>
        </w:rPr>
        <w:t>ыс</w:t>
      </w:r>
      <w:proofErr w:type="spellEnd"/>
      <w:r w:rsidRPr="00A259BD">
        <w:rPr>
          <w:rFonts w:ascii="Times New Roman" w:hAnsi="Times New Roman"/>
          <w:color w:val="000000" w:themeColor="text1"/>
          <w:sz w:val="16"/>
          <w:szCs w:val="16"/>
        </w:rPr>
        <w:t>]. рублей, это не делалось.</w:t>
      </w:r>
    </w:p>
    <w:p w14:paraId="1AC131B6"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Доменная печь, которая страдает от недостатка дутья и работает уменьшенным выпуском чугуна 40 %, нужно было своевременно поставить сильную воздуходувку, этого не сделано, в то время как закупленная заграницей воздуходувка лежит на этом заводе уже 2-й год, под видом для второй доменной печи.</w:t>
      </w:r>
    </w:p>
    <w:p w14:paraId="009CD97B"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Вторая доменная печь никак не может получить разрешения и сейчас на достройку в то время, когда уже вложено в нее около 20 % средств.</w:t>
      </w:r>
    </w:p>
    <w:p w14:paraId="1C4FE64E"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По[-]видимому и здесь имеется определенная цель, так как пиритные </w:t>
      </w:r>
      <w:proofErr w:type="spellStart"/>
      <w:r w:rsidRPr="00A259BD">
        <w:rPr>
          <w:rFonts w:ascii="Times New Roman" w:hAnsi="Times New Roman"/>
          <w:color w:val="000000" w:themeColor="text1"/>
          <w:sz w:val="16"/>
          <w:szCs w:val="16"/>
        </w:rPr>
        <w:t>сгарки</w:t>
      </w:r>
      <w:proofErr w:type="spellEnd"/>
      <w:r w:rsidRPr="00A259BD">
        <w:rPr>
          <w:rFonts w:ascii="Times New Roman" w:hAnsi="Times New Roman"/>
          <w:color w:val="000000" w:themeColor="text1"/>
          <w:sz w:val="16"/>
          <w:szCs w:val="16"/>
        </w:rPr>
        <w:t xml:space="preserve">[,] имеющиеся рядом с заложенной и старой доменной печью[,] валяются кучами в </w:t>
      </w:r>
      <w:proofErr w:type="spellStart"/>
      <w:r w:rsidRPr="00A259BD">
        <w:rPr>
          <w:rFonts w:ascii="Times New Roman" w:hAnsi="Times New Roman"/>
          <w:color w:val="000000" w:themeColor="text1"/>
          <w:sz w:val="16"/>
          <w:szCs w:val="16"/>
        </w:rPr>
        <w:t>милл</w:t>
      </w:r>
      <w:proofErr w:type="spellEnd"/>
      <w:r w:rsidRPr="00A259BD">
        <w:rPr>
          <w:rFonts w:ascii="Times New Roman" w:hAnsi="Times New Roman"/>
          <w:color w:val="000000" w:themeColor="text1"/>
          <w:sz w:val="16"/>
          <w:szCs w:val="16"/>
        </w:rPr>
        <w:t>. пудов, содержащие около 57 % железа.</w:t>
      </w:r>
    </w:p>
    <w:p w14:paraId="4042EEAB"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По[-]видимому и есть и было желание оставить </w:t>
      </w:r>
      <w:proofErr w:type="spellStart"/>
      <w:r w:rsidRPr="00A259BD">
        <w:rPr>
          <w:rFonts w:ascii="Times New Roman" w:hAnsi="Times New Roman"/>
          <w:color w:val="000000" w:themeColor="text1"/>
          <w:sz w:val="16"/>
          <w:szCs w:val="16"/>
        </w:rPr>
        <w:t>сгарки</w:t>
      </w:r>
      <w:proofErr w:type="spellEnd"/>
      <w:r w:rsidRPr="00A259BD">
        <w:rPr>
          <w:rFonts w:ascii="Times New Roman" w:hAnsi="Times New Roman"/>
          <w:color w:val="000000" w:themeColor="text1"/>
          <w:sz w:val="16"/>
          <w:szCs w:val="16"/>
        </w:rPr>
        <w:t xml:space="preserve"> и воздуходувки для старых хозяев.</w:t>
      </w:r>
    </w:p>
    <w:p w14:paraId="62CADB2A"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Тем не менее уже сейчас приходится чугун для н[</w:t>
      </w:r>
      <w:proofErr w:type="spellStart"/>
      <w:r w:rsidRPr="00A259BD">
        <w:rPr>
          <w:rFonts w:ascii="Times New Roman" w:hAnsi="Times New Roman"/>
          <w:color w:val="000000" w:themeColor="text1"/>
          <w:sz w:val="16"/>
          <w:szCs w:val="16"/>
        </w:rPr>
        <w:t>ашего</w:t>
      </w:r>
      <w:proofErr w:type="spellEnd"/>
      <w:r w:rsidRPr="00A259BD">
        <w:rPr>
          <w:rFonts w:ascii="Times New Roman" w:hAnsi="Times New Roman"/>
          <w:color w:val="000000" w:themeColor="text1"/>
          <w:sz w:val="16"/>
          <w:szCs w:val="16"/>
        </w:rPr>
        <w:t xml:space="preserve">]/завода привозить из других заводов и в ближайшее будущее получится, что возложенные деньги в начало постройки доменной печи пропадут, пиритные </w:t>
      </w:r>
      <w:proofErr w:type="spellStart"/>
      <w:r w:rsidRPr="00A259BD">
        <w:rPr>
          <w:rFonts w:ascii="Times New Roman" w:hAnsi="Times New Roman"/>
          <w:color w:val="000000" w:themeColor="text1"/>
          <w:sz w:val="16"/>
          <w:szCs w:val="16"/>
        </w:rPr>
        <w:t>сгарки</w:t>
      </w:r>
      <w:proofErr w:type="spellEnd"/>
      <w:r w:rsidRPr="00A259BD">
        <w:rPr>
          <w:rFonts w:ascii="Times New Roman" w:hAnsi="Times New Roman"/>
          <w:color w:val="000000" w:themeColor="text1"/>
          <w:sz w:val="16"/>
          <w:szCs w:val="16"/>
        </w:rPr>
        <w:t xml:space="preserve"> мы будем вывозить из Константиновки на другие заводы для переработки на чугун, чугун будем обратно ввозить в Константиновку и переделывать на готовые изделия и опять вывозить, что будет увеличивать себестоимость и обременять транспорт.</w:t>
      </w:r>
    </w:p>
    <w:p w14:paraId="1B46D5E4"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Не берусь твердо судить, но рабочие и техперсонал упорно начинают говорить, что постройка </w:t>
      </w:r>
      <w:proofErr w:type="spellStart"/>
      <w:r w:rsidRPr="00A259BD">
        <w:rPr>
          <w:rFonts w:ascii="Times New Roman" w:hAnsi="Times New Roman"/>
          <w:color w:val="000000" w:themeColor="text1"/>
          <w:sz w:val="16"/>
          <w:szCs w:val="16"/>
        </w:rPr>
        <w:t>Цинко</w:t>
      </w:r>
      <w:proofErr w:type="spellEnd"/>
      <w:r w:rsidRPr="00A259BD">
        <w:rPr>
          <w:rFonts w:ascii="Times New Roman" w:hAnsi="Times New Roman"/>
          <w:color w:val="000000" w:themeColor="text1"/>
          <w:sz w:val="16"/>
          <w:szCs w:val="16"/>
        </w:rPr>
        <w:t>-Плавильного Комбината в Константиновке не к месту, так как для него сырья здесь нет.</w:t>
      </w:r>
    </w:p>
    <w:p w14:paraId="07885A6F"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 вышеизложенное, так и открытие экономической контрреволюции, должно нас заставить пересмотреть и проверить все планы, как начатых, так и будущих строительств, так как контрреволюция глубоко запустила корни в нашу промышленность. Мелкие дефекты и убытки в десятки и сотни тысяч рублей, имеющиеся почти на каждом заводе, они могут быть изжиты, когда мы заставим свой скудный по количеству коммунистов и Советский технический глаз проверить это дело, дабы не выполнять воли контрреволюционеров.</w:t>
      </w:r>
    </w:p>
    <w:p w14:paraId="1501F632"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КОММУНИСТИЧЕСКИМ] ПРИВЕТОМ А. Белецкий</w:t>
      </w:r>
    </w:p>
    <w:p w14:paraId="074E938A"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8/ХII-29 года.</w:t>
      </w:r>
    </w:p>
    <w:p w14:paraId="6C7ED186" w14:textId="77777777" w:rsidR="00B71C4A" w:rsidRPr="00A259BD" w:rsidRDefault="00B71C4A"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353. Л. 45-45 об. Машинописный подлинник, подпись — автограф. Гриф секретности машинописью. Рукописные пометы (Л. 45 вверху): «т. Иванову», «ОГПУ Украина». На Л. 45 вверху слева от руки — исходящий номер (№ 159с) и дата отправки документа (8/XII-29 г.); справа — штамп делопроизводства ЦК В КП (б) с входящим номером (от руки) и датой получения «12 ДЕК 1929» (штампом) (18347).</w:t>
      </w:r>
    </w:p>
    <w:p w14:paraId="5838EAF4" w14:textId="77777777" w:rsidR="00B71C4A" w:rsidRPr="00A259BD" w:rsidRDefault="00B71C4A" w:rsidP="009236E3">
      <w:pPr>
        <w:spacing w:after="0" w:line="240" w:lineRule="auto"/>
        <w:jc w:val="both"/>
        <w:rPr>
          <w:rFonts w:ascii="Times New Roman" w:hAnsi="Times New Roman"/>
          <w:color w:val="000000" w:themeColor="text1"/>
          <w:sz w:val="16"/>
          <w:szCs w:val="16"/>
        </w:rPr>
      </w:pPr>
    </w:p>
    <w:p w14:paraId="3072D420" w14:textId="77777777" w:rsidR="00B420BA" w:rsidRPr="00A259BD" w:rsidRDefault="00B420BA"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04090F6" w14:textId="77777777" w:rsidR="00B420BA" w:rsidRPr="00A259BD" w:rsidRDefault="00B420B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594844C" w14:textId="77777777" w:rsidR="00545B95" w:rsidRPr="00A259BD" w:rsidRDefault="00545B95" w:rsidP="009236E3">
      <w:pPr>
        <w:pStyle w:val="ae"/>
        <w:shd w:val="clear" w:color="auto" w:fill="FFFFFF"/>
        <w:spacing w:before="0" w:after="0"/>
        <w:jc w:val="both"/>
        <w:rPr>
          <w:color w:val="000000" w:themeColor="text1"/>
          <w:sz w:val="16"/>
          <w:szCs w:val="16"/>
        </w:rPr>
      </w:pPr>
      <w:r w:rsidRPr="00A259BD">
        <w:rPr>
          <w:color w:val="000000" w:themeColor="text1"/>
          <w:sz w:val="16"/>
          <w:szCs w:val="16"/>
        </w:rPr>
        <w:t>9 декабря 1929 года вопрос о «вредительстве» в военной промышленности обсуждался на специальном совещании у начальника вооружения Красной армии И. П. Уборевича. В соответствии с принятым в тот день решением была образована комиссия, председателем которой стал сам Уборевич. Она разработала план ликвидации последствий «вредительства» и принялась активно выявлять «вредителей» на оборонных предприятиях.</w:t>
      </w:r>
    </w:p>
    <w:p w14:paraId="1DA42576" w14:textId="77777777" w:rsidR="00545B95" w:rsidRPr="00A259BD" w:rsidRDefault="00545B95" w:rsidP="009236E3">
      <w:pPr>
        <w:pStyle w:val="ae"/>
        <w:shd w:val="clear" w:color="auto" w:fill="FFFFFF"/>
        <w:spacing w:before="0" w:after="0"/>
        <w:jc w:val="both"/>
        <w:rPr>
          <w:color w:val="000000" w:themeColor="text1"/>
          <w:sz w:val="16"/>
          <w:szCs w:val="16"/>
        </w:rPr>
      </w:pPr>
      <w:r w:rsidRPr="00A259BD">
        <w:rPr>
          <w:color w:val="000000" w:themeColor="text1"/>
          <w:sz w:val="16"/>
          <w:szCs w:val="16"/>
        </w:rPr>
        <w:t>В частности, в соответствии с утвержденным планом члены комиссии проверили работу Научно-технического комитета (НТК) Артиллерийского управления РККА. «Копнули глубоко» и в результате установили: «Личный состав неудовлетворителен ни по своей квалификации, ни по социальному составу. Все руководящие должности в НТК заняты старыми специалистами, партийные и молодые советские специалисты выдвигаются крайне нерешительно, в то время как опыт с несомненностью доказал неспособность даже добросовестных старых специалистов в условиях социалистической реконструкции играть организующую роль» (20981).</w:t>
      </w:r>
    </w:p>
    <w:p w14:paraId="3D3DEF24" w14:textId="77777777" w:rsidR="00545B95" w:rsidRPr="00A259BD" w:rsidRDefault="00545B95" w:rsidP="009236E3">
      <w:pPr>
        <w:pStyle w:val="ae"/>
        <w:shd w:val="clear" w:color="auto" w:fill="FFFFFF"/>
        <w:spacing w:before="0" w:after="0"/>
        <w:jc w:val="both"/>
        <w:rPr>
          <w:color w:val="000000" w:themeColor="text1"/>
          <w:sz w:val="16"/>
          <w:szCs w:val="16"/>
        </w:rPr>
      </w:pPr>
    </w:p>
    <w:p w14:paraId="1A9A746D"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2712EA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B1760DC"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декабря 1929 газета “Правда” впервые выдвинула лозунг “Пятилетку - в четыре года ” (4962).</w:t>
      </w:r>
    </w:p>
    <w:p w14:paraId="0AEBA780"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8589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9 декабря 1929 Алтайский край. </w:t>
      </w:r>
      <w:proofErr w:type="spellStart"/>
      <w:r w:rsidRPr="00A259BD">
        <w:rPr>
          <w:rFonts w:ascii="Times New Roman" w:hAnsi="Times New Roman"/>
          <w:color w:val="000000" w:themeColor="text1"/>
          <w:sz w:val="16"/>
          <w:szCs w:val="16"/>
        </w:rPr>
        <w:t>Шелаболихино</w:t>
      </w:r>
      <w:proofErr w:type="spellEnd"/>
      <w:r w:rsidRPr="00A259BD">
        <w:rPr>
          <w:rFonts w:ascii="Times New Roman" w:hAnsi="Times New Roman"/>
          <w:color w:val="000000" w:themeColor="text1"/>
          <w:sz w:val="16"/>
          <w:szCs w:val="16"/>
        </w:rPr>
        <w:t xml:space="preserve">. Нападение кулацкой банды </w:t>
      </w:r>
      <w:proofErr w:type="spellStart"/>
      <w:r w:rsidRPr="00A259BD">
        <w:rPr>
          <w:rFonts w:ascii="Times New Roman" w:hAnsi="Times New Roman"/>
          <w:color w:val="000000" w:themeColor="text1"/>
          <w:sz w:val="16"/>
          <w:szCs w:val="16"/>
        </w:rPr>
        <w:t>И.Чупина</w:t>
      </w:r>
      <w:proofErr w:type="spellEnd"/>
      <w:r w:rsidRPr="00A259BD">
        <w:rPr>
          <w:rFonts w:ascii="Times New Roman" w:hAnsi="Times New Roman"/>
          <w:color w:val="000000" w:themeColor="text1"/>
          <w:sz w:val="16"/>
          <w:szCs w:val="16"/>
        </w:rPr>
        <w:t xml:space="preserve"> на сельсовет и отделение милиции. Захвачено 3 дробовика и 3 винтовки. В ту же ночь один из нападавших, </w:t>
      </w:r>
      <w:proofErr w:type="spellStart"/>
      <w:r w:rsidRPr="00A259BD">
        <w:rPr>
          <w:rFonts w:ascii="Times New Roman" w:hAnsi="Times New Roman"/>
          <w:color w:val="000000" w:themeColor="text1"/>
          <w:sz w:val="16"/>
          <w:szCs w:val="16"/>
        </w:rPr>
        <w:t>О.Пестерев</w:t>
      </w:r>
      <w:proofErr w:type="spellEnd"/>
      <w:r w:rsidRPr="00A259BD">
        <w:rPr>
          <w:rFonts w:ascii="Times New Roman" w:hAnsi="Times New Roman"/>
          <w:color w:val="000000" w:themeColor="text1"/>
          <w:sz w:val="16"/>
          <w:szCs w:val="16"/>
        </w:rPr>
        <w:t>, был арестован милицией (10687).</w:t>
      </w:r>
    </w:p>
    <w:p w14:paraId="56EE6A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38A20A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512A25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6EAEC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декабря 1929 в НИИ ВВС закончились испытания самолета МР-5, которые проходили с 18 октября 1929</w:t>
      </w:r>
    </w:p>
    <w:p w14:paraId="1D79FF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изготовлен ОПО-3 при заводе № 22</w:t>
      </w:r>
    </w:p>
    <w:p w14:paraId="6C3D64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Назначение самолета – базовый разведчик</w:t>
      </w:r>
    </w:p>
    <w:p w14:paraId="0A561D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МР-5 – морской лодочный биплан с поплавками на нижнем крыле, установленными под стойками коробки крыльев.</w:t>
      </w:r>
    </w:p>
    <w:p w14:paraId="24C07B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Самолет выполнен весь из </w:t>
      </w:r>
      <w:proofErr w:type="spellStart"/>
      <w:r w:rsidRPr="00A259BD">
        <w:rPr>
          <w:rFonts w:ascii="Times New Roman" w:hAnsi="Times New Roman"/>
          <w:color w:val="000000" w:themeColor="text1"/>
          <w:sz w:val="16"/>
          <w:szCs w:val="16"/>
        </w:rPr>
        <w:t>кольчугаллюминия</w:t>
      </w:r>
      <w:proofErr w:type="spellEnd"/>
      <w:r w:rsidRPr="00A259BD">
        <w:rPr>
          <w:rFonts w:ascii="Times New Roman" w:hAnsi="Times New Roman"/>
          <w:color w:val="000000" w:themeColor="text1"/>
          <w:sz w:val="16"/>
          <w:szCs w:val="16"/>
        </w:rPr>
        <w:t xml:space="preserve"> за исключением крыльев и поплавков при этом хвостовое оперение обтянуто полотном.</w:t>
      </w:r>
    </w:p>
    <w:p w14:paraId="075E6A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Крылья деревянные.</w:t>
      </w:r>
    </w:p>
    <w:p w14:paraId="4C30DC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 МВ-6 расположен между лодкой и центропланом.</w:t>
      </w:r>
    </w:p>
    <w:p w14:paraId="099560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4291B5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Благодаря весьма плохим обводам лодки, весьма затруднительного ухода за моторами, незначительной маневренности на боевой высоте (3000 м), комиссия данный самолет не рекомендует на снабжение ВВС (6991).</w:t>
      </w:r>
    </w:p>
    <w:p w14:paraId="6AE50C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275A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декабря 1929 при Наркомвоенмор была образована ГИ ГВФ для руководства ГВФ (442,302).</w:t>
      </w:r>
    </w:p>
    <w:p w14:paraId="30D13D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62BC2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декабря 1929 общества Добролет и </w:t>
      </w: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 xml:space="preserve"> были включены в систему Всесоюзного Объединения ГВФ (271,118).</w:t>
      </w:r>
    </w:p>
    <w:p w14:paraId="37D248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9409E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декабря 1929 На базе акционерных обществ “Добролет” (Москва) и “</w:t>
      </w:r>
      <w:proofErr w:type="spellStart"/>
      <w:r w:rsidRPr="00A259BD">
        <w:rPr>
          <w:rFonts w:ascii="Times New Roman" w:hAnsi="Times New Roman"/>
          <w:color w:val="000000" w:themeColor="text1"/>
          <w:sz w:val="16"/>
          <w:szCs w:val="16"/>
        </w:rPr>
        <w:t>Укрвоздухпуть</w:t>
      </w:r>
      <w:proofErr w:type="spellEnd"/>
      <w:r w:rsidRPr="00A259BD">
        <w:rPr>
          <w:rFonts w:ascii="Times New Roman" w:hAnsi="Times New Roman"/>
          <w:color w:val="000000" w:themeColor="text1"/>
          <w:sz w:val="16"/>
          <w:szCs w:val="16"/>
        </w:rPr>
        <w:t>” (Харьков) создана единая государствен</w:t>
      </w:r>
      <w:r w:rsidRPr="00A259BD">
        <w:rPr>
          <w:rFonts w:ascii="Times New Roman" w:hAnsi="Times New Roman"/>
          <w:color w:val="000000" w:themeColor="text1"/>
          <w:sz w:val="16"/>
          <w:szCs w:val="16"/>
        </w:rPr>
        <w:softHyphen/>
        <w:t>ная организация - “Всесоюзное объединение Гражданского воздушного флота” (10674).</w:t>
      </w:r>
    </w:p>
    <w:p w14:paraId="5F14D6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D77A86E" w14:textId="77777777" w:rsidR="00042CCB" w:rsidRPr="00A259BD" w:rsidRDefault="00042CCB"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2854932" w14:textId="77777777" w:rsidR="00042CCB" w:rsidRPr="00A259BD" w:rsidRDefault="00042CC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E55D6B6" w14:textId="77777777" w:rsidR="00042CCB" w:rsidRPr="00A259BD" w:rsidRDefault="00042CC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10 декабря 1929 года Артиллерийский генерал в отставке Людвиг, до этого возглавлявший </w:t>
      </w:r>
      <w:proofErr w:type="spellStart"/>
      <w:r w:rsidRPr="00A259BD">
        <w:rPr>
          <w:rFonts w:ascii="Times New Roman" w:hAnsi="Times New Roman"/>
          <w:color w:val="000000" w:themeColor="text1"/>
          <w:sz w:val="16"/>
          <w:szCs w:val="16"/>
        </w:rPr>
        <w:t>ваффенамт</w:t>
      </w:r>
      <w:proofErr w:type="spellEnd"/>
      <w:r w:rsidRPr="00A259BD">
        <w:rPr>
          <w:rFonts w:ascii="Times New Roman" w:hAnsi="Times New Roman"/>
          <w:color w:val="000000" w:themeColor="text1"/>
          <w:sz w:val="16"/>
          <w:szCs w:val="16"/>
        </w:rPr>
        <w:t>, который согласился взять на себя организацию процесса ведения переговоров и поиск подходящих фирм, во время встречи в Москве сообщил Уборевичу, о согласии на участие в проекте трех фирм: «Крупп» (легкие танки, артиллерийские системы, оружейные стали), «Тилле» (механические трубки, взрыватели) и «</w:t>
      </w:r>
      <w:proofErr w:type="spellStart"/>
      <w:r w:rsidRPr="00A259BD">
        <w:rPr>
          <w:rFonts w:ascii="Times New Roman" w:hAnsi="Times New Roman"/>
          <w:color w:val="000000" w:themeColor="text1"/>
          <w:sz w:val="16"/>
          <w:szCs w:val="16"/>
        </w:rPr>
        <w:t>Рейнметалл</w:t>
      </w:r>
      <w:proofErr w:type="spellEnd"/>
      <w:r w:rsidRPr="00A259BD">
        <w:rPr>
          <w:rFonts w:ascii="Times New Roman" w:hAnsi="Times New Roman"/>
          <w:color w:val="000000" w:themeColor="text1"/>
          <w:sz w:val="16"/>
          <w:szCs w:val="16"/>
        </w:rPr>
        <w:t>». «Крупп» и «Тилле» в процессе переговоров «отсеялись», поскольку их предложение не устроило руководство РККА, хотя переговоры с ними шли вплоть до конца 1930 года, а легкие танки Круппа были привезены в Казанскую школу, где командование РККА могло наблюдать их в действии. Представители «</w:t>
      </w:r>
      <w:proofErr w:type="spellStart"/>
      <w:r w:rsidRPr="00A259BD">
        <w:rPr>
          <w:rFonts w:ascii="Times New Roman" w:hAnsi="Times New Roman"/>
          <w:color w:val="000000" w:themeColor="text1"/>
          <w:sz w:val="16"/>
          <w:szCs w:val="16"/>
        </w:rPr>
        <w:t>Рейнметалла</w:t>
      </w:r>
      <w:proofErr w:type="spellEnd"/>
      <w:r w:rsidRPr="00A259BD">
        <w:rPr>
          <w:rFonts w:ascii="Times New Roman" w:hAnsi="Times New Roman"/>
          <w:color w:val="000000" w:themeColor="text1"/>
          <w:sz w:val="16"/>
          <w:szCs w:val="16"/>
        </w:rPr>
        <w:t xml:space="preserve">» опасались начинать какие-либо дела в СССР, помня о неудачном опыте Юнкерса и </w:t>
      </w:r>
      <w:proofErr w:type="spellStart"/>
      <w:r w:rsidRPr="00A259BD">
        <w:rPr>
          <w:rFonts w:ascii="Times New Roman" w:hAnsi="Times New Roman"/>
          <w:color w:val="000000" w:themeColor="text1"/>
          <w:sz w:val="16"/>
          <w:szCs w:val="16"/>
        </w:rPr>
        <w:t>Штольценберга</w:t>
      </w:r>
      <w:proofErr w:type="spellEnd"/>
      <w:r w:rsidRPr="00A259BD">
        <w:rPr>
          <w:rFonts w:ascii="Times New Roman" w:hAnsi="Times New Roman"/>
          <w:color w:val="000000" w:themeColor="text1"/>
          <w:sz w:val="16"/>
          <w:szCs w:val="16"/>
        </w:rPr>
        <w:t>. Но именно у «</w:t>
      </w:r>
      <w:proofErr w:type="spellStart"/>
      <w:r w:rsidRPr="00A259BD">
        <w:rPr>
          <w:rFonts w:ascii="Times New Roman" w:hAnsi="Times New Roman"/>
          <w:color w:val="000000" w:themeColor="text1"/>
          <w:sz w:val="16"/>
          <w:szCs w:val="16"/>
        </w:rPr>
        <w:t>Рейнметалла</w:t>
      </w:r>
      <w:proofErr w:type="spellEnd"/>
      <w:r w:rsidRPr="00A259BD">
        <w:rPr>
          <w:rFonts w:ascii="Times New Roman" w:hAnsi="Times New Roman"/>
          <w:color w:val="000000" w:themeColor="text1"/>
          <w:sz w:val="16"/>
          <w:szCs w:val="16"/>
        </w:rPr>
        <w:t xml:space="preserve">» на тот момент не было иного выхода. После окончания Первой мировой войны фирма так </w:t>
      </w:r>
      <w:r w:rsidRPr="00A259BD">
        <w:rPr>
          <w:rFonts w:ascii="Times New Roman" w:hAnsi="Times New Roman"/>
          <w:color w:val="000000" w:themeColor="text1"/>
          <w:sz w:val="16"/>
          <w:szCs w:val="16"/>
        </w:rPr>
        <w:lastRenderedPageBreak/>
        <w:t xml:space="preserve">и не сумела перевести большую часть своих активов на выпуск гражданской продукции в отличие от того же Круппа, выбросившего после вступления в силу «оружейных[292] статей» Версальского договора лозунг «Мы производим все!». Основным покупателем концерна продолжал оставаться </w:t>
      </w:r>
      <w:proofErr w:type="spellStart"/>
      <w:r w:rsidRPr="00A259BD">
        <w:rPr>
          <w:rFonts w:ascii="Times New Roman" w:hAnsi="Times New Roman"/>
          <w:color w:val="000000" w:themeColor="text1"/>
          <w:sz w:val="16"/>
          <w:szCs w:val="16"/>
        </w:rPr>
        <w:t>ваффенамт</w:t>
      </w:r>
      <w:proofErr w:type="spellEnd"/>
      <w:r w:rsidRPr="00A259BD">
        <w:rPr>
          <w:rFonts w:ascii="Times New Roman" w:hAnsi="Times New Roman"/>
          <w:color w:val="000000" w:themeColor="text1"/>
          <w:sz w:val="16"/>
          <w:szCs w:val="16"/>
        </w:rPr>
        <w:t>. В связи с этим «</w:t>
      </w:r>
      <w:proofErr w:type="spellStart"/>
      <w:r w:rsidRPr="00A259BD">
        <w:rPr>
          <w:rFonts w:ascii="Times New Roman" w:hAnsi="Times New Roman"/>
          <w:color w:val="000000" w:themeColor="text1"/>
          <w:sz w:val="16"/>
          <w:szCs w:val="16"/>
        </w:rPr>
        <w:t>Рейнметалл</w:t>
      </w:r>
      <w:proofErr w:type="spellEnd"/>
      <w:r w:rsidRPr="00A259BD">
        <w:rPr>
          <w:rFonts w:ascii="Times New Roman" w:hAnsi="Times New Roman"/>
          <w:color w:val="000000" w:themeColor="text1"/>
          <w:sz w:val="16"/>
          <w:szCs w:val="16"/>
        </w:rPr>
        <w:t>» находился в весьма затруднительном положении, так как рейхсвер мог закупать производимые фирмой орудия только ограниченными партиями, а изготовление вооружений на экспорт германским фирмам было официально запрещено. С началом Великой депрессии дотации и заказы от рейхсвера упали практически до нуля, и предложение от СССР оказалось для фирмы в буквальном смысле «манной небесной» (18263).</w:t>
      </w:r>
    </w:p>
    <w:p w14:paraId="7E1ACBE5" w14:textId="77777777" w:rsidR="00042CCB" w:rsidRPr="00A259BD" w:rsidRDefault="00042CCB" w:rsidP="009236E3">
      <w:pPr>
        <w:spacing w:after="0" w:line="240" w:lineRule="auto"/>
        <w:jc w:val="both"/>
        <w:rPr>
          <w:rFonts w:ascii="Times New Roman" w:hAnsi="Times New Roman"/>
          <w:color w:val="000000" w:themeColor="text1"/>
          <w:sz w:val="16"/>
          <w:szCs w:val="16"/>
        </w:rPr>
      </w:pPr>
    </w:p>
    <w:p w14:paraId="650D10D7"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10 декабря 1929 г. </w:t>
      </w:r>
    </w:p>
    <w:p w14:paraId="414C03AA"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bCs/>
          <w:iCs/>
          <w:color w:val="000000" w:themeColor="text1"/>
          <w:sz w:val="16"/>
          <w:szCs w:val="16"/>
          <w:lang w:eastAsia="ru-RU"/>
        </w:rPr>
        <w:t>РГВА Фонд 31811 Опись 1 Дело 38 лист 1</w:t>
      </w:r>
    </w:p>
    <w:p w14:paraId="1C355864"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[Документ на бланке Управления делами </w:t>
      </w:r>
      <w:proofErr w:type="spellStart"/>
      <w:r w:rsidRPr="00A259BD">
        <w:rPr>
          <w:rFonts w:ascii="Times New Roman" w:eastAsia="Times New Roman" w:hAnsi="Times New Roman"/>
          <w:iCs/>
          <w:color w:val="000000" w:themeColor="text1"/>
          <w:sz w:val="16"/>
          <w:szCs w:val="16"/>
          <w:lang w:eastAsia="ru-RU"/>
        </w:rPr>
        <w:t>НКВиМД</w:t>
      </w:r>
      <w:proofErr w:type="spellEnd"/>
      <w:r w:rsidRPr="00A259BD">
        <w:rPr>
          <w:rFonts w:ascii="Times New Roman" w:eastAsia="Times New Roman" w:hAnsi="Times New Roman"/>
          <w:iCs/>
          <w:color w:val="000000" w:themeColor="text1"/>
          <w:sz w:val="16"/>
          <w:szCs w:val="16"/>
          <w:lang w:eastAsia="ru-RU"/>
        </w:rPr>
        <w:t xml:space="preserve"> и РВС СССР]</w:t>
      </w:r>
      <w:r w:rsidRPr="00A259BD">
        <w:rPr>
          <w:rFonts w:ascii="Times New Roman" w:eastAsia="Times New Roman" w:hAnsi="Times New Roman"/>
          <w:color w:val="000000" w:themeColor="text1"/>
          <w:sz w:val="16"/>
          <w:szCs w:val="16"/>
          <w:lang w:eastAsia="ru-RU"/>
        </w:rPr>
        <w:t xml:space="preserve"> </w:t>
      </w:r>
    </w:p>
    <w:p w14:paraId="458CC0AE"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proofErr w:type="spellStart"/>
      <w:r w:rsidRPr="00A259BD">
        <w:rPr>
          <w:rFonts w:ascii="Times New Roman" w:eastAsia="Times New Roman" w:hAnsi="Times New Roman"/>
          <w:color w:val="000000" w:themeColor="text1"/>
          <w:sz w:val="16"/>
          <w:szCs w:val="16"/>
          <w:lang w:eastAsia="ru-RU"/>
        </w:rPr>
        <w:t>В.срочно</w:t>
      </w:r>
      <w:proofErr w:type="spellEnd"/>
      <w:r w:rsidRPr="00A259BD">
        <w:rPr>
          <w:rFonts w:ascii="Times New Roman" w:eastAsia="Times New Roman" w:hAnsi="Times New Roman"/>
          <w:color w:val="000000" w:themeColor="text1"/>
          <w:sz w:val="16"/>
          <w:szCs w:val="16"/>
          <w:lang w:eastAsia="ru-RU"/>
        </w:rPr>
        <w:t xml:space="preserve"> </w:t>
      </w:r>
    </w:p>
    <w:p w14:paraId="43C8B092"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СТРОГО СЕКРЕТНО </w:t>
      </w:r>
    </w:p>
    <w:p w14:paraId="052AB752"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10 декабря 1929 г. </w:t>
      </w:r>
    </w:p>
    <w:p w14:paraId="52C775F1"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 01924 </w:t>
      </w:r>
    </w:p>
    <w:p w14:paraId="49047E62"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Тов. ШАПОШНИКОВУ </w:t>
      </w:r>
    </w:p>
    <w:p w14:paraId="4C715BA7"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Тов. УБОРЕВИЧУ </w:t>
      </w:r>
    </w:p>
    <w:p w14:paraId="33D5FEA5"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Тов. ХАЛЕПСКОМУ </w:t>
      </w:r>
    </w:p>
    <w:p w14:paraId="3396C5C7"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Тов. БЕРЗИНУ.</w:t>
      </w:r>
    </w:p>
    <w:p w14:paraId="3A2E21DC"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Тов. ВОРОШИЛОВ приказал Начальнику Штаба совместно с </w:t>
      </w:r>
      <w:proofErr w:type="spellStart"/>
      <w:r w:rsidRPr="00A259BD">
        <w:rPr>
          <w:rFonts w:ascii="Times New Roman" w:eastAsia="Times New Roman" w:hAnsi="Times New Roman"/>
          <w:color w:val="000000" w:themeColor="text1"/>
          <w:sz w:val="16"/>
          <w:szCs w:val="16"/>
          <w:lang w:eastAsia="ru-RU"/>
        </w:rPr>
        <w:t>т.т</w:t>
      </w:r>
      <w:proofErr w:type="spellEnd"/>
      <w:r w:rsidRPr="00A259BD">
        <w:rPr>
          <w:rFonts w:ascii="Times New Roman" w:eastAsia="Times New Roman" w:hAnsi="Times New Roman"/>
          <w:color w:val="000000" w:themeColor="text1"/>
          <w:sz w:val="16"/>
          <w:szCs w:val="16"/>
          <w:lang w:eastAsia="ru-RU"/>
        </w:rPr>
        <w:t xml:space="preserve">. УБОРЕВИЧЕМ, ХАЛЕПСКИМ и БЕРЗИНЫМ представить ему конкретные соображения по вопросу о закупке образцов танков за границей. Ваши предложения должны включать: </w:t>
      </w:r>
    </w:p>
    <w:p w14:paraId="16D5C21A"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а) какие типы танков и в каких странах необходимо закупить, </w:t>
      </w:r>
    </w:p>
    <w:p w14:paraId="2184165F"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б) каким наилучшим путем произвести закупку танков (через подставных лиц, аппаратом Берзина и т.д.), </w:t>
      </w:r>
    </w:p>
    <w:p w14:paraId="635AF375"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кого персонально послать для этой цели заграницу. </w:t>
      </w:r>
    </w:p>
    <w:p w14:paraId="333AAB24"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Срок – 3 дня. </w:t>
      </w:r>
    </w:p>
    <w:p w14:paraId="6CC46389"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Управляющий делами подпись (</w:t>
      </w:r>
      <w:proofErr w:type="spellStart"/>
      <w:r w:rsidRPr="00A259BD">
        <w:rPr>
          <w:rFonts w:ascii="Times New Roman" w:eastAsia="Times New Roman" w:hAnsi="Times New Roman"/>
          <w:color w:val="000000" w:themeColor="text1"/>
          <w:sz w:val="16"/>
          <w:szCs w:val="16"/>
          <w:lang w:eastAsia="ru-RU"/>
        </w:rPr>
        <w:t>Литуновский</w:t>
      </w:r>
      <w:proofErr w:type="spellEnd"/>
      <w:r w:rsidRPr="00A259BD">
        <w:rPr>
          <w:rFonts w:ascii="Times New Roman" w:eastAsia="Times New Roman" w:hAnsi="Times New Roman"/>
          <w:color w:val="000000" w:themeColor="text1"/>
          <w:sz w:val="16"/>
          <w:szCs w:val="16"/>
          <w:lang w:eastAsia="ru-RU"/>
        </w:rPr>
        <w:t>)</w:t>
      </w:r>
    </w:p>
    <w:p w14:paraId="452B6858"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На документе помета И.А. </w:t>
      </w:r>
      <w:proofErr w:type="spellStart"/>
      <w:r w:rsidRPr="00A259BD">
        <w:rPr>
          <w:rFonts w:ascii="Times New Roman" w:eastAsia="Times New Roman" w:hAnsi="Times New Roman"/>
          <w:iCs/>
          <w:color w:val="000000" w:themeColor="text1"/>
          <w:sz w:val="16"/>
          <w:szCs w:val="16"/>
          <w:lang w:eastAsia="ru-RU"/>
        </w:rPr>
        <w:t>Халепского</w:t>
      </w:r>
      <w:proofErr w:type="spellEnd"/>
      <w:r w:rsidRPr="00A259BD">
        <w:rPr>
          <w:rFonts w:ascii="Times New Roman" w:eastAsia="Times New Roman" w:hAnsi="Times New Roman"/>
          <w:iCs/>
          <w:color w:val="000000" w:themeColor="text1"/>
          <w:sz w:val="16"/>
          <w:szCs w:val="16"/>
          <w:lang w:eastAsia="ru-RU"/>
        </w:rPr>
        <w:t>:</w:t>
      </w:r>
      <w:r w:rsidRPr="00A259BD">
        <w:rPr>
          <w:rFonts w:ascii="Times New Roman" w:eastAsia="Times New Roman" w:hAnsi="Times New Roman"/>
          <w:color w:val="000000" w:themeColor="text1"/>
          <w:sz w:val="16"/>
          <w:szCs w:val="16"/>
          <w:lang w:eastAsia="ru-RU"/>
        </w:rPr>
        <w:t xml:space="preserve"> </w:t>
      </w:r>
    </w:p>
    <w:p w14:paraId="2D4ECF43" w14:textId="77777777" w:rsidR="00042CCB" w:rsidRPr="00A259BD" w:rsidRDefault="00042CCB" w:rsidP="009236E3">
      <w:pPr>
        <w:spacing w:after="0" w:line="240" w:lineRule="auto"/>
        <w:jc w:val="both"/>
        <w:rPr>
          <w:rFonts w:ascii="Times New Roman" w:hAnsi="Times New Roman"/>
          <w:color w:val="000000" w:themeColor="text1"/>
          <w:sz w:val="16"/>
          <w:szCs w:val="16"/>
        </w:rPr>
      </w:pPr>
      <w:r w:rsidRPr="00A259BD">
        <w:rPr>
          <w:rFonts w:ascii="Times New Roman" w:eastAsia="Times New Roman" w:hAnsi="Times New Roman"/>
          <w:color w:val="000000" w:themeColor="text1"/>
          <w:sz w:val="16"/>
          <w:szCs w:val="16"/>
          <w:lang w:eastAsia="ru-RU"/>
        </w:rPr>
        <w:t>«В мое дело по танкам. Материал по танкам готов для доклада комиссии. 10/XII подпись» (19741)/</w:t>
      </w:r>
    </w:p>
    <w:p w14:paraId="43720845" w14:textId="77777777" w:rsidR="00042CCB" w:rsidRPr="00A259BD" w:rsidRDefault="00042CCB" w:rsidP="009236E3">
      <w:pPr>
        <w:spacing w:after="0" w:line="240" w:lineRule="auto"/>
        <w:jc w:val="both"/>
        <w:rPr>
          <w:rFonts w:ascii="Times New Roman" w:hAnsi="Times New Roman"/>
          <w:color w:val="000000" w:themeColor="text1"/>
          <w:sz w:val="16"/>
          <w:szCs w:val="16"/>
        </w:rPr>
      </w:pPr>
    </w:p>
    <w:p w14:paraId="08B40B1F" w14:textId="77777777" w:rsidR="00DA14E0"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E1B65BF" w14:textId="77777777" w:rsidR="00DA14E0" w:rsidRPr="00A259BD" w:rsidRDefault="00DA14E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1B4725" w14:textId="77777777" w:rsidR="00DA14E0" w:rsidRPr="00A259BD" w:rsidRDefault="00DA14E0"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11 декабря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Постановление РЗ СТО СССР об ассигнованиях на проведение оборонных мероприятий в 1929/30 г. (ГА РФ. Ф. Р?8418. Оп. 3. Д. 150. Л. 1?1 об.) (12415).</w:t>
      </w:r>
    </w:p>
    <w:p w14:paraId="3D8552E6" w14:textId="77777777" w:rsidR="00DA14E0" w:rsidRPr="00A259BD" w:rsidRDefault="00DA14E0" w:rsidP="009236E3">
      <w:pPr>
        <w:spacing w:after="0" w:line="240" w:lineRule="auto"/>
        <w:jc w:val="both"/>
        <w:rPr>
          <w:rFonts w:ascii="Times New Roman" w:hAnsi="Times New Roman"/>
          <w:color w:val="000000" w:themeColor="text1"/>
          <w:sz w:val="16"/>
          <w:szCs w:val="16"/>
          <w:u w:color="002060"/>
        </w:rPr>
      </w:pPr>
    </w:p>
    <w:p w14:paraId="3ECA1028"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декабря 1929 г. нарком по военным и морским делам (одновременно – председатель РВС СССР) утвердил мобилизационную заявку недавно образованного Управления моторизации и механизации (УММ) РККА на ближайшие четыре года, определившую поставки промышленностью танков в соответствии с существующей потребностью.</w:t>
      </w:r>
    </w:p>
    <w:p w14:paraId="68DA96C3" w14:textId="77777777" w:rsidR="00DA14E0" w:rsidRPr="00A259BD" w:rsidRDefault="00DA14E0"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Мобплановое</w:t>
      </w:r>
      <w:proofErr w:type="spellEnd"/>
      <w:r w:rsidRPr="00A259BD">
        <w:rPr>
          <w:rFonts w:ascii="Times New Roman" w:hAnsi="Times New Roman"/>
          <w:color w:val="000000" w:themeColor="text1"/>
          <w:sz w:val="16"/>
          <w:szCs w:val="16"/>
        </w:rPr>
        <w:t xml:space="preserve"> управление ВСНХ в связи с резким возрастанием количества заказанных танков сочло необходимым привлечь к их производству следующие заводы:</w:t>
      </w:r>
    </w:p>
    <w:p w14:paraId="24D69494"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по малому танку: «Большевик», Мотовилихинский (г. Пермь) и Уральский тракторный (еще проектировавшийся. – Прим. авт.)]</w:t>
      </w:r>
    </w:p>
    <w:p w14:paraId="570EAE28"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по среднему танку: Харьковский паровозостроительный и «Профинтерн» (г. Брянск);</w:t>
      </w:r>
    </w:p>
    <w:p w14:paraId="693C1DCE"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по тяжелому танку: «Большевик».</w:t>
      </w:r>
    </w:p>
    <w:p w14:paraId="4250498B"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УММ в целях кооперирования предполагало в качестве баз для расширения танкостроения использовать тракторные заводы, строившиеся в начале 1930-х гг. Предусматривалось также построить специальный завод танковых двигателей и создать при заводе «Большевик» специальный опытный отдел, обеспеченный необходимыми квалифицированными кадрами и оборудованием (12137).</w:t>
      </w:r>
    </w:p>
    <w:p w14:paraId="1D222DF1" w14:textId="77777777" w:rsidR="00DA14E0" w:rsidRPr="00A259BD" w:rsidRDefault="00DA14E0" w:rsidP="009236E3">
      <w:pPr>
        <w:spacing w:after="0" w:line="240" w:lineRule="auto"/>
        <w:jc w:val="both"/>
        <w:rPr>
          <w:rFonts w:ascii="Times New Roman" w:hAnsi="Times New Roman"/>
          <w:color w:val="000000" w:themeColor="text1"/>
          <w:sz w:val="16"/>
          <w:szCs w:val="16"/>
        </w:rPr>
      </w:pPr>
    </w:p>
    <w:p w14:paraId="4349453A"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CF1914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A5EDD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11 декабря 1929 </w:t>
      </w:r>
      <w:proofErr w:type="spellStart"/>
      <w:r w:rsidRPr="00A259BD">
        <w:rPr>
          <w:rFonts w:ascii="Times New Roman" w:hAnsi="Times New Roman"/>
          <w:color w:val="000000" w:themeColor="text1"/>
          <w:sz w:val="16"/>
          <w:szCs w:val="16"/>
        </w:rPr>
        <w:t>Ф.Зандер</w:t>
      </w:r>
      <w:proofErr w:type="spellEnd"/>
      <w:r w:rsidRPr="00A259BD">
        <w:rPr>
          <w:rFonts w:ascii="Times New Roman" w:hAnsi="Times New Roman"/>
          <w:color w:val="000000" w:themeColor="text1"/>
          <w:sz w:val="16"/>
          <w:szCs w:val="16"/>
        </w:rPr>
        <w:t xml:space="preserve"> писал, что в качестве горючего его ЖРД использует бензин, а в качестве окислителя - побочный продукт производства селитры из воздуха. В течении 42 мин. получал тягу 220 кг. Установили в хвостовой части фюзеляжа самолета. Конструкция самолета братьев Мюллеров оказалась неудачной и летать не решились (3814).</w:t>
      </w:r>
    </w:p>
    <w:p w14:paraId="746B3F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69D25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3B7E0A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330A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декабря 1929 г. в ведении республиканского арматурного треста ВСНХ был образован Государственный </w:t>
      </w:r>
      <w:proofErr w:type="spellStart"/>
      <w:r w:rsidRPr="00A259BD">
        <w:rPr>
          <w:rFonts w:ascii="Times New Roman" w:hAnsi="Times New Roman"/>
          <w:color w:val="000000" w:themeColor="text1"/>
          <w:sz w:val="16"/>
          <w:szCs w:val="16"/>
        </w:rPr>
        <w:t>чугуно</w:t>
      </w:r>
      <w:proofErr w:type="spellEnd"/>
      <w:r w:rsidRPr="00A259BD">
        <w:rPr>
          <w:rFonts w:ascii="Times New Roman" w:hAnsi="Times New Roman"/>
          <w:color w:val="000000" w:themeColor="text1"/>
          <w:sz w:val="16"/>
          <w:szCs w:val="16"/>
        </w:rPr>
        <w:t xml:space="preserve">-литейный и механический завод «Знамя труда» № 4 ВСНХ, Ленинградский государственный </w:t>
      </w:r>
      <w:proofErr w:type="spellStart"/>
      <w:r w:rsidRPr="00A259BD">
        <w:rPr>
          <w:rFonts w:ascii="Times New Roman" w:hAnsi="Times New Roman"/>
          <w:color w:val="000000" w:themeColor="text1"/>
          <w:sz w:val="16"/>
          <w:szCs w:val="16"/>
        </w:rPr>
        <w:t>карбюраторно</w:t>
      </w:r>
      <w:proofErr w:type="spellEnd"/>
      <w:r w:rsidRPr="00A259BD">
        <w:rPr>
          <w:rFonts w:ascii="Times New Roman" w:hAnsi="Times New Roman"/>
          <w:color w:val="000000" w:themeColor="text1"/>
          <w:sz w:val="16"/>
          <w:szCs w:val="16"/>
        </w:rPr>
        <w:t>-арматурный завод им. В.В. Куйбышева («</w:t>
      </w:r>
      <w:proofErr w:type="spellStart"/>
      <w:r w:rsidRPr="00A259BD">
        <w:rPr>
          <w:rFonts w:ascii="Times New Roman" w:hAnsi="Times New Roman"/>
          <w:color w:val="000000" w:themeColor="text1"/>
          <w:sz w:val="16"/>
          <w:szCs w:val="16"/>
        </w:rPr>
        <w:t>Ленкарз</w:t>
      </w:r>
      <w:proofErr w:type="spellEnd"/>
      <w:r w:rsidRPr="00A259BD">
        <w:rPr>
          <w:rFonts w:ascii="Times New Roman" w:hAnsi="Times New Roman"/>
          <w:color w:val="000000" w:themeColor="text1"/>
          <w:sz w:val="16"/>
          <w:szCs w:val="16"/>
        </w:rPr>
        <w:t>») НКТП, НКСМ, ММ, ПО «Ленинградский карбюраторный завод им. В.В. Куйбышева», АООТ «Карбюраторный завод им. В.В. Куйбышева», ОАО «Карбюраторный завод «</w:t>
      </w:r>
      <w:proofErr w:type="spellStart"/>
      <w:r w:rsidRPr="00A259BD">
        <w:rPr>
          <w:rFonts w:ascii="Times New Roman" w:hAnsi="Times New Roman"/>
          <w:color w:val="000000" w:themeColor="text1"/>
          <w:sz w:val="16"/>
          <w:szCs w:val="16"/>
        </w:rPr>
        <w:t>Пекар</w:t>
      </w:r>
      <w:proofErr w:type="spellEnd"/>
      <w:r w:rsidRPr="00A259BD">
        <w:rPr>
          <w:rFonts w:ascii="Times New Roman" w:hAnsi="Times New Roman"/>
          <w:color w:val="000000" w:themeColor="text1"/>
          <w:sz w:val="16"/>
          <w:szCs w:val="16"/>
        </w:rPr>
        <w:t xml:space="preserve">» /г. Ленинград,  г. Санкт-Петербург/. В 1932 г. он передан в НКТП и переименован в Ленинградский </w:t>
      </w:r>
      <w:proofErr w:type="spellStart"/>
      <w:r w:rsidRPr="00A259BD">
        <w:rPr>
          <w:rFonts w:ascii="Times New Roman" w:hAnsi="Times New Roman"/>
          <w:color w:val="000000" w:themeColor="text1"/>
          <w:sz w:val="16"/>
          <w:szCs w:val="16"/>
        </w:rPr>
        <w:t>карбюраторно</w:t>
      </w:r>
      <w:proofErr w:type="spellEnd"/>
      <w:r w:rsidRPr="00A259BD">
        <w:rPr>
          <w:rFonts w:ascii="Times New Roman" w:hAnsi="Times New Roman"/>
          <w:color w:val="000000" w:themeColor="text1"/>
          <w:sz w:val="16"/>
          <w:szCs w:val="16"/>
        </w:rPr>
        <w:t>-арматурный завод. 1.04.1935 г. заводу присвоено имя В.В. Куйбышева, в 1939 г. завод передан в НКСМ.</w:t>
      </w:r>
    </w:p>
    <w:p w14:paraId="612FCF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карбюраторов (1932 г.).</w:t>
      </w:r>
    </w:p>
    <w:p w14:paraId="024593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пост. ГКО № 99сс от 11.07.1941 г. завод «</w:t>
      </w:r>
      <w:proofErr w:type="spellStart"/>
      <w:r w:rsidRPr="00A259BD">
        <w:rPr>
          <w:rFonts w:ascii="Times New Roman" w:hAnsi="Times New Roman"/>
          <w:color w:val="000000" w:themeColor="text1"/>
          <w:sz w:val="16"/>
          <w:szCs w:val="16"/>
        </w:rPr>
        <w:t>Ленкарз</w:t>
      </w:r>
      <w:proofErr w:type="spellEnd"/>
      <w:r w:rsidRPr="00A259BD">
        <w:rPr>
          <w:rFonts w:ascii="Times New Roman" w:hAnsi="Times New Roman"/>
          <w:color w:val="000000" w:themeColor="text1"/>
          <w:sz w:val="16"/>
          <w:szCs w:val="16"/>
        </w:rPr>
        <w:t>» НКСМ подлежал эвакуации в Куйбышев на площадку Карбюраторного завода. Действовал в Ленинграде в 1942 г., в 12.1944 г. - в ведении НКСМ. Производство боеприпасов.</w:t>
      </w:r>
      <w:r w:rsidRPr="00A259BD">
        <w:rPr>
          <w:rFonts w:ascii="Times New Roman" w:hAnsi="Times New Roman"/>
          <w:color w:val="000000" w:themeColor="text1"/>
          <w:sz w:val="16"/>
          <w:szCs w:val="16"/>
          <w:vertAlign w:val="superscript"/>
        </w:rPr>
        <w:t>65</w:t>
      </w:r>
    </w:p>
    <w:p w14:paraId="4245A1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1.12.1944 г. вышло постановление ГКО № 7055 о переводе оборудования и рабочих с омского завода «Красный Профинтерн» на Ленинградский карбюраторный завод.</w:t>
      </w:r>
    </w:p>
    <w:p w14:paraId="044DE7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1946 г. завод - в ведении Министерства автомобильной промышленности (а также до 1953 г. и в 1954-57 г.), затем - Министерства </w:t>
      </w:r>
      <w:proofErr w:type="spellStart"/>
      <w:r w:rsidRPr="00A259BD">
        <w:rPr>
          <w:rFonts w:ascii="Times New Roman" w:hAnsi="Times New Roman"/>
          <w:color w:val="000000" w:themeColor="text1"/>
          <w:sz w:val="16"/>
          <w:szCs w:val="16"/>
        </w:rPr>
        <w:t>автмобильной</w:t>
      </w:r>
      <w:proofErr w:type="spellEnd"/>
      <w:r w:rsidRPr="00A259BD">
        <w:rPr>
          <w:rFonts w:ascii="Times New Roman" w:hAnsi="Times New Roman"/>
          <w:color w:val="000000" w:themeColor="text1"/>
          <w:sz w:val="16"/>
          <w:szCs w:val="16"/>
        </w:rPr>
        <w:t xml:space="preserve"> и тракторной промышленности (1947-48 г.), ММ (1953-54 г.), Управления приборостроительной промышленности </w:t>
      </w:r>
      <w:proofErr w:type="spellStart"/>
      <w:r w:rsidRPr="00A259BD">
        <w:rPr>
          <w:rFonts w:ascii="Times New Roman" w:hAnsi="Times New Roman"/>
          <w:color w:val="000000" w:themeColor="text1"/>
          <w:sz w:val="16"/>
          <w:szCs w:val="16"/>
        </w:rPr>
        <w:t>ЛенСНХ</w:t>
      </w:r>
      <w:proofErr w:type="spellEnd"/>
      <w:r w:rsidRPr="00A259BD">
        <w:rPr>
          <w:rFonts w:ascii="Times New Roman" w:hAnsi="Times New Roman"/>
          <w:color w:val="000000" w:themeColor="text1"/>
          <w:sz w:val="16"/>
          <w:szCs w:val="16"/>
        </w:rPr>
        <w:t xml:space="preserve"> (1957-59 г.), Управления машиностроения </w:t>
      </w:r>
      <w:proofErr w:type="spellStart"/>
      <w:r w:rsidRPr="00A259BD">
        <w:rPr>
          <w:rFonts w:ascii="Times New Roman" w:hAnsi="Times New Roman"/>
          <w:color w:val="000000" w:themeColor="text1"/>
          <w:sz w:val="16"/>
          <w:szCs w:val="16"/>
        </w:rPr>
        <w:t>ЛенСНХ</w:t>
      </w:r>
      <w:proofErr w:type="spellEnd"/>
      <w:r w:rsidRPr="00A259BD">
        <w:rPr>
          <w:rFonts w:ascii="Times New Roman" w:hAnsi="Times New Roman"/>
          <w:color w:val="000000" w:themeColor="text1"/>
          <w:sz w:val="16"/>
          <w:szCs w:val="16"/>
        </w:rPr>
        <w:t xml:space="preserve"> (1959-65 г.). С конца 1965 г. — в ведении ВПО «</w:t>
      </w:r>
      <w:proofErr w:type="spellStart"/>
      <w:r w:rsidRPr="00A259BD">
        <w:rPr>
          <w:rFonts w:ascii="Times New Roman" w:hAnsi="Times New Roman"/>
          <w:color w:val="000000" w:themeColor="text1"/>
          <w:sz w:val="16"/>
          <w:szCs w:val="16"/>
        </w:rPr>
        <w:t>Союзавтоагрегат</w:t>
      </w:r>
      <w:proofErr w:type="spellEnd"/>
      <w:r w:rsidRPr="00A259BD">
        <w:rPr>
          <w:rFonts w:ascii="Times New Roman" w:hAnsi="Times New Roman"/>
          <w:color w:val="000000" w:themeColor="text1"/>
          <w:sz w:val="16"/>
          <w:szCs w:val="16"/>
        </w:rPr>
        <w:t>» Министерства автомобильной промышленности. В 1969 г. в состав ПО «Ленинградский карбюраторный завод им. В.В. Куйбышева» вошел завод «</w:t>
      </w:r>
      <w:proofErr w:type="spellStart"/>
      <w:r w:rsidRPr="00A259BD">
        <w:rPr>
          <w:rFonts w:ascii="Times New Roman" w:hAnsi="Times New Roman"/>
          <w:color w:val="000000" w:themeColor="text1"/>
          <w:sz w:val="16"/>
          <w:szCs w:val="16"/>
        </w:rPr>
        <w:t>Автоарматура</w:t>
      </w:r>
      <w:proofErr w:type="spellEnd"/>
      <w:r w:rsidRPr="00A259BD">
        <w:rPr>
          <w:rFonts w:ascii="Times New Roman" w:hAnsi="Times New Roman"/>
          <w:color w:val="000000" w:themeColor="text1"/>
          <w:sz w:val="16"/>
          <w:szCs w:val="16"/>
        </w:rPr>
        <w:t>».</w:t>
      </w:r>
    </w:p>
    <w:p w14:paraId="3BC0A0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1993 г. завод преобразован в АООТ «Карбюраторный завод им. В.В. Куйбышева», в 1996 г. преобразован в ОАО «Карбюраторный завод «</w:t>
      </w:r>
      <w:proofErr w:type="spellStart"/>
      <w:r w:rsidRPr="00A259BD">
        <w:rPr>
          <w:rFonts w:ascii="Times New Roman" w:hAnsi="Times New Roman"/>
          <w:color w:val="000000" w:themeColor="text1"/>
          <w:sz w:val="16"/>
          <w:szCs w:val="16"/>
        </w:rPr>
        <w:t>Пекар</w:t>
      </w:r>
      <w:proofErr w:type="spellEnd"/>
      <w:r w:rsidRPr="00A259BD">
        <w:rPr>
          <w:rFonts w:ascii="Times New Roman" w:hAnsi="Times New Roman"/>
          <w:color w:val="000000" w:themeColor="text1"/>
          <w:sz w:val="16"/>
          <w:szCs w:val="16"/>
        </w:rPr>
        <w:t>», был в 2004 г. (11982).</w:t>
      </w:r>
    </w:p>
    <w:p w14:paraId="67E74E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FACB1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декабря 1929 г. начальник Штаба РККА Б. М. Шапош</w:t>
      </w:r>
      <w:r w:rsidRPr="00A259BD">
        <w:rPr>
          <w:rFonts w:ascii="Times New Roman" w:hAnsi="Times New Roman"/>
          <w:color w:val="000000" w:themeColor="text1"/>
          <w:sz w:val="16"/>
          <w:szCs w:val="16"/>
        </w:rPr>
        <w:softHyphen/>
        <w:t xml:space="preserve">ников напомнил </w:t>
      </w:r>
      <w:proofErr w:type="spellStart"/>
      <w:r w:rsidRPr="00A259BD">
        <w:rPr>
          <w:rFonts w:ascii="Times New Roman" w:hAnsi="Times New Roman"/>
          <w:color w:val="000000" w:themeColor="text1"/>
          <w:sz w:val="16"/>
          <w:szCs w:val="16"/>
        </w:rPr>
        <w:t>наморси</w:t>
      </w:r>
      <w:proofErr w:type="spellEnd"/>
      <w:r w:rsidRPr="00A259BD">
        <w:rPr>
          <w:rFonts w:ascii="Times New Roman" w:hAnsi="Times New Roman"/>
          <w:color w:val="000000" w:themeColor="text1"/>
          <w:sz w:val="16"/>
          <w:szCs w:val="16"/>
        </w:rPr>
        <w:t xml:space="preserve"> Р. А. </w:t>
      </w:r>
      <w:proofErr w:type="spellStart"/>
      <w:r w:rsidRPr="00A259BD">
        <w:rPr>
          <w:rFonts w:ascii="Times New Roman" w:hAnsi="Times New Roman"/>
          <w:color w:val="000000" w:themeColor="text1"/>
          <w:sz w:val="16"/>
          <w:szCs w:val="16"/>
        </w:rPr>
        <w:t>Муклевичу</w:t>
      </w:r>
      <w:proofErr w:type="spellEnd"/>
      <w:r w:rsidRPr="00A259BD">
        <w:rPr>
          <w:rFonts w:ascii="Times New Roman" w:hAnsi="Times New Roman"/>
          <w:color w:val="000000" w:themeColor="text1"/>
          <w:sz w:val="16"/>
          <w:szCs w:val="16"/>
        </w:rPr>
        <w:t xml:space="preserve"> о десантных судах и определил требования к их мореходности (до 4 баллов в пределах Финского залива), скорости (до 15 уз), району плавания (не менее 200 миль), максимальной осадке (0,5 м) и вооружению (два-четыре пулемета, один-два 37-мм авто</w:t>
      </w:r>
      <w:r w:rsidRPr="00A259BD">
        <w:rPr>
          <w:rFonts w:ascii="Times New Roman" w:hAnsi="Times New Roman"/>
          <w:color w:val="000000" w:themeColor="text1"/>
          <w:sz w:val="16"/>
          <w:szCs w:val="16"/>
        </w:rPr>
        <w:softHyphen/>
        <w:t>мата, радиостанция) (3898).</w:t>
      </w:r>
    </w:p>
    <w:p w14:paraId="0F33F4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421191" w14:textId="77777777" w:rsidR="009864FE"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CA8C603" w14:textId="77777777" w:rsidR="009864FE" w:rsidRPr="00A259BD" w:rsidRDefault="009864F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C12EDE" w14:textId="77777777" w:rsidR="009864FE" w:rsidRPr="00A259BD" w:rsidRDefault="009864FE"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 xml:space="preserve">12 декабря </w:t>
      </w:r>
      <w:r w:rsidRPr="00A259BD">
        <w:rPr>
          <w:rFonts w:ascii="Times New Roman" w:hAnsi="Times New Roman"/>
          <w:color w:val="000000" w:themeColor="text1"/>
          <w:sz w:val="16"/>
          <w:szCs w:val="16"/>
        </w:rPr>
        <w:t>в 1929 году "крещение" первого пассажирского самолёта фирмы «</w:t>
      </w:r>
      <w:proofErr w:type="spellStart"/>
      <w:r w:rsidRPr="00A259BD">
        <w:rPr>
          <w:rFonts w:ascii="Times New Roman" w:hAnsi="Times New Roman"/>
          <w:color w:val="000000" w:themeColor="text1"/>
          <w:sz w:val="16"/>
          <w:szCs w:val="16"/>
        </w:rPr>
        <w:t>Arado</w:t>
      </w:r>
      <w:proofErr w:type="spellEnd"/>
      <w:r w:rsidRPr="00A259BD">
        <w:rPr>
          <w:rFonts w:ascii="Times New Roman" w:hAnsi="Times New Roman"/>
          <w:color w:val="000000" w:themeColor="text1"/>
          <w:sz w:val="16"/>
          <w:szCs w:val="16"/>
        </w:rPr>
        <w:t>». «V.1» получил собственное имя «</w:t>
      </w:r>
      <w:proofErr w:type="spellStart"/>
      <w:r w:rsidRPr="00A259BD">
        <w:rPr>
          <w:rFonts w:ascii="Times New Roman" w:hAnsi="Times New Roman"/>
          <w:color w:val="000000" w:themeColor="text1"/>
          <w:sz w:val="16"/>
          <w:szCs w:val="16"/>
        </w:rPr>
        <w:t>Tenerife</w:t>
      </w:r>
      <w:proofErr w:type="spellEnd"/>
      <w:r w:rsidRPr="00A259BD">
        <w:rPr>
          <w:rFonts w:ascii="Times New Roman" w:hAnsi="Times New Roman"/>
          <w:color w:val="000000" w:themeColor="text1"/>
          <w:sz w:val="16"/>
          <w:szCs w:val="16"/>
        </w:rPr>
        <w:t xml:space="preserve">», но ровно через неделю, проходя испытания в Люфтганзе в качестве почтового самолета и проведя несколько успешных дальних перелетов, разбился у </w:t>
      </w:r>
      <w:proofErr w:type="spellStart"/>
      <w:r w:rsidRPr="00A259BD">
        <w:rPr>
          <w:rFonts w:ascii="Times New Roman" w:hAnsi="Times New Roman"/>
          <w:color w:val="000000" w:themeColor="text1"/>
          <w:sz w:val="16"/>
          <w:szCs w:val="16"/>
        </w:rPr>
        <w:t>Нюруппина</w:t>
      </w:r>
      <w:proofErr w:type="spellEnd"/>
      <w:r w:rsidRPr="00A259BD">
        <w:rPr>
          <w:rFonts w:ascii="Times New Roman" w:hAnsi="Times New Roman"/>
          <w:color w:val="000000" w:themeColor="text1"/>
          <w:sz w:val="16"/>
          <w:szCs w:val="16"/>
        </w:rPr>
        <w:t xml:space="preserve"> 19 декабря 1929 года (14858).</w:t>
      </w:r>
    </w:p>
    <w:p w14:paraId="3B2FC2F4" w14:textId="77777777" w:rsidR="009864FE" w:rsidRPr="00A259BD" w:rsidRDefault="009864FE" w:rsidP="009236E3">
      <w:pPr>
        <w:spacing w:after="0" w:line="240" w:lineRule="auto"/>
        <w:jc w:val="both"/>
        <w:rPr>
          <w:rFonts w:ascii="Times New Roman" w:hAnsi="Times New Roman"/>
          <w:color w:val="000000" w:themeColor="text1"/>
          <w:sz w:val="16"/>
          <w:szCs w:val="16"/>
        </w:rPr>
      </w:pPr>
    </w:p>
    <w:p w14:paraId="3256EF5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C28E19A"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763BA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13 декабря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26) и обсудили программу завода 33, развертывание капстроительства на 31 заводе, поезду на завод 23 и вопрос о границах аэродрома завода 1 и др. (2367).</w:t>
      </w:r>
    </w:p>
    <w:p w14:paraId="27FA37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52C509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01DB44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6C3C41" w14:textId="77777777" w:rsidR="00B420BA" w:rsidRPr="00A259BD" w:rsidRDefault="00B420BA" w:rsidP="009236E3">
      <w:pPr>
        <w:pStyle w:val="ae"/>
        <w:shd w:val="clear" w:color="auto" w:fill="FFFFFF"/>
        <w:spacing w:before="0" w:after="0"/>
        <w:jc w:val="both"/>
        <w:rPr>
          <w:color w:val="000000" w:themeColor="text1"/>
          <w:sz w:val="16"/>
          <w:szCs w:val="16"/>
        </w:rPr>
      </w:pPr>
      <w:r w:rsidRPr="00A259BD">
        <w:rPr>
          <w:color w:val="000000" w:themeColor="text1"/>
          <w:sz w:val="16"/>
          <w:szCs w:val="16"/>
        </w:rPr>
        <w:t xml:space="preserve">13 декабря 1929 года ВСНХ СССР издал приказ № 30сс, в котором предписывалось создавать на большинстве военных заводов собственные опытно-конструкторские </w:t>
      </w:r>
      <w:r w:rsidRPr="00A259BD">
        <w:rPr>
          <w:color w:val="000000" w:themeColor="text1"/>
          <w:sz w:val="16"/>
          <w:szCs w:val="16"/>
        </w:rPr>
        <w:lastRenderedPageBreak/>
        <w:t>подразделения. В связи с этим значительно возросла потребность в ученых и инженерах высшей квалификации. Но в стране ощущалась постоянная нехватка таких людей, и потому ситуация с кадрами приобрела характер критической.</w:t>
      </w:r>
    </w:p>
    <w:p w14:paraId="00503B85" w14:textId="77777777" w:rsidR="00B420BA" w:rsidRPr="00A259BD" w:rsidRDefault="00B420BA" w:rsidP="009236E3">
      <w:pPr>
        <w:pStyle w:val="ae"/>
        <w:shd w:val="clear" w:color="auto" w:fill="FFFFFF"/>
        <w:spacing w:before="0" w:after="0"/>
        <w:jc w:val="both"/>
        <w:rPr>
          <w:color w:val="000000" w:themeColor="text1"/>
          <w:sz w:val="16"/>
          <w:szCs w:val="16"/>
        </w:rPr>
      </w:pPr>
      <w:r w:rsidRPr="00A259BD">
        <w:rPr>
          <w:color w:val="000000" w:themeColor="text1"/>
          <w:sz w:val="16"/>
          <w:szCs w:val="16"/>
        </w:rPr>
        <w:t>В приказе ВСНХ СССР констатировалось: «Производящаяся в настоящее время модернизация существующих образцов вооружения РККА и флота и вводимая на обслуживание армии новая система вооружения требует для своего осуществления максимального напряжения конструкторских сил промышленности. Положение дел в этой области в данное время необходимо признать совершенно неудовлетворительным» (20981).</w:t>
      </w:r>
    </w:p>
    <w:p w14:paraId="21080FBF" w14:textId="77777777" w:rsidR="00B420BA" w:rsidRPr="00A259BD" w:rsidRDefault="00B420BA" w:rsidP="009236E3">
      <w:pPr>
        <w:pStyle w:val="ae"/>
        <w:shd w:val="clear" w:color="auto" w:fill="FFFFFF"/>
        <w:spacing w:before="0" w:after="0"/>
        <w:jc w:val="both"/>
        <w:rPr>
          <w:color w:val="000000" w:themeColor="text1"/>
          <w:sz w:val="16"/>
          <w:szCs w:val="16"/>
        </w:rPr>
      </w:pPr>
    </w:p>
    <w:p w14:paraId="4D50CF3B" w14:textId="77777777" w:rsidR="00B420BA" w:rsidRPr="00A259BD" w:rsidRDefault="00B420BA"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shd w:val="clear" w:color="auto" w:fill="FFFFFF"/>
        </w:rPr>
        <w:t xml:space="preserve">13 декабря 1929 года в справке, подготовленной Б.М. Шапошниковым, начальником штаба РККА, значится и танк Кристи, причем сразу два. В системе вооружения Красной Армии, принятой в июле 1929 года, такой танк не предусматривался. Согласно принятой системе, в Красной Армии предполагалось иметь колесно-гусеничную танкетку, 3-местный малый танк с 37-мм пушкой и пулеметом, а также 4-5-местный средний танк массой 15-16 тонн с 45-м пушкой. Прорабатывался вопрос и по большому (тяжелому) танку, но на тот момент еще не имелось четкого мнения. В случае со средними танками предполагалось приобрести за рубежом колесно-гусеничный средний танк. При этом приоритетным являлся </w:t>
      </w:r>
      <w:proofErr w:type="spellStart"/>
      <w:r w:rsidRPr="00A259BD">
        <w:rPr>
          <w:rFonts w:ascii="Times New Roman" w:hAnsi="Times New Roman"/>
          <w:color w:val="000000" w:themeColor="text1"/>
          <w:sz w:val="16"/>
          <w:szCs w:val="16"/>
          <w:shd w:val="clear" w:color="auto" w:fill="FFFFFF"/>
        </w:rPr>
        <w:t>wheel-cum-track</w:t>
      </w:r>
      <w:proofErr w:type="spellEnd"/>
      <w:r w:rsidRPr="00A259BD">
        <w:rPr>
          <w:rFonts w:ascii="Times New Roman" w:hAnsi="Times New Roman"/>
          <w:color w:val="000000" w:themeColor="text1"/>
          <w:sz w:val="16"/>
          <w:szCs w:val="16"/>
          <w:shd w:val="clear" w:color="auto" w:fill="FFFFFF"/>
        </w:rPr>
        <w:t xml:space="preserve"> Light </w:t>
      </w:r>
      <w:proofErr w:type="spellStart"/>
      <w:r w:rsidRPr="00A259BD">
        <w:rPr>
          <w:rFonts w:ascii="Times New Roman" w:hAnsi="Times New Roman"/>
          <w:color w:val="000000" w:themeColor="text1"/>
          <w:sz w:val="16"/>
          <w:szCs w:val="16"/>
          <w:shd w:val="clear" w:color="auto" w:fill="FFFFFF"/>
        </w:rPr>
        <w:t>Tank</w:t>
      </w:r>
      <w:proofErr w:type="spellEnd"/>
      <w:r w:rsidRPr="00A259BD">
        <w:rPr>
          <w:rFonts w:ascii="Times New Roman" w:hAnsi="Times New Roman"/>
          <w:color w:val="000000" w:themeColor="text1"/>
          <w:sz w:val="16"/>
          <w:szCs w:val="16"/>
          <w:shd w:val="clear" w:color="auto" w:fill="FFFFFF"/>
        </w:rPr>
        <w:t xml:space="preserve"> </w:t>
      </w:r>
      <w:proofErr w:type="spellStart"/>
      <w:r w:rsidRPr="00A259BD">
        <w:rPr>
          <w:rFonts w:ascii="Times New Roman" w:hAnsi="Times New Roman"/>
          <w:color w:val="000000" w:themeColor="text1"/>
          <w:sz w:val="16"/>
          <w:szCs w:val="16"/>
          <w:shd w:val="clear" w:color="auto" w:fill="FFFFFF"/>
        </w:rPr>
        <w:t>Mk.I</w:t>
      </w:r>
      <w:proofErr w:type="spellEnd"/>
      <w:r w:rsidRPr="00A259BD">
        <w:rPr>
          <w:rFonts w:ascii="Times New Roman" w:hAnsi="Times New Roman"/>
          <w:color w:val="000000" w:themeColor="text1"/>
          <w:sz w:val="16"/>
          <w:szCs w:val="16"/>
          <w:shd w:val="clear" w:color="auto" w:fill="FFFFFF"/>
        </w:rPr>
        <w:t xml:space="preserve">, опытный колесно-гусеничный танк, разработанный </w:t>
      </w:r>
      <w:proofErr w:type="spellStart"/>
      <w:r w:rsidRPr="00A259BD">
        <w:rPr>
          <w:rFonts w:ascii="Times New Roman" w:hAnsi="Times New Roman"/>
          <w:color w:val="000000" w:themeColor="text1"/>
          <w:sz w:val="16"/>
          <w:szCs w:val="16"/>
          <w:shd w:val="clear" w:color="auto" w:fill="FFFFFF"/>
        </w:rPr>
        <w:t>Vickers</w:t>
      </w:r>
      <w:proofErr w:type="spellEnd"/>
      <w:r w:rsidRPr="00A259BD">
        <w:rPr>
          <w:rFonts w:ascii="Times New Roman" w:hAnsi="Times New Roman"/>
          <w:color w:val="000000" w:themeColor="text1"/>
          <w:sz w:val="16"/>
          <w:szCs w:val="16"/>
          <w:shd w:val="clear" w:color="auto" w:fill="FFFFFF"/>
        </w:rPr>
        <w:t xml:space="preserve"> и проходивший у нас как "Виккерс 1927 г". Этот танк имел опускаемый колесный ход, подобную конструкцию можно видеть у нескольких фирм, но идея не прижилась (20339).</w:t>
      </w:r>
    </w:p>
    <w:p w14:paraId="302ADF2E" w14:textId="77777777" w:rsidR="00B420BA" w:rsidRPr="00A259BD" w:rsidRDefault="00B420BA" w:rsidP="009236E3">
      <w:pPr>
        <w:shd w:val="clear" w:color="auto" w:fill="FFFFFF"/>
        <w:spacing w:after="0" w:line="240" w:lineRule="auto"/>
        <w:jc w:val="both"/>
        <w:rPr>
          <w:rFonts w:ascii="Times New Roman" w:hAnsi="Times New Roman"/>
          <w:color w:val="000000" w:themeColor="text1"/>
          <w:sz w:val="16"/>
          <w:szCs w:val="16"/>
        </w:rPr>
      </w:pPr>
    </w:p>
    <w:p w14:paraId="1E9B1EA8" w14:textId="77777777" w:rsidR="00042CCB" w:rsidRPr="00A259BD" w:rsidRDefault="00042CCB" w:rsidP="009236E3">
      <w:pPr>
        <w:spacing w:after="0" w:line="240" w:lineRule="auto"/>
        <w:jc w:val="both"/>
        <w:rPr>
          <w:rFonts w:ascii="Times New Roman" w:hAnsi="Times New Roman"/>
          <w:color w:val="000000" w:themeColor="text1"/>
          <w:sz w:val="16"/>
          <w:szCs w:val="16"/>
        </w:rPr>
      </w:pPr>
      <w:r w:rsidRPr="00A259BD">
        <w:rPr>
          <w:rFonts w:ascii="Times New Roman" w:eastAsia="Times New Roman" w:hAnsi="Times New Roman"/>
          <w:color w:val="000000" w:themeColor="text1"/>
          <w:sz w:val="16"/>
          <w:szCs w:val="16"/>
          <w:lang w:eastAsia="ru-RU"/>
        </w:rPr>
        <w:t>13 декабря 1929 г.</w:t>
      </w:r>
    </w:p>
    <w:p w14:paraId="3FF3D259"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bCs/>
          <w:iCs/>
          <w:color w:val="000000" w:themeColor="text1"/>
          <w:sz w:val="16"/>
          <w:szCs w:val="16"/>
          <w:lang w:eastAsia="ru-RU"/>
        </w:rPr>
        <w:t>РГВА Фонд 31811 Опись 1 Дело 38 лист 2 – 3</w:t>
      </w:r>
      <w:r w:rsidRPr="00A259BD">
        <w:rPr>
          <w:rFonts w:ascii="Times New Roman" w:eastAsia="Times New Roman" w:hAnsi="Times New Roman"/>
          <w:color w:val="000000" w:themeColor="text1"/>
          <w:sz w:val="16"/>
          <w:szCs w:val="16"/>
          <w:lang w:eastAsia="ru-RU"/>
        </w:rPr>
        <w:t xml:space="preserve"> </w:t>
      </w:r>
    </w:p>
    <w:p w14:paraId="07D96678"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СОВЕРШЕННО СЕКРЕТНО. </w:t>
      </w:r>
    </w:p>
    <w:p w14:paraId="3A3CBDAB"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ПРЕДСЕДАТЕЛЮ РЕВОЛЮЦИОННОГО ВОЕННОГО СОВЕТА СССР </w:t>
      </w:r>
    </w:p>
    <w:p w14:paraId="47452C2D"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Доклад</w:t>
      </w:r>
    </w:p>
    <w:p w14:paraId="43BC9922"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соответствии с Вашим заданием от 10/XII с. г. за № 01924 представляю соображения о закупке образцов танков за границей. Соображения эти обсуждались на совещании совместно с т. УБОРЕВИЧЕМ, ХАЛЕПСКИМ и БЕРЗИНЫМ. </w:t>
      </w:r>
    </w:p>
    <w:p w14:paraId="354B7E93"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1) Общие пожелания.</w:t>
      </w:r>
    </w:p>
    <w:p w14:paraId="2C43A359"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Наиболее желательным является приобретение у одной и той же страны образцов, рабочих чертежей и технической помощи. Одновременно выяснить возможность покупки даже целой партии 60 – 100 шт. средних танков. </w:t>
      </w:r>
    </w:p>
    <w:p w14:paraId="39DE4DEC"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Если такая закупка не удастся, придется пойти на закупку образца в одной стране с тем, чтобы техническую помощь получить в другом месте. Покупка среднего танка без чертежей и технической помощи проблемы перенесения постройки у нас типа танка – не решает. </w:t>
      </w:r>
    </w:p>
    <w:p w14:paraId="2060203E"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2) Типы танков и страны.</w:t>
      </w:r>
    </w:p>
    <w:p w14:paraId="22C1A545"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Средний танк. </w:t>
      </w:r>
    </w:p>
    <w:p w14:paraId="79EE0B20"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Наиболее желательным для приобретения типом является Виккерс 1927 г. на колесно-гусеничном ходу (Англия). По Америке – Кристи (модель 1940 г.) и Медиум ТС (модель 1927 г.), оба на колесно-гусеничном ходу, в крайнем случае, последний тип на гусеничном ходу. В Америке можно поставить вопрос о приобретении партии средних танков. </w:t>
      </w:r>
    </w:p>
    <w:p w14:paraId="3C2DBA45"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Малые танки. </w:t>
      </w:r>
    </w:p>
    <w:p w14:paraId="414FB56B"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Необходимо приобрести в Америке танк ТЕ1 на колесно-гусеничном ходу. Желательно с конструкторскими целями приобрести во Франции танк Рено № 27. Необходимо приобрести двухместную танкетку Карден Ллойд в Англии. </w:t>
      </w:r>
    </w:p>
    <w:p w14:paraId="29EFA73C"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Из больших танков необходимо приобретение большого танка Виккерса в Англии. Было бы желательным закупить вездеходное шасси танк – истребитель со скоростью хода до 30 км и достаточно мощным вооружением (не менее 45 мм). </w:t>
      </w:r>
    </w:p>
    <w:p w14:paraId="69EF68B5"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Помимо танков, желательно приобрести одну самоходную зенитную установку и одну шестиколесную (трехосную) бронемашину. </w:t>
      </w:r>
    </w:p>
    <w:p w14:paraId="2090E5A3"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При покупке образцов обратить особое внимание на улучшение системы видимости, перископы кино-</w:t>
      </w:r>
      <w:proofErr w:type="spellStart"/>
      <w:r w:rsidRPr="00A259BD">
        <w:rPr>
          <w:rFonts w:ascii="Times New Roman" w:eastAsia="Times New Roman" w:hAnsi="Times New Roman"/>
          <w:color w:val="000000" w:themeColor="text1"/>
          <w:sz w:val="16"/>
          <w:szCs w:val="16"/>
          <w:lang w:eastAsia="ru-RU"/>
        </w:rPr>
        <w:t>гляс</w:t>
      </w:r>
      <w:proofErr w:type="spellEnd"/>
      <w:r w:rsidRPr="00A259BD">
        <w:rPr>
          <w:rFonts w:ascii="Times New Roman" w:eastAsia="Times New Roman" w:hAnsi="Times New Roman"/>
          <w:color w:val="000000" w:themeColor="text1"/>
          <w:sz w:val="16"/>
          <w:szCs w:val="16"/>
          <w:lang w:eastAsia="ru-RU"/>
        </w:rPr>
        <w:t xml:space="preserve"> и отдельные приборы (стробоскопы), по методам независимости стрельбы от качания танка (принципы морской стрельбы, жироскопы). </w:t>
      </w:r>
    </w:p>
    <w:p w14:paraId="71C657AF"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3) Способы закупки.</w:t>
      </w:r>
    </w:p>
    <w:p w14:paraId="611EBAA0"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Способы закупки точно определить сейчас невозможно. В каждом отдельном случае придется при содействии т. Берзина и его аппарата решать вопрос о наилучших способах. </w:t>
      </w:r>
    </w:p>
    <w:p w14:paraId="72EA753F"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4) О лицах</w:t>
      </w:r>
    </w:p>
    <w:p w14:paraId="27A0EC06"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Желательно ответственным лицом за закупку послать т. </w:t>
      </w:r>
      <w:proofErr w:type="spellStart"/>
      <w:r w:rsidRPr="00A259BD">
        <w:rPr>
          <w:rFonts w:ascii="Times New Roman" w:eastAsia="Times New Roman" w:hAnsi="Times New Roman"/>
          <w:color w:val="000000" w:themeColor="text1"/>
          <w:sz w:val="16"/>
          <w:szCs w:val="16"/>
          <w:lang w:eastAsia="ru-RU"/>
        </w:rPr>
        <w:t>Халепского</w:t>
      </w:r>
      <w:proofErr w:type="spellEnd"/>
      <w:r w:rsidRPr="00A259BD">
        <w:rPr>
          <w:rFonts w:ascii="Times New Roman" w:eastAsia="Times New Roman" w:hAnsi="Times New Roman"/>
          <w:color w:val="000000" w:themeColor="text1"/>
          <w:sz w:val="16"/>
          <w:szCs w:val="16"/>
          <w:lang w:eastAsia="ru-RU"/>
        </w:rPr>
        <w:t xml:space="preserve">. Вместе с ним одного товарища от ВСНХ. Желательно т. </w:t>
      </w:r>
      <w:proofErr w:type="spellStart"/>
      <w:r w:rsidRPr="00A259BD">
        <w:rPr>
          <w:rFonts w:ascii="Times New Roman" w:eastAsia="Times New Roman" w:hAnsi="Times New Roman"/>
          <w:color w:val="000000" w:themeColor="text1"/>
          <w:sz w:val="16"/>
          <w:szCs w:val="16"/>
          <w:lang w:eastAsia="ru-RU"/>
        </w:rPr>
        <w:t>Будняка</w:t>
      </w:r>
      <w:proofErr w:type="spellEnd"/>
      <w:r w:rsidRPr="00A259BD">
        <w:rPr>
          <w:rFonts w:ascii="Times New Roman" w:eastAsia="Times New Roman" w:hAnsi="Times New Roman"/>
          <w:color w:val="000000" w:themeColor="text1"/>
          <w:sz w:val="16"/>
          <w:szCs w:val="16"/>
          <w:lang w:eastAsia="ru-RU"/>
        </w:rPr>
        <w:t xml:space="preserve">. Кроме них, одного или двух инженеров. Тов. </w:t>
      </w:r>
      <w:proofErr w:type="spellStart"/>
      <w:r w:rsidRPr="00A259BD">
        <w:rPr>
          <w:rFonts w:ascii="Times New Roman" w:eastAsia="Times New Roman" w:hAnsi="Times New Roman"/>
          <w:color w:val="000000" w:themeColor="text1"/>
          <w:sz w:val="16"/>
          <w:szCs w:val="16"/>
          <w:lang w:eastAsia="ru-RU"/>
        </w:rPr>
        <w:t>Халепский</w:t>
      </w:r>
      <w:proofErr w:type="spellEnd"/>
      <w:r w:rsidRPr="00A259BD">
        <w:rPr>
          <w:rFonts w:ascii="Times New Roman" w:eastAsia="Times New Roman" w:hAnsi="Times New Roman"/>
          <w:color w:val="000000" w:themeColor="text1"/>
          <w:sz w:val="16"/>
          <w:szCs w:val="16"/>
          <w:lang w:eastAsia="ru-RU"/>
        </w:rPr>
        <w:t xml:space="preserve"> считает наиболее желательным поездку т. </w:t>
      </w:r>
      <w:proofErr w:type="spellStart"/>
      <w:r w:rsidRPr="00A259BD">
        <w:rPr>
          <w:rFonts w:ascii="Times New Roman" w:eastAsia="Times New Roman" w:hAnsi="Times New Roman"/>
          <w:color w:val="000000" w:themeColor="text1"/>
          <w:sz w:val="16"/>
          <w:szCs w:val="16"/>
          <w:lang w:eastAsia="ru-RU"/>
        </w:rPr>
        <w:t>Топилова</w:t>
      </w:r>
      <w:proofErr w:type="spellEnd"/>
      <w:r w:rsidRPr="00A259BD">
        <w:rPr>
          <w:rFonts w:ascii="Times New Roman" w:eastAsia="Times New Roman" w:hAnsi="Times New Roman"/>
          <w:color w:val="000000" w:themeColor="text1"/>
          <w:sz w:val="16"/>
          <w:szCs w:val="16"/>
          <w:lang w:eastAsia="ru-RU"/>
        </w:rPr>
        <w:t xml:space="preserve"> (чл. ВКП(б) – Нач. Танкового Отдела УНМ), т. Бегунова (чл. ВКП(б) – чл. </w:t>
      </w:r>
      <w:proofErr w:type="spellStart"/>
      <w:r w:rsidRPr="00A259BD">
        <w:rPr>
          <w:rFonts w:ascii="Times New Roman" w:eastAsia="Times New Roman" w:hAnsi="Times New Roman"/>
          <w:color w:val="000000" w:themeColor="text1"/>
          <w:sz w:val="16"/>
          <w:szCs w:val="16"/>
          <w:lang w:eastAsia="ru-RU"/>
        </w:rPr>
        <w:t>Научн</w:t>
      </w:r>
      <w:proofErr w:type="spellEnd"/>
      <w:r w:rsidRPr="00A259BD">
        <w:rPr>
          <w:rFonts w:ascii="Times New Roman" w:eastAsia="Times New Roman" w:hAnsi="Times New Roman"/>
          <w:color w:val="000000" w:themeColor="text1"/>
          <w:sz w:val="16"/>
          <w:szCs w:val="16"/>
          <w:lang w:eastAsia="ru-RU"/>
        </w:rPr>
        <w:t>.-</w:t>
      </w:r>
      <w:proofErr w:type="spellStart"/>
      <w:r w:rsidRPr="00A259BD">
        <w:rPr>
          <w:rFonts w:ascii="Times New Roman" w:eastAsia="Times New Roman" w:hAnsi="Times New Roman"/>
          <w:color w:val="000000" w:themeColor="text1"/>
          <w:sz w:val="16"/>
          <w:szCs w:val="16"/>
          <w:lang w:eastAsia="ru-RU"/>
        </w:rPr>
        <w:t>Технич</w:t>
      </w:r>
      <w:proofErr w:type="spellEnd"/>
      <w:r w:rsidRPr="00A259BD">
        <w:rPr>
          <w:rFonts w:ascii="Times New Roman" w:eastAsia="Times New Roman" w:hAnsi="Times New Roman"/>
          <w:color w:val="000000" w:themeColor="text1"/>
          <w:sz w:val="16"/>
          <w:szCs w:val="16"/>
          <w:lang w:eastAsia="ru-RU"/>
        </w:rPr>
        <w:t xml:space="preserve">. УНМ). </w:t>
      </w:r>
    </w:p>
    <w:p w14:paraId="638B58A7"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НАЧАЛЬНИК ШТАБА РККА подпись Б.М. Шапошникова</w:t>
      </w:r>
    </w:p>
    <w:p w14:paraId="73D4DA87"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"13" декабря 1929 г. </w:t>
      </w:r>
    </w:p>
    <w:p w14:paraId="47D06168"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На документе резолюция К.Е. Ворошилова:</w:t>
      </w:r>
      <w:r w:rsidRPr="00A259BD">
        <w:rPr>
          <w:rFonts w:ascii="Times New Roman" w:eastAsia="Times New Roman" w:hAnsi="Times New Roman"/>
          <w:color w:val="000000" w:themeColor="text1"/>
          <w:sz w:val="16"/>
          <w:szCs w:val="16"/>
          <w:lang w:eastAsia="ru-RU"/>
        </w:rPr>
        <w:t xml:space="preserve"> </w:t>
      </w:r>
    </w:p>
    <w:p w14:paraId="2035B012"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«Не имею возражений. Немедленно практически проработать план поездки – куда ехать, с кем связаться и пр.» (19742).</w:t>
      </w:r>
    </w:p>
    <w:p w14:paraId="46B05B7C" w14:textId="77777777" w:rsidR="00042CCB" w:rsidRPr="00A259BD" w:rsidRDefault="00042CCB" w:rsidP="009236E3">
      <w:pPr>
        <w:spacing w:after="0" w:line="240" w:lineRule="auto"/>
        <w:jc w:val="both"/>
        <w:rPr>
          <w:rFonts w:ascii="Times New Roman" w:eastAsia="Times New Roman" w:hAnsi="Times New Roman"/>
          <w:color w:val="000000" w:themeColor="text1"/>
          <w:sz w:val="16"/>
          <w:szCs w:val="16"/>
          <w:lang w:eastAsia="ru-RU"/>
        </w:rPr>
      </w:pPr>
    </w:p>
    <w:p w14:paraId="76B27FA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декабря 1929 г. было ПИСЬМО ХАЛЕПСКОГО ТОВАРИЩУ БЛЮХЕРУ ОБ УСИЛЕНИИ ЧАСТЕЙ ОДВА МОТОМЕХЧАСТЯМИ</w:t>
      </w:r>
    </w:p>
    <w:p w14:paraId="38D93C0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Москва</w:t>
      </w:r>
    </w:p>
    <w:p w14:paraId="00E0E8A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Многоуважаемый т. Блюхер</w:t>
      </w:r>
    </w:p>
    <w:p w14:paraId="4F494D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связи с командированием нашего представителя в составе Инспекции РВС СССР в ОДВА, я счел необходимым обратиться к Вам с этим письмом и выяснить ряд вопросов, связанных с пребы</w:t>
      </w:r>
      <w:r w:rsidRPr="00A259BD">
        <w:rPr>
          <w:rFonts w:ascii="Times New Roman" w:hAnsi="Times New Roman"/>
          <w:color w:val="000000" w:themeColor="text1"/>
          <w:sz w:val="16"/>
          <w:szCs w:val="16"/>
        </w:rPr>
        <w:softHyphen/>
        <w:t>ванием во вверенной Вам Армии броневых и автомобильных частей, которые подведомственны в настоящее время Управлению механизации и моторизации РККА, начальником коего я являюсь.</w:t>
      </w:r>
    </w:p>
    <w:p w14:paraId="4A346EA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Управлению желательно знать Ваше мнение о возможности использования </w:t>
      </w:r>
      <w:proofErr w:type="spellStart"/>
      <w:r w:rsidRPr="00A259BD">
        <w:rPr>
          <w:rFonts w:ascii="Times New Roman" w:hAnsi="Times New Roman"/>
          <w:color w:val="000000" w:themeColor="text1"/>
          <w:sz w:val="16"/>
          <w:szCs w:val="16"/>
        </w:rPr>
        <w:t>автоброневых</w:t>
      </w:r>
      <w:proofErr w:type="spellEnd"/>
      <w:r w:rsidRPr="00A259BD">
        <w:rPr>
          <w:rFonts w:ascii="Times New Roman" w:hAnsi="Times New Roman"/>
          <w:color w:val="000000" w:themeColor="text1"/>
          <w:sz w:val="16"/>
          <w:szCs w:val="16"/>
        </w:rPr>
        <w:t xml:space="preserve"> и танковых частей на территории ОДВА и использования механизированных групп совместно с кон</w:t>
      </w:r>
      <w:r w:rsidRPr="00A259BD">
        <w:rPr>
          <w:rFonts w:ascii="Times New Roman" w:hAnsi="Times New Roman"/>
          <w:color w:val="000000" w:themeColor="text1"/>
          <w:sz w:val="16"/>
          <w:szCs w:val="16"/>
        </w:rPr>
        <w:softHyphen/>
        <w:t>ницей, исходя из особенностей театра военных действий, климатических и других местных условий.</w:t>
      </w:r>
    </w:p>
    <w:p w14:paraId="588625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Мне кажется, что конница усиленная моторизованными и механизированными частями предста</w:t>
      </w:r>
      <w:r w:rsidRPr="00A259BD">
        <w:rPr>
          <w:rFonts w:ascii="Times New Roman" w:hAnsi="Times New Roman"/>
          <w:color w:val="000000" w:themeColor="text1"/>
          <w:sz w:val="16"/>
          <w:szCs w:val="16"/>
        </w:rPr>
        <w:softHyphen/>
        <w:t>вляла бы большую ценность на обширном театре вверенной Вам Армии, найдя широкое применение.</w:t>
      </w:r>
    </w:p>
    <w:p w14:paraId="2D6442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связи с этим, считаете ли Вы достаточным то количество броневых (т.е. танковых, </w:t>
      </w:r>
      <w:proofErr w:type="spellStart"/>
      <w:r w:rsidRPr="00A259BD">
        <w:rPr>
          <w:rFonts w:ascii="Times New Roman" w:hAnsi="Times New Roman"/>
          <w:color w:val="000000" w:themeColor="text1"/>
          <w:sz w:val="16"/>
          <w:szCs w:val="16"/>
        </w:rPr>
        <w:t>автоброне</w:t>
      </w:r>
      <w:r w:rsidRPr="00A259BD">
        <w:rPr>
          <w:rFonts w:ascii="Times New Roman" w:hAnsi="Times New Roman"/>
          <w:color w:val="000000" w:themeColor="text1"/>
          <w:sz w:val="16"/>
          <w:szCs w:val="16"/>
        </w:rPr>
        <w:softHyphen/>
        <w:t>вых</w:t>
      </w:r>
      <w:proofErr w:type="spellEnd"/>
      <w:r w:rsidRPr="00A259BD">
        <w:rPr>
          <w:rFonts w:ascii="Times New Roman" w:hAnsi="Times New Roman"/>
          <w:color w:val="000000" w:themeColor="text1"/>
          <w:sz w:val="16"/>
          <w:szCs w:val="16"/>
        </w:rPr>
        <w:t xml:space="preserve"> и бронепоездов) и автомобильных частей, которое имеется в данное время в Вашем распоряже</w:t>
      </w:r>
      <w:r w:rsidRPr="00A259BD">
        <w:rPr>
          <w:rFonts w:ascii="Times New Roman" w:hAnsi="Times New Roman"/>
          <w:color w:val="000000" w:themeColor="text1"/>
          <w:sz w:val="16"/>
          <w:szCs w:val="16"/>
        </w:rPr>
        <w:softHyphen/>
        <w:t>нии, и считаете ли Вы необходимым закрепить эти части на все время за ОДВА.</w:t>
      </w:r>
    </w:p>
    <w:p w14:paraId="7A47934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положительном случае необходимо сейчас же ставить вопрос об исключении их из состава со</w:t>
      </w:r>
      <w:r w:rsidRPr="00A259BD">
        <w:rPr>
          <w:rFonts w:ascii="Times New Roman" w:hAnsi="Times New Roman"/>
          <w:color w:val="000000" w:themeColor="text1"/>
          <w:sz w:val="16"/>
          <w:szCs w:val="16"/>
        </w:rPr>
        <w:softHyphen/>
        <w:t>ответствующих частей с одновременным усилением их общего состава в ОДВА.?</w:t>
      </w:r>
    </w:p>
    <w:p w14:paraId="26E972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Вследствие отсутствия при штабе ОДВА определенного лица, ведающего броневыми и автомо</w:t>
      </w:r>
      <w:r w:rsidRPr="00A259BD">
        <w:rPr>
          <w:rFonts w:ascii="Times New Roman" w:hAnsi="Times New Roman"/>
          <w:color w:val="000000" w:themeColor="text1"/>
          <w:sz w:val="16"/>
          <w:szCs w:val="16"/>
        </w:rPr>
        <w:softHyphen/>
        <w:t>бильными частями, Управление по механизации и моторизации РККА интересует вопрос, не кажется ли Вам необходимым иметь при штабе Армии начальника броневых механизированных частей, веда</w:t>
      </w:r>
      <w:r w:rsidRPr="00A259BD">
        <w:rPr>
          <w:rFonts w:ascii="Times New Roman" w:hAnsi="Times New Roman"/>
          <w:color w:val="000000" w:themeColor="text1"/>
          <w:sz w:val="16"/>
          <w:szCs w:val="16"/>
        </w:rPr>
        <w:softHyphen/>
        <w:t>ющего материальным обеспечением и подготовкой всех броневых и автомобильных частей и являю</w:t>
      </w:r>
      <w:r w:rsidRPr="00A259BD">
        <w:rPr>
          <w:rFonts w:ascii="Times New Roman" w:hAnsi="Times New Roman"/>
          <w:color w:val="000000" w:themeColor="text1"/>
          <w:sz w:val="16"/>
          <w:szCs w:val="16"/>
        </w:rPr>
        <w:softHyphen/>
        <w:t>щегося непосредственным советником командования Армии по использованию их.</w:t>
      </w:r>
    </w:p>
    <w:p w14:paraId="64E0D16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Для содержания материальной части броневых и автомобильных частей в исправном состоянии я | считаю необходимым иметь соответствующие армейские средства для ремонта и восстановления. Не счи</w:t>
      </w:r>
      <w:r w:rsidRPr="00A259BD">
        <w:rPr>
          <w:rFonts w:ascii="Times New Roman" w:hAnsi="Times New Roman"/>
          <w:color w:val="000000" w:themeColor="text1"/>
          <w:sz w:val="16"/>
          <w:szCs w:val="16"/>
        </w:rPr>
        <w:softHyphen/>
        <w:t>таете ли Вы нужным организовать армейские (стационарные или подвижные) технические мастерские, I которые бы обеспечили броневые и автомобильные части не только средним, но и капитальным ремонтом,</w:t>
      </w:r>
    </w:p>
    <w:p w14:paraId="1FCD461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Со своей стороны я принимаю меры к обеспечению техническим резервом имеющихся в ОДВА | броневых и автомобильных частей (запас машин для замены выбывающих из частей для ремонта).</w:t>
      </w:r>
    </w:p>
    <w:p w14:paraId="2107922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всем затронутым мной вопросам желательно знать Ваше принципиальное решение, для даль-1 </w:t>
      </w:r>
      <w:proofErr w:type="spellStart"/>
      <w:r w:rsidRPr="00A259BD">
        <w:rPr>
          <w:rFonts w:ascii="Times New Roman" w:hAnsi="Times New Roman"/>
          <w:color w:val="000000" w:themeColor="text1"/>
          <w:sz w:val="16"/>
          <w:szCs w:val="16"/>
        </w:rPr>
        <w:t>нейшего</w:t>
      </w:r>
      <w:proofErr w:type="spellEnd"/>
      <w:r w:rsidRPr="00A259BD">
        <w:rPr>
          <w:rFonts w:ascii="Times New Roman" w:hAnsi="Times New Roman"/>
          <w:color w:val="000000" w:themeColor="text1"/>
          <w:sz w:val="16"/>
          <w:szCs w:val="16"/>
        </w:rPr>
        <w:t xml:space="preserve"> представления с Вашей и моей стороны на утверждение Наркома.</w:t>
      </w:r>
    </w:p>
    <w:p w14:paraId="3A7E2D1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коммунистическим приветом</w:t>
      </w:r>
    </w:p>
    <w:p w14:paraId="1595C1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 Механизированных и моторизованных войск РККА </w:t>
      </w:r>
      <w:proofErr w:type="spellStart"/>
      <w:r w:rsidRPr="00A259BD">
        <w:rPr>
          <w:rFonts w:ascii="Times New Roman" w:hAnsi="Times New Roman"/>
          <w:color w:val="000000" w:themeColor="text1"/>
          <w:sz w:val="16"/>
          <w:szCs w:val="16"/>
        </w:rPr>
        <w:t>Халепский</w:t>
      </w:r>
      <w:proofErr w:type="spellEnd"/>
    </w:p>
    <w:p w14:paraId="2D1AD6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РГВАФ. 31811. Оп. 1. Д. 181. Л. 4. Подлинник (11210).</w:t>
      </w:r>
    </w:p>
    <w:p w14:paraId="79B504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08C45A8" w14:textId="77777777" w:rsidR="00DA14E0" w:rsidRPr="00A259BD" w:rsidRDefault="00DA14E0" w:rsidP="009236E3">
      <w:pPr>
        <w:pStyle w:val="rtejustify"/>
        <w:spacing w:before="0" w:after="0"/>
        <w:rPr>
          <w:color w:val="000000" w:themeColor="text1"/>
          <w:sz w:val="16"/>
          <w:szCs w:val="16"/>
        </w:rPr>
      </w:pPr>
      <w:r w:rsidRPr="00A259BD">
        <w:rPr>
          <w:rStyle w:val="af0"/>
          <w:i w:val="0"/>
          <w:color w:val="000000" w:themeColor="text1"/>
          <w:sz w:val="16"/>
          <w:szCs w:val="16"/>
        </w:rPr>
        <w:t xml:space="preserve">13 декабря </w:t>
      </w:r>
      <w:r w:rsidRPr="00A259BD">
        <w:rPr>
          <w:color w:val="000000" w:themeColor="text1"/>
          <w:sz w:val="16"/>
          <w:szCs w:val="16"/>
        </w:rPr>
        <w:t>1929 г</w:t>
      </w:r>
      <w:r w:rsidRPr="00A259BD">
        <w:rPr>
          <w:rStyle w:val="af0"/>
          <w:i w:val="0"/>
          <w:color w:val="000000" w:themeColor="text1"/>
          <w:sz w:val="16"/>
          <w:szCs w:val="16"/>
        </w:rPr>
        <w:t xml:space="preserve">. Протокол Реввоенсовета № 39. </w:t>
      </w:r>
      <w:r w:rsidRPr="00A259BD">
        <w:rPr>
          <w:color w:val="000000" w:themeColor="text1"/>
          <w:sz w:val="16"/>
          <w:szCs w:val="16"/>
        </w:rPr>
        <w:t xml:space="preserve">2. О </w:t>
      </w:r>
      <w:proofErr w:type="spellStart"/>
      <w:r w:rsidRPr="00A259BD">
        <w:rPr>
          <w:color w:val="000000" w:themeColor="text1"/>
          <w:sz w:val="16"/>
          <w:szCs w:val="16"/>
        </w:rPr>
        <w:t>мобготовности</w:t>
      </w:r>
      <w:proofErr w:type="spellEnd"/>
      <w:r w:rsidRPr="00A259BD">
        <w:rPr>
          <w:color w:val="000000" w:themeColor="text1"/>
          <w:sz w:val="16"/>
          <w:szCs w:val="16"/>
        </w:rPr>
        <w:t xml:space="preserve"> промышленности и работе МПУ ВСНХ. (Постников, </w:t>
      </w:r>
      <w:proofErr w:type="spellStart"/>
      <w:r w:rsidRPr="00A259BD">
        <w:rPr>
          <w:color w:val="000000" w:themeColor="text1"/>
          <w:sz w:val="16"/>
          <w:szCs w:val="16"/>
        </w:rPr>
        <w:t>Павлуновский</w:t>
      </w:r>
      <w:proofErr w:type="spellEnd"/>
      <w:r w:rsidRPr="00A259BD">
        <w:rPr>
          <w:color w:val="000000" w:themeColor="text1"/>
          <w:sz w:val="16"/>
          <w:szCs w:val="16"/>
        </w:rPr>
        <w:t>). Перенесено на 23 декабря 1929 г. 3. Материальные планы и сметы по вооружению на 1929/30 г. (Уборевич). 4. Материальные планы и сметы по моторизации и механизации на 1929/30 г. (</w:t>
      </w:r>
      <w:proofErr w:type="spellStart"/>
      <w:r w:rsidRPr="00A259BD">
        <w:rPr>
          <w:color w:val="000000" w:themeColor="text1"/>
          <w:sz w:val="16"/>
          <w:szCs w:val="16"/>
        </w:rPr>
        <w:t>Халепский</w:t>
      </w:r>
      <w:proofErr w:type="spellEnd"/>
      <w:r w:rsidRPr="00A259BD">
        <w:rPr>
          <w:color w:val="000000" w:themeColor="text1"/>
          <w:sz w:val="16"/>
          <w:szCs w:val="16"/>
        </w:rPr>
        <w:t>). 5. Материальные планы и сметы по авиации на 1929/30 г. (Баранов П. И.). 6. О состоянии конструкторского дела в промышленности и заграничной техпомощи. (Каменев). 10. О состоянии работ по 203</w:t>
      </w:r>
      <w:r w:rsidRPr="00A259BD">
        <w:rPr>
          <w:color w:val="000000" w:themeColor="text1"/>
          <w:sz w:val="16"/>
          <w:szCs w:val="16"/>
        </w:rPr>
        <w:noBreakHyphen/>
        <w:t>мм гаубице образца 1929 г. Путиловского завода. (Тухачевский). 11. О состоянии работ по 203</w:t>
      </w:r>
      <w:r w:rsidRPr="00A259BD">
        <w:rPr>
          <w:color w:val="000000" w:themeColor="text1"/>
          <w:sz w:val="16"/>
          <w:szCs w:val="16"/>
        </w:rPr>
        <w:noBreakHyphen/>
        <w:t xml:space="preserve">мм гаубице </w:t>
      </w:r>
      <w:proofErr w:type="spellStart"/>
      <w:r w:rsidRPr="00A259BD">
        <w:rPr>
          <w:color w:val="000000" w:themeColor="text1"/>
          <w:sz w:val="16"/>
          <w:szCs w:val="16"/>
        </w:rPr>
        <w:t>Косартопа</w:t>
      </w:r>
      <w:proofErr w:type="spellEnd"/>
      <w:r w:rsidRPr="00A259BD">
        <w:rPr>
          <w:color w:val="000000" w:themeColor="text1"/>
          <w:sz w:val="16"/>
          <w:szCs w:val="16"/>
        </w:rPr>
        <w:t>. (Каменев). 13. Об утверждении председателем РВСС постановлений РВСС. (РГВА. Ф. 4. Оп. 18. Д. 15. Л. 260, 262, 264, 265) (13242).</w:t>
      </w:r>
    </w:p>
    <w:p w14:paraId="10591447" w14:textId="77777777" w:rsidR="00DA14E0" w:rsidRPr="00A259BD" w:rsidRDefault="00DA14E0" w:rsidP="009236E3">
      <w:pPr>
        <w:spacing w:after="0" w:line="240" w:lineRule="auto"/>
        <w:jc w:val="both"/>
        <w:rPr>
          <w:rFonts w:ascii="Times New Roman" w:hAnsi="Times New Roman"/>
          <w:color w:val="000000" w:themeColor="text1"/>
          <w:sz w:val="16"/>
          <w:szCs w:val="16"/>
        </w:rPr>
      </w:pPr>
    </w:p>
    <w:p w14:paraId="446B9DE4" w14:textId="77777777" w:rsidR="009864FE" w:rsidRPr="00A259BD" w:rsidRDefault="009864FE" w:rsidP="009236E3">
      <w:pPr>
        <w:spacing w:after="0" w:line="240" w:lineRule="auto"/>
        <w:jc w:val="both"/>
        <w:rPr>
          <w:rStyle w:val="af0"/>
          <w:rFonts w:ascii="Times New Roman" w:hAnsi="Times New Roman"/>
          <w:i w:val="0"/>
          <w:color w:val="000000" w:themeColor="text1"/>
          <w:sz w:val="16"/>
          <w:szCs w:val="16"/>
        </w:rPr>
      </w:pPr>
      <w:r w:rsidRPr="00A259BD">
        <w:rPr>
          <w:rFonts w:ascii="Times New Roman" w:hAnsi="Times New Roman"/>
          <w:bCs/>
          <w:color w:val="000000" w:themeColor="text1"/>
          <w:sz w:val="16"/>
          <w:szCs w:val="16"/>
        </w:rPr>
        <w:lastRenderedPageBreak/>
        <w:t>13 декабря 1929 г. — Приказ № 30/сс по ВСНХ СССР об организации и комплектованию конструкторских бюро заводов</w:t>
      </w:r>
    </w:p>
    <w:p w14:paraId="6F951336"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450EE139"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Производящаяся в настоящее время модернизация существующих образцов вооружения РККА и Ф[лота] и вводимая на обслуживание армии новая система вооружения требуют для своего осуществления максимального напряжения конструкторских сил промышленности.</w:t>
      </w:r>
    </w:p>
    <w:p w14:paraId="66E3230B"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Положение дела в этой области в данное время необходимо признать совершенно неудовлетворительным, и работа промышленности и ее конструкторских органов должна быть направлена не только к максимальному удовлетворению уже поставленных задач, [но и] к предложению НКВМ новых, более совершенных, увеличивающих техническую мощь нашей Красной армии образцов вооружения и снабжения. Наряду со слабым укомплектованием конструкторских бюро технической силой нередки случаи, когда специалисты, имеющие известный опыт в производстве и конструировании военных изделий, не используются в этом направлении.</w:t>
      </w:r>
    </w:p>
    <w:p w14:paraId="32C446F2"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Положение дела в конструкторских бюро на сегодняшний день указывает, что ставка производится на отдельные личности, а соответствующее привлечение молодых сил или совершенно отсутствует, или дает крайне слабым, недопустимым в дальнейшем темпом. Все это в итоге дает отрицательные результаты, и невыполнение работ в намеченные сроки стало заурядным явлением. Поэтому, считая необходимым в кратчайший срок наладить организацию работы в конструкторских аппаратах промышленности, приказываю:</w:t>
      </w:r>
    </w:p>
    <w:p w14:paraId="2EE2859C"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1. Главным управлениям и СНХ с[</w:t>
      </w:r>
      <w:proofErr w:type="spellStart"/>
      <w:r w:rsidRPr="00A259BD">
        <w:rPr>
          <w:color w:val="000000" w:themeColor="text1"/>
          <w:sz w:val="16"/>
          <w:szCs w:val="16"/>
        </w:rPr>
        <w:t>оюзных</w:t>
      </w:r>
      <w:proofErr w:type="spellEnd"/>
      <w:r w:rsidRPr="00A259BD">
        <w:rPr>
          <w:color w:val="000000" w:themeColor="text1"/>
          <w:sz w:val="16"/>
          <w:szCs w:val="16"/>
        </w:rPr>
        <w:t>] р[</w:t>
      </w:r>
      <w:proofErr w:type="spellStart"/>
      <w:r w:rsidRPr="00A259BD">
        <w:rPr>
          <w:color w:val="000000" w:themeColor="text1"/>
          <w:sz w:val="16"/>
          <w:szCs w:val="16"/>
        </w:rPr>
        <w:t>еспублик</w:t>
      </w:r>
      <w:proofErr w:type="spellEnd"/>
      <w:r w:rsidRPr="00A259BD">
        <w:rPr>
          <w:color w:val="000000" w:themeColor="text1"/>
          <w:sz w:val="16"/>
          <w:szCs w:val="16"/>
        </w:rPr>
        <w:t>] организовать конструкторские бюро по прилагаемому временному перечню при соответствующих заводах и предприятиях.</w:t>
      </w:r>
    </w:p>
    <w:p w14:paraId="432C8764"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2. В кратчайший срок и не позднее 1 января 1930 г.:</w:t>
      </w:r>
    </w:p>
    <w:p w14:paraId="1E52D961"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а) укомплектовать аппараты конструкторских бюро соответственно заданиям и потребности личным составом;</w:t>
      </w:r>
    </w:p>
    <w:p w14:paraId="6B6A0DBE"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б) обеспечить конструкторские аппараты соответствующим помещением и необходимым оборудованием.</w:t>
      </w:r>
    </w:p>
    <w:p w14:paraId="5E9E1201"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3. </w:t>
      </w:r>
      <w:proofErr w:type="spellStart"/>
      <w:r w:rsidRPr="00A259BD">
        <w:rPr>
          <w:color w:val="000000" w:themeColor="text1"/>
          <w:sz w:val="16"/>
          <w:szCs w:val="16"/>
        </w:rPr>
        <w:t>Главучраспреду</w:t>
      </w:r>
      <w:proofErr w:type="spellEnd"/>
      <w:r w:rsidRPr="00A259BD">
        <w:rPr>
          <w:color w:val="000000" w:themeColor="text1"/>
          <w:sz w:val="16"/>
          <w:szCs w:val="16"/>
        </w:rPr>
        <w:t xml:space="preserve"> в месячный срок организовать и принять на учет специалистов, работающих в промышленности и имеющих теоретический и практический стаж по конструированию и производству военных изделий.</w:t>
      </w:r>
    </w:p>
    <w:p w14:paraId="7125A46D"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4. Главным управлениям и СНХ с[</w:t>
      </w:r>
      <w:proofErr w:type="spellStart"/>
      <w:r w:rsidRPr="00A259BD">
        <w:rPr>
          <w:color w:val="000000" w:themeColor="text1"/>
          <w:sz w:val="16"/>
          <w:szCs w:val="16"/>
        </w:rPr>
        <w:t>оюзных</w:t>
      </w:r>
      <w:proofErr w:type="spellEnd"/>
      <w:r w:rsidRPr="00A259BD">
        <w:rPr>
          <w:color w:val="000000" w:themeColor="text1"/>
          <w:sz w:val="16"/>
          <w:szCs w:val="16"/>
        </w:rPr>
        <w:t>] р[</w:t>
      </w:r>
      <w:proofErr w:type="spellStart"/>
      <w:r w:rsidRPr="00A259BD">
        <w:rPr>
          <w:color w:val="000000" w:themeColor="text1"/>
          <w:sz w:val="16"/>
          <w:szCs w:val="16"/>
        </w:rPr>
        <w:t>еспублик</w:t>
      </w:r>
      <w:proofErr w:type="spellEnd"/>
      <w:r w:rsidRPr="00A259BD">
        <w:rPr>
          <w:color w:val="000000" w:themeColor="text1"/>
          <w:sz w:val="16"/>
          <w:szCs w:val="16"/>
        </w:rPr>
        <w:t>] через свои тресты организовать привлечение молодых специалистов в конструкторские аппараты промышленности путем использования оканчивающих втуз в ближайшее время и дальнейшей контрактации.</w:t>
      </w:r>
    </w:p>
    <w:p w14:paraId="4C21D14C"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5. МПУ в месячный срок разработать и представить на утверждение Президиума ВСНХ СССР положение и инструкцию о работе конструкторских бюро в промышленности.</w:t>
      </w:r>
    </w:p>
    <w:p w14:paraId="4867396F" w14:textId="77777777" w:rsidR="00DA14E0" w:rsidRPr="00A259BD" w:rsidRDefault="00DA14E0"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За председателя ВСНХ СССР </w:t>
      </w:r>
      <w:hyperlink r:id="rId305" w:history="1">
        <w:proofErr w:type="spellStart"/>
        <w:r w:rsidRPr="00A259BD">
          <w:rPr>
            <w:rStyle w:val="af0"/>
            <w:i w:val="0"/>
            <w:color w:val="000000" w:themeColor="text1"/>
            <w:sz w:val="16"/>
            <w:szCs w:val="16"/>
          </w:rPr>
          <w:t>Рухимович</w:t>
        </w:r>
        <w:proofErr w:type="spellEnd"/>
      </w:hyperlink>
    </w:p>
    <w:p w14:paraId="3B133596" w14:textId="77777777" w:rsidR="00DA14E0" w:rsidRPr="00A259BD" w:rsidRDefault="00DA14E0"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Начальник </w:t>
      </w:r>
      <w:proofErr w:type="spellStart"/>
      <w:r w:rsidRPr="00A259BD">
        <w:rPr>
          <w:rStyle w:val="af0"/>
          <w:i w:val="0"/>
          <w:color w:val="000000" w:themeColor="text1"/>
          <w:sz w:val="16"/>
          <w:szCs w:val="16"/>
        </w:rPr>
        <w:t>Мобпланупра</w:t>
      </w:r>
      <w:proofErr w:type="spellEnd"/>
      <w:r w:rsidRPr="00A259BD">
        <w:rPr>
          <w:rStyle w:val="af0"/>
          <w:i w:val="0"/>
          <w:color w:val="000000" w:themeColor="text1"/>
          <w:sz w:val="16"/>
          <w:szCs w:val="16"/>
        </w:rPr>
        <w:t xml:space="preserve"> ВСНХ СССР Постников</w:t>
      </w:r>
    </w:p>
    <w:p w14:paraId="6AFB824C" w14:textId="77777777" w:rsidR="00DA14E0" w:rsidRPr="00A259BD" w:rsidRDefault="00DA14E0" w:rsidP="009236E3">
      <w:pPr>
        <w:pStyle w:val="ae"/>
        <w:spacing w:before="0" w:after="0"/>
        <w:jc w:val="both"/>
        <w:rPr>
          <w:color w:val="000000" w:themeColor="text1"/>
          <w:sz w:val="16"/>
          <w:szCs w:val="16"/>
        </w:rPr>
      </w:pPr>
      <w:r w:rsidRPr="00A259BD">
        <w:rPr>
          <w:rStyle w:val="af0"/>
          <w:i w:val="0"/>
          <w:color w:val="000000" w:themeColor="text1"/>
          <w:sz w:val="16"/>
          <w:szCs w:val="16"/>
        </w:rPr>
        <w:t>За ответственного секретаря Президиума Фролов</w:t>
      </w:r>
    </w:p>
    <w:p w14:paraId="4DC29066" w14:textId="77777777" w:rsidR="00DA14E0" w:rsidRPr="00A259BD" w:rsidRDefault="00DA14E0" w:rsidP="009236E3">
      <w:pPr>
        <w:pStyle w:val="ae"/>
        <w:spacing w:before="0" w:after="0"/>
        <w:jc w:val="both"/>
        <w:rPr>
          <w:color w:val="000000" w:themeColor="text1"/>
          <w:sz w:val="16"/>
          <w:szCs w:val="16"/>
        </w:rPr>
      </w:pPr>
      <w:r w:rsidRPr="00A259BD">
        <w:rPr>
          <w:color w:val="000000" w:themeColor="text1"/>
          <w:sz w:val="16"/>
          <w:szCs w:val="16"/>
        </w:rPr>
        <w:t>РГАВМФ. Ф. р-360. Оп. 2. Д. 196. Л. 32. Заверенная копия.</w:t>
      </w:r>
    </w:p>
    <w:p w14:paraId="3C2A7D62"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РГАВМФ. Ф. р-360. Оп. 2. Д. 196. Л. 32. Заверенная копия. </w:t>
      </w:r>
    </w:p>
    <w:p w14:paraId="4518FAC2"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391 (12481).</w:t>
      </w:r>
    </w:p>
    <w:p w14:paraId="6A58BC5D" w14:textId="77777777" w:rsidR="00DA14E0" w:rsidRPr="00A259BD" w:rsidRDefault="00DA14E0" w:rsidP="009236E3">
      <w:pPr>
        <w:spacing w:after="0" w:line="240" w:lineRule="auto"/>
        <w:jc w:val="both"/>
        <w:rPr>
          <w:rFonts w:ascii="Times New Roman" w:hAnsi="Times New Roman"/>
          <w:color w:val="000000" w:themeColor="text1"/>
          <w:sz w:val="16"/>
          <w:szCs w:val="16"/>
        </w:rPr>
      </w:pPr>
    </w:p>
    <w:p w14:paraId="693F3E75" w14:textId="77777777" w:rsidR="00827F0C" w:rsidRPr="00A259BD" w:rsidRDefault="00827F0C"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13 декабря 1929 года ВСНХ СССР издал приказ № 30сс, в котором предписывалось создавать на большинстве военных  заводов  собственные опытно-конструкторские подразделения. В связи с этим значительно возросла потребность в ученых и инженерах высшей квалификации. Но в стране ощущалась постоянная нехватка таких людей, и потому ситуация с кадрами приобрела характер критической. </w:t>
      </w:r>
    </w:p>
    <w:p w14:paraId="3A4C0651" w14:textId="77777777" w:rsidR="00827F0C" w:rsidRPr="00A259BD" w:rsidRDefault="00827F0C"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О только что упомянутом документе необходимо рассказать подробнее ввиду его особой значимости для  оборонной  индустрии Ленинграда. В приказе ВСНХ СССР констатировалось: «Производящаяся в настоящее время модернизация существующих образцов вооружения РККА и флота и вводимая на обслуживание армии новая система вооружения требует для своего осуществления максимального напряжения конструкторских сил промышленности. Положение дел в этой области в данное время необходимо признать совершенно неудовлетворительным» (17235).</w:t>
      </w:r>
    </w:p>
    <w:p w14:paraId="119B15EA" w14:textId="77777777" w:rsidR="00827F0C" w:rsidRPr="00A259BD" w:rsidRDefault="00827F0C" w:rsidP="009236E3">
      <w:pPr>
        <w:spacing w:after="0" w:line="240" w:lineRule="auto"/>
        <w:jc w:val="both"/>
        <w:rPr>
          <w:rFonts w:ascii="Times New Roman" w:hAnsi="Times New Roman"/>
          <w:color w:val="000000" w:themeColor="text1"/>
          <w:sz w:val="16"/>
          <w:szCs w:val="16"/>
        </w:rPr>
      </w:pPr>
    </w:p>
    <w:p w14:paraId="05A4663D" w14:textId="77777777" w:rsidR="00632715" w:rsidRPr="00A259BD" w:rsidRDefault="0063271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декабря 1929 г. выходит приказ по ВСНХ № 30сс, который содержит конкретный перечень заводов, при которых в экстренном порядке должны быть организованы конструкторские бюро. В числе первоочередных в этом перечне значатся радиозаводы им. Коминтерна и им. Козицкого (КБ по радиоаппаратуре и телемеханике). Приказ обязывает главки до начала 1930 г. укомплектовать бюро личным составом, обеспечив их при этом оборудованием и помещениями (18297).</w:t>
      </w:r>
    </w:p>
    <w:p w14:paraId="0EF2D66E" w14:textId="77777777" w:rsidR="00632715" w:rsidRPr="00A259BD" w:rsidRDefault="00632715" w:rsidP="009236E3">
      <w:pPr>
        <w:spacing w:after="0" w:line="240" w:lineRule="auto"/>
        <w:jc w:val="both"/>
        <w:rPr>
          <w:rFonts w:ascii="Times New Roman" w:hAnsi="Times New Roman"/>
          <w:color w:val="000000" w:themeColor="text1"/>
          <w:sz w:val="16"/>
          <w:szCs w:val="16"/>
        </w:rPr>
      </w:pPr>
    </w:p>
    <w:p w14:paraId="1518EA25"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декабря 1929 г. — Служебная записка начальника Штаба РККА Б. М. Шапошникова наркому по военным и морским делам СССР, председателю Реввоенсовета СССР К. Е. Ворошилову о закупке образцов танков за границей</w:t>
      </w:r>
    </w:p>
    <w:p w14:paraId="77DB390C"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Совершенно секретно.</w:t>
      </w:r>
    </w:p>
    <w:p w14:paraId="302876A0"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Вашим заданием от 10 декабря с. г. за № 01924 представляю соображения о закупке образцов танков за границей. Соображения эти обсуждались на совещании совместно с т. </w:t>
      </w:r>
      <w:hyperlink r:id="rId306" w:history="1">
        <w:r w:rsidRPr="00A259BD">
          <w:rPr>
            <w:rStyle w:val="a5"/>
            <w:rFonts w:ascii="Times New Roman" w:hAnsi="Times New Roman"/>
            <w:color w:val="000000" w:themeColor="text1"/>
            <w:sz w:val="16"/>
            <w:szCs w:val="16"/>
            <w:u w:val="none"/>
          </w:rPr>
          <w:t>Уборевичем</w:t>
        </w:r>
      </w:hyperlink>
      <w:r w:rsidRPr="00A259BD">
        <w:rPr>
          <w:rFonts w:ascii="Times New Roman" w:hAnsi="Times New Roman"/>
          <w:color w:val="000000" w:themeColor="text1"/>
          <w:sz w:val="16"/>
          <w:szCs w:val="16"/>
        </w:rPr>
        <w:t xml:space="preserve">, </w:t>
      </w:r>
      <w:hyperlink r:id="rId307" w:history="1">
        <w:proofErr w:type="spellStart"/>
        <w:r w:rsidRPr="00A259BD">
          <w:rPr>
            <w:rStyle w:val="a5"/>
            <w:rFonts w:ascii="Times New Roman" w:hAnsi="Times New Roman"/>
            <w:color w:val="000000" w:themeColor="text1"/>
            <w:sz w:val="16"/>
            <w:szCs w:val="16"/>
            <w:u w:val="none"/>
          </w:rPr>
          <w:t>Халепским</w:t>
        </w:r>
        <w:proofErr w:type="spellEnd"/>
      </w:hyperlink>
      <w:r w:rsidRPr="00A259BD">
        <w:rPr>
          <w:rFonts w:ascii="Times New Roman" w:hAnsi="Times New Roman"/>
          <w:color w:val="000000" w:themeColor="text1"/>
          <w:sz w:val="16"/>
          <w:szCs w:val="16"/>
        </w:rPr>
        <w:t xml:space="preserve"> и </w:t>
      </w:r>
      <w:hyperlink r:id="rId308" w:history="1">
        <w:r w:rsidRPr="00A259BD">
          <w:rPr>
            <w:rStyle w:val="a5"/>
            <w:rFonts w:ascii="Times New Roman" w:hAnsi="Times New Roman"/>
            <w:color w:val="000000" w:themeColor="text1"/>
            <w:sz w:val="16"/>
            <w:szCs w:val="16"/>
            <w:u w:val="none"/>
          </w:rPr>
          <w:t>Берзиным</w:t>
        </w:r>
      </w:hyperlink>
      <w:r w:rsidRPr="00A259BD">
        <w:rPr>
          <w:rFonts w:ascii="Times New Roman" w:hAnsi="Times New Roman"/>
          <w:color w:val="000000" w:themeColor="text1"/>
          <w:sz w:val="16"/>
          <w:szCs w:val="16"/>
        </w:rPr>
        <w:t>.</w:t>
      </w:r>
    </w:p>
    <w:p w14:paraId="1B5B95F2"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Общие пожелания</w:t>
      </w:r>
    </w:p>
    <w:p w14:paraId="239412C6"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Наиболее желательным является приобретение у одной и той же страны образцов, рабочих чертежей и технической помощи. Одновременно выяснить возможность покупки даже целой партии 60</w:t>
      </w:r>
      <w:r w:rsidRPr="00A259BD">
        <w:rPr>
          <w:rFonts w:ascii="Times New Roman" w:hAnsi="Times New Roman"/>
          <w:color w:val="000000" w:themeColor="text1"/>
          <w:sz w:val="16"/>
          <w:szCs w:val="16"/>
        </w:rPr>
        <w:noBreakHyphen/>
        <w:t>100 шт. средних танков.</w:t>
      </w:r>
    </w:p>
    <w:p w14:paraId="02A0EFB4"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Если такая закупка не удастся, придется пойти на закупку образца в одной стране с тем, чтобы техническую помощь получить в другом месте. Покупка среднего танка без чертежей и технической помощи проблемы перенесения постройки у нас типа танка не решает.</w:t>
      </w:r>
    </w:p>
    <w:p w14:paraId="73188196"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Типы танков и страны</w:t>
      </w:r>
    </w:p>
    <w:p w14:paraId="0E30565A"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Средний танк. Наиболее желательным для приобретения типом является «Виккерс» 1927 г. на колесно-гусеничном ходу (Англия). По Америке — «Кристи» (модель 1940 г.) и «Медиум ТС» (модель 1927 г.), оба на колесно-гусеничном ходу, в крайнем случае, последний тип на гусеничном ходу¹*. В Америке можно поставить вопрос о приобретении партии средних танков.</w:t>
      </w:r>
    </w:p>
    <w:p w14:paraId="6F6D72AA"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Малые танки. Необходимо приобрести в Америке танк ТЕ</w:t>
      </w:r>
      <w:r w:rsidRPr="00A259BD">
        <w:rPr>
          <w:rFonts w:ascii="Times New Roman" w:hAnsi="Times New Roman"/>
          <w:color w:val="000000" w:themeColor="text1"/>
          <w:sz w:val="16"/>
          <w:szCs w:val="16"/>
        </w:rPr>
        <w:noBreakHyphen/>
        <w:t>1 на колесно-гусеничном ходу. Желательно с конструкторскими целями приобрести во Франции танк «Рено» № 27. Необходимо приобрести двухместную танкетку «Карден Ллойд» в Англии.</w:t>
      </w:r>
    </w:p>
    <w:p w14:paraId="54D4D7E5"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больших танков необходимо приобретение большого танка «Виккерса» в Англии. Было бы желательным закупить вездеходное шасси танк-истребитель со скоростью хода до 30 км и достаточно мощным вооружением (не менее 45 мм).</w:t>
      </w:r>
    </w:p>
    <w:p w14:paraId="046B5B04"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Помимо танков, желательно приобрести одну самоходную зенитную установку и одну шестиколесную (трехосную) бронемашину.</w:t>
      </w:r>
    </w:p>
    <w:p w14:paraId="258F4E5E"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покупке образцов обратить особое внимание на улучшение системы видимости, перископы кино-глас и отдельные приборы (стробоскопы) по методам независимости стрельбы от качания танка (принципы морской стрельбы, жироскопы).</w:t>
      </w:r>
    </w:p>
    <w:p w14:paraId="05BE428B"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Способы закупки</w:t>
      </w:r>
    </w:p>
    <w:p w14:paraId="6F0B9287"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Способы закупки точно определить невозможно. В каждом отдельном случае придется при содействии т. Берзина и его аппарата решать вопрос о наилучших способах.</w:t>
      </w:r>
    </w:p>
    <w:p w14:paraId="2A01428D"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О лицах</w:t>
      </w:r>
    </w:p>
    <w:p w14:paraId="0D62D84B"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Желательно ответственным лицом за закупку послать т. </w:t>
      </w:r>
      <w:proofErr w:type="spellStart"/>
      <w:r w:rsidRPr="00A259BD">
        <w:rPr>
          <w:color w:val="000000" w:themeColor="text1"/>
          <w:sz w:val="16"/>
          <w:szCs w:val="16"/>
        </w:rPr>
        <w:t>Халепского</w:t>
      </w:r>
      <w:proofErr w:type="spellEnd"/>
      <w:r w:rsidRPr="00A259BD">
        <w:rPr>
          <w:color w:val="000000" w:themeColor="text1"/>
          <w:sz w:val="16"/>
          <w:szCs w:val="16"/>
        </w:rPr>
        <w:t>. Вместе с ним одного товарища от ВСНХ. Желательно т. </w:t>
      </w:r>
      <w:proofErr w:type="spellStart"/>
      <w:r w:rsidRPr="00A259BD">
        <w:rPr>
          <w:color w:val="000000" w:themeColor="text1"/>
          <w:sz w:val="16"/>
          <w:szCs w:val="16"/>
        </w:rPr>
        <w:t>Будняка</w:t>
      </w:r>
      <w:proofErr w:type="spellEnd"/>
      <w:r w:rsidRPr="00A259BD">
        <w:rPr>
          <w:color w:val="000000" w:themeColor="text1"/>
          <w:sz w:val="16"/>
          <w:szCs w:val="16"/>
        </w:rPr>
        <w:t>. Кроме них, одного или двух инженеров. Тов. </w:t>
      </w:r>
      <w:proofErr w:type="spellStart"/>
      <w:r w:rsidRPr="00A259BD">
        <w:rPr>
          <w:color w:val="000000" w:themeColor="text1"/>
          <w:sz w:val="16"/>
          <w:szCs w:val="16"/>
        </w:rPr>
        <w:t>Халепский</w:t>
      </w:r>
      <w:proofErr w:type="spellEnd"/>
      <w:r w:rsidRPr="00A259BD">
        <w:rPr>
          <w:color w:val="000000" w:themeColor="text1"/>
          <w:sz w:val="16"/>
          <w:szCs w:val="16"/>
        </w:rPr>
        <w:t xml:space="preserve"> считает наиболее желательным поездку т. </w:t>
      </w:r>
      <w:proofErr w:type="spellStart"/>
      <w:r w:rsidRPr="00A259BD">
        <w:rPr>
          <w:color w:val="000000" w:themeColor="text1"/>
          <w:sz w:val="16"/>
          <w:szCs w:val="16"/>
        </w:rPr>
        <w:t>Топилова</w:t>
      </w:r>
      <w:proofErr w:type="spellEnd"/>
      <w:r w:rsidRPr="00A259BD">
        <w:rPr>
          <w:color w:val="000000" w:themeColor="text1"/>
          <w:sz w:val="16"/>
          <w:szCs w:val="16"/>
        </w:rPr>
        <w:t xml:space="preserve"> (чл. ВКП(б), начальник танкового отдела УНМ), </w:t>
      </w:r>
      <w:hyperlink r:id="rId309" w:history="1">
        <w:r w:rsidRPr="00A259BD">
          <w:rPr>
            <w:color w:val="000000" w:themeColor="text1"/>
            <w:sz w:val="16"/>
            <w:szCs w:val="16"/>
          </w:rPr>
          <w:t>т. Бегунова</w:t>
        </w:r>
      </w:hyperlink>
      <w:r w:rsidRPr="00A259BD">
        <w:rPr>
          <w:color w:val="000000" w:themeColor="text1"/>
          <w:sz w:val="16"/>
          <w:szCs w:val="16"/>
        </w:rPr>
        <w:t xml:space="preserve"> (чл. ВКП(б), чл. научно-технического [отдела] УНМ).</w:t>
      </w:r>
    </w:p>
    <w:p w14:paraId="24106A26" w14:textId="77777777" w:rsidR="00DA14E0" w:rsidRPr="00A259BD" w:rsidRDefault="00DA14E0"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Начальник Штаба РККА </w:t>
      </w:r>
      <w:hyperlink r:id="rId310" w:history="1">
        <w:r w:rsidRPr="00A259BD">
          <w:rPr>
            <w:rStyle w:val="af0"/>
            <w:i w:val="0"/>
            <w:color w:val="000000" w:themeColor="text1"/>
            <w:sz w:val="16"/>
            <w:szCs w:val="16"/>
          </w:rPr>
          <w:t>Б. Шапошников</w:t>
        </w:r>
      </w:hyperlink>
    </w:p>
    <w:p w14:paraId="24C4F06C" w14:textId="77777777" w:rsidR="00DA14E0" w:rsidRPr="00A259BD" w:rsidRDefault="00DA14E0"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Примечание</w:t>
      </w:r>
      <w:r w:rsidRPr="00A259BD">
        <w:rPr>
          <w:color w:val="000000" w:themeColor="text1"/>
          <w:sz w:val="16"/>
          <w:szCs w:val="16"/>
        </w:rPr>
        <w:t>: </w:t>
      </w:r>
    </w:p>
    <w:p w14:paraId="3248370D" w14:textId="77777777" w:rsidR="00DA14E0" w:rsidRPr="00A259BD" w:rsidRDefault="00DA14E0" w:rsidP="009236E3">
      <w:pPr>
        <w:pStyle w:val="ae"/>
        <w:spacing w:before="0" w:after="0"/>
        <w:jc w:val="both"/>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Со слов: “в крайнем случае” предложение дописано от руки.</w:t>
      </w:r>
    </w:p>
    <w:p w14:paraId="1774C312" w14:textId="77777777" w:rsidR="00DA14E0" w:rsidRPr="00A259BD" w:rsidRDefault="00DA14E0" w:rsidP="009236E3">
      <w:pPr>
        <w:pStyle w:val="ae"/>
        <w:spacing w:before="0" w:after="0"/>
        <w:jc w:val="both"/>
        <w:rPr>
          <w:color w:val="000000" w:themeColor="text1"/>
          <w:sz w:val="16"/>
          <w:szCs w:val="16"/>
        </w:rPr>
      </w:pPr>
      <w:r w:rsidRPr="00A259BD">
        <w:rPr>
          <w:color w:val="000000" w:themeColor="text1"/>
          <w:sz w:val="16"/>
          <w:szCs w:val="16"/>
        </w:rPr>
        <w:t>РГВА. Ф. 31811. Оп. 1. Д. 38. Л. 2—3. Подлинник.</w:t>
      </w:r>
    </w:p>
    <w:p w14:paraId="756C38BE"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РГВА. Ф. 31811. Оп. 1. Д. 38. Л. 2—3. Подлинник. </w:t>
      </w:r>
    </w:p>
    <w:p w14:paraId="53C9BB7F"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389-390 (12480).</w:t>
      </w:r>
    </w:p>
    <w:p w14:paraId="7D2AD551" w14:textId="77777777" w:rsidR="00DA14E0" w:rsidRPr="00A259BD" w:rsidRDefault="00DA14E0" w:rsidP="009236E3">
      <w:pPr>
        <w:spacing w:after="0" w:line="240" w:lineRule="auto"/>
        <w:jc w:val="both"/>
        <w:rPr>
          <w:rFonts w:ascii="Times New Roman" w:hAnsi="Times New Roman"/>
          <w:color w:val="000000" w:themeColor="text1"/>
          <w:sz w:val="16"/>
          <w:szCs w:val="16"/>
        </w:rPr>
      </w:pPr>
    </w:p>
    <w:p w14:paraId="6F4690F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13530D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09ECC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декабря 1929 зам. начальника УВВС РККА </w:t>
      </w:r>
      <w:proofErr w:type="spellStart"/>
      <w:r w:rsidRPr="00A259BD">
        <w:rPr>
          <w:rFonts w:ascii="Times New Roman" w:hAnsi="Times New Roman"/>
          <w:color w:val="000000" w:themeColor="text1"/>
          <w:sz w:val="16"/>
          <w:szCs w:val="16"/>
        </w:rPr>
        <w:t>П.И.Баранова</w:t>
      </w:r>
      <w:proofErr w:type="spellEnd"/>
      <w:r w:rsidRPr="00A259BD">
        <w:rPr>
          <w:rFonts w:ascii="Times New Roman" w:hAnsi="Times New Roman"/>
          <w:color w:val="000000" w:themeColor="text1"/>
          <w:sz w:val="16"/>
          <w:szCs w:val="16"/>
        </w:rPr>
        <w:t xml:space="preserve"> посетил Италию, а </w:t>
      </w:r>
      <w:proofErr w:type="spellStart"/>
      <w:r w:rsidRPr="00A259BD">
        <w:rPr>
          <w:rFonts w:ascii="Times New Roman" w:hAnsi="Times New Roman"/>
          <w:color w:val="000000" w:themeColor="text1"/>
          <w:sz w:val="16"/>
          <w:szCs w:val="16"/>
        </w:rPr>
        <w:t>Я.И.Алкснис</w:t>
      </w:r>
      <w:proofErr w:type="spellEnd"/>
      <w:r w:rsidRPr="00A259BD">
        <w:rPr>
          <w:rFonts w:ascii="Times New Roman" w:hAnsi="Times New Roman"/>
          <w:color w:val="000000" w:themeColor="text1"/>
          <w:sz w:val="16"/>
          <w:szCs w:val="16"/>
        </w:rPr>
        <w:t xml:space="preserve"> будучи на хозяйстве решил приобрести одну ЛЛ Савойя С-62бис. Средства в плане были, так как хотели заменить Дорнье-Валь, отданный в </w:t>
      </w:r>
      <w:proofErr w:type="spellStart"/>
      <w:r w:rsidRPr="00A259BD">
        <w:rPr>
          <w:rFonts w:ascii="Times New Roman" w:hAnsi="Times New Roman"/>
          <w:color w:val="000000" w:themeColor="text1"/>
          <w:sz w:val="16"/>
          <w:szCs w:val="16"/>
        </w:rPr>
        <w:t>Комсевморпуть</w:t>
      </w:r>
      <w:proofErr w:type="spellEnd"/>
      <w:r w:rsidRPr="00A259BD">
        <w:rPr>
          <w:rFonts w:ascii="Times New Roman" w:hAnsi="Times New Roman"/>
          <w:color w:val="000000" w:themeColor="text1"/>
          <w:sz w:val="16"/>
          <w:szCs w:val="16"/>
        </w:rPr>
        <w:t xml:space="preserve"> (1085,105).</w:t>
      </w:r>
    </w:p>
    <w:p w14:paraId="17112C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8D4A27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06915E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A7A2FF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14 декабря 1929 г. Ижорскому заводу был открыт заказ на из</w:t>
      </w:r>
      <w:r w:rsidRPr="00A259BD">
        <w:rPr>
          <w:rFonts w:ascii="Times New Roman" w:hAnsi="Times New Roman"/>
          <w:color w:val="000000" w:themeColor="text1"/>
          <w:sz w:val="16"/>
          <w:szCs w:val="16"/>
        </w:rPr>
        <w:softHyphen/>
        <w:t xml:space="preserve">готовление танка ДРС конструкции Н. </w:t>
      </w:r>
      <w:proofErr w:type="spellStart"/>
      <w:r w:rsidRPr="00A259BD">
        <w:rPr>
          <w:rFonts w:ascii="Times New Roman" w:hAnsi="Times New Roman"/>
          <w:color w:val="000000" w:themeColor="text1"/>
          <w:sz w:val="16"/>
          <w:szCs w:val="16"/>
        </w:rPr>
        <w:t>Дыренкова</w:t>
      </w:r>
      <w:proofErr w:type="spellEnd"/>
      <w:r w:rsidRPr="00A259BD">
        <w:rPr>
          <w:rFonts w:ascii="Times New Roman" w:hAnsi="Times New Roman"/>
          <w:color w:val="000000" w:themeColor="text1"/>
          <w:sz w:val="16"/>
          <w:szCs w:val="16"/>
        </w:rPr>
        <w:t xml:space="preserve"> стоимос</w:t>
      </w:r>
      <w:r w:rsidRPr="00A259BD">
        <w:rPr>
          <w:rFonts w:ascii="Times New Roman" w:hAnsi="Times New Roman"/>
          <w:color w:val="000000" w:themeColor="text1"/>
          <w:sz w:val="16"/>
          <w:szCs w:val="16"/>
        </w:rPr>
        <w:softHyphen/>
        <w:t>тью 95 тыс. руб., причем 25 процентов указанной суммы пе</w:t>
      </w:r>
      <w:r w:rsidRPr="00A259BD">
        <w:rPr>
          <w:rFonts w:ascii="Times New Roman" w:hAnsi="Times New Roman"/>
          <w:color w:val="000000" w:themeColor="text1"/>
          <w:sz w:val="16"/>
          <w:szCs w:val="16"/>
        </w:rPr>
        <w:softHyphen/>
        <w:t>речислялись исполнителю практически сразу после заключе</w:t>
      </w:r>
      <w:r w:rsidRPr="00A259BD">
        <w:rPr>
          <w:rFonts w:ascii="Times New Roman" w:hAnsi="Times New Roman"/>
          <w:color w:val="000000" w:themeColor="text1"/>
          <w:sz w:val="16"/>
          <w:szCs w:val="16"/>
        </w:rPr>
        <w:softHyphen/>
        <w:t>ния договора. Всего же в течение 1930 г. РККА должна была получить 6 танков указанного типа общей стоимостью (с уче</w:t>
      </w:r>
      <w:r w:rsidRPr="00A259BD">
        <w:rPr>
          <w:rFonts w:ascii="Times New Roman" w:hAnsi="Times New Roman"/>
          <w:color w:val="000000" w:themeColor="text1"/>
          <w:sz w:val="16"/>
          <w:szCs w:val="16"/>
        </w:rPr>
        <w:softHyphen/>
        <w:t>том запчастей, а также экспериментов по сварным соедине</w:t>
      </w:r>
      <w:r w:rsidRPr="00A259BD">
        <w:rPr>
          <w:rFonts w:ascii="Times New Roman" w:hAnsi="Times New Roman"/>
          <w:color w:val="000000" w:themeColor="text1"/>
          <w:sz w:val="16"/>
          <w:szCs w:val="16"/>
        </w:rPr>
        <w:softHyphen/>
        <w:t>ниям и герметизации танков) 927 тыс. руб. Однако такой суммы УММ на текущий год найти не смог (и так имелся перерасход средств на выполнение “трех</w:t>
      </w:r>
      <w:r w:rsidRPr="00A259BD">
        <w:rPr>
          <w:rFonts w:ascii="Times New Roman" w:hAnsi="Times New Roman"/>
          <w:color w:val="000000" w:themeColor="text1"/>
          <w:sz w:val="16"/>
          <w:szCs w:val="16"/>
        </w:rPr>
        <w:softHyphen/>
        <w:t>летней программы”), и потому было принято решение огра</w:t>
      </w:r>
      <w:r w:rsidRPr="00A259BD">
        <w:rPr>
          <w:rFonts w:ascii="Times New Roman" w:hAnsi="Times New Roman"/>
          <w:color w:val="000000" w:themeColor="text1"/>
          <w:sz w:val="16"/>
          <w:szCs w:val="16"/>
        </w:rPr>
        <w:softHyphen/>
        <w:t>ничиться изготовлением только двух опытных образцов. Вообще танк ДРС (в 1930-м получил индекс Д-4) был чрезвычайно интересен для РККА, так как сочетал в себе все известные типы движителей (железнодорожный, авто</w:t>
      </w:r>
      <w:r w:rsidRPr="00A259BD">
        <w:rPr>
          <w:rFonts w:ascii="Times New Roman" w:hAnsi="Times New Roman"/>
          <w:color w:val="000000" w:themeColor="text1"/>
          <w:sz w:val="16"/>
          <w:szCs w:val="16"/>
        </w:rPr>
        <w:softHyphen/>
        <w:t>мобильный, гусеничный), что упрощало его переброску практически в любой уголок страны без дополнительных транспортных средств в кратчайшее время. Вес танка должен был составлять 12т, но поскольку изготовление его производилось без необходимых расчетов, масса изготовленного образца превысила 20 т. В ка</w:t>
      </w:r>
      <w:r w:rsidRPr="00A259BD">
        <w:rPr>
          <w:rFonts w:ascii="Times New Roman" w:hAnsi="Times New Roman"/>
          <w:color w:val="000000" w:themeColor="text1"/>
          <w:sz w:val="16"/>
          <w:szCs w:val="16"/>
        </w:rPr>
        <w:softHyphen/>
        <w:t>честве силовой установки планировалось установить два двигателя от Т-19 (100 л.с.) или два двигателя “Геркулес” (106 л.с.). Однако ввиду того, что вес танка превысил 20 т, он утратил возможность движения на колесах. Да и мощ</w:t>
      </w:r>
      <w:r w:rsidRPr="00A259BD">
        <w:rPr>
          <w:rFonts w:ascii="Times New Roman" w:hAnsi="Times New Roman"/>
          <w:color w:val="000000" w:themeColor="text1"/>
          <w:sz w:val="16"/>
          <w:szCs w:val="16"/>
        </w:rPr>
        <w:softHyphen/>
        <w:t>ности двигателей уже было недостаточно для достижения расчетной скорости в 30—35 км/ч. Изобретатель провел ряд опытов по оборудованию тан</w:t>
      </w:r>
      <w:r w:rsidRPr="00A259BD">
        <w:rPr>
          <w:rFonts w:ascii="Times New Roman" w:hAnsi="Times New Roman"/>
          <w:color w:val="000000" w:themeColor="text1"/>
          <w:sz w:val="16"/>
          <w:szCs w:val="16"/>
        </w:rPr>
        <w:softHyphen/>
        <w:t xml:space="preserve">ка для переправы водных преград по дну, но кроме опытов и общих деклараций ничего сделано для этого не было. Н.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xml:space="preserve"> первоначально обещал изготовить танк Д-4 трехбашенным с вооружением из 45-мм пушки обр. 1925/30 гг. и 7,62-мм пулемета в каждой башне, а также 2 дополнительных 7,62-мм пулеметов в корпусе, но ввиду пе</w:t>
      </w:r>
      <w:r w:rsidRPr="00A259BD">
        <w:rPr>
          <w:rFonts w:ascii="Times New Roman" w:hAnsi="Times New Roman"/>
          <w:color w:val="000000" w:themeColor="text1"/>
          <w:sz w:val="16"/>
          <w:szCs w:val="16"/>
        </w:rPr>
        <w:softHyphen/>
        <w:t>регрузки танка его вооружение было скорректировано в сторону исключения одной из башен. Корпус танка собирался из листов конструкционной стали толщиной 20 мм, 13 мм и 8 мм на каркасе из уголков. В кормовой части корпуса располагалось моторно-трансмиссионное отделение, в котором были установлены два двигателя “Геркулес” с единой системой охлаждения, подобной системе охлаждения трактора “Коммунар”. Но эффективность этой системы охлаждения была крайне низкой. Питать двигатели планировалось от единой систе</w:t>
      </w:r>
      <w:r w:rsidRPr="00A259BD">
        <w:rPr>
          <w:rFonts w:ascii="Times New Roman" w:hAnsi="Times New Roman"/>
          <w:color w:val="000000" w:themeColor="text1"/>
          <w:sz w:val="16"/>
          <w:szCs w:val="16"/>
        </w:rPr>
        <w:softHyphen/>
        <w:t>мы питания самотеком, но отработана эта система не была. Ходовая часть танка состояла из движителя автомобиль</w:t>
      </w:r>
      <w:r w:rsidRPr="00A259BD">
        <w:rPr>
          <w:rFonts w:ascii="Times New Roman" w:hAnsi="Times New Roman"/>
          <w:color w:val="000000" w:themeColor="text1"/>
          <w:sz w:val="16"/>
          <w:szCs w:val="16"/>
        </w:rPr>
        <w:softHyphen/>
        <w:t>ного типа (два ведущих и два управляемых колеса), смонти</w:t>
      </w:r>
      <w:r w:rsidRPr="00A259BD">
        <w:rPr>
          <w:rFonts w:ascii="Times New Roman" w:hAnsi="Times New Roman"/>
          <w:color w:val="000000" w:themeColor="text1"/>
          <w:sz w:val="16"/>
          <w:szCs w:val="16"/>
        </w:rPr>
        <w:softHyphen/>
        <w:t>рованной на “внешнем контуре танка”, гусеничного движи</w:t>
      </w:r>
      <w:r w:rsidRPr="00A259BD">
        <w:rPr>
          <w:rFonts w:ascii="Times New Roman" w:hAnsi="Times New Roman"/>
          <w:color w:val="000000" w:themeColor="text1"/>
          <w:sz w:val="16"/>
          <w:szCs w:val="16"/>
        </w:rPr>
        <w:softHyphen/>
        <w:t>теля с винтовыми домкратами, предназначенными для опускания и поднимания гусеничных цепей, а также движи</w:t>
      </w:r>
      <w:r w:rsidRPr="00A259BD">
        <w:rPr>
          <w:rFonts w:ascii="Times New Roman" w:hAnsi="Times New Roman"/>
          <w:color w:val="000000" w:themeColor="text1"/>
          <w:sz w:val="16"/>
          <w:szCs w:val="16"/>
        </w:rPr>
        <w:softHyphen/>
        <w:t>теля железнодорожного типа, расположенного под днищем танка и состоявшего из скатов малого диаметра. Наибольшую сложность представлял гусеничный дви</w:t>
      </w:r>
      <w:r w:rsidRPr="00A259BD">
        <w:rPr>
          <w:rFonts w:ascii="Times New Roman" w:hAnsi="Times New Roman"/>
          <w:color w:val="000000" w:themeColor="text1"/>
          <w:sz w:val="16"/>
          <w:szCs w:val="16"/>
        </w:rPr>
        <w:softHyphen/>
        <w:t>житель. Он состоял из шести опорных катков большого диаметра с двенадцатью полуэллиптическими рессорами автомобильного типа, смонтированных на подъемном мос</w:t>
      </w:r>
      <w:r w:rsidRPr="00A259BD">
        <w:rPr>
          <w:rFonts w:ascii="Times New Roman" w:hAnsi="Times New Roman"/>
          <w:color w:val="000000" w:themeColor="text1"/>
          <w:sz w:val="16"/>
          <w:szCs w:val="16"/>
        </w:rPr>
        <w:softHyphen/>
        <w:t>тике, привод к которому осуществлялся от червячных пар. Кроме того, в состав гусеничного движителя входили два ведущих колеса кормового расположения и два направля</w:t>
      </w:r>
      <w:r w:rsidRPr="00A259BD">
        <w:rPr>
          <w:rFonts w:ascii="Times New Roman" w:hAnsi="Times New Roman"/>
          <w:color w:val="000000" w:themeColor="text1"/>
          <w:sz w:val="16"/>
          <w:szCs w:val="16"/>
        </w:rPr>
        <w:softHyphen/>
        <w:t>ющих колеса с механизмом натяжения. Сборные гусенич</w:t>
      </w:r>
      <w:r w:rsidRPr="00A259BD">
        <w:rPr>
          <w:rFonts w:ascii="Times New Roman" w:hAnsi="Times New Roman"/>
          <w:color w:val="000000" w:themeColor="text1"/>
          <w:sz w:val="16"/>
          <w:szCs w:val="16"/>
        </w:rPr>
        <w:softHyphen/>
        <w:t xml:space="preserve">ные траки соединялись в цепь при помощи тросов. После рассмотрения танка Д-4 и неудачной попытки вывести его на испытания Н.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xml:space="preserve"> переключился на работы по созданию нового танка Д-5, в котором он плани</w:t>
      </w:r>
      <w:r w:rsidRPr="00A259BD">
        <w:rPr>
          <w:rFonts w:ascii="Times New Roman" w:hAnsi="Times New Roman"/>
          <w:color w:val="000000" w:themeColor="text1"/>
          <w:sz w:val="16"/>
          <w:szCs w:val="16"/>
        </w:rPr>
        <w:softHyphen/>
        <w:t>ровал учесть все недостатки предшественника. Но из-за того, что масса нового танка уже составляла 25 т, изобретатель отказался от колесного хода, оставив толь</w:t>
      </w:r>
      <w:r w:rsidRPr="00A259BD">
        <w:rPr>
          <w:rFonts w:ascii="Times New Roman" w:hAnsi="Times New Roman"/>
          <w:color w:val="000000" w:themeColor="text1"/>
          <w:sz w:val="16"/>
          <w:szCs w:val="16"/>
        </w:rPr>
        <w:softHyphen/>
        <w:t>ко железнодорожный и гусеничный движители. Новый танк должен был оборудоваться уже двигателем М-5 с сис</w:t>
      </w:r>
      <w:r w:rsidRPr="00A259BD">
        <w:rPr>
          <w:rFonts w:ascii="Times New Roman" w:hAnsi="Times New Roman"/>
          <w:color w:val="000000" w:themeColor="text1"/>
          <w:sz w:val="16"/>
          <w:szCs w:val="16"/>
        </w:rPr>
        <w:softHyphen/>
        <w:t>темой питания и охлаждения по типу танка Кристи, систе</w:t>
      </w:r>
      <w:r w:rsidRPr="00A259BD">
        <w:rPr>
          <w:rFonts w:ascii="Times New Roman" w:hAnsi="Times New Roman"/>
          <w:color w:val="000000" w:themeColor="text1"/>
          <w:sz w:val="16"/>
          <w:szCs w:val="16"/>
        </w:rPr>
        <w:softHyphen/>
        <w:t>мой преодоления глубоких бродов по дну. Вооружение но</w:t>
      </w:r>
      <w:r w:rsidRPr="00A259BD">
        <w:rPr>
          <w:rFonts w:ascii="Times New Roman" w:hAnsi="Times New Roman"/>
          <w:color w:val="000000" w:themeColor="text1"/>
          <w:sz w:val="16"/>
          <w:szCs w:val="16"/>
        </w:rPr>
        <w:softHyphen/>
        <w:t>вого танка планировалось мощным - из двух 76,2-мм ору</w:t>
      </w:r>
      <w:r w:rsidRPr="00A259BD">
        <w:rPr>
          <w:rFonts w:ascii="Times New Roman" w:hAnsi="Times New Roman"/>
          <w:color w:val="000000" w:themeColor="text1"/>
          <w:sz w:val="16"/>
          <w:szCs w:val="16"/>
        </w:rPr>
        <w:softHyphen/>
        <w:t>дий вместо 45-мм в двух башнях. Особенностью установки орудий было то, что перед преодолением водных рубежей они могли быть втянуты в башню, после чего орудийная амбразура герметично закрывалась крышкой. Обещал также изобретатель и усилить бронирование танка до 30—35 мм, что сделать в условиях и без того плотной ком</w:t>
      </w:r>
      <w:r w:rsidRPr="00A259BD">
        <w:rPr>
          <w:rFonts w:ascii="Times New Roman" w:hAnsi="Times New Roman"/>
          <w:color w:val="000000" w:themeColor="text1"/>
          <w:sz w:val="16"/>
          <w:szCs w:val="16"/>
        </w:rPr>
        <w:softHyphen/>
        <w:t>поновки танка было проблематично. Но чтобы изготовить этот танк, требовались средства, а их в условиях финансового дефицита при планируемом “форсированном выпуске бронетанковой техники для РККА” требовалось добыть на самом высоком уровне (10733,111).</w:t>
      </w:r>
    </w:p>
    <w:p w14:paraId="7C8FB40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FB714D" w14:textId="77777777" w:rsidR="009864FE" w:rsidRPr="00A259BD" w:rsidRDefault="009864F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 декабря 1929 года Ижорскому заводу был открыт заказ на изготовление </w:t>
      </w:r>
      <w:hyperlink r:id="rId311"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ДРС конструкции Н. </w:t>
      </w:r>
      <w:proofErr w:type="spellStart"/>
      <w:r w:rsidRPr="00A259BD">
        <w:rPr>
          <w:rFonts w:ascii="Times New Roman" w:hAnsi="Times New Roman"/>
          <w:color w:val="000000" w:themeColor="text1"/>
          <w:sz w:val="16"/>
          <w:szCs w:val="16"/>
        </w:rPr>
        <w:t>Дыренкова</w:t>
      </w:r>
      <w:proofErr w:type="spellEnd"/>
      <w:r w:rsidRPr="00A259BD">
        <w:rPr>
          <w:rFonts w:ascii="Times New Roman" w:hAnsi="Times New Roman"/>
          <w:color w:val="000000" w:themeColor="text1"/>
          <w:sz w:val="16"/>
          <w:szCs w:val="16"/>
        </w:rPr>
        <w:t xml:space="preserve"> стоимостью 95 тыс. руб., причем 25 процентов указанной суммы перечислялись исполнителю практически сразу после заключения договора. Общая стоимость шести машин оценивалась с 927.000 рублей, но из-за отсутствия </w:t>
      </w:r>
      <w:proofErr w:type="spellStart"/>
      <w:r w:rsidRPr="00A259BD">
        <w:rPr>
          <w:rFonts w:ascii="Times New Roman" w:hAnsi="Times New Roman"/>
          <w:color w:val="000000" w:themeColor="text1"/>
          <w:sz w:val="16"/>
          <w:szCs w:val="16"/>
        </w:rPr>
        <w:t>небходимого</w:t>
      </w:r>
      <w:proofErr w:type="spellEnd"/>
      <w:r w:rsidRPr="00A259BD">
        <w:rPr>
          <w:rFonts w:ascii="Times New Roman" w:hAnsi="Times New Roman"/>
          <w:color w:val="000000" w:themeColor="text1"/>
          <w:sz w:val="16"/>
          <w:szCs w:val="16"/>
        </w:rPr>
        <w:t xml:space="preserve"> количества средств решили ограничиться постройки всего двух прототипов. Вообще </w:t>
      </w:r>
      <w:hyperlink r:id="rId312"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 ДРС (в 1930-м получил индекс Д-4) был чрезвычайно интересен для РККА, так как сочетал в себе все известные типы движителей (железнодорожный, автомобильный, гусеничный), что упрощало его переброску практически в любой уголок страны без дополнительных транспортных средств в кратчайшее время.</w:t>
      </w:r>
    </w:p>
    <w:p w14:paraId="5C366652" w14:textId="77777777" w:rsidR="009864FE" w:rsidRPr="00A259BD" w:rsidRDefault="009864F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Проект </w:t>
      </w:r>
      <w:proofErr w:type="spellStart"/>
      <w:r w:rsidRPr="00A259BD">
        <w:rPr>
          <w:rFonts w:ascii="Times New Roman" w:hAnsi="Times New Roman"/>
          <w:color w:val="000000" w:themeColor="text1"/>
          <w:sz w:val="16"/>
          <w:szCs w:val="16"/>
        </w:rPr>
        <w:t>Дыренкова</w:t>
      </w:r>
      <w:proofErr w:type="spellEnd"/>
      <w:r w:rsidRPr="00A259BD">
        <w:rPr>
          <w:rFonts w:ascii="Times New Roman" w:hAnsi="Times New Roman"/>
          <w:color w:val="000000" w:themeColor="text1"/>
          <w:sz w:val="16"/>
          <w:szCs w:val="16"/>
        </w:rPr>
        <w:t xml:space="preserve"> хоть и казался перспективным, на самом деле имел массу изъянов и недоработок. Уже в ходе подготовки рабочих чертежей выяснилось, что трехбашенная схема не является оптимальной с точки зрения размещения вооружение и к тому же она перегружает машину. Пришлось вместо трех 45-мм пушек обр.1925\1930 гг., что обещалось первоначальным проектом, оставить только две в диагонально расположенных шестигранных башнях (с углами обстрела в 270 градусов у каждой), хотя четыре 7,62-мм пулемета (два в каждой башне и два и носовой части корпуса) всё же оставили. Вообще, тяга </w:t>
      </w:r>
      <w:proofErr w:type="spellStart"/>
      <w:r w:rsidRPr="00A259BD">
        <w:rPr>
          <w:rFonts w:ascii="Times New Roman" w:hAnsi="Times New Roman"/>
          <w:color w:val="000000" w:themeColor="text1"/>
          <w:sz w:val="16"/>
          <w:szCs w:val="16"/>
        </w:rPr>
        <w:t>Дыренкова</w:t>
      </w:r>
      <w:proofErr w:type="spellEnd"/>
      <w:r w:rsidRPr="00A259BD">
        <w:rPr>
          <w:rFonts w:ascii="Times New Roman" w:hAnsi="Times New Roman"/>
          <w:color w:val="000000" w:themeColor="text1"/>
          <w:sz w:val="16"/>
          <w:szCs w:val="16"/>
        </w:rPr>
        <w:t xml:space="preserve"> оборудовать создаваемые им боевые машины огромным количеством пулеметов, располагая их без учета нормального функционирования экипажа внутри машины, имела свои неоднократные проявления – вспомнить хотя бы бронеавтомобили Д-9 и Д-13.</w:t>
      </w:r>
    </w:p>
    <w:p w14:paraId="2E003F57" w14:textId="77777777" w:rsidR="009864FE" w:rsidRPr="00A259BD" w:rsidRDefault="009864F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Корпус </w:t>
      </w:r>
      <w:hyperlink r:id="rId313"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имел коробчатую вытянутую форму и собирался при помощи заклёпок из катаных броневых листов толщиной 8 мм (крыша и днище), 13 мм (борта) и 20 мм (лоб). Компоновка Д-4 была классической, с передним расположением отделения управления, боевым отсеком в средней части и моторно-трансмиссионным отделением в корме. Проектная масса </w:t>
      </w:r>
      <w:hyperlink r:id="rId314"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а составляла около 12 тонн, но этот показатель оказался слишком оптимистичным.</w:t>
      </w:r>
    </w:p>
    <w:p w14:paraId="5A8AC77E" w14:textId="77777777" w:rsidR="009864FE" w:rsidRPr="00A259BD" w:rsidRDefault="009864F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Ходовая часть Д-4 с первого взгляда была достаточно проста и отчасти напоминала разработки фирмы </w:t>
      </w:r>
      <w:proofErr w:type="spellStart"/>
      <w:r w:rsidRPr="00A259BD">
        <w:rPr>
          <w:rFonts w:ascii="Times New Roman" w:hAnsi="Times New Roman"/>
          <w:color w:val="000000" w:themeColor="text1"/>
          <w:sz w:val="16"/>
          <w:szCs w:val="16"/>
        </w:rPr>
        <w:t>Landsverk</w:t>
      </w:r>
      <w:proofErr w:type="spellEnd"/>
      <w:r w:rsidRPr="00A259BD">
        <w:rPr>
          <w:rFonts w:ascii="Times New Roman" w:hAnsi="Times New Roman"/>
          <w:color w:val="000000" w:themeColor="text1"/>
          <w:sz w:val="16"/>
          <w:szCs w:val="16"/>
        </w:rPr>
        <w:t xml:space="preserve">. На гусеничном ходу </w:t>
      </w:r>
      <w:hyperlink r:id="rId315"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 передвигался на </w:t>
      </w:r>
      <w:proofErr w:type="spellStart"/>
      <w:r w:rsidRPr="00A259BD">
        <w:rPr>
          <w:rFonts w:ascii="Times New Roman" w:hAnsi="Times New Roman"/>
          <w:color w:val="000000" w:themeColor="text1"/>
          <w:sz w:val="16"/>
          <w:szCs w:val="16"/>
        </w:rPr>
        <w:t>трёхсдвоенных</w:t>
      </w:r>
      <w:proofErr w:type="spellEnd"/>
      <w:r w:rsidRPr="00A259BD">
        <w:rPr>
          <w:rFonts w:ascii="Times New Roman" w:hAnsi="Times New Roman"/>
          <w:color w:val="000000" w:themeColor="text1"/>
          <w:sz w:val="16"/>
          <w:szCs w:val="16"/>
        </w:rPr>
        <w:t xml:space="preserve"> опорных шести катках большого диаметра, ведущие колеса располагались сзади, направляющие - спереди. Тип подвески был выбран достаточно “старомодным” – амортизацию обеспечивали пластинчатые рессоры автомобильного типа, но такой шаг позволял несколько удешевить и упростить производство </w:t>
      </w:r>
      <w:hyperlink r:id="rId316"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Гусеница собиралась из траков шириной 420 мм, которые технологически делились на нижнюю штампованную и верхнюю литую половинки. Для защиты от пуль и осколков был применен массивные бортовой экран. Между ним и корпусом </w:t>
      </w:r>
      <w:hyperlink r:id="rId317"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а монтировалась массивная клепаная стальная коробка, на которой крепились опорные катки вместе с рессорами.</w:t>
      </w:r>
    </w:p>
    <w:p w14:paraId="19141347" w14:textId="77777777" w:rsidR="009864FE" w:rsidRPr="00A259BD" w:rsidRDefault="009864F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Колёсная часть шасси состояла из двух пар автомобильных колёс, установленных с внешней стороны экрана на осях ленивца и звездочки. Вопрос об использовании полного привода не ставился и потому он также был сделан “</w:t>
      </w:r>
      <w:proofErr w:type="spellStart"/>
      <w:r w:rsidRPr="00A259BD">
        <w:rPr>
          <w:rFonts w:ascii="Times New Roman" w:hAnsi="Times New Roman"/>
          <w:color w:val="000000" w:themeColor="text1"/>
          <w:sz w:val="16"/>
          <w:szCs w:val="16"/>
        </w:rPr>
        <w:t>по-автомобильному</w:t>
      </w:r>
      <w:proofErr w:type="spellEnd"/>
      <w:r w:rsidRPr="00A259BD">
        <w:rPr>
          <w:rFonts w:ascii="Times New Roman" w:hAnsi="Times New Roman"/>
          <w:color w:val="000000" w:themeColor="text1"/>
          <w:sz w:val="16"/>
          <w:szCs w:val="16"/>
        </w:rPr>
        <w:t xml:space="preserve">”. По мнению </w:t>
      </w:r>
      <w:proofErr w:type="spellStart"/>
      <w:r w:rsidRPr="00A259BD">
        <w:rPr>
          <w:rFonts w:ascii="Times New Roman" w:hAnsi="Times New Roman"/>
          <w:color w:val="000000" w:themeColor="text1"/>
          <w:sz w:val="16"/>
          <w:szCs w:val="16"/>
        </w:rPr>
        <w:t>Дыренкова</w:t>
      </w:r>
      <w:proofErr w:type="spellEnd"/>
      <w:r w:rsidRPr="00A259BD">
        <w:rPr>
          <w:rFonts w:ascii="Times New Roman" w:hAnsi="Times New Roman"/>
          <w:color w:val="000000" w:themeColor="text1"/>
          <w:sz w:val="16"/>
          <w:szCs w:val="16"/>
        </w:rPr>
        <w:t xml:space="preserve"> </w:t>
      </w:r>
      <w:hyperlink r:id="rId318"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у вполне хватило бы привода только на задние колёса, в то время как передние были управляемыми. В отличии от шведских колесно-гусеничных </w:t>
      </w:r>
      <w:hyperlink r:id="rId319"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ов (L-30 и L-80), переход с гусеничного хода и обратно осуществлялся при помощи двух домкратов, которые работали от двигателя и поднимали или опускали коробку с опорными катками. Для обеспечения железнодорожного хода были предусмотрены специальные скаты, установленные в передней и задней части </w:t>
      </w:r>
      <w:hyperlink r:id="rId320"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а. Амфибийные свойства Д-4, необходимые для форсирования водных преград осуществлялось путем использования оборудования для подводного хода.</w:t>
      </w:r>
    </w:p>
    <w:p w14:paraId="323450DA" w14:textId="77777777" w:rsidR="009864FE" w:rsidRPr="00A259BD" w:rsidRDefault="009864F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Силовая установка </w:t>
      </w:r>
      <w:hyperlink r:id="rId321"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а состояла из двух 4-цилиндровых двигателей “</w:t>
      </w:r>
      <w:proofErr w:type="spellStart"/>
      <w:r w:rsidRPr="00A259BD">
        <w:rPr>
          <w:rFonts w:ascii="Times New Roman" w:hAnsi="Times New Roman"/>
          <w:color w:val="000000" w:themeColor="text1"/>
          <w:sz w:val="16"/>
          <w:szCs w:val="16"/>
        </w:rPr>
        <w:t>Hercules</w:t>
      </w:r>
      <w:proofErr w:type="spellEnd"/>
      <w:r w:rsidRPr="00A259BD">
        <w:rPr>
          <w:rFonts w:ascii="Times New Roman" w:hAnsi="Times New Roman"/>
          <w:color w:val="000000" w:themeColor="text1"/>
          <w:sz w:val="16"/>
          <w:szCs w:val="16"/>
        </w:rPr>
        <w:t xml:space="preserve">” (МС-2) иностранного производства, обладавших мощностью 105 л.с., или двух двигателей от </w:t>
      </w:r>
      <w:hyperlink r:id="rId322"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Т-19 мощностью 100 л.с. каждый из которых работал на общую КПП. Так как последний тип мотора не был готов </w:t>
      </w:r>
      <w:proofErr w:type="spellStart"/>
      <w:r w:rsidRPr="00A259BD">
        <w:rPr>
          <w:rFonts w:ascii="Times New Roman" w:hAnsi="Times New Roman"/>
          <w:color w:val="000000" w:themeColor="text1"/>
          <w:sz w:val="16"/>
          <w:szCs w:val="16"/>
        </w:rPr>
        <w:t>прищлось</w:t>
      </w:r>
      <w:proofErr w:type="spellEnd"/>
      <w:r w:rsidRPr="00A259BD">
        <w:rPr>
          <w:rFonts w:ascii="Times New Roman" w:hAnsi="Times New Roman"/>
          <w:color w:val="000000" w:themeColor="text1"/>
          <w:sz w:val="16"/>
          <w:szCs w:val="16"/>
        </w:rPr>
        <w:t xml:space="preserve"> использовать “геркулесы”, с единой системой охлаждения подобной системе охлаждения трактора “Коммунар”. Управление </w:t>
      </w:r>
      <w:hyperlink r:id="rId323"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ом осуществлялось при помощи гидравлических усилителей, а благодаря установке реверса Д-4 мог передвигаться вперед и назад с одинаковой скоростью, которая по проекту составляла 30-35 км\ч.</w:t>
      </w:r>
    </w:p>
    <w:p w14:paraId="1C0E8EAB" w14:textId="77777777" w:rsidR="009864FE" w:rsidRPr="00A259BD" w:rsidRDefault="009864F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Приборы наблюдения у Д-4 практически отсутствовали. За окружающей обстановкой командир </w:t>
      </w:r>
      <w:hyperlink r:id="rId324"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наблюдал только при помощи смотровых щелей, а у водителя имелся в распоряжении стробоскопический прибор. Кроме того, в носовой части </w:t>
      </w:r>
      <w:hyperlink r:id="rId325"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а были выполнены две цилиндрические наблюдательные башенки.</w:t>
      </w:r>
    </w:p>
    <w:p w14:paraId="7583F6EE" w14:textId="77777777" w:rsidR="009864FE" w:rsidRPr="00A259BD" w:rsidRDefault="009864F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Резво начавшись проект Д-4 вскоре перешел в “затяжную” фазу, что было обусловлено сразу несколькими факторами. Прежде всего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xml:space="preserve"> работал сразу над несколькими боевыми машинами (</w:t>
      </w:r>
      <w:hyperlink r:id="rId326"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и, </w:t>
      </w:r>
      <w:hyperlink r:id="rId327"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етки, бронеавтомобили и </w:t>
      </w:r>
      <w:proofErr w:type="spellStart"/>
      <w:r w:rsidRPr="00A259BD">
        <w:rPr>
          <w:rFonts w:ascii="Times New Roman" w:hAnsi="Times New Roman"/>
          <w:color w:val="000000" w:themeColor="text1"/>
          <w:sz w:val="16"/>
          <w:szCs w:val="16"/>
        </w:rPr>
        <w:t>мотоброневагоны</w:t>
      </w:r>
      <w:proofErr w:type="spellEnd"/>
      <w:r w:rsidRPr="00A259BD">
        <w:rPr>
          <w:rFonts w:ascii="Times New Roman" w:hAnsi="Times New Roman"/>
          <w:color w:val="000000" w:themeColor="text1"/>
          <w:sz w:val="16"/>
          <w:szCs w:val="16"/>
        </w:rPr>
        <w:t xml:space="preserve">), которые требовали большого распыления сил и энергии. Помимо этого, не доверяя инженерам выделенным в помощь его КБ, главный конструктор сам проводил все расчеты, часть из которых оказалась ошибочными и в конечном итоге загубили машину. Свою роль сыграла и “перегруженность” </w:t>
      </w:r>
      <w:hyperlink r:id="rId328"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а модными в то время новинками, что повлекло за собой резкое усложнение процесса изготовления отдельных узлов и процесса сборки. В результате одни и те же чертежи переделывались по нескольку раз (15618).</w:t>
      </w:r>
    </w:p>
    <w:p w14:paraId="62A50D3B" w14:textId="77777777" w:rsidR="009864FE" w:rsidRPr="00A259BD" w:rsidRDefault="009864FE" w:rsidP="009236E3">
      <w:pPr>
        <w:spacing w:after="0" w:line="240" w:lineRule="auto"/>
        <w:jc w:val="both"/>
        <w:rPr>
          <w:rFonts w:ascii="Times New Roman" w:hAnsi="Times New Roman"/>
          <w:color w:val="000000" w:themeColor="text1"/>
          <w:sz w:val="16"/>
          <w:szCs w:val="16"/>
        </w:rPr>
      </w:pPr>
    </w:p>
    <w:p w14:paraId="70F98B8A"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06B17A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77853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декабря 1929 Сибирь была объявлена неблагополучной в отношении бандитизма (3481).</w:t>
      </w:r>
    </w:p>
    <w:p w14:paraId="7E25D8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CF897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14 по 20 декабря 1929. Из протокола заседания Политбюро N 109, особая папка, 1929 г.</w:t>
      </w:r>
    </w:p>
    <w:p w14:paraId="37D76A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w:t>
      </w:r>
      <w:proofErr w:type="spellStart"/>
      <w:r w:rsidRPr="00A259BD">
        <w:rPr>
          <w:rFonts w:ascii="Times New Roman" w:hAnsi="Times New Roman"/>
          <w:color w:val="000000" w:themeColor="text1"/>
          <w:sz w:val="16"/>
          <w:szCs w:val="16"/>
        </w:rPr>
        <w:t>партбюджете</w:t>
      </w:r>
      <w:proofErr w:type="spellEnd"/>
      <w:r w:rsidRPr="00A259BD">
        <w:rPr>
          <w:rFonts w:ascii="Times New Roman" w:hAnsi="Times New Roman"/>
          <w:color w:val="000000" w:themeColor="text1"/>
          <w:sz w:val="16"/>
          <w:szCs w:val="16"/>
        </w:rPr>
        <w:t xml:space="preserve"> на 1929-30 г. </w:t>
      </w:r>
    </w:p>
    <w:p w14:paraId="5E271C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Принять следующее предложение бюджетной комиссии ЦК: </w:t>
      </w:r>
    </w:p>
    <w:p w14:paraId="1D7458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Утвердить бюджет партии на 1929-30 г. по расходам в сумме 70 771 700 руб. и по доходам — 18 059 130 руб., из них 200 000 отчислений от прибылей издательства ЦК "Правда". Дотацию по бюджету определить в сумме 52 712 570 руб., из них в качестве резервного фонда — 1 000 000 руб. </w:t>
      </w:r>
    </w:p>
    <w:p w14:paraId="137C09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Смету местных </w:t>
      </w:r>
      <w:proofErr w:type="spellStart"/>
      <w:r w:rsidRPr="00A259BD">
        <w:rPr>
          <w:rFonts w:ascii="Times New Roman" w:hAnsi="Times New Roman"/>
          <w:color w:val="000000" w:themeColor="text1"/>
          <w:sz w:val="16"/>
          <w:szCs w:val="16"/>
        </w:rPr>
        <w:t>истпартов</w:t>
      </w:r>
      <w:proofErr w:type="spellEnd"/>
      <w:r w:rsidRPr="00A259BD">
        <w:rPr>
          <w:rFonts w:ascii="Times New Roman" w:hAnsi="Times New Roman"/>
          <w:color w:val="000000" w:themeColor="text1"/>
          <w:sz w:val="16"/>
          <w:szCs w:val="16"/>
        </w:rPr>
        <w:t xml:space="preserve"> утвердить в сумме 175 430 руб. Финансирование их передать на смету Института Ленина (11652).</w:t>
      </w:r>
    </w:p>
    <w:p w14:paraId="18799D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C8EC0C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B86637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DA1B506" w14:textId="77777777" w:rsidR="00DA14E0" w:rsidRPr="00A259BD" w:rsidRDefault="00DA14E0" w:rsidP="009236E3">
      <w:pPr>
        <w:spacing w:after="0" w:line="240" w:lineRule="auto"/>
        <w:jc w:val="both"/>
        <w:rPr>
          <w:rFonts w:ascii="Times New Roman" w:hAnsi="Times New Roman"/>
          <w:color w:val="000000" w:themeColor="text1"/>
          <w:sz w:val="16"/>
          <w:szCs w:val="16"/>
          <w:u w:color="002060"/>
        </w:rPr>
      </w:pPr>
      <w:r w:rsidRPr="00A259BD">
        <w:rPr>
          <w:rFonts w:ascii="Times New Roman" w:hAnsi="Times New Roman"/>
          <w:color w:val="000000" w:themeColor="text1"/>
          <w:sz w:val="16"/>
          <w:szCs w:val="16"/>
          <w:u w:color="002060"/>
        </w:rPr>
        <w:t>15 декабря</w:t>
      </w:r>
      <w:r w:rsidRPr="00A259BD">
        <w:rPr>
          <w:rFonts w:ascii="Times New Roman" w:hAnsi="Times New Roman"/>
          <w:color w:val="000000" w:themeColor="text1"/>
          <w:sz w:val="16"/>
          <w:szCs w:val="16"/>
        </w:rPr>
        <w:t xml:space="preserve"> 1929 г</w:t>
      </w:r>
      <w:r w:rsidRPr="00A259BD">
        <w:rPr>
          <w:rFonts w:ascii="Times New Roman" w:hAnsi="Times New Roman"/>
          <w:color w:val="000000" w:themeColor="text1"/>
          <w:sz w:val="16"/>
          <w:szCs w:val="16"/>
          <w:u w:color="002060"/>
        </w:rPr>
        <w:t>. Протокол заседания Политбюро ЦК ВКП(б) № 109. 1. Об авиастроении (Ворошилов). (Политбюро... Т. 1. С. 745) (12416).</w:t>
      </w:r>
    </w:p>
    <w:p w14:paraId="4FAA9240" w14:textId="77777777" w:rsidR="00DA14E0" w:rsidRPr="00A259BD" w:rsidRDefault="00DA14E0" w:rsidP="009236E3">
      <w:pPr>
        <w:spacing w:after="0" w:line="240" w:lineRule="auto"/>
        <w:jc w:val="both"/>
        <w:rPr>
          <w:rFonts w:ascii="Times New Roman" w:hAnsi="Times New Roman"/>
          <w:color w:val="000000" w:themeColor="text1"/>
          <w:sz w:val="16"/>
          <w:szCs w:val="16"/>
          <w:u w:color="002060"/>
        </w:rPr>
      </w:pPr>
    </w:p>
    <w:p w14:paraId="5DB990B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15 декабря 1929 на заводе № 29 французские чертежи двигателя Юпитер скопировали, переведя их к оте</w:t>
      </w:r>
      <w:r w:rsidRPr="00A259BD">
        <w:rPr>
          <w:rFonts w:ascii="Times New Roman" w:hAnsi="Times New Roman"/>
          <w:color w:val="000000" w:themeColor="text1"/>
          <w:sz w:val="16"/>
          <w:szCs w:val="16"/>
        </w:rPr>
        <w:softHyphen/>
        <w:t>чественным стандартам. Еще с сентября приступили к проектированию оснастки и приспособлений. Примерно четверть таких чертежей прибыла из Франции в готовом виде, остальные предстояло сделать самостоятель</w:t>
      </w:r>
      <w:r w:rsidRPr="00A259BD">
        <w:rPr>
          <w:rFonts w:ascii="Times New Roman" w:hAnsi="Times New Roman"/>
          <w:color w:val="000000" w:themeColor="text1"/>
          <w:sz w:val="16"/>
          <w:szCs w:val="16"/>
        </w:rPr>
        <w:softHyphen/>
        <w:t xml:space="preserve">но. </w:t>
      </w:r>
      <w:r w:rsidRPr="00A259BD">
        <w:rPr>
          <w:rFonts w:ascii="Times New Roman" w:hAnsi="Times New Roman"/>
          <w:color w:val="000000" w:themeColor="text1"/>
          <w:sz w:val="16"/>
          <w:szCs w:val="16"/>
        </w:rPr>
        <w:lastRenderedPageBreak/>
        <w:t>В Запорожье в общей сложности спроектировали 367 приспособлений. К 1 января 1930 г. завершили разработку «операционных ведомостей» (технологических карт). Помощь в подготовке производства оказывали другие предприятия. Часть инструмента сделали на заводе № 26 в Рыбинске, приспособления изготавливали на заводе № 24 в Москве. Кое-какой инструмент хотели заказать за границей, но запоздали со сроками выдачи заказов и ограни</w:t>
      </w:r>
      <w:r w:rsidRPr="00A259BD">
        <w:rPr>
          <w:rFonts w:ascii="Times New Roman" w:hAnsi="Times New Roman"/>
          <w:color w:val="000000" w:themeColor="text1"/>
          <w:sz w:val="16"/>
          <w:szCs w:val="16"/>
        </w:rPr>
        <w:softHyphen/>
        <w:t>чились изготовлением его в СССР. Для первых серий моторов во Франции закупили свечи, карбюраторы, бензонасосы, магнето, детали механизма газораспределения. Комплектую</w:t>
      </w:r>
      <w:r w:rsidRPr="00A259BD">
        <w:rPr>
          <w:rFonts w:ascii="Times New Roman" w:hAnsi="Times New Roman"/>
          <w:color w:val="000000" w:themeColor="text1"/>
          <w:sz w:val="16"/>
          <w:szCs w:val="16"/>
        </w:rPr>
        <w:softHyphen/>
        <w:t>щие поступали через фирму «Гном-Рон», которая за это получала 5% ко</w:t>
      </w:r>
      <w:r w:rsidRPr="00A259BD">
        <w:rPr>
          <w:rFonts w:ascii="Times New Roman" w:hAnsi="Times New Roman"/>
          <w:color w:val="000000" w:themeColor="text1"/>
          <w:sz w:val="16"/>
          <w:szCs w:val="16"/>
        </w:rPr>
        <w:softHyphen/>
        <w:t>миссионных. На первые 10 двигателей приобрели также поковки и отлив</w:t>
      </w:r>
      <w:r w:rsidRPr="00A259BD">
        <w:rPr>
          <w:rFonts w:ascii="Times New Roman" w:hAnsi="Times New Roman"/>
          <w:color w:val="000000" w:themeColor="text1"/>
          <w:sz w:val="16"/>
          <w:szCs w:val="16"/>
        </w:rPr>
        <w:softHyphen/>
        <w:t>ки. Задержка с освоением их изготовления в Советском Союзе привела к заказу еще одной партии поковок, которую отправили морем из Гавра в Ревель (Таллин) 8 марта 1930 г. Советский двигатель, обозначенный М-22, первоначально должен был соответствовать французской модели 9А(1 мощностью 420 л.с., но с уси</w:t>
      </w:r>
      <w:r w:rsidRPr="00A259BD">
        <w:rPr>
          <w:rFonts w:ascii="Times New Roman" w:hAnsi="Times New Roman"/>
          <w:color w:val="000000" w:themeColor="text1"/>
          <w:sz w:val="16"/>
          <w:szCs w:val="16"/>
        </w:rPr>
        <w:softHyphen/>
        <w:t xml:space="preserve">ленным коленчатым валом. Но постепенно в ходе подготовки производства его приблизили к 9А^ в 480 л.с. Поскольку в СССР система допусков и посадок отличалась, то моторы из Запорожья оказались </w:t>
      </w:r>
      <w:proofErr w:type="spellStart"/>
      <w:r w:rsidRPr="00A259BD">
        <w:rPr>
          <w:rFonts w:ascii="Times New Roman" w:hAnsi="Times New Roman"/>
          <w:color w:val="000000" w:themeColor="text1"/>
          <w:sz w:val="16"/>
          <w:szCs w:val="16"/>
        </w:rPr>
        <w:t>невзаимозаменяе</w:t>
      </w:r>
      <w:r w:rsidRPr="00A259BD">
        <w:rPr>
          <w:rFonts w:ascii="Times New Roman" w:hAnsi="Times New Roman"/>
          <w:color w:val="000000" w:themeColor="text1"/>
          <w:sz w:val="16"/>
          <w:szCs w:val="16"/>
        </w:rPr>
        <w:softHyphen/>
        <w:t>мы</w:t>
      </w:r>
      <w:proofErr w:type="spellEnd"/>
      <w:r w:rsidRPr="00A259BD">
        <w:rPr>
          <w:rFonts w:ascii="Times New Roman" w:hAnsi="Times New Roman"/>
          <w:color w:val="000000" w:themeColor="text1"/>
          <w:sz w:val="16"/>
          <w:szCs w:val="16"/>
        </w:rPr>
        <w:t xml:space="preserve"> ни с французскими, ни с немецкими «Юпитерами». В декабре 1930 г., с опозданием на три месяца против плана, завод вы</w:t>
      </w:r>
      <w:r w:rsidRPr="00A259BD">
        <w:rPr>
          <w:rFonts w:ascii="Times New Roman" w:hAnsi="Times New Roman"/>
          <w:color w:val="000000" w:themeColor="text1"/>
          <w:sz w:val="16"/>
          <w:szCs w:val="16"/>
        </w:rPr>
        <w:softHyphen/>
        <w:t>ставил на испытания первый десяток М-22 (серия «А»). На испытаниях достигли максимальной мощности 567 л.с. Всего за 1930 г. изготовили 25 моторов со значительной долей импортных деталей. Вторая серия (серия «Б»), тоже из 10 моторов, сдавалась уже в апреле 1931 г. Все отливки уже были отечественными. Советское литье имело худшее качество, чем импортное. В Запорожье лили из другого сплава, более мягкого, и не сразу подобрали подходящую технологию. Поначалу много отливок браковали из-за трещин. На серии «Б» ввели стальные заглушки коленвала, изменили материалы некоторых деталей. Моторы серий «А» и «Б» отличались повышенной степенью сжатия (6,55-6,58). Межремонтный ресурс для них определили в 50 часов. Только на третьей серии (серии «В») из 40 двигателей удалось достичь ресурса 100 часов. На этой серии ввели фиксированные вкладыши глав</w:t>
      </w:r>
      <w:r w:rsidRPr="00A259BD">
        <w:rPr>
          <w:rFonts w:ascii="Times New Roman" w:hAnsi="Times New Roman"/>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Серию «В» завершили в августе 1931 г., а сдавали в сентябре.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A259BD">
        <w:rPr>
          <w:rFonts w:ascii="Times New Roman" w:hAnsi="Times New Roman"/>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A259BD">
        <w:rPr>
          <w:rFonts w:ascii="Times New Roman" w:hAnsi="Times New Roman"/>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A259BD">
        <w:rPr>
          <w:rFonts w:ascii="Times New Roman" w:hAnsi="Times New Roman"/>
          <w:color w:val="000000" w:themeColor="text1"/>
          <w:sz w:val="16"/>
          <w:szCs w:val="16"/>
        </w:rPr>
        <w:softHyphen/>
        <w:t>ловине 30-х годов (11852).</w:t>
      </w:r>
    </w:p>
    <w:p w14:paraId="32F2ADA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FCB7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декабря 1929 г. вышел приказ УВВС РККА, в котором говорилось, что "принятые для СССР опознавательные знаки военных самолетов (пятиконечные красные звезды) наносить впредь без вписывания их в круги". Видимо, примерно в это же время отменили и размещение опознавательных знаков на горизонтальном оперении. За исключением этого, схема расположения звезд по "Правилам" 1927 г. в целом сохранялась без изменений вплоть до начала Великой Отечественной войны (11987).</w:t>
      </w:r>
    </w:p>
    <w:p w14:paraId="541225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3B2F1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48B554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052AA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декабря 1929 был изготовлен опытный образец маневренного танка Т-12. Классическое двухярусное расположение вооружения (9527,117).</w:t>
      </w:r>
    </w:p>
    <w:p w14:paraId="3E5596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6B0175"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15 декабря 1929 года танк Т-22 был полностью готов. 21 декабря 1929 г. танк Т-12 впервые вывели из цеха и </w:t>
      </w:r>
      <w:proofErr w:type="spellStart"/>
      <w:r w:rsidRPr="00A259BD">
        <w:rPr>
          <w:rFonts w:ascii="Times New Roman" w:hAnsi="Times New Roman"/>
          <w:color w:val="000000" w:themeColor="text1"/>
          <w:sz w:val="16"/>
          <w:szCs w:val="16"/>
        </w:rPr>
        <w:t>втечение</w:t>
      </w:r>
      <w:proofErr w:type="spellEnd"/>
      <w:r w:rsidRPr="00A259BD">
        <w:rPr>
          <w:rFonts w:ascii="Times New Roman" w:hAnsi="Times New Roman"/>
          <w:color w:val="000000" w:themeColor="text1"/>
          <w:sz w:val="16"/>
          <w:szCs w:val="16"/>
        </w:rPr>
        <w:t xml:space="preserve"> 20 мин испытывали его на ходу. Выявилась ненадежная работа тормозов, коробки передач и системы охлаждения двигателя. Испытание 23 декабря закончилось «...поломкой валика коробки шестерен. Нагревание при испытании в течение 1,5 часов не было сильным, но мотор работал с остановками и был мороз в 15 градусов при пурге. Выявилась слабость тормозов и неудобность маневрирования и некоторые дефекты в ходовой части (ленивец)». По результатам испытаний в конструкцию машины внесли ряд </w:t>
      </w:r>
      <w:proofErr w:type="spellStart"/>
      <w:r w:rsidRPr="00A259BD">
        <w:rPr>
          <w:rFonts w:ascii="Times New Roman" w:hAnsi="Times New Roman"/>
          <w:color w:val="000000" w:themeColor="text1"/>
          <w:sz w:val="16"/>
          <w:szCs w:val="16"/>
        </w:rPr>
        <w:t>улучшений.На</w:t>
      </w:r>
      <w:proofErr w:type="spellEnd"/>
      <w:r w:rsidRPr="00A259BD">
        <w:rPr>
          <w:rFonts w:ascii="Times New Roman" w:hAnsi="Times New Roman"/>
          <w:color w:val="000000" w:themeColor="text1"/>
          <w:sz w:val="16"/>
          <w:szCs w:val="16"/>
        </w:rPr>
        <w:t xml:space="preserve"> ходовых испытаниях танка 6 января 1930 г. были получены положительные результаты, Однако, тормоза вновь показали себя неудовлетворительно, что задержало дальнейшее проведение испытаний. Только в начале февраля этот недостаток устранили, и заводские испытания танка под руководством помощника начальника тракторного цеха С.Н. Махонина и начальника КБ И.Н. Алексенко были продолжены 17, 20 и 21 февраля 1930 г. (12303).</w:t>
      </w:r>
    </w:p>
    <w:p w14:paraId="4823EC4D" w14:textId="77777777" w:rsidR="00DA14E0" w:rsidRPr="00A259BD" w:rsidRDefault="00DA14E0" w:rsidP="009236E3">
      <w:pPr>
        <w:spacing w:after="0" w:line="240" w:lineRule="auto"/>
        <w:jc w:val="both"/>
        <w:rPr>
          <w:rFonts w:ascii="Times New Roman" w:hAnsi="Times New Roman"/>
          <w:color w:val="000000" w:themeColor="text1"/>
          <w:sz w:val="16"/>
          <w:szCs w:val="16"/>
        </w:rPr>
      </w:pPr>
    </w:p>
    <w:p w14:paraId="252D171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4DDCCF3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B071B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 декабря 1929 Новосибирск. Постановление </w:t>
      </w:r>
      <w:proofErr w:type="spellStart"/>
      <w:r w:rsidRPr="00A259BD">
        <w:rPr>
          <w:rFonts w:ascii="Times New Roman" w:hAnsi="Times New Roman"/>
          <w:color w:val="000000" w:themeColor="text1"/>
          <w:sz w:val="16"/>
          <w:szCs w:val="16"/>
        </w:rPr>
        <w:t>Сибкрайкома</w:t>
      </w:r>
      <w:proofErr w:type="spellEnd"/>
      <w:r w:rsidRPr="00A259BD">
        <w:rPr>
          <w:rFonts w:ascii="Times New Roman" w:hAnsi="Times New Roman"/>
          <w:color w:val="000000" w:themeColor="text1"/>
          <w:sz w:val="16"/>
          <w:szCs w:val="16"/>
        </w:rPr>
        <w:t xml:space="preserve"> ВКП(б) "О темпах коллективизации </w:t>
      </w:r>
      <w:proofErr w:type="spellStart"/>
      <w:r w:rsidRPr="00A259BD">
        <w:rPr>
          <w:rFonts w:ascii="Times New Roman" w:hAnsi="Times New Roman"/>
          <w:color w:val="000000" w:themeColor="text1"/>
          <w:sz w:val="16"/>
          <w:szCs w:val="16"/>
        </w:rPr>
        <w:t>Сибкрая</w:t>
      </w:r>
      <w:proofErr w:type="spellEnd"/>
      <w:r w:rsidRPr="00A259BD">
        <w:rPr>
          <w:rFonts w:ascii="Times New Roman" w:hAnsi="Times New Roman"/>
          <w:color w:val="000000" w:themeColor="text1"/>
          <w:sz w:val="16"/>
          <w:szCs w:val="16"/>
        </w:rPr>
        <w:t>", в котором намечено более ускоренное развитие колхозного движения, чем предполагалось ранее. Ставилась задача коллективизировать в 1930 году 29, 6% всего сельского населения края (10687).</w:t>
      </w:r>
    </w:p>
    <w:p w14:paraId="4AC503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1660B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C88D76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8BD11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декабря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28) и обсуждали техусловия на проектирование зданий для металлического самолетостроения на 31 заводе, об условиях изготовления чертежей по МД на заводе 45, об организации базы для испытания машин на 45 заводе в Севастополе и др. (2367).</w:t>
      </w:r>
    </w:p>
    <w:p w14:paraId="085AB5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AED42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декабря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29) и обсудили вопрос о загрузке завода 31 и распределение загрузки с 22 по металлическим самолетам. Отметили, что ввиду снятия МР-5 и РОМ-2 со снабжения и отсутствия перспектив их внедрения в производство завод 31 должен заняться внедрением металлического самолетостроения и освоением методов завода 22 (2367,161).</w:t>
      </w:r>
    </w:p>
    <w:p w14:paraId="1B0BB1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A9A18D8" w14:textId="77777777" w:rsidR="00E660B6" w:rsidRPr="00A259BD" w:rsidRDefault="00E660B6"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 xml:space="preserve">16 декабря 1929 г. по протоколу заседания правления </w:t>
      </w:r>
      <w:proofErr w:type="spellStart"/>
      <w:r w:rsidRPr="00A259BD">
        <w:rPr>
          <w:rFonts w:ascii="Times New Roman" w:hAnsi="Times New Roman" w:cs="Times New Roman"/>
          <w:color w:val="000000" w:themeColor="text1"/>
        </w:rPr>
        <w:t>Авиатреста</w:t>
      </w:r>
      <w:proofErr w:type="spellEnd"/>
      <w:r w:rsidRPr="00A259BD">
        <w:rPr>
          <w:rFonts w:ascii="Times New Roman" w:hAnsi="Times New Roman" w:cs="Times New Roman"/>
          <w:color w:val="000000" w:themeColor="text1"/>
        </w:rPr>
        <w:t>, предусматривалось построить к середине 1933 г. 629 истребителей И-4. Позже аппетиты значительно поумерили: за 1929 - 1933 гг. УВВС собиралось приобрести, в общей сложности, лишь 180 машин. Но и такие наметки оказались трудновыполнимы. К 20 сентября 1929 г. по плану требовалось предъявить 77 И-4, но фактически успели подготовить 32, из которых только два смогли пройти военную приемку; остальные имели различные дефекты. Среди них одним из наиболее существенных называли разрушение колпаков колес; их решили усиливать кольцевым гофром. В 1933 г. выпуск И-4 уже прекратили, но его продолжали показывать как достижение советского самолетостроения.</w:t>
      </w:r>
    </w:p>
    <w:p w14:paraId="74B7E118" w14:textId="77777777" w:rsidR="00E660B6" w:rsidRPr="00A259BD" w:rsidRDefault="00E660B6"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 xml:space="preserve">Внесение изменений в конструкцию И-4 сопровождалось постоянными дрязгами между </w:t>
      </w:r>
      <w:proofErr w:type="spellStart"/>
      <w:r w:rsidRPr="00A259BD">
        <w:rPr>
          <w:rFonts w:ascii="Times New Roman" w:hAnsi="Times New Roman" w:cs="Times New Roman"/>
          <w:color w:val="000000" w:themeColor="text1"/>
        </w:rPr>
        <w:t>Авиатрестом</w:t>
      </w:r>
      <w:proofErr w:type="spellEnd"/>
      <w:r w:rsidRPr="00A259BD">
        <w:rPr>
          <w:rFonts w:ascii="Times New Roman" w:hAnsi="Times New Roman" w:cs="Times New Roman"/>
          <w:color w:val="000000" w:themeColor="text1"/>
        </w:rPr>
        <w:t>, которому принадлежал завод, и ЦАГИ, относившемуся тогда к ведению Научно- технического управления ВСНХ. Шла оживленная переписка - кто должен платить за ошибки конструкторов? Завод хотел получить с ЦАГИ деньги за работу заводских инженеров, постоянно корректировавших чертежи. Но, похоже, этот вопрос так и «повис в воздухе». Цена истребителя тоже не соответствовала плановой. Как обычно, в реальности машина оказалась еще дороже. Сам самолет с мотором обходился в 31 800 рублей, плюс вооружение, два комплекта лыж, три винта и упаковка - все вместе 36 089 рублей (19100).</w:t>
      </w:r>
    </w:p>
    <w:p w14:paraId="4D4352A0" w14:textId="77777777" w:rsidR="00E660B6" w:rsidRPr="00A259BD" w:rsidRDefault="00E660B6" w:rsidP="009236E3">
      <w:pPr>
        <w:pStyle w:val="a8"/>
        <w:jc w:val="both"/>
        <w:rPr>
          <w:rFonts w:ascii="Times New Roman" w:hAnsi="Times New Roman" w:cs="Times New Roman"/>
          <w:color w:val="000000" w:themeColor="text1"/>
        </w:rPr>
      </w:pPr>
    </w:p>
    <w:p w14:paraId="2AC5962C" w14:textId="77777777" w:rsidR="00DA14E0"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91EEBD9" w14:textId="77777777" w:rsidR="00DA14E0" w:rsidRPr="00A259BD" w:rsidRDefault="00DA14E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24AEA2E" w14:textId="77777777" w:rsidR="009864FE" w:rsidRPr="00A259BD" w:rsidRDefault="009864FE" w:rsidP="009236E3">
      <w:pPr>
        <w:spacing w:after="0" w:line="240" w:lineRule="auto"/>
        <w:jc w:val="both"/>
        <w:rPr>
          <w:rStyle w:val="af0"/>
          <w:rFonts w:ascii="Times New Roman" w:hAnsi="Times New Roman"/>
          <w:i w:val="0"/>
          <w:color w:val="000000" w:themeColor="text1"/>
          <w:sz w:val="16"/>
          <w:szCs w:val="16"/>
        </w:rPr>
      </w:pPr>
      <w:r w:rsidRPr="00A259BD">
        <w:rPr>
          <w:rFonts w:ascii="Times New Roman" w:hAnsi="Times New Roman"/>
          <w:bCs/>
          <w:color w:val="000000" w:themeColor="text1"/>
          <w:sz w:val="16"/>
          <w:szCs w:val="16"/>
        </w:rPr>
        <w:t>16 декабря 1929 г. — Доклад начальника вооружений РККА И. П. Уборевича наркому по военным и морским делам СССР и председателю Реввоенсовета СССР К. Е. Ворошилову «О ликвидации последствий вредительства в военной промышленности»</w:t>
      </w:r>
    </w:p>
    <w:p w14:paraId="7F06B468"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3F4407D8"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Докладываю, что во исполнение Вашего предписания от 10 декабря с. г. мною приняты и проводятся следующие срочные меры по выявлению и устранению последствий вредительства в области производства пулеметов и патронов:</w:t>
      </w:r>
    </w:p>
    <w:p w14:paraId="2FEDD24B"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1. Созданы две комиссии, приступившие к работе еще с 9 декабря с. г. Одна комиссия — по линии промышленности — для выявления объектов вредительства в производстве и качества стали, идущей на изготовление пулеметов, для устранения вредительства в производстве пулемета, патрона, а вторая комиссия — для проверки состояния станковых пулеметов в войсках и на складах. Обе комиссии возглавляются мною лично.</w:t>
      </w:r>
    </w:p>
    <w:p w14:paraId="51A96581"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2. По имеющимся материалам комиссии можно считать установленным вредительство в следующих областях пулемета Максима: в недоброкачественности металла, закалки и в отступлении от чертежей и лекал. Подвергались порче, главным образом, отдельные части замка пулемета. Но ввиду того что у комиссии имеются сомнения, исчерпывается ли объем вредительства вышеуказанными объектами, ведется дальнейшая работа с целью выявления вредительства в отношении всего пулемета в целом. Подтверждается вредительство и в области производства патронов (закругление шляпки гильзы) почти на всех патронных заводах военной промышленности.</w:t>
      </w:r>
    </w:p>
    <w:p w14:paraId="6AA7F308"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3. В целях немедленного устранения вредительства по линии промышленности комиссия приняла следующие срочные меры:</w:t>
      </w:r>
    </w:p>
    <w:p w14:paraId="48236CB2"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а) командирована специальная комиссия на Ижевский завод для проверки качества стали, выпускаемой заводом и идущей на изготовление пулемета (комиссия выехала из Москвы 11 декабря с. г. и должна закончить свою работу в ближайшие дни);</w:t>
      </w:r>
    </w:p>
    <w:p w14:paraId="120DCCFF"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б) Тульскому заводу было предложено прекратить с 12 декабря с. г. производство пулеметных частей, в отношении коих выявлено вредительство, но завод фактически прекратил производство только 13 декабря с. г. Одновременно предложено тресту и заводу принять конкретные меры к использованию освободившейся рабочей силы, а также срочно принять меры к немедленному устранению в производстве всех выявившихся объектов вредительства. Необходимо отметить, что временная приостановка производства вызовет, несомненно, лишние расходы, размер коих будет определен в дальнейшем;</w:t>
      </w:r>
    </w:p>
    <w:p w14:paraId="367E0E6E"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lastRenderedPageBreak/>
        <w:t>в) тресту поручено срочно установить срок выполнения выпуска стали и организовать поверку чертежей, лекал и рабочего инструмента с оригиналами 1916 г. Одновременно предложено тресту и АУ широкие лабораторные и полигонные испытания пулеметов Максима, изготовленных по чертежам и техническим условиям 1916 г.;</w:t>
      </w:r>
    </w:p>
    <w:p w14:paraId="1CFC69DB"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 xml:space="preserve">г) поручено </w:t>
      </w:r>
      <w:proofErr w:type="spellStart"/>
      <w:r w:rsidRPr="00A259BD">
        <w:rPr>
          <w:color w:val="000000" w:themeColor="text1"/>
          <w:sz w:val="16"/>
          <w:szCs w:val="16"/>
        </w:rPr>
        <w:t>Ружпултресту</w:t>
      </w:r>
      <w:proofErr w:type="spellEnd"/>
      <w:r w:rsidRPr="00A259BD">
        <w:rPr>
          <w:color w:val="000000" w:themeColor="text1"/>
          <w:sz w:val="16"/>
          <w:szCs w:val="16"/>
        </w:rPr>
        <w:t xml:space="preserve"> и дирекции завода в двухнедельный срок представить конкретные предложения о расширении производства в 1929/30 г. на дополнительный заказ исправленных частей пулемета (замков), в отношении коих обнаружено вредительство;</w:t>
      </w:r>
    </w:p>
    <w:p w14:paraId="1A75AC82"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д) сейчас изучается вопрос, насколько вредительство, обнаруженное в производстве пулеметов отзовется на мобилизационной готовности армии и заводов. Результаты будут доложены дополнительно;</w:t>
      </w:r>
    </w:p>
    <w:p w14:paraId="2F67C8AD"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е) моим распоряжением создана специальная комиссия при НТК АУ для выработки новых технических условий изготовления и приемки пулемета Максима. Комиссия закончит свою работу в десятидневный срок (25 декабря с. г.);</w:t>
      </w:r>
    </w:p>
    <w:p w14:paraId="3B8A5955"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ж) в связи с заявлением Пат[</w:t>
      </w:r>
      <w:proofErr w:type="spellStart"/>
      <w:r w:rsidRPr="00A259BD">
        <w:rPr>
          <w:color w:val="000000" w:themeColor="text1"/>
          <w:sz w:val="16"/>
          <w:szCs w:val="16"/>
        </w:rPr>
        <w:t>ронно</w:t>
      </w:r>
      <w:proofErr w:type="spellEnd"/>
      <w:r w:rsidRPr="00A259BD">
        <w:rPr>
          <w:color w:val="000000" w:themeColor="text1"/>
          <w:sz w:val="16"/>
          <w:szCs w:val="16"/>
        </w:rPr>
        <w:t>]-труб[очного] треста о том, что переход на нормальное изготовление шляпки гильзы боевого патрона по нормальным шаблонам может быть осуществлен в семидневный срок, производство на всех патронных заводах предложено приостановить с 15 декабря с. г., за исключением завода № 60, для которого срок установлен 17 декабря с. г.</w:t>
      </w:r>
    </w:p>
    <w:p w14:paraId="4591EC78"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Дано распоряжение НТК АУ проработать совместно с Пат[</w:t>
      </w:r>
      <w:proofErr w:type="spellStart"/>
      <w:r w:rsidRPr="00A259BD">
        <w:rPr>
          <w:color w:val="000000" w:themeColor="text1"/>
          <w:sz w:val="16"/>
          <w:szCs w:val="16"/>
        </w:rPr>
        <w:t>ронно</w:t>
      </w:r>
      <w:proofErr w:type="spellEnd"/>
      <w:r w:rsidRPr="00A259BD">
        <w:rPr>
          <w:color w:val="000000" w:themeColor="text1"/>
          <w:sz w:val="16"/>
          <w:szCs w:val="16"/>
        </w:rPr>
        <w:t>]-труб[очным] трестом нормальный чертеж всего боевого патрона и технические условия на прием патронов. Работа будет закончена 29 декабря с. г. Одновременно поручено Пат[</w:t>
      </w:r>
      <w:proofErr w:type="spellStart"/>
      <w:r w:rsidRPr="00A259BD">
        <w:rPr>
          <w:color w:val="000000" w:themeColor="text1"/>
          <w:sz w:val="16"/>
          <w:szCs w:val="16"/>
        </w:rPr>
        <w:t>рон</w:t>
      </w:r>
      <w:proofErr w:type="spellEnd"/>
      <w:r w:rsidRPr="00A259BD">
        <w:rPr>
          <w:color w:val="000000" w:themeColor="text1"/>
          <w:sz w:val="16"/>
          <w:szCs w:val="16"/>
        </w:rPr>
        <w:t>-но]-труб[очному] тресту и НТК АУ немедленно пересмотреть всю выпускаемую в настоящее время продукцию с точки зрения соответствия с нормальным чертежом. Предложено начальнику АУ срочно представить свои соображения о порядке прекращения заказа на патроны до устранения последствий вредительства и договориться по этому вопросу с трестом;</w:t>
      </w:r>
    </w:p>
    <w:p w14:paraId="0A29823A"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з) для выявления вопроса, насколько отразилось изменение шляпки патрона при стрельбе из винтовок и ручных пулеметов, была создана специальная комиссия под председательством т. </w:t>
      </w:r>
      <w:hyperlink r:id="rId329" w:history="1">
        <w:r w:rsidRPr="00A259BD">
          <w:rPr>
            <w:color w:val="000000" w:themeColor="text1"/>
            <w:sz w:val="16"/>
            <w:szCs w:val="16"/>
          </w:rPr>
          <w:t>Мерецкова</w:t>
        </w:r>
      </w:hyperlink>
      <w:r w:rsidRPr="00A259BD">
        <w:rPr>
          <w:color w:val="000000" w:themeColor="text1"/>
          <w:sz w:val="16"/>
          <w:szCs w:val="16"/>
        </w:rPr>
        <w:t>, которая заканчивает свою работу 16 сего декабря.</w:t>
      </w:r>
    </w:p>
    <w:p w14:paraId="75759B3F"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4. В отношении проверки и отсортировки пулеметов и патронов в войсках и на складах комиссия наметила и проводит следующие меры:</w:t>
      </w:r>
    </w:p>
    <w:p w14:paraId="3BD1B839"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а) решено подвергнуть осмотру все пулеметы, находящиеся в частях Красной армии; для этой цели 24 декабря с. г. вызываются все заведующие округов и частей с тем, чтобы дать им конкретные указания по этому вопросу (не разглашая причины отсортировки);</w:t>
      </w:r>
    </w:p>
    <w:p w14:paraId="779531C1"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б) по моему мнению, отсортировке и замене подлежат все части, в отношении коих установлено вредительство начиная с 1918 г., так как по показаниям главного вредителя Третьякова, он начал свою вредительскую деятельность еще в 1918 г. Такую же работу и отсортировку предложено произвести и по патронам, находящимся на складах и в войсках.</w:t>
      </w:r>
    </w:p>
    <w:p w14:paraId="31A2AB28"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Для продукции, выпускаемой промышленностью после устранения последствий вредительства, предложено установить, начиная с 1930 г., особое клеймо.</w:t>
      </w:r>
    </w:p>
    <w:p w14:paraId="488CE2B1"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5. При сем представляю ориентировочный подсчет главнейших деталей пулемета, подлежащих замене и отсортировке в войсках вследствие вредительства (подсчет сделан на основании материалов АУ)</w:t>
      </w:r>
    </w:p>
    <w:p w14:paraId="5FE16CE0" w14:textId="77777777" w:rsidR="00DA14E0" w:rsidRPr="00A259BD" w:rsidRDefault="00DA14E0" w:rsidP="009236E3">
      <w:pPr>
        <w:pStyle w:val="rtejustify"/>
        <w:spacing w:before="0" w:after="0"/>
        <w:rPr>
          <w:color w:val="000000" w:themeColor="text1"/>
          <w:sz w:val="16"/>
          <w:szCs w:val="16"/>
        </w:rPr>
      </w:pPr>
      <w:r w:rsidRPr="00A259BD">
        <w:rPr>
          <w:color w:val="000000" w:themeColor="text1"/>
          <w:sz w:val="16"/>
          <w:szCs w:val="16"/>
        </w:rPr>
        <w:t xml:space="preserve">Вопрос в ближайшие дни будет уточнен в отношении заказа на запасные </w:t>
      </w:r>
      <w:proofErr w:type="spellStart"/>
      <w:r w:rsidRPr="00A259BD">
        <w:rPr>
          <w:color w:val="000000" w:themeColor="text1"/>
          <w:sz w:val="16"/>
          <w:szCs w:val="16"/>
        </w:rPr>
        <w:t>пульчасти</w:t>
      </w:r>
      <w:proofErr w:type="spellEnd"/>
      <w:r w:rsidRPr="00A259BD">
        <w:rPr>
          <w:color w:val="000000" w:themeColor="text1"/>
          <w:sz w:val="16"/>
          <w:szCs w:val="16"/>
        </w:rPr>
        <w:t>, чтобы во всем запасе материальной части в войсках произвести замену «вредительских частей».</w:t>
      </w:r>
    </w:p>
    <w:p w14:paraId="661ABFA3" w14:textId="77777777" w:rsidR="00DA14E0" w:rsidRPr="00A259BD" w:rsidRDefault="00DA14E0"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Начальник вооружений РККА </w:t>
      </w:r>
      <w:hyperlink r:id="rId330" w:history="1">
        <w:r w:rsidRPr="00A259BD">
          <w:rPr>
            <w:rStyle w:val="af0"/>
            <w:i w:val="0"/>
            <w:color w:val="000000" w:themeColor="text1"/>
            <w:sz w:val="16"/>
            <w:szCs w:val="16"/>
          </w:rPr>
          <w:t>Уборевич</w:t>
        </w:r>
      </w:hyperlink>
    </w:p>
    <w:p w14:paraId="2B36D07E" w14:textId="77777777" w:rsidR="00DA14E0" w:rsidRPr="00A259BD" w:rsidRDefault="00DA14E0" w:rsidP="009236E3">
      <w:pPr>
        <w:pStyle w:val="ae"/>
        <w:spacing w:before="0" w:after="0"/>
        <w:jc w:val="both"/>
        <w:rPr>
          <w:color w:val="000000" w:themeColor="text1"/>
          <w:sz w:val="16"/>
          <w:szCs w:val="16"/>
        </w:rPr>
      </w:pPr>
      <w:r w:rsidRPr="00A259BD">
        <w:rPr>
          <w:color w:val="000000" w:themeColor="text1"/>
          <w:sz w:val="16"/>
          <w:szCs w:val="16"/>
        </w:rPr>
        <w:t>РГАСПИ. Ф. 85. Оп. 1. Д. 50. Л. 50-52. Заверенная копия.</w:t>
      </w:r>
    </w:p>
    <w:p w14:paraId="70E94A69"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РГАСПИ. Ф. 85. Оп. 1. Д. 50. Л. 50-52. Заверенная копия. </w:t>
      </w:r>
    </w:p>
    <w:p w14:paraId="40D899C7"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392-393 (12482).</w:t>
      </w:r>
    </w:p>
    <w:p w14:paraId="5090360B" w14:textId="77777777" w:rsidR="00DA14E0" w:rsidRPr="00A259BD" w:rsidRDefault="00DA14E0" w:rsidP="009236E3">
      <w:pPr>
        <w:spacing w:after="0" w:line="240" w:lineRule="auto"/>
        <w:jc w:val="both"/>
        <w:rPr>
          <w:rFonts w:ascii="Times New Roman" w:hAnsi="Times New Roman"/>
          <w:color w:val="000000" w:themeColor="text1"/>
          <w:sz w:val="16"/>
          <w:szCs w:val="16"/>
        </w:rPr>
      </w:pPr>
    </w:p>
    <w:p w14:paraId="2520B2CE" w14:textId="77777777" w:rsidR="004D74AB" w:rsidRPr="00A259BD" w:rsidRDefault="004D74AB"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shd w:val="clear" w:color="auto" w:fill="FFFFFF"/>
        </w:rPr>
        <w:t xml:space="preserve">16 декабря 1929 года решение </w:t>
      </w:r>
      <w:proofErr w:type="spellStart"/>
      <w:r w:rsidRPr="00A259BD">
        <w:rPr>
          <w:rFonts w:ascii="Times New Roman" w:hAnsi="Times New Roman"/>
          <w:color w:val="000000" w:themeColor="text1"/>
          <w:sz w:val="16"/>
          <w:szCs w:val="16"/>
          <w:shd w:val="clear" w:color="auto" w:fill="FFFFFF"/>
        </w:rPr>
        <w:t>Халепского</w:t>
      </w:r>
      <w:proofErr w:type="spellEnd"/>
      <w:r w:rsidRPr="00A259BD">
        <w:rPr>
          <w:rFonts w:ascii="Times New Roman" w:hAnsi="Times New Roman"/>
          <w:color w:val="000000" w:themeColor="text1"/>
          <w:sz w:val="16"/>
          <w:szCs w:val="16"/>
          <w:shd w:val="clear" w:color="auto" w:fill="FFFFFF"/>
        </w:rPr>
        <w:t xml:space="preserve"> о закупке образцов военной техники за рубежом, дабы использовать их как образцы для советских танков было одобрено Ворошиловым. При этом оговаривалось, что покупались не просто образцы, но и техническая документация. Спектр закупаемых боевых машин был широким. Наибольшим приоритетом являлось сотрудничество с </w:t>
      </w:r>
      <w:proofErr w:type="spellStart"/>
      <w:r w:rsidRPr="00A259BD">
        <w:rPr>
          <w:rFonts w:ascii="Times New Roman" w:hAnsi="Times New Roman"/>
          <w:color w:val="000000" w:themeColor="text1"/>
          <w:sz w:val="16"/>
          <w:szCs w:val="16"/>
          <w:shd w:val="clear" w:color="auto" w:fill="FFFFFF"/>
        </w:rPr>
        <w:t>Vickers-Armstrongs</w:t>
      </w:r>
      <w:proofErr w:type="spellEnd"/>
      <w:r w:rsidRPr="00A259BD">
        <w:rPr>
          <w:rFonts w:ascii="Times New Roman" w:hAnsi="Times New Roman"/>
          <w:color w:val="000000" w:themeColor="text1"/>
          <w:sz w:val="16"/>
          <w:szCs w:val="16"/>
          <w:shd w:val="clear" w:color="auto" w:fill="FFFFFF"/>
        </w:rPr>
        <w:t>, на тот момент наиболее интересной, с точки зрения разработок, компании. Прорабатывался вопрос закупки военной техники во Франции, Чехословакии, Германии, имелись планы и по США. Приоритетным направлением являлись колесно-гусеничные танки, как имеющие наилучшую подвижность (20375). </w:t>
      </w:r>
    </w:p>
    <w:p w14:paraId="727840A8" w14:textId="77777777" w:rsidR="004D74AB" w:rsidRPr="00A259BD" w:rsidRDefault="004D74AB" w:rsidP="009236E3">
      <w:pPr>
        <w:shd w:val="clear" w:color="auto" w:fill="FFFFFF"/>
        <w:spacing w:after="0" w:line="240" w:lineRule="auto"/>
        <w:jc w:val="both"/>
        <w:rPr>
          <w:rFonts w:ascii="Times New Roman" w:hAnsi="Times New Roman"/>
          <w:color w:val="000000" w:themeColor="text1"/>
          <w:sz w:val="16"/>
          <w:szCs w:val="16"/>
        </w:rPr>
      </w:pPr>
    </w:p>
    <w:p w14:paraId="47761A2A" w14:textId="77777777" w:rsidR="00E660B6" w:rsidRPr="00A259BD" w:rsidRDefault="00E660B6" w:rsidP="009236E3">
      <w:pPr>
        <w:spacing w:after="0" w:line="240" w:lineRule="auto"/>
        <w:jc w:val="both"/>
        <w:rPr>
          <w:rFonts w:ascii="Times New Roman" w:hAnsi="Times New Roman"/>
          <w:color w:val="000000" w:themeColor="text1"/>
          <w:sz w:val="16"/>
          <w:szCs w:val="16"/>
        </w:rPr>
      </w:pPr>
      <w:r w:rsidRPr="00A259BD">
        <w:rPr>
          <w:rFonts w:ascii="Times New Roman" w:eastAsia="Times New Roman" w:hAnsi="Times New Roman"/>
          <w:color w:val="000000" w:themeColor="text1"/>
          <w:sz w:val="16"/>
          <w:szCs w:val="16"/>
          <w:lang w:eastAsia="ru-RU"/>
        </w:rPr>
        <w:t>16 декабря 1929 г.</w:t>
      </w:r>
    </w:p>
    <w:p w14:paraId="18D692C1" w14:textId="77777777" w:rsidR="00E660B6" w:rsidRPr="00A259BD"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bCs/>
          <w:iCs/>
          <w:color w:val="000000" w:themeColor="text1"/>
          <w:sz w:val="16"/>
          <w:szCs w:val="16"/>
          <w:lang w:eastAsia="ru-RU"/>
        </w:rPr>
        <w:t>РГВА Фонд 31811 Опись 1 Дело 38 лист 4</w:t>
      </w:r>
    </w:p>
    <w:p w14:paraId="7AC8B340" w14:textId="77777777" w:rsidR="00E660B6" w:rsidRPr="00A259BD"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iCs/>
          <w:color w:val="000000" w:themeColor="text1"/>
          <w:sz w:val="16"/>
          <w:szCs w:val="16"/>
          <w:lang w:eastAsia="ru-RU"/>
        </w:rPr>
        <w:t xml:space="preserve">[Документ на бланке Управления делами </w:t>
      </w:r>
      <w:proofErr w:type="spellStart"/>
      <w:r w:rsidRPr="00A259BD">
        <w:rPr>
          <w:rFonts w:ascii="Times New Roman" w:eastAsia="Times New Roman" w:hAnsi="Times New Roman"/>
          <w:iCs/>
          <w:color w:val="000000" w:themeColor="text1"/>
          <w:sz w:val="16"/>
          <w:szCs w:val="16"/>
          <w:lang w:eastAsia="ru-RU"/>
        </w:rPr>
        <w:t>НКВиМД</w:t>
      </w:r>
      <w:proofErr w:type="spellEnd"/>
      <w:r w:rsidRPr="00A259BD">
        <w:rPr>
          <w:rFonts w:ascii="Times New Roman" w:eastAsia="Times New Roman" w:hAnsi="Times New Roman"/>
          <w:iCs/>
          <w:color w:val="000000" w:themeColor="text1"/>
          <w:sz w:val="16"/>
          <w:szCs w:val="16"/>
          <w:lang w:eastAsia="ru-RU"/>
        </w:rPr>
        <w:t xml:space="preserve"> и РВС СССР]</w:t>
      </w:r>
      <w:r w:rsidRPr="00A259BD">
        <w:rPr>
          <w:rFonts w:ascii="Times New Roman" w:eastAsia="Times New Roman" w:hAnsi="Times New Roman"/>
          <w:color w:val="000000" w:themeColor="text1"/>
          <w:sz w:val="16"/>
          <w:szCs w:val="16"/>
          <w:lang w:eastAsia="ru-RU"/>
        </w:rPr>
        <w:t xml:space="preserve"> </w:t>
      </w:r>
    </w:p>
    <w:p w14:paraId="0091A6D9" w14:textId="77777777" w:rsidR="00E660B6" w:rsidRPr="00A259BD"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СОВЕРШЕННО СЕКРЕТНО </w:t>
      </w:r>
    </w:p>
    <w:p w14:paraId="6EBA8B66" w14:textId="77777777" w:rsidR="00E660B6" w:rsidRPr="00A259BD"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16 декабря 1929 г. </w:t>
      </w:r>
    </w:p>
    <w:p w14:paraId="0582CD95" w14:textId="77777777" w:rsidR="00E660B6" w:rsidRPr="00A259BD"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 0/1612 </w:t>
      </w:r>
    </w:p>
    <w:p w14:paraId="06158002" w14:textId="77777777" w:rsidR="00E660B6" w:rsidRPr="00A259BD"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Тов. ХАЛЕПСКОМУ</w:t>
      </w:r>
    </w:p>
    <w:p w14:paraId="01DC8D05" w14:textId="77777777" w:rsidR="00E660B6" w:rsidRPr="00A259BD"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Пред. РВС приказал: </w:t>
      </w:r>
    </w:p>
    <w:p w14:paraId="051AA674" w14:textId="77777777" w:rsidR="00E660B6" w:rsidRPr="00A259BD"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1. Выехать Вам заграницу совместно с т. </w:t>
      </w:r>
      <w:proofErr w:type="spellStart"/>
      <w:r w:rsidRPr="00A259BD">
        <w:rPr>
          <w:rFonts w:ascii="Times New Roman" w:eastAsia="Times New Roman" w:hAnsi="Times New Roman"/>
          <w:color w:val="000000" w:themeColor="text1"/>
          <w:sz w:val="16"/>
          <w:szCs w:val="16"/>
          <w:lang w:eastAsia="ru-RU"/>
        </w:rPr>
        <w:t>Будняком</w:t>
      </w:r>
      <w:proofErr w:type="spellEnd"/>
      <w:r w:rsidRPr="00A259BD">
        <w:rPr>
          <w:rFonts w:ascii="Times New Roman" w:eastAsia="Times New Roman" w:hAnsi="Times New Roman"/>
          <w:color w:val="000000" w:themeColor="text1"/>
          <w:sz w:val="16"/>
          <w:szCs w:val="16"/>
          <w:lang w:eastAsia="ru-RU"/>
        </w:rPr>
        <w:t xml:space="preserve"> и тремя инженерами не позднее 20 декабря. </w:t>
      </w:r>
    </w:p>
    <w:p w14:paraId="6A705501" w14:textId="77777777" w:rsidR="00E660B6" w:rsidRPr="00A259BD"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2. До отъезда совместно с т. </w:t>
      </w:r>
      <w:proofErr w:type="spellStart"/>
      <w:r w:rsidRPr="00A259BD">
        <w:rPr>
          <w:rFonts w:ascii="Times New Roman" w:eastAsia="Times New Roman" w:hAnsi="Times New Roman"/>
          <w:color w:val="000000" w:themeColor="text1"/>
          <w:sz w:val="16"/>
          <w:szCs w:val="16"/>
          <w:lang w:eastAsia="ru-RU"/>
        </w:rPr>
        <w:t>Будняком</w:t>
      </w:r>
      <w:proofErr w:type="spellEnd"/>
      <w:r w:rsidRPr="00A259BD">
        <w:rPr>
          <w:rFonts w:ascii="Times New Roman" w:eastAsia="Times New Roman" w:hAnsi="Times New Roman"/>
          <w:color w:val="000000" w:themeColor="text1"/>
          <w:sz w:val="16"/>
          <w:szCs w:val="16"/>
          <w:lang w:eastAsia="ru-RU"/>
        </w:rPr>
        <w:t xml:space="preserve"> и т. Берзиным, а также с ответственными работниками </w:t>
      </w:r>
      <w:proofErr w:type="spellStart"/>
      <w:r w:rsidRPr="00A259BD">
        <w:rPr>
          <w:rFonts w:ascii="Times New Roman" w:eastAsia="Times New Roman" w:hAnsi="Times New Roman"/>
          <w:color w:val="000000" w:themeColor="text1"/>
          <w:sz w:val="16"/>
          <w:szCs w:val="16"/>
          <w:lang w:eastAsia="ru-RU"/>
        </w:rPr>
        <w:t>Наркомторга</w:t>
      </w:r>
      <w:proofErr w:type="spellEnd"/>
      <w:r w:rsidRPr="00A259BD">
        <w:rPr>
          <w:rFonts w:ascii="Times New Roman" w:eastAsia="Times New Roman" w:hAnsi="Times New Roman"/>
          <w:color w:val="000000" w:themeColor="text1"/>
          <w:sz w:val="16"/>
          <w:szCs w:val="16"/>
          <w:lang w:eastAsia="ru-RU"/>
        </w:rPr>
        <w:t xml:space="preserve"> и НКИД разработать конкретный план поездки и план закупок, и представить ему на утверждение. </w:t>
      </w:r>
    </w:p>
    <w:p w14:paraId="727A0648" w14:textId="77777777" w:rsidR="00E660B6" w:rsidRPr="00A259BD"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3. Деньги дает ВСНХ. Вам надо это уточнить с т. </w:t>
      </w:r>
      <w:proofErr w:type="spellStart"/>
      <w:r w:rsidRPr="00A259BD">
        <w:rPr>
          <w:rFonts w:ascii="Times New Roman" w:eastAsia="Times New Roman" w:hAnsi="Times New Roman"/>
          <w:color w:val="000000" w:themeColor="text1"/>
          <w:sz w:val="16"/>
          <w:szCs w:val="16"/>
          <w:lang w:eastAsia="ru-RU"/>
        </w:rPr>
        <w:t>Будняком</w:t>
      </w:r>
      <w:proofErr w:type="spellEnd"/>
      <w:r w:rsidRPr="00A259BD">
        <w:rPr>
          <w:rFonts w:ascii="Times New Roman" w:eastAsia="Times New Roman" w:hAnsi="Times New Roman"/>
          <w:color w:val="000000" w:themeColor="text1"/>
          <w:sz w:val="16"/>
          <w:szCs w:val="16"/>
          <w:lang w:eastAsia="ru-RU"/>
        </w:rPr>
        <w:t xml:space="preserve">. </w:t>
      </w:r>
    </w:p>
    <w:p w14:paraId="4E4FDD89" w14:textId="77777777" w:rsidR="00E660B6" w:rsidRPr="00A259BD"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4. Срок Вашей командировки 2 – 3 месяца. </w:t>
      </w:r>
    </w:p>
    <w:p w14:paraId="68F2A177" w14:textId="77777777" w:rsidR="00E660B6" w:rsidRPr="00A259BD" w:rsidRDefault="00E660B6"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СЕКРЕТАРЬ РВС СОЮЗА подпись (</w:t>
      </w:r>
      <w:proofErr w:type="spellStart"/>
      <w:r w:rsidRPr="00A259BD">
        <w:rPr>
          <w:rFonts w:ascii="Times New Roman" w:eastAsia="Times New Roman" w:hAnsi="Times New Roman"/>
          <w:color w:val="000000" w:themeColor="text1"/>
          <w:sz w:val="16"/>
          <w:szCs w:val="16"/>
          <w:lang w:eastAsia="ru-RU"/>
        </w:rPr>
        <w:t>Литуновский</w:t>
      </w:r>
      <w:proofErr w:type="spellEnd"/>
      <w:r w:rsidRPr="00A259BD">
        <w:rPr>
          <w:rFonts w:ascii="Times New Roman" w:eastAsia="Times New Roman" w:hAnsi="Times New Roman"/>
          <w:color w:val="000000" w:themeColor="text1"/>
          <w:sz w:val="16"/>
          <w:szCs w:val="16"/>
          <w:lang w:eastAsia="ru-RU"/>
        </w:rPr>
        <w:t>) (19743).</w:t>
      </w:r>
    </w:p>
    <w:p w14:paraId="3F29441F" w14:textId="77777777" w:rsidR="00E660B6" w:rsidRPr="00A259BD" w:rsidRDefault="00E660B6" w:rsidP="009236E3">
      <w:pPr>
        <w:spacing w:after="0" w:line="240" w:lineRule="auto"/>
        <w:jc w:val="both"/>
        <w:rPr>
          <w:rFonts w:ascii="Times New Roman" w:eastAsia="Times New Roman" w:hAnsi="Times New Roman"/>
          <w:color w:val="000000" w:themeColor="text1"/>
          <w:sz w:val="16"/>
          <w:szCs w:val="16"/>
          <w:lang w:eastAsia="ru-RU"/>
        </w:rPr>
      </w:pPr>
    </w:p>
    <w:p w14:paraId="2D2736B3"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16 декабря 1929 </w:t>
      </w:r>
      <w:r w:rsidRPr="00A259BD">
        <w:rPr>
          <w:rFonts w:ascii="Times New Roman" w:hAnsi="Times New Roman"/>
          <w:color w:val="000000" w:themeColor="text1"/>
          <w:sz w:val="16"/>
          <w:szCs w:val="16"/>
        </w:rPr>
        <w:t>ЦИК н СНК приняли постановление «О распределении прибылей государственных промышленных трестов и о порядке взноса отчислений от этих прибылей в доход государства» (12265).</w:t>
      </w:r>
    </w:p>
    <w:p w14:paraId="546A37E9" w14:textId="77777777" w:rsidR="00DA14E0" w:rsidRPr="00A259BD" w:rsidRDefault="00DA14E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09EFB90B"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4C9A94D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14CDE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 декабря 1929 английский дирижабль R.100 впервые поднялся в небо. Каркас дирижабля R.100 был сделан целиком из дюраля и по принципам и методам конструирования </w:t>
      </w:r>
      <w:proofErr w:type="spellStart"/>
      <w:r w:rsidRPr="00A259BD">
        <w:rPr>
          <w:rFonts w:ascii="Times New Roman" w:hAnsi="Times New Roman"/>
          <w:color w:val="000000" w:themeColor="text1"/>
          <w:sz w:val="16"/>
          <w:szCs w:val="16"/>
        </w:rPr>
        <w:t>цеппелиновского</w:t>
      </w:r>
      <w:proofErr w:type="spellEnd"/>
      <w:r w:rsidRPr="00A259BD">
        <w:rPr>
          <w:rFonts w:ascii="Times New Roman" w:hAnsi="Times New Roman"/>
          <w:color w:val="000000" w:themeColor="text1"/>
          <w:sz w:val="16"/>
          <w:szCs w:val="16"/>
        </w:rPr>
        <w:t xml:space="preserve"> типа дирижаблей. Однако между конструкциями R.100 и обычного цеппелина имелись значительные отличия.</w:t>
      </w:r>
    </w:p>
    <w:p w14:paraId="5D05E7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Форма R. 100 мало отличалась от первоначальной формы R.101 (без цилиндрической вставки). Дирижабль R.100 предназначался для пассажирских сообщений. Помещения для пассажиров так же, как и в R.101, располагались внутри каркаса дирижабля; наружу выступала только находящаяся под пассажирским помещением сравнительно небольшая гондола управления и подвешенные к каркасу 3 моторные гондолы. Пассажирские помещения находились на трех этажах в передней части корабля, на значительном расстоянии от моторов, между 5-м и 6-м шпангоутами. Нижний этаж, расположенный непосредственно над гондолой, предназначался для размещения экипажа, два других этажа — для пассажиров. В среднем [293] этаже находилась большая столовая на 56 мест. С обеих сторон столовой шли палубы для прогулок. Такие же палубы для прогулок имелись и на верхнем этаже. Каюты для пассажиров помещались на обоих этажах. Всего имелось 32 каюты, предназначенные для 100 пассажиров. </w:t>
      </w:r>
    </w:p>
    <w:p w14:paraId="46922D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 время стоянки корабля на причальной мачте пассажиры попадали в свои помещения внутри каркаса через люк с откидным мостиком в передней части дирижабля и далее по коридору, тянущемуся внизу внутри каркаса. </w:t>
      </w:r>
    </w:p>
    <w:p w14:paraId="70DCD0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Моторных гондол было всего 3; они находились за миделевым сечением, ближе к корме. В каждой из них были установлены по 2 мотора Роллс-Ройс “Кондор”, мощностью по 660 л. с. каждый. Моторы располагались: один в передней, другой в задней части гондолы. Соответственно были и винты — тянущий и толкающий. </w:t>
      </w:r>
    </w:p>
    <w:p w14:paraId="6244EE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 проектировании R.100 выяснялся вопрос, что именно является более выгодным: шесть отдельных гондол с одним мотором в каждой или три моторных гондолы с двумя моторами. В последнем случае коэффициент полезного действия заднего винта, работающего в струе переднего винта, меньше. В то же время увеличение веса при установке шести гондол вместо трех, а также необходимость иметь при этом лишних механиков в значительной мере компенсировали недостаток установки двух моторов в одной гондоле. Задние двигатели каждой гондолы снабжались механизмом реверса, позволявшим изменять направление вращения винта. </w:t>
      </w:r>
    </w:p>
    <w:p w14:paraId="096E0F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испытаниях R.100 достиг максимальной скорости 132 км/ч и показал себя в целом хорошо. Вершиной его карьеры стал двойной [294] перелет Атлантического океана из </w:t>
      </w:r>
      <w:proofErr w:type="spellStart"/>
      <w:r w:rsidRPr="00A259BD">
        <w:rPr>
          <w:rFonts w:ascii="Times New Roman" w:hAnsi="Times New Roman"/>
          <w:color w:val="000000" w:themeColor="text1"/>
          <w:sz w:val="16"/>
          <w:szCs w:val="16"/>
        </w:rPr>
        <w:t>Кардингтона</w:t>
      </w:r>
      <w:proofErr w:type="spellEnd"/>
      <w:r w:rsidRPr="00A259BD">
        <w:rPr>
          <w:rFonts w:ascii="Times New Roman" w:hAnsi="Times New Roman"/>
          <w:color w:val="000000" w:themeColor="text1"/>
          <w:sz w:val="16"/>
          <w:szCs w:val="16"/>
        </w:rPr>
        <w:t xml:space="preserve"> в Монреаль и обратно, совершенный в августе 1930 года. В том полете на его борту находилось 38 человек экипажа и 44 пассажира. На подходе к Монреалю дирижабль благополучно преодолел полосу сильных грозовых шквалов, причем в полете был произведен ремонт сорванной обтяжки руля высоты. Путешествие в Канаду длилось 78 часов, а обратный полет, благодаря сильному попутному ветру, сократился до 58 часов. Во время этого перелета были проверены технические качества корабля. Такие впечатляющие результаты еще больше укрепили мнение сторонников дирижаблей в счастливом будущем британского воздухоплавательного транспорта. Ускоренными темпами строились аэродромы и причальные вышки в Исмаилии (Египет), в Карачи (Индия), в Сент-Губерте (Канада) и в </w:t>
      </w:r>
      <w:proofErr w:type="spellStart"/>
      <w:r w:rsidRPr="00A259BD">
        <w:rPr>
          <w:rFonts w:ascii="Times New Roman" w:hAnsi="Times New Roman"/>
          <w:color w:val="000000" w:themeColor="text1"/>
          <w:sz w:val="16"/>
          <w:szCs w:val="16"/>
        </w:rPr>
        <w:t>Гроутвилле</w:t>
      </w:r>
      <w:proofErr w:type="spellEnd"/>
      <w:r w:rsidRPr="00A259BD">
        <w:rPr>
          <w:rFonts w:ascii="Times New Roman" w:hAnsi="Times New Roman"/>
          <w:color w:val="000000" w:themeColor="text1"/>
          <w:sz w:val="16"/>
          <w:szCs w:val="16"/>
        </w:rPr>
        <w:t xml:space="preserve"> и Дурбане (Южная Африка) (11324).</w:t>
      </w:r>
    </w:p>
    <w:p w14:paraId="5E4C7E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C89A4D" w14:textId="77777777" w:rsidR="00325881" w:rsidRPr="00A259BD" w:rsidRDefault="003258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16 декабря 1929 британский дирижабль R100 совершил свой первый полет из </w:t>
      </w:r>
      <w:proofErr w:type="spellStart"/>
      <w:r w:rsidRPr="00A259BD">
        <w:rPr>
          <w:rFonts w:ascii="Times New Roman" w:hAnsi="Times New Roman"/>
          <w:color w:val="000000" w:themeColor="text1"/>
          <w:sz w:val="16"/>
          <w:szCs w:val="16"/>
        </w:rPr>
        <w:t>Хоудна</w:t>
      </w:r>
      <w:proofErr w:type="spellEnd"/>
      <w:r w:rsidRPr="00A259BD">
        <w:rPr>
          <w:rFonts w:ascii="Times New Roman" w:hAnsi="Times New Roman"/>
          <w:color w:val="000000" w:themeColor="text1"/>
          <w:sz w:val="16"/>
          <w:szCs w:val="16"/>
        </w:rPr>
        <w:t xml:space="preserve"> в </w:t>
      </w:r>
      <w:proofErr w:type="spellStart"/>
      <w:r w:rsidRPr="00A259BD">
        <w:rPr>
          <w:rFonts w:ascii="Times New Roman" w:hAnsi="Times New Roman"/>
          <w:color w:val="000000" w:themeColor="text1"/>
          <w:sz w:val="16"/>
          <w:szCs w:val="16"/>
        </w:rPr>
        <w:t>Cardington</w:t>
      </w:r>
      <w:proofErr w:type="spellEnd"/>
      <w:r w:rsidRPr="00A259BD">
        <w:rPr>
          <w:rFonts w:ascii="Times New Roman" w:hAnsi="Times New Roman"/>
          <w:color w:val="000000" w:themeColor="text1"/>
          <w:sz w:val="16"/>
          <w:szCs w:val="16"/>
        </w:rPr>
        <w:t>, Англия (20806).</w:t>
      </w:r>
    </w:p>
    <w:p w14:paraId="0BD463C0" w14:textId="77777777" w:rsidR="00325881" w:rsidRPr="00A259BD" w:rsidRDefault="00325881" w:rsidP="009236E3">
      <w:pPr>
        <w:spacing w:after="0" w:line="240" w:lineRule="auto"/>
        <w:jc w:val="both"/>
        <w:rPr>
          <w:rFonts w:ascii="Times New Roman" w:hAnsi="Times New Roman"/>
          <w:color w:val="000000" w:themeColor="text1"/>
          <w:sz w:val="16"/>
          <w:szCs w:val="16"/>
        </w:rPr>
      </w:pPr>
    </w:p>
    <w:p w14:paraId="6E03862D" w14:textId="77777777" w:rsidR="00325881" w:rsidRPr="00A259BD" w:rsidRDefault="003258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 декабря 1929 - Первый полет британского жесткого дирижабля R100. Проектную группу возглавлял Барнс Уоллис, позже известный своим изобретением прыгающей бомбы (22701).</w:t>
      </w:r>
    </w:p>
    <w:p w14:paraId="183F6CDA" w14:textId="77777777" w:rsidR="00325881" w:rsidRPr="00A259BD" w:rsidRDefault="00325881" w:rsidP="009236E3">
      <w:pPr>
        <w:spacing w:after="0" w:line="240" w:lineRule="auto"/>
        <w:jc w:val="both"/>
        <w:rPr>
          <w:rFonts w:ascii="Times New Roman" w:hAnsi="Times New Roman"/>
          <w:color w:val="000000" w:themeColor="text1"/>
          <w:sz w:val="16"/>
          <w:szCs w:val="16"/>
        </w:rPr>
      </w:pPr>
    </w:p>
    <w:p w14:paraId="37A42D3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067F25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EC9FA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декабря 1930 года были подготовлены Тактические требования к самолетам ВВС</w:t>
      </w:r>
    </w:p>
    <w:p w14:paraId="459658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Корпусной разведчик (он же корректировщик АРГК).</w:t>
      </w:r>
    </w:p>
    <w:p w14:paraId="33D62E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Назначение:</w:t>
      </w:r>
    </w:p>
    <w:p w14:paraId="3ABA7D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разведка войскового тыла противника и поля боя;</w:t>
      </w:r>
    </w:p>
    <w:p w14:paraId="1F5F80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наблюдение за полем боя, поддержание связи между колоннами на марше, корректирование артогня артиллерии;</w:t>
      </w:r>
    </w:p>
    <w:p w14:paraId="2DD777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агитационная служба;</w:t>
      </w:r>
    </w:p>
    <w:p w14:paraId="3E1C24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постановка дымовых завес на земле.</w:t>
      </w:r>
    </w:p>
    <w:p w14:paraId="58B7F0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Условия работы:</w:t>
      </w:r>
    </w:p>
    <w:p w14:paraId="23A31D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 аэродромов близко расположенных к штабам корпусов и дивизий в целях наилучшей связи и возможности личного общения;</w:t>
      </w:r>
    </w:p>
    <w:p w14:paraId="43A40A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возможного (но не обязательного) противодействия истребительной авиации.</w:t>
      </w:r>
    </w:p>
    <w:p w14:paraId="07370D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Это требует минимальной посадочной скорости и сильного оборонительного вооружения. Работа с артиллерией в условиях противодействия истребительной авиации; требует разделения функций по наблюдению за землей и воздухом, т.е. наличия кроме наблюдателя и воздушного стрелка.</w:t>
      </w:r>
    </w:p>
    <w:p w14:paraId="660484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Дальность действия корпусной авиации - нормально - 2 - 3 перехода в тыл противника - от линии фронта до конечно-выгрузочной станции.</w:t>
      </w:r>
    </w:p>
    <w:p w14:paraId="566E49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Характер разведки - выяснение детального расположения противника, его передвижения по дорогам, расположения войсковых тылов и аэродромов (быстрая доставка и передача данных разведки безусловно обязательна). Высота применения не более 2000-3000 м. Для разведки объектов плохо различаемых днем (бивачные огни, вспышки выстрелов) возникает необходимость в выполнении ночных полетов.</w:t>
      </w:r>
    </w:p>
    <w:p w14:paraId="5FF951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Основные требования и их последовательность.</w:t>
      </w:r>
    </w:p>
    <w:p w14:paraId="7AB10C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Обзор и обстрел.</w:t>
      </w:r>
    </w:p>
    <w:p w14:paraId="752667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Минимальная посадочная скорость.</w:t>
      </w:r>
    </w:p>
    <w:p w14:paraId="5D4CD5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Горизонтальная скорость 2000 м - 200 км.</w:t>
      </w:r>
    </w:p>
    <w:p w14:paraId="67B34F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Радиус действия - 150 км.</w:t>
      </w:r>
    </w:p>
    <w:p w14:paraId="650DF5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Маневренность, скороподъемность и диапазон скоростей.</w:t>
      </w:r>
    </w:p>
    <w:p w14:paraId="639EE7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Потолок - 3500 - 4000 м.</w:t>
      </w:r>
    </w:p>
    <w:p w14:paraId="6225B6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Вооружение и оборудование.</w:t>
      </w:r>
    </w:p>
    <w:p w14:paraId="5BE1F7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Один скорострельный пулемет через винт, 2 - на турели у летчика наблюдателя, 1 орудие кал. 20 - 30 мм - у воздушного стрелка.</w:t>
      </w:r>
    </w:p>
    <w:p w14:paraId="06D0FE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второстепенных участках фронта потребуется увеличение нагрузки горючим за счет воздушного стрелка в целях выполнения самолетом задач по дальней разведке, до 5 часов.</w:t>
      </w:r>
    </w:p>
    <w:p w14:paraId="1ABD89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Возможность установки бомб (за счет воздушного стрелка) обязательна в целях применения корпусного разведчика для бомбардирования и штурмовых действий, что требует наличия быстро устанавливаемых бомбодержателей для бомб калибра 10-25 кг общим весом 160 кг.</w:t>
      </w:r>
    </w:p>
    <w:p w14:paraId="7462B7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w:t>
      </w:r>
    </w:p>
    <w:p w14:paraId="0A36C7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Конструкция 2-х моторного самолета из-за увеличения эксплуатационных затруднений и увеличения размеров в условиях работы с передовых аэродромов - нежелательна;</w:t>
      </w:r>
    </w:p>
    <w:p w14:paraId="729DDE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Для стратегической конницы, где корректирование артогня не вызывается необходимостью, потребуется другой тип самолета, обладающий качеством сочетания разведчика и истребителя.</w:t>
      </w:r>
    </w:p>
    <w:p w14:paraId="2D6AA2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Армейский разведчик - он же легкий бомбардировщик.</w:t>
      </w:r>
    </w:p>
    <w:p w14:paraId="6ED9F4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Назначение:</w:t>
      </w:r>
    </w:p>
    <w:p w14:paraId="3A763A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разведка тыла противника с целью выявления оперативных намерений противника (ж/д перебросок), инженерной подготовки театра;</w:t>
      </w:r>
    </w:p>
    <w:p w14:paraId="64AD1F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разведка объектов, намечаемой к бомбардированию легкой и тяжело- бомбардировочной авиацией;</w:t>
      </w:r>
    </w:p>
    <w:p w14:paraId="60AAB7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выполнение задач по бомбардированию войск и несложных сооружений и</w:t>
      </w:r>
    </w:p>
    <w:p w14:paraId="104F49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агитационная служба.</w:t>
      </w:r>
    </w:p>
    <w:p w14:paraId="4CBBDC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условия работы. Дальность действия армейского разведчика - 400 км от конечно-выгрузочных станций противника (2 суточных пробега); высота применения в целях безопасности от зенитной артиллерии противника 4000-5000 м. Наличие большого количества объектов и большая высота применения, требуют дополнения визуальной разведки фотографированием с больших высот. Дальность действия и противовоздушная оборона противника потребуют выполнения ночных полетов особенно в летнее время (вылет или посадка ночью).</w:t>
      </w:r>
    </w:p>
    <w:p w14:paraId="5E0ABA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Работа армейского разведчика будет протекать в условиях возможной встречи с истребительной авиацией противника, что требует летных данных, не намного уступающих истребительной авиации на высоте применения и сильного оборонительного вооружения.</w:t>
      </w:r>
    </w:p>
    <w:p w14:paraId="5C9A7C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требования:</w:t>
      </w:r>
    </w:p>
    <w:p w14:paraId="2D9436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Обзор и обстрел;</w:t>
      </w:r>
    </w:p>
    <w:p w14:paraId="29FFEF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Радиус действия - 650-750 км (для легкого бомбардировщика не менее 600 км);</w:t>
      </w:r>
    </w:p>
    <w:p w14:paraId="5A8EA3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Скороподъемность на 3000 м - 8-10 мин.;</w:t>
      </w:r>
    </w:p>
    <w:p w14:paraId="2D2F6B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Потолок 7000-7500 м (для бомбардировщика не менее 6000 м);</w:t>
      </w:r>
    </w:p>
    <w:p w14:paraId="0F375C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Горизонтальная скорость на 5000 м - 270-280 км/час;</w:t>
      </w:r>
    </w:p>
    <w:p w14:paraId="59D15E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Бомбовая нагрузка - 500 кг (для легкого бомбардировщика);</w:t>
      </w:r>
    </w:p>
    <w:p w14:paraId="501750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Минимальная посадочная скорость;</w:t>
      </w:r>
    </w:p>
    <w:p w14:paraId="29818C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Экипаж - 2 человека.</w:t>
      </w:r>
    </w:p>
    <w:p w14:paraId="69EA62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Вооружение:</w:t>
      </w:r>
    </w:p>
    <w:p w14:paraId="5FD93F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1-2 </w:t>
      </w:r>
      <w:proofErr w:type="spellStart"/>
      <w:r w:rsidRPr="00A259BD">
        <w:rPr>
          <w:rFonts w:ascii="Times New Roman" w:hAnsi="Times New Roman"/>
          <w:color w:val="000000" w:themeColor="text1"/>
          <w:sz w:val="16"/>
          <w:szCs w:val="16"/>
        </w:rPr>
        <w:t>скоростр</w:t>
      </w:r>
      <w:proofErr w:type="spellEnd"/>
      <w:r w:rsidRPr="00A259BD">
        <w:rPr>
          <w:rFonts w:ascii="Times New Roman" w:hAnsi="Times New Roman"/>
          <w:color w:val="000000" w:themeColor="text1"/>
          <w:sz w:val="16"/>
          <w:szCs w:val="16"/>
        </w:rPr>
        <w:t>. Пулемета через винт, 2 - на турели. Запас патронов должен обеспечить возможность неоднократного ведения боя. Бомбовая нагрузка - для действия по разным целям (калибр - 10-50, 100 кг) не менее 500 кг, повышающаяся за счет уменьшения горючего, за счет перегрузки - 2 пулемета на плоскостях.</w:t>
      </w:r>
    </w:p>
    <w:p w14:paraId="2C5871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 Развитие этого типа должно идти в сторону улучшения летных качеств (горизонтальной скорости, потолка) и одновременно бомбовой нагрузки.</w:t>
      </w:r>
    </w:p>
    <w:p w14:paraId="580C7C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Боевая авиация</w:t>
      </w:r>
    </w:p>
    <w:p w14:paraId="720EC9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Истребитель одноместный</w:t>
      </w:r>
    </w:p>
    <w:p w14:paraId="3C43D4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Назначение:</w:t>
      </w:r>
    </w:p>
    <w:p w14:paraId="114CAD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Наступательный воздушный бой с неприятельскими самолетами и аэростатами разных типов как на фронте, так и в своем тылу и противника;</w:t>
      </w:r>
    </w:p>
    <w:p w14:paraId="459C04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в некоторых благоприятных условиях обстановки - штурмовые действия;</w:t>
      </w:r>
    </w:p>
    <w:p w14:paraId="0D52EC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в условиях сильного противодействия истребительной авиации противника, иногда на истребителя могут быть возложены задачи по разведке и охранению передвижения крупных войсковых единиц (пехоты, кавалерии и артиллерии).</w:t>
      </w:r>
    </w:p>
    <w:p w14:paraId="414930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Условия работы.</w:t>
      </w:r>
    </w:p>
    <w:p w14:paraId="2FE47A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Истребительная авиация действует группами и соединениями в строях и порядках, обеспечивающих сомкнутость, хороший обзор и свободу маневрирования.</w:t>
      </w:r>
    </w:p>
    <w:p w14:paraId="6B2D46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Одноместный истребитель может выполнять свои задачи будучи уже в воздухе или вылетая по вызову с аэродрома, что требует большой вертикальной скорости.</w:t>
      </w:r>
    </w:p>
    <w:p w14:paraId="42ED33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Характер действия боевой авиации и огонь зенитной артиллерии требуют от истребителя большого потолка. Высота применения - 5000 - 6000 м с сохранением на этой высоте всех летных данных и качеств. Активный наступательный бой истребителя возможен благодаря качествам маневренности и мощности огня. Маневренность одноместного истребителя должна быть выше всех двух и многоместных самолетов. Обороноспособность и большая сфера обстрела многоместного самолета - требуют от истребителя мощного огня и с дальних дистанций.</w:t>
      </w:r>
    </w:p>
    <w:p w14:paraId="20E774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выхода из боя и для преследования истребитель должен обладать горизонтальной скоростью, превосходящей все остальные типы самолетов.</w:t>
      </w:r>
    </w:p>
    <w:p w14:paraId="6A7EF9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Нормальная продолжительность пребывания в воздухе - 2,5 - 3 часа.</w:t>
      </w:r>
    </w:p>
    <w:p w14:paraId="242CFE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Массирование истребительской авиации потребует ее переброски с одного участка фронта на другой. Это требует наличия горючего и смазочного на 5 час. полета на крейсерской скорости.</w:t>
      </w:r>
    </w:p>
    <w:p w14:paraId="6D1BA8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Тактические требования и их последовательность:</w:t>
      </w:r>
    </w:p>
    <w:p w14:paraId="59218C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Горизонтальная скорость - на 5000 м - 300-350 км/час</w:t>
      </w:r>
    </w:p>
    <w:p w14:paraId="7728F3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Скороподъемность - на 5000 м - 6-8 мин.</w:t>
      </w:r>
    </w:p>
    <w:p w14:paraId="78FF7E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Маневренность</w:t>
      </w:r>
    </w:p>
    <w:p w14:paraId="7CA1E8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Потолок - 8000-9500 м</w:t>
      </w:r>
    </w:p>
    <w:p w14:paraId="6A57B2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Радиус действия (на крейсерской скорости) - 350-400 км</w:t>
      </w:r>
    </w:p>
    <w:p w14:paraId="415C05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Емкость баков - 5 час. Полная нагрузка - 480 кг</w:t>
      </w:r>
    </w:p>
    <w:p w14:paraId="0238AC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Вооружение:</w:t>
      </w:r>
    </w:p>
    <w:p w14:paraId="534C68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2 пулемета для стрельбы через винт с патронами обыкновенными, разрывно-бронебойными, трассирующими и зажигательными. Для штурмовых действий должны быть установлены 2 пулемета на плоскостях. Для подвески осколочных бомб (80-100 кг) устанавливаются съемные бомбодержатели.</w:t>
      </w:r>
    </w:p>
    <w:p w14:paraId="354995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 Глубина нашего театра и удаленность наших наиболее важных экономических центров от границ позволяет нам отказаться от постройки спец. типов истребителей для обороны пунктов - перехватчиков с большой вертикальной скоростью за счет уменьшения горизонтальной, тем более, что вертикальная скорость будет увеличиваться одновременно с остальными летными данными.</w:t>
      </w:r>
    </w:p>
    <w:p w14:paraId="630216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Двухместный истребитель</w:t>
      </w:r>
    </w:p>
    <w:p w14:paraId="621D78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Назначение:</w:t>
      </w:r>
    </w:p>
    <w:p w14:paraId="1FA40C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Наступательный воздушный бой со всеми типами самолетов и аэростатов противника;</w:t>
      </w:r>
    </w:p>
    <w:p w14:paraId="7391D9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Обеспечение действий легкой и тяжелой бомбардировочной и штурмовой авиации от воздушного нападения;</w:t>
      </w:r>
    </w:p>
    <w:p w14:paraId="3D580D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воздушная и фотографическая разведка, а иногда и штурмовые действия по земным войскам;</w:t>
      </w:r>
    </w:p>
    <w:p w14:paraId="760116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совместные действия с конницей.</w:t>
      </w:r>
    </w:p>
    <w:p w14:paraId="22CD27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Условия работы:</w:t>
      </w:r>
    </w:p>
    <w:p w14:paraId="337708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Воздушный бой с одноместными истребителями требует летных качеств и данных, немного уступающих одноместному истребителю. Обеспечение действий других видов авиации требует увеличенной продолжительности полета (5 час.) и соответствующего диапазона горизонтальной скорости.</w:t>
      </w:r>
    </w:p>
    <w:p w14:paraId="788E51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Совместные действия с другими видами авиации и земными средствами противовоздушной обороны вызывает требование приспособленности к ночным полетам.</w:t>
      </w:r>
    </w:p>
    <w:p w14:paraId="06C904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Двухместный истребитель представляет преимущества в части возможности согласования своих действий с земными средствами противовоздушной обороны, прожекторами и т.п., в ночное время - ввиду возможности ведения огня на параллельных курсах.</w:t>
      </w:r>
    </w:p>
    <w:p w14:paraId="68B77D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Этот тип самолета как сочетающий качества разведчика и истребителя, явится наиболее удобным для совместных действий с конницей, что делает чрезвычайно важным требование минимальной посадочной скорости.</w:t>
      </w:r>
    </w:p>
    <w:p w14:paraId="62473A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Тактические требования и их последовательность:</w:t>
      </w:r>
    </w:p>
    <w:p w14:paraId="61AD09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Горизонтальная скорость - на 5000 м - 290-300 км/час</w:t>
      </w:r>
    </w:p>
    <w:p w14:paraId="466511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Маневренность</w:t>
      </w:r>
    </w:p>
    <w:p w14:paraId="2E6F0F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Скороподъемность - на 5000 м - 10-12 мин.</w:t>
      </w:r>
    </w:p>
    <w:p w14:paraId="75B30C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Радиус действия - 450-500 км</w:t>
      </w:r>
    </w:p>
    <w:p w14:paraId="70E6F0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Потолок - 8000 м</w:t>
      </w:r>
    </w:p>
    <w:p w14:paraId="669D2D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Большой диапазон скоростей и минимальная посадочная скорость.</w:t>
      </w:r>
    </w:p>
    <w:p w14:paraId="36F714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Продолжительность полета на крейсерской скорости 5 час.</w:t>
      </w:r>
    </w:p>
    <w:p w14:paraId="3FCE7F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Полная нагрузка - 750 кг.</w:t>
      </w:r>
    </w:p>
    <w:p w14:paraId="7007F4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Вооружение:</w:t>
      </w:r>
    </w:p>
    <w:p w14:paraId="7C46D5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пулемета через винт, 2 - на турели у пулеметчика, 2 - на плоскостях.</w:t>
      </w:r>
    </w:p>
    <w:p w14:paraId="4487F3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 2-х местные истребители, предназначенные для обороны пунктов должны иметь на турелях 1 орудие калибра 20-30 мм.</w:t>
      </w:r>
    </w:p>
    <w:p w14:paraId="2E88E8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Многоместный истребитель- воздушный крейсер</w:t>
      </w:r>
    </w:p>
    <w:p w14:paraId="554B76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Назначение:</w:t>
      </w:r>
    </w:p>
    <w:p w14:paraId="4AFD84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Охранение в воздухе легкой и тяжелой </w:t>
      </w:r>
      <w:proofErr w:type="spellStart"/>
      <w:r w:rsidRPr="00A259BD">
        <w:rPr>
          <w:rFonts w:ascii="Times New Roman" w:hAnsi="Times New Roman"/>
          <w:color w:val="000000" w:themeColor="text1"/>
          <w:sz w:val="16"/>
          <w:szCs w:val="16"/>
        </w:rPr>
        <w:t>бомбардировчной</w:t>
      </w:r>
      <w:proofErr w:type="spellEnd"/>
      <w:r w:rsidRPr="00A259BD">
        <w:rPr>
          <w:rFonts w:ascii="Times New Roman" w:hAnsi="Times New Roman"/>
          <w:color w:val="000000" w:themeColor="text1"/>
          <w:sz w:val="16"/>
          <w:szCs w:val="16"/>
        </w:rPr>
        <w:t xml:space="preserve"> авиации;</w:t>
      </w:r>
    </w:p>
    <w:p w14:paraId="7ABDF0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стратегическая разведка в интересах фронтового и армейского командования наиболее удаленных объектов и связь с дружественными и нейтральными странами;</w:t>
      </w:r>
    </w:p>
    <w:p w14:paraId="63C726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нападение на аэродромы.</w:t>
      </w:r>
    </w:p>
    <w:p w14:paraId="6A223C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Условия работы:</w:t>
      </w:r>
    </w:p>
    <w:p w14:paraId="3E87C6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Сопровождение и охранение бомбардировщиков требует сильного оборонительного вооружения (6-8-10 пулеметов) и большого радиуса действия. Разведка удаленных объектов потребует полета ночью.</w:t>
      </w:r>
    </w:p>
    <w:p w14:paraId="79E878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Условия ведения воздушного боя наряду с мощным вооружением требует и соответствующей маневренности и летных данных, немного уступающим двухместному истребителю.</w:t>
      </w:r>
    </w:p>
    <w:p w14:paraId="666B40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применения - 5000 - 6000 м, что требует сохранения всех летных данных на этой высоте.</w:t>
      </w:r>
    </w:p>
    <w:p w14:paraId="3B9FB1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Тактические требования и их последовательность:</w:t>
      </w:r>
    </w:p>
    <w:p w14:paraId="7866C5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Число мест - 4 - 5</w:t>
      </w:r>
    </w:p>
    <w:p w14:paraId="19A7C8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Радиус действия - 1000 км</w:t>
      </w:r>
    </w:p>
    <w:p w14:paraId="54CE94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Потолок - 7000 - 8000 м</w:t>
      </w:r>
    </w:p>
    <w:p w14:paraId="142C3E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Обстрел и обзор</w:t>
      </w:r>
    </w:p>
    <w:p w14:paraId="006843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Горизонтальная скорость на 5000 м - 280 км/час</w:t>
      </w:r>
    </w:p>
    <w:p w14:paraId="3AEB7F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Маневренность и скороподъемность на 5000 м - 15-18 мин.</w:t>
      </w:r>
    </w:p>
    <w:p w14:paraId="7775DC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Полная нагрузка - 2100 кг</w:t>
      </w:r>
    </w:p>
    <w:p w14:paraId="7F9A28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Вооружение:</w:t>
      </w:r>
    </w:p>
    <w:p w14:paraId="5805CB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6 - 8 пулеметов с обстрелом, приближающимся к сферическому; бомбовая нагрузка за счет горючего до 400 кг калибра 10 кг в кассетах или 100 кг на бомбодержателях.</w:t>
      </w:r>
    </w:p>
    <w:p w14:paraId="716B40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 Дальнейшее развитие вооружения этого типа ввиду его большой грузоподъемности, должно идти по пути установки на нем орудия 20-30 мм для борьбы с истребителями и бомбардировщиками на дальних дистанциях.</w:t>
      </w:r>
    </w:p>
    <w:p w14:paraId="3AA92A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Штурмовик</w:t>
      </w:r>
    </w:p>
    <w:p w14:paraId="06CA0B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Назначение:</w:t>
      </w:r>
    </w:p>
    <w:p w14:paraId="103A04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Непосредственное участие в земном бою как в наступательном, так и в оборонительном, ударами с воздуха по живой силе и техническими средствами противника (танкам и бронемашинам);</w:t>
      </w:r>
    </w:p>
    <w:p w14:paraId="1CBA7A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борьба с десантом противника в период его высадки на берег и нападения на транспорта;</w:t>
      </w:r>
    </w:p>
    <w:p w14:paraId="38FC81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атака аэродромов противника.</w:t>
      </w:r>
    </w:p>
    <w:p w14:paraId="4A0FB5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Зона действий штурмовой авиации - поле боя, войсковой тыл противника и его передовые и основные аэродромы.</w:t>
      </w:r>
    </w:p>
    <w:p w14:paraId="57AB7B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Условия работы:</w:t>
      </w:r>
    </w:p>
    <w:p w14:paraId="68A81B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Успех действия штурмовой авиации достигается ее массированием. Основной прием атаки земных целей - внезапное и быстрое появление над целью и атака ее на низкой высоте.</w:t>
      </w:r>
    </w:p>
    <w:p w14:paraId="1441C3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Штурмовые действия могут быть выполнены двухместным истребителем и легким бомбардировщиком, обладающими или мощностью пулеметного огня, или бомбовой нагрузкой и соответствующей горизонтальной скоростью.</w:t>
      </w:r>
    </w:p>
    <w:p w14:paraId="3A054D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Штурмовик же специального типа должен сочетать в целях наиболее мощного удара, достаточно мощный пулеметный огонь с значительной бомбовой нагрузкой и иметь усовершенствованные приборы химического нападения.</w:t>
      </w:r>
    </w:p>
    <w:p w14:paraId="7888BB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Работа в условиях мощного огневого воздействия с земли требует от штурмового самолета живучести в смысле его бронирования и одновременно значительной горизонтальной скорости и маневренности. Радиус действия штурмовика не больше 100-150 км с целью наиболее возможного увеличения боевой нагрузки.</w:t>
      </w:r>
    </w:p>
    <w:p w14:paraId="3095A6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Штурмовые задачи могут быть выполнены с успехом лишь при условии тесного взаимодействия с земными войсками, что достигается наилучше всего расположением в районе штабов, корпусов и аэродромной корпусной авиацией.</w:t>
      </w:r>
    </w:p>
    <w:p w14:paraId="782193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Значительная бомбовая нагрузка и мощное вооружение вызывает необходимость наличия для этой цели 2-х моторного самолета. Действия боевиков могут сопровождаться истребительной авиацией и обслуживаться разведкой войсковой и армейской разведывательной авиацией. На части самолетов должна быть предусмотрена установка радио в целях быстрейшего наведения штурмовиков на атакуемую цель, что очень важно при действиях против подвижных объектов. Возможность ночного применения штурмовиков против аэродромов требует приспособленности с ночным полетом. Маскировка от истребителей требует окраски (</w:t>
      </w:r>
      <w:proofErr w:type="spellStart"/>
      <w:r w:rsidRPr="00A259BD">
        <w:rPr>
          <w:rFonts w:ascii="Times New Roman" w:hAnsi="Times New Roman"/>
          <w:color w:val="000000" w:themeColor="text1"/>
          <w:sz w:val="16"/>
          <w:szCs w:val="16"/>
        </w:rPr>
        <w:t>комуфляжа</w:t>
      </w:r>
      <w:proofErr w:type="spellEnd"/>
      <w:r w:rsidRPr="00A259BD">
        <w:rPr>
          <w:rFonts w:ascii="Times New Roman" w:hAnsi="Times New Roman"/>
          <w:color w:val="000000" w:themeColor="text1"/>
          <w:sz w:val="16"/>
          <w:szCs w:val="16"/>
        </w:rPr>
        <w:t>) штурмовиков.</w:t>
      </w:r>
    </w:p>
    <w:p w14:paraId="3B1270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тактические требования и их последовательность:</w:t>
      </w:r>
    </w:p>
    <w:p w14:paraId="4D739D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Огневая мощь - 800-1000 кг (бомбы и приборы ВАП).</w:t>
      </w:r>
    </w:p>
    <w:p w14:paraId="6772A7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Горизонтальная скорость на высоте 2000 м - 220 км</w:t>
      </w:r>
    </w:p>
    <w:p w14:paraId="34923D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Посадочная скорость - как у корпусного разведчика</w:t>
      </w:r>
    </w:p>
    <w:p w14:paraId="695279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Маневренность</w:t>
      </w:r>
    </w:p>
    <w:p w14:paraId="1C1623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Потолок - 3-4000 м</w:t>
      </w:r>
    </w:p>
    <w:p w14:paraId="186A3F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Радиус действия - 150 км (с полной нагрузкой).</w:t>
      </w:r>
    </w:p>
    <w:p w14:paraId="3F0991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Полная нагрузка 2200 кг</w:t>
      </w:r>
    </w:p>
    <w:p w14:paraId="6D1B1E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Вооружение:</w:t>
      </w:r>
    </w:p>
    <w:p w14:paraId="4463E8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менее 4-х пулеметов и 1 орудия калибра 20-30 мм, установленных для стрельбы вперед по земным целям, 2 пулемета для обороны от воздушного противника и стрельбы по земным целям. Бомбовая нагрузка - 800-1000 кг бомб - приборы ВАП за счет бомбовой нагрузки. Калибр бомб - 10-50 и 100 кг и 1-2 кг рассеивающего типа.</w:t>
      </w:r>
    </w:p>
    <w:p w14:paraId="47DB1D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 Развитие этого типа должно идти в сторону увеличения горизонтальной скорости и бомбовой нагрузки (3863).</w:t>
      </w:r>
    </w:p>
    <w:p w14:paraId="3C1A42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Бомбардировщики (тяжелые).</w:t>
      </w:r>
    </w:p>
    <w:p w14:paraId="5669E5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Назначение:</w:t>
      </w:r>
    </w:p>
    <w:p w14:paraId="379C3D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Воздействие, разрушение и уничтожение объектов</w:t>
      </w:r>
    </w:p>
    <w:p w14:paraId="7FDE8E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Стратегического назначения, связанных и не связанных с текущей в данное время операцией, как-то политические и экономические центры, важные промышленные предприятия в общеэкономическом и военном отношении (военные и химические заводы, электростанции (шахты) и аэродромы;</w:t>
      </w:r>
    </w:p>
    <w:p w14:paraId="181798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Оперативного и тактического назначения (конечно-выгрузочные станции, пункты скопления войск, аэродромы, ж/д станции и мосты и т.п.), связанные непосредственно с ходом армейской операции.</w:t>
      </w:r>
    </w:p>
    <w:p w14:paraId="5C3F29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Эти объекты, как видно из перечня, по своей сопротивляемости, мертвые и неподвижные, живые и подвижные.</w:t>
      </w:r>
    </w:p>
    <w:p w14:paraId="7E1870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Мощные сооружения и объекты требуют ввода в дело крупных сил бомбардировочной авиации и увеличенной грузоподъемности самолетов, предназначенных для этой цели.</w:t>
      </w:r>
    </w:p>
    <w:p w14:paraId="0AB24E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Бомбардировочная авиация выполняет свои задачи, как днем, так и ночью. Ночной период позволяет применение самолетов, отличающихся худшими летными данными (потолок, горизонтальная скорость и маневренность), но с значительной грузоподъемностью.</w:t>
      </w:r>
    </w:p>
    <w:p w14:paraId="758518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Дневное бомбардирование связано с возможностью противодействия зенитной артиллерии и истребительной авиацией противника, что потребует достаточно высокого потолка, сильного вооружения и применения групповых полетов, обеспечивающих взаимную огневую поддержку.</w:t>
      </w:r>
    </w:p>
    <w:p w14:paraId="0DFCBE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Бомбардировочная авиация по существу будет иметь 2 резко выраженных типа - легкая и тяжелая, оба типа для дневных и ночных действий.</w:t>
      </w:r>
    </w:p>
    <w:p w14:paraId="3411EF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Условия работы:</w:t>
      </w:r>
    </w:p>
    <w:p w14:paraId="2F1AF1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Тяжелая бомбардировочная авиация при ее применении против значительно удаленных объектов, не во всякое время года сумеет выполнять свои задачи от начала до конца (полет к цели и возвращение) в ночное время. Это потребует сильного оборонительного вооружения или сопровождения их истребительной авиацией. Ночные групповые полеты будут затруднены.</w:t>
      </w:r>
    </w:p>
    <w:p w14:paraId="37BE10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Удаленность объектов и полет в ночное время требуют установки на бомбардировщиках радиостанций значительного радиуса действия для радиопеленгации.</w:t>
      </w:r>
    </w:p>
    <w:p w14:paraId="119CBC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Разнообразие объектов требует возможности подвески разного калибра бомб как для уничтожения живых целей (100 кг химического действия), так и калибра (50, 100, 250, 500 кг) - для разрушения неподвижных сооружений большой сопротивляемости.</w:t>
      </w:r>
    </w:p>
    <w:p w14:paraId="450A8A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тактические требования и их последовательность:</w:t>
      </w:r>
    </w:p>
    <w:p w14:paraId="40826F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Экипаж - 5-6</w:t>
      </w:r>
    </w:p>
    <w:p w14:paraId="66FFB4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Радиус действия до 900-1000 км</w:t>
      </w:r>
    </w:p>
    <w:p w14:paraId="7AB763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Грузоподъемность (бомб) - 2000 кг</w:t>
      </w:r>
    </w:p>
    <w:p w14:paraId="685FA8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Обстрел и обзор</w:t>
      </w:r>
    </w:p>
    <w:p w14:paraId="38D36B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Горизонтальная скорость на 3000 м - 200 км</w:t>
      </w:r>
    </w:p>
    <w:p w14:paraId="21D460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Потолок - 4500-5000 м</w:t>
      </w:r>
    </w:p>
    <w:p w14:paraId="6B7A2E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Полная нагрузка - 5000 кг</w:t>
      </w:r>
    </w:p>
    <w:p w14:paraId="494F5A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Вооружение:</w:t>
      </w:r>
    </w:p>
    <w:p w14:paraId="045482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 пулеметов для стрельбы с турелей, допускающих полный сферический обстрел;</w:t>
      </w:r>
    </w:p>
    <w:p w14:paraId="391A2C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бомбодержатели для установок бомб калибра 250-500 кг до 3000 кг и кассеты для 50-100 кг бомб.</w:t>
      </w:r>
    </w:p>
    <w:p w14:paraId="3C2E3C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 Развитие и усовершенствование конструкции тяжелого бомбардировщика должно идти с одной стороны в сторону увеличения потолка, в целях максимального применения и для дневных действий, а в основном в сторону увеличения грузоподъемности.</w:t>
      </w:r>
    </w:p>
    <w:p w14:paraId="54C2C7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связи</w:t>
      </w:r>
    </w:p>
    <w:p w14:paraId="4F73AC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Назначение:</w:t>
      </w:r>
    </w:p>
    <w:p w14:paraId="23B2D3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Связь аэродромов со штабом авиационного соединения;</w:t>
      </w:r>
    </w:p>
    <w:p w14:paraId="1E5BC5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Связь авиационных штабов с командованием земных войск.</w:t>
      </w:r>
    </w:p>
    <w:p w14:paraId="41C5F7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Условия работы:</w:t>
      </w:r>
    </w:p>
    <w:p w14:paraId="62AF56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Функции самолетов связи могут выполняться различными типами самолетов разведывательной и истребительной авиации. Создание специального типа преследует экономию дорогой материальной части боевых самолетов. Ввиду этого дешевизна и простота эксплуатации являются первейшими требованиями.</w:t>
      </w:r>
    </w:p>
    <w:p w14:paraId="7B950F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Связь между колоннами на марше и с конницей на рейде, должна осуществляться вооруженными самолетами, приданными войсковым соединениям (корпусной авиации). Связь передовых частей конницы со штабами бригад и дивизий будет предпочтительно поддерживаться мотоциклом. Связь же рейдирующей конницы с приданной ей авиацией иногда требует личного общения с летчиком. Когда же по условиям местности, посадка боевых самолетов невозможна, целесообразно иметь при коннице самолет сопровождения -тот же самолет связи, но перевозимый в разобранном виде при коннице, что будет частным случаем использования этого типа.</w:t>
      </w:r>
    </w:p>
    <w:p w14:paraId="207F01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требования:</w:t>
      </w:r>
    </w:p>
    <w:p w14:paraId="4376D5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Горизонтальная скорость у земли - 190-200 км/час</w:t>
      </w:r>
    </w:p>
    <w:p w14:paraId="40F899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Минимальная посадочная скорость</w:t>
      </w:r>
    </w:p>
    <w:p w14:paraId="1C34A8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Радиус действия нормальный - 150-200 км</w:t>
      </w:r>
    </w:p>
    <w:p w14:paraId="2B36EC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Емкость баков - 5 час.</w:t>
      </w:r>
    </w:p>
    <w:p w14:paraId="752C2D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Экипаж - 2 чел.</w:t>
      </w:r>
    </w:p>
    <w:p w14:paraId="3AD17C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Вооружение:</w:t>
      </w:r>
    </w:p>
    <w:p w14:paraId="11A1D2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пулемет на турели или на шарнирной установке.</w:t>
      </w:r>
    </w:p>
    <w:p w14:paraId="080611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Ракетница с ракетами и кошка.</w:t>
      </w:r>
    </w:p>
    <w:p w14:paraId="6BDE18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Самолеты транспортные</w:t>
      </w:r>
    </w:p>
    <w:p w14:paraId="426BA6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Назначение:</w:t>
      </w:r>
    </w:p>
    <w:p w14:paraId="36CE38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Переброска всякого рода грузов (артснарядов, продовольствия и медикаментов), когда это невозможно выполнить другими средствами;</w:t>
      </w:r>
    </w:p>
    <w:p w14:paraId="205BA4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Массовая переброска личного состава и материальной части (орудий, танков, снарядов) в целях оперативного и тактического маневров;</w:t>
      </w:r>
    </w:p>
    <w:p w14:paraId="76B92C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Питание горючим передовых аэродромов.</w:t>
      </w:r>
    </w:p>
    <w:p w14:paraId="38E191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Выполнение задач воздушного транспортирования получит лишь широкое распространение:</w:t>
      </w:r>
    </w:p>
    <w:p w14:paraId="409871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При условии наибольшей экономичности и дешевизне этого способа транспорта, что возможно при развитии и усовершенствовании нефтяных двигателей;</w:t>
      </w:r>
    </w:p>
    <w:p w14:paraId="3354D6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При наличии конструкций с грузоподъемностью и размерами, для перевозки основных образцов артиллерийского и бронетанкового вооружения.</w:t>
      </w:r>
    </w:p>
    <w:p w14:paraId="58C4DE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образцы вооружения, подлежащие перевозке:</w:t>
      </w:r>
    </w:p>
    <w:p w14:paraId="1388FC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Малый танк - вес около 7,5 тонн</w:t>
      </w:r>
    </w:p>
    <w:p w14:paraId="094A08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Орудия корпусной артиллерии при нераздельной возке - вес 6 т</w:t>
      </w:r>
    </w:p>
    <w:p w14:paraId="78264B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Орудия самоходной артиллерии - вес 7-7,5 тонн</w:t>
      </w:r>
    </w:p>
    <w:p w14:paraId="701DF2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Основные требования к самолету для оперативных перебросок:</w:t>
      </w:r>
    </w:p>
    <w:p w14:paraId="47E769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Наибольшая грузоподъемность;</w:t>
      </w:r>
    </w:p>
    <w:p w14:paraId="13B993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Радиус действия не менее 500 км при перевозимом грузе 7 т;</w:t>
      </w:r>
    </w:p>
    <w:p w14:paraId="51596E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Скорость у земли не менее 100 км;</w:t>
      </w:r>
    </w:p>
    <w:p w14:paraId="6EDFBE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Габариты, допускающие перевозку основных образцов вооружения в боевом положении, с небольшим количеством экипажа для обслуживания 3-7 чел.;</w:t>
      </w:r>
    </w:p>
    <w:p w14:paraId="188B67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Минимальная посадочная скорость;</w:t>
      </w:r>
    </w:p>
    <w:p w14:paraId="3717CE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е) Вооружение - 1-2 пулемета.</w:t>
      </w:r>
    </w:p>
    <w:p w14:paraId="275F7B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требования к самолету для питания аэродромов горючим и запчастями:</w:t>
      </w:r>
    </w:p>
    <w:p w14:paraId="15246F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Емкость бензина 2500 (на 12 </w:t>
      </w:r>
      <w:proofErr w:type="spellStart"/>
      <w:r w:rsidRPr="00A259BD">
        <w:rPr>
          <w:rFonts w:ascii="Times New Roman" w:hAnsi="Times New Roman"/>
          <w:color w:val="000000" w:themeColor="text1"/>
          <w:sz w:val="16"/>
          <w:szCs w:val="16"/>
        </w:rPr>
        <w:t>истр</w:t>
      </w:r>
      <w:proofErr w:type="spellEnd"/>
      <w:r w:rsidRPr="00A259BD">
        <w:rPr>
          <w:rFonts w:ascii="Times New Roman" w:hAnsi="Times New Roman"/>
          <w:color w:val="000000" w:themeColor="text1"/>
          <w:sz w:val="16"/>
          <w:szCs w:val="16"/>
        </w:rPr>
        <w:t>. самолетов) и запчасти 300 кг;</w:t>
      </w:r>
    </w:p>
    <w:p w14:paraId="31E5C6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Экипаж - 2 человека и </w:t>
      </w:r>
      <w:proofErr w:type="spellStart"/>
      <w:r w:rsidRPr="00A259BD">
        <w:rPr>
          <w:rFonts w:ascii="Times New Roman" w:hAnsi="Times New Roman"/>
          <w:color w:val="000000" w:themeColor="text1"/>
          <w:sz w:val="16"/>
          <w:szCs w:val="16"/>
        </w:rPr>
        <w:t>техсостава</w:t>
      </w:r>
      <w:proofErr w:type="spellEnd"/>
      <w:r w:rsidRPr="00A259BD">
        <w:rPr>
          <w:rFonts w:ascii="Times New Roman" w:hAnsi="Times New Roman"/>
          <w:color w:val="000000" w:themeColor="text1"/>
          <w:sz w:val="16"/>
          <w:szCs w:val="16"/>
        </w:rPr>
        <w:t xml:space="preserve"> - 5 чел.;</w:t>
      </w:r>
    </w:p>
    <w:p w14:paraId="56F6AD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Минимальная посадочная скорость;</w:t>
      </w:r>
    </w:p>
    <w:p w14:paraId="507591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Вооружение - 1-2 пулемета.</w:t>
      </w:r>
    </w:p>
    <w:p w14:paraId="496145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требования к транспортному самолету для перебросок снабженческого характера:</w:t>
      </w:r>
    </w:p>
    <w:p w14:paraId="33B142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Минимальная посадочная скорость;</w:t>
      </w:r>
    </w:p>
    <w:p w14:paraId="3249B7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Экипаж - 3 чел.;</w:t>
      </w:r>
    </w:p>
    <w:p w14:paraId="51032C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Вооружение - 1-2 пулемета;</w:t>
      </w:r>
    </w:p>
    <w:p w14:paraId="01BED2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Максимальная полная нагрузка, дальность полета в зависимости от количества полезного груза;</w:t>
      </w:r>
    </w:p>
    <w:p w14:paraId="10AC02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Парашюты для сбрасывания грузов.</w:t>
      </w:r>
    </w:p>
    <w:p w14:paraId="31E365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указанных целей должны быть приспособлены гражданские самолеты существующих типов.</w:t>
      </w:r>
    </w:p>
    <w:p w14:paraId="7BB42E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Тактические требования к самолетам морских ВВС.</w:t>
      </w:r>
    </w:p>
    <w:p w14:paraId="4A5761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Ближний разведчик, береговой и корабельный</w:t>
      </w:r>
    </w:p>
    <w:p w14:paraId="155638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Назначение:</w:t>
      </w:r>
    </w:p>
    <w:p w14:paraId="27B871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Разведка прибрежных районов моря и побережья;</w:t>
      </w:r>
    </w:p>
    <w:p w14:paraId="69E700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Охрана фарватеров от подводных лодок, торпедных катеров и минных заградителей, борьба с ними;</w:t>
      </w:r>
    </w:p>
    <w:p w14:paraId="5DFFE0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Обнаружение минных полей;</w:t>
      </w:r>
    </w:p>
    <w:p w14:paraId="3C5DE4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Корректировка артиллерийского огня береговых батарей и боевых судов;</w:t>
      </w:r>
    </w:p>
    <w:p w14:paraId="790145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 Совместные действия с </w:t>
      </w:r>
      <w:proofErr w:type="spellStart"/>
      <w:r w:rsidRPr="00A259BD">
        <w:rPr>
          <w:rFonts w:ascii="Times New Roman" w:hAnsi="Times New Roman"/>
          <w:color w:val="000000" w:themeColor="text1"/>
          <w:sz w:val="16"/>
          <w:szCs w:val="16"/>
        </w:rPr>
        <w:t>минзаградителями</w:t>
      </w:r>
      <w:proofErr w:type="spellEnd"/>
      <w:r w:rsidRPr="00A259BD">
        <w:rPr>
          <w:rFonts w:ascii="Times New Roman" w:hAnsi="Times New Roman"/>
          <w:color w:val="000000" w:themeColor="text1"/>
          <w:sz w:val="16"/>
          <w:szCs w:val="16"/>
        </w:rPr>
        <w:t xml:space="preserve"> и легкими крейсерами;</w:t>
      </w:r>
    </w:p>
    <w:p w14:paraId="40C57D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Штурмовые действия против десанта противника у наших берегов (при отсутствии сухопутных штурмовиков) [пункт вычеркнут].</w:t>
      </w:r>
    </w:p>
    <w:p w14:paraId="7372E7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Условия работы:</w:t>
      </w:r>
    </w:p>
    <w:p w14:paraId="1A1502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Разведка моря производится с высоты 1500 м. Надводные суда с такой высоты наблюдаются с расстояния 8 мил. (14-15 км). Эта дальность позволяет находиться вне зоны досягаемости зенитной артиллерии судов. Встреча с неприятельскими истребителями в наших условиях возможна.</w:t>
      </w:r>
    </w:p>
    <w:p w14:paraId="32FCB4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Поиски подводных лодок требуют высоты полета 300-400 м и наименьшей горизонтальной скорости.</w:t>
      </w:r>
    </w:p>
    <w:p w14:paraId="2396C5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Корректировка артогня береговых батарей и судовой артиллерии требует или охранения истребительной авиацией, или наличия на самолетах сильного оборонительного вооружения, большой горизонтальной скорости и маневренности для уклонения от боя.</w:t>
      </w:r>
    </w:p>
    <w:p w14:paraId="6A1E01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Борьба с вспомогательными силами противника требует наличия бомб калибра 50-100 кг.</w:t>
      </w:r>
    </w:p>
    <w:p w14:paraId="1C2AD7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Нормальный радиус действия базовых разведчиков определяется расстоянием наших морских баз до ближайших наиболее вероятных баз противника, т.е. 300-350 км.</w:t>
      </w:r>
    </w:p>
    <w:p w14:paraId="32A19A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совместных действиях с нашими крупными судами, линкорами и легкими крейсерами (корректировка артогня и разведка) самолеты иногда должны будут по окончании работы вернуться не на корабль, а в авиабазу, что требует лодочной конструкции и большой продолжительности полета.</w:t>
      </w:r>
    </w:p>
    <w:p w14:paraId="7CB52F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требования и их последовательность:</w:t>
      </w:r>
    </w:p>
    <w:p w14:paraId="4DE98A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3-х местный самолет лодочного типа, обладающий достаточной мореходностью конструкции;</w:t>
      </w:r>
    </w:p>
    <w:p w14:paraId="136858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Радиус действия нормальный - 300-350 км;</w:t>
      </w:r>
    </w:p>
    <w:p w14:paraId="251989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Емкость баков не менее 6 час. на крейсерской скорости;</w:t>
      </w:r>
    </w:p>
    <w:p w14:paraId="5FCD93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Большой диапазон скоростей;</w:t>
      </w:r>
    </w:p>
    <w:p w14:paraId="6CB0DF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Горизонтальная скорость на 3000 м 250 [200] км;</w:t>
      </w:r>
    </w:p>
    <w:p w14:paraId="5887EE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Маневренность;</w:t>
      </w:r>
    </w:p>
    <w:p w14:paraId="71D2DC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Вертикальная скорость на 3000 м - 15-20 мин.;</w:t>
      </w:r>
    </w:p>
    <w:p w14:paraId="4153EC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 Потолок рабочий - 5000 [4000] м;</w:t>
      </w:r>
    </w:p>
    <w:p w14:paraId="4BB615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Полная нагрузка - 900 кг.</w:t>
      </w:r>
    </w:p>
    <w:p w14:paraId="2376AA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Вооружение:</w:t>
      </w:r>
    </w:p>
    <w:p w14:paraId="1A8392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пулемета, установленные на 2-х турелях - одна в носовой части, а другая у кормы, бомбодержатели на 300 кг бомб калибров - 50 и 100 кг. Бомбы за счет перегрузки.</w:t>
      </w:r>
    </w:p>
    <w:p w14:paraId="449827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 Означенный тип самолета при использовании его в качестве корабельного разведчика сбрасывается катапультой.</w:t>
      </w:r>
    </w:p>
    <w:p w14:paraId="1C2C20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Дальний разведчик моря</w:t>
      </w:r>
    </w:p>
    <w:p w14:paraId="63F869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Назначение:</w:t>
      </w:r>
    </w:p>
    <w:p w14:paraId="4BF298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Разведка удаленных районов открытого моря, баз флота противника и его укрепленных районов;</w:t>
      </w:r>
    </w:p>
    <w:p w14:paraId="34C8AF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Выполнение бомбардировочных атак легких боевых судов, транспортов и десантов;</w:t>
      </w:r>
    </w:p>
    <w:p w14:paraId="11FE44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Сторожевая служба и борьба с подводными лодками, легкими и вспомогательными судами.</w:t>
      </w:r>
    </w:p>
    <w:p w14:paraId="628D6E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Условия работы:</w:t>
      </w:r>
    </w:p>
    <w:p w14:paraId="66C756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Разведка удаленных районов открытого моря и баз флота противника требуют повышенной мореходности и значительного радиуса действия. Разведка морских баз противника предполагает вероятность встречи с истребительной авиацией противника. Это требует от конструкции самолета достаточного потолка, значительной горизонтальной скорости и сильного оборонительного вооружения. Разведка баз и укрепленных районов, где возможно противодействие средств ПВО, требует высокого потолка и наличия на самолете автоматического длиннофокусного фотоаппарата.</w:t>
      </w:r>
    </w:p>
    <w:p w14:paraId="085EF2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применения - 4000-5000 м.</w:t>
      </w:r>
    </w:p>
    <w:p w14:paraId="3D8362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Возможность использования дальнего разведчика как бомбардировщика, вызывается необходимостью привлечения всех видов ВВС для непосредственной борьбы с морскими силами противника.</w:t>
      </w:r>
    </w:p>
    <w:p w14:paraId="747018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Сторожевая служба требует длительного пребывания в воздухе (на воде).</w:t>
      </w:r>
    </w:p>
    <w:p w14:paraId="0B5F01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требования и их последовательность:</w:t>
      </w:r>
    </w:p>
    <w:p w14:paraId="56B92E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5-ти местный самолет лодочного типа с большой мореходностью, большим радиусом действия, с большой горизонтальной скоростью.</w:t>
      </w:r>
    </w:p>
    <w:p w14:paraId="192CC9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Мореходность;</w:t>
      </w:r>
    </w:p>
    <w:p w14:paraId="662F1E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Радиус действия - 900-1000 [1200] км (емкость баков 10 час.) на эксплуатационной скорости;</w:t>
      </w:r>
    </w:p>
    <w:p w14:paraId="38B82C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Потолок - 5000-6000 [4500-5000] м;</w:t>
      </w:r>
    </w:p>
    <w:p w14:paraId="0C952A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Горизонтальная скорость на уровне моря 250 [200] км/час;</w:t>
      </w:r>
    </w:p>
    <w:p w14:paraId="51912B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Вертикальная скорость на 3000 м - 15 мин.;</w:t>
      </w:r>
    </w:p>
    <w:p w14:paraId="494EB0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Грузоподъемность бомб 500 кг, повышающаяся за счет горючего до 1000 кг;</w:t>
      </w:r>
    </w:p>
    <w:p w14:paraId="6AD658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Полная нагрузка - 2750 кг.</w:t>
      </w:r>
    </w:p>
    <w:p w14:paraId="3C186C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Вооружение:</w:t>
      </w:r>
    </w:p>
    <w:p w14:paraId="10141D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пулемета на 2-х турелях; нормальная бомбовая нагрузка - 500 кг и кроме этого за счет горючего до 1000 кг калибра 100, 250 и 500 кг.</w:t>
      </w:r>
    </w:p>
    <w:p w14:paraId="6EBE22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 Развитие этого типа должно идти в сторону увеличения горизонтальной скорости, маневренности, грузоподъемности и вооружения для установки одного орудия калибра 20-30 мм.</w:t>
      </w:r>
    </w:p>
    <w:p w14:paraId="0F3034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Тяжелый бомбардировщик [торпедоносец]</w:t>
      </w:r>
    </w:p>
    <w:p w14:paraId="475B6E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Назначение:</w:t>
      </w:r>
    </w:p>
    <w:p w14:paraId="19A7B6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Бомбардирование флота противника как у в удаленных или близкорасположенных базах, так и в походе;</w:t>
      </w:r>
    </w:p>
    <w:p w14:paraId="521B6A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Бомбардирование баз флота и береговых укреплений противника.</w:t>
      </w:r>
    </w:p>
    <w:p w14:paraId="00CCB1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Условия работы:</w:t>
      </w:r>
    </w:p>
    <w:p w14:paraId="47BABB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Бомбардировщики в условиях нашего морского театра будут базироваться исключительно на берег. Удаленность наших авиабаз от вероятных морских баз противника (500-600 км) требуют от бомбардировщиков большого радиуса действия и соответствующей продолжительности полета.</w:t>
      </w:r>
    </w:p>
    <w:p w14:paraId="61B05B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Цели для нападения бомбардировщика - береговые укрепления и крупные боевые суда, обладающие мощной броней, требуют применения бомб крупного калибра - 250, 500, 1000 кг и выше.</w:t>
      </w:r>
    </w:p>
    <w:p w14:paraId="45A4E4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Противовоздушная оборона береговых укрепрайонов и баз флота противника требует действия бомбардировщиков и с больших высот. Бомбардировочные атаки флота противника в походе будут иметь место преимущественно днем и будут наиболее успешны или вблизи наших берегов, или в стесненных выходах в момент прохождения судами минных полей, когда затруднено их маневрирование. В остальных случаях действия бомбардировщиков будут производиться на рассвете или </w:t>
      </w:r>
      <w:r w:rsidRPr="00A259BD">
        <w:rPr>
          <w:rFonts w:ascii="Times New Roman" w:hAnsi="Times New Roman"/>
          <w:color w:val="000000" w:themeColor="text1"/>
          <w:sz w:val="16"/>
          <w:szCs w:val="16"/>
        </w:rPr>
        <w:lastRenderedPageBreak/>
        <w:t>перед вечером, когда затруднено наблюдение за воздухом. Таким образом, бомбардировщик будет выполнять путь к цели или обратно (полностью или частично в ночное время), что позволит увеличить грузоподъемность.</w:t>
      </w:r>
    </w:p>
    <w:p w14:paraId="61D8D8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Возможность встречи с истребительной авиацией противника (береговой или корабельной) вероятно. Это требует соответствующей высоты применения и сильного оборонительного вооружения.</w:t>
      </w:r>
    </w:p>
    <w:p w14:paraId="56ED69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Наличие радио для связи с берегом ля целей радиопеленгации в ночной период потребуется на всех самолетах при действиях в ночной период.</w:t>
      </w:r>
    </w:p>
    <w:p w14:paraId="6CF2EB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требования и их последовательность:</w:t>
      </w:r>
    </w:p>
    <w:p w14:paraId="3E4119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6-ти местный самолет лодочного типа, многомоторный с сильным пулеметным вооружением и высокой мореходностью;</w:t>
      </w:r>
    </w:p>
    <w:p w14:paraId="62816C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Радиус действия не менее 900 км (с полной нагрузкой);</w:t>
      </w:r>
    </w:p>
    <w:p w14:paraId="1A2DBA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Сбрасываемый груз (бомб) - 2000-3000 кг;</w:t>
      </w:r>
    </w:p>
    <w:p w14:paraId="675129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Потолок - 5000 м;</w:t>
      </w:r>
    </w:p>
    <w:p w14:paraId="2FBDE4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Горизонтальная скорость на 3000 м - 200 км/час;</w:t>
      </w:r>
    </w:p>
    <w:p w14:paraId="22F32D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Обстрел и обзор;</w:t>
      </w:r>
    </w:p>
    <w:p w14:paraId="661DF5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Полная нагрузка - 5000 кг.</w:t>
      </w:r>
    </w:p>
    <w:p w14:paraId="265B87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Вооружение:</w:t>
      </w:r>
    </w:p>
    <w:p w14:paraId="206DA7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 пулеметов, допускающих наибольший круговой сферический обстрел и одно орудие калибра 20-30 мм.</w:t>
      </w:r>
    </w:p>
    <w:p w14:paraId="29C4F4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Примечание:</w:t>
      </w:r>
    </w:p>
    <w:p w14:paraId="03EE50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условиях Балтийского моря для означенных целей может быть использован сухопутный бомбардировщик с соответствующей бомбовой нагрузкой и потолком.</w:t>
      </w:r>
    </w:p>
    <w:p w14:paraId="6883D3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Развитие этого типа должно идти в сторону увеличения грузоподъемности и [потолка].</w:t>
      </w:r>
    </w:p>
    <w:p w14:paraId="24662D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Торпедоносцы</w:t>
      </w:r>
    </w:p>
    <w:p w14:paraId="7EDFD7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Назначение:</w:t>
      </w:r>
    </w:p>
    <w:p w14:paraId="6C57BC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Торпедные атаки главных сил флота противника у наших берегов или в его удаленных базах.</w:t>
      </w:r>
    </w:p>
    <w:p w14:paraId="7CEB11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Постановка минных заграждений.</w:t>
      </w:r>
    </w:p>
    <w:p w14:paraId="61046B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Торпедные атаки подводной части крупных боевых судов имеют некоторое преимущество перед атакой бомбами. Сравнительные выгоды торпедометания и бомбометания с точки зрения вероятности попадания и разрушительного действия, должны быть изучены опытным путем.</w:t>
      </w:r>
    </w:p>
    <w:p w14:paraId="01A0D3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Условия работы:</w:t>
      </w:r>
    </w:p>
    <w:p w14:paraId="11E580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Атака производится по способу низкого или высокого торпедометания. Баллистика высокого торпедометания до сего времени не изучена и нет еще соответствующих прицельных приспособлений.</w:t>
      </w:r>
    </w:p>
    <w:p w14:paraId="2C8AC9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Веса существующих на вооружении торпед 18_ - 760 кг, 21_ - 1600 кг.</w:t>
      </w:r>
    </w:p>
    <w:p w14:paraId="636621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дальнего торпедометания требуется самолет с хорошей мореходностью.</w:t>
      </w:r>
    </w:p>
    <w:p w14:paraId="6026FF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Конструктивные особенности лодочных конструкций не позволяют без преодоления особых трудностей подвески одной торпеды, почему дальнее торпедометание возможно осуществить по получении в производстве гидросамолета большой грузоподъемности. Ввиду этого является необходимым и возможным для близкого торпедометания приспособить существующие типы легких и тяжелых бомбардировщиков (по примеру Англии и США), а тип дальнего торпедоносца объединить с тяжелым бомбардировщиком. Торпедные атаки производятся преимущественно днем. Наиболее удобная высота - 2000 м.</w:t>
      </w:r>
    </w:p>
    <w:p w14:paraId="5333B0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требования и их последовательность: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A259BD" w:rsidRPr="00A259BD" w14:paraId="4ADBD56A" w14:textId="77777777">
        <w:tc>
          <w:tcPr>
            <w:tcW w:w="2818" w:type="dxa"/>
          </w:tcPr>
          <w:p w14:paraId="010FED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B097D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легкому (ближнему)</w:t>
            </w:r>
          </w:p>
        </w:tc>
        <w:tc>
          <w:tcPr>
            <w:tcW w:w="2818" w:type="dxa"/>
          </w:tcPr>
          <w:p w14:paraId="163002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тяжелому (дальнему)</w:t>
            </w:r>
          </w:p>
        </w:tc>
      </w:tr>
      <w:tr w:rsidR="00A259BD" w:rsidRPr="00A259BD" w14:paraId="507EB3D5" w14:textId="77777777">
        <w:tc>
          <w:tcPr>
            <w:tcW w:w="2818" w:type="dxa"/>
          </w:tcPr>
          <w:p w14:paraId="6E972E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8D473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торпедоносцу</w:t>
            </w:r>
          </w:p>
        </w:tc>
        <w:tc>
          <w:tcPr>
            <w:tcW w:w="2818" w:type="dxa"/>
          </w:tcPr>
          <w:p w14:paraId="496F5E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торпедоносцу</w:t>
            </w:r>
          </w:p>
        </w:tc>
      </w:tr>
      <w:tr w:rsidR="00A259BD" w:rsidRPr="00A259BD" w14:paraId="3D114B50" w14:textId="77777777">
        <w:tc>
          <w:tcPr>
            <w:tcW w:w="2818" w:type="dxa"/>
          </w:tcPr>
          <w:p w14:paraId="27C5C7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Число мест</w:t>
            </w:r>
          </w:p>
        </w:tc>
        <w:tc>
          <w:tcPr>
            <w:tcW w:w="2818" w:type="dxa"/>
          </w:tcPr>
          <w:p w14:paraId="697A9A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2818" w:type="dxa"/>
          </w:tcPr>
          <w:p w14:paraId="1F87F0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w:t>
            </w:r>
          </w:p>
        </w:tc>
      </w:tr>
      <w:tr w:rsidR="00A259BD" w:rsidRPr="00A259BD" w14:paraId="6124A113" w14:textId="77777777">
        <w:tc>
          <w:tcPr>
            <w:tcW w:w="2818" w:type="dxa"/>
          </w:tcPr>
          <w:p w14:paraId="5B830A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Горизонтальная скорость на 1000 м (км/час)</w:t>
            </w:r>
          </w:p>
        </w:tc>
        <w:tc>
          <w:tcPr>
            <w:tcW w:w="2818" w:type="dxa"/>
          </w:tcPr>
          <w:p w14:paraId="4D25E5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150-160</w:t>
            </w:r>
          </w:p>
        </w:tc>
        <w:tc>
          <w:tcPr>
            <w:tcW w:w="2818" w:type="dxa"/>
          </w:tcPr>
          <w:p w14:paraId="41CFEF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180-200</w:t>
            </w:r>
          </w:p>
        </w:tc>
      </w:tr>
      <w:tr w:rsidR="00A259BD" w:rsidRPr="00A259BD" w14:paraId="6E468881" w14:textId="77777777">
        <w:tc>
          <w:tcPr>
            <w:tcW w:w="2818" w:type="dxa"/>
          </w:tcPr>
          <w:p w14:paraId="554434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Сбрасываемый груз (1 </w:t>
            </w:r>
            <w:proofErr w:type="spellStart"/>
            <w:r w:rsidRPr="00A259BD">
              <w:rPr>
                <w:rFonts w:ascii="Times New Roman" w:hAnsi="Times New Roman"/>
                <w:color w:val="000000" w:themeColor="text1"/>
                <w:sz w:val="16"/>
                <w:szCs w:val="16"/>
              </w:rPr>
              <w:t>торп</w:t>
            </w:r>
            <w:proofErr w:type="spellEnd"/>
            <w:r w:rsidRPr="00A259BD">
              <w:rPr>
                <w:rFonts w:ascii="Times New Roman" w:hAnsi="Times New Roman"/>
                <w:color w:val="000000" w:themeColor="text1"/>
                <w:sz w:val="16"/>
                <w:szCs w:val="16"/>
              </w:rPr>
              <w:t>.)</w:t>
            </w:r>
          </w:p>
        </w:tc>
        <w:tc>
          <w:tcPr>
            <w:tcW w:w="2818" w:type="dxa"/>
          </w:tcPr>
          <w:p w14:paraId="34B194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800 (1600)</w:t>
            </w:r>
          </w:p>
        </w:tc>
        <w:tc>
          <w:tcPr>
            <w:tcW w:w="2818" w:type="dxa"/>
          </w:tcPr>
          <w:p w14:paraId="1BA043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3200 (торпеды)</w:t>
            </w:r>
          </w:p>
        </w:tc>
      </w:tr>
      <w:tr w:rsidR="00A259BD" w:rsidRPr="00A259BD" w14:paraId="24D36C80" w14:textId="77777777">
        <w:tc>
          <w:tcPr>
            <w:tcW w:w="2818" w:type="dxa"/>
          </w:tcPr>
          <w:p w14:paraId="22EF9E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Количество пулеметов</w:t>
            </w:r>
          </w:p>
        </w:tc>
        <w:tc>
          <w:tcPr>
            <w:tcW w:w="2818" w:type="dxa"/>
          </w:tcPr>
          <w:p w14:paraId="5DA5FB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w:t>
            </w:r>
          </w:p>
        </w:tc>
        <w:tc>
          <w:tcPr>
            <w:tcW w:w="2818" w:type="dxa"/>
          </w:tcPr>
          <w:p w14:paraId="43AB7C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w:t>
            </w:r>
          </w:p>
        </w:tc>
      </w:tr>
      <w:tr w:rsidR="00A259BD" w:rsidRPr="00A259BD" w14:paraId="64AB702C" w14:textId="77777777">
        <w:tc>
          <w:tcPr>
            <w:tcW w:w="2818" w:type="dxa"/>
          </w:tcPr>
          <w:p w14:paraId="5DF640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Потолок</w:t>
            </w:r>
          </w:p>
        </w:tc>
        <w:tc>
          <w:tcPr>
            <w:tcW w:w="2818" w:type="dxa"/>
          </w:tcPr>
          <w:p w14:paraId="4B2735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2500-3000</w:t>
            </w:r>
          </w:p>
        </w:tc>
        <w:tc>
          <w:tcPr>
            <w:tcW w:w="2818" w:type="dxa"/>
          </w:tcPr>
          <w:p w14:paraId="3A2CD3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4000 м</w:t>
            </w:r>
          </w:p>
        </w:tc>
      </w:tr>
      <w:tr w:rsidR="00A259BD" w:rsidRPr="00A259BD" w14:paraId="76F93C00" w14:textId="77777777">
        <w:tc>
          <w:tcPr>
            <w:tcW w:w="2818" w:type="dxa"/>
          </w:tcPr>
          <w:p w14:paraId="1FFB3F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Радиус действия</w:t>
            </w:r>
          </w:p>
        </w:tc>
        <w:tc>
          <w:tcPr>
            <w:tcW w:w="2818" w:type="dxa"/>
          </w:tcPr>
          <w:p w14:paraId="04B15A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100-150 км</w:t>
            </w:r>
          </w:p>
        </w:tc>
        <w:tc>
          <w:tcPr>
            <w:tcW w:w="2818" w:type="dxa"/>
          </w:tcPr>
          <w:p w14:paraId="22F39D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700-800 км</w:t>
            </w:r>
          </w:p>
        </w:tc>
      </w:tr>
      <w:tr w:rsidR="00A259BD" w:rsidRPr="00A259BD" w14:paraId="2EF8016E" w14:textId="77777777">
        <w:tc>
          <w:tcPr>
            <w:tcW w:w="2818" w:type="dxa"/>
          </w:tcPr>
          <w:p w14:paraId="527FC2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Скороподъемность на 3000 м</w:t>
            </w:r>
          </w:p>
        </w:tc>
        <w:tc>
          <w:tcPr>
            <w:tcW w:w="2818" w:type="dxa"/>
          </w:tcPr>
          <w:p w14:paraId="0A4B69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8 мин. </w:t>
            </w:r>
          </w:p>
        </w:tc>
        <w:tc>
          <w:tcPr>
            <w:tcW w:w="2818" w:type="dxa"/>
          </w:tcPr>
          <w:p w14:paraId="0A2B01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мин.</w:t>
            </w:r>
          </w:p>
        </w:tc>
      </w:tr>
    </w:tbl>
    <w:p w14:paraId="7B5BAD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Приспособленные одномоторные самолеты должны иметь водонепроницаемые фюзеляжи, Оборудование минимальное в целях возможности подвески торпед. Оборудование дальнего (тяжелого) торпедоносца - как у тяжелого бомбардировщика.</w:t>
      </w:r>
    </w:p>
    <w:p w14:paraId="071B1D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2-х местные истребители береговой обороны</w:t>
      </w:r>
    </w:p>
    <w:p w14:paraId="3640EA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Этот тип самолета по существу ничем не отличается от таковых же сухопутного типа. Основная конструктивная особенность - наличие водонепроницаемого фюзеляжа (на случай вынужденной посадки в море) с убирающимися шасси.</w:t>
      </w:r>
    </w:p>
    <w:p w14:paraId="737783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для подлодок</w:t>
      </w:r>
    </w:p>
    <w:p w14:paraId="4AEC71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Означенный тип самолета применяется во многих иностранных государствах.</w:t>
      </w:r>
    </w:p>
    <w:p w14:paraId="6BD4CA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требования:</w:t>
      </w:r>
    </w:p>
    <w:p w14:paraId="5D717A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2-х местный самолет типа морской авиетки, сбрасываемый катапультой;</w:t>
      </w:r>
    </w:p>
    <w:p w14:paraId="6576D2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Радиус действия - 150 км;</w:t>
      </w:r>
    </w:p>
    <w:p w14:paraId="1A7584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Горизонтальная скорость и потолок в зависимости от конструктивных достижений;</w:t>
      </w:r>
    </w:p>
    <w:p w14:paraId="295829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Амфибия</w:t>
      </w:r>
    </w:p>
    <w:p w14:paraId="3635B1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Назначение:</w:t>
      </w:r>
    </w:p>
    <w:p w14:paraId="44DB51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Совместные действия с речной флотилией, разведка и корректирование артогня;</w:t>
      </w:r>
    </w:p>
    <w:p w14:paraId="2CC279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Совместные действия с земными войсками на речных и озерных пространствах.</w:t>
      </w:r>
    </w:p>
    <w:p w14:paraId="3BCA92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Условия работы:</w:t>
      </w:r>
    </w:p>
    <w:p w14:paraId="655459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Совместные действия с речной флотилией требуют типа самолета лодочной конструкции для посадки в любом районе расположения флотилии. Лодочная конструкция наиболее удачна для маскировки самолета при расположении на берегу. Амфибия позволяет посадку на берег, когда это невозможно в фарватере реки или по условиям оперативно-тактической обстановки.</w:t>
      </w:r>
    </w:p>
    <w:p w14:paraId="6FFB2E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требования:</w:t>
      </w:r>
    </w:p>
    <w:p w14:paraId="1229BB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3-х [2-х] местный самолет лодочного типа.</w:t>
      </w:r>
    </w:p>
    <w:p w14:paraId="661348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Максимальная горизонтальная скорость у земли - 220 км/час;</w:t>
      </w:r>
    </w:p>
    <w:p w14:paraId="0CD13B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Потолок рабочий - 4000 м;</w:t>
      </w:r>
    </w:p>
    <w:p w14:paraId="51DED8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Продолжительность полета на крейсерской скорости - 5 час.;</w:t>
      </w:r>
    </w:p>
    <w:p w14:paraId="6D1B8A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Минимальная посадочная скорость;</w:t>
      </w:r>
    </w:p>
    <w:p w14:paraId="548E33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Полная нагрузка - 900 кг.</w:t>
      </w:r>
    </w:p>
    <w:p w14:paraId="6E4B72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Вооружение:</w:t>
      </w:r>
    </w:p>
    <w:p w14:paraId="5F62E4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 пулемета, устанавливаемых (в подвижном или неподвижном состоянии) в зависимости от конструкции самолета (3863,68-91).</w:t>
      </w:r>
    </w:p>
    <w:p w14:paraId="6FEB31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CD6592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62832B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F2EA4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декабря 1929 г. РВС СССР утвержден план заказов по моторизации и механизации РККА на 1929/30 г. Этим же решением УММ было обязано закупить за границей 100 шт. трехосных шасси, что выполнено специальной комиссией под председательством т. </w:t>
      </w:r>
      <w:proofErr w:type="spellStart"/>
      <w:r w:rsidRPr="00A259BD">
        <w:rPr>
          <w:rFonts w:ascii="Times New Roman" w:hAnsi="Times New Roman"/>
          <w:color w:val="000000" w:themeColor="text1"/>
          <w:sz w:val="16"/>
          <w:szCs w:val="16"/>
        </w:rPr>
        <w:t>Халепского</w:t>
      </w:r>
      <w:proofErr w:type="spellEnd"/>
      <w:r w:rsidRPr="00A259BD">
        <w:rPr>
          <w:rFonts w:ascii="Times New Roman" w:hAnsi="Times New Roman"/>
          <w:color w:val="000000" w:themeColor="text1"/>
          <w:sz w:val="16"/>
          <w:szCs w:val="16"/>
        </w:rPr>
        <w:t xml:space="preserve"> (10977).</w:t>
      </w:r>
    </w:p>
    <w:p w14:paraId="7B5A12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97519B4" w14:textId="77777777" w:rsidR="003D7E85" w:rsidRPr="00A259BD" w:rsidRDefault="003D7E85" w:rsidP="009236E3">
      <w:pPr>
        <w:pStyle w:val="rtejustify"/>
        <w:spacing w:before="0" w:after="0"/>
        <w:rPr>
          <w:color w:val="000000" w:themeColor="text1"/>
          <w:sz w:val="16"/>
          <w:szCs w:val="16"/>
        </w:rPr>
      </w:pPr>
      <w:r w:rsidRPr="00A259BD">
        <w:rPr>
          <w:rStyle w:val="af0"/>
          <w:i w:val="0"/>
          <w:color w:val="000000" w:themeColor="text1"/>
          <w:sz w:val="16"/>
          <w:szCs w:val="16"/>
        </w:rPr>
        <w:t xml:space="preserve">17 декабря </w:t>
      </w:r>
      <w:r w:rsidRPr="00A259BD">
        <w:rPr>
          <w:color w:val="000000" w:themeColor="text1"/>
          <w:sz w:val="16"/>
          <w:szCs w:val="16"/>
        </w:rPr>
        <w:t>1929 г</w:t>
      </w:r>
      <w:r w:rsidRPr="00A259BD">
        <w:rPr>
          <w:rStyle w:val="af0"/>
          <w:i w:val="0"/>
          <w:color w:val="000000" w:themeColor="text1"/>
          <w:sz w:val="16"/>
          <w:szCs w:val="16"/>
        </w:rPr>
        <w:t>. Протокол Реввоенсовета № 40.</w:t>
      </w:r>
      <w:r w:rsidRPr="00A259BD">
        <w:rPr>
          <w:color w:val="000000" w:themeColor="text1"/>
          <w:sz w:val="16"/>
          <w:szCs w:val="16"/>
        </w:rPr>
        <w:t xml:space="preserve"> 1. Материальные планы и сметы по вооружению на 1929/30 г. (Уборевич). 2. Материальные планы и сметы по моторизации и механизации РККА на 1929/30 г. (</w:t>
      </w:r>
      <w:proofErr w:type="spellStart"/>
      <w:r w:rsidRPr="00A259BD">
        <w:rPr>
          <w:color w:val="000000" w:themeColor="text1"/>
          <w:sz w:val="16"/>
          <w:szCs w:val="16"/>
        </w:rPr>
        <w:t>Халепский</w:t>
      </w:r>
      <w:proofErr w:type="spellEnd"/>
      <w:r w:rsidRPr="00A259BD">
        <w:rPr>
          <w:color w:val="000000" w:themeColor="text1"/>
          <w:sz w:val="16"/>
          <w:szCs w:val="16"/>
        </w:rPr>
        <w:t>). 3. Материальные планы и сметы по авиации на 1929/30 г. (Баранов П. И.). 6. Принятие на вооружение радиостанций и прожектора. (Синявский). (РГВА. Ф. 4. Оп. 18. Д. 15. Л. 290</w:t>
      </w:r>
      <w:r w:rsidRPr="00A259BD">
        <w:rPr>
          <w:color w:val="000000" w:themeColor="text1"/>
          <w:sz w:val="16"/>
          <w:szCs w:val="16"/>
        </w:rPr>
        <w:noBreakHyphen/>
        <w:t>292) (13242).</w:t>
      </w:r>
    </w:p>
    <w:p w14:paraId="2C67F951" w14:textId="77777777" w:rsidR="003D7E85" w:rsidRPr="00A259BD" w:rsidRDefault="003D7E85" w:rsidP="009236E3">
      <w:pPr>
        <w:pStyle w:val="rtejustify"/>
        <w:spacing w:before="0" w:after="0"/>
        <w:rPr>
          <w:color w:val="000000" w:themeColor="text1"/>
          <w:sz w:val="16"/>
          <w:szCs w:val="16"/>
        </w:rPr>
      </w:pPr>
    </w:p>
    <w:p w14:paraId="2BD4539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декабря 1929 г. был подготовлен:</w:t>
      </w:r>
    </w:p>
    <w:p w14:paraId="0B98C14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ПРОТОКОЛ № 40 ЗАСЕДАНИЯ РЕВОЛЮЦИОННОГО ВОЕННОГО СОВЕТА СОЮЗА ССР</w:t>
      </w:r>
    </w:p>
    <w:p w14:paraId="7E3B4AF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Присутствуют: тт. Ворошилов, </w:t>
      </w:r>
      <w:proofErr w:type="spellStart"/>
      <w:r w:rsidRPr="00A259BD">
        <w:rPr>
          <w:rFonts w:ascii="Times New Roman" w:hAnsi="Times New Roman"/>
          <w:color w:val="000000" w:themeColor="text1"/>
          <w:sz w:val="16"/>
          <w:szCs w:val="16"/>
        </w:rPr>
        <w:t>Уншлихт</w:t>
      </w:r>
      <w:proofErr w:type="spellEnd"/>
      <w:r w:rsidRPr="00A259BD">
        <w:rPr>
          <w:rFonts w:ascii="Times New Roman" w:hAnsi="Times New Roman"/>
          <w:color w:val="000000" w:themeColor="text1"/>
          <w:sz w:val="16"/>
          <w:szCs w:val="16"/>
        </w:rPr>
        <w:t xml:space="preserve">, Каменев, Гамарник, </w:t>
      </w:r>
      <w:proofErr w:type="spellStart"/>
      <w:r w:rsidRPr="00A259BD">
        <w:rPr>
          <w:rFonts w:ascii="Times New Roman" w:hAnsi="Times New Roman"/>
          <w:color w:val="000000" w:themeColor="text1"/>
          <w:sz w:val="16"/>
          <w:szCs w:val="16"/>
        </w:rPr>
        <w:t>Муклевич</w:t>
      </w:r>
      <w:proofErr w:type="spellEnd"/>
      <w:r w:rsidRPr="00A259BD">
        <w:rPr>
          <w:rFonts w:ascii="Times New Roman" w:hAnsi="Times New Roman"/>
          <w:color w:val="000000" w:themeColor="text1"/>
          <w:sz w:val="16"/>
          <w:szCs w:val="16"/>
        </w:rPr>
        <w:t xml:space="preserve">, Буденный, Постников, Уборевич, Егоров, Шапошников, Левандовский, </w:t>
      </w:r>
      <w:proofErr w:type="spellStart"/>
      <w:r w:rsidRPr="00A259BD">
        <w:rPr>
          <w:rFonts w:ascii="Times New Roman" w:hAnsi="Times New Roman"/>
          <w:color w:val="000000" w:themeColor="text1"/>
          <w:sz w:val="16"/>
          <w:szCs w:val="16"/>
        </w:rPr>
        <w:t>Корк</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Павлуновский</w:t>
      </w:r>
      <w:proofErr w:type="spellEnd"/>
      <w:r w:rsidRPr="00A259BD">
        <w:rPr>
          <w:rFonts w:ascii="Times New Roman" w:hAnsi="Times New Roman"/>
          <w:color w:val="000000" w:themeColor="text1"/>
          <w:sz w:val="16"/>
          <w:szCs w:val="16"/>
        </w:rPr>
        <w:t xml:space="preserve">, Ольский,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Алкснис. Приглашены: тт. Венцов, Ефимов, Фишман, Бондарь, Синявский, Лукин, Урываев, Меженинов, </w:t>
      </w:r>
      <w:proofErr w:type="spellStart"/>
      <w:r w:rsidRPr="00A259BD">
        <w:rPr>
          <w:rFonts w:ascii="Times New Roman" w:hAnsi="Times New Roman"/>
          <w:color w:val="000000" w:themeColor="text1"/>
          <w:sz w:val="16"/>
          <w:szCs w:val="16"/>
        </w:rPr>
        <w:t>Петроницкий</w:t>
      </w:r>
      <w:proofErr w:type="spellEnd"/>
      <w:r w:rsidRPr="00A259BD">
        <w:rPr>
          <w:rFonts w:ascii="Times New Roman" w:hAnsi="Times New Roman"/>
          <w:color w:val="000000" w:themeColor="text1"/>
          <w:sz w:val="16"/>
          <w:szCs w:val="16"/>
        </w:rPr>
        <w:t>.</w:t>
      </w:r>
    </w:p>
    <w:p w14:paraId="43B873F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Слушали — постановили:</w:t>
      </w:r>
    </w:p>
    <w:p w14:paraId="1646DE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7CDA91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II. Материальные планы и сметы по моторизации и механизации РККА на 1929-30 год. Доклад</w:t>
      </w:r>
      <w:r w:rsidRPr="00A259BD">
        <w:rPr>
          <w:rFonts w:ascii="Times New Roman" w:hAnsi="Times New Roman"/>
          <w:color w:val="000000" w:themeColor="text1"/>
          <w:sz w:val="16"/>
          <w:szCs w:val="16"/>
        </w:rPr>
        <w:softHyphen/>
        <w:t xml:space="preserve">чик т.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w:t>
      </w:r>
    </w:p>
    <w:p w14:paraId="67DCDB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прениях выступили: тт. Ворошилов, </w:t>
      </w:r>
      <w:proofErr w:type="spellStart"/>
      <w:r w:rsidRPr="00A259BD">
        <w:rPr>
          <w:rFonts w:ascii="Times New Roman" w:hAnsi="Times New Roman"/>
          <w:color w:val="000000" w:themeColor="text1"/>
          <w:sz w:val="16"/>
          <w:szCs w:val="16"/>
        </w:rPr>
        <w:t>Уншлихт</w:t>
      </w:r>
      <w:proofErr w:type="spellEnd"/>
      <w:r w:rsidRPr="00A259BD">
        <w:rPr>
          <w:rFonts w:ascii="Times New Roman" w:hAnsi="Times New Roman"/>
          <w:color w:val="000000" w:themeColor="text1"/>
          <w:sz w:val="16"/>
          <w:szCs w:val="16"/>
        </w:rPr>
        <w:t>, Урываев, Лукин.</w:t>
      </w:r>
    </w:p>
    <w:p w14:paraId="1EE193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II.</w:t>
      </w:r>
    </w:p>
    <w:p w14:paraId="4EE9B53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Представленный УММ план заказов и сопровождающих расходов по моторизации и механизации РККА в сумме 47655 тыс. рублей утвердить ассигнованием по смете по §§ 24, 30 и 31 — 36041 тыс. рублей.</w:t>
      </w:r>
    </w:p>
    <w:p w14:paraId="76DB14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Начальнику Вооружений исключить из своей сметы все, что относится к механизации и мото</w:t>
      </w:r>
      <w:r w:rsidRPr="00A259BD">
        <w:rPr>
          <w:rFonts w:ascii="Times New Roman" w:hAnsi="Times New Roman"/>
          <w:color w:val="000000" w:themeColor="text1"/>
          <w:sz w:val="16"/>
          <w:szCs w:val="16"/>
        </w:rPr>
        <w:softHyphen/>
        <w:t>ризации РККА, и передать на смету УММ.</w:t>
      </w:r>
    </w:p>
    <w:p w14:paraId="4DA841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С доклада т. </w:t>
      </w:r>
      <w:proofErr w:type="spellStart"/>
      <w:r w:rsidRPr="00A259BD">
        <w:rPr>
          <w:rFonts w:ascii="Times New Roman" w:hAnsi="Times New Roman"/>
          <w:color w:val="000000" w:themeColor="text1"/>
          <w:sz w:val="16"/>
          <w:szCs w:val="16"/>
        </w:rPr>
        <w:t>Уншлихта</w:t>
      </w:r>
      <w:proofErr w:type="spellEnd"/>
      <w:r w:rsidRPr="00A259BD">
        <w:rPr>
          <w:rFonts w:ascii="Times New Roman" w:hAnsi="Times New Roman"/>
          <w:color w:val="000000" w:themeColor="text1"/>
          <w:sz w:val="16"/>
          <w:szCs w:val="16"/>
        </w:rPr>
        <w:t>, Начальнику УММ изыскать в своей смете средства для оплаты работ по танкам Д. Не возражать против заказа опытного бронепоезда и мотодрезины, если для этого бу</w:t>
      </w:r>
      <w:r w:rsidRPr="00A259BD">
        <w:rPr>
          <w:rFonts w:ascii="Times New Roman" w:hAnsi="Times New Roman"/>
          <w:color w:val="000000" w:themeColor="text1"/>
          <w:sz w:val="16"/>
          <w:szCs w:val="16"/>
        </w:rPr>
        <w:softHyphen/>
        <w:t>дет возможность изыскать средства в пределах сметы УММ, без сокращения основных заказов.</w:t>
      </w:r>
    </w:p>
    <w:p w14:paraId="4AE0A5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Считать, что опытные танки </w:t>
      </w:r>
      <w:proofErr w:type="spellStart"/>
      <w:r w:rsidRPr="00A259BD">
        <w:rPr>
          <w:rFonts w:ascii="Times New Roman" w:hAnsi="Times New Roman"/>
          <w:color w:val="000000" w:themeColor="text1"/>
          <w:sz w:val="16"/>
          <w:szCs w:val="16"/>
        </w:rPr>
        <w:t>Фолльмера</w:t>
      </w:r>
      <w:proofErr w:type="spellEnd"/>
      <w:r w:rsidRPr="00A259BD">
        <w:rPr>
          <w:rFonts w:ascii="Times New Roman" w:hAnsi="Times New Roman"/>
          <w:color w:val="000000" w:themeColor="text1"/>
          <w:sz w:val="16"/>
          <w:szCs w:val="16"/>
        </w:rPr>
        <w:t xml:space="preserve"> должны строиться за счет промышленности.</w:t>
      </w:r>
    </w:p>
    <w:p w14:paraId="2736AD6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Начальнику УММ обеспечить получение 400 шт. трехосных шасси, включенных в план </w:t>
      </w:r>
      <w:proofErr w:type="spellStart"/>
      <w:r w:rsidRPr="00A259BD">
        <w:rPr>
          <w:rFonts w:ascii="Times New Roman" w:hAnsi="Times New Roman"/>
          <w:color w:val="000000" w:themeColor="text1"/>
          <w:sz w:val="16"/>
          <w:szCs w:val="16"/>
        </w:rPr>
        <w:t>авто</w:t>
      </w:r>
      <w:r w:rsidRPr="00A259BD">
        <w:rPr>
          <w:rFonts w:ascii="Times New Roman" w:hAnsi="Times New Roman"/>
          <w:color w:val="000000" w:themeColor="text1"/>
          <w:sz w:val="16"/>
          <w:szCs w:val="16"/>
        </w:rPr>
        <w:softHyphen/>
        <w:t>импорта</w:t>
      </w:r>
      <w:proofErr w:type="spellEnd"/>
      <w:r w:rsidRPr="00A259BD">
        <w:rPr>
          <w:rFonts w:ascii="Times New Roman" w:hAnsi="Times New Roman"/>
          <w:color w:val="000000" w:themeColor="text1"/>
          <w:sz w:val="16"/>
          <w:szCs w:val="16"/>
        </w:rPr>
        <w:t xml:space="preserve"> текущего года.</w:t>
      </w:r>
    </w:p>
    <w:p w14:paraId="77A7E0D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О качестве изготовленных заводом “Большевик” танков, начальнику УММ представить осо</w:t>
      </w:r>
      <w:r w:rsidRPr="00A259BD">
        <w:rPr>
          <w:rFonts w:ascii="Times New Roman" w:hAnsi="Times New Roman"/>
          <w:color w:val="000000" w:themeColor="text1"/>
          <w:sz w:val="16"/>
          <w:szCs w:val="16"/>
        </w:rPr>
        <w:softHyphen/>
        <w:t>бый доклад Председателю РВС.</w:t>
      </w:r>
    </w:p>
    <w:p w14:paraId="7E6AC6A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615376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Председатель РВС СССР Ворошилов</w:t>
      </w:r>
    </w:p>
    <w:p w14:paraId="59FD3A8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Секретарь РВС СССР </w:t>
      </w:r>
      <w:proofErr w:type="spellStart"/>
      <w:r w:rsidRPr="00A259BD">
        <w:rPr>
          <w:rFonts w:ascii="Times New Roman" w:hAnsi="Times New Roman"/>
          <w:color w:val="000000" w:themeColor="text1"/>
          <w:sz w:val="16"/>
          <w:szCs w:val="16"/>
        </w:rPr>
        <w:t>Литуновский</w:t>
      </w:r>
      <w:proofErr w:type="spellEnd"/>
    </w:p>
    <w:p w14:paraId="62BBC2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РГВА. Ф. 31811. Оп. 1. Д. 4. Л. 8 - 9. Копия (11210).</w:t>
      </w:r>
    </w:p>
    <w:p w14:paraId="583310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088892"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746C246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3BC60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декабря 1929 в Москве взорвали Чудов монастырь (3481).</w:t>
      </w:r>
    </w:p>
    <w:p w14:paraId="1CDB52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770BD1" w14:textId="77777777" w:rsidR="00325881" w:rsidRPr="00A259BD" w:rsidRDefault="00325881"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E0D4537" w14:textId="77777777" w:rsidR="00325881" w:rsidRPr="00A259BD" w:rsidRDefault="0032588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BE72D0E" w14:textId="77777777" w:rsidR="00325881" w:rsidRPr="00A259BD" w:rsidRDefault="0032588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17 декабря 1929 капитан Королевских ВВС Артур Дж. Джонс-Уильямс и лейтенант Норман Х. Дженкинс отправились из Королевских ВВС в </w:t>
      </w:r>
      <w:proofErr w:type="spellStart"/>
      <w:r w:rsidRPr="00A259BD">
        <w:rPr>
          <w:rFonts w:ascii="Times New Roman" w:hAnsi="Times New Roman"/>
          <w:color w:val="000000" w:themeColor="text1"/>
          <w:sz w:val="16"/>
          <w:szCs w:val="16"/>
        </w:rPr>
        <w:t>Крэнвелле</w:t>
      </w:r>
      <w:proofErr w:type="spellEnd"/>
      <w:r w:rsidRPr="00A259BD">
        <w:rPr>
          <w:rFonts w:ascii="Times New Roman" w:hAnsi="Times New Roman"/>
          <w:color w:val="000000" w:themeColor="text1"/>
          <w:sz w:val="16"/>
          <w:szCs w:val="16"/>
        </w:rPr>
        <w:t xml:space="preserve"> в Англии на дальнемагистральном моноплане Фейри, чтобы установить новый рекорд дальности беспосадочного перелета в Южную Африку. Полет закончился трагедией позже в тот же день, когда их самолет врезался в гору Сент-Мари-дю-Зит в Атласских горах во французском Тунисе на высоте 2300 футов (701 метр) после 13 часов 40 минут в воздухе, убив обоих (20806).</w:t>
      </w:r>
    </w:p>
    <w:p w14:paraId="1EB8567E" w14:textId="77777777" w:rsidR="00325881" w:rsidRPr="00A259BD" w:rsidRDefault="00325881" w:rsidP="009236E3">
      <w:pPr>
        <w:spacing w:after="0" w:line="240" w:lineRule="auto"/>
        <w:jc w:val="both"/>
        <w:rPr>
          <w:rFonts w:ascii="Times New Roman" w:hAnsi="Times New Roman"/>
          <w:color w:val="000000" w:themeColor="text1"/>
          <w:sz w:val="16"/>
          <w:szCs w:val="16"/>
        </w:rPr>
      </w:pPr>
    </w:p>
    <w:p w14:paraId="24F8B5D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7465D66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1DFBF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18 декабря 1929 Чл.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Одоевский летал над Ленинградом на У-2 с М-11 на высоте 2800 м и мотор работал нормально. Согласно Одоевскому ЧФ также положительно оценил мотор. Это помогло принять решение об испытаниях У-2 с М-11 и запустить мотор в серию (2367,86).</w:t>
      </w:r>
    </w:p>
    <w:p w14:paraId="7FCB42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3BC3862" w14:textId="77777777" w:rsidR="003D7E8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56CBC411" w14:textId="77777777" w:rsidR="003D7E85" w:rsidRPr="00A259BD" w:rsidRDefault="003D7E8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2DB06B" w14:textId="77777777" w:rsidR="009864FE" w:rsidRPr="00A259BD" w:rsidRDefault="009864FE" w:rsidP="009236E3">
      <w:pPr>
        <w:spacing w:after="0" w:line="240" w:lineRule="auto"/>
        <w:jc w:val="both"/>
        <w:rPr>
          <w:rStyle w:val="af0"/>
          <w:rFonts w:ascii="Times New Roman" w:hAnsi="Times New Roman"/>
          <w:i w:val="0"/>
          <w:color w:val="000000" w:themeColor="text1"/>
          <w:sz w:val="16"/>
          <w:szCs w:val="16"/>
        </w:rPr>
      </w:pPr>
      <w:r w:rsidRPr="00A259BD">
        <w:rPr>
          <w:rFonts w:ascii="Times New Roman" w:hAnsi="Times New Roman"/>
          <w:bCs/>
          <w:color w:val="000000" w:themeColor="text1"/>
          <w:sz w:val="16"/>
          <w:szCs w:val="16"/>
        </w:rPr>
        <w:t>18 декабря 1929 г. — Объяснительная записка ГВПУ к материалам о потребности военной промышленности в инженерно-техническом персонале на пятилетку</w:t>
      </w:r>
    </w:p>
    <w:p w14:paraId="0DD5D676" w14:textId="77777777" w:rsidR="003D7E85" w:rsidRPr="00A259BD" w:rsidRDefault="003D7E85"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Секретно.</w:t>
      </w:r>
    </w:p>
    <w:p w14:paraId="5F911B52" w14:textId="77777777" w:rsidR="003D7E85" w:rsidRPr="00A259BD" w:rsidRDefault="003D7E85" w:rsidP="009236E3">
      <w:pPr>
        <w:pStyle w:val="rtejustify"/>
        <w:spacing w:before="0" w:after="0"/>
        <w:rPr>
          <w:color w:val="000000" w:themeColor="text1"/>
          <w:sz w:val="16"/>
          <w:szCs w:val="16"/>
        </w:rPr>
      </w:pPr>
      <w:r w:rsidRPr="00A259BD">
        <w:rPr>
          <w:color w:val="000000" w:themeColor="text1"/>
          <w:sz w:val="16"/>
          <w:szCs w:val="16"/>
        </w:rPr>
        <w:t>Насыщенность заводов военной промышленности инженерно-техническим персоналом крайне слаба. По таким, например, ответственным группам специальностей, как металлургическая и механическая имеется всего 1% инженеров и 1,35% техников, а по химической группе 0,77% инженеров и 1,13% техников. Такая слабая насыщенность вызывает необходимость вовлечь в военную промышленность за 5 лет значительное количество инженерно-технического персонала (4113 инженеров и 6463 техника). При таком пополнении получится к концу пятилетки насыщенность но инженерам в 3,8%, по техникам в 6%, а всего 9,8%.</w:t>
      </w:r>
    </w:p>
    <w:p w14:paraId="5CD20A4E" w14:textId="77777777" w:rsidR="003D7E85" w:rsidRPr="00A259BD" w:rsidRDefault="003D7E85" w:rsidP="009236E3">
      <w:pPr>
        <w:pStyle w:val="rtejustify"/>
        <w:spacing w:before="0" w:after="0"/>
        <w:rPr>
          <w:color w:val="000000" w:themeColor="text1"/>
          <w:sz w:val="16"/>
          <w:szCs w:val="16"/>
        </w:rPr>
      </w:pPr>
      <w:r w:rsidRPr="00A259BD">
        <w:rPr>
          <w:color w:val="000000" w:themeColor="text1"/>
          <w:sz w:val="16"/>
          <w:szCs w:val="16"/>
        </w:rPr>
        <w:t xml:space="preserve">Такой процент насыщенности приближается [к] наличию инженерно-технического персонала в соответствующей германской промышленности, в которой, по данным переписи 1925 г., было 9,84% инженерно-технического персонала в машиностроении и 10% в химической промышленности. По данным некоторых трестов гражданской промышленности, выясняется, что [заводы] </w:t>
      </w:r>
      <w:proofErr w:type="spellStart"/>
      <w:r w:rsidRPr="00A259BD">
        <w:rPr>
          <w:color w:val="000000" w:themeColor="text1"/>
          <w:sz w:val="16"/>
          <w:szCs w:val="16"/>
        </w:rPr>
        <w:t>Гомзы</w:t>
      </w:r>
      <w:proofErr w:type="spellEnd"/>
      <w:r w:rsidRPr="00A259BD">
        <w:rPr>
          <w:color w:val="000000" w:themeColor="text1"/>
          <w:sz w:val="16"/>
          <w:szCs w:val="16"/>
        </w:rPr>
        <w:t xml:space="preserve">, например, имеют насыщенность в 0,64% инженеров и 1,2% техников и проектируют довести к концу пятилетки общую насыщенность до 5%. </w:t>
      </w:r>
      <w:proofErr w:type="spellStart"/>
      <w:r w:rsidRPr="00A259BD">
        <w:rPr>
          <w:color w:val="000000" w:themeColor="text1"/>
          <w:sz w:val="16"/>
          <w:szCs w:val="16"/>
        </w:rPr>
        <w:t>Мосмаштрест</w:t>
      </w:r>
      <w:proofErr w:type="spellEnd"/>
      <w:r w:rsidRPr="00A259BD">
        <w:rPr>
          <w:color w:val="000000" w:themeColor="text1"/>
          <w:sz w:val="16"/>
          <w:szCs w:val="16"/>
        </w:rPr>
        <w:t xml:space="preserve"> имеет насыщенность в 2,25% инженеров и 2,17% техников и проектирует насыщенность в 10%.</w:t>
      </w:r>
    </w:p>
    <w:p w14:paraId="00E2334C" w14:textId="77777777" w:rsidR="003D7E85" w:rsidRPr="00A259BD" w:rsidRDefault="003D7E85" w:rsidP="009236E3">
      <w:pPr>
        <w:pStyle w:val="rtejustify"/>
        <w:spacing w:before="0" w:after="0"/>
        <w:rPr>
          <w:color w:val="000000" w:themeColor="text1"/>
          <w:sz w:val="16"/>
          <w:szCs w:val="16"/>
        </w:rPr>
      </w:pPr>
      <w:r w:rsidRPr="00A259BD">
        <w:rPr>
          <w:color w:val="000000" w:themeColor="text1"/>
          <w:sz w:val="16"/>
          <w:szCs w:val="16"/>
        </w:rPr>
        <w:t>Если выделить те специальности, которые имеют для военной промышленности наибольшее значение, то потребность в таковых за 5 лет выразится в количестве 1734 инженеров и 3884 техника, причем с учетом пополнения от контрактации эта потребность снижается до 1186 инженеров и 2698 техников. Следует указать, что потребность в техниках будет ниже, потому что техники контрактовались также непосредственно самими заводами, но цифровых данных в трестах пока не имеется.</w:t>
      </w:r>
    </w:p>
    <w:p w14:paraId="00D69FBD" w14:textId="77777777" w:rsidR="003D7E85" w:rsidRPr="00A259BD" w:rsidRDefault="003D7E85" w:rsidP="009236E3">
      <w:pPr>
        <w:pStyle w:val="rtejustify"/>
        <w:spacing w:before="0" w:after="0"/>
        <w:rPr>
          <w:color w:val="000000" w:themeColor="text1"/>
          <w:sz w:val="16"/>
          <w:szCs w:val="16"/>
        </w:rPr>
      </w:pPr>
      <w:r w:rsidRPr="00A259BD">
        <w:rPr>
          <w:color w:val="000000" w:themeColor="text1"/>
          <w:sz w:val="16"/>
          <w:szCs w:val="16"/>
        </w:rPr>
        <w:t>Ввиду того что организация новых втузов и техникумов даже с сокращенным сроком обучения может дать первый выпуск только к самому концу пятилетки, такой способ пополнения потребностей для текущей пятилетки практического значения не имеет: эта потребность должна покрываться при помощи ряда мероприятий, которые могли бы дать соответствующий эффект в сравнительно короткий срок. Кроме того, необходимо будет осуществить определенные мероприятия, направленные к более рациональному использованию наличных кадров:</w:t>
      </w:r>
    </w:p>
    <w:p w14:paraId="44BAC0D2" w14:textId="77777777" w:rsidR="003D7E85" w:rsidRPr="00A259BD" w:rsidRDefault="003D7E85" w:rsidP="009236E3">
      <w:pPr>
        <w:pStyle w:val="rtejustify"/>
        <w:spacing w:before="0" w:after="0"/>
        <w:rPr>
          <w:color w:val="000000" w:themeColor="text1"/>
          <w:sz w:val="16"/>
          <w:szCs w:val="16"/>
        </w:rPr>
      </w:pPr>
      <w:r w:rsidRPr="00A259BD">
        <w:rPr>
          <w:color w:val="000000" w:themeColor="text1"/>
          <w:sz w:val="16"/>
          <w:szCs w:val="16"/>
        </w:rPr>
        <w:t>1. Перевод студентов старших курсов других специальностей на соответствующие факультеты и отделения с целью подготовить инженерно-технический персонал для военной промышленности.</w:t>
      </w:r>
    </w:p>
    <w:p w14:paraId="4B840F3E" w14:textId="77777777" w:rsidR="003D7E85" w:rsidRPr="00A259BD" w:rsidRDefault="003D7E85" w:rsidP="009236E3">
      <w:pPr>
        <w:pStyle w:val="rtejustify"/>
        <w:spacing w:before="0" w:after="0"/>
        <w:rPr>
          <w:color w:val="000000" w:themeColor="text1"/>
          <w:sz w:val="16"/>
          <w:szCs w:val="16"/>
        </w:rPr>
      </w:pPr>
      <w:r w:rsidRPr="00A259BD">
        <w:rPr>
          <w:color w:val="000000" w:themeColor="text1"/>
          <w:sz w:val="16"/>
          <w:szCs w:val="16"/>
        </w:rPr>
        <w:t>2. Открытие новых таких отделений при втузах и техникумах.</w:t>
      </w:r>
    </w:p>
    <w:p w14:paraId="24498BAD" w14:textId="77777777" w:rsidR="003D7E85" w:rsidRPr="00A259BD" w:rsidRDefault="003D7E85" w:rsidP="009236E3">
      <w:pPr>
        <w:pStyle w:val="rtejustify"/>
        <w:spacing w:before="0" w:after="0"/>
        <w:rPr>
          <w:color w:val="000000" w:themeColor="text1"/>
          <w:sz w:val="16"/>
          <w:szCs w:val="16"/>
        </w:rPr>
      </w:pPr>
      <w:r w:rsidRPr="00A259BD">
        <w:rPr>
          <w:color w:val="000000" w:themeColor="text1"/>
          <w:sz w:val="16"/>
          <w:szCs w:val="16"/>
        </w:rPr>
        <w:t>3. Организация краткосрочных курсов (примерно одномесячных) для переподготовки молодых инженеров и техников на соответствующие специальности.</w:t>
      </w:r>
    </w:p>
    <w:p w14:paraId="348030A2" w14:textId="77777777" w:rsidR="003D7E85" w:rsidRPr="00A259BD" w:rsidRDefault="003D7E85" w:rsidP="009236E3">
      <w:pPr>
        <w:pStyle w:val="rtejustify"/>
        <w:spacing w:before="0" w:after="0"/>
        <w:rPr>
          <w:color w:val="000000" w:themeColor="text1"/>
          <w:sz w:val="16"/>
          <w:szCs w:val="16"/>
        </w:rPr>
      </w:pPr>
      <w:r w:rsidRPr="00A259BD">
        <w:rPr>
          <w:color w:val="000000" w:themeColor="text1"/>
          <w:sz w:val="16"/>
          <w:szCs w:val="16"/>
        </w:rPr>
        <w:t>4. Осуществить в возможно максимальном размере контрактацию, в частности привлечь к контрактации провинциальные втузы.</w:t>
      </w:r>
    </w:p>
    <w:p w14:paraId="34D686F3" w14:textId="77777777" w:rsidR="003D7E85" w:rsidRPr="00A259BD" w:rsidRDefault="003D7E85" w:rsidP="009236E3">
      <w:pPr>
        <w:pStyle w:val="rtejustify"/>
        <w:spacing w:before="0" w:after="0"/>
        <w:rPr>
          <w:color w:val="000000" w:themeColor="text1"/>
          <w:sz w:val="16"/>
          <w:szCs w:val="16"/>
        </w:rPr>
      </w:pPr>
      <w:r w:rsidRPr="00A259BD">
        <w:rPr>
          <w:color w:val="000000" w:themeColor="text1"/>
          <w:sz w:val="16"/>
          <w:szCs w:val="16"/>
        </w:rPr>
        <w:t>5. Выяснить контингент учащихся в военизированных втузах и разработать в связи с этим вопрос об открытии специального втуза для военной промышленности.</w:t>
      </w:r>
    </w:p>
    <w:p w14:paraId="2503F8C9" w14:textId="77777777" w:rsidR="003D7E85" w:rsidRPr="00A259BD" w:rsidRDefault="003D7E85" w:rsidP="009236E3">
      <w:pPr>
        <w:pStyle w:val="rtejustify"/>
        <w:spacing w:before="0" w:after="0"/>
        <w:rPr>
          <w:color w:val="000000" w:themeColor="text1"/>
          <w:sz w:val="16"/>
          <w:szCs w:val="16"/>
        </w:rPr>
      </w:pPr>
      <w:r w:rsidRPr="00A259BD">
        <w:rPr>
          <w:color w:val="000000" w:themeColor="text1"/>
          <w:sz w:val="16"/>
          <w:szCs w:val="16"/>
        </w:rPr>
        <w:t>6. Уменьшить потребность в инженерах путем увеличения количества техников, установив примерное соотношение инженеров к техникам как 1:3, т. е. 2,45% и 7,35%.</w:t>
      </w:r>
    </w:p>
    <w:p w14:paraId="246C0F10" w14:textId="77777777" w:rsidR="003D7E85" w:rsidRPr="00A259BD" w:rsidRDefault="003D7E85" w:rsidP="009236E3">
      <w:pPr>
        <w:pStyle w:val="rtejustify"/>
        <w:spacing w:before="0" w:after="0"/>
        <w:rPr>
          <w:color w:val="000000" w:themeColor="text1"/>
          <w:sz w:val="16"/>
          <w:szCs w:val="16"/>
        </w:rPr>
      </w:pPr>
      <w:r w:rsidRPr="00A259BD">
        <w:rPr>
          <w:color w:val="000000" w:themeColor="text1"/>
          <w:sz w:val="16"/>
          <w:szCs w:val="16"/>
        </w:rPr>
        <w:t>7. Пополнить ряды техников выдвиженцами из высококвалифицированных рабочих путем соответствующей их подготовки или заочным образованием.</w:t>
      </w:r>
    </w:p>
    <w:p w14:paraId="608A9CB2" w14:textId="77777777" w:rsidR="003D7E85" w:rsidRPr="00A259BD" w:rsidRDefault="003D7E85" w:rsidP="009236E3">
      <w:pPr>
        <w:pStyle w:val="rtejustify"/>
        <w:spacing w:before="0" w:after="0"/>
        <w:rPr>
          <w:color w:val="000000" w:themeColor="text1"/>
          <w:sz w:val="16"/>
          <w:szCs w:val="16"/>
        </w:rPr>
      </w:pPr>
      <w:r w:rsidRPr="00A259BD">
        <w:rPr>
          <w:color w:val="000000" w:themeColor="text1"/>
          <w:sz w:val="16"/>
          <w:szCs w:val="16"/>
        </w:rPr>
        <w:t>8. Разгрузить инженерно-технический персонал от работ, которые могут быть выполнены лицами без специального технического образования.</w:t>
      </w:r>
    </w:p>
    <w:p w14:paraId="40AA483C" w14:textId="77777777" w:rsidR="003D7E85" w:rsidRPr="00A259BD" w:rsidRDefault="003D7E85" w:rsidP="009236E3">
      <w:pPr>
        <w:pStyle w:val="rtejustify"/>
        <w:spacing w:before="0" w:after="0"/>
        <w:rPr>
          <w:color w:val="000000" w:themeColor="text1"/>
          <w:sz w:val="16"/>
          <w:szCs w:val="16"/>
        </w:rPr>
      </w:pPr>
      <w:r w:rsidRPr="00A259BD">
        <w:rPr>
          <w:color w:val="000000" w:themeColor="text1"/>
          <w:sz w:val="16"/>
          <w:szCs w:val="16"/>
        </w:rPr>
        <w:t>9. Ввиду значительной потребности в техниках необходимо обратить сугубое внимание на максимальное использование соответствующих техникумов. К подготовке специалистов для военной промышленности необходимо приспособить следующие техникумы: 1) Рыбинский механический; 2) Сталинградский индустриальный; 3) Таганрогский механический; 4) Запорожский механический; 5) Пермский индустриальный; 6) Дзержинский (</w:t>
      </w:r>
      <w:proofErr w:type="spellStart"/>
      <w:r w:rsidRPr="00A259BD">
        <w:rPr>
          <w:color w:val="000000" w:themeColor="text1"/>
          <w:sz w:val="16"/>
          <w:szCs w:val="16"/>
        </w:rPr>
        <w:t>Растяпино</w:t>
      </w:r>
      <w:proofErr w:type="spellEnd"/>
      <w:r w:rsidRPr="00A259BD">
        <w:rPr>
          <w:color w:val="000000" w:themeColor="text1"/>
          <w:sz w:val="16"/>
          <w:szCs w:val="16"/>
        </w:rPr>
        <w:t>); 7) </w:t>
      </w:r>
      <w:proofErr w:type="spellStart"/>
      <w:r w:rsidRPr="00A259BD">
        <w:rPr>
          <w:color w:val="000000" w:themeColor="text1"/>
          <w:sz w:val="16"/>
          <w:szCs w:val="16"/>
        </w:rPr>
        <w:t>Шостенский</w:t>
      </w:r>
      <w:proofErr w:type="spellEnd"/>
      <w:r w:rsidRPr="00A259BD">
        <w:rPr>
          <w:color w:val="000000" w:themeColor="text1"/>
          <w:sz w:val="16"/>
          <w:szCs w:val="16"/>
        </w:rPr>
        <w:t xml:space="preserve"> химический; 8) Казанский индустриальный; 9) Тульский вечерний; 10) Ижевский вечерний; 11) Мотовилихинский вечерний. Выпуск этих техникумов должен быть доведен до 60 чел., так что ежегодно можно будет получить около 600 техников.</w:t>
      </w:r>
    </w:p>
    <w:p w14:paraId="5FA1EB07" w14:textId="77777777" w:rsidR="003D7E85" w:rsidRPr="00A259BD" w:rsidRDefault="003D7E85" w:rsidP="009236E3">
      <w:pPr>
        <w:pStyle w:val="rtejustify"/>
        <w:spacing w:before="0" w:after="0"/>
        <w:rPr>
          <w:color w:val="000000" w:themeColor="text1"/>
          <w:sz w:val="16"/>
          <w:szCs w:val="16"/>
        </w:rPr>
      </w:pPr>
      <w:r w:rsidRPr="00A259BD">
        <w:rPr>
          <w:color w:val="000000" w:themeColor="text1"/>
          <w:sz w:val="16"/>
          <w:szCs w:val="16"/>
        </w:rPr>
        <w:t>Представленный трестами материал по пятилетке имеет ряд дефектов и неточностей, главным образом в смысле распределения по специальностям. Кроме того, производственная программа, которая легла в основу при подсчете пятилетки, также не является окончательно установленной и будет изменена в сторону увеличения, вследствие чего увеличится и потребность в инженерно-техническом персонале. Необходимо поэтому произвести дальнейшую работу по уточнению этой пятилеткой потребности.</w:t>
      </w:r>
    </w:p>
    <w:p w14:paraId="61C26573" w14:textId="77777777" w:rsidR="003D7E85" w:rsidRPr="00A259BD" w:rsidRDefault="003D7E85" w:rsidP="009236E3">
      <w:pPr>
        <w:pStyle w:val="ae"/>
        <w:spacing w:before="0" w:after="0"/>
        <w:jc w:val="both"/>
        <w:rPr>
          <w:color w:val="000000" w:themeColor="text1"/>
          <w:sz w:val="16"/>
          <w:szCs w:val="16"/>
        </w:rPr>
      </w:pPr>
      <w:r w:rsidRPr="00A259BD">
        <w:rPr>
          <w:rStyle w:val="af0"/>
          <w:i w:val="0"/>
          <w:color w:val="000000" w:themeColor="text1"/>
          <w:sz w:val="16"/>
          <w:szCs w:val="16"/>
        </w:rPr>
        <w:t>Член коллегии ГВПУ Масленников</w:t>
      </w:r>
    </w:p>
    <w:p w14:paraId="79BADAEB" w14:textId="77777777" w:rsidR="003D7E85" w:rsidRPr="00A259BD" w:rsidRDefault="003D7E85" w:rsidP="009236E3">
      <w:pPr>
        <w:pStyle w:val="ae"/>
        <w:spacing w:before="0" w:after="0"/>
        <w:jc w:val="both"/>
        <w:rPr>
          <w:color w:val="000000" w:themeColor="text1"/>
          <w:sz w:val="16"/>
          <w:szCs w:val="16"/>
        </w:rPr>
      </w:pPr>
      <w:r w:rsidRPr="00A259BD">
        <w:rPr>
          <w:rStyle w:val="af0"/>
          <w:i w:val="0"/>
          <w:color w:val="000000" w:themeColor="text1"/>
          <w:sz w:val="16"/>
          <w:szCs w:val="16"/>
        </w:rPr>
        <w:t>Начальник ОЭТ ГВПУ Образцов</w:t>
      </w:r>
    </w:p>
    <w:p w14:paraId="106D6A07" w14:textId="77777777" w:rsidR="003D7E85" w:rsidRPr="00A259BD" w:rsidRDefault="003D7E85" w:rsidP="009236E3">
      <w:pPr>
        <w:pStyle w:val="ae"/>
        <w:spacing w:before="0" w:after="0"/>
        <w:jc w:val="both"/>
        <w:rPr>
          <w:color w:val="000000" w:themeColor="text1"/>
          <w:sz w:val="16"/>
          <w:szCs w:val="16"/>
        </w:rPr>
      </w:pPr>
      <w:r w:rsidRPr="00A259BD">
        <w:rPr>
          <w:color w:val="000000" w:themeColor="text1"/>
          <w:sz w:val="16"/>
          <w:szCs w:val="16"/>
        </w:rPr>
        <w:t>РГАЭ. Ф. 4372. Оп. 91. Д. 357. Л. 14—14 об. Подлинник.</w:t>
      </w:r>
    </w:p>
    <w:p w14:paraId="50893D5F" w14:textId="77777777" w:rsidR="003D7E85" w:rsidRPr="00A259BD" w:rsidRDefault="003D7E8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4372. Оп. 91. Д. 357. Л. 14—14 об. Подлинник. </w:t>
      </w:r>
    </w:p>
    <w:p w14:paraId="3C045382" w14:textId="77777777" w:rsidR="003D7E85" w:rsidRPr="00A259BD" w:rsidRDefault="003D7E8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394-395 (12483).</w:t>
      </w:r>
    </w:p>
    <w:p w14:paraId="0D046E95" w14:textId="77777777" w:rsidR="003D7E85" w:rsidRPr="00A259BD" w:rsidRDefault="003D7E85" w:rsidP="009236E3">
      <w:pPr>
        <w:spacing w:after="0" w:line="240" w:lineRule="auto"/>
        <w:jc w:val="both"/>
        <w:rPr>
          <w:rFonts w:ascii="Times New Roman" w:hAnsi="Times New Roman"/>
          <w:color w:val="000000" w:themeColor="text1"/>
          <w:sz w:val="16"/>
          <w:szCs w:val="16"/>
        </w:rPr>
      </w:pPr>
    </w:p>
    <w:p w14:paraId="7E13011F" w14:textId="77777777" w:rsidR="009864FE"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A1F0EE7" w14:textId="77777777" w:rsidR="009864FE" w:rsidRPr="00A259BD" w:rsidRDefault="009864F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48B8B82" w14:textId="77777777" w:rsidR="009864FE" w:rsidRPr="00A259BD" w:rsidRDefault="009864FE" w:rsidP="009236E3">
      <w:pPr>
        <w:spacing w:after="0" w:line="240" w:lineRule="auto"/>
        <w:jc w:val="both"/>
        <w:rPr>
          <w:rFonts w:ascii="Times New Roman" w:hAnsi="Times New Roman"/>
          <w:color w:val="000000" w:themeColor="text1"/>
          <w:sz w:val="16"/>
          <w:szCs w:val="16"/>
        </w:rPr>
      </w:pPr>
      <w:r w:rsidRPr="00A259BD">
        <w:rPr>
          <w:rStyle w:val="ucoz-forum-post"/>
          <w:rFonts w:ascii="Times New Roman" w:hAnsi="Times New Roman"/>
          <w:bCs/>
          <w:color w:val="000000" w:themeColor="text1"/>
          <w:sz w:val="16"/>
          <w:szCs w:val="16"/>
        </w:rPr>
        <w:t xml:space="preserve">18 декабря </w:t>
      </w:r>
      <w:r w:rsidRPr="00A259BD">
        <w:rPr>
          <w:rFonts w:ascii="Times New Roman" w:hAnsi="Times New Roman"/>
          <w:color w:val="000000" w:themeColor="text1"/>
          <w:sz w:val="16"/>
          <w:szCs w:val="16"/>
        </w:rPr>
        <w:t>в 1929 году в Великобритании официально отменена смертная казнь за убийство (14864).</w:t>
      </w:r>
    </w:p>
    <w:p w14:paraId="0873E108" w14:textId="77777777" w:rsidR="009864FE" w:rsidRPr="00A259BD" w:rsidRDefault="009864FE" w:rsidP="009236E3">
      <w:pPr>
        <w:spacing w:after="0" w:line="240" w:lineRule="auto"/>
        <w:jc w:val="both"/>
        <w:rPr>
          <w:rFonts w:ascii="Times New Roman" w:hAnsi="Times New Roman"/>
          <w:color w:val="000000" w:themeColor="text1"/>
          <w:sz w:val="16"/>
          <w:szCs w:val="16"/>
        </w:rPr>
      </w:pPr>
    </w:p>
    <w:p w14:paraId="608CAB79" w14:textId="77777777" w:rsidR="003D7E8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F9B2A4F" w14:textId="77777777" w:rsidR="003D7E85" w:rsidRPr="00A259BD" w:rsidRDefault="003D7E8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EB2DB03" w14:textId="77777777" w:rsidR="003D7E85" w:rsidRPr="00A259BD" w:rsidRDefault="003D7E8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19 декабря 1929 г. Открытое письмо рабочего-коммуниста генеральному секретарю ЦК ВКП(б) </w:t>
      </w:r>
      <w:proofErr w:type="spellStart"/>
      <w:r w:rsidRPr="00A259BD">
        <w:rPr>
          <w:rFonts w:ascii="Times New Roman" w:hAnsi="Times New Roman"/>
          <w:color w:val="000000" w:themeColor="text1"/>
          <w:sz w:val="16"/>
          <w:szCs w:val="16"/>
        </w:rPr>
        <w:t>И.В.Сталину</w:t>
      </w:r>
      <w:proofErr w:type="spellEnd"/>
      <w:r w:rsidRPr="00A259BD">
        <w:rPr>
          <w:rFonts w:ascii="Times New Roman" w:hAnsi="Times New Roman"/>
          <w:color w:val="000000" w:themeColor="text1"/>
          <w:sz w:val="16"/>
          <w:szCs w:val="16"/>
        </w:rPr>
        <w:t xml:space="preserve"> с критикой политического курса</w:t>
      </w:r>
    </w:p>
    <w:p w14:paraId="3E88D26A" w14:textId="77777777" w:rsidR="003D7E85" w:rsidRPr="00A259BD" w:rsidRDefault="003D7E8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Открытое письмо</w:t>
      </w:r>
    </w:p>
    <w:p w14:paraId="21FCFB8F" w14:textId="77777777" w:rsidR="003D7E85" w:rsidRPr="00A259BD" w:rsidRDefault="003D7E8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Рабочего одного из ленинградских заводов, находящихся на Петроградской стороне.</w:t>
      </w:r>
    </w:p>
    <w:p w14:paraId="014B68A2" w14:textId="77777777" w:rsidR="003D7E85" w:rsidRPr="00A259BD" w:rsidRDefault="003D7E8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Товарищ Сталин! Поздравляю тебя с днем твоего 50-летнего юбилея.1 Да, тов. Сталин, ты меня, наверное, не поймешь, о чем я напишу тебе тоже в день твоего юбилея. В действительности ты стальной, и рабочие нашего завода, просто выражаясь, означенный период переживания называют сталинским красным террором. Твоя политика стальная, но она по всем, ярко бросающимся в глаза видам на практике, ведет к неминуемому краху и изгнанию от власти нас, коммунаров. Я тоже коммунист, ни разу не был в оппозиции, чистокровный пролетарий, так как вышел из батраков и имею 15-летний трудовой стаж на одном заводе. Пишу тебе откровенно, так как знаю, что ты не узнаешь, кто писал, так как письмо это без подписей будет. Много я слышу, когда говорят, когда в прессе ежедневно трубят о наших достижениях и благополучии и о наших рабочих добровольно </w:t>
      </w:r>
      <w:proofErr w:type="spellStart"/>
      <w:r w:rsidRPr="00A259BD">
        <w:rPr>
          <w:rFonts w:ascii="Times New Roman" w:hAnsi="Times New Roman"/>
          <w:color w:val="000000" w:themeColor="text1"/>
          <w:sz w:val="16"/>
          <w:szCs w:val="16"/>
        </w:rPr>
        <w:t>энтузиастских</w:t>
      </w:r>
      <w:proofErr w:type="spellEnd"/>
      <w:r w:rsidRPr="00A259BD">
        <w:rPr>
          <w:rFonts w:ascii="Times New Roman" w:hAnsi="Times New Roman"/>
          <w:color w:val="000000" w:themeColor="text1"/>
          <w:sz w:val="16"/>
          <w:szCs w:val="16"/>
        </w:rPr>
        <w:t xml:space="preserve"> пожертвованиях и постановлениях, а также о прекрасном настроении рабочих фабрик и заводов. Неправда все это, тов. Сталин. За последний период я взялся проверить себя практически, прислушиваюсь везде и всюду, что говорят рабочие, и везде слышу одно: «Долго ли это будет продолжаться!» - говорят все, как один, рабочие, - «долго ли будут нам морочить голову, прекратится ли этот проклятый красный террор». Я не могу представить, как можно тебе, тов. Сталин, не знать, как можно тебе - человеку гениально мыслящему, допускать то, что творится сейчас у нас, а именно: знаешь ли ты о том, что за мысль, высказанную среди маленькой кучки рабочих в частной беседе, доносится в ГПУ и того человека привлекают за агитацию, арестовывают его и считают контрреволюционером, а потом и расстреливают. Разве это свобода слова? Разве это не красный террор? Примерно возьмем печать. Мы, коммунисты, кричим вовсю, что в буржуазных государствах за агитацию арестовывают, преследуют нашу коммунистическую печать, а также сажают в тюрьмы за принадлежность к рабочим партиям. А у нас? За это за все расстреливают, а печать других партий совершенно стерта с лица земли. В деревне нашли каких-то кулаков, которые трудятся до пота лица. На них накладывают непосильный налог и за несдачу этого налога крестьянина сосчитывают за злостного агитатора и пришивают ему срыв хлебозаготовок. Пресса ежедневно печатает, что такие-то приговорены к расстрелу. Ведь это уже полная шлейка людей без различия пола и возраста, ведь это же небывалый мировой террор!, который ведет к скорейшему восстанию и вешению нас, коммунаров. Неужели тебе неизвестно, что крестьяне все, как один, жаждут момента и со всей полнотой своей накипевшей злобы пойдут в города колоть нас вилами! Неужели ты не знаешь и того, что колхозы, на которые' ты взял сейчас курс, это будет лишний козырь у крестьян организованно свергнуть нас! Неужели ты еще до сих пор не осведомлен органами ГПУ о том, что рабочие до мозга костей жаждут в один из дней во всеоружии выйти на улицу и вырезать всех поголовно нас, коммунаров, и свергнуть наш террор! Неужели ты не знаешь того, что постановления на заводах выносятся маленькой кучкой людей, хорошо материально обеспеченных, а не общим собранием рабочих, а затем из получек высчитывают дни и рубли в пользу коллективизации и т.д. Неужели ты не знаешь, что рабочие </w:t>
      </w:r>
      <w:proofErr w:type="spellStart"/>
      <w:r w:rsidRPr="00A259BD">
        <w:rPr>
          <w:rFonts w:ascii="Times New Roman" w:hAnsi="Times New Roman"/>
          <w:color w:val="000000" w:themeColor="text1"/>
          <w:sz w:val="16"/>
          <w:szCs w:val="16"/>
        </w:rPr>
        <w:t>полуголодают</w:t>
      </w:r>
      <w:proofErr w:type="spellEnd"/>
      <w:r w:rsidRPr="00A259BD">
        <w:rPr>
          <w:rFonts w:ascii="Times New Roman" w:hAnsi="Times New Roman"/>
          <w:color w:val="000000" w:themeColor="text1"/>
          <w:sz w:val="16"/>
          <w:szCs w:val="16"/>
        </w:rPr>
        <w:t>, так как купить в магазине ничего нельзя, неужели ты не осведомлен и о том, что семья, имеющая маленького ребенка, не имеет возможности дать ему молока, так как его нет. Каково же по-твоему будет наше молодое поколение, кормя малолетних картошкою? Неужели ты веришь в то, что посевная площадь увеличилась, неужели ты не поставлен в известность о том, что в деревнях Ленинградской области и других северных областях, где было 100 голов скота, оставлены 40 процентов, и неужели ты, наконец, веришь тому, что в деревне есть кулаки и даешь крестьянина с двумя коровами и одной лошадью лишать права голоса. Да есть ли хоть в одном буржуазном государстве так, как сейчас у нас! Неужели ты не знаешь того, что Ме-</w:t>
      </w:r>
      <w:proofErr w:type="spellStart"/>
      <w:r w:rsidRPr="00A259BD">
        <w:rPr>
          <w:rFonts w:ascii="Times New Roman" w:hAnsi="Times New Roman"/>
          <w:color w:val="000000" w:themeColor="text1"/>
          <w:sz w:val="16"/>
          <w:szCs w:val="16"/>
        </w:rPr>
        <w:t>таллострою</w:t>
      </w:r>
      <w:proofErr w:type="spellEnd"/>
      <w:r w:rsidRPr="00A259BD">
        <w:rPr>
          <w:rFonts w:ascii="Times New Roman" w:hAnsi="Times New Roman"/>
          <w:color w:val="000000" w:themeColor="text1"/>
          <w:sz w:val="16"/>
          <w:szCs w:val="16"/>
        </w:rPr>
        <w:t xml:space="preserve"> в Ленинграде стоит дороже отремонтировать квартиру рабочему, чем продать все имущество так называемого нами кулака-лишенца в деревне. Мы говорим о наших достижениях во всех отраслях промышленности и в действительности это так и есть. Примерно, где я на заводе, мы за 7 часов вырабатываем продукции больше в 3 раза, чем раньше за 9-10 часов, а купить рабочий и крестьянин не может свободно 3 метра мануфактуры, а крестьянин одного фунта кровельных гвоздей или восьмушки </w:t>
      </w:r>
      <w:proofErr w:type="spellStart"/>
      <w:r w:rsidRPr="00A259BD">
        <w:rPr>
          <w:rFonts w:ascii="Times New Roman" w:hAnsi="Times New Roman"/>
          <w:color w:val="000000" w:themeColor="text1"/>
          <w:sz w:val="16"/>
          <w:szCs w:val="16"/>
        </w:rPr>
        <w:t>махрятины</w:t>
      </w:r>
      <w:proofErr w:type="spellEnd"/>
      <w:r w:rsidRPr="00A259BD">
        <w:rPr>
          <w:rFonts w:ascii="Times New Roman" w:hAnsi="Times New Roman"/>
          <w:color w:val="000000" w:themeColor="text1"/>
          <w:sz w:val="16"/>
          <w:szCs w:val="16"/>
        </w:rPr>
        <w:t xml:space="preserve">. Куда же девается -ответь? Неужели ты думаешь, рабочий и крестьянин доволен нами и хладнокровно все это переносит? Ох, у него кипит сердце, сильно растет в душе у него ненависть и копится злоба беспощадной мести. Теперь вопрос о национальностях. Неужели ты думаешь, что русский народ, когда-нибудь примирится с личностью еврея и будет считать его за брата? Неужели тебе Троцкий не доказал и не дал урока, что из себя представляет еврей? Ведь мы, рабочие, видим, что еврей везде и всюду старается как-нибудь да ошельмовать, увернуться, обмануть, </w:t>
      </w:r>
      <w:proofErr w:type="spellStart"/>
      <w:r w:rsidRPr="00A259BD">
        <w:rPr>
          <w:rFonts w:ascii="Times New Roman" w:hAnsi="Times New Roman"/>
          <w:color w:val="000000" w:themeColor="text1"/>
          <w:sz w:val="16"/>
          <w:szCs w:val="16"/>
        </w:rPr>
        <w:t>отлынить</w:t>
      </w:r>
      <w:proofErr w:type="spellEnd"/>
      <w:r w:rsidRPr="00A259BD">
        <w:rPr>
          <w:rFonts w:ascii="Times New Roman" w:hAnsi="Times New Roman"/>
          <w:color w:val="000000" w:themeColor="text1"/>
          <w:sz w:val="16"/>
          <w:szCs w:val="16"/>
        </w:rPr>
        <w:t>, провести нашего русского брата рабочего.2 Так за что же мы будем любить-то его, раз он - подлец, ведь в душе-то ты сознаешься, что гусь свинье - не товарищ, а все же мы нашли какой-то антисемитизм и судим даже тех, кто назовет еврея жидом. А по-моему, раз жид, так как же его назвать-то, не назовешь же русским. Пресса пишет, что в буржуазных государствах волнения, верю, охотно верю. Пресса пишет, что приехавшие делегаты из России рассказывают о том, что у нас свободно дышится, что у нас свобода в полном смысле, что у нас рабочий живет в 100 раз лучше, чем где-либо. Неужели ты думаешь, за границей не знают, что у нас не свобода, а каторга, неужели же, по-твоему, пишут не ложь? Да мы нищие, жалкие люди против рабочих буржуазных стран! Мы подонки общественности перед ними, вот кто мы есть, а не свободный русский пролетариат! Правы Бухарин, Рыков, Томский и Фрумкин3- они верно побывали на хлебозаготовках в деревне, и тебе советую поехать и узнать настроение миллионных масс крестьянства. Но поезжай только не под своей фамилией, в противном случае откровенности не увидишь. Из прессы видно, что крестьяне большим потоком хлынули в колхозы. Не так ты мыслишь и не так мыслит печать. Крестьяне идут в колхозы потому, что они стали нищими при нашей настоящей политике, и, идя в колхоз, у каждого мысль - организоваться и свергнуть нашу власть, которая довела миллионы трудящихся до обнищания. Приведу я пример тебе, товарищ Сталин, еще такой. Ты думаешь, инженерство и научные работники строят нам, созидают нам? Нет. Если ты так думаешь, то глубоко ошибаешься. Все они недовольны нами, все они кривят душою, подрывают втихомолку, что незаметно человеческому глазу коммунара. Убедился ли ты с хранением в Академии Наук документов политического характера?4 Это же яркий свидетель того, что ненависть растет, что все ожидают снижения красного террора. Теперь ответь-ка ты не мне, а сам себе, кто же за нас? Научные работники - против, инженеры - против, кулаки - против, торговцы - против, крестьяне - против, рабочие -против. Ты скажешь - твоя сталинская теория! Партия и сталинское единство! Ошибаешься. 90 процентов партийцев в душе тоже против нас и считает себя заблудившимися, как бараны. И продолжим: была бы война, 90 процентов ушло бы из партии, стали бы дезертирами и свергли бы власть. Знаешь ли ты, что война для нас явится виселицей, падением и разгоном партии ВКП(б) в такой степени, что и Нарымского края не дадут нам, а полнейшим изгнанием нас с земли СССР, и тогда нам не только что, а придется топиться в реках и озерах, кто останется не повешенным. Разве Сталину неизвестно, что в деревнях у некоторых крестьянских дворов отбирается хлеб в таком размере, что через 2 месяца этот крестьянин должен будет продать последнюю корову и лошадь и покупать для семьи, вместо отобранного хлеба, жмыхи и мякину, дабы не подохнуть с голода, а сам уехать на лесозаготовки и работать зиму за 1 рубль в день, как вол. К сведению - это такая плата на лесозаготовках, хотя бы взять Мурманск. А благодаря такой плате в Ленинграде и других городах - дровяной голод. Разве Сталин не знает, как в деревне проводятся советские мероприятия с разного рода обложением? Если Сталин не знает, так я скажу. Приезжает представитель, зовут на собрание, никто не идет. Тогда вызывают повестками человек 10 батраков, объявляют им то, зачем их позвали, этим начинается (так называемое по-нашему) общее собрание бедноты. Ставят вопрос на голосование, не голосует никто. Тогда, тов. Сталин, говорят: «Кто против Советской власти?». Ясно, кто же поднимет руку, ведь сочтут же за контрреволюцию. Затем говорят: «Кто за советскую власть?». Тянется вверх 2-3 мозолистых руки забитого батрака и этим объявляется, что такое-то собрание единогласно постановило. Вот так-то, тов. Сталин, есть наяву положение в деревне. Разве может так дальше продолжаться? Разве это говорит хоть чуть-чуть за то, что середняк и батрак за нашу власть? Да нет! Это говорит за то, что мы со своей политикой в деревне скатились к полному недоверию, а раз недоверие существует, наши дни сочтены. В день твоего пятидесятилетнего юбилея подумай своим гениальным умом, нажми на кнопки наших уже сильных рычагов промышленности и измени в корне нынешнюю политику. Издавай законы, чтобы они были понятны каждому рабочему и крестьянину, а не такие, которые можно толковать и понимать по-разному. Нажми на представителей власти низов и расспроси у них действительное положение на местах, да так нажми, чтобы они посвятили тебя в откровенность и пролили свет, в каком состоянии и в каком положении мы находимся. Ты, наверное, подумаешь, что пишет тебе какой-нибудь из бывших. Нет, тов. Сталин, пишет тебе тот, кто хотел бы видеть социализм и страдает душевно за искажение и немыслимость его осуществления при этом.</w:t>
      </w:r>
    </w:p>
    <w:p w14:paraId="44F9AD7F" w14:textId="77777777" w:rsidR="003D7E85" w:rsidRPr="00A259BD" w:rsidRDefault="003D7E8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Резолюция: «Секретарю Ленинградского ОК ВКП(б)».5</w:t>
      </w:r>
    </w:p>
    <w:p w14:paraId="3981C624" w14:textId="77777777" w:rsidR="003D7E85" w:rsidRPr="00A259BD" w:rsidRDefault="003D7E85"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ЦГАИПДСПб</w:t>
      </w:r>
      <w:proofErr w:type="spellEnd"/>
      <w:r w:rsidRPr="00A259BD">
        <w:rPr>
          <w:rFonts w:ascii="Times New Roman" w:hAnsi="Times New Roman"/>
          <w:color w:val="000000" w:themeColor="text1"/>
          <w:sz w:val="16"/>
          <w:szCs w:val="16"/>
          <w:lang w:val="en-US"/>
        </w:rPr>
        <w:t xml:space="preserve">. </w:t>
      </w:r>
      <w:r w:rsidRPr="00A259BD">
        <w:rPr>
          <w:rFonts w:ascii="Times New Roman" w:hAnsi="Times New Roman"/>
          <w:color w:val="000000" w:themeColor="text1"/>
          <w:sz w:val="16"/>
          <w:szCs w:val="16"/>
        </w:rPr>
        <w:t>Ф</w:t>
      </w:r>
      <w:r w:rsidRPr="00A259BD">
        <w:rPr>
          <w:rFonts w:ascii="Times New Roman" w:hAnsi="Times New Roman"/>
          <w:color w:val="000000" w:themeColor="text1"/>
          <w:sz w:val="16"/>
          <w:szCs w:val="16"/>
          <w:lang w:val="en-US"/>
        </w:rPr>
        <w:t xml:space="preserve">. 24, on. 16, </w:t>
      </w:r>
      <w:r w:rsidRPr="00A259BD">
        <w:rPr>
          <w:rFonts w:ascii="Times New Roman" w:hAnsi="Times New Roman"/>
          <w:color w:val="000000" w:themeColor="text1"/>
          <w:sz w:val="16"/>
          <w:szCs w:val="16"/>
        </w:rPr>
        <w:t>д</w:t>
      </w:r>
      <w:r w:rsidRPr="00A259BD">
        <w:rPr>
          <w:rFonts w:ascii="Times New Roman" w:hAnsi="Times New Roman"/>
          <w:color w:val="000000" w:themeColor="text1"/>
          <w:sz w:val="16"/>
          <w:szCs w:val="16"/>
          <w:lang w:val="en-US"/>
        </w:rPr>
        <w:t xml:space="preserve">. 177, </w:t>
      </w:r>
      <w:r w:rsidRPr="00A259BD">
        <w:rPr>
          <w:rFonts w:ascii="Times New Roman" w:hAnsi="Times New Roman"/>
          <w:color w:val="000000" w:themeColor="text1"/>
          <w:sz w:val="16"/>
          <w:szCs w:val="16"/>
        </w:rPr>
        <w:t>л</w:t>
      </w:r>
      <w:r w:rsidRPr="00A259BD">
        <w:rPr>
          <w:rFonts w:ascii="Times New Roman" w:hAnsi="Times New Roman"/>
          <w:color w:val="000000" w:themeColor="text1"/>
          <w:sz w:val="16"/>
          <w:szCs w:val="16"/>
          <w:lang w:val="en-US"/>
        </w:rPr>
        <w:t xml:space="preserve">. 12-15. </w:t>
      </w:r>
      <w:r w:rsidRPr="00A259BD">
        <w:rPr>
          <w:rFonts w:ascii="Times New Roman" w:hAnsi="Times New Roman"/>
          <w:color w:val="000000" w:themeColor="text1"/>
          <w:sz w:val="16"/>
          <w:szCs w:val="16"/>
        </w:rPr>
        <w:t>Подлинник. Рукопись.</w:t>
      </w:r>
    </w:p>
    <w:p w14:paraId="429B32B0" w14:textId="77777777" w:rsidR="003D7E85" w:rsidRPr="00A259BD" w:rsidRDefault="003D7E8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50-летний юбилей </w:t>
      </w:r>
      <w:proofErr w:type="spellStart"/>
      <w:r w:rsidRPr="00A259BD">
        <w:rPr>
          <w:rFonts w:ascii="Times New Roman" w:hAnsi="Times New Roman"/>
          <w:color w:val="000000" w:themeColor="text1"/>
          <w:sz w:val="16"/>
          <w:szCs w:val="16"/>
        </w:rPr>
        <w:t>И.В.Сталина</w:t>
      </w:r>
      <w:proofErr w:type="spellEnd"/>
      <w:r w:rsidRPr="00A259BD">
        <w:rPr>
          <w:rFonts w:ascii="Times New Roman" w:hAnsi="Times New Roman"/>
          <w:color w:val="000000" w:themeColor="text1"/>
          <w:sz w:val="16"/>
          <w:szCs w:val="16"/>
        </w:rPr>
        <w:t xml:space="preserve"> торжественно праздновался 21 декабря 1929 г. (позднее было установлено по церковной метрической книге, что в действительности он родился на год раньше, 6 (18) декабря 1878 г.). В приветствии ЦК ВКП(б) Сталин был назван «лучшим, самым стойким и последовательным из непосредственных учеников и соратников Ленина», а в передовице «Правды» - самым выдающимся теоретиком ленинизма. Помпезное празднование юбилея Сталина явилось толчком к развертыванию культа Сталина, его неумеренным восхвалениям с эпитетами «великий», «гениальный», «вождь трудящихся всего мира», приписываниям ему вымышленных заслуг в революции и гражданской войне, повсеместному вывешиванию его портретов и установке его памятников.</w:t>
      </w:r>
    </w:p>
    <w:p w14:paraId="56F45B15" w14:textId="77777777" w:rsidR="003D7E85" w:rsidRPr="00A259BD" w:rsidRDefault="003D7E8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2В ответ на антисталинские выступления </w:t>
      </w:r>
      <w:proofErr w:type="spellStart"/>
      <w:r w:rsidRPr="00A259BD">
        <w:rPr>
          <w:rFonts w:ascii="Times New Roman" w:hAnsi="Times New Roman"/>
          <w:color w:val="000000" w:themeColor="text1"/>
          <w:sz w:val="16"/>
          <w:szCs w:val="16"/>
        </w:rPr>
        <w:t>Л.Д.Троцкого</w:t>
      </w:r>
      <w:proofErr w:type="spellEnd"/>
      <w:r w:rsidRPr="00A259BD">
        <w:rPr>
          <w:rFonts w:ascii="Times New Roman" w:hAnsi="Times New Roman"/>
          <w:color w:val="000000" w:themeColor="text1"/>
          <w:sz w:val="16"/>
          <w:szCs w:val="16"/>
        </w:rPr>
        <w:t xml:space="preserve">, высланного в феврале 1929 г. в Турцию, </w:t>
      </w:r>
      <w:proofErr w:type="spellStart"/>
      <w:r w:rsidRPr="00A259BD">
        <w:rPr>
          <w:rFonts w:ascii="Times New Roman" w:hAnsi="Times New Roman"/>
          <w:color w:val="000000" w:themeColor="text1"/>
          <w:sz w:val="16"/>
          <w:szCs w:val="16"/>
        </w:rPr>
        <w:t>Е.М.Ярославский</w:t>
      </w:r>
      <w:proofErr w:type="spellEnd"/>
      <w:r w:rsidRPr="00A259BD">
        <w:rPr>
          <w:rFonts w:ascii="Times New Roman" w:hAnsi="Times New Roman"/>
          <w:color w:val="000000" w:themeColor="text1"/>
          <w:sz w:val="16"/>
          <w:szCs w:val="16"/>
        </w:rPr>
        <w:t xml:space="preserve"> по поручению </w:t>
      </w:r>
      <w:proofErr w:type="spellStart"/>
      <w:r w:rsidRPr="00A259BD">
        <w:rPr>
          <w:rFonts w:ascii="Times New Roman" w:hAnsi="Times New Roman"/>
          <w:color w:val="000000" w:themeColor="text1"/>
          <w:sz w:val="16"/>
          <w:szCs w:val="16"/>
        </w:rPr>
        <w:t>И.В.Сталина</w:t>
      </w:r>
      <w:proofErr w:type="spellEnd"/>
      <w:r w:rsidRPr="00A259BD">
        <w:rPr>
          <w:rFonts w:ascii="Times New Roman" w:hAnsi="Times New Roman"/>
          <w:color w:val="000000" w:themeColor="text1"/>
          <w:sz w:val="16"/>
          <w:szCs w:val="16"/>
        </w:rPr>
        <w:t xml:space="preserve"> опубликовал статьи «Мистер Троцкий на службе у буржуазии, или первые шаги </w:t>
      </w:r>
      <w:proofErr w:type="spellStart"/>
      <w:r w:rsidRPr="00A259BD">
        <w:rPr>
          <w:rFonts w:ascii="Times New Roman" w:hAnsi="Times New Roman"/>
          <w:color w:val="000000" w:themeColor="text1"/>
          <w:sz w:val="16"/>
          <w:szCs w:val="16"/>
        </w:rPr>
        <w:t>Л.Троцкого</w:t>
      </w:r>
      <w:proofErr w:type="spellEnd"/>
      <w:r w:rsidRPr="00A259BD">
        <w:rPr>
          <w:rFonts w:ascii="Times New Roman" w:hAnsi="Times New Roman"/>
          <w:color w:val="000000" w:themeColor="text1"/>
          <w:sz w:val="16"/>
          <w:szCs w:val="16"/>
        </w:rPr>
        <w:t xml:space="preserve"> за границей» и «Как "отвечает" Троцкий и как рабочие отвечают Троцкому». В них Троцкий осуждался за «контрреволюционные призывы», «возвращение к меньшевикам», «плевок по адресу Советского союза» и утверждалось, что «живой политический покойник... сторговывается, за сколько продать свою клевету» и уже получил от 10 тыс. до 25 тыс. долларов. См. также док. 139, коммент. 2.</w:t>
      </w:r>
    </w:p>
    <w:p w14:paraId="775729F7" w14:textId="77777777" w:rsidR="003D7E85" w:rsidRPr="00A259BD" w:rsidRDefault="003D7E85"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гФрумкин</w:t>
      </w:r>
      <w:proofErr w:type="spellEnd"/>
      <w:r w:rsidRPr="00A259BD">
        <w:rPr>
          <w:rFonts w:ascii="Times New Roman" w:hAnsi="Times New Roman"/>
          <w:color w:val="000000" w:themeColor="text1"/>
          <w:sz w:val="16"/>
          <w:szCs w:val="16"/>
        </w:rPr>
        <w:t xml:space="preserve"> Моисей Ильич ("псевдоним </w:t>
      </w:r>
      <w:proofErr w:type="spellStart"/>
      <w:r w:rsidRPr="00A259BD">
        <w:rPr>
          <w:rFonts w:ascii="Times New Roman" w:hAnsi="Times New Roman"/>
          <w:color w:val="000000" w:themeColor="text1"/>
          <w:sz w:val="16"/>
          <w:szCs w:val="16"/>
        </w:rPr>
        <w:t>ЛТерманов</w:t>
      </w:r>
      <w:proofErr w:type="spellEnd"/>
      <w:r w:rsidRPr="00A259BD">
        <w:rPr>
          <w:rFonts w:ascii="Times New Roman" w:hAnsi="Times New Roman"/>
          <w:color w:val="000000" w:themeColor="text1"/>
          <w:sz w:val="16"/>
          <w:szCs w:val="16"/>
        </w:rPr>
        <w:t>) (1878-1938), член РСДРП с 1898 г., большевик, участник профсоюзного движения в Баку и Москве. Арестовывался, ссылался. В 1915-1918 г. председатель рабочего кооператива в Красноярске. В 1918-1922 гг. член Коллегии, затем заместитель наркома продовольствия, заместитель наркома внешней торговли. С 1928 г. заместитель наркома финансов, смещен в ноябре 1929 г. и послан управлять «</w:t>
      </w:r>
      <w:proofErr w:type="spellStart"/>
      <w:r w:rsidRPr="00A259BD">
        <w:rPr>
          <w:rFonts w:ascii="Times New Roman" w:hAnsi="Times New Roman"/>
          <w:color w:val="000000" w:themeColor="text1"/>
          <w:sz w:val="16"/>
          <w:szCs w:val="16"/>
        </w:rPr>
        <w:t>Главрыбой</w:t>
      </w:r>
      <w:proofErr w:type="spellEnd"/>
      <w:r w:rsidRPr="00A259BD">
        <w:rPr>
          <w:rFonts w:ascii="Times New Roman" w:hAnsi="Times New Roman"/>
          <w:color w:val="000000" w:themeColor="text1"/>
          <w:sz w:val="16"/>
          <w:szCs w:val="16"/>
        </w:rPr>
        <w:t>». В 1932-1935 гг. вновь заместитель наркома внешней торговли. Потом понижен до управляющего трестом «</w:t>
      </w:r>
      <w:proofErr w:type="spellStart"/>
      <w:r w:rsidRPr="00A259BD">
        <w:rPr>
          <w:rFonts w:ascii="Times New Roman" w:hAnsi="Times New Roman"/>
          <w:color w:val="000000" w:themeColor="text1"/>
          <w:sz w:val="16"/>
          <w:szCs w:val="16"/>
        </w:rPr>
        <w:t>Союзхимпласт</w:t>
      </w:r>
      <w:proofErr w:type="spellEnd"/>
      <w:r w:rsidRPr="00A259BD">
        <w:rPr>
          <w:rFonts w:ascii="Times New Roman" w:hAnsi="Times New Roman"/>
          <w:color w:val="000000" w:themeColor="text1"/>
          <w:sz w:val="16"/>
          <w:szCs w:val="16"/>
        </w:rPr>
        <w:t>-масс», репрессирован, погиб в заключении. Реабилитирован в 1957 г.</w:t>
      </w:r>
    </w:p>
    <w:p w14:paraId="65F1D3CD" w14:textId="77777777" w:rsidR="003D7E85" w:rsidRPr="00A259BD" w:rsidRDefault="003D7E8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Возникший зимой 1927-1928 гг. кризис хлебозаготовок привел к повсеместному введению продовольственных карточек и грозил перерасти в общехозяйственный кризис. Секретарь ЦК ВКП(б) </w:t>
      </w:r>
      <w:proofErr w:type="spellStart"/>
      <w:r w:rsidRPr="00A259BD">
        <w:rPr>
          <w:rFonts w:ascii="Times New Roman" w:hAnsi="Times New Roman"/>
          <w:color w:val="000000" w:themeColor="text1"/>
          <w:sz w:val="16"/>
          <w:szCs w:val="16"/>
        </w:rPr>
        <w:t>В.М.Молотов</w:t>
      </w:r>
      <w:proofErr w:type="spellEnd"/>
      <w:r w:rsidRPr="00A259BD">
        <w:rPr>
          <w:rFonts w:ascii="Times New Roman" w:hAnsi="Times New Roman"/>
          <w:color w:val="000000" w:themeColor="text1"/>
          <w:sz w:val="16"/>
          <w:szCs w:val="16"/>
        </w:rPr>
        <w:t xml:space="preserve"> призвал: «Надо ударить по кулаку так, чтобы перед нами вытянулся середняк». 15 июня 1928 г. </w:t>
      </w:r>
      <w:proofErr w:type="spellStart"/>
      <w:r w:rsidRPr="00A259BD">
        <w:rPr>
          <w:rFonts w:ascii="Times New Roman" w:hAnsi="Times New Roman"/>
          <w:color w:val="000000" w:themeColor="text1"/>
          <w:sz w:val="16"/>
          <w:szCs w:val="16"/>
        </w:rPr>
        <w:t>М.И.Фрумкин</w:t>
      </w:r>
      <w:proofErr w:type="spellEnd"/>
      <w:r w:rsidRPr="00A259BD">
        <w:rPr>
          <w:rFonts w:ascii="Times New Roman" w:hAnsi="Times New Roman"/>
          <w:color w:val="000000" w:themeColor="text1"/>
          <w:sz w:val="16"/>
          <w:szCs w:val="16"/>
        </w:rPr>
        <w:t xml:space="preserve"> передал в Политбюро ЦК ВКП(б) письмо, в котором критиковал чрезвычайные меры, беззаконие в отношении крестьян, ударное создание совхозов и предлагал бороться с кулаком увеличением налогов, открыть хлебный рынок, повысить цены на хлеб и снизить на другие сельскохозяйственные продукты, преследовать самогоноварение </w:t>
      </w:r>
      <w:r w:rsidRPr="00A259BD">
        <w:rPr>
          <w:rFonts w:ascii="Times New Roman" w:hAnsi="Times New Roman"/>
          <w:color w:val="000000" w:themeColor="text1"/>
          <w:sz w:val="16"/>
          <w:szCs w:val="16"/>
        </w:rPr>
        <w:lastRenderedPageBreak/>
        <w:t xml:space="preserve">из хлеба и т.д. Он предостерегал, «что деревня, за исключением небольшой части бедноты, настроена против большевиков и что эти настроения начинают переливаться в рабочие городские низы». В «Ответе Фрумкину» </w:t>
      </w:r>
      <w:proofErr w:type="spellStart"/>
      <w:r w:rsidRPr="00A259BD">
        <w:rPr>
          <w:rFonts w:ascii="Times New Roman" w:hAnsi="Times New Roman"/>
          <w:color w:val="000000" w:themeColor="text1"/>
          <w:sz w:val="16"/>
          <w:szCs w:val="16"/>
        </w:rPr>
        <w:t>И.В.Сталин</w:t>
      </w:r>
      <w:proofErr w:type="spellEnd"/>
      <w:r w:rsidRPr="00A259BD">
        <w:rPr>
          <w:rFonts w:ascii="Times New Roman" w:hAnsi="Times New Roman"/>
          <w:color w:val="000000" w:themeColor="text1"/>
          <w:sz w:val="16"/>
          <w:szCs w:val="16"/>
        </w:rPr>
        <w:t xml:space="preserve"> обвинил его в отказе от линии партии, тогда как </w:t>
      </w:r>
      <w:proofErr w:type="spellStart"/>
      <w:r w:rsidRPr="00A259BD">
        <w:rPr>
          <w:rFonts w:ascii="Times New Roman" w:hAnsi="Times New Roman"/>
          <w:color w:val="000000" w:themeColor="text1"/>
          <w:sz w:val="16"/>
          <w:szCs w:val="16"/>
        </w:rPr>
        <w:t>Н.И.Бухарин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А.И.Рыков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М.П.Томский</w:t>
      </w:r>
      <w:proofErr w:type="spellEnd"/>
      <w:r w:rsidRPr="00A259BD">
        <w:rPr>
          <w:rFonts w:ascii="Times New Roman" w:hAnsi="Times New Roman"/>
          <w:color w:val="000000" w:themeColor="text1"/>
          <w:sz w:val="16"/>
          <w:szCs w:val="16"/>
        </w:rPr>
        <w:t xml:space="preserve"> поддержали </w:t>
      </w:r>
      <w:proofErr w:type="spellStart"/>
      <w:r w:rsidRPr="00A259BD">
        <w:rPr>
          <w:rFonts w:ascii="Times New Roman" w:hAnsi="Times New Roman"/>
          <w:color w:val="000000" w:themeColor="text1"/>
          <w:sz w:val="16"/>
          <w:szCs w:val="16"/>
        </w:rPr>
        <w:t>М.И.Фрумкина</w:t>
      </w:r>
      <w:proofErr w:type="spellEnd"/>
      <w:r w:rsidRPr="00A259BD">
        <w:rPr>
          <w:rFonts w:ascii="Times New Roman" w:hAnsi="Times New Roman"/>
          <w:color w:val="000000" w:themeColor="text1"/>
          <w:sz w:val="16"/>
          <w:szCs w:val="16"/>
        </w:rPr>
        <w:t xml:space="preserve"> и выступили с декларацией, повторявшей основные предложения его письма. В качестве компромисса Политбюро 2 июля 1928 г. приняло решение отменить чрезвычайные меры, повысить закупочные цены на продукцию сельского хозяйства и открыть рынки. В Политбюро возникло противостояние двух групп: </w:t>
      </w:r>
      <w:proofErr w:type="spellStart"/>
      <w:r w:rsidRPr="00A259BD">
        <w:rPr>
          <w:rFonts w:ascii="Times New Roman" w:hAnsi="Times New Roman"/>
          <w:color w:val="000000" w:themeColor="text1"/>
          <w:sz w:val="16"/>
          <w:szCs w:val="16"/>
        </w:rPr>
        <w:t>И.В.Сталин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В.М.Молотов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Л.М.Каганович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С.М.Киров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А.И.Микоян</w:t>
      </w:r>
      <w:proofErr w:type="spellEnd"/>
      <w:r w:rsidRPr="00A259BD">
        <w:rPr>
          <w:rFonts w:ascii="Times New Roman" w:hAnsi="Times New Roman"/>
          <w:color w:val="000000" w:themeColor="text1"/>
          <w:sz w:val="16"/>
          <w:szCs w:val="16"/>
        </w:rPr>
        <w:t xml:space="preserve"> - с одной стороны, а с другой - </w:t>
      </w:r>
      <w:proofErr w:type="spellStart"/>
      <w:r w:rsidRPr="00A259BD">
        <w:rPr>
          <w:rFonts w:ascii="Times New Roman" w:hAnsi="Times New Roman"/>
          <w:color w:val="000000" w:themeColor="text1"/>
          <w:sz w:val="16"/>
          <w:szCs w:val="16"/>
        </w:rPr>
        <w:t>Н.И.Бухарин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А.И.Рыков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М.П.Томский</w:t>
      </w:r>
      <w:proofErr w:type="spellEnd"/>
      <w:r w:rsidRPr="00A259BD">
        <w:rPr>
          <w:rFonts w:ascii="Times New Roman" w:hAnsi="Times New Roman"/>
          <w:color w:val="000000" w:themeColor="text1"/>
          <w:sz w:val="16"/>
          <w:szCs w:val="16"/>
        </w:rPr>
        <w:t xml:space="preserve"> и примкнувший к ним </w:t>
      </w:r>
      <w:proofErr w:type="spellStart"/>
      <w:r w:rsidRPr="00A259BD">
        <w:rPr>
          <w:rFonts w:ascii="Times New Roman" w:hAnsi="Times New Roman"/>
          <w:color w:val="000000" w:themeColor="text1"/>
          <w:sz w:val="16"/>
          <w:szCs w:val="16"/>
        </w:rPr>
        <w:t>Н.А.Угланов</w:t>
      </w:r>
      <w:proofErr w:type="spellEnd"/>
      <w:r w:rsidRPr="00A259BD">
        <w:rPr>
          <w:rFonts w:ascii="Times New Roman" w:hAnsi="Times New Roman"/>
          <w:color w:val="000000" w:themeColor="text1"/>
          <w:sz w:val="16"/>
          <w:szCs w:val="16"/>
        </w:rPr>
        <w:t>. Сначала слухи о разногласиях опровергались. На Апрельском пленуме ЦК ВКП(б) 1929 г. началась открытая критика «правого уклона» как возврата к капитализму, Угланова исключили из Оргбюро и кандидатов в члены Политбюро, Бухарина сместили с поста редактора «Правды», Томского - с поста председателя ВЦСПС. Ноябрьский пленум ЦК ВКП(б) 1929 г. вывел Бухарина из Политбюро и вынес последнее предупреждение Рыкову и Томскому, хотя все трое заявили о поддержке генеральной линии партии. 26 ноября Томский, Бухарин, Рыков опубликовали в «Правде» новое заявление с признанием ошибочности своих взглядов и обещанием решительной борьбы «против всех уклонов от генеральной линии партии и прежде всего против правого уклона». Их капитуляция облегчила Сталину не только расправу над ними, но и переход к политике ликвидации кулачества как класса и ускоренной коллективизации.</w:t>
      </w:r>
    </w:p>
    <w:p w14:paraId="09574F0B" w14:textId="77777777" w:rsidR="003D7E85" w:rsidRPr="00A259BD" w:rsidRDefault="003D7E8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Правительственная Комиссия по проверке состава аппарата Академии наук («Комиссия </w:t>
      </w:r>
      <w:proofErr w:type="spellStart"/>
      <w:r w:rsidRPr="00A259BD">
        <w:rPr>
          <w:rFonts w:ascii="Times New Roman" w:hAnsi="Times New Roman"/>
          <w:color w:val="000000" w:themeColor="text1"/>
          <w:sz w:val="16"/>
          <w:szCs w:val="16"/>
        </w:rPr>
        <w:t>Ю.П.Фигатнера</w:t>
      </w:r>
      <w:proofErr w:type="spellEnd"/>
      <w:r w:rsidRPr="00A259BD">
        <w:rPr>
          <w:rFonts w:ascii="Times New Roman" w:hAnsi="Times New Roman"/>
          <w:color w:val="000000" w:themeColor="text1"/>
          <w:sz w:val="16"/>
          <w:szCs w:val="16"/>
        </w:rPr>
        <w:t xml:space="preserve">») по доносу коммунистов </w:t>
      </w:r>
      <w:proofErr w:type="spellStart"/>
      <w:r w:rsidRPr="00A259BD">
        <w:rPr>
          <w:rFonts w:ascii="Times New Roman" w:hAnsi="Times New Roman"/>
          <w:color w:val="000000" w:themeColor="text1"/>
          <w:sz w:val="16"/>
          <w:szCs w:val="16"/>
        </w:rPr>
        <w:t>Центроархива</w:t>
      </w:r>
      <w:proofErr w:type="spellEnd"/>
      <w:r w:rsidRPr="00A259BD">
        <w:rPr>
          <w:rFonts w:ascii="Times New Roman" w:hAnsi="Times New Roman"/>
          <w:color w:val="000000" w:themeColor="text1"/>
          <w:sz w:val="16"/>
          <w:szCs w:val="16"/>
        </w:rPr>
        <w:t xml:space="preserve"> установила криминальный, по ее мнению, факт негласного хранения в научных учреждениях Ленинграда историко-политических документов. </w:t>
      </w:r>
      <w:proofErr w:type="spellStart"/>
      <w:r w:rsidRPr="00A259BD">
        <w:rPr>
          <w:rFonts w:ascii="Times New Roman" w:hAnsi="Times New Roman"/>
          <w:color w:val="000000" w:themeColor="text1"/>
          <w:sz w:val="16"/>
          <w:szCs w:val="16"/>
        </w:rPr>
        <w:t>Ю.П.Фигатнер</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С.М.Киров</w:t>
      </w:r>
      <w:proofErr w:type="spellEnd"/>
      <w:r w:rsidRPr="00A259BD">
        <w:rPr>
          <w:rFonts w:ascii="Times New Roman" w:hAnsi="Times New Roman"/>
          <w:color w:val="000000" w:themeColor="text1"/>
          <w:sz w:val="16"/>
          <w:szCs w:val="16"/>
        </w:rPr>
        <w:t xml:space="preserve"> 21 октября 1929 г. в телеграмме </w:t>
      </w:r>
      <w:proofErr w:type="spellStart"/>
      <w:r w:rsidRPr="00A259BD">
        <w:rPr>
          <w:rFonts w:ascii="Times New Roman" w:hAnsi="Times New Roman"/>
          <w:color w:val="000000" w:themeColor="text1"/>
          <w:sz w:val="16"/>
          <w:szCs w:val="16"/>
        </w:rPr>
        <w:t>И.В.Сталину</w:t>
      </w:r>
      <w:proofErr w:type="spellEnd"/>
      <w:r w:rsidRPr="00A259BD">
        <w:rPr>
          <w:rFonts w:ascii="Times New Roman" w:hAnsi="Times New Roman"/>
          <w:color w:val="000000" w:themeColor="text1"/>
          <w:sz w:val="16"/>
          <w:szCs w:val="16"/>
        </w:rPr>
        <w:t xml:space="preserve"> сообщили, что в Библиотеке Академии наук в нешифрованном фонде находятся подлинники отречения Николая II, акта об отказе великого князя Михаила Александровича от принятия престола, 66 томов личного дневника великого князя Константина Константиновича, документы канцелярии Николая II, Военного министерства, ЦК кадетов и др., а в Археографической комиссии - личный архив великого князя Михаила Николаевича, в Пушкинском доме - личные архивы великого князя Константина Константиновича и бывшего шефа жандармов </w:t>
      </w:r>
      <w:proofErr w:type="spellStart"/>
      <w:r w:rsidRPr="00A259BD">
        <w:rPr>
          <w:rFonts w:ascii="Times New Roman" w:hAnsi="Times New Roman"/>
          <w:color w:val="000000" w:themeColor="text1"/>
          <w:sz w:val="16"/>
          <w:szCs w:val="16"/>
        </w:rPr>
        <w:t>В.Ф.Джунковского</w:t>
      </w:r>
      <w:proofErr w:type="spellEnd"/>
      <w:r w:rsidRPr="00A259BD">
        <w:rPr>
          <w:rFonts w:ascii="Times New Roman" w:hAnsi="Times New Roman"/>
          <w:color w:val="000000" w:themeColor="text1"/>
          <w:sz w:val="16"/>
          <w:szCs w:val="16"/>
        </w:rPr>
        <w:t xml:space="preserve">. Хотя большинство документов поступили в эти учреждения на хранение до октября 1917 г., их использовали как повод для возбуждения «Академического дела». 5 ноября 1929 г. Политбюро ЦК </w:t>
      </w:r>
      <w:proofErr w:type="spellStart"/>
      <w:r w:rsidRPr="00A259BD">
        <w:rPr>
          <w:rFonts w:ascii="Times New Roman" w:hAnsi="Times New Roman"/>
          <w:color w:val="000000" w:themeColor="text1"/>
          <w:sz w:val="16"/>
          <w:szCs w:val="16"/>
        </w:rPr>
        <w:t>ВКЩб</w:t>
      </w:r>
      <w:proofErr w:type="spellEnd"/>
      <w:r w:rsidRPr="00A259BD">
        <w:rPr>
          <w:rFonts w:ascii="Times New Roman" w:hAnsi="Times New Roman"/>
          <w:color w:val="000000" w:themeColor="text1"/>
          <w:sz w:val="16"/>
          <w:szCs w:val="16"/>
        </w:rPr>
        <w:t xml:space="preserve">) приняло решение об уголовном преследовании сотрудников Академии наук, причастных к этой истории с документами. Среди репрессированных ученых были академики </w:t>
      </w:r>
      <w:proofErr w:type="spellStart"/>
      <w:r w:rsidRPr="00A259BD">
        <w:rPr>
          <w:rFonts w:ascii="Times New Roman" w:hAnsi="Times New Roman"/>
          <w:color w:val="000000" w:themeColor="text1"/>
          <w:sz w:val="16"/>
          <w:szCs w:val="16"/>
        </w:rPr>
        <w:t>С.Ф.Платонов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Н.П.Лихачев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Е.В.Тарле</w:t>
      </w:r>
      <w:proofErr w:type="spellEnd"/>
      <w:r w:rsidRPr="00A259BD">
        <w:rPr>
          <w:rFonts w:ascii="Times New Roman" w:hAnsi="Times New Roman"/>
          <w:color w:val="000000" w:themeColor="text1"/>
          <w:sz w:val="16"/>
          <w:szCs w:val="16"/>
        </w:rPr>
        <w:t xml:space="preserve"> и др. (см.: Академическое дело 1929-1931 гг. Документы и материалы следственного дела, сфабрикованного ОГПУ. </w:t>
      </w:r>
      <w:proofErr w:type="spellStart"/>
      <w:r w:rsidRPr="00A259BD">
        <w:rPr>
          <w:rFonts w:ascii="Times New Roman" w:hAnsi="Times New Roman"/>
          <w:color w:val="000000" w:themeColor="text1"/>
          <w:sz w:val="16"/>
          <w:szCs w:val="16"/>
        </w:rPr>
        <w:t>Вып</w:t>
      </w:r>
      <w:proofErr w:type="spellEnd"/>
      <w:r w:rsidRPr="00A259BD">
        <w:rPr>
          <w:rFonts w:ascii="Times New Roman" w:hAnsi="Times New Roman"/>
          <w:color w:val="000000" w:themeColor="text1"/>
          <w:sz w:val="16"/>
          <w:szCs w:val="16"/>
        </w:rPr>
        <w:t xml:space="preserve">. 1. Дело по обвинению академика </w:t>
      </w:r>
      <w:proofErr w:type="spellStart"/>
      <w:r w:rsidRPr="00A259BD">
        <w:rPr>
          <w:rFonts w:ascii="Times New Roman" w:hAnsi="Times New Roman"/>
          <w:color w:val="000000" w:themeColor="text1"/>
          <w:sz w:val="16"/>
          <w:szCs w:val="16"/>
        </w:rPr>
        <w:t>С.Ф.Платонова</w:t>
      </w:r>
      <w:proofErr w:type="spellEnd"/>
      <w:r w:rsidRPr="00A259BD">
        <w:rPr>
          <w:rFonts w:ascii="Times New Roman" w:hAnsi="Times New Roman"/>
          <w:color w:val="000000" w:themeColor="text1"/>
          <w:sz w:val="16"/>
          <w:szCs w:val="16"/>
        </w:rPr>
        <w:t>. СПб., 1993).</w:t>
      </w:r>
    </w:p>
    <w:p w14:paraId="75801E3A" w14:textId="77777777" w:rsidR="003D7E85" w:rsidRPr="00A259BD" w:rsidRDefault="003D7E8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Из ЦК </w:t>
      </w:r>
      <w:proofErr w:type="spellStart"/>
      <w:r w:rsidRPr="00A259BD">
        <w:rPr>
          <w:rFonts w:ascii="Times New Roman" w:hAnsi="Times New Roman"/>
          <w:color w:val="000000" w:themeColor="text1"/>
          <w:sz w:val="16"/>
          <w:szCs w:val="16"/>
        </w:rPr>
        <w:t>ВКЩб</w:t>
      </w:r>
      <w:proofErr w:type="spellEnd"/>
      <w:r w:rsidRPr="00A259BD">
        <w:rPr>
          <w:rFonts w:ascii="Times New Roman" w:hAnsi="Times New Roman"/>
          <w:color w:val="000000" w:themeColor="text1"/>
          <w:sz w:val="16"/>
          <w:szCs w:val="16"/>
        </w:rPr>
        <w:t xml:space="preserve">) письмо было переслано «для сведения» секретарю Ленинградского обкома ВКП(б) </w:t>
      </w:r>
      <w:proofErr w:type="spellStart"/>
      <w:r w:rsidRPr="00A259BD">
        <w:rPr>
          <w:rFonts w:ascii="Times New Roman" w:hAnsi="Times New Roman"/>
          <w:color w:val="000000" w:themeColor="text1"/>
          <w:sz w:val="16"/>
          <w:szCs w:val="16"/>
        </w:rPr>
        <w:t>С.М.Кирову</w:t>
      </w:r>
      <w:proofErr w:type="spellEnd"/>
      <w:r w:rsidRPr="00A259BD">
        <w:rPr>
          <w:rFonts w:ascii="Times New Roman" w:hAnsi="Times New Roman"/>
          <w:color w:val="000000" w:themeColor="text1"/>
          <w:sz w:val="16"/>
          <w:szCs w:val="16"/>
        </w:rPr>
        <w:t xml:space="preserve">. На машинописной копии письма имеется помета «В архив. Тов. Киров об этом знает. </w:t>
      </w:r>
      <w:proofErr w:type="spellStart"/>
      <w:r w:rsidRPr="00A259BD">
        <w:rPr>
          <w:rFonts w:ascii="Times New Roman" w:hAnsi="Times New Roman"/>
          <w:color w:val="000000" w:themeColor="text1"/>
          <w:sz w:val="16"/>
          <w:szCs w:val="16"/>
        </w:rPr>
        <w:t>Н.Свешников</w:t>
      </w:r>
      <w:proofErr w:type="spellEnd"/>
      <w:r w:rsidRPr="00A259BD">
        <w:rPr>
          <w:rFonts w:ascii="Times New Roman" w:hAnsi="Times New Roman"/>
          <w:color w:val="000000" w:themeColor="text1"/>
          <w:sz w:val="16"/>
          <w:szCs w:val="16"/>
        </w:rPr>
        <w:t>. 30 января 1930 г.» (ЦГАИПД СПб. Ф. 24, оп. 16, д. 177, л. 9, 11 об.) (12214).</w:t>
      </w:r>
    </w:p>
    <w:p w14:paraId="4F1490FA" w14:textId="77777777" w:rsidR="003D7E85" w:rsidRPr="00A259BD" w:rsidRDefault="003D7E85" w:rsidP="009236E3">
      <w:pPr>
        <w:spacing w:after="0" w:line="240" w:lineRule="auto"/>
        <w:jc w:val="both"/>
        <w:rPr>
          <w:rFonts w:ascii="Times New Roman" w:hAnsi="Times New Roman"/>
          <w:color w:val="000000" w:themeColor="text1"/>
          <w:sz w:val="16"/>
          <w:szCs w:val="16"/>
        </w:rPr>
      </w:pPr>
    </w:p>
    <w:p w14:paraId="630AB50A" w14:textId="77777777" w:rsidR="00FE7F6B"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CD021E4" w14:textId="77777777" w:rsidR="00FE7F6B" w:rsidRPr="00A259BD" w:rsidRDefault="00FE7F6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7B0F8D3" w14:textId="77777777" w:rsidR="00FE7F6B" w:rsidRPr="00A259BD" w:rsidRDefault="00FE7F6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декабря 1929 г. Протокол ПБ № 110 п.15: О переговорах в США относительно техпомощи по тракторостроению (Куйбышев, Осинский) - ОП. Решено: а) считать необходимым ведение переговоров в Америке или в Канаде или в Мексике (в крайнем случае); б) для этой цели запросить визу для Осинского; в) вопрос о возможности поездки </w:t>
      </w:r>
      <w:proofErr w:type="spellStart"/>
      <w:r w:rsidRPr="00A259BD">
        <w:rPr>
          <w:rFonts w:ascii="Times New Roman" w:hAnsi="Times New Roman"/>
          <w:color w:val="000000" w:themeColor="text1"/>
          <w:sz w:val="16"/>
          <w:szCs w:val="16"/>
        </w:rPr>
        <w:t>Межлаука</w:t>
      </w:r>
      <w:proofErr w:type="spellEnd"/>
      <w:r w:rsidRPr="00A259BD">
        <w:rPr>
          <w:rFonts w:ascii="Times New Roman" w:hAnsi="Times New Roman"/>
          <w:color w:val="000000" w:themeColor="text1"/>
          <w:sz w:val="16"/>
          <w:szCs w:val="16"/>
        </w:rPr>
        <w:t xml:space="preserve"> отложить до заседания Политбюро 25-12-1928; г) предусмотреть, что с Катерпилларом надо начать переговоры, идя на уступки, в смысле обеспечения Катерпиллару наших заказов на 2-3 года, с тем, чтобы техническая помощь была реальной, со всеми гарантиями в этом; д) вместе с тем начать переговоры с германскими фирмами, производящими гусеничные трактора; е) обязать ВСНХ одновременно с этим дать приказ своим проектирующим органам о разработке проектов тракторных заводов (15967).</w:t>
      </w:r>
    </w:p>
    <w:p w14:paraId="6B469E0D" w14:textId="77777777" w:rsidR="00FE7F6B" w:rsidRPr="00A259BD" w:rsidRDefault="00FE7F6B" w:rsidP="009236E3">
      <w:pPr>
        <w:spacing w:after="0" w:line="240" w:lineRule="auto"/>
        <w:jc w:val="both"/>
        <w:rPr>
          <w:rFonts w:ascii="Times New Roman" w:hAnsi="Times New Roman"/>
          <w:color w:val="000000" w:themeColor="text1"/>
          <w:sz w:val="16"/>
          <w:szCs w:val="16"/>
        </w:rPr>
      </w:pPr>
    </w:p>
    <w:p w14:paraId="317E1AFC" w14:textId="77777777" w:rsidR="0091552E" w:rsidRPr="00A259BD" w:rsidRDefault="009155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декабря 1929 состоялось заседание ПБ (Протокол № 110. Особый № 108)</w:t>
      </w:r>
    </w:p>
    <w:p w14:paraId="4DDE0412" w14:textId="77777777" w:rsidR="0091552E" w:rsidRPr="00A259BD" w:rsidRDefault="009155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О дополнительном ввозе тракторов.</w:t>
      </w:r>
    </w:p>
    <w:p w14:paraId="594F0E2A" w14:textId="77777777" w:rsidR="0091552E" w:rsidRPr="00A259BD" w:rsidRDefault="009155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(ПБ от 5.Х11.29 г., пр. № 108, п.31-е, ПБ от 5.Х1.29 г., Пр. № 106, п. 17).</w:t>
      </w:r>
    </w:p>
    <w:p w14:paraId="48DF431D" w14:textId="77777777" w:rsidR="0091552E" w:rsidRPr="00A259BD" w:rsidRDefault="009155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Микоян, Рыков, Шлейфер, Яковлев, </w:t>
      </w:r>
      <w:proofErr w:type="spellStart"/>
      <w:r w:rsidRPr="00A259BD">
        <w:rPr>
          <w:rFonts w:ascii="Times New Roman" w:hAnsi="Times New Roman"/>
          <w:color w:val="000000" w:themeColor="text1"/>
          <w:sz w:val="16"/>
          <w:szCs w:val="16"/>
        </w:rPr>
        <w:t>Кубяк</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Каминскии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Розенгольц</w:t>
      </w:r>
      <w:proofErr w:type="spellEnd"/>
      <w:r w:rsidRPr="00A259BD">
        <w:rPr>
          <w:rFonts w:ascii="Times New Roman" w:hAnsi="Times New Roman"/>
          <w:color w:val="000000" w:themeColor="text1"/>
          <w:sz w:val="16"/>
          <w:szCs w:val="16"/>
        </w:rPr>
        <w:t>, Клименко).</w:t>
      </w:r>
    </w:p>
    <w:p w14:paraId="381E91EB" w14:textId="77777777" w:rsidR="0091552E" w:rsidRPr="00A259BD" w:rsidRDefault="009155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Увеличить годовой план экспорта хлеба за счет экспорта хлеба из новых заготовок или из имеющихся запасов в 1У квартале текущего хозяйственного года на 20 млн. </w:t>
      </w:r>
      <w:proofErr w:type="spellStart"/>
      <w:r w:rsidRPr="00A259BD">
        <w:rPr>
          <w:rFonts w:ascii="Times New Roman" w:hAnsi="Times New Roman"/>
          <w:color w:val="000000" w:themeColor="text1"/>
          <w:sz w:val="16"/>
          <w:szCs w:val="16"/>
        </w:rPr>
        <w:t>пд</w:t>
      </w:r>
      <w:proofErr w:type="spellEnd"/>
      <w:r w:rsidRPr="00A259BD">
        <w:rPr>
          <w:rFonts w:ascii="Times New Roman" w:hAnsi="Times New Roman"/>
          <w:color w:val="000000" w:themeColor="text1"/>
          <w:sz w:val="16"/>
          <w:szCs w:val="16"/>
        </w:rPr>
        <w:t>. для дополнительного импорта тракторов к озимой посевной компании в размере от 8 - 10 тыс. штук.</w:t>
      </w:r>
    </w:p>
    <w:p w14:paraId="07D0AACF" w14:textId="77777777" w:rsidR="0091552E" w:rsidRPr="00A259BD" w:rsidRDefault="009155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Для обеспечения валютных платежей по дополнительно импорту тракторов обеспечить соответствующим экспорт хлеба (пшеница), обязав </w:t>
      </w:r>
      <w:proofErr w:type="spellStart"/>
      <w:r w:rsidRPr="00A259BD">
        <w:rPr>
          <w:rFonts w:ascii="Times New Roman" w:hAnsi="Times New Roman"/>
          <w:color w:val="000000" w:themeColor="text1"/>
          <w:sz w:val="16"/>
          <w:szCs w:val="16"/>
        </w:rPr>
        <w:t>Наркрмторг</w:t>
      </w:r>
      <w:proofErr w:type="spellEnd"/>
      <w:r w:rsidRPr="00A259BD">
        <w:rPr>
          <w:rFonts w:ascii="Times New Roman" w:hAnsi="Times New Roman"/>
          <w:color w:val="000000" w:themeColor="text1"/>
          <w:sz w:val="16"/>
          <w:szCs w:val="16"/>
        </w:rPr>
        <w:t xml:space="preserve"> произвести этот дополнительный экспорт хлеба- с таким расчетом, чтобы была обеспечена своевременность оплаты дополнительного импорта тракторов.</w:t>
      </w:r>
    </w:p>
    <w:p w14:paraId="6B3570C8" w14:textId="77777777" w:rsidR="0091552E" w:rsidRPr="00A259BD" w:rsidRDefault="009155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Разрешить </w:t>
      </w:r>
      <w:proofErr w:type="spellStart"/>
      <w:r w:rsidRPr="00A259BD">
        <w:rPr>
          <w:rFonts w:ascii="Times New Roman" w:hAnsi="Times New Roman"/>
          <w:color w:val="000000" w:themeColor="text1"/>
          <w:sz w:val="16"/>
          <w:szCs w:val="16"/>
        </w:rPr>
        <w:t>Наркомторгу</w:t>
      </w:r>
      <w:proofErr w:type="spellEnd"/>
      <w:r w:rsidRPr="00A259BD">
        <w:rPr>
          <w:rFonts w:ascii="Times New Roman" w:hAnsi="Times New Roman"/>
          <w:color w:val="000000" w:themeColor="text1"/>
          <w:sz w:val="16"/>
          <w:szCs w:val="16"/>
        </w:rPr>
        <w:t xml:space="preserve"> произвести вывоз жмыхов вместо овса.</w:t>
      </w:r>
    </w:p>
    <w:p w14:paraId="7C34A196" w14:textId="77777777" w:rsidR="0091552E" w:rsidRPr="00A259BD" w:rsidRDefault="009155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Выписки посланы: т. Микояну; Горбунову.</w:t>
      </w:r>
    </w:p>
    <w:p w14:paraId="0A27FE4B" w14:textId="77777777" w:rsidR="0091552E" w:rsidRPr="00A259BD" w:rsidRDefault="009155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 О переговорах в САСШ относительно техпомощи по тракторостроению.</w:t>
      </w:r>
    </w:p>
    <w:p w14:paraId="3B532E08" w14:textId="77777777" w:rsidR="0091552E" w:rsidRPr="00A259BD" w:rsidRDefault="009155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 </w:t>
      </w:r>
      <w:proofErr w:type="spellStart"/>
      <w:r w:rsidRPr="00A259BD">
        <w:rPr>
          <w:rFonts w:ascii="Times New Roman" w:hAnsi="Times New Roman"/>
          <w:color w:val="000000" w:themeColor="text1"/>
          <w:sz w:val="16"/>
          <w:szCs w:val="16"/>
        </w:rPr>
        <w:t>т</w:t>
      </w:r>
      <w:proofErr w:type="spellEnd"/>
      <w:r w:rsidRPr="00A259BD">
        <w:rPr>
          <w:rFonts w:ascii="Times New Roman" w:hAnsi="Times New Roman"/>
          <w:color w:val="000000" w:themeColor="text1"/>
          <w:sz w:val="16"/>
          <w:szCs w:val="16"/>
        </w:rPr>
        <w:t>. Куйбышев, Осинский).</w:t>
      </w:r>
    </w:p>
    <w:p w14:paraId="0119B7E3" w14:textId="77777777" w:rsidR="0091552E" w:rsidRPr="00A259BD" w:rsidRDefault="009155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Считать необходимым ведение </w:t>
      </w:r>
      <w:proofErr w:type="spellStart"/>
      <w:r w:rsidRPr="00A259BD">
        <w:rPr>
          <w:rFonts w:ascii="Times New Roman" w:hAnsi="Times New Roman"/>
          <w:color w:val="000000" w:themeColor="text1"/>
          <w:sz w:val="16"/>
          <w:szCs w:val="16"/>
        </w:rPr>
        <w:t>перговоров</w:t>
      </w:r>
      <w:proofErr w:type="spellEnd"/>
      <w:r w:rsidRPr="00A259BD">
        <w:rPr>
          <w:rFonts w:ascii="Times New Roman" w:hAnsi="Times New Roman"/>
          <w:color w:val="000000" w:themeColor="text1"/>
          <w:sz w:val="16"/>
          <w:szCs w:val="16"/>
        </w:rPr>
        <w:t xml:space="preserve"> в Америке, или, если это окажется невозможным по тем или иным причинам, в Канаде или в Мексике (в крайнем случае).</w:t>
      </w:r>
    </w:p>
    <w:p w14:paraId="52B01DCF" w14:textId="77777777" w:rsidR="0091552E" w:rsidRPr="00A259BD" w:rsidRDefault="009155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Для этой цели запросить визу для т. Осинского.</w:t>
      </w:r>
    </w:p>
    <w:p w14:paraId="49747DB2" w14:textId="77777777" w:rsidR="0091552E" w:rsidRPr="00A259BD" w:rsidRDefault="009155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Вопрос о возможности поездки </w:t>
      </w:r>
      <w:proofErr w:type="spellStart"/>
      <w:r w:rsidRPr="00A259BD">
        <w:rPr>
          <w:rFonts w:ascii="Times New Roman" w:hAnsi="Times New Roman"/>
          <w:color w:val="000000" w:themeColor="text1"/>
          <w:sz w:val="16"/>
          <w:szCs w:val="16"/>
        </w:rPr>
        <w:t>т.Межлаука</w:t>
      </w:r>
      <w:proofErr w:type="spellEnd"/>
      <w:r w:rsidRPr="00A259BD">
        <w:rPr>
          <w:rFonts w:ascii="Times New Roman" w:hAnsi="Times New Roman"/>
          <w:color w:val="000000" w:themeColor="text1"/>
          <w:sz w:val="16"/>
          <w:szCs w:val="16"/>
        </w:rPr>
        <w:t xml:space="preserve"> отложить до заседания Политбюро 25.ХП.с.г.</w:t>
      </w:r>
    </w:p>
    <w:p w14:paraId="1506DF65" w14:textId="77777777" w:rsidR="0091552E" w:rsidRPr="00A259BD" w:rsidRDefault="009155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Предусмотреть, что с Катерпилларом надо начать переговоры, идя на уступки в смысле обеспечения Катерпиллар, наших заказов на года, с тем, чтобы техническая помощь была реальной, со всем гарантиями в этом.</w:t>
      </w:r>
    </w:p>
    <w:p w14:paraId="43B4F557" w14:textId="77777777" w:rsidR="0091552E" w:rsidRPr="00A259BD" w:rsidRDefault="009155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Вместе с тем начать переговори с германскими фирмами, производящим.: гусеничные трактора.</w:t>
      </w:r>
    </w:p>
    <w:p w14:paraId="1034E7AB" w14:textId="77777777" w:rsidR="0091552E" w:rsidRPr="00A259BD" w:rsidRDefault="009155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Обязать ВСНХ одновременно с этим дать приказ своим проектирующим органам о разработке проектов тракторных за</w:t>
      </w:r>
      <w:r w:rsidRPr="00A259BD">
        <w:rPr>
          <w:rFonts w:ascii="Times New Roman" w:hAnsi="Times New Roman"/>
          <w:color w:val="000000" w:themeColor="text1"/>
          <w:sz w:val="16"/>
          <w:szCs w:val="16"/>
        </w:rPr>
        <w:softHyphen/>
        <w:t>водов.</w:t>
      </w:r>
    </w:p>
    <w:p w14:paraId="58A85586" w14:textId="77777777" w:rsidR="0091552E" w:rsidRPr="00A259BD" w:rsidRDefault="009155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Выписка послана: т. Куйбышеву (23090).</w:t>
      </w:r>
    </w:p>
    <w:p w14:paraId="4CE5DDAE" w14:textId="77777777" w:rsidR="0091552E" w:rsidRPr="00A259BD" w:rsidRDefault="0091552E" w:rsidP="009236E3">
      <w:pPr>
        <w:spacing w:after="0" w:line="240" w:lineRule="auto"/>
        <w:jc w:val="both"/>
        <w:rPr>
          <w:rFonts w:ascii="Times New Roman" w:hAnsi="Times New Roman"/>
          <w:color w:val="000000" w:themeColor="text1"/>
          <w:sz w:val="16"/>
          <w:szCs w:val="16"/>
        </w:rPr>
      </w:pPr>
    </w:p>
    <w:p w14:paraId="0F2A4C0A" w14:textId="29763A8C" w:rsidR="003D7E85" w:rsidRPr="00A259BD" w:rsidRDefault="003D7E85" w:rsidP="009236E3">
      <w:pPr>
        <w:autoSpaceDE w:val="0"/>
        <w:autoSpaceDN w:val="0"/>
        <w:adjustRightInd w:val="0"/>
        <w:spacing w:after="0" w:line="240" w:lineRule="auto"/>
        <w:jc w:val="both"/>
        <w:rPr>
          <w:rFonts w:ascii="Times New Roman" w:hAnsi="Times New Roman"/>
          <w:i/>
          <w:color w:val="000000" w:themeColor="text1"/>
          <w:sz w:val="16"/>
          <w:szCs w:val="16"/>
        </w:rPr>
      </w:pPr>
      <w:r w:rsidRPr="00A259BD">
        <w:rPr>
          <w:rFonts w:ascii="Times New Roman" w:hAnsi="Times New Roman"/>
          <w:i/>
          <w:color w:val="000000" w:themeColor="text1"/>
          <w:sz w:val="16"/>
          <w:szCs w:val="16"/>
        </w:rPr>
        <w:t>Жизнь и внутрен</w:t>
      </w:r>
      <w:r w:rsidR="0091552E" w:rsidRPr="00A259BD">
        <w:rPr>
          <w:rFonts w:ascii="Times New Roman" w:hAnsi="Times New Roman"/>
          <w:i/>
          <w:color w:val="000000" w:themeColor="text1"/>
          <w:sz w:val="16"/>
          <w:szCs w:val="16"/>
        </w:rPr>
        <w:t>н</w:t>
      </w:r>
      <w:r w:rsidRPr="00A259BD">
        <w:rPr>
          <w:rFonts w:ascii="Times New Roman" w:hAnsi="Times New Roman"/>
          <w:i/>
          <w:color w:val="000000" w:themeColor="text1"/>
          <w:sz w:val="16"/>
          <w:szCs w:val="16"/>
        </w:rPr>
        <w:t>яя политика:</w:t>
      </w:r>
    </w:p>
    <w:p w14:paraId="64B3E416" w14:textId="77777777" w:rsidR="003D7E85" w:rsidRPr="00A259BD" w:rsidRDefault="003D7E8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44212A1" w14:textId="77777777" w:rsidR="003D7E85" w:rsidRPr="00A259BD" w:rsidRDefault="003D7E85"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20 декабря 1929 </w:t>
      </w:r>
      <w:r w:rsidRPr="00A259BD">
        <w:rPr>
          <w:rFonts w:ascii="Times New Roman" w:hAnsi="Times New Roman"/>
          <w:color w:val="000000" w:themeColor="text1"/>
          <w:sz w:val="16"/>
          <w:szCs w:val="16"/>
        </w:rPr>
        <w:t>Политбюро ЦК ВКП (б) приняло решение об увеличении строительства мясокомбинатов и холодильников (12265).</w:t>
      </w:r>
    </w:p>
    <w:p w14:paraId="55D1A73E" w14:textId="77777777" w:rsidR="003D7E85" w:rsidRPr="00A259BD" w:rsidRDefault="003D7E85" w:rsidP="009236E3">
      <w:pPr>
        <w:spacing w:after="0" w:line="240" w:lineRule="auto"/>
        <w:jc w:val="both"/>
        <w:rPr>
          <w:rFonts w:ascii="Times New Roman" w:hAnsi="Times New Roman"/>
          <w:color w:val="000000" w:themeColor="text1"/>
          <w:sz w:val="16"/>
          <w:szCs w:val="16"/>
        </w:rPr>
      </w:pPr>
    </w:p>
    <w:p w14:paraId="6709DFEB"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00E037E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4CC6F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 декабря 1929 в Хабаровске китайские представители подписали протокол, согласно которому восстанавливались порядок и обеспечивалась сохранность железной дороги (1053,35).</w:t>
      </w:r>
    </w:p>
    <w:p w14:paraId="21E72D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C6234EB" w14:textId="77777777" w:rsidR="0091552E" w:rsidRPr="00A259BD" w:rsidRDefault="0091552E"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6E94EC71" w14:textId="77777777" w:rsidR="0091552E" w:rsidRPr="00A259BD" w:rsidRDefault="0091552E"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E503E04" w14:textId="77777777" w:rsidR="0091552E" w:rsidRPr="00A259BD" w:rsidRDefault="0091552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 декабря 1929 Уилл Кирк </w:t>
      </w:r>
      <w:proofErr w:type="spellStart"/>
      <w:r w:rsidRPr="00A259BD">
        <w:rPr>
          <w:rFonts w:ascii="Times New Roman" w:hAnsi="Times New Roman"/>
          <w:color w:val="000000" w:themeColor="text1"/>
          <w:sz w:val="16"/>
          <w:szCs w:val="16"/>
        </w:rPr>
        <w:t>Кейнор</w:t>
      </w:r>
      <w:proofErr w:type="spellEnd"/>
      <w:r w:rsidRPr="00A259BD">
        <w:rPr>
          <w:rFonts w:ascii="Times New Roman" w:hAnsi="Times New Roman"/>
          <w:color w:val="000000" w:themeColor="text1"/>
          <w:sz w:val="16"/>
          <w:szCs w:val="16"/>
        </w:rPr>
        <w:t xml:space="preserve">, член США Палаты представителей, представляющий 2 - й избирательный округ в штате Массачусетс, умирает в результате крушения самолета армии Соединенных Штатов авиационного корпуса в </w:t>
      </w:r>
      <w:proofErr w:type="spellStart"/>
      <w:r w:rsidRPr="00A259BD">
        <w:rPr>
          <w:rFonts w:ascii="Times New Roman" w:hAnsi="Times New Roman"/>
          <w:color w:val="000000" w:themeColor="text1"/>
          <w:sz w:val="16"/>
          <w:szCs w:val="16"/>
        </w:rPr>
        <w:t>Bolling</w:t>
      </w:r>
      <w:proofErr w:type="spellEnd"/>
      <w:r w:rsidRPr="00A259BD">
        <w:rPr>
          <w:rFonts w:ascii="Times New Roman" w:hAnsi="Times New Roman"/>
          <w:color w:val="000000" w:themeColor="text1"/>
          <w:sz w:val="16"/>
          <w:szCs w:val="16"/>
        </w:rPr>
        <w:t xml:space="preserve"> в Вашингтоне, округ Колумбия Это был его первый полет (20806).</w:t>
      </w:r>
    </w:p>
    <w:p w14:paraId="17682474" w14:textId="77777777" w:rsidR="0091552E" w:rsidRPr="00A259BD" w:rsidRDefault="0091552E" w:rsidP="009236E3">
      <w:pPr>
        <w:spacing w:after="0" w:line="240" w:lineRule="auto"/>
        <w:jc w:val="both"/>
        <w:rPr>
          <w:rFonts w:ascii="Times New Roman" w:hAnsi="Times New Roman"/>
          <w:color w:val="000000" w:themeColor="text1"/>
          <w:sz w:val="16"/>
          <w:szCs w:val="16"/>
        </w:rPr>
      </w:pPr>
    </w:p>
    <w:p w14:paraId="3CBEFCAC"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5F0389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BB738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декабря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30) и обсудил вопрос о состоянии Харьковского </w:t>
      </w:r>
      <w:proofErr w:type="spellStart"/>
      <w:r w:rsidRPr="00A259BD">
        <w:rPr>
          <w:rFonts w:ascii="Times New Roman" w:hAnsi="Times New Roman"/>
          <w:color w:val="000000" w:themeColor="text1"/>
          <w:sz w:val="16"/>
          <w:szCs w:val="16"/>
        </w:rPr>
        <w:t>Укрвоздухпути</w:t>
      </w:r>
      <w:proofErr w:type="spellEnd"/>
      <w:r w:rsidRPr="00A259BD">
        <w:rPr>
          <w:rFonts w:ascii="Times New Roman" w:hAnsi="Times New Roman"/>
          <w:color w:val="000000" w:themeColor="text1"/>
          <w:sz w:val="16"/>
          <w:szCs w:val="16"/>
        </w:rPr>
        <w:t xml:space="preserve"> - постановили считать, что завод перешел в административное управление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с 24 ноября 1929, кредитно-финансовый план на 2 кв., состояние термообработки коленвалов на 26 заводе и др. (2367).</w:t>
      </w:r>
    </w:p>
    <w:p w14:paraId="6F07B2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5485F66" w14:textId="77777777" w:rsidR="003D7E8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4807857" w14:textId="77777777" w:rsidR="003D7E85" w:rsidRPr="00A259BD" w:rsidRDefault="003D7E8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F95627F" w14:textId="77777777" w:rsidR="003D7E85" w:rsidRPr="00A259BD" w:rsidRDefault="003D7E8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декабря 1929 г. танк Т-12 впервые вывели из цеха и </w:t>
      </w:r>
      <w:proofErr w:type="spellStart"/>
      <w:r w:rsidRPr="00A259BD">
        <w:rPr>
          <w:rFonts w:ascii="Times New Roman" w:hAnsi="Times New Roman"/>
          <w:color w:val="000000" w:themeColor="text1"/>
          <w:sz w:val="16"/>
          <w:szCs w:val="16"/>
        </w:rPr>
        <w:t>втечение</w:t>
      </w:r>
      <w:proofErr w:type="spellEnd"/>
      <w:r w:rsidRPr="00A259BD">
        <w:rPr>
          <w:rFonts w:ascii="Times New Roman" w:hAnsi="Times New Roman"/>
          <w:color w:val="000000" w:themeColor="text1"/>
          <w:sz w:val="16"/>
          <w:szCs w:val="16"/>
        </w:rPr>
        <w:t xml:space="preserve"> 20 мин испытывали его на ходу. Выявилась ненадежная работа тормозов, коробки передач и системы охлаждения двигателя. Испытание 23 декабря закончилось «...поломкой валика коробки шестерен. Нагревание при испытании в течение 1,5 часов не было сильным, но мотор работал с остановками и был мороз в 15 градусов при пурге. Выявилась слабость тормозов и неудобность маневрирования и некоторые дефекты в ходовой части (ленивец)». По результатам испытаний в конструкцию машины внесли ряд </w:t>
      </w:r>
      <w:proofErr w:type="spellStart"/>
      <w:r w:rsidRPr="00A259BD">
        <w:rPr>
          <w:rFonts w:ascii="Times New Roman" w:hAnsi="Times New Roman"/>
          <w:color w:val="000000" w:themeColor="text1"/>
          <w:sz w:val="16"/>
          <w:szCs w:val="16"/>
        </w:rPr>
        <w:t>улучшений.На</w:t>
      </w:r>
      <w:proofErr w:type="spellEnd"/>
      <w:r w:rsidRPr="00A259BD">
        <w:rPr>
          <w:rFonts w:ascii="Times New Roman" w:hAnsi="Times New Roman"/>
          <w:color w:val="000000" w:themeColor="text1"/>
          <w:sz w:val="16"/>
          <w:szCs w:val="16"/>
        </w:rPr>
        <w:t xml:space="preserve"> ходовых испытаниях танка 6 января 1930 г. были получены положительные результаты, Однако тормоза вновь показали себя неудовлетворительно, что задержало дальнейшее проведение испытаний. Только в начале февраля этот недостаток устранили, и заводские испытания танка под руководством помощника начальника тракторного цеха С.Н. Махо-</w:t>
      </w:r>
      <w:proofErr w:type="spellStart"/>
      <w:r w:rsidRPr="00A259BD">
        <w:rPr>
          <w:rFonts w:ascii="Times New Roman" w:hAnsi="Times New Roman"/>
          <w:color w:val="000000" w:themeColor="text1"/>
          <w:sz w:val="16"/>
          <w:szCs w:val="16"/>
        </w:rPr>
        <w:t>нина</w:t>
      </w:r>
      <w:proofErr w:type="spellEnd"/>
      <w:r w:rsidRPr="00A259BD">
        <w:rPr>
          <w:rFonts w:ascii="Times New Roman" w:hAnsi="Times New Roman"/>
          <w:color w:val="000000" w:themeColor="text1"/>
          <w:sz w:val="16"/>
          <w:szCs w:val="16"/>
        </w:rPr>
        <w:t xml:space="preserve"> и начальника КБ И.Н. Алексенко были продолжены 17, 20 и 21 февраля 1930 г. (12303).</w:t>
      </w:r>
    </w:p>
    <w:p w14:paraId="40F06127" w14:textId="77777777" w:rsidR="003D7E85" w:rsidRPr="00A259BD" w:rsidRDefault="003D7E85" w:rsidP="009236E3">
      <w:pPr>
        <w:spacing w:after="0" w:line="240" w:lineRule="auto"/>
        <w:jc w:val="both"/>
        <w:rPr>
          <w:rFonts w:ascii="Times New Roman" w:hAnsi="Times New Roman"/>
          <w:color w:val="000000" w:themeColor="text1"/>
          <w:sz w:val="16"/>
          <w:szCs w:val="16"/>
        </w:rPr>
      </w:pPr>
    </w:p>
    <w:p w14:paraId="60CBE5C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093B614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610CE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Между 21 и 26 декабря 1929. Из протокола заседания Политбюро N 109, особая папка, 1929 г.</w:t>
      </w:r>
    </w:p>
    <w:p w14:paraId="0DDDED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 смете </w:t>
      </w:r>
      <w:proofErr w:type="spellStart"/>
      <w:r w:rsidRPr="00A259BD">
        <w:rPr>
          <w:rFonts w:ascii="Times New Roman" w:hAnsi="Times New Roman"/>
          <w:color w:val="000000" w:themeColor="text1"/>
          <w:sz w:val="16"/>
          <w:szCs w:val="16"/>
        </w:rPr>
        <w:t>Разведупра</w:t>
      </w:r>
      <w:proofErr w:type="spellEnd"/>
      <w:r w:rsidRPr="00A259BD">
        <w:rPr>
          <w:rFonts w:ascii="Times New Roman" w:hAnsi="Times New Roman"/>
          <w:color w:val="000000" w:themeColor="text1"/>
          <w:sz w:val="16"/>
          <w:szCs w:val="16"/>
        </w:rPr>
        <w:t xml:space="preserve"> </w:t>
      </w:r>
    </w:p>
    <w:p w14:paraId="15F4C2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На специальную работу IV Управления Штаба РККА ассигновать на 1929-30 г. 750 000 американских долларов. Расходы сметы, исчисленные на содержание военно-морских атташе и научные командировки, как в инвалюте, так и в советских рублях, из этой сметы изъять, как не содержащие элементов секретности, и предложить рассмотреть их в </w:t>
      </w:r>
      <w:proofErr w:type="spellStart"/>
      <w:r w:rsidRPr="00A259BD">
        <w:rPr>
          <w:rFonts w:ascii="Times New Roman" w:hAnsi="Times New Roman"/>
          <w:color w:val="000000" w:themeColor="text1"/>
          <w:sz w:val="16"/>
          <w:szCs w:val="16"/>
        </w:rPr>
        <w:t>общесоветском</w:t>
      </w:r>
      <w:proofErr w:type="spellEnd"/>
      <w:r w:rsidRPr="00A259BD">
        <w:rPr>
          <w:rFonts w:ascii="Times New Roman" w:hAnsi="Times New Roman"/>
          <w:color w:val="000000" w:themeColor="text1"/>
          <w:sz w:val="16"/>
          <w:szCs w:val="16"/>
        </w:rPr>
        <w:t xml:space="preserve"> порядке. </w:t>
      </w:r>
    </w:p>
    <w:p w14:paraId="69E78C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В советских рублях на специальную работу IV Управления Штаба РККА ассигновать на 1929-30 г. 515 000 руб. (11652).</w:t>
      </w:r>
    </w:p>
    <w:p w14:paraId="7300AC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BE45106"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01055BA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598DA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декабря 1929 все праздновали 50-летие И.В.С. (1348,119).</w:t>
      </w:r>
    </w:p>
    <w:p w14:paraId="13F4BE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F43582D" w14:textId="77777777" w:rsidR="00E660B6" w:rsidRPr="00A259BD" w:rsidRDefault="00E660B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декабря 1929. И. В. Сталину исполнилось 50 лет.</w:t>
      </w:r>
    </w:p>
    <w:p w14:paraId="459A76B6" w14:textId="77777777" w:rsidR="00E660B6" w:rsidRPr="00A259BD" w:rsidRDefault="00E660B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Член ВКП(б) А. Г. Соловьев записывает: "Все газеты впервые опубликовали портреты т. Сталина и многочисленные статьи. В них т. Сталин именуется вождем мирового пролетариата. Отмечаются его колоссальные заслуги в разгроме троцкизма, правого оппортунизма, развертывании индустриализации и коллективизации, и колоссальная роль в создании партии и победе социалистической революции. Очень высокая оценка. Такой не бывало" (18726).</w:t>
      </w:r>
    </w:p>
    <w:p w14:paraId="51C8FF14" w14:textId="77777777" w:rsidR="00E660B6" w:rsidRPr="00A259BD" w:rsidRDefault="00E660B6" w:rsidP="009236E3">
      <w:pPr>
        <w:spacing w:after="0" w:line="240" w:lineRule="auto"/>
        <w:jc w:val="both"/>
        <w:rPr>
          <w:rFonts w:ascii="Times New Roman" w:hAnsi="Times New Roman"/>
          <w:color w:val="000000" w:themeColor="text1"/>
          <w:sz w:val="16"/>
          <w:szCs w:val="16"/>
        </w:rPr>
      </w:pPr>
    </w:p>
    <w:p w14:paraId="26EE8FBD" w14:textId="77777777" w:rsidR="003D7E85" w:rsidRPr="00A259BD" w:rsidRDefault="003D7E8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декабря 1929 г. торжественно праздновался 50-летний юбилей </w:t>
      </w:r>
      <w:proofErr w:type="spellStart"/>
      <w:r w:rsidRPr="00A259BD">
        <w:rPr>
          <w:rFonts w:ascii="Times New Roman" w:hAnsi="Times New Roman"/>
          <w:color w:val="000000" w:themeColor="text1"/>
          <w:sz w:val="16"/>
          <w:szCs w:val="16"/>
        </w:rPr>
        <w:t>И.В.Сталина</w:t>
      </w:r>
      <w:proofErr w:type="spellEnd"/>
      <w:r w:rsidRPr="00A259BD">
        <w:rPr>
          <w:rFonts w:ascii="Times New Roman" w:hAnsi="Times New Roman"/>
          <w:color w:val="000000" w:themeColor="text1"/>
          <w:sz w:val="16"/>
          <w:szCs w:val="16"/>
        </w:rPr>
        <w:t xml:space="preserve"> (позднее было установлено по церковной метрической книге, что в действительности он родился на год раньше, 6 (18) декабря 1878 г.). В приветствии ЦК ВКП(б) Сталин был назван «лучшим, самым стойким и последовательным из непосредственных учеников и соратников Ленина», а в передовице «Правды» - самым выдающимся теоретиком ленинизма. Помпезное празднование юбилея Сталина явилось толчком к развертыванию культа Сталина, его неумеренным восхвалениям с эпитетами «великий», «гениальный», «вождь трудящихся всего мира», приписываниям ему вымышленных заслуг в революции и гражданской войне, повсеместному вывешиванию его портретов и установке его памятников (12214).</w:t>
      </w:r>
    </w:p>
    <w:p w14:paraId="290D0799" w14:textId="77777777" w:rsidR="003D7E85" w:rsidRPr="00A259BD" w:rsidRDefault="003D7E85" w:rsidP="009236E3">
      <w:pPr>
        <w:spacing w:after="0" w:line="240" w:lineRule="auto"/>
        <w:jc w:val="both"/>
        <w:rPr>
          <w:rFonts w:ascii="Times New Roman" w:hAnsi="Times New Roman"/>
          <w:color w:val="000000" w:themeColor="text1"/>
          <w:sz w:val="16"/>
          <w:szCs w:val="16"/>
        </w:rPr>
      </w:pPr>
    </w:p>
    <w:p w14:paraId="73EF50A7" w14:textId="77777777" w:rsidR="00EF6111" w:rsidRPr="00441F34" w:rsidRDefault="00EF6111" w:rsidP="00EF611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21 декабря 1929 г. Советская держава отметила 50-летие со дня рождения И. В. Сталина. В этот день на страницах многих газет появились специальные подборки посвященных ему статей, изданные далее в виде отдельного сборника. По указанию Сталина, как пишет Д. А. Волкогонов, чтобы не было осечек, была создана группа, в которую вошли </w:t>
      </w:r>
      <w:proofErr w:type="spellStart"/>
      <w:r w:rsidRPr="00441F34">
        <w:rPr>
          <w:rFonts w:ascii="Times New Roman" w:hAnsi="Times New Roman"/>
          <w:color w:val="0070C0"/>
          <w:sz w:val="16"/>
          <w:szCs w:val="16"/>
        </w:rPr>
        <w:t>Товстуха</w:t>
      </w:r>
      <w:proofErr w:type="spellEnd"/>
      <w:r w:rsidRPr="00441F34">
        <w:rPr>
          <w:rFonts w:ascii="Times New Roman" w:hAnsi="Times New Roman"/>
          <w:color w:val="0070C0"/>
          <w:sz w:val="16"/>
          <w:szCs w:val="16"/>
        </w:rPr>
        <w:t xml:space="preserve">, Двинский, </w:t>
      </w:r>
      <w:proofErr w:type="spellStart"/>
      <w:r w:rsidRPr="00441F34">
        <w:rPr>
          <w:rFonts w:ascii="Times New Roman" w:hAnsi="Times New Roman"/>
          <w:color w:val="0070C0"/>
          <w:sz w:val="16"/>
          <w:szCs w:val="16"/>
        </w:rPr>
        <w:t>Канер</w:t>
      </w:r>
      <w:proofErr w:type="spellEnd"/>
      <w:r w:rsidRPr="00441F34">
        <w:rPr>
          <w:rFonts w:ascii="Times New Roman" w:hAnsi="Times New Roman"/>
          <w:color w:val="0070C0"/>
          <w:sz w:val="16"/>
          <w:szCs w:val="16"/>
        </w:rPr>
        <w:t>, Мехлис и Поскребышев, уполномоченная просматривать и визировать крупные материалы о нем, а наиболее важные докладывать ему лично.</w:t>
      </w:r>
    </w:p>
    <w:p w14:paraId="3EF605B6" w14:textId="77777777" w:rsidR="00EF6111" w:rsidRPr="00441F34" w:rsidRDefault="00EF6111" w:rsidP="00EF611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Так возникла предварительная цензура на все публикации материалов об И. В. Сталине. Когда А. М. Горький пожелал написать его биографию и обратился за архивными документами, то доступа к ним не получил. С этой же проблемой столкнулся один из идеологических сподвижников партии Е. Ярославский. Ему, старейшему большевику, тоже было отказано в доступе к архивным материалам о вожде. Сталин мотивировал это так: «...думаю, что не пришло еще время» (23485).</w:t>
      </w:r>
    </w:p>
    <w:p w14:paraId="7F45F872" w14:textId="77777777" w:rsidR="00EF6111" w:rsidRPr="00441F34" w:rsidRDefault="00EF6111" w:rsidP="00EF6111">
      <w:pPr>
        <w:spacing w:after="0" w:line="240" w:lineRule="auto"/>
        <w:jc w:val="both"/>
        <w:rPr>
          <w:rFonts w:ascii="Times New Roman" w:hAnsi="Times New Roman"/>
          <w:color w:val="0070C0"/>
          <w:sz w:val="16"/>
          <w:szCs w:val="16"/>
        </w:rPr>
      </w:pPr>
    </w:p>
    <w:p w14:paraId="73E94C6D"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825D54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449C638" w14:textId="77777777" w:rsidR="001D6E99" w:rsidRPr="00A259BD" w:rsidRDefault="001D6E9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21 декабря 1929 - Первый полёт транспортного самолета, получившего обозначение SPCA 40T. Он представлял собой свободнонесущий высокоплан, оснащенный тремя звездообразными двигателями </w:t>
      </w:r>
      <w:proofErr w:type="spellStart"/>
      <w:r w:rsidRPr="00A259BD">
        <w:rPr>
          <w:rFonts w:ascii="Times New Roman" w:hAnsi="Times New Roman"/>
          <w:color w:val="000000" w:themeColor="text1"/>
          <w:sz w:val="16"/>
          <w:szCs w:val="16"/>
        </w:rPr>
        <w:t>Salmson</w:t>
      </w:r>
      <w:proofErr w:type="spellEnd"/>
      <w:r w:rsidRPr="00A259BD">
        <w:rPr>
          <w:rFonts w:ascii="Times New Roman" w:hAnsi="Times New Roman"/>
          <w:color w:val="000000" w:themeColor="text1"/>
          <w:sz w:val="16"/>
          <w:szCs w:val="16"/>
        </w:rPr>
        <w:t xml:space="preserve"> 9Ac мощностью 120 л.с. Экипаж из двух человек размещался в кабине, расположенной перед передней кромкой крыла, а позади и ниже нее имелся отсек для размещения груза, почты или четырех-пяти пассажиров (22696).</w:t>
      </w:r>
    </w:p>
    <w:p w14:paraId="2D4638FF" w14:textId="77777777" w:rsidR="001D6E99" w:rsidRPr="00A259BD" w:rsidRDefault="001D6E99" w:rsidP="009236E3">
      <w:pPr>
        <w:spacing w:after="0" w:line="240" w:lineRule="auto"/>
        <w:jc w:val="both"/>
        <w:rPr>
          <w:rFonts w:ascii="Times New Roman" w:hAnsi="Times New Roman"/>
          <w:color w:val="000000" w:themeColor="text1"/>
          <w:sz w:val="16"/>
          <w:szCs w:val="16"/>
        </w:rPr>
      </w:pPr>
    </w:p>
    <w:p w14:paraId="3E72E89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декабря 1929 у Гонконга затонул китайский пароход “Ли Ченг”, 300 человек погибли (4962).</w:t>
      </w:r>
    </w:p>
    <w:p w14:paraId="5950E73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C39322" w14:textId="77777777" w:rsidR="00FE7F6B" w:rsidRPr="00A259BD" w:rsidRDefault="00FE7F6B" w:rsidP="009236E3">
      <w:pPr>
        <w:spacing w:after="0" w:line="240" w:lineRule="auto"/>
        <w:jc w:val="both"/>
        <w:rPr>
          <w:rStyle w:val="ucoz-forum-post"/>
          <w:rFonts w:ascii="Times New Roman" w:hAnsi="Times New Roman"/>
          <w:color w:val="000000" w:themeColor="text1"/>
          <w:sz w:val="16"/>
          <w:szCs w:val="16"/>
        </w:rPr>
      </w:pPr>
      <w:r w:rsidRPr="00A259BD">
        <w:rPr>
          <w:rStyle w:val="ucoz-forum-post"/>
          <w:rFonts w:ascii="Times New Roman" w:hAnsi="Times New Roman"/>
          <w:bCs/>
          <w:color w:val="000000" w:themeColor="text1"/>
          <w:sz w:val="16"/>
          <w:szCs w:val="16"/>
        </w:rPr>
        <w:t>21 декабря 1929 года</w:t>
      </w:r>
      <w:r w:rsidRPr="00A259BD">
        <w:rPr>
          <w:rStyle w:val="ucoz-forum-post"/>
          <w:rFonts w:ascii="Times New Roman" w:hAnsi="Times New Roman"/>
          <w:color w:val="000000" w:themeColor="text1"/>
          <w:sz w:val="16"/>
          <w:szCs w:val="16"/>
        </w:rPr>
        <w:t xml:space="preserve"> Первый полёт транспортного самолета, получившего обозначение SPCA 40T. Он представлял собой свободнонесущий высокоплан, оснащенный тремя звездообразными двигателями </w:t>
      </w:r>
      <w:proofErr w:type="spellStart"/>
      <w:r w:rsidRPr="00A259BD">
        <w:rPr>
          <w:rStyle w:val="ucoz-forum-post"/>
          <w:rFonts w:ascii="Times New Roman" w:hAnsi="Times New Roman"/>
          <w:color w:val="000000" w:themeColor="text1"/>
          <w:sz w:val="16"/>
          <w:szCs w:val="16"/>
        </w:rPr>
        <w:t>Salmson</w:t>
      </w:r>
      <w:proofErr w:type="spellEnd"/>
      <w:r w:rsidRPr="00A259BD">
        <w:rPr>
          <w:rStyle w:val="ucoz-forum-post"/>
          <w:rFonts w:ascii="Times New Roman" w:hAnsi="Times New Roman"/>
          <w:color w:val="000000" w:themeColor="text1"/>
          <w:sz w:val="16"/>
          <w:szCs w:val="16"/>
        </w:rPr>
        <w:t xml:space="preserve"> 9Ac мощностью 120 л.с. Экипаж из двух человек размещался в кабине, расположенной перед передней кромкой крыла, а позади и ниже нее имелся отсек для размещения груза, почты или четырех-пяти пассажиров (14867).</w:t>
      </w:r>
    </w:p>
    <w:p w14:paraId="5CF04AE1" w14:textId="77777777" w:rsidR="00FE7F6B" w:rsidRPr="00A259BD" w:rsidRDefault="00FE7F6B" w:rsidP="009236E3">
      <w:pPr>
        <w:spacing w:after="0" w:line="240" w:lineRule="auto"/>
        <w:jc w:val="both"/>
        <w:rPr>
          <w:rStyle w:val="ucoz-forum-post"/>
          <w:rFonts w:ascii="Times New Roman" w:hAnsi="Times New Roman"/>
          <w:color w:val="000000" w:themeColor="text1"/>
          <w:sz w:val="16"/>
          <w:szCs w:val="16"/>
        </w:rPr>
      </w:pPr>
    </w:p>
    <w:p w14:paraId="0975772D" w14:textId="77777777" w:rsidR="00FE7F6B"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A69C03A" w14:textId="77777777" w:rsidR="00FE7F6B" w:rsidRPr="00A259BD" w:rsidRDefault="00FE7F6B"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6006AD4" w14:textId="77777777" w:rsidR="00FE7F6B" w:rsidRPr="00A259BD" w:rsidRDefault="00FE7F6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декабря1929 г., согласно письму начальника УММ РККА начальнику МПУ ВСНХ СССР №900217, план заказов на 1930/31— 1932/33 гг. был скорректирован в сторону увеличения. Так, в частности, средних (маневренных) танков планировалось изготовить: в 1930/31 300, в 1931/32 - 1000 и в 1932/33 - 1100. Но эти планы остались нереализованными: ХПЗ на тот момент не имел опыта подобных работ, квалифицированных кадров, соответствующих станков, оборудования и материалов. При этом в декабре 1929 г. январе 1930 г. с завода «Красный Профинтерн» сняли заказ на Т-12. Поэтому </w:t>
      </w:r>
      <w:proofErr w:type="spellStart"/>
      <w:r w:rsidRPr="00A259BD">
        <w:rPr>
          <w:rFonts w:ascii="Times New Roman" w:hAnsi="Times New Roman"/>
          <w:color w:val="000000" w:themeColor="text1"/>
          <w:sz w:val="16"/>
          <w:szCs w:val="16"/>
        </w:rPr>
        <w:t>Машинообъединение</w:t>
      </w:r>
      <w:proofErr w:type="spellEnd"/>
      <w:r w:rsidRPr="00A259BD">
        <w:rPr>
          <w:rFonts w:ascii="Times New Roman" w:hAnsi="Times New Roman"/>
          <w:color w:val="000000" w:themeColor="text1"/>
          <w:sz w:val="16"/>
          <w:szCs w:val="16"/>
        </w:rPr>
        <w:t>, учитывая постановление СТО об изготовлении в текущем году валовой партии танков, дало задание ХПЗ приступить к изготовлению 15 танков по образцу опытной машины с изменениями, внесенными при окончательных заводских испытаниях. Срок сдачи — 1 октября 1930 г. В то же время Артиллерийское управление РККА так и не выдало заказ на изготовление 30 танков Т-12 по опытному образцу. В апреле 1930 г. было принято решение подключить к выпуску 300 машин по программе 1930/31 г., помимо ХПЗ, два готовившихся к введению в строй тракторных завода Сталинградский и Челябинский (12303).</w:t>
      </w:r>
    </w:p>
    <w:p w14:paraId="190F274D" w14:textId="77777777" w:rsidR="00FE7F6B" w:rsidRPr="00A259BD" w:rsidRDefault="00FE7F6B" w:rsidP="009236E3">
      <w:pPr>
        <w:spacing w:after="0" w:line="240" w:lineRule="auto"/>
        <w:jc w:val="both"/>
        <w:rPr>
          <w:rFonts w:ascii="Times New Roman" w:hAnsi="Times New Roman"/>
          <w:color w:val="000000" w:themeColor="text1"/>
          <w:sz w:val="16"/>
          <w:szCs w:val="16"/>
        </w:rPr>
      </w:pPr>
    </w:p>
    <w:p w14:paraId="7563781B" w14:textId="77777777" w:rsidR="00E660B6" w:rsidRPr="00A259BD" w:rsidRDefault="00E660B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декабря 1929 г. в Научно-техническом комитете Управления механизации и моторизации РККА под председательством т. Свиридова прошло совещание «По вопросу об организации производства мотоциклов на заводах </w:t>
      </w:r>
      <w:proofErr w:type="spellStart"/>
      <w:r w:rsidRPr="00A259BD">
        <w:rPr>
          <w:rFonts w:ascii="Times New Roman" w:hAnsi="Times New Roman"/>
          <w:color w:val="000000" w:themeColor="text1"/>
          <w:sz w:val="16"/>
          <w:szCs w:val="16"/>
        </w:rPr>
        <w:t>Тремасс</w:t>
      </w:r>
      <w:proofErr w:type="spellEnd"/>
      <w:r w:rsidRPr="00A259BD">
        <w:rPr>
          <w:rFonts w:ascii="Times New Roman" w:hAnsi="Times New Roman"/>
          <w:color w:val="000000" w:themeColor="text1"/>
          <w:sz w:val="16"/>
          <w:szCs w:val="16"/>
        </w:rPr>
        <w:t xml:space="preserve"> и о типах мотоциклов». На совещании, помимо военных, присутствовали представители </w:t>
      </w:r>
      <w:proofErr w:type="spellStart"/>
      <w:r w:rsidRPr="00A259BD">
        <w:rPr>
          <w:rFonts w:ascii="Times New Roman" w:hAnsi="Times New Roman"/>
          <w:color w:val="000000" w:themeColor="text1"/>
          <w:sz w:val="16"/>
          <w:szCs w:val="16"/>
        </w:rPr>
        <w:t>Тремасса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Заусский</w:t>
      </w:r>
      <w:proofErr w:type="spellEnd"/>
      <w:r w:rsidRPr="00A259BD">
        <w:rPr>
          <w:rFonts w:ascii="Times New Roman" w:hAnsi="Times New Roman"/>
          <w:color w:val="000000" w:themeColor="text1"/>
          <w:sz w:val="16"/>
          <w:szCs w:val="16"/>
        </w:rPr>
        <w:t xml:space="preserve"> и Доброхотов, т. Давид от общества «Автодор», инженер Шарапов из НАМИ, т. Бычков от </w:t>
      </w:r>
      <w:proofErr w:type="spellStart"/>
      <w:r w:rsidRPr="00A259BD">
        <w:rPr>
          <w:rFonts w:ascii="Times New Roman" w:hAnsi="Times New Roman"/>
          <w:color w:val="000000" w:themeColor="text1"/>
          <w:sz w:val="16"/>
          <w:szCs w:val="16"/>
        </w:rPr>
        <w:t>Главмашстрая</w:t>
      </w:r>
      <w:proofErr w:type="spellEnd"/>
      <w:r w:rsidRPr="00A259BD">
        <w:rPr>
          <w:rFonts w:ascii="Times New Roman" w:hAnsi="Times New Roman"/>
          <w:color w:val="000000" w:themeColor="text1"/>
          <w:sz w:val="16"/>
          <w:szCs w:val="16"/>
        </w:rPr>
        <w:t xml:space="preserve"> и т. Белинский от ВСНХ РСФСР, а представителя союзного ВСНХ не пригласили. </w:t>
      </w:r>
      <w:proofErr w:type="spellStart"/>
      <w:r w:rsidRPr="00A259BD">
        <w:rPr>
          <w:rFonts w:ascii="Times New Roman" w:hAnsi="Times New Roman"/>
          <w:color w:val="000000" w:themeColor="text1"/>
          <w:sz w:val="16"/>
          <w:szCs w:val="16"/>
        </w:rPr>
        <w:t>Заусский</w:t>
      </w:r>
      <w:proofErr w:type="spellEnd"/>
      <w:r w:rsidRPr="00A259BD">
        <w:rPr>
          <w:rFonts w:ascii="Times New Roman" w:hAnsi="Times New Roman"/>
          <w:color w:val="000000" w:themeColor="text1"/>
          <w:sz w:val="16"/>
          <w:szCs w:val="16"/>
        </w:rPr>
        <w:t xml:space="preserve"> сделал доклад об организации производства мотоциклов на заводах </w:t>
      </w:r>
      <w:proofErr w:type="spellStart"/>
      <w:r w:rsidRPr="00A259BD">
        <w:rPr>
          <w:rFonts w:ascii="Times New Roman" w:hAnsi="Times New Roman"/>
          <w:color w:val="000000" w:themeColor="text1"/>
          <w:sz w:val="16"/>
          <w:szCs w:val="16"/>
        </w:rPr>
        <w:t>Тремасс</w:t>
      </w:r>
      <w:proofErr w:type="spellEnd"/>
      <w:r w:rsidRPr="00A259BD">
        <w:rPr>
          <w:rFonts w:ascii="Times New Roman" w:hAnsi="Times New Roman"/>
          <w:color w:val="000000" w:themeColor="text1"/>
          <w:sz w:val="16"/>
          <w:szCs w:val="16"/>
        </w:rPr>
        <w:t xml:space="preserve">, сообщив, что производство опытной партии мотоциклов типа DKW уже начато, и к середине лета 1930 г. будут выпущены первые «300 кб мотоциклы». В ходе обмена мнений все присутствовавшие, кроме представителей </w:t>
      </w:r>
      <w:proofErr w:type="spellStart"/>
      <w:r w:rsidRPr="00A259BD">
        <w:rPr>
          <w:rFonts w:ascii="Times New Roman" w:hAnsi="Times New Roman"/>
          <w:color w:val="000000" w:themeColor="text1"/>
          <w:sz w:val="16"/>
          <w:szCs w:val="16"/>
        </w:rPr>
        <w:t>Тремасса</w:t>
      </w:r>
      <w:proofErr w:type="spellEnd"/>
      <w:r w:rsidRPr="00A259BD">
        <w:rPr>
          <w:rFonts w:ascii="Times New Roman" w:hAnsi="Times New Roman"/>
          <w:color w:val="000000" w:themeColor="text1"/>
          <w:sz w:val="16"/>
          <w:szCs w:val="16"/>
        </w:rPr>
        <w:t xml:space="preserve">, сошлись во мнении о том, что выбор мотоцикла для опытного производства был произведен «без достаточных обоснований и не согласован с Наркомвоенмором». Помимо обмена мнениями о недостатках мотоцикла отдельно высказался и особо указал т. Белинский. По итогам обсуждения было принято решение: «1. Признать, что начинания ВСНХ РСФСР в области организации </w:t>
      </w:r>
      <w:proofErr w:type="spellStart"/>
      <w:r w:rsidRPr="00A259BD">
        <w:rPr>
          <w:rFonts w:ascii="Times New Roman" w:hAnsi="Times New Roman"/>
          <w:color w:val="000000" w:themeColor="text1"/>
          <w:sz w:val="16"/>
          <w:szCs w:val="16"/>
        </w:rPr>
        <w:t>мотостроения</w:t>
      </w:r>
      <w:proofErr w:type="spellEnd"/>
      <w:r w:rsidRPr="00A259BD">
        <w:rPr>
          <w:rFonts w:ascii="Times New Roman" w:hAnsi="Times New Roman"/>
          <w:color w:val="000000" w:themeColor="text1"/>
          <w:sz w:val="16"/>
          <w:szCs w:val="16"/>
        </w:rPr>
        <w:t xml:space="preserve"> в Союзе являются безусловно своевременными и необходимыми, однако планы ВСНХ РСФСР по </w:t>
      </w:r>
      <w:proofErr w:type="spellStart"/>
      <w:r w:rsidRPr="00A259BD">
        <w:rPr>
          <w:rFonts w:ascii="Times New Roman" w:hAnsi="Times New Roman"/>
          <w:color w:val="000000" w:themeColor="text1"/>
          <w:sz w:val="16"/>
          <w:szCs w:val="16"/>
        </w:rPr>
        <w:t>мотостроению</w:t>
      </w:r>
      <w:proofErr w:type="spellEnd"/>
      <w:r w:rsidRPr="00A259BD">
        <w:rPr>
          <w:rFonts w:ascii="Times New Roman" w:hAnsi="Times New Roman"/>
          <w:color w:val="000000" w:themeColor="text1"/>
          <w:sz w:val="16"/>
          <w:szCs w:val="16"/>
        </w:rPr>
        <w:t xml:space="preserve">, а равно и программа последнего должны быть полностью увязаны с общими планами </w:t>
      </w:r>
      <w:proofErr w:type="spellStart"/>
      <w:r w:rsidRPr="00A259BD">
        <w:rPr>
          <w:rFonts w:ascii="Times New Roman" w:hAnsi="Times New Roman"/>
          <w:color w:val="000000" w:themeColor="text1"/>
          <w:sz w:val="16"/>
          <w:szCs w:val="16"/>
        </w:rPr>
        <w:t>мотостроения</w:t>
      </w:r>
      <w:proofErr w:type="spellEnd"/>
      <w:r w:rsidRPr="00A259BD">
        <w:rPr>
          <w:rFonts w:ascii="Times New Roman" w:hAnsi="Times New Roman"/>
          <w:color w:val="000000" w:themeColor="text1"/>
          <w:sz w:val="16"/>
          <w:szCs w:val="16"/>
        </w:rPr>
        <w:t xml:space="preserve"> в СССР. 2. Признать правильным в принципе принятое решение ВСНХ РСФСР об организации производства мотоциклов путем копирования заграничных образцов. 3. Отметить, что выбор принятого типа мотоцикла DKW 300 кб см на опытное производство, которое уже начато на заводах </w:t>
      </w:r>
      <w:proofErr w:type="spellStart"/>
      <w:r w:rsidRPr="00A259BD">
        <w:rPr>
          <w:rFonts w:ascii="Times New Roman" w:hAnsi="Times New Roman"/>
          <w:color w:val="000000" w:themeColor="text1"/>
          <w:sz w:val="16"/>
          <w:szCs w:val="16"/>
        </w:rPr>
        <w:t>Тремасс</w:t>
      </w:r>
      <w:proofErr w:type="spellEnd"/>
      <w:r w:rsidRPr="00A259BD">
        <w:rPr>
          <w:rFonts w:ascii="Times New Roman" w:hAnsi="Times New Roman"/>
          <w:color w:val="000000" w:themeColor="text1"/>
          <w:sz w:val="16"/>
          <w:szCs w:val="16"/>
        </w:rPr>
        <w:t xml:space="preserve">, произведено </w:t>
      </w:r>
      <w:proofErr w:type="spellStart"/>
      <w:r w:rsidRPr="00A259BD">
        <w:rPr>
          <w:rFonts w:ascii="Times New Roman" w:hAnsi="Times New Roman"/>
          <w:color w:val="000000" w:themeColor="text1"/>
          <w:sz w:val="16"/>
          <w:szCs w:val="16"/>
        </w:rPr>
        <w:t>Тремассом</w:t>
      </w:r>
      <w:proofErr w:type="spellEnd"/>
      <w:r w:rsidRPr="00A259BD">
        <w:rPr>
          <w:rFonts w:ascii="Times New Roman" w:hAnsi="Times New Roman"/>
          <w:color w:val="000000" w:themeColor="text1"/>
          <w:sz w:val="16"/>
          <w:szCs w:val="16"/>
        </w:rPr>
        <w:t xml:space="preserve"> без согласования с НКВМ, вопреки указаниям ВСНХ РСФСР. 4. Ввиду того, что выбранный </w:t>
      </w:r>
      <w:proofErr w:type="spellStart"/>
      <w:r w:rsidRPr="00A259BD">
        <w:rPr>
          <w:rFonts w:ascii="Times New Roman" w:hAnsi="Times New Roman"/>
          <w:color w:val="000000" w:themeColor="text1"/>
          <w:sz w:val="16"/>
          <w:szCs w:val="16"/>
        </w:rPr>
        <w:t>Тремассом</w:t>
      </w:r>
      <w:proofErr w:type="spellEnd"/>
      <w:r w:rsidRPr="00A259BD">
        <w:rPr>
          <w:rFonts w:ascii="Times New Roman" w:hAnsi="Times New Roman"/>
          <w:color w:val="000000" w:themeColor="text1"/>
          <w:sz w:val="16"/>
          <w:szCs w:val="16"/>
        </w:rPr>
        <w:t xml:space="preserve"> тип мотоцикла DKW 300 кб см ни в СССР вообще, ни в РККА в </w:t>
      </w:r>
      <w:proofErr w:type="spellStart"/>
      <w:r w:rsidRPr="00A259BD">
        <w:rPr>
          <w:rFonts w:ascii="Times New Roman" w:hAnsi="Times New Roman"/>
          <w:color w:val="000000" w:themeColor="text1"/>
          <w:sz w:val="16"/>
          <w:szCs w:val="16"/>
        </w:rPr>
        <w:t>эксплоатации</w:t>
      </w:r>
      <w:proofErr w:type="spellEnd"/>
      <w:r w:rsidRPr="00A259BD">
        <w:rPr>
          <w:rFonts w:ascii="Times New Roman" w:hAnsi="Times New Roman"/>
          <w:color w:val="000000" w:themeColor="text1"/>
          <w:sz w:val="16"/>
          <w:szCs w:val="16"/>
        </w:rPr>
        <w:t xml:space="preserve"> не имеется, а произведенные испытания /только около 600 км пробега даже без проверки мощности мотора на станке/ носят чисто случайный и недостаточный характер, и основанием к пуску в производство служило лишь распространение этих машин в Германии, — УММ не считает возможным одобрить выбор этой модели. УММ считает совершенно необходимым произвести надлежащее всестороннее испытание мотоцикла, которое ввиду спешности может быть произведено в кратчайший срок. Это испытание должно происходить при непременном участии УММ РККА. 5. Учитывая заявление представителя ВСНХ РСФСР о том, что за границей в настоящее время закупаются модели нескольких фирм, и постройка опытной партии мотоциклов на заводах </w:t>
      </w:r>
      <w:proofErr w:type="spellStart"/>
      <w:r w:rsidRPr="00A259BD">
        <w:rPr>
          <w:rFonts w:ascii="Times New Roman" w:hAnsi="Times New Roman"/>
          <w:color w:val="000000" w:themeColor="text1"/>
          <w:sz w:val="16"/>
          <w:szCs w:val="16"/>
        </w:rPr>
        <w:t>Тремасс</w:t>
      </w:r>
      <w:proofErr w:type="spellEnd"/>
      <w:r w:rsidRPr="00A259BD">
        <w:rPr>
          <w:rFonts w:ascii="Times New Roman" w:hAnsi="Times New Roman"/>
          <w:color w:val="000000" w:themeColor="text1"/>
          <w:sz w:val="16"/>
          <w:szCs w:val="16"/>
        </w:rPr>
        <w:t xml:space="preserve"> не является окончательным решением о модели, которая будет строиться в массовом порядке, — просить ВСНХ РСФСР окончательный выбор модели произвести при участии НКВМ». Итоги обсуждения были оформлены в тот же день журналом заседаний № 6 по 2 секции НТК УММ. 6 января 1930 г. заместитель директора НАМИ сообщил НТК УММ и руководству </w:t>
      </w:r>
      <w:proofErr w:type="spellStart"/>
      <w:r w:rsidRPr="00A259BD">
        <w:rPr>
          <w:rFonts w:ascii="Times New Roman" w:hAnsi="Times New Roman"/>
          <w:color w:val="000000" w:themeColor="text1"/>
          <w:sz w:val="16"/>
          <w:szCs w:val="16"/>
        </w:rPr>
        <w:t>Тремасса</w:t>
      </w:r>
      <w:proofErr w:type="spellEnd"/>
      <w:r w:rsidRPr="00A259BD">
        <w:rPr>
          <w:rFonts w:ascii="Times New Roman" w:hAnsi="Times New Roman"/>
          <w:color w:val="000000" w:themeColor="text1"/>
          <w:sz w:val="16"/>
          <w:szCs w:val="16"/>
        </w:rPr>
        <w:t xml:space="preserve">: «1. НАМИ может взять на себя все испытательные работы для выявления качеств мотоциклов, предполагающихся к производству на заводах </w:t>
      </w:r>
      <w:proofErr w:type="spellStart"/>
      <w:r w:rsidRPr="00A259BD">
        <w:rPr>
          <w:rFonts w:ascii="Times New Roman" w:hAnsi="Times New Roman"/>
          <w:color w:val="000000" w:themeColor="text1"/>
          <w:sz w:val="16"/>
          <w:szCs w:val="16"/>
        </w:rPr>
        <w:t>Тремасса</w:t>
      </w:r>
      <w:proofErr w:type="spellEnd"/>
      <w:r w:rsidRPr="00A259BD">
        <w:rPr>
          <w:rFonts w:ascii="Times New Roman" w:hAnsi="Times New Roman"/>
          <w:color w:val="000000" w:themeColor="text1"/>
          <w:sz w:val="16"/>
          <w:szCs w:val="16"/>
        </w:rPr>
        <w:t xml:space="preserve">. 2. Кроме </w:t>
      </w:r>
      <w:proofErr w:type="spellStart"/>
      <w:r w:rsidRPr="00A259BD">
        <w:rPr>
          <w:rFonts w:ascii="Times New Roman" w:hAnsi="Times New Roman"/>
          <w:color w:val="000000" w:themeColor="text1"/>
          <w:sz w:val="16"/>
          <w:szCs w:val="16"/>
        </w:rPr>
        <w:t>Тремасса</w:t>
      </w:r>
      <w:proofErr w:type="spellEnd"/>
      <w:r w:rsidRPr="00A259BD">
        <w:rPr>
          <w:rFonts w:ascii="Times New Roman" w:hAnsi="Times New Roman"/>
          <w:color w:val="000000" w:themeColor="text1"/>
          <w:sz w:val="16"/>
          <w:szCs w:val="16"/>
        </w:rPr>
        <w:t xml:space="preserve"> производство мотоциклов намечается </w:t>
      </w:r>
      <w:proofErr w:type="spellStart"/>
      <w:r w:rsidRPr="00A259BD">
        <w:rPr>
          <w:rFonts w:ascii="Times New Roman" w:hAnsi="Times New Roman"/>
          <w:color w:val="000000" w:themeColor="text1"/>
          <w:sz w:val="16"/>
          <w:szCs w:val="16"/>
        </w:rPr>
        <w:t>Велостроем</w:t>
      </w:r>
      <w:proofErr w:type="spellEnd"/>
      <w:r w:rsidRPr="00A259BD">
        <w:rPr>
          <w:rFonts w:ascii="Times New Roman" w:hAnsi="Times New Roman"/>
          <w:color w:val="000000" w:themeColor="text1"/>
          <w:sz w:val="16"/>
          <w:szCs w:val="16"/>
        </w:rPr>
        <w:t xml:space="preserve">, ориентирующимся на типы и техническую помощь фирмы БСА. 3. Считаем совершенно необходимым произвести предварительную увязку между обоими организациями с точки зрения подбора типов и выработки технических условий на них совместно с УММ и Автодором». Так, с многочисленными оговорками, мотоцикл из северной столицы получил путевку в жизнь. Как объект копирования был принят германский мотоцикл DKW модели Luxus-300. Отечественные копии стали известны под марками Тремасс-300, Л-300, «Красный Октябрь» или «Советский </w:t>
      </w:r>
      <w:proofErr w:type="spellStart"/>
      <w:r w:rsidRPr="00A259BD">
        <w:rPr>
          <w:rFonts w:ascii="Times New Roman" w:hAnsi="Times New Roman"/>
          <w:color w:val="000000" w:themeColor="text1"/>
          <w:sz w:val="16"/>
          <w:szCs w:val="16"/>
        </w:rPr>
        <w:t>Декаве</w:t>
      </w:r>
      <w:proofErr w:type="spellEnd"/>
      <w:r w:rsidRPr="00A259BD">
        <w:rPr>
          <w:rFonts w:ascii="Times New Roman" w:hAnsi="Times New Roman"/>
          <w:color w:val="000000" w:themeColor="text1"/>
          <w:sz w:val="16"/>
          <w:szCs w:val="16"/>
        </w:rPr>
        <w:t xml:space="preserve">». Все мотоциклы этого семейства имели более или менее существенные отличия, для изготовления первых образцов даже использовались импортные детали, связанные с отсутствием утвержденной технологии и индивидуальным характером производства. Достаточно сказать, что мощность мотора мотоциклов разных дат выпуска колебалась от 6 до 6,5 л.с. В различное время изготовление комплектующих и финальная сборка осуществлялась разными предприятиями </w:t>
      </w:r>
      <w:proofErr w:type="spellStart"/>
      <w:r w:rsidRPr="00A259BD">
        <w:rPr>
          <w:rFonts w:ascii="Times New Roman" w:hAnsi="Times New Roman"/>
          <w:color w:val="000000" w:themeColor="text1"/>
          <w:sz w:val="16"/>
          <w:szCs w:val="16"/>
        </w:rPr>
        <w:t>Тремасса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лениградского</w:t>
      </w:r>
      <w:proofErr w:type="spellEnd"/>
      <w:r w:rsidRPr="00A259BD">
        <w:rPr>
          <w:rFonts w:ascii="Times New Roman" w:hAnsi="Times New Roman"/>
          <w:color w:val="000000" w:themeColor="text1"/>
          <w:sz w:val="16"/>
          <w:szCs w:val="16"/>
        </w:rPr>
        <w:t xml:space="preserve"> куста заводов, но основной объем работ выполняли заводы «</w:t>
      </w:r>
      <w:proofErr w:type="spellStart"/>
      <w:r w:rsidRPr="00A259BD">
        <w:rPr>
          <w:rFonts w:ascii="Times New Roman" w:hAnsi="Times New Roman"/>
          <w:color w:val="000000" w:themeColor="text1"/>
          <w:sz w:val="16"/>
          <w:szCs w:val="16"/>
        </w:rPr>
        <w:t>Промет</w:t>
      </w:r>
      <w:proofErr w:type="spellEnd"/>
      <w:r w:rsidRPr="00A259BD">
        <w:rPr>
          <w:rFonts w:ascii="Times New Roman" w:hAnsi="Times New Roman"/>
          <w:color w:val="000000" w:themeColor="text1"/>
          <w:sz w:val="16"/>
          <w:szCs w:val="16"/>
        </w:rPr>
        <w:t xml:space="preserve">» и «Красный Октябрь». Как альтернатива начинанию </w:t>
      </w:r>
      <w:proofErr w:type="spellStart"/>
      <w:r w:rsidRPr="00A259BD">
        <w:rPr>
          <w:rFonts w:ascii="Times New Roman" w:hAnsi="Times New Roman"/>
          <w:color w:val="000000" w:themeColor="text1"/>
          <w:sz w:val="16"/>
          <w:szCs w:val="16"/>
        </w:rPr>
        <w:t>Тремасса</w:t>
      </w:r>
      <w:proofErr w:type="spellEnd"/>
      <w:r w:rsidRPr="00A259BD">
        <w:rPr>
          <w:rFonts w:ascii="Times New Roman" w:hAnsi="Times New Roman"/>
          <w:color w:val="000000" w:themeColor="text1"/>
          <w:sz w:val="16"/>
          <w:szCs w:val="16"/>
        </w:rPr>
        <w:t xml:space="preserve"> был проект организации выпуска мотоциклов на заводах </w:t>
      </w:r>
      <w:proofErr w:type="spellStart"/>
      <w:r w:rsidRPr="00A259BD">
        <w:rPr>
          <w:rFonts w:ascii="Times New Roman" w:hAnsi="Times New Roman"/>
          <w:color w:val="000000" w:themeColor="text1"/>
          <w:sz w:val="16"/>
          <w:szCs w:val="16"/>
        </w:rPr>
        <w:t>Велостроя</w:t>
      </w:r>
      <w:proofErr w:type="spellEnd"/>
      <w:r w:rsidRPr="00A259BD">
        <w:rPr>
          <w:rFonts w:ascii="Times New Roman" w:hAnsi="Times New Roman"/>
          <w:color w:val="000000" w:themeColor="text1"/>
          <w:sz w:val="16"/>
          <w:szCs w:val="16"/>
        </w:rPr>
        <w:t xml:space="preserve">, также находившегося в подчинении ВСНХ РСФСР, а не СССР. Управление </w:t>
      </w:r>
      <w:proofErr w:type="spellStart"/>
      <w:r w:rsidRPr="00A259BD">
        <w:rPr>
          <w:rFonts w:ascii="Times New Roman" w:hAnsi="Times New Roman"/>
          <w:color w:val="000000" w:themeColor="text1"/>
          <w:sz w:val="16"/>
          <w:szCs w:val="16"/>
        </w:rPr>
        <w:t>Велостроя</w:t>
      </w:r>
      <w:proofErr w:type="spellEnd"/>
      <w:r w:rsidRPr="00A259BD">
        <w:rPr>
          <w:rFonts w:ascii="Times New Roman" w:hAnsi="Times New Roman"/>
          <w:color w:val="000000" w:themeColor="text1"/>
          <w:sz w:val="16"/>
          <w:szCs w:val="16"/>
        </w:rPr>
        <w:t xml:space="preserve"> располагалось в Москве по Ильинке 3/4 и на Новгородской линии 55, а также имело телеграфный адрес «Москва </w:t>
      </w:r>
      <w:proofErr w:type="spellStart"/>
      <w:r w:rsidRPr="00A259BD">
        <w:rPr>
          <w:rFonts w:ascii="Times New Roman" w:hAnsi="Times New Roman"/>
          <w:color w:val="000000" w:themeColor="text1"/>
          <w:sz w:val="16"/>
          <w:szCs w:val="16"/>
        </w:rPr>
        <w:t>Велострой</w:t>
      </w:r>
      <w:proofErr w:type="spellEnd"/>
      <w:r w:rsidRPr="00A259BD">
        <w:rPr>
          <w:rFonts w:ascii="Times New Roman" w:hAnsi="Times New Roman"/>
          <w:color w:val="000000" w:themeColor="text1"/>
          <w:sz w:val="16"/>
          <w:szCs w:val="16"/>
        </w:rPr>
        <w:t>» (19776).</w:t>
      </w:r>
    </w:p>
    <w:p w14:paraId="04039A6D" w14:textId="77777777" w:rsidR="00E660B6" w:rsidRPr="00A259BD" w:rsidRDefault="00E660B6" w:rsidP="009236E3">
      <w:pPr>
        <w:spacing w:after="0" w:line="240" w:lineRule="auto"/>
        <w:jc w:val="both"/>
        <w:rPr>
          <w:rFonts w:ascii="Times New Roman" w:hAnsi="Times New Roman"/>
          <w:color w:val="000000" w:themeColor="text1"/>
          <w:sz w:val="16"/>
          <w:szCs w:val="16"/>
        </w:rPr>
      </w:pPr>
    </w:p>
    <w:p w14:paraId="1947E965"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lastRenderedPageBreak/>
        <w:t>Внешняя политика:</w:t>
      </w:r>
    </w:p>
    <w:p w14:paraId="76D1781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CF917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декабря 1929 советские войска были выведены из Манчжурии после урегулирования конфликта на КВЖД (2100) и был подписан Хабаровский протокол. Власти Китая обязались разоружить белогвардейцев и выслать из руководителей (2443,248).</w:t>
      </w:r>
    </w:p>
    <w:p w14:paraId="5B0B0B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1B942F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декабря 1929 Хабаровский протокол, подписанный СССР и Китаем, обязует Китай покончить с деятельностью белогвардейских банд в Манчжурии и предусматривает проведение конференции для решения других проблем (4962).</w:t>
      </w:r>
    </w:p>
    <w:p w14:paraId="4B4C1591"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E428D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декабря 1929 в Хабаровске состоялось под</w:t>
      </w:r>
      <w:r w:rsidRPr="00A259BD">
        <w:rPr>
          <w:rFonts w:ascii="Times New Roman" w:hAnsi="Times New Roman"/>
          <w:color w:val="000000" w:themeColor="text1"/>
          <w:sz w:val="16"/>
          <w:szCs w:val="16"/>
        </w:rPr>
        <w:softHyphen/>
        <w:t>писание соглашения между СССР и Китаем, предусматри</w:t>
      </w:r>
      <w:r w:rsidRPr="00A259BD">
        <w:rPr>
          <w:rFonts w:ascii="Times New Roman" w:hAnsi="Times New Roman"/>
          <w:color w:val="000000" w:themeColor="text1"/>
          <w:sz w:val="16"/>
          <w:szCs w:val="16"/>
        </w:rPr>
        <w:softHyphen/>
        <w:t>вающее ликвидацию конфликта и восстановление движе</w:t>
      </w:r>
      <w:r w:rsidRPr="00A259BD">
        <w:rPr>
          <w:rFonts w:ascii="Times New Roman" w:hAnsi="Times New Roman"/>
          <w:color w:val="000000" w:themeColor="text1"/>
          <w:sz w:val="16"/>
          <w:szCs w:val="16"/>
        </w:rPr>
        <w:softHyphen/>
        <w:t>ния на КВЖД. Советские войска после этого были выве</w:t>
      </w:r>
      <w:r w:rsidRPr="00A259BD">
        <w:rPr>
          <w:rFonts w:ascii="Times New Roman" w:hAnsi="Times New Roman"/>
          <w:color w:val="000000" w:themeColor="text1"/>
          <w:sz w:val="16"/>
          <w:szCs w:val="16"/>
        </w:rPr>
        <w:softHyphen/>
        <w:t xml:space="preserve">дены из Маньчжурии. 40-ю эскадрилью перевели к постоянному месту дислокации в Спасск-Дальний, а 68-й </w:t>
      </w:r>
      <w:proofErr w:type="spellStart"/>
      <w:r w:rsidRPr="00A259BD">
        <w:rPr>
          <w:rFonts w:ascii="Times New Roman" w:hAnsi="Times New Roman"/>
          <w:color w:val="000000" w:themeColor="text1"/>
          <w:sz w:val="16"/>
          <w:szCs w:val="16"/>
        </w:rPr>
        <w:t>гидроотряд</w:t>
      </w:r>
      <w:proofErr w:type="spellEnd"/>
      <w:r w:rsidRPr="00A259BD">
        <w:rPr>
          <w:rFonts w:ascii="Times New Roman" w:hAnsi="Times New Roman"/>
          <w:color w:val="000000" w:themeColor="text1"/>
          <w:sz w:val="16"/>
          <w:szCs w:val="16"/>
        </w:rPr>
        <w:t xml:space="preserve"> стал основой для формирования авиации Амурской речной флотилии (11107).</w:t>
      </w:r>
    </w:p>
    <w:p w14:paraId="0C00107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851DF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декабря 1929 Китай обязался перед СССР выслать из своей страны всех белогвардейцев (4962).</w:t>
      </w:r>
    </w:p>
    <w:p w14:paraId="02DC74E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7DEE2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декабря 1929 СССР и Китай в Хабаровске подписали мир</w:t>
      </w:r>
      <w:r w:rsidRPr="00A259BD">
        <w:rPr>
          <w:rFonts w:ascii="Times New Roman" w:hAnsi="Times New Roman"/>
          <w:color w:val="000000" w:themeColor="text1"/>
          <w:sz w:val="16"/>
          <w:szCs w:val="16"/>
        </w:rPr>
        <w:softHyphen/>
        <w:t>ное соглашение, и конфликт был ис</w:t>
      </w:r>
      <w:r w:rsidRPr="00A259BD">
        <w:rPr>
          <w:rFonts w:ascii="Times New Roman" w:hAnsi="Times New Roman"/>
          <w:color w:val="000000" w:themeColor="text1"/>
          <w:sz w:val="16"/>
          <w:szCs w:val="16"/>
        </w:rPr>
        <w:softHyphen/>
        <w:t xml:space="preserve">черпан; Все советские части ушли с территории Маньчжурии. Авиации Чжан </w:t>
      </w:r>
      <w:proofErr w:type="spellStart"/>
      <w:r w:rsidRPr="00A259BD">
        <w:rPr>
          <w:rFonts w:ascii="Times New Roman" w:hAnsi="Times New Roman"/>
          <w:color w:val="000000" w:themeColor="text1"/>
          <w:sz w:val="16"/>
          <w:szCs w:val="16"/>
        </w:rPr>
        <w:t>Сюэляна</w:t>
      </w:r>
      <w:proofErr w:type="spellEnd"/>
      <w:r w:rsidRPr="00A259BD">
        <w:rPr>
          <w:rFonts w:ascii="Times New Roman" w:hAnsi="Times New Roman"/>
          <w:color w:val="000000" w:themeColor="text1"/>
          <w:sz w:val="16"/>
          <w:szCs w:val="16"/>
        </w:rPr>
        <w:t xml:space="preserve"> оставалось существо</w:t>
      </w:r>
      <w:r w:rsidRPr="00A259BD">
        <w:rPr>
          <w:rFonts w:ascii="Times New Roman" w:hAnsi="Times New Roman"/>
          <w:color w:val="000000" w:themeColor="text1"/>
          <w:sz w:val="16"/>
          <w:szCs w:val="16"/>
        </w:rPr>
        <w:softHyphen/>
        <w:t>вать еще около двух лет, пока в сен</w:t>
      </w:r>
      <w:r w:rsidRPr="00A259BD">
        <w:rPr>
          <w:rFonts w:ascii="Times New Roman" w:hAnsi="Times New Roman"/>
          <w:color w:val="000000" w:themeColor="text1"/>
          <w:sz w:val="16"/>
          <w:szCs w:val="16"/>
        </w:rPr>
        <w:softHyphen/>
        <w:t>тябре 1931 г. Маньчжурию не оккупи</w:t>
      </w:r>
      <w:r w:rsidRPr="00A259BD">
        <w:rPr>
          <w:rFonts w:ascii="Times New Roman" w:hAnsi="Times New Roman"/>
          <w:color w:val="000000" w:themeColor="text1"/>
          <w:sz w:val="16"/>
          <w:szCs w:val="16"/>
        </w:rPr>
        <w:softHyphen/>
        <w:t xml:space="preserve">ровали японцы. Противодействия в воздухе им не было, все “соколы” Чжан </w:t>
      </w:r>
      <w:proofErr w:type="spellStart"/>
      <w:r w:rsidRPr="00A259BD">
        <w:rPr>
          <w:rFonts w:ascii="Times New Roman" w:hAnsi="Times New Roman"/>
          <w:color w:val="000000" w:themeColor="text1"/>
          <w:sz w:val="16"/>
          <w:szCs w:val="16"/>
        </w:rPr>
        <w:t>Сюэляна</w:t>
      </w:r>
      <w:proofErr w:type="spellEnd"/>
      <w:r w:rsidRPr="00A259BD">
        <w:rPr>
          <w:rFonts w:ascii="Times New Roman" w:hAnsi="Times New Roman"/>
          <w:color w:val="000000" w:themeColor="text1"/>
          <w:sz w:val="16"/>
          <w:szCs w:val="16"/>
        </w:rPr>
        <w:t xml:space="preserve"> благополучно разбежались с </w:t>
      </w:r>
      <w:proofErr w:type="spellStart"/>
      <w:r w:rsidRPr="00A259BD">
        <w:rPr>
          <w:rFonts w:ascii="Times New Roman" w:hAnsi="Times New Roman"/>
          <w:color w:val="000000" w:themeColor="text1"/>
          <w:sz w:val="16"/>
          <w:szCs w:val="16"/>
        </w:rPr>
        <w:t>мукденского</w:t>
      </w:r>
      <w:proofErr w:type="spellEnd"/>
      <w:r w:rsidRPr="00A259BD">
        <w:rPr>
          <w:rFonts w:ascii="Times New Roman" w:hAnsi="Times New Roman"/>
          <w:color w:val="000000" w:themeColor="text1"/>
          <w:sz w:val="16"/>
          <w:szCs w:val="16"/>
        </w:rPr>
        <w:t xml:space="preserve"> аэродрома (11216).</w:t>
      </w:r>
    </w:p>
    <w:p w14:paraId="202724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8BF28EE" w14:textId="77777777" w:rsidR="00654130" w:rsidRPr="00A259BD" w:rsidRDefault="006541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22 декабря 1929 в Хабаровске уполномоченный Китайской республики Цай </w:t>
      </w:r>
      <w:proofErr w:type="spellStart"/>
      <w:r w:rsidRPr="00A259BD">
        <w:rPr>
          <w:rFonts w:ascii="Times New Roman" w:hAnsi="Times New Roman"/>
          <w:color w:val="000000" w:themeColor="text1"/>
          <w:sz w:val="16"/>
          <w:szCs w:val="16"/>
        </w:rPr>
        <w:t>Юаньшэнь</w:t>
      </w:r>
      <w:proofErr w:type="spellEnd"/>
      <w:r w:rsidRPr="00A259BD">
        <w:rPr>
          <w:rFonts w:ascii="Times New Roman" w:hAnsi="Times New Roman"/>
          <w:color w:val="000000" w:themeColor="text1"/>
          <w:sz w:val="16"/>
          <w:szCs w:val="16"/>
        </w:rPr>
        <w:t xml:space="preserve"> и уполномоченный СССР, агент НКИД Симановский поставили подписи под «Хабаровским протоколом», согласно которому на КВЖД было восстановлено статус-кво в соответствии с Пекинским и </w:t>
      </w:r>
      <w:proofErr w:type="spellStart"/>
      <w:r w:rsidRPr="00A259BD">
        <w:rPr>
          <w:rFonts w:ascii="Times New Roman" w:hAnsi="Times New Roman"/>
          <w:color w:val="000000" w:themeColor="text1"/>
          <w:sz w:val="16"/>
          <w:szCs w:val="16"/>
        </w:rPr>
        <w:t>Мукденским</w:t>
      </w:r>
      <w:proofErr w:type="spellEnd"/>
      <w:r w:rsidRPr="00A259BD">
        <w:rPr>
          <w:rFonts w:ascii="Times New Roman" w:hAnsi="Times New Roman"/>
          <w:color w:val="000000" w:themeColor="text1"/>
          <w:sz w:val="16"/>
          <w:szCs w:val="16"/>
        </w:rPr>
        <w:t xml:space="preserve"> договорами. А еще Китай обязали покончить с деятельностью белогвардейских банд в Маньчжурии и предусмотреть проведение конференции для решения других наболевших проблем (12629).</w:t>
      </w:r>
    </w:p>
    <w:p w14:paraId="7891EDBA" w14:textId="77777777" w:rsidR="00654130" w:rsidRPr="00A259BD" w:rsidRDefault="0065413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159EC6A" w14:textId="77777777" w:rsidR="00FE7F6B" w:rsidRPr="00A259BD" w:rsidRDefault="00FE7F6B" w:rsidP="009236E3">
      <w:pPr>
        <w:pStyle w:val="a3"/>
        <w:rPr>
          <w:color w:val="000000" w:themeColor="text1"/>
          <w:lang w:val="ru-RU"/>
        </w:rPr>
      </w:pPr>
      <w:r w:rsidRPr="00A259BD">
        <w:rPr>
          <w:color w:val="000000" w:themeColor="text1"/>
          <w:lang w:val="ru-RU"/>
        </w:rPr>
        <w:t>22 декабря 1929 в Хабаровске китайские представители подписали документы, восстанавли</w:t>
      </w:r>
      <w:r w:rsidRPr="00A259BD">
        <w:rPr>
          <w:color w:val="000000" w:themeColor="text1"/>
          <w:lang w:val="ru-RU"/>
        </w:rPr>
        <w:softHyphen/>
        <w:t>вающие прежнее положение на КВЖД и предусматривающие освобождение советских граждан и обмен военнопленными.</w:t>
      </w:r>
    </w:p>
    <w:p w14:paraId="41CF4B17" w14:textId="77777777" w:rsidR="00FE7F6B" w:rsidRPr="00A259BD" w:rsidRDefault="00FE7F6B" w:rsidP="009236E3">
      <w:pPr>
        <w:pStyle w:val="a3"/>
        <w:rPr>
          <w:color w:val="000000" w:themeColor="text1"/>
          <w:lang w:val="ru-RU"/>
        </w:rPr>
      </w:pPr>
      <w:r w:rsidRPr="00A259BD">
        <w:rPr>
          <w:color w:val="000000" w:themeColor="text1"/>
          <w:lang w:val="ru-RU"/>
        </w:rPr>
        <w:t>В тот же день начался отвод советских войск от Хайлара. Полностью с китайской территории части ОДВА ушли к 1 января 1930 г.</w:t>
      </w:r>
    </w:p>
    <w:p w14:paraId="48808E1E" w14:textId="77777777" w:rsidR="00FE7F6B" w:rsidRPr="00A259BD" w:rsidRDefault="00FE7F6B" w:rsidP="009236E3">
      <w:pPr>
        <w:pStyle w:val="a3"/>
        <w:rPr>
          <w:color w:val="000000" w:themeColor="text1"/>
          <w:lang w:val="ru-RU"/>
        </w:rPr>
      </w:pPr>
      <w:r w:rsidRPr="00A259BD">
        <w:rPr>
          <w:color w:val="000000" w:themeColor="text1"/>
          <w:lang w:val="ru-RU"/>
        </w:rPr>
        <w:t>Самолёты тоже перегнали на места постоянного базирования. Некоторые проблемы создал мороз. Например, три Р-1 Забайкальской группы на несколько дней застряли в Даурии. Только после того как привезли специальные зимние жиклеры для карбю</w:t>
      </w:r>
      <w:r w:rsidRPr="00A259BD">
        <w:rPr>
          <w:color w:val="000000" w:themeColor="text1"/>
          <w:lang w:val="ru-RU"/>
        </w:rPr>
        <w:softHyphen/>
        <w:t>раторов, удалось запустить моторы и вылететь в Читу.</w:t>
      </w:r>
    </w:p>
    <w:p w14:paraId="06D8E9CC" w14:textId="77777777" w:rsidR="00FE7F6B" w:rsidRPr="00A259BD" w:rsidRDefault="00FE7F6B" w:rsidP="009236E3">
      <w:pPr>
        <w:pStyle w:val="a3"/>
        <w:rPr>
          <w:color w:val="000000" w:themeColor="text1"/>
          <w:lang w:val="ru-RU"/>
        </w:rPr>
      </w:pPr>
      <w:r w:rsidRPr="00A259BD">
        <w:rPr>
          <w:color w:val="000000" w:themeColor="text1"/>
          <w:lang w:val="ru-RU"/>
        </w:rPr>
        <w:t xml:space="preserve">За период боев на КВЖД ВВС РККА потеряли семь самолетов: один </w:t>
      </w:r>
      <w:r w:rsidRPr="00A259BD">
        <w:rPr>
          <w:color w:val="000000" w:themeColor="text1"/>
        </w:rPr>
        <w:t>D</w:t>
      </w:r>
      <w:r w:rsidRPr="00A259BD">
        <w:rPr>
          <w:color w:val="000000" w:themeColor="text1"/>
          <w:lang w:val="ru-RU"/>
        </w:rPr>
        <w:t>.</w:t>
      </w:r>
      <w:r w:rsidRPr="00A259BD">
        <w:rPr>
          <w:color w:val="000000" w:themeColor="text1"/>
        </w:rPr>
        <w:t>XI</w:t>
      </w:r>
      <w:r w:rsidRPr="00A259BD">
        <w:rPr>
          <w:color w:val="000000" w:themeColor="text1"/>
          <w:lang w:val="ru-RU"/>
        </w:rPr>
        <w:t>, четыре Р-1 и два МР-1. Истребитель и один Р-1 погибли не в боевых, а в тренировочных полетах. К ним следует добавить Фоккер С.</w:t>
      </w:r>
      <w:r w:rsidRPr="00A259BD">
        <w:rPr>
          <w:color w:val="000000" w:themeColor="text1"/>
        </w:rPr>
        <w:t>IV</w:t>
      </w:r>
      <w:r w:rsidRPr="00A259BD">
        <w:rPr>
          <w:color w:val="000000" w:themeColor="text1"/>
          <w:lang w:val="ru-RU"/>
        </w:rPr>
        <w:t xml:space="preserve">, разбитый начальником ВВС ОДВА </w:t>
      </w:r>
      <w:proofErr w:type="spellStart"/>
      <w:r w:rsidRPr="00A259BD">
        <w:rPr>
          <w:color w:val="000000" w:themeColor="text1"/>
          <w:lang w:val="ru-RU"/>
        </w:rPr>
        <w:t>Кишем</w:t>
      </w:r>
      <w:proofErr w:type="spellEnd"/>
      <w:r w:rsidRPr="00A259BD">
        <w:rPr>
          <w:color w:val="000000" w:themeColor="text1"/>
          <w:lang w:val="ru-RU"/>
        </w:rPr>
        <w:t xml:space="preserve"> 29 ноя</w:t>
      </w:r>
      <w:r w:rsidRPr="00A259BD">
        <w:rPr>
          <w:color w:val="000000" w:themeColor="text1"/>
          <w:lang w:val="ru-RU"/>
        </w:rPr>
        <w:softHyphen/>
        <w:t>бря 1929 г. Он совершал перелет из Хайлара в Даурию, когда в воздухе отказал мотор. Кишу удалось сесть. Осмотр выявил поломку носка коленчатого вала изношенного дви</w:t>
      </w:r>
      <w:r w:rsidRPr="00A259BD">
        <w:rPr>
          <w:color w:val="000000" w:themeColor="text1"/>
          <w:lang w:val="ru-RU"/>
        </w:rPr>
        <w:softHyphen/>
        <w:t>гателя. Кроме этого, имели место 13 аварий, из них шесть — в боевых вылетах (15819).</w:t>
      </w:r>
    </w:p>
    <w:p w14:paraId="4A8DE2DE" w14:textId="77777777" w:rsidR="00FE7F6B" w:rsidRPr="00A259BD" w:rsidRDefault="00FE7F6B" w:rsidP="009236E3">
      <w:pPr>
        <w:pStyle w:val="a3"/>
        <w:rPr>
          <w:color w:val="000000" w:themeColor="text1"/>
          <w:lang w:val="ru-RU"/>
        </w:rPr>
      </w:pPr>
    </w:p>
    <w:p w14:paraId="40453B7C"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3B07DFE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825BB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 декабря 1929 на референдуме в Германии население поддержало план Янга (3907,157).</w:t>
      </w:r>
    </w:p>
    <w:p w14:paraId="1A9C86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D35E83"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4DD80F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0AA22A2" w14:textId="77777777" w:rsidR="00FA3C51" w:rsidRPr="00A259BD" w:rsidRDefault="00FA3C5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23 декабря 1929 испытание Т-12 закончилось «...поломкой валика коробки шестерен. Нагревание при испытании в течение 1,5 часов не было сильным, но мотор работал с остановками и был мороз в 15 градусов при пурге. Выявилась слабость тормозов и неудобность маневрирования и некоторые дефекты в ходовой части (ленивец)». По результатам испытаний в конструкцию машины внесли ряд </w:t>
      </w:r>
      <w:proofErr w:type="spellStart"/>
      <w:r w:rsidRPr="00A259BD">
        <w:rPr>
          <w:rFonts w:ascii="Times New Roman" w:hAnsi="Times New Roman"/>
          <w:color w:val="000000" w:themeColor="text1"/>
          <w:sz w:val="16"/>
          <w:szCs w:val="16"/>
        </w:rPr>
        <w:t>улучшений.На</w:t>
      </w:r>
      <w:proofErr w:type="spellEnd"/>
      <w:r w:rsidRPr="00A259BD">
        <w:rPr>
          <w:rFonts w:ascii="Times New Roman" w:hAnsi="Times New Roman"/>
          <w:color w:val="000000" w:themeColor="text1"/>
          <w:sz w:val="16"/>
          <w:szCs w:val="16"/>
        </w:rPr>
        <w:t xml:space="preserve"> ходовых испытаниях танка 6 января 1930 г. были получены положительные результаты, Однако тормоза вновь показали себя неудовлетворительно, что задержало дальнейшее проведение испытаний. Только в начале февраля этот недостаток устранили, и заводские испытания танка под руководством помощника начальника тракторного цеха С.Н. Махонина и начальника КБ И.Н. Алексенко были продолжены 17, 20 и 21 февраля 1930 г. (12303).</w:t>
      </w:r>
    </w:p>
    <w:p w14:paraId="79FF7E95" w14:textId="77777777" w:rsidR="00FA3C51" w:rsidRPr="00A259BD" w:rsidRDefault="00FA3C51" w:rsidP="009236E3">
      <w:pPr>
        <w:spacing w:after="0" w:line="240" w:lineRule="auto"/>
        <w:jc w:val="both"/>
        <w:rPr>
          <w:rFonts w:ascii="Times New Roman" w:hAnsi="Times New Roman"/>
          <w:color w:val="000000" w:themeColor="text1"/>
          <w:sz w:val="16"/>
          <w:szCs w:val="16"/>
        </w:rPr>
      </w:pPr>
    </w:p>
    <w:p w14:paraId="59A8233F" w14:textId="77777777" w:rsidR="00FA3C51" w:rsidRPr="00A259BD" w:rsidRDefault="00FA3C51" w:rsidP="009236E3">
      <w:pPr>
        <w:pStyle w:val="rtejustify"/>
        <w:spacing w:before="0" w:after="0"/>
        <w:rPr>
          <w:color w:val="000000" w:themeColor="text1"/>
          <w:sz w:val="16"/>
          <w:szCs w:val="16"/>
        </w:rPr>
      </w:pPr>
      <w:r w:rsidRPr="00A259BD">
        <w:rPr>
          <w:rStyle w:val="af0"/>
          <w:i w:val="0"/>
          <w:color w:val="000000" w:themeColor="text1"/>
          <w:sz w:val="16"/>
          <w:szCs w:val="16"/>
        </w:rPr>
        <w:t xml:space="preserve">23 декабря </w:t>
      </w:r>
      <w:r w:rsidRPr="00A259BD">
        <w:rPr>
          <w:color w:val="000000" w:themeColor="text1"/>
          <w:sz w:val="16"/>
          <w:szCs w:val="16"/>
        </w:rPr>
        <w:t>1929 г</w:t>
      </w:r>
      <w:r w:rsidRPr="00A259BD">
        <w:rPr>
          <w:rStyle w:val="af0"/>
          <w:i w:val="0"/>
          <w:color w:val="000000" w:themeColor="text1"/>
          <w:sz w:val="16"/>
          <w:szCs w:val="16"/>
        </w:rPr>
        <w:t>. Протокол Реввоенсовета № 41.</w:t>
      </w:r>
      <w:r w:rsidRPr="00A259BD">
        <w:rPr>
          <w:color w:val="000000" w:themeColor="text1"/>
          <w:sz w:val="16"/>
          <w:szCs w:val="16"/>
        </w:rPr>
        <w:t xml:space="preserve"> 1. О </w:t>
      </w:r>
      <w:proofErr w:type="spellStart"/>
      <w:r w:rsidRPr="00A259BD">
        <w:rPr>
          <w:color w:val="000000" w:themeColor="text1"/>
          <w:sz w:val="16"/>
          <w:szCs w:val="16"/>
        </w:rPr>
        <w:t>мобготовности</w:t>
      </w:r>
      <w:proofErr w:type="spellEnd"/>
      <w:r w:rsidRPr="00A259BD">
        <w:rPr>
          <w:color w:val="000000" w:themeColor="text1"/>
          <w:sz w:val="16"/>
          <w:szCs w:val="16"/>
        </w:rPr>
        <w:t xml:space="preserve"> промышленности и работе МПУ. (Постников, </w:t>
      </w:r>
      <w:proofErr w:type="spellStart"/>
      <w:r w:rsidRPr="00A259BD">
        <w:rPr>
          <w:color w:val="000000" w:themeColor="text1"/>
          <w:sz w:val="16"/>
          <w:szCs w:val="16"/>
        </w:rPr>
        <w:t>Павлуновский</w:t>
      </w:r>
      <w:proofErr w:type="spellEnd"/>
      <w:r w:rsidRPr="00A259BD">
        <w:rPr>
          <w:color w:val="000000" w:themeColor="text1"/>
          <w:sz w:val="16"/>
          <w:szCs w:val="16"/>
        </w:rPr>
        <w:t xml:space="preserve">). 3. О состоянии всех </w:t>
      </w:r>
      <w:proofErr w:type="spellStart"/>
      <w:r w:rsidRPr="00A259BD">
        <w:rPr>
          <w:color w:val="000000" w:themeColor="text1"/>
          <w:sz w:val="16"/>
          <w:szCs w:val="16"/>
        </w:rPr>
        <w:t>мобзапасов</w:t>
      </w:r>
      <w:proofErr w:type="spellEnd"/>
      <w:r w:rsidRPr="00A259BD">
        <w:rPr>
          <w:color w:val="000000" w:themeColor="text1"/>
          <w:sz w:val="16"/>
          <w:szCs w:val="16"/>
        </w:rPr>
        <w:t xml:space="preserve"> противогазов и о возможности раздельного хранения их. (Шапошников, Фишман). 5. О принятии на вооружение радиостанций и прожекторов (постановление ПК РВС). (Синявский). (РГВА. Ф. 4. Оп. 18. Д. 15. Л. 295</w:t>
      </w:r>
      <w:r w:rsidRPr="00A259BD">
        <w:rPr>
          <w:color w:val="000000" w:themeColor="text1"/>
          <w:sz w:val="16"/>
          <w:szCs w:val="16"/>
        </w:rPr>
        <w:noBreakHyphen/>
        <w:t>298) (13242).</w:t>
      </w:r>
    </w:p>
    <w:p w14:paraId="225D1150" w14:textId="77777777" w:rsidR="00FA3C51" w:rsidRPr="00A259BD" w:rsidRDefault="00FA3C51" w:rsidP="009236E3">
      <w:pPr>
        <w:pStyle w:val="rtejustify"/>
        <w:spacing w:before="0" w:after="0"/>
        <w:rPr>
          <w:color w:val="000000" w:themeColor="text1"/>
          <w:sz w:val="16"/>
          <w:szCs w:val="16"/>
        </w:rPr>
      </w:pPr>
    </w:p>
    <w:p w14:paraId="676DF3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 декабря 1929 г., согласно распоряжению ВСНХ от, ХТЗ должен был выпускать трактор "Катерпиллер-30" ("</w:t>
      </w:r>
      <w:proofErr w:type="spellStart"/>
      <w:r w:rsidRPr="00A259BD">
        <w:rPr>
          <w:rFonts w:ascii="Times New Roman" w:hAnsi="Times New Roman"/>
          <w:color w:val="000000" w:themeColor="text1"/>
          <w:sz w:val="16"/>
          <w:szCs w:val="16"/>
        </w:rPr>
        <w:t>Thirty</w:t>
      </w:r>
      <w:proofErr w:type="spellEnd"/>
      <w:r w:rsidRPr="00A259BD">
        <w:rPr>
          <w:rFonts w:ascii="Times New Roman" w:hAnsi="Times New Roman"/>
          <w:color w:val="000000" w:themeColor="text1"/>
          <w:sz w:val="16"/>
          <w:szCs w:val="16"/>
        </w:rPr>
        <w:t>"), который "... испытывался НКВМ и с точки зрения конструктивной и качества материалов признан наилучшим из имеющихся в настоящее время гусеничных тракторов, однако НКВМ не удовлетворен этим трактором в части скоростей, т.к. он имеет максимальную скорость в 5,9 км/ч".</w:t>
      </w:r>
    </w:p>
    <w:p w14:paraId="001D43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Тогда военные поставили вопрос об организации производства на ХТЗ тракторов "Линке-Гофман", "</w:t>
      </w:r>
      <w:proofErr w:type="spellStart"/>
      <w:r w:rsidRPr="00A259BD">
        <w:rPr>
          <w:rFonts w:ascii="Times New Roman" w:hAnsi="Times New Roman"/>
          <w:color w:val="000000" w:themeColor="text1"/>
          <w:sz w:val="16"/>
          <w:szCs w:val="16"/>
        </w:rPr>
        <w:t>Сомуа</w:t>
      </w:r>
      <w:proofErr w:type="spellEnd"/>
      <w:r w:rsidRPr="00A259BD">
        <w:rPr>
          <w:rFonts w:ascii="Times New Roman" w:hAnsi="Times New Roman"/>
          <w:color w:val="000000" w:themeColor="text1"/>
          <w:sz w:val="16"/>
          <w:szCs w:val="16"/>
        </w:rPr>
        <w:t>" и нового трактора конструкции ХПЗ: "ХПЗ разработан проект трактора в 50-60 л.с. Трактор этот по проекту вполне отвечает требованиям НКВМ на этот тип. Кроме того этот тип увязан и согласован с требованиями сельского хозяйства и транспорта.</w:t>
      </w:r>
    </w:p>
    <w:p w14:paraId="7DA6BE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 одобрен представителями НКВМ и гражданских учреждений. Ввиду этого этот трактор обещает быть наиболее подходящим для производства ХТЗ. Однако опытные образцы этого трактора будут готовы лишь к сентябрю текущего года, и ранее полного его испытания нельзя дать основательного заключения об этом тракторе".</w:t>
      </w:r>
    </w:p>
    <w:p w14:paraId="00E38A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этому времени на ХПЗ собрали два опытных образца трактора БНВ. В ходе постройки в его конструкцию постоянно вносили изменения. В частности, доработали механизм натяжения гусеницы, радиатор, бортовые передачи и амортизаторы гусеничного хода.</w:t>
      </w:r>
    </w:p>
    <w:p w14:paraId="343D91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Однако на государственном уровне было принято решение о выпуске на ХТЗ уже освоенного на СТЗ колесного трактора "Интернационал", не самого удачного с военной точки зрения. В то же время это позволяло, избежав </w:t>
      </w:r>
      <w:proofErr w:type="spellStart"/>
      <w:r w:rsidRPr="00A259BD">
        <w:rPr>
          <w:rFonts w:ascii="Times New Roman" w:hAnsi="Times New Roman"/>
          <w:color w:val="000000" w:themeColor="text1"/>
          <w:sz w:val="16"/>
          <w:szCs w:val="16"/>
        </w:rPr>
        <w:t>многотипности</w:t>
      </w:r>
      <w:proofErr w:type="spellEnd"/>
      <w:r w:rsidRPr="00A259BD">
        <w:rPr>
          <w:rFonts w:ascii="Times New Roman" w:hAnsi="Times New Roman"/>
          <w:color w:val="000000" w:themeColor="text1"/>
          <w:sz w:val="16"/>
          <w:szCs w:val="16"/>
        </w:rPr>
        <w:t>, насытить народное хозяйство простыми и надежными машинами. 1 октября 1931 г. считается датой пуска завода - с этого дня новый трактор сходил с конвейера каждые 6 мин. Позднее ХТЗ выполнял и оборонные задачи, в частности, там был разработан артиллерийский трактор ХТЗ-4. Но серийное производство копий "</w:t>
      </w:r>
      <w:proofErr w:type="spellStart"/>
      <w:r w:rsidRPr="00A259BD">
        <w:rPr>
          <w:rFonts w:ascii="Times New Roman" w:hAnsi="Times New Roman"/>
          <w:color w:val="000000" w:themeColor="text1"/>
          <w:sz w:val="16"/>
          <w:szCs w:val="16"/>
        </w:rPr>
        <w:t>Сомуа</w:t>
      </w:r>
      <w:proofErr w:type="spellEnd"/>
      <w:r w:rsidRPr="00A259BD">
        <w:rPr>
          <w:rFonts w:ascii="Times New Roman" w:hAnsi="Times New Roman"/>
          <w:color w:val="000000" w:themeColor="text1"/>
          <w:sz w:val="16"/>
          <w:szCs w:val="16"/>
        </w:rPr>
        <w:t>", "Линке-Гофман", "Катерпиллер-30" или отечественного БНВ там организовано не было (12008).</w:t>
      </w:r>
    </w:p>
    <w:p w14:paraId="38F83A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EC181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D6433A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81F0BC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декабря 1929 г. Участники перелета на Стране Советов прибыли в Москву (11286)</w:t>
      </w:r>
    </w:p>
    <w:p w14:paraId="1A129C7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0A5C26" w14:textId="77777777" w:rsidR="009A7677" w:rsidRPr="00A259BD" w:rsidRDefault="009A7677"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color w:val="000000" w:themeColor="text1"/>
          <w:sz w:val="16"/>
          <w:szCs w:val="16"/>
        </w:rPr>
        <w:t>24 декабря 1929 года ЦК ВЛКСМ принял постановление о призыве 7 тысяч комсомольцев-добровольцев для завершения строительства Сталинградского тракторного завода. Первые эшелоны с молодежью прибыли на стройку в январе 1930 года: в большинстве своем это были люди из деревень и сел, каждого из которых предстояло обучить новым профессиям. Так, площадка будущего тракторного завода стала еще и гигантской профтехнической школой (17161).</w:t>
      </w:r>
    </w:p>
    <w:p w14:paraId="437DF77E" w14:textId="77777777" w:rsidR="009A7677" w:rsidRPr="00A259BD" w:rsidRDefault="009A7677"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28C86DF" w14:textId="77777777" w:rsidR="00205BB0" w:rsidRPr="00A259BD" w:rsidRDefault="00205BB0"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41EFAA4" w14:textId="77777777" w:rsidR="00205BB0" w:rsidRPr="00A259BD" w:rsidRDefault="00205BB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382596A" w14:textId="77777777" w:rsidR="00205BB0" w:rsidRPr="00A259BD" w:rsidRDefault="00205BB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декабря 1929 г. в «Автодоре» был заслушан вопрос о командировании представителей </w:t>
      </w:r>
      <w:proofErr w:type="spellStart"/>
      <w:r w:rsidRPr="00A259BD">
        <w:rPr>
          <w:rFonts w:ascii="Times New Roman" w:hAnsi="Times New Roman"/>
          <w:color w:val="000000" w:themeColor="text1"/>
          <w:sz w:val="16"/>
          <w:szCs w:val="16"/>
        </w:rPr>
        <w:t>Наркомпочтеля</w:t>
      </w:r>
      <w:proofErr w:type="spellEnd"/>
      <w:r w:rsidRPr="00A259BD">
        <w:rPr>
          <w:rFonts w:ascii="Times New Roman" w:hAnsi="Times New Roman"/>
          <w:color w:val="000000" w:themeColor="text1"/>
          <w:sz w:val="16"/>
          <w:szCs w:val="16"/>
        </w:rPr>
        <w:t xml:space="preserve"> и НАМИ для обследования тракта Архангельск – Пинега с целью организации аэросанной линии. По итогам обсуждений было решено организовать опытную линию Архангельск – Пинега. В перспективе, по итогам работы, предполагались к открытию линии Котлас – Красноборск (145 км), Котлас – </w:t>
      </w:r>
      <w:proofErr w:type="spellStart"/>
      <w:r w:rsidRPr="00A259BD">
        <w:rPr>
          <w:rFonts w:ascii="Times New Roman" w:hAnsi="Times New Roman"/>
          <w:color w:val="000000" w:themeColor="text1"/>
          <w:sz w:val="16"/>
          <w:szCs w:val="16"/>
        </w:rPr>
        <w:t>Сольвычегорск</w:t>
      </w:r>
      <w:proofErr w:type="spellEnd"/>
      <w:r w:rsidRPr="00A259BD">
        <w:rPr>
          <w:rFonts w:ascii="Times New Roman" w:hAnsi="Times New Roman"/>
          <w:color w:val="000000" w:themeColor="text1"/>
          <w:sz w:val="16"/>
          <w:szCs w:val="16"/>
        </w:rPr>
        <w:t xml:space="preserve"> (27 км), Котлас -Великий Устюг (65 км), Котлас – </w:t>
      </w:r>
      <w:proofErr w:type="spellStart"/>
      <w:r w:rsidRPr="00A259BD">
        <w:rPr>
          <w:rFonts w:ascii="Times New Roman" w:hAnsi="Times New Roman"/>
          <w:color w:val="000000" w:themeColor="text1"/>
          <w:sz w:val="16"/>
          <w:szCs w:val="16"/>
        </w:rPr>
        <w:t>Устьсысольск</w:t>
      </w:r>
      <w:proofErr w:type="spellEnd"/>
      <w:r w:rsidRPr="00A259BD">
        <w:rPr>
          <w:rFonts w:ascii="Times New Roman" w:hAnsi="Times New Roman"/>
          <w:color w:val="000000" w:themeColor="text1"/>
          <w:sz w:val="16"/>
          <w:szCs w:val="16"/>
        </w:rPr>
        <w:t xml:space="preserve"> (434 км) по реке Вычегде. Для опытной линии были выделены аэросани НАМИ-IV и НАМИ-VIII. Результаты работы опытной линии в Коми были признаны неудовлетворительными. Аэросани относятся к конструктивно сложным аппаратам авиационного класса, требующим снабжения качественным горючим и смазочными материалами, регулярного технического обслуживания, специальных (желательно отапливаемых) помещений для хранения или ремонта техники, а также отдыха команды. Необходимость содержания инфраструктуры обслуживания аэросанного транспорта сильно удорожает эксплуатацию. За время функционирования линии, с 7 по 28 февраля 1930 г. на аэросанях НАМИ-IV за шесть рейсов было пройдено 2887 км и перевезено 340 кг груза, а на НАМИ-VIII совершён 1 рейс в 480 </w:t>
      </w:r>
      <w:r w:rsidRPr="00A259BD">
        <w:rPr>
          <w:rFonts w:ascii="Times New Roman" w:hAnsi="Times New Roman"/>
          <w:color w:val="000000" w:themeColor="text1"/>
          <w:sz w:val="16"/>
          <w:szCs w:val="16"/>
        </w:rPr>
        <w:lastRenderedPageBreak/>
        <w:t>км и перевезено 490 кг груза. В отличие от линии в Чувашии, линия в Коми за отчётный период не оправдала вложенных средств и была ликвидирована. Позднее, 16 января 1931 г., было принято решение передать аэросани НАМИ-VIII на учебные курсы «Автодора» (18640).</w:t>
      </w:r>
    </w:p>
    <w:p w14:paraId="1AAD30D2" w14:textId="77777777" w:rsidR="00205BB0" w:rsidRPr="00A259BD" w:rsidRDefault="00205BB0" w:rsidP="009236E3">
      <w:pPr>
        <w:spacing w:after="0" w:line="240" w:lineRule="auto"/>
        <w:jc w:val="both"/>
        <w:rPr>
          <w:rFonts w:ascii="Times New Roman" w:hAnsi="Times New Roman"/>
          <w:color w:val="000000" w:themeColor="text1"/>
          <w:sz w:val="16"/>
          <w:szCs w:val="16"/>
        </w:rPr>
      </w:pPr>
    </w:p>
    <w:p w14:paraId="01369EB1"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7729AD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2AAAF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24 декабря 1929 Алтайский край. Опергруппа Барнаульского </w:t>
      </w:r>
      <w:proofErr w:type="spellStart"/>
      <w:r w:rsidRPr="00A259BD">
        <w:rPr>
          <w:rFonts w:ascii="Times New Roman" w:hAnsi="Times New Roman"/>
          <w:color w:val="000000" w:themeColor="text1"/>
          <w:sz w:val="16"/>
          <w:szCs w:val="16"/>
        </w:rPr>
        <w:t>окротдела</w:t>
      </w:r>
      <w:proofErr w:type="spellEnd"/>
      <w:r w:rsidRPr="00A259BD">
        <w:rPr>
          <w:rFonts w:ascii="Times New Roman" w:hAnsi="Times New Roman"/>
          <w:color w:val="000000" w:themeColor="text1"/>
          <w:sz w:val="16"/>
          <w:szCs w:val="16"/>
        </w:rPr>
        <w:t xml:space="preserve"> ОГПУ </w:t>
      </w:r>
      <w:proofErr w:type="spellStart"/>
      <w:r w:rsidRPr="00A259BD">
        <w:rPr>
          <w:rFonts w:ascii="Times New Roman" w:hAnsi="Times New Roman"/>
          <w:color w:val="000000" w:themeColor="text1"/>
          <w:sz w:val="16"/>
          <w:szCs w:val="16"/>
        </w:rPr>
        <w:t>С.Бабуркина</w:t>
      </w:r>
      <w:proofErr w:type="spellEnd"/>
      <w:r w:rsidRPr="00A259BD">
        <w:rPr>
          <w:rFonts w:ascii="Times New Roman" w:hAnsi="Times New Roman"/>
          <w:color w:val="000000" w:themeColor="text1"/>
          <w:sz w:val="16"/>
          <w:szCs w:val="16"/>
        </w:rPr>
        <w:t xml:space="preserve"> ликвидировала в Инском бору повстанческую банду, возглавляемую бывшим помощником командира красного партизанского полка </w:t>
      </w:r>
      <w:proofErr w:type="spellStart"/>
      <w:r w:rsidRPr="00A259BD">
        <w:rPr>
          <w:rFonts w:ascii="Times New Roman" w:hAnsi="Times New Roman"/>
          <w:color w:val="000000" w:themeColor="text1"/>
          <w:sz w:val="16"/>
          <w:szCs w:val="16"/>
        </w:rPr>
        <w:t>П.Чупиным</w:t>
      </w:r>
      <w:proofErr w:type="spellEnd"/>
      <w:r w:rsidRPr="00A259BD">
        <w:rPr>
          <w:rFonts w:ascii="Times New Roman" w:hAnsi="Times New Roman"/>
          <w:color w:val="000000" w:themeColor="text1"/>
          <w:sz w:val="16"/>
          <w:szCs w:val="16"/>
        </w:rPr>
        <w:t xml:space="preserve"> (10687).</w:t>
      </w:r>
    </w:p>
    <w:p w14:paraId="191BA9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4F615D"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15718D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5607A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декабря 1929 года начальник 1 отдела УСС Алексеевский представил Доклад о перспективном плане перевооружения ВВС на период 1 октября 1930 года - 1 октября 1933 года с учетом плана опытного строительства и возможностей авиационной промышленности</w:t>
      </w:r>
    </w:p>
    <w:p w14:paraId="414363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Общие положения</w:t>
      </w:r>
    </w:p>
    <w:p w14:paraId="515D7D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Перевооружение ВВС, за исключением 1929/30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xml:space="preserve">. совершается нормальным порядком, т.е. самолеты снимаются с вооружения по выслуге положенного срока или убывают по авариям. В 1929/30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 xml:space="preserve">. наряду со снятием с вооружения устаревших и изношенных типов самолетов ФД-VII, ФС-IV, ФД-XI, </w:t>
      </w:r>
      <w:proofErr w:type="spellStart"/>
      <w:r w:rsidRPr="00A259BD">
        <w:rPr>
          <w:rFonts w:ascii="Times New Roman" w:hAnsi="Times New Roman"/>
          <w:color w:val="000000" w:themeColor="text1"/>
          <w:sz w:val="16"/>
          <w:szCs w:val="16"/>
        </w:rPr>
        <w:t>Мартинсайд</w:t>
      </w:r>
      <w:proofErr w:type="spellEnd"/>
      <w:r w:rsidRPr="00A259BD">
        <w:rPr>
          <w:rFonts w:ascii="Times New Roman" w:hAnsi="Times New Roman"/>
          <w:color w:val="000000" w:themeColor="text1"/>
          <w:sz w:val="16"/>
          <w:szCs w:val="16"/>
        </w:rPr>
        <w:t xml:space="preserve">, Юнкерс 20 и 21, Савойя 16, </w:t>
      </w:r>
      <w:proofErr w:type="spellStart"/>
      <w:r w:rsidRPr="00A259BD">
        <w:rPr>
          <w:rFonts w:ascii="Times New Roman" w:hAnsi="Times New Roman"/>
          <w:color w:val="000000" w:themeColor="text1"/>
          <w:sz w:val="16"/>
          <w:szCs w:val="16"/>
        </w:rPr>
        <w:t>Ансальдо</w:t>
      </w:r>
      <w:proofErr w:type="spellEnd"/>
      <w:r w:rsidRPr="00A259BD">
        <w:rPr>
          <w:rFonts w:ascii="Times New Roman" w:hAnsi="Times New Roman"/>
          <w:color w:val="000000" w:themeColor="text1"/>
          <w:sz w:val="16"/>
          <w:szCs w:val="16"/>
        </w:rPr>
        <w:t xml:space="preserve"> и т.п., предположено снятие с вооружения самолетов И-2 и И-2 бис еще не выслуживших своего срока службы.</w:t>
      </w:r>
    </w:p>
    <w:p w14:paraId="0AB785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Передача и массовое серийное производство возможно как правило, для современного состояния авиационной промышленности не ранее второго года по окончании постройки опытного образца.</w:t>
      </w:r>
    </w:p>
    <w:p w14:paraId="3D9C19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первом году строится лишь ограниченная (20-30 шт.) серия новых самолетов для проведения войсковых испытаний.</w:t>
      </w:r>
    </w:p>
    <w:p w14:paraId="288713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Мощность промышленности для второго года должна соответствовать размеру потребности ВВС. Если промышленность не сможет выполнить заказ такого объема, то придется, например, в 1930-31 году заказывать снова 300-400 шт. самолетов Р-1 при наличии отработанных и принятых на вооружение новейших типов. Известным основанием для такого расчета служит постановление Р3 СТО от 16 октября 1929 года </w:t>
      </w:r>
      <w:proofErr w:type="spellStart"/>
      <w:r w:rsidRPr="00A259BD">
        <w:rPr>
          <w:rFonts w:ascii="Times New Roman" w:hAnsi="Times New Roman"/>
          <w:color w:val="000000" w:themeColor="text1"/>
          <w:sz w:val="16"/>
          <w:szCs w:val="16"/>
        </w:rPr>
        <w:t>прот</w:t>
      </w:r>
      <w:proofErr w:type="spellEnd"/>
      <w:r w:rsidRPr="00A259BD">
        <w:rPr>
          <w:rFonts w:ascii="Times New Roman" w:hAnsi="Times New Roman"/>
          <w:color w:val="000000" w:themeColor="text1"/>
          <w:sz w:val="16"/>
          <w:szCs w:val="16"/>
        </w:rPr>
        <w:t>. N 41 по вопросу о пятилетнем плане.</w:t>
      </w:r>
    </w:p>
    <w:p w14:paraId="61003C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отдельным родам авиации мы будем иметь нижеследующую картину:</w:t>
      </w:r>
    </w:p>
    <w:p w14:paraId="612B0F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Истребительная авиация</w:t>
      </w:r>
    </w:p>
    <w:p w14:paraId="4C0EA8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Самолетный парк истребительной авиации на 1 октября 1930 года будет состоять ориентировочно из 420 самолетов И-3 и 155 самолетов И-4... (3863,3-9).</w:t>
      </w:r>
    </w:p>
    <w:p w14:paraId="695C5E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70B1B4F" w14:textId="77777777" w:rsidR="00EF6111" w:rsidRPr="00441F34" w:rsidRDefault="00EF6111" w:rsidP="00EF611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25 декабря 1929 г. начальник 1-го отдела Управления ВВС Алексеевский представил доклад о перспективном плане перевооружения ВВС на период 1 октября 1930 г. – 1 октября 1933 г. с учетом плана опытного строительства и возможностей авиационной промышленности. Он отметил, что перевооружение ВВС, за исключением периода 1929-1930 гг. совершается нормальным порядком, т.е. самолеты снимаются с вооружения по выслуге положенного срока или убывают по авариям. В 1929-1930 гг. наряду со списанием устаревших и изношенных самолетов ФД-VII, ФС-IV, ФД-XI, «</w:t>
      </w:r>
      <w:proofErr w:type="spellStart"/>
      <w:r w:rsidRPr="00441F34">
        <w:rPr>
          <w:rFonts w:ascii="Times New Roman" w:hAnsi="Times New Roman"/>
          <w:color w:val="0070C0"/>
          <w:sz w:val="16"/>
          <w:szCs w:val="16"/>
        </w:rPr>
        <w:t>Мартинсайд</w:t>
      </w:r>
      <w:proofErr w:type="spellEnd"/>
      <w:r w:rsidRPr="00441F34">
        <w:rPr>
          <w:rFonts w:ascii="Times New Roman" w:hAnsi="Times New Roman"/>
          <w:color w:val="0070C0"/>
          <w:sz w:val="16"/>
          <w:szCs w:val="16"/>
        </w:rPr>
        <w:t xml:space="preserve">», Юнкерс 20 и 21, Савойя 16, </w:t>
      </w:r>
      <w:proofErr w:type="spellStart"/>
      <w:r w:rsidRPr="00441F34">
        <w:rPr>
          <w:rFonts w:ascii="Times New Roman" w:hAnsi="Times New Roman"/>
          <w:color w:val="0070C0"/>
          <w:sz w:val="16"/>
          <w:szCs w:val="16"/>
        </w:rPr>
        <w:t>Ансальдо</w:t>
      </w:r>
      <w:proofErr w:type="spellEnd"/>
      <w:r w:rsidRPr="00441F34">
        <w:rPr>
          <w:rFonts w:ascii="Times New Roman" w:hAnsi="Times New Roman"/>
          <w:color w:val="0070C0"/>
          <w:sz w:val="16"/>
          <w:szCs w:val="16"/>
        </w:rPr>
        <w:t xml:space="preserve"> и т.п., предположено снять с вооружения первые истребители отечественной разработки И-2 и И-2бис конструкции Д.П. Григоровича, еще не выслуживших своего срока службы по причине их необработанности и устарелости. В связи с этим докладчик отметил, что передача и массовое серийное производство для современного состояния авиационной промышленности возможна, как правило, не ранее второго года по окончании постройки опытного образца, что и вызывает моральное старение их конструкций при том, что разработчики за большое время не могут добиться устранения всех выявляемых дефектов (23560).</w:t>
      </w:r>
    </w:p>
    <w:p w14:paraId="1023872F" w14:textId="77777777" w:rsidR="00EF6111" w:rsidRPr="00441F34" w:rsidRDefault="00EF6111" w:rsidP="00EF6111">
      <w:pPr>
        <w:spacing w:after="0" w:line="240" w:lineRule="auto"/>
        <w:jc w:val="both"/>
        <w:rPr>
          <w:rFonts w:ascii="Times New Roman" w:hAnsi="Times New Roman"/>
          <w:color w:val="0070C0"/>
          <w:sz w:val="16"/>
          <w:szCs w:val="16"/>
        </w:rPr>
      </w:pPr>
    </w:p>
    <w:p w14:paraId="3E05D59D" w14:textId="77777777" w:rsidR="00EF6111" w:rsidRPr="00441F34" w:rsidRDefault="00EF6111" w:rsidP="00EF611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25 декабря 1929 г. начальник 1 отдела УСС Алексеевский представил «Доклад о перспективном плане перевооружения ВВС на период 1 октября 1930 года – 1 октября 1933 года с учетом плана опытного строительства и возможностей авиационной промышленности», отметив, что перевооружение ВВС, за исключением 1929 / 1930 гг. идет нормальным порядком, т.е. самолеты снимаются с вооружения по выслуге положенного срока или убывают по авариям. Но наряду с устаревшими самолетами он предположил снятие с вооружения самолетов Григорович И-2 и И-2 бис, еще не выработавшего своего ресурса, но морально устаревшего. Он отметил, что передача и массовое серийное производство начинаются, как правило, не ранее второго года по окончании постройки опытного образца, а в первый год строится лишь ограниченная (20-30 шт.) серия новых самолетов для проведения войсковых испытаний. В отношении истребителя И-3, первый опытный образец которого был готов к 1 февраля 1928 г., этот срок уже составил более двух лет, что недопустимо долго, тогда как этот самолет планируется сделать основным истребителем ВВС РККА – 1 октября 1930 г. парк истребительной авиации должен состоять ориентировочно из 420 самолетов Поликарпов И-3 и 155 самолетов Туполев И-4. В случае невыполнения промышленностью планов производства самолета И-3 его нечем заменить, т.к. продолжать выпуск истребителей Григорович И-2 нецелесообразно в силу их недостатков, а ожидать выпуска большего количества цельнометаллических И-4 не приходится (в то же время, например, для восполнения нехватки новых самолетов Р-5 самолеты Р-1 еще годились).</w:t>
      </w:r>
    </w:p>
    <w:p w14:paraId="00E0C314" w14:textId="77777777" w:rsidR="00EF6111" w:rsidRPr="00441F34" w:rsidRDefault="00EF6111" w:rsidP="00EF611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За 1929 г. завод №1 сдал только 47 самолетов И-3, многие конструктивные недостатки которого все еще не были устранены (24887).</w:t>
      </w:r>
    </w:p>
    <w:p w14:paraId="49A87DFA" w14:textId="77777777" w:rsidR="00EF6111" w:rsidRPr="00441F34" w:rsidRDefault="00EF6111" w:rsidP="00EF6111">
      <w:pPr>
        <w:spacing w:after="0" w:line="240" w:lineRule="auto"/>
        <w:jc w:val="both"/>
        <w:rPr>
          <w:rFonts w:ascii="Times New Roman" w:hAnsi="Times New Roman"/>
          <w:color w:val="0070C0"/>
          <w:sz w:val="16"/>
          <w:szCs w:val="16"/>
        </w:rPr>
      </w:pPr>
    </w:p>
    <w:p w14:paraId="17B398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декабря 1929 года доложено о вредительстве в авиапромышленности. 22 марта 1933 года о вредительстве фашистской контрреволюционной организации в химической промышленности среди НТР </w:t>
      </w:r>
      <w:proofErr w:type="spellStart"/>
      <w:r w:rsidRPr="00A259BD">
        <w:rPr>
          <w:rFonts w:ascii="Times New Roman" w:hAnsi="Times New Roman"/>
          <w:color w:val="000000" w:themeColor="text1"/>
          <w:sz w:val="16"/>
          <w:szCs w:val="16"/>
        </w:rPr>
        <w:t>Угрешского</w:t>
      </w:r>
      <w:proofErr w:type="spellEnd"/>
      <w:r w:rsidRPr="00A259BD">
        <w:rPr>
          <w:rFonts w:ascii="Times New Roman" w:hAnsi="Times New Roman"/>
          <w:color w:val="000000" w:themeColor="text1"/>
          <w:sz w:val="16"/>
          <w:szCs w:val="16"/>
        </w:rPr>
        <w:t xml:space="preserve"> химзавода и др. Дошло дело и до крестьян. 28 января 1932 года Политбюро ЦК ВКП(б) рассмотрело вопросы ОГПУ по делу Трудовой крестьянской партии. Было предварительно решено обвиняемым выше 8 лет лишения свободы не давать. </w:t>
      </w:r>
    </w:p>
    <w:p w14:paraId="5FF102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Украинский народный центр предлагалось судить как контрреволюционную организацию, выше 6 лет не давать, несколько человек, в том числе Грушевского, а также и коммунистов освободить от приговора. </w:t>
      </w:r>
    </w:p>
    <w:p w14:paraId="3BF578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этом велась в прессе большая пропагандистская кампания о вредительстве (11248).</w:t>
      </w:r>
    </w:p>
    <w:p w14:paraId="5321FB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338615" w14:textId="77777777" w:rsidR="00342305" w:rsidRPr="00A259BD" w:rsidRDefault="003423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декабря 1929 г. заместитель председателя ОГПУ Генрих Ягода и начальник экономического управления ОГПУ Георгий Прокофьев направили И.В. Сталину пространную записку.</w:t>
      </w:r>
    </w:p>
    <w:p w14:paraId="7FABA6CC" w14:textId="77777777" w:rsidR="00342305" w:rsidRPr="00A259BD" w:rsidRDefault="003423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"материалами следствия установлено, что с 1921 года в авиационной промышленности действовала контрреволюционная вредительская организация, связанная с контрреволюционной вредительской организацией в военной промышленности" (РГАНИ. Ф. 3. Оп. 58. Д. 348. Л. 1).</w:t>
      </w:r>
    </w:p>
    <w:p w14:paraId="772AD1C6" w14:textId="77777777" w:rsidR="00342305" w:rsidRPr="00A259BD" w:rsidRDefault="003423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 отрасли авиапромышленности: опытное строительство, как самолетное, так и моторное, самолетостроение, моторостроение и капитальное строительство"(РГАНИ. Ф. 3. Оп. 58. Д. 348. Л. 1)</w:t>
      </w:r>
    </w:p>
    <w:p w14:paraId="40BE87E6" w14:textId="77777777" w:rsidR="00342305" w:rsidRPr="00A259BD" w:rsidRDefault="003423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Как и в похожих документах такого рода, обычно бывших прелюдией к масштабным публичным процессам, подобным "Промпартии", "Шахтинскому делу" и т.п., Ягода и Прокофьев попытались создать у высшего руководства страны стойкое ощущение грозящей государству серьезной опасности. 13-страничная записка заканчивалась списком четырнадцати арестованных, среди которых значились известные авиаконструкторы Николай Николаевич Поликарпов (1892-1944) и Дмитрий Павлович Григорович (1883-1938). В самом конце Сталину доложили, что двенадцать вредителей уже дали признательные показания; "не сознались только Ермолаев и </w:t>
      </w:r>
      <w:proofErr w:type="spellStart"/>
      <w:r w:rsidRPr="00A259BD">
        <w:rPr>
          <w:rFonts w:ascii="Times New Roman" w:hAnsi="Times New Roman"/>
          <w:color w:val="000000" w:themeColor="text1"/>
          <w:sz w:val="16"/>
          <w:szCs w:val="16"/>
        </w:rPr>
        <w:t>Крейсон</w:t>
      </w:r>
      <w:proofErr w:type="spellEnd"/>
      <w:r w:rsidRPr="00A259BD">
        <w:rPr>
          <w:rFonts w:ascii="Times New Roman" w:hAnsi="Times New Roman"/>
          <w:color w:val="000000" w:themeColor="text1"/>
          <w:sz w:val="16"/>
          <w:szCs w:val="16"/>
        </w:rPr>
        <w:t>, арестованный 24 декабря 1929 года"(РГАНИ. Ф. 3. Оп. 58. Д. 348. Л. 1).</w:t>
      </w:r>
    </w:p>
    <w:p w14:paraId="68705CD7" w14:textId="77777777" w:rsidR="00342305" w:rsidRPr="00A259BD" w:rsidRDefault="003423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записке были приложены и подписанные в Бутырской тюрьме показания арестованного технического директора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Сергея Осиповича Макаровского (1880-1934).</w:t>
      </w:r>
    </w:p>
    <w:p w14:paraId="39A69F97" w14:textId="77777777" w:rsidR="00342305" w:rsidRPr="00A259BD" w:rsidRDefault="003423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"Авиационная промышленность - промышленность самая молодая, промышленность замкнутая в тесном кругу специалистов-инженеров. Инженеры и техники этой промышленности до революции, и особенно в военное время, являлись аристократией среди инженерства - это была каста, с большим сопротивлением допускавшая в свои ряды чужаков .... Естественно, что этот кадр специалистов, этот круг бывших инженеров-аристократов, потерявший в Октябре больше всех, стал на путь взаимного объединения, путь организованного сопротивления Соввласти, путь реального воплощения форм вредительской организации".</w:t>
      </w:r>
    </w:p>
    <w:p w14:paraId="48452485" w14:textId="77777777" w:rsidR="00342305" w:rsidRPr="00A259BD" w:rsidRDefault="0034230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"Бить - так только по больному месту, бить так, чтобы удар действительно почувствовался, а удар по авиации - самый чувствительный .... И мы ударили - ударили в союзе с крупнейшими научными работниками авиации СССР, в союзе с научными силами самой авиации .... И добились - груды забракованного авиационного имущества, лицензий на мотор неудовлетворительного качества, почти остановки основного самолетостроительного завода и срыва перевооружения военно-воздушного флота по всем типам и родам его материального снабжения". Подсказал технический директор и то, что дальше делать с ним и другими подследственными: "Мы - основная верхушка руководителей вредительской армии - изъяты, очередь за вторым этапом - перевоспитанием психологии инженерства, работающего в авиационной промышленности". (21336).</w:t>
      </w:r>
    </w:p>
    <w:p w14:paraId="1F96D2CB" w14:textId="77777777" w:rsidR="00342305" w:rsidRPr="00A259BD" w:rsidRDefault="00342305" w:rsidP="009236E3">
      <w:pPr>
        <w:spacing w:after="0" w:line="240" w:lineRule="auto"/>
        <w:jc w:val="both"/>
        <w:rPr>
          <w:rFonts w:ascii="Times New Roman" w:hAnsi="Times New Roman"/>
          <w:color w:val="000000" w:themeColor="text1"/>
          <w:sz w:val="16"/>
          <w:szCs w:val="16"/>
        </w:rPr>
      </w:pPr>
    </w:p>
    <w:p w14:paraId="59C99BF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67144C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26824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декабря 1929 г. был подготовлен:</w:t>
      </w:r>
    </w:p>
    <w:p w14:paraId="505DF0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ПРОТОКОЛ СОВЕЩАНИЯ У НАЧАЛЬНИКА УММ РККА ПО ВОПРОСУ ТАНКОСТРОЕНИЯ</w:t>
      </w:r>
    </w:p>
    <w:p w14:paraId="3ED45BF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Москва</w:t>
      </w:r>
    </w:p>
    <w:p w14:paraId="73D82C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Присутствуют: тт. Корзун,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Калиновский, </w:t>
      </w:r>
      <w:proofErr w:type="spellStart"/>
      <w:r w:rsidRPr="00A259BD">
        <w:rPr>
          <w:rFonts w:ascii="Times New Roman" w:hAnsi="Times New Roman"/>
          <w:color w:val="000000" w:themeColor="text1"/>
          <w:sz w:val="16"/>
          <w:szCs w:val="16"/>
        </w:rPr>
        <w:t>Бокис</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Топилов</w:t>
      </w:r>
      <w:proofErr w:type="spellEnd"/>
      <w:r w:rsidRPr="00A259BD">
        <w:rPr>
          <w:rFonts w:ascii="Times New Roman" w:hAnsi="Times New Roman"/>
          <w:color w:val="000000" w:themeColor="text1"/>
          <w:sz w:val="16"/>
          <w:szCs w:val="16"/>
        </w:rPr>
        <w:t>.</w:t>
      </w:r>
    </w:p>
    <w:p w14:paraId="471FDA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Тов. Корзун говорит о намеченных ГВПУ базах по танкостроению на ближайшие 4 года. ГВПУ решило:</w:t>
      </w:r>
    </w:p>
    <w:p w14:paraId="2C1F747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Малый танк строить на заводах "Большевик" и ММЗ с последующим прекращением в конце пя</w:t>
      </w:r>
      <w:r w:rsidRPr="00A259BD">
        <w:rPr>
          <w:rFonts w:ascii="Times New Roman" w:hAnsi="Times New Roman"/>
          <w:color w:val="000000" w:themeColor="text1"/>
          <w:sz w:val="16"/>
          <w:szCs w:val="16"/>
        </w:rPr>
        <w:softHyphen/>
        <w:t>тилетки производства на "Большевике" и переноса его на Уральский тракторный завод.</w:t>
      </w:r>
    </w:p>
    <w:p w14:paraId="4DC3F16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Средний танк — Харьковский Паровозостроительный завод.</w:t>
      </w:r>
    </w:p>
    <w:p w14:paraId="711156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Танкетка — Сталинградский тракторный завод и 2-ой и 4-ый автомобильный заводы.</w:t>
      </w:r>
    </w:p>
    <w:p w14:paraId="413D15B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всех остальных типов танков базы не намечены, так как нет еще технических заданий на эти танки.</w:t>
      </w:r>
    </w:p>
    <w:p w14:paraId="5F774D3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Броня для танков будет поставляться:</w:t>
      </w:r>
    </w:p>
    <w:p w14:paraId="7EDA56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малого танка - Ижорский и </w:t>
      </w:r>
      <w:proofErr w:type="spellStart"/>
      <w:r w:rsidRPr="00A259BD">
        <w:rPr>
          <w:rFonts w:ascii="Times New Roman" w:hAnsi="Times New Roman"/>
          <w:color w:val="000000" w:themeColor="text1"/>
          <w:sz w:val="16"/>
          <w:szCs w:val="16"/>
        </w:rPr>
        <w:t>Чусовский</w:t>
      </w:r>
      <w:proofErr w:type="spellEnd"/>
      <w:r w:rsidRPr="00A259BD">
        <w:rPr>
          <w:rFonts w:ascii="Times New Roman" w:hAnsi="Times New Roman"/>
          <w:color w:val="000000" w:themeColor="text1"/>
          <w:sz w:val="16"/>
          <w:szCs w:val="16"/>
        </w:rPr>
        <w:t xml:space="preserve"> заводы.</w:t>
      </w:r>
    </w:p>
    <w:p w14:paraId="1938419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среднего танка - Ижорский и </w:t>
      </w:r>
      <w:proofErr w:type="spellStart"/>
      <w:r w:rsidRPr="00A259BD">
        <w:rPr>
          <w:rFonts w:ascii="Times New Roman" w:hAnsi="Times New Roman"/>
          <w:color w:val="000000" w:themeColor="text1"/>
          <w:sz w:val="16"/>
          <w:szCs w:val="16"/>
        </w:rPr>
        <w:t>Чусовский</w:t>
      </w:r>
      <w:proofErr w:type="spellEnd"/>
      <w:r w:rsidRPr="00A259BD">
        <w:rPr>
          <w:rFonts w:ascii="Times New Roman" w:hAnsi="Times New Roman"/>
          <w:color w:val="000000" w:themeColor="text1"/>
          <w:sz w:val="16"/>
          <w:szCs w:val="16"/>
        </w:rPr>
        <w:t xml:space="preserve"> заводы.</w:t>
      </w:r>
    </w:p>
    <w:p w14:paraId="1E37E40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Танкеток - Ижорский и </w:t>
      </w:r>
      <w:proofErr w:type="spellStart"/>
      <w:r w:rsidRPr="00A259BD">
        <w:rPr>
          <w:rFonts w:ascii="Times New Roman" w:hAnsi="Times New Roman"/>
          <w:color w:val="000000" w:themeColor="text1"/>
          <w:sz w:val="16"/>
          <w:szCs w:val="16"/>
        </w:rPr>
        <w:t>Чусовский</w:t>
      </w:r>
      <w:proofErr w:type="spellEnd"/>
      <w:r w:rsidRPr="00A259BD">
        <w:rPr>
          <w:rFonts w:ascii="Times New Roman" w:hAnsi="Times New Roman"/>
          <w:color w:val="000000" w:themeColor="text1"/>
          <w:sz w:val="16"/>
          <w:szCs w:val="16"/>
        </w:rPr>
        <w:t xml:space="preserve"> заводы.</w:t>
      </w:r>
    </w:p>
    <w:p w14:paraId="61342C5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 УММ РККА необходимо получить:</w:t>
      </w:r>
    </w:p>
    <w:p w14:paraId="29962E9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Технические требования,</w:t>
      </w:r>
    </w:p>
    <w:p w14:paraId="018561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календарный план по выполнению задания.</w:t>
      </w:r>
    </w:p>
    <w:p w14:paraId="74FAF3E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Вопрос о базе для большого танка может быть ГВПУ решен только по получению технических заданий на него.</w:t>
      </w:r>
    </w:p>
    <w:p w14:paraId="5A6C7EF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"Большевик" за пределами пятилетки превращается в опытный завод.</w:t>
      </w:r>
    </w:p>
    <w:p w14:paraId="0F4F09F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Тракторы "Большевик" со скоростью 25 км/час остаются, и будут строиться на заводе "Большевик".</w:t>
      </w:r>
    </w:p>
    <w:p w14:paraId="663E32D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Трактор тяжелый — ХПЗ.</w:t>
      </w:r>
    </w:p>
    <w:p w14:paraId="7B30D0A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Трактор легкий - не намечено.</w:t>
      </w:r>
    </w:p>
    <w:p w14:paraId="1AC13DC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Центральное конструкторское бюро расширяется до 200 чел. Кроме этого бюро будет еще 3 бю</w:t>
      </w:r>
      <w:r w:rsidRPr="00A259BD">
        <w:rPr>
          <w:rFonts w:ascii="Times New Roman" w:hAnsi="Times New Roman"/>
          <w:color w:val="000000" w:themeColor="text1"/>
          <w:sz w:val="16"/>
          <w:szCs w:val="16"/>
        </w:rPr>
        <w:softHyphen/>
        <w:t>ро по заводам.</w:t>
      </w:r>
    </w:p>
    <w:p w14:paraId="026BF49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Задание по проектированию колесно-гусеничного танка было дано </w:t>
      </w:r>
      <w:proofErr w:type="spellStart"/>
      <w:r w:rsidRPr="00A259BD">
        <w:rPr>
          <w:rFonts w:ascii="Times New Roman" w:hAnsi="Times New Roman"/>
          <w:color w:val="000000" w:themeColor="text1"/>
          <w:sz w:val="16"/>
          <w:szCs w:val="16"/>
        </w:rPr>
        <w:t>Фольмеру</w:t>
      </w:r>
      <w:proofErr w:type="spellEnd"/>
      <w:r w:rsidRPr="00A259BD">
        <w:rPr>
          <w:rFonts w:ascii="Times New Roman" w:hAnsi="Times New Roman"/>
          <w:color w:val="000000" w:themeColor="text1"/>
          <w:sz w:val="16"/>
          <w:szCs w:val="16"/>
        </w:rPr>
        <w:t>, ему же предложено дать задание по проектированию колесно-гусеничной танкетки.</w:t>
      </w:r>
    </w:p>
    <w:p w14:paraId="029394B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Опытные образцы всех танков, кроме среднего и большого будут изготовляться на заводе; "Большевик".</w:t>
      </w:r>
    </w:p>
    <w:p w14:paraId="72BCB8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Тов.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говорит, что по вопросу о базах со стороны УММ РККА возражений нет по час</w:t>
      </w:r>
      <w:r w:rsidRPr="00A259BD">
        <w:rPr>
          <w:rFonts w:ascii="Times New Roman" w:hAnsi="Times New Roman"/>
          <w:color w:val="000000" w:themeColor="text1"/>
          <w:sz w:val="16"/>
          <w:szCs w:val="16"/>
        </w:rPr>
        <w:softHyphen/>
        <w:t>ти малого, среднего танков и танкетки.</w:t>
      </w:r>
    </w:p>
    <w:p w14:paraId="4D04A16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Большой танк должен строиться на заводе "Большевик" или ХПЗ.</w:t>
      </w:r>
    </w:p>
    <w:p w14:paraId="45B19EC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Строительство среднего трактора на "Большевике" не должно отражаться на сокращении танко-строения. Технические задания по танкам и тракторам будут Управлением даны 1 января 1930 года.</w:t>
      </w:r>
    </w:p>
    <w:p w14:paraId="4A25EDE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 Корзун обещает, что календарный план выполнения работ по техническим заданиям УММ РККА будет со стороны ГВПУ дан к 1 февраля 1930 г.</w:t>
      </w:r>
    </w:p>
    <w:p w14:paraId="2C2458B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Тов.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настаивает на усилении Конструкторского бюро на заводе "Большевик" и орга- ( </w:t>
      </w:r>
      <w:proofErr w:type="spellStart"/>
      <w:r w:rsidRPr="00A259BD">
        <w:rPr>
          <w:rFonts w:ascii="Times New Roman" w:hAnsi="Times New Roman"/>
          <w:color w:val="000000" w:themeColor="text1"/>
          <w:sz w:val="16"/>
          <w:szCs w:val="16"/>
        </w:rPr>
        <w:t>низации</w:t>
      </w:r>
      <w:proofErr w:type="spellEnd"/>
      <w:r w:rsidRPr="00A259BD">
        <w:rPr>
          <w:rFonts w:ascii="Times New Roman" w:hAnsi="Times New Roman"/>
          <w:color w:val="000000" w:themeColor="text1"/>
          <w:sz w:val="16"/>
          <w:szCs w:val="16"/>
        </w:rPr>
        <w:t xml:space="preserve"> Конструкторского бюро на ХПЗ.</w:t>
      </w:r>
    </w:p>
    <w:p w14:paraId="096C14E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Необходимо привлечение в помощь Центральному конструкторскому бюро в качестве филиа</w:t>
      </w:r>
      <w:r w:rsidRPr="00A259BD">
        <w:rPr>
          <w:rFonts w:ascii="Times New Roman" w:hAnsi="Times New Roman"/>
          <w:color w:val="000000" w:themeColor="text1"/>
          <w:sz w:val="16"/>
          <w:szCs w:val="16"/>
        </w:rPr>
        <w:softHyphen/>
        <w:t>лов научных институтов.</w:t>
      </w:r>
    </w:p>
    <w:p w14:paraId="126A08F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Строительство среднего трактора помимо "Большевика" должно базироваться на ХПЗ.</w:t>
      </w:r>
    </w:p>
    <w:p w14:paraId="08E747B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Постановили:</w:t>
      </w:r>
    </w:p>
    <w:p w14:paraId="2BB7431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Заявление т. Корзуна о кооперировании танкостроения с тракторостроением принять к све</w:t>
      </w:r>
      <w:r w:rsidRPr="00A259BD">
        <w:rPr>
          <w:rFonts w:ascii="Times New Roman" w:hAnsi="Times New Roman"/>
          <w:color w:val="000000" w:themeColor="text1"/>
          <w:sz w:val="16"/>
          <w:szCs w:val="16"/>
        </w:rPr>
        <w:softHyphen/>
        <w:t>дению и руководству.</w:t>
      </w:r>
    </w:p>
    <w:p w14:paraId="3094F2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УММ РККА обязуется к 1 января-1930 г. дать ГВПУ технические требования по малому, сред-; нему танку, танкетке и по легкому и среднему трактору.</w:t>
      </w:r>
    </w:p>
    <w:p w14:paraId="5D2B57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Заявление т. Корзуна об организации массового производства танков: Среднего - на ХПЗ</w:t>
      </w:r>
    </w:p>
    <w:p w14:paraId="62CEA8D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Малого - на заводе "Большевик" и ММЗ, с последующим переносом производства с "</w:t>
      </w:r>
      <w:proofErr w:type="spellStart"/>
      <w:r w:rsidRPr="00A259BD">
        <w:rPr>
          <w:rFonts w:ascii="Times New Roman" w:hAnsi="Times New Roman"/>
          <w:color w:val="000000" w:themeColor="text1"/>
          <w:sz w:val="16"/>
          <w:szCs w:val="16"/>
        </w:rPr>
        <w:t>Большеви</w:t>
      </w:r>
      <w:proofErr w:type="spellEnd"/>
      <w:r w:rsidRPr="00A259BD">
        <w:rPr>
          <w:rFonts w:ascii="Times New Roman" w:hAnsi="Times New Roman"/>
          <w:color w:val="000000" w:themeColor="text1"/>
          <w:sz w:val="16"/>
          <w:szCs w:val="16"/>
        </w:rPr>
        <w:t>-] ка" на Уральский тракторный завод.</w:t>
      </w:r>
    </w:p>
    <w:p w14:paraId="2D300D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Танкетки - Сталинградский тракторный завод - принять к сведению и руководству.</w:t>
      </w:r>
    </w:p>
    <w:p w14:paraId="2788BFC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Заявление т. Корзуна о том, что тип среднего трактора будет иметь свою производственную! базу только на заводе "Большевик" является не приемлемым, так как дальнейшее развитие завода! "Большевик" до полного удовлетворения потребности НКВМ с точки зрения УММ РККА нецелесообразно, в связи с чем производство среднего трактора должно быть дублировано на Уральском тра</w:t>
      </w:r>
      <w:r w:rsidRPr="00A259BD">
        <w:rPr>
          <w:rFonts w:ascii="Times New Roman" w:hAnsi="Times New Roman"/>
          <w:color w:val="000000" w:themeColor="text1"/>
          <w:sz w:val="16"/>
          <w:szCs w:val="16"/>
        </w:rPr>
        <w:softHyphen/>
        <w:t>кторном заводе.</w:t>
      </w:r>
    </w:p>
    <w:p w14:paraId="4432BFD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До сих пор остается нерешенным вопрос о месте развертывания производства легкого и тяже</w:t>
      </w:r>
      <w:r w:rsidRPr="00A259BD">
        <w:rPr>
          <w:rFonts w:ascii="Times New Roman" w:hAnsi="Times New Roman"/>
          <w:color w:val="000000" w:themeColor="text1"/>
          <w:sz w:val="16"/>
          <w:szCs w:val="16"/>
        </w:rPr>
        <w:softHyphen/>
        <w:t>лого тракторов и тяжелого танка.</w:t>
      </w:r>
    </w:p>
    <w:p w14:paraId="69F56C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Вручить т. Корзун копию программы и </w:t>
      </w:r>
      <w:proofErr w:type="spellStart"/>
      <w:r w:rsidRPr="00A259BD">
        <w:rPr>
          <w:rFonts w:ascii="Times New Roman" w:hAnsi="Times New Roman"/>
          <w:color w:val="000000" w:themeColor="text1"/>
          <w:sz w:val="16"/>
          <w:szCs w:val="16"/>
        </w:rPr>
        <w:t>мобзаявки</w:t>
      </w:r>
      <w:proofErr w:type="spellEnd"/>
      <w:r w:rsidRPr="00A259BD">
        <w:rPr>
          <w:rFonts w:ascii="Times New Roman" w:hAnsi="Times New Roman"/>
          <w:color w:val="000000" w:themeColor="text1"/>
          <w:sz w:val="16"/>
          <w:szCs w:val="16"/>
        </w:rPr>
        <w:t xml:space="preserve"> по танкостроению на ближайшее четырех</w:t>
      </w:r>
      <w:r w:rsidRPr="00A259BD">
        <w:rPr>
          <w:rFonts w:ascii="Times New Roman" w:hAnsi="Times New Roman"/>
          <w:color w:val="000000" w:themeColor="text1"/>
          <w:sz w:val="16"/>
          <w:szCs w:val="16"/>
        </w:rPr>
        <w:softHyphen/>
        <w:t>летие и просить МПУ ВСНХ созвать специальное совещание с участием ГВПУ и УММ РККА для раз</w:t>
      </w:r>
      <w:r w:rsidRPr="00A259BD">
        <w:rPr>
          <w:rFonts w:ascii="Times New Roman" w:hAnsi="Times New Roman"/>
          <w:color w:val="000000" w:themeColor="text1"/>
          <w:sz w:val="16"/>
          <w:szCs w:val="16"/>
        </w:rPr>
        <w:softHyphen/>
        <w:t>решения вопроса о реализации этой программы по установленным срокам.</w:t>
      </w:r>
    </w:p>
    <w:p w14:paraId="073FE2C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По выполнению плана текущего заказа на 300 шт. танков т. Корзун настаивает на предложе</w:t>
      </w:r>
      <w:r w:rsidRPr="00A259BD">
        <w:rPr>
          <w:rFonts w:ascii="Times New Roman" w:hAnsi="Times New Roman"/>
          <w:color w:val="000000" w:themeColor="text1"/>
          <w:sz w:val="16"/>
          <w:szCs w:val="16"/>
        </w:rPr>
        <w:softHyphen/>
        <w:t>нии, изложенном в отношении №1925сс от 22 декабря 1929 г., что УММ РККА принято быть не мо</w:t>
      </w:r>
      <w:r w:rsidRPr="00A259BD">
        <w:rPr>
          <w:rFonts w:ascii="Times New Roman" w:hAnsi="Times New Roman"/>
          <w:color w:val="000000" w:themeColor="text1"/>
          <w:sz w:val="16"/>
          <w:szCs w:val="16"/>
        </w:rPr>
        <w:softHyphen/>
        <w:t>жет, так как решение этого вопроса относится к компетенции РВС СССР и Высших органов, что им и будет доложено.</w:t>
      </w:r>
    </w:p>
    <w:p w14:paraId="38EAD5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Просить т. Корзун копию решения по вопросу кооперирования танко-тракторного произ</w:t>
      </w:r>
      <w:r w:rsidRPr="00A259BD">
        <w:rPr>
          <w:rFonts w:ascii="Times New Roman" w:hAnsi="Times New Roman"/>
          <w:color w:val="000000" w:themeColor="text1"/>
          <w:sz w:val="16"/>
          <w:szCs w:val="16"/>
        </w:rPr>
        <w:softHyphen/>
        <w:t>водства (Уральский завод — Украинский завод приказ ВСНХ от 23 декабря 1929 г.) прислать УММ РККА.</w:t>
      </w:r>
    </w:p>
    <w:p w14:paraId="2409178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Заявление т. Корзун о решении Коллегии ГВПУ по вопросу создания Центрального конструк</w:t>
      </w:r>
      <w:r w:rsidRPr="00A259BD">
        <w:rPr>
          <w:rFonts w:ascii="Times New Roman" w:hAnsi="Times New Roman"/>
          <w:color w:val="000000" w:themeColor="text1"/>
          <w:sz w:val="16"/>
          <w:szCs w:val="16"/>
        </w:rPr>
        <w:softHyphen/>
        <w:t>торского бюро в 200 чел. принять к сведению.</w:t>
      </w:r>
    </w:p>
    <w:p w14:paraId="0BD934D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Просить ГВПУ программу работ Центрального конструкторского бюро препроводить УММ РККА для рассмотрения и согласования.</w:t>
      </w:r>
    </w:p>
    <w:p w14:paraId="26CE0E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 Обратить внимание ГВПУ на то, что условия выполнения текущей танковой программы во многом зависят от наличия и развертывания Конструкторских бюро на "Большевике", ММЗ и ХПЗ.</w:t>
      </w:r>
    </w:p>
    <w:p w14:paraId="4A19B1D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 Не позднее 15 января 1930 г. создать специальную комиссию из представителей НТК УММ, конструкторского бюро ОАТ и МПУ ВСНХ для установления календарного срока и порядка перехо</w:t>
      </w:r>
      <w:r w:rsidRPr="00A259BD">
        <w:rPr>
          <w:rFonts w:ascii="Times New Roman" w:hAnsi="Times New Roman"/>
          <w:color w:val="000000" w:themeColor="text1"/>
          <w:sz w:val="16"/>
          <w:szCs w:val="16"/>
        </w:rPr>
        <w:softHyphen/>
        <w:t>да производства от ныне существующих конструкций танков к новым проектируемым, установлен</w:t>
      </w:r>
      <w:r w:rsidRPr="00A259BD">
        <w:rPr>
          <w:rFonts w:ascii="Times New Roman" w:hAnsi="Times New Roman"/>
          <w:color w:val="000000" w:themeColor="text1"/>
          <w:sz w:val="16"/>
          <w:szCs w:val="16"/>
        </w:rPr>
        <w:softHyphen/>
        <w:t>ным системой вооружения.</w:t>
      </w:r>
    </w:p>
    <w:p w14:paraId="56C9A0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 Просить ГВПУ в соответствии с заданиями по проектированию конструкций на основе сис</w:t>
      </w:r>
      <w:r w:rsidRPr="00A259BD">
        <w:rPr>
          <w:rFonts w:ascii="Times New Roman" w:hAnsi="Times New Roman"/>
          <w:color w:val="000000" w:themeColor="text1"/>
          <w:sz w:val="16"/>
          <w:szCs w:val="16"/>
        </w:rPr>
        <w:softHyphen/>
        <w:t>темы вооружения для формирования и усиления этих работ обеспечить их специальными кредита</w:t>
      </w:r>
      <w:r w:rsidRPr="00A259BD">
        <w:rPr>
          <w:rFonts w:ascii="Times New Roman" w:hAnsi="Times New Roman"/>
          <w:color w:val="000000" w:themeColor="text1"/>
          <w:sz w:val="16"/>
          <w:szCs w:val="16"/>
        </w:rPr>
        <w:softHyphen/>
        <w:t>ми в достаточной мере, сообщив УММ РККА сумму, выделенную ГВПУ для этой цели.</w:t>
      </w:r>
    </w:p>
    <w:p w14:paraId="100F514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 Принять к сведению заявление т. Корзуна об предполагаемом развертывании производства брони на Ижорском и Чусовском заводах. Просить ГВПУ по окончательном решении этого вопроса результат решения сообщить УММ РККА.</w:t>
      </w:r>
    </w:p>
    <w:p w14:paraId="36AE9A4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 В связи с заявлением т. Корзун, - пересмотреть вопрос о постройке трехосных машин на за</w:t>
      </w:r>
      <w:r w:rsidRPr="00A259BD">
        <w:rPr>
          <w:rFonts w:ascii="Times New Roman" w:hAnsi="Times New Roman"/>
          <w:color w:val="000000" w:themeColor="text1"/>
          <w:sz w:val="16"/>
          <w:szCs w:val="16"/>
        </w:rPr>
        <w:softHyphen/>
        <w:t>воде "Баррикады".</w:t>
      </w:r>
    </w:p>
    <w:p w14:paraId="6360EB6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 УММ РККА </w:t>
      </w:r>
      <w:proofErr w:type="spellStart"/>
      <w:r w:rsidRPr="00A259BD">
        <w:rPr>
          <w:rFonts w:ascii="Times New Roman" w:hAnsi="Times New Roman"/>
          <w:color w:val="000000" w:themeColor="text1"/>
          <w:sz w:val="16"/>
          <w:szCs w:val="16"/>
        </w:rPr>
        <w:t>Халепский</w:t>
      </w:r>
      <w:proofErr w:type="spellEnd"/>
    </w:p>
    <w:p w14:paraId="1832EF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РГВА.Ф. 31811. Оп. 1. Д. ЗОЛ. 30-31. Копия (11210).</w:t>
      </w:r>
    </w:p>
    <w:p w14:paraId="7525BC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AC03E2" w14:textId="77777777" w:rsidR="00132D83" w:rsidRPr="00A259BD" w:rsidRDefault="00132D83" w:rsidP="009236E3">
      <w:pPr>
        <w:pStyle w:val="rtejustify"/>
        <w:spacing w:before="0" w:after="0"/>
        <w:rPr>
          <w:color w:val="000000" w:themeColor="text1"/>
          <w:sz w:val="16"/>
          <w:szCs w:val="16"/>
        </w:rPr>
      </w:pPr>
      <w:r w:rsidRPr="00A259BD">
        <w:rPr>
          <w:bCs/>
          <w:color w:val="000000" w:themeColor="text1"/>
          <w:sz w:val="16"/>
          <w:szCs w:val="16"/>
        </w:rPr>
        <w:t>25 декабря 1929 г. — Письмо бывших начальников ГАУ П. Е. Дыбенко и Г. И. Кулика наркомвоенмору К. Е. Ворошилову, генеральному секретарю ЦК ВКП(б) И. В. Сталину, председателю ЦКК ВКП(б) и наркому РКИ СССР С. Орджоникидзе о руководстве ГАУ</w:t>
      </w:r>
    </w:p>
    <w:p w14:paraId="391DC1C1"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Письмо т. </w:t>
      </w:r>
      <w:proofErr w:type="spellStart"/>
      <w:r w:rsidR="00000000">
        <w:fldChar w:fldCharType="begin"/>
      </w:r>
      <w:r w:rsidR="00000000">
        <w:instrText>HYPERLINK "http://www.hrono.ru/biograf/bio_p/pavlunovski_ip.php"</w:instrText>
      </w:r>
      <w:r w:rsidR="00000000">
        <w:fldChar w:fldCharType="separate"/>
      </w:r>
      <w:r w:rsidRPr="00A259BD">
        <w:rPr>
          <w:color w:val="000000" w:themeColor="text1"/>
          <w:sz w:val="16"/>
          <w:szCs w:val="16"/>
        </w:rPr>
        <w:t>Павлуновского</w:t>
      </w:r>
      <w:proofErr w:type="spellEnd"/>
      <w:r w:rsidR="00000000">
        <w:rPr>
          <w:color w:val="000000" w:themeColor="text1"/>
          <w:sz w:val="16"/>
          <w:szCs w:val="16"/>
        </w:rPr>
        <w:fldChar w:fldCharType="end"/>
      </w:r>
      <w:r w:rsidRPr="00A259BD">
        <w:rPr>
          <w:color w:val="000000" w:themeColor="text1"/>
          <w:sz w:val="16"/>
          <w:szCs w:val="16"/>
        </w:rPr>
        <w:t xml:space="preserve"> от 17 декабря с. г., адресованное т. </w:t>
      </w:r>
      <w:hyperlink r:id="rId331" w:history="1">
        <w:r w:rsidRPr="00A259BD">
          <w:rPr>
            <w:color w:val="000000" w:themeColor="text1"/>
            <w:sz w:val="16"/>
            <w:szCs w:val="16"/>
          </w:rPr>
          <w:t>Орджоникидзе</w:t>
        </w:r>
      </w:hyperlink>
      <w:r w:rsidRPr="00A259BD">
        <w:rPr>
          <w:color w:val="000000" w:themeColor="text1"/>
          <w:sz w:val="16"/>
          <w:szCs w:val="16"/>
        </w:rPr>
        <w:t>, отмечает три момента.</w:t>
      </w:r>
    </w:p>
    <w:p w14:paraId="459EDBFC"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1. Повторение ранее заданных нам вопросов, как-то: о пулемете Дегтярева (длительная задержка принятия на вооружение), отсутствие на вооружении батальонной артиллерии, отсутствие противотанковой артиллерии, отсутствие мелкокалиберной зенитной артиллерии, отсутствие медленногорящих порохов и трубок с медленногорящими порохами, о срыве введения на вооружение дальнобойного снаряда и идеального, по мнению т. </w:t>
      </w:r>
      <w:proofErr w:type="spellStart"/>
      <w:r w:rsidRPr="00A259BD">
        <w:rPr>
          <w:color w:val="000000" w:themeColor="text1"/>
          <w:sz w:val="16"/>
          <w:szCs w:val="16"/>
        </w:rPr>
        <w:t>Павлуновского</w:t>
      </w:r>
      <w:proofErr w:type="spellEnd"/>
      <w:r w:rsidRPr="00A259BD">
        <w:rPr>
          <w:color w:val="000000" w:themeColor="text1"/>
          <w:sz w:val="16"/>
          <w:szCs w:val="16"/>
        </w:rPr>
        <w:t>, взрывателя МТ, отсутствие бронебойного снаряда и непринятие мер исправления ударно-дистанционных трубок 24/31.</w:t>
      </w:r>
    </w:p>
    <w:p w14:paraId="7A6A2856"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 xml:space="preserve">2. Тов. </w:t>
      </w:r>
      <w:proofErr w:type="spellStart"/>
      <w:r w:rsidRPr="00A259BD">
        <w:rPr>
          <w:color w:val="000000" w:themeColor="text1"/>
          <w:sz w:val="16"/>
          <w:szCs w:val="16"/>
        </w:rPr>
        <w:t>Павлуновский</w:t>
      </w:r>
      <w:proofErr w:type="spellEnd"/>
      <w:r w:rsidRPr="00A259BD">
        <w:rPr>
          <w:color w:val="000000" w:themeColor="text1"/>
          <w:sz w:val="16"/>
          <w:szCs w:val="16"/>
        </w:rPr>
        <w:t xml:space="preserve"> отмечает, что Красная армия к 1929 г. фактически разоружена и</w:t>
      </w:r>
    </w:p>
    <w:p w14:paraId="559A6A9F"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3. Что Дыбенко и Кулик потеряли классовое чутье и, являясь слепыми коммунистами, благоговели перед спецами в момент своего пребывания в АУ, и поэтому в данный момент, бюрократически отписываясь и оправдываясь, тем самым замазывают свою бездеятельность и вредительство; и в заключение указывает, что недостойная коммунистов роль Кулика и Дыбенко в АУ в достаточной степени выявлена, и они должны понести заслуженное наказание.</w:t>
      </w:r>
    </w:p>
    <w:p w14:paraId="1FF92783"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 xml:space="preserve">Мы целиком присоединяемся к заключению т. </w:t>
      </w:r>
      <w:proofErr w:type="spellStart"/>
      <w:r w:rsidRPr="00A259BD">
        <w:rPr>
          <w:color w:val="000000" w:themeColor="text1"/>
          <w:sz w:val="16"/>
          <w:szCs w:val="16"/>
        </w:rPr>
        <w:t>Павлуновского</w:t>
      </w:r>
      <w:proofErr w:type="spellEnd"/>
      <w:r w:rsidRPr="00A259BD">
        <w:rPr>
          <w:color w:val="000000" w:themeColor="text1"/>
          <w:sz w:val="16"/>
          <w:szCs w:val="16"/>
        </w:rPr>
        <w:t xml:space="preserve"> и просим Революционный военный совет и ЦК партии, если это так, как все представил в своем заключении (письмо т. Орджоникидзе) т. </w:t>
      </w:r>
      <w:proofErr w:type="spellStart"/>
      <w:r w:rsidRPr="00A259BD">
        <w:rPr>
          <w:color w:val="000000" w:themeColor="text1"/>
          <w:sz w:val="16"/>
          <w:szCs w:val="16"/>
        </w:rPr>
        <w:t>Павлуновский</w:t>
      </w:r>
      <w:proofErr w:type="spellEnd"/>
      <w:r w:rsidRPr="00A259BD">
        <w:rPr>
          <w:color w:val="000000" w:themeColor="text1"/>
          <w:sz w:val="16"/>
          <w:szCs w:val="16"/>
        </w:rPr>
        <w:t>, то нечего вести дальнейшего следствия, а нас как явных укрывателей вредительства, потерявших классовое чутье, замазывающих и теперь вредительства, как типов, которые в течение 4,5 лет («Дыбенко был начальником АУ с 8 мая 1925 г. по 1 ноября 1926 г., Кулик — с 1 ноября 1926 г. по 1 декабря 1929 г.») и систематически разоружавших армию, немедленно исключить из партии, убрать из армии и расстрелять. Одно сознание того, что такое обвинение предъявлено комиссией РКИ, мы политически являемся уничтоженными¹*. Какое после этого к нам может быть доверие в рядах РККА со стороны Реввоенсовета Союза, комсостава и бойцов, тех, которые будут находиться под нашим подчинением. В трудную минуту боевой ли обстановки или работы в мирной обстановке всякая возможная ошибка и даже справедливое требование с нашей стороны подчиненному будут вызывать сомнение, это же сомнение будет и в партийных рядах, и каждый вправе задать вопрос. «А не вредительство ли с их стороны и не скрывается ли таковое за их спиной?» Даже принимая решения, ты сам будешь невольно думать, не будет ли оно понято подчиненными, как вредительство.</w:t>
      </w:r>
    </w:p>
    <w:p w14:paraId="346D8696"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Отвечать на вопросы т. </w:t>
      </w:r>
      <w:proofErr w:type="spellStart"/>
      <w:r w:rsidRPr="00A259BD">
        <w:rPr>
          <w:color w:val="000000" w:themeColor="text1"/>
          <w:sz w:val="16"/>
          <w:szCs w:val="16"/>
        </w:rPr>
        <w:t>Павлуновского</w:t>
      </w:r>
      <w:proofErr w:type="spellEnd"/>
      <w:r w:rsidRPr="00A259BD">
        <w:rPr>
          <w:color w:val="000000" w:themeColor="text1"/>
          <w:sz w:val="16"/>
          <w:szCs w:val="16"/>
        </w:rPr>
        <w:t>, изложенные в письме т. Орджоникидзе, являющиеся повторением прошлых вопросов, но подкрепленных еще не анализом и объективностью, а руганью, и на которые мы уже ответили, не находим возможным. Нашим ответам теперь не может быть веры.</w:t>
      </w:r>
    </w:p>
    <w:p w14:paraId="68D0F298"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Мы просим — пусть начальник вооружений т. </w:t>
      </w:r>
      <w:hyperlink r:id="rId332" w:history="1">
        <w:r w:rsidRPr="00A259BD">
          <w:rPr>
            <w:color w:val="000000" w:themeColor="text1"/>
            <w:sz w:val="16"/>
            <w:szCs w:val="16"/>
          </w:rPr>
          <w:t>Уборевич</w:t>
        </w:r>
      </w:hyperlink>
      <w:r w:rsidRPr="00A259BD">
        <w:rPr>
          <w:color w:val="000000" w:themeColor="text1"/>
          <w:sz w:val="16"/>
          <w:szCs w:val="16"/>
        </w:rPr>
        <w:t xml:space="preserve">, детально ознакомившись с положением АУ и вооружением в РККА, беспристрастно доложит Вам обстановку и положение до 5 мая 1925 г. и на 1 декабря 1929 г. Ведь т. Уборевич с первого же дня своего назначения имеет возможность выехать на полигон испытывать и проверять вновь изготовленные за последние три года образцы вооружения, а некоторые изготовленные уже валовым способом, а не спешить спасать </w:t>
      </w:r>
      <w:r w:rsidRPr="00A259BD">
        <w:rPr>
          <w:color w:val="000000" w:themeColor="text1"/>
          <w:sz w:val="16"/>
          <w:szCs w:val="16"/>
        </w:rPr>
        <w:lastRenderedPageBreak/>
        <w:t>катастрофическое положение, что имело место в 1925 г. с имуществом, оставшимся после империалистической и гражданской войны, разбросанным по всей территории СССР и хранившимся в то время под открытым небом.</w:t>
      </w:r>
    </w:p>
    <w:p w14:paraId="32F7A3B6"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 xml:space="preserve">На 5 мая </w:t>
      </w:r>
      <w:proofErr w:type="spellStart"/>
      <w:r w:rsidRPr="00A259BD">
        <w:rPr>
          <w:color w:val="000000" w:themeColor="text1"/>
          <w:sz w:val="16"/>
          <w:szCs w:val="16"/>
        </w:rPr>
        <w:t>начснаб</w:t>
      </w:r>
      <w:proofErr w:type="spellEnd"/>
      <w:r w:rsidRPr="00A259BD">
        <w:rPr>
          <w:color w:val="000000" w:themeColor="text1"/>
          <w:sz w:val="16"/>
          <w:szCs w:val="16"/>
        </w:rPr>
        <w:t xml:space="preserve"> Оськин («его доклад хранится в делах Реввоенсовета») характеризует катастрофу с вооружением, об этом писались доклады в 1926 г., в 1927 г. и до последнего момента указывалось на отсутствие плана вооружения, который утвержден Реввоенсоветом только в 1929 г., отсутствие конструкторских сил и нежелание изготавливать²*, по вполне понятным теперь причинам, промышленности опытные образцы вновь сконструированных образцов вооружения.</w:t>
      </w:r>
    </w:p>
    <w:p w14:paraId="61504592"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Ведь в 1925 г. на конструкторскую работу и изобретательство, а также заказы опытных образцов было ассигновано всего лишь 100 тыс. руб., а в 1929/30 г. на ту же работу — около 4 млн. руб. плюс иностранная помощь. Было ли то внимание со стороны правительственных органов к вооружению, которое проявлено сегодня? Могло ли правительство в 1926 и 1927 гг. ассигновать те средства, которые даются сегодня?</w:t>
      </w:r>
    </w:p>
    <w:p w14:paraId="5F89E4AE"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 xml:space="preserve">Но если вредительство в АУ было с 1918 г. и им руководила одна и та же группа спецов, то ведь до 1926 г. как для принятия на вооружение, так и опытных образцов не было и в помине, за исключением недоработанного пулемета Дегтярева; не было никакой установки в системе вооружения и даже каких-либо проектов или разговоров о модернизации вооружения и конструировании новых систем. Но ведь с 1926 г. даже эти же вредители (участвовало в конструкторских работах всего 8 чел.³*: Лендер и Соколов — по материальной части артиллерии, </w:t>
      </w:r>
      <w:proofErr w:type="spellStart"/>
      <w:r w:rsidRPr="00A259BD">
        <w:rPr>
          <w:color w:val="000000" w:themeColor="text1"/>
          <w:sz w:val="16"/>
          <w:szCs w:val="16"/>
        </w:rPr>
        <w:t>Беркалов</w:t>
      </w:r>
      <w:proofErr w:type="spellEnd"/>
      <w:r w:rsidRPr="00A259BD">
        <w:rPr>
          <w:color w:val="000000" w:themeColor="text1"/>
          <w:sz w:val="16"/>
          <w:szCs w:val="16"/>
        </w:rPr>
        <w:t xml:space="preserve"> и </w:t>
      </w:r>
      <w:hyperlink r:id="rId333" w:history="1">
        <w:proofErr w:type="spellStart"/>
        <w:r w:rsidRPr="00A259BD">
          <w:rPr>
            <w:color w:val="000000" w:themeColor="text1"/>
            <w:sz w:val="16"/>
            <w:szCs w:val="16"/>
          </w:rPr>
          <w:t>Дзержкович</w:t>
        </w:r>
        <w:proofErr w:type="spellEnd"/>
      </w:hyperlink>
      <w:r w:rsidRPr="00A259BD">
        <w:rPr>
          <w:color w:val="000000" w:themeColor="text1"/>
          <w:sz w:val="16"/>
          <w:szCs w:val="16"/>
        </w:rPr>
        <w:t xml:space="preserve"> — по снарядам, Дмитриев — по трубкам, </w:t>
      </w:r>
      <w:proofErr w:type="spellStart"/>
      <w:r w:rsidRPr="00A259BD">
        <w:rPr>
          <w:color w:val="000000" w:themeColor="text1"/>
          <w:sz w:val="16"/>
          <w:szCs w:val="16"/>
        </w:rPr>
        <w:t>Дзержкович</w:t>
      </w:r>
      <w:proofErr w:type="spellEnd"/>
      <w:r w:rsidRPr="00A259BD">
        <w:rPr>
          <w:color w:val="000000" w:themeColor="text1"/>
          <w:sz w:val="16"/>
          <w:szCs w:val="16"/>
        </w:rPr>
        <w:t xml:space="preserve"> и </w:t>
      </w:r>
      <w:hyperlink r:id="rId334" w:history="1">
        <w:proofErr w:type="spellStart"/>
        <w:r w:rsidRPr="00A259BD">
          <w:rPr>
            <w:color w:val="000000" w:themeColor="text1"/>
            <w:sz w:val="16"/>
            <w:szCs w:val="16"/>
          </w:rPr>
          <w:t>Рдултовский</w:t>
        </w:r>
        <w:proofErr w:type="spellEnd"/>
      </w:hyperlink>
      <w:r w:rsidRPr="00A259BD">
        <w:rPr>
          <w:color w:val="000000" w:themeColor="text1"/>
          <w:sz w:val="16"/>
          <w:szCs w:val="16"/>
        </w:rPr>
        <w:t> — по взрывателям, Федоров, Дегтярев и Колесников — по ручному оружию и пулеметам) заставили работать. Пусть это даже двигалось медленно. Ведь все же на сегодняшний день десятки тысяч вагонов имущества, находившиеся под угрозой взрыва, приведены в порядок, рассортированы, полностью учтены и находятся теперь в таком техническом состоянии, которое позволяет использовать его для боевых целей; одновременно проведена полностью модернизация имевшейся материальной части артиллерии, ручного оружия и огнеприпасов, из коих часть уже изготавливается валовым порядком, а остальные испытываются и требуют заключения. Принят целый ряд новых предметов вооружения, как-то: полковая артиллерия, батальонная артиллерия, танки, 37</w:t>
      </w:r>
      <w:r w:rsidRPr="00A259BD">
        <w:rPr>
          <w:color w:val="000000" w:themeColor="text1"/>
          <w:sz w:val="16"/>
          <w:szCs w:val="16"/>
        </w:rPr>
        <w:noBreakHyphen/>
        <w:t>мм танковая пушка, бронемашины, оптика, новые виды (американского зерна) пороха, а также нитроглицериновые пороха, новые снаряды для дальнобойной стрельбы, взрыватели УГТ</w:t>
      </w:r>
      <w:r w:rsidRPr="00A259BD">
        <w:rPr>
          <w:color w:val="000000" w:themeColor="text1"/>
          <w:sz w:val="16"/>
          <w:szCs w:val="16"/>
        </w:rPr>
        <w:noBreakHyphen/>
        <w:t>2, РГ</w:t>
      </w:r>
      <w:r w:rsidRPr="00A259BD">
        <w:rPr>
          <w:color w:val="000000" w:themeColor="text1"/>
          <w:sz w:val="16"/>
          <w:szCs w:val="16"/>
        </w:rPr>
        <w:noBreakHyphen/>
        <w:t>4, УГТ</w:t>
      </w:r>
      <w:r w:rsidRPr="00A259BD">
        <w:rPr>
          <w:color w:val="000000" w:themeColor="text1"/>
          <w:sz w:val="16"/>
          <w:szCs w:val="16"/>
        </w:rPr>
        <w:noBreakHyphen/>
        <w:t xml:space="preserve">3, дистанционные трубки для зенитной стрельбы, испытываются ударно дистанционные трубки двойного действия, проведено </w:t>
      </w:r>
      <w:proofErr w:type="spellStart"/>
      <w:r w:rsidRPr="00A259BD">
        <w:rPr>
          <w:color w:val="000000" w:themeColor="text1"/>
          <w:sz w:val="16"/>
          <w:szCs w:val="16"/>
        </w:rPr>
        <w:t>суррогатирование</w:t>
      </w:r>
      <w:proofErr w:type="spellEnd"/>
      <w:r w:rsidRPr="00A259BD">
        <w:rPr>
          <w:color w:val="000000" w:themeColor="text1"/>
          <w:sz w:val="16"/>
          <w:szCs w:val="16"/>
        </w:rPr>
        <w:t xml:space="preserve"> (см. доклад т. Ворошилова о состоянии вооружения от 14 декабря 1929 г.). Как будто бы эти данные говорят обратное против утверждений т. </w:t>
      </w:r>
      <w:proofErr w:type="spellStart"/>
      <w:r w:rsidRPr="00A259BD">
        <w:rPr>
          <w:color w:val="000000" w:themeColor="text1"/>
          <w:sz w:val="16"/>
          <w:szCs w:val="16"/>
        </w:rPr>
        <w:t>Павлуновского</w:t>
      </w:r>
      <w:proofErr w:type="spellEnd"/>
      <w:r w:rsidRPr="00A259BD">
        <w:rPr>
          <w:color w:val="000000" w:themeColor="text1"/>
          <w:sz w:val="16"/>
          <w:szCs w:val="16"/>
        </w:rPr>
        <w:t>.</w:t>
      </w:r>
    </w:p>
    <w:p w14:paraId="4816BD9A"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 xml:space="preserve">Каждый год АУ давало задание IV Управлению Штаба РККА достать за границей образцы новых достижений, дать ясную картину того, что делается в области техники за границей (из АУ за границу ездил лишь только начальник полигона </w:t>
      </w:r>
      <w:hyperlink r:id="rId335" w:history="1">
        <w:proofErr w:type="spellStart"/>
        <w:r w:rsidRPr="00A259BD">
          <w:rPr>
            <w:color w:val="000000" w:themeColor="text1"/>
            <w:sz w:val="16"/>
            <w:szCs w:val="16"/>
          </w:rPr>
          <w:t>Беркалов</w:t>
        </w:r>
        <w:proofErr w:type="spellEnd"/>
      </w:hyperlink>
      <w:r w:rsidRPr="00A259BD">
        <w:rPr>
          <w:color w:val="000000" w:themeColor="text1"/>
          <w:sz w:val="16"/>
          <w:szCs w:val="16"/>
        </w:rPr>
        <w:t xml:space="preserve"> в 1928 г.). За 4,5 года АУ получило лишь образцы легких пулеметов </w:t>
      </w:r>
      <w:proofErr w:type="spellStart"/>
      <w:r w:rsidRPr="00A259BD">
        <w:rPr>
          <w:color w:val="000000" w:themeColor="text1"/>
          <w:sz w:val="16"/>
          <w:szCs w:val="16"/>
        </w:rPr>
        <w:t>Дрейзе</w:t>
      </w:r>
      <w:proofErr w:type="spellEnd"/>
      <w:r w:rsidRPr="00A259BD">
        <w:rPr>
          <w:color w:val="000000" w:themeColor="text1"/>
          <w:sz w:val="16"/>
          <w:szCs w:val="16"/>
        </w:rPr>
        <w:t xml:space="preserve"> и </w:t>
      </w:r>
      <w:proofErr w:type="spellStart"/>
      <w:r w:rsidRPr="00A259BD">
        <w:rPr>
          <w:color w:val="000000" w:themeColor="text1"/>
          <w:sz w:val="16"/>
          <w:szCs w:val="16"/>
        </w:rPr>
        <w:t>Матсона</w:t>
      </w:r>
      <w:proofErr w:type="spellEnd"/>
      <w:r w:rsidRPr="00A259BD">
        <w:rPr>
          <w:color w:val="000000" w:themeColor="text1"/>
          <w:sz w:val="16"/>
          <w:szCs w:val="16"/>
        </w:rPr>
        <w:t>.</w:t>
      </w:r>
    </w:p>
    <w:p w14:paraId="2B74A758"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Если на сегодня по нашему настоянию в Артиллерийском комитете и конструкторском бюро имеется 5</w:t>
      </w:r>
      <w:r w:rsidRPr="00A259BD">
        <w:rPr>
          <w:color w:val="000000" w:themeColor="text1"/>
          <w:sz w:val="16"/>
          <w:szCs w:val="16"/>
        </w:rPr>
        <w:noBreakHyphen/>
        <w:t>6 чел. приличных молодых конструкторов и около 12 чел., подготовленных для замены старых спецов, то к 1926 г. в АУ молодых инженеров не было ни одного. Ведь характернее всего состояние вооружения к 1925 г. показывает приказ о боевой подготовке артиллеристов — стрельбу производить из ровиков, дабы не поражать орудийную прислугу, — но уже с 1927 г. подобное положение было отменено. На рассортировку имущества и его учет было убито 2 года, а на приведение его в порядок в техническом отношении потребовалось 4 года. Не проделавши этой работы, мы на сегодня имели бы действительно разоруженную армию, но этого упорно не желает признавать т. </w:t>
      </w:r>
      <w:proofErr w:type="spellStart"/>
      <w:r w:rsidRPr="00A259BD">
        <w:rPr>
          <w:color w:val="000000" w:themeColor="text1"/>
          <w:sz w:val="16"/>
          <w:szCs w:val="16"/>
        </w:rPr>
        <w:t>Павлуновский</w:t>
      </w:r>
      <w:proofErr w:type="spellEnd"/>
      <w:r w:rsidRPr="00A259BD">
        <w:rPr>
          <w:color w:val="000000" w:themeColor="text1"/>
          <w:sz w:val="16"/>
          <w:szCs w:val="16"/>
        </w:rPr>
        <w:t>. Тов. </w:t>
      </w:r>
      <w:proofErr w:type="spellStart"/>
      <w:r w:rsidRPr="00A259BD">
        <w:rPr>
          <w:color w:val="000000" w:themeColor="text1"/>
          <w:sz w:val="16"/>
          <w:szCs w:val="16"/>
        </w:rPr>
        <w:t>Павлуновский</w:t>
      </w:r>
      <w:proofErr w:type="spellEnd"/>
      <w:r w:rsidRPr="00A259BD">
        <w:rPr>
          <w:color w:val="000000" w:themeColor="text1"/>
          <w:sz w:val="16"/>
          <w:szCs w:val="16"/>
        </w:rPr>
        <w:t xml:space="preserve"> упорно утверждает, что взрыватель МТ есть совершенство и что его срывали по вине АУ. Мы заявляем, что этот взрыватель является средством для поражения собственной артиллерии, его всеми мерами старался всунуть армии действительный вредитель </w:t>
      </w:r>
      <w:proofErr w:type="spellStart"/>
      <w:r w:rsidRPr="00A259BD">
        <w:rPr>
          <w:color w:val="000000" w:themeColor="text1"/>
          <w:sz w:val="16"/>
          <w:szCs w:val="16"/>
        </w:rPr>
        <w:t>Рдултовский</w:t>
      </w:r>
      <w:proofErr w:type="spellEnd"/>
      <w:r w:rsidRPr="00A259BD">
        <w:rPr>
          <w:color w:val="000000" w:themeColor="text1"/>
          <w:sz w:val="16"/>
          <w:szCs w:val="16"/>
        </w:rPr>
        <w:t>, который в данный момент, этот мерзавец, становится техническим консультантом.</w:t>
      </w:r>
    </w:p>
    <w:p w14:paraId="3544B21D"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Мы не отрицаем, что у нас были ошибки, промахи, но укажите со стороны кого и кто помогал АУ эти ошибки изживать. Ясность положения с вооружением и новыми системами как изготавливаемыми валовыми партиями, так и образцов может внести только беспристрастная оценка начальника вооружений т. Уборевича. Конечно, требования сегодняшнего дня к вооружению далеко перешагнули те же требования, но в 1925/26 г. и 1927 г. То, что сегодня и даже завтра изготовлено будет, может оказаться не только во время войны, но даже через те же 4,5 года устаревшими и не отвечающими новым требованиям. Техника прогрессирует с невероятной быстротой. На сегодняшний день ни одна армия капиталистических государств не рискнула полностью перевооружиться. Везде готовятся и испытываются новые образцы, годами совершенствуются, и лишь некоторые предметы приняты на вооружение, но и принятые на вооружение в дальнейшем совершенствуются.</w:t>
      </w:r>
    </w:p>
    <w:p w14:paraId="2771BF87"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Тогда, когда на сегодняшний день есть план вооружения РККА, когда установлены календарные сроки, для каждого ясно, что завтра нужно делать, и какие предъявлены требования к технике.</w:t>
      </w:r>
    </w:p>
    <w:p w14:paraId="51CD7256" w14:textId="77777777" w:rsidR="00FA3C51" w:rsidRPr="00A259BD" w:rsidRDefault="00000000" w:rsidP="009236E3">
      <w:pPr>
        <w:pStyle w:val="ae"/>
        <w:spacing w:before="0" w:after="0"/>
        <w:jc w:val="both"/>
        <w:rPr>
          <w:color w:val="000000" w:themeColor="text1"/>
          <w:sz w:val="16"/>
          <w:szCs w:val="16"/>
        </w:rPr>
      </w:pPr>
      <w:hyperlink r:id="rId336" w:history="1">
        <w:r w:rsidR="00FA3C51" w:rsidRPr="00A259BD">
          <w:rPr>
            <w:rStyle w:val="af0"/>
            <w:i w:val="0"/>
            <w:color w:val="000000" w:themeColor="text1"/>
            <w:sz w:val="16"/>
            <w:szCs w:val="16"/>
          </w:rPr>
          <w:t>Дыбенко</w:t>
        </w:r>
      </w:hyperlink>
    </w:p>
    <w:p w14:paraId="51A83458" w14:textId="77777777" w:rsidR="00FA3C51" w:rsidRPr="00A259BD" w:rsidRDefault="00000000" w:rsidP="009236E3">
      <w:pPr>
        <w:pStyle w:val="ae"/>
        <w:spacing w:before="0" w:after="0"/>
        <w:jc w:val="both"/>
        <w:rPr>
          <w:color w:val="000000" w:themeColor="text1"/>
          <w:sz w:val="16"/>
          <w:szCs w:val="16"/>
        </w:rPr>
      </w:pPr>
      <w:hyperlink r:id="rId337" w:history="1">
        <w:r w:rsidR="00FA3C51" w:rsidRPr="00A259BD">
          <w:rPr>
            <w:rStyle w:val="af0"/>
            <w:i w:val="0"/>
            <w:color w:val="000000" w:themeColor="text1"/>
            <w:sz w:val="16"/>
            <w:szCs w:val="16"/>
          </w:rPr>
          <w:t>Кулик</w:t>
        </w:r>
      </w:hyperlink>
    </w:p>
    <w:p w14:paraId="3CECEB69" w14:textId="77777777" w:rsidR="00FA3C51" w:rsidRPr="00A259BD" w:rsidRDefault="00FA3C51"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Примечания:</w:t>
      </w:r>
    </w:p>
    <w:p w14:paraId="680FF402" w14:textId="77777777" w:rsidR="00FA3C51" w:rsidRPr="00A259BD" w:rsidRDefault="00FA3C51" w:rsidP="009236E3">
      <w:pPr>
        <w:pStyle w:val="ae"/>
        <w:spacing w:before="0" w:after="0"/>
        <w:jc w:val="both"/>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Так в тексте.</w:t>
      </w:r>
    </w:p>
    <w:p w14:paraId="4710DAE6" w14:textId="77777777" w:rsidR="00FA3C51" w:rsidRPr="00A259BD" w:rsidRDefault="00FA3C51" w:rsidP="009236E3">
      <w:pPr>
        <w:pStyle w:val="ae"/>
        <w:spacing w:before="0" w:after="0"/>
        <w:jc w:val="both"/>
        <w:rPr>
          <w:color w:val="000000" w:themeColor="text1"/>
          <w:sz w:val="16"/>
          <w:szCs w:val="16"/>
        </w:rPr>
      </w:pPr>
      <w:r w:rsidRPr="00A259BD">
        <w:rPr>
          <w:color w:val="000000" w:themeColor="text1"/>
          <w:sz w:val="16"/>
          <w:szCs w:val="16"/>
          <w:vertAlign w:val="superscript"/>
        </w:rPr>
        <w:t>2</w:t>
      </w:r>
      <w:r w:rsidRPr="00A259BD">
        <w:rPr>
          <w:color w:val="000000" w:themeColor="text1"/>
          <w:sz w:val="16"/>
          <w:szCs w:val="16"/>
        </w:rPr>
        <w:t>* Слово впечатано над строкой.</w:t>
      </w:r>
    </w:p>
    <w:p w14:paraId="6CAA9227" w14:textId="77777777" w:rsidR="00FA3C51" w:rsidRPr="00A259BD" w:rsidRDefault="00FA3C51" w:rsidP="009236E3">
      <w:pPr>
        <w:pStyle w:val="ae"/>
        <w:spacing w:before="0" w:after="0"/>
        <w:jc w:val="both"/>
        <w:rPr>
          <w:color w:val="000000" w:themeColor="text1"/>
          <w:sz w:val="16"/>
          <w:szCs w:val="16"/>
        </w:rPr>
      </w:pPr>
      <w:r w:rsidRPr="00A259BD">
        <w:rPr>
          <w:color w:val="000000" w:themeColor="text1"/>
          <w:sz w:val="16"/>
          <w:szCs w:val="16"/>
          <w:vertAlign w:val="superscript"/>
        </w:rPr>
        <w:t>3</w:t>
      </w:r>
      <w:r w:rsidRPr="00A259BD">
        <w:rPr>
          <w:color w:val="000000" w:themeColor="text1"/>
          <w:sz w:val="16"/>
          <w:szCs w:val="16"/>
        </w:rPr>
        <w:t>* Так в тексте. На самом деле 9.</w:t>
      </w:r>
    </w:p>
    <w:p w14:paraId="66B5D1E2" w14:textId="77777777" w:rsidR="00FA3C51" w:rsidRPr="00A259BD" w:rsidRDefault="00FA3C51" w:rsidP="009236E3">
      <w:pPr>
        <w:pStyle w:val="ae"/>
        <w:spacing w:before="0" w:after="0"/>
        <w:jc w:val="both"/>
        <w:rPr>
          <w:color w:val="000000" w:themeColor="text1"/>
          <w:sz w:val="16"/>
          <w:szCs w:val="16"/>
        </w:rPr>
      </w:pPr>
      <w:r w:rsidRPr="00A259BD">
        <w:rPr>
          <w:color w:val="000000" w:themeColor="text1"/>
          <w:sz w:val="16"/>
          <w:szCs w:val="16"/>
        </w:rPr>
        <w:t>АП РФ. Ф. 3. Оп. 46. Д. 332. Л. 168-171. Подлинник.</w:t>
      </w:r>
    </w:p>
    <w:p w14:paraId="6841C4B5" w14:textId="77777777" w:rsidR="00FA3C51" w:rsidRPr="00A259BD" w:rsidRDefault="00FA3C5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АП РФ. Ф. 3. Оп. 46. Д. 332. Л. 168-171. Подлинник. </w:t>
      </w:r>
    </w:p>
    <w:p w14:paraId="3E244C64" w14:textId="77777777" w:rsidR="00FA3C51" w:rsidRPr="00A259BD" w:rsidRDefault="00FA3C5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397-399 (12485).</w:t>
      </w:r>
    </w:p>
    <w:p w14:paraId="11935CBE" w14:textId="77777777" w:rsidR="00FA3C51" w:rsidRPr="00A259BD" w:rsidRDefault="00FA3C51" w:rsidP="009236E3">
      <w:pPr>
        <w:spacing w:after="0" w:line="240" w:lineRule="auto"/>
        <w:jc w:val="both"/>
        <w:rPr>
          <w:rFonts w:ascii="Times New Roman" w:hAnsi="Times New Roman"/>
          <w:color w:val="000000" w:themeColor="text1"/>
          <w:sz w:val="16"/>
          <w:szCs w:val="16"/>
        </w:rPr>
      </w:pPr>
    </w:p>
    <w:p w14:paraId="5D599247" w14:textId="77777777" w:rsidR="00FA3C51" w:rsidRPr="00A259BD" w:rsidRDefault="00FA3C5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декабря 1929 г. — Из протокола заседания рабочей комиссии Постоянного мобилизационного совещания при Президиуме ВСНХ СССР по разработке пятилетнего плана развития оптических производств</w:t>
      </w:r>
    </w:p>
    <w:p w14:paraId="504DA2E8" w14:textId="77777777" w:rsidR="00FA3C51" w:rsidRPr="00A259BD" w:rsidRDefault="00FA3C5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протокола заседания рабочей комиссии Постоянного мобилизационного совещания при Президиуме ВСНХ СССР по разработке пятилетнего плана развития оптических производств</w:t>
      </w:r>
    </w:p>
    <w:p w14:paraId="4D6F7473" w14:textId="77777777" w:rsidR="00FA3C51" w:rsidRPr="00A259BD" w:rsidRDefault="00FA3C51"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25 декабря 1929 г.</w:t>
      </w:r>
    </w:p>
    <w:p w14:paraId="47D33545" w14:textId="77777777" w:rsidR="00FA3C51" w:rsidRPr="00A259BD" w:rsidRDefault="00FA3C51" w:rsidP="009236E3">
      <w:pPr>
        <w:spacing w:after="0" w:line="240" w:lineRule="auto"/>
        <w:jc w:val="both"/>
        <w:rPr>
          <w:rFonts w:ascii="Times New Roman" w:hAnsi="Times New Roman"/>
          <w:color w:val="000000" w:themeColor="text1"/>
          <w:sz w:val="16"/>
          <w:szCs w:val="16"/>
        </w:rPr>
      </w:pPr>
      <w:r w:rsidRPr="00A259BD">
        <w:rPr>
          <w:rStyle w:val="af0"/>
          <w:rFonts w:ascii="Times New Roman" w:hAnsi="Times New Roman"/>
          <w:i w:val="0"/>
          <w:color w:val="000000" w:themeColor="text1"/>
          <w:sz w:val="16"/>
          <w:szCs w:val="16"/>
        </w:rPr>
        <w:t>Совершенно секретно.</w:t>
      </w:r>
    </w:p>
    <w:p w14:paraId="0CAF7B93" w14:textId="77777777" w:rsidR="00FA3C51" w:rsidRPr="00A259BD" w:rsidRDefault="00FA3C51" w:rsidP="009236E3">
      <w:pPr>
        <w:pStyle w:val="rtejustify"/>
        <w:spacing w:before="0" w:after="0"/>
        <w:rPr>
          <w:color w:val="000000" w:themeColor="text1"/>
          <w:sz w:val="16"/>
          <w:szCs w:val="16"/>
        </w:rPr>
      </w:pPr>
      <w:r w:rsidRPr="00A259BD">
        <w:rPr>
          <w:rStyle w:val="af0"/>
          <w:i w:val="0"/>
          <w:color w:val="000000" w:themeColor="text1"/>
          <w:sz w:val="16"/>
          <w:szCs w:val="16"/>
        </w:rPr>
        <w:t>Слушали</w:t>
      </w:r>
      <w:r w:rsidRPr="00A259BD">
        <w:rPr>
          <w:color w:val="000000" w:themeColor="text1"/>
          <w:sz w:val="16"/>
          <w:szCs w:val="16"/>
        </w:rPr>
        <w:t>: доклад комиссии по оптическим производствам.</w:t>
      </w:r>
    </w:p>
    <w:p w14:paraId="43247245" w14:textId="77777777" w:rsidR="00FA3C51" w:rsidRPr="00A259BD" w:rsidRDefault="00FA3C51" w:rsidP="009236E3">
      <w:pPr>
        <w:pStyle w:val="rtejustify"/>
        <w:spacing w:before="0" w:after="0"/>
        <w:rPr>
          <w:color w:val="000000" w:themeColor="text1"/>
          <w:sz w:val="16"/>
          <w:szCs w:val="16"/>
        </w:rPr>
      </w:pPr>
      <w:r w:rsidRPr="00A259BD">
        <w:rPr>
          <w:rStyle w:val="af0"/>
          <w:i w:val="0"/>
          <w:color w:val="000000" w:themeColor="text1"/>
          <w:sz w:val="16"/>
          <w:szCs w:val="16"/>
        </w:rPr>
        <w:t>Постановили:</w:t>
      </w:r>
      <w:r w:rsidRPr="00A259BD">
        <w:rPr>
          <w:color w:val="000000" w:themeColor="text1"/>
          <w:sz w:val="16"/>
          <w:szCs w:val="16"/>
        </w:rPr>
        <w:t xml:space="preserve"> 1. Предложить комиссии включить в свой план работ систему мероприятий по обеспечению моб[</w:t>
      </w:r>
      <w:proofErr w:type="spellStart"/>
      <w:r w:rsidRPr="00A259BD">
        <w:rPr>
          <w:color w:val="000000" w:themeColor="text1"/>
          <w:sz w:val="16"/>
          <w:szCs w:val="16"/>
        </w:rPr>
        <w:t>илизационной</w:t>
      </w:r>
      <w:proofErr w:type="spellEnd"/>
      <w:r w:rsidRPr="00A259BD">
        <w:rPr>
          <w:color w:val="000000" w:themeColor="text1"/>
          <w:sz w:val="16"/>
          <w:szCs w:val="16"/>
        </w:rPr>
        <w:t>] готовой оптической промышленности и самой мобилизации таковой.</w:t>
      </w:r>
    </w:p>
    <w:p w14:paraId="68409FEC"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2. Комиссии предусмотреть вопрос географического районирования оптических заводов и дублирования уникальных производств, одновременно учтя необходимость максимального использования возможностей ленинградских заводов¹*.</w:t>
      </w:r>
    </w:p>
    <w:p w14:paraId="12441F4B"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3. Комиссии учесть в своем плане необходимость освещения вопросов о привлечении иностранной технической помощи как в виде привлечения иностранных специалистов, так и в форме помощи по установке новых производств.</w:t>
      </w:r>
    </w:p>
    <w:p w14:paraId="5A712BB4"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4. Комиссии предусмотреть в плане вопрос об улучшении качества оптической продукции и, в частности, о лучшем качестве арматуры для изделий по военной оптике.</w:t>
      </w:r>
    </w:p>
    <w:p w14:paraId="42A67FB8"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5. В своей работе комиссии исходить из того обстоятельства, что требования вооруженных сил, сформулированные в настоящий момент в заявке Наркомвоенмора, не могут считаться предельными в пятилетней перспективе, поскольку в размере этих требований отразилось недостаточное развитие оптической промышленности. Развитие оптической промышленности, создавая в мирное время широкий рынок для потребления оптической продукции, одновременно стимулирует рост требований вооруженных сил. В связи с этим возможности удовлетворения военных потребностей к концу пятилетки должны быть значительно выше, чем это требуется по заявке Наркомвоенмора, и должны определяться общим уровнем производственных возможностей оптической промышленности.</w:t>
      </w:r>
    </w:p>
    <w:p w14:paraId="087E7BD5"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6. Указать комиссии, что все оптические производства мирного назначения должны проектироваться и развиваться таким образом, чтобы они могли быть, в случае необходимости, использованы для нужд обороны как непосредственно в форме отчуждения соответствующей продукции, так и путем обеспечения возможности перестройки мирных производств для производства военных изделий.</w:t>
      </w:r>
    </w:p>
    <w:p w14:paraId="77614084"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7. Считать, что одним из решающих факторов, определяющих возможность широкого применения оптической продукции в армии, является значительное ее удешевление, которое должно быть предусмотрено в пятилетием плане.</w:t>
      </w:r>
    </w:p>
    <w:p w14:paraId="68F4F340"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8. Принять к сведению заявление т. </w:t>
      </w:r>
      <w:proofErr w:type="spellStart"/>
      <w:r w:rsidRPr="00A259BD">
        <w:rPr>
          <w:color w:val="000000" w:themeColor="text1"/>
          <w:sz w:val="16"/>
          <w:szCs w:val="16"/>
        </w:rPr>
        <w:t>Саркена</w:t>
      </w:r>
      <w:proofErr w:type="spellEnd"/>
      <w:r w:rsidRPr="00A259BD">
        <w:rPr>
          <w:color w:val="000000" w:themeColor="text1"/>
          <w:sz w:val="16"/>
          <w:szCs w:val="16"/>
        </w:rPr>
        <w:t xml:space="preserve"> о том, что комиссия предусматривает детальную разработку вопроса об обеспечении оптических производств кадрами высококвалифицированной рабочей силы и технического персонала и что будет представлен детальный план подготовки таковых кадров.</w:t>
      </w:r>
    </w:p>
    <w:p w14:paraId="1824BC4A"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9. Считать необходимым организовать научно-исследовательскую и конструкторскую работу по военной оптике и построить ее с таким расчетом, чтобы было обеспечено совершенствование военной техники не только на базе имеющихся требований Наркомвоенмора, но и на основе предложений, выдвигаемых самой оптической промышленностью. Для этой цели в организации технических и конструкторских органов следует предусмотреть тесную связь работы этих органов с военными научными организациями.</w:t>
      </w:r>
    </w:p>
    <w:p w14:paraId="545814C9"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10. Организация научно-исследовательских и конструкторских органов должна предусмотреть и организацию опытных и новых производств.</w:t>
      </w:r>
    </w:p>
    <w:p w14:paraId="52223BCF"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11. Указать комиссии на необходимость одновременно со специализацией заводов по мирной и военной продукции определить и удельный вес каждого из этих заводов с точки зрения превалирования военной или мирной оптики (наметить кадровые заводы и специальные ячейки на мирных заводах).</w:t>
      </w:r>
    </w:p>
    <w:p w14:paraId="065D5768"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12. Считать необходимым сократить на 1 месяц срок работ комиссии, просить т. </w:t>
      </w:r>
      <w:proofErr w:type="spellStart"/>
      <w:r w:rsidRPr="00A259BD">
        <w:rPr>
          <w:color w:val="000000" w:themeColor="text1"/>
          <w:sz w:val="16"/>
          <w:szCs w:val="16"/>
        </w:rPr>
        <w:t>Саркена</w:t>
      </w:r>
      <w:proofErr w:type="spellEnd"/>
      <w:r w:rsidRPr="00A259BD">
        <w:rPr>
          <w:color w:val="000000" w:themeColor="text1"/>
          <w:sz w:val="16"/>
          <w:szCs w:val="16"/>
        </w:rPr>
        <w:t xml:space="preserve"> в соответствии с этим перестроить план работ, указать комиссии, что некоторые работы могут продолжаться исполнением и после представления доклада по пятилетнему плану.</w:t>
      </w:r>
    </w:p>
    <w:p w14:paraId="45EEF724"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lastRenderedPageBreak/>
        <w:t xml:space="preserve">13. В отношении обеспечения комиссии денежными средствами наметить отпуск средств на оплату докладов и консультаций, а также на оплату командировок в Ленинград и Изюм. В отношении оплаты работников комиссий, поскольку они являются работниками аппаратов трестов </w:t>
      </w:r>
      <w:proofErr w:type="spellStart"/>
      <w:r w:rsidRPr="00A259BD">
        <w:rPr>
          <w:color w:val="000000" w:themeColor="text1"/>
          <w:sz w:val="16"/>
          <w:szCs w:val="16"/>
        </w:rPr>
        <w:t>Точмеха</w:t>
      </w:r>
      <w:proofErr w:type="spellEnd"/>
      <w:r w:rsidRPr="00A259BD">
        <w:rPr>
          <w:color w:val="000000" w:themeColor="text1"/>
          <w:sz w:val="16"/>
          <w:szCs w:val="16"/>
        </w:rPr>
        <w:t xml:space="preserve"> и Оптического, предусмотреть последующую их оплату по окончании работ.</w:t>
      </w:r>
    </w:p>
    <w:p w14:paraId="7B8BE90E"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14. Через 10 дней заслушать на заседании р[</w:t>
      </w:r>
      <w:proofErr w:type="spellStart"/>
      <w:r w:rsidRPr="00A259BD">
        <w:rPr>
          <w:color w:val="000000" w:themeColor="text1"/>
          <w:sz w:val="16"/>
          <w:szCs w:val="16"/>
        </w:rPr>
        <w:t>абочей</w:t>
      </w:r>
      <w:proofErr w:type="spellEnd"/>
      <w:r w:rsidRPr="00A259BD">
        <w:rPr>
          <w:color w:val="000000" w:themeColor="text1"/>
          <w:sz w:val="16"/>
          <w:szCs w:val="16"/>
        </w:rPr>
        <w:t>] к[</w:t>
      </w:r>
      <w:proofErr w:type="spellStart"/>
      <w:r w:rsidRPr="00A259BD">
        <w:rPr>
          <w:color w:val="000000" w:themeColor="text1"/>
          <w:sz w:val="16"/>
          <w:szCs w:val="16"/>
        </w:rPr>
        <w:t>омиссии</w:t>
      </w:r>
      <w:proofErr w:type="spellEnd"/>
      <w:r w:rsidRPr="00A259BD">
        <w:rPr>
          <w:color w:val="000000" w:themeColor="text1"/>
          <w:sz w:val="16"/>
          <w:szCs w:val="16"/>
        </w:rPr>
        <w:t>] доклад т. </w:t>
      </w:r>
      <w:proofErr w:type="spellStart"/>
      <w:r w:rsidRPr="00A259BD">
        <w:rPr>
          <w:color w:val="000000" w:themeColor="text1"/>
          <w:sz w:val="16"/>
          <w:szCs w:val="16"/>
        </w:rPr>
        <w:t>Саркена</w:t>
      </w:r>
      <w:proofErr w:type="spellEnd"/>
      <w:r w:rsidRPr="00A259BD">
        <w:rPr>
          <w:color w:val="000000" w:themeColor="text1"/>
          <w:sz w:val="16"/>
          <w:szCs w:val="16"/>
        </w:rPr>
        <w:t xml:space="preserve"> о </w:t>
      </w:r>
      <w:proofErr w:type="spellStart"/>
      <w:r w:rsidRPr="00A259BD">
        <w:rPr>
          <w:color w:val="000000" w:themeColor="text1"/>
          <w:sz w:val="16"/>
          <w:szCs w:val="16"/>
        </w:rPr>
        <w:t>дальномеростроении</w:t>
      </w:r>
      <w:proofErr w:type="spellEnd"/>
      <w:r w:rsidRPr="00A259BD">
        <w:rPr>
          <w:color w:val="000000" w:themeColor="text1"/>
          <w:sz w:val="16"/>
          <w:szCs w:val="16"/>
        </w:rPr>
        <w:t>, поручить 3</w:t>
      </w:r>
      <w:r w:rsidRPr="00A259BD">
        <w:rPr>
          <w:color w:val="000000" w:themeColor="text1"/>
          <w:sz w:val="16"/>
          <w:szCs w:val="16"/>
        </w:rPr>
        <w:noBreakHyphen/>
        <w:t xml:space="preserve">му отделу МПУ устранить организационные затруднения, связанные с прохождением доклада о </w:t>
      </w:r>
      <w:proofErr w:type="spellStart"/>
      <w:r w:rsidRPr="00A259BD">
        <w:rPr>
          <w:color w:val="000000" w:themeColor="text1"/>
          <w:sz w:val="16"/>
          <w:szCs w:val="16"/>
        </w:rPr>
        <w:t>дальномеростроении</w:t>
      </w:r>
      <w:proofErr w:type="spellEnd"/>
      <w:r w:rsidRPr="00A259BD">
        <w:rPr>
          <w:color w:val="000000" w:themeColor="text1"/>
          <w:sz w:val="16"/>
          <w:szCs w:val="16"/>
        </w:rPr>
        <w:t>.</w:t>
      </w:r>
    </w:p>
    <w:p w14:paraId="4178BB24"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15. Тов. </w:t>
      </w:r>
      <w:proofErr w:type="spellStart"/>
      <w:r w:rsidRPr="00A259BD">
        <w:rPr>
          <w:color w:val="000000" w:themeColor="text1"/>
          <w:sz w:val="16"/>
          <w:szCs w:val="16"/>
        </w:rPr>
        <w:t>Саркену</w:t>
      </w:r>
      <w:proofErr w:type="spellEnd"/>
      <w:r w:rsidRPr="00A259BD">
        <w:rPr>
          <w:color w:val="000000" w:themeColor="text1"/>
          <w:sz w:val="16"/>
          <w:szCs w:val="16"/>
        </w:rPr>
        <w:t xml:space="preserve"> представить календарное расписание последующих докладов оптической комиссии.</w:t>
      </w:r>
    </w:p>
    <w:p w14:paraId="4FB03410" w14:textId="77777777" w:rsidR="00FA3C51" w:rsidRPr="00A259BD" w:rsidRDefault="00FA3C51" w:rsidP="009236E3">
      <w:pPr>
        <w:pStyle w:val="rtejustify"/>
        <w:spacing w:before="0" w:after="0"/>
        <w:rPr>
          <w:color w:val="000000" w:themeColor="text1"/>
          <w:sz w:val="16"/>
          <w:szCs w:val="16"/>
        </w:rPr>
      </w:pPr>
      <w:r w:rsidRPr="00A259BD">
        <w:rPr>
          <w:color w:val="000000" w:themeColor="text1"/>
          <w:sz w:val="16"/>
          <w:szCs w:val="16"/>
        </w:rPr>
        <w:t xml:space="preserve">16. МПУ специальным письмом просить председателя треста </w:t>
      </w:r>
      <w:proofErr w:type="spellStart"/>
      <w:r w:rsidRPr="00A259BD">
        <w:rPr>
          <w:color w:val="000000" w:themeColor="text1"/>
          <w:sz w:val="16"/>
          <w:szCs w:val="16"/>
        </w:rPr>
        <w:t>Точмех</w:t>
      </w:r>
      <w:proofErr w:type="spellEnd"/>
      <w:r w:rsidRPr="00A259BD">
        <w:rPr>
          <w:color w:val="000000" w:themeColor="text1"/>
          <w:sz w:val="16"/>
          <w:szCs w:val="16"/>
        </w:rPr>
        <w:t xml:space="preserve"> обеспечить т. </w:t>
      </w:r>
      <w:proofErr w:type="spellStart"/>
      <w:r w:rsidRPr="00A259BD">
        <w:rPr>
          <w:color w:val="000000" w:themeColor="text1"/>
          <w:sz w:val="16"/>
          <w:szCs w:val="16"/>
        </w:rPr>
        <w:t>Саркену</w:t>
      </w:r>
      <w:proofErr w:type="spellEnd"/>
      <w:r w:rsidRPr="00A259BD">
        <w:rPr>
          <w:color w:val="000000" w:themeColor="text1"/>
          <w:sz w:val="16"/>
          <w:szCs w:val="16"/>
        </w:rPr>
        <w:t xml:space="preserve"> возможность интенсивной работы по разработке пятилетки оптических производств.</w:t>
      </w:r>
    </w:p>
    <w:p w14:paraId="35CA1770" w14:textId="77777777" w:rsidR="00FA3C51" w:rsidRPr="00A259BD" w:rsidRDefault="00FA3C51" w:rsidP="009236E3">
      <w:pPr>
        <w:pStyle w:val="ae"/>
        <w:spacing w:before="0" w:after="0"/>
        <w:jc w:val="both"/>
        <w:rPr>
          <w:color w:val="000000" w:themeColor="text1"/>
          <w:sz w:val="16"/>
          <w:szCs w:val="16"/>
        </w:rPr>
      </w:pPr>
      <w:r w:rsidRPr="00A259BD">
        <w:rPr>
          <w:rStyle w:val="af0"/>
          <w:i w:val="0"/>
          <w:color w:val="000000" w:themeColor="text1"/>
          <w:sz w:val="16"/>
          <w:szCs w:val="16"/>
        </w:rPr>
        <w:t xml:space="preserve">Председатель рабочей комиссии ПМС </w:t>
      </w:r>
      <w:hyperlink r:id="rId338" w:history="1">
        <w:r w:rsidRPr="00A259BD">
          <w:rPr>
            <w:rStyle w:val="af0"/>
            <w:i w:val="0"/>
            <w:color w:val="000000" w:themeColor="text1"/>
            <w:sz w:val="16"/>
            <w:szCs w:val="16"/>
          </w:rPr>
          <w:t>Шпекторов</w:t>
        </w:r>
      </w:hyperlink>
    </w:p>
    <w:p w14:paraId="24F2046C" w14:textId="77777777" w:rsidR="00FA3C51" w:rsidRPr="00A259BD" w:rsidRDefault="00FA3C51" w:rsidP="009236E3">
      <w:pPr>
        <w:pStyle w:val="ae"/>
        <w:spacing w:before="0" w:after="0"/>
        <w:jc w:val="both"/>
        <w:rPr>
          <w:color w:val="000000" w:themeColor="text1"/>
          <w:sz w:val="16"/>
          <w:szCs w:val="16"/>
        </w:rPr>
      </w:pPr>
      <w:r w:rsidRPr="00A259BD">
        <w:rPr>
          <w:rStyle w:val="af0"/>
          <w:i w:val="0"/>
          <w:color w:val="000000" w:themeColor="text1"/>
          <w:sz w:val="16"/>
          <w:szCs w:val="16"/>
        </w:rPr>
        <w:t>Примечание</w:t>
      </w:r>
      <w:r w:rsidRPr="00A259BD">
        <w:rPr>
          <w:color w:val="000000" w:themeColor="text1"/>
          <w:sz w:val="16"/>
          <w:szCs w:val="16"/>
        </w:rPr>
        <w:t>:</w:t>
      </w:r>
    </w:p>
    <w:p w14:paraId="73A069D0" w14:textId="77777777" w:rsidR="00FA3C51" w:rsidRPr="00A259BD" w:rsidRDefault="00FA3C51" w:rsidP="009236E3">
      <w:pPr>
        <w:pStyle w:val="ae"/>
        <w:spacing w:before="0" w:after="0"/>
        <w:jc w:val="both"/>
        <w:rPr>
          <w:color w:val="000000" w:themeColor="text1"/>
          <w:sz w:val="16"/>
          <w:szCs w:val="16"/>
        </w:rPr>
      </w:pPr>
      <w:r w:rsidRPr="00A259BD">
        <w:rPr>
          <w:color w:val="000000" w:themeColor="text1"/>
          <w:sz w:val="16"/>
          <w:szCs w:val="16"/>
          <w:vertAlign w:val="superscript"/>
        </w:rPr>
        <w:t>1</w:t>
      </w:r>
      <w:r w:rsidRPr="00A259BD">
        <w:rPr>
          <w:color w:val="000000" w:themeColor="text1"/>
          <w:sz w:val="16"/>
          <w:szCs w:val="16"/>
        </w:rPr>
        <w:t>* Со слова “одновременно” предложение дописано от руки.</w:t>
      </w:r>
    </w:p>
    <w:p w14:paraId="6C0854CF" w14:textId="77777777" w:rsidR="00FA3C51" w:rsidRPr="00A259BD" w:rsidRDefault="00FA3C51" w:rsidP="009236E3">
      <w:pPr>
        <w:pStyle w:val="ae"/>
        <w:spacing w:before="0" w:after="0"/>
        <w:jc w:val="both"/>
        <w:rPr>
          <w:color w:val="000000" w:themeColor="text1"/>
          <w:sz w:val="16"/>
          <w:szCs w:val="16"/>
        </w:rPr>
      </w:pPr>
      <w:r w:rsidRPr="00A259BD">
        <w:rPr>
          <w:color w:val="000000" w:themeColor="text1"/>
          <w:sz w:val="16"/>
          <w:szCs w:val="16"/>
        </w:rPr>
        <w:t>РГАЭ. Ф. 4372. Оп. 91. Д. 388. Л. 6—5. Заверенная копия.</w:t>
      </w:r>
    </w:p>
    <w:p w14:paraId="16AA79F8" w14:textId="77777777" w:rsidR="00FA3C51" w:rsidRPr="00A259BD" w:rsidRDefault="00FA3C5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Архив: РГАЭ. Ф. 4372. Оп. 91. Д. 388. Л. 6—5. Заверенная копия. </w:t>
      </w:r>
    </w:p>
    <w:p w14:paraId="2515E0CF" w14:textId="77777777" w:rsidR="00FA3C51" w:rsidRPr="00A259BD" w:rsidRDefault="00FA3C5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Источник: Становление оборонно-промышленного комплекса СССР (1927-1932). М. 2008, стр. 395-397 (12484).</w:t>
      </w:r>
    </w:p>
    <w:p w14:paraId="535E2423" w14:textId="77777777" w:rsidR="00FA3C51" w:rsidRPr="00A259BD" w:rsidRDefault="00FA3C51" w:rsidP="009236E3">
      <w:pPr>
        <w:spacing w:after="0" w:line="240" w:lineRule="auto"/>
        <w:jc w:val="both"/>
        <w:rPr>
          <w:rFonts w:ascii="Times New Roman" w:hAnsi="Times New Roman"/>
          <w:color w:val="000000" w:themeColor="text1"/>
          <w:sz w:val="16"/>
          <w:szCs w:val="16"/>
        </w:rPr>
      </w:pPr>
    </w:p>
    <w:p w14:paraId="56BCADF8" w14:textId="77777777" w:rsidR="008856F3" w:rsidRPr="00A259BD" w:rsidRDefault="008856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декабря 1929 состоялось заседание ПБ (Протокол № 111. Особый № 109)</w:t>
      </w:r>
    </w:p>
    <w:p w14:paraId="1F6AEA6C" w14:textId="77777777" w:rsidR="008856F3" w:rsidRPr="00A259BD" w:rsidRDefault="008856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ЗАСЕДАНИЯ ПОЛИТБЮРО ЦК ВКП(б) от 25-го ДЕКАБРЯ 192$ ГОДА. (Особый X )</w:t>
      </w:r>
    </w:p>
    <w:p w14:paraId="63AFF737" w14:textId="77777777" w:rsidR="008856F3" w:rsidRPr="00A259BD" w:rsidRDefault="008856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 О привлечении технической помощи Макки к сооружению Магнитогорского завода.</w:t>
      </w:r>
    </w:p>
    <w:p w14:paraId="70ABEBD8" w14:textId="77777777" w:rsidR="008856F3" w:rsidRPr="00A259BD" w:rsidRDefault="008856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Куйбыщев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Межлаук</w:t>
      </w:r>
      <w:proofErr w:type="spellEnd"/>
      <w:r w:rsidRPr="00A259BD">
        <w:rPr>
          <w:rFonts w:ascii="Times New Roman" w:hAnsi="Times New Roman"/>
          <w:color w:val="000000" w:themeColor="text1"/>
          <w:sz w:val="16"/>
          <w:szCs w:val="16"/>
        </w:rPr>
        <w:t>, Косиор Л.).</w:t>
      </w:r>
    </w:p>
    <w:p w14:paraId="0E83A8C5" w14:textId="77777777" w:rsidR="008856F3" w:rsidRPr="00A259BD" w:rsidRDefault="008856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Разрешить ВСНХ заключить договор с Макки о техниче</w:t>
      </w:r>
      <w:r w:rsidRPr="00A259BD">
        <w:rPr>
          <w:rFonts w:ascii="Times New Roman" w:hAnsi="Times New Roman"/>
          <w:color w:val="000000" w:themeColor="text1"/>
          <w:sz w:val="16"/>
          <w:szCs w:val="16"/>
        </w:rPr>
        <w:softHyphen/>
        <w:t xml:space="preserve">ской </w:t>
      </w:r>
      <w:proofErr w:type="spellStart"/>
      <w:r w:rsidRPr="00A259BD">
        <w:rPr>
          <w:rFonts w:ascii="Times New Roman" w:hAnsi="Times New Roman"/>
          <w:color w:val="000000" w:themeColor="text1"/>
          <w:sz w:val="16"/>
          <w:szCs w:val="16"/>
        </w:rPr>
        <w:t>помоши</w:t>
      </w:r>
      <w:proofErr w:type="spellEnd"/>
      <w:r w:rsidRPr="00A259BD">
        <w:rPr>
          <w:rFonts w:ascii="Times New Roman" w:hAnsi="Times New Roman"/>
          <w:color w:val="000000" w:themeColor="text1"/>
          <w:sz w:val="16"/>
          <w:szCs w:val="16"/>
        </w:rPr>
        <w:t xml:space="preserve"> по постройке и пуску в ход Магнитогорского за</w:t>
      </w:r>
      <w:r w:rsidRPr="00A259BD">
        <w:rPr>
          <w:rFonts w:ascii="Times New Roman" w:hAnsi="Times New Roman"/>
          <w:color w:val="000000" w:themeColor="text1"/>
          <w:sz w:val="16"/>
          <w:szCs w:val="16"/>
        </w:rPr>
        <w:softHyphen/>
        <w:t>вода.</w:t>
      </w:r>
    </w:p>
    <w:p w14:paraId="6BEE453C" w14:textId="77777777" w:rsidR="008856F3" w:rsidRPr="00A259BD" w:rsidRDefault="008856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Увеличить </w:t>
      </w:r>
      <w:proofErr w:type="spellStart"/>
      <w:r w:rsidRPr="00A259BD">
        <w:rPr>
          <w:rFonts w:ascii="Times New Roman" w:hAnsi="Times New Roman"/>
          <w:color w:val="000000" w:themeColor="text1"/>
          <w:sz w:val="16"/>
          <w:szCs w:val="16"/>
        </w:rPr>
        <w:t>об'ем</w:t>
      </w:r>
      <w:proofErr w:type="spellEnd"/>
      <w:r w:rsidRPr="00A259BD">
        <w:rPr>
          <w:rFonts w:ascii="Times New Roman" w:hAnsi="Times New Roman"/>
          <w:color w:val="000000" w:themeColor="text1"/>
          <w:sz w:val="16"/>
          <w:szCs w:val="16"/>
        </w:rPr>
        <w:t xml:space="preserve"> Магнитогорского завода до 1.660.000 тонн, поведя переговоры с Макки о том, что он возьмет на себя строительство завода увеличенного </w:t>
      </w:r>
      <w:proofErr w:type="spellStart"/>
      <w:r w:rsidRPr="00A259BD">
        <w:rPr>
          <w:rFonts w:ascii="Times New Roman" w:hAnsi="Times New Roman"/>
          <w:color w:val="000000" w:themeColor="text1"/>
          <w:sz w:val="16"/>
          <w:szCs w:val="16"/>
        </w:rPr>
        <w:t>об'ема</w:t>
      </w:r>
      <w:proofErr w:type="spellEnd"/>
      <w:r w:rsidRPr="00A259BD">
        <w:rPr>
          <w:rFonts w:ascii="Times New Roman" w:hAnsi="Times New Roman"/>
          <w:color w:val="000000" w:themeColor="text1"/>
          <w:sz w:val="16"/>
          <w:szCs w:val="16"/>
        </w:rPr>
        <w:t xml:space="preserve"> за ту же сумму.</w:t>
      </w:r>
    </w:p>
    <w:p w14:paraId="2EE30D6D" w14:textId="77777777" w:rsidR="008856F3" w:rsidRPr="00A259BD" w:rsidRDefault="008856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Условия платежей: в 1-м году - 40%, во 2-к. год&gt; - 30%, в 3-м г.- 15% и после пуска завода - остальные 15%.</w:t>
      </w:r>
    </w:p>
    <w:p w14:paraId="5786E789" w14:textId="77777777" w:rsidR="008856F3" w:rsidRPr="00A259BD" w:rsidRDefault="008856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Обязать BСHX немедленно послать в Америку комиссию для оформления этого договора.</w:t>
      </w:r>
    </w:p>
    <w:p w14:paraId="6D6D63E9" w14:textId="77777777" w:rsidR="008856F3" w:rsidRPr="00A259BD" w:rsidRDefault="008856F3"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Выписки посланы: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xml:space="preserve">. Куйбышеву - все; т. Каляеву - </w:t>
      </w:r>
      <w:proofErr w:type="spellStart"/>
      <w:r w:rsidRPr="00A259BD">
        <w:rPr>
          <w:rFonts w:ascii="Times New Roman" w:hAnsi="Times New Roman"/>
          <w:color w:val="000000" w:themeColor="text1"/>
          <w:sz w:val="16"/>
          <w:szCs w:val="16"/>
        </w:rPr>
        <w:t>а,б,в</w:t>
      </w:r>
      <w:proofErr w:type="spellEnd"/>
      <w:r w:rsidRPr="00A259BD">
        <w:rPr>
          <w:rFonts w:ascii="Times New Roman" w:hAnsi="Times New Roman"/>
          <w:color w:val="000000" w:themeColor="text1"/>
          <w:sz w:val="16"/>
          <w:szCs w:val="16"/>
        </w:rPr>
        <w:t xml:space="preserve"> (23091).</w:t>
      </w:r>
    </w:p>
    <w:p w14:paraId="189EC620" w14:textId="77777777" w:rsidR="008856F3" w:rsidRPr="00A259BD" w:rsidRDefault="008856F3" w:rsidP="009236E3">
      <w:pPr>
        <w:spacing w:after="0" w:line="240" w:lineRule="auto"/>
        <w:jc w:val="both"/>
        <w:rPr>
          <w:rFonts w:ascii="Times New Roman" w:hAnsi="Times New Roman"/>
          <w:color w:val="000000" w:themeColor="text1"/>
          <w:sz w:val="16"/>
          <w:szCs w:val="16"/>
        </w:rPr>
      </w:pPr>
    </w:p>
    <w:p w14:paraId="5D9D42BB" w14:textId="77777777" w:rsidR="00FA3C51" w:rsidRPr="00A259BD" w:rsidRDefault="00FA3C51"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25 декабря 1929 </w:t>
      </w:r>
      <w:r w:rsidRPr="00A259BD">
        <w:rPr>
          <w:rFonts w:ascii="Times New Roman" w:hAnsi="Times New Roman"/>
          <w:color w:val="000000" w:themeColor="text1"/>
          <w:sz w:val="16"/>
          <w:szCs w:val="16"/>
        </w:rPr>
        <w:t>Политбюро ЦК ВКП (б) утвердило состав президиума Госплана; указало на целесообразность передачи в ведение ВСНХ семи индустриальных институтов; поручило ВСНХ наряду с организацией треста «Каучуконос» для разведения и сбора сырья из каучуконосов организовать в полузаводском масштабе производство синтетического каучука по методу профессоров Вызова и Лебедева (12265).</w:t>
      </w:r>
    </w:p>
    <w:p w14:paraId="7515EEF9" w14:textId="77777777" w:rsidR="00FA3C51" w:rsidRPr="00A259BD" w:rsidRDefault="00FA3C5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СНК принял постановление «О переводе промышленных предприятий, не переведенных на непрерывную производственную неделю, на пятидневную с перерывом производственную неделю» (12265).</w:t>
      </w:r>
    </w:p>
    <w:p w14:paraId="657DCE00" w14:textId="77777777" w:rsidR="00FA3C51" w:rsidRPr="00A259BD" w:rsidRDefault="00FA3C5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СТО принял постановление «О мерах к улучшению качества промышленной продукции» (12265).</w:t>
      </w:r>
    </w:p>
    <w:p w14:paraId="2654C678" w14:textId="77777777" w:rsidR="00FA3C51" w:rsidRPr="00A259BD" w:rsidRDefault="00FA3C51"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p w14:paraId="1D4EB5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 декабря 1929 вышло постановление ЦК ВКП(б) "О каучуке", в котором решили искать свое сырье и строить опытные установки синтетического каучука (423,153).</w:t>
      </w:r>
    </w:p>
    <w:p w14:paraId="6F9E42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704009" w14:textId="77777777" w:rsidR="00205BB0" w:rsidRPr="00A259BD" w:rsidRDefault="00205BB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25 декабря 1929 г. ЦК ВКП(б), всесторонне изучив вопрос об обеспечении резиновыми изделиями нужд народного хозяйства, принял специальное постановление "О каучуке". Руководящим органам химической промышленности и </w:t>
      </w:r>
      <w:proofErr w:type="spellStart"/>
      <w:r w:rsidRPr="00A259BD">
        <w:rPr>
          <w:rFonts w:ascii="Times New Roman" w:hAnsi="Times New Roman"/>
          <w:color w:val="000000" w:themeColor="text1"/>
          <w:sz w:val="16"/>
          <w:szCs w:val="16"/>
        </w:rPr>
        <w:t>Резинотреста</w:t>
      </w:r>
      <w:proofErr w:type="spellEnd"/>
      <w:r w:rsidRPr="00A259BD">
        <w:rPr>
          <w:rFonts w:ascii="Times New Roman" w:hAnsi="Times New Roman"/>
          <w:color w:val="000000" w:themeColor="text1"/>
          <w:sz w:val="16"/>
          <w:szCs w:val="16"/>
        </w:rPr>
        <w:t xml:space="preserve"> было предложено максимально форсировать работы по изысканию и выращиванию каучуконосных растений и строительству опытных заводских установок синтетического каучука по методам Б. В. Бызова и С. В. Лебедева. Считая ранее взятый темп работ в этой области совершенно недостаточным, Центральный Комитет обязал ВСНХ обеспечить в первую очередь опытное строительство оборудованием и материалами (18301).</w:t>
      </w:r>
    </w:p>
    <w:p w14:paraId="5E556FCF" w14:textId="77777777" w:rsidR="00205BB0" w:rsidRPr="00A259BD" w:rsidRDefault="00205BB0" w:rsidP="009236E3">
      <w:pPr>
        <w:spacing w:after="0" w:line="240" w:lineRule="auto"/>
        <w:jc w:val="both"/>
        <w:rPr>
          <w:rFonts w:ascii="Times New Roman" w:hAnsi="Times New Roman"/>
          <w:color w:val="000000" w:themeColor="text1"/>
          <w:sz w:val="16"/>
          <w:szCs w:val="16"/>
        </w:rPr>
      </w:pPr>
    </w:p>
    <w:p w14:paraId="0EAF508A" w14:textId="77777777" w:rsidR="00205BB0" w:rsidRPr="00A259BD" w:rsidRDefault="00205BB0" w:rsidP="009236E3">
      <w:pPr>
        <w:spacing w:after="0" w:line="240" w:lineRule="auto"/>
        <w:jc w:val="both"/>
        <w:rPr>
          <w:rFonts w:ascii="Times New Roman" w:hAnsi="Times New Roman"/>
          <w:iCs/>
          <w:color w:val="000000" w:themeColor="text1"/>
          <w:sz w:val="16"/>
          <w:szCs w:val="16"/>
        </w:rPr>
      </w:pPr>
      <w:r w:rsidRPr="00A259BD">
        <w:rPr>
          <w:rFonts w:ascii="Times New Roman" w:hAnsi="Times New Roman"/>
          <w:iCs/>
          <w:color w:val="000000" w:themeColor="text1"/>
          <w:sz w:val="16"/>
          <w:szCs w:val="16"/>
          <w:shd w:val="clear" w:color="auto" w:fill="FFFFFF"/>
        </w:rPr>
        <w:t xml:space="preserve">25 декабря 1929 год в составе </w:t>
      </w:r>
      <w:proofErr w:type="spellStart"/>
      <w:r w:rsidRPr="00A259BD">
        <w:rPr>
          <w:rFonts w:ascii="Times New Roman" w:hAnsi="Times New Roman"/>
          <w:iCs/>
          <w:color w:val="000000" w:themeColor="text1"/>
          <w:sz w:val="16"/>
          <w:szCs w:val="16"/>
          <w:shd w:val="clear" w:color="auto" w:fill="FFFFFF"/>
        </w:rPr>
        <w:t>Электрокомбината</w:t>
      </w:r>
      <w:proofErr w:type="spellEnd"/>
      <w:r w:rsidRPr="00A259BD">
        <w:rPr>
          <w:rFonts w:ascii="Times New Roman" w:hAnsi="Times New Roman"/>
          <w:iCs/>
          <w:color w:val="000000" w:themeColor="text1"/>
          <w:sz w:val="16"/>
          <w:szCs w:val="16"/>
          <w:shd w:val="clear" w:color="auto" w:fill="FFFFFF"/>
        </w:rPr>
        <w:t xml:space="preserve"> был создан отдел автотракторного электрооборудования с задачей в кратчайший срок организовать массовое производство магнето, генераторов, стартеров и другого электрооборудования для развивающейся в стране автотракторной и авиационной промышленности. Эта дата считается официальным днем рождения завода АТЭ-1.</w:t>
      </w:r>
    </w:p>
    <w:p w14:paraId="76B166AA" w14:textId="77777777" w:rsidR="00205BB0" w:rsidRPr="00A259BD" w:rsidRDefault="00205BB0" w:rsidP="009236E3">
      <w:pPr>
        <w:spacing w:after="0" w:line="240" w:lineRule="auto"/>
        <w:jc w:val="both"/>
        <w:rPr>
          <w:rFonts w:ascii="Times New Roman" w:hAnsi="Times New Roman"/>
          <w:iCs/>
          <w:color w:val="000000" w:themeColor="text1"/>
          <w:sz w:val="16"/>
          <w:szCs w:val="16"/>
        </w:rPr>
      </w:pPr>
      <w:r w:rsidRPr="00A259BD">
        <w:rPr>
          <w:rFonts w:ascii="Times New Roman" w:hAnsi="Times New Roman"/>
          <w:iCs/>
          <w:color w:val="000000" w:themeColor="text1"/>
          <w:sz w:val="16"/>
          <w:szCs w:val="16"/>
          <w:shd w:val="clear" w:color="auto" w:fill="FFFFFF"/>
        </w:rPr>
        <w:t xml:space="preserve">1929-30гг. Для изучения производства, подбора оборудования, получения технической документации </w:t>
      </w:r>
      <w:proofErr w:type="spellStart"/>
      <w:r w:rsidRPr="00A259BD">
        <w:rPr>
          <w:rFonts w:ascii="Times New Roman" w:hAnsi="Times New Roman"/>
          <w:iCs/>
          <w:color w:val="000000" w:themeColor="text1"/>
          <w:sz w:val="16"/>
          <w:szCs w:val="16"/>
          <w:shd w:val="clear" w:color="auto" w:fill="FFFFFF"/>
        </w:rPr>
        <w:t>иподготовки</w:t>
      </w:r>
      <w:proofErr w:type="spellEnd"/>
      <w:r w:rsidRPr="00A259BD">
        <w:rPr>
          <w:rFonts w:ascii="Times New Roman" w:hAnsi="Times New Roman"/>
          <w:iCs/>
          <w:color w:val="000000" w:themeColor="text1"/>
          <w:sz w:val="16"/>
          <w:szCs w:val="16"/>
          <w:shd w:val="clear" w:color="auto" w:fill="FFFFFF"/>
        </w:rPr>
        <w:t xml:space="preserve"> необходимых проектных материалов в Швейцарию и США были командированы группы работников завода.</w:t>
      </w:r>
    </w:p>
    <w:p w14:paraId="0EBC923B" w14:textId="77777777" w:rsidR="00205BB0" w:rsidRPr="00A259BD" w:rsidRDefault="00205BB0" w:rsidP="009236E3">
      <w:pPr>
        <w:spacing w:after="0" w:line="240" w:lineRule="auto"/>
        <w:jc w:val="both"/>
        <w:rPr>
          <w:rFonts w:ascii="Times New Roman" w:hAnsi="Times New Roman"/>
          <w:iCs/>
          <w:color w:val="000000" w:themeColor="text1"/>
          <w:sz w:val="16"/>
          <w:szCs w:val="16"/>
        </w:rPr>
      </w:pPr>
      <w:r w:rsidRPr="00A259BD">
        <w:rPr>
          <w:rFonts w:ascii="Times New Roman" w:hAnsi="Times New Roman"/>
          <w:iCs/>
          <w:color w:val="000000" w:themeColor="text1"/>
          <w:sz w:val="16"/>
          <w:szCs w:val="16"/>
          <w:shd w:val="clear" w:color="auto" w:fill="FFFFFF"/>
        </w:rPr>
        <w:t>1931 год Налажено массовое производство автомобильных и авиационных свечей зажигания. Собраны первые партии магнето и генераторов.</w:t>
      </w:r>
    </w:p>
    <w:p w14:paraId="73428852" w14:textId="77777777" w:rsidR="00205BB0" w:rsidRPr="00A259BD" w:rsidRDefault="00205BB0" w:rsidP="009236E3">
      <w:pPr>
        <w:spacing w:after="0" w:line="240" w:lineRule="auto"/>
        <w:jc w:val="both"/>
        <w:rPr>
          <w:rFonts w:ascii="Times New Roman" w:hAnsi="Times New Roman"/>
          <w:iCs/>
          <w:color w:val="000000" w:themeColor="text1"/>
          <w:sz w:val="16"/>
          <w:szCs w:val="16"/>
        </w:rPr>
      </w:pPr>
      <w:r w:rsidRPr="00A259BD">
        <w:rPr>
          <w:rFonts w:ascii="Times New Roman" w:hAnsi="Times New Roman"/>
          <w:iCs/>
          <w:color w:val="000000" w:themeColor="text1"/>
          <w:sz w:val="16"/>
          <w:szCs w:val="16"/>
          <w:shd w:val="clear" w:color="auto" w:fill="FFFFFF"/>
        </w:rPr>
        <w:t>1932 год Пущены первые конвейеры сборки генераторов и стартеров для автомобилей и тракторов.</w:t>
      </w:r>
    </w:p>
    <w:p w14:paraId="5A74960B" w14:textId="77777777" w:rsidR="00205BB0" w:rsidRPr="00A259BD" w:rsidRDefault="00205BB0" w:rsidP="009236E3">
      <w:pPr>
        <w:spacing w:after="0" w:line="240" w:lineRule="auto"/>
        <w:jc w:val="both"/>
        <w:rPr>
          <w:rFonts w:ascii="Times New Roman" w:hAnsi="Times New Roman"/>
          <w:iCs/>
          <w:color w:val="000000" w:themeColor="text1"/>
          <w:sz w:val="16"/>
          <w:szCs w:val="16"/>
        </w:rPr>
      </w:pPr>
      <w:r w:rsidRPr="00A259BD">
        <w:rPr>
          <w:rFonts w:ascii="Times New Roman" w:hAnsi="Times New Roman"/>
          <w:iCs/>
          <w:color w:val="000000" w:themeColor="text1"/>
          <w:sz w:val="16"/>
          <w:szCs w:val="16"/>
          <w:shd w:val="clear" w:color="auto" w:fill="FFFFFF"/>
        </w:rPr>
        <w:t>1933 год Знаменитый автопробег Москва — Кара-Кумы — Москва. Автомобили ГАЗ и ЗИС-5, участвующие в автопробеге, были полностью оснащены электрооборудованием завода АТЭ, показавшим в пути высокую надежность.</w:t>
      </w:r>
    </w:p>
    <w:p w14:paraId="45ACFF55" w14:textId="77777777" w:rsidR="00205BB0" w:rsidRPr="00A259BD" w:rsidRDefault="00205BB0" w:rsidP="009236E3">
      <w:pPr>
        <w:spacing w:after="0" w:line="240" w:lineRule="auto"/>
        <w:jc w:val="both"/>
        <w:rPr>
          <w:rFonts w:ascii="Times New Roman" w:hAnsi="Times New Roman"/>
          <w:iCs/>
          <w:color w:val="000000" w:themeColor="text1"/>
          <w:sz w:val="16"/>
          <w:szCs w:val="16"/>
        </w:rPr>
      </w:pPr>
      <w:r w:rsidRPr="00A259BD">
        <w:rPr>
          <w:rFonts w:ascii="Times New Roman" w:hAnsi="Times New Roman"/>
          <w:iCs/>
          <w:color w:val="000000" w:themeColor="text1"/>
          <w:sz w:val="16"/>
          <w:szCs w:val="16"/>
          <w:shd w:val="clear" w:color="auto" w:fill="FFFFFF"/>
        </w:rPr>
        <w:t>1934-35 гг. Все произведенные за это время автомобили, трактора, танки и самолеты были оснащены электрооборудованием завода АТЭ. Экономия на импорте магнето и других аппаратов зажигания составила 22 млн. рублей. На базе завода было создано свыше 25 заводов автотракторного оборудования, а также специализированные подразделения в авиационной и танковой промышленности. По количеству выпускаемых магнето завод АТЭ вышел на первое место в мире!</w:t>
      </w:r>
    </w:p>
    <w:p w14:paraId="18CC49D5" w14:textId="77777777" w:rsidR="00205BB0" w:rsidRPr="00A259BD" w:rsidRDefault="00205BB0" w:rsidP="009236E3">
      <w:pPr>
        <w:spacing w:after="0" w:line="240" w:lineRule="auto"/>
        <w:jc w:val="both"/>
        <w:rPr>
          <w:rFonts w:ascii="Times New Roman" w:hAnsi="Times New Roman"/>
          <w:iCs/>
          <w:color w:val="000000" w:themeColor="text1"/>
          <w:sz w:val="16"/>
          <w:szCs w:val="16"/>
        </w:rPr>
      </w:pPr>
      <w:r w:rsidRPr="00A259BD">
        <w:rPr>
          <w:rFonts w:ascii="Times New Roman" w:hAnsi="Times New Roman"/>
          <w:iCs/>
          <w:color w:val="000000" w:themeColor="text1"/>
          <w:sz w:val="16"/>
          <w:szCs w:val="16"/>
          <w:shd w:val="clear" w:color="auto" w:fill="FFFFFF"/>
        </w:rPr>
        <w:t>1937 год Экипаж самолета АНТ-25 в составе Чкалова, Байдукова и Белякова совершил беспримерный для того времени легендарный перелет по маршруту Москва — Петропавловск-на-Камчатке — остров Уд (США). 14-цилиндровый мотор самолета АНТ-25 был оснащен 14-цилиндровым магнето БСМ-14 и свечами зажигания, изготовленными на заводе АТЭ.</w:t>
      </w:r>
    </w:p>
    <w:p w14:paraId="70391DB5" w14:textId="77777777" w:rsidR="00205BB0" w:rsidRPr="00A259BD" w:rsidRDefault="00205BB0" w:rsidP="009236E3">
      <w:pPr>
        <w:spacing w:after="0" w:line="240" w:lineRule="auto"/>
        <w:jc w:val="both"/>
        <w:rPr>
          <w:rFonts w:ascii="Times New Roman" w:hAnsi="Times New Roman"/>
          <w:iCs/>
          <w:color w:val="000000" w:themeColor="text1"/>
          <w:sz w:val="16"/>
          <w:szCs w:val="16"/>
        </w:rPr>
      </w:pPr>
      <w:r w:rsidRPr="00A259BD">
        <w:rPr>
          <w:rFonts w:ascii="Times New Roman" w:hAnsi="Times New Roman"/>
          <w:iCs/>
          <w:color w:val="000000" w:themeColor="text1"/>
          <w:sz w:val="16"/>
          <w:szCs w:val="16"/>
          <w:shd w:val="clear" w:color="auto" w:fill="FFFFFF"/>
        </w:rPr>
        <w:t>22 апреля 1938 года на основании решения Совнаркома СССР АТЭ-1 стал самостоятельным заводом (19564).</w:t>
      </w:r>
    </w:p>
    <w:p w14:paraId="5A35A4D5" w14:textId="77777777" w:rsidR="00205BB0" w:rsidRPr="00A259BD" w:rsidRDefault="00205BB0" w:rsidP="009236E3">
      <w:pPr>
        <w:spacing w:after="0" w:line="240" w:lineRule="auto"/>
        <w:jc w:val="both"/>
        <w:rPr>
          <w:rFonts w:ascii="Times New Roman" w:hAnsi="Times New Roman"/>
          <w:color w:val="000000" w:themeColor="text1"/>
          <w:sz w:val="16"/>
          <w:szCs w:val="16"/>
        </w:rPr>
      </w:pPr>
    </w:p>
    <w:p w14:paraId="570177CA"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E5D564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DC2B5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26 декабря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32) и обсудили вопросы о договоре на АНТ-9 с моторами Райт, загрузке 28 завода мирной продукцией и утвердили программу МОС на текущий год (29/30). Утвердили сроки 22 завода по АНТ-9: 1-ф - к 1 июля, 9-10 - 1 ноября. 28 заводу поручили сделать 50 автобусных кузовов и проработать вопрос о постройке 2 деревянных поплавков для Р-5 (2367,93).</w:t>
      </w:r>
    </w:p>
    <w:p w14:paraId="01AF8C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программе МОС решили:</w:t>
      </w:r>
    </w:p>
    <w:p w14:paraId="46ADCB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В изменение постановления Правления по протоколу 10 программу по МОС утвердить в следующем виде:</w:t>
      </w:r>
    </w:p>
    <w:p w14:paraId="1471B9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переделка РОМ-2 путем постановки металлического (дюралевого крыла), увеличения водоизмещения носовой части лодки проч. переделок по указаниям ТО. Срок готовности в летным испытаниям - 1 августа 1930</w:t>
      </w:r>
    </w:p>
    <w:p w14:paraId="69E8E4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переделка МР-5 путем изменения формы и конструкции лодки и проч. по указанию ТО в двух вариантах деревянной конструкции с переводом на дюраль для серии. Срок готовности к ли 1 июля 1930.</w:t>
      </w:r>
    </w:p>
    <w:p w14:paraId="26A3AF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окончание проектирования и постройки ТОМ-2. Срок готовности к ли 1 августа 1930</w:t>
      </w:r>
    </w:p>
    <w:p w14:paraId="70889D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проектирование и начало постройки РОМ-3. Срок готовности к ли 1 марта 1930</w:t>
      </w:r>
    </w:p>
    <w:p w14:paraId="440EF5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 проектирование и начало постройки МИ-3. Срок готовности к ли 1 августа 1931</w:t>
      </w:r>
    </w:p>
    <w:p w14:paraId="0CE8D8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 проектирование и начало постройки МР-7. Срок готовности к ли 1 июня 1931</w:t>
      </w:r>
    </w:p>
    <w:p w14:paraId="5BCCDB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ж) окончание проектирования и часть постройки МР-6. Срок готовности к ли 1 марта 1931</w:t>
      </w:r>
    </w:p>
    <w:p w14:paraId="5D1582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 проектирование и часть постройки сухопутного разведчика смешанной конструкции под </w:t>
      </w:r>
      <w:proofErr w:type="spellStart"/>
      <w:r w:rsidRPr="00A259BD">
        <w:rPr>
          <w:rFonts w:ascii="Times New Roman" w:hAnsi="Times New Roman"/>
          <w:color w:val="000000" w:themeColor="text1"/>
          <w:sz w:val="16"/>
          <w:szCs w:val="16"/>
        </w:rPr>
        <w:t>Кокверер</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М.б.</w:t>
      </w:r>
      <w:proofErr w:type="spellEnd"/>
      <w:r w:rsidRPr="00A259BD">
        <w:rPr>
          <w:rFonts w:ascii="Times New Roman" w:hAnsi="Times New Roman"/>
          <w:color w:val="000000" w:themeColor="text1"/>
          <w:sz w:val="16"/>
          <w:szCs w:val="16"/>
        </w:rPr>
        <w:t xml:space="preserve"> фюзеляж из сварных труб и деревянные или дюралевые крылья</w:t>
      </w:r>
    </w:p>
    <w:p w14:paraId="1D3A4B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Поручить ТО срочно доставить в МОС МР-5 и довести лодки и отд. части РОМ-2</w:t>
      </w:r>
    </w:p>
    <w:p w14:paraId="606F19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Постройку деревянных лодок МР-5 вести по чертежам МОС на 28 заводе.</w:t>
      </w:r>
    </w:p>
    <w:p w14:paraId="2125F5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Предложить МОС всемерно форсировать работы по переделкам и чертежам МР-5 и РОМ-2, применяя, если понадобится, аккордные работы.</w:t>
      </w:r>
    </w:p>
    <w:p w14:paraId="4858FE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Предложить МОС озаботится изготовлением рабочих чертежей по РОМ-2 к 1 августа, МР-5 - к 1 июля, ТОМ-2 - к 1 августа 1930 (2367,93).</w:t>
      </w:r>
    </w:p>
    <w:p w14:paraId="19299B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7CA246" w14:textId="77777777" w:rsidR="00464E03" w:rsidRPr="00441F34" w:rsidRDefault="00464E03" w:rsidP="00464E0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26 декабря 1929 г. на заседании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(протокол №32) среди прочих вопросов в изменение постановления Правления по протоколу 10 программу по морскому опытному самолетостроению утвердить в измененном виде, в частности 4-м пунктом срок готовности самолета МИ-3 к летным испытаниям установить на 1 августа 1931 г.</w:t>
      </w:r>
    </w:p>
    <w:p w14:paraId="636A4E44" w14:textId="77777777" w:rsidR="00464E03" w:rsidRPr="00441F34" w:rsidRDefault="00464E03" w:rsidP="00464E03">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Однако распоряжение заводу №25 строить опытный образец самолета МИ-3 так и не поступило, и задание это с плана было снято. Не ясно даже, был ли выполнен проект самолета (24887).</w:t>
      </w:r>
    </w:p>
    <w:p w14:paraId="004963B1" w14:textId="77777777" w:rsidR="00464E03" w:rsidRPr="00441F34" w:rsidRDefault="00464E03" w:rsidP="00464E03">
      <w:pPr>
        <w:spacing w:after="0" w:line="240" w:lineRule="auto"/>
        <w:jc w:val="both"/>
        <w:rPr>
          <w:rFonts w:ascii="Times New Roman" w:hAnsi="Times New Roman"/>
          <w:color w:val="0070C0"/>
          <w:sz w:val="16"/>
          <w:szCs w:val="16"/>
        </w:rPr>
      </w:pPr>
    </w:p>
    <w:p w14:paraId="6C3B526C" w14:textId="77777777" w:rsidR="00672AAA"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3AD5E62E" w14:textId="77777777" w:rsidR="00672AAA" w:rsidRPr="00A259BD" w:rsidRDefault="00672AA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AEC50BF" w14:textId="77777777" w:rsidR="00672AAA" w:rsidRPr="00A259BD" w:rsidRDefault="00672AAA"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color w:val="000000" w:themeColor="text1"/>
          <w:sz w:val="16"/>
          <w:szCs w:val="16"/>
        </w:rPr>
        <w:t xml:space="preserve">26 декабря </w:t>
      </w:r>
      <w:r w:rsidRPr="00A259BD">
        <w:rPr>
          <w:rStyle w:val="highlight"/>
          <w:rFonts w:ascii="Times New Roman" w:hAnsi="Times New Roman"/>
          <w:color w:val="000000" w:themeColor="text1"/>
          <w:sz w:val="16"/>
          <w:szCs w:val="16"/>
        </w:rPr>
        <w:t> 1929 </w:t>
      </w:r>
      <w:r w:rsidRPr="00A259BD">
        <w:rPr>
          <w:rFonts w:ascii="Times New Roman" w:hAnsi="Times New Roman"/>
          <w:color w:val="000000" w:themeColor="text1"/>
          <w:sz w:val="16"/>
          <w:szCs w:val="16"/>
        </w:rPr>
        <w:t xml:space="preserve"> г. в постановлении СНК СССР «О мерах к оздоровлению строительства» от на основе обобщения накопившегося опыта были разработаны меры, направленные на индустриализацию строительства. В области механизации строительных работ СНК СССР предложил всем строительным организациям передавать на специальные фабрики и </w:t>
      </w:r>
      <w:bookmarkStart w:id="99" w:name="YANDEX_3"/>
      <w:bookmarkEnd w:id="99"/>
      <w:r w:rsidRPr="00A259BD">
        <w:rPr>
          <w:rStyle w:val="highlight"/>
          <w:rFonts w:ascii="Times New Roman" w:hAnsi="Times New Roman"/>
          <w:color w:val="000000" w:themeColor="text1"/>
          <w:sz w:val="16"/>
          <w:szCs w:val="16"/>
        </w:rPr>
        <w:t> заводы </w:t>
      </w:r>
      <w:r w:rsidRPr="00A259BD">
        <w:rPr>
          <w:rFonts w:ascii="Times New Roman" w:hAnsi="Times New Roman"/>
          <w:color w:val="000000" w:themeColor="text1"/>
          <w:sz w:val="16"/>
          <w:szCs w:val="16"/>
        </w:rPr>
        <w:t xml:space="preserve"> изготовление возможно большего количества зданий и сооружений, а также организовать вне территории стройки механизированные строительные дворы, а ВСНХ СССР должен был построить заводы по производству металлических и железобетонных конструкций, стандартных деревянных домов (17226).</w:t>
      </w:r>
    </w:p>
    <w:p w14:paraId="16E287A8" w14:textId="77777777" w:rsidR="00672AAA" w:rsidRPr="00A259BD" w:rsidRDefault="00672AAA"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B7AEA76"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05816DB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5AA57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27 декабря 1929 по 10 января 1930 в НИИ ВВС проходили испытания самолета ФДХI – М6 с ленточными растяжками и N-образными стойками</w:t>
      </w:r>
    </w:p>
    <w:p w14:paraId="1D8B024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Отчет об испытании самолета ФДХI – М6 с ленточными растяжками и N-образными стойками</w:t>
      </w:r>
    </w:p>
    <w:p w14:paraId="78E41AA9"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Задание НТК УВВС от 18 ноября 1929 года № 3268</w:t>
      </w:r>
    </w:p>
    <w:p w14:paraId="61DFCBAA"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Начало испытания: 27 декабря 1929 года</w:t>
      </w:r>
    </w:p>
    <w:p w14:paraId="619525C7"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Конец испытания 10 января 1930 года</w:t>
      </w:r>
    </w:p>
    <w:p w14:paraId="31D72826"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262C000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НИИ считает, что предложенный способ крепления ленточных растяжек к узлам фюзеляжа является неприемлемым …</w:t>
      </w:r>
      <w:r w:rsidR="008D0F79"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rPr>
        <w:t>6935).</w:t>
      </w:r>
    </w:p>
    <w:p w14:paraId="01095480" w14:textId="77777777" w:rsidR="00F547C5" w:rsidRPr="00A259BD" w:rsidRDefault="00F547C5" w:rsidP="009236E3">
      <w:pPr>
        <w:spacing w:after="0" w:line="240" w:lineRule="auto"/>
        <w:jc w:val="both"/>
        <w:rPr>
          <w:rFonts w:ascii="Times New Roman" w:hAnsi="Times New Roman"/>
          <w:color w:val="000000" w:themeColor="text1"/>
          <w:sz w:val="16"/>
          <w:szCs w:val="16"/>
        </w:rPr>
      </w:pPr>
    </w:p>
    <w:p w14:paraId="5F5B1207" w14:textId="77777777" w:rsidR="005D539F" w:rsidRPr="00A259BD" w:rsidRDefault="005D539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декабря 1929 года доработанный «Фоккер» ДХI № 4777 поступил в НИИ ВВС. На нем изменили узел крепления несущих лент к ферме фюзеляжа и вместо тросовых расчалок поставили ленточные от Р-1М-5, при этом обратная растяжка – короткая - была удлинена путем надставки стальных полосок от нижнего узла длиной 238 мм. Двух полетов – приемо-сдаточного и на перегрузки хватило, чтобы забраковать новый вариант усиления. В первом выяснилось, что обратные растяжки сильно ослабевают, а после второго, в котором было выполнено 14 глубоких виражей и 45 фигур с перегрузкой до 6,3g, была обнаружена деформация труб фермы фюзеляжа в местах крепления расчалок (23030).</w:t>
      </w:r>
    </w:p>
    <w:p w14:paraId="43CF8044" w14:textId="77777777" w:rsidR="005D539F" w:rsidRPr="00A259BD" w:rsidRDefault="005D539F" w:rsidP="009236E3">
      <w:pPr>
        <w:spacing w:after="0" w:line="240" w:lineRule="auto"/>
        <w:jc w:val="both"/>
        <w:rPr>
          <w:rFonts w:ascii="Times New Roman" w:hAnsi="Times New Roman"/>
          <w:color w:val="000000" w:themeColor="text1"/>
          <w:sz w:val="16"/>
          <w:szCs w:val="16"/>
        </w:rPr>
      </w:pPr>
    </w:p>
    <w:p w14:paraId="5DFB6B12" w14:textId="77777777" w:rsidR="005110F1"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114770B4" w14:textId="77777777" w:rsidR="005110F1" w:rsidRPr="00A259BD" w:rsidRDefault="005110F1"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BB5C30" w14:textId="77777777" w:rsidR="00A50734" w:rsidRPr="00A259BD" w:rsidRDefault="00A5073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декабря 1929 г., в рамках общей реорганизации промышленности, Политбюро одобрило инициативу ВСНХ о реорганизации оборонного сектора и его руководящего органа — Главного военно-промышленного управления. Центральные управленческие структуры должны были быть реорганизованы в течение двух недель, а местные — чем раньше, тем лучше. На должности в реорганизованные органы решено было привлекать коммунистов, причем, как минимум, пять из них должны были быть выпускниками Института красной профессуры. НКВМ обязался перевести около 100 своих сотрудников, 20 из которых — с высшим военным или военно-техническим образованием, для того чтобы «усилить» и «освежить» кадровый состав оборонных органов промышленности (17208).</w:t>
      </w:r>
    </w:p>
    <w:p w14:paraId="3ACCA37C" w14:textId="77777777" w:rsidR="00A50734" w:rsidRPr="00A259BD" w:rsidRDefault="00A50734" w:rsidP="009236E3">
      <w:pPr>
        <w:spacing w:after="0" w:line="240" w:lineRule="auto"/>
        <w:jc w:val="both"/>
        <w:rPr>
          <w:rFonts w:ascii="Times New Roman" w:hAnsi="Times New Roman"/>
          <w:color w:val="000000" w:themeColor="text1"/>
          <w:sz w:val="16"/>
          <w:szCs w:val="16"/>
        </w:rPr>
      </w:pPr>
    </w:p>
    <w:p w14:paraId="57A8A43D"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7BB189F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5074982"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декабря 1929 в рамках общей реорганизации промышленности ПБ одобрило инициативу ВСНХ о реорганизации оборонного сектора и его руководящего органа - ГВПУ (9089,103).</w:t>
      </w:r>
    </w:p>
    <w:p w14:paraId="639BECA5"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D26FC6" w14:textId="77777777" w:rsidR="00132D83" w:rsidRPr="00A259BD" w:rsidRDefault="00132D83" w:rsidP="009236E3">
      <w:pPr>
        <w:spacing w:after="0" w:line="240" w:lineRule="auto"/>
        <w:jc w:val="both"/>
        <w:rPr>
          <w:rFonts w:ascii="Times New Roman" w:hAnsi="Times New Roman"/>
          <w:color w:val="000000" w:themeColor="text1"/>
          <w:sz w:val="16"/>
          <w:szCs w:val="16"/>
        </w:rPr>
      </w:pPr>
      <w:r w:rsidRPr="00A259BD">
        <w:rPr>
          <w:rFonts w:ascii="Times New Roman" w:hAnsi="Times New Roman"/>
          <w:bCs/>
          <w:color w:val="000000" w:themeColor="text1"/>
          <w:sz w:val="16"/>
          <w:szCs w:val="16"/>
        </w:rPr>
        <w:t>27 декабря</w:t>
      </w:r>
      <w:r w:rsidRPr="00A259BD">
        <w:rPr>
          <w:rFonts w:ascii="Times New Roman" w:hAnsi="Times New Roman"/>
          <w:color w:val="000000" w:themeColor="text1"/>
          <w:sz w:val="16"/>
          <w:szCs w:val="16"/>
        </w:rPr>
        <w:t xml:space="preserve"> в 1929 году на заключительном пленарном заседании Всесоюзной конференции аграрников-марксистов </w:t>
      </w:r>
      <w:proofErr w:type="spellStart"/>
      <w:r w:rsidRPr="00A259BD">
        <w:rPr>
          <w:rFonts w:ascii="Times New Roman" w:hAnsi="Times New Roman"/>
          <w:color w:val="000000" w:themeColor="text1"/>
          <w:sz w:val="16"/>
          <w:szCs w:val="16"/>
        </w:rPr>
        <w:t>И.В.Сталин</w:t>
      </w:r>
      <w:proofErr w:type="spellEnd"/>
      <w:r w:rsidRPr="00A259BD">
        <w:rPr>
          <w:rFonts w:ascii="Times New Roman" w:hAnsi="Times New Roman"/>
          <w:color w:val="000000" w:themeColor="text1"/>
          <w:sz w:val="16"/>
          <w:szCs w:val="16"/>
        </w:rPr>
        <w:t xml:space="preserve"> произносит речь «К вопросам аграрной политики в СССР», в которой констатировал: «от политики ограничения эксплуататорских тенденций кулачества мы перешли к политике ликвидации кулачества как класса». Также он заявил, что, когда НЭП перестанет служить делу социализма, «мы отбросим НЭП к черту». А 19 января 1930 года в передовице «Правды», написанной </w:t>
      </w:r>
      <w:proofErr w:type="spellStart"/>
      <w:r w:rsidRPr="00A259BD">
        <w:rPr>
          <w:rFonts w:ascii="Times New Roman" w:hAnsi="Times New Roman"/>
          <w:color w:val="000000" w:themeColor="text1"/>
          <w:sz w:val="16"/>
          <w:szCs w:val="16"/>
        </w:rPr>
        <w:t>Мартемьяном</w:t>
      </w:r>
      <w:proofErr w:type="spellEnd"/>
      <w:r w:rsidRPr="00A259BD">
        <w:rPr>
          <w:rFonts w:ascii="Times New Roman" w:hAnsi="Times New Roman"/>
          <w:color w:val="000000" w:themeColor="text1"/>
          <w:sz w:val="16"/>
          <w:szCs w:val="16"/>
        </w:rPr>
        <w:t xml:space="preserve"> Рютиным (1890–1937), прозвучал погромный призыв «объявить войну не на жизнь, а на смерть кулаку, и в конце концов смести его с лица земли» (14873).</w:t>
      </w:r>
    </w:p>
    <w:p w14:paraId="7716E61A" w14:textId="77777777" w:rsidR="00132D83" w:rsidRPr="00A259BD" w:rsidRDefault="00132D83" w:rsidP="009236E3">
      <w:pPr>
        <w:spacing w:after="0" w:line="240" w:lineRule="auto"/>
        <w:jc w:val="both"/>
        <w:rPr>
          <w:rFonts w:ascii="Times New Roman" w:hAnsi="Times New Roman"/>
          <w:color w:val="000000" w:themeColor="text1"/>
          <w:sz w:val="16"/>
          <w:szCs w:val="16"/>
        </w:rPr>
      </w:pPr>
    </w:p>
    <w:p w14:paraId="448678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декабря 1929 И.В.С. заявил о начале сплошной коллективизации и "ликвидации кулачества как класса" (1348,199).</w:t>
      </w:r>
    </w:p>
    <w:p w14:paraId="75C1B1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2B16D4E" w14:textId="77777777" w:rsidR="00654130" w:rsidRPr="00A259BD" w:rsidRDefault="0065413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 декабря 1929 был объявлен курс «ликвидации кулачества как класса». В речи на конференции аграрников-марксистов «К вопросам аграрной политики в СССР» Сталин сказал: «…Надо признать, что за нашими практическими успехами не поспевает теоретическая мысль... Я не буду здесь распространяться о значении теории. Вам оно достаточно хорошо известно. Известно, что теория, если она является действительно теорией, дает практикам силу ориентировки, ясность перспективы, уверенность в работе, веру в победу нашего дела... Беда в том, что мы начинаем хромать именно в этой области, в области теоретической разработки вопросов нашей экономики... Вы, конечно, знаете, что среди коммунистов все еще имеет хождение так называемая теория "равновесия" секторов нашего народного хозяйства. По этой теории предполагается, что мы имеем прежде всего сектор социалистический, - это своего рода ящик, - и мы кроме того имеем сектор несоциалистический, если хотите - капиталистический, - это другой ящик. Оба эти ящика лежат на различных рельсах и мирно катятся вперед, не задевая друг друга. По геометрии известно, что параллельные линии не сходятся. Однако авторы этой замечательной теории думают, что когда-нибудь эти параллели сойдутся и, когда они сойдутся, у нас получится социализм... Можно ли двигать дальше ускоренным темпом нашу социализированную индустрию, имея такую сельскохозяйственную базу, как мелкокрестьянское хозяйство, неспособное на расширенное воспроизводство и представляющее к тому же преобладающую силу в нашем народном хозяйстве? Нет, нельзя. Можно ли в продолжение более или менее долгого периода времени базировать Советскую масть и социалистическое строительство на двух разных основах - на основе самой крупной и объединенной социалистической промышленности и на основе самого раздробленного и отсталого мелкотоварного крестьянского хозяйства? Нет, нельзя. Это когда-либо должно кончиться полным развалом всего народного хозяйства». Ребята, а у кулаков не осталось шансов. Они против продразверстки. Но их мнение уже никого не интересует. Колхозы производят хлеба в десятки раз больше, чем кулаки (в отличие от 1927 года). В установленном объеме. По твердым ценам (12629).</w:t>
      </w:r>
    </w:p>
    <w:p w14:paraId="0BBB044F" w14:textId="77777777" w:rsidR="00654130" w:rsidRPr="00A259BD" w:rsidRDefault="00654130"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0A0FC4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AFBF94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F95FF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28 декабря 1929 </w:t>
      </w:r>
      <w:proofErr w:type="spellStart"/>
      <w:r w:rsidRPr="00A259BD">
        <w:rPr>
          <w:rFonts w:ascii="Times New Roman" w:hAnsi="Times New Roman"/>
          <w:color w:val="000000" w:themeColor="text1"/>
          <w:sz w:val="16"/>
          <w:szCs w:val="16"/>
        </w:rPr>
        <w:t>совещение</w:t>
      </w:r>
      <w:proofErr w:type="spellEnd"/>
      <w:r w:rsidRPr="00A259BD">
        <w:rPr>
          <w:rFonts w:ascii="Times New Roman" w:hAnsi="Times New Roman"/>
          <w:color w:val="000000" w:themeColor="text1"/>
          <w:sz w:val="16"/>
          <w:szCs w:val="16"/>
        </w:rPr>
        <w:t xml:space="preserve"> УВВС утвердило решение отказаться от французских моторов для АНТ-9 и поставить на машину Райт J5. Пришлось заплатить французам неустойку Гном-Рон (10542,21).</w:t>
      </w:r>
    </w:p>
    <w:p w14:paraId="088885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72E4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28 декабря 1929 года была подготовлена справка Опытные самолеты ЦАГИ. Зав. АГОС ЦАГИ </w:t>
      </w:r>
      <w:proofErr w:type="spellStart"/>
      <w:r w:rsidRPr="00A259BD">
        <w:rPr>
          <w:rFonts w:ascii="Times New Roman" w:hAnsi="Times New Roman"/>
          <w:color w:val="000000" w:themeColor="text1"/>
          <w:sz w:val="16"/>
          <w:szCs w:val="16"/>
        </w:rPr>
        <w:t>инж</w:t>
      </w:r>
      <w:proofErr w:type="spellEnd"/>
      <w:r w:rsidRPr="00A259BD">
        <w:rPr>
          <w:rFonts w:ascii="Times New Roman" w:hAnsi="Times New Roman"/>
          <w:color w:val="000000" w:themeColor="text1"/>
          <w:sz w:val="16"/>
          <w:szCs w:val="16"/>
        </w:rPr>
        <w:t>. А.Н. Туполев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0"/>
        <w:gridCol w:w="828"/>
        <w:gridCol w:w="828"/>
        <w:gridCol w:w="720"/>
        <w:gridCol w:w="720"/>
        <w:gridCol w:w="828"/>
        <w:gridCol w:w="828"/>
        <w:gridCol w:w="828"/>
        <w:gridCol w:w="828"/>
        <w:gridCol w:w="828"/>
        <w:gridCol w:w="828"/>
        <w:gridCol w:w="733"/>
        <w:gridCol w:w="567"/>
        <w:gridCol w:w="851"/>
      </w:tblGrid>
      <w:tr w:rsidR="00A259BD" w:rsidRPr="00A259BD" w14:paraId="7BF0BF2C" w14:textId="77777777">
        <w:tc>
          <w:tcPr>
            <w:tcW w:w="950" w:type="dxa"/>
          </w:tcPr>
          <w:p w14:paraId="6AA9C8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Название с-та и мотора</w:t>
            </w:r>
          </w:p>
        </w:tc>
        <w:tc>
          <w:tcPr>
            <w:tcW w:w="828" w:type="dxa"/>
          </w:tcPr>
          <w:p w14:paraId="0E6AA6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Мощн</w:t>
            </w:r>
            <w:proofErr w:type="spellEnd"/>
            <w:r w:rsidRPr="00A259BD">
              <w:rPr>
                <w:rFonts w:ascii="Times New Roman" w:hAnsi="Times New Roman"/>
                <w:color w:val="000000" w:themeColor="text1"/>
                <w:sz w:val="16"/>
                <w:szCs w:val="16"/>
              </w:rPr>
              <w:t>.</w:t>
            </w:r>
          </w:p>
        </w:tc>
        <w:tc>
          <w:tcPr>
            <w:tcW w:w="828" w:type="dxa"/>
          </w:tcPr>
          <w:p w14:paraId="2C8FE6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Матер. </w:t>
            </w:r>
            <w:proofErr w:type="spellStart"/>
            <w:r w:rsidRPr="00A259BD">
              <w:rPr>
                <w:rFonts w:ascii="Times New Roman" w:hAnsi="Times New Roman"/>
                <w:color w:val="000000" w:themeColor="text1"/>
                <w:sz w:val="16"/>
                <w:szCs w:val="16"/>
              </w:rPr>
              <w:t>констр</w:t>
            </w:r>
            <w:proofErr w:type="spellEnd"/>
            <w:r w:rsidRPr="00A259BD">
              <w:rPr>
                <w:rFonts w:ascii="Times New Roman" w:hAnsi="Times New Roman"/>
                <w:color w:val="000000" w:themeColor="text1"/>
                <w:sz w:val="16"/>
                <w:szCs w:val="16"/>
              </w:rPr>
              <w:t>.</w:t>
            </w:r>
          </w:p>
        </w:tc>
        <w:tc>
          <w:tcPr>
            <w:tcW w:w="720" w:type="dxa"/>
          </w:tcPr>
          <w:p w14:paraId="27998F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Полн. </w:t>
            </w:r>
            <w:proofErr w:type="spellStart"/>
            <w:r w:rsidRPr="00A259BD">
              <w:rPr>
                <w:rFonts w:ascii="Times New Roman" w:hAnsi="Times New Roman"/>
                <w:color w:val="000000" w:themeColor="text1"/>
                <w:sz w:val="16"/>
                <w:szCs w:val="16"/>
              </w:rPr>
              <w:t>нагруз</w:t>
            </w:r>
            <w:proofErr w:type="spellEnd"/>
            <w:r w:rsidRPr="00A259BD">
              <w:rPr>
                <w:rFonts w:ascii="Times New Roman" w:hAnsi="Times New Roman"/>
                <w:color w:val="000000" w:themeColor="text1"/>
                <w:sz w:val="16"/>
                <w:szCs w:val="16"/>
              </w:rPr>
              <w:t xml:space="preserve">. </w:t>
            </w:r>
          </w:p>
        </w:tc>
        <w:tc>
          <w:tcPr>
            <w:tcW w:w="720" w:type="dxa"/>
          </w:tcPr>
          <w:p w14:paraId="492980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Полет. Вес</w:t>
            </w:r>
          </w:p>
        </w:tc>
        <w:tc>
          <w:tcPr>
            <w:tcW w:w="828" w:type="dxa"/>
          </w:tcPr>
          <w:p w14:paraId="584568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Гориз</w:t>
            </w:r>
            <w:proofErr w:type="spellEnd"/>
            <w:r w:rsidRPr="00A259BD">
              <w:rPr>
                <w:rFonts w:ascii="Times New Roman" w:hAnsi="Times New Roman"/>
                <w:color w:val="000000" w:themeColor="text1"/>
                <w:sz w:val="16"/>
                <w:szCs w:val="16"/>
              </w:rPr>
              <w:t xml:space="preserve">. скор. макс. </w:t>
            </w:r>
          </w:p>
        </w:tc>
        <w:tc>
          <w:tcPr>
            <w:tcW w:w="828" w:type="dxa"/>
          </w:tcPr>
          <w:p w14:paraId="79C728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Гориз</w:t>
            </w:r>
            <w:proofErr w:type="spellEnd"/>
            <w:r w:rsidRPr="00A259BD">
              <w:rPr>
                <w:rFonts w:ascii="Times New Roman" w:hAnsi="Times New Roman"/>
                <w:color w:val="000000" w:themeColor="text1"/>
                <w:sz w:val="16"/>
                <w:szCs w:val="16"/>
              </w:rPr>
              <w:t>. скор. на высоте 5000 м</w:t>
            </w:r>
          </w:p>
        </w:tc>
        <w:tc>
          <w:tcPr>
            <w:tcW w:w="828" w:type="dxa"/>
          </w:tcPr>
          <w:p w14:paraId="687632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подъема</w:t>
            </w:r>
          </w:p>
          <w:p w14:paraId="197DDD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2000 м</w:t>
            </w:r>
          </w:p>
        </w:tc>
        <w:tc>
          <w:tcPr>
            <w:tcW w:w="828" w:type="dxa"/>
          </w:tcPr>
          <w:p w14:paraId="0C9924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подъема на 3000 м</w:t>
            </w:r>
          </w:p>
        </w:tc>
        <w:tc>
          <w:tcPr>
            <w:tcW w:w="828" w:type="dxa"/>
          </w:tcPr>
          <w:p w14:paraId="6A1F5F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подъема на 5000 м</w:t>
            </w:r>
          </w:p>
        </w:tc>
        <w:tc>
          <w:tcPr>
            <w:tcW w:w="828" w:type="dxa"/>
          </w:tcPr>
          <w:p w14:paraId="509BB2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Потолок</w:t>
            </w:r>
          </w:p>
        </w:tc>
        <w:tc>
          <w:tcPr>
            <w:tcW w:w="733" w:type="dxa"/>
          </w:tcPr>
          <w:p w14:paraId="00125E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Вооружен.</w:t>
            </w:r>
          </w:p>
        </w:tc>
        <w:tc>
          <w:tcPr>
            <w:tcW w:w="567" w:type="dxa"/>
          </w:tcPr>
          <w:p w14:paraId="5BC11E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Основн.дефекты</w:t>
            </w:r>
            <w:proofErr w:type="spellEnd"/>
          </w:p>
        </w:tc>
        <w:tc>
          <w:tcPr>
            <w:tcW w:w="851" w:type="dxa"/>
          </w:tcPr>
          <w:p w14:paraId="1AC112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w:t>
            </w:r>
          </w:p>
        </w:tc>
      </w:tr>
      <w:tr w:rsidR="00A259BD" w:rsidRPr="00A259BD" w14:paraId="07DA5C82" w14:textId="77777777">
        <w:tc>
          <w:tcPr>
            <w:tcW w:w="950" w:type="dxa"/>
          </w:tcPr>
          <w:p w14:paraId="5DE2FE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Одномест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истр</w:t>
            </w:r>
            <w:proofErr w:type="spellEnd"/>
            <w:r w:rsidRPr="00A259BD">
              <w:rPr>
                <w:rFonts w:ascii="Times New Roman" w:hAnsi="Times New Roman"/>
                <w:color w:val="000000" w:themeColor="text1"/>
                <w:sz w:val="16"/>
                <w:szCs w:val="16"/>
              </w:rPr>
              <w:t>. И4 Юпитер IV</w:t>
            </w:r>
          </w:p>
        </w:tc>
        <w:tc>
          <w:tcPr>
            <w:tcW w:w="828" w:type="dxa"/>
          </w:tcPr>
          <w:p w14:paraId="68386D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420</w:t>
            </w:r>
          </w:p>
        </w:tc>
        <w:tc>
          <w:tcPr>
            <w:tcW w:w="828" w:type="dxa"/>
          </w:tcPr>
          <w:p w14:paraId="57C4CD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Цельнометаллич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дюрал</w:t>
            </w:r>
            <w:proofErr w:type="spellEnd"/>
            <w:r w:rsidRPr="00A259BD">
              <w:rPr>
                <w:rFonts w:ascii="Times New Roman" w:hAnsi="Times New Roman"/>
                <w:color w:val="000000" w:themeColor="text1"/>
                <w:sz w:val="16"/>
                <w:szCs w:val="16"/>
              </w:rPr>
              <w:t xml:space="preserve">. </w:t>
            </w:r>
          </w:p>
        </w:tc>
        <w:tc>
          <w:tcPr>
            <w:tcW w:w="720" w:type="dxa"/>
          </w:tcPr>
          <w:p w14:paraId="3403F5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427</w:t>
            </w:r>
          </w:p>
        </w:tc>
        <w:tc>
          <w:tcPr>
            <w:tcW w:w="720" w:type="dxa"/>
          </w:tcPr>
          <w:p w14:paraId="16DFF9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1398</w:t>
            </w:r>
          </w:p>
        </w:tc>
        <w:tc>
          <w:tcPr>
            <w:tcW w:w="828" w:type="dxa"/>
          </w:tcPr>
          <w:p w14:paraId="296486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238</w:t>
            </w:r>
          </w:p>
        </w:tc>
        <w:tc>
          <w:tcPr>
            <w:tcW w:w="828" w:type="dxa"/>
          </w:tcPr>
          <w:p w14:paraId="107F58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ок</w:t>
            </w:r>
            <w:proofErr w:type="spellEnd"/>
            <w:r w:rsidRPr="00A259BD">
              <w:rPr>
                <w:rFonts w:ascii="Times New Roman" w:hAnsi="Times New Roman"/>
                <w:color w:val="000000" w:themeColor="text1"/>
                <w:sz w:val="16"/>
                <w:szCs w:val="16"/>
              </w:rPr>
              <w:t>. 220</w:t>
            </w:r>
          </w:p>
        </w:tc>
        <w:tc>
          <w:tcPr>
            <w:tcW w:w="828" w:type="dxa"/>
          </w:tcPr>
          <w:p w14:paraId="007B03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4,13’</w:t>
            </w:r>
          </w:p>
        </w:tc>
        <w:tc>
          <w:tcPr>
            <w:tcW w:w="828" w:type="dxa"/>
          </w:tcPr>
          <w:p w14:paraId="0A4506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6,69'</w:t>
            </w:r>
          </w:p>
        </w:tc>
        <w:tc>
          <w:tcPr>
            <w:tcW w:w="828" w:type="dxa"/>
          </w:tcPr>
          <w:p w14:paraId="1524BA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14,05'</w:t>
            </w:r>
          </w:p>
        </w:tc>
        <w:tc>
          <w:tcPr>
            <w:tcW w:w="828" w:type="dxa"/>
          </w:tcPr>
          <w:p w14:paraId="3D25EF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7200</w:t>
            </w:r>
          </w:p>
        </w:tc>
        <w:tc>
          <w:tcPr>
            <w:tcW w:w="733" w:type="dxa"/>
          </w:tcPr>
          <w:p w14:paraId="736AD8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пул.</w:t>
            </w:r>
          </w:p>
        </w:tc>
        <w:tc>
          <w:tcPr>
            <w:tcW w:w="567" w:type="dxa"/>
          </w:tcPr>
          <w:p w14:paraId="650076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Невозм</w:t>
            </w:r>
            <w:proofErr w:type="spellEnd"/>
            <w:r w:rsidRPr="00A259BD">
              <w:rPr>
                <w:rFonts w:ascii="Times New Roman" w:hAnsi="Times New Roman"/>
                <w:color w:val="000000" w:themeColor="text1"/>
                <w:sz w:val="16"/>
                <w:szCs w:val="16"/>
              </w:rPr>
              <w:t xml:space="preserve">. снятия нижнего крыла без снятия </w:t>
            </w:r>
            <w:r w:rsidRPr="00A259BD">
              <w:rPr>
                <w:rFonts w:ascii="Times New Roman" w:hAnsi="Times New Roman"/>
                <w:color w:val="000000" w:themeColor="text1"/>
                <w:sz w:val="16"/>
                <w:szCs w:val="16"/>
              </w:rPr>
              <w:lastRenderedPageBreak/>
              <w:t>шасси.</w:t>
            </w:r>
          </w:p>
        </w:tc>
        <w:tc>
          <w:tcPr>
            <w:tcW w:w="851" w:type="dxa"/>
          </w:tcPr>
          <w:p w14:paraId="5DCFCC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Дефект </w:t>
            </w:r>
            <w:proofErr w:type="spellStart"/>
            <w:r w:rsidRPr="00A259BD">
              <w:rPr>
                <w:rFonts w:ascii="Times New Roman" w:hAnsi="Times New Roman"/>
                <w:color w:val="000000" w:themeColor="text1"/>
                <w:sz w:val="16"/>
                <w:szCs w:val="16"/>
              </w:rPr>
              <w:t>устран</w:t>
            </w:r>
            <w:proofErr w:type="spellEnd"/>
            <w:r w:rsidRPr="00A259BD">
              <w:rPr>
                <w:rFonts w:ascii="Times New Roman" w:hAnsi="Times New Roman"/>
                <w:color w:val="000000" w:themeColor="text1"/>
                <w:sz w:val="16"/>
                <w:szCs w:val="16"/>
              </w:rPr>
              <w:t xml:space="preserve">. в серии. </w:t>
            </w:r>
            <w:proofErr w:type="spellStart"/>
            <w:r w:rsidRPr="00A259BD">
              <w:rPr>
                <w:rFonts w:ascii="Times New Roman" w:hAnsi="Times New Roman"/>
                <w:color w:val="000000" w:themeColor="text1"/>
                <w:sz w:val="16"/>
                <w:szCs w:val="16"/>
              </w:rPr>
              <w:t>Опытн</w:t>
            </w:r>
            <w:proofErr w:type="spellEnd"/>
            <w:r w:rsidRPr="00A259BD">
              <w:rPr>
                <w:rFonts w:ascii="Times New Roman" w:hAnsi="Times New Roman"/>
                <w:color w:val="000000" w:themeColor="text1"/>
                <w:sz w:val="16"/>
                <w:szCs w:val="16"/>
              </w:rPr>
              <w:t xml:space="preserve">. с-т находится в </w:t>
            </w:r>
            <w:proofErr w:type="spellStart"/>
            <w:r w:rsidRPr="00A259BD">
              <w:rPr>
                <w:rFonts w:ascii="Times New Roman" w:hAnsi="Times New Roman"/>
                <w:color w:val="000000" w:themeColor="text1"/>
                <w:sz w:val="16"/>
                <w:szCs w:val="16"/>
              </w:rPr>
              <w:t>экспл</w:t>
            </w:r>
            <w:proofErr w:type="spellEnd"/>
            <w:r w:rsidRPr="00A259BD">
              <w:rPr>
                <w:rFonts w:ascii="Times New Roman" w:hAnsi="Times New Roman"/>
                <w:color w:val="000000" w:themeColor="text1"/>
                <w:sz w:val="16"/>
                <w:szCs w:val="16"/>
              </w:rPr>
              <w:t>. в 15 бригаде.</w:t>
            </w:r>
          </w:p>
        </w:tc>
      </w:tr>
      <w:tr w:rsidR="00A259BD" w:rsidRPr="00A259BD" w14:paraId="76447385" w14:textId="77777777">
        <w:tc>
          <w:tcPr>
            <w:tcW w:w="950" w:type="dxa"/>
          </w:tcPr>
          <w:p w14:paraId="5F1BAA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Одномест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истр</w:t>
            </w:r>
            <w:proofErr w:type="spellEnd"/>
            <w:r w:rsidRPr="00A259BD">
              <w:rPr>
                <w:rFonts w:ascii="Times New Roman" w:hAnsi="Times New Roman"/>
                <w:color w:val="000000" w:themeColor="text1"/>
                <w:sz w:val="16"/>
                <w:szCs w:val="16"/>
              </w:rPr>
              <w:t>. И4 Юпитер VI</w:t>
            </w:r>
          </w:p>
        </w:tc>
        <w:tc>
          <w:tcPr>
            <w:tcW w:w="828" w:type="dxa"/>
          </w:tcPr>
          <w:p w14:paraId="4371E1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480/600</w:t>
            </w:r>
          </w:p>
        </w:tc>
        <w:tc>
          <w:tcPr>
            <w:tcW w:w="828" w:type="dxa"/>
          </w:tcPr>
          <w:p w14:paraId="02E06C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Цельнометаллич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дюрал</w:t>
            </w:r>
            <w:proofErr w:type="spellEnd"/>
            <w:r w:rsidRPr="00A259BD">
              <w:rPr>
                <w:rFonts w:ascii="Times New Roman" w:hAnsi="Times New Roman"/>
                <w:color w:val="000000" w:themeColor="text1"/>
                <w:sz w:val="16"/>
                <w:szCs w:val="16"/>
              </w:rPr>
              <w:t xml:space="preserve">. </w:t>
            </w:r>
          </w:p>
        </w:tc>
        <w:tc>
          <w:tcPr>
            <w:tcW w:w="720" w:type="dxa"/>
          </w:tcPr>
          <w:p w14:paraId="76BAEC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442</w:t>
            </w:r>
          </w:p>
        </w:tc>
        <w:tc>
          <w:tcPr>
            <w:tcW w:w="720" w:type="dxa"/>
          </w:tcPr>
          <w:p w14:paraId="7C1010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1363</w:t>
            </w:r>
          </w:p>
        </w:tc>
        <w:tc>
          <w:tcPr>
            <w:tcW w:w="828" w:type="dxa"/>
          </w:tcPr>
          <w:p w14:paraId="0F5A62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257</w:t>
            </w:r>
          </w:p>
        </w:tc>
        <w:tc>
          <w:tcPr>
            <w:tcW w:w="828" w:type="dxa"/>
          </w:tcPr>
          <w:p w14:paraId="19867D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228</w:t>
            </w:r>
          </w:p>
        </w:tc>
        <w:tc>
          <w:tcPr>
            <w:tcW w:w="828" w:type="dxa"/>
          </w:tcPr>
          <w:p w14:paraId="577FD4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3,28’</w:t>
            </w:r>
          </w:p>
        </w:tc>
        <w:tc>
          <w:tcPr>
            <w:tcW w:w="828" w:type="dxa"/>
          </w:tcPr>
          <w:p w14:paraId="5DF5A0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w:t>
            </w:r>
          </w:p>
        </w:tc>
        <w:tc>
          <w:tcPr>
            <w:tcW w:w="828" w:type="dxa"/>
          </w:tcPr>
          <w:p w14:paraId="331B42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11,06'</w:t>
            </w:r>
          </w:p>
        </w:tc>
        <w:tc>
          <w:tcPr>
            <w:tcW w:w="828" w:type="dxa"/>
          </w:tcPr>
          <w:p w14:paraId="37DE15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7650</w:t>
            </w:r>
          </w:p>
        </w:tc>
        <w:tc>
          <w:tcPr>
            <w:tcW w:w="733" w:type="dxa"/>
          </w:tcPr>
          <w:p w14:paraId="5DF077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пул.</w:t>
            </w:r>
          </w:p>
        </w:tc>
        <w:tc>
          <w:tcPr>
            <w:tcW w:w="567" w:type="dxa"/>
          </w:tcPr>
          <w:p w14:paraId="6D2894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Крупн</w:t>
            </w:r>
            <w:proofErr w:type="spellEnd"/>
            <w:r w:rsidRPr="00A259BD">
              <w:rPr>
                <w:rFonts w:ascii="Times New Roman" w:hAnsi="Times New Roman"/>
                <w:color w:val="000000" w:themeColor="text1"/>
                <w:sz w:val="16"/>
                <w:szCs w:val="16"/>
              </w:rPr>
              <w:t>. дефект. Нет.</w:t>
            </w:r>
          </w:p>
        </w:tc>
        <w:tc>
          <w:tcPr>
            <w:tcW w:w="851" w:type="dxa"/>
          </w:tcPr>
          <w:p w14:paraId="48E437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Строит. в серии 77 шт.</w:t>
            </w:r>
          </w:p>
        </w:tc>
      </w:tr>
      <w:tr w:rsidR="00A259BD" w:rsidRPr="00A259BD" w14:paraId="1330414D" w14:textId="77777777">
        <w:tc>
          <w:tcPr>
            <w:tcW w:w="950" w:type="dxa"/>
          </w:tcPr>
          <w:p w14:paraId="3B109F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 одноместн.Р3 М5</w:t>
            </w:r>
          </w:p>
        </w:tc>
        <w:tc>
          <w:tcPr>
            <w:tcW w:w="828" w:type="dxa"/>
          </w:tcPr>
          <w:p w14:paraId="07BAC7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400</w:t>
            </w:r>
          </w:p>
        </w:tc>
        <w:tc>
          <w:tcPr>
            <w:tcW w:w="828" w:type="dxa"/>
          </w:tcPr>
          <w:p w14:paraId="238629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Цельнометаллич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дюрал</w:t>
            </w:r>
            <w:proofErr w:type="spellEnd"/>
            <w:r w:rsidRPr="00A259BD">
              <w:rPr>
                <w:rFonts w:ascii="Times New Roman" w:hAnsi="Times New Roman"/>
                <w:color w:val="000000" w:themeColor="text1"/>
                <w:sz w:val="16"/>
                <w:szCs w:val="16"/>
              </w:rPr>
              <w:t xml:space="preserve">. </w:t>
            </w:r>
          </w:p>
        </w:tc>
        <w:tc>
          <w:tcPr>
            <w:tcW w:w="720" w:type="dxa"/>
          </w:tcPr>
          <w:p w14:paraId="6CF376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752</w:t>
            </w:r>
          </w:p>
        </w:tc>
        <w:tc>
          <w:tcPr>
            <w:tcW w:w="720" w:type="dxa"/>
          </w:tcPr>
          <w:p w14:paraId="531FC7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2103</w:t>
            </w:r>
          </w:p>
        </w:tc>
        <w:tc>
          <w:tcPr>
            <w:tcW w:w="828" w:type="dxa"/>
          </w:tcPr>
          <w:p w14:paraId="0525BC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201</w:t>
            </w:r>
          </w:p>
        </w:tc>
        <w:tc>
          <w:tcPr>
            <w:tcW w:w="828" w:type="dxa"/>
          </w:tcPr>
          <w:p w14:paraId="13C36A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191/3000</w:t>
            </w:r>
          </w:p>
        </w:tc>
        <w:tc>
          <w:tcPr>
            <w:tcW w:w="828" w:type="dxa"/>
          </w:tcPr>
          <w:p w14:paraId="4ACCFE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13,44’</w:t>
            </w:r>
          </w:p>
        </w:tc>
        <w:tc>
          <w:tcPr>
            <w:tcW w:w="828" w:type="dxa"/>
          </w:tcPr>
          <w:p w14:paraId="354AE4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19'36”</w:t>
            </w:r>
          </w:p>
        </w:tc>
        <w:tc>
          <w:tcPr>
            <w:tcW w:w="828" w:type="dxa"/>
          </w:tcPr>
          <w:p w14:paraId="153E81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28" w:type="dxa"/>
          </w:tcPr>
          <w:p w14:paraId="19E853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4640</w:t>
            </w:r>
          </w:p>
        </w:tc>
        <w:tc>
          <w:tcPr>
            <w:tcW w:w="733" w:type="dxa"/>
          </w:tcPr>
          <w:p w14:paraId="00D8B9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пул.</w:t>
            </w:r>
          </w:p>
        </w:tc>
        <w:tc>
          <w:tcPr>
            <w:tcW w:w="567" w:type="dxa"/>
          </w:tcPr>
          <w:p w14:paraId="154BC0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Недост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прочн</w:t>
            </w:r>
            <w:proofErr w:type="spellEnd"/>
            <w:r w:rsidRPr="00A259BD">
              <w:rPr>
                <w:rFonts w:ascii="Times New Roman" w:hAnsi="Times New Roman"/>
                <w:color w:val="000000" w:themeColor="text1"/>
                <w:sz w:val="16"/>
                <w:szCs w:val="16"/>
              </w:rPr>
              <w:t>. первого шпангоута ф-</w:t>
            </w:r>
            <w:proofErr w:type="spellStart"/>
            <w:r w:rsidRPr="00A259BD">
              <w:rPr>
                <w:rFonts w:ascii="Times New Roman" w:hAnsi="Times New Roman"/>
                <w:color w:val="000000" w:themeColor="text1"/>
                <w:sz w:val="16"/>
                <w:szCs w:val="16"/>
              </w:rPr>
              <w:t>жа</w:t>
            </w:r>
            <w:proofErr w:type="spellEnd"/>
            <w:r w:rsidRPr="00A259BD">
              <w:rPr>
                <w:rFonts w:ascii="Times New Roman" w:hAnsi="Times New Roman"/>
                <w:color w:val="000000" w:themeColor="text1"/>
                <w:sz w:val="16"/>
                <w:szCs w:val="16"/>
              </w:rPr>
              <w:t>.</w:t>
            </w:r>
          </w:p>
        </w:tc>
        <w:tc>
          <w:tcPr>
            <w:tcW w:w="851" w:type="dxa"/>
          </w:tcPr>
          <w:p w14:paraId="1613DD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Постр</w:t>
            </w:r>
            <w:proofErr w:type="spellEnd"/>
            <w:r w:rsidRPr="00A259BD">
              <w:rPr>
                <w:rFonts w:ascii="Times New Roman" w:hAnsi="Times New Roman"/>
                <w:color w:val="000000" w:themeColor="text1"/>
                <w:sz w:val="16"/>
                <w:szCs w:val="16"/>
              </w:rPr>
              <w:t xml:space="preserve">. серия 22 шт. и </w:t>
            </w:r>
            <w:proofErr w:type="spellStart"/>
            <w:r w:rsidRPr="00A259BD">
              <w:rPr>
                <w:rFonts w:ascii="Times New Roman" w:hAnsi="Times New Roman"/>
                <w:color w:val="000000" w:themeColor="text1"/>
                <w:sz w:val="16"/>
                <w:szCs w:val="16"/>
              </w:rPr>
              <w:t>наход</w:t>
            </w:r>
            <w:proofErr w:type="spellEnd"/>
            <w:r w:rsidRPr="00A259BD">
              <w:rPr>
                <w:rFonts w:ascii="Times New Roman" w:hAnsi="Times New Roman"/>
                <w:color w:val="000000" w:themeColor="text1"/>
                <w:sz w:val="16"/>
                <w:szCs w:val="16"/>
              </w:rPr>
              <w:t xml:space="preserve">. в </w:t>
            </w:r>
            <w:proofErr w:type="spellStart"/>
            <w:r w:rsidRPr="00A259BD">
              <w:rPr>
                <w:rFonts w:ascii="Times New Roman" w:hAnsi="Times New Roman"/>
                <w:color w:val="000000" w:themeColor="text1"/>
                <w:sz w:val="16"/>
                <w:szCs w:val="16"/>
              </w:rPr>
              <w:t>экспл</w:t>
            </w:r>
            <w:proofErr w:type="spellEnd"/>
            <w:r w:rsidRPr="00A259BD">
              <w:rPr>
                <w:rFonts w:ascii="Times New Roman" w:hAnsi="Times New Roman"/>
                <w:color w:val="000000" w:themeColor="text1"/>
                <w:sz w:val="16"/>
                <w:szCs w:val="16"/>
              </w:rPr>
              <w:t xml:space="preserve">. с 1927/28 </w:t>
            </w:r>
            <w:proofErr w:type="spellStart"/>
            <w:r w:rsidRPr="00A259BD">
              <w:rPr>
                <w:rFonts w:ascii="Times New Roman" w:hAnsi="Times New Roman"/>
                <w:color w:val="000000" w:themeColor="text1"/>
                <w:sz w:val="16"/>
                <w:szCs w:val="16"/>
              </w:rPr>
              <w:t>г.г</w:t>
            </w:r>
            <w:proofErr w:type="spellEnd"/>
            <w:r w:rsidRPr="00A259BD">
              <w:rPr>
                <w:rFonts w:ascii="Times New Roman" w:hAnsi="Times New Roman"/>
                <w:color w:val="000000" w:themeColor="text1"/>
                <w:sz w:val="16"/>
                <w:szCs w:val="16"/>
              </w:rPr>
              <w:t>.</w:t>
            </w:r>
          </w:p>
        </w:tc>
      </w:tr>
      <w:tr w:rsidR="00A259BD" w:rsidRPr="00A259BD" w14:paraId="0C5AE7E5" w14:textId="77777777">
        <w:tc>
          <w:tcPr>
            <w:tcW w:w="950" w:type="dxa"/>
          </w:tcPr>
          <w:p w14:paraId="3D45D7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 одноместн.Р3 Лорен Дитрих</w:t>
            </w:r>
          </w:p>
        </w:tc>
        <w:tc>
          <w:tcPr>
            <w:tcW w:w="828" w:type="dxa"/>
          </w:tcPr>
          <w:p w14:paraId="3B6B94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w:t>
            </w:r>
          </w:p>
        </w:tc>
        <w:tc>
          <w:tcPr>
            <w:tcW w:w="828" w:type="dxa"/>
          </w:tcPr>
          <w:p w14:paraId="292A0B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Цельнометаллич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дюрал</w:t>
            </w:r>
            <w:proofErr w:type="spellEnd"/>
            <w:r w:rsidRPr="00A259BD">
              <w:rPr>
                <w:rFonts w:ascii="Times New Roman" w:hAnsi="Times New Roman"/>
                <w:color w:val="000000" w:themeColor="text1"/>
                <w:sz w:val="16"/>
                <w:szCs w:val="16"/>
              </w:rPr>
              <w:t xml:space="preserve">. </w:t>
            </w:r>
          </w:p>
        </w:tc>
        <w:tc>
          <w:tcPr>
            <w:tcW w:w="720" w:type="dxa"/>
          </w:tcPr>
          <w:p w14:paraId="4D01D8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750</w:t>
            </w:r>
          </w:p>
        </w:tc>
        <w:tc>
          <w:tcPr>
            <w:tcW w:w="720" w:type="dxa"/>
          </w:tcPr>
          <w:p w14:paraId="5ACC52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2090</w:t>
            </w:r>
          </w:p>
        </w:tc>
        <w:tc>
          <w:tcPr>
            <w:tcW w:w="828" w:type="dxa"/>
          </w:tcPr>
          <w:p w14:paraId="6B966D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203,6</w:t>
            </w:r>
          </w:p>
        </w:tc>
        <w:tc>
          <w:tcPr>
            <w:tcW w:w="828" w:type="dxa"/>
          </w:tcPr>
          <w:p w14:paraId="04F27B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193,5/ 3000</w:t>
            </w:r>
          </w:p>
        </w:tc>
        <w:tc>
          <w:tcPr>
            <w:tcW w:w="828" w:type="dxa"/>
          </w:tcPr>
          <w:p w14:paraId="6585F2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9,41’</w:t>
            </w:r>
          </w:p>
        </w:tc>
        <w:tc>
          <w:tcPr>
            <w:tcW w:w="828" w:type="dxa"/>
          </w:tcPr>
          <w:p w14:paraId="5EC7FF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16,61'</w:t>
            </w:r>
          </w:p>
        </w:tc>
        <w:tc>
          <w:tcPr>
            <w:tcW w:w="828" w:type="dxa"/>
          </w:tcPr>
          <w:p w14:paraId="399603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28" w:type="dxa"/>
          </w:tcPr>
          <w:p w14:paraId="4B1E57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4920</w:t>
            </w:r>
          </w:p>
        </w:tc>
        <w:tc>
          <w:tcPr>
            <w:tcW w:w="733" w:type="dxa"/>
          </w:tcPr>
          <w:p w14:paraId="661A2C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пул.</w:t>
            </w:r>
          </w:p>
        </w:tc>
        <w:tc>
          <w:tcPr>
            <w:tcW w:w="567" w:type="dxa"/>
          </w:tcPr>
          <w:p w14:paraId="1533E2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Недост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прочн</w:t>
            </w:r>
            <w:proofErr w:type="spellEnd"/>
            <w:r w:rsidRPr="00A259BD">
              <w:rPr>
                <w:rFonts w:ascii="Times New Roman" w:hAnsi="Times New Roman"/>
                <w:color w:val="000000" w:themeColor="text1"/>
                <w:sz w:val="16"/>
                <w:szCs w:val="16"/>
              </w:rPr>
              <w:t>. первого шпангоута ф-</w:t>
            </w:r>
            <w:proofErr w:type="spellStart"/>
            <w:r w:rsidRPr="00A259BD">
              <w:rPr>
                <w:rFonts w:ascii="Times New Roman" w:hAnsi="Times New Roman"/>
                <w:color w:val="000000" w:themeColor="text1"/>
                <w:sz w:val="16"/>
                <w:szCs w:val="16"/>
              </w:rPr>
              <w:t>жа</w:t>
            </w:r>
            <w:proofErr w:type="spellEnd"/>
            <w:r w:rsidRPr="00A259BD">
              <w:rPr>
                <w:rFonts w:ascii="Times New Roman" w:hAnsi="Times New Roman"/>
                <w:color w:val="000000" w:themeColor="text1"/>
                <w:sz w:val="16"/>
                <w:szCs w:val="16"/>
              </w:rPr>
              <w:t>.</w:t>
            </w:r>
          </w:p>
        </w:tc>
        <w:tc>
          <w:tcPr>
            <w:tcW w:w="851" w:type="dxa"/>
          </w:tcPr>
          <w:p w14:paraId="0286E7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Постр</w:t>
            </w:r>
            <w:proofErr w:type="spellEnd"/>
            <w:r w:rsidRPr="00A259BD">
              <w:rPr>
                <w:rFonts w:ascii="Times New Roman" w:hAnsi="Times New Roman"/>
                <w:color w:val="000000" w:themeColor="text1"/>
                <w:sz w:val="16"/>
                <w:szCs w:val="16"/>
              </w:rPr>
              <w:t xml:space="preserve">. серия в 94 шт. и </w:t>
            </w:r>
            <w:proofErr w:type="spellStart"/>
            <w:r w:rsidRPr="00A259BD">
              <w:rPr>
                <w:rFonts w:ascii="Times New Roman" w:hAnsi="Times New Roman"/>
                <w:color w:val="000000" w:themeColor="text1"/>
                <w:sz w:val="16"/>
                <w:szCs w:val="16"/>
              </w:rPr>
              <w:t>наход</w:t>
            </w:r>
            <w:proofErr w:type="spellEnd"/>
            <w:r w:rsidRPr="00A259BD">
              <w:rPr>
                <w:rFonts w:ascii="Times New Roman" w:hAnsi="Times New Roman"/>
                <w:color w:val="000000" w:themeColor="text1"/>
                <w:sz w:val="16"/>
                <w:szCs w:val="16"/>
              </w:rPr>
              <w:t xml:space="preserve">. в </w:t>
            </w:r>
            <w:proofErr w:type="spellStart"/>
            <w:r w:rsidRPr="00A259BD">
              <w:rPr>
                <w:rFonts w:ascii="Times New Roman" w:hAnsi="Times New Roman"/>
                <w:color w:val="000000" w:themeColor="text1"/>
                <w:sz w:val="16"/>
                <w:szCs w:val="16"/>
              </w:rPr>
              <w:t>экспл</w:t>
            </w:r>
            <w:proofErr w:type="spellEnd"/>
            <w:r w:rsidRPr="00A259BD">
              <w:rPr>
                <w:rFonts w:ascii="Times New Roman" w:hAnsi="Times New Roman"/>
                <w:color w:val="000000" w:themeColor="text1"/>
                <w:sz w:val="16"/>
                <w:szCs w:val="16"/>
              </w:rPr>
              <w:t>. с 1928 г.</w:t>
            </w:r>
          </w:p>
        </w:tc>
      </w:tr>
      <w:tr w:rsidR="00A259BD" w:rsidRPr="00A259BD" w14:paraId="7C541692" w14:textId="77777777">
        <w:tc>
          <w:tcPr>
            <w:tcW w:w="950" w:type="dxa"/>
          </w:tcPr>
          <w:p w14:paraId="167EED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Одномест</w:t>
            </w:r>
            <w:proofErr w:type="spellEnd"/>
            <w:r w:rsidRPr="00A259BD">
              <w:rPr>
                <w:rFonts w:ascii="Times New Roman" w:hAnsi="Times New Roman"/>
                <w:color w:val="000000" w:themeColor="text1"/>
                <w:sz w:val="16"/>
                <w:szCs w:val="16"/>
              </w:rPr>
              <w:t>. разведчик Р7 БМВVI Е=6,0</w:t>
            </w:r>
          </w:p>
        </w:tc>
        <w:tc>
          <w:tcPr>
            <w:tcW w:w="828" w:type="dxa"/>
          </w:tcPr>
          <w:p w14:paraId="1E6CDF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500/680</w:t>
            </w:r>
          </w:p>
        </w:tc>
        <w:tc>
          <w:tcPr>
            <w:tcW w:w="828" w:type="dxa"/>
          </w:tcPr>
          <w:p w14:paraId="51C380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Цельнометаллич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дюрал</w:t>
            </w:r>
            <w:proofErr w:type="spellEnd"/>
            <w:r w:rsidRPr="00A259BD">
              <w:rPr>
                <w:rFonts w:ascii="Times New Roman" w:hAnsi="Times New Roman"/>
                <w:color w:val="000000" w:themeColor="text1"/>
                <w:sz w:val="16"/>
                <w:szCs w:val="16"/>
              </w:rPr>
              <w:t xml:space="preserve">. </w:t>
            </w:r>
          </w:p>
        </w:tc>
        <w:tc>
          <w:tcPr>
            <w:tcW w:w="720" w:type="dxa"/>
          </w:tcPr>
          <w:p w14:paraId="542647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854</w:t>
            </w:r>
          </w:p>
        </w:tc>
        <w:tc>
          <w:tcPr>
            <w:tcW w:w="720" w:type="dxa"/>
          </w:tcPr>
          <w:p w14:paraId="5B8FA9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2400</w:t>
            </w:r>
          </w:p>
        </w:tc>
        <w:tc>
          <w:tcPr>
            <w:tcW w:w="828" w:type="dxa"/>
          </w:tcPr>
          <w:p w14:paraId="31625E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212/3000</w:t>
            </w:r>
          </w:p>
        </w:tc>
        <w:tc>
          <w:tcPr>
            <w:tcW w:w="828" w:type="dxa"/>
          </w:tcPr>
          <w:p w14:paraId="25CBB5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28" w:type="dxa"/>
          </w:tcPr>
          <w:p w14:paraId="12FF29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7,9’/6’</w:t>
            </w:r>
          </w:p>
        </w:tc>
        <w:tc>
          <w:tcPr>
            <w:tcW w:w="828" w:type="dxa"/>
          </w:tcPr>
          <w:p w14:paraId="61DE3AB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12,1'</w:t>
            </w:r>
          </w:p>
          <w:p w14:paraId="258051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w:t>
            </w:r>
          </w:p>
        </w:tc>
        <w:tc>
          <w:tcPr>
            <w:tcW w:w="828" w:type="dxa"/>
          </w:tcPr>
          <w:p w14:paraId="46B925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25,9'</w:t>
            </w:r>
          </w:p>
          <w:p w14:paraId="47ED88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/23,9</w:t>
            </w:r>
          </w:p>
        </w:tc>
        <w:tc>
          <w:tcPr>
            <w:tcW w:w="828" w:type="dxa"/>
          </w:tcPr>
          <w:p w14:paraId="7E88C6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6260</w:t>
            </w:r>
          </w:p>
        </w:tc>
        <w:tc>
          <w:tcPr>
            <w:tcW w:w="733" w:type="dxa"/>
          </w:tcPr>
          <w:p w14:paraId="603F27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пул.</w:t>
            </w:r>
          </w:p>
        </w:tc>
        <w:tc>
          <w:tcPr>
            <w:tcW w:w="567" w:type="dxa"/>
          </w:tcPr>
          <w:p w14:paraId="71D928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E7A9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Летные данные </w:t>
            </w:r>
            <w:proofErr w:type="spellStart"/>
            <w:r w:rsidRPr="00A259BD">
              <w:rPr>
                <w:rFonts w:ascii="Times New Roman" w:hAnsi="Times New Roman"/>
                <w:color w:val="000000" w:themeColor="text1"/>
                <w:sz w:val="16"/>
                <w:szCs w:val="16"/>
              </w:rPr>
              <w:t>проектн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Опытн</w:t>
            </w:r>
            <w:proofErr w:type="spellEnd"/>
            <w:r w:rsidRPr="00A259BD">
              <w:rPr>
                <w:rFonts w:ascii="Times New Roman" w:hAnsi="Times New Roman"/>
                <w:color w:val="000000" w:themeColor="text1"/>
                <w:sz w:val="16"/>
                <w:szCs w:val="16"/>
              </w:rPr>
              <w:t xml:space="preserve">. с-т </w:t>
            </w:r>
            <w:proofErr w:type="spellStart"/>
            <w:r w:rsidRPr="00A259BD">
              <w:rPr>
                <w:rFonts w:ascii="Times New Roman" w:hAnsi="Times New Roman"/>
                <w:color w:val="000000" w:themeColor="text1"/>
                <w:sz w:val="16"/>
                <w:szCs w:val="16"/>
              </w:rPr>
              <w:t>постр</w:t>
            </w:r>
            <w:proofErr w:type="spellEnd"/>
            <w:r w:rsidRPr="00A259BD">
              <w:rPr>
                <w:rFonts w:ascii="Times New Roman" w:hAnsi="Times New Roman"/>
                <w:color w:val="000000" w:themeColor="text1"/>
                <w:sz w:val="16"/>
                <w:szCs w:val="16"/>
              </w:rPr>
              <w:t>. и находится на зав. исп.</w:t>
            </w:r>
          </w:p>
        </w:tc>
      </w:tr>
      <w:tr w:rsidR="00A259BD" w:rsidRPr="00A259BD" w14:paraId="744F8039" w14:textId="77777777">
        <w:tc>
          <w:tcPr>
            <w:tcW w:w="950" w:type="dxa"/>
          </w:tcPr>
          <w:p w14:paraId="40F2CC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Двухмест</w:t>
            </w:r>
            <w:proofErr w:type="spellEnd"/>
            <w:r w:rsidRPr="00A259BD">
              <w:rPr>
                <w:rFonts w:ascii="Times New Roman" w:hAnsi="Times New Roman"/>
                <w:color w:val="000000" w:themeColor="text1"/>
                <w:sz w:val="16"/>
                <w:szCs w:val="16"/>
              </w:rPr>
              <w:t>. крейсер. разведчик Р6 2 БМВVI Е=7,3</w:t>
            </w:r>
          </w:p>
        </w:tc>
        <w:tc>
          <w:tcPr>
            <w:tcW w:w="828" w:type="dxa"/>
          </w:tcPr>
          <w:p w14:paraId="3D9F5F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500/750</w:t>
            </w:r>
          </w:p>
        </w:tc>
        <w:tc>
          <w:tcPr>
            <w:tcW w:w="828" w:type="dxa"/>
          </w:tcPr>
          <w:p w14:paraId="26215B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Цельнометаллич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дюрал</w:t>
            </w:r>
            <w:proofErr w:type="spellEnd"/>
            <w:r w:rsidRPr="00A259BD">
              <w:rPr>
                <w:rFonts w:ascii="Times New Roman" w:hAnsi="Times New Roman"/>
                <w:color w:val="000000" w:themeColor="text1"/>
                <w:sz w:val="16"/>
                <w:szCs w:val="16"/>
              </w:rPr>
              <w:t xml:space="preserve">. </w:t>
            </w:r>
          </w:p>
        </w:tc>
        <w:tc>
          <w:tcPr>
            <w:tcW w:w="720" w:type="dxa"/>
          </w:tcPr>
          <w:p w14:paraId="68C0D9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620</w:t>
            </w:r>
          </w:p>
        </w:tc>
        <w:tc>
          <w:tcPr>
            <w:tcW w:w="720" w:type="dxa"/>
          </w:tcPr>
          <w:p w14:paraId="4955A7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4786</w:t>
            </w:r>
          </w:p>
        </w:tc>
        <w:tc>
          <w:tcPr>
            <w:tcW w:w="828" w:type="dxa"/>
          </w:tcPr>
          <w:p w14:paraId="7614C4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256/3000</w:t>
            </w:r>
          </w:p>
        </w:tc>
        <w:tc>
          <w:tcPr>
            <w:tcW w:w="828" w:type="dxa"/>
          </w:tcPr>
          <w:p w14:paraId="15C0D4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247/5000</w:t>
            </w:r>
          </w:p>
        </w:tc>
        <w:tc>
          <w:tcPr>
            <w:tcW w:w="828" w:type="dxa"/>
          </w:tcPr>
          <w:p w14:paraId="21AAEE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28" w:type="dxa"/>
          </w:tcPr>
          <w:p w14:paraId="357D10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tc>
        <w:tc>
          <w:tcPr>
            <w:tcW w:w="828" w:type="dxa"/>
          </w:tcPr>
          <w:p w14:paraId="19E8E2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15,3'</w:t>
            </w:r>
          </w:p>
        </w:tc>
        <w:tc>
          <w:tcPr>
            <w:tcW w:w="828" w:type="dxa"/>
          </w:tcPr>
          <w:p w14:paraId="16575C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7210</w:t>
            </w:r>
          </w:p>
        </w:tc>
        <w:tc>
          <w:tcPr>
            <w:tcW w:w="733" w:type="dxa"/>
          </w:tcPr>
          <w:p w14:paraId="3074DA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пул.</w:t>
            </w:r>
          </w:p>
        </w:tc>
        <w:tc>
          <w:tcPr>
            <w:tcW w:w="567" w:type="dxa"/>
          </w:tcPr>
          <w:p w14:paraId="0DDE6D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170C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Летные данные </w:t>
            </w:r>
            <w:proofErr w:type="spellStart"/>
            <w:r w:rsidRPr="00A259BD">
              <w:rPr>
                <w:rFonts w:ascii="Times New Roman" w:hAnsi="Times New Roman"/>
                <w:color w:val="000000" w:themeColor="text1"/>
                <w:sz w:val="16"/>
                <w:szCs w:val="16"/>
              </w:rPr>
              <w:t>проектн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Опытн</w:t>
            </w:r>
            <w:proofErr w:type="spellEnd"/>
            <w:r w:rsidRPr="00A259BD">
              <w:rPr>
                <w:rFonts w:ascii="Times New Roman" w:hAnsi="Times New Roman"/>
                <w:color w:val="000000" w:themeColor="text1"/>
                <w:sz w:val="16"/>
                <w:szCs w:val="16"/>
              </w:rPr>
              <w:t xml:space="preserve">. с-т </w:t>
            </w:r>
            <w:proofErr w:type="spellStart"/>
            <w:r w:rsidRPr="00A259BD">
              <w:rPr>
                <w:rFonts w:ascii="Times New Roman" w:hAnsi="Times New Roman"/>
                <w:color w:val="000000" w:themeColor="text1"/>
                <w:sz w:val="16"/>
                <w:szCs w:val="16"/>
              </w:rPr>
              <w:t>постр</w:t>
            </w:r>
            <w:proofErr w:type="spellEnd"/>
            <w:r w:rsidRPr="00A259BD">
              <w:rPr>
                <w:rFonts w:ascii="Times New Roman" w:hAnsi="Times New Roman"/>
                <w:color w:val="000000" w:themeColor="text1"/>
                <w:sz w:val="16"/>
                <w:szCs w:val="16"/>
              </w:rPr>
              <w:t>. и находится на зав. исп.</w:t>
            </w:r>
          </w:p>
        </w:tc>
      </w:tr>
      <w:tr w:rsidR="00A259BD" w:rsidRPr="00A259BD" w14:paraId="1A2A2E13" w14:textId="77777777">
        <w:tc>
          <w:tcPr>
            <w:tcW w:w="950" w:type="dxa"/>
          </w:tcPr>
          <w:p w14:paraId="28F710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Тяжелый бомбард. ТБ1 (АНТ4) 2 </w:t>
            </w:r>
            <w:proofErr w:type="spellStart"/>
            <w:r w:rsidRPr="00A259BD">
              <w:rPr>
                <w:rFonts w:ascii="Times New Roman" w:hAnsi="Times New Roman"/>
                <w:color w:val="000000" w:themeColor="text1"/>
                <w:sz w:val="16"/>
                <w:szCs w:val="16"/>
              </w:rPr>
              <w:t>Нэпира</w:t>
            </w:r>
            <w:proofErr w:type="spellEnd"/>
            <w:r w:rsidRPr="00A259BD">
              <w:rPr>
                <w:rFonts w:ascii="Times New Roman" w:hAnsi="Times New Roman"/>
                <w:color w:val="000000" w:themeColor="text1"/>
                <w:sz w:val="16"/>
                <w:szCs w:val="16"/>
              </w:rPr>
              <w:t xml:space="preserve"> х 450</w:t>
            </w:r>
          </w:p>
        </w:tc>
        <w:tc>
          <w:tcPr>
            <w:tcW w:w="828" w:type="dxa"/>
          </w:tcPr>
          <w:p w14:paraId="293955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w:t>
            </w:r>
          </w:p>
        </w:tc>
        <w:tc>
          <w:tcPr>
            <w:tcW w:w="828" w:type="dxa"/>
          </w:tcPr>
          <w:p w14:paraId="1781CA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Цельнометаллич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дюрал</w:t>
            </w:r>
            <w:proofErr w:type="spellEnd"/>
            <w:r w:rsidRPr="00A259BD">
              <w:rPr>
                <w:rFonts w:ascii="Times New Roman" w:hAnsi="Times New Roman"/>
                <w:color w:val="000000" w:themeColor="text1"/>
                <w:sz w:val="16"/>
                <w:szCs w:val="16"/>
              </w:rPr>
              <w:t xml:space="preserve">. </w:t>
            </w:r>
          </w:p>
        </w:tc>
        <w:tc>
          <w:tcPr>
            <w:tcW w:w="720" w:type="dxa"/>
          </w:tcPr>
          <w:p w14:paraId="694E72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2150</w:t>
            </w:r>
          </w:p>
        </w:tc>
        <w:tc>
          <w:tcPr>
            <w:tcW w:w="720" w:type="dxa"/>
          </w:tcPr>
          <w:p w14:paraId="0190D8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6250</w:t>
            </w:r>
          </w:p>
        </w:tc>
        <w:tc>
          <w:tcPr>
            <w:tcW w:w="828" w:type="dxa"/>
          </w:tcPr>
          <w:p w14:paraId="2CD5D3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196,5</w:t>
            </w:r>
          </w:p>
        </w:tc>
        <w:tc>
          <w:tcPr>
            <w:tcW w:w="828" w:type="dxa"/>
          </w:tcPr>
          <w:p w14:paraId="2219B7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28" w:type="dxa"/>
          </w:tcPr>
          <w:p w14:paraId="4F8F67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12’4”</w:t>
            </w:r>
          </w:p>
        </w:tc>
        <w:tc>
          <w:tcPr>
            <w:tcW w:w="828" w:type="dxa"/>
          </w:tcPr>
          <w:p w14:paraId="4B87C3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20'44”</w:t>
            </w:r>
          </w:p>
        </w:tc>
        <w:tc>
          <w:tcPr>
            <w:tcW w:w="828" w:type="dxa"/>
          </w:tcPr>
          <w:p w14:paraId="3262E6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28" w:type="dxa"/>
          </w:tcPr>
          <w:p w14:paraId="17376B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4550</w:t>
            </w:r>
          </w:p>
        </w:tc>
        <w:tc>
          <w:tcPr>
            <w:tcW w:w="733" w:type="dxa"/>
          </w:tcPr>
          <w:p w14:paraId="442448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567" w:type="dxa"/>
          </w:tcPr>
          <w:p w14:paraId="3EEDBF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D16C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 </w:t>
            </w:r>
            <w:proofErr w:type="spellStart"/>
            <w:r w:rsidRPr="00A259BD">
              <w:rPr>
                <w:rFonts w:ascii="Times New Roman" w:hAnsi="Times New Roman"/>
                <w:color w:val="000000" w:themeColor="text1"/>
                <w:sz w:val="16"/>
                <w:szCs w:val="16"/>
              </w:rPr>
              <w:t>постр</w:t>
            </w:r>
            <w:proofErr w:type="spellEnd"/>
            <w:r w:rsidRPr="00A259BD">
              <w:rPr>
                <w:rFonts w:ascii="Times New Roman" w:hAnsi="Times New Roman"/>
                <w:color w:val="000000" w:themeColor="text1"/>
                <w:sz w:val="16"/>
                <w:szCs w:val="16"/>
              </w:rPr>
              <w:t xml:space="preserve">. по спец. заданию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w:t>
            </w:r>
          </w:p>
        </w:tc>
      </w:tr>
      <w:tr w:rsidR="00A259BD" w:rsidRPr="00A259BD" w14:paraId="2069BA84" w14:textId="77777777">
        <w:tc>
          <w:tcPr>
            <w:tcW w:w="950" w:type="dxa"/>
          </w:tcPr>
          <w:p w14:paraId="5F3647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ТБ1 2 БМВVI х 450/600</w:t>
            </w:r>
          </w:p>
        </w:tc>
        <w:tc>
          <w:tcPr>
            <w:tcW w:w="828" w:type="dxa"/>
          </w:tcPr>
          <w:p w14:paraId="40526C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900/1200</w:t>
            </w:r>
          </w:p>
        </w:tc>
        <w:tc>
          <w:tcPr>
            <w:tcW w:w="828" w:type="dxa"/>
          </w:tcPr>
          <w:p w14:paraId="352357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Цельнометаллич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дюрал</w:t>
            </w:r>
            <w:proofErr w:type="spellEnd"/>
            <w:r w:rsidRPr="00A259BD">
              <w:rPr>
                <w:rFonts w:ascii="Times New Roman" w:hAnsi="Times New Roman"/>
                <w:color w:val="000000" w:themeColor="text1"/>
                <w:sz w:val="16"/>
                <w:szCs w:val="16"/>
              </w:rPr>
              <w:t xml:space="preserve">. </w:t>
            </w:r>
          </w:p>
        </w:tc>
        <w:tc>
          <w:tcPr>
            <w:tcW w:w="720" w:type="dxa"/>
          </w:tcPr>
          <w:p w14:paraId="27D30C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2285</w:t>
            </w:r>
          </w:p>
        </w:tc>
        <w:tc>
          <w:tcPr>
            <w:tcW w:w="720" w:type="dxa"/>
          </w:tcPr>
          <w:p w14:paraId="668A87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6560</w:t>
            </w:r>
          </w:p>
        </w:tc>
        <w:tc>
          <w:tcPr>
            <w:tcW w:w="828" w:type="dxa"/>
          </w:tcPr>
          <w:p w14:paraId="6B6F1B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198</w:t>
            </w:r>
          </w:p>
        </w:tc>
        <w:tc>
          <w:tcPr>
            <w:tcW w:w="828" w:type="dxa"/>
          </w:tcPr>
          <w:p w14:paraId="208E9D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191,5/</w:t>
            </w:r>
          </w:p>
          <w:p w14:paraId="1A3B1C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2000</w:t>
            </w:r>
          </w:p>
        </w:tc>
        <w:tc>
          <w:tcPr>
            <w:tcW w:w="828" w:type="dxa"/>
          </w:tcPr>
          <w:p w14:paraId="68C1E8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11,9’</w:t>
            </w:r>
          </w:p>
        </w:tc>
        <w:tc>
          <w:tcPr>
            <w:tcW w:w="828" w:type="dxa"/>
          </w:tcPr>
          <w:p w14:paraId="7208A7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19,4</w:t>
            </w:r>
          </w:p>
        </w:tc>
        <w:tc>
          <w:tcPr>
            <w:tcW w:w="828" w:type="dxa"/>
          </w:tcPr>
          <w:p w14:paraId="51217F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28" w:type="dxa"/>
          </w:tcPr>
          <w:p w14:paraId="0D1251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4700</w:t>
            </w:r>
          </w:p>
        </w:tc>
        <w:tc>
          <w:tcPr>
            <w:tcW w:w="733" w:type="dxa"/>
          </w:tcPr>
          <w:p w14:paraId="12C803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 пул.</w:t>
            </w:r>
          </w:p>
          <w:p w14:paraId="1E4A61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730 кг бомб</w:t>
            </w:r>
          </w:p>
        </w:tc>
        <w:tc>
          <w:tcPr>
            <w:tcW w:w="567" w:type="dxa"/>
          </w:tcPr>
          <w:p w14:paraId="268588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D333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 строится в серии 30 шт.</w:t>
            </w:r>
          </w:p>
        </w:tc>
      </w:tr>
      <w:tr w:rsidR="00A259BD" w:rsidRPr="00A259BD" w14:paraId="60450D2C" w14:textId="77777777">
        <w:tc>
          <w:tcPr>
            <w:tcW w:w="950" w:type="dxa"/>
          </w:tcPr>
          <w:p w14:paraId="132517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ТБ1 2 БМВVI х 450/600</w:t>
            </w:r>
          </w:p>
        </w:tc>
        <w:tc>
          <w:tcPr>
            <w:tcW w:w="828" w:type="dxa"/>
          </w:tcPr>
          <w:p w14:paraId="1107F5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900/1200</w:t>
            </w:r>
          </w:p>
        </w:tc>
        <w:tc>
          <w:tcPr>
            <w:tcW w:w="828" w:type="dxa"/>
          </w:tcPr>
          <w:p w14:paraId="79508F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Цельнометаллич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дюрал</w:t>
            </w:r>
            <w:proofErr w:type="spellEnd"/>
            <w:r w:rsidRPr="00A259BD">
              <w:rPr>
                <w:rFonts w:ascii="Times New Roman" w:hAnsi="Times New Roman"/>
                <w:color w:val="000000" w:themeColor="text1"/>
                <w:sz w:val="16"/>
                <w:szCs w:val="16"/>
              </w:rPr>
              <w:t xml:space="preserve">. </w:t>
            </w:r>
          </w:p>
        </w:tc>
        <w:tc>
          <w:tcPr>
            <w:tcW w:w="720" w:type="dxa"/>
          </w:tcPr>
          <w:p w14:paraId="22990A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3500</w:t>
            </w:r>
          </w:p>
        </w:tc>
        <w:tc>
          <w:tcPr>
            <w:tcW w:w="720" w:type="dxa"/>
          </w:tcPr>
          <w:p w14:paraId="642DF1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7750</w:t>
            </w:r>
          </w:p>
        </w:tc>
        <w:tc>
          <w:tcPr>
            <w:tcW w:w="828" w:type="dxa"/>
          </w:tcPr>
          <w:p w14:paraId="519DB7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190</w:t>
            </w:r>
          </w:p>
        </w:tc>
        <w:tc>
          <w:tcPr>
            <w:tcW w:w="828" w:type="dxa"/>
          </w:tcPr>
          <w:p w14:paraId="2A86CC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28" w:type="dxa"/>
          </w:tcPr>
          <w:p w14:paraId="107316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29,7</w:t>
            </w:r>
          </w:p>
        </w:tc>
        <w:tc>
          <w:tcPr>
            <w:tcW w:w="828" w:type="dxa"/>
          </w:tcPr>
          <w:p w14:paraId="2A451B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28" w:type="dxa"/>
          </w:tcPr>
          <w:p w14:paraId="382DD4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28" w:type="dxa"/>
          </w:tcPr>
          <w:p w14:paraId="512C7F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33" w:type="dxa"/>
          </w:tcPr>
          <w:p w14:paraId="332F41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 пул.</w:t>
            </w:r>
          </w:p>
          <w:p w14:paraId="36ECB7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 кг бомб</w:t>
            </w:r>
          </w:p>
        </w:tc>
        <w:tc>
          <w:tcPr>
            <w:tcW w:w="567" w:type="dxa"/>
          </w:tcPr>
          <w:p w14:paraId="325413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899C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D48B0AC" w14:textId="77777777">
        <w:tc>
          <w:tcPr>
            <w:tcW w:w="950" w:type="dxa"/>
          </w:tcPr>
          <w:p w14:paraId="54173F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Пассажир. АНТ-9 3 Титана х 230</w:t>
            </w:r>
          </w:p>
        </w:tc>
        <w:tc>
          <w:tcPr>
            <w:tcW w:w="828" w:type="dxa"/>
          </w:tcPr>
          <w:p w14:paraId="1AF78E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690</w:t>
            </w:r>
          </w:p>
        </w:tc>
        <w:tc>
          <w:tcPr>
            <w:tcW w:w="828" w:type="dxa"/>
          </w:tcPr>
          <w:p w14:paraId="2613C4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Цельнометаллич</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дюрал</w:t>
            </w:r>
            <w:proofErr w:type="spellEnd"/>
            <w:r w:rsidRPr="00A259BD">
              <w:rPr>
                <w:rFonts w:ascii="Times New Roman" w:hAnsi="Times New Roman"/>
                <w:color w:val="000000" w:themeColor="text1"/>
                <w:sz w:val="16"/>
                <w:szCs w:val="16"/>
              </w:rPr>
              <w:t xml:space="preserve">. </w:t>
            </w:r>
          </w:p>
        </w:tc>
        <w:tc>
          <w:tcPr>
            <w:tcW w:w="720" w:type="dxa"/>
          </w:tcPr>
          <w:p w14:paraId="5F76A2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1690</w:t>
            </w:r>
          </w:p>
        </w:tc>
        <w:tc>
          <w:tcPr>
            <w:tcW w:w="720" w:type="dxa"/>
          </w:tcPr>
          <w:p w14:paraId="6544B9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5043</w:t>
            </w:r>
          </w:p>
        </w:tc>
        <w:tc>
          <w:tcPr>
            <w:tcW w:w="828" w:type="dxa"/>
          </w:tcPr>
          <w:p w14:paraId="1884BC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209</w:t>
            </w:r>
          </w:p>
        </w:tc>
        <w:tc>
          <w:tcPr>
            <w:tcW w:w="828" w:type="dxa"/>
          </w:tcPr>
          <w:p w14:paraId="3732D2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182/3000</w:t>
            </w:r>
          </w:p>
        </w:tc>
        <w:tc>
          <w:tcPr>
            <w:tcW w:w="828" w:type="dxa"/>
          </w:tcPr>
          <w:p w14:paraId="33B2F0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15,48’</w:t>
            </w:r>
          </w:p>
        </w:tc>
        <w:tc>
          <w:tcPr>
            <w:tcW w:w="828" w:type="dxa"/>
          </w:tcPr>
          <w:p w14:paraId="72B512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30,7'</w:t>
            </w:r>
          </w:p>
        </w:tc>
        <w:tc>
          <w:tcPr>
            <w:tcW w:w="828" w:type="dxa"/>
          </w:tcPr>
          <w:p w14:paraId="27942A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28" w:type="dxa"/>
          </w:tcPr>
          <w:p w14:paraId="7A3B7E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3810</w:t>
            </w:r>
          </w:p>
        </w:tc>
        <w:tc>
          <w:tcPr>
            <w:tcW w:w="733" w:type="dxa"/>
          </w:tcPr>
          <w:p w14:paraId="57672D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567" w:type="dxa"/>
          </w:tcPr>
          <w:p w14:paraId="2C466F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Вибрац</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мотоус</w:t>
            </w:r>
            <w:proofErr w:type="spellEnd"/>
            <w:r w:rsidRPr="00A259BD">
              <w:rPr>
                <w:rFonts w:ascii="Times New Roman" w:hAnsi="Times New Roman"/>
                <w:color w:val="000000" w:themeColor="text1"/>
                <w:sz w:val="16"/>
                <w:szCs w:val="16"/>
              </w:rPr>
              <w:t xml:space="preserve">. </w:t>
            </w:r>
          </w:p>
        </w:tc>
        <w:tc>
          <w:tcPr>
            <w:tcW w:w="851" w:type="dxa"/>
          </w:tcPr>
          <w:p w14:paraId="253E2C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 строится в серии 5 шт.</w:t>
            </w:r>
          </w:p>
        </w:tc>
      </w:tr>
    </w:tbl>
    <w:p w14:paraId="48AEA3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(6998, 45).</w:t>
      </w:r>
    </w:p>
    <w:p w14:paraId="6EBAD1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F4CB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декабря 1929 года была подготовлена справка:</w:t>
      </w:r>
    </w:p>
    <w:p w14:paraId="3D2B28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Опытные самолеты морского отдела опытного самолетостроения МОС – гл. конструктор Ришар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0"/>
        <w:gridCol w:w="828"/>
        <w:gridCol w:w="828"/>
        <w:gridCol w:w="720"/>
        <w:gridCol w:w="720"/>
        <w:gridCol w:w="720"/>
        <w:gridCol w:w="828"/>
        <w:gridCol w:w="828"/>
        <w:gridCol w:w="828"/>
        <w:gridCol w:w="828"/>
        <w:gridCol w:w="828"/>
        <w:gridCol w:w="416"/>
        <w:gridCol w:w="1134"/>
        <w:gridCol w:w="709"/>
      </w:tblGrid>
      <w:tr w:rsidR="00A259BD" w:rsidRPr="00A259BD" w14:paraId="18CDE877" w14:textId="77777777">
        <w:tc>
          <w:tcPr>
            <w:tcW w:w="950" w:type="dxa"/>
          </w:tcPr>
          <w:p w14:paraId="3BC41F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Название с-та и мотора</w:t>
            </w:r>
          </w:p>
        </w:tc>
        <w:tc>
          <w:tcPr>
            <w:tcW w:w="828" w:type="dxa"/>
          </w:tcPr>
          <w:p w14:paraId="6DFB78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Мощн</w:t>
            </w:r>
            <w:proofErr w:type="spellEnd"/>
            <w:r w:rsidRPr="00A259BD">
              <w:rPr>
                <w:rFonts w:ascii="Times New Roman" w:hAnsi="Times New Roman"/>
                <w:color w:val="000000" w:themeColor="text1"/>
                <w:sz w:val="16"/>
                <w:szCs w:val="16"/>
              </w:rPr>
              <w:t>.</w:t>
            </w:r>
          </w:p>
        </w:tc>
        <w:tc>
          <w:tcPr>
            <w:tcW w:w="828" w:type="dxa"/>
          </w:tcPr>
          <w:p w14:paraId="635C17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Матер. </w:t>
            </w:r>
            <w:proofErr w:type="spellStart"/>
            <w:r w:rsidRPr="00A259BD">
              <w:rPr>
                <w:rFonts w:ascii="Times New Roman" w:hAnsi="Times New Roman"/>
                <w:color w:val="000000" w:themeColor="text1"/>
                <w:sz w:val="16"/>
                <w:szCs w:val="16"/>
              </w:rPr>
              <w:t>констр</w:t>
            </w:r>
            <w:proofErr w:type="spellEnd"/>
            <w:r w:rsidRPr="00A259BD">
              <w:rPr>
                <w:rFonts w:ascii="Times New Roman" w:hAnsi="Times New Roman"/>
                <w:color w:val="000000" w:themeColor="text1"/>
                <w:sz w:val="16"/>
                <w:szCs w:val="16"/>
              </w:rPr>
              <w:t>.</w:t>
            </w:r>
          </w:p>
        </w:tc>
        <w:tc>
          <w:tcPr>
            <w:tcW w:w="720" w:type="dxa"/>
          </w:tcPr>
          <w:p w14:paraId="5F0B35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Полн. </w:t>
            </w:r>
            <w:proofErr w:type="spellStart"/>
            <w:r w:rsidRPr="00A259BD">
              <w:rPr>
                <w:rFonts w:ascii="Times New Roman" w:hAnsi="Times New Roman"/>
                <w:color w:val="000000" w:themeColor="text1"/>
                <w:sz w:val="16"/>
                <w:szCs w:val="16"/>
              </w:rPr>
              <w:t>нагруз</w:t>
            </w:r>
            <w:proofErr w:type="spellEnd"/>
            <w:r w:rsidRPr="00A259BD">
              <w:rPr>
                <w:rFonts w:ascii="Times New Roman" w:hAnsi="Times New Roman"/>
                <w:color w:val="000000" w:themeColor="text1"/>
                <w:sz w:val="16"/>
                <w:szCs w:val="16"/>
              </w:rPr>
              <w:t xml:space="preserve">. </w:t>
            </w:r>
          </w:p>
        </w:tc>
        <w:tc>
          <w:tcPr>
            <w:tcW w:w="720" w:type="dxa"/>
          </w:tcPr>
          <w:p w14:paraId="4C1031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Полет. Вес</w:t>
            </w:r>
          </w:p>
        </w:tc>
        <w:tc>
          <w:tcPr>
            <w:tcW w:w="720" w:type="dxa"/>
          </w:tcPr>
          <w:p w14:paraId="243FA9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Гориз</w:t>
            </w:r>
            <w:proofErr w:type="spellEnd"/>
            <w:r w:rsidRPr="00A259BD">
              <w:rPr>
                <w:rFonts w:ascii="Times New Roman" w:hAnsi="Times New Roman"/>
                <w:color w:val="000000" w:themeColor="text1"/>
                <w:sz w:val="16"/>
                <w:szCs w:val="16"/>
              </w:rPr>
              <w:t xml:space="preserve">. скор. макс. </w:t>
            </w:r>
          </w:p>
        </w:tc>
        <w:tc>
          <w:tcPr>
            <w:tcW w:w="828" w:type="dxa"/>
          </w:tcPr>
          <w:p w14:paraId="396196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Гориз</w:t>
            </w:r>
            <w:proofErr w:type="spellEnd"/>
            <w:r w:rsidRPr="00A259BD">
              <w:rPr>
                <w:rFonts w:ascii="Times New Roman" w:hAnsi="Times New Roman"/>
                <w:color w:val="000000" w:themeColor="text1"/>
                <w:sz w:val="16"/>
                <w:szCs w:val="16"/>
              </w:rPr>
              <w:t>. скор. на высоте 5000 м</w:t>
            </w:r>
          </w:p>
        </w:tc>
        <w:tc>
          <w:tcPr>
            <w:tcW w:w="828" w:type="dxa"/>
          </w:tcPr>
          <w:p w14:paraId="6FCF11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подъема</w:t>
            </w:r>
          </w:p>
          <w:p w14:paraId="75D422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2000 м</w:t>
            </w:r>
          </w:p>
        </w:tc>
        <w:tc>
          <w:tcPr>
            <w:tcW w:w="828" w:type="dxa"/>
          </w:tcPr>
          <w:p w14:paraId="6633D9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подъема на 3000 м</w:t>
            </w:r>
          </w:p>
        </w:tc>
        <w:tc>
          <w:tcPr>
            <w:tcW w:w="828" w:type="dxa"/>
          </w:tcPr>
          <w:p w14:paraId="6E34AF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подъема на 5000 м</w:t>
            </w:r>
          </w:p>
        </w:tc>
        <w:tc>
          <w:tcPr>
            <w:tcW w:w="828" w:type="dxa"/>
          </w:tcPr>
          <w:p w14:paraId="764FE9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Потолок</w:t>
            </w:r>
          </w:p>
        </w:tc>
        <w:tc>
          <w:tcPr>
            <w:tcW w:w="416" w:type="dxa"/>
          </w:tcPr>
          <w:p w14:paraId="72CC31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Вооруж</w:t>
            </w:r>
            <w:proofErr w:type="spellEnd"/>
            <w:r w:rsidRPr="00A259BD">
              <w:rPr>
                <w:rFonts w:ascii="Times New Roman" w:hAnsi="Times New Roman"/>
                <w:color w:val="000000" w:themeColor="text1"/>
                <w:sz w:val="16"/>
                <w:szCs w:val="16"/>
              </w:rPr>
              <w:t>.</w:t>
            </w:r>
          </w:p>
        </w:tc>
        <w:tc>
          <w:tcPr>
            <w:tcW w:w="1134" w:type="dxa"/>
          </w:tcPr>
          <w:p w14:paraId="1E9326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дефекты</w:t>
            </w:r>
          </w:p>
        </w:tc>
        <w:tc>
          <w:tcPr>
            <w:tcW w:w="709" w:type="dxa"/>
          </w:tcPr>
          <w:p w14:paraId="0E316A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w:t>
            </w:r>
          </w:p>
        </w:tc>
      </w:tr>
      <w:tr w:rsidR="00A259BD" w:rsidRPr="00A259BD" w14:paraId="22BAF134" w14:textId="77777777">
        <w:tc>
          <w:tcPr>
            <w:tcW w:w="950" w:type="dxa"/>
          </w:tcPr>
          <w:p w14:paraId="2E5BEE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Разведчик открытого моря РОМ1 2 Лорен Дитрих 450 НР</w:t>
            </w:r>
          </w:p>
        </w:tc>
        <w:tc>
          <w:tcPr>
            <w:tcW w:w="828" w:type="dxa"/>
          </w:tcPr>
          <w:p w14:paraId="17DA8D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w:t>
            </w:r>
          </w:p>
        </w:tc>
        <w:tc>
          <w:tcPr>
            <w:tcW w:w="828" w:type="dxa"/>
          </w:tcPr>
          <w:p w14:paraId="3684AC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Деревян</w:t>
            </w:r>
            <w:proofErr w:type="spellEnd"/>
            <w:r w:rsidRPr="00A259BD">
              <w:rPr>
                <w:rFonts w:ascii="Times New Roman" w:hAnsi="Times New Roman"/>
                <w:color w:val="000000" w:themeColor="text1"/>
                <w:sz w:val="16"/>
                <w:szCs w:val="16"/>
              </w:rPr>
              <w:t xml:space="preserve">. верхнее крыло нижнее крыло и </w:t>
            </w:r>
            <w:proofErr w:type="spellStart"/>
            <w:r w:rsidRPr="00A259BD">
              <w:rPr>
                <w:rFonts w:ascii="Times New Roman" w:hAnsi="Times New Roman"/>
                <w:color w:val="000000" w:themeColor="text1"/>
                <w:sz w:val="16"/>
                <w:szCs w:val="16"/>
              </w:rPr>
              <w:t>дурал</w:t>
            </w:r>
            <w:proofErr w:type="spellEnd"/>
            <w:r w:rsidRPr="00A259BD">
              <w:rPr>
                <w:rFonts w:ascii="Times New Roman" w:hAnsi="Times New Roman"/>
                <w:color w:val="000000" w:themeColor="text1"/>
                <w:sz w:val="16"/>
                <w:szCs w:val="16"/>
              </w:rPr>
              <w:t xml:space="preserve">. лодка. </w:t>
            </w:r>
          </w:p>
        </w:tc>
        <w:tc>
          <w:tcPr>
            <w:tcW w:w="720" w:type="dxa"/>
          </w:tcPr>
          <w:p w14:paraId="1AD967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1311</w:t>
            </w:r>
          </w:p>
        </w:tc>
        <w:tc>
          <w:tcPr>
            <w:tcW w:w="720" w:type="dxa"/>
          </w:tcPr>
          <w:p w14:paraId="21715A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5829</w:t>
            </w:r>
          </w:p>
        </w:tc>
        <w:tc>
          <w:tcPr>
            <w:tcW w:w="720" w:type="dxa"/>
          </w:tcPr>
          <w:p w14:paraId="14A31D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167</w:t>
            </w:r>
          </w:p>
        </w:tc>
        <w:tc>
          <w:tcPr>
            <w:tcW w:w="828" w:type="dxa"/>
          </w:tcPr>
          <w:p w14:paraId="50A937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28" w:type="dxa"/>
          </w:tcPr>
          <w:p w14:paraId="06BEFE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20,5</w:t>
            </w:r>
          </w:p>
        </w:tc>
        <w:tc>
          <w:tcPr>
            <w:tcW w:w="828" w:type="dxa"/>
          </w:tcPr>
          <w:p w14:paraId="683C01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39,7</w:t>
            </w:r>
          </w:p>
        </w:tc>
        <w:tc>
          <w:tcPr>
            <w:tcW w:w="828" w:type="dxa"/>
          </w:tcPr>
          <w:p w14:paraId="611D9A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28" w:type="dxa"/>
          </w:tcPr>
          <w:p w14:paraId="47B414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3650</w:t>
            </w:r>
          </w:p>
        </w:tc>
        <w:tc>
          <w:tcPr>
            <w:tcW w:w="416" w:type="dxa"/>
          </w:tcPr>
          <w:p w14:paraId="628408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E51D2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Требует спец. </w:t>
            </w:r>
            <w:proofErr w:type="spellStart"/>
            <w:r w:rsidRPr="00A259BD">
              <w:rPr>
                <w:rFonts w:ascii="Times New Roman" w:hAnsi="Times New Roman"/>
                <w:color w:val="000000" w:themeColor="text1"/>
                <w:sz w:val="16"/>
                <w:szCs w:val="16"/>
              </w:rPr>
              <w:t>тренир</w:t>
            </w:r>
            <w:proofErr w:type="spellEnd"/>
            <w:r w:rsidRPr="00A259BD">
              <w:rPr>
                <w:rFonts w:ascii="Times New Roman" w:hAnsi="Times New Roman"/>
                <w:color w:val="000000" w:themeColor="text1"/>
                <w:sz w:val="16"/>
                <w:szCs w:val="16"/>
              </w:rPr>
              <w:t>. личного состава.</w:t>
            </w:r>
          </w:p>
          <w:p w14:paraId="23F303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Тугое </w:t>
            </w:r>
            <w:proofErr w:type="spellStart"/>
            <w:r w:rsidRPr="00A259BD">
              <w:rPr>
                <w:rFonts w:ascii="Times New Roman" w:hAnsi="Times New Roman"/>
                <w:color w:val="000000" w:themeColor="text1"/>
                <w:sz w:val="16"/>
                <w:szCs w:val="16"/>
              </w:rPr>
              <w:t>управл</w:t>
            </w:r>
            <w:proofErr w:type="spellEnd"/>
            <w:r w:rsidRPr="00A259BD">
              <w:rPr>
                <w:rFonts w:ascii="Times New Roman" w:hAnsi="Times New Roman"/>
                <w:color w:val="000000" w:themeColor="text1"/>
                <w:sz w:val="16"/>
                <w:szCs w:val="16"/>
              </w:rPr>
              <w:t>.</w:t>
            </w:r>
          </w:p>
          <w:p w14:paraId="3CCE9F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 </w:t>
            </w:r>
            <w:proofErr w:type="spellStart"/>
            <w:r w:rsidRPr="00A259BD">
              <w:rPr>
                <w:rFonts w:ascii="Times New Roman" w:hAnsi="Times New Roman"/>
                <w:color w:val="000000" w:themeColor="text1"/>
                <w:sz w:val="16"/>
                <w:szCs w:val="16"/>
              </w:rPr>
              <w:t>удовлет</w:t>
            </w:r>
            <w:proofErr w:type="spellEnd"/>
            <w:r w:rsidRPr="00A259BD">
              <w:rPr>
                <w:rFonts w:ascii="Times New Roman" w:hAnsi="Times New Roman"/>
                <w:color w:val="000000" w:themeColor="text1"/>
                <w:sz w:val="16"/>
                <w:szCs w:val="16"/>
              </w:rPr>
              <w:t xml:space="preserve">. по своим летным качеств. и </w:t>
            </w:r>
            <w:proofErr w:type="spellStart"/>
            <w:r w:rsidRPr="00A259BD">
              <w:rPr>
                <w:rFonts w:ascii="Times New Roman" w:hAnsi="Times New Roman"/>
                <w:color w:val="000000" w:themeColor="text1"/>
                <w:sz w:val="16"/>
                <w:szCs w:val="16"/>
              </w:rPr>
              <w:t>грузопод</w:t>
            </w:r>
            <w:proofErr w:type="spellEnd"/>
            <w:r w:rsidRPr="00A259BD">
              <w:rPr>
                <w:rFonts w:ascii="Times New Roman" w:hAnsi="Times New Roman"/>
                <w:color w:val="000000" w:themeColor="text1"/>
                <w:sz w:val="16"/>
                <w:szCs w:val="16"/>
              </w:rPr>
              <w:t xml:space="preserve">. по </w:t>
            </w:r>
            <w:proofErr w:type="spellStart"/>
            <w:r w:rsidRPr="00A259BD">
              <w:rPr>
                <w:rFonts w:ascii="Times New Roman" w:hAnsi="Times New Roman"/>
                <w:color w:val="000000" w:themeColor="text1"/>
                <w:sz w:val="16"/>
                <w:szCs w:val="16"/>
              </w:rPr>
              <w:t>техтреб</w:t>
            </w:r>
            <w:proofErr w:type="spellEnd"/>
            <w:r w:rsidRPr="00A259BD">
              <w:rPr>
                <w:rFonts w:ascii="Times New Roman" w:hAnsi="Times New Roman"/>
                <w:color w:val="000000" w:themeColor="text1"/>
                <w:sz w:val="16"/>
                <w:szCs w:val="16"/>
              </w:rPr>
              <w:t>. НТК.</w:t>
            </w:r>
          </w:p>
          <w:p w14:paraId="5DC077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Плохой обзор с пилотского места.</w:t>
            </w:r>
          </w:p>
        </w:tc>
        <w:tc>
          <w:tcPr>
            <w:tcW w:w="709" w:type="dxa"/>
          </w:tcPr>
          <w:p w14:paraId="3BBED3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С-т оставлен для </w:t>
            </w:r>
            <w:proofErr w:type="spellStart"/>
            <w:r w:rsidRPr="00A259BD">
              <w:rPr>
                <w:rFonts w:ascii="Times New Roman" w:hAnsi="Times New Roman"/>
                <w:color w:val="000000" w:themeColor="text1"/>
                <w:sz w:val="16"/>
                <w:szCs w:val="16"/>
              </w:rPr>
              <w:t>тренир</w:t>
            </w:r>
            <w:proofErr w:type="spellEnd"/>
            <w:r w:rsidRPr="00A259BD">
              <w:rPr>
                <w:rFonts w:ascii="Times New Roman" w:hAnsi="Times New Roman"/>
                <w:color w:val="000000" w:themeColor="text1"/>
                <w:sz w:val="16"/>
                <w:szCs w:val="16"/>
              </w:rPr>
              <w:t xml:space="preserve">. целей в авиации Черного моря. На </w:t>
            </w:r>
            <w:proofErr w:type="spellStart"/>
            <w:r w:rsidRPr="00A259BD">
              <w:rPr>
                <w:rFonts w:ascii="Times New Roman" w:hAnsi="Times New Roman"/>
                <w:color w:val="000000" w:themeColor="text1"/>
                <w:sz w:val="16"/>
                <w:szCs w:val="16"/>
              </w:rPr>
              <w:t>снабж</w:t>
            </w:r>
            <w:proofErr w:type="spellEnd"/>
            <w:r w:rsidRPr="00A259BD">
              <w:rPr>
                <w:rFonts w:ascii="Times New Roman" w:hAnsi="Times New Roman"/>
                <w:color w:val="000000" w:themeColor="text1"/>
                <w:sz w:val="16"/>
                <w:szCs w:val="16"/>
              </w:rPr>
              <w:t xml:space="preserve">. не </w:t>
            </w:r>
            <w:r w:rsidRPr="00A259BD">
              <w:rPr>
                <w:rFonts w:ascii="Times New Roman" w:hAnsi="Times New Roman"/>
                <w:color w:val="000000" w:themeColor="text1"/>
                <w:sz w:val="16"/>
                <w:szCs w:val="16"/>
              </w:rPr>
              <w:lastRenderedPageBreak/>
              <w:t>принят.</w:t>
            </w:r>
          </w:p>
        </w:tc>
      </w:tr>
      <w:tr w:rsidR="00A259BD" w:rsidRPr="00A259BD" w14:paraId="7B95F81B" w14:textId="77777777">
        <w:tc>
          <w:tcPr>
            <w:tcW w:w="950" w:type="dxa"/>
          </w:tcPr>
          <w:p w14:paraId="78C41F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Разведчик открытого моря РОМ1 2 БМВ VI 450/600</w:t>
            </w:r>
          </w:p>
        </w:tc>
        <w:tc>
          <w:tcPr>
            <w:tcW w:w="828" w:type="dxa"/>
          </w:tcPr>
          <w:p w14:paraId="16EBC4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900/1200</w:t>
            </w:r>
          </w:p>
        </w:tc>
        <w:tc>
          <w:tcPr>
            <w:tcW w:w="828" w:type="dxa"/>
          </w:tcPr>
          <w:p w14:paraId="6DE512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Деревян</w:t>
            </w:r>
            <w:proofErr w:type="spellEnd"/>
            <w:r w:rsidRPr="00A259BD">
              <w:rPr>
                <w:rFonts w:ascii="Times New Roman" w:hAnsi="Times New Roman"/>
                <w:color w:val="000000" w:themeColor="text1"/>
                <w:sz w:val="16"/>
                <w:szCs w:val="16"/>
              </w:rPr>
              <w:t xml:space="preserve">. верхнее крыло нижнее крыло и </w:t>
            </w:r>
            <w:proofErr w:type="spellStart"/>
            <w:r w:rsidRPr="00A259BD">
              <w:rPr>
                <w:rFonts w:ascii="Times New Roman" w:hAnsi="Times New Roman"/>
                <w:color w:val="000000" w:themeColor="text1"/>
                <w:sz w:val="16"/>
                <w:szCs w:val="16"/>
              </w:rPr>
              <w:t>дурал</w:t>
            </w:r>
            <w:proofErr w:type="spellEnd"/>
            <w:r w:rsidRPr="00A259BD">
              <w:rPr>
                <w:rFonts w:ascii="Times New Roman" w:hAnsi="Times New Roman"/>
                <w:color w:val="000000" w:themeColor="text1"/>
                <w:sz w:val="16"/>
                <w:szCs w:val="16"/>
              </w:rPr>
              <w:t xml:space="preserve">. лодка </w:t>
            </w:r>
          </w:p>
        </w:tc>
        <w:tc>
          <w:tcPr>
            <w:tcW w:w="720" w:type="dxa"/>
          </w:tcPr>
          <w:p w14:paraId="081559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1840</w:t>
            </w:r>
          </w:p>
        </w:tc>
        <w:tc>
          <w:tcPr>
            <w:tcW w:w="720" w:type="dxa"/>
          </w:tcPr>
          <w:p w14:paraId="361F55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6587</w:t>
            </w:r>
          </w:p>
        </w:tc>
        <w:tc>
          <w:tcPr>
            <w:tcW w:w="720" w:type="dxa"/>
          </w:tcPr>
          <w:p w14:paraId="6B2AE2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180</w:t>
            </w:r>
          </w:p>
        </w:tc>
        <w:tc>
          <w:tcPr>
            <w:tcW w:w="828" w:type="dxa"/>
          </w:tcPr>
          <w:p w14:paraId="673F2F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163/3000</w:t>
            </w:r>
          </w:p>
        </w:tc>
        <w:tc>
          <w:tcPr>
            <w:tcW w:w="828" w:type="dxa"/>
          </w:tcPr>
          <w:p w14:paraId="7E1698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12,0/19,5</w:t>
            </w:r>
          </w:p>
        </w:tc>
        <w:tc>
          <w:tcPr>
            <w:tcW w:w="828" w:type="dxa"/>
          </w:tcPr>
          <w:p w14:paraId="43D644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22,1/13,6</w:t>
            </w:r>
          </w:p>
        </w:tc>
        <w:tc>
          <w:tcPr>
            <w:tcW w:w="828" w:type="dxa"/>
          </w:tcPr>
          <w:p w14:paraId="0DFED8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28" w:type="dxa"/>
          </w:tcPr>
          <w:p w14:paraId="04C994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4500</w:t>
            </w:r>
          </w:p>
        </w:tc>
        <w:tc>
          <w:tcPr>
            <w:tcW w:w="416" w:type="dxa"/>
          </w:tcPr>
          <w:p w14:paraId="444437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пул.</w:t>
            </w:r>
          </w:p>
        </w:tc>
        <w:tc>
          <w:tcPr>
            <w:tcW w:w="1134" w:type="dxa"/>
          </w:tcPr>
          <w:p w14:paraId="081FE1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Дифферент на нос.</w:t>
            </w:r>
          </w:p>
          <w:p w14:paraId="4A1B62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Низко сидящие поплавки, благодаря чему при взлете получается торможение (большое образование водяных усов с брызгами) и нагрузка на крыло.</w:t>
            </w:r>
          </w:p>
          <w:p w14:paraId="17A5DC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Плох. </w:t>
            </w:r>
            <w:proofErr w:type="spellStart"/>
            <w:r w:rsidRPr="00A259BD">
              <w:rPr>
                <w:rFonts w:ascii="Times New Roman" w:hAnsi="Times New Roman"/>
                <w:color w:val="000000" w:themeColor="text1"/>
                <w:sz w:val="16"/>
                <w:szCs w:val="16"/>
              </w:rPr>
              <w:t>обсл</w:t>
            </w:r>
            <w:proofErr w:type="spellEnd"/>
            <w:r w:rsidRPr="00A259BD">
              <w:rPr>
                <w:rFonts w:ascii="Times New Roman" w:hAnsi="Times New Roman"/>
                <w:color w:val="000000" w:themeColor="text1"/>
                <w:sz w:val="16"/>
                <w:szCs w:val="16"/>
              </w:rPr>
              <w:t xml:space="preserve">. мот. </w:t>
            </w:r>
          </w:p>
        </w:tc>
        <w:tc>
          <w:tcPr>
            <w:tcW w:w="709" w:type="dxa"/>
          </w:tcPr>
          <w:p w14:paraId="51105B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w:t>
            </w:r>
            <w:proofErr w:type="spellStart"/>
            <w:r w:rsidRPr="00A259BD">
              <w:rPr>
                <w:rFonts w:ascii="Times New Roman" w:hAnsi="Times New Roman"/>
                <w:color w:val="000000" w:themeColor="text1"/>
                <w:sz w:val="16"/>
                <w:szCs w:val="16"/>
              </w:rPr>
              <w:t>снабж</w:t>
            </w:r>
            <w:proofErr w:type="spellEnd"/>
            <w:r w:rsidRPr="00A259BD">
              <w:rPr>
                <w:rFonts w:ascii="Times New Roman" w:hAnsi="Times New Roman"/>
                <w:color w:val="000000" w:themeColor="text1"/>
                <w:sz w:val="16"/>
                <w:szCs w:val="16"/>
              </w:rPr>
              <w:t>. не принят.</w:t>
            </w:r>
          </w:p>
        </w:tc>
      </w:tr>
      <w:tr w:rsidR="00A259BD" w:rsidRPr="00A259BD" w14:paraId="6410589E" w14:textId="77777777">
        <w:tc>
          <w:tcPr>
            <w:tcW w:w="950" w:type="dxa"/>
          </w:tcPr>
          <w:p w14:paraId="435C1E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Базовый разведчик МР5 БМВ VI</w:t>
            </w:r>
          </w:p>
        </w:tc>
        <w:tc>
          <w:tcPr>
            <w:tcW w:w="828" w:type="dxa"/>
          </w:tcPr>
          <w:p w14:paraId="400F62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450/600</w:t>
            </w:r>
          </w:p>
        </w:tc>
        <w:tc>
          <w:tcPr>
            <w:tcW w:w="828" w:type="dxa"/>
          </w:tcPr>
          <w:p w14:paraId="293521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Деревян</w:t>
            </w:r>
            <w:proofErr w:type="spellEnd"/>
            <w:r w:rsidRPr="00A259BD">
              <w:rPr>
                <w:rFonts w:ascii="Times New Roman" w:hAnsi="Times New Roman"/>
                <w:color w:val="000000" w:themeColor="text1"/>
                <w:sz w:val="16"/>
                <w:szCs w:val="16"/>
              </w:rPr>
              <w:t xml:space="preserve">. крыло </w:t>
            </w:r>
            <w:proofErr w:type="spellStart"/>
            <w:r w:rsidRPr="00A259BD">
              <w:rPr>
                <w:rFonts w:ascii="Times New Roman" w:hAnsi="Times New Roman"/>
                <w:color w:val="000000" w:themeColor="text1"/>
                <w:sz w:val="16"/>
                <w:szCs w:val="16"/>
              </w:rPr>
              <w:t>дурал</w:t>
            </w:r>
            <w:proofErr w:type="spellEnd"/>
            <w:r w:rsidRPr="00A259BD">
              <w:rPr>
                <w:rFonts w:ascii="Times New Roman" w:hAnsi="Times New Roman"/>
                <w:color w:val="000000" w:themeColor="text1"/>
                <w:sz w:val="16"/>
                <w:szCs w:val="16"/>
              </w:rPr>
              <w:t xml:space="preserve">. лодка </w:t>
            </w:r>
          </w:p>
        </w:tc>
        <w:tc>
          <w:tcPr>
            <w:tcW w:w="720" w:type="dxa"/>
          </w:tcPr>
          <w:p w14:paraId="766522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1055</w:t>
            </w:r>
          </w:p>
        </w:tc>
        <w:tc>
          <w:tcPr>
            <w:tcW w:w="720" w:type="dxa"/>
          </w:tcPr>
          <w:p w14:paraId="20FAA7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3281</w:t>
            </w:r>
          </w:p>
        </w:tc>
        <w:tc>
          <w:tcPr>
            <w:tcW w:w="720" w:type="dxa"/>
          </w:tcPr>
          <w:p w14:paraId="4B0385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194</w:t>
            </w:r>
          </w:p>
        </w:tc>
        <w:tc>
          <w:tcPr>
            <w:tcW w:w="828" w:type="dxa"/>
          </w:tcPr>
          <w:p w14:paraId="613434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183/3000</w:t>
            </w:r>
          </w:p>
        </w:tc>
        <w:tc>
          <w:tcPr>
            <w:tcW w:w="828" w:type="dxa"/>
          </w:tcPr>
          <w:p w14:paraId="2AC82C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13,9/17,7</w:t>
            </w:r>
          </w:p>
        </w:tc>
        <w:tc>
          <w:tcPr>
            <w:tcW w:w="828" w:type="dxa"/>
          </w:tcPr>
          <w:p w14:paraId="5C59FD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25,0/28,7</w:t>
            </w:r>
          </w:p>
        </w:tc>
        <w:tc>
          <w:tcPr>
            <w:tcW w:w="828" w:type="dxa"/>
          </w:tcPr>
          <w:p w14:paraId="036A15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828" w:type="dxa"/>
          </w:tcPr>
          <w:p w14:paraId="17CFAD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4400</w:t>
            </w:r>
          </w:p>
        </w:tc>
        <w:tc>
          <w:tcPr>
            <w:tcW w:w="416" w:type="dxa"/>
          </w:tcPr>
          <w:p w14:paraId="15308A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пул.</w:t>
            </w:r>
          </w:p>
        </w:tc>
        <w:tc>
          <w:tcPr>
            <w:tcW w:w="1134" w:type="dxa"/>
          </w:tcPr>
          <w:p w14:paraId="024F51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Неудачные обводы лодки, благодаря чему удлиняется разбег, получается большое </w:t>
            </w:r>
            <w:proofErr w:type="spellStart"/>
            <w:r w:rsidRPr="00A259BD">
              <w:rPr>
                <w:rFonts w:ascii="Times New Roman" w:hAnsi="Times New Roman"/>
                <w:color w:val="000000" w:themeColor="text1"/>
                <w:sz w:val="16"/>
                <w:szCs w:val="16"/>
              </w:rPr>
              <w:t>волнообраз</w:t>
            </w:r>
            <w:proofErr w:type="spellEnd"/>
            <w:r w:rsidRPr="00A259BD">
              <w:rPr>
                <w:rFonts w:ascii="Times New Roman" w:hAnsi="Times New Roman"/>
                <w:color w:val="000000" w:themeColor="text1"/>
                <w:sz w:val="16"/>
                <w:szCs w:val="16"/>
              </w:rPr>
              <w:t>. и барсы при взлете и посадке.</w:t>
            </w:r>
          </w:p>
          <w:p w14:paraId="37EB62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Невозможна съемка мот. без отд. кор. </w:t>
            </w:r>
            <w:proofErr w:type="spellStart"/>
            <w:r w:rsidRPr="00A259BD">
              <w:rPr>
                <w:rFonts w:ascii="Times New Roman" w:hAnsi="Times New Roman"/>
                <w:color w:val="000000" w:themeColor="text1"/>
                <w:sz w:val="16"/>
                <w:szCs w:val="16"/>
              </w:rPr>
              <w:t>кр</w:t>
            </w:r>
            <w:proofErr w:type="spellEnd"/>
            <w:r w:rsidRPr="00A259BD">
              <w:rPr>
                <w:rFonts w:ascii="Times New Roman" w:hAnsi="Times New Roman"/>
                <w:color w:val="000000" w:themeColor="text1"/>
                <w:sz w:val="16"/>
                <w:szCs w:val="16"/>
              </w:rPr>
              <w:t xml:space="preserve">. </w:t>
            </w:r>
          </w:p>
        </w:tc>
        <w:tc>
          <w:tcPr>
            <w:tcW w:w="709" w:type="dxa"/>
          </w:tcPr>
          <w:p w14:paraId="5C3478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2235F648" w14:textId="77777777">
        <w:tc>
          <w:tcPr>
            <w:tcW w:w="950" w:type="dxa"/>
          </w:tcPr>
          <w:p w14:paraId="62247F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Учебный самолет МУ2 М11а</w:t>
            </w:r>
          </w:p>
        </w:tc>
        <w:tc>
          <w:tcPr>
            <w:tcW w:w="828" w:type="dxa"/>
          </w:tcPr>
          <w:p w14:paraId="2D3D98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828" w:type="dxa"/>
          </w:tcPr>
          <w:p w14:paraId="2F0924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Деревян</w:t>
            </w:r>
            <w:proofErr w:type="spellEnd"/>
            <w:r w:rsidRPr="00A259BD">
              <w:rPr>
                <w:rFonts w:ascii="Times New Roman" w:hAnsi="Times New Roman"/>
                <w:color w:val="000000" w:themeColor="text1"/>
                <w:sz w:val="16"/>
                <w:szCs w:val="16"/>
              </w:rPr>
              <w:t xml:space="preserve">. крыло </w:t>
            </w:r>
            <w:proofErr w:type="spellStart"/>
            <w:r w:rsidRPr="00A259BD">
              <w:rPr>
                <w:rFonts w:ascii="Times New Roman" w:hAnsi="Times New Roman"/>
                <w:color w:val="000000" w:themeColor="text1"/>
                <w:sz w:val="16"/>
                <w:szCs w:val="16"/>
              </w:rPr>
              <w:t>дурал</w:t>
            </w:r>
            <w:proofErr w:type="spellEnd"/>
            <w:r w:rsidRPr="00A259BD">
              <w:rPr>
                <w:rFonts w:ascii="Times New Roman" w:hAnsi="Times New Roman"/>
                <w:color w:val="000000" w:themeColor="text1"/>
                <w:sz w:val="16"/>
                <w:szCs w:val="16"/>
              </w:rPr>
              <w:t xml:space="preserve">. лодка </w:t>
            </w:r>
          </w:p>
        </w:tc>
        <w:tc>
          <w:tcPr>
            <w:tcW w:w="720" w:type="dxa"/>
          </w:tcPr>
          <w:p w14:paraId="0CC3A0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254</w:t>
            </w:r>
          </w:p>
        </w:tc>
        <w:tc>
          <w:tcPr>
            <w:tcW w:w="720" w:type="dxa"/>
          </w:tcPr>
          <w:p w14:paraId="47F517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1120</w:t>
            </w:r>
          </w:p>
        </w:tc>
        <w:tc>
          <w:tcPr>
            <w:tcW w:w="720" w:type="dxa"/>
          </w:tcPr>
          <w:p w14:paraId="20A598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135</w:t>
            </w:r>
          </w:p>
        </w:tc>
        <w:tc>
          <w:tcPr>
            <w:tcW w:w="828" w:type="dxa"/>
          </w:tcPr>
          <w:p w14:paraId="0BC905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39F124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7302D8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4F4ADF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0667C6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416" w:type="dxa"/>
          </w:tcPr>
          <w:p w14:paraId="5624F3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291F0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Малый запас мощности.</w:t>
            </w:r>
          </w:p>
          <w:p w14:paraId="13B5A8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Большой разбег.</w:t>
            </w:r>
          </w:p>
          <w:p w14:paraId="3B1CB4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Слишком задняя центровка.</w:t>
            </w:r>
          </w:p>
        </w:tc>
        <w:tc>
          <w:tcPr>
            <w:tcW w:w="709" w:type="dxa"/>
          </w:tcPr>
          <w:p w14:paraId="5752E5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w:t>
            </w:r>
            <w:proofErr w:type="spellStart"/>
            <w:r w:rsidRPr="00A259BD">
              <w:rPr>
                <w:rFonts w:ascii="Times New Roman" w:hAnsi="Times New Roman"/>
                <w:color w:val="000000" w:themeColor="text1"/>
                <w:sz w:val="16"/>
                <w:szCs w:val="16"/>
              </w:rPr>
              <w:t>снабж</w:t>
            </w:r>
            <w:proofErr w:type="spellEnd"/>
            <w:r w:rsidRPr="00A259BD">
              <w:rPr>
                <w:rFonts w:ascii="Times New Roman" w:hAnsi="Times New Roman"/>
                <w:color w:val="000000" w:themeColor="text1"/>
                <w:sz w:val="16"/>
                <w:szCs w:val="16"/>
              </w:rPr>
              <w:t>. не принят.</w:t>
            </w:r>
          </w:p>
        </w:tc>
      </w:tr>
    </w:tbl>
    <w:p w14:paraId="0B35E5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(6998, 46).</w:t>
      </w:r>
    </w:p>
    <w:p w14:paraId="2DAA76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9DF4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декабря 1929 года была подготовлена справка:</w:t>
      </w:r>
    </w:p>
    <w:p w14:paraId="69CB7F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Опытные самолеты завода № 25. Гл. конструктор С.А. </w:t>
      </w:r>
      <w:proofErr w:type="spellStart"/>
      <w:r w:rsidRPr="00A259BD">
        <w:rPr>
          <w:rFonts w:ascii="Times New Roman" w:hAnsi="Times New Roman"/>
          <w:color w:val="000000" w:themeColor="text1"/>
          <w:sz w:val="16"/>
          <w:szCs w:val="16"/>
        </w:rPr>
        <w:t>Кочерыгин</w:t>
      </w:r>
      <w:proofErr w:type="spellEnd"/>
      <w:r w:rsidRPr="00A259BD">
        <w:rPr>
          <w:rFonts w:ascii="Times New Roman" w:hAnsi="Times New Roman"/>
          <w:color w:val="000000" w:themeColor="text1"/>
          <w:sz w:val="16"/>
          <w:szCs w:val="16"/>
        </w:rPr>
        <w: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0"/>
        <w:gridCol w:w="828"/>
        <w:gridCol w:w="828"/>
        <w:gridCol w:w="621"/>
        <w:gridCol w:w="567"/>
        <w:gridCol w:w="567"/>
        <w:gridCol w:w="567"/>
        <w:gridCol w:w="709"/>
        <w:gridCol w:w="708"/>
        <w:gridCol w:w="567"/>
        <w:gridCol w:w="567"/>
        <w:gridCol w:w="709"/>
        <w:gridCol w:w="1418"/>
        <w:gridCol w:w="1559"/>
      </w:tblGrid>
      <w:tr w:rsidR="00A259BD" w:rsidRPr="00A259BD" w14:paraId="3DA929B4" w14:textId="77777777">
        <w:tc>
          <w:tcPr>
            <w:tcW w:w="950" w:type="dxa"/>
          </w:tcPr>
          <w:p w14:paraId="3EF752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Название с-та и мотора</w:t>
            </w:r>
          </w:p>
        </w:tc>
        <w:tc>
          <w:tcPr>
            <w:tcW w:w="828" w:type="dxa"/>
          </w:tcPr>
          <w:p w14:paraId="3129D8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Мощн</w:t>
            </w:r>
            <w:proofErr w:type="spellEnd"/>
            <w:r w:rsidRPr="00A259BD">
              <w:rPr>
                <w:rFonts w:ascii="Times New Roman" w:hAnsi="Times New Roman"/>
                <w:color w:val="000000" w:themeColor="text1"/>
                <w:sz w:val="16"/>
                <w:szCs w:val="16"/>
              </w:rPr>
              <w:t>.</w:t>
            </w:r>
          </w:p>
        </w:tc>
        <w:tc>
          <w:tcPr>
            <w:tcW w:w="828" w:type="dxa"/>
          </w:tcPr>
          <w:p w14:paraId="2D6E58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Матер. </w:t>
            </w:r>
            <w:proofErr w:type="spellStart"/>
            <w:r w:rsidRPr="00A259BD">
              <w:rPr>
                <w:rFonts w:ascii="Times New Roman" w:hAnsi="Times New Roman"/>
                <w:color w:val="000000" w:themeColor="text1"/>
                <w:sz w:val="16"/>
                <w:szCs w:val="16"/>
              </w:rPr>
              <w:t>констр</w:t>
            </w:r>
            <w:proofErr w:type="spellEnd"/>
            <w:r w:rsidRPr="00A259BD">
              <w:rPr>
                <w:rFonts w:ascii="Times New Roman" w:hAnsi="Times New Roman"/>
                <w:color w:val="000000" w:themeColor="text1"/>
                <w:sz w:val="16"/>
                <w:szCs w:val="16"/>
              </w:rPr>
              <w:t>.</w:t>
            </w:r>
          </w:p>
        </w:tc>
        <w:tc>
          <w:tcPr>
            <w:tcW w:w="621" w:type="dxa"/>
          </w:tcPr>
          <w:p w14:paraId="7D54A2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Полн. </w:t>
            </w:r>
            <w:proofErr w:type="spellStart"/>
            <w:r w:rsidRPr="00A259BD">
              <w:rPr>
                <w:rFonts w:ascii="Times New Roman" w:hAnsi="Times New Roman"/>
                <w:color w:val="000000" w:themeColor="text1"/>
                <w:sz w:val="16"/>
                <w:szCs w:val="16"/>
              </w:rPr>
              <w:t>нагруз</w:t>
            </w:r>
            <w:proofErr w:type="spellEnd"/>
            <w:r w:rsidRPr="00A259BD">
              <w:rPr>
                <w:rFonts w:ascii="Times New Roman" w:hAnsi="Times New Roman"/>
                <w:color w:val="000000" w:themeColor="text1"/>
                <w:sz w:val="16"/>
                <w:szCs w:val="16"/>
              </w:rPr>
              <w:t xml:space="preserve">. </w:t>
            </w:r>
          </w:p>
        </w:tc>
        <w:tc>
          <w:tcPr>
            <w:tcW w:w="567" w:type="dxa"/>
          </w:tcPr>
          <w:p w14:paraId="32FD38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Полет. Вес</w:t>
            </w:r>
          </w:p>
        </w:tc>
        <w:tc>
          <w:tcPr>
            <w:tcW w:w="567" w:type="dxa"/>
          </w:tcPr>
          <w:p w14:paraId="37710F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Гориз</w:t>
            </w:r>
            <w:proofErr w:type="spellEnd"/>
            <w:r w:rsidRPr="00A259BD">
              <w:rPr>
                <w:rFonts w:ascii="Times New Roman" w:hAnsi="Times New Roman"/>
                <w:color w:val="000000" w:themeColor="text1"/>
                <w:sz w:val="16"/>
                <w:szCs w:val="16"/>
              </w:rPr>
              <w:t xml:space="preserve">. скор. макс. </w:t>
            </w:r>
          </w:p>
        </w:tc>
        <w:tc>
          <w:tcPr>
            <w:tcW w:w="567" w:type="dxa"/>
          </w:tcPr>
          <w:p w14:paraId="075CA0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Гориз</w:t>
            </w:r>
            <w:proofErr w:type="spellEnd"/>
            <w:r w:rsidRPr="00A259BD">
              <w:rPr>
                <w:rFonts w:ascii="Times New Roman" w:hAnsi="Times New Roman"/>
                <w:color w:val="000000" w:themeColor="text1"/>
                <w:sz w:val="16"/>
                <w:szCs w:val="16"/>
              </w:rPr>
              <w:t>. скор. на высоте 5000 м</w:t>
            </w:r>
          </w:p>
        </w:tc>
        <w:tc>
          <w:tcPr>
            <w:tcW w:w="709" w:type="dxa"/>
          </w:tcPr>
          <w:p w14:paraId="0776C8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подъема</w:t>
            </w:r>
          </w:p>
          <w:p w14:paraId="72F6EC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2000 м</w:t>
            </w:r>
          </w:p>
        </w:tc>
        <w:tc>
          <w:tcPr>
            <w:tcW w:w="708" w:type="dxa"/>
          </w:tcPr>
          <w:p w14:paraId="05DC03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подъема на 3000 м</w:t>
            </w:r>
          </w:p>
        </w:tc>
        <w:tc>
          <w:tcPr>
            <w:tcW w:w="567" w:type="dxa"/>
          </w:tcPr>
          <w:p w14:paraId="647C62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Время подъема на 5000 м</w:t>
            </w:r>
          </w:p>
        </w:tc>
        <w:tc>
          <w:tcPr>
            <w:tcW w:w="567" w:type="dxa"/>
          </w:tcPr>
          <w:p w14:paraId="12DA17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Потолок</w:t>
            </w:r>
          </w:p>
        </w:tc>
        <w:tc>
          <w:tcPr>
            <w:tcW w:w="709" w:type="dxa"/>
          </w:tcPr>
          <w:p w14:paraId="53D73D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Вооруж</w:t>
            </w:r>
            <w:proofErr w:type="spellEnd"/>
            <w:r w:rsidRPr="00A259BD">
              <w:rPr>
                <w:rFonts w:ascii="Times New Roman" w:hAnsi="Times New Roman"/>
                <w:color w:val="000000" w:themeColor="text1"/>
                <w:sz w:val="16"/>
                <w:szCs w:val="16"/>
              </w:rPr>
              <w:t>.</w:t>
            </w:r>
          </w:p>
        </w:tc>
        <w:tc>
          <w:tcPr>
            <w:tcW w:w="1418" w:type="dxa"/>
          </w:tcPr>
          <w:p w14:paraId="036F47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дефекты</w:t>
            </w:r>
          </w:p>
        </w:tc>
        <w:tc>
          <w:tcPr>
            <w:tcW w:w="1559" w:type="dxa"/>
          </w:tcPr>
          <w:p w14:paraId="5F1B84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Примеч.</w:t>
            </w:r>
          </w:p>
        </w:tc>
      </w:tr>
      <w:tr w:rsidR="00A259BD" w:rsidRPr="00A259BD" w14:paraId="7B75B515" w14:textId="77777777">
        <w:tc>
          <w:tcPr>
            <w:tcW w:w="950" w:type="dxa"/>
          </w:tcPr>
          <w:p w14:paraId="1DB1A2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Истребит. И3 БМВ VI </w:t>
            </w:r>
          </w:p>
        </w:tc>
        <w:tc>
          <w:tcPr>
            <w:tcW w:w="828" w:type="dxa"/>
          </w:tcPr>
          <w:p w14:paraId="42C525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450/600</w:t>
            </w:r>
          </w:p>
        </w:tc>
        <w:tc>
          <w:tcPr>
            <w:tcW w:w="828" w:type="dxa"/>
          </w:tcPr>
          <w:p w14:paraId="204949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Дерев., </w:t>
            </w:r>
            <w:proofErr w:type="spellStart"/>
            <w:r w:rsidRPr="00A259BD">
              <w:rPr>
                <w:rFonts w:ascii="Times New Roman" w:hAnsi="Times New Roman"/>
                <w:color w:val="000000" w:themeColor="text1"/>
                <w:sz w:val="16"/>
                <w:szCs w:val="16"/>
              </w:rPr>
              <w:t>мотоус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дюрал</w:t>
            </w:r>
            <w:proofErr w:type="spellEnd"/>
            <w:r w:rsidRPr="00A259BD">
              <w:rPr>
                <w:rFonts w:ascii="Times New Roman" w:hAnsi="Times New Roman"/>
                <w:color w:val="000000" w:themeColor="text1"/>
                <w:sz w:val="16"/>
                <w:szCs w:val="16"/>
              </w:rPr>
              <w:t>., ф-з типа монокок</w:t>
            </w:r>
          </w:p>
        </w:tc>
        <w:tc>
          <w:tcPr>
            <w:tcW w:w="621" w:type="dxa"/>
          </w:tcPr>
          <w:p w14:paraId="368BF3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448</w:t>
            </w:r>
          </w:p>
        </w:tc>
        <w:tc>
          <w:tcPr>
            <w:tcW w:w="567" w:type="dxa"/>
          </w:tcPr>
          <w:p w14:paraId="31FC87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1788</w:t>
            </w:r>
          </w:p>
        </w:tc>
        <w:tc>
          <w:tcPr>
            <w:tcW w:w="567" w:type="dxa"/>
          </w:tcPr>
          <w:p w14:paraId="3FD69E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279,5/ 3000</w:t>
            </w:r>
          </w:p>
        </w:tc>
        <w:tc>
          <w:tcPr>
            <w:tcW w:w="567" w:type="dxa"/>
          </w:tcPr>
          <w:p w14:paraId="277FCA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268</w:t>
            </w:r>
          </w:p>
        </w:tc>
        <w:tc>
          <w:tcPr>
            <w:tcW w:w="709" w:type="dxa"/>
          </w:tcPr>
          <w:p w14:paraId="6C7AA9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w:t>
            </w:r>
          </w:p>
        </w:tc>
        <w:tc>
          <w:tcPr>
            <w:tcW w:w="708" w:type="dxa"/>
          </w:tcPr>
          <w:p w14:paraId="38B57A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w:t>
            </w:r>
          </w:p>
        </w:tc>
        <w:tc>
          <w:tcPr>
            <w:tcW w:w="567" w:type="dxa"/>
          </w:tcPr>
          <w:p w14:paraId="253A7A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12,8'</w:t>
            </w:r>
          </w:p>
        </w:tc>
        <w:tc>
          <w:tcPr>
            <w:tcW w:w="567" w:type="dxa"/>
          </w:tcPr>
          <w:p w14:paraId="4F7BFE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6800</w:t>
            </w:r>
          </w:p>
        </w:tc>
        <w:tc>
          <w:tcPr>
            <w:tcW w:w="709" w:type="dxa"/>
          </w:tcPr>
          <w:p w14:paraId="62D258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пул.</w:t>
            </w:r>
          </w:p>
        </w:tc>
        <w:tc>
          <w:tcPr>
            <w:tcW w:w="1418" w:type="dxa"/>
          </w:tcPr>
          <w:p w14:paraId="3AA04F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Тугое управление элеронами и рулем высоты.</w:t>
            </w:r>
          </w:p>
          <w:p w14:paraId="331957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Недостаток рулей на посадку на 3 точки.</w:t>
            </w:r>
          </w:p>
          <w:p w14:paraId="6E3AC9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Быстрый износ шарниров рулей управления и крепления </w:t>
            </w:r>
            <w:proofErr w:type="spellStart"/>
            <w:r w:rsidRPr="00A259BD">
              <w:rPr>
                <w:rFonts w:ascii="Times New Roman" w:hAnsi="Times New Roman"/>
                <w:color w:val="000000" w:themeColor="text1"/>
                <w:sz w:val="16"/>
                <w:szCs w:val="16"/>
              </w:rPr>
              <w:t>стабилизат</w:t>
            </w:r>
            <w:proofErr w:type="spellEnd"/>
            <w:r w:rsidRPr="00A259BD">
              <w:rPr>
                <w:rFonts w:ascii="Times New Roman" w:hAnsi="Times New Roman"/>
                <w:color w:val="000000" w:themeColor="text1"/>
                <w:sz w:val="16"/>
                <w:szCs w:val="16"/>
              </w:rPr>
              <w:t>.</w:t>
            </w:r>
          </w:p>
          <w:p w14:paraId="6045D8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Запаздыван</w:t>
            </w:r>
            <w:proofErr w:type="spellEnd"/>
            <w:r w:rsidRPr="00A259BD">
              <w:rPr>
                <w:rFonts w:ascii="Times New Roman" w:hAnsi="Times New Roman"/>
                <w:color w:val="000000" w:themeColor="text1"/>
                <w:sz w:val="16"/>
                <w:szCs w:val="16"/>
              </w:rPr>
              <w:t>. в выходе с-та из штопора.</w:t>
            </w:r>
          </w:p>
          <w:p w14:paraId="72892C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Течь радиатора.</w:t>
            </w:r>
          </w:p>
        </w:tc>
        <w:tc>
          <w:tcPr>
            <w:tcW w:w="1559" w:type="dxa"/>
          </w:tcPr>
          <w:p w14:paraId="137307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Строит. в серии. Все дефекты за </w:t>
            </w:r>
            <w:proofErr w:type="spellStart"/>
            <w:r w:rsidRPr="00A259BD">
              <w:rPr>
                <w:rFonts w:ascii="Times New Roman" w:hAnsi="Times New Roman"/>
                <w:color w:val="000000" w:themeColor="text1"/>
                <w:sz w:val="16"/>
                <w:szCs w:val="16"/>
              </w:rPr>
              <w:t>исключ</w:t>
            </w:r>
            <w:proofErr w:type="spellEnd"/>
            <w:r w:rsidRPr="00A259BD">
              <w:rPr>
                <w:rFonts w:ascii="Times New Roman" w:hAnsi="Times New Roman"/>
                <w:color w:val="000000" w:themeColor="text1"/>
                <w:sz w:val="16"/>
                <w:szCs w:val="16"/>
              </w:rPr>
              <w:t>. штопор. устраняются в разные сроки выпуска с-</w:t>
            </w:r>
            <w:proofErr w:type="spellStart"/>
            <w:r w:rsidRPr="00A259BD">
              <w:rPr>
                <w:rFonts w:ascii="Times New Roman" w:hAnsi="Times New Roman"/>
                <w:color w:val="000000" w:themeColor="text1"/>
                <w:sz w:val="16"/>
                <w:szCs w:val="16"/>
              </w:rPr>
              <w:t>тов</w:t>
            </w:r>
            <w:proofErr w:type="spellEnd"/>
            <w:r w:rsidRPr="00A259BD">
              <w:rPr>
                <w:rFonts w:ascii="Times New Roman" w:hAnsi="Times New Roman"/>
                <w:color w:val="000000" w:themeColor="text1"/>
                <w:sz w:val="16"/>
                <w:szCs w:val="16"/>
              </w:rPr>
              <w:t xml:space="preserve"> серии.</w:t>
            </w:r>
          </w:p>
          <w:p w14:paraId="3EF5EC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штопору ведутся изыскан.</w:t>
            </w:r>
          </w:p>
        </w:tc>
      </w:tr>
      <w:tr w:rsidR="00A259BD" w:rsidRPr="00A259BD" w14:paraId="3D0C9344" w14:textId="77777777">
        <w:tc>
          <w:tcPr>
            <w:tcW w:w="950" w:type="dxa"/>
          </w:tcPr>
          <w:p w14:paraId="6DB0D2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Двухмест</w:t>
            </w:r>
            <w:proofErr w:type="spellEnd"/>
            <w:r w:rsidRPr="00A259BD">
              <w:rPr>
                <w:rFonts w:ascii="Times New Roman" w:hAnsi="Times New Roman"/>
                <w:color w:val="000000" w:themeColor="text1"/>
                <w:sz w:val="16"/>
                <w:szCs w:val="16"/>
              </w:rPr>
              <w:t>. истребит. Д2 БМВ VI Е=7,3</w:t>
            </w:r>
          </w:p>
        </w:tc>
        <w:tc>
          <w:tcPr>
            <w:tcW w:w="828" w:type="dxa"/>
          </w:tcPr>
          <w:p w14:paraId="3380AE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500/750</w:t>
            </w:r>
          </w:p>
        </w:tc>
        <w:tc>
          <w:tcPr>
            <w:tcW w:w="828" w:type="dxa"/>
          </w:tcPr>
          <w:p w14:paraId="6AB595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Дерев., </w:t>
            </w:r>
            <w:proofErr w:type="spellStart"/>
            <w:r w:rsidRPr="00A259BD">
              <w:rPr>
                <w:rFonts w:ascii="Times New Roman" w:hAnsi="Times New Roman"/>
                <w:color w:val="000000" w:themeColor="text1"/>
                <w:sz w:val="16"/>
                <w:szCs w:val="16"/>
              </w:rPr>
              <w:t>мотоус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дюрал</w:t>
            </w:r>
            <w:proofErr w:type="spellEnd"/>
            <w:r w:rsidRPr="00A259BD">
              <w:rPr>
                <w:rFonts w:ascii="Times New Roman" w:hAnsi="Times New Roman"/>
                <w:color w:val="000000" w:themeColor="text1"/>
                <w:sz w:val="16"/>
                <w:szCs w:val="16"/>
              </w:rPr>
              <w:t>., ф-з типа монокок</w:t>
            </w:r>
          </w:p>
        </w:tc>
        <w:tc>
          <w:tcPr>
            <w:tcW w:w="621" w:type="dxa"/>
          </w:tcPr>
          <w:p w14:paraId="532297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659</w:t>
            </w:r>
          </w:p>
        </w:tc>
        <w:tc>
          <w:tcPr>
            <w:tcW w:w="567" w:type="dxa"/>
          </w:tcPr>
          <w:p w14:paraId="712CAC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2075</w:t>
            </w:r>
          </w:p>
        </w:tc>
        <w:tc>
          <w:tcPr>
            <w:tcW w:w="567" w:type="dxa"/>
          </w:tcPr>
          <w:p w14:paraId="59E59F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280/ 3000</w:t>
            </w:r>
          </w:p>
        </w:tc>
        <w:tc>
          <w:tcPr>
            <w:tcW w:w="567" w:type="dxa"/>
          </w:tcPr>
          <w:p w14:paraId="592113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270</w:t>
            </w:r>
          </w:p>
        </w:tc>
        <w:tc>
          <w:tcPr>
            <w:tcW w:w="709" w:type="dxa"/>
          </w:tcPr>
          <w:p w14:paraId="64E885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08" w:type="dxa"/>
          </w:tcPr>
          <w:p w14:paraId="475FF4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w:t>
            </w:r>
          </w:p>
        </w:tc>
        <w:tc>
          <w:tcPr>
            <w:tcW w:w="567" w:type="dxa"/>
          </w:tcPr>
          <w:p w14:paraId="4738DB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w:t>
            </w:r>
          </w:p>
        </w:tc>
        <w:tc>
          <w:tcPr>
            <w:tcW w:w="567" w:type="dxa"/>
          </w:tcPr>
          <w:p w14:paraId="6B4B44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7000</w:t>
            </w:r>
          </w:p>
        </w:tc>
        <w:tc>
          <w:tcPr>
            <w:tcW w:w="709" w:type="dxa"/>
          </w:tcPr>
          <w:p w14:paraId="4190D1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 пул.</w:t>
            </w:r>
          </w:p>
        </w:tc>
        <w:tc>
          <w:tcPr>
            <w:tcW w:w="1418" w:type="dxa"/>
          </w:tcPr>
          <w:p w14:paraId="6BC1E9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Затруднит. выход из штопора.</w:t>
            </w:r>
          </w:p>
        </w:tc>
        <w:tc>
          <w:tcPr>
            <w:tcW w:w="1559" w:type="dxa"/>
          </w:tcPr>
          <w:p w14:paraId="091671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С-т </w:t>
            </w:r>
            <w:proofErr w:type="spellStart"/>
            <w:r w:rsidRPr="00A259BD">
              <w:rPr>
                <w:rFonts w:ascii="Times New Roman" w:hAnsi="Times New Roman"/>
                <w:color w:val="000000" w:themeColor="text1"/>
                <w:sz w:val="16"/>
                <w:szCs w:val="16"/>
              </w:rPr>
              <w:t>наход</w:t>
            </w:r>
            <w:proofErr w:type="spellEnd"/>
            <w:r w:rsidRPr="00A259BD">
              <w:rPr>
                <w:rFonts w:ascii="Times New Roman" w:hAnsi="Times New Roman"/>
                <w:color w:val="000000" w:themeColor="text1"/>
                <w:sz w:val="16"/>
                <w:szCs w:val="16"/>
              </w:rPr>
              <w:t xml:space="preserve">. на зав. исп. с апреля 1929 г. и до сего </w:t>
            </w:r>
            <w:proofErr w:type="spellStart"/>
            <w:r w:rsidRPr="00A259BD">
              <w:rPr>
                <w:rFonts w:ascii="Times New Roman" w:hAnsi="Times New Roman"/>
                <w:color w:val="000000" w:themeColor="text1"/>
                <w:sz w:val="16"/>
                <w:szCs w:val="16"/>
              </w:rPr>
              <w:t>вр</w:t>
            </w:r>
            <w:proofErr w:type="spellEnd"/>
            <w:r w:rsidRPr="00A259BD">
              <w:rPr>
                <w:rFonts w:ascii="Times New Roman" w:hAnsi="Times New Roman"/>
                <w:color w:val="000000" w:themeColor="text1"/>
                <w:sz w:val="16"/>
                <w:szCs w:val="16"/>
              </w:rPr>
              <w:t>. в НИИ не передан. Летные данные взяты из проекта.</w:t>
            </w:r>
          </w:p>
        </w:tc>
      </w:tr>
      <w:tr w:rsidR="00A259BD" w:rsidRPr="00A259BD" w14:paraId="699185BF" w14:textId="77777777">
        <w:tc>
          <w:tcPr>
            <w:tcW w:w="950" w:type="dxa"/>
          </w:tcPr>
          <w:p w14:paraId="267A5C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Арм</w:t>
            </w:r>
            <w:proofErr w:type="spellEnd"/>
            <w:r w:rsidRPr="00A259BD">
              <w:rPr>
                <w:rFonts w:ascii="Times New Roman" w:hAnsi="Times New Roman"/>
                <w:color w:val="000000" w:themeColor="text1"/>
                <w:sz w:val="16"/>
                <w:szCs w:val="16"/>
              </w:rPr>
              <w:t xml:space="preserve">. разведчик Р5 БМВ </w:t>
            </w:r>
            <w:r w:rsidRPr="00A259BD">
              <w:rPr>
                <w:rFonts w:ascii="Times New Roman" w:hAnsi="Times New Roman"/>
                <w:color w:val="000000" w:themeColor="text1"/>
                <w:sz w:val="16"/>
                <w:szCs w:val="16"/>
              </w:rPr>
              <w:lastRenderedPageBreak/>
              <w:t xml:space="preserve">VI </w:t>
            </w:r>
            <w:proofErr w:type="spellStart"/>
            <w:r w:rsidRPr="00A259BD">
              <w:rPr>
                <w:rFonts w:ascii="Times New Roman" w:hAnsi="Times New Roman"/>
                <w:color w:val="000000" w:themeColor="text1"/>
                <w:sz w:val="16"/>
                <w:szCs w:val="16"/>
              </w:rPr>
              <w:t>карб</w:t>
            </w:r>
            <w:proofErr w:type="spellEnd"/>
            <w:r w:rsidRPr="00A259BD">
              <w:rPr>
                <w:rFonts w:ascii="Times New Roman" w:hAnsi="Times New Roman"/>
                <w:color w:val="000000" w:themeColor="text1"/>
                <w:sz w:val="16"/>
                <w:szCs w:val="16"/>
              </w:rPr>
              <w:t>. БМВ</w:t>
            </w:r>
          </w:p>
        </w:tc>
        <w:tc>
          <w:tcPr>
            <w:tcW w:w="828" w:type="dxa"/>
          </w:tcPr>
          <w:p w14:paraId="3F4676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450/600</w:t>
            </w:r>
          </w:p>
        </w:tc>
        <w:tc>
          <w:tcPr>
            <w:tcW w:w="828" w:type="dxa"/>
          </w:tcPr>
          <w:p w14:paraId="0D4FBE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Дерев., </w:t>
            </w:r>
            <w:proofErr w:type="spellStart"/>
            <w:r w:rsidRPr="00A259BD">
              <w:rPr>
                <w:rFonts w:ascii="Times New Roman" w:hAnsi="Times New Roman"/>
                <w:color w:val="000000" w:themeColor="text1"/>
                <w:sz w:val="16"/>
                <w:szCs w:val="16"/>
              </w:rPr>
              <w:t>мотоус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дюрал</w:t>
            </w:r>
            <w:proofErr w:type="spellEnd"/>
            <w:r w:rsidRPr="00A259BD">
              <w:rPr>
                <w:rFonts w:ascii="Times New Roman" w:hAnsi="Times New Roman"/>
                <w:color w:val="000000" w:themeColor="text1"/>
                <w:sz w:val="16"/>
                <w:szCs w:val="16"/>
              </w:rPr>
              <w:t xml:space="preserve">., </w:t>
            </w:r>
            <w:r w:rsidRPr="00A259BD">
              <w:rPr>
                <w:rFonts w:ascii="Times New Roman" w:hAnsi="Times New Roman"/>
                <w:color w:val="000000" w:themeColor="text1"/>
                <w:sz w:val="16"/>
                <w:szCs w:val="16"/>
              </w:rPr>
              <w:lastRenderedPageBreak/>
              <w:t xml:space="preserve">ф-з типа монокок </w:t>
            </w:r>
            <w:proofErr w:type="spellStart"/>
            <w:r w:rsidRPr="00A259BD">
              <w:rPr>
                <w:rFonts w:ascii="Times New Roman" w:hAnsi="Times New Roman"/>
                <w:color w:val="000000" w:themeColor="text1"/>
                <w:sz w:val="16"/>
                <w:szCs w:val="16"/>
              </w:rPr>
              <w:t>нормал</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деревян</w:t>
            </w:r>
            <w:proofErr w:type="spellEnd"/>
            <w:r w:rsidRPr="00A259BD">
              <w:rPr>
                <w:rFonts w:ascii="Times New Roman" w:hAnsi="Times New Roman"/>
                <w:color w:val="000000" w:themeColor="text1"/>
                <w:sz w:val="16"/>
                <w:szCs w:val="16"/>
              </w:rPr>
              <w:t>. с фанер.</w:t>
            </w:r>
          </w:p>
          <w:p w14:paraId="474443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обшивк</w:t>
            </w:r>
            <w:proofErr w:type="spellEnd"/>
            <w:r w:rsidRPr="00A259BD">
              <w:rPr>
                <w:rFonts w:ascii="Times New Roman" w:hAnsi="Times New Roman"/>
                <w:color w:val="000000" w:themeColor="text1"/>
                <w:sz w:val="16"/>
                <w:szCs w:val="16"/>
              </w:rPr>
              <w:t xml:space="preserve">. </w:t>
            </w:r>
          </w:p>
        </w:tc>
        <w:tc>
          <w:tcPr>
            <w:tcW w:w="621" w:type="dxa"/>
          </w:tcPr>
          <w:p w14:paraId="20D0E4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854</w:t>
            </w:r>
          </w:p>
        </w:tc>
        <w:tc>
          <w:tcPr>
            <w:tcW w:w="567" w:type="dxa"/>
          </w:tcPr>
          <w:p w14:paraId="08ECC1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2698</w:t>
            </w:r>
          </w:p>
        </w:tc>
        <w:tc>
          <w:tcPr>
            <w:tcW w:w="567" w:type="dxa"/>
          </w:tcPr>
          <w:p w14:paraId="7DCC24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217/ 3000</w:t>
            </w:r>
          </w:p>
        </w:tc>
        <w:tc>
          <w:tcPr>
            <w:tcW w:w="567" w:type="dxa"/>
          </w:tcPr>
          <w:p w14:paraId="1B8F47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09" w:type="dxa"/>
          </w:tcPr>
          <w:p w14:paraId="62A7CE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08" w:type="dxa"/>
          </w:tcPr>
          <w:p w14:paraId="5AB9ED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11,3’</w:t>
            </w:r>
          </w:p>
        </w:tc>
        <w:tc>
          <w:tcPr>
            <w:tcW w:w="567" w:type="dxa"/>
          </w:tcPr>
          <w:p w14:paraId="29E1E9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24,0'</w:t>
            </w:r>
          </w:p>
        </w:tc>
        <w:tc>
          <w:tcPr>
            <w:tcW w:w="567" w:type="dxa"/>
          </w:tcPr>
          <w:p w14:paraId="5AB5F0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6150</w:t>
            </w:r>
          </w:p>
        </w:tc>
        <w:tc>
          <w:tcPr>
            <w:tcW w:w="709" w:type="dxa"/>
          </w:tcPr>
          <w:p w14:paraId="10E231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пул.</w:t>
            </w:r>
          </w:p>
        </w:tc>
        <w:tc>
          <w:tcPr>
            <w:tcW w:w="1418" w:type="dxa"/>
          </w:tcPr>
          <w:p w14:paraId="5089FC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Течь радиатора.</w:t>
            </w:r>
          </w:p>
          <w:p w14:paraId="58B766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Мал вынос шасси</w:t>
            </w:r>
          </w:p>
          <w:p w14:paraId="0EF1C9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Люфта (мертвый ход) в шарнирах органов управления.</w:t>
            </w:r>
          </w:p>
          <w:p w14:paraId="6CDD93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Неудовлет</w:t>
            </w:r>
            <w:proofErr w:type="spellEnd"/>
            <w:r w:rsidRPr="00A259BD">
              <w:rPr>
                <w:rFonts w:ascii="Times New Roman" w:hAnsi="Times New Roman"/>
                <w:color w:val="000000" w:themeColor="text1"/>
                <w:sz w:val="16"/>
                <w:szCs w:val="16"/>
              </w:rPr>
              <w:t xml:space="preserve">. свойства штопора – </w:t>
            </w:r>
            <w:proofErr w:type="spellStart"/>
            <w:r w:rsidRPr="00A259BD">
              <w:rPr>
                <w:rFonts w:ascii="Times New Roman" w:hAnsi="Times New Roman"/>
                <w:color w:val="000000" w:themeColor="text1"/>
                <w:sz w:val="16"/>
                <w:szCs w:val="16"/>
              </w:rPr>
              <w:t>запаздыван</w:t>
            </w:r>
            <w:proofErr w:type="spellEnd"/>
            <w:r w:rsidRPr="00A259BD">
              <w:rPr>
                <w:rFonts w:ascii="Times New Roman" w:hAnsi="Times New Roman"/>
                <w:color w:val="000000" w:themeColor="text1"/>
                <w:sz w:val="16"/>
                <w:szCs w:val="16"/>
              </w:rPr>
              <w:t>. при выходе, прижимание к борту, давление на ручку.</w:t>
            </w:r>
          </w:p>
          <w:p w14:paraId="0B62D5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Попадание отработан. газов в кабины пилота и летнаба.</w:t>
            </w:r>
          </w:p>
          <w:p w14:paraId="69B0C7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Неудобство ножного управления в кабине летнаба.</w:t>
            </w:r>
          </w:p>
        </w:tc>
        <w:tc>
          <w:tcPr>
            <w:tcW w:w="1559" w:type="dxa"/>
          </w:tcPr>
          <w:p w14:paraId="3DE461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Устраняется. Строит. опытная серия 15 с-тов.</w:t>
            </w:r>
          </w:p>
          <w:p w14:paraId="7D7416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2 с-та находятся в </w:t>
            </w:r>
            <w:proofErr w:type="spellStart"/>
            <w:r w:rsidRPr="00A259BD">
              <w:rPr>
                <w:rFonts w:ascii="Times New Roman" w:hAnsi="Times New Roman"/>
                <w:color w:val="000000" w:themeColor="text1"/>
                <w:sz w:val="16"/>
                <w:szCs w:val="16"/>
              </w:rPr>
              <w:t>экспл</w:t>
            </w:r>
            <w:proofErr w:type="spellEnd"/>
            <w:r w:rsidRPr="00A259BD">
              <w:rPr>
                <w:rFonts w:ascii="Times New Roman" w:hAnsi="Times New Roman"/>
                <w:color w:val="000000" w:themeColor="text1"/>
                <w:sz w:val="16"/>
                <w:szCs w:val="16"/>
              </w:rPr>
              <w:t>.</w:t>
            </w:r>
          </w:p>
        </w:tc>
      </w:tr>
      <w:tr w:rsidR="00A259BD" w:rsidRPr="00A259BD" w14:paraId="17636F93" w14:textId="77777777">
        <w:tc>
          <w:tcPr>
            <w:tcW w:w="950" w:type="dxa"/>
          </w:tcPr>
          <w:p w14:paraId="0EC4D3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Арм</w:t>
            </w:r>
            <w:proofErr w:type="spellEnd"/>
            <w:r w:rsidRPr="00A259BD">
              <w:rPr>
                <w:rFonts w:ascii="Times New Roman" w:hAnsi="Times New Roman"/>
                <w:color w:val="000000" w:themeColor="text1"/>
                <w:sz w:val="16"/>
                <w:szCs w:val="16"/>
              </w:rPr>
              <w:t>. разведчик Р5 БМВ VI</w:t>
            </w:r>
          </w:p>
        </w:tc>
        <w:tc>
          <w:tcPr>
            <w:tcW w:w="828" w:type="dxa"/>
          </w:tcPr>
          <w:p w14:paraId="2FF354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500/680</w:t>
            </w:r>
          </w:p>
        </w:tc>
        <w:tc>
          <w:tcPr>
            <w:tcW w:w="828" w:type="dxa"/>
          </w:tcPr>
          <w:p w14:paraId="250570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Дерев., </w:t>
            </w:r>
            <w:proofErr w:type="spellStart"/>
            <w:r w:rsidRPr="00A259BD">
              <w:rPr>
                <w:rFonts w:ascii="Times New Roman" w:hAnsi="Times New Roman"/>
                <w:color w:val="000000" w:themeColor="text1"/>
                <w:sz w:val="16"/>
                <w:szCs w:val="16"/>
              </w:rPr>
              <w:t>мотоус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дюрал</w:t>
            </w:r>
            <w:proofErr w:type="spellEnd"/>
            <w:r w:rsidRPr="00A259BD">
              <w:rPr>
                <w:rFonts w:ascii="Times New Roman" w:hAnsi="Times New Roman"/>
                <w:color w:val="000000" w:themeColor="text1"/>
                <w:sz w:val="16"/>
                <w:szCs w:val="16"/>
              </w:rPr>
              <w:t xml:space="preserve">., ф-з типа монокок </w:t>
            </w:r>
            <w:proofErr w:type="spellStart"/>
            <w:r w:rsidRPr="00A259BD">
              <w:rPr>
                <w:rFonts w:ascii="Times New Roman" w:hAnsi="Times New Roman"/>
                <w:color w:val="000000" w:themeColor="text1"/>
                <w:sz w:val="16"/>
                <w:szCs w:val="16"/>
              </w:rPr>
              <w:t>нормал</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деревян</w:t>
            </w:r>
            <w:proofErr w:type="spellEnd"/>
            <w:r w:rsidRPr="00A259BD">
              <w:rPr>
                <w:rFonts w:ascii="Times New Roman" w:hAnsi="Times New Roman"/>
                <w:color w:val="000000" w:themeColor="text1"/>
                <w:sz w:val="16"/>
                <w:szCs w:val="16"/>
              </w:rPr>
              <w:t>. с фанер.</w:t>
            </w:r>
          </w:p>
          <w:p w14:paraId="5CC757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обшивк</w:t>
            </w:r>
            <w:proofErr w:type="spellEnd"/>
            <w:r w:rsidRPr="00A259BD">
              <w:rPr>
                <w:rFonts w:ascii="Times New Roman" w:hAnsi="Times New Roman"/>
                <w:color w:val="000000" w:themeColor="text1"/>
                <w:sz w:val="16"/>
                <w:szCs w:val="16"/>
              </w:rPr>
              <w:t xml:space="preserve">. </w:t>
            </w:r>
          </w:p>
        </w:tc>
        <w:tc>
          <w:tcPr>
            <w:tcW w:w="621" w:type="dxa"/>
          </w:tcPr>
          <w:p w14:paraId="66830F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850</w:t>
            </w:r>
          </w:p>
        </w:tc>
        <w:tc>
          <w:tcPr>
            <w:tcW w:w="567" w:type="dxa"/>
          </w:tcPr>
          <w:p w14:paraId="4D022D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2715</w:t>
            </w:r>
          </w:p>
        </w:tc>
        <w:tc>
          <w:tcPr>
            <w:tcW w:w="567" w:type="dxa"/>
          </w:tcPr>
          <w:p w14:paraId="6788FB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230/ 3000</w:t>
            </w:r>
          </w:p>
        </w:tc>
        <w:tc>
          <w:tcPr>
            <w:tcW w:w="567" w:type="dxa"/>
          </w:tcPr>
          <w:p w14:paraId="0D146C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09" w:type="dxa"/>
          </w:tcPr>
          <w:p w14:paraId="639831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6,4’</w:t>
            </w:r>
          </w:p>
        </w:tc>
        <w:tc>
          <w:tcPr>
            <w:tcW w:w="708" w:type="dxa"/>
          </w:tcPr>
          <w:p w14:paraId="60BC8D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w:t>
            </w:r>
          </w:p>
        </w:tc>
        <w:tc>
          <w:tcPr>
            <w:tcW w:w="567" w:type="dxa"/>
          </w:tcPr>
          <w:p w14:paraId="3C9E67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23,5'</w:t>
            </w:r>
          </w:p>
        </w:tc>
        <w:tc>
          <w:tcPr>
            <w:tcW w:w="567" w:type="dxa"/>
          </w:tcPr>
          <w:p w14:paraId="23F11F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6200</w:t>
            </w:r>
          </w:p>
        </w:tc>
        <w:tc>
          <w:tcPr>
            <w:tcW w:w="709" w:type="dxa"/>
          </w:tcPr>
          <w:p w14:paraId="7441FB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пул.</w:t>
            </w:r>
          </w:p>
        </w:tc>
        <w:tc>
          <w:tcPr>
            <w:tcW w:w="1418" w:type="dxa"/>
          </w:tcPr>
          <w:p w14:paraId="224C42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629B8D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489C6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3496C7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A259BD" w14:paraId="53D85F45" w14:textId="77777777">
        <w:tc>
          <w:tcPr>
            <w:tcW w:w="950" w:type="dxa"/>
          </w:tcPr>
          <w:p w14:paraId="5CBC21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Арм</w:t>
            </w:r>
            <w:proofErr w:type="spellEnd"/>
            <w:r w:rsidRPr="00A259BD">
              <w:rPr>
                <w:rFonts w:ascii="Times New Roman" w:hAnsi="Times New Roman"/>
                <w:color w:val="000000" w:themeColor="text1"/>
                <w:sz w:val="16"/>
                <w:szCs w:val="16"/>
              </w:rPr>
              <w:t>. разведчик Р5 БМВ VI</w:t>
            </w:r>
          </w:p>
        </w:tc>
        <w:tc>
          <w:tcPr>
            <w:tcW w:w="828" w:type="dxa"/>
          </w:tcPr>
          <w:p w14:paraId="386420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500/680</w:t>
            </w:r>
          </w:p>
        </w:tc>
        <w:tc>
          <w:tcPr>
            <w:tcW w:w="828" w:type="dxa"/>
          </w:tcPr>
          <w:p w14:paraId="7436C2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Дерев., </w:t>
            </w:r>
            <w:proofErr w:type="spellStart"/>
            <w:r w:rsidRPr="00A259BD">
              <w:rPr>
                <w:rFonts w:ascii="Times New Roman" w:hAnsi="Times New Roman"/>
                <w:color w:val="000000" w:themeColor="text1"/>
                <w:sz w:val="16"/>
                <w:szCs w:val="16"/>
              </w:rPr>
              <w:t>мотоус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дюрал</w:t>
            </w:r>
            <w:proofErr w:type="spellEnd"/>
            <w:r w:rsidRPr="00A259BD">
              <w:rPr>
                <w:rFonts w:ascii="Times New Roman" w:hAnsi="Times New Roman"/>
                <w:color w:val="000000" w:themeColor="text1"/>
                <w:sz w:val="16"/>
                <w:szCs w:val="16"/>
              </w:rPr>
              <w:t xml:space="preserve">., ф-з типа монокок </w:t>
            </w:r>
            <w:proofErr w:type="spellStart"/>
            <w:r w:rsidRPr="00A259BD">
              <w:rPr>
                <w:rFonts w:ascii="Times New Roman" w:hAnsi="Times New Roman"/>
                <w:color w:val="000000" w:themeColor="text1"/>
                <w:sz w:val="16"/>
                <w:szCs w:val="16"/>
              </w:rPr>
              <w:t>нормал</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деревян</w:t>
            </w:r>
            <w:proofErr w:type="spellEnd"/>
            <w:r w:rsidRPr="00A259BD">
              <w:rPr>
                <w:rFonts w:ascii="Times New Roman" w:hAnsi="Times New Roman"/>
                <w:color w:val="000000" w:themeColor="text1"/>
                <w:sz w:val="16"/>
                <w:szCs w:val="16"/>
              </w:rPr>
              <w:t>. с фанер.</w:t>
            </w:r>
          </w:p>
          <w:p w14:paraId="73D6FE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обшивк</w:t>
            </w:r>
            <w:proofErr w:type="spellEnd"/>
            <w:r w:rsidRPr="00A259BD">
              <w:rPr>
                <w:rFonts w:ascii="Times New Roman" w:hAnsi="Times New Roman"/>
                <w:color w:val="000000" w:themeColor="text1"/>
                <w:sz w:val="16"/>
                <w:szCs w:val="16"/>
              </w:rPr>
              <w:t xml:space="preserve">. </w:t>
            </w:r>
          </w:p>
        </w:tc>
        <w:tc>
          <w:tcPr>
            <w:tcW w:w="621" w:type="dxa"/>
          </w:tcPr>
          <w:p w14:paraId="19EF43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1130</w:t>
            </w:r>
          </w:p>
        </w:tc>
        <w:tc>
          <w:tcPr>
            <w:tcW w:w="567" w:type="dxa"/>
          </w:tcPr>
          <w:p w14:paraId="0B0909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2995</w:t>
            </w:r>
          </w:p>
        </w:tc>
        <w:tc>
          <w:tcPr>
            <w:tcW w:w="567" w:type="dxa"/>
          </w:tcPr>
          <w:p w14:paraId="74C53B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205/ 3000</w:t>
            </w:r>
          </w:p>
        </w:tc>
        <w:tc>
          <w:tcPr>
            <w:tcW w:w="567" w:type="dxa"/>
          </w:tcPr>
          <w:p w14:paraId="4D967D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09" w:type="dxa"/>
          </w:tcPr>
          <w:p w14:paraId="2157A1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6,97'</w:t>
            </w:r>
          </w:p>
        </w:tc>
        <w:tc>
          <w:tcPr>
            <w:tcW w:w="708" w:type="dxa"/>
          </w:tcPr>
          <w:p w14:paraId="39E848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12,02'</w:t>
            </w:r>
          </w:p>
        </w:tc>
        <w:tc>
          <w:tcPr>
            <w:tcW w:w="567" w:type="dxa"/>
          </w:tcPr>
          <w:p w14:paraId="1F2A05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32,8'</w:t>
            </w:r>
          </w:p>
        </w:tc>
        <w:tc>
          <w:tcPr>
            <w:tcW w:w="567" w:type="dxa"/>
          </w:tcPr>
          <w:p w14:paraId="2A2363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5500</w:t>
            </w:r>
          </w:p>
        </w:tc>
        <w:tc>
          <w:tcPr>
            <w:tcW w:w="709" w:type="dxa"/>
          </w:tcPr>
          <w:p w14:paraId="2ABFA7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пул.</w:t>
            </w:r>
          </w:p>
          <w:p w14:paraId="157B0B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385 кг бомб</w:t>
            </w:r>
          </w:p>
        </w:tc>
        <w:tc>
          <w:tcPr>
            <w:tcW w:w="1418" w:type="dxa"/>
          </w:tcPr>
          <w:p w14:paraId="2C6D8E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01F7CC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A629A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33BFB24F" w14:textId="77777777">
        <w:tc>
          <w:tcPr>
            <w:tcW w:w="950" w:type="dxa"/>
          </w:tcPr>
          <w:p w14:paraId="2ECBB3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Арм</w:t>
            </w:r>
            <w:proofErr w:type="spellEnd"/>
            <w:r w:rsidRPr="00A259BD">
              <w:rPr>
                <w:rFonts w:ascii="Times New Roman" w:hAnsi="Times New Roman"/>
                <w:color w:val="000000" w:themeColor="text1"/>
                <w:sz w:val="16"/>
                <w:szCs w:val="16"/>
              </w:rPr>
              <w:t>. разведчик Р5 БМВ VI</w:t>
            </w:r>
          </w:p>
        </w:tc>
        <w:tc>
          <w:tcPr>
            <w:tcW w:w="828" w:type="dxa"/>
          </w:tcPr>
          <w:p w14:paraId="57B33D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500/680</w:t>
            </w:r>
          </w:p>
          <w:p w14:paraId="124F04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7C6F6E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Дерев., </w:t>
            </w:r>
            <w:proofErr w:type="spellStart"/>
            <w:r w:rsidRPr="00A259BD">
              <w:rPr>
                <w:rFonts w:ascii="Times New Roman" w:hAnsi="Times New Roman"/>
                <w:color w:val="000000" w:themeColor="text1"/>
                <w:sz w:val="16"/>
                <w:szCs w:val="16"/>
              </w:rPr>
              <w:t>мотоус</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дюрал</w:t>
            </w:r>
            <w:proofErr w:type="spellEnd"/>
            <w:r w:rsidRPr="00A259BD">
              <w:rPr>
                <w:rFonts w:ascii="Times New Roman" w:hAnsi="Times New Roman"/>
                <w:color w:val="000000" w:themeColor="text1"/>
                <w:sz w:val="16"/>
                <w:szCs w:val="16"/>
              </w:rPr>
              <w:t xml:space="preserve">., ф-з типа монокок </w:t>
            </w:r>
            <w:proofErr w:type="spellStart"/>
            <w:r w:rsidRPr="00A259BD">
              <w:rPr>
                <w:rFonts w:ascii="Times New Roman" w:hAnsi="Times New Roman"/>
                <w:color w:val="000000" w:themeColor="text1"/>
                <w:sz w:val="16"/>
                <w:szCs w:val="16"/>
              </w:rPr>
              <w:t>нормал</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деревян</w:t>
            </w:r>
            <w:proofErr w:type="spellEnd"/>
            <w:r w:rsidRPr="00A259BD">
              <w:rPr>
                <w:rFonts w:ascii="Times New Roman" w:hAnsi="Times New Roman"/>
                <w:color w:val="000000" w:themeColor="text1"/>
                <w:sz w:val="16"/>
                <w:szCs w:val="16"/>
              </w:rPr>
              <w:t>. с фанер.</w:t>
            </w:r>
          </w:p>
          <w:p w14:paraId="59E052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обшивк</w:t>
            </w:r>
            <w:proofErr w:type="spellEnd"/>
            <w:r w:rsidRPr="00A259BD">
              <w:rPr>
                <w:rFonts w:ascii="Times New Roman" w:hAnsi="Times New Roman"/>
                <w:color w:val="000000" w:themeColor="text1"/>
                <w:sz w:val="16"/>
                <w:szCs w:val="16"/>
              </w:rPr>
              <w:t xml:space="preserve">. </w:t>
            </w:r>
          </w:p>
        </w:tc>
        <w:tc>
          <w:tcPr>
            <w:tcW w:w="621" w:type="dxa"/>
          </w:tcPr>
          <w:p w14:paraId="0DC094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1565</w:t>
            </w:r>
          </w:p>
        </w:tc>
        <w:tc>
          <w:tcPr>
            <w:tcW w:w="567" w:type="dxa"/>
          </w:tcPr>
          <w:p w14:paraId="300A18D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3430</w:t>
            </w:r>
          </w:p>
        </w:tc>
        <w:tc>
          <w:tcPr>
            <w:tcW w:w="567" w:type="dxa"/>
          </w:tcPr>
          <w:p w14:paraId="0E68FA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 3000</w:t>
            </w:r>
          </w:p>
        </w:tc>
        <w:tc>
          <w:tcPr>
            <w:tcW w:w="567" w:type="dxa"/>
          </w:tcPr>
          <w:p w14:paraId="6C62CC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09" w:type="dxa"/>
          </w:tcPr>
          <w:p w14:paraId="25559D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10,44'</w:t>
            </w:r>
          </w:p>
        </w:tc>
        <w:tc>
          <w:tcPr>
            <w:tcW w:w="708" w:type="dxa"/>
          </w:tcPr>
          <w:p w14:paraId="608115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18,28'</w:t>
            </w:r>
          </w:p>
        </w:tc>
        <w:tc>
          <w:tcPr>
            <w:tcW w:w="567" w:type="dxa"/>
          </w:tcPr>
          <w:p w14:paraId="533015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38,85'</w:t>
            </w:r>
          </w:p>
        </w:tc>
        <w:tc>
          <w:tcPr>
            <w:tcW w:w="567" w:type="dxa"/>
          </w:tcPr>
          <w:p w14:paraId="76B4B5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5100</w:t>
            </w:r>
          </w:p>
        </w:tc>
        <w:tc>
          <w:tcPr>
            <w:tcW w:w="709" w:type="dxa"/>
          </w:tcPr>
          <w:p w14:paraId="0DA4A5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пул.</w:t>
            </w:r>
          </w:p>
          <w:p w14:paraId="005EC4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800 кг бомб</w:t>
            </w:r>
          </w:p>
        </w:tc>
        <w:tc>
          <w:tcPr>
            <w:tcW w:w="1418" w:type="dxa"/>
          </w:tcPr>
          <w:p w14:paraId="4EB70E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p w14:paraId="5FB405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8313B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r>
      <w:tr w:rsidR="00A259BD" w:rsidRPr="00A259BD" w14:paraId="2574E569" w14:textId="77777777">
        <w:tc>
          <w:tcPr>
            <w:tcW w:w="950" w:type="dxa"/>
          </w:tcPr>
          <w:p w14:paraId="5C2851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Учебный первонач. Обучения У2 М11а</w:t>
            </w:r>
          </w:p>
        </w:tc>
        <w:tc>
          <w:tcPr>
            <w:tcW w:w="828" w:type="dxa"/>
          </w:tcPr>
          <w:p w14:paraId="11D5E0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w:t>
            </w:r>
          </w:p>
        </w:tc>
        <w:tc>
          <w:tcPr>
            <w:tcW w:w="828" w:type="dxa"/>
          </w:tcPr>
          <w:p w14:paraId="552320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Цельнодеревян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констр</w:t>
            </w:r>
            <w:proofErr w:type="spellEnd"/>
            <w:r w:rsidRPr="00A259BD">
              <w:rPr>
                <w:rFonts w:ascii="Times New Roman" w:hAnsi="Times New Roman"/>
                <w:color w:val="000000" w:themeColor="text1"/>
                <w:sz w:val="16"/>
                <w:szCs w:val="16"/>
              </w:rPr>
              <w:t>., обшивка полотно</w:t>
            </w:r>
          </w:p>
        </w:tc>
        <w:tc>
          <w:tcPr>
            <w:tcW w:w="621" w:type="dxa"/>
          </w:tcPr>
          <w:p w14:paraId="3F9028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255</w:t>
            </w:r>
          </w:p>
        </w:tc>
        <w:tc>
          <w:tcPr>
            <w:tcW w:w="567" w:type="dxa"/>
          </w:tcPr>
          <w:p w14:paraId="187151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869</w:t>
            </w:r>
          </w:p>
        </w:tc>
        <w:tc>
          <w:tcPr>
            <w:tcW w:w="567" w:type="dxa"/>
          </w:tcPr>
          <w:p w14:paraId="4E448A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155,5</w:t>
            </w:r>
          </w:p>
        </w:tc>
        <w:tc>
          <w:tcPr>
            <w:tcW w:w="567" w:type="dxa"/>
          </w:tcPr>
          <w:p w14:paraId="368A2D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09" w:type="dxa"/>
          </w:tcPr>
          <w:p w14:paraId="6E0628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6,01’/ 1000 м</w:t>
            </w:r>
          </w:p>
        </w:tc>
        <w:tc>
          <w:tcPr>
            <w:tcW w:w="708" w:type="dxa"/>
          </w:tcPr>
          <w:p w14:paraId="7D551E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10,01/ 2000 v</w:t>
            </w:r>
          </w:p>
        </w:tc>
        <w:tc>
          <w:tcPr>
            <w:tcW w:w="567" w:type="dxa"/>
          </w:tcPr>
          <w:p w14:paraId="458E06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567" w:type="dxa"/>
          </w:tcPr>
          <w:p w14:paraId="749F7D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ок</w:t>
            </w:r>
            <w:proofErr w:type="spellEnd"/>
            <w:r w:rsidRPr="00A259BD">
              <w:rPr>
                <w:rFonts w:ascii="Times New Roman" w:hAnsi="Times New Roman"/>
                <w:color w:val="000000" w:themeColor="text1"/>
                <w:sz w:val="16"/>
                <w:szCs w:val="16"/>
              </w:rPr>
              <w:t>. 3000 м</w:t>
            </w:r>
          </w:p>
        </w:tc>
        <w:tc>
          <w:tcPr>
            <w:tcW w:w="709" w:type="dxa"/>
          </w:tcPr>
          <w:p w14:paraId="259FD0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418" w:type="dxa"/>
          </w:tcPr>
          <w:p w14:paraId="7F1B29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Вибрция</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мотоуст</w:t>
            </w:r>
            <w:proofErr w:type="spellEnd"/>
            <w:r w:rsidRPr="00A259BD">
              <w:rPr>
                <w:rFonts w:ascii="Times New Roman" w:hAnsi="Times New Roman"/>
                <w:color w:val="000000" w:themeColor="text1"/>
                <w:sz w:val="16"/>
                <w:szCs w:val="16"/>
              </w:rPr>
              <w:t xml:space="preserve">. (от </w:t>
            </w:r>
            <w:proofErr w:type="spellStart"/>
            <w:r w:rsidRPr="00A259BD">
              <w:rPr>
                <w:rFonts w:ascii="Times New Roman" w:hAnsi="Times New Roman"/>
                <w:color w:val="000000" w:themeColor="text1"/>
                <w:sz w:val="16"/>
                <w:szCs w:val="16"/>
              </w:rPr>
              <w:t>вибрирован</w:t>
            </w:r>
            <w:proofErr w:type="spellEnd"/>
            <w:r w:rsidRPr="00A259BD">
              <w:rPr>
                <w:rFonts w:ascii="Times New Roman" w:hAnsi="Times New Roman"/>
                <w:color w:val="000000" w:themeColor="text1"/>
                <w:sz w:val="16"/>
                <w:szCs w:val="16"/>
              </w:rPr>
              <w:t xml:space="preserve">. мотора). </w:t>
            </w:r>
          </w:p>
        </w:tc>
        <w:tc>
          <w:tcPr>
            <w:tcW w:w="1559" w:type="dxa"/>
          </w:tcPr>
          <w:p w14:paraId="501DE2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Строит. серия в 25 шт.</w:t>
            </w:r>
          </w:p>
        </w:tc>
      </w:tr>
      <w:tr w:rsidR="00A259BD" w:rsidRPr="00A259BD" w14:paraId="38F58D67" w14:textId="77777777">
        <w:tc>
          <w:tcPr>
            <w:tcW w:w="950" w:type="dxa"/>
          </w:tcPr>
          <w:p w14:paraId="1091AF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Переходн</w:t>
            </w:r>
            <w:proofErr w:type="spellEnd"/>
            <w:r w:rsidRPr="00A259BD">
              <w:rPr>
                <w:rFonts w:ascii="Times New Roman" w:hAnsi="Times New Roman"/>
                <w:color w:val="000000" w:themeColor="text1"/>
                <w:sz w:val="16"/>
                <w:szCs w:val="16"/>
              </w:rPr>
              <w:t xml:space="preserve">. с-т П1 БМВ </w:t>
            </w:r>
            <w:proofErr w:type="spellStart"/>
            <w:r w:rsidRPr="00A259BD">
              <w:rPr>
                <w:rFonts w:ascii="Times New Roman" w:hAnsi="Times New Roman"/>
                <w:color w:val="000000" w:themeColor="text1"/>
                <w:sz w:val="16"/>
                <w:szCs w:val="16"/>
              </w:rPr>
              <w:t>IIIа</w:t>
            </w:r>
            <w:proofErr w:type="spellEnd"/>
          </w:p>
        </w:tc>
        <w:tc>
          <w:tcPr>
            <w:tcW w:w="828" w:type="dxa"/>
          </w:tcPr>
          <w:p w14:paraId="40134B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185/240</w:t>
            </w:r>
          </w:p>
        </w:tc>
        <w:tc>
          <w:tcPr>
            <w:tcW w:w="828" w:type="dxa"/>
          </w:tcPr>
          <w:p w14:paraId="3F3804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Цельнодеревян</w:t>
            </w:r>
            <w:proofErr w:type="spellEnd"/>
            <w:r w:rsidRPr="00A259BD">
              <w:rPr>
                <w:rFonts w:ascii="Times New Roman" w:hAnsi="Times New Roman"/>
                <w:color w:val="000000" w:themeColor="text1"/>
                <w:sz w:val="16"/>
                <w:szCs w:val="16"/>
              </w:rPr>
              <w:t>.</w:t>
            </w:r>
          </w:p>
          <w:p w14:paraId="63122F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обшивка полотно для крыльев с фанер. Ф-</w:t>
            </w:r>
            <w:proofErr w:type="spellStart"/>
            <w:r w:rsidRPr="00A259BD">
              <w:rPr>
                <w:rFonts w:ascii="Times New Roman" w:hAnsi="Times New Roman"/>
                <w:color w:val="000000" w:themeColor="text1"/>
                <w:sz w:val="16"/>
                <w:szCs w:val="16"/>
              </w:rPr>
              <w:t>жем</w:t>
            </w:r>
            <w:proofErr w:type="spellEnd"/>
          </w:p>
        </w:tc>
        <w:tc>
          <w:tcPr>
            <w:tcW w:w="621" w:type="dxa"/>
          </w:tcPr>
          <w:p w14:paraId="4BC331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310</w:t>
            </w:r>
          </w:p>
        </w:tc>
        <w:tc>
          <w:tcPr>
            <w:tcW w:w="567" w:type="dxa"/>
          </w:tcPr>
          <w:p w14:paraId="1A4B7A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1300</w:t>
            </w:r>
          </w:p>
        </w:tc>
        <w:tc>
          <w:tcPr>
            <w:tcW w:w="567" w:type="dxa"/>
          </w:tcPr>
          <w:p w14:paraId="5C9C47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182,2</w:t>
            </w:r>
          </w:p>
        </w:tc>
        <w:tc>
          <w:tcPr>
            <w:tcW w:w="567" w:type="dxa"/>
          </w:tcPr>
          <w:p w14:paraId="72618A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709" w:type="dxa"/>
          </w:tcPr>
          <w:p w14:paraId="231829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11,5’</w:t>
            </w:r>
          </w:p>
        </w:tc>
        <w:tc>
          <w:tcPr>
            <w:tcW w:w="708" w:type="dxa"/>
          </w:tcPr>
          <w:p w14:paraId="70F84E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w:t>
            </w:r>
          </w:p>
        </w:tc>
        <w:tc>
          <w:tcPr>
            <w:tcW w:w="567" w:type="dxa"/>
          </w:tcPr>
          <w:p w14:paraId="00FA6D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43,5'</w:t>
            </w:r>
          </w:p>
        </w:tc>
        <w:tc>
          <w:tcPr>
            <w:tcW w:w="567" w:type="dxa"/>
          </w:tcPr>
          <w:p w14:paraId="2235F6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5200</w:t>
            </w:r>
          </w:p>
        </w:tc>
        <w:tc>
          <w:tcPr>
            <w:tcW w:w="709" w:type="dxa"/>
          </w:tcPr>
          <w:p w14:paraId="0B44D6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418" w:type="dxa"/>
          </w:tcPr>
          <w:p w14:paraId="6AE178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Крупных дефектов нет.</w:t>
            </w:r>
          </w:p>
        </w:tc>
        <w:tc>
          <w:tcPr>
            <w:tcW w:w="1559" w:type="dxa"/>
          </w:tcPr>
          <w:p w14:paraId="66CF47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Наход</w:t>
            </w:r>
            <w:proofErr w:type="spellEnd"/>
            <w:r w:rsidRPr="00A259BD">
              <w:rPr>
                <w:rFonts w:ascii="Times New Roman" w:hAnsi="Times New Roman"/>
                <w:color w:val="000000" w:themeColor="text1"/>
                <w:sz w:val="16"/>
                <w:szCs w:val="16"/>
              </w:rPr>
              <w:t xml:space="preserve">. на </w:t>
            </w:r>
            <w:proofErr w:type="spellStart"/>
            <w:r w:rsidRPr="00A259BD">
              <w:rPr>
                <w:rFonts w:ascii="Times New Roman" w:hAnsi="Times New Roman"/>
                <w:color w:val="000000" w:themeColor="text1"/>
                <w:sz w:val="16"/>
                <w:szCs w:val="16"/>
              </w:rPr>
              <w:t>экспл</w:t>
            </w:r>
            <w:proofErr w:type="spellEnd"/>
            <w:r w:rsidRPr="00A259BD">
              <w:rPr>
                <w:rFonts w:ascii="Times New Roman" w:hAnsi="Times New Roman"/>
                <w:color w:val="000000" w:themeColor="text1"/>
                <w:sz w:val="16"/>
                <w:szCs w:val="16"/>
              </w:rPr>
              <w:t xml:space="preserve">. в </w:t>
            </w:r>
            <w:proofErr w:type="spellStart"/>
            <w:r w:rsidRPr="00A259BD">
              <w:rPr>
                <w:rFonts w:ascii="Times New Roman" w:hAnsi="Times New Roman"/>
                <w:color w:val="000000" w:themeColor="text1"/>
                <w:sz w:val="16"/>
                <w:szCs w:val="16"/>
              </w:rPr>
              <w:t>Приво</w:t>
            </w:r>
            <w:proofErr w:type="spellEnd"/>
            <w:r w:rsidRPr="00A259BD">
              <w:rPr>
                <w:rFonts w:ascii="Times New Roman" w:hAnsi="Times New Roman"/>
                <w:color w:val="000000" w:themeColor="text1"/>
                <w:sz w:val="16"/>
                <w:szCs w:val="16"/>
              </w:rPr>
              <w:t>.</w:t>
            </w:r>
          </w:p>
        </w:tc>
      </w:tr>
      <w:tr w:rsidR="00A259BD" w:rsidRPr="00A259BD" w14:paraId="5D91692F" w14:textId="77777777">
        <w:tc>
          <w:tcPr>
            <w:tcW w:w="950" w:type="dxa"/>
          </w:tcPr>
          <w:p w14:paraId="3F3E74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Приспос</w:t>
            </w:r>
            <w:proofErr w:type="spellEnd"/>
            <w:r w:rsidRPr="00A259BD">
              <w:rPr>
                <w:rFonts w:ascii="Times New Roman" w:hAnsi="Times New Roman"/>
                <w:color w:val="000000" w:themeColor="text1"/>
                <w:sz w:val="16"/>
                <w:szCs w:val="16"/>
              </w:rPr>
              <w:t xml:space="preserve">. как </w:t>
            </w:r>
            <w:proofErr w:type="spellStart"/>
            <w:r w:rsidRPr="00A259BD">
              <w:rPr>
                <w:rFonts w:ascii="Times New Roman" w:hAnsi="Times New Roman"/>
                <w:color w:val="000000" w:themeColor="text1"/>
                <w:sz w:val="16"/>
                <w:szCs w:val="16"/>
              </w:rPr>
              <w:t>легк</w:t>
            </w:r>
            <w:proofErr w:type="spellEnd"/>
            <w:r w:rsidRPr="00A259BD">
              <w:rPr>
                <w:rFonts w:ascii="Times New Roman" w:hAnsi="Times New Roman"/>
                <w:color w:val="000000" w:themeColor="text1"/>
                <w:sz w:val="16"/>
                <w:szCs w:val="16"/>
              </w:rPr>
              <w:t>. разведчик П2 М6</w:t>
            </w:r>
          </w:p>
        </w:tc>
        <w:tc>
          <w:tcPr>
            <w:tcW w:w="828" w:type="dxa"/>
          </w:tcPr>
          <w:p w14:paraId="5A1566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tc>
        <w:tc>
          <w:tcPr>
            <w:tcW w:w="828" w:type="dxa"/>
          </w:tcPr>
          <w:p w14:paraId="021582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Цельнодеревян</w:t>
            </w:r>
            <w:proofErr w:type="spellEnd"/>
            <w:r w:rsidRPr="00A259BD">
              <w:rPr>
                <w:rFonts w:ascii="Times New Roman" w:hAnsi="Times New Roman"/>
                <w:color w:val="000000" w:themeColor="text1"/>
                <w:sz w:val="16"/>
                <w:szCs w:val="16"/>
              </w:rPr>
              <w:t>.</w:t>
            </w:r>
          </w:p>
          <w:p w14:paraId="0E3342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обшивка полотно для крыльев с фанер. Ф-</w:t>
            </w:r>
            <w:proofErr w:type="spellStart"/>
            <w:r w:rsidRPr="00A259BD">
              <w:rPr>
                <w:rFonts w:ascii="Times New Roman" w:hAnsi="Times New Roman"/>
                <w:color w:val="000000" w:themeColor="text1"/>
                <w:sz w:val="16"/>
                <w:szCs w:val="16"/>
              </w:rPr>
              <w:t>жем</w:t>
            </w:r>
            <w:proofErr w:type="spellEnd"/>
          </w:p>
        </w:tc>
        <w:tc>
          <w:tcPr>
            <w:tcW w:w="621" w:type="dxa"/>
          </w:tcPr>
          <w:p w14:paraId="5F8E9D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w:t>
            </w:r>
          </w:p>
        </w:tc>
        <w:tc>
          <w:tcPr>
            <w:tcW w:w="567" w:type="dxa"/>
          </w:tcPr>
          <w:p w14:paraId="7D3E52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1450</w:t>
            </w:r>
          </w:p>
        </w:tc>
        <w:tc>
          <w:tcPr>
            <w:tcW w:w="567" w:type="dxa"/>
          </w:tcPr>
          <w:p w14:paraId="5AFD7D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206</w:t>
            </w:r>
          </w:p>
        </w:tc>
        <w:tc>
          <w:tcPr>
            <w:tcW w:w="567" w:type="dxa"/>
          </w:tcPr>
          <w:p w14:paraId="49BE4E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 3000</w:t>
            </w:r>
          </w:p>
        </w:tc>
        <w:tc>
          <w:tcPr>
            <w:tcW w:w="709" w:type="dxa"/>
          </w:tcPr>
          <w:p w14:paraId="24C6C0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w:t>
            </w:r>
          </w:p>
        </w:tc>
        <w:tc>
          <w:tcPr>
            <w:tcW w:w="708" w:type="dxa"/>
          </w:tcPr>
          <w:p w14:paraId="77C9D5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12,67’</w:t>
            </w:r>
          </w:p>
        </w:tc>
        <w:tc>
          <w:tcPr>
            <w:tcW w:w="567" w:type="dxa"/>
          </w:tcPr>
          <w:p w14:paraId="1522AE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32,3'</w:t>
            </w:r>
          </w:p>
        </w:tc>
        <w:tc>
          <w:tcPr>
            <w:tcW w:w="567" w:type="dxa"/>
          </w:tcPr>
          <w:p w14:paraId="6E8518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5660</w:t>
            </w:r>
          </w:p>
        </w:tc>
        <w:tc>
          <w:tcPr>
            <w:tcW w:w="709" w:type="dxa"/>
          </w:tcPr>
          <w:p w14:paraId="02F7F2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пул.</w:t>
            </w:r>
          </w:p>
        </w:tc>
        <w:tc>
          <w:tcPr>
            <w:tcW w:w="1418" w:type="dxa"/>
          </w:tcPr>
          <w:p w14:paraId="7D1476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Затруднит. выход из штопора.</w:t>
            </w:r>
          </w:p>
          <w:p w14:paraId="151ADD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Поломка крыльев в полете из-за слабых креплений (башмаков) в месте соединения крыльев к ф-</w:t>
            </w:r>
            <w:proofErr w:type="spellStart"/>
            <w:r w:rsidRPr="00A259BD">
              <w:rPr>
                <w:rFonts w:ascii="Times New Roman" w:hAnsi="Times New Roman"/>
                <w:color w:val="000000" w:themeColor="text1"/>
                <w:sz w:val="16"/>
                <w:szCs w:val="16"/>
              </w:rPr>
              <w:t>жу</w:t>
            </w:r>
            <w:proofErr w:type="spellEnd"/>
            <w:r w:rsidRPr="00A259BD">
              <w:rPr>
                <w:rFonts w:ascii="Times New Roman" w:hAnsi="Times New Roman"/>
                <w:color w:val="000000" w:themeColor="text1"/>
                <w:sz w:val="16"/>
                <w:szCs w:val="16"/>
              </w:rPr>
              <w:t>.</w:t>
            </w:r>
          </w:p>
        </w:tc>
        <w:tc>
          <w:tcPr>
            <w:tcW w:w="1559" w:type="dxa"/>
          </w:tcPr>
          <w:p w14:paraId="42A561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Дефект </w:t>
            </w:r>
            <w:proofErr w:type="spellStart"/>
            <w:r w:rsidRPr="00A259BD">
              <w:rPr>
                <w:rFonts w:ascii="Times New Roman" w:hAnsi="Times New Roman"/>
                <w:color w:val="000000" w:themeColor="text1"/>
                <w:sz w:val="16"/>
                <w:szCs w:val="16"/>
              </w:rPr>
              <w:t>устран</w:t>
            </w:r>
            <w:proofErr w:type="spellEnd"/>
            <w:r w:rsidRPr="00A259BD">
              <w:rPr>
                <w:rFonts w:ascii="Times New Roman" w:hAnsi="Times New Roman"/>
                <w:color w:val="000000" w:themeColor="text1"/>
                <w:sz w:val="16"/>
                <w:szCs w:val="16"/>
              </w:rPr>
              <w:t>. Строит. серия в 30 с-тов.</w:t>
            </w:r>
          </w:p>
        </w:tc>
      </w:tr>
      <w:tr w:rsidR="00A259BD" w:rsidRPr="00A259BD" w14:paraId="2FADAC82" w14:textId="77777777">
        <w:tc>
          <w:tcPr>
            <w:tcW w:w="950" w:type="dxa"/>
          </w:tcPr>
          <w:p w14:paraId="2E7D17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Тяжелый бомбард. ТБ2 2 БМВVI</w:t>
            </w:r>
          </w:p>
        </w:tc>
        <w:tc>
          <w:tcPr>
            <w:tcW w:w="828" w:type="dxa"/>
          </w:tcPr>
          <w:p w14:paraId="0FEC10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 1160</w:t>
            </w:r>
          </w:p>
        </w:tc>
        <w:tc>
          <w:tcPr>
            <w:tcW w:w="828" w:type="dxa"/>
          </w:tcPr>
          <w:p w14:paraId="6E51E4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Цельнодеревян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констр</w:t>
            </w:r>
            <w:proofErr w:type="spellEnd"/>
            <w:r w:rsidRPr="00A259BD">
              <w:rPr>
                <w:rFonts w:ascii="Times New Roman" w:hAnsi="Times New Roman"/>
                <w:color w:val="000000" w:themeColor="text1"/>
                <w:sz w:val="16"/>
                <w:szCs w:val="16"/>
              </w:rPr>
              <w:t>.</w:t>
            </w:r>
          </w:p>
        </w:tc>
        <w:tc>
          <w:tcPr>
            <w:tcW w:w="621" w:type="dxa"/>
          </w:tcPr>
          <w:p w14:paraId="56B260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2652</w:t>
            </w:r>
          </w:p>
        </w:tc>
        <w:tc>
          <w:tcPr>
            <w:tcW w:w="567" w:type="dxa"/>
          </w:tcPr>
          <w:p w14:paraId="143A9D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6770</w:t>
            </w:r>
          </w:p>
        </w:tc>
        <w:tc>
          <w:tcPr>
            <w:tcW w:w="567" w:type="dxa"/>
          </w:tcPr>
          <w:p w14:paraId="27BFFA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AED3B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197,5/ 3000</w:t>
            </w:r>
          </w:p>
        </w:tc>
        <w:tc>
          <w:tcPr>
            <w:tcW w:w="709" w:type="dxa"/>
          </w:tcPr>
          <w:p w14:paraId="4A0816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12,9’</w:t>
            </w:r>
          </w:p>
        </w:tc>
        <w:tc>
          <w:tcPr>
            <w:tcW w:w="708" w:type="dxa"/>
          </w:tcPr>
          <w:p w14:paraId="33436D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19,4’</w:t>
            </w:r>
          </w:p>
        </w:tc>
        <w:tc>
          <w:tcPr>
            <w:tcW w:w="567" w:type="dxa"/>
          </w:tcPr>
          <w:p w14:paraId="3CB9AF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43,5'</w:t>
            </w:r>
          </w:p>
        </w:tc>
        <w:tc>
          <w:tcPr>
            <w:tcW w:w="567" w:type="dxa"/>
          </w:tcPr>
          <w:p w14:paraId="3A92AA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5400</w:t>
            </w:r>
          </w:p>
        </w:tc>
        <w:tc>
          <w:tcPr>
            <w:tcW w:w="709" w:type="dxa"/>
          </w:tcPr>
          <w:p w14:paraId="27B2E8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пул.</w:t>
            </w:r>
          </w:p>
          <w:p w14:paraId="157B86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1500 кг бомб</w:t>
            </w:r>
          </w:p>
        </w:tc>
        <w:tc>
          <w:tcPr>
            <w:tcW w:w="1418" w:type="dxa"/>
          </w:tcPr>
          <w:p w14:paraId="3ED9D9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46791F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Летные данные </w:t>
            </w:r>
            <w:proofErr w:type="spellStart"/>
            <w:r w:rsidRPr="00A259BD">
              <w:rPr>
                <w:rFonts w:ascii="Times New Roman" w:hAnsi="Times New Roman"/>
                <w:color w:val="000000" w:themeColor="text1"/>
                <w:sz w:val="16"/>
                <w:szCs w:val="16"/>
              </w:rPr>
              <w:t>проектн</w:t>
            </w:r>
            <w:proofErr w:type="spellEnd"/>
            <w:r w:rsidRPr="00A259BD">
              <w:rPr>
                <w:rFonts w:ascii="Times New Roman" w:hAnsi="Times New Roman"/>
                <w:color w:val="000000" w:themeColor="text1"/>
                <w:sz w:val="16"/>
                <w:szCs w:val="16"/>
              </w:rPr>
              <w:t xml:space="preserve">. С-т еще не окончен </w:t>
            </w:r>
            <w:proofErr w:type="spellStart"/>
            <w:r w:rsidRPr="00A259BD">
              <w:rPr>
                <w:rFonts w:ascii="Times New Roman" w:hAnsi="Times New Roman"/>
                <w:color w:val="000000" w:themeColor="text1"/>
                <w:sz w:val="16"/>
                <w:szCs w:val="16"/>
              </w:rPr>
              <w:t>постр</w:t>
            </w:r>
            <w:proofErr w:type="spellEnd"/>
            <w:r w:rsidRPr="00A259BD">
              <w:rPr>
                <w:rFonts w:ascii="Times New Roman" w:hAnsi="Times New Roman"/>
                <w:color w:val="000000" w:themeColor="text1"/>
                <w:sz w:val="16"/>
                <w:szCs w:val="16"/>
              </w:rPr>
              <w:t>.</w:t>
            </w:r>
          </w:p>
        </w:tc>
      </w:tr>
      <w:tr w:rsidR="00A259BD" w:rsidRPr="00A259BD" w14:paraId="19FD79BC" w14:textId="77777777">
        <w:tc>
          <w:tcPr>
            <w:tcW w:w="950" w:type="dxa"/>
          </w:tcPr>
          <w:p w14:paraId="34BFC2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Попл</w:t>
            </w:r>
            <w:proofErr w:type="spellEnd"/>
            <w:r w:rsidRPr="00A259BD">
              <w:rPr>
                <w:rFonts w:ascii="Times New Roman" w:hAnsi="Times New Roman"/>
                <w:color w:val="000000" w:themeColor="text1"/>
                <w:sz w:val="16"/>
                <w:szCs w:val="16"/>
              </w:rPr>
              <w:t>. Разведчик МР М5</w:t>
            </w:r>
          </w:p>
        </w:tc>
        <w:tc>
          <w:tcPr>
            <w:tcW w:w="828" w:type="dxa"/>
          </w:tcPr>
          <w:p w14:paraId="3B9C63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400</w:t>
            </w:r>
          </w:p>
        </w:tc>
        <w:tc>
          <w:tcPr>
            <w:tcW w:w="828" w:type="dxa"/>
          </w:tcPr>
          <w:p w14:paraId="79A8D5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Дерев.</w:t>
            </w:r>
          </w:p>
        </w:tc>
        <w:tc>
          <w:tcPr>
            <w:tcW w:w="621" w:type="dxa"/>
          </w:tcPr>
          <w:p w14:paraId="5D0872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650</w:t>
            </w:r>
          </w:p>
        </w:tc>
        <w:tc>
          <w:tcPr>
            <w:tcW w:w="567" w:type="dxa"/>
          </w:tcPr>
          <w:p w14:paraId="280A4D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2585</w:t>
            </w:r>
          </w:p>
        </w:tc>
        <w:tc>
          <w:tcPr>
            <w:tcW w:w="567" w:type="dxa"/>
          </w:tcPr>
          <w:p w14:paraId="2E54CF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176,5</w:t>
            </w:r>
          </w:p>
        </w:tc>
        <w:tc>
          <w:tcPr>
            <w:tcW w:w="567" w:type="dxa"/>
          </w:tcPr>
          <w:p w14:paraId="06B125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161/3000</w:t>
            </w:r>
          </w:p>
        </w:tc>
        <w:tc>
          <w:tcPr>
            <w:tcW w:w="709" w:type="dxa"/>
          </w:tcPr>
          <w:p w14:paraId="54EEE1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20,13’</w:t>
            </w:r>
          </w:p>
        </w:tc>
        <w:tc>
          <w:tcPr>
            <w:tcW w:w="708" w:type="dxa"/>
          </w:tcPr>
          <w:p w14:paraId="6B503E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41,05’</w:t>
            </w:r>
          </w:p>
        </w:tc>
        <w:tc>
          <w:tcPr>
            <w:tcW w:w="567" w:type="dxa"/>
          </w:tcPr>
          <w:p w14:paraId="008B26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567" w:type="dxa"/>
          </w:tcPr>
          <w:p w14:paraId="75586C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3650</w:t>
            </w:r>
          </w:p>
        </w:tc>
        <w:tc>
          <w:tcPr>
            <w:tcW w:w="709" w:type="dxa"/>
          </w:tcPr>
          <w:p w14:paraId="5C5200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пул.</w:t>
            </w:r>
          </w:p>
        </w:tc>
        <w:tc>
          <w:tcPr>
            <w:tcW w:w="1418" w:type="dxa"/>
          </w:tcPr>
          <w:p w14:paraId="50EF33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Недостаточ</w:t>
            </w:r>
            <w:proofErr w:type="spellEnd"/>
            <w:r w:rsidRPr="00A259BD">
              <w:rPr>
                <w:rFonts w:ascii="Times New Roman" w:hAnsi="Times New Roman"/>
                <w:color w:val="000000" w:themeColor="text1"/>
                <w:sz w:val="16"/>
                <w:szCs w:val="16"/>
              </w:rPr>
              <w:t>. прочность узлов шасси</w:t>
            </w:r>
          </w:p>
        </w:tc>
        <w:tc>
          <w:tcPr>
            <w:tcW w:w="1559" w:type="dxa"/>
          </w:tcPr>
          <w:p w14:paraId="038ED7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r>
    </w:tbl>
    <w:p w14:paraId="2C33D9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(6998, 47).</w:t>
      </w:r>
    </w:p>
    <w:p w14:paraId="5C25D9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31E05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28 декабря 1929 состоялось совместное заседание Президиума Воронежского </w:t>
      </w:r>
      <w:proofErr w:type="spellStart"/>
      <w:r w:rsidRPr="00A259BD">
        <w:rPr>
          <w:rFonts w:ascii="Times New Roman" w:hAnsi="Times New Roman"/>
          <w:color w:val="000000" w:themeColor="text1"/>
          <w:sz w:val="16"/>
          <w:szCs w:val="16"/>
        </w:rPr>
        <w:t>ОблСНХ</w:t>
      </w:r>
      <w:proofErr w:type="spellEnd"/>
      <w:r w:rsidRPr="00A259BD">
        <w:rPr>
          <w:rFonts w:ascii="Times New Roman" w:hAnsi="Times New Roman"/>
          <w:color w:val="000000" w:themeColor="text1"/>
          <w:sz w:val="16"/>
          <w:szCs w:val="16"/>
        </w:rPr>
        <w:t xml:space="preserve"> ЦЧО с представителями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по поводу 18 завода (2367).</w:t>
      </w:r>
    </w:p>
    <w:p w14:paraId="21CC2F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153FFDB" w14:textId="77777777" w:rsidR="00195D7F" w:rsidRPr="00A259BD" w:rsidRDefault="00195D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28 декабря 1929 состоялось совместное заседание Президиума Воронежского </w:t>
      </w:r>
      <w:proofErr w:type="spellStart"/>
      <w:r w:rsidRPr="00A259BD">
        <w:rPr>
          <w:rFonts w:ascii="Times New Roman" w:hAnsi="Times New Roman"/>
          <w:color w:val="000000" w:themeColor="text1"/>
          <w:sz w:val="16"/>
          <w:szCs w:val="16"/>
        </w:rPr>
        <w:t>ОблСНХ</w:t>
      </w:r>
      <w:proofErr w:type="spellEnd"/>
      <w:r w:rsidRPr="00A259BD">
        <w:rPr>
          <w:rFonts w:ascii="Times New Roman" w:hAnsi="Times New Roman"/>
          <w:color w:val="000000" w:themeColor="text1"/>
          <w:sz w:val="16"/>
          <w:szCs w:val="16"/>
        </w:rPr>
        <w:t xml:space="preserve"> ЦЧО с представителями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по поводу Авиазавода. 31 декабря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на котором был обсуждён вопрос о Воронежском заводе (19829).</w:t>
      </w:r>
    </w:p>
    <w:p w14:paraId="7E8B4999" w14:textId="77777777" w:rsidR="00195D7F" w:rsidRPr="00A259BD" w:rsidRDefault="00195D7F" w:rsidP="009236E3">
      <w:pPr>
        <w:pStyle w:val="ae"/>
        <w:shd w:val="clear" w:color="auto" w:fill="FFFFFF"/>
        <w:spacing w:before="0" w:after="0"/>
        <w:jc w:val="both"/>
        <w:rPr>
          <w:color w:val="000000" w:themeColor="text1"/>
          <w:sz w:val="16"/>
          <w:szCs w:val="16"/>
        </w:rPr>
      </w:pPr>
    </w:p>
    <w:p w14:paraId="5484D97E" w14:textId="77777777" w:rsidR="005D539F" w:rsidRPr="00A259BD" w:rsidRDefault="005D539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28 декабря 1929 г. НТК ВВС предложил ЦАГИ взять на себя изготовление гондолы и оперения, а также проектирование и изготовление винта для моторизованного аэростата. Расчёт мотор</w:t>
      </w:r>
      <w:r w:rsidRPr="00A259BD">
        <w:rPr>
          <w:rFonts w:ascii="Times New Roman" w:hAnsi="Times New Roman"/>
          <w:color w:val="000000" w:themeColor="text1"/>
          <w:sz w:val="16"/>
          <w:szCs w:val="16"/>
        </w:rPr>
        <w:softHyphen/>
        <w:t>ной установки для гондолы поручили М.Н. Пет</w:t>
      </w:r>
      <w:r w:rsidRPr="00A259BD">
        <w:rPr>
          <w:rFonts w:ascii="Times New Roman" w:hAnsi="Times New Roman"/>
          <w:color w:val="000000" w:themeColor="text1"/>
          <w:sz w:val="16"/>
          <w:szCs w:val="16"/>
        </w:rPr>
        <w:softHyphen/>
        <w:t xml:space="preserve">рову, расчёт винта — группе И.И. </w:t>
      </w:r>
      <w:proofErr w:type="spellStart"/>
      <w:r w:rsidRPr="00A259BD">
        <w:rPr>
          <w:rFonts w:ascii="Times New Roman" w:hAnsi="Times New Roman"/>
          <w:color w:val="000000" w:themeColor="text1"/>
          <w:sz w:val="16"/>
          <w:szCs w:val="16"/>
        </w:rPr>
        <w:t>Погосского</w:t>
      </w:r>
      <w:proofErr w:type="spellEnd"/>
      <w:r w:rsidRPr="00A259BD">
        <w:rPr>
          <w:rFonts w:ascii="Times New Roman" w:hAnsi="Times New Roman"/>
          <w:color w:val="000000" w:themeColor="text1"/>
          <w:sz w:val="16"/>
          <w:szCs w:val="16"/>
        </w:rPr>
        <w:t xml:space="preserve"> (20120).</w:t>
      </w:r>
    </w:p>
    <w:p w14:paraId="07989EED" w14:textId="77777777" w:rsidR="005D539F" w:rsidRPr="00A259BD" w:rsidRDefault="005D539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марте 1932 г. НИИ ВВС заключило с «</w:t>
      </w:r>
      <w:proofErr w:type="spellStart"/>
      <w:r w:rsidRPr="00A259BD">
        <w:rPr>
          <w:rFonts w:ascii="Times New Roman" w:hAnsi="Times New Roman"/>
          <w:color w:val="000000" w:themeColor="text1"/>
          <w:sz w:val="16"/>
          <w:szCs w:val="16"/>
        </w:rPr>
        <w:t>Дирижаблестроем</w:t>
      </w:r>
      <w:proofErr w:type="spellEnd"/>
      <w:r w:rsidRPr="00A259BD">
        <w:rPr>
          <w:rFonts w:ascii="Times New Roman" w:hAnsi="Times New Roman"/>
          <w:color w:val="000000" w:themeColor="text1"/>
          <w:sz w:val="16"/>
          <w:szCs w:val="16"/>
        </w:rPr>
        <w:t>» договор на выполнение проек</w:t>
      </w:r>
      <w:r w:rsidRPr="00A259BD">
        <w:rPr>
          <w:rFonts w:ascii="Times New Roman" w:hAnsi="Times New Roman"/>
          <w:color w:val="000000" w:themeColor="text1"/>
          <w:sz w:val="16"/>
          <w:szCs w:val="16"/>
        </w:rPr>
        <w:softHyphen/>
        <w:t>та и постройку моторизованного аэростата на</w:t>
      </w:r>
      <w:r w:rsidRPr="00A259BD">
        <w:rPr>
          <w:rFonts w:ascii="Times New Roman" w:hAnsi="Times New Roman"/>
          <w:color w:val="000000" w:themeColor="text1"/>
          <w:sz w:val="16"/>
          <w:szCs w:val="16"/>
        </w:rPr>
        <w:softHyphen/>
        <w:t>блюдения. Он должен был развивать скорость до 72 км/ч, поднимать двух наблюдателей, иметь запас горюче-смазочных материалов на три часа полёта и балласт 60 кг.</w:t>
      </w:r>
    </w:p>
    <w:p w14:paraId="0515B002" w14:textId="77777777" w:rsidR="005D539F" w:rsidRPr="00A259BD" w:rsidRDefault="005D539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Постройка аэростата велась параллельно с проектированием, так что уже 2 августа бал</w:t>
      </w:r>
      <w:r w:rsidRPr="00A259BD">
        <w:rPr>
          <w:rFonts w:ascii="Times New Roman" w:hAnsi="Times New Roman"/>
          <w:color w:val="000000" w:themeColor="text1"/>
          <w:sz w:val="16"/>
          <w:szCs w:val="16"/>
        </w:rPr>
        <w:softHyphen/>
        <w:t>лонные мастерские «</w:t>
      </w:r>
      <w:proofErr w:type="spellStart"/>
      <w:r w:rsidRPr="00A259BD">
        <w:rPr>
          <w:rFonts w:ascii="Times New Roman" w:hAnsi="Times New Roman"/>
          <w:color w:val="000000" w:themeColor="text1"/>
          <w:sz w:val="16"/>
          <w:szCs w:val="16"/>
        </w:rPr>
        <w:t>Дирижаблестроя</w:t>
      </w:r>
      <w:proofErr w:type="spellEnd"/>
      <w:r w:rsidRPr="00A259BD">
        <w:rPr>
          <w:rFonts w:ascii="Times New Roman" w:hAnsi="Times New Roman"/>
          <w:color w:val="000000" w:themeColor="text1"/>
          <w:sz w:val="16"/>
          <w:szCs w:val="16"/>
        </w:rPr>
        <w:t>» прове</w:t>
      </w:r>
      <w:r w:rsidRPr="00A259BD">
        <w:rPr>
          <w:rFonts w:ascii="Times New Roman" w:hAnsi="Times New Roman"/>
          <w:color w:val="000000" w:themeColor="text1"/>
          <w:sz w:val="16"/>
          <w:szCs w:val="16"/>
        </w:rPr>
        <w:softHyphen/>
        <w:t xml:space="preserve">ли первую продувку оболочки, изготовленной заводом «Каучук». Изменение газового объёма </w:t>
      </w:r>
      <w:proofErr w:type="spellStart"/>
      <w:r w:rsidRPr="00A259BD">
        <w:rPr>
          <w:rFonts w:ascii="Times New Roman" w:hAnsi="Times New Roman"/>
          <w:color w:val="000000" w:themeColor="text1"/>
          <w:sz w:val="16"/>
          <w:szCs w:val="16"/>
        </w:rPr>
        <w:t>безбаллонетной</w:t>
      </w:r>
      <w:proofErr w:type="spellEnd"/>
      <w:r w:rsidRPr="00A259BD">
        <w:rPr>
          <w:rFonts w:ascii="Times New Roman" w:hAnsi="Times New Roman"/>
          <w:color w:val="000000" w:themeColor="text1"/>
          <w:sz w:val="16"/>
          <w:szCs w:val="16"/>
        </w:rPr>
        <w:t xml:space="preserve"> оболочки осуществлялось ре</w:t>
      </w:r>
      <w:r w:rsidRPr="00A259BD">
        <w:rPr>
          <w:rFonts w:ascii="Times New Roman" w:hAnsi="Times New Roman"/>
          <w:color w:val="000000" w:themeColor="text1"/>
          <w:sz w:val="16"/>
          <w:szCs w:val="16"/>
        </w:rPr>
        <w:softHyphen/>
        <w:t>зиновыми тяжами. ЦАГИ предложил «</w:t>
      </w:r>
      <w:proofErr w:type="spellStart"/>
      <w:r w:rsidRPr="00A259BD">
        <w:rPr>
          <w:rFonts w:ascii="Times New Roman" w:hAnsi="Times New Roman"/>
          <w:color w:val="000000" w:themeColor="text1"/>
          <w:sz w:val="16"/>
          <w:szCs w:val="16"/>
        </w:rPr>
        <w:t>Дири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жаблестрою</w:t>
      </w:r>
      <w:proofErr w:type="spellEnd"/>
      <w:r w:rsidRPr="00A259BD">
        <w:rPr>
          <w:rFonts w:ascii="Times New Roman" w:hAnsi="Times New Roman"/>
          <w:color w:val="000000" w:themeColor="text1"/>
          <w:sz w:val="16"/>
          <w:szCs w:val="16"/>
        </w:rPr>
        <w:t>» гондолу и оперение моторизо</w:t>
      </w:r>
      <w:r w:rsidRPr="00A259BD">
        <w:rPr>
          <w:rFonts w:ascii="Times New Roman" w:hAnsi="Times New Roman"/>
          <w:color w:val="000000" w:themeColor="text1"/>
          <w:sz w:val="16"/>
          <w:szCs w:val="16"/>
        </w:rPr>
        <w:softHyphen/>
        <w:t>ванного аэростата 1925 г., металлические части которых носили следы повреждений, а чертежи отсутствовали. Начавшиеся государственные испытания показали, что с ними аэростат не сможет удовлетворить предъявленным требова</w:t>
      </w:r>
      <w:r w:rsidRPr="00A259BD">
        <w:rPr>
          <w:rFonts w:ascii="Times New Roman" w:hAnsi="Times New Roman"/>
          <w:color w:val="000000" w:themeColor="text1"/>
          <w:sz w:val="16"/>
          <w:szCs w:val="16"/>
        </w:rPr>
        <w:softHyphen/>
        <w:t>ниям, и «</w:t>
      </w:r>
      <w:proofErr w:type="spellStart"/>
      <w:r w:rsidRPr="00A259BD">
        <w:rPr>
          <w:rFonts w:ascii="Times New Roman" w:hAnsi="Times New Roman"/>
          <w:color w:val="000000" w:themeColor="text1"/>
          <w:sz w:val="16"/>
          <w:szCs w:val="16"/>
        </w:rPr>
        <w:t>Дирижаблестрой</w:t>
      </w:r>
      <w:proofErr w:type="spellEnd"/>
      <w:r w:rsidRPr="00A259BD">
        <w:rPr>
          <w:rFonts w:ascii="Times New Roman" w:hAnsi="Times New Roman"/>
          <w:color w:val="000000" w:themeColor="text1"/>
          <w:sz w:val="16"/>
          <w:szCs w:val="16"/>
        </w:rPr>
        <w:t>» спроектировал но</w:t>
      </w:r>
      <w:r w:rsidRPr="00A259BD">
        <w:rPr>
          <w:rFonts w:ascii="Times New Roman" w:hAnsi="Times New Roman"/>
          <w:color w:val="000000" w:themeColor="text1"/>
          <w:sz w:val="16"/>
          <w:szCs w:val="16"/>
        </w:rPr>
        <w:softHyphen/>
        <w:t>вые оперения и гондолу.</w:t>
      </w:r>
    </w:p>
    <w:p w14:paraId="2C0E0243" w14:textId="77777777" w:rsidR="005D539F" w:rsidRPr="00A259BD" w:rsidRDefault="005D539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Максимальный/минимальный объём обо</w:t>
      </w:r>
      <w:r w:rsidRPr="00A259BD">
        <w:rPr>
          <w:rFonts w:ascii="Times New Roman" w:hAnsi="Times New Roman"/>
          <w:color w:val="000000" w:themeColor="text1"/>
          <w:sz w:val="16"/>
          <w:szCs w:val="16"/>
        </w:rPr>
        <w:softHyphen/>
        <w:t>лочки «С-1» составлял 1250/1050 м3, длина — 28,8 м, максимальный диаметр — 9,6 м. Высота аэростата и в моторизованном, и в привязном состояниях при максимальном выполнении у земли составляла 12,2 м. Оболочка имела об</w:t>
      </w:r>
      <w:r w:rsidRPr="00A259BD">
        <w:rPr>
          <w:rFonts w:ascii="Times New Roman" w:hAnsi="Times New Roman"/>
          <w:color w:val="000000" w:themeColor="text1"/>
          <w:sz w:val="16"/>
          <w:szCs w:val="16"/>
        </w:rPr>
        <w:softHyphen/>
        <w:t>воды типа «Парсеваль» и была изготовлена из 10 полотнищ по 26 трапеций в каждой. Вес обо</w:t>
      </w:r>
      <w:r w:rsidRPr="00A259BD">
        <w:rPr>
          <w:rFonts w:ascii="Times New Roman" w:hAnsi="Times New Roman"/>
          <w:color w:val="000000" w:themeColor="text1"/>
          <w:sz w:val="16"/>
          <w:szCs w:val="16"/>
        </w:rPr>
        <w:softHyphen/>
        <w:t>лочки со снаряжением равнялся 395 кг.</w:t>
      </w:r>
    </w:p>
    <w:p w14:paraId="30798D65" w14:textId="77777777" w:rsidR="005D539F" w:rsidRPr="00A259BD" w:rsidRDefault="005D539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Носовое усиление оболочки выполнили из алюминиевых трубок, </w:t>
      </w:r>
      <w:proofErr w:type="spellStart"/>
      <w:r w:rsidRPr="00A259BD">
        <w:rPr>
          <w:rFonts w:ascii="Times New Roman" w:hAnsi="Times New Roman"/>
          <w:color w:val="000000" w:themeColor="text1"/>
          <w:sz w:val="16"/>
          <w:szCs w:val="16"/>
        </w:rPr>
        <w:t>пришпагованных</w:t>
      </w:r>
      <w:proofErr w:type="spellEnd"/>
      <w:r w:rsidRPr="00A259BD">
        <w:rPr>
          <w:rFonts w:ascii="Times New Roman" w:hAnsi="Times New Roman"/>
          <w:color w:val="000000" w:themeColor="text1"/>
          <w:sz w:val="16"/>
          <w:szCs w:val="16"/>
        </w:rPr>
        <w:t xml:space="preserve"> к матер</w:t>
      </w:r>
      <w:r w:rsidRPr="00A259BD">
        <w:rPr>
          <w:rFonts w:ascii="Times New Roman" w:hAnsi="Times New Roman"/>
          <w:color w:val="000000" w:themeColor="text1"/>
          <w:sz w:val="16"/>
          <w:szCs w:val="16"/>
        </w:rPr>
        <w:softHyphen/>
        <w:t>чатым поясам на оболочке. В качестве материала оболочки применялась двухслойная прорезинен</w:t>
      </w:r>
      <w:r w:rsidRPr="00A259BD">
        <w:rPr>
          <w:rFonts w:ascii="Times New Roman" w:hAnsi="Times New Roman"/>
          <w:color w:val="000000" w:themeColor="text1"/>
          <w:sz w:val="16"/>
          <w:szCs w:val="16"/>
        </w:rPr>
        <w:softHyphen/>
        <w:t>ная хлопчатобумажная ткань.</w:t>
      </w:r>
    </w:p>
    <w:p w14:paraId="4232395A" w14:textId="77777777" w:rsidR="005D539F" w:rsidRPr="00A259BD" w:rsidRDefault="005D539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Подвеска гондолы осуществлялась шестью тросами с каждого борта оболочки. Стропы на нижних своих концах имели карабины, обеспе</w:t>
      </w:r>
      <w:r w:rsidRPr="00A259BD">
        <w:rPr>
          <w:rFonts w:ascii="Times New Roman" w:hAnsi="Times New Roman"/>
          <w:color w:val="000000" w:themeColor="text1"/>
          <w:sz w:val="16"/>
          <w:szCs w:val="16"/>
        </w:rPr>
        <w:softHyphen/>
        <w:t>чивавшие быстрый съём гондолы.</w:t>
      </w:r>
    </w:p>
    <w:p w14:paraId="1BCF0D7C" w14:textId="77777777" w:rsidR="005D539F" w:rsidRPr="00A259BD" w:rsidRDefault="005D539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Переменность объёма оболочки достигалась системой резиновых шнуров диаметром 8 мм, расположенных на расстоянии 100 мм друг от друга. Шнуры крепились к специальному поясу, вшитому снизу в оболочку, поэтому их натяже</w:t>
      </w:r>
      <w:r w:rsidRPr="00A259BD">
        <w:rPr>
          <w:rFonts w:ascii="Times New Roman" w:hAnsi="Times New Roman"/>
          <w:color w:val="000000" w:themeColor="text1"/>
          <w:sz w:val="16"/>
          <w:szCs w:val="16"/>
        </w:rPr>
        <w:softHyphen/>
        <w:t>ние передавалось равномерно на материал обо</w:t>
      </w:r>
      <w:r w:rsidRPr="00A259BD">
        <w:rPr>
          <w:rFonts w:ascii="Times New Roman" w:hAnsi="Times New Roman"/>
          <w:color w:val="000000" w:themeColor="text1"/>
          <w:sz w:val="16"/>
          <w:szCs w:val="16"/>
        </w:rPr>
        <w:softHyphen/>
        <w:t>лочки.</w:t>
      </w:r>
    </w:p>
    <w:p w14:paraId="71451514" w14:textId="77777777" w:rsidR="005D539F" w:rsidRPr="00A259BD" w:rsidRDefault="005D539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Аэростат имел нижний киль и два кольчуга- </w:t>
      </w:r>
      <w:proofErr w:type="spellStart"/>
      <w:r w:rsidRPr="00A259BD">
        <w:rPr>
          <w:rFonts w:ascii="Times New Roman" w:hAnsi="Times New Roman"/>
          <w:color w:val="000000" w:themeColor="text1"/>
          <w:sz w:val="16"/>
          <w:szCs w:val="16"/>
        </w:rPr>
        <w:t>люминиевых</w:t>
      </w:r>
      <w:proofErr w:type="spellEnd"/>
      <w:r w:rsidRPr="00A259BD">
        <w:rPr>
          <w:rFonts w:ascii="Times New Roman" w:hAnsi="Times New Roman"/>
          <w:color w:val="000000" w:themeColor="text1"/>
          <w:sz w:val="16"/>
          <w:szCs w:val="16"/>
        </w:rPr>
        <w:t xml:space="preserve"> горизонтальных стабилизатора. Рулевая проводка позволяла устанавливать рули под любым углом атаки и жёстко фиксировать это положение.</w:t>
      </w:r>
    </w:p>
    <w:p w14:paraId="0246819A" w14:textId="77777777" w:rsidR="005D539F" w:rsidRPr="00A259BD" w:rsidRDefault="005D539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Гондолу открытого типа выполнили из коль</w:t>
      </w:r>
      <w:r w:rsidRPr="00A259BD">
        <w:rPr>
          <w:rFonts w:ascii="Times New Roman" w:hAnsi="Times New Roman"/>
          <w:color w:val="000000" w:themeColor="text1"/>
          <w:sz w:val="16"/>
          <w:szCs w:val="16"/>
        </w:rPr>
        <w:softHyphen/>
        <w:t>чугалюминия в расчёте на двух членов экипа</w:t>
      </w:r>
      <w:r w:rsidRPr="00A259BD">
        <w:rPr>
          <w:rFonts w:ascii="Times New Roman" w:hAnsi="Times New Roman"/>
          <w:color w:val="000000" w:themeColor="text1"/>
          <w:sz w:val="16"/>
          <w:szCs w:val="16"/>
        </w:rPr>
        <w:softHyphen/>
        <w:t>жа. В передней части поместили двигатель М-11 воздушного охлаждения мощностью 100 л.с. с тянущим воздушным винтом. Там же находи</w:t>
      </w:r>
      <w:r w:rsidRPr="00A259BD">
        <w:rPr>
          <w:rFonts w:ascii="Times New Roman" w:hAnsi="Times New Roman"/>
          <w:color w:val="000000" w:themeColor="text1"/>
          <w:sz w:val="16"/>
          <w:szCs w:val="16"/>
        </w:rPr>
        <w:softHyphen/>
        <w:t>лась приборная доска с альтиметром, барогра</w:t>
      </w:r>
      <w:r w:rsidRPr="00A259BD">
        <w:rPr>
          <w:rFonts w:ascii="Times New Roman" w:hAnsi="Times New Roman"/>
          <w:color w:val="000000" w:themeColor="text1"/>
          <w:sz w:val="16"/>
          <w:szCs w:val="16"/>
        </w:rPr>
        <w:softHyphen/>
        <w:t>фом, манометром, часами, показателем числа оборотов двигателя, термометрами масла и го</w:t>
      </w:r>
      <w:r w:rsidRPr="00A259BD">
        <w:rPr>
          <w:rFonts w:ascii="Times New Roman" w:hAnsi="Times New Roman"/>
          <w:color w:val="000000" w:themeColor="text1"/>
          <w:sz w:val="16"/>
          <w:szCs w:val="16"/>
        </w:rPr>
        <w:softHyphen/>
        <w:t>рючего. В кормовой части гондолы располага</w:t>
      </w:r>
      <w:r w:rsidRPr="00A259BD">
        <w:rPr>
          <w:rFonts w:ascii="Times New Roman" w:hAnsi="Times New Roman"/>
          <w:color w:val="000000" w:themeColor="text1"/>
          <w:sz w:val="16"/>
          <w:szCs w:val="16"/>
        </w:rPr>
        <w:softHyphen/>
        <w:t>лись два топливных бака на 94 кг бензина.</w:t>
      </w:r>
    </w:p>
    <w:p w14:paraId="65E6A29F" w14:textId="77777777" w:rsidR="005D539F" w:rsidRPr="00A259BD" w:rsidRDefault="005D539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Оболочку оснастили газовым клапаном типа «</w:t>
      </w:r>
      <w:proofErr w:type="spellStart"/>
      <w:r w:rsidRPr="00A259BD">
        <w:rPr>
          <w:rFonts w:ascii="Times New Roman" w:hAnsi="Times New Roman"/>
          <w:color w:val="000000" w:themeColor="text1"/>
          <w:sz w:val="16"/>
          <w:szCs w:val="16"/>
        </w:rPr>
        <w:t>Ридингер</w:t>
      </w:r>
      <w:proofErr w:type="spellEnd"/>
      <w:r w:rsidRPr="00A259BD">
        <w:rPr>
          <w:rFonts w:ascii="Times New Roman" w:hAnsi="Times New Roman"/>
          <w:color w:val="000000" w:themeColor="text1"/>
          <w:sz w:val="16"/>
          <w:szCs w:val="16"/>
        </w:rPr>
        <w:t>» двойного действия, открывавшим</w:t>
      </w:r>
      <w:r w:rsidRPr="00A259BD">
        <w:rPr>
          <w:rFonts w:ascii="Times New Roman" w:hAnsi="Times New Roman"/>
          <w:color w:val="000000" w:themeColor="text1"/>
          <w:sz w:val="16"/>
          <w:szCs w:val="16"/>
        </w:rPr>
        <w:softHyphen/>
        <w:t>ся автоматически при избыточном давлении 60 мм. вод. ст. и вручную — при любом избы</w:t>
      </w:r>
      <w:r w:rsidRPr="00A259BD">
        <w:rPr>
          <w:rFonts w:ascii="Times New Roman" w:hAnsi="Times New Roman"/>
          <w:color w:val="000000" w:themeColor="text1"/>
          <w:sz w:val="16"/>
          <w:szCs w:val="16"/>
        </w:rPr>
        <w:softHyphen/>
        <w:t>точном давлении стальным тросом из гондолы или корзины.</w:t>
      </w:r>
    </w:p>
    <w:p w14:paraId="5BF99803" w14:textId="77777777" w:rsidR="005D539F" w:rsidRPr="00A259BD" w:rsidRDefault="005D539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 было выполнено лишь одно требование военных — монтаж внутри оболочки шахты с лестницей и пулемётного гнезда на хребте обо</w:t>
      </w:r>
      <w:r w:rsidRPr="00A259BD">
        <w:rPr>
          <w:rFonts w:ascii="Times New Roman" w:hAnsi="Times New Roman"/>
          <w:color w:val="000000" w:themeColor="text1"/>
          <w:sz w:val="16"/>
          <w:szCs w:val="16"/>
        </w:rPr>
        <w:softHyphen/>
        <w:t>лочки для обороны от самолётов противника (20120).</w:t>
      </w:r>
    </w:p>
    <w:p w14:paraId="11498B4D" w14:textId="77777777" w:rsidR="005D539F" w:rsidRPr="00A259BD" w:rsidRDefault="005D539F" w:rsidP="009236E3">
      <w:pPr>
        <w:spacing w:after="0" w:line="240" w:lineRule="auto"/>
        <w:jc w:val="both"/>
        <w:rPr>
          <w:rFonts w:ascii="Times New Roman" w:hAnsi="Times New Roman"/>
          <w:color w:val="000000" w:themeColor="text1"/>
          <w:sz w:val="16"/>
          <w:szCs w:val="16"/>
        </w:rPr>
      </w:pPr>
    </w:p>
    <w:p w14:paraId="4093790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7495F01B"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729265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декабря 1929 артиллерийское управле</w:t>
      </w:r>
      <w:r w:rsidRPr="00A259BD">
        <w:rPr>
          <w:rFonts w:ascii="Times New Roman" w:hAnsi="Times New Roman"/>
          <w:color w:val="000000" w:themeColor="text1"/>
          <w:sz w:val="16"/>
          <w:szCs w:val="16"/>
        </w:rPr>
        <w:softHyphen/>
        <w:t>ние передало УММ РККА “все права и обязанности по до</w:t>
      </w:r>
      <w:r w:rsidRPr="00A259BD">
        <w:rPr>
          <w:rFonts w:ascii="Times New Roman" w:hAnsi="Times New Roman"/>
          <w:color w:val="000000" w:themeColor="text1"/>
          <w:sz w:val="16"/>
          <w:szCs w:val="16"/>
        </w:rPr>
        <w:softHyphen/>
        <w:t>говору с Ижорским заводом на бронирование автомоби</w:t>
      </w:r>
      <w:r w:rsidRPr="00A259BD">
        <w:rPr>
          <w:rFonts w:ascii="Times New Roman" w:hAnsi="Times New Roman"/>
          <w:color w:val="000000" w:themeColor="text1"/>
          <w:sz w:val="16"/>
          <w:szCs w:val="16"/>
        </w:rPr>
        <w:softHyphen/>
        <w:t>лей”. Изучив положение дел, руководство Управления моторизации и механизации 21 февраля 1930 года заключи</w:t>
      </w:r>
      <w:r w:rsidRPr="00A259BD">
        <w:rPr>
          <w:rFonts w:ascii="Times New Roman" w:hAnsi="Times New Roman"/>
          <w:color w:val="000000" w:themeColor="text1"/>
          <w:sz w:val="16"/>
          <w:szCs w:val="16"/>
        </w:rPr>
        <w:softHyphen/>
        <w:t>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(11284).</w:t>
      </w:r>
    </w:p>
    <w:p w14:paraId="40B1564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481791"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EBD08D7"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43A5FE6" w14:textId="77777777" w:rsidR="005D539F" w:rsidRPr="00A259BD" w:rsidRDefault="005D539F" w:rsidP="009236E3">
      <w:pPr>
        <w:spacing w:after="0" w:line="240" w:lineRule="auto"/>
        <w:jc w:val="both"/>
        <w:rPr>
          <w:rFonts w:ascii="Times New Roman" w:hAnsi="Times New Roman"/>
          <w:color w:val="000000" w:themeColor="text1"/>
          <w:sz w:val="16"/>
          <w:szCs w:val="16"/>
        </w:rPr>
      </w:pPr>
      <w:bookmarkStart w:id="100" w:name="_Hlk64398195"/>
      <w:r w:rsidRPr="00A259BD">
        <w:rPr>
          <w:rFonts w:ascii="Times New Roman" w:hAnsi="Times New Roman"/>
          <w:color w:val="000000" w:themeColor="text1"/>
          <w:sz w:val="16"/>
          <w:szCs w:val="16"/>
        </w:rPr>
        <w:t>28 декабря 1929 г. первый полет Mitsubishi B2M (20806).</w:t>
      </w:r>
    </w:p>
    <w:p w14:paraId="3E7DC290" w14:textId="77777777" w:rsidR="005D539F" w:rsidRPr="00A259BD" w:rsidRDefault="005D539F" w:rsidP="009236E3">
      <w:pPr>
        <w:spacing w:after="0" w:line="240" w:lineRule="auto"/>
        <w:jc w:val="both"/>
        <w:rPr>
          <w:rFonts w:ascii="Times New Roman" w:hAnsi="Times New Roman"/>
          <w:color w:val="000000" w:themeColor="text1"/>
          <w:sz w:val="16"/>
          <w:szCs w:val="16"/>
        </w:rPr>
      </w:pPr>
    </w:p>
    <w:p w14:paraId="799DD724" w14:textId="77777777" w:rsidR="005D539F" w:rsidRPr="00A259BD" w:rsidRDefault="005D539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декабря 1929 - Первый полет бомбардировщика-торпедоносца Mitsubishi B2M. Построен Mitsubishi по проекту фирмы Блэкберн и эксплуатировался Императорским японским флотом (22389).</w:t>
      </w:r>
    </w:p>
    <w:p w14:paraId="37536F33" w14:textId="77777777" w:rsidR="005D539F" w:rsidRPr="00A259BD" w:rsidRDefault="005D539F" w:rsidP="009236E3">
      <w:pPr>
        <w:spacing w:after="0" w:line="240" w:lineRule="auto"/>
        <w:jc w:val="both"/>
        <w:rPr>
          <w:rFonts w:ascii="Times New Roman" w:hAnsi="Times New Roman"/>
          <w:color w:val="000000" w:themeColor="text1"/>
          <w:sz w:val="16"/>
          <w:szCs w:val="16"/>
        </w:rPr>
      </w:pPr>
    </w:p>
    <w:bookmarkEnd w:id="100"/>
    <w:p w14:paraId="150900F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декабря 1929 Китай объявил о нахождении останков древнего человека - синантропа (4962).</w:t>
      </w:r>
    </w:p>
    <w:p w14:paraId="1577BE6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D1579B"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531AA06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F87CFF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декабря 1929 года в ЦАГИ были начаты работы по И4 моноплану (6925).</w:t>
      </w:r>
    </w:p>
    <w:p w14:paraId="5841A33F"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209F65" w14:textId="77777777" w:rsidR="00863B79" w:rsidRPr="00A259BD" w:rsidRDefault="00863B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29 декабря 1929 успешно завершены испытания управляемого по радио с самолета катера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(18667).</w:t>
      </w:r>
    </w:p>
    <w:p w14:paraId="238FDB08" w14:textId="77777777" w:rsidR="00863B79" w:rsidRPr="00A259BD" w:rsidRDefault="00863B79" w:rsidP="009236E3">
      <w:pPr>
        <w:spacing w:after="0" w:line="240" w:lineRule="auto"/>
        <w:jc w:val="both"/>
        <w:rPr>
          <w:rFonts w:ascii="Times New Roman" w:hAnsi="Times New Roman"/>
          <w:color w:val="000000" w:themeColor="text1"/>
          <w:sz w:val="16"/>
          <w:szCs w:val="16"/>
        </w:rPr>
      </w:pPr>
    </w:p>
    <w:p w14:paraId="60D2869D" w14:textId="77777777" w:rsidR="001D017F"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7832488" w14:textId="77777777" w:rsidR="001D017F" w:rsidRPr="00A259BD" w:rsidRDefault="001D017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D1D33AC"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 xml:space="preserve">29 декабря 1929 </w:t>
      </w:r>
      <w:r w:rsidRPr="00A259BD">
        <w:rPr>
          <w:rFonts w:ascii="Times New Roman" w:hAnsi="Times New Roman"/>
          <w:color w:val="000000" w:themeColor="text1"/>
          <w:sz w:val="16"/>
          <w:szCs w:val="16"/>
        </w:rPr>
        <w:t>СТО принял постановление «О строительстве новых металлозаводов» (12265).</w:t>
      </w:r>
    </w:p>
    <w:p w14:paraId="74542526" w14:textId="77777777" w:rsidR="00F2603F" w:rsidRPr="00A259BD" w:rsidRDefault="00F2603F" w:rsidP="009236E3">
      <w:pPr>
        <w:spacing w:after="0" w:line="240" w:lineRule="auto"/>
        <w:jc w:val="both"/>
        <w:rPr>
          <w:rStyle w:val="a7"/>
          <w:rFonts w:ascii="Times New Roman" w:hAnsi="Times New Roman"/>
          <w:b w:val="0"/>
          <w:color w:val="000000" w:themeColor="text1"/>
          <w:sz w:val="16"/>
          <w:szCs w:val="16"/>
        </w:rPr>
      </w:pPr>
    </w:p>
    <w:p w14:paraId="5B221093" w14:textId="77777777" w:rsidR="001318E2" w:rsidRPr="00A259BD" w:rsidRDefault="001318E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декабря в 1929 году решением Совета Труда и Обороны СССР к ТОМП были присоединены Изюмский и Ленинградский заводы оптического стекла, Павшинский завод точной механики. Это новое объединение получило название "Всесоюзный Трест Оптико-Механических предприятий" (ВТОМП), а в 1930 ВТОМП стало называться ВООПМ - "Всесоюзное Объединение Оптико-Механической промышленности". Заводу же ГОЗ "по просьбам трудящихся" было присвоено новое название - "Государственный оптико-механический завод (ГОМЗ) имени ОГПУ" (сейчас, как известно, это ЛОМО) (14875).</w:t>
      </w:r>
    </w:p>
    <w:p w14:paraId="44E2B54A" w14:textId="77777777" w:rsidR="001318E2" w:rsidRPr="00A259BD" w:rsidRDefault="001318E2" w:rsidP="009236E3">
      <w:pPr>
        <w:spacing w:after="0" w:line="240" w:lineRule="auto"/>
        <w:jc w:val="both"/>
        <w:rPr>
          <w:rFonts w:ascii="Times New Roman" w:hAnsi="Times New Roman"/>
          <w:color w:val="000000" w:themeColor="text1"/>
          <w:sz w:val="16"/>
          <w:szCs w:val="16"/>
        </w:rPr>
      </w:pPr>
    </w:p>
    <w:p w14:paraId="4851A236" w14:textId="77777777" w:rsidR="001318E2" w:rsidRPr="00A259BD" w:rsidRDefault="001318E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декабря в 1929 году в Ленинграде была основана Отраслевая лаборатория измерений (ОЛИЗ) — первое специализированное предприятие по разработке и производству электроизмерительных приборов. С 1954 г. — Ленинградский завод "Вибратор" (ныне ОАО, город Санкт-Петербург) — одно из ведущих отечественных приборостроительных предприятий (14875).</w:t>
      </w:r>
    </w:p>
    <w:p w14:paraId="7EC8D2A5" w14:textId="77777777" w:rsidR="001318E2" w:rsidRPr="00A259BD" w:rsidRDefault="001318E2" w:rsidP="009236E3">
      <w:pPr>
        <w:spacing w:after="0" w:line="240" w:lineRule="auto"/>
        <w:jc w:val="both"/>
        <w:rPr>
          <w:rFonts w:ascii="Times New Roman" w:hAnsi="Times New Roman"/>
          <w:color w:val="000000" w:themeColor="text1"/>
          <w:sz w:val="16"/>
          <w:szCs w:val="16"/>
        </w:rPr>
      </w:pPr>
    </w:p>
    <w:p w14:paraId="79460CC2" w14:textId="77777777" w:rsidR="00F2603F" w:rsidRPr="00A259BD" w:rsidRDefault="00F2603F" w:rsidP="009236E3">
      <w:pPr>
        <w:spacing w:after="0" w:line="240" w:lineRule="auto"/>
        <w:jc w:val="both"/>
        <w:rPr>
          <w:rFonts w:ascii="Times New Roman" w:hAnsi="Times New Roman"/>
          <w:color w:val="000000" w:themeColor="text1"/>
          <w:sz w:val="16"/>
          <w:szCs w:val="16"/>
        </w:rPr>
      </w:pPr>
      <w:r w:rsidRPr="00A259BD">
        <w:rPr>
          <w:rStyle w:val="a7"/>
          <w:rFonts w:ascii="Times New Roman" w:hAnsi="Times New Roman"/>
          <w:b w:val="0"/>
          <w:color w:val="000000" w:themeColor="text1"/>
          <w:sz w:val="16"/>
          <w:szCs w:val="16"/>
        </w:rPr>
        <w:t>29 декабря 1929 г. </w:t>
      </w:r>
      <w:r w:rsidRPr="00A259BD">
        <w:rPr>
          <w:rFonts w:ascii="Times New Roman" w:hAnsi="Times New Roman"/>
          <w:color w:val="000000" w:themeColor="text1"/>
          <w:sz w:val="16"/>
          <w:szCs w:val="16"/>
        </w:rPr>
        <w:t xml:space="preserve"> на базе завода "Электроприбор" была создана Отраслевая лаборатория измерений (ОЛИЗ) – первое специализированное предприятие по разработке и производству электроизмерительных приборов. Директором ОЛИЗ  был назначен Цукерман М.Л., техническим руководителем стал профессор Пономарев Н.Н.</w:t>
      </w:r>
    </w:p>
    <w:p w14:paraId="0F646265" w14:textId="77777777" w:rsidR="00F2603F" w:rsidRPr="00A259BD" w:rsidRDefault="00F2603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составе лаборатории трудились такие известные специалисты-приборостроители, как:  </w:t>
      </w:r>
      <w:proofErr w:type="spellStart"/>
      <w:r w:rsidRPr="00A259BD">
        <w:rPr>
          <w:rFonts w:ascii="Times New Roman" w:hAnsi="Times New Roman"/>
          <w:color w:val="000000" w:themeColor="text1"/>
          <w:sz w:val="16"/>
          <w:szCs w:val="16"/>
        </w:rPr>
        <w:t>Башаев</w:t>
      </w:r>
      <w:proofErr w:type="spellEnd"/>
      <w:r w:rsidRPr="00A259BD">
        <w:rPr>
          <w:rFonts w:ascii="Times New Roman" w:hAnsi="Times New Roman"/>
          <w:color w:val="000000" w:themeColor="text1"/>
          <w:sz w:val="16"/>
          <w:szCs w:val="16"/>
        </w:rPr>
        <w:t xml:space="preserve"> В.Е., Авербух Я.С., Лаврухин М.А., Френкель Г.А., </w:t>
      </w:r>
      <w:proofErr w:type="spellStart"/>
      <w:r w:rsidRPr="00A259BD">
        <w:rPr>
          <w:rFonts w:ascii="Times New Roman" w:hAnsi="Times New Roman"/>
          <w:color w:val="000000" w:themeColor="text1"/>
          <w:sz w:val="16"/>
          <w:szCs w:val="16"/>
        </w:rPr>
        <w:t>Шумиловский</w:t>
      </w:r>
      <w:proofErr w:type="spellEnd"/>
      <w:r w:rsidRPr="00A259BD">
        <w:rPr>
          <w:rFonts w:ascii="Times New Roman" w:hAnsi="Times New Roman"/>
          <w:color w:val="000000" w:themeColor="text1"/>
          <w:sz w:val="16"/>
          <w:szCs w:val="16"/>
        </w:rPr>
        <w:t xml:space="preserve"> Н.Н., </w:t>
      </w:r>
      <w:proofErr w:type="spellStart"/>
      <w:r w:rsidRPr="00A259BD">
        <w:rPr>
          <w:rFonts w:ascii="Times New Roman" w:hAnsi="Times New Roman"/>
          <w:color w:val="000000" w:themeColor="text1"/>
          <w:sz w:val="16"/>
          <w:szCs w:val="16"/>
        </w:rPr>
        <w:t>Фремке</w:t>
      </w:r>
      <w:proofErr w:type="spellEnd"/>
      <w:r w:rsidRPr="00A259BD">
        <w:rPr>
          <w:rFonts w:ascii="Times New Roman" w:hAnsi="Times New Roman"/>
          <w:color w:val="000000" w:themeColor="text1"/>
          <w:sz w:val="16"/>
          <w:szCs w:val="16"/>
        </w:rPr>
        <w:t xml:space="preserve"> А.В., Разумовский Н.Н., Поляков С.Я, Любарский В.А. В середине 30-х годов в ОЛИЗ пришли молодые инженеры, закончившие Политехнический институт (кафедру измерительной техники </w:t>
      </w:r>
      <w:proofErr w:type="spellStart"/>
      <w:r w:rsidRPr="00A259BD">
        <w:rPr>
          <w:rFonts w:ascii="Times New Roman" w:hAnsi="Times New Roman"/>
          <w:color w:val="000000" w:themeColor="text1"/>
          <w:sz w:val="16"/>
          <w:szCs w:val="16"/>
        </w:rPr>
        <w:t>Шрамкова</w:t>
      </w:r>
      <w:proofErr w:type="spellEnd"/>
      <w:r w:rsidRPr="00A259BD">
        <w:rPr>
          <w:rFonts w:ascii="Times New Roman" w:hAnsi="Times New Roman"/>
          <w:color w:val="000000" w:themeColor="text1"/>
          <w:sz w:val="16"/>
          <w:szCs w:val="16"/>
        </w:rPr>
        <w:t xml:space="preserve"> Е.Г.) – Арутюнов, В.О., Дамский А.М., </w:t>
      </w:r>
      <w:proofErr w:type="spellStart"/>
      <w:r w:rsidRPr="00A259BD">
        <w:rPr>
          <w:rFonts w:ascii="Times New Roman" w:hAnsi="Times New Roman"/>
          <w:color w:val="000000" w:themeColor="text1"/>
          <w:sz w:val="16"/>
          <w:szCs w:val="16"/>
        </w:rPr>
        <w:t>Селибер</w:t>
      </w:r>
      <w:proofErr w:type="spellEnd"/>
      <w:r w:rsidRPr="00A259BD">
        <w:rPr>
          <w:rFonts w:ascii="Times New Roman" w:hAnsi="Times New Roman"/>
          <w:color w:val="000000" w:themeColor="text1"/>
          <w:sz w:val="16"/>
          <w:szCs w:val="16"/>
        </w:rPr>
        <w:t xml:space="preserve"> Б.А,  ставшие в дальнейшем видными учеными и руководителями предприятий. Этими специалистами совместно с сотрудниками Ленинградского Политехнического института  были созданы научные основы проектирования электроизмерительных приборов и организации их производства, а так же учебные пособия для подготовки инженеров-приборостроителей.</w:t>
      </w:r>
    </w:p>
    <w:p w14:paraId="191F702B" w14:textId="77777777" w:rsidR="00F2603F" w:rsidRPr="00A259BD" w:rsidRDefault="00F2603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 10 довоенных лет  в </w:t>
      </w:r>
      <w:proofErr w:type="spellStart"/>
      <w:r w:rsidRPr="00A259BD">
        <w:rPr>
          <w:rFonts w:ascii="Times New Roman" w:hAnsi="Times New Roman"/>
          <w:color w:val="000000" w:themeColor="text1"/>
          <w:sz w:val="16"/>
          <w:szCs w:val="16"/>
        </w:rPr>
        <w:t>ОЛИЗе</w:t>
      </w:r>
      <w:proofErr w:type="spellEnd"/>
      <w:r w:rsidRPr="00A259BD">
        <w:rPr>
          <w:rFonts w:ascii="Times New Roman" w:hAnsi="Times New Roman"/>
          <w:color w:val="000000" w:themeColor="text1"/>
          <w:sz w:val="16"/>
          <w:szCs w:val="16"/>
        </w:rPr>
        <w:t xml:space="preserve"> были разработаны практически около 200 различных измерительных приборов, необходимых в то время народному хозяйству,  в том числе  щитовые и лабораторные приборы для Краснодарского </w:t>
      </w:r>
      <w:proofErr w:type="spellStart"/>
      <w:r w:rsidRPr="00A259BD">
        <w:rPr>
          <w:rFonts w:ascii="Times New Roman" w:hAnsi="Times New Roman"/>
          <w:color w:val="000000" w:themeColor="text1"/>
          <w:sz w:val="16"/>
          <w:szCs w:val="16"/>
        </w:rPr>
        <w:t>ЗИПа</w:t>
      </w:r>
      <w:proofErr w:type="spellEnd"/>
      <w:r w:rsidRPr="00A259BD">
        <w:rPr>
          <w:rFonts w:ascii="Times New Roman" w:hAnsi="Times New Roman"/>
          <w:color w:val="000000" w:themeColor="text1"/>
          <w:sz w:val="16"/>
          <w:szCs w:val="16"/>
        </w:rPr>
        <w:t xml:space="preserve">, строительство  которого началось в 1937 году  и  на который для оказания  помощи в организации производства  была переведена группа   приборостроителей  из </w:t>
      </w:r>
      <w:proofErr w:type="spellStart"/>
      <w:r w:rsidRPr="00A259BD">
        <w:rPr>
          <w:rFonts w:ascii="Times New Roman" w:hAnsi="Times New Roman"/>
          <w:color w:val="000000" w:themeColor="text1"/>
          <w:sz w:val="16"/>
          <w:szCs w:val="16"/>
        </w:rPr>
        <w:t>ОЛИЗа</w:t>
      </w:r>
      <w:proofErr w:type="spellEnd"/>
      <w:r w:rsidRPr="00A259BD">
        <w:rPr>
          <w:rFonts w:ascii="Times New Roman" w:hAnsi="Times New Roman"/>
          <w:color w:val="000000" w:themeColor="text1"/>
          <w:sz w:val="16"/>
          <w:szCs w:val="16"/>
        </w:rPr>
        <w:t xml:space="preserve">,  в том числе </w:t>
      </w:r>
      <w:proofErr w:type="spellStart"/>
      <w:r w:rsidRPr="00A259BD">
        <w:rPr>
          <w:rFonts w:ascii="Times New Roman" w:hAnsi="Times New Roman"/>
          <w:color w:val="000000" w:themeColor="text1"/>
          <w:sz w:val="16"/>
          <w:szCs w:val="16"/>
        </w:rPr>
        <w:t>Башаев</w:t>
      </w:r>
      <w:proofErr w:type="spellEnd"/>
      <w:r w:rsidRPr="00A259BD">
        <w:rPr>
          <w:rFonts w:ascii="Times New Roman" w:hAnsi="Times New Roman"/>
          <w:color w:val="000000" w:themeColor="text1"/>
          <w:sz w:val="16"/>
          <w:szCs w:val="16"/>
        </w:rPr>
        <w:t xml:space="preserve"> В.Е. и Арутюнов В.О. (17223).</w:t>
      </w:r>
    </w:p>
    <w:p w14:paraId="661EF34A" w14:textId="77777777" w:rsidR="00F2603F" w:rsidRPr="00A259BD" w:rsidRDefault="00F2603F"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685DA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ADD047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C002E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декабря 1929 Индийский национальный конгресс потребовал независимости Индии (3186).</w:t>
      </w:r>
    </w:p>
    <w:p w14:paraId="5E1060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55EEC9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5A765A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1F46B3F" w14:textId="77777777" w:rsidR="006B415E" w:rsidRPr="00A259BD" w:rsidRDefault="006B415E" w:rsidP="009236E3">
      <w:pPr>
        <w:pStyle w:val="rtejustify"/>
        <w:shd w:val="clear" w:color="auto" w:fill="FFFFFF"/>
        <w:spacing w:before="0" w:after="0"/>
        <w:rPr>
          <w:color w:val="000000" w:themeColor="text1"/>
          <w:sz w:val="16"/>
          <w:szCs w:val="16"/>
        </w:rPr>
      </w:pPr>
      <w:r w:rsidRPr="00A259BD">
        <w:rPr>
          <w:color w:val="000000" w:themeColor="text1"/>
          <w:sz w:val="16"/>
          <w:szCs w:val="16"/>
        </w:rPr>
        <w:t xml:space="preserve">30 декабря 1929 года Председатель I секции НТК УВВС С. В. Ильюшин направил в ЦАГИ на согласование «Технические требования, предъявляемые к постройке одноместного сухопутного истребителя И-8 под мотор Кертис </w:t>
      </w:r>
      <w:proofErr w:type="spellStart"/>
      <w:r w:rsidRPr="00A259BD">
        <w:rPr>
          <w:color w:val="000000" w:themeColor="text1"/>
          <w:sz w:val="16"/>
          <w:szCs w:val="16"/>
        </w:rPr>
        <w:t>Конкверер</w:t>
      </w:r>
      <w:proofErr w:type="spellEnd"/>
      <w:r w:rsidRPr="00A259BD">
        <w:rPr>
          <w:color w:val="000000" w:themeColor="text1"/>
          <w:sz w:val="16"/>
          <w:szCs w:val="16"/>
        </w:rPr>
        <w:t xml:space="preserve"> 625/700 НР», согласно которым:</w:t>
      </w:r>
    </w:p>
    <w:p w14:paraId="28C34214" w14:textId="77777777" w:rsidR="006B415E" w:rsidRPr="00A259BD" w:rsidRDefault="006B415E"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 Самолет при полезной нагрузке 193 кг и горючем, при работе мотора на 9/10 номинальной мощности у земли, на 1½ часа и масла 2½ часа должен обладать нижеследующими летными качествами (при невысотном моторе):</w:t>
      </w:r>
    </w:p>
    <w:p w14:paraId="65CACC36" w14:textId="77777777" w:rsidR="006B415E" w:rsidRPr="00A259BD" w:rsidRDefault="006B415E"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Горизонтальной скоростью на высоте 5000 м, не менее – 310 км/ч. Подъем на 5000 м – 6-7 мин. Посадочная скорость, не более – 100 км/ч</w:t>
      </w:r>
    </w:p>
    <w:p w14:paraId="30091061" w14:textId="77777777" w:rsidR="006B415E" w:rsidRPr="00A259BD" w:rsidRDefault="006B415E"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 xml:space="preserve">Практический потолок при </w:t>
      </w:r>
      <w:proofErr w:type="spellStart"/>
      <w:r w:rsidRPr="00A259BD">
        <w:rPr>
          <w:rStyle w:val="af0"/>
          <w:i w:val="0"/>
          <w:color w:val="000000" w:themeColor="text1"/>
          <w:sz w:val="16"/>
          <w:szCs w:val="16"/>
          <w:bdr w:val="none" w:sz="0" w:space="0" w:color="auto" w:frame="1"/>
        </w:rPr>
        <w:t>Uh</w:t>
      </w:r>
      <w:proofErr w:type="spellEnd"/>
      <w:r w:rsidRPr="00A259BD">
        <w:rPr>
          <w:rStyle w:val="af0"/>
          <w:i w:val="0"/>
          <w:color w:val="000000" w:themeColor="text1"/>
          <w:sz w:val="16"/>
          <w:szCs w:val="16"/>
          <w:bdr w:val="none" w:sz="0" w:space="0" w:color="auto" w:frame="1"/>
        </w:rPr>
        <w:t>=0,05Uo – 8500 м</w:t>
      </w:r>
    </w:p>
    <w:p w14:paraId="66C62E21" w14:textId="77777777" w:rsidR="006B415E" w:rsidRPr="00A259BD" w:rsidRDefault="006B415E"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lastRenderedPageBreak/>
        <w:t>…В основе выполнения настоящих требований должна быть учтена следующая последовательность их выполнения:</w:t>
      </w:r>
    </w:p>
    <w:p w14:paraId="5BE4A079" w14:textId="77777777" w:rsidR="006B415E" w:rsidRPr="00A259BD" w:rsidRDefault="006B415E" w:rsidP="009236E3">
      <w:pPr>
        <w:pStyle w:val="ae"/>
        <w:shd w:val="clear" w:color="auto" w:fill="FFFFFF"/>
        <w:spacing w:before="0" w:after="0"/>
        <w:jc w:val="both"/>
        <w:textAlignment w:val="baseline"/>
        <w:rPr>
          <w:color w:val="000000" w:themeColor="text1"/>
          <w:sz w:val="16"/>
          <w:szCs w:val="16"/>
        </w:rPr>
      </w:pPr>
      <w:r w:rsidRPr="00A259BD">
        <w:rPr>
          <w:rStyle w:val="af0"/>
          <w:i w:val="0"/>
          <w:color w:val="000000" w:themeColor="text1"/>
          <w:sz w:val="16"/>
          <w:szCs w:val="16"/>
          <w:bdr w:val="none" w:sz="0" w:space="0" w:color="auto" w:frame="1"/>
        </w:rPr>
        <w:t>а) скороподъемность</w:t>
      </w:r>
    </w:p>
    <w:p w14:paraId="6CED1ECA" w14:textId="77777777" w:rsidR="006B415E" w:rsidRPr="00A259BD" w:rsidRDefault="006B415E" w:rsidP="009236E3">
      <w:pPr>
        <w:pStyle w:val="ae"/>
        <w:shd w:val="clear" w:color="auto" w:fill="FFFFFF"/>
        <w:spacing w:before="0" w:after="0"/>
        <w:jc w:val="both"/>
        <w:textAlignment w:val="baseline"/>
        <w:rPr>
          <w:color w:val="000000" w:themeColor="text1"/>
          <w:sz w:val="16"/>
          <w:szCs w:val="16"/>
        </w:rPr>
      </w:pPr>
      <w:r w:rsidRPr="00A259BD">
        <w:rPr>
          <w:rStyle w:val="af0"/>
          <w:i w:val="0"/>
          <w:color w:val="000000" w:themeColor="text1"/>
          <w:sz w:val="16"/>
          <w:szCs w:val="16"/>
          <w:bdr w:val="none" w:sz="0" w:space="0" w:color="auto" w:frame="1"/>
        </w:rPr>
        <w:t>б) маневренность</w:t>
      </w:r>
    </w:p>
    <w:p w14:paraId="5FC32D9B" w14:textId="77777777" w:rsidR="006B415E" w:rsidRPr="00A259BD" w:rsidRDefault="006B415E" w:rsidP="009236E3">
      <w:pPr>
        <w:pStyle w:val="ae"/>
        <w:shd w:val="clear" w:color="auto" w:fill="FFFFFF"/>
        <w:spacing w:before="0" w:after="0"/>
        <w:jc w:val="both"/>
        <w:textAlignment w:val="baseline"/>
        <w:rPr>
          <w:color w:val="000000" w:themeColor="text1"/>
          <w:sz w:val="16"/>
          <w:szCs w:val="16"/>
        </w:rPr>
      </w:pPr>
      <w:r w:rsidRPr="00A259BD">
        <w:rPr>
          <w:rStyle w:val="af0"/>
          <w:i w:val="0"/>
          <w:color w:val="000000" w:themeColor="text1"/>
          <w:sz w:val="16"/>
          <w:szCs w:val="16"/>
          <w:bdr w:val="none" w:sz="0" w:space="0" w:color="auto" w:frame="1"/>
        </w:rPr>
        <w:t>в) потолок, обеспечивающий маневренность на рабочей высоте (5000 м -примеч. автора)</w:t>
      </w:r>
    </w:p>
    <w:p w14:paraId="5DB987D2" w14:textId="77777777" w:rsidR="006B415E" w:rsidRPr="00A259BD" w:rsidRDefault="006B415E" w:rsidP="009236E3">
      <w:pPr>
        <w:pStyle w:val="ae"/>
        <w:shd w:val="clear" w:color="auto" w:fill="FFFFFF"/>
        <w:spacing w:before="0" w:after="0"/>
        <w:jc w:val="both"/>
        <w:textAlignment w:val="baseline"/>
        <w:rPr>
          <w:color w:val="000000" w:themeColor="text1"/>
          <w:sz w:val="16"/>
          <w:szCs w:val="16"/>
        </w:rPr>
      </w:pPr>
      <w:r w:rsidRPr="00A259BD">
        <w:rPr>
          <w:rStyle w:val="af0"/>
          <w:i w:val="0"/>
          <w:color w:val="000000" w:themeColor="text1"/>
          <w:sz w:val="16"/>
          <w:szCs w:val="16"/>
          <w:bdr w:val="none" w:sz="0" w:space="0" w:color="auto" w:frame="1"/>
        </w:rPr>
        <w:t>г) горизонтальная скорость на рабочей высоте</w:t>
      </w:r>
    </w:p>
    <w:p w14:paraId="319C6E70" w14:textId="77777777" w:rsidR="006B415E" w:rsidRPr="00A259BD" w:rsidRDefault="006B415E" w:rsidP="009236E3">
      <w:pPr>
        <w:pStyle w:val="ae"/>
        <w:shd w:val="clear" w:color="auto" w:fill="FFFFFF"/>
        <w:spacing w:before="0" w:after="0"/>
        <w:jc w:val="both"/>
        <w:textAlignment w:val="baseline"/>
        <w:rPr>
          <w:color w:val="000000" w:themeColor="text1"/>
          <w:sz w:val="16"/>
          <w:szCs w:val="16"/>
        </w:rPr>
      </w:pPr>
      <w:r w:rsidRPr="00A259BD">
        <w:rPr>
          <w:rStyle w:val="af0"/>
          <w:i w:val="0"/>
          <w:color w:val="000000" w:themeColor="text1"/>
          <w:sz w:val="16"/>
          <w:szCs w:val="16"/>
          <w:bdr w:val="none" w:sz="0" w:space="0" w:color="auto" w:frame="1"/>
        </w:rPr>
        <w:t>д) посадочная скорость</w:t>
      </w:r>
    </w:p>
    <w:p w14:paraId="59458EC9" w14:textId="77777777" w:rsidR="006B415E" w:rsidRPr="00A259BD" w:rsidRDefault="006B415E" w:rsidP="009236E3">
      <w:pPr>
        <w:pStyle w:val="ae"/>
        <w:shd w:val="clear" w:color="auto" w:fill="FFFFFF"/>
        <w:spacing w:before="0" w:after="0"/>
        <w:jc w:val="both"/>
        <w:textAlignment w:val="baseline"/>
        <w:rPr>
          <w:color w:val="000000" w:themeColor="text1"/>
          <w:sz w:val="16"/>
          <w:szCs w:val="16"/>
        </w:rPr>
      </w:pPr>
      <w:r w:rsidRPr="00A259BD">
        <w:rPr>
          <w:rStyle w:val="af0"/>
          <w:i w:val="0"/>
          <w:color w:val="000000" w:themeColor="text1"/>
          <w:sz w:val="16"/>
          <w:szCs w:val="16"/>
          <w:bdr w:val="none" w:sz="0" w:space="0" w:color="auto" w:frame="1"/>
        </w:rPr>
        <w:t>е) разбег и пробег.»</w:t>
      </w:r>
    </w:p>
    <w:p w14:paraId="5C839587" w14:textId="77777777" w:rsidR="006B415E" w:rsidRPr="00A259BD" w:rsidRDefault="006B415E" w:rsidP="009236E3">
      <w:pPr>
        <w:pStyle w:val="rtejustify"/>
        <w:shd w:val="clear" w:color="auto" w:fill="FFFFFF"/>
        <w:spacing w:before="0" w:after="0"/>
        <w:rPr>
          <w:color w:val="000000" w:themeColor="text1"/>
          <w:sz w:val="16"/>
          <w:szCs w:val="16"/>
        </w:rPr>
      </w:pPr>
      <w:r w:rsidRPr="00A259BD">
        <w:rPr>
          <w:color w:val="000000" w:themeColor="text1"/>
          <w:sz w:val="16"/>
          <w:szCs w:val="16"/>
        </w:rPr>
        <w:t>Далее следовали еще 19 пунктов требований к конструкции самолета (19171).</w:t>
      </w:r>
    </w:p>
    <w:p w14:paraId="3F0C3416" w14:textId="77777777" w:rsidR="006B415E" w:rsidRPr="00A259BD" w:rsidRDefault="006B415E" w:rsidP="009236E3">
      <w:pPr>
        <w:pStyle w:val="rtejustify"/>
        <w:shd w:val="clear" w:color="auto" w:fill="FFFFFF"/>
        <w:spacing w:before="0" w:after="0"/>
        <w:rPr>
          <w:color w:val="000000" w:themeColor="text1"/>
          <w:sz w:val="16"/>
          <w:szCs w:val="16"/>
        </w:rPr>
      </w:pPr>
    </w:p>
    <w:p w14:paraId="5236F3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декабря 1929 вышло постановление РЗ СТО (</w:t>
      </w:r>
      <w:proofErr w:type="spellStart"/>
      <w:r w:rsidRPr="00A259BD">
        <w:rPr>
          <w:rFonts w:ascii="Times New Roman" w:hAnsi="Times New Roman"/>
          <w:color w:val="000000" w:themeColor="text1"/>
          <w:sz w:val="16"/>
          <w:szCs w:val="16"/>
        </w:rPr>
        <w:t>прот</w:t>
      </w:r>
      <w:proofErr w:type="spellEnd"/>
      <w:r w:rsidRPr="00A259BD">
        <w:rPr>
          <w:rFonts w:ascii="Times New Roman" w:hAnsi="Times New Roman"/>
          <w:color w:val="000000" w:themeColor="text1"/>
          <w:sz w:val="16"/>
          <w:szCs w:val="16"/>
        </w:rPr>
        <w:t>. 43) "О мероприятиях по усилению производства моторов и самолетов" (1028,88).</w:t>
      </w:r>
    </w:p>
    <w:p w14:paraId="2136C7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A154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декабря 1929 поступило поручение 3 оставшихся Фарман Голиаф 62 (ФГ-62) перегнать в Харьков, где 9 января они должны были быть использованы в транспортных целях на штабных учениях Украинского ВО, но прибыть так и не смогли и использовали 3 К-4 и 1 К-5 (3200,19).</w:t>
      </w:r>
    </w:p>
    <w:p w14:paraId="412609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B41897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C43E79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41920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декабря 1929 комиссия во главе с Нач. Управления механизации и моторизации РККА </w:t>
      </w:r>
      <w:proofErr w:type="spellStart"/>
      <w:r w:rsidRPr="00A259BD">
        <w:rPr>
          <w:rFonts w:ascii="Times New Roman" w:hAnsi="Times New Roman"/>
          <w:color w:val="000000" w:themeColor="text1"/>
          <w:sz w:val="16"/>
          <w:szCs w:val="16"/>
        </w:rPr>
        <w:t>И.А.Халепского</w:t>
      </w:r>
      <w:proofErr w:type="spellEnd"/>
      <w:r w:rsidRPr="00A259BD">
        <w:rPr>
          <w:rFonts w:ascii="Times New Roman" w:hAnsi="Times New Roman"/>
          <w:color w:val="000000" w:themeColor="text1"/>
          <w:sz w:val="16"/>
          <w:szCs w:val="16"/>
        </w:rPr>
        <w:t xml:space="preserve"> убыла за границу. Посетили Германию, Чехословакию, Францию и Англию, а потом прибыли в США для закупки малых танков Т-1 и Е-1 у фирмы </w:t>
      </w:r>
      <w:proofErr w:type="spellStart"/>
      <w:r w:rsidRPr="00A259BD">
        <w:rPr>
          <w:rFonts w:ascii="Times New Roman" w:hAnsi="Times New Roman"/>
          <w:color w:val="000000" w:themeColor="text1"/>
          <w:sz w:val="16"/>
          <w:szCs w:val="16"/>
        </w:rPr>
        <w:t>Cunningham</w:t>
      </w:r>
      <w:proofErr w:type="spellEnd"/>
      <w:r w:rsidRPr="00A259BD">
        <w:rPr>
          <w:rFonts w:ascii="Times New Roman" w:hAnsi="Times New Roman"/>
          <w:color w:val="000000" w:themeColor="text1"/>
          <w:sz w:val="16"/>
          <w:szCs w:val="16"/>
        </w:rPr>
        <w:t xml:space="preserve">. Оказалось, что скорость на 8 км/час ниже, чем у закупленного ранее танке Виккерс, а условия сделки были неприемлемыми. Танк М.1928 </w:t>
      </w:r>
      <w:proofErr w:type="spellStart"/>
      <w:r w:rsidRPr="00A259BD">
        <w:rPr>
          <w:rFonts w:ascii="Times New Roman" w:hAnsi="Times New Roman"/>
          <w:color w:val="000000" w:themeColor="text1"/>
          <w:sz w:val="16"/>
          <w:szCs w:val="16"/>
        </w:rPr>
        <w:t>Д.У.Кристи</w:t>
      </w:r>
      <w:proofErr w:type="spellEnd"/>
      <w:r w:rsidRPr="00A259BD">
        <w:rPr>
          <w:rFonts w:ascii="Times New Roman" w:hAnsi="Times New Roman"/>
          <w:color w:val="000000" w:themeColor="text1"/>
          <w:sz w:val="16"/>
          <w:szCs w:val="16"/>
        </w:rPr>
        <w:t xml:space="preserve"> так же был в программе, но закупили два М.1940 (3879,4).</w:t>
      </w:r>
    </w:p>
    <w:p w14:paraId="330EAC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4F41282" w14:textId="77777777" w:rsidR="00863B79" w:rsidRPr="00A259BD" w:rsidRDefault="00863B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декабря 1929 г. группа представителей НКО и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командированная для приобретения образцов танков, </w:t>
      </w:r>
      <w:proofErr w:type="spellStart"/>
      <w:r w:rsidRPr="00A259BD">
        <w:rPr>
          <w:rFonts w:ascii="Times New Roman" w:hAnsi="Times New Roman"/>
          <w:color w:val="000000" w:themeColor="text1"/>
          <w:sz w:val="16"/>
          <w:szCs w:val="16"/>
        </w:rPr>
        <w:t>арттягачей</w:t>
      </w:r>
      <w:proofErr w:type="spellEnd"/>
      <w:r w:rsidRPr="00A259BD">
        <w:rPr>
          <w:rFonts w:ascii="Times New Roman" w:hAnsi="Times New Roman"/>
          <w:color w:val="000000" w:themeColor="text1"/>
          <w:sz w:val="16"/>
          <w:szCs w:val="16"/>
        </w:rPr>
        <w:t xml:space="preserve"> и получения по их производству технической помощи во главе с начальником УММ РККА </w:t>
      </w:r>
      <w:proofErr w:type="spellStart"/>
      <w:r w:rsidRPr="00A259BD">
        <w:rPr>
          <w:rFonts w:ascii="Times New Roman" w:hAnsi="Times New Roman"/>
          <w:color w:val="000000" w:themeColor="text1"/>
          <w:sz w:val="16"/>
          <w:szCs w:val="16"/>
        </w:rPr>
        <w:t>Халепским</w:t>
      </w:r>
      <w:proofErr w:type="spellEnd"/>
      <w:r w:rsidRPr="00A259BD">
        <w:rPr>
          <w:rFonts w:ascii="Times New Roman" w:hAnsi="Times New Roman"/>
          <w:color w:val="000000" w:themeColor="text1"/>
          <w:sz w:val="16"/>
          <w:szCs w:val="16"/>
        </w:rPr>
        <w:t xml:space="preserve"> отправилась в Германию. Группа </w:t>
      </w:r>
      <w:proofErr w:type="spellStart"/>
      <w:r w:rsidRPr="00A259BD">
        <w:rPr>
          <w:rFonts w:ascii="Times New Roman" w:hAnsi="Times New Roman"/>
          <w:color w:val="000000" w:themeColor="text1"/>
          <w:sz w:val="16"/>
          <w:szCs w:val="16"/>
        </w:rPr>
        <w:t>Халепского</w:t>
      </w:r>
      <w:proofErr w:type="spellEnd"/>
      <w:r w:rsidRPr="00A259BD">
        <w:rPr>
          <w:rFonts w:ascii="Times New Roman" w:hAnsi="Times New Roman"/>
          <w:color w:val="000000" w:themeColor="text1"/>
          <w:sz w:val="16"/>
          <w:szCs w:val="16"/>
        </w:rPr>
        <w:t xml:space="preserve"> побывала затем в </w:t>
      </w:r>
      <w:proofErr w:type="spellStart"/>
      <w:r w:rsidRPr="00A259BD">
        <w:rPr>
          <w:rFonts w:ascii="Times New Roman" w:hAnsi="Times New Roman"/>
          <w:color w:val="000000" w:themeColor="text1"/>
          <w:sz w:val="16"/>
          <w:szCs w:val="16"/>
        </w:rPr>
        <w:t>Чехо</w:t>
      </w:r>
      <w:proofErr w:type="spellEnd"/>
      <w:r w:rsidRPr="00A259BD">
        <w:rPr>
          <w:rFonts w:ascii="Times New Roman" w:hAnsi="Times New Roman"/>
          <w:color w:val="000000" w:themeColor="text1"/>
          <w:sz w:val="16"/>
          <w:szCs w:val="16"/>
        </w:rPr>
        <w:t>-Словакии, Франции, Англии и США. В Германии ей были открыты двери фирм-производителей танков, автомобилей, моторов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«Крупп», «Даймлер-Бенц», «</w:t>
      </w:r>
      <w:proofErr w:type="spellStart"/>
      <w:r w:rsidRPr="00A259BD">
        <w:rPr>
          <w:rFonts w:ascii="Times New Roman" w:hAnsi="Times New Roman"/>
          <w:color w:val="000000" w:themeColor="text1"/>
          <w:sz w:val="16"/>
          <w:szCs w:val="16"/>
        </w:rPr>
        <w:t>Маффай</w:t>
      </w:r>
      <w:proofErr w:type="spellEnd"/>
      <w:r w:rsidRPr="00A259BD">
        <w:rPr>
          <w:rFonts w:ascii="Times New Roman" w:hAnsi="Times New Roman"/>
          <w:color w:val="000000" w:themeColor="text1"/>
          <w:sz w:val="16"/>
          <w:szCs w:val="16"/>
        </w:rPr>
        <w:t>», «Линке-Хофман». Она закупила несколько образцов (</w:t>
      </w:r>
      <w:proofErr w:type="spellStart"/>
      <w:r w:rsidRPr="00A259BD">
        <w:rPr>
          <w:rFonts w:ascii="Times New Roman" w:hAnsi="Times New Roman"/>
          <w:color w:val="000000" w:themeColor="text1"/>
          <w:sz w:val="16"/>
          <w:szCs w:val="16"/>
        </w:rPr>
        <w:t>арттягачи</w:t>
      </w:r>
      <w:proofErr w:type="spellEnd"/>
      <w:r w:rsidRPr="00A259BD">
        <w:rPr>
          <w:rFonts w:ascii="Times New Roman" w:hAnsi="Times New Roman"/>
          <w:color w:val="000000" w:themeColor="text1"/>
          <w:sz w:val="16"/>
          <w:szCs w:val="16"/>
        </w:rPr>
        <w:t xml:space="preserve"> у фирмы «</w:t>
      </w:r>
      <w:proofErr w:type="spellStart"/>
      <w:r w:rsidRPr="00A259BD">
        <w:rPr>
          <w:rFonts w:ascii="Times New Roman" w:hAnsi="Times New Roman"/>
          <w:color w:val="000000" w:themeColor="text1"/>
          <w:sz w:val="16"/>
          <w:szCs w:val="16"/>
        </w:rPr>
        <w:t>Маффай</w:t>
      </w:r>
      <w:proofErr w:type="spellEnd"/>
      <w:r w:rsidRPr="00A259BD">
        <w:rPr>
          <w:rFonts w:ascii="Times New Roman" w:hAnsi="Times New Roman"/>
          <w:color w:val="000000" w:themeColor="text1"/>
          <w:sz w:val="16"/>
          <w:szCs w:val="16"/>
        </w:rPr>
        <w:t xml:space="preserve">», быстроходные тракторы у фирмы «Линке-Хофман» и др.). Всего инженерный отдел советского торгпредства в Германии закупил военного оборудования и снаряжения в 1929/30 хозяйственном году на 5,25 млн. м. </w:t>
      </w:r>
    </w:p>
    <w:p w14:paraId="3276E297" w14:textId="77777777" w:rsidR="00863B79" w:rsidRPr="00A259BD" w:rsidRDefault="00863B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Особенно удачным оказалось сотрудничество с конструктором-танкостроителем Э.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xml:space="preserve">»), с которым был заключен контракт о работе в СССР. Разработанный им средний танк «Т-Г» (Танк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xml:space="preserve">) по своим боевым и техническим качествам превосходил находившийся на вооружении РККА средний танк «Т-24». Такую высокую оценку дала ему комиссия Политбюро ЦК ВКП(б) по танкостроению в докладе Политбюро 19 февраля 1931 г. Танк «Т-Г» был признан основным типом среднего танка и было предложено срочно развернуть его производство в Харькове и на Урале. В сентябре 1931 г.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xml:space="preserve"> выехал в Германию.</w:t>
      </w:r>
    </w:p>
    <w:p w14:paraId="15DF7AC6" w14:textId="77777777" w:rsidR="00863B79" w:rsidRPr="00A259BD" w:rsidRDefault="00863B7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w:t>
      </w:r>
      <w:proofErr w:type="spellStart"/>
      <w:r w:rsidRPr="00A259BD">
        <w:rPr>
          <w:rFonts w:ascii="Times New Roman" w:hAnsi="Times New Roman"/>
          <w:color w:val="000000" w:themeColor="text1"/>
          <w:sz w:val="16"/>
          <w:szCs w:val="16"/>
        </w:rPr>
        <w:t>губкома</w:t>
      </w:r>
      <w:proofErr w:type="spellEnd"/>
      <w:r w:rsidRPr="00A259BD">
        <w:rPr>
          <w:rFonts w:ascii="Times New Roman" w:hAnsi="Times New Roman"/>
          <w:color w:val="000000" w:themeColor="text1"/>
          <w:sz w:val="16"/>
          <w:szCs w:val="16"/>
        </w:rPr>
        <w:t xml:space="preserve"> (обкома) ВКП(б) в 1926–1934 гг.), с которым Сталин дружил, отправится к нему в Сочи 12 сентября и «о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xml:space="preserve"> &lt;. &gt; расскажет &lt;…&gt; всё сам» (18265).</w:t>
      </w:r>
    </w:p>
    <w:p w14:paraId="3975AF15" w14:textId="77777777" w:rsidR="00863B79" w:rsidRPr="00A259BD" w:rsidRDefault="00863B79" w:rsidP="009236E3">
      <w:pPr>
        <w:spacing w:after="0" w:line="240" w:lineRule="auto"/>
        <w:jc w:val="both"/>
        <w:rPr>
          <w:rFonts w:ascii="Times New Roman" w:hAnsi="Times New Roman"/>
          <w:color w:val="000000" w:themeColor="text1"/>
          <w:sz w:val="16"/>
          <w:szCs w:val="16"/>
        </w:rPr>
      </w:pPr>
    </w:p>
    <w:p w14:paraId="72CA987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декабря 1929 г. комиссия во главе с начальником Управления механизации и моторизации РККА И. </w:t>
      </w:r>
      <w:proofErr w:type="spellStart"/>
      <w:r w:rsidRPr="00A259BD">
        <w:rPr>
          <w:rFonts w:ascii="Times New Roman" w:hAnsi="Times New Roman"/>
          <w:color w:val="000000" w:themeColor="text1"/>
          <w:sz w:val="16"/>
          <w:szCs w:val="16"/>
        </w:rPr>
        <w:t>Халепским</w:t>
      </w:r>
      <w:proofErr w:type="spellEnd"/>
      <w:r w:rsidRPr="00A259BD">
        <w:rPr>
          <w:rFonts w:ascii="Times New Roman" w:hAnsi="Times New Roman"/>
          <w:color w:val="000000" w:themeColor="text1"/>
          <w:sz w:val="16"/>
          <w:szCs w:val="16"/>
        </w:rPr>
        <w:t xml:space="preserve"> с заместителями отбыла в Северо-Американские Со</w:t>
      </w:r>
      <w:r w:rsidRPr="00A259BD">
        <w:rPr>
          <w:rFonts w:ascii="Times New Roman" w:hAnsi="Times New Roman"/>
          <w:color w:val="000000" w:themeColor="text1"/>
          <w:sz w:val="16"/>
          <w:szCs w:val="16"/>
        </w:rPr>
        <w:softHyphen/>
        <w:t>единенные Штаты (САСШ). Там ожидалось знакомство с танками типа Т-1Е-1 у фирмы “</w:t>
      </w:r>
      <w:proofErr w:type="spellStart"/>
      <w:r w:rsidRPr="00A259BD">
        <w:rPr>
          <w:rFonts w:ascii="Times New Roman" w:hAnsi="Times New Roman"/>
          <w:color w:val="000000" w:themeColor="text1"/>
          <w:sz w:val="16"/>
          <w:szCs w:val="16"/>
        </w:rPr>
        <w:t>Канингэм</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Cunningham</w:t>
      </w:r>
      <w:proofErr w:type="spellEnd"/>
      <w:r w:rsidRPr="00A259BD">
        <w:rPr>
          <w:rFonts w:ascii="Times New Roman" w:hAnsi="Times New Roman"/>
          <w:color w:val="000000" w:themeColor="text1"/>
          <w:sz w:val="16"/>
          <w:szCs w:val="16"/>
        </w:rPr>
        <w:t>), служившими компоновочным прототипом для Т-12/Т-24. Однако эти танки развивали скорость на 6—8 км/ч меньше, чем было заявлено в ТТХ, и сильно отставали от закуплен</w:t>
      </w:r>
      <w:r w:rsidRPr="00A259BD">
        <w:rPr>
          <w:rFonts w:ascii="Times New Roman" w:hAnsi="Times New Roman"/>
          <w:color w:val="000000" w:themeColor="text1"/>
          <w:sz w:val="16"/>
          <w:szCs w:val="16"/>
        </w:rPr>
        <w:softHyphen/>
        <w:t>ных у фирмы “Виккерс” 12-тонных машин. Двигатель и ре</w:t>
      </w:r>
      <w:r w:rsidRPr="00A259BD">
        <w:rPr>
          <w:rFonts w:ascii="Times New Roman" w:hAnsi="Times New Roman"/>
          <w:color w:val="000000" w:themeColor="text1"/>
          <w:sz w:val="16"/>
          <w:szCs w:val="16"/>
        </w:rPr>
        <w:softHyphen/>
        <w:t>дукторы американских танков грелись, а громоздкие гусени</w:t>
      </w:r>
      <w:r w:rsidRPr="00A259BD">
        <w:rPr>
          <w:rFonts w:ascii="Times New Roman" w:hAnsi="Times New Roman"/>
          <w:color w:val="000000" w:themeColor="text1"/>
          <w:sz w:val="16"/>
          <w:szCs w:val="16"/>
        </w:rPr>
        <w:softHyphen/>
        <w:t>цы издавали большой шум. К тому же их цена оказалась зна</w:t>
      </w:r>
      <w:r w:rsidRPr="00A259BD">
        <w:rPr>
          <w:rFonts w:ascii="Times New Roman" w:hAnsi="Times New Roman"/>
          <w:color w:val="000000" w:themeColor="text1"/>
          <w:sz w:val="16"/>
          <w:szCs w:val="16"/>
        </w:rPr>
        <w:softHyphen/>
        <w:t>чительно выше ожидаемой, а требования фирмы — закупить минимальную партию в 50 машин с 50%-ной предоплатой, оказались абсолютно неприемлемыми. Поэтому дальнейшие переговоры с фирмой “</w:t>
      </w:r>
      <w:proofErr w:type="spellStart"/>
      <w:r w:rsidRPr="00A259BD">
        <w:rPr>
          <w:rFonts w:ascii="Times New Roman" w:hAnsi="Times New Roman"/>
          <w:color w:val="000000" w:themeColor="text1"/>
          <w:sz w:val="16"/>
          <w:szCs w:val="16"/>
        </w:rPr>
        <w:t>Канингэм</w:t>
      </w:r>
      <w:proofErr w:type="spellEnd"/>
      <w:r w:rsidRPr="00A259BD">
        <w:rPr>
          <w:rFonts w:ascii="Times New Roman" w:hAnsi="Times New Roman"/>
          <w:color w:val="000000" w:themeColor="text1"/>
          <w:sz w:val="16"/>
          <w:szCs w:val="16"/>
        </w:rPr>
        <w:t>” были прекращены. Внимание начальника УММ в Америке было переклю</w:t>
      </w:r>
      <w:r w:rsidRPr="00A259BD">
        <w:rPr>
          <w:rFonts w:ascii="Times New Roman" w:hAnsi="Times New Roman"/>
          <w:color w:val="000000" w:themeColor="text1"/>
          <w:sz w:val="16"/>
          <w:szCs w:val="16"/>
        </w:rPr>
        <w:softHyphen/>
        <w:t>чено на колесно-гусеничные танки конструктора Дж. Уолтера Кристи “М. 1928”, незадолго до визита наших специа</w:t>
      </w:r>
      <w:r w:rsidRPr="00A259BD">
        <w:rPr>
          <w:rFonts w:ascii="Times New Roman" w:hAnsi="Times New Roman"/>
          <w:color w:val="000000" w:themeColor="text1"/>
          <w:sz w:val="16"/>
          <w:szCs w:val="16"/>
        </w:rPr>
        <w:softHyphen/>
        <w:t>листов показавшие рекордные характеристики скорости. Для советских представителей американский конст</w:t>
      </w:r>
      <w:r w:rsidRPr="00A259BD">
        <w:rPr>
          <w:rFonts w:ascii="Times New Roman" w:hAnsi="Times New Roman"/>
          <w:color w:val="000000" w:themeColor="text1"/>
          <w:sz w:val="16"/>
          <w:szCs w:val="16"/>
        </w:rPr>
        <w:softHyphen/>
        <w:t>руктор предложил усовершенствованный образец “М. 1928”, который проходил у него под индексом “М. 1940” (Модель 1940 года). Кристи охотно шел на сотрудничество - от оказания технической помощи до передачи всех производственных чертежей и вплоть до работы в СССР для оказания консуль</w:t>
      </w:r>
      <w:r w:rsidRPr="00A259BD">
        <w:rPr>
          <w:rFonts w:ascii="Times New Roman" w:hAnsi="Times New Roman"/>
          <w:color w:val="000000" w:themeColor="text1"/>
          <w:sz w:val="16"/>
          <w:szCs w:val="16"/>
        </w:rPr>
        <w:softHyphen/>
        <w:t>тационной помощи и организации производства и испыта</w:t>
      </w:r>
      <w:r w:rsidRPr="00A259BD">
        <w:rPr>
          <w:rFonts w:ascii="Times New Roman" w:hAnsi="Times New Roman"/>
          <w:color w:val="000000" w:themeColor="text1"/>
          <w:sz w:val="16"/>
          <w:szCs w:val="16"/>
        </w:rPr>
        <w:softHyphen/>
        <w:t xml:space="preserve">ний танка. И несмотря на то что танк не предусматривался нашей системой вооружений, И.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нашел, что он наиболее прост для освоения его выпуска в СССР, так как мотор “Либерти” под маркой М-5 уже выпускался в СССР. Но был еще один фактор закупки танка Кристи: “При</w:t>
      </w:r>
      <w:r w:rsidRPr="00A259BD">
        <w:rPr>
          <w:rFonts w:ascii="Times New Roman" w:hAnsi="Times New Roman"/>
          <w:color w:val="000000" w:themeColor="text1"/>
          <w:sz w:val="16"/>
          <w:szCs w:val="16"/>
        </w:rPr>
        <w:softHyphen/>
        <w:t>нимая во внимание, что танк Кристи по своим скоростям пе</w:t>
      </w:r>
      <w:r w:rsidRPr="00A259BD">
        <w:rPr>
          <w:rFonts w:ascii="Times New Roman" w:hAnsi="Times New Roman"/>
          <w:color w:val="000000" w:themeColor="text1"/>
          <w:sz w:val="16"/>
          <w:szCs w:val="16"/>
        </w:rPr>
        <w:softHyphen/>
        <w:t>рекрывает все танки в мире, что его собираются строить поляки, что если поляки смогут раньше нас наладить произ</w:t>
      </w:r>
      <w:r w:rsidRPr="00A259BD">
        <w:rPr>
          <w:rFonts w:ascii="Times New Roman" w:hAnsi="Times New Roman"/>
          <w:color w:val="000000" w:themeColor="text1"/>
          <w:sz w:val="16"/>
          <w:szCs w:val="16"/>
        </w:rPr>
        <w:softHyphen/>
        <w:t>водство танка КРИСТИ, то мы можем попасть в очень не</w:t>
      </w:r>
      <w:r w:rsidRPr="00A259BD">
        <w:rPr>
          <w:rFonts w:ascii="Times New Roman" w:hAnsi="Times New Roman"/>
          <w:color w:val="000000" w:themeColor="text1"/>
          <w:sz w:val="16"/>
          <w:szCs w:val="16"/>
        </w:rPr>
        <w:softHyphen/>
        <w:t>выгодное соотношение с точки зрения тактического приме</w:t>
      </w:r>
      <w:r w:rsidRPr="00A259BD">
        <w:rPr>
          <w:rFonts w:ascii="Times New Roman" w:hAnsi="Times New Roman"/>
          <w:color w:val="000000" w:themeColor="text1"/>
          <w:sz w:val="16"/>
          <w:szCs w:val="16"/>
        </w:rPr>
        <w:softHyphen/>
        <w:t>нения танковых частей.” Этого допустить руководство РККА уже никак не мог</w:t>
      </w:r>
      <w:r w:rsidRPr="00A259BD">
        <w:rPr>
          <w:rFonts w:ascii="Times New Roman" w:hAnsi="Times New Roman"/>
          <w:color w:val="000000" w:themeColor="text1"/>
          <w:sz w:val="16"/>
          <w:szCs w:val="16"/>
        </w:rPr>
        <w:softHyphen/>
        <w:t>ло, и учитывая рекомендацию: “Принимая во внимание вы</w:t>
      </w:r>
      <w:r w:rsidRPr="00A259BD">
        <w:rPr>
          <w:rFonts w:ascii="Times New Roman" w:hAnsi="Times New Roman"/>
          <w:color w:val="000000" w:themeColor="text1"/>
          <w:sz w:val="16"/>
          <w:szCs w:val="16"/>
        </w:rPr>
        <w:softHyphen/>
        <w:t>шеизложенное, мною предлагается на текущий 1930—31 год дать промышленности задание построить не менее 100 штук танков КРИСТИ”, было принято решение о закупке двух танков “Кристи” “М. 1940”. Сделка осуществлялась на осно</w:t>
      </w:r>
      <w:r w:rsidRPr="00A259BD">
        <w:rPr>
          <w:rFonts w:ascii="Times New Roman" w:hAnsi="Times New Roman"/>
          <w:color w:val="000000" w:themeColor="text1"/>
          <w:sz w:val="16"/>
          <w:szCs w:val="16"/>
        </w:rPr>
        <w:softHyphen/>
        <w:t xml:space="preserve">вании договора, подписанного 28 апреля 1930 г. между US </w:t>
      </w:r>
      <w:proofErr w:type="spellStart"/>
      <w:r w:rsidRPr="00A259BD">
        <w:rPr>
          <w:rFonts w:ascii="Times New Roman" w:hAnsi="Times New Roman"/>
          <w:color w:val="000000" w:themeColor="text1"/>
          <w:sz w:val="16"/>
          <w:szCs w:val="16"/>
        </w:rPr>
        <w:t>Wheel</w:t>
      </w:r>
      <w:proofErr w:type="spellEnd"/>
      <w:r w:rsidRPr="00A259BD">
        <w:rPr>
          <w:rFonts w:ascii="Times New Roman" w:hAnsi="Times New Roman"/>
          <w:color w:val="000000" w:themeColor="text1"/>
          <w:sz w:val="16"/>
          <w:szCs w:val="16"/>
        </w:rPr>
        <w:t xml:space="preserve"> Track Layer Corporation и “Амторг” (</w:t>
      </w:r>
      <w:proofErr w:type="spellStart"/>
      <w:r w:rsidRPr="00A259BD">
        <w:rPr>
          <w:rFonts w:ascii="Times New Roman" w:hAnsi="Times New Roman"/>
          <w:color w:val="000000" w:themeColor="text1"/>
          <w:sz w:val="16"/>
          <w:szCs w:val="16"/>
        </w:rPr>
        <w:t>Amtorg</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trading</w:t>
      </w:r>
      <w:proofErr w:type="spellEnd"/>
      <w:r w:rsidRPr="00A259BD">
        <w:rPr>
          <w:rFonts w:ascii="Times New Roman" w:hAnsi="Times New Roman"/>
          <w:color w:val="000000" w:themeColor="text1"/>
          <w:sz w:val="16"/>
          <w:szCs w:val="16"/>
        </w:rPr>
        <w:t xml:space="preserve"> Corporation — торговой фирмы, представлявшей интересы СССР в США). Согласно договору американская сторона , осуществила продажу “двух военных танков общей стоимос</w:t>
      </w:r>
      <w:r w:rsidRPr="00A259BD">
        <w:rPr>
          <w:rFonts w:ascii="Times New Roman" w:hAnsi="Times New Roman"/>
          <w:color w:val="000000" w:themeColor="text1"/>
          <w:sz w:val="16"/>
          <w:szCs w:val="16"/>
        </w:rPr>
        <w:softHyphen/>
        <w:t xml:space="preserve">тью 60000 американских долларов. Доставка танков должна быть произведена не позднее четырех месяцев со дня </w:t>
      </w:r>
      <w:proofErr w:type="spellStart"/>
      <w:r w:rsidRPr="00A259BD">
        <w:rPr>
          <w:rFonts w:ascii="Times New Roman" w:hAnsi="Times New Roman"/>
          <w:color w:val="000000" w:themeColor="text1"/>
          <w:sz w:val="16"/>
          <w:szCs w:val="16"/>
        </w:rPr>
        <w:t>подписа-тя</w:t>
      </w:r>
      <w:proofErr w:type="spellEnd"/>
      <w:r w:rsidRPr="00A259BD">
        <w:rPr>
          <w:rFonts w:ascii="Times New Roman" w:hAnsi="Times New Roman"/>
          <w:color w:val="000000" w:themeColor="text1"/>
          <w:sz w:val="16"/>
          <w:szCs w:val="16"/>
        </w:rPr>
        <w:t xml:space="preserve"> договора”. В договоре также оговаривались: “доставка запасных частей к купленным танкам на сумму 4000 долларов, а также права на производство, продажу и использование танков внутри границ СССР сроком на десять лет” (10733).</w:t>
      </w:r>
    </w:p>
    <w:p w14:paraId="6147CCE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8D3C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декабря 1929 года за границу отправилась комиссия во главе с начальником созданного в ноябре того же года Управления механизации и моторизации РККА И. А. </w:t>
      </w:r>
      <w:proofErr w:type="spellStart"/>
      <w:r w:rsidRPr="00A259BD">
        <w:rPr>
          <w:rFonts w:ascii="Times New Roman" w:hAnsi="Times New Roman"/>
          <w:color w:val="000000" w:themeColor="text1"/>
          <w:sz w:val="16"/>
          <w:szCs w:val="16"/>
        </w:rPr>
        <w:t>Халепским</w:t>
      </w:r>
      <w:proofErr w:type="spellEnd"/>
      <w:r w:rsidRPr="00A259BD">
        <w:rPr>
          <w:rFonts w:ascii="Times New Roman" w:hAnsi="Times New Roman"/>
          <w:color w:val="000000" w:themeColor="text1"/>
          <w:sz w:val="16"/>
          <w:szCs w:val="16"/>
        </w:rPr>
        <w:t xml:space="preserve">. В нее включили ответственного сотрудника управления Д. Ф. </w:t>
      </w:r>
      <w:proofErr w:type="spellStart"/>
      <w:r w:rsidRPr="00A259BD">
        <w:rPr>
          <w:rFonts w:ascii="Times New Roman" w:hAnsi="Times New Roman"/>
          <w:color w:val="000000" w:themeColor="text1"/>
          <w:sz w:val="16"/>
          <w:szCs w:val="16"/>
        </w:rPr>
        <w:t>Будняла</w:t>
      </w:r>
      <w:proofErr w:type="spellEnd"/>
      <w:r w:rsidRPr="00A259BD">
        <w:rPr>
          <w:rFonts w:ascii="Times New Roman" w:hAnsi="Times New Roman"/>
          <w:color w:val="000000" w:themeColor="text1"/>
          <w:sz w:val="16"/>
          <w:szCs w:val="16"/>
        </w:rPr>
        <w:t xml:space="preserve"> и инженера И. Н. </w:t>
      </w:r>
      <w:proofErr w:type="spellStart"/>
      <w:r w:rsidRPr="00A259BD">
        <w:rPr>
          <w:rFonts w:ascii="Times New Roman" w:hAnsi="Times New Roman"/>
          <w:color w:val="000000" w:themeColor="text1"/>
          <w:sz w:val="16"/>
          <w:szCs w:val="16"/>
        </w:rPr>
        <w:t>Тоскина</w:t>
      </w:r>
      <w:proofErr w:type="spellEnd"/>
      <w:r w:rsidRPr="00A259BD">
        <w:rPr>
          <w:rFonts w:ascii="Times New Roman" w:hAnsi="Times New Roman"/>
          <w:color w:val="000000" w:themeColor="text1"/>
          <w:sz w:val="16"/>
          <w:szCs w:val="16"/>
        </w:rPr>
        <w:t>. Эта группа совершила вояж по всем европейским странам — танкостроителям, но интересные модели нашли только в Англии. Там компания «Виккерс» с большим удовольствием продемонстрировала советским гостям новейшие разработки в этой сфере, поскольку фирма ориентировалась не только на заказы британской армии, но и на экспорт. В марте 1930 года Советский Союз приобрел два образца легкого танка «Виккерс-6 т» и лицензию на его производство, после чего комиссия заключила контракт на поставку 15 машин МК-П и нескольких танкеток «Карден-</w:t>
      </w:r>
      <w:proofErr w:type="spellStart"/>
      <w:r w:rsidRPr="00A259BD">
        <w:rPr>
          <w:rFonts w:ascii="Times New Roman" w:hAnsi="Times New Roman"/>
          <w:color w:val="000000" w:themeColor="text1"/>
          <w:sz w:val="16"/>
          <w:szCs w:val="16"/>
        </w:rPr>
        <w:t>Лойд</w:t>
      </w:r>
      <w:proofErr w:type="spellEnd"/>
      <w:r w:rsidRPr="00A259BD">
        <w:rPr>
          <w:rFonts w:ascii="Times New Roman" w:hAnsi="Times New Roman"/>
          <w:color w:val="000000" w:themeColor="text1"/>
          <w:sz w:val="16"/>
          <w:szCs w:val="16"/>
        </w:rPr>
        <w:t xml:space="preserve">» MK-VT, отказавшись от приобретения комплекта технической документации и описания технологии производства машин. После этого руководитель группы вернулся домой, а И. Н. </w:t>
      </w:r>
      <w:proofErr w:type="spellStart"/>
      <w:r w:rsidRPr="00A259BD">
        <w:rPr>
          <w:rFonts w:ascii="Times New Roman" w:hAnsi="Times New Roman"/>
          <w:color w:val="000000" w:themeColor="text1"/>
          <w:sz w:val="16"/>
          <w:szCs w:val="16"/>
        </w:rPr>
        <w:t>Тоскин</w:t>
      </w:r>
      <w:proofErr w:type="spellEnd"/>
      <w:r w:rsidRPr="00A259BD">
        <w:rPr>
          <w:rFonts w:ascii="Times New Roman" w:hAnsi="Times New Roman"/>
          <w:color w:val="000000" w:themeColor="text1"/>
          <w:sz w:val="16"/>
          <w:szCs w:val="16"/>
        </w:rPr>
        <w:t xml:space="preserve"> отправился в США (Шмелев И. П. История танка (1916-1996). — М., 1996, с. 14, 26-27.).</w:t>
      </w:r>
    </w:p>
    <w:p w14:paraId="3756A7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Там ему предстояло выполнить личное задание самого И. В. Сталина — добыть образец танка Дж. Кристи. Официально модели этого конструктора были запрещены к экспорту из США. Даже традиционному партнеру — Великобритании — пришлось приложить немало усилий, чтобы нелегально вывезти экземпляр этого танка. А что тогда говорить о Советском Союзе? А ведь отечественная разведка смогла вывезти две машины, правда без башен и вооружения. По таможенным документам они проходили как образцы сельскохозяйственной техники.</w:t>
      </w:r>
    </w:p>
    <w:p w14:paraId="12744B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Почему же СССР интересовали работы этого конструктора? Дж. Кристи в течение десяти лет занимался созданием этой оригинальной машины. Одно из ее отличительных качеств — высокая, до 100 км/час, скорость. У моделей других разработчиков этот показатель редко был выше 60. Но, главное, Кристи решил проблему двойного движителя. Он оснастил свой танк 4 парами катков большого диаметра, которые были одновременно опорными и поддерживающими. Гусеницы при движении по дороге снимались и укладывались на </w:t>
      </w:r>
      <w:proofErr w:type="spellStart"/>
      <w:r w:rsidRPr="00A259BD">
        <w:rPr>
          <w:rFonts w:ascii="Times New Roman" w:hAnsi="Times New Roman"/>
          <w:color w:val="000000" w:themeColor="text1"/>
          <w:sz w:val="16"/>
          <w:szCs w:val="16"/>
        </w:rPr>
        <w:t>подгусеничные</w:t>
      </w:r>
      <w:proofErr w:type="spellEnd"/>
      <w:r w:rsidRPr="00A259BD">
        <w:rPr>
          <w:rFonts w:ascii="Times New Roman" w:hAnsi="Times New Roman"/>
          <w:color w:val="000000" w:themeColor="text1"/>
          <w:sz w:val="16"/>
          <w:szCs w:val="16"/>
        </w:rPr>
        <w:t xml:space="preserve"> полки. Крутящийся момент с заднего ведущего колеса передавался наружной цепной передачей (уязвимое место) на заднюю пару опорных катков, которые служили ведущими колесами, как у автомобиля. Передняя пара катков, тоже как у автомобиля, была управляемой. С ее помощью танк поворачивался. Трое танкистов, без посторонней помощи, могли за полчаса снять и надеть гусеницу. Скорость танка «Кристи ТЗ» на гусеницах составляла 44 км/час, а на колесах 75 км/час.</w:t>
      </w:r>
    </w:p>
    <w:p w14:paraId="129337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что ожидало купленные модели в СССР? Их досконально изучили отечественные специалисты, нашли множество недостатков и подготовили всю необходимую для серийного производства техническую документацию.</w:t>
      </w:r>
    </w:p>
    <w:p w14:paraId="34B291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доработки двухбашенный британский «Виккерс-6т» трансформировался в отечественный Т-26. За год подготовили всю необходимую документацию для его серийного производства. 13 декабря 1931 года легкий танк Т-26 был принят на вооружение. Всего Красная Армия получила 11 тысяч машин 23 модификаций, включая огнеметные (тогда их называли химическими) и саперные (мостовые).</w:t>
      </w:r>
    </w:p>
    <w:p w14:paraId="4173C8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Танкетку «Карден-</w:t>
      </w:r>
      <w:proofErr w:type="spellStart"/>
      <w:r w:rsidRPr="00A259BD">
        <w:rPr>
          <w:rFonts w:ascii="Times New Roman" w:hAnsi="Times New Roman"/>
          <w:color w:val="000000" w:themeColor="text1"/>
          <w:sz w:val="16"/>
          <w:szCs w:val="16"/>
        </w:rPr>
        <w:t>Лойд</w:t>
      </w:r>
      <w:proofErr w:type="spellEnd"/>
      <w:r w:rsidRPr="00A259BD">
        <w:rPr>
          <w:rFonts w:ascii="Times New Roman" w:hAnsi="Times New Roman"/>
          <w:color w:val="000000" w:themeColor="text1"/>
          <w:sz w:val="16"/>
          <w:szCs w:val="16"/>
        </w:rPr>
        <w:t>» основательно переделали в организованном в Ленинграде (при заводе «Большевик») опытно-конструкторском машиностроительном отделе (ОКМО), который возглавил Н. В. Барыков, а конструкторы прибыли туда из московского танкового бюро. После этого танкетка Т-27 была поставлена на серийное производство. Основные отличия отечественной модели: усиленная бронезащита, крыша и открытые бронеколпаки над местами водителя и стрелка. Машину оснастили мотором, коробкой передач и дифференциалом советского автомобиля ГАЗ-АА.</w:t>
      </w:r>
    </w:p>
    <w:p w14:paraId="11EF72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Усовершенствованный танк «Кристи ТЗ» под обозначением БТ-2 начали выпускать на Харьковском паровозостроительном заводе. Решение об этом было принято 23 мая 1931 года. Советская модель мало отличалась от прототипа. Вместо цепной передачи на ведущие колеса при движении отечественные специалисты </w:t>
      </w:r>
      <w:proofErr w:type="spellStart"/>
      <w:r w:rsidRPr="00A259BD">
        <w:rPr>
          <w:rFonts w:ascii="Times New Roman" w:hAnsi="Times New Roman"/>
          <w:color w:val="000000" w:themeColor="text1"/>
          <w:sz w:val="16"/>
          <w:szCs w:val="16"/>
        </w:rPr>
        <w:t>использовшш</w:t>
      </w:r>
      <w:proofErr w:type="spellEnd"/>
      <w:r w:rsidRPr="00A259BD">
        <w:rPr>
          <w:rFonts w:ascii="Times New Roman" w:hAnsi="Times New Roman"/>
          <w:color w:val="000000" w:themeColor="text1"/>
          <w:sz w:val="16"/>
          <w:szCs w:val="16"/>
        </w:rPr>
        <w:t xml:space="preserve"> шестеренчатую передачу (гитару). За ним последовали БТ-5, БТ-7 и БТ-7 М.</w:t>
      </w:r>
    </w:p>
    <w:p w14:paraId="29F659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30-е годы Т.-26 и БТ были основными и самыми многочисленными в РККА. Их выпуск прекратился незадолго до начала Великой Отечественной войны, когда им на смену пришли Т-34 и KB (Шмелев И. П. История танка (1916-1996). — М., 1996, с. 14, 26-27.) (11784).</w:t>
      </w:r>
    </w:p>
    <w:p w14:paraId="6AC6E22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ADE69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30 декабря 1929 г. группа во главе с начальником УММ РККА </w:t>
      </w:r>
      <w:proofErr w:type="spellStart"/>
      <w:r w:rsidRPr="00A259BD">
        <w:rPr>
          <w:rFonts w:ascii="Times New Roman" w:hAnsi="Times New Roman"/>
          <w:color w:val="000000" w:themeColor="text1"/>
          <w:sz w:val="16"/>
          <w:szCs w:val="16"/>
        </w:rPr>
        <w:t>Халепским</w:t>
      </w:r>
      <w:proofErr w:type="spellEnd"/>
      <w:r w:rsidRPr="00A259BD">
        <w:rPr>
          <w:rFonts w:ascii="Times New Roman" w:hAnsi="Times New Roman"/>
          <w:color w:val="000000" w:themeColor="text1"/>
          <w:sz w:val="16"/>
          <w:szCs w:val="16"/>
        </w:rPr>
        <w:t xml:space="preserve"> отправилась в Германию для приобретения образцов танков, </w:t>
      </w:r>
      <w:proofErr w:type="spellStart"/>
      <w:r w:rsidRPr="00A259BD">
        <w:rPr>
          <w:rFonts w:ascii="Times New Roman" w:hAnsi="Times New Roman"/>
          <w:color w:val="000000" w:themeColor="text1"/>
          <w:sz w:val="16"/>
          <w:szCs w:val="16"/>
        </w:rPr>
        <w:t>арттягачей</w:t>
      </w:r>
      <w:proofErr w:type="spellEnd"/>
      <w:r w:rsidRPr="00A259BD">
        <w:rPr>
          <w:rFonts w:ascii="Times New Roman" w:hAnsi="Times New Roman"/>
          <w:color w:val="000000" w:themeColor="text1"/>
          <w:sz w:val="16"/>
          <w:szCs w:val="16"/>
        </w:rPr>
        <w:t xml:space="preserve"> и получения по их производству технической помощи. Группа </w:t>
      </w:r>
      <w:proofErr w:type="spellStart"/>
      <w:r w:rsidRPr="00A259BD">
        <w:rPr>
          <w:rFonts w:ascii="Times New Roman" w:hAnsi="Times New Roman"/>
          <w:color w:val="000000" w:themeColor="text1"/>
          <w:sz w:val="16"/>
          <w:szCs w:val="16"/>
        </w:rPr>
        <w:t>Халепского</w:t>
      </w:r>
      <w:proofErr w:type="spellEnd"/>
      <w:r w:rsidRPr="00A259BD">
        <w:rPr>
          <w:rFonts w:ascii="Times New Roman" w:hAnsi="Times New Roman"/>
          <w:color w:val="000000" w:themeColor="text1"/>
          <w:sz w:val="16"/>
          <w:szCs w:val="16"/>
        </w:rPr>
        <w:t xml:space="preserve"> побывала затем в </w:t>
      </w:r>
      <w:proofErr w:type="spellStart"/>
      <w:r w:rsidRPr="00A259BD">
        <w:rPr>
          <w:rFonts w:ascii="Times New Roman" w:hAnsi="Times New Roman"/>
          <w:color w:val="000000" w:themeColor="text1"/>
          <w:sz w:val="16"/>
          <w:szCs w:val="16"/>
        </w:rPr>
        <w:t>Чехо</w:t>
      </w:r>
      <w:proofErr w:type="spellEnd"/>
      <w:r w:rsidRPr="00A259BD">
        <w:rPr>
          <w:rFonts w:ascii="Times New Roman" w:hAnsi="Times New Roman"/>
          <w:color w:val="000000" w:themeColor="text1"/>
          <w:sz w:val="16"/>
          <w:szCs w:val="16"/>
        </w:rPr>
        <w:t>-Словакии, Франции, Англии и США. В Германии ей были открыты двери фирм-производителей танков, автомобилей, моторов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«Крупп», «Даймлер-Бенц», «</w:t>
      </w:r>
      <w:proofErr w:type="spellStart"/>
      <w:r w:rsidRPr="00A259BD">
        <w:rPr>
          <w:rFonts w:ascii="Times New Roman" w:hAnsi="Times New Roman"/>
          <w:color w:val="000000" w:themeColor="text1"/>
          <w:sz w:val="16"/>
          <w:szCs w:val="16"/>
        </w:rPr>
        <w:t>Маффай</w:t>
      </w:r>
      <w:proofErr w:type="spellEnd"/>
      <w:r w:rsidRPr="00A259BD">
        <w:rPr>
          <w:rFonts w:ascii="Times New Roman" w:hAnsi="Times New Roman"/>
          <w:color w:val="000000" w:themeColor="text1"/>
          <w:sz w:val="16"/>
          <w:szCs w:val="16"/>
        </w:rPr>
        <w:t>», «Линке-Хофман». Она закупила несколько образцов (</w:t>
      </w:r>
      <w:proofErr w:type="spellStart"/>
      <w:r w:rsidRPr="00A259BD">
        <w:rPr>
          <w:rFonts w:ascii="Times New Roman" w:hAnsi="Times New Roman"/>
          <w:color w:val="000000" w:themeColor="text1"/>
          <w:sz w:val="16"/>
          <w:szCs w:val="16"/>
        </w:rPr>
        <w:t>арттягачи</w:t>
      </w:r>
      <w:proofErr w:type="spellEnd"/>
      <w:r w:rsidRPr="00A259BD">
        <w:rPr>
          <w:rFonts w:ascii="Times New Roman" w:hAnsi="Times New Roman"/>
          <w:color w:val="000000" w:themeColor="text1"/>
          <w:sz w:val="16"/>
          <w:szCs w:val="16"/>
        </w:rPr>
        <w:t xml:space="preserve"> у фирмы «</w:t>
      </w:r>
      <w:proofErr w:type="spellStart"/>
      <w:r w:rsidRPr="00A259BD">
        <w:rPr>
          <w:rFonts w:ascii="Times New Roman" w:hAnsi="Times New Roman"/>
          <w:color w:val="000000" w:themeColor="text1"/>
          <w:sz w:val="16"/>
          <w:szCs w:val="16"/>
        </w:rPr>
        <w:t>Маффай</w:t>
      </w:r>
      <w:proofErr w:type="spellEnd"/>
      <w:r w:rsidRPr="00A259BD">
        <w:rPr>
          <w:rFonts w:ascii="Times New Roman" w:hAnsi="Times New Roman"/>
          <w:color w:val="000000" w:themeColor="text1"/>
          <w:sz w:val="16"/>
          <w:szCs w:val="16"/>
        </w:rPr>
        <w:t xml:space="preserve">», быстроходные тракторы у фирмы «Линке-Хофман» и др. ) (РГВА, ф. 31811, </w:t>
      </w:r>
      <w:proofErr w:type="spellStart"/>
      <w:r w:rsidRPr="00A259BD">
        <w:rPr>
          <w:rFonts w:ascii="Times New Roman" w:hAnsi="Times New Roman"/>
          <w:color w:val="000000" w:themeColor="text1"/>
          <w:sz w:val="16"/>
          <w:szCs w:val="16"/>
        </w:rPr>
        <w:t>on</w:t>
      </w:r>
      <w:proofErr w:type="spellEnd"/>
      <w:r w:rsidRPr="00A259BD">
        <w:rPr>
          <w:rFonts w:ascii="Times New Roman" w:hAnsi="Times New Roman"/>
          <w:color w:val="000000" w:themeColor="text1"/>
          <w:sz w:val="16"/>
          <w:szCs w:val="16"/>
        </w:rPr>
        <w:t xml:space="preserve">. 1, д. 7, л. 35-37.). Всего инженерный отдел советского торгпредства в Германии закупил военного оборудования и снаряжения в 1929/30 хозяйственном году на 5,25 млн. м. (РГВА, ф. 31863, оп. 1, д. 2106, л. 3.). Особенно удачным оказалось сотрудничество с конструктором-танкостроителем Э.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xml:space="preserve">»), с которым был заключен контракт о работе в СССР. Разработанный им средний танк «Т-Г» (Танк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xml:space="preserve">) по своим боевым и техническим качествам превосходил находившийся на вооружении РККА средний танк «Т-24». Такую высокую оценку дала ему комиссия Политбюро ЦК ВКП(б) по танкостроению в докладе Политбюро 19 февраля 1931 г. Танк «Т-Г» был признан основным типом среднего танка и было предложено срочно развернуть его производство в Харькове и на Урале (Захаров В. В. Указ. Соч. С. 92.). В сентябре 1931 г.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xml:space="preserve"> выехал в Германию. 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w:t>
      </w:r>
      <w:proofErr w:type="spellStart"/>
      <w:r w:rsidRPr="00A259BD">
        <w:rPr>
          <w:rFonts w:ascii="Times New Roman" w:hAnsi="Times New Roman"/>
          <w:color w:val="000000" w:themeColor="text1"/>
          <w:sz w:val="16"/>
          <w:szCs w:val="16"/>
        </w:rPr>
        <w:t>губкома</w:t>
      </w:r>
      <w:proofErr w:type="spellEnd"/>
      <w:r w:rsidRPr="00A259BD">
        <w:rPr>
          <w:rFonts w:ascii="Times New Roman" w:hAnsi="Times New Roman"/>
          <w:color w:val="000000" w:themeColor="text1"/>
          <w:sz w:val="16"/>
          <w:szCs w:val="16"/>
        </w:rPr>
        <w:t xml:space="preserve"> (обкома) ВКП(б) в 1926 — 1934 гг. ), с которым Сталин дружил, отправится к нему в Сочи 12 сентября и «о </w:t>
      </w:r>
      <w:proofErr w:type="spellStart"/>
      <w:r w:rsidRPr="00A259BD">
        <w:rPr>
          <w:rFonts w:ascii="Times New Roman" w:hAnsi="Times New Roman"/>
          <w:color w:val="000000" w:themeColor="text1"/>
          <w:sz w:val="16"/>
          <w:szCs w:val="16"/>
        </w:rPr>
        <w:t>Гротте</w:t>
      </w:r>
      <w:proofErr w:type="spellEnd"/>
      <w:r w:rsidRPr="00A259BD">
        <w:rPr>
          <w:rFonts w:ascii="Times New Roman" w:hAnsi="Times New Roman"/>
          <w:color w:val="000000" w:themeColor="text1"/>
          <w:sz w:val="16"/>
          <w:szCs w:val="16"/>
        </w:rPr>
        <w:t xml:space="preserve"> &lt; . . &gt; расскажет &lt;...&gt; всё сам» (Иосиф Сталин в объятиях семьи: Из личного архива (Сборник документов). М., 1993, с. 35—36,42.). В условиях экономического кризиса 1929 — 1933гг. («великая депрессия») значение СССР как рынка сбыта германской промышленной, в т. ч. и военно-промышленной продукции, резко возросло. Так, если экспорт Германии в такие страны, как Франция, Голландия, Великобритания в 1932 г. по сравнению с 1929 г. сократился соответственно на 48,6%, 53,2% и 65,7%, то ее экспорт в СССР, наоборот, возрос на 176% (</w:t>
      </w:r>
      <w:proofErr w:type="spellStart"/>
      <w:r w:rsidRPr="00A259BD">
        <w:rPr>
          <w:rFonts w:ascii="Times New Roman" w:hAnsi="Times New Roman"/>
          <w:color w:val="000000" w:themeColor="text1"/>
          <w:sz w:val="16"/>
          <w:szCs w:val="16"/>
        </w:rPr>
        <w:t>Ахтамзян</w:t>
      </w:r>
      <w:proofErr w:type="spellEnd"/>
      <w:r w:rsidRPr="00A259BD">
        <w:rPr>
          <w:rFonts w:ascii="Times New Roman" w:hAnsi="Times New Roman"/>
          <w:color w:val="000000" w:themeColor="text1"/>
          <w:sz w:val="16"/>
          <w:szCs w:val="16"/>
        </w:rPr>
        <w:t xml:space="preserve"> А. А. Указ. соч. С. 261.). Подобный рост в значительной мере был обусловлен тем обстоятельством, что Москва, жестко поставив вопрос перед Берлином об экспортных кредитах, сумела настоять на своем. Переговоры о новом кредите были начаты беседой германского посла в Москве </w:t>
      </w:r>
      <w:proofErr w:type="spellStart"/>
      <w:r w:rsidRPr="00A259BD">
        <w:rPr>
          <w:rFonts w:ascii="Times New Roman" w:hAnsi="Times New Roman"/>
          <w:color w:val="000000" w:themeColor="text1"/>
          <w:sz w:val="16"/>
          <w:szCs w:val="16"/>
        </w:rPr>
        <w:t>Дирксена</w:t>
      </w:r>
      <w:proofErr w:type="spellEnd"/>
      <w:r w:rsidRPr="00A259BD">
        <w:rPr>
          <w:rFonts w:ascii="Times New Roman" w:hAnsi="Times New Roman"/>
          <w:color w:val="000000" w:themeColor="text1"/>
          <w:sz w:val="16"/>
          <w:szCs w:val="16"/>
        </w:rPr>
        <w:t xml:space="preserve"> с наркомом внешней торговли А. И. Микояном и членом коллегии НКИД СССР </w:t>
      </w:r>
      <w:proofErr w:type="spellStart"/>
      <w:r w:rsidRPr="00A259BD">
        <w:rPr>
          <w:rFonts w:ascii="Times New Roman" w:hAnsi="Times New Roman"/>
          <w:color w:val="000000" w:themeColor="text1"/>
          <w:sz w:val="16"/>
          <w:szCs w:val="16"/>
        </w:rPr>
        <w:t>Стомоняковым</w:t>
      </w:r>
      <w:proofErr w:type="spellEnd"/>
      <w:r w:rsidRPr="00A259BD">
        <w:rPr>
          <w:rFonts w:ascii="Times New Roman" w:hAnsi="Times New Roman"/>
          <w:color w:val="000000" w:themeColor="text1"/>
          <w:sz w:val="16"/>
          <w:szCs w:val="16"/>
        </w:rPr>
        <w:t xml:space="preserve"> на приеме в германском посольстве 12 апреля 1929 г. Микоян заявил тогда германскому дипломату: «Тяжелых и невыгодных кредитов мы больше брать не будем». И Москва сумела реализовать данный подход. В свою очередь </w:t>
      </w:r>
      <w:proofErr w:type="spellStart"/>
      <w:r w:rsidRPr="00A259BD">
        <w:rPr>
          <w:rFonts w:ascii="Times New Roman" w:hAnsi="Times New Roman"/>
          <w:color w:val="000000" w:themeColor="text1"/>
          <w:sz w:val="16"/>
          <w:szCs w:val="16"/>
        </w:rPr>
        <w:t>Дирксен</w:t>
      </w:r>
      <w:proofErr w:type="spellEnd"/>
      <w:r w:rsidRPr="00A259BD">
        <w:rPr>
          <w:rFonts w:ascii="Times New Roman" w:hAnsi="Times New Roman"/>
          <w:color w:val="000000" w:themeColor="text1"/>
          <w:sz w:val="16"/>
          <w:szCs w:val="16"/>
        </w:rPr>
        <w:t xml:space="preserve"> постоянно ставил вопрос о кредитах перед министром иностранных дел </w:t>
      </w:r>
      <w:proofErr w:type="spellStart"/>
      <w:r w:rsidRPr="00A259BD">
        <w:rPr>
          <w:rFonts w:ascii="Times New Roman" w:hAnsi="Times New Roman"/>
          <w:color w:val="000000" w:themeColor="text1"/>
          <w:sz w:val="16"/>
          <w:szCs w:val="16"/>
        </w:rPr>
        <w:t>Курциусом</w:t>
      </w:r>
      <w:proofErr w:type="spellEnd"/>
      <w:r w:rsidRPr="00A259BD">
        <w:rPr>
          <w:rFonts w:ascii="Times New Roman" w:hAnsi="Times New Roman"/>
          <w:color w:val="000000" w:themeColor="text1"/>
          <w:sz w:val="16"/>
          <w:szCs w:val="16"/>
        </w:rPr>
        <w:t>, подчеркивая его политическое значение в условиях, когда в Германии заговорили о «кризисе Рапалло», «конце Рапалло», указывая при этом на обострение внутриполитической обстановки и ужесточение режима в СССР (11784).</w:t>
      </w:r>
    </w:p>
    <w:p w14:paraId="717005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C87F850" w14:textId="77777777" w:rsidR="00FC2DC2" w:rsidRPr="00A259BD" w:rsidRDefault="00FC2DC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декабря 1929 опросом членов ПБ</w:t>
      </w:r>
    </w:p>
    <w:p w14:paraId="474DE5C3" w14:textId="77777777" w:rsidR="00FC2DC2" w:rsidRPr="00A259BD" w:rsidRDefault="00FC2DC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33.-О </w:t>
      </w:r>
      <w:proofErr w:type="spellStart"/>
      <w:r w:rsidRPr="00A259BD">
        <w:rPr>
          <w:rFonts w:ascii="Times New Roman" w:hAnsi="Times New Roman"/>
          <w:color w:val="000000" w:themeColor="text1"/>
          <w:sz w:val="16"/>
          <w:szCs w:val="16"/>
        </w:rPr>
        <w:t>мобплане</w:t>
      </w:r>
      <w:proofErr w:type="spellEnd"/>
      <w:r w:rsidRPr="00A259BD">
        <w:rPr>
          <w:rFonts w:ascii="Times New Roman" w:hAnsi="Times New Roman"/>
          <w:color w:val="000000" w:themeColor="text1"/>
          <w:sz w:val="16"/>
          <w:szCs w:val="16"/>
        </w:rPr>
        <w:t>.</w:t>
      </w:r>
    </w:p>
    <w:p w14:paraId="1274355F" w14:textId="77777777" w:rsidR="00FC2DC2" w:rsidRPr="00A259BD" w:rsidRDefault="00FC2DC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Принять сообщение </w:t>
      </w:r>
      <w:proofErr w:type="spellStart"/>
      <w:r w:rsidRPr="00A259BD">
        <w:rPr>
          <w:rFonts w:ascii="Times New Roman" w:hAnsi="Times New Roman"/>
          <w:color w:val="000000" w:themeColor="text1"/>
          <w:sz w:val="16"/>
          <w:szCs w:val="16"/>
        </w:rPr>
        <w:t>т.Орджоникидзе</w:t>
      </w:r>
      <w:proofErr w:type="spellEnd"/>
      <w:r w:rsidRPr="00A259BD">
        <w:rPr>
          <w:rFonts w:ascii="Times New Roman" w:hAnsi="Times New Roman"/>
          <w:color w:val="000000" w:themeColor="text1"/>
          <w:sz w:val="16"/>
          <w:szCs w:val="16"/>
        </w:rPr>
        <w:t xml:space="preserve"> к сведению. Поста</w:t>
      </w:r>
      <w:r w:rsidRPr="00A259BD">
        <w:rPr>
          <w:rFonts w:ascii="Times New Roman" w:hAnsi="Times New Roman"/>
          <w:color w:val="000000" w:themeColor="text1"/>
          <w:sz w:val="16"/>
          <w:szCs w:val="16"/>
        </w:rPr>
        <w:softHyphen/>
        <w:t xml:space="preserve">вить через 10 дней на закрытом заседании Политбюро: 1) доклад РКИ, ВСНХ и РВС СССР о </w:t>
      </w:r>
      <w:proofErr w:type="spellStart"/>
      <w:r w:rsidRPr="00A259BD">
        <w:rPr>
          <w:rFonts w:ascii="Times New Roman" w:hAnsi="Times New Roman"/>
          <w:color w:val="000000" w:themeColor="text1"/>
          <w:sz w:val="16"/>
          <w:szCs w:val="16"/>
        </w:rPr>
        <w:t>мобподготовке</w:t>
      </w:r>
      <w:proofErr w:type="spellEnd"/>
      <w:r w:rsidRPr="00A259BD">
        <w:rPr>
          <w:rFonts w:ascii="Times New Roman" w:hAnsi="Times New Roman"/>
          <w:color w:val="000000" w:themeColor="text1"/>
          <w:sz w:val="16"/>
          <w:szCs w:val="16"/>
        </w:rPr>
        <w:t xml:space="preserve"> промышленности и б) до</w:t>
      </w:r>
      <w:r w:rsidRPr="00A259BD">
        <w:rPr>
          <w:rFonts w:ascii="Times New Roman" w:hAnsi="Times New Roman"/>
          <w:color w:val="000000" w:themeColor="text1"/>
          <w:sz w:val="16"/>
          <w:szCs w:val="16"/>
        </w:rPr>
        <w:softHyphen/>
        <w:t>клад т. Орджоникидзе об А.У.</w:t>
      </w:r>
    </w:p>
    <w:p w14:paraId="0F303496" w14:textId="77777777" w:rsidR="00FC2DC2" w:rsidRPr="00A259BD" w:rsidRDefault="00FC2DC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Предложить комиссии т. Рыкова представить к этому заседанию конкретные предложения по </w:t>
      </w:r>
      <w:proofErr w:type="spellStart"/>
      <w:r w:rsidRPr="00A259BD">
        <w:rPr>
          <w:rFonts w:ascii="Times New Roman" w:hAnsi="Times New Roman"/>
          <w:color w:val="000000" w:themeColor="text1"/>
          <w:sz w:val="16"/>
          <w:szCs w:val="16"/>
        </w:rPr>
        <w:t>мобподготовке</w:t>
      </w:r>
      <w:proofErr w:type="spellEnd"/>
      <w:r w:rsidRPr="00A259BD">
        <w:rPr>
          <w:rFonts w:ascii="Times New Roman" w:hAnsi="Times New Roman"/>
          <w:color w:val="000000" w:themeColor="text1"/>
          <w:sz w:val="16"/>
          <w:szCs w:val="16"/>
        </w:rPr>
        <w:t>.</w:t>
      </w:r>
    </w:p>
    <w:p w14:paraId="475E2560" w14:textId="77777777" w:rsidR="00FC2DC2" w:rsidRPr="00A259BD" w:rsidRDefault="00FC2DC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Выписки посланы: </w:t>
      </w:r>
      <w:proofErr w:type="spellStart"/>
      <w:r w:rsidRPr="00A259BD">
        <w:rPr>
          <w:rFonts w:ascii="Times New Roman" w:hAnsi="Times New Roman"/>
          <w:color w:val="000000" w:themeColor="text1"/>
          <w:sz w:val="16"/>
          <w:szCs w:val="16"/>
        </w:rPr>
        <w:t>т.т</w:t>
      </w:r>
      <w:proofErr w:type="spellEnd"/>
      <w:r w:rsidRPr="00A259BD">
        <w:rPr>
          <w:rFonts w:ascii="Times New Roman" w:hAnsi="Times New Roman"/>
          <w:color w:val="000000" w:themeColor="text1"/>
          <w:sz w:val="16"/>
          <w:szCs w:val="16"/>
        </w:rPr>
        <w:t>. Рыкову, Орджоникидзе, Куйбышеву, Ворошилову.</w:t>
      </w:r>
    </w:p>
    <w:p w14:paraId="01CCA746" w14:textId="77777777" w:rsidR="00FC2DC2" w:rsidRPr="00A259BD" w:rsidRDefault="00FC2DC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января 1930 состоялось заседание ПБ (Протокол № 112. Особый № 110) (23101).</w:t>
      </w:r>
    </w:p>
    <w:p w14:paraId="2339E247" w14:textId="77777777" w:rsidR="00FC2DC2" w:rsidRPr="00A259BD" w:rsidRDefault="00FC2DC2" w:rsidP="009236E3">
      <w:pPr>
        <w:spacing w:after="0" w:line="240" w:lineRule="auto"/>
        <w:jc w:val="both"/>
        <w:rPr>
          <w:rFonts w:ascii="Times New Roman" w:hAnsi="Times New Roman"/>
          <w:color w:val="000000" w:themeColor="text1"/>
          <w:sz w:val="16"/>
          <w:szCs w:val="16"/>
        </w:rPr>
      </w:pPr>
    </w:p>
    <w:p w14:paraId="7EAA79F6" w14:textId="77777777" w:rsidR="00FC2DC2" w:rsidRPr="00A259BD" w:rsidRDefault="00FC2DC2" w:rsidP="009236E3">
      <w:pPr>
        <w:spacing w:after="0" w:line="240" w:lineRule="auto"/>
        <w:jc w:val="both"/>
        <w:rPr>
          <w:rFonts w:ascii="Times New Roman" w:hAnsi="Times New Roman"/>
          <w:color w:val="000000" w:themeColor="text1"/>
          <w:sz w:val="16"/>
          <w:szCs w:val="16"/>
        </w:rPr>
      </w:pPr>
      <w:bookmarkStart w:id="101" w:name="_Hlk79594148"/>
      <w:r w:rsidRPr="00A259BD">
        <w:rPr>
          <w:rFonts w:ascii="Times New Roman" w:hAnsi="Times New Roman"/>
          <w:color w:val="000000" w:themeColor="text1"/>
          <w:sz w:val="16"/>
          <w:szCs w:val="16"/>
        </w:rPr>
        <w:t xml:space="preserve">30 декабря 1929 г </w:t>
      </w:r>
    </w:p>
    <w:p w14:paraId="6D15BDBD" w14:textId="77777777" w:rsidR="00FC2DC2" w:rsidRPr="00A259BD" w:rsidRDefault="00FC2DC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 по ВСНХ СССР о передаче научно-исследовательских учреждений НТУ объединениям и ПТЭУ</w:t>
      </w:r>
    </w:p>
    <w:p w14:paraId="761CE0BC" w14:textId="77777777" w:rsidR="00FC2DC2" w:rsidRPr="00A259BD" w:rsidRDefault="00FC2DC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декабря 1929 г.</w:t>
      </w:r>
    </w:p>
    <w:p w14:paraId="4CE68DD9" w14:textId="77777777" w:rsidR="00FC2DC2" w:rsidRPr="00A259BD" w:rsidRDefault="00FC2DC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 В связи с реорганизацией управления промышленностью и необходимостью приближения ряда институтов к промышленности приказываю с 1 января 1930 г. передать в объединения следующие научно-исследовательские институты, находящиеся в составе Научно-технического управления ВСНХ СССР:</w:t>
      </w:r>
    </w:p>
    <w:p w14:paraId="43DC99EB" w14:textId="77777777" w:rsidR="00FC2DC2" w:rsidRPr="00A259BD" w:rsidRDefault="00FC2DC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Химическому объединению — Государственный институт прикладной химии в Ленинграде (ГИПХ), Государственный научно-исследовательский институт удобрений (НИУ). Торфяному объединению — Научно-исследовательский институт торфяной промышленности (</w:t>
      </w:r>
      <w:proofErr w:type="spellStart"/>
      <w:r w:rsidRPr="00A259BD">
        <w:rPr>
          <w:rFonts w:ascii="Times New Roman" w:hAnsi="Times New Roman"/>
          <w:color w:val="000000" w:themeColor="text1"/>
          <w:sz w:val="16"/>
          <w:szCs w:val="16"/>
        </w:rPr>
        <w:t>Инсторф</w:t>
      </w:r>
      <w:proofErr w:type="spellEnd"/>
      <w:r w:rsidRPr="00A259BD">
        <w:rPr>
          <w:rFonts w:ascii="Times New Roman" w:hAnsi="Times New Roman"/>
          <w:color w:val="000000" w:themeColor="text1"/>
          <w:sz w:val="16"/>
          <w:szCs w:val="16"/>
        </w:rPr>
        <w:t>). Угольному объединению — Институт угля в Харькове. Нефтяному объединению — Государственный научно-исследовательский институт нефтяной промышленности. Объединению цветных металлов — Институт цветной металлургии (</w:t>
      </w:r>
      <w:proofErr w:type="spellStart"/>
      <w:r w:rsidRPr="00A259BD">
        <w:rPr>
          <w:rFonts w:ascii="Times New Roman" w:hAnsi="Times New Roman"/>
          <w:color w:val="000000" w:themeColor="text1"/>
          <w:sz w:val="16"/>
          <w:szCs w:val="16"/>
        </w:rPr>
        <w:t>Гинцветмет</w:t>
      </w:r>
      <w:proofErr w:type="spellEnd"/>
      <w:r w:rsidRPr="00A259BD">
        <w:rPr>
          <w:rFonts w:ascii="Times New Roman" w:hAnsi="Times New Roman"/>
          <w:color w:val="000000" w:themeColor="text1"/>
          <w:sz w:val="16"/>
          <w:szCs w:val="16"/>
        </w:rPr>
        <w:t xml:space="preserve">). Главному геологоразведочному управлению — Институт прикладной геофизики. Всесоюзному объединению черной металлургии — Институт металлов в Ленинграде. Всесоюзному объединению машиностроения — Московское отделение Института металлов (МОИМ), с преобразованием его в Государственный научно-исследовательский институт машиностроения. Всесоюзному объединению с.-х. машиностроения — Институт с.-х. механики. Всесоюзному объединению </w:t>
      </w:r>
      <w:proofErr w:type="spellStart"/>
      <w:r w:rsidRPr="00A259BD">
        <w:rPr>
          <w:rFonts w:ascii="Times New Roman" w:hAnsi="Times New Roman"/>
          <w:color w:val="000000" w:themeColor="text1"/>
          <w:sz w:val="16"/>
          <w:szCs w:val="16"/>
        </w:rPr>
        <w:t>стройпромышленности</w:t>
      </w:r>
      <w:proofErr w:type="spellEnd"/>
      <w:r w:rsidRPr="00A259BD">
        <w:rPr>
          <w:rFonts w:ascii="Times New Roman" w:hAnsi="Times New Roman"/>
          <w:color w:val="000000" w:themeColor="text1"/>
          <w:sz w:val="16"/>
          <w:szCs w:val="16"/>
        </w:rPr>
        <w:t xml:space="preserve"> — Институт гражданских и промышленных сооружений, Институт стройматериалов с его филиалами. До передачи Института стройматериалов в ведение объединения строительной промышленности произвести выделение из него всех лабораторий и отделов, занимающихся вопросами керамики и стекла, каковые преобразовать в Государственный научно-исследовательский институт стекольной промышленности и передать объединению стекольно-фарфоровой промышленности по его организации. Стекольно-фарфоровому объединению — Государственный керамический институт в Ленинграде. Кожевенному объединению — Государственный кожевенный институт. Сахарному объединению — Государственный научно-исследовательский институт сахарной промышленности (ЦИНС). ВТС — Государственный научно-исследовательский институт текстильной промышленности (НИТИ). Лесному объединению — Институт древесины. Лаборатории этого института, занимающиеся вопросами научно-исследовательской работы в области бумажной промышленности, выделить в самостоятельный институт и передать бумажному объединению. Табачному объединению — Центральный институт </w:t>
      </w:r>
      <w:proofErr w:type="spellStart"/>
      <w:r w:rsidRPr="00A259BD">
        <w:rPr>
          <w:rFonts w:ascii="Times New Roman" w:hAnsi="Times New Roman"/>
          <w:color w:val="000000" w:themeColor="text1"/>
          <w:sz w:val="16"/>
          <w:szCs w:val="16"/>
        </w:rPr>
        <w:t>табаковедения</w:t>
      </w:r>
      <w:proofErr w:type="spellEnd"/>
      <w:r w:rsidRPr="00A259BD">
        <w:rPr>
          <w:rFonts w:ascii="Times New Roman" w:hAnsi="Times New Roman"/>
          <w:color w:val="000000" w:themeColor="text1"/>
          <w:sz w:val="16"/>
          <w:szCs w:val="16"/>
        </w:rPr>
        <w:t xml:space="preserve">. </w:t>
      </w:r>
    </w:p>
    <w:p w14:paraId="0109AF48" w14:textId="77777777" w:rsidR="00FC2DC2" w:rsidRPr="00A259BD" w:rsidRDefault="00FC2DC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2 Оставить при Президиуме ВСНХ Союза в составе Планового управления следующие научно-исследовательские институты:</w:t>
      </w:r>
    </w:p>
    <w:p w14:paraId="6B9607A3" w14:textId="77777777" w:rsidR="00FC2DC2" w:rsidRPr="00A259BD" w:rsidRDefault="00FC2DC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Институт чистых химических реактивов (ИРЕА). 2. Химико-фармацевтический институт (НХФИ). 3. Химический институт им. Л. Я. Карпова. 4. Институт высоких давлений.6 5. Институт химии твердого топлива. 7 6. Теплотехнический институт. 7. Институт прикладной минералогии. 8. Институт механической обработки полезных ископаемых (Механобр). 9. Центральный аэрогидродинамический институт (ЦАГИ). 10. Научный автомоторный институт (НАМИ) с его Ленинградским филиалом. 11. Государственную физико-техническую лабораторию с переименованием в Государственный физико-технический институт. 12. Фото-кино институт. 8 13. Главную палату мер и весов (</w:t>
      </w:r>
      <w:proofErr w:type="spellStart"/>
      <w:r w:rsidRPr="00A259BD">
        <w:rPr>
          <w:rFonts w:ascii="Times New Roman" w:hAnsi="Times New Roman"/>
          <w:color w:val="000000" w:themeColor="text1"/>
          <w:sz w:val="16"/>
          <w:szCs w:val="16"/>
        </w:rPr>
        <w:t>Главмервес</w:t>
      </w:r>
      <w:proofErr w:type="spellEnd"/>
      <w:r w:rsidRPr="00A259BD">
        <w:rPr>
          <w:rFonts w:ascii="Times New Roman" w:hAnsi="Times New Roman"/>
          <w:color w:val="000000" w:themeColor="text1"/>
          <w:sz w:val="16"/>
          <w:szCs w:val="16"/>
        </w:rPr>
        <w:t xml:space="preserve">). 14. </w:t>
      </w:r>
      <w:proofErr w:type="spellStart"/>
      <w:r w:rsidRPr="00A259BD">
        <w:rPr>
          <w:rFonts w:ascii="Times New Roman" w:hAnsi="Times New Roman"/>
          <w:color w:val="000000" w:themeColor="text1"/>
          <w:sz w:val="16"/>
          <w:szCs w:val="16"/>
        </w:rPr>
        <w:t>Эксмани</w:t>
      </w:r>
      <w:proofErr w:type="spellEnd"/>
      <w:r w:rsidRPr="00A259BD">
        <w:rPr>
          <w:rFonts w:ascii="Times New Roman" w:hAnsi="Times New Roman"/>
          <w:color w:val="000000" w:themeColor="text1"/>
          <w:sz w:val="16"/>
          <w:szCs w:val="16"/>
        </w:rPr>
        <w:t xml:space="preserve">. 15.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16. Пищевой институт. 17. </w:t>
      </w:r>
      <w:proofErr w:type="spellStart"/>
      <w:r w:rsidRPr="00A259BD">
        <w:rPr>
          <w:rFonts w:ascii="Times New Roman" w:hAnsi="Times New Roman"/>
          <w:color w:val="000000" w:themeColor="text1"/>
          <w:sz w:val="16"/>
          <w:szCs w:val="16"/>
        </w:rPr>
        <w:t>Тогои</w:t>
      </w:r>
      <w:proofErr w:type="spellEnd"/>
      <w:r w:rsidRPr="00A259BD">
        <w:rPr>
          <w:rFonts w:ascii="Times New Roman" w:hAnsi="Times New Roman"/>
          <w:color w:val="000000" w:themeColor="text1"/>
          <w:sz w:val="16"/>
          <w:szCs w:val="16"/>
        </w:rPr>
        <w:t>.</w:t>
      </w:r>
    </w:p>
    <w:p w14:paraId="75AFF80A" w14:textId="77777777" w:rsidR="00FC2DC2" w:rsidRPr="00A259BD" w:rsidRDefault="00FC2DC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3 Оставить в составе Планового управления впредь до специального обследования нижеуказанные институты:</w:t>
      </w:r>
    </w:p>
    <w:p w14:paraId="7ACB9EBA" w14:textId="77777777" w:rsidR="00FC2DC2" w:rsidRPr="00A259BD" w:rsidRDefault="00FC2DC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Институт Севера. 2. Северо-Кавказский </w:t>
      </w:r>
      <w:proofErr w:type="spellStart"/>
      <w:r w:rsidRPr="00A259BD">
        <w:rPr>
          <w:rFonts w:ascii="Times New Roman" w:hAnsi="Times New Roman"/>
          <w:color w:val="000000" w:themeColor="text1"/>
          <w:sz w:val="16"/>
          <w:szCs w:val="16"/>
        </w:rPr>
        <w:t>пром</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ышленный</w:t>
      </w:r>
      <w:proofErr w:type="spellEnd"/>
      <w:r w:rsidRPr="00A259BD">
        <w:rPr>
          <w:rFonts w:ascii="Times New Roman" w:hAnsi="Times New Roman"/>
          <w:color w:val="000000" w:themeColor="text1"/>
          <w:sz w:val="16"/>
          <w:szCs w:val="16"/>
        </w:rPr>
        <w:t>] институт.</w:t>
      </w:r>
    </w:p>
    <w:p w14:paraId="70953297" w14:textId="77777777" w:rsidR="00FC2DC2" w:rsidRPr="00A259BD" w:rsidRDefault="00FC2DC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5 НТУ в развитие настоящего приказа издать приказ по своим институтам о порядке, сроках и технике разделения институтов и о всех связанных с этим организационных мероприятиях.</w:t>
      </w:r>
    </w:p>
    <w:p w14:paraId="26C2AFC9" w14:textId="77777777" w:rsidR="00FC2DC2" w:rsidRPr="00A259BD" w:rsidRDefault="00FC2DC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6 Предложить НТУ передачу перечисленных выше, в разд. 1-м, институтов произвести в возможно короткий срок, оформив передачу соответствующими актами. Передачу произвести по балансам на 1 октября 1929 г. вместе с утвержденными для этих институтов штатным контингентом и кредитами.</w:t>
      </w:r>
    </w:p>
    <w:p w14:paraId="15DE7F46" w14:textId="77777777" w:rsidR="00FC2DC2" w:rsidRPr="00A259BD" w:rsidRDefault="00FC2DC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председателя ВСНХ СССР М. </w:t>
      </w:r>
      <w:proofErr w:type="spellStart"/>
      <w:r w:rsidRPr="00A259BD">
        <w:rPr>
          <w:rFonts w:ascii="Times New Roman" w:hAnsi="Times New Roman"/>
          <w:color w:val="000000" w:themeColor="text1"/>
          <w:sz w:val="16"/>
          <w:szCs w:val="16"/>
        </w:rPr>
        <w:t>Рухимович</w:t>
      </w:r>
      <w:proofErr w:type="spellEnd"/>
    </w:p>
    <w:p w14:paraId="13C55E53" w14:textId="77777777" w:rsidR="00FC2DC2" w:rsidRPr="00A259BD" w:rsidRDefault="00FC2DC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 ПЭУ ВСНХ СССР В. </w:t>
      </w:r>
      <w:proofErr w:type="spellStart"/>
      <w:r w:rsidRPr="00A259BD">
        <w:rPr>
          <w:rFonts w:ascii="Times New Roman" w:hAnsi="Times New Roman"/>
          <w:color w:val="000000" w:themeColor="text1"/>
          <w:sz w:val="16"/>
          <w:szCs w:val="16"/>
        </w:rPr>
        <w:t>Манцев</w:t>
      </w:r>
      <w:proofErr w:type="spellEnd"/>
      <w:r w:rsidRPr="00A259BD">
        <w:rPr>
          <w:rFonts w:ascii="Times New Roman" w:hAnsi="Times New Roman"/>
          <w:color w:val="000000" w:themeColor="text1"/>
          <w:sz w:val="16"/>
          <w:szCs w:val="16"/>
        </w:rPr>
        <w:t xml:space="preserve"> </w:t>
      </w:r>
    </w:p>
    <w:p w14:paraId="15C04AFB" w14:textId="77777777" w:rsidR="00FC2DC2" w:rsidRPr="00A259BD" w:rsidRDefault="00FC2DC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 НТУ ВСНХ СССР В. Свердлов (21448).</w:t>
      </w:r>
    </w:p>
    <w:bookmarkEnd w:id="101"/>
    <w:p w14:paraId="0D0934D6" w14:textId="77777777" w:rsidR="00FC2DC2" w:rsidRPr="00A259BD" w:rsidRDefault="00FC2DC2" w:rsidP="009236E3">
      <w:pPr>
        <w:spacing w:after="0" w:line="240" w:lineRule="auto"/>
        <w:jc w:val="both"/>
        <w:rPr>
          <w:rFonts w:ascii="Times New Roman" w:hAnsi="Times New Roman"/>
          <w:color w:val="000000" w:themeColor="text1"/>
          <w:sz w:val="16"/>
          <w:szCs w:val="16"/>
        </w:rPr>
      </w:pPr>
    </w:p>
    <w:p w14:paraId="718B8AB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11549F8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6783E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декабря 1929 г. поступило распоряжение перегнать "Голиафы" в Харьков к 9 января следующего года для использования в качестве транспортников на штабных учениях Украинского военного округа (УВО). Но из-за разных неполадок и плохой погоды "</w:t>
      </w:r>
      <w:proofErr w:type="spellStart"/>
      <w:r w:rsidRPr="00A259BD">
        <w:rPr>
          <w:rFonts w:ascii="Times New Roman" w:hAnsi="Times New Roman"/>
          <w:color w:val="000000" w:themeColor="text1"/>
          <w:sz w:val="16"/>
          <w:szCs w:val="16"/>
        </w:rPr>
        <w:t>фарманы</w:t>
      </w:r>
      <w:proofErr w:type="spellEnd"/>
      <w:r w:rsidRPr="00A259BD">
        <w:rPr>
          <w:rFonts w:ascii="Times New Roman" w:hAnsi="Times New Roman"/>
          <w:color w:val="000000" w:themeColor="text1"/>
          <w:sz w:val="16"/>
          <w:szCs w:val="16"/>
        </w:rPr>
        <w:t>" своевременно прибыть туда не смогли, и командующий войсками УВО мобилизовал три К-4 и один К-5 "</w:t>
      </w:r>
      <w:proofErr w:type="spellStart"/>
      <w:r w:rsidRPr="00A259BD">
        <w:rPr>
          <w:rFonts w:ascii="Times New Roman" w:hAnsi="Times New Roman"/>
          <w:color w:val="000000" w:themeColor="text1"/>
          <w:sz w:val="16"/>
          <w:szCs w:val="16"/>
        </w:rPr>
        <w:t>Укрвоздухпути</w:t>
      </w:r>
      <w:proofErr w:type="spellEnd"/>
      <w:r w:rsidRPr="00A259BD">
        <w:rPr>
          <w:rFonts w:ascii="Times New Roman" w:hAnsi="Times New Roman"/>
          <w:color w:val="000000" w:themeColor="text1"/>
          <w:sz w:val="16"/>
          <w:szCs w:val="16"/>
        </w:rPr>
        <w:t>". Два "голиафа" прилетели в Харьков только 19 января. Один из-за постоянных неполадок вернулся в Воронеж, другой совершил с комсоставом на борту два полёта: Харьков - Балта и Балта - Вознесенск. Уже после окончания учений его перегнали в Одессу, где пришлось менять один из выработавших ресурс моторов "</w:t>
      </w:r>
      <w:proofErr w:type="spellStart"/>
      <w:r w:rsidRPr="00A259BD">
        <w:rPr>
          <w:rFonts w:ascii="Times New Roman" w:hAnsi="Times New Roman"/>
          <w:color w:val="000000" w:themeColor="text1"/>
          <w:sz w:val="16"/>
          <w:szCs w:val="16"/>
        </w:rPr>
        <w:t>Лоррэн</w:t>
      </w:r>
      <w:proofErr w:type="spellEnd"/>
      <w:r w:rsidRPr="00A259BD">
        <w:rPr>
          <w:rFonts w:ascii="Times New Roman" w:hAnsi="Times New Roman"/>
          <w:color w:val="000000" w:themeColor="text1"/>
          <w:sz w:val="16"/>
          <w:szCs w:val="16"/>
        </w:rPr>
        <w:t>- Дитрих" (11984).</w:t>
      </w:r>
    </w:p>
    <w:p w14:paraId="7DF454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C3BB21" w14:textId="77777777" w:rsidR="00103B89" w:rsidRPr="00A259BD" w:rsidRDefault="00103B8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0FEE9C09" w14:textId="77777777" w:rsidR="00103B89" w:rsidRPr="00A259BD" w:rsidRDefault="00103B89"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07A1837" w14:textId="77777777" w:rsidR="00103B89" w:rsidRPr="00A259BD" w:rsidRDefault="00103B8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декабря 1929 г. было издано постановление ЦИК и СНК СССР об основах дисциплинарного законодательства, а также постановление ВЦИК и СНК РСФСР о товарищеских судах, предусматривавшее существенное расширение их компетенции. Если раньше они рассматривали дела преимущественно об оскорблениях, то теперь – случаи мелких краж (до 15 руб.) (21332).</w:t>
      </w:r>
    </w:p>
    <w:p w14:paraId="26FFD5E4" w14:textId="77777777" w:rsidR="00103B89" w:rsidRPr="00A259BD" w:rsidRDefault="00103B89" w:rsidP="009236E3">
      <w:pPr>
        <w:spacing w:after="0" w:line="240" w:lineRule="auto"/>
        <w:jc w:val="both"/>
        <w:rPr>
          <w:rFonts w:ascii="Times New Roman" w:hAnsi="Times New Roman"/>
          <w:color w:val="000000" w:themeColor="text1"/>
          <w:sz w:val="16"/>
          <w:szCs w:val="16"/>
        </w:rPr>
      </w:pPr>
    </w:p>
    <w:p w14:paraId="214D1FD5"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6CAE2C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069DEAE"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31 декабря 1929 года Начальника УВВС выдал задание на испытания в НИИ ВВС самолета Р7-БМВVI Е=6 (6951).</w:t>
      </w:r>
    </w:p>
    <w:p w14:paraId="08908784"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AB7F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декабря 1929 года в НИИ поступил самолет Р-5 БМВ VI 6Z 4-й летный самолет (3221).</w:t>
      </w:r>
    </w:p>
    <w:p w14:paraId="6D3FE7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7B103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декабря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(протокол 33) и обсудили вопрос о Воронежском заводе и работу завода 1 (2367).</w:t>
      </w:r>
    </w:p>
    <w:p w14:paraId="6CE508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9892431" w14:textId="77777777" w:rsidR="00195D7F" w:rsidRPr="00A259BD" w:rsidRDefault="00195D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декабря 1929 состоялось заседание Правления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на котором был обсуждён вопрос о Воронежском заводе (19829).</w:t>
      </w:r>
    </w:p>
    <w:p w14:paraId="0D3E30AA" w14:textId="77777777" w:rsidR="00195D7F" w:rsidRPr="00A259BD" w:rsidRDefault="00195D7F" w:rsidP="009236E3">
      <w:pPr>
        <w:spacing w:after="0" w:line="240" w:lineRule="auto"/>
        <w:jc w:val="both"/>
        <w:rPr>
          <w:rFonts w:ascii="Times New Roman" w:hAnsi="Times New Roman"/>
          <w:color w:val="000000" w:themeColor="text1"/>
          <w:sz w:val="16"/>
          <w:szCs w:val="16"/>
        </w:rPr>
      </w:pPr>
    </w:p>
    <w:p w14:paraId="25DD9A77"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417B7D4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980FF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декабря 1929 г. состоялось заседание НТК по IV секции тракторов и самоходных установок. Оценивая общий проект гусеничного трактора мощностью 50-60 л.с., выполненный на ХПЗ с учетом требований военного ведомства, специалисты отмечали: "...Трактор приближается к типу специального среднего трактора и представляет значительное усовершенствование по сравнению с изготовляемым заводом в настоящее время трактором "Коммунар". В виду этого необходимо выяснение пригодности трактора 50/60 в качестве специального среднего трактора".</w:t>
      </w:r>
    </w:p>
    <w:p w14:paraId="24C496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Секция постановила: "Немедленно заказать ГХПЗ изготовление двух опытных экземпляров трактора по техническим заданиям составленным НТК УММ РККА, из них один должен быть изготовлен за счет имеющихся по смете НТК УММ РККА средств на производство опытных заказов стоимость другого трактора должна быть оплачена из кредитов имеющихся в распоряжении I отдела на постройку тракторов" (12008).</w:t>
      </w:r>
    </w:p>
    <w:p w14:paraId="24C5B0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FEEA03" w14:textId="77777777" w:rsidR="00EB482B" w:rsidRPr="00A259BD" w:rsidRDefault="00EB482B"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декабря 1929 г. проходил испытания самоходный вагон с двигателем внутреннего сгорания Д-3 </w:t>
      </w:r>
      <w:proofErr w:type="spellStart"/>
      <w:r w:rsidRPr="00A259BD">
        <w:rPr>
          <w:rFonts w:ascii="Times New Roman" w:hAnsi="Times New Roman"/>
          <w:color w:val="000000" w:themeColor="text1"/>
          <w:sz w:val="16"/>
          <w:szCs w:val="16"/>
        </w:rPr>
        <w:t>Дыренкова</w:t>
      </w:r>
      <w:proofErr w:type="spellEnd"/>
      <w:r w:rsidRPr="00A259BD">
        <w:rPr>
          <w:rFonts w:ascii="Times New Roman" w:hAnsi="Times New Roman"/>
          <w:color w:val="000000" w:themeColor="text1"/>
          <w:sz w:val="16"/>
          <w:szCs w:val="16"/>
        </w:rPr>
        <w:t xml:space="preserve"> на Московско-Курской дороге, в январе 1930 он испытывался в районе Гатчины. Январь 1930 года (15624).</w:t>
      </w:r>
    </w:p>
    <w:p w14:paraId="24645D64" w14:textId="77777777" w:rsidR="00EB482B" w:rsidRPr="00A259BD" w:rsidRDefault="00EB482B" w:rsidP="009236E3">
      <w:pPr>
        <w:spacing w:after="0" w:line="240" w:lineRule="auto"/>
        <w:jc w:val="both"/>
        <w:rPr>
          <w:rFonts w:ascii="Times New Roman" w:hAnsi="Times New Roman"/>
          <w:color w:val="000000" w:themeColor="text1"/>
          <w:sz w:val="16"/>
          <w:szCs w:val="16"/>
        </w:rPr>
      </w:pPr>
    </w:p>
    <w:p w14:paraId="395F992C" w14:textId="77777777" w:rsidR="00BE530F" w:rsidRPr="00A259BD" w:rsidRDefault="00BE530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31 декабря 1929 г. просуществовал ЭТЗСТ, а с 1 января 1930 г. начало действовать Всесоюзное электротехническое объединение (ВЭО), в ведение которого вошли все существовавшие электротехнические тресты. ЭТЗСТ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как таковой (18297).</w:t>
      </w:r>
    </w:p>
    <w:p w14:paraId="238410A4" w14:textId="77777777" w:rsidR="00BE530F" w:rsidRPr="00A259BD" w:rsidRDefault="00BE530F" w:rsidP="009236E3">
      <w:pPr>
        <w:spacing w:after="0" w:line="240" w:lineRule="auto"/>
        <w:jc w:val="both"/>
        <w:rPr>
          <w:rFonts w:ascii="Times New Roman" w:hAnsi="Times New Roman"/>
          <w:color w:val="000000" w:themeColor="text1"/>
          <w:sz w:val="16"/>
          <w:szCs w:val="16"/>
        </w:rPr>
      </w:pPr>
    </w:p>
    <w:p w14:paraId="1C7F2D63" w14:textId="77777777" w:rsidR="00BE530F" w:rsidRPr="00A259BD" w:rsidRDefault="00BE530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31 декабря 1929 г. просуществовал ЭТЗСТ, а с 1 января 1930 г. начало действовать Всесоюзное электротехническое объединение (ВЭО), в ведение ко</w:t>
      </w:r>
      <w:r w:rsidRPr="00A259BD">
        <w:rPr>
          <w:rFonts w:ascii="Times New Roman" w:hAnsi="Times New Roman"/>
          <w:color w:val="000000" w:themeColor="text1"/>
          <w:sz w:val="16"/>
          <w:szCs w:val="16"/>
        </w:rPr>
        <w:softHyphen/>
        <w:t>торого вошли все существовавшие электротехнические тресты.</w:t>
      </w:r>
    </w:p>
    <w:p w14:paraId="55FCDF38" w14:textId="77777777" w:rsidR="00BE530F" w:rsidRPr="00A259BD" w:rsidRDefault="00BE530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Созданием ЭТЗСТ закончился период развития отечественной промыш</w:t>
      </w:r>
      <w:r w:rsidRPr="00A259BD">
        <w:rPr>
          <w:rFonts w:ascii="Times New Roman" w:hAnsi="Times New Roman"/>
          <w:color w:val="000000" w:themeColor="text1"/>
          <w:sz w:val="16"/>
          <w:szCs w:val="16"/>
        </w:rPr>
        <w:softHyphen/>
        <w:t>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w:t>
      </w:r>
      <w:r w:rsidRPr="00A259BD">
        <w:rPr>
          <w:rFonts w:ascii="Times New Roman" w:hAnsi="Times New Roman"/>
          <w:color w:val="000000" w:themeColor="text1"/>
          <w:sz w:val="16"/>
          <w:szCs w:val="16"/>
        </w:rPr>
        <w:softHyphen/>
        <w:t>ные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(19098).</w:t>
      </w:r>
    </w:p>
    <w:p w14:paraId="610C4048" w14:textId="77777777" w:rsidR="00BE530F" w:rsidRPr="00A259BD" w:rsidRDefault="00BE530F" w:rsidP="009236E3">
      <w:pPr>
        <w:spacing w:after="0" w:line="240" w:lineRule="auto"/>
        <w:jc w:val="both"/>
        <w:rPr>
          <w:rFonts w:ascii="Times New Roman" w:hAnsi="Times New Roman"/>
          <w:color w:val="000000" w:themeColor="text1"/>
          <w:sz w:val="16"/>
          <w:szCs w:val="16"/>
        </w:rPr>
      </w:pPr>
    </w:p>
    <w:p w14:paraId="2E0AFB4D"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декабря 1929 г.</w:t>
      </w:r>
    </w:p>
    <w:p w14:paraId="76577716" w14:textId="77777777" w:rsidR="001D017F" w:rsidRPr="00A259BD" w:rsidRDefault="001D017F"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Информполитсводка</w:t>
      </w:r>
      <w:proofErr w:type="spellEnd"/>
      <w:r w:rsidRPr="00A259BD">
        <w:rPr>
          <w:rFonts w:ascii="Times New Roman" w:hAnsi="Times New Roman"/>
          <w:color w:val="000000" w:themeColor="text1"/>
          <w:sz w:val="16"/>
          <w:szCs w:val="16"/>
        </w:rPr>
        <w:t xml:space="preserve"> ОГПУ о фактах недовольства рабочих на предприятиях Ленинграда</w:t>
      </w:r>
    </w:p>
    <w:p w14:paraId="14807716" w14:textId="77777777" w:rsidR="001D017F" w:rsidRPr="00A259BD" w:rsidRDefault="001D017F"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Резвоостровская</w:t>
      </w:r>
      <w:proofErr w:type="spellEnd"/>
      <w:r w:rsidRPr="00A259BD">
        <w:rPr>
          <w:rFonts w:ascii="Times New Roman" w:hAnsi="Times New Roman"/>
          <w:color w:val="000000" w:themeColor="text1"/>
          <w:sz w:val="16"/>
          <w:szCs w:val="16"/>
        </w:rPr>
        <w:t xml:space="preserve"> фабрика,</w:t>
      </w:r>
    </w:p>
    <w:p w14:paraId="1F6556A5"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декабря среди группы ткачих наблюдались разговоры о невозможности работать на шести станках, тем более что качество основы за последнее время ухудшилось. Двое из ткачих начали писать заявление в фабком, однако узнавшие об этом представители фабзавкома уговорили ткачих заявление не писать, а попросить делегатов на конференции Текстильно-ватного треста указать в выступлениях на существующие на фабрике недочеты.</w:t>
      </w:r>
    </w:p>
    <w:p w14:paraId="0DB9AEA4"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конференции Текстильно-ватного треста 28 декабря в прениях по докладу председателя треста выступало 26 человек. Большинство из них, особенно делегаты </w:t>
      </w:r>
      <w:proofErr w:type="spellStart"/>
      <w:r w:rsidRPr="00A259BD">
        <w:rPr>
          <w:rFonts w:ascii="Times New Roman" w:hAnsi="Times New Roman"/>
          <w:color w:val="000000" w:themeColor="text1"/>
          <w:sz w:val="16"/>
          <w:szCs w:val="16"/>
        </w:rPr>
        <w:t>Резвоостровской</w:t>
      </w:r>
      <w:proofErr w:type="spellEnd"/>
      <w:r w:rsidRPr="00A259BD">
        <w:rPr>
          <w:rFonts w:ascii="Times New Roman" w:hAnsi="Times New Roman"/>
          <w:color w:val="000000" w:themeColor="text1"/>
          <w:sz w:val="16"/>
          <w:szCs w:val="16"/>
        </w:rPr>
        <w:t xml:space="preserve"> фабрики, указывали на плохое состояние оборудования, скверное качество сырья и выступали против работы на шести станках.</w:t>
      </w:r>
    </w:p>
    <w:p w14:paraId="276D93FC"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 декабря в 15 час. 20 мин. в катушечном отделе группа работниц (около 40 чел.) приостановила работу и послали делегатов в фабком. Явившимся в цех председателям фабкома и администрации работницы предъявили требование: или снабдить хорошей основой, или снять щетки с машин (щетки на катушечных машинах были поставлены с октября месяца сего года и за весь последний период вместо 50% переработки нормы, которая наблюдалась до введения щеток, норма перерабатывается на 5-6%, в связи с чем заработная плата снизилась на 15-20%), представители фабричных организаций заявили работницам, что в данное время ничего предпринять нельзя и жалобы их не обоснованы, так как все же норму они перерабатывают.</w:t>
      </w:r>
    </w:p>
    <w:p w14:paraId="31D2EC2F"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переговоров работницы приступили к работе, однако высказывание недовольства в разговорах продолжает иметь место, в связи с чем возможны случаи повторения волынок.</w:t>
      </w:r>
    </w:p>
    <w:p w14:paraId="03BBA56A"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Государственный оптический завод 27, 28 и 29 декабря по заводу должны были проводиться отчетные доклады завкома. В последний момент завком решил эту кампанию отсрочить и провести по цехам доклады членов Ленсовета. Ввиду плохой подготовки и оповещения эти доклады были сорваны из-за недостаточного количества собравшихся во всех мастерских, кроме оптической.</w:t>
      </w:r>
    </w:p>
    <w:p w14:paraId="50C57AEB"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имени Козицкого Назначенное на 29 декабря собрание по перезаключению договора на соцсоревнование в 62-м отделении сорвалось из-за неявки (из 70 человек явилось 18).</w:t>
      </w:r>
    </w:p>
    <w:p w14:paraId="4309780A"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Северная Судостроительная верфь 26 декабря в завком Северной судостроительной верфи была по почте прислана анонимка, написанная карандашом от руки со следующим текстом:</w:t>
      </w:r>
    </w:p>
    <w:p w14:paraId="5D4EFC56"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Вам, носящим громкое название "защитников рабочих", обращаемся мы, ваши подзащитные. Неужели ни у одного из вас ни разу не пробуждалось сознание, что вы не только потеряли свое прямое назначение защитников рабочих, а даже наоборот, являетесь хлыстом в руках поработителя для понукания рабов. Конечно, первые же ваши слова на это письмо будут такие: "Это вылазка классового врага". Сейчас всех недовольных, а их 95% всего населения, называете вы классовым врагом. По-вашему и член нашей группы, обращающийся к вам, работающий на заводах 30 лет и всю гражданскую войну проведший на фронтах как доброволец, тоже классовый враг. И я, избороздивший весь СССР, с 13 лет таскавшийся по заводам, тоже классовый враг. Ведь у нас в турбинной мастерской 95% классовых врагов. Сажайте их всех в тюрьму, ибо не все рабы терпят, ведь они могут и возмутиться. А возмущение рабов очень опасно. Давайте работать бесплатно не только Рождество, а каждый месяц по 5 дней, а то и по двадцать на царя, а пять -на себя, все равно рабы будут терпеть. Ведь они так забиты, что побоятся поднять руку против, и ваше предложение пройдет большинством, как это прошло у нас в турбинной. Что ж такого, что они будут после по углам роптать; ведь вы все равно их не боитесь, а они, стиснув зубы, все-таки эти 20 дней бесплатно будут работать. Ну, смелее жмите раба, добивайте».1</w:t>
      </w:r>
    </w:p>
    <w:p w14:paraId="3A334DE1"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ЦГАИПД СПб. Ф. 24, </w:t>
      </w:r>
      <w:proofErr w:type="spellStart"/>
      <w:r w:rsidRPr="00A259BD">
        <w:rPr>
          <w:rFonts w:ascii="Times New Roman" w:hAnsi="Times New Roman"/>
          <w:color w:val="000000" w:themeColor="text1"/>
          <w:sz w:val="16"/>
          <w:szCs w:val="16"/>
        </w:rPr>
        <w:t>on</w:t>
      </w:r>
      <w:proofErr w:type="spellEnd"/>
      <w:r w:rsidRPr="00A259BD">
        <w:rPr>
          <w:rFonts w:ascii="Times New Roman" w:hAnsi="Times New Roman"/>
          <w:color w:val="000000" w:themeColor="text1"/>
          <w:sz w:val="16"/>
          <w:szCs w:val="16"/>
        </w:rPr>
        <w:t>. 16, д. 67, л. 11-12. Заверенная копия. Машинопись (12214).</w:t>
      </w:r>
    </w:p>
    <w:p w14:paraId="5D3F7406" w14:textId="77777777" w:rsidR="001D017F" w:rsidRPr="00A259BD" w:rsidRDefault="001D017F" w:rsidP="009236E3">
      <w:pPr>
        <w:spacing w:after="0" w:line="240" w:lineRule="auto"/>
        <w:jc w:val="both"/>
        <w:rPr>
          <w:rFonts w:ascii="Times New Roman" w:hAnsi="Times New Roman"/>
          <w:color w:val="000000" w:themeColor="text1"/>
          <w:sz w:val="16"/>
          <w:szCs w:val="16"/>
        </w:rPr>
      </w:pPr>
    </w:p>
    <w:p w14:paraId="6652E85D"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15A91DF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3F043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 декабря 1929 основан Хибиногорск (Кировск) (3960, 510).</w:t>
      </w:r>
    </w:p>
    <w:p w14:paraId="0358C3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4F452E"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1F1DE23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87BE5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31 декабря 1929 прекратил работу фонд </w:t>
      </w:r>
      <w:proofErr w:type="spellStart"/>
      <w:r w:rsidRPr="00A259BD">
        <w:rPr>
          <w:rFonts w:ascii="Times New Roman" w:hAnsi="Times New Roman"/>
          <w:color w:val="000000" w:themeColor="text1"/>
          <w:sz w:val="16"/>
          <w:szCs w:val="16"/>
        </w:rPr>
        <w:t>Гугенхеймера</w:t>
      </w:r>
      <w:proofErr w:type="spellEnd"/>
      <w:r w:rsidRPr="00A259BD">
        <w:rPr>
          <w:rFonts w:ascii="Times New Roman" w:hAnsi="Times New Roman"/>
          <w:color w:val="000000" w:themeColor="text1"/>
          <w:sz w:val="16"/>
          <w:szCs w:val="16"/>
        </w:rPr>
        <w:t xml:space="preserve"> по поддержке авиации (2273).</w:t>
      </w:r>
    </w:p>
    <w:p w14:paraId="24279A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E5973D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8BDF6B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AADBA3E" w14:textId="77777777" w:rsidR="001826F6" w:rsidRPr="00A259BD" w:rsidRDefault="001826F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декабря 1929 г. ОГПУ представило Сталину доклад “О разоблачении контрреволюционной вредительской организа</w:t>
      </w:r>
      <w:r w:rsidRPr="00A259BD">
        <w:rPr>
          <w:rFonts w:ascii="Times New Roman" w:hAnsi="Times New Roman"/>
          <w:color w:val="000000" w:themeColor="text1"/>
          <w:sz w:val="16"/>
          <w:szCs w:val="16"/>
        </w:rPr>
        <w:softHyphen/>
        <w:t>ции в авиапромышленности”. Согласно документу, организация вела свою деятельность с 1921 г., охватывала опытное моторное производство, а также капитальное строительство, действия пу</w:t>
      </w:r>
      <w:r w:rsidRPr="00A259BD">
        <w:rPr>
          <w:rFonts w:ascii="Times New Roman" w:hAnsi="Times New Roman"/>
          <w:color w:val="000000" w:themeColor="text1"/>
          <w:sz w:val="16"/>
          <w:szCs w:val="16"/>
        </w:rPr>
        <w:softHyphen/>
        <w:t>тем замедления работ, представления неправильных чертежей, разработки ненужных Управлению ВВС (УВВС) РККА машин, организации неувязок в управлении, срыва производственных программ, создания узких мест, расстраивания серийного произ</w:t>
      </w:r>
      <w:r w:rsidRPr="00A259BD">
        <w:rPr>
          <w:rFonts w:ascii="Times New Roman" w:hAnsi="Times New Roman"/>
          <w:color w:val="000000" w:themeColor="text1"/>
          <w:sz w:val="16"/>
          <w:szCs w:val="16"/>
        </w:rPr>
        <w:softHyphen/>
        <w:t>водства, поставки негодных материалов и фабрикатов. Предста</w:t>
      </w:r>
      <w:r w:rsidRPr="00A259BD">
        <w:rPr>
          <w:rFonts w:ascii="Times New Roman" w:hAnsi="Times New Roman"/>
          <w:color w:val="000000" w:themeColor="text1"/>
          <w:sz w:val="16"/>
          <w:szCs w:val="16"/>
        </w:rPr>
        <w:softHyphen/>
        <w:t>вители “вредительской организации” в этой отрасли обвинялись в шпионаже и передаче секретных материалов на Запад. Дея</w:t>
      </w:r>
      <w:r w:rsidRPr="00A259BD">
        <w:rPr>
          <w:rFonts w:ascii="Times New Roman" w:hAnsi="Times New Roman"/>
          <w:color w:val="000000" w:themeColor="text1"/>
          <w:sz w:val="16"/>
          <w:szCs w:val="16"/>
        </w:rPr>
        <w:softHyphen/>
        <w:t xml:space="preserve">тельность организации якобы строилась так, чтобы подчинить ей командные высоты в Авиапроме. Будто бы была образована Центральная группа (Кутовой, Гончаров, Богданов), которая взаимодействовала с </w:t>
      </w:r>
      <w:proofErr w:type="spellStart"/>
      <w:r w:rsidRPr="00A259BD">
        <w:rPr>
          <w:rFonts w:ascii="Times New Roman" w:hAnsi="Times New Roman"/>
          <w:color w:val="000000" w:themeColor="text1"/>
          <w:sz w:val="16"/>
          <w:szCs w:val="16"/>
        </w:rPr>
        <w:t>Высочанским</w:t>
      </w:r>
      <w:proofErr w:type="spellEnd"/>
      <w:r w:rsidRPr="00A259BD">
        <w:rPr>
          <w:rFonts w:ascii="Times New Roman" w:hAnsi="Times New Roman"/>
          <w:color w:val="000000" w:themeColor="text1"/>
          <w:sz w:val="16"/>
          <w:szCs w:val="16"/>
        </w:rPr>
        <w:t xml:space="preserve"> из ГУВП. В результате до</w:t>
      </w:r>
      <w:r w:rsidRPr="00A259BD">
        <w:rPr>
          <w:rFonts w:ascii="Times New Roman" w:hAnsi="Times New Roman"/>
          <w:color w:val="000000" w:themeColor="text1"/>
          <w:sz w:val="16"/>
          <w:szCs w:val="16"/>
        </w:rPr>
        <w:softHyphen/>
        <w:t>просов ОГПУ выявило “широкие связи организации”, хотя аре</w:t>
      </w:r>
      <w:r w:rsidRPr="00A259BD">
        <w:rPr>
          <w:rFonts w:ascii="Times New Roman" w:hAnsi="Times New Roman"/>
          <w:color w:val="000000" w:themeColor="text1"/>
          <w:sz w:val="16"/>
          <w:szCs w:val="16"/>
        </w:rPr>
        <w:softHyphen/>
        <w:t>сты 1926 г. несколько ослабили ее деятельность, но она “сумела снова развернуться под руководством Калинина, Щербакова, Ко</w:t>
      </w:r>
      <w:r w:rsidRPr="00A259BD">
        <w:rPr>
          <w:rFonts w:ascii="Times New Roman" w:hAnsi="Times New Roman"/>
          <w:color w:val="000000" w:themeColor="text1"/>
          <w:sz w:val="16"/>
          <w:szCs w:val="16"/>
        </w:rPr>
        <w:softHyphen/>
        <w:t xml:space="preserve">сткина, </w:t>
      </w:r>
      <w:proofErr w:type="spellStart"/>
      <w:r w:rsidRPr="00A259BD">
        <w:rPr>
          <w:rFonts w:ascii="Times New Roman" w:hAnsi="Times New Roman"/>
          <w:color w:val="000000" w:themeColor="text1"/>
          <w:sz w:val="16"/>
          <w:szCs w:val="16"/>
        </w:rPr>
        <w:t>Сивалкина</w:t>
      </w:r>
      <w:proofErr w:type="spellEnd"/>
      <w:r w:rsidRPr="00A259BD">
        <w:rPr>
          <w:rFonts w:ascii="Times New Roman" w:hAnsi="Times New Roman"/>
          <w:color w:val="000000" w:themeColor="text1"/>
          <w:sz w:val="16"/>
          <w:szCs w:val="16"/>
        </w:rPr>
        <w:t xml:space="preserve"> и технического директора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Мака- </w:t>
      </w:r>
      <w:proofErr w:type="spellStart"/>
      <w:r w:rsidRPr="00A259BD">
        <w:rPr>
          <w:rFonts w:ascii="Times New Roman" w:hAnsi="Times New Roman"/>
          <w:color w:val="000000" w:themeColor="text1"/>
          <w:sz w:val="16"/>
          <w:szCs w:val="16"/>
        </w:rPr>
        <w:t>ровского</w:t>
      </w:r>
      <w:proofErr w:type="spellEnd"/>
      <w:r w:rsidRPr="00A259BD">
        <w:rPr>
          <w:rFonts w:ascii="Times New Roman" w:hAnsi="Times New Roman"/>
          <w:color w:val="000000" w:themeColor="text1"/>
          <w:sz w:val="16"/>
          <w:szCs w:val="16"/>
        </w:rPr>
        <w:t>”. Особый размах “вредительства” отмечался на авиаци</w:t>
      </w:r>
      <w:r w:rsidRPr="00A259BD">
        <w:rPr>
          <w:rFonts w:ascii="Times New Roman" w:hAnsi="Times New Roman"/>
          <w:color w:val="000000" w:themeColor="text1"/>
          <w:sz w:val="16"/>
          <w:szCs w:val="16"/>
        </w:rPr>
        <w:softHyphen/>
        <w:t xml:space="preserve">онных заводах № 23, 24, 25. Одним из его примеров называлось строительство слабого фундамента под кузницу на заводе № 26. </w:t>
      </w:r>
      <w:r w:rsidRPr="00A259BD">
        <w:rPr>
          <w:rFonts w:ascii="Times New Roman" w:hAnsi="Times New Roman"/>
          <w:color w:val="000000" w:themeColor="text1"/>
          <w:sz w:val="16"/>
          <w:szCs w:val="16"/>
        </w:rPr>
        <w:lastRenderedPageBreak/>
        <w:t>Согласно документу, “вредители продвинули в УВВС РККА бывших служащих авиазаводов, создавая кастовую замкнутость и не пуская в свою среду чужаков”, утверждали, что “авиация в стране с нами родилась, с нами и умрет”, якобы считали себя ари</w:t>
      </w:r>
      <w:r w:rsidRPr="00A259BD">
        <w:rPr>
          <w:rFonts w:ascii="Times New Roman" w:hAnsi="Times New Roman"/>
          <w:color w:val="000000" w:themeColor="text1"/>
          <w:sz w:val="16"/>
          <w:szCs w:val="16"/>
        </w:rPr>
        <w:softHyphen/>
        <w:t>стократами среди инженеров, корпорацией, которой открыты все блага жизни. Вербовка в организацию, по сведениям чеки</w:t>
      </w:r>
      <w:r w:rsidRPr="00A259BD">
        <w:rPr>
          <w:rFonts w:ascii="Times New Roman" w:hAnsi="Times New Roman"/>
          <w:color w:val="000000" w:themeColor="text1"/>
          <w:sz w:val="16"/>
          <w:szCs w:val="16"/>
        </w:rPr>
        <w:softHyphen/>
        <w:t>стов, велась различными способами: на вечеринках, “в обмене мнениями вредительского характера”, “подкупом”. Работникам ОГЛУ удалось подслушать разговоры после одного из совеща</w:t>
      </w:r>
      <w:r w:rsidRPr="00A259BD">
        <w:rPr>
          <w:rFonts w:ascii="Times New Roman" w:hAnsi="Times New Roman"/>
          <w:color w:val="000000" w:themeColor="text1"/>
          <w:sz w:val="16"/>
          <w:szCs w:val="16"/>
        </w:rPr>
        <w:softHyphen/>
        <w:t>ний, где остались только инженеры. Разговоры шли о том, что большевики долго не продержатся, что в стране нужна многопар</w:t>
      </w:r>
      <w:r w:rsidRPr="00A259BD">
        <w:rPr>
          <w:rFonts w:ascii="Times New Roman" w:hAnsi="Times New Roman"/>
          <w:color w:val="000000" w:themeColor="text1"/>
          <w:sz w:val="16"/>
          <w:szCs w:val="16"/>
        </w:rPr>
        <w:softHyphen/>
        <w:t>тийность, что с имеющимися рабочими невозможно работать, критиковали бумажный стиль руководства и т.д. “Нужно бить, - якобы говорили они, - по самому больному месту, самому чувст</w:t>
      </w:r>
      <w:r w:rsidRPr="00A259BD">
        <w:rPr>
          <w:rFonts w:ascii="Times New Roman" w:hAnsi="Times New Roman"/>
          <w:color w:val="000000" w:themeColor="text1"/>
          <w:sz w:val="16"/>
          <w:szCs w:val="16"/>
        </w:rPr>
        <w:softHyphen/>
        <w:t>вительному... И мы ударили вместе с научными работниками”. Чего же они добились? - задавался вопрос. - “Груды забракован</w:t>
      </w:r>
      <w:r w:rsidRPr="00A259BD">
        <w:rPr>
          <w:rFonts w:ascii="Times New Roman" w:hAnsi="Times New Roman"/>
          <w:color w:val="000000" w:themeColor="text1"/>
          <w:sz w:val="16"/>
          <w:szCs w:val="16"/>
        </w:rPr>
        <w:softHyphen/>
        <w:t>ного авиационного имущества, неудовлетворительные лицензии, срыв программ перевооружения”</w:t>
      </w:r>
      <w:bookmarkStart w:id="102" w:name="_ednref33"/>
      <w:r w:rsidRPr="00A259BD">
        <w:rPr>
          <w:rFonts w:ascii="Times New Roman" w:hAnsi="Times New Roman"/>
          <w:color w:val="000000" w:themeColor="text1"/>
          <w:sz w:val="16"/>
          <w:szCs w:val="16"/>
        </w:rPr>
        <w:t xml:space="preserve"> (18393)</w:t>
      </w:r>
      <w:bookmarkEnd w:id="102"/>
      <w:r w:rsidRPr="00A259BD">
        <w:rPr>
          <w:rFonts w:ascii="Times New Roman" w:hAnsi="Times New Roman"/>
          <w:color w:val="000000" w:themeColor="text1"/>
          <w:sz w:val="16"/>
          <w:szCs w:val="16"/>
        </w:rPr>
        <w:t>.</w:t>
      </w:r>
    </w:p>
    <w:p w14:paraId="55CEC379" w14:textId="77777777" w:rsidR="001826F6" w:rsidRPr="00A259BD" w:rsidRDefault="001826F6" w:rsidP="009236E3">
      <w:pPr>
        <w:spacing w:after="0" w:line="240" w:lineRule="auto"/>
        <w:jc w:val="both"/>
        <w:rPr>
          <w:rFonts w:ascii="Times New Roman" w:hAnsi="Times New Roman"/>
          <w:color w:val="000000" w:themeColor="text1"/>
          <w:sz w:val="16"/>
          <w:szCs w:val="16"/>
        </w:rPr>
      </w:pPr>
    </w:p>
    <w:p w14:paraId="782DE8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один из последних дней декабря 1929-го авиационных специалистов - заключенных собрали в одном из помещений Бутырской тюрьмы и предложили “искупить свою вину перед трудовым народом” - заняться в условиях несвободы проектированием самолетов.</w:t>
      </w:r>
    </w:p>
    <w:p w14:paraId="1449C7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Первым, кому поступило такое предложение, стал арестованный конструктор Дмитрий Григорович - он возглавил этот необычный творческий коллектив. Возглавил, конечно, исключительно по части творчества, ибо начальником назначили представителя ОГПУ </w:t>
      </w:r>
      <w:proofErr w:type="spellStart"/>
      <w:r w:rsidRPr="00A259BD">
        <w:rPr>
          <w:rFonts w:ascii="Times New Roman" w:hAnsi="Times New Roman"/>
          <w:color w:val="000000" w:themeColor="text1"/>
          <w:sz w:val="16"/>
          <w:szCs w:val="16"/>
        </w:rPr>
        <w:t>Горьянова</w:t>
      </w:r>
      <w:proofErr w:type="spellEnd"/>
      <w:r w:rsidRPr="00A259BD">
        <w:rPr>
          <w:rFonts w:ascii="Times New Roman" w:hAnsi="Times New Roman"/>
          <w:color w:val="000000" w:themeColor="text1"/>
          <w:sz w:val="16"/>
          <w:szCs w:val="16"/>
        </w:rPr>
        <w:t>, который в самолетах, надо полагать, не понимал ничего.</w:t>
      </w:r>
    </w:p>
    <w:p w14:paraId="6D8146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Зато, во всем прекрасно разбирался заместитель </w:t>
      </w:r>
      <w:proofErr w:type="spellStart"/>
      <w:r w:rsidRPr="00A259BD">
        <w:rPr>
          <w:rFonts w:ascii="Times New Roman" w:hAnsi="Times New Roman"/>
          <w:color w:val="000000" w:themeColor="text1"/>
          <w:sz w:val="16"/>
          <w:szCs w:val="16"/>
        </w:rPr>
        <w:t>начальни</w:t>
      </w:r>
      <w:proofErr w:type="spellEnd"/>
      <w:r w:rsidRPr="00A259BD">
        <w:rPr>
          <w:rFonts w:ascii="Times New Roman" w:hAnsi="Times New Roman"/>
          <w:color w:val="000000" w:themeColor="text1"/>
          <w:sz w:val="16"/>
          <w:szCs w:val="16"/>
        </w:rPr>
        <w:t>-ка ВВС Яков Алкснис - он сообщил присутствующим, что им предстоит в кратчайший срок, всего за три месяца, спроектировать для авиации Красной Армии новый маневренный самолет-истребитель.</w:t>
      </w:r>
    </w:p>
    <w:p w14:paraId="1389D5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Небольшое здание внутри тюремного двора за пару дней оборудовали для конструкторской деятельности - завезли столы, чертежные доски и другие необходимые принадлежности. Все это “явление” поначалу получило наименование - Особое конструкторское бюро (ОКБ) ОГПУ. Но также использовалось в отношении его и определение Внутренняя тюрьма - (ВТ).</w:t>
      </w:r>
    </w:p>
    <w:p w14:paraId="29C4D1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нескольких предложенных эскизных проектов в скором времени остановились на варианте Поликарпова. Он представлял собой сублимацию его проектов И-5 и И-6, разработанных еще в 1927-28 гг. (6593).</w:t>
      </w:r>
    </w:p>
    <w:p w14:paraId="7EB482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DEFDF5B"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2658A40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198ED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декабря 1929. Из протокола заседания Политбюро N 109, особая папка, 1929 г.</w:t>
      </w:r>
    </w:p>
    <w:p w14:paraId="52EE05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Вопрос т. Ройзенмана </w:t>
      </w:r>
    </w:p>
    <w:p w14:paraId="105AD6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Поручить НК РКИ представить в Политбюро конкретные предложения по всем вопросам, вытекающим из доклада (о беспорядках в советских представительствах за границей) тов. Ройзенмана (список отзываемых лиц, сокращение штатов и пр.), а также по следующим вопросам, возникшим в связи с его докладом: 1) уничтожение секретных фондов во всех заграничных полпредствах, 2) максимальное сокращение существующих представительств различных организаций, 3) недопущение образования новых представительств без специального разрешения и регистрации их в НК РКИ. </w:t>
      </w:r>
    </w:p>
    <w:p w14:paraId="07EC13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Создать комиссию для изучения причин, вызывающих разложение наших работников заграницей и отказы возвращаться в СССР (11652). </w:t>
      </w:r>
    </w:p>
    <w:p w14:paraId="06B615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2587310"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642FA5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28B9B8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был закончен эскизный проект самолета И-7 в деревянной версии (6925).</w:t>
      </w:r>
    </w:p>
    <w:p w14:paraId="30DB3AED" w14:textId="77777777" w:rsidR="00F547C5" w:rsidRPr="00A259BD" w:rsidRDefault="00F547C5" w:rsidP="009236E3">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70739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декабря 1929 возобновилась постройка МУ-2 на заводе № 25 и прово</w:t>
      </w:r>
      <w:r w:rsidRPr="00A259BD">
        <w:rPr>
          <w:rFonts w:ascii="Times New Roman" w:hAnsi="Times New Roman"/>
          <w:color w:val="000000" w:themeColor="text1"/>
          <w:sz w:val="16"/>
          <w:szCs w:val="16"/>
        </w:rPr>
        <w:softHyphen/>
        <w:t>дилась уже под руководством нового главного конст</w:t>
      </w:r>
      <w:r w:rsidRPr="00A259BD">
        <w:rPr>
          <w:rFonts w:ascii="Times New Roman" w:hAnsi="Times New Roman"/>
          <w:color w:val="000000" w:themeColor="text1"/>
          <w:sz w:val="16"/>
          <w:szCs w:val="16"/>
        </w:rPr>
        <w:softHyphen/>
        <w:t xml:space="preserve">руктора завода </w:t>
      </w:r>
      <w:proofErr w:type="spellStart"/>
      <w:r w:rsidRPr="00A259BD">
        <w:rPr>
          <w:rFonts w:ascii="Times New Roman" w:hAnsi="Times New Roman"/>
          <w:color w:val="000000" w:themeColor="text1"/>
          <w:sz w:val="16"/>
          <w:szCs w:val="16"/>
        </w:rPr>
        <w:t>С.А.Кочеригина</w:t>
      </w:r>
      <w:proofErr w:type="spellEnd"/>
      <w:r w:rsidRPr="00A259BD">
        <w:rPr>
          <w:rFonts w:ascii="Times New Roman" w:hAnsi="Times New Roman"/>
          <w:color w:val="000000" w:themeColor="text1"/>
          <w:sz w:val="16"/>
          <w:szCs w:val="16"/>
        </w:rPr>
        <w:t>. К лету 1930 г. самолет был готов, но испытания задержались из-за того, что Управление морской авиации вовремя не откомандиро</w:t>
      </w:r>
      <w:r w:rsidRPr="00A259BD">
        <w:rPr>
          <w:rFonts w:ascii="Times New Roman" w:hAnsi="Times New Roman"/>
          <w:color w:val="000000" w:themeColor="text1"/>
          <w:sz w:val="16"/>
          <w:szCs w:val="16"/>
        </w:rPr>
        <w:softHyphen/>
        <w:t>вало для их проведения летчиков. В июле 1930 г. завод № 25 был закрыт. Осенью 1930 г. все построенные само</w:t>
      </w:r>
      <w:r w:rsidRPr="00A259BD">
        <w:rPr>
          <w:rFonts w:ascii="Times New Roman" w:hAnsi="Times New Roman"/>
          <w:color w:val="000000" w:themeColor="text1"/>
          <w:sz w:val="16"/>
          <w:szCs w:val="16"/>
        </w:rPr>
        <w:softHyphen/>
        <w:t>леты завода № 25 передавали для продолжения работ над ними заводу № 39. Из-за плохой погоды летные ис</w:t>
      </w:r>
      <w:r w:rsidRPr="00A259BD">
        <w:rPr>
          <w:rFonts w:ascii="Times New Roman" w:hAnsi="Times New Roman"/>
          <w:color w:val="000000" w:themeColor="text1"/>
          <w:sz w:val="16"/>
          <w:szCs w:val="16"/>
        </w:rPr>
        <w:softHyphen/>
        <w:t>пытания МУ-2 на воде начались только весной 1931 г. на Москве-реке. Поведение машины в воздухе признали нормальным, скорость и мореходность приемлемыми, но скороподъемность и потолок не удовлетворяли за</w:t>
      </w:r>
      <w:r w:rsidRPr="00A259BD">
        <w:rPr>
          <w:rFonts w:ascii="Times New Roman" w:hAnsi="Times New Roman"/>
          <w:color w:val="000000" w:themeColor="text1"/>
          <w:sz w:val="16"/>
          <w:szCs w:val="16"/>
        </w:rPr>
        <w:softHyphen/>
        <w:t>казчика. Запуск мотора с воды был труден, бортовых пневматических или электрических стартеров двигатель М-11 тогда еще не имел. Устранить большинство недо</w:t>
      </w:r>
      <w:r w:rsidRPr="00A259BD">
        <w:rPr>
          <w:rFonts w:ascii="Times New Roman" w:hAnsi="Times New Roman"/>
          <w:color w:val="000000" w:themeColor="text1"/>
          <w:sz w:val="16"/>
          <w:szCs w:val="16"/>
        </w:rPr>
        <w:softHyphen/>
        <w:t>статков было вполне возможно, но этим никто не хотел заниматься: проведение испытаний МУ-2 для завода № 39 являлось внеплановой работой, а ввиду отсутствия главного конструктора решение организационных во</w:t>
      </w:r>
      <w:r w:rsidRPr="00A259BD">
        <w:rPr>
          <w:rFonts w:ascii="Times New Roman" w:hAnsi="Times New Roman"/>
          <w:color w:val="000000" w:themeColor="text1"/>
          <w:sz w:val="16"/>
          <w:szCs w:val="16"/>
        </w:rPr>
        <w:softHyphen/>
        <w:t>просов зачастую выливалось в неразрешимую про</w:t>
      </w:r>
      <w:r w:rsidRPr="00A259BD">
        <w:rPr>
          <w:rFonts w:ascii="Times New Roman" w:hAnsi="Times New Roman"/>
          <w:color w:val="000000" w:themeColor="text1"/>
          <w:sz w:val="16"/>
          <w:szCs w:val="16"/>
        </w:rPr>
        <w:softHyphen/>
        <w:t>блему. К тому же в условиях репрессий по делу о Промпартии и Шахтинскому делу никто не хотел брать на себя ответственность при проведении необходимых доработок. После испытаний самолет передали для ис</w:t>
      </w:r>
      <w:r w:rsidRPr="00A259BD">
        <w:rPr>
          <w:rFonts w:ascii="Times New Roman" w:hAnsi="Times New Roman"/>
          <w:color w:val="000000" w:themeColor="text1"/>
          <w:sz w:val="16"/>
          <w:szCs w:val="16"/>
        </w:rPr>
        <w:softHyphen/>
        <w:t>пользования в Ейскую школу. На этом история МУ-2 завершилась. Кроме этого варианта для полетов над реками в Си</w:t>
      </w:r>
      <w:r w:rsidRPr="00A259BD">
        <w:rPr>
          <w:rFonts w:ascii="Times New Roman" w:hAnsi="Times New Roman"/>
          <w:color w:val="000000" w:themeColor="text1"/>
          <w:sz w:val="16"/>
          <w:szCs w:val="16"/>
        </w:rPr>
        <w:softHyphen/>
        <w:t xml:space="preserve">бири и Дальнем Востоке в 1940 г. </w:t>
      </w:r>
      <w:proofErr w:type="spellStart"/>
      <w:r w:rsidRPr="00A259BD">
        <w:rPr>
          <w:rFonts w:ascii="Times New Roman" w:hAnsi="Times New Roman"/>
          <w:color w:val="000000" w:themeColor="text1"/>
          <w:sz w:val="16"/>
          <w:szCs w:val="16"/>
        </w:rPr>
        <w:t>В.Б.Шавров</w:t>
      </w:r>
      <w:proofErr w:type="spellEnd"/>
      <w:r w:rsidRPr="00A259BD">
        <w:rPr>
          <w:rFonts w:ascii="Times New Roman" w:hAnsi="Times New Roman"/>
          <w:color w:val="000000" w:themeColor="text1"/>
          <w:sz w:val="16"/>
          <w:szCs w:val="16"/>
        </w:rPr>
        <w:t xml:space="preserve"> спроекти</w:t>
      </w:r>
      <w:r w:rsidRPr="00A259BD">
        <w:rPr>
          <w:rFonts w:ascii="Times New Roman" w:hAnsi="Times New Roman"/>
          <w:color w:val="000000" w:themeColor="text1"/>
          <w:sz w:val="16"/>
          <w:szCs w:val="16"/>
        </w:rPr>
        <w:softHyphen/>
        <w:t xml:space="preserve">ровал для У-2 </w:t>
      </w:r>
      <w:proofErr w:type="spellStart"/>
      <w:r w:rsidRPr="00A259BD">
        <w:rPr>
          <w:rFonts w:ascii="Times New Roman" w:hAnsi="Times New Roman"/>
          <w:color w:val="000000" w:themeColor="text1"/>
          <w:sz w:val="16"/>
          <w:szCs w:val="16"/>
        </w:rPr>
        <w:t>двухпоплавковое</w:t>
      </w:r>
      <w:proofErr w:type="spellEnd"/>
      <w:r w:rsidRPr="00A259BD">
        <w:rPr>
          <w:rFonts w:ascii="Times New Roman" w:hAnsi="Times New Roman"/>
          <w:color w:val="000000" w:themeColor="text1"/>
          <w:sz w:val="16"/>
          <w:szCs w:val="16"/>
        </w:rPr>
        <w:t xml:space="preserve"> шасси деревянной конструкции. Позже, в 1942 г. летал аналогичный двух-поплавковый У-2 по проекту </w:t>
      </w:r>
      <w:proofErr w:type="spellStart"/>
      <w:r w:rsidRPr="00A259BD">
        <w:rPr>
          <w:rFonts w:ascii="Times New Roman" w:hAnsi="Times New Roman"/>
          <w:color w:val="000000" w:themeColor="text1"/>
          <w:sz w:val="16"/>
          <w:szCs w:val="16"/>
        </w:rPr>
        <w:t>А.Я.Щербакова</w:t>
      </w:r>
      <w:proofErr w:type="spellEnd"/>
      <w:r w:rsidRPr="00A259BD">
        <w:rPr>
          <w:rFonts w:ascii="Times New Roman" w:hAnsi="Times New Roman"/>
          <w:color w:val="000000" w:themeColor="text1"/>
          <w:sz w:val="16"/>
          <w:szCs w:val="16"/>
        </w:rPr>
        <w:t xml:space="preserve"> (10667).</w:t>
      </w:r>
    </w:p>
    <w:p w14:paraId="260FF5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4AE4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приняло окончательный вид задание УВВС на ТБ-3 (АНТ-6). История создания началась в 1925 в ходе переговоров с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о постройке бомбардировщика с моторами мощностью 2 тыс. л.с.. Проектирование началось в мае 1926 (92,427) (или конце 1925). Считается, что именно к концу 1929 наконец удалось согласовать требования ОСТЕХБЮРО и УВВС и было решено делать дневной и ночной ТБ (80,304).</w:t>
      </w:r>
    </w:p>
    <w:p w14:paraId="4D3E45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 затяжки - обалдеть.</w:t>
      </w:r>
    </w:p>
    <w:p w14:paraId="68F27A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w:t>
      </w:r>
      <w:proofErr w:type="spellStart"/>
      <w:r w:rsidRPr="00A259BD">
        <w:rPr>
          <w:rFonts w:ascii="Times New Roman" w:hAnsi="Times New Roman"/>
          <w:color w:val="000000" w:themeColor="text1"/>
          <w:sz w:val="16"/>
          <w:szCs w:val="16"/>
        </w:rPr>
        <w:t>И.Ф.Петрову</w:t>
      </w:r>
      <w:proofErr w:type="spellEnd"/>
      <w:r w:rsidRPr="00A259BD">
        <w:rPr>
          <w:rFonts w:ascii="Times New Roman" w:hAnsi="Times New Roman"/>
          <w:color w:val="000000" w:themeColor="text1"/>
          <w:sz w:val="16"/>
          <w:szCs w:val="16"/>
        </w:rPr>
        <w:t xml:space="preserve"> дело было на заседании СТО в зале НКВМД, где обсуждался план опытного самолетостроения и рассматривался проект ТБ-3 (АНТ-6). И.В.С. якобы спросил "что если три мотора у него заведутся, а один не заведется и самолет не полетит". Якобы </w:t>
      </w:r>
      <w:proofErr w:type="spellStart"/>
      <w:r w:rsidRPr="00A259BD">
        <w:rPr>
          <w:rFonts w:ascii="Times New Roman" w:hAnsi="Times New Roman"/>
          <w:color w:val="000000" w:themeColor="text1"/>
          <w:sz w:val="16"/>
          <w:szCs w:val="16"/>
        </w:rPr>
        <w:t>И.Ф.Петров</w:t>
      </w:r>
      <w:proofErr w:type="spellEnd"/>
      <w:r w:rsidRPr="00A259BD">
        <w:rPr>
          <w:rFonts w:ascii="Times New Roman" w:hAnsi="Times New Roman"/>
          <w:color w:val="000000" w:themeColor="text1"/>
          <w:sz w:val="16"/>
          <w:szCs w:val="16"/>
        </w:rPr>
        <w:t xml:space="preserve"> ответил, что моторы должны заводиться все четыре (262,28).</w:t>
      </w:r>
    </w:p>
    <w:p w14:paraId="395AA4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Якобы в тот же день на этом заседании было принято решение о параллельной разработке истребителей с одними и теми же ЛТД одновременно в двух-трех ОКБ, чтобы развивать творческое соревнование или своего рода конкуренцию между ОКБ (262,28).</w:t>
      </w:r>
    </w:p>
    <w:p w14:paraId="6569BE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другим данным УВВС выдвинул новые, более жесткие требования по дальности, высотности, грузоподъемности, которые приходилось учитывать "на ходу" (346,25).</w:t>
      </w:r>
    </w:p>
    <w:p w14:paraId="24B485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C6BA6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г. УВВС вновь изменило задание, подняв требования по грузоподъемности, дальности и потолку АНТ-6. Бомбардировщик должен был достигать максимальной скорости 190 км/ч на высоте 2000 м, набирать 3000 м за 20 минут, иметь практический потолок 4000 - 4500 м и дальность 1500 км. При этом посадочная скорость жестко ограничивалась 90 км/ч. (8887).</w:t>
      </w:r>
    </w:p>
    <w:p w14:paraId="08DDA0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125B52C" w14:textId="77777777" w:rsidR="008B648E" w:rsidRPr="00441F34" w:rsidRDefault="008B648E" w:rsidP="008B648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декабре 1929 г., когда облик самоле</w:t>
      </w:r>
      <w:r w:rsidRPr="00441F34">
        <w:rPr>
          <w:rFonts w:ascii="Times New Roman" w:hAnsi="Times New Roman"/>
          <w:color w:val="0070C0"/>
          <w:sz w:val="16"/>
          <w:szCs w:val="16"/>
        </w:rPr>
        <w:softHyphen/>
        <w:t>та уже сформировался и началась его по</w:t>
      </w:r>
      <w:r w:rsidRPr="00441F34">
        <w:rPr>
          <w:rFonts w:ascii="Times New Roman" w:hAnsi="Times New Roman"/>
          <w:color w:val="0070C0"/>
          <w:sz w:val="16"/>
          <w:szCs w:val="16"/>
        </w:rPr>
        <w:softHyphen/>
        <w:t>стройка, УВВС выдвинуло новые, более жесткие требования по дальности, высот</w:t>
      </w:r>
      <w:r w:rsidRPr="00441F34">
        <w:rPr>
          <w:rFonts w:ascii="Times New Roman" w:hAnsi="Times New Roman"/>
          <w:color w:val="0070C0"/>
          <w:sz w:val="16"/>
          <w:szCs w:val="16"/>
        </w:rPr>
        <w:softHyphen/>
        <w:t>ности и грузоподъемности. Их пришлось учитывать уже «на ходу».</w:t>
      </w:r>
    </w:p>
    <w:p w14:paraId="6EA40856" w14:textId="77777777" w:rsidR="008B648E" w:rsidRPr="00441F34" w:rsidRDefault="008B648E" w:rsidP="008B648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Применение монопланной схемы со свободнонесущим крылом для больших самолетов было, с точки зрения аэроди</w:t>
      </w:r>
      <w:r w:rsidRPr="00441F34">
        <w:rPr>
          <w:rFonts w:ascii="Times New Roman" w:hAnsi="Times New Roman"/>
          <w:color w:val="0070C0"/>
          <w:sz w:val="16"/>
          <w:szCs w:val="16"/>
        </w:rPr>
        <w:softHyphen/>
        <w:t xml:space="preserve">намики, наиболее выгодным. Но за это приходилось, платить </w:t>
      </w:r>
      <w:proofErr w:type="spellStart"/>
      <w:r w:rsidRPr="00441F34">
        <w:rPr>
          <w:rFonts w:ascii="Times New Roman" w:hAnsi="Times New Roman"/>
          <w:color w:val="0070C0"/>
          <w:sz w:val="16"/>
          <w:szCs w:val="16"/>
        </w:rPr>
        <w:t>перетяжелением</w:t>
      </w:r>
      <w:proofErr w:type="spellEnd"/>
      <w:r w:rsidRPr="00441F34">
        <w:rPr>
          <w:rFonts w:ascii="Times New Roman" w:hAnsi="Times New Roman"/>
          <w:color w:val="0070C0"/>
          <w:sz w:val="16"/>
          <w:szCs w:val="16"/>
        </w:rPr>
        <w:t xml:space="preserve"> конструкции из соображений прочности. Туполеву удалось найти изящное реше</w:t>
      </w:r>
      <w:r w:rsidRPr="00441F34">
        <w:rPr>
          <w:rFonts w:ascii="Times New Roman" w:hAnsi="Times New Roman"/>
          <w:color w:val="0070C0"/>
          <w:sz w:val="16"/>
          <w:szCs w:val="16"/>
        </w:rPr>
        <w:softHyphen/>
        <w:t>ние, казалось бы, неразрешимой пробле</w:t>
      </w:r>
      <w:r w:rsidRPr="00441F34">
        <w:rPr>
          <w:rFonts w:ascii="Times New Roman" w:hAnsi="Times New Roman"/>
          <w:color w:val="0070C0"/>
          <w:sz w:val="16"/>
          <w:szCs w:val="16"/>
        </w:rPr>
        <w:softHyphen/>
        <w:t>мы. Как он любил говорить, оно состояло в «революционной разгрузке крыла». Под этим термином понималось размещение в крыле больших масс — двигателей, го</w:t>
      </w:r>
      <w:r w:rsidRPr="00441F34">
        <w:rPr>
          <w:rFonts w:ascii="Times New Roman" w:hAnsi="Times New Roman"/>
          <w:color w:val="0070C0"/>
          <w:sz w:val="16"/>
          <w:szCs w:val="16"/>
        </w:rPr>
        <w:softHyphen/>
        <w:t>рючего. Сочетание «разгрузки» с крылом, имеющим большую относительную тол</w:t>
      </w:r>
      <w:r w:rsidRPr="00441F34">
        <w:rPr>
          <w:rFonts w:ascii="Times New Roman" w:hAnsi="Times New Roman"/>
          <w:color w:val="0070C0"/>
          <w:sz w:val="16"/>
          <w:szCs w:val="16"/>
        </w:rPr>
        <w:softHyphen/>
        <w:t>щину в корне, привело к блестящим ре</w:t>
      </w:r>
      <w:r w:rsidRPr="00441F34">
        <w:rPr>
          <w:rFonts w:ascii="Times New Roman" w:hAnsi="Times New Roman"/>
          <w:color w:val="0070C0"/>
          <w:sz w:val="16"/>
          <w:szCs w:val="16"/>
        </w:rPr>
        <w:softHyphen/>
        <w:t>зультатам. После появления самолетов АНТ-4 и АНТ—6 их схема стала господ</w:t>
      </w:r>
      <w:r w:rsidRPr="00441F34">
        <w:rPr>
          <w:rFonts w:ascii="Times New Roman" w:hAnsi="Times New Roman"/>
          <w:color w:val="0070C0"/>
          <w:sz w:val="16"/>
          <w:szCs w:val="16"/>
        </w:rPr>
        <w:softHyphen/>
        <w:t>ствующей на многие годы. Но все это вы</w:t>
      </w:r>
      <w:r w:rsidRPr="00441F34">
        <w:rPr>
          <w:rFonts w:ascii="Times New Roman" w:hAnsi="Times New Roman"/>
          <w:color w:val="0070C0"/>
          <w:sz w:val="16"/>
          <w:szCs w:val="16"/>
        </w:rPr>
        <w:softHyphen/>
        <w:t>яснится в будущем. А пока развернулась большая, напряженная работа. Приходи</w:t>
      </w:r>
      <w:r w:rsidRPr="00441F34">
        <w:rPr>
          <w:rFonts w:ascii="Times New Roman" w:hAnsi="Times New Roman"/>
          <w:color w:val="0070C0"/>
          <w:sz w:val="16"/>
          <w:szCs w:val="16"/>
        </w:rPr>
        <w:softHyphen/>
        <w:t>лось решать такие «вечные» проблемы как нехватка чертежников, инженеров, клепальщиков...</w:t>
      </w:r>
    </w:p>
    <w:p w14:paraId="25E0C3A7" w14:textId="77777777" w:rsidR="008B648E" w:rsidRPr="00441F34" w:rsidRDefault="008B648E" w:rsidP="008B648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Необходимость выдерживать сроки привела к тому, что расчеты на прочность и проектирование велись одновременно. Из-за этого часто приходилось вносить изменения в уже готовые чертежи. Недо</w:t>
      </w:r>
      <w:r w:rsidRPr="00441F34">
        <w:rPr>
          <w:rFonts w:ascii="Times New Roman" w:hAnsi="Times New Roman"/>
          <w:color w:val="0070C0"/>
          <w:sz w:val="16"/>
          <w:szCs w:val="16"/>
        </w:rPr>
        <w:softHyphen/>
        <w:t>ставало производственных площадей, иногда поставляли недоброкачественный прокат. Проблем было много (23474).</w:t>
      </w:r>
    </w:p>
    <w:p w14:paraId="3ABEB39D" w14:textId="77777777" w:rsidR="008B648E" w:rsidRPr="00441F34" w:rsidRDefault="008B648E" w:rsidP="008B648E">
      <w:pPr>
        <w:spacing w:after="0" w:line="240" w:lineRule="auto"/>
        <w:jc w:val="both"/>
        <w:rPr>
          <w:rFonts w:ascii="Times New Roman" w:hAnsi="Times New Roman"/>
          <w:color w:val="0070C0"/>
          <w:sz w:val="16"/>
          <w:szCs w:val="16"/>
        </w:rPr>
      </w:pPr>
    </w:p>
    <w:p w14:paraId="40FD4EA0" w14:textId="77777777" w:rsidR="008B648E" w:rsidRPr="00441F34" w:rsidRDefault="008B648E" w:rsidP="008B648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декабре 1929 г. УВВС выдало ТТТ на АНТ-13. В них входили не только летно-технические, но и технологические требования. Создание АНТ—13 необычно для КБ А.Н. Туполева. После пре</w:t>
      </w:r>
      <w:r w:rsidRPr="00441F34">
        <w:rPr>
          <w:rFonts w:ascii="Times New Roman" w:hAnsi="Times New Roman"/>
          <w:color w:val="0070C0"/>
          <w:sz w:val="16"/>
          <w:szCs w:val="16"/>
        </w:rPr>
        <w:softHyphen/>
        <w:t>кращения работ по машине АНТ-12 инженер В.М. Родионов пред</w:t>
      </w:r>
      <w:r w:rsidRPr="00441F34">
        <w:rPr>
          <w:rFonts w:ascii="Times New Roman" w:hAnsi="Times New Roman"/>
          <w:color w:val="0070C0"/>
          <w:sz w:val="16"/>
          <w:szCs w:val="16"/>
        </w:rPr>
        <w:softHyphen/>
        <w:t>ложил на основе не принятого проекта все же построить истребитель в порядке общественной инициативы, т.е. в нерабо</w:t>
      </w:r>
      <w:r w:rsidRPr="00441F34">
        <w:rPr>
          <w:rFonts w:ascii="Times New Roman" w:hAnsi="Times New Roman"/>
          <w:color w:val="0070C0"/>
          <w:sz w:val="16"/>
          <w:szCs w:val="16"/>
        </w:rPr>
        <w:softHyphen/>
        <w:t>чее время. В те годы такие идеи находили всеобщую поддержку. Именно поэтому машина имела в ЦАГИ еще одно назва</w:t>
      </w:r>
      <w:r w:rsidRPr="00441F34">
        <w:rPr>
          <w:rFonts w:ascii="Times New Roman" w:hAnsi="Times New Roman"/>
          <w:color w:val="0070C0"/>
          <w:sz w:val="16"/>
          <w:szCs w:val="16"/>
        </w:rPr>
        <w:softHyphen/>
        <w:t>ние - «Общественный самолет». Но имен</w:t>
      </w:r>
      <w:r w:rsidRPr="00441F34">
        <w:rPr>
          <w:rFonts w:ascii="Times New Roman" w:hAnsi="Times New Roman"/>
          <w:color w:val="0070C0"/>
          <w:sz w:val="16"/>
          <w:szCs w:val="16"/>
        </w:rPr>
        <w:softHyphen/>
        <w:t>но это обстоятельство стало причиной того, что в план опытного строительства АНТ—13 включен не был.</w:t>
      </w:r>
    </w:p>
    <w:p w14:paraId="50BE19A1" w14:textId="77777777" w:rsidR="008B648E" w:rsidRPr="00441F34" w:rsidRDefault="008B648E" w:rsidP="008B648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конце 20-х гг. назрела необходи</w:t>
      </w:r>
      <w:r w:rsidRPr="00441F34">
        <w:rPr>
          <w:rFonts w:ascii="Times New Roman" w:hAnsi="Times New Roman"/>
          <w:color w:val="0070C0"/>
          <w:sz w:val="16"/>
          <w:szCs w:val="16"/>
        </w:rPr>
        <w:softHyphen/>
        <w:t>мость проверить целесообразность со</w:t>
      </w:r>
      <w:r w:rsidRPr="00441F34">
        <w:rPr>
          <w:rFonts w:ascii="Times New Roman" w:hAnsi="Times New Roman"/>
          <w:color w:val="0070C0"/>
          <w:sz w:val="16"/>
          <w:szCs w:val="16"/>
        </w:rPr>
        <w:softHyphen/>
        <w:t>здания истребителей для решения узкого круга задач. Одним из таких типов дол</w:t>
      </w:r>
      <w:r w:rsidRPr="00441F34">
        <w:rPr>
          <w:rFonts w:ascii="Times New Roman" w:hAnsi="Times New Roman"/>
          <w:color w:val="0070C0"/>
          <w:sz w:val="16"/>
          <w:szCs w:val="16"/>
        </w:rPr>
        <w:softHyphen/>
        <w:t>жен был стать «истребитель-перехват</w:t>
      </w:r>
      <w:r w:rsidRPr="00441F34">
        <w:rPr>
          <w:rFonts w:ascii="Times New Roman" w:hAnsi="Times New Roman"/>
          <w:color w:val="0070C0"/>
          <w:sz w:val="16"/>
          <w:szCs w:val="16"/>
        </w:rPr>
        <w:softHyphen/>
        <w:t>чик» или «жокей», как тогда говорили. Отсюда второе название — АНТ—13. «Жокею» предстояло работать в системе ПВО. Для победы над прорвавшимися в зону ПВО самолетами противника ему необходимо было иметь преимущество в скороподъемности, маневренности, во</w:t>
      </w:r>
      <w:r w:rsidRPr="00441F34">
        <w:rPr>
          <w:rFonts w:ascii="Times New Roman" w:hAnsi="Times New Roman"/>
          <w:color w:val="0070C0"/>
          <w:sz w:val="16"/>
          <w:szCs w:val="16"/>
        </w:rPr>
        <w:softHyphen/>
        <w:t>оружении. Повышенная маневренность требовала увеличения запаса прочности. Поэтому УВВС предложило использо</w:t>
      </w:r>
      <w:r w:rsidRPr="00441F34">
        <w:rPr>
          <w:rFonts w:ascii="Times New Roman" w:hAnsi="Times New Roman"/>
          <w:color w:val="0070C0"/>
          <w:sz w:val="16"/>
          <w:szCs w:val="16"/>
        </w:rPr>
        <w:softHyphen/>
        <w:t>вать в конструкции самолета элементы из нержавеющей стали. Попутно пред</w:t>
      </w:r>
      <w:r w:rsidRPr="00441F34">
        <w:rPr>
          <w:rFonts w:ascii="Times New Roman" w:hAnsi="Times New Roman"/>
          <w:color w:val="0070C0"/>
          <w:sz w:val="16"/>
          <w:szCs w:val="16"/>
        </w:rPr>
        <w:softHyphen/>
        <w:t>полагалось использовать И—8 в качестве экспериментальной машины для про</w:t>
      </w:r>
      <w:r w:rsidRPr="00441F34">
        <w:rPr>
          <w:rFonts w:ascii="Times New Roman" w:hAnsi="Times New Roman"/>
          <w:color w:val="0070C0"/>
          <w:sz w:val="16"/>
          <w:szCs w:val="16"/>
        </w:rPr>
        <w:softHyphen/>
        <w:t>верки работы агрегатов из новых для отечественного самолетостроения мате</w:t>
      </w:r>
      <w:r w:rsidRPr="00441F34">
        <w:rPr>
          <w:rFonts w:ascii="Times New Roman" w:hAnsi="Times New Roman"/>
          <w:color w:val="0070C0"/>
          <w:sz w:val="16"/>
          <w:szCs w:val="16"/>
        </w:rPr>
        <w:softHyphen/>
        <w:t>риалов.</w:t>
      </w:r>
    </w:p>
    <w:p w14:paraId="27EA1699" w14:textId="77777777" w:rsidR="008B648E" w:rsidRPr="00441F34" w:rsidRDefault="008B648E" w:rsidP="008B648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Техническое руководство по созда</w:t>
      </w:r>
      <w:r w:rsidRPr="00441F34">
        <w:rPr>
          <w:rFonts w:ascii="Times New Roman" w:hAnsi="Times New Roman"/>
          <w:color w:val="0070C0"/>
          <w:sz w:val="16"/>
          <w:szCs w:val="16"/>
        </w:rPr>
        <w:softHyphen/>
        <w:t>нию истребителя А.Н. Туполев возложил на П О. Сухого.</w:t>
      </w:r>
    </w:p>
    <w:p w14:paraId="5A71AEA4" w14:textId="77777777" w:rsidR="008B648E" w:rsidRPr="00441F34" w:rsidRDefault="008B648E" w:rsidP="008B648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Выбрали схему полутораплана и мо</w:t>
      </w:r>
      <w:r w:rsidRPr="00441F34">
        <w:rPr>
          <w:rFonts w:ascii="Times New Roman" w:hAnsi="Times New Roman"/>
          <w:color w:val="0070C0"/>
          <w:sz w:val="16"/>
          <w:szCs w:val="16"/>
        </w:rPr>
        <w:softHyphen/>
        <w:t xml:space="preserve">тор водяного охлаждения </w:t>
      </w:r>
      <w:proofErr w:type="spellStart"/>
      <w:r w:rsidRPr="00441F34">
        <w:rPr>
          <w:rFonts w:ascii="Times New Roman" w:hAnsi="Times New Roman"/>
          <w:color w:val="0070C0"/>
          <w:sz w:val="16"/>
          <w:szCs w:val="16"/>
        </w:rPr>
        <w:t>Curtiss</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Con</w:t>
      </w:r>
      <w:r w:rsidRPr="00441F34">
        <w:rPr>
          <w:rFonts w:ascii="Times New Roman" w:hAnsi="Times New Roman"/>
          <w:color w:val="0070C0"/>
          <w:sz w:val="16"/>
          <w:szCs w:val="16"/>
        </w:rPr>
        <w:softHyphen/>
        <w:t>queror</w:t>
      </w:r>
      <w:proofErr w:type="spellEnd"/>
      <w:r w:rsidRPr="00441F34">
        <w:rPr>
          <w:rFonts w:ascii="Times New Roman" w:hAnsi="Times New Roman"/>
          <w:color w:val="0070C0"/>
          <w:sz w:val="16"/>
          <w:szCs w:val="16"/>
        </w:rPr>
        <w:t>, сделали расчеты и построили макет. Стремились создать компактную и предельно легкую конструкцию. В мае 1930 г. комиссия УВВС, рассмотрев представленные материалы, нашла, что летные характеристики не удовлетворя</w:t>
      </w:r>
      <w:r w:rsidRPr="00441F34">
        <w:rPr>
          <w:rFonts w:ascii="Times New Roman" w:hAnsi="Times New Roman"/>
          <w:color w:val="0070C0"/>
          <w:sz w:val="16"/>
          <w:szCs w:val="16"/>
        </w:rPr>
        <w:softHyphen/>
        <w:t>ют заданным ТТТ. Отмечалось также, что в конструкции практически нет эле</w:t>
      </w:r>
      <w:r w:rsidRPr="00441F34">
        <w:rPr>
          <w:rFonts w:ascii="Times New Roman" w:hAnsi="Times New Roman"/>
          <w:color w:val="0070C0"/>
          <w:sz w:val="16"/>
          <w:szCs w:val="16"/>
        </w:rPr>
        <w:softHyphen/>
        <w:t>ментов из нержавеющей стали (23474).</w:t>
      </w:r>
    </w:p>
    <w:p w14:paraId="5645B938" w14:textId="77777777" w:rsidR="008B648E" w:rsidRPr="00441F34" w:rsidRDefault="008B648E" w:rsidP="008B648E">
      <w:pPr>
        <w:spacing w:after="0" w:line="240" w:lineRule="auto"/>
        <w:jc w:val="both"/>
        <w:rPr>
          <w:rFonts w:ascii="Times New Roman" w:hAnsi="Times New Roman"/>
          <w:color w:val="0070C0"/>
          <w:sz w:val="16"/>
          <w:szCs w:val="16"/>
        </w:rPr>
      </w:pPr>
    </w:p>
    <w:p w14:paraId="39560D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УВВС выдало ТТТ на АНТ-13 (И-8) - развитие оставленного проекта АНТ-12 (И-5), выполненное под руководством </w:t>
      </w:r>
      <w:proofErr w:type="spellStart"/>
      <w:r w:rsidRPr="00A259BD">
        <w:rPr>
          <w:rFonts w:ascii="Times New Roman" w:hAnsi="Times New Roman"/>
          <w:color w:val="000000" w:themeColor="text1"/>
          <w:sz w:val="16"/>
          <w:szCs w:val="16"/>
        </w:rPr>
        <w:t>В.М.Родионова</w:t>
      </w:r>
      <w:proofErr w:type="spellEnd"/>
      <w:r w:rsidRPr="00A259BD">
        <w:rPr>
          <w:rFonts w:ascii="Times New Roman" w:hAnsi="Times New Roman"/>
          <w:color w:val="000000" w:themeColor="text1"/>
          <w:sz w:val="16"/>
          <w:szCs w:val="16"/>
        </w:rPr>
        <w:t xml:space="preserve"> как общественная работа. Легкий истребитель-перехватчик, как тогда называли "жокей" для системы ПВО (346,50).</w:t>
      </w:r>
    </w:p>
    <w:p w14:paraId="3553A1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46AC1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началась постройка АНТ-14 (514).</w:t>
      </w:r>
    </w:p>
    <w:p w14:paraId="6E8EF6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A062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в ЦАГИ переделали раму фюзеляжа И-4, поставили новый карбюратор Зенит и </w:t>
      </w:r>
      <w:proofErr w:type="spellStart"/>
      <w:r w:rsidRPr="00A259BD">
        <w:rPr>
          <w:rFonts w:ascii="Times New Roman" w:hAnsi="Times New Roman"/>
          <w:color w:val="000000" w:themeColor="text1"/>
          <w:sz w:val="16"/>
          <w:szCs w:val="16"/>
        </w:rPr>
        <w:t>пневмостартер</w:t>
      </w:r>
      <w:proofErr w:type="spellEnd"/>
      <w:r w:rsidRPr="00A259BD">
        <w:rPr>
          <w:rFonts w:ascii="Times New Roman" w:hAnsi="Times New Roman"/>
          <w:color w:val="000000" w:themeColor="text1"/>
          <w:sz w:val="16"/>
          <w:szCs w:val="16"/>
        </w:rPr>
        <w:t xml:space="preserve"> (1060,52).</w:t>
      </w:r>
    </w:p>
    <w:p w14:paraId="0CF69F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C56A5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на И-4 установили пулемет ПВ-1 с левым приемником (1060,52).</w:t>
      </w:r>
    </w:p>
    <w:p w14:paraId="5306BB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44433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на основании расчетов ЦАГИ УВВС сообщило, что считает нереальной постройку самолетов грузоподъемностью свыше 25 т, т.к. он не сможет базироваться на отечественной промышленности и потребует больших заграничных заказов (7388, 7).</w:t>
      </w:r>
    </w:p>
    <w:p w14:paraId="0774CC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6CDEC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г. УВВС вновь изменило задание, подняв требования по грузоподъемности, дальности и потолку АНТ-6. Бомбардировщик должен был достигать максимальной скорости 190 км/ч на высоте 2000 м, набирать 3000 м за 20 минут, иметь практический потолок 4000 - 4500 м и дальность 1500 км. При этом посадочная скорость жестко ограничивалась 90 км/ч. (8887).</w:t>
      </w:r>
    </w:p>
    <w:p w14:paraId="44F6DE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DC24224" w14:textId="77777777" w:rsidR="00591D67" w:rsidRPr="00A259BD" w:rsidRDefault="00591D67"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 xml:space="preserve">В декабре 1929 г. на И-4 в порядке эксперимента смонтировали </w:t>
      </w:r>
      <w:proofErr w:type="spellStart"/>
      <w:r w:rsidRPr="00A259BD">
        <w:rPr>
          <w:rFonts w:ascii="Times New Roman" w:hAnsi="Times New Roman" w:cs="Times New Roman"/>
          <w:color w:val="000000" w:themeColor="text1"/>
        </w:rPr>
        <w:t>пневмопуск</w:t>
      </w:r>
      <w:proofErr w:type="spellEnd"/>
      <w:r w:rsidRPr="00A259BD">
        <w:rPr>
          <w:rFonts w:ascii="Times New Roman" w:hAnsi="Times New Roman" w:cs="Times New Roman"/>
          <w:color w:val="000000" w:themeColor="text1"/>
        </w:rPr>
        <w:t xml:space="preserve"> «</w:t>
      </w:r>
      <w:proofErr w:type="spellStart"/>
      <w:r w:rsidRPr="00A259BD">
        <w:rPr>
          <w:rFonts w:ascii="Times New Roman" w:hAnsi="Times New Roman" w:cs="Times New Roman"/>
          <w:color w:val="000000" w:themeColor="text1"/>
        </w:rPr>
        <w:t>Летомб</w:t>
      </w:r>
      <w:proofErr w:type="spellEnd"/>
      <w:r w:rsidRPr="00A259BD">
        <w:rPr>
          <w:rFonts w:ascii="Times New Roman" w:hAnsi="Times New Roman" w:cs="Times New Roman"/>
          <w:color w:val="000000" w:themeColor="text1"/>
        </w:rPr>
        <w:t xml:space="preserve">- </w:t>
      </w:r>
      <w:proofErr w:type="spellStart"/>
      <w:r w:rsidRPr="00A259BD">
        <w:rPr>
          <w:rFonts w:ascii="Times New Roman" w:hAnsi="Times New Roman" w:cs="Times New Roman"/>
          <w:color w:val="000000" w:themeColor="text1"/>
        </w:rPr>
        <w:t>Люшар</w:t>
      </w:r>
      <w:proofErr w:type="spellEnd"/>
      <w:r w:rsidRPr="00A259BD">
        <w:rPr>
          <w:rFonts w:ascii="Times New Roman" w:hAnsi="Times New Roman" w:cs="Times New Roman"/>
          <w:color w:val="000000" w:themeColor="text1"/>
        </w:rPr>
        <w:t>», а в феврале следующего года его внедрили на серийной продукции (19100).</w:t>
      </w:r>
    </w:p>
    <w:p w14:paraId="30704C06" w14:textId="77777777" w:rsidR="00591D67" w:rsidRPr="00A259BD" w:rsidRDefault="00591D67" w:rsidP="009236E3">
      <w:pPr>
        <w:pStyle w:val="a8"/>
        <w:jc w:val="both"/>
        <w:rPr>
          <w:rFonts w:ascii="Times New Roman" w:hAnsi="Times New Roman" w:cs="Times New Roman"/>
          <w:color w:val="000000" w:themeColor="text1"/>
        </w:rPr>
      </w:pPr>
    </w:p>
    <w:p w14:paraId="5F216010" w14:textId="77777777" w:rsidR="00591D67" w:rsidRPr="00A259BD" w:rsidRDefault="00591D67"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В декабре 1929 г. «зеркально-симметричный» вариант вооружения смонтировали на одном из И-4. В январе 1930 г. этот самолет прибыл в НИИ ВВС. Там после испытаний пулеметные установки забраковали (19100).</w:t>
      </w:r>
    </w:p>
    <w:p w14:paraId="1E6F3682" w14:textId="77777777" w:rsidR="00591D67" w:rsidRPr="00A259BD" w:rsidRDefault="00591D67" w:rsidP="009236E3">
      <w:pPr>
        <w:pStyle w:val="a8"/>
        <w:jc w:val="both"/>
        <w:rPr>
          <w:rFonts w:ascii="Times New Roman" w:hAnsi="Times New Roman" w:cs="Times New Roman"/>
          <w:color w:val="000000" w:themeColor="text1"/>
        </w:rPr>
      </w:pPr>
    </w:p>
    <w:p w14:paraId="2B8AD3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г. в Бутырской тюрьме из заключенных конструкторов и инженеров было сформировано Особое конструкторское бюро (ОКБ), которому поручили разработку истребителя И-5 (9536,4).</w:t>
      </w:r>
    </w:p>
    <w:p w14:paraId="07EFDA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A3DFB5" w14:textId="77777777" w:rsidR="00591D67" w:rsidRPr="00A259BD" w:rsidRDefault="00591D6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г. было организовано первое в истории авиации тюремное конструкторское бюро Оно находилось «по месту жительства» заключенных — в Бутырской тюрьме. Две комнаты для работы оборудовали чертежными досками и другими необходимыми чертежными принадлежностями. Новой организации присвоили громкий титул — Особое конструкторское бюро. Административным руководителем назначили сотрудника ОГПУ </w:t>
      </w:r>
      <w:proofErr w:type="spellStart"/>
      <w:r w:rsidRPr="00A259BD">
        <w:rPr>
          <w:rFonts w:ascii="Times New Roman" w:hAnsi="Times New Roman"/>
          <w:color w:val="000000" w:themeColor="text1"/>
          <w:sz w:val="16"/>
          <w:szCs w:val="16"/>
        </w:rPr>
        <w:t>Горьянова</w:t>
      </w:r>
      <w:proofErr w:type="spellEnd"/>
      <w:r w:rsidRPr="00A259BD">
        <w:rPr>
          <w:rFonts w:ascii="Times New Roman" w:hAnsi="Times New Roman"/>
          <w:color w:val="000000" w:themeColor="text1"/>
          <w:sz w:val="16"/>
          <w:szCs w:val="16"/>
        </w:rPr>
        <w:t>.</w:t>
      </w:r>
    </w:p>
    <w:p w14:paraId="04C9EE96" w14:textId="77777777" w:rsidR="00591D67" w:rsidRPr="00A259BD" w:rsidRDefault="00591D6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Вскоре заключенных посетил начальник ВВС Я. И. Алкснис и выдал им задание — к марту 1930 г. спроектировать истребитель с двигателем воздушного охлаждения, не уступающий по характеристикам лучшим зарубежным образцам. Главным конструктором назначили Григоровича, его заместителем — Поликарпова.</w:t>
      </w:r>
    </w:p>
    <w:p w14:paraId="51D29D13" w14:textId="77777777" w:rsidR="00591D67" w:rsidRPr="00A259BD" w:rsidRDefault="00591D6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началом конструкторской работы условия содержания заключенных улучшились. Их стали лучше кормить, дважды в месяц водили в баню, их регулярно посещал тюремный парикмахер. Для свиданий с родными вместо кабинок с сетками, отделяющими заключенных от посетителей, выделили специальную комнату со столами и стульями.</w:t>
      </w:r>
    </w:p>
    <w:p w14:paraId="17E0BEAB" w14:textId="77777777" w:rsidR="00591D67" w:rsidRPr="00A259BD" w:rsidRDefault="00591D67"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Тюрьма, естественно, не располагала возможностями для постройки самолета. Поэтому в начале 1930 г., когда на бумаге уже появились контуры будущей машины, арестованных перевели на территорию авиационного завода № 39, расположенного вблизи Центрального аэродрома (бывшее Ходынское поле). Их поместили в охраняемом сотрудниками ОГПУ ангаре, получившем название «внутренняя тюрьма». Ангар был разделен перегородкой на две части: в одной находилась жилая зона, в другой — конструкторское бюро (18532).</w:t>
      </w:r>
    </w:p>
    <w:p w14:paraId="23FF54A7" w14:textId="77777777" w:rsidR="00591D67" w:rsidRPr="00A259BD" w:rsidRDefault="00591D67" w:rsidP="009236E3">
      <w:pPr>
        <w:spacing w:after="0" w:line="240" w:lineRule="auto"/>
        <w:jc w:val="both"/>
        <w:rPr>
          <w:rFonts w:ascii="Times New Roman" w:hAnsi="Times New Roman"/>
          <w:color w:val="000000" w:themeColor="text1"/>
          <w:sz w:val="16"/>
          <w:szCs w:val="16"/>
        </w:rPr>
      </w:pPr>
    </w:p>
    <w:p w14:paraId="155F5C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(80,9) 1929 было организовано ЦКБ-39 ОГПУ, которое занимало несколько ангаров на территории завода N 39 им. </w:t>
      </w:r>
      <w:proofErr w:type="spellStart"/>
      <w:r w:rsidRPr="00A259BD">
        <w:rPr>
          <w:rFonts w:ascii="Times New Roman" w:hAnsi="Times New Roman"/>
          <w:color w:val="000000" w:themeColor="text1"/>
          <w:sz w:val="16"/>
          <w:szCs w:val="16"/>
        </w:rPr>
        <w:t>В.Р.Менжинского</w:t>
      </w:r>
      <w:proofErr w:type="spellEnd"/>
      <w:r w:rsidRPr="00A259BD">
        <w:rPr>
          <w:rFonts w:ascii="Times New Roman" w:hAnsi="Times New Roman"/>
          <w:color w:val="000000" w:themeColor="text1"/>
          <w:sz w:val="16"/>
          <w:szCs w:val="16"/>
        </w:rPr>
        <w:t xml:space="preserve"> - бывшего завода "Авиаработник" (80,9).</w:t>
      </w:r>
    </w:p>
    <w:p w14:paraId="06778E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Очевидно, что после 14 декабря, так как Н.Н.П. в этот день еще писал из камеры (228,75).</w:t>
      </w:r>
    </w:p>
    <w:p w14:paraId="3397D6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Группой репрессированных конструкторов (около 20 чел), в которую входил </w:t>
      </w:r>
      <w:proofErr w:type="spellStart"/>
      <w:r w:rsidRPr="00A259BD">
        <w:rPr>
          <w:rFonts w:ascii="Times New Roman" w:hAnsi="Times New Roman"/>
          <w:color w:val="000000" w:themeColor="text1"/>
          <w:sz w:val="16"/>
          <w:szCs w:val="16"/>
        </w:rPr>
        <w:t>А.В.Надашкевич</w:t>
      </w:r>
      <w:proofErr w:type="spellEnd"/>
      <w:r w:rsidRPr="00A259BD">
        <w:rPr>
          <w:rFonts w:ascii="Times New Roman" w:hAnsi="Times New Roman"/>
          <w:color w:val="000000" w:themeColor="text1"/>
          <w:sz w:val="16"/>
          <w:szCs w:val="16"/>
        </w:rPr>
        <w:t xml:space="preserve"> и руководили </w:t>
      </w:r>
      <w:proofErr w:type="spellStart"/>
      <w:r w:rsidRPr="00A259BD">
        <w:rPr>
          <w:rFonts w:ascii="Times New Roman" w:hAnsi="Times New Roman"/>
          <w:color w:val="000000" w:themeColor="text1"/>
          <w:sz w:val="16"/>
          <w:szCs w:val="16"/>
        </w:rPr>
        <w:t>Н.Н.Поликарпов</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Д.П.Григорович</w:t>
      </w:r>
      <w:proofErr w:type="spellEnd"/>
      <w:r w:rsidRPr="00A259BD">
        <w:rPr>
          <w:rFonts w:ascii="Times New Roman" w:hAnsi="Times New Roman"/>
          <w:color w:val="000000" w:themeColor="text1"/>
          <w:sz w:val="16"/>
          <w:szCs w:val="16"/>
        </w:rPr>
        <w:t>.</w:t>
      </w:r>
    </w:p>
    <w:p w14:paraId="63017D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В.Б.Ш. ВТ - ЦКБ-39 получило задание и на И-5 (АНТ-12) и на И-6. Истребитель, фактически повторяющий схему И-6 Н.Н.П., был утвержден, а вид, предложенный Д.П.Г. - принят не был (92,411).</w:t>
      </w:r>
    </w:p>
    <w:p w14:paraId="4B2F03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Задание, повторяющее И-5, взятый на разработку ЦАГИ и не справившимся с ним, дал лично </w:t>
      </w:r>
      <w:proofErr w:type="spellStart"/>
      <w:r w:rsidRPr="00A259BD">
        <w:rPr>
          <w:rFonts w:ascii="Times New Roman" w:hAnsi="Times New Roman"/>
          <w:color w:val="000000" w:themeColor="text1"/>
          <w:sz w:val="16"/>
          <w:szCs w:val="16"/>
        </w:rPr>
        <w:t>Я.И.Алкснис</w:t>
      </w:r>
      <w:proofErr w:type="spellEnd"/>
      <w:r w:rsidRPr="00A259BD">
        <w:rPr>
          <w:rFonts w:ascii="Times New Roman" w:hAnsi="Times New Roman"/>
          <w:color w:val="000000" w:themeColor="text1"/>
          <w:sz w:val="16"/>
          <w:szCs w:val="16"/>
        </w:rPr>
        <w:t>, приехавший в Бутырки и поручивший сделать проект машины к марту 1930 и представить в НТК УВВС (228,75).</w:t>
      </w:r>
    </w:p>
    <w:p w14:paraId="65B28D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Когда И-5 АНТ-12 передали в ЦКБ-39 группу инженера АГОС </w:t>
      </w:r>
      <w:proofErr w:type="spellStart"/>
      <w:r w:rsidRPr="00A259BD">
        <w:rPr>
          <w:rFonts w:ascii="Times New Roman" w:hAnsi="Times New Roman"/>
          <w:color w:val="000000" w:themeColor="text1"/>
          <w:sz w:val="16"/>
          <w:szCs w:val="16"/>
        </w:rPr>
        <w:t>В.М.Родионова</w:t>
      </w:r>
      <w:proofErr w:type="spellEnd"/>
      <w:r w:rsidRPr="00A259BD">
        <w:rPr>
          <w:rFonts w:ascii="Times New Roman" w:hAnsi="Times New Roman"/>
          <w:color w:val="000000" w:themeColor="text1"/>
          <w:sz w:val="16"/>
          <w:szCs w:val="16"/>
        </w:rPr>
        <w:t xml:space="preserve"> предложила построить хороший истребитель на базе задела в порядке общественной инициативы - каждый добровольно по 70 часов. Задание было выдано УВВС в порядке соревнования с ОСС 30 декабря 1929 (92,412).</w:t>
      </w:r>
    </w:p>
    <w:p w14:paraId="0DFE29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Среди других работников ЦКБ-39 были </w:t>
      </w:r>
      <w:proofErr w:type="spellStart"/>
      <w:r w:rsidRPr="00A259BD">
        <w:rPr>
          <w:rFonts w:ascii="Times New Roman" w:hAnsi="Times New Roman"/>
          <w:color w:val="000000" w:themeColor="text1"/>
          <w:sz w:val="16"/>
          <w:szCs w:val="16"/>
        </w:rPr>
        <w:t>Б.С.Стечкин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А.В.Надашкевич</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И.М.Косткин</w:t>
      </w:r>
      <w:proofErr w:type="spellEnd"/>
      <w:r w:rsidRPr="00A259BD">
        <w:rPr>
          <w:rFonts w:ascii="Times New Roman" w:hAnsi="Times New Roman"/>
          <w:color w:val="000000" w:themeColor="text1"/>
          <w:sz w:val="16"/>
          <w:szCs w:val="16"/>
        </w:rPr>
        <w:t xml:space="preserve"> (61,129). Были и вольные (80,9).</w:t>
      </w:r>
    </w:p>
    <w:p w14:paraId="6A78F6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Выбор варианта Н.Н.П. или Д.П.Г. был болезненным</w:t>
      </w:r>
    </w:p>
    <w:p w14:paraId="3DA835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 ОКБ - представитель ОГПУ </w:t>
      </w:r>
      <w:proofErr w:type="spellStart"/>
      <w:r w:rsidRPr="00A259BD">
        <w:rPr>
          <w:rFonts w:ascii="Times New Roman" w:hAnsi="Times New Roman"/>
          <w:color w:val="000000" w:themeColor="text1"/>
          <w:sz w:val="16"/>
          <w:szCs w:val="16"/>
        </w:rPr>
        <w:t>Горьянов</w:t>
      </w:r>
      <w:proofErr w:type="spellEnd"/>
      <w:r w:rsidRPr="00A259BD">
        <w:rPr>
          <w:rFonts w:ascii="Times New Roman" w:hAnsi="Times New Roman"/>
          <w:color w:val="000000" w:themeColor="text1"/>
          <w:sz w:val="16"/>
          <w:szCs w:val="16"/>
        </w:rPr>
        <w:t xml:space="preserve"> (228,75).</w:t>
      </w:r>
    </w:p>
    <w:p w14:paraId="790653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Похоже выступление </w:t>
      </w:r>
      <w:proofErr w:type="spellStart"/>
      <w:r w:rsidRPr="00A259BD">
        <w:rPr>
          <w:rFonts w:ascii="Times New Roman" w:hAnsi="Times New Roman"/>
          <w:color w:val="000000" w:themeColor="text1"/>
          <w:sz w:val="16"/>
          <w:szCs w:val="16"/>
        </w:rPr>
        <w:t>Б.М.Шапошникова</w:t>
      </w:r>
      <w:proofErr w:type="spellEnd"/>
      <w:r w:rsidRPr="00A259BD">
        <w:rPr>
          <w:rFonts w:ascii="Times New Roman" w:hAnsi="Times New Roman"/>
          <w:color w:val="000000" w:themeColor="text1"/>
          <w:sz w:val="16"/>
          <w:szCs w:val="16"/>
        </w:rPr>
        <w:t xml:space="preserve"> на прошло даром.</w:t>
      </w:r>
    </w:p>
    <w:p w14:paraId="02B21A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другим сведениям ВТ, организованное в Бутырках (была комната с чертежными досками и кульманами - 228,75), находилось там и в декабре 1929 и в январе 1930 (79,120).</w:t>
      </w:r>
    </w:p>
    <w:p w14:paraId="05B0689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AA12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г. было организовано тюремное конструкторское бюро Оно находилось “по месту жительства” заключенных — в Бутырской тюрьме. Две комнаты для работы оборудовали чертежными досками и другими необходимыми чертежными принадлежностями. Новой организации присвоили громкий титул — Особое конструкторское бюро. Административным руководителем назначили сотрудника ОГПУ </w:t>
      </w:r>
      <w:proofErr w:type="spellStart"/>
      <w:r w:rsidRPr="00A259BD">
        <w:rPr>
          <w:rFonts w:ascii="Times New Roman" w:hAnsi="Times New Roman"/>
          <w:color w:val="000000" w:themeColor="text1"/>
          <w:sz w:val="16"/>
          <w:szCs w:val="16"/>
        </w:rPr>
        <w:t>Горьянова</w:t>
      </w:r>
      <w:proofErr w:type="spellEnd"/>
      <w:r w:rsidRPr="00A259BD">
        <w:rPr>
          <w:rFonts w:ascii="Times New Roman" w:hAnsi="Times New Roman"/>
          <w:color w:val="000000" w:themeColor="text1"/>
          <w:sz w:val="16"/>
          <w:szCs w:val="16"/>
        </w:rPr>
        <w:t>. Вскоре заключенных посетил начальник ВВС Я. И. Алкснис и выдал им задание — к марту 1930 г. спроектировать истребитель с двигателем воздушного охлаждения, не уступающий по характеристикам лучшим зарубежным образцам. Главным конструктором назначили Григоровича, его заместителем — Поликарпова. С началом конструкторской работы условия содержания заключенных улучшились. Их стали лучше кормить, дважды в месяц водили в баню, их регулярно посещал тюремный парикмахер. Для свиданий с родными вместо кабинок с сетками, отделяющими заключенных от посетителей, выделили специальную комнату со столами и стульями (10696).</w:t>
      </w:r>
    </w:p>
    <w:p w14:paraId="268249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BC3746" w14:textId="77777777" w:rsidR="008B648E" w:rsidRPr="00441F34" w:rsidRDefault="008B648E" w:rsidP="008B648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декабре 1929 г. на территории Бутырской тюрьмы из заключенных – технических специалистов, признавших свою вину (а многие дали показания и на других подследственных – они потом утверждали, что сделали это под давлением), отказавшихся от своих намерений проводить вредительскую и шпионскую деятельность и саботаж и далее согласившихся продолжать работу по специальности, начали образовывать отраслевые конструкторские организации, которые должны были работать под непосредственным контролем ОГПУ, поскольку полного доверия к таким работникам пока не было. В то время они еще находились под следствием или судом и в отношении большинства еще не был вынесен приговор.</w:t>
      </w:r>
    </w:p>
    <w:p w14:paraId="2AA13486" w14:textId="77777777" w:rsidR="008B648E" w:rsidRPr="00441F34" w:rsidRDefault="008B648E" w:rsidP="008B648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Эти организации строились по утвержденным ВСНХ принципам центральных конструкторских бюро – ЦКБ.</w:t>
      </w:r>
    </w:p>
    <w:p w14:paraId="0568C616" w14:textId="77777777" w:rsidR="008B648E" w:rsidRPr="00441F34" w:rsidRDefault="008B648E" w:rsidP="008B648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Было образовано и ЦКБ по самолетостроению. Фактически оно было просто восстановлено в прежнем составе, но с учетом прежнего отрицательного опыта подразделения по авиадвигателям, воздушным винтам, колесам, </w:t>
      </w:r>
      <w:proofErr w:type="spellStart"/>
      <w:r w:rsidRPr="00441F34">
        <w:rPr>
          <w:rFonts w:ascii="Times New Roman" w:hAnsi="Times New Roman"/>
          <w:color w:val="0070C0"/>
          <w:sz w:val="16"/>
          <w:szCs w:val="16"/>
        </w:rPr>
        <w:t>аэролыжам</w:t>
      </w:r>
      <w:proofErr w:type="spellEnd"/>
      <w:r w:rsidRPr="00441F34">
        <w:rPr>
          <w:rFonts w:ascii="Times New Roman" w:hAnsi="Times New Roman"/>
          <w:color w:val="0070C0"/>
          <w:sz w:val="16"/>
          <w:szCs w:val="16"/>
        </w:rPr>
        <w:t xml:space="preserve"> и пр. комплектующим для самолетов в него включены не были и выделены в самостоятельные организации.</w:t>
      </w:r>
    </w:p>
    <w:p w14:paraId="1F83DF75" w14:textId="77777777" w:rsidR="008B648E" w:rsidRPr="00441F34" w:rsidRDefault="008B648E" w:rsidP="008B648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Начальником самолетостроительного ЦКБ (в то время оно еще не имело номера) назначен сотрудник ОГПУ Горяинов, ведавший административными функциями, главный конструктор назначен не был, а вместо этого введена должность «консультанта», который должен был организовать работу по заданиям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ее проверять и утверждать разрабатываемую документацию. Первым на этой должности был утвержден Д.П. Григорович как самый опытный из арестованных.</w:t>
      </w:r>
    </w:p>
    <w:p w14:paraId="21205E74" w14:textId="77777777" w:rsidR="008B648E" w:rsidRPr="00441F34" w:rsidRDefault="008B648E" w:rsidP="008B648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Однако условий для их работы на территории Бутырской тюрьмы не было и создано быть не могло, потому принимается решение о переводе создаваемых ЦКБ ОГПУ на предприятия промышленности, на которых создаются внутренние тюрьмы (ВТ), в которых будут содержаться и работать арестованные специалисты (при этом не ясен их правовой статус – сведения о том, были ли уже тогда в отношении всех проведены судебные процессы с вынесением приговора, противоречивы и возможно многие оставались подследственными) (23559).</w:t>
      </w:r>
    </w:p>
    <w:p w14:paraId="71D43E89" w14:textId="77777777" w:rsidR="008B648E" w:rsidRPr="00441F34" w:rsidRDefault="008B648E" w:rsidP="008B648E">
      <w:pPr>
        <w:spacing w:after="0" w:line="240" w:lineRule="auto"/>
        <w:jc w:val="both"/>
        <w:rPr>
          <w:rFonts w:ascii="Times New Roman" w:hAnsi="Times New Roman"/>
          <w:color w:val="0070C0"/>
          <w:sz w:val="16"/>
          <w:szCs w:val="16"/>
        </w:rPr>
      </w:pPr>
    </w:p>
    <w:p w14:paraId="76700906" w14:textId="77777777" w:rsidR="008B648E" w:rsidRPr="00441F34" w:rsidRDefault="008B648E" w:rsidP="008B648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lastRenderedPageBreak/>
        <w:t>В декабре 1929 года Ягода предложил перевести заключен</w:t>
      </w:r>
      <w:r w:rsidRPr="00441F34">
        <w:rPr>
          <w:rFonts w:ascii="Times New Roman" w:hAnsi="Times New Roman"/>
          <w:color w:val="0070C0"/>
          <w:sz w:val="16"/>
          <w:szCs w:val="16"/>
        </w:rPr>
        <w:softHyphen/>
        <w:t>ных из Бутырской тюрьмы на за</w:t>
      </w:r>
      <w:r w:rsidRPr="00441F34">
        <w:rPr>
          <w:rFonts w:ascii="Times New Roman" w:hAnsi="Times New Roman"/>
          <w:color w:val="0070C0"/>
          <w:sz w:val="16"/>
          <w:szCs w:val="16"/>
        </w:rPr>
        <w:softHyphen/>
        <w:t>вод «Авиаработник», сам завод обнести колючей проволокой и переименовать. Его предложение было принято. Заводские ангары наспех приспособили под жилье для арестантов. На заводе, полу</w:t>
      </w:r>
      <w:r w:rsidRPr="00441F34">
        <w:rPr>
          <w:rFonts w:ascii="Times New Roman" w:hAnsi="Times New Roman"/>
          <w:color w:val="0070C0"/>
          <w:sz w:val="16"/>
          <w:szCs w:val="16"/>
        </w:rPr>
        <w:softHyphen/>
        <w:t>чившем номер 39, было образо</w:t>
      </w:r>
      <w:r w:rsidRPr="00441F34">
        <w:rPr>
          <w:rFonts w:ascii="Times New Roman" w:hAnsi="Times New Roman"/>
          <w:color w:val="0070C0"/>
          <w:sz w:val="16"/>
          <w:szCs w:val="16"/>
        </w:rPr>
        <w:softHyphen/>
        <w:t>вано Центральное конструктор</w:t>
      </w:r>
      <w:r w:rsidRPr="00441F34">
        <w:rPr>
          <w:rFonts w:ascii="Times New Roman" w:hAnsi="Times New Roman"/>
          <w:color w:val="0070C0"/>
          <w:sz w:val="16"/>
          <w:szCs w:val="16"/>
        </w:rPr>
        <w:softHyphen/>
        <w:t>ское бюро Технического отдела ОГПУ. Завод находился в ведении ВСНХ, но Ягода предложил при</w:t>
      </w:r>
      <w:r w:rsidRPr="00441F34">
        <w:rPr>
          <w:rFonts w:ascii="Times New Roman" w:hAnsi="Times New Roman"/>
          <w:color w:val="0070C0"/>
          <w:sz w:val="16"/>
          <w:szCs w:val="16"/>
        </w:rPr>
        <w:softHyphen/>
        <w:t>своить ему звучное имя Председателя ОГПУ Менжинского. Вскоре сюда поступили Поли</w:t>
      </w:r>
      <w:r w:rsidRPr="00441F34">
        <w:rPr>
          <w:rFonts w:ascii="Times New Roman" w:hAnsi="Times New Roman"/>
          <w:color w:val="0070C0"/>
          <w:sz w:val="16"/>
          <w:szCs w:val="16"/>
        </w:rPr>
        <w:softHyphen/>
        <w:t xml:space="preserve">карпов, Григорович, </w:t>
      </w:r>
      <w:proofErr w:type="spellStart"/>
      <w:r w:rsidRPr="00441F34">
        <w:rPr>
          <w:rFonts w:ascii="Times New Roman" w:hAnsi="Times New Roman"/>
          <w:color w:val="0070C0"/>
          <w:sz w:val="16"/>
          <w:szCs w:val="16"/>
        </w:rPr>
        <w:t>Надашкевич</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Крейсон</w:t>
      </w:r>
      <w:proofErr w:type="spellEnd"/>
      <w:r w:rsidRPr="00441F34">
        <w:rPr>
          <w:rFonts w:ascii="Times New Roman" w:hAnsi="Times New Roman"/>
          <w:color w:val="0070C0"/>
          <w:sz w:val="16"/>
          <w:szCs w:val="16"/>
        </w:rPr>
        <w:t>, Гончаров, Корвин и другие заключенные конструкторы. Так возникла первая авиационная «шарашка» (23510).</w:t>
      </w:r>
    </w:p>
    <w:p w14:paraId="431723BD" w14:textId="77777777" w:rsidR="008B648E" w:rsidRPr="00441F34" w:rsidRDefault="008B648E" w:rsidP="008B648E">
      <w:pPr>
        <w:spacing w:after="0" w:line="240" w:lineRule="auto"/>
        <w:jc w:val="both"/>
        <w:rPr>
          <w:rFonts w:ascii="Times New Roman" w:hAnsi="Times New Roman"/>
          <w:color w:val="0070C0"/>
          <w:sz w:val="16"/>
          <w:szCs w:val="16"/>
        </w:rPr>
      </w:pPr>
    </w:p>
    <w:p w14:paraId="6F49F8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г. командование Воздушных сил Балтийского моря констатировало недостаток Юнкерс Юг-1: "Самолеты бомбардировщики-торпедоносцы ЮГ-1, удовлетворительные по своим летным качествам, обладают недостаточной грузоподъемностью, что ограничивает радиус действия при необходимой нагрузке бомб или торпеды" (3224,15).</w:t>
      </w:r>
    </w:p>
    <w:p w14:paraId="03CA95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D172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г. было решено, что при</w:t>
      </w:r>
      <w:r w:rsidRPr="00A259BD">
        <w:rPr>
          <w:rFonts w:ascii="Times New Roman" w:hAnsi="Times New Roman"/>
          <w:color w:val="000000" w:themeColor="text1"/>
          <w:sz w:val="16"/>
          <w:szCs w:val="16"/>
        </w:rPr>
        <w:softHyphen/>
        <w:t>нять РОМ-2 2БМВ6 в предъявленном виде на снабжение ВВС невозможно. Предлагалось отправить самолет на исправление дефектов, а затем вновь испытать его не позднее 15 авгу</w:t>
      </w:r>
      <w:r w:rsidRPr="00A259BD">
        <w:rPr>
          <w:rFonts w:ascii="Times New Roman" w:hAnsi="Times New Roman"/>
          <w:color w:val="000000" w:themeColor="text1"/>
          <w:sz w:val="16"/>
          <w:szCs w:val="16"/>
        </w:rPr>
        <w:softHyphen/>
        <w:t>ста 1930 г. При проведении доработок реко</w:t>
      </w:r>
      <w:r w:rsidRPr="00A259BD">
        <w:rPr>
          <w:rFonts w:ascii="Times New Roman" w:hAnsi="Times New Roman"/>
          <w:color w:val="000000" w:themeColor="text1"/>
          <w:sz w:val="16"/>
          <w:szCs w:val="16"/>
        </w:rPr>
        <w:softHyphen/>
        <w:t>мендовалось для улучшения мореходных ка</w:t>
      </w:r>
      <w:r w:rsidRPr="00A259BD">
        <w:rPr>
          <w:rFonts w:ascii="Times New Roman" w:hAnsi="Times New Roman"/>
          <w:color w:val="000000" w:themeColor="text1"/>
          <w:sz w:val="16"/>
          <w:szCs w:val="16"/>
        </w:rPr>
        <w:softHyphen/>
        <w:t>честв удлинить нос лодки, пересмотреть схему нижних поплавков, моторы убрать вглубь крыла, а летчиков передвинуть вперед.</w:t>
      </w:r>
    </w:p>
    <w:p w14:paraId="3729E2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Впрочем, вся деятельность по совершен</w:t>
      </w:r>
      <w:r w:rsidRPr="00A259BD">
        <w:rPr>
          <w:rFonts w:ascii="Times New Roman" w:hAnsi="Times New Roman"/>
          <w:color w:val="000000" w:themeColor="text1"/>
          <w:sz w:val="16"/>
          <w:szCs w:val="16"/>
        </w:rPr>
        <w:softHyphen/>
        <w:t>ствованию РОМ-2 скоро прекратилась. Не смотря на то, что в конце 1929 г. в ОПО-3 под</w:t>
      </w:r>
      <w:r w:rsidRPr="00A259BD">
        <w:rPr>
          <w:rFonts w:ascii="Times New Roman" w:hAnsi="Times New Roman"/>
          <w:color w:val="000000" w:themeColor="text1"/>
          <w:sz w:val="16"/>
          <w:szCs w:val="16"/>
        </w:rPr>
        <w:softHyphen/>
        <w:t>готовили чертежи для серийного производ</w:t>
      </w:r>
      <w:r w:rsidRPr="00A259BD">
        <w:rPr>
          <w:rFonts w:ascii="Times New Roman" w:hAnsi="Times New Roman"/>
          <w:color w:val="000000" w:themeColor="text1"/>
          <w:sz w:val="16"/>
          <w:szCs w:val="16"/>
        </w:rPr>
        <w:softHyphen/>
        <w:t>ства РОМ-2 (на заводе №22 должны были по</w:t>
      </w:r>
      <w:r w:rsidRPr="00A259BD">
        <w:rPr>
          <w:rFonts w:ascii="Times New Roman" w:hAnsi="Times New Roman"/>
          <w:color w:val="000000" w:themeColor="text1"/>
          <w:sz w:val="16"/>
          <w:szCs w:val="16"/>
        </w:rPr>
        <w:softHyphen/>
        <w:t>строить 22 таких самолета), его запуск в серию не состоялся. Новый экземпляр разведчика открытого моря, определяемый как Р0М-3, не строился.</w:t>
      </w:r>
    </w:p>
    <w:p w14:paraId="5CF40D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Основные технические данные и летные характеристики РОМ-2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1134"/>
      </w:tblGrid>
      <w:tr w:rsidR="00A259BD" w:rsidRPr="00A259BD" w14:paraId="423D493A" w14:textId="77777777">
        <w:tc>
          <w:tcPr>
            <w:tcW w:w="3794" w:type="dxa"/>
            <w:tcBorders>
              <w:top w:val="single" w:sz="12" w:space="0" w:color="auto"/>
            </w:tcBorders>
          </w:tcPr>
          <w:p w14:paraId="19C7C0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Разная верхнего крыла (м)</w:t>
            </w:r>
          </w:p>
        </w:tc>
        <w:tc>
          <w:tcPr>
            <w:tcW w:w="1134" w:type="dxa"/>
            <w:tcBorders>
              <w:top w:val="single" w:sz="12" w:space="0" w:color="auto"/>
            </w:tcBorders>
          </w:tcPr>
          <w:p w14:paraId="1F4201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26,8</w:t>
            </w:r>
          </w:p>
        </w:tc>
      </w:tr>
      <w:tr w:rsidR="00A259BD" w:rsidRPr="00A259BD" w14:paraId="290373E8" w14:textId="77777777">
        <w:tc>
          <w:tcPr>
            <w:tcW w:w="3794" w:type="dxa"/>
          </w:tcPr>
          <w:p w14:paraId="442F0A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Размах нижнего крыла (и) </w:t>
            </w:r>
          </w:p>
        </w:tc>
        <w:tc>
          <w:tcPr>
            <w:tcW w:w="1134" w:type="dxa"/>
          </w:tcPr>
          <w:p w14:paraId="5BAD78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8,2</w:t>
            </w:r>
          </w:p>
        </w:tc>
      </w:tr>
      <w:tr w:rsidR="00A259BD" w:rsidRPr="00A259BD" w14:paraId="186B74A3" w14:textId="77777777">
        <w:tc>
          <w:tcPr>
            <w:tcW w:w="3794" w:type="dxa"/>
          </w:tcPr>
          <w:p w14:paraId="048264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Максимальная хорда крыла (и)</w:t>
            </w:r>
          </w:p>
        </w:tc>
        <w:tc>
          <w:tcPr>
            <w:tcW w:w="1134" w:type="dxa"/>
          </w:tcPr>
          <w:p w14:paraId="1948C9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w:t>
            </w:r>
          </w:p>
        </w:tc>
      </w:tr>
      <w:tr w:rsidR="00A259BD" w:rsidRPr="00A259BD" w14:paraId="3936F112" w14:textId="77777777">
        <w:tc>
          <w:tcPr>
            <w:tcW w:w="3794" w:type="dxa"/>
          </w:tcPr>
          <w:p w14:paraId="6D665A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Длина в линии полета (м)</w:t>
            </w:r>
          </w:p>
        </w:tc>
        <w:tc>
          <w:tcPr>
            <w:tcW w:w="1134" w:type="dxa"/>
          </w:tcPr>
          <w:p w14:paraId="0AAD66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17,455</w:t>
            </w:r>
          </w:p>
        </w:tc>
      </w:tr>
      <w:tr w:rsidR="00A259BD" w:rsidRPr="00A259BD" w14:paraId="7C0679F3" w14:textId="77777777">
        <w:tc>
          <w:tcPr>
            <w:tcW w:w="3794" w:type="dxa"/>
          </w:tcPr>
          <w:p w14:paraId="0BCB16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Высота в линии полета (м)</w:t>
            </w:r>
          </w:p>
        </w:tc>
        <w:tc>
          <w:tcPr>
            <w:tcW w:w="1134" w:type="dxa"/>
          </w:tcPr>
          <w:p w14:paraId="091815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6.06</w:t>
            </w:r>
          </w:p>
        </w:tc>
      </w:tr>
      <w:tr w:rsidR="00A259BD" w:rsidRPr="00A259BD" w14:paraId="15FCCCE4" w14:textId="77777777">
        <w:tc>
          <w:tcPr>
            <w:tcW w:w="3794" w:type="dxa"/>
          </w:tcPr>
          <w:p w14:paraId="1F8169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Длина лодки (м)</w:t>
            </w:r>
          </w:p>
        </w:tc>
        <w:tc>
          <w:tcPr>
            <w:tcW w:w="1134" w:type="dxa"/>
          </w:tcPr>
          <w:p w14:paraId="42B432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16,45</w:t>
            </w:r>
          </w:p>
        </w:tc>
      </w:tr>
      <w:tr w:rsidR="00A259BD" w:rsidRPr="00A259BD" w14:paraId="063504E6" w14:textId="77777777">
        <w:tc>
          <w:tcPr>
            <w:tcW w:w="3794" w:type="dxa"/>
          </w:tcPr>
          <w:p w14:paraId="1E4CF5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Шириналодки</w:t>
            </w:r>
            <w:proofErr w:type="spellEnd"/>
            <w:r w:rsidRPr="00A259BD">
              <w:rPr>
                <w:rFonts w:ascii="Times New Roman" w:hAnsi="Times New Roman"/>
                <w:color w:val="000000" w:themeColor="text1"/>
                <w:sz w:val="16"/>
                <w:szCs w:val="16"/>
              </w:rPr>
              <w:t xml:space="preserve"> (м)</w:t>
            </w:r>
          </w:p>
        </w:tc>
        <w:tc>
          <w:tcPr>
            <w:tcW w:w="1134" w:type="dxa"/>
          </w:tcPr>
          <w:p w14:paraId="09791C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w:t>
            </w:r>
          </w:p>
        </w:tc>
      </w:tr>
      <w:tr w:rsidR="00A259BD" w:rsidRPr="00A259BD" w14:paraId="58B0C304" w14:textId="77777777">
        <w:tc>
          <w:tcPr>
            <w:tcW w:w="3794" w:type="dxa"/>
          </w:tcPr>
          <w:p w14:paraId="3B09A2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верхнего крыла (м)</w:t>
            </w:r>
          </w:p>
        </w:tc>
        <w:tc>
          <w:tcPr>
            <w:tcW w:w="1134" w:type="dxa"/>
          </w:tcPr>
          <w:p w14:paraId="7BADE1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91,43</w:t>
            </w:r>
          </w:p>
        </w:tc>
      </w:tr>
      <w:tr w:rsidR="00A259BD" w:rsidRPr="00A259BD" w14:paraId="00445805" w14:textId="77777777">
        <w:tc>
          <w:tcPr>
            <w:tcW w:w="3794" w:type="dxa"/>
          </w:tcPr>
          <w:p w14:paraId="103650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Площадь нижнего крыла (м) </w:t>
            </w:r>
          </w:p>
        </w:tc>
        <w:tc>
          <w:tcPr>
            <w:tcW w:w="1134" w:type="dxa"/>
          </w:tcPr>
          <w:p w14:paraId="0EB2E6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16,76</w:t>
            </w:r>
          </w:p>
        </w:tc>
      </w:tr>
      <w:tr w:rsidR="00A259BD" w:rsidRPr="00A259BD" w14:paraId="681CC756" w14:textId="77777777">
        <w:tc>
          <w:tcPr>
            <w:tcW w:w="3794" w:type="dxa"/>
          </w:tcPr>
          <w:p w14:paraId="58F157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 конструкции (кг)</w:t>
            </w:r>
          </w:p>
        </w:tc>
        <w:tc>
          <w:tcPr>
            <w:tcW w:w="1134" w:type="dxa"/>
          </w:tcPr>
          <w:p w14:paraId="3DAE70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4150</w:t>
            </w:r>
          </w:p>
        </w:tc>
      </w:tr>
      <w:tr w:rsidR="00A259BD" w:rsidRPr="00A259BD" w14:paraId="6E35BC59" w14:textId="77777777">
        <w:tc>
          <w:tcPr>
            <w:tcW w:w="3794" w:type="dxa"/>
          </w:tcPr>
          <w:p w14:paraId="33182D1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Полезная нагрузка (кг)</w:t>
            </w:r>
          </w:p>
        </w:tc>
        <w:tc>
          <w:tcPr>
            <w:tcW w:w="1134" w:type="dxa"/>
          </w:tcPr>
          <w:p w14:paraId="4186DF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1850</w:t>
            </w:r>
          </w:p>
        </w:tc>
      </w:tr>
      <w:tr w:rsidR="00A259BD" w:rsidRPr="00A259BD" w14:paraId="592BB7F8" w14:textId="77777777">
        <w:tc>
          <w:tcPr>
            <w:tcW w:w="3794" w:type="dxa"/>
          </w:tcPr>
          <w:p w14:paraId="1E8790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Полетный вес (кг)</w:t>
            </w:r>
          </w:p>
        </w:tc>
        <w:tc>
          <w:tcPr>
            <w:tcW w:w="1134" w:type="dxa"/>
          </w:tcPr>
          <w:p w14:paraId="51B2F3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6000</w:t>
            </w:r>
          </w:p>
        </w:tc>
      </w:tr>
      <w:tr w:rsidR="00A259BD" w:rsidRPr="00A259BD" w14:paraId="41CBB07F" w14:textId="77777777">
        <w:tc>
          <w:tcPr>
            <w:tcW w:w="3794" w:type="dxa"/>
          </w:tcPr>
          <w:p w14:paraId="7D3D82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максимальная у земли (км/ч)</w:t>
            </w:r>
          </w:p>
        </w:tc>
        <w:tc>
          <w:tcPr>
            <w:tcW w:w="1134" w:type="dxa"/>
          </w:tcPr>
          <w:p w14:paraId="3BBFA2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180</w:t>
            </w:r>
          </w:p>
        </w:tc>
      </w:tr>
      <w:tr w:rsidR="00A259BD" w:rsidRPr="00A259BD" w14:paraId="705401F6" w14:textId="77777777">
        <w:tc>
          <w:tcPr>
            <w:tcW w:w="3794" w:type="dxa"/>
          </w:tcPr>
          <w:p w14:paraId="3E3ED7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Скорость максимальная на 1000 м (км/ч)</w:t>
            </w:r>
          </w:p>
        </w:tc>
        <w:tc>
          <w:tcPr>
            <w:tcW w:w="1134" w:type="dxa"/>
          </w:tcPr>
          <w:p w14:paraId="0BE1CB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175</w:t>
            </w:r>
          </w:p>
        </w:tc>
      </w:tr>
      <w:tr w:rsidR="00A259BD" w:rsidRPr="00A259BD" w14:paraId="079C6B4F" w14:textId="77777777">
        <w:tc>
          <w:tcPr>
            <w:tcW w:w="3794" w:type="dxa"/>
          </w:tcPr>
          <w:p w14:paraId="61DC24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Посадочная скорость (км/ч)</w:t>
            </w:r>
          </w:p>
        </w:tc>
        <w:tc>
          <w:tcPr>
            <w:tcW w:w="1134" w:type="dxa"/>
          </w:tcPr>
          <w:p w14:paraId="55786A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93</w:t>
            </w:r>
          </w:p>
        </w:tc>
      </w:tr>
      <w:tr w:rsidR="00A259BD" w:rsidRPr="00A259BD" w14:paraId="0479ECDC" w14:textId="77777777">
        <w:tc>
          <w:tcPr>
            <w:tcW w:w="3794" w:type="dxa"/>
          </w:tcPr>
          <w:p w14:paraId="16CD5F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Практический потолок (м)</w:t>
            </w:r>
          </w:p>
        </w:tc>
        <w:tc>
          <w:tcPr>
            <w:tcW w:w="1134" w:type="dxa"/>
          </w:tcPr>
          <w:p w14:paraId="5FC786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4500</w:t>
            </w:r>
          </w:p>
        </w:tc>
      </w:tr>
      <w:tr w:rsidR="00046B82" w:rsidRPr="00A259BD" w14:paraId="56D25A33" w14:textId="77777777">
        <w:tc>
          <w:tcPr>
            <w:tcW w:w="3794" w:type="dxa"/>
            <w:tcBorders>
              <w:bottom w:val="single" w:sz="12" w:space="0" w:color="auto"/>
            </w:tcBorders>
          </w:tcPr>
          <w:p w14:paraId="548076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Дальность полета максимальная (км)</w:t>
            </w:r>
          </w:p>
        </w:tc>
        <w:tc>
          <w:tcPr>
            <w:tcW w:w="1134" w:type="dxa"/>
            <w:tcBorders>
              <w:bottom w:val="single" w:sz="12" w:space="0" w:color="auto"/>
            </w:tcBorders>
          </w:tcPr>
          <w:p w14:paraId="5F478B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900</w:t>
            </w:r>
          </w:p>
        </w:tc>
      </w:tr>
    </w:tbl>
    <w:p w14:paraId="5EDB48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D8A2D67" w14:textId="77777777" w:rsidR="001D017F" w:rsidRPr="00A259BD" w:rsidRDefault="001D017F"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В декабре 1929 г. было решено, что принять РОМ-2 2БМВ6 в предъ</w:t>
      </w:r>
      <w:r w:rsidRPr="00A259BD">
        <w:rPr>
          <w:rFonts w:ascii="Times New Roman" w:cs="Times New Roman"/>
          <w:color w:val="000000" w:themeColor="text1"/>
          <w:sz w:val="16"/>
          <w:szCs w:val="16"/>
        </w:rPr>
        <w:softHyphen/>
        <w:t>явленном виде на снабжение ВВС не</w:t>
      </w:r>
      <w:r w:rsidRPr="00A259BD">
        <w:rPr>
          <w:rFonts w:ascii="Times New Roman" w:cs="Times New Roman"/>
          <w:color w:val="000000" w:themeColor="text1"/>
          <w:sz w:val="16"/>
          <w:szCs w:val="16"/>
        </w:rPr>
        <w:softHyphen/>
        <w:t>возможно. Предлагалось отправить самолет на исправление дефектов, а затем вновь испытать его не позднее 15 августа 1930 г. При проведении доработок рекомендовалось для улучшения мореходных качеств удли</w:t>
      </w:r>
      <w:r w:rsidRPr="00A259BD">
        <w:rPr>
          <w:rFonts w:ascii="Times New Roman" w:cs="Times New Roman"/>
          <w:color w:val="000000" w:themeColor="text1"/>
          <w:sz w:val="16"/>
          <w:szCs w:val="16"/>
        </w:rPr>
        <w:softHyphen/>
        <w:t>нить нос лодки, пересмотреть схему нижних поплавков, моторы убрать вглубь крыла, а летчиков передвинуть вперед.</w:t>
      </w:r>
    </w:p>
    <w:p w14:paraId="58FC98D1" w14:textId="77777777" w:rsidR="001D017F" w:rsidRPr="00A259BD" w:rsidRDefault="001D017F" w:rsidP="009236E3">
      <w:pPr>
        <w:pStyle w:val="45"/>
        <w:shd w:val="clear" w:color="auto" w:fill="auto"/>
        <w:spacing w:before="0" w:line="240" w:lineRule="auto"/>
        <w:jc w:val="both"/>
        <w:rPr>
          <w:rFonts w:ascii="Times New Roman" w:cs="Times New Roman"/>
          <w:color w:val="000000" w:themeColor="text1"/>
          <w:sz w:val="16"/>
          <w:szCs w:val="16"/>
        </w:rPr>
      </w:pPr>
      <w:r w:rsidRPr="00A259BD">
        <w:rPr>
          <w:rFonts w:ascii="Times New Roman" w:cs="Times New Roman"/>
          <w:color w:val="000000" w:themeColor="text1"/>
          <w:sz w:val="16"/>
          <w:szCs w:val="16"/>
        </w:rPr>
        <w:t>Впрочем, вся деятельность по совершенствованию РОМ-2 скоро прекратилась. Несмотря на то, что в конце 1929 г. в ОПО-3 подготовили чертежи для серийного производства РОМ-2 (на заводе №22 должны были построить 22'таких самолета), его запуск в серию не состоялся. Новый экземпляр разведчика открытого моря, определяемый как РОМ-3, не строился (12609).</w:t>
      </w:r>
    </w:p>
    <w:p w14:paraId="6D7F5FF1" w14:textId="77777777" w:rsidR="001D017F" w:rsidRPr="00A259BD" w:rsidRDefault="001D017F" w:rsidP="009236E3">
      <w:pPr>
        <w:pStyle w:val="45"/>
        <w:shd w:val="clear" w:color="auto" w:fill="auto"/>
        <w:spacing w:before="0" w:line="240" w:lineRule="auto"/>
        <w:jc w:val="both"/>
        <w:rPr>
          <w:rFonts w:ascii="Times New Roman" w:cs="Times New Roman"/>
          <w:color w:val="000000" w:themeColor="text1"/>
          <w:sz w:val="16"/>
          <w:szCs w:val="16"/>
        </w:rPr>
      </w:pPr>
    </w:p>
    <w:p w14:paraId="4A908E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К.Е.В. с тревогой писал И.В.С., что хотя лицензионный договор на БМВ 6 был подписан 14 октября 1927 ни одного серийного мотора от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не получено и максимальная серия, выпущенная на днях, составляла всего 10 моторов. Коленвалы и подшипники закупаются в Германии. В 1930 сделали всего 165, а в 1931 - 679 и в производстве М-17 участвовало 100 немецких специалистов. Платили им мало, но они старались помочь (1795,32).</w:t>
      </w:r>
    </w:p>
    <w:p w14:paraId="26B67D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1F633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г. Ворошилов писал Сталину: “14 октяб</w:t>
      </w:r>
      <w:r w:rsidRPr="00A259BD">
        <w:rPr>
          <w:rFonts w:ascii="Times New Roman" w:hAnsi="Times New Roman"/>
          <w:color w:val="000000" w:themeColor="text1"/>
          <w:sz w:val="16"/>
          <w:szCs w:val="16"/>
        </w:rPr>
        <w:softHyphen/>
        <w:t xml:space="preserve">ря 1927 г. </w:t>
      </w:r>
      <w:proofErr w:type="spellStart"/>
      <w:r w:rsidRPr="00A259BD">
        <w:rPr>
          <w:rFonts w:ascii="Times New Roman" w:hAnsi="Times New Roman"/>
          <w:color w:val="000000" w:themeColor="text1"/>
          <w:sz w:val="16"/>
          <w:szCs w:val="16"/>
        </w:rPr>
        <w:t>Авиатрестом</w:t>
      </w:r>
      <w:proofErr w:type="spellEnd"/>
      <w:r w:rsidRPr="00A259BD">
        <w:rPr>
          <w:rFonts w:ascii="Times New Roman" w:hAnsi="Times New Roman"/>
          <w:color w:val="000000" w:themeColor="text1"/>
          <w:sz w:val="16"/>
          <w:szCs w:val="16"/>
        </w:rPr>
        <w:t xml:space="preserve"> по нашему настоянию и выбору был заключен лицензионный договор на установку у нас произ</w:t>
      </w:r>
      <w:r w:rsidRPr="00A259BD">
        <w:rPr>
          <w:rFonts w:ascii="Times New Roman" w:hAnsi="Times New Roman"/>
          <w:color w:val="000000" w:themeColor="text1"/>
          <w:sz w:val="16"/>
          <w:szCs w:val="16"/>
        </w:rPr>
        <w:softHyphen/>
        <w:t xml:space="preserve">водства современного мотора БМВ-У1, вышедшего из стадии опытов в начале 1926 г. Прошло уже более 2 лет, но от </w:t>
      </w:r>
      <w:proofErr w:type="spellStart"/>
      <w:r w:rsidRPr="00A259BD">
        <w:rPr>
          <w:rFonts w:ascii="Times New Roman" w:hAnsi="Times New Roman"/>
          <w:color w:val="000000" w:themeColor="text1"/>
          <w:sz w:val="16"/>
          <w:szCs w:val="16"/>
        </w:rPr>
        <w:t>Авиа</w:t>
      </w:r>
      <w:r w:rsidRPr="00A259BD">
        <w:rPr>
          <w:rFonts w:ascii="Times New Roman" w:hAnsi="Times New Roman"/>
          <w:color w:val="000000" w:themeColor="text1"/>
          <w:sz w:val="16"/>
          <w:szCs w:val="16"/>
        </w:rPr>
        <w:softHyphen/>
        <w:t>треста</w:t>
      </w:r>
      <w:proofErr w:type="spellEnd"/>
      <w:r w:rsidRPr="00A259BD">
        <w:rPr>
          <w:rFonts w:ascii="Times New Roman" w:hAnsi="Times New Roman"/>
          <w:color w:val="000000" w:themeColor="text1"/>
          <w:sz w:val="16"/>
          <w:szCs w:val="16"/>
        </w:rPr>
        <w:t xml:space="preserve"> мы не получили еще ни одного серийного мотора; на днях предъявлена к сдаче только маленькая серия в 10 мото</w:t>
      </w:r>
      <w:r w:rsidRPr="00A259BD">
        <w:rPr>
          <w:rFonts w:ascii="Times New Roman" w:hAnsi="Times New Roman"/>
          <w:color w:val="000000" w:themeColor="text1"/>
          <w:sz w:val="16"/>
          <w:szCs w:val="16"/>
        </w:rPr>
        <w:softHyphen/>
        <w:t>ров. Кроме того, важнейшие части — коленчатый вал, роли</w:t>
      </w:r>
      <w:r w:rsidRPr="00A259BD">
        <w:rPr>
          <w:rFonts w:ascii="Times New Roman" w:hAnsi="Times New Roman"/>
          <w:color w:val="000000" w:themeColor="text1"/>
          <w:sz w:val="16"/>
          <w:szCs w:val="16"/>
        </w:rPr>
        <w:softHyphen/>
        <w:t xml:space="preserve">ки — в производстве у нас совсем не представлены, закупаем их в Германии и только с августа 1929 г.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получает на них техническую помощь от Крупна. Также еще не по</w:t>
      </w:r>
      <w:r w:rsidRPr="00A259BD">
        <w:rPr>
          <w:rFonts w:ascii="Times New Roman" w:hAnsi="Times New Roman"/>
          <w:color w:val="000000" w:themeColor="text1"/>
          <w:sz w:val="16"/>
          <w:szCs w:val="16"/>
        </w:rPr>
        <w:softHyphen/>
        <w:t>ставлено производство магнето... Новейший в 1927 г. мотор БЫВ-VI в процессе внедрения в производство в течение 2 лет рискует устареть прежде, чем мы дадим его на снабжение воз</w:t>
      </w:r>
      <w:r w:rsidRPr="00A259BD">
        <w:rPr>
          <w:rFonts w:ascii="Times New Roman" w:hAnsi="Times New Roman"/>
          <w:color w:val="000000" w:themeColor="text1"/>
          <w:sz w:val="16"/>
          <w:szCs w:val="16"/>
        </w:rPr>
        <w:softHyphen/>
        <w:t>душного флота” (10670,149).</w:t>
      </w:r>
    </w:p>
    <w:p w14:paraId="1D341F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B43D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Есть данные, что в декабре 1929 А.Н.Т., </w:t>
      </w:r>
      <w:proofErr w:type="spellStart"/>
      <w:r w:rsidRPr="00A259BD">
        <w:rPr>
          <w:rFonts w:ascii="Times New Roman" w:hAnsi="Times New Roman"/>
          <w:color w:val="000000" w:themeColor="text1"/>
          <w:sz w:val="16"/>
          <w:szCs w:val="16"/>
        </w:rPr>
        <w:t>Б.С.Стечкин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Н.М.Харламов</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Е.В.Урмин</w:t>
      </w:r>
      <w:proofErr w:type="spellEnd"/>
      <w:r w:rsidRPr="00A259BD">
        <w:rPr>
          <w:rFonts w:ascii="Times New Roman" w:hAnsi="Times New Roman"/>
          <w:color w:val="000000" w:themeColor="text1"/>
          <w:sz w:val="16"/>
          <w:szCs w:val="16"/>
        </w:rPr>
        <w:t xml:space="preserve"> ездили в США в составе делегации, возглавляемой </w:t>
      </w:r>
      <w:proofErr w:type="spellStart"/>
      <w:r w:rsidRPr="00A259BD">
        <w:rPr>
          <w:rFonts w:ascii="Times New Roman" w:hAnsi="Times New Roman"/>
          <w:color w:val="000000" w:themeColor="text1"/>
          <w:sz w:val="16"/>
          <w:szCs w:val="16"/>
        </w:rPr>
        <w:t>П.И.Барановым</w:t>
      </w:r>
      <w:proofErr w:type="spellEnd"/>
      <w:r w:rsidRPr="00A259BD">
        <w:rPr>
          <w:rFonts w:ascii="Times New Roman" w:hAnsi="Times New Roman"/>
          <w:color w:val="000000" w:themeColor="text1"/>
          <w:sz w:val="16"/>
          <w:szCs w:val="16"/>
        </w:rPr>
        <w:t xml:space="preserve"> (44,80). То есть в начале </w:t>
      </w:r>
      <w:proofErr w:type="spellStart"/>
      <w:r w:rsidRPr="00A259BD">
        <w:rPr>
          <w:rFonts w:ascii="Times New Roman" w:hAnsi="Times New Roman"/>
          <w:color w:val="000000" w:themeColor="text1"/>
          <w:sz w:val="16"/>
          <w:szCs w:val="16"/>
        </w:rPr>
        <w:t>Б.С.Стечкин</w:t>
      </w:r>
      <w:proofErr w:type="spellEnd"/>
      <w:r w:rsidRPr="00A259BD">
        <w:rPr>
          <w:rFonts w:ascii="Times New Roman" w:hAnsi="Times New Roman"/>
          <w:color w:val="000000" w:themeColor="text1"/>
          <w:sz w:val="16"/>
          <w:szCs w:val="16"/>
        </w:rPr>
        <w:t>, пожалуй, еще не сидел и сажали еще долго.</w:t>
      </w:r>
    </w:p>
    <w:p w14:paraId="64A595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Баранов дружил с А.Н.Т., хотя был требовательным к нему (44,81), однако, так и не посадили.</w:t>
      </w:r>
    </w:p>
    <w:p w14:paraId="3F73A8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30FBB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w:t>
      </w:r>
      <w:proofErr w:type="spellStart"/>
      <w:r w:rsidRPr="00A259BD">
        <w:rPr>
          <w:rFonts w:ascii="Times New Roman" w:hAnsi="Times New Roman"/>
          <w:color w:val="000000" w:themeColor="text1"/>
          <w:sz w:val="16"/>
          <w:szCs w:val="16"/>
        </w:rPr>
        <w:t>И.Ф.Петров</w:t>
      </w:r>
      <w:proofErr w:type="spellEnd"/>
      <w:r w:rsidRPr="00A259BD">
        <w:rPr>
          <w:rFonts w:ascii="Times New Roman" w:hAnsi="Times New Roman"/>
          <w:color w:val="000000" w:themeColor="text1"/>
          <w:sz w:val="16"/>
          <w:szCs w:val="16"/>
        </w:rPr>
        <w:t xml:space="preserve"> стал работать в НИИ ВВС РККА в качестве и-л отдела истребителей в отделении сухопутных самолетов. Начальник отдела - </w:t>
      </w:r>
      <w:proofErr w:type="spellStart"/>
      <w:r w:rsidRPr="00A259BD">
        <w:rPr>
          <w:rFonts w:ascii="Times New Roman" w:hAnsi="Times New Roman"/>
          <w:color w:val="000000" w:themeColor="text1"/>
          <w:sz w:val="16"/>
          <w:szCs w:val="16"/>
        </w:rPr>
        <w:t>Б.Т.Горощенко</w:t>
      </w:r>
      <w:proofErr w:type="spellEnd"/>
      <w:r w:rsidRPr="00A259BD">
        <w:rPr>
          <w:rFonts w:ascii="Times New Roman" w:hAnsi="Times New Roman"/>
          <w:color w:val="000000" w:themeColor="text1"/>
          <w:sz w:val="16"/>
          <w:szCs w:val="16"/>
        </w:rPr>
        <w:t xml:space="preserve"> (262,21).</w:t>
      </w:r>
    </w:p>
    <w:p w14:paraId="1D86C5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Вот такая была структура НИИ ВВС.</w:t>
      </w:r>
    </w:p>
    <w:p w14:paraId="5664BC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B03B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w:t>
      </w:r>
      <w:proofErr w:type="spellStart"/>
      <w:r w:rsidRPr="00A259BD">
        <w:rPr>
          <w:rFonts w:ascii="Times New Roman" w:hAnsi="Times New Roman"/>
          <w:color w:val="000000" w:themeColor="text1"/>
          <w:sz w:val="16"/>
          <w:szCs w:val="16"/>
        </w:rPr>
        <w:t>И.Ф.Петров</w:t>
      </w:r>
      <w:proofErr w:type="spellEnd"/>
      <w:r w:rsidRPr="00A259BD">
        <w:rPr>
          <w:rFonts w:ascii="Times New Roman" w:hAnsi="Times New Roman"/>
          <w:color w:val="000000" w:themeColor="text1"/>
          <w:sz w:val="16"/>
          <w:szCs w:val="16"/>
        </w:rPr>
        <w:t xml:space="preserve"> стал работать в НИИ ВВС и-л отдела истребителей отделения сухопутных самолетов под руководством </w:t>
      </w:r>
      <w:proofErr w:type="spellStart"/>
      <w:r w:rsidRPr="00A259BD">
        <w:rPr>
          <w:rFonts w:ascii="Times New Roman" w:hAnsi="Times New Roman"/>
          <w:color w:val="000000" w:themeColor="text1"/>
          <w:sz w:val="16"/>
          <w:szCs w:val="16"/>
        </w:rPr>
        <w:t>Б.С.Горощенко</w:t>
      </w:r>
      <w:proofErr w:type="spellEnd"/>
      <w:r w:rsidRPr="00A259BD">
        <w:rPr>
          <w:rFonts w:ascii="Times New Roman" w:hAnsi="Times New Roman"/>
          <w:color w:val="000000" w:themeColor="text1"/>
          <w:sz w:val="16"/>
          <w:szCs w:val="16"/>
        </w:rPr>
        <w:t xml:space="preserve"> (262,21).</w:t>
      </w:r>
    </w:p>
    <w:p w14:paraId="10E16C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315A3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г. фирма «Юнкерс» обратилась с письмом в советское торгпредство в Берлине с предложением «создать постоянное учреждение в России», в Москве, поставив во главе его эксперта, «хорошо известного своей работой в России». Он должен был «поддерживать сношения со всеми надлежащими авиационными кругами», а все переговоры о сотрудничестве и о заказах должны были вестись в Берлине. Трудно сказать, что из этого вышло, хотя поставки отдельных самолетов и авиамоторов фирмы «Юнкере» в Липецкую летную школу имели место (11784).</w:t>
      </w:r>
    </w:p>
    <w:p w14:paraId="603B61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21B2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г. и в апреле 1930 г. мотор М-27 дважды проходил испытания. Во второй раз успешно отработал 100 часов, но в серийное производство не запускался. Планировалось создание варианта для глиссеров. Всего изготовлено 6 экз. </w:t>
      </w:r>
      <w:r w:rsidRPr="00A259BD">
        <w:rPr>
          <w:rFonts w:ascii="Times New Roman" w:hAnsi="Times New Roman"/>
          <w:color w:val="000000" w:themeColor="text1"/>
          <w:sz w:val="16"/>
          <w:szCs w:val="16"/>
          <w:lang w:val="en-US"/>
        </w:rPr>
        <w:t>W</w:t>
      </w:r>
      <w:r w:rsidRPr="00A259BD">
        <w:rPr>
          <w:rFonts w:ascii="Times New Roman" w:hAnsi="Times New Roman"/>
          <w:color w:val="000000" w:themeColor="text1"/>
          <w:sz w:val="16"/>
          <w:szCs w:val="16"/>
        </w:rPr>
        <w:t>18 стал первым мощным авиамотором советской конструкции, отработавшим 100 часов на испытаниях. Но двигатель страдал течью воды и масла, чрез</w:t>
      </w:r>
      <w:r w:rsidRPr="00A259BD">
        <w:rPr>
          <w:rFonts w:ascii="Times New Roman" w:hAnsi="Times New Roman"/>
          <w:color w:val="000000" w:themeColor="text1"/>
          <w:sz w:val="16"/>
          <w:szCs w:val="16"/>
        </w:rPr>
        <w:softHyphen/>
        <w:t>мерным расходом топлива, а в апреле 1930 г. выявили также трещины в картере. Был сделан вывод о том, что XVI8 не имеет преимуществ перед уже выпускавшимся серийно М-17. В дальнейшем вся работа велась только по М-19 и М-27. Занимались ими на заводе № 24. Двигатель М-19 смогли выставить на испытания в январе 1930 г. В ходе испытаний долго мучались с растрескиванием ру</w:t>
      </w:r>
      <w:r w:rsidRPr="00A259BD">
        <w:rPr>
          <w:rFonts w:ascii="Times New Roman" w:hAnsi="Times New Roman"/>
          <w:color w:val="000000" w:themeColor="text1"/>
          <w:sz w:val="16"/>
          <w:szCs w:val="16"/>
        </w:rPr>
        <w:softHyphen/>
        <w:t>башек охлаждения цилиндров, пока не ввели рубашки с гофрами. Разру</w:t>
      </w:r>
      <w:r w:rsidRPr="00A259BD">
        <w:rPr>
          <w:rFonts w:ascii="Times New Roman" w:hAnsi="Times New Roman"/>
          <w:color w:val="000000" w:themeColor="text1"/>
          <w:sz w:val="16"/>
          <w:szCs w:val="16"/>
        </w:rPr>
        <w:softHyphen/>
        <w:t>шались коренные подшипники, ломались штоки клапанов. Несколько раз трескался коленчатый вал. Слишком велик был износ тарелок клапанов и поршневых пальцев. В ноябре 1930 г. М-19 выставили на госиспыта</w:t>
      </w:r>
      <w:r w:rsidRPr="00A259BD">
        <w:rPr>
          <w:rFonts w:ascii="Times New Roman" w:hAnsi="Times New Roman"/>
          <w:color w:val="000000" w:themeColor="text1"/>
          <w:sz w:val="16"/>
          <w:szCs w:val="16"/>
        </w:rPr>
        <w:softHyphen/>
        <w:t>ния, но 4 декабря двигатель разрушился из-за обрыва шатуна. Второй экземпляр мотора отработал 100 часов, но за это время дважды меняли крыльчатку ПЦН. В дальнейшем на базе проекта М-19с собирались создать двигатель М-30, развитием которого должны были стать М-31 и М-32. Несмотря на неудачу на госиспытаниях, двигатель все-таки передали для летных испытаний на биплане Р-5. В мае — июне 1931 г. с ним со</w:t>
      </w:r>
      <w:r w:rsidRPr="00A259BD">
        <w:rPr>
          <w:rFonts w:ascii="Times New Roman" w:hAnsi="Times New Roman"/>
          <w:color w:val="000000" w:themeColor="text1"/>
          <w:sz w:val="16"/>
          <w:szCs w:val="16"/>
        </w:rPr>
        <w:softHyphen/>
        <w:t>вершили несколько полетов. Данные самолета с М-19 оказались хуже, чем с М-17. Заказ на 50 М-19, запланированный на 1931 г., аннули</w:t>
      </w:r>
      <w:r w:rsidRPr="00A259BD">
        <w:rPr>
          <w:rFonts w:ascii="Times New Roman" w:hAnsi="Times New Roman"/>
          <w:color w:val="000000" w:themeColor="text1"/>
          <w:sz w:val="16"/>
          <w:szCs w:val="16"/>
        </w:rPr>
        <w:softHyphen/>
        <w:t>ровали. Дальнейшее совершенствование М-19 поручили ИАМ. Там с мая 1931 г. продолжили проектирование модификации М-19а, форсированной до 650 л.с. Она отличалась новым блоком головок и измененной кон</w:t>
      </w:r>
      <w:r w:rsidRPr="00A259BD">
        <w:rPr>
          <w:rFonts w:ascii="Times New Roman" w:hAnsi="Times New Roman"/>
          <w:color w:val="000000" w:themeColor="text1"/>
          <w:sz w:val="16"/>
          <w:szCs w:val="16"/>
        </w:rPr>
        <w:softHyphen/>
        <w:t>струкцией привода ПЦН. Но работу по М-19 в 1931 г. закрыли, и М-19а построен не был.</w:t>
      </w:r>
    </w:p>
    <w:p w14:paraId="64D466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Характеристики:</w:t>
      </w:r>
    </w:p>
    <w:p w14:paraId="43746B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18-цшиндровый, рядный </w:t>
      </w:r>
      <w:r w:rsidRPr="00A259BD">
        <w:rPr>
          <w:rFonts w:ascii="Times New Roman" w:hAnsi="Times New Roman"/>
          <w:color w:val="000000" w:themeColor="text1"/>
          <w:sz w:val="16"/>
          <w:szCs w:val="16"/>
          <w:lang w:val="en-US"/>
        </w:rPr>
        <w:t>W</w:t>
      </w:r>
      <w:r w:rsidRPr="00A259BD">
        <w:rPr>
          <w:rFonts w:ascii="Times New Roman" w:hAnsi="Times New Roman"/>
          <w:color w:val="000000" w:themeColor="text1"/>
          <w:sz w:val="16"/>
          <w:szCs w:val="16"/>
        </w:rPr>
        <w:t>-образный блочный (блоки под углом 40°), четырехтактный, водяного охлаждения;</w:t>
      </w:r>
    </w:p>
    <w:p w14:paraId="644AB16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мощность по проекту 670/800 л.с. (реально на испытаниях последних образцов достигли 630/818 л.с.);</w:t>
      </w:r>
    </w:p>
    <w:p w14:paraId="2084B71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степень сжатия 6,4 (у первого экземпляра 5,5, далее — 6,35);</w:t>
      </w:r>
    </w:p>
    <w:p w14:paraId="1E703B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диаметр цилиндра/ход поршня 125/160 мм;</w:t>
      </w:r>
    </w:p>
    <w:p w14:paraId="52946C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объем 35,4 л;</w:t>
      </w:r>
    </w:p>
    <w:p w14:paraId="231EF3B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безредукторный</w:t>
      </w:r>
      <w:proofErr w:type="spellEnd"/>
      <w:r w:rsidRPr="00A259BD">
        <w:rPr>
          <w:rFonts w:ascii="Times New Roman" w:hAnsi="Times New Roman"/>
          <w:color w:val="000000" w:themeColor="text1"/>
          <w:sz w:val="16"/>
          <w:szCs w:val="16"/>
        </w:rPr>
        <w:t>;</w:t>
      </w:r>
    </w:p>
    <w:p w14:paraId="7578043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вес 575 кг (у первого экземпляра 563 кг, по проекту — 550 кг). На самолетах не устанавливался (11852).</w:t>
      </w:r>
    </w:p>
    <w:p w14:paraId="1846012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B275C5" w14:textId="77777777" w:rsidR="00DF59FD" w:rsidRPr="00A259BD" w:rsidRDefault="00DF59F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г. надежность саней АНТ-IV позволила обществу "Автодор" открыть регулярную аэросанную линию Чебоксары - Цивильск - Канаш протяженностью 85 км, проходившую по снежному бездорожью, недоступному для других видов транспорта. До открытия линии поездка на лошадях из столицы Чувашии до Канаша, ближайшей железнодорожной станции, занимала 10 - 12 часов. Аэросани пробегали этот путь за 2,5 часа. Интересны данные о работе, проделанной за 35 рабочих дней одними аэросанями на этой линии в январе-феврале 1930 г.: пройдено расстояние 5260 км, перевезено 244 пассажира и 1132 кг грузов, время нахождения в пути 159 часов при среднесуточном пробеге 150 км и средней скорости 33 км/ч, стоимость билета составляла 9,5 руб. С успехом использовались АНТ-IV в Казахстане, Татарии и других республиках (21489).</w:t>
      </w:r>
    </w:p>
    <w:p w14:paraId="675CE5A6" w14:textId="77777777" w:rsidR="00DF59FD" w:rsidRPr="00A259BD" w:rsidRDefault="00DF59FD" w:rsidP="009236E3">
      <w:pPr>
        <w:spacing w:after="0" w:line="240" w:lineRule="auto"/>
        <w:jc w:val="both"/>
        <w:rPr>
          <w:rFonts w:ascii="Times New Roman" w:hAnsi="Times New Roman"/>
          <w:color w:val="000000" w:themeColor="text1"/>
          <w:sz w:val="16"/>
          <w:szCs w:val="16"/>
        </w:rPr>
      </w:pPr>
    </w:p>
    <w:p w14:paraId="1EE53480" w14:textId="77777777" w:rsidR="008B648E" w:rsidRPr="00441F34" w:rsidRDefault="008B648E" w:rsidP="008B648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декабре 1929 года Тихомиров и Артемьев прекратили активно-реактивные ис</w:t>
      </w:r>
      <w:r w:rsidRPr="00441F34">
        <w:rPr>
          <w:rFonts w:ascii="Times New Roman" w:hAnsi="Times New Roman"/>
          <w:color w:val="0070C0"/>
          <w:sz w:val="16"/>
          <w:szCs w:val="16"/>
        </w:rPr>
        <w:softHyphen/>
        <w:t>пытательные стрельбы, признав, что совмещение активного и реактивного принципов движения увеличивает дальность не</w:t>
      </w:r>
      <w:r w:rsidRPr="00441F34">
        <w:rPr>
          <w:rFonts w:ascii="Times New Roman" w:hAnsi="Times New Roman"/>
          <w:color w:val="0070C0"/>
          <w:sz w:val="16"/>
          <w:szCs w:val="16"/>
        </w:rPr>
        <w:softHyphen/>
        <w:t>значительно и стрельба не имеет преимуществ перед стрель</w:t>
      </w:r>
      <w:r w:rsidRPr="00441F34">
        <w:rPr>
          <w:rFonts w:ascii="Times New Roman" w:hAnsi="Times New Roman"/>
          <w:color w:val="0070C0"/>
          <w:sz w:val="16"/>
          <w:szCs w:val="16"/>
        </w:rPr>
        <w:softHyphen/>
        <w:t>бой обычными минами (23510).</w:t>
      </w:r>
    </w:p>
    <w:p w14:paraId="5A1BE4B2" w14:textId="77777777" w:rsidR="008B648E" w:rsidRPr="00441F34" w:rsidRDefault="008B648E" w:rsidP="008B648E">
      <w:pPr>
        <w:spacing w:after="0" w:line="240" w:lineRule="auto"/>
        <w:jc w:val="both"/>
        <w:rPr>
          <w:rFonts w:ascii="Times New Roman" w:hAnsi="Times New Roman"/>
          <w:color w:val="0070C0"/>
          <w:sz w:val="16"/>
          <w:szCs w:val="16"/>
        </w:rPr>
      </w:pPr>
    </w:p>
    <w:p w14:paraId="50A61858"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F00BB2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A181F62" w14:textId="77777777" w:rsidR="00A50734" w:rsidRPr="00A259BD" w:rsidRDefault="00A50734"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г. председатель ВСНХ В. В. Куйбышев подвёл итоги развития оборонной промышленности. Его оценка степени готовности отрасли к обороне была далека от оптимизма. Особенно его беспокоило отсутствие гибких мобилизационных планов. В тот момент, когда партия провозгласила лозунг: догнать и перегнать развитые капиталистические страны в технико-экономическом отношении, — главной задачей оборонной работы в промышленности, по мысли Куйбышева, должно было стать стремление сделать советскую промышленность «наиболее мощной в мире базой для вооружённых сил». Оборонная работа должна была не только гарантировать стабильное функционирование экономики в условиях войны и блокады, но и создать надежную базу для вооружённых сил СССР, которая позволила бы им успешно решать военные задачи в борьбе против крупнейших капиталистических держав. В частности, было необходимо придать промышленности гибкость, чтобы она могла, наряду с обеспечением армии всем необходимым, в условиях войны быстро реагировать на технологический вызов противника и производить более совершенные средства ведения боя, причём в количествах, достаточных для победы (17208).</w:t>
      </w:r>
    </w:p>
    <w:p w14:paraId="7A78BB21" w14:textId="77777777" w:rsidR="00A50734" w:rsidRPr="00A259BD" w:rsidRDefault="00A50734" w:rsidP="009236E3">
      <w:pPr>
        <w:spacing w:after="0" w:line="240" w:lineRule="auto"/>
        <w:jc w:val="both"/>
        <w:rPr>
          <w:rFonts w:ascii="Times New Roman" w:hAnsi="Times New Roman"/>
          <w:color w:val="000000" w:themeColor="text1"/>
          <w:sz w:val="16"/>
          <w:szCs w:val="16"/>
        </w:rPr>
      </w:pPr>
    </w:p>
    <w:p w14:paraId="68A77598" w14:textId="77777777" w:rsidR="00DF59FD" w:rsidRPr="00A259BD" w:rsidRDefault="00DF59F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г. КБ НКТ АУ было расформировано (20074).</w:t>
      </w:r>
    </w:p>
    <w:p w14:paraId="7B574259" w14:textId="77777777" w:rsidR="00DF59FD" w:rsidRPr="00A259BD" w:rsidRDefault="00DF59FD" w:rsidP="009236E3">
      <w:pPr>
        <w:spacing w:after="0" w:line="240" w:lineRule="auto"/>
        <w:jc w:val="both"/>
        <w:rPr>
          <w:rFonts w:ascii="Times New Roman" w:hAnsi="Times New Roman"/>
          <w:color w:val="000000" w:themeColor="text1"/>
          <w:sz w:val="16"/>
          <w:szCs w:val="16"/>
        </w:rPr>
      </w:pPr>
    </w:p>
    <w:p w14:paraId="04AFDA9A" w14:textId="77777777" w:rsidR="00302EF5" w:rsidRPr="00A259BD" w:rsidRDefault="00302EF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г. правительство приняло решение о подготовке к строительству комбайнового  завода  в Новосибирске. В ноябре 1929 г. состоялось заседание коллегии </w:t>
      </w:r>
      <w:proofErr w:type="spellStart"/>
      <w:r w:rsidRPr="00A259BD">
        <w:rPr>
          <w:rFonts w:ascii="Times New Roman" w:hAnsi="Times New Roman"/>
          <w:color w:val="000000" w:themeColor="text1"/>
          <w:sz w:val="16"/>
          <w:szCs w:val="16"/>
        </w:rPr>
        <w:t>Главметстроя</w:t>
      </w:r>
      <w:proofErr w:type="spellEnd"/>
      <w:r w:rsidRPr="00A259BD">
        <w:rPr>
          <w:rFonts w:ascii="Times New Roman" w:hAnsi="Times New Roman"/>
          <w:color w:val="000000" w:themeColor="text1"/>
          <w:sz w:val="16"/>
          <w:szCs w:val="16"/>
        </w:rPr>
        <w:t xml:space="preserve"> ВСНХ СССР, на котором была принята программа — завершить строительство к 1 октября 1932 г., создать производственные мощности для выпуска 15 тыс. комбайнов в год с последующим увеличением до 25 тыс. Ставилась конкретная задача — к сельскохозяйственному сезону 1933 г. выпустить 2 200 сеялок, 4 500 сенокосилок и 3 000 комбайнов. Именно в этой технике испытывало острый дефицит сельское хозяйство края. Первым начальником строительства и директором  завода  «</w:t>
      </w:r>
      <w:proofErr w:type="spellStart"/>
      <w:r w:rsidRPr="00A259BD">
        <w:rPr>
          <w:rFonts w:ascii="Times New Roman" w:hAnsi="Times New Roman"/>
          <w:color w:val="000000" w:themeColor="text1"/>
          <w:sz w:val="16"/>
          <w:szCs w:val="16"/>
        </w:rPr>
        <w:t>Сибкомбайн</w:t>
      </w:r>
      <w:proofErr w:type="spellEnd"/>
      <w:r w:rsidRPr="00A259BD">
        <w:rPr>
          <w:rFonts w:ascii="Times New Roman" w:hAnsi="Times New Roman"/>
          <w:color w:val="000000" w:themeColor="text1"/>
          <w:sz w:val="16"/>
          <w:szCs w:val="16"/>
        </w:rPr>
        <w:t>» был А. И. </w:t>
      </w:r>
      <w:proofErr w:type="spellStart"/>
      <w:r w:rsidRPr="00A259BD">
        <w:rPr>
          <w:rFonts w:ascii="Times New Roman" w:hAnsi="Times New Roman"/>
          <w:color w:val="000000" w:themeColor="text1"/>
          <w:sz w:val="16"/>
          <w:szCs w:val="16"/>
        </w:rPr>
        <w:t>Морин</w:t>
      </w:r>
      <w:proofErr w:type="spellEnd"/>
      <w:r w:rsidRPr="00A259BD">
        <w:rPr>
          <w:rFonts w:ascii="Times New Roman" w:hAnsi="Times New Roman"/>
          <w:color w:val="000000" w:themeColor="text1"/>
          <w:sz w:val="16"/>
          <w:szCs w:val="16"/>
        </w:rPr>
        <w:t>. 2 июля 1930 г. он сообщал в Высший совет народного хозяйства Куйбышеву о том, что закончено строительство временных мастерских, получено для них оборудование, начато сооружение заводоуправления, ремонтно-механического цеха, кузницы, заложено 10 корпусов «соцгорода» и т. д. Одновременно отмечалось, что несвоевременно поступает из Москвы и Ленинграда проектная документация, квалификация кадров низкая, обеспеченность оборудованием и инструментом, экскаваторами и автомашинами, а также строительными материалами плохая. На строительстве  завода  работали 3 000 рабочих, 30 % из них были квалифицированными. Рабочие-каменщики выполняли нормы выработки только на 40–50 % (15733).</w:t>
      </w:r>
    </w:p>
    <w:p w14:paraId="6961F1ED" w14:textId="77777777" w:rsidR="00302EF5" w:rsidRPr="00A259BD" w:rsidRDefault="00302EF5" w:rsidP="009236E3">
      <w:pPr>
        <w:spacing w:after="0" w:line="240" w:lineRule="auto"/>
        <w:jc w:val="both"/>
        <w:rPr>
          <w:rFonts w:ascii="Times New Roman" w:hAnsi="Times New Roman"/>
          <w:color w:val="000000" w:themeColor="text1"/>
          <w:sz w:val="16"/>
          <w:szCs w:val="16"/>
        </w:rPr>
      </w:pPr>
    </w:p>
    <w:p w14:paraId="6D8B02D6" w14:textId="77777777" w:rsidR="00302EF5" w:rsidRPr="00A259BD" w:rsidRDefault="00302EF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г. правительство приняло решение о подготовке к строительству комбайнового завода в Новосибирске (9684).</w:t>
      </w:r>
    </w:p>
    <w:p w14:paraId="08F8C19C" w14:textId="77777777" w:rsidR="00302EF5" w:rsidRPr="00A259BD" w:rsidRDefault="00302EF5" w:rsidP="009236E3">
      <w:pPr>
        <w:autoSpaceDE w:val="0"/>
        <w:autoSpaceDN w:val="0"/>
        <w:adjustRightInd w:val="0"/>
        <w:spacing w:after="0" w:line="240" w:lineRule="auto"/>
        <w:jc w:val="both"/>
        <w:rPr>
          <w:rFonts w:ascii="Times New Roman" w:hAnsi="Times New Roman"/>
          <w:color w:val="000000" w:themeColor="text1"/>
          <w:sz w:val="16"/>
          <w:szCs w:val="16"/>
        </w:rPr>
      </w:pPr>
    </w:p>
    <w:p w14:paraId="4A2826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г. правительство приняло решение о подготовке к строительству комбайнового завода в Новосибирске. В ноябре 1929 г. состоялось заседание коллегии </w:t>
      </w:r>
      <w:proofErr w:type="spellStart"/>
      <w:r w:rsidRPr="00A259BD">
        <w:rPr>
          <w:rFonts w:ascii="Times New Roman" w:hAnsi="Times New Roman"/>
          <w:color w:val="000000" w:themeColor="text1"/>
          <w:sz w:val="16"/>
          <w:szCs w:val="16"/>
        </w:rPr>
        <w:t>Главметстроя</w:t>
      </w:r>
      <w:proofErr w:type="spellEnd"/>
      <w:r w:rsidRPr="00A259BD">
        <w:rPr>
          <w:rFonts w:ascii="Times New Roman" w:hAnsi="Times New Roman"/>
          <w:color w:val="000000" w:themeColor="text1"/>
          <w:sz w:val="16"/>
          <w:szCs w:val="16"/>
        </w:rPr>
        <w:t xml:space="preserve"> ВСНХ СССР, на котором была принята программа — завершить строительство к 1 октября 1932 г., создать производственные мощности для выпуска 15 тыс. комбайнов в год с последующим увеличением до 25 тыс. Ставилась конкретная задача — к сельскохозяйственному сезону 1933 г. выпустить 2 200 сеялок, 4 500 сенокосилок и 3 000 комбайнов. Именно в этой технике испытывало острый дефицит сельское хозяйство края.</w:t>
      </w:r>
    </w:p>
    <w:p w14:paraId="015A22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Первым начальником строительства и директором завода “</w:t>
      </w:r>
      <w:proofErr w:type="spellStart"/>
      <w:r w:rsidRPr="00A259BD">
        <w:rPr>
          <w:rFonts w:ascii="Times New Roman" w:hAnsi="Times New Roman"/>
          <w:color w:val="000000" w:themeColor="text1"/>
          <w:sz w:val="16"/>
          <w:szCs w:val="16"/>
        </w:rPr>
        <w:t>Сибкомбайн</w:t>
      </w:r>
      <w:proofErr w:type="spellEnd"/>
      <w:r w:rsidRPr="00A259BD">
        <w:rPr>
          <w:rFonts w:ascii="Times New Roman" w:hAnsi="Times New Roman"/>
          <w:color w:val="000000" w:themeColor="text1"/>
          <w:sz w:val="16"/>
          <w:szCs w:val="16"/>
        </w:rPr>
        <w:t xml:space="preserve">” был А. И. </w:t>
      </w:r>
      <w:proofErr w:type="spellStart"/>
      <w:r w:rsidRPr="00A259BD">
        <w:rPr>
          <w:rFonts w:ascii="Times New Roman" w:hAnsi="Times New Roman"/>
          <w:color w:val="000000" w:themeColor="text1"/>
          <w:sz w:val="16"/>
          <w:szCs w:val="16"/>
        </w:rPr>
        <w:t>Морин</w:t>
      </w:r>
      <w:proofErr w:type="spellEnd"/>
      <w:r w:rsidRPr="00A259BD">
        <w:rPr>
          <w:rFonts w:ascii="Times New Roman" w:hAnsi="Times New Roman"/>
          <w:color w:val="000000" w:themeColor="text1"/>
          <w:sz w:val="16"/>
          <w:szCs w:val="16"/>
        </w:rPr>
        <w:t>. 2 июля 1930 г. он сообщал в Высший совет народного хозяйства Куйбышеву о том, что закончено строительство временных мастерских, получено для них оборудование, начато сооружение заводоуправления, ремонтно-механического цеха, кузницы, заложено 10 корпусов “соцгорода” и т. д. Одновременно отмечалось, что несвоевременно поступает из Москвы и Ленинграда проектная документация, квалификация кадров низкая, обеспеченность оборудованием и инструментом, экскаваторами и автомашинами, а также строительными материалами плохая. На строительстве завода работали 3 000 рабочих, 30 % из них были квалифицированными. Рабочие-каменщики выполняли нормы выработки только на 40–50 %.</w:t>
      </w:r>
    </w:p>
    <w:p w14:paraId="79F775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Состояние строительства завода проверили в начале 1931 г. Западно-Сибирская контрольная комиссия ВКП(б) и отдел рабоче-крестьянской инспекции, которые рекомендовали ВСНХ СССР, </w:t>
      </w:r>
      <w:proofErr w:type="spellStart"/>
      <w:r w:rsidRPr="00A259BD">
        <w:rPr>
          <w:rFonts w:ascii="Times New Roman" w:hAnsi="Times New Roman"/>
          <w:color w:val="000000" w:themeColor="text1"/>
          <w:sz w:val="16"/>
          <w:szCs w:val="16"/>
        </w:rPr>
        <w:t>Союзсельмашу</w:t>
      </w:r>
      <w:proofErr w:type="spellEnd"/>
      <w:r w:rsidRPr="00A259BD">
        <w:rPr>
          <w:rFonts w:ascii="Times New Roman" w:hAnsi="Times New Roman"/>
          <w:color w:val="000000" w:themeColor="text1"/>
          <w:sz w:val="16"/>
          <w:szCs w:val="16"/>
        </w:rPr>
        <w:t xml:space="preserve"> и другим центральным органам оказать надлежащее содействие строительству: своевременно и полностью обеспечивать строительные материалы и оборудование, а также инженерно-технические кадры. Кроме того, предлагалось возможно скорее перевести всех занятых в этой стройке на снабжение предметами широкого потребления и продуктами питания по нормам ударных строек в Сибири (</w:t>
      </w:r>
      <w:proofErr w:type="spellStart"/>
      <w:r w:rsidRPr="00A259BD">
        <w:rPr>
          <w:rFonts w:ascii="Times New Roman" w:hAnsi="Times New Roman"/>
          <w:color w:val="000000" w:themeColor="text1"/>
          <w:sz w:val="16"/>
          <w:szCs w:val="16"/>
        </w:rPr>
        <w:t>Кузнецкстрой</w:t>
      </w:r>
      <w:proofErr w:type="spellEnd"/>
      <w:r w:rsidRPr="00A259BD">
        <w:rPr>
          <w:rFonts w:ascii="Times New Roman" w:hAnsi="Times New Roman"/>
          <w:color w:val="000000" w:themeColor="text1"/>
          <w:sz w:val="16"/>
          <w:szCs w:val="16"/>
        </w:rPr>
        <w:t xml:space="preserve"> и др.), подпадающих, к тому же, под действие закона об отдельных местностях.</w:t>
      </w:r>
    </w:p>
    <w:p w14:paraId="255964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Строительство завода осуществлялось неравномерно — то развивалось, то прекращалось — по причине неоднозначного отношения правительственных структур, поэтому было много проблем с выделением капитальных вложений, снабжением строительными материалами и техникой, обеспечением стройки инженерно-техническими кадрами. Вместе с тем, первый комбайн был изготовлен к началу уборки 1931 г. Успешно прошли его государственные испытания. Одновременно в Омской области испытывались комбайны Ростовского завода и завода “Коммунар”. Государственная комиссия признала сибирский комбайн наилучшим.</w:t>
      </w:r>
    </w:p>
    <w:p w14:paraId="71734D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1930-х гг. в стране было построено три завода по производству комбайнов общей мощностью 40–60 тыс. машин в год. В то время их выпуск обеспечивал потребности всего сельского хозяйства. А вот развернувшееся строительство текстильных фабрик в Сибири и Средней Азии потребовало создания соответствующего машиностроения. Поэтому ЦК ВКП(б) и СТО в ноябре 1932 г. приняли решение реконструировать “</w:t>
      </w:r>
      <w:proofErr w:type="spellStart"/>
      <w:r w:rsidRPr="00A259BD">
        <w:rPr>
          <w:rFonts w:ascii="Times New Roman" w:hAnsi="Times New Roman"/>
          <w:color w:val="000000" w:themeColor="text1"/>
          <w:sz w:val="16"/>
          <w:szCs w:val="16"/>
        </w:rPr>
        <w:t>Сибкомбайн</w:t>
      </w:r>
      <w:proofErr w:type="spellEnd"/>
      <w:r w:rsidRPr="00A259BD">
        <w:rPr>
          <w:rFonts w:ascii="Times New Roman" w:hAnsi="Times New Roman"/>
          <w:color w:val="000000" w:themeColor="text1"/>
          <w:sz w:val="16"/>
          <w:szCs w:val="16"/>
        </w:rPr>
        <w:t>” и поручить ему производство текстильных машин с одновременным выпуском 5 000 комбайнов в год. Предприятие получило новое наименование — “</w:t>
      </w:r>
      <w:proofErr w:type="spellStart"/>
      <w:r w:rsidRPr="00A259BD">
        <w:rPr>
          <w:rFonts w:ascii="Times New Roman" w:hAnsi="Times New Roman"/>
          <w:color w:val="000000" w:themeColor="text1"/>
          <w:sz w:val="16"/>
          <w:szCs w:val="16"/>
        </w:rPr>
        <w:t>Сибтекстильмашстрой</w:t>
      </w:r>
      <w:proofErr w:type="spellEnd"/>
      <w:r w:rsidRPr="00A259BD">
        <w:rPr>
          <w:rFonts w:ascii="Times New Roman" w:hAnsi="Times New Roman"/>
          <w:color w:val="000000" w:themeColor="text1"/>
          <w:sz w:val="16"/>
          <w:szCs w:val="16"/>
        </w:rPr>
        <w:t>”, в декабре 1933 г. измененное на “</w:t>
      </w:r>
      <w:proofErr w:type="spellStart"/>
      <w:r w:rsidRPr="00A259BD">
        <w:rPr>
          <w:rFonts w:ascii="Times New Roman" w:hAnsi="Times New Roman"/>
          <w:color w:val="000000" w:themeColor="text1"/>
          <w:sz w:val="16"/>
          <w:szCs w:val="16"/>
        </w:rPr>
        <w:t>Сибметаллстрой</w:t>
      </w:r>
      <w:proofErr w:type="spellEnd"/>
      <w:r w:rsidRPr="00A259BD">
        <w:rPr>
          <w:rFonts w:ascii="Times New Roman" w:hAnsi="Times New Roman"/>
          <w:color w:val="000000" w:themeColor="text1"/>
          <w:sz w:val="16"/>
          <w:szCs w:val="16"/>
        </w:rPr>
        <w:t>”. К этому времени в материально-технической базе завода произошли заметные изменения: действовали инструментальный, ремонтно-механический и деревообрабатывающий цехи. В 1933 г. начали действовать литейный и транспортный цехи. К 1934 г. “</w:t>
      </w:r>
      <w:proofErr w:type="spellStart"/>
      <w:r w:rsidRPr="00A259BD">
        <w:rPr>
          <w:rFonts w:ascii="Times New Roman" w:hAnsi="Times New Roman"/>
          <w:color w:val="000000" w:themeColor="text1"/>
          <w:sz w:val="16"/>
          <w:szCs w:val="16"/>
        </w:rPr>
        <w:t>Сибметаллстрой</w:t>
      </w:r>
      <w:proofErr w:type="spellEnd"/>
      <w:r w:rsidRPr="00A259BD">
        <w:rPr>
          <w:rFonts w:ascii="Times New Roman" w:hAnsi="Times New Roman"/>
          <w:color w:val="000000" w:themeColor="text1"/>
          <w:sz w:val="16"/>
          <w:szCs w:val="16"/>
        </w:rPr>
        <w:t>” становится машиностроительным заводом, выпускающим оборудование для текстильной промышленности, автотракторные детали, станки, мелкие и средние двигатели[3].</w:t>
      </w:r>
    </w:p>
    <w:p w14:paraId="6F7EEC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докладной записке “О строительстве крупных промышленных предприятий в Новосибирской области”, направленной 21 сентября 1940 г. И. В. Сталину первым секретарем обкома Г. Н. Пуговкиным, отмечается, что комбинат № 179 строится с 1934 г. Общая стоимость его строительства составляет 829 млн р. С этого времени началось его технологическое оснащение для производства снарядов, с одновременным производством гражданской продукции. В 1934–1936 гг., несмотря на продолжавшееся строительство многих крупных объектов производственного назначения, коллектив “</w:t>
      </w:r>
      <w:proofErr w:type="spellStart"/>
      <w:r w:rsidRPr="00A259BD">
        <w:rPr>
          <w:rFonts w:ascii="Times New Roman" w:hAnsi="Times New Roman"/>
          <w:color w:val="000000" w:themeColor="text1"/>
          <w:sz w:val="16"/>
          <w:szCs w:val="16"/>
        </w:rPr>
        <w:t>Металлстроя</w:t>
      </w:r>
      <w:proofErr w:type="spellEnd"/>
      <w:r w:rsidRPr="00A259BD">
        <w:rPr>
          <w:rFonts w:ascii="Times New Roman" w:hAnsi="Times New Roman"/>
          <w:color w:val="000000" w:themeColor="text1"/>
          <w:sz w:val="16"/>
          <w:szCs w:val="16"/>
        </w:rPr>
        <w:t>” освоил производство и выпускал запасные части к тракторам, автомобилям и текстильным машинам, а также различное оборудование для водного и железнодорожного транспорта и другую продукцию. В 1937 г. завод получил новое задание — освоить производство шести типов станков, в том числе токарного “161”. Технологически цехи завода не были готовы к выполнению этого задания, отсутствовали и инженеры-станкостроители. Но к концу года станкостроители изготовили первый токарный станок “161” и 24 станка ПЛ-25.</w:t>
      </w:r>
    </w:p>
    <w:p w14:paraId="7345D2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предвоенные годы перед коллективом строителей и производственников правительство ставило задачу пуска завода на полную мощность. В 1938–1940 гг. станкостроители продолжали осваивать выпуск новых видов станков (П-30, ЭО (</w:t>
      </w:r>
      <w:proofErr w:type="spellStart"/>
      <w:r w:rsidRPr="00A259BD">
        <w:rPr>
          <w:rFonts w:ascii="Times New Roman" w:hAnsi="Times New Roman"/>
          <w:color w:val="000000" w:themeColor="text1"/>
          <w:sz w:val="16"/>
          <w:szCs w:val="16"/>
        </w:rPr>
        <w:t>электрообжиг</w:t>
      </w:r>
      <w:proofErr w:type="spellEnd"/>
      <w:r w:rsidRPr="00A259BD">
        <w:rPr>
          <w:rFonts w:ascii="Times New Roman" w:hAnsi="Times New Roman"/>
          <w:color w:val="000000" w:themeColor="text1"/>
          <w:sz w:val="16"/>
          <w:szCs w:val="16"/>
        </w:rPr>
        <w:t>), токарно-винторезный “161А” и др.). Но по-прежнему большое место в производстве занимали запасные части для текстильных машин, тракторов и автомобилей. В это время уже четко вырисовались основные производственные направления комбината. Крупнейший в стране строящийся комбинат боеприпасов имел в своем составе целый ряд производств:</w:t>
      </w:r>
    </w:p>
    <w:p w14:paraId="58A303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первое снарядное, рассчитанное на годовой выпуск 11 млн штук 76–122–152-мм осколочно-фугасных снарядов; </w:t>
      </w:r>
    </w:p>
    <w:p w14:paraId="00C988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второе снарядное, на оборудовании фирмы “Шкода”, производительностью 2 млн штук 122–152-мм снарядов; </w:t>
      </w:r>
    </w:p>
    <w:p w14:paraId="4E89A2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взрывательное</w:t>
      </w:r>
      <w:proofErr w:type="spellEnd"/>
      <w:r w:rsidRPr="00A259BD">
        <w:rPr>
          <w:rFonts w:ascii="Times New Roman" w:hAnsi="Times New Roman"/>
          <w:color w:val="000000" w:themeColor="text1"/>
          <w:sz w:val="16"/>
          <w:szCs w:val="16"/>
        </w:rPr>
        <w:t xml:space="preserve">, рассчитанное на годовой выпуск 16 млн штук взрывателей ГВМЗ; </w:t>
      </w:r>
    </w:p>
    <w:p w14:paraId="112B27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патронное, годовая мощность 1,5 млрд 7,62-мм и 100 млн штук 12,7-мм патронов; </w:t>
      </w:r>
    </w:p>
    <w:p w14:paraId="3F8A83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снаряжательное — снаряжение всего выпуска взрывателей и патронов; </w:t>
      </w:r>
    </w:p>
    <w:p w14:paraId="3FEF07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прокатное — производство стальной и биметаллической ленты для выпуска патронов, производительностью 220 тыс. тонн биметалла в год. </w:t>
      </w:r>
    </w:p>
    <w:p w14:paraId="50004E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Кроме того, создавались инструментальное, тарное, газогенераторное, компрессорное производство, ТЭЦ и многие другие объекты производственной и социально-бытовой инфраструктуры.</w:t>
      </w:r>
    </w:p>
    <w:p w14:paraId="36BF80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1934 по 1940 гг. в сооружение комбината было вложено 272 млн р., однако строительство велось не по производственным направлениям. Поэтому ни на одном объекте не были закончены строительно-монтажные работы, что не позволяло ввести в эксплуатацию оборонные мощности. В незавершенном строительстве находилось 130 млн р. капитальных вложений. Однако наркомат боеприпасов не обращал на это внимания, допускал приемку в эксплуатацию производственных объектов, не увязанных между собой. Так, в систему комбината в 1939 г. было включено второе снарядное производство на основе оборудования фирмы “Шкода”, которое по договору должно было начать прибывать на комбинат вместе со специалистами с апреля 1940 г., а площадей для этого производства не было — к их строительству только приступили. Тогда как для первого снарядного производства, рассчитанного на годовую производительность 11 млн штук снарядов, были построены производственные площади и фундаменты, но не было оборудования.</w:t>
      </w:r>
    </w:p>
    <w:p w14:paraId="6B9E3E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одного из цехов прокатного завода на площадке комбината лежало оборудование, поставленное в 1939 г. фирмой “Робертсон”, а для всех других цехов было заказано оборудование американской фирмы “Места” со сроками поставки: март — август 1940 г. Однако к строительству производственных площадей для прокатного производства приступили только в 1940 г. Для этого же производства потребовалось 50 тыс. кВт электроэнергии, а между тем, еще не были начаты проектные работы по ТЭЦ, не утверждены типы ее оборудования. Других же источников питания электроэнергией прокатного производства не имелось.</w:t>
      </w:r>
    </w:p>
    <w:p w14:paraId="30D8CD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Базы снабжения материалами всех производств комбината наркоматом не были определены, следовательно, потребности в металле и других материалах не учитывались. Проекты цехового и внутризаводского транспорта для комбината еще не были разработаны, что вызывало осложнения в работе комбината.</w:t>
      </w:r>
    </w:p>
    <w:p w14:paraId="085415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Неотъемлемой частью комбината боеприпасов должно было быть снаряжательное производство и полигон для испытания снарядов. Это давало возможность комбинату выпускать готовую продукцию, то есть законченный выстрел. Не имея производства по снаряжению снарядов и полигона, комбинат вынужден был направлять корпуса снарядов для снаряжения в центр страны, а для испытания — на один из полигонов в Павлограде, Софрино, Нижнем Тагиле, создавая, таким образом, массу встречных перевозок и увеличивая себестоимость продукции. Однако в план строительных работ 1940 г. снаряжательный завод не был включен, а для начала строительства полигона наркомат боеприпасов выделил лишь 2 млн р. Несмотря на то, что освоение некоторых изделий оборонного значения началось на комбинате в 1938 г., комплектной оборонной продукции не было выпущено и в 1939 г. Наркомат боеприпасов установил план производства на 1939 г.: 250 тыс. снарядов, 200 тыс. взрывателей, 202 млн патронов, но по существу, не принял никаких мер для выполнения этого задания. Строительно-монтажные работы в первом снарядном, патронном и </w:t>
      </w:r>
      <w:proofErr w:type="spellStart"/>
      <w:r w:rsidRPr="00A259BD">
        <w:rPr>
          <w:rFonts w:ascii="Times New Roman" w:hAnsi="Times New Roman"/>
          <w:color w:val="000000" w:themeColor="text1"/>
          <w:sz w:val="16"/>
          <w:szCs w:val="16"/>
        </w:rPr>
        <w:t>взрывательном</w:t>
      </w:r>
      <w:proofErr w:type="spellEnd"/>
      <w:r w:rsidRPr="00A259BD">
        <w:rPr>
          <w:rFonts w:ascii="Times New Roman" w:hAnsi="Times New Roman"/>
          <w:color w:val="000000" w:themeColor="text1"/>
          <w:sz w:val="16"/>
          <w:szCs w:val="16"/>
        </w:rPr>
        <w:t xml:space="preserve"> производствах завершились лишь в конце года и были приняты в эксплуатацию с крупнейшими дефектами и некомплектностью оборудования. Некомплектность оборудования, отсутствие документации и необходимых инструментов, неопытность кадров привели к тому, что до 70 % произведенной продукции оказалось бракованной.</w:t>
      </w:r>
    </w:p>
    <w:p w14:paraId="1CC08B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Комитет обороны при СНК СССР 13 июня 1940 г. принял решение о форсированном строительстве комбината № 179 с введением в действие в 1940 г. мощностей: по производству снарядов — на 75 %, взрывателей — на 50, патронов — на 50, </w:t>
      </w:r>
      <w:proofErr w:type="spellStart"/>
      <w:r w:rsidRPr="00A259BD">
        <w:rPr>
          <w:rFonts w:ascii="Times New Roman" w:hAnsi="Times New Roman"/>
          <w:color w:val="000000" w:themeColor="text1"/>
          <w:sz w:val="16"/>
          <w:szCs w:val="16"/>
        </w:rPr>
        <w:t>деревотарному</w:t>
      </w:r>
      <w:proofErr w:type="spellEnd"/>
      <w:r w:rsidRPr="00A259BD">
        <w:rPr>
          <w:rFonts w:ascii="Times New Roman" w:hAnsi="Times New Roman"/>
          <w:color w:val="000000" w:themeColor="text1"/>
          <w:sz w:val="16"/>
          <w:szCs w:val="16"/>
        </w:rPr>
        <w:t xml:space="preserve"> производству — на 60 %. Строительство всего комбината этим решением предлагалось закончить к 1 декабря 1941 г. Поэтому решением Комитета обороны было доведено задание освоить на строительстве комбината 362 млн р. вместо ранее установленного плана в 178 млн р. В связи с тем, что за первое полугодие 1940 г. строители освоили только 59,2 млн р., во втором полугодии необходимо было производить строительные работы на сумму 50 млн р. ежемесячно. Для выполнения задания Комитета обороны необходимо было расширить производственно-техническую базу стройки, увеличить материально-технические фонды, дополнительно набрать около 20 тыс. чел. строительных и монтажных рабочих, укомплектовать стройку комбината дополнительно инженерно-техническими работниками, особенно монтажниками.</w:t>
      </w:r>
    </w:p>
    <w:p w14:paraId="21B09C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Новосибирский обком мобилизовал в области 1,7 тыс. рабочих и просил ЦК ВКП(б) (секретарей А. А. Андреева, Г. М. Маленкова) обязать наркоматы боеприпасов и строительства принять меры по вербовке рабочей силы для выполнения программы строительных работ во втором полугодии, увеличить мощность двух кирпичных заводов, прикрепить для обеспечения стройки цементом Яшкинский цементный завод, получить строительный лес из </w:t>
      </w:r>
      <w:proofErr w:type="spellStart"/>
      <w:r w:rsidRPr="00A259BD">
        <w:rPr>
          <w:rFonts w:ascii="Times New Roman" w:hAnsi="Times New Roman"/>
          <w:color w:val="000000" w:themeColor="text1"/>
          <w:sz w:val="16"/>
          <w:szCs w:val="16"/>
        </w:rPr>
        <w:t>Асинлага</w:t>
      </w:r>
      <w:proofErr w:type="spellEnd"/>
      <w:r w:rsidRPr="00A259BD">
        <w:rPr>
          <w:rFonts w:ascii="Times New Roman" w:hAnsi="Times New Roman"/>
          <w:color w:val="000000" w:themeColor="text1"/>
          <w:sz w:val="16"/>
          <w:szCs w:val="16"/>
        </w:rPr>
        <w:t xml:space="preserve"> НКВД, обязать 4-й проектный институт наркомата боеприпасов осуществлять проектирование непосредственно на строительной площадке снарядного завода на базе оборудования фирмы “Шкода”, прокатного завода, ТЭЦ и других важнейших объектов. Также необходимо было ускорить решение вопроса о строительстве Коммунального моста через р. Обь, так как создаваемые на левом берегу Оби крупные предприятия с десятками тысяч рабочих были отрезаны от основной части города.</w:t>
      </w:r>
    </w:p>
    <w:p w14:paraId="0F7668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Но наркомат боеприпасов, несмотря на докладные записки в ЦК ВКП(б) от 16 марта, 11 мая и 25 июля 1940 г. и решение ЦК, не принял мер к развертыванию строительства в соответствии с заданиями Комитета обороны. Снарядное производство не имело комплексных мощностей, его оборудование было смонтировано по временной планировке на 10 % проектной мощности. </w:t>
      </w:r>
      <w:proofErr w:type="spellStart"/>
      <w:r w:rsidRPr="00A259BD">
        <w:rPr>
          <w:rFonts w:ascii="Times New Roman" w:hAnsi="Times New Roman"/>
          <w:color w:val="000000" w:themeColor="text1"/>
          <w:sz w:val="16"/>
          <w:szCs w:val="16"/>
        </w:rPr>
        <w:t>Взрывательное</w:t>
      </w:r>
      <w:proofErr w:type="spellEnd"/>
      <w:r w:rsidRPr="00A259BD">
        <w:rPr>
          <w:rFonts w:ascii="Times New Roman" w:hAnsi="Times New Roman"/>
          <w:color w:val="000000" w:themeColor="text1"/>
          <w:sz w:val="16"/>
          <w:szCs w:val="16"/>
        </w:rPr>
        <w:t xml:space="preserve"> производство было оборудовано на 7,5 %, а патронное — на 8 % проектной мощности.</w:t>
      </w:r>
    </w:p>
    <w:p w14:paraId="4CA3C6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Одновременно со строительством, комбинат № 179 с 1939 г. начал выпускать оборонную продукцию. В 1940 г. его коллектив изготовил 261 тыс. шт. 76-миллиметровых снарядов, выполнив годовой план на 65,3 %; взрывателей: КТМ 1 — 170 тыс. шт., 97 % от плана; ГВМЗ — 250 тыс. шт., 104,2 % от плана; винтовых патронов — 25 970 тыс. шт., 10,4 % от плана. Основные производственные трудности заключались в том, что комбинат испытывал недостаток в режущем, контрольно-измерительном инструменте и сложных приборах, а также в неудовлетворительном снабжении спецсталями и твердыми сплавами. На комбинате работало 4 454 рабочих, или 73,3 % от планового показателя, ИТР — 856 чел., 85,6 % от плана. При общей необеспеченности уровень квалификации рабочих и ИТР не соответствовал требованиям технически сложного и трудоемкого производства. Большая часть руководящего состава и ИТР не имела никакого опыта работы на данном производстве. Весь состав рабочих кадров был сформирован из лиц, впервые пришедших на работу в оборонную промышленность; причем основная масса рабочих получала подготовку либо на заводе (система ученичества), либо в школах ФЗ У. 67,5 % от всего количества рабочих имели стаж работы в среднем 11 месяцев, возраст — до 25 лет. К началу 1940 г. на производственных площадях, где осуществлялся выпуск взрывателей, снарядов и патронов в годовом объеме, продолжалось строительство и монтаж оборудования. Поэтому ни одному из действующих производств не удалось отработать и внедрить единую постоянную технологию по всему циклу изготовления изделий. Несмотря на эти и другие трудности, 1940 г. был переломным в освоении и выпуске новых видов продукции. По сравнению с 1939 г. объем всей выпущенной комбинатом продукции увеличился в два раза, а оборонной — в десять раз.</w:t>
      </w:r>
    </w:p>
    <w:p w14:paraId="41FC5E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1941 г. (11 января) СНК СССР и ЦК ВКП(б) приняли постановление “О программе строительства и производства комбината № 179 наркомата боеприпасов”, в котором ставилась задача завершить строительство комбината в 1941 г. и увеличить выпуск боеприпасов. Новосибирский обком партии разработал специальную программу по реализации этого постановления. Осуществлялся контроль за деятельностью всех строительных и монтажных организаций. Проводился набор новых рабочих в Алтайском крае, Башкирской АССР и Кировской обл. Работали школы ФЗО и курсы по подготовке квалифицированных рабочих.</w:t>
      </w:r>
    </w:p>
    <w:p w14:paraId="09D0B9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январе 1941 г. первый секретарь Новосибирского обкома партии Г. Н. Пуговкин, обращаясь к заместителю председателя Совнаркома СССР К. Е. Ворошилову и секретарю ЦК ВКП(б) Г. М. Маленкову, просил дать указание о срочном разрешении ряда вопросов, касающихся строительства и сдачи в эксплуатацию комбината № 179. В 1940 г. стройка недополучила 612 единиц оборудования. По этой причине задержалась сдача в эксплуатацию построенных объектов. В 1941 г. для укомплектования технологическим оборудованием шести пусковых производств комбината требовалось 1 174 единицы оборудования. Обком просил обязать наркомат боеприпасов в первом квартале 1941 г. выделить целевые фонды комбинату, поскольку для снарядного производства, основанного на оборудовании фирмы “Шкода”, прокатного завода и других пусковых производств комбината необходимо изготовить нестандартного оборудования на 10 млн р. В целях ускорения производства нестандартного оборудования надо было перевести станкостроительный цех на срок в течение года на изготовление узкоспециализированных приспособлений и оборудования для комбината. Для перевозки местных строительных материалов комбинату требовалось в 1941 г. 13 паровозов и 400 вагонов ежедневно. Проектирование объектов комбината велось тринадцатью проектными организациями, находившимися в Москве. Практика показала, что такое проектирование — в отрыве от площадки строительства, силами нескольких проектных организаций разных наркоматов — приводило к неувязкам в проектах, срыву сроков, несоответствию графиков проектирования и планов строительных работ. Все это вызывало задержки в строительстве, переделки уже выполненных строителями работ. В связи с тем, что объем проектных работ в 1941 г. по комбинату был очень большим (6,5 млн р.), к 1 февраля 1941 г. требовалось организовать на площадке строительства комбината филиалы проектных организаций для своевременного представления всей необходимой документации.</w:t>
      </w:r>
    </w:p>
    <w:p w14:paraId="2775B6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Обком просил ЦК ВКП(б) обязать Совет по оборонной промышленности при СНК СССР выделить стройке 25 опытных инженерно-технических работников. В связи с увеличением капитальных вложений в строительство комбината в 1941 г. дополнительная потребность в рабочей силе составила 13 тыс. чел. В Новосибирской области ввиду крупного строительства было недостаточно рабочих, поэтому Госплан СССР и наркомат боеприпасов направили 6 тыс. чел. строительных рабочих из других областей; ГУЛАГ НКВД также увеличил на 5 тыс. чел. колонию </w:t>
      </w:r>
      <w:proofErr w:type="spellStart"/>
      <w:r w:rsidRPr="00A259BD">
        <w:rPr>
          <w:rFonts w:ascii="Times New Roman" w:hAnsi="Times New Roman"/>
          <w:color w:val="000000" w:themeColor="text1"/>
          <w:sz w:val="16"/>
          <w:szCs w:val="16"/>
        </w:rPr>
        <w:t>Сиблага</w:t>
      </w:r>
      <w:proofErr w:type="spellEnd"/>
      <w:r w:rsidRPr="00A259BD">
        <w:rPr>
          <w:rFonts w:ascii="Times New Roman" w:hAnsi="Times New Roman"/>
          <w:color w:val="000000" w:themeColor="text1"/>
          <w:sz w:val="16"/>
          <w:szCs w:val="16"/>
        </w:rPr>
        <w:t xml:space="preserve"> на строительстве комбината № 179.</w:t>
      </w:r>
    </w:p>
    <w:p w14:paraId="69E95C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Несмотря на огромные усилия строителей комбината, местных партийных органов, задания правительства по завершению сооружения комбината все же не выполнялись. За первые пять месяцев 1941 г. строителями комбината было освоено только 65,591 млн р. капвложений, что составляло 19,6 % годового плана. Особенно плохо обеспечивалась стройка оборудованием. К началу войны комбинат № 179 располагал лишь 10 % проектных мощностей по производству 76-мм и 122-мм снарядов, четвертью мощностей по производству 152-мм снарядов, в небольшом количестве выпускал 76-мм снаряды (11591).</w:t>
      </w:r>
    </w:p>
    <w:p w14:paraId="3899D7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0EFF79A" w14:textId="77777777" w:rsidR="00302EF5" w:rsidRPr="00A259BD" w:rsidRDefault="00302EF5" w:rsidP="009236E3">
      <w:pPr>
        <w:pStyle w:val="45"/>
        <w:shd w:val="clear" w:color="auto" w:fill="auto"/>
        <w:spacing w:before="0" w:line="240" w:lineRule="auto"/>
        <w:jc w:val="both"/>
        <w:rPr>
          <w:rFonts w:ascii="Times New Roman" w:cs="Times New Roman"/>
          <w:color w:val="000000" w:themeColor="text1"/>
          <w:sz w:val="16"/>
          <w:szCs w:val="16"/>
        </w:rPr>
      </w:pPr>
      <w:r w:rsidRPr="00A259BD">
        <w:rPr>
          <w:rStyle w:val="4d"/>
          <w:rFonts w:ascii="Times New Roman" w:hAnsi="Times New Roman" w:cs="Times New Roman"/>
          <w:i w:val="0"/>
          <w:color w:val="000000" w:themeColor="text1"/>
          <w:sz w:val="16"/>
          <w:szCs w:val="16"/>
        </w:rPr>
        <w:t>В декабре</w:t>
      </w:r>
      <w:r w:rsidRPr="00A259BD">
        <w:rPr>
          <w:rStyle w:val="40pt"/>
          <w:rFonts w:ascii="Times New Roman" w:hAnsi="Times New Roman" w:cs="Times New Roman"/>
          <w:b w:val="0"/>
          <w:i w:val="0"/>
          <w:color w:val="000000" w:themeColor="text1"/>
          <w:spacing w:val="0"/>
          <w:sz w:val="16"/>
          <w:szCs w:val="16"/>
        </w:rPr>
        <w:t xml:space="preserve"> 1929</w:t>
      </w:r>
      <w:r w:rsidRPr="00A259BD">
        <w:rPr>
          <w:rStyle w:val="4d"/>
          <w:rFonts w:ascii="Times New Roman" w:hAnsi="Times New Roman" w:cs="Times New Roman"/>
          <w:i w:val="0"/>
          <w:color w:val="000000" w:themeColor="text1"/>
          <w:sz w:val="16"/>
          <w:szCs w:val="16"/>
        </w:rPr>
        <w:t xml:space="preserve"> г. в Отчетном докладе Реввоенсовета СССР «Состояние и перспективы в строительстве Вооруженных Сил СССР» от указывалось:</w:t>
      </w:r>
      <w:r w:rsidRPr="00A259BD">
        <w:rPr>
          <w:rFonts w:ascii="Times New Roman" w:cs="Times New Roman"/>
          <w:color w:val="000000" w:themeColor="text1"/>
          <w:sz w:val="16"/>
          <w:szCs w:val="16"/>
        </w:rPr>
        <w:t xml:space="preserve"> «Принятая система пехотного во</w:t>
      </w:r>
      <w:r w:rsidRPr="00A259BD">
        <w:rPr>
          <w:rFonts w:ascii="Times New Roman" w:cs="Times New Roman"/>
          <w:color w:val="000000" w:themeColor="text1"/>
          <w:sz w:val="16"/>
          <w:szCs w:val="16"/>
        </w:rPr>
        <w:softHyphen/>
        <w:t>оружения РККА предусматривает в недалеком будущем введение на вооружение полуавто</w:t>
      </w:r>
      <w:r w:rsidRPr="00A259BD">
        <w:rPr>
          <w:rFonts w:ascii="Times New Roman" w:cs="Times New Roman"/>
          <w:color w:val="000000" w:themeColor="text1"/>
          <w:sz w:val="16"/>
          <w:szCs w:val="16"/>
        </w:rPr>
        <w:softHyphen/>
        <w:t>матической самозарядной винтовки...; само</w:t>
      </w:r>
      <w:r w:rsidRPr="00A259BD">
        <w:rPr>
          <w:rFonts w:ascii="Times New Roman" w:cs="Times New Roman"/>
          <w:color w:val="000000" w:themeColor="text1"/>
          <w:sz w:val="16"/>
          <w:szCs w:val="16"/>
        </w:rPr>
        <w:softHyphen/>
        <w:t>зарядного пистолета...; пистолета-пулемета как мощного автоматического оружия ближ</w:t>
      </w:r>
      <w:r w:rsidRPr="00A259BD">
        <w:rPr>
          <w:rFonts w:ascii="Times New Roman" w:cs="Times New Roman"/>
          <w:color w:val="000000" w:themeColor="text1"/>
          <w:sz w:val="16"/>
          <w:szCs w:val="16"/>
        </w:rPr>
        <w:softHyphen/>
        <w:t>него боя (имеются образцы, магазин на 20-25 патронов, дальность - 400-500 метров)...» (15766).</w:t>
      </w:r>
    </w:p>
    <w:p w14:paraId="10FA7037" w14:textId="77777777" w:rsidR="00302EF5" w:rsidRPr="00A259BD" w:rsidRDefault="00302EF5" w:rsidP="009236E3">
      <w:pPr>
        <w:pStyle w:val="45"/>
        <w:shd w:val="clear" w:color="auto" w:fill="auto"/>
        <w:spacing w:before="0" w:line="240" w:lineRule="auto"/>
        <w:jc w:val="both"/>
        <w:rPr>
          <w:rFonts w:ascii="Times New Roman" w:cs="Times New Roman"/>
          <w:color w:val="000000" w:themeColor="text1"/>
          <w:sz w:val="16"/>
          <w:szCs w:val="16"/>
        </w:rPr>
      </w:pPr>
    </w:p>
    <w:p w14:paraId="72AFBA55" w14:textId="77777777" w:rsidR="00302EF5" w:rsidRPr="00A259BD" w:rsidRDefault="00302EF5"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декабре 1929 года в целях развития конструкторских и проектных работ в оборонной промышленности Реввоенсовет и ВСНХ СССР принимают решение о создании ряда гражданских конструкторских бюро и откомандировании в промышленность из армии 1000 военных специалистов (15794).</w:t>
      </w:r>
    </w:p>
    <w:p w14:paraId="5A8C37BD" w14:textId="77777777" w:rsidR="00302EF5" w:rsidRPr="00A259BD" w:rsidRDefault="00302EF5" w:rsidP="009236E3">
      <w:pPr>
        <w:spacing w:after="0" w:line="240" w:lineRule="auto"/>
        <w:jc w:val="both"/>
        <w:rPr>
          <w:rFonts w:ascii="Times New Roman" w:hAnsi="Times New Roman"/>
          <w:color w:val="000000" w:themeColor="text1"/>
          <w:sz w:val="16"/>
          <w:szCs w:val="16"/>
        </w:rPr>
      </w:pPr>
    </w:p>
    <w:p w14:paraId="5043429F" w14:textId="77777777" w:rsidR="006747D2" w:rsidRPr="00A259BD" w:rsidRDefault="006747D2" w:rsidP="009236E3">
      <w:pPr>
        <w:widowControl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декабря </w:t>
      </w:r>
      <w:smartTag w:uri="urn:schemas-microsoft-com:office:smarttags" w:element="metricconverter">
        <w:smartTagPr>
          <w:attr w:name="ProductID" w:val="1929 г"/>
        </w:smartTagPr>
        <w:r w:rsidRPr="00A259BD">
          <w:rPr>
            <w:rFonts w:ascii="Times New Roman" w:hAnsi="Times New Roman"/>
            <w:color w:val="000000" w:themeColor="text1"/>
            <w:sz w:val="16"/>
            <w:szCs w:val="16"/>
          </w:rPr>
          <w:t>1929 г</w:t>
        </w:r>
      </w:smartTag>
      <w:r w:rsidRPr="00A259BD">
        <w:rPr>
          <w:rFonts w:ascii="Times New Roman" w:hAnsi="Times New Roman"/>
          <w:color w:val="000000" w:themeColor="text1"/>
          <w:sz w:val="16"/>
          <w:szCs w:val="16"/>
        </w:rPr>
        <w:t>. контроль за проектированием броневиков осуществляло Управление механизации и моторизации РККА. Оно поставило заводу срок сдачи опытных образцов 11 декабря 1930 года. К этому времени на 2-м автосборочном заводе в Москве и заводе «Гудок Октября» полным ходом шла сборка грузовых и легковых «фордов», а из-за границы прибыли первые из 100 закупленных в Америке грузовиков «</w:t>
      </w:r>
      <w:proofErr w:type="spellStart"/>
      <w:r w:rsidRPr="00A259BD">
        <w:rPr>
          <w:rFonts w:ascii="Times New Roman" w:hAnsi="Times New Roman"/>
          <w:color w:val="000000" w:themeColor="text1"/>
          <w:sz w:val="16"/>
          <w:szCs w:val="16"/>
        </w:rPr>
        <w:t>Мореланд</w:t>
      </w:r>
      <w:proofErr w:type="spellEnd"/>
      <w:r w:rsidRPr="00A259BD">
        <w:rPr>
          <w:rFonts w:ascii="Times New Roman" w:hAnsi="Times New Roman"/>
          <w:color w:val="000000" w:themeColor="text1"/>
          <w:sz w:val="16"/>
          <w:szCs w:val="16"/>
        </w:rPr>
        <w:t>» (15218).</w:t>
      </w:r>
    </w:p>
    <w:p w14:paraId="3F5FBC5B" w14:textId="77777777" w:rsidR="006747D2" w:rsidRPr="00A259BD" w:rsidRDefault="006747D2" w:rsidP="009236E3">
      <w:pPr>
        <w:widowControl w:val="0"/>
        <w:spacing w:after="0" w:line="240" w:lineRule="auto"/>
        <w:jc w:val="both"/>
        <w:rPr>
          <w:rFonts w:ascii="Times New Roman" w:hAnsi="Times New Roman"/>
          <w:color w:val="000000" w:themeColor="text1"/>
          <w:sz w:val="16"/>
          <w:szCs w:val="16"/>
        </w:rPr>
      </w:pPr>
    </w:p>
    <w:p w14:paraId="56C9CC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на ХПЗ был построен опытный образец танка Т-12 конструкции ГКБ ОАТ из Москвы (</w:t>
      </w:r>
      <w:proofErr w:type="spellStart"/>
      <w:r w:rsidRPr="00A259BD">
        <w:rPr>
          <w:rFonts w:ascii="Times New Roman" w:hAnsi="Times New Roman"/>
          <w:color w:val="000000" w:themeColor="text1"/>
          <w:sz w:val="16"/>
          <w:szCs w:val="16"/>
        </w:rPr>
        <w:t>С.П.Шукалов</w:t>
      </w:r>
      <w:proofErr w:type="spellEnd"/>
      <w:r w:rsidRPr="00A259BD">
        <w:rPr>
          <w:rFonts w:ascii="Times New Roman" w:hAnsi="Times New Roman"/>
          <w:color w:val="000000" w:themeColor="text1"/>
          <w:sz w:val="16"/>
          <w:szCs w:val="16"/>
        </w:rPr>
        <w:t>) и КБ (технической тракторной конторы) ХПЗ (</w:t>
      </w:r>
      <w:proofErr w:type="spellStart"/>
      <w:r w:rsidRPr="00A259BD">
        <w:rPr>
          <w:rFonts w:ascii="Times New Roman" w:hAnsi="Times New Roman"/>
          <w:color w:val="000000" w:themeColor="text1"/>
          <w:sz w:val="16"/>
          <w:szCs w:val="16"/>
        </w:rPr>
        <w:t>И.Н.Алексеенко</w:t>
      </w:r>
      <w:proofErr w:type="spellEnd"/>
      <w:r w:rsidRPr="00A259BD">
        <w:rPr>
          <w:rFonts w:ascii="Times New Roman" w:hAnsi="Times New Roman"/>
          <w:color w:val="000000" w:themeColor="text1"/>
          <w:sz w:val="16"/>
          <w:szCs w:val="16"/>
        </w:rPr>
        <w:t>) (9527,131).</w:t>
      </w:r>
    </w:p>
    <w:p w14:paraId="16C26A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7C99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г. был собран опытный образец танка Т-12, а в январе следующего года начались его заводские испытания. В ходе испытаний выявилась необходимость доработки конструкции, в основном это касалось силовой установки, подвески и трансмиссии. Так, на ХПЗ спроектировали новые венец и траки гусеничной ленты. В итоге объем доработок конструкции Т-12 фактически вылился в совместную разработку силами ОАТ и ХПЗ нового танка Т-24 (12008).</w:t>
      </w:r>
    </w:p>
    <w:p w14:paraId="362422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519BA9"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г. план заказов на 1930/31— 1932/33 гг. был скорректирован в сторону увеличения (письмо начальника УММ РККА начальнику МПУ ВСНХ СССР №900217 от 22 декабря1929 г.). Так, в частности, средних (маневренных) танков планировалось изготовить: в 1930/31 300, в 1931/32 - 1000 и в 1932/33 - 1100. Но эти планы остались нереализованными: ХПЗ на тот момент не имел опыта подобных работ, квалифицированных кадров, соответствующих станков, оборудования и материалов. При этом в декабре 1929 г. январе 1930 г. с завода «Красный Профинтерн» сняли заказ на Т-12. Поэтому </w:t>
      </w:r>
      <w:proofErr w:type="spellStart"/>
      <w:r w:rsidRPr="00A259BD">
        <w:rPr>
          <w:rFonts w:ascii="Times New Roman" w:hAnsi="Times New Roman"/>
          <w:color w:val="000000" w:themeColor="text1"/>
          <w:sz w:val="16"/>
          <w:szCs w:val="16"/>
        </w:rPr>
        <w:t>Машинообъединение</w:t>
      </w:r>
      <w:proofErr w:type="spellEnd"/>
      <w:r w:rsidRPr="00A259BD">
        <w:rPr>
          <w:rFonts w:ascii="Times New Roman" w:hAnsi="Times New Roman"/>
          <w:color w:val="000000" w:themeColor="text1"/>
          <w:sz w:val="16"/>
          <w:szCs w:val="16"/>
        </w:rPr>
        <w:t>, учитывая постановление СТО об изготовлении в текущем году валовой партии танков, дало задание ХПЗ приступить к изготовлению 15 танков по образцу опытной машины с изменениями, внесенными при окончательных заводских испытаниях. Срок сдачи — 1 октября 1930 г. В то же время Артиллерийское управление РККА так и не выдало заказ на изготовление 30 танков Т-12 по опытному образцу. В апреле 1930 г. было принято решение подключить к выпуску 300 машин по программе 1930/31 г., помимо ХПЗ, два готовившихся к введению в строй тракторных завода Сталинградский и Челябинский (12303).</w:t>
      </w:r>
    </w:p>
    <w:p w14:paraId="0CCD7113" w14:textId="77777777" w:rsidR="001D017F" w:rsidRPr="00A259BD" w:rsidRDefault="001D017F" w:rsidP="009236E3">
      <w:pPr>
        <w:spacing w:after="0" w:line="240" w:lineRule="auto"/>
        <w:jc w:val="both"/>
        <w:rPr>
          <w:rFonts w:ascii="Times New Roman" w:hAnsi="Times New Roman"/>
          <w:color w:val="000000" w:themeColor="text1"/>
          <w:sz w:val="16"/>
          <w:szCs w:val="16"/>
        </w:rPr>
      </w:pPr>
    </w:p>
    <w:p w14:paraId="40778EBD"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г. январе 1930 г. с завода «Красный Профинтерн» сняли заказ на Т-12. Поэтому </w:t>
      </w:r>
      <w:proofErr w:type="spellStart"/>
      <w:r w:rsidRPr="00A259BD">
        <w:rPr>
          <w:rFonts w:ascii="Times New Roman" w:hAnsi="Times New Roman"/>
          <w:color w:val="000000" w:themeColor="text1"/>
          <w:sz w:val="16"/>
          <w:szCs w:val="16"/>
        </w:rPr>
        <w:t>Машинообъединение</w:t>
      </w:r>
      <w:proofErr w:type="spellEnd"/>
      <w:r w:rsidRPr="00A259BD">
        <w:rPr>
          <w:rFonts w:ascii="Times New Roman" w:hAnsi="Times New Roman"/>
          <w:color w:val="000000" w:themeColor="text1"/>
          <w:sz w:val="16"/>
          <w:szCs w:val="16"/>
        </w:rPr>
        <w:t>, учитывая постановление СТО об изготовлении в текущем году валовой партии танков, дало задание ХПЗ приступить к изготовлению 15 танков по образцу опытной машины с изменениями, внесенными при окончательных заводских испытаниях. Срок сдачи — 1 октября 1930 г. В то же время Артиллерийское управление РККА так и не выдало заказ на изготовление 30 танков Т-12 по опытному образцу. В апреле 1930 г. было принято решение подключить к выпуску 300 машин по программе 1930/31 г., помимо ХПЗ, два готовившихся к введению в строй тракторных завода Сталинградский и Челябинский (12303).</w:t>
      </w:r>
    </w:p>
    <w:p w14:paraId="45ABC246" w14:textId="77777777" w:rsidR="001D017F" w:rsidRPr="00A259BD" w:rsidRDefault="001D017F" w:rsidP="009236E3">
      <w:pPr>
        <w:spacing w:after="0" w:line="240" w:lineRule="auto"/>
        <w:jc w:val="both"/>
        <w:rPr>
          <w:rFonts w:ascii="Times New Roman" w:hAnsi="Times New Roman"/>
          <w:color w:val="000000" w:themeColor="text1"/>
          <w:sz w:val="16"/>
          <w:szCs w:val="16"/>
        </w:rPr>
      </w:pPr>
    </w:p>
    <w:p w14:paraId="6948DA8F"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До декабря 1929 г. затянулась сборка первого Т-12 на ХПЗ (только изменение конструкции системы охлаждения двигателя и коробки передач задержала сборку танка на два месяца). К15 декабря того же года танк был полностью готов.21 декабря 1929 г. танк Т-12 впервые вывели из цеха и </w:t>
      </w:r>
      <w:proofErr w:type="spellStart"/>
      <w:r w:rsidRPr="00A259BD">
        <w:rPr>
          <w:rFonts w:ascii="Times New Roman" w:hAnsi="Times New Roman"/>
          <w:color w:val="000000" w:themeColor="text1"/>
          <w:sz w:val="16"/>
          <w:szCs w:val="16"/>
        </w:rPr>
        <w:t>втечение</w:t>
      </w:r>
      <w:proofErr w:type="spellEnd"/>
      <w:r w:rsidRPr="00A259BD">
        <w:rPr>
          <w:rFonts w:ascii="Times New Roman" w:hAnsi="Times New Roman"/>
          <w:color w:val="000000" w:themeColor="text1"/>
          <w:sz w:val="16"/>
          <w:szCs w:val="16"/>
        </w:rPr>
        <w:t xml:space="preserve"> 20 мин испытывали его на ходу. Выявилась ненадежная работа тормозов, коробки передач и системы охлаждения двигателя. Испытание 23 декабря закончилось «...поломкой валика коробки шестерен. Нагревание при испытании в течение 1,5 часов не было сильным, но мотор работал с остановками и был мороз в 15 градусов при пурге. Выявилась слабость тормозов и неудобность маневрирования и некоторые дефекты в ходовой части (ленивец)». По результатам испытаний в конструкцию машины внесли ряд </w:t>
      </w:r>
      <w:proofErr w:type="spellStart"/>
      <w:r w:rsidRPr="00A259BD">
        <w:rPr>
          <w:rFonts w:ascii="Times New Roman" w:hAnsi="Times New Roman"/>
          <w:color w:val="000000" w:themeColor="text1"/>
          <w:sz w:val="16"/>
          <w:szCs w:val="16"/>
        </w:rPr>
        <w:t>улучшений.На</w:t>
      </w:r>
      <w:proofErr w:type="spellEnd"/>
      <w:r w:rsidRPr="00A259BD">
        <w:rPr>
          <w:rFonts w:ascii="Times New Roman" w:hAnsi="Times New Roman"/>
          <w:color w:val="000000" w:themeColor="text1"/>
          <w:sz w:val="16"/>
          <w:szCs w:val="16"/>
        </w:rPr>
        <w:t xml:space="preserve"> ходовых испытаниях танка 6 января 1930 г. были получены положительные результаты, Однако тормоза вновь показали себя неудовлетворительно, что задержало дальнейшее проведение испытаний. Только в начале февраля этот недостаток устранили, и заводские испытания танка под руководством помощника начальника тракторного цеха С.Н. Махо-</w:t>
      </w:r>
      <w:proofErr w:type="spellStart"/>
      <w:r w:rsidRPr="00A259BD">
        <w:rPr>
          <w:rFonts w:ascii="Times New Roman" w:hAnsi="Times New Roman"/>
          <w:color w:val="000000" w:themeColor="text1"/>
          <w:sz w:val="16"/>
          <w:szCs w:val="16"/>
        </w:rPr>
        <w:t>нина</w:t>
      </w:r>
      <w:proofErr w:type="spellEnd"/>
      <w:r w:rsidRPr="00A259BD">
        <w:rPr>
          <w:rFonts w:ascii="Times New Roman" w:hAnsi="Times New Roman"/>
          <w:color w:val="000000" w:themeColor="text1"/>
          <w:sz w:val="16"/>
          <w:szCs w:val="16"/>
        </w:rPr>
        <w:t xml:space="preserve"> и начальника КБ И.Н. Алексенко были продолжены 17, 20 и 21 февраля 1930 г. (12303).</w:t>
      </w:r>
    </w:p>
    <w:p w14:paraId="2AF585B4" w14:textId="77777777" w:rsidR="001D017F" w:rsidRPr="00A259BD" w:rsidRDefault="001D017F" w:rsidP="009236E3">
      <w:pPr>
        <w:spacing w:after="0" w:line="240" w:lineRule="auto"/>
        <w:jc w:val="both"/>
        <w:rPr>
          <w:rFonts w:ascii="Times New Roman" w:hAnsi="Times New Roman"/>
          <w:color w:val="000000" w:themeColor="text1"/>
          <w:sz w:val="16"/>
          <w:szCs w:val="16"/>
        </w:rPr>
      </w:pPr>
    </w:p>
    <w:p w14:paraId="2817177E"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w:t>
      </w:r>
      <w:proofErr w:type="spellStart"/>
      <w:r w:rsidRPr="00A259BD">
        <w:rPr>
          <w:rFonts w:ascii="Times New Roman" w:hAnsi="Times New Roman"/>
          <w:color w:val="000000" w:themeColor="text1"/>
          <w:sz w:val="16"/>
          <w:szCs w:val="16"/>
        </w:rPr>
        <w:t>врид</w:t>
      </w:r>
      <w:proofErr w:type="spellEnd"/>
      <w:r w:rsidRPr="00A259BD">
        <w:rPr>
          <w:rFonts w:ascii="Times New Roman" w:hAnsi="Times New Roman"/>
          <w:color w:val="000000" w:themeColor="text1"/>
          <w:sz w:val="16"/>
          <w:szCs w:val="16"/>
        </w:rPr>
        <w:t>. председателя 1У-й секции НТК УММ т. Павловский в отчете о поездке на «</w:t>
      </w:r>
      <w:proofErr w:type="spellStart"/>
      <w:r w:rsidRPr="00A259BD">
        <w:rPr>
          <w:rFonts w:ascii="Times New Roman" w:hAnsi="Times New Roman"/>
          <w:color w:val="000000" w:themeColor="text1"/>
          <w:sz w:val="16"/>
          <w:szCs w:val="16"/>
        </w:rPr>
        <w:t>Челябтракторстрой</w:t>
      </w:r>
      <w:proofErr w:type="spellEnd"/>
      <w:r w:rsidRPr="00A259BD">
        <w:rPr>
          <w:rFonts w:ascii="Times New Roman" w:hAnsi="Times New Roman"/>
          <w:color w:val="000000" w:themeColor="text1"/>
          <w:sz w:val="16"/>
          <w:szCs w:val="16"/>
        </w:rPr>
        <w:t>» он писал:</w:t>
      </w:r>
    </w:p>
    <w:p w14:paraId="18ED1318"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 время моего пребывания на ЧТС с 15 ноября по 18-е ноября </w:t>
      </w:r>
      <w:proofErr w:type="spellStart"/>
      <w:r w:rsidRPr="00A259BD">
        <w:rPr>
          <w:rFonts w:ascii="Times New Roman" w:hAnsi="Times New Roman"/>
          <w:color w:val="000000" w:themeColor="text1"/>
          <w:sz w:val="16"/>
          <w:szCs w:val="16"/>
        </w:rPr>
        <w:t>с.г</w:t>
      </w:r>
      <w:proofErr w:type="spellEnd"/>
      <w:r w:rsidRPr="00A259BD">
        <w:rPr>
          <w:rFonts w:ascii="Times New Roman" w:hAnsi="Times New Roman"/>
          <w:color w:val="000000" w:themeColor="text1"/>
          <w:sz w:val="16"/>
          <w:szCs w:val="16"/>
        </w:rPr>
        <w:t>. мною выяснены следующие данные о строительстве завода.</w:t>
      </w:r>
    </w:p>
    <w:p w14:paraId="5A023CC9"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Окончание строительства основного </w:t>
      </w:r>
      <w:proofErr w:type="spellStart"/>
      <w:r w:rsidRPr="00A259BD">
        <w:rPr>
          <w:rFonts w:ascii="Times New Roman" w:hAnsi="Times New Roman"/>
          <w:color w:val="000000" w:themeColor="text1"/>
          <w:sz w:val="16"/>
          <w:szCs w:val="16"/>
        </w:rPr>
        <w:t>заво</w:t>
      </w:r>
      <w:proofErr w:type="spellEnd"/>
      <w:r w:rsidRPr="00A259BD">
        <w:rPr>
          <w:rFonts w:ascii="Times New Roman" w:hAnsi="Times New Roman"/>
          <w:color w:val="000000" w:themeColor="text1"/>
          <w:sz w:val="16"/>
          <w:szCs w:val="16"/>
        </w:rPr>
        <w:t xml:space="preserve">-да с производительностью 40.000 тракторов КАТЕРПИЛЛЯР 60 в год и пуск завода </w:t>
      </w:r>
      <w:proofErr w:type="spellStart"/>
      <w:r w:rsidRPr="00A259BD">
        <w:rPr>
          <w:rFonts w:ascii="Times New Roman" w:hAnsi="Times New Roman"/>
          <w:color w:val="000000" w:themeColor="text1"/>
          <w:sz w:val="16"/>
          <w:szCs w:val="16"/>
        </w:rPr>
        <w:t>намеча-ются</w:t>
      </w:r>
      <w:proofErr w:type="spellEnd"/>
      <w:r w:rsidRPr="00A259BD">
        <w:rPr>
          <w:rFonts w:ascii="Times New Roman" w:hAnsi="Times New Roman"/>
          <w:color w:val="000000" w:themeColor="text1"/>
          <w:sz w:val="16"/>
          <w:szCs w:val="16"/>
        </w:rPr>
        <w:t xml:space="preserve"> на 1-е ноября 1932 г.</w:t>
      </w:r>
    </w:p>
    <w:p w14:paraId="22E2C649"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Дабы избежать ошибок </w:t>
      </w:r>
      <w:proofErr w:type="spellStart"/>
      <w:r w:rsidRPr="00A259BD">
        <w:rPr>
          <w:rFonts w:ascii="Times New Roman" w:hAnsi="Times New Roman"/>
          <w:color w:val="000000" w:themeColor="text1"/>
          <w:sz w:val="16"/>
          <w:szCs w:val="16"/>
        </w:rPr>
        <w:t>Сталинградско</w:t>
      </w:r>
      <w:proofErr w:type="spellEnd"/>
      <w:r w:rsidRPr="00A259BD">
        <w:rPr>
          <w:rFonts w:ascii="Times New Roman" w:hAnsi="Times New Roman"/>
          <w:color w:val="000000" w:themeColor="text1"/>
          <w:sz w:val="16"/>
          <w:szCs w:val="16"/>
        </w:rPr>
        <w:t xml:space="preserve">-го Тракторного завода и наладить </w:t>
      </w:r>
      <w:proofErr w:type="spellStart"/>
      <w:r w:rsidRPr="00A259BD">
        <w:rPr>
          <w:rFonts w:ascii="Times New Roman" w:hAnsi="Times New Roman"/>
          <w:color w:val="000000" w:themeColor="text1"/>
          <w:sz w:val="16"/>
          <w:szCs w:val="16"/>
        </w:rPr>
        <w:t>планомер-ную</w:t>
      </w:r>
      <w:proofErr w:type="spellEnd"/>
      <w:r w:rsidRPr="00A259BD">
        <w:rPr>
          <w:rFonts w:ascii="Times New Roman" w:hAnsi="Times New Roman"/>
          <w:color w:val="000000" w:themeColor="text1"/>
          <w:sz w:val="16"/>
          <w:szCs w:val="16"/>
        </w:rPr>
        <w:t xml:space="preserve"> подготовку кадров, строительством ЧТС в первую очередь построен Опытный завод с производительностью 120 тракторов в год при работе в 1 смену и до 200 тракторов при 2-х сменной работе.</w:t>
      </w:r>
    </w:p>
    <w:p w14:paraId="70DD9B22"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настоящее время закончены модельная и литейная мастерские и заканчиваются обору-</w:t>
      </w:r>
      <w:proofErr w:type="spellStart"/>
      <w:r w:rsidRPr="00A259BD">
        <w:rPr>
          <w:rFonts w:ascii="Times New Roman" w:hAnsi="Times New Roman"/>
          <w:color w:val="000000" w:themeColor="text1"/>
          <w:sz w:val="16"/>
          <w:szCs w:val="16"/>
        </w:rPr>
        <w:t>дованием</w:t>
      </w:r>
      <w:proofErr w:type="spellEnd"/>
      <w:r w:rsidRPr="00A259BD">
        <w:rPr>
          <w:rFonts w:ascii="Times New Roman" w:hAnsi="Times New Roman"/>
          <w:color w:val="000000" w:themeColor="text1"/>
          <w:sz w:val="16"/>
          <w:szCs w:val="16"/>
        </w:rPr>
        <w:t xml:space="preserve"> кузнечная, механическо-сборочная и термическая.</w:t>
      </w:r>
    </w:p>
    <w:p w14:paraId="00956589"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 посещении мной ответственных </w:t>
      </w:r>
      <w:proofErr w:type="spellStart"/>
      <w:r w:rsidRPr="00A259BD">
        <w:rPr>
          <w:rFonts w:ascii="Times New Roman" w:hAnsi="Times New Roman"/>
          <w:color w:val="000000" w:themeColor="text1"/>
          <w:sz w:val="16"/>
          <w:szCs w:val="16"/>
        </w:rPr>
        <w:t>ра-ботников</w:t>
      </w:r>
      <w:proofErr w:type="spellEnd"/>
      <w:r w:rsidRPr="00A259BD">
        <w:rPr>
          <w:rFonts w:ascii="Times New Roman" w:hAnsi="Times New Roman"/>
          <w:color w:val="000000" w:themeColor="text1"/>
          <w:sz w:val="16"/>
          <w:szCs w:val="16"/>
        </w:rPr>
        <w:t xml:space="preserve"> завода и строительства, мне уда-лось договориться о постройке 2-х тракторов КАТЕРПИЛЛЯР 60 в духе требований УММ по проектам, выполненным НАМИ и утвержден-</w:t>
      </w:r>
      <w:proofErr w:type="spellStart"/>
      <w:r w:rsidRPr="00A259BD">
        <w:rPr>
          <w:rFonts w:ascii="Times New Roman" w:hAnsi="Times New Roman"/>
          <w:color w:val="000000" w:themeColor="text1"/>
          <w:sz w:val="16"/>
          <w:szCs w:val="16"/>
        </w:rPr>
        <w:t>ным</w:t>
      </w:r>
      <w:proofErr w:type="spellEnd"/>
      <w:r w:rsidRPr="00A259BD">
        <w:rPr>
          <w:rFonts w:ascii="Times New Roman" w:hAnsi="Times New Roman"/>
          <w:color w:val="000000" w:themeColor="text1"/>
          <w:sz w:val="16"/>
          <w:szCs w:val="16"/>
        </w:rPr>
        <w:t xml:space="preserve"> НТК УММ 16 октября с. г.</w:t>
      </w:r>
    </w:p>
    <w:p w14:paraId="7E64E7BF"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Данные 2 проекта (9 км и 12 км в час для третьей скорости) будут выполнены на одном из первых 2-х тракторов, </w:t>
      </w:r>
      <w:proofErr w:type="spellStart"/>
      <w:r w:rsidRPr="00A259BD">
        <w:rPr>
          <w:rFonts w:ascii="Times New Roman" w:hAnsi="Times New Roman"/>
          <w:color w:val="000000" w:themeColor="text1"/>
          <w:sz w:val="16"/>
          <w:szCs w:val="16"/>
        </w:rPr>
        <w:t>выпускае-мых</w:t>
      </w:r>
      <w:proofErr w:type="spellEnd"/>
      <w:r w:rsidRPr="00A259BD">
        <w:rPr>
          <w:rFonts w:ascii="Times New Roman" w:hAnsi="Times New Roman"/>
          <w:color w:val="000000" w:themeColor="text1"/>
          <w:sz w:val="16"/>
          <w:szCs w:val="16"/>
        </w:rPr>
        <w:t xml:space="preserve"> заводом по плану 15 </w:t>
      </w:r>
      <w:proofErr w:type="spellStart"/>
      <w:r w:rsidRPr="00A259BD">
        <w:rPr>
          <w:rFonts w:ascii="Times New Roman" w:hAnsi="Times New Roman"/>
          <w:color w:val="000000" w:themeColor="text1"/>
          <w:sz w:val="16"/>
          <w:szCs w:val="16"/>
        </w:rPr>
        <w:t>февра</w:t>
      </w:r>
      <w:proofErr w:type="spellEnd"/>
      <w:r w:rsidRPr="00A259BD">
        <w:rPr>
          <w:rFonts w:ascii="Times New Roman" w:hAnsi="Times New Roman"/>
          <w:color w:val="000000" w:themeColor="text1"/>
          <w:sz w:val="16"/>
          <w:szCs w:val="16"/>
        </w:rPr>
        <w:t xml:space="preserve">-ля 31 г., </w:t>
      </w:r>
      <w:proofErr w:type="spellStart"/>
      <w:r w:rsidRPr="00A259BD">
        <w:rPr>
          <w:rFonts w:ascii="Times New Roman" w:hAnsi="Times New Roman"/>
          <w:color w:val="000000" w:themeColor="text1"/>
          <w:sz w:val="16"/>
          <w:szCs w:val="16"/>
        </w:rPr>
        <w:t>т.о</w:t>
      </w:r>
      <w:proofErr w:type="spellEnd"/>
      <w:r w:rsidRPr="00A259BD">
        <w:rPr>
          <w:rFonts w:ascii="Times New Roman" w:hAnsi="Times New Roman"/>
          <w:color w:val="000000" w:themeColor="text1"/>
          <w:sz w:val="16"/>
          <w:szCs w:val="16"/>
        </w:rPr>
        <w:t xml:space="preserve">. трактор делается с коробкой скоростей, имеющей 3-ю скорость в 12 км, к </w:t>
      </w:r>
      <w:proofErr w:type="spellStart"/>
      <w:r w:rsidRPr="00A259BD">
        <w:rPr>
          <w:rFonts w:ascii="Times New Roman" w:hAnsi="Times New Roman"/>
          <w:color w:val="000000" w:themeColor="text1"/>
          <w:sz w:val="16"/>
          <w:szCs w:val="16"/>
        </w:rPr>
        <w:t>немуже</w:t>
      </w:r>
      <w:proofErr w:type="spellEnd"/>
      <w:r w:rsidRPr="00A259BD">
        <w:rPr>
          <w:rFonts w:ascii="Times New Roman" w:hAnsi="Times New Roman"/>
          <w:color w:val="000000" w:themeColor="text1"/>
          <w:sz w:val="16"/>
          <w:szCs w:val="16"/>
        </w:rPr>
        <w:t xml:space="preserve"> делается набор шестерен для получения 3-й скорости в 9 км. Эти 2 варианта, выполненные для одного трактора, носят на-звание: «Быстроходная короб-ка скоростей» и «Тихоходная коробка скоростей». Готовность 15 марта 1931 г.</w:t>
      </w:r>
    </w:p>
    <w:p w14:paraId="001B8653"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Одновременно мне удалось доказать </w:t>
      </w:r>
      <w:proofErr w:type="spellStart"/>
      <w:r w:rsidRPr="00A259BD">
        <w:rPr>
          <w:rFonts w:ascii="Times New Roman" w:hAnsi="Times New Roman"/>
          <w:color w:val="000000" w:themeColor="text1"/>
          <w:sz w:val="16"/>
          <w:szCs w:val="16"/>
        </w:rPr>
        <w:t>ра-ботникам</w:t>
      </w:r>
      <w:proofErr w:type="spellEnd"/>
      <w:r w:rsidRPr="00A259BD">
        <w:rPr>
          <w:rFonts w:ascii="Times New Roman" w:hAnsi="Times New Roman"/>
          <w:color w:val="000000" w:themeColor="text1"/>
          <w:sz w:val="16"/>
          <w:szCs w:val="16"/>
        </w:rPr>
        <w:t xml:space="preserve"> опытного завода и заинтересовать их в преимуществе 4-х скоростной коробки перед 3-х скоростной. В результате наших собеседований завод согласился выполнить проект 4-х скоростной коробки скоростей с высшей скоростью в 12 км и изготовить трак-тор КАТЕРПИЛЛЯР 60 с указанной коробкой к 15 мая 1931 г.</w:t>
      </w:r>
    </w:p>
    <w:p w14:paraId="3AFCC770"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Мнение иностранных специалистов о боль-</w:t>
      </w:r>
      <w:proofErr w:type="spellStart"/>
      <w:r w:rsidRPr="00A259BD">
        <w:rPr>
          <w:rFonts w:ascii="Times New Roman" w:hAnsi="Times New Roman"/>
          <w:color w:val="000000" w:themeColor="text1"/>
          <w:sz w:val="16"/>
          <w:szCs w:val="16"/>
        </w:rPr>
        <w:t>ших</w:t>
      </w:r>
      <w:proofErr w:type="spellEnd"/>
      <w:r w:rsidRPr="00A259BD">
        <w:rPr>
          <w:rFonts w:ascii="Times New Roman" w:hAnsi="Times New Roman"/>
          <w:color w:val="000000" w:themeColor="text1"/>
          <w:sz w:val="16"/>
          <w:szCs w:val="16"/>
        </w:rPr>
        <w:t xml:space="preserve"> скоростях (9-12 км) для трактора КАТЕР-ПИЛЛЯР 60 сводится к тому, что такие скорости допустимы для конструкции трактора, но вели-</w:t>
      </w:r>
      <w:proofErr w:type="spellStart"/>
      <w:r w:rsidRPr="00A259BD">
        <w:rPr>
          <w:rFonts w:ascii="Times New Roman" w:hAnsi="Times New Roman"/>
          <w:color w:val="000000" w:themeColor="text1"/>
          <w:sz w:val="16"/>
          <w:szCs w:val="16"/>
        </w:rPr>
        <w:t>ки</w:t>
      </w:r>
      <w:proofErr w:type="spellEnd"/>
      <w:r w:rsidRPr="00A259BD">
        <w:rPr>
          <w:rFonts w:ascii="Times New Roman" w:hAnsi="Times New Roman"/>
          <w:color w:val="000000" w:themeColor="text1"/>
          <w:sz w:val="16"/>
          <w:szCs w:val="16"/>
        </w:rPr>
        <w:t xml:space="preserve"> для подвижного состава в массе своей </w:t>
      </w:r>
      <w:proofErr w:type="spellStart"/>
      <w:r w:rsidRPr="00A259BD">
        <w:rPr>
          <w:rFonts w:ascii="Times New Roman" w:hAnsi="Times New Roman"/>
          <w:color w:val="000000" w:themeColor="text1"/>
          <w:sz w:val="16"/>
          <w:szCs w:val="16"/>
        </w:rPr>
        <w:t>не-</w:t>
      </w:r>
      <w:proofErr w:type="spellEnd"/>
      <w:r w:rsidRPr="00A259BD">
        <w:rPr>
          <w:rFonts w:ascii="Times New Roman" w:hAnsi="Times New Roman"/>
          <w:color w:val="000000" w:themeColor="text1"/>
          <w:sz w:val="16"/>
          <w:szCs w:val="16"/>
        </w:rPr>
        <w:t xml:space="preserve"> подрессоренного, который применяется </w:t>
      </w:r>
      <w:proofErr w:type="spellStart"/>
      <w:r w:rsidRPr="00A259BD">
        <w:rPr>
          <w:rFonts w:ascii="Times New Roman" w:hAnsi="Times New Roman"/>
          <w:color w:val="000000" w:themeColor="text1"/>
          <w:sz w:val="16"/>
          <w:szCs w:val="16"/>
        </w:rPr>
        <w:t>Зер</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нотрестом</w:t>
      </w:r>
      <w:proofErr w:type="spellEnd"/>
      <w:r w:rsidRPr="00A259BD">
        <w:rPr>
          <w:rFonts w:ascii="Times New Roman" w:hAnsi="Times New Roman"/>
          <w:color w:val="000000" w:themeColor="text1"/>
          <w:sz w:val="16"/>
          <w:szCs w:val="16"/>
        </w:rPr>
        <w:t xml:space="preserve">. Это мнение высказал американец м-р ТОМ, инженер фирмы КАТЕРПИЛЛЯР, до сего времени работавший в </w:t>
      </w:r>
      <w:proofErr w:type="spellStart"/>
      <w:r w:rsidRPr="00A259BD">
        <w:rPr>
          <w:rFonts w:ascii="Times New Roman" w:hAnsi="Times New Roman"/>
          <w:color w:val="000000" w:themeColor="text1"/>
          <w:sz w:val="16"/>
          <w:szCs w:val="16"/>
        </w:rPr>
        <w:t>Зернотресте</w:t>
      </w:r>
      <w:proofErr w:type="spellEnd"/>
      <w:r w:rsidRPr="00A259BD">
        <w:rPr>
          <w:rFonts w:ascii="Times New Roman" w:hAnsi="Times New Roman"/>
          <w:color w:val="000000" w:themeColor="text1"/>
          <w:sz w:val="16"/>
          <w:szCs w:val="16"/>
        </w:rPr>
        <w:t>.</w:t>
      </w:r>
    </w:p>
    <w:p w14:paraId="0E7BF0C1"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Подобное заявление иностранного </w:t>
      </w:r>
      <w:proofErr w:type="spellStart"/>
      <w:r w:rsidRPr="00A259BD">
        <w:rPr>
          <w:rFonts w:ascii="Times New Roman" w:hAnsi="Times New Roman"/>
          <w:color w:val="000000" w:themeColor="text1"/>
          <w:sz w:val="16"/>
          <w:szCs w:val="16"/>
        </w:rPr>
        <w:t>спе-циалиста</w:t>
      </w:r>
      <w:proofErr w:type="spellEnd"/>
      <w:r w:rsidRPr="00A259BD">
        <w:rPr>
          <w:rFonts w:ascii="Times New Roman" w:hAnsi="Times New Roman"/>
          <w:color w:val="000000" w:themeColor="text1"/>
          <w:sz w:val="16"/>
          <w:szCs w:val="16"/>
        </w:rPr>
        <w:t xml:space="preserve"> подтверждает наши расчеты об </w:t>
      </w:r>
      <w:proofErr w:type="spellStart"/>
      <w:r w:rsidRPr="00A259BD">
        <w:rPr>
          <w:rFonts w:ascii="Times New Roman" w:hAnsi="Times New Roman"/>
          <w:color w:val="000000" w:themeColor="text1"/>
          <w:sz w:val="16"/>
          <w:szCs w:val="16"/>
        </w:rPr>
        <w:t>уве-личении</w:t>
      </w:r>
      <w:proofErr w:type="spellEnd"/>
      <w:r w:rsidRPr="00A259BD">
        <w:rPr>
          <w:rFonts w:ascii="Times New Roman" w:hAnsi="Times New Roman"/>
          <w:color w:val="000000" w:themeColor="text1"/>
          <w:sz w:val="16"/>
          <w:szCs w:val="16"/>
        </w:rPr>
        <w:t xml:space="preserve"> скорости трактора КАТЕРПИЛЛЯР 60 и наши неоднократные заявления о необходимо-</w:t>
      </w:r>
      <w:proofErr w:type="spellStart"/>
      <w:r w:rsidRPr="00A259BD">
        <w:rPr>
          <w:rFonts w:ascii="Times New Roman" w:hAnsi="Times New Roman"/>
          <w:color w:val="000000" w:themeColor="text1"/>
          <w:sz w:val="16"/>
          <w:szCs w:val="16"/>
        </w:rPr>
        <w:t>сти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подрессоривания</w:t>
      </w:r>
      <w:proofErr w:type="spellEnd"/>
      <w:r w:rsidRPr="00A259BD">
        <w:rPr>
          <w:rFonts w:ascii="Times New Roman" w:hAnsi="Times New Roman"/>
          <w:color w:val="000000" w:themeColor="text1"/>
          <w:sz w:val="16"/>
          <w:szCs w:val="16"/>
        </w:rPr>
        <w:t xml:space="preserve"> прицепок для тракторов.</w:t>
      </w:r>
    </w:p>
    <w:p w14:paraId="43CFCE8A"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настоящее время, когда вопрос о кадрах стоит чрезвычайно остро, в наши районные строительства тракторных гигантов могут </w:t>
      </w:r>
      <w:proofErr w:type="spellStart"/>
      <w:r w:rsidRPr="00A259BD">
        <w:rPr>
          <w:rFonts w:ascii="Times New Roman" w:hAnsi="Times New Roman"/>
          <w:color w:val="000000" w:themeColor="text1"/>
          <w:sz w:val="16"/>
          <w:szCs w:val="16"/>
        </w:rPr>
        <w:t>по-падать</w:t>
      </w:r>
      <w:proofErr w:type="spellEnd"/>
      <w:r w:rsidRPr="00A259BD">
        <w:rPr>
          <w:rFonts w:ascii="Times New Roman" w:hAnsi="Times New Roman"/>
          <w:color w:val="000000" w:themeColor="text1"/>
          <w:sz w:val="16"/>
          <w:szCs w:val="16"/>
        </w:rPr>
        <w:t xml:space="preserve"> лица, враждебные нам по духу, которые своим участием будут приносить только вред, как прямой, так и косвенный, всей стройке.</w:t>
      </w:r>
    </w:p>
    <w:p w14:paraId="16336757"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Такой завод, как Челябинский, производя-</w:t>
      </w:r>
      <w:proofErr w:type="spellStart"/>
      <w:r w:rsidRPr="00A259BD">
        <w:rPr>
          <w:rFonts w:ascii="Times New Roman" w:hAnsi="Times New Roman"/>
          <w:color w:val="000000" w:themeColor="text1"/>
          <w:sz w:val="16"/>
          <w:szCs w:val="16"/>
        </w:rPr>
        <w:t>щий</w:t>
      </w:r>
      <w:proofErr w:type="spellEnd"/>
      <w:r w:rsidRPr="00A259BD">
        <w:rPr>
          <w:rFonts w:ascii="Times New Roman" w:hAnsi="Times New Roman"/>
          <w:color w:val="000000" w:themeColor="text1"/>
          <w:sz w:val="16"/>
          <w:szCs w:val="16"/>
        </w:rPr>
        <w:t xml:space="preserve"> мощные трактора, по моему мнению, еще в периоде строительства должен быть взят под опеку РККА в лице </w:t>
      </w:r>
      <w:proofErr w:type="spellStart"/>
      <w:r w:rsidRPr="00A259BD">
        <w:rPr>
          <w:rFonts w:ascii="Times New Roman" w:hAnsi="Times New Roman"/>
          <w:color w:val="000000" w:themeColor="text1"/>
          <w:sz w:val="16"/>
          <w:szCs w:val="16"/>
        </w:rPr>
        <w:t>УММдля</w:t>
      </w:r>
      <w:proofErr w:type="spellEnd"/>
      <w:r w:rsidRPr="00A259BD">
        <w:rPr>
          <w:rFonts w:ascii="Times New Roman" w:hAnsi="Times New Roman"/>
          <w:color w:val="000000" w:themeColor="text1"/>
          <w:sz w:val="16"/>
          <w:szCs w:val="16"/>
        </w:rPr>
        <w:t xml:space="preserve"> обеспечения </w:t>
      </w:r>
      <w:proofErr w:type="spellStart"/>
      <w:r w:rsidRPr="00A259BD">
        <w:rPr>
          <w:rFonts w:ascii="Times New Roman" w:hAnsi="Times New Roman"/>
          <w:color w:val="000000" w:themeColor="text1"/>
          <w:sz w:val="16"/>
          <w:szCs w:val="16"/>
        </w:rPr>
        <w:t>плано</w:t>
      </w:r>
      <w:proofErr w:type="spellEnd"/>
      <w:r w:rsidRPr="00A259BD">
        <w:rPr>
          <w:rFonts w:ascii="Times New Roman" w:hAnsi="Times New Roman"/>
          <w:color w:val="000000" w:themeColor="text1"/>
          <w:sz w:val="16"/>
          <w:szCs w:val="16"/>
        </w:rPr>
        <w:t>-мерного строительства, предупреждения актов вредительства и внедрения требований В. В. в строительство и будущую продукцию завода.</w:t>
      </w:r>
    </w:p>
    <w:p w14:paraId="4D103AF6"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обеспечения этого необходимо </w:t>
      </w:r>
      <w:proofErr w:type="spellStart"/>
      <w:r w:rsidRPr="00A259BD">
        <w:rPr>
          <w:rFonts w:ascii="Times New Roman" w:hAnsi="Times New Roman"/>
          <w:color w:val="000000" w:themeColor="text1"/>
          <w:sz w:val="16"/>
          <w:szCs w:val="16"/>
        </w:rPr>
        <w:t>назна-чение</w:t>
      </w:r>
      <w:proofErr w:type="spellEnd"/>
      <w:r w:rsidRPr="00A259BD">
        <w:rPr>
          <w:rFonts w:ascii="Times New Roman" w:hAnsi="Times New Roman"/>
          <w:color w:val="000000" w:themeColor="text1"/>
          <w:sz w:val="16"/>
          <w:szCs w:val="16"/>
        </w:rPr>
        <w:t xml:space="preserve"> на </w:t>
      </w:r>
      <w:proofErr w:type="spellStart"/>
      <w:r w:rsidRPr="00A259BD">
        <w:rPr>
          <w:rFonts w:ascii="Times New Roman" w:hAnsi="Times New Roman"/>
          <w:color w:val="000000" w:themeColor="text1"/>
          <w:sz w:val="16"/>
          <w:szCs w:val="16"/>
        </w:rPr>
        <w:t>Челябтракторстрой</w:t>
      </w:r>
      <w:proofErr w:type="spellEnd"/>
      <w:r w:rsidRPr="00A259BD">
        <w:rPr>
          <w:rFonts w:ascii="Times New Roman" w:hAnsi="Times New Roman"/>
          <w:color w:val="000000" w:themeColor="text1"/>
          <w:sz w:val="16"/>
          <w:szCs w:val="16"/>
        </w:rPr>
        <w:t xml:space="preserve"> (ЧТС) нашего от-</w:t>
      </w:r>
      <w:proofErr w:type="spellStart"/>
      <w:r w:rsidRPr="00A259BD">
        <w:rPr>
          <w:rFonts w:ascii="Times New Roman" w:hAnsi="Times New Roman"/>
          <w:color w:val="000000" w:themeColor="text1"/>
          <w:sz w:val="16"/>
          <w:szCs w:val="16"/>
        </w:rPr>
        <w:t>ветственного</w:t>
      </w:r>
      <w:proofErr w:type="spellEnd"/>
      <w:r w:rsidRPr="00A259BD">
        <w:rPr>
          <w:rFonts w:ascii="Times New Roman" w:hAnsi="Times New Roman"/>
          <w:color w:val="000000" w:themeColor="text1"/>
          <w:sz w:val="16"/>
          <w:szCs w:val="16"/>
        </w:rPr>
        <w:t xml:space="preserve"> военного представителя в крат-</w:t>
      </w:r>
      <w:proofErr w:type="spellStart"/>
      <w:r w:rsidRPr="00A259BD">
        <w:rPr>
          <w:rFonts w:ascii="Times New Roman" w:hAnsi="Times New Roman"/>
          <w:color w:val="000000" w:themeColor="text1"/>
          <w:sz w:val="16"/>
          <w:szCs w:val="16"/>
        </w:rPr>
        <w:t>чайший</w:t>
      </w:r>
      <w:proofErr w:type="spellEnd"/>
      <w:r w:rsidRPr="00A259BD">
        <w:rPr>
          <w:rFonts w:ascii="Times New Roman" w:hAnsi="Times New Roman"/>
          <w:color w:val="000000" w:themeColor="text1"/>
          <w:sz w:val="16"/>
          <w:szCs w:val="16"/>
        </w:rPr>
        <w:t xml:space="preserve"> срок.</w:t>
      </w:r>
    </w:p>
    <w:p w14:paraId="02B2DEB7"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Наличие опытного завода уже сейчас </w:t>
      </w:r>
      <w:proofErr w:type="spellStart"/>
      <w:r w:rsidRPr="00A259BD">
        <w:rPr>
          <w:rFonts w:ascii="Times New Roman" w:hAnsi="Times New Roman"/>
          <w:color w:val="000000" w:themeColor="text1"/>
          <w:sz w:val="16"/>
          <w:szCs w:val="16"/>
        </w:rPr>
        <w:t>по-зволяет</w:t>
      </w:r>
      <w:proofErr w:type="spellEnd"/>
      <w:r w:rsidRPr="00A259BD">
        <w:rPr>
          <w:rFonts w:ascii="Times New Roman" w:hAnsi="Times New Roman"/>
          <w:color w:val="000000" w:themeColor="text1"/>
          <w:sz w:val="16"/>
          <w:szCs w:val="16"/>
        </w:rPr>
        <w:t xml:space="preserve"> провести некоторые работы (пока завод не закончен) по подготовке танкового (Т-24) строительства на ЧТС и в смысле наших пожеланий к оборудованию цехов опытного завода.</w:t>
      </w:r>
    </w:p>
    <w:p w14:paraId="2316C2D0"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обеспечения бесперебойного вы-</w:t>
      </w:r>
      <w:proofErr w:type="spellStart"/>
      <w:r w:rsidRPr="00A259BD">
        <w:rPr>
          <w:rFonts w:ascii="Times New Roman" w:hAnsi="Times New Roman"/>
          <w:color w:val="000000" w:themeColor="text1"/>
          <w:sz w:val="16"/>
          <w:szCs w:val="16"/>
        </w:rPr>
        <w:t>полнения</w:t>
      </w:r>
      <w:proofErr w:type="spellEnd"/>
      <w:r w:rsidRPr="00A259BD">
        <w:rPr>
          <w:rFonts w:ascii="Times New Roman" w:hAnsi="Times New Roman"/>
          <w:color w:val="000000" w:themeColor="text1"/>
          <w:sz w:val="16"/>
          <w:szCs w:val="16"/>
        </w:rPr>
        <w:t xml:space="preserve"> наших (УММ) заказов необходимо теперь же оказать некоторую помощь заводу в получении с Пермского и Ижевского завода легированных сталей и некоторого </w:t>
      </w:r>
      <w:proofErr w:type="spellStart"/>
      <w:r w:rsidRPr="00A259BD">
        <w:rPr>
          <w:rFonts w:ascii="Times New Roman" w:hAnsi="Times New Roman"/>
          <w:color w:val="000000" w:themeColor="text1"/>
          <w:sz w:val="16"/>
          <w:szCs w:val="16"/>
        </w:rPr>
        <w:t>инстру</w:t>
      </w:r>
      <w:proofErr w:type="spellEnd"/>
      <w:r w:rsidRPr="00A259BD">
        <w:rPr>
          <w:rFonts w:ascii="Times New Roman" w:hAnsi="Times New Roman"/>
          <w:color w:val="000000" w:themeColor="text1"/>
          <w:sz w:val="16"/>
          <w:szCs w:val="16"/>
        </w:rPr>
        <w:t>-мента» (12258).</w:t>
      </w:r>
    </w:p>
    <w:p w14:paraId="3B3C5F1C" w14:textId="77777777" w:rsidR="001D017F" w:rsidRPr="00A259BD" w:rsidRDefault="001D017F" w:rsidP="009236E3">
      <w:pPr>
        <w:spacing w:after="0" w:line="240" w:lineRule="auto"/>
        <w:jc w:val="both"/>
        <w:rPr>
          <w:rFonts w:ascii="Times New Roman" w:hAnsi="Times New Roman"/>
          <w:color w:val="000000" w:themeColor="text1"/>
          <w:sz w:val="16"/>
          <w:szCs w:val="16"/>
        </w:rPr>
      </w:pPr>
    </w:p>
    <w:p w14:paraId="161992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была одобрена новая программа развертывания танков по мобилизации и соответственно, новые производственные планы (9089,151):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701"/>
        <w:gridCol w:w="1701"/>
        <w:gridCol w:w="1701"/>
        <w:gridCol w:w="1701"/>
        <w:gridCol w:w="1843"/>
      </w:tblGrid>
      <w:tr w:rsidR="00A259BD" w:rsidRPr="00A259BD" w14:paraId="7DCD28AC" w14:textId="77777777">
        <w:tc>
          <w:tcPr>
            <w:tcW w:w="1809" w:type="dxa"/>
          </w:tcPr>
          <w:p w14:paraId="6E22D1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Планируемое производство</w:t>
            </w:r>
          </w:p>
        </w:tc>
        <w:tc>
          <w:tcPr>
            <w:tcW w:w="1701" w:type="dxa"/>
          </w:tcPr>
          <w:p w14:paraId="48BF25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1929/1930</w:t>
            </w:r>
          </w:p>
        </w:tc>
        <w:tc>
          <w:tcPr>
            <w:tcW w:w="1701" w:type="dxa"/>
          </w:tcPr>
          <w:p w14:paraId="681458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1930/1931</w:t>
            </w:r>
          </w:p>
        </w:tc>
        <w:tc>
          <w:tcPr>
            <w:tcW w:w="1701" w:type="dxa"/>
          </w:tcPr>
          <w:p w14:paraId="6FA72C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1931/1932</w:t>
            </w:r>
          </w:p>
        </w:tc>
        <w:tc>
          <w:tcPr>
            <w:tcW w:w="1701" w:type="dxa"/>
          </w:tcPr>
          <w:p w14:paraId="7B74E3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1932/1933</w:t>
            </w:r>
          </w:p>
        </w:tc>
        <w:tc>
          <w:tcPr>
            <w:tcW w:w="1843" w:type="dxa"/>
          </w:tcPr>
          <w:p w14:paraId="4E35B7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r>
      <w:tr w:rsidR="00A259BD" w:rsidRPr="00A259BD" w14:paraId="69BC7796" w14:textId="77777777">
        <w:tc>
          <w:tcPr>
            <w:tcW w:w="1809" w:type="dxa"/>
          </w:tcPr>
          <w:p w14:paraId="429E4E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Малые танки</w:t>
            </w:r>
          </w:p>
        </w:tc>
        <w:tc>
          <w:tcPr>
            <w:tcW w:w="1701" w:type="dxa"/>
          </w:tcPr>
          <w:p w14:paraId="4E4067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tc>
        <w:tc>
          <w:tcPr>
            <w:tcW w:w="1701" w:type="dxa"/>
          </w:tcPr>
          <w:p w14:paraId="17CEAE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665</w:t>
            </w:r>
          </w:p>
        </w:tc>
        <w:tc>
          <w:tcPr>
            <w:tcW w:w="1701" w:type="dxa"/>
          </w:tcPr>
          <w:p w14:paraId="6F1A95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800</w:t>
            </w:r>
          </w:p>
        </w:tc>
        <w:tc>
          <w:tcPr>
            <w:tcW w:w="1701" w:type="dxa"/>
          </w:tcPr>
          <w:p w14:paraId="69DC33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1170</w:t>
            </w:r>
          </w:p>
        </w:tc>
        <w:tc>
          <w:tcPr>
            <w:tcW w:w="1843" w:type="dxa"/>
          </w:tcPr>
          <w:p w14:paraId="3FBA50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2935</w:t>
            </w:r>
          </w:p>
        </w:tc>
      </w:tr>
      <w:tr w:rsidR="00A259BD" w:rsidRPr="00A259BD" w14:paraId="4F628B25" w14:textId="77777777">
        <w:tc>
          <w:tcPr>
            <w:tcW w:w="1809" w:type="dxa"/>
          </w:tcPr>
          <w:p w14:paraId="7E449E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Средние танки</w:t>
            </w:r>
          </w:p>
        </w:tc>
        <w:tc>
          <w:tcPr>
            <w:tcW w:w="1701" w:type="dxa"/>
          </w:tcPr>
          <w:p w14:paraId="298BA6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w:t>
            </w:r>
          </w:p>
        </w:tc>
        <w:tc>
          <w:tcPr>
            <w:tcW w:w="1701" w:type="dxa"/>
          </w:tcPr>
          <w:p w14:paraId="6D8F0D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w:t>
            </w:r>
          </w:p>
        </w:tc>
        <w:tc>
          <w:tcPr>
            <w:tcW w:w="1701" w:type="dxa"/>
          </w:tcPr>
          <w:p w14:paraId="23F5FA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1000</w:t>
            </w:r>
          </w:p>
        </w:tc>
        <w:tc>
          <w:tcPr>
            <w:tcW w:w="1701" w:type="dxa"/>
          </w:tcPr>
          <w:p w14:paraId="2E85D4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1100</w:t>
            </w:r>
          </w:p>
        </w:tc>
        <w:tc>
          <w:tcPr>
            <w:tcW w:w="1843" w:type="dxa"/>
          </w:tcPr>
          <w:p w14:paraId="5F2CA9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2430</w:t>
            </w:r>
          </w:p>
        </w:tc>
      </w:tr>
      <w:tr w:rsidR="00A259BD" w:rsidRPr="00A259BD" w14:paraId="74974DC8" w14:textId="77777777">
        <w:tc>
          <w:tcPr>
            <w:tcW w:w="1809" w:type="dxa"/>
          </w:tcPr>
          <w:p w14:paraId="1280F0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Тяжелые танки</w:t>
            </w:r>
          </w:p>
        </w:tc>
        <w:tc>
          <w:tcPr>
            <w:tcW w:w="1701" w:type="dxa"/>
          </w:tcPr>
          <w:p w14:paraId="77A839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w:t>
            </w:r>
          </w:p>
        </w:tc>
        <w:tc>
          <w:tcPr>
            <w:tcW w:w="1701" w:type="dxa"/>
          </w:tcPr>
          <w:p w14:paraId="0BC4D8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w:t>
            </w:r>
          </w:p>
        </w:tc>
        <w:tc>
          <w:tcPr>
            <w:tcW w:w="1701" w:type="dxa"/>
          </w:tcPr>
          <w:p w14:paraId="19C2E3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48</w:t>
            </w:r>
          </w:p>
        </w:tc>
        <w:tc>
          <w:tcPr>
            <w:tcW w:w="1701" w:type="dxa"/>
          </w:tcPr>
          <w:p w14:paraId="649B92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150</w:t>
            </w:r>
          </w:p>
        </w:tc>
        <w:tc>
          <w:tcPr>
            <w:tcW w:w="1843" w:type="dxa"/>
          </w:tcPr>
          <w:p w14:paraId="3F532A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w:t>
            </w:r>
          </w:p>
        </w:tc>
      </w:tr>
      <w:tr w:rsidR="00A259BD" w:rsidRPr="00A259BD" w14:paraId="30CE5D70" w14:textId="77777777">
        <w:tc>
          <w:tcPr>
            <w:tcW w:w="1809" w:type="dxa"/>
          </w:tcPr>
          <w:p w14:paraId="6B8FF6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Танкетки</w:t>
            </w:r>
          </w:p>
        </w:tc>
        <w:tc>
          <w:tcPr>
            <w:tcW w:w="1701" w:type="dxa"/>
          </w:tcPr>
          <w:p w14:paraId="0CDF4F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w:t>
            </w:r>
          </w:p>
        </w:tc>
        <w:tc>
          <w:tcPr>
            <w:tcW w:w="1701" w:type="dxa"/>
          </w:tcPr>
          <w:p w14:paraId="6DF6E8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290</w:t>
            </w:r>
          </w:p>
        </w:tc>
        <w:tc>
          <w:tcPr>
            <w:tcW w:w="1701" w:type="dxa"/>
          </w:tcPr>
          <w:p w14:paraId="343FAA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410</w:t>
            </w:r>
          </w:p>
        </w:tc>
        <w:tc>
          <w:tcPr>
            <w:tcW w:w="1701" w:type="dxa"/>
          </w:tcPr>
          <w:p w14:paraId="096A1E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390</w:t>
            </w:r>
          </w:p>
        </w:tc>
        <w:tc>
          <w:tcPr>
            <w:tcW w:w="1843" w:type="dxa"/>
          </w:tcPr>
          <w:p w14:paraId="4715F7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1100</w:t>
            </w:r>
          </w:p>
        </w:tc>
      </w:tr>
      <w:tr w:rsidR="00A259BD" w:rsidRPr="00A259BD" w14:paraId="2E46B73E" w14:textId="77777777">
        <w:tc>
          <w:tcPr>
            <w:tcW w:w="1809" w:type="dxa"/>
          </w:tcPr>
          <w:p w14:paraId="77E35F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1701" w:type="dxa"/>
          </w:tcPr>
          <w:p w14:paraId="68D7E0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340</w:t>
            </w:r>
          </w:p>
        </w:tc>
        <w:tc>
          <w:tcPr>
            <w:tcW w:w="1701" w:type="dxa"/>
          </w:tcPr>
          <w:p w14:paraId="3CC3E0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1257</w:t>
            </w:r>
          </w:p>
        </w:tc>
        <w:tc>
          <w:tcPr>
            <w:tcW w:w="1701" w:type="dxa"/>
          </w:tcPr>
          <w:p w14:paraId="4181DC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2258</w:t>
            </w:r>
          </w:p>
        </w:tc>
        <w:tc>
          <w:tcPr>
            <w:tcW w:w="1701" w:type="dxa"/>
          </w:tcPr>
          <w:p w14:paraId="2E030F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2710</w:t>
            </w:r>
          </w:p>
        </w:tc>
        <w:tc>
          <w:tcPr>
            <w:tcW w:w="1843" w:type="dxa"/>
          </w:tcPr>
          <w:p w14:paraId="466867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6665</w:t>
            </w:r>
          </w:p>
        </w:tc>
      </w:tr>
    </w:tbl>
    <w:p w14:paraId="69F084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(9441)</w:t>
      </w:r>
    </w:p>
    <w:p w14:paraId="4B1C52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89AAA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года на Ижорском заводе в Ленинграде создается опытно-конструкторское и испытательное бюро УММ РККА, которое возглавил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xml:space="preserve">. КБ начало активную работу по проектированию танка, получившего обозначение Д-4. Кроме этого,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xml:space="preserve"> сразу же развернул бурную деятельность по ряду других проектов - он вел работы по созданию бронеавтомобилей, бронированных тракторов, боевых химических машин, </w:t>
      </w:r>
      <w:proofErr w:type="spellStart"/>
      <w:r w:rsidRPr="00A259BD">
        <w:rPr>
          <w:rFonts w:ascii="Times New Roman" w:hAnsi="Times New Roman"/>
          <w:color w:val="000000" w:themeColor="text1"/>
          <w:sz w:val="16"/>
          <w:szCs w:val="16"/>
        </w:rPr>
        <w:t>мотоброневагонов</w:t>
      </w:r>
      <w:proofErr w:type="spellEnd"/>
      <w:r w:rsidRPr="00A259BD">
        <w:rPr>
          <w:rFonts w:ascii="Times New Roman" w:hAnsi="Times New Roman"/>
          <w:color w:val="000000" w:themeColor="text1"/>
          <w:sz w:val="16"/>
          <w:szCs w:val="16"/>
        </w:rPr>
        <w:t>, разрабатывал сварные и штампованные корпуса для танков, новый состав брони, вездеходы и трансмиссии - всего более 50 различных конструкций (часть из которых изготовлена в металле) за полтора года! Но природная изобретательность не могла скомпенсировать отсутствия инженерного образования - почти все проекты оказались неудачными (10291).</w:t>
      </w:r>
    </w:p>
    <w:p w14:paraId="009C28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B87DE5" w14:textId="77777777" w:rsidR="00D16BA6" w:rsidRPr="00A259BD" w:rsidRDefault="00D16BA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В декабре 1929 года Артиллерийский генерал в отставке Людвиг, до этого возглавлявший </w:t>
      </w:r>
      <w:proofErr w:type="spellStart"/>
      <w:r w:rsidRPr="00A259BD">
        <w:rPr>
          <w:rFonts w:ascii="Times New Roman" w:hAnsi="Times New Roman"/>
          <w:color w:val="000000" w:themeColor="text1"/>
          <w:sz w:val="16"/>
          <w:szCs w:val="16"/>
        </w:rPr>
        <w:t>ваффенамт</w:t>
      </w:r>
      <w:proofErr w:type="spellEnd"/>
      <w:r w:rsidRPr="00A259BD">
        <w:rPr>
          <w:rFonts w:ascii="Times New Roman" w:hAnsi="Times New Roman"/>
          <w:color w:val="000000" w:themeColor="text1"/>
          <w:sz w:val="16"/>
          <w:szCs w:val="16"/>
        </w:rPr>
        <w:t>, согласился взять на себя организацию процесса ведения переговоров и поиск подходящих фирм, прибыл в Москву и сообщил Уборевичу во время встречи, имевшей место 10 декабря 1929 года, о согласии на участие в проекте трех фирм: «Крупп» (легкие танки, артиллерийские системы, оружейные стали), «Тилле» (механические трубки, взрыватели) и «</w:t>
      </w:r>
      <w:proofErr w:type="spellStart"/>
      <w:r w:rsidRPr="00A259BD">
        <w:rPr>
          <w:rFonts w:ascii="Times New Roman" w:hAnsi="Times New Roman"/>
          <w:color w:val="000000" w:themeColor="text1"/>
          <w:sz w:val="16"/>
          <w:szCs w:val="16"/>
        </w:rPr>
        <w:t>Рейнметалл</w:t>
      </w:r>
      <w:proofErr w:type="spellEnd"/>
      <w:r w:rsidRPr="00A259BD">
        <w:rPr>
          <w:rFonts w:ascii="Times New Roman" w:hAnsi="Times New Roman"/>
          <w:color w:val="000000" w:themeColor="text1"/>
          <w:sz w:val="16"/>
          <w:szCs w:val="16"/>
        </w:rPr>
        <w:t>». «Крупп» и «Тилле» в процессе переговоров «отсеялись», поскольку их предложение не устроило руководство РККА, хотя переговоры с ними шли вплоть до конца 1930 года, а легкие танки Круппа были привезены в Казанскую школу, где командование РККА могло наблюдать их в действии.</w:t>
      </w:r>
    </w:p>
    <w:p w14:paraId="1DC27C82" w14:textId="77777777" w:rsidR="00D16BA6" w:rsidRPr="00A259BD" w:rsidRDefault="00D16BA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Представители «</w:t>
      </w:r>
      <w:proofErr w:type="spellStart"/>
      <w:r w:rsidRPr="00A259BD">
        <w:rPr>
          <w:rFonts w:ascii="Times New Roman" w:hAnsi="Times New Roman"/>
          <w:color w:val="000000" w:themeColor="text1"/>
          <w:sz w:val="16"/>
          <w:szCs w:val="16"/>
        </w:rPr>
        <w:t>Рейнметалла</w:t>
      </w:r>
      <w:proofErr w:type="spellEnd"/>
      <w:r w:rsidRPr="00A259BD">
        <w:rPr>
          <w:rFonts w:ascii="Times New Roman" w:hAnsi="Times New Roman"/>
          <w:color w:val="000000" w:themeColor="text1"/>
          <w:sz w:val="16"/>
          <w:szCs w:val="16"/>
        </w:rPr>
        <w:t xml:space="preserve">» опасались начинать какие-либо дела в СССР, помня о неудачном опыте Юнкерса и </w:t>
      </w:r>
      <w:proofErr w:type="spellStart"/>
      <w:r w:rsidRPr="00A259BD">
        <w:rPr>
          <w:rFonts w:ascii="Times New Roman" w:hAnsi="Times New Roman"/>
          <w:color w:val="000000" w:themeColor="text1"/>
          <w:sz w:val="16"/>
          <w:szCs w:val="16"/>
        </w:rPr>
        <w:t>Штольценберга</w:t>
      </w:r>
      <w:proofErr w:type="spellEnd"/>
      <w:r w:rsidRPr="00A259BD">
        <w:rPr>
          <w:rFonts w:ascii="Times New Roman" w:hAnsi="Times New Roman"/>
          <w:color w:val="000000" w:themeColor="text1"/>
          <w:sz w:val="16"/>
          <w:szCs w:val="16"/>
        </w:rPr>
        <w:t>. Но именно у «</w:t>
      </w:r>
      <w:proofErr w:type="spellStart"/>
      <w:r w:rsidRPr="00A259BD">
        <w:rPr>
          <w:rFonts w:ascii="Times New Roman" w:hAnsi="Times New Roman"/>
          <w:color w:val="000000" w:themeColor="text1"/>
          <w:sz w:val="16"/>
          <w:szCs w:val="16"/>
        </w:rPr>
        <w:t>Рейнметалла</w:t>
      </w:r>
      <w:proofErr w:type="spellEnd"/>
      <w:r w:rsidRPr="00A259BD">
        <w:rPr>
          <w:rFonts w:ascii="Times New Roman" w:hAnsi="Times New Roman"/>
          <w:color w:val="000000" w:themeColor="text1"/>
          <w:sz w:val="16"/>
          <w:szCs w:val="16"/>
        </w:rPr>
        <w:t xml:space="preserve">» на тот момент не было иного выхода. После окончания Первой мировой войны фирма так и не сумела перевести большую часть своих активов на выпуск гражданской продукции в отличие от того же Круппа, выбросившего после вступления в силу «оружейных[292] статей» Версальского договора лозунг «Мы производим все!». Основным покупателем концерна продолжал оставаться </w:t>
      </w:r>
      <w:proofErr w:type="spellStart"/>
      <w:r w:rsidRPr="00A259BD">
        <w:rPr>
          <w:rFonts w:ascii="Times New Roman" w:hAnsi="Times New Roman"/>
          <w:color w:val="000000" w:themeColor="text1"/>
          <w:sz w:val="16"/>
          <w:szCs w:val="16"/>
        </w:rPr>
        <w:t>ваффенамт</w:t>
      </w:r>
      <w:proofErr w:type="spellEnd"/>
      <w:r w:rsidRPr="00A259BD">
        <w:rPr>
          <w:rFonts w:ascii="Times New Roman" w:hAnsi="Times New Roman"/>
          <w:color w:val="000000" w:themeColor="text1"/>
          <w:sz w:val="16"/>
          <w:szCs w:val="16"/>
        </w:rPr>
        <w:t>. В связи с этим «</w:t>
      </w:r>
      <w:proofErr w:type="spellStart"/>
      <w:r w:rsidRPr="00A259BD">
        <w:rPr>
          <w:rFonts w:ascii="Times New Roman" w:hAnsi="Times New Roman"/>
          <w:color w:val="000000" w:themeColor="text1"/>
          <w:sz w:val="16"/>
          <w:szCs w:val="16"/>
        </w:rPr>
        <w:t>Рейнметалл</w:t>
      </w:r>
      <w:proofErr w:type="spellEnd"/>
      <w:r w:rsidRPr="00A259BD">
        <w:rPr>
          <w:rFonts w:ascii="Times New Roman" w:hAnsi="Times New Roman"/>
          <w:color w:val="000000" w:themeColor="text1"/>
          <w:sz w:val="16"/>
          <w:szCs w:val="16"/>
        </w:rPr>
        <w:t>» находился в весьма затруднительном положении, так как рейхсвер мог закупать производимые фирмой орудия только ограниченными партиями, а изготовление вооружений на экспорт германским фирмам было официально запрещено. С началом Великой депрессии дотации и заказы от рейхсвера упали практически до нуля, и предложение от СССР оказалось для фирмы в буквальном смысле «манной небесной» (18263).</w:t>
      </w:r>
    </w:p>
    <w:p w14:paraId="492F3CAF" w14:textId="77777777" w:rsidR="00D16BA6" w:rsidRPr="00A259BD" w:rsidRDefault="00D16BA6" w:rsidP="009236E3">
      <w:pPr>
        <w:spacing w:after="0" w:line="240" w:lineRule="auto"/>
        <w:jc w:val="both"/>
        <w:rPr>
          <w:rFonts w:ascii="Times New Roman" w:hAnsi="Times New Roman"/>
          <w:color w:val="000000" w:themeColor="text1"/>
          <w:sz w:val="16"/>
          <w:szCs w:val="16"/>
        </w:rPr>
      </w:pPr>
    </w:p>
    <w:p w14:paraId="3437F2A2" w14:textId="77777777" w:rsidR="00D16BA6" w:rsidRPr="00A259BD" w:rsidRDefault="00D16BA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г. ЦК партия принял специальное Постановление о каучуке, в котором ВСНХ было поручено максимально форсировать развитие каучуконосов и работу с синтетическим каучуком по методам проф. Б.В. Бызова и проф. С.В. Лебедева в порядке перевода этих работ в полузаводской масштаб с выпуском до 200 кг каучука в сутки. В развитие Постановления ЦК ВКП(б) 26.02.1930 состоялось постановление Совета Труда и Обороны (СТО). Отметив большое значение выполненных С.В. Лебедевым и Б.В. Бызовым научно-исследовательских работ в области синтеза каучука, СТО приняло решение взять под особое наблюдение строительство опытных заводов в Ленинграде по проверке обоих методов, для чего на зам. председателя ВСНХ </w:t>
      </w:r>
      <w:proofErr w:type="spellStart"/>
      <w:r w:rsidRPr="00A259BD">
        <w:rPr>
          <w:rFonts w:ascii="Times New Roman" w:hAnsi="Times New Roman"/>
          <w:color w:val="000000" w:themeColor="text1"/>
          <w:sz w:val="16"/>
          <w:szCs w:val="16"/>
        </w:rPr>
        <w:t>Рухимовича</w:t>
      </w:r>
      <w:proofErr w:type="spellEnd"/>
      <w:r w:rsidRPr="00A259BD">
        <w:rPr>
          <w:rFonts w:ascii="Times New Roman" w:hAnsi="Times New Roman"/>
          <w:color w:val="000000" w:themeColor="text1"/>
          <w:sz w:val="16"/>
          <w:szCs w:val="16"/>
        </w:rPr>
        <w:t xml:space="preserve"> была возложена персональная ответственность за внеочередное снабжение работ по строительству опытных заводов необходимым оборудованием и материалами. Площадкой для опытного завода по способу Б.В. Бызова стала часть территории Газового завода на Обводном канале (д. 74), переданная </w:t>
      </w:r>
      <w:proofErr w:type="spellStart"/>
      <w:r w:rsidRPr="00A259BD">
        <w:rPr>
          <w:rFonts w:ascii="Times New Roman" w:hAnsi="Times New Roman"/>
          <w:color w:val="000000" w:themeColor="text1"/>
          <w:sz w:val="16"/>
          <w:szCs w:val="16"/>
        </w:rPr>
        <w:t>Леноткомхозом</w:t>
      </w:r>
      <w:proofErr w:type="spellEnd"/>
      <w:r w:rsidRPr="00A259BD">
        <w:rPr>
          <w:rFonts w:ascii="Times New Roman" w:hAnsi="Times New Roman"/>
          <w:color w:val="000000" w:themeColor="text1"/>
          <w:sz w:val="16"/>
          <w:szCs w:val="16"/>
        </w:rPr>
        <w:t xml:space="preserve"> в аренду </w:t>
      </w:r>
      <w:proofErr w:type="spellStart"/>
      <w:r w:rsidRPr="00A259BD">
        <w:rPr>
          <w:rFonts w:ascii="Times New Roman" w:hAnsi="Times New Roman"/>
          <w:color w:val="000000" w:themeColor="text1"/>
          <w:sz w:val="16"/>
          <w:szCs w:val="16"/>
        </w:rPr>
        <w:t>Резинообъединению</w:t>
      </w:r>
      <w:proofErr w:type="spellEnd"/>
      <w:r w:rsidRPr="00A259BD">
        <w:rPr>
          <w:rFonts w:ascii="Times New Roman" w:hAnsi="Times New Roman"/>
          <w:color w:val="000000" w:themeColor="text1"/>
          <w:sz w:val="16"/>
          <w:szCs w:val="16"/>
        </w:rPr>
        <w:t xml:space="preserve"> сроком на два года (февраль 1930 – 31 декабря 1931 г.).</w:t>
      </w:r>
    </w:p>
    <w:p w14:paraId="616405F8" w14:textId="77777777" w:rsidR="00D16BA6" w:rsidRPr="00A259BD" w:rsidRDefault="00D16BA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Проектирование Опытного завода Б.В. Бызов поручил группе инженеров, работающей на опытной станции «Красного Треугольника». Первым директором опытного завода стал И.С. </w:t>
      </w:r>
      <w:proofErr w:type="spellStart"/>
      <w:r w:rsidRPr="00A259BD">
        <w:rPr>
          <w:rFonts w:ascii="Times New Roman" w:hAnsi="Times New Roman"/>
          <w:color w:val="000000" w:themeColor="text1"/>
          <w:sz w:val="16"/>
          <w:szCs w:val="16"/>
        </w:rPr>
        <w:t>Кострицкий</w:t>
      </w:r>
      <w:proofErr w:type="spellEnd"/>
      <w:r w:rsidRPr="00A259BD">
        <w:rPr>
          <w:rFonts w:ascii="Times New Roman" w:hAnsi="Times New Roman"/>
          <w:color w:val="000000" w:themeColor="text1"/>
          <w:sz w:val="16"/>
          <w:szCs w:val="16"/>
        </w:rPr>
        <w:t>.</w:t>
      </w:r>
    </w:p>
    <w:p w14:paraId="5545E21F" w14:textId="77777777" w:rsidR="00D16BA6" w:rsidRPr="00A259BD" w:rsidRDefault="00D16BA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проверки способа С.В. Лебедева был передан спиртоочистительный завод на </w:t>
      </w:r>
      <w:proofErr w:type="spellStart"/>
      <w:r w:rsidRPr="00A259BD">
        <w:rPr>
          <w:rFonts w:ascii="Times New Roman" w:hAnsi="Times New Roman"/>
          <w:color w:val="000000" w:themeColor="text1"/>
          <w:sz w:val="16"/>
          <w:szCs w:val="16"/>
        </w:rPr>
        <w:t>Гутуевском</w:t>
      </w:r>
      <w:proofErr w:type="spellEnd"/>
      <w:r w:rsidRPr="00A259BD">
        <w:rPr>
          <w:rFonts w:ascii="Times New Roman" w:hAnsi="Times New Roman"/>
          <w:color w:val="000000" w:themeColor="text1"/>
          <w:sz w:val="16"/>
          <w:szCs w:val="16"/>
        </w:rPr>
        <w:t xml:space="preserve"> острове. Директором опытного завода «Литер Б» был назначен Г.В. Пеков, бывший балтийский моряк, участник Октябрьской революции, член ВКП(б) с 1917 г. До этого Г.В. Пеков работал директором завода лаков и красок им. Карпова и Ленинградского желатинового завода.</w:t>
      </w:r>
    </w:p>
    <w:p w14:paraId="75008FBB" w14:textId="77777777" w:rsidR="00D16BA6" w:rsidRPr="00A259BD" w:rsidRDefault="00D16BA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Проектирование опытного завода «Литер Б» было поручено группе московских инженеров под руководством А.Н. Карцева, Л.М. </w:t>
      </w:r>
      <w:proofErr w:type="spellStart"/>
      <w:r w:rsidRPr="00A259BD">
        <w:rPr>
          <w:rFonts w:ascii="Times New Roman" w:hAnsi="Times New Roman"/>
          <w:color w:val="000000" w:themeColor="text1"/>
          <w:sz w:val="16"/>
          <w:szCs w:val="16"/>
        </w:rPr>
        <w:t>Карзанова</w:t>
      </w:r>
      <w:proofErr w:type="spellEnd"/>
      <w:r w:rsidRPr="00A259BD">
        <w:rPr>
          <w:rFonts w:ascii="Times New Roman" w:hAnsi="Times New Roman"/>
          <w:color w:val="000000" w:themeColor="text1"/>
          <w:sz w:val="16"/>
          <w:szCs w:val="16"/>
        </w:rPr>
        <w:t xml:space="preserve"> и С.Л. </w:t>
      </w:r>
      <w:proofErr w:type="spellStart"/>
      <w:r w:rsidRPr="00A259BD">
        <w:rPr>
          <w:rFonts w:ascii="Times New Roman" w:hAnsi="Times New Roman"/>
          <w:color w:val="000000" w:themeColor="text1"/>
          <w:sz w:val="16"/>
          <w:szCs w:val="16"/>
        </w:rPr>
        <w:t>Либинсона</w:t>
      </w:r>
      <w:proofErr w:type="spellEnd"/>
      <w:r w:rsidRPr="00A259BD">
        <w:rPr>
          <w:rFonts w:ascii="Times New Roman" w:hAnsi="Times New Roman"/>
          <w:color w:val="000000" w:themeColor="text1"/>
          <w:sz w:val="16"/>
          <w:szCs w:val="16"/>
        </w:rPr>
        <w:t>.</w:t>
      </w:r>
    </w:p>
    <w:p w14:paraId="3196FC49" w14:textId="77777777" w:rsidR="00D16BA6" w:rsidRPr="00A259BD" w:rsidRDefault="00D16BA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Группа начала работать над проектом в апреле 1929 г., получив от С.В. Лебедева схему производства и материальный баланс по двум наиболее характерным опытам контактного разложения спирта на установке лаборатории в 1929 г. (18298).</w:t>
      </w:r>
    </w:p>
    <w:p w14:paraId="08594009" w14:textId="77777777" w:rsidR="00D16BA6" w:rsidRPr="00A259BD" w:rsidRDefault="00D16BA6" w:rsidP="009236E3">
      <w:pPr>
        <w:spacing w:after="0" w:line="240" w:lineRule="auto"/>
        <w:jc w:val="both"/>
        <w:rPr>
          <w:rFonts w:ascii="Times New Roman" w:hAnsi="Times New Roman"/>
          <w:color w:val="000000" w:themeColor="text1"/>
          <w:sz w:val="16"/>
          <w:szCs w:val="16"/>
        </w:rPr>
      </w:pPr>
    </w:p>
    <w:p w14:paraId="62FA3FA2" w14:textId="77777777" w:rsidR="00D16BA6" w:rsidRPr="00A259BD" w:rsidRDefault="00D16BA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г. надежность саней АНТ-IV позволила обществу ""Автодор""  открыть регулярную аэросанную линию Чебоксары - Цивильск - Канаш протяженностью 85 км, проходившую по снежному бездорожью, недоступному для других видов транспорта.</w:t>
      </w:r>
    </w:p>
    <w:p w14:paraId="356803B1" w14:textId="77777777" w:rsidR="00D16BA6" w:rsidRPr="00A259BD" w:rsidRDefault="00D16BA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открытия линии поездка на лошадях из столицы Чувашии до Канаша, ближайшей железнодорожной станции, занимала 10 - 12 часов. </w:t>
      </w:r>
      <w:bookmarkStart w:id="103" w:name="YANDEX_23"/>
      <w:bookmarkEnd w:id="103"/>
      <w:r w:rsidRPr="00A259BD">
        <w:rPr>
          <w:rFonts w:ascii="Times New Roman" w:hAnsi="Times New Roman"/>
          <w:color w:val="000000" w:themeColor="text1"/>
          <w:sz w:val="16"/>
          <w:szCs w:val="16"/>
        </w:rPr>
        <w:t> Аэросани  пробегали этот путь за 2,5 часа (18639).</w:t>
      </w:r>
    </w:p>
    <w:p w14:paraId="72626EF8" w14:textId="77777777" w:rsidR="00D16BA6" w:rsidRPr="00A259BD" w:rsidRDefault="00D16BA6" w:rsidP="009236E3">
      <w:pPr>
        <w:spacing w:after="0" w:line="240" w:lineRule="auto"/>
        <w:jc w:val="both"/>
        <w:rPr>
          <w:rFonts w:ascii="Times New Roman" w:hAnsi="Times New Roman"/>
          <w:color w:val="000000" w:themeColor="text1"/>
          <w:sz w:val="16"/>
          <w:szCs w:val="16"/>
        </w:rPr>
      </w:pPr>
    </w:p>
    <w:p w14:paraId="45481FD9" w14:textId="77777777" w:rsidR="00D16BA6" w:rsidRPr="00A259BD" w:rsidRDefault="00D16BA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года опытно-конструкторское и испытательное бюро под руководством </w:t>
      </w:r>
      <w:proofErr w:type="spellStart"/>
      <w:r w:rsidRPr="00A259BD">
        <w:rPr>
          <w:rFonts w:ascii="Times New Roman" w:hAnsi="Times New Roman"/>
          <w:color w:val="000000" w:themeColor="text1"/>
          <w:sz w:val="16"/>
          <w:szCs w:val="16"/>
        </w:rPr>
        <w:t>Дыренкова</w:t>
      </w:r>
      <w:proofErr w:type="spellEnd"/>
      <w:r w:rsidRPr="00A259BD">
        <w:rPr>
          <w:rFonts w:ascii="Times New Roman" w:hAnsi="Times New Roman"/>
          <w:color w:val="000000" w:themeColor="text1"/>
          <w:sz w:val="16"/>
          <w:szCs w:val="16"/>
        </w:rPr>
        <w:t xml:space="preserve"> переехало с территории Ижорского завода на территорию Экспериментального завода НКПС в Люблино (в то время пригород Москвы). Здесь по заданию военных КБ продолжило разработку и изготовлению новых типов танков и бронемашин (18626).</w:t>
      </w:r>
    </w:p>
    <w:p w14:paraId="7AFA9621" w14:textId="77777777" w:rsidR="00D16BA6" w:rsidRPr="00A259BD" w:rsidRDefault="00D16BA6" w:rsidP="009236E3">
      <w:pPr>
        <w:spacing w:after="0" w:line="240" w:lineRule="auto"/>
        <w:jc w:val="both"/>
        <w:rPr>
          <w:rFonts w:ascii="Times New Roman" w:hAnsi="Times New Roman"/>
          <w:color w:val="000000" w:themeColor="text1"/>
          <w:sz w:val="16"/>
          <w:szCs w:val="16"/>
        </w:rPr>
      </w:pPr>
    </w:p>
    <w:p w14:paraId="7A5E691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начались работы по постройке среднего колесно-гусеничного танка </w:t>
      </w:r>
      <w:proofErr w:type="spellStart"/>
      <w:r w:rsidRPr="00A259BD">
        <w:rPr>
          <w:rFonts w:ascii="Times New Roman" w:hAnsi="Times New Roman"/>
          <w:color w:val="000000" w:themeColor="text1"/>
          <w:sz w:val="16"/>
          <w:szCs w:val="16"/>
        </w:rPr>
        <w:t>Дыренкова</w:t>
      </w:r>
      <w:proofErr w:type="spellEnd"/>
      <w:r w:rsidRPr="00A259BD">
        <w:rPr>
          <w:rFonts w:ascii="Times New Roman" w:hAnsi="Times New Roman"/>
          <w:color w:val="000000" w:themeColor="text1"/>
          <w:sz w:val="16"/>
          <w:szCs w:val="16"/>
        </w:rPr>
        <w:t xml:space="preserve"> на Ижорском заводе, причем в документах того времени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xml:space="preserve"> именовал себя “упол</w:t>
      </w:r>
      <w:r w:rsidRPr="00A259BD">
        <w:rPr>
          <w:rFonts w:ascii="Times New Roman" w:hAnsi="Times New Roman"/>
          <w:color w:val="000000" w:themeColor="text1"/>
          <w:sz w:val="16"/>
          <w:szCs w:val="16"/>
        </w:rPr>
        <w:softHyphen/>
        <w:t>номоченный РВС СССР по заказу особого назначения”. Ему в помощь выделили чертежников и инженеров. Одна</w:t>
      </w:r>
      <w:r w:rsidRPr="00A259BD">
        <w:rPr>
          <w:rFonts w:ascii="Times New Roman" w:hAnsi="Times New Roman"/>
          <w:color w:val="000000" w:themeColor="text1"/>
          <w:sz w:val="16"/>
          <w:szCs w:val="16"/>
        </w:rPr>
        <w:softHyphen/>
        <w:t>ко изготовление машины затянулось — заводу не хватало оборудования, материалов да и просто времени на построй</w:t>
      </w:r>
      <w:r w:rsidRPr="00A259BD">
        <w:rPr>
          <w:rFonts w:ascii="Times New Roman" w:hAnsi="Times New Roman"/>
          <w:color w:val="000000" w:themeColor="text1"/>
          <w:sz w:val="16"/>
          <w:szCs w:val="16"/>
        </w:rPr>
        <w:softHyphen/>
        <w:t>ку танка. Тем временем энергичный изобретатель не терял времени даром — он начал работы по изготовлению свар</w:t>
      </w:r>
      <w:r w:rsidRPr="00A259BD">
        <w:rPr>
          <w:rFonts w:ascii="Times New Roman" w:hAnsi="Times New Roman"/>
          <w:color w:val="000000" w:themeColor="text1"/>
          <w:sz w:val="16"/>
          <w:szCs w:val="16"/>
        </w:rPr>
        <w:softHyphen/>
        <w:t>ных бронекорпусов для танков МС-1, предложил проект бронированных тракторов и колесной танкетки (11284).</w:t>
      </w:r>
    </w:p>
    <w:p w14:paraId="12F1C5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3C84C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декабря 1929 года контроль за проектиро</w:t>
      </w:r>
      <w:r w:rsidRPr="00A259BD">
        <w:rPr>
          <w:rFonts w:ascii="Times New Roman" w:hAnsi="Times New Roman"/>
          <w:color w:val="000000" w:themeColor="text1"/>
          <w:sz w:val="16"/>
          <w:szCs w:val="16"/>
        </w:rPr>
        <w:softHyphen/>
        <w:t>ванием броневиков осуществляло УММ РККА. Оно по</w:t>
      </w:r>
      <w:r w:rsidRPr="00A259BD">
        <w:rPr>
          <w:rFonts w:ascii="Times New Roman" w:hAnsi="Times New Roman"/>
          <w:color w:val="000000" w:themeColor="text1"/>
          <w:sz w:val="16"/>
          <w:szCs w:val="16"/>
        </w:rPr>
        <w:softHyphen/>
        <w:t>ставило заводу срок сдачи опытных образцов 11 декабря 1930 года. К этому времени на 2-м автосборочном заводе в Моск</w:t>
      </w:r>
      <w:r w:rsidRPr="00A259BD">
        <w:rPr>
          <w:rFonts w:ascii="Times New Roman" w:hAnsi="Times New Roman"/>
          <w:color w:val="000000" w:themeColor="text1"/>
          <w:sz w:val="16"/>
          <w:szCs w:val="16"/>
        </w:rPr>
        <w:softHyphen/>
        <w:t>ве и заводе “Гудок Октября” в Нижнем Новгороде полным ходом шла сборка грузовых и легковых “фордов”, а из-за границы прибыли первые из 100 закупленных в Америке грузовиков “</w:t>
      </w:r>
      <w:proofErr w:type="spellStart"/>
      <w:r w:rsidRPr="00A259BD">
        <w:rPr>
          <w:rFonts w:ascii="Times New Roman" w:hAnsi="Times New Roman"/>
          <w:color w:val="000000" w:themeColor="text1"/>
          <w:sz w:val="16"/>
          <w:szCs w:val="16"/>
        </w:rPr>
        <w:t>Мореланд</w:t>
      </w:r>
      <w:proofErr w:type="spellEnd"/>
      <w:r w:rsidRPr="00A259BD">
        <w:rPr>
          <w:rFonts w:ascii="Times New Roman" w:hAnsi="Times New Roman"/>
          <w:color w:val="000000" w:themeColor="text1"/>
          <w:sz w:val="16"/>
          <w:szCs w:val="16"/>
        </w:rPr>
        <w:t>”. Кроме того, в конце 1930 года с американской фирмой “</w:t>
      </w:r>
      <w:proofErr w:type="spellStart"/>
      <w:r w:rsidRPr="00A259BD">
        <w:rPr>
          <w:rFonts w:ascii="Times New Roman" w:hAnsi="Times New Roman"/>
          <w:color w:val="000000" w:themeColor="text1"/>
          <w:sz w:val="16"/>
          <w:szCs w:val="16"/>
        </w:rPr>
        <w:t>Тимкен</w:t>
      </w:r>
      <w:proofErr w:type="spellEnd"/>
      <w:r w:rsidRPr="00A259BD">
        <w:rPr>
          <w:rFonts w:ascii="Times New Roman" w:hAnsi="Times New Roman"/>
          <w:color w:val="000000" w:themeColor="text1"/>
          <w:sz w:val="16"/>
          <w:szCs w:val="16"/>
        </w:rPr>
        <w:t>” заключили договор на изготовление 1000 трехос</w:t>
      </w:r>
      <w:r w:rsidRPr="00A259BD">
        <w:rPr>
          <w:rFonts w:ascii="Times New Roman" w:hAnsi="Times New Roman"/>
          <w:color w:val="000000" w:themeColor="text1"/>
          <w:sz w:val="16"/>
          <w:szCs w:val="16"/>
        </w:rPr>
        <w:softHyphen/>
        <w:t>ных (6 х 4) грузовиков. При этом “</w:t>
      </w:r>
      <w:proofErr w:type="spellStart"/>
      <w:r w:rsidRPr="00A259BD">
        <w:rPr>
          <w:rFonts w:ascii="Times New Roman" w:hAnsi="Times New Roman"/>
          <w:color w:val="000000" w:themeColor="text1"/>
          <w:sz w:val="16"/>
          <w:szCs w:val="16"/>
        </w:rPr>
        <w:t>Тимкен</w:t>
      </w:r>
      <w:proofErr w:type="spellEnd"/>
      <w:r w:rsidRPr="00A259BD">
        <w:rPr>
          <w:rFonts w:ascii="Times New Roman" w:hAnsi="Times New Roman"/>
          <w:color w:val="000000" w:themeColor="text1"/>
          <w:sz w:val="16"/>
          <w:szCs w:val="16"/>
        </w:rPr>
        <w:t>” брала обычный двухосный “Форд-АА” и устанавливала на него третью ось. Эти грузовики, известные как “Форд-</w:t>
      </w:r>
      <w:proofErr w:type="spellStart"/>
      <w:r w:rsidRPr="00A259BD">
        <w:rPr>
          <w:rFonts w:ascii="Times New Roman" w:hAnsi="Times New Roman"/>
          <w:color w:val="000000" w:themeColor="text1"/>
          <w:sz w:val="16"/>
          <w:szCs w:val="16"/>
        </w:rPr>
        <w:t>Тимкен</w:t>
      </w:r>
      <w:proofErr w:type="spellEnd"/>
      <w:r w:rsidRPr="00A259BD">
        <w:rPr>
          <w:rFonts w:ascii="Times New Roman" w:hAnsi="Times New Roman"/>
          <w:color w:val="000000" w:themeColor="text1"/>
          <w:sz w:val="16"/>
          <w:szCs w:val="16"/>
        </w:rPr>
        <w:t>”, доставлялись в Советский Союз двумя партиями — в июне и октяб</w:t>
      </w:r>
      <w:r w:rsidRPr="00A259BD">
        <w:rPr>
          <w:rFonts w:ascii="Times New Roman" w:hAnsi="Times New Roman"/>
          <w:color w:val="000000" w:themeColor="text1"/>
          <w:sz w:val="16"/>
          <w:szCs w:val="16"/>
        </w:rPr>
        <w:softHyphen/>
        <w:t>ре 1931 года — и собирались на заводе “Гудок Октября” (11284).</w:t>
      </w:r>
    </w:p>
    <w:p w14:paraId="0CBFD12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C81B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Пред. ВСНХ </w:t>
      </w:r>
      <w:proofErr w:type="spellStart"/>
      <w:r w:rsidRPr="00A259BD">
        <w:rPr>
          <w:rFonts w:ascii="Times New Roman" w:hAnsi="Times New Roman"/>
          <w:color w:val="000000" w:themeColor="text1"/>
          <w:sz w:val="16"/>
          <w:szCs w:val="16"/>
        </w:rPr>
        <w:t>В.Куйбышев</w:t>
      </w:r>
      <w:proofErr w:type="spellEnd"/>
      <w:r w:rsidRPr="00A259BD">
        <w:rPr>
          <w:rFonts w:ascii="Times New Roman" w:hAnsi="Times New Roman"/>
          <w:color w:val="000000" w:themeColor="text1"/>
          <w:sz w:val="16"/>
          <w:szCs w:val="16"/>
        </w:rPr>
        <w:t xml:space="preserve"> подвел итоги развития </w:t>
      </w:r>
      <w:proofErr w:type="spellStart"/>
      <w:r w:rsidRPr="00A259BD">
        <w:rPr>
          <w:rFonts w:ascii="Times New Roman" w:hAnsi="Times New Roman"/>
          <w:color w:val="000000" w:themeColor="text1"/>
          <w:sz w:val="16"/>
          <w:szCs w:val="16"/>
        </w:rPr>
        <w:t>оборонно</w:t>
      </w:r>
      <w:proofErr w:type="spellEnd"/>
      <w:r w:rsidRPr="00A259BD">
        <w:rPr>
          <w:rFonts w:ascii="Times New Roman" w:hAnsi="Times New Roman"/>
          <w:color w:val="000000" w:themeColor="text1"/>
          <w:sz w:val="16"/>
          <w:szCs w:val="16"/>
        </w:rPr>
        <w:t xml:space="preserve"> промышленности. Оценка степени готовности отрасли в обороне - далека от оптимизма. Беспокоило отсутствие гибких </w:t>
      </w:r>
      <w:proofErr w:type="spellStart"/>
      <w:r w:rsidRPr="00A259BD">
        <w:rPr>
          <w:rFonts w:ascii="Times New Roman" w:hAnsi="Times New Roman"/>
          <w:color w:val="000000" w:themeColor="text1"/>
          <w:sz w:val="16"/>
          <w:szCs w:val="16"/>
        </w:rPr>
        <w:t>мобпланов</w:t>
      </w:r>
      <w:proofErr w:type="spellEnd"/>
      <w:r w:rsidRPr="00A259BD">
        <w:rPr>
          <w:rFonts w:ascii="Times New Roman" w:hAnsi="Times New Roman"/>
          <w:color w:val="000000" w:themeColor="text1"/>
          <w:sz w:val="16"/>
          <w:szCs w:val="16"/>
        </w:rPr>
        <w:t>- реакции на технологические вызовы (9089,103).</w:t>
      </w:r>
    </w:p>
    <w:p w14:paraId="58D54A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9655BB" w14:textId="77777777" w:rsidR="00D16BA6" w:rsidRPr="00A259BD" w:rsidRDefault="00D16BA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года в целях развития конструкторских и проектных работ в оборонной </w:t>
      </w:r>
      <w:proofErr w:type="spellStart"/>
      <w:r w:rsidRPr="00A259BD">
        <w:rPr>
          <w:rFonts w:ascii="Times New Roman" w:hAnsi="Times New Roman"/>
          <w:color w:val="000000" w:themeColor="text1"/>
          <w:sz w:val="16"/>
          <w:szCs w:val="16"/>
        </w:rPr>
        <w:t>промышлен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ности</w:t>
      </w:r>
      <w:proofErr w:type="spellEnd"/>
      <w:r w:rsidRPr="00A259BD">
        <w:rPr>
          <w:rFonts w:ascii="Times New Roman" w:hAnsi="Times New Roman"/>
          <w:color w:val="000000" w:themeColor="text1"/>
          <w:sz w:val="16"/>
          <w:szCs w:val="16"/>
        </w:rPr>
        <w:t xml:space="preserve"> Реввоенсовет и ВСНХ СССР принимают решение о создании ряда гражданских конструкторских бюро и откомандировании в промышленность из армии 1000 военных специалистов (19524).</w:t>
      </w:r>
    </w:p>
    <w:p w14:paraId="676397A3" w14:textId="77777777" w:rsidR="00D16BA6" w:rsidRPr="00A259BD" w:rsidRDefault="00D16BA6" w:rsidP="009236E3">
      <w:pPr>
        <w:spacing w:after="0" w:line="240" w:lineRule="auto"/>
        <w:jc w:val="both"/>
        <w:rPr>
          <w:rFonts w:ascii="Times New Roman" w:hAnsi="Times New Roman"/>
          <w:color w:val="000000" w:themeColor="text1"/>
          <w:sz w:val="16"/>
          <w:szCs w:val="16"/>
        </w:rPr>
      </w:pPr>
    </w:p>
    <w:p w14:paraId="72BD2499" w14:textId="77777777" w:rsidR="00D16BA6" w:rsidRPr="00A259BD" w:rsidRDefault="00D16BA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г. назначенный начальником вооружений РККА И.П. Уборевич докладывает Ворошилову о ликвидации вреди</w:t>
      </w:r>
      <w:r w:rsidRPr="00A259BD">
        <w:rPr>
          <w:rFonts w:ascii="Times New Roman" w:hAnsi="Times New Roman"/>
          <w:color w:val="000000" w:themeColor="text1"/>
          <w:sz w:val="16"/>
          <w:szCs w:val="16"/>
        </w:rPr>
        <w:softHyphen/>
        <w:t>тельства в Оружейно-пулеметном тресте в области производства пулеметов и патронов. По пулемету “Максим” вредительство якобы заключалось в поставке недоброкачественного металла, отступлении при изготовлении от чертежей и лекал, порче пуле</w:t>
      </w:r>
      <w:r w:rsidRPr="00A259BD">
        <w:rPr>
          <w:rFonts w:ascii="Times New Roman" w:hAnsi="Times New Roman"/>
          <w:color w:val="000000" w:themeColor="text1"/>
          <w:sz w:val="16"/>
          <w:szCs w:val="16"/>
        </w:rPr>
        <w:softHyphen/>
        <w:t>метных замков, в отсутствии нормальных шаблонов, закругле</w:t>
      </w:r>
      <w:r w:rsidRPr="00A259BD">
        <w:rPr>
          <w:rFonts w:ascii="Times New Roman" w:hAnsi="Times New Roman"/>
          <w:color w:val="000000" w:themeColor="text1"/>
          <w:sz w:val="16"/>
          <w:szCs w:val="16"/>
        </w:rPr>
        <w:softHyphen/>
        <w:t>нии шляпок гильз почти на всех заводах патронной промышлен</w:t>
      </w:r>
      <w:r w:rsidRPr="00A259BD">
        <w:rPr>
          <w:rFonts w:ascii="Times New Roman" w:hAnsi="Times New Roman"/>
          <w:color w:val="000000" w:themeColor="text1"/>
          <w:sz w:val="16"/>
          <w:szCs w:val="16"/>
        </w:rPr>
        <w:softHyphen/>
        <w:t>ности. Для изучения последствий вредительства, согласно доку</w:t>
      </w:r>
      <w:r w:rsidRPr="00A259BD">
        <w:rPr>
          <w:rFonts w:ascii="Times New Roman" w:hAnsi="Times New Roman"/>
          <w:color w:val="000000" w:themeColor="text1"/>
          <w:sz w:val="16"/>
          <w:szCs w:val="16"/>
        </w:rPr>
        <w:softHyphen/>
        <w:t>менту, была создана комиссия Мерецкова, а также комиссия на Ижорском заводе для проверки качества стали. Еще одна комис</w:t>
      </w:r>
      <w:r w:rsidRPr="00A259BD">
        <w:rPr>
          <w:rFonts w:ascii="Times New Roman" w:hAnsi="Times New Roman"/>
          <w:color w:val="000000" w:themeColor="text1"/>
          <w:sz w:val="16"/>
          <w:szCs w:val="16"/>
        </w:rPr>
        <w:softHyphen/>
        <w:t>сия была образована при НТК АУ для ужесточения условий при</w:t>
      </w:r>
      <w:r w:rsidRPr="00A259BD">
        <w:rPr>
          <w:rFonts w:ascii="Times New Roman" w:hAnsi="Times New Roman"/>
          <w:color w:val="000000" w:themeColor="text1"/>
          <w:sz w:val="16"/>
          <w:szCs w:val="16"/>
        </w:rPr>
        <w:softHyphen/>
        <w:t>емки. Главным вредителем назывался инженер Третьяков, кото</w:t>
      </w:r>
      <w:r w:rsidRPr="00A259BD">
        <w:rPr>
          <w:rFonts w:ascii="Times New Roman" w:hAnsi="Times New Roman"/>
          <w:color w:val="000000" w:themeColor="text1"/>
          <w:sz w:val="16"/>
          <w:szCs w:val="16"/>
        </w:rPr>
        <w:softHyphen/>
        <w:t>рый якобы вел вредительскую деятельность с 1918 г. В целях борьбы с вредительством на продукцию, прошедшую проверку, ставилось особое клеймо</w:t>
      </w:r>
      <w:bookmarkStart w:id="104" w:name="_ednref32"/>
      <w:r w:rsidRPr="00A259BD">
        <w:rPr>
          <w:rFonts w:ascii="Times New Roman" w:hAnsi="Times New Roman"/>
          <w:color w:val="000000" w:themeColor="text1"/>
          <w:sz w:val="16"/>
          <w:szCs w:val="16"/>
        </w:rPr>
        <w:t xml:space="preserve"> (18393)</w:t>
      </w:r>
      <w:bookmarkEnd w:id="104"/>
      <w:r w:rsidRPr="00A259BD">
        <w:rPr>
          <w:rFonts w:ascii="Times New Roman" w:hAnsi="Times New Roman"/>
          <w:color w:val="000000" w:themeColor="text1"/>
          <w:sz w:val="16"/>
          <w:szCs w:val="16"/>
        </w:rPr>
        <w:t>.</w:t>
      </w:r>
    </w:p>
    <w:p w14:paraId="5D32005C" w14:textId="77777777" w:rsidR="00D16BA6" w:rsidRPr="00A259BD" w:rsidRDefault="00D16BA6" w:rsidP="009236E3">
      <w:pPr>
        <w:spacing w:after="0" w:line="240" w:lineRule="auto"/>
        <w:jc w:val="both"/>
        <w:rPr>
          <w:rFonts w:ascii="Times New Roman" w:hAnsi="Times New Roman"/>
          <w:color w:val="000000" w:themeColor="text1"/>
          <w:sz w:val="16"/>
          <w:szCs w:val="16"/>
        </w:rPr>
      </w:pPr>
    </w:p>
    <w:p w14:paraId="6244B026" w14:textId="77777777" w:rsidR="00D16BA6" w:rsidRPr="00A259BD" w:rsidRDefault="00D16BA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г. ПБ принимает постановление о разверты</w:t>
      </w:r>
      <w:r w:rsidRPr="00A259BD">
        <w:rPr>
          <w:rFonts w:ascii="Times New Roman" w:hAnsi="Times New Roman"/>
          <w:color w:val="000000" w:themeColor="text1"/>
          <w:sz w:val="16"/>
          <w:szCs w:val="16"/>
        </w:rPr>
        <w:softHyphen/>
        <w:t xml:space="preserve">вании танковой программы. Одновременно при Штабе создается управление механизации и моторизации (УММ) РККА, главой которого был назначен И.А.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 довольно решитель</w:t>
      </w:r>
      <w:r w:rsidRPr="00A259BD">
        <w:rPr>
          <w:rFonts w:ascii="Times New Roman" w:hAnsi="Times New Roman"/>
          <w:color w:val="000000" w:themeColor="text1"/>
          <w:sz w:val="16"/>
          <w:szCs w:val="16"/>
        </w:rPr>
        <w:softHyphen/>
        <w:t>ный и опытный организатор (18393).</w:t>
      </w:r>
    </w:p>
    <w:p w14:paraId="00267CC6" w14:textId="77777777" w:rsidR="00D16BA6" w:rsidRPr="00A259BD" w:rsidRDefault="00D16BA6" w:rsidP="009236E3">
      <w:pPr>
        <w:spacing w:after="0" w:line="240" w:lineRule="auto"/>
        <w:jc w:val="both"/>
        <w:rPr>
          <w:rFonts w:ascii="Times New Roman" w:hAnsi="Times New Roman"/>
          <w:color w:val="000000" w:themeColor="text1"/>
          <w:sz w:val="16"/>
          <w:szCs w:val="16"/>
        </w:rPr>
      </w:pPr>
    </w:p>
    <w:p w14:paraId="5F8D58AC" w14:textId="77777777" w:rsidR="00D16BA6" w:rsidRPr="00A259BD" w:rsidRDefault="00D16BA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г. в связи с изменением судостроительной программы и по результатам предварительных испытаний и количественный, и качественный состав заказа «Блокада» снова был изменен. Радиотелефонная станция «Радуга» была забракована </w:t>
      </w:r>
      <w:proofErr w:type="spellStart"/>
      <w:r w:rsidRPr="00A259BD">
        <w:rPr>
          <w:rFonts w:ascii="Times New Roman" w:hAnsi="Times New Roman"/>
          <w:color w:val="000000" w:themeColor="text1"/>
          <w:sz w:val="16"/>
          <w:szCs w:val="16"/>
        </w:rPr>
        <w:t>Мортехупром</w:t>
      </w:r>
      <w:proofErr w:type="spellEnd"/>
      <w:r w:rsidRPr="00A259BD">
        <w:rPr>
          <w:rFonts w:ascii="Times New Roman" w:hAnsi="Times New Roman"/>
          <w:color w:val="000000" w:themeColor="text1"/>
          <w:sz w:val="16"/>
          <w:szCs w:val="16"/>
        </w:rPr>
        <w:t>, а взамен ее тресту были выданы наряды на разработку новых образцов станций подобного типа. В количественном отношении заказ в целом был незначительно уменьшен практически по всем типам радиоустановок. В целом, подводя итог работы в течение первых двух лет над заказом «Блокада», можно сказать, что наряду с исключением ряда неудачных конструкций, произошла существенная дифференциация наиболее массовых типов радиоустановок, исходя из тактических требований отдельных классов кораблей, вступающих в строй или состоящих на вооружении флота (18297).</w:t>
      </w:r>
    </w:p>
    <w:p w14:paraId="4C8FA6C9" w14:textId="77777777" w:rsidR="00D16BA6" w:rsidRPr="00A259BD" w:rsidRDefault="00D16BA6" w:rsidP="009236E3">
      <w:pPr>
        <w:spacing w:after="0" w:line="240" w:lineRule="auto"/>
        <w:jc w:val="both"/>
        <w:rPr>
          <w:rFonts w:ascii="Times New Roman" w:hAnsi="Times New Roman"/>
          <w:color w:val="000000" w:themeColor="text1"/>
          <w:sz w:val="16"/>
          <w:szCs w:val="16"/>
        </w:rPr>
      </w:pPr>
    </w:p>
    <w:p w14:paraId="3DFE4F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г. РВС по докладам Р. А. </w:t>
      </w:r>
      <w:proofErr w:type="spellStart"/>
      <w:r w:rsidRPr="00A259BD">
        <w:rPr>
          <w:rFonts w:ascii="Times New Roman" w:hAnsi="Times New Roman"/>
          <w:color w:val="000000" w:themeColor="text1"/>
          <w:sz w:val="16"/>
          <w:szCs w:val="16"/>
        </w:rPr>
        <w:t>Муклевича</w:t>
      </w:r>
      <w:proofErr w:type="spellEnd"/>
      <w:r w:rsidRPr="00A259BD">
        <w:rPr>
          <w:rFonts w:ascii="Times New Roman" w:hAnsi="Times New Roman"/>
          <w:color w:val="000000" w:themeColor="text1"/>
          <w:sz w:val="16"/>
          <w:szCs w:val="16"/>
        </w:rPr>
        <w:t xml:space="preserve"> и председателя НТК Н. И. Игнатьева предложил разработать еще один вариант эскизного проекта </w:t>
      </w:r>
      <w:proofErr w:type="spellStart"/>
      <w:r w:rsidRPr="00A259BD">
        <w:rPr>
          <w:rFonts w:ascii="Times New Roman" w:hAnsi="Times New Roman"/>
          <w:color w:val="000000" w:themeColor="text1"/>
          <w:sz w:val="16"/>
          <w:szCs w:val="16"/>
        </w:rPr>
        <w:t>пл</w:t>
      </w:r>
      <w:proofErr w:type="spellEnd"/>
      <w:r w:rsidRPr="00A259BD">
        <w:rPr>
          <w:rFonts w:ascii="Times New Roman" w:hAnsi="Times New Roman"/>
          <w:color w:val="000000" w:themeColor="text1"/>
          <w:sz w:val="16"/>
          <w:szCs w:val="16"/>
        </w:rPr>
        <w:t xml:space="preserve"> Щука с "увеличением в 2 раза числа торпедных выстрелов". Задание выполнялось в сжатые сроки, и новый эскизный проект малой лодки водоизмещением уже 550 т был ут</w:t>
      </w:r>
      <w:r w:rsidRPr="00A259BD">
        <w:rPr>
          <w:rFonts w:ascii="Times New Roman" w:hAnsi="Times New Roman"/>
          <w:color w:val="000000" w:themeColor="text1"/>
          <w:sz w:val="16"/>
          <w:szCs w:val="16"/>
        </w:rPr>
        <w:softHyphen/>
        <w:t>вержден Реввоенсоветом 23 января 1930 г., буквально накануне на</w:t>
      </w:r>
      <w:r w:rsidRPr="00A259BD">
        <w:rPr>
          <w:rFonts w:ascii="Times New Roman" w:hAnsi="Times New Roman"/>
          <w:color w:val="000000" w:themeColor="text1"/>
          <w:sz w:val="16"/>
          <w:szCs w:val="16"/>
        </w:rPr>
        <w:softHyphen/>
        <w:t>меченной закладки головного корабля (3898).</w:t>
      </w:r>
    </w:p>
    <w:p w14:paraId="603329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BCEF5D" w14:textId="77777777" w:rsidR="00D16BA6" w:rsidRPr="00A259BD" w:rsidRDefault="00D16BA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г. все пришло к своему логическому концу. Существование параллельных с  </w:t>
      </w:r>
      <w:proofErr w:type="spellStart"/>
      <w:r w:rsidRPr="00A259BD">
        <w:rPr>
          <w:rFonts w:ascii="Times New Roman" w:hAnsi="Times New Roman"/>
          <w:color w:val="000000" w:themeColor="text1"/>
          <w:sz w:val="16"/>
          <w:szCs w:val="16"/>
        </w:rPr>
        <w:t>ЭПРОНом</w:t>
      </w:r>
      <w:proofErr w:type="spellEnd"/>
      <w:r w:rsidRPr="00A259BD">
        <w:rPr>
          <w:rFonts w:ascii="Times New Roman" w:hAnsi="Times New Roman"/>
          <w:color w:val="000000" w:themeColor="text1"/>
          <w:sz w:val="16"/>
          <w:szCs w:val="16"/>
        </w:rPr>
        <w:t>  водолазных ор</w:t>
      </w:r>
      <w:r w:rsidRPr="00A259BD">
        <w:rPr>
          <w:rFonts w:ascii="Times New Roman" w:hAnsi="Times New Roman"/>
          <w:color w:val="000000" w:themeColor="text1"/>
          <w:sz w:val="16"/>
          <w:szCs w:val="16"/>
        </w:rPr>
        <w:softHyphen/>
        <w:t>ганизаций было признано нецелесообразным, и 1 марта 1930 г. между НКПС и ОГПУ заключается соглашение об объединении Центральной водолазной базы НКПС и  </w:t>
      </w:r>
      <w:proofErr w:type="spellStart"/>
      <w:r w:rsidRPr="00A259BD">
        <w:rPr>
          <w:rFonts w:ascii="Times New Roman" w:hAnsi="Times New Roman"/>
          <w:color w:val="000000" w:themeColor="text1"/>
          <w:sz w:val="16"/>
          <w:szCs w:val="16"/>
        </w:rPr>
        <w:t>ЭПРОНа</w:t>
      </w:r>
      <w:proofErr w:type="spellEnd"/>
      <w:r w:rsidRPr="00A259BD">
        <w:rPr>
          <w:rFonts w:ascii="Times New Roman" w:hAnsi="Times New Roman"/>
          <w:color w:val="000000" w:themeColor="text1"/>
          <w:sz w:val="16"/>
          <w:szCs w:val="16"/>
        </w:rPr>
        <w:t>  ОГПУ (15509).</w:t>
      </w:r>
    </w:p>
    <w:p w14:paraId="5C37949B" w14:textId="77777777" w:rsidR="00D16BA6" w:rsidRPr="00A259BD" w:rsidRDefault="00D16BA6" w:rsidP="009236E3">
      <w:pPr>
        <w:spacing w:after="0" w:line="240" w:lineRule="auto"/>
        <w:jc w:val="both"/>
        <w:rPr>
          <w:rFonts w:ascii="Times New Roman" w:hAnsi="Times New Roman"/>
          <w:color w:val="000000" w:themeColor="text1"/>
          <w:sz w:val="16"/>
          <w:szCs w:val="16"/>
        </w:rPr>
      </w:pPr>
    </w:p>
    <w:p w14:paraId="5B4CE5A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3012643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4C9AC50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года решением реввоенсовета СССР со</w:t>
      </w:r>
      <w:r w:rsidRPr="00A259BD">
        <w:rPr>
          <w:rFonts w:ascii="Times New Roman" w:hAnsi="Times New Roman"/>
          <w:color w:val="000000" w:themeColor="text1"/>
          <w:sz w:val="16"/>
          <w:szCs w:val="16"/>
        </w:rPr>
        <w:softHyphen/>
        <w:t>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w:t>
      </w:r>
      <w:r w:rsidRPr="00A259BD">
        <w:rPr>
          <w:rFonts w:ascii="Times New Roman" w:hAnsi="Times New Roman"/>
          <w:color w:val="000000" w:themeColor="text1"/>
          <w:sz w:val="16"/>
          <w:szCs w:val="16"/>
        </w:rPr>
        <w:softHyphen/>
        <w:t xml:space="preserve">тракторной техникой. 28 декабря </w:t>
      </w:r>
      <w:r w:rsidRPr="00A259BD">
        <w:rPr>
          <w:rFonts w:ascii="Times New Roman" w:hAnsi="Times New Roman"/>
          <w:color w:val="000000" w:themeColor="text1"/>
          <w:sz w:val="16"/>
          <w:szCs w:val="16"/>
        </w:rPr>
        <w:lastRenderedPageBreak/>
        <w:t>артиллерийское управле</w:t>
      </w:r>
      <w:r w:rsidRPr="00A259BD">
        <w:rPr>
          <w:rFonts w:ascii="Times New Roman" w:hAnsi="Times New Roman"/>
          <w:color w:val="000000" w:themeColor="text1"/>
          <w:sz w:val="16"/>
          <w:szCs w:val="16"/>
        </w:rPr>
        <w:softHyphen/>
        <w:t>ние передало УММ РККА “все права и обязанности по до</w:t>
      </w:r>
      <w:r w:rsidRPr="00A259BD">
        <w:rPr>
          <w:rFonts w:ascii="Times New Roman" w:hAnsi="Times New Roman"/>
          <w:color w:val="000000" w:themeColor="text1"/>
          <w:sz w:val="16"/>
          <w:szCs w:val="16"/>
        </w:rPr>
        <w:softHyphen/>
        <w:t>говору с Ижорским заводом на бронирование автомоби</w:t>
      </w:r>
      <w:r w:rsidRPr="00A259BD">
        <w:rPr>
          <w:rFonts w:ascii="Times New Roman" w:hAnsi="Times New Roman"/>
          <w:color w:val="000000" w:themeColor="text1"/>
          <w:sz w:val="16"/>
          <w:szCs w:val="16"/>
        </w:rPr>
        <w:softHyphen/>
        <w:t>лей”. Изучив положение дел, руководство Управления моторизации и механизации 21 февраля 1930 года заключи</w:t>
      </w:r>
      <w:r w:rsidRPr="00A259BD">
        <w:rPr>
          <w:rFonts w:ascii="Times New Roman" w:hAnsi="Times New Roman"/>
          <w:color w:val="000000" w:themeColor="text1"/>
          <w:sz w:val="16"/>
          <w:szCs w:val="16"/>
        </w:rPr>
        <w:softHyphen/>
        <w:t>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(11284).</w:t>
      </w:r>
    </w:p>
    <w:p w14:paraId="688588D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DF7E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г. </w:t>
      </w:r>
      <w:proofErr w:type="spellStart"/>
      <w:r w:rsidRPr="00A259BD">
        <w:rPr>
          <w:rFonts w:ascii="Times New Roman" w:hAnsi="Times New Roman"/>
          <w:color w:val="000000" w:themeColor="text1"/>
          <w:sz w:val="16"/>
          <w:szCs w:val="16"/>
        </w:rPr>
        <w:t>Путна</w:t>
      </w:r>
      <w:proofErr w:type="spellEnd"/>
      <w:r w:rsidRPr="00A259BD">
        <w:rPr>
          <w:rFonts w:ascii="Times New Roman" w:hAnsi="Times New Roman"/>
          <w:color w:val="000000" w:themeColor="text1"/>
          <w:sz w:val="16"/>
          <w:szCs w:val="16"/>
        </w:rPr>
        <w:t xml:space="preserve"> договорился с представителем руководства ВМФ капитаном I ранга X. </w:t>
      </w:r>
      <w:proofErr w:type="spellStart"/>
      <w:r w:rsidRPr="00A259BD">
        <w:rPr>
          <w:rFonts w:ascii="Times New Roman" w:hAnsi="Times New Roman"/>
          <w:color w:val="000000" w:themeColor="text1"/>
          <w:sz w:val="16"/>
          <w:szCs w:val="16"/>
        </w:rPr>
        <w:t>Бёмом</w:t>
      </w:r>
      <w:proofErr w:type="spellEnd"/>
      <w:r w:rsidRPr="00A259BD">
        <w:rPr>
          <w:rFonts w:ascii="Times New Roman" w:hAnsi="Times New Roman"/>
          <w:color w:val="000000" w:themeColor="text1"/>
          <w:sz w:val="16"/>
          <w:szCs w:val="16"/>
        </w:rPr>
        <w:t xml:space="preserve"> об устном обмене разведданными по польскому флоту, минным заграждениям Польши на море, эвентуальным совместным действиям против флотов Франции и Польши в Балтийском море (</w:t>
      </w:r>
      <w:proofErr w:type="spellStart"/>
      <w:r w:rsidRPr="00A259BD">
        <w:rPr>
          <w:rFonts w:ascii="Times New Roman" w:hAnsi="Times New Roman"/>
          <w:color w:val="000000" w:themeColor="text1"/>
          <w:sz w:val="16"/>
          <w:szCs w:val="16"/>
        </w:rPr>
        <w:t>Manfred</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Zeidler</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Op</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cit</w:t>
      </w:r>
      <w:proofErr w:type="spellEnd"/>
      <w:r w:rsidRPr="00A259BD">
        <w:rPr>
          <w:rFonts w:ascii="Times New Roman" w:hAnsi="Times New Roman"/>
          <w:color w:val="000000" w:themeColor="text1"/>
          <w:sz w:val="16"/>
          <w:szCs w:val="16"/>
        </w:rPr>
        <w:t>.. S. 242.). Вообще, период начала 30-х годов, несмотря на «</w:t>
      </w:r>
      <w:proofErr w:type="spellStart"/>
      <w:r w:rsidRPr="00A259BD">
        <w:rPr>
          <w:rFonts w:ascii="Times New Roman" w:hAnsi="Times New Roman"/>
          <w:color w:val="000000" w:themeColor="text1"/>
          <w:sz w:val="16"/>
          <w:szCs w:val="16"/>
        </w:rPr>
        <w:t>прагматизацию</w:t>
      </w:r>
      <w:proofErr w:type="spellEnd"/>
      <w:r w:rsidRPr="00A259BD">
        <w:rPr>
          <w:rFonts w:ascii="Times New Roman" w:hAnsi="Times New Roman"/>
          <w:color w:val="000000" w:themeColor="text1"/>
          <w:sz w:val="16"/>
          <w:szCs w:val="16"/>
        </w:rPr>
        <w:t>» советско-германских политических и экономических отношений характеризовался довольно тесными отношениями по военной линии. Тесными, конечно, настолько, насколько позволяла складывавшаяся в конце 20-х годов внутриполитическая обстановка в СССР (свертывание НЭПа, стремительное нарастание недоверия к иностранным специалистам, поиск вредителей и т. д. ). Здесь уместно упомянуть о громком процессе над германскими специалистами фирмы АЭГ, а также советскими инженерами в г. Шахты в 1928 г., известном под названием «</w:t>
      </w:r>
      <w:proofErr w:type="spellStart"/>
      <w:r w:rsidRPr="00A259BD">
        <w:rPr>
          <w:rFonts w:ascii="Times New Roman" w:hAnsi="Times New Roman"/>
          <w:color w:val="000000" w:themeColor="text1"/>
          <w:sz w:val="16"/>
          <w:szCs w:val="16"/>
        </w:rPr>
        <w:t>шахтинского</w:t>
      </w:r>
      <w:proofErr w:type="spellEnd"/>
      <w:r w:rsidRPr="00A259BD">
        <w:rPr>
          <w:rFonts w:ascii="Times New Roman" w:hAnsi="Times New Roman"/>
          <w:color w:val="000000" w:themeColor="text1"/>
          <w:sz w:val="16"/>
          <w:szCs w:val="16"/>
        </w:rPr>
        <w:t xml:space="preserve"> дела». Это был, кстати, первый показательный судебный процесс, явившийся своеобразной пробой сил сталинской юстиции. И немцев, и русских обвинили во вредительстве. Немцев суд оправдал, а русские специалисты были осуждены на различные сроки (11784).</w:t>
      </w:r>
    </w:p>
    <w:p w14:paraId="49F703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4481FC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7DF738AE"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04657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учитывая высокие темпы коллективизации ЦК создал комиссию во главе с Наркомом земледелия </w:t>
      </w:r>
      <w:proofErr w:type="spellStart"/>
      <w:r w:rsidRPr="00A259BD">
        <w:rPr>
          <w:rFonts w:ascii="Times New Roman" w:hAnsi="Times New Roman"/>
          <w:color w:val="000000" w:themeColor="text1"/>
          <w:sz w:val="16"/>
          <w:szCs w:val="16"/>
        </w:rPr>
        <w:t>Я.А.Яковлевым</w:t>
      </w:r>
      <w:proofErr w:type="spellEnd"/>
      <w:r w:rsidRPr="00A259BD">
        <w:rPr>
          <w:rFonts w:ascii="Times New Roman" w:hAnsi="Times New Roman"/>
          <w:color w:val="000000" w:themeColor="text1"/>
          <w:sz w:val="16"/>
          <w:szCs w:val="16"/>
        </w:rPr>
        <w:t xml:space="preserve"> (226,397).</w:t>
      </w:r>
    </w:p>
    <w:p w14:paraId="75A834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AC0BE95" w14:textId="77777777" w:rsidR="006E6C0F" w:rsidRPr="00A259BD" w:rsidRDefault="006E6C0F"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105" w:name="_Hlk83288595"/>
      <w:r w:rsidRPr="00A259BD">
        <w:rPr>
          <w:rFonts w:ascii="Times New Roman" w:eastAsia="Times New Roman" w:hAnsi="Times New Roman"/>
          <w:color w:val="000000" w:themeColor="text1"/>
          <w:sz w:val="16"/>
          <w:szCs w:val="16"/>
          <w:lang w:eastAsia="ru-RU"/>
        </w:rPr>
        <w:t xml:space="preserve">В декабре 1929 - феврале 1930 г. развернутая форсированная коллективизация крестьянских хозяйств, породившая наряду с громадным сокращением поголовья скота, разрушением устойчивых крестьянских хозяйств, арестами п депортациями многочисленные очаги противодействия властям. По данным ОГПУ, массовые выступления (в которых в январе - феврале 1930 г. приняло участие 313 тыс. человек) достигли кульминации в марте 1930 г., когда их было зарегистрировано более 6,5 тыс., а число участников составило 1434 тыс. чел. (Справка ОГПУ о противодействии кулачества политике коллективизации, 17.11.1930 //Трагедия советской деревни: Коллективизация и раскулачивание, 1927-1939: Документы и материалы: В 5 т. / Под ред. В. Данилова, Р. </w:t>
      </w:r>
      <w:proofErr w:type="spellStart"/>
      <w:r w:rsidRPr="00A259BD">
        <w:rPr>
          <w:rFonts w:ascii="Times New Roman" w:eastAsia="Times New Roman" w:hAnsi="Times New Roman"/>
          <w:color w:val="000000" w:themeColor="text1"/>
          <w:sz w:val="16"/>
          <w:szCs w:val="16"/>
          <w:lang w:eastAsia="ru-RU"/>
        </w:rPr>
        <w:t>Маннинг</w:t>
      </w:r>
      <w:proofErr w:type="spellEnd"/>
      <w:r w:rsidRPr="00A259BD">
        <w:rPr>
          <w:rFonts w:ascii="Times New Roman" w:eastAsia="Times New Roman" w:hAnsi="Times New Roman"/>
          <w:color w:val="000000" w:themeColor="text1"/>
          <w:sz w:val="16"/>
          <w:szCs w:val="16"/>
          <w:lang w:eastAsia="ru-RU"/>
        </w:rPr>
        <w:t xml:space="preserve">., Л. Виолы. Т. 4 М., 2001. С. 703). "Весьма напряженное положение создалось на советских границах в УССР, БССР, Закавказья, в Бурят-Монголии, </w:t>
      </w:r>
      <w:proofErr w:type="spellStart"/>
      <w:r w:rsidRPr="00A259BD">
        <w:rPr>
          <w:rFonts w:ascii="Times New Roman" w:eastAsia="Times New Roman" w:hAnsi="Times New Roman"/>
          <w:color w:val="000000" w:themeColor="text1"/>
          <w:sz w:val="16"/>
          <w:szCs w:val="16"/>
          <w:lang w:eastAsia="ru-RU"/>
        </w:rPr>
        <w:t>Ойротии</w:t>
      </w:r>
      <w:proofErr w:type="spellEnd"/>
      <w:r w:rsidRPr="00A259BD">
        <w:rPr>
          <w:rFonts w:ascii="Times New Roman" w:eastAsia="Times New Roman" w:hAnsi="Times New Roman"/>
          <w:color w:val="000000" w:themeColor="text1"/>
          <w:sz w:val="16"/>
          <w:szCs w:val="16"/>
          <w:lang w:eastAsia="ru-RU"/>
        </w:rPr>
        <w:t>, ДВК, Казахстане"( Докладная записка Секретно-Политического отдела ОГПУ, 15.03-1931 // Там же. С. 798) (22725).</w:t>
      </w:r>
    </w:p>
    <w:p w14:paraId="2F5C50E4" w14:textId="77777777" w:rsidR="006E6C0F" w:rsidRPr="00A259BD" w:rsidRDefault="006E6C0F" w:rsidP="009236E3">
      <w:pPr>
        <w:shd w:val="clear" w:color="auto" w:fill="FFFFFF"/>
        <w:spacing w:after="0" w:line="240" w:lineRule="auto"/>
        <w:jc w:val="both"/>
        <w:rPr>
          <w:rFonts w:ascii="Times New Roman" w:hAnsi="Times New Roman"/>
          <w:color w:val="000000" w:themeColor="text1"/>
          <w:sz w:val="16"/>
          <w:szCs w:val="16"/>
          <w:shd w:val="clear" w:color="auto" w:fill="FFFFFF"/>
          <w:vertAlign w:val="superscript"/>
        </w:rPr>
      </w:pPr>
    </w:p>
    <w:bookmarkEnd w:id="105"/>
    <w:p w14:paraId="510179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Амторг заключил договор с Ford Motor Co. на закупку 1000 тракторов (3447).</w:t>
      </w:r>
    </w:p>
    <w:p w14:paraId="409B19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940FA3F"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6CCCF59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DF760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декабре 1929 г. в Хабаровске был подписан советско-китайский (советско-</w:t>
      </w:r>
      <w:proofErr w:type="spellStart"/>
      <w:r w:rsidRPr="00A259BD">
        <w:rPr>
          <w:rFonts w:ascii="Times New Roman" w:hAnsi="Times New Roman"/>
          <w:color w:val="000000" w:themeColor="text1"/>
          <w:sz w:val="16"/>
          <w:szCs w:val="16"/>
        </w:rPr>
        <w:t>манчжурский</w:t>
      </w:r>
      <w:proofErr w:type="spellEnd"/>
      <w:r w:rsidRPr="00A259BD">
        <w:rPr>
          <w:rFonts w:ascii="Times New Roman" w:hAnsi="Times New Roman"/>
          <w:color w:val="000000" w:themeColor="text1"/>
          <w:sz w:val="16"/>
          <w:szCs w:val="16"/>
        </w:rPr>
        <w:t>) протокол об урегулировании конфликта. Статус-кво на КВЖД был восстановлен, а права СССР в отношении дороги сохранены. Первая попытка вытеснить иностранное присутствие из Китая силой оказалась неудачной (3871).</w:t>
      </w:r>
    </w:p>
    <w:p w14:paraId="664781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529163"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AA071EF"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83FB8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декабре 1929 года было письмо </w:t>
      </w:r>
      <w:proofErr w:type="spellStart"/>
      <w:r w:rsidRPr="00A259BD">
        <w:rPr>
          <w:rFonts w:ascii="Times New Roman" w:hAnsi="Times New Roman"/>
          <w:color w:val="000000" w:themeColor="text1"/>
          <w:sz w:val="16"/>
          <w:szCs w:val="16"/>
        </w:rPr>
        <w:t>Шершевского</w:t>
      </w:r>
      <w:proofErr w:type="spellEnd"/>
      <w:r w:rsidRPr="00A259BD">
        <w:rPr>
          <w:rFonts w:ascii="Times New Roman" w:hAnsi="Times New Roman"/>
          <w:color w:val="000000" w:themeColor="text1"/>
          <w:sz w:val="16"/>
          <w:szCs w:val="16"/>
        </w:rPr>
        <w:t xml:space="preserve"> из Германии К.Э.Ц.:</w:t>
      </w:r>
    </w:p>
    <w:p w14:paraId="1F8425C9"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“Я сейчас ассистент проф. </w:t>
      </w:r>
      <w:proofErr w:type="spellStart"/>
      <w:r w:rsidRPr="00A259BD">
        <w:rPr>
          <w:rFonts w:ascii="Times New Roman" w:hAnsi="Times New Roman"/>
          <w:color w:val="000000" w:themeColor="text1"/>
          <w:sz w:val="16"/>
          <w:szCs w:val="16"/>
        </w:rPr>
        <w:t>Оберта</w:t>
      </w:r>
      <w:proofErr w:type="spellEnd"/>
      <w:r w:rsidRPr="00A259BD">
        <w:rPr>
          <w:rFonts w:ascii="Times New Roman" w:hAnsi="Times New Roman"/>
          <w:color w:val="000000" w:themeColor="text1"/>
          <w:sz w:val="16"/>
          <w:szCs w:val="16"/>
        </w:rPr>
        <w:t>, строим около Берлина первую ракету с жидким топливом… Работаем все здорово – не за страх, а за совесть, так с 8 часов утра до 10 вечера…” (11688).</w:t>
      </w:r>
    </w:p>
    <w:p w14:paraId="2BAA54CE"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955D81" w14:textId="77777777" w:rsidR="008B648E" w:rsidRPr="00441F34" w:rsidRDefault="008B648E" w:rsidP="008B648E">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декабре 1929  г. Управление вооружений (</w:t>
      </w:r>
      <w:proofErr w:type="spellStart"/>
      <w:r w:rsidRPr="00441F34">
        <w:rPr>
          <w:rFonts w:ascii="Times New Roman" w:hAnsi="Times New Roman"/>
          <w:color w:val="0070C0"/>
          <w:sz w:val="16"/>
          <w:szCs w:val="16"/>
        </w:rPr>
        <w:t>Heereswaffenamt</w:t>
      </w:r>
      <w:proofErr w:type="spellEnd"/>
      <w:r w:rsidRPr="00441F34">
        <w:rPr>
          <w:rFonts w:ascii="Times New Roman" w:hAnsi="Times New Roman"/>
          <w:color w:val="0070C0"/>
          <w:sz w:val="16"/>
          <w:szCs w:val="16"/>
        </w:rPr>
        <w:t xml:space="preserve">) Рейхсвера создало секретную группу по разработке крупнокалиберных полевых ракет с ТРД, а в 1931 г. другую группу, занявшуюся ракетами дальнего действия с ЖРД. Куратором обеих групп командование назначило капитана Вернера Роберта </w:t>
      </w:r>
      <w:proofErr w:type="spellStart"/>
      <w:r w:rsidRPr="00441F34">
        <w:rPr>
          <w:rFonts w:ascii="Times New Roman" w:hAnsi="Times New Roman"/>
          <w:color w:val="0070C0"/>
          <w:sz w:val="16"/>
          <w:szCs w:val="16"/>
        </w:rPr>
        <w:t>Дорнбергера</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Werner</w:t>
      </w:r>
      <w:proofErr w:type="spellEnd"/>
      <w:r w:rsidRPr="00441F34">
        <w:rPr>
          <w:rFonts w:ascii="Times New Roman" w:hAnsi="Times New Roman"/>
          <w:color w:val="0070C0"/>
          <w:sz w:val="16"/>
          <w:szCs w:val="16"/>
        </w:rPr>
        <w:t xml:space="preserve"> Robert </w:t>
      </w:r>
      <w:proofErr w:type="spellStart"/>
      <w:r w:rsidRPr="00441F34">
        <w:rPr>
          <w:rFonts w:ascii="Times New Roman" w:hAnsi="Times New Roman"/>
          <w:color w:val="0070C0"/>
          <w:sz w:val="16"/>
          <w:szCs w:val="16"/>
        </w:rPr>
        <w:t>Dornberger</w:t>
      </w:r>
      <w:proofErr w:type="spellEnd"/>
      <w:r w:rsidRPr="00441F34">
        <w:rPr>
          <w:rFonts w:ascii="Times New Roman" w:hAnsi="Times New Roman"/>
          <w:color w:val="0070C0"/>
          <w:sz w:val="16"/>
          <w:szCs w:val="16"/>
        </w:rPr>
        <w:t xml:space="preserve">), имевшего образование инженера-машиностроителя. </w:t>
      </w:r>
    </w:p>
    <w:p w14:paraId="5B31258F" w14:textId="77777777" w:rsidR="008B648E" w:rsidRPr="00441F34" w:rsidRDefault="008B648E" w:rsidP="008B648E">
      <w:pPr>
        <w:spacing w:after="0" w:line="240" w:lineRule="auto"/>
        <w:jc w:val="both"/>
        <w:rPr>
          <w:rFonts w:ascii="Times New Roman" w:hAnsi="Times New Roman"/>
          <w:color w:val="0070C0"/>
          <w:sz w:val="16"/>
          <w:szCs w:val="16"/>
        </w:rPr>
      </w:pPr>
      <w:proofErr w:type="spellStart"/>
      <w:r w:rsidRPr="00441F34">
        <w:rPr>
          <w:rFonts w:ascii="Times New Roman" w:hAnsi="Times New Roman"/>
          <w:color w:val="0070C0"/>
          <w:sz w:val="16"/>
          <w:szCs w:val="16"/>
        </w:rPr>
        <w:t>Чстным</w:t>
      </w:r>
      <w:proofErr w:type="spellEnd"/>
      <w:r w:rsidRPr="00441F34">
        <w:rPr>
          <w:rFonts w:ascii="Times New Roman" w:hAnsi="Times New Roman"/>
          <w:color w:val="0070C0"/>
          <w:sz w:val="16"/>
          <w:szCs w:val="16"/>
        </w:rPr>
        <w:t xml:space="preserve"> образом представители Управления вооружений несколько раз посещали полигон (в  штатском), видели успешные запуски, но предложений не делали. Их останавливало то, что «дураки из Тегеля» всерьез обсуждали такие «безумные проекты» как создание орбитальной станции и полёты на Луну! А предприниматели уже потеряли интерес к  ракетодрому: ведь рынок в ракетах не нуждался. Тогда </w:t>
      </w:r>
      <w:proofErr w:type="spellStart"/>
      <w:r w:rsidRPr="00441F34">
        <w:rPr>
          <w:rFonts w:ascii="Times New Roman" w:hAnsi="Times New Roman"/>
          <w:color w:val="0070C0"/>
          <w:sz w:val="16"/>
          <w:szCs w:val="16"/>
        </w:rPr>
        <w:t>Небель</w:t>
      </w:r>
      <w:proofErr w:type="spellEnd"/>
      <w:r w:rsidRPr="00441F34">
        <w:rPr>
          <w:rFonts w:ascii="Times New Roman" w:hAnsi="Times New Roman"/>
          <w:color w:val="0070C0"/>
          <w:sz w:val="16"/>
          <w:szCs w:val="16"/>
        </w:rPr>
        <w:t xml:space="preserve"> попытался заинтересовать военное ведомство. Он направил туда, как вспоминал Лей, «секретный меморандум о дальнобойной ракетной артиллерии, технически совершенно безграмотный» (21372). </w:t>
      </w:r>
    </w:p>
    <w:p w14:paraId="077AB6FE" w14:textId="77777777" w:rsidR="008B648E" w:rsidRPr="00441F34" w:rsidRDefault="008B648E" w:rsidP="008B648E">
      <w:pPr>
        <w:spacing w:after="0" w:line="240" w:lineRule="auto"/>
        <w:jc w:val="both"/>
        <w:rPr>
          <w:rFonts w:ascii="Times New Roman" w:hAnsi="Times New Roman"/>
          <w:color w:val="0070C0"/>
          <w:sz w:val="16"/>
          <w:szCs w:val="16"/>
        </w:rPr>
      </w:pPr>
    </w:p>
    <w:p w14:paraId="408432E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2AA2DB55"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DA05DD7" w14:textId="77777777" w:rsidR="002D42B6" w:rsidRPr="00441F34" w:rsidRDefault="002D42B6" w:rsidP="002D42B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концу 1929 г. было построено уже 82 самолета И-3, значительная часть их была принята Заказчиком и они начали поступать в авиабригады Московского, Белорусского и Украинского военных округов (последний в то время не был разделен на Харьковский, Киевский и Одесский) (24887).</w:t>
      </w:r>
    </w:p>
    <w:p w14:paraId="2C3CCC56" w14:textId="77777777" w:rsidR="002D42B6" w:rsidRPr="00441F34" w:rsidRDefault="002D42B6" w:rsidP="002D42B6">
      <w:pPr>
        <w:spacing w:after="0" w:line="240" w:lineRule="auto"/>
        <w:jc w:val="both"/>
        <w:rPr>
          <w:rFonts w:ascii="Times New Roman" w:hAnsi="Times New Roman"/>
          <w:color w:val="0070C0"/>
          <w:sz w:val="16"/>
          <w:szCs w:val="16"/>
        </w:rPr>
      </w:pPr>
    </w:p>
    <w:p w14:paraId="44C523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концу 1929 г. идея легкого корпусного раз</w:t>
      </w:r>
      <w:r w:rsidRPr="00A259BD">
        <w:rPr>
          <w:rFonts w:ascii="Times New Roman" w:hAnsi="Times New Roman"/>
          <w:color w:val="000000" w:themeColor="text1"/>
          <w:sz w:val="16"/>
          <w:szCs w:val="16"/>
        </w:rPr>
        <w:softHyphen/>
        <w:t>ведчика себя уже изжила, ввиду развития авиации тре</w:t>
      </w:r>
      <w:r w:rsidRPr="00A259BD">
        <w:rPr>
          <w:rFonts w:ascii="Times New Roman" w:hAnsi="Times New Roman"/>
          <w:color w:val="000000" w:themeColor="text1"/>
          <w:sz w:val="16"/>
          <w:szCs w:val="16"/>
        </w:rPr>
        <w:softHyphen/>
        <w:t>бовался переходный самолет с иными летными характеристиками. Поэтому решили отказаться от до</w:t>
      </w:r>
      <w:r w:rsidRPr="00A259BD">
        <w:rPr>
          <w:rFonts w:ascii="Times New Roman" w:hAnsi="Times New Roman"/>
          <w:color w:val="000000" w:themeColor="text1"/>
          <w:sz w:val="16"/>
          <w:szCs w:val="16"/>
        </w:rPr>
        <w:softHyphen/>
        <w:t>водки П-2 и прекратить его серийную постройку. К это</w:t>
      </w:r>
      <w:r w:rsidRPr="00A259BD">
        <w:rPr>
          <w:rFonts w:ascii="Times New Roman" w:hAnsi="Times New Roman"/>
          <w:color w:val="000000" w:themeColor="text1"/>
          <w:sz w:val="16"/>
          <w:szCs w:val="16"/>
        </w:rPr>
        <w:softHyphen/>
        <w:t>му времени ГАЗ № 23 успел построить 55 машин, половина из которых сдана заказчику (10667).</w:t>
      </w:r>
    </w:p>
    <w:p w14:paraId="59FFD8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72614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конца 1929 г. истребитель И-3 начал поступать на вооружение частей Московского, Белорусского, Киев</w:t>
      </w:r>
      <w:r w:rsidRPr="00A259BD">
        <w:rPr>
          <w:rFonts w:ascii="Times New Roman" w:hAnsi="Times New Roman"/>
          <w:color w:val="000000" w:themeColor="text1"/>
          <w:sz w:val="16"/>
          <w:szCs w:val="16"/>
        </w:rPr>
        <w:softHyphen/>
        <w:t>ского военных округов, а с 1930 г. он стал основным ис</w:t>
      </w:r>
      <w:r w:rsidRPr="00A259BD">
        <w:rPr>
          <w:rFonts w:ascii="Times New Roman" w:hAnsi="Times New Roman"/>
          <w:color w:val="000000" w:themeColor="text1"/>
          <w:sz w:val="16"/>
          <w:szCs w:val="16"/>
        </w:rPr>
        <w:softHyphen/>
        <w:t>требителем ВВС СССР. По состоянию на 1 января 1931 г. в составе ВВС РККА насчитывалось 258 исправных И-3, 21 неисправный, всего 279 машин. В начале 1932 г. на вооружении ВВС находилось 297 самолетов данного типа. В эксплуатации И-3 зарекомендовал себя как проч</w:t>
      </w:r>
      <w:r w:rsidRPr="00A259BD">
        <w:rPr>
          <w:rFonts w:ascii="Times New Roman" w:hAnsi="Times New Roman"/>
          <w:color w:val="000000" w:themeColor="text1"/>
          <w:sz w:val="16"/>
          <w:szCs w:val="16"/>
        </w:rPr>
        <w:softHyphen/>
        <w:t>ный, надежный истребитель. Но срок военной службы самолета оказался недолгим, и в конце 1934 г. последовал приказ о снятии его со снабжения ВВС РККА. Некоторое количество И-3 использовалось затем в летных школах. В авиации ВМФ И-3 практически не применяли, так как там основным истребителем являлся И-4 (10667).</w:t>
      </w:r>
    </w:p>
    <w:p w14:paraId="1AFF33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60F10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г. начался второй этап заводских испытаний Д-2 Н.Н.П.. После не во всем продуман</w:t>
      </w:r>
      <w:r w:rsidRPr="00A259BD">
        <w:rPr>
          <w:rFonts w:ascii="Times New Roman" w:hAnsi="Times New Roman"/>
          <w:color w:val="000000" w:themeColor="text1"/>
          <w:sz w:val="16"/>
          <w:szCs w:val="16"/>
        </w:rPr>
        <w:softHyphen/>
        <w:t>ных переделок центровка машины изменилась, на неко</w:t>
      </w:r>
      <w:r w:rsidRPr="00A259BD">
        <w:rPr>
          <w:rFonts w:ascii="Times New Roman" w:hAnsi="Times New Roman"/>
          <w:color w:val="000000" w:themeColor="text1"/>
          <w:sz w:val="16"/>
          <w:szCs w:val="16"/>
        </w:rPr>
        <w:softHyphen/>
        <w:t>торых режимах появились вибрации хвостового оперения. Увеличение поперечного угла оперения поз</w:t>
      </w:r>
      <w:r w:rsidRPr="00A259BD">
        <w:rPr>
          <w:rFonts w:ascii="Times New Roman" w:hAnsi="Times New Roman"/>
          <w:color w:val="000000" w:themeColor="text1"/>
          <w:sz w:val="16"/>
          <w:szCs w:val="16"/>
        </w:rPr>
        <w:softHyphen/>
        <w:t>волило устранить их (10667).</w:t>
      </w:r>
    </w:p>
    <w:p w14:paraId="610CBA9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5F338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г. после прекраще</w:t>
      </w:r>
      <w:r w:rsidRPr="00A259BD">
        <w:rPr>
          <w:rFonts w:ascii="Times New Roman" w:hAnsi="Times New Roman"/>
          <w:color w:val="000000" w:themeColor="text1"/>
          <w:sz w:val="16"/>
          <w:szCs w:val="16"/>
        </w:rPr>
        <w:softHyphen/>
        <w:t>ния программы самолет ИЛ-400б уничтожили (10667).</w:t>
      </w:r>
    </w:p>
    <w:p w14:paraId="1F47D75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1D31FF" w14:textId="77777777" w:rsidR="00596CC9" w:rsidRPr="00A259BD" w:rsidRDefault="00596CC9" w:rsidP="009236E3">
      <w:pPr>
        <w:pStyle w:val="a8"/>
        <w:jc w:val="both"/>
        <w:rPr>
          <w:rFonts w:ascii="Times New Roman" w:hAnsi="Times New Roman" w:cs="Times New Roman"/>
          <w:color w:val="000000" w:themeColor="text1"/>
        </w:rPr>
      </w:pPr>
      <w:r w:rsidRPr="00A259BD">
        <w:rPr>
          <w:rFonts w:ascii="Times New Roman" w:hAnsi="Times New Roman" w:cs="Times New Roman"/>
          <w:color w:val="000000" w:themeColor="text1"/>
        </w:rPr>
        <w:t>В конце 1929 г. в ЦАГИ приступили к разработке для И-4 разрезного верхнего крыла. Считали, что это значительно улучшит взлетно-посадочные качества самолета. Примерно в это же время решили попробовать превратить самолет в моноплан, сняв маленькое нижнее крыло. Проект переделки закончили в июле 1930 г. (19100).</w:t>
      </w:r>
    </w:p>
    <w:p w14:paraId="5513D41C" w14:textId="77777777" w:rsidR="00596CC9" w:rsidRPr="00A259BD" w:rsidRDefault="00596CC9" w:rsidP="009236E3">
      <w:pPr>
        <w:pStyle w:val="a8"/>
        <w:jc w:val="both"/>
        <w:rPr>
          <w:rFonts w:ascii="Times New Roman" w:hAnsi="Times New Roman" w:cs="Times New Roman"/>
          <w:color w:val="000000" w:themeColor="text1"/>
        </w:rPr>
      </w:pPr>
    </w:p>
    <w:p w14:paraId="74BD13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конца 1929 г. в Таганроге вели производство МР-1, выпустив в общей сложности 124 экземпляра (11923).</w:t>
      </w:r>
    </w:p>
    <w:p w14:paraId="1494CF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E2B5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г. Р-3ЛД,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335F0C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ТЕХНИЧЕСКОЕ ОПИСАНИЕ САМОЛЕТА Р-ЗЛД</w:t>
      </w:r>
    </w:p>
    <w:p w14:paraId="6062EB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Р-ЗЛД (РЗ-ЛД) представлял собой двухместный одномоторный цельнометаллический биплан, который мог быть использован как корпусной (ближний) разведчик и легкий бомбардировщик. В конструкции машины использовался кольчугалюминий (дюралюминий) и сталь.</w:t>
      </w:r>
    </w:p>
    <w:p w14:paraId="4DF6F5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Фюзеляж имел сечение, близкое к треугольнику, обращенному вершиной вниз. Остов фюзеляжа состоял из семи основных рам-шпангоутов, углы которых связаны лонжеронами. В средней части были размещены дополнительные промежуточные рамы, подкрепляющие обшивку. Рамы и лонжероны клепали из профилей с листовыми косынками.</w:t>
      </w:r>
    </w:p>
    <w:p w14:paraId="16428F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Первая основная рама соединялась с </w:t>
      </w:r>
      <w:proofErr w:type="spellStart"/>
      <w:r w:rsidRPr="00A259BD">
        <w:rPr>
          <w:rFonts w:ascii="Times New Roman" w:hAnsi="Times New Roman"/>
          <w:color w:val="000000" w:themeColor="text1"/>
          <w:sz w:val="16"/>
          <w:szCs w:val="16"/>
        </w:rPr>
        <w:t>подмоторной</w:t>
      </w:r>
      <w:proofErr w:type="spellEnd"/>
      <w:r w:rsidRPr="00A259BD">
        <w:rPr>
          <w:rFonts w:ascii="Times New Roman" w:hAnsi="Times New Roman"/>
          <w:color w:val="000000" w:themeColor="text1"/>
          <w:sz w:val="16"/>
          <w:szCs w:val="16"/>
        </w:rPr>
        <w:t xml:space="preserve"> рамой. Далее были расположены бензиновые баки и кабины экипажа. В передней кабине сидел пилот, в задней - летчик-наблюдатель, он же стрелок. Силовой набор в районе кабин был усилен дополнительными профилями, пол из гофрированного листа опирался на поперечные балки-профили. За местом наблюдателя в обшивке внизу имелось окно для фотоаппарата. Кресло пилота (именовавшееся в </w:t>
      </w:r>
      <w:proofErr w:type="spellStart"/>
      <w:r w:rsidRPr="00A259BD">
        <w:rPr>
          <w:rFonts w:ascii="Times New Roman" w:hAnsi="Times New Roman"/>
          <w:color w:val="000000" w:themeColor="text1"/>
          <w:sz w:val="16"/>
          <w:szCs w:val="16"/>
        </w:rPr>
        <w:t>техописаниях</w:t>
      </w:r>
      <w:proofErr w:type="spellEnd"/>
      <w:r w:rsidRPr="00A259BD">
        <w:rPr>
          <w:rFonts w:ascii="Times New Roman" w:hAnsi="Times New Roman"/>
          <w:color w:val="000000" w:themeColor="text1"/>
          <w:sz w:val="16"/>
          <w:szCs w:val="16"/>
        </w:rPr>
        <w:t xml:space="preserve"> того времени "стулом") представляло собой каркас из труб, обшитый гофрированным кольчугалюминием. Укладка парашюта в кресло не предусматривалась, на сиденье лежала стеганая кожаная подушка. Сиденье наблюдателя - подобно по конструкции, но могло складываться пружинами вверх и сдвигаться к </w:t>
      </w:r>
    </w:p>
    <w:p w14:paraId="1275C9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правому или левому борту. Оба сиденья были снабжены привязными ремнями.</w:t>
      </w:r>
    </w:p>
    <w:p w14:paraId="4BBD11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Перед обеими кабинами закреплялись ветровые козырьки: у пилота - из триплекса, у летнаба - из целлулоида, откидной; оба козырька были обрамлены алюминиевыми рамками. С левого борта имелись подножки для влезания членов экипажа в самолет.</w:t>
      </w:r>
    </w:p>
    <w:p w14:paraId="2F617A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Почти весь фюзеляж был обшит гофрированным кольчугалюминиевым листом с гофром, идущим по направлению полета. Обшивка верхней части фюзеляжа (над лонжеронами) спереди до места наблюдателя - гладкая.</w:t>
      </w:r>
    </w:p>
    <w:p w14:paraId="49964F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Коробка крыльев выполнена по схеме полутораплана, верхнее крыло существенно длиннее и шире нижнего. И сверху, и снизу центроплан отсутствовал. Разъем верхнего крыла - в осевой плоскости самолета; в этом месте он крепится к фюзеляжу через два кабана, расположенных друг за другом перед кабиной летчика. Нижнее крыло делилось на правую и левую части, присоединяемые к башмакам на нижнем лонжероне фюзеляжа. Крепление верхнего и нижнего крыльев к фюзеляжу - шарнирное. Полукоробки соединялись У-образными стойками и системой перекрестных лент- растяжек (по шесть на каждую). Каждая стойка состояла из собственно стойки и заднего подкоса, скрепленных шарнир- но. Они выполнялись из труб, закрытых выколоченными из алюминия обтекателями. Концы стойки и подкоса соединялись с лонжеронами крыльев с помощью подвижных ушек, позволяющих изменять длину при регулировке </w:t>
      </w:r>
      <w:proofErr w:type="spellStart"/>
      <w:r w:rsidRPr="00A259BD">
        <w:rPr>
          <w:rFonts w:ascii="Times New Roman" w:hAnsi="Times New Roman"/>
          <w:color w:val="000000" w:themeColor="text1"/>
          <w:sz w:val="16"/>
          <w:szCs w:val="16"/>
        </w:rPr>
        <w:t>полукоробки.Верхнее</w:t>
      </w:r>
      <w:proofErr w:type="spellEnd"/>
      <w:r w:rsidRPr="00A259BD">
        <w:rPr>
          <w:rFonts w:ascii="Times New Roman" w:hAnsi="Times New Roman"/>
          <w:color w:val="000000" w:themeColor="text1"/>
          <w:sz w:val="16"/>
          <w:szCs w:val="16"/>
        </w:rPr>
        <w:t xml:space="preserve"> крыло в плане - прямоугольное, со скошенными и немного закругленными концами и вырезом в средней части для улучшения обзора летчику. Каркас его включал лобовой обтекатель, согнутый из листа, два ферменных лонжерона, нервюры и стрингеры. Обшивка - гофрированный кольчугалюминий толщиной 0,3 - 0,5 мм. На стыке листов верхней и нижней обшивки, приклепанных к лобовому обтекателю, была наложена алюминиевая облицовочная лента. Между первой и второй нервюрами с каждой стороны крыла размещались бензобаки. До самолета № 4052 верхняя поверхность бака выполнялась заподлицо с контуром крыла и снаружи ничем не закрывалась. Позднее баки убрали внутрь крыла, а над ними сделали крышку с гофрированной обшивкой. Верхнее крыло было снабжено некомпенсированными элеронами цельнометаллической конструкции.</w:t>
      </w:r>
    </w:p>
    <w:p w14:paraId="266E04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Конструкция нижнего крыла была подобна верхнему, но элероны на нем отсутствовали. На правом крыле имелся прямоугольный вырез от заднего лонжерона до задней кромки, предназначенный для прицеливания при бомбометании.</w:t>
      </w:r>
    </w:p>
    <w:p w14:paraId="65A081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Хвостовое оперение - классической схемы. Каркас киля состоял из трех балок и двух нервюр. Обшивка - гофрированный кольчугалюминий. Передняя кромка киля была смещена на 20 мм влево от оси самолета для компенсации влияния вращения винта. Руль направления - тоже цельнометаллический, навешен на подшипниках скольжения, имел роговую аэродинамическую компенсацию.</w:t>
      </w:r>
    </w:p>
    <w:p w14:paraId="599B01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Конструкция стабилизатора была подобна конструкции киля, но он устанавливался с возможностью изменения угла от -2° до +3°. Задний край стабилизатора закреплялся шарнирно, а передний приподнимался и опускался винтовым устройством, приводимым в действие системой трубчатых валов от </w:t>
      </w:r>
      <w:proofErr w:type="spellStart"/>
      <w:r w:rsidRPr="00A259BD">
        <w:rPr>
          <w:rFonts w:ascii="Times New Roman" w:hAnsi="Times New Roman"/>
          <w:color w:val="000000" w:themeColor="text1"/>
          <w:sz w:val="16"/>
          <w:szCs w:val="16"/>
        </w:rPr>
        <w:t>маховичка</w:t>
      </w:r>
      <w:proofErr w:type="spellEnd"/>
      <w:r w:rsidRPr="00A259BD">
        <w:rPr>
          <w:rFonts w:ascii="Times New Roman" w:hAnsi="Times New Roman"/>
          <w:color w:val="000000" w:themeColor="text1"/>
          <w:sz w:val="16"/>
          <w:szCs w:val="16"/>
        </w:rPr>
        <w:t xml:space="preserve"> на правом борту пилотской кабины. У задней кромки стабилизатор подпирался подкосом, изготовленным из стальной трубы, заключенной в алюминиевый обтекатель. На верхнем конце трубы имелся винт с ушком, позволяющий регулировать длину подкоса. Руль высоты по конструкции был подобен рулю направления и тоже снабжен роговой компенсацией.</w:t>
      </w:r>
    </w:p>
    <w:p w14:paraId="2AA55F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Шасси - трехточечное, с хвостовым костылем. Полуоси с каждой стороны образовывали с двумя стойками трехгранные пирамиды, обращенные вершиной вниз. Одна из стоек - амортизационная, она состояла из двух вставленных друг в друга труб с коромыслами. Амортизатор - резиновый, шнуровой, работающий на растяжение; закрыт алюминиевым обтекателем. При максимальном ходе удар смягчала резиновая </w:t>
      </w:r>
      <w:proofErr w:type="spellStart"/>
      <w:r w:rsidRPr="00A259BD">
        <w:rPr>
          <w:rFonts w:ascii="Times New Roman" w:hAnsi="Times New Roman"/>
          <w:color w:val="000000" w:themeColor="text1"/>
          <w:sz w:val="16"/>
          <w:szCs w:val="16"/>
        </w:rPr>
        <w:t>пласти</w:t>
      </w:r>
      <w:proofErr w:type="spellEnd"/>
      <w:r w:rsidRPr="00A259BD">
        <w:rPr>
          <w:rFonts w:ascii="Times New Roman" w:hAnsi="Times New Roman"/>
          <w:color w:val="000000" w:themeColor="text1"/>
          <w:sz w:val="16"/>
          <w:szCs w:val="16"/>
        </w:rPr>
        <w:t>- на-буфер. На левой амортизационной стойке имелась подножка. Полуоси верхним своим концом шарнирно крепились к</w:t>
      </w:r>
    </w:p>
    <w:p w14:paraId="2559F8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Шнуровой амортизатор основной стойки со снятым кожухом узлу нижнего ребра фюзеляжа. Полуоси и стойки были изготовлены из стали.</w:t>
      </w:r>
    </w:p>
    <w:p w14:paraId="079088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Колеса - </w:t>
      </w:r>
      <w:proofErr w:type="spellStart"/>
      <w:r w:rsidRPr="00A259BD">
        <w:rPr>
          <w:rFonts w:ascii="Times New Roman" w:hAnsi="Times New Roman"/>
          <w:color w:val="000000" w:themeColor="text1"/>
          <w:sz w:val="16"/>
          <w:szCs w:val="16"/>
        </w:rPr>
        <w:t>спицованные</w:t>
      </w:r>
      <w:proofErr w:type="spellEnd"/>
      <w:r w:rsidRPr="00A259BD">
        <w:rPr>
          <w:rFonts w:ascii="Times New Roman" w:hAnsi="Times New Roman"/>
          <w:color w:val="000000" w:themeColor="text1"/>
          <w:sz w:val="16"/>
          <w:szCs w:val="16"/>
        </w:rPr>
        <w:t>, размерами 800 х 150 мм. Спицы закрывались алюминиевыми дисками-колпаками. В дисках имелись отверстия возле вентилей камер колес.</w:t>
      </w:r>
    </w:p>
    <w:p w14:paraId="4EC86B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Хвостовой костыль - сплющенная стальная труба с башмаком из листовой стали на конце. Примерно посередине его была смонтирована ось качания, а наверху намотан конец амортизационного шнура; второй конец его закреплен через дыры косынки в хвостовой части фюзеляжа.</w:t>
      </w:r>
    </w:p>
    <w:p w14:paraId="79D97B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Зимой колеса заменялись лыжами. Лыжи деревянные, длиной 2730 мм. Они имели деревянный каркас в виде продольной фермы, ясеневую подошву и фанерный обтекатель, обклеенный миткалем. Кабан лыжи - из стальных труб, надевался на полуось, как колесо. К двум узлам на верхней поверхности лыжи присоединялись передний и задний амортизаторы из рояльной проволоки и резинового шнура. Тандер переднего амортизатора позволял регулировать натяжение шнуров и положение лыжи. Параллельно амортизаторам были закреплены предохранительные тросы. Башмак костыля зимой тоже заменялся небольшой лыжей. Ее конструкция была подобна основным. Амортизатор у хвостовой лыжи - один, спереди, также как и предохранительный трос. И основные, и хвостовая лыжа устанавливались под углом 6° к оси самолета.</w:t>
      </w:r>
    </w:p>
    <w:p w14:paraId="277476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Двигатель - </w:t>
      </w:r>
      <w:proofErr w:type="spellStart"/>
      <w:r w:rsidRPr="00A259BD">
        <w:rPr>
          <w:rFonts w:ascii="Times New Roman" w:hAnsi="Times New Roman"/>
          <w:color w:val="000000" w:themeColor="text1"/>
          <w:sz w:val="16"/>
          <w:szCs w:val="16"/>
        </w:rPr>
        <w:t>Лоррэн</w:t>
      </w:r>
      <w:proofErr w:type="spellEnd"/>
      <w:r w:rsidRPr="00A259BD">
        <w:rPr>
          <w:rFonts w:ascii="Times New Roman" w:hAnsi="Times New Roman"/>
          <w:color w:val="000000" w:themeColor="text1"/>
          <w:sz w:val="16"/>
          <w:szCs w:val="16"/>
        </w:rPr>
        <w:t xml:space="preserve">-Дитрих 12ЕЬ номинальной мощностью 450 </w:t>
      </w:r>
      <w:proofErr w:type="spellStart"/>
      <w:r w:rsidRPr="00A259BD">
        <w:rPr>
          <w:rFonts w:ascii="Times New Roman" w:hAnsi="Times New Roman"/>
          <w:color w:val="000000" w:themeColor="text1"/>
          <w:sz w:val="16"/>
          <w:szCs w:val="16"/>
        </w:rPr>
        <w:t>л.е</w:t>
      </w:r>
      <w:proofErr w:type="spellEnd"/>
      <w:r w:rsidRPr="00A259BD">
        <w:rPr>
          <w:rFonts w:ascii="Times New Roman" w:hAnsi="Times New Roman"/>
          <w:color w:val="000000" w:themeColor="text1"/>
          <w:sz w:val="16"/>
          <w:szCs w:val="16"/>
        </w:rPr>
        <w:t xml:space="preserve">., 12-ци- </w:t>
      </w:r>
      <w:proofErr w:type="spellStart"/>
      <w:r w:rsidRPr="00A259BD">
        <w:rPr>
          <w:rFonts w:ascii="Times New Roman" w:hAnsi="Times New Roman"/>
          <w:color w:val="000000" w:themeColor="text1"/>
          <w:sz w:val="16"/>
          <w:szCs w:val="16"/>
        </w:rPr>
        <w:t>линдровый</w:t>
      </w:r>
      <w:proofErr w:type="spellEnd"/>
      <w:r w:rsidRPr="00A259BD">
        <w:rPr>
          <w:rFonts w:ascii="Times New Roman" w:hAnsi="Times New Roman"/>
          <w:color w:val="000000" w:themeColor="text1"/>
          <w:sz w:val="16"/>
          <w:szCs w:val="16"/>
        </w:rPr>
        <w:t xml:space="preserve">, W-образный трехрядный, водяного охлаждения, </w:t>
      </w:r>
      <w:proofErr w:type="spellStart"/>
      <w:r w:rsidRPr="00A259BD">
        <w:rPr>
          <w:rFonts w:ascii="Times New Roman" w:hAnsi="Times New Roman"/>
          <w:color w:val="000000" w:themeColor="text1"/>
          <w:sz w:val="16"/>
          <w:szCs w:val="16"/>
        </w:rPr>
        <w:t>безредукторный</w:t>
      </w:r>
      <w:proofErr w:type="spellEnd"/>
      <w:r w:rsidRPr="00A259BD">
        <w:rPr>
          <w:rFonts w:ascii="Times New Roman" w:hAnsi="Times New Roman"/>
          <w:color w:val="000000" w:themeColor="text1"/>
          <w:sz w:val="16"/>
          <w:szCs w:val="16"/>
        </w:rPr>
        <w:t>. Вес мотора - 364 кг.</w:t>
      </w:r>
    </w:p>
    <w:p w14:paraId="3A048E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Двигатель был смонтирован на раме из дюралюминиевых швеллеров и стальных труб. Он закрывался капотом из гладких алюминиевых листов, в кромки которых для жесткости была закатана стальная проволока. Между верхней и нижними частями капота оставлялось пространство для доступа к мотору и выхлопа из цилиндров боковых рядов. Выхлоп из цилиндров среднего ряда осуществлялся через отверстия справа в верхней крышке капота. Внизу слева</w:t>
      </w:r>
    </w:p>
    <w:p w14:paraId="5BC8F0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Хвостовая лыжа (</w:t>
      </w:r>
      <w:proofErr w:type="spellStart"/>
      <w:r w:rsidRPr="00A259BD">
        <w:rPr>
          <w:rFonts w:ascii="Times New Roman" w:hAnsi="Times New Roman"/>
          <w:color w:val="000000" w:themeColor="text1"/>
          <w:sz w:val="16"/>
          <w:szCs w:val="16"/>
        </w:rPr>
        <w:t>лыжонок</w:t>
      </w:r>
      <w:proofErr w:type="spellEnd"/>
      <w:r w:rsidRPr="00A259BD">
        <w:rPr>
          <w:rFonts w:ascii="Times New Roman" w:hAnsi="Times New Roman"/>
          <w:color w:val="000000" w:themeColor="text1"/>
          <w:sz w:val="16"/>
          <w:szCs w:val="16"/>
        </w:rPr>
        <w:t>)</w:t>
      </w:r>
    </w:p>
    <w:p w14:paraId="46B91E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справа были приклепаны обтекатели карбюраторов с вырезами спереди для всасывающих патрубков.</w:t>
      </w:r>
    </w:p>
    <w:p w14:paraId="46E67A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Радиатор - лобовой сотовый, с трубками Андрэ (шестигранными), был заключен в кольцевой обтекатель. Верхняя часть обтекателя выколачивалась из алюминиевого листа, нижняя - из кольчугалюминия. Обтекатель был прикреплен к капоту мотора винтами. Охлаждение регулировалось жалюзи перед радиатором, управляемым пилотом с помощью системы тяг.</w:t>
      </w:r>
    </w:p>
    <w:p w14:paraId="12E9AE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Винт - двухлопастный постоянного шага, диаметром 3,0 м, деревянный с оковкой передних кромок листовой латунью.</w:t>
      </w:r>
    </w:p>
    <w:p w14:paraId="29D9EC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самолете имелись четыре бензобака: два основных в фюзеляже и два дополнительных в средней части верхнего крыла. Все баки изготавливались из луженого железа. Внутри их были установлены перегородки, стянутые для увеличения жесткости стальными тягами. Швы пропаивались оловом. Фюзеляжные баки были закреплены один над другим. Их устанавливали через окно на правой стороне фюзеляжа. Нижний бак укладывали на две стальные ленты через полосы войлока. Затем на него клали деревянную, обшитую сукном, проставку. Поверх нее опускали верхний бак, стягиваемый лентами с нижним. После этого в проеме окна натягивали крест- накрест две расчалки и крепили на штифтах крышку, обшитую гофром.</w:t>
      </w:r>
    </w:p>
    <w:p w14:paraId="28419B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Баки в верхнем крыле встречались двух типов. По конструкции они были подобны фюзеляжным, но отличались по форме. Ранний вариант в сечении был почти прямоугольным, его верхняя крышка повторяла профиль крыла. Позже ввели бак овального сечения, закрываемый сверху съемной гофрированной крышкой. Баки обоих типов подвешивались на стальных лентах, к которым тонкой медной проволокой прикручивались полоски войлока. Подача бензина к двигателю осуществлялась из емкостей в верхнем крыле самотеком, из фюзеляжных к мотору и в верхние баки - </w:t>
      </w:r>
      <w:proofErr w:type="spellStart"/>
      <w:r w:rsidRPr="00A259BD">
        <w:rPr>
          <w:rFonts w:ascii="Times New Roman" w:hAnsi="Times New Roman"/>
          <w:color w:val="000000" w:themeColor="text1"/>
          <w:sz w:val="16"/>
          <w:szCs w:val="16"/>
        </w:rPr>
        <w:t>бензопомпами</w:t>
      </w:r>
      <w:proofErr w:type="spellEnd"/>
      <w:r w:rsidRPr="00A259BD">
        <w:rPr>
          <w:rFonts w:ascii="Times New Roman" w:hAnsi="Times New Roman"/>
          <w:color w:val="000000" w:themeColor="text1"/>
          <w:sz w:val="16"/>
          <w:szCs w:val="16"/>
        </w:rPr>
        <w:t xml:space="preserve"> с приводом от двигателя.</w:t>
      </w:r>
    </w:p>
    <w:p w14:paraId="77FAED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Масляный бак устанавливался вертикально непосредственно за мотором, он был склепан из кольчугалюминиевого листа. Для обеспечения герметичности клепка осуществлялась через шайбы, а между листами металла прокладывали полосы ватмана, пропитанного шеллаком. Горячее масло, отбираемое от двигателя, охлаждалось в сотовом радиаторе по левому борту.</w:t>
      </w:r>
    </w:p>
    <w:p w14:paraId="706826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Управление самолетом - двойное, у обоих членов экипажа имелись ручка управления и педали. У летнаба ручка съемная. Привод рулей и элеронов - по жесткой схеме, тягами и качалками. Экипаж мог общаться с помощью простейшего переговорного прибора - резинового шланга.</w:t>
      </w:r>
    </w:p>
    <w:p w14:paraId="668CF9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приборной доске летчика были смонтированы тахометр, термометры воды и масла, манометры бензина и масла, амперметр, </w:t>
      </w:r>
      <w:proofErr w:type="spellStart"/>
      <w:r w:rsidRPr="00A259BD">
        <w:rPr>
          <w:rFonts w:ascii="Times New Roman" w:hAnsi="Times New Roman"/>
          <w:color w:val="000000" w:themeColor="text1"/>
          <w:sz w:val="16"/>
          <w:szCs w:val="16"/>
        </w:rPr>
        <w:t>бензиномер</w:t>
      </w:r>
      <w:proofErr w:type="spellEnd"/>
      <w:r w:rsidRPr="00A259BD">
        <w:rPr>
          <w:rFonts w:ascii="Times New Roman" w:hAnsi="Times New Roman"/>
          <w:color w:val="000000" w:themeColor="text1"/>
          <w:sz w:val="16"/>
          <w:szCs w:val="16"/>
        </w:rPr>
        <w:t xml:space="preserve">, высотомер, указатель скорости, </w:t>
      </w:r>
      <w:proofErr w:type="spellStart"/>
      <w:r w:rsidRPr="00A259BD">
        <w:rPr>
          <w:rFonts w:ascii="Times New Roman" w:hAnsi="Times New Roman"/>
          <w:color w:val="000000" w:themeColor="text1"/>
          <w:sz w:val="16"/>
          <w:szCs w:val="16"/>
        </w:rPr>
        <w:t>курсоуказатель</w:t>
      </w:r>
      <w:proofErr w:type="spellEnd"/>
      <w:r w:rsidRPr="00A259BD">
        <w:rPr>
          <w:rFonts w:ascii="Times New Roman" w:hAnsi="Times New Roman"/>
          <w:color w:val="000000" w:themeColor="text1"/>
          <w:sz w:val="16"/>
          <w:szCs w:val="16"/>
        </w:rPr>
        <w:t xml:space="preserve"> "Пионер" и часы. На колонке устанавливался жидкостный компас AJ11, на правом борту кабины - уклономер. В кабине летнаба на щитке были расположены альтиметр, указатель скорости, компас АН1 и часы. На правой </w:t>
      </w:r>
      <w:proofErr w:type="spellStart"/>
      <w:r w:rsidRPr="00A259BD">
        <w:rPr>
          <w:rFonts w:ascii="Times New Roman" w:hAnsi="Times New Roman"/>
          <w:color w:val="000000" w:themeColor="text1"/>
          <w:sz w:val="16"/>
          <w:szCs w:val="16"/>
        </w:rPr>
        <w:t>межкрыльевой</w:t>
      </w:r>
      <w:proofErr w:type="spellEnd"/>
      <w:r w:rsidRPr="00A259BD">
        <w:rPr>
          <w:rFonts w:ascii="Times New Roman" w:hAnsi="Times New Roman"/>
          <w:color w:val="000000" w:themeColor="text1"/>
          <w:sz w:val="16"/>
          <w:szCs w:val="16"/>
        </w:rPr>
        <w:t xml:space="preserve"> стойке крепился термометр, показывающий температуру окружающего воздуха.</w:t>
      </w:r>
    </w:p>
    <w:p w14:paraId="495F4B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 местом летнаба расположена была плановая фотоустановка с камерой Пот- тэ 1а. Объектив ее смотрел через коническую насадку в отверстие в обшивке, закрывающееся заслонкой. Последней управлял летнаб посредством сектора и тросика </w:t>
      </w:r>
      <w:proofErr w:type="spellStart"/>
      <w:r w:rsidRPr="00A259BD">
        <w:rPr>
          <w:rFonts w:ascii="Times New Roman" w:hAnsi="Times New Roman"/>
          <w:color w:val="000000" w:themeColor="text1"/>
          <w:sz w:val="16"/>
          <w:szCs w:val="16"/>
        </w:rPr>
        <w:t>Боудена</w:t>
      </w:r>
      <w:proofErr w:type="spellEnd"/>
      <w:r w:rsidRPr="00A259BD">
        <w:rPr>
          <w:rFonts w:ascii="Times New Roman" w:hAnsi="Times New Roman"/>
          <w:color w:val="000000" w:themeColor="text1"/>
          <w:sz w:val="16"/>
          <w:szCs w:val="16"/>
        </w:rPr>
        <w:t>.</w:t>
      </w:r>
    </w:p>
    <w:p w14:paraId="67F0CE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самолете планировалась установка радиостанции 14С или 14С-1, но фактически на заводе их никогда не монтировали.</w:t>
      </w:r>
    </w:p>
    <w:p w14:paraId="1C27BF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Стрелковое вооружение Р-ЗЛД состояло из неподвижного синхронного курсового пулемета ПВ-1, стоявшего снаружи на левом борту, и двух пулеметов "Льюис" обр. 1924 г. на турели Тур-4 в задней кабине. Пулемет ПВ-1 монтировался на двух кронштейнах и закрывался алюминиевым обтекателем, который мог откидываться на петлях вниз. Опасность прострелить лопасть винта предотвращалась механическим синхронизатором Пул-9. На последних сериях Р-ЗЛД обтекатель пулемета сняли. Питание - разъемной лентой из коробки в фюзеляже. Для укладки ленты коробка выдвигалась через окно на правом борту. Стреляные гильзы выбрасывались наружу, звенья собирались в коробку слева на полу кабины летчика и извлекались оттуда через наружную круглую подпружиненную дверцу.</w:t>
      </w:r>
    </w:p>
    <w:p w14:paraId="3BEF8B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Прицеливание при стрельбе из ПВ-1 осуществлял пилот через простейший кольцевой прицел Вахмистрова. Прицел стоял перед козырьком его кабины, смещенный влево. Гашетка на самолетах последних серий располагалась на ручке управления. Затвор передергивали длинной ручкой, выступавшей из обтекателя пулемета.</w:t>
      </w:r>
    </w:p>
    <w:p w14:paraId="6FBE41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Два пулемета "Льюис" обр. 1924 г. стояли на вилке турели Тур-4, обеспечивающей круговой обстрел верхней полусферы. Питание пулеметов - из дисков-магазинов. В боезапас входили восемь дисков по 47 патронов в каждом. Магазины хранились в двух цилиндрических </w:t>
      </w:r>
      <w:proofErr w:type="spellStart"/>
      <w:r w:rsidRPr="00A259BD">
        <w:rPr>
          <w:rFonts w:ascii="Times New Roman" w:hAnsi="Times New Roman"/>
          <w:color w:val="000000" w:themeColor="text1"/>
          <w:sz w:val="16"/>
          <w:szCs w:val="16"/>
        </w:rPr>
        <w:t>кассетницах</w:t>
      </w:r>
      <w:proofErr w:type="spellEnd"/>
      <w:r w:rsidRPr="00A259BD">
        <w:rPr>
          <w:rFonts w:ascii="Times New Roman" w:hAnsi="Times New Roman"/>
          <w:color w:val="000000" w:themeColor="text1"/>
          <w:sz w:val="16"/>
          <w:szCs w:val="16"/>
        </w:rPr>
        <w:t>, на шесть и два диска.</w:t>
      </w:r>
    </w:p>
    <w:p w14:paraId="70F366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Бомбардировочное вооружение Р-ЗЛД соответствовало комплекту Бомбр-2 и включало восемь укороченных балок Дер-7 под нижним крылом, сбрасыватель Сбр-8 и простейший прицел АП-2. Держатели Дер-7 позволяли нести бомбы калибром до 32 кг, максимальная бомбовая нагрузка составляла 256 кг. Сбрасыватель Сбр-8 - </w:t>
      </w:r>
      <w:r w:rsidRPr="00A259BD">
        <w:rPr>
          <w:rFonts w:ascii="Times New Roman" w:hAnsi="Times New Roman"/>
          <w:color w:val="000000" w:themeColor="text1"/>
          <w:sz w:val="16"/>
          <w:szCs w:val="16"/>
        </w:rPr>
        <w:lastRenderedPageBreak/>
        <w:t xml:space="preserve">механический, устанавливался по правому борту в кабине летнаба. Проводка от него к замкам бомбодержателей - тросиками </w:t>
      </w:r>
      <w:proofErr w:type="spellStart"/>
      <w:r w:rsidRPr="00A259BD">
        <w:rPr>
          <w:rFonts w:ascii="Times New Roman" w:hAnsi="Times New Roman"/>
          <w:color w:val="000000" w:themeColor="text1"/>
          <w:sz w:val="16"/>
          <w:szCs w:val="16"/>
        </w:rPr>
        <w:t>Боудена</w:t>
      </w:r>
      <w:proofErr w:type="spellEnd"/>
      <w:r w:rsidRPr="00A259BD">
        <w:rPr>
          <w:rFonts w:ascii="Times New Roman" w:hAnsi="Times New Roman"/>
          <w:color w:val="000000" w:themeColor="text1"/>
          <w:sz w:val="16"/>
          <w:szCs w:val="16"/>
        </w:rPr>
        <w:t>. Прицел АП-2 крепился снаружи на правом борту кабины летнаба. Он имел два положения: сложенное (походное) и раскрытое (рабочее).</w:t>
      </w:r>
    </w:p>
    <w:p w14:paraId="44BBBA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комплектацию самолета входил также сигнальный пистолет (ракетница) "Вери" и 30 ракет трех цветов к нему (11985).</w:t>
      </w:r>
    </w:p>
    <w:p w14:paraId="70F5C1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0D93A96" w14:textId="77777777" w:rsidR="002D42B6" w:rsidRPr="00441F34" w:rsidRDefault="002D42B6" w:rsidP="002D42B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конце 1929 г. НТК УВВС предло</w:t>
      </w:r>
      <w:r w:rsidRPr="00441F34">
        <w:rPr>
          <w:rFonts w:ascii="Times New Roman" w:hAnsi="Times New Roman"/>
          <w:color w:val="0070C0"/>
          <w:sz w:val="16"/>
          <w:szCs w:val="16"/>
        </w:rPr>
        <w:softHyphen/>
        <w:t>жил ЦАГИ дать заключение о воз</w:t>
      </w:r>
      <w:r w:rsidRPr="00441F34">
        <w:rPr>
          <w:rFonts w:ascii="Times New Roman" w:hAnsi="Times New Roman"/>
          <w:color w:val="0070C0"/>
          <w:sz w:val="16"/>
          <w:szCs w:val="16"/>
        </w:rPr>
        <w:softHyphen/>
        <w:t>можности постройки самолетов грузоподъемностью в 10 и 25 т, способных перевозить орудия, танки, и сообщить их основные параметры. КБ выполнило предварительные расчеты и ЦАГИ выдал заключение, в котором говорилось:</w:t>
      </w:r>
    </w:p>
    <w:p w14:paraId="58A99097" w14:textId="77777777" w:rsidR="002D42B6" w:rsidRPr="00441F34" w:rsidRDefault="002D42B6" w:rsidP="002D42B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 Постройка самолета с полезной нагрузкой в 10 т является реальной, а для самолета в 25 т необходимо провести предварительные научно-исследователь</w:t>
      </w:r>
      <w:r w:rsidRPr="00441F34">
        <w:rPr>
          <w:rFonts w:ascii="Times New Roman" w:hAnsi="Times New Roman"/>
          <w:color w:val="0070C0"/>
          <w:sz w:val="16"/>
          <w:szCs w:val="16"/>
        </w:rPr>
        <w:softHyphen/>
        <w:t>ские работы. Среди них — постройка мо</w:t>
      </w:r>
      <w:r w:rsidRPr="00441F34">
        <w:rPr>
          <w:rFonts w:ascii="Times New Roman" w:hAnsi="Times New Roman"/>
          <w:color w:val="0070C0"/>
          <w:sz w:val="16"/>
          <w:szCs w:val="16"/>
        </w:rPr>
        <w:softHyphen/>
        <w:t xml:space="preserve">делей лодок и поплавков с их </w:t>
      </w:r>
      <w:proofErr w:type="spellStart"/>
      <w:r w:rsidRPr="00441F34">
        <w:rPr>
          <w:rFonts w:ascii="Times New Roman" w:hAnsi="Times New Roman"/>
          <w:color w:val="0070C0"/>
          <w:sz w:val="16"/>
          <w:szCs w:val="16"/>
        </w:rPr>
        <w:t>протаской</w:t>
      </w:r>
      <w:proofErr w:type="spellEnd"/>
      <w:r w:rsidRPr="00441F34">
        <w:rPr>
          <w:rFonts w:ascii="Times New Roman" w:hAnsi="Times New Roman"/>
          <w:color w:val="0070C0"/>
          <w:sz w:val="16"/>
          <w:szCs w:val="16"/>
        </w:rPr>
        <w:t xml:space="preserve"> в гидроканале».</w:t>
      </w:r>
    </w:p>
    <w:p w14:paraId="7C1CD3AF" w14:textId="77777777" w:rsidR="002D42B6" w:rsidRPr="00441F34" w:rsidRDefault="002D42B6" w:rsidP="002D42B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те годы многие сомневались в воз</w:t>
      </w:r>
      <w:r w:rsidRPr="00441F34">
        <w:rPr>
          <w:rFonts w:ascii="Times New Roman" w:hAnsi="Times New Roman"/>
          <w:color w:val="0070C0"/>
          <w:sz w:val="16"/>
          <w:szCs w:val="16"/>
        </w:rPr>
        <w:softHyphen/>
        <w:t>можности посадки многотонных машин на землю — вариант гидросамолета-ги</w:t>
      </w:r>
      <w:r w:rsidRPr="00441F34">
        <w:rPr>
          <w:rFonts w:ascii="Times New Roman" w:hAnsi="Times New Roman"/>
          <w:color w:val="0070C0"/>
          <w:sz w:val="16"/>
          <w:szCs w:val="16"/>
        </w:rPr>
        <w:softHyphen/>
        <w:t>ганта представлялся более реальным.</w:t>
      </w:r>
    </w:p>
    <w:p w14:paraId="78F1D0D0" w14:textId="77777777" w:rsidR="002D42B6" w:rsidRPr="00441F34" w:rsidRDefault="002D42B6" w:rsidP="002D42B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 Опытное самолетостроение в СССР должно больше всего бояться от</w:t>
      </w:r>
      <w:r w:rsidRPr="00441F34">
        <w:rPr>
          <w:rFonts w:ascii="Times New Roman" w:hAnsi="Times New Roman"/>
          <w:color w:val="0070C0"/>
          <w:sz w:val="16"/>
          <w:szCs w:val="16"/>
        </w:rPr>
        <w:softHyphen/>
        <w:t>рыва от роста индустриальных возмож</w:t>
      </w:r>
      <w:r w:rsidRPr="00441F34">
        <w:rPr>
          <w:rFonts w:ascii="Times New Roman" w:hAnsi="Times New Roman"/>
          <w:color w:val="0070C0"/>
          <w:sz w:val="16"/>
          <w:szCs w:val="16"/>
        </w:rPr>
        <w:softHyphen/>
        <w:t>ностей страны и тем самым превращения в малоцелесообразное строительство единичных экземпляров» (эти слова Ту</w:t>
      </w:r>
      <w:r w:rsidRPr="00441F34">
        <w:rPr>
          <w:rFonts w:ascii="Times New Roman" w:hAnsi="Times New Roman"/>
          <w:color w:val="0070C0"/>
          <w:sz w:val="16"/>
          <w:szCs w:val="16"/>
        </w:rPr>
        <w:softHyphen/>
        <w:t>полева, ставшие законом для КБ, как нельзя лучше объясняют жизненность его конструкций).</w:t>
      </w:r>
    </w:p>
    <w:p w14:paraId="6FE4BFA9" w14:textId="77777777" w:rsidR="002D42B6" w:rsidRPr="00441F34" w:rsidRDefault="002D42B6" w:rsidP="002D42B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ЦАГИ сообщал и предварительные данные по машинам:</w:t>
      </w:r>
    </w:p>
    <w:tbl>
      <w:tblPr>
        <w:tblOverlap w:val="never"/>
        <w:tblW w:w="0" w:type="auto"/>
        <w:tblLayout w:type="fixed"/>
        <w:tblCellMar>
          <w:left w:w="10" w:type="dxa"/>
          <w:right w:w="10" w:type="dxa"/>
        </w:tblCellMar>
        <w:tblLook w:val="04A0" w:firstRow="1" w:lastRow="0" w:firstColumn="1" w:lastColumn="0" w:noHBand="0" w:noVBand="1"/>
      </w:tblPr>
      <w:tblGrid>
        <w:gridCol w:w="1843"/>
        <w:gridCol w:w="797"/>
        <w:gridCol w:w="806"/>
      </w:tblGrid>
      <w:tr w:rsidR="002D42B6" w:rsidRPr="00441F34" w14:paraId="44AB9ABC" w14:textId="77777777" w:rsidTr="004B2EA4">
        <w:trPr>
          <w:trHeight w:val="206"/>
        </w:trPr>
        <w:tc>
          <w:tcPr>
            <w:tcW w:w="2640" w:type="dxa"/>
            <w:gridSpan w:val="2"/>
            <w:shd w:val="clear" w:color="auto" w:fill="auto"/>
          </w:tcPr>
          <w:p w14:paraId="3599993A" w14:textId="77777777" w:rsidR="002D42B6" w:rsidRPr="00441F34" w:rsidRDefault="002D42B6"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w:t>
            </w:r>
            <w:r w:rsidRPr="00441F34">
              <w:rPr>
                <w:rFonts w:ascii="Times New Roman" w:hAnsi="Times New Roman"/>
                <w:color w:val="0070C0"/>
                <w:sz w:val="16"/>
                <w:szCs w:val="16"/>
              </w:rPr>
              <w:tab/>
              <w:t>АНТ—16</w:t>
            </w:r>
          </w:p>
        </w:tc>
        <w:tc>
          <w:tcPr>
            <w:tcW w:w="806" w:type="dxa"/>
            <w:shd w:val="clear" w:color="auto" w:fill="auto"/>
          </w:tcPr>
          <w:p w14:paraId="60981006" w14:textId="77777777" w:rsidR="002D42B6" w:rsidRPr="00441F34" w:rsidRDefault="002D42B6"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АНТ-26</w:t>
            </w:r>
          </w:p>
        </w:tc>
      </w:tr>
      <w:tr w:rsidR="002D42B6" w:rsidRPr="00441F34" w14:paraId="664F338B" w14:textId="77777777" w:rsidTr="004B2EA4">
        <w:trPr>
          <w:trHeight w:val="230"/>
        </w:trPr>
        <w:tc>
          <w:tcPr>
            <w:tcW w:w="1843" w:type="dxa"/>
            <w:shd w:val="clear" w:color="auto" w:fill="auto"/>
          </w:tcPr>
          <w:p w14:paraId="065BEF00" w14:textId="77777777" w:rsidR="002D42B6" w:rsidRPr="00441F34" w:rsidRDefault="002D42B6" w:rsidP="004B2EA4">
            <w:pPr>
              <w:spacing w:after="0" w:line="240" w:lineRule="auto"/>
              <w:jc w:val="both"/>
              <w:rPr>
                <w:rFonts w:ascii="Times New Roman" w:hAnsi="Times New Roman"/>
                <w:color w:val="0070C0"/>
                <w:sz w:val="16"/>
                <w:szCs w:val="16"/>
              </w:rPr>
            </w:pPr>
          </w:p>
        </w:tc>
        <w:tc>
          <w:tcPr>
            <w:tcW w:w="797" w:type="dxa"/>
            <w:shd w:val="clear" w:color="auto" w:fill="auto"/>
            <w:vAlign w:val="bottom"/>
          </w:tcPr>
          <w:p w14:paraId="0FEC782B" w14:textId="77777777" w:rsidR="002D42B6" w:rsidRPr="00441F34" w:rsidRDefault="002D42B6"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(ТБ-4)</w:t>
            </w:r>
          </w:p>
        </w:tc>
        <w:tc>
          <w:tcPr>
            <w:tcW w:w="806" w:type="dxa"/>
            <w:shd w:val="clear" w:color="auto" w:fill="auto"/>
            <w:vAlign w:val="bottom"/>
          </w:tcPr>
          <w:p w14:paraId="7DCAC0B1" w14:textId="77777777" w:rsidR="002D42B6" w:rsidRPr="00441F34" w:rsidRDefault="002D42B6"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(ТБ-6)</w:t>
            </w:r>
          </w:p>
        </w:tc>
      </w:tr>
      <w:tr w:rsidR="002D42B6" w:rsidRPr="00441F34" w14:paraId="2EAE8D11" w14:textId="77777777" w:rsidTr="004B2EA4">
        <w:trPr>
          <w:trHeight w:val="221"/>
        </w:trPr>
        <w:tc>
          <w:tcPr>
            <w:tcW w:w="1843" w:type="dxa"/>
            <w:shd w:val="clear" w:color="auto" w:fill="auto"/>
          </w:tcPr>
          <w:p w14:paraId="07795568" w14:textId="77777777" w:rsidR="002D42B6" w:rsidRPr="00441F34" w:rsidRDefault="002D42B6"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Полезная нагрузка, т</w:t>
            </w:r>
          </w:p>
        </w:tc>
        <w:tc>
          <w:tcPr>
            <w:tcW w:w="797" w:type="dxa"/>
            <w:shd w:val="clear" w:color="auto" w:fill="auto"/>
          </w:tcPr>
          <w:p w14:paraId="54CE3E90" w14:textId="77777777" w:rsidR="002D42B6" w:rsidRPr="00441F34" w:rsidRDefault="002D42B6"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10,0</w:t>
            </w:r>
          </w:p>
        </w:tc>
        <w:tc>
          <w:tcPr>
            <w:tcW w:w="806" w:type="dxa"/>
            <w:shd w:val="clear" w:color="auto" w:fill="auto"/>
          </w:tcPr>
          <w:p w14:paraId="0742F49B" w14:textId="77777777" w:rsidR="002D42B6" w:rsidRPr="00441F34" w:rsidRDefault="002D42B6"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25,0</w:t>
            </w:r>
          </w:p>
        </w:tc>
      </w:tr>
      <w:tr w:rsidR="002D42B6" w:rsidRPr="00441F34" w14:paraId="4D91F25D" w14:textId="77777777" w:rsidTr="004B2EA4">
        <w:trPr>
          <w:trHeight w:val="211"/>
        </w:trPr>
        <w:tc>
          <w:tcPr>
            <w:tcW w:w="1843" w:type="dxa"/>
            <w:shd w:val="clear" w:color="auto" w:fill="auto"/>
          </w:tcPr>
          <w:p w14:paraId="796685D6" w14:textId="77777777" w:rsidR="002D42B6" w:rsidRPr="00441F34" w:rsidRDefault="002D42B6"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Полетная масса, т</w:t>
            </w:r>
          </w:p>
        </w:tc>
        <w:tc>
          <w:tcPr>
            <w:tcW w:w="797" w:type="dxa"/>
            <w:shd w:val="clear" w:color="auto" w:fill="auto"/>
          </w:tcPr>
          <w:p w14:paraId="6D295993" w14:textId="77777777" w:rsidR="002D42B6" w:rsidRPr="00441F34" w:rsidRDefault="002D42B6"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22-25</w:t>
            </w:r>
          </w:p>
        </w:tc>
        <w:tc>
          <w:tcPr>
            <w:tcW w:w="806" w:type="dxa"/>
            <w:shd w:val="clear" w:color="auto" w:fill="auto"/>
          </w:tcPr>
          <w:p w14:paraId="665E5FE6" w14:textId="77777777" w:rsidR="002D42B6" w:rsidRPr="00441F34" w:rsidRDefault="002D42B6"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50-60</w:t>
            </w:r>
          </w:p>
        </w:tc>
      </w:tr>
      <w:tr w:rsidR="002D42B6" w:rsidRPr="00441F34" w14:paraId="334ABBA0" w14:textId="77777777" w:rsidTr="004B2EA4">
        <w:trPr>
          <w:trHeight w:val="226"/>
        </w:trPr>
        <w:tc>
          <w:tcPr>
            <w:tcW w:w="1843" w:type="dxa"/>
            <w:shd w:val="clear" w:color="auto" w:fill="auto"/>
            <w:vAlign w:val="bottom"/>
          </w:tcPr>
          <w:p w14:paraId="730BC4A1" w14:textId="77777777" w:rsidR="002D42B6" w:rsidRPr="00441F34" w:rsidRDefault="002D42B6"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Площадь крыла, м2</w:t>
            </w:r>
          </w:p>
        </w:tc>
        <w:tc>
          <w:tcPr>
            <w:tcW w:w="797" w:type="dxa"/>
            <w:shd w:val="clear" w:color="auto" w:fill="auto"/>
            <w:vAlign w:val="bottom"/>
          </w:tcPr>
          <w:p w14:paraId="25835571" w14:textId="77777777" w:rsidR="002D42B6" w:rsidRPr="00441F34" w:rsidRDefault="002D42B6"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350</w:t>
            </w:r>
          </w:p>
        </w:tc>
        <w:tc>
          <w:tcPr>
            <w:tcW w:w="806" w:type="dxa"/>
            <w:shd w:val="clear" w:color="auto" w:fill="auto"/>
            <w:vAlign w:val="bottom"/>
          </w:tcPr>
          <w:p w14:paraId="3A719AC1" w14:textId="77777777" w:rsidR="002D42B6" w:rsidRPr="00441F34" w:rsidRDefault="002D42B6"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650-700</w:t>
            </w:r>
          </w:p>
        </w:tc>
      </w:tr>
      <w:tr w:rsidR="002D42B6" w:rsidRPr="00441F34" w14:paraId="2DA0E1FC" w14:textId="77777777" w:rsidTr="004B2EA4">
        <w:trPr>
          <w:trHeight w:val="226"/>
        </w:trPr>
        <w:tc>
          <w:tcPr>
            <w:tcW w:w="1843" w:type="dxa"/>
            <w:shd w:val="clear" w:color="auto" w:fill="auto"/>
          </w:tcPr>
          <w:p w14:paraId="550CB6F9" w14:textId="77777777" w:rsidR="002D42B6" w:rsidRPr="00441F34" w:rsidRDefault="002D42B6"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Размах крыла, м</w:t>
            </w:r>
          </w:p>
        </w:tc>
        <w:tc>
          <w:tcPr>
            <w:tcW w:w="797" w:type="dxa"/>
            <w:shd w:val="clear" w:color="auto" w:fill="auto"/>
          </w:tcPr>
          <w:p w14:paraId="63D46418" w14:textId="77777777" w:rsidR="002D42B6" w:rsidRPr="00441F34" w:rsidRDefault="002D42B6"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45-50</w:t>
            </w:r>
          </w:p>
        </w:tc>
        <w:tc>
          <w:tcPr>
            <w:tcW w:w="806" w:type="dxa"/>
            <w:shd w:val="clear" w:color="auto" w:fill="auto"/>
          </w:tcPr>
          <w:p w14:paraId="6610CD4D" w14:textId="77777777" w:rsidR="002D42B6" w:rsidRPr="00441F34" w:rsidRDefault="002D42B6"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65-75</w:t>
            </w:r>
          </w:p>
        </w:tc>
      </w:tr>
      <w:tr w:rsidR="002D42B6" w:rsidRPr="00441F34" w14:paraId="64DA510B" w14:textId="77777777" w:rsidTr="004B2EA4">
        <w:trPr>
          <w:trHeight w:val="230"/>
        </w:trPr>
        <w:tc>
          <w:tcPr>
            <w:tcW w:w="1843" w:type="dxa"/>
            <w:shd w:val="clear" w:color="auto" w:fill="auto"/>
          </w:tcPr>
          <w:p w14:paraId="100A4050" w14:textId="77777777" w:rsidR="002D42B6" w:rsidRPr="00441F34" w:rsidRDefault="002D42B6"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Сроки</w:t>
            </w:r>
          </w:p>
        </w:tc>
        <w:tc>
          <w:tcPr>
            <w:tcW w:w="797" w:type="dxa"/>
            <w:shd w:val="clear" w:color="auto" w:fill="auto"/>
          </w:tcPr>
          <w:p w14:paraId="745206A4" w14:textId="77777777" w:rsidR="002D42B6" w:rsidRPr="00441F34" w:rsidRDefault="002D42B6" w:rsidP="004B2EA4">
            <w:pPr>
              <w:spacing w:after="0" w:line="240" w:lineRule="auto"/>
              <w:jc w:val="both"/>
              <w:rPr>
                <w:rFonts w:ascii="Times New Roman" w:hAnsi="Times New Roman"/>
                <w:color w:val="0070C0"/>
                <w:sz w:val="16"/>
                <w:szCs w:val="16"/>
              </w:rPr>
            </w:pPr>
          </w:p>
        </w:tc>
        <w:tc>
          <w:tcPr>
            <w:tcW w:w="806" w:type="dxa"/>
            <w:shd w:val="clear" w:color="auto" w:fill="auto"/>
          </w:tcPr>
          <w:p w14:paraId="09D5A9A8" w14:textId="77777777" w:rsidR="002D42B6" w:rsidRPr="00441F34" w:rsidRDefault="002D42B6" w:rsidP="004B2EA4">
            <w:pPr>
              <w:spacing w:after="0" w:line="240" w:lineRule="auto"/>
              <w:jc w:val="both"/>
              <w:rPr>
                <w:rFonts w:ascii="Times New Roman" w:hAnsi="Times New Roman"/>
                <w:color w:val="0070C0"/>
                <w:sz w:val="16"/>
                <w:szCs w:val="16"/>
              </w:rPr>
            </w:pPr>
          </w:p>
        </w:tc>
      </w:tr>
      <w:tr w:rsidR="002D42B6" w:rsidRPr="00441F34" w14:paraId="667FEAA7" w14:textId="77777777" w:rsidTr="004B2EA4">
        <w:trPr>
          <w:trHeight w:val="216"/>
        </w:trPr>
        <w:tc>
          <w:tcPr>
            <w:tcW w:w="1843" w:type="dxa"/>
            <w:shd w:val="clear" w:color="auto" w:fill="auto"/>
          </w:tcPr>
          <w:p w14:paraId="266409FC" w14:textId="77777777" w:rsidR="002D42B6" w:rsidRPr="00441F34" w:rsidRDefault="002D42B6"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постройки, годы</w:t>
            </w:r>
          </w:p>
        </w:tc>
        <w:tc>
          <w:tcPr>
            <w:tcW w:w="797" w:type="dxa"/>
            <w:shd w:val="clear" w:color="auto" w:fill="auto"/>
          </w:tcPr>
          <w:p w14:paraId="66DFCD1B" w14:textId="77777777" w:rsidR="002D42B6" w:rsidRPr="00441F34" w:rsidRDefault="002D42B6"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2-3</w:t>
            </w:r>
          </w:p>
        </w:tc>
        <w:tc>
          <w:tcPr>
            <w:tcW w:w="806" w:type="dxa"/>
            <w:shd w:val="clear" w:color="auto" w:fill="auto"/>
          </w:tcPr>
          <w:p w14:paraId="32CC665E" w14:textId="77777777" w:rsidR="002D42B6" w:rsidRPr="00441F34" w:rsidRDefault="002D42B6" w:rsidP="004B2E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3-4</w:t>
            </w:r>
          </w:p>
        </w:tc>
      </w:tr>
    </w:tbl>
    <w:p w14:paraId="545A05F2" w14:textId="77777777" w:rsidR="002D42B6" w:rsidRPr="00441F34" w:rsidRDefault="002D42B6" w:rsidP="002D42B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Военные приняли решение строительстве таких машин. Начиная с 1931 г., в планах КБ упоминается самолет ТБ—6 (ТБ—X), заводское обозначение — АНТ-26.</w:t>
      </w:r>
    </w:p>
    <w:p w14:paraId="1CA309BB" w14:textId="77777777" w:rsidR="002D42B6" w:rsidRPr="00441F34" w:rsidRDefault="002D42B6" w:rsidP="002D42B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Создать его можно было на базе бомбар</w:t>
      </w:r>
      <w:r w:rsidRPr="00441F34">
        <w:rPr>
          <w:rFonts w:ascii="Times New Roman" w:hAnsi="Times New Roman"/>
          <w:color w:val="0070C0"/>
          <w:sz w:val="16"/>
          <w:szCs w:val="16"/>
        </w:rPr>
        <w:softHyphen/>
        <w:t xml:space="preserve">дировщика АНТ—26. В </w:t>
      </w:r>
      <w:proofErr w:type="spellStart"/>
      <w:r w:rsidRPr="00441F34">
        <w:rPr>
          <w:rFonts w:ascii="Times New Roman" w:hAnsi="Times New Roman"/>
          <w:color w:val="0070C0"/>
          <w:sz w:val="16"/>
          <w:szCs w:val="16"/>
        </w:rPr>
        <w:t>транспортно</w:t>
      </w:r>
      <w:r w:rsidRPr="00441F34">
        <w:rPr>
          <w:rFonts w:ascii="Times New Roman" w:hAnsi="Times New Roman"/>
          <w:color w:val="0070C0"/>
          <w:sz w:val="16"/>
          <w:szCs w:val="16"/>
        </w:rPr>
        <w:softHyphen/>
        <w:t>грузовом</w:t>
      </w:r>
      <w:proofErr w:type="spellEnd"/>
      <w:r w:rsidRPr="00441F34">
        <w:rPr>
          <w:rFonts w:ascii="Times New Roman" w:hAnsi="Times New Roman"/>
          <w:color w:val="0070C0"/>
          <w:sz w:val="16"/>
          <w:szCs w:val="16"/>
        </w:rPr>
        <w:t xml:space="preserve"> варианте самолет должен был перевозить пехотную роту с полным воору</w:t>
      </w:r>
      <w:r w:rsidRPr="00441F34">
        <w:rPr>
          <w:rFonts w:ascii="Times New Roman" w:hAnsi="Times New Roman"/>
          <w:color w:val="0070C0"/>
          <w:sz w:val="16"/>
          <w:szCs w:val="16"/>
        </w:rPr>
        <w:softHyphen/>
        <w:t>жением и снаряжением или несколько тяжелых орудий или танков.</w:t>
      </w:r>
    </w:p>
    <w:p w14:paraId="35B9053B" w14:textId="77777777" w:rsidR="002D42B6" w:rsidRPr="00441F34" w:rsidRDefault="002D42B6" w:rsidP="002D42B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Работы по проекту пассажирского варианта бомбардировщика ТБ—6, который получил обозначение АНТ-28, практически не велись, а совсем прекратились в июле 1934 года, одновременно с прекращением работ по АНТ—26.</w:t>
      </w:r>
    </w:p>
    <w:p w14:paraId="160A680D" w14:textId="77777777" w:rsidR="002D42B6" w:rsidRPr="00441F34" w:rsidRDefault="002D42B6" w:rsidP="002D42B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Разработка проектов не велась, по</w:t>
      </w:r>
      <w:r w:rsidRPr="00441F34">
        <w:rPr>
          <w:rFonts w:ascii="Times New Roman" w:hAnsi="Times New Roman"/>
          <w:color w:val="0070C0"/>
          <w:sz w:val="16"/>
          <w:szCs w:val="16"/>
        </w:rPr>
        <w:softHyphen/>
        <w:t>скольку основное внимание уделялось военному варианту, да и по нему работы вскоре прекратили (23474).</w:t>
      </w:r>
    </w:p>
    <w:p w14:paraId="2846765E" w14:textId="77777777" w:rsidR="002D42B6" w:rsidRPr="00441F34" w:rsidRDefault="002D42B6" w:rsidP="002D42B6">
      <w:pPr>
        <w:spacing w:after="0" w:line="240" w:lineRule="auto"/>
        <w:jc w:val="both"/>
        <w:rPr>
          <w:rFonts w:ascii="Times New Roman" w:hAnsi="Times New Roman"/>
          <w:color w:val="0070C0"/>
          <w:sz w:val="16"/>
          <w:szCs w:val="16"/>
        </w:rPr>
      </w:pPr>
    </w:p>
    <w:p w14:paraId="6A6EB881" w14:textId="77777777" w:rsidR="00620372" w:rsidRPr="00441F34" w:rsidRDefault="00620372" w:rsidP="0062037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1929 г. из советских специалистов расформированной группы «Р» (П.Э. Ришара) на заводе №28 образован ОПО-4, который перевели на завод №22. Вскоре ОПО-4 выбыло из состава ЦКБ и вошло в ОКБ МОС, действовавшее на заводе № 22 (23559).</w:t>
      </w:r>
    </w:p>
    <w:p w14:paraId="34A90A3A" w14:textId="77777777" w:rsidR="00620372" w:rsidRPr="00441F34" w:rsidRDefault="00620372" w:rsidP="00620372">
      <w:pPr>
        <w:spacing w:after="0" w:line="240" w:lineRule="auto"/>
        <w:jc w:val="both"/>
        <w:rPr>
          <w:rFonts w:ascii="Times New Roman" w:hAnsi="Times New Roman"/>
          <w:color w:val="0070C0"/>
          <w:sz w:val="16"/>
          <w:szCs w:val="16"/>
        </w:rPr>
      </w:pPr>
    </w:p>
    <w:p w14:paraId="1F04F5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концу 1929 был построен БИЧ-7 - прообраз бомбардировщика БИЧ-5. Начались испытания на аэродроме НИИ ВВС и летали </w:t>
      </w:r>
      <w:proofErr w:type="spellStart"/>
      <w:r w:rsidRPr="00A259BD">
        <w:rPr>
          <w:rFonts w:ascii="Times New Roman" w:hAnsi="Times New Roman"/>
          <w:color w:val="000000" w:themeColor="text1"/>
          <w:sz w:val="16"/>
          <w:szCs w:val="16"/>
        </w:rPr>
        <w:t>Б.Н.Кудрин</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Ю.И.Пионтковский</w:t>
      </w:r>
      <w:proofErr w:type="spellEnd"/>
      <w:r w:rsidRPr="00A259BD">
        <w:rPr>
          <w:rFonts w:ascii="Times New Roman" w:hAnsi="Times New Roman"/>
          <w:color w:val="000000" w:themeColor="text1"/>
          <w:sz w:val="16"/>
          <w:szCs w:val="16"/>
        </w:rPr>
        <w:t>. В январе 1930 выяснили, что из-за одноколесного шасси неустойчив при разбеге и пробеге и Б.И.Ч. поставил 2 колеса. всего выполнили только 3-4 полета (2544,53).</w:t>
      </w:r>
    </w:p>
    <w:p w14:paraId="1C3A8E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7C91D8" w14:textId="77777777" w:rsidR="00883278" w:rsidRPr="00A259BD" w:rsidRDefault="00883278"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конце 1929 г. построили БИЧ-7. Испытания проходили на аэродроме Научно-испытательного института ВВС (НИИ ВВС), летали Б.Н. Кудрин, Ю.И. Пионтковский, Н.П. </w:t>
      </w:r>
      <w:proofErr w:type="spellStart"/>
      <w:r w:rsidRPr="00A259BD">
        <w:rPr>
          <w:rFonts w:ascii="Times New Roman" w:eastAsia="Times New Roman" w:hAnsi="Times New Roman"/>
          <w:color w:val="000000" w:themeColor="text1"/>
          <w:sz w:val="16"/>
          <w:szCs w:val="16"/>
          <w:lang w:eastAsia="ru-RU"/>
        </w:rPr>
        <w:t>Благин</w:t>
      </w:r>
      <w:proofErr w:type="spellEnd"/>
      <w:r w:rsidRPr="00A259BD">
        <w:rPr>
          <w:rFonts w:ascii="Times New Roman" w:eastAsia="Times New Roman" w:hAnsi="Times New Roman"/>
          <w:color w:val="000000" w:themeColor="text1"/>
          <w:sz w:val="16"/>
          <w:szCs w:val="16"/>
          <w:lang w:eastAsia="ru-RU"/>
        </w:rPr>
        <w:t>. Уже в январе 1930 г. выяснилось, что из-за одноколесного шасси БИЧ 7 неустойчив при разбеге и пробеге. Под фюзеляжем установили два колеса, но неприятности продолжались. Реактивный момент от винта разворачивал машину во время разбега, а попытки лётчика выправить положение с помощью рулей направления не давали результата, так как рули находились вне струи от винта и поэтому почти не действовали на малой скорости. Ещё сложнее проходила посадка: из-за низкого шасси под крылом образовывалась «воздушная подушка», мешавшая приземлению и вызывавшая подскоки самолёта после касания колёсами аэродрома (такое поведение машины называется у лётчиков «</w:t>
      </w:r>
      <w:proofErr w:type="spellStart"/>
      <w:r w:rsidRPr="00A259BD">
        <w:rPr>
          <w:rFonts w:ascii="Times New Roman" w:eastAsia="Times New Roman" w:hAnsi="Times New Roman"/>
          <w:color w:val="000000" w:themeColor="text1"/>
          <w:sz w:val="16"/>
          <w:szCs w:val="16"/>
          <w:lang w:eastAsia="ru-RU"/>
        </w:rPr>
        <w:t>козление</w:t>
      </w:r>
      <w:proofErr w:type="spellEnd"/>
      <w:r w:rsidRPr="00A259BD">
        <w:rPr>
          <w:rFonts w:ascii="Times New Roman" w:eastAsia="Times New Roman" w:hAnsi="Times New Roman"/>
          <w:color w:val="000000" w:themeColor="text1"/>
          <w:sz w:val="16"/>
          <w:szCs w:val="16"/>
          <w:lang w:eastAsia="ru-RU"/>
        </w:rPr>
        <w:t>»).</w:t>
      </w:r>
    </w:p>
    <w:p w14:paraId="7EF3C948" w14:textId="77777777" w:rsidR="00883278" w:rsidRPr="00A259BD" w:rsidRDefault="00883278"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Из-за этого несколько раз ломалось шасси.</w:t>
      </w:r>
    </w:p>
    <w:p w14:paraId="697DC9BD" w14:textId="77777777" w:rsidR="00883278" w:rsidRPr="00A259BD" w:rsidRDefault="00883278"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полёте БИЧ 7 вёл себя немногим лучше. Лётчики отмечали большое усилие на ручке, особенно в полёте при полной мощности. Переставной стабилизатор помогал мало, да и пользоваться им оказалось почти невозможно: пилот должен был всё время обеими руками держать ручку управления, чтобы самолёт не перешел в пике </w:t>
      </w:r>
      <w:hyperlink r:id="rId339" w:history="1">
        <w:r w:rsidRPr="00A259BD">
          <w:rPr>
            <w:rFonts w:ascii="Times New Roman" w:eastAsia="Times New Roman" w:hAnsi="Times New Roman"/>
            <w:color w:val="000000" w:themeColor="text1"/>
            <w:sz w:val="16"/>
            <w:szCs w:val="16"/>
            <w:lang w:eastAsia="ru-RU"/>
          </w:rPr>
          <w:t>[46]</w:t>
        </w:r>
      </w:hyperlink>
      <w:r w:rsidRPr="00A259BD">
        <w:rPr>
          <w:rFonts w:ascii="Times New Roman" w:eastAsia="Times New Roman" w:hAnsi="Times New Roman"/>
          <w:color w:val="000000" w:themeColor="text1"/>
          <w:sz w:val="16"/>
          <w:szCs w:val="16"/>
          <w:lang w:eastAsia="ru-RU"/>
        </w:rPr>
        <w:t xml:space="preserve"> .</w:t>
      </w:r>
    </w:p>
    <w:p w14:paraId="19B137CC" w14:textId="77777777" w:rsidR="00883278" w:rsidRPr="00A259BD" w:rsidRDefault="00883278"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таких обстоятельствах испытания закончить не удалось: было сделано всего три или четыре полета по кругу над аэродромом на высоте 80-100 м. Тем не менее начатое дело решили не бросать. «Считаю, что данная схема обещает заманчивые перспективы, что, в свою очередь, требует продолжения эксперимента с самолетом БИЧ. Центр тяжести испытаний должен быть перенесён на выяснение: а) уменьшение усилий на органы управления; б) устойчивость самолёта; в) посадочные качества», — таково было мнение одного из руководителей НИИ ВВС Кравцова </w:t>
      </w:r>
      <w:hyperlink r:id="rId340" w:history="1">
        <w:r w:rsidRPr="00A259BD">
          <w:rPr>
            <w:rFonts w:ascii="Times New Roman" w:eastAsia="Times New Roman" w:hAnsi="Times New Roman"/>
            <w:color w:val="000000" w:themeColor="text1"/>
            <w:sz w:val="16"/>
            <w:szCs w:val="16"/>
            <w:lang w:eastAsia="ru-RU"/>
          </w:rPr>
          <w:t>[47]</w:t>
        </w:r>
      </w:hyperlink>
      <w:r w:rsidRPr="00A259BD">
        <w:rPr>
          <w:rFonts w:ascii="Times New Roman" w:eastAsia="Times New Roman" w:hAnsi="Times New Roman"/>
          <w:color w:val="000000" w:themeColor="text1"/>
          <w:sz w:val="16"/>
          <w:szCs w:val="16"/>
          <w:lang w:eastAsia="ru-RU"/>
        </w:rPr>
        <w:t xml:space="preserve"> .</w:t>
      </w:r>
    </w:p>
    <w:p w14:paraId="3EB6424F" w14:textId="77777777" w:rsidR="00883278" w:rsidRPr="00A259BD" w:rsidRDefault="00883278"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1931 г. БИЧ-7 для доработки и дальнейших испытаний передали из Осоавиахима в недавно образованное Бюро особых конструкций (БОК), которое возглавил выпускник Военно-воздушной академии В.А. Чижевский. Туда же устроился работать и </w:t>
      </w:r>
      <w:proofErr w:type="spellStart"/>
      <w:r w:rsidRPr="00A259BD">
        <w:rPr>
          <w:rFonts w:ascii="Times New Roman" w:eastAsia="Times New Roman" w:hAnsi="Times New Roman"/>
          <w:color w:val="000000" w:themeColor="text1"/>
          <w:sz w:val="16"/>
          <w:szCs w:val="16"/>
          <w:lang w:eastAsia="ru-RU"/>
        </w:rPr>
        <w:t>Черановский</w:t>
      </w:r>
      <w:proofErr w:type="spellEnd"/>
      <w:r w:rsidRPr="00A259BD">
        <w:rPr>
          <w:rFonts w:ascii="Times New Roman" w:eastAsia="Times New Roman" w:hAnsi="Times New Roman"/>
          <w:color w:val="000000" w:themeColor="text1"/>
          <w:sz w:val="16"/>
          <w:szCs w:val="16"/>
          <w:lang w:eastAsia="ru-RU"/>
        </w:rPr>
        <w:t>. Производственной базой БОК в то время был московский авиазавод № 39 (17489).</w:t>
      </w:r>
    </w:p>
    <w:p w14:paraId="711AA930" w14:textId="77777777" w:rsidR="00883278" w:rsidRPr="00A259BD" w:rsidRDefault="00883278" w:rsidP="009236E3">
      <w:pPr>
        <w:spacing w:after="0" w:line="240" w:lineRule="auto"/>
        <w:jc w:val="both"/>
        <w:rPr>
          <w:rFonts w:ascii="Times New Roman" w:eastAsia="Times New Roman" w:hAnsi="Times New Roman"/>
          <w:color w:val="000000" w:themeColor="text1"/>
          <w:sz w:val="16"/>
          <w:szCs w:val="16"/>
          <w:lang w:eastAsia="ru-RU"/>
        </w:rPr>
      </w:pPr>
    </w:p>
    <w:p w14:paraId="653443F5" w14:textId="77777777" w:rsidR="002D42B6" w:rsidRPr="00441F34" w:rsidRDefault="002D42B6" w:rsidP="002D42B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К концу 1929 г. был построен самолет БИЧ-7. Испытания проходили на аэродроме Научно-испытательного института ВВС (НИИ ВВС), летали </w:t>
      </w:r>
      <w:proofErr w:type="spellStart"/>
      <w:r w:rsidRPr="00441F34">
        <w:rPr>
          <w:rFonts w:ascii="Times New Roman" w:hAnsi="Times New Roman"/>
          <w:color w:val="0070C0"/>
          <w:sz w:val="16"/>
          <w:szCs w:val="16"/>
        </w:rPr>
        <w:t>Б.Н.Кудрин</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Ю.И.Пионтковский</w:t>
      </w:r>
      <w:proofErr w:type="spellEnd"/>
      <w:r w:rsidRPr="00441F34">
        <w:rPr>
          <w:rFonts w:ascii="Times New Roman" w:hAnsi="Times New Roman"/>
          <w:color w:val="0070C0"/>
          <w:sz w:val="16"/>
          <w:szCs w:val="16"/>
        </w:rPr>
        <w:t xml:space="preserve">, </w:t>
      </w:r>
      <w:proofErr w:type="spellStart"/>
      <w:r w:rsidRPr="00441F34">
        <w:rPr>
          <w:rFonts w:ascii="Times New Roman" w:hAnsi="Times New Roman"/>
          <w:color w:val="0070C0"/>
          <w:sz w:val="16"/>
          <w:szCs w:val="16"/>
        </w:rPr>
        <w:t>Н.П.Благин</w:t>
      </w:r>
      <w:proofErr w:type="spellEnd"/>
      <w:r w:rsidRPr="00441F34">
        <w:rPr>
          <w:rFonts w:ascii="Times New Roman" w:hAnsi="Times New Roman"/>
          <w:color w:val="0070C0"/>
          <w:sz w:val="16"/>
          <w:szCs w:val="16"/>
        </w:rPr>
        <w:t>. Уже в январе 1930 г. выяснилось, что из-за одноколесного шасси БИЧ-7 неустойчив при разбеге и пробеге. Вместо одного под фюзеляжем установили два колеса, но неприятности продолжались. Реактивный момент от винта разворачивал машину во время разбега, а попытки летчика выправить положение с помощью рулей направления не давали результата, так как они находились вне струи от винта и поэтому почти не действовали на малой скорости, Еще сложнее проходила посадка: из-за низкого шасси под крылом образовывалась "воздушная подушка", мешавшая приземлению и вызывавшая подскоки самолета после касания колесами аэродрома (такое поведение машины называется у летчиков "</w:t>
      </w:r>
      <w:proofErr w:type="spellStart"/>
      <w:r w:rsidRPr="00441F34">
        <w:rPr>
          <w:rFonts w:ascii="Times New Roman" w:hAnsi="Times New Roman"/>
          <w:color w:val="0070C0"/>
          <w:sz w:val="16"/>
          <w:szCs w:val="16"/>
        </w:rPr>
        <w:t>козление</w:t>
      </w:r>
      <w:proofErr w:type="spellEnd"/>
      <w:r w:rsidRPr="00441F34">
        <w:rPr>
          <w:rFonts w:ascii="Times New Roman" w:hAnsi="Times New Roman"/>
          <w:color w:val="0070C0"/>
          <w:sz w:val="16"/>
          <w:szCs w:val="16"/>
        </w:rPr>
        <w:t>"). Из-за этого несколько раз ломалось шасси. В полете БИЧ-7 вел себя немногим лучше. Летчики отмечали большое усилие на ручке, особенно в полете при полной мощности. Переставной стабилизатор помогал мало, да и пользоваться им оказалось почти невозможно: пилот должен был все время обеими руками держать ручку управления, чтобы самолет не перешел в пике.</w:t>
      </w:r>
    </w:p>
    <w:p w14:paraId="211FE9DE" w14:textId="77777777" w:rsidR="002D42B6" w:rsidRPr="00441F34" w:rsidRDefault="002D42B6" w:rsidP="002D42B6">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таких обстоятельствах испытания закончить не удалось. Всего было выполнено 3 или 4 полета по кругу над аэродромом на высоте 80— 100 м. Тем не менее начатое дело решили не бросать. "Считаю, что данная схема обещает заманчивые перспективы, что, в свою очередь, требует продолжения эксперимента с самолетом БИЧ. Центр тяжести испытаний должен быть перенесен на выяснение: а) уменьшение усилий на органы управления; б) устойчивость самолета; в) посадочные качества", — таково было мнение одного из руководителей НИИ ВВС Кравцова (24253).</w:t>
      </w:r>
    </w:p>
    <w:p w14:paraId="605BB7A6" w14:textId="77777777" w:rsidR="002D42B6" w:rsidRPr="00441F34" w:rsidRDefault="002D42B6" w:rsidP="002D42B6">
      <w:pPr>
        <w:spacing w:after="0" w:line="240" w:lineRule="auto"/>
        <w:jc w:val="both"/>
        <w:rPr>
          <w:rFonts w:ascii="Times New Roman" w:hAnsi="Times New Roman"/>
          <w:color w:val="0070C0"/>
          <w:sz w:val="16"/>
          <w:szCs w:val="16"/>
        </w:rPr>
      </w:pPr>
    </w:p>
    <w:p w14:paraId="26D984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1929 в Москву прибыли для испытаний два самолета Хейнкель HD 43 - модифицированных HD-37 с заводскими номерами 326 и 327 и испытания проводил </w:t>
      </w:r>
      <w:proofErr w:type="spellStart"/>
      <w:r w:rsidRPr="00A259BD">
        <w:rPr>
          <w:rFonts w:ascii="Times New Roman" w:hAnsi="Times New Roman"/>
          <w:color w:val="000000" w:themeColor="text1"/>
          <w:sz w:val="16"/>
          <w:szCs w:val="16"/>
        </w:rPr>
        <w:t>В.О.Писаренко</w:t>
      </w:r>
      <w:proofErr w:type="spellEnd"/>
      <w:r w:rsidRPr="00A259BD">
        <w:rPr>
          <w:rFonts w:ascii="Times New Roman" w:hAnsi="Times New Roman"/>
          <w:color w:val="000000" w:themeColor="text1"/>
          <w:sz w:val="16"/>
          <w:szCs w:val="16"/>
        </w:rPr>
        <w:t>. Самолет ухудшился и от него отказались в пользу HD-37. Их хотели сначала делать на заводе 39, где был опыт производства Фоккеров D.XI, но делать стали на 1 под обозначением И-7 и сделали 131 до 1934 (1795,25).</w:t>
      </w:r>
    </w:p>
    <w:p w14:paraId="01AEE3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4EBC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другим данным, эти самолеты получили наименование ХД-43. В ходе испытаний выяснилось, что машина стала хуже как по управлению, так и боевым свойствам и на снабжение машину НИИ ВВС не рекомендовал (3202,3).</w:t>
      </w:r>
    </w:p>
    <w:p w14:paraId="40A7EA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E491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НТК УВВС предложило КБ А.Н.Т. дать заключение о возможности постройки самолетов с грузоподъемностью 10 и 25 т, способных перевозить орудия и танки. Так появились АНТ-16 (ТБ-4) и АНТ-26 (ТБ-6) (2072,73).</w:t>
      </w:r>
    </w:p>
    <w:p w14:paraId="4FACC5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21794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1929 И. Михеев поднял в воздух первый советский автожир КАСКР-1 </w:t>
      </w:r>
      <w:proofErr w:type="spellStart"/>
      <w:r w:rsidRPr="00A259BD">
        <w:rPr>
          <w:rFonts w:ascii="Times New Roman" w:hAnsi="Times New Roman"/>
          <w:color w:val="000000" w:themeColor="text1"/>
          <w:sz w:val="16"/>
          <w:szCs w:val="16"/>
        </w:rPr>
        <w:t>Н.Камова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Н.Скржинский</w:t>
      </w:r>
      <w:proofErr w:type="spellEnd"/>
      <w:r w:rsidRPr="00A259BD">
        <w:rPr>
          <w:rFonts w:ascii="Times New Roman" w:hAnsi="Times New Roman"/>
          <w:color w:val="000000" w:themeColor="text1"/>
          <w:sz w:val="16"/>
          <w:szCs w:val="16"/>
        </w:rPr>
        <w:t xml:space="preserve"> (257,16).</w:t>
      </w:r>
    </w:p>
    <w:p w14:paraId="4DAA7B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112A09" w14:textId="77777777" w:rsidR="00FE3DEC" w:rsidRPr="00A259BD" w:rsidRDefault="00FE3DE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г. в ЦАГИ, помимо проектирования и совер</w:t>
      </w:r>
      <w:r w:rsidRPr="00A259BD">
        <w:rPr>
          <w:rFonts w:ascii="Times New Roman" w:hAnsi="Times New Roman"/>
          <w:color w:val="000000" w:themeColor="text1"/>
          <w:sz w:val="16"/>
          <w:szCs w:val="16"/>
        </w:rPr>
        <w:softHyphen/>
        <w:t xml:space="preserve">шенствования геликоптеров, решили развивать и </w:t>
      </w:r>
      <w:proofErr w:type="spellStart"/>
      <w:r w:rsidRPr="00A259BD">
        <w:rPr>
          <w:rFonts w:ascii="Times New Roman" w:hAnsi="Times New Roman"/>
          <w:color w:val="000000" w:themeColor="text1"/>
          <w:sz w:val="16"/>
          <w:szCs w:val="16"/>
        </w:rPr>
        <w:t>автожирное</w:t>
      </w:r>
      <w:proofErr w:type="spellEnd"/>
      <w:r w:rsidRPr="00A259BD">
        <w:rPr>
          <w:rFonts w:ascii="Times New Roman" w:hAnsi="Times New Roman"/>
          <w:color w:val="000000" w:themeColor="text1"/>
          <w:sz w:val="16"/>
          <w:szCs w:val="16"/>
        </w:rPr>
        <w:t xml:space="preserve"> направление. Причиной тому стали заметные успехи автожиров де ла </w:t>
      </w:r>
      <w:proofErr w:type="spellStart"/>
      <w:r w:rsidRPr="00A259BD">
        <w:rPr>
          <w:rFonts w:ascii="Times New Roman" w:hAnsi="Times New Roman"/>
          <w:color w:val="000000" w:themeColor="text1"/>
          <w:sz w:val="16"/>
          <w:szCs w:val="16"/>
        </w:rPr>
        <w:t>Сиервы</w:t>
      </w:r>
      <w:proofErr w:type="spellEnd"/>
      <w:r w:rsidRPr="00A259BD">
        <w:rPr>
          <w:rFonts w:ascii="Times New Roman" w:hAnsi="Times New Roman"/>
          <w:color w:val="000000" w:themeColor="text1"/>
          <w:sz w:val="16"/>
          <w:szCs w:val="16"/>
        </w:rPr>
        <w:t xml:space="preserve"> и вполне благоприятные первые опыты с аппаратом КАСКР конструкции Камова и </w:t>
      </w:r>
      <w:proofErr w:type="spellStart"/>
      <w:r w:rsidRPr="00A259BD">
        <w:rPr>
          <w:rFonts w:ascii="Times New Roman" w:hAnsi="Times New Roman"/>
          <w:color w:val="000000" w:themeColor="text1"/>
          <w:sz w:val="16"/>
          <w:szCs w:val="16"/>
        </w:rPr>
        <w:t>Скржинского</w:t>
      </w:r>
      <w:proofErr w:type="spellEnd"/>
      <w:r w:rsidRPr="00A259BD">
        <w:rPr>
          <w:rFonts w:ascii="Times New Roman" w:hAnsi="Times New Roman"/>
          <w:color w:val="000000" w:themeColor="text1"/>
          <w:sz w:val="16"/>
          <w:szCs w:val="16"/>
        </w:rPr>
        <w:t>.</w:t>
      </w:r>
    </w:p>
    <w:p w14:paraId="21863C77" w14:textId="77777777" w:rsidR="00FE3DEC" w:rsidRPr="00A259BD" w:rsidRDefault="00FE3DE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Двум сотрудникам Секции опытных конструкций ЗАО ЦАГИ — И.П. Братухину и В.А. Кузнецову было поручено обобщить зарубежный опыт и теоретические исследова</w:t>
      </w:r>
      <w:r w:rsidRPr="00A259BD">
        <w:rPr>
          <w:rFonts w:ascii="Times New Roman" w:hAnsi="Times New Roman"/>
          <w:color w:val="000000" w:themeColor="text1"/>
          <w:sz w:val="16"/>
          <w:szCs w:val="16"/>
        </w:rPr>
        <w:softHyphen/>
        <w:t>ния в области автожиров. Для начала они собрали всю из</w:t>
      </w:r>
      <w:r w:rsidRPr="00A259BD">
        <w:rPr>
          <w:rFonts w:ascii="Times New Roman" w:hAnsi="Times New Roman"/>
          <w:color w:val="000000" w:themeColor="text1"/>
          <w:sz w:val="16"/>
          <w:szCs w:val="16"/>
        </w:rPr>
        <w:softHyphen/>
        <w:t>вестную литературу, рассмотрели различные варианты конструкций, работы по аэродинамике ротора, аэродина</w:t>
      </w:r>
      <w:r w:rsidRPr="00A259BD">
        <w:rPr>
          <w:rFonts w:ascii="Times New Roman" w:hAnsi="Times New Roman"/>
          <w:color w:val="000000" w:themeColor="text1"/>
          <w:sz w:val="16"/>
          <w:szCs w:val="16"/>
        </w:rPr>
        <w:softHyphen/>
        <w:t>мическому расчету и балансировке иностранных автожи</w:t>
      </w:r>
      <w:r w:rsidRPr="00A259BD">
        <w:rPr>
          <w:rFonts w:ascii="Times New Roman" w:hAnsi="Times New Roman"/>
          <w:color w:val="000000" w:themeColor="text1"/>
          <w:sz w:val="16"/>
          <w:szCs w:val="16"/>
        </w:rPr>
        <w:softHyphen/>
        <w:t>ров. Результатом этой деятельности уже в начале 1930 г. стало решение о проектировании экспериментального ав</w:t>
      </w:r>
      <w:r w:rsidRPr="00A259BD">
        <w:rPr>
          <w:rFonts w:ascii="Times New Roman" w:hAnsi="Times New Roman"/>
          <w:color w:val="000000" w:themeColor="text1"/>
          <w:sz w:val="16"/>
          <w:szCs w:val="16"/>
        </w:rPr>
        <w:softHyphen/>
        <w:t xml:space="preserve">тожира по типу последнего аппарата де ла </w:t>
      </w:r>
      <w:proofErr w:type="spellStart"/>
      <w:r w:rsidRPr="00A259BD">
        <w:rPr>
          <w:rFonts w:ascii="Times New Roman" w:hAnsi="Times New Roman"/>
          <w:color w:val="000000" w:themeColor="text1"/>
          <w:sz w:val="16"/>
          <w:szCs w:val="16"/>
        </w:rPr>
        <w:t>Сиервы</w:t>
      </w:r>
      <w:proofErr w:type="spellEnd"/>
      <w:r w:rsidRPr="00A259BD">
        <w:rPr>
          <w:rFonts w:ascii="Times New Roman" w:hAnsi="Times New Roman"/>
          <w:color w:val="000000" w:themeColor="text1"/>
          <w:sz w:val="16"/>
          <w:szCs w:val="16"/>
        </w:rPr>
        <w:t xml:space="preserve"> С-19 </w:t>
      </w:r>
      <w:proofErr w:type="spellStart"/>
      <w:r w:rsidRPr="00A259BD">
        <w:rPr>
          <w:rFonts w:ascii="Times New Roman" w:hAnsi="Times New Roman"/>
          <w:color w:val="000000" w:themeColor="text1"/>
          <w:sz w:val="16"/>
          <w:szCs w:val="16"/>
        </w:rPr>
        <w:t>Mk.III</w:t>
      </w:r>
      <w:proofErr w:type="spellEnd"/>
      <w:r w:rsidRPr="00A259BD">
        <w:rPr>
          <w:rFonts w:ascii="Times New Roman" w:hAnsi="Times New Roman"/>
          <w:color w:val="000000" w:themeColor="text1"/>
          <w:sz w:val="16"/>
          <w:szCs w:val="16"/>
        </w:rPr>
        <w:t>. Основной целью при его создании являлось полу</w:t>
      </w:r>
      <w:r w:rsidRPr="00A259BD">
        <w:rPr>
          <w:rFonts w:ascii="Times New Roman" w:hAnsi="Times New Roman"/>
          <w:color w:val="000000" w:themeColor="text1"/>
          <w:sz w:val="16"/>
          <w:szCs w:val="16"/>
        </w:rPr>
        <w:softHyphen/>
        <w:t xml:space="preserve">чение экспериментального </w:t>
      </w:r>
      <w:r w:rsidRPr="00A259BD">
        <w:rPr>
          <w:rFonts w:ascii="Times New Roman" w:hAnsi="Times New Roman"/>
          <w:color w:val="000000" w:themeColor="text1"/>
          <w:sz w:val="16"/>
          <w:szCs w:val="16"/>
        </w:rPr>
        <w:lastRenderedPageBreak/>
        <w:t>аппарата, на котором можно было проверить правильность применяемых методов рас</w:t>
      </w:r>
      <w:r w:rsidRPr="00A259BD">
        <w:rPr>
          <w:rFonts w:ascii="Times New Roman" w:hAnsi="Times New Roman"/>
          <w:color w:val="000000" w:themeColor="text1"/>
          <w:sz w:val="16"/>
          <w:szCs w:val="16"/>
        </w:rPr>
        <w:softHyphen/>
        <w:t>чета, получить практические навыки постройки и эксплу</w:t>
      </w:r>
      <w:r w:rsidRPr="00A259BD">
        <w:rPr>
          <w:rFonts w:ascii="Times New Roman" w:hAnsi="Times New Roman"/>
          <w:color w:val="000000" w:themeColor="text1"/>
          <w:sz w:val="16"/>
          <w:szCs w:val="16"/>
        </w:rPr>
        <w:softHyphen/>
        <w:t>атации. Общее техническое руководство осуществлял А.М. Черемухин, рабочее проектирование вели И.П. Бра</w:t>
      </w:r>
      <w:r w:rsidRPr="00A259BD">
        <w:rPr>
          <w:rFonts w:ascii="Times New Roman" w:hAnsi="Times New Roman"/>
          <w:color w:val="000000" w:themeColor="text1"/>
          <w:sz w:val="16"/>
          <w:szCs w:val="16"/>
        </w:rPr>
        <w:softHyphen/>
        <w:t>тухин и В.А. Кузнецов (20361).</w:t>
      </w:r>
    </w:p>
    <w:p w14:paraId="35CA669D" w14:textId="77777777" w:rsidR="00FE3DEC" w:rsidRPr="00A259BD" w:rsidRDefault="00FE3DEC" w:rsidP="009236E3">
      <w:pPr>
        <w:shd w:val="clear" w:color="auto" w:fill="FFFFFF"/>
        <w:spacing w:after="0" w:line="240" w:lineRule="auto"/>
        <w:jc w:val="both"/>
        <w:rPr>
          <w:rFonts w:ascii="Times New Roman" w:hAnsi="Times New Roman"/>
          <w:color w:val="000000" w:themeColor="text1"/>
          <w:sz w:val="16"/>
          <w:szCs w:val="16"/>
        </w:rPr>
      </w:pPr>
    </w:p>
    <w:p w14:paraId="20416F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была подготовлена:</w:t>
      </w:r>
    </w:p>
    <w:p w14:paraId="096A35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Сводка результатов испытаний самолета МР-5</w:t>
      </w:r>
    </w:p>
    <w:p w14:paraId="4A974F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 начаты 18 октября 1929 года</w:t>
      </w:r>
    </w:p>
    <w:p w14:paraId="29BEAF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 окончены 10 декабря 1929 года</w:t>
      </w:r>
    </w:p>
    <w:p w14:paraId="134F8A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изготовлен ОПО-3 при заводе № 22</w:t>
      </w:r>
    </w:p>
    <w:p w14:paraId="6D87E4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Назначение самолета – базовый разведчик</w:t>
      </w:r>
    </w:p>
    <w:p w14:paraId="115E20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Самолет МР-5 – морской лодочный биплан с поплавками на нижнем крыле, установленными под стойками коробки крыльев.</w:t>
      </w:r>
    </w:p>
    <w:p w14:paraId="631042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Самолет выполнен весь из </w:t>
      </w:r>
      <w:proofErr w:type="spellStart"/>
      <w:r w:rsidRPr="00A259BD">
        <w:rPr>
          <w:rFonts w:ascii="Times New Roman" w:hAnsi="Times New Roman"/>
          <w:color w:val="000000" w:themeColor="text1"/>
          <w:sz w:val="16"/>
          <w:szCs w:val="16"/>
        </w:rPr>
        <w:t>кольчугаллюминия</w:t>
      </w:r>
      <w:proofErr w:type="spellEnd"/>
      <w:r w:rsidRPr="00A259BD">
        <w:rPr>
          <w:rFonts w:ascii="Times New Roman" w:hAnsi="Times New Roman"/>
          <w:color w:val="000000" w:themeColor="text1"/>
          <w:sz w:val="16"/>
          <w:szCs w:val="16"/>
        </w:rPr>
        <w:t xml:space="preserve"> за исключением крыльев и поплавков при этом хвостовое оперение обтянуто полотном.</w:t>
      </w:r>
    </w:p>
    <w:p w14:paraId="01E48C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Крылья деревянные.</w:t>
      </w:r>
    </w:p>
    <w:p w14:paraId="37E1E9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Мотор МВ-6 расположен между лодкой и центропланом.</w:t>
      </w:r>
    </w:p>
    <w:p w14:paraId="70D016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Заключение:</w:t>
      </w:r>
    </w:p>
    <w:p w14:paraId="79ECE7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Благодаря весьма плохим обводам лодки, весьма затруднительного ухода за моторами, незначительной маневренности на боевой высоте (3000 м), комиссия данный самолет не рекомендует на снабжение ВВС (6991).</w:t>
      </w:r>
    </w:p>
    <w:p w14:paraId="107E82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052C4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1929 </w:t>
      </w:r>
      <w:proofErr w:type="spellStart"/>
      <w:r w:rsidRPr="00A259BD">
        <w:rPr>
          <w:rFonts w:ascii="Times New Roman" w:hAnsi="Times New Roman"/>
          <w:color w:val="000000" w:themeColor="text1"/>
          <w:sz w:val="16"/>
          <w:szCs w:val="16"/>
        </w:rPr>
        <w:t>И.Ф.Петров</w:t>
      </w:r>
      <w:proofErr w:type="spellEnd"/>
      <w:r w:rsidRPr="00A259BD">
        <w:rPr>
          <w:rFonts w:ascii="Times New Roman" w:hAnsi="Times New Roman"/>
          <w:color w:val="000000" w:themeColor="text1"/>
          <w:sz w:val="16"/>
          <w:szCs w:val="16"/>
        </w:rPr>
        <w:t xml:space="preserve"> вылетел вместе с </w:t>
      </w:r>
      <w:proofErr w:type="spellStart"/>
      <w:r w:rsidRPr="00A259BD">
        <w:rPr>
          <w:rFonts w:ascii="Times New Roman" w:hAnsi="Times New Roman"/>
          <w:color w:val="000000" w:themeColor="text1"/>
          <w:sz w:val="16"/>
          <w:szCs w:val="16"/>
        </w:rPr>
        <w:t>И.Ф.Козловым</w:t>
      </w:r>
      <w:proofErr w:type="spellEnd"/>
      <w:r w:rsidRPr="00A259BD">
        <w:rPr>
          <w:rFonts w:ascii="Times New Roman" w:hAnsi="Times New Roman"/>
          <w:color w:val="000000" w:themeColor="text1"/>
          <w:sz w:val="16"/>
          <w:szCs w:val="16"/>
        </w:rPr>
        <w:t xml:space="preserve"> на двух И-4 на встречу в районе Коломны комиссии, возвращавшейся из Турции на ТБ-1 и трех Р-6 после продажи наших самолетов. Надышался за три часа полета "казанской смеси", заменявшей бензин, на посадке скапотировал. Отвезли домой, приехал С.В.И., который был зам. начальника НИИ ВВС по летной работе. Сказал: "Не волнуйся! Самолетов мы наделаем. Главное - что ты жив" (262,28).</w:t>
      </w:r>
    </w:p>
    <w:p w14:paraId="6248D8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FA4F3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концу 1929 года завод № 29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1624C7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w:t>
      </w:r>
      <w:proofErr w:type="spellStart"/>
      <w:r w:rsidRPr="00A259BD">
        <w:rPr>
          <w:rFonts w:ascii="Times New Roman" w:hAnsi="Times New Roman"/>
          <w:color w:val="000000" w:themeColor="text1"/>
          <w:sz w:val="16"/>
          <w:szCs w:val="16"/>
        </w:rPr>
        <w:t>Туманский</w:t>
      </w:r>
      <w:proofErr w:type="spellEnd"/>
      <w:r w:rsidRPr="00A259BD">
        <w:rPr>
          <w:rFonts w:ascii="Times New Roman" w:hAnsi="Times New Roman"/>
          <w:color w:val="000000" w:themeColor="text1"/>
          <w:sz w:val="16"/>
          <w:szCs w:val="16"/>
        </w:rPr>
        <w:t xml:space="preserve"> С.К.</w:t>
      </w:r>
    </w:p>
    <w:p w14:paraId="1C16C3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w:t>
      </w:r>
      <w:proofErr w:type="spellStart"/>
      <w:r w:rsidRPr="00A259BD">
        <w:rPr>
          <w:rFonts w:ascii="Times New Roman" w:hAnsi="Times New Roman"/>
          <w:color w:val="000000" w:themeColor="text1"/>
          <w:sz w:val="16"/>
          <w:szCs w:val="16"/>
        </w:rPr>
        <w:t>Урмин</w:t>
      </w:r>
      <w:proofErr w:type="spellEnd"/>
      <w:r w:rsidRPr="00A259BD">
        <w:rPr>
          <w:rFonts w:ascii="Times New Roman" w:hAnsi="Times New Roman"/>
          <w:color w:val="000000" w:themeColor="text1"/>
          <w:sz w:val="16"/>
          <w:szCs w:val="16"/>
        </w:rPr>
        <w:t xml:space="preserve"> Е.В. В первой половине 1941 года завод кроме двигателя М-88Б освоил и выпустил 110 двигателей М-89, производство которых было </w:t>
      </w:r>
      <w:proofErr w:type="spellStart"/>
      <w:r w:rsidRPr="00A259BD">
        <w:rPr>
          <w:rFonts w:ascii="Times New Roman" w:hAnsi="Times New Roman"/>
          <w:color w:val="000000" w:themeColor="text1"/>
          <w:sz w:val="16"/>
          <w:szCs w:val="16"/>
        </w:rPr>
        <w:t>прекращенов</w:t>
      </w:r>
      <w:proofErr w:type="spellEnd"/>
      <w:r w:rsidRPr="00A259BD">
        <w:rPr>
          <w:rFonts w:ascii="Times New Roman" w:hAnsi="Times New Roman"/>
          <w:color w:val="000000" w:themeColor="text1"/>
          <w:sz w:val="16"/>
          <w:szCs w:val="16"/>
        </w:rPr>
        <w:t xml:space="preserve"> связи с эвакуацией завода. 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304423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w:t>
      </w:r>
      <w:proofErr w:type="spellStart"/>
      <w:r w:rsidRPr="00A259BD">
        <w:rPr>
          <w:rFonts w:ascii="Times New Roman" w:hAnsi="Times New Roman"/>
          <w:color w:val="000000" w:themeColor="text1"/>
          <w:sz w:val="16"/>
          <w:szCs w:val="16"/>
        </w:rPr>
        <w:t>Нитченко</w:t>
      </w:r>
      <w:proofErr w:type="spellEnd"/>
      <w:r w:rsidRPr="00A259BD">
        <w:rPr>
          <w:rFonts w:ascii="Times New Roman" w:hAnsi="Times New Roman"/>
          <w:color w:val="000000" w:themeColor="text1"/>
          <w:sz w:val="16"/>
          <w:szCs w:val="16"/>
        </w:rPr>
        <w:t xml:space="preserve"> В.С. В 1942 году завод получил задание довести и запустить в производство малую серию опытного двигателя М-90.</w:t>
      </w:r>
    </w:p>
    <w:p w14:paraId="412053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10270E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45718F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w:t>
      </w:r>
      <w:proofErr w:type="spellStart"/>
      <w:r w:rsidRPr="00A259BD">
        <w:rPr>
          <w:rFonts w:ascii="Times New Roman" w:hAnsi="Times New Roman"/>
          <w:color w:val="000000" w:themeColor="text1"/>
          <w:sz w:val="16"/>
          <w:szCs w:val="16"/>
        </w:rPr>
        <w:t>Шехов</w:t>
      </w:r>
      <w:proofErr w:type="spellEnd"/>
      <w:r w:rsidRPr="00A259BD">
        <w:rPr>
          <w:rFonts w:ascii="Times New Roman" w:hAnsi="Times New Roman"/>
          <w:color w:val="000000" w:themeColor="text1"/>
          <w:sz w:val="16"/>
          <w:szCs w:val="16"/>
        </w:rPr>
        <w:t xml:space="preserve"> Б.В. В 1949 году завод по-прежнему выпускал АШ-82ФН и АШ-21. В начале 1953 года гл. конструктором завода был назначен </w:t>
      </w:r>
      <w:proofErr w:type="spellStart"/>
      <w:r w:rsidRPr="00A259BD">
        <w:rPr>
          <w:rFonts w:ascii="Times New Roman" w:hAnsi="Times New Roman"/>
          <w:color w:val="000000" w:themeColor="text1"/>
          <w:sz w:val="16"/>
          <w:szCs w:val="16"/>
        </w:rPr>
        <w:t>Федичев</w:t>
      </w:r>
      <w:proofErr w:type="spellEnd"/>
      <w:r w:rsidRPr="00A259BD">
        <w:rPr>
          <w:rFonts w:ascii="Times New Roman" w:hAnsi="Times New Roman"/>
          <w:color w:val="000000" w:themeColor="text1"/>
          <w:sz w:val="16"/>
          <w:szCs w:val="16"/>
        </w:rPr>
        <w:t xml:space="preserve"> В.Г. С августа 1953 года – директор Головачев А.М. В 1953 году завод продолжал производство АШ-82ФН и АШ-21</w:t>
      </w:r>
    </w:p>
    <w:p w14:paraId="30898E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Адрес: Омск, Б. Хмельницкого – 281, п/я 64</w:t>
      </w:r>
    </w:p>
    <w:p w14:paraId="2831BD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173D2A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8DE50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концу 1929 г. завершили малые серии обоих типов </w:t>
      </w:r>
      <w:r w:rsidRPr="00A259BD">
        <w:rPr>
          <w:rFonts w:ascii="Times New Roman" w:hAnsi="Times New Roman"/>
          <w:color w:val="000000" w:themeColor="text1"/>
          <w:sz w:val="16"/>
          <w:szCs w:val="16"/>
          <w:lang w:val="en-US"/>
        </w:rPr>
        <w:t>W</w:t>
      </w:r>
      <w:r w:rsidRPr="00A259BD">
        <w:rPr>
          <w:rFonts w:ascii="Times New Roman" w:hAnsi="Times New Roman"/>
          <w:color w:val="000000" w:themeColor="text1"/>
          <w:sz w:val="16"/>
          <w:szCs w:val="16"/>
        </w:rPr>
        <w:t xml:space="preserve">18 и </w:t>
      </w:r>
      <w:r w:rsidRPr="00A259BD">
        <w:rPr>
          <w:rFonts w:ascii="Times New Roman" w:hAnsi="Times New Roman"/>
          <w:color w:val="000000" w:themeColor="text1"/>
          <w:sz w:val="16"/>
          <w:szCs w:val="16"/>
          <w:lang w:val="en-US"/>
        </w:rPr>
        <w:t>V</w:t>
      </w:r>
      <w:r w:rsidRPr="00A259BD">
        <w:rPr>
          <w:rFonts w:ascii="Times New Roman" w:hAnsi="Times New Roman"/>
          <w:color w:val="000000" w:themeColor="text1"/>
          <w:sz w:val="16"/>
          <w:szCs w:val="16"/>
        </w:rPr>
        <w:t>12 по пять штук в каж</w:t>
      </w:r>
      <w:r w:rsidRPr="00A259BD">
        <w:rPr>
          <w:rFonts w:ascii="Times New Roman" w:hAnsi="Times New Roman"/>
          <w:color w:val="000000" w:themeColor="text1"/>
          <w:sz w:val="16"/>
          <w:szCs w:val="16"/>
        </w:rPr>
        <w:softHyphen/>
        <w:t>дой. Работа по испытаниям и доводке VI2 шла примерно до июня 1930 г. К этому времени уже было ясно, что двигатель устарел. И УВВС, и Вин</w:t>
      </w:r>
      <w:r w:rsidRPr="00A259BD">
        <w:rPr>
          <w:rFonts w:ascii="Times New Roman" w:hAnsi="Times New Roman"/>
          <w:color w:val="000000" w:themeColor="text1"/>
          <w:sz w:val="16"/>
          <w:szCs w:val="16"/>
        </w:rPr>
        <w:softHyphen/>
        <w:t>томоторный отдел (ВМО) ЦАГИ неоднократно заявляли о ненужности этого мотора. С середины 1930 г. никаких упоминаний о VII в докумен</w:t>
      </w:r>
      <w:r w:rsidRPr="00A259BD">
        <w:rPr>
          <w:rFonts w:ascii="Times New Roman" w:hAnsi="Times New Roman"/>
          <w:color w:val="000000" w:themeColor="text1"/>
          <w:sz w:val="16"/>
          <w:szCs w:val="16"/>
        </w:rPr>
        <w:softHyphen/>
        <w:t>тах более не встречается.</w:t>
      </w:r>
    </w:p>
    <w:p w14:paraId="7E97474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96B933" w14:textId="77777777" w:rsidR="00D42210" w:rsidRPr="00A259BD" w:rsidRDefault="00D42210" w:rsidP="009236E3">
      <w:pPr>
        <w:pStyle w:val="article-renderblock"/>
        <w:shd w:val="clear" w:color="auto" w:fill="FFFFFF"/>
        <w:spacing w:before="0" w:beforeAutospacing="0" w:after="0" w:afterAutospacing="0"/>
        <w:jc w:val="both"/>
        <w:rPr>
          <w:color w:val="000000" w:themeColor="text1"/>
          <w:sz w:val="16"/>
          <w:szCs w:val="16"/>
        </w:rPr>
      </w:pPr>
      <w:r w:rsidRPr="00A259BD">
        <w:rPr>
          <w:color w:val="000000" w:themeColor="text1"/>
          <w:sz w:val="16"/>
          <w:szCs w:val="16"/>
        </w:rPr>
        <w:t>С конца 1928 года на "Большевике" начали работу над мотором мощностью 75 лошадиных сил для Т-19 (20842).</w:t>
      </w:r>
    </w:p>
    <w:p w14:paraId="5C4BA282" w14:textId="77777777" w:rsidR="00D42210" w:rsidRPr="00A259BD" w:rsidRDefault="00D42210" w:rsidP="009236E3">
      <w:pPr>
        <w:pStyle w:val="article-renderblock"/>
        <w:shd w:val="clear" w:color="auto" w:fill="FFFFFF"/>
        <w:spacing w:before="0" w:beforeAutospacing="0" w:after="0" w:afterAutospacing="0"/>
        <w:jc w:val="both"/>
        <w:rPr>
          <w:color w:val="000000" w:themeColor="text1"/>
          <w:sz w:val="16"/>
          <w:szCs w:val="16"/>
        </w:rPr>
      </w:pPr>
    </w:p>
    <w:p w14:paraId="0C9763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1929 </w:t>
      </w:r>
      <w:proofErr w:type="spellStart"/>
      <w:r w:rsidRPr="00A259BD">
        <w:rPr>
          <w:rFonts w:ascii="Times New Roman" w:hAnsi="Times New Roman"/>
          <w:color w:val="000000" w:themeColor="text1"/>
          <w:sz w:val="16"/>
          <w:szCs w:val="16"/>
        </w:rPr>
        <w:t>Л.В.Курчевский</w:t>
      </w:r>
      <w:proofErr w:type="spellEnd"/>
      <w:r w:rsidRPr="00A259BD">
        <w:rPr>
          <w:rFonts w:ascii="Times New Roman" w:hAnsi="Times New Roman"/>
          <w:color w:val="000000" w:themeColor="text1"/>
          <w:sz w:val="16"/>
          <w:szCs w:val="16"/>
        </w:rPr>
        <w:t xml:space="preserve"> (который прибыл в Москву с Соловков только в феврале 1929, получил производственную базу на </w:t>
      </w:r>
      <w:proofErr w:type="spellStart"/>
      <w:r w:rsidRPr="00A259BD">
        <w:rPr>
          <w:rFonts w:ascii="Times New Roman" w:hAnsi="Times New Roman"/>
          <w:color w:val="000000" w:themeColor="text1"/>
          <w:sz w:val="16"/>
          <w:szCs w:val="16"/>
        </w:rPr>
        <w:t>артзаводе</w:t>
      </w:r>
      <w:proofErr w:type="spellEnd"/>
      <w:r w:rsidRPr="00A259BD">
        <w:rPr>
          <w:rFonts w:ascii="Times New Roman" w:hAnsi="Times New Roman"/>
          <w:color w:val="000000" w:themeColor="text1"/>
          <w:sz w:val="16"/>
          <w:szCs w:val="16"/>
        </w:rPr>
        <w:t xml:space="preserve"> 8 в Подлипках и потребовал штат в 10 чел. и 87 тыс. руб. до конца 1929) установил АПК-1 76 мм на Р-3, который потом хотели заменить на ТБ-1 (2693,13).</w:t>
      </w:r>
    </w:p>
    <w:p w14:paraId="26CD98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611D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г. для опытной установки АПК-1 выделили металлический разведчик Р-3, который в последующем предполагалось заменить двухмоторным бомбардировщиком ТБ-1.</w:t>
      </w:r>
    </w:p>
    <w:p w14:paraId="00ADFD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Первая официальная полигонная демонстрация АПК-1 состоялась в апреле 1930 г. Однако специалисты Артиллерийского управления по результатам этих испытаний поначалу не смогли решить, пригодна ли артсистема для установки на самолёт. Не решились на утвердительное заключение и представители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(комиссия под руководством П.С. </w:t>
      </w:r>
      <w:proofErr w:type="spellStart"/>
      <w:r w:rsidRPr="00A259BD">
        <w:rPr>
          <w:rFonts w:ascii="Times New Roman" w:hAnsi="Times New Roman"/>
          <w:color w:val="000000" w:themeColor="text1"/>
          <w:sz w:val="16"/>
          <w:szCs w:val="16"/>
        </w:rPr>
        <w:t>Дубенс</w:t>
      </w:r>
      <w:proofErr w:type="spellEnd"/>
      <w:r w:rsidRPr="00A259BD">
        <w:rPr>
          <w:rFonts w:ascii="Times New Roman" w:hAnsi="Times New Roman"/>
          <w:color w:val="000000" w:themeColor="text1"/>
          <w:sz w:val="16"/>
          <w:szCs w:val="16"/>
        </w:rPr>
        <w:t>- кого). Положение спас помощник начальника ВВС РККА С.А. Меженинов, который на акте комиссии Дубенского написал, что считает пушку АПК-1 вполне приемлемой для авиационного использования и от лица Военно-воздушных сил заказывает ещё 20 экземпляров точно таких же.</w:t>
      </w:r>
    </w:p>
    <w:p w14:paraId="2DF21B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Первым летательным аппаратом, на котором для проведения наземных испытаний установили АПК-1, стал старенький деревянный разведчик Р-1. Пушку закрепили на средних стойках биплан- ной коробки под углом 11 °45' к горизонтали. К огневым испытаниям приступили 26 июля 1931 г. После первого же выстрела лопнула полотняная обшивка на стабилизаторе, после второго выстрела обшивка разорвалась в районе кабины </w:t>
      </w:r>
      <w:proofErr w:type="spellStart"/>
      <w:r w:rsidRPr="00A259BD">
        <w:rPr>
          <w:rFonts w:ascii="Times New Roman" w:hAnsi="Times New Roman"/>
          <w:color w:val="000000" w:themeColor="text1"/>
          <w:sz w:val="16"/>
          <w:szCs w:val="16"/>
        </w:rPr>
        <w:t>лётнаба</w:t>
      </w:r>
      <w:proofErr w:type="spellEnd"/>
      <w:r w:rsidRPr="00A259BD">
        <w:rPr>
          <w:rFonts w:ascii="Times New Roman" w:hAnsi="Times New Roman"/>
          <w:color w:val="000000" w:themeColor="text1"/>
          <w:sz w:val="16"/>
          <w:szCs w:val="16"/>
        </w:rPr>
        <w:t>, после третьего - появились трещины в деревянной конструкции самолёта. Четвёртый выстрел из АПК-1, по отзыву присутствующих, привёл машину в "безусловную негодность". Затем эту пушку установили и испытали на разведчике Р-3 (заводской № 4052), что также привело к заметным повреждениям его конструктивных элементов (12005).</w:t>
      </w:r>
    </w:p>
    <w:p w14:paraId="3C1F5B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9FCD5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конце 1929 г. самолет “Страна Советов”, летевший из Москвы в Нью-Йорк, сделал остановку в Дирборне, на аэродроме Форда, а самолет фордовского производства, совершавший облет европейских столиц, приземлился в Москве (11506).</w:t>
      </w:r>
    </w:p>
    <w:p w14:paraId="139360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7F39685"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г. со</w:t>
      </w:r>
      <w:r w:rsidRPr="00A259BD">
        <w:rPr>
          <w:rFonts w:ascii="Times New Roman" w:hAnsi="Times New Roman"/>
          <w:color w:val="000000" w:themeColor="text1"/>
          <w:sz w:val="16"/>
          <w:szCs w:val="16"/>
        </w:rPr>
        <w:softHyphen/>
        <w:t xml:space="preserve">ветский военный атташе в Берлине тов. </w:t>
      </w:r>
      <w:proofErr w:type="spellStart"/>
      <w:r w:rsidRPr="00A259BD">
        <w:rPr>
          <w:rFonts w:ascii="Times New Roman" w:hAnsi="Times New Roman"/>
          <w:color w:val="000000" w:themeColor="text1"/>
          <w:sz w:val="16"/>
          <w:szCs w:val="16"/>
        </w:rPr>
        <w:t>Путна</w:t>
      </w:r>
      <w:proofErr w:type="spellEnd"/>
      <w:r w:rsidRPr="00A259BD">
        <w:rPr>
          <w:rFonts w:ascii="Times New Roman" w:hAnsi="Times New Roman"/>
          <w:color w:val="000000" w:themeColor="text1"/>
          <w:sz w:val="16"/>
          <w:szCs w:val="16"/>
        </w:rPr>
        <w:t xml:space="preserve"> начал переговоры с различными фирмами на предмет создания авиационных дымовых приборов для ВВС РККА. У немцев образцы таких устройств уже име</w:t>
      </w:r>
      <w:r w:rsidRPr="00A259BD">
        <w:rPr>
          <w:rFonts w:ascii="Times New Roman" w:hAnsi="Times New Roman"/>
          <w:color w:val="000000" w:themeColor="text1"/>
          <w:sz w:val="16"/>
          <w:szCs w:val="16"/>
        </w:rPr>
        <w:softHyphen/>
        <w:t xml:space="preserve">лись. </w:t>
      </w:r>
      <w:proofErr w:type="spellStart"/>
      <w:r w:rsidRPr="00A259BD">
        <w:rPr>
          <w:rFonts w:ascii="Times New Roman" w:hAnsi="Times New Roman"/>
          <w:color w:val="000000" w:themeColor="text1"/>
          <w:sz w:val="16"/>
          <w:szCs w:val="16"/>
        </w:rPr>
        <w:t>Путна</w:t>
      </w:r>
      <w:proofErr w:type="spellEnd"/>
      <w:r w:rsidRPr="00A259BD">
        <w:rPr>
          <w:rFonts w:ascii="Times New Roman" w:hAnsi="Times New Roman"/>
          <w:color w:val="000000" w:themeColor="text1"/>
          <w:sz w:val="16"/>
          <w:szCs w:val="16"/>
        </w:rPr>
        <w:t xml:space="preserve"> ездил по разным горо</w:t>
      </w:r>
      <w:r w:rsidRPr="00A259BD">
        <w:rPr>
          <w:rFonts w:ascii="Times New Roman" w:hAnsi="Times New Roman"/>
          <w:color w:val="000000" w:themeColor="text1"/>
          <w:sz w:val="16"/>
          <w:szCs w:val="16"/>
        </w:rPr>
        <w:softHyphen/>
        <w:t>дам, смотрел образцы и чертежи, знакомился с данными немецких при</w:t>
      </w:r>
      <w:r w:rsidRPr="00A259BD">
        <w:rPr>
          <w:rFonts w:ascii="Times New Roman" w:hAnsi="Times New Roman"/>
          <w:color w:val="000000" w:themeColor="text1"/>
          <w:sz w:val="16"/>
          <w:szCs w:val="16"/>
        </w:rPr>
        <w:softHyphen/>
        <w:t>боров. Например, известно, что в апреле 1930 г. он побывал в ком</w:t>
      </w:r>
      <w:r w:rsidRPr="00A259BD">
        <w:rPr>
          <w:rFonts w:ascii="Times New Roman" w:hAnsi="Times New Roman"/>
          <w:color w:val="000000" w:themeColor="text1"/>
          <w:sz w:val="16"/>
          <w:szCs w:val="16"/>
        </w:rPr>
        <w:softHyphen/>
        <w:t>пании «</w:t>
      </w:r>
      <w:proofErr w:type="spellStart"/>
      <w:r w:rsidRPr="00A259BD">
        <w:rPr>
          <w:rFonts w:ascii="Times New Roman" w:hAnsi="Times New Roman"/>
          <w:color w:val="000000" w:themeColor="text1"/>
          <w:sz w:val="16"/>
          <w:szCs w:val="16"/>
        </w:rPr>
        <w:t>Иффа</w:t>
      </w:r>
      <w:proofErr w:type="spellEnd"/>
      <w:r w:rsidRPr="00A259BD">
        <w:rPr>
          <w:rFonts w:ascii="Times New Roman" w:hAnsi="Times New Roman"/>
          <w:color w:val="000000" w:themeColor="text1"/>
          <w:sz w:val="16"/>
          <w:szCs w:val="16"/>
        </w:rPr>
        <w:t xml:space="preserve"> минимакс». Договор тогда заключили с фирмой «Ганзе- </w:t>
      </w:r>
      <w:proofErr w:type="spellStart"/>
      <w:r w:rsidRPr="00A259BD">
        <w:rPr>
          <w:rFonts w:ascii="Times New Roman" w:hAnsi="Times New Roman"/>
          <w:color w:val="000000" w:themeColor="text1"/>
          <w:sz w:val="16"/>
          <w:szCs w:val="16"/>
        </w:rPr>
        <w:t>атише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аппаратебау</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гезельшафт</w:t>
      </w:r>
      <w:proofErr w:type="spellEnd"/>
      <w:r w:rsidRPr="00A259BD">
        <w:rPr>
          <w:rFonts w:ascii="Times New Roman" w:hAnsi="Times New Roman"/>
          <w:color w:val="000000" w:themeColor="text1"/>
          <w:sz w:val="16"/>
          <w:szCs w:val="16"/>
        </w:rPr>
        <w:t>» из Киля. Она взялась сделать по со</w:t>
      </w:r>
      <w:r w:rsidRPr="00A259BD">
        <w:rPr>
          <w:rFonts w:ascii="Times New Roman" w:hAnsi="Times New Roman"/>
          <w:color w:val="000000" w:themeColor="text1"/>
          <w:sz w:val="16"/>
          <w:szCs w:val="16"/>
        </w:rPr>
        <w:softHyphen/>
        <w:t>ветскому заказу два унифицирован</w:t>
      </w:r>
      <w:r w:rsidRPr="00A259BD">
        <w:rPr>
          <w:rFonts w:ascii="Times New Roman" w:hAnsi="Times New Roman"/>
          <w:color w:val="000000" w:themeColor="text1"/>
          <w:sz w:val="16"/>
          <w:szCs w:val="16"/>
        </w:rPr>
        <w:softHyphen/>
        <w:t>ных авиационных прибора, отличав</w:t>
      </w:r>
      <w:r w:rsidRPr="00A259BD">
        <w:rPr>
          <w:rFonts w:ascii="Times New Roman" w:hAnsi="Times New Roman"/>
          <w:color w:val="000000" w:themeColor="text1"/>
          <w:sz w:val="16"/>
          <w:szCs w:val="16"/>
        </w:rPr>
        <w:softHyphen/>
        <w:t>шихся емкостью бака.</w:t>
      </w:r>
    </w:p>
    <w:p w14:paraId="76E22DF3"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Немецкие приборы имели свар</w:t>
      </w:r>
      <w:r w:rsidRPr="00A259BD">
        <w:rPr>
          <w:rFonts w:ascii="Times New Roman" w:hAnsi="Times New Roman"/>
          <w:color w:val="000000" w:themeColor="text1"/>
          <w:sz w:val="16"/>
          <w:szCs w:val="16"/>
        </w:rPr>
        <w:softHyphen/>
        <w:t>ной резервуар из листового желе</w:t>
      </w:r>
      <w:r w:rsidRPr="00A259BD">
        <w:rPr>
          <w:rFonts w:ascii="Times New Roman" w:hAnsi="Times New Roman"/>
          <w:color w:val="000000" w:themeColor="text1"/>
          <w:sz w:val="16"/>
          <w:szCs w:val="16"/>
        </w:rPr>
        <w:softHyphen/>
        <w:t>за (в виде цилиндра с передней по</w:t>
      </w:r>
      <w:r w:rsidRPr="00A259BD">
        <w:rPr>
          <w:rFonts w:ascii="Times New Roman" w:hAnsi="Times New Roman"/>
          <w:color w:val="000000" w:themeColor="text1"/>
          <w:sz w:val="16"/>
          <w:szCs w:val="16"/>
        </w:rPr>
        <w:softHyphen/>
        <w:t>лусферической крышкой и задней — конической) и систему вытесне</w:t>
      </w:r>
      <w:r w:rsidRPr="00A259BD">
        <w:rPr>
          <w:rFonts w:ascii="Times New Roman" w:hAnsi="Times New Roman"/>
          <w:color w:val="000000" w:themeColor="text1"/>
          <w:sz w:val="16"/>
          <w:szCs w:val="16"/>
        </w:rPr>
        <w:softHyphen/>
        <w:t>ния дымообразующей смеси сжа</w:t>
      </w:r>
      <w:r w:rsidRPr="00A259BD">
        <w:rPr>
          <w:rFonts w:ascii="Times New Roman" w:hAnsi="Times New Roman"/>
          <w:color w:val="000000" w:themeColor="text1"/>
          <w:sz w:val="16"/>
          <w:szCs w:val="16"/>
        </w:rPr>
        <w:softHyphen/>
        <w:t>тым воздухом, включавшую баллон и редуктор. Смесь выбрасывалась под давлением через насадок, кон</w:t>
      </w:r>
      <w:r w:rsidRPr="00A259BD">
        <w:rPr>
          <w:rFonts w:ascii="Times New Roman" w:hAnsi="Times New Roman"/>
          <w:color w:val="000000" w:themeColor="text1"/>
          <w:sz w:val="16"/>
          <w:szCs w:val="16"/>
        </w:rPr>
        <w:softHyphen/>
        <w:t>фигурация которого обеспечивала те или другие характеристики раз</w:t>
      </w:r>
      <w:r w:rsidRPr="00A259BD">
        <w:rPr>
          <w:rFonts w:ascii="Times New Roman" w:hAnsi="Times New Roman"/>
          <w:color w:val="000000" w:themeColor="text1"/>
          <w:sz w:val="16"/>
          <w:szCs w:val="16"/>
        </w:rPr>
        <w:softHyphen/>
        <w:t>брызгивания. Прибор Г-1 имел ем</w:t>
      </w:r>
      <w:r w:rsidRPr="00A259BD">
        <w:rPr>
          <w:rFonts w:ascii="Times New Roman" w:hAnsi="Times New Roman"/>
          <w:color w:val="000000" w:themeColor="text1"/>
          <w:sz w:val="16"/>
          <w:szCs w:val="16"/>
        </w:rPr>
        <w:softHyphen/>
        <w:t>кость 100 л, а Г-2 - 200 л. Оба были рассчитаны на применение смеси рецептуры 5-1У (у нас ее обо</w:t>
      </w:r>
      <w:r w:rsidRPr="00A259BD">
        <w:rPr>
          <w:rFonts w:ascii="Times New Roman" w:hAnsi="Times New Roman"/>
          <w:color w:val="000000" w:themeColor="text1"/>
          <w:sz w:val="16"/>
          <w:szCs w:val="16"/>
        </w:rPr>
        <w:softHyphen/>
        <w:t>значали и как С-4) на основе сер</w:t>
      </w:r>
      <w:r w:rsidRPr="00A259BD">
        <w:rPr>
          <w:rFonts w:ascii="Times New Roman" w:hAnsi="Times New Roman"/>
          <w:color w:val="000000" w:themeColor="text1"/>
          <w:sz w:val="16"/>
          <w:szCs w:val="16"/>
        </w:rPr>
        <w:softHyphen/>
        <w:t>ного ангидрида. При выбрасыва</w:t>
      </w:r>
      <w:r w:rsidRPr="00A259BD">
        <w:rPr>
          <w:rFonts w:ascii="Times New Roman" w:hAnsi="Times New Roman"/>
          <w:color w:val="000000" w:themeColor="text1"/>
          <w:sz w:val="16"/>
          <w:szCs w:val="16"/>
        </w:rPr>
        <w:softHyphen/>
        <w:t>нии из резервуара смесь реагиро</w:t>
      </w:r>
      <w:r w:rsidRPr="00A259BD">
        <w:rPr>
          <w:rFonts w:ascii="Times New Roman" w:hAnsi="Times New Roman"/>
          <w:color w:val="000000" w:themeColor="text1"/>
          <w:sz w:val="16"/>
          <w:szCs w:val="16"/>
        </w:rPr>
        <w:softHyphen/>
        <w:t>вала с воздухом и создавала плот</w:t>
      </w:r>
      <w:r w:rsidRPr="00A259BD">
        <w:rPr>
          <w:rFonts w:ascii="Times New Roman" w:hAnsi="Times New Roman"/>
          <w:color w:val="000000" w:themeColor="text1"/>
          <w:sz w:val="16"/>
          <w:szCs w:val="16"/>
        </w:rPr>
        <w:softHyphen/>
        <w:t>ный белый дым.</w:t>
      </w:r>
    </w:p>
    <w:p w14:paraId="5E09C7F9"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Фирма поставила в Советский Союз комплект документации и не</w:t>
      </w:r>
      <w:r w:rsidRPr="00A259BD">
        <w:rPr>
          <w:rFonts w:ascii="Times New Roman" w:hAnsi="Times New Roman"/>
          <w:color w:val="000000" w:themeColor="text1"/>
          <w:sz w:val="16"/>
          <w:szCs w:val="16"/>
        </w:rPr>
        <w:softHyphen/>
        <w:t>большую партию приборов, каждый из которых обошелся в 1100 ма</w:t>
      </w:r>
      <w:r w:rsidRPr="00A259BD">
        <w:rPr>
          <w:rFonts w:ascii="Times New Roman" w:hAnsi="Times New Roman"/>
          <w:color w:val="000000" w:themeColor="text1"/>
          <w:sz w:val="16"/>
          <w:szCs w:val="16"/>
        </w:rPr>
        <w:softHyphen/>
        <w:t>рок. У нас немецкий образец именовался ДАП-Д, а его вариан</w:t>
      </w:r>
      <w:r w:rsidRPr="00A259BD">
        <w:rPr>
          <w:rFonts w:ascii="Times New Roman" w:hAnsi="Times New Roman"/>
          <w:color w:val="000000" w:themeColor="text1"/>
          <w:sz w:val="16"/>
          <w:szCs w:val="16"/>
        </w:rPr>
        <w:softHyphen/>
        <w:t>ты, соответственно, ДАП-Д-100 и ДАП-Д- 200. Позже стали пи</w:t>
      </w:r>
      <w:r w:rsidRPr="00A259BD">
        <w:rPr>
          <w:rFonts w:ascii="Times New Roman" w:hAnsi="Times New Roman"/>
          <w:color w:val="000000" w:themeColor="text1"/>
          <w:sz w:val="16"/>
          <w:szCs w:val="16"/>
        </w:rPr>
        <w:softHyphen/>
        <w:t>сать Д-100 и Д-200, а еще позже — ДАП-100 и ДАП-200 (12269).</w:t>
      </w:r>
    </w:p>
    <w:p w14:paraId="38498FAC" w14:textId="77777777" w:rsidR="001D017F" w:rsidRPr="00A259BD" w:rsidRDefault="001D017F" w:rsidP="009236E3">
      <w:pPr>
        <w:spacing w:after="0" w:line="240" w:lineRule="auto"/>
        <w:jc w:val="both"/>
        <w:rPr>
          <w:rFonts w:ascii="Times New Roman" w:hAnsi="Times New Roman"/>
          <w:color w:val="000000" w:themeColor="text1"/>
          <w:sz w:val="16"/>
          <w:szCs w:val="16"/>
        </w:rPr>
      </w:pPr>
    </w:p>
    <w:p w14:paraId="791988C1" w14:textId="77777777" w:rsidR="0055524C" w:rsidRPr="00A259BD" w:rsidRDefault="0055524C" w:rsidP="009236E3">
      <w:pPr>
        <w:pStyle w:val="a3"/>
        <w:autoSpaceDE/>
        <w:autoSpaceDN/>
        <w:adjustRightInd/>
        <w:rPr>
          <w:color w:val="000000" w:themeColor="text1"/>
          <w:lang w:val="ru-RU"/>
        </w:rPr>
      </w:pPr>
      <w:r w:rsidRPr="00A259BD">
        <w:rPr>
          <w:color w:val="000000" w:themeColor="text1"/>
          <w:lang w:val="ru-RU"/>
        </w:rPr>
        <w:t>К концу 1929 года Комитетом по содействию дирижаблестро</w:t>
      </w:r>
      <w:r w:rsidRPr="00A259BD">
        <w:rPr>
          <w:color w:val="000000" w:themeColor="text1"/>
          <w:lang w:val="ru-RU"/>
        </w:rPr>
        <w:softHyphen/>
        <w:t>ению в СССР было намечено строительство первых четырех кораблей: «Правда», «Клим Ворошилов», «Осоавиахим» и «Колхозник». Справедливости ради заметим, что на одном из Высоких совещаний по вопросам применения дирижаблей в народном хозяй</w:t>
      </w:r>
      <w:r w:rsidRPr="00A259BD">
        <w:rPr>
          <w:color w:val="000000" w:themeColor="text1"/>
          <w:lang w:val="ru-RU"/>
        </w:rPr>
        <w:softHyphen/>
        <w:t>стве СССР (от 18 февраля 1930 г.) звучали весьма различные суждения на этот счет...(12732).</w:t>
      </w:r>
    </w:p>
    <w:p w14:paraId="63A05B0F" w14:textId="77777777" w:rsidR="0055524C" w:rsidRPr="00A259BD" w:rsidRDefault="0055524C" w:rsidP="009236E3">
      <w:pPr>
        <w:pStyle w:val="a3"/>
        <w:autoSpaceDE/>
        <w:autoSpaceDN/>
        <w:adjustRightInd/>
        <w:rPr>
          <w:color w:val="000000" w:themeColor="text1"/>
          <w:lang w:val="ru-RU"/>
        </w:rPr>
      </w:pPr>
    </w:p>
    <w:p w14:paraId="30B65A6F" w14:textId="77777777" w:rsidR="00E15F5F" w:rsidRPr="00A259BD" w:rsidRDefault="00E15F5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г. по просьбе НК УВВС ЦАГИ взял на себя изготовление всей механической части привязного управляемого аэростата «Новь». В документах ЦАГИ аэростат имел шифр Д-2. Привязной управляемый или моторизованный аэростат отличается от обычного АН наличием двигателя, По существу, это маленький дирижабль, обслуживаемый командой из 2 - 3 человек. Его преимущества очевидны. В боевой обстановке при передислокации обычный АН приходится опускать, стравливать в газгольдеры газ, складывать, грузить на машину. На новом месте все происходит в обратном порядке. На это требуется 2 - 3 дня. Моторизованный аэростат может самостоятельно добраться до нужного места. В мирное время он находит применение при проведении разведки льдов в Арктике, для подготовки парашютистов и т. п.</w:t>
      </w:r>
    </w:p>
    <w:p w14:paraId="5EB82B8A" w14:textId="77777777" w:rsidR="00E15F5F" w:rsidRPr="00A259BD" w:rsidRDefault="00E15F5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АГОС работы вели: И. С. Лебедев - по оперению, Г. М. Наумов - по гондоле, Т. П. Сапрыкин - по моторному оборудованию, М. Н. Петров - по моторной установке, а И. И. </w:t>
      </w:r>
      <w:proofErr w:type="spellStart"/>
      <w:r w:rsidRPr="00A259BD">
        <w:rPr>
          <w:rFonts w:ascii="Times New Roman" w:hAnsi="Times New Roman"/>
          <w:color w:val="000000" w:themeColor="text1"/>
          <w:sz w:val="16"/>
          <w:szCs w:val="16"/>
        </w:rPr>
        <w:t>Погосский</w:t>
      </w:r>
      <w:proofErr w:type="spellEnd"/>
      <w:r w:rsidRPr="00A259BD">
        <w:rPr>
          <w:rFonts w:ascii="Times New Roman" w:hAnsi="Times New Roman"/>
          <w:color w:val="000000" w:themeColor="text1"/>
          <w:sz w:val="16"/>
          <w:szCs w:val="16"/>
        </w:rPr>
        <w:t xml:space="preserve"> проектировал винт под мотор М-11 в 100 л, с.</w:t>
      </w:r>
    </w:p>
    <w:p w14:paraId="5A6B3774" w14:textId="77777777" w:rsidR="00E15F5F" w:rsidRPr="00A259BD" w:rsidRDefault="00E15F5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"Новь" с экипажем из 3-х человек имела объем 1260 куб. м при длине 32,7 м и максимальном диаметре 8,6 м. Расчетная скорость должна была составить 72 км/ч, а дальность полета - 504 км (21379).</w:t>
      </w:r>
    </w:p>
    <w:p w14:paraId="5E3B53AD" w14:textId="77777777" w:rsidR="00E15F5F" w:rsidRPr="00A259BD" w:rsidRDefault="00E15F5F" w:rsidP="009236E3">
      <w:pPr>
        <w:spacing w:after="0" w:line="240" w:lineRule="auto"/>
        <w:jc w:val="both"/>
        <w:rPr>
          <w:rFonts w:ascii="Times New Roman" w:hAnsi="Times New Roman"/>
          <w:color w:val="000000" w:themeColor="text1"/>
          <w:sz w:val="16"/>
          <w:szCs w:val="16"/>
          <w:shd w:val="clear" w:color="auto" w:fill="CCCCCC"/>
        </w:rPr>
      </w:pPr>
    </w:p>
    <w:p w14:paraId="1FDA4FF8" w14:textId="77777777" w:rsidR="000E4B82" w:rsidRPr="00A259BD" w:rsidRDefault="000E4B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г. состоялось первое органи</w:t>
      </w:r>
      <w:r w:rsidRPr="00A259BD">
        <w:rPr>
          <w:rFonts w:ascii="Times New Roman" w:hAnsi="Times New Roman"/>
          <w:color w:val="000000" w:themeColor="text1"/>
          <w:sz w:val="16"/>
          <w:szCs w:val="16"/>
        </w:rPr>
        <w:softHyphen/>
        <w:t>зационное собрание общественного комитета по развитию воздухоплавания в СССР. В его со</w:t>
      </w:r>
      <w:r w:rsidRPr="00A259BD">
        <w:rPr>
          <w:rFonts w:ascii="Times New Roman" w:hAnsi="Times New Roman"/>
          <w:color w:val="000000" w:themeColor="text1"/>
          <w:sz w:val="16"/>
          <w:szCs w:val="16"/>
        </w:rPr>
        <w:softHyphen/>
        <w:t>став вошли представители УВ ВВС РККА, ВВА, ЦАГИ, Осоавиахима, партийных, профессио</w:t>
      </w:r>
      <w:r w:rsidRPr="00A259BD">
        <w:rPr>
          <w:rFonts w:ascii="Times New Roman" w:hAnsi="Times New Roman"/>
          <w:color w:val="000000" w:themeColor="text1"/>
          <w:sz w:val="16"/>
          <w:szCs w:val="16"/>
        </w:rPr>
        <w:softHyphen/>
        <w:t>нальных и общественных организаций, науч</w:t>
      </w:r>
      <w:r w:rsidRPr="00A259BD">
        <w:rPr>
          <w:rFonts w:ascii="Times New Roman" w:hAnsi="Times New Roman"/>
          <w:color w:val="000000" w:themeColor="text1"/>
          <w:sz w:val="16"/>
          <w:szCs w:val="16"/>
        </w:rPr>
        <w:softHyphen/>
        <w:t>ных институтов и высших учебных заведений, печати, а также отдельные специалисты по воз</w:t>
      </w:r>
      <w:r w:rsidRPr="00A259BD">
        <w:rPr>
          <w:rFonts w:ascii="Times New Roman" w:hAnsi="Times New Roman"/>
          <w:color w:val="000000" w:themeColor="text1"/>
          <w:sz w:val="16"/>
          <w:szCs w:val="16"/>
        </w:rPr>
        <w:softHyphen/>
        <w:t>духоплаванию. Одной из основных задач коми</w:t>
      </w:r>
      <w:r w:rsidRPr="00A259BD">
        <w:rPr>
          <w:rFonts w:ascii="Times New Roman" w:hAnsi="Times New Roman"/>
          <w:color w:val="000000" w:themeColor="text1"/>
          <w:sz w:val="16"/>
          <w:szCs w:val="16"/>
        </w:rPr>
        <w:softHyphen/>
        <w:t>тета должна была стать пропаганда и мобили</w:t>
      </w:r>
      <w:r w:rsidRPr="00A259BD">
        <w:rPr>
          <w:rFonts w:ascii="Times New Roman" w:hAnsi="Times New Roman"/>
          <w:color w:val="000000" w:themeColor="text1"/>
          <w:sz w:val="16"/>
          <w:szCs w:val="16"/>
        </w:rPr>
        <w:softHyphen/>
        <w:t>зация общественного мнения вокруг вопроса дирижаблестроения и управляемого воздухо</w:t>
      </w:r>
      <w:r w:rsidRPr="00A259BD">
        <w:rPr>
          <w:rFonts w:ascii="Times New Roman" w:hAnsi="Times New Roman"/>
          <w:color w:val="000000" w:themeColor="text1"/>
          <w:sz w:val="16"/>
          <w:szCs w:val="16"/>
        </w:rPr>
        <w:softHyphen/>
        <w:t>плавания. В конце ноября 1929 г. на первом рас</w:t>
      </w:r>
      <w:r w:rsidRPr="00A259BD">
        <w:rPr>
          <w:rFonts w:ascii="Times New Roman" w:hAnsi="Times New Roman"/>
          <w:color w:val="000000" w:themeColor="text1"/>
          <w:sz w:val="16"/>
          <w:szCs w:val="16"/>
        </w:rPr>
        <w:softHyphen/>
        <w:t>ширенном заседании комитета были заслушаны доклады А.Н. Туполева «О перспективах дири</w:t>
      </w:r>
      <w:r w:rsidRPr="00A259BD">
        <w:rPr>
          <w:rFonts w:ascii="Times New Roman" w:hAnsi="Times New Roman"/>
          <w:color w:val="000000" w:themeColor="text1"/>
          <w:sz w:val="16"/>
          <w:szCs w:val="16"/>
        </w:rPr>
        <w:softHyphen/>
        <w:t>жаблестроения в СССР» и Соколова «О разви</w:t>
      </w:r>
      <w:r w:rsidRPr="00A259BD">
        <w:rPr>
          <w:rFonts w:ascii="Times New Roman" w:hAnsi="Times New Roman"/>
          <w:color w:val="000000" w:themeColor="text1"/>
          <w:sz w:val="16"/>
          <w:szCs w:val="16"/>
        </w:rPr>
        <w:softHyphen/>
        <w:t>тии воздухоплавания за границей». Были также образованы комиссии, охватывавшие все обла</w:t>
      </w:r>
      <w:r w:rsidRPr="00A259BD">
        <w:rPr>
          <w:rFonts w:ascii="Times New Roman" w:hAnsi="Times New Roman"/>
          <w:color w:val="000000" w:themeColor="text1"/>
          <w:sz w:val="16"/>
          <w:szCs w:val="16"/>
        </w:rPr>
        <w:softHyphen/>
        <w:t>сти воздухоплавания: комиссия конструкций (председатель — А.Н. Туполев), комиссия мо</w:t>
      </w:r>
      <w:r w:rsidRPr="00A259BD">
        <w:rPr>
          <w:rFonts w:ascii="Times New Roman" w:hAnsi="Times New Roman"/>
          <w:color w:val="000000" w:themeColor="text1"/>
          <w:sz w:val="16"/>
          <w:szCs w:val="16"/>
        </w:rPr>
        <w:softHyphen/>
        <w:t>торов (Б.С. Стечкин), комиссия организации производства (Постников), комиссия примене</w:t>
      </w:r>
      <w:r w:rsidRPr="00A259BD">
        <w:rPr>
          <w:rFonts w:ascii="Times New Roman" w:hAnsi="Times New Roman"/>
          <w:color w:val="000000" w:themeColor="text1"/>
          <w:sz w:val="16"/>
          <w:szCs w:val="16"/>
        </w:rPr>
        <w:softHyphen/>
        <w:t>ния дирижаблей (С.А. Меженинов), комиссия наземного оборудования (П.С. Дубенский), ко</w:t>
      </w:r>
      <w:r w:rsidRPr="00A259BD">
        <w:rPr>
          <w:rFonts w:ascii="Times New Roman" w:hAnsi="Times New Roman"/>
          <w:color w:val="000000" w:themeColor="text1"/>
          <w:sz w:val="16"/>
          <w:szCs w:val="16"/>
        </w:rPr>
        <w:softHyphen/>
        <w:t xml:space="preserve">миссия агитации и пропаганды (К.А. </w:t>
      </w:r>
      <w:proofErr w:type="spellStart"/>
      <w:r w:rsidRPr="00A259BD">
        <w:rPr>
          <w:rFonts w:ascii="Times New Roman" w:hAnsi="Times New Roman"/>
          <w:color w:val="000000" w:themeColor="text1"/>
          <w:sz w:val="16"/>
          <w:szCs w:val="16"/>
        </w:rPr>
        <w:t>Мехоно</w:t>
      </w:r>
      <w:proofErr w:type="spellEnd"/>
      <w:r w:rsidRPr="00A259BD">
        <w:rPr>
          <w:rFonts w:ascii="Times New Roman" w:hAnsi="Times New Roman"/>
          <w:color w:val="000000" w:themeColor="text1"/>
          <w:sz w:val="16"/>
          <w:szCs w:val="16"/>
        </w:rPr>
        <w:t>- шин), комиссия по подготовке специалистов (С.Г. Хорьков).</w:t>
      </w:r>
    </w:p>
    <w:p w14:paraId="153A9F09" w14:textId="77777777" w:rsidR="000E4B82" w:rsidRPr="00A259BD" w:rsidRDefault="000E4B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Тогда же газета «Правда» и ЦС Союза </w:t>
      </w:r>
      <w:proofErr w:type="spellStart"/>
      <w:r w:rsidRPr="00A259BD">
        <w:rPr>
          <w:rFonts w:ascii="Times New Roman" w:hAnsi="Times New Roman"/>
          <w:color w:val="000000" w:themeColor="text1"/>
          <w:sz w:val="16"/>
          <w:szCs w:val="16"/>
        </w:rPr>
        <w:t>Осоави</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ахим</w:t>
      </w:r>
      <w:proofErr w:type="spellEnd"/>
      <w:r w:rsidRPr="00A259BD">
        <w:rPr>
          <w:rFonts w:ascii="Times New Roman" w:hAnsi="Times New Roman"/>
          <w:color w:val="000000" w:themeColor="text1"/>
          <w:sz w:val="16"/>
          <w:szCs w:val="16"/>
        </w:rPr>
        <w:t xml:space="preserve"> СССР начали кампанию по сбору средств на строительство дирижаблей под лозунгами: «За мощное развитие советского дирижабле</w:t>
      </w:r>
      <w:r w:rsidRPr="00A259BD">
        <w:rPr>
          <w:rFonts w:ascii="Times New Roman" w:hAnsi="Times New Roman"/>
          <w:color w:val="000000" w:themeColor="text1"/>
          <w:sz w:val="16"/>
          <w:szCs w:val="16"/>
        </w:rPr>
        <w:softHyphen/>
        <w:t>строения!», «Догнать и перегнать капиталисти</w:t>
      </w:r>
      <w:r w:rsidRPr="00A259BD">
        <w:rPr>
          <w:rFonts w:ascii="Times New Roman" w:hAnsi="Times New Roman"/>
          <w:color w:val="000000" w:themeColor="text1"/>
          <w:sz w:val="16"/>
          <w:szCs w:val="16"/>
        </w:rPr>
        <w:softHyphen/>
        <w:t>ческие государства и в области дирижаблестро</w:t>
      </w:r>
      <w:r w:rsidRPr="00A259BD">
        <w:rPr>
          <w:rFonts w:ascii="Times New Roman" w:hAnsi="Times New Roman"/>
          <w:color w:val="000000" w:themeColor="text1"/>
          <w:sz w:val="16"/>
          <w:szCs w:val="16"/>
        </w:rPr>
        <w:softHyphen/>
        <w:t>ения!» и «Над страной Советов должны и будут реять десятки мощных советских дирижаблей!». На этот раз кампания по сбору средств протекала успешно, отчисления от организаций достигали значительных сумм. Всего за три месяца было собрано два млн рублей (20120).</w:t>
      </w:r>
    </w:p>
    <w:p w14:paraId="04F3C9C1" w14:textId="77777777" w:rsidR="000E4B82" w:rsidRPr="00A259BD" w:rsidRDefault="000E4B82" w:rsidP="009236E3">
      <w:pPr>
        <w:spacing w:after="0" w:line="240" w:lineRule="auto"/>
        <w:jc w:val="both"/>
        <w:rPr>
          <w:rFonts w:ascii="Times New Roman" w:hAnsi="Times New Roman"/>
          <w:color w:val="000000" w:themeColor="text1"/>
          <w:sz w:val="16"/>
          <w:szCs w:val="16"/>
        </w:rPr>
      </w:pPr>
    </w:p>
    <w:p w14:paraId="178FAE68" w14:textId="77777777" w:rsidR="000E4B82" w:rsidRPr="00A259BD" w:rsidRDefault="000E4B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г. Постройку дирижабля Комсомольская правда взял на себя аэромеханический факультет МВТУ (впоследствии ВАМУ). Работа по созда</w:t>
      </w:r>
      <w:r w:rsidRPr="00A259BD">
        <w:rPr>
          <w:rFonts w:ascii="Times New Roman" w:hAnsi="Times New Roman"/>
          <w:color w:val="000000" w:themeColor="text1"/>
          <w:sz w:val="16"/>
          <w:szCs w:val="16"/>
        </w:rPr>
        <w:softHyphen/>
        <w:t>нию дирижабля, получившего название «Ком</w:t>
      </w:r>
      <w:r w:rsidRPr="00A259BD">
        <w:rPr>
          <w:rFonts w:ascii="Times New Roman" w:hAnsi="Times New Roman"/>
          <w:color w:val="000000" w:themeColor="text1"/>
          <w:sz w:val="16"/>
          <w:szCs w:val="16"/>
        </w:rPr>
        <w:softHyphen/>
        <w:t>сомольская правда», выполнялась силами сту</w:t>
      </w:r>
      <w:r w:rsidRPr="00A259BD">
        <w:rPr>
          <w:rFonts w:ascii="Times New Roman" w:hAnsi="Times New Roman"/>
          <w:color w:val="000000" w:themeColor="text1"/>
          <w:sz w:val="16"/>
          <w:szCs w:val="16"/>
        </w:rPr>
        <w:softHyphen/>
        <w:t>дентов под руководством Н.В. Фомина в порядке производственного обучения на заводе «Каучук». Для ускорения постройки использовался проект дирижабля «МХР» с внесением в него некоторых изменений.</w:t>
      </w:r>
    </w:p>
    <w:p w14:paraId="7E229595" w14:textId="77777777" w:rsidR="000E4B82" w:rsidRPr="00A259BD" w:rsidRDefault="000E4B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Оболочку дирижабля (объём — 2500 м3, дли</w:t>
      </w:r>
      <w:r w:rsidRPr="00A259BD">
        <w:rPr>
          <w:rFonts w:ascii="Times New Roman" w:hAnsi="Times New Roman"/>
          <w:color w:val="000000" w:themeColor="text1"/>
          <w:sz w:val="16"/>
          <w:szCs w:val="16"/>
        </w:rPr>
        <w:softHyphen/>
        <w:t xml:space="preserve">на — 46,5 м, наибольший диаметр — 10,3 м) изготовили из </w:t>
      </w:r>
      <w:proofErr w:type="spellStart"/>
      <w:r w:rsidRPr="00A259BD">
        <w:rPr>
          <w:rFonts w:ascii="Times New Roman" w:hAnsi="Times New Roman"/>
          <w:color w:val="000000" w:themeColor="text1"/>
          <w:sz w:val="16"/>
          <w:szCs w:val="16"/>
        </w:rPr>
        <w:t>алюминированной</w:t>
      </w:r>
      <w:proofErr w:type="spellEnd"/>
      <w:r w:rsidRPr="00A259BD">
        <w:rPr>
          <w:rFonts w:ascii="Times New Roman" w:hAnsi="Times New Roman"/>
          <w:color w:val="000000" w:themeColor="text1"/>
          <w:sz w:val="16"/>
          <w:szCs w:val="16"/>
        </w:rPr>
        <w:t xml:space="preserve"> двухслойной прорезиненной материи привязных аэроста</w:t>
      </w:r>
      <w:r w:rsidRPr="00A259BD">
        <w:rPr>
          <w:rFonts w:ascii="Times New Roman" w:hAnsi="Times New Roman"/>
          <w:color w:val="000000" w:themeColor="text1"/>
          <w:sz w:val="16"/>
          <w:szCs w:val="16"/>
        </w:rPr>
        <w:softHyphen/>
        <w:t>тов «Парсеваль» выпуска 1915 г. Конструкции оболочки, баллонетов, носового усиления, раз</w:t>
      </w:r>
      <w:r w:rsidRPr="00A259BD">
        <w:rPr>
          <w:rFonts w:ascii="Times New Roman" w:hAnsi="Times New Roman"/>
          <w:color w:val="000000" w:themeColor="text1"/>
          <w:sz w:val="16"/>
          <w:szCs w:val="16"/>
        </w:rPr>
        <w:softHyphen/>
        <w:t>рывных приспособлений и оперения остались прежними, но гондолу «МХР» модернизиро</w:t>
      </w:r>
      <w:r w:rsidRPr="00A259BD">
        <w:rPr>
          <w:rFonts w:ascii="Times New Roman" w:hAnsi="Times New Roman"/>
          <w:color w:val="000000" w:themeColor="text1"/>
          <w:sz w:val="16"/>
          <w:szCs w:val="16"/>
        </w:rPr>
        <w:softHyphen/>
        <w:t>вали. Над кормовым отсеком установили пя</w:t>
      </w:r>
      <w:r w:rsidRPr="00A259BD">
        <w:rPr>
          <w:rFonts w:ascii="Times New Roman" w:hAnsi="Times New Roman"/>
          <w:color w:val="000000" w:themeColor="text1"/>
          <w:sz w:val="16"/>
          <w:szCs w:val="16"/>
        </w:rPr>
        <w:softHyphen/>
        <w:t>тицилиндровый мотор водяного охлаждения BMW-3A мощностью 185 л.с., позволявший ди</w:t>
      </w:r>
      <w:r w:rsidRPr="00A259BD">
        <w:rPr>
          <w:rFonts w:ascii="Times New Roman" w:hAnsi="Times New Roman"/>
          <w:color w:val="000000" w:themeColor="text1"/>
          <w:sz w:val="16"/>
          <w:szCs w:val="16"/>
        </w:rPr>
        <w:softHyphen/>
        <w:t>рижаблю развивать скорость 82 км/ч. На земле он запускался от пускового магнето, а в полёте — сжатым воздухом. Под мотором по бортам гон</w:t>
      </w:r>
      <w:r w:rsidRPr="00A259BD">
        <w:rPr>
          <w:rFonts w:ascii="Times New Roman" w:hAnsi="Times New Roman"/>
          <w:color w:val="000000" w:themeColor="text1"/>
          <w:sz w:val="16"/>
          <w:szCs w:val="16"/>
        </w:rPr>
        <w:softHyphen/>
        <w:t>долы находились два бензиновых бака, а перед ним — масляный бак. В кормовом отсеке раз</w:t>
      </w:r>
      <w:r w:rsidRPr="00A259BD">
        <w:rPr>
          <w:rFonts w:ascii="Times New Roman" w:hAnsi="Times New Roman"/>
          <w:color w:val="000000" w:themeColor="text1"/>
          <w:sz w:val="16"/>
          <w:szCs w:val="16"/>
        </w:rPr>
        <w:softHyphen/>
        <w:t>мещались также оборудование и контрольные приборы мотора. Вдоль бортов гондолы с внеш</w:t>
      </w:r>
      <w:r w:rsidRPr="00A259BD">
        <w:rPr>
          <w:rFonts w:ascii="Times New Roman" w:hAnsi="Times New Roman"/>
          <w:color w:val="000000" w:themeColor="text1"/>
          <w:sz w:val="16"/>
          <w:szCs w:val="16"/>
        </w:rPr>
        <w:softHyphen/>
        <w:t>ней стороны поместили два водяных радиатора «</w:t>
      </w:r>
      <w:proofErr w:type="spellStart"/>
      <w:r w:rsidRPr="00A259BD">
        <w:rPr>
          <w:rFonts w:ascii="Times New Roman" w:hAnsi="Times New Roman"/>
          <w:color w:val="000000" w:themeColor="text1"/>
          <w:sz w:val="16"/>
          <w:szCs w:val="16"/>
        </w:rPr>
        <w:t>Ламблен</w:t>
      </w:r>
      <w:proofErr w:type="spellEnd"/>
      <w:r w:rsidRPr="00A259BD">
        <w:rPr>
          <w:rFonts w:ascii="Times New Roman" w:hAnsi="Times New Roman"/>
          <w:color w:val="000000" w:themeColor="text1"/>
          <w:sz w:val="16"/>
          <w:szCs w:val="16"/>
        </w:rPr>
        <w:t>».</w:t>
      </w:r>
    </w:p>
    <w:p w14:paraId="0FD1721D" w14:textId="77777777" w:rsidR="000E4B82" w:rsidRPr="00A259BD" w:rsidRDefault="000E4B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носовой части гондолы с наружной стороны в фартуке хранился свёрнутый гайдроп длиной 100 м. Водяной и песчаный балласт размещался с внутренней стороны и по бортам гондолы, но для быстрой отдачи части балласта в дно гондо</w:t>
      </w:r>
      <w:r w:rsidRPr="00A259BD">
        <w:rPr>
          <w:rFonts w:ascii="Times New Roman" w:hAnsi="Times New Roman"/>
          <w:color w:val="000000" w:themeColor="text1"/>
          <w:sz w:val="16"/>
          <w:szCs w:val="16"/>
        </w:rPr>
        <w:softHyphen/>
        <w:t>лы и в её носовую часть вставили короткую трубу большого диаметра, через которую в несколько секунд можно было вылить 20-30 кг воды, хра</w:t>
      </w:r>
      <w:r w:rsidRPr="00A259BD">
        <w:rPr>
          <w:rFonts w:ascii="Times New Roman" w:hAnsi="Times New Roman"/>
          <w:color w:val="000000" w:themeColor="text1"/>
          <w:sz w:val="16"/>
          <w:szCs w:val="16"/>
        </w:rPr>
        <w:softHyphen/>
        <w:t>нившейся в рукаве из прорезиненной материи. Труба служила также для выпуска с дирижабля флага при полётах над населёнными местностя</w:t>
      </w:r>
      <w:r w:rsidRPr="00A259BD">
        <w:rPr>
          <w:rFonts w:ascii="Times New Roman" w:hAnsi="Times New Roman"/>
          <w:color w:val="000000" w:themeColor="text1"/>
          <w:sz w:val="16"/>
          <w:szCs w:val="16"/>
        </w:rPr>
        <w:softHyphen/>
        <w:t>ми и для предупреждения стартовой команды о совершении посадки.</w:t>
      </w:r>
    </w:p>
    <w:p w14:paraId="7113751C" w14:textId="77777777" w:rsidR="000E4B82" w:rsidRPr="00A259BD" w:rsidRDefault="000E4B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Подвеска гондолы была тросовая. Шедшие от оболочки спуски и стропы оканчивались тенде</w:t>
      </w:r>
      <w:r w:rsidRPr="00A259BD">
        <w:rPr>
          <w:rFonts w:ascii="Times New Roman" w:hAnsi="Times New Roman"/>
          <w:color w:val="000000" w:themeColor="text1"/>
          <w:sz w:val="16"/>
          <w:szCs w:val="16"/>
        </w:rPr>
        <w:softHyphen/>
        <w:t>ром или шкотом, при помощи которого регули</w:t>
      </w:r>
      <w:r w:rsidRPr="00A259BD">
        <w:rPr>
          <w:rFonts w:ascii="Times New Roman" w:hAnsi="Times New Roman"/>
          <w:color w:val="000000" w:themeColor="text1"/>
          <w:sz w:val="16"/>
          <w:szCs w:val="16"/>
        </w:rPr>
        <w:softHyphen/>
        <w:t>ровали натяжение в стропах. Для старта и приёма у дирижабля в носовой и кормовой части име</w:t>
      </w:r>
      <w:r w:rsidRPr="00A259BD">
        <w:rPr>
          <w:rFonts w:ascii="Times New Roman" w:hAnsi="Times New Roman"/>
          <w:color w:val="000000" w:themeColor="text1"/>
          <w:sz w:val="16"/>
          <w:szCs w:val="16"/>
        </w:rPr>
        <w:softHyphen/>
        <w:t>лось по одной группе спусков, к которым кре</w:t>
      </w:r>
      <w:r w:rsidRPr="00A259BD">
        <w:rPr>
          <w:rFonts w:ascii="Times New Roman" w:hAnsi="Times New Roman"/>
          <w:color w:val="000000" w:themeColor="text1"/>
          <w:sz w:val="16"/>
          <w:szCs w:val="16"/>
        </w:rPr>
        <w:softHyphen/>
        <w:t>пилось по четыре поясные верёвки. При свежем ветре поясных оказалось недостаточно, поэтому по всей длине оболочки пришили добавочные петли, через которые пропускали бивачные ве</w:t>
      </w:r>
      <w:r w:rsidRPr="00A259BD">
        <w:rPr>
          <w:rFonts w:ascii="Times New Roman" w:hAnsi="Times New Roman"/>
          <w:color w:val="000000" w:themeColor="text1"/>
          <w:sz w:val="16"/>
          <w:szCs w:val="16"/>
        </w:rPr>
        <w:softHyphen/>
        <w:t>рёвки, служившие также и поясными.</w:t>
      </w:r>
    </w:p>
    <w:p w14:paraId="1280A451" w14:textId="77777777" w:rsidR="000E4B82" w:rsidRPr="00A259BD" w:rsidRDefault="000E4B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Полезная нагрузка дирижабля составляла 900 кг, максимальная продолжительность полё</w:t>
      </w:r>
      <w:r w:rsidRPr="00A259BD">
        <w:rPr>
          <w:rFonts w:ascii="Times New Roman" w:hAnsi="Times New Roman"/>
          <w:color w:val="000000" w:themeColor="text1"/>
          <w:sz w:val="16"/>
          <w:szCs w:val="16"/>
        </w:rPr>
        <w:softHyphen/>
        <w:t xml:space="preserve">та — 11-12 часов. При кратковременных полётах число </w:t>
      </w:r>
      <w:proofErr w:type="spellStart"/>
      <w:r w:rsidRPr="00A259BD">
        <w:rPr>
          <w:rFonts w:ascii="Times New Roman" w:hAnsi="Times New Roman"/>
          <w:color w:val="000000" w:themeColor="text1"/>
          <w:sz w:val="16"/>
          <w:szCs w:val="16"/>
        </w:rPr>
        <w:t>учлётов</w:t>
      </w:r>
      <w:proofErr w:type="spellEnd"/>
      <w:r w:rsidRPr="00A259BD">
        <w:rPr>
          <w:rFonts w:ascii="Times New Roman" w:hAnsi="Times New Roman"/>
          <w:color w:val="000000" w:themeColor="text1"/>
          <w:sz w:val="16"/>
          <w:szCs w:val="16"/>
        </w:rPr>
        <w:t xml:space="preserve"> и пассажиров на борту дирижабля достигало 7-9 человек (при 2-3 членах экипажа).</w:t>
      </w:r>
    </w:p>
    <w:p w14:paraId="6C2C75B0" w14:textId="77777777" w:rsidR="000E4B82" w:rsidRPr="00A259BD" w:rsidRDefault="000E4B8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обслуживания корабля при стоянке в овраге требовалась стартовая команда в 40 человек (20120).</w:t>
      </w:r>
    </w:p>
    <w:p w14:paraId="00ABDEF9" w14:textId="77777777" w:rsidR="000E4B82" w:rsidRPr="00A259BD" w:rsidRDefault="000E4B82" w:rsidP="009236E3">
      <w:pPr>
        <w:spacing w:after="0" w:line="240" w:lineRule="auto"/>
        <w:jc w:val="both"/>
        <w:rPr>
          <w:rFonts w:ascii="Times New Roman" w:hAnsi="Times New Roman"/>
          <w:color w:val="000000" w:themeColor="text1"/>
          <w:sz w:val="16"/>
          <w:szCs w:val="16"/>
        </w:rPr>
      </w:pPr>
    </w:p>
    <w:p w14:paraId="26AA8765" w14:textId="77777777" w:rsidR="00444051" w:rsidRPr="00441F34" w:rsidRDefault="00444051" w:rsidP="0044405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концу 1929 г. Цандер построил и с 1930 г. испытывал реактив</w:t>
      </w:r>
      <w:r w:rsidRPr="00441F34">
        <w:rPr>
          <w:rFonts w:ascii="Times New Roman" w:hAnsi="Times New Roman"/>
          <w:color w:val="0070C0"/>
          <w:sz w:val="16"/>
          <w:szCs w:val="16"/>
        </w:rPr>
        <w:softHyphen/>
        <w:t>ный двигатель ОР-1, работавший на бензине и сжатом воздухе. Для этой цели он приспособил обыкновенную паяльную лампу. По сути, это был действующий макет, имевший все основные эле</w:t>
      </w:r>
      <w:r w:rsidRPr="00441F34">
        <w:rPr>
          <w:rFonts w:ascii="Times New Roman" w:hAnsi="Times New Roman"/>
          <w:color w:val="0070C0"/>
          <w:sz w:val="16"/>
          <w:szCs w:val="16"/>
        </w:rPr>
        <w:softHyphen/>
        <w:t>менты ЖРД: топливный бак, систему подачи компонентов смеси, камеру сгорания с коническим соплом, охлаждавшимся компо</w:t>
      </w:r>
      <w:r w:rsidRPr="00441F34">
        <w:rPr>
          <w:rFonts w:ascii="Times New Roman" w:hAnsi="Times New Roman"/>
          <w:color w:val="0070C0"/>
          <w:sz w:val="16"/>
          <w:szCs w:val="16"/>
        </w:rPr>
        <w:softHyphen/>
        <w:t>нентами горючей смеси, электрическое зажигание.</w:t>
      </w:r>
    </w:p>
    <w:p w14:paraId="7718E50F" w14:textId="77777777" w:rsidR="00444051" w:rsidRPr="00441F34" w:rsidRDefault="00444051" w:rsidP="0044405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До апреля 1932 г. Цандер провел более 50 огневых испытаний ОР-1. В ходе этих экспериментов он изучал возможность исполь</w:t>
      </w:r>
      <w:r w:rsidRPr="00441F34">
        <w:rPr>
          <w:rFonts w:ascii="Times New Roman" w:hAnsi="Times New Roman"/>
          <w:color w:val="0070C0"/>
          <w:sz w:val="16"/>
          <w:szCs w:val="16"/>
        </w:rPr>
        <w:softHyphen/>
        <w:t>зования различных высокоэнергетических видов топлива, в том числе порошков, полученных из металлов и смешанных с бензи</w:t>
      </w:r>
      <w:r w:rsidRPr="00441F34">
        <w:rPr>
          <w:rFonts w:ascii="Times New Roman" w:hAnsi="Times New Roman"/>
          <w:color w:val="0070C0"/>
          <w:sz w:val="16"/>
          <w:szCs w:val="16"/>
        </w:rPr>
        <w:softHyphen/>
        <w:t>ном. Камеру сгорания охлаждала вода, циркулировавшая по зме</w:t>
      </w:r>
      <w:r w:rsidRPr="00441F34">
        <w:rPr>
          <w:rFonts w:ascii="Times New Roman" w:hAnsi="Times New Roman"/>
          <w:color w:val="0070C0"/>
          <w:sz w:val="16"/>
          <w:szCs w:val="16"/>
        </w:rPr>
        <w:softHyphen/>
        <w:t>евику, а также атмосферный воздух (23550).</w:t>
      </w:r>
    </w:p>
    <w:p w14:paraId="11187992" w14:textId="77777777" w:rsidR="00444051" w:rsidRPr="00441F34" w:rsidRDefault="00444051" w:rsidP="00444051">
      <w:pPr>
        <w:spacing w:after="0" w:line="240" w:lineRule="auto"/>
        <w:jc w:val="both"/>
        <w:rPr>
          <w:rFonts w:ascii="Times New Roman" w:hAnsi="Times New Roman"/>
          <w:color w:val="0070C0"/>
          <w:sz w:val="16"/>
          <w:szCs w:val="16"/>
        </w:rPr>
      </w:pPr>
    </w:p>
    <w:p w14:paraId="19D22D8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2F29A78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E8BF733" w14:textId="77777777" w:rsidR="00C075A9" w:rsidRPr="00A259BD" w:rsidRDefault="00C075A9"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конце 1929 на пороге наступающего 1930 г. Распорядительное заседание СТО заслушало доклад начальника МПУ ВСНХ о </w:t>
      </w:r>
      <w:proofErr w:type="spellStart"/>
      <w:r w:rsidRPr="00A259BD">
        <w:rPr>
          <w:rFonts w:ascii="Times New Roman" w:eastAsia="Times New Roman" w:hAnsi="Times New Roman"/>
          <w:color w:val="000000" w:themeColor="text1"/>
          <w:sz w:val="16"/>
          <w:szCs w:val="16"/>
          <w:lang w:eastAsia="ru-RU"/>
        </w:rPr>
        <w:t>мобплане</w:t>
      </w:r>
      <w:proofErr w:type="spellEnd"/>
      <w:r w:rsidRPr="00A259BD">
        <w:rPr>
          <w:rFonts w:ascii="Times New Roman" w:eastAsia="Times New Roman" w:hAnsi="Times New Roman"/>
          <w:color w:val="000000" w:themeColor="text1"/>
          <w:sz w:val="16"/>
          <w:szCs w:val="16"/>
          <w:lang w:eastAsia="ru-RU"/>
        </w:rPr>
        <w:t xml:space="preserve"> литеры "С" и признало работу по подготовке промышленности к обороне "совершенно неудовлетворительной". Подписанное Рыковым тремя неделями позже и становление РЗ СТО отменило эту формулировку, но подтвердило ее по существу. В нем констатировалось: "...в случае возникновения войны до 1/V1I-30 г. (срок окончания разработки очередного варианта </w:t>
      </w:r>
      <w:proofErr w:type="spellStart"/>
      <w:r w:rsidRPr="00A259BD">
        <w:rPr>
          <w:rFonts w:ascii="Times New Roman" w:eastAsia="Times New Roman" w:hAnsi="Times New Roman"/>
          <w:color w:val="000000" w:themeColor="text1"/>
          <w:sz w:val="16"/>
          <w:szCs w:val="16"/>
          <w:lang w:eastAsia="ru-RU"/>
        </w:rPr>
        <w:t>мобплана</w:t>
      </w:r>
      <w:proofErr w:type="spellEnd"/>
      <w:r w:rsidRPr="00A259BD">
        <w:rPr>
          <w:rFonts w:ascii="Times New Roman" w:eastAsia="Times New Roman" w:hAnsi="Times New Roman"/>
          <w:color w:val="000000" w:themeColor="text1"/>
          <w:sz w:val="16"/>
          <w:szCs w:val="16"/>
          <w:lang w:eastAsia="ru-RU"/>
        </w:rPr>
        <w:t xml:space="preserve">) промышленность вынуждена будет </w:t>
      </w:r>
      <w:proofErr w:type="spellStart"/>
      <w:r w:rsidRPr="00A259BD">
        <w:rPr>
          <w:rFonts w:ascii="Times New Roman" w:eastAsia="Times New Roman" w:hAnsi="Times New Roman"/>
          <w:color w:val="000000" w:themeColor="text1"/>
          <w:sz w:val="16"/>
          <w:szCs w:val="16"/>
          <w:lang w:eastAsia="ru-RU"/>
        </w:rPr>
        <w:t>развернутъся</w:t>
      </w:r>
      <w:proofErr w:type="spellEnd"/>
      <w:r w:rsidRPr="00A259BD">
        <w:rPr>
          <w:rFonts w:ascii="Times New Roman" w:eastAsia="Times New Roman" w:hAnsi="Times New Roman"/>
          <w:color w:val="000000" w:themeColor="text1"/>
          <w:sz w:val="16"/>
          <w:szCs w:val="16"/>
          <w:lang w:eastAsia="ru-RU"/>
        </w:rPr>
        <w:t xml:space="preserve"> и работать без плана" (Выписка из протокола № 43 заседания РЗ СТО от 30.12.1929 // Там же. Л. 35; Постановление РЗ СТО "О мобилизационной подготовке промышленности", 21.01.1930 //Там же. Л. 36).</w:t>
      </w:r>
    </w:p>
    <w:p w14:paraId="3A975670" w14:textId="77777777" w:rsidR="00C075A9" w:rsidRPr="00A259BD" w:rsidRDefault="00C075A9" w:rsidP="009236E3">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Кроме того, перерасчеты по пятилетке развития вооруженных сил с самого начала разъедались сомнениями в способности промышленности обеспечить согласованную подачу военного имущества и вооружений (прежде всего танков и самолетов) в мирное время. Драматизм ситуации хорошо передает официальный доклад в РЗ СТО о плане работ военного ведомства на 1929/30 г.: "Правительством дано задание по организации танковых частей из расчета потребности последних к концу пятилетки в 5500 танков. Для осуществления приведенных выше </w:t>
      </w:r>
      <w:proofErr w:type="spellStart"/>
      <w:r w:rsidRPr="00A259BD">
        <w:rPr>
          <w:rFonts w:ascii="Times New Roman" w:eastAsia="Times New Roman" w:hAnsi="Times New Roman"/>
          <w:color w:val="000000" w:themeColor="text1"/>
          <w:sz w:val="16"/>
          <w:szCs w:val="16"/>
          <w:lang w:eastAsia="ru-RU"/>
        </w:rPr>
        <w:t>оргмероириятий</w:t>
      </w:r>
      <w:proofErr w:type="spellEnd"/>
      <w:r w:rsidRPr="00A259BD">
        <w:rPr>
          <w:rFonts w:ascii="Times New Roman" w:eastAsia="Times New Roman" w:hAnsi="Times New Roman"/>
          <w:color w:val="000000" w:themeColor="text1"/>
          <w:sz w:val="16"/>
          <w:szCs w:val="16"/>
          <w:lang w:eastAsia="ru-RU"/>
        </w:rPr>
        <w:t xml:space="preserve"> на 1929/30 год был предусмотрен заказ всего на 700 танков как минимум потребностей РККА. Уже выяснилось, что и эта урезанная программа танкостроения в 1929/30 г. остается невыполнимой вследствие того, что промышленность вместо 700 танков принимает заказ на 1929/30 год всего лишь в размере 237 танков или 34% потребностей. При этом не только не происходит усиления развертывания танкового производства в соответствии с принятой Правительством увеличенной программой танкостроения, но и ранее предусмотренный темп развития танкового производства снижается почти в два раза" (Доклад Народного Комиссара по Военным и Морским Делам и Прсдсед.1 теля РВС СССР Ворошилова в РЗ СТО. 18.10.1929 </w:t>
      </w:r>
      <w:r w:rsidRPr="00A259BD">
        <w:rPr>
          <w:rFonts w:ascii="Times New Roman" w:eastAsia="Times New Roman" w:hAnsi="Times New Roman"/>
          <w:color w:val="000000" w:themeColor="text1"/>
          <w:sz w:val="16"/>
          <w:szCs w:val="16"/>
          <w:lang w:eastAsia="ru-RU"/>
        </w:rPr>
        <w:lastRenderedPageBreak/>
        <w:t xml:space="preserve">// РГАЭ. Ф. 4372. Оп. 91. Д 213. Л.123 (заверенная копия). В докладе подробно рассматривались мероприятия по подготовке личного состава и техническому </w:t>
      </w:r>
      <w:proofErr w:type="spellStart"/>
      <w:r w:rsidRPr="00A259BD">
        <w:rPr>
          <w:rFonts w:ascii="Times New Roman" w:eastAsia="Times New Roman" w:hAnsi="Times New Roman"/>
          <w:color w:val="000000" w:themeColor="text1"/>
          <w:sz w:val="16"/>
          <w:szCs w:val="16"/>
          <w:lang w:eastAsia="ru-RU"/>
        </w:rPr>
        <w:t>нереоснаще-нию</w:t>
      </w:r>
      <w:proofErr w:type="spellEnd"/>
      <w:r w:rsidRPr="00A259BD">
        <w:rPr>
          <w:rFonts w:ascii="Times New Roman" w:eastAsia="Times New Roman" w:hAnsi="Times New Roman"/>
          <w:color w:val="000000" w:themeColor="text1"/>
          <w:sz w:val="16"/>
          <w:szCs w:val="16"/>
          <w:lang w:eastAsia="ru-RU"/>
        </w:rPr>
        <w:t>. Как показывает сопоставление с решением РЗ СТО от 13 октября, док лад НКВМ был составлен (и, возможно, подписан) ранее указанной даты) (22725).</w:t>
      </w:r>
    </w:p>
    <w:p w14:paraId="5ADBEAA4" w14:textId="77777777" w:rsidR="00C075A9" w:rsidRPr="00A259BD" w:rsidRDefault="00C075A9" w:rsidP="009236E3">
      <w:pPr>
        <w:spacing w:after="0" w:line="240" w:lineRule="auto"/>
        <w:jc w:val="both"/>
        <w:rPr>
          <w:rFonts w:ascii="Times New Roman" w:hAnsi="Times New Roman"/>
          <w:color w:val="000000" w:themeColor="text1"/>
          <w:sz w:val="16"/>
          <w:szCs w:val="16"/>
        </w:rPr>
      </w:pPr>
    </w:p>
    <w:p w14:paraId="6C0BC552" w14:textId="77777777" w:rsidR="00E735F0" w:rsidRPr="00A259BD" w:rsidRDefault="00E735F0"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г. оказалось, что утвержденный в июле 1929 г. мобилизационный план «С-30», который требовал, не снижая темпов подачи предметов вооружения и боевой техники для выполнения текущих заказов, создания дополнительных производственных мощностей по всем отраслям промышленности, обеспечивающих военно-промышленные производства сырьем и материалами и рассчитанный на введение в действие в период до 1 июля 1930 г., уже оказался «устарелым, минимальным, не удовлетворяющим нужд обороны» и, более того, «безусловно, нереальным» (17234).</w:t>
      </w:r>
    </w:p>
    <w:p w14:paraId="1A9DC33E" w14:textId="77777777" w:rsidR="00E735F0" w:rsidRPr="00A259BD" w:rsidRDefault="00E735F0" w:rsidP="009236E3">
      <w:pPr>
        <w:autoSpaceDE w:val="0"/>
        <w:autoSpaceDN w:val="0"/>
        <w:adjustRightInd w:val="0"/>
        <w:spacing w:after="0" w:line="240" w:lineRule="auto"/>
        <w:jc w:val="both"/>
        <w:rPr>
          <w:rFonts w:ascii="Times New Roman" w:hAnsi="Times New Roman"/>
          <w:color w:val="000000" w:themeColor="text1"/>
          <w:sz w:val="16"/>
          <w:szCs w:val="16"/>
        </w:rPr>
      </w:pPr>
    </w:p>
    <w:p w14:paraId="3157DD18" w14:textId="77777777" w:rsidR="008A30E3" w:rsidRPr="00A259BD" w:rsidRDefault="008A30E3"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конец 1929 г. насыщенность заводов военной промышленности инженерно-техническим персоналом была крайне низкой </w:t>
      </w:r>
      <w:proofErr w:type="spellStart"/>
      <w:r w:rsidRPr="00A259BD">
        <w:rPr>
          <w:rFonts w:ascii="Times New Roman" w:hAnsi="Times New Roman"/>
          <w:color w:val="000000" w:themeColor="text1"/>
          <w:sz w:val="16"/>
          <w:szCs w:val="16"/>
        </w:rPr>
        <w:t>ио</w:t>
      </w:r>
      <w:proofErr w:type="spellEnd"/>
      <w:r w:rsidRPr="00A259BD">
        <w:rPr>
          <w:rFonts w:ascii="Times New Roman" w:hAnsi="Times New Roman"/>
          <w:color w:val="000000" w:themeColor="text1"/>
          <w:sz w:val="16"/>
          <w:szCs w:val="16"/>
        </w:rPr>
        <w:t xml:space="preserve"> таким важным группам специальностей, как металлургическая и механическая имелось всего 1 % инженеров и 1,35 % техников, а по химической группе соответственно 0,77 % и 1,13 %. Поэтому за пятилетку необходимо было вовлечь в военную промышленность не менее 4113 инженеров и 6463 техника. При таком пополнении к концу пятилетки насыщенность по инженерам достигла бы 3,8 %, по техникам 6 %, а всего 9,8 %. В этом случае советская военная промышленность по этим показателям приблизилась бы к германской (17234).</w:t>
      </w:r>
    </w:p>
    <w:p w14:paraId="12C9A4B5" w14:textId="77777777" w:rsidR="008A30E3" w:rsidRPr="00A259BD" w:rsidRDefault="008A30E3" w:rsidP="009236E3">
      <w:pPr>
        <w:autoSpaceDE w:val="0"/>
        <w:autoSpaceDN w:val="0"/>
        <w:adjustRightInd w:val="0"/>
        <w:spacing w:after="0" w:line="240" w:lineRule="auto"/>
        <w:jc w:val="both"/>
        <w:rPr>
          <w:rFonts w:ascii="Times New Roman" w:hAnsi="Times New Roman"/>
          <w:color w:val="000000" w:themeColor="text1"/>
          <w:sz w:val="16"/>
          <w:szCs w:val="16"/>
        </w:rPr>
      </w:pPr>
    </w:p>
    <w:p w14:paraId="5CC0761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1929-го СССР приобрел у фирмы “</w:t>
      </w:r>
      <w:proofErr w:type="spellStart"/>
      <w:r w:rsidRPr="00A259BD">
        <w:rPr>
          <w:rFonts w:ascii="Times New Roman" w:hAnsi="Times New Roman"/>
          <w:color w:val="000000" w:themeColor="text1"/>
          <w:sz w:val="16"/>
          <w:szCs w:val="16"/>
        </w:rPr>
        <w:t>Рейнметалл</w:t>
      </w:r>
      <w:proofErr w:type="spellEnd"/>
      <w:r w:rsidRPr="00A259BD">
        <w:rPr>
          <w:rFonts w:ascii="Times New Roman" w:hAnsi="Times New Roman"/>
          <w:color w:val="000000" w:themeColor="text1"/>
          <w:sz w:val="16"/>
          <w:szCs w:val="16"/>
        </w:rPr>
        <w:t>” 37-мм противотан</w:t>
      </w:r>
      <w:r w:rsidRPr="00A259BD">
        <w:rPr>
          <w:rFonts w:ascii="Times New Roman" w:hAnsi="Times New Roman"/>
          <w:color w:val="000000" w:themeColor="text1"/>
          <w:sz w:val="16"/>
          <w:szCs w:val="16"/>
        </w:rPr>
        <w:softHyphen/>
        <w:t xml:space="preserve">ковую пушку с полуавтоматическим затвором, которая вскоре была принята на вооружение. Производство орудия осваивалось на заводе № 8 им. Калинина в Подлипках под индексом 1К. По решению </w:t>
      </w:r>
      <w:proofErr w:type="spellStart"/>
      <w:r w:rsidRPr="00A259BD">
        <w:rPr>
          <w:rFonts w:ascii="Times New Roman" w:hAnsi="Times New Roman"/>
          <w:color w:val="000000" w:themeColor="text1"/>
          <w:sz w:val="16"/>
          <w:szCs w:val="16"/>
        </w:rPr>
        <w:t>Арткомитета</w:t>
      </w:r>
      <w:proofErr w:type="spellEnd"/>
      <w:r w:rsidRPr="00A259BD">
        <w:rPr>
          <w:rFonts w:ascii="Times New Roman" w:hAnsi="Times New Roman"/>
          <w:color w:val="000000" w:themeColor="text1"/>
          <w:sz w:val="16"/>
          <w:szCs w:val="16"/>
        </w:rPr>
        <w:t xml:space="preserve"> артиллерийское КБ завода “Большевик” в короткий срок наложило ствол и казенник пушки 19К в ложе с противооткатными приспособлениями орудия ПС-2, получив, таким образом, 37-мм по</w:t>
      </w:r>
      <w:r w:rsidRPr="00A259BD">
        <w:rPr>
          <w:rFonts w:ascii="Times New Roman" w:hAnsi="Times New Roman"/>
          <w:color w:val="000000" w:themeColor="text1"/>
          <w:sz w:val="16"/>
          <w:szCs w:val="16"/>
        </w:rPr>
        <w:softHyphen/>
        <w:t xml:space="preserve">луавтоматическую танковую пушку большой мощности </w:t>
      </w:r>
      <w:proofErr w:type="spellStart"/>
      <w:r w:rsidRPr="00A259BD">
        <w:rPr>
          <w:rFonts w:ascii="Times New Roman" w:hAnsi="Times New Roman"/>
          <w:color w:val="000000" w:themeColor="text1"/>
          <w:sz w:val="16"/>
          <w:szCs w:val="16"/>
        </w:rPr>
        <w:t>об.р</w:t>
      </w:r>
      <w:proofErr w:type="spellEnd"/>
      <w:r w:rsidRPr="00A259BD">
        <w:rPr>
          <w:rFonts w:ascii="Times New Roman" w:hAnsi="Times New Roman"/>
          <w:color w:val="000000" w:themeColor="text1"/>
          <w:sz w:val="16"/>
          <w:szCs w:val="16"/>
        </w:rPr>
        <w:t>. 1930—31 гг., которой был присвоен индекс Б-3. Еще до Государственных испытаний пушка была передана на завод № 8 для спешной организации серийного производства. Там орудие получило свой внутризаводской индекс 5К (10733,202).</w:t>
      </w:r>
    </w:p>
    <w:p w14:paraId="5E7E3A7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970F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 начале 1930 годов были следующие цены:</w:t>
      </w:r>
    </w:p>
    <w:tbl>
      <w:tblPr>
        <w:tblW w:w="0" w:type="auto"/>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680"/>
        <w:gridCol w:w="3684"/>
      </w:tblGrid>
      <w:tr w:rsidR="00A259BD" w:rsidRPr="00A259BD" w14:paraId="2B7C9A1A" w14:textId="77777777">
        <w:tc>
          <w:tcPr>
            <w:tcW w:w="4680" w:type="dxa"/>
          </w:tcPr>
          <w:p w14:paraId="5D3C5F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Наименование</w:t>
            </w:r>
          </w:p>
        </w:tc>
        <w:tc>
          <w:tcPr>
            <w:tcW w:w="3684" w:type="dxa"/>
          </w:tcPr>
          <w:p w14:paraId="7037E5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Цена (рубли)</w:t>
            </w:r>
          </w:p>
        </w:tc>
      </w:tr>
      <w:tr w:rsidR="00A259BD" w:rsidRPr="00A259BD" w14:paraId="7A82347F" w14:textId="77777777">
        <w:tc>
          <w:tcPr>
            <w:tcW w:w="4680" w:type="dxa"/>
          </w:tcPr>
          <w:p w14:paraId="6630AB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Опытный пулемет Максима на универсальном станке</w:t>
            </w:r>
          </w:p>
        </w:tc>
        <w:tc>
          <w:tcPr>
            <w:tcW w:w="3684" w:type="dxa"/>
          </w:tcPr>
          <w:p w14:paraId="743399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1600</w:t>
            </w:r>
          </w:p>
        </w:tc>
      </w:tr>
      <w:tr w:rsidR="00A259BD" w:rsidRPr="00A259BD" w14:paraId="332D1E89" w14:textId="77777777">
        <w:tc>
          <w:tcPr>
            <w:tcW w:w="4680" w:type="dxa"/>
          </w:tcPr>
          <w:p w14:paraId="7024EA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37мм танковая пушка для МС-1</w:t>
            </w:r>
          </w:p>
        </w:tc>
        <w:tc>
          <w:tcPr>
            <w:tcW w:w="3684" w:type="dxa"/>
          </w:tcPr>
          <w:p w14:paraId="534C5A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1050</w:t>
            </w:r>
          </w:p>
        </w:tc>
      </w:tr>
      <w:tr w:rsidR="00A259BD" w:rsidRPr="00A259BD" w14:paraId="58600D2D" w14:textId="77777777">
        <w:tc>
          <w:tcPr>
            <w:tcW w:w="4680" w:type="dxa"/>
          </w:tcPr>
          <w:p w14:paraId="64F936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45мм танковая пушка для Т-12</w:t>
            </w:r>
          </w:p>
        </w:tc>
        <w:tc>
          <w:tcPr>
            <w:tcW w:w="3684" w:type="dxa"/>
          </w:tcPr>
          <w:p w14:paraId="47B07A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8000</w:t>
            </w:r>
          </w:p>
        </w:tc>
      </w:tr>
      <w:tr w:rsidR="00A259BD" w:rsidRPr="00A259BD" w14:paraId="7E147CA9" w14:textId="77777777">
        <w:tc>
          <w:tcPr>
            <w:tcW w:w="4680" w:type="dxa"/>
          </w:tcPr>
          <w:p w14:paraId="77E6639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45мм осколочная граната</w:t>
            </w:r>
          </w:p>
        </w:tc>
        <w:tc>
          <w:tcPr>
            <w:tcW w:w="3684" w:type="dxa"/>
          </w:tcPr>
          <w:p w14:paraId="5C8890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6,42</w:t>
            </w:r>
          </w:p>
        </w:tc>
      </w:tr>
      <w:tr w:rsidR="00A259BD" w:rsidRPr="00A259BD" w14:paraId="721E693D" w14:textId="77777777">
        <w:tc>
          <w:tcPr>
            <w:tcW w:w="4680" w:type="dxa"/>
          </w:tcPr>
          <w:p w14:paraId="72FF63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45мм бронебойная граната</w:t>
            </w:r>
          </w:p>
        </w:tc>
        <w:tc>
          <w:tcPr>
            <w:tcW w:w="3684" w:type="dxa"/>
          </w:tcPr>
          <w:p w14:paraId="4A95DB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w:t>
            </w:r>
          </w:p>
        </w:tc>
      </w:tr>
      <w:tr w:rsidR="00A259BD" w:rsidRPr="00A259BD" w14:paraId="2DECE490" w14:textId="77777777">
        <w:tc>
          <w:tcPr>
            <w:tcW w:w="4680" w:type="dxa"/>
          </w:tcPr>
          <w:p w14:paraId="13B84F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Комплект защитной противохимической одежды</w:t>
            </w:r>
          </w:p>
        </w:tc>
        <w:tc>
          <w:tcPr>
            <w:tcW w:w="3684" w:type="dxa"/>
          </w:tcPr>
          <w:p w14:paraId="20D1DB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w:t>
            </w:r>
          </w:p>
        </w:tc>
      </w:tr>
    </w:tbl>
    <w:p w14:paraId="740927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(7720)</w:t>
      </w:r>
    </w:p>
    <w:p w14:paraId="1E2B12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778C12" w14:textId="77777777" w:rsidR="00105CF0" w:rsidRPr="00A259BD" w:rsidRDefault="00105CF0" w:rsidP="009236E3">
      <w:pPr>
        <w:pStyle w:val="rtejustify"/>
        <w:shd w:val="clear" w:color="auto" w:fill="FFFFFF"/>
        <w:spacing w:before="0" w:after="0"/>
        <w:rPr>
          <w:color w:val="000000" w:themeColor="text1"/>
          <w:sz w:val="16"/>
          <w:szCs w:val="16"/>
        </w:rPr>
      </w:pPr>
      <w:r w:rsidRPr="00A259BD">
        <w:rPr>
          <w:color w:val="000000" w:themeColor="text1"/>
          <w:sz w:val="16"/>
          <w:szCs w:val="16"/>
        </w:rPr>
        <w:t>С конца 1929 года велись испытания макетных образцов динамо-реактивных пушек. Первоначально для этих целей использовались самолеты Р-3ЛД, а затем – ТБ-1 (19172).</w:t>
      </w:r>
    </w:p>
    <w:p w14:paraId="064594F7" w14:textId="77777777" w:rsidR="00105CF0" w:rsidRPr="00A259BD" w:rsidRDefault="00105CF0" w:rsidP="009236E3">
      <w:pPr>
        <w:pStyle w:val="ae"/>
        <w:shd w:val="clear" w:color="auto" w:fill="FFFFFF"/>
        <w:spacing w:before="0" w:after="0"/>
        <w:jc w:val="both"/>
        <w:textAlignment w:val="baseline"/>
        <w:rPr>
          <w:color w:val="000000" w:themeColor="text1"/>
          <w:sz w:val="16"/>
          <w:szCs w:val="16"/>
        </w:rPr>
      </w:pPr>
    </w:p>
    <w:p w14:paraId="367076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в ВПУ поступила Справка из Штаба РККА (IV управление), в которой сообщалось, что на Западе специальных танковых заводов нет - их заменяет кооперация заводов. В большинстве случаев сборка, - говорилось в Справке, - поручается крупному автомобильному или вагоностроительному заводу. В САСШ военное ведомство само распределяет изготовление частей танков между различными заводами, производя сборку в своих “арсеналах”. Видимо, не без учета этой информации Научно-технический совет ГВПУ сформулировал основы стратегии развития танкостроительной промышленности: “...можно констатировать, что при производстве более или менее крупных количеств танков, тракторов и автомобилей, работу по подготовке всего необходимого придется разбить на 3 основных этапа:</w:t>
      </w:r>
    </w:p>
    <w:p w14:paraId="136FFA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Конструирование образцов</w:t>
      </w:r>
    </w:p>
    <w:p w14:paraId="49F249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Изготовление опытных образцов и</w:t>
      </w:r>
    </w:p>
    <w:p w14:paraId="6F0ABD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Передача образцов на валовое производство (5745, 37).</w:t>
      </w:r>
    </w:p>
    <w:p w14:paraId="0A2202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Если в первой и, отчасти, во второй стадии мы имеем органы военной промышленности, которые могут в большей или меньшей степени выполнить поставленную задачу, то в третьей стадии - передача на валовое производство - сейчас трудно представить себе те производственные объединения, которые были бы в состоянии справиться с задачей и поставить совершенно новое в стране производство (5745, 37).</w:t>
      </w:r>
    </w:p>
    <w:p w14:paraId="55D52B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Единственным выходом, который, по мнению ГВПУ, может быть принят для решения этой сложной задачи, явилось бы производство машин по так называемой горизонтальной системе, то есть разбивка объектов на типичные с производственной и технической точек зрения части-узлы (примерно: броня-корпус-башня-ходовая часть-двигатель и т.д.) и второе - изготовление этих узлов на отдельных заводах, применяя систему допусков, с организацией одной или нескольких сборочных мастерских, используя для этой цели или заводы военной промышленности, или сборочные заводы Автотреста, на которых должен производиться окончательный монтаж машин.” По мнению руководства ГВПУ, это был “...единственный выход, так как постройка специальных заводов будет стоить большие суммы и, кроме того, эти заводы могут вступить в работу через весьма продолжительный промежуток времени, что совершенно не обеспечивает срочность перевооружения Рабоче-Крестьянской Красной Армии, так как установившаяся у нас практика постановки новых производств показывает необходимость весьма длительного периода постановки, продолжающегося до 3-4 лет, что в данном случае неприемлемо” (5745, 37).</w:t>
      </w:r>
    </w:p>
    <w:p w14:paraId="6DF2F5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CC1EE0"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1929 г ГКБ приступило к созданию усовершенствованного варианта маневренного </w:t>
      </w:r>
      <w:proofErr w:type="spellStart"/>
      <w:r w:rsidRPr="00A259BD">
        <w:rPr>
          <w:rFonts w:ascii="Times New Roman" w:hAnsi="Times New Roman"/>
          <w:color w:val="000000" w:themeColor="text1"/>
          <w:sz w:val="16"/>
          <w:szCs w:val="16"/>
        </w:rPr>
        <w:t>танка.Весной</w:t>
      </w:r>
      <w:proofErr w:type="spellEnd"/>
      <w:r w:rsidRPr="00A259BD">
        <w:rPr>
          <w:rFonts w:ascii="Times New Roman" w:hAnsi="Times New Roman"/>
          <w:color w:val="000000" w:themeColor="text1"/>
          <w:sz w:val="16"/>
          <w:szCs w:val="16"/>
        </w:rPr>
        <w:t xml:space="preserve"> 1930 г. в ГКБОАТ под руководством С.П. </w:t>
      </w:r>
      <w:proofErr w:type="spellStart"/>
      <w:r w:rsidRPr="00A259BD">
        <w:rPr>
          <w:rFonts w:ascii="Times New Roman" w:hAnsi="Times New Roman"/>
          <w:color w:val="000000" w:themeColor="text1"/>
          <w:sz w:val="16"/>
          <w:szCs w:val="16"/>
        </w:rPr>
        <w:t>Шукапова</w:t>
      </w:r>
      <w:proofErr w:type="spellEnd"/>
      <w:r w:rsidRPr="00A259BD">
        <w:rPr>
          <w:rFonts w:ascii="Times New Roman" w:hAnsi="Times New Roman"/>
          <w:color w:val="000000" w:themeColor="text1"/>
          <w:sz w:val="16"/>
          <w:szCs w:val="16"/>
        </w:rPr>
        <w:t xml:space="preserve"> при участии конструкторов ХПЗ подготовили проект танка, получившего обозначение Т-24 (первоначально он именовался «Т-12 улучшенный»). В проектировании принимали участие В.И. Заславский и Б.А </w:t>
      </w:r>
      <w:proofErr w:type="spellStart"/>
      <w:r w:rsidRPr="00A259BD">
        <w:rPr>
          <w:rFonts w:ascii="Times New Roman" w:hAnsi="Times New Roman"/>
          <w:color w:val="000000" w:themeColor="text1"/>
          <w:sz w:val="16"/>
          <w:szCs w:val="16"/>
        </w:rPr>
        <w:t>Андрыхевич</w:t>
      </w:r>
      <w:proofErr w:type="spellEnd"/>
      <w:r w:rsidRPr="00A259BD">
        <w:rPr>
          <w:rFonts w:ascii="Times New Roman" w:hAnsi="Times New Roman"/>
          <w:color w:val="000000" w:themeColor="text1"/>
          <w:sz w:val="16"/>
          <w:szCs w:val="16"/>
        </w:rPr>
        <w:t xml:space="preserve">. Приспособление двигателя М-6 и разработку отдельных узлов моторной установки выполнил специально приглашенный для этой цели А.А. Микулин. 28 мая того же года проект танка Т-24 направили председателю НТК </w:t>
      </w:r>
      <w:proofErr w:type="spellStart"/>
      <w:r w:rsidRPr="00A259BD">
        <w:rPr>
          <w:rFonts w:ascii="Times New Roman" w:hAnsi="Times New Roman"/>
          <w:color w:val="000000" w:themeColor="text1"/>
          <w:sz w:val="16"/>
          <w:szCs w:val="16"/>
        </w:rPr>
        <w:t>Оружобъединения</w:t>
      </w:r>
      <w:proofErr w:type="spellEnd"/>
      <w:r w:rsidRPr="00A259BD">
        <w:rPr>
          <w:rFonts w:ascii="Times New Roman" w:hAnsi="Times New Roman"/>
          <w:color w:val="000000" w:themeColor="text1"/>
          <w:sz w:val="16"/>
          <w:szCs w:val="16"/>
        </w:rPr>
        <w:t xml:space="preserve"> Адамсу для рассмотрения и утверждения (12303).</w:t>
      </w:r>
    </w:p>
    <w:p w14:paraId="5DC93EC8" w14:textId="77777777" w:rsidR="001D017F" w:rsidRPr="00A259BD" w:rsidRDefault="001D017F" w:rsidP="009236E3">
      <w:pPr>
        <w:spacing w:after="0" w:line="240" w:lineRule="auto"/>
        <w:jc w:val="both"/>
        <w:rPr>
          <w:rFonts w:ascii="Times New Roman" w:hAnsi="Times New Roman"/>
          <w:color w:val="000000" w:themeColor="text1"/>
          <w:sz w:val="16"/>
          <w:szCs w:val="16"/>
        </w:rPr>
      </w:pPr>
    </w:p>
    <w:p w14:paraId="72703E0B" w14:textId="77777777" w:rsidR="00444051" w:rsidRPr="00441F34" w:rsidRDefault="00444051" w:rsidP="0044405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До конца 1929 г. затянулось строительство на заводе «Большевик» (бывшем Обуховском сталелитейном заводе) нового цеха для выпуска танков, тракторов и авиамоторов, поэтому временно изготовление и сборка моторов и танков по большей части производились в старых цехах на оборудовании, износ которого достигал 50 и более процентов. В 1927-1928 хозяйственном году (</w:t>
      </w:r>
      <w:proofErr w:type="spellStart"/>
      <w:r w:rsidRPr="00441F34">
        <w:rPr>
          <w:rFonts w:ascii="Times New Roman" w:hAnsi="Times New Roman"/>
          <w:color w:val="0070C0"/>
          <w:sz w:val="16"/>
          <w:szCs w:val="16"/>
        </w:rPr>
        <w:t>х.г</w:t>
      </w:r>
      <w:proofErr w:type="spellEnd"/>
      <w:r w:rsidRPr="00441F34">
        <w:rPr>
          <w:rFonts w:ascii="Times New Roman" w:hAnsi="Times New Roman"/>
          <w:color w:val="0070C0"/>
          <w:sz w:val="16"/>
          <w:szCs w:val="16"/>
        </w:rPr>
        <w:t xml:space="preserve">.)[31] предприятие изготовило 23 танка, а в следующем году завод «Большевик» должен был выпустить еще 85 Т-18. В целом программа 1928-1929 </w:t>
      </w:r>
      <w:proofErr w:type="spellStart"/>
      <w:r w:rsidRPr="00441F34">
        <w:rPr>
          <w:rFonts w:ascii="Times New Roman" w:hAnsi="Times New Roman"/>
          <w:color w:val="0070C0"/>
          <w:sz w:val="16"/>
          <w:szCs w:val="16"/>
        </w:rPr>
        <w:t>х.г</w:t>
      </w:r>
      <w:proofErr w:type="spellEnd"/>
      <w:r w:rsidRPr="00441F34">
        <w:rPr>
          <w:rFonts w:ascii="Times New Roman" w:hAnsi="Times New Roman"/>
          <w:color w:val="0070C0"/>
          <w:sz w:val="16"/>
          <w:szCs w:val="16"/>
        </w:rPr>
        <w:t>. была выполнена, но с запозданием на несколько месяцев[32] (23536).</w:t>
      </w:r>
    </w:p>
    <w:p w14:paraId="570926F4" w14:textId="77777777" w:rsidR="00444051" w:rsidRPr="00441F34" w:rsidRDefault="00444051" w:rsidP="00444051">
      <w:pPr>
        <w:spacing w:after="0" w:line="240" w:lineRule="auto"/>
        <w:jc w:val="both"/>
        <w:rPr>
          <w:rFonts w:ascii="Times New Roman" w:hAnsi="Times New Roman"/>
          <w:color w:val="0070C0"/>
          <w:sz w:val="16"/>
          <w:szCs w:val="16"/>
        </w:rPr>
      </w:pPr>
    </w:p>
    <w:p w14:paraId="15283B54" w14:textId="77777777" w:rsidR="00444051" w:rsidRPr="00441F34" w:rsidRDefault="00444051" w:rsidP="0044405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К концу 1929 г. вся принятая программа советского танкостроения оказалась несостоятельной. Постановление Политбюро ЦК ВКП(б) от 5 декабря 1929 г. констатировало, что в СССР «кроме танка Т-18, типов и конструкций танков среднего, большого и танкетки не имеется...</w:t>
      </w:r>
    </w:p>
    <w:p w14:paraId="4378D371" w14:textId="77777777" w:rsidR="00444051" w:rsidRPr="00441F34" w:rsidRDefault="00444051" w:rsidP="00444051">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Пятилетняя программа тракторостроения и моторостроения не увязаны с танкостроением и удовлетворением потребностей армии в мощных тракторах. Не проработано обеспечение танкостроения броней и моторами, нет достаточных конструкторских сил, обеспечивающих выполнение плана танкостроения». Поэтому было принято решение отправить «за границу авторитетную комиссию из представителей ВСНХ и </w:t>
      </w:r>
      <w:proofErr w:type="spellStart"/>
      <w:r w:rsidRPr="00441F34">
        <w:rPr>
          <w:rFonts w:ascii="Times New Roman" w:hAnsi="Times New Roman"/>
          <w:color w:val="0070C0"/>
          <w:sz w:val="16"/>
          <w:szCs w:val="16"/>
        </w:rPr>
        <w:t>НКВоенмора</w:t>
      </w:r>
      <w:proofErr w:type="spellEnd"/>
      <w:r w:rsidRPr="00441F34">
        <w:rPr>
          <w:rFonts w:ascii="Times New Roman" w:hAnsi="Times New Roman"/>
          <w:color w:val="0070C0"/>
          <w:sz w:val="16"/>
          <w:szCs w:val="16"/>
        </w:rPr>
        <w:t xml:space="preserve"> [Наркомата по военным и морским делам]»[39]. Именно это постановление послужило началом новой широкой программы по развитию советского танкостроения на основе заимствования иностранного опыта. В 1930</w:t>
      </w:r>
      <w:r w:rsidRPr="00441F34">
        <w:rPr>
          <w:rFonts w:ascii="Times New Roman" w:hAnsi="Times New Roman"/>
          <w:color w:val="0070C0"/>
          <w:sz w:val="16"/>
          <w:szCs w:val="16"/>
        </w:rPr>
        <w:softHyphen/>
        <w:t>1931 гг. по инерции еще продолжалось производство и проектирование прежних моделей танков: Т-12, Т-18, Т-20, Т-24 и других[40]. Но дальше мелкосерийного производства или изготовления опытных образцов дело так и не пошло (23536).</w:t>
      </w:r>
    </w:p>
    <w:p w14:paraId="0D546C4C" w14:textId="77777777" w:rsidR="00444051" w:rsidRPr="00441F34" w:rsidRDefault="00444051" w:rsidP="00444051">
      <w:pPr>
        <w:spacing w:after="0" w:line="240" w:lineRule="auto"/>
        <w:jc w:val="both"/>
        <w:rPr>
          <w:rFonts w:ascii="Times New Roman" w:hAnsi="Times New Roman"/>
          <w:color w:val="0070C0"/>
          <w:sz w:val="16"/>
          <w:szCs w:val="16"/>
        </w:rPr>
      </w:pPr>
    </w:p>
    <w:p w14:paraId="0C7A5C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1929 г. при головных заводах военной промышленности, находившихся в ведении Главного военно-промышленного управления - ГВПУ ВСНХ СССР, стали создавать специализированные конструкторские бюро. Одними из первых были созданы два КБ по разработке взрывателей - при заводе № 42 имени </w:t>
      </w:r>
      <w:proofErr w:type="spellStart"/>
      <w:r w:rsidRPr="00A259BD">
        <w:rPr>
          <w:rFonts w:ascii="Times New Roman" w:hAnsi="Times New Roman"/>
          <w:color w:val="000000" w:themeColor="text1"/>
          <w:sz w:val="16"/>
          <w:szCs w:val="16"/>
        </w:rPr>
        <w:t>М.И.Калинина</w:t>
      </w:r>
      <w:proofErr w:type="spellEnd"/>
      <w:r w:rsidRPr="00A259BD">
        <w:rPr>
          <w:rFonts w:ascii="Times New Roman" w:hAnsi="Times New Roman"/>
          <w:color w:val="000000" w:themeColor="text1"/>
          <w:sz w:val="16"/>
          <w:szCs w:val="16"/>
        </w:rPr>
        <w:t xml:space="preserve"> на основе Бюро подготовки трубочному делу и опытной мастерской </w:t>
      </w:r>
      <w:proofErr w:type="spellStart"/>
      <w:r w:rsidRPr="00A259BD">
        <w:rPr>
          <w:rFonts w:ascii="Times New Roman" w:hAnsi="Times New Roman"/>
          <w:color w:val="000000" w:themeColor="text1"/>
          <w:sz w:val="16"/>
          <w:szCs w:val="16"/>
        </w:rPr>
        <w:t>В.И.Рдултовского</w:t>
      </w:r>
      <w:proofErr w:type="spellEnd"/>
      <w:r w:rsidRPr="00A259BD">
        <w:rPr>
          <w:rFonts w:ascii="Times New Roman" w:hAnsi="Times New Roman"/>
          <w:color w:val="000000" w:themeColor="text1"/>
          <w:sz w:val="16"/>
          <w:szCs w:val="16"/>
        </w:rPr>
        <w:t xml:space="preserve">, а второе - при ленинградском заводе “Прогресс”. Руководить ими назначили </w:t>
      </w:r>
      <w:proofErr w:type="spellStart"/>
      <w:r w:rsidRPr="00A259BD">
        <w:rPr>
          <w:rFonts w:ascii="Times New Roman" w:hAnsi="Times New Roman"/>
          <w:color w:val="000000" w:themeColor="text1"/>
          <w:sz w:val="16"/>
          <w:szCs w:val="16"/>
        </w:rPr>
        <w:t>М.Ф.Васильева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Я.А.Савельева</w:t>
      </w:r>
      <w:proofErr w:type="spellEnd"/>
      <w:r w:rsidRPr="00A259BD">
        <w:rPr>
          <w:rFonts w:ascii="Times New Roman" w:hAnsi="Times New Roman"/>
          <w:color w:val="000000" w:themeColor="text1"/>
          <w:sz w:val="16"/>
          <w:szCs w:val="16"/>
        </w:rPr>
        <w:t xml:space="preserve"> (7453).</w:t>
      </w:r>
    </w:p>
    <w:p w14:paraId="4D3A2A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7C66516" w14:textId="77777777" w:rsidR="004D0129" w:rsidRPr="00A259BD" w:rsidRDefault="004D0129"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концу 1929 г. для руководства завода №7 стала очевидна необходимость возврата к уже существовавшей организационной форме ведения опытных военных заказов, когда задачи по их выполнению выполнял ранее расформированный военный отдел. В связи с этим, приказом по заводу с 21 октября 1929 г. был образован ВОО, «для своевременного и доброкачественного выполнения заводом весьма ценных для Республики опытных работ военного назначения и в целях объединения оформления и учета всех мероприятий по выполнению заводом опытных заказов».</w:t>
      </w:r>
    </w:p>
    <w:p w14:paraId="6120B928" w14:textId="77777777" w:rsidR="004D0129" w:rsidRPr="00A259BD" w:rsidRDefault="004D0129"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Заведующим ВОО был назначен военный инженер-технолог В. В. Витте, до этого времени бывший заведующим ВКБ. Следует отметить, что он был одним из немногих высококвалифицированных специалистов, работавших на заводе. Будучи выходцем из дворян военного сословия, он окончил Константиновское артиллерийское училище и Артиллерийскую академию РККА, работал инженером-конструктором </w:t>
      </w:r>
      <w:proofErr w:type="spellStart"/>
      <w:r w:rsidRPr="00A259BD">
        <w:rPr>
          <w:rFonts w:ascii="Times New Roman" w:hAnsi="Times New Roman"/>
          <w:color w:val="000000" w:themeColor="text1"/>
          <w:sz w:val="16"/>
          <w:szCs w:val="16"/>
        </w:rPr>
        <w:t>Косартопа</w:t>
      </w:r>
      <w:proofErr w:type="spellEnd"/>
      <w:r w:rsidRPr="00A259BD">
        <w:rPr>
          <w:rFonts w:ascii="Times New Roman" w:hAnsi="Times New Roman"/>
          <w:color w:val="000000" w:themeColor="text1"/>
          <w:sz w:val="16"/>
          <w:szCs w:val="16"/>
        </w:rPr>
        <w:t>, после чего в 1923 г. поступил работать конструктором на «Красный Арсенал» (20074).</w:t>
      </w:r>
    </w:p>
    <w:p w14:paraId="3F6C2E44" w14:textId="77777777" w:rsidR="004D0129" w:rsidRPr="00A259BD" w:rsidRDefault="004D0129" w:rsidP="009236E3">
      <w:pPr>
        <w:autoSpaceDE w:val="0"/>
        <w:autoSpaceDN w:val="0"/>
        <w:adjustRightInd w:val="0"/>
        <w:spacing w:after="0" w:line="240" w:lineRule="auto"/>
        <w:jc w:val="both"/>
        <w:rPr>
          <w:rFonts w:ascii="Times New Roman" w:hAnsi="Times New Roman"/>
          <w:color w:val="000000" w:themeColor="text1"/>
          <w:sz w:val="16"/>
          <w:szCs w:val="16"/>
        </w:rPr>
      </w:pPr>
    </w:p>
    <w:p w14:paraId="1134CE7A" w14:textId="77777777" w:rsidR="00D42210" w:rsidRPr="00A259BD" w:rsidRDefault="00D4221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концу 1929 года ситуация с танкостроением вообще выглядела крайне занятно. Еще в 1928 году начались работы по двум вариантам модернизации Т-18 - большой (Т-19, завод "Большевик") и малой (Т-20, ГКБ ОАТ). Всесоюзные Маневры лишний раз показали, что танки уже не удовлетворяют современным требованиям (еще бы, уже прошло 5 лет с момента запуска разработки МС-1), в отличие от БА-27. Тот похвалили. Тем не менее, Т-18 второй серии, которые сдавались с такой руганью и драмой, записали себя в историю отечественных танковых войск. Дело в том, что именно им было суждено стать первыми танками отечественной разработки, которым довелось повоевать. Случилось это на Дальнем Востоке (22380).</w:t>
      </w:r>
    </w:p>
    <w:p w14:paraId="31E1E248" w14:textId="77777777" w:rsidR="00D42210" w:rsidRPr="00A259BD" w:rsidRDefault="00D42210" w:rsidP="009236E3">
      <w:pPr>
        <w:spacing w:after="0" w:line="240" w:lineRule="auto"/>
        <w:jc w:val="both"/>
        <w:rPr>
          <w:rFonts w:ascii="Times New Roman" w:hAnsi="Times New Roman"/>
          <w:color w:val="000000" w:themeColor="text1"/>
          <w:sz w:val="16"/>
          <w:szCs w:val="16"/>
        </w:rPr>
      </w:pPr>
    </w:p>
    <w:p w14:paraId="3437AE69" w14:textId="77777777" w:rsidR="004D0129" w:rsidRPr="00A259BD" w:rsidRDefault="004D0129"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концу 1929 года появилась надежда запустить в производство средний танк Т-12 (предок Т-24), но уже в январе 1930 г. стало ясно, что «внутри СССР нет типов танков и тракторов, производство которых ... обес</w:t>
      </w:r>
      <w:r w:rsidRPr="00A259BD">
        <w:rPr>
          <w:rFonts w:ascii="Times New Roman" w:hAnsi="Times New Roman"/>
          <w:color w:val="000000" w:themeColor="text1"/>
          <w:sz w:val="16"/>
          <w:szCs w:val="16"/>
        </w:rPr>
        <w:softHyphen/>
        <w:t xml:space="preserve">печило бы потребность Красной армии». Отправленная за границу «особая комиссия (т. Осинский, </w:t>
      </w:r>
      <w:proofErr w:type="spellStart"/>
      <w:r w:rsidRPr="00A259BD">
        <w:rPr>
          <w:rFonts w:ascii="Times New Roman" w:hAnsi="Times New Roman"/>
          <w:color w:val="000000" w:themeColor="text1"/>
          <w:sz w:val="16"/>
          <w:szCs w:val="16"/>
        </w:rPr>
        <w:t>Халепский</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Будняк</w:t>
      </w:r>
      <w:proofErr w:type="spellEnd"/>
      <w:r w:rsidRPr="00A259BD">
        <w:rPr>
          <w:rFonts w:ascii="Times New Roman" w:hAnsi="Times New Roman"/>
          <w:color w:val="000000" w:themeColor="text1"/>
          <w:sz w:val="16"/>
          <w:szCs w:val="16"/>
        </w:rPr>
        <w:t>)» заказала в Великобритании и США «образцы совре</w:t>
      </w:r>
      <w:r w:rsidRPr="00A259BD">
        <w:rPr>
          <w:rFonts w:ascii="Times New Roman" w:hAnsi="Times New Roman"/>
          <w:color w:val="000000" w:themeColor="text1"/>
          <w:sz w:val="16"/>
          <w:szCs w:val="16"/>
        </w:rPr>
        <w:softHyphen/>
        <w:t>менных танков». В результате, к ноябрю 1930 года место Т-18 в системе вооружения занял английский «Виккерс б-тонный» (будущий Т- 26), на место среднего Т-24 стали претендо</w:t>
      </w:r>
      <w:r w:rsidRPr="00A259BD">
        <w:rPr>
          <w:rFonts w:ascii="Times New Roman" w:hAnsi="Times New Roman"/>
          <w:color w:val="000000" w:themeColor="text1"/>
          <w:sz w:val="16"/>
          <w:szCs w:val="16"/>
        </w:rPr>
        <w:softHyphen/>
        <w:t>вать «Виккерс 12-тонный» и танк Кристи (будущий БТ), а танкеткой назначили «Кар</w:t>
      </w:r>
      <w:r w:rsidRPr="00A259BD">
        <w:rPr>
          <w:rFonts w:ascii="Times New Roman" w:hAnsi="Times New Roman"/>
          <w:color w:val="000000" w:themeColor="text1"/>
          <w:sz w:val="16"/>
          <w:szCs w:val="16"/>
        </w:rPr>
        <w:softHyphen/>
        <w:t>ден-</w:t>
      </w:r>
      <w:proofErr w:type="spellStart"/>
      <w:r w:rsidRPr="00A259BD">
        <w:rPr>
          <w:rFonts w:ascii="Times New Roman" w:hAnsi="Times New Roman"/>
          <w:color w:val="000000" w:themeColor="text1"/>
          <w:sz w:val="16"/>
          <w:szCs w:val="16"/>
        </w:rPr>
        <w:t>Лойд</w:t>
      </w:r>
      <w:proofErr w:type="spellEnd"/>
      <w:r w:rsidRPr="00A259BD">
        <w:rPr>
          <w:rFonts w:ascii="Times New Roman" w:hAnsi="Times New Roman"/>
          <w:color w:val="000000" w:themeColor="text1"/>
          <w:sz w:val="16"/>
          <w:szCs w:val="16"/>
        </w:rPr>
        <w:t>» (Т-27), отказавшись от требова</w:t>
      </w:r>
      <w:r w:rsidRPr="00A259BD">
        <w:rPr>
          <w:rFonts w:ascii="Times New Roman" w:hAnsi="Times New Roman"/>
          <w:color w:val="000000" w:themeColor="text1"/>
          <w:sz w:val="16"/>
          <w:szCs w:val="16"/>
        </w:rPr>
        <w:softHyphen/>
        <w:t>ния колесно-гусеничного хода. Место «боль</w:t>
      </w:r>
      <w:r w:rsidRPr="00A259BD">
        <w:rPr>
          <w:rFonts w:ascii="Times New Roman" w:hAnsi="Times New Roman"/>
          <w:color w:val="000000" w:themeColor="text1"/>
          <w:sz w:val="16"/>
          <w:szCs w:val="16"/>
        </w:rPr>
        <w:softHyphen/>
        <w:t>шого танка» осталось вакантным - «этого типа танка нет даже в конструкции. Дано задание на разработку фирме «Виккерс». Окончательное соглашение с фирмой пока не достигнуто» (19859).</w:t>
      </w:r>
    </w:p>
    <w:p w14:paraId="572AC577" w14:textId="77777777" w:rsidR="004D0129" w:rsidRPr="00A259BD" w:rsidRDefault="004D0129" w:rsidP="009236E3">
      <w:pPr>
        <w:shd w:val="clear" w:color="auto" w:fill="FFFFFF"/>
        <w:spacing w:after="0" w:line="240" w:lineRule="auto"/>
        <w:jc w:val="both"/>
        <w:rPr>
          <w:rFonts w:ascii="Times New Roman" w:hAnsi="Times New Roman"/>
          <w:color w:val="000000" w:themeColor="text1"/>
          <w:sz w:val="16"/>
          <w:szCs w:val="16"/>
        </w:rPr>
      </w:pPr>
    </w:p>
    <w:p w14:paraId="1EE63F79" w14:textId="77777777" w:rsidR="004D0129" w:rsidRPr="00A259BD" w:rsidRDefault="004D012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1929 года было дано задание на разработку "специальной гусеницы" для Т-17. Речь шла о резинотканевой гусеничной ленте по типу движителя Адольфа </w:t>
      </w:r>
      <w:proofErr w:type="spellStart"/>
      <w:r w:rsidRPr="00A259BD">
        <w:rPr>
          <w:rFonts w:ascii="Times New Roman" w:hAnsi="Times New Roman"/>
          <w:color w:val="000000" w:themeColor="text1"/>
          <w:sz w:val="16"/>
          <w:szCs w:val="16"/>
        </w:rPr>
        <w:t>Кегресса</w:t>
      </w:r>
      <w:proofErr w:type="spellEnd"/>
      <w:r w:rsidRPr="00A259BD">
        <w:rPr>
          <w:rFonts w:ascii="Times New Roman" w:hAnsi="Times New Roman"/>
          <w:color w:val="000000" w:themeColor="text1"/>
          <w:sz w:val="16"/>
          <w:szCs w:val="16"/>
        </w:rPr>
        <w:t xml:space="preserve">. Это явно делалось под влиянием даже не французских, а немецких танков, но результаты оказались примерно такими же, как у "тракторов". Работы по этой теме шли почти 2 года и положительных результатов не дали. Поэтому больше резинотканевыми гусеничными лентами у нас не баловались (22298). </w:t>
      </w:r>
    </w:p>
    <w:p w14:paraId="021DC540" w14:textId="77777777" w:rsidR="004D0129" w:rsidRPr="00A259BD" w:rsidRDefault="004D0129" w:rsidP="009236E3">
      <w:pPr>
        <w:spacing w:after="0" w:line="240" w:lineRule="auto"/>
        <w:jc w:val="both"/>
        <w:rPr>
          <w:rFonts w:ascii="Times New Roman" w:hAnsi="Times New Roman"/>
          <w:color w:val="000000" w:themeColor="text1"/>
          <w:sz w:val="16"/>
          <w:szCs w:val="16"/>
        </w:rPr>
      </w:pPr>
    </w:p>
    <w:p w14:paraId="4B8EB7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1929 года, не дожидаясь результатов испытанной танка Т-12, конструкторский коллектив танкового отдела технической конторы ГХПЗ, и в первую очередь заведующий отделом И.Н. </w:t>
      </w:r>
      <w:proofErr w:type="spellStart"/>
      <w:r w:rsidRPr="00A259BD">
        <w:rPr>
          <w:rFonts w:ascii="Times New Roman" w:hAnsi="Times New Roman"/>
          <w:color w:val="000000" w:themeColor="text1"/>
          <w:sz w:val="16"/>
          <w:szCs w:val="16"/>
        </w:rPr>
        <w:t>Алексиенко</w:t>
      </w:r>
      <w:proofErr w:type="spellEnd"/>
      <w:r w:rsidRPr="00A259BD">
        <w:rPr>
          <w:rFonts w:ascii="Times New Roman" w:hAnsi="Times New Roman"/>
          <w:color w:val="000000" w:themeColor="text1"/>
          <w:sz w:val="16"/>
          <w:szCs w:val="16"/>
        </w:rPr>
        <w:t>, обратился к руководству Главного управления металлической промышленности с эскизным проектом нового, больше совершенного маневренного танка. Решение харьковских инженеров о создании нового маневренного танку было совсем не случайным. Учитывая неудачный опыт совместного из ГКБ ОАТ проектирования Т-12, когда проект танка был выполнен без учета возможностей завода-производителя, было принято решение о самостоятельном проектировании нового танка. Новый танк, сохраняя концепцию танка Т-12, должен был иметь более мощное вооружение, отечественный двигатель, надежную трансмиссию и усовершенствованную ходовую часть. В сущности, харьковские конструкторы отказались от доводки и модернизации Т-12, и, взяв его за основу, приступили к проектированию нового танка (10710).</w:t>
      </w:r>
    </w:p>
    <w:p w14:paraId="3D2DC8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7E3DF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конце 1929 года была закончена сборка Т-12 на ХПЗ. Через пару дней произошел первый торжественный выезд танка из цеха. Первый выход машины из цеха, по утверждению ветеранов завода был “не совсем удачным”, а некоторые говорили, что он был “совершенно не</w:t>
      </w:r>
      <w:r w:rsidRPr="00A259BD">
        <w:rPr>
          <w:rFonts w:ascii="Times New Roman" w:hAnsi="Times New Roman"/>
          <w:color w:val="000000" w:themeColor="text1"/>
          <w:sz w:val="16"/>
          <w:szCs w:val="16"/>
        </w:rPr>
        <w:softHyphen/>
        <w:t>удачным”, так как танком еще не научились управлять, не знали его “норова”.</w:t>
      </w:r>
    </w:p>
    <w:p w14:paraId="261B009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Во-первых, танк по сравнению с трактором “Коммунар”, был значи</w:t>
      </w:r>
      <w:r w:rsidRPr="00A259BD">
        <w:rPr>
          <w:rFonts w:ascii="Times New Roman" w:hAnsi="Times New Roman"/>
          <w:color w:val="000000" w:themeColor="text1"/>
          <w:sz w:val="16"/>
          <w:szCs w:val="16"/>
        </w:rPr>
        <w:softHyphen/>
        <w:t xml:space="preserve">тельно </w:t>
      </w:r>
      <w:proofErr w:type="spellStart"/>
      <w:r w:rsidRPr="00A259BD">
        <w:rPr>
          <w:rFonts w:ascii="Times New Roman" w:hAnsi="Times New Roman"/>
          <w:color w:val="000000" w:themeColor="text1"/>
          <w:sz w:val="16"/>
          <w:szCs w:val="16"/>
        </w:rPr>
        <w:t>быстроходнее</w:t>
      </w:r>
      <w:proofErr w:type="spellEnd"/>
      <w:r w:rsidRPr="00A259BD">
        <w:rPr>
          <w:rFonts w:ascii="Times New Roman" w:hAnsi="Times New Roman"/>
          <w:color w:val="000000" w:themeColor="text1"/>
          <w:sz w:val="16"/>
          <w:szCs w:val="16"/>
        </w:rPr>
        <w:t>. Поэтому многим, кто присутствовал при выезде танка, показалось, что он “сорвался с места и понесся”.</w:t>
      </w:r>
    </w:p>
    <w:p w14:paraId="74F3A4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Во-вторых, сразу же за цехом, из-за поломки в системе поворота и торможения, машина потеряла управление и понеслась, не подчиняясь воле водителя, сломала ворота, разнесла все, что попадалось на пути за воротами завода и остановилась далеко в поле, когда заглох мотор (11504).</w:t>
      </w:r>
    </w:p>
    <w:p w14:paraId="42076DC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0A27A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г. на заседании коллегии ГУВП под предсе</w:t>
      </w:r>
      <w:r w:rsidRPr="00A259BD">
        <w:rPr>
          <w:rFonts w:ascii="Times New Roman" w:hAnsi="Times New Roman"/>
          <w:color w:val="000000" w:themeColor="text1"/>
          <w:sz w:val="16"/>
          <w:szCs w:val="16"/>
        </w:rPr>
        <w:softHyphen/>
        <w:t xml:space="preserve">дательством Г. Орджоникидзе был заслушан доклад И. </w:t>
      </w:r>
      <w:proofErr w:type="spellStart"/>
      <w:r w:rsidRPr="00A259BD">
        <w:rPr>
          <w:rFonts w:ascii="Times New Roman" w:hAnsi="Times New Roman"/>
          <w:color w:val="000000" w:themeColor="text1"/>
          <w:sz w:val="16"/>
          <w:szCs w:val="16"/>
        </w:rPr>
        <w:t>Халепского</w:t>
      </w:r>
      <w:proofErr w:type="spellEnd"/>
      <w:r w:rsidRPr="00A259BD">
        <w:rPr>
          <w:rFonts w:ascii="Times New Roman" w:hAnsi="Times New Roman"/>
          <w:color w:val="000000" w:themeColor="text1"/>
          <w:sz w:val="16"/>
          <w:szCs w:val="16"/>
        </w:rPr>
        <w:t>, в котором докладчик произвел сравнение характе</w:t>
      </w:r>
      <w:r w:rsidRPr="00A259BD">
        <w:rPr>
          <w:rFonts w:ascii="Times New Roman" w:hAnsi="Times New Roman"/>
          <w:color w:val="000000" w:themeColor="text1"/>
          <w:sz w:val="16"/>
          <w:szCs w:val="16"/>
        </w:rPr>
        <w:softHyphen/>
        <w:t>ристик танков отечественной разработки с таковыми у пере</w:t>
      </w:r>
      <w:r w:rsidRPr="00A259BD">
        <w:rPr>
          <w:rFonts w:ascii="Times New Roman" w:hAnsi="Times New Roman"/>
          <w:color w:val="000000" w:themeColor="text1"/>
          <w:sz w:val="16"/>
          <w:szCs w:val="16"/>
        </w:rPr>
        <w:softHyphen/>
        <w:t>довых иностранных государств. Там же С. Гинзбург доложил о состоянии дел по проектированию танка сопровождения, танкетки и маневренного танка. Итогом коллегии стал вывод о том, что срок разработки всех отечественных танков не вы</w:t>
      </w:r>
      <w:r w:rsidRPr="00A259BD">
        <w:rPr>
          <w:rFonts w:ascii="Times New Roman" w:hAnsi="Times New Roman"/>
          <w:color w:val="000000" w:themeColor="text1"/>
          <w:sz w:val="16"/>
          <w:szCs w:val="16"/>
        </w:rPr>
        <w:softHyphen/>
        <w:t>держан, их ТТХ не соответствуют заданным, а по исполне</w:t>
      </w:r>
      <w:r w:rsidRPr="00A259BD">
        <w:rPr>
          <w:rFonts w:ascii="Times New Roman" w:hAnsi="Times New Roman"/>
          <w:color w:val="000000" w:themeColor="text1"/>
          <w:sz w:val="16"/>
          <w:szCs w:val="16"/>
        </w:rPr>
        <w:softHyphen/>
        <w:t>нию рассмотренные танки не могут выпускаться серийно, так как наши танковые конструкторы не имеют нужного опыта, а отечественная тяжелая промышленность испытыва</w:t>
      </w:r>
      <w:r w:rsidRPr="00A259BD">
        <w:rPr>
          <w:rFonts w:ascii="Times New Roman" w:hAnsi="Times New Roman"/>
          <w:color w:val="000000" w:themeColor="text1"/>
          <w:sz w:val="16"/>
          <w:szCs w:val="16"/>
        </w:rPr>
        <w:softHyphen/>
        <w:t>ет острый дефицит кадров, станочного парка и инструмента (10733,120).</w:t>
      </w:r>
    </w:p>
    <w:p w14:paraId="4AA027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21FB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начались работы над танком сопровождения Т-20 (Т-18 улучшенный) (4243,13).</w:t>
      </w:r>
    </w:p>
    <w:p w14:paraId="1BAC80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3D321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концу 1929 г. несмотря на трудности и отсутствие опыта на ХПЗ было закончено изготовление образца танка Т-12 (9154).</w:t>
      </w:r>
    </w:p>
    <w:p w14:paraId="15C1EB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B7B6F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г. начались работы над модернизированным танком сопро</w:t>
      </w:r>
      <w:r w:rsidRPr="00A259BD">
        <w:rPr>
          <w:rFonts w:ascii="Times New Roman" w:hAnsi="Times New Roman"/>
          <w:color w:val="000000" w:themeColor="text1"/>
          <w:sz w:val="16"/>
          <w:szCs w:val="16"/>
        </w:rPr>
        <w:softHyphen/>
        <w:t>вождения Т-20 (Т-18 улучшенный). В новой машине предусматривалось провести следую</w:t>
      </w:r>
      <w:r w:rsidRPr="00A259BD">
        <w:rPr>
          <w:rFonts w:ascii="Times New Roman" w:hAnsi="Times New Roman"/>
          <w:color w:val="000000" w:themeColor="text1"/>
          <w:sz w:val="16"/>
          <w:szCs w:val="16"/>
        </w:rPr>
        <w:softHyphen/>
        <w:t>щие доработки:</w:t>
      </w:r>
    </w:p>
    <w:p w14:paraId="597F62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увеличить мощность двигателя до 60 л.с.;</w:t>
      </w:r>
    </w:p>
    <w:p w14:paraId="06F593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по возможности улучшить пушечное вооружение;</w:t>
      </w:r>
    </w:p>
    <w:p w14:paraId="1634A0C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увеличить боекомплект пулемета;</w:t>
      </w:r>
    </w:p>
    <w:p w14:paraId="7C08C2B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увеличить емкость топливного бака со 110 до 160 л;</w:t>
      </w:r>
    </w:p>
    <w:p w14:paraId="7721D65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снизить вес пустого танка (для чего допускалось уменьшение толщины броневой защиты до 15—7 мм);</w:t>
      </w:r>
    </w:p>
    <w:p w14:paraId="6827CF5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унифицировать катки танка с катками Т-19;</w:t>
      </w:r>
    </w:p>
    <w:p w14:paraId="5A4A4EC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упростить процесс управления танком;</w:t>
      </w:r>
    </w:p>
    <w:p w14:paraId="6FBD83D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уменьшить число импортных деталей (10733,95).</w:t>
      </w:r>
    </w:p>
    <w:p w14:paraId="5477642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4A54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1929 г. в УММ РККА немецкой стороной были переданы: 1) полное описание большого танка фирмы “Даймлер” под обозначением “Д-1”; 2) полное описание большого танка фирмы “Крупп” с полным набором чертежей под обозначением “К и К </w:t>
      </w:r>
      <w:proofErr w:type="spellStart"/>
      <w:r w:rsidRPr="00A259BD">
        <w:rPr>
          <w:rFonts w:ascii="Times New Roman" w:hAnsi="Times New Roman"/>
          <w:color w:val="000000" w:themeColor="text1"/>
          <w:sz w:val="16"/>
          <w:szCs w:val="16"/>
        </w:rPr>
        <w:t>Анлаген</w:t>
      </w:r>
      <w:proofErr w:type="spellEnd"/>
      <w:r w:rsidRPr="00A259BD">
        <w:rPr>
          <w:rFonts w:ascii="Times New Roman" w:hAnsi="Times New Roman"/>
          <w:color w:val="000000" w:themeColor="text1"/>
          <w:sz w:val="16"/>
          <w:szCs w:val="16"/>
        </w:rPr>
        <w:t>”; 3) полное описание большого танка фирмы “</w:t>
      </w:r>
      <w:proofErr w:type="spellStart"/>
      <w:r w:rsidRPr="00A259BD">
        <w:rPr>
          <w:rFonts w:ascii="Times New Roman" w:hAnsi="Times New Roman"/>
          <w:color w:val="000000" w:themeColor="text1"/>
          <w:sz w:val="16"/>
          <w:szCs w:val="16"/>
        </w:rPr>
        <w:t>Рейнметалл</w:t>
      </w:r>
      <w:proofErr w:type="spellEnd"/>
      <w:r w:rsidRPr="00A259BD">
        <w:rPr>
          <w:rFonts w:ascii="Times New Roman" w:hAnsi="Times New Roman"/>
          <w:color w:val="000000" w:themeColor="text1"/>
          <w:sz w:val="16"/>
          <w:szCs w:val="16"/>
        </w:rPr>
        <w:t>” под обозначением “4” [ЦГАСА, ф. 31811, оп. 1, д. 331, л. 32]. Для проработки полученных чертежей в декабре 1929 г. была сформирована группа инженеров из ряда КБ и оборонных заводов; в частности, от завода “Большевик” в эту группу входил С. А. Гинзбург. 20 января 1930 г. председателю правления ОАТ и директору завода “Большевик” УММ было разрешено снять копии с чертежей для их дальнейшего возможного использования в конструкторской работе. Копирование производилось тайно, об этом знал очень ограниченный круг людей. При копировании необходимо было выполнить ряд условий: — на копиях не должно было оставаться никаких следов их немецкого происхождения, а также следов снятия копий; — на каждой копии должна была стоять шифрованная надпись, например, “Трансмиссия мотовоза инженера Казанцева” и т. п. [ЦГАСА, ф. 31811, оп. 1, д. 331, л. 17—19]. Советско-германское сотрудничество осуществлялось и в сфере военной индустрии. Например, концерн Крупна помог наладить в Советском Союзе производство специальных марок стали. Однако отношения между двумя странами, равно как и между военными специалистами, развивались сложно, постепенно росло взаимное отчуждение. Приход Гитлера к власти усугубил ситуацию (11250).</w:t>
      </w:r>
    </w:p>
    <w:p w14:paraId="559405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A95681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года после сформирования управления механизации и моторизации (УММ) РККА все работы по разведывательным легковым автомобилям перешли к не</w:t>
      </w:r>
      <w:r w:rsidRPr="00A259BD">
        <w:rPr>
          <w:rFonts w:ascii="Times New Roman" w:hAnsi="Times New Roman"/>
          <w:color w:val="000000" w:themeColor="text1"/>
          <w:sz w:val="16"/>
          <w:szCs w:val="16"/>
        </w:rPr>
        <w:softHyphen/>
        <w:t>му. После рассмотрения результатов испытаний воору</w:t>
      </w:r>
      <w:r w:rsidRPr="00A259BD">
        <w:rPr>
          <w:rFonts w:ascii="Times New Roman" w:hAnsi="Times New Roman"/>
          <w:color w:val="000000" w:themeColor="text1"/>
          <w:sz w:val="16"/>
          <w:szCs w:val="16"/>
        </w:rPr>
        <w:softHyphen/>
        <w:t>женных легковых машин, в январе 1930 года, научно-тех</w:t>
      </w:r>
      <w:r w:rsidRPr="00A259BD">
        <w:rPr>
          <w:rFonts w:ascii="Times New Roman" w:hAnsi="Times New Roman"/>
          <w:color w:val="000000" w:themeColor="text1"/>
          <w:sz w:val="16"/>
          <w:szCs w:val="16"/>
        </w:rPr>
        <w:softHyphen/>
        <w:t>нический комитет (НТК) УММ принял решение отказать</w:t>
      </w:r>
      <w:r w:rsidRPr="00A259BD">
        <w:rPr>
          <w:rFonts w:ascii="Times New Roman" w:hAnsi="Times New Roman"/>
          <w:color w:val="000000" w:themeColor="text1"/>
          <w:sz w:val="16"/>
          <w:szCs w:val="16"/>
        </w:rPr>
        <w:softHyphen/>
        <w:t xml:space="preserve">ся от использования НАГИ-1 и продолжить работы только по “фордам”. В своем письме, направленном начальнику </w:t>
      </w:r>
      <w:proofErr w:type="spellStart"/>
      <w:r w:rsidRPr="00A259BD">
        <w:rPr>
          <w:rFonts w:ascii="Times New Roman" w:hAnsi="Times New Roman"/>
          <w:color w:val="000000" w:themeColor="text1"/>
          <w:sz w:val="16"/>
          <w:szCs w:val="16"/>
        </w:rPr>
        <w:t>НИОПа</w:t>
      </w:r>
      <w:proofErr w:type="spellEnd"/>
      <w:r w:rsidRPr="00A259BD">
        <w:rPr>
          <w:rFonts w:ascii="Times New Roman" w:hAnsi="Times New Roman"/>
          <w:color w:val="000000" w:themeColor="text1"/>
          <w:sz w:val="16"/>
          <w:szCs w:val="16"/>
        </w:rPr>
        <w:t xml:space="preserve"> председателем 2-й секции НТК УММ РККА Сви</w:t>
      </w:r>
      <w:r w:rsidRPr="00A259BD">
        <w:rPr>
          <w:rFonts w:ascii="Times New Roman" w:hAnsi="Times New Roman"/>
          <w:color w:val="000000" w:themeColor="text1"/>
          <w:sz w:val="16"/>
          <w:szCs w:val="16"/>
        </w:rPr>
        <w:softHyphen/>
        <w:t>ридовым, говорилось:</w:t>
      </w:r>
    </w:p>
    <w:p w14:paraId="40C6B4B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“...установки пулемета на автомобиле “Форд-А” будут перерабатываться. На заседании 6 секции артиллерийского управления Вам поручена доработка этой конструкции. По системе вооружения эта машина с пулеметной установ</w:t>
      </w:r>
      <w:r w:rsidRPr="00A259BD">
        <w:rPr>
          <w:rFonts w:ascii="Times New Roman" w:hAnsi="Times New Roman"/>
          <w:color w:val="000000" w:themeColor="text1"/>
          <w:sz w:val="16"/>
          <w:szCs w:val="16"/>
        </w:rPr>
        <w:softHyphen/>
        <w:t>кой должна иметь броневой щит вместо ветрового стекла. Толщина броневого щита 7 мм, высота должна быть такова, чтобы обеспечить поверх щита обзор местности стрелку и водителю. Кроме того, наблюдение должно быть обеспе</w:t>
      </w:r>
      <w:r w:rsidRPr="00A259BD">
        <w:rPr>
          <w:rFonts w:ascii="Times New Roman" w:hAnsi="Times New Roman"/>
          <w:color w:val="000000" w:themeColor="text1"/>
          <w:sz w:val="16"/>
          <w:szCs w:val="16"/>
        </w:rPr>
        <w:softHyphen/>
        <w:t>чено и через окна в броневом щите. Заказ на броневой щит предполагается передать Ижорскому заводу” (11284).</w:t>
      </w:r>
    </w:p>
    <w:p w14:paraId="2210789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EF59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 начале 1930 г. СССР закупил за границей, в основном в США, рекордное количество тракторов — более 20 000; крупнейшим американским поставщиком стала именно Интернэшнл Харвестер. Она заключила с Советским Союзом договор об оказании технической помощи и участвовала в проектировании Сталинградского тракторного завода. Главным консультантом его постройки был знаменитый американский архитектор Альберт Кан, возводивший заводы Форда и ряда других крупных компаний, а впоследствии ставший самым авторитетным зарубежным специалистом в СССР в области промышленного строительства.</w:t>
      </w:r>
    </w:p>
    <w:p w14:paraId="35468E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Генри Форд рекомендовал Кана руководству Амторга, рассчитывая, что его компания, упустившая из рук тракторный бизнес в СССР, также будет приглашена участвовать в столь грандиозном проекте. В мае 1929 г. Форд просил Кана передать русским, что готов помочь им в развертывании производства тракторов всем чем может. </w:t>
      </w:r>
    </w:p>
    <w:p w14:paraId="6ECC1D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Индустриализация России выгодна Форд Мотор, подчеркнул глава компании, поскольку создает высокий спрос на всевозможные поставки. Передавая эти слова босса руководителю британского отделения компании, в ведении которого был тракторный завод в Корке, </w:t>
      </w:r>
      <w:proofErr w:type="spellStart"/>
      <w:r w:rsidRPr="00A259BD">
        <w:rPr>
          <w:rFonts w:ascii="Times New Roman" w:hAnsi="Times New Roman"/>
          <w:color w:val="000000" w:themeColor="text1"/>
          <w:sz w:val="16"/>
          <w:szCs w:val="16"/>
        </w:rPr>
        <w:t>Ч.Соренсен</w:t>
      </w:r>
      <w:proofErr w:type="spellEnd"/>
      <w:r w:rsidRPr="00A259BD">
        <w:rPr>
          <w:rFonts w:ascii="Times New Roman" w:hAnsi="Times New Roman"/>
          <w:color w:val="000000" w:themeColor="text1"/>
          <w:sz w:val="16"/>
          <w:szCs w:val="16"/>
        </w:rPr>
        <w:t xml:space="preserve"> предложил тому оказать всемерное содействие русским.</w:t>
      </w:r>
    </w:p>
    <w:p w14:paraId="279728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Сотрудничество с Фордом в области закупки тракторов так и не наладилось, ибо советские заказчики продолжали требовать поставок в кредит, на что компания больше не соглашалась, хотя и старалась скрупулезно выполнять все взятые на себя обязательства. Зато Генри Форд буквально покорил умы и сердца россиян, став лет на десять их кумиром.</w:t>
      </w:r>
    </w:p>
    <w:p w14:paraId="6CEF30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Хотя социально-культурная основа восприятия образа Форда в СССР и США была разной, в обоих случаях речь шла о заметном феномене массовой культуры. В Советском Союзе Форда-капиталиста затмил Форд — индустриальный гений, организатор-практик, человек действия, у которого необходимо было научиться самым передовым приемам производства, чтобы, соединив их с “преимуществами системы социализма”, подняться выше капитализма, победить его. </w:t>
      </w:r>
    </w:p>
    <w:p w14:paraId="2F1C13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Наряду с индустриализацией и электрификацией в обиход вошли новые модные слова — фордизм и </w:t>
      </w:r>
      <w:proofErr w:type="spellStart"/>
      <w:r w:rsidRPr="00A259BD">
        <w:rPr>
          <w:rFonts w:ascii="Times New Roman" w:hAnsi="Times New Roman"/>
          <w:color w:val="000000" w:themeColor="text1"/>
          <w:sz w:val="16"/>
          <w:szCs w:val="16"/>
        </w:rPr>
        <w:t>фордизация</w:t>
      </w:r>
      <w:proofErr w:type="spellEnd"/>
    </w:p>
    <w:p w14:paraId="632990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Под </w:t>
      </w:r>
      <w:proofErr w:type="spellStart"/>
      <w:r w:rsidRPr="00A259BD">
        <w:rPr>
          <w:rFonts w:ascii="Times New Roman" w:hAnsi="Times New Roman"/>
          <w:color w:val="000000" w:themeColor="text1"/>
          <w:sz w:val="16"/>
          <w:szCs w:val="16"/>
        </w:rPr>
        <w:t>фордизацией</w:t>
      </w:r>
      <w:proofErr w:type="spellEnd"/>
      <w:r w:rsidRPr="00A259BD">
        <w:rPr>
          <w:rFonts w:ascii="Times New Roman" w:hAnsi="Times New Roman"/>
          <w:color w:val="000000" w:themeColor="text1"/>
          <w:sz w:val="16"/>
          <w:szCs w:val="16"/>
        </w:rPr>
        <w:t xml:space="preserve"> понималось не только создание современной автомобильной и тракторной промышленности, но и борьба за технический прогресс во всем народном хозяйстве, полный разрыв с работой по старинке. О дореволюционном техническом и организаторском опыте вовсе не вспоминали, а западноевропейский казался недостаточным для такой огромной страны, как СССР; размах же массового производства в США завораживал массовое сознание.</w:t>
      </w:r>
    </w:p>
    <w:p w14:paraId="4C8A31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Выпускалось множество брошюр и статей, в которых доказывалась необходимость автомобилизации страны. Приводились данные о вопиющем отставании СССР по числу автомашин даже от Индии и Китая. Говорилось и о том, что советские рабочие и крестьяне могут и должны пользоваться личными и кооперативными автомобилями, а в Европе и Америке есть не только дорогие “буржуазные”, но и дешевые “народные” машины. Отмечалось, что автомобиль сделал дороги, а не дороги — автомобиль26. </w:t>
      </w:r>
    </w:p>
    <w:p w14:paraId="6C951A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Задорные лозунги Остапа Бендера “Автомобиль не роскошь, а средство передвижения” или “Автопробегом — по бездорожью и разгильдяйству” полностью отвечали духу времени.</w:t>
      </w:r>
    </w:p>
    <w:p w14:paraId="2F20A6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Принципы Форда легко воспринимались советской массовой культурой, чему немало способствовали американские средства пропаганды — документальные фильмы, красочные плакаты, демонстрация техники — не в виде застывших экспонатов, а в действии, на доступных для широкого обозрения площадках (11506).</w:t>
      </w:r>
    </w:p>
    <w:p w14:paraId="129E1C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6AFF130" w14:textId="77777777" w:rsidR="006747D2" w:rsidRPr="00A259BD" w:rsidRDefault="006747D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концу 1929 года работа по разработке проекта «железнодорожной бронированной </w:t>
      </w:r>
      <w:proofErr w:type="spellStart"/>
      <w:r w:rsidRPr="00A259BD">
        <w:rPr>
          <w:rFonts w:ascii="Times New Roman" w:hAnsi="Times New Roman"/>
          <w:color w:val="000000" w:themeColor="text1"/>
          <w:sz w:val="16"/>
          <w:szCs w:val="16"/>
        </w:rPr>
        <w:t>автомотрисы»была</w:t>
      </w:r>
      <w:proofErr w:type="spellEnd"/>
      <w:r w:rsidRPr="00A259BD">
        <w:rPr>
          <w:rFonts w:ascii="Times New Roman" w:hAnsi="Times New Roman"/>
          <w:color w:val="000000" w:themeColor="text1"/>
          <w:sz w:val="16"/>
          <w:szCs w:val="16"/>
        </w:rPr>
        <w:t xml:space="preserve"> выполнена. В январе 1930 года по разработанному </w:t>
      </w:r>
      <w:proofErr w:type="spellStart"/>
      <w:r w:rsidRPr="00A259BD">
        <w:rPr>
          <w:rFonts w:ascii="Times New Roman" w:hAnsi="Times New Roman"/>
          <w:color w:val="000000" w:themeColor="text1"/>
          <w:sz w:val="16"/>
          <w:szCs w:val="16"/>
        </w:rPr>
        <w:t>Дыренковым</w:t>
      </w:r>
      <w:proofErr w:type="spellEnd"/>
      <w:r w:rsidRPr="00A259BD">
        <w:rPr>
          <w:rFonts w:ascii="Times New Roman" w:hAnsi="Times New Roman"/>
          <w:color w:val="000000" w:themeColor="text1"/>
          <w:sz w:val="16"/>
          <w:szCs w:val="16"/>
        </w:rPr>
        <w:t xml:space="preserve"> проекту на Ижорском заводе собрали первый опытный образец </w:t>
      </w:r>
      <w:proofErr w:type="spellStart"/>
      <w:r w:rsidRPr="00A259BD">
        <w:rPr>
          <w:rFonts w:ascii="Times New Roman" w:hAnsi="Times New Roman"/>
          <w:color w:val="000000" w:themeColor="text1"/>
          <w:sz w:val="16"/>
          <w:szCs w:val="16"/>
        </w:rPr>
        <w:t>мотоброневагона</w:t>
      </w:r>
      <w:proofErr w:type="spellEnd"/>
      <w:r w:rsidRPr="00A259BD">
        <w:rPr>
          <w:rFonts w:ascii="Times New Roman" w:hAnsi="Times New Roman"/>
          <w:color w:val="000000" w:themeColor="text1"/>
          <w:sz w:val="16"/>
          <w:szCs w:val="16"/>
        </w:rPr>
        <w:t>, который прошел краткие испытания в окрестностях Ленинграда.</w:t>
      </w:r>
    </w:p>
    <w:p w14:paraId="36C4A205" w14:textId="77777777" w:rsidR="006747D2" w:rsidRPr="00A259BD" w:rsidRDefault="006747D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Корпус машины собирался на заклепках из 10-16 мм брони и имел четыре двери в бортах для посадки экипажа и шесть люков для наблюдения при движении. В центре, на крыше корпуса, устанавливалась башня </w:t>
      </w:r>
      <w:hyperlink r:id="rId341"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 xml:space="preserve">а МС-1 со штатным вооружением, откидной колпак которой заменили на командирскую башенку со смотровыми щелями. При помощи угольников корпус </w:t>
      </w:r>
      <w:proofErr w:type="spellStart"/>
      <w:r w:rsidRPr="00A259BD">
        <w:rPr>
          <w:rFonts w:ascii="Times New Roman" w:hAnsi="Times New Roman"/>
          <w:color w:val="000000" w:themeColor="text1"/>
          <w:sz w:val="16"/>
          <w:szCs w:val="16"/>
        </w:rPr>
        <w:t>мотоброневагона</w:t>
      </w:r>
      <w:proofErr w:type="spellEnd"/>
      <w:r w:rsidRPr="00A259BD">
        <w:rPr>
          <w:rFonts w:ascii="Times New Roman" w:hAnsi="Times New Roman"/>
          <w:color w:val="000000" w:themeColor="text1"/>
          <w:sz w:val="16"/>
          <w:szCs w:val="16"/>
        </w:rPr>
        <w:t xml:space="preserve"> крепился к раме собранной из листового и профильного железа. В центре рамы размещался автомобильный двигатель «Геркулес» YXC мощностью 93 л.с. (довольно большое количество таких моторов было закуплено в США и использовалось на грузовиках Ярославского автозавода) и червячно-шестеренчатая коробка перемены передач конструкции </w:t>
      </w:r>
      <w:proofErr w:type="spellStart"/>
      <w:r w:rsidRPr="00A259BD">
        <w:rPr>
          <w:rFonts w:ascii="Times New Roman" w:hAnsi="Times New Roman"/>
          <w:color w:val="000000" w:themeColor="text1"/>
          <w:sz w:val="16"/>
          <w:szCs w:val="16"/>
        </w:rPr>
        <w:t>Дыренкова</w:t>
      </w:r>
      <w:proofErr w:type="spellEnd"/>
      <w:r w:rsidRPr="00A259BD">
        <w:rPr>
          <w:rFonts w:ascii="Times New Roman" w:hAnsi="Times New Roman"/>
          <w:color w:val="000000" w:themeColor="text1"/>
          <w:sz w:val="16"/>
          <w:szCs w:val="16"/>
        </w:rPr>
        <w:t xml:space="preserve"> (впоследствии получила обозначение Д-35). Последняя оборудовалась реверсом и обеспечивала 4 скорости при движении вагона вперед или назад. В ходовой части использовались две типовых колесных пары от железнодорожных вагонов, при этом одна пара являлась ведущей. Вооружение </w:t>
      </w:r>
      <w:proofErr w:type="spellStart"/>
      <w:r w:rsidRPr="00A259BD">
        <w:rPr>
          <w:rFonts w:ascii="Times New Roman" w:hAnsi="Times New Roman"/>
          <w:color w:val="000000" w:themeColor="text1"/>
          <w:sz w:val="16"/>
          <w:szCs w:val="16"/>
        </w:rPr>
        <w:t>мотоброневагона</w:t>
      </w:r>
      <w:proofErr w:type="spellEnd"/>
      <w:r w:rsidRPr="00A259BD">
        <w:rPr>
          <w:rFonts w:ascii="Times New Roman" w:hAnsi="Times New Roman"/>
          <w:color w:val="000000" w:themeColor="text1"/>
          <w:sz w:val="16"/>
          <w:szCs w:val="16"/>
        </w:rPr>
        <w:t xml:space="preserve"> состояло из двух пулеметов Максима в торцевых листах корпуса, двух пулеметов ДТ в бортах, 37-мм пушки </w:t>
      </w:r>
      <w:proofErr w:type="spellStart"/>
      <w:r w:rsidRPr="00A259BD">
        <w:rPr>
          <w:rFonts w:ascii="Times New Roman" w:hAnsi="Times New Roman"/>
          <w:color w:val="000000" w:themeColor="text1"/>
          <w:sz w:val="16"/>
          <w:szCs w:val="16"/>
        </w:rPr>
        <w:t>Гочкиса</w:t>
      </w:r>
      <w:proofErr w:type="spellEnd"/>
      <w:r w:rsidRPr="00A259BD">
        <w:rPr>
          <w:rFonts w:ascii="Times New Roman" w:hAnsi="Times New Roman"/>
          <w:color w:val="000000" w:themeColor="text1"/>
          <w:sz w:val="16"/>
          <w:szCs w:val="16"/>
        </w:rPr>
        <w:t xml:space="preserve"> и одного ДТ в башне.</w:t>
      </w:r>
    </w:p>
    <w:p w14:paraId="30885CA7" w14:textId="77777777" w:rsidR="006747D2" w:rsidRPr="00A259BD" w:rsidRDefault="006747D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Экипаж машины состоял из 11 человек - командира, водителя, двух командиров отделений пулеметчиков, одного артиллериста и шести пулеметчиков.</w:t>
      </w:r>
    </w:p>
    <w:p w14:paraId="7A574D67" w14:textId="77777777" w:rsidR="006747D2" w:rsidRPr="00A259BD" w:rsidRDefault="006747D2"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Результаты первых же испытаний наряду с хорошими результатами выявили и целый ряд недостатков в конструкции опытного образца </w:t>
      </w:r>
      <w:proofErr w:type="spellStart"/>
      <w:r w:rsidRPr="00A259BD">
        <w:rPr>
          <w:rFonts w:ascii="Times New Roman" w:hAnsi="Times New Roman"/>
          <w:color w:val="000000" w:themeColor="text1"/>
          <w:sz w:val="16"/>
          <w:szCs w:val="16"/>
        </w:rPr>
        <w:t>мотоброневагона</w:t>
      </w:r>
      <w:proofErr w:type="spellEnd"/>
      <w:r w:rsidRPr="00A259BD">
        <w:rPr>
          <w:rFonts w:ascii="Times New Roman" w:hAnsi="Times New Roman"/>
          <w:color w:val="000000" w:themeColor="text1"/>
          <w:sz w:val="16"/>
          <w:szCs w:val="16"/>
        </w:rPr>
        <w:t xml:space="preserve">, требовавших его дальнейшей доработки. Но так как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xml:space="preserve"> был занят проектированием и изготовлением среднего </w:t>
      </w:r>
      <w:hyperlink r:id="rId342" w:tgtFrame="_blank" w:history="1">
        <w:r w:rsidRPr="00A259BD">
          <w:rPr>
            <w:rFonts w:ascii="Times New Roman" w:hAnsi="Times New Roman"/>
            <w:color w:val="000000" w:themeColor="text1"/>
            <w:sz w:val="16"/>
            <w:szCs w:val="16"/>
          </w:rPr>
          <w:t>танк</w:t>
        </w:r>
      </w:hyperlink>
      <w:r w:rsidRPr="00A259BD">
        <w:rPr>
          <w:rFonts w:ascii="Times New Roman" w:hAnsi="Times New Roman"/>
          <w:color w:val="000000" w:themeColor="text1"/>
          <w:sz w:val="16"/>
          <w:szCs w:val="16"/>
        </w:rPr>
        <w:t>а своей конструкции, работы по броневагону затянулись. Тем не менее, проектом бронированной автомотрисы заинтересовались и военные (15624).</w:t>
      </w:r>
    </w:p>
    <w:p w14:paraId="0241675A" w14:textId="77777777" w:rsidR="006747D2" w:rsidRPr="00A259BD" w:rsidRDefault="006747D2" w:rsidP="009236E3">
      <w:pPr>
        <w:spacing w:after="0" w:line="240" w:lineRule="auto"/>
        <w:jc w:val="both"/>
        <w:rPr>
          <w:rFonts w:ascii="Times New Roman" w:hAnsi="Times New Roman"/>
          <w:color w:val="000000" w:themeColor="text1"/>
          <w:sz w:val="16"/>
          <w:szCs w:val="16"/>
        </w:rPr>
      </w:pPr>
    </w:p>
    <w:p w14:paraId="22268FC9" w14:textId="77777777" w:rsidR="00F1356E" w:rsidRPr="00A259BD" w:rsidRDefault="00F1356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1929 года на Калужском машиностроительном заводе НКПС (бывшие Главные мастерские </w:t>
      </w:r>
      <w:proofErr w:type="spellStart"/>
      <w:r w:rsidRPr="00A259BD">
        <w:rPr>
          <w:rFonts w:ascii="Times New Roman" w:hAnsi="Times New Roman"/>
          <w:color w:val="000000" w:themeColor="text1"/>
          <w:sz w:val="16"/>
          <w:szCs w:val="16"/>
        </w:rPr>
        <w:t>Сызрано</w:t>
      </w:r>
      <w:proofErr w:type="spellEnd"/>
      <w:r w:rsidRPr="00A259BD">
        <w:rPr>
          <w:rFonts w:ascii="Times New Roman" w:hAnsi="Times New Roman"/>
          <w:color w:val="000000" w:themeColor="text1"/>
          <w:sz w:val="16"/>
          <w:szCs w:val="16"/>
        </w:rPr>
        <w:t xml:space="preserve">-Вяземской железной дороги) началось серийное производство моторных дрезин </w:t>
      </w:r>
      <w:proofErr w:type="spellStart"/>
      <w:r w:rsidRPr="00A259BD">
        <w:rPr>
          <w:rFonts w:ascii="Times New Roman" w:hAnsi="Times New Roman"/>
          <w:color w:val="000000" w:themeColor="text1"/>
          <w:sz w:val="16"/>
          <w:szCs w:val="16"/>
        </w:rPr>
        <w:t>Уа</w:t>
      </w:r>
      <w:proofErr w:type="spellEnd"/>
      <w:r w:rsidRPr="00A259BD">
        <w:rPr>
          <w:rFonts w:ascii="Times New Roman" w:hAnsi="Times New Roman"/>
          <w:color w:val="000000" w:themeColor="text1"/>
          <w:sz w:val="16"/>
          <w:szCs w:val="16"/>
        </w:rPr>
        <w:t xml:space="preserve"> (участковая автодрезина). Они предназначались для инспекторских поездок руководства, для перевозки небольшого числа пассажиров или ремонтных рабочих. </w:t>
      </w:r>
      <w:proofErr w:type="spellStart"/>
      <w:r w:rsidRPr="00A259BD">
        <w:rPr>
          <w:rFonts w:ascii="Times New Roman" w:hAnsi="Times New Roman"/>
          <w:color w:val="000000" w:themeColor="text1"/>
          <w:sz w:val="16"/>
          <w:szCs w:val="16"/>
        </w:rPr>
        <w:t>Уа</w:t>
      </w:r>
      <w:proofErr w:type="spellEnd"/>
      <w:r w:rsidRPr="00A259BD">
        <w:rPr>
          <w:rFonts w:ascii="Times New Roman" w:hAnsi="Times New Roman"/>
          <w:color w:val="000000" w:themeColor="text1"/>
          <w:sz w:val="16"/>
          <w:szCs w:val="16"/>
        </w:rPr>
        <w:t xml:space="preserve"> имела сваренную из швеллеров раму, в центре которой крепился автомобильный двигатель «Форд АА» мощностью 40 л.с. (позже ГАЗ-АА, а на некоторых устанавливали тракторные двигатели ХТЗ), коробка перемены передач и реверсная муфта. На выходном валу последней имелась двухрядная звездочка, которая при помощи двух цепей Галя передавала вращение на обе оси дрезины. Дрезина имела ручной тормоз и электрическое освещение. У-оборудовалась закрытым деревянным кузовом, вмещавшим 10 человек (включая водителя). Всего с 1930 по 1939 год Калужский машиностроительный завод НКПС изготовил 957 моторных дрезин у-, причем небольшое их количество было выполнено для узкой колеи 750 мм. </w:t>
      </w:r>
    </w:p>
    <w:p w14:paraId="3C66CC51" w14:textId="77777777" w:rsidR="00F1356E" w:rsidRPr="00A259BD" w:rsidRDefault="00F1356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Параллельно с изготовлением дрезин </w:t>
      </w:r>
      <w:proofErr w:type="spellStart"/>
      <w:r w:rsidRPr="00A259BD">
        <w:rPr>
          <w:rFonts w:ascii="Times New Roman" w:hAnsi="Times New Roman"/>
          <w:color w:val="000000" w:themeColor="text1"/>
          <w:sz w:val="16"/>
          <w:szCs w:val="16"/>
        </w:rPr>
        <w:t>Уа</w:t>
      </w:r>
      <w:proofErr w:type="spellEnd"/>
      <w:r w:rsidRPr="00A259BD">
        <w:rPr>
          <w:rFonts w:ascii="Times New Roman" w:hAnsi="Times New Roman"/>
          <w:color w:val="000000" w:themeColor="text1"/>
          <w:sz w:val="16"/>
          <w:szCs w:val="16"/>
        </w:rPr>
        <w:t xml:space="preserve"> Калужский завод спроектировал более мощную единицу - мотовоз, в конструкции которого также использовались автомобильные агрегаты. Серийное производство новых единиц, получивших обозначение Мг (мотовоз с двигателем ГАЗ, двухосный), на которых в качестве силовой установки использовались двигатели «Форд-АА» и ГАЗ-АА в 40 </w:t>
      </w:r>
      <w:proofErr w:type="spellStart"/>
      <w:r w:rsidRPr="00A259BD">
        <w:rPr>
          <w:rFonts w:ascii="Times New Roman" w:hAnsi="Times New Roman"/>
          <w:color w:val="000000" w:themeColor="text1"/>
          <w:sz w:val="16"/>
          <w:szCs w:val="16"/>
        </w:rPr>
        <w:t>л.с</w:t>
      </w:r>
      <w:proofErr w:type="spellEnd"/>
      <w:r w:rsidRPr="00A259BD">
        <w:rPr>
          <w:rFonts w:ascii="Times New Roman" w:hAnsi="Times New Roman"/>
          <w:color w:val="000000" w:themeColor="text1"/>
          <w:sz w:val="16"/>
          <w:szCs w:val="16"/>
        </w:rPr>
        <w:t xml:space="preserve">, началось в конце 1931 года. В 1932 году, по опыту эксплуатации первых серийных образцов Мг/2, конструкторы Калужского завода провели модернизацию мотовоза - была усилена рама, уширен корпус, установлен дополнительный двухступенчатый редуктор. Новая машина получила обозначение Му/2 (у - усиленный). В следующем году в производство запустили мотовоз, оснащенный 73-сильным двигателем автомобиля ЗИС-5 - </w:t>
      </w:r>
      <w:proofErr w:type="spellStart"/>
      <w:r w:rsidRPr="00A259BD">
        <w:rPr>
          <w:rFonts w:ascii="Times New Roman" w:hAnsi="Times New Roman"/>
          <w:color w:val="000000" w:themeColor="text1"/>
          <w:sz w:val="16"/>
          <w:szCs w:val="16"/>
        </w:rPr>
        <w:t>Мз</w:t>
      </w:r>
      <w:proofErr w:type="spellEnd"/>
      <w:r w:rsidRPr="00A259BD">
        <w:rPr>
          <w:rFonts w:ascii="Times New Roman" w:hAnsi="Times New Roman"/>
          <w:color w:val="000000" w:themeColor="text1"/>
          <w:sz w:val="16"/>
          <w:szCs w:val="16"/>
        </w:rPr>
        <w:t xml:space="preserve">/2 (мотовоз с двигателем ЗИС, двухосный), для которого пришлось заново спроектировать кузов и ходовую часть. </w:t>
      </w:r>
      <w:proofErr w:type="spellStart"/>
      <w:r w:rsidRPr="00A259BD">
        <w:rPr>
          <w:rFonts w:ascii="Times New Roman" w:hAnsi="Times New Roman"/>
          <w:color w:val="000000" w:themeColor="text1"/>
          <w:sz w:val="16"/>
          <w:szCs w:val="16"/>
        </w:rPr>
        <w:t>Мз</w:t>
      </w:r>
      <w:proofErr w:type="spellEnd"/>
      <w:r w:rsidRPr="00A259BD">
        <w:rPr>
          <w:rFonts w:ascii="Times New Roman" w:hAnsi="Times New Roman"/>
          <w:color w:val="000000" w:themeColor="text1"/>
          <w:sz w:val="16"/>
          <w:szCs w:val="16"/>
        </w:rPr>
        <w:t xml:space="preserve"> стал самой массовой довоенной машиной такого типа - с 1933 по 1939 год изготовили 3339 таких мотовозов (18626).</w:t>
      </w:r>
    </w:p>
    <w:p w14:paraId="4EB9160B" w14:textId="77777777" w:rsidR="00F1356E" w:rsidRPr="00A259BD" w:rsidRDefault="00F1356E" w:rsidP="009236E3">
      <w:pPr>
        <w:spacing w:after="0" w:line="240" w:lineRule="auto"/>
        <w:jc w:val="both"/>
        <w:rPr>
          <w:rFonts w:ascii="Times New Roman" w:hAnsi="Times New Roman"/>
          <w:color w:val="000000" w:themeColor="text1"/>
          <w:sz w:val="16"/>
          <w:szCs w:val="16"/>
        </w:rPr>
      </w:pPr>
    </w:p>
    <w:p w14:paraId="2D8F7CF0" w14:textId="77777777" w:rsidR="00F1356E" w:rsidRPr="00A259BD" w:rsidRDefault="00F1356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1929 года было создано Управление механизации и моторизации РККА. В начале 1930 года представители УММ провели инспекцию бронепоездных частей, наметив пути их модернизации и совершенствования. По вопросу бронедрезин начальник технического управления УММ РККА Г. </w:t>
      </w:r>
      <w:proofErr w:type="spellStart"/>
      <w:r w:rsidRPr="00A259BD">
        <w:rPr>
          <w:rFonts w:ascii="Times New Roman" w:hAnsi="Times New Roman"/>
          <w:color w:val="000000" w:themeColor="text1"/>
          <w:sz w:val="16"/>
          <w:szCs w:val="16"/>
        </w:rPr>
        <w:t>Бокис</w:t>
      </w:r>
      <w:proofErr w:type="spellEnd"/>
      <w:r w:rsidRPr="00A259BD">
        <w:rPr>
          <w:rFonts w:ascii="Times New Roman" w:hAnsi="Times New Roman"/>
          <w:color w:val="000000" w:themeColor="text1"/>
          <w:sz w:val="16"/>
          <w:szCs w:val="16"/>
        </w:rPr>
        <w:t xml:space="preserve"> 19 марта 1930 года докладывал следующее: </w:t>
      </w:r>
    </w:p>
    <w:p w14:paraId="74B8CDF7" w14:textId="77777777" w:rsidR="00F1356E" w:rsidRPr="00A259BD" w:rsidRDefault="00F1356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сего времени не имеется стандартного образца бронедрезины. Имеющиеся в частях РККА машины разнообразны по конструкции и техническим требованиям не удовлетворяют (речь идет о дрезинах «</w:t>
      </w:r>
      <w:proofErr w:type="spellStart"/>
      <w:r w:rsidRPr="00A259BD">
        <w:rPr>
          <w:rFonts w:ascii="Times New Roman" w:hAnsi="Times New Roman"/>
          <w:color w:val="000000" w:themeColor="text1"/>
          <w:sz w:val="16"/>
          <w:szCs w:val="16"/>
        </w:rPr>
        <w:t>Матваль</w:t>
      </w:r>
      <w:proofErr w:type="spellEnd"/>
      <w:r w:rsidRPr="00A259BD">
        <w:rPr>
          <w:rFonts w:ascii="Times New Roman" w:hAnsi="Times New Roman"/>
          <w:color w:val="000000" w:themeColor="text1"/>
          <w:sz w:val="16"/>
          <w:szCs w:val="16"/>
        </w:rPr>
        <w:t>». - Прим. автора). В срочном порядке необходимо сконструировать типовую пулеметную (легкую) и пушечную (тяжелую) бронедрезины для обеспечения заказов промышленности в 1930 году. Новые легкие бронедрезины, отвечая всем требованиям НКПС для обеспечения беспрепятственного движения по железной дороге должны в целях достижения наименьшей уязвимости быть малых размеров, имея конфигурацию брони (толщина 7-8 мм), дающую наименьшую возможность попадания по нормали, иметь скорость движения на горизонтальной площадке не менее 50 верст в час, с одинаковой скоростью двигаться передним и задним ходом, иметь полное наблюдение за путем и полем боя через прорези и перископы, иметь на вооружении 2 пулемета Максима на установках, допускающих З60 градусов горизонтального обстрела при наименьшем мертвом пространстве и стрельбу по воздушным целям. </w:t>
      </w:r>
    </w:p>
    <w:p w14:paraId="70C26135" w14:textId="77777777" w:rsidR="00F1356E" w:rsidRPr="00A259BD" w:rsidRDefault="00F1356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конструирования пушечной бронедрезины, на вооружении которой должны быть 2 пулемета и 76-мм орудие 1927 или 1913 года с уменьшенным откатом, могут быть использованы бронеавтомобили «</w:t>
      </w:r>
      <w:proofErr w:type="spellStart"/>
      <w:r w:rsidRPr="00A259BD">
        <w:rPr>
          <w:rFonts w:ascii="Times New Roman" w:hAnsi="Times New Roman"/>
          <w:color w:val="000000" w:themeColor="text1"/>
          <w:sz w:val="16"/>
          <w:szCs w:val="16"/>
        </w:rPr>
        <w:t>Гарфорд</w:t>
      </w:r>
      <w:proofErr w:type="spellEnd"/>
      <w:r w:rsidRPr="00A259BD">
        <w:rPr>
          <w:rFonts w:ascii="Times New Roman" w:hAnsi="Times New Roman"/>
          <w:color w:val="000000" w:themeColor="text1"/>
          <w:sz w:val="16"/>
          <w:szCs w:val="16"/>
        </w:rPr>
        <w:t xml:space="preserve">», с вооружения </w:t>
      </w:r>
      <w:proofErr w:type="spellStart"/>
      <w:r w:rsidRPr="00A259BD">
        <w:rPr>
          <w:rFonts w:ascii="Times New Roman" w:hAnsi="Times New Roman"/>
          <w:color w:val="000000" w:themeColor="text1"/>
          <w:sz w:val="16"/>
          <w:szCs w:val="16"/>
        </w:rPr>
        <w:t>автоброневых</w:t>
      </w:r>
      <w:proofErr w:type="spellEnd"/>
      <w:r w:rsidRPr="00A259BD">
        <w:rPr>
          <w:rFonts w:ascii="Times New Roman" w:hAnsi="Times New Roman"/>
          <w:color w:val="000000" w:themeColor="text1"/>
          <w:sz w:val="16"/>
          <w:szCs w:val="16"/>
        </w:rPr>
        <w:t xml:space="preserve"> частей снятые, с изменением конфигурации брони. Против совершенно нового типа бронедрезины не возражаю». </w:t>
      </w:r>
    </w:p>
    <w:p w14:paraId="6C181E6B" w14:textId="77777777" w:rsidR="00F1356E" w:rsidRPr="00A259BD" w:rsidRDefault="00F1356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Несмотря на вышеприведенный доклад, к разработке новых типов бронедрезин приступили только через полтора года, причем их проектированием занялся все тот же Николай </w:t>
      </w:r>
      <w:proofErr w:type="spellStart"/>
      <w:r w:rsidRPr="00A259BD">
        <w:rPr>
          <w:rFonts w:ascii="Times New Roman" w:hAnsi="Times New Roman"/>
          <w:color w:val="000000" w:themeColor="text1"/>
          <w:sz w:val="16"/>
          <w:szCs w:val="16"/>
        </w:rPr>
        <w:t>Дыренков</w:t>
      </w:r>
      <w:proofErr w:type="spellEnd"/>
      <w:r w:rsidRPr="00A259BD">
        <w:rPr>
          <w:rFonts w:ascii="Times New Roman" w:hAnsi="Times New Roman"/>
          <w:color w:val="000000" w:themeColor="text1"/>
          <w:sz w:val="16"/>
          <w:szCs w:val="16"/>
        </w:rPr>
        <w:t>, активно двигавший свои изобретения военным (18626).</w:t>
      </w:r>
    </w:p>
    <w:p w14:paraId="7453EBEC" w14:textId="77777777" w:rsidR="00F1356E" w:rsidRPr="00A259BD" w:rsidRDefault="00F1356E" w:rsidP="009236E3">
      <w:pPr>
        <w:spacing w:after="0" w:line="240" w:lineRule="auto"/>
        <w:jc w:val="both"/>
        <w:rPr>
          <w:rFonts w:ascii="Times New Roman" w:hAnsi="Times New Roman"/>
          <w:color w:val="000000" w:themeColor="text1"/>
          <w:sz w:val="16"/>
          <w:szCs w:val="16"/>
        </w:rPr>
      </w:pPr>
    </w:p>
    <w:p w14:paraId="528EC314" w14:textId="77777777" w:rsidR="00F1356E" w:rsidRPr="00A259BD" w:rsidRDefault="00F1356E"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1929 г. были изготовлены опытных образца его аппарата сотрудника </w:t>
      </w:r>
      <w:proofErr w:type="spellStart"/>
      <w:r w:rsidRPr="00A259BD">
        <w:rPr>
          <w:rFonts w:ascii="Times New Roman" w:hAnsi="Times New Roman"/>
          <w:color w:val="000000" w:themeColor="text1"/>
          <w:sz w:val="16"/>
          <w:szCs w:val="16"/>
        </w:rPr>
        <w:t>НКПиТ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Тремля</w:t>
      </w:r>
      <w:proofErr w:type="spellEnd"/>
      <w:r w:rsidRPr="00A259BD">
        <w:rPr>
          <w:rFonts w:ascii="Times New Roman" w:hAnsi="Times New Roman"/>
          <w:color w:val="000000" w:themeColor="text1"/>
          <w:sz w:val="16"/>
          <w:szCs w:val="16"/>
        </w:rPr>
        <w:t>, и они сра</w:t>
      </w:r>
      <w:r w:rsidRPr="00A259BD">
        <w:rPr>
          <w:rFonts w:ascii="Times New Roman" w:hAnsi="Times New Roman"/>
          <w:color w:val="000000" w:themeColor="text1"/>
          <w:sz w:val="16"/>
          <w:szCs w:val="16"/>
        </w:rPr>
        <w:softHyphen/>
        <w:t>зу же попали в поле зрения ВТУ. На своем заседании в ноябре 1929 г. Техниче</w:t>
      </w:r>
      <w:r w:rsidRPr="00A259BD">
        <w:rPr>
          <w:rFonts w:ascii="Times New Roman" w:hAnsi="Times New Roman"/>
          <w:color w:val="000000" w:themeColor="text1"/>
          <w:sz w:val="16"/>
          <w:szCs w:val="16"/>
        </w:rPr>
        <w:softHyphen/>
        <w:t xml:space="preserve">ский комитет управления пришел к заключению, что аппараты </w:t>
      </w:r>
      <w:proofErr w:type="spellStart"/>
      <w:r w:rsidRPr="00A259BD">
        <w:rPr>
          <w:rFonts w:ascii="Times New Roman" w:hAnsi="Times New Roman"/>
          <w:color w:val="000000" w:themeColor="text1"/>
          <w:sz w:val="16"/>
          <w:szCs w:val="16"/>
        </w:rPr>
        <w:t>Тремля</w:t>
      </w:r>
      <w:proofErr w:type="spellEnd"/>
      <w:r w:rsidRPr="00A259BD">
        <w:rPr>
          <w:rFonts w:ascii="Times New Roman" w:hAnsi="Times New Roman"/>
          <w:color w:val="000000" w:themeColor="text1"/>
          <w:sz w:val="16"/>
          <w:szCs w:val="16"/>
        </w:rPr>
        <w:t xml:space="preserve"> представ</w:t>
      </w:r>
      <w:r w:rsidRPr="00A259BD">
        <w:rPr>
          <w:rFonts w:ascii="Times New Roman" w:hAnsi="Times New Roman"/>
          <w:color w:val="000000" w:themeColor="text1"/>
          <w:sz w:val="16"/>
          <w:szCs w:val="16"/>
        </w:rPr>
        <w:softHyphen/>
        <w:t xml:space="preserve">ляют интерес для НКВМ. </w:t>
      </w:r>
      <w:proofErr w:type="spellStart"/>
      <w:r w:rsidRPr="00A259BD">
        <w:rPr>
          <w:rFonts w:ascii="Times New Roman" w:hAnsi="Times New Roman"/>
          <w:color w:val="000000" w:themeColor="text1"/>
          <w:sz w:val="16"/>
          <w:szCs w:val="16"/>
        </w:rPr>
        <w:t>НКПиТ</w:t>
      </w:r>
      <w:proofErr w:type="spellEnd"/>
      <w:r w:rsidRPr="00A259BD">
        <w:rPr>
          <w:rFonts w:ascii="Times New Roman" w:hAnsi="Times New Roman"/>
          <w:color w:val="000000" w:themeColor="text1"/>
          <w:sz w:val="16"/>
          <w:szCs w:val="16"/>
        </w:rPr>
        <w:t xml:space="preserve"> было предложено изготовить новые образцы аппаратов в мастерских ЦЛПС под наблюдением ее сотрудников и при участии Технического комитета ВТУ. После доработки в 1931 г. аппарат </w:t>
      </w:r>
      <w:proofErr w:type="spellStart"/>
      <w:r w:rsidRPr="00A259BD">
        <w:rPr>
          <w:rFonts w:ascii="Times New Roman" w:hAnsi="Times New Roman"/>
          <w:color w:val="000000" w:themeColor="text1"/>
          <w:sz w:val="16"/>
          <w:szCs w:val="16"/>
        </w:rPr>
        <w:t>Тремля</w:t>
      </w:r>
      <w:proofErr w:type="spellEnd"/>
      <w:r w:rsidRPr="00A259BD">
        <w:rPr>
          <w:rFonts w:ascii="Times New Roman" w:hAnsi="Times New Roman"/>
          <w:color w:val="000000" w:themeColor="text1"/>
          <w:sz w:val="16"/>
          <w:szCs w:val="16"/>
        </w:rPr>
        <w:t xml:space="preserve"> БТА-3 успешно выдержал испытания, был принят для эксплуатации и освоен в серий</w:t>
      </w:r>
      <w:r w:rsidRPr="00A259BD">
        <w:rPr>
          <w:rFonts w:ascii="Times New Roman" w:hAnsi="Times New Roman"/>
          <w:color w:val="000000" w:themeColor="text1"/>
          <w:sz w:val="16"/>
          <w:szCs w:val="16"/>
        </w:rPr>
        <w:softHyphen/>
        <w:t>ном производстве. Применялся он для обеспечения телеграфной связи до штаба дивизии включительно (19098).</w:t>
      </w:r>
    </w:p>
    <w:p w14:paraId="49DECA54" w14:textId="77777777" w:rsidR="00F1356E" w:rsidRPr="00A259BD" w:rsidRDefault="00F1356E" w:rsidP="009236E3">
      <w:pPr>
        <w:spacing w:after="0" w:line="240" w:lineRule="auto"/>
        <w:jc w:val="both"/>
        <w:rPr>
          <w:rFonts w:ascii="Times New Roman" w:hAnsi="Times New Roman"/>
          <w:color w:val="000000" w:themeColor="text1"/>
          <w:sz w:val="16"/>
          <w:szCs w:val="16"/>
        </w:rPr>
      </w:pPr>
    </w:p>
    <w:p w14:paraId="0304E0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1929 г. были изготовлены два опытных образца телеграфных аппаратов сотрудника </w:t>
      </w:r>
      <w:proofErr w:type="spellStart"/>
      <w:r w:rsidRPr="00A259BD">
        <w:rPr>
          <w:rFonts w:ascii="Times New Roman" w:hAnsi="Times New Roman"/>
          <w:color w:val="000000" w:themeColor="text1"/>
          <w:sz w:val="16"/>
          <w:szCs w:val="16"/>
        </w:rPr>
        <w:t>НКПиТ</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Тремля</w:t>
      </w:r>
      <w:proofErr w:type="spellEnd"/>
      <w:r w:rsidRPr="00A259BD">
        <w:rPr>
          <w:rFonts w:ascii="Times New Roman" w:hAnsi="Times New Roman"/>
          <w:color w:val="000000" w:themeColor="text1"/>
          <w:sz w:val="16"/>
          <w:szCs w:val="16"/>
        </w:rPr>
        <w:t xml:space="preserve"> и они </w:t>
      </w:r>
      <w:proofErr w:type="spellStart"/>
      <w:r w:rsidRPr="00A259BD">
        <w:rPr>
          <w:rFonts w:ascii="Times New Roman" w:hAnsi="Times New Roman"/>
          <w:color w:val="000000" w:themeColor="text1"/>
          <w:sz w:val="16"/>
          <w:szCs w:val="16"/>
        </w:rPr>
        <w:t>сра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зу</w:t>
      </w:r>
      <w:proofErr w:type="spellEnd"/>
      <w:r w:rsidRPr="00A259BD">
        <w:rPr>
          <w:rFonts w:ascii="Times New Roman" w:hAnsi="Times New Roman"/>
          <w:color w:val="000000" w:themeColor="text1"/>
          <w:sz w:val="16"/>
          <w:szCs w:val="16"/>
        </w:rPr>
        <w:t xml:space="preserve"> же попали в поле зрения ВТУ. На своем заседании в ноябре 1929 г. </w:t>
      </w:r>
      <w:proofErr w:type="spellStart"/>
      <w:r w:rsidRPr="00A259BD">
        <w:rPr>
          <w:rFonts w:ascii="Times New Roman" w:hAnsi="Times New Roman"/>
          <w:color w:val="000000" w:themeColor="text1"/>
          <w:sz w:val="16"/>
          <w:szCs w:val="16"/>
        </w:rPr>
        <w:t>Техниче</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ский</w:t>
      </w:r>
      <w:proofErr w:type="spellEnd"/>
      <w:r w:rsidRPr="00A259BD">
        <w:rPr>
          <w:rFonts w:ascii="Times New Roman" w:hAnsi="Times New Roman"/>
          <w:color w:val="000000" w:themeColor="text1"/>
          <w:sz w:val="16"/>
          <w:szCs w:val="16"/>
        </w:rPr>
        <w:t xml:space="preserve"> комитет управления пришел к заключению, что аппараты </w:t>
      </w:r>
      <w:proofErr w:type="spellStart"/>
      <w:r w:rsidRPr="00A259BD">
        <w:rPr>
          <w:rFonts w:ascii="Times New Roman" w:hAnsi="Times New Roman"/>
          <w:color w:val="000000" w:themeColor="text1"/>
          <w:sz w:val="16"/>
          <w:szCs w:val="16"/>
        </w:rPr>
        <w:t>Тремля</w:t>
      </w:r>
      <w:proofErr w:type="spellEnd"/>
      <w:r w:rsidRPr="00A259BD">
        <w:rPr>
          <w:rFonts w:ascii="Times New Roman" w:hAnsi="Times New Roman"/>
          <w:color w:val="000000" w:themeColor="text1"/>
          <w:sz w:val="16"/>
          <w:szCs w:val="16"/>
        </w:rPr>
        <w:t xml:space="preserve"> представ </w:t>
      </w:r>
      <w:proofErr w:type="spellStart"/>
      <w:r w:rsidRPr="00A259BD">
        <w:rPr>
          <w:rFonts w:ascii="Times New Roman" w:hAnsi="Times New Roman"/>
          <w:color w:val="000000" w:themeColor="text1"/>
          <w:sz w:val="16"/>
          <w:szCs w:val="16"/>
        </w:rPr>
        <w:t>ляют</w:t>
      </w:r>
      <w:proofErr w:type="spellEnd"/>
      <w:r w:rsidRPr="00A259BD">
        <w:rPr>
          <w:rFonts w:ascii="Times New Roman" w:hAnsi="Times New Roman"/>
          <w:color w:val="000000" w:themeColor="text1"/>
          <w:sz w:val="16"/>
          <w:szCs w:val="16"/>
        </w:rPr>
        <w:t xml:space="preserve"> интерес для НКВМ. </w:t>
      </w:r>
      <w:proofErr w:type="spellStart"/>
      <w:r w:rsidRPr="00A259BD">
        <w:rPr>
          <w:rFonts w:ascii="Times New Roman" w:hAnsi="Times New Roman"/>
          <w:color w:val="000000" w:themeColor="text1"/>
          <w:sz w:val="16"/>
          <w:szCs w:val="16"/>
        </w:rPr>
        <w:t>НКПиТ</w:t>
      </w:r>
      <w:proofErr w:type="spellEnd"/>
      <w:r w:rsidRPr="00A259BD">
        <w:rPr>
          <w:rFonts w:ascii="Times New Roman" w:hAnsi="Times New Roman"/>
          <w:color w:val="000000" w:themeColor="text1"/>
          <w:sz w:val="16"/>
          <w:szCs w:val="16"/>
        </w:rPr>
        <w:t xml:space="preserve"> было предложено изготовить новые образцы аппаратов в мастерских ЦЛПС под наблюдением ее сотрудников и при участии Технического комитета ВТУ (ЦГА СПб., ф. 945, оп. 3, д. 111, л. 1.). После доработки в 1931 г. аппарат </w:t>
      </w:r>
      <w:proofErr w:type="spellStart"/>
      <w:r w:rsidRPr="00A259BD">
        <w:rPr>
          <w:rFonts w:ascii="Times New Roman" w:hAnsi="Times New Roman"/>
          <w:color w:val="000000" w:themeColor="text1"/>
          <w:sz w:val="16"/>
          <w:szCs w:val="16"/>
        </w:rPr>
        <w:t>Тремля</w:t>
      </w:r>
      <w:proofErr w:type="spellEnd"/>
      <w:r w:rsidRPr="00A259BD">
        <w:rPr>
          <w:rFonts w:ascii="Times New Roman" w:hAnsi="Times New Roman"/>
          <w:color w:val="000000" w:themeColor="text1"/>
          <w:sz w:val="16"/>
          <w:szCs w:val="16"/>
        </w:rPr>
        <w:t xml:space="preserve"> БТА-3 успешно выдержал испытания, был принят для эксплуатации и освоен в серий ном производстве. Применялся он для обеспечения телеграфной связи до штаба дивизии включительно (</w:t>
      </w:r>
      <w:proofErr w:type="spellStart"/>
      <w:r w:rsidRPr="00A259BD">
        <w:rPr>
          <w:rFonts w:ascii="Times New Roman" w:hAnsi="Times New Roman"/>
          <w:color w:val="000000" w:themeColor="text1"/>
          <w:sz w:val="16"/>
          <w:szCs w:val="16"/>
        </w:rPr>
        <w:t>ВИМАИВиВС</w:t>
      </w:r>
      <w:proofErr w:type="spellEnd"/>
      <w:r w:rsidRPr="00A259BD">
        <w:rPr>
          <w:rFonts w:ascii="Times New Roman" w:hAnsi="Times New Roman"/>
          <w:color w:val="000000" w:themeColor="text1"/>
          <w:sz w:val="16"/>
          <w:szCs w:val="16"/>
        </w:rPr>
        <w:t>, ф. 60р, оп. 1, д. 27, л. 245.) (11870).</w:t>
      </w:r>
    </w:p>
    <w:p w14:paraId="6D1A86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DB26B19"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конца 1929 г. после переговоров в Москве с Ворошиловым и Уборевичем, Людвиг сконцентрировал на трех направлениях:</w:t>
      </w:r>
    </w:p>
    <w:p w14:paraId="30C37BF8"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 Оказание помощи по модернизации советской военной промышленности за счет направления немецких инженеров на заводы в СССР и предоставление лицензий для серийного производства военной продукции.</w:t>
      </w:r>
    </w:p>
    <w:p w14:paraId="5677A36C"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Проведение совместных научно-исследовательских работ. Причем данный пункт частично уже реализовывался в процессе деятельности военно-учебных центров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(«Липецк», «Кама», «Томка»).</w:t>
      </w:r>
    </w:p>
    <w:p w14:paraId="46C54744"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Речь здесь шла, однако, о КБ фирмы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xml:space="preserve">» (в СССР и в Германии) и, в некоторой мере, — о деятельности созданного в Москве КБ германского специалиста по артсистемам проф. О. </w:t>
      </w:r>
      <w:proofErr w:type="spellStart"/>
      <w:r w:rsidRPr="00A259BD">
        <w:rPr>
          <w:rFonts w:ascii="Times New Roman" w:hAnsi="Times New Roman"/>
          <w:color w:val="000000" w:themeColor="text1"/>
          <w:sz w:val="16"/>
          <w:szCs w:val="16"/>
        </w:rPr>
        <w:t>Шмица</w:t>
      </w:r>
      <w:proofErr w:type="spellEnd"/>
      <w:r w:rsidRPr="00A259BD">
        <w:rPr>
          <w:rFonts w:ascii="Times New Roman" w:hAnsi="Times New Roman"/>
          <w:color w:val="000000" w:themeColor="text1"/>
          <w:sz w:val="16"/>
          <w:szCs w:val="16"/>
        </w:rPr>
        <w:t xml:space="preserve"> из </w:t>
      </w:r>
      <w:proofErr w:type="spellStart"/>
      <w:r w:rsidRPr="00A259BD">
        <w:rPr>
          <w:rFonts w:ascii="Times New Roman" w:hAnsi="Times New Roman"/>
          <w:color w:val="000000" w:themeColor="text1"/>
          <w:sz w:val="16"/>
          <w:szCs w:val="16"/>
        </w:rPr>
        <w:t>Брауншвайга</w:t>
      </w:r>
      <w:proofErr w:type="spellEnd"/>
      <w:r w:rsidR="00000000">
        <w:fldChar w:fldCharType="begin"/>
      </w:r>
      <w:r w:rsidR="00000000">
        <w:instrText>HYPERLINK "http://www.e-reading.club/chapter.php/1005087/39/Gorlov_Sergey_-_Sovershenno_sekretno__Alyans_Moskva_-_Berlin_1920-1933_gg..html" \l "n_403"</w:instrText>
      </w:r>
      <w:r w:rsidR="00000000">
        <w:fldChar w:fldCharType="separate"/>
      </w:r>
      <w:r w:rsidRPr="00A259BD">
        <w:rPr>
          <w:rStyle w:val="a5"/>
          <w:rFonts w:ascii="Times New Roman" w:hAnsi="Times New Roman"/>
          <w:color w:val="000000" w:themeColor="text1"/>
          <w:sz w:val="16"/>
          <w:szCs w:val="16"/>
        </w:rPr>
        <w:t>[403]</w:t>
      </w:r>
      <w:r w:rsidR="00000000">
        <w:rPr>
          <w:rStyle w:val="a5"/>
          <w:rFonts w:ascii="Times New Roman" w:hAnsi="Times New Roman"/>
          <w:color w:val="000000" w:themeColor="text1"/>
          <w:sz w:val="16"/>
          <w:szCs w:val="16"/>
        </w:rPr>
        <w:fldChar w:fldCharType="end"/>
      </w:r>
      <w:r w:rsidRPr="00A259BD">
        <w:rPr>
          <w:rFonts w:ascii="Times New Roman" w:hAnsi="Times New Roman"/>
          <w:color w:val="000000" w:themeColor="text1"/>
          <w:sz w:val="16"/>
          <w:szCs w:val="16"/>
        </w:rPr>
        <w:t>.</w:t>
      </w:r>
    </w:p>
    <w:p w14:paraId="194BDE29"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Поставка в СССР полуфабрикатов, производство и экспорт которых формально не подпадали под запреты Версаля, но способствовали поддержанию занятости и высокого уровня квалификации военно-промышленных фирм Германии.</w:t>
      </w:r>
    </w:p>
    <w:p w14:paraId="0E96984C"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Руководство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в этой связи рассчитывало на сотрудничество нескольких крупных германских фирм («Крупп»,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xml:space="preserve">», «Сименс и </w:t>
      </w:r>
      <w:proofErr w:type="spellStart"/>
      <w:r w:rsidRPr="00A259BD">
        <w:rPr>
          <w:rFonts w:ascii="Times New Roman" w:hAnsi="Times New Roman"/>
          <w:color w:val="000000" w:themeColor="text1"/>
          <w:sz w:val="16"/>
          <w:szCs w:val="16"/>
        </w:rPr>
        <w:t>Хальске</w:t>
      </w:r>
      <w:proofErr w:type="spellEnd"/>
      <w:r w:rsidRPr="00A259BD">
        <w:rPr>
          <w:rFonts w:ascii="Times New Roman" w:hAnsi="Times New Roman"/>
          <w:color w:val="000000" w:themeColor="text1"/>
          <w:sz w:val="16"/>
          <w:szCs w:val="16"/>
        </w:rPr>
        <w:t xml:space="preserve">»), а также на то, что «Людвиг в качестве советника русского правительства» по вооружению будет рекомендовать Москве независимо от ее пожеланий подходящие германские фирмы. Здесь помимо политической выгоды руководству </w:t>
      </w:r>
      <w:proofErr w:type="spellStart"/>
      <w:r w:rsidRPr="00A259BD">
        <w:rPr>
          <w:rFonts w:ascii="Times New Roman" w:hAnsi="Times New Roman"/>
          <w:color w:val="000000" w:themeColor="text1"/>
          <w:sz w:val="16"/>
          <w:szCs w:val="16"/>
        </w:rPr>
        <w:t>райхсвера</w:t>
      </w:r>
      <w:proofErr w:type="spellEnd"/>
      <w:r w:rsidRPr="00A259BD">
        <w:rPr>
          <w:rFonts w:ascii="Times New Roman" w:hAnsi="Times New Roman"/>
          <w:color w:val="000000" w:themeColor="text1"/>
          <w:sz w:val="16"/>
          <w:szCs w:val="16"/>
        </w:rPr>
        <w:t xml:space="preserve"> виделась возможность распространения своего влияния на процесс оснащения РККА новым вооружением.</w:t>
      </w:r>
    </w:p>
    <w:p w14:paraId="425D6770"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Интерес для Москвы представляли первые два пункта, тогда как военное министерство Германии делало упор на последнем пункте. В довольно выгодной ситуации оказалась здесь фирма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Конкретно речь шла о целом реестре согласованных двусторонних проектов, из которых, собственно, и состояла программа развития советской оборонной промышленности, так называемая «программа Людвига». Это:</w:t>
      </w:r>
    </w:p>
    <w:p w14:paraId="145606A3"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Поставка в СССР полуфабрикатов 75-миллиметровых зенитных орудий. Их сборка должна была осуществляться инженерами «</w:t>
      </w:r>
      <w:proofErr w:type="spellStart"/>
      <w:r w:rsidRPr="00A259BD">
        <w:rPr>
          <w:rFonts w:ascii="Times New Roman" w:hAnsi="Times New Roman"/>
          <w:color w:val="000000" w:themeColor="text1"/>
          <w:sz w:val="16"/>
          <w:szCs w:val="16"/>
        </w:rPr>
        <w:t>Райнметалла</w:t>
      </w:r>
      <w:proofErr w:type="spellEnd"/>
      <w:r w:rsidRPr="00A259BD">
        <w:rPr>
          <w:rFonts w:ascii="Times New Roman" w:hAnsi="Times New Roman"/>
          <w:color w:val="000000" w:themeColor="text1"/>
          <w:sz w:val="16"/>
          <w:szCs w:val="16"/>
        </w:rPr>
        <w:t>».</w:t>
      </w:r>
    </w:p>
    <w:p w14:paraId="4349519D"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Поставка необходимых для этого приборов управления огнем фирмы «К. </w:t>
      </w:r>
      <w:proofErr w:type="spellStart"/>
      <w:r w:rsidRPr="00A259BD">
        <w:rPr>
          <w:rFonts w:ascii="Times New Roman" w:hAnsi="Times New Roman"/>
          <w:color w:val="000000" w:themeColor="text1"/>
          <w:sz w:val="16"/>
          <w:szCs w:val="16"/>
        </w:rPr>
        <w:t>Цайс</w:t>
      </w:r>
      <w:proofErr w:type="spellEnd"/>
      <w:r w:rsidRPr="00A259BD">
        <w:rPr>
          <w:rFonts w:ascii="Times New Roman" w:hAnsi="Times New Roman"/>
          <w:color w:val="000000" w:themeColor="text1"/>
          <w:sz w:val="16"/>
          <w:szCs w:val="16"/>
        </w:rPr>
        <w:t>» из расчета, что к осени 1930 г. будет собрано 20–30 орудий.</w:t>
      </w:r>
    </w:p>
    <w:p w14:paraId="6ECCC8ED"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 Ремонт и переоборудование одного из советских военных заводов с целью наладки лицензионного производства военного снаряжения.</w:t>
      </w:r>
    </w:p>
    <w:p w14:paraId="41452495"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Строительство завода по производству взрывателей и поставка готовых часовых взрывателей и взрывателей для зенитных орудий. Для этого планировалось привлечь фирму «Тиль» из </w:t>
      </w:r>
      <w:proofErr w:type="spellStart"/>
      <w:r w:rsidRPr="00A259BD">
        <w:rPr>
          <w:rFonts w:ascii="Times New Roman" w:hAnsi="Times New Roman"/>
          <w:color w:val="000000" w:themeColor="text1"/>
          <w:sz w:val="16"/>
          <w:szCs w:val="16"/>
        </w:rPr>
        <w:t>Рулы</w:t>
      </w:r>
      <w:proofErr w:type="spellEnd"/>
      <w:r w:rsidRPr="00A259BD">
        <w:rPr>
          <w:rFonts w:ascii="Times New Roman" w:hAnsi="Times New Roman"/>
          <w:color w:val="000000" w:themeColor="text1"/>
          <w:sz w:val="16"/>
          <w:szCs w:val="16"/>
        </w:rPr>
        <w:t>.</w:t>
      </w:r>
    </w:p>
    <w:p w14:paraId="149944F8"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 Поставка полуфабрикатов для изготовления в СССР 10–20 испытательных экземпляров минометов.</w:t>
      </w:r>
    </w:p>
    <w:p w14:paraId="56F79397"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Поставка испытательного образца 20-миллиметрового автомата фирмы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w:t>
      </w:r>
    </w:p>
    <w:p w14:paraId="72E5FC37"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 Поставка в СССР трассирующих снарядов, производство которых намечалось осуществить в Австрии.</w:t>
      </w:r>
    </w:p>
    <w:p w14:paraId="7C09CD8D"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 Поставка в СССР оборудования по изготовлению снарядов для полевой артиллерии.</w:t>
      </w:r>
    </w:p>
    <w:p w14:paraId="1F1F98EE"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Поставка аппаратуры для производства полуфабрикатов, необходимых для изготовления ОВ.</w:t>
      </w:r>
    </w:p>
    <w:p w14:paraId="1A3A9BEF"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Переговоры советским торгпредством в Берлине велись с фирмами «Гольдшмидт» из </w:t>
      </w:r>
      <w:proofErr w:type="spellStart"/>
      <w:r w:rsidRPr="00A259BD">
        <w:rPr>
          <w:rFonts w:ascii="Times New Roman" w:hAnsi="Times New Roman"/>
          <w:color w:val="000000" w:themeColor="text1"/>
          <w:sz w:val="16"/>
          <w:szCs w:val="16"/>
        </w:rPr>
        <w:t>Аммендорфа</w:t>
      </w:r>
      <w:proofErr w:type="spellEnd"/>
      <w:r w:rsidRPr="00A259BD">
        <w:rPr>
          <w:rFonts w:ascii="Times New Roman" w:hAnsi="Times New Roman"/>
          <w:color w:val="000000" w:themeColor="text1"/>
          <w:sz w:val="16"/>
          <w:szCs w:val="16"/>
        </w:rPr>
        <w:t xml:space="preserve"> и «Рем и Хаас» из </w:t>
      </w:r>
      <w:proofErr w:type="spellStart"/>
      <w:r w:rsidRPr="00A259BD">
        <w:rPr>
          <w:rFonts w:ascii="Times New Roman" w:hAnsi="Times New Roman"/>
          <w:color w:val="000000" w:themeColor="text1"/>
          <w:sz w:val="16"/>
          <w:szCs w:val="16"/>
        </w:rPr>
        <w:t>Маннхайма</w:t>
      </w:r>
      <w:proofErr w:type="spellEnd"/>
      <w:r w:rsidRPr="00A259BD">
        <w:rPr>
          <w:rFonts w:ascii="Times New Roman" w:hAnsi="Times New Roman"/>
          <w:color w:val="000000" w:themeColor="text1"/>
          <w:sz w:val="16"/>
          <w:szCs w:val="16"/>
        </w:rPr>
        <w:t>, после того, как «ИГ-</w:t>
      </w:r>
      <w:proofErr w:type="spellStart"/>
      <w:r w:rsidRPr="00A259BD">
        <w:rPr>
          <w:rFonts w:ascii="Times New Roman" w:hAnsi="Times New Roman"/>
          <w:color w:val="000000" w:themeColor="text1"/>
          <w:sz w:val="16"/>
          <w:szCs w:val="16"/>
        </w:rPr>
        <w:t>Фарбен</w:t>
      </w:r>
      <w:proofErr w:type="spellEnd"/>
      <w:r w:rsidRPr="00A259BD">
        <w:rPr>
          <w:rFonts w:ascii="Times New Roman" w:hAnsi="Times New Roman"/>
          <w:color w:val="000000" w:themeColor="text1"/>
          <w:sz w:val="16"/>
          <w:szCs w:val="16"/>
        </w:rPr>
        <w:t>-</w:t>
      </w:r>
      <w:proofErr w:type="spellStart"/>
      <w:r w:rsidRPr="00A259BD">
        <w:rPr>
          <w:rFonts w:ascii="Times New Roman" w:hAnsi="Times New Roman"/>
          <w:color w:val="000000" w:themeColor="text1"/>
          <w:sz w:val="16"/>
          <w:szCs w:val="16"/>
        </w:rPr>
        <w:t>Гезельшафт</w:t>
      </w:r>
      <w:proofErr w:type="spellEnd"/>
      <w:r w:rsidRPr="00A259BD">
        <w:rPr>
          <w:rFonts w:ascii="Times New Roman" w:hAnsi="Times New Roman"/>
          <w:color w:val="000000" w:themeColor="text1"/>
          <w:sz w:val="16"/>
          <w:szCs w:val="16"/>
        </w:rPr>
        <w:t>» отказалась поставить советской стороне необходимое оборудование. Внешне поставку полуфабрикатов, готовых изделий и оборудования намечалось осуществлять через подставные фирмы из нейтральных стран (Австрия, Швейцария, Швеция).</w:t>
      </w:r>
    </w:p>
    <w:p w14:paraId="557CDF83"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 советской стороны, как понял Людвиг, было всего 30 танков и все они, как и 6 танков, поставленных «Круппом» летом 1929 г., не функционировали. Причем немецкие танки, судя по всему, не были испытаны перед поставкой в СССР. Поэтому было предложено в случае, если «Крупп» будет участвовать в реализации «программы Людвига», поставлять в Советский Союз гусеничные тракторы (тягачи) для последующего их переоборудования.</w:t>
      </w:r>
    </w:p>
    <w:p w14:paraId="32978D91"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Свой выбор ПК обороны (Ворошилов и Уборевич) и представители советского </w:t>
      </w:r>
      <w:proofErr w:type="spellStart"/>
      <w:r w:rsidRPr="00A259BD">
        <w:rPr>
          <w:rFonts w:ascii="Times New Roman" w:hAnsi="Times New Roman"/>
          <w:color w:val="000000" w:themeColor="text1"/>
          <w:sz w:val="16"/>
          <w:szCs w:val="16"/>
        </w:rPr>
        <w:t>военпрома</w:t>
      </w:r>
      <w:proofErr w:type="spellEnd"/>
      <w:r w:rsidRPr="00A259BD">
        <w:rPr>
          <w:rFonts w:ascii="Times New Roman" w:hAnsi="Times New Roman"/>
          <w:color w:val="000000" w:themeColor="text1"/>
          <w:sz w:val="16"/>
          <w:szCs w:val="16"/>
        </w:rPr>
        <w:t xml:space="preserve"> после отказа «Крупна» остановили на полугосударственном концерне «</w:t>
      </w:r>
      <w:proofErr w:type="spellStart"/>
      <w:r w:rsidRPr="00A259BD">
        <w:rPr>
          <w:rFonts w:ascii="Times New Roman" w:hAnsi="Times New Roman"/>
          <w:color w:val="000000" w:themeColor="text1"/>
          <w:sz w:val="16"/>
          <w:szCs w:val="16"/>
        </w:rPr>
        <w:t>Райнметалл</w:t>
      </w:r>
      <w:proofErr w:type="spellEnd"/>
      <w:r w:rsidRPr="00A259BD">
        <w:rPr>
          <w:rFonts w:ascii="Times New Roman" w:hAnsi="Times New Roman"/>
          <w:color w:val="000000" w:themeColor="text1"/>
          <w:sz w:val="16"/>
          <w:szCs w:val="16"/>
        </w:rPr>
        <w:t>», единственном, с кем советской стороне в конце концов удалось договориться. Переговоры с «</w:t>
      </w:r>
      <w:proofErr w:type="spellStart"/>
      <w:r w:rsidRPr="00A259BD">
        <w:rPr>
          <w:rFonts w:ascii="Times New Roman" w:hAnsi="Times New Roman"/>
          <w:color w:val="000000" w:themeColor="text1"/>
          <w:sz w:val="16"/>
          <w:szCs w:val="16"/>
        </w:rPr>
        <w:t>Райнметаллом</w:t>
      </w:r>
      <w:proofErr w:type="spellEnd"/>
      <w:r w:rsidRPr="00A259BD">
        <w:rPr>
          <w:rFonts w:ascii="Times New Roman" w:hAnsi="Times New Roman"/>
          <w:color w:val="000000" w:themeColor="text1"/>
          <w:sz w:val="16"/>
          <w:szCs w:val="16"/>
        </w:rPr>
        <w:t xml:space="preserve">» проводились спешным порядком. Советскую сторону возглавляли начальник вооружений РККА, зам. председателя РВС Уборевич и начальник ГВПУ ВСНХ Урываев. Согласованный сторонами договор состоял из трех больших частей. В первой речь шла о постановке производства 6 артсистем (3-дюймовая зенитная пушка, 15-сантиметровый миномет, 37 мм противотанковая пушка, 20 мм автоматическая пушка, а также 37 мм автоматическая зенитная пушка и 6-дюймовая гаубица). Уже к концу 1931 г. должно было быть налажено их производство. Во второй части говорилось об организации двух КБ по </w:t>
      </w:r>
      <w:proofErr w:type="spellStart"/>
      <w:r w:rsidRPr="00A259BD">
        <w:rPr>
          <w:rFonts w:ascii="Times New Roman" w:hAnsi="Times New Roman"/>
          <w:color w:val="000000" w:themeColor="text1"/>
          <w:sz w:val="16"/>
          <w:szCs w:val="16"/>
        </w:rPr>
        <w:t>артвооружению</w:t>
      </w:r>
      <w:proofErr w:type="spellEnd"/>
      <w:r w:rsidRPr="00A259BD">
        <w:rPr>
          <w:rFonts w:ascii="Times New Roman" w:hAnsi="Times New Roman"/>
          <w:color w:val="000000" w:themeColor="text1"/>
          <w:sz w:val="16"/>
          <w:szCs w:val="16"/>
        </w:rPr>
        <w:t xml:space="preserve"> с командированием в СССР на четыре года 20 конструкторов и выделением необходимого материала из архивов фирмы. В третьей части говорилось о купле 4 артсистем и необходимого готового технологического инструмента для их немедленного производства. За все эти услуги Москва обязалась уплатить </w:t>
      </w:r>
      <w:proofErr w:type="spellStart"/>
      <w:r w:rsidRPr="00A259BD">
        <w:rPr>
          <w:rFonts w:ascii="Times New Roman" w:hAnsi="Times New Roman"/>
          <w:color w:val="000000" w:themeColor="text1"/>
          <w:sz w:val="16"/>
          <w:szCs w:val="16"/>
        </w:rPr>
        <w:t>ок</w:t>
      </w:r>
      <w:proofErr w:type="spellEnd"/>
      <w:r w:rsidRPr="00A259BD">
        <w:rPr>
          <w:rFonts w:ascii="Times New Roman" w:hAnsi="Times New Roman"/>
          <w:color w:val="000000" w:themeColor="text1"/>
          <w:sz w:val="16"/>
          <w:szCs w:val="16"/>
        </w:rPr>
        <w:t>. 2,5 млн. американских долларов. Кроме того, фирма обязалась помочь в организации производства в СССР танков.</w:t>
      </w:r>
    </w:p>
    <w:p w14:paraId="7B1EB981" w14:textId="77777777" w:rsidR="00457F4F" w:rsidRPr="00A259BD" w:rsidRDefault="00457F4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Переговоры шли довольно трудно. Уборевич, чтобы уломать немцев, сослался на то, что американская фирма «Скотт» и шведская «</w:t>
      </w:r>
      <w:proofErr w:type="spellStart"/>
      <w:r w:rsidRPr="00A259BD">
        <w:rPr>
          <w:rFonts w:ascii="Times New Roman" w:hAnsi="Times New Roman"/>
          <w:color w:val="000000" w:themeColor="text1"/>
          <w:sz w:val="16"/>
          <w:szCs w:val="16"/>
        </w:rPr>
        <w:t>Бофорс</w:t>
      </w:r>
      <w:proofErr w:type="spellEnd"/>
      <w:r w:rsidRPr="00A259BD">
        <w:rPr>
          <w:rFonts w:ascii="Times New Roman" w:hAnsi="Times New Roman"/>
          <w:color w:val="000000" w:themeColor="text1"/>
          <w:sz w:val="16"/>
          <w:szCs w:val="16"/>
        </w:rPr>
        <w:t xml:space="preserve">» также готовы исполнить заказ на более выгодных, чем немцы условиях (Уборевич упоминал также фирму «Виккерс»); он, однако, сделал свой выбор на немецкой фирме, которую считал более толковой. Настаивая на подписании договора, Ворошилов и Уборевич пригрозили </w:t>
      </w:r>
      <w:proofErr w:type="spellStart"/>
      <w:r w:rsidRPr="00A259BD">
        <w:rPr>
          <w:rFonts w:ascii="Times New Roman" w:hAnsi="Times New Roman"/>
          <w:color w:val="000000" w:themeColor="text1"/>
          <w:sz w:val="16"/>
          <w:szCs w:val="16"/>
        </w:rPr>
        <w:t>Эльце</w:t>
      </w:r>
      <w:proofErr w:type="spellEnd"/>
      <w:r w:rsidRPr="00A259BD">
        <w:rPr>
          <w:rFonts w:ascii="Times New Roman" w:hAnsi="Times New Roman"/>
          <w:color w:val="000000" w:themeColor="text1"/>
          <w:sz w:val="16"/>
          <w:szCs w:val="16"/>
        </w:rPr>
        <w:t>, что затягивание переговоров потянет за собой не только ухудшение, но и пересмотр всего комплекса отношений между СССР и Германией, включая политический и экономический аспекты (18265).</w:t>
      </w:r>
    </w:p>
    <w:p w14:paraId="64BF9527" w14:textId="77777777" w:rsidR="00457F4F" w:rsidRPr="00A259BD" w:rsidRDefault="00457F4F" w:rsidP="009236E3">
      <w:pPr>
        <w:spacing w:after="0" w:line="240" w:lineRule="auto"/>
        <w:jc w:val="both"/>
        <w:rPr>
          <w:rFonts w:ascii="Times New Roman" w:hAnsi="Times New Roman"/>
          <w:color w:val="000000" w:themeColor="text1"/>
          <w:sz w:val="16"/>
          <w:szCs w:val="16"/>
        </w:rPr>
      </w:pPr>
    </w:p>
    <w:p w14:paraId="24C9EC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 концу 1929 г. в составе завода «Ленинская кузница» была построена Верфь им. Сухомлина /г. Киев/. В 1930-32 г. верфь действовала как самостоятельное предприятие. В 1931 г. на верфи спущен на воду первый буксирный пароход с цельносварным корпусом мощностью 150 л.с., до конца 1932 г. построено еще 9 буксиров (11982).</w:t>
      </w:r>
    </w:p>
    <w:p w14:paraId="718D98E8" w14:textId="77777777" w:rsidR="00F1356E" w:rsidRPr="00A259BD" w:rsidRDefault="00F1356E" w:rsidP="009236E3">
      <w:pPr>
        <w:autoSpaceDE w:val="0"/>
        <w:autoSpaceDN w:val="0"/>
        <w:adjustRightInd w:val="0"/>
        <w:spacing w:after="0" w:line="240" w:lineRule="auto"/>
        <w:jc w:val="both"/>
        <w:rPr>
          <w:rFonts w:ascii="Times New Roman" w:hAnsi="Times New Roman"/>
          <w:i/>
          <w:iCs/>
          <w:color w:val="000000" w:themeColor="text1"/>
          <w:sz w:val="16"/>
          <w:szCs w:val="16"/>
        </w:rPr>
      </w:pPr>
    </w:p>
    <w:p w14:paraId="602FFDD5"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2C29B078"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663A8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1929 года произошла фактическая отмена партмаксимума, а официально он был ликвидирован секретным постановлением Политбюро от 8 февраля 1932 года. Даже Е. Варга, занимавший в 20-30-е годы ответственные партийные посты, вспоминал, что ему неизвестно время отмены партмаксимума, о самом существовании которого умалчивалось во всех сталинских и </w:t>
      </w:r>
      <w:proofErr w:type="spellStart"/>
      <w:r w:rsidRPr="00A259BD">
        <w:rPr>
          <w:rFonts w:ascii="Times New Roman" w:hAnsi="Times New Roman"/>
          <w:color w:val="000000" w:themeColor="text1"/>
          <w:sz w:val="16"/>
          <w:szCs w:val="16"/>
        </w:rPr>
        <w:t>послесталинских</w:t>
      </w:r>
      <w:proofErr w:type="spellEnd"/>
      <w:r w:rsidRPr="00A259BD">
        <w:rPr>
          <w:rFonts w:ascii="Times New Roman" w:hAnsi="Times New Roman"/>
          <w:color w:val="000000" w:themeColor="text1"/>
          <w:sz w:val="16"/>
          <w:szCs w:val="16"/>
        </w:rPr>
        <w:t xml:space="preserve"> учебниках по истории партии. Однако он со всей определённостью подчеркивал, что после отмены партмаксимума в 30-е годы "началось радикальное расслоение советского общества, в зависимости от окладов. Один за другим - в соответствии с их значением для режима Сталина - выделялись привилегированные слои" (9492).</w:t>
      </w:r>
    </w:p>
    <w:p w14:paraId="483617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E32C8C6"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1929 г. все ИТЛ были переведены на самоокупаемость и освобождены от уплаты подоходного налога и промыслового налога с оборота. Перевод мест лишения свободы на самоокупаемость снимал с государства бремя расходов на содержание практически любых масс заключенных, так как стоимость выполнения ими работ покрывала, иногда с превышением, все траты. В письме заместителя председателя ОГПУ Ягоды на имя Молотова от 28 февраля 1933 г. говорится: "Все лагеря ОГПУ находятся на полной самоокупаемости и все расходы производят за счет собственных средств, не прибегая ни к какому банковскому кредитованию". Поддержание карательного аппарата стало практически безубыточным, и это, несомненно, говорит в пользу мнения об эффективности созданной системы. </w:t>
      </w:r>
    </w:p>
    <w:p w14:paraId="5D4D4F7C"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Положении об ИТЛ было записано, что все заключенные получают продовольственный паек в соответствии с характером выполняемой работы. Общее содержание и все виды обслуживания предоставлялись бесплатно. Самым важным средством повышения производительности труда заключенных стала система зачетов: перевыполнявшим установленную норму день работы засчитывался за полтора-два календарных дня срока, а на особо тяжелых работах даже за три. В итоге срок наказания мог сократиться втрое! </w:t>
      </w:r>
    </w:p>
    <w:p w14:paraId="79EF360A"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Оформление системы стимулирования производительности труда заключенных позволило в дальнейшем перейти к решению масштабных задач в интересах хозяйственного и оборонного строительства в СССР (12129).</w:t>
      </w:r>
    </w:p>
    <w:p w14:paraId="68F91059" w14:textId="77777777" w:rsidR="001D017F" w:rsidRPr="00A259BD" w:rsidRDefault="001D017F" w:rsidP="009236E3">
      <w:pPr>
        <w:spacing w:after="0" w:line="240" w:lineRule="auto"/>
        <w:jc w:val="both"/>
        <w:rPr>
          <w:rFonts w:ascii="Times New Roman" w:hAnsi="Times New Roman"/>
          <w:color w:val="000000" w:themeColor="text1"/>
          <w:sz w:val="16"/>
          <w:szCs w:val="16"/>
        </w:rPr>
      </w:pPr>
    </w:p>
    <w:p w14:paraId="26D81FEC" w14:textId="77777777" w:rsidR="004D0129" w:rsidRPr="00A259BD" w:rsidRDefault="004D0129" w:rsidP="009236E3">
      <w:pPr>
        <w:shd w:val="clear" w:color="auto" w:fill="FFFFFF"/>
        <w:spacing w:after="0" w:line="240" w:lineRule="auto"/>
        <w:jc w:val="both"/>
        <w:rPr>
          <w:rFonts w:ascii="Times New Roman" w:hAnsi="Times New Roman"/>
          <w:bCs/>
          <w:color w:val="000000" w:themeColor="text1"/>
          <w:sz w:val="16"/>
          <w:szCs w:val="16"/>
        </w:rPr>
      </w:pPr>
      <w:r w:rsidRPr="00A259BD">
        <w:rPr>
          <w:rFonts w:ascii="Times New Roman" w:hAnsi="Times New Roman"/>
          <w:color w:val="000000" w:themeColor="text1"/>
          <w:sz w:val="16"/>
          <w:szCs w:val="16"/>
          <w:shd w:val="clear" w:color="auto" w:fill="FFFFFF"/>
        </w:rPr>
        <w:t>В конце 1929 года у северных берегов Чукотки был зажат льдами пароход «Ставрополь». Для спасения тридцати пассажиров и команды парохода из Владивостока направили ледокол с гидросамолётами. Пробиться сквозь огромные ледяные поля не мог даже ледокол, и базу для спасения создали в чукотской бухте Провидения, в 600 километрах от зажатого льдами «Ставрополя». Здесь в разгар полярной зимы стали готовить к полёту самолёты (21430).</w:t>
      </w:r>
    </w:p>
    <w:p w14:paraId="4C4D75B4" w14:textId="77777777" w:rsidR="004D0129" w:rsidRPr="00A259BD" w:rsidRDefault="004D0129" w:rsidP="009236E3">
      <w:pPr>
        <w:pStyle w:val="ae"/>
        <w:shd w:val="clear" w:color="auto" w:fill="FFFFFF"/>
        <w:spacing w:before="0" w:after="0"/>
        <w:jc w:val="both"/>
        <w:textAlignment w:val="baseline"/>
        <w:rPr>
          <w:color w:val="000000" w:themeColor="text1"/>
          <w:sz w:val="16"/>
          <w:szCs w:val="16"/>
        </w:rPr>
      </w:pPr>
    </w:p>
    <w:p w14:paraId="35F503C5"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139E6374"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E5A062C" w14:textId="77777777" w:rsidR="00105CF0" w:rsidRPr="00A259BD" w:rsidRDefault="00105CF0"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г., согласно воспоминаниям И.Ф. Петрова, состоялось оформление продажи Турции самолетов из СССР, причем советская комиссия вылетала на переговоры на одном самолете ТБ-1 и трех Р-6 (18261).</w:t>
      </w:r>
    </w:p>
    <w:p w14:paraId="1EABA632" w14:textId="77777777" w:rsidR="00105CF0" w:rsidRPr="00A259BD" w:rsidRDefault="00105CF0" w:rsidP="009236E3">
      <w:pPr>
        <w:spacing w:after="0" w:line="240" w:lineRule="auto"/>
        <w:jc w:val="both"/>
        <w:rPr>
          <w:rFonts w:ascii="Times New Roman" w:hAnsi="Times New Roman"/>
          <w:color w:val="000000" w:themeColor="text1"/>
          <w:sz w:val="16"/>
          <w:szCs w:val="16"/>
        </w:rPr>
      </w:pPr>
    </w:p>
    <w:p w14:paraId="3A138855" w14:textId="77777777" w:rsidR="00596CC9" w:rsidRPr="00A259BD" w:rsidRDefault="00596CC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г., согласно воспоминаниям И.Ф. Петрова, состоялось оформление продажи Турции самолетов из СССР, причем советская комиссия вылетала на переговоры на одном самолете ТБ-1 и трех Р-6 (18512).</w:t>
      </w:r>
    </w:p>
    <w:p w14:paraId="1A61F940" w14:textId="77777777" w:rsidR="00596CC9" w:rsidRPr="00A259BD" w:rsidRDefault="00596CC9" w:rsidP="009236E3">
      <w:pPr>
        <w:spacing w:after="0" w:line="240" w:lineRule="auto"/>
        <w:jc w:val="both"/>
        <w:rPr>
          <w:rFonts w:ascii="Times New Roman" w:hAnsi="Times New Roman"/>
          <w:color w:val="000000" w:themeColor="text1"/>
          <w:sz w:val="16"/>
          <w:szCs w:val="16"/>
        </w:rPr>
      </w:pPr>
    </w:p>
    <w:p w14:paraId="6FAC5189" w14:textId="77777777" w:rsidR="005E45A4" w:rsidRPr="00441F34" w:rsidRDefault="005E45A4" w:rsidP="005E45A4">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конце 1929 г., согласно воспоминаниям И.Ф. Петрова, состоялось оформление продажи Турции самолетов из СССР, причем советская комиссия вылетала на переговоры на одном самолете ТБ-1 и трех Р-6. Турецкие историки подчеркивают, что Турция для увеличения своей военной мощи в начале 1930-х годов нуждалась в помощи Советского Союза. Советско-турецкие отношения в тот период включали в себя контакты советского руководства с верхушкой вооруженных сил Турции, в том числе и на уровне ВВС, а также военно-техническое сотрудничество, в том числе и в области авиации (24334).</w:t>
      </w:r>
    </w:p>
    <w:p w14:paraId="40C0E889" w14:textId="77777777" w:rsidR="005E45A4" w:rsidRPr="00441F34" w:rsidRDefault="005E45A4" w:rsidP="005E45A4">
      <w:pPr>
        <w:spacing w:after="0" w:line="240" w:lineRule="auto"/>
        <w:jc w:val="both"/>
        <w:rPr>
          <w:rFonts w:ascii="Times New Roman" w:hAnsi="Times New Roman"/>
          <w:color w:val="0070C0"/>
          <w:sz w:val="16"/>
          <w:szCs w:val="16"/>
        </w:rPr>
      </w:pPr>
    </w:p>
    <w:p w14:paraId="3BA3D3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г. начались переговоры об установлении прямой радиосвязи с Америкой. В 1931 г. вступила в строй трансатлантическая радиолиния Москва – Нью-Йорк протяженностью около 7500 км. Открытие этой магистрали освободило нашу страну от дорогостоящих услуг зарубежных радиостанций, к которым приходилось прибегать прежде. В этот период Москва имела возможность вести непосредственный радиообмен с Англией, Австрией, Италией, Германией, Францией и другими странами (11223).</w:t>
      </w:r>
    </w:p>
    <w:p w14:paraId="170731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FC16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1929 г. и РВС и штаб германских ВМС согласовали-таки сроки и программу первого визита советской морской делегации. В феврале 1930 г. группа морских офицеров во главе с командующим Черноморским флотом Орловым (Документы его были выправлены на имя Адамова. (John </w:t>
      </w:r>
      <w:proofErr w:type="spellStart"/>
      <w:r w:rsidRPr="00A259BD">
        <w:rPr>
          <w:rFonts w:ascii="Times New Roman" w:hAnsi="Times New Roman"/>
          <w:color w:val="000000" w:themeColor="text1"/>
          <w:sz w:val="16"/>
          <w:szCs w:val="16"/>
        </w:rPr>
        <w:t>Erickson</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Op</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cit</w:t>
      </w:r>
      <w:proofErr w:type="spellEnd"/>
      <w:r w:rsidRPr="00A259BD">
        <w:rPr>
          <w:rFonts w:ascii="Times New Roman" w:hAnsi="Times New Roman"/>
          <w:color w:val="000000" w:themeColor="text1"/>
          <w:sz w:val="16"/>
          <w:szCs w:val="16"/>
        </w:rPr>
        <w:t xml:space="preserve">., p. 713).) прибыла в Берлин. В ее состав входили также командир соединения минных заградителей Балтфлота П. И. Смирнов (под псевдонимом Соколин), председатель военно-морской секции Военно-научного комитета (ВНК) при РВС А. И. Берг, его заместитель П. Ю. </w:t>
      </w:r>
      <w:proofErr w:type="spellStart"/>
      <w:r w:rsidRPr="00A259BD">
        <w:rPr>
          <w:rFonts w:ascii="Times New Roman" w:hAnsi="Times New Roman"/>
          <w:color w:val="000000" w:themeColor="text1"/>
          <w:sz w:val="16"/>
          <w:szCs w:val="16"/>
        </w:rPr>
        <w:t>Орас</w:t>
      </w:r>
      <w:proofErr w:type="spellEnd"/>
      <w:r w:rsidRPr="00A259BD">
        <w:rPr>
          <w:rFonts w:ascii="Times New Roman" w:hAnsi="Times New Roman"/>
          <w:color w:val="000000" w:themeColor="text1"/>
          <w:sz w:val="16"/>
          <w:szCs w:val="16"/>
        </w:rPr>
        <w:t xml:space="preserve">, начальник артиллеристской секции ВНК Леонов. С немецкой стороны переговоры вели командующий ВМС Германии адмирал </w:t>
      </w:r>
      <w:proofErr w:type="spellStart"/>
      <w:r w:rsidRPr="00A259BD">
        <w:rPr>
          <w:rFonts w:ascii="Times New Roman" w:hAnsi="Times New Roman"/>
          <w:color w:val="000000" w:themeColor="text1"/>
          <w:sz w:val="16"/>
          <w:szCs w:val="16"/>
        </w:rPr>
        <w:t>Рэдер</w:t>
      </w:r>
      <w:proofErr w:type="spellEnd"/>
      <w:r w:rsidRPr="00A259BD">
        <w:rPr>
          <w:rFonts w:ascii="Times New Roman" w:hAnsi="Times New Roman"/>
          <w:color w:val="000000" w:themeColor="text1"/>
          <w:sz w:val="16"/>
          <w:szCs w:val="16"/>
        </w:rPr>
        <w:t xml:space="preserve">, его заместитель адмирал </w:t>
      </w:r>
      <w:proofErr w:type="spellStart"/>
      <w:r w:rsidRPr="00A259BD">
        <w:rPr>
          <w:rFonts w:ascii="Times New Roman" w:hAnsi="Times New Roman"/>
          <w:color w:val="000000" w:themeColor="text1"/>
          <w:sz w:val="16"/>
          <w:szCs w:val="16"/>
        </w:rPr>
        <w:t>Брутцер</w:t>
      </w:r>
      <w:proofErr w:type="spellEnd"/>
      <w:r w:rsidRPr="00A259BD">
        <w:rPr>
          <w:rFonts w:ascii="Times New Roman" w:hAnsi="Times New Roman"/>
          <w:color w:val="000000" w:themeColor="text1"/>
          <w:sz w:val="16"/>
          <w:szCs w:val="16"/>
        </w:rPr>
        <w:t xml:space="preserve">, а также морские офицеры </w:t>
      </w:r>
      <w:proofErr w:type="spellStart"/>
      <w:r w:rsidRPr="00A259BD">
        <w:rPr>
          <w:rFonts w:ascii="Times New Roman" w:hAnsi="Times New Roman"/>
          <w:color w:val="000000" w:themeColor="text1"/>
          <w:sz w:val="16"/>
          <w:szCs w:val="16"/>
        </w:rPr>
        <w:t>Айхель</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Тилиссен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Ханзен</w:t>
      </w:r>
      <w:proofErr w:type="spellEnd"/>
      <w:r w:rsidRPr="00A259BD">
        <w:rPr>
          <w:rFonts w:ascii="Times New Roman" w:hAnsi="Times New Roman"/>
          <w:color w:val="000000" w:themeColor="text1"/>
          <w:sz w:val="16"/>
          <w:szCs w:val="16"/>
        </w:rPr>
        <w:t xml:space="preserve">. Немцы прямо сказали Орлову, что германский флот мало заинтересован в сотрудничестве с СССР в области вооружений, поскольку здесь Германия продвинулась гораздо дальше, чем Советский Союз. Но </w:t>
      </w:r>
      <w:proofErr w:type="spellStart"/>
      <w:r w:rsidRPr="00A259BD">
        <w:rPr>
          <w:rFonts w:ascii="Times New Roman" w:hAnsi="Times New Roman"/>
          <w:color w:val="000000" w:themeColor="text1"/>
          <w:sz w:val="16"/>
          <w:szCs w:val="16"/>
        </w:rPr>
        <w:t>Брутцер</w:t>
      </w:r>
      <w:proofErr w:type="spellEnd"/>
      <w:r w:rsidRPr="00A259BD">
        <w:rPr>
          <w:rFonts w:ascii="Times New Roman" w:hAnsi="Times New Roman"/>
          <w:color w:val="000000" w:themeColor="text1"/>
          <w:sz w:val="16"/>
          <w:szCs w:val="16"/>
        </w:rPr>
        <w:t xml:space="preserve"> отметил, что было бы неплохо использовать возможность для подготовки на территории СССР немецких летчиков морской авиации, так как самой Германии это было запрещено Версальским договором. Орлов пригласил немцев приехать с ответным визитом в СССР. Летом 1931 г. семь немецких летчиков морской авиации прошли обучение в Липецке. Помимо Берлина делегация Орлова посетила Киль, Вильгельмсхафен, Гамбург, Бремен, Дюссельдорф. В Киле ей показали крейсеры «</w:t>
      </w:r>
      <w:proofErr w:type="spellStart"/>
      <w:r w:rsidRPr="00A259BD">
        <w:rPr>
          <w:rFonts w:ascii="Times New Roman" w:hAnsi="Times New Roman"/>
          <w:color w:val="000000" w:themeColor="text1"/>
          <w:sz w:val="16"/>
          <w:szCs w:val="16"/>
        </w:rPr>
        <w:t>Пройссен</w:t>
      </w:r>
      <w:proofErr w:type="spellEnd"/>
      <w:r w:rsidRPr="00A259BD">
        <w:rPr>
          <w:rFonts w:ascii="Times New Roman" w:hAnsi="Times New Roman"/>
          <w:color w:val="000000" w:themeColor="text1"/>
          <w:sz w:val="16"/>
          <w:szCs w:val="16"/>
        </w:rPr>
        <w:t>» и «Кенигсберг», морской арсенал, стапеля фирмы «Дойче Верке», школу морской артиллерии, механическую школу, радиостанцию; в Вильгельмсхафене — крейсер «</w:t>
      </w:r>
      <w:proofErr w:type="spellStart"/>
      <w:r w:rsidRPr="00A259BD">
        <w:rPr>
          <w:rFonts w:ascii="Times New Roman" w:hAnsi="Times New Roman"/>
          <w:color w:val="000000" w:themeColor="text1"/>
          <w:sz w:val="16"/>
          <w:szCs w:val="16"/>
        </w:rPr>
        <w:t>Ляйпциг</w:t>
      </w:r>
      <w:proofErr w:type="spellEnd"/>
      <w:r w:rsidRPr="00A259BD">
        <w:rPr>
          <w:rFonts w:ascii="Times New Roman" w:hAnsi="Times New Roman"/>
          <w:color w:val="000000" w:themeColor="text1"/>
          <w:sz w:val="16"/>
          <w:szCs w:val="16"/>
        </w:rPr>
        <w:t>», морскую верфь, школу береговой артиллерии, зенитную батарею; в Дюссельдорфе — орудийный завод «</w:t>
      </w:r>
      <w:proofErr w:type="spellStart"/>
      <w:r w:rsidRPr="00A259BD">
        <w:rPr>
          <w:rFonts w:ascii="Times New Roman" w:hAnsi="Times New Roman"/>
          <w:color w:val="000000" w:themeColor="text1"/>
          <w:sz w:val="16"/>
          <w:szCs w:val="16"/>
        </w:rPr>
        <w:t>Райнметалла</w:t>
      </w:r>
      <w:proofErr w:type="spellEnd"/>
      <w:r w:rsidRPr="00A259BD">
        <w:rPr>
          <w:rFonts w:ascii="Times New Roman" w:hAnsi="Times New Roman"/>
          <w:color w:val="000000" w:themeColor="text1"/>
          <w:sz w:val="16"/>
          <w:szCs w:val="16"/>
        </w:rPr>
        <w:t xml:space="preserve">». По результатам поездки Орлов отметил, что с подводными лодками, торпедными катерами, минами, химией и зенитной артиллерией ознакомиться не удалось. Он сделал вывод о нежелании немцев знакомить советскую делегацию с данными видами вооружений. Однако не это было главным. Относительно сотрудничества с германскими ВМС по существу он писал: «Германский флот представляет для нас весьма крупный интерес. &lt;...&gt; Высокая техника и солидный боевой опыт германского флота подтверждают это со всей определенностью. Связь с германским флотом должна быть продолжена и превращена в систематическую и постоянную. Использование нами германской военно-морской техники должно быть поставлено со всей серьезностью. Необходимо теперь же приступить к разработке вопросов: реализации технической помощи со стороны Германии, увязки пятилетки строительства морских сил РККА с производством отдельных заказов в Германии, изучения непосредственно на предприятии отдельных технических проблем. Следует также учесть необходимость тщательной и продуманной проработки вопроса о привлечении (в соответственно ограниченных рамках) немцев к усовершенствованию учебно-боевой подготовки морских сил СССР. Соблюдая в этом вопросе особую осторожность и предусмотрительность, необходимо все же использовать не только технические достижения, но и боевой опыт германского флота» (Отчет Орлова. РГВА, ф 4, </w:t>
      </w:r>
      <w:proofErr w:type="spellStart"/>
      <w:r w:rsidRPr="00A259BD">
        <w:rPr>
          <w:rFonts w:ascii="Times New Roman" w:hAnsi="Times New Roman"/>
          <w:color w:val="000000" w:themeColor="text1"/>
          <w:sz w:val="16"/>
          <w:szCs w:val="16"/>
        </w:rPr>
        <w:t>on</w:t>
      </w:r>
      <w:proofErr w:type="spellEnd"/>
      <w:r w:rsidRPr="00A259BD">
        <w:rPr>
          <w:rFonts w:ascii="Times New Roman" w:hAnsi="Times New Roman"/>
          <w:color w:val="000000" w:themeColor="text1"/>
          <w:sz w:val="16"/>
          <w:szCs w:val="16"/>
        </w:rPr>
        <w:t>. 1, д. 1411, л. 145.) (11784).</w:t>
      </w:r>
    </w:p>
    <w:p w14:paraId="26F3E0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0AD12D" w14:textId="77777777" w:rsidR="00596CC9" w:rsidRPr="00A259BD" w:rsidRDefault="00596CC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1929 г. и РВС и штаб германских ВМС согласовали-таки сроки и программу первого визита советской морской делегации. В феврале 1930 г. группа морских офицеров во главе с командующим Черноморским флотом Орловым прибыла в Берлин. В ее состав входили также командир соединения минных заградителей Балтфлота П. И. Смирнов (под псевдонимом Соколин), председатель военно-морской секции Военно-научного комитета (ВНК) при РВС А. И. Берг, его заместитель П. Ю. </w:t>
      </w:r>
      <w:proofErr w:type="spellStart"/>
      <w:r w:rsidRPr="00A259BD">
        <w:rPr>
          <w:rFonts w:ascii="Times New Roman" w:hAnsi="Times New Roman"/>
          <w:color w:val="000000" w:themeColor="text1"/>
          <w:sz w:val="16"/>
          <w:szCs w:val="16"/>
        </w:rPr>
        <w:t>Орас</w:t>
      </w:r>
      <w:proofErr w:type="spellEnd"/>
      <w:r w:rsidRPr="00A259BD">
        <w:rPr>
          <w:rFonts w:ascii="Times New Roman" w:hAnsi="Times New Roman"/>
          <w:color w:val="000000" w:themeColor="text1"/>
          <w:sz w:val="16"/>
          <w:szCs w:val="16"/>
        </w:rPr>
        <w:t xml:space="preserve">, начальник артиллеристской секции ВНК Леонов. С немецкой стороны переговоры вели командующий ВМС Германии адмирал </w:t>
      </w:r>
      <w:proofErr w:type="spellStart"/>
      <w:r w:rsidRPr="00A259BD">
        <w:rPr>
          <w:rFonts w:ascii="Times New Roman" w:hAnsi="Times New Roman"/>
          <w:color w:val="000000" w:themeColor="text1"/>
          <w:sz w:val="16"/>
          <w:szCs w:val="16"/>
        </w:rPr>
        <w:t>Рэдер</w:t>
      </w:r>
      <w:proofErr w:type="spellEnd"/>
      <w:r w:rsidRPr="00A259BD">
        <w:rPr>
          <w:rFonts w:ascii="Times New Roman" w:hAnsi="Times New Roman"/>
          <w:color w:val="000000" w:themeColor="text1"/>
          <w:sz w:val="16"/>
          <w:szCs w:val="16"/>
        </w:rPr>
        <w:t xml:space="preserve">, его заместитель адмирал </w:t>
      </w:r>
      <w:proofErr w:type="spellStart"/>
      <w:r w:rsidRPr="00A259BD">
        <w:rPr>
          <w:rFonts w:ascii="Times New Roman" w:hAnsi="Times New Roman"/>
          <w:color w:val="000000" w:themeColor="text1"/>
          <w:sz w:val="16"/>
          <w:szCs w:val="16"/>
        </w:rPr>
        <w:t>Брутцер</w:t>
      </w:r>
      <w:proofErr w:type="spellEnd"/>
      <w:r w:rsidRPr="00A259BD">
        <w:rPr>
          <w:rFonts w:ascii="Times New Roman" w:hAnsi="Times New Roman"/>
          <w:color w:val="000000" w:themeColor="text1"/>
          <w:sz w:val="16"/>
          <w:szCs w:val="16"/>
        </w:rPr>
        <w:t xml:space="preserve">, а также морские офицеры </w:t>
      </w:r>
      <w:proofErr w:type="spellStart"/>
      <w:r w:rsidRPr="00A259BD">
        <w:rPr>
          <w:rFonts w:ascii="Times New Roman" w:hAnsi="Times New Roman"/>
          <w:color w:val="000000" w:themeColor="text1"/>
          <w:sz w:val="16"/>
          <w:szCs w:val="16"/>
        </w:rPr>
        <w:t>Айхель</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Тилиссен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Ханзен</w:t>
      </w:r>
      <w:proofErr w:type="spellEnd"/>
      <w:r w:rsidRPr="00A259BD">
        <w:rPr>
          <w:rFonts w:ascii="Times New Roman" w:hAnsi="Times New Roman"/>
          <w:color w:val="000000" w:themeColor="text1"/>
          <w:sz w:val="16"/>
          <w:szCs w:val="16"/>
        </w:rPr>
        <w:t xml:space="preserve">. Немцы прямо сказали Орлову, что германский флот мало заинтересован в сотрудничестве с СССР в области вооружений, поскольку здесь Германия продвинулась гораздо дальше, чем Советский Союз. Но </w:t>
      </w:r>
      <w:proofErr w:type="spellStart"/>
      <w:r w:rsidRPr="00A259BD">
        <w:rPr>
          <w:rFonts w:ascii="Times New Roman" w:hAnsi="Times New Roman"/>
          <w:color w:val="000000" w:themeColor="text1"/>
          <w:sz w:val="16"/>
          <w:szCs w:val="16"/>
        </w:rPr>
        <w:t>Брутцер</w:t>
      </w:r>
      <w:proofErr w:type="spellEnd"/>
      <w:r w:rsidRPr="00A259BD">
        <w:rPr>
          <w:rFonts w:ascii="Times New Roman" w:hAnsi="Times New Roman"/>
          <w:color w:val="000000" w:themeColor="text1"/>
          <w:sz w:val="16"/>
          <w:szCs w:val="16"/>
        </w:rPr>
        <w:t xml:space="preserve"> отметил, что было бы неплохо использовать возможность для подготовки на территории СССР немецких летчиков морской авиации, так как самой Германии это было запрещено Версальским договором. Орлов пригласил немцев приехать с ответным визитом в СССР. Летом 1931 г. семь немецких летчиков морской авиации прошли обучение в Липецке.</w:t>
      </w:r>
    </w:p>
    <w:p w14:paraId="3B079CF1" w14:textId="77777777" w:rsidR="00596CC9" w:rsidRPr="00A259BD" w:rsidRDefault="00596CC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Помимо Берлина делегация Орлова посетила Киль, Вильгельмсхафен, Гамбург, Бремен, Дюссельдорф. В Киле ей показали крейсеры «</w:t>
      </w:r>
      <w:proofErr w:type="spellStart"/>
      <w:r w:rsidRPr="00A259BD">
        <w:rPr>
          <w:rFonts w:ascii="Times New Roman" w:hAnsi="Times New Roman"/>
          <w:color w:val="000000" w:themeColor="text1"/>
          <w:sz w:val="16"/>
          <w:szCs w:val="16"/>
        </w:rPr>
        <w:t>Пройссен</w:t>
      </w:r>
      <w:proofErr w:type="spellEnd"/>
      <w:r w:rsidRPr="00A259BD">
        <w:rPr>
          <w:rFonts w:ascii="Times New Roman" w:hAnsi="Times New Roman"/>
          <w:color w:val="000000" w:themeColor="text1"/>
          <w:sz w:val="16"/>
          <w:szCs w:val="16"/>
        </w:rPr>
        <w:t>» и «Кенигсберг», морской арсенал, стапеля фирмы «Дойче Верке», школу морской артиллерии, механическую школу, радиостанцию; в Вильгельмсхафене — крейсер «</w:t>
      </w:r>
      <w:proofErr w:type="spellStart"/>
      <w:r w:rsidRPr="00A259BD">
        <w:rPr>
          <w:rFonts w:ascii="Times New Roman" w:hAnsi="Times New Roman"/>
          <w:color w:val="000000" w:themeColor="text1"/>
          <w:sz w:val="16"/>
          <w:szCs w:val="16"/>
        </w:rPr>
        <w:t>Ляйпциг</w:t>
      </w:r>
      <w:proofErr w:type="spellEnd"/>
      <w:r w:rsidRPr="00A259BD">
        <w:rPr>
          <w:rFonts w:ascii="Times New Roman" w:hAnsi="Times New Roman"/>
          <w:color w:val="000000" w:themeColor="text1"/>
          <w:sz w:val="16"/>
          <w:szCs w:val="16"/>
        </w:rPr>
        <w:t>», морскую верфь, школу береговой артиллерии, зенитную батарею; в Дюссельдорфе — орудийный завод «</w:t>
      </w:r>
      <w:proofErr w:type="spellStart"/>
      <w:r w:rsidRPr="00A259BD">
        <w:rPr>
          <w:rFonts w:ascii="Times New Roman" w:hAnsi="Times New Roman"/>
          <w:color w:val="000000" w:themeColor="text1"/>
          <w:sz w:val="16"/>
          <w:szCs w:val="16"/>
        </w:rPr>
        <w:t>Райнметалла</w:t>
      </w:r>
      <w:proofErr w:type="spellEnd"/>
      <w:r w:rsidRPr="00A259BD">
        <w:rPr>
          <w:rFonts w:ascii="Times New Roman" w:hAnsi="Times New Roman"/>
          <w:color w:val="000000" w:themeColor="text1"/>
          <w:sz w:val="16"/>
          <w:szCs w:val="16"/>
        </w:rPr>
        <w:t>».</w:t>
      </w:r>
    </w:p>
    <w:p w14:paraId="2E1C8B1D" w14:textId="77777777" w:rsidR="00596CC9" w:rsidRPr="00A259BD" w:rsidRDefault="00596CC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результатам поездки Орлов отметил, что с подводными лодками, торпедными катерами, минами, химией и зенитной артиллерией ознакомиться не удалось. Он сделал вывод о нежелании немцев знакомить советскую делегацию с данными видами вооружений. Однако не это было главным. Относительно сотрудничества с германскими ВМС по существу он писал:</w:t>
      </w:r>
    </w:p>
    <w:p w14:paraId="1811AEE8" w14:textId="77777777" w:rsidR="00596CC9" w:rsidRPr="00A259BD" w:rsidRDefault="00596CC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«Германский флот представляет для нас весьма крупный интерес. &lt;…&gt; Высокая техника и солидный боевой опыт германского флота подтверждают это со всей определенностью. Связь с германским флотом должна быть продолжена и превращена в систематическую и постоянную.</w:t>
      </w:r>
    </w:p>
    <w:p w14:paraId="796FA5D0" w14:textId="77777777" w:rsidR="00596CC9" w:rsidRPr="00A259BD" w:rsidRDefault="00596CC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Использование нами германской военно-морской техники должно быть поставлено со всей серьезностью. Необходимо теперь же приступить к разработке вопросов: реализации технической помощи со стороны Германии, увязки пятилетки строительства морских сил РККА с производством отдельных заказов в Германии, изучения непосредственно на предприятии отдельных технических проблем.</w:t>
      </w:r>
    </w:p>
    <w:p w14:paraId="4B390ADB" w14:textId="77777777" w:rsidR="00596CC9" w:rsidRPr="00A259BD" w:rsidRDefault="00596CC9"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Следует также учесть необходимость тщательной и продуманной проработки вопроса о привлечении (в соответственно ограниченных рамках) немцев к усовершенствованию учебно-боевой подготовки морских сил СССР. Соблюдая в этом вопросе особую осторожность и предусмотрительность, необходимо все же использовать не только технические достижения, но и боевой опыт германского флота» (18265).</w:t>
      </w:r>
    </w:p>
    <w:p w14:paraId="66625BC8" w14:textId="77777777" w:rsidR="00596CC9" w:rsidRPr="00A259BD" w:rsidRDefault="00596CC9" w:rsidP="009236E3">
      <w:pPr>
        <w:spacing w:after="0" w:line="240" w:lineRule="auto"/>
        <w:jc w:val="both"/>
        <w:rPr>
          <w:rFonts w:ascii="Times New Roman" w:hAnsi="Times New Roman"/>
          <w:color w:val="000000" w:themeColor="text1"/>
          <w:sz w:val="16"/>
          <w:szCs w:val="16"/>
        </w:rPr>
      </w:pPr>
    </w:p>
    <w:p w14:paraId="6667FAE5" w14:textId="77777777" w:rsidR="00457F4F" w:rsidRPr="00A259BD" w:rsidRDefault="00457F4F"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1929 года в составе ОМС организован секретно-инструкторский подотдел, на который возложено общее руководство, инструктирование и контроль за секретным делопроизводством во всех отделах и </w:t>
      </w:r>
      <w:proofErr w:type="spellStart"/>
      <w:r w:rsidRPr="00A259BD">
        <w:rPr>
          <w:rFonts w:ascii="Times New Roman" w:hAnsi="Times New Roman"/>
          <w:color w:val="000000" w:themeColor="text1"/>
          <w:sz w:val="16"/>
          <w:szCs w:val="16"/>
        </w:rPr>
        <w:t>лендерсекретариатах</w:t>
      </w:r>
      <w:proofErr w:type="spellEnd"/>
      <w:r w:rsidRPr="00A259BD">
        <w:rPr>
          <w:rFonts w:ascii="Times New Roman" w:hAnsi="Times New Roman"/>
          <w:color w:val="000000" w:themeColor="text1"/>
          <w:sz w:val="16"/>
          <w:szCs w:val="16"/>
        </w:rPr>
        <w:t xml:space="preserve"> ИККИ. 1929 год - в Тегеране, Гонконге, Сингапуре организованы пункты связи ИККИ с компартиями в этих и близлежащих странах (8983).</w:t>
      </w:r>
    </w:p>
    <w:p w14:paraId="3E110AF8" w14:textId="77777777" w:rsidR="00457F4F" w:rsidRPr="00A259BD" w:rsidRDefault="00457F4F" w:rsidP="009236E3">
      <w:pPr>
        <w:autoSpaceDE w:val="0"/>
        <w:autoSpaceDN w:val="0"/>
        <w:adjustRightInd w:val="0"/>
        <w:spacing w:after="0" w:line="240" w:lineRule="auto"/>
        <w:jc w:val="both"/>
        <w:rPr>
          <w:rFonts w:ascii="Times New Roman" w:hAnsi="Times New Roman"/>
          <w:color w:val="000000" w:themeColor="text1"/>
          <w:sz w:val="16"/>
          <w:szCs w:val="16"/>
        </w:rPr>
      </w:pPr>
    </w:p>
    <w:p w14:paraId="2EDE9586"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2C1B0FD2"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53AB279" w14:textId="77777777" w:rsidR="000324E5" w:rsidRPr="00A259BD" w:rsidRDefault="000324E5" w:rsidP="009236E3">
      <w:pPr>
        <w:spacing w:after="0" w:line="240" w:lineRule="auto"/>
        <w:jc w:val="both"/>
        <w:rPr>
          <w:rFonts w:ascii="Times New Roman" w:eastAsia="Times New Roman" w:hAnsi="Times New Roman"/>
          <w:color w:val="000000" w:themeColor="text1"/>
          <w:sz w:val="16"/>
          <w:szCs w:val="16"/>
          <w:lang w:eastAsia="ru-RU"/>
        </w:rPr>
      </w:pPr>
      <w:r w:rsidRPr="00A259BD">
        <w:rPr>
          <w:rFonts w:ascii="Times New Roman" w:eastAsia="Times New Roman" w:hAnsi="Times New Roman"/>
          <w:color w:val="000000" w:themeColor="text1"/>
          <w:sz w:val="16"/>
          <w:szCs w:val="16"/>
          <w:lang w:eastAsia="ru-RU"/>
        </w:rPr>
        <w:t xml:space="preserve">В конце 1929 года немецкий лётчик и авиаконструктор Г. </w:t>
      </w:r>
      <w:proofErr w:type="spellStart"/>
      <w:r w:rsidRPr="00A259BD">
        <w:rPr>
          <w:rFonts w:ascii="Times New Roman" w:eastAsia="Times New Roman" w:hAnsi="Times New Roman"/>
          <w:color w:val="000000" w:themeColor="text1"/>
          <w:sz w:val="16"/>
          <w:szCs w:val="16"/>
          <w:lang w:eastAsia="ru-RU"/>
        </w:rPr>
        <w:t>Эспенлауб</w:t>
      </w:r>
      <w:proofErr w:type="spellEnd"/>
      <w:r w:rsidRPr="00A259BD">
        <w:rPr>
          <w:rFonts w:ascii="Times New Roman" w:eastAsia="Times New Roman" w:hAnsi="Times New Roman"/>
          <w:color w:val="000000" w:themeColor="text1"/>
          <w:sz w:val="16"/>
          <w:szCs w:val="16"/>
          <w:lang w:eastAsia="ru-RU"/>
        </w:rPr>
        <w:t xml:space="preserve"> установил две пороховые ракеты на крыле планера обычной схемы. Ему удалось осуществить короткий реактивный полёт, но после посадки пилот обнаружил, что вертикальное оперение сильно обгорело. Поэтому следующий опыт </w:t>
      </w:r>
      <w:proofErr w:type="spellStart"/>
      <w:r w:rsidRPr="00A259BD">
        <w:rPr>
          <w:rFonts w:ascii="Times New Roman" w:eastAsia="Times New Roman" w:hAnsi="Times New Roman"/>
          <w:color w:val="000000" w:themeColor="text1"/>
          <w:sz w:val="16"/>
          <w:szCs w:val="16"/>
          <w:lang w:eastAsia="ru-RU"/>
        </w:rPr>
        <w:t>Эспенлауб</w:t>
      </w:r>
      <w:proofErr w:type="spellEnd"/>
      <w:r w:rsidRPr="00A259BD">
        <w:rPr>
          <w:rFonts w:ascii="Times New Roman" w:eastAsia="Times New Roman" w:hAnsi="Times New Roman"/>
          <w:color w:val="000000" w:themeColor="text1"/>
          <w:sz w:val="16"/>
          <w:szCs w:val="16"/>
          <w:lang w:eastAsia="ru-RU"/>
        </w:rPr>
        <w:t xml:space="preserve"> проводил на бесхвостом планере. Аппарат весил 220 кг, из них 70 кг приходилось на пороховые ракеты. Испытание состоялось в октябре 1930 г. на аэродроме в Дюссельдорфе. Отбуксированный на высоту самолётом ракетоплан развил скорость 90 км/ч (17489).</w:t>
      </w:r>
    </w:p>
    <w:p w14:paraId="57DD94DC" w14:textId="77777777" w:rsidR="000324E5" w:rsidRPr="00A259BD" w:rsidRDefault="000324E5" w:rsidP="009236E3">
      <w:pPr>
        <w:spacing w:after="0" w:line="240" w:lineRule="auto"/>
        <w:jc w:val="both"/>
        <w:rPr>
          <w:rFonts w:ascii="Times New Roman" w:eastAsia="Times New Roman" w:hAnsi="Times New Roman"/>
          <w:color w:val="000000" w:themeColor="text1"/>
          <w:sz w:val="16"/>
          <w:szCs w:val="16"/>
          <w:lang w:eastAsia="ru-RU"/>
        </w:rPr>
      </w:pPr>
    </w:p>
    <w:p w14:paraId="58B11008" w14:textId="77777777" w:rsidR="005D047D" w:rsidRPr="00A259BD" w:rsidRDefault="005D047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концу 1929 г. в «Немецком ракетном обществе» (оно насчитывало 870 человек) о достижениях Годдарда ничего не знали. Профессор </w:t>
      </w:r>
      <w:proofErr w:type="spellStart"/>
      <w:r w:rsidRPr="00A259BD">
        <w:rPr>
          <w:rFonts w:ascii="Times New Roman" w:hAnsi="Times New Roman"/>
          <w:color w:val="000000" w:themeColor="text1"/>
          <w:sz w:val="16"/>
          <w:szCs w:val="16"/>
        </w:rPr>
        <w:t>Оберт</w:t>
      </w:r>
      <w:proofErr w:type="spellEnd"/>
      <w:r w:rsidRPr="00A259BD">
        <w:rPr>
          <w:rFonts w:ascii="Times New Roman" w:hAnsi="Times New Roman"/>
          <w:color w:val="000000" w:themeColor="text1"/>
          <w:sz w:val="16"/>
          <w:szCs w:val="16"/>
        </w:rPr>
        <w:t>, занявший пост президента «Общества», приступил к экспериментальной отработке жидкостной ракеты собственной конструкции «</w:t>
      </w:r>
      <w:proofErr w:type="spellStart"/>
      <w:r w:rsidRPr="00A259BD">
        <w:rPr>
          <w:rFonts w:ascii="Times New Roman" w:hAnsi="Times New Roman"/>
          <w:color w:val="000000" w:themeColor="text1"/>
          <w:sz w:val="16"/>
          <w:szCs w:val="16"/>
        </w:rPr>
        <w:t>Кегельдюзе</w:t>
      </w:r>
      <w:proofErr w:type="spellEnd"/>
      <w:r w:rsidRPr="00A259BD">
        <w:rPr>
          <w:rFonts w:ascii="Times New Roman" w:hAnsi="Times New Roman"/>
          <w:color w:val="000000" w:themeColor="text1"/>
          <w:sz w:val="16"/>
          <w:szCs w:val="16"/>
        </w:rPr>
        <w:t xml:space="preserve">» («Конус»), в этом ему помогал молодой член «Общества», студент Вернер фон Браун (1912). Еще один член «Общества» инженер Рудольф </w:t>
      </w:r>
      <w:proofErr w:type="spellStart"/>
      <w:r w:rsidRPr="00A259BD">
        <w:rPr>
          <w:rFonts w:ascii="Times New Roman" w:hAnsi="Times New Roman"/>
          <w:color w:val="000000" w:themeColor="text1"/>
          <w:sz w:val="16"/>
          <w:szCs w:val="16"/>
        </w:rPr>
        <w:t>Небель</w:t>
      </w:r>
      <w:proofErr w:type="spellEnd"/>
      <w:r w:rsidRPr="00A259BD">
        <w:rPr>
          <w:rFonts w:ascii="Times New Roman" w:hAnsi="Times New Roman"/>
          <w:color w:val="000000" w:themeColor="text1"/>
          <w:sz w:val="16"/>
          <w:szCs w:val="16"/>
        </w:rPr>
        <w:t xml:space="preserve"> готовил к испытаниям свою малую ракету «</w:t>
      </w:r>
      <w:proofErr w:type="spellStart"/>
      <w:r w:rsidRPr="00A259BD">
        <w:rPr>
          <w:rFonts w:ascii="Times New Roman" w:hAnsi="Times New Roman"/>
          <w:color w:val="000000" w:themeColor="text1"/>
          <w:sz w:val="16"/>
          <w:szCs w:val="16"/>
        </w:rPr>
        <w:t>Мирак</w:t>
      </w:r>
      <w:proofErr w:type="spellEnd"/>
      <w:r w:rsidRPr="00A259BD">
        <w:rPr>
          <w:rFonts w:ascii="Times New Roman" w:hAnsi="Times New Roman"/>
          <w:color w:val="000000" w:themeColor="text1"/>
          <w:sz w:val="16"/>
          <w:szCs w:val="16"/>
        </w:rPr>
        <w:t>». Ни та, ни другая ракеты не взлетели, но 23 июля 1930 г. Государственный немецкий институт химии и технологии выдал «Обществу» официальный документ, удостоверяющий, что «двигатель «</w:t>
      </w:r>
      <w:proofErr w:type="spellStart"/>
      <w:r w:rsidRPr="00A259BD">
        <w:rPr>
          <w:rFonts w:ascii="Times New Roman" w:hAnsi="Times New Roman"/>
          <w:color w:val="000000" w:themeColor="text1"/>
          <w:sz w:val="16"/>
          <w:szCs w:val="16"/>
        </w:rPr>
        <w:t>Кегельдюзе</w:t>
      </w:r>
      <w:proofErr w:type="spellEnd"/>
      <w:r w:rsidRPr="00A259BD">
        <w:rPr>
          <w:rFonts w:ascii="Times New Roman" w:hAnsi="Times New Roman"/>
          <w:color w:val="000000" w:themeColor="text1"/>
          <w:sz w:val="16"/>
          <w:szCs w:val="16"/>
        </w:rPr>
        <w:t>» исправно работал в течение 90 секунд, израсходовав 6 кг жидкого кислорода и 1 кг бензина и развив при этом тягу около 7 кг»^. В «Немецком ракетном обществе» считали, что честь запуска первой в Европе ракеты с жидкостным ракетным двигателем (ЖРД) принадлежит Иоганну Винклеру (1897-1947). Его ракета Н^^К-1 (Хюккель-Винклер-ракета) имела в длину около 60 см, весила 5 кг, имела три топливных бака с жидким метаном, жидким кислородом и сжатым азотом (22685).</w:t>
      </w:r>
    </w:p>
    <w:p w14:paraId="1BC0F2C7" w14:textId="77777777" w:rsidR="005D047D" w:rsidRPr="00A259BD" w:rsidRDefault="005D047D" w:rsidP="009236E3">
      <w:pPr>
        <w:spacing w:after="0" w:line="240" w:lineRule="auto"/>
        <w:jc w:val="both"/>
        <w:rPr>
          <w:rFonts w:ascii="Times New Roman" w:hAnsi="Times New Roman"/>
          <w:color w:val="000000" w:themeColor="text1"/>
          <w:sz w:val="16"/>
          <w:szCs w:val="16"/>
        </w:rPr>
      </w:pPr>
    </w:p>
    <w:p w14:paraId="6AA4B2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1929 начался мировой экономический кризис (430,101).</w:t>
      </w:r>
    </w:p>
    <w:p w14:paraId="4B4DDA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CE0AC3"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6F7F9CD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DB13203"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color w:val="000000" w:themeColor="text1"/>
          <w:sz w:val="16"/>
          <w:szCs w:val="16"/>
        </w:rPr>
        <w:t xml:space="preserve">Во втором полугодии 1929 года был подготовлен проект пятилетнего плана опытного самолетостроения на 1928/29 – 1932/33 годы. В основу развития пятилетнего плана были взяты предпосылки и тактические требования, разработанные специалистами Научно-технического комитета (НТК УВВС). При составлении плана учитывались производственные возможности </w:t>
      </w:r>
      <w:proofErr w:type="spellStart"/>
      <w:r w:rsidRPr="00A259BD">
        <w:rPr>
          <w:color w:val="000000" w:themeColor="text1"/>
          <w:sz w:val="16"/>
          <w:szCs w:val="16"/>
        </w:rPr>
        <w:t>Авиатреста</w:t>
      </w:r>
      <w:proofErr w:type="spellEnd"/>
      <w:r w:rsidRPr="00A259BD">
        <w:rPr>
          <w:color w:val="000000" w:themeColor="text1"/>
          <w:sz w:val="16"/>
          <w:szCs w:val="16"/>
        </w:rPr>
        <w:t>, емкость его заводов, развитие металлообрабатывающей промышленности, исследовательские возможности научных институтов и промышленности в области постройки винтов с переменным шагом в полете, тормозных и прочих приспособлений для уменьшения пробега самолета и облегчения посадки и т.п.</w:t>
      </w:r>
    </w:p>
    <w:p w14:paraId="61D85642"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color w:val="000000" w:themeColor="text1"/>
          <w:sz w:val="16"/>
          <w:szCs w:val="16"/>
        </w:rPr>
        <w:t>В пояснительной записке к плану отмечалось, что</w:t>
      </w:r>
    </w:p>
    <w:p w14:paraId="43721285"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 Опыт последней мировой войны, равно как и вся последующая динамика развития вооруженных сил всех капиталистических государств говорят о том, что предстоящая война увидит участвующие в ней армии насыщенными техническими средствами борьбы в таких пропорциях, о которых не приходилось и думать. В частности это особенное насыщение будет отмечено в отношении воздушного флота, который в последние годы показывает особенно бурное свое развитие, как качественное, так и количественное…»</w:t>
      </w:r>
    </w:p>
    <w:p w14:paraId="0A3D4B6A"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color w:val="000000" w:themeColor="text1"/>
          <w:sz w:val="16"/>
          <w:szCs w:val="16"/>
        </w:rPr>
        <w:lastRenderedPageBreak/>
        <w:t>Исходя из разнообразия задач</w:t>
      </w:r>
    </w:p>
    <w:p w14:paraId="6C82E5D7"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«…могущих быть в своем разрешении возложенными на воздушный флот, их можно свести в четыре основные целевые группы:</w:t>
      </w:r>
    </w:p>
    <w:p w14:paraId="74B85C1E" w14:textId="77777777" w:rsidR="009679CC" w:rsidRPr="00A259BD" w:rsidRDefault="009679CC" w:rsidP="009236E3">
      <w:pPr>
        <w:pStyle w:val="ae"/>
        <w:shd w:val="clear" w:color="auto" w:fill="FFFFFF"/>
        <w:spacing w:before="0" w:after="0"/>
        <w:jc w:val="both"/>
        <w:textAlignment w:val="baseline"/>
        <w:rPr>
          <w:color w:val="000000" w:themeColor="text1"/>
          <w:sz w:val="16"/>
          <w:szCs w:val="16"/>
        </w:rPr>
      </w:pPr>
      <w:r w:rsidRPr="00A259BD">
        <w:rPr>
          <w:rStyle w:val="af0"/>
          <w:i w:val="0"/>
          <w:color w:val="000000" w:themeColor="text1"/>
          <w:sz w:val="16"/>
          <w:szCs w:val="16"/>
          <w:bdr w:val="none" w:sz="0" w:space="0" w:color="auto" w:frame="1"/>
        </w:rPr>
        <w:t>1. Непосредственное обслуживание своих сухопутных и морских сил (разведка, корректирование артиллерийской стрельбы, связь, служба командования и т.д.);</w:t>
      </w:r>
    </w:p>
    <w:p w14:paraId="5FB2E435" w14:textId="77777777" w:rsidR="009679CC" w:rsidRPr="00A259BD" w:rsidRDefault="009679CC" w:rsidP="009236E3">
      <w:pPr>
        <w:pStyle w:val="ae"/>
        <w:shd w:val="clear" w:color="auto" w:fill="FFFFFF"/>
        <w:spacing w:before="0" w:after="0"/>
        <w:jc w:val="both"/>
        <w:textAlignment w:val="baseline"/>
        <w:rPr>
          <w:color w:val="000000" w:themeColor="text1"/>
          <w:sz w:val="16"/>
          <w:szCs w:val="16"/>
        </w:rPr>
      </w:pPr>
      <w:r w:rsidRPr="00A259BD">
        <w:rPr>
          <w:rStyle w:val="af0"/>
          <w:i w:val="0"/>
          <w:color w:val="000000" w:themeColor="text1"/>
          <w:sz w:val="16"/>
          <w:szCs w:val="16"/>
          <w:bdr w:val="none" w:sz="0" w:space="0" w:color="auto" w:frame="1"/>
        </w:rPr>
        <w:t xml:space="preserve">2. Ударное действие с воздуха по сухопутным и морским силам противника (бомбардировка, торпедирование, штурмовые действия, </w:t>
      </w:r>
      <w:proofErr w:type="spellStart"/>
      <w:r w:rsidRPr="00A259BD">
        <w:rPr>
          <w:rStyle w:val="af0"/>
          <w:i w:val="0"/>
          <w:color w:val="000000" w:themeColor="text1"/>
          <w:sz w:val="16"/>
          <w:szCs w:val="16"/>
          <w:bdr w:val="none" w:sz="0" w:space="0" w:color="auto" w:frame="1"/>
        </w:rPr>
        <w:t>химнападение</w:t>
      </w:r>
      <w:proofErr w:type="spellEnd"/>
      <w:r w:rsidRPr="00A259BD">
        <w:rPr>
          <w:rStyle w:val="af0"/>
          <w:i w:val="0"/>
          <w:color w:val="000000" w:themeColor="text1"/>
          <w:sz w:val="16"/>
          <w:szCs w:val="16"/>
          <w:bdr w:val="none" w:sz="0" w:space="0" w:color="auto" w:frame="1"/>
        </w:rPr>
        <w:t xml:space="preserve"> и т. д.);</w:t>
      </w:r>
    </w:p>
    <w:p w14:paraId="6CE9A216" w14:textId="77777777" w:rsidR="009679CC" w:rsidRPr="00A259BD" w:rsidRDefault="009679CC" w:rsidP="009236E3">
      <w:pPr>
        <w:pStyle w:val="ae"/>
        <w:shd w:val="clear" w:color="auto" w:fill="FFFFFF"/>
        <w:spacing w:before="0" w:after="0"/>
        <w:jc w:val="both"/>
        <w:textAlignment w:val="baseline"/>
        <w:rPr>
          <w:color w:val="000000" w:themeColor="text1"/>
          <w:sz w:val="16"/>
          <w:szCs w:val="16"/>
        </w:rPr>
      </w:pPr>
      <w:r w:rsidRPr="00A259BD">
        <w:rPr>
          <w:rStyle w:val="af0"/>
          <w:i w:val="0"/>
          <w:color w:val="000000" w:themeColor="text1"/>
          <w:sz w:val="16"/>
          <w:szCs w:val="16"/>
          <w:bdr w:val="none" w:sz="0" w:space="0" w:color="auto" w:frame="1"/>
        </w:rPr>
        <w:t xml:space="preserve">3. Ударные действия с воздуха по глубоким (до 1000-2000 км) тылам противника (бомбардировка крупных административно-политических и промышленных центров, </w:t>
      </w:r>
      <w:proofErr w:type="spellStart"/>
      <w:r w:rsidRPr="00A259BD">
        <w:rPr>
          <w:rStyle w:val="af0"/>
          <w:i w:val="0"/>
          <w:color w:val="000000" w:themeColor="text1"/>
          <w:sz w:val="16"/>
          <w:szCs w:val="16"/>
          <w:bdr w:val="none" w:sz="0" w:space="0" w:color="auto" w:frame="1"/>
        </w:rPr>
        <w:t>ж.д</w:t>
      </w:r>
      <w:proofErr w:type="spellEnd"/>
      <w:r w:rsidRPr="00A259BD">
        <w:rPr>
          <w:rStyle w:val="af0"/>
          <w:i w:val="0"/>
          <w:color w:val="000000" w:themeColor="text1"/>
          <w:sz w:val="16"/>
          <w:szCs w:val="16"/>
          <w:bdr w:val="none" w:sz="0" w:space="0" w:color="auto" w:frame="1"/>
        </w:rPr>
        <w:t>. узлов и т.д.) и наконец,</w:t>
      </w:r>
    </w:p>
    <w:p w14:paraId="59FC2837" w14:textId="77777777" w:rsidR="009679CC" w:rsidRPr="00A259BD" w:rsidRDefault="009679CC" w:rsidP="009236E3">
      <w:pPr>
        <w:pStyle w:val="ae"/>
        <w:shd w:val="clear" w:color="auto" w:fill="FFFFFF"/>
        <w:spacing w:before="0" w:after="0"/>
        <w:jc w:val="both"/>
        <w:textAlignment w:val="baseline"/>
        <w:rPr>
          <w:color w:val="000000" w:themeColor="text1"/>
          <w:sz w:val="16"/>
          <w:szCs w:val="16"/>
        </w:rPr>
      </w:pPr>
      <w:r w:rsidRPr="00A259BD">
        <w:rPr>
          <w:rStyle w:val="af0"/>
          <w:i w:val="0"/>
          <w:color w:val="000000" w:themeColor="text1"/>
          <w:sz w:val="16"/>
          <w:szCs w:val="16"/>
          <w:bdr w:val="none" w:sz="0" w:space="0" w:color="auto" w:frame="1"/>
        </w:rPr>
        <w:t>4. Борьба с военными воздушными силами противника, препятствующими выполнению операций, как своего воздушного флота, так и своих сухопутных и морских сил.</w:t>
      </w:r>
    </w:p>
    <w:p w14:paraId="399FBA7F"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В соответствии с этим ВВС подразделяются на:</w:t>
      </w:r>
    </w:p>
    <w:p w14:paraId="3FC25EEC"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1. Боевую авиацию, предназначаемую для самостоятельных действий по воздушным и наземным целям противника в тактической и стратегической зонах.</w:t>
      </w:r>
    </w:p>
    <w:p w14:paraId="1EC053D6"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2. Войсковую авиацию, предназначаемую для совместной и непосредственной работы со своими войсками.</w:t>
      </w:r>
    </w:p>
    <w:p w14:paraId="535CF2E3"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3. Авиацию специального назначения (например, для целей транспорта).</w:t>
      </w:r>
    </w:p>
    <w:p w14:paraId="2FDEC682"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bCs/>
          <w:i w:val="0"/>
          <w:color w:val="000000" w:themeColor="text1"/>
          <w:sz w:val="16"/>
          <w:szCs w:val="16"/>
          <w:bdr w:val="none" w:sz="0" w:space="0" w:color="auto" w:frame="1"/>
        </w:rPr>
        <w:t>A. Самолеты боевой авиации</w:t>
      </w:r>
    </w:p>
    <w:p w14:paraId="10722D1D"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1. Истребители (одноместные, двухместные и многоместные);</w:t>
      </w:r>
    </w:p>
    <w:p w14:paraId="07397ABE"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2. Армейские разведчики, или разведчики дальнего действия;</w:t>
      </w:r>
    </w:p>
    <w:p w14:paraId="43269042"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3. Бомбардировщики;</w:t>
      </w:r>
    </w:p>
    <w:p w14:paraId="39790786"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4. Торпедоносцы-бомбардировщики;</w:t>
      </w:r>
    </w:p>
    <w:p w14:paraId="73226775"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5. Штурмовики</w:t>
      </w:r>
    </w:p>
    <w:p w14:paraId="09E7F429"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bCs/>
          <w:i w:val="0"/>
          <w:color w:val="000000" w:themeColor="text1"/>
          <w:sz w:val="16"/>
          <w:szCs w:val="16"/>
          <w:bdr w:val="none" w:sz="0" w:space="0" w:color="auto" w:frame="1"/>
        </w:rPr>
        <w:t>Б. Самолеты войсковой авиации</w:t>
      </w:r>
    </w:p>
    <w:p w14:paraId="228E77BA"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1. Корпусные разведчики-корректировщики;</w:t>
      </w:r>
    </w:p>
    <w:p w14:paraId="4E93E234"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2. Самолеты по обслуживанию кавалерии и моторизованных отрядов.</w:t>
      </w:r>
    </w:p>
    <w:p w14:paraId="1A59B13F"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bCs/>
          <w:i w:val="0"/>
          <w:color w:val="000000" w:themeColor="text1"/>
          <w:sz w:val="16"/>
          <w:szCs w:val="16"/>
          <w:bdr w:val="none" w:sz="0" w:space="0" w:color="auto" w:frame="1"/>
        </w:rPr>
        <w:t>B. Самолеты специального назначения</w:t>
      </w:r>
    </w:p>
    <w:p w14:paraId="7DF174E1"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1. Химические боевики;</w:t>
      </w:r>
    </w:p>
    <w:p w14:paraId="331DE861"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2. Самолеты транспорта. …»</w:t>
      </w:r>
    </w:p>
    <w:p w14:paraId="7CCDBE42" w14:textId="4CA6170F" w:rsidR="000860A8" w:rsidRPr="00A259BD" w:rsidRDefault="000860A8" w:rsidP="009236E3">
      <w:pPr>
        <w:pStyle w:val="rtejustify"/>
        <w:shd w:val="clear" w:color="auto" w:fill="FFFFFF"/>
        <w:spacing w:before="0" w:after="0"/>
        <w:rPr>
          <w:color w:val="000000" w:themeColor="text1"/>
          <w:sz w:val="16"/>
          <w:szCs w:val="16"/>
        </w:rPr>
      </w:pPr>
      <w:r w:rsidRPr="00A259BD">
        <w:rPr>
          <w:color w:val="000000" w:themeColor="text1"/>
          <w:sz w:val="16"/>
          <w:szCs w:val="16"/>
          <w:bdr w:val="none" w:sz="0" w:space="0" w:color="auto" w:frame="1"/>
        </w:rPr>
        <w:t>Истребители</w:t>
      </w:r>
    </w:p>
    <w:p w14:paraId="5321B3D1" w14:textId="2166B8D6" w:rsidR="009679CC" w:rsidRPr="00A259BD" w:rsidRDefault="009679CC" w:rsidP="009236E3">
      <w:pPr>
        <w:pStyle w:val="rtejustify"/>
        <w:shd w:val="clear" w:color="auto" w:fill="FFFFFF"/>
        <w:spacing w:before="0" w:after="0"/>
        <w:rPr>
          <w:color w:val="000000" w:themeColor="text1"/>
          <w:sz w:val="16"/>
          <w:szCs w:val="16"/>
        </w:rPr>
      </w:pPr>
      <w:r w:rsidRPr="00A259BD">
        <w:rPr>
          <w:color w:val="000000" w:themeColor="text1"/>
          <w:sz w:val="16"/>
          <w:szCs w:val="16"/>
        </w:rPr>
        <w:t>При рассмотрении класса истребителей отмечалось, что</w:t>
      </w:r>
    </w:p>
    <w:p w14:paraId="4EFC3ADB"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 Развитие этого типа самолетов на Западе продолжает идти в основном по пути увеличения его горизонтальной и вертикальной скорости, усиления его огневой мощи (4-6 пулеметов) и увеличения его продолжительности полета.</w:t>
      </w:r>
    </w:p>
    <w:p w14:paraId="3D6ACCE9"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В отношении одноместных истребителей, по своим летно-тактическим характеристикам, к настоящему моменту вполне отчетливо выявились два основных типа одноместных истребителей, а именно: скоростной и так называемый «Жокей». Первый – обладая повышенными горизонтальными скоростями, предназначается к выполнению задач по ведению активного воздушного боя над своей и неприятельской территорией и главным образом в районах расположения и действия своих воздушных и сухопутных сил. Частично на него возлагается задача обеспечения операций своего воздушного флота, хотя полного решения этой задачи (сопровождение своих воздушных сил в глубокий тыл противника) на него возлагать нельзя из-за ограничения его радиуса действия, относительно слабой огневой его мощи (беззащитность сзади) и большой разности в скоростях с обеспечиваемыми им самолетами.</w:t>
      </w:r>
    </w:p>
    <w:p w14:paraId="4543C8F5"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Второй, т. е. «Жокей», обладающий особо повышенными данными в своей скороподъемности и маневренности, добываемыми за счет максимально возможного уменьшения полетного веса самолета (за счет веса конструкции, экономии горючего, уменьшения радиуса действия) предназначается, главным образом, для борьбы с воздушным флотом противника над своей территорией и в большинстве случаев рассматривается, как истребитель специального назначения – обороны пунктов </w:t>
      </w:r>
      <w:r w:rsidRPr="00A259BD">
        <w:rPr>
          <w:color w:val="000000" w:themeColor="text1"/>
          <w:sz w:val="16"/>
          <w:szCs w:val="16"/>
          <w:bdr w:val="none" w:sz="0" w:space="0" w:color="auto" w:frame="1"/>
        </w:rPr>
        <w:t>(в современном понятии – истребитель-перехватчик)</w:t>
      </w:r>
      <w:r w:rsidRPr="00A259BD">
        <w:rPr>
          <w:rStyle w:val="af0"/>
          <w:i w:val="0"/>
          <w:color w:val="000000" w:themeColor="text1"/>
          <w:sz w:val="16"/>
          <w:szCs w:val="16"/>
          <w:bdr w:val="none" w:sz="0" w:space="0" w:color="auto" w:frame="1"/>
        </w:rPr>
        <w:t>.</w:t>
      </w:r>
    </w:p>
    <w:p w14:paraId="54812F53"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Целый ряд соображений и в первую очередь соответствующие подсчеты в определении тактической ценности, той или иной разновидности одноместного истребителя, приводят к мысли нецелесообразности создания самолета «Жокей» и для наших условий пока ограничить строительство одним типом скоростного истребителя, совместив в нем, по возможности, лучшие качества и «Жокея». Технические возможности выжать из «Жокея» одну – две минуты на скороподъемность, очень незначительно выиграть на маневренности, не окупает его мощи (2 пулемета, вместо 4-6) и в продолжительности полета (2 часа, вместо 4-6). Не менее существенным мотивом в отказе от строительства «Жокея» может служить и дальнейшее развитие огнестрельного оружия авиации (пулеметы, пушки), которое уже начинает класть свою печать на всю тактику истребительной авиации, раздвигая дистанции дерущихся в воздухе сторон и тем самым, отодвигая несколько назад значение ее маневренности, в прежнем понимании слова.</w:t>
      </w:r>
    </w:p>
    <w:p w14:paraId="7B017890"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Недостатки одноместного истребителя (слепота назад и наличие огня только вперед) уже давно поставили на разрешение проблему создания двухместного истребителя, хотя до сих пор, все попытки в этом направлении и не дали особо положительных результатов.</w:t>
      </w:r>
    </w:p>
    <w:p w14:paraId="027B1E5C"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В проекте плана постройка такого типа самолета предусмотрена и до изучения его фактической ценности, о нужности его в дальнейшем судить пока трудно. В общем, от создания двухместного истребителя предполагается пока не отказываться и работать над его усовершенствованием.</w:t>
      </w:r>
    </w:p>
    <w:p w14:paraId="48484E38"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Совершенно особо стоит вопрос о новом типе истребителя, продукте последнего времени – истребителе-крейсере. Благодаря тому, что задача обеспечения операций своих воздушных сил имеющимися истребительными средствами (одноместные истребители) еще ни полностью, ни частично не разрешена, из-за ограниченности радиуса действий последних, тактика сообразуясь с техническими возможностями последнего времени, выдвинула вопрос о создании воздушного истребителя-крейсера, который с одной стороны, обладал бы дальностью полета не меньшей таковой бомбардировщика, с другой – скоростью, обеспечивающей маневренность и ведение активного воздушного боя и, наконец, мощным вооружением со сферическим обстрелом. При этом мыслится, что этот же тип самолета, должен допускать использование его как сверхдальнего разведчика «независимого действия».</w:t>
      </w:r>
    </w:p>
    <w:p w14:paraId="18ED86ED"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rStyle w:val="af0"/>
          <w:i w:val="0"/>
          <w:color w:val="000000" w:themeColor="text1"/>
          <w:sz w:val="16"/>
          <w:szCs w:val="16"/>
          <w:bdr w:val="none" w:sz="0" w:space="0" w:color="auto" w:frame="1"/>
        </w:rPr>
        <w:t>Наличие разобранных выше самолетов истребительной авиации, должно в полной мере обеспечить успешное выполнение задач связанных с обеспечением операций наших воздушных сил, равно как и ведение активной борьбы с неприятельским воздушным флотом вообще. О ночных истребителях нет упоминания лишь только потому , что в основном создание их мыслится путем приспособления под них одного из существующих типов самолетов, в частности двухместного истребителя».</w:t>
      </w:r>
    </w:p>
    <w:p w14:paraId="6B5DEEA3" w14:textId="77777777" w:rsidR="009679CC" w:rsidRPr="00A259BD" w:rsidRDefault="009679CC" w:rsidP="009236E3">
      <w:pPr>
        <w:pStyle w:val="rtejustify"/>
        <w:shd w:val="clear" w:color="auto" w:fill="FFFFFF"/>
        <w:spacing w:before="0" w:after="0"/>
        <w:rPr>
          <w:color w:val="000000" w:themeColor="text1"/>
          <w:sz w:val="16"/>
          <w:szCs w:val="16"/>
        </w:rPr>
      </w:pPr>
      <w:r w:rsidRPr="00A259BD">
        <w:rPr>
          <w:color w:val="000000" w:themeColor="text1"/>
          <w:sz w:val="16"/>
          <w:szCs w:val="16"/>
        </w:rPr>
        <w:t>В проекте пятилетнего плана предусматривалась постройка 56 моделей самолетов (34 сухопутных и 22 морских). Из 13 моделей планируемых к постройке истребителей, 5 – поручались ЦАГИ (И4-ЮVII, И5-ЮVII, И8-ЮVII, И11-М37, И12-М34) (19171).</w:t>
      </w:r>
    </w:p>
    <w:p w14:paraId="0D98DA6E" w14:textId="77777777" w:rsidR="009679CC" w:rsidRPr="00A259BD" w:rsidRDefault="009679CC"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00612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 второй поло</w:t>
      </w:r>
      <w:r w:rsidRPr="00A259BD">
        <w:rPr>
          <w:rFonts w:ascii="Times New Roman" w:hAnsi="Times New Roman"/>
          <w:color w:val="000000" w:themeColor="text1"/>
          <w:sz w:val="16"/>
          <w:szCs w:val="16"/>
        </w:rPr>
        <w:softHyphen/>
        <w:t>вине 1929 г. задание на истребитель И-8 с двига</w:t>
      </w:r>
      <w:r w:rsidRPr="00A259BD">
        <w:rPr>
          <w:rFonts w:ascii="Times New Roman" w:hAnsi="Times New Roman"/>
          <w:color w:val="000000" w:themeColor="text1"/>
          <w:sz w:val="16"/>
          <w:szCs w:val="16"/>
        </w:rPr>
        <w:softHyphen/>
        <w:t>телем жидкостного охлаждения “</w:t>
      </w:r>
      <w:proofErr w:type="spellStart"/>
      <w:r w:rsidRPr="00A259BD">
        <w:rPr>
          <w:rFonts w:ascii="Times New Roman" w:hAnsi="Times New Roman"/>
          <w:color w:val="000000" w:themeColor="text1"/>
          <w:sz w:val="16"/>
          <w:szCs w:val="16"/>
        </w:rPr>
        <w:t>Конкверор</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rPr>
        <w:t>Conquerror</w:t>
      </w:r>
      <w:proofErr w:type="spellEnd"/>
      <w:r w:rsidRPr="00A259BD">
        <w:rPr>
          <w:rFonts w:ascii="Times New Roman" w:hAnsi="Times New Roman"/>
          <w:color w:val="000000" w:themeColor="text1"/>
          <w:sz w:val="16"/>
          <w:szCs w:val="16"/>
        </w:rPr>
        <w:t xml:space="preserve"> ”) мощностью 625 л.с., поступило в ЦАГИ. Согласно определенных Уп</w:t>
      </w:r>
      <w:r w:rsidRPr="00A259BD">
        <w:rPr>
          <w:rFonts w:ascii="Times New Roman" w:hAnsi="Times New Roman"/>
          <w:color w:val="000000" w:themeColor="text1"/>
          <w:sz w:val="16"/>
          <w:szCs w:val="16"/>
        </w:rPr>
        <w:softHyphen/>
        <w:t>равлением ВВС ТТТ самолету И-8 предстояло обладать следующими характе</w:t>
      </w:r>
      <w:r w:rsidRPr="00A259BD">
        <w:rPr>
          <w:rFonts w:ascii="Times New Roman" w:hAnsi="Times New Roman"/>
          <w:color w:val="000000" w:themeColor="text1"/>
          <w:sz w:val="16"/>
          <w:szCs w:val="16"/>
        </w:rPr>
        <w:softHyphen/>
        <w:t>ристиками: Макс, скорость па 5000 м — 310 км/ч; Время набора высоты 5000 м — 6-7 мин.; Посадочная скорость — 100 км/ч; Практический потолок — 8500 м (10729).</w:t>
      </w:r>
    </w:p>
    <w:p w14:paraId="759B57E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87163F" w14:textId="77777777" w:rsidR="001D017F" w:rsidRPr="00A259BD" w:rsidRDefault="001D017F" w:rsidP="009236E3">
      <w:pPr>
        <w:pStyle w:val="121"/>
        <w:shd w:val="clear" w:color="auto" w:fill="auto"/>
        <w:spacing w:line="240" w:lineRule="auto"/>
        <w:jc w:val="both"/>
        <w:rPr>
          <w:rFonts w:ascii="Times New Roman" w:hAnsi="Times New Roman" w:cs="Times New Roman"/>
          <w:b w:val="0"/>
          <w:color w:val="000000" w:themeColor="text1"/>
          <w:sz w:val="16"/>
          <w:szCs w:val="16"/>
        </w:rPr>
      </w:pPr>
      <w:r w:rsidRPr="00A259BD">
        <w:rPr>
          <w:rFonts w:ascii="Times New Roman" w:hAnsi="Times New Roman" w:cs="Times New Roman"/>
          <w:b w:val="0"/>
          <w:color w:val="000000" w:themeColor="text1"/>
          <w:sz w:val="16"/>
          <w:szCs w:val="16"/>
        </w:rPr>
        <w:t>Во вто</w:t>
      </w:r>
      <w:r w:rsidRPr="00A259BD">
        <w:rPr>
          <w:rFonts w:ascii="Times New Roman" w:hAnsi="Times New Roman" w:cs="Times New Roman"/>
          <w:b w:val="0"/>
          <w:color w:val="000000" w:themeColor="text1"/>
          <w:sz w:val="16"/>
          <w:szCs w:val="16"/>
        </w:rPr>
        <w:softHyphen/>
        <w:t xml:space="preserve">рой половине 1929 г. в ЦАГИ поступило задание на Опытный истребитель, поначалу определяемую как сухопутный стальной истребитель с двигателем </w:t>
      </w:r>
      <w:proofErr w:type="spellStart"/>
      <w:r w:rsidRPr="00A259BD">
        <w:rPr>
          <w:rFonts w:ascii="Times New Roman" w:hAnsi="Times New Roman" w:cs="Times New Roman"/>
          <w:b w:val="0"/>
          <w:color w:val="000000" w:themeColor="text1"/>
          <w:sz w:val="16"/>
          <w:szCs w:val="16"/>
        </w:rPr>
        <w:t>Кертисс</w:t>
      </w:r>
      <w:proofErr w:type="spellEnd"/>
      <w:r w:rsidRPr="00A259BD">
        <w:rPr>
          <w:rFonts w:ascii="Times New Roman" w:hAnsi="Times New Roman" w:cs="Times New Roman"/>
          <w:b w:val="0"/>
          <w:color w:val="000000" w:themeColor="text1"/>
          <w:sz w:val="16"/>
          <w:szCs w:val="16"/>
        </w:rPr>
        <w:t xml:space="preserve"> «</w:t>
      </w:r>
      <w:proofErr w:type="spellStart"/>
      <w:r w:rsidRPr="00A259BD">
        <w:rPr>
          <w:rFonts w:ascii="Times New Roman" w:hAnsi="Times New Roman" w:cs="Times New Roman"/>
          <w:b w:val="0"/>
          <w:color w:val="000000" w:themeColor="text1"/>
          <w:sz w:val="16"/>
          <w:szCs w:val="16"/>
        </w:rPr>
        <w:t>Конкве</w:t>
      </w:r>
      <w:proofErr w:type="spellEnd"/>
      <w:r w:rsidRPr="00A259BD">
        <w:rPr>
          <w:rFonts w:ascii="Times New Roman" w:hAnsi="Times New Roman" w:cs="Times New Roman"/>
          <w:b w:val="0"/>
          <w:color w:val="000000" w:themeColor="text1"/>
          <w:sz w:val="16"/>
          <w:szCs w:val="16"/>
        </w:rPr>
        <w:t xml:space="preserve">- </w:t>
      </w:r>
      <w:proofErr w:type="spellStart"/>
      <w:r w:rsidRPr="00A259BD">
        <w:rPr>
          <w:rFonts w:ascii="Times New Roman" w:hAnsi="Times New Roman" w:cs="Times New Roman"/>
          <w:b w:val="0"/>
          <w:color w:val="000000" w:themeColor="text1"/>
          <w:sz w:val="16"/>
          <w:szCs w:val="16"/>
        </w:rPr>
        <w:t>рор</w:t>
      </w:r>
      <w:proofErr w:type="spellEnd"/>
      <w:r w:rsidRPr="00A259BD">
        <w:rPr>
          <w:rFonts w:ascii="Times New Roman" w:hAnsi="Times New Roman" w:cs="Times New Roman"/>
          <w:b w:val="0"/>
          <w:color w:val="000000" w:themeColor="text1"/>
          <w:sz w:val="16"/>
          <w:szCs w:val="16"/>
        </w:rPr>
        <w:t>» 600/635 л.с. Указывалось, что это должен быть легкий, мощный, компактный самолет с «особо высокими летными каче</w:t>
      </w:r>
      <w:r w:rsidRPr="00A259BD">
        <w:rPr>
          <w:rFonts w:ascii="Times New Roman" w:hAnsi="Times New Roman" w:cs="Times New Roman"/>
          <w:b w:val="0"/>
          <w:color w:val="000000" w:themeColor="text1"/>
          <w:sz w:val="16"/>
          <w:szCs w:val="16"/>
        </w:rPr>
        <w:softHyphen/>
        <w:t>ствами». Согласно определенных Управле</w:t>
      </w:r>
      <w:r w:rsidRPr="00A259BD">
        <w:rPr>
          <w:rFonts w:ascii="Times New Roman" w:hAnsi="Times New Roman" w:cs="Times New Roman"/>
          <w:b w:val="0"/>
          <w:color w:val="000000" w:themeColor="text1"/>
          <w:sz w:val="16"/>
          <w:szCs w:val="16"/>
        </w:rPr>
        <w:softHyphen/>
        <w:t>нием ВВС тактико-технических требований истребителю И-8 предстояло обладать следу</w:t>
      </w:r>
      <w:r w:rsidRPr="00A259BD">
        <w:rPr>
          <w:rFonts w:ascii="Times New Roman" w:hAnsi="Times New Roman" w:cs="Times New Roman"/>
          <w:b w:val="0"/>
          <w:color w:val="000000" w:themeColor="text1"/>
          <w:sz w:val="16"/>
          <w:szCs w:val="16"/>
        </w:rPr>
        <w:softHyphen/>
        <w:t>ющими характеристиками:</w:t>
      </w:r>
    </w:p>
    <w:p w14:paraId="506D620D" w14:textId="77777777" w:rsidR="001D017F" w:rsidRPr="00A259BD" w:rsidRDefault="001D017F" w:rsidP="009236E3">
      <w:pPr>
        <w:tabs>
          <w:tab w:val="left" w:pos="3217"/>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Макс, скорость на 5000 м (км/ч) 310 Время набора высоты 5000 м (мин.) 6-7 Посадочная скорость (км/ч) - 100</w:t>
      </w:r>
    </w:p>
    <w:p w14:paraId="0F576D89" w14:textId="77777777" w:rsidR="001D017F" w:rsidRPr="00A259BD" w:rsidRDefault="001D017F" w:rsidP="009236E3">
      <w:pPr>
        <w:tabs>
          <w:tab w:val="left" w:pos="3105"/>
        </w:tabs>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Практический потолок (м) - 8500</w:t>
      </w:r>
    </w:p>
    <w:p w14:paraId="2811C7F5" w14:textId="77777777" w:rsidR="001D017F" w:rsidRPr="00A259BD" w:rsidRDefault="001D017F"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части дополнительных требований ука</w:t>
      </w:r>
      <w:r w:rsidRPr="00A259BD">
        <w:rPr>
          <w:rFonts w:ascii="Times New Roman" w:hAnsi="Times New Roman"/>
          <w:color w:val="000000" w:themeColor="text1"/>
          <w:sz w:val="16"/>
          <w:szCs w:val="16"/>
        </w:rPr>
        <w:softHyphen/>
        <w:t xml:space="preserve">зывались легко сбрасываемые при пожаре топливные баки (или бак) </w:t>
      </w:r>
      <w:r w:rsidR="00726708"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rPr>
        <w:t>12295).</w:t>
      </w:r>
    </w:p>
    <w:p w14:paraId="4D30DBC4" w14:textId="77777777" w:rsidR="001D017F" w:rsidRPr="00A259BD" w:rsidRDefault="001D017F" w:rsidP="009236E3">
      <w:pPr>
        <w:spacing w:after="0" w:line="240" w:lineRule="auto"/>
        <w:jc w:val="both"/>
        <w:rPr>
          <w:rFonts w:ascii="Times New Roman" w:hAnsi="Times New Roman"/>
          <w:color w:val="000000" w:themeColor="text1"/>
          <w:sz w:val="16"/>
          <w:szCs w:val="16"/>
        </w:rPr>
      </w:pPr>
    </w:p>
    <w:p w14:paraId="42737783" w14:textId="77777777" w:rsidR="00A61A9D" w:rsidRPr="00A259BD" w:rsidRDefault="00A61A9D" w:rsidP="009236E3">
      <w:pPr>
        <w:spacing w:after="0" w:line="240" w:lineRule="auto"/>
        <w:jc w:val="both"/>
        <w:rPr>
          <w:rFonts w:ascii="Times New Roman" w:hAnsi="Times New Roman"/>
          <w:color w:val="000000" w:themeColor="text1"/>
          <w:sz w:val="16"/>
          <w:szCs w:val="16"/>
          <w:lang w:eastAsia="ru-RU" w:bidi="ru-RU"/>
        </w:rPr>
      </w:pPr>
      <w:bookmarkStart w:id="106" w:name="_Hlk56762939"/>
      <w:r w:rsidRPr="00A259BD">
        <w:rPr>
          <w:rFonts w:ascii="Times New Roman" w:hAnsi="Times New Roman"/>
          <w:color w:val="000000" w:themeColor="text1"/>
          <w:sz w:val="16"/>
          <w:szCs w:val="16"/>
          <w:lang w:eastAsia="ru-RU" w:bidi="ru-RU"/>
        </w:rPr>
        <w:t>Во второй половине 1929 г. в Таганроге испытывался гидросамолет РОМ-2. Его испытания также не обошлись без происшествий (20325).</w:t>
      </w:r>
    </w:p>
    <w:p w14:paraId="62BCBF75" w14:textId="77777777" w:rsidR="00A61A9D" w:rsidRPr="00A259BD" w:rsidRDefault="00A61A9D" w:rsidP="009236E3">
      <w:pPr>
        <w:spacing w:after="0" w:line="240" w:lineRule="auto"/>
        <w:jc w:val="both"/>
        <w:rPr>
          <w:rFonts w:ascii="Times New Roman" w:hAnsi="Times New Roman"/>
          <w:color w:val="000000" w:themeColor="text1"/>
          <w:sz w:val="16"/>
          <w:szCs w:val="16"/>
          <w:lang w:eastAsia="ru-RU" w:bidi="ru-RU"/>
        </w:rPr>
      </w:pPr>
    </w:p>
    <w:p w14:paraId="656CE017" w14:textId="77777777" w:rsidR="000860A8" w:rsidRPr="00A259BD" w:rsidRDefault="000860A8" w:rsidP="009236E3">
      <w:pPr>
        <w:shd w:val="clear" w:color="auto" w:fill="FFFFFF"/>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 второй половине 1929 года на заводе №23 под общим руководством Н.Н. Поликарпова разработали и начали серийное производство сельскохозяйственной модификации учебного самолета У-2 - АП («</w:t>
      </w:r>
      <w:proofErr w:type="spellStart"/>
      <w:r w:rsidRPr="00A259BD">
        <w:rPr>
          <w:rFonts w:ascii="Times New Roman" w:hAnsi="Times New Roman"/>
          <w:color w:val="000000" w:themeColor="text1"/>
          <w:sz w:val="16"/>
          <w:szCs w:val="16"/>
        </w:rPr>
        <w:t>аэро</w:t>
      </w:r>
      <w:r w:rsidRPr="00A259BD">
        <w:rPr>
          <w:rFonts w:ascii="Times New Roman" w:hAnsi="Times New Roman"/>
          <w:color w:val="000000" w:themeColor="text1"/>
          <w:sz w:val="16"/>
          <w:szCs w:val="16"/>
        </w:rPr>
        <w:softHyphen/>
        <w:t>опылитель</w:t>
      </w:r>
      <w:proofErr w:type="spellEnd"/>
      <w:r w:rsidRPr="00A259BD">
        <w:rPr>
          <w:rFonts w:ascii="Times New Roman" w:hAnsi="Times New Roman"/>
          <w:color w:val="000000" w:themeColor="text1"/>
          <w:sz w:val="16"/>
          <w:szCs w:val="16"/>
        </w:rPr>
        <w:t>»). Именно АП стал основой для разработки трехместных пассажир</w:t>
      </w:r>
      <w:r w:rsidRPr="00A259BD">
        <w:rPr>
          <w:rFonts w:ascii="Times New Roman" w:hAnsi="Times New Roman"/>
          <w:color w:val="000000" w:themeColor="text1"/>
          <w:sz w:val="16"/>
          <w:szCs w:val="16"/>
        </w:rPr>
        <w:softHyphen/>
        <w:t>ских модификаций (19893).</w:t>
      </w:r>
    </w:p>
    <w:p w14:paraId="1CDDCA18" w14:textId="77777777" w:rsidR="000860A8" w:rsidRPr="00A259BD" w:rsidRDefault="000860A8" w:rsidP="009236E3">
      <w:pPr>
        <w:shd w:val="clear" w:color="auto" w:fill="FFFFFF"/>
        <w:spacing w:after="0" w:line="240" w:lineRule="auto"/>
        <w:jc w:val="both"/>
        <w:rPr>
          <w:rFonts w:ascii="Times New Roman" w:hAnsi="Times New Roman"/>
          <w:color w:val="000000" w:themeColor="text1"/>
          <w:sz w:val="16"/>
          <w:szCs w:val="16"/>
        </w:rPr>
      </w:pPr>
    </w:p>
    <w:bookmarkEnd w:id="106"/>
    <w:p w14:paraId="666BDF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 второй половине 1929 года проектные работы по геликоптеру ЦАГИ 1-ЭА были закончены, рабочие чертежи из</w:t>
      </w:r>
      <w:r w:rsidRPr="00A259BD">
        <w:rPr>
          <w:rFonts w:ascii="Times New Roman" w:hAnsi="Times New Roman"/>
          <w:color w:val="000000" w:themeColor="text1"/>
          <w:sz w:val="16"/>
          <w:szCs w:val="16"/>
        </w:rPr>
        <w:softHyphen/>
        <w:t>готовлены и сданы в производствен</w:t>
      </w:r>
      <w:r w:rsidRPr="00A259BD">
        <w:rPr>
          <w:rFonts w:ascii="Times New Roman" w:hAnsi="Times New Roman"/>
          <w:color w:val="000000" w:themeColor="text1"/>
          <w:sz w:val="16"/>
          <w:szCs w:val="16"/>
        </w:rPr>
        <w:softHyphen/>
        <w:t>ные подразделения опытного завода ЦАГИ. Изготовление одной из самых сложных систем - трансмиссии разме</w:t>
      </w:r>
      <w:r w:rsidRPr="00A259BD">
        <w:rPr>
          <w:rFonts w:ascii="Times New Roman" w:hAnsi="Times New Roman"/>
          <w:color w:val="000000" w:themeColor="text1"/>
          <w:sz w:val="16"/>
          <w:szCs w:val="16"/>
        </w:rPr>
        <w:softHyphen/>
        <w:t>стили на авиамоторном заводе. Она включала главный редуктор для пере</w:t>
      </w:r>
      <w:r w:rsidRPr="00A259BD">
        <w:rPr>
          <w:rFonts w:ascii="Times New Roman" w:hAnsi="Times New Roman"/>
          <w:color w:val="000000" w:themeColor="text1"/>
          <w:sz w:val="16"/>
          <w:szCs w:val="16"/>
        </w:rPr>
        <w:softHyphen/>
        <w:t>дачи крутящего момента от двух дви</w:t>
      </w:r>
      <w:r w:rsidRPr="00A259BD">
        <w:rPr>
          <w:rFonts w:ascii="Times New Roman" w:hAnsi="Times New Roman"/>
          <w:color w:val="000000" w:themeColor="text1"/>
          <w:sz w:val="16"/>
          <w:szCs w:val="16"/>
        </w:rPr>
        <w:softHyphen/>
        <w:t>гателей на несущий винт, трансмисси</w:t>
      </w:r>
      <w:r w:rsidRPr="00A259BD">
        <w:rPr>
          <w:rFonts w:ascii="Times New Roman" w:hAnsi="Times New Roman"/>
          <w:color w:val="000000" w:themeColor="text1"/>
          <w:sz w:val="16"/>
          <w:szCs w:val="16"/>
        </w:rPr>
        <w:softHyphen/>
        <w:t>онные валы и редукторы привода ру</w:t>
      </w:r>
      <w:r w:rsidRPr="00A259BD">
        <w:rPr>
          <w:rFonts w:ascii="Times New Roman" w:hAnsi="Times New Roman"/>
          <w:color w:val="000000" w:themeColor="text1"/>
          <w:sz w:val="16"/>
          <w:szCs w:val="16"/>
        </w:rPr>
        <w:softHyphen/>
        <w:t>левых винтов. В самолетостроении трансмиссии не применялись. Имев</w:t>
      </w:r>
      <w:r w:rsidRPr="00A259BD">
        <w:rPr>
          <w:rFonts w:ascii="Times New Roman" w:hAnsi="Times New Roman"/>
          <w:color w:val="000000" w:themeColor="text1"/>
          <w:sz w:val="16"/>
          <w:szCs w:val="16"/>
        </w:rPr>
        <w:softHyphen/>
        <w:t>шиеся в авиационном моторостроении редукторы обладали степенью редук</w:t>
      </w:r>
      <w:r w:rsidRPr="00A259BD">
        <w:rPr>
          <w:rFonts w:ascii="Times New Roman" w:hAnsi="Times New Roman"/>
          <w:color w:val="000000" w:themeColor="text1"/>
          <w:sz w:val="16"/>
          <w:szCs w:val="16"/>
        </w:rPr>
        <w:softHyphen/>
        <w:t>ции около 2 единиц, а для геликоптер-</w:t>
      </w:r>
      <w:proofErr w:type="spellStart"/>
      <w:r w:rsidRPr="00A259BD">
        <w:rPr>
          <w:rFonts w:ascii="Times New Roman" w:hAnsi="Times New Roman"/>
          <w:color w:val="000000" w:themeColor="text1"/>
          <w:sz w:val="16"/>
          <w:szCs w:val="16"/>
        </w:rPr>
        <w:t>ного</w:t>
      </w:r>
      <w:proofErr w:type="spellEnd"/>
      <w:r w:rsidRPr="00A259BD">
        <w:rPr>
          <w:rFonts w:ascii="Times New Roman" w:hAnsi="Times New Roman"/>
          <w:color w:val="000000" w:themeColor="text1"/>
          <w:sz w:val="16"/>
          <w:szCs w:val="16"/>
        </w:rPr>
        <w:t xml:space="preserve"> редуктора она должна была со</w:t>
      </w:r>
      <w:r w:rsidRPr="00A259BD">
        <w:rPr>
          <w:rFonts w:ascii="Times New Roman" w:hAnsi="Times New Roman"/>
          <w:color w:val="000000" w:themeColor="text1"/>
          <w:sz w:val="16"/>
          <w:szCs w:val="16"/>
        </w:rPr>
        <w:softHyphen/>
        <w:t>ставлять порядка 8 единиц. С большими трудностями на опыт</w:t>
      </w:r>
      <w:r w:rsidRPr="00A259BD">
        <w:rPr>
          <w:rFonts w:ascii="Times New Roman" w:hAnsi="Times New Roman"/>
          <w:color w:val="000000" w:themeColor="text1"/>
          <w:sz w:val="16"/>
          <w:szCs w:val="16"/>
        </w:rPr>
        <w:softHyphen/>
        <w:t>ном заводе ЦАГИ пришлось встретить</w:t>
      </w:r>
      <w:r w:rsidRPr="00A259BD">
        <w:rPr>
          <w:rFonts w:ascii="Times New Roman" w:hAnsi="Times New Roman"/>
          <w:color w:val="000000" w:themeColor="text1"/>
          <w:sz w:val="16"/>
          <w:szCs w:val="16"/>
        </w:rPr>
        <w:softHyphen/>
        <w:t>ся при изготовлении несущего винта, так как эта работа даже для высоко</w:t>
      </w:r>
      <w:r w:rsidRPr="00A259BD">
        <w:rPr>
          <w:rFonts w:ascii="Times New Roman" w:hAnsi="Times New Roman"/>
          <w:color w:val="000000" w:themeColor="text1"/>
          <w:sz w:val="16"/>
          <w:szCs w:val="16"/>
        </w:rPr>
        <w:softHyphen/>
        <w:t>профессиональных специалистов была совершенно уникальной. В за</w:t>
      </w:r>
      <w:r w:rsidRPr="00A259BD">
        <w:rPr>
          <w:rFonts w:ascii="Times New Roman" w:hAnsi="Times New Roman"/>
          <w:color w:val="000000" w:themeColor="text1"/>
          <w:sz w:val="16"/>
          <w:szCs w:val="16"/>
        </w:rPr>
        <w:softHyphen/>
        <w:t>вершение сборки винта предстояла его тщательная весовая балансиров</w:t>
      </w:r>
      <w:r w:rsidRPr="00A259BD">
        <w:rPr>
          <w:rFonts w:ascii="Times New Roman" w:hAnsi="Times New Roman"/>
          <w:color w:val="000000" w:themeColor="text1"/>
          <w:sz w:val="16"/>
          <w:szCs w:val="16"/>
        </w:rPr>
        <w:softHyphen/>
        <w:t xml:space="preserve">ка. Вспоминает </w:t>
      </w:r>
      <w:proofErr w:type="spellStart"/>
      <w:r w:rsidRPr="00A259BD">
        <w:rPr>
          <w:rFonts w:ascii="Times New Roman" w:hAnsi="Times New Roman"/>
          <w:color w:val="000000" w:themeColor="text1"/>
          <w:sz w:val="16"/>
          <w:szCs w:val="16"/>
        </w:rPr>
        <w:t>А.М.Изаксон</w:t>
      </w:r>
      <w:proofErr w:type="spellEnd"/>
      <w:r w:rsidRPr="00A259BD">
        <w:rPr>
          <w:rFonts w:ascii="Times New Roman" w:hAnsi="Times New Roman"/>
          <w:color w:val="000000" w:themeColor="text1"/>
          <w:sz w:val="16"/>
          <w:szCs w:val="16"/>
        </w:rPr>
        <w:t>, возгла</w:t>
      </w:r>
      <w:r w:rsidRPr="00A259BD">
        <w:rPr>
          <w:rFonts w:ascii="Times New Roman" w:hAnsi="Times New Roman"/>
          <w:color w:val="000000" w:themeColor="text1"/>
          <w:sz w:val="16"/>
          <w:szCs w:val="16"/>
        </w:rPr>
        <w:softHyphen/>
        <w:t xml:space="preserve">вивший в 1933 году отдел особых конструкций ЦАГИ, в который вошли </w:t>
      </w:r>
      <w:proofErr w:type="spellStart"/>
      <w:r w:rsidRPr="00A259BD">
        <w:rPr>
          <w:rFonts w:ascii="Times New Roman" w:hAnsi="Times New Roman"/>
          <w:color w:val="000000" w:themeColor="text1"/>
          <w:sz w:val="16"/>
          <w:szCs w:val="16"/>
        </w:rPr>
        <w:t>ге-ликоптерная</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автожирная</w:t>
      </w:r>
      <w:proofErr w:type="spellEnd"/>
      <w:r w:rsidRPr="00A259BD">
        <w:rPr>
          <w:rFonts w:ascii="Times New Roman" w:hAnsi="Times New Roman"/>
          <w:color w:val="000000" w:themeColor="text1"/>
          <w:sz w:val="16"/>
          <w:szCs w:val="16"/>
        </w:rPr>
        <w:t xml:space="preserve"> группы. </w:t>
      </w:r>
      <w:r w:rsidRPr="00A259BD">
        <w:rPr>
          <w:rFonts w:ascii="Times New Roman" w:hAnsi="Times New Roman"/>
          <w:color w:val="000000" w:themeColor="text1"/>
          <w:sz w:val="16"/>
          <w:szCs w:val="16"/>
        </w:rPr>
        <w:lastRenderedPageBreak/>
        <w:t>“Сделать это удалось настолько точ</w:t>
      </w:r>
      <w:r w:rsidRPr="00A259BD">
        <w:rPr>
          <w:rFonts w:ascii="Times New Roman" w:hAnsi="Times New Roman"/>
          <w:color w:val="000000" w:themeColor="text1"/>
          <w:sz w:val="16"/>
          <w:szCs w:val="16"/>
        </w:rPr>
        <w:softHyphen/>
        <w:t>но, что накинутый на конец одной из лопастей носовой платок выводил не</w:t>
      </w:r>
      <w:r w:rsidRPr="00A259BD">
        <w:rPr>
          <w:rFonts w:ascii="Times New Roman" w:hAnsi="Times New Roman"/>
          <w:color w:val="000000" w:themeColor="text1"/>
          <w:sz w:val="16"/>
          <w:szCs w:val="16"/>
        </w:rPr>
        <w:softHyphen/>
        <w:t>сущий винт из состояния полной сба</w:t>
      </w:r>
      <w:r w:rsidRPr="00A259BD">
        <w:rPr>
          <w:rFonts w:ascii="Times New Roman" w:hAnsi="Times New Roman"/>
          <w:color w:val="000000" w:themeColor="text1"/>
          <w:sz w:val="16"/>
          <w:szCs w:val="16"/>
        </w:rPr>
        <w:softHyphen/>
        <w:t>лансированности” (10735).</w:t>
      </w:r>
    </w:p>
    <w:p w14:paraId="5361379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9DF69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 второй половине 1929 года Бартини напра</w:t>
      </w:r>
      <w:r w:rsidRPr="00A259BD">
        <w:rPr>
          <w:rFonts w:ascii="Times New Roman" w:hAnsi="Times New Roman"/>
          <w:color w:val="000000" w:themeColor="text1"/>
          <w:sz w:val="16"/>
          <w:szCs w:val="16"/>
        </w:rPr>
        <w:softHyphen/>
        <w:t>вил в ЦАГИ на заключение два первых своих эс</w:t>
      </w:r>
      <w:r w:rsidRPr="00A259BD">
        <w:rPr>
          <w:rFonts w:ascii="Times New Roman" w:hAnsi="Times New Roman"/>
          <w:color w:val="000000" w:themeColor="text1"/>
          <w:sz w:val="16"/>
          <w:szCs w:val="16"/>
        </w:rPr>
        <w:softHyphen/>
        <w:t>кизных проекта (точнее, технических предложе</w:t>
      </w:r>
      <w:r w:rsidRPr="00A259BD">
        <w:rPr>
          <w:rFonts w:ascii="Times New Roman" w:hAnsi="Times New Roman"/>
          <w:color w:val="000000" w:themeColor="text1"/>
          <w:sz w:val="16"/>
          <w:szCs w:val="16"/>
        </w:rPr>
        <w:softHyphen/>
        <w:t>ния) легкого тренировочного и тяжелого четы</w:t>
      </w:r>
      <w:r w:rsidRPr="00A259BD">
        <w:rPr>
          <w:rFonts w:ascii="Times New Roman" w:hAnsi="Times New Roman"/>
          <w:color w:val="000000" w:themeColor="text1"/>
          <w:sz w:val="16"/>
          <w:szCs w:val="16"/>
        </w:rPr>
        <w:softHyphen/>
        <w:t>рехмоторного гидросамолетов. Названий у этих машин не было. В печати они преподносятся как ЛЛ-1 и ЛЛ-2. Моно</w:t>
      </w:r>
      <w:r w:rsidRPr="00A259BD">
        <w:rPr>
          <w:rFonts w:ascii="Times New Roman" w:hAnsi="Times New Roman"/>
          <w:color w:val="000000" w:themeColor="text1"/>
          <w:sz w:val="16"/>
          <w:szCs w:val="16"/>
        </w:rPr>
        <w:softHyphen/>
        <w:t>план с высокорасположенным крылом ЛЛ-1 напоминал лег</w:t>
      </w:r>
      <w:r w:rsidRPr="00A259BD">
        <w:rPr>
          <w:rFonts w:ascii="Times New Roman" w:hAnsi="Times New Roman"/>
          <w:color w:val="000000" w:themeColor="text1"/>
          <w:sz w:val="16"/>
          <w:szCs w:val="16"/>
        </w:rPr>
        <w:softHyphen/>
        <w:t>кий самолет “</w:t>
      </w:r>
      <w:proofErr w:type="spellStart"/>
      <w:r w:rsidRPr="00A259BD">
        <w:rPr>
          <w:rFonts w:ascii="Times New Roman" w:hAnsi="Times New Roman"/>
          <w:color w:val="000000" w:themeColor="text1"/>
          <w:sz w:val="16"/>
          <w:szCs w:val="16"/>
        </w:rPr>
        <w:t>Либелле</w:t>
      </w:r>
      <w:proofErr w:type="spellEnd"/>
      <w:r w:rsidRPr="00A259BD">
        <w:rPr>
          <w:rFonts w:ascii="Times New Roman" w:hAnsi="Times New Roman"/>
          <w:color w:val="000000" w:themeColor="text1"/>
          <w:sz w:val="16"/>
          <w:szCs w:val="16"/>
        </w:rPr>
        <w:t>” фирмы “Дорнье”. Гидросамолет взлетным весом 450 кг рассчитывался под 100-сильный мо</w:t>
      </w:r>
      <w:r w:rsidRPr="00A259BD">
        <w:rPr>
          <w:rFonts w:ascii="Times New Roman" w:hAnsi="Times New Roman"/>
          <w:color w:val="000000" w:themeColor="text1"/>
          <w:sz w:val="16"/>
          <w:szCs w:val="16"/>
        </w:rPr>
        <w:softHyphen/>
        <w:t>тор “Люцифер”, а его лодка для боковой остойчивости бы</w:t>
      </w:r>
      <w:r w:rsidRPr="00A259BD">
        <w:rPr>
          <w:rFonts w:ascii="Times New Roman" w:hAnsi="Times New Roman"/>
          <w:color w:val="000000" w:themeColor="text1"/>
          <w:sz w:val="16"/>
          <w:szCs w:val="16"/>
        </w:rPr>
        <w:softHyphen/>
        <w:t>ла снабжена поплавками поперечной остойчивости, называ</w:t>
      </w:r>
      <w:r w:rsidRPr="00A259BD">
        <w:rPr>
          <w:rFonts w:ascii="Times New Roman" w:hAnsi="Times New Roman"/>
          <w:color w:val="000000" w:themeColor="text1"/>
          <w:sz w:val="16"/>
          <w:szCs w:val="16"/>
        </w:rPr>
        <w:softHyphen/>
        <w:t>ющимися “жабрами” и имевшими утолщение на концах. Что касается проекта ЛЛ-2, то иллюстративного материала по ней не публиковалось. Сообщается лишь, что расчетный взлетный вес гидросамолета достигал 6000 килограммов (11160).</w:t>
      </w:r>
    </w:p>
    <w:p w14:paraId="6E0ADAA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8C0744" w14:textId="77777777" w:rsidR="00620372" w:rsidRPr="00A259BD" w:rsidRDefault="00620372" w:rsidP="00620372">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DFF9685" w14:textId="77777777" w:rsidR="00620372" w:rsidRPr="00A259BD" w:rsidRDefault="00620372" w:rsidP="00620372">
      <w:pPr>
        <w:autoSpaceDE w:val="0"/>
        <w:autoSpaceDN w:val="0"/>
        <w:adjustRightInd w:val="0"/>
        <w:spacing w:after="0" w:line="240" w:lineRule="auto"/>
        <w:jc w:val="both"/>
        <w:rPr>
          <w:rFonts w:ascii="Times New Roman" w:hAnsi="Times New Roman"/>
          <w:iCs/>
          <w:color w:val="000000" w:themeColor="text1"/>
          <w:sz w:val="16"/>
          <w:szCs w:val="16"/>
        </w:rPr>
      </w:pPr>
    </w:p>
    <w:p w14:paraId="566DA1FE" w14:textId="77777777" w:rsidR="00620372" w:rsidRPr="00441F34" w:rsidRDefault="00620372" w:rsidP="0062037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Зимой 1929 г. фирма «Глен Мартин» предложила по</w:t>
      </w:r>
      <w:r w:rsidRPr="00441F34">
        <w:rPr>
          <w:rFonts w:ascii="Times New Roman" w:hAnsi="Times New Roman"/>
          <w:color w:val="0070C0"/>
          <w:sz w:val="16"/>
          <w:szCs w:val="16"/>
        </w:rPr>
        <w:softHyphen/>
        <w:t>ставить нашим ВВС партию двухмотор</w:t>
      </w:r>
      <w:r w:rsidRPr="00441F34">
        <w:rPr>
          <w:rFonts w:ascii="Times New Roman" w:hAnsi="Times New Roman"/>
          <w:color w:val="0070C0"/>
          <w:sz w:val="16"/>
          <w:szCs w:val="16"/>
        </w:rPr>
        <w:softHyphen/>
        <w:t>ных летающих лодок — ближних морских разведчиков. Подготовленный конструк</w:t>
      </w:r>
      <w:r w:rsidRPr="00441F34">
        <w:rPr>
          <w:rFonts w:ascii="Times New Roman" w:hAnsi="Times New Roman"/>
          <w:color w:val="0070C0"/>
          <w:sz w:val="16"/>
          <w:szCs w:val="16"/>
        </w:rPr>
        <w:softHyphen/>
        <w:t>торами «Мартин» проект был доработан с учетом технических требований, пере</w:t>
      </w:r>
      <w:r w:rsidRPr="00441F34">
        <w:rPr>
          <w:rFonts w:ascii="Times New Roman" w:hAnsi="Times New Roman"/>
          <w:color w:val="0070C0"/>
          <w:sz w:val="16"/>
          <w:szCs w:val="16"/>
        </w:rPr>
        <w:softHyphen/>
        <w:t>данных из Москвы. По своим летным дан</w:t>
      </w:r>
      <w:r w:rsidRPr="00441F34">
        <w:rPr>
          <w:rFonts w:ascii="Times New Roman" w:hAnsi="Times New Roman"/>
          <w:color w:val="0070C0"/>
          <w:sz w:val="16"/>
          <w:szCs w:val="16"/>
        </w:rPr>
        <w:softHyphen/>
        <w:t>ным американский цельнометаллический гидросамолет несколько превосходил де</w:t>
      </w:r>
      <w:r w:rsidRPr="00441F34">
        <w:rPr>
          <w:rFonts w:ascii="Times New Roman" w:hAnsi="Times New Roman"/>
          <w:color w:val="0070C0"/>
          <w:sz w:val="16"/>
          <w:szCs w:val="16"/>
        </w:rPr>
        <w:softHyphen/>
        <w:t>ревянный биплан Савойя S.62bis, который представили итальянские конкуренты. Он должен был обладать большей полез</w:t>
      </w:r>
      <w:r w:rsidRPr="00441F34">
        <w:rPr>
          <w:rFonts w:ascii="Times New Roman" w:hAnsi="Times New Roman"/>
          <w:color w:val="0070C0"/>
          <w:sz w:val="16"/>
          <w:szCs w:val="16"/>
        </w:rPr>
        <w:softHyphen/>
        <w:t>ной нагрузкой и лучшей мореходностью. Подготовили проект соглашения о при</w:t>
      </w:r>
      <w:r w:rsidRPr="00441F34">
        <w:rPr>
          <w:rFonts w:ascii="Times New Roman" w:hAnsi="Times New Roman"/>
          <w:color w:val="0070C0"/>
          <w:sz w:val="16"/>
          <w:szCs w:val="16"/>
        </w:rPr>
        <w:softHyphen/>
        <w:t>обретении 20 летающих лодок (по 55 000 долларов за штуку) и лицензии на их про</w:t>
      </w:r>
      <w:r w:rsidRPr="00441F34">
        <w:rPr>
          <w:rFonts w:ascii="Times New Roman" w:hAnsi="Times New Roman"/>
          <w:color w:val="0070C0"/>
          <w:sz w:val="16"/>
          <w:szCs w:val="16"/>
        </w:rPr>
        <w:softHyphen/>
        <w:t>изводство в СССР. Однако, когда в июле 1930 г. фирма неофициально запросила госдепартамент о возможности оформле</w:t>
      </w:r>
      <w:r w:rsidRPr="00441F34">
        <w:rPr>
          <w:rFonts w:ascii="Times New Roman" w:hAnsi="Times New Roman"/>
          <w:color w:val="0070C0"/>
          <w:sz w:val="16"/>
          <w:szCs w:val="16"/>
        </w:rPr>
        <w:softHyphen/>
        <w:t>ния разрешения на экспорт, последовала резкая реакция: «Боевые самолеты — Со</w:t>
      </w:r>
      <w:r w:rsidRPr="00441F34">
        <w:rPr>
          <w:rFonts w:ascii="Times New Roman" w:hAnsi="Times New Roman"/>
          <w:color w:val="0070C0"/>
          <w:sz w:val="16"/>
          <w:szCs w:val="16"/>
        </w:rPr>
        <w:softHyphen/>
        <w:t>ветской России? Никогда!». Испугавшись огласки, «Мартин» и «Амторг» стали во</w:t>
      </w:r>
      <w:r w:rsidRPr="00441F34">
        <w:rPr>
          <w:rFonts w:ascii="Times New Roman" w:hAnsi="Times New Roman"/>
          <w:color w:val="0070C0"/>
          <w:sz w:val="16"/>
          <w:szCs w:val="16"/>
        </w:rPr>
        <w:softHyphen/>
        <w:t>обще отрицать факт ведения переговоров. В российских архивах сохранилась целая папка планов по «заметанию следов» этой сделки. Но история все-таки просочилась в газеты. Дело дошло до президента Гуве</w:t>
      </w:r>
      <w:r w:rsidRPr="00441F34">
        <w:rPr>
          <w:rFonts w:ascii="Times New Roman" w:hAnsi="Times New Roman"/>
          <w:color w:val="0070C0"/>
          <w:sz w:val="16"/>
          <w:szCs w:val="16"/>
        </w:rPr>
        <w:softHyphen/>
        <w:t>ра, ярого антикоммуниста. Он однозначно запретил выполнение заказа. Выиграли от всего этого итальянцы. Они продали ВВС РККА летающих лодки, лицензию на их производство и большую партию авиамо</w:t>
      </w:r>
      <w:r w:rsidRPr="00441F34">
        <w:rPr>
          <w:rFonts w:ascii="Times New Roman" w:hAnsi="Times New Roman"/>
          <w:color w:val="0070C0"/>
          <w:sz w:val="16"/>
          <w:szCs w:val="16"/>
        </w:rPr>
        <w:softHyphen/>
        <w:t>торов (23513).</w:t>
      </w:r>
    </w:p>
    <w:p w14:paraId="46EC8190" w14:textId="77777777" w:rsidR="00620372" w:rsidRPr="00441F34" w:rsidRDefault="00620372" w:rsidP="00620372">
      <w:pPr>
        <w:spacing w:after="0" w:line="240" w:lineRule="auto"/>
        <w:jc w:val="both"/>
        <w:rPr>
          <w:rFonts w:ascii="Times New Roman" w:hAnsi="Times New Roman"/>
          <w:color w:val="0070C0"/>
          <w:sz w:val="16"/>
          <w:szCs w:val="16"/>
        </w:rPr>
      </w:pPr>
    </w:p>
    <w:p w14:paraId="7A33478D" w14:textId="77777777" w:rsidR="00620372" w:rsidRPr="00441F34" w:rsidRDefault="00620372" w:rsidP="0062037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Зимой 1929 года предложила поставить нашим ВВС партию двухмоторных летающих лодок—ближних мор</w:t>
      </w:r>
      <w:r w:rsidRPr="00441F34">
        <w:rPr>
          <w:rFonts w:ascii="Times New Roman" w:hAnsi="Times New Roman"/>
          <w:color w:val="0070C0"/>
          <w:sz w:val="16"/>
          <w:szCs w:val="16"/>
        </w:rPr>
        <w:softHyphen/>
        <w:t>ских разведчиков. Подготовленный конструкторами «Мартин» проект был доработан с учетом технических требований, переданных из Москвы. По своим летным данным американский цельнометаллический гидросамо</w:t>
      </w:r>
      <w:r w:rsidRPr="00441F34">
        <w:rPr>
          <w:rFonts w:ascii="Times New Roman" w:hAnsi="Times New Roman"/>
          <w:color w:val="0070C0"/>
          <w:sz w:val="16"/>
          <w:szCs w:val="16"/>
        </w:rPr>
        <w:softHyphen/>
        <w:t>лет несколько превосходил деревянный биплан Савойя S.62bis, который представили итальянские конкуренты. Он должен был обладать большей полезной нагрузкой и лучшей мореходностью. Подготовили проект соглаше</w:t>
      </w:r>
      <w:r w:rsidRPr="00441F34">
        <w:rPr>
          <w:rFonts w:ascii="Times New Roman" w:hAnsi="Times New Roman"/>
          <w:color w:val="0070C0"/>
          <w:sz w:val="16"/>
          <w:szCs w:val="16"/>
        </w:rPr>
        <w:softHyphen/>
        <w:t>ния о приобретении 20 летающих лодок (по 55 тысяч долларов за штуку) и лицензии на их производство в СССР. Однако, когда в июле 1930 года фирма неофи</w:t>
      </w:r>
      <w:r w:rsidRPr="00441F34">
        <w:rPr>
          <w:rFonts w:ascii="Times New Roman" w:hAnsi="Times New Roman"/>
          <w:color w:val="0070C0"/>
          <w:sz w:val="16"/>
          <w:szCs w:val="16"/>
        </w:rPr>
        <w:softHyphen/>
        <w:t>циально запросила госдепартамент о возможности оформления разрешения на экспорт, последовала рез</w:t>
      </w:r>
      <w:r w:rsidRPr="00441F34">
        <w:rPr>
          <w:rFonts w:ascii="Times New Roman" w:hAnsi="Times New Roman"/>
          <w:color w:val="0070C0"/>
          <w:sz w:val="16"/>
          <w:szCs w:val="16"/>
        </w:rPr>
        <w:softHyphen/>
        <w:t>кая реакция: «Боевые самолеты—Советской России? Никогда!». Испугавшись огласки, «Мартин» и «Амторг» начали вообще отрицать факт ведения переговоров. В наших архивах сохранилась целая папка планов по «заметанию следов» этой сделки. Но история все-таки просочилась в газеты. Дело дошло до президента Гуве</w:t>
      </w:r>
      <w:r w:rsidRPr="00441F34">
        <w:rPr>
          <w:rFonts w:ascii="Times New Roman" w:hAnsi="Times New Roman"/>
          <w:color w:val="0070C0"/>
          <w:sz w:val="16"/>
          <w:szCs w:val="16"/>
        </w:rPr>
        <w:softHyphen/>
        <w:t>ра, ярого антикоммуниста и противника любых контак</w:t>
      </w:r>
      <w:r w:rsidRPr="00441F34">
        <w:rPr>
          <w:rFonts w:ascii="Times New Roman" w:hAnsi="Times New Roman"/>
          <w:color w:val="0070C0"/>
          <w:sz w:val="16"/>
          <w:szCs w:val="16"/>
        </w:rPr>
        <w:softHyphen/>
        <w:t>тов с СССР. Он однозначно запретил выполнение этого заказа. Выиграли от всего этого итальянцы. Они про</w:t>
      </w:r>
      <w:r w:rsidRPr="00441F34">
        <w:rPr>
          <w:rFonts w:ascii="Times New Roman" w:hAnsi="Times New Roman"/>
          <w:color w:val="0070C0"/>
          <w:sz w:val="16"/>
          <w:szCs w:val="16"/>
        </w:rPr>
        <w:softHyphen/>
        <w:t>дали ВВС РККА 52 летающих лодки, лицензию на их производство и большую партию авиамоторов.</w:t>
      </w:r>
    </w:p>
    <w:p w14:paraId="1C4CEF0D" w14:textId="77777777" w:rsidR="00620372" w:rsidRPr="00441F34" w:rsidRDefault="00620372" w:rsidP="0062037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Усилия госдепартамента не пропали даром—товаро</w:t>
      </w:r>
      <w:r w:rsidRPr="00441F34">
        <w:rPr>
          <w:rFonts w:ascii="Times New Roman" w:hAnsi="Times New Roman"/>
          <w:color w:val="0070C0"/>
          <w:sz w:val="16"/>
          <w:szCs w:val="16"/>
        </w:rPr>
        <w:softHyphen/>
        <w:t>оборот между СССР и США к 1931 году значительно упал. Закупки для нужд авиации продолжались, но в куда меньших масштабах. Ввозили радиодетали, необ</w:t>
      </w:r>
      <w:r w:rsidRPr="00441F34">
        <w:rPr>
          <w:rFonts w:ascii="Times New Roman" w:hAnsi="Times New Roman"/>
          <w:color w:val="0070C0"/>
          <w:sz w:val="16"/>
          <w:szCs w:val="16"/>
        </w:rPr>
        <w:softHyphen/>
        <w:t>ходимые для самолетных радиостанций, образцы нави</w:t>
      </w:r>
      <w:r w:rsidRPr="00441F34">
        <w:rPr>
          <w:rFonts w:ascii="Times New Roman" w:hAnsi="Times New Roman"/>
          <w:color w:val="0070C0"/>
          <w:sz w:val="16"/>
          <w:szCs w:val="16"/>
        </w:rPr>
        <w:softHyphen/>
        <w:t>гационных приборов, снаряжение для высотных поле</w:t>
      </w:r>
      <w:r w:rsidRPr="00441F34">
        <w:rPr>
          <w:rFonts w:ascii="Times New Roman" w:hAnsi="Times New Roman"/>
          <w:color w:val="0070C0"/>
          <w:sz w:val="16"/>
          <w:szCs w:val="16"/>
        </w:rPr>
        <w:softHyphen/>
        <w:t>тов, но все—в мизерном количестве, только для изучения (23545).</w:t>
      </w:r>
    </w:p>
    <w:p w14:paraId="4E7B7EE4" w14:textId="77777777" w:rsidR="00620372" w:rsidRPr="00441F34" w:rsidRDefault="00620372" w:rsidP="00620372">
      <w:pPr>
        <w:spacing w:after="0" w:line="240" w:lineRule="auto"/>
        <w:jc w:val="both"/>
        <w:rPr>
          <w:rFonts w:ascii="Times New Roman" w:hAnsi="Times New Roman"/>
          <w:color w:val="0070C0"/>
          <w:sz w:val="16"/>
          <w:szCs w:val="16"/>
        </w:rPr>
      </w:pPr>
    </w:p>
    <w:p w14:paraId="3173D91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445B4043"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186D2166" w14:textId="77777777" w:rsidR="00620372" w:rsidRPr="00441F34" w:rsidRDefault="00620372" w:rsidP="0062037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1929 г. число новых типов самолетов, переданных ЦКБ на испытания, сократилось до двух, оба они были разработаны под руководством Григоровича и не содержали никаких новых прогрессивных решений:</w:t>
      </w:r>
    </w:p>
    <w:p w14:paraId="2DA706F2" w14:textId="77777777" w:rsidR="00620372" w:rsidRPr="00441F34" w:rsidRDefault="00620372" w:rsidP="0062037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летающая лодка - морской ближний разведчик МР-3 (2-й с таким обозначением, он же МР-5);</w:t>
      </w:r>
    </w:p>
    <w:p w14:paraId="7BC230ED" w14:textId="77777777" w:rsidR="00620372" w:rsidRPr="00441F34" w:rsidRDefault="00620372" w:rsidP="0062037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военная учебно-тренировочная летающая лодка начальной и повышенной летной подготовки МУ-2 (1-й с таким обозначением).</w:t>
      </w:r>
    </w:p>
    <w:p w14:paraId="63DBEB15" w14:textId="77777777" w:rsidR="00620372" w:rsidRPr="00441F34" w:rsidRDefault="00620372" w:rsidP="0062037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Оба эти проекта оказались неудачны, при этом Григоровичу и ранее указывалось на их бесперспективность, но он своей властью продолжал работу над ними и тратить на них значительные средства.</w:t>
      </w:r>
    </w:p>
    <w:p w14:paraId="06D66F8E" w14:textId="77777777" w:rsidR="00620372" w:rsidRPr="00441F34" w:rsidRDefault="00620372" w:rsidP="0062037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В это время обстановка в самом коллективе ЦКБ стала крайне нездоровой. Хотя до провоцирования забастовок, как это было на предприятиях других отраслей промышленности дело на ЦКБ не дошло, но пошли сигналы о том, что антисоветская агитация идет, прежде всего, от руководства организации и старых специалистов. Власть ответила на это репрессиями против них – пошли аресты замеченных в нарушениях.</w:t>
      </w:r>
    </w:p>
    <w:p w14:paraId="6B8255C7" w14:textId="77777777" w:rsidR="00620372" w:rsidRPr="00441F34" w:rsidRDefault="00620372" w:rsidP="0062037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 одной стороны снижение темпов и качества работ ЦКБ в 1928 – 1929 гг. объясняется арестами среди руководства и инженерно-технических работников организации, которые коснулись ключевых его фигур. Но с другой в это время как раз и проявилось то отставание во всех проектных работах от плановых сроков, которое они допустили. При этом в работах ЦКБ пока не было никаких наукоемких и сложных в инженерном или производственном плане новшеств, которые могли бы оправдать срыв этих сроков, принятых руководством ЦКБ. Также были очевидны растущая разница в зарплатах работников ЦКБ через их повышение окладов и премирование, что далеко не всегда оправдывалась реальными результатами работы, а это руководство ЦКБ делало, используя свои полномочия часто незаконно. Наконец, антисоветские настроения, вызывавшие демотивацию всех работников ЦКБ, шли как раз со стороны руководства организации и самых высокооплачиваемых ее специалистов (23559).</w:t>
      </w:r>
    </w:p>
    <w:p w14:paraId="0221A02B" w14:textId="77777777" w:rsidR="00620372" w:rsidRPr="00441F34" w:rsidRDefault="00620372" w:rsidP="00620372">
      <w:pPr>
        <w:spacing w:after="0" w:line="240" w:lineRule="auto"/>
        <w:jc w:val="both"/>
        <w:rPr>
          <w:rFonts w:ascii="Times New Roman" w:hAnsi="Times New Roman"/>
          <w:color w:val="0070C0"/>
          <w:sz w:val="16"/>
          <w:szCs w:val="16"/>
        </w:rPr>
      </w:pPr>
    </w:p>
    <w:p w14:paraId="7BBD11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1929 г. в ЦАГИ под руководством А.Н. Туполева начали делать прикидки по самолету еще больших размеров. Он продолжал линию огромных многомоторных монопланов с толстым профилем крыла, гофрированной обшивкой и неубирающимся шасси, ощетинившихся во все стороны стволами пушек и пулеметов. Основные проблемы вызывала </w:t>
      </w:r>
      <w:proofErr w:type="spellStart"/>
      <w:r w:rsidRPr="00A259BD">
        <w:rPr>
          <w:rFonts w:ascii="Times New Roman" w:hAnsi="Times New Roman"/>
          <w:color w:val="000000" w:themeColor="text1"/>
          <w:sz w:val="16"/>
          <w:szCs w:val="16"/>
        </w:rPr>
        <w:t>мотоустановка</w:t>
      </w:r>
      <w:proofErr w:type="spellEnd"/>
      <w:r w:rsidRPr="00A259BD">
        <w:rPr>
          <w:rFonts w:ascii="Times New Roman" w:hAnsi="Times New Roman"/>
          <w:color w:val="000000" w:themeColor="text1"/>
          <w:sz w:val="16"/>
          <w:szCs w:val="16"/>
        </w:rPr>
        <w:t>-в стране не имелось двигателей подходя- шей мощности для самолета такого веса.</w:t>
      </w:r>
    </w:p>
    <w:p w14:paraId="1F44CB5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Среди заданий, выданных в июле 1932 г. по постановлению Совета труда и обороны, фигурировал тяжелый бомбовоз ТБ-6 с шестью моторами М-44 (мощностью по 2000 л.с.). Он стоял и в плане опытного самолетостроения на 1933-34 годы. Самолет с этим обозначением встречался в подобных документах и ранее, но, судя по записанным параметрам, речь шла о варианте ТБ-4 под четыре мотора М-35, или ФЭД. Теперь же сделали следующий шаг по "лестнице" огромных бомбовозов. От этой машины требовали максимальную скорость 250 км/ч и практический потолок в 7000 м. Максимальная бомбовая нагрузка устанавливалась в 22 000 кг, нормальная - 15 000 кг. Самолет должен был нести бомбы калибром до 2000 кг. Вооружение складывалось из четырех пушек и семи- девяти пулеметов (включая три "тяжелых" - крупнокалиберных). Самолет должен был иметь максимальную дальность до 4800 км, а с 15 т бомб - 3300 км. Машина была записана в категорию "экспериментальных" - то ли сомневались в ее необходимости, то ли в возможности построить. Однако в плане значился срок сдачи опытного образца - I декабря 1935 г. (12024)</w:t>
      </w:r>
    </w:p>
    <w:p w14:paraId="2D3A70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60BDC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1929 г. в ЦАГИ под руководством А.Н. Туполева начали делать прикидки по самолету еще больших размеров, чем АНТ-16. Он продолжал линию огромных многомоторных монопланов с толстым профилем крыла, гофрированной обшивкой и неубирающимся шасси, ощетинившихся во все стороны стволами пушек и пулеметов. Основные проблемы вызывала </w:t>
      </w:r>
      <w:proofErr w:type="spellStart"/>
      <w:r w:rsidRPr="00A259BD">
        <w:rPr>
          <w:rFonts w:ascii="Times New Roman" w:hAnsi="Times New Roman"/>
          <w:color w:val="000000" w:themeColor="text1"/>
          <w:sz w:val="16"/>
          <w:szCs w:val="16"/>
        </w:rPr>
        <w:t>мотоустановка</w:t>
      </w:r>
      <w:proofErr w:type="spellEnd"/>
      <w:r w:rsidRPr="00A259BD">
        <w:rPr>
          <w:rFonts w:ascii="Times New Roman" w:hAnsi="Times New Roman"/>
          <w:color w:val="000000" w:themeColor="text1"/>
          <w:sz w:val="16"/>
          <w:szCs w:val="16"/>
        </w:rPr>
        <w:t xml:space="preserve"> - в стране не имелось двигателей подходящей мощности для самолета такого веса (12036).</w:t>
      </w:r>
    </w:p>
    <w:p w14:paraId="001D3D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CBBE6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разрабатывался ТБ-2 Н.Н.П. и началась его постройка (228,55).</w:t>
      </w:r>
    </w:p>
    <w:p w14:paraId="4F8C60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6769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проходили испытания двухместной версии И-3 Н.Н.П. - уже без Н.Н.П. В одном из полетов разрушилось оперение и летчик </w:t>
      </w:r>
      <w:proofErr w:type="spellStart"/>
      <w:r w:rsidRPr="00A259BD">
        <w:rPr>
          <w:rFonts w:ascii="Times New Roman" w:hAnsi="Times New Roman"/>
          <w:color w:val="000000" w:themeColor="text1"/>
          <w:sz w:val="16"/>
          <w:szCs w:val="16"/>
        </w:rPr>
        <w:t>А.В.Чекарев</w:t>
      </w:r>
      <w:proofErr w:type="spellEnd"/>
      <w:r w:rsidRPr="00A259BD">
        <w:rPr>
          <w:rFonts w:ascii="Times New Roman" w:hAnsi="Times New Roman"/>
          <w:color w:val="000000" w:themeColor="text1"/>
          <w:sz w:val="16"/>
          <w:szCs w:val="16"/>
        </w:rPr>
        <w:t xml:space="preserve"> погиб (228,69).</w:t>
      </w:r>
    </w:p>
    <w:p w14:paraId="3539F6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5260A64" w14:textId="77777777" w:rsidR="00620372" w:rsidRPr="00441F34" w:rsidRDefault="00620372" w:rsidP="0062037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 xml:space="preserve">В 1929 г. вышло предложение разработать модификацию самолета И-3 под двигатель «У» (предположительно, американский 9-цилиндровый звездообразный двигатель воздушного охлаждения </w:t>
      </w:r>
      <w:proofErr w:type="spellStart"/>
      <w:r w:rsidRPr="00441F34">
        <w:rPr>
          <w:rFonts w:ascii="Times New Roman" w:hAnsi="Times New Roman"/>
          <w:color w:val="0070C0"/>
          <w:sz w:val="16"/>
          <w:szCs w:val="16"/>
        </w:rPr>
        <w:t>Wright</w:t>
      </w:r>
      <w:proofErr w:type="spellEnd"/>
      <w:r w:rsidRPr="00441F34">
        <w:rPr>
          <w:rFonts w:ascii="Times New Roman" w:hAnsi="Times New Roman"/>
          <w:color w:val="0070C0"/>
          <w:sz w:val="16"/>
          <w:szCs w:val="16"/>
        </w:rPr>
        <w:t xml:space="preserve"> R-790 </w:t>
      </w:r>
      <w:proofErr w:type="spellStart"/>
      <w:r w:rsidRPr="00441F34">
        <w:rPr>
          <w:rFonts w:ascii="Times New Roman" w:hAnsi="Times New Roman"/>
          <w:color w:val="0070C0"/>
          <w:sz w:val="16"/>
          <w:szCs w:val="16"/>
        </w:rPr>
        <w:t>Whirlwind</w:t>
      </w:r>
      <w:proofErr w:type="spellEnd"/>
      <w:r w:rsidRPr="00441F34">
        <w:rPr>
          <w:rFonts w:ascii="Times New Roman" w:hAnsi="Times New Roman"/>
          <w:color w:val="0070C0"/>
          <w:sz w:val="16"/>
          <w:szCs w:val="16"/>
        </w:rPr>
        <w:t xml:space="preserve">, работающий на низкооктановом бензине, имевший малую мощность, но и малые вес и размеры). Оно значится, например, в письме №163/6291 Председателя Правления </w:t>
      </w:r>
      <w:proofErr w:type="spellStart"/>
      <w:r w:rsidRPr="00441F34">
        <w:rPr>
          <w:rFonts w:ascii="Times New Roman" w:hAnsi="Times New Roman"/>
          <w:color w:val="0070C0"/>
          <w:sz w:val="16"/>
          <w:szCs w:val="16"/>
        </w:rPr>
        <w:t>Авиатреста</w:t>
      </w:r>
      <w:proofErr w:type="spellEnd"/>
      <w:r w:rsidRPr="00441F34">
        <w:rPr>
          <w:rFonts w:ascii="Times New Roman" w:hAnsi="Times New Roman"/>
          <w:color w:val="0070C0"/>
          <w:sz w:val="16"/>
          <w:szCs w:val="16"/>
        </w:rPr>
        <w:t xml:space="preserve"> Михайлова и Заведующего техотделом </w:t>
      </w:r>
      <w:proofErr w:type="spellStart"/>
      <w:r w:rsidRPr="00441F34">
        <w:rPr>
          <w:rFonts w:ascii="Times New Roman" w:hAnsi="Times New Roman"/>
          <w:color w:val="0070C0"/>
          <w:sz w:val="16"/>
          <w:szCs w:val="16"/>
        </w:rPr>
        <w:t>Окромешко</w:t>
      </w:r>
      <w:proofErr w:type="spellEnd"/>
      <w:r w:rsidRPr="00441F34">
        <w:rPr>
          <w:rFonts w:ascii="Times New Roman" w:hAnsi="Times New Roman"/>
          <w:color w:val="0070C0"/>
          <w:sz w:val="16"/>
          <w:szCs w:val="16"/>
        </w:rPr>
        <w:t xml:space="preserve"> директору завода №25, что могло бы дать недостающую загрузку предприятию в случае выпуска таких самолетов на заводе №25 и оставлении за заводом №1 основной модификации И-3 М-17. Однако сам завод проектирование такой модификации провести не мог, а ОСС ЦКБ и его заведующий Н.Н. Поликарпов сочли ее нецелесообразной в силу недостаточной мощности двигателя.</w:t>
      </w:r>
    </w:p>
    <w:p w14:paraId="3F6973BF" w14:textId="77777777" w:rsidR="00620372" w:rsidRPr="00441F34" w:rsidRDefault="00620372" w:rsidP="00620372">
      <w:pPr>
        <w:spacing w:after="0" w:line="240" w:lineRule="auto"/>
        <w:jc w:val="both"/>
        <w:rPr>
          <w:rFonts w:ascii="Times New Roman" w:hAnsi="Times New Roman"/>
          <w:color w:val="0070C0"/>
          <w:sz w:val="16"/>
          <w:szCs w:val="16"/>
        </w:rPr>
      </w:pPr>
      <w:r w:rsidRPr="00441F34">
        <w:rPr>
          <w:rFonts w:ascii="Times New Roman" w:hAnsi="Times New Roman"/>
          <w:color w:val="0070C0"/>
          <w:sz w:val="16"/>
          <w:szCs w:val="16"/>
        </w:rPr>
        <w:t>Самолет не строился (24887).</w:t>
      </w:r>
    </w:p>
    <w:p w14:paraId="4B8A42EC" w14:textId="77777777" w:rsidR="00620372" w:rsidRPr="00441F34" w:rsidRDefault="00620372" w:rsidP="00620372">
      <w:pPr>
        <w:spacing w:after="0" w:line="240" w:lineRule="auto"/>
        <w:jc w:val="both"/>
        <w:rPr>
          <w:rFonts w:ascii="Times New Roman" w:hAnsi="Times New Roman"/>
          <w:color w:val="0070C0"/>
          <w:sz w:val="16"/>
          <w:szCs w:val="16"/>
        </w:rPr>
      </w:pPr>
    </w:p>
    <w:p w14:paraId="0BA323B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ЦАГИ рассмотрел первые три проекта </w:t>
      </w:r>
      <w:proofErr w:type="spellStart"/>
      <w:r w:rsidRPr="00A259BD">
        <w:rPr>
          <w:rFonts w:ascii="Times New Roman" w:hAnsi="Times New Roman"/>
          <w:color w:val="000000" w:themeColor="text1"/>
          <w:sz w:val="16"/>
          <w:szCs w:val="16"/>
        </w:rPr>
        <w:t>Р.Л.Бартини</w:t>
      </w:r>
      <w:proofErr w:type="spellEnd"/>
      <w:r w:rsidRPr="00A259BD">
        <w:rPr>
          <w:rFonts w:ascii="Times New Roman" w:hAnsi="Times New Roman"/>
          <w:color w:val="000000" w:themeColor="text1"/>
          <w:sz w:val="16"/>
          <w:szCs w:val="16"/>
        </w:rPr>
        <w:t xml:space="preserve"> и обратился в ВСНХ и Реввоенсовет с предложением перевести комбрига в авиапромышленность (76,37).</w:t>
      </w:r>
    </w:p>
    <w:p w14:paraId="0C9E80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A402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завод </w:t>
      </w:r>
      <w:proofErr w:type="spellStart"/>
      <w:r w:rsidRPr="00A259BD">
        <w:rPr>
          <w:rFonts w:ascii="Times New Roman" w:hAnsi="Times New Roman"/>
          <w:color w:val="000000" w:themeColor="text1"/>
          <w:sz w:val="16"/>
          <w:szCs w:val="16"/>
        </w:rPr>
        <w:t>Кр</w:t>
      </w:r>
      <w:proofErr w:type="spellEnd"/>
      <w:r w:rsidRPr="00A259BD">
        <w:rPr>
          <w:rFonts w:ascii="Times New Roman" w:hAnsi="Times New Roman"/>
          <w:color w:val="000000" w:themeColor="text1"/>
          <w:sz w:val="16"/>
          <w:szCs w:val="16"/>
        </w:rPr>
        <w:t>. Летчик делал П-2 Н.Н.П. и постройка была прекращена в 1930, когда было выпущено 55 (228,58).</w:t>
      </w:r>
    </w:p>
    <w:p w14:paraId="2A0BC7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271C1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появилась пассажирская версия Р-3М-5, названная ПС-3 и стала использоваться на линии Москва-Иркутск для доставки курьеров и матриц (189,6).</w:t>
      </w:r>
    </w:p>
    <w:p w14:paraId="311F32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EBF9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обсуждали возможность установки АНТ-9 на поплавки и в 1931 - реализовали (346,44).</w:t>
      </w:r>
    </w:p>
    <w:p w14:paraId="3BE0AA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EE7F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у ОТБ имелись уже два ЮГ-1 (еще один самолет в дополнение к первому, полученному в апреле 1927, добавили из третьего заказа), предоставленных в "безвозмездную аренду". На них испытывали мины ВОМИЗА-100 и торпеды ВВС-12. Исходно ЮГ-1 оснащались </w:t>
      </w:r>
      <w:proofErr w:type="spellStart"/>
      <w:r w:rsidRPr="00A259BD">
        <w:rPr>
          <w:rFonts w:ascii="Times New Roman" w:hAnsi="Times New Roman"/>
          <w:color w:val="000000" w:themeColor="text1"/>
          <w:sz w:val="16"/>
          <w:szCs w:val="16"/>
        </w:rPr>
        <w:t>миносбрасывателями</w:t>
      </w:r>
      <w:proofErr w:type="spellEnd"/>
      <w:r w:rsidRPr="00A259BD">
        <w:rPr>
          <w:rFonts w:ascii="Times New Roman" w:hAnsi="Times New Roman"/>
          <w:color w:val="000000" w:themeColor="text1"/>
          <w:sz w:val="16"/>
          <w:szCs w:val="16"/>
        </w:rPr>
        <w:t xml:space="preserve"> немецкого образца, но немецких авиамин не закупили. ОТБ разработало конструкцию т. н. "моста" - унифицированной подвески для мин и торпед. Чертежи моста (в то время его еще называли "площадкой") согласовывались с заводом в Филях. Испытания торпед ВВС-12 велись на </w:t>
      </w:r>
      <w:proofErr w:type="spellStart"/>
      <w:r w:rsidRPr="00A259BD">
        <w:rPr>
          <w:rFonts w:ascii="Times New Roman" w:hAnsi="Times New Roman"/>
          <w:color w:val="000000" w:themeColor="text1"/>
          <w:sz w:val="16"/>
          <w:szCs w:val="16"/>
        </w:rPr>
        <w:t>Копенском</w:t>
      </w:r>
      <w:proofErr w:type="spellEnd"/>
      <w:r w:rsidRPr="00A259BD">
        <w:rPr>
          <w:rFonts w:ascii="Times New Roman" w:hAnsi="Times New Roman"/>
          <w:color w:val="000000" w:themeColor="text1"/>
          <w:sz w:val="16"/>
          <w:szCs w:val="16"/>
        </w:rPr>
        <w:t xml:space="preserve"> озере. Мины сбрасывали в Финском заливе. Для использования этих перспективных видов оружия создавалась специальная авиачасть (3224,12).</w:t>
      </w:r>
    </w:p>
    <w:p w14:paraId="3C96BB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Развитие авиации в 20-е годы позволило рассматривать самолеты как потенциальные носители минного оружия.</w:t>
      </w:r>
    </w:p>
    <w:p w14:paraId="7D97F0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 как специальных авиационных мин на вооружении флот не имел,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провело опыты по высотному минометанию корабельных мин, которые сбрасывались на штатных грузовых парашютах (3364,16).</w:t>
      </w:r>
    </w:p>
    <w:p w14:paraId="48FF17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3F5B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1929 г. производство Р-1 все-таки начали сворачивать. Завод №1 готовился перейти на сборку новых разведчиков Р-5 конструкции того же Н.Н. Поликарпова. Последние самолеты там собрали в начале 1930 г. В Таганроге выпуск Р-1 сохранялся примерно на одном и том же уровне еще два года. Изменения, внесенные в Р-1 в этот период, были сравнительно небольшими. Вновь усилили козырек пилотской кабины, а с самолета № 3483 опять перешли с целлулоида на триплекс. На левом борту в обеих кабинах сделали сумки для револьверов. Приборы теперь были только советские. На части машин поставили оптические стрелковые прицелы ОП-1 («</w:t>
      </w:r>
      <w:proofErr w:type="spellStart"/>
      <w:r w:rsidRPr="00A259BD">
        <w:rPr>
          <w:rFonts w:ascii="Times New Roman" w:hAnsi="Times New Roman"/>
          <w:color w:val="000000" w:themeColor="text1"/>
          <w:sz w:val="16"/>
          <w:szCs w:val="16"/>
        </w:rPr>
        <w:t>Альдис</w:t>
      </w:r>
      <w:proofErr w:type="spellEnd"/>
      <w:r w:rsidRPr="00A259BD">
        <w:rPr>
          <w:rFonts w:ascii="Times New Roman" w:hAnsi="Times New Roman"/>
          <w:color w:val="000000" w:themeColor="text1"/>
          <w:sz w:val="16"/>
          <w:szCs w:val="16"/>
        </w:rPr>
        <w:t>») и дублирующие кольцевые КП-5, зеркала заднего вида и новые радиостанции ЭРО (11923).</w:t>
      </w:r>
    </w:p>
    <w:p w14:paraId="02A21D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6ADA91B" w14:textId="77777777" w:rsidR="00AF5F46" w:rsidRPr="00A259BD" w:rsidRDefault="00AF5F46" w:rsidP="009236E3">
      <w:pPr>
        <w:spacing w:after="0" w:line="240" w:lineRule="auto"/>
        <w:jc w:val="both"/>
        <w:rPr>
          <w:rFonts w:ascii="Times New Roman" w:hAnsi="Times New Roman"/>
          <w:color w:val="000000" w:themeColor="text1"/>
          <w:sz w:val="16"/>
          <w:szCs w:val="16"/>
          <w:lang w:eastAsia="ru-RU" w:bidi="ru-RU"/>
        </w:rPr>
      </w:pPr>
      <w:r w:rsidRPr="00A259BD">
        <w:rPr>
          <w:rFonts w:ascii="Times New Roman" w:hAnsi="Times New Roman"/>
          <w:color w:val="000000" w:themeColor="text1"/>
          <w:sz w:val="16"/>
          <w:szCs w:val="16"/>
          <w:lang w:eastAsia="ru-RU" w:bidi="ru-RU"/>
        </w:rPr>
        <w:t>В 1929 г. программа завода 31 по количеству самолетов равнялась программе московского завода №1, бывшего тогда лидером отечественного самолетостроения. А по ито</w:t>
      </w:r>
      <w:r w:rsidRPr="00A259BD">
        <w:rPr>
          <w:rFonts w:ascii="Times New Roman" w:hAnsi="Times New Roman"/>
          <w:color w:val="000000" w:themeColor="text1"/>
          <w:sz w:val="16"/>
          <w:szCs w:val="16"/>
          <w:lang w:eastAsia="ru-RU" w:bidi="ru-RU"/>
        </w:rPr>
        <w:softHyphen/>
        <w:t>гам года таганрогский завод №31 опередил московский за</w:t>
      </w:r>
      <w:r w:rsidRPr="00A259BD">
        <w:rPr>
          <w:rFonts w:ascii="Times New Roman" w:hAnsi="Times New Roman"/>
          <w:color w:val="000000" w:themeColor="text1"/>
          <w:sz w:val="16"/>
          <w:szCs w:val="16"/>
          <w:lang w:eastAsia="ru-RU" w:bidi="ru-RU"/>
        </w:rPr>
        <w:softHyphen/>
        <w:t>вод №1 по всем экономическим показателям. За период с 1928 по 1933 гг. производственные площа</w:t>
      </w:r>
      <w:r w:rsidRPr="00A259BD">
        <w:rPr>
          <w:rFonts w:ascii="Times New Roman" w:hAnsi="Times New Roman"/>
          <w:color w:val="000000" w:themeColor="text1"/>
          <w:sz w:val="16"/>
          <w:szCs w:val="16"/>
          <w:lang w:eastAsia="ru-RU" w:bidi="ru-RU"/>
        </w:rPr>
        <w:softHyphen/>
        <w:t>ди предприятия выросли с 14 до 42 тысяч квадратных метров, практически полностью был обновлен станочный парк завода. Вместе с ростом производственных мощностей рос и за</w:t>
      </w:r>
      <w:r w:rsidRPr="00A259BD">
        <w:rPr>
          <w:rFonts w:ascii="Times New Roman" w:hAnsi="Times New Roman"/>
          <w:color w:val="000000" w:themeColor="text1"/>
          <w:sz w:val="16"/>
          <w:szCs w:val="16"/>
          <w:lang w:eastAsia="ru-RU" w:bidi="ru-RU"/>
        </w:rPr>
        <w:softHyphen/>
        <w:t>водской коллектив. В 1931 г. на предприятии трудилось уже более 2000 человек. Тем не менее, проблема кадров, а тем более квалифицированных, была острейшей. В 1929 г. при заводе создали ФЗУ, которое стало готовить кадры по основным рабочим специальностям. В 1930 г. Таганрогский индустриальный техникум преобразуется в авиационный, а позже открывается рабфак для подготовки рабочей молодежи к поступлению в институты. Завод готовил ква</w:t>
      </w:r>
      <w:r w:rsidRPr="00A259BD">
        <w:rPr>
          <w:rFonts w:ascii="Times New Roman" w:hAnsi="Times New Roman"/>
          <w:color w:val="000000" w:themeColor="text1"/>
          <w:sz w:val="16"/>
          <w:szCs w:val="16"/>
          <w:lang w:eastAsia="ru-RU" w:bidi="ru-RU"/>
        </w:rPr>
        <w:softHyphen/>
        <w:t>лифицированных специалистов не только для себя. Напри</w:t>
      </w:r>
      <w:r w:rsidRPr="00A259BD">
        <w:rPr>
          <w:rFonts w:ascii="Times New Roman" w:hAnsi="Times New Roman"/>
          <w:color w:val="000000" w:themeColor="text1"/>
          <w:sz w:val="16"/>
          <w:szCs w:val="16"/>
          <w:lang w:eastAsia="ru-RU" w:bidi="ru-RU"/>
        </w:rPr>
        <w:softHyphen/>
        <w:t>мер, в 1933 г. в Таганрог были направлены на ста</w:t>
      </w:r>
      <w:r w:rsidRPr="00A259BD">
        <w:rPr>
          <w:rFonts w:ascii="Times New Roman" w:hAnsi="Times New Roman"/>
          <w:color w:val="000000" w:themeColor="text1"/>
          <w:sz w:val="16"/>
          <w:szCs w:val="16"/>
          <w:lang w:eastAsia="ru-RU" w:bidi="ru-RU"/>
        </w:rPr>
        <w:softHyphen/>
        <w:t>жировку молодые рабочие со строящегося иркутского авиазавода №125 (20325).</w:t>
      </w:r>
    </w:p>
    <w:p w14:paraId="7F3D59B4" w14:textId="77777777" w:rsidR="00AF5F46" w:rsidRPr="00A259BD" w:rsidRDefault="00AF5F46" w:rsidP="009236E3">
      <w:pPr>
        <w:spacing w:after="0" w:line="240" w:lineRule="auto"/>
        <w:jc w:val="both"/>
        <w:rPr>
          <w:rFonts w:ascii="Times New Roman" w:hAnsi="Times New Roman"/>
          <w:color w:val="000000" w:themeColor="text1"/>
          <w:sz w:val="16"/>
          <w:szCs w:val="16"/>
          <w:lang w:eastAsia="ru-RU" w:bidi="ru-RU"/>
        </w:rPr>
      </w:pPr>
    </w:p>
    <w:p w14:paraId="205033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Запорожский 29 завод в 1929 начал массовое производство М-11 (80,429).</w:t>
      </w:r>
    </w:p>
    <w:p w14:paraId="3FCD9E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E3D80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1928-1929 завод 26 осуществил подготовку к серийному производству BMW-VI - М-17 для авиации и танков (80,430).</w:t>
      </w:r>
    </w:p>
    <w:p w14:paraId="28779A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73A3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моторостроители тоже были арестованы: </w:t>
      </w:r>
      <w:proofErr w:type="spellStart"/>
      <w:r w:rsidRPr="00A259BD">
        <w:rPr>
          <w:rFonts w:ascii="Times New Roman" w:hAnsi="Times New Roman"/>
          <w:color w:val="000000" w:themeColor="text1"/>
          <w:sz w:val="16"/>
          <w:szCs w:val="16"/>
        </w:rPr>
        <w:t>Б.С.Стечкин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Н.Р.Бриллинг</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А.А.Бессонов</w:t>
      </w:r>
      <w:proofErr w:type="spellEnd"/>
      <w:r w:rsidRPr="00A259BD">
        <w:rPr>
          <w:rFonts w:ascii="Times New Roman" w:hAnsi="Times New Roman"/>
          <w:color w:val="000000" w:themeColor="text1"/>
          <w:sz w:val="16"/>
          <w:szCs w:val="16"/>
        </w:rPr>
        <w:t xml:space="preserve"> - были направлены особ. тех. бюро (ОТБ) в системе ОГПУ - сделали бензиновые серии ФЭД - X в т.ч. дизель ФЭД-8 для ТБ-5 (80,82).</w:t>
      </w:r>
    </w:p>
    <w:p w14:paraId="625CC1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другим данным это ОТБ появилось только в 1931 и это логично - наверное в начала по результатам ВТ.</w:t>
      </w:r>
    </w:p>
    <w:p w14:paraId="1B784E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172E4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к созданию авиамоторов подключилось Объединенное госу</w:t>
      </w:r>
      <w:r w:rsidRPr="00A259BD">
        <w:rPr>
          <w:rFonts w:ascii="Times New Roman" w:hAnsi="Times New Roman"/>
          <w:color w:val="000000" w:themeColor="text1"/>
          <w:sz w:val="16"/>
          <w:szCs w:val="16"/>
        </w:rPr>
        <w:softHyphen/>
        <w:t>дарственное политическое управление (ОГПУ), организовавшее конструк</w:t>
      </w:r>
      <w:r w:rsidRPr="00A259BD">
        <w:rPr>
          <w:rFonts w:ascii="Times New Roman" w:hAnsi="Times New Roman"/>
          <w:color w:val="000000" w:themeColor="text1"/>
          <w:sz w:val="16"/>
          <w:szCs w:val="16"/>
        </w:rPr>
        <w:softHyphen/>
        <w:t>торское бюро из инженеров-заключенных. Оно подчинялось Техническому отделу Экономического управления (ТО ЭКУ) ОГПУ. Бюро просущество</w:t>
      </w:r>
      <w:r w:rsidRPr="00A259BD">
        <w:rPr>
          <w:rFonts w:ascii="Times New Roman" w:hAnsi="Times New Roman"/>
          <w:color w:val="000000" w:themeColor="text1"/>
          <w:sz w:val="16"/>
          <w:szCs w:val="16"/>
        </w:rPr>
        <w:softHyphen/>
        <w:t>вало несколько лет, не дав существенных результатов. В 1938 г. к этой практике вернулись, только тогда руководившее тюремными «шарагами», конструкторскими бюро из арестантов, ведомство называлось уже Нарко</w:t>
      </w:r>
      <w:r w:rsidRPr="00A259BD">
        <w:rPr>
          <w:rFonts w:ascii="Times New Roman" w:hAnsi="Times New Roman"/>
          <w:color w:val="000000" w:themeColor="text1"/>
          <w:sz w:val="16"/>
          <w:szCs w:val="16"/>
        </w:rPr>
        <w:softHyphen/>
        <w:t>матом внутренних дел (НКВД). Моторостроительные «шараги» просуще</w:t>
      </w:r>
      <w:r w:rsidRPr="00A259BD">
        <w:rPr>
          <w:rFonts w:ascii="Times New Roman" w:hAnsi="Times New Roman"/>
          <w:color w:val="000000" w:themeColor="text1"/>
          <w:sz w:val="16"/>
          <w:szCs w:val="16"/>
        </w:rPr>
        <w:softHyphen/>
        <w:t>ствовали вплоть до 1945 г. Но объем работ в ведомствах ГВФ и ОГПУ/ НКВД был значительно меньше, чем в ГУАЛ и организациях, ставших его преемниками (11852).</w:t>
      </w:r>
    </w:p>
    <w:p w14:paraId="5FBED6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7402E9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было закончено проектирование, и построены три опытных образца М-19. Испытывался на стенде с января 1930 г. Проходил госиспытания в январе — декабре 1930 г., но получил неудовлетворительную оценку. Выявлены трещины рубашек, за</w:t>
      </w:r>
      <w:r w:rsidRPr="00A259BD">
        <w:rPr>
          <w:rFonts w:ascii="Times New Roman" w:hAnsi="Times New Roman"/>
          <w:color w:val="000000" w:themeColor="text1"/>
          <w:sz w:val="16"/>
          <w:szCs w:val="16"/>
        </w:rPr>
        <w:softHyphen/>
        <w:t>тем поломка коленвала. Облетывался на самолете Р-5 в мае — июне 1931 г. Готовился к серийному производству на заводе № 24. С февраля 1930 г. делалась малая серия из 10 экз.</w:t>
      </w:r>
    </w:p>
    <w:p w14:paraId="3447C68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Характеристики:</w:t>
      </w:r>
    </w:p>
    <w:p w14:paraId="4097C59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12-цилиндровый, рядный У-образный, четырехтактный, водяного охлаждения, с односкоростным ПЦН;</w:t>
      </w:r>
    </w:p>
    <w:p w14:paraId="198413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мощность в зависимости от модификации;</w:t>
      </w:r>
    </w:p>
    <w:p w14:paraId="7AEF4F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степень сжатия 6,4;</w:t>
      </w:r>
    </w:p>
    <w:p w14:paraId="49D3942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диаметр цилиндра/ход поршня 135/160 мм;</w:t>
      </w:r>
    </w:p>
    <w:p w14:paraId="54E76B8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объем 27,47 л;</w:t>
      </w:r>
    </w:p>
    <w:p w14:paraId="4D148E8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степень сжатия 6,4;</w:t>
      </w:r>
    </w:p>
    <w:p w14:paraId="28ABC5C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безредукторный</w:t>
      </w:r>
      <w:proofErr w:type="spellEnd"/>
      <w:r w:rsidRPr="00A259BD">
        <w:rPr>
          <w:rFonts w:ascii="Times New Roman" w:hAnsi="Times New Roman"/>
          <w:color w:val="000000" w:themeColor="text1"/>
          <w:sz w:val="16"/>
          <w:szCs w:val="16"/>
        </w:rPr>
        <w:t>, с ПЦН;</w:t>
      </w:r>
    </w:p>
    <w:p w14:paraId="60CE3D4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вес 475 кг (без втулки винта, синхронизатора и бензонасоса). Известны следующие модификации:</w:t>
      </w:r>
    </w:p>
    <w:p w14:paraId="6310ACA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М-19 (М-19К), основной вариант мощностью 500/600 л.с. (фактиче</w:t>
      </w:r>
      <w:r w:rsidRPr="00A259BD">
        <w:rPr>
          <w:rFonts w:ascii="Times New Roman" w:hAnsi="Times New Roman"/>
          <w:color w:val="000000" w:themeColor="text1"/>
          <w:sz w:val="16"/>
          <w:szCs w:val="16"/>
        </w:rPr>
        <w:softHyphen/>
        <w:t>ски 525/604 л.с.); построены и испытаны три экземпляра. Второй и третий экземпляры выполнялись с укороченной (уменьшенного диа</w:t>
      </w:r>
      <w:r w:rsidRPr="00A259BD">
        <w:rPr>
          <w:rFonts w:ascii="Times New Roman" w:hAnsi="Times New Roman"/>
          <w:color w:val="000000" w:themeColor="text1"/>
          <w:sz w:val="16"/>
          <w:szCs w:val="16"/>
        </w:rPr>
        <w:softHyphen/>
        <w:t>метра) крыльчаткой ПЦН.</w:t>
      </w:r>
    </w:p>
    <w:p w14:paraId="11BD15F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М-19а, усовершенствованный вариант мощностью 600/650 л.с. с но</w:t>
      </w:r>
      <w:r w:rsidRPr="00A259BD">
        <w:rPr>
          <w:rFonts w:ascii="Times New Roman" w:hAnsi="Times New Roman"/>
          <w:color w:val="000000" w:themeColor="text1"/>
          <w:sz w:val="16"/>
          <w:szCs w:val="16"/>
        </w:rPr>
        <w:softHyphen/>
        <w:t>вым блоком головок и измененным механизмом привода ПЦН. Про</w:t>
      </w:r>
      <w:r w:rsidRPr="00A259BD">
        <w:rPr>
          <w:rFonts w:ascii="Times New Roman" w:hAnsi="Times New Roman"/>
          <w:color w:val="000000" w:themeColor="text1"/>
          <w:sz w:val="16"/>
          <w:szCs w:val="16"/>
        </w:rPr>
        <w:softHyphen/>
        <w:t>ектировался в ИАМ в 1931 г., опытный образец не изготавливался.</w:t>
      </w:r>
    </w:p>
    <w:p w14:paraId="1E0018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М-19с, проект варианта со стальными рубашками блоков и новым клапанным механизмом, должен был стать основой для двигателя М-30.</w:t>
      </w:r>
    </w:p>
    <w:p w14:paraId="04C4E85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Планировались варианты с редуктором, двухскоростным и </w:t>
      </w:r>
      <w:proofErr w:type="spellStart"/>
      <w:r w:rsidRPr="00A259BD">
        <w:rPr>
          <w:rFonts w:ascii="Times New Roman" w:hAnsi="Times New Roman"/>
          <w:color w:val="000000" w:themeColor="text1"/>
          <w:sz w:val="16"/>
          <w:szCs w:val="16"/>
        </w:rPr>
        <w:t>трехскорост-ным</w:t>
      </w:r>
      <w:proofErr w:type="spellEnd"/>
      <w:r w:rsidRPr="00A259BD">
        <w:rPr>
          <w:rFonts w:ascii="Times New Roman" w:hAnsi="Times New Roman"/>
          <w:color w:val="000000" w:themeColor="text1"/>
          <w:sz w:val="16"/>
          <w:szCs w:val="16"/>
        </w:rPr>
        <w:t xml:space="preserve"> ПЦН.</w:t>
      </w:r>
    </w:p>
    <w:p w14:paraId="1111FFF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Устанавливался на одном из опытных образцов самолета Р-5. Предла</w:t>
      </w:r>
      <w:r w:rsidRPr="00A259BD">
        <w:rPr>
          <w:rFonts w:ascii="Times New Roman" w:hAnsi="Times New Roman"/>
          <w:color w:val="000000" w:themeColor="text1"/>
          <w:sz w:val="16"/>
          <w:szCs w:val="16"/>
        </w:rPr>
        <w:softHyphen/>
        <w:t>галось также использовать его на истребителе ДИ-4 (11852).</w:t>
      </w:r>
    </w:p>
    <w:p w14:paraId="7A9651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B1EA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1929 разрабатывали двигатель для истребителей М-32 сначала на за</w:t>
      </w:r>
      <w:r w:rsidRPr="00A259BD">
        <w:rPr>
          <w:rFonts w:ascii="Times New Roman" w:hAnsi="Times New Roman"/>
          <w:color w:val="000000" w:themeColor="text1"/>
          <w:sz w:val="16"/>
          <w:szCs w:val="16"/>
        </w:rPr>
        <w:softHyphen/>
        <w:t>воде «Икар». Там проработали первые варианты его компоновки. Существовали три предварительных про</w:t>
      </w:r>
      <w:r w:rsidRPr="00A259BD">
        <w:rPr>
          <w:rFonts w:ascii="Times New Roman" w:hAnsi="Times New Roman"/>
          <w:color w:val="000000" w:themeColor="text1"/>
          <w:sz w:val="16"/>
          <w:szCs w:val="16"/>
        </w:rPr>
        <w:softHyphen/>
        <w:t>екта мотора - В.М. Яковлева, П.И. Орлова и АЛ. Ро. Выбрали проект Яковлева, отличавшийся необычной схемой - 16-цилиндровый У-образный двигатель. По существующей тогда системе ведущие конструкторы по от</w:t>
      </w:r>
      <w:r w:rsidRPr="00A259BD">
        <w:rPr>
          <w:rFonts w:ascii="Times New Roman" w:hAnsi="Times New Roman"/>
          <w:color w:val="000000" w:themeColor="text1"/>
          <w:sz w:val="16"/>
          <w:szCs w:val="16"/>
        </w:rPr>
        <w:softHyphen/>
        <w:t>дельным моторам не назначались. Работали «бригадным методом» — одно подразделение вело расчеты по процессам, другое — по прочности тре</w:t>
      </w:r>
      <w:r w:rsidRPr="00A259BD">
        <w:rPr>
          <w:rFonts w:ascii="Times New Roman" w:hAnsi="Times New Roman"/>
          <w:color w:val="000000" w:themeColor="text1"/>
          <w:sz w:val="16"/>
          <w:szCs w:val="16"/>
        </w:rPr>
        <w:softHyphen/>
        <w:t xml:space="preserve">тье — собственно занималось конструированием. Ответственность за </w:t>
      </w:r>
      <w:proofErr w:type="spellStart"/>
      <w:r w:rsidRPr="00A259BD">
        <w:rPr>
          <w:rFonts w:ascii="Times New Roman" w:hAnsi="Times New Roman"/>
          <w:color w:val="000000" w:themeColor="text1"/>
          <w:sz w:val="16"/>
          <w:szCs w:val="16"/>
        </w:rPr>
        <w:t>двига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тель</w:t>
      </w:r>
      <w:proofErr w:type="spellEnd"/>
      <w:r w:rsidRPr="00A259BD">
        <w:rPr>
          <w:rFonts w:ascii="Times New Roman" w:hAnsi="Times New Roman"/>
          <w:color w:val="000000" w:themeColor="text1"/>
          <w:sz w:val="16"/>
          <w:szCs w:val="16"/>
        </w:rPr>
        <w:t xml:space="preserve"> в целом несла организация (в данном случае, завод). Эта система при</w:t>
      </w:r>
      <w:r w:rsidRPr="00A259BD">
        <w:rPr>
          <w:rFonts w:ascii="Times New Roman" w:hAnsi="Times New Roman"/>
          <w:color w:val="000000" w:themeColor="text1"/>
          <w:sz w:val="16"/>
          <w:szCs w:val="16"/>
        </w:rPr>
        <w:softHyphen/>
        <w:t>водила к полному отсутствию персональной ответственности и значительно тормозила работу. Ее неоднократно предлагали сломать. С февраля 1931 г. проектирование М-32 велось в ИАМ под руководством В.М. Яков</w:t>
      </w:r>
      <w:r w:rsidRPr="00A259BD">
        <w:rPr>
          <w:rFonts w:ascii="Times New Roman" w:hAnsi="Times New Roman"/>
          <w:color w:val="000000" w:themeColor="text1"/>
          <w:sz w:val="16"/>
          <w:szCs w:val="16"/>
        </w:rPr>
        <w:softHyphen/>
        <w:t>лева. Передача М-32 в НАМ затормозила работу над двигателем. На несколь</w:t>
      </w:r>
      <w:r w:rsidRPr="00A259BD">
        <w:rPr>
          <w:rFonts w:ascii="Times New Roman" w:hAnsi="Times New Roman"/>
          <w:color w:val="000000" w:themeColor="text1"/>
          <w:sz w:val="16"/>
          <w:szCs w:val="16"/>
        </w:rPr>
        <w:softHyphen/>
        <w:t>ко месяцев он «завис». Лишь в феврале 1931 г. от завода приняли уже выполненные чертежи и расчеты. Проектирование закончено в марте 1931 г. Очевидно, готовность эскизного проекта была достаточно высока, поскольку 1 апреля того же года проект одобрен техническим совещанием ИАМ. В мае 1930 г. руководство проектированием М-32 в ИАМ предлагали поручить АД Швецову. В 1931-1932 гг. из</w:t>
      </w:r>
      <w:r w:rsidRPr="00A259BD">
        <w:rPr>
          <w:rFonts w:ascii="Times New Roman" w:hAnsi="Times New Roman"/>
          <w:color w:val="000000" w:themeColor="text1"/>
          <w:sz w:val="16"/>
          <w:szCs w:val="16"/>
        </w:rPr>
        <w:softHyphen/>
        <w:t>готовлено пять (по другим данным — шесть) опытных экземпляров. К 1 января 1932 г. все рабочие чертежи деталей завершили, сделали три четверти моделей для отливок и приступили к литью. 20 октября того же года первый экземпляр М-32 запустили на стенде. В процессе доводки усилили рубашки блоков, затем выявилось растрескивание коренных под</w:t>
      </w:r>
      <w:r w:rsidRPr="00A259BD">
        <w:rPr>
          <w:rFonts w:ascii="Times New Roman" w:hAnsi="Times New Roman"/>
          <w:color w:val="000000" w:themeColor="text1"/>
          <w:sz w:val="16"/>
          <w:szCs w:val="16"/>
        </w:rPr>
        <w:softHyphen/>
        <w:t>шипников и головок блоков. Со второго экзем</w:t>
      </w:r>
      <w:r w:rsidRPr="00A259BD">
        <w:rPr>
          <w:rFonts w:ascii="Times New Roman" w:hAnsi="Times New Roman"/>
          <w:color w:val="000000" w:themeColor="text1"/>
          <w:sz w:val="16"/>
          <w:szCs w:val="16"/>
        </w:rPr>
        <w:softHyphen/>
        <w:t>пляра применялись усиленные блоки. Основные дефекты так и не были устранены. В 1934 г. появилось новое задание на модификацию М-32РН. За счет введения ПЦН мощность требовалось довести до 650 л.с. В перспективе рассчитывали перейти на охлаждение этиленгликолем или даже на паровое охлаждение. М-32РН был построен и поставлен на стенд. В общей сложности изго</w:t>
      </w:r>
      <w:r w:rsidRPr="00A259BD">
        <w:rPr>
          <w:rFonts w:ascii="Times New Roman" w:hAnsi="Times New Roman"/>
          <w:color w:val="000000" w:themeColor="text1"/>
          <w:sz w:val="16"/>
          <w:szCs w:val="16"/>
        </w:rPr>
        <w:softHyphen/>
        <w:t xml:space="preserve">товили пять М-32. Доводка двигателя шла до 1935 г. К этому времени он уже устарел, а требуемого уровня надежности ПЦН добиться не удалось. Работу прекратили. В серийное производство не запускался. </w:t>
      </w:r>
    </w:p>
    <w:p w14:paraId="0B896F4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Известны модификации:</w:t>
      </w:r>
    </w:p>
    <w:p w14:paraId="327F92B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М-32, первоначальный вариант без редук</w:t>
      </w:r>
      <w:r w:rsidRPr="00A259BD">
        <w:rPr>
          <w:rFonts w:ascii="Times New Roman" w:hAnsi="Times New Roman"/>
          <w:color w:val="000000" w:themeColor="text1"/>
          <w:sz w:val="16"/>
          <w:szCs w:val="16"/>
        </w:rPr>
        <w:softHyphen/>
        <w:t>тора и ПЦН, изготовлен в одном экзем</w:t>
      </w:r>
      <w:r w:rsidRPr="00A259BD">
        <w:rPr>
          <w:rFonts w:ascii="Times New Roman" w:hAnsi="Times New Roman"/>
          <w:color w:val="000000" w:themeColor="text1"/>
          <w:sz w:val="16"/>
          <w:szCs w:val="16"/>
        </w:rPr>
        <w:softHyphen/>
        <w:t>пляре. Вес по заданию 400 кг, фактически 430 кг.</w:t>
      </w:r>
    </w:p>
    <w:p w14:paraId="632B999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М-32РН, вариант с редуктором и одно-скоростным ПЦН. В дальнейшем предпо</w:t>
      </w:r>
      <w:r w:rsidRPr="00A259BD">
        <w:rPr>
          <w:rFonts w:ascii="Times New Roman" w:hAnsi="Times New Roman"/>
          <w:color w:val="000000" w:themeColor="text1"/>
          <w:sz w:val="16"/>
          <w:szCs w:val="16"/>
        </w:rPr>
        <w:softHyphen/>
        <w:t>лагали опробовать паровое охлаждение и охлаждение этиленгликолем. Вес 460 кг.</w:t>
      </w:r>
    </w:p>
    <w:p w14:paraId="1AAF46E4"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Характеристики:</w:t>
      </w:r>
    </w:p>
    <w:p w14:paraId="513F4BE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16-цилиндровый, рядный У-образный, че</w:t>
      </w:r>
      <w:r w:rsidRPr="00A259BD">
        <w:rPr>
          <w:rFonts w:ascii="Times New Roman" w:hAnsi="Times New Roman"/>
          <w:color w:val="000000" w:themeColor="text1"/>
          <w:sz w:val="16"/>
          <w:szCs w:val="16"/>
        </w:rPr>
        <w:softHyphen/>
        <w:t>тырехтактный, водяного охлаждения;</w:t>
      </w:r>
    </w:p>
    <w:p w14:paraId="0450BEA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мощность 600/750 л.с. (по заданию 650/700 л.с.);</w:t>
      </w:r>
    </w:p>
    <w:p w14:paraId="28AEFAA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диаметр цилиндра/ход поршня 120/120 мм;</w:t>
      </w:r>
    </w:p>
    <w:p w14:paraId="5BD318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объем 21,7 л;</w:t>
      </w:r>
    </w:p>
    <w:p w14:paraId="4C50C78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степень сжатия 6,0;</w:t>
      </w:r>
    </w:p>
    <w:p w14:paraId="520392A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безредукторный</w:t>
      </w:r>
      <w:proofErr w:type="spellEnd"/>
      <w:r w:rsidRPr="00A259BD">
        <w:rPr>
          <w:rFonts w:ascii="Times New Roman" w:hAnsi="Times New Roman"/>
          <w:color w:val="000000" w:themeColor="text1"/>
          <w:sz w:val="16"/>
          <w:szCs w:val="16"/>
        </w:rPr>
        <w:t>.</w:t>
      </w:r>
    </w:p>
    <w:p w14:paraId="6E1F1B1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Предлагался для истребителей И-9, И-13, ДИ-6.</w:t>
      </w:r>
    </w:p>
    <w:p w14:paraId="3A5F21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Единственный сохранившийся до наших дней М-32РН лежит на задворках музея в Монино (11852).</w:t>
      </w:r>
    </w:p>
    <w:p w14:paraId="6E8914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BE6C8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на части самолетов 5-й авиабригаде в Киеве установили дополнительные ПВ-1; вес пулеметных установок вынудил уменьшить для этих машин бомбовую нагрузку. Другим эффективным способом поражения пехоты и кавалерии считалось применение большого количества мелких осколочных бомб. Но подвеска их на Р-1 ограничивалась количеством замков на балках бомбодержателей; при переходе на боеприпасы малого калибра реальная бомбовая нагрузка резко уменьшалась, самолет не мог полностью использовать свою грузоподъемность. В 1926 г. на ГАЗ-1 разработали кассеты ДЕР-10, рассчитанные на 2-кг бомбы. Но на серийных Р-1 их не устанавливали (11923).</w:t>
      </w:r>
    </w:p>
    <w:p w14:paraId="7F9D4D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0BFFD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приказом правительства трест “</w:t>
      </w:r>
      <w:proofErr w:type="spellStart"/>
      <w:r w:rsidRPr="00A259BD">
        <w:rPr>
          <w:rFonts w:ascii="Times New Roman" w:hAnsi="Times New Roman"/>
          <w:color w:val="000000" w:themeColor="text1"/>
          <w:sz w:val="16"/>
          <w:szCs w:val="16"/>
        </w:rPr>
        <w:t>Промвоздух</w:t>
      </w:r>
      <w:proofErr w:type="spellEnd"/>
      <w:r w:rsidRPr="00A259BD">
        <w:rPr>
          <w:rFonts w:ascii="Times New Roman" w:hAnsi="Times New Roman"/>
          <w:color w:val="000000" w:themeColor="text1"/>
          <w:sz w:val="16"/>
          <w:szCs w:val="16"/>
        </w:rPr>
        <w:t>” ликвидировали, а его заводы вошли в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с теми же номерами и были преобразованы из ремонтных в самолетостроительные.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быстро реорганизовали. И на его основе возникло Всесоюзное </w:t>
      </w:r>
      <w:proofErr w:type="spellStart"/>
      <w:r w:rsidRPr="00A259BD">
        <w:rPr>
          <w:rFonts w:ascii="Times New Roman" w:hAnsi="Times New Roman"/>
          <w:color w:val="000000" w:themeColor="text1"/>
          <w:sz w:val="16"/>
          <w:szCs w:val="16"/>
        </w:rPr>
        <w:t>авиаобъединение</w:t>
      </w:r>
      <w:proofErr w:type="spellEnd"/>
      <w:r w:rsidRPr="00A259BD">
        <w:rPr>
          <w:rFonts w:ascii="Times New Roman" w:hAnsi="Times New Roman"/>
          <w:color w:val="000000" w:themeColor="text1"/>
          <w:sz w:val="16"/>
          <w:szCs w:val="16"/>
        </w:rPr>
        <w:t xml:space="preserve"> (ВАО), подчиненное Наркомату обороны СССР (9536,4). В конце 1929 г. при головных заводах военной промышленности, находившихся в ведении Главного военно-промышленного управления - ГВПУ ВСНХ СССР, стали создавать специализированные конструкторские бюро. Одними из первых были созданы два КБ по разработке взрывателей - при заводе № 42 имени </w:t>
      </w:r>
      <w:proofErr w:type="spellStart"/>
      <w:r w:rsidRPr="00A259BD">
        <w:rPr>
          <w:rFonts w:ascii="Times New Roman" w:hAnsi="Times New Roman"/>
          <w:color w:val="000000" w:themeColor="text1"/>
          <w:sz w:val="16"/>
          <w:szCs w:val="16"/>
        </w:rPr>
        <w:t>М.И.Калинина</w:t>
      </w:r>
      <w:proofErr w:type="spellEnd"/>
      <w:r w:rsidRPr="00A259BD">
        <w:rPr>
          <w:rFonts w:ascii="Times New Roman" w:hAnsi="Times New Roman"/>
          <w:color w:val="000000" w:themeColor="text1"/>
          <w:sz w:val="16"/>
          <w:szCs w:val="16"/>
        </w:rPr>
        <w:t xml:space="preserve"> на основе Бюро подготовки трубочному делу и опытной мастерской </w:t>
      </w:r>
      <w:proofErr w:type="spellStart"/>
      <w:r w:rsidRPr="00A259BD">
        <w:rPr>
          <w:rFonts w:ascii="Times New Roman" w:hAnsi="Times New Roman"/>
          <w:color w:val="000000" w:themeColor="text1"/>
          <w:sz w:val="16"/>
          <w:szCs w:val="16"/>
        </w:rPr>
        <w:t>В.И.Рдултовского</w:t>
      </w:r>
      <w:proofErr w:type="spellEnd"/>
      <w:r w:rsidRPr="00A259BD">
        <w:rPr>
          <w:rFonts w:ascii="Times New Roman" w:hAnsi="Times New Roman"/>
          <w:color w:val="000000" w:themeColor="text1"/>
          <w:sz w:val="16"/>
          <w:szCs w:val="16"/>
        </w:rPr>
        <w:t xml:space="preserve">, а второе - при ленинградском заводе “Прогресс”. Руководить ими назначили </w:t>
      </w:r>
      <w:proofErr w:type="spellStart"/>
      <w:r w:rsidRPr="00A259BD">
        <w:rPr>
          <w:rFonts w:ascii="Times New Roman" w:hAnsi="Times New Roman"/>
          <w:color w:val="000000" w:themeColor="text1"/>
          <w:sz w:val="16"/>
          <w:szCs w:val="16"/>
        </w:rPr>
        <w:t>М.Ф.Васильева</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Я.А.Савельева</w:t>
      </w:r>
      <w:proofErr w:type="spellEnd"/>
      <w:r w:rsidRPr="00A259BD">
        <w:rPr>
          <w:rFonts w:ascii="Times New Roman" w:hAnsi="Times New Roman"/>
          <w:color w:val="000000" w:themeColor="text1"/>
          <w:sz w:val="16"/>
          <w:szCs w:val="16"/>
        </w:rPr>
        <w:t xml:space="preserve"> (7453). К концу 1929 года завод № 29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707F6E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w:t>
      </w:r>
      <w:proofErr w:type="spellStart"/>
      <w:r w:rsidRPr="00A259BD">
        <w:rPr>
          <w:rFonts w:ascii="Times New Roman" w:hAnsi="Times New Roman"/>
          <w:color w:val="000000" w:themeColor="text1"/>
          <w:sz w:val="16"/>
          <w:szCs w:val="16"/>
        </w:rPr>
        <w:t>Туманский</w:t>
      </w:r>
      <w:proofErr w:type="spellEnd"/>
      <w:r w:rsidRPr="00A259BD">
        <w:rPr>
          <w:rFonts w:ascii="Times New Roman" w:hAnsi="Times New Roman"/>
          <w:color w:val="000000" w:themeColor="text1"/>
          <w:sz w:val="16"/>
          <w:szCs w:val="16"/>
        </w:rPr>
        <w:t xml:space="preserve"> С.К.</w:t>
      </w:r>
    </w:p>
    <w:p w14:paraId="63AFFF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w:t>
      </w:r>
      <w:proofErr w:type="spellStart"/>
      <w:r w:rsidRPr="00A259BD">
        <w:rPr>
          <w:rFonts w:ascii="Times New Roman" w:hAnsi="Times New Roman"/>
          <w:color w:val="000000" w:themeColor="text1"/>
          <w:sz w:val="16"/>
          <w:szCs w:val="16"/>
        </w:rPr>
        <w:t>Урмин</w:t>
      </w:r>
      <w:proofErr w:type="spellEnd"/>
      <w:r w:rsidRPr="00A259BD">
        <w:rPr>
          <w:rFonts w:ascii="Times New Roman" w:hAnsi="Times New Roman"/>
          <w:color w:val="000000" w:themeColor="text1"/>
          <w:sz w:val="16"/>
          <w:szCs w:val="16"/>
        </w:rPr>
        <w:t xml:space="preserve"> Е.В. В первой половине 1941 года завод кроме двигателя М-88Б освоил и выпустил 110 двигателей М-89, производство которых было </w:t>
      </w:r>
      <w:proofErr w:type="spellStart"/>
      <w:r w:rsidRPr="00A259BD">
        <w:rPr>
          <w:rFonts w:ascii="Times New Roman" w:hAnsi="Times New Roman"/>
          <w:color w:val="000000" w:themeColor="text1"/>
          <w:sz w:val="16"/>
          <w:szCs w:val="16"/>
        </w:rPr>
        <w:t>прекращенов</w:t>
      </w:r>
      <w:proofErr w:type="spellEnd"/>
      <w:r w:rsidRPr="00A259BD">
        <w:rPr>
          <w:rFonts w:ascii="Times New Roman" w:hAnsi="Times New Roman"/>
          <w:color w:val="000000" w:themeColor="text1"/>
          <w:sz w:val="16"/>
          <w:szCs w:val="16"/>
        </w:rPr>
        <w:t xml:space="preserve"> связи с эвакуацией завода. 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71EB23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w:t>
      </w:r>
      <w:proofErr w:type="spellStart"/>
      <w:r w:rsidRPr="00A259BD">
        <w:rPr>
          <w:rFonts w:ascii="Times New Roman" w:hAnsi="Times New Roman"/>
          <w:color w:val="000000" w:themeColor="text1"/>
          <w:sz w:val="16"/>
          <w:szCs w:val="16"/>
        </w:rPr>
        <w:t>Нитченко</w:t>
      </w:r>
      <w:proofErr w:type="spellEnd"/>
      <w:r w:rsidRPr="00A259BD">
        <w:rPr>
          <w:rFonts w:ascii="Times New Roman" w:hAnsi="Times New Roman"/>
          <w:color w:val="000000" w:themeColor="text1"/>
          <w:sz w:val="16"/>
          <w:szCs w:val="16"/>
        </w:rPr>
        <w:t xml:space="preserve"> В.С. В 1942 году завод получил задание довести и запустить в производство малую серию опытного двигателя М-90.</w:t>
      </w:r>
    </w:p>
    <w:p w14:paraId="64B171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065F1A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0997C5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w:t>
      </w:r>
      <w:proofErr w:type="spellStart"/>
      <w:r w:rsidRPr="00A259BD">
        <w:rPr>
          <w:rFonts w:ascii="Times New Roman" w:hAnsi="Times New Roman"/>
          <w:color w:val="000000" w:themeColor="text1"/>
          <w:sz w:val="16"/>
          <w:szCs w:val="16"/>
        </w:rPr>
        <w:t>Шехов</w:t>
      </w:r>
      <w:proofErr w:type="spellEnd"/>
      <w:r w:rsidRPr="00A259BD">
        <w:rPr>
          <w:rFonts w:ascii="Times New Roman" w:hAnsi="Times New Roman"/>
          <w:color w:val="000000" w:themeColor="text1"/>
          <w:sz w:val="16"/>
          <w:szCs w:val="16"/>
        </w:rPr>
        <w:t xml:space="preserve"> Б.В. В 1949 году завод по-прежнему выпускал АШ-82ФН и АШ-21. В начале 1953 года гл. конструктором завода был назначен </w:t>
      </w:r>
      <w:proofErr w:type="spellStart"/>
      <w:r w:rsidRPr="00A259BD">
        <w:rPr>
          <w:rFonts w:ascii="Times New Roman" w:hAnsi="Times New Roman"/>
          <w:color w:val="000000" w:themeColor="text1"/>
          <w:sz w:val="16"/>
          <w:szCs w:val="16"/>
        </w:rPr>
        <w:t>Федичев</w:t>
      </w:r>
      <w:proofErr w:type="spellEnd"/>
      <w:r w:rsidRPr="00A259BD">
        <w:rPr>
          <w:rFonts w:ascii="Times New Roman" w:hAnsi="Times New Roman"/>
          <w:color w:val="000000" w:themeColor="text1"/>
          <w:sz w:val="16"/>
          <w:szCs w:val="16"/>
        </w:rPr>
        <w:t xml:space="preserve"> В.Г. С августа 1953 года – директор Головачев А.М. В 1953 году завод продолжал производство АШ-82ФН и АШ-21</w:t>
      </w:r>
    </w:p>
    <w:p w14:paraId="1E71E8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Адрес: Омск, Б. Хмельницкого – 281, п/я 64</w:t>
      </w:r>
    </w:p>
    <w:p w14:paraId="12ED0BA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2AE529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46BD0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Красный летчик закончил реконструкцию. Большая часть мощностей была ориентирована на У-2. Потом - АИР-6 и УТ-2 (80,425).</w:t>
      </w:r>
    </w:p>
    <w:p w14:paraId="273008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8BD70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начинается строительство морского ангара на три "гнездо" по 50 метров каждый. 30 апреля 1930 г. состоялась торжественная закладка Дюралевого корпуса - будущей красы и гордости заводчан. Именно в этом корпусе через два года развертываются новые цеха по строительству таких гидросамолетов кок МБР-2, МДР-4, а позже МДР-6 и ГСТ.</w:t>
      </w:r>
    </w:p>
    <w:p w14:paraId="1697E8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программа завода по количеству самолетов была равна программе завода №1, бывшего тогда лидером отечественного </w:t>
      </w:r>
      <w:proofErr w:type="spellStart"/>
      <w:r w:rsidRPr="00A259BD">
        <w:rPr>
          <w:rFonts w:ascii="Times New Roman" w:hAnsi="Times New Roman"/>
          <w:color w:val="000000" w:themeColor="text1"/>
          <w:sz w:val="16"/>
          <w:szCs w:val="16"/>
        </w:rPr>
        <w:t>сагода</w:t>
      </w:r>
      <w:proofErr w:type="spellEnd"/>
      <w:r w:rsidRPr="00A259BD">
        <w:rPr>
          <w:rFonts w:ascii="Times New Roman" w:hAnsi="Times New Roman"/>
          <w:color w:val="000000" w:themeColor="text1"/>
          <w:sz w:val="16"/>
          <w:szCs w:val="16"/>
        </w:rPr>
        <w:t xml:space="preserve"> было построено 298 самолетов Ш-2 и они широко и успешно применялись в ГВФ, летных школах и аэроклубах как учебный самолет. Верой и правдой Ш-2 служили на Севере, в Сибири и на Дальнем Востоке, применялись в Арктике. Находились эти самолеты в эксплуатации вплоть до 1964 г., т.е. прослужили в интересах народного хозяйства более 30 лет (12044).</w:t>
      </w:r>
    </w:p>
    <w:p w14:paraId="5CCF845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015F3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было принято решение о создании в Саратове завода по выпуску сельхозмашин. Завод "</w:t>
      </w:r>
      <w:proofErr w:type="spellStart"/>
      <w:r w:rsidRPr="00A259BD">
        <w:rPr>
          <w:rFonts w:ascii="Times New Roman" w:hAnsi="Times New Roman"/>
          <w:color w:val="000000" w:themeColor="text1"/>
          <w:sz w:val="16"/>
          <w:szCs w:val="16"/>
        </w:rPr>
        <w:t>Саркомбайн</w:t>
      </w:r>
      <w:proofErr w:type="spellEnd"/>
      <w:r w:rsidRPr="00A259BD">
        <w:rPr>
          <w:rFonts w:ascii="Times New Roman" w:hAnsi="Times New Roman"/>
          <w:color w:val="000000" w:themeColor="text1"/>
          <w:sz w:val="16"/>
          <w:szCs w:val="16"/>
        </w:rPr>
        <w:t xml:space="preserve">" основан в 1931 г. За 6 лет выпущено более 39.000 единиц хлебоуборочной техники. В 1937 г. передан из НКТП в НКОП, затем, в 1939 г.- в НКАП. По приказу № 201с от 8.05.1940 г. получил название ГС завод № 292 НКАП. </w:t>
      </w:r>
    </w:p>
    <w:p w14:paraId="0536B7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07.1937 г. принято решение СНК о развертывании на заводе производства Р-10.</w:t>
      </w:r>
    </w:p>
    <w:p w14:paraId="1F229E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1941 г. имел филиал- бывший завод № 2 </w:t>
      </w:r>
      <w:proofErr w:type="spellStart"/>
      <w:r w:rsidRPr="00A259BD">
        <w:rPr>
          <w:rFonts w:ascii="Times New Roman" w:hAnsi="Times New Roman"/>
          <w:color w:val="000000" w:themeColor="text1"/>
          <w:sz w:val="16"/>
          <w:szCs w:val="16"/>
        </w:rPr>
        <w:t>Военстроя</w:t>
      </w:r>
      <w:proofErr w:type="spellEnd"/>
      <w:r w:rsidRPr="00A259BD">
        <w:rPr>
          <w:rFonts w:ascii="Times New Roman" w:hAnsi="Times New Roman"/>
          <w:color w:val="000000" w:themeColor="text1"/>
          <w:sz w:val="16"/>
          <w:szCs w:val="16"/>
        </w:rPr>
        <w:t>. Сюда со ст. Кунцево эвакуирован завод № 167 НКАП, и филиал передан ему в подчинение для организации производства лыж и в/винтов.</w:t>
      </w:r>
    </w:p>
    <w:p w14:paraId="0E2572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1941 г. на площадку завода № 292 1ГУ НКАП эвакуирован завод № 165 НКАП и влит в его состав.</w:t>
      </w:r>
    </w:p>
    <w:p w14:paraId="4D9FBE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приказу № 632сс от 6.07.1941 г. на площадку завода № 292 была эвакуирована часть завода № 115 НКАП гл. конструктора А.С. Яковлева. По приказу № 930с/3сф от 28.08.1941 г. на базе этой части образовано ОКБ завода №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приказам № 999с от 19.09.1941 г. и № 12сф от 18.10.1941 г. ОКБ переведено со всем личным составом и оборудованием в Новосибирск на завод № 153 НКАП.</w:t>
      </w:r>
    </w:p>
    <w:p w14:paraId="044CF7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приказу № 1099с от 6.11.1941 г. в Саратов на площадку филиала завода № 292 НКАП (бывший завод № 2 </w:t>
      </w:r>
      <w:proofErr w:type="spellStart"/>
      <w:r w:rsidRPr="00A259BD">
        <w:rPr>
          <w:rFonts w:ascii="Times New Roman" w:hAnsi="Times New Roman"/>
          <w:color w:val="000000" w:themeColor="text1"/>
          <w:sz w:val="16"/>
          <w:szCs w:val="16"/>
        </w:rPr>
        <w:t>Военстроя</w:t>
      </w:r>
      <w:proofErr w:type="spellEnd"/>
      <w:r w:rsidRPr="00A259BD">
        <w:rPr>
          <w:rFonts w:ascii="Times New Roman" w:hAnsi="Times New Roman"/>
          <w:color w:val="000000" w:themeColor="text1"/>
          <w:sz w:val="16"/>
          <w:szCs w:val="16"/>
        </w:rPr>
        <w:t>)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w:t>
      </w:r>
    </w:p>
    <w:p w14:paraId="17BF3C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1944 г. часть оборудования завода передана для формирования нового завода № 473 НКАП.</w:t>
      </w:r>
    </w:p>
    <w:p w14:paraId="1E827A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готов проект постановления СНК).</w:t>
      </w:r>
    </w:p>
    <w:p w14:paraId="0EB305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1991 г. завод уже был акционирован. По решению правительства № 22-р от 9.01.2004 г. вошло в перечень стратегических предприятий.</w:t>
      </w:r>
    </w:p>
    <w:p w14:paraId="04F567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1990-х г. планировалось производство самолетов Як-142, Як-48, Як-77, в 2004 г.- РБКА. Велись работы (2000 г.) совместно с ОКБ Яковлева по грузопассажирскому Як-242.</w:t>
      </w:r>
    </w:p>
    <w:p w14:paraId="559150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(1.01.2001 г.)- 4450 чел.</w:t>
      </w:r>
    </w:p>
    <w:p w14:paraId="42D983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(-06.1940 г.)- Ф.С. Малахов, (06.1940-08.1941 г.-)- И.С. Левин, (1956 г.)- Б.А. Дубовиков. </w:t>
      </w:r>
    </w:p>
    <w:p w14:paraId="2DA475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Ген. директор (-1995-2004 г.-)- А.В. Ермишин.</w:t>
      </w:r>
    </w:p>
    <w:p w14:paraId="194ADB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ген. Директора/исполнительный директор (-2002-03 г.-)- Л.М. Кленов. Коммерческий директор (2002 г.)- Г.Ф. </w:t>
      </w:r>
      <w:proofErr w:type="spellStart"/>
      <w:r w:rsidRPr="00A259BD">
        <w:rPr>
          <w:rFonts w:ascii="Times New Roman" w:hAnsi="Times New Roman"/>
          <w:color w:val="000000" w:themeColor="text1"/>
          <w:sz w:val="16"/>
          <w:szCs w:val="16"/>
        </w:rPr>
        <w:t>Сутолокин</w:t>
      </w:r>
      <w:proofErr w:type="spellEnd"/>
      <w:r w:rsidRPr="00A259BD">
        <w:rPr>
          <w:rFonts w:ascii="Times New Roman" w:hAnsi="Times New Roman"/>
          <w:color w:val="000000" w:themeColor="text1"/>
          <w:sz w:val="16"/>
          <w:szCs w:val="16"/>
        </w:rPr>
        <w:t>. Начальник департамента по ВЭС и сбыту (2002 г.)- В.С. Юсов.</w:t>
      </w:r>
    </w:p>
    <w:p w14:paraId="67E227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инженер (2002 г.)- В.Т. Андреев.</w:t>
      </w:r>
    </w:p>
    <w:p w14:paraId="6A1F72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конструктор (08.1941 г.-)- А.С. Яковлев.</w:t>
      </w:r>
    </w:p>
    <w:p w14:paraId="538784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Р-10 (1938-40)-135, И-28 (1939), Як-1 (1940-44)- 8550, Як-7, Як-3 (1944-46)- 3600, Як-11 (1946-49), Ла-15 (1949), МиГ-15 (1950-52)-1045, Як-15, В-12 (1952-53), Ми-4 (1954), Як-24, Як-25 (1954-55), Як-25М (1955-57), Як-25Р (1957), Як-27 (1957), Як-27В (1958), Як-27Р (1958-62)- всего 172, Як-36, Як-38 (1974-)- 231, Як-40 (1968-81)-1011, Як-42 (1977-2004-), Як-141 (2004), Як- 54 (1994-), Д-41 “Сокол” (2004); ракеты: П-5 (1958-61), В-750В (1958-61), П-5Д (С-5, 1961-), П-6 (1961-), Х- 58; корпуса гранат РГ-41, Ф-1 (ВОВ); комплектующие для ОК “Буран”; "летающая тарелка" –ЭКИП (1992-); сельскохозяйственная техника (1931-37); уборочные машины, молотилки (1955); фрезерные станки (1960-е); подметальные машины, зерноуборочные машины (2001), катера, яхты, коляски прогулочные, санки.</w:t>
      </w:r>
    </w:p>
    <w:p w14:paraId="10F1E2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ГС Завод № 292 НКАП, МАП, Саратовский завод комбайнов (СЗК, “</w:t>
      </w:r>
      <w:proofErr w:type="spellStart"/>
      <w:r w:rsidRPr="00A259BD">
        <w:rPr>
          <w:rFonts w:ascii="Times New Roman" w:hAnsi="Times New Roman"/>
          <w:color w:val="000000" w:themeColor="text1"/>
          <w:sz w:val="16"/>
          <w:szCs w:val="16"/>
        </w:rPr>
        <w:t>Саркомбайн</w:t>
      </w:r>
      <w:proofErr w:type="spellEnd"/>
      <w:r w:rsidRPr="00A259BD">
        <w:rPr>
          <w:rFonts w:ascii="Times New Roman" w:hAnsi="Times New Roman"/>
          <w:color w:val="000000" w:themeColor="text1"/>
          <w:sz w:val="16"/>
          <w:szCs w:val="16"/>
        </w:rPr>
        <w:t>”) НКТП, Саратовский авиационный завод (САЗ), ЗАО “САЗ”</w:t>
      </w:r>
    </w:p>
    <w:p w14:paraId="2A7E0E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410015 г. Саратов, пл. Орджоникидзе, 1 тел. 44-81-01, 94-81-01 www.yak40.com/rus/saratov.htm</w:t>
      </w:r>
    </w:p>
    <w:p w14:paraId="40F827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ОКБ завода № 292 НКАП</w:t>
      </w:r>
    </w:p>
    <w:p w14:paraId="0B2145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приказам № 999с от 19.09.1941 г. и № 12сф от 18.10.1941 г. ОКБ завода № 292 НКАП гл. конструктора А.С. Яковлева было переведено из Саратова со всем оборудованием и личным составом в Новосибирск на завод № 153 (10776).</w:t>
      </w:r>
    </w:p>
    <w:p w14:paraId="167B0B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96533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было принято решение о создании в Саратове завода по выпуску сельхозмашин (есть информация что еще в 1925 г. на заводе действовало концессионное производство самолетов Хейнкеля</w:t>
      </w:r>
      <w:r w:rsidRPr="00A259BD">
        <w:rPr>
          <w:rFonts w:ascii="Times New Roman" w:hAnsi="Times New Roman"/>
          <w:color w:val="000000" w:themeColor="text1"/>
          <w:sz w:val="16"/>
          <w:szCs w:val="16"/>
          <w:vertAlign w:val="superscript"/>
        </w:rPr>
        <w:t>144</w:t>
      </w:r>
      <w:r w:rsidRPr="00A259BD">
        <w:rPr>
          <w:rFonts w:ascii="Times New Roman" w:hAnsi="Times New Roman"/>
          <w:color w:val="000000" w:themeColor="text1"/>
          <w:sz w:val="16"/>
          <w:szCs w:val="16"/>
        </w:rPr>
        <w:t>). Завод «</w:t>
      </w:r>
      <w:proofErr w:type="spellStart"/>
      <w:r w:rsidRPr="00A259BD">
        <w:rPr>
          <w:rFonts w:ascii="Times New Roman" w:hAnsi="Times New Roman"/>
          <w:color w:val="000000" w:themeColor="text1"/>
          <w:sz w:val="16"/>
          <w:szCs w:val="16"/>
        </w:rPr>
        <w:t>Саркомбайн</w:t>
      </w:r>
      <w:proofErr w:type="spellEnd"/>
      <w:r w:rsidRPr="00A259BD">
        <w:rPr>
          <w:rFonts w:ascii="Times New Roman" w:hAnsi="Times New Roman"/>
          <w:color w:val="000000" w:themeColor="text1"/>
          <w:sz w:val="16"/>
          <w:szCs w:val="16"/>
        </w:rPr>
        <w:t>» вступил в строй 31.12.1931 г. За 6 лет выпущено более 39.000 единиц хлебоуборочной техники.</w:t>
      </w:r>
    </w:p>
    <w:p w14:paraId="0A8497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1937 г. завод передан из НКТП в организованный НКМ. В соответствии с пост, правительства № 48сс от 5.07.1937 г. распоряжением </w:t>
      </w:r>
      <w:proofErr w:type="spellStart"/>
      <w:r w:rsidRPr="00A259BD">
        <w:rPr>
          <w:rFonts w:ascii="Times New Roman" w:hAnsi="Times New Roman"/>
          <w:color w:val="000000" w:themeColor="text1"/>
          <w:sz w:val="16"/>
          <w:szCs w:val="16"/>
        </w:rPr>
        <w:t>Главсельмаша</w:t>
      </w:r>
      <w:proofErr w:type="spellEnd"/>
      <w:r w:rsidRPr="00A259BD">
        <w:rPr>
          <w:rFonts w:ascii="Times New Roman" w:hAnsi="Times New Roman"/>
          <w:color w:val="000000" w:themeColor="text1"/>
          <w:sz w:val="16"/>
          <w:szCs w:val="16"/>
        </w:rPr>
        <w:t xml:space="preserve"> НКМ/ЗГУ ЖОП № 102/75 от 14.09.1937 г. завод с 1.07.1937 г. передан из </w:t>
      </w:r>
      <w:proofErr w:type="spellStart"/>
      <w:r w:rsidRPr="00A259BD">
        <w:rPr>
          <w:rFonts w:ascii="Times New Roman" w:hAnsi="Times New Roman"/>
          <w:color w:val="000000" w:themeColor="text1"/>
          <w:sz w:val="16"/>
          <w:szCs w:val="16"/>
        </w:rPr>
        <w:t>Главсельмаша</w:t>
      </w:r>
      <w:proofErr w:type="spellEnd"/>
      <w:r w:rsidRPr="00A259BD">
        <w:rPr>
          <w:rFonts w:ascii="Times New Roman" w:hAnsi="Times New Roman"/>
          <w:color w:val="000000" w:themeColor="text1"/>
          <w:sz w:val="16"/>
          <w:szCs w:val="16"/>
        </w:rPr>
        <w:t xml:space="preserve"> НКМ в ведение ЗГУ НКОП, по пр. № 0259 от 3.12.1937 г. завод передан из ЗГУ в 1ГУ. Приказом № 403 от 27.10.1938 г. утвержден Устав ГС завода «</w:t>
      </w:r>
      <w:proofErr w:type="spellStart"/>
      <w:r w:rsidRPr="00A259BD">
        <w:rPr>
          <w:rFonts w:ascii="Times New Roman" w:hAnsi="Times New Roman"/>
          <w:color w:val="000000" w:themeColor="text1"/>
          <w:sz w:val="16"/>
          <w:szCs w:val="16"/>
        </w:rPr>
        <w:t>Саркомбайн</w:t>
      </w:r>
      <w:proofErr w:type="spellEnd"/>
      <w:r w:rsidRPr="00A259BD">
        <w:rPr>
          <w:rFonts w:ascii="Times New Roman" w:hAnsi="Times New Roman"/>
          <w:color w:val="000000" w:themeColor="text1"/>
          <w:sz w:val="16"/>
          <w:szCs w:val="16"/>
        </w:rPr>
        <w:t>». В 01.1939 г. передан из 1ГУ НКОП в НКАП. По приказу № 201с от 8.05.1940 г. получил название ГС завод № 292 НКАП.</w:t>
      </w:r>
    </w:p>
    <w:p w14:paraId="1BA3DD2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пр. № 0185 от 27.08.1937 г. в целях развертывания на заводе работ по созданию артиллерийского производства сюда с завода № 172 переданы чертежи на 122-мм гаубицу; с заводов № 172, 7, 92 и «Баррикады» переведено по 10 квалифицированных рабочих; </w:t>
      </w:r>
      <w:proofErr w:type="spellStart"/>
      <w:r w:rsidRPr="00A259BD">
        <w:rPr>
          <w:rFonts w:ascii="Times New Roman" w:hAnsi="Times New Roman"/>
          <w:color w:val="000000" w:themeColor="text1"/>
          <w:sz w:val="16"/>
          <w:szCs w:val="16"/>
        </w:rPr>
        <w:t>Гипромашу</w:t>
      </w:r>
      <w:proofErr w:type="spellEnd"/>
      <w:r w:rsidRPr="00A259BD">
        <w:rPr>
          <w:rFonts w:ascii="Times New Roman" w:hAnsi="Times New Roman"/>
          <w:color w:val="000000" w:themeColor="text1"/>
          <w:sz w:val="16"/>
          <w:szCs w:val="16"/>
        </w:rPr>
        <w:t xml:space="preserve"> поручено разработать проект нового производства. По распоряжению ЗГУ № 93 от 14.11.1937 г. на завод передано 11 станков с завода «Большевик» и 3 - с завода № 7.</w:t>
      </w:r>
    </w:p>
    <w:p w14:paraId="786754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07.1937 г. принято решение СНК о развертывании на заводе производства самолета Р-10 (ХАИ-5), это было подтверждено пост. КО № 189сс от 7.12.1937 г.; по пр. № 0259 с завода № 135 на «</w:t>
      </w:r>
      <w:proofErr w:type="spellStart"/>
      <w:r w:rsidRPr="00A259BD">
        <w:rPr>
          <w:rFonts w:ascii="Times New Roman" w:hAnsi="Times New Roman"/>
          <w:color w:val="000000" w:themeColor="text1"/>
          <w:sz w:val="16"/>
          <w:szCs w:val="16"/>
        </w:rPr>
        <w:t>Саркомбайн</w:t>
      </w:r>
      <w:proofErr w:type="spellEnd"/>
      <w:r w:rsidRPr="00A259BD">
        <w:rPr>
          <w:rFonts w:ascii="Times New Roman" w:hAnsi="Times New Roman"/>
          <w:color w:val="000000" w:themeColor="text1"/>
          <w:sz w:val="16"/>
          <w:szCs w:val="16"/>
        </w:rPr>
        <w:t xml:space="preserve">» в 12.1937 г. необходимо было передать два самолета, комплект стапелей и чертежей, а в 1-м квартале 1938 г. - детали и узлы на 10 самолетов; на заводе организован КО, в него переведено 16 конструкторов с завода № 135 во главе с зам. гл. конструктора </w:t>
      </w:r>
      <w:proofErr w:type="spellStart"/>
      <w:r w:rsidRPr="00A259BD">
        <w:rPr>
          <w:rFonts w:ascii="Times New Roman" w:hAnsi="Times New Roman"/>
          <w:color w:val="000000" w:themeColor="text1"/>
          <w:sz w:val="16"/>
          <w:szCs w:val="16"/>
        </w:rPr>
        <w:t>Арсоном</w:t>
      </w:r>
      <w:proofErr w:type="spellEnd"/>
      <w:r w:rsidRPr="00A259BD">
        <w:rPr>
          <w:rFonts w:ascii="Times New Roman" w:hAnsi="Times New Roman"/>
          <w:color w:val="000000" w:themeColor="text1"/>
          <w:sz w:val="16"/>
          <w:szCs w:val="16"/>
        </w:rPr>
        <w:t>; кроме того, на завод переведено 65 рабочих и 56 ИТР с заводов № 31, 1, 39, 21, 135 и 156 (планировалось перевести на завод ОКБ завода № 43 гл. конструктора Таирова, назначив его гл. конструктором «</w:t>
      </w:r>
      <w:proofErr w:type="spellStart"/>
      <w:r w:rsidRPr="00A259BD">
        <w:rPr>
          <w:rFonts w:ascii="Times New Roman" w:hAnsi="Times New Roman"/>
          <w:color w:val="000000" w:themeColor="text1"/>
          <w:sz w:val="16"/>
          <w:szCs w:val="16"/>
        </w:rPr>
        <w:t>Саркомбайна</w:t>
      </w:r>
      <w:proofErr w:type="spellEnd"/>
      <w:r w:rsidRPr="00A259BD">
        <w:rPr>
          <w:rFonts w:ascii="Times New Roman" w:hAnsi="Times New Roman"/>
          <w:color w:val="000000" w:themeColor="text1"/>
          <w:sz w:val="16"/>
          <w:szCs w:val="16"/>
        </w:rPr>
        <w:t xml:space="preserve">», но это не было выполнено). Приказом № 0270 от 17.12.1937 г. было определено выбрать площадку для заводского аэродрома, организовать представительство завода в Москве сроком на 1 год. Приказом № 25с от 28.01.1938 г. была утверждена схема планировки цехов завода: в бывшем кузнечно-прессовом цехе оставить штамповочный и кузницу, разместить слесарно-сварочный и дюралевый; в бывшем </w:t>
      </w:r>
      <w:proofErr w:type="spellStart"/>
      <w:r w:rsidRPr="00A259BD">
        <w:rPr>
          <w:rFonts w:ascii="Times New Roman" w:hAnsi="Times New Roman"/>
          <w:color w:val="000000" w:themeColor="text1"/>
          <w:sz w:val="16"/>
          <w:szCs w:val="16"/>
        </w:rPr>
        <w:t>механо</w:t>
      </w:r>
      <w:proofErr w:type="spellEnd"/>
      <w:r w:rsidRPr="00A259BD">
        <w:rPr>
          <w:rFonts w:ascii="Times New Roman" w:hAnsi="Times New Roman"/>
          <w:color w:val="000000" w:themeColor="text1"/>
          <w:sz w:val="16"/>
          <w:szCs w:val="16"/>
        </w:rPr>
        <w:t xml:space="preserve">-сборочном цехе разместить фюзеляжный и крыльевой. В целях оказания помощи по развертыванию производства ХАИ-5 на заводе закреплена до 1.05.1938 г. бригада по приспособлениям Гринченко завода № 135; в 02.1938 г. также требовалось передать на завод с завода № 135 три самолета ХАИ-5. Этим же приказом утверждено свертывание программы литерного цеха по УПС с выпуском в 1-м полугодии 500 комплектов и переводе его на выпуск деталей для ХАИ-5. Приказом № 394сс от 7.10.1938 г. был утвержден план по выпуску самолетов в 1938 г.: сентябрь - 8 шт., октябрь - 10, ноябрь - 10, декабрь - 12 шт. Этим же приказом было предписано из состава </w:t>
      </w:r>
      <w:proofErr w:type="spellStart"/>
      <w:r w:rsidRPr="00A259BD">
        <w:rPr>
          <w:rFonts w:ascii="Times New Roman" w:hAnsi="Times New Roman"/>
          <w:color w:val="000000" w:themeColor="text1"/>
          <w:sz w:val="16"/>
          <w:szCs w:val="16"/>
        </w:rPr>
        <w:t>механо</w:t>
      </w:r>
      <w:proofErr w:type="spellEnd"/>
      <w:r w:rsidRPr="00A259BD">
        <w:rPr>
          <w:rFonts w:ascii="Times New Roman" w:hAnsi="Times New Roman"/>
          <w:color w:val="000000" w:themeColor="text1"/>
          <w:sz w:val="16"/>
          <w:szCs w:val="16"/>
        </w:rPr>
        <w:t>-сборочного цеха № 1 выделить в самостоятельный цех отделение шасси; в слесарно-сварочном цехе № 2 к 15.10 пустить пескоструйное отделение. Заводу было выделено 16 деревообрабатывающих станков.</w:t>
      </w:r>
    </w:p>
    <w:p w14:paraId="2F222CC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 № 25 от 18.01.1938 г. на заводе прекращен с 1.02.1938 г. выпуск запчастей для комбайнов; пр. № 276с от 7.08.1938 г. с завода снято спецзадание по выпуску пеналов.</w:t>
      </w:r>
    </w:p>
    <w:p w14:paraId="4D1C02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 141 от 12.04.1938 г. было практически полностью заменено руководство завода; для усиления кадров командировано 16 чел. ИТР и 5 плановиков с заводов 1ГУ, направлено 50 молодых специалистов; пр. № 276с на заводе организован филиал ГПИ-1. По пр. № 484с от 31.12.1938 г. проект реконструкции завода требовалось закончить к 1.02.1939 г. Этим же приказом на завод направлено 60 выпускников институтов и техникумов в 01.1939 г. и еще 60 чел. в 3-м квартале 1939 г.</w:t>
      </w:r>
    </w:p>
    <w:p w14:paraId="469490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составе завода цехи (1938 г.): № 1 </w:t>
      </w:r>
      <w:proofErr w:type="spellStart"/>
      <w:r w:rsidRPr="00A259BD">
        <w:rPr>
          <w:rFonts w:ascii="Times New Roman" w:hAnsi="Times New Roman"/>
          <w:color w:val="000000" w:themeColor="text1"/>
          <w:sz w:val="16"/>
          <w:szCs w:val="16"/>
        </w:rPr>
        <w:t>механо</w:t>
      </w:r>
      <w:proofErr w:type="spellEnd"/>
      <w:r w:rsidRPr="00A259BD">
        <w:rPr>
          <w:rFonts w:ascii="Times New Roman" w:hAnsi="Times New Roman"/>
          <w:color w:val="000000" w:themeColor="text1"/>
          <w:sz w:val="16"/>
          <w:szCs w:val="16"/>
        </w:rPr>
        <w:t>-сборочный; № 2 слесарно-сварочный; № 3 дюралевый; № 4 дерево-заготовительный (мастерские: раскроечно-распиловочная, заготовительная, дерево-станочная); № 5 окончательной сборки; № 6 штамповочный и термический; № 41 сборка крыла; № 42 сборка фюзеляжей; № 80 и 81 инструментальные (отделения: штампов и кокилей; приспособлений для станков; режущего, вспомогательного и мерительного инструмента).</w:t>
      </w:r>
    </w:p>
    <w:p w14:paraId="4C68B3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1939 г. проектная мощность завода составляла 1000 одномоторных штурмовиков в год. План производства на 1941 г.: 1100 Як-3.</w:t>
      </w:r>
    </w:p>
    <w:p w14:paraId="67B813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1941 г. имел филиал - бывший завод № 2 </w:t>
      </w:r>
      <w:proofErr w:type="spellStart"/>
      <w:r w:rsidRPr="00A259BD">
        <w:rPr>
          <w:rFonts w:ascii="Times New Roman" w:hAnsi="Times New Roman"/>
          <w:color w:val="000000" w:themeColor="text1"/>
          <w:sz w:val="16"/>
          <w:szCs w:val="16"/>
        </w:rPr>
        <w:t>Военстроя</w:t>
      </w:r>
      <w:proofErr w:type="spellEnd"/>
      <w:r w:rsidRPr="00A259BD">
        <w:rPr>
          <w:rFonts w:ascii="Times New Roman" w:hAnsi="Times New Roman"/>
          <w:color w:val="000000" w:themeColor="text1"/>
          <w:sz w:val="16"/>
          <w:szCs w:val="16"/>
        </w:rPr>
        <w:t>. Сюда со ст. Кунцево эвакуирован завод № 167 НКАП, и филиал передан ему в подчинение для организации производства лыж и в/винтов.</w:t>
      </w:r>
    </w:p>
    <w:p w14:paraId="1BDA54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1941 г. на площадку завода № 292 1ГУ НКАП эвакуирован завод № 165 НКАП и влит в его состав.</w:t>
      </w:r>
    </w:p>
    <w:p w14:paraId="21DE77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приказу № 632сс от 6.07.1941 г. на площадку завода № 292 была эвакуирована часть завода № 115 НКАП гл. конструктора А.С. Яковлева. По приказу № 930с/3сф от 28.08.1941 г. на базе этой части образовано ОКБ завода №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-ч» приказам № 999с от 19.09.1941 г. и № 12сф от 18.10.1941 г. ОКБ переведено со всем личным составом и оборудованием в Новосибирск на завод № 153 НКАП.</w:t>
      </w:r>
    </w:p>
    <w:p w14:paraId="6E98BD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приказу № 1099с от 6.11.1941 г. в Саратов на площадку филиала завода № 292 НКАП (бывший завод № 2 </w:t>
      </w:r>
      <w:proofErr w:type="spellStart"/>
      <w:r w:rsidRPr="00A259BD">
        <w:rPr>
          <w:rFonts w:ascii="Times New Roman" w:hAnsi="Times New Roman"/>
          <w:color w:val="000000" w:themeColor="text1"/>
          <w:sz w:val="16"/>
          <w:szCs w:val="16"/>
        </w:rPr>
        <w:t>Военстроя</w:t>
      </w:r>
      <w:proofErr w:type="spellEnd"/>
      <w:r w:rsidRPr="00A259BD">
        <w:rPr>
          <w:rFonts w:ascii="Times New Roman" w:hAnsi="Times New Roman"/>
          <w:color w:val="000000" w:themeColor="text1"/>
          <w:sz w:val="16"/>
          <w:szCs w:val="16"/>
        </w:rPr>
        <w:t>)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w:t>
      </w:r>
    </w:p>
    <w:p w14:paraId="74BA4C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 завод стал головным по этому самолету. В соответствии с пост. ГКО № 515 от 19.08.1941 г. требовалось увеличить выпуск Як-1 на заводе. Затем вновь последовали постановления ГКО об увеличении выпуска Як-1 и Як-3 на заводах: № 567 от 23.08.1941 г. и № 1049 от 23.12.1941 г. Пост. ГКО № 1376сс от 3.03.1942 г. заводу утвержден суточный план на 03.1942 г. по выпуску Як- 1: с 6 по 15 марта - 60 машин, с 16 по 25 - 70 и с 26 по 31 марта - 75 машин. 14.03.1942 г. вышло постановление ГКО № 1443 о выпуске Як-1 в облегченном варианте. Пост. ГКО № 2467сс от 2.11.1942 г. заводу предписано с 15.11.1942 г. выпускать Як-1 с улучшенными летными данными.</w:t>
      </w:r>
    </w:p>
    <w:p w14:paraId="2A0D99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10.07.1943 г. вышло постановление ГКО № 3725 о мерах неотложной помощи по восстановлению завода. В начале 1944 г. часть оборудования завода передана для формирования нового завода № 473 НКАП. 3.04.1944 г. вышло постановление ГКО № 5526 об ускорении производства Як-3 на заводе. Пост. ГКО № 7228 от 29.12.1944 г. заводу задан выпуск Як-3 с тремя пушками УБ калибра 20 мм.</w:t>
      </w:r>
    </w:p>
    <w:p w14:paraId="66B3D1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готов проект постановления СНК).</w:t>
      </w:r>
    </w:p>
    <w:p w14:paraId="1B8255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заводе действовал филиал ОКБ-115 (1950-е  г.).</w:t>
      </w:r>
    </w:p>
    <w:p w14:paraId="72064E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пост. СМ СССР № 713-342 от 26.06.1957 г. передан в ведение СНХ РСФСР.</w:t>
      </w:r>
    </w:p>
    <w:p w14:paraId="76F8E9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1991 г. была выпущена техдокументация и проведена подготовка к производству Як-141, но из-за прекращения финансирования тема была закрыта. В 1990-х  г. планировалось производство самолетов Як-142, Як- 48, Як-77, в 2004 г.- РБКА. Велись работы (2000 г.) совместно с ОКБ Яковлева по грузопассажирскому Як-242. В 2006 г.- разработка </w:t>
      </w:r>
      <w:r w:rsidRPr="00A259BD">
        <w:rPr>
          <w:rFonts w:ascii="Times New Roman" w:hAnsi="Times New Roman"/>
          <w:color w:val="000000" w:themeColor="text1"/>
          <w:sz w:val="16"/>
          <w:szCs w:val="16"/>
          <w:lang w:val="en-US"/>
        </w:rPr>
        <w:t>JIA</w:t>
      </w:r>
      <w:r w:rsidRPr="00A259BD">
        <w:rPr>
          <w:rFonts w:ascii="Times New Roman" w:hAnsi="Times New Roman"/>
          <w:color w:val="000000" w:themeColor="text1"/>
          <w:sz w:val="16"/>
          <w:szCs w:val="16"/>
        </w:rPr>
        <w:t xml:space="preserve"> «ЭКИП».</w:t>
      </w:r>
    </w:p>
    <w:p w14:paraId="4620CC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1991 г. завод уже был акционирован. По решению правительства № 22-р от 9.01.2004 г. вошло в перечень стратегических предприятий. В 2008 г. велось дело о банкротстве предприятия, 29.12.2008 г. оно прекращено в связи с утверждением мирового соглашения.</w:t>
      </w:r>
    </w:p>
    <w:p w14:paraId="734A72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Количество оборудования: (11.1940 г.)- 601 металлорежущий станок.</w:t>
      </w:r>
    </w:p>
    <w:p w14:paraId="0A1C370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(1.01.2001 г.)- 4450 чел.</w:t>
      </w:r>
    </w:p>
    <w:p w14:paraId="7776AA9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И.О. директора (-08.1937-12.04.1938 г.)- Н.С. Новиков. Директор (12.04.1938-06.1940 г.)- Ф.С. Малахов, (06.1940-11.1942 г.-)- И.С. Левин, (1956 г.)- Б.А. Дубовиков. Гендиректор (-1995-2006 г.-)- А.В. Ермишин. Конкурсный управляющий (12.2008 г.)- И.Е. Скляр.</w:t>
      </w:r>
    </w:p>
    <w:p w14:paraId="1E7AD6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Зам. директора: (15.12.1937 г.-)- Н.Я. Мирошниченко, (22.09.1938 г.-)- А.Д. Седов; по общим вопросам (12.04.1938 г.-)- Н.С. Новиков; по капстроительству (12.04.1938 г.-)- Львовский. Помощник директора по найму и увольнению (17.02.1938 г.-)- М.И. Ионов. Зам. гендиректора (-2002-03 г.-)- Л.М. Кленов; по финансам и экономике (2006 г.)- М.М. Мордвинкин.</w:t>
      </w:r>
    </w:p>
    <w:p w14:paraId="698C1A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Исполнительный директор (-2002-06 г.-)- Л.М. Кленов. Коммерческий директор (2002 г.)-  Г.Ф. </w:t>
      </w:r>
      <w:proofErr w:type="spellStart"/>
      <w:r w:rsidRPr="00A259BD">
        <w:rPr>
          <w:rFonts w:ascii="Times New Roman" w:hAnsi="Times New Roman"/>
          <w:color w:val="000000" w:themeColor="text1"/>
          <w:sz w:val="16"/>
          <w:szCs w:val="16"/>
        </w:rPr>
        <w:t>Сутолокин</w:t>
      </w:r>
      <w:proofErr w:type="spellEnd"/>
      <w:r w:rsidRPr="00A259BD">
        <w:rPr>
          <w:rFonts w:ascii="Times New Roman" w:hAnsi="Times New Roman"/>
          <w:color w:val="000000" w:themeColor="text1"/>
          <w:sz w:val="16"/>
          <w:szCs w:val="16"/>
        </w:rPr>
        <w:t xml:space="preserve">. Директор по ВЭС и сбыту (2006 г.)- </w:t>
      </w:r>
      <w:r w:rsidRPr="00A259BD">
        <w:rPr>
          <w:rFonts w:ascii="Times New Roman" w:hAnsi="Times New Roman"/>
          <w:color w:val="000000" w:themeColor="text1"/>
          <w:sz w:val="16"/>
          <w:szCs w:val="16"/>
          <w:lang w:val="en-US"/>
        </w:rPr>
        <w:t>B</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C</w:t>
      </w:r>
      <w:r w:rsidRPr="00A259BD">
        <w:rPr>
          <w:rFonts w:ascii="Times New Roman" w:hAnsi="Times New Roman"/>
          <w:color w:val="000000" w:themeColor="text1"/>
          <w:sz w:val="16"/>
          <w:szCs w:val="16"/>
        </w:rPr>
        <w:t>. Юсов.</w:t>
      </w:r>
    </w:p>
    <w:p w14:paraId="3EE169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инженер (15.12.1937-12.04.1938 г.)- Н.Я. Мирошниченко, (12.04.1938 г.-&gt;  Г.В. </w:t>
      </w:r>
      <w:proofErr w:type="spellStart"/>
      <w:r w:rsidRPr="00A259BD">
        <w:rPr>
          <w:rFonts w:ascii="Times New Roman" w:hAnsi="Times New Roman"/>
          <w:color w:val="000000" w:themeColor="text1"/>
          <w:sz w:val="16"/>
          <w:szCs w:val="16"/>
        </w:rPr>
        <w:t>Марчевский</w:t>
      </w:r>
      <w:proofErr w:type="spellEnd"/>
      <w:r w:rsidRPr="00A259BD">
        <w:rPr>
          <w:rFonts w:ascii="Times New Roman" w:hAnsi="Times New Roman"/>
          <w:color w:val="000000" w:themeColor="text1"/>
          <w:sz w:val="16"/>
          <w:szCs w:val="16"/>
        </w:rPr>
        <w:t>, (2002 г.)- В.Т. Андреев.</w:t>
      </w:r>
      <w:r w:rsidRPr="00A259BD">
        <w:rPr>
          <w:rFonts w:ascii="Times New Roman" w:hAnsi="Times New Roman"/>
          <w:color w:val="000000" w:themeColor="text1"/>
          <w:sz w:val="16"/>
          <w:szCs w:val="16"/>
          <w:vertAlign w:val="superscript"/>
        </w:rPr>
        <w:t>69</w:t>
      </w:r>
    </w:p>
    <w:p w14:paraId="688CEA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гл. инженера: (11.12.1937 г.-)- С.М. </w:t>
      </w:r>
      <w:proofErr w:type="spellStart"/>
      <w:r w:rsidRPr="00A259BD">
        <w:rPr>
          <w:rFonts w:ascii="Times New Roman" w:hAnsi="Times New Roman"/>
          <w:color w:val="000000" w:themeColor="text1"/>
          <w:sz w:val="16"/>
          <w:szCs w:val="16"/>
        </w:rPr>
        <w:t>Лано</w:t>
      </w:r>
      <w:proofErr w:type="spellEnd"/>
      <w:r w:rsidRPr="00A259BD">
        <w:rPr>
          <w:rFonts w:ascii="Times New Roman" w:hAnsi="Times New Roman"/>
          <w:color w:val="000000" w:themeColor="text1"/>
          <w:sz w:val="16"/>
          <w:szCs w:val="16"/>
        </w:rPr>
        <w:t>; по производству (12.04.1938 г.-)- Портнов; по подготовке производства (-12.04.1938 г.)- Портнов, (12.04.1938 г.-)- Н.Я. Мирошниченко. Гл. инженер строительства (12.04.1938 г.-)- Львовский.</w:t>
      </w:r>
    </w:p>
    <w:p w14:paraId="011C1D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конструктор (08.1941 г.-)- А.С. Яковлев.</w:t>
      </w:r>
    </w:p>
    <w:p w14:paraId="2E99D8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диспетчер (12.04.1938 г.-)- Портнов.</w:t>
      </w:r>
    </w:p>
    <w:p w14:paraId="5F2189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начальника цеха: механического (12.04.1938 г.-)- </w:t>
      </w:r>
      <w:proofErr w:type="spellStart"/>
      <w:r w:rsidRPr="00A259BD">
        <w:rPr>
          <w:rFonts w:ascii="Times New Roman" w:hAnsi="Times New Roman"/>
          <w:color w:val="000000" w:themeColor="text1"/>
          <w:sz w:val="16"/>
          <w:szCs w:val="16"/>
        </w:rPr>
        <w:t>Дитяткин</w:t>
      </w:r>
      <w:proofErr w:type="spellEnd"/>
      <w:r w:rsidRPr="00A259BD">
        <w:rPr>
          <w:rFonts w:ascii="Times New Roman" w:hAnsi="Times New Roman"/>
          <w:color w:val="000000" w:themeColor="text1"/>
          <w:sz w:val="16"/>
          <w:szCs w:val="16"/>
        </w:rPr>
        <w:t>.</w:t>
      </w:r>
    </w:p>
    <w:p w14:paraId="249A4D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 лесного хозяйства: и.о. (12.04.1938 г.-)- </w:t>
      </w:r>
      <w:proofErr w:type="spellStart"/>
      <w:r w:rsidRPr="00A259BD">
        <w:rPr>
          <w:rFonts w:ascii="Times New Roman" w:hAnsi="Times New Roman"/>
          <w:color w:val="000000" w:themeColor="text1"/>
          <w:sz w:val="16"/>
          <w:szCs w:val="16"/>
        </w:rPr>
        <w:t>Саморуков</w:t>
      </w:r>
      <w:proofErr w:type="spellEnd"/>
      <w:r w:rsidRPr="00A259BD">
        <w:rPr>
          <w:rFonts w:ascii="Times New Roman" w:hAnsi="Times New Roman"/>
          <w:color w:val="000000" w:themeColor="text1"/>
          <w:sz w:val="16"/>
          <w:szCs w:val="16"/>
        </w:rPr>
        <w:t>.</w:t>
      </w:r>
    </w:p>
    <w:p w14:paraId="4E9B03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Начальники отделов: ОГК и.о. (12.04.1938 г.-)- </w:t>
      </w:r>
      <w:proofErr w:type="spellStart"/>
      <w:r w:rsidRPr="00A259BD">
        <w:rPr>
          <w:rFonts w:ascii="Times New Roman" w:hAnsi="Times New Roman"/>
          <w:color w:val="000000" w:themeColor="text1"/>
          <w:sz w:val="16"/>
          <w:szCs w:val="16"/>
        </w:rPr>
        <w:t>Лукандин</w:t>
      </w:r>
      <w:proofErr w:type="spellEnd"/>
      <w:r w:rsidRPr="00A259BD">
        <w:rPr>
          <w:rFonts w:ascii="Times New Roman" w:hAnsi="Times New Roman"/>
          <w:color w:val="000000" w:themeColor="text1"/>
          <w:sz w:val="16"/>
          <w:szCs w:val="16"/>
        </w:rPr>
        <w:t>. Начальник департамента по ВЭС и сбыту (2002 г.)- В.С. Юсов.</w:t>
      </w:r>
    </w:p>
    <w:p w14:paraId="2BE44E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начальника отдела: технологического по деревообделочным работам (12.04.1938 г.-)- Д.Н. Певзнер; ППО (12.04.1938 г.-)- </w:t>
      </w:r>
      <w:proofErr w:type="spellStart"/>
      <w:r w:rsidRPr="00A259BD">
        <w:rPr>
          <w:rFonts w:ascii="Times New Roman" w:hAnsi="Times New Roman"/>
          <w:color w:val="000000" w:themeColor="text1"/>
          <w:sz w:val="16"/>
          <w:szCs w:val="16"/>
        </w:rPr>
        <w:t>Пылакин</w:t>
      </w:r>
      <w:proofErr w:type="spellEnd"/>
      <w:r w:rsidRPr="00A259BD">
        <w:rPr>
          <w:rFonts w:ascii="Times New Roman" w:hAnsi="Times New Roman"/>
          <w:color w:val="000000" w:themeColor="text1"/>
          <w:sz w:val="16"/>
          <w:szCs w:val="16"/>
        </w:rPr>
        <w:t>; ОТК (12.04.1938 г.-)- Яковлев.</w:t>
      </w:r>
    </w:p>
    <w:p w14:paraId="709CD9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Начальники мастерских: вооружения (12.04.1938 г.-)- Лепихов.</w:t>
      </w:r>
    </w:p>
    <w:p w14:paraId="4C511B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Начальники лабораторий: ЦЗЛ (12.04;1938 г.-)- Л.А. Петров.</w:t>
      </w:r>
    </w:p>
    <w:p w14:paraId="5E99F9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Начальники бюро: оргбюро (12.04.1938 г.-)- Я.М. </w:t>
      </w:r>
      <w:proofErr w:type="spellStart"/>
      <w:r w:rsidRPr="00A259BD">
        <w:rPr>
          <w:rFonts w:ascii="Times New Roman" w:hAnsi="Times New Roman"/>
          <w:color w:val="000000" w:themeColor="text1"/>
          <w:sz w:val="16"/>
          <w:szCs w:val="16"/>
        </w:rPr>
        <w:t>Пистрак</w:t>
      </w:r>
      <w:proofErr w:type="spellEnd"/>
      <w:r w:rsidRPr="00A259BD">
        <w:rPr>
          <w:rFonts w:ascii="Times New Roman" w:hAnsi="Times New Roman"/>
          <w:color w:val="000000" w:themeColor="text1"/>
          <w:sz w:val="16"/>
          <w:szCs w:val="16"/>
        </w:rPr>
        <w:t>.</w:t>
      </w:r>
    </w:p>
    <w:p w14:paraId="53F2C2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Начальники отделений: </w:t>
      </w:r>
      <w:proofErr w:type="spellStart"/>
      <w:r w:rsidRPr="00A259BD">
        <w:rPr>
          <w:rFonts w:ascii="Times New Roman" w:hAnsi="Times New Roman"/>
          <w:color w:val="000000" w:themeColor="text1"/>
          <w:sz w:val="16"/>
          <w:szCs w:val="16"/>
        </w:rPr>
        <w:t>плазово</w:t>
      </w:r>
      <w:proofErr w:type="spellEnd"/>
      <w:r w:rsidRPr="00A259BD">
        <w:rPr>
          <w:rFonts w:ascii="Times New Roman" w:hAnsi="Times New Roman"/>
          <w:color w:val="000000" w:themeColor="text1"/>
          <w:sz w:val="16"/>
          <w:szCs w:val="16"/>
        </w:rPr>
        <w:t>-шаблонного (12.04.1938 г.-)- Козлов; автоматов механического цеха (12.04.1938 г.-)- А.И. Герасимов.</w:t>
      </w:r>
    </w:p>
    <w:p w14:paraId="2314F8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Начальники групп: контрольной (12.04.1938 г.-)- Гудков; стандартизации (12.04.1938 г.-)- Гудков.</w:t>
      </w:r>
      <w:r w:rsidRPr="00A259BD">
        <w:rPr>
          <w:rFonts w:ascii="Times New Roman" w:hAnsi="Times New Roman"/>
          <w:color w:val="000000" w:themeColor="text1"/>
          <w:sz w:val="16"/>
          <w:szCs w:val="16"/>
          <w:vertAlign w:val="superscript"/>
        </w:rPr>
        <w:t>139</w:t>
      </w:r>
    </w:p>
    <w:p w14:paraId="768D98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Производство:</w:t>
      </w:r>
      <w:r w:rsidRPr="00A259BD">
        <w:rPr>
          <w:rFonts w:ascii="Times New Roman" w:hAnsi="Times New Roman"/>
          <w:color w:val="000000" w:themeColor="text1"/>
          <w:sz w:val="16"/>
          <w:szCs w:val="16"/>
        </w:rPr>
        <w:t xml:space="preserve"> 122-мм гаубица обр. 1910/30 г. (1937);</w:t>
      </w:r>
      <w:r w:rsidRPr="00A259BD">
        <w:rPr>
          <w:rFonts w:ascii="Times New Roman" w:hAnsi="Times New Roman"/>
          <w:iCs/>
          <w:color w:val="000000" w:themeColor="text1"/>
          <w:sz w:val="16"/>
          <w:szCs w:val="16"/>
        </w:rPr>
        <w:t xml:space="preserve"> самолеты и вертолеты:</w:t>
      </w:r>
      <w:r w:rsidRPr="00A259BD">
        <w:rPr>
          <w:rFonts w:ascii="Times New Roman" w:hAnsi="Times New Roman"/>
          <w:color w:val="000000" w:themeColor="text1"/>
          <w:sz w:val="16"/>
          <w:szCs w:val="16"/>
        </w:rPr>
        <w:t xml:space="preserve"> Р-10 (1938-40)-135, И-28 (1939), Як-1 (1940-44)- 8550, Як-7, Як-3 (1944-46)- 3600, Як-11 (1946-49), Ла-15 (1949), МиГ-15 (1950-52)-1045, Як-15, В-12 (1952-53), Ми-4 (1954), Як-24, Як-25 (1954-55), Як-25М (1955-57), Як-25Р (1957), Як-125Б (1955)- 1, Як-27 (1957), Як-27В (1958), Як-27Р (1958-62)- всего 172, Як-36, Як-38 (1974-88)- 231, Як-40 (1968-81)-1011, Як- 42 (1977-2006-), Як-141 (2004), Як- 54 (1994-2006-), Д-41 «Сокол» (2004); модернизация Як-42Д, Як-40 (2006); ракеты: П-5 (1958-61), В-750В (1958-61), П-5Д (С-5, 1961-), П-6 (1961-), Х- 58;</w:t>
      </w:r>
    </w:p>
    <w:p w14:paraId="3114864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корпуса гранат РГ-41, Ф-1 (ВОВ); комплектующие для ОК «Буран»; «летающая тарелка» -ЭКИП (1992-); сельскохозяйственная техника (1931-37); уборочные машины, молотилки (1955); фрезерные станки (1960-е); подметальные машины, зерноуборочные машины (2001), катера, яхты, коляски прогулочные, санки (11982).</w:t>
      </w:r>
    </w:p>
    <w:p w14:paraId="7B6F98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34A74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в </w:t>
      </w:r>
      <w:proofErr w:type="spellStart"/>
      <w:r w:rsidRPr="00A259BD">
        <w:rPr>
          <w:rFonts w:ascii="Times New Roman" w:hAnsi="Times New Roman"/>
          <w:color w:val="000000" w:themeColor="text1"/>
          <w:sz w:val="16"/>
          <w:szCs w:val="16"/>
        </w:rPr>
        <w:t>г.Костино</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Мытищенского</w:t>
      </w:r>
      <w:proofErr w:type="spellEnd"/>
      <w:r w:rsidRPr="00A259BD">
        <w:rPr>
          <w:rFonts w:ascii="Times New Roman" w:hAnsi="Times New Roman"/>
          <w:color w:val="000000" w:themeColor="text1"/>
          <w:sz w:val="16"/>
          <w:szCs w:val="16"/>
        </w:rPr>
        <w:t xml:space="preserve"> р-на, МО, </w:t>
      </w:r>
      <w:proofErr w:type="spellStart"/>
      <w:r w:rsidRPr="00A259BD">
        <w:rPr>
          <w:rFonts w:ascii="Times New Roman" w:hAnsi="Times New Roman"/>
          <w:color w:val="000000" w:themeColor="text1"/>
          <w:sz w:val="16"/>
          <w:szCs w:val="16"/>
        </w:rPr>
        <w:t>ст.Болшево</w:t>
      </w:r>
      <w:proofErr w:type="spellEnd"/>
      <w:r w:rsidRPr="00A259BD">
        <w:rPr>
          <w:rFonts w:ascii="Times New Roman" w:hAnsi="Times New Roman"/>
          <w:color w:val="000000" w:themeColor="text1"/>
          <w:sz w:val="16"/>
          <w:szCs w:val="16"/>
        </w:rPr>
        <w:t xml:space="preserve"> был образован </w:t>
      </w:r>
      <w:proofErr w:type="spellStart"/>
      <w:r w:rsidRPr="00A259BD">
        <w:rPr>
          <w:rFonts w:ascii="Times New Roman" w:hAnsi="Times New Roman"/>
          <w:color w:val="000000" w:themeColor="text1"/>
          <w:sz w:val="16"/>
          <w:szCs w:val="16"/>
        </w:rPr>
        <w:t>Болшевский</w:t>
      </w:r>
      <w:proofErr w:type="spellEnd"/>
      <w:r w:rsidRPr="00A259BD">
        <w:rPr>
          <w:rFonts w:ascii="Times New Roman" w:hAnsi="Times New Roman"/>
          <w:color w:val="000000" w:themeColor="text1"/>
          <w:sz w:val="16"/>
          <w:szCs w:val="16"/>
        </w:rPr>
        <w:t xml:space="preserve"> комбинат спортинвентаря по пр-ву обуви, коньков и трикотажа. Он был передан в .12.40 г. в систему НКАП из НКЛП РСФСР и включен в число действующих заводов 2ГУ НКАП в соответствии с приказом НКАП №220 от 4.3.41 г. с присвоением названия Государственный Союзный завод №472 НКАП. Директором завода назначен Ермолов (1941-43 гг.). </w:t>
      </w:r>
    </w:p>
    <w:p w14:paraId="5A6D83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заводе началась организация производства масляных (ОП-321) и водяных (ОП-310, ОП-163, ОП-253) радиаторов и лент-расчалок, также осуществлялось производство чехлов для РГД-33. Перед ВОВ планировалось организовать производство фюзеляжей самолета Су-2. </w:t>
      </w:r>
    </w:p>
    <w:p w14:paraId="364D38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1941 г. завод эвакуирован (приказ №1050 от 8.10.41 г.) в </w:t>
      </w:r>
      <w:proofErr w:type="spellStart"/>
      <w:r w:rsidRPr="00A259BD">
        <w:rPr>
          <w:rFonts w:ascii="Times New Roman" w:hAnsi="Times New Roman"/>
          <w:color w:val="000000" w:themeColor="text1"/>
          <w:sz w:val="16"/>
          <w:szCs w:val="16"/>
        </w:rPr>
        <w:t>г.Кузнецк</w:t>
      </w:r>
      <w:proofErr w:type="spellEnd"/>
      <w:r w:rsidRPr="00A259BD">
        <w:rPr>
          <w:rFonts w:ascii="Times New Roman" w:hAnsi="Times New Roman"/>
          <w:color w:val="000000" w:themeColor="text1"/>
          <w:sz w:val="16"/>
          <w:szCs w:val="16"/>
        </w:rPr>
        <w:t xml:space="preserve"> Пензенской обл. на территорию Канатной фабрики (филиал завода №34 НКАП). Новое место размещения было не удачным, т.к. находилось далеко от сырьевой базы и заводов-потребителей, не оказалось места для развертывания производство лент-расчалок. Даже планировалось в к. 1942 г. перевести завод в </w:t>
      </w:r>
      <w:proofErr w:type="spellStart"/>
      <w:r w:rsidRPr="00A259BD">
        <w:rPr>
          <w:rFonts w:ascii="Times New Roman" w:hAnsi="Times New Roman"/>
          <w:color w:val="000000" w:themeColor="text1"/>
          <w:sz w:val="16"/>
          <w:szCs w:val="16"/>
        </w:rPr>
        <w:t>г.Куйбышев</w:t>
      </w:r>
      <w:proofErr w:type="spellEnd"/>
      <w:r w:rsidRPr="00A259BD">
        <w:rPr>
          <w:rFonts w:ascii="Times New Roman" w:hAnsi="Times New Roman"/>
          <w:color w:val="000000" w:themeColor="text1"/>
          <w:sz w:val="16"/>
          <w:szCs w:val="16"/>
        </w:rPr>
        <w:t xml:space="preserve">. </w:t>
      </w:r>
    </w:p>
    <w:p w14:paraId="4B86F6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При заводе действовало ОКБ по </w:t>
      </w:r>
      <w:proofErr w:type="spellStart"/>
      <w:r w:rsidRPr="00A259BD">
        <w:rPr>
          <w:rFonts w:ascii="Times New Roman" w:hAnsi="Times New Roman"/>
          <w:color w:val="000000" w:themeColor="text1"/>
          <w:sz w:val="16"/>
          <w:szCs w:val="16"/>
        </w:rPr>
        <w:t>радиаторостроению</w:t>
      </w:r>
      <w:proofErr w:type="spellEnd"/>
      <w:r w:rsidRPr="00A259BD">
        <w:rPr>
          <w:rFonts w:ascii="Times New Roman" w:hAnsi="Times New Roman"/>
          <w:color w:val="000000" w:themeColor="text1"/>
          <w:sz w:val="16"/>
          <w:szCs w:val="16"/>
        </w:rPr>
        <w:t xml:space="preserve">, которое было организовано в н.1941 г. (приказ НКАП №200 от 3.3.41 г.). </w:t>
      </w:r>
      <w:proofErr w:type="spellStart"/>
      <w:r w:rsidRPr="00A259BD">
        <w:rPr>
          <w:rFonts w:ascii="Times New Roman" w:hAnsi="Times New Roman"/>
          <w:color w:val="000000" w:themeColor="text1"/>
          <w:sz w:val="16"/>
          <w:szCs w:val="16"/>
        </w:rPr>
        <w:t>Гл.к</w:t>
      </w:r>
      <w:proofErr w:type="spellEnd"/>
      <w:r w:rsidRPr="00A259BD">
        <w:rPr>
          <w:rFonts w:ascii="Times New Roman" w:hAnsi="Times New Roman"/>
          <w:color w:val="000000" w:themeColor="text1"/>
          <w:sz w:val="16"/>
          <w:szCs w:val="16"/>
        </w:rPr>
        <w:t xml:space="preserve">. ОКБ назначен </w:t>
      </w:r>
      <w:proofErr w:type="spellStart"/>
      <w:r w:rsidRPr="00A259BD">
        <w:rPr>
          <w:rFonts w:ascii="Times New Roman" w:hAnsi="Times New Roman"/>
          <w:color w:val="000000" w:themeColor="text1"/>
          <w:sz w:val="16"/>
          <w:szCs w:val="16"/>
        </w:rPr>
        <w:t>С.Н.Рыбкин</w:t>
      </w:r>
      <w:proofErr w:type="spellEnd"/>
      <w:r w:rsidRPr="00A259BD">
        <w:rPr>
          <w:rFonts w:ascii="Times New Roman" w:hAnsi="Times New Roman"/>
          <w:color w:val="000000" w:themeColor="text1"/>
          <w:sz w:val="16"/>
          <w:szCs w:val="16"/>
        </w:rPr>
        <w:t xml:space="preserve">. Для укрепления ОКБ в его состав был переведен ряд конструкторов с завода №34 НКАП и завода №84 НКАП. Действовало под названием ОКБ завода №472 НКАП. </w:t>
      </w:r>
    </w:p>
    <w:p w14:paraId="13AA0F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началом ВОВ ОКБ-472 с опытным цехом было переведено на площади филиала завода №34 в </w:t>
      </w:r>
      <w:proofErr w:type="spellStart"/>
      <w:r w:rsidRPr="00A259BD">
        <w:rPr>
          <w:rFonts w:ascii="Times New Roman" w:hAnsi="Times New Roman"/>
          <w:color w:val="000000" w:themeColor="text1"/>
          <w:sz w:val="16"/>
          <w:szCs w:val="16"/>
        </w:rPr>
        <w:t>г.Кузнецк</w:t>
      </w:r>
      <w:proofErr w:type="spellEnd"/>
      <w:r w:rsidRPr="00A259BD">
        <w:rPr>
          <w:rFonts w:ascii="Times New Roman" w:hAnsi="Times New Roman"/>
          <w:color w:val="000000" w:themeColor="text1"/>
          <w:sz w:val="16"/>
          <w:szCs w:val="16"/>
        </w:rPr>
        <w:t xml:space="preserve"> и подчинено ему как заводское ОКБ для работ по плану завода. </w:t>
      </w:r>
    </w:p>
    <w:p w14:paraId="7E2039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годы ВОВ заводом №472 осуществлялось производство масло- и </w:t>
      </w:r>
      <w:proofErr w:type="spellStart"/>
      <w:r w:rsidRPr="00A259BD">
        <w:rPr>
          <w:rFonts w:ascii="Times New Roman" w:hAnsi="Times New Roman"/>
          <w:color w:val="000000" w:themeColor="text1"/>
          <w:sz w:val="16"/>
          <w:szCs w:val="16"/>
        </w:rPr>
        <w:t>водорадиаторов</w:t>
      </w:r>
      <w:proofErr w:type="spellEnd"/>
      <w:r w:rsidRPr="00A259BD">
        <w:rPr>
          <w:rFonts w:ascii="Times New Roman" w:hAnsi="Times New Roman"/>
          <w:color w:val="000000" w:themeColor="text1"/>
          <w:sz w:val="16"/>
          <w:szCs w:val="16"/>
        </w:rPr>
        <w:t xml:space="preserve">, а также </w:t>
      </w:r>
      <w:proofErr w:type="spellStart"/>
      <w:r w:rsidRPr="00A259BD">
        <w:rPr>
          <w:rFonts w:ascii="Times New Roman" w:hAnsi="Times New Roman"/>
          <w:color w:val="000000" w:themeColor="text1"/>
          <w:sz w:val="16"/>
          <w:szCs w:val="16"/>
        </w:rPr>
        <w:t>авиаколес</w:t>
      </w:r>
      <w:proofErr w:type="spellEnd"/>
      <w:r w:rsidRPr="00A259BD">
        <w:rPr>
          <w:rFonts w:ascii="Times New Roman" w:hAnsi="Times New Roman"/>
          <w:color w:val="000000" w:themeColor="text1"/>
          <w:sz w:val="16"/>
          <w:szCs w:val="16"/>
        </w:rPr>
        <w:t xml:space="preserve">. </w:t>
      </w:r>
    </w:p>
    <w:p w14:paraId="353A56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Площади и сооружения эвакуированного завода №472 в Болшево были переданы (приказ №277 от 14.4.42 г.) в качестве филиала заводу №145 НКАП для налаживания производства приборов хим. вооружения и лент-расчалок. </w:t>
      </w:r>
    </w:p>
    <w:p w14:paraId="1A1593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1945 г. территория завод №472 в </w:t>
      </w:r>
      <w:proofErr w:type="spellStart"/>
      <w:r w:rsidRPr="00A259BD">
        <w:rPr>
          <w:rFonts w:ascii="Times New Roman" w:hAnsi="Times New Roman"/>
          <w:color w:val="000000" w:themeColor="text1"/>
          <w:sz w:val="16"/>
          <w:szCs w:val="16"/>
        </w:rPr>
        <w:t>г.Кузнецке</w:t>
      </w:r>
      <w:proofErr w:type="spellEnd"/>
      <w:r w:rsidRPr="00A259BD">
        <w:rPr>
          <w:rFonts w:ascii="Times New Roman" w:hAnsi="Times New Roman"/>
          <w:color w:val="000000" w:themeColor="text1"/>
          <w:sz w:val="16"/>
          <w:szCs w:val="16"/>
        </w:rPr>
        <w:t xml:space="preserve"> (площадки Канатной фабрики, артели "Молот" и ТЭЦ) передана в систему НКЭС (приказ №424/81 от 5.11.45 г.) с частью оборудования и кадров, а основная часть спецоборудования и кадров переведена на завод №124 НКАП и влиты в его состав. </w:t>
      </w:r>
    </w:p>
    <w:p w14:paraId="48C904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Для расширения производства выливных авиационных химических приборов на площадях в </w:t>
      </w:r>
      <w:proofErr w:type="spellStart"/>
      <w:r w:rsidRPr="00A259BD">
        <w:rPr>
          <w:rFonts w:ascii="Times New Roman" w:hAnsi="Times New Roman"/>
          <w:color w:val="000000" w:themeColor="text1"/>
          <w:sz w:val="16"/>
          <w:szCs w:val="16"/>
        </w:rPr>
        <w:t>г.Болшево</w:t>
      </w:r>
      <w:proofErr w:type="spellEnd"/>
      <w:r w:rsidRPr="00A259BD">
        <w:rPr>
          <w:rFonts w:ascii="Times New Roman" w:hAnsi="Times New Roman"/>
          <w:color w:val="000000" w:themeColor="text1"/>
          <w:sz w:val="16"/>
          <w:szCs w:val="16"/>
        </w:rPr>
        <w:t xml:space="preserve"> приказом №438 от 12.6.42 г. был образован дублер завода №145 НКАП. Дополнительно обеспечен перевод необходимого оборудования с завода №472, завода №145, завода №481. Директором назначен </w:t>
      </w:r>
      <w:proofErr w:type="spellStart"/>
      <w:r w:rsidRPr="00A259BD">
        <w:rPr>
          <w:rFonts w:ascii="Times New Roman" w:hAnsi="Times New Roman"/>
          <w:color w:val="000000" w:themeColor="text1"/>
          <w:sz w:val="16"/>
          <w:szCs w:val="16"/>
        </w:rPr>
        <w:t>Н.К.Сорокин</w:t>
      </w:r>
      <w:proofErr w:type="spellEnd"/>
      <w:r w:rsidRPr="00A259BD">
        <w:rPr>
          <w:rFonts w:ascii="Times New Roman" w:hAnsi="Times New Roman"/>
          <w:color w:val="000000" w:themeColor="text1"/>
          <w:sz w:val="16"/>
          <w:szCs w:val="16"/>
        </w:rPr>
        <w:t xml:space="preserve">. Началась организация выпуска выливных приборов ВАП-6М и ВАП-500. Во исполнение приказа №533 от 16.7.42 г. вновь организованному заводу-дублеру присвоен литерный номер и наименование Государственный Союзный завод №455 с подчинением 2ГУ НКАП. В годы ВОВ шло производство агрегатов авиавооружения: ВАП-100, ВАП-250. Директор завода - Горбунов (1943-46 гг.). </w:t>
      </w:r>
    </w:p>
    <w:p w14:paraId="62AE0D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Разработка выливных приборов типа ВАП шла на заводском ОКБ </w:t>
      </w:r>
      <w:proofErr w:type="spellStart"/>
      <w:r w:rsidRPr="00A259BD">
        <w:rPr>
          <w:rFonts w:ascii="Times New Roman" w:hAnsi="Times New Roman"/>
          <w:color w:val="000000" w:themeColor="text1"/>
          <w:sz w:val="16"/>
          <w:szCs w:val="16"/>
        </w:rPr>
        <w:t>гл.к</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И.И.Картукова</w:t>
      </w:r>
      <w:proofErr w:type="spellEnd"/>
      <w:r w:rsidRPr="00A259BD">
        <w:rPr>
          <w:rFonts w:ascii="Times New Roman" w:hAnsi="Times New Roman"/>
          <w:color w:val="000000" w:themeColor="text1"/>
          <w:sz w:val="16"/>
          <w:szCs w:val="16"/>
        </w:rPr>
        <w:t xml:space="preserve">. Коллектив работал здесь с 1943 г., когда ОКБ-145 </w:t>
      </w:r>
      <w:proofErr w:type="spellStart"/>
      <w:r w:rsidRPr="00A259BD">
        <w:rPr>
          <w:rFonts w:ascii="Times New Roman" w:hAnsi="Times New Roman"/>
          <w:color w:val="000000" w:themeColor="text1"/>
          <w:sz w:val="16"/>
          <w:szCs w:val="16"/>
        </w:rPr>
        <w:t>И.И.Картукова</w:t>
      </w:r>
      <w:proofErr w:type="spellEnd"/>
      <w:r w:rsidRPr="00A259BD">
        <w:rPr>
          <w:rFonts w:ascii="Times New Roman" w:hAnsi="Times New Roman"/>
          <w:color w:val="000000" w:themeColor="text1"/>
          <w:sz w:val="16"/>
          <w:szCs w:val="16"/>
        </w:rPr>
        <w:t xml:space="preserve"> переведено из эвакуации в </w:t>
      </w:r>
      <w:proofErr w:type="spellStart"/>
      <w:r w:rsidRPr="00A259BD">
        <w:rPr>
          <w:rFonts w:ascii="Times New Roman" w:hAnsi="Times New Roman"/>
          <w:color w:val="000000" w:themeColor="text1"/>
          <w:sz w:val="16"/>
          <w:szCs w:val="16"/>
        </w:rPr>
        <w:t>г.Костино</w:t>
      </w:r>
      <w:proofErr w:type="spellEnd"/>
      <w:r w:rsidRPr="00A259BD">
        <w:rPr>
          <w:rFonts w:ascii="Times New Roman" w:hAnsi="Times New Roman"/>
          <w:color w:val="000000" w:themeColor="text1"/>
          <w:sz w:val="16"/>
          <w:szCs w:val="16"/>
        </w:rPr>
        <w:t xml:space="preserve"> (с образованием ОКБ-455). Продолжены работы по химическим боеприпасам, создан разовый прибор ХАРП-500-300А для НКВМФ. С 1946 г. начались работы по пиропатронам для выбрасываемых кресел летчиков. В .3.1946 г. вновь образуется новый завод №81 МАП в </w:t>
      </w:r>
      <w:proofErr w:type="spellStart"/>
      <w:r w:rsidRPr="00A259BD">
        <w:rPr>
          <w:rFonts w:ascii="Times New Roman" w:hAnsi="Times New Roman"/>
          <w:color w:val="000000" w:themeColor="text1"/>
          <w:sz w:val="16"/>
          <w:szCs w:val="16"/>
        </w:rPr>
        <w:t>г.Москве</w:t>
      </w:r>
      <w:proofErr w:type="spellEnd"/>
      <w:r w:rsidRPr="00A259BD">
        <w:rPr>
          <w:rFonts w:ascii="Times New Roman" w:hAnsi="Times New Roman"/>
          <w:color w:val="000000" w:themeColor="text1"/>
          <w:sz w:val="16"/>
          <w:szCs w:val="16"/>
        </w:rPr>
        <w:t xml:space="preserve">, куда было переведено ОКБ </w:t>
      </w:r>
      <w:proofErr w:type="spellStart"/>
      <w:r w:rsidRPr="00A259BD">
        <w:rPr>
          <w:rFonts w:ascii="Times New Roman" w:hAnsi="Times New Roman"/>
          <w:color w:val="000000" w:themeColor="text1"/>
          <w:sz w:val="16"/>
          <w:szCs w:val="16"/>
        </w:rPr>
        <w:t>гл.к</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И.И.Картукова</w:t>
      </w:r>
      <w:proofErr w:type="spellEnd"/>
      <w:r w:rsidRPr="00A259BD">
        <w:rPr>
          <w:rFonts w:ascii="Times New Roman" w:hAnsi="Times New Roman"/>
          <w:color w:val="000000" w:themeColor="text1"/>
          <w:sz w:val="16"/>
          <w:szCs w:val="16"/>
        </w:rPr>
        <w:t xml:space="preserve">. </w:t>
      </w:r>
    </w:p>
    <w:p w14:paraId="4A4B44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к. 1946 г. директором и руководителем строительства завода №455 назначен </w:t>
      </w:r>
      <w:proofErr w:type="spellStart"/>
      <w:r w:rsidRPr="00A259BD">
        <w:rPr>
          <w:rFonts w:ascii="Times New Roman" w:hAnsi="Times New Roman"/>
          <w:color w:val="000000" w:themeColor="text1"/>
          <w:sz w:val="16"/>
          <w:szCs w:val="16"/>
        </w:rPr>
        <w:t>М.П.Аржаков</w:t>
      </w:r>
      <w:proofErr w:type="spellEnd"/>
      <w:r w:rsidRPr="00A259BD">
        <w:rPr>
          <w:rFonts w:ascii="Times New Roman" w:hAnsi="Times New Roman"/>
          <w:color w:val="000000" w:themeColor="text1"/>
          <w:sz w:val="16"/>
          <w:szCs w:val="16"/>
        </w:rPr>
        <w:t xml:space="preserve">. Началось расширение работ по установкам авиавооружения. </w:t>
      </w:r>
    </w:p>
    <w:p w14:paraId="448242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1.4.55 г. завод №455 передан из 2ГУ в 6ГУ (приказ №283 от 25.4.55 г.). В связи с этим в 1956 г. при заводе образовано СКБ для освоения производства ракет РС-1-У (</w:t>
      </w:r>
      <w:proofErr w:type="spellStart"/>
      <w:r w:rsidRPr="00A259BD">
        <w:rPr>
          <w:rFonts w:ascii="Times New Roman" w:hAnsi="Times New Roman"/>
          <w:color w:val="000000" w:themeColor="text1"/>
          <w:sz w:val="16"/>
          <w:szCs w:val="16"/>
        </w:rPr>
        <w:t>изд</w:t>
      </w:r>
      <w:proofErr w:type="spellEnd"/>
      <w:r w:rsidRPr="00A259BD">
        <w:rPr>
          <w:rFonts w:ascii="Times New Roman" w:hAnsi="Times New Roman"/>
          <w:color w:val="000000" w:themeColor="text1"/>
          <w:sz w:val="16"/>
          <w:szCs w:val="16"/>
        </w:rPr>
        <w:t xml:space="preserve">."М"). На базе ракет типа К-5 и К-8 разработана ракета Х-66, а на базе РС-2УС - ракета К-55. Далее созданы Х-23, Х-27, Х-25, Х-25М, Х-31А и Х-31П, Х-35. С образованием конструкторского бюро руководителем с правами </w:t>
      </w:r>
      <w:proofErr w:type="spellStart"/>
      <w:r w:rsidRPr="00A259BD">
        <w:rPr>
          <w:rFonts w:ascii="Times New Roman" w:hAnsi="Times New Roman"/>
          <w:color w:val="000000" w:themeColor="text1"/>
          <w:sz w:val="16"/>
          <w:szCs w:val="16"/>
        </w:rPr>
        <w:t>гл.к</w:t>
      </w:r>
      <w:proofErr w:type="spellEnd"/>
      <w:r w:rsidRPr="00A259BD">
        <w:rPr>
          <w:rFonts w:ascii="Times New Roman" w:hAnsi="Times New Roman"/>
          <w:color w:val="000000" w:themeColor="text1"/>
          <w:sz w:val="16"/>
          <w:szCs w:val="16"/>
        </w:rPr>
        <w:t>. по серии (</w:t>
      </w:r>
      <w:proofErr w:type="spellStart"/>
      <w:r w:rsidRPr="00A259BD">
        <w:rPr>
          <w:rFonts w:ascii="Times New Roman" w:hAnsi="Times New Roman"/>
          <w:color w:val="000000" w:themeColor="text1"/>
          <w:sz w:val="16"/>
          <w:szCs w:val="16"/>
        </w:rPr>
        <w:t>изд</w:t>
      </w:r>
      <w:proofErr w:type="spellEnd"/>
      <w:r w:rsidRPr="00A259BD">
        <w:rPr>
          <w:rFonts w:ascii="Times New Roman" w:hAnsi="Times New Roman"/>
          <w:color w:val="000000" w:themeColor="text1"/>
          <w:sz w:val="16"/>
          <w:szCs w:val="16"/>
        </w:rPr>
        <w:t xml:space="preserve">."М") стал </w:t>
      </w:r>
      <w:proofErr w:type="spellStart"/>
      <w:r w:rsidRPr="00A259BD">
        <w:rPr>
          <w:rFonts w:ascii="Times New Roman" w:hAnsi="Times New Roman"/>
          <w:color w:val="000000" w:themeColor="text1"/>
          <w:sz w:val="16"/>
          <w:szCs w:val="16"/>
        </w:rPr>
        <w:t>М.Е.Едидович</w:t>
      </w:r>
      <w:proofErr w:type="spellEnd"/>
      <w:r w:rsidRPr="00A259BD">
        <w:rPr>
          <w:rFonts w:ascii="Times New Roman" w:hAnsi="Times New Roman"/>
          <w:color w:val="000000" w:themeColor="text1"/>
          <w:sz w:val="16"/>
          <w:szCs w:val="16"/>
        </w:rPr>
        <w:t xml:space="preserve">, далее его сменил </w:t>
      </w:r>
      <w:proofErr w:type="spellStart"/>
      <w:r w:rsidRPr="00A259BD">
        <w:rPr>
          <w:rFonts w:ascii="Times New Roman" w:hAnsi="Times New Roman"/>
          <w:color w:val="000000" w:themeColor="text1"/>
          <w:sz w:val="16"/>
          <w:szCs w:val="16"/>
        </w:rPr>
        <w:t>Н.Т.Пикот</w:t>
      </w:r>
      <w:proofErr w:type="spellEnd"/>
      <w:r w:rsidRPr="00A259BD">
        <w:rPr>
          <w:rFonts w:ascii="Times New Roman" w:hAnsi="Times New Roman"/>
          <w:color w:val="000000" w:themeColor="text1"/>
          <w:sz w:val="16"/>
          <w:szCs w:val="16"/>
        </w:rPr>
        <w:t xml:space="preserve"> (начальник и </w:t>
      </w:r>
      <w:proofErr w:type="spellStart"/>
      <w:r w:rsidRPr="00A259BD">
        <w:rPr>
          <w:rFonts w:ascii="Times New Roman" w:hAnsi="Times New Roman"/>
          <w:color w:val="000000" w:themeColor="text1"/>
          <w:sz w:val="16"/>
          <w:szCs w:val="16"/>
        </w:rPr>
        <w:t>гл.к</w:t>
      </w:r>
      <w:proofErr w:type="spellEnd"/>
      <w:r w:rsidRPr="00A259BD">
        <w:rPr>
          <w:rFonts w:ascii="Times New Roman" w:hAnsi="Times New Roman"/>
          <w:color w:val="000000" w:themeColor="text1"/>
          <w:sz w:val="16"/>
          <w:szCs w:val="16"/>
        </w:rPr>
        <w:t xml:space="preserve">.). Далее эти должности занимал </w:t>
      </w:r>
      <w:proofErr w:type="spellStart"/>
      <w:r w:rsidRPr="00A259BD">
        <w:rPr>
          <w:rFonts w:ascii="Times New Roman" w:hAnsi="Times New Roman"/>
          <w:color w:val="000000" w:themeColor="text1"/>
          <w:sz w:val="16"/>
          <w:szCs w:val="16"/>
        </w:rPr>
        <w:t>Ю.Н.Королев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В.Н.Бугайский</w:t>
      </w:r>
      <w:proofErr w:type="spellEnd"/>
      <w:r w:rsidRPr="00A259BD">
        <w:rPr>
          <w:rFonts w:ascii="Times New Roman" w:hAnsi="Times New Roman"/>
          <w:color w:val="000000" w:themeColor="text1"/>
          <w:sz w:val="16"/>
          <w:szCs w:val="16"/>
        </w:rPr>
        <w:t xml:space="preserve"> (с 1974 г. по 1983 г.). Зам. </w:t>
      </w:r>
      <w:proofErr w:type="spellStart"/>
      <w:r w:rsidRPr="00A259BD">
        <w:rPr>
          <w:rFonts w:ascii="Times New Roman" w:hAnsi="Times New Roman"/>
          <w:color w:val="000000" w:themeColor="text1"/>
          <w:sz w:val="16"/>
          <w:szCs w:val="16"/>
        </w:rPr>
        <w:t>гл.к</w:t>
      </w:r>
      <w:proofErr w:type="spellEnd"/>
      <w:r w:rsidRPr="00A259BD">
        <w:rPr>
          <w:rFonts w:ascii="Times New Roman" w:hAnsi="Times New Roman"/>
          <w:color w:val="000000" w:themeColor="text1"/>
          <w:sz w:val="16"/>
          <w:szCs w:val="16"/>
        </w:rPr>
        <w:t xml:space="preserve">. был </w:t>
      </w:r>
      <w:proofErr w:type="spellStart"/>
      <w:r w:rsidRPr="00A259BD">
        <w:rPr>
          <w:rFonts w:ascii="Times New Roman" w:hAnsi="Times New Roman"/>
          <w:color w:val="000000" w:themeColor="text1"/>
          <w:sz w:val="16"/>
          <w:szCs w:val="16"/>
        </w:rPr>
        <w:t>В.Г.Кореньков</w:t>
      </w:r>
      <w:proofErr w:type="spellEnd"/>
      <w:r w:rsidRPr="00A259BD">
        <w:rPr>
          <w:rFonts w:ascii="Times New Roman" w:hAnsi="Times New Roman"/>
          <w:color w:val="000000" w:themeColor="text1"/>
          <w:sz w:val="16"/>
          <w:szCs w:val="16"/>
        </w:rPr>
        <w:t xml:space="preserve">, он ввел модульность в Х-25М. С 1983 г. </w:t>
      </w:r>
      <w:proofErr w:type="spellStart"/>
      <w:r w:rsidRPr="00A259BD">
        <w:rPr>
          <w:rFonts w:ascii="Times New Roman" w:hAnsi="Times New Roman"/>
          <w:color w:val="000000" w:themeColor="text1"/>
          <w:sz w:val="16"/>
          <w:szCs w:val="16"/>
        </w:rPr>
        <w:t>гл.к</w:t>
      </w:r>
      <w:proofErr w:type="spellEnd"/>
      <w:r w:rsidRPr="00A259BD">
        <w:rPr>
          <w:rFonts w:ascii="Times New Roman" w:hAnsi="Times New Roman"/>
          <w:color w:val="000000" w:themeColor="text1"/>
          <w:sz w:val="16"/>
          <w:szCs w:val="16"/>
        </w:rPr>
        <w:t xml:space="preserve">. стал </w:t>
      </w:r>
      <w:proofErr w:type="spellStart"/>
      <w:r w:rsidRPr="00A259BD">
        <w:rPr>
          <w:rFonts w:ascii="Times New Roman" w:hAnsi="Times New Roman"/>
          <w:color w:val="000000" w:themeColor="text1"/>
          <w:sz w:val="16"/>
          <w:szCs w:val="16"/>
        </w:rPr>
        <w:t>В.Г.Голушко</w:t>
      </w:r>
      <w:proofErr w:type="spellEnd"/>
      <w:r w:rsidRPr="00A259BD">
        <w:rPr>
          <w:rFonts w:ascii="Times New Roman" w:hAnsi="Times New Roman"/>
          <w:color w:val="000000" w:themeColor="text1"/>
          <w:sz w:val="16"/>
          <w:szCs w:val="16"/>
        </w:rPr>
        <w:t xml:space="preserve"> (по 1986 г.), далее в 1986-94 гг. </w:t>
      </w:r>
      <w:proofErr w:type="spellStart"/>
      <w:r w:rsidRPr="00A259BD">
        <w:rPr>
          <w:rFonts w:ascii="Times New Roman" w:hAnsi="Times New Roman"/>
          <w:color w:val="000000" w:themeColor="text1"/>
          <w:sz w:val="16"/>
          <w:szCs w:val="16"/>
        </w:rPr>
        <w:t>гл.к</w:t>
      </w:r>
      <w:proofErr w:type="spellEnd"/>
      <w:r w:rsidRPr="00A259BD">
        <w:rPr>
          <w:rFonts w:ascii="Times New Roman" w:hAnsi="Times New Roman"/>
          <w:color w:val="000000" w:themeColor="text1"/>
          <w:sz w:val="16"/>
          <w:szCs w:val="16"/>
        </w:rPr>
        <w:t xml:space="preserve">. ОКБ являлся </w:t>
      </w:r>
      <w:proofErr w:type="spellStart"/>
      <w:r w:rsidRPr="00A259BD">
        <w:rPr>
          <w:rFonts w:ascii="Times New Roman" w:hAnsi="Times New Roman"/>
          <w:color w:val="000000" w:themeColor="text1"/>
          <w:sz w:val="16"/>
          <w:szCs w:val="16"/>
        </w:rPr>
        <w:t>Г.И.Хохлов</w:t>
      </w:r>
      <w:proofErr w:type="spellEnd"/>
      <w:r w:rsidRPr="00A259BD">
        <w:rPr>
          <w:rFonts w:ascii="Times New Roman" w:hAnsi="Times New Roman"/>
          <w:color w:val="000000" w:themeColor="text1"/>
          <w:sz w:val="16"/>
          <w:szCs w:val="16"/>
        </w:rPr>
        <w:t xml:space="preserve">, а с к. 1994 г. </w:t>
      </w:r>
      <w:proofErr w:type="spellStart"/>
      <w:r w:rsidRPr="00A259BD">
        <w:rPr>
          <w:rFonts w:ascii="Times New Roman" w:hAnsi="Times New Roman"/>
          <w:color w:val="000000" w:themeColor="text1"/>
          <w:sz w:val="16"/>
          <w:szCs w:val="16"/>
        </w:rPr>
        <w:t>гл.к</w:t>
      </w:r>
      <w:proofErr w:type="spellEnd"/>
      <w:r w:rsidRPr="00A259BD">
        <w:rPr>
          <w:rFonts w:ascii="Times New Roman" w:hAnsi="Times New Roman"/>
          <w:color w:val="000000" w:themeColor="text1"/>
          <w:sz w:val="16"/>
          <w:szCs w:val="16"/>
        </w:rPr>
        <w:t xml:space="preserve">. стал </w:t>
      </w:r>
      <w:proofErr w:type="spellStart"/>
      <w:r w:rsidRPr="00A259BD">
        <w:rPr>
          <w:rFonts w:ascii="Times New Roman" w:hAnsi="Times New Roman"/>
          <w:color w:val="000000" w:themeColor="text1"/>
          <w:sz w:val="16"/>
          <w:szCs w:val="16"/>
        </w:rPr>
        <w:t>Ю.Д.Новиков</w:t>
      </w:r>
      <w:proofErr w:type="spellEnd"/>
      <w:r w:rsidRPr="00A259BD">
        <w:rPr>
          <w:rFonts w:ascii="Times New Roman" w:hAnsi="Times New Roman"/>
          <w:color w:val="000000" w:themeColor="text1"/>
          <w:sz w:val="16"/>
          <w:szCs w:val="16"/>
        </w:rPr>
        <w:t xml:space="preserve"> (ранее зам. </w:t>
      </w:r>
      <w:proofErr w:type="spellStart"/>
      <w:r w:rsidRPr="00A259BD">
        <w:rPr>
          <w:rFonts w:ascii="Times New Roman" w:hAnsi="Times New Roman"/>
          <w:color w:val="000000" w:themeColor="text1"/>
          <w:sz w:val="16"/>
          <w:szCs w:val="16"/>
        </w:rPr>
        <w:t>гл.к</w:t>
      </w:r>
      <w:proofErr w:type="spellEnd"/>
      <w:r w:rsidRPr="00A259BD">
        <w:rPr>
          <w:rFonts w:ascii="Times New Roman" w:hAnsi="Times New Roman"/>
          <w:color w:val="000000" w:themeColor="text1"/>
          <w:sz w:val="16"/>
          <w:szCs w:val="16"/>
        </w:rPr>
        <w:t xml:space="preserve">.). Завод проводил работы по установкам вооружения конструкции ОКБ-134 и ОКБ-476. Осуществлял с 1956 г. производство ракет - </w:t>
      </w:r>
      <w:proofErr w:type="spellStart"/>
      <w:r w:rsidRPr="00A259BD">
        <w:rPr>
          <w:rFonts w:ascii="Times New Roman" w:hAnsi="Times New Roman"/>
          <w:color w:val="000000" w:themeColor="text1"/>
          <w:sz w:val="16"/>
          <w:szCs w:val="16"/>
        </w:rPr>
        <w:t>изд</w:t>
      </w:r>
      <w:proofErr w:type="spellEnd"/>
      <w:r w:rsidRPr="00A259BD">
        <w:rPr>
          <w:rFonts w:ascii="Times New Roman" w:hAnsi="Times New Roman"/>
          <w:color w:val="000000" w:themeColor="text1"/>
          <w:sz w:val="16"/>
          <w:szCs w:val="16"/>
        </w:rPr>
        <w:t xml:space="preserve">."М" (РС-1-У, в 1956-57гг.), </w:t>
      </w:r>
      <w:proofErr w:type="spellStart"/>
      <w:r w:rsidRPr="00A259BD">
        <w:rPr>
          <w:rFonts w:ascii="Times New Roman" w:hAnsi="Times New Roman"/>
          <w:color w:val="000000" w:themeColor="text1"/>
          <w:sz w:val="16"/>
          <w:szCs w:val="16"/>
        </w:rPr>
        <w:t>изд."И</w:t>
      </w:r>
      <w:proofErr w:type="spellEnd"/>
      <w:r w:rsidRPr="00A259BD">
        <w:rPr>
          <w:rFonts w:ascii="Times New Roman" w:hAnsi="Times New Roman"/>
          <w:color w:val="000000" w:themeColor="text1"/>
          <w:sz w:val="16"/>
          <w:szCs w:val="16"/>
        </w:rPr>
        <w:t xml:space="preserve">" (РС-2-У, в 1957-59гг.), </w:t>
      </w:r>
      <w:proofErr w:type="spellStart"/>
      <w:r w:rsidRPr="00A259BD">
        <w:rPr>
          <w:rFonts w:ascii="Times New Roman" w:hAnsi="Times New Roman"/>
          <w:color w:val="000000" w:themeColor="text1"/>
          <w:sz w:val="16"/>
          <w:szCs w:val="16"/>
        </w:rPr>
        <w:t>изд</w:t>
      </w:r>
      <w:proofErr w:type="spellEnd"/>
      <w:r w:rsidRPr="00A259BD">
        <w:rPr>
          <w:rFonts w:ascii="Times New Roman" w:hAnsi="Times New Roman"/>
          <w:color w:val="000000" w:themeColor="text1"/>
          <w:sz w:val="16"/>
          <w:szCs w:val="16"/>
        </w:rPr>
        <w:t xml:space="preserve">."ИС" (РС-2-УС, с 1959 г.), изд."24" (Р-8М, с 1959 г.), К-13, Р-98, К-55, К-40 (до 1990-91гг.), К-80 (Р-4), планировалось освоить производство К-33, но работы передали на другой завод. Производство ракет Х-66, Х-23, Х-27, Х-25, Х-25М, Х-31, Х-35. Производство ЗУР 3М9. Опытные работы по ракете Р-6 (К-53) с ТГСН. </w:t>
      </w:r>
    </w:p>
    <w:p w14:paraId="544929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 1976 г. предприятие превратилось в производственное объединение и стало наименоваться Калининградским объединением ”Стрела”. В состав предприятия входили Калининградский машиностроительный завод, КБ "Звезда", Бендерский машиностроительный завод и Костромской механический завод. В 1989 году из состава КПО ”Стрела” в качестве самостоятельного юридического лица было выделено ОКБ ”Звезда”. Далее из объединения вышли и др. предприятия. </w:t>
      </w:r>
    </w:p>
    <w:p w14:paraId="15BDB5D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Вновь в н. 1995 г. произошло объединение Калининградского машиностроительного завода "Стрела" и ОКБ "Звезда" в ГНПЦ "Звезда-Стрела". Одновременно руководителем ГНПЦ стал бывший директор завода </w:t>
      </w:r>
      <w:proofErr w:type="spellStart"/>
      <w:r w:rsidRPr="00A259BD">
        <w:rPr>
          <w:rFonts w:ascii="Times New Roman" w:hAnsi="Times New Roman"/>
          <w:color w:val="000000" w:themeColor="text1"/>
          <w:sz w:val="16"/>
          <w:szCs w:val="16"/>
        </w:rPr>
        <w:t>С.П.Яковлев</w:t>
      </w:r>
      <w:proofErr w:type="spellEnd"/>
      <w:r w:rsidRPr="00A259BD">
        <w:rPr>
          <w:rFonts w:ascii="Times New Roman" w:hAnsi="Times New Roman"/>
          <w:color w:val="000000" w:themeColor="text1"/>
          <w:sz w:val="16"/>
          <w:szCs w:val="16"/>
        </w:rPr>
        <w:t xml:space="preserve">, а </w:t>
      </w:r>
      <w:proofErr w:type="spellStart"/>
      <w:r w:rsidRPr="00A259BD">
        <w:rPr>
          <w:rFonts w:ascii="Times New Roman" w:hAnsi="Times New Roman"/>
          <w:color w:val="000000" w:themeColor="text1"/>
          <w:sz w:val="16"/>
          <w:szCs w:val="16"/>
        </w:rPr>
        <w:t>гл.к</w:t>
      </w:r>
      <w:proofErr w:type="spellEnd"/>
      <w:r w:rsidRPr="00A259BD">
        <w:rPr>
          <w:rFonts w:ascii="Times New Roman" w:hAnsi="Times New Roman"/>
          <w:color w:val="000000" w:themeColor="text1"/>
          <w:sz w:val="16"/>
          <w:szCs w:val="16"/>
        </w:rPr>
        <w:t xml:space="preserve">. остался </w:t>
      </w:r>
      <w:proofErr w:type="spellStart"/>
      <w:r w:rsidRPr="00A259BD">
        <w:rPr>
          <w:rFonts w:ascii="Times New Roman" w:hAnsi="Times New Roman"/>
          <w:color w:val="000000" w:themeColor="text1"/>
          <w:sz w:val="16"/>
          <w:szCs w:val="16"/>
        </w:rPr>
        <w:t>Ю.Д.Новиков</w:t>
      </w:r>
      <w:proofErr w:type="spellEnd"/>
      <w:r w:rsidRPr="00A259BD">
        <w:rPr>
          <w:rFonts w:ascii="Times New Roman" w:hAnsi="Times New Roman"/>
          <w:color w:val="000000" w:themeColor="text1"/>
          <w:sz w:val="16"/>
          <w:szCs w:val="16"/>
        </w:rPr>
        <w:t xml:space="preserve">. </w:t>
      </w:r>
    </w:p>
    <w:p w14:paraId="29F58A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соответствии с Указом Президента РФ № 84 от 24 января 2002 г. осуществлена реорганизация ФГУП ГНПЦ ”Звезда-Стрела” и преобразование его в ОАО ”Корпорация ”Тактическое ракетное вооружение”. В состав Корпорации также вошли следующие предприятия: ОАО ТМКБ ”Союз”, ОАО ”Омский завод ”Автоматика”, ОАО ”УПКБ ”Деталь”, ОАО ”МКБ ”Искра” им. И.И. </w:t>
      </w:r>
      <w:proofErr w:type="spellStart"/>
      <w:r w:rsidRPr="00A259BD">
        <w:rPr>
          <w:rFonts w:ascii="Times New Roman" w:hAnsi="Times New Roman"/>
          <w:color w:val="000000" w:themeColor="text1"/>
          <w:sz w:val="16"/>
          <w:szCs w:val="16"/>
        </w:rPr>
        <w:t>Картукова</w:t>
      </w:r>
      <w:proofErr w:type="spellEnd"/>
      <w:r w:rsidRPr="00A259BD">
        <w:rPr>
          <w:rFonts w:ascii="Times New Roman" w:hAnsi="Times New Roman"/>
          <w:color w:val="000000" w:themeColor="text1"/>
          <w:sz w:val="16"/>
          <w:szCs w:val="16"/>
        </w:rPr>
        <w:t xml:space="preserve">”, ОАО ”Завод ”Красный гидропресс”. На втором этапе расширения Корпорации, которое начато в мае 2004 г., планируется включить в ее состав ОАО "Горизонт" (Москва), ОАО "Салют" (Самара), ОАО "Смоленский авиационный завод", а после акционирования - </w:t>
      </w:r>
      <w:proofErr w:type="spellStart"/>
      <w:r w:rsidRPr="00A259BD">
        <w:rPr>
          <w:rFonts w:ascii="Times New Roman" w:hAnsi="Times New Roman"/>
          <w:color w:val="000000" w:themeColor="text1"/>
          <w:sz w:val="16"/>
          <w:szCs w:val="16"/>
        </w:rPr>
        <w:t>ГосМКБ</w:t>
      </w:r>
      <w:proofErr w:type="spellEnd"/>
      <w:r w:rsidRPr="00A259BD">
        <w:rPr>
          <w:rFonts w:ascii="Times New Roman" w:hAnsi="Times New Roman"/>
          <w:color w:val="000000" w:themeColor="text1"/>
          <w:sz w:val="16"/>
          <w:szCs w:val="16"/>
        </w:rPr>
        <w:t xml:space="preserve"> "Вымпел", </w:t>
      </w:r>
      <w:proofErr w:type="spellStart"/>
      <w:r w:rsidRPr="00A259BD">
        <w:rPr>
          <w:rFonts w:ascii="Times New Roman" w:hAnsi="Times New Roman"/>
          <w:color w:val="000000" w:themeColor="text1"/>
          <w:sz w:val="16"/>
          <w:szCs w:val="16"/>
        </w:rPr>
        <w:t>ГосМКБ</w:t>
      </w:r>
      <w:proofErr w:type="spellEnd"/>
      <w:r w:rsidRPr="00A259BD">
        <w:rPr>
          <w:rFonts w:ascii="Times New Roman" w:hAnsi="Times New Roman"/>
          <w:color w:val="000000" w:themeColor="text1"/>
          <w:sz w:val="16"/>
          <w:szCs w:val="16"/>
        </w:rPr>
        <w:t xml:space="preserve"> "Радуга", ГНПП "Регион", КБ машиностроения (Коломна). </w:t>
      </w:r>
    </w:p>
    <w:p w14:paraId="4BC8FC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Выпускаемая продукция в текущее время: Х-35Э, Х-31А, Х-31П, Х-25МПУ, Х-25МЛ. </w:t>
      </w:r>
    </w:p>
    <w:p w14:paraId="789B06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Генеральный директор корпорации - </w:t>
      </w:r>
      <w:proofErr w:type="spellStart"/>
      <w:r w:rsidRPr="00A259BD">
        <w:rPr>
          <w:rFonts w:ascii="Times New Roman" w:hAnsi="Times New Roman"/>
          <w:color w:val="000000" w:themeColor="text1"/>
          <w:sz w:val="16"/>
          <w:szCs w:val="16"/>
        </w:rPr>
        <w:t>Б.В.Обносов</w:t>
      </w:r>
      <w:proofErr w:type="spellEnd"/>
      <w:r w:rsidRPr="00A259BD">
        <w:rPr>
          <w:rFonts w:ascii="Times New Roman" w:hAnsi="Times New Roman"/>
          <w:color w:val="000000" w:themeColor="text1"/>
          <w:sz w:val="16"/>
          <w:szCs w:val="16"/>
        </w:rPr>
        <w:t xml:space="preserve">. </w:t>
      </w:r>
    </w:p>
    <w:p w14:paraId="6E61D5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Корпорация ”Тактическое ракетное вооружение”, ОАО (ОАО "КТРВ") </w:t>
      </w:r>
    </w:p>
    <w:p w14:paraId="3A55AF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Ранее: завод №472, Завод №455, Костинский машиностроительный завод (КМЗ), Калининградский машиностроительный завод (НПО) "Стрела", КПКО "Стрела", "Государственный Научно-производственный центр (ГНПЦ) "Звезда-Стрела", ФГУП ГНПЦ "Звезда-Стрела" </w:t>
      </w:r>
    </w:p>
    <w:p w14:paraId="044596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Адрес: 141075, Россия, Московская обл., Королев, ул. Ильича, д. 7, тел.: (095) 519-20-02, 511-9439, kmo@ktrv.ru, www.ktrv.ru </w:t>
      </w:r>
    </w:p>
    <w:p w14:paraId="7CB135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 из ведущих предприятий России по разработке и производству противокорабельных, противорадиолокационных и многоцелевых унифицированных ракет тактического назначения, предназначенных для оснащения авиационных, корабельных и береговых ракетных комплексов (10777).</w:t>
      </w:r>
    </w:p>
    <w:p w14:paraId="357058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20DF4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1929 г. завод (ГС завод № 214 НКОП, НКАП, МАП, Завод «</w:t>
      </w:r>
      <w:proofErr w:type="spellStart"/>
      <w:r w:rsidRPr="00A259BD">
        <w:rPr>
          <w:rFonts w:ascii="Times New Roman" w:hAnsi="Times New Roman"/>
          <w:color w:val="000000" w:themeColor="text1"/>
          <w:sz w:val="16"/>
          <w:szCs w:val="16"/>
        </w:rPr>
        <w:t>Метрон</w:t>
      </w:r>
      <w:proofErr w:type="spellEnd"/>
      <w:r w:rsidRPr="00A259BD">
        <w:rPr>
          <w:rFonts w:ascii="Times New Roman" w:hAnsi="Times New Roman"/>
          <w:color w:val="000000" w:themeColor="text1"/>
          <w:sz w:val="16"/>
          <w:szCs w:val="16"/>
        </w:rPr>
        <w:t xml:space="preserve">» НКТП, Свердловский приборостроительный завод, Уральский приборостроительный завод, ОАО «Уральский приборостроительный завод» /г. Москва Б. </w:t>
      </w:r>
      <w:proofErr w:type="spellStart"/>
      <w:r w:rsidRPr="00A259BD">
        <w:rPr>
          <w:rFonts w:ascii="Times New Roman" w:hAnsi="Times New Roman"/>
          <w:color w:val="000000" w:themeColor="text1"/>
          <w:sz w:val="16"/>
          <w:szCs w:val="16"/>
        </w:rPr>
        <w:t>Боженинский</w:t>
      </w:r>
      <w:proofErr w:type="spellEnd"/>
      <w:r w:rsidRPr="00A259BD">
        <w:rPr>
          <w:rFonts w:ascii="Times New Roman" w:hAnsi="Times New Roman"/>
          <w:color w:val="000000" w:themeColor="text1"/>
          <w:sz w:val="16"/>
          <w:szCs w:val="16"/>
        </w:rPr>
        <w:t xml:space="preserve"> пер., 17 ст. Воробьевы Горы;  г. Свердловск/ /620151  г. Екатеринбург ул. Горького, 17 тел. 51-90-94/) реконструирован. Располагался на Б. </w:t>
      </w:r>
      <w:proofErr w:type="spellStart"/>
      <w:r w:rsidRPr="00A259BD">
        <w:rPr>
          <w:rFonts w:ascii="Times New Roman" w:hAnsi="Times New Roman"/>
          <w:color w:val="000000" w:themeColor="text1"/>
          <w:sz w:val="16"/>
          <w:szCs w:val="16"/>
        </w:rPr>
        <w:t>Боженинском</w:t>
      </w:r>
      <w:proofErr w:type="spellEnd"/>
      <w:r w:rsidRPr="00A259BD">
        <w:rPr>
          <w:rFonts w:ascii="Times New Roman" w:hAnsi="Times New Roman"/>
          <w:color w:val="000000" w:themeColor="text1"/>
          <w:sz w:val="16"/>
          <w:szCs w:val="16"/>
        </w:rPr>
        <w:t xml:space="preserve"> пер. (возле ул. Пироговской). Серийный выпуск приборов. В 1934 г. передан в Авиапром. Полностью введен в эксплуатацию в 1936 г. В 12.1936 г. завод «</w:t>
      </w:r>
      <w:proofErr w:type="spellStart"/>
      <w:r w:rsidRPr="00A259BD">
        <w:rPr>
          <w:rFonts w:ascii="Times New Roman" w:hAnsi="Times New Roman"/>
          <w:color w:val="000000" w:themeColor="text1"/>
          <w:sz w:val="16"/>
          <w:szCs w:val="16"/>
        </w:rPr>
        <w:t>Метрон</w:t>
      </w:r>
      <w:proofErr w:type="spellEnd"/>
      <w:r w:rsidRPr="00A259BD">
        <w:rPr>
          <w:rFonts w:ascii="Times New Roman" w:hAnsi="Times New Roman"/>
          <w:color w:val="000000" w:themeColor="text1"/>
          <w:sz w:val="16"/>
          <w:szCs w:val="16"/>
        </w:rPr>
        <w:t>» передан из ВОТИ НКТП в ведение НКОП и по пр. № 06сс от 30.12.1936 г. переименован в завод № 214. В соответствии с пост. СНК № 2139-425сс от 21.12.1936 г. и</w:t>
      </w:r>
      <w:r w:rsidRPr="00A259BD">
        <w:rPr>
          <w:rFonts w:ascii="Times New Roman" w:hAnsi="Times New Roman"/>
          <w:iCs/>
          <w:color w:val="000000" w:themeColor="text1"/>
          <w:sz w:val="16"/>
          <w:szCs w:val="16"/>
        </w:rPr>
        <w:t xml:space="preserve"> пр. № 59</w:t>
      </w:r>
      <w:r w:rsidRPr="00A259BD">
        <w:rPr>
          <w:rFonts w:ascii="Times New Roman" w:hAnsi="Times New Roman"/>
          <w:color w:val="000000" w:themeColor="text1"/>
          <w:sz w:val="16"/>
          <w:szCs w:val="16"/>
        </w:rPr>
        <w:t xml:space="preserve"> от 14.02.1937 г. завод № 214 передан в ведение ЮГУ НКОП, приказом № 90 от 13.03.1937 г. утвержден Устав завода. С 01.1939 г. передан из ЮГУ НКОП в 8ГУ НКАП, работы по точным </w:t>
      </w:r>
      <w:proofErr w:type="spellStart"/>
      <w:r w:rsidRPr="00A259BD">
        <w:rPr>
          <w:rFonts w:ascii="Times New Roman" w:hAnsi="Times New Roman"/>
          <w:color w:val="000000" w:themeColor="text1"/>
          <w:sz w:val="16"/>
          <w:szCs w:val="16"/>
        </w:rPr>
        <w:t>аэроприборам</w:t>
      </w:r>
      <w:proofErr w:type="spellEnd"/>
      <w:r w:rsidRPr="00A259BD">
        <w:rPr>
          <w:rFonts w:ascii="Times New Roman" w:hAnsi="Times New Roman"/>
          <w:color w:val="000000" w:themeColor="text1"/>
          <w:sz w:val="16"/>
          <w:szCs w:val="16"/>
        </w:rPr>
        <w:t>.</w:t>
      </w:r>
    </w:p>
    <w:p w14:paraId="5C5D06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Серийное производство пилотажных и навигационных приборов. Приказом № 0134 от 14.06.1937 г. заводу поручено организовать дублирующее производство автопилота АВП-12 (завода № 213), изготовить в 4-м квартале 1937 г. первую серию в 15 шт. Для специализации завода по гироскопическим приборам приказом № 161с от 14.05.1938 г. поручено в дополнение к прибору № 80 во 2-3 квартале 1938 г. подготовить производство приборов № 10 и 22.</w:t>
      </w:r>
    </w:p>
    <w:p w14:paraId="77C80C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1941 г. завод № 214 5ГУ НКАП эвакуирован в  г. Свердловск. Эвакуация проходила в два этапа. Сначала в соответствии с пост. ГКО № 213сс от 20.07.1941 г. и по приказам № 738сс от 24.07.1941 г. и № 894сс от 22.08.1941 г. для организации дублера завода № 214 на площади клуба им. Профинтерна была переведена часть оборудования завода № 214, а также оборудование и личный состав завода № 382 5ГУ НКАП из Владимира. Далее по приказу № 1050сс от 8.10.1941 г. туда же эвакуирована остальная часть завода № 214. Сюда же эвакуирован завод № 155 5ГУ НКАП. По приказу № 1120сс от 14.11.1941 г. три завода объединены в единый завод № 214 НКАП. Выпуск пилотажных приборов (АПГ-1, АК-1), электроклапанов ЭК-1, а так же минометных прицелов «МП».</w:t>
      </w:r>
    </w:p>
    <w:p w14:paraId="5084D7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площади эвакуированного завода в Москве по приказу № 63с от 25.01.1942 г. началось формирование Ремонтных мастерских по приборам при 5ГУ НКАП. По приказу № 239с от 30.03.1942 г. мастерские преобразованы в </w:t>
      </w:r>
      <w:proofErr w:type="spellStart"/>
      <w:r w:rsidRPr="00A259BD">
        <w:rPr>
          <w:rFonts w:ascii="Times New Roman" w:hAnsi="Times New Roman"/>
          <w:color w:val="000000" w:themeColor="text1"/>
          <w:sz w:val="16"/>
          <w:szCs w:val="16"/>
        </w:rPr>
        <w:t>прибороремонтный</w:t>
      </w:r>
      <w:proofErr w:type="spellEnd"/>
      <w:r w:rsidRPr="00A259BD">
        <w:rPr>
          <w:rFonts w:ascii="Times New Roman" w:hAnsi="Times New Roman"/>
          <w:color w:val="000000" w:themeColor="text1"/>
          <w:sz w:val="16"/>
          <w:szCs w:val="16"/>
        </w:rPr>
        <w:t xml:space="preserve"> завод при </w:t>
      </w:r>
      <w:proofErr w:type="spellStart"/>
      <w:r w:rsidRPr="00A259BD">
        <w:rPr>
          <w:rFonts w:ascii="Times New Roman" w:hAnsi="Times New Roman"/>
          <w:color w:val="000000" w:themeColor="text1"/>
          <w:sz w:val="16"/>
          <w:szCs w:val="16"/>
        </w:rPr>
        <w:t>Главремуправлении</w:t>
      </w:r>
      <w:proofErr w:type="spellEnd"/>
      <w:r w:rsidRPr="00A259BD">
        <w:rPr>
          <w:rFonts w:ascii="Times New Roman" w:hAnsi="Times New Roman"/>
          <w:color w:val="000000" w:themeColor="text1"/>
          <w:sz w:val="16"/>
          <w:szCs w:val="16"/>
        </w:rPr>
        <w:t xml:space="preserve">. В соответствии с пост. ГКО № 1367с от 2.03.1942 г. и приказом № 177с от 8.03.1942 г. на площадку эвакуированного завода № 214 переведены мастерские по ремонту </w:t>
      </w:r>
      <w:proofErr w:type="spellStart"/>
      <w:r w:rsidRPr="00A259BD">
        <w:rPr>
          <w:rFonts w:ascii="Times New Roman" w:hAnsi="Times New Roman"/>
          <w:color w:val="000000" w:themeColor="text1"/>
          <w:sz w:val="16"/>
          <w:szCs w:val="16"/>
        </w:rPr>
        <w:t>гироприборов</w:t>
      </w:r>
      <w:proofErr w:type="spellEnd"/>
      <w:r w:rsidRPr="00A259BD">
        <w:rPr>
          <w:rFonts w:ascii="Times New Roman" w:hAnsi="Times New Roman"/>
          <w:color w:val="000000" w:themeColor="text1"/>
          <w:sz w:val="16"/>
          <w:szCs w:val="16"/>
        </w:rPr>
        <w:t>, располагавшиеся на месте Института авиационного приборостроения (НИИ-12). Далее в соответствии с решением ГКО № 1543сс от 5.04.1942 г. и приказом № 269сс от 10.04.1942 г. на площадке эвакуированного завода № 214 образован Завод № 133 НКАП.</w:t>
      </w:r>
    </w:p>
    <w:p w14:paraId="133FA6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7.10.1942 г. вышло постановление ГКО № 2381 о мероприятиях по заводу № 214.</w:t>
      </w:r>
    </w:p>
    <w:p w14:paraId="0BF29F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распоряжением СНК № 21822-рс от 24.11.1944 г. и по приказу НКАП № 21с от 24.01.1945 г. в состав завода № 214 5ГУ с 1.01.1945 г. влит завод № 474 НКАП.</w:t>
      </w:r>
    </w:p>
    <w:p w14:paraId="75D6D7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пост. СМ СССР № 713-342 от 26.06.1957 г. передан в ведение СНХ РСФСР.</w:t>
      </w:r>
    </w:p>
    <w:p w14:paraId="4E15DA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1991 г. вошел в ЗАО «Авиаприбор». По решению правительства № 22-р от 9.01.2004 г. и Указу Президента РФ № 1009 от 4.08.2004 г. вошло в число стратегических оборонных предприятий.</w:t>
      </w:r>
    </w:p>
    <w:p w14:paraId="3763F0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(2002 г.): авиационные гироскопические приборы (</w:t>
      </w:r>
      <w:proofErr w:type="spellStart"/>
      <w:r w:rsidRPr="00A259BD">
        <w:rPr>
          <w:rFonts w:ascii="Times New Roman" w:hAnsi="Times New Roman"/>
          <w:color w:val="000000" w:themeColor="text1"/>
          <w:sz w:val="16"/>
          <w:szCs w:val="16"/>
        </w:rPr>
        <w:t>авиагризонты</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гировертикали</w:t>
      </w:r>
      <w:proofErr w:type="spellEnd"/>
      <w:r w:rsidRPr="00A259BD">
        <w:rPr>
          <w:rFonts w:ascii="Times New Roman" w:hAnsi="Times New Roman"/>
          <w:color w:val="000000" w:themeColor="text1"/>
          <w:sz w:val="16"/>
          <w:szCs w:val="16"/>
        </w:rPr>
        <w:t>, датчики первичной информации); системы дистанционного и комплексного управления полетом; аппараты искусственной вентиляции легких; системы и счетчики учета электроэнергии.</w:t>
      </w:r>
    </w:p>
    <w:p w14:paraId="10093B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(-15.07.1937 г.)- В.Д. Машкин, (15.07-23.11.1937 г.)- С.П. Соловьев, (23.11.1937-42 г.)- М.С. </w:t>
      </w:r>
      <w:proofErr w:type="spellStart"/>
      <w:r w:rsidRPr="00A259BD">
        <w:rPr>
          <w:rFonts w:ascii="Times New Roman" w:hAnsi="Times New Roman"/>
          <w:color w:val="000000" w:themeColor="text1"/>
          <w:sz w:val="16"/>
          <w:szCs w:val="16"/>
        </w:rPr>
        <w:t>Гоцеридзе</w:t>
      </w:r>
      <w:proofErr w:type="spellEnd"/>
      <w:r w:rsidRPr="00A259BD">
        <w:rPr>
          <w:rFonts w:ascii="Times New Roman" w:hAnsi="Times New Roman"/>
          <w:color w:val="000000" w:themeColor="text1"/>
          <w:sz w:val="16"/>
          <w:szCs w:val="16"/>
        </w:rPr>
        <w:t>, (-07.1942-01.1943 г.-)- Лебедев, (08.1944 г.)- И.С. Алешин, (01.1945 г.)- В.И. Воробьев. Гендиректор (2002 г.)- В.У. Годлевский.</w:t>
      </w:r>
    </w:p>
    <w:p w14:paraId="4D476E9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Помощник директора по найму и увольнению (-15.12.1938 г.)- Е.Б. Коган, (15.12.1938 г.-)- Т.Н. Артемов.</w:t>
      </w:r>
    </w:p>
    <w:p w14:paraId="486AE8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Коммерческий директор (2002 г.)- С.С. Арефьев. Технический директор (2002 г.)- </w:t>
      </w:r>
      <w:r w:rsidRPr="00A259BD">
        <w:rPr>
          <w:rFonts w:ascii="Times New Roman" w:hAnsi="Times New Roman"/>
          <w:color w:val="000000" w:themeColor="text1"/>
          <w:sz w:val="16"/>
          <w:szCs w:val="16"/>
          <w:lang w:val="en-US"/>
        </w:rPr>
        <w:t>B</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JI</w:t>
      </w:r>
      <w:r w:rsidRPr="00A259BD">
        <w:rPr>
          <w:rFonts w:ascii="Times New Roman" w:hAnsi="Times New Roman"/>
          <w:color w:val="000000" w:themeColor="text1"/>
          <w:sz w:val="16"/>
          <w:szCs w:val="16"/>
        </w:rPr>
        <w:t>. Степанов.</w:t>
      </w:r>
      <w:r w:rsidRPr="00A259BD">
        <w:rPr>
          <w:rFonts w:ascii="Times New Roman" w:hAnsi="Times New Roman"/>
          <w:color w:val="000000" w:themeColor="text1"/>
          <w:sz w:val="16"/>
          <w:szCs w:val="16"/>
          <w:vertAlign w:val="superscript"/>
        </w:rPr>
        <w:t>69</w:t>
      </w:r>
    </w:p>
    <w:p w14:paraId="4877BEC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инженер (8.03.1938 г.-)- В.И. Восторин.</w:t>
      </w:r>
      <w:r w:rsidRPr="00A259BD">
        <w:rPr>
          <w:rFonts w:ascii="Times New Roman" w:hAnsi="Times New Roman"/>
          <w:color w:val="000000" w:themeColor="text1"/>
          <w:sz w:val="16"/>
          <w:szCs w:val="16"/>
          <w:vertAlign w:val="superscript"/>
        </w:rPr>
        <w:t>139</w:t>
      </w:r>
    </w:p>
    <w:p w14:paraId="34DE55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Производство:</w:t>
      </w:r>
      <w:r w:rsidRPr="00A259BD">
        <w:rPr>
          <w:rFonts w:ascii="Times New Roman" w:hAnsi="Times New Roman"/>
          <w:color w:val="000000" w:themeColor="text1"/>
          <w:sz w:val="16"/>
          <w:szCs w:val="16"/>
        </w:rPr>
        <w:t xml:space="preserve"> авиагоризонты АГД-1, АГР-7А, АГР-74, гирокомпас АГК-47Б; автопилоты АВП-3 (1934-), АВП-12 (193 7-), АПГ-1; автомат курса АК-1; индикаторы курса, трубки Вентури, стабилизаторы танковых прицелов (1940-), </w:t>
      </w:r>
      <w:proofErr w:type="spellStart"/>
      <w:r w:rsidRPr="00A259BD">
        <w:rPr>
          <w:rFonts w:ascii="Times New Roman" w:hAnsi="Times New Roman"/>
          <w:color w:val="000000" w:themeColor="text1"/>
          <w:sz w:val="16"/>
          <w:szCs w:val="16"/>
        </w:rPr>
        <w:t>бензиномеры</w:t>
      </w:r>
      <w:proofErr w:type="spellEnd"/>
      <w:r w:rsidRPr="00A259BD">
        <w:rPr>
          <w:rFonts w:ascii="Times New Roman" w:hAnsi="Times New Roman"/>
          <w:color w:val="000000" w:themeColor="text1"/>
          <w:sz w:val="16"/>
          <w:szCs w:val="16"/>
        </w:rPr>
        <w:t>, редукционные клапаны и др.</w:t>
      </w:r>
    </w:p>
    <w:p w14:paraId="507554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ОКБ-214 НКАП, КБ-214 при заводе № 214, ОКБ-1 НКАП при заводе № 122</w:t>
      </w:r>
    </w:p>
    <w:p w14:paraId="403831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г. Москва;  г. Свердловск;  г. Москва/</w:t>
      </w:r>
    </w:p>
    <w:p w14:paraId="46C67A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11.1932 г. при заводе «</w:t>
      </w:r>
      <w:proofErr w:type="spellStart"/>
      <w:r w:rsidRPr="00A259BD">
        <w:rPr>
          <w:rFonts w:ascii="Times New Roman" w:hAnsi="Times New Roman"/>
          <w:color w:val="000000" w:themeColor="text1"/>
          <w:sz w:val="16"/>
          <w:szCs w:val="16"/>
        </w:rPr>
        <w:t>Метрон</w:t>
      </w:r>
      <w:proofErr w:type="spellEnd"/>
      <w:r w:rsidRPr="00A259BD">
        <w:rPr>
          <w:rFonts w:ascii="Times New Roman" w:hAnsi="Times New Roman"/>
          <w:color w:val="000000" w:themeColor="text1"/>
          <w:sz w:val="16"/>
          <w:szCs w:val="16"/>
        </w:rPr>
        <w:t xml:space="preserve">» образовано КБ-214 для отработки пневматического автопилота АВП-1 (разработанного в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инженером Р. Г. </w:t>
      </w:r>
      <w:proofErr w:type="spellStart"/>
      <w:r w:rsidRPr="00A259BD">
        <w:rPr>
          <w:rFonts w:ascii="Times New Roman" w:hAnsi="Times New Roman"/>
          <w:color w:val="000000" w:themeColor="text1"/>
          <w:sz w:val="16"/>
          <w:szCs w:val="16"/>
        </w:rPr>
        <w:t>Ниренбергом</w:t>
      </w:r>
      <w:proofErr w:type="spellEnd"/>
      <w:r w:rsidRPr="00A259BD">
        <w:rPr>
          <w:rFonts w:ascii="Times New Roman" w:hAnsi="Times New Roman"/>
          <w:color w:val="000000" w:themeColor="text1"/>
          <w:sz w:val="16"/>
          <w:szCs w:val="16"/>
        </w:rPr>
        <w:t>) для самолета ТБ-1. Руководителем КБ назначен В.М. Соркин. Далее разработан АВП-10 для ТБ-ЗРН.</w:t>
      </w:r>
    </w:p>
    <w:p w14:paraId="475B61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11.1937 г. на базе небольшого КБ-214 на заводе № 214 образовалось ОКБ-214 по гироскопическим приборам, руководителем которого с 02.1938 г. назначен В.М. Соркин.</w:t>
      </w:r>
    </w:p>
    <w:p w14:paraId="17B97F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Работы по автопилотам: А-3 (шифр «80»), АПГ-1 для ДБ-3 и ТБ-7 (</w:t>
      </w:r>
      <w:proofErr w:type="spellStart"/>
      <w:r w:rsidRPr="00A259BD">
        <w:rPr>
          <w:rFonts w:ascii="Times New Roman" w:hAnsi="Times New Roman"/>
          <w:color w:val="000000" w:themeColor="text1"/>
          <w:sz w:val="16"/>
          <w:szCs w:val="16"/>
        </w:rPr>
        <w:t>пнв</w:t>
      </w:r>
      <w:proofErr w:type="spellEnd"/>
      <w:r w:rsidRPr="00A259BD">
        <w:rPr>
          <w:rFonts w:ascii="Times New Roman" w:hAnsi="Times New Roman"/>
          <w:color w:val="000000" w:themeColor="text1"/>
          <w:sz w:val="16"/>
          <w:szCs w:val="16"/>
        </w:rPr>
        <w:t xml:space="preserve"> в 1939-40 г.),</w:t>
      </w:r>
    </w:p>
    <w:p w14:paraId="42608D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1941 г. ОКБ-214 вместе с заводом № 214 эвакуировалось в Свердловск. Продолжены работы по автопилотам, автомату курса АК-1 для Пе-2 и Ту-2 (</w:t>
      </w:r>
      <w:proofErr w:type="spellStart"/>
      <w:r w:rsidRPr="00A259BD">
        <w:rPr>
          <w:rFonts w:ascii="Times New Roman" w:hAnsi="Times New Roman"/>
          <w:color w:val="000000" w:themeColor="text1"/>
          <w:sz w:val="16"/>
          <w:szCs w:val="16"/>
        </w:rPr>
        <w:t>пнв</w:t>
      </w:r>
      <w:proofErr w:type="spellEnd"/>
      <w:r w:rsidRPr="00A259BD">
        <w:rPr>
          <w:rFonts w:ascii="Times New Roman" w:hAnsi="Times New Roman"/>
          <w:color w:val="000000" w:themeColor="text1"/>
          <w:sz w:val="16"/>
          <w:szCs w:val="16"/>
        </w:rPr>
        <w:t xml:space="preserve"> в 1942 г.). Создан опытный автопилот АПГ-2, счетчик остатка патронов СОП, указатель поворота УП-2, пневматический гирокомпас ДГМПК.</w:t>
      </w:r>
    </w:p>
    <w:p w14:paraId="0D3002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приказу НКАП № 643с от 28(25).10(12).1943 г. ОКБ-214 НКАП реэвакуировано в Москву на новое место- на площадку завода № 122 НКАП. По тому же приказу ОКБ-214 объединено с ОКБ-122 НКАП с образованием единого ОКБ-1 НКАП в системе 9ГУ (гл. конструктор- В.М. Соркин).</w:t>
      </w:r>
    </w:p>
    <w:p w14:paraId="05E180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течение 1943-45 г. создано 10 образцов пневматических автопилотов, в том числе АП-4 для снаряда «10Х» ; начаты работы по созданию автопилота АП-5 для Ту-4 (копия американского С-3).</w:t>
      </w:r>
    </w:p>
    <w:p w14:paraId="3713454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11.1945 г. ОКБ-1 в полном составе перебазировано на территорию опытного завода № 118 НКАП, а в 02.1946 г. на базе завода № 118 и ОКБ-1 был образован ГС опытный завод № 118 НКАП.</w:t>
      </w:r>
    </w:p>
    <w:p w14:paraId="795628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Руководитель/ гл. конструктор (1932-43 г.-)- В.М. Соркин (11982).</w:t>
      </w:r>
    </w:p>
    <w:p w14:paraId="794F8588" w14:textId="77777777" w:rsidR="003B366D" w:rsidRPr="00A259BD" w:rsidRDefault="003B366D" w:rsidP="009236E3">
      <w:pPr>
        <w:autoSpaceDE w:val="0"/>
        <w:autoSpaceDN w:val="0"/>
        <w:adjustRightInd w:val="0"/>
        <w:spacing w:after="0" w:line="240" w:lineRule="auto"/>
        <w:jc w:val="both"/>
        <w:rPr>
          <w:rFonts w:ascii="Times New Roman" w:hAnsi="Times New Roman"/>
          <w:color w:val="000000" w:themeColor="text1"/>
          <w:sz w:val="16"/>
          <w:szCs w:val="16"/>
        </w:rPr>
      </w:pPr>
    </w:p>
    <w:p w14:paraId="7AC2AE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году заводу АО “</w:t>
      </w:r>
      <w:proofErr w:type="spellStart"/>
      <w:r w:rsidRPr="00A259BD">
        <w:rPr>
          <w:rFonts w:ascii="Times New Roman" w:hAnsi="Times New Roman"/>
          <w:color w:val="000000" w:themeColor="text1"/>
          <w:sz w:val="16"/>
          <w:szCs w:val="16"/>
        </w:rPr>
        <w:t>Электроэксплуатация</w:t>
      </w:r>
      <w:proofErr w:type="spellEnd"/>
      <w:r w:rsidRPr="00A259BD">
        <w:rPr>
          <w:rFonts w:ascii="Times New Roman" w:hAnsi="Times New Roman"/>
          <w:color w:val="000000" w:themeColor="text1"/>
          <w:sz w:val="16"/>
          <w:szCs w:val="16"/>
        </w:rPr>
        <w:t xml:space="preserve">” (1925-1926 гг.), бывшей </w:t>
      </w:r>
      <w:proofErr w:type="spellStart"/>
      <w:r w:rsidRPr="00A259BD">
        <w:rPr>
          <w:rFonts w:ascii="Times New Roman" w:hAnsi="Times New Roman"/>
          <w:color w:val="000000" w:themeColor="text1"/>
          <w:sz w:val="16"/>
          <w:szCs w:val="16"/>
        </w:rPr>
        <w:t>электромастерской</w:t>
      </w:r>
      <w:proofErr w:type="spellEnd"/>
      <w:r w:rsidRPr="00A259BD">
        <w:rPr>
          <w:rFonts w:ascii="Times New Roman" w:hAnsi="Times New Roman"/>
          <w:color w:val="000000" w:themeColor="text1"/>
          <w:sz w:val="16"/>
          <w:szCs w:val="16"/>
        </w:rPr>
        <w:t xml:space="preserve"> по ремонту электромоторов и изготовление реостатов ГЭТ-ВЭО (1927-1938 гг.), которая с 1927 года начала выпуск электромоторов трехфазного тока, было присвоено название “Электромоторный завод им. Лепсе”. В конце 1931 года освоен самолетный генератор, приводимый в действие ветрянкой и регулятор напряжения </w:t>
      </w:r>
      <w:proofErr w:type="spellStart"/>
      <w:r w:rsidRPr="00A259BD">
        <w:rPr>
          <w:rFonts w:ascii="Times New Roman" w:hAnsi="Times New Roman"/>
          <w:color w:val="000000" w:themeColor="text1"/>
          <w:sz w:val="16"/>
          <w:szCs w:val="16"/>
        </w:rPr>
        <w:t>кнему</w:t>
      </w:r>
      <w:proofErr w:type="spellEnd"/>
      <w:r w:rsidRPr="00A259BD">
        <w:rPr>
          <w:rFonts w:ascii="Times New Roman" w:hAnsi="Times New Roman"/>
          <w:color w:val="000000" w:themeColor="text1"/>
          <w:sz w:val="16"/>
          <w:szCs w:val="16"/>
        </w:rPr>
        <w:t xml:space="preserve">. В 1932 году с “Электрозавода” передается производство </w:t>
      </w:r>
      <w:proofErr w:type="spellStart"/>
      <w:r w:rsidRPr="00A259BD">
        <w:rPr>
          <w:rFonts w:ascii="Times New Roman" w:hAnsi="Times New Roman"/>
          <w:color w:val="000000" w:themeColor="text1"/>
          <w:sz w:val="16"/>
          <w:szCs w:val="16"/>
        </w:rPr>
        <w:t>умформетров</w:t>
      </w:r>
      <w:proofErr w:type="spellEnd"/>
      <w:r w:rsidRPr="00A259BD">
        <w:rPr>
          <w:rFonts w:ascii="Times New Roman" w:hAnsi="Times New Roman"/>
          <w:color w:val="000000" w:themeColor="text1"/>
          <w:sz w:val="16"/>
          <w:szCs w:val="16"/>
        </w:rPr>
        <w:t xml:space="preserve"> для самолетных радиостанций, </w:t>
      </w:r>
      <w:proofErr w:type="spellStart"/>
      <w:r w:rsidRPr="00A259BD">
        <w:rPr>
          <w:rFonts w:ascii="Times New Roman" w:hAnsi="Times New Roman"/>
          <w:color w:val="000000" w:themeColor="text1"/>
          <w:sz w:val="16"/>
          <w:szCs w:val="16"/>
        </w:rPr>
        <w:t>радиогенераторов</w:t>
      </w:r>
      <w:proofErr w:type="spellEnd"/>
      <w:r w:rsidRPr="00A259BD">
        <w:rPr>
          <w:rFonts w:ascii="Times New Roman" w:hAnsi="Times New Roman"/>
          <w:color w:val="000000" w:themeColor="text1"/>
          <w:sz w:val="16"/>
          <w:szCs w:val="16"/>
        </w:rPr>
        <w:t xml:space="preserve"> для зарядки аккумуляторов и подрывных саперных машинок. В 1933-1934 гг. начинается выпуск самолетных генераторов с приводом от авиамотора и танковых генераторов с регуляторными коробками к ним и моторов для прожекторов. В 1935-1937 гг. выпускались агрегаты для морских гирокомпасов и генераторов для радиостанций с ручным приводом. НКАП (1939 год) В 1939 году завод перешел в ведение НКАП и ему присваивается № 265. В 1939-1940 гг. </w:t>
      </w:r>
      <w:proofErr w:type="spellStart"/>
      <w:r w:rsidRPr="00A259BD">
        <w:rPr>
          <w:rFonts w:ascii="Times New Roman" w:hAnsi="Times New Roman"/>
          <w:color w:val="000000" w:themeColor="text1"/>
          <w:sz w:val="16"/>
          <w:szCs w:val="16"/>
        </w:rPr>
        <w:t>осовено</w:t>
      </w:r>
      <w:proofErr w:type="spellEnd"/>
      <w:r w:rsidRPr="00A259BD">
        <w:rPr>
          <w:rFonts w:ascii="Times New Roman" w:hAnsi="Times New Roman"/>
          <w:color w:val="000000" w:themeColor="text1"/>
          <w:sz w:val="16"/>
          <w:szCs w:val="16"/>
        </w:rPr>
        <w:t xml:space="preserve"> производство механизмов для дистанционного управления. В начале 1940 года производство </w:t>
      </w:r>
      <w:proofErr w:type="spellStart"/>
      <w:r w:rsidRPr="00A259BD">
        <w:rPr>
          <w:rFonts w:ascii="Times New Roman" w:hAnsi="Times New Roman"/>
          <w:color w:val="000000" w:themeColor="text1"/>
          <w:sz w:val="16"/>
          <w:szCs w:val="16"/>
        </w:rPr>
        <w:t>радиоумформеров</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радиогенераторов</w:t>
      </w:r>
      <w:proofErr w:type="spellEnd"/>
      <w:r w:rsidRPr="00A259BD">
        <w:rPr>
          <w:rFonts w:ascii="Times New Roman" w:hAnsi="Times New Roman"/>
          <w:color w:val="000000" w:themeColor="text1"/>
          <w:sz w:val="16"/>
          <w:szCs w:val="16"/>
        </w:rPr>
        <w:t>, агрегатов для гирокомпасов и ряда других изделий было выделено в филиал завода № 266, находящийся в то время на Кирпичной ул., в Москве, в Сталинском районе в 2-3 км от основного завода. С 16 октября по 6 ноября 1941 года завод эвакуируется в г. Киров, где размещается на заводе “</w:t>
      </w:r>
      <w:proofErr w:type="spellStart"/>
      <w:r w:rsidRPr="00A259BD">
        <w:rPr>
          <w:rFonts w:ascii="Times New Roman" w:hAnsi="Times New Roman"/>
          <w:color w:val="000000" w:themeColor="text1"/>
          <w:sz w:val="16"/>
          <w:szCs w:val="16"/>
        </w:rPr>
        <w:t>Кутшо</w:t>
      </w:r>
      <w:proofErr w:type="spellEnd"/>
      <w:r w:rsidRPr="00A259BD">
        <w:rPr>
          <w:rFonts w:ascii="Times New Roman" w:hAnsi="Times New Roman"/>
          <w:color w:val="000000" w:themeColor="text1"/>
          <w:sz w:val="16"/>
          <w:szCs w:val="16"/>
        </w:rPr>
        <w:t>” (Комбинат учебно-технического школьного оборудования), а филиал завода № 266 был передан а НК электропромышленности (НКЭП) и перебазирован в Томск. В начале 1942 года на территории, занятой до эвакуации заводом № 266 были организованы мастерские по ремонту самолетных генераторов и регуляторных коробок к ним.</w:t>
      </w:r>
    </w:p>
    <w:p w14:paraId="199E64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этом же году мастерские были подчинены заводу № 266 под названием “Филиал № 3”. К концу 1942 года филиал начал выпускать самолетные генераторы, регуляторные коробки и катушечные пускатели. 4 апреля 1943 года НКАП был издан приказ за № 198 об организации на базе Филиала № 3 завода № 140. По характеру производства завод должен быть отнесен к агрегатным заводам с большой номенклатурой изделий, выпускаемых в основном мелкими сериями. Адрес: Москва Е-58, ул. </w:t>
      </w:r>
      <w:proofErr w:type="spellStart"/>
      <w:r w:rsidRPr="00A259BD">
        <w:rPr>
          <w:rFonts w:ascii="Times New Roman" w:hAnsi="Times New Roman"/>
          <w:color w:val="000000" w:themeColor="text1"/>
          <w:sz w:val="16"/>
          <w:szCs w:val="16"/>
        </w:rPr>
        <w:t>Ибранимова</w:t>
      </w:r>
      <w:proofErr w:type="spellEnd"/>
      <w:r w:rsidRPr="00A259BD">
        <w:rPr>
          <w:rFonts w:ascii="Times New Roman" w:hAnsi="Times New Roman"/>
          <w:color w:val="000000" w:themeColor="text1"/>
          <w:sz w:val="16"/>
          <w:szCs w:val="16"/>
        </w:rPr>
        <w:t>, д. 31 (9506).</w:t>
      </w:r>
    </w:p>
    <w:p w14:paraId="6C7603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7F16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было принято решение о строительстве для НИИ ВВС специального испытательного аэродрома недалеко от Щелково (173,312).</w:t>
      </w:r>
    </w:p>
    <w:p w14:paraId="548524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2C918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вице-президент фирмы "Кертис" Морган пригласил Баранова для изучения постановки авиационного дела и обещал содействие в получении виз. Поездка намечалась на середину декабря 1929 г., но была отложена до 1930 г. Баранов действительно посетил Америку и, в том числе, фирму "Кертис", у которой позднее (в 1934 г.) была приобретена лицензия на производство авиадвигателя "Кертис-Райт". Обсуждался даже вопрос о создании советско-американского </w:t>
      </w:r>
      <w:proofErr w:type="spellStart"/>
      <w:r w:rsidRPr="00A259BD">
        <w:rPr>
          <w:rFonts w:ascii="Times New Roman" w:hAnsi="Times New Roman"/>
          <w:color w:val="000000" w:themeColor="text1"/>
          <w:sz w:val="16"/>
          <w:szCs w:val="16"/>
        </w:rPr>
        <w:t>самолёто</w:t>
      </w:r>
      <w:proofErr w:type="spellEnd"/>
      <w:r w:rsidRPr="00A259BD">
        <w:rPr>
          <w:rFonts w:ascii="Times New Roman" w:hAnsi="Times New Roman"/>
          <w:color w:val="000000" w:themeColor="text1"/>
          <w:sz w:val="16"/>
          <w:szCs w:val="16"/>
        </w:rPr>
        <w:t>-моторостроительного общества (11507).</w:t>
      </w:r>
    </w:p>
    <w:p w14:paraId="47B81E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D6E14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на ее базе образован </w:t>
      </w:r>
      <w:proofErr w:type="spellStart"/>
      <w:r w:rsidRPr="00A259BD">
        <w:rPr>
          <w:rFonts w:ascii="Times New Roman" w:hAnsi="Times New Roman"/>
          <w:color w:val="000000" w:themeColor="text1"/>
          <w:sz w:val="16"/>
          <w:szCs w:val="16"/>
        </w:rPr>
        <w:t>Болшевский</w:t>
      </w:r>
      <w:proofErr w:type="spellEnd"/>
      <w:r w:rsidRPr="00A259BD">
        <w:rPr>
          <w:rFonts w:ascii="Times New Roman" w:hAnsi="Times New Roman"/>
          <w:color w:val="000000" w:themeColor="text1"/>
          <w:sz w:val="16"/>
          <w:szCs w:val="16"/>
        </w:rPr>
        <w:t xml:space="preserve"> комбинат спортинвентаря по производству обуви, коньков и трикотажа. К 1.01.1939 г. он включал 4 завода. В 1939 г. комбинат передан в ведение НКОМ, затем в том же году - НКЛП. 10.12.1940 г. комбинат передан из НКЛП РСФСР в систему 2ГУ НКАП и по приказу № 220с от 4.03.1941 г. получил наименование ГС завод № 472 НКАП (ГС Завод № 472 НКАП, НКЭС /г. Костино ст. Болшево Московской обл. п/я 91 (1941 г.);  г. Кузнецк Пензенской обл./). Началась организация производства масляных (ОП-321) и водяных (ОП-ЗЮ, ОП-163, ОП-253) радиаторов, лент- расчалок и чехлов для РГД-33. Перед войной планировалось организовать производство фюзеляжей Су-2.</w:t>
      </w:r>
    </w:p>
    <w:p w14:paraId="030CF8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приказу № 1050сс от 8.10.1941 г. завод был эвакуирован 15.10.1941 г. в  г. Кузнецк на территорию Канатной фабрики «Молот» (завод № 34бис НКАП). Новое место размещения было неудачным, т.к. находилось далеко от сырьевой базы и заводов-потребителей, не нашлось места для производства расчалок. Планировалось в конце 1942 г. перевести завод в Куйбышев. В годы войны- производство масло- и </w:t>
      </w:r>
      <w:proofErr w:type="spellStart"/>
      <w:r w:rsidRPr="00A259BD">
        <w:rPr>
          <w:rFonts w:ascii="Times New Roman" w:hAnsi="Times New Roman"/>
          <w:color w:val="000000" w:themeColor="text1"/>
          <w:sz w:val="16"/>
          <w:szCs w:val="16"/>
        </w:rPr>
        <w:t>водорадиаторов</w:t>
      </w:r>
      <w:proofErr w:type="spellEnd"/>
      <w:r w:rsidRPr="00A259BD">
        <w:rPr>
          <w:rFonts w:ascii="Times New Roman" w:hAnsi="Times New Roman"/>
          <w:color w:val="000000" w:themeColor="text1"/>
          <w:sz w:val="16"/>
          <w:szCs w:val="16"/>
        </w:rPr>
        <w:t>, колес.</w:t>
      </w:r>
    </w:p>
    <w:p w14:paraId="23A556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площадке эвакуированного завода № 472 НКАП был образован его филиал. По приказу № 277с от 14.04.1942 г. он преобразован в филиал завода № 145 НКАП. В соответствии с пост. ГКО № 1868сс от 4.06.1942 г. и приказом № 533с от 16.07.1942 г. на базе филиала создан новый завод № 455 НКАГ1.</w:t>
      </w:r>
    </w:p>
    <w:p w14:paraId="1904D6E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1942 г. часть оборудования и кадров завода была передана на новые заводы № 455 и № 459 НКАП. По приказу № 735с от 8.12.1943 г. с завода № 472 переведена группа специалистов для усиления ОКБ завода № 219 НКАП.</w:t>
      </w:r>
    </w:p>
    <w:p w14:paraId="69B569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приказу № 424с/81с от 5.11.1945 г. территория завода (площадки бывших Канатной фабрики, артели «Молот» и ТЭЦ) передана в систему НК электростанций с частью оборудования и кадров, а часть оборудования и 500 чел. рабочих и ИТР переведены на завод № 124 НКАП.</w:t>
      </w:r>
    </w:p>
    <w:p w14:paraId="6F8D2C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Директор (1939 г.)- И.О. Кузнецов, (03.1941-09.1943 г.-&gt; Ермолов.</w:t>
      </w:r>
    </w:p>
    <w:p w14:paraId="15F353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ОКБ завода № 472 НКАП /ст. Болшево Московской обл./</w:t>
      </w:r>
    </w:p>
    <w:p w14:paraId="32CF73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ОКБ по </w:t>
      </w:r>
      <w:proofErr w:type="spellStart"/>
      <w:r w:rsidRPr="00A259BD">
        <w:rPr>
          <w:rFonts w:ascii="Times New Roman" w:hAnsi="Times New Roman"/>
          <w:color w:val="000000" w:themeColor="text1"/>
          <w:sz w:val="16"/>
          <w:szCs w:val="16"/>
        </w:rPr>
        <w:t>радиаторостроению</w:t>
      </w:r>
      <w:proofErr w:type="spellEnd"/>
      <w:r w:rsidRPr="00A259BD">
        <w:rPr>
          <w:rFonts w:ascii="Times New Roman" w:hAnsi="Times New Roman"/>
          <w:color w:val="000000" w:themeColor="text1"/>
          <w:sz w:val="16"/>
          <w:szCs w:val="16"/>
        </w:rPr>
        <w:t xml:space="preserve"> было организовано при заводе по приказу № 200с от 3.03.1941 г. Для укрепления ОКБ в его состав переведен ряд конструкторов с заводов № 34 и № 84 НКАП.</w:t>
      </w:r>
    </w:p>
    <w:p w14:paraId="5B8C47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приказу № 668сс от 12.07.1941. ОКБ-472 НКАП с опытным цехом планировалось эвакуировать на завод № 163 в Пензу. Но затем переведено на площадку филиала завода № 34 НКАП в  г. Кузнецк и подчинено ему как ОКБ филиала для работ по плану завода. Гл. конструктор С.Н. Рыбкин снят с должности, старая тематика ликвидирована.</w:t>
      </w:r>
    </w:p>
    <w:p w14:paraId="2FA30C4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конструктор (03-07.1941 г.)- С.Н. Рыбкин (11982).</w:t>
      </w:r>
    </w:p>
    <w:p w14:paraId="55F97B25" w14:textId="77777777" w:rsidR="00B9589C" w:rsidRPr="00A259BD" w:rsidRDefault="00B9589C" w:rsidP="009236E3">
      <w:pPr>
        <w:autoSpaceDE w:val="0"/>
        <w:autoSpaceDN w:val="0"/>
        <w:adjustRightInd w:val="0"/>
        <w:spacing w:after="0" w:line="240" w:lineRule="auto"/>
        <w:jc w:val="both"/>
        <w:rPr>
          <w:rFonts w:ascii="Times New Roman" w:hAnsi="Times New Roman"/>
          <w:color w:val="000000" w:themeColor="text1"/>
          <w:sz w:val="16"/>
          <w:szCs w:val="16"/>
        </w:rPr>
      </w:pPr>
    </w:p>
    <w:p w14:paraId="4A97D762" w14:textId="38314A3B"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с американской фирмой «</w:t>
      </w:r>
      <w:proofErr w:type="spellStart"/>
      <w:r w:rsidRPr="00A259BD">
        <w:rPr>
          <w:rFonts w:ascii="Times New Roman" w:hAnsi="Times New Roman"/>
          <w:color w:val="000000" w:themeColor="text1"/>
          <w:sz w:val="16"/>
          <w:szCs w:val="16"/>
        </w:rPr>
        <w:t>Зайберлинг</w:t>
      </w:r>
      <w:proofErr w:type="spellEnd"/>
      <w:r w:rsidRPr="00A259BD">
        <w:rPr>
          <w:rFonts w:ascii="Times New Roman" w:hAnsi="Times New Roman"/>
          <w:color w:val="000000" w:themeColor="text1"/>
          <w:sz w:val="16"/>
          <w:szCs w:val="16"/>
        </w:rPr>
        <w:t xml:space="preserve">» заключен договор на разработку проекта шинного завода в составе ЯРАК мощностью 9 шин в минуту и оказание технической помощи в строительстве и пуске. ЯШЗ строился в 1930-32 г. в числе важнейших 518 строек 1 Пятилетки. На нем было предусмотрено внедрение передовых технологий Европы и Америки. На строительстве завода постоянно работала группа американских инженеров (В. Гувер, </w:t>
      </w:r>
      <w:proofErr w:type="spellStart"/>
      <w:r w:rsidRPr="00A259BD">
        <w:rPr>
          <w:rFonts w:ascii="Times New Roman" w:hAnsi="Times New Roman"/>
          <w:color w:val="000000" w:themeColor="text1"/>
          <w:sz w:val="16"/>
          <w:szCs w:val="16"/>
        </w:rPr>
        <w:t>Татерсол</w:t>
      </w:r>
      <w:proofErr w:type="spellEnd"/>
      <w:r w:rsidRPr="00A259BD">
        <w:rPr>
          <w:rFonts w:ascii="Times New Roman" w:hAnsi="Times New Roman"/>
          <w:color w:val="000000" w:themeColor="text1"/>
          <w:sz w:val="16"/>
          <w:szCs w:val="16"/>
        </w:rPr>
        <w:t>, Уайт).</w:t>
      </w:r>
    </w:p>
    <w:p w14:paraId="3E2EAC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6.11.1932 г. завод пущен в эксплуатацию, изготовлена первая автомобильная шина. В том же году началось производство катков для танка Т-26. В 1933 г. на заводе впервые в мире началось освоение синтетического каучука. С 1936 г. начат выпуск шин (7.00-16) для первого советского лимузина ГАЗ «М-1», с 1937 г. - шин 11.25- 20 для троллейбусов ЯТБ-3. В 1938 г. завод вышел на проектную мощность - 3.035.395 шин в год.</w:t>
      </w:r>
    </w:p>
    <w:p w14:paraId="1FA666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1936 г. на завод переведен </w:t>
      </w:r>
      <w:proofErr w:type="spellStart"/>
      <w:r w:rsidRPr="00A259BD">
        <w:rPr>
          <w:rFonts w:ascii="Times New Roman" w:hAnsi="Times New Roman"/>
          <w:color w:val="000000" w:themeColor="text1"/>
          <w:sz w:val="16"/>
          <w:szCs w:val="16"/>
        </w:rPr>
        <w:t>аэроцех</w:t>
      </w:r>
      <w:proofErr w:type="spellEnd"/>
      <w:r w:rsidRPr="00A259BD">
        <w:rPr>
          <w:rFonts w:ascii="Times New Roman" w:hAnsi="Times New Roman"/>
          <w:color w:val="000000" w:themeColor="text1"/>
          <w:sz w:val="16"/>
          <w:szCs w:val="16"/>
        </w:rPr>
        <w:t xml:space="preserve"> (по производству авиационных покрышек) с московского завода «Каучук». В 1940 г. ЯШЗ выделился из состава ЯРАК в самостоятельное предприятие.</w:t>
      </w:r>
    </w:p>
    <w:p w14:paraId="4DB200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пост. ГКО № 971 от 28.11.1941 г. ЯШЗ был эвакуирован. В соответствии с пост. ГКО № 1020 от 12.12.1941 г. о сохранении в Ярославле действующей мощности шинного завода он продолжил действовать на прежнем месте под № 736 (Завод № 736 НКРП, Ярославский шинный завод (ЯШЗ), ОАО «Ярославский Ордена Ленина и Ордена Октябрьской революции шинный завод» /150040  г. Ярославль ул. Советская, 81 тел. 30-54-43/).</w:t>
      </w:r>
    </w:p>
    <w:p w14:paraId="40C880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1941-42 г. был единственным шинным заводом в СССР. В годы войны- производство авиационных и автомобильных покрышек и камер, катков для танков, артиллерийских шин ГК с губчатым наполнителем, </w:t>
      </w:r>
      <w:proofErr w:type="spellStart"/>
      <w:r w:rsidRPr="00A259BD">
        <w:rPr>
          <w:rFonts w:ascii="Times New Roman" w:hAnsi="Times New Roman"/>
          <w:color w:val="000000" w:themeColor="text1"/>
          <w:sz w:val="16"/>
          <w:szCs w:val="16"/>
        </w:rPr>
        <w:t>протектирующих</w:t>
      </w:r>
      <w:proofErr w:type="spellEnd"/>
      <w:r w:rsidRPr="00A259BD">
        <w:rPr>
          <w:rFonts w:ascii="Times New Roman" w:hAnsi="Times New Roman"/>
          <w:color w:val="000000" w:themeColor="text1"/>
          <w:sz w:val="16"/>
          <w:szCs w:val="16"/>
        </w:rPr>
        <w:t xml:space="preserve"> материалов для бензобаков. В 06.1943 г. завод был сильно разрушен бомбежками (из 7 корпусов уцелел один), затем восстановлен. 24.06.1943 г. вышло постановление ГКО № 3643 о мерах неотложной помощи по восстановлению цехов завода; 13.07.1943 г. - постановление ГКО № 3737 о сроках восстановления завода. В соответствии с пост. ГКО № 4071 от 8.09.1943 г. на завод направлено 1000 работников. 6.03.1944 г. вышло распоряжение ГКО № 5325 о мерах по обеспечению производства автомобильных и специальных шин на заводе газовой сажей.</w:t>
      </w:r>
    </w:p>
    <w:p w14:paraId="66EF67E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 заводе в годы войны действовало КБ. В 1946 г. создано первое в СССР бюро конструирования авиационных шин. Завод стал головным в стране по разработке и производству авиационных шин.</w:t>
      </w:r>
    </w:p>
    <w:p w14:paraId="097230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1946-47 г. начаты работы по механизации производственных процессов, создание и освоение новых видов продукции. Впервые в стране осуществлена замена ручной стыковки автокамер механической на специальных стыковочных станках с помощью приспособлений Н.С. </w:t>
      </w:r>
      <w:proofErr w:type="spellStart"/>
      <w:r w:rsidRPr="00A259BD">
        <w:rPr>
          <w:rFonts w:ascii="Times New Roman" w:hAnsi="Times New Roman"/>
          <w:color w:val="000000" w:themeColor="text1"/>
          <w:sz w:val="16"/>
          <w:szCs w:val="16"/>
        </w:rPr>
        <w:t>Мишакова</w:t>
      </w:r>
      <w:proofErr w:type="spellEnd"/>
      <w:r w:rsidRPr="00A259BD">
        <w:rPr>
          <w:rFonts w:ascii="Times New Roman" w:hAnsi="Times New Roman"/>
          <w:color w:val="000000" w:themeColor="text1"/>
          <w:sz w:val="16"/>
          <w:szCs w:val="16"/>
        </w:rPr>
        <w:t xml:space="preserve"> и Б.И. Лапина.</w:t>
      </w:r>
    </w:p>
    <w:p w14:paraId="7CB138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1950-х  г. впервые в стране начат выпуск бескамерных шин для автомобилей «Победа», «Волга», «</w:t>
      </w:r>
      <w:proofErr w:type="spellStart"/>
      <w:r w:rsidRPr="00A259BD">
        <w:rPr>
          <w:rFonts w:ascii="Times New Roman" w:hAnsi="Times New Roman"/>
          <w:color w:val="000000" w:themeColor="text1"/>
          <w:sz w:val="16"/>
          <w:szCs w:val="16"/>
        </w:rPr>
        <w:t>ЗиМ</w:t>
      </w:r>
      <w:proofErr w:type="spellEnd"/>
      <w:r w:rsidRPr="00A259BD">
        <w:rPr>
          <w:rFonts w:ascii="Times New Roman" w:hAnsi="Times New Roman"/>
          <w:color w:val="000000" w:themeColor="text1"/>
          <w:sz w:val="16"/>
          <w:szCs w:val="16"/>
        </w:rPr>
        <w:t xml:space="preserve">». Освоены покрышки для 25-тонного грузовика МАЗ-525. С 1954 г.- производство шин для трактора «Беларусь», с 1958 г. - шины для автобуса ЗиЛ-58. С 1960 г. начат выпуск шин «РС» 7.50-20 для ГАЗ-51, в 1962 г. в связи с началом выпуска шин «Р» и «РС» начата реконструкция производства. В 1963 г. начат выпуск шин для тракторов Кировского, Харьковского и Белорусского заводов. С 1969 г. завод первым в стране начал выпуск шин для «Жигулей». В 1974 г. изготовлены эластичные поплавки для ВВА-14. В 1989 г. впервые в России выпущена опытная партия сверхпрочных </w:t>
      </w:r>
      <w:proofErr w:type="spellStart"/>
      <w:r w:rsidRPr="00A259BD">
        <w:rPr>
          <w:rFonts w:ascii="Times New Roman" w:hAnsi="Times New Roman"/>
          <w:color w:val="000000" w:themeColor="text1"/>
          <w:sz w:val="16"/>
          <w:szCs w:val="16"/>
        </w:rPr>
        <w:t>цельнометаллокордных</w:t>
      </w:r>
      <w:proofErr w:type="spellEnd"/>
      <w:r w:rsidRPr="00A259BD">
        <w:rPr>
          <w:rFonts w:ascii="Times New Roman" w:hAnsi="Times New Roman"/>
          <w:color w:val="000000" w:themeColor="text1"/>
          <w:sz w:val="16"/>
          <w:szCs w:val="16"/>
        </w:rPr>
        <w:t xml:space="preserve"> шин ЦМК (</w:t>
      </w:r>
      <w:proofErr w:type="spellStart"/>
      <w:r w:rsidRPr="00A259BD">
        <w:rPr>
          <w:rFonts w:ascii="Times New Roman" w:hAnsi="Times New Roman"/>
          <w:color w:val="000000" w:themeColor="text1"/>
          <w:sz w:val="16"/>
          <w:szCs w:val="16"/>
          <w:lang w:val="en-US"/>
        </w:rPr>
        <w:t>AllStill</w:t>
      </w:r>
      <w:proofErr w:type="spellEnd"/>
      <w:r w:rsidRPr="00A259BD">
        <w:rPr>
          <w:rFonts w:ascii="Times New Roman" w:hAnsi="Times New Roman"/>
          <w:color w:val="000000" w:themeColor="text1"/>
          <w:sz w:val="16"/>
          <w:szCs w:val="16"/>
        </w:rPr>
        <w:t>) для грузовых машин, в начале 1990-х  г. освоено их серийное производство.</w:t>
      </w:r>
    </w:p>
    <w:p w14:paraId="35CE84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1966 г. выпущена 100-миллионная шина, в 12.1981 г. - 200-миллионная.</w:t>
      </w:r>
    </w:p>
    <w:p w14:paraId="4EB02B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Генеральный разработчик (2002 г.) и основной отечественный производитель авиационных шин.</w:t>
      </w:r>
    </w:p>
    <w:p w14:paraId="577340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1996 г. завод преобразован в ОАО «ЯШЗ». Входил в холдинг ОАО «АК СИБУР» (2003 г.).</w:t>
      </w:r>
    </w:p>
    <w:p w14:paraId="7B7E01C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(ВОВ)- П.Ф. </w:t>
      </w:r>
      <w:proofErr w:type="spellStart"/>
      <w:r w:rsidRPr="00A259BD">
        <w:rPr>
          <w:rFonts w:ascii="Times New Roman" w:hAnsi="Times New Roman"/>
          <w:color w:val="000000" w:themeColor="text1"/>
          <w:sz w:val="16"/>
          <w:szCs w:val="16"/>
        </w:rPr>
        <w:t>Баденков</w:t>
      </w:r>
      <w:proofErr w:type="spellEnd"/>
      <w:r w:rsidRPr="00A259BD">
        <w:rPr>
          <w:rFonts w:ascii="Times New Roman" w:hAnsi="Times New Roman"/>
          <w:color w:val="000000" w:themeColor="text1"/>
          <w:sz w:val="16"/>
          <w:szCs w:val="16"/>
        </w:rPr>
        <w:t xml:space="preserve">. Гендиректор (1998-01.2003 г.)- Н.И. Тонкое, (17-31.01.2003 г.)- Ф. </w:t>
      </w:r>
      <w:proofErr w:type="spellStart"/>
      <w:r w:rsidRPr="00A259BD">
        <w:rPr>
          <w:rFonts w:ascii="Times New Roman" w:hAnsi="Times New Roman"/>
          <w:color w:val="000000" w:themeColor="text1"/>
          <w:sz w:val="16"/>
          <w:szCs w:val="16"/>
        </w:rPr>
        <w:t>Дзапшба</w:t>
      </w:r>
      <w:proofErr w:type="spellEnd"/>
      <w:r w:rsidRPr="00A259BD">
        <w:rPr>
          <w:rFonts w:ascii="Times New Roman" w:hAnsi="Times New Roman"/>
          <w:color w:val="000000" w:themeColor="text1"/>
          <w:sz w:val="16"/>
          <w:szCs w:val="16"/>
        </w:rPr>
        <w:t>; И.О. гендиректора (31.01-27.02.2003 г.)- А. Казаринов; (03-11.2003 г.-)- А. Андреев (до этого был гл. инженером «</w:t>
      </w:r>
      <w:proofErr w:type="spellStart"/>
      <w:r w:rsidRPr="00A259BD">
        <w:rPr>
          <w:rFonts w:ascii="Times New Roman" w:hAnsi="Times New Roman"/>
          <w:color w:val="000000" w:themeColor="text1"/>
          <w:sz w:val="16"/>
          <w:szCs w:val="16"/>
        </w:rPr>
        <w:t>Воронежшины</w:t>
      </w:r>
      <w:proofErr w:type="spellEnd"/>
      <w:r w:rsidRPr="00A259BD">
        <w:rPr>
          <w:rFonts w:ascii="Times New Roman" w:hAnsi="Times New Roman"/>
          <w:color w:val="000000" w:themeColor="text1"/>
          <w:sz w:val="16"/>
          <w:szCs w:val="16"/>
        </w:rPr>
        <w:t>»), (11.2003-05 г.-)- Д.В. Костыгин, (-2006-08 г.-)- В.Ю. Ионов.</w:t>
      </w:r>
    </w:p>
    <w:p w14:paraId="2C163D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1-й зам. гендиректора (-01.2003 г., 27.02.2003 г.-)- А. Казаринов.</w:t>
      </w:r>
    </w:p>
    <w:p w14:paraId="6C32EF2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по персоналу (2007 г.)- </w:t>
      </w:r>
      <w:r w:rsidRPr="00A259BD">
        <w:rPr>
          <w:rFonts w:ascii="Times New Roman" w:hAnsi="Times New Roman"/>
          <w:color w:val="000000" w:themeColor="text1"/>
          <w:sz w:val="16"/>
          <w:szCs w:val="16"/>
          <w:lang w:val="en-US"/>
        </w:rPr>
        <w:t>P</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P</w:t>
      </w:r>
      <w:r w:rsidRPr="00A259BD">
        <w:rPr>
          <w:rFonts w:ascii="Times New Roman" w:hAnsi="Times New Roman"/>
          <w:color w:val="000000" w:themeColor="text1"/>
          <w:sz w:val="16"/>
          <w:szCs w:val="16"/>
        </w:rPr>
        <w:t>. Музафаров.</w:t>
      </w:r>
    </w:p>
    <w:p w14:paraId="790E7E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Начальники отделов: АСУ (2007 г.)- М. Г. Потапова; рекламы (2002 г.)- А.Н. Петушкова.</w:t>
      </w:r>
      <w:r w:rsidRPr="00A259BD">
        <w:rPr>
          <w:rFonts w:ascii="Times New Roman" w:hAnsi="Times New Roman"/>
          <w:color w:val="000000" w:themeColor="text1"/>
          <w:sz w:val="16"/>
          <w:szCs w:val="16"/>
          <w:vertAlign w:val="superscript"/>
        </w:rPr>
        <w:t>101</w:t>
      </w:r>
    </w:p>
    <w:p w14:paraId="3C0FE1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КБ ЯШЗ</w:t>
      </w:r>
    </w:p>
    <w:p w14:paraId="48425F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годы войны усовершенствована конструкция танкового катка.</w:t>
      </w:r>
    </w:p>
    <w:p w14:paraId="35566A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1946 г. создано первое в СССР бюро конструирования авиационных шин, которое с тех пор стало единственным разработчиком в стране.</w:t>
      </w:r>
    </w:p>
    <w:p w14:paraId="4F4FB2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Впервые в стране создана конструкция бескамерной арочной шины для ЗиЛ-150. В конце 1950-х  г. с использованием опыта и оборудования итальянской фирмы «Пирелли» создана принципиально новая конструкция покрышек с радиально расположенными нитями корда типа «Р», затем создана радиальная шина со съемным протектором «РС».</w:t>
      </w:r>
    </w:p>
    <w:p w14:paraId="3F7714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конструктор (ВОВ-50-е  г.)- П.А. Шаркевич.</w:t>
      </w:r>
      <w:r w:rsidRPr="00A259BD">
        <w:rPr>
          <w:rFonts w:ascii="Times New Roman" w:hAnsi="Times New Roman"/>
          <w:color w:val="000000" w:themeColor="text1"/>
          <w:sz w:val="16"/>
          <w:szCs w:val="16"/>
          <w:vertAlign w:val="superscript"/>
        </w:rPr>
        <w:t>101</w:t>
      </w:r>
    </w:p>
    <w:p w14:paraId="565B44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Создано: шины:</w:t>
      </w:r>
      <w:r w:rsidRPr="00A259BD">
        <w:rPr>
          <w:rFonts w:ascii="Times New Roman" w:hAnsi="Times New Roman"/>
          <w:color w:val="000000" w:themeColor="text1"/>
          <w:sz w:val="16"/>
          <w:szCs w:val="16"/>
        </w:rPr>
        <w:t xml:space="preserve"> авиапокрышки с армированным протектором; бескамерные, арочные низкого давления для ЗиЛ-150, для автобуса ЗиЛ-58 с расчленением рисунка протектора (1958), радиальные типа «Р», грузовые со съемным протектором «РС».</w:t>
      </w:r>
    </w:p>
    <w:p w14:paraId="065FCAF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Ярославский </w:t>
      </w:r>
      <w:proofErr w:type="spellStart"/>
      <w:r w:rsidRPr="00A259BD">
        <w:rPr>
          <w:rFonts w:ascii="Times New Roman" w:hAnsi="Times New Roman"/>
          <w:color w:val="000000" w:themeColor="text1"/>
          <w:sz w:val="16"/>
          <w:szCs w:val="16"/>
        </w:rPr>
        <w:t>резино</w:t>
      </w:r>
      <w:proofErr w:type="spellEnd"/>
      <w:r w:rsidRPr="00A259BD">
        <w:rPr>
          <w:rFonts w:ascii="Times New Roman" w:hAnsi="Times New Roman"/>
          <w:color w:val="000000" w:themeColor="text1"/>
          <w:sz w:val="16"/>
          <w:szCs w:val="16"/>
        </w:rPr>
        <w:t>-асбестовый комбинат (ЯРАК) ВСНХ, НКТП /г. Ярославль/</w:t>
      </w:r>
    </w:p>
    <w:p w14:paraId="23F9AE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1928 г. принято постановление ВСНХ о строительстве ЯРАК в составе шинного, асбестового, механического и регенераторного заводов, кордной фабрики и теплоцентрали. В 1929 г. с американской фирмой «</w:t>
      </w:r>
      <w:proofErr w:type="spellStart"/>
      <w:r w:rsidRPr="00A259BD">
        <w:rPr>
          <w:rFonts w:ascii="Times New Roman" w:hAnsi="Times New Roman"/>
          <w:color w:val="000000" w:themeColor="text1"/>
          <w:sz w:val="16"/>
          <w:szCs w:val="16"/>
        </w:rPr>
        <w:t>Зайберлинг</w:t>
      </w:r>
      <w:proofErr w:type="spellEnd"/>
      <w:r w:rsidRPr="00A259BD">
        <w:rPr>
          <w:rFonts w:ascii="Times New Roman" w:hAnsi="Times New Roman"/>
          <w:color w:val="000000" w:themeColor="text1"/>
          <w:sz w:val="16"/>
          <w:szCs w:val="16"/>
        </w:rPr>
        <w:t>» заключен договор на разработку проекта шинного завода мощностью 9 шин в минуту и оказание технической помощи в строительстве и пуске.</w:t>
      </w:r>
    </w:p>
    <w:p w14:paraId="3C9750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1931 г. введен в строй ремонтно-механический завод комбината (далее - ЗАО «</w:t>
      </w:r>
      <w:proofErr w:type="spellStart"/>
      <w:r w:rsidRPr="00A259BD">
        <w:rPr>
          <w:rFonts w:ascii="Times New Roman" w:hAnsi="Times New Roman"/>
          <w:color w:val="000000" w:themeColor="text1"/>
          <w:sz w:val="16"/>
          <w:szCs w:val="16"/>
        </w:rPr>
        <w:t>Ярполимермаш</w:t>
      </w:r>
      <w:proofErr w:type="spellEnd"/>
      <w:r w:rsidRPr="00A259BD">
        <w:rPr>
          <w:rFonts w:ascii="Times New Roman" w:hAnsi="Times New Roman"/>
          <w:color w:val="000000" w:themeColor="text1"/>
          <w:sz w:val="16"/>
          <w:szCs w:val="16"/>
        </w:rPr>
        <w:t>-Татнефть», см. завод № 739 НКРП).</w:t>
      </w:r>
    </w:p>
    <w:p w14:paraId="1405F8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16.09.1932 г. в составе ЯРАК вступил в строй подошвенный завод (первый из группы </w:t>
      </w:r>
      <w:proofErr w:type="spellStart"/>
      <w:r w:rsidRPr="00A259BD">
        <w:rPr>
          <w:rFonts w:ascii="Times New Roman" w:hAnsi="Times New Roman"/>
          <w:color w:val="000000" w:themeColor="text1"/>
          <w:sz w:val="16"/>
          <w:szCs w:val="16"/>
        </w:rPr>
        <w:t>резинообрабатывающих</w:t>
      </w:r>
      <w:proofErr w:type="spellEnd"/>
      <w:r w:rsidRPr="00A259BD">
        <w:rPr>
          <w:rFonts w:ascii="Times New Roman" w:hAnsi="Times New Roman"/>
          <w:color w:val="000000" w:themeColor="text1"/>
          <w:sz w:val="16"/>
          <w:szCs w:val="16"/>
        </w:rPr>
        <w:t xml:space="preserve"> заводов комбината; далее - Ярославский завод РТИ, см. завод № 739 НКРП).</w:t>
      </w:r>
    </w:p>
    <w:p w14:paraId="44281F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06.1937 г. комбинат - в ведении НКТП. В 1940 г. ЯРАК разукрупнен, из его состава выделился в самостоятельное предприятие ЯШЗ. В 1948 г. регенераторный завод включен в состав Ярославского завода РТИ в качестве цеха.</w:t>
      </w:r>
    </w:p>
    <w:p w14:paraId="52542C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Ярославский асбестовый завод</w:t>
      </w:r>
    </w:p>
    <w:p w14:paraId="02347A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пост. ГКО № 1697 от 4.05.1942 г. эвакуированное оборудование возвращено на завод.</w:t>
      </w:r>
    </w:p>
    <w:p w14:paraId="325A31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Ярославская кордная фабрика</w:t>
      </w:r>
    </w:p>
    <w:p w14:paraId="492BA9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1944 г. - производство корда (11982).</w:t>
      </w:r>
    </w:p>
    <w:p w14:paraId="2B1ACADE" w14:textId="77777777" w:rsidR="003B366D" w:rsidRPr="00A259BD" w:rsidRDefault="003B366D" w:rsidP="009236E3">
      <w:pPr>
        <w:autoSpaceDE w:val="0"/>
        <w:autoSpaceDN w:val="0"/>
        <w:adjustRightInd w:val="0"/>
        <w:spacing w:after="0" w:line="240" w:lineRule="auto"/>
        <w:jc w:val="both"/>
        <w:rPr>
          <w:rFonts w:ascii="Times New Roman" w:hAnsi="Times New Roman"/>
          <w:color w:val="000000" w:themeColor="text1"/>
          <w:sz w:val="16"/>
          <w:szCs w:val="16"/>
        </w:rPr>
      </w:pPr>
    </w:p>
    <w:p w14:paraId="3DE564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по решению советского правительства создается транспортно-индустриальный комбинат "</w:t>
      </w:r>
      <w:proofErr w:type="spellStart"/>
      <w:r w:rsidRPr="00A259BD">
        <w:rPr>
          <w:rFonts w:ascii="Times New Roman" w:hAnsi="Times New Roman"/>
          <w:color w:val="000000" w:themeColor="text1"/>
          <w:sz w:val="16"/>
          <w:szCs w:val="16"/>
        </w:rPr>
        <w:t>Комсеверпуть</w:t>
      </w:r>
      <w:proofErr w:type="spellEnd"/>
      <w:r w:rsidRPr="00A259BD">
        <w:rPr>
          <w:rFonts w:ascii="Times New Roman" w:hAnsi="Times New Roman"/>
          <w:color w:val="000000" w:themeColor="text1"/>
          <w:sz w:val="16"/>
          <w:szCs w:val="16"/>
        </w:rPr>
        <w:t>". Этой организации поручается обеспечение регулярного морского сообщения с реками Западной Сибири - Обью и Енисеем, создание в бассейнах рек промышленных центров и развитие инфраструктуры для освоения богатств Сибири. Дальнейшее сообщение с миром предполагалось осуществлять по Северному морскому пути, то есть вдоль северного побережья Советского Союза.</w:t>
      </w:r>
    </w:p>
    <w:p w14:paraId="243ABE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Для разрешения проблем освоения Северного морского пути, но в первую очередь для вывоза русского леса, основали так называемые Карские экспедиции, ежегодно проводящие советские и иностранные суда в устья сибирских рек и обратно. Для авиации с этого момента первой и наиважнейшей задачей становилась ледовая разведка северных морей с целью определения наиболее благоприятных маршрутов выхода в чистую воду, свободную ото льда.</w:t>
      </w:r>
    </w:p>
    <w:p w14:paraId="7CA089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1928 г. в Карской экспедиции участвовало 8 пароходов. Сложная ледовая обстановка показала острейшую необходимость использования авиации. В 1929 г. количество судов возросло до 26 единиц, и возможность проводки такой крупной флотилии в одну навигацию, встретила весьма скептическое отношение к ее благоприятному исполнению. Поэтому экспедицию решили обеспечить не только мощными ледоколами, но и самолетом-разведчиком. Этим самолетом стала летающая лодка Дорнье "Валь", получившая название "Комсеверпуть-1". Экипаж составили из опытных и знаменитых авиаторов - участников спасения экипажа дирижабля "Италия" </w:t>
      </w:r>
      <w:proofErr w:type="spellStart"/>
      <w:r w:rsidRPr="00A259BD">
        <w:rPr>
          <w:rFonts w:ascii="Times New Roman" w:hAnsi="Times New Roman"/>
          <w:color w:val="000000" w:themeColor="text1"/>
          <w:sz w:val="16"/>
          <w:szCs w:val="16"/>
        </w:rPr>
        <w:t>Чухновского</w:t>
      </w:r>
      <w:proofErr w:type="spellEnd"/>
      <w:r w:rsidRPr="00A259BD">
        <w:rPr>
          <w:rFonts w:ascii="Times New Roman" w:hAnsi="Times New Roman"/>
          <w:color w:val="000000" w:themeColor="text1"/>
          <w:sz w:val="16"/>
          <w:szCs w:val="16"/>
        </w:rPr>
        <w:t xml:space="preserve">, Алексеева, </w:t>
      </w:r>
      <w:proofErr w:type="spellStart"/>
      <w:r w:rsidRPr="00A259BD">
        <w:rPr>
          <w:rFonts w:ascii="Times New Roman" w:hAnsi="Times New Roman"/>
          <w:color w:val="000000" w:themeColor="text1"/>
          <w:sz w:val="16"/>
          <w:szCs w:val="16"/>
        </w:rPr>
        <w:t>Страубэ</w:t>
      </w:r>
      <w:proofErr w:type="spellEnd"/>
      <w:r w:rsidRPr="00A259BD">
        <w:rPr>
          <w:rFonts w:ascii="Times New Roman" w:hAnsi="Times New Roman"/>
          <w:color w:val="000000" w:themeColor="text1"/>
          <w:sz w:val="16"/>
          <w:szCs w:val="16"/>
        </w:rPr>
        <w:t xml:space="preserve"> и </w:t>
      </w:r>
      <w:proofErr w:type="spellStart"/>
      <w:r w:rsidRPr="00A259BD">
        <w:rPr>
          <w:rFonts w:ascii="Times New Roman" w:hAnsi="Times New Roman"/>
          <w:color w:val="000000" w:themeColor="text1"/>
          <w:sz w:val="16"/>
          <w:szCs w:val="16"/>
        </w:rPr>
        <w:t>Шелагина</w:t>
      </w:r>
      <w:proofErr w:type="spellEnd"/>
      <w:r w:rsidRPr="00A259BD">
        <w:rPr>
          <w:rFonts w:ascii="Times New Roman" w:hAnsi="Times New Roman"/>
          <w:color w:val="000000" w:themeColor="text1"/>
          <w:sz w:val="16"/>
          <w:szCs w:val="16"/>
        </w:rPr>
        <w:t>.</w:t>
      </w:r>
    </w:p>
    <w:p w14:paraId="35CA58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Использование Дорнье "Валь" в сочетании с ледоколом-лидером "Красин" показало, что ценность воздушной разведки необычайно высока и только при наличии самолета обеспечивается надежность проводки большой группы судов. Одновременно прояснилось множество вопросов, касающихся оснащения и оборудования самолета для обеспечения надежной и бесперебойной его работы. Выяснилось, в частности, что необходимо иметь минимум два работающих самолета и третий, находящийся в резерве.</w:t>
      </w:r>
    </w:p>
    <w:p w14:paraId="2EC4CF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Именно поэтому зимой 1930 г. в Германии срочно заказали два новых Дорнье "Валь", которые приступили к эксплуатации в навигацию того же года. Ледовую разведку на этот раз обеспечили полностью. Успешно провели суда, а затем задействовали самолеты для нужд промышленности и хозяйства на материке. В условиях сплошной непроходимой тайги и болотистой тундры о сухопутных аэродромах тогда приходилось только мечтать. Именно поэтому для полетов в летнее время на севере наиболее подходили гидросамолеты, которые для посадки могли использовать огромное количество имеющихся здесь рек и озер. В дальнейшем те же гидросамолеты до наступления ледовых разведок (обычно в августе) стали использовать для выполнения столь необходимых транспортных полетов, доставки специалистов, срочных грузов и снаряжения (11970).</w:t>
      </w:r>
    </w:p>
    <w:p w14:paraId="4F5A64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C5E9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АУ РККА заключило договор с группой военных инженеров НИИ ВВС и выдало тактико-технические требования на разработку авиабомб в соответствии с новыми планами. </w:t>
      </w:r>
      <w:proofErr w:type="spellStart"/>
      <w:r w:rsidRPr="00A259BD">
        <w:rPr>
          <w:rFonts w:ascii="Times New Roman" w:hAnsi="Times New Roman"/>
          <w:color w:val="000000" w:themeColor="text1"/>
          <w:sz w:val="16"/>
          <w:szCs w:val="16"/>
        </w:rPr>
        <w:t>А.Ф.Турахин</w:t>
      </w:r>
      <w:proofErr w:type="spellEnd"/>
      <w:r w:rsidRPr="00A259BD">
        <w:rPr>
          <w:rFonts w:ascii="Times New Roman" w:hAnsi="Times New Roman"/>
          <w:color w:val="000000" w:themeColor="text1"/>
          <w:sz w:val="16"/>
          <w:szCs w:val="16"/>
        </w:rPr>
        <w:t xml:space="preserve"> взялся сконструировать ФАБ-50, </w:t>
      </w:r>
      <w:proofErr w:type="spellStart"/>
      <w:r w:rsidRPr="00A259BD">
        <w:rPr>
          <w:rFonts w:ascii="Times New Roman" w:hAnsi="Times New Roman"/>
          <w:color w:val="000000" w:themeColor="text1"/>
          <w:sz w:val="16"/>
          <w:szCs w:val="16"/>
        </w:rPr>
        <w:t>В.И.Сассапарель</w:t>
      </w:r>
      <w:proofErr w:type="spellEnd"/>
      <w:r w:rsidRPr="00A259BD">
        <w:rPr>
          <w:rFonts w:ascii="Times New Roman" w:hAnsi="Times New Roman"/>
          <w:color w:val="000000" w:themeColor="text1"/>
          <w:sz w:val="16"/>
          <w:szCs w:val="16"/>
        </w:rPr>
        <w:t xml:space="preserve"> - ФАБ-100, а оба вместе - ФАБ-1000 и ФАБ-2000. </w:t>
      </w:r>
      <w:proofErr w:type="spellStart"/>
      <w:r w:rsidRPr="00A259BD">
        <w:rPr>
          <w:rFonts w:ascii="Times New Roman" w:hAnsi="Times New Roman"/>
          <w:color w:val="000000" w:themeColor="text1"/>
          <w:sz w:val="16"/>
          <w:szCs w:val="16"/>
        </w:rPr>
        <w:t>А.А.Дзержкович</w:t>
      </w:r>
      <w:proofErr w:type="spellEnd"/>
      <w:r w:rsidRPr="00A259BD">
        <w:rPr>
          <w:rFonts w:ascii="Times New Roman" w:hAnsi="Times New Roman"/>
          <w:color w:val="000000" w:themeColor="text1"/>
          <w:sz w:val="16"/>
          <w:szCs w:val="16"/>
        </w:rPr>
        <w:t xml:space="preserve"> начал работу над ФАБ-250 и ФАБ-500, а </w:t>
      </w:r>
      <w:proofErr w:type="spellStart"/>
      <w:r w:rsidRPr="00A259BD">
        <w:rPr>
          <w:rFonts w:ascii="Times New Roman" w:hAnsi="Times New Roman"/>
          <w:color w:val="000000" w:themeColor="text1"/>
          <w:sz w:val="16"/>
          <w:szCs w:val="16"/>
        </w:rPr>
        <w:t>В.И.Бекаури</w:t>
      </w:r>
      <w:proofErr w:type="spellEnd"/>
      <w:r w:rsidRPr="00A259BD">
        <w:rPr>
          <w:rFonts w:ascii="Times New Roman" w:hAnsi="Times New Roman"/>
          <w:color w:val="000000" w:themeColor="text1"/>
          <w:sz w:val="16"/>
          <w:szCs w:val="16"/>
        </w:rPr>
        <w:t xml:space="preserve"> - над серией бронебойных авиабомб (7453).</w:t>
      </w:r>
    </w:p>
    <w:p w14:paraId="18A59B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459EF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Артиллерийское управление РККА, отвечавшее и за авиабомбы, подготовило документ под названием "Номенклатурный перечень авиабомб, необходимый для вооружения ВВС". Им уже предусматривались фугасные бомбы весом от 100 до 1000 кг и специальные бронебойные в 220 кг, 500 кг и 1000 кг. Перечень явно писался с расчетом на перспективу, поскольку подходящих самолетов-носите- лей для боеприпасов в тонну у нашей авиации еще не было. В том же году началась работа над новыми типами бомб. По собственной инициативе конструкторы дополнили предусмотренный ряд двухтонной фугасной бомбой. К 1931 г. ВВС РККА получили первые бомбы ФАБ-100, ФАБ-250, ФАБ- 500 и ФАБ-1000. Через год их производство было налажено, а выпуск АФ-82 прекратили. Четырехмоторные ТБ-3 уже получили возможность нести весь этот ассортимент. Самая большая бомба, ФАБ- 1000 (она же АФ-1000), подвешивалась снаружи под фюзеляжем. На полигонных испытаниях под Балаклавой такую бомбу сбросили на бетонный каземат с потолком толщиной больше полутора метров. Взрыв попросту сдвинул всю верхнюю часть строения. ФАБ-1000 давала воронку диаметром 17 м и глубиной 4 м. Но основным оружием для ТБ-3 считались "сотки", два десятка которых он нес на кассетных держателях в фюзеляже (12036).</w:t>
      </w:r>
    </w:p>
    <w:p w14:paraId="2953C5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DBB86C7" w14:textId="77777777" w:rsidR="00154248" w:rsidRPr="00A259BD" w:rsidRDefault="0015424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году по указанию Реввоенсовета Главное артиллерийское управление (ГАУ) составило номенклатуру авиабомб, необходимую для ВВС РККА. Она включала следующие бомбы:</w:t>
      </w:r>
    </w:p>
    <w:p w14:paraId="6E2E27DA" w14:textId="77777777" w:rsidR="00154248" w:rsidRPr="00A259BD" w:rsidRDefault="0015424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фугасные – 50, 100, 250, 500, 1000, 2000 кг;</w:t>
      </w:r>
    </w:p>
    <w:p w14:paraId="7BBBD2CC" w14:textId="77777777" w:rsidR="00154248" w:rsidRPr="00A259BD" w:rsidRDefault="0015424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осколочные – 2,5, 10, 25 кг;</w:t>
      </w:r>
    </w:p>
    <w:p w14:paraId="6F92DF02" w14:textId="77777777" w:rsidR="00154248" w:rsidRPr="00A259BD" w:rsidRDefault="0015424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зажигательные – 1, 10, 50 кг;</w:t>
      </w:r>
    </w:p>
    <w:p w14:paraId="70823627" w14:textId="77777777" w:rsidR="00154248" w:rsidRPr="00A259BD" w:rsidRDefault="0015424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бронебойные – 220, 500, 1000 кг.</w:t>
      </w:r>
    </w:p>
    <w:p w14:paraId="4E645BB2" w14:textId="77777777" w:rsidR="00154248" w:rsidRPr="00A259BD" w:rsidRDefault="0015424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Одновременно ГАУ заключило договора с группой военных инженеров НИИ ВВС РККА на проектирование бомб новой системы и выдало технические требования.</w:t>
      </w:r>
    </w:p>
    <w:p w14:paraId="7B1E9A4C" w14:textId="77777777" w:rsidR="00154248" w:rsidRPr="00A259BD" w:rsidRDefault="0015424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соответствии с договорами ФАБ-50 разрабатывал А.Ф. </w:t>
      </w:r>
      <w:proofErr w:type="spellStart"/>
      <w:r w:rsidRPr="00A259BD">
        <w:rPr>
          <w:rFonts w:ascii="Times New Roman" w:hAnsi="Times New Roman"/>
          <w:color w:val="000000" w:themeColor="text1"/>
          <w:sz w:val="16"/>
          <w:szCs w:val="16"/>
        </w:rPr>
        <w:t>Турахин</w:t>
      </w:r>
      <w:proofErr w:type="spellEnd"/>
      <w:r w:rsidRPr="00A259BD">
        <w:rPr>
          <w:rFonts w:ascii="Times New Roman" w:hAnsi="Times New Roman"/>
          <w:color w:val="000000" w:themeColor="text1"/>
          <w:sz w:val="16"/>
          <w:szCs w:val="16"/>
        </w:rPr>
        <w:t xml:space="preserve">, ФАБ-100 – В.И. Сассапарель, ФАБ-250 и ФАБ-500 – А.А. </w:t>
      </w:r>
      <w:proofErr w:type="spellStart"/>
      <w:r w:rsidRPr="00A259BD">
        <w:rPr>
          <w:rFonts w:ascii="Times New Roman" w:hAnsi="Times New Roman"/>
          <w:color w:val="000000" w:themeColor="text1"/>
          <w:sz w:val="16"/>
          <w:szCs w:val="16"/>
        </w:rPr>
        <w:t>Дзержкович</w:t>
      </w:r>
      <w:proofErr w:type="spellEnd"/>
      <w:r w:rsidRPr="00A259BD">
        <w:rPr>
          <w:rFonts w:ascii="Times New Roman" w:hAnsi="Times New Roman"/>
          <w:color w:val="000000" w:themeColor="text1"/>
          <w:sz w:val="16"/>
          <w:szCs w:val="16"/>
        </w:rPr>
        <w:t xml:space="preserve">, ФАБ-1000 и ФАБ-2000 – вместе А.Ф. </w:t>
      </w:r>
      <w:proofErr w:type="spellStart"/>
      <w:r w:rsidRPr="00A259BD">
        <w:rPr>
          <w:rFonts w:ascii="Times New Roman" w:hAnsi="Times New Roman"/>
          <w:color w:val="000000" w:themeColor="text1"/>
          <w:sz w:val="16"/>
          <w:szCs w:val="16"/>
        </w:rPr>
        <w:t>Турахин</w:t>
      </w:r>
      <w:proofErr w:type="spellEnd"/>
      <w:r w:rsidRPr="00A259BD">
        <w:rPr>
          <w:rFonts w:ascii="Times New Roman" w:hAnsi="Times New Roman"/>
          <w:color w:val="000000" w:themeColor="text1"/>
          <w:sz w:val="16"/>
          <w:szCs w:val="16"/>
        </w:rPr>
        <w:t xml:space="preserve"> и В.И. Сассапарель.</w:t>
      </w:r>
    </w:p>
    <w:p w14:paraId="60123F42" w14:textId="77777777" w:rsidR="00154248" w:rsidRPr="00A259BD" w:rsidRDefault="0015424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Бронебойные авиабомбы было поручено делать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под руковод </w:t>
      </w:r>
      <w:proofErr w:type="spellStart"/>
      <w:r w:rsidRPr="00A259BD">
        <w:rPr>
          <w:rFonts w:ascii="Times New Roman" w:hAnsi="Times New Roman"/>
          <w:color w:val="000000" w:themeColor="text1"/>
          <w:sz w:val="16"/>
          <w:szCs w:val="16"/>
        </w:rPr>
        <w:t>ством</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В.И.Бекаури</w:t>
      </w:r>
      <w:proofErr w:type="spellEnd"/>
      <w:r w:rsidRPr="00A259BD">
        <w:rPr>
          <w:rFonts w:ascii="Times New Roman" w:hAnsi="Times New Roman"/>
          <w:color w:val="000000" w:themeColor="text1"/>
          <w:sz w:val="16"/>
          <w:szCs w:val="16"/>
        </w:rPr>
        <w:t xml:space="preserve"> в г. Ленинграде, там же разрабатывался один из вариантов ФАБ-1000.</w:t>
      </w:r>
    </w:p>
    <w:p w14:paraId="3711A550" w14:textId="77777777" w:rsidR="00154248" w:rsidRPr="00A259BD" w:rsidRDefault="0015424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Однако усилия конструкторов-одиночек в разработке отдельных видов военной техники могли иметь лишь ограниченный успех, но не могли обеспечить армию всеми необходимыми видами вооружения и боеприпасов (15794).</w:t>
      </w:r>
    </w:p>
    <w:p w14:paraId="3AFFBBD7" w14:textId="77777777" w:rsidR="00154248" w:rsidRPr="00A259BD" w:rsidRDefault="00154248" w:rsidP="009236E3">
      <w:pPr>
        <w:spacing w:after="0" w:line="240" w:lineRule="auto"/>
        <w:jc w:val="both"/>
        <w:rPr>
          <w:rFonts w:ascii="Times New Roman" w:hAnsi="Times New Roman"/>
          <w:color w:val="000000" w:themeColor="text1"/>
          <w:sz w:val="16"/>
          <w:szCs w:val="16"/>
        </w:rPr>
      </w:pPr>
    </w:p>
    <w:p w14:paraId="7FD5EF6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впервые провели испытания стеклянных шаров со сбросом с самолета.</w:t>
      </w:r>
    </w:p>
    <w:p w14:paraId="4D4E73D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Ампула наполнена раствором отравляющего вещества и имеет непрочный корпус. Он достаточно прочен, чтобы не лопнуть при хранении или в полете и обеспечивает герметичность содержимого, чтобы обслуживающий персонал и экипаж самолета не отравились сами, но при ударе о землю разбивается. Ядовитая жидкость испаряется, создавая пятно с опасной концентрацией.</w:t>
      </w:r>
    </w:p>
    <w:p w14:paraId="55BF2A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Отравляющее вещество в ампулах не испарялось при падении, сами они не так сильно сносились ветром, что обеспечивало кучность поражения. Применение ампул позволяло существенно увеличить высоту химического нападения и уменьшить риск для самолетов и их экипажей.</w:t>
      </w:r>
    </w:p>
    <w:p w14:paraId="21CD00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Первыми появились стеклянные шаровые ампулы. Им точно не требовались взрыватели, стекло обеспечивало высокую химическую стойкость, то есть возможность длительного хранения в заправленном состоянии.</w:t>
      </w:r>
    </w:p>
    <w:p w14:paraId="50A795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Работу над стеклянными ампулами под кодовым названием "Бусы" начали еще в конце 20-х годов (12043).</w:t>
      </w:r>
    </w:p>
    <w:p w14:paraId="482F64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D401BBC" w14:textId="77777777" w:rsidR="00154248" w:rsidRPr="00A259BD" w:rsidRDefault="00154248" w:rsidP="009236E3">
      <w:pPr>
        <w:pStyle w:val="a3"/>
        <w:rPr>
          <w:color w:val="000000" w:themeColor="text1"/>
          <w:lang w:val="ru-RU"/>
        </w:rPr>
      </w:pPr>
      <w:r w:rsidRPr="00A259BD">
        <w:rPr>
          <w:color w:val="000000" w:themeColor="text1"/>
          <w:lang w:val="ru-RU"/>
        </w:rPr>
        <w:t>В 1929 г. услу</w:t>
      </w:r>
      <w:r w:rsidRPr="00A259BD">
        <w:rPr>
          <w:color w:val="000000" w:themeColor="text1"/>
          <w:lang w:val="ru-RU"/>
        </w:rPr>
        <w:softHyphen/>
      </w:r>
      <w:r w:rsidRPr="00A259BD">
        <w:rPr>
          <w:rStyle w:val="283"/>
          <w:rFonts w:ascii="Times New Roman" w:hAnsi="Times New Roman" w:cs="Times New Roman"/>
          <w:b w:val="0"/>
          <w:color w:val="000000" w:themeColor="text1"/>
          <w:sz w:val="16"/>
          <w:szCs w:val="16"/>
          <w:lang w:val="ru-RU"/>
        </w:rPr>
        <w:t>гами</w:t>
      </w:r>
      <w:r w:rsidRPr="00A259BD">
        <w:rPr>
          <w:color w:val="000000" w:themeColor="text1"/>
          <w:lang w:val="ru-RU"/>
        </w:rPr>
        <w:t xml:space="preserve"> воздушного транспорта за ру</w:t>
      </w:r>
      <w:r w:rsidRPr="00A259BD">
        <w:rPr>
          <w:color w:val="000000" w:themeColor="text1"/>
          <w:lang w:val="ru-RU"/>
        </w:rPr>
        <w:softHyphen/>
      </w:r>
      <w:r w:rsidRPr="00A259BD">
        <w:rPr>
          <w:rStyle w:val="283"/>
          <w:rFonts w:ascii="Times New Roman" w:hAnsi="Times New Roman" w:cs="Times New Roman"/>
          <w:b w:val="0"/>
          <w:color w:val="000000" w:themeColor="text1"/>
          <w:sz w:val="16"/>
          <w:szCs w:val="16"/>
          <w:lang w:val="ru-RU"/>
        </w:rPr>
        <w:t>бежом</w:t>
      </w:r>
      <w:r w:rsidRPr="00A259BD">
        <w:rPr>
          <w:color w:val="000000" w:themeColor="text1"/>
          <w:lang w:val="ru-RU"/>
        </w:rPr>
        <w:t xml:space="preserve"> воспользовалось 434 тысячи пассажиров. Совершенно иная картина </w:t>
      </w:r>
      <w:r w:rsidRPr="00A259BD">
        <w:rPr>
          <w:rStyle w:val="283"/>
          <w:rFonts w:ascii="Times New Roman" w:hAnsi="Times New Roman" w:cs="Times New Roman"/>
          <w:b w:val="0"/>
          <w:color w:val="000000" w:themeColor="text1"/>
          <w:sz w:val="16"/>
          <w:szCs w:val="16"/>
          <w:lang w:val="ru-RU"/>
        </w:rPr>
        <w:t>сложилась</w:t>
      </w:r>
      <w:r w:rsidRPr="00A259BD">
        <w:rPr>
          <w:color w:val="000000" w:themeColor="text1"/>
          <w:lang w:val="ru-RU"/>
        </w:rPr>
        <w:t xml:space="preserve"> в СССР. Гражданская война </w:t>
      </w:r>
      <w:r w:rsidRPr="00A259BD">
        <w:rPr>
          <w:rStyle w:val="283"/>
          <w:rFonts w:ascii="Times New Roman" w:hAnsi="Times New Roman" w:cs="Times New Roman"/>
          <w:b w:val="0"/>
          <w:color w:val="000000" w:themeColor="text1"/>
          <w:sz w:val="16"/>
          <w:szCs w:val="16"/>
          <w:lang w:val="ru-RU"/>
        </w:rPr>
        <w:t>и</w:t>
      </w:r>
      <w:r w:rsidRPr="00A259BD">
        <w:rPr>
          <w:color w:val="000000" w:themeColor="text1"/>
          <w:lang w:val="ru-RU"/>
        </w:rPr>
        <w:t xml:space="preserve"> последовавшая за ней разруха задер</w:t>
      </w:r>
      <w:r w:rsidRPr="00A259BD">
        <w:rPr>
          <w:color w:val="000000" w:themeColor="text1"/>
          <w:lang w:val="ru-RU"/>
        </w:rPr>
        <w:softHyphen/>
      </w:r>
      <w:r w:rsidRPr="00A259BD">
        <w:rPr>
          <w:rStyle w:val="283"/>
          <w:rFonts w:ascii="Times New Roman" w:hAnsi="Times New Roman" w:cs="Times New Roman"/>
          <w:b w:val="0"/>
          <w:color w:val="000000" w:themeColor="text1"/>
          <w:sz w:val="16"/>
          <w:szCs w:val="16"/>
          <w:lang w:val="ru-RU"/>
        </w:rPr>
        <w:t>жали</w:t>
      </w:r>
      <w:r w:rsidRPr="00A259BD">
        <w:rPr>
          <w:color w:val="000000" w:themeColor="text1"/>
          <w:lang w:val="ru-RU"/>
        </w:rPr>
        <w:t xml:space="preserve"> развитие авиации. Первая регу</w:t>
      </w:r>
      <w:r w:rsidRPr="00A259BD">
        <w:rPr>
          <w:color w:val="000000" w:themeColor="text1"/>
          <w:lang w:val="ru-RU"/>
        </w:rPr>
        <w:softHyphen/>
      </w:r>
      <w:r w:rsidRPr="00A259BD">
        <w:rPr>
          <w:rStyle w:val="283"/>
          <w:rFonts w:ascii="Times New Roman" w:hAnsi="Times New Roman" w:cs="Times New Roman"/>
          <w:b w:val="0"/>
          <w:color w:val="000000" w:themeColor="text1"/>
          <w:sz w:val="16"/>
          <w:szCs w:val="16"/>
          <w:lang w:val="ru-RU"/>
        </w:rPr>
        <w:t>лярная</w:t>
      </w:r>
      <w:r w:rsidRPr="00A259BD">
        <w:rPr>
          <w:color w:val="000000" w:themeColor="text1"/>
          <w:lang w:val="ru-RU"/>
        </w:rPr>
        <w:t xml:space="preserve"> пассажирская авиалиния между </w:t>
      </w:r>
      <w:r w:rsidRPr="00A259BD">
        <w:rPr>
          <w:rStyle w:val="283"/>
          <w:rFonts w:ascii="Times New Roman" w:hAnsi="Times New Roman" w:cs="Times New Roman"/>
          <w:b w:val="0"/>
          <w:color w:val="000000" w:themeColor="text1"/>
          <w:sz w:val="16"/>
          <w:szCs w:val="16"/>
          <w:lang w:val="ru-RU"/>
        </w:rPr>
        <w:t>Москвой</w:t>
      </w:r>
      <w:r w:rsidRPr="00A259BD">
        <w:rPr>
          <w:color w:val="000000" w:themeColor="text1"/>
          <w:lang w:val="ru-RU"/>
        </w:rPr>
        <w:t xml:space="preserve"> и Нижним Новгородом зара</w:t>
      </w:r>
      <w:r w:rsidRPr="00A259BD">
        <w:rPr>
          <w:color w:val="000000" w:themeColor="text1"/>
          <w:lang w:val="ru-RU"/>
        </w:rPr>
        <w:softHyphen/>
      </w:r>
      <w:r w:rsidRPr="00A259BD">
        <w:rPr>
          <w:rStyle w:val="283"/>
          <w:rFonts w:ascii="Times New Roman" w:hAnsi="Times New Roman" w:cs="Times New Roman"/>
          <w:b w:val="0"/>
          <w:color w:val="000000" w:themeColor="text1"/>
          <w:sz w:val="16"/>
          <w:szCs w:val="16"/>
          <w:lang w:val="ru-RU"/>
        </w:rPr>
        <w:t>ботала</w:t>
      </w:r>
      <w:r w:rsidRPr="00A259BD">
        <w:rPr>
          <w:color w:val="000000" w:themeColor="text1"/>
          <w:lang w:val="ru-RU"/>
        </w:rPr>
        <w:t xml:space="preserve"> только в 1923 г., а воздушными путешественниками к 1929 г. могли </w:t>
      </w:r>
      <w:r w:rsidRPr="00A259BD">
        <w:rPr>
          <w:rStyle w:val="283"/>
          <w:rFonts w:ascii="Times New Roman" w:hAnsi="Times New Roman" w:cs="Times New Roman"/>
          <w:b w:val="0"/>
          <w:color w:val="000000" w:themeColor="text1"/>
          <w:sz w:val="16"/>
          <w:szCs w:val="16"/>
          <w:lang w:val="ru-RU"/>
        </w:rPr>
        <w:t>себя</w:t>
      </w:r>
      <w:r w:rsidRPr="00A259BD">
        <w:rPr>
          <w:color w:val="000000" w:themeColor="text1"/>
          <w:lang w:val="ru-RU"/>
        </w:rPr>
        <w:t xml:space="preserve"> считать только 28 тысяч человек (15749).</w:t>
      </w:r>
    </w:p>
    <w:p w14:paraId="7F74DF3F" w14:textId="77777777" w:rsidR="00154248" w:rsidRPr="00A259BD" w:rsidRDefault="00154248" w:rsidP="009236E3">
      <w:pPr>
        <w:pStyle w:val="a3"/>
        <w:rPr>
          <w:color w:val="000000" w:themeColor="text1"/>
          <w:lang w:val="ru-RU"/>
        </w:rPr>
      </w:pPr>
    </w:p>
    <w:p w14:paraId="5EF61FBE" w14:textId="77777777" w:rsidR="00B9589C" w:rsidRPr="00A259BD" w:rsidRDefault="00B9589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СССР при</w:t>
      </w:r>
      <w:r w:rsidRPr="00A259BD">
        <w:rPr>
          <w:rFonts w:ascii="Times New Roman" w:hAnsi="Times New Roman"/>
          <w:color w:val="000000" w:themeColor="text1"/>
          <w:sz w:val="16"/>
          <w:szCs w:val="16"/>
        </w:rPr>
        <w:softHyphen/>
        <w:t>обрёл итальянский моторизованный аэростат для выяснения возможности принятия его на во</w:t>
      </w:r>
      <w:r w:rsidRPr="00A259BD">
        <w:rPr>
          <w:rFonts w:ascii="Times New Roman" w:hAnsi="Times New Roman"/>
          <w:color w:val="000000" w:themeColor="text1"/>
          <w:sz w:val="16"/>
          <w:szCs w:val="16"/>
        </w:rPr>
        <w:softHyphen/>
        <w:t xml:space="preserve">оружение. Это был хорошо зарекомендовавший себя в годы Первой мировой войны аэростат наблюдения комбинированной (стягивающей и </w:t>
      </w:r>
      <w:proofErr w:type="spellStart"/>
      <w:r w:rsidRPr="00A259BD">
        <w:rPr>
          <w:rFonts w:ascii="Times New Roman" w:hAnsi="Times New Roman"/>
          <w:color w:val="000000" w:themeColor="text1"/>
          <w:sz w:val="16"/>
          <w:szCs w:val="16"/>
        </w:rPr>
        <w:t>баллонетной</w:t>
      </w:r>
      <w:proofErr w:type="spellEnd"/>
      <w:r w:rsidRPr="00A259BD">
        <w:rPr>
          <w:rFonts w:ascii="Times New Roman" w:hAnsi="Times New Roman"/>
          <w:color w:val="000000" w:themeColor="text1"/>
          <w:sz w:val="16"/>
          <w:szCs w:val="16"/>
        </w:rPr>
        <w:t>) системы «</w:t>
      </w:r>
      <w:proofErr w:type="spellStart"/>
      <w:r w:rsidRPr="00A259BD">
        <w:rPr>
          <w:rFonts w:ascii="Times New Roman" w:hAnsi="Times New Roman"/>
          <w:color w:val="000000" w:themeColor="text1"/>
          <w:sz w:val="16"/>
          <w:szCs w:val="16"/>
        </w:rPr>
        <w:t>Аворио-Прассоне</w:t>
      </w:r>
      <w:proofErr w:type="spellEnd"/>
      <w:r w:rsidRPr="00A259BD">
        <w:rPr>
          <w:rFonts w:ascii="Times New Roman" w:hAnsi="Times New Roman"/>
          <w:color w:val="000000" w:themeColor="text1"/>
          <w:sz w:val="16"/>
          <w:szCs w:val="16"/>
        </w:rPr>
        <w:t xml:space="preserve">», к которому подвешивалась </w:t>
      </w:r>
      <w:proofErr w:type="spellStart"/>
      <w:r w:rsidRPr="00A259BD">
        <w:rPr>
          <w:rFonts w:ascii="Times New Roman" w:hAnsi="Times New Roman"/>
          <w:color w:val="000000" w:themeColor="text1"/>
          <w:sz w:val="16"/>
          <w:szCs w:val="16"/>
        </w:rPr>
        <w:t>мотогондола</w:t>
      </w:r>
      <w:proofErr w:type="spellEnd"/>
      <w:r w:rsidRPr="00A259BD">
        <w:rPr>
          <w:rFonts w:ascii="Times New Roman" w:hAnsi="Times New Roman"/>
          <w:color w:val="000000" w:themeColor="text1"/>
          <w:sz w:val="16"/>
          <w:szCs w:val="16"/>
        </w:rPr>
        <w:t>, изго</w:t>
      </w:r>
      <w:r w:rsidRPr="00A259BD">
        <w:rPr>
          <w:rFonts w:ascii="Times New Roman" w:hAnsi="Times New Roman"/>
          <w:color w:val="000000" w:themeColor="text1"/>
          <w:sz w:val="16"/>
          <w:szCs w:val="16"/>
        </w:rPr>
        <w:softHyphen/>
        <w:t>товленная из стальных труб и обтянутая мате</w:t>
      </w:r>
      <w:r w:rsidRPr="00A259BD">
        <w:rPr>
          <w:rFonts w:ascii="Times New Roman" w:hAnsi="Times New Roman"/>
          <w:color w:val="000000" w:themeColor="text1"/>
          <w:sz w:val="16"/>
          <w:szCs w:val="16"/>
        </w:rPr>
        <w:softHyphen/>
        <w:t>рией. На стабилизаторе (аэростат имел мягкое пневматическое оперение) крепился жёсткий руль направления.</w:t>
      </w:r>
    </w:p>
    <w:p w14:paraId="232CAC0B" w14:textId="77777777" w:rsidR="00B9589C" w:rsidRPr="00A259BD" w:rsidRDefault="00B9589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Испытания аэростата проводились в 1929 г. в Ленинграде при 2-м отдельном воздухоплава</w:t>
      </w:r>
      <w:r w:rsidRPr="00A259BD">
        <w:rPr>
          <w:rFonts w:ascii="Times New Roman" w:hAnsi="Times New Roman"/>
          <w:color w:val="000000" w:themeColor="text1"/>
          <w:sz w:val="16"/>
          <w:szCs w:val="16"/>
        </w:rPr>
        <w:softHyphen/>
        <w:t>тельном отряде. Они показали, что тот в качестве привязного аэростата обладает рядом достоинств в отношении высоты подъёма, удобства наблю</w:t>
      </w:r>
      <w:r w:rsidRPr="00A259BD">
        <w:rPr>
          <w:rFonts w:ascii="Times New Roman" w:hAnsi="Times New Roman"/>
          <w:color w:val="000000" w:themeColor="text1"/>
          <w:sz w:val="16"/>
          <w:szCs w:val="16"/>
        </w:rPr>
        <w:softHyphen/>
        <w:t xml:space="preserve">дения, простоты и удобства </w:t>
      </w:r>
      <w:proofErr w:type="spellStart"/>
      <w:r w:rsidRPr="00A259BD">
        <w:rPr>
          <w:rFonts w:ascii="Times New Roman" w:hAnsi="Times New Roman"/>
          <w:color w:val="000000" w:themeColor="text1"/>
          <w:sz w:val="16"/>
          <w:szCs w:val="16"/>
        </w:rPr>
        <w:t>газонаполнения</w:t>
      </w:r>
      <w:proofErr w:type="spellEnd"/>
      <w:r w:rsidRPr="00A259BD">
        <w:rPr>
          <w:rFonts w:ascii="Times New Roman" w:hAnsi="Times New Roman"/>
          <w:color w:val="000000" w:themeColor="text1"/>
          <w:sz w:val="16"/>
          <w:szCs w:val="16"/>
        </w:rPr>
        <w:t xml:space="preserve"> обо</w:t>
      </w:r>
      <w:r w:rsidRPr="00A259BD">
        <w:rPr>
          <w:rFonts w:ascii="Times New Roman" w:hAnsi="Times New Roman"/>
          <w:color w:val="000000" w:themeColor="text1"/>
          <w:sz w:val="16"/>
          <w:szCs w:val="16"/>
        </w:rPr>
        <w:softHyphen/>
        <w:t>лочки, а также снаряжения аэростата к подъёмам. Аэростат имел и недостатки — трудность манев</w:t>
      </w:r>
      <w:r w:rsidRPr="00A259BD">
        <w:rPr>
          <w:rFonts w:ascii="Times New Roman" w:hAnsi="Times New Roman"/>
          <w:color w:val="000000" w:themeColor="text1"/>
          <w:sz w:val="16"/>
          <w:szCs w:val="16"/>
        </w:rPr>
        <w:softHyphen/>
        <w:t>рирования с ним (для его обслуживания требо</w:t>
      </w:r>
      <w:r w:rsidRPr="00A259BD">
        <w:rPr>
          <w:rFonts w:ascii="Times New Roman" w:hAnsi="Times New Roman"/>
          <w:color w:val="000000" w:themeColor="text1"/>
          <w:sz w:val="16"/>
          <w:szCs w:val="16"/>
        </w:rPr>
        <w:softHyphen/>
        <w:t>валось больше людей сравнительно с аэростатом «Како»), неустойчивость в воздухе при малых ве</w:t>
      </w:r>
      <w:r w:rsidRPr="00A259BD">
        <w:rPr>
          <w:rFonts w:ascii="Times New Roman" w:hAnsi="Times New Roman"/>
          <w:color w:val="000000" w:themeColor="text1"/>
          <w:sz w:val="16"/>
          <w:szCs w:val="16"/>
        </w:rPr>
        <w:softHyphen/>
        <w:t>трах (до 5 м/с) и при снижении, необходимость при подъёмах у земли заполнять стабилизаторы воздухом ручным вентилятором, что особенно нерационально в полевой обстановке. В качестве управляемого аэростата «</w:t>
      </w:r>
      <w:proofErr w:type="spellStart"/>
      <w:r w:rsidRPr="00A259BD">
        <w:rPr>
          <w:rFonts w:ascii="Times New Roman" w:hAnsi="Times New Roman"/>
          <w:color w:val="000000" w:themeColor="text1"/>
          <w:sz w:val="16"/>
          <w:szCs w:val="16"/>
        </w:rPr>
        <w:t>Аворио-Прассоне</w:t>
      </w:r>
      <w:proofErr w:type="spellEnd"/>
      <w:r w:rsidRPr="00A259BD">
        <w:rPr>
          <w:rFonts w:ascii="Times New Roman" w:hAnsi="Times New Roman"/>
          <w:color w:val="000000" w:themeColor="text1"/>
          <w:sz w:val="16"/>
          <w:szCs w:val="16"/>
        </w:rPr>
        <w:t>» де</w:t>
      </w:r>
      <w:r w:rsidRPr="00A259BD">
        <w:rPr>
          <w:rFonts w:ascii="Times New Roman" w:hAnsi="Times New Roman"/>
          <w:color w:val="000000" w:themeColor="text1"/>
          <w:sz w:val="16"/>
          <w:szCs w:val="16"/>
        </w:rPr>
        <w:softHyphen/>
        <w:t>монстрировал в полёте устойчивость, хорошо слушался руля направления (радиус поворота — 20-30 м), был достаточно послушен управлению статическими средствами (газ и балласт) и рулём высоты. Его основным недостатком сочли «недо</w:t>
      </w:r>
      <w:r w:rsidRPr="00A259BD">
        <w:rPr>
          <w:rFonts w:ascii="Times New Roman" w:hAnsi="Times New Roman"/>
          <w:color w:val="000000" w:themeColor="text1"/>
          <w:sz w:val="16"/>
          <w:szCs w:val="16"/>
        </w:rPr>
        <w:softHyphen/>
        <w:t>статочную для работы в метеорологических ус</w:t>
      </w:r>
      <w:r w:rsidRPr="00A259BD">
        <w:rPr>
          <w:rFonts w:ascii="Times New Roman" w:hAnsi="Times New Roman"/>
          <w:color w:val="000000" w:themeColor="text1"/>
          <w:sz w:val="16"/>
          <w:szCs w:val="16"/>
        </w:rPr>
        <w:softHyphen/>
        <w:t>ловиях Союза собственную скорость, не превы</w:t>
      </w:r>
      <w:r w:rsidRPr="00A259BD">
        <w:rPr>
          <w:rFonts w:ascii="Times New Roman" w:hAnsi="Times New Roman"/>
          <w:color w:val="000000" w:themeColor="text1"/>
          <w:sz w:val="16"/>
          <w:szCs w:val="16"/>
        </w:rPr>
        <w:softHyphen/>
        <w:t xml:space="preserve">шающую 35 </w:t>
      </w:r>
      <w:proofErr w:type="spellStart"/>
      <w:r w:rsidRPr="00A259BD">
        <w:rPr>
          <w:rFonts w:ascii="Times New Roman" w:hAnsi="Times New Roman"/>
          <w:color w:val="000000" w:themeColor="text1"/>
          <w:sz w:val="16"/>
          <w:szCs w:val="16"/>
        </w:rPr>
        <w:t>клм</w:t>
      </w:r>
      <w:proofErr w:type="spellEnd"/>
      <w:r w:rsidRPr="00A259BD">
        <w:rPr>
          <w:rFonts w:ascii="Times New Roman" w:hAnsi="Times New Roman"/>
          <w:color w:val="000000" w:themeColor="text1"/>
          <w:sz w:val="16"/>
          <w:szCs w:val="16"/>
        </w:rPr>
        <w:t xml:space="preserve">/час. </w:t>
      </w:r>
      <w:proofErr w:type="spellStart"/>
      <w:r w:rsidRPr="00A259BD">
        <w:rPr>
          <w:rFonts w:ascii="Times New Roman" w:hAnsi="Times New Roman"/>
          <w:color w:val="000000" w:themeColor="text1"/>
          <w:sz w:val="16"/>
          <w:szCs w:val="16"/>
        </w:rPr>
        <w:t>Переснаряжение</w:t>
      </w:r>
      <w:proofErr w:type="spellEnd"/>
      <w:r w:rsidRPr="00A259BD">
        <w:rPr>
          <w:rFonts w:ascii="Times New Roman" w:hAnsi="Times New Roman"/>
          <w:color w:val="000000" w:themeColor="text1"/>
          <w:sz w:val="16"/>
          <w:szCs w:val="16"/>
        </w:rPr>
        <w:t xml:space="preserve"> аэростата из привязного состояния в управляемое и обрат</w:t>
      </w:r>
      <w:r w:rsidRPr="00A259BD">
        <w:rPr>
          <w:rFonts w:ascii="Times New Roman" w:hAnsi="Times New Roman"/>
          <w:color w:val="000000" w:themeColor="text1"/>
          <w:sz w:val="16"/>
          <w:szCs w:val="16"/>
        </w:rPr>
        <w:softHyphen/>
        <w:t>но технически просто, но требует большого ко</w:t>
      </w:r>
      <w:r w:rsidRPr="00A259BD">
        <w:rPr>
          <w:rFonts w:ascii="Times New Roman" w:hAnsi="Times New Roman"/>
          <w:color w:val="000000" w:themeColor="text1"/>
          <w:sz w:val="16"/>
          <w:szCs w:val="16"/>
        </w:rPr>
        <w:softHyphen/>
        <w:t>личества людей, а также затраты времени в силу большого его диаметра (затруднительность его подвески). Затруднительно и хранение аэростата на биваке». Летом 1930 г. намечалось провести продолжительные испытания в полевых усло</w:t>
      </w:r>
      <w:r w:rsidRPr="00A259BD">
        <w:rPr>
          <w:rFonts w:ascii="Times New Roman" w:hAnsi="Times New Roman"/>
          <w:color w:val="000000" w:themeColor="text1"/>
          <w:sz w:val="16"/>
          <w:szCs w:val="16"/>
        </w:rPr>
        <w:softHyphen/>
        <w:t>виях в воздухоплавательных частях, но затем от них оказались, так как был взят курс на строи</w:t>
      </w:r>
      <w:r w:rsidRPr="00A259BD">
        <w:rPr>
          <w:rFonts w:ascii="Times New Roman" w:hAnsi="Times New Roman"/>
          <w:color w:val="000000" w:themeColor="text1"/>
          <w:sz w:val="16"/>
          <w:szCs w:val="16"/>
        </w:rPr>
        <w:softHyphen/>
        <w:t>тельство советского моторизованного аэростата (20120).</w:t>
      </w:r>
    </w:p>
    <w:p w14:paraId="03D0EAAE" w14:textId="77777777" w:rsidR="00B9589C" w:rsidRPr="00A259BD" w:rsidRDefault="00B9589C" w:rsidP="009236E3">
      <w:pPr>
        <w:spacing w:after="0" w:line="240" w:lineRule="auto"/>
        <w:jc w:val="both"/>
        <w:rPr>
          <w:rFonts w:ascii="Times New Roman" w:hAnsi="Times New Roman"/>
          <w:color w:val="000000" w:themeColor="text1"/>
          <w:sz w:val="16"/>
          <w:szCs w:val="16"/>
        </w:rPr>
      </w:pPr>
    </w:p>
    <w:p w14:paraId="00C7D009" w14:textId="77777777" w:rsidR="00B9589C" w:rsidRPr="00A259BD" w:rsidRDefault="00B9589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Комиссия продолжила испытания за</w:t>
      </w:r>
      <w:r w:rsidRPr="00A259BD">
        <w:rPr>
          <w:rFonts w:ascii="Times New Roman" w:hAnsi="Times New Roman"/>
          <w:color w:val="000000" w:themeColor="text1"/>
          <w:sz w:val="16"/>
          <w:szCs w:val="16"/>
        </w:rPr>
        <w:softHyphen/>
        <w:t xml:space="preserve">рубежной и отечественной воздухоплавательной техники в Ленинграде при 2-м отдельном воз- </w:t>
      </w:r>
      <w:proofErr w:type="spellStart"/>
      <w:r w:rsidRPr="00A259BD">
        <w:rPr>
          <w:rFonts w:ascii="Times New Roman" w:hAnsi="Times New Roman"/>
          <w:color w:val="000000" w:themeColor="text1"/>
          <w:sz w:val="16"/>
          <w:szCs w:val="16"/>
        </w:rPr>
        <w:t>духотряде</w:t>
      </w:r>
      <w:proofErr w:type="spellEnd"/>
      <w:r w:rsidRPr="00A259BD">
        <w:rPr>
          <w:rFonts w:ascii="Times New Roman" w:hAnsi="Times New Roman"/>
          <w:color w:val="000000" w:themeColor="text1"/>
          <w:sz w:val="16"/>
          <w:szCs w:val="16"/>
        </w:rPr>
        <w:t>. Проверку проходили итальянский моторизованный аэростат «</w:t>
      </w:r>
      <w:proofErr w:type="spellStart"/>
      <w:r w:rsidRPr="00A259BD">
        <w:rPr>
          <w:rFonts w:ascii="Times New Roman" w:hAnsi="Times New Roman"/>
          <w:color w:val="000000" w:themeColor="text1"/>
          <w:sz w:val="16"/>
          <w:szCs w:val="16"/>
        </w:rPr>
        <w:t>Аворио-Прассоне</w:t>
      </w:r>
      <w:proofErr w:type="spellEnd"/>
      <w:r w:rsidRPr="00A259BD">
        <w:rPr>
          <w:rFonts w:ascii="Times New Roman" w:hAnsi="Times New Roman"/>
          <w:color w:val="000000" w:themeColor="text1"/>
          <w:sz w:val="16"/>
          <w:szCs w:val="16"/>
        </w:rPr>
        <w:t>», французские аэростаты заграждения «N» и «NN» и французские лебёдки: двухмоторная «Како» для аэростатов наблюдения и лебёдка для аэро</w:t>
      </w:r>
      <w:r w:rsidRPr="00A259BD">
        <w:rPr>
          <w:rFonts w:ascii="Times New Roman" w:hAnsi="Times New Roman"/>
          <w:color w:val="000000" w:themeColor="text1"/>
          <w:sz w:val="16"/>
          <w:szCs w:val="16"/>
        </w:rPr>
        <w:softHyphen/>
        <w:t xml:space="preserve">статов заграждения с мотором «Балло». Испытывались также образцы отечественных аэростатов, изготовленных </w:t>
      </w:r>
      <w:proofErr w:type="spellStart"/>
      <w:r w:rsidRPr="00A259BD">
        <w:rPr>
          <w:rFonts w:ascii="Times New Roman" w:hAnsi="Times New Roman"/>
          <w:color w:val="000000" w:themeColor="text1"/>
          <w:sz w:val="16"/>
          <w:szCs w:val="16"/>
        </w:rPr>
        <w:t>Резинострестом</w:t>
      </w:r>
      <w:proofErr w:type="spellEnd"/>
      <w:r w:rsidRPr="00A259BD">
        <w:rPr>
          <w:rFonts w:ascii="Times New Roman" w:hAnsi="Times New Roman"/>
          <w:color w:val="000000" w:themeColor="text1"/>
          <w:sz w:val="16"/>
          <w:szCs w:val="16"/>
        </w:rPr>
        <w:t>: аэростат заграж</w:t>
      </w:r>
      <w:r w:rsidRPr="00A259BD">
        <w:rPr>
          <w:rFonts w:ascii="Times New Roman" w:hAnsi="Times New Roman"/>
          <w:color w:val="000000" w:themeColor="text1"/>
          <w:sz w:val="16"/>
          <w:szCs w:val="16"/>
        </w:rPr>
        <w:softHyphen/>
        <w:t>дения и сферический аэростат объёмом 900 м3.</w:t>
      </w:r>
    </w:p>
    <w:p w14:paraId="0C848CF0" w14:textId="77777777" w:rsidR="00B9589C" w:rsidRPr="00A259BD" w:rsidRDefault="00B9589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основании проведённых в 1928 и 1929 гг. испытаний было признано, что «наиболее при</w:t>
      </w:r>
      <w:r w:rsidRPr="00A259BD">
        <w:rPr>
          <w:rFonts w:ascii="Times New Roman" w:hAnsi="Times New Roman"/>
          <w:color w:val="000000" w:themeColor="text1"/>
          <w:sz w:val="16"/>
          <w:szCs w:val="16"/>
        </w:rPr>
        <w:softHyphen/>
        <w:t>емлемой и целесообразной для эксплуатации в наших условиях конструкций аэростата наблю</w:t>
      </w:r>
      <w:r w:rsidRPr="00A259BD">
        <w:rPr>
          <w:rFonts w:ascii="Times New Roman" w:hAnsi="Times New Roman"/>
          <w:color w:val="000000" w:themeColor="text1"/>
          <w:sz w:val="16"/>
          <w:szCs w:val="16"/>
        </w:rPr>
        <w:softHyphen/>
        <w:t>дения является французская — с изменяющимся объёмом, по типу аэростата «Б.Д.», но с увеличе</w:t>
      </w:r>
      <w:r w:rsidRPr="00A259BD">
        <w:rPr>
          <w:rFonts w:ascii="Times New Roman" w:hAnsi="Times New Roman"/>
          <w:color w:val="000000" w:themeColor="text1"/>
          <w:sz w:val="16"/>
          <w:szCs w:val="16"/>
        </w:rPr>
        <w:softHyphen/>
        <w:t>нием объёма аэростата до 1000 м3 у земли».</w:t>
      </w:r>
    </w:p>
    <w:p w14:paraId="541F9859" w14:textId="77777777" w:rsidR="00B9589C" w:rsidRPr="00A259BD" w:rsidRDefault="00B9589C" w:rsidP="009236E3">
      <w:pPr>
        <w:spacing w:after="0" w:line="240" w:lineRule="auto"/>
        <w:jc w:val="both"/>
        <w:rPr>
          <w:rFonts w:ascii="Times New Roman" w:hAnsi="Times New Roman"/>
          <w:color w:val="000000" w:themeColor="text1"/>
          <w:sz w:val="16"/>
          <w:szCs w:val="16"/>
        </w:rPr>
      </w:pPr>
      <w:proofErr w:type="spellStart"/>
      <w:r w:rsidRPr="00A259BD">
        <w:rPr>
          <w:rFonts w:ascii="Times New Roman" w:hAnsi="Times New Roman"/>
          <w:color w:val="000000" w:themeColor="text1"/>
          <w:sz w:val="16"/>
          <w:szCs w:val="16"/>
        </w:rPr>
        <w:t>Автолебёдку</w:t>
      </w:r>
      <w:proofErr w:type="spellEnd"/>
      <w:r w:rsidRPr="00A259BD">
        <w:rPr>
          <w:rFonts w:ascii="Times New Roman" w:hAnsi="Times New Roman"/>
          <w:color w:val="000000" w:themeColor="text1"/>
          <w:sz w:val="16"/>
          <w:szCs w:val="16"/>
        </w:rPr>
        <w:t xml:space="preserve"> «Како» признали подходящей для эксплуатации в отечественных условиях, тогда как лебёдка «Балло» обнаружила ряд кон</w:t>
      </w:r>
      <w:r w:rsidRPr="00A259BD">
        <w:rPr>
          <w:rFonts w:ascii="Times New Roman" w:hAnsi="Times New Roman"/>
          <w:color w:val="000000" w:themeColor="text1"/>
          <w:sz w:val="16"/>
          <w:szCs w:val="16"/>
        </w:rPr>
        <w:softHyphen/>
        <w:t>структивных и эксплуатационных недостатков.</w:t>
      </w:r>
    </w:p>
    <w:p w14:paraId="5B246669" w14:textId="77777777" w:rsidR="00B9589C" w:rsidRPr="00A259BD" w:rsidRDefault="00B9589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Аэростаты наблюдения. Разработанный </w:t>
      </w:r>
      <w:proofErr w:type="spellStart"/>
      <w:r w:rsidRPr="00A259BD">
        <w:rPr>
          <w:rFonts w:ascii="Times New Roman" w:hAnsi="Times New Roman"/>
          <w:color w:val="000000" w:themeColor="text1"/>
          <w:sz w:val="16"/>
          <w:szCs w:val="16"/>
        </w:rPr>
        <w:t>Резино</w:t>
      </w:r>
      <w:proofErr w:type="spellEnd"/>
      <w:r w:rsidRPr="00A259BD">
        <w:rPr>
          <w:rFonts w:ascii="Times New Roman" w:hAnsi="Times New Roman"/>
          <w:color w:val="000000" w:themeColor="text1"/>
          <w:sz w:val="16"/>
          <w:szCs w:val="16"/>
        </w:rPr>
        <w:t>- трестом привязной аэростат наблюдения с расши</w:t>
      </w:r>
      <w:r w:rsidRPr="00A259BD">
        <w:rPr>
          <w:rFonts w:ascii="Times New Roman" w:hAnsi="Times New Roman"/>
          <w:color w:val="000000" w:themeColor="text1"/>
          <w:sz w:val="16"/>
          <w:szCs w:val="16"/>
        </w:rPr>
        <w:softHyphen/>
        <w:t>ряющейся оболочкой по типу французского «BD» предъявили к испытаниям осенью 1930 г. Он пока</w:t>
      </w:r>
      <w:r w:rsidRPr="00A259BD">
        <w:rPr>
          <w:rFonts w:ascii="Times New Roman" w:hAnsi="Times New Roman"/>
          <w:color w:val="000000" w:themeColor="text1"/>
          <w:sz w:val="16"/>
          <w:szCs w:val="16"/>
        </w:rPr>
        <w:softHyphen/>
        <w:t>зал хорошие качества при малых скоростях у зем</w:t>
      </w:r>
      <w:r w:rsidRPr="00A259BD">
        <w:rPr>
          <w:rFonts w:ascii="Times New Roman" w:hAnsi="Times New Roman"/>
          <w:color w:val="000000" w:themeColor="text1"/>
          <w:sz w:val="16"/>
          <w:szCs w:val="16"/>
        </w:rPr>
        <w:softHyphen/>
        <w:t>ли, но при ветре более 10 м/с вёл себя неустойчиво.</w:t>
      </w:r>
    </w:p>
    <w:p w14:paraId="1E79A4A9" w14:textId="77777777" w:rsidR="00B9589C" w:rsidRPr="00A259BD" w:rsidRDefault="00B9589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последующие годы привязной аэростат БД был принят на вооружение (20120).</w:t>
      </w:r>
    </w:p>
    <w:p w14:paraId="3BAEAB0E" w14:textId="77777777" w:rsidR="00B9589C" w:rsidRPr="00A259BD" w:rsidRDefault="00B9589C" w:rsidP="009236E3">
      <w:pPr>
        <w:spacing w:after="0" w:line="240" w:lineRule="auto"/>
        <w:jc w:val="both"/>
        <w:rPr>
          <w:rFonts w:ascii="Times New Roman" w:hAnsi="Times New Roman"/>
          <w:color w:val="000000" w:themeColor="text1"/>
          <w:sz w:val="16"/>
          <w:szCs w:val="16"/>
        </w:rPr>
      </w:pPr>
    </w:p>
    <w:p w14:paraId="41A57FEE"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52993A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2712E8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началось Строительство комбината «К», в том же году получил название завод № 98 (ГС завод № 98 им. С.М. Кирова НКОП, НКБ, комбинат «к», Пермский завод им. С.М. Кирова, ФГУП «Пермский завод им. С.М. Кирова» </w:t>
      </w:r>
      <w:proofErr w:type="spellStart"/>
      <w:r w:rsidRPr="00A259BD">
        <w:rPr>
          <w:rFonts w:ascii="Times New Roman" w:hAnsi="Times New Roman"/>
          <w:color w:val="000000" w:themeColor="text1"/>
          <w:sz w:val="16"/>
          <w:szCs w:val="16"/>
        </w:rPr>
        <w:t>Росбоеприпаса</w:t>
      </w:r>
      <w:proofErr w:type="spellEnd"/>
      <w:r w:rsidRPr="00A259BD">
        <w:rPr>
          <w:rFonts w:ascii="Times New Roman" w:hAnsi="Times New Roman"/>
          <w:color w:val="000000" w:themeColor="text1"/>
          <w:sz w:val="16"/>
          <w:szCs w:val="16"/>
        </w:rPr>
        <w:t>, ФКП «Пермский пороховой завод» (ППЗ) /614113  г. Молотов,  г. Пермь ул. Гальперина, 11 тел. 52-37-87/). В соответствии с пост. СНК № 2139-425сс от 21.12.1936 г. и пр. НКОП № 05с от 29.12.1936 г. завод № 98 передан из Порохового треста НКТП в ГУ военно-химической промышленности НКОП. Приказом № 107 от 21.03.1937 г. утвержден Устав ГС завода № 98 6ГУ НКОП.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завод № 98 11ГУ НКОП передан в ведение 11ГУ НКБ. Имя С.М. Кирова присвоено 4.02.1941 г.</w:t>
      </w:r>
    </w:p>
    <w:p w14:paraId="1B6F61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20.06.1934 г. вступил в строй первый цех по производству промышленной взрывчатки- аммонита. Этот день стал днем рождения завода. В 1935 г. начал работу цех по изготовлению огнепроводного шнура, затем вступило в строй производство активированного угля, которое в 1939 г. выделилось в самостоятельный завод № 103 НКХП. Приказом № 0021 от 3.02.1937 г. заводу предписано форсировать в 1937 г. строительство цехов </w:t>
      </w:r>
      <w:proofErr w:type="spellStart"/>
      <w:r w:rsidRPr="00A259BD">
        <w:rPr>
          <w:rFonts w:ascii="Times New Roman" w:hAnsi="Times New Roman"/>
          <w:color w:val="000000" w:themeColor="text1"/>
          <w:sz w:val="16"/>
          <w:szCs w:val="16"/>
        </w:rPr>
        <w:t>химпоглотителя</w:t>
      </w:r>
      <w:proofErr w:type="spellEnd"/>
      <w:r w:rsidRPr="00A259BD">
        <w:rPr>
          <w:rFonts w:ascii="Times New Roman" w:hAnsi="Times New Roman"/>
          <w:color w:val="000000" w:themeColor="text1"/>
          <w:sz w:val="16"/>
          <w:szCs w:val="16"/>
        </w:rPr>
        <w:t xml:space="preserve">, начать строительство цеха снаряжения респираторных коробок; к 1.01.1938 г. создать мощности по выпуску черного пороха - 4 тыс. т в год, СУД 14 тыс. т, активированного угля - 1800 т. Во исполнение постановления СНК № 334 от 26.02.1937 г. приказом № 060 от 23.03.1937 г. заводу предписано создать к 1.01.1938 г. производство </w:t>
      </w:r>
      <w:proofErr w:type="spellStart"/>
      <w:r w:rsidRPr="00A259BD">
        <w:rPr>
          <w:rFonts w:ascii="Times New Roman" w:hAnsi="Times New Roman"/>
          <w:color w:val="000000" w:themeColor="text1"/>
          <w:sz w:val="16"/>
          <w:szCs w:val="16"/>
        </w:rPr>
        <w:t>динафталита</w:t>
      </w:r>
      <w:proofErr w:type="spellEnd"/>
      <w:r w:rsidRPr="00A259BD">
        <w:rPr>
          <w:rFonts w:ascii="Times New Roman" w:hAnsi="Times New Roman"/>
          <w:color w:val="000000" w:themeColor="text1"/>
          <w:sz w:val="16"/>
          <w:szCs w:val="16"/>
        </w:rPr>
        <w:t xml:space="preserve"> мощностью 2000 т в год; приказом № 00111 от 22/23.05.1937 г. заводу поручено в 1937 г. построить новые цеха: снаряжения противогазов на 10 млн. шт.; </w:t>
      </w:r>
      <w:proofErr w:type="spellStart"/>
      <w:r w:rsidRPr="00A259BD">
        <w:rPr>
          <w:rFonts w:ascii="Times New Roman" w:hAnsi="Times New Roman"/>
          <w:color w:val="000000" w:themeColor="text1"/>
          <w:sz w:val="16"/>
          <w:szCs w:val="16"/>
        </w:rPr>
        <w:t>химпоглотителя</w:t>
      </w:r>
      <w:proofErr w:type="spellEnd"/>
      <w:r w:rsidRPr="00A259BD">
        <w:rPr>
          <w:rFonts w:ascii="Times New Roman" w:hAnsi="Times New Roman"/>
          <w:color w:val="000000" w:themeColor="text1"/>
          <w:sz w:val="16"/>
          <w:szCs w:val="16"/>
        </w:rPr>
        <w:t xml:space="preserve"> на 6000 т; производства активированного угля. По пр. № 00114 от 27.05.1937 г. начато строительство собственной ТЭЦ завода с вводом в эксплуатацию в 1- м квартале 1939 г. </w:t>
      </w:r>
      <w:r w:rsidRPr="00A259BD">
        <w:rPr>
          <w:rFonts w:ascii="Times New Roman" w:hAnsi="Times New Roman"/>
          <w:color w:val="000000" w:themeColor="text1"/>
          <w:sz w:val="16"/>
          <w:szCs w:val="16"/>
        </w:rPr>
        <w:lastRenderedPageBreak/>
        <w:t xml:space="preserve">В соответствии с пост, правительства № 142сс от 4.06.1938 г. приказом № 217сс от 22.06.1938 г. требовалось для увеличения производственных мощностей завода к 1.04.1939 г. построить цеха снаряжения: противогазов, фильтров-поглотителей; изготовления </w:t>
      </w:r>
      <w:proofErr w:type="spellStart"/>
      <w:r w:rsidRPr="00A259BD">
        <w:rPr>
          <w:rFonts w:ascii="Times New Roman" w:hAnsi="Times New Roman"/>
          <w:color w:val="000000" w:themeColor="text1"/>
          <w:sz w:val="16"/>
          <w:szCs w:val="16"/>
        </w:rPr>
        <w:t>химпоглотителей</w:t>
      </w:r>
      <w:proofErr w:type="spellEnd"/>
      <w:r w:rsidRPr="00A259BD">
        <w:rPr>
          <w:rFonts w:ascii="Times New Roman" w:hAnsi="Times New Roman"/>
          <w:color w:val="000000" w:themeColor="text1"/>
          <w:sz w:val="16"/>
          <w:szCs w:val="16"/>
        </w:rPr>
        <w:t xml:space="preserve">; расширить цеха активированного угля. Утверждена годовая мощность завода на 1.04.1939 г.: противогазы - 10 млн., фильтры-поглотители ФПУ-50 - 70 тыс., активированный уголь - 4 тыс. т, </w:t>
      </w:r>
      <w:proofErr w:type="spellStart"/>
      <w:r w:rsidRPr="00A259BD">
        <w:rPr>
          <w:rFonts w:ascii="Times New Roman" w:hAnsi="Times New Roman"/>
          <w:color w:val="000000" w:themeColor="text1"/>
          <w:sz w:val="16"/>
          <w:szCs w:val="16"/>
        </w:rPr>
        <w:t>химпоглотители</w:t>
      </w:r>
      <w:proofErr w:type="spellEnd"/>
      <w:r w:rsidRPr="00A259BD">
        <w:rPr>
          <w:rFonts w:ascii="Times New Roman" w:hAnsi="Times New Roman"/>
          <w:color w:val="000000" w:themeColor="text1"/>
          <w:sz w:val="16"/>
          <w:szCs w:val="16"/>
        </w:rPr>
        <w:t xml:space="preserve"> - 6 тыс. т.</w:t>
      </w:r>
    </w:p>
    <w:p w14:paraId="1B0E92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составе завода (04.1937 г.): объекты: № 343 - производство СУД, 342 - черный порох, 346, 347 - НТВ, 582 - коллоксилин, 576, 580 - зарядная. В 1939 г. сдан в строй цех дымных порохов, в 1940 г.- вторая линия производства бикфордова шнура.</w:t>
      </w:r>
    </w:p>
    <w:p w14:paraId="192974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началом войны завод № 98 НКБ перешел на выпуск порохов и зарядов для крупнокалиберной артиллерии и </w:t>
      </w:r>
      <w:r w:rsidRPr="00A259BD">
        <w:rPr>
          <w:rFonts w:ascii="Times New Roman" w:hAnsi="Times New Roman"/>
          <w:color w:val="000000" w:themeColor="text1"/>
          <w:sz w:val="16"/>
          <w:szCs w:val="16"/>
          <w:lang w:val="en-US"/>
        </w:rPr>
        <w:t>PC</w:t>
      </w:r>
      <w:r w:rsidRPr="00A259BD">
        <w:rPr>
          <w:rFonts w:ascii="Times New Roman" w:hAnsi="Times New Roman"/>
          <w:color w:val="000000" w:themeColor="text1"/>
          <w:sz w:val="16"/>
          <w:szCs w:val="16"/>
        </w:rPr>
        <w:t xml:space="preserve">. Во время ВОВ на Уральский завод № 98 была эвакуирована часть ОТБ-6 НКБ из НИИ-6 (получила название ОТБ-98 НКБ), а также оборудование и кадры заводов: № 6 (производство дымного пороха, 100 ед. оборудования, 824 чел.), к 30.12.1941 г. все оборудование прибыло, часть его смонтирована и пущено производство мощностью 1350 т в год; № 52 (производство динамита и аммонита, </w:t>
      </w:r>
      <w:proofErr w:type="spellStart"/>
      <w:r w:rsidRPr="00A259BD">
        <w:rPr>
          <w:rFonts w:ascii="Times New Roman" w:hAnsi="Times New Roman"/>
          <w:color w:val="000000" w:themeColor="text1"/>
          <w:sz w:val="16"/>
          <w:szCs w:val="16"/>
        </w:rPr>
        <w:t>безгазового</w:t>
      </w:r>
      <w:proofErr w:type="spellEnd"/>
      <w:r w:rsidRPr="00A259BD">
        <w:rPr>
          <w:rFonts w:ascii="Times New Roman" w:hAnsi="Times New Roman"/>
          <w:color w:val="000000" w:themeColor="text1"/>
          <w:sz w:val="16"/>
          <w:szCs w:val="16"/>
        </w:rPr>
        <w:t xml:space="preserve"> состава «МК», 126 ед. оборудования, 215 чел.), к 30.12.1941 г. все оборудование прибыло, восстановлено производство «МК» мощностью 45 т в год, оборудование по производству динамита и аммонита (117 ед.) в 01.1942 г. перебазировано на завод № 594; № 100 (оборудование ТЭЦ, 112 чел.), к 30.12.1941 г. прибыл 21 вагон; № 101 (часть производства пироксилина и РМЗ, 382 ед. оборудования, 47 чел.); </w:t>
      </w:r>
      <w:proofErr w:type="spellStart"/>
      <w:r w:rsidRPr="00A259BD">
        <w:rPr>
          <w:rFonts w:ascii="Times New Roman" w:hAnsi="Times New Roman"/>
          <w:color w:val="000000" w:themeColor="text1"/>
          <w:sz w:val="16"/>
          <w:szCs w:val="16"/>
        </w:rPr>
        <w:t>вальцмашины</w:t>
      </w:r>
      <w:proofErr w:type="spellEnd"/>
      <w:r w:rsidRPr="00A259BD">
        <w:rPr>
          <w:rFonts w:ascii="Times New Roman" w:hAnsi="Times New Roman"/>
          <w:color w:val="000000" w:themeColor="text1"/>
          <w:sz w:val="16"/>
          <w:szCs w:val="16"/>
        </w:rPr>
        <w:t xml:space="preserve"> (30 ед.) с завода № 59.</w:t>
      </w:r>
    </w:p>
    <w:p w14:paraId="6675E9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1941 г. было построено 52 новых производственных здания, в т.ч. цех непрерывной шнековой технологии производства нитроглицериновых порохов. В 1942 г. производство динамита и аммонита, прибывшее с завода № 52, передано на завод № 594. 18.05.1942 г. вышло постановление ГКО № 1764 о строительстве на заводе двух шнековых агрегатов для производства нитроглицериновых порохов. По приказу НКБ от 24.06.1942 г. 46 специалистов завода были переведены на завод № 577 для помощи в его пуске.</w:t>
      </w:r>
    </w:p>
    <w:p w14:paraId="549746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Проектная мощность на 1.01.1942 г. - 600 т в месяц; выпустил в 11.1941 г.-187 т, в 12.1941 г.- 246 т. Проектная мощность завода: на 1.01.1943 г.- 1750, на 1.01.1944 г.- 3100 т в месяц.</w:t>
      </w:r>
    </w:p>
    <w:p w14:paraId="4A70AFD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12.1942-09.1944 г. - в ведении ЗГУ НКБ.</w:t>
      </w:r>
    </w:p>
    <w:p w14:paraId="6017C4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ВОВ на заводе № 98 из сотрудников завода и части коллектива бывшего ОТБ-98 был образован НИИ- 130.</w:t>
      </w:r>
    </w:p>
    <w:p w14:paraId="0AE678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Далее на базе Пермского завода им. Кирова и НИИПМ образовано НПО им. Кирова.</w:t>
      </w:r>
    </w:p>
    <w:p w14:paraId="46B1E8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1990-е  г.- </w:t>
      </w:r>
      <w:proofErr w:type="spellStart"/>
      <w:r w:rsidRPr="00A259BD">
        <w:rPr>
          <w:rFonts w:ascii="Times New Roman" w:hAnsi="Times New Roman"/>
          <w:color w:val="000000" w:themeColor="text1"/>
          <w:sz w:val="16"/>
          <w:szCs w:val="16"/>
        </w:rPr>
        <w:t>боеприпасное</w:t>
      </w:r>
      <w:proofErr w:type="spellEnd"/>
      <w:r w:rsidRPr="00A259BD">
        <w:rPr>
          <w:rFonts w:ascii="Times New Roman" w:hAnsi="Times New Roman"/>
          <w:color w:val="000000" w:themeColor="text1"/>
          <w:sz w:val="16"/>
          <w:szCs w:val="16"/>
        </w:rPr>
        <w:t xml:space="preserve"> производство. Кроме того, создано 11 новых производств гражданской продукции. Имеет крупнейший в России комплекс по производству (1998 г.) акрилатов и сополимеров; производство эмалей, лаков, шпатлевок. С 2003 г.- работы по ликвидации МБР.</w:t>
      </w:r>
    </w:p>
    <w:p w14:paraId="323D2F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составе предприятия- научно-инженерный центр (НИЦ).</w:t>
      </w:r>
    </w:p>
    <w:p w14:paraId="704E8D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 На предприятии введена процедура банкротства.</w:t>
      </w:r>
    </w:p>
    <w:p w14:paraId="10A87F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(12.1942 г.)- 6677 чел.</w:t>
      </w:r>
      <w:r w:rsidRPr="00A259BD">
        <w:rPr>
          <w:rFonts w:ascii="Times New Roman" w:hAnsi="Times New Roman"/>
          <w:color w:val="000000" w:themeColor="text1"/>
          <w:sz w:val="16"/>
          <w:szCs w:val="16"/>
          <w:vertAlign w:val="superscript"/>
        </w:rPr>
        <w:t>132</w:t>
      </w:r>
    </w:p>
    <w:p w14:paraId="2B3395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(1933-35 г.)- И.С. Кузьмич, (-04-16.06.1937 г.)- А. Г. Малышев (репрессирован); и.о. (1937 г.)- Казаков; (9.08.1937-21.11.1938 г.)- Ф.А(Л). Ланцетов (снят), (15.10.1938-41 г.)- С.С. Качалов, (1941 г.)- М.В. </w:t>
      </w:r>
      <w:proofErr w:type="spellStart"/>
      <w:r w:rsidRPr="00A259BD">
        <w:rPr>
          <w:rFonts w:ascii="Times New Roman" w:hAnsi="Times New Roman"/>
          <w:color w:val="000000" w:themeColor="text1"/>
          <w:sz w:val="16"/>
          <w:szCs w:val="16"/>
        </w:rPr>
        <w:t>Бушмелев</w:t>
      </w:r>
      <w:proofErr w:type="spellEnd"/>
      <w:r w:rsidRPr="00A259BD">
        <w:rPr>
          <w:rFonts w:ascii="Times New Roman" w:hAnsi="Times New Roman"/>
          <w:color w:val="000000" w:themeColor="text1"/>
          <w:sz w:val="16"/>
          <w:szCs w:val="16"/>
        </w:rPr>
        <w:t xml:space="preserve">. Начальник (12.1941-50 г.)- Д. Г. </w:t>
      </w:r>
      <w:proofErr w:type="spellStart"/>
      <w:r w:rsidRPr="00A259BD">
        <w:rPr>
          <w:rFonts w:ascii="Times New Roman" w:hAnsi="Times New Roman"/>
          <w:color w:val="000000" w:themeColor="text1"/>
          <w:sz w:val="16"/>
          <w:szCs w:val="16"/>
        </w:rPr>
        <w:t>Бидинский</w:t>
      </w:r>
      <w:proofErr w:type="spellEnd"/>
      <w:r w:rsidRPr="00A259BD">
        <w:rPr>
          <w:rFonts w:ascii="Times New Roman" w:hAnsi="Times New Roman"/>
          <w:color w:val="000000" w:themeColor="text1"/>
          <w:sz w:val="16"/>
          <w:szCs w:val="16"/>
        </w:rPr>
        <w:t xml:space="preserve">. Директор (1950-51 г.)- В.И. Беляев, (1951-60 г.)- В.И. Шумков, (1960- 74 г.)- А.Н. Соколов, (1974-75 г.)- С.В. Ламзин, (1975-81 г.)- А. Г. Солодовников, (1981-88 г.)- </w:t>
      </w:r>
      <w:r w:rsidRPr="00A259BD">
        <w:rPr>
          <w:rFonts w:ascii="Times New Roman" w:hAnsi="Times New Roman"/>
          <w:color w:val="000000" w:themeColor="text1"/>
          <w:sz w:val="16"/>
          <w:szCs w:val="16"/>
          <w:lang w:val="en-US"/>
        </w:rPr>
        <w:t>B</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C</w:t>
      </w: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Сундырцев</w:t>
      </w:r>
      <w:proofErr w:type="spellEnd"/>
      <w:r w:rsidRPr="00A259BD">
        <w:rPr>
          <w:rFonts w:ascii="Times New Roman" w:hAnsi="Times New Roman"/>
          <w:color w:val="000000" w:themeColor="text1"/>
          <w:sz w:val="16"/>
          <w:szCs w:val="16"/>
        </w:rPr>
        <w:t>, (1988-91 г.)- Н.Н. Беляев. Гендиректор (1992-2005 г.-)-  Г.Э. Кузьмицкий, (-2008 г.)- А. Мелентьев; и.о. (08.2008 г.)- Н. Федченко.</w:t>
      </w:r>
    </w:p>
    <w:p w14:paraId="74F395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 строительства (-04-06.1937 г.)- А. Г. Малышев. Зам. начальника завода по </w:t>
      </w:r>
      <w:proofErr w:type="spellStart"/>
      <w:r w:rsidRPr="00A259BD">
        <w:rPr>
          <w:rFonts w:ascii="Times New Roman" w:hAnsi="Times New Roman"/>
          <w:color w:val="000000" w:themeColor="text1"/>
          <w:sz w:val="16"/>
          <w:szCs w:val="16"/>
        </w:rPr>
        <w:t>техчасти</w:t>
      </w:r>
      <w:proofErr w:type="spellEnd"/>
      <w:r w:rsidRPr="00A259BD">
        <w:rPr>
          <w:rFonts w:ascii="Times New Roman" w:hAnsi="Times New Roman"/>
          <w:color w:val="000000" w:themeColor="text1"/>
          <w:sz w:val="16"/>
          <w:szCs w:val="16"/>
        </w:rPr>
        <w:t xml:space="preserve"> (-11.04.1937 г.)- Бессонов (снят); и.о. (1937 г.)- Казаков. Зам. директора (ВОВ)- В.В. Иванов. Помощник директора по найму и увольнению (14.08.1938 г.-)-И.М. Лебедев.</w:t>
      </w:r>
    </w:p>
    <w:p w14:paraId="3FC773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Технический директор (28.07-20.12.1937 г.)- А.Е. Казаков.</w:t>
      </w:r>
    </w:p>
    <w:p w14:paraId="61B549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инженер (1941 г.)- Д.Е. Горбачев, (1946 г.)- </w:t>
      </w:r>
      <w:r w:rsidRPr="00A259BD">
        <w:rPr>
          <w:rFonts w:ascii="Times New Roman" w:hAnsi="Times New Roman"/>
          <w:color w:val="000000" w:themeColor="text1"/>
          <w:sz w:val="16"/>
          <w:szCs w:val="16"/>
          <w:lang w:val="en-US"/>
        </w:rPr>
        <w:t>A</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M</w:t>
      </w:r>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Секалин</w:t>
      </w:r>
      <w:proofErr w:type="spellEnd"/>
      <w:r w:rsidRPr="00A259BD">
        <w:rPr>
          <w:rFonts w:ascii="Times New Roman" w:hAnsi="Times New Roman"/>
          <w:color w:val="000000" w:themeColor="text1"/>
          <w:sz w:val="16"/>
          <w:szCs w:val="16"/>
        </w:rPr>
        <w:t>.</w:t>
      </w:r>
    </w:p>
    <w:p w14:paraId="02CF51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Начальники цехов: (1937 г.)- Казаков, (ВОВ)- А. Г. </w:t>
      </w:r>
      <w:proofErr w:type="spellStart"/>
      <w:r w:rsidRPr="00A259BD">
        <w:rPr>
          <w:rFonts w:ascii="Times New Roman" w:hAnsi="Times New Roman"/>
          <w:color w:val="000000" w:themeColor="text1"/>
          <w:sz w:val="16"/>
          <w:szCs w:val="16"/>
        </w:rPr>
        <w:t>Каллистов</w:t>
      </w:r>
      <w:proofErr w:type="spellEnd"/>
      <w:r w:rsidRPr="00A259BD">
        <w:rPr>
          <w:rFonts w:ascii="Times New Roman" w:hAnsi="Times New Roman"/>
          <w:color w:val="000000" w:themeColor="text1"/>
          <w:sz w:val="16"/>
          <w:szCs w:val="16"/>
        </w:rPr>
        <w:t>, (ВОВ)- И.В. Крыжановский.</w:t>
      </w:r>
      <w:r w:rsidRPr="00A259BD">
        <w:rPr>
          <w:rFonts w:ascii="Times New Roman" w:hAnsi="Times New Roman"/>
          <w:color w:val="000000" w:themeColor="text1"/>
          <w:sz w:val="16"/>
          <w:szCs w:val="16"/>
          <w:vertAlign w:val="superscript"/>
        </w:rPr>
        <w:t>55,56</w:t>
      </w:r>
    </w:p>
    <w:p w14:paraId="6678CF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Начальники отделов: ППО (1937 г.)- Трояновский; ОКС (-11.04.1937 г.)- Головкин (снят); проектно-сметного (1937 г.)- </w:t>
      </w:r>
      <w:proofErr w:type="spellStart"/>
      <w:r w:rsidRPr="00A259BD">
        <w:rPr>
          <w:rFonts w:ascii="Times New Roman" w:hAnsi="Times New Roman"/>
          <w:color w:val="000000" w:themeColor="text1"/>
          <w:sz w:val="16"/>
          <w:szCs w:val="16"/>
        </w:rPr>
        <w:t>Кравцев</w:t>
      </w:r>
      <w:proofErr w:type="spellEnd"/>
      <w:r w:rsidRPr="00A259BD">
        <w:rPr>
          <w:rFonts w:ascii="Times New Roman" w:hAnsi="Times New Roman"/>
          <w:color w:val="000000" w:themeColor="text1"/>
          <w:sz w:val="16"/>
          <w:szCs w:val="16"/>
        </w:rPr>
        <w:t>.</w:t>
      </w:r>
    </w:p>
    <w:p w14:paraId="43B04D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 НИЦ- В. Аликин.</w:t>
      </w:r>
    </w:p>
    <w:p w14:paraId="5D9B51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гл. инженера УКС (1937 г.)- </w:t>
      </w:r>
      <w:proofErr w:type="spellStart"/>
      <w:r w:rsidRPr="00A259BD">
        <w:rPr>
          <w:rFonts w:ascii="Times New Roman" w:hAnsi="Times New Roman"/>
          <w:color w:val="000000" w:themeColor="text1"/>
          <w:sz w:val="16"/>
          <w:szCs w:val="16"/>
        </w:rPr>
        <w:t>Пшенко</w:t>
      </w:r>
      <w:proofErr w:type="spellEnd"/>
      <w:r w:rsidRPr="00A259BD">
        <w:rPr>
          <w:rFonts w:ascii="Times New Roman" w:hAnsi="Times New Roman"/>
          <w:color w:val="000000" w:themeColor="text1"/>
          <w:sz w:val="16"/>
          <w:szCs w:val="16"/>
        </w:rPr>
        <w:t>.</w:t>
      </w:r>
    </w:p>
    <w:p w14:paraId="2AA553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Производство:</w:t>
      </w:r>
      <w:r w:rsidRPr="00A259BD">
        <w:rPr>
          <w:rFonts w:ascii="Times New Roman" w:hAnsi="Times New Roman"/>
          <w:color w:val="000000" w:themeColor="text1"/>
          <w:sz w:val="16"/>
          <w:szCs w:val="16"/>
        </w:rPr>
        <w:t xml:space="preserve"> аммонит (1934-); бикфордов шнур (1935-); заряды для: </w:t>
      </w:r>
      <w:r w:rsidRPr="00A259BD">
        <w:rPr>
          <w:rFonts w:ascii="Times New Roman" w:hAnsi="Times New Roman"/>
          <w:color w:val="000000" w:themeColor="text1"/>
          <w:sz w:val="16"/>
          <w:szCs w:val="16"/>
          <w:lang w:val="en-US"/>
        </w:rPr>
        <w:t>PC</w:t>
      </w:r>
      <w:r w:rsidRPr="00A259BD">
        <w:rPr>
          <w:rFonts w:ascii="Times New Roman" w:hAnsi="Times New Roman"/>
          <w:color w:val="000000" w:themeColor="text1"/>
          <w:sz w:val="16"/>
          <w:szCs w:val="16"/>
        </w:rPr>
        <w:t xml:space="preserve"> М-13 (ВОВ), БР РТ-1 (1950-е), РСЗО «Град», «Смерч» из СНД-1000, ПТРК «Корнет», ЗРК, УРВВ, УРВП, систем ближнего боя, </w:t>
      </w:r>
      <w:proofErr w:type="spellStart"/>
      <w:r w:rsidRPr="00A259BD">
        <w:rPr>
          <w:rFonts w:ascii="Times New Roman" w:hAnsi="Times New Roman"/>
          <w:color w:val="000000" w:themeColor="text1"/>
          <w:sz w:val="16"/>
          <w:szCs w:val="16"/>
        </w:rPr>
        <w:t>артвыстрелоа</w:t>
      </w:r>
      <w:proofErr w:type="spellEnd"/>
      <w:r w:rsidRPr="00A259BD">
        <w:rPr>
          <w:rFonts w:ascii="Times New Roman" w:hAnsi="Times New Roman"/>
          <w:color w:val="000000" w:themeColor="text1"/>
          <w:sz w:val="16"/>
          <w:szCs w:val="16"/>
        </w:rPr>
        <w:t xml:space="preserve"> (2002); </w:t>
      </w:r>
      <w:proofErr w:type="spellStart"/>
      <w:r w:rsidRPr="00A259BD">
        <w:rPr>
          <w:rFonts w:ascii="Times New Roman" w:hAnsi="Times New Roman"/>
          <w:color w:val="000000" w:themeColor="text1"/>
          <w:sz w:val="16"/>
          <w:szCs w:val="16"/>
        </w:rPr>
        <w:t>стартово</w:t>
      </w:r>
      <w:proofErr w:type="spellEnd"/>
      <w:r w:rsidRPr="00A259BD">
        <w:rPr>
          <w:rFonts w:ascii="Times New Roman" w:hAnsi="Times New Roman"/>
          <w:color w:val="000000" w:themeColor="text1"/>
          <w:sz w:val="16"/>
          <w:szCs w:val="16"/>
        </w:rPr>
        <w:t>-разгонные ступени ПКР (2002); сферические пороха для стрелкового оружия (2002);</w:t>
      </w:r>
      <w:r w:rsidRPr="00A259BD">
        <w:rPr>
          <w:rFonts w:ascii="Times New Roman" w:hAnsi="Times New Roman"/>
          <w:color w:val="000000" w:themeColor="text1"/>
          <w:sz w:val="16"/>
          <w:szCs w:val="16"/>
          <w:vertAlign w:val="superscript"/>
        </w:rPr>
        <w:t>69</w:t>
      </w:r>
      <w:r w:rsidRPr="00A259BD">
        <w:rPr>
          <w:rFonts w:ascii="Times New Roman" w:hAnsi="Times New Roman"/>
          <w:color w:val="000000" w:themeColor="text1"/>
          <w:sz w:val="16"/>
          <w:szCs w:val="16"/>
        </w:rPr>
        <w:t xml:space="preserve"> оснастка для производства зарядов из твердого топлива; промышленные ВВ, аккумуляторы давления скважин (2000-е) (11982).</w:t>
      </w:r>
    </w:p>
    <w:p w14:paraId="23764B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C4BD9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Химзавод вступил в строй (Завод № 91 НКТП, НКОП, НКХП, завод № 3 ВХТОП, п/я 5, Сталинградский, Волгоградский химический завод им. С.М. Кирова, Волгоградское ордена Ленина и ордена Октябрьской революции ПО «Химпром» им. С.М. Кирова, Волгоградское АООТ (ВАООТ), ОАО (ВОАО) «Химпром» /г. Сталинград;  г. Волгоград/ /400057  г. Волгоград ул. Промысловая, 23 тел. (8442) 45-19-39/). В 1931 г. получил название завод № 3 ВХТОП, в 1933 г.- завод №91 НКТП. В соответствии с пост. СНК№ 2139-425сс от 21.12.1936 г. и пр. НКОП № 05с от 29.12.1936 г. завод № 91 передан из </w:t>
      </w:r>
      <w:proofErr w:type="spellStart"/>
      <w:r w:rsidRPr="00A259BD">
        <w:rPr>
          <w:rFonts w:ascii="Times New Roman" w:hAnsi="Times New Roman"/>
          <w:color w:val="000000" w:themeColor="text1"/>
          <w:sz w:val="16"/>
          <w:szCs w:val="16"/>
        </w:rPr>
        <w:t>Главоргхимпрома</w:t>
      </w:r>
      <w:proofErr w:type="spellEnd"/>
      <w:r w:rsidRPr="00A259BD">
        <w:rPr>
          <w:rFonts w:ascii="Times New Roman" w:hAnsi="Times New Roman"/>
          <w:color w:val="000000" w:themeColor="text1"/>
          <w:sz w:val="16"/>
          <w:szCs w:val="16"/>
        </w:rPr>
        <w:t xml:space="preserve"> НКТП в ГУ военно-химической промышленности НКОП. Приказом № 107 от 21.03.1937 г. утвержден Устав ГС завода № 91 6ГУ НКОП. В соответствии с пост. СНК № 1960-390сс от 5.11.1936 г. и пр. № 068 от 2.04.1937 г. завод переведен в группу особо режимных предприятий, в 12.1938 г. - в ведении 6ГУ.</w:t>
      </w:r>
    </w:p>
    <w:p w14:paraId="54DD4C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 0022 от 3.02.1937 г. заводу предписано к 1.01.1938 г. ввести в эксплуатацию: цехи по производству вещества № 4, № 10 и № 17, серо-углерода и 4-х хлористого углерода, 1-ю очередь снаряжательной станции, хлорный завод 2-й очереди; закончить реконструкцию производства вещества № 25; начать строительство цеха хлор-газа 3-й очереди; создать мощности по выпуску: вещества № 4 (дымового) - 1000 т в год, вещества № 6 (иприт) - 11 тыс. т, вещества № 17 - 8000 т, вещества № 25 - 5000 т, хлорной извести - 13,5 тыс. т, хлор-газа - 11 тыс. т; по снаряжению мин Стокса и АХ-25. Приказом № 0069 от 4.04.1937 г. предписано ввести в эксплуатацию к 1.01.1938 г. мощности по производству химических авиабомб: АХ-25- 400 тыс. шт. в год, АХ-200- 95 тыс. шт.; предусмотреть возможность снаряжения бомб АХ-500.</w:t>
      </w:r>
    </w:p>
    <w:p w14:paraId="48D159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составе завода (04.1937 г.): цехи № 1,2,3, 5, 6, 7, 11,12,17.</w:t>
      </w:r>
    </w:p>
    <w:p w14:paraId="22574F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пост. ГКО № 99сс от 11.07.1941 г. на площадку завода подлежала эвакуации фабрика № 29 НКХП. В соответствии с пост. ГКО № 2072 от 21.07.1942 г. оборудование завода было эвакуировано в  г. Усолье- Сибирское.</w:t>
      </w:r>
    </w:p>
    <w:p w14:paraId="0A9A12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пост. ГКО № 2895 от 14.02.1943 г. завод № 91 НКХП восстановлен на прежнем месте. В соответствии с пост. ГКО № 4202 от 26.09.1943 г. начато восстановление 2-й очереди завода. Имел наименование «п/я 5».</w:t>
      </w:r>
    </w:p>
    <w:p w14:paraId="53B325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иприта с 1933 г. в цехе № 2 (мощность - 11.000 т. в год). Перед войной велась реконструкция производства, цех находился на консервации. С началом войны производство иприта возобновилось, в 1941-42 г. выпущено 6.000 т. (мощности существовали до 1950 г.). Производство фосгена в цехе № 1 с 1934 г. до 1941 г.</w:t>
      </w:r>
    </w:p>
    <w:p w14:paraId="1ABD58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промплощадке «М» («маргариновой») в 1937 г. был заложен завод по снаряжению химических боеприпасов. Снаряжение - в цехе № 11 в 1943-45 г. (мощности существовали до 1957 г.). С 1946 г. велось строительство цеха и работа опытной установки по выпуску зарина. 4.09.1954 г. вышло постановление СМ СССР о развитии на заводе мобилизационных мощностей по производству ОВ. Затем по 1970-е  г. в цехе № 22- производство опытных партий зарина, зомана (с 1967 г.), </w:t>
      </w:r>
      <w:r w:rsidRPr="00A259BD">
        <w:rPr>
          <w:rFonts w:ascii="Times New Roman" w:hAnsi="Times New Roman"/>
          <w:color w:val="000000" w:themeColor="text1"/>
          <w:sz w:val="16"/>
          <w:szCs w:val="16"/>
          <w:lang w:val="en-US"/>
        </w:rPr>
        <w:t>V</w:t>
      </w:r>
      <w:r w:rsidRPr="00A259BD">
        <w:rPr>
          <w:rFonts w:ascii="Times New Roman" w:hAnsi="Times New Roman"/>
          <w:color w:val="000000" w:themeColor="text1"/>
          <w:sz w:val="16"/>
          <w:szCs w:val="16"/>
        </w:rPr>
        <w:t xml:space="preserve">-газа (цех разрушен в 1975 г.). Первая опытная установка по выпуску </w:t>
      </w:r>
      <w:r w:rsidRPr="00A259BD">
        <w:rPr>
          <w:rFonts w:ascii="Times New Roman" w:hAnsi="Times New Roman"/>
          <w:color w:val="000000" w:themeColor="text1"/>
          <w:sz w:val="16"/>
          <w:szCs w:val="16"/>
          <w:lang w:val="en-US"/>
        </w:rPr>
        <w:t>V</w:t>
      </w:r>
      <w:r w:rsidRPr="00A259BD">
        <w:rPr>
          <w:rFonts w:ascii="Times New Roman" w:hAnsi="Times New Roman"/>
          <w:color w:val="000000" w:themeColor="text1"/>
          <w:sz w:val="16"/>
          <w:szCs w:val="16"/>
        </w:rPr>
        <w:t xml:space="preserve">-газа создана в соответствии с пост. СМ от 18.07.1959 г. В соответствии с пост. СМ от 9.05.1952 г. предусматривалось создание на площадке «М» мощностей по выпуску 2.000 т. зарина в год (по существу, нового завода). С 1959 г. - производство зарина в цехе № 30. Цех № 60 - снаряжение бомб ОХАБ-250, снарядов АХС-85, АХС-122, </w:t>
      </w:r>
      <w:r w:rsidRPr="00A259BD">
        <w:rPr>
          <w:rFonts w:ascii="Times New Roman" w:hAnsi="Times New Roman"/>
          <w:color w:val="000000" w:themeColor="text1"/>
          <w:sz w:val="16"/>
          <w:szCs w:val="16"/>
          <w:lang w:val="en-US"/>
        </w:rPr>
        <w:t>PC</w:t>
      </w:r>
      <w:r w:rsidRPr="00A259BD">
        <w:rPr>
          <w:rFonts w:ascii="Times New Roman" w:hAnsi="Times New Roman"/>
          <w:color w:val="000000" w:themeColor="text1"/>
          <w:sz w:val="16"/>
          <w:szCs w:val="16"/>
        </w:rPr>
        <w:t xml:space="preserve"> МС-14. Вскоре цеха № 30 и 60 объединены в единый цех № 34. В 1981 г. проведена реконструкция снаряжательного цеха № 34 (эксплуатировался до 1987 г., но на 1995 г. мощности существовали).</w:t>
      </w:r>
    </w:p>
    <w:p w14:paraId="6CEC8D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годы войны при заводе действовала ЦЗЛ. В 1942 г. - производство самовоспламеняющейся зажигательной жидкости КС и снаряжение ею зажигательных гранат (бутылок).</w:t>
      </w:r>
      <w:r w:rsidRPr="00A259BD">
        <w:rPr>
          <w:rFonts w:ascii="Times New Roman" w:hAnsi="Times New Roman"/>
          <w:color w:val="000000" w:themeColor="text1"/>
          <w:sz w:val="16"/>
          <w:szCs w:val="16"/>
          <w:vertAlign w:val="superscript"/>
        </w:rPr>
        <w:t>56</w:t>
      </w:r>
    </w:p>
    <w:p w14:paraId="49EE786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завод по решению ГКО № 7692 от 6.03.1945 г. было вывезено из Германии оборудование по производству иприта, табуна и зарина.</w:t>
      </w:r>
    </w:p>
    <w:p w14:paraId="5C8E3D1E" w14:textId="77777777" w:rsidR="00F547C5" w:rsidRPr="00A259BD" w:rsidRDefault="00F547C5" w:rsidP="009236E3">
      <w:pPr>
        <w:tabs>
          <w:tab w:val="left" w:pos="8746"/>
        </w:tabs>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первой половине 1960-х  г. велись работы по выпуску и испытаниям химической БЧ для БР 9К52 «Луна-М». Имелся опытный цех по производству психотропных </w:t>
      </w:r>
      <w:r w:rsidRPr="00A259BD">
        <w:rPr>
          <w:rFonts w:ascii="Times New Roman" w:hAnsi="Times New Roman"/>
          <w:color w:val="000000" w:themeColor="text1"/>
          <w:sz w:val="16"/>
          <w:szCs w:val="16"/>
          <w:lang w:val="en-US"/>
        </w:rPr>
        <w:t>OB</w:t>
      </w:r>
      <w:r w:rsidRPr="00A259BD">
        <w:rPr>
          <w:rFonts w:ascii="Times New Roman" w:hAnsi="Times New Roman"/>
          <w:color w:val="000000" w:themeColor="text1"/>
          <w:sz w:val="16"/>
          <w:szCs w:val="16"/>
        </w:rPr>
        <w:t>.</w:t>
      </w:r>
    </w:p>
    <w:p w14:paraId="57CB94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2.09.1952 г. при Сталинградском химзаводе организована постоянная проектная группа института «</w:t>
      </w:r>
      <w:proofErr w:type="spellStart"/>
      <w:r w:rsidRPr="00A259BD">
        <w:rPr>
          <w:rFonts w:ascii="Times New Roman" w:hAnsi="Times New Roman"/>
          <w:color w:val="000000" w:themeColor="text1"/>
          <w:sz w:val="16"/>
          <w:szCs w:val="16"/>
        </w:rPr>
        <w:t>Гипрохлор</w:t>
      </w:r>
      <w:proofErr w:type="spellEnd"/>
      <w:r w:rsidRPr="00A259BD">
        <w:rPr>
          <w:rFonts w:ascii="Times New Roman" w:hAnsi="Times New Roman"/>
          <w:color w:val="000000" w:themeColor="text1"/>
          <w:sz w:val="16"/>
          <w:szCs w:val="16"/>
        </w:rPr>
        <w:t>». С 1.10.1956 г. группа преобразована в Сталинградский филиал института, далее - «</w:t>
      </w:r>
      <w:proofErr w:type="spellStart"/>
      <w:r w:rsidRPr="00A259BD">
        <w:rPr>
          <w:rFonts w:ascii="Times New Roman" w:hAnsi="Times New Roman"/>
          <w:color w:val="000000" w:themeColor="text1"/>
          <w:sz w:val="16"/>
          <w:szCs w:val="16"/>
        </w:rPr>
        <w:t>Гипросинтез</w:t>
      </w:r>
      <w:proofErr w:type="spellEnd"/>
      <w:r w:rsidRPr="00A259BD">
        <w:rPr>
          <w:rFonts w:ascii="Times New Roman" w:hAnsi="Times New Roman"/>
          <w:color w:val="000000" w:themeColor="text1"/>
          <w:sz w:val="16"/>
          <w:szCs w:val="16"/>
        </w:rPr>
        <w:t>».</w:t>
      </w:r>
    </w:p>
    <w:p w14:paraId="37FD41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Производство хлористого кальция, хлората натрия, </w:t>
      </w:r>
      <w:proofErr w:type="spellStart"/>
      <w:r w:rsidRPr="00A259BD">
        <w:rPr>
          <w:rFonts w:ascii="Times New Roman" w:hAnsi="Times New Roman"/>
          <w:color w:val="000000" w:themeColor="text1"/>
          <w:sz w:val="16"/>
          <w:szCs w:val="16"/>
        </w:rPr>
        <w:t>бензилового</w:t>
      </w:r>
      <w:proofErr w:type="spellEnd"/>
      <w:r w:rsidRPr="00A259BD">
        <w:rPr>
          <w:rFonts w:ascii="Times New Roman" w:hAnsi="Times New Roman"/>
          <w:color w:val="000000" w:themeColor="text1"/>
          <w:sz w:val="16"/>
          <w:szCs w:val="16"/>
        </w:rPr>
        <w:t xml:space="preserve"> спирта, каустической соды, </w:t>
      </w:r>
      <w:proofErr w:type="spellStart"/>
      <w:r w:rsidRPr="00A259BD">
        <w:rPr>
          <w:rFonts w:ascii="Times New Roman" w:hAnsi="Times New Roman"/>
          <w:color w:val="000000" w:themeColor="text1"/>
          <w:sz w:val="16"/>
          <w:szCs w:val="16"/>
        </w:rPr>
        <w:t>метиленхлорида</w:t>
      </w:r>
      <w:proofErr w:type="spellEnd"/>
      <w:r w:rsidRPr="00A259BD">
        <w:rPr>
          <w:rFonts w:ascii="Times New Roman" w:hAnsi="Times New Roman"/>
          <w:color w:val="000000" w:themeColor="text1"/>
          <w:sz w:val="16"/>
          <w:szCs w:val="16"/>
        </w:rPr>
        <w:t xml:space="preserve">, карбида кальция, эмульсионного ПВХ, </w:t>
      </w:r>
      <w:r w:rsidRPr="00A259BD">
        <w:rPr>
          <w:rFonts w:ascii="Times New Roman" w:hAnsi="Times New Roman"/>
          <w:color w:val="000000" w:themeColor="text1"/>
          <w:sz w:val="16"/>
          <w:szCs w:val="16"/>
          <w:lang w:val="en-US"/>
        </w:rPr>
        <w:t>CMC</w:t>
      </w:r>
      <w:r w:rsidRPr="00A259BD">
        <w:rPr>
          <w:rFonts w:ascii="Times New Roman" w:hAnsi="Times New Roman"/>
          <w:color w:val="000000" w:themeColor="text1"/>
          <w:sz w:val="16"/>
          <w:szCs w:val="16"/>
        </w:rPr>
        <w:t>, антипиренов (2003 г.).</w:t>
      </w:r>
    </w:p>
    <w:p w14:paraId="09CC4A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 администрации Кировского р-на  г. Волгограда № 166 от 16.07.1992 г. предприятие получило название Волгоградское ордена Ленина и ордена Октябрьской революции ПО «Химпром» им. С.М. Кирова. 14.02.1994 г. предприятие преобразовано в Волгоградское АООТ «Химпром» (свидетельство о регистрации № 804 выдано администрацией Кировского р-на  г. Волгограда), 17.07.1998 г. - в ОАО (свидетельство № 465). По Указу Президента РФ № 1009 от 4.08.2004 г. вошло в число стратегических оборонных предприятий. Входил в группу «Ренова» (2007 г.).</w:t>
      </w:r>
    </w:p>
    <w:p w14:paraId="7D522D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по предприятию № 959к от 20.04.2004 г. в составе ОАО организовано Управление внутреннего аудита (УВА). В 2004 г. пущена итальянская линия по производству аэрозольных препаратов. Выпускались моющие и дезинфицирующие средства, инсектициды. Производство химических средств защиты растений. Выпускалось (2000-е) более 120 наименований продукции.</w:t>
      </w:r>
    </w:p>
    <w:p w14:paraId="54BA626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03.2007 г. завершена демилитаризация производства, мобилизационные мощности ликвидированы.</w:t>
      </w:r>
      <w:r w:rsidRPr="00A259BD">
        <w:rPr>
          <w:rFonts w:ascii="Times New Roman" w:hAnsi="Times New Roman"/>
          <w:color w:val="000000" w:themeColor="text1"/>
          <w:sz w:val="16"/>
          <w:szCs w:val="16"/>
          <w:vertAlign w:val="superscript"/>
        </w:rPr>
        <w:t>1</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vertAlign w:val="superscript"/>
        </w:rPr>
        <w:t>1104 07</w:t>
      </w:r>
      <w:r w:rsidRPr="00A259BD">
        <w:rPr>
          <w:rFonts w:ascii="Times New Roman" w:hAnsi="Times New Roman"/>
          <w:color w:val="000000" w:themeColor="text1"/>
          <w:sz w:val="16"/>
          <w:szCs w:val="16"/>
        </w:rPr>
        <w:t xml:space="preserve"> В 2007 г. планировалось на площадке предприятия построить магниевый завод. 29.04.2009 г. на предприятии введена процедура наблюдения.</w:t>
      </w:r>
    </w:p>
    <w:p w14:paraId="0D5DE5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(1943 г.)- 480 чел., (1944 г.)- 1300 чел., (2006 г.)- 6587 чел.</w:t>
      </w:r>
    </w:p>
    <w:p w14:paraId="662929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(-12.1936-8.07.1937 г.)- Я.Л. Соломонов, (8.07.1937 г.-&gt; С.З. Трофимов, (29.07-10.10.1938 г.)- Н.А. Зорин, (15.12.1938-41 г.)- М.К. </w:t>
      </w:r>
      <w:proofErr w:type="spellStart"/>
      <w:r w:rsidRPr="00A259BD">
        <w:rPr>
          <w:rFonts w:ascii="Times New Roman" w:hAnsi="Times New Roman"/>
          <w:color w:val="000000" w:themeColor="text1"/>
          <w:sz w:val="16"/>
          <w:szCs w:val="16"/>
        </w:rPr>
        <w:t>Гонобоблев</w:t>
      </w:r>
      <w:proofErr w:type="spellEnd"/>
      <w:r w:rsidRPr="00A259BD">
        <w:rPr>
          <w:rFonts w:ascii="Times New Roman" w:hAnsi="Times New Roman"/>
          <w:color w:val="000000" w:themeColor="text1"/>
          <w:sz w:val="16"/>
          <w:szCs w:val="16"/>
        </w:rPr>
        <w:t xml:space="preserve">, (1941-48 г.)- А.И. Уфлянд, (1948-59 г.)- В.Д. Беляев, (1959-62 г.)- П.В. Вершинин. Гендиректор (-1984-04.2003 г.)- Л. </w:t>
      </w:r>
      <w:proofErr w:type="spellStart"/>
      <w:r w:rsidRPr="00A259BD">
        <w:rPr>
          <w:rFonts w:ascii="Times New Roman" w:hAnsi="Times New Roman"/>
          <w:color w:val="000000" w:themeColor="text1"/>
          <w:sz w:val="16"/>
          <w:szCs w:val="16"/>
        </w:rPr>
        <w:t>Кутянин</w:t>
      </w:r>
      <w:proofErr w:type="spellEnd"/>
      <w:r w:rsidRPr="00A259BD">
        <w:rPr>
          <w:rFonts w:ascii="Times New Roman" w:hAnsi="Times New Roman"/>
          <w:color w:val="000000" w:themeColor="text1"/>
          <w:sz w:val="16"/>
          <w:szCs w:val="16"/>
        </w:rPr>
        <w:t xml:space="preserve">. И.О. гендиректора (04.2003-03,2004 г.)- Е. Кисиль. Гендиректор (03-11.2004 г.)- А. Козлов; временный гендиректор (01.2005 г.-)- Д.В. Осипов; (07.2005-07 г.-)- С.Ю. Лосев. Временный управляющий (04.2009 г.-)- Р.Ю. </w:t>
      </w:r>
      <w:proofErr w:type="spellStart"/>
      <w:r w:rsidRPr="00A259BD">
        <w:rPr>
          <w:rFonts w:ascii="Times New Roman" w:hAnsi="Times New Roman"/>
          <w:color w:val="000000" w:themeColor="text1"/>
          <w:sz w:val="16"/>
          <w:szCs w:val="16"/>
        </w:rPr>
        <w:t>Обсков</w:t>
      </w:r>
      <w:proofErr w:type="spellEnd"/>
      <w:r w:rsidRPr="00A259BD">
        <w:rPr>
          <w:rFonts w:ascii="Times New Roman" w:hAnsi="Times New Roman"/>
          <w:color w:val="000000" w:themeColor="text1"/>
          <w:sz w:val="16"/>
          <w:szCs w:val="16"/>
        </w:rPr>
        <w:t>.</w:t>
      </w:r>
    </w:p>
    <w:p w14:paraId="542BA3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1-й зам. гендиректора (2004 г.)- Д. Шурупов, (11.2004 г.-)- Д.В. Осипов. Зам. директора, гендиректора (2.01- 14.07.1937 г.)- Д.Э. Каганер, (2003 г.)- А. Митрофанов; по производству- С. Сергеев. Помощник директора по найму и увольнению (13.02.1938 г.-)- А.П. </w:t>
      </w:r>
      <w:proofErr w:type="spellStart"/>
      <w:r w:rsidRPr="00A259BD">
        <w:rPr>
          <w:rFonts w:ascii="Times New Roman" w:hAnsi="Times New Roman"/>
          <w:color w:val="000000" w:themeColor="text1"/>
          <w:sz w:val="16"/>
          <w:szCs w:val="16"/>
        </w:rPr>
        <w:t>Шепотиленко</w:t>
      </w:r>
      <w:proofErr w:type="spellEnd"/>
      <w:r w:rsidRPr="00A259BD">
        <w:rPr>
          <w:rFonts w:ascii="Times New Roman" w:hAnsi="Times New Roman"/>
          <w:color w:val="000000" w:themeColor="text1"/>
          <w:sz w:val="16"/>
          <w:szCs w:val="16"/>
        </w:rPr>
        <w:t>.</w:t>
      </w:r>
    </w:p>
    <w:p w14:paraId="291BC0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по стратегическому развитию (2007 г.)-  Г. </w:t>
      </w:r>
      <w:proofErr w:type="spellStart"/>
      <w:r w:rsidRPr="00A259BD">
        <w:rPr>
          <w:rFonts w:ascii="Times New Roman" w:hAnsi="Times New Roman"/>
          <w:color w:val="000000" w:themeColor="text1"/>
          <w:sz w:val="16"/>
          <w:szCs w:val="16"/>
        </w:rPr>
        <w:t>Радковский</w:t>
      </w:r>
      <w:proofErr w:type="spellEnd"/>
      <w:r w:rsidRPr="00A259BD">
        <w:rPr>
          <w:rFonts w:ascii="Times New Roman" w:hAnsi="Times New Roman"/>
          <w:color w:val="000000" w:themeColor="text1"/>
          <w:sz w:val="16"/>
          <w:szCs w:val="16"/>
        </w:rPr>
        <w:t>.</w:t>
      </w:r>
    </w:p>
    <w:p w14:paraId="28BE96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инженер (29.11.1938-41 г.)- А.И. Уфлянд, (1941-47 г.)- М.Н. Мачулкин.</w:t>
      </w:r>
      <w:r w:rsidRPr="00A259BD">
        <w:rPr>
          <w:rFonts w:ascii="Times New Roman" w:hAnsi="Times New Roman"/>
          <w:color w:val="000000" w:themeColor="text1"/>
          <w:sz w:val="16"/>
          <w:szCs w:val="16"/>
          <w:vertAlign w:val="superscript"/>
        </w:rPr>
        <w:t>71</w:t>
      </w:r>
    </w:p>
    <w:p w14:paraId="329E16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 УВА (2006 г.)- Е.Н. </w:t>
      </w:r>
      <w:proofErr w:type="spellStart"/>
      <w:r w:rsidRPr="00A259BD">
        <w:rPr>
          <w:rFonts w:ascii="Times New Roman" w:hAnsi="Times New Roman"/>
          <w:color w:val="000000" w:themeColor="text1"/>
          <w:sz w:val="16"/>
          <w:szCs w:val="16"/>
        </w:rPr>
        <w:t>Завирохина</w:t>
      </w:r>
      <w:proofErr w:type="spellEnd"/>
      <w:r w:rsidRPr="00A259BD">
        <w:rPr>
          <w:rFonts w:ascii="Times New Roman" w:hAnsi="Times New Roman"/>
          <w:color w:val="000000" w:themeColor="text1"/>
          <w:sz w:val="16"/>
          <w:szCs w:val="16"/>
        </w:rPr>
        <w:t>.</w:t>
      </w:r>
    </w:p>
    <w:p w14:paraId="75DFDD6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начальника УВА (2006 г.)- Е.А. Борисова.</w:t>
      </w:r>
    </w:p>
    <w:p w14:paraId="283D65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Комендант (1934-37 г.-)-  Г. Г. </w:t>
      </w:r>
      <w:proofErr w:type="spellStart"/>
      <w:r w:rsidRPr="00A259BD">
        <w:rPr>
          <w:rFonts w:ascii="Times New Roman" w:hAnsi="Times New Roman"/>
          <w:color w:val="000000" w:themeColor="text1"/>
          <w:sz w:val="16"/>
          <w:szCs w:val="16"/>
        </w:rPr>
        <w:t>Рабченя</w:t>
      </w:r>
      <w:proofErr w:type="spellEnd"/>
      <w:r w:rsidRPr="00A259BD">
        <w:rPr>
          <w:rFonts w:ascii="Times New Roman" w:hAnsi="Times New Roman"/>
          <w:color w:val="000000" w:themeColor="text1"/>
          <w:sz w:val="16"/>
          <w:szCs w:val="16"/>
        </w:rPr>
        <w:t>.</w:t>
      </w:r>
    </w:p>
    <w:p w14:paraId="567DEC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Производство:</w:t>
      </w:r>
      <w:r w:rsidRPr="00A259BD">
        <w:rPr>
          <w:rFonts w:ascii="Times New Roman" w:hAnsi="Times New Roman"/>
          <w:color w:val="000000" w:themeColor="text1"/>
          <w:sz w:val="16"/>
          <w:szCs w:val="16"/>
        </w:rPr>
        <w:t xml:space="preserve"> сода каустическая, смолы: ЕП-6602, карбид кальция, поливинилхлорид, едкий натр, трихлорэтилен, хлорат натрия, </w:t>
      </w:r>
      <w:proofErr w:type="spellStart"/>
      <w:r w:rsidRPr="00A259BD">
        <w:rPr>
          <w:rFonts w:ascii="Times New Roman" w:hAnsi="Times New Roman"/>
          <w:color w:val="000000" w:themeColor="text1"/>
          <w:sz w:val="16"/>
          <w:szCs w:val="16"/>
        </w:rPr>
        <w:t>метиленхлорид</w:t>
      </w:r>
      <w:proofErr w:type="spellEnd"/>
      <w:r w:rsidRPr="00A259BD">
        <w:rPr>
          <w:rFonts w:ascii="Times New Roman" w:hAnsi="Times New Roman"/>
          <w:color w:val="000000" w:themeColor="text1"/>
          <w:sz w:val="16"/>
          <w:szCs w:val="16"/>
        </w:rPr>
        <w:t>, хлорная известь, хлороформ (2006); бытовая химия (</w:t>
      </w:r>
      <w:r w:rsidRPr="00A259BD">
        <w:rPr>
          <w:rFonts w:ascii="Times New Roman" w:hAnsi="Times New Roman"/>
          <w:color w:val="000000" w:themeColor="text1"/>
          <w:sz w:val="16"/>
          <w:szCs w:val="16"/>
          <w:lang w:val="en-US"/>
        </w:rPr>
        <w:t>CMC</w:t>
      </w:r>
      <w:r w:rsidRPr="00A259BD">
        <w:rPr>
          <w:rFonts w:ascii="Times New Roman" w:hAnsi="Times New Roman"/>
          <w:color w:val="000000" w:themeColor="text1"/>
          <w:sz w:val="16"/>
          <w:szCs w:val="16"/>
        </w:rPr>
        <w:t xml:space="preserve"> «Пальмира», «Белизна», БИО-</w:t>
      </w:r>
      <w:r w:rsidRPr="00A259BD">
        <w:rPr>
          <w:rFonts w:ascii="Times New Roman" w:hAnsi="Times New Roman"/>
          <w:color w:val="000000" w:themeColor="text1"/>
          <w:sz w:val="16"/>
          <w:szCs w:val="16"/>
          <w:lang w:val="en-US"/>
        </w:rPr>
        <w:t>V</w:t>
      </w:r>
      <w:r w:rsidRPr="00A259BD">
        <w:rPr>
          <w:rFonts w:ascii="Times New Roman" w:hAnsi="Times New Roman"/>
          <w:color w:val="000000" w:themeColor="text1"/>
          <w:sz w:val="16"/>
          <w:szCs w:val="16"/>
        </w:rPr>
        <w:t>, растворители) (2006) (11982).</w:t>
      </w:r>
    </w:p>
    <w:p w14:paraId="37D6A7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0DD7F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создана Фабрика «Клинволокно» (Завод № 507 НКБ, Фабрика «Клинволокно», </w:t>
      </w:r>
      <w:proofErr w:type="spellStart"/>
      <w:r w:rsidRPr="00A259BD">
        <w:rPr>
          <w:rFonts w:ascii="Times New Roman" w:hAnsi="Times New Roman"/>
          <w:color w:val="000000" w:themeColor="text1"/>
          <w:sz w:val="16"/>
          <w:szCs w:val="16"/>
        </w:rPr>
        <w:t>Клннский</w:t>
      </w:r>
      <w:proofErr w:type="spellEnd"/>
      <w:r w:rsidRPr="00A259BD">
        <w:rPr>
          <w:rFonts w:ascii="Times New Roman" w:hAnsi="Times New Roman"/>
          <w:color w:val="000000" w:themeColor="text1"/>
          <w:sz w:val="16"/>
          <w:szCs w:val="16"/>
        </w:rPr>
        <w:t xml:space="preserve"> комбинат вискозного волокна /141600  г. Клин Московской обл. 88-й км Ленинградского ш./). Перед войной - производство вискозных порохов.</w:t>
      </w:r>
    </w:p>
    <w:p w14:paraId="0C6011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1941 г. после начала войны завод эвакуирован в Кустанай.</w:t>
      </w:r>
    </w:p>
    <w:p w14:paraId="5C8C5E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11.1943 г. завод № 507 - в ведении НК текстиля.</w:t>
      </w:r>
    </w:p>
    <w:p w14:paraId="100E5569" w14:textId="77777777" w:rsidR="00154248" w:rsidRPr="00A259BD" w:rsidRDefault="00154248"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507а НК текстиля /Казахстан  г. Кустанай/</w:t>
      </w:r>
    </w:p>
    <w:p w14:paraId="10EF55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 ноября 1941 г. в Кустанай прибыло оборудование эвакуированной фабрики «Клинволокно», размещено в помещении Управления НКВД по Кустанайской обл. на территории фабрики «Большевичка». 16.08.1942 г. вышло постановление ГКО № 2179 о строительстве завода № 507а НК текстиля по производству вискозно-минометных порохов. 12.06.1943 г. вышло постановление ГКО № 3558 о мероприятиях по окончанию строительства и вводу завода в действие (11982).</w:t>
      </w:r>
    </w:p>
    <w:p w14:paraId="48A6ED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EEE1EF"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сотрудниками Центральной научно-исследовательской лаборатории (ЦНИЛ-84) Н.И. Быстровым и И.А. Сыркиным, и продолжены А.Е. Гринбергом и Н.И. Быстровым в СССР были начаты работы по получению гексогена и исследование его свойств. За основу были взяты материалы, появившиеся в зарубежной печати. Предложенный способ получения был достаточно технологичен и заключался в нитровании уротропина концентрированной азотной кислотой. Получавшийся продукт высаживался четырёхкратным количеством холодной воды. Выпадал мелкокристаллический гексоген, а концентрация кислоты уменьшалась до 23–25 %. Отработанная кислота была вполне стабильной и подлежала дальнейшей переработке (19153).</w:t>
      </w:r>
    </w:p>
    <w:p w14:paraId="555E7347" w14:textId="77777777" w:rsidR="003B366D" w:rsidRPr="00A259BD" w:rsidRDefault="003B366D" w:rsidP="009236E3">
      <w:pPr>
        <w:spacing w:after="0" w:line="240" w:lineRule="auto"/>
        <w:jc w:val="both"/>
        <w:rPr>
          <w:rFonts w:ascii="Times New Roman" w:hAnsi="Times New Roman"/>
          <w:color w:val="000000" w:themeColor="text1"/>
          <w:sz w:val="16"/>
          <w:szCs w:val="16"/>
        </w:rPr>
      </w:pPr>
    </w:p>
    <w:p w14:paraId="237942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было решено на базе дореволюционной спичечной фабрики Дунаева и построенных рядом сооружений создать производство швейных машин. Была проведена реконструкция фабрики, и в 1930 г. вступил в строй Ярославский механический завод треста «</w:t>
      </w:r>
      <w:proofErr w:type="spellStart"/>
      <w:r w:rsidRPr="00A259BD">
        <w:rPr>
          <w:rFonts w:ascii="Times New Roman" w:hAnsi="Times New Roman"/>
          <w:color w:val="000000" w:themeColor="text1"/>
          <w:sz w:val="16"/>
          <w:szCs w:val="16"/>
        </w:rPr>
        <w:t>Госшвеймашина</w:t>
      </w:r>
      <w:proofErr w:type="spellEnd"/>
      <w:r w:rsidRPr="00A259BD">
        <w:rPr>
          <w:rFonts w:ascii="Times New Roman" w:hAnsi="Times New Roman"/>
          <w:color w:val="000000" w:themeColor="text1"/>
          <w:sz w:val="16"/>
          <w:szCs w:val="16"/>
        </w:rPr>
        <w:t>». По приказу ВСНХ № 15с от 5.11.1931 г. преобразован в Государственный механический завод № 62 в ведении Всесоюзного снарядного треста и перепрофилирован на производство прессовальных штампов, прессформ, цепей Галя, втулок. В 1934 г. на его базе был создан специальный завод по производству авиационных снарядов.</w:t>
      </w:r>
    </w:p>
    <w:p w14:paraId="7DF490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1932 г. - в ведении НКТП, в 02.1937 г. - в ведении 4ГУ. Приказом НКОП № 91 от 13.03.1937 г. утвержден Устав завода. По пр. № 0180 от 15.08.1937 г. передан в новое 13ГУ. В 02.1939 г. завод № 62 13ГУ НКОП передан в ведение 13ГУ НКБ.</w:t>
      </w:r>
    </w:p>
    <w:p w14:paraId="2A54A15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Приказом НКОП № 0025 от 4.02.1937 г. заводу предписано к 1,01.1938 г. создать мощности по выпуску корпусов снарядов: 20-мм - 1; 45-мм бронебойных - 6 млн. шт. в год. Мощность завода перед эвакуацией: снаряды: 20-мм - 9,6 млн. шт. в год; 25-мм - 1,2 млн. шт.; 37-мм - 9,84 млн. шт.</w:t>
      </w:r>
    </w:p>
    <w:p w14:paraId="0BBEBC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Завод № 62 4ГУ НКБ (производство 20-мм, 25-мм и 37-мм снарядов, всего 1249 ед. оборудования, 1980 чел.) эвакуирован в 1941 г. в  г. Челябинск на площадку бывших складов УГМР </w:t>
      </w:r>
      <w:proofErr w:type="spellStart"/>
      <w:r w:rsidRPr="00A259BD">
        <w:rPr>
          <w:rFonts w:ascii="Times New Roman" w:hAnsi="Times New Roman"/>
          <w:color w:val="000000" w:themeColor="text1"/>
          <w:sz w:val="16"/>
          <w:szCs w:val="16"/>
        </w:rPr>
        <w:t>Наркомзага</w:t>
      </w:r>
      <w:proofErr w:type="spellEnd"/>
      <w:r w:rsidRPr="00A259BD">
        <w:rPr>
          <w:rFonts w:ascii="Times New Roman" w:hAnsi="Times New Roman"/>
          <w:color w:val="000000" w:themeColor="text1"/>
          <w:sz w:val="16"/>
          <w:szCs w:val="16"/>
        </w:rPr>
        <w:t>, первый эшелон прибыл 7.11.1941 г. К 30.12.1941 г. все оборудование прибыло, большая его часть смонтирована и введена в строй. В Челябинске завод № 62 продолжил действовать под прежним номером. К 30.01.1942 г. восстановлено производство мощностью: 20-мм снаряды - 12 млн. шт. в год; 37-мм - 7 млн. шт. 3.11.1944 г. вышло распоряжение ГКО № 6859 о срочной поставке заводу дюралюминия.</w:t>
      </w:r>
    </w:p>
    <w:p w14:paraId="2F5C27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12.1942-04.1943 г. - в ведении 5ГУ НКБ, в 08.1943-09.1944 г. - в ведении 8ГУ. Имел обозначение «п/я 161» (1943 г.). Упоминалось наименование «завод № 3».</w:t>
      </w:r>
    </w:p>
    <w:p w14:paraId="7D6E09A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 месте эвакуированного завода в Ярославле организован механический завод № 599 НКБ. По приказу НКБ № 1045с от 10.11.1943 г. с завода № 62 на завод № 599 переведено 14 специалистов во главе с зам. гл. технолога А.В. </w:t>
      </w:r>
      <w:proofErr w:type="spellStart"/>
      <w:r w:rsidRPr="00A259BD">
        <w:rPr>
          <w:rFonts w:ascii="Times New Roman" w:hAnsi="Times New Roman"/>
          <w:color w:val="000000" w:themeColor="text1"/>
          <w:sz w:val="16"/>
          <w:szCs w:val="16"/>
        </w:rPr>
        <w:t>Шихановым</w:t>
      </w:r>
      <w:proofErr w:type="spellEnd"/>
      <w:r w:rsidRPr="00A259BD">
        <w:rPr>
          <w:rFonts w:ascii="Times New Roman" w:hAnsi="Times New Roman"/>
          <w:color w:val="000000" w:themeColor="text1"/>
          <w:sz w:val="16"/>
          <w:szCs w:val="16"/>
        </w:rPr>
        <w:t>.</w:t>
      </w:r>
    </w:p>
    <w:p w14:paraId="017627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составе завода цехи (1943 г.): основные: механические, прессовый, термический, кузница; вспомогательные: </w:t>
      </w:r>
      <w:proofErr w:type="spellStart"/>
      <w:r w:rsidRPr="00A259BD">
        <w:rPr>
          <w:rFonts w:ascii="Times New Roman" w:hAnsi="Times New Roman"/>
          <w:color w:val="000000" w:themeColor="text1"/>
          <w:sz w:val="16"/>
          <w:szCs w:val="16"/>
        </w:rPr>
        <w:t>оксидировочный</w:t>
      </w:r>
      <w:proofErr w:type="spellEnd"/>
      <w:r w:rsidRPr="00A259BD">
        <w:rPr>
          <w:rFonts w:ascii="Times New Roman" w:hAnsi="Times New Roman"/>
          <w:color w:val="000000" w:themeColor="text1"/>
          <w:sz w:val="16"/>
          <w:szCs w:val="16"/>
        </w:rPr>
        <w:t>.</w:t>
      </w:r>
    </w:p>
    <w:p w14:paraId="2CDB60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войны налажен выпуск зерноочистительных машин, магнитных пускателей, баллонов высокого давления, цилиндров, бытовой техники.</w:t>
      </w:r>
    </w:p>
    <w:p w14:paraId="770CF34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20.11.1981 г. ЧАМЗ награжден Орденом Трудового Красного Знамени.</w:t>
      </w:r>
    </w:p>
    <w:p w14:paraId="46DDDD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имел (2001 г.) испытательный полигон.</w:t>
      </w:r>
    </w:p>
    <w:p w14:paraId="487AB2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15.06.1992 г. пост. Главы администрации  г. Челябинска № 1021 зарегистрировано ГП ЧАМЗ. 28.04.1999 г. утвержден Устав ФГУП ЧАМЗ МЭ, в 2003 г. - в ведении </w:t>
      </w:r>
      <w:proofErr w:type="spellStart"/>
      <w:r w:rsidRPr="00A259BD">
        <w:rPr>
          <w:rFonts w:ascii="Times New Roman" w:hAnsi="Times New Roman"/>
          <w:color w:val="000000" w:themeColor="text1"/>
          <w:sz w:val="16"/>
          <w:szCs w:val="16"/>
        </w:rPr>
        <w:t>Росбоеприпаса</w:t>
      </w:r>
      <w:proofErr w:type="spellEnd"/>
      <w:r w:rsidRPr="00A259BD">
        <w:rPr>
          <w:rFonts w:ascii="Times New Roman" w:hAnsi="Times New Roman"/>
          <w:color w:val="000000" w:themeColor="text1"/>
          <w:sz w:val="16"/>
          <w:szCs w:val="16"/>
        </w:rPr>
        <w:t>, в 2004 г. - ФАП. По Указу Президента РФ № 1009 от 4.08.2004 г. ФГУП вошло в число стратегических оборонных предприятий. В 2008 г. ФГУП являлось банкротом. 29.01.2009 г. на предприятии введена процедура внешнего управления сроком на 18 месяцев.</w:t>
      </w:r>
    </w:p>
    <w:p w14:paraId="261651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Количество оборудования (1943 г.)- 1228 ед.</w:t>
      </w:r>
    </w:p>
    <w:p w14:paraId="4130DC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(1943 г.): производственная- 13292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 вспомогательная- 5348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w:t>
      </w:r>
    </w:p>
    <w:p w14:paraId="0A7502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(10.1941 г.)- 5000 чел., (12.1942 г.)- 4049 чел.</w:t>
      </w:r>
    </w:p>
    <w:p w14:paraId="45F1D1E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(-27.05.1937 г.)- Х.В. Давыдов (снят), (27.05-20.08.1937 г.)- И.Ф. </w:t>
      </w:r>
      <w:proofErr w:type="spellStart"/>
      <w:r w:rsidRPr="00A259BD">
        <w:rPr>
          <w:rFonts w:ascii="Times New Roman" w:hAnsi="Times New Roman"/>
          <w:color w:val="000000" w:themeColor="text1"/>
          <w:sz w:val="16"/>
          <w:szCs w:val="16"/>
        </w:rPr>
        <w:t>Готовкин</w:t>
      </w:r>
      <w:proofErr w:type="spellEnd"/>
      <w:r w:rsidRPr="00A259BD">
        <w:rPr>
          <w:rFonts w:ascii="Times New Roman" w:hAnsi="Times New Roman"/>
          <w:color w:val="000000" w:themeColor="text1"/>
          <w:sz w:val="16"/>
          <w:szCs w:val="16"/>
        </w:rPr>
        <w:t xml:space="preserve">, (20.08.1937 г.-)- С.С. </w:t>
      </w:r>
      <w:proofErr w:type="spellStart"/>
      <w:r w:rsidRPr="00A259BD">
        <w:rPr>
          <w:rFonts w:ascii="Times New Roman" w:hAnsi="Times New Roman"/>
          <w:color w:val="000000" w:themeColor="text1"/>
          <w:sz w:val="16"/>
          <w:szCs w:val="16"/>
        </w:rPr>
        <w:t>Какунин</w:t>
      </w:r>
      <w:proofErr w:type="spellEnd"/>
      <w:r w:rsidRPr="00A259BD">
        <w:rPr>
          <w:rFonts w:ascii="Times New Roman" w:hAnsi="Times New Roman"/>
          <w:color w:val="000000" w:themeColor="text1"/>
          <w:sz w:val="16"/>
          <w:szCs w:val="16"/>
        </w:rPr>
        <w:t xml:space="preserve">, (04.1943 г.)- М.С. Завражнов, (1946-47 г.)- С.С. </w:t>
      </w:r>
      <w:proofErr w:type="spellStart"/>
      <w:r w:rsidRPr="00A259BD">
        <w:rPr>
          <w:rFonts w:ascii="Times New Roman" w:hAnsi="Times New Roman"/>
          <w:color w:val="000000" w:themeColor="text1"/>
          <w:sz w:val="16"/>
          <w:szCs w:val="16"/>
        </w:rPr>
        <w:t>Зарва</w:t>
      </w:r>
      <w:proofErr w:type="spellEnd"/>
      <w:r w:rsidRPr="00A259BD">
        <w:rPr>
          <w:rFonts w:ascii="Times New Roman" w:hAnsi="Times New Roman"/>
          <w:color w:val="000000" w:themeColor="text1"/>
          <w:sz w:val="16"/>
          <w:szCs w:val="16"/>
        </w:rPr>
        <w:t xml:space="preserve">, (1947-53 г.)- С.А. Полянцев, (1953-58 г.)- </w:t>
      </w:r>
      <w:r w:rsidRPr="00A259BD">
        <w:rPr>
          <w:rFonts w:ascii="Times New Roman" w:hAnsi="Times New Roman"/>
          <w:color w:val="000000" w:themeColor="text1"/>
          <w:sz w:val="16"/>
          <w:szCs w:val="16"/>
          <w:lang w:val="en-US"/>
        </w:rPr>
        <w:t>B</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C</w:t>
      </w:r>
      <w:r w:rsidRPr="00A259BD">
        <w:rPr>
          <w:rFonts w:ascii="Times New Roman" w:hAnsi="Times New Roman"/>
          <w:color w:val="000000" w:themeColor="text1"/>
          <w:sz w:val="16"/>
          <w:szCs w:val="16"/>
        </w:rPr>
        <w:t xml:space="preserve">. Кононов, (1958-73 г.)- А.И. </w:t>
      </w:r>
      <w:proofErr w:type="spellStart"/>
      <w:r w:rsidRPr="00A259BD">
        <w:rPr>
          <w:rFonts w:ascii="Times New Roman" w:hAnsi="Times New Roman"/>
          <w:color w:val="000000" w:themeColor="text1"/>
          <w:sz w:val="16"/>
          <w:szCs w:val="16"/>
        </w:rPr>
        <w:t>Бохонов</w:t>
      </w:r>
      <w:proofErr w:type="spellEnd"/>
      <w:r w:rsidRPr="00A259BD">
        <w:rPr>
          <w:rFonts w:ascii="Times New Roman" w:hAnsi="Times New Roman"/>
          <w:color w:val="000000" w:themeColor="text1"/>
          <w:sz w:val="16"/>
          <w:szCs w:val="16"/>
        </w:rPr>
        <w:t>, (1973 г.-)- Н.А. Никитин, В.М. Злоказов, (-1979 г.)- А.А. Бобылев, (1979-95 г.)- Э.А. Останин. Гендиректор (-2008 г.)- Е. Пастушков (осужден), (2009 г.)- А.В. Никулин. Внешний управляющий (01.2009 г.-)- И.А. Золотухин, (15.04.2009 г.-)- В.Д. Коробов.</w:t>
      </w:r>
    </w:p>
    <w:p w14:paraId="690E13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директора (06.1937 г.)- А.П. Надеждин. Зам. гендиректора (2004 г.)- М. </w:t>
      </w:r>
      <w:proofErr w:type="spellStart"/>
      <w:r w:rsidRPr="00A259BD">
        <w:rPr>
          <w:rFonts w:ascii="Times New Roman" w:hAnsi="Times New Roman"/>
          <w:color w:val="000000" w:themeColor="text1"/>
          <w:sz w:val="16"/>
          <w:szCs w:val="16"/>
        </w:rPr>
        <w:t>Гельфоид</w:t>
      </w:r>
      <w:proofErr w:type="spellEnd"/>
      <w:r w:rsidRPr="00A259BD">
        <w:rPr>
          <w:rFonts w:ascii="Times New Roman" w:hAnsi="Times New Roman"/>
          <w:color w:val="000000" w:themeColor="text1"/>
          <w:sz w:val="16"/>
          <w:szCs w:val="16"/>
        </w:rPr>
        <w:t>.</w:t>
      </w:r>
    </w:p>
    <w:p w14:paraId="5BFC253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инженер (06.1937 г.)- А.П. Надеждин, (1946-66 г.)- Ф.Н. Рожков.</w:t>
      </w:r>
    </w:p>
    <w:p w14:paraId="732D9C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гл. технолога (-11.1943 г.)- А.В. Шиханов.</w:t>
      </w:r>
    </w:p>
    <w:p w14:paraId="37D8F6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начальника цеха: </w:t>
      </w:r>
      <w:proofErr w:type="spellStart"/>
      <w:r w:rsidRPr="00A259BD">
        <w:rPr>
          <w:rFonts w:ascii="Times New Roman" w:hAnsi="Times New Roman"/>
          <w:color w:val="000000" w:themeColor="text1"/>
          <w:sz w:val="16"/>
          <w:szCs w:val="16"/>
        </w:rPr>
        <w:t>ремоятно</w:t>
      </w:r>
      <w:proofErr w:type="spellEnd"/>
      <w:r w:rsidRPr="00A259BD">
        <w:rPr>
          <w:rFonts w:ascii="Times New Roman" w:hAnsi="Times New Roman"/>
          <w:color w:val="000000" w:themeColor="text1"/>
          <w:sz w:val="16"/>
          <w:szCs w:val="16"/>
        </w:rPr>
        <w:t>-механического (-11.1943 г.)- Н.В. Захаркин; инструментального (-11.1943 г.)- Н.Т. Сердюк; термического (-11.1943 г.)- Ф.М. Василенко.</w:t>
      </w:r>
    </w:p>
    <w:p w14:paraId="1968C79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Начальники отделов: 2-го (04.1943 г.)- Колодин.</w:t>
      </w:r>
    </w:p>
    <w:p w14:paraId="63BD71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снаряды 20-мм, 23-мм, 37-мм (1943);</w:t>
      </w:r>
      <w:r w:rsidRPr="00A259BD">
        <w:rPr>
          <w:rFonts w:ascii="Times New Roman" w:hAnsi="Times New Roman"/>
          <w:color w:val="000000" w:themeColor="text1"/>
          <w:sz w:val="16"/>
          <w:szCs w:val="16"/>
          <w:vertAlign w:val="superscript"/>
        </w:rPr>
        <w:t>ш</w:t>
      </w:r>
      <w:r w:rsidRPr="00A259BD">
        <w:rPr>
          <w:rFonts w:ascii="Times New Roman" w:hAnsi="Times New Roman"/>
          <w:color w:val="000000" w:themeColor="text1"/>
          <w:sz w:val="16"/>
          <w:szCs w:val="16"/>
        </w:rPr>
        <w:t xml:space="preserve"> снаряды (2001); задвижки для нефтегазовой промышленности ЗМС1; магнитные пускатели ПМА-3000; баллоны для огнетушителей; инструмент режущий; плита газовая «Рябинка» (1993-2007-), электроплита «Рябинка-10» (2001-07-); переключатель для электроплит ПМ-7 (2000-е) (11982).</w:t>
      </w:r>
    </w:p>
    <w:p w14:paraId="75BA0091" w14:textId="77777777" w:rsidR="00154248" w:rsidRPr="00A259BD" w:rsidRDefault="00154248" w:rsidP="009236E3">
      <w:pPr>
        <w:autoSpaceDE w:val="0"/>
        <w:autoSpaceDN w:val="0"/>
        <w:adjustRightInd w:val="0"/>
        <w:spacing w:after="0" w:line="240" w:lineRule="auto"/>
        <w:jc w:val="both"/>
        <w:rPr>
          <w:rFonts w:ascii="Times New Roman" w:hAnsi="Times New Roman"/>
          <w:color w:val="000000" w:themeColor="text1"/>
          <w:sz w:val="16"/>
          <w:szCs w:val="16"/>
        </w:rPr>
      </w:pPr>
    </w:p>
    <w:p w14:paraId="7BB4AC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на новом месте в селе Бобрики начал строиться химкомбинат (</w:t>
      </w:r>
      <w:proofErr w:type="spellStart"/>
      <w:r w:rsidRPr="00A259BD">
        <w:rPr>
          <w:rFonts w:ascii="Times New Roman" w:hAnsi="Times New Roman"/>
          <w:color w:val="000000" w:themeColor="text1"/>
          <w:sz w:val="16"/>
          <w:szCs w:val="16"/>
        </w:rPr>
        <w:t>Бобриковский</w:t>
      </w:r>
      <w:proofErr w:type="spellEnd"/>
      <w:r w:rsidRPr="00A259BD">
        <w:rPr>
          <w:rFonts w:ascii="Times New Roman" w:hAnsi="Times New Roman"/>
          <w:color w:val="000000" w:themeColor="text1"/>
          <w:sz w:val="16"/>
          <w:szCs w:val="16"/>
        </w:rPr>
        <w:t xml:space="preserve"> химический завод, Химический комбинат им. И.В. Сталина, </w:t>
      </w:r>
      <w:proofErr w:type="spellStart"/>
      <w:r w:rsidRPr="00A259BD">
        <w:rPr>
          <w:rFonts w:ascii="Times New Roman" w:hAnsi="Times New Roman"/>
          <w:color w:val="000000" w:themeColor="text1"/>
          <w:sz w:val="16"/>
          <w:szCs w:val="16"/>
        </w:rPr>
        <w:t>Сталиногорский</w:t>
      </w:r>
      <w:proofErr w:type="spellEnd"/>
      <w:r w:rsidRPr="00A259BD">
        <w:rPr>
          <w:rFonts w:ascii="Times New Roman" w:hAnsi="Times New Roman"/>
          <w:color w:val="000000" w:themeColor="text1"/>
          <w:sz w:val="16"/>
          <w:szCs w:val="16"/>
        </w:rPr>
        <w:t xml:space="preserve"> азотно-туковый комбинат им. И.В. Сталина, </w:t>
      </w:r>
      <w:proofErr w:type="spellStart"/>
      <w:r w:rsidRPr="00A259BD">
        <w:rPr>
          <w:rFonts w:ascii="Times New Roman" w:hAnsi="Times New Roman"/>
          <w:color w:val="000000" w:themeColor="text1"/>
          <w:sz w:val="16"/>
          <w:szCs w:val="16"/>
        </w:rPr>
        <w:t>Сталиногорский</w:t>
      </w:r>
      <w:proofErr w:type="spellEnd"/>
      <w:r w:rsidRPr="00A259BD">
        <w:rPr>
          <w:rFonts w:ascii="Times New Roman" w:hAnsi="Times New Roman"/>
          <w:color w:val="000000" w:themeColor="text1"/>
          <w:sz w:val="16"/>
          <w:szCs w:val="16"/>
        </w:rPr>
        <w:t xml:space="preserve"> химический комбинат, Новомосковский химкомбинат /с. Бобрики,  г. </w:t>
      </w:r>
      <w:proofErr w:type="spellStart"/>
      <w:r w:rsidRPr="00A259BD">
        <w:rPr>
          <w:rFonts w:ascii="Times New Roman" w:hAnsi="Times New Roman"/>
          <w:color w:val="000000" w:themeColor="text1"/>
          <w:sz w:val="16"/>
          <w:szCs w:val="16"/>
        </w:rPr>
        <w:t>Сталиногорск</w:t>
      </w:r>
      <w:proofErr w:type="spellEnd"/>
      <w:r w:rsidRPr="00A259BD">
        <w:rPr>
          <w:rFonts w:ascii="Times New Roman" w:hAnsi="Times New Roman"/>
          <w:color w:val="000000" w:themeColor="text1"/>
          <w:sz w:val="16"/>
          <w:szCs w:val="16"/>
        </w:rPr>
        <w:t>,  г. Новомосковск Тульской обл./). По заданию ЦК ВКП (б) должен был вступить в строй к 1.10.1931  г.</w:t>
      </w:r>
      <w:r w:rsidRPr="00A259BD">
        <w:rPr>
          <w:rFonts w:ascii="Times New Roman" w:hAnsi="Times New Roman"/>
          <w:color w:val="000000" w:themeColor="text1"/>
          <w:sz w:val="16"/>
          <w:szCs w:val="16"/>
          <w:vertAlign w:val="superscript"/>
        </w:rPr>
        <w:t>92</w:t>
      </w:r>
    </w:p>
    <w:p w14:paraId="5D4754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10.1940 г. из состава химкомбината выделен завод № 100 НКХП, специализировавшийся только на выпуске иприта. Во время войны воссоединен со </w:t>
      </w:r>
      <w:proofErr w:type="spellStart"/>
      <w:r w:rsidRPr="00A259BD">
        <w:rPr>
          <w:rFonts w:ascii="Times New Roman" w:hAnsi="Times New Roman"/>
          <w:color w:val="000000" w:themeColor="text1"/>
          <w:sz w:val="16"/>
          <w:szCs w:val="16"/>
        </w:rPr>
        <w:t>Сталиногорским</w:t>
      </w:r>
      <w:proofErr w:type="spellEnd"/>
      <w:r w:rsidRPr="00A259BD">
        <w:rPr>
          <w:rFonts w:ascii="Times New Roman" w:hAnsi="Times New Roman"/>
          <w:color w:val="000000" w:themeColor="text1"/>
          <w:sz w:val="16"/>
          <w:szCs w:val="16"/>
        </w:rPr>
        <w:t xml:space="preserve"> азотно-туковым комбинатом. 25.03.1942 г. вышло постановление ГКО № 1487 о </w:t>
      </w:r>
      <w:proofErr w:type="spellStart"/>
      <w:r w:rsidRPr="00A259BD">
        <w:rPr>
          <w:rFonts w:ascii="Times New Roman" w:hAnsi="Times New Roman"/>
          <w:color w:val="000000" w:themeColor="text1"/>
          <w:sz w:val="16"/>
          <w:szCs w:val="16"/>
        </w:rPr>
        <w:t>Сталиногорском</w:t>
      </w:r>
      <w:proofErr w:type="spellEnd"/>
      <w:r w:rsidRPr="00A259BD">
        <w:rPr>
          <w:rFonts w:ascii="Times New Roman" w:hAnsi="Times New Roman"/>
          <w:color w:val="000000" w:themeColor="text1"/>
          <w:sz w:val="16"/>
          <w:szCs w:val="16"/>
        </w:rPr>
        <w:t xml:space="preserve"> химкомбинате; 5.10.1942 г. - постановление ГКО № 2372 о восстановлении </w:t>
      </w:r>
      <w:proofErr w:type="spellStart"/>
      <w:r w:rsidRPr="00A259BD">
        <w:rPr>
          <w:rFonts w:ascii="Times New Roman" w:hAnsi="Times New Roman"/>
          <w:color w:val="000000" w:themeColor="text1"/>
          <w:sz w:val="16"/>
          <w:szCs w:val="16"/>
        </w:rPr>
        <w:t>Сталиногорского</w:t>
      </w:r>
      <w:proofErr w:type="spellEnd"/>
      <w:r w:rsidRPr="00A259BD">
        <w:rPr>
          <w:rFonts w:ascii="Times New Roman" w:hAnsi="Times New Roman"/>
          <w:color w:val="000000" w:themeColor="text1"/>
          <w:sz w:val="16"/>
          <w:szCs w:val="16"/>
        </w:rPr>
        <w:t xml:space="preserve"> химкомбината; 26.05.1943 г. - постановление ГКО № 3430 о </w:t>
      </w:r>
      <w:proofErr w:type="spellStart"/>
      <w:r w:rsidRPr="00A259BD">
        <w:rPr>
          <w:rFonts w:ascii="Times New Roman" w:hAnsi="Times New Roman"/>
          <w:color w:val="000000" w:themeColor="text1"/>
          <w:sz w:val="16"/>
          <w:szCs w:val="16"/>
        </w:rPr>
        <w:t>дополнителных</w:t>
      </w:r>
      <w:proofErr w:type="spellEnd"/>
      <w:r w:rsidRPr="00A259BD">
        <w:rPr>
          <w:rFonts w:ascii="Times New Roman" w:hAnsi="Times New Roman"/>
          <w:color w:val="000000" w:themeColor="text1"/>
          <w:sz w:val="16"/>
          <w:szCs w:val="16"/>
        </w:rPr>
        <w:t xml:space="preserve"> мерах по восстановлению комбината. По распоряжению ГКО № 4095 от 12.09.1943 г. на </w:t>
      </w:r>
      <w:proofErr w:type="spellStart"/>
      <w:r w:rsidRPr="00A259BD">
        <w:rPr>
          <w:rFonts w:ascii="Times New Roman" w:hAnsi="Times New Roman"/>
          <w:color w:val="000000" w:themeColor="text1"/>
          <w:sz w:val="16"/>
          <w:szCs w:val="16"/>
        </w:rPr>
        <w:t>Сталиногорский</w:t>
      </w:r>
      <w:proofErr w:type="spellEnd"/>
      <w:r w:rsidRPr="00A259BD">
        <w:rPr>
          <w:rFonts w:ascii="Times New Roman" w:hAnsi="Times New Roman"/>
          <w:color w:val="000000" w:themeColor="text1"/>
          <w:sz w:val="16"/>
          <w:szCs w:val="16"/>
        </w:rPr>
        <w:t xml:space="preserve"> химкомбинат и </w:t>
      </w:r>
      <w:proofErr w:type="spellStart"/>
      <w:r w:rsidRPr="00A259BD">
        <w:rPr>
          <w:rFonts w:ascii="Times New Roman" w:hAnsi="Times New Roman"/>
          <w:color w:val="000000" w:themeColor="text1"/>
          <w:sz w:val="16"/>
          <w:szCs w:val="16"/>
        </w:rPr>
        <w:t>Уралхимпромстрой</w:t>
      </w:r>
      <w:proofErr w:type="spellEnd"/>
      <w:r w:rsidRPr="00A259BD">
        <w:rPr>
          <w:rFonts w:ascii="Times New Roman" w:hAnsi="Times New Roman"/>
          <w:color w:val="000000" w:themeColor="text1"/>
          <w:sz w:val="16"/>
          <w:szCs w:val="16"/>
        </w:rPr>
        <w:t xml:space="preserve"> направлено 1000 чел., освобожденных из лагерей. Азотный завод был в 1945 г.</w:t>
      </w:r>
    </w:p>
    <w:p w14:paraId="14824F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азотных удобрений. При научной поддержке НИОПИК были пущены цеха по выпуску анилина, малеинового ангидрида, м-</w:t>
      </w:r>
      <w:proofErr w:type="spellStart"/>
      <w:r w:rsidRPr="00A259BD">
        <w:rPr>
          <w:rFonts w:ascii="Times New Roman" w:hAnsi="Times New Roman"/>
          <w:color w:val="000000" w:themeColor="text1"/>
          <w:sz w:val="16"/>
          <w:szCs w:val="16"/>
        </w:rPr>
        <w:t>фенилендиамина</w:t>
      </w:r>
      <w:proofErr w:type="spellEnd"/>
      <w:r w:rsidRPr="00A259BD">
        <w:rPr>
          <w:rFonts w:ascii="Times New Roman" w:hAnsi="Times New Roman"/>
          <w:color w:val="000000" w:themeColor="text1"/>
          <w:sz w:val="16"/>
          <w:szCs w:val="16"/>
        </w:rPr>
        <w:t xml:space="preserve"> (11982).</w:t>
      </w:r>
    </w:p>
    <w:p w14:paraId="662EE683" w14:textId="77777777" w:rsidR="00154248" w:rsidRPr="00A259BD" w:rsidRDefault="00154248" w:rsidP="009236E3">
      <w:pPr>
        <w:spacing w:after="0" w:line="240" w:lineRule="auto"/>
        <w:jc w:val="both"/>
        <w:rPr>
          <w:rFonts w:ascii="Times New Roman" w:hAnsi="Times New Roman"/>
          <w:color w:val="000000" w:themeColor="text1"/>
          <w:sz w:val="16"/>
          <w:szCs w:val="16"/>
        </w:rPr>
      </w:pPr>
    </w:p>
    <w:p w14:paraId="0F886F1D" w14:textId="77777777" w:rsidR="00455096" w:rsidRPr="00A259BD" w:rsidRDefault="00455096" w:rsidP="009236E3">
      <w:pPr>
        <w:spacing w:after="0" w:line="240" w:lineRule="auto"/>
        <w:jc w:val="both"/>
        <w:rPr>
          <w:rFonts w:ascii="Times New Roman" w:hAnsi="Times New Roman"/>
          <w:color w:val="000000" w:themeColor="text1"/>
          <w:sz w:val="16"/>
          <w:szCs w:val="16"/>
          <w:shd w:val="clear" w:color="auto" w:fill="FFFFFF"/>
        </w:rPr>
      </w:pPr>
      <w:bookmarkStart w:id="107" w:name="_Hlk56763083"/>
      <w:r w:rsidRPr="00A259BD">
        <w:rPr>
          <w:rFonts w:ascii="Times New Roman" w:hAnsi="Times New Roman"/>
          <w:color w:val="000000" w:themeColor="text1"/>
          <w:sz w:val="16"/>
          <w:szCs w:val="16"/>
          <w:shd w:val="clear" w:color="auto" w:fill="FFFFFF"/>
        </w:rPr>
        <w:t xml:space="preserve">В 1929 году Председатель </w:t>
      </w:r>
      <w:proofErr w:type="spellStart"/>
      <w:r w:rsidRPr="00A259BD">
        <w:rPr>
          <w:rFonts w:ascii="Times New Roman" w:hAnsi="Times New Roman"/>
          <w:color w:val="000000" w:themeColor="text1"/>
          <w:sz w:val="16"/>
          <w:szCs w:val="16"/>
          <w:shd w:val="clear" w:color="auto" w:fill="FFFFFF"/>
        </w:rPr>
        <w:t>Военно</w:t>
      </w:r>
      <w:proofErr w:type="spellEnd"/>
      <w:r w:rsidRPr="00A259BD">
        <w:rPr>
          <w:rFonts w:ascii="Times New Roman" w:hAnsi="Times New Roman"/>
          <w:color w:val="000000" w:themeColor="text1"/>
          <w:sz w:val="16"/>
          <w:szCs w:val="16"/>
          <w:shd w:val="clear" w:color="auto" w:fill="FFFFFF"/>
        </w:rPr>
        <w:t xml:space="preserve">—научного исследовательского Комитета при Реввоенсовете СССР К.И. Янсон, ознакомившись с работами </w:t>
      </w:r>
      <w:proofErr w:type="spellStart"/>
      <w:r w:rsidRPr="00A259BD">
        <w:rPr>
          <w:rFonts w:ascii="Times New Roman" w:hAnsi="Times New Roman"/>
          <w:color w:val="000000" w:themeColor="text1"/>
          <w:sz w:val="16"/>
          <w:szCs w:val="16"/>
          <w:shd w:val="clear" w:color="auto" w:fill="FFFFFF"/>
        </w:rPr>
        <w:t>Остехбюро</w:t>
      </w:r>
      <w:proofErr w:type="spellEnd"/>
      <w:r w:rsidRPr="00A259BD">
        <w:rPr>
          <w:rFonts w:ascii="Times New Roman" w:hAnsi="Times New Roman"/>
          <w:color w:val="000000" w:themeColor="text1"/>
          <w:sz w:val="16"/>
          <w:szCs w:val="16"/>
          <w:shd w:val="clear" w:color="auto" w:fill="FFFFFF"/>
        </w:rPr>
        <w:t>, представил наркому по Военным делам К.Е. Ворошилову докладную записку следующего содержания:</w:t>
      </w:r>
    </w:p>
    <w:p w14:paraId="001B7019" w14:textId="77777777" w:rsidR="00455096" w:rsidRPr="00A259BD" w:rsidRDefault="00455096"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 xml:space="preserve">«В течение периода времени с 1921 по 1929 год </w:t>
      </w:r>
      <w:proofErr w:type="spellStart"/>
      <w:r w:rsidRPr="00A259BD">
        <w:rPr>
          <w:rFonts w:ascii="Times New Roman" w:hAnsi="Times New Roman"/>
          <w:color w:val="000000" w:themeColor="text1"/>
          <w:sz w:val="16"/>
          <w:szCs w:val="16"/>
          <w:shd w:val="clear" w:color="auto" w:fill="FFFFFF"/>
        </w:rPr>
        <w:t>Остехбюро</w:t>
      </w:r>
      <w:proofErr w:type="spellEnd"/>
      <w:r w:rsidRPr="00A259BD">
        <w:rPr>
          <w:rFonts w:ascii="Times New Roman" w:hAnsi="Times New Roman"/>
          <w:color w:val="000000" w:themeColor="text1"/>
          <w:sz w:val="16"/>
          <w:szCs w:val="16"/>
          <w:shd w:val="clear" w:color="auto" w:fill="FFFFFF"/>
        </w:rPr>
        <w:t xml:space="preserve">, благодаря предприимчивости и энергии его руководителя В.И. </w:t>
      </w:r>
      <w:proofErr w:type="spellStart"/>
      <w:r w:rsidRPr="00A259BD">
        <w:rPr>
          <w:rFonts w:ascii="Times New Roman" w:hAnsi="Times New Roman"/>
          <w:color w:val="000000" w:themeColor="text1"/>
          <w:sz w:val="16"/>
          <w:szCs w:val="16"/>
          <w:shd w:val="clear" w:color="auto" w:fill="FFFFFF"/>
        </w:rPr>
        <w:t>Бекаури</w:t>
      </w:r>
      <w:proofErr w:type="spellEnd"/>
      <w:r w:rsidRPr="00A259BD">
        <w:rPr>
          <w:rFonts w:ascii="Times New Roman" w:hAnsi="Times New Roman"/>
          <w:color w:val="000000" w:themeColor="text1"/>
          <w:sz w:val="16"/>
          <w:szCs w:val="16"/>
          <w:shd w:val="clear" w:color="auto" w:fill="FFFFFF"/>
        </w:rPr>
        <w:t xml:space="preserve">, выросло в крупнейшее предприятие, имеющее в данное время в своем распоряжении большое количество лабораторий, два завода, специальные мастерские и громадные, по нашему </w:t>
      </w:r>
      <w:r w:rsidRPr="00A259BD">
        <w:rPr>
          <w:rFonts w:ascii="Times New Roman" w:hAnsi="Times New Roman"/>
          <w:color w:val="000000" w:themeColor="text1"/>
          <w:sz w:val="16"/>
          <w:szCs w:val="16"/>
          <w:shd w:val="clear" w:color="auto" w:fill="FFFFFF"/>
        </w:rPr>
        <w:lastRenderedPageBreak/>
        <w:t xml:space="preserve">пониманию, плавучие и воздушные средства для производства всевозможных опытов. Работа </w:t>
      </w:r>
      <w:proofErr w:type="spellStart"/>
      <w:r w:rsidRPr="00A259BD">
        <w:rPr>
          <w:rFonts w:ascii="Times New Roman" w:hAnsi="Times New Roman"/>
          <w:color w:val="000000" w:themeColor="text1"/>
          <w:sz w:val="16"/>
          <w:szCs w:val="16"/>
          <w:shd w:val="clear" w:color="auto" w:fill="FFFFFF"/>
        </w:rPr>
        <w:t>Остехбюро</w:t>
      </w:r>
      <w:proofErr w:type="spellEnd"/>
      <w:r w:rsidRPr="00A259BD">
        <w:rPr>
          <w:rFonts w:ascii="Times New Roman" w:hAnsi="Times New Roman"/>
          <w:color w:val="000000" w:themeColor="text1"/>
          <w:sz w:val="16"/>
          <w:szCs w:val="16"/>
          <w:shd w:val="clear" w:color="auto" w:fill="FFFFFF"/>
        </w:rPr>
        <w:t xml:space="preserve"> носит чрезвычайно разнообразный характер, но в основном направлена на усиление обороноспособности Советского Союза...»</w:t>
      </w:r>
    </w:p>
    <w:p w14:paraId="37A82A47" w14:textId="77777777" w:rsidR="00455096" w:rsidRPr="00A259BD" w:rsidRDefault="00455096"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w:t>
      </w:r>
      <w:proofErr w:type="spellStart"/>
      <w:r w:rsidRPr="00A259BD">
        <w:rPr>
          <w:rFonts w:ascii="Times New Roman" w:hAnsi="Times New Roman"/>
          <w:color w:val="000000" w:themeColor="text1"/>
          <w:sz w:val="16"/>
          <w:szCs w:val="16"/>
          <w:shd w:val="clear" w:color="auto" w:fill="FFFFFF"/>
        </w:rPr>
        <w:t>Остехбюро</w:t>
      </w:r>
      <w:proofErr w:type="spellEnd"/>
      <w:r w:rsidRPr="00A259BD">
        <w:rPr>
          <w:rFonts w:ascii="Times New Roman" w:hAnsi="Times New Roman"/>
          <w:color w:val="000000" w:themeColor="text1"/>
          <w:sz w:val="16"/>
          <w:szCs w:val="16"/>
          <w:shd w:val="clear" w:color="auto" w:fill="FFFFFF"/>
        </w:rPr>
        <w:t xml:space="preserve"> является в своем роде единственным учреждением в Союзе, способным на данной стадии своего развития разрешить серьезные технические проблемы, стоящие перед нами в области отыскания новых средств борьбы.</w:t>
      </w:r>
    </w:p>
    <w:p w14:paraId="496AAC4D" w14:textId="77777777" w:rsidR="00455096" w:rsidRPr="00A259BD" w:rsidRDefault="00455096"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shd w:val="clear" w:color="auto" w:fill="FFFFFF"/>
        </w:rPr>
        <w:t xml:space="preserve">Заслуга В.И. </w:t>
      </w:r>
      <w:proofErr w:type="spellStart"/>
      <w:r w:rsidRPr="00A259BD">
        <w:rPr>
          <w:rFonts w:ascii="Times New Roman" w:hAnsi="Times New Roman"/>
          <w:color w:val="000000" w:themeColor="text1"/>
          <w:sz w:val="16"/>
          <w:szCs w:val="16"/>
          <w:shd w:val="clear" w:color="auto" w:fill="FFFFFF"/>
        </w:rPr>
        <w:t>Бекаури</w:t>
      </w:r>
      <w:proofErr w:type="spellEnd"/>
      <w:r w:rsidRPr="00A259BD">
        <w:rPr>
          <w:rFonts w:ascii="Times New Roman" w:hAnsi="Times New Roman"/>
          <w:color w:val="000000" w:themeColor="text1"/>
          <w:sz w:val="16"/>
          <w:szCs w:val="16"/>
          <w:shd w:val="clear" w:color="auto" w:fill="FFFFFF"/>
        </w:rPr>
        <w:t>, как создателя этого учреждения, должна быть оценена по достоинству» (22290).</w:t>
      </w:r>
    </w:p>
    <w:p w14:paraId="1C60EB47" w14:textId="77777777" w:rsidR="00455096" w:rsidRPr="00A259BD" w:rsidRDefault="00455096" w:rsidP="009236E3">
      <w:pPr>
        <w:spacing w:after="0" w:line="240" w:lineRule="auto"/>
        <w:jc w:val="both"/>
        <w:rPr>
          <w:rFonts w:ascii="Times New Roman" w:hAnsi="Times New Roman"/>
          <w:color w:val="000000" w:themeColor="text1"/>
          <w:sz w:val="16"/>
          <w:szCs w:val="16"/>
        </w:rPr>
      </w:pPr>
    </w:p>
    <w:bookmarkEnd w:id="107"/>
    <w:p w14:paraId="304E1378" w14:textId="77777777" w:rsidR="00154248" w:rsidRPr="00A259BD" w:rsidRDefault="0015424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вышло правительственное постановление о беспошлинном ввозе мотоциклов фирмы «Харлей-</w:t>
      </w:r>
      <w:proofErr w:type="spellStart"/>
      <w:r w:rsidRPr="00A259BD">
        <w:rPr>
          <w:rFonts w:ascii="Times New Roman" w:hAnsi="Times New Roman"/>
          <w:color w:val="000000" w:themeColor="text1"/>
          <w:sz w:val="16"/>
          <w:szCs w:val="16"/>
        </w:rPr>
        <w:t>Давидсон</w:t>
      </w:r>
      <w:proofErr w:type="spellEnd"/>
      <w:r w:rsidRPr="00A259BD">
        <w:rPr>
          <w:rFonts w:ascii="Times New Roman" w:hAnsi="Times New Roman"/>
          <w:color w:val="000000" w:themeColor="text1"/>
          <w:sz w:val="16"/>
          <w:szCs w:val="16"/>
        </w:rPr>
        <w:t>». Эти мотоциклы предназначались для военных (в первую очередь - летчиков) как личный транспорт, однако приобретались они и для на</w:t>
      </w:r>
      <w:r w:rsidRPr="00A259BD">
        <w:rPr>
          <w:rFonts w:ascii="Times New Roman" w:hAnsi="Times New Roman"/>
          <w:color w:val="000000" w:themeColor="text1"/>
          <w:sz w:val="16"/>
          <w:szCs w:val="16"/>
        </w:rPr>
        <w:softHyphen/>
        <w:t>родного хозяйства, и частными лицами. Ни «Индиан» (Мап), ни ВЗА, ни другие иностранные (даже лучшие немецкие) модели не могли срав</w:t>
      </w:r>
      <w:r w:rsidRPr="00A259BD">
        <w:rPr>
          <w:rFonts w:ascii="Times New Roman" w:hAnsi="Times New Roman"/>
          <w:color w:val="000000" w:themeColor="text1"/>
          <w:sz w:val="16"/>
          <w:szCs w:val="16"/>
        </w:rPr>
        <w:softHyphen/>
        <w:t>ниться с «Харлей-</w:t>
      </w:r>
      <w:proofErr w:type="spellStart"/>
      <w:r w:rsidRPr="00A259BD">
        <w:rPr>
          <w:rFonts w:ascii="Times New Roman" w:hAnsi="Times New Roman"/>
          <w:color w:val="000000" w:themeColor="text1"/>
          <w:sz w:val="16"/>
          <w:szCs w:val="16"/>
        </w:rPr>
        <w:t>Давидсон</w:t>
      </w:r>
      <w:proofErr w:type="spellEnd"/>
      <w:r w:rsidRPr="00A259BD">
        <w:rPr>
          <w:rFonts w:ascii="Times New Roman" w:hAnsi="Times New Roman"/>
          <w:color w:val="000000" w:themeColor="text1"/>
          <w:sz w:val="16"/>
          <w:szCs w:val="16"/>
        </w:rPr>
        <w:t>» по популярности (15769).</w:t>
      </w:r>
    </w:p>
    <w:p w14:paraId="3E4DC14E" w14:textId="77777777" w:rsidR="00154248" w:rsidRPr="00A259BD" w:rsidRDefault="00154248" w:rsidP="009236E3">
      <w:pPr>
        <w:spacing w:after="0" w:line="240" w:lineRule="auto"/>
        <w:jc w:val="both"/>
        <w:rPr>
          <w:rFonts w:ascii="Times New Roman" w:hAnsi="Times New Roman"/>
          <w:color w:val="000000" w:themeColor="text1"/>
          <w:sz w:val="16"/>
          <w:szCs w:val="16"/>
        </w:rPr>
      </w:pPr>
    </w:p>
    <w:p w14:paraId="47FD97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1929г. на базе ремонтно-механических мастерских был создан Завод № 802 НКМВ, Завод «Красный Профинтерн» НКМВ, Арматурный завод «Красный Профинтерн» </w:t>
      </w:r>
      <w:proofErr w:type="spellStart"/>
      <w:r w:rsidRPr="00A259BD">
        <w:rPr>
          <w:rFonts w:ascii="Times New Roman" w:hAnsi="Times New Roman"/>
          <w:color w:val="000000" w:themeColor="text1"/>
          <w:sz w:val="16"/>
          <w:szCs w:val="16"/>
        </w:rPr>
        <w:t>ММиП</w:t>
      </w:r>
      <w:proofErr w:type="spellEnd"/>
      <w:r w:rsidRPr="00A259BD">
        <w:rPr>
          <w:rFonts w:ascii="Times New Roman" w:hAnsi="Times New Roman"/>
          <w:color w:val="000000" w:themeColor="text1"/>
          <w:sz w:val="16"/>
          <w:szCs w:val="16"/>
        </w:rPr>
        <w:t>, ОАО «</w:t>
      </w:r>
      <w:proofErr w:type="spellStart"/>
      <w:r w:rsidRPr="00A259BD">
        <w:rPr>
          <w:rFonts w:ascii="Times New Roman" w:hAnsi="Times New Roman"/>
          <w:color w:val="000000" w:themeColor="text1"/>
          <w:sz w:val="16"/>
          <w:szCs w:val="16"/>
        </w:rPr>
        <w:t>Армагус</w:t>
      </w:r>
      <w:proofErr w:type="spellEnd"/>
      <w:r w:rsidRPr="00A259BD">
        <w:rPr>
          <w:rFonts w:ascii="Times New Roman" w:hAnsi="Times New Roman"/>
          <w:color w:val="000000" w:themeColor="text1"/>
          <w:sz w:val="16"/>
          <w:szCs w:val="16"/>
        </w:rPr>
        <w:t>» /г. Гусь-Хрустальный ул. Ткацкая «Арматурный завод» (1948 г.)/ /601501 г. Гусь-Хрустальный Владимирской обл. ул. Рудницкой, 4/.</w:t>
      </w:r>
    </w:p>
    <w:p w14:paraId="66AD55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06.1942г. завод - в ведении </w:t>
      </w:r>
      <w:proofErr w:type="spellStart"/>
      <w:r w:rsidRPr="00A259BD">
        <w:rPr>
          <w:rFonts w:ascii="Times New Roman" w:hAnsi="Times New Roman"/>
          <w:color w:val="000000" w:themeColor="text1"/>
          <w:sz w:val="16"/>
          <w:szCs w:val="16"/>
        </w:rPr>
        <w:t>Главлегмаша</w:t>
      </w:r>
      <w:proofErr w:type="spellEnd"/>
      <w:r w:rsidRPr="00A259BD">
        <w:rPr>
          <w:rFonts w:ascii="Times New Roman" w:hAnsi="Times New Roman"/>
          <w:color w:val="000000" w:themeColor="text1"/>
          <w:sz w:val="16"/>
          <w:szCs w:val="16"/>
        </w:rPr>
        <w:t xml:space="preserve"> НКМВ. В соответствии с пост. СНК № 837-430сс от 3.06.1942г. и приказом НКМВ № 250с от 7.07.1942г. завод «Красный Профинтерн» НКМВ переименован в завод № 802 в ведении 2ГУ.</w:t>
      </w:r>
    </w:p>
    <w:p w14:paraId="22C5FE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1947-48г. завод «Красный </w:t>
      </w:r>
      <w:proofErr w:type="spellStart"/>
      <w:r w:rsidRPr="00A259BD">
        <w:rPr>
          <w:rFonts w:ascii="Times New Roman" w:hAnsi="Times New Roman"/>
          <w:color w:val="000000" w:themeColor="text1"/>
          <w:sz w:val="16"/>
          <w:szCs w:val="16"/>
        </w:rPr>
        <w:t>профинтерн</w:t>
      </w:r>
      <w:proofErr w:type="spellEnd"/>
      <w:r w:rsidRPr="00A259BD">
        <w:rPr>
          <w:rFonts w:ascii="Times New Roman" w:hAnsi="Times New Roman"/>
          <w:color w:val="000000" w:themeColor="text1"/>
          <w:sz w:val="16"/>
          <w:szCs w:val="16"/>
        </w:rPr>
        <w:t xml:space="preserve">» - в ведении </w:t>
      </w:r>
      <w:proofErr w:type="spellStart"/>
      <w:r w:rsidRPr="00A259BD">
        <w:rPr>
          <w:rFonts w:ascii="Times New Roman" w:hAnsi="Times New Roman"/>
          <w:color w:val="000000" w:themeColor="text1"/>
          <w:sz w:val="16"/>
          <w:szCs w:val="16"/>
        </w:rPr>
        <w:t>Главармалита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ММиП</w:t>
      </w:r>
      <w:proofErr w:type="spellEnd"/>
      <w:r w:rsidRPr="00A259BD">
        <w:rPr>
          <w:rFonts w:ascii="Times New Roman" w:hAnsi="Times New Roman"/>
          <w:color w:val="000000" w:themeColor="text1"/>
          <w:sz w:val="16"/>
          <w:szCs w:val="16"/>
        </w:rPr>
        <w:t>.</w:t>
      </w:r>
    </w:p>
    <w:p w14:paraId="20D27D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составе предприятия (1947г.) цехи: основные: литейный, кузнечный, арматурно-механический, сборочный; вспомогательные: ремонтный, инструментальный, модельный.</w:t>
      </w:r>
    </w:p>
    <w:p w14:paraId="461DE8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Количество оборудования: (1939г.)- 115 ед., (1946г.)-129 ед., (1947г.)-168 ед.</w:t>
      </w:r>
    </w:p>
    <w:p w14:paraId="0474692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территории (1947г.)- 3,6 га; застройки (1947г.)- 5987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 производственная (1939-46г.)-4080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 (1947г.)- 4406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w:t>
      </w:r>
    </w:p>
    <w:p w14:paraId="00F1CB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(1939г.)- 444 чел., (1946г.)- 511 чел., (1947г.)- 449 чел.</w:t>
      </w:r>
    </w:p>
    <w:p w14:paraId="571947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(06.1942г.)- </w:t>
      </w:r>
      <w:proofErr w:type="spellStart"/>
      <w:r w:rsidRPr="00A259BD">
        <w:rPr>
          <w:rFonts w:ascii="Times New Roman" w:hAnsi="Times New Roman"/>
          <w:color w:val="000000" w:themeColor="text1"/>
          <w:sz w:val="16"/>
          <w:szCs w:val="16"/>
        </w:rPr>
        <w:t>Кафторов</w:t>
      </w:r>
      <w:proofErr w:type="spellEnd"/>
      <w:r w:rsidRPr="00A259BD">
        <w:rPr>
          <w:rFonts w:ascii="Times New Roman" w:hAnsi="Times New Roman"/>
          <w:color w:val="000000" w:themeColor="text1"/>
          <w:sz w:val="16"/>
          <w:szCs w:val="16"/>
        </w:rPr>
        <w:t>, (1948г.)- Горожанкин.</w:t>
      </w:r>
    </w:p>
    <w:p w14:paraId="7FC929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инженер (1948г.)- Солнцев.</w:t>
      </w:r>
    </w:p>
    <w:p w14:paraId="635496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A259BD">
        <w:rPr>
          <w:rFonts w:ascii="Times New Roman" w:hAnsi="Times New Roman"/>
          <w:iCs/>
          <w:color w:val="000000" w:themeColor="text1"/>
          <w:sz w:val="16"/>
          <w:szCs w:val="16"/>
        </w:rPr>
        <w:t>Производство:</w:t>
      </w:r>
      <w:r w:rsidRPr="00A259BD">
        <w:rPr>
          <w:rFonts w:ascii="Times New Roman" w:hAnsi="Times New Roman"/>
          <w:color w:val="000000" w:themeColor="text1"/>
          <w:sz w:val="16"/>
          <w:szCs w:val="16"/>
        </w:rPr>
        <w:t xml:space="preserve"> корпуса 82-мм мин, гранаты Ф-1 (1942); задвижки </w:t>
      </w:r>
      <w:proofErr w:type="spellStart"/>
      <w:r w:rsidRPr="00A259BD">
        <w:rPr>
          <w:rFonts w:ascii="Times New Roman" w:hAnsi="Times New Roman"/>
          <w:color w:val="000000" w:themeColor="text1"/>
          <w:sz w:val="16"/>
          <w:szCs w:val="16"/>
        </w:rPr>
        <w:t>Луддо</w:t>
      </w:r>
      <w:proofErr w:type="spellEnd"/>
      <w:r w:rsidRPr="00A259BD">
        <w:rPr>
          <w:rFonts w:ascii="Times New Roman" w:hAnsi="Times New Roman"/>
          <w:color w:val="000000" w:themeColor="text1"/>
          <w:sz w:val="16"/>
          <w:szCs w:val="16"/>
        </w:rPr>
        <w:t>, клапаны предохранительные, вентили (1947) (11982).</w:t>
      </w:r>
      <w:r w:rsidRPr="00A259BD">
        <w:rPr>
          <w:rFonts w:ascii="Times New Roman" w:hAnsi="Times New Roman"/>
          <w:color w:val="000000" w:themeColor="text1"/>
          <w:sz w:val="16"/>
          <w:szCs w:val="16"/>
          <w:vertAlign w:val="superscript"/>
        </w:rPr>
        <w:t>129</w:t>
      </w:r>
    </w:p>
    <w:p w14:paraId="3F140E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759B00" w14:textId="77777777" w:rsidR="00154248" w:rsidRPr="00A259BD" w:rsidRDefault="0015424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КБ завода «Красный путиловец» (после переименованного в Кировский завод) начало проектирование 203-мм корпусной мортиры «Ж». Длина ствола мортиры составляла 8,25 калибра, а вес ствола с затвором — 1210 кг. Заряжание мортиры раздельно-гильзовое, мортира могла стрелять 203-мм снарядами от гаубиц Б-4 системы Виккерса и системы «Шнейдер — «Красный путиловец».</w:t>
      </w:r>
    </w:p>
    <w:p w14:paraId="5DC858F1" w14:textId="77777777" w:rsidR="00154248" w:rsidRPr="00A259BD" w:rsidRDefault="0015424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Сборка первого опытного образца 203-мм мортиры «Ж» была закончена 31 октября 1931 г., после чего он был направлен на НИАП. После двух выстрелов 15 декабря 1931 г. мортира получила повреждения и была возвращена на завод для исправления, а затем вновь направлена на НИАП.</w:t>
      </w:r>
    </w:p>
    <w:p w14:paraId="6A08FED3" w14:textId="77777777" w:rsidR="00154248" w:rsidRPr="00A259BD" w:rsidRDefault="0015424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22 июня по 31 июля 1932 г. из мортиры сделали еще 153 выстрела. Стрельба велась снарядами весом 81 кг при полном заряде, начальная скорость составляла 260 м/с, а дальность — около 5 км.</w:t>
      </w:r>
    </w:p>
    <w:p w14:paraId="7624C65B" w14:textId="77777777" w:rsidR="00154248" w:rsidRPr="00A259BD" w:rsidRDefault="0015424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Испытания на </w:t>
      </w:r>
      <w:proofErr w:type="spellStart"/>
      <w:r w:rsidRPr="00A259BD">
        <w:rPr>
          <w:rFonts w:ascii="Times New Roman" w:hAnsi="Times New Roman"/>
          <w:color w:val="000000" w:themeColor="text1"/>
          <w:sz w:val="16"/>
          <w:szCs w:val="16"/>
        </w:rPr>
        <w:t>НИАПе</w:t>
      </w:r>
      <w:proofErr w:type="spellEnd"/>
      <w:r w:rsidRPr="00A259BD">
        <w:rPr>
          <w:rFonts w:ascii="Times New Roman" w:hAnsi="Times New Roman"/>
          <w:color w:val="000000" w:themeColor="text1"/>
          <w:sz w:val="16"/>
          <w:szCs w:val="16"/>
        </w:rPr>
        <w:t xml:space="preserve"> продолжались до июля 1934 г., мортира «Ж» показала в целом неплохие результаты, но на вооружение принята не была. Возможно, читатель заметит, что дальность стрельбы мортиры составляла всего 5 км, а, мол, у 203-мм гаубицы Б-4 — 17,9 км. Но дальность была задана системой артиллерийского вооружения на 1929—1932 гг. А главное, мортира «Ж» весила 3,64 т, а Б-4 — 17 т, то есть в 4,7 раза больше, и стоила в несколько раз дороже, а фугасное действие снаряда мортиры «Ж» могло быть сильнее, чем у Б-4. Наконец, максимальный угол возвышения у Б-4 составлял 60°, а у мортиры «Ж» — 75°, что очень важно для боевых действий на пересеченной местности, в городе, для поражения закрытых позиций и т.д. (15117).</w:t>
      </w:r>
    </w:p>
    <w:p w14:paraId="7BDA8BDD" w14:textId="77777777" w:rsidR="00154248" w:rsidRPr="00A259BD" w:rsidRDefault="00154248" w:rsidP="009236E3">
      <w:pPr>
        <w:spacing w:after="0" w:line="240" w:lineRule="auto"/>
        <w:jc w:val="both"/>
        <w:rPr>
          <w:rFonts w:ascii="Times New Roman" w:hAnsi="Times New Roman"/>
          <w:color w:val="000000" w:themeColor="text1"/>
          <w:sz w:val="16"/>
          <w:szCs w:val="16"/>
        </w:rPr>
      </w:pPr>
    </w:p>
    <w:p w14:paraId="0A349267" w14:textId="77777777" w:rsidR="00154248" w:rsidRPr="00A259BD" w:rsidRDefault="0015424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Научно-технический комитет УВМС разработал эскизный проект 130/45-мм пушки Б-13. Проектом предусматривалось гильзовое заряжание, затвор горизонтальный клиновой с полуавтоматикой по типу пушки Б-1-К. </w:t>
      </w:r>
      <w:proofErr w:type="spellStart"/>
      <w:r w:rsidRPr="00A259BD">
        <w:rPr>
          <w:rFonts w:ascii="Times New Roman" w:hAnsi="Times New Roman"/>
          <w:color w:val="000000" w:themeColor="text1"/>
          <w:sz w:val="16"/>
          <w:szCs w:val="16"/>
        </w:rPr>
        <w:t>Досылатель</w:t>
      </w:r>
      <w:proofErr w:type="spellEnd"/>
      <w:r w:rsidRPr="00A259BD">
        <w:rPr>
          <w:rFonts w:ascii="Times New Roman" w:hAnsi="Times New Roman"/>
          <w:color w:val="000000" w:themeColor="text1"/>
          <w:sz w:val="16"/>
          <w:szCs w:val="16"/>
        </w:rPr>
        <w:t xml:space="preserve"> гидропневматический, досылка заряда в гильзе ручная. Вес снаряда 39,86 кг. Длину ствола увеличили до 50 </w:t>
      </w:r>
      <w:proofErr w:type="spellStart"/>
      <w:r w:rsidRPr="00A259BD">
        <w:rPr>
          <w:rFonts w:ascii="Times New Roman" w:hAnsi="Times New Roman"/>
          <w:color w:val="000000" w:themeColor="text1"/>
          <w:sz w:val="16"/>
          <w:szCs w:val="16"/>
        </w:rPr>
        <w:t>клб</w:t>
      </w:r>
      <w:proofErr w:type="spellEnd"/>
      <w:r w:rsidRPr="00A259BD">
        <w:rPr>
          <w:rFonts w:ascii="Times New Roman" w:hAnsi="Times New Roman"/>
          <w:color w:val="000000" w:themeColor="text1"/>
          <w:sz w:val="16"/>
          <w:szCs w:val="16"/>
        </w:rPr>
        <w:t>. Установка предназначалась для вооружения подводных лодок (15132).</w:t>
      </w:r>
    </w:p>
    <w:p w14:paraId="1DE1294D" w14:textId="77777777" w:rsidR="00154248" w:rsidRPr="00A259BD" w:rsidRDefault="00154248" w:rsidP="009236E3">
      <w:pPr>
        <w:spacing w:after="0" w:line="240" w:lineRule="auto"/>
        <w:jc w:val="both"/>
        <w:rPr>
          <w:rFonts w:ascii="Times New Roman" w:hAnsi="Times New Roman"/>
          <w:color w:val="000000" w:themeColor="text1"/>
          <w:sz w:val="16"/>
          <w:szCs w:val="16"/>
        </w:rPr>
      </w:pPr>
    </w:p>
    <w:p w14:paraId="61FA25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w:t>
      </w:r>
      <w:proofErr w:type="spellStart"/>
      <w:r w:rsidRPr="00A259BD">
        <w:rPr>
          <w:rFonts w:ascii="Times New Roman" w:hAnsi="Times New Roman"/>
          <w:color w:val="000000" w:themeColor="text1"/>
          <w:sz w:val="16"/>
          <w:szCs w:val="16"/>
        </w:rPr>
        <w:t>Л.В.Курчевский</w:t>
      </w:r>
      <w:proofErr w:type="spellEnd"/>
      <w:r w:rsidRPr="00A259BD">
        <w:rPr>
          <w:rFonts w:ascii="Times New Roman" w:hAnsi="Times New Roman"/>
          <w:color w:val="000000" w:themeColor="text1"/>
          <w:sz w:val="16"/>
          <w:szCs w:val="16"/>
        </w:rPr>
        <w:t xml:space="preserve"> предложил 3-х и 4-дюймовую картечницу для стрельбы с самолета по неманевренным целям - плотному строю бомбовозов. Идею поддержал член НТК </w:t>
      </w:r>
      <w:proofErr w:type="spellStart"/>
      <w:r w:rsidRPr="00A259BD">
        <w:rPr>
          <w:rFonts w:ascii="Times New Roman" w:hAnsi="Times New Roman"/>
          <w:color w:val="000000" w:themeColor="text1"/>
          <w:sz w:val="16"/>
          <w:szCs w:val="16"/>
        </w:rPr>
        <w:t>артуправления</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А.В.Надашкевич</w:t>
      </w:r>
      <w:proofErr w:type="spellEnd"/>
      <w:r w:rsidRPr="00A259BD">
        <w:rPr>
          <w:rFonts w:ascii="Times New Roman" w:hAnsi="Times New Roman"/>
          <w:color w:val="000000" w:themeColor="text1"/>
          <w:sz w:val="16"/>
          <w:szCs w:val="16"/>
        </w:rPr>
        <w:t xml:space="preserve"> - и тогда то и появилась за два месяца АПК-1 (203,29).</w:t>
      </w:r>
    </w:p>
    <w:p w14:paraId="546D02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515FA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w:t>
      </w:r>
      <w:proofErr w:type="spellStart"/>
      <w:r w:rsidRPr="00A259BD">
        <w:rPr>
          <w:rFonts w:ascii="Times New Roman" w:hAnsi="Times New Roman"/>
          <w:color w:val="000000" w:themeColor="text1"/>
          <w:sz w:val="16"/>
          <w:szCs w:val="16"/>
        </w:rPr>
        <w:t>Л.В.Курчевский</w:t>
      </w:r>
      <w:proofErr w:type="spellEnd"/>
      <w:r w:rsidRPr="00A259BD">
        <w:rPr>
          <w:rFonts w:ascii="Times New Roman" w:hAnsi="Times New Roman"/>
          <w:color w:val="000000" w:themeColor="text1"/>
          <w:sz w:val="16"/>
          <w:szCs w:val="16"/>
        </w:rPr>
        <w:t xml:space="preserve"> приехал в Подлипки на артиллерийский завод 8 и там организовал СКБ-1 (203,28).</w:t>
      </w:r>
    </w:p>
    <w:p w14:paraId="6731B6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94425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w:t>
      </w:r>
      <w:proofErr w:type="spellStart"/>
      <w:r w:rsidRPr="00A259BD">
        <w:rPr>
          <w:rFonts w:ascii="Times New Roman" w:hAnsi="Times New Roman"/>
          <w:color w:val="000000" w:themeColor="text1"/>
          <w:sz w:val="16"/>
          <w:szCs w:val="16"/>
        </w:rPr>
        <w:t>Курчевский</w:t>
      </w:r>
      <w:proofErr w:type="spellEnd"/>
      <w:r w:rsidRPr="00A259BD">
        <w:rPr>
          <w:rFonts w:ascii="Times New Roman" w:hAnsi="Times New Roman"/>
          <w:color w:val="000000" w:themeColor="text1"/>
          <w:sz w:val="16"/>
          <w:szCs w:val="16"/>
        </w:rPr>
        <w:t xml:space="preserve"> прибыл в подмосковный поселок Калининский, неподалеку от железнодорожной стации Подлипки, на артиллерийский завод № 8 им. М.И. Калинина, где организовал Особое конструкторское бюро № 1.</w:t>
      </w:r>
    </w:p>
    <w:p w14:paraId="4662531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Первая пушка, собранная на заводе, представляла собой ствол с раструбом (соплом Лаваля, впервые примененным в артиллерии) на конце общей длиной около 1,2 м, а в качестве запального устройства использовали пистолет "</w:t>
      </w:r>
      <w:proofErr w:type="spellStart"/>
      <w:r w:rsidRPr="00A259BD">
        <w:rPr>
          <w:rFonts w:ascii="Times New Roman" w:hAnsi="Times New Roman"/>
          <w:color w:val="000000" w:themeColor="text1"/>
          <w:sz w:val="16"/>
          <w:szCs w:val="16"/>
        </w:rPr>
        <w:t>брауниг</w:t>
      </w:r>
      <w:proofErr w:type="spellEnd"/>
      <w:r w:rsidRPr="00A259BD">
        <w:rPr>
          <w:rFonts w:ascii="Times New Roman" w:hAnsi="Times New Roman"/>
          <w:color w:val="000000" w:themeColor="text1"/>
          <w:sz w:val="16"/>
          <w:szCs w:val="16"/>
        </w:rPr>
        <w:t>", впоследствии замененный специальным устройством. Если в обычной пушке выстрел состоял из снаряда порохового заряда в гильзе, то в безоткатной - порох помещался в самом снаряде и со стороны донного среза его закрывали пыжом. Выстрел ДРП напоминал реактивный снаряд с той лишь разницей, что в нем не было твердотопливного двигателя, а был, если можно так выразиться, пороховой аккумулятор давления. При выстреле из такой пушки снаряд летел в одну сторону, а через сопло, со стороны казенной части, вырывался поток газа от сгоревшего пороха, компенсирующий отдачу.</w:t>
      </w:r>
    </w:p>
    <w:p w14:paraId="451984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 артиллерийского полигона завода № 8 рассказывал, что заряженную пушку положили на табурет и хотели привязать к спусковому крючку "Браунинга" бечевку, так все боялись стрелять. Увидев оцепенение собравшихся, </w:t>
      </w:r>
      <w:proofErr w:type="spellStart"/>
      <w:r w:rsidRPr="00A259BD">
        <w:rPr>
          <w:rFonts w:ascii="Times New Roman" w:hAnsi="Times New Roman"/>
          <w:color w:val="000000" w:themeColor="text1"/>
          <w:sz w:val="16"/>
          <w:szCs w:val="16"/>
        </w:rPr>
        <w:t>Курчевский</w:t>
      </w:r>
      <w:proofErr w:type="spellEnd"/>
      <w:r w:rsidRPr="00A259BD">
        <w:rPr>
          <w:rFonts w:ascii="Times New Roman" w:hAnsi="Times New Roman"/>
          <w:color w:val="000000" w:themeColor="text1"/>
          <w:sz w:val="16"/>
          <w:szCs w:val="16"/>
        </w:rPr>
        <w:t xml:space="preserve"> подошел к орудию и нажал на спуск, при выстреле пушка чуть-чуть шевельнулась. Рисковый был Леонид Васильевич: ведь снаряд мог взорваться. Но, как говорится, риск - дело благородное, и </w:t>
      </w:r>
      <w:proofErr w:type="spellStart"/>
      <w:r w:rsidRPr="00A259BD">
        <w:rPr>
          <w:rFonts w:ascii="Times New Roman" w:hAnsi="Times New Roman"/>
          <w:color w:val="000000" w:themeColor="text1"/>
          <w:sz w:val="16"/>
          <w:szCs w:val="16"/>
        </w:rPr>
        <w:t>Курчевскому</w:t>
      </w:r>
      <w:proofErr w:type="spellEnd"/>
      <w:r w:rsidRPr="00A259BD">
        <w:rPr>
          <w:rFonts w:ascii="Times New Roman" w:hAnsi="Times New Roman"/>
          <w:color w:val="000000" w:themeColor="text1"/>
          <w:sz w:val="16"/>
          <w:szCs w:val="16"/>
        </w:rPr>
        <w:t xml:space="preserve"> в этом отношении всегда везло.</w:t>
      </w:r>
    </w:p>
    <w:p w14:paraId="7F0D32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1932 г коллектив </w:t>
      </w:r>
      <w:proofErr w:type="spellStart"/>
      <w:r w:rsidRPr="00A259BD">
        <w:rPr>
          <w:rFonts w:ascii="Times New Roman" w:hAnsi="Times New Roman"/>
          <w:color w:val="000000" w:themeColor="text1"/>
          <w:sz w:val="16"/>
          <w:szCs w:val="16"/>
        </w:rPr>
        <w:t>Курчевского</w:t>
      </w:r>
      <w:proofErr w:type="spellEnd"/>
      <w:r w:rsidRPr="00A259BD">
        <w:rPr>
          <w:rFonts w:ascii="Times New Roman" w:hAnsi="Times New Roman"/>
          <w:color w:val="000000" w:themeColor="text1"/>
          <w:sz w:val="16"/>
          <w:szCs w:val="16"/>
        </w:rPr>
        <w:t xml:space="preserve"> преобразовали в Особое конструкторское бюро ГАУ РККА (11617).</w:t>
      </w:r>
    </w:p>
    <w:p w14:paraId="38478C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BF246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году в ходе конфликта с Китаем на Китайско-Восточной железной дороге частями Особой дальневосточной армии были захвачены в числе других трофеев несколько китайских 81-мм минометов, изготовленных по схеме мнимого треугольника и имевших систему воспламенения Стокса-Брандта. Кроме того, было захвачено несколько сот трофейных мин. Группа Д ГДЛ получила возможность изучить трофейные минометы и боеприпасы (3861).</w:t>
      </w:r>
    </w:p>
    <w:p w14:paraId="08950E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96CA1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году была испытана дивизионная пушка, полученная наложением 76-мм ствола в 40 </w:t>
      </w:r>
      <w:proofErr w:type="spellStart"/>
      <w:r w:rsidRPr="00A259BD">
        <w:rPr>
          <w:rFonts w:ascii="Times New Roman" w:hAnsi="Times New Roman"/>
          <w:color w:val="000000" w:themeColor="text1"/>
          <w:sz w:val="16"/>
          <w:szCs w:val="16"/>
        </w:rPr>
        <w:t>клб</w:t>
      </w:r>
      <w:proofErr w:type="spellEnd"/>
      <w:r w:rsidRPr="00A259BD">
        <w:rPr>
          <w:rFonts w:ascii="Times New Roman" w:hAnsi="Times New Roman"/>
          <w:color w:val="000000" w:themeColor="text1"/>
          <w:sz w:val="16"/>
          <w:szCs w:val="16"/>
        </w:rPr>
        <w:t xml:space="preserve"> на лафет 122-мм гаубицы обр. 1909 г. Угол ВН 2; +40. Угол ГН 2. Высота линии огня 1003 мм. Вес системы в боевом положении 1351 кг, в походном 2277 кг. АУ решило, что изготавливать такие системы "нерационально" (3861).</w:t>
      </w:r>
    </w:p>
    <w:p w14:paraId="37844D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90DE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Красная Армия уже имела первые серийные “полковые” танки Т-18, которые уже успели показать себя в ходе Больших Бобруйских маневров. Июльское “танковое” заседание РВС СССР утвердило “систему танко-тракторно-</w:t>
      </w:r>
      <w:proofErr w:type="spellStart"/>
      <w:r w:rsidRPr="00A259BD">
        <w:rPr>
          <w:rFonts w:ascii="Times New Roman" w:hAnsi="Times New Roman"/>
          <w:color w:val="000000" w:themeColor="text1"/>
          <w:sz w:val="16"/>
          <w:szCs w:val="16"/>
        </w:rPr>
        <w:t>автоброневооружения</w:t>
      </w:r>
      <w:proofErr w:type="spellEnd"/>
      <w:r w:rsidRPr="00A259BD">
        <w:rPr>
          <w:rFonts w:ascii="Times New Roman" w:hAnsi="Times New Roman"/>
          <w:color w:val="000000" w:themeColor="text1"/>
          <w:sz w:val="16"/>
          <w:szCs w:val="16"/>
        </w:rPr>
        <w:t xml:space="preserve"> РККА”, которая потребовала кор</w:t>
      </w:r>
      <w:r w:rsidRPr="00A259BD">
        <w:rPr>
          <w:rFonts w:ascii="Times New Roman" w:hAnsi="Times New Roman"/>
          <w:color w:val="000000" w:themeColor="text1"/>
          <w:sz w:val="16"/>
          <w:szCs w:val="16"/>
        </w:rPr>
        <w:softHyphen/>
        <w:t>ректировки и системы артиллерийского вооружения. На</w:t>
      </w:r>
      <w:r w:rsidRPr="00A259BD">
        <w:rPr>
          <w:rFonts w:ascii="Times New Roman" w:hAnsi="Times New Roman"/>
          <w:color w:val="000000" w:themeColor="text1"/>
          <w:sz w:val="16"/>
          <w:szCs w:val="16"/>
        </w:rPr>
        <w:softHyphen/>
        <w:t>чавшаяся индустриализация и развитие автотракторной и танковой промышленности позволили использовать для создания самоходной артиллерии шасси отечественных ав</w:t>
      </w:r>
      <w:r w:rsidRPr="00A259BD">
        <w:rPr>
          <w:rFonts w:ascii="Times New Roman" w:hAnsi="Times New Roman"/>
          <w:color w:val="000000" w:themeColor="text1"/>
          <w:sz w:val="16"/>
          <w:szCs w:val="16"/>
        </w:rPr>
        <w:softHyphen/>
        <w:t>томобилей, тракторов и первых танков.</w:t>
      </w:r>
    </w:p>
    <w:p w14:paraId="75B124A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Постепенно возрождалось и артиллерийское производство. К 1930 г. в серийном производстве на трех артилле</w:t>
      </w:r>
      <w:r w:rsidRPr="00A259BD">
        <w:rPr>
          <w:rFonts w:ascii="Times New Roman" w:hAnsi="Times New Roman"/>
          <w:color w:val="000000" w:themeColor="text1"/>
          <w:sz w:val="16"/>
          <w:szCs w:val="16"/>
        </w:rPr>
        <w:softHyphen/>
        <w:t>рийских заводах было поставлено восемь пушек и гаубиц калибра от 76,2-мм до 152,4-мм и планировалось к освое</w:t>
      </w:r>
      <w:r w:rsidRPr="00A259BD">
        <w:rPr>
          <w:rFonts w:ascii="Times New Roman" w:hAnsi="Times New Roman"/>
          <w:color w:val="000000" w:themeColor="text1"/>
          <w:sz w:val="16"/>
          <w:szCs w:val="16"/>
        </w:rPr>
        <w:softHyphen/>
        <w:t>нию еще несколько. Поэтому постановление 1927 г. “О ме</w:t>
      </w:r>
      <w:r w:rsidRPr="00A259BD">
        <w:rPr>
          <w:rFonts w:ascii="Times New Roman" w:hAnsi="Times New Roman"/>
          <w:color w:val="000000" w:themeColor="text1"/>
          <w:sz w:val="16"/>
          <w:szCs w:val="16"/>
        </w:rPr>
        <w:softHyphen/>
        <w:t>ханизации артиллерии РККА” было скорректировано (11417).</w:t>
      </w:r>
    </w:p>
    <w:p w14:paraId="27D90C7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F0D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году после закупки в Англии танкетки "Карден-</w:t>
      </w:r>
      <w:proofErr w:type="spellStart"/>
      <w:r w:rsidRPr="00A259BD">
        <w:rPr>
          <w:rFonts w:ascii="Times New Roman" w:hAnsi="Times New Roman"/>
          <w:color w:val="000000" w:themeColor="text1"/>
          <w:sz w:val="16"/>
          <w:szCs w:val="16"/>
        </w:rPr>
        <w:t>Лойд</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МкVI</w:t>
      </w:r>
      <w:proofErr w:type="spellEnd"/>
      <w:r w:rsidRPr="00A259BD">
        <w:rPr>
          <w:rFonts w:ascii="Times New Roman" w:hAnsi="Times New Roman"/>
          <w:color w:val="000000" w:themeColor="text1"/>
          <w:sz w:val="16"/>
          <w:szCs w:val="16"/>
        </w:rPr>
        <w:t xml:space="preserve"> было решено начать ее производство, но предварительно устранить имеющиеся недостатки и внести ряд усовершенствований. Этим занялся коллектив конструкторов во главе с Н.Н. Козыревым. Была усилена броневая защита, установлена крыша и откидные броневые колпаки над местами водителя и стрелка. В ходовой части добавилось по паре катков. Машину оснастили мотором и трансмиссией советского производства: двигатель, КПП и дифференциал серийного автомобиля ГАЗ-АА.</w:t>
      </w:r>
    </w:p>
    <w:p w14:paraId="5881B8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Эти изменения привели к значительному увеличений массы и габаритов. Танкетка тем не менее оставалась низкой и неудобной из-за размещения двигателя в середине корпуса без какого-либо ограждения между местами водителя и стрелка. Жесткая ходовая часть создавала сильную тряску на большом ходу. Это создавало неблагоприятные условия для работы экипажа. Приходилось подбирать для Т-27 малорослых людей. Большим недостатком являлось отсутствие средств связи (3861).</w:t>
      </w:r>
    </w:p>
    <w:p w14:paraId="038971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AD6959A"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1929 г. У ММ РККА выдало ТТТ на разработку тяже</w:t>
      </w:r>
      <w:r w:rsidRPr="00A259BD">
        <w:rPr>
          <w:rFonts w:ascii="Times New Roman" w:hAnsi="Times New Roman"/>
          <w:color w:val="000000" w:themeColor="text1"/>
          <w:sz w:val="16"/>
          <w:szCs w:val="16"/>
        </w:rPr>
        <w:softHyphen/>
        <w:t>лого танка массой 60 т с броней 30-50 мм, максимальной скоростью 20-25 км/ч и вооружением из двух 76,2-мм пу</w:t>
      </w:r>
      <w:r w:rsidRPr="00A259BD">
        <w:rPr>
          <w:rFonts w:ascii="Times New Roman" w:hAnsi="Times New Roman"/>
          <w:color w:val="000000" w:themeColor="text1"/>
          <w:sz w:val="16"/>
          <w:szCs w:val="16"/>
        </w:rPr>
        <w:softHyphen/>
        <w:t>шек, одной 37-мм пушки и шести пулеметов. Согласно этим требованиям ОКМО завода “Большевик” провело в 1930—31 гг. разработку проекта тяжелого танка Т-30 (10733,117).</w:t>
      </w:r>
    </w:p>
    <w:p w14:paraId="25360B3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580CE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К. Ворошилов выбрал среди рассмотренных кандидатур конструкторскую группу Э. Гроте на основании того, что один из его членов был социалистом, а сам Гроте сочувствовал коммунистической партии (10733,243).</w:t>
      </w:r>
    </w:p>
    <w:p w14:paraId="3DF3B2F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2483C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проект малого танка для СССР выполнил немец </w:t>
      </w:r>
      <w:proofErr w:type="spellStart"/>
      <w:r w:rsidRPr="00A259BD">
        <w:rPr>
          <w:rFonts w:ascii="Times New Roman" w:hAnsi="Times New Roman"/>
          <w:color w:val="000000" w:themeColor="text1"/>
          <w:sz w:val="16"/>
          <w:szCs w:val="16"/>
        </w:rPr>
        <w:t>Шталлер</w:t>
      </w:r>
      <w:proofErr w:type="spellEnd"/>
      <w:r w:rsidRPr="00A259BD">
        <w:rPr>
          <w:rFonts w:ascii="Times New Roman" w:hAnsi="Times New Roman"/>
          <w:color w:val="000000" w:themeColor="text1"/>
          <w:sz w:val="16"/>
          <w:szCs w:val="16"/>
        </w:rPr>
        <w:t xml:space="preserve"> (10733, 243).</w:t>
      </w:r>
    </w:p>
    <w:p w14:paraId="18E0DE1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B4B595" w14:textId="77777777" w:rsidR="00154248" w:rsidRPr="00A259BD" w:rsidRDefault="0015424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серьёзным испытанием для танков МС-1 стали Большие Бобруйские манёвры. За работой машин наблюдало несколько комиссий. Комиссию от «Большевика» возглавлял инженер Л. Троянов. Несмотря на сложные условия, танки показали удовлетворительные результаты, но выявилось много мелких поломок. Их перечень насчитывал более 50 пунктов. Этот перечень лёг в основу модернизации танка, проводимой в 1929-1930 гг. Большим недостатком машины было расположение 37-мм пушки и пулемёта под углом друг к другу, что не позволяло одновременно наводить их на одну цель (15132).</w:t>
      </w:r>
    </w:p>
    <w:p w14:paraId="00A6C277" w14:textId="77777777" w:rsidR="00154248" w:rsidRPr="00A259BD" w:rsidRDefault="00154248" w:rsidP="009236E3">
      <w:pPr>
        <w:spacing w:after="0" w:line="240" w:lineRule="auto"/>
        <w:jc w:val="both"/>
        <w:rPr>
          <w:rFonts w:ascii="Times New Roman" w:hAnsi="Times New Roman"/>
          <w:color w:val="000000" w:themeColor="text1"/>
          <w:sz w:val="16"/>
          <w:szCs w:val="16"/>
        </w:rPr>
      </w:pPr>
    </w:p>
    <w:p w14:paraId="187EFE97" w14:textId="77777777" w:rsidR="00154248" w:rsidRPr="00A259BD" w:rsidRDefault="0015424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Проводились практические опыты с </w:t>
      </w:r>
      <w:proofErr w:type="spellStart"/>
      <w:r w:rsidRPr="00A259BD">
        <w:rPr>
          <w:rFonts w:ascii="Times New Roman" w:hAnsi="Times New Roman"/>
          <w:color w:val="000000" w:themeColor="text1"/>
          <w:sz w:val="16"/>
          <w:szCs w:val="16"/>
        </w:rPr>
        <w:t>телетанками</w:t>
      </w:r>
      <w:proofErr w:type="spellEnd"/>
      <w:r w:rsidRPr="00A259BD">
        <w:rPr>
          <w:rFonts w:ascii="Times New Roman" w:hAnsi="Times New Roman"/>
          <w:color w:val="000000" w:themeColor="text1"/>
          <w:sz w:val="16"/>
          <w:szCs w:val="16"/>
        </w:rPr>
        <w:t xml:space="preserve"> типа «Рено» и Т-18. В феврале 1930 г. на полигоне под Ленинградом прошло первое испытание танка «Рено», оборудованного аппаратурой телеуправления «Река-1». Весной 1932 г. аппаратурой «Мост-1», а позднее — «Река-1» и «Река-2» был оснащен двухбашенный танк Т-26. В апреле 1932 г. на Московском </w:t>
      </w:r>
      <w:proofErr w:type="spellStart"/>
      <w:r w:rsidRPr="00A259BD">
        <w:rPr>
          <w:rFonts w:ascii="Times New Roman" w:hAnsi="Times New Roman"/>
          <w:color w:val="000000" w:themeColor="text1"/>
          <w:sz w:val="16"/>
          <w:szCs w:val="16"/>
        </w:rPr>
        <w:t>химполигоне</w:t>
      </w:r>
      <w:proofErr w:type="spellEnd"/>
      <w:r w:rsidRPr="00A259BD">
        <w:rPr>
          <w:rFonts w:ascii="Times New Roman" w:hAnsi="Times New Roman"/>
          <w:color w:val="000000" w:themeColor="text1"/>
          <w:sz w:val="16"/>
          <w:szCs w:val="16"/>
        </w:rPr>
        <w:t xml:space="preserve"> проводились испытания этого танка. По результатам испытаний было заказано изготовление четырех </w:t>
      </w:r>
      <w:proofErr w:type="spellStart"/>
      <w:r w:rsidRPr="00A259BD">
        <w:rPr>
          <w:rFonts w:ascii="Times New Roman" w:hAnsi="Times New Roman"/>
          <w:color w:val="000000" w:themeColor="text1"/>
          <w:sz w:val="16"/>
          <w:szCs w:val="16"/>
        </w:rPr>
        <w:t>телетанков</w:t>
      </w:r>
      <w:proofErr w:type="spellEnd"/>
      <w:r w:rsidRPr="00A259BD">
        <w:rPr>
          <w:rFonts w:ascii="Times New Roman" w:hAnsi="Times New Roman"/>
          <w:color w:val="000000" w:themeColor="text1"/>
          <w:sz w:val="16"/>
          <w:szCs w:val="16"/>
        </w:rPr>
        <w:t xml:space="preserve"> и двух танков управления. Аппаратура управления системы </w:t>
      </w:r>
      <w:proofErr w:type="spellStart"/>
      <w:r w:rsidRPr="00A259BD">
        <w:rPr>
          <w:rFonts w:ascii="Times New Roman" w:hAnsi="Times New Roman"/>
          <w:color w:val="000000" w:themeColor="text1"/>
          <w:sz w:val="16"/>
          <w:szCs w:val="16"/>
        </w:rPr>
        <w:t>Остехбюро</w:t>
      </w:r>
      <w:proofErr w:type="spellEnd"/>
      <w:r w:rsidRPr="00A259BD">
        <w:rPr>
          <w:rFonts w:ascii="Times New Roman" w:hAnsi="Times New Roman"/>
          <w:color w:val="000000" w:themeColor="text1"/>
          <w:sz w:val="16"/>
          <w:szCs w:val="16"/>
        </w:rPr>
        <w:t xml:space="preserve"> обр. 1932 г., установленная в этих танках, позволяла выполнять уже 16 команд (15117).</w:t>
      </w:r>
    </w:p>
    <w:p w14:paraId="5AF9928A" w14:textId="77777777" w:rsidR="00154248" w:rsidRPr="00A259BD" w:rsidRDefault="00154248" w:rsidP="009236E3">
      <w:pPr>
        <w:spacing w:after="0" w:line="240" w:lineRule="auto"/>
        <w:jc w:val="both"/>
        <w:rPr>
          <w:rFonts w:ascii="Times New Roman" w:hAnsi="Times New Roman"/>
          <w:color w:val="000000" w:themeColor="text1"/>
          <w:sz w:val="16"/>
          <w:szCs w:val="16"/>
        </w:rPr>
      </w:pPr>
    </w:p>
    <w:p w14:paraId="33779981" w14:textId="77777777" w:rsidR="00154248" w:rsidRPr="00A259BD" w:rsidRDefault="0015424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году попытались доработать самоходную артустановку «Арсеналец-45», однако она закончилась неудачно. Затем шасси «</w:t>
      </w:r>
      <w:proofErr w:type="spellStart"/>
      <w:r w:rsidRPr="00A259BD">
        <w:rPr>
          <w:rFonts w:ascii="Times New Roman" w:hAnsi="Times New Roman"/>
          <w:color w:val="000000" w:themeColor="text1"/>
          <w:sz w:val="16"/>
          <w:szCs w:val="16"/>
        </w:rPr>
        <w:t>Арсенальца</w:t>
      </w:r>
      <w:proofErr w:type="spellEnd"/>
      <w:r w:rsidRPr="00A259BD">
        <w:rPr>
          <w:rFonts w:ascii="Times New Roman" w:hAnsi="Times New Roman"/>
          <w:color w:val="000000" w:themeColor="text1"/>
          <w:sz w:val="16"/>
          <w:szCs w:val="16"/>
        </w:rPr>
        <w:t>» бросили в сарае завода № 7, а ствол и салазки — в опытной мастерской. АУ РККА в мае 1930 года передало материалы по изготовлению и испытанию системы в ОГПУ. О дальнейшей судьбе «</w:t>
      </w:r>
      <w:proofErr w:type="spellStart"/>
      <w:r w:rsidRPr="00A259BD">
        <w:rPr>
          <w:rFonts w:ascii="Times New Roman" w:hAnsi="Times New Roman"/>
          <w:color w:val="000000" w:themeColor="text1"/>
          <w:sz w:val="16"/>
          <w:szCs w:val="16"/>
        </w:rPr>
        <w:t>Арсенальца</w:t>
      </w:r>
      <w:proofErr w:type="spellEnd"/>
      <w:r w:rsidRPr="00A259BD">
        <w:rPr>
          <w:rFonts w:ascii="Times New Roman" w:hAnsi="Times New Roman"/>
          <w:color w:val="000000" w:themeColor="text1"/>
          <w:sz w:val="16"/>
          <w:szCs w:val="16"/>
        </w:rPr>
        <w:t>» информации нет (15599).</w:t>
      </w:r>
    </w:p>
    <w:p w14:paraId="0E48B219" w14:textId="77777777" w:rsidR="00154248" w:rsidRPr="00A259BD" w:rsidRDefault="00154248" w:rsidP="009236E3">
      <w:pPr>
        <w:spacing w:after="0" w:line="240" w:lineRule="auto"/>
        <w:jc w:val="both"/>
        <w:rPr>
          <w:rFonts w:ascii="Times New Roman" w:hAnsi="Times New Roman"/>
          <w:color w:val="000000" w:themeColor="text1"/>
          <w:sz w:val="16"/>
          <w:szCs w:val="16"/>
        </w:rPr>
      </w:pPr>
    </w:p>
    <w:p w14:paraId="15E520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году были предприняты попытки доработать САУ "Арсеналец-45" завода № 7., закончившиеся неудачей. Затем шасси "</w:t>
      </w:r>
      <w:proofErr w:type="spellStart"/>
      <w:r w:rsidRPr="00A259BD">
        <w:rPr>
          <w:rFonts w:ascii="Times New Roman" w:hAnsi="Times New Roman"/>
          <w:color w:val="000000" w:themeColor="text1"/>
          <w:sz w:val="16"/>
          <w:szCs w:val="16"/>
        </w:rPr>
        <w:t>Арсенальца</w:t>
      </w:r>
      <w:proofErr w:type="spellEnd"/>
      <w:r w:rsidRPr="00A259BD">
        <w:rPr>
          <w:rFonts w:ascii="Times New Roman" w:hAnsi="Times New Roman"/>
          <w:color w:val="000000" w:themeColor="text1"/>
          <w:sz w:val="16"/>
          <w:szCs w:val="16"/>
        </w:rPr>
        <w:t>" были брошены в сарае завода № 7, а ствол с салазками в опытной мастерской (3861).</w:t>
      </w:r>
    </w:p>
    <w:p w14:paraId="121AE4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CCC0E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немецкие расходы на «Томку» составили 780 тыс. марок. По мнению начальника ВОХИМУ Штаба РККА Фишмана, в 1929 г. темпы и эффективность работ несколько снизились, поэтому он постоянно настаивал на том, чтобы интенсивность испытаний и расходы немцев на них возрастали. С другой стороны, были объективные причины, не позволявшие </w:t>
      </w:r>
      <w:proofErr w:type="spellStart"/>
      <w:r w:rsidRPr="00A259BD">
        <w:rPr>
          <w:rFonts w:ascii="Times New Roman" w:hAnsi="Times New Roman"/>
          <w:color w:val="000000" w:themeColor="text1"/>
          <w:sz w:val="16"/>
          <w:szCs w:val="16"/>
        </w:rPr>
        <w:t>интенсивировать</w:t>
      </w:r>
      <w:proofErr w:type="spellEnd"/>
      <w:r w:rsidRPr="00A259BD">
        <w:rPr>
          <w:rFonts w:ascii="Times New Roman" w:hAnsi="Times New Roman"/>
          <w:color w:val="000000" w:themeColor="text1"/>
          <w:sz w:val="16"/>
          <w:szCs w:val="16"/>
        </w:rPr>
        <w:t xml:space="preserve"> исследовательские работы — это и недостаточная техническая оснащенность, и просчеты в предшествовавших разработках, и дефекты в изделиях (11784). </w:t>
      </w:r>
    </w:p>
    <w:p w14:paraId="2B53CC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8E9E7A2" w14:textId="77777777" w:rsidR="00FD7C6C" w:rsidRPr="00A259BD" w:rsidRDefault="00FD7C6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вынашивалась идея создания при ГВПУ единого танкового конструкторско-исследовательского центра с мощной производственной базой. Как один из возможных вариантов рассматривалась организация ЦКБ по танкам и </w:t>
      </w:r>
      <w:proofErr w:type="spellStart"/>
      <w:r w:rsidRPr="00A259BD">
        <w:rPr>
          <w:rFonts w:ascii="Times New Roman" w:hAnsi="Times New Roman"/>
          <w:color w:val="000000" w:themeColor="text1"/>
          <w:sz w:val="16"/>
          <w:szCs w:val="16"/>
        </w:rPr>
        <w:t>автобронемашинам</w:t>
      </w:r>
      <w:proofErr w:type="spellEnd"/>
      <w:r w:rsidRPr="00A259BD">
        <w:rPr>
          <w:rFonts w:ascii="Times New Roman" w:hAnsi="Times New Roman"/>
          <w:color w:val="000000" w:themeColor="text1"/>
          <w:sz w:val="16"/>
          <w:szCs w:val="16"/>
        </w:rPr>
        <w:t xml:space="preserve"> на базе НАМИ в Москве. В 1931 г. ВСНХ считал необходимым возложить эти функции на НАТИ (12137).</w:t>
      </w:r>
    </w:p>
    <w:p w14:paraId="50680087" w14:textId="77777777" w:rsidR="00FD7C6C" w:rsidRPr="00A259BD" w:rsidRDefault="00FD7C6C" w:rsidP="009236E3">
      <w:pPr>
        <w:pStyle w:val="83"/>
        <w:shd w:val="clear" w:color="auto" w:fill="auto"/>
        <w:spacing w:after="0" w:line="240" w:lineRule="auto"/>
        <w:ind w:firstLine="0"/>
        <w:jc w:val="both"/>
        <w:rPr>
          <w:rFonts w:ascii="Times New Roman" w:hAnsi="Times New Roman"/>
          <w:color w:val="000000" w:themeColor="text1"/>
          <w:sz w:val="16"/>
          <w:szCs w:val="16"/>
        </w:rPr>
      </w:pPr>
    </w:p>
    <w:p w14:paraId="40E90A3E" w14:textId="77777777" w:rsidR="00FD7C6C" w:rsidRPr="00A259BD" w:rsidRDefault="00FD7C6C"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в Ленинграде при заводе «Большевик» было организовано специализированное танковое опытно-конструкторское и экспериментально-исследовательское бюро машиностроительного отдела – ОКМО, возглавляемого К.К. </w:t>
      </w:r>
      <w:proofErr w:type="spellStart"/>
      <w:r w:rsidRPr="00A259BD">
        <w:rPr>
          <w:rFonts w:ascii="Times New Roman" w:hAnsi="Times New Roman"/>
          <w:color w:val="000000" w:themeColor="text1"/>
          <w:sz w:val="16"/>
          <w:szCs w:val="16"/>
        </w:rPr>
        <w:t>Сиркеном</w:t>
      </w:r>
      <w:proofErr w:type="spellEnd"/>
      <w:r w:rsidRPr="00A259BD">
        <w:rPr>
          <w:rFonts w:ascii="Times New Roman" w:hAnsi="Times New Roman"/>
          <w:color w:val="000000" w:themeColor="text1"/>
          <w:sz w:val="16"/>
          <w:szCs w:val="16"/>
        </w:rPr>
        <w:t xml:space="preserve">. Московское конструкторское бюро С.П. </w:t>
      </w:r>
      <w:proofErr w:type="spellStart"/>
      <w:r w:rsidRPr="00A259BD">
        <w:rPr>
          <w:rFonts w:ascii="Times New Roman" w:hAnsi="Times New Roman"/>
          <w:color w:val="000000" w:themeColor="text1"/>
          <w:sz w:val="16"/>
          <w:szCs w:val="16"/>
        </w:rPr>
        <w:t>Шукалова</w:t>
      </w:r>
      <w:proofErr w:type="spellEnd"/>
      <w:r w:rsidRPr="00A259BD">
        <w:rPr>
          <w:rFonts w:ascii="Times New Roman" w:hAnsi="Times New Roman"/>
          <w:color w:val="000000" w:themeColor="text1"/>
          <w:sz w:val="16"/>
          <w:szCs w:val="16"/>
        </w:rPr>
        <w:t xml:space="preserve"> в начале 1930-х гг. полностью прекратило работу в области танкостроения. Отдельные ведущие сотрудники переехали в Ленинград, а после свертывания на заводе «Большевик» авиамоторного производства (отдел АВО-5 был ликвидирован) многие специалисты этого производства переквалифицировались в танкостроителей (Н.В. Барыков, Г.О. Гутман, Л.С. Троянов и другие). Начальником ОКМО с сентября 1930 г. стал Н.В. Барыков. С выделением танкового производства в феврале 1932 г. из завода «Большевик» и образованием самостоятельного завода №174 им. Ворошилова, ОКМО, по сути, стал самой крупной и авторитетной конструкторско-исследовательской организацией вплоть до конца 1930-х гг. С сентября 1933 г. отдел приобрел самостоятельность и функционировал как Завод опытного машиностроения №185 им. Кирова. В мае 1940 г. он вошел в состав завода №174 (12137).</w:t>
      </w:r>
    </w:p>
    <w:p w14:paraId="473AC623" w14:textId="77777777" w:rsidR="00FD7C6C" w:rsidRPr="00A259BD" w:rsidRDefault="00FD7C6C" w:rsidP="009236E3">
      <w:pPr>
        <w:pStyle w:val="83"/>
        <w:shd w:val="clear" w:color="auto" w:fill="auto"/>
        <w:spacing w:after="0" w:line="240" w:lineRule="auto"/>
        <w:ind w:firstLine="0"/>
        <w:jc w:val="both"/>
        <w:rPr>
          <w:rFonts w:ascii="Times New Roman" w:hAnsi="Times New Roman"/>
          <w:color w:val="000000" w:themeColor="text1"/>
          <w:sz w:val="16"/>
          <w:szCs w:val="16"/>
        </w:rPr>
      </w:pPr>
    </w:p>
    <w:p w14:paraId="34D00FD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году ХПЗ был изготовлен первый такой дизель мощностью 1 800 л.с. — из отечественных материалов, без иностранной технической помощи. Эта была большая победа дизелистов ХПЗ, их достойный вклад </w:t>
      </w:r>
      <w:r w:rsidRPr="00A259BD">
        <w:rPr>
          <w:rFonts w:ascii="Times New Roman" w:hAnsi="Times New Roman"/>
          <w:color w:val="000000" w:themeColor="text1"/>
          <w:sz w:val="16"/>
          <w:szCs w:val="16"/>
          <w:vertAlign w:val="superscript"/>
        </w:rPr>
        <w:t>;</w:t>
      </w:r>
      <w:r w:rsidRPr="00A259BD">
        <w:rPr>
          <w:rFonts w:ascii="Times New Roman" w:hAnsi="Times New Roman"/>
          <w:color w:val="000000" w:themeColor="text1"/>
          <w:sz w:val="16"/>
          <w:szCs w:val="16"/>
        </w:rPr>
        <w:t xml:space="preserve"> в досрочное выполнение первого пятилетнего плана (11504).</w:t>
      </w:r>
    </w:p>
    <w:p w14:paraId="2CFCB73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0DD2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на ЯГАЗ освоено производство автомобилей Я-5 грузоподъемностью 5 тонн и шасси Я-6 для автобусов, с силовым агрегатом фирмы "Геркулес" мощностью 93,5 л.с. 6 ноября. Ярославский государственный автомобильный завод № З входит в подчинение Всероссийского автотракторного отдела (ВАТО) ВСНХ (11246).</w:t>
      </w:r>
    </w:p>
    <w:p w14:paraId="0B5D25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F751C6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году в Московской области проводились изыскания для строительства мотоциклетного завода, проектируемого в тресте </w:t>
      </w:r>
      <w:proofErr w:type="spellStart"/>
      <w:r w:rsidRPr="00A259BD">
        <w:rPr>
          <w:rFonts w:ascii="Times New Roman" w:hAnsi="Times New Roman"/>
          <w:color w:val="000000" w:themeColor="text1"/>
          <w:sz w:val="16"/>
          <w:szCs w:val="16"/>
        </w:rPr>
        <w:t>Главмашинстрой</w:t>
      </w:r>
      <w:proofErr w:type="spellEnd"/>
      <w:r w:rsidRPr="00A259BD">
        <w:rPr>
          <w:rFonts w:ascii="Times New Roman" w:hAnsi="Times New Roman"/>
          <w:color w:val="000000" w:themeColor="text1"/>
          <w:sz w:val="16"/>
          <w:szCs w:val="16"/>
        </w:rPr>
        <w:t>, стоимостью 18 млн р. и плановой годо</w:t>
      </w:r>
      <w:r w:rsidRPr="00A259BD">
        <w:rPr>
          <w:rFonts w:ascii="Times New Roman" w:hAnsi="Times New Roman"/>
          <w:color w:val="000000" w:themeColor="text1"/>
          <w:sz w:val="16"/>
          <w:szCs w:val="16"/>
        </w:rPr>
        <w:softHyphen/>
        <w:t>вой производительностью 35 тыс. мотоциклов [3.100] (11429).</w:t>
      </w:r>
    </w:p>
    <w:p w14:paraId="1ACEB6D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4A1F4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в отличие от этих городов, где пытались строить мотоциклы и хлопотали о финансировании строительства мотоциклетного завода, Ленинградское отделение </w:t>
      </w:r>
      <w:proofErr w:type="spellStart"/>
      <w:r w:rsidRPr="00A259BD">
        <w:rPr>
          <w:rFonts w:ascii="Times New Roman" w:hAnsi="Times New Roman"/>
          <w:color w:val="000000" w:themeColor="text1"/>
          <w:sz w:val="16"/>
          <w:szCs w:val="16"/>
        </w:rPr>
        <w:t>АВТОДОРа</w:t>
      </w:r>
      <w:proofErr w:type="spellEnd"/>
      <w:r w:rsidRPr="00A259BD">
        <w:rPr>
          <w:rFonts w:ascii="Times New Roman" w:hAnsi="Times New Roman"/>
          <w:color w:val="000000" w:themeColor="text1"/>
          <w:sz w:val="16"/>
          <w:szCs w:val="16"/>
        </w:rPr>
        <w:t xml:space="preserve"> занималось спор</w:t>
      </w:r>
      <w:r w:rsidRPr="00A259BD">
        <w:rPr>
          <w:rFonts w:ascii="Times New Roman" w:hAnsi="Times New Roman"/>
          <w:color w:val="000000" w:themeColor="text1"/>
          <w:sz w:val="16"/>
          <w:szCs w:val="16"/>
        </w:rPr>
        <w:softHyphen/>
        <w:t xml:space="preserve">тивной и лекционной деятельностью, пропагандировало полное заимствование </w:t>
      </w:r>
      <w:proofErr w:type="spellStart"/>
      <w:r w:rsidRPr="00A259BD">
        <w:rPr>
          <w:rFonts w:ascii="Times New Roman" w:hAnsi="Times New Roman"/>
          <w:color w:val="000000" w:themeColor="text1"/>
          <w:sz w:val="16"/>
          <w:szCs w:val="16"/>
        </w:rPr>
        <w:t>мотоциклостроения</w:t>
      </w:r>
      <w:proofErr w:type="spellEnd"/>
      <w:r w:rsidRPr="00A259BD">
        <w:rPr>
          <w:rFonts w:ascii="Times New Roman" w:hAnsi="Times New Roman"/>
          <w:color w:val="000000" w:themeColor="text1"/>
          <w:sz w:val="16"/>
          <w:szCs w:val="16"/>
        </w:rPr>
        <w:t xml:space="preserve"> из-за рубежа. Ещё во время постройки ижевских мотоциклов А. Иерусалимский опубликовал статью, в которой подвижническую деятельность ижевчан назы</w:t>
      </w:r>
      <w:r w:rsidRPr="00A259BD">
        <w:rPr>
          <w:rFonts w:ascii="Times New Roman" w:hAnsi="Times New Roman"/>
          <w:color w:val="000000" w:themeColor="text1"/>
          <w:sz w:val="16"/>
          <w:szCs w:val="16"/>
        </w:rPr>
        <w:softHyphen/>
        <w:t>вал “поползновениями”, и выдвигал идею создания Комитета по содействию советскому производству мотоциклов [3.63], от име</w:t>
      </w:r>
      <w:r w:rsidRPr="00A259BD">
        <w:rPr>
          <w:rFonts w:ascii="Times New Roman" w:hAnsi="Times New Roman"/>
          <w:color w:val="000000" w:themeColor="text1"/>
          <w:sz w:val="16"/>
          <w:szCs w:val="16"/>
        </w:rPr>
        <w:softHyphen/>
        <w:t>ни которого было бы удобней критиковать создание отечествен</w:t>
      </w:r>
      <w:r w:rsidRPr="00A259BD">
        <w:rPr>
          <w:rFonts w:ascii="Times New Roman" w:hAnsi="Times New Roman"/>
          <w:color w:val="000000" w:themeColor="text1"/>
          <w:sz w:val="16"/>
          <w:szCs w:val="16"/>
        </w:rPr>
        <w:softHyphen/>
        <w:t>ных мотоциклов. В период проведения Первого Всесоюзного пробега советских мотоциклов он предлагал поэтапно разрешить эту проблему. На первом этапе (1930) А. Иерусалимский совето</w:t>
      </w:r>
      <w:r w:rsidRPr="00A259BD">
        <w:rPr>
          <w:rFonts w:ascii="Times New Roman" w:hAnsi="Times New Roman"/>
          <w:color w:val="000000" w:themeColor="text1"/>
          <w:sz w:val="16"/>
          <w:szCs w:val="16"/>
        </w:rPr>
        <w:softHyphen/>
        <w:t>вал освоить сборку мотоциклов одной марки из иностранных комплектующих изделий. На втором - (к концу 1933) - строить мотоциклы с импортными двигателями на отечественной ходо</w:t>
      </w:r>
      <w:r w:rsidRPr="00A259BD">
        <w:rPr>
          <w:rFonts w:ascii="Times New Roman" w:hAnsi="Times New Roman"/>
          <w:color w:val="000000" w:themeColor="text1"/>
          <w:sz w:val="16"/>
          <w:szCs w:val="16"/>
        </w:rPr>
        <w:softHyphen/>
        <w:t>вой части. И только на третьем - к концу пятилетки (1938) - пол</w:t>
      </w:r>
      <w:r w:rsidRPr="00A259BD">
        <w:rPr>
          <w:rFonts w:ascii="Times New Roman" w:hAnsi="Times New Roman"/>
          <w:color w:val="000000" w:themeColor="text1"/>
          <w:sz w:val="16"/>
          <w:szCs w:val="16"/>
        </w:rPr>
        <w:softHyphen/>
        <w:t>ностью перейти на изготовление мотоциклов из отечественных материалов. Он рекомендовал изготавливать довольно-таки при</w:t>
      </w:r>
      <w:r w:rsidRPr="00A259BD">
        <w:rPr>
          <w:rFonts w:ascii="Times New Roman" w:hAnsi="Times New Roman"/>
          <w:color w:val="000000" w:themeColor="text1"/>
          <w:sz w:val="16"/>
          <w:szCs w:val="16"/>
        </w:rPr>
        <w:softHyphen/>
        <w:t>митивный лёгкий мотоцикл “Ковентри-250” [3.101], который в тот период серийно ещё не выпускали [3.102].</w:t>
      </w:r>
    </w:p>
    <w:p w14:paraId="419E4B85"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C402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член-корреспондент АН СССР </w:t>
      </w:r>
      <w:proofErr w:type="spellStart"/>
      <w:r w:rsidRPr="00A259BD">
        <w:rPr>
          <w:rFonts w:ascii="Times New Roman" w:hAnsi="Times New Roman"/>
          <w:color w:val="000000" w:themeColor="text1"/>
          <w:sz w:val="16"/>
          <w:szCs w:val="16"/>
        </w:rPr>
        <w:t>Е.И.Шпитальский</w:t>
      </w:r>
      <w:proofErr w:type="spellEnd"/>
      <w:r w:rsidRPr="00A259BD">
        <w:rPr>
          <w:rFonts w:ascii="Times New Roman" w:hAnsi="Times New Roman"/>
          <w:color w:val="000000" w:themeColor="text1"/>
          <w:sz w:val="16"/>
          <w:szCs w:val="16"/>
        </w:rPr>
        <w:t>, который налаживал выпуск иприта и фосгена в московском ГСНИИОХТ, был арестован и осужден по антисоветскому обвинению, однако смертный приговор был заменен на десятилетний срок тюремного заключения с отбытием на рабочем месте. Ученый продолжал руководить работами по созданию химического оружия до самой смерти102,165. Использование труда заключенных практиковалось в этом институте вплоть до "оттепели" (9066).</w:t>
      </w:r>
    </w:p>
    <w:p w14:paraId="2AA6E2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F5DE1FD" w14:textId="77777777" w:rsidR="00154248" w:rsidRPr="00A259BD" w:rsidRDefault="00154248"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мина БЕМИ была принята на вооружение, а весной 1930 г. началось ее серийное производство. К тому времени подобного оружия не было ни в одной стране мира. В 1932 г. в Красной армии появились целые подразделения, вооруженные разными типами </w:t>
      </w:r>
      <w:proofErr w:type="spellStart"/>
      <w:r w:rsidRPr="00A259BD">
        <w:rPr>
          <w:rFonts w:ascii="Times New Roman" w:hAnsi="Times New Roman"/>
          <w:color w:val="000000" w:themeColor="text1"/>
          <w:sz w:val="16"/>
          <w:szCs w:val="16"/>
        </w:rPr>
        <w:t>радиофугасов</w:t>
      </w:r>
      <w:proofErr w:type="spellEnd"/>
      <w:r w:rsidRPr="00A259BD">
        <w:rPr>
          <w:rFonts w:ascii="Times New Roman" w:hAnsi="Times New Roman"/>
          <w:color w:val="000000" w:themeColor="text1"/>
          <w:sz w:val="16"/>
          <w:szCs w:val="16"/>
        </w:rPr>
        <w:t>. Сокращенно их называли ТОС — техника особой секретности (15117).</w:t>
      </w:r>
    </w:p>
    <w:p w14:paraId="2FB392F5" w14:textId="77777777" w:rsidR="00154248" w:rsidRPr="00A259BD" w:rsidRDefault="00154248" w:rsidP="009236E3">
      <w:pPr>
        <w:spacing w:after="0" w:line="240" w:lineRule="auto"/>
        <w:jc w:val="both"/>
        <w:rPr>
          <w:rFonts w:ascii="Times New Roman" w:hAnsi="Times New Roman"/>
          <w:color w:val="000000" w:themeColor="text1"/>
          <w:sz w:val="16"/>
          <w:szCs w:val="16"/>
        </w:rPr>
      </w:pPr>
    </w:p>
    <w:p w14:paraId="17199800" w14:textId="77777777" w:rsidR="00154248" w:rsidRPr="00A259BD" w:rsidRDefault="00154248"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системы </w:t>
      </w:r>
      <w:proofErr w:type="spellStart"/>
      <w:r w:rsidRPr="00A259BD">
        <w:rPr>
          <w:rFonts w:ascii="Times New Roman" w:hAnsi="Times New Roman"/>
          <w:color w:val="000000" w:themeColor="text1"/>
          <w:sz w:val="16"/>
          <w:szCs w:val="16"/>
        </w:rPr>
        <w:t>Беми</w:t>
      </w:r>
      <w:proofErr w:type="spellEnd"/>
      <w:r w:rsidRPr="00A259BD">
        <w:rPr>
          <w:rFonts w:ascii="Times New Roman" w:hAnsi="Times New Roman"/>
          <w:color w:val="000000" w:themeColor="text1"/>
          <w:sz w:val="16"/>
          <w:szCs w:val="16"/>
        </w:rPr>
        <w:t xml:space="preserve"> приняли на вооружение (93,5).</w:t>
      </w:r>
    </w:p>
    <w:p w14:paraId="4BE8E70E" w14:textId="77777777" w:rsidR="00154248" w:rsidRPr="00A259BD" w:rsidRDefault="00154248" w:rsidP="009236E3">
      <w:pPr>
        <w:autoSpaceDE w:val="0"/>
        <w:autoSpaceDN w:val="0"/>
        <w:adjustRightInd w:val="0"/>
        <w:spacing w:after="0" w:line="240" w:lineRule="auto"/>
        <w:jc w:val="both"/>
        <w:rPr>
          <w:rFonts w:ascii="Times New Roman" w:hAnsi="Times New Roman"/>
          <w:color w:val="000000" w:themeColor="text1"/>
          <w:sz w:val="16"/>
          <w:szCs w:val="16"/>
        </w:rPr>
      </w:pPr>
    </w:p>
    <w:p w14:paraId="40F4E0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1929/30 годах в системе </w:t>
      </w:r>
      <w:proofErr w:type="spellStart"/>
      <w:r w:rsidRPr="00A259BD">
        <w:rPr>
          <w:rFonts w:ascii="Times New Roman" w:hAnsi="Times New Roman"/>
          <w:color w:val="000000" w:themeColor="text1"/>
          <w:sz w:val="16"/>
          <w:szCs w:val="16"/>
        </w:rPr>
        <w:t>Вохимтреста</w:t>
      </w:r>
      <w:proofErr w:type="spellEnd"/>
      <w:r w:rsidRPr="00A259BD">
        <w:rPr>
          <w:rFonts w:ascii="Times New Roman" w:hAnsi="Times New Roman"/>
          <w:color w:val="000000" w:themeColor="text1"/>
          <w:sz w:val="16"/>
          <w:szCs w:val="16"/>
        </w:rPr>
        <w:t xml:space="preserve"> начал строиться комбинат “К” - завод 98.</w:t>
      </w:r>
    </w:p>
    <w:p w14:paraId="0D5A1A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Место: Нижняя Курья Свердловской области, в 1935 году – Пермь, п/я 63 (д. 403)</w:t>
      </w:r>
    </w:p>
    <w:p w14:paraId="54A8A9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июле 1932 года строительство комбината “К” было переименовано в строительство “</w:t>
      </w:r>
      <w:proofErr w:type="spellStart"/>
      <w:r w:rsidRPr="00A259BD">
        <w:rPr>
          <w:rFonts w:ascii="Times New Roman" w:hAnsi="Times New Roman"/>
          <w:color w:val="000000" w:themeColor="text1"/>
          <w:sz w:val="16"/>
          <w:szCs w:val="16"/>
        </w:rPr>
        <w:t>Камхимстрой</w:t>
      </w:r>
      <w:proofErr w:type="spellEnd"/>
      <w:r w:rsidRPr="00A259BD">
        <w:rPr>
          <w:rFonts w:ascii="Times New Roman" w:hAnsi="Times New Roman"/>
          <w:color w:val="000000" w:themeColor="text1"/>
          <w:sz w:val="16"/>
          <w:szCs w:val="16"/>
        </w:rPr>
        <w:t>”, подчиненный непосредственно НКТП. С 1 января 1933 года “</w:t>
      </w:r>
      <w:proofErr w:type="spellStart"/>
      <w:r w:rsidRPr="00A259BD">
        <w:rPr>
          <w:rFonts w:ascii="Times New Roman" w:hAnsi="Times New Roman"/>
          <w:color w:val="000000" w:themeColor="text1"/>
          <w:sz w:val="16"/>
          <w:szCs w:val="16"/>
        </w:rPr>
        <w:t>Камхимстрой</w:t>
      </w:r>
      <w:proofErr w:type="spellEnd"/>
      <w:r w:rsidRPr="00A259BD">
        <w:rPr>
          <w:rFonts w:ascii="Times New Roman" w:hAnsi="Times New Roman"/>
          <w:color w:val="000000" w:themeColor="text1"/>
          <w:sz w:val="16"/>
          <w:szCs w:val="16"/>
        </w:rPr>
        <w:t>” был ликвидирован. До 1934 года на площадке завода производилось только строительство. 1935 год является для завода пусковым.</w:t>
      </w:r>
    </w:p>
    <w:p w14:paraId="656900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1935 год – передача Пороховому тресту. (8830)</w:t>
      </w:r>
    </w:p>
    <w:p w14:paraId="084621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Ковровские железнодорожные мастерские были переименованы в экскаваторный завод. В результате реконструкции, по сути дела, построен новый завод, который стал пионером производства экскаваторов в стране.</w:t>
      </w:r>
    </w:p>
    <w:p w14:paraId="057EDE0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F1949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1929 г. на базе завода МЭМЗА треста точной механики началась организация часового завода (в некоторых источниках упоминается название «Новь»). Сюда с завода «Авиаприбор» было переведено производство часов-ходиков и сборка будильников из импортных деталей. Официально завод открыт в 10.1930г. В 10-12.1938г. 2-й государственный часовой завод - в ведении треста «Точная механика».</w:t>
      </w:r>
    </w:p>
    <w:p w14:paraId="3836D6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1930г. велось проектирование основного производственного корпуса и разработка конструкции будильника. В 1931г. выпущена первая партия будильника «Браво», с 1935г.- Б-6. С 1932г. начато освоение производства электрочасов промышленных и уличных. В 1934г. освоен выпуск стенных маятниковых часов. К 1935г. завод выпускал: ходиков - 3704 тыс. шт. в год, будильников - 440 тыс., настольных часов - 93 тыс., электрочасов - 3 тыс. В 1935г. начато освоение производства карманных часов К-46 и строительство нового производственного корпуса. В 1936г. заводу выдан план на 100 тыс. карманных часов К-43. К 1941г. освоен выпуск стенных, карманных, автомобильных и шахматных часов.</w:t>
      </w:r>
    </w:p>
    <w:p w14:paraId="2ABF9F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10-11.1941г. 2-й Московский часовой завод эвакуирован в г. Чистополь (Татария), где сначала действовал как «2-й часовой завод в Чистополе», затем на его базе создан завод № 835 НКМВ (Завод № 853 НКМВ, 2-й Московский часовой завод </w:t>
      </w:r>
      <w:proofErr w:type="spellStart"/>
      <w:r w:rsidRPr="00A259BD">
        <w:rPr>
          <w:rFonts w:ascii="Times New Roman" w:hAnsi="Times New Roman"/>
          <w:color w:val="000000" w:themeColor="text1"/>
          <w:sz w:val="16"/>
          <w:szCs w:val="16"/>
        </w:rPr>
        <w:t>ММиП</w:t>
      </w:r>
      <w:proofErr w:type="spellEnd"/>
      <w:r w:rsidRPr="00A259BD">
        <w:rPr>
          <w:rFonts w:ascii="Times New Roman" w:hAnsi="Times New Roman"/>
          <w:color w:val="000000" w:themeColor="text1"/>
          <w:sz w:val="16"/>
          <w:szCs w:val="16"/>
        </w:rPr>
        <w:t>, Второй Государственный часовой завод (ВЧЗ), завод «Слава», Московское ОАО (МОАО) «Слава»</w:t>
      </w:r>
    </w:p>
    <w:p w14:paraId="144B2A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Москва, 40 Ленинградское ш., 10 «</w:t>
      </w:r>
      <w:proofErr w:type="spellStart"/>
      <w:r w:rsidRPr="00A259BD">
        <w:rPr>
          <w:rFonts w:ascii="Times New Roman" w:hAnsi="Times New Roman"/>
          <w:color w:val="000000" w:themeColor="text1"/>
          <w:sz w:val="16"/>
          <w:szCs w:val="16"/>
        </w:rPr>
        <w:t>Мосчасдва</w:t>
      </w:r>
      <w:proofErr w:type="spellEnd"/>
      <w:r w:rsidRPr="00A259BD">
        <w:rPr>
          <w:rFonts w:ascii="Times New Roman" w:hAnsi="Times New Roman"/>
          <w:color w:val="000000" w:themeColor="text1"/>
          <w:sz w:val="16"/>
          <w:szCs w:val="16"/>
        </w:rPr>
        <w:t xml:space="preserve">» (1948г.)/ /125040 г. Москва Ленинградский пр., 8 тел. 251-29-37/ /производство № 1: г. Москва Научный </w:t>
      </w:r>
      <w:proofErr w:type="spellStart"/>
      <w:r w:rsidRPr="00A259BD">
        <w:rPr>
          <w:rFonts w:ascii="Times New Roman" w:hAnsi="Times New Roman"/>
          <w:color w:val="000000" w:themeColor="text1"/>
          <w:sz w:val="16"/>
          <w:szCs w:val="16"/>
        </w:rPr>
        <w:t>пр</w:t>
      </w:r>
      <w:proofErr w:type="spellEnd"/>
      <w:r w:rsidRPr="00A259BD">
        <w:rPr>
          <w:rFonts w:ascii="Times New Roman" w:hAnsi="Times New Roman"/>
          <w:color w:val="000000" w:themeColor="text1"/>
          <w:sz w:val="16"/>
          <w:szCs w:val="16"/>
        </w:rPr>
        <w:t>-д, 20 стр. 1-9 тел. 332-83-11 (2002г.)/). Оборудование находилось в Чистополе и в 1948г.</w:t>
      </w:r>
    </w:p>
    <w:p w14:paraId="22AACC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соответствии с пост. ГКО № 1183 от 23.01.1942г. часть эвакуированного оборудования (производство карманных часов К-43) 2-го часового завода возвращена в Москву на старое место, где был организован и действовал сначала как «2-й часовой завод в Москве». В 06.1942г. завод - в ведении </w:t>
      </w:r>
      <w:proofErr w:type="spellStart"/>
      <w:r w:rsidRPr="00A259BD">
        <w:rPr>
          <w:rFonts w:ascii="Times New Roman" w:hAnsi="Times New Roman"/>
          <w:color w:val="000000" w:themeColor="text1"/>
          <w:sz w:val="16"/>
          <w:szCs w:val="16"/>
        </w:rPr>
        <w:t>Главприбора</w:t>
      </w:r>
      <w:proofErr w:type="spellEnd"/>
      <w:r w:rsidRPr="00A259BD">
        <w:rPr>
          <w:rFonts w:ascii="Times New Roman" w:hAnsi="Times New Roman"/>
          <w:color w:val="000000" w:themeColor="text1"/>
          <w:sz w:val="16"/>
          <w:szCs w:val="16"/>
        </w:rPr>
        <w:t xml:space="preserve"> НКМВ. В соответствии с пост. СНК № 837-430сс от 3.06.1942г. и приказом НКМВ № 250с от 7.07.1942г. 2-й часовой завод в Москве НКМВ переименован в завод № 853 в ведении 5ГУ.</w:t>
      </w:r>
      <w:r w:rsidRPr="00A259BD">
        <w:rPr>
          <w:rFonts w:ascii="Times New Roman" w:hAnsi="Times New Roman"/>
          <w:color w:val="000000" w:themeColor="text1"/>
          <w:sz w:val="16"/>
          <w:szCs w:val="16"/>
          <w:vertAlign w:val="superscript"/>
        </w:rPr>
        <w:t>129</w:t>
      </w:r>
    </w:p>
    <w:p w14:paraId="0D6B1D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приказу НКМВ № 203сс от 7.06.1942г. с Златоустовского часового завода в Москву на 1-й и 2-й часовые заводы возвращено 30 станков. Пост. ГКО № 1962сс от 4.07.1942г. и приказом НКМВ № 237сс от 7.07.1942г. заводу установлен план выпуска на 3-й квартал 1942г.: прицелов к 50-мм минометам- 12 тыс. шт.; угломеров- квадрантов к 82-мм минометам- 7800 шт. В годы войны в Москве налажен выпуск часов К-43, выпускалось по 3000-3500 шт. в год. Решением ГКО в 1945г. заводу поручено освоение карманных часов «Салют», выпуск К-43 прекращен.</w:t>
      </w:r>
    </w:p>
    <w:p w14:paraId="614564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1947-48г. 2-й московский часовой завод - в ведении </w:t>
      </w:r>
      <w:proofErr w:type="spellStart"/>
      <w:r w:rsidRPr="00A259BD">
        <w:rPr>
          <w:rFonts w:ascii="Times New Roman" w:hAnsi="Times New Roman"/>
          <w:color w:val="000000" w:themeColor="text1"/>
          <w:sz w:val="16"/>
          <w:szCs w:val="16"/>
        </w:rPr>
        <w:t>Главчаспрома</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ММиП</w:t>
      </w:r>
      <w:proofErr w:type="spellEnd"/>
      <w:r w:rsidRPr="00A259BD">
        <w:rPr>
          <w:rFonts w:ascii="Times New Roman" w:hAnsi="Times New Roman"/>
          <w:color w:val="000000" w:themeColor="text1"/>
          <w:sz w:val="16"/>
          <w:szCs w:val="16"/>
        </w:rPr>
        <w:t>.</w:t>
      </w:r>
    </w:p>
    <w:p w14:paraId="3E30E6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составе предприятия (1947г.) цехи: будильников, прессовый, станкостроительный, гальванический, маятников часов, автоматный, 1-й, 2-й, 3-й, 4-й, 5-й механический, 2-й и 14-й сборочный, опытный; вспомогательные: ширпотреба, ремонтный, электроремонтный, инструментальный.</w:t>
      </w:r>
    </w:p>
    <w:p w14:paraId="7516CA9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войны вновь налажен выпуск часов: карманных, женских наручных, настольных. Во второй половине 1950-х г. освоено производство женских наручных часов «Слава», малогабаритных будильников, секундомеров, электронно-механических часов и наручных камертонных. Затем освоен выпуск мужских наручных часов с одинарным и двойным календарем, автоподзаводом. В начале 1970-х г. созданы первые советские кварцевые часы.</w:t>
      </w:r>
    </w:p>
    <w:p w14:paraId="0665DB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часов (2005г.): механических и кварцевых будильников, мужских механических наручных «Слава»; настенных, настольных и сувенирных.</w:t>
      </w:r>
    </w:p>
    <w:p w14:paraId="0C9B86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ОАО «Слава» было в 2004г. Завод имел производственный корпус площадью 80 тыс.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 xml:space="preserve"> на Ленинградском пр. и площадку в 2,8 га на Научном пр. (производство № 1; площадь- 8500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 В 2005г. планировалось все производственные мощности с Ленинградского пр. перевести на Научный пр., производство часов прекратить. 13.02.2008г. вышло распоряжение правительства Москвы № 276-РП «О мероприятиях по освобождению от производственного использования и градостроительной реабилитации территории МО АО «Слава».</w:t>
      </w:r>
    </w:p>
    <w:p w14:paraId="458668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Количество оборудования: (1946г.)- 1048 ед., (1947г.)- 1546 ед.</w:t>
      </w:r>
    </w:p>
    <w:p w14:paraId="505872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Площадь: территории (1948г.)- 2,089 га; застройки (1948г.)- 11528 (в т.ч. жилые здания 1734м)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 производственная (1946-47г.)- 19150 м</w:t>
      </w:r>
      <w:r w:rsidRPr="00A259BD">
        <w:rPr>
          <w:rFonts w:ascii="Times New Roman" w:hAnsi="Times New Roman"/>
          <w:color w:val="000000" w:themeColor="text1"/>
          <w:sz w:val="16"/>
          <w:szCs w:val="16"/>
          <w:vertAlign w:val="superscript"/>
        </w:rPr>
        <w:t>2</w:t>
      </w:r>
      <w:r w:rsidRPr="00A259BD">
        <w:rPr>
          <w:rFonts w:ascii="Times New Roman" w:hAnsi="Times New Roman"/>
          <w:color w:val="000000" w:themeColor="text1"/>
          <w:sz w:val="16"/>
          <w:szCs w:val="16"/>
        </w:rPr>
        <w:t>.</w:t>
      </w:r>
    </w:p>
    <w:p w14:paraId="6C3049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(1939г.)- 3534 чел., (1946г.)- 2015 чел., (1947г.)- 2401 чел.</w:t>
      </w:r>
    </w:p>
    <w:p w14:paraId="13813E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Директор (06.1942г.)- Виноградов, (1948г.)- Буторин. Гендиректор (-2000-02г.-)- В.М. Королев.</w:t>
      </w:r>
    </w:p>
    <w:p w14:paraId="603AE3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гендиректора- С.Б. Ривкин.</w:t>
      </w:r>
    </w:p>
    <w:p w14:paraId="4E28CF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инженер (1948г.)- Галлай.</w:t>
      </w:r>
    </w:p>
    <w:p w14:paraId="0E9ABE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Производство: часы:</w:t>
      </w:r>
      <w:r w:rsidRPr="00A259BD">
        <w:rPr>
          <w:rFonts w:ascii="Times New Roman" w:hAnsi="Times New Roman"/>
          <w:color w:val="000000" w:themeColor="text1"/>
          <w:sz w:val="16"/>
          <w:szCs w:val="16"/>
        </w:rPr>
        <w:t xml:space="preserve"> карманные К-46 (1935-), К-43 (1936-41; 1942-45), «Салют» (1945-47-); «Победа» (1940- е); женские наручные «Эра» (1940-е), «Слава» (1950-е); будильники Б-6, Б-8; стенные М; настольные НЧ-5, -8, 6; шахматные ШЧ (1947);</w:t>
      </w:r>
      <w:r w:rsidRPr="00A259BD">
        <w:rPr>
          <w:rFonts w:ascii="Times New Roman" w:hAnsi="Times New Roman"/>
          <w:color w:val="000000" w:themeColor="text1"/>
          <w:sz w:val="16"/>
          <w:szCs w:val="16"/>
          <w:vertAlign w:val="superscript"/>
        </w:rPr>
        <w:t>129</w:t>
      </w:r>
      <w:r w:rsidRPr="00A259BD">
        <w:rPr>
          <w:rFonts w:ascii="Times New Roman" w:hAnsi="Times New Roman"/>
          <w:color w:val="000000" w:themeColor="text1"/>
          <w:sz w:val="16"/>
          <w:szCs w:val="16"/>
        </w:rPr>
        <w:t xml:space="preserve"> часовые механизмы для мин и глубинных бомб (1939); детали для ППШ, для </w:t>
      </w:r>
      <w:r w:rsidRPr="00A259BD">
        <w:rPr>
          <w:rFonts w:ascii="Times New Roman" w:hAnsi="Times New Roman"/>
          <w:color w:val="000000" w:themeColor="text1"/>
          <w:sz w:val="16"/>
          <w:szCs w:val="16"/>
          <w:lang w:val="en-US"/>
        </w:rPr>
        <w:t>PC</w:t>
      </w:r>
      <w:r w:rsidRPr="00A259BD">
        <w:rPr>
          <w:rFonts w:ascii="Times New Roman" w:hAnsi="Times New Roman"/>
          <w:color w:val="000000" w:themeColor="text1"/>
          <w:sz w:val="16"/>
          <w:szCs w:val="16"/>
        </w:rPr>
        <w:t xml:space="preserve"> М-13, взрыватели «МП», прицелы к 50-мм минометам, угломеры-квадранты к 82-мм минометам (1942).</w:t>
      </w:r>
    </w:p>
    <w:p w14:paraId="619372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СКБ часового станкостроения</w:t>
      </w:r>
    </w:p>
    <w:p w14:paraId="70A655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 Москва Научный </w:t>
      </w:r>
      <w:proofErr w:type="spellStart"/>
      <w:r w:rsidRPr="00A259BD">
        <w:rPr>
          <w:rFonts w:ascii="Times New Roman" w:hAnsi="Times New Roman"/>
          <w:color w:val="000000" w:themeColor="text1"/>
          <w:sz w:val="16"/>
          <w:szCs w:val="16"/>
        </w:rPr>
        <w:t>пр</w:t>
      </w:r>
      <w:proofErr w:type="spellEnd"/>
      <w:r w:rsidRPr="00A259BD">
        <w:rPr>
          <w:rFonts w:ascii="Times New Roman" w:hAnsi="Times New Roman"/>
          <w:color w:val="000000" w:themeColor="text1"/>
          <w:sz w:val="16"/>
          <w:szCs w:val="16"/>
        </w:rPr>
        <w:t>-д, 20 тел. 332-88-66/</w:t>
      </w:r>
    </w:p>
    <w:p w14:paraId="381C35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Разработка станков и технологических линий для часовой промышленности. В 1990-х г. - разработка автоматизированных линий по розливу напитков.</w:t>
      </w:r>
    </w:p>
    <w:p w14:paraId="2D3081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Руководитель (2000г.)- А.А. Струков. Гендиректор (-30.09.2005г.)- Е. Вайсман (убит) (11982).</w:t>
      </w:r>
    </w:p>
    <w:p w14:paraId="38DFEF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FABBB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в системе треста </w:t>
      </w:r>
      <w:proofErr w:type="spellStart"/>
      <w:r w:rsidRPr="00A259BD">
        <w:rPr>
          <w:rFonts w:ascii="Times New Roman" w:hAnsi="Times New Roman"/>
          <w:color w:val="000000" w:themeColor="text1"/>
          <w:sz w:val="16"/>
          <w:szCs w:val="16"/>
        </w:rPr>
        <w:t>Госнаборснабжение</w:t>
      </w:r>
      <w:proofErr w:type="spellEnd"/>
      <w:r w:rsidRPr="00A259BD">
        <w:rPr>
          <w:rFonts w:ascii="Times New Roman" w:hAnsi="Times New Roman"/>
          <w:color w:val="000000" w:themeColor="text1"/>
          <w:sz w:val="16"/>
          <w:szCs w:val="16"/>
        </w:rPr>
        <w:t xml:space="preserve"> для массового изготовления точных измерительных приборов в Москве был создан Завод «</w:t>
      </w:r>
      <w:proofErr w:type="spellStart"/>
      <w:r w:rsidRPr="00A259BD">
        <w:rPr>
          <w:rFonts w:ascii="Times New Roman" w:hAnsi="Times New Roman"/>
          <w:color w:val="000000" w:themeColor="text1"/>
          <w:sz w:val="16"/>
          <w:szCs w:val="16"/>
        </w:rPr>
        <w:t>Точизмеритель</w:t>
      </w:r>
      <w:proofErr w:type="spellEnd"/>
      <w:r w:rsidRPr="00A259BD">
        <w:rPr>
          <w:rFonts w:ascii="Times New Roman" w:hAnsi="Times New Roman"/>
          <w:color w:val="000000" w:themeColor="text1"/>
          <w:sz w:val="16"/>
          <w:szCs w:val="16"/>
        </w:rPr>
        <w:t>» (ГС Завод № 384 ИМ. Молотова НКАП, НКМ, ГС завод «</w:t>
      </w:r>
      <w:proofErr w:type="spellStart"/>
      <w:r w:rsidRPr="00A259BD">
        <w:rPr>
          <w:rFonts w:ascii="Times New Roman" w:hAnsi="Times New Roman"/>
          <w:color w:val="000000" w:themeColor="text1"/>
          <w:sz w:val="16"/>
          <w:szCs w:val="16"/>
        </w:rPr>
        <w:t>Точизмеритель</w:t>
      </w:r>
      <w:proofErr w:type="spellEnd"/>
      <w:r w:rsidRPr="00A259BD">
        <w:rPr>
          <w:rFonts w:ascii="Times New Roman" w:hAnsi="Times New Roman"/>
          <w:color w:val="000000" w:themeColor="text1"/>
          <w:sz w:val="16"/>
          <w:szCs w:val="16"/>
        </w:rPr>
        <w:t xml:space="preserve">» им. Молотова НКТП, НКОП, </w:t>
      </w:r>
      <w:proofErr w:type="spellStart"/>
      <w:r w:rsidRPr="00A259BD">
        <w:rPr>
          <w:rFonts w:ascii="Times New Roman" w:hAnsi="Times New Roman"/>
          <w:color w:val="000000" w:themeColor="text1"/>
          <w:sz w:val="16"/>
          <w:szCs w:val="16"/>
        </w:rPr>
        <w:t>Натальинский</w:t>
      </w:r>
      <w:proofErr w:type="spellEnd"/>
      <w:r w:rsidRPr="00A259BD">
        <w:rPr>
          <w:rFonts w:ascii="Times New Roman" w:hAnsi="Times New Roman"/>
          <w:color w:val="000000" w:themeColor="text1"/>
          <w:sz w:val="16"/>
          <w:szCs w:val="16"/>
        </w:rPr>
        <w:t xml:space="preserve"> стекольный завод, АООТ, ОАО «</w:t>
      </w:r>
      <w:proofErr w:type="spellStart"/>
      <w:r w:rsidRPr="00A259BD">
        <w:rPr>
          <w:rFonts w:ascii="Times New Roman" w:hAnsi="Times New Roman"/>
          <w:color w:val="000000" w:themeColor="text1"/>
          <w:sz w:val="16"/>
          <w:szCs w:val="16"/>
        </w:rPr>
        <w:t>Натальинский</w:t>
      </w:r>
      <w:proofErr w:type="spellEnd"/>
      <w:r w:rsidRPr="00A259BD">
        <w:rPr>
          <w:rFonts w:ascii="Times New Roman" w:hAnsi="Times New Roman"/>
          <w:color w:val="000000" w:themeColor="text1"/>
          <w:sz w:val="16"/>
          <w:szCs w:val="16"/>
        </w:rPr>
        <w:t xml:space="preserve"> стекольный завод» /г. Москва ул. Н. Сыромятники, 11; н/п </w:t>
      </w:r>
      <w:proofErr w:type="spellStart"/>
      <w:r w:rsidRPr="00A259BD">
        <w:rPr>
          <w:rFonts w:ascii="Times New Roman" w:hAnsi="Times New Roman"/>
          <w:color w:val="000000" w:themeColor="text1"/>
          <w:sz w:val="16"/>
          <w:szCs w:val="16"/>
        </w:rPr>
        <w:t>Мончаж</w:t>
      </w:r>
      <w:proofErr w:type="spellEnd"/>
      <w:r w:rsidRPr="00A259BD">
        <w:rPr>
          <w:rFonts w:ascii="Times New Roman" w:hAnsi="Times New Roman"/>
          <w:color w:val="000000" w:themeColor="text1"/>
          <w:sz w:val="16"/>
          <w:szCs w:val="16"/>
        </w:rPr>
        <w:t xml:space="preserve"> Свердловской обл./ /623320 пгт. Натальинск Красноуфимского р-на Свердловской обл. ул. Советская, 4 тел. 23-100,40-740/). Полностью введен в эксплуатацию в 1932 г. Основное производство размещалось в Москве, а с 1933 г. имел филиал (</w:t>
      </w:r>
      <w:proofErr w:type="spellStart"/>
      <w:r w:rsidRPr="00A259BD">
        <w:rPr>
          <w:rFonts w:ascii="Times New Roman" w:hAnsi="Times New Roman"/>
          <w:color w:val="000000" w:themeColor="text1"/>
          <w:sz w:val="16"/>
          <w:szCs w:val="16"/>
        </w:rPr>
        <w:t>стеклотрубочный</w:t>
      </w:r>
      <w:proofErr w:type="spellEnd"/>
      <w:r w:rsidRPr="00A259BD">
        <w:rPr>
          <w:rFonts w:ascii="Times New Roman" w:hAnsi="Times New Roman"/>
          <w:color w:val="000000" w:themeColor="text1"/>
          <w:sz w:val="16"/>
          <w:szCs w:val="16"/>
        </w:rPr>
        <w:t xml:space="preserve"> цех) в пос. Сходня Солнечногорского р-на.</w:t>
      </w:r>
    </w:p>
    <w:p w14:paraId="0AFFCB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мелких приборов и устройств, ртутных медицинских термометров (с 1929 г.), лабораторных приборов.</w:t>
      </w:r>
    </w:p>
    <w:p w14:paraId="123DF26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1936 г. - в ведении ВОТИ НКТП. В соответствии с пост. СНК № 2139-425сс от 21.12.1936 г. и пр. № 59 от 14.02.1937 г. завод «</w:t>
      </w:r>
      <w:proofErr w:type="spellStart"/>
      <w:r w:rsidRPr="00A259BD">
        <w:rPr>
          <w:rFonts w:ascii="Times New Roman" w:hAnsi="Times New Roman"/>
          <w:color w:val="000000" w:themeColor="text1"/>
          <w:sz w:val="16"/>
          <w:szCs w:val="16"/>
        </w:rPr>
        <w:t>Точизмеритель</w:t>
      </w:r>
      <w:proofErr w:type="spellEnd"/>
      <w:r w:rsidRPr="00A259BD">
        <w:rPr>
          <w:rFonts w:ascii="Times New Roman" w:hAnsi="Times New Roman"/>
          <w:color w:val="000000" w:themeColor="text1"/>
          <w:sz w:val="16"/>
          <w:szCs w:val="16"/>
        </w:rPr>
        <w:t>» передан в ведение ЮГУ НКОП, приказом № 90 от 13.03.1937 г. утвержден Устав завода, в 12.1938 г. - в ведении ЮГУ.</w:t>
      </w:r>
    </w:p>
    <w:p w14:paraId="6D8A0F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началом войны завод эвакуирован в н/п </w:t>
      </w:r>
      <w:proofErr w:type="spellStart"/>
      <w:r w:rsidRPr="00A259BD">
        <w:rPr>
          <w:rFonts w:ascii="Times New Roman" w:hAnsi="Times New Roman"/>
          <w:color w:val="000000" w:themeColor="text1"/>
          <w:sz w:val="16"/>
          <w:szCs w:val="16"/>
        </w:rPr>
        <w:t>Мончаж</w:t>
      </w:r>
      <w:proofErr w:type="spellEnd"/>
      <w:r w:rsidRPr="00A259BD">
        <w:rPr>
          <w:rFonts w:ascii="Times New Roman" w:hAnsi="Times New Roman"/>
          <w:color w:val="000000" w:themeColor="text1"/>
          <w:sz w:val="16"/>
          <w:szCs w:val="16"/>
        </w:rPr>
        <w:t xml:space="preserve"> на площадку стекольного завода. В годы войны - производство деталей к снарядам М-8, термометров и приборов.</w:t>
      </w:r>
    </w:p>
    <w:p w14:paraId="6471A53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приказу № 510с от 11.07.1942 г. заводу «</w:t>
      </w:r>
      <w:proofErr w:type="spellStart"/>
      <w:r w:rsidRPr="00A259BD">
        <w:rPr>
          <w:rFonts w:ascii="Times New Roman" w:hAnsi="Times New Roman"/>
          <w:color w:val="000000" w:themeColor="text1"/>
          <w:sz w:val="16"/>
          <w:szCs w:val="16"/>
        </w:rPr>
        <w:t>Точизмеритель</w:t>
      </w:r>
      <w:proofErr w:type="spellEnd"/>
      <w:r w:rsidRPr="00A259BD">
        <w:rPr>
          <w:rFonts w:ascii="Times New Roman" w:hAnsi="Times New Roman"/>
          <w:color w:val="000000" w:themeColor="text1"/>
          <w:sz w:val="16"/>
          <w:szCs w:val="16"/>
        </w:rPr>
        <w:t>» присвоено наименование ГС завод № 384 НКАП в системе 5ГУ.</w:t>
      </w:r>
    </w:p>
    <w:p w14:paraId="76DCAF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Москве на старой площадке образован филиал завода, который в 04.1942 г. преобразован в самостоятельный завод № 382.</w:t>
      </w:r>
    </w:p>
    <w:p w14:paraId="0B4F91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 приказу № 572с/1206 от 24.10.1944 г. завод передан с 1.11.1944 г. в НКМ. Далее это- </w:t>
      </w:r>
      <w:proofErr w:type="spellStart"/>
      <w:r w:rsidRPr="00A259BD">
        <w:rPr>
          <w:rFonts w:ascii="Times New Roman" w:hAnsi="Times New Roman"/>
          <w:color w:val="000000" w:themeColor="text1"/>
          <w:sz w:val="16"/>
          <w:szCs w:val="16"/>
        </w:rPr>
        <w:t>Натальинский</w:t>
      </w:r>
      <w:proofErr w:type="spellEnd"/>
      <w:r w:rsidRPr="00A259BD">
        <w:rPr>
          <w:rFonts w:ascii="Times New Roman" w:hAnsi="Times New Roman"/>
          <w:color w:val="000000" w:themeColor="text1"/>
          <w:sz w:val="16"/>
          <w:szCs w:val="16"/>
        </w:rPr>
        <w:t xml:space="preserve"> стекольный завод.</w:t>
      </w:r>
    </w:p>
    <w:p w14:paraId="069A18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1957-58 г. завод выпускал ламповое и фонарное стекло, детали авиационных приборов (ампулы ПК и </w:t>
      </w:r>
      <w:proofErr w:type="spellStart"/>
      <w:r w:rsidRPr="00A259BD">
        <w:rPr>
          <w:rFonts w:ascii="Times New Roman" w:hAnsi="Times New Roman"/>
          <w:color w:val="000000" w:themeColor="text1"/>
          <w:sz w:val="16"/>
          <w:szCs w:val="16"/>
        </w:rPr>
        <w:t>креноскопы</w:t>
      </w:r>
      <w:proofErr w:type="spellEnd"/>
      <w:r w:rsidRPr="00A259BD">
        <w:rPr>
          <w:rFonts w:ascii="Times New Roman" w:hAnsi="Times New Roman"/>
          <w:color w:val="000000" w:themeColor="text1"/>
          <w:sz w:val="16"/>
          <w:szCs w:val="16"/>
        </w:rPr>
        <w:t>), осваивал новые изделия. В 1962 г. начат выпуск рассеивателей и молочно-накладного стекла. В 1971 г. начата реконструкция завода, построены новые корпуса.</w:t>
      </w:r>
    </w:p>
    <w:p w14:paraId="60A33B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1993 г. </w:t>
      </w:r>
      <w:proofErr w:type="spellStart"/>
      <w:r w:rsidRPr="00A259BD">
        <w:rPr>
          <w:rFonts w:ascii="Times New Roman" w:hAnsi="Times New Roman"/>
          <w:color w:val="000000" w:themeColor="text1"/>
          <w:sz w:val="16"/>
          <w:szCs w:val="16"/>
        </w:rPr>
        <w:t>Натальинский</w:t>
      </w:r>
      <w:proofErr w:type="spellEnd"/>
      <w:r w:rsidRPr="00A259BD">
        <w:rPr>
          <w:rFonts w:ascii="Times New Roman" w:hAnsi="Times New Roman"/>
          <w:color w:val="000000" w:themeColor="text1"/>
          <w:sz w:val="16"/>
          <w:szCs w:val="16"/>
        </w:rPr>
        <w:t xml:space="preserve"> стекольный завод акционирован и преобразован в АООТ, а затем- в ОАО. В 1995-97 г. завод на лето прекращал работу, работники распускались в отпуска без содержания.</w:t>
      </w:r>
    </w:p>
    <w:p w14:paraId="712336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(2000-е): стеклянные светотехнические изделия.</w:t>
      </w:r>
    </w:p>
    <w:p w14:paraId="6EDD435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(1943 г.)- 1070 чел., (2001 г.)- 570 чел., (2005 г.)- 540 чел.</w:t>
      </w:r>
    </w:p>
    <w:p w14:paraId="396E8B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Директор (-02.1938-43 Г.)- Л.И. Гольдберг, (1943 г.-)- П.П. Волков, (1944 г.-&gt; М.А. Томашевский, (1957 г.-&gt; К.Д. Крупенников, (1969 г.)- Р.Н. Демчук, (1971 г.)- П.П. Ивахненко. Гендиректор (2002 г.)- Н.П. Бушуев, (2004-06 г.-)-</w:t>
      </w:r>
      <w:proofErr w:type="spellStart"/>
      <w:r w:rsidRPr="00A259BD">
        <w:rPr>
          <w:rFonts w:ascii="Times New Roman" w:hAnsi="Times New Roman"/>
          <w:color w:val="000000" w:themeColor="text1"/>
          <w:sz w:val="16"/>
          <w:szCs w:val="16"/>
        </w:rPr>
        <w:t>B.Н.Саликов</w:t>
      </w:r>
      <w:proofErr w:type="spellEnd"/>
      <w:r w:rsidRPr="00A259BD">
        <w:rPr>
          <w:rFonts w:ascii="Times New Roman" w:hAnsi="Times New Roman"/>
          <w:color w:val="000000" w:themeColor="text1"/>
          <w:sz w:val="16"/>
          <w:szCs w:val="16"/>
        </w:rPr>
        <w:t>.</w:t>
      </w:r>
    </w:p>
    <w:p w14:paraId="60EF33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инженер (2.02.1938 г.-)- В.А. Абрамович.</w:t>
      </w:r>
      <w:r w:rsidRPr="00A259BD">
        <w:rPr>
          <w:rFonts w:ascii="Times New Roman" w:hAnsi="Times New Roman"/>
          <w:color w:val="000000" w:themeColor="text1"/>
          <w:sz w:val="16"/>
          <w:szCs w:val="16"/>
          <w:vertAlign w:val="superscript"/>
        </w:rPr>
        <w:t>139</w:t>
      </w:r>
    </w:p>
    <w:p w14:paraId="538BD6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механик (1930-е)- Н.Б. </w:t>
      </w:r>
      <w:proofErr w:type="spellStart"/>
      <w:r w:rsidRPr="00A259BD">
        <w:rPr>
          <w:rFonts w:ascii="Times New Roman" w:hAnsi="Times New Roman"/>
          <w:color w:val="000000" w:themeColor="text1"/>
          <w:sz w:val="16"/>
          <w:szCs w:val="16"/>
        </w:rPr>
        <w:t>Валаев</w:t>
      </w:r>
      <w:proofErr w:type="spellEnd"/>
      <w:r w:rsidRPr="00A259BD">
        <w:rPr>
          <w:rFonts w:ascii="Times New Roman" w:hAnsi="Times New Roman"/>
          <w:color w:val="000000" w:themeColor="text1"/>
          <w:sz w:val="16"/>
          <w:szCs w:val="16"/>
        </w:rPr>
        <w:t>.</w:t>
      </w:r>
    </w:p>
    <w:p w14:paraId="36A6AA2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Производство:</w:t>
      </w:r>
      <w:r w:rsidRPr="00A259BD">
        <w:rPr>
          <w:rFonts w:ascii="Times New Roman" w:hAnsi="Times New Roman"/>
          <w:color w:val="000000" w:themeColor="text1"/>
          <w:sz w:val="16"/>
          <w:szCs w:val="16"/>
        </w:rPr>
        <w:t xml:space="preserve"> термометры авиационные воздушные (1936).</w:t>
      </w:r>
    </w:p>
    <w:p w14:paraId="32DAFC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Артель «Возрождение», Артель им. С.М. Кирова, </w:t>
      </w:r>
      <w:proofErr w:type="spellStart"/>
      <w:r w:rsidRPr="00A259BD">
        <w:rPr>
          <w:rFonts w:ascii="Times New Roman" w:hAnsi="Times New Roman"/>
          <w:color w:val="000000" w:themeColor="text1"/>
          <w:sz w:val="16"/>
          <w:szCs w:val="16"/>
        </w:rPr>
        <w:t>Натальинский</w:t>
      </w:r>
      <w:proofErr w:type="spellEnd"/>
      <w:r w:rsidRPr="00A259BD">
        <w:rPr>
          <w:rFonts w:ascii="Times New Roman" w:hAnsi="Times New Roman"/>
          <w:color w:val="000000" w:themeColor="text1"/>
          <w:sz w:val="16"/>
          <w:szCs w:val="16"/>
        </w:rPr>
        <w:t xml:space="preserve"> стекольный завод</w:t>
      </w:r>
    </w:p>
    <w:p w14:paraId="1613B6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1871 г. И.А. </w:t>
      </w:r>
      <w:proofErr w:type="spellStart"/>
      <w:r w:rsidRPr="00A259BD">
        <w:rPr>
          <w:rFonts w:ascii="Times New Roman" w:hAnsi="Times New Roman"/>
          <w:color w:val="000000" w:themeColor="text1"/>
          <w:sz w:val="16"/>
          <w:szCs w:val="16"/>
        </w:rPr>
        <w:t>Шевелиным</w:t>
      </w:r>
      <w:proofErr w:type="spellEnd"/>
      <w:r w:rsidRPr="00A259BD">
        <w:rPr>
          <w:rFonts w:ascii="Times New Roman" w:hAnsi="Times New Roman"/>
          <w:color w:val="000000" w:themeColor="text1"/>
          <w:sz w:val="16"/>
          <w:szCs w:val="16"/>
        </w:rPr>
        <w:t xml:space="preserve"> недалеко от Красноуфимска основан стекольный завод. Выпускал оконное стекло, посуду, вино-водочную тару, парфюмерную и аптечную посуду. Перед революцией хозяином завода был сын А.И. </w:t>
      </w:r>
      <w:proofErr w:type="spellStart"/>
      <w:r w:rsidRPr="00A259BD">
        <w:rPr>
          <w:rFonts w:ascii="Times New Roman" w:hAnsi="Times New Roman"/>
          <w:color w:val="000000" w:themeColor="text1"/>
          <w:sz w:val="16"/>
          <w:szCs w:val="16"/>
        </w:rPr>
        <w:t>Шевелин</w:t>
      </w:r>
      <w:proofErr w:type="spellEnd"/>
      <w:r w:rsidRPr="00A259BD">
        <w:rPr>
          <w:rFonts w:ascii="Times New Roman" w:hAnsi="Times New Roman"/>
          <w:color w:val="000000" w:themeColor="text1"/>
          <w:sz w:val="16"/>
          <w:szCs w:val="16"/>
        </w:rPr>
        <w:t>.</w:t>
      </w:r>
    </w:p>
    <w:p w14:paraId="0D5C57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революции завод национализирован. В 1926 г. завод закрыт, деревянные здания заводоуправления и клуба разобраны и отправлены на Зиновьевский стекольный завод.</w:t>
      </w:r>
    </w:p>
    <w:p w14:paraId="2A8F90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Затем завод восстановлен в форме артели «Возрождение». В 1929 г. начата реконструкция завода: расширены площади, строится ванная печь непрерывного действия, установлен локомобиль. В 1935 г. артели присвоено имя </w:t>
      </w:r>
      <w:proofErr w:type="spellStart"/>
      <w:r w:rsidRPr="00A259BD">
        <w:rPr>
          <w:rFonts w:ascii="Times New Roman" w:hAnsi="Times New Roman"/>
          <w:color w:val="000000" w:themeColor="text1"/>
          <w:sz w:val="16"/>
          <w:szCs w:val="16"/>
        </w:rPr>
        <w:t>C.М.Кирова</w:t>
      </w:r>
      <w:proofErr w:type="spellEnd"/>
      <w:r w:rsidRPr="00A259BD">
        <w:rPr>
          <w:rFonts w:ascii="Times New Roman" w:hAnsi="Times New Roman"/>
          <w:color w:val="000000" w:themeColor="text1"/>
          <w:sz w:val="16"/>
          <w:szCs w:val="16"/>
        </w:rPr>
        <w:t>.</w:t>
      </w:r>
    </w:p>
    <w:p w14:paraId="60B5CD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начала войны был освоен выпуск новой продукции- фляжек для армии. Затем сюда был эвакуирован из Москвы завод «</w:t>
      </w:r>
      <w:proofErr w:type="spellStart"/>
      <w:r w:rsidRPr="00A259BD">
        <w:rPr>
          <w:rFonts w:ascii="Times New Roman" w:hAnsi="Times New Roman"/>
          <w:color w:val="000000" w:themeColor="text1"/>
          <w:sz w:val="16"/>
          <w:szCs w:val="16"/>
        </w:rPr>
        <w:t>Точизмеритель</w:t>
      </w:r>
      <w:proofErr w:type="spellEnd"/>
      <w:r w:rsidRPr="00A259BD">
        <w:rPr>
          <w:rFonts w:ascii="Times New Roman" w:hAnsi="Times New Roman"/>
          <w:color w:val="000000" w:themeColor="text1"/>
          <w:sz w:val="16"/>
          <w:szCs w:val="16"/>
        </w:rPr>
        <w:t>» и по приказу № 5 10с от 11.07.1942 г. объединенный завод получил наименование ГС завод №384 НКАП (11982).</w:t>
      </w:r>
    </w:p>
    <w:p w14:paraId="3990BF7C" w14:textId="77777777" w:rsidR="003B366D" w:rsidRPr="00A259BD" w:rsidRDefault="003B366D" w:rsidP="009236E3">
      <w:pPr>
        <w:autoSpaceDE w:val="0"/>
        <w:autoSpaceDN w:val="0"/>
        <w:adjustRightInd w:val="0"/>
        <w:spacing w:after="0" w:line="240" w:lineRule="auto"/>
        <w:jc w:val="both"/>
        <w:rPr>
          <w:rFonts w:ascii="Times New Roman" w:hAnsi="Times New Roman"/>
          <w:color w:val="000000" w:themeColor="text1"/>
          <w:sz w:val="16"/>
          <w:szCs w:val="16"/>
        </w:rPr>
      </w:pPr>
    </w:p>
    <w:p w14:paraId="010ED5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образован завод “</w:t>
      </w:r>
      <w:proofErr w:type="spellStart"/>
      <w:r w:rsidRPr="00A259BD">
        <w:rPr>
          <w:rFonts w:ascii="Times New Roman" w:hAnsi="Times New Roman"/>
          <w:color w:val="000000" w:themeColor="text1"/>
          <w:sz w:val="16"/>
          <w:szCs w:val="16"/>
        </w:rPr>
        <w:t>Термоэлектроприбор</w:t>
      </w:r>
      <w:proofErr w:type="spellEnd"/>
      <w:r w:rsidRPr="00A259BD">
        <w:rPr>
          <w:rFonts w:ascii="Times New Roman" w:hAnsi="Times New Roman"/>
          <w:color w:val="000000" w:themeColor="text1"/>
          <w:sz w:val="16"/>
          <w:szCs w:val="16"/>
        </w:rPr>
        <w:t>”. В 1932 г. переведен на новую территорию в Петроградском районе по ул. Скороходова и получил название “Пирометр”.</w:t>
      </w:r>
    </w:p>
    <w:p w14:paraId="31295C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1938-39 г. получил название завод № 218. Полностью введен в строй в 1940 г.</w:t>
      </w:r>
    </w:p>
    <w:p w14:paraId="1AD007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Крупный электротехнический завод по производству точных электроизмерительных приборов. Перед и во время войны производство авиационных и морских тахометров, гальванометров, пирометрических приборов, реле, </w:t>
      </w:r>
      <w:proofErr w:type="spellStart"/>
      <w:r w:rsidRPr="00A259BD">
        <w:rPr>
          <w:rFonts w:ascii="Times New Roman" w:hAnsi="Times New Roman"/>
          <w:color w:val="000000" w:themeColor="text1"/>
          <w:sz w:val="16"/>
          <w:szCs w:val="16"/>
        </w:rPr>
        <w:t>бензиномеров</w:t>
      </w:r>
      <w:proofErr w:type="spellEnd"/>
      <w:r w:rsidRPr="00A259BD">
        <w:rPr>
          <w:rFonts w:ascii="Times New Roman" w:hAnsi="Times New Roman"/>
          <w:color w:val="000000" w:themeColor="text1"/>
          <w:sz w:val="16"/>
          <w:szCs w:val="16"/>
        </w:rPr>
        <w:t>.</w:t>
      </w:r>
    </w:p>
    <w:p w14:paraId="39BDB2E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По приказу № 422с от 13.08.1940 г. на заводе был образован Опытный отдел в составе КБ, экспериментальной лаборатории, цеха и испытательной станции для опытных работ по автоматам управления винтомоторными группами (ВМГ) самолетов, приборам контроля ВМГ и штурманским приборам.</w:t>
      </w:r>
    </w:p>
    <w:p w14:paraId="3D8421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начале войны на заводе производились магнитные мины. С началом войны по приказу № 729сс от 22.07.1941 г. завод был подготовлен к эвакуации. В соответствии с постановлением № ГКО-537сс от 21.08.1941 г. и приказом № 894сс от 22.08.1941 г. основная часть завода № 218 5ГУ эвакуирована из Ленинграда в г. Казань на площадку фабрики “Кинопленка”. Здесь образован Казанский филиал завода № 218, который в начале 1942 г. преобразован в самостоятельный завод № 448 НКАП.</w:t>
      </w:r>
    </w:p>
    <w:p w14:paraId="1118CA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Оставшаяся часть завода № 218 продолжала действовать в Ленинграде под своим номером (в 07.1942 г.-производство авиационных и танковых приборов).65 </w:t>
      </w:r>
    </w:p>
    <w:p w14:paraId="7F1FE6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07.1942 г. другая часть завода эвакуирована на территорию завода № 279 НКАП (г. Раменское), который в 1941 г. уже был эвакуирован в Ижевск. В Раменском завод влит в состав вновь образованного завода № 149 НКАП.</w:t>
      </w:r>
    </w:p>
    <w:p w14:paraId="05D9D3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Территория завода в Ленинграде была законсервирована и во время блокады подверглась значительным разрушениям. Завод начал восстанавливаться по решению ГОКО № 3919 от 18.08.1943 г. для выпуска электроприборов.</w:t>
      </w:r>
    </w:p>
    <w:p w14:paraId="108C09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войны завод № 218 действовал в Ленинграде. Производство осциллографов (1959 г.), автопилотов АП-15, АП-28, АП-40 (для Як-26), АП-31 (для Як-24).</w:t>
      </w:r>
    </w:p>
    <w:p w14:paraId="676520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1993 г. завод преобразован в ОАО “Пирометр”. Входит в МФПГ “Оборонительные системы”, в 2002 г. вошел в Концерн “Алмаз-Антей”. По решению правительства № 22-р от 9.01.2004 г. вошло в перечень стратегических предприятий.</w:t>
      </w:r>
    </w:p>
    <w:p w14:paraId="2DA7A3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2005 г. планируется перевести основное производство из центра города в Кировский район.</w:t>
      </w:r>
    </w:p>
    <w:p w14:paraId="13382F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авиационных приборов, САУ и ПНК (2004 г.).</w:t>
      </w:r>
    </w:p>
    <w:p w14:paraId="6D78BA1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Директор (1940 г.)- Балакирев, (09.1940-41 г.-)- Соколовский, (1942 г.)- И.М. Цветков, (05.1944 г.)- К.Д. Карасев. Гендиректор (1990-е г.)- А.Г. Пшеничников, (1994-96 г.)- С.Д. Бодрунов (затем- гендиректор ОАО ОАК), (1996-10.2003 г.)- А.Л. Захаров, (2003 г.)- В.В. Голубев.</w:t>
      </w:r>
    </w:p>
    <w:p w14:paraId="4B8794B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конструктор (1941 г.)- А.А. Андреев, (1980-е)- А.Л. Захаров.</w:t>
      </w:r>
    </w:p>
    <w:p w14:paraId="2B6014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Технический директор – А.Л. Захаров. Директор по ВЭД (-1994 г.)- С.Д. Бодрунов.</w:t>
      </w:r>
    </w:p>
    <w:p w14:paraId="200CE5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 КБ (1981 г.-)- А.Л. Захаров.</w:t>
      </w:r>
    </w:p>
    <w:p w14:paraId="29BF1F7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Завод № 218 НКАП, завод “</w:t>
      </w:r>
      <w:proofErr w:type="spellStart"/>
      <w:r w:rsidRPr="00A259BD">
        <w:rPr>
          <w:rFonts w:ascii="Times New Roman" w:hAnsi="Times New Roman"/>
          <w:color w:val="000000" w:themeColor="text1"/>
          <w:sz w:val="16"/>
          <w:szCs w:val="16"/>
        </w:rPr>
        <w:t>Термоэлектроприбор</w:t>
      </w:r>
      <w:proofErr w:type="spellEnd"/>
      <w:r w:rsidRPr="00A259BD">
        <w:rPr>
          <w:rFonts w:ascii="Times New Roman" w:hAnsi="Times New Roman"/>
          <w:color w:val="000000" w:themeColor="text1"/>
          <w:sz w:val="16"/>
          <w:szCs w:val="16"/>
        </w:rPr>
        <w:t xml:space="preserve">”, завод "Пирометр", ОАО “Пирометр” </w:t>
      </w:r>
    </w:p>
    <w:p w14:paraId="242626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Ленинград, ул. Скороходова, 16 (1940 г.); г. Казань</w:t>
      </w:r>
    </w:p>
    <w:p w14:paraId="66B0AC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197061 г. Санкт-Петербург ул. Б. Монетная, 16 тел. 232-74-86</w:t>
      </w:r>
    </w:p>
    <w:p w14:paraId="22E289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ОКБ-218 НКАП, ОКБ-5 завода № 218 МАП </w:t>
      </w:r>
    </w:p>
    <w:p w14:paraId="67BEB0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Ленинград</w:t>
      </w:r>
    </w:p>
    <w:p w14:paraId="197C74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Действовало в 1941 г. в 5ГУ. В 12.1941 г. ОКБ пытались эвакуировать по льду Ладожского озера, но это не было осуществлено. В 1946 г. называлось ОКБ-5. Работы по </w:t>
      </w:r>
      <w:proofErr w:type="spellStart"/>
      <w:r w:rsidRPr="00A259BD">
        <w:rPr>
          <w:rFonts w:ascii="Times New Roman" w:hAnsi="Times New Roman"/>
          <w:color w:val="000000" w:themeColor="text1"/>
          <w:sz w:val="16"/>
          <w:szCs w:val="16"/>
        </w:rPr>
        <w:t>теплоприборам</w:t>
      </w:r>
      <w:proofErr w:type="spellEnd"/>
      <w:r w:rsidRPr="00A259BD">
        <w:rPr>
          <w:rFonts w:ascii="Times New Roman" w:hAnsi="Times New Roman"/>
          <w:color w:val="000000" w:themeColor="text1"/>
          <w:sz w:val="16"/>
          <w:szCs w:val="16"/>
        </w:rPr>
        <w:t>, автоматическим и измерительным приборам (расходомеры) реактивных двигателей (1949 г.).</w:t>
      </w:r>
    </w:p>
    <w:p w14:paraId="567CC0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конструктор (-1941-06.1948 г.-)- А.А. Андреев.</w:t>
      </w:r>
    </w:p>
    <w:p w14:paraId="0AEA69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ОАО “Корпорация “Аэрокосмическое оборудование” (КАО) </w:t>
      </w:r>
    </w:p>
    <w:p w14:paraId="5DD55C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197101 г. Санкт-Петербург ул. Б. Монетная, 16 тел. 238-72-45, 233-74-59 www.aequipment.ru</w:t>
      </w:r>
    </w:p>
    <w:p w14:paraId="5D44AB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Московское представительство: ул. Б. Молчановка, 30/7 стр. 2; 101000 Архангельский пер., 6 (2004 г.) тел. 9244471</w:t>
      </w:r>
    </w:p>
    <w:p w14:paraId="2E80DA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Создание Корпорации “Аэрокосмическое оборудование” (КАО) было предусмотрено в 05.1998 г. проектом Федеральной программы реструктуризации ВПК., а 14.11.1998 г. принято постановление Правительства № 1347 “О создании ОАО КАО”. ОАО КАО было зарегистрировано 18.04.2000 г., в него вошли 35 предприятий авиаприборостроения: в т.ч. ОАО “Объединенный авиаприборостроительный консорциум” (управляющая компания), ОАО “Уральский завод электрических соединителей “Исеть”, ОАО "Радиоприбор", ОАО “Арзамасское опытно-конструкторское бюро “Импульс”, НИИП им. Тихомирова, ОАО “Электроприбор”, ОАО “Альметьевский завод “Радиоприбор”, ОАО "Московский радиозавод "ТЕМП", ОАО "Мичуринский завод "Прогресс", ОАО "Тамбовский завод "Электроприбор", ОАО “Пирометр”, ОАО "Измеритель", ФГУП "СП ОКБ "ЭЛЕКТРОАВТОМАТИКА", ОАО "Ростовский часовой завод", ОАО "ПМЗ "Восход", ОАО “Улан-Удэнское приборостроительное производственное объединение ”, ФГУП ГРПЗ, ОАО "Санкт-Петербургский завод точных электромеханических приборов", ФГУП ЦКБА, ОАО "Гидроагрегат", ЗАО "НИЦ экономики авиаприборостроения", ОАО "ПНПП "ЭРА", ОАО ПКБМ, ОАО 2-й МПЗ, ОАО "НИИ "Микрон", ОАО “Утес”, ЗАО "Авиаоборудование", ОАО "Научно-конструкторское бюро вычислительных систем", ОАО "Российский центр авиационного </w:t>
      </w:r>
      <w:proofErr w:type="spellStart"/>
      <w:r w:rsidRPr="00A259BD">
        <w:rPr>
          <w:rFonts w:ascii="Times New Roman" w:hAnsi="Times New Roman"/>
          <w:color w:val="000000" w:themeColor="text1"/>
          <w:sz w:val="16"/>
          <w:szCs w:val="16"/>
        </w:rPr>
        <w:t>тренажеростроения</w:t>
      </w:r>
      <w:proofErr w:type="spellEnd"/>
      <w:r w:rsidRPr="00A259BD">
        <w:rPr>
          <w:rFonts w:ascii="Times New Roman" w:hAnsi="Times New Roman"/>
          <w:color w:val="000000" w:themeColor="text1"/>
          <w:sz w:val="16"/>
          <w:szCs w:val="16"/>
        </w:rPr>
        <w:t>", ЗАО “Центр печатных плат” (на 11.2004 г. в КАО входят 36 предприятий). 2.04.2001 г. было подписано межправительственное соглашение о создании МФПГ “Аэрокосмическое оборудование”, 1.08.2001 г. МФПГ была зарегистрирована. Входит в МФПГ “Оборонительные системы”, в 2002 г. вошла в Концерн “Алмаз-Антей”. По Указу Президента РФ № 1009 от 4.08.2004 г. вошло в число стратегических оборонных предприятий.</w:t>
      </w:r>
    </w:p>
    <w:p w14:paraId="20501A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Численность персонала (2002 г.)- 100 чел.,69 (1.04.2003 г.)- 148 чел.</w:t>
      </w:r>
    </w:p>
    <w:p w14:paraId="3C1822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Гендиректор (2002-05 г.-)- С.Д. Бодрунов.</w:t>
      </w:r>
    </w:p>
    <w:p w14:paraId="04FD56B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Председатель совета директоров (04.2002-04 г.-)- А.П. Захаревич.</w:t>
      </w:r>
    </w:p>
    <w:p w14:paraId="05F5793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Члены совета директоров (31.03.2004 г.-)- С.Д. Бодрунов, В.П. Володин (Председатель Военно-научного комитета Генштаба ВС), А.М. </w:t>
      </w:r>
      <w:proofErr w:type="spellStart"/>
      <w:r w:rsidRPr="00A259BD">
        <w:rPr>
          <w:rFonts w:ascii="Times New Roman" w:hAnsi="Times New Roman"/>
          <w:color w:val="000000" w:themeColor="text1"/>
          <w:sz w:val="16"/>
          <w:szCs w:val="16"/>
        </w:rPr>
        <w:t>Гиринов</w:t>
      </w:r>
      <w:proofErr w:type="spellEnd"/>
      <w:r w:rsidRPr="00A259BD">
        <w:rPr>
          <w:rFonts w:ascii="Times New Roman" w:hAnsi="Times New Roman"/>
          <w:color w:val="000000" w:themeColor="text1"/>
          <w:sz w:val="16"/>
          <w:szCs w:val="16"/>
        </w:rPr>
        <w:t xml:space="preserve">, А.Л. Захаров, А.И. Кондрашов, Ю.Н. Коптев, И.И. </w:t>
      </w:r>
      <w:proofErr w:type="spellStart"/>
      <w:r w:rsidRPr="00A259BD">
        <w:rPr>
          <w:rFonts w:ascii="Times New Roman" w:hAnsi="Times New Roman"/>
          <w:color w:val="000000" w:themeColor="text1"/>
          <w:sz w:val="16"/>
          <w:szCs w:val="16"/>
        </w:rPr>
        <w:t>Кутырин</w:t>
      </w:r>
      <w:proofErr w:type="spellEnd"/>
      <w:r w:rsidRPr="00A259BD">
        <w:rPr>
          <w:rFonts w:ascii="Times New Roman" w:hAnsi="Times New Roman"/>
          <w:color w:val="000000" w:themeColor="text1"/>
          <w:sz w:val="16"/>
          <w:szCs w:val="16"/>
        </w:rPr>
        <w:t xml:space="preserve">, Л.А. Мальков, С.П. Мухин (замминистра экономики Татарстана), Д.Е. Смыков, И.А. Соломатин, В.Е. </w:t>
      </w:r>
      <w:proofErr w:type="spellStart"/>
      <w:r w:rsidRPr="00A259BD">
        <w:rPr>
          <w:rFonts w:ascii="Times New Roman" w:hAnsi="Times New Roman"/>
          <w:color w:val="000000" w:themeColor="text1"/>
          <w:sz w:val="16"/>
          <w:szCs w:val="16"/>
        </w:rPr>
        <w:t>Сурыгин</w:t>
      </w:r>
      <w:proofErr w:type="spellEnd"/>
      <w:r w:rsidRPr="00A259BD">
        <w:rPr>
          <w:rFonts w:ascii="Times New Roman" w:hAnsi="Times New Roman"/>
          <w:color w:val="000000" w:themeColor="text1"/>
          <w:sz w:val="16"/>
          <w:szCs w:val="16"/>
        </w:rPr>
        <w:t xml:space="preserve"> (замдиректора Департамента </w:t>
      </w:r>
      <w:proofErr w:type="spellStart"/>
      <w:r w:rsidRPr="00A259BD">
        <w:rPr>
          <w:rFonts w:ascii="Times New Roman" w:hAnsi="Times New Roman"/>
          <w:color w:val="000000" w:themeColor="text1"/>
          <w:sz w:val="16"/>
          <w:szCs w:val="16"/>
        </w:rPr>
        <w:t>оборонпрома</w:t>
      </w:r>
      <w:proofErr w:type="spellEnd"/>
      <w:r w:rsidRPr="00A259BD">
        <w:rPr>
          <w:rFonts w:ascii="Times New Roman" w:hAnsi="Times New Roman"/>
          <w:color w:val="000000" w:themeColor="text1"/>
          <w:sz w:val="16"/>
          <w:szCs w:val="16"/>
        </w:rPr>
        <w:t xml:space="preserve"> Правительства РФ).</w:t>
      </w:r>
    </w:p>
    <w:p w14:paraId="3536E8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1-й зам. гендиректора (2002 г.)- А.Г. Ященко; технический директор (2001-05 г.-)- А.П. Захаревич; исполнительный директор (11.2003-05 г.-)- А.Л. Захаров. Зам. гендиректора: директор департамента по ВЭД и маркетингу (2004 г.)- Л.А. Мальков.</w:t>
      </w:r>
    </w:p>
    <w:p w14:paraId="168EBD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директора НТЦ (2004 г.)- И.И. </w:t>
      </w:r>
      <w:proofErr w:type="spellStart"/>
      <w:r w:rsidRPr="00A259BD">
        <w:rPr>
          <w:rFonts w:ascii="Times New Roman" w:hAnsi="Times New Roman"/>
          <w:color w:val="000000" w:themeColor="text1"/>
          <w:sz w:val="16"/>
          <w:szCs w:val="16"/>
        </w:rPr>
        <w:t>Кутырин</w:t>
      </w:r>
      <w:proofErr w:type="spellEnd"/>
      <w:r w:rsidRPr="00A259BD">
        <w:rPr>
          <w:rFonts w:ascii="Times New Roman" w:hAnsi="Times New Roman"/>
          <w:color w:val="000000" w:themeColor="text1"/>
          <w:sz w:val="16"/>
          <w:szCs w:val="16"/>
        </w:rPr>
        <w:t>. Советник гендиректора по экономическим вопросам (2004 г.)- И.А. Соломатин.</w:t>
      </w:r>
    </w:p>
    <w:p w14:paraId="7D19B7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ЗАО “НИЦ экономики авиаприборостроения”</w:t>
      </w:r>
    </w:p>
    <w:p w14:paraId="5EAEA5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197101 г. Санкт-Петербург ул. Б. Монетная, 16 тел. 238-72-62</w:t>
      </w:r>
    </w:p>
    <w:p w14:paraId="6D10C7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Создан в 1999 г. В 2000 г. вошел в КАО.</w:t>
      </w:r>
    </w:p>
    <w:p w14:paraId="37B86CE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Работы (2003 г.): разработка, совершенствование и ведение информационно-статистической и бухгалтерской базы отчетности предприятий Корпорации; разработка предложений и рекомендаций для руководителей предприятий по повышению эффективности производства, совершенствованию кооперационных связей; разработка аналитических, информационных и научно-исследовательских материалов для предприятий Корпорации.</w:t>
      </w:r>
    </w:p>
    <w:p w14:paraId="393638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Гендиректор (2003 г.)- Ю.Н. </w:t>
      </w:r>
      <w:proofErr w:type="spellStart"/>
      <w:r w:rsidRPr="00A259BD">
        <w:rPr>
          <w:rFonts w:ascii="Times New Roman" w:hAnsi="Times New Roman"/>
          <w:color w:val="000000" w:themeColor="text1"/>
          <w:sz w:val="16"/>
          <w:szCs w:val="16"/>
        </w:rPr>
        <w:t>Вялкин</w:t>
      </w:r>
      <w:proofErr w:type="spellEnd"/>
      <w:r w:rsidRPr="00A259BD">
        <w:rPr>
          <w:rFonts w:ascii="Times New Roman" w:hAnsi="Times New Roman"/>
          <w:color w:val="000000" w:themeColor="text1"/>
          <w:sz w:val="16"/>
          <w:szCs w:val="16"/>
        </w:rPr>
        <w:t xml:space="preserve">. </w:t>
      </w:r>
    </w:p>
    <w:p w14:paraId="7030BF3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ОАО “Объединенный авиаприборостроительный консорциум”</w:t>
      </w:r>
    </w:p>
    <w:p w14:paraId="19258D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197101 г. Санкт-Петербург ул. Б. Монетная, 16 тел. 238-77-05</w:t>
      </w:r>
    </w:p>
    <w:p w14:paraId="50B281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Управляющая компания КАО, создана в 1998 г.69 </w:t>
      </w:r>
    </w:p>
    <w:p w14:paraId="6B2F48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Гендиректор (2003 г.)- А.М. </w:t>
      </w:r>
      <w:proofErr w:type="spellStart"/>
      <w:r w:rsidRPr="00A259BD">
        <w:rPr>
          <w:rFonts w:ascii="Times New Roman" w:hAnsi="Times New Roman"/>
          <w:color w:val="000000" w:themeColor="text1"/>
          <w:sz w:val="16"/>
          <w:szCs w:val="16"/>
        </w:rPr>
        <w:t>Гиринов</w:t>
      </w:r>
      <w:proofErr w:type="spellEnd"/>
      <w:r w:rsidRPr="00A259BD">
        <w:rPr>
          <w:rFonts w:ascii="Times New Roman" w:hAnsi="Times New Roman"/>
          <w:color w:val="000000" w:themeColor="text1"/>
          <w:sz w:val="16"/>
          <w:szCs w:val="16"/>
        </w:rPr>
        <w:t xml:space="preserve"> (10776).</w:t>
      </w:r>
    </w:p>
    <w:p w14:paraId="1008A2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65F89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на </w:t>
      </w:r>
      <w:proofErr w:type="spellStart"/>
      <w:r w:rsidRPr="00A259BD">
        <w:rPr>
          <w:rFonts w:ascii="Times New Roman" w:hAnsi="Times New Roman"/>
          <w:color w:val="000000" w:themeColor="text1"/>
          <w:sz w:val="16"/>
          <w:szCs w:val="16"/>
        </w:rPr>
        <w:t>Мытищенском</w:t>
      </w:r>
      <w:proofErr w:type="spellEnd"/>
      <w:r w:rsidRPr="00A259BD">
        <w:rPr>
          <w:rFonts w:ascii="Times New Roman" w:hAnsi="Times New Roman"/>
          <w:color w:val="000000" w:themeColor="text1"/>
          <w:sz w:val="16"/>
          <w:szCs w:val="16"/>
        </w:rPr>
        <w:t xml:space="preserve"> вагоностроительном заводе изготовлены первые в России электрические пассажирские поезда. Основан в 1897 г. как </w:t>
      </w:r>
      <w:proofErr w:type="spellStart"/>
      <w:r w:rsidRPr="00A259BD">
        <w:rPr>
          <w:rFonts w:ascii="Times New Roman" w:hAnsi="Times New Roman"/>
          <w:color w:val="000000" w:themeColor="text1"/>
          <w:sz w:val="16"/>
          <w:szCs w:val="16"/>
        </w:rPr>
        <w:t>Мытищенский</w:t>
      </w:r>
      <w:proofErr w:type="spellEnd"/>
      <w:r w:rsidRPr="00A259BD">
        <w:rPr>
          <w:rFonts w:ascii="Times New Roman" w:hAnsi="Times New Roman"/>
          <w:color w:val="000000" w:themeColor="text1"/>
          <w:sz w:val="16"/>
          <w:szCs w:val="16"/>
        </w:rPr>
        <w:t xml:space="preserve"> вагоностроительный завод. Производство пассажирских, товарных, почтовых вагонов. С 1903 г.- производство трамвайных вагонов для г. Москвы. С 1942 г.- производство САУ и тягачей для военных целей. С 1946 г.- производство автосамосвалов.</w:t>
      </w:r>
    </w:p>
    <w:p w14:paraId="0A1DB7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состав ЗАО "Метровагонмаш" входят (2005 г.) два производственных филиала: Шполянский завод запасных частей и Вышневолоцкий машиностроительный завод. </w:t>
      </w:r>
    </w:p>
    <w:p w14:paraId="311C09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ЗАО "Метровагонмаш" занимает площадь более 80 га. Завод имеет собственные производства: литейное, кузнечное, листовой штамповки, механообработки, термообработки, гальваники, инструментальное, нестандартизированного оборудования, покрасочные комплексы, испытательные станции, полигоны для ходовых испытаний.</w:t>
      </w:r>
    </w:p>
    <w:p w14:paraId="1BB06F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Имеет 3 основных направления деятельности: - </w:t>
      </w:r>
      <w:proofErr w:type="spellStart"/>
      <w:r w:rsidRPr="00A259BD">
        <w:rPr>
          <w:rFonts w:ascii="Times New Roman" w:hAnsi="Times New Roman"/>
          <w:color w:val="000000" w:themeColor="text1"/>
          <w:sz w:val="16"/>
          <w:szCs w:val="16"/>
        </w:rPr>
        <w:t>метровагоностроение</w:t>
      </w:r>
      <w:proofErr w:type="spellEnd"/>
      <w:r w:rsidRPr="00A259BD">
        <w:rPr>
          <w:rFonts w:ascii="Times New Roman" w:hAnsi="Times New Roman"/>
          <w:color w:val="000000" w:themeColor="text1"/>
          <w:sz w:val="16"/>
          <w:szCs w:val="16"/>
        </w:rPr>
        <w:t>, - производство автосамосвалов, - производство бронированных гусеничных машин. Проектирование техники по каждому направлению осуществляют 3 специализированных конструкторских фирмы.</w:t>
      </w:r>
    </w:p>
    <w:p w14:paraId="5AA27D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10.2005 г. вошло в “Трансмашхолдинг”.</w:t>
      </w:r>
    </w:p>
    <w:p w14:paraId="26BA4C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Работали: (1987 г.)- Ю.А. Гулько.</w:t>
      </w:r>
    </w:p>
    <w:p w14:paraId="542026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Гендиректор (16.12.2004 г.)- Ю.А. Гулько (умер).</w:t>
      </w:r>
    </w:p>
    <w:p w14:paraId="70630C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танк Т-80 (1943), АСУ-57; гусеничное шасси: для ЗРК “Тор”; ГМ-569 для ЗРК "Бук-М1" (2001); ГМ-5955 для ЗРК "Тор-М1" (2001); ГМ-5975 для ЗРК "Тунгуска-М1" (2001);</w:t>
      </w:r>
    </w:p>
    <w:p w14:paraId="22EC7F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вагоны метро (1934-2000-е), рельсовые поезда, дизель-поезда (2005);</w:t>
      </w:r>
    </w:p>
    <w:p w14:paraId="65D8F8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автосамосвалы: ММЗ-4516, -4508, -45085, -45063, -45065, -45067, -4520, -4515, -2502, -5822, -4952; прицеп 8176.</w:t>
      </w:r>
    </w:p>
    <w:p w14:paraId="4FB9CE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Завод № 40 Минавтопрома, НКТП, </w:t>
      </w:r>
      <w:proofErr w:type="spellStart"/>
      <w:r w:rsidRPr="00A259BD">
        <w:rPr>
          <w:rFonts w:ascii="Times New Roman" w:hAnsi="Times New Roman"/>
          <w:color w:val="000000" w:themeColor="text1"/>
          <w:sz w:val="16"/>
          <w:szCs w:val="16"/>
        </w:rPr>
        <w:t>Мытищенский</w:t>
      </w:r>
      <w:proofErr w:type="spellEnd"/>
      <w:r w:rsidRPr="00A259BD">
        <w:rPr>
          <w:rFonts w:ascii="Times New Roman" w:hAnsi="Times New Roman"/>
          <w:color w:val="000000" w:themeColor="text1"/>
          <w:sz w:val="16"/>
          <w:szCs w:val="16"/>
        </w:rPr>
        <w:t xml:space="preserve"> вагоностроительный завод, </w:t>
      </w:r>
      <w:proofErr w:type="spellStart"/>
      <w:r w:rsidRPr="00A259BD">
        <w:rPr>
          <w:rFonts w:ascii="Times New Roman" w:hAnsi="Times New Roman"/>
          <w:color w:val="000000" w:themeColor="text1"/>
          <w:sz w:val="16"/>
          <w:szCs w:val="16"/>
        </w:rPr>
        <w:t>Мытищенский</w:t>
      </w:r>
      <w:proofErr w:type="spellEnd"/>
      <w:r w:rsidRPr="00A259BD">
        <w:rPr>
          <w:rFonts w:ascii="Times New Roman" w:hAnsi="Times New Roman"/>
          <w:color w:val="000000" w:themeColor="text1"/>
          <w:sz w:val="16"/>
          <w:szCs w:val="16"/>
        </w:rPr>
        <w:t xml:space="preserve"> машиностроительный завод (ММЗ) </w:t>
      </w:r>
      <w:proofErr w:type="spellStart"/>
      <w:r w:rsidRPr="00A259BD">
        <w:rPr>
          <w:rFonts w:ascii="Times New Roman" w:hAnsi="Times New Roman"/>
          <w:color w:val="000000" w:themeColor="text1"/>
          <w:sz w:val="16"/>
          <w:szCs w:val="16"/>
        </w:rPr>
        <w:t>МТиТМ</w:t>
      </w:r>
      <w:proofErr w:type="spellEnd"/>
      <w:r w:rsidRPr="00A259BD">
        <w:rPr>
          <w:rFonts w:ascii="Times New Roman" w:hAnsi="Times New Roman"/>
          <w:color w:val="000000" w:themeColor="text1"/>
          <w:sz w:val="16"/>
          <w:szCs w:val="16"/>
        </w:rPr>
        <w:t>, ЗАО “Метровагонмаш”</w:t>
      </w:r>
    </w:p>
    <w:p w14:paraId="263F76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141009 г. Мытищи Московской обл., ул. </w:t>
      </w:r>
      <w:proofErr w:type="spellStart"/>
      <w:r w:rsidRPr="00A259BD">
        <w:rPr>
          <w:rFonts w:ascii="Times New Roman" w:hAnsi="Times New Roman"/>
          <w:color w:val="000000" w:themeColor="text1"/>
          <w:sz w:val="16"/>
          <w:szCs w:val="16"/>
        </w:rPr>
        <w:t>Колонцова</w:t>
      </w:r>
      <w:proofErr w:type="spellEnd"/>
      <w:r w:rsidRPr="00A259BD">
        <w:rPr>
          <w:rFonts w:ascii="Times New Roman" w:hAnsi="Times New Roman"/>
          <w:color w:val="000000" w:themeColor="text1"/>
          <w:sz w:val="16"/>
          <w:szCs w:val="16"/>
        </w:rPr>
        <w:t>, 4 тел. 581-12-56 www.mtu-net.ru/metrowagonmash (10776).</w:t>
      </w:r>
    </w:p>
    <w:p w14:paraId="6BBF3D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ОКБ-40, СКБ по тягачам</w:t>
      </w:r>
    </w:p>
    <w:p w14:paraId="22ACC2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ОКБ-40 создано в 1942 г.</w:t>
      </w:r>
    </w:p>
    <w:p w14:paraId="58AD8C9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конструктор ОКБ (1960-е-72 г.-)- Н.А. Астров. </w:t>
      </w:r>
    </w:p>
    <w:p w14:paraId="14F6BD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Создано: (после ВОВ) тягачи АТ-П, САУ АСУ-57 (1949 г.), АСУ-57П (плавающая), АСУ-85; гусеничное шасси для ЗРК “Куб”, “Бук”, ЗАК "Шилка".</w:t>
      </w:r>
    </w:p>
    <w:p w14:paraId="58CF64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Шполянский завод запасных частей</w:t>
      </w:r>
    </w:p>
    <w:p w14:paraId="275B26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Украина г. Шпола</w:t>
      </w:r>
    </w:p>
    <w:p w14:paraId="6ED64E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Был в 2000-е г.</w:t>
      </w:r>
    </w:p>
    <w:p w14:paraId="2E8B46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Вышневолоцкий машиностроительный завод</w:t>
      </w:r>
    </w:p>
    <w:p w14:paraId="301978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 Вышний Волочок Тверской обл.</w:t>
      </w:r>
    </w:p>
    <w:p w14:paraId="5C27E3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Был в 2000-е г.www.mtu-net.ru/</w:t>
      </w:r>
      <w:proofErr w:type="spellStart"/>
      <w:r w:rsidRPr="00A259BD">
        <w:rPr>
          <w:rFonts w:ascii="Times New Roman" w:hAnsi="Times New Roman"/>
          <w:color w:val="000000" w:themeColor="text1"/>
          <w:sz w:val="16"/>
          <w:szCs w:val="16"/>
        </w:rPr>
        <w:t>metrowagonmash</w:t>
      </w:r>
      <w:proofErr w:type="spellEnd"/>
      <w:r w:rsidRPr="00A259BD">
        <w:rPr>
          <w:rFonts w:ascii="Times New Roman" w:hAnsi="Times New Roman"/>
          <w:color w:val="000000" w:themeColor="text1"/>
          <w:sz w:val="16"/>
          <w:szCs w:val="16"/>
        </w:rPr>
        <w:t xml:space="preserve"> (10776).</w:t>
      </w:r>
    </w:p>
    <w:p w14:paraId="014FB0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216A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1929 г. образованный в 1920-х г. как комбинат “К” получил название завод № 98. Имя Кирова присвоено 4.02.1941 г.</w:t>
      </w:r>
    </w:p>
    <w:p w14:paraId="41F4A01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 время ВОВ на Уральский завод № 98 была эвакуирована часть ОТБ-6 НКБ из НИИ-6 (получила название ОТБ-98 НКБ), а также оборудование и кадры заводов № 6, № 52, № 59, № 100 и № 101. </w:t>
      </w:r>
    </w:p>
    <w:p w14:paraId="60AF5F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Во время ВОВ на заводе осуществлялось производство пороховых шашек для РС. Далее (после ВОВ)- производство пороховых шашек для БР РТ-1. </w:t>
      </w:r>
    </w:p>
    <w:p w14:paraId="42F1E7C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После ВОВ на заводе № 98 из сотрудников завода и части коллектива бывшего ОТБ-98 был образован НИИ-130. </w:t>
      </w:r>
    </w:p>
    <w:p w14:paraId="5555E70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Далее на базе Пермского завода им. Кирова и НИИПМ образовано НПО им. Кирова.</w:t>
      </w:r>
    </w:p>
    <w:p w14:paraId="5B8BFB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1990-е г.- </w:t>
      </w:r>
      <w:proofErr w:type="spellStart"/>
      <w:r w:rsidRPr="00A259BD">
        <w:rPr>
          <w:rFonts w:ascii="Times New Roman" w:hAnsi="Times New Roman"/>
          <w:color w:val="000000" w:themeColor="text1"/>
          <w:sz w:val="16"/>
          <w:szCs w:val="16"/>
        </w:rPr>
        <w:t>боеприпасное</w:t>
      </w:r>
      <w:proofErr w:type="spellEnd"/>
      <w:r w:rsidRPr="00A259BD">
        <w:rPr>
          <w:rFonts w:ascii="Times New Roman" w:hAnsi="Times New Roman"/>
          <w:color w:val="000000" w:themeColor="text1"/>
          <w:sz w:val="16"/>
          <w:szCs w:val="16"/>
        </w:rPr>
        <w:t xml:space="preserve"> производство. С 2003 г.- работы по ликвидации МБР. По Указу Президента РФ № 1009 от 4.08.2004 г. вошел в число стратегических оборонных предприятий.</w:t>
      </w:r>
    </w:p>
    <w:p w14:paraId="242F400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Директор (1941 г.)- С.С. Качалов, (1941 г.)- М.В. </w:t>
      </w:r>
      <w:proofErr w:type="spellStart"/>
      <w:r w:rsidRPr="00A259BD">
        <w:rPr>
          <w:rFonts w:ascii="Times New Roman" w:hAnsi="Times New Roman"/>
          <w:color w:val="000000" w:themeColor="text1"/>
          <w:sz w:val="16"/>
          <w:szCs w:val="16"/>
        </w:rPr>
        <w:t>Бушмелев</w:t>
      </w:r>
      <w:proofErr w:type="spellEnd"/>
      <w:r w:rsidRPr="00A259BD">
        <w:rPr>
          <w:rFonts w:ascii="Times New Roman" w:hAnsi="Times New Roman"/>
          <w:color w:val="000000" w:themeColor="text1"/>
          <w:sz w:val="16"/>
          <w:szCs w:val="16"/>
        </w:rPr>
        <w:t xml:space="preserve"> (зам. наркома), (12.1941-45 г.-)- Д.Г. </w:t>
      </w:r>
      <w:proofErr w:type="spellStart"/>
      <w:r w:rsidRPr="00A259BD">
        <w:rPr>
          <w:rFonts w:ascii="Times New Roman" w:hAnsi="Times New Roman"/>
          <w:color w:val="000000" w:themeColor="text1"/>
          <w:sz w:val="16"/>
          <w:szCs w:val="16"/>
        </w:rPr>
        <w:t>Бидинский</w:t>
      </w:r>
      <w:proofErr w:type="spellEnd"/>
      <w:r w:rsidRPr="00A259BD">
        <w:rPr>
          <w:rFonts w:ascii="Times New Roman" w:hAnsi="Times New Roman"/>
          <w:color w:val="000000" w:themeColor="text1"/>
          <w:sz w:val="16"/>
          <w:szCs w:val="16"/>
        </w:rPr>
        <w:t xml:space="preserve"> (переведен с завода № 59), (конец 1950-х- начало 1960-х г.)- А.М. </w:t>
      </w:r>
      <w:proofErr w:type="spellStart"/>
      <w:r w:rsidRPr="00A259BD">
        <w:rPr>
          <w:rFonts w:ascii="Times New Roman" w:hAnsi="Times New Roman"/>
          <w:color w:val="000000" w:themeColor="text1"/>
          <w:sz w:val="16"/>
          <w:szCs w:val="16"/>
        </w:rPr>
        <w:t>Секалин</w:t>
      </w:r>
      <w:proofErr w:type="spellEnd"/>
      <w:r w:rsidRPr="00A259BD">
        <w:rPr>
          <w:rFonts w:ascii="Times New Roman" w:hAnsi="Times New Roman"/>
          <w:color w:val="000000" w:themeColor="text1"/>
          <w:sz w:val="16"/>
          <w:szCs w:val="16"/>
        </w:rPr>
        <w:t>. Гендиректор (2005 г.)- Г. Кузьмицкий.</w:t>
      </w:r>
    </w:p>
    <w:p w14:paraId="43B7B76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инженер (ВОВ)- Д.Е. Горбачев, (1946 г.)- А.М. </w:t>
      </w:r>
      <w:proofErr w:type="spellStart"/>
      <w:r w:rsidRPr="00A259BD">
        <w:rPr>
          <w:rFonts w:ascii="Times New Roman" w:hAnsi="Times New Roman"/>
          <w:color w:val="000000" w:themeColor="text1"/>
          <w:sz w:val="16"/>
          <w:szCs w:val="16"/>
        </w:rPr>
        <w:t>Секалин</w:t>
      </w:r>
      <w:proofErr w:type="spellEnd"/>
      <w:r w:rsidRPr="00A259BD">
        <w:rPr>
          <w:rFonts w:ascii="Times New Roman" w:hAnsi="Times New Roman"/>
          <w:color w:val="000000" w:themeColor="text1"/>
          <w:sz w:val="16"/>
          <w:szCs w:val="16"/>
        </w:rPr>
        <w:t>.</w:t>
      </w:r>
    </w:p>
    <w:p w14:paraId="7A042E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Завод № 98 им. С.М. Кирова НКБ, комбинат “К”, Пермский завод им. С.М. Кирова, ФГУП “Пермский завод им. С.М. Кирова” </w:t>
      </w:r>
      <w:proofErr w:type="spellStart"/>
      <w:r w:rsidRPr="00A259BD">
        <w:rPr>
          <w:rFonts w:ascii="Times New Roman" w:hAnsi="Times New Roman"/>
          <w:color w:val="000000" w:themeColor="text1"/>
          <w:sz w:val="16"/>
          <w:szCs w:val="16"/>
        </w:rPr>
        <w:t>Росбоеприпаса</w:t>
      </w:r>
      <w:proofErr w:type="spellEnd"/>
    </w:p>
    <w:p w14:paraId="0D8471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614113 г. Молотов, г. Пермь ул. Гальперина, 11</w:t>
      </w:r>
    </w:p>
    <w:p w14:paraId="2D0C8F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ОТБ-98 4-го спецотдела НКВД </w:t>
      </w:r>
    </w:p>
    <w:p w14:paraId="55DF21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Действовало в период 1941-43 г. на заводе № 98. </w:t>
      </w:r>
    </w:p>
    <w:p w14:paraId="6C0A65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Заряды для артиллерийских систем, разработаны шашки для пороховых двигателей снарядов М-8 и М-13. </w:t>
      </w:r>
    </w:p>
    <w:p w14:paraId="65DCC3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1943 г. значительная часть заключенных инженеров ОТБ-98 перебазировалась на Подмосковный завод № 512.</w:t>
      </w:r>
    </w:p>
    <w:p w14:paraId="61342E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 (1938 г.-)- М.И. </w:t>
      </w:r>
      <w:proofErr w:type="spellStart"/>
      <w:r w:rsidRPr="00A259BD">
        <w:rPr>
          <w:rFonts w:ascii="Times New Roman" w:hAnsi="Times New Roman"/>
          <w:color w:val="000000" w:themeColor="text1"/>
          <w:sz w:val="16"/>
          <w:szCs w:val="16"/>
        </w:rPr>
        <w:t>Левичек</w:t>
      </w:r>
      <w:proofErr w:type="spellEnd"/>
      <w:r w:rsidRPr="00A259BD">
        <w:rPr>
          <w:rFonts w:ascii="Times New Roman" w:hAnsi="Times New Roman"/>
          <w:color w:val="000000" w:themeColor="text1"/>
          <w:sz w:val="16"/>
          <w:szCs w:val="16"/>
        </w:rPr>
        <w:t>.</w:t>
      </w:r>
    </w:p>
    <w:p w14:paraId="29E22D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начальника - К.В. Ворошилов. Научный руководитель- А.С. Бакаев. Гл. инженер (1938 г.)- А.С. Бакаев.</w:t>
      </w:r>
    </w:p>
    <w:p w14:paraId="64F756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Руководящие работники: Д.И. Гальперин, А.Э. </w:t>
      </w:r>
      <w:proofErr w:type="spellStart"/>
      <w:r w:rsidRPr="00A259BD">
        <w:rPr>
          <w:rFonts w:ascii="Times New Roman" w:hAnsi="Times New Roman"/>
          <w:color w:val="000000" w:themeColor="text1"/>
          <w:sz w:val="16"/>
          <w:szCs w:val="16"/>
        </w:rPr>
        <w:t>Спориус</w:t>
      </w:r>
      <w:proofErr w:type="spellEnd"/>
      <w:r w:rsidRPr="00A259BD">
        <w:rPr>
          <w:rFonts w:ascii="Times New Roman" w:hAnsi="Times New Roman"/>
          <w:color w:val="000000" w:themeColor="text1"/>
          <w:sz w:val="16"/>
          <w:szCs w:val="16"/>
        </w:rPr>
        <w:t xml:space="preserve">, И.В. Крыжановский, С.Н. Разумовский, В.А. </w:t>
      </w:r>
      <w:proofErr w:type="spellStart"/>
      <w:r w:rsidRPr="00A259BD">
        <w:rPr>
          <w:rFonts w:ascii="Times New Roman" w:hAnsi="Times New Roman"/>
          <w:color w:val="000000" w:themeColor="text1"/>
          <w:sz w:val="16"/>
          <w:szCs w:val="16"/>
        </w:rPr>
        <w:t>Лясацкий</w:t>
      </w:r>
      <w:proofErr w:type="spellEnd"/>
      <w:r w:rsidRPr="00A259BD">
        <w:rPr>
          <w:rFonts w:ascii="Times New Roman" w:hAnsi="Times New Roman"/>
          <w:color w:val="000000" w:themeColor="text1"/>
          <w:sz w:val="16"/>
          <w:szCs w:val="16"/>
        </w:rPr>
        <w:t xml:space="preserve">, С.А. Ильюшенко. </w:t>
      </w:r>
    </w:p>
    <w:p w14:paraId="7FBC24E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НПО им. Кирова ММ, ФГУП “НПО им. Кирова” </w:t>
      </w:r>
    </w:p>
    <w:p w14:paraId="6FE1D6A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Образовано из НИИПМ и Пермского завода им. Кирова. В 1990 г. НПО- в ведении ММ.</w:t>
      </w:r>
    </w:p>
    <w:p w14:paraId="45F4281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РСЗО "Ураган". Крупнейший производитель пороха в России (около 80 %, 2003 г.) (10776).</w:t>
      </w:r>
    </w:p>
    <w:p w14:paraId="42B3FF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E564F9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 Под руководством академика Минца А.Л. была построена и введена в строй крупнейшая радиовещательная станция им. ВЦСПС мощностью 100 кВт. На этой радиостанции впервые использовался многокаскадный передатчик на 18 параллельно соединенных 15 кВт лампах с кварцевой стабилизацией частоты (11223).</w:t>
      </w:r>
    </w:p>
    <w:p w14:paraId="20374D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4AB1A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были организованы учебно-производственные радиомастерские, в 1932 г. они реорганизованы в электромеханические мастерские Управления связи Московской области (УСМО). На их базе в 1933 г. создан ремонтный радиотелефонный завод УСМО. Выпускал телефонные коммутаторы, аппаратуру для оборудования радиостудий и радиоузлов, репродукторы «Рекорд». В 10.1941 г. завод № 18 эвакуирован в  г. Шадринск на площадку кирпичного завода и стал основой завода № 649. На месте эвакуированного завода в Москве в соответствии с пост. ГКО в 1942 г. создан завод № 745 НКЭП (11982).</w:t>
      </w:r>
    </w:p>
    <w:p w14:paraId="331212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75E71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1929г. в подчинении ГВПУ находилось 52 предприятия: </w:t>
      </w:r>
      <w:proofErr w:type="spellStart"/>
      <w:r w:rsidRPr="00A259BD">
        <w:rPr>
          <w:rFonts w:ascii="Times New Roman" w:hAnsi="Times New Roman"/>
          <w:color w:val="000000" w:themeColor="text1"/>
          <w:sz w:val="16"/>
          <w:szCs w:val="16"/>
        </w:rPr>
        <w:t>Патрубтрест</w:t>
      </w:r>
      <w:proofErr w:type="spellEnd"/>
      <w:r w:rsidRPr="00A259BD">
        <w:rPr>
          <w:rFonts w:ascii="Times New Roman" w:hAnsi="Times New Roman"/>
          <w:color w:val="000000" w:themeColor="text1"/>
          <w:sz w:val="16"/>
          <w:szCs w:val="16"/>
        </w:rPr>
        <w:t xml:space="preserve"> - 8, </w:t>
      </w:r>
      <w:proofErr w:type="spellStart"/>
      <w:r w:rsidRPr="00A259BD">
        <w:rPr>
          <w:rFonts w:ascii="Times New Roman" w:hAnsi="Times New Roman"/>
          <w:color w:val="000000" w:themeColor="text1"/>
          <w:sz w:val="16"/>
          <w:szCs w:val="16"/>
        </w:rPr>
        <w:t>Оружпултрест</w:t>
      </w:r>
      <w:proofErr w:type="spellEnd"/>
      <w:r w:rsidRPr="00A259BD">
        <w:rPr>
          <w:rFonts w:ascii="Times New Roman" w:hAnsi="Times New Roman"/>
          <w:color w:val="000000" w:themeColor="text1"/>
          <w:sz w:val="16"/>
          <w:szCs w:val="16"/>
        </w:rPr>
        <w:t xml:space="preserve"> - 5, </w:t>
      </w:r>
      <w:proofErr w:type="spellStart"/>
      <w:r w:rsidRPr="00A259BD">
        <w:rPr>
          <w:rFonts w:ascii="Times New Roman" w:hAnsi="Times New Roman"/>
          <w:color w:val="000000" w:themeColor="text1"/>
          <w:sz w:val="16"/>
          <w:szCs w:val="16"/>
        </w:rPr>
        <w:t>Военхимтрест</w:t>
      </w:r>
      <w:proofErr w:type="spellEnd"/>
      <w:r w:rsidRPr="00A259BD">
        <w:rPr>
          <w:rFonts w:ascii="Times New Roman" w:hAnsi="Times New Roman"/>
          <w:color w:val="000000" w:themeColor="text1"/>
          <w:sz w:val="16"/>
          <w:szCs w:val="16"/>
        </w:rPr>
        <w:t xml:space="preserve"> - 11, </w:t>
      </w:r>
      <w:proofErr w:type="spellStart"/>
      <w:r w:rsidRPr="00A259BD">
        <w:rPr>
          <w:rFonts w:ascii="Times New Roman" w:hAnsi="Times New Roman"/>
          <w:color w:val="000000" w:themeColor="text1"/>
          <w:sz w:val="16"/>
          <w:szCs w:val="16"/>
        </w:rPr>
        <w:t>Орударс</w:t>
      </w:r>
      <w:proofErr w:type="spellEnd"/>
      <w:r w:rsidRPr="00A259BD">
        <w:rPr>
          <w:rFonts w:ascii="Times New Roman" w:hAnsi="Times New Roman"/>
          <w:color w:val="000000" w:themeColor="text1"/>
          <w:sz w:val="16"/>
          <w:szCs w:val="16"/>
        </w:rPr>
        <w:t xml:space="preserve"> - 13,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- 15. Кроме того, в 1929 г. Кислотный завод № 1 (г. Москва) и Химический завод № 2 (г. </w:t>
      </w:r>
      <w:proofErr w:type="spellStart"/>
      <w:r w:rsidRPr="00A259BD">
        <w:rPr>
          <w:rFonts w:ascii="Times New Roman" w:hAnsi="Times New Roman"/>
          <w:color w:val="000000" w:themeColor="text1"/>
          <w:sz w:val="16"/>
          <w:szCs w:val="16"/>
        </w:rPr>
        <w:t>Троцк</w:t>
      </w:r>
      <w:proofErr w:type="spellEnd"/>
      <w:r w:rsidRPr="00A259BD">
        <w:rPr>
          <w:rFonts w:ascii="Times New Roman" w:hAnsi="Times New Roman"/>
          <w:color w:val="000000" w:themeColor="text1"/>
          <w:sz w:val="16"/>
          <w:szCs w:val="16"/>
        </w:rPr>
        <w:t xml:space="preserve"> Самарской губ.) были переданы из военной промышленности в </w:t>
      </w:r>
      <w:proofErr w:type="spellStart"/>
      <w:r w:rsidRPr="00A259BD">
        <w:rPr>
          <w:rFonts w:ascii="Times New Roman" w:hAnsi="Times New Roman"/>
          <w:color w:val="000000" w:themeColor="text1"/>
          <w:sz w:val="16"/>
          <w:szCs w:val="16"/>
        </w:rPr>
        <w:t>Главхим</w:t>
      </w:r>
      <w:proofErr w:type="spellEnd"/>
      <w:r w:rsidRPr="00A259BD">
        <w:rPr>
          <w:rFonts w:ascii="Times New Roman" w:hAnsi="Times New Roman"/>
          <w:color w:val="000000" w:themeColor="text1"/>
          <w:sz w:val="16"/>
          <w:szCs w:val="16"/>
        </w:rPr>
        <w:t xml:space="preserve">. 3.03.1930 г. </w:t>
      </w:r>
      <w:proofErr w:type="spellStart"/>
      <w:r w:rsidRPr="00A259BD">
        <w:rPr>
          <w:rFonts w:ascii="Times New Roman" w:hAnsi="Times New Roman"/>
          <w:color w:val="000000" w:themeColor="text1"/>
          <w:sz w:val="16"/>
          <w:szCs w:val="16"/>
        </w:rPr>
        <w:t>Авиатрест</w:t>
      </w:r>
      <w:proofErr w:type="spellEnd"/>
      <w:r w:rsidRPr="00A259BD">
        <w:rPr>
          <w:rFonts w:ascii="Times New Roman" w:hAnsi="Times New Roman"/>
          <w:color w:val="000000" w:themeColor="text1"/>
          <w:sz w:val="16"/>
          <w:szCs w:val="16"/>
        </w:rPr>
        <w:t xml:space="preserve"> был преобразован в ВАО, в подчинении которого находилось 25 заводов. По приказам ВСНХ № 1166 и № 1167 от 7.04.1930 г. на базе ГУВП и трестов были сформированы Всесоюзное объединение орудийно-оружейно-пулеметных производств (</w:t>
      </w:r>
      <w:proofErr w:type="spellStart"/>
      <w:r w:rsidRPr="00A259BD">
        <w:rPr>
          <w:rFonts w:ascii="Times New Roman" w:hAnsi="Times New Roman"/>
          <w:color w:val="000000" w:themeColor="text1"/>
          <w:sz w:val="16"/>
          <w:szCs w:val="16"/>
        </w:rPr>
        <w:t>Оружобъединение</w:t>
      </w:r>
      <w:proofErr w:type="spellEnd"/>
      <w:r w:rsidRPr="00A259BD">
        <w:rPr>
          <w:rFonts w:ascii="Times New Roman" w:hAnsi="Times New Roman"/>
          <w:color w:val="000000" w:themeColor="text1"/>
          <w:sz w:val="16"/>
          <w:szCs w:val="16"/>
        </w:rPr>
        <w:t xml:space="preserve">) и Всесоюзное объединение патронно-трубочного и </w:t>
      </w:r>
      <w:proofErr w:type="spellStart"/>
      <w:r w:rsidRPr="00A259BD">
        <w:rPr>
          <w:rFonts w:ascii="Times New Roman" w:hAnsi="Times New Roman"/>
          <w:color w:val="000000" w:themeColor="text1"/>
          <w:sz w:val="16"/>
          <w:szCs w:val="16"/>
        </w:rPr>
        <w:t>взрывательного</w:t>
      </w:r>
      <w:proofErr w:type="spellEnd"/>
      <w:r w:rsidRPr="00A259BD">
        <w:rPr>
          <w:rFonts w:ascii="Times New Roman" w:hAnsi="Times New Roman"/>
          <w:color w:val="000000" w:themeColor="text1"/>
          <w:sz w:val="16"/>
          <w:szCs w:val="16"/>
        </w:rPr>
        <w:t xml:space="preserve"> производств (</w:t>
      </w:r>
      <w:proofErr w:type="spellStart"/>
      <w:r w:rsidRPr="00A259BD">
        <w:rPr>
          <w:rFonts w:ascii="Times New Roman" w:hAnsi="Times New Roman"/>
          <w:color w:val="000000" w:themeColor="text1"/>
          <w:sz w:val="16"/>
          <w:szCs w:val="16"/>
        </w:rPr>
        <w:t>Патрубвзрыв</w:t>
      </w:r>
      <w:proofErr w:type="spellEnd"/>
      <w:r w:rsidRPr="00A259BD">
        <w:rPr>
          <w:rFonts w:ascii="Times New Roman" w:hAnsi="Times New Roman"/>
          <w:color w:val="000000" w:themeColor="text1"/>
          <w:sz w:val="16"/>
          <w:szCs w:val="16"/>
        </w:rPr>
        <w:t>). По приказу № 1324 от 3.05.1930 г. ГУВП и тресты были упразднены. Другие заводы перешли или остались в составе гражданских трестов и управлений (11982).</w:t>
      </w:r>
    </w:p>
    <w:p w14:paraId="5D40C9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98788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ВСНХ принято решение о строительстве на пустыре Симоновская слобода велосипедного завода. Разработала проект завода и поставила оборудование для него английская фирма БСА. Официально завод вступил в строй 10.05.1933 г. В 12.1938 г. Московский велозавод - в ведении НКМ. В 03.1941 г. завод переведен на производство мотоциклов для КА и переименован в Московский мотоциклетный завод.</w:t>
      </w:r>
    </w:p>
    <w:p w14:paraId="7F8DD0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01.1932 г. выпущено 180 первых отечественных велосипедов. Далее выпускались мужские, дамские, гоночные, спортивно-шоссейные и легкие велосипеды. К концу 1939 г. выпущен 1 млн. велосипедов.</w:t>
      </w:r>
    </w:p>
    <w:p w14:paraId="7E902A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10.1941 г. основная часть ММЗ эвакуирована в  г. Ирбит на площадку пивоваренного завода и послужила основой для Ирбитского мотоциклетного завода. Оставшаяся в Москве часть завода продолжила работу. В годы войны выпускались взрыватели, механизм автомата ППШ, направляющие для ПУ БМ-13 «Катюша». В 1942 г. организован монтаж колясок для получаемых из США мотоциклов "</w:t>
      </w:r>
      <w:proofErr w:type="spellStart"/>
      <w:r w:rsidRPr="00A259BD">
        <w:rPr>
          <w:rFonts w:ascii="Times New Roman" w:hAnsi="Times New Roman"/>
          <w:color w:val="000000" w:themeColor="text1"/>
          <w:sz w:val="16"/>
          <w:szCs w:val="16"/>
          <w:lang w:val="en-US"/>
        </w:rPr>
        <w:t>HarleyDawidson</w:t>
      </w:r>
      <w:proofErr w:type="spellEnd"/>
      <w:r w:rsidRPr="00A259BD">
        <w:rPr>
          <w:rFonts w:ascii="Times New Roman" w:hAnsi="Times New Roman"/>
          <w:color w:val="000000" w:themeColor="text1"/>
          <w:sz w:val="16"/>
          <w:szCs w:val="16"/>
        </w:rPr>
        <w:t>". 11.03.1944 г. вышло распоряжение ГКО № 5364 о мерах по обеспечению производства малолитражных бензиновых двигателей на заводе. 29.03.1946 г. ММЗ было поручено освоение производства мотоцикла «Москвич-М-1А».</w:t>
      </w:r>
    </w:p>
    <w:p w14:paraId="7BCBBA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соответствии с пост. СМ СССР от 6.05.1951 г. ММЗ был перепрофилирован на производство бортовой радиоаппаратуры для ЗУР В-300 и переименован в ГС завод № 663 МПСС (ГС Завод № 663 МПСС, Московский велозавод ВСНХ, НКМ, Московский мотоциклетный завод (ММЗ), Московский приборный завод («</w:t>
      </w:r>
      <w:proofErr w:type="spellStart"/>
      <w:r w:rsidRPr="00A259BD">
        <w:rPr>
          <w:rFonts w:ascii="Times New Roman" w:hAnsi="Times New Roman"/>
          <w:color w:val="000000" w:themeColor="text1"/>
          <w:sz w:val="16"/>
          <w:szCs w:val="16"/>
        </w:rPr>
        <w:t>Мосприбор</w:t>
      </w:r>
      <w:proofErr w:type="spellEnd"/>
      <w:r w:rsidRPr="00A259BD">
        <w:rPr>
          <w:rFonts w:ascii="Times New Roman" w:hAnsi="Times New Roman"/>
          <w:color w:val="000000" w:themeColor="text1"/>
          <w:sz w:val="16"/>
          <w:szCs w:val="16"/>
        </w:rPr>
        <w:t>») МРП, ГП, ФГУП «Московский приборный завод» /г. Москва Симоновская слобода; ул. Велозаводская/ /129348  г. Москва Ярославское ш., 19 тел. 188-64-38/). Мотоциклетное производство передано в Минск. Выпускал бортовую радиоаппаратуру для ракет и противоракет систем С-25, С-75, С-125, А- 35 и А-135.</w:t>
      </w:r>
    </w:p>
    <w:p w14:paraId="51ABDEE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1951 г. на завод переведен основной коллектив ПКБ-886 для освоения производства радиоаппаратуры, и образовано ПКБ завода.</w:t>
      </w:r>
    </w:p>
    <w:p w14:paraId="499422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1965 г. завод № 663 переименован в Московский приборный завод («</w:t>
      </w:r>
      <w:proofErr w:type="spellStart"/>
      <w:r w:rsidRPr="00A259BD">
        <w:rPr>
          <w:rFonts w:ascii="Times New Roman" w:hAnsi="Times New Roman"/>
          <w:color w:val="000000" w:themeColor="text1"/>
          <w:sz w:val="16"/>
          <w:szCs w:val="16"/>
        </w:rPr>
        <w:t>Мосприбор</w:t>
      </w:r>
      <w:proofErr w:type="spellEnd"/>
      <w:r w:rsidRPr="00A259BD">
        <w:rPr>
          <w:rFonts w:ascii="Times New Roman" w:hAnsi="Times New Roman"/>
          <w:color w:val="000000" w:themeColor="text1"/>
          <w:sz w:val="16"/>
          <w:szCs w:val="16"/>
        </w:rPr>
        <w:t>»), В 1972 г. «</w:t>
      </w:r>
      <w:proofErr w:type="spellStart"/>
      <w:r w:rsidRPr="00A259BD">
        <w:rPr>
          <w:rFonts w:ascii="Times New Roman" w:hAnsi="Times New Roman"/>
          <w:color w:val="000000" w:themeColor="text1"/>
          <w:sz w:val="16"/>
          <w:szCs w:val="16"/>
        </w:rPr>
        <w:t>Мосприбор</w:t>
      </w:r>
      <w:proofErr w:type="spellEnd"/>
      <w:r w:rsidRPr="00A259BD">
        <w:rPr>
          <w:rFonts w:ascii="Times New Roman" w:hAnsi="Times New Roman"/>
          <w:color w:val="000000" w:themeColor="text1"/>
          <w:sz w:val="16"/>
          <w:szCs w:val="16"/>
        </w:rPr>
        <w:t>» вошел в состав ЦКБ «Алмаз». 26.03.1973 г. завод «</w:t>
      </w:r>
      <w:proofErr w:type="spellStart"/>
      <w:r w:rsidRPr="00A259BD">
        <w:rPr>
          <w:rFonts w:ascii="Times New Roman" w:hAnsi="Times New Roman"/>
          <w:color w:val="000000" w:themeColor="text1"/>
          <w:sz w:val="16"/>
          <w:szCs w:val="16"/>
        </w:rPr>
        <w:t>Мосприбор</w:t>
      </w:r>
      <w:proofErr w:type="spellEnd"/>
      <w:r w:rsidRPr="00A259BD">
        <w:rPr>
          <w:rFonts w:ascii="Times New Roman" w:hAnsi="Times New Roman"/>
          <w:color w:val="000000" w:themeColor="text1"/>
          <w:sz w:val="16"/>
          <w:szCs w:val="16"/>
        </w:rPr>
        <w:t>», ОКБ-41 и СКБ-39 выведены из состава ЦКБ «Алмаз» и объединены в ЦНИИ «Комета», разместившемся на базе завода «</w:t>
      </w:r>
      <w:proofErr w:type="spellStart"/>
      <w:r w:rsidRPr="00A259BD">
        <w:rPr>
          <w:rFonts w:ascii="Times New Roman" w:hAnsi="Times New Roman"/>
          <w:color w:val="000000" w:themeColor="text1"/>
          <w:sz w:val="16"/>
          <w:szCs w:val="16"/>
        </w:rPr>
        <w:t>Мосприбор</w:t>
      </w:r>
      <w:proofErr w:type="spellEnd"/>
      <w:r w:rsidRPr="00A259BD">
        <w:rPr>
          <w:rFonts w:ascii="Times New Roman" w:hAnsi="Times New Roman"/>
          <w:color w:val="000000" w:themeColor="text1"/>
          <w:sz w:val="16"/>
          <w:szCs w:val="16"/>
        </w:rPr>
        <w:t>». В 2004 г. ФГУП «Московский приборный завод» входил в состав Концерна радиостроения «Вега».</w:t>
      </w:r>
      <w:r w:rsidRPr="00A259BD">
        <w:rPr>
          <w:rFonts w:ascii="Times New Roman" w:hAnsi="Times New Roman"/>
          <w:color w:val="000000" w:themeColor="text1"/>
          <w:sz w:val="16"/>
          <w:szCs w:val="16"/>
          <w:vertAlign w:val="superscript"/>
        </w:rPr>
        <w:t>102</w:t>
      </w:r>
    </w:p>
    <w:p w14:paraId="52F12B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Директор (1951 г.)- И.З. Соколов (на протяжении 27 лет), (2000 г.)- В.А. Ковалев.</w:t>
      </w:r>
    </w:p>
    <w:p w14:paraId="0922F0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Производство: велосипеды (1932-41), мотоциклы: М-72 (1941-), «Москвич-М-1А» (1946-);</w:t>
      </w:r>
    </w:p>
    <w:p w14:paraId="1C6361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радиоаппаратура для ЗУР В-ЗОО;</w:t>
      </w:r>
      <w:r w:rsidRPr="00A259BD">
        <w:rPr>
          <w:rFonts w:ascii="Times New Roman" w:hAnsi="Times New Roman"/>
          <w:color w:val="000000" w:themeColor="text1"/>
          <w:sz w:val="16"/>
          <w:szCs w:val="16"/>
          <w:vertAlign w:val="superscript"/>
        </w:rPr>
        <w:t>104</w:t>
      </w:r>
      <w:r w:rsidRPr="00A259BD">
        <w:rPr>
          <w:rFonts w:ascii="Times New Roman" w:hAnsi="Times New Roman"/>
          <w:color w:val="000000" w:themeColor="text1"/>
          <w:sz w:val="16"/>
          <w:szCs w:val="16"/>
        </w:rPr>
        <w:t xml:space="preserve"> космический РЖ обзора морской поверхности «Чайка» (1970-е); радиоприемники: «Москвич-В», «Звезда-54», «Маяк»; телевизор «Электроника 32ВТЦ-201».</w:t>
      </w:r>
    </w:p>
    <w:p w14:paraId="2B94F6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Проектно-конструкторское бюро (ПКБ) завода № 663 МПСС</w:t>
      </w:r>
    </w:p>
    <w:p w14:paraId="0CC970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1951 г. на завод переведен основной коллектив ПКБ-886 для освоения производства радиоаппаратуры, и образовано ПКБ завода. В 1959 г. начата разработка контрольно-измерительной аппаратуры для контроля бортовых систем КА «ИС» и «УС». 9.12.1972 г. ПКБ было переведено в состав ЦКБ «Алмаз» и переименовано в СКБ-39.</w:t>
      </w:r>
    </w:p>
    <w:p w14:paraId="26E9A91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Руководитель (1951 г.-)- И.З. Соколов, (1960 г.-)-  Г.И. Сосна.</w:t>
      </w:r>
      <w:r w:rsidRPr="00A259BD">
        <w:rPr>
          <w:rFonts w:ascii="Times New Roman" w:hAnsi="Times New Roman"/>
          <w:color w:val="000000" w:themeColor="text1"/>
          <w:sz w:val="16"/>
          <w:szCs w:val="16"/>
          <w:vertAlign w:val="superscript"/>
        </w:rPr>
        <w:t>104</w:t>
      </w:r>
    </w:p>
    <w:p w14:paraId="6D0875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ЦНИИ «Комета» МРП, НПО, ЦНПО «Комета», ФГУП «Ордена Трудового Красного Знамени ЦНИИ «Комета» /115280  г. Москва ул. Велозаводская, 5 тел. 675-07-01/</w:t>
      </w:r>
    </w:p>
    <w:p w14:paraId="787E64A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ЦНИИ «Комета» в ведении МРП образован 26.03.1973 г. на базе ОКБ-41, СКБ-39 ЦКБ «Алмаз» и завода «</w:t>
      </w:r>
      <w:proofErr w:type="spellStart"/>
      <w:r w:rsidRPr="00A259BD">
        <w:rPr>
          <w:rFonts w:ascii="Times New Roman" w:hAnsi="Times New Roman"/>
          <w:color w:val="000000" w:themeColor="text1"/>
          <w:sz w:val="16"/>
          <w:szCs w:val="16"/>
        </w:rPr>
        <w:t>Мосприбор</w:t>
      </w:r>
      <w:proofErr w:type="spellEnd"/>
      <w:r w:rsidRPr="00A259BD">
        <w:rPr>
          <w:rFonts w:ascii="Times New Roman" w:hAnsi="Times New Roman"/>
          <w:color w:val="000000" w:themeColor="text1"/>
          <w:sz w:val="16"/>
          <w:szCs w:val="16"/>
        </w:rPr>
        <w:t>» с ПКБ, ставшего основной производственной базой ЦНИИ. СБ-410 ОКБ-41 преобразовано в СКБ- 32, СБ-411 - в СКБ-42, СБ-412 - в СКБ-43, отдел № 40 - в СКБ-40. Затем коллектив ОКБ-41 перебазировался из ЦКБ «Алмаз» на территорию завода «</w:t>
      </w:r>
      <w:proofErr w:type="spellStart"/>
      <w:r w:rsidRPr="00A259BD">
        <w:rPr>
          <w:rFonts w:ascii="Times New Roman" w:hAnsi="Times New Roman"/>
          <w:color w:val="000000" w:themeColor="text1"/>
          <w:sz w:val="16"/>
          <w:szCs w:val="16"/>
        </w:rPr>
        <w:t>Мосприбор</w:t>
      </w:r>
      <w:proofErr w:type="spellEnd"/>
      <w:r w:rsidRPr="00A259BD">
        <w:rPr>
          <w:rFonts w:ascii="Times New Roman" w:hAnsi="Times New Roman"/>
          <w:color w:val="000000" w:themeColor="text1"/>
          <w:sz w:val="16"/>
          <w:szCs w:val="16"/>
        </w:rPr>
        <w:t>».</w:t>
      </w:r>
    </w:p>
    <w:p w14:paraId="23E9710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Продолжена разработка системы противоспутниковой обороны ИС-М, начатая 13.02.1973 г. По ПСМ от 14.11.1978 г. ИС-М принята в эксплуатацию, 1.06.1979 г. поставлена на боевое дежурство. 14.11.1978 г. начата разработка системы ИС-МУ с КА 14Ф10 перехвата маневрирующих целей, пост, правительства в 04.1991 г. она принята в эксплуатацию. Начата разработка системы ИС-МД перехвата геостационарных спутников.</w:t>
      </w:r>
    </w:p>
    <w:p w14:paraId="4DA10E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1975 г. было принято решение о разработке системы УС-КМО, в 1978 г. в институте начаты работы по системе с геостационарным спутником. По указу Президента от 25.12.1996 г. система </w:t>
      </w:r>
      <w:proofErr w:type="spellStart"/>
      <w:r w:rsidRPr="00A259BD">
        <w:rPr>
          <w:rFonts w:ascii="Times New Roman" w:hAnsi="Times New Roman"/>
          <w:color w:val="000000" w:themeColor="text1"/>
          <w:sz w:val="16"/>
          <w:szCs w:val="16"/>
        </w:rPr>
        <w:t>пнв</w:t>
      </w:r>
      <w:proofErr w:type="spellEnd"/>
      <w:r w:rsidRPr="00A259BD">
        <w:rPr>
          <w:rFonts w:ascii="Times New Roman" w:hAnsi="Times New Roman"/>
          <w:color w:val="000000" w:themeColor="text1"/>
          <w:sz w:val="16"/>
          <w:szCs w:val="16"/>
        </w:rPr>
        <w:t>.</w:t>
      </w:r>
    </w:p>
    <w:p w14:paraId="36BDD2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1979 г. на базе ЦНИИ «Комета» образовано НПО «Комета». В 1985 г. НПО преобразовано в Центральное НПО (ЦНПО) «Комета», в которое также вошли филиалы в Ереване, Рязани, Ленинграде (был в 2001 г.), Киеве, заводы в Алма-Ате и Вышнем Волочке, отдельные подразделения в Московской обл. и Тбилиси.</w:t>
      </w:r>
    </w:p>
    <w:p w14:paraId="2B5394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Создана комплексная самолетная лаборатория «Шельф-5» на базе Ан-12. Принимал участие в программе создания ОК «Буран».</w:t>
      </w:r>
    </w:p>
    <w:p w14:paraId="407561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1978 г. ЦНИИ определен головным по созданию системы морской космической разведки и целеуказания (МКРЦ), которую планировалось создать в два этапа: «Пирс-1»- обнаружение надводных кораблей, «Пирс-2»- обнаружение погруженных ПЛ. Создана система МКРЦ «Легенда».</w:t>
      </w:r>
      <w:r w:rsidRPr="00A259BD">
        <w:rPr>
          <w:rFonts w:ascii="Times New Roman" w:hAnsi="Times New Roman"/>
          <w:color w:val="000000" w:themeColor="text1"/>
          <w:sz w:val="16"/>
          <w:szCs w:val="16"/>
          <w:vertAlign w:val="superscript"/>
        </w:rPr>
        <w:t>63</w:t>
      </w:r>
      <w:r w:rsidRPr="00A259BD">
        <w:rPr>
          <w:rFonts w:ascii="Times New Roman" w:hAnsi="Times New Roman"/>
          <w:color w:val="000000" w:themeColor="text1"/>
          <w:sz w:val="16"/>
          <w:szCs w:val="16"/>
        </w:rPr>
        <w:t xml:space="preserve"> Разработан Главный информационный центр системы освещения обстановки ВМФ (в 2003-04 г. принят в эксплуатацию).</w:t>
      </w:r>
    </w:p>
    <w:p w14:paraId="7230D58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составе ЦНИИ: филиал - научно-технический внедренческий центр (НТВЦ).</w:t>
      </w:r>
    </w:p>
    <w:p w14:paraId="567C984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04EA95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Работы (2005 г.): единая космическая система раннего обнаружения стартов БР (ЕКС); системы всепогодного космического мониторинга Мирового океана в интересах обнаружения надводных объектов; системы наблюдения и инспекции космических объектов; системы обнаружения техногенных катастроф; информационно- управляющие центры спецназначения (является головным по данным направлениям).</w:t>
      </w:r>
    </w:p>
    <w:p w14:paraId="367890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Директор (1973 г.-)- академик (1984 г.) А.И. Савин. Гендиректор (-1999 г.)- А.И. Савин, (1999-2004 г.-)- В.П. Мисник.</w:t>
      </w:r>
    </w:p>
    <w:p w14:paraId="4A5AB9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1-й зам. гендиректора (2003 г.)- Б.С. Лобанов. Зам. гендиректора- Б.С. Лобанов.</w:t>
      </w:r>
    </w:p>
    <w:p w14:paraId="159940F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Ген. конструктор (03.1973-99 г.)- А.И. Савин, (1999-2005 г.-)- </w:t>
      </w:r>
      <w:r w:rsidRPr="00A259BD">
        <w:rPr>
          <w:rFonts w:ascii="Times New Roman" w:hAnsi="Times New Roman"/>
          <w:color w:val="000000" w:themeColor="text1"/>
          <w:sz w:val="16"/>
          <w:szCs w:val="16"/>
          <w:lang w:val="en-US"/>
        </w:rPr>
        <w:t>B</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II</w:t>
      </w:r>
      <w:r w:rsidRPr="00A259BD">
        <w:rPr>
          <w:rFonts w:ascii="Times New Roman" w:hAnsi="Times New Roman"/>
          <w:color w:val="000000" w:themeColor="text1"/>
          <w:sz w:val="16"/>
          <w:szCs w:val="16"/>
        </w:rPr>
        <w:t>. Мисник {26.05.1948-}.</w:t>
      </w:r>
    </w:p>
    <w:p w14:paraId="335EB4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ген. конструктора (2004 г.)-  Г.В. Давыдов.</w:t>
      </w:r>
    </w:p>
    <w:p w14:paraId="532D380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Научный руководитель (1999-2004 г.)- А.И. Савин.</w:t>
      </w:r>
    </w:p>
    <w:p w14:paraId="08CB22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инженер (1992-99 г.)- В.П. Мисник.</w:t>
      </w:r>
    </w:p>
    <w:p w14:paraId="7408F6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Гл. конструкторы: (1973-82 г.-&gt; В. Г. </w:t>
      </w:r>
      <w:proofErr w:type="spellStart"/>
      <w:r w:rsidRPr="00A259BD">
        <w:rPr>
          <w:rFonts w:ascii="Times New Roman" w:hAnsi="Times New Roman"/>
          <w:color w:val="000000" w:themeColor="text1"/>
          <w:sz w:val="16"/>
          <w:szCs w:val="16"/>
        </w:rPr>
        <w:t>Хлибко</w:t>
      </w:r>
      <w:proofErr w:type="spellEnd"/>
      <w:r w:rsidRPr="00A259BD">
        <w:rPr>
          <w:rFonts w:ascii="Times New Roman" w:hAnsi="Times New Roman"/>
          <w:color w:val="000000" w:themeColor="text1"/>
          <w:sz w:val="16"/>
          <w:szCs w:val="16"/>
        </w:rPr>
        <w:t xml:space="preserve"> (УС-К, УС-КМО), (1.12.1973-2004 г.-)- К.А. </w:t>
      </w:r>
      <w:proofErr w:type="spellStart"/>
      <w:r w:rsidRPr="00A259BD">
        <w:rPr>
          <w:rFonts w:ascii="Times New Roman" w:hAnsi="Times New Roman"/>
          <w:color w:val="000000" w:themeColor="text1"/>
          <w:sz w:val="16"/>
          <w:szCs w:val="16"/>
        </w:rPr>
        <w:t>Власко</w:t>
      </w:r>
      <w:proofErr w:type="spellEnd"/>
      <w:r w:rsidRPr="00A259BD">
        <w:rPr>
          <w:rFonts w:ascii="Times New Roman" w:hAnsi="Times New Roman"/>
          <w:color w:val="000000" w:themeColor="text1"/>
          <w:sz w:val="16"/>
          <w:szCs w:val="16"/>
        </w:rPr>
        <w:t xml:space="preserve">-Власов (ИС- М, УС-КМО), (1973-80 Г.)- В.В. Крохин, (1982 г.-)- Л.С. </w:t>
      </w:r>
      <w:proofErr w:type="spellStart"/>
      <w:r w:rsidRPr="00A259BD">
        <w:rPr>
          <w:rFonts w:ascii="Times New Roman" w:hAnsi="Times New Roman"/>
          <w:color w:val="000000" w:themeColor="text1"/>
          <w:sz w:val="16"/>
          <w:szCs w:val="16"/>
        </w:rPr>
        <w:t>Легезо</w:t>
      </w:r>
      <w:proofErr w:type="spellEnd"/>
      <w:r w:rsidRPr="00A259BD">
        <w:rPr>
          <w:rFonts w:ascii="Times New Roman" w:hAnsi="Times New Roman"/>
          <w:color w:val="000000" w:themeColor="text1"/>
          <w:sz w:val="16"/>
          <w:szCs w:val="16"/>
        </w:rPr>
        <w:t xml:space="preserve"> (ИС-МУ), (1999 г.-)- </w:t>
      </w:r>
      <w:r w:rsidRPr="00A259BD">
        <w:rPr>
          <w:rFonts w:ascii="Times New Roman" w:hAnsi="Times New Roman"/>
          <w:color w:val="000000" w:themeColor="text1"/>
          <w:sz w:val="16"/>
          <w:szCs w:val="16"/>
          <w:lang w:val="en-US"/>
        </w:rPr>
        <w:t>A</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M</w:t>
      </w:r>
      <w:r w:rsidRPr="00A259BD">
        <w:rPr>
          <w:rFonts w:ascii="Times New Roman" w:hAnsi="Times New Roman"/>
          <w:color w:val="000000" w:themeColor="text1"/>
          <w:sz w:val="16"/>
          <w:szCs w:val="16"/>
        </w:rPr>
        <w:t>. Бычков (УС-КМО), (1990-е)- С.А. Мишуков, В.Б. Фролов, С.И. Шамаев.</w:t>
      </w:r>
    </w:p>
    <w:p w14:paraId="16E97D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Зам. гл. конструкторов: (1975 г.-)- Б.С. Лобанов, В.М. Пожидаев, (1973 г.-)- С.И. Шамаев.</w:t>
      </w:r>
    </w:p>
    <w:p w14:paraId="168D59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Начальники: тематико-отраслевого подразделения (1973-80 г.)- В.В. Крохин; тематико-производственного центра (2004 г.)- Л.С. </w:t>
      </w:r>
      <w:proofErr w:type="spellStart"/>
      <w:r w:rsidRPr="00A259BD">
        <w:rPr>
          <w:rFonts w:ascii="Times New Roman" w:hAnsi="Times New Roman"/>
          <w:color w:val="000000" w:themeColor="text1"/>
          <w:sz w:val="16"/>
          <w:szCs w:val="16"/>
        </w:rPr>
        <w:t>Легезо</w:t>
      </w:r>
      <w:proofErr w:type="spellEnd"/>
      <w:r w:rsidRPr="00A259BD">
        <w:rPr>
          <w:rFonts w:ascii="Times New Roman" w:hAnsi="Times New Roman"/>
          <w:color w:val="000000" w:themeColor="text1"/>
          <w:sz w:val="16"/>
          <w:szCs w:val="16"/>
        </w:rPr>
        <w:t>; НТВЦ- Б.С. Лобанов; НИО (1993-95 г.)- Ц. Г. Литовченко.</w:t>
      </w:r>
    </w:p>
    <w:p w14:paraId="47AAA1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Начальники отделов: радиоприемных устройств (1973-2004 г.-)- А.В. Гореликов; В.П. Мисник, В.М. Пожидаев, (1973 г.-)- С.И. Шамаев, (1973-2004 г.-)- К.С. Щеглов.</w:t>
      </w:r>
    </w:p>
    <w:p w14:paraId="78036FD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Начальники секторов: В.П. Мисник, В.М. Пожидаев.</w:t>
      </w:r>
    </w:p>
    <w:p w14:paraId="36E757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Начальники лабораторий: (1973-93 г.)- Е. Г. </w:t>
      </w:r>
      <w:proofErr w:type="spellStart"/>
      <w:r w:rsidRPr="00A259BD">
        <w:rPr>
          <w:rFonts w:ascii="Times New Roman" w:hAnsi="Times New Roman"/>
          <w:color w:val="000000" w:themeColor="text1"/>
          <w:sz w:val="16"/>
          <w:szCs w:val="16"/>
        </w:rPr>
        <w:t>Зелкин</w:t>
      </w:r>
      <w:proofErr w:type="spellEnd"/>
      <w:r w:rsidRPr="00A259BD">
        <w:rPr>
          <w:rFonts w:ascii="Times New Roman" w:hAnsi="Times New Roman"/>
          <w:color w:val="000000" w:themeColor="text1"/>
          <w:sz w:val="16"/>
          <w:szCs w:val="16"/>
        </w:rPr>
        <w:t>, (1970-е)- К.С. Щеглов.</w:t>
      </w:r>
    </w:p>
    <w:p w14:paraId="641426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Зам. начальника лаборатории: (1970-е)-Л.П. </w:t>
      </w:r>
      <w:proofErr w:type="spellStart"/>
      <w:r w:rsidRPr="00A259BD">
        <w:rPr>
          <w:rFonts w:ascii="Times New Roman" w:hAnsi="Times New Roman"/>
          <w:color w:val="000000" w:themeColor="text1"/>
          <w:sz w:val="16"/>
          <w:szCs w:val="16"/>
        </w:rPr>
        <w:t>Мизикин</w:t>
      </w:r>
      <w:proofErr w:type="spellEnd"/>
      <w:r w:rsidRPr="00A259BD">
        <w:rPr>
          <w:rFonts w:ascii="Times New Roman" w:hAnsi="Times New Roman"/>
          <w:color w:val="000000" w:themeColor="text1"/>
          <w:sz w:val="16"/>
          <w:szCs w:val="16"/>
        </w:rPr>
        <w:t>.</w:t>
      </w:r>
    </w:p>
    <w:p w14:paraId="742768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Начальники бригад: (1970-е)-  Г.В. Давыдов.</w:t>
      </w:r>
      <w:r w:rsidRPr="00A259BD">
        <w:rPr>
          <w:rFonts w:ascii="Times New Roman" w:hAnsi="Times New Roman"/>
          <w:color w:val="000000" w:themeColor="text1"/>
          <w:sz w:val="16"/>
          <w:szCs w:val="16"/>
          <w:vertAlign w:val="superscript"/>
        </w:rPr>
        <w:t>102</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vertAlign w:val="superscript"/>
        </w:rPr>
        <w:t>504</w:t>
      </w:r>
      <w:r w:rsidRPr="00A259BD">
        <w:rPr>
          <w:rFonts w:ascii="Times New Roman" w:hAnsi="Times New Roman"/>
          <w:color w:val="000000" w:themeColor="text1"/>
          <w:sz w:val="16"/>
          <w:szCs w:val="16"/>
        </w:rPr>
        <w:t xml:space="preserve"> Начальники групп: (1974 г.-)- В.М. Пожидаев.</w:t>
      </w:r>
    </w:p>
    <w:p w14:paraId="26F264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Научные руководители НИР: А.В. </w:t>
      </w:r>
      <w:proofErr w:type="spellStart"/>
      <w:r w:rsidRPr="00A259BD">
        <w:rPr>
          <w:rFonts w:ascii="Times New Roman" w:hAnsi="Times New Roman"/>
          <w:color w:val="000000" w:themeColor="text1"/>
          <w:sz w:val="16"/>
          <w:szCs w:val="16"/>
        </w:rPr>
        <w:t>Гореликов.</w:t>
      </w:r>
      <w:r w:rsidRPr="00A259BD">
        <w:rPr>
          <w:rFonts w:ascii="Times New Roman" w:hAnsi="Times New Roman"/>
          <w:color w:val="000000" w:themeColor="text1"/>
          <w:sz w:val="16"/>
          <w:szCs w:val="16"/>
          <w:vertAlign w:val="superscript"/>
        </w:rPr>
        <w:t>ьо</w:t>
      </w:r>
      <w:proofErr w:type="spellEnd"/>
    </w:p>
    <w:p w14:paraId="3C0D53C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ЦКБ ВКРС МРП</w:t>
      </w:r>
    </w:p>
    <w:p w14:paraId="665401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1970-е  г. являлось головной организацией по космической системе телевизионной глобальной разведки (ТГР).</w:t>
      </w:r>
    </w:p>
    <w:p w14:paraId="3FB9A1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Ген. Конструктор (1970-е)- А.И. Савин.</w:t>
      </w:r>
      <w:r w:rsidRPr="00A259BD">
        <w:rPr>
          <w:rFonts w:ascii="Times New Roman" w:hAnsi="Times New Roman"/>
          <w:color w:val="000000" w:themeColor="text1"/>
          <w:sz w:val="16"/>
          <w:szCs w:val="16"/>
          <w:vertAlign w:val="superscript"/>
        </w:rPr>
        <w:t>120</w:t>
      </w:r>
    </w:p>
    <w:p w14:paraId="4F7EFB8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НИИ «Комета» /г. Киев/</w:t>
      </w:r>
    </w:p>
    <w:p w14:paraId="5584F78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1979 г. вошел в состав ЦНПО «Вымпел» в качестве филиала.</w:t>
      </w:r>
    </w:p>
    <w:p w14:paraId="691A10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Директор (1950-е)- С.А. Гегечкори (С.Л. Берия).</w:t>
      </w:r>
      <w:r w:rsidRPr="00A259BD">
        <w:rPr>
          <w:rFonts w:ascii="Times New Roman" w:hAnsi="Times New Roman"/>
          <w:color w:val="000000" w:themeColor="text1"/>
          <w:sz w:val="16"/>
          <w:szCs w:val="16"/>
          <w:vertAlign w:val="superscript"/>
        </w:rPr>
        <w:t>3</w:t>
      </w:r>
    </w:p>
    <w:p w14:paraId="27FD992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Гл. конструктор (1950-е-90 г.-)- С.А. Гегечкори (С.Л. Берия) (11982).</w:t>
      </w:r>
    </w:p>
    <w:p w14:paraId="46E8653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C810F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для строительства мелкого буксирного флота для сплава леса была создана Красноярская судоверфь (Завод № 399 НКСП, Красноярский судостроительный завод (ССЗ) НКРФ, Красноярский мотороремонтный завод, Красноярская судоверфь (КСВ) </w:t>
      </w:r>
      <w:proofErr w:type="spellStart"/>
      <w:r w:rsidRPr="00A259BD">
        <w:rPr>
          <w:rFonts w:ascii="Times New Roman" w:hAnsi="Times New Roman"/>
          <w:color w:val="000000" w:themeColor="text1"/>
          <w:sz w:val="16"/>
          <w:szCs w:val="16"/>
        </w:rPr>
        <w:t>Минречфлота</w:t>
      </w:r>
      <w:proofErr w:type="spellEnd"/>
      <w:r w:rsidRPr="00A259BD">
        <w:rPr>
          <w:rFonts w:ascii="Times New Roman" w:hAnsi="Times New Roman"/>
          <w:color w:val="000000" w:themeColor="text1"/>
          <w:sz w:val="16"/>
          <w:szCs w:val="16"/>
        </w:rPr>
        <w:t xml:space="preserve"> РСФСР, ОАО «КСВ» /660093  г. Красноярск пр. Газеты «Красноярский рабочий», 160/).</w:t>
      </w:r>
    </w:p>
    <w:p w14:paraId="5E2B7E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 войны построены сотни речных буксиров и служебно-разъездных катеров, а также «речной трамвай», самоходный плашкоут для паромной переправы, аэросани.</w:t>
      </w:r>
    </w:p>
    <w:p w14:paraId="45AF3BB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Красноярский ССЗ в годы ВОВ находился сначала в ведомстве НКРФ, затем передан в НКСП и получил № 399. Имел две производственные территории.</w:t>
      </w:r>
      <w:r w:rsidRPr="00A259BD">
        <w:rPr>
          <w:rFonts w:ascii="Times New Roman" w:hAnsi="Times New Roman"/>
          <w:color w:val="000000" w:themeColor="text1"/>
          <w:sz w:val="16"/>
          <w:szCs w:val="16"/>
          <w:vertAlign w:val="superscript"/>
        </w:rPr>
        <w:t>61</w:t>
      </w:r>
    </w:p>
    <w:p w14:paraId="6E924A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08.1941 г. на площадку завода эвакуирован Онежский машиностроительный завод, которому были предоставлены недостроенные цехи на острове Пашенном. На площадку завода также планировалась эвакуация оборудования судостроительной части Ижорского завода и/или завода № 363.</w:t>
      </w:r>
    </w:p>
    <w:p w14:paraId="7D42B4B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1942 г. верфь получила задание освоить строительство охотников за ПЛ </w:t>
      </w:r>
      <w:r w:rsidRPr="00A259BD">
        <w:rPr>
          <w:rFonts w:ascii="Times New Roman" w:hAnsi="Times New Roman"/>
          <w:color w:val="000000" w:themeColor="text1"/>
          <w:sz w:val="16"/>
          <w:szCs w:val="16"/>
          <w:lang w:val="en-US"/>
        </w:rPr>
        <w:t>MO</w:t>
      </w:r>
      <w:r w:rsidRPr="00A259BD">
        <w:rPr>
          <w:rFonts w:ascii="Times New Roman" w:hAnsi="Times New Roman"/>
          <w:color w:val="000000" w:themeColor="text1"/>
          <w:sz w:val="16"/>
          <w:szCs w:val="16"/>
        </w:rPr>
        <w:t>-</w:t>
      </w:r>
      <w:r w:rsidRPr="00A259BD">
        <w:rPr>
          <w:rFonts w:ascii="Times New Roman" w:hAnsi="Times New Roman"/>
          <w:color w:val="000000" w:themeColor="text1"/>
          <w:sz w:val="16"/>
          <w:szCs w:val="16"/>
          <w:lang w:val="en-US"/>
        </w:rPr>
        <w:t>IV</w:t>
      </w:r>
      <w:r w:rsidRPr="00A259BD">
        <w:rPr>
          <w:rFonts w:ascii="Times New Roman" w:hAnsi="Times New Roman"/>
          <w:color w:val="000000" w:themeColor="text1"/>
          <w:sz w:val="16"/>
          <w:szCs w:val="16"/>
        </w:rPr>
        <w:t>, в этом же году начато строительство минных тральщиков с деревянными корпусами. Тогда же в деревообделочном цехе налажен выпуск тары для мин.</w:t>
      </w:r>
    </w:p>
    <w:p w14:paraId="031D062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1944 г. завод № 399 стал мотороремонтным заводом, в 1945 г. переименован в Красноярскую судостроительную верфь. В 1958 г. судоверфь передана в ведение </w:t>
      </w:r>
      <w:proofErr w:type="spellStart"/>
      <w:r w:rsidRPr="00A259BD">
        <w:rPr>
          <w:rFonts w:ascii="Times New Roman" w:hAnsi="Times New Roman"/>
          <w:color w:val="000000" w:themeColor="text1"/>
          <w:sz w:val="16"/>
          <w:szCs w:val="16"/>
        </w:rPr>
        <w:t>Минречфлота</w:t>
      </w:r>
      <w:proofErr w:type="spellEnd"/>
      <w:r w:rsidRPr="00A259BD">
        <w:rPr>
          <w:rFonts w:ascii="Times New Roman" w:hAnsi="Times New Roman"/>
          <w:color w:val="000000" w:themeColor="text1"/>
          <w:sz w:val="16"/>
          <w:szCs w:val="16"/>
        </w:rPr>
        <w:t xml:space="preserve"> РСФСР.</w:t>
      </w:r>
    </w:p>
    <w:p w14:paraId="0B81453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войны начато строительство деревянных буксирных катеров, а с 1950 г.- металлических судов.</w:t>
      </w:r>
    </w:p>
    <w:p w14:paraId="7948C9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1993 г. КСВ преобразована в ОАО.</w:t>
      </w:r>
    </w:p>
    <w:p w14:paraId="786A6D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Гендиректор (2001 г.-)- А.А. Горбачев.</w:t>
      </w:r>
    </w:p>
    <w:p w14:paraId="25F105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iCs/>
          <w:color w:val="000000" w:themeColor="text1"/>
          <w:sz w:val="16"/>
          <w:szCs w:val="16"/>
        </w:rPr>
        <w:t>Производство:</w:t>
      </w:r>
      <w:r w:rsidRPr="00A259BD">
        <w:rPr>
          <w:rFonts w:ascii="Times New Roman" w:hAnsi="Times New Roman"/>
          <w:color w:val="000000" w:themeColor="text1"/>
          <w:sz w:val="16"/>
          <w:szCs w:val="16"/>
        </w:rPr>
        <w:t xml:space="preserve"> тральщики деревянные (1942-43)- 15; бронекатера пр. 1124 (ВОВ);</w:t>
      </w:r>
      <w:r w:rsidRPr="00A259BD">
        <w:rPr>
          <w:rFonts w:ascii="Times New Roman" w:hAnsi="Times New Roman"/>
          <w:iCs/>
          <w:color w:val="000000" w:themeColor="text1"/>
          <w:sz w:val="16"/>
          <w:szCs w:val="16"/>
        </w:rPr>
        <w:t xml:space="preserve"> буксиры:</w:t>
      </w:r>
      <w:r w:rsidRPr="00A259BD">
        <w:rPr>
          <w:rFonts w:ascii="Times New Roman" w:hAnsi="Times New Roman"/>
          <w:color w:val="000000" w:themeColor="text1"/>
          <w:sz w:val="16"/>
          <w:szCs w:val="16"/>
        </w:rPr>
        <w:t xml:space="preserve"> 300 л.с. пр. 81355 - 16, головной 900 л.с. пр. 81510 «Механик </w:t>
      </w:r>
      <w:proofErr w:type="spellStart"/>
      <w:r w:rsidRPr="00A259BD">
        <w:rPr>
          <w:rFonts w:ascii="Times New Roman" w:hAnsi="Times New Roman"/>
          <w:color w:val="000000" w:themeColor="text1"/>
          <w:sz w:val="16"/>
          <w:szCs w:val="16"/>
        </w:rPr>
        <w:t>Сабеев</w:t>
      </w:r>
      <w:proofErr w:type="spellEnd"/>
      <w:r w:rsidRPr="00A259BD">
        <w:rPr>
          <w:rFonts w:ascii="Times New Roman" w:hAnsi="Times New Roman"/>
          <w:color w:val="000000" w:themeColor="text1"/>
          <w:sz w:val="16"/>
          <w:szCs w:val="16"/>
        </w:rPr>
        <w:t>» (1992); буксиры-толкачи: водометный 150 л.с. пр. 861А (1958-76)- 876, 300 л.с. пр. Р96 и Р96А - 184, 450 л.с. пр. Р14 и Р14А - 74, 600 л.с. пр. 81170; грузовые теплоходы пр. 220 - 219; пассажирские теплоходы: пр. 222 - 196; танкеры пр. 795 - 19; баржи: площадки пр. 81212, пр. 81216, пр. 81218; нефтеналивные- 9; несамоходные понтоны (1963-86)- 4343 (11982).</w:t>
      </w:r>
    </w:p>
    <w:p w14:paraId="2A5FC10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67DCA5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1929-го ЭПРОН занимался спасением судов, терпящих бедствие. В том же году в Ленинграде была организована экспедиция по судоподъемным работам на Балтийском море и Неве, в 30-м - на Севере. Под флагом Экспедиции фактически сконцентрировалось все водолазное и судоподъемное дело на всех морях и реках Союза. Окончательно это произошло в 1932 году. Балтийская партия была переименована в Северную базу. В это же время здесь создается собственный музей и строится опытная камера для больших давлений; проектируется создание особого судоподъемного бассейна и исследовательской лаборатории. Отдельные партии Особой экспедиции работали в Кронштадте, Мурманске, Архангельске. Южная база - в Севастополе, Керчи, Новороссийске, Туапсе, Батуми. Баку там энергично занимались освоением подводной акватории Черного и Каспийского морей (11628).</w:t>
      </w:r>
    </w:p>
    <w:p w14:paraId="12C760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5DDC289"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Армия:</w:t>
      </w:r>
    </w:p>
    <w:p w14:paraId="277CA6D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41A1C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Полевой устав 1929 помимо завоевания господства в воздухе также потребовал от авиации прикрытия сухопутных войск от ударов с воздуха (278,321). Боевой устав истребительной авиации 1929 порывал с прежними, независимыми от наземной обстановки действиями истребителей, требуя приурочивания борьбы за господство в воздухе к операциям сухопутных войск (278,321).</w:t>
      </w:r>
    </w:p>
    <w:p w14:paraId="28BFF3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6E6D6F9"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приняли штат, со</w:t>
      </w:r>
      <w:r w:rsidRPr="00A259BD">
        <w:rPr>
          <w:rFonts w:ascii="Times New Roman" w:hAnsi="Times New Roman"/>
          <w:color w:val="000000" w:themeColor="text1"/>
          <w:sz w:val="16"/>
          <w:szCs w:val="16"/>
        </w:rPr>
        <w:softHyphen/>
        <w:t>гласно которому Морская истребительная эс</w:t>
      </w:r>
      <w:r w:rsidRPr="00A259BD">
        <w:rPr>
          <w:rFonts w:ascii="Times New Roman" w:hAnsi="Times New Roman"/>
          <w:color w:val="000000" w:themeColor="text1"/>
          <w:sz w:val="16"/>
          <w:szCs w:val="16"/>
        </w:rPr>
        <w:softHyphen/>
        <w:t>кадрилья, Эскадрилья тяжелых машин, Авиа</w:t>
      </w:r>
      <w:r w:rsidRPr="00A259BD">
        <w:rPr>
          <w:rFonts w:ascii="Times New Roman" w:hAnsi="Times New Roman"/>
          <w:color w:val="000000" w:themeColor="text1"/>
          <w:sz w:val="16"/>
          <w:szCs w:val="16"/>
        </w:rPr>
        <w:softHyphen/>
        <w:t>парки 1 -го и 2-го разряда должны были комп</w:t>
      </w:r>
      <w:r w:rsidRPr="00A259BD">
        <w:rPr>
          <w:rFonts w:ascii="Times New Roman" w:hAnsi="Times New Roman"/>
          <w:color w:val="000000" w:themeColor="text1"/>
          <w:sz w:val="16"/>
          <w:szCs w:val="16"/>
        </w:rPr>
        <w:softHyphen/>
        <w:t>лектоваться гусеничными тракторами. На прак</w:t>
      </w:r>
      <w:r w:rsidRPr="00A259BD">
        <w:rPr>
          <w:rFonts w:ascii="Times New Roman" w:hAnsi="Times New Roman"/>
          <w:color w:val="000000" w:themeColor="text1"/>
          <w:sz w:val="16"/>
          <w:szCs w:val="16"/>
        </w:rPr>
        <w:softHyphen/>
        <w:t>тике же военные могли рассчитывать лишь на имеющиеся в наличии тракторы отечествен</w:t>
      </w:r>
      <w:r w:rsidRPr="00A259BD">
        <w:rPr>
          <w:rFonts w:ascii="Times New Roman" w:hAnsi="Times New Roman"/>
          <w:color w:val="000000" w:themeColor="text1"/>
          <w:sz w:val="16"/>
          <w:szCs w:val="16"/>
        </w:rPr>
        <w:softHyphen/>
        <w:t>ного или иностранного производства, а пото</w:t>
      </w:r>
      <w:r w:rsidRPr="00A259BD">
        <w:rPr>
          <w:rFonts w:ascii="Times New Roman" w:hAnsi="Times New Roman"/>
          <w:color w:val="000000" w:themeColor="text1"/>
          <w:sz w:val="16"/>
          <w:szCs w:val="16"/>
        </w:rPr>
        <w:softHyphen/>
        <w:t>му первое время их типаж отличался извест</w:t>
      </w:r>
      <w:r w:rsidRPr="00A259BD">
        <w:rPr>
          <w:rFonts w:ascii="Times New Roman" w:hAnsi="Times New Roman"/>
          <w:color w:val="000000" w:themeColor="text1"/>
          <w:sz w:val="16"/>
          <w:szCs w:val="16"/>
        </w:rPr>
        <w:softHyphen/>
        <w:t>ным разнообразием. Так, во Франции приоб</w:t>
      </w:r>
      <w:r w:rsidRPr="00A259BD">
        <w:rPr>
          <w:rFonts w:ascii="Times New Roman" w:hAnsi="Times New Roman"/>
          <w:color w:val="000000" w:themeColor="text1"/>
          <w:sz w:val="16"/>
          <w:szCs w:val="16"/>
        </w:rPr>
        <w:softHyphen/>
        <w:t>рели партию колесных тракторов «</w:t>
      </w:r>
      <w:proofErr w:type="spellStart"/>
      <w:r w:rsidRPr="00A259BD">
        <w:rPr>
          <w:rFonts w:ascii="Times New Roman" w:hAnsi="Times New Roman"/>
          <w:color w:val="000000" w:themeColor="text1"/>
          <w:sz w:val="16"/>
          <w:szCs w:val="16"/>
        </w:rPr>
        <w:t>Шенар</w:t>
      </w:r>
      <w:proofErr w:type="spellEnd"/>
      <w:r w:rsidRPr="00A259BD">
        <w:rPr>
          <w:rFonts w:ascii="Times New Roman" w:hAnsi="Times New Roman"/>
          <w:color w:val="000000" w:themeColor="text1"/>
          <w:sz w:val="16"/>
          <w:szCs w:val="16"/>
        </w:rPr>
        <w:t xml:space="preserve">-Валь- </w:t>
      </w:r>
      <w:proofErr w:type="spellStart"/>
      <w:r w:rsidRPr="00A259BD">
        <w:rPr>
          <w:rFonts w:ascii="Times New Roman" w:hAnsi="Times New Roman"/>
          <w:color w:val="000000" w:themeColor="text1"/>
          <w:sz w:val="16"/>
          <w:szCs w:val="16"/>
        </w:rPr>
        <w:t>кер</w:t>
      </w:r>
      <w:proofErr w:type="spellEnd"/>
      <w:r w:rsidRPr="00A259BD">
        <w:rPr>
          <w:rFonts w:ascii="Times New Roman" w:hAnsi="Times New Roman"/>
          <w:color w:val="000000" w:themeColor="text1"/>
          <w:sz w:val="16"/>
          <w:szCs w:val="16"/>
        </w:rPr>
        <w:t>» (</w:t>
      </w:r>
      <w:proofErr w:type="spellStart"/>
      <w:r w:rsidRPr="00A259BD">
        <w:rPr>
          <w:rFonts w:ascii="Times New Roman" w:hAnsi="Times New Roman"/>
          <w:color w:val="000000" w:themeColor="text1"/>
          <w:sz w:val="16"/>
          <w:szCs w:val="16"/>
          <w:lang w:val="en-US"/>
        </w:rPr>
        <w:t>tracteurChenardetWalcker</w:t>
      </w:r>
      <w:proofErr w:type="spellEnd"/>
      <w:r w:rsidRPr="00A259BD">
        <w:rPr>
          <w:rFonts w:ascii="Times New Roman" w:hAnsi="Times New Roman"/>
          <w:color w:val="000000" w:themeColor="text1"/>
          <w:sz w:val="16"/>
          <w:szCs w:val="16"/>
        </w:rPr>
        <w:t>), шесть из ко</w:t>
      </w:r>
      <w:r w:rsidRPr="00A259BD">
        <w:rPr>
          <w:rFonts w:ascii="Times New Roman" w:hAnsi="Times New Roman"/>
          <w:color w:val="000000" w:themeColor="text1"/>
          <w:sz w:val="16"/>
          <w:szCs w:val="16"/>
        </w:rPr>
        <w:softHyphen/>
        <w:t xml:space="preserve">торых поступили в ВВС. Также для нужд ВВС закупили полугусеничные тягачи «Ситроен- </w:t>
      </w:r>
      <w:proofErr w:type="spellStart"/>
      <w:r w:rsidRPr="00A259BD">
        <w:rPr>
          <w:rFonts w:ascii="Times New Roman" w:hAnsi="Times New Roman"/>
          <w:color w:val="000000" w:themeColor="text1"/>
          <w:sz w:val="16"/>
          <w:szCs w:val="16"/>
        </w:rPr>
        <w:t>Кегресс</w:t>
      </w:r>
      <w:proofErr w:type="spellEnd"/>
      <w:r w:rsidRPr="00A259BD">
        <w:rPr>
          <w:rFonts w:ascii="Times New Roman" w:hAnsi="Times New Roman"/>
          <w:color w:val="000000" w:themeColor="text1"/>
          <w:sz w:val="16"/>
          <w:szCs w:val="16"/>
        </w:rPr>
        <w:t>» (по терминологии того времени — также тракторы). Однако поставки импортных машин никогда не были значительными по причине их чрезвычайной дороговизны, по</w:t>
      </w:r>
      <w:r w:rsidRPr="00A259BD">
        <w:rPr>
          <w:rFonts w:ascii="Times New Roman" w:hAnsi="Times New Roman"/>
          <w:color w:val="000000" w:themeColor="text1"/>
          <w:sz w:val="16"/>
          <w:szCs w:val="16"/>
        </w:rPr>
        <w:softHyphen/>
        <w:t>этому, например, «</w:t>
      </w:r>
      <w:proofErr w:type="spellStart"/>
      <w:r w:rsidRPr="00A259BD">
        <w:rPr>
          <w:rFonts w:ascii="Times New Roman" w:hAnsi="Times New Roman"/>
          <w:color w:val="000000" w:themeColor="text1"/>
          <w:sz w:val="16"/>
          <w:szCs w:val="16"/>
        </w:rPr>
        <w:t>Кегрессов</w:t>
      </w:r>
      <w:proofErr w:type="spellEnd"/>
      <w:r w:rsidRPr="00A259BD">
        <w:rPr>
          <w:rFonts w:ascii="Times New Roman" w:hAnsi="Times New Roman"/>
          <w:color w:val="000000" w:themeColor="text1"/>
          <w:sz w:val="16"/>
          <w:szCs w:val="16"/>
        </w:rPr>
        <w:t>» в ВВС к 1931 г. имелось всего два экземпляра.</w:t>
      </w:r>
    </w:p>
    <w:p w14:paraId="40D1F928"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началом отечественного тракторостро</w:t>
      </w:r>
      <w:r w:rsidRPr="00A259BD">
        <w:rPr>
          <w:rFonts w:ascii="Times New Roman" w:hAnsi="Times New Roman"/>
          <w:color w:val="000000" w:themeColor="text1"/>
          <w:sz w:val="16"/>
          <w:szCs w:val="16"/>
        </w:rPr>
        <w:softHyphen/>
        <w:t>ения в авиации стали использоваться «Фордзоны» ленинградского производства. Эти трак</w:t>
      </w:r>
      <w:r w:rsidRPr="00A259BD">
        <w:rPr>
          <w:rFonts w:ascii="Times New Roman" w:hAnsi="Times New Roman"/>
          <w:color w:val="000000" w:themeColor="text1"/>
          <w:sz w:val="16"/>
          <w:szCs w:val="16"/>
        </w:rPr>
        <w:softHyphen/>
        <w:t xml:space="preserve">торы с колесами на </w:t>
      </w:r>
      <w:proofErr w:type="spellStart"/>
      <w:r w:rsidRPr="00A259BD">
        <w:rPr>
          <w:rFonts w:ascii="Times New Roman" w:hAnsi="Times New Roman"/>
          <w:color w:val="000000" w:themeColor="text1"/>
          <w:sz w:val="16"/>
          <w:szCs w:val="16"/>
        </w:rPr>
        <w:t>грузоленте</w:t>
      </w:r>
      <w:proofErr w:type="spellEnd"/>
      <w:r w:rsidRPr="00A259BD">
        <w:rPr>
          <w:rFonts w:ascii="Times New Roman" w:hAnsi="Times New Roman"/>
          <w:color w:val="000000" w:themeColor="text1"/>
          <w:sz w:val="16"/>
          <w:szCs w:val="16"/>
        </w:rPr>
        <w:t xml:space="preserve"> обладали не</w:t>
      </w:r>
      <w:r w:rsidRPr="00A259BD">
        <w:rPr>
          <w:rFonts w:ascii="Times New Roman" w:hAnsi="Times New Roman"/>
          <w:color w:val="000000" w:themeColor="text1"/>
          <w:sz w:val="16"/>
          <w:szCs w:val="16"/>
        </w:rPr>
        <w:softHyphen/>
        <w:t>удовлетворительными сцепными свойствами, поэтому делались попытки замены колесного хода гусеничным, но эти опыты носили огра</w:t>
      </w:r>
      <w:r w:rsidRPr="00A259BD">
        <w:rPr>
          <w:rFonts w:ascii="Times New Roman" w:hAnsi="Times New Roman"/>
          <w:color w:val="000000" w:themeColor="text1"/>
          <w:sz w:val="16"/>
          <w:szCs w:val="16"/>
        </w:rPr>
        <w:softHyphen/>
        <w:t>ниченный характер, поскольку «Фордзон» счи</w:t>
      </w:r>
      <w:r w:rsidRPr="00A259BD">
        <w:rPr>
          <w:rFonts w:ascii="Times New Roman" w:hAnsi="Times New Roman"/>
          <w:color w:val="000000" w:themeColor="text1"/>
          <w:sz w:val="16"/>
          <w:szCs w:val="16"/>
        </w:rPr>
        <w:softHyphen/>
        <w:t>тался маломощным и недостаточно прочным. Номинальный срок службы трактора, как пра</w:t>
      </w:r>
      <w:r w:rsidRPr="00A259BD">
        <w:rPr>
          <w:rFonts w:ascii="Times New Roman" w:hAnsi="Times New Roman"/>
          <w:color w:val="000000" w:themeColor="text1"/>
          <w:sz w:val="16"/>
          <w:szCs w:val="16"/>
        </w:rPr>
        <w:softHyphen/>
        <w:t>вило, не превышал четырех лет, после чего он превращался в</w:t>
      </w:r>
      <w:r w:rsidRPr="00A259BD">
        <w:rPr>
          <w:rFonts w:ascii="Times New Roman" w:hAnsi="Times New Roman"/>
          <w:iCs/>
          <w:color w:val="000000" w:themeColor="text1"/>
          <w:sz w:val="16"/>
          <w:szCs w:val="16"/>
        </w:rPr>
        <w:t xml:space="preserve"> «металлический лом».</w:t>
      </w:r>
      <w:r w:rsidRPr="00A259BD">
        <w:rPr>
          <w:rFonts w:ascii="Times New Roman" w:hAnsi="Times New Roman"/>
          <w:color w:val="000000" w:themeColor="text1"/>
          <w:sz w:val="16"/>
          <w:szCs w:val="16"/>
        </w:rPr>
        <w:t xml:space="preserve"> Прове</w:t>
      </w:r>
      <w:r w:rsidRPr="00A259BD">
        <w:rPr>
          <w:rFonts w:ascii="Times New Roman" w:hAnsi="Times New Roman"/>
          <w:color w:val="000000" w:themeColor="text1"/>
          <w:sz w:val="16"/>
          <w:szCs w:val="16"/>
        </w:rPr>
        <w:softHyphen/>
        <w:t>денные в Л ВО эксперименты позволили определить наиболее оптимальный тип трактора-тягача с колесами на пневматиках высокого давления. Такие маши</w:t>
      </w:r>
      <w:r w:rsidRPr="00A259BD">
        <w:rPr>
          <w:rFonts w:ascii="Times New Roman" w:hAnsi="Times New Roman"/>
          <w:color w:val="000000" w:themeColor="text1"/>
          <w:sz w:val="16"/>
          <w:szCs w:val="16"/>
        </w:rPr>
        <w:softHyphen/>
        <w:t>ны оказались удивительными долгожи</w:t>
      </w:r>
      <w:r w:rsidRPr="00A259BD">
        <w:rPr>
          <w:rFonts w:ascii="Times New Roman" w:hAnsi="Times New Roman"/>
          <w:color w:val="000000" w:themeColor="text1"/>
          <w:sz w:val="16"/>
          <w:szCs w:val="16"/>
        </w:rPr>
        <w:softHyphen/>
        <w:t>телями - в 1940 г. на маневренных пло</w:t>
      </w:r>
      <w:r w:rsidRPr="00A259BD">
        <w:rPr>
          <w:rFonts w:ascii="Times New Roman" w:hAnsi="Times New Roman"/>
          <w:color w:val="000000" w:themeColor="text1"/>
          <w:sz w:val="16"/>
          <w:szCs w:val="16"/>
        </w:rPr>
        <w:softHyphen/>
        <w:t xml:space="preserve">щадках черноморских </w:t>
      </w:r>
      <w:proofErr w:type="spellStart"/>
      <w:r w:rsidRPr="00A259BD">
        <w:rPr>
          <w:rFonts w:ascii="Times New Roman" w:hAnsi="Times New Roman"/>
          <w:color w:val="000000" w:themeColor="text1"/>
          <w:sz w:val="16"/>
          <w:szCs w:val="16"/>
        </w:rPr>
        <w:t>гидроаэродомов</w:t>
      </w:r>
      <w:proofErr w:type="spellEnd"/>
      <w:r w:rsidRPr="00A259BD">
        <w:rPr>
          <w:rFonts w:ascii="Times New Roman" w:hAnsi="Times New Roman"/>
          <w:color w:val="000000" w:themeColor="text1"/>
          <w:sz w:val="16"/>
          <w:szCs w:val="16"/>
        </w:rPr>
        <w:t xml:space="preserve"> еще можно было встретить «Фордзоны» ленинградской постройки (12007).</w:t>
      </w:r>
    </w:p>
    <w:p w14:paraId="5250402F"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F809B0" w14:textId="77777777" w:rsidR="00455096" w:rsidRPr="00A259BD" w:rsidRDefault="00455096" w:rsidP="009236E3">
      <w:pPr>
        <w:spacing w:after="0" w:line="240" w:lineRule="auto"/>
        <w:jc w:val="both"/>
        <w:rPr>
          <w:rFonts w:ascii="Times New Roman" w:hAnsi="Times New Roman"/>
          <w:color w:val="000000" w:themeColor="text1"/>
          <w:sz w:val="16"/>
          <w:szCs w:val="16"/>
        </w:rPr>
      </w:pPr>
      <w:bookmarkStart w:id="108" w:name="_Hlk56763146"/>
      <w:r w:rsidRPr="00A259BD">
        <w:rPr>
          <w:rFonts w:ascii="Times New Roman" w:hAnsi="Times New Roman"/>
          <w:color w:val="000000" w:themeColor="text1"/>
          <w:sz w:val="16"/>
          <w:szCs w:val="16"/>
        </w:rPr>
        <w:t>В 1929 г. оба отряда переформировали в воз</w:t>
      </w:r>
      <w:r w:rsidRPr="00A259BD">
        <w:rPr>
          <w:rFonts w:ascii="Times New Roman" w:hAnsi="Times New Roman"/>
          <w:color w:val="000000" w:themeColor="text1"/>
          <w:sz w:val="16"/>
          <w:szCs w:val="16"/>
        </w:rPr>
        <w:softHyphen/>
        <w:t>духоплавательные дивизионы. Один из них стал основой Московского научно-опытного диви</w:t>
      </w:r>
      <w:r w:rsidRPr="00A259BD">
        <w:rPr>
          <w:rFonts w:ascii="Times New Roman" w:hAnsi="Times New Roman"/>
          <w:color w:val="000000" w:themeColor="text1"/>
          <w:sz w:val="16"/>
          <w:szCs w:val="16"/>
        </w:rPr>
        <w:softHyphen/>
        <w:t>зиона, размещавшегося в Кунцеве. В 1932 г. его преобразовали в Опытно-испытательный возду</w:t>
      </w:r>
      <w:r w:rsidRPr="00A259BD">
        <w:rPr>
          <w:rFonts w:ascii="Times New Roman" w:hAnsi="Times New Roman"/>
          <w:color w:val="000000" w:themeColor="text1"/>
          <w:sz w:val="16"/>
          <w:szCs w:val="16"/>
        </w:rPr>
        <w:softHyphen/>
        <w:t>хоплавательный дивизион (ОИВД), обеспечивав</w:t>
      </w:r>
      <w:r w:rsidRPr="00A259BD">
        <w:rPr>
          <w:rFonts w:ascii="Times New Roman" w:hAnsi="Times New Roman"/>
          <w:color w:val="000000" w:themeColor="text1"/>
          <w:sz w:val="16"/>
          <w:szCs w:val="16"/>
        </w:rPr>
        <w:softHyphen/>
        <w:t>ший, в частности, полёты первых советских стра</w:t>
      </w:r>
      <w:r w:rsidRPr="00A259BD">
        <w:rPr>
          <w:rFonts w:ascii="Times New Roman" w:hAnsi="Times New Roman"/>
          <w:color w:val="000000" w:themeColor="text1"/>
          <w:sz w:val="16"/>
          <w:szCs w:val="16"/>
        </w:rPr>
        <w:softHyphen/>
        <w:t>тостатов. Другой отряд переформировали в Ле</w:t>
      </w:r>
      <w:r w:rsidRPr="00A259BD">
        <w:rPr>
          <w:rFonts w:ascii="Times New Roman" w:hAnsi="Times New Roman"/>
          <w:color w:val="000000" w:themeColor="text1"/>
          <w:sz w:val="16"/>
          <w:szCs w:val="16"/>
        </w:rPr>
        <w:softHyphen/>
        <w:t xml:space="preserve">нинградский линейный дивизион </w:t>
      </w:r>
      <w:proofErr w:type="spellStart"/>
      <w:r w:rsidRPr="00A259BD">
        <w:rPr>
          <w:rFonts w:ascii="Times New Roman" w:hAnsi="Times New Roman"/>
          <w:color w:val="000000" w:themeColor="text1"/>
          <w:sz w:val="16"/>
          <w:szCs w:val="16"/>
        </w:rPr>
        <w:t>трёхотрядного</w:t>
      </w:r>
      <w:proofErr w:type="spellEnd"/>
      <w:r w:rsidRPr="00A259BD">
        <w:rPr>
          <w:rFonts w:ascii="Times New Roman" w:hAnsi="Times New Roman"/>
          <w:color w:val="000000" w:themeColor="text1"/>
          <w:sz w:val="16"/>
          <w:szCs w:val="16"/>
        </w:rPr>
        <w:t xml:space="preserve"> состава, который готовил кадры для формирова</w:t>
      </w:r>
      <w:r w:rsidRPr="00A259BD">
        <w:rPr>
          <w:rFonts w:ascii="Times New Roman" w:hAnsi="Times New Roman"/>
          <w:color w:val="000000" w:themeColor="text1"/>
          <w:sz w:val="16"/>
          <w:szCs w:val="16"/>
        </w:rPr>
        <w:softHyphen/>
        <w:t>ния 1-го и 2-го отрядов АЗ, а в 1931 г. участвовал в приёмке и обслуживании дирижабля LZ-127 (20120).</w:t>
      </w:r>
    </w:p>
    <w:p w14:paraId="1D986EF8" w14:textId="77777777" w:rsidR="00455096" w:rsidRPr="00A259BD" w:rsidRDefault="00455096" w:rsidP="009236E3">
      <w:pPr>
        <w:spacing w:after="0" w:line="240" w:lineRule="auto"/>
        <w:jc w:val="both"/>
        <w:rPr>
          <w:rFonts w:ascii="Times New Roman" w:hAnsi="Times New Roman"/>
          <w:color w:val="000000" w:themeColor="text1"/>
          <w:sz w:val="16"/>
          <w:szCs w:val="16"/>
        </w:rPr>
      </w:pPr>
    </w:p>
    <w:bookmarkEnd w:id="108"/>
    <w:p w14:paraId="6BBB1DF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В 1929 году был сформирован 2-й танковый полк. В последующие годы по мере поступления новых танков сформировали еще четыре танковых полка РГК в Смоленске, Киеве, Харькове и Слуцке. Организация этих полков претерпела несколько изменений (3862).</w:t>
      </w:r>
    </w:p>
    <w:p w14:paraId="0478A2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2306D2D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состоялись Большие Бобруйские маневры, на которых за поведени</w:t>
      </w:r>
      <w:r w:rsidRPr="00A259BD">
        <w:rPr>
          <w:rFonts w:ascii="Times New Roman" w:hAnsi="Times New Roman"/>
          <w:color w:val="000000" w:themeColor="text1"/>
          <w:sz w:val="16"/>
          <w:szCs w:val="16"/>
        </w:rPr>
        <w:softHyphen/>
        <w:t>ем танков наблюдали несколько комиссий (от КБ завода “Большевик” комиссией руководил инженер Л. Троянов — впоследствии известный конструктор танков). В ходе ма</w:t>
      </w:r>
      <w:r w:rsidRPr="00A259BD">
        <w:rPr>
          <w:rFonts w:ascii="Times New Roman" w:hAnsi="Times New Roman"/>
          <w:color w:val="000000" w:themeColor="text1"/>
          <w:sz w:val="16"/>
          <w:szCs w:val="16"/>
        </w:rPr>
        <w:softHyphen/>
        <w:t>невров танки Т-18 вели себя неплохо. Несмотря на крайне тяже</w:t>
      </w:r>
      <w:r w:rsidRPr="00A259BD">
        <w:rPr>
          <w:rFonts w:ascii="Times New Roman" w:hAnsi="Times New Roman"/>
          <w:color w:val="000000" w:themeColor="text1"/>
          <w:sz w:val="16"/>
          <w:szCs w:val="16"/>
        </w:rPr>
        <w:softHyphen/>
        <w:t>лые и изнурительные условия эксплуатации, Т-18 почти в полном составе прошли все испытания, но обнаружили множественные мелкие поломки материальной части (пол</w:t>
      </w:r>
      <w:r w:rsidRPr="00A259BD">
        <w:rPr>
          <w:rFonts w:ascii="Times New Roman" w:hAnsi="Times New Roman"/>
          <w:color w:val="000000" w:themeColor="text1"/>
          <w:sz w:val="16"/>
          <w:szCs w:val="16"/>
        </w:rPr>
        <w:softHyphen/>
        <w:t>ный список неисправностей и путей их возможного устра</w:t>
      </w:r>
      <w:r w:rsidRPr="00A259BD">
        <w:rPr>
          <w:rFonts w:ascii="Times New Roman" w:hAnsi="Times New Roman"/>
          <w:color w:val="000000" w:themeColor="text1"/>
          <w:sz w:val="16"/>
          <w:szCs w:val="16"/>
        </w:rPr>
        <w:softHyphen/>
        <w:t>нения содержал более 50 пунктов). Этот перечень послу</w:t>
      </w:r>
      <w:r w:rsidRPr="00A259BD">
        <w:rPr>
          <w:rFonts w:ascii="Times New Roman" w:hAnsi="Times New Roman"/>
          <w:color w:val="000000" w:themeColor="text1"/>
          <w:sz w:val="16"/>
          <w:szCs w:val="16"/>
        </w:rPr>
        <w:softHyphen/>
        <w:t>жил дополнительным стимулом для модернизации танка, проведенной в 1929-30 гг. (10733,83).</w:t>
      </w:r>
    </w:p>
    <w:p w14:paraId="57D3812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0FC44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году в Красной Ар</w:t>
      </w:r>
      <w:r w:rsidRPr="00A259BD">
        <w:rPr>
          <w:rFonts w:ascii="Times New Roman" w:hAnsi="Times New Roman"/>
          <w:color w:val="000000" w:themeColor="text1"/>
          <w:sz w:val="16"/>
          <w:szCs w:val="16"/>
        </w:rPr>
        <w:softHyphen/>
        <w:t>мии началось формирование моторизованных отрядов в со</w:t>
      </w:r>
      <w:r w:rsidRPr="00A259BD">
        <w:rPr>
          <w:rFonts w:ascii="Times New Roman" w:hAnsi="Times New Roman"/>
          <w:color w:val="000000" w:themeColor="text1"/>
          <w:sz w:val="16"/>
          <w:szCs w:val="16"/>
        </w:rPr>
        <w:softHyphen/>
        <w:t>ставе стрелковых дивизий, имевших по штату 12 броневиков БА-27. Всего к весне 1930 года в Красной Армии имелось три таких отряда — в 11, 45-й и Московской пролетарской стрелковых дивизиях (11284).</w:t>
      </w:r>
    </w:p>
    <w:p w14:paraId="3FEAFB8B"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C0CC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году пришла новая система бронетанковой техники, построенная на цветовых и цифровых кодах. Номер батальона обозначали красная, белая или желтая окружности диаметром 30 см (для 1, 2 и 3-го батальона соответственно). В неё были вписаны две арабские цифры высотой 10 см. Числитель обозначал номер роты, знаменатель - номер взвода. Рядом с окружностью наносилась большая арабская цифра, обозначавшая номер танка во взводе. Обозначения тактического уровня от полка и выше отсутствовали вовсе (11993).</w:t>
      </w:r>
    </w:p>
    <w:p w14:paraId="6362DB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291B08B" w14:textId="77777777" w:rsidR="00F547C5" w:rsidRPr="00A259BD" w:rsidRDefault="00EA483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0A2EAFA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C151D0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году обед из двух блюд в рабочей столовой, например, текстильной фабрики имени Ленина стоил 36 копеек (что считалось очень дорого), а в столовой Рабочего дворца - 25 копеек. Но цены в общепите росли. В мае 1933 года средняя цена обеда для рабочих составляла уже 84 копейки, инженерно-технических работников - 2 рубля 08 копеек, студентов - 87 копеек, школьников - 57 копеек. Крестьяне и лишенцы могли питаться только в дорогих коммерческих столовых, средняя стоимость обеда в которых была 5 рублей 84 копейки.</w:t>
      </w:r>
    </w:p>
    <w:p w14:paraId="1107E9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Поощрялись и пропагандировались домовые столовые. В Казани еще в мае 1927 года домашние хозяйки одного из домов по улице Захарьевской (ныне К. </w:t>
      </w:r>
      <w:proofErr w:type="spellStart"/>
      <w:r w:rsidRPr="00A259BD">
        <w:rPr>
          <w:rFonts w:ascii="Times New Roman" w:hAnsi="Times New Roman"/>
          <w:color w:val="000000" w:themeColor="text1"/>
          <w:sz w:val="16"/>
          <w:szCs w:val="16"/>
        </w:rPr>
        <w:t>Насыри</w:t>
      </w:r>
      <w:proofErr w:type="spellEnd"/>
      <w:r w:rsidRPr="00A259BD">
        <w:rPr>
          <w:rFonts w:ascii="Times New Roman" w:hAnsi="Times New Roman"/>
          <w:color w:val="000000" w:themeColor="text1"/>
          <w:sz w:val="16"/>
          <w:szCs w:val="16"/>
        </w:rPr>
        <w:t xml:space="preserve">) по инициативе трех семей - Галкиных, Бахтиаровых и </w:t>
      </w:r>
      <w:proofErr w:type="spellStart"/>
      <w:r w:rsidRPr="00A259BD">
        <w:rPr>
          <w:rFonts w:ascii="Times New Roman" w:hAnsi="Times New Roman"/>
          <w:color w:val="000000" w:themeColor="text1"/>
          <w:sz w:val="16"/>
          <w:szCs w:val="16"/>
        </w:rPr>
        <w:t>Биркенгофов</w:t>
      </w:r>
      <w:proofErr w:type="spellEnd"/>
      <w:r w:rsidRPr="00A259BD">
        <w:rPr>
          <w:rFonts w:ascii="Times New Roman" w:hAnsi="Times New Roman"/>
          <w:color w:val="000000" w:themeColor="text1"/>
          <w:sz w:val="16"/>
          <w:szCs w:val="16"/>
        </w:rPr>
        <w:t xml:space="preserve"> - организовали коллективную кухню. В 1929-м она уже обслуживала 14 семей, готовил специально нанятый повар из овощей, заготовленных впрок осенью, и из продуктов, получавшихся семьями по карточкам. Обед в такой коллективной домовой столовой обходился в 35 копеек. Общепит, пищевые комбинаты рекламировались еще и потому, что упрощение домашнего хозяйства должно было вовлечь вчерашних домохозяек в общественное производство.</w:t>
      </w:r>
    </w:p>
    <w:p w14:paraId="7787E2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начале 1930-х годов в стране сформировалась система </w:t>
      </w:r>
      <w:proofErr w:type="spellStart"/>
      <w:r w:rsidRPr="00A259BD">
        <w:rPr>
          <w:rFonts w:ascii="Times New Roman" w:hAnsi="Times New Roman"/>
          <w:color w:val="000000" w:themeColor="text1"/>
          <w:sz w:val="16"/>
          <w:szCs w:val="16"/>
        </w:rPr>
        <w:t>спецснабжения</w:t>
      </w:r>
      <w:proofErr w:type="spellEnd"/>
      <w:r w:rsidRPr="00A259BD">
        <w:rPr>
          <w:rFonts w:ascii="Times New Roman" w:hAnsi="Times New Roman"/>
          <w:color w:val="000000" w:themeColor="text1"/>
          <w:sz w:val="16"/>
          <w:szCs w:val="16"/>
        </w:rPr>
        <w:t>. Ею охватывались в первую очередь работники партийно-советского аппарата, но также персональные пенсионеры, краснознаменцы и бывшие политкаторжане, красноармейцы, научная элита и некоторые другие категории специалистов.</w:t>
      </w:r>
    </w:p>
    <w:p w14:paraId="32FA83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магазинах в начале 1930-х практически ничего не было: ненормированные продукты - сыр, колбаса, творог, конфеты, сметана - появлялись крайне редко, а когда появлялись, также продавались по нормам. Овощные магазины отсутствовали. В обиходе появилась "авоська" - вязаная сумка с дырочками, с которой советский человек шел в магазин в надежде "авось что-то выбросят". И слово "магазин" почти исчезло из употребления: его заменили слова "закрытый распределитель" (ЗР), "закрытый рабочий кооператив" (ЗРК), "отдел рабочего снабжения" (ОРС). Устарело и слово "продавец" - его заменил "резчик", так как главной обязанностью продавца стало нарезать пайки. В Казани появилось большое количество ведомственных магазинов и </w:t>
      </w:r>
      <w:proofErr w:type="spellStart"/>
      <w:r w:rsidRPr="00A259BD">
        <w:rPr>
          <w:rFonts w:ascii="Times New Roman" w:hAnsi="Times New Roman"/>
          <w:color w:val="000000" w:themeColor="text1"/>
          <w:sz w:val="16"/>
          <w:szCs w:val="16"/>
        </w:rPr>
        <w:t>спецраспределителей</w:t>
      </w:r>
      <w:proofErr w:type="spellEnd"/>
      <w:r w:rsidRPr="00A259BD">
        <w:rPr>
          <w:rFonts w:ascii="Times New Roman" w:hAnsi="Times New Roman"/>
          <w:color w:val="000000" w:themeColor="text1"/>
          <w:sz w:val="16"/>
          <w:szCs w:val="16"/>
        </w:rPr>
        <w:t xml:space="preserve"> - железнодорожные магазины в районе вокзала, на углу сегодняшней улицы Чернышевского и Кирова - магазин швейников, на улице Лобачевского - милицейский магазин, на Бутлерова - "Горняк" для геологов, на улице Островского (там сегодня ГИБДД) - </w:t>
      </w:r>
      <w:proofErr w:type="spellStart"/>
      <w:r w:rsidRPr="00A259BD">
        <w:rPr>
          <w:rFonts w:ascii="Times New Roman" w:hAnsi="Times New Roman"/>
          <w:color w:val="000000" w:themeColor="text1"/>
          <w:sz w:val="16"/>
          <w:szCs w:val="16"/>
        </w:rPr>
        <w:t>комсоставский</w:t>
      </w:r>
      <w:proofErr w:type="spellEnd"/>
      <w:r w:rsidRPr="00A259BD">
        <w:rPr>
          <w:rFonts w:ascii="Times New Roman" w:hAnsi="Times New Roman"/>
          <w:color w:val="000000" w:themeColor="text1"/>
          <w:sz w:val="16"/>
          <w:szCs w:val="16"/>
        </w:rPr>
        <w:t xml:space="preserve"> магазин НКВД, на улице </w:t>
      </w:r>
      <w:proofErr w:type="spellStart"/>
      <w:r w:rsidRPr="00A259BD">
        <w:rPr>
          <w:rFonts w:ascii="Times New Roman" w:hAnsi="Times New Roman"/>
          <w:color w:val="000000" w:themeColor="text1"/>
          <w:sz w:val="16"/>
          <w:szCs w:val="16"/>
        </w:rPr>
        <w:t>Миславского</w:t>
      </w:r>
      <w:proofErr w:type="spellEnd"/>
      <w:r w:rsidRPr="00A259BD">
        <w:rPr>
          <w:rFonts w:ascii="Times New Roman" w:hAnsi="Times New Roman"/>
          <w:color w:val="000000" w:themeColor="text1"/>
          <w:sz w:val="16"/>
          <w:szCs w:val="16"/>
        </w:rPr>
        <w:t xml:space="preserve"> - закрытый профессорский распределитель (11566).</w:t>
      </w:r>
    </w:p>
    <w:p w14:paraId="4F8612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57382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году на пленуме ЦК ВКП(б) нарком внутренней и внешней торговли Микоян рассказывал, что за последнее время только по его ведомству отказалось вернуться из загранкомандировок 44 человека, из них 7 коммунистов. Партия и правительство решили, что уговоры больше не помогают и нужно применять к невозвращенцам карательные санкции. Так появился закон "О перебежчиках", в котором говорилось: </w:t>
      </w:r>
    </w:p>
    <w:p w14:paraId="1B51917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 Отказ гражданина СССР — должностного лица государственного учреждения или предприятия СССР, действующего за границей, на предложение органов государственной власти вернуться в пределы СССР рассматривать как перебежку в лагерь врагов рабочего класса и крестьянства и квалифицировать как измену. </w:t>
      </w:r>
    </w:p>
    <w:p w14:paraId="2346E4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2. Лица, отказывающиеся вернуться в СССР, объявляются вне закона. </w:t>
      </w:r>
    </w:p>
    <w:p w14:paraId="71ADE5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3. Объявление вне закона влечет за собой: </w:t>
      </w:r>
    </w:p>
    <w:p w14:paraId="373FB4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а) конфискацию всего имущества осужденного; </w:t>
      </w:r>
    </w:p>
    <w:p w14:paraId="21F6588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б) расстрел осужденного через 24 часа после удостоверения его личности. </w:t>
      </w:r>
    </w:p>
    <w:p w14:paraId="02AF14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4. Все подобные дела рассматриваются Верховным Судом СССР. </w:t>
      </w:r>
    </w:p>
    <w:p w14:paraId="11B61E7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 Имена объявленных вне закона подлежат сообщению всем исполкомам и органам ГПУ. </w:t>
      </w:r>
    </w:p>
    <w:p w14:paraId="12BB1F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6. Настоящий закон имеет обратную силу". </w:t>
      </w:r>
    </w:p>
    <w:p w14:paraId="2FA367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Последний пункт имел особенно грозное значение, поскольку распространял действие карательных санкций и на тех, кто не возвратился до принятия закона. То есть на всех невозвращенцев. Не исключено, что именно угрозой применения закона "О перебежчиках" власти удерживали в стране академика Крылова, приехавшего в 1929 году в Москву с очередным отчетом. И именно поэтому Крылов с оказией — очередным ученым, поехавшим в научную командировку, чтобы никогда больше не вернуться на родину социализма,— передал письмо к дочери в Кембридж, где просил ее и Петра Капицу воздержаться от приезда в СССР, но сделать это так, чтобы не вызвать у советского руководства подозрений в нелояльности (11662). </w:t>
      </w:r>
    </w:p>
    <w:p w14:paraId="2AD5E0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A12C207"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6CAA6879"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6076D34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 монголам передали шесть новых самолетов Р-1. Один из них вскоре разбили, а два разобрали на запчасти, чтобы поддержать боеспособность остальных. На 12 апреля 1932 г. монгольские ВВС располагали тремя Р-1, тремя Р-5 и одним транспортным самолетом Юнкерс В-33; все они входили в единственный в стране авиаотряд им. Сухэ-Батора. К концу года парк пополнился двумя У-2 и четырьмя Р-1.</w:t>
      </w:r>
    </w:p>
    <w:p w14:paraId="499540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мае-июле 1932 г. два Р-1 вместе с одним Р-5 участвовали в операциях против мятежников. Экипажи были смешанные: русские пилоты и монгольские летнабы. Самолеты вели разведку, разбрасывали листовки и обеспечивали связь между частями монгольской армии и отрядами добровольцев. У реки Кичигин-гол разведчик обнаружил две большие банды, приготовившиеся с разных сторон к атаке на механизированный отряд. Летчики сбросили осколочные бомбы, а затем пулеметным огнем поддержали атаку мотопехоты.</w:t>
      </w:r>
    </w:p>
    <w:p w14:paraId="7DCB432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Имели место еще несколько случаев бомбометания, например, по монастырю, где располагались командиры мятежников. Но эффективность их была низкой, поскольку монгольские летнабы не имели достаточного опыта.</w:t>
      </w:r>
    </w:p>
    <w:p w14:paraId="79DC1C5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Противник не доставлял авиаторам больших хлопот, «серая чертова птица» внушала ему суеверный ужас. Только большая банда </w:t>
      </w:r>
      <w:proofErr w:type="spellStart"/>
      <w:r w:rsidRPr="00A259BD">
        <w:rPr>
          <w:rFonts w:ascii="Times New Roman" w:hAnsi="Times New Roman"/>
          <w:color w:val="000000" w:themeColor="text1"/>
          <w:sz w:val="16"/>
          <w:szCs w:val="16"/>
        </w:rPr>
        <w:t>Джамцо</w:t>
      </w:r>
      <w:proofErr w:type="spellEnd"/>
      <w:r w:rsidRPr="00A259BD">
        <w:rPr>
          <w:rFonts w:ascii="Times New Roman" w:hAnsi="Times New Roman"/>
          <w:color w:val="000000" w:themeColor="text1"/>
          <w:sz w:val="16"/>
          <w:szCs w:val="16"/>
        </w:rPr>
        <w:t xml:space="preserve">, бывшего военного, оказала серьезное сопротивление. Р-1 встречали залпами из винтовок, причем </w:t>
      </w:r>
      <w:proofErr w:type="spellStart"/>
      <w:r w:rsidRPr="00A259BD">
        <w:rPr>
          <w:rFonts w:ascii="Times New Roman" w:hAnsi="Times New Roman"/>
          <w:color w:val="000000" w:themeColor="text1"/>
          <w:sz w:val="16"/>
          <w:szCs w:val="16"/>
        </w:rPr>
        <w:t>Джамцо</w:t>
      </w:r>
      <w:proofErr w:type="spellEnd"/>
      <w:r w:rsidRPr="00A259BD">
        <w:rPr>
          <w:rFonts w:ascii="Times New Roman" w:hAnsi="Times New Roman"/>
          <w:color w:val="000000" w:themeColor="text1"/>
          <w:sz w:val="16"/>
          <w:szCs w:val="16"/>
        </w:rPr>
        <w:t xml:space="preserve"> выучил своих людей стрелять с нужным упреждением. Машины возвращались с пробоинами. На Р-1 пилота Иванова пуля пробила радиатор, пришлось садиться в расположении банды. Летчикам удалось убежать, а самолет бандиты сожгли. Убежали, правда, недалеко: попали в руки другой банды. Летчиков ограбили, раздели, связали и бросили в воду. На счастье, Иванова связали плохо; он выплыл сам, развязал и вытащил летнаба. На одиннадцатый день голые голодные люди встретились с монгольскими разведчиками.</w:t>
      </w:r>
    </w:p>
    <w:p w14:paraId="0C38021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Последние Р-1 эксплуатировались в Монголии как учебные самолеты до середины 1930-х годов (11923).</w:t>
      </w:r>
    </w:p>
    <w:p w14:paraId="5BB5B1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45B16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году в ходе конфликта с Китаем на кораблях Амурской флотилии имелось девять 40-мм автоматов Виккерса, семь из которых было установлено на мониторах. Красный флот получил в наследие от царского несколько сотен 37-мм и 40-мм автоматов водяного охлаждения с ленточным питанием (3861).</w:t>
      </w:r>
    </w:p>
    <w:p w14:paraId="15833EA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706594A"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799C4B9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0BD1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Британское воздушное министерство выдало фирме </w:t>
      </w:r>
      <w:proofErr w:type="spellStart"/>
      <w:r w:rsidRPr="00A259BD">
        <w:rPr>
          <w:rFonts w:ascii="Times New Roman" w:hAnsi="Times New Roman"/>
          <w:color w:val="000000" w:themeColor="text1"/>
          <w:sz w:val="16"/>
          <w:szCs w:val="16"/>
        </w:rPr>
        <w:t>Фэйри</w:t>
      </w:r>
      <w:proofErr w:type="spellEnd"/>
      <w:r w:rsidRPr="00A259BD">
        <w:rPr>
          <w:rFonts w:ascii="Times New Roman" w:hAnsi="Times New Roman"/>
          <w:color w:val="000000" w:themeColor="text1"/>
          <w:sz w:val="16"/>
          <w:szCs w:val="16"/>
        </w:rPr>
        <w:t xml:space="preserve"> заказ на создание специальной машины LR (Лонг Рейндж), для достижения рекордной дальности полета. При проектировании этого внушительного высокоплана конструкторы стремились обеспечить наилучшую аэродинамику для получения максимального аэродинамического качества. Баки для горючего общей емкостью 5000 л разместили в центральной части крыла. Самолет снабдили автопилотом, что в значительной мере облегчало работу пилотов в продолжительных полетах. Двигатель </w:t>
      </w:r>
      <w:proofErr w:type="spellStart"/>
      <w:r w:rsidRPr="00A259BD">
        <w:rPr>
          <w:rFonts w:ascii="Times New Roman" w:hAnsi="Times New Roman"/>
          <w:color w:val="000000" w:themeColor="text1"/>
          <w:sz w:val="16"/>
          <w:szCs w:val="16"/>
        </w:rPr>
        <w:t>Нэпир</w:t>
      </w:r>
      <w:proofErr w:type="spellEnd"/>
      <w:r w:rsidRPr="00A259BD">
        <w:rPr>
          <w:rFonts w:ascii="Times New Roman" w:hAnsi="Times New Roman"/>
          <w:color w:val="000000" w:themeColor="text1"/>
          <w:sz w:val="16"/>
          <w:szCs w:val="16"/>
        </w:rPr>
        <w:t xml:space="preserve"> "Лайон"-Х1 с максимальной мощностью 570 л.с. явился кульминацией более чем 10-летнего периода совершенствования "</w:t>
      </w:r>
      <w:proofErr w:type="spellStart"/>
      <w:r w:rsidRPr="00A259BD">
        <w:rPr>
          <w:rFonts w:ascii="Times New Roman" w:hAnsi="Times New Roman"/>
          <w:color w:val="000000" w:themeColor="text1"/>
          <w:sz w:val="16"/>
          <w:szCs w:val="16"/>
        </w:rPr>
        <w:t>Ww</w:t>
      </w:r>
      <w:proofErr w:type="spellEnd"/>
      <w:r w:rsidRPr="00A259BD">
        <w:rPr>
          <w:rFonts w:ascii="Times New Roman" w:hAnsi="Times New Roman"/>
          <w:color w:val="000000" w:themeColor="text1"/>
          <w:sz w:val="16"/>
          <w:szCs w:val="16"/>
        </w:rPr>
        <w:t xml:space="preserve">-образных "Лай- </w:t>
      </w:r>
      <w:proofErr w:type="spellStart"/>
      <w:r w:rsidRPr="00A259BD">
        <w:rPr>
          <w:rFonts w:ascii="Times New Roman" w:hAnsi="Times New Roman"/>
          <w:color w:val="000000" w:themeColor="text1"/>
          <w:sz w:val="16"/>
          <w:szCs w:val="16"/>
        </w:rPr>
        <w:t>онов</w:t>
      </w:r>
      <w:proofErr w:type="spellEnd"/>
      <w:r w:rsidRPr="00A259BD">
        <w:rPr>
          <w:rFonts w:ascii="Times New Roman" w:hAnsi="Times New Roman"/>
          <w:color w:val="000000" w:themeColor="text1"/>
          <w:sz w:val="16"/>
          <w:szCs w:val="16"/>
        </w:rPr>
        <w:t>" жидкостного охлаждения. При подготовке двигателя для дальних перелетов особое внимание уделили его соответствующей регулировке с целью получения минимального расхода горючего.</w:t>
      </w:r>
    </w:p>
    <w:p w14:paraId="6C7C23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После проведения испытаний "</w:t>
      </w:r>
      <w:proofErr w:type="spellStart"/>
      <w:r w:rsidRPr="00A259BD">
        <w:rPr>
          <w:rFonts w:ascii="Times New Roman" w:hAnsi="Times New Roman"/>
          <w:color w:val="000000" w:themeColor="text1"/>
          <w:sz w:val="16"/>
          <w:szCs w:val="16"/>
        </w:rPr>
        <w:t>Фэйри</w:t>
      </w:r>
      <w:proofErr w:type="spellEnd"/>
      <w:r w:rsidRPr="00A259BD">
        <w:rPr>
          <w:rFonts w:ascii="Times New Roman" w:hAnsi="Times New Roman"/>
          <w:color w:val="000000" w:themeColor="text1"/>
          <w:sz w:val="16"/>
          <w:szCs w:val="16"/>
        </w:rPr>
        <w:t xml:space="preserve">" LR в 1929 г. совершил перелет из </w:t>
      </w:r>
      <w:proofErr w:type="spellStart"/>
      <w:r w:rsidRPr="00A259BD">
        <w:rPr>
          <w:rFonts w:ascii="Times New Roman" w:hAnsi="Times New Roman"/>
          <w:color w:val="000000" w:themeColor="text1"/>
          <w:sz w:val="16"/>
          <w:szCs w:val="16"/>
        </w:rPr>
        <w:t>Корнулла</w:t>
      </w:r>
      <w:proofErr w:type="spellEnd"/>
      <w:r w:rsidRPr="00A259BD">
        <w:rPr>
          <w:rFonts w:ascii="Times New Roman" w:hAnsi="Times New Roman"/>
          <w:color w:val="000000" w:themeColor="text1"/>
          <w:sz w:val="16"/>
          <w:szCs w:val="16"/>
        </w:rPr>
        <w:t xml:space="preserve"> (Англия) в Карачи (Индия), пройдя 6500 км за 50 часов 48 минут. Следующий полет закончился катастрофой в Тунисе: в условиях плохой видимости LR врезался в гору. В 1931 г. англичане построили дублер этого самолета, на котором продолжили подготовку к перелетам.</w:t>
      </w:r>
    </w:p>
    <w:p w14:paraId="716E90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Во Франции осознали необходимость создания специальных машин лишь после того, как взяли все возможное от использования "</w:t>
      </w:r>
      <w:proofErr w:type="spellStart"/>
      <w:r w:rsidRPr="00A259BD">
        <w:rPr>
          <w:rFonts w:ascii="Times New Roman" w:hAnsi="Times New Roman"/>
          <w:color w:val="000000" w:themeColor="text1"/>
          <w:sz w:val="16"/>
          <w:szCs w:val="16"/>
        </w:rPr>
        <w:t>супербидонов</w:t>
      </w:r>
      <w:proofErr w:type="spellEnd"/>
      <w:r w:rsidRPr="00A259BD">
        <w:rPr>
          <w:rFonts w:ascii="Times New Roman" w:hAnsi="Times New Roman"/>
          <w:color w:val="000000" w:themeColor="text1"/>
          <w:sz w:val="16"/>
          <w:szCs w:val="16"/>
        </w:rPr>
        <w:t xml:space="preserve">" Бреге и аналогичных </w:t>
      </w:r>
      <w:proofErr w:type="spellStart"/>
      <w:r w:rsidRPr="00A259BD">
        <w:rPr>
          <w:rFonts w:ascii="Times New Roman" w:hAnsi="Times New Roman"/>
          <w:color w:val="000000" w:themeColor="text1"/>
          <w:sz w:val="16"/>
          <w:szCs w:val="16"/>
        </w:rPr>
        <w:t>Потезов</w:t>
      </w:r>
      <w:proofErr w:type="spellEnd"/>
      <w:r w:rsidRPr="00A259BD">
        <w:rPr>
          <w:rFonts w:ascii="Times New Roman" w:hAnsi="Times New Roman"/>
          <w:color w:val="000000" w:themeColor="text1"/>
          <w:sz w:val="16"/>
          <w:szCs w:val="16"/>
        </w:rPr>
        <w:t>. Несомненные успехи французских летчиков в деле завоевания рекордов дальности привели к определенным национальным амбициям, поэтому здесь не стали размениваться на мелочи. В 1929-30 гг. французское правительство заказало фирмам "Блерио", "</w:t>
      </w:r>
      <w:proofErr w:type="spellStart"/>
      <w:r w:rsidRPr="00A259BD">
        <w:rPr>
          <w:rFonts w:ascii="Times New Roman" w:hAnsi="Times New Roman"/>
          <w:color w:val="000000" w:themeColor="text1"/>
          <w:sz w:val="16"/>
          <w:szCs w:val="16"/>
        </w:rPr>
        <w:t>Девуатин</w:t>
      </w:r>
      <w:proofErr w:type="spellEnd"/>
      <w:r w:rsidRPr="00A259BD">
        <w:rPr>
          <w:rFonts w:ascii="Times New Roman" w:hAnsi="Times New Roman"/>
          <w:color w:val="000000" w:themeColor="text1"/>
          <w:sz w:val="16"/>
          <w:szCs w:val="16"/>
        </w:rPr>
        <w:t>" и "Бернар" сразу три рекордных самолета, которые готовились к достижению успехов в лето 1931-го (11941).</w:t>
      </w:r>
    </w:p>
    <w:p w14:paraId="399B287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06C09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году с целью подготовки кадров английская фирма “</w:t>
      </w:r>
      <w:proofErr w:type="spellStart"/>
      <w:r w:rsidRPr="00A259BD">
        <w:rPr>
          <w:rFonts w:ascii="Times New Roman" w:hAnsi="Times New Roman"/>
          <w:color w:val="000000" w:themeColor="text1"/>
          <w:sz w:val="16"/>
          <w:szCs w:val="16"/>
        </w:rPr>
        <w:t>Эйршип</w:t>
      </w:r>
      <w:proofErr w:type="spellEnd"/>
      <w:r w:rsidRPr="00A259BD">
        <w:rPr>
          <w:rFonts w:ascii="Times New Roman" w:hAnsi="Times New Roman"/>
          <w:color w:val="000000" w:themeColor="text1"/>
          <w:sz w:val="16"/>
          <w:szCs w:val="16"/>
        </w:rPr>
        <w:t xml:space="preserve"> Девелопмент Ко.” построила мягкие дирижабли AD-1 и AD-2 (11324).</w:t>
      </w:r>
    </w:p>
    <w:p w14:paraId="1BC14D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C03E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году в США был разработан очередной экспериментальный мягкий дирижабль американского флота К-1. Оболочка объемом 8950 куб. м имела так называемую внутреннюю установку гондолы, которая апробировалась перед этим в серии гражданских дирижаблей “Гудиер”. Места для навески тросов гондолы были нашиты и вулканизированы на внутренней поверхности оболочки, а также устроены так, что нагрузка от гондолы распределялась на большую часть оболочки, в том числе и на ее верхнюю часть. В нижней части оболочки был сделан горизонтальный трубчатый киль, который армировал ее и облегчал подвеску кабины, что было с точки зрения аэродинамики и прочности очень выгодно. Наличие такого киля, хоть и небольшого, определяло тип этого новейшего дирижабля между полужестким и мягким. Но все же чаще считают тип этого дирижабля мягким, поэтому и мы не будем нарушать традиций. </w:t>
      </w:r>
    </w:p>
    <w:p w14:paraId="271924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обеим сторонам гондолы располагались двигатели “Райт” мощностью 330 л. с. Гондола, рассчитанная на десять человек экипажа, была достаточно комфортна, для отдыха между сменами имелись спальные места — ведь дирижабль был рассчитан на полет продолжительностью более 30 часов. Особенностью К-1 являлась экспериментальная двигательная система, которая разрабатывалась специально для этого дирижабля. Моторы работали не на бензине, а на газообразном топливе, которое размещалось под давлением в баллонах объемом 1470 куб. м. Эта идея была не нова и впервые применена Германией в конструкции цеппелина LZ-127 “Граф Цеппелин”. Основной целью такого технического решения была экономия гелия, так как расходуемый моторами газ легко замещался в соответствующем соотношении в топливном баллоне воздухом, поэтому вес дирижабля в течение всего полета оставался постоянным и не было необходимости выпускать излишек подъемного газа. За время всей службы К-1 показал просто выдающуюся надежность, совершив большое количество многочасовых патрульных полетов. Первый вылет состоялся в октябре 1931 года, а последний — в сентябре 1940 года. После этого еще целый год он использовался для испытаний якорных устройств и был разобран в октябре 1941 года. К-1 убедительно доказал перспективность развития дирижаблей в этом направлении (11324).</w:t>
      </w:r>
    </w:p>
    <w:p w14:paraId="0A995F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8F24D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1929 год дал Дорнье Do-X, Юнкерс G-38, </w:t>
      </w:r>
      <w:proofErr w:type="spellStart"/>
      <w:r w:rsidRPr="00A259BD">
        <w:rPr>
          <w:rFonts w:ascii="Times New Roman" w:hAnsi="Times New Roman"/>
          <w:color w:val="000000" w:themeColor="text1"/>
          <w:sz w:val="16"/>
          <w:szCs w:val="16"/>
        </w:rPr>
        <w:t>Caproni</w:t>
      </w:r>
      <w:proofErr w:type="spellEnd"/>
      <w:r w:rsidRPr="00A259BD">
        <w:rPr>
          <w:rFonts w:ascii="Times New Roman" w:hAnsi="Times New Roman"/>
          <w:color w:val="000000" w:themeColor="text1"/>
          <w:sz w:val="16"/>
          <w:szCs w:val="16"/>
        </w:rPr>
        <w:t xml:space="preserve"> CA-90, HP-42 (70,202).</w:t>
      </w:r>
    </w:p>
    <w:p w14:paraId="4287AB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D3425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 в США на маневрах впервые появился самолет ДН-4, приспособленный для штурмовых действий, который потом развили в специальный штурмовик Мартин Т-32, а затем - Кертис-</w:t>
      </w:r>
      <w:proofErr w:type="spellStart"/>
      <w:r w:rsidRPr="00A259BD">
        <w:rPr>
          <w:rFonts w:ascii="Times New Roman" w:hAnsi="Times New Roman"/>
          <w:color w:val="000000" w:themeColor="text1"/>
          <w:sz w:val="16"/>
          <w:szCs w:val="16"/>
        </w:rPr>
        <w:t>Шрайк</w:t>
      </w:r>
      <w:proofErr w:type="spellEnd"/>
      <w:r w:rsidRPr="00A259BD">
        <w:rPr>
          <w:rFonts w:ascii="Times New Roman" w:hAnsi="Times New Roman"/>
          <w:color w:val="000000" w:themeColor="text1"/>
          <w:sz w:val="16"/>
          <w:szCs w:val="16"/>
        </w:rPr>
        <w:t xml:space="preserve"> А-8, вооруженный 5 пулеметами и 200 кг бомб. Считается, что в США штурмовик нашел себя как самостоятельный тип (326,65).</w:t>
      </w:r>
    </w:p>
    <w:p w14:paraId="68A468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65779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 к правительствам Латинской Америки с предложением создания Латиноамериканского сообщества, построенного вопреки логике "доктрины Монро" обращался </w:t>
      </w:r>
      <w:proofErr w:type="spellStart"/>
      <w:r w:rsidRPr="00A259BD">
        <w:rPr>
          <w:rFonts w:ascii="Times New Roman" w:hAnsi="Times New Roman"/>
          <w:color w:val="000000" w:themeColor="text1"/>
          <w:sz w:val="16"/>
          <w:szCs w:val="16"/>
        </w:rPr>
        <w:t>А.Сандино</w:t>
      </w:r>
      <w:proofErr w:type="spellEnd"/>
      <w:r w:rsidRPr="00A259BD">
        <w:rPr>
          <w:rFonts w:ascii="Times New Roman" w:hAnsi="Times New Roman"/>
          <w:color w:val="000000" w:themeColor="text1"/>
          <w:sz w:val="16"/>
          <w:szCs w:val="16"/>
        </w:rPr>
        <w:t xml:space="preserve">. Сходный проект о формировании Лиги латиноамериканских стран выдвигал председатель Палаты депутатов Уругвая </w:t>
      </w:r>
      <w:proofErr w:type="spellStart"/>
      <w:r w:rsidRPr="00A259BD">
        <w:rPr>
          <w:rFonts w:ascii="Times New Roman" w:hAnsi="Times New Roman"/>
          <w:color w:val="000000" w:themeColor="text1"/>
          <w:sz w:val="16"/>
          <w:szCs w:val="16"/>
        </w:rPr>
        <w:t>Г.Терра</w:t>
      </w:r>
      <w:proofErr w:type="spellEnd"/>
      <w:r w:rsidRPr="00A259BD">
        <w:rPr>
          <w:rFonts w:ascii="Times New Roman" w:hAnsi="Times New Roman"/>
          <w:color w:val="000000" w:themeColor="text1"/>
          <w:sz w:val="16"/>
          <w:szCs w:val="16"/>
        </w:rPr>
        <w:t xml:space="preserve"> (3871).</w:t>
      </w:r>
    </w:p>
    <w:p w14:paraId="64D5F7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F852352"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31A8EC9D"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388A05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период 1929-1931 гг. в конструкторском отделе ЦАГИ разработали несколько предварительных проектов тяжелых бомбардировщиков ТБ-6, ТБ-7 (первый с таким названием), ТБ-8, ТБ-Х. Наиболее впечатляющим среди них являлся гигантский ТБ-Х с полетным весом 100 тонн. Весовые характеристики другого проектируемого бомбардировщика АНТ-26 (ТБ-6) оценивались несколько скромнее (вес пустого 45000 кг, полетный вес 71000 кг), однако размеры этого исполина с размахом крыла 95 метров действительно поражали.</w:t>
      </w:r>
    </w:p>
    <w:p w14:paraId="21F637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АНТ-26 рассчитывался на техническую дальность полета 3300 км (емкость баков на 4800 км) на высоте 5000 м. Максимальная расчетная скорость полета на высоте 5000 м должна была составлять 250 км/ч. Практический потолок - 7-8 км, посадочная скорость - 70-80 км/ч.</w:t>
      </w:r>
    </w:p>
    <w:p w14:paraId="7DCBE3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Также в проектных материалах указывалось, что АНТ-26 должен обладать автономностью в боевом отношении, при полете к цели и обратно должен выдерживать неоднократное нападение до 18 самолетов противника, действующих со всех направлений. </w:t>
      </w:r>
    </w:p>
    <w:p w14:paraId="11DBCB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Оборонительное вооружение бомбовоза должно было обеспечивать прицельный комбинированный огонь из нескольких огневых точек на дистанцию 1000 м вверх и 1500-2000 м вперед и назад по курсу. Его общая предполагаемая бомбовая нагрузка составляла 15 тонн.</w:t>
      </w:r>
    </w:p>
    <w:p w14:paraId="382A28F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Впрочем, главной целью проектирования гигантских самолетов являлась возможность транспортировки по воздуху тяжелой техники, и, прежде всего, танков (12025).</w:t>
      </w:r>
    </w:p>
    <w:p w14:paraId="447299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B88A94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1929 по 1933г. в состав </w:t>
      </w:r>
      <w:proofErr w:type="spellStart"/>
      <w:r w:rsidRPr="00A259BD">
        <w:rPr>
          <w:rFonts w:ascii="Times New Roman" w:hAnsi="Times New Roman"/>
          <w:color w:val="000000" w:themeColor="text1"/>
          <w:sz w:val="16"/>
          <w:szCs w:val="16"/>
        </w:rPr>
        <w:t>Авиатреста</w:t>
      </w:r>
      <w:proofErr w:type="spellEnd"/>
      <w:r w:rsidRPr="00A259BD">
        <w:rPr>
          <w:rFonts w:ascii="Times New Roman" w:hAnsi="Times New Roman"/>
          <w:color w:val="000000" w:themeColor="text1"/>
          <w:sz w:val="16"/>
          <w:szCs w:val="16"/>
        </w:rPr>
        <w:t xml:space="preserve"> вошло 23 новых предприятия. В состав </w:t>
      </w:r>
      <w:proofErr w:type="spellStart"/>
      <w:r w:rsidRPr="00A259BD">
        <w:rPr>
          <w:rFonts w:ascii="Times New Roman" w:hAnsi="Times New Roman"/>
          <w:color w:val="000000" w:themeColor="text1"/>
          <w:sz w:val="16"/>
          <w:szCs w:val="16"/>
        </w:rPr>
        <w:t>Патрубвзрыва</w:t>
      </w:r>
      <w:proofErr w:type="spellEnd"/>
      <w:r w:rsidRPr="00A259BD">
        <w:rPr>
          <w:rFonts w:ascii="Times New Roman" w:hAnsi="Times New Roman"/>
          <w:color w:val="000000" w:themeColor="text1"/>
          <w:sz w:val="16"/>
          <w:szCs w:val="16"/>
        </w:rPr>
        <w:t xml:space="preserve"> вошло 9 предприятий, в т.ч. 2 КБ. В 1933г. в составе НКТП созданы ГУ морского судостроения, «</w:t>
      </w:r>
      <w:proofErr w:type="spellStart"/>
      <w:r w:rsidRPr="00A259BD">
        <w:rPr>
          <w:rFonts w:ascii="Times New Roman" w:hAnsi="Times New Roman"/>
          <w:color w:val="000000" w:themeColor="text1"/>
          <w:sz w:val="16"/>
          <w:szCs w:val="16"/>
        </w:rPr>
        <w:t>Главморпром</w:t>
      </w:r>
      <w:proofErr w:type="spellEnd"/>
      <w:r w:rsidRPr="00A259BD">
        <w:rPr>
          <w:rFonts w:ascii="Times New Roman" w:hAnsi="Times New Roman"/>
          <w:color w:val="000000" w:themeColor="text1"/>
          <w:sz w:val="16"/>
          <w:szCs w:val="16"/>
        </w:rPr>
        <w:t>» (8 ССЗ, 1 торпедный завод), и «</w:t>
      </w:r>
      <w:proofErr w:type="spellStart"/>
      <w:r w:rsidRPr="00A259BD">
        <w:rPr>
          <w:rFonts w:ascii="Times New Roman" w:hAnsi="Times New Roman"/>
          <w:color w:val="000000" w:themeColor="text1"/>
          <w:sz w:val="16"/>
          <w:szCs w:val="16"/>
        </w:rPr>
        <w:t>Главречпром</w:t>
      </w:r>
      <w:proofErr w:type="spellEnd"/>
      <w:r w:rsidRPr="00A259BD">
        <w:rPr>
          <w:rFonts w:ascii="Times New Roman" w:hAnsi="Times New Roman"/>
          <w:color w:val="000000" w:themeColor="text1"/>
          <w:sz w:val="16"/>
          <w:szCs w:val="16"/>
        </w:rPr>
        <w:t xml:space="preserve">» (16 верфей). В 1934г. структура НКТП вновь была изменена: в состав ГВМУ входили </w:t>
      </w:r>
      <w:proofErr w:type="spellStart"/>
      <w:r w:rsidRPr="00A259BD">
        <w:rPr>
          <w:rFonts w:ascii="Times New Roman" w:hAnsi="Times New Roman"/>
          <w:color w:val="000000" w:themeColor="text1"/>
          <w:sz w:val="16"/>
          <w:szCs w:val="16"/>
        </w:rPr>
        <w:t>Орударс</w:t>
      </w:r>
      <w:proofErr w:type="spellEnd"/>
      <w:r w:rsidRPr="00A259BD">
        <w:rPr>
          <w:rFonts w:ascii="Times New Roman" w:hAnsi="Times New Roman"/>
          <w:color w:val="000000" w:themeColor="text1"/>
          <w:sz w:val="16"/>
          <w:szCs w:val="16"/>
        </w:rPr>
        <w:t xml:space="preserve"> (4 предприятия), ружейно-пулеметный трест, РУЖ (3), </w:t>
      </w:r>
      <w:proofErr w:type="spellStart"/>
      <w:r w:rsidRPr="00A259BD">
        <w:rPr>
          <w:rFonts w:ascii="Times New Roman" w:hAnsi="Times New Roman"/>
          <w:color w:val="000000" w:themeColor="text1"/>
          <w:sz w:val="16"/>
          <w:szCs w:val="16"/>
        </w:rPr>
        <w:t>Патрубвзрыв</w:t>
      </w:r>
      <w:proofErr w:type="spellEnd"/>
      <w:r w:rsidRPr="00A259BD">
        <w:rPr>
          <w:rFonts w:ascii="Times New Roman" w:hAnsi="Times New Roman"/>
          <w:color w:val="000000" w:themeColor="text1"/>
          <w:sz w:val="16"/>
          <w:szCs w:val="16"/>
        </w:rPr>
        <w:t xml:space="preserve"> (15), снарядный трест (16), </w:t>
      </w:r>
      <w:proofErr w:type="spellStart"/>
      <w:r w:rsidRPr="00A259BD">
        <w:rPr>
          <w:rFonts w:ascii="Times New Roman" w:hAnsi="Times New Roman"/>
          <w:color w:val="000000" w:themeColor="text1"/>
          <w:sz w:val="16"/>
          <w:szCs w:val="16"/>
        </w:rPr>
        <w:t>Спецмаштрест</w:t>
      </w:r>
      <w:proofErr w:type="spellEnd"/>
      <w:r w:rsidRPr="00A259BD">
        <w:rPr>
          <w:rFonts w:ascii="Times New Roman" w:hAnsi="Times New Roman"/>
          <w:color w:val="000000" w:themeColor="text1"/>
          <w:sz w:val="16"/>
          <w:szCs w:val="16"/>
        </w:rPr>
        <w:t xml:space="preserve"> (6), </w:t>
      </w:r>
      <w:proofErr w:type="spellStart"/>
      <w:r w:rsidRPr="00A259BD">
        <w:rPr>
          <w:rFonts w:ascii="Times New Roman" w:hAnsi="Times New Roman"/>
          <w:color w:val="000000" w:themeColor="text1"/>
          <w:sz w:val="16"/>
          <w:szCs w:val="16"/>
        </w:rPr>
        <w:t>Бензоскладстрой</w:t>
      </w:r>
      <w:proofErr w:type="spellEnd"/>
      <w:r w:rsidRPr="00A259BD">
        <w:rPr>
          <w:rFonts w:ascii="Times New Roman" w:hAnsi="Times New Roman"/>
          <w:color w:val="000000" w:themeColor="text1"/>
          <w:sz w:val="16"/>
          <w:szCs w:val="16"/>
        </w:rPr>
        <w:t xml:space="preserve"> (7), строительство (1), полигоны (3); ГВМУ (11), ГУАП (18); всего 94 предприятия. В 1936г. единое ГВМУ НКТП было разделено на ГУ военной промышленности (</w:t>
      </w:r>
      <w:proofErr w:type="spellStart"/>
      <w:r w:rsidRPr="00A259BD">
        <w:rPr>
          <w:rFonts w:ascii="Times New Roman" w:hAnsi="Times New Roman"/>
          <w:color w:val="000000" w:themeColor="text1"/>
          <w:sz w:val="16"/>
          <w:szCs w:val="16"/>
        </w:rPr>
        <w:t>Главвоенпром</w:t>
      </w:r>
      <w:proofErr w:type="spellEnd"/>
      <w:r w:rsidRPr="00A259BD">
        <w:rPr>
          <w:rFonts w:ascii="Times New Roman" w:hAnsi="Times New Roman"/>
          <w:color w:val="000000" w:themeColor="text1"/>
          <w:sz w:val="16"/>
          <w:szCs w:val="16"/>
        </w:rPr>
        <w:t xml:space="preserve">) и ГУ боеприпасов (ГУБ), к которым перешли функции координатора деятельности военных заводов. В 1936г. в состав НКТП входили: </w:t>
      </w:r>
      <w:proofErr w:type="spellStart"/>
      <w:r w:rsidRPr="00A259BD">
        <w:rPr>
          <w:rFonts w:ascii="Times New Roman" w:hAnsi="Times New Roman"/>
          <w:color w:val="000000" w:themeColor="text1"/>
          <w:sz w:val="16"/>
          <w:szCs w:val="16"/>
        </w:rPr>
        <w:t>Главвоенпром</w:t>
      </w:r>
      <w:proofErr w:type="spellEnd"/>
      <w:r w:rsidRPr="00A259BD">
        <w:rPr>
          <w:rFonts w:ascii="Times New Roman" w:hAnsi="Times New Roman"/>
          <w:color w:val="000000" w:themeColor="text1"/>
          <w:sz w:val="16"/>
          <w:szCs w:val="16"/>
        </w:rPr>
        <w:t xml:space="preserve"> (18 предприятий), ГУБ (21), </w:t>
      </w:r>
      <w:proofErr w:type="spellStart"/>
      <w:r w:rsidRPr="00A259BD">
        <w:rPr>
          <w:rFonts w:ascii="Times New Roman" w:hAnsi="Times New Roman"/>
          <w:color w:val="000000" w:themeColor="text1"/>
          <w:sz w:val="16"/>
          <w:szCs w:val="16"/>
        </w:rPr>
        <w:t>Главоргхимпром</w:t>
      </w:r>
      <w:proofErr w:type="spellEnd"/>
      <w:r w:rsidRPr="00A259BD">
        <w:rPr>
          <w:rFonts w:ascii="Times New Roman" w:hAnsi="Times New Roman"/>
          <w:color w:val="000000" w:themeColor="text1"/>
          <w:sz w:val="16"/>
          <w:szCs w:val="16"/>
        </w:rPr>
        <w:t xml:space="preserve"> (4), </w:t>
      </w:r>
      <w:proofErr w:type="spellStart"/>
      <w:r w:rsidRPr="00A259BD">
        <w:rPr>
          <w:rFonts w:ascii="Times New Roman" w:hAnsi="Times New Roman"/>
          <w:color w:val="000000" w:themeColor="text1"/>
          <w:sz w:val="16"/>
          <w:szCs w:val="16"/>
        </w:rPr>
        <w:t>Главазот</w:t>
      </w:r>
      <w:proofErr w:type="spellEnd"/>
      <w:r w:rsidRPr="00A259BD">
        <w:rPr>
          <w:rFonts w:ascii="Times New Roman" w:hAnsi="Times New Roman"/>
          <w:color w:val="000000" w:themeColor="text1"/>
          <w:sz w:val="16"/>
          <w:szCs w:val="16"/>
        </w:rPr>
        <w:t xml:space="preserve"> (4), ГУАП (24); всего 71 предприятие. В состав ГУАП входили тресты: самолетостроительный (11 заводов), моторный (5), подсобный (6), ремонтный (11982).</w:t>
      </w:r>
    </w:p>
    <w:p w14:paraId="44D438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78453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1929-1932 гг. разрабатывал</w:t>
      </w:r>
      <w:r w:rsidRPr="00A259BD">
        <w:rPr>
          <w:rFonts w:ascii="Times New Roman" w:hAnsi="Times New Roman"/>
          <w:color w:val="000000" w:themeColor="text1"/>
          <w:sz w:val="16"/>
          <w:szCs w:val="16"/>
        </w:rPr>
        <w:softHyphen/>
        <w:t>ся и испытывался звездообразный мотор конструкции Ф.В. Концевича М-38, не запускавшийся в серийное производство (11852).</w:t>
      </w:r>
    </w:p>
    <w:p w14:paraId="4D0307D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4FE4C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1929-1930 в ГДЛ создали турбореактивные снаряды (ТРС) калибров 82 мм и 132 мм - вращающиеся за счет истекания газов через </w:t>
      </w:r>
      <w:proofErr w:type="spellStart"/>
      <w:r w:rsidRPr="00A259BD">
        <w:rPr>
          <w:rFonts w:ascii="Times New Roman" w:hAnsi="Times New Roman"/>
          <w:color w:val="000000" w:themeColor="text1"/>
          <w:sz w:val="16"/>
          <w:szCs w:val="16"/>
        </w:rPr>
        <w:t>тангенциональные</w:t>
      </w:r>
      <w:proofErr w:type="spellEnd"/>
      <w:r w:rsidRPr="00A259BD">
        <w:rPr>
          <w:rFonts w:ascii="Times New Roman" w:hAnsi="Times New Roman"/>
          <w:color w:val="000000" w:themeColor="text1"/>
          <w:sz w:val="16"/>
          <w:szCs w:val="16"/>
        </w:rPr>
        <w:t xml:space="preserve"> отверстия. Пусковая - та же труба на подставке или орудийном лафете (1233,23).</w:t>
      </w:r>
    </w:p>
    <w:p w14:paraId="7C083F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377B9A1"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03194A01"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C38CD25" w14:textId="77777777" w:rsidR="003B366D" w:rsidRPr="00A259BD" w:rsidRDefault="003B366D" w:rsidP="009236E3">
      <w:pPr>
        <w:spacing w:after="0" w:line="240" w:lineRule="auto"/>
        <w:jc w:val="both"/>
        <w:rPr>
          <w:rFonts w:ascii="Times New Roman" w:hAnsi="Times New Roman"/>
          <w:color w:val="000000" w:themeColor="text1"/>
          <w:sz w:val="16"/>
          <w:szCs w:val="16"/>
          <w:shd w:val="clear" w:color="auto" w:fill="FFFFFF"/>
        </w:rPr>
      </w:pPr>
      <w:r w:rsidRPr="00A259BD">
        <w:rPr>
          <w:rFonts w:ascii="Times New Roman" w:hAnsi="Times New Roman"/>
          <w:color w:val="000000" w:themeColor="text1"/>
          <w:sz w:val="16"/>
          <w:szCs w:val="16"/>
          <w:shd w:val="clear" w:color="auto" w:fill="FFFFFF"/>
        </w:rPr>
        <w:t xml:space="preserve">В 1929-1930 гг. появляется проект танкетки Т-21, ставшей логическим продолжением Т-17. Т-21, </w:t>
      </w:r>
      <w:proofErr w:type="spellStart"/>
      <w:r w:rsidRPr="00A259BD">
        <w:rPr>
          <w:rFonts w:ascii="Times New Roman" w:hAnsi="Times New Roman"/>
          <w:color w:val="000000" w:themeColor="text1"/>
          <w:sz w:val="16"/>
          <w:szCs w:val="16"/>
          <w:shd w:val="clear" w:color="auto" w:fill="FFFFFF"/>
        </w:rPr>
        <w:t>классифицировавшаяся</w:t>
      </w:r>
      <w:proofErr w:type="spellEnd"/>
      <w:r w:rsidRPr="00A259BD">
        <w:rPr>
          <w:rFonts w:ascii="Times New Roman" w:hAnsi="Times New Roman"/>
          <w:color w:val="000000" w:themeColor="text1"/>
          <w:sz w:val="16"/>
          <w:szCs w:val="16"/>
          <w:shd w:val="clear" w:color="auto" w:fill="FFFFFF"/>
        </w:rPr>
        <w:t xml:space="preserve"> как "малая разведывательная танкетка", очень напоминала Т-17, но имела экипаж в 2 человека, усиленную броню (13 мм) и катки от Т-18. Двигатель мощностью 20 л.с. и трансмиссия заимствовались от Т-17. Но уже на этапе рассмотрения проектных данных скорость ее движения и характеристики преодоления препятствий оказались недостаточными, поэтому проект принят не был (19553).</w:t>
      </w:r>
    </w:p>
    <w:p w14:paraId="2A22FAE8" w14:textId="77777777" w:rsidR="003B366D" w:rsidRPr="00A259BD" w:rsidRDefault="003B366D" w:rsidP="009236E3">
      <w:pPr>
        <w:spacing w:after="0" w:line="240" w:lineRule="auto"/>
        <w:jc w:val="both"/>
        <w:rPr>
          <w:rFonts w:ascii="Times New Roman" w:hAnsi="Times New Roman"/>
          <w:color w:val="000000" w:themeColor="text1"/>
          <w:sz w:val="16"/>
          <w:szCs w:val="16"/>
          <w:shd w:val="clear" w:color="auto" w:fill="FFFFFF"/>
        </w:rPr>
      </w:pPr>
    </w:p>
    <w:p w14:paraId="1B00676E"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1929-1934 гг., суммы закупок в Англии, Германии, США и Франции, а также доля каждой из этих стран в общем объёме советского импорта машин и оборудования [533]:</w:t>
      </w:r>
    </w:p>
    <w:tbl>
      <w:tblPr>
        <w:tblW w:w="5813" w:type="dxa"/>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21"/>
        <w:gridCol w:w="795"/>
        <w:gridCol w:w="550"/>
        <w:gridCol w:w="614"/>
        <w:gridCol w:w="550"/>
        <w:gridCol w:w="614"/>
        <w:gridCol w:w="550"/>
        <w:gridCol w:w="614"/>
        <w:gridCol w:w="550"/>
        <w:gridCol w:w="355"/>
      </w:tblGrid>
      <w:tr w:rsidR="00A259BD" w:rsidRPr="00A259BD" w14:paraId="534D9A13" w14:textId="77777777" w:rsidTr="001C3F7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98CB5EF"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C7CE6"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w:t>
            </w:r>
          </w:p>
        </w:tc>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13C04CC3"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том числе в</w:t>
            </w:r>
          </w:p>
        </w:tc>
      </w:tr>
      <w:tr w:rsidR="00A259BD" w:rsidRPr="00A259BD" w14:paraId="3B6071D4" w14:textId="77777777" w:rsidTr="001C3F7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31C9E72" w14:textId="77777777" w:rsidR="003B366D" w:rsidRPr="00A259BD" w:rsidRDefault="003B366D" w:rsidP="009236E3">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F7698F"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закуплено,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D996D3D"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Англии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2009247"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Германии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F894D2"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США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D720CC4"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Франции</w:t>
            </w:r>
          </w:p>
        </w:tc>
      </w:tr>
      <w:tr w:rsidR="00A259BD" w:rsidRPr="00A259BD" w14:paraId="1BCFDC88"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FB9573"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148E6"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67D97"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доля,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CE21E"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B980D"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доля,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50E01"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709B1"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доля,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B9028"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64BF6"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доля, %</w:t>
            </w:r>
          </w:p>
        </w:tc>
        <w:tc>
          <w:tcPr>
            <w:tcW w:w="0" w:type="auto"/>
            <w:vAlign w:val="center"/>
            <w:hideMark/>
          </w:tcPr>
          <w:p w14:paraId="19ACF8C2" w14:textId="77777777" w:rsidR="003B366D" w:rsidRPr="00A259BD" w:rsidRDefault="003B366D" w:rsidP="009236E3">
            <w:pPr>
              <w:spacing w:after="0" w:line="240" w:lineRule="auto"/>
              <w:jc w:val="both"/>
              <w:rPr>
                <w:rFonts w:ascii="Times New Roman" w:hAnsi="Times New Roman"/>
                <w:color w:val="000000" w:themeColor="text1"/>
                <w:sz w:val="16"/>
                <w:szCs w:val="16"/>
              </w:rPr>
            </w:pPr>
          </w:p>
        </w:tc>
      </w:tr>
      <w:tr w:rsidR="00A259BD" w:rsidRPr="00A259BD" w14:paraId="1B55FA97"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4C0DC6"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91987"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923 255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53D83"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65 845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5B2E5"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CA8AD"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366 186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FB223"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1D8E2"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262 581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A2CB8"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267C8"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33 983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454CC"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3,68</w:t>
            </w:r>
          </w:p>
        </w:tc>
      </w:tr>
      <w:tr w:rsidR="00A259BD" w:rsidRPr="00A259BD" w14:paraId="6413B853"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7B3C96"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01624"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1 726 561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E4023"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100 215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F6F7B"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4A9C2"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571 822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15CDB"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40E2F"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718 093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0E5A2"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65968"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39 241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0D7CD"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2,27</w:t>
            </w:r>
          </w:p>
        </w:tc>
      </w:tr>
      <w:tr w:rsidR="00A259BD" w:rsidRPr="00A259BD" w14:paraId="6635418D"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9334B9"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A7E9E"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2 076 197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82BF9"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132 328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BA840"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29351"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825 424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A4BC3"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960AA"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755 648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E3804"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7DEA0"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21 373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46C8E"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1,03</w:t>
            </w:r>
          </w:p>
        </w:tc>
      </w:tr>
      <w:tr w:rsidR="00A259BD" w:rsidRPr="00A259BD" w14:paraId="571C7114"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20A061"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58122"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1 366 946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7AB4C"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209 824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37A6C"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C45B9"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772 761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B7E6F"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E32F4"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96 024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59130"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F8A0D"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FBD42"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0,70</w:t>
            </w:r>
          </w:p>
        </w:tc>
      </w:tr>
      <w:tr w:rsidR="00A259BD" w:rsidRPr="00A259BD" w14:paraId="62AA5629"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2AFFE0"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73EFF"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521 891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8719D"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49 729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B57A0"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9,53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D4DF5"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325 467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4945F"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CD301"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24 359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7CD0B"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1E640"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B1B7D"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1,36</w:t>
            </w:r>
          </w:p>
        </w:tc>
      </w:tr>
      <w:tr w:rsidR="00A259BD" w:rsidRPr="00A259BD" w14:paraId="431718C5"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B8553C"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ABFAE"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202 900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84ABC"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7BD95"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0A1D9"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62 983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DB574"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7291D"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39 217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10EAE"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D1E8C"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6 362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9CC16"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3,14</w:t>
            </w:r>
          </w:p>
        </w:tc>
      </w:tr>
    </w:tbl>
    <w:p w14:paraId="681E20EB"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Как видим, в начале 1930-х годов ввоз промышленного оборудования в нашу страну достигает рекордного уровня. При этом основными поставщиками являлись Германия, предоставившая в 1931 году Советскому Союзу кредит на сумму 300 млн марок [534], а также Соединённые Штаты.</w:t>
      </w:r>
    </w:p>
    <w:p w14:paraId="66E1D207"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Доля машин и оборудования в советском импорте, % [535]:</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5"/>
        <w:gridCol w:w="925"/>
        <w:gridCol w:w="807"/>
        <w:gridCol w:w="962"/>
        <w:gridCol w:w="633"/>
        <w:gridCol w:w="924"/>
      </w:tblGrid>
      <w:tr w:rsidR="00A259BD" w:rsidRPr="00A259BD" w14:paraId="17316417"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433DA6"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0BA62"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Весь 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B1A77"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Ан глии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33FCB"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Гер мании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30C2F"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США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7652D"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из </w:t>
            </w:r>
            <w:proofErr w:type="spellStart"/>
            <w:r w:rsidRPr="00A259BD">
              <w:rPr>
                <w:rFonts w:ascii="Times New Roman" w:hAnsi="Times New Roman"/>
                <w:color w:val="000000" w:themeColor="text1"/>
                <w:sz w:val="16"/>
                <w:szCs w:val="16"/>
              </w:rPr>
              <w:t>Фран</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ции</w:t>
            </w:r>
            <w:proofErr w:type="spellEnd"/>
          </w:p>
        </w:tc>
      </w:tr>
      <w:tr w:rsidR="00A259BD" w:rsidRPr="00A259BD" w14:paraId="77B8DDEA"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D979D4"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3B20E"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2761C"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A04C2"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57899"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02B45"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30,78</w:t>
            </w:r>
          </w:p>
        </w:tc>
      </w:tr>
      <w:tr w:rsidR="00A259BD" w:rsidRPr="00A259BD" w14:paraId="69DD87AD"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2650EC"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B2B66"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46,79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CD4B4"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8BF8E"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96CFA"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663C0"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37,90</w:t>
            </w:r>
          </w:p>
        </w:tc>
      </w:tr>
      <w:tr w:rsidR="00A259BD" w:rsidRPr="00A259BD" w14:paraId="192863D6"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AAEA43"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9F431"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9CC5A"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15649"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81432"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BAEA8"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40,89</w:t>
            </w:r>
          </w:p>
        </w:tc>
      </w:tr>
      <w:tr w:rsidR="00A259BD" w:rsidRPr="00A259BD" w14:paraId="6E71FCDD"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8AC582"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7F1FC"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AF74A"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D81D6"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AD22C"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87,01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DBD3F"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63,12</w:t>
            </w:r>
          </w:p>
        </w:tc>
      </w:tr>
      <w:tr w:rsidR="00A259BD" w:rsidRPr="00A259BD" w14:paraId="43731459"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FEA88B"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49285"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5D0BC"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57CAA"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C3A5C"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7A288"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39,00</w:t>
            </w:r>
          </w:p>
        </w:tc>
      </w:tr>
      <w:tr w:rsidR="00A259BD" w:rsidRPr="00A259BD" w14:paraId="17B34180"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E0651D"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3C7A7"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F1B65"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AE7B4"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7C173"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5498C"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15,71</w:t>
            </w:r>
          </w:p>
        </w:tc>
      </w:tr>
    </w:tbl>
    <w:p w14:paraId="52E48378"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После прихода Гитлера к власти советско-германская торговля начинает сокращаться.</w:t>
      </w:r>
    </w:p>
    <w:p w14:paraId="239486BC"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Объём советской внешней торговли, млн руб. (по курсу 1 марта 1950 года) [536]:</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5"/>
        <w:gridCol w:w="630"/>
        <w:gridCol w:w="1309"/>
        <w:gridCol w:w="593"/>
        <w:gridCol w:w="1323"/>
      </w:tblGrid>
      <w:tr w:rsidR="00A259BD" w:rsidRPr="00A259BD" w14:paraId="488A454D"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01A29B"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7D2A7"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Экспорт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908F1"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т.ч. в Гер манию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8C8D7"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D97ED"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т.ч. из Германии</w:t>
            </w:r>
          </w:p>
        </w:tc>
      </w:tr>
      <w:tr w:rsidR="00A259BD" w:rsidRPr="00A259BD" w14:paraId="3F3E1193"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916B84"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6B146"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B89E6"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5EA43"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8DE8A"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1142,1</w:t>
            </w:r>
          </w:p>
        </w:tc>
      </w:tr>
      <w:tr w:rsidR="00A259BD" w:rsidRPr="00A259BD" w14:paraId="74E45B05"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350C25"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FB5D1"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EEC9D"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82D23"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852FB"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515,9</w:t>
            </w:r>
          </w:p>
        </w:tc>
      </w:tr>
      <w:tr w:rsidR="00A259BD" w:rsidRPr="00A259BD" w14:paraId="7A1DDF00"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84C7F9"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890B8"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4C706"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40567"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FFA31"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100,2</w:t>
            </w:r>
          </w:p>
        </w:tc>
      </w:tr>
      <w:tr w:rsidR="00A259BD" w:rsidRPr="00A259BD" w14:paraId="72A5675B"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00F27C"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37702"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95A26"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43626"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E418B"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75,6</w:t>
            </w:r>
          </w:p>
        </w:tc>
      </w:tr>
      <w:tr w:rsidR="00A259BD" w:rsidRPr="00A259BD" w14:paraId="272BFD6A"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7B038C"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3E481"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2101E"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10DEB"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F9AA2"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245,4</w:t>
            </w:r>
          </w:p>
        </w:tc>
      </w:tr>
      <w:tr w:rsidR="00A259BD" w:rsidRPr="00A259BD" w14:paraId="05407FAB"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A586B3"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D6DE6"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DE779"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5DB68"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F0570"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151,3</w:t>
            </w:r>
          </w:p>
        </w:tc>
      </w:tr>
      <w:tr w:rsidR="00A259BD" w:rsidRPr="00A259BD" w14:paraId="09437953"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6E7EC4"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1EF29"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0B615"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63AB0"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663E8"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50,7</w:t>
            </w:r>
          </w:p>
        </w:tc>
      </w:tr>
    </w:tbl>
    <w:p w14:paraId="7C9227E9"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Объём советско-германской торговли, млн марок [537]:</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5"/>
        <w:gridCol w:w="1493"/>
        <w:gridCol w:w="1494"/>
        <w:gridCol w:w="1031"/>
      </w:tblGrid>
      <w:tr w:rsidR="00A259BD" w:rsidRPr="00A259BD" w14:paraId="5136EF60"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120FC8"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42221"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Экспорт в Германию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E27D9"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Импорт из Германии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BA432"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Товарооборот</w:t>
            </w:r>
          </w:p>
        </w:tc>
      </w:tr>
      <w:tr w:rsidR="00A259BD" w:rsidRPr="00A259BD" w14:paraId="462CF0B8"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8A0E37"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033BE"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DB8BE"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53E1E"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1065,8</w:t>
            </w:r>
          </w:p>
        </w:tc>
      </w:tr>
      <w:tr w:rsidR="00A259BD" w:rsidRPr="00A259BD" w14:paraId="09CDAF87"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1BAB4B"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73E07"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36DF4"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E1A8F"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896,7</w:t>
            </w:r>
          </w:p>
        </w:tc>
      </w:tr>
      <w:tr w:rsidR="00A259BD" w:rsidRPr="00A259BD" w14:paraId="57D65EB3"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D37DC6"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CE374"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EC0C5"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60122"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476,3</w:t>
            </w:r>
          </w:p>
        </w:tc>
      </w:tr>
      <w:tr w:rsidR="00A259BD" w:rsidRPr="00A259BD" w14:paraId="5FE95B00"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FBE1B3"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E86B7"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2E988"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5D216"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286,3</w:t>
            </w:r>
          </w:p>
        </w:tc>
      </w:tr>
      <w:tr w:rsidR="00A259BD" w:rsidRPr="00A259BD" w14:paraId="03D66F75"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54F402"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1B583"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D32B1"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E6A72"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241,0</w:t>
            </w:r>
          </w:p>
        </w:tc>
      </w:tr>
      <w:tr w:rsidR="00A259BD" w:rsidRPr="00A259BD" w14:paraId="17A6446E"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7E9F63"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58889"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3B502"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3BAE8"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219,3</w:t>
            </w:r>
          </w:p>
        </w:tc>
      </w:tr>
      <w:tr w:rsidR="00A259BD" w:rsidRPr="00A259BD" w14:paraId="05E0195A"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9BE3E2"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25095"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A4B28"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20E01"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182,5</w:t>
            </w:r>
          </w:p>
        </w:tc>
      </w:tr>
    </w:tbl>
    <w:p w14:paraId="01395523" w14:textId="77777777" w:rsidR="003B366D" w:rsidRPr="00A259BD" w:rsidRDefault="003B366D" w:rsidP="009236E3">
      <w:pPr>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(18279)</w:t>
      </w:r>
    </w:p>
    <w:p w14:paraId="0F83BF1D" w14:textId="77777777" w:rsidR="003B366D" w:rsidRPr="00A259BD" w:rsidRDefault="003B366D" w:rsidP="009236E3">
      <w:pPr>
        <w:spacing w:after="0" w:line="240" w:lineRule="auto"/>
        <w:jc w:val="both"/>
        <w:rPr>
          <w:rFonts w:ascii="Times New Roman" w:hAnsi="Times New Roman"/>
          <w:color w:val="000000" w:themeColor="text1"/>
          <w:sz w:val="16"/>
          <w:szCs w:val="16"/>
        </w:rPr>
      </w:pPr>
    </w:p>
    <w:p w14:paraId="4C477322"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1929-1930 гг. появляется проект танкетки Т-21, </w:t>
      </w:r>
      <w:proofErr w:type="spellStart"/>
      <w:r w:rsidRPr="00A259BD">
        <w:rPr>
          <w:rFonts w:ascii="Times New Roman" w:hAnsi="Times New Roman"/>
          <w:color w:val="000000" w:themeColor="text1"/>
          <w:sz w:val="16"/>
          <w:szCs w:val="16"/>
        </w:rPr>
        <w:t>клас</w:t>
      </w:r>
      <w:r w:rsidRPr="00A259BD">
        <w:rPr>
          <w:rFonts w:ascii="Times New Roman" w:hAnsi="Times New Roman"/>
          <w:color w:val="000000" w:themeColor="text1"/>
          <w:sz w:val="16"/>
          <w:szCs w:val="16"/>
        </w:rPr>
        <w:softHyphen/>
        <w:t>сифицировавшейся</w:t>
      </w:r>
      <w:proofErr w:type="spellEnd"/>
      <w:r w:rsidRPr="00A259BD">
        <w:rPr>
          <w:rFonts w:ascii="Times New Roman" w:hAnsi="Times New Roman"/>
          <w:color w:val="000000" w:themeColor="text1"/>
          <w:sz w:val="16"/>
          <w:szCs w:val="16"/>
        </w:rPr>
        <w:t xml:space="preserve"> как “малая разведывательная танкет</w:t>
      </w:r>
      <w:r w:rsidRPr="00A259BD">
        <w:rPr>
          <w:rFonts w:ascii="Times New Roman" w:hAnsi="Times New Roman"/>
          <w:color w:val="000000" w:themeColor="text1"/>
          <w:sz w:val="16"/>
          <w:szCs w:val="16"/>
        </w:rPr>
        <w:softHyphen/>
        <w:t>ка”. Она имела экипаж из 2 человек, усиленную броню (толщиной 13 мм) и катки от Т-18. Двигатель мощностью 20 л.с. и трансмиссия заимствовались от Т-17. Но уже на этапе рассмотрения проектных данных скорость ее движе</w:t>
      </w:r>
      <w:r w:rsidRPr="00A259BD">
        <w:rPr>
          <w:rFonts w:ascii="Times New Roman" w:hAnsi="Times New Roman"/>
          <w:color w:val="000000" w:themeColor="text1"/>
          <w:sz w:val="16"/>
          <w:szCs w:val="16"/>
        </w:rPr>
        <w:softHyphen/>
        <w:t>ния и характеристики преодоления препятствий показа</w:t>
      </w:r>
      <w:r w:rsidRPr="00A259BD">
        <w:rPr>
          <w:rFonts w:ascii="Times New Roman" w:hAnsi="Times New Roman"/>
          <w:color w:val="000000" w:themeColor="text1"/>
          <w:sz w:val="16"/>
          <w:szCs w:val="16"/>
        </w:rPr>
        <w:softHyphen/>
        <w:t>лись недостаточными, поэтому проект принят не был (10733,101).</w:t>
      </w:r>
    </w:p>
    <w:p w14:paraId="6C18BC26"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F6E968"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1929-1930 гг. по заданию штаба РККА и с учетом опыта работ над Т-17 появляются проекты двухместных танкеток Т-22 и Т-23, </w:t>
      </w:r>
      <w:proofErr w:type="spellStart"/>
      <w:r w:rsidRPr="00A259BD">
        <w:rPr>
          <w:rFonts w:ascii="Times New Roman" w:hAnsi="Times New Roman"/>
          <w:color w:val="000000" w:themeColor="text1"/>
          <w:sz w:val="16"/>
          <w:szCs w:val="16"/>
        </w:rPr>
        <w:t>классифицировавшихся</w:t>
      </w:r>
      <w:proofErr w:type="spellEnd"/>
      <w:r w:rsidRPr="00A259BD">
        <w:rPr>
          <w:rFonts w:ascii="Times New Roman" w:hAnsi="Times New Roman"/>
          <w:color w:val="000000" w:themeColor="text1"/>
          <w:sz w:val="16"/>
          <w:szCs w:val="16"/>
        </w:rPr>
        <w:t xml:space="preserve"> как “большая танкетка сопровождения”. Их отличия состояли в двигательной уста</w:t>
      </w:r>
      <w:r w:rsidRPr="00A259BD">
        <w:rPr>
          <w:rFonts w:ascii="Times New Roman" w:hAnsi="Times New Roman"/>
          <w:color w:val="000000" w:themeColor="text1"/>
          <w:sz w:val="16"/>
          <w:szCs w:val="16"/>
        </w:rPr>
        <w:softHyphen/>
        <w:t xml:space="preserve">новке (Т-22 проектировалась под оригинальный </w:t>
      </w:r>
      <w:proofErr w:type="spellStart"/>
      <w:r w:rsidRPr="00A259BD">
        <w:rPr>
          <w:rFonts w:ascii="Times New Roman" w:hAnsi="Times New Roman"/>
          <w:color w:val="000000" w:themeColor="text1"/>
          <w:sz w:val="16"/>
          <w:szCs w:val="16"/>
        </w:rPr>
        <w:t>четырехци-линдровый</w:t>
      </w:r>
      <w:proofErr w:type="spellEnd"/>
      <w:r w:rsidRPr="00A259BD">
        <w:rPr>
          <w:rFonts w:ascii="Times New Roman" w:hAnsi="Times New Roman"/>
          <w:color w:val="000000" w:themeColor="text1"/>
          <w:sz w:val="16"/>
          <w:szCs w:val="16"/>
        </w:rPr>
        <w:t xml:space="preserve"> двигатель, а Т-23 под двигатель танка Т-20), а также в размещении членов экипажа (на Т-22 они размеша</w:t>
      </w:r>
      <w:r w:rsidRPr="00A259BD">
        <w:rPr>
          <w:rFonts w:ascii="Times New Roman" w:hAnsi="Times New Roman"/>
          <w:color w:val="000000" w:themeColor="text1"/>
          <w:sz w:val="16"/>
          <w:szCs w:val="16"/>
        </w:rPr>
        <w:softHyphen/>
        <w:t>лись “в затылок”, а на Т-23 — в ряд). Каждый проект обладал своими достоинствами и недостатками, но для изготовления выбрали Т-23 как наиболее дешевый и реальный в построй</w:t>
      </w:r>
      <w:r w:rsidRPr="00A259BD">
        <w:rPr>
          <w:rFonts w:ascii="Times New Roman" w:hAnsi="Times New Roman"/>
          <w:color w:val="000000" w:themeColor="text1"/>
          <w:sz w:val="16"/>
          <w:szCs w:val="16"/>
        </w:rPr>
        <w:softHyphen/>
        <w:t xml:space="preserve">ке. Первый образец Т-23 имел корпус из простого железа и двигатель от Т-18 (40 </w:t>
      </w:r>
      <w:proofErr w:type="spellStart"/>
      <w:r w:rsidRPr="00A259BD">
        <w:rPr>
          <w:rFonts w:ascii="Times New Roman" w:hAnsi="Times New Roman"/>
          <w:color w:val="000000" w:themeColor="text1"/>
          <w:sz w:val="16"/>
          <w:szCs w:val="16"/>
        </w:rPr>
        <w:t>л.с</w:t>
      </w:r>
      <w:proofErr w:type="spellEnd"/>
      <w:r w:rsidRPr="00A259BD">
        <w:rPr>
          <w:rFonts w:ascii="Times New Roman" w:hAnsi="Times New Roman"/>
          <w:color w:val="000000" w:themeColor="text1"/>
          <w:sz w:val="16"/>
          <w:szCs w:val="16"/>
        </w:rPr>
        <w:t>), но для второго передали двигатель от недостроенного Т-20 и заказали еще четыре. Изготовля</w:t>
      </w:r>
      <w:r w:rsidRPr="00A259BD">
        <w:rPr>
          <w:rFonts w:ascii="Times New Roman" w:hAnsi="Times New Roman"/>
          <w:color w:val="000000" w:themeColor="text1"/>
          <w:sz w:val="16"/>
          <w:szCs w:val="16"/>
        </w:rPr>
        <w:softHyphen/>
        <w:t>лись все танкетки на 2-м автозаводе ВАТО (директор — С. Иванов), причем работы по Т-23 были проведены там в сжатые сроки и с хорошим качеством. Однако при изготов</w:t>
      </w:r>
      <w:r w:rsidRPr="00A259BD">
        <w:rPr>
          <w:rFonts w:ascii="Times New Roman" w:hAnsi="Times New Roman"/>
          <w:color w:val="000000" w:themeColor="text1"/>
          <w:sz w:val="16"/>
          <w:szCs w:val="16"/>
        </w:rPr>
        <w:softHyphen/>
        <w:t>лении танкетка подверглась многочисленным доработкам, что изменило ее почти неузнаваемо. Длина корпуса была увеличена почти на 300 мм. Вместо опорных и поддержива</w:t>
      </w:r>
      <w:r w:rsidRPr="00A259BD">
        <w:rPr>
          <w:rFonts w:ascii="Times New Roman" w:hAnsi="Times New Roman"/>
          <w:color w:val="000000" w:themeColor="text1"/>
          <w:sz w:val="16"/>
          <w:szCs w:val="16"/>
        </w:rPr>
        <w:softHyphen/>
        <w:t>ющих катков Т-18 применили таковые от Т-19. Ввели новую облегченную гусеницу с новым ведущим колесом, посколь</w:t>
      </w:r>
      <w:r w:rsidRPr="00A259BD">
        <w:rPr>
          <w:rFonts w:ascii="Times New Roman" w:hAnsi="Times New Roman"/>
          <w:color w:val="000000" w:themeColor="text1"/>
          <w:sz w:val="16"/>
          <w:szCs w:val="16"/>
        </w:rPr>
        <w:softHyphen/>
        <w:t>ку старые не обеспечивали достижение скорости движения 40 км/ч. Однако даже такой улучшенный вариант танкетки оказался неудовлетворительным, поскольку по цене был сравним с танком Т-18, а версия, оснащенная башней, даже превысила ее (около 59 тыс. руб. без вооружения), что не по</w:t>
      </w:r>
      <w:r w:rsidRPr="00A259BD">
        <w:rPr>
          <w:rFonts w:ascii="Times New Roman" w:hAnsi="Times New Roman"/>
          <w:color w:val="000000" w:themeColor="text1"/>
          <w:sz w:val="16"/>
          <w:szCs w:val="16"/>
        </w:rPr>
        <w:softHyphen/>
        <w:t>зволяло развернуть их массовое производство (10733,101).</w:t>
      </w:r>
    </w:p>
    <w:p w14:paraId="1A64E7F7"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23B6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1929-30 г. начал строиться НКМЗ. Железнодорожная артустановка ТГ-1 калибра 500 мм.</w:t>
      </w:r>
    </w:p>
    <w:p w14:paraId="711D99E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войну был эвакуирован в г. Юргу Кемеровской обл.</w:t>
      </w:r>
    </w:p>
    <w:p w14:paraId="17A521D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1960-е г.- испытания установочного агрегата РН “Протон”.</w:t>
      </w:r>
    </w:p>
    <w:p w14:paraId="3510B59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Имелось спецпроизводство по выпуску РКТ. Численность его персонала (1952 г.)- 970 чел., (1972 г.)- 3825 чел.77 </w:t>
      </w:r>
    </w:p>
    <w:p w14:paraId="5D130B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Создано: ПУ на ж/д платформе для МКР “Буря” (гл. конструктор- В.И. Капустинский, 1950-е), наземный стартовый комплекс для КР М-40 “Буран”,59 буксируемая ПУ СТ-10 для самолета-снаряда Ту-121.3 </w:t>
      </w:r>
    </w:p>
    <w:p w14:paraId="3EBEDF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Ново-</w:t>
      </w:r>
      <w:proofErr w:type="spellStart"/>
      <w:r w:rsidRPr="00A259BD">
        <w:rPr>
          <w:rFonts w:ascii="Times New Roman" w:hAnsi="Times New Roman"/>
          <w:color w:val="000000" w:themeColor="text1"/>
          <w:sz w:val="16"/>
          <w:szCs w:val="16"/>
        </w:rPr>
        <w:t>Краматорский</w:t>
      </w:r>
      <w:proofErr w:type="spellEnd"/>
      <w:r w:rsidRPr="00A259BD">
        <w:rPr>
          <w:rFonts w:ascii="Times New Roman" w:hAnsi="Times New Roman"/>
          <w:color w:val="000000" w:themeColor="text1"/>
          <w:sz w:val="16"/>
          <w:szCs w:val="16"/>
        </w:rPr>
        <w:t xml:space="preserve"> машиностроительный завод (НКМЗ) им. В.И. Ленина</w:t>
      </w:r>
    </w:p>
    <w:p w14:paraId="3B9959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Украина г. Краматорск Донецкой обл.</w:t>
      </w:r>
    </w:p>
    <w:p w14:paraId="0502E4E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B14C2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 1929 года по 1941 год проводилась большая реконструкция завода № 11 (в будущем Министерства общего машиностроения).</w:t>
      </w:r>
    </w:p>
    <w:p w14:paraId="4688756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Адрес: Краснозаводск Московской области, п/я 3</w:t>
      </w:r>
    </w:p>
    <w:p w14:paraId="7C0C5A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Начальник завода – Поляков</w:t>
      </w:r>
    </w:p>
    <w:p w14:paraId="00EEB8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Территория, которую занимает завод ранее принадлежала Троице-Сергиевской Лавре, последняя незадолго до продажи этой земли государству, купила у помещика Зубкова.</w:t>
      </w:r>
    </w:p>
    <w:p w14:paraId="613BB2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этой территории работала небольшая прядильная фабрика братьев Медниковых.</w:t>
      </w:r>
    </w:p>
    <w:p w14:paraId="4A313FA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Начало строительства завода относится к осени 1915 года. Весной 1917 года завод начал работать. С 16 октября 1941 года завод прекратил работу и эвакуировал все оборудование на Восток. С 18 ноября 1941 года началось восстановление завода и частично возобновилось производство.</w:t>
      </w:r>
    </w:p>
    <w:p w14:paraId="5E62B9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Нормально завод начал работать с 1942 года. С 1917 по 1920 гг. завод носил название “Троицкий снаряжательный завод”. В 1920 году был переименован и до 1927 года имел название “Завод Красная ракета”. В 1927 году завод был вновь переименован и получил название “Сергиевский завод № 11”, позднее, в 1932 году слово “Сергиевский” из наименования завода было изъято.</w:t>
      </w:r>
    </w:p>
    <w:p w14:paraId="0C6B0F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Поселок завода с 1940 года стал именоваться городом Краснозаводск (10023).</w:t>
      </w:r>
    </w:p>
    <w:p w14:paraId="023A626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DE7C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1929-30 г. ОТБ был испытан танк «Рено», управляемый по кабелю, в 1931-32 г.- радиоуправляемый МС-1. В 1932 г. испытан Т-26, оснащенный аппаратурой «Мост-1», а затем «Река-1» и «Река- 2». В 1933 г. испытан </w:t>
      </w:r>
      <w:proofErr w:type="spellStart"/>
      <w:r w:rsidRPr="00A259BD">
        <w:rPr>
          <w:rFonts w:ascii="Times New Roman" w:hAnsi="Times New Roman"/>
          <w:color w:val="000000" w:themeColor="text1"/>
          <w:sz w:val="16"/>
          <w:szCs w:val="16"/>
        </w:rPr>
        <w:t>телетанк</w:t>
      </w:r>
      <w:proofErr w:type="spellEnd"/>
      <w:r w:rsidRPr="00A259BD">
        <w:rPr>
          <w:rFonts w:ascii="Times New Roman" w:hAnsi="Times New Roman"/>
          <w:color w:val="000000" w:themeColor="text1"/>
          <w:sz w:val="16"/>
          <w:szCs w:val="16"/>
        </w:rPr>
        <w:t xml:space="preserve"> ТТ-18. В 1934 г. работа «Титан» по разработке ТТ-26,. оснащенного огнеметом и прибором пуска ОВ (в 1935-36 г. построена серия из 55 машин). В 1938 г. создан ТТ-ТУ с подрывным зарядом. В 1938-39 г.- танк А-7 на базе БТ-7, оснащен прибором пуска </w:t>
      </w:r>
      <w:r w:rsidRPr="00A259BD">
        <w:rPr>
          <w:rFonts w:ascii="Times New Roman" w:hAnsi="Times New Roman"/>
          <w:color w:val="000000" w:themeColor="text1"/>
          <w:sz w:val="16"/>
          <w:szCs w:val="16"/>
          <w:lang w:val="en-US"/>
        </w:rPr>
        <w:t>OB</w:t>
      </w:r>
      <w:r w:rsidRPr="00A259BD">
        <w:rPr>
          <w:rFonts w:ascii="Times New Roman" w:hAnsi="Times New Roman"/>
          <w:color w:val="000000" w:themeColor="text1"/>
          <w:sz w:val="16"/>
          <w:szCs w:val="16"/>
        </w:rPr>
        <w:t xml:space="preserve"> КС-60. Работы по телемеханическому танку «Ветер» на базе Т-37А (11982).</w:t>
      </w:r>
    </w:p>
    <w:p w14:paraId="366323C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460ECC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1929-1934 гг. осуществлялись массовые закупки машин и оборудования.</w:t>
      </w:r>
    </w:p>
    <w:p w14:paraId="656853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Общие суммы советских закупок машин и оборудования в 1929-1934 гг., суммы закупок в Англии, Германии, США и Франции, а также доля каждой из этих стран в общем объёме советского импорта машин и оборудования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460"/>
        <w:gridCol w:w="2619"/>
        <w:gridCol w:w="883"/>
        <w:gridCol w:w="686"/>
        <w:gridCol w:w="883"/>
        <w:gridCol w:w="686"/>
        <w:gridCol w:w="883"/>
        <w:gridCol w:w="686"/>
        <w:gridCol w:w="883"/>
        <w:gridCol w:w="686"/>
      </w:tblGrid>
      <w:tr w:rsidR="00A259BD" w:rsidRPr="00A259BD" w14:paraId="0C51AE7D" w14:textId="77777777" w:rsidTr="00F547C5">
        <w:tc>
          <w:tcPr>
            <w:tcW w:w="460" w:type="dxa"/>
            <w:tcBorders>
              <w:top w:val="single" w:sz="12" w:space="0" w:color="000000"/>
            </w:tcBorders>
          </w:tcPr>
          <w:p w14:paraId="6E5655B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Год</w:t>
            </w:r>
          </w:p>
        </w:tc>
        <w:tc>
          <w:tcPr>
            <w:tcW w:w="2619" w:type="dxa"/>
            <w:tcBorders>
              <w:top w:val="single" w:sz="12" w:space="0" w:color="000000"/>
            </w:tcBorders>
          </w:tcPr>
          <w:p w14:paraId="01233FC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Всего закуплено, тыс. руб.</w:t>
            </w:r>
          </w:p>
        </w:tc>
        <w:tc>
          <w:tcPr>
            <w:tcW w:w="883" w:type="dxa"/>
            <w:gridSpan w:val="8"/>
            <w:tcBorders>
              <w:top w:val="single" w:sz="12" w:space="0" w:color="000000"/>
            </w:tcBorders>
          </w:tcPr>
          <w:p w14:paraId="40515C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том числе в</w:t>
            </w:r>
          </w:p>
        </w:tc>
      </w:tr>
      <w:tr w:rsidR="00A259BD" w:rsidRPr="00A259BD" w14:paraId="63E9F888" w14:textId="77777777" w:rsidTr="00F547C5">
        <w:tc>
          <w:tcPr>
            <w:tcW w:w="460" w:type="dxa"/>
          </w:tcPr>
          <w:p w14:paraId="349FA7A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19" w:type="dxa"/>
          </w:tcPr>
          <w:p w14:paraId="6BEFC55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83" w:type="dxa"/>
            <w:gridSpan w:val="2"/>
          </w:tcPr>
          <w:p w14:paraId="6872E80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Англии</w:t>
            </w:r>
          </w:p>
        </w:tc>
        <w:tc>
          <w:tcPr>
            <w:tcW w:w="883" w:type="dxa"/>
            <w:gridSpan w:val="2"/>
          </w:tcPr>
          <w:p w14:paraId="1B3D63B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Германии</w:t>
            </w:r>
          </w:p>
        </w:tc>
        <w:tc>
          <w:tcPr>
            <w:tcW w:w="883" w:type="dxa"/>
            <w:gridSpan w:val="2"/>
          </w:tcPr>
          <w:p w14:paraId="1D2621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США</w:t>
            </w:r>
          </w:p>
        </w:tc>
        <w:tc>
          <w:tcPr>
            <w:tcW w:w="883" w:type="dxa"/>
            <w:gridSpan w:val="2"/>
          </w:tcPr>
          <w:p w14:paraId="5ADCCE7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Франции</w:t>
            </w:r>
          </w:p>
        </w:tc>
      </w:tr>
      <w:tr w:rsidR="00A259BD" w:rsidRPr="00A259BD" w14:paraId="610A0303" w14:textId="77777777">
        <w:tc>
          <w:tcPr>
            <w:tcW w:w="460" w:type="dxa"/>
          </w:tcPr>
          <w:p w14:paraId="21F06D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619" w:type="dxa"/>
          </w:tcPr>
          <w:p w14:paraId="1FB5BB8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9E7AD6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тыс. руб.</w:t>
            </w:r>
          </w:p>
        </w:tc>
        <w:tc>
          <w:tcPr>
            <w:tcW w:w="686" w:type="dxa"/>
          </w:tcPr>
          <w:p w14:paraId="67F49C0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доля, %</w:t>
            </w:r>
          </w:p>
        </w:tc>
        <w:tc>
          <w:tcPr>
            <w:tcW w:w="883" w:type="dxa"/>
          </w:tcPr>
          <w:p w14:paraId="2E121D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тыс. руб.</w:t>
            </w:r>
          </w:p>
        </w:tc>
        <w:tc>
          <w:tcPr>
            <w:tcW w:w="686" w:type="dxa"/>
          </w:tcPr>
          <w:p w14:paraId="0802550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доля, %</w:t>
            </w:r>
          </w:p>
        </w:tc>
        <w:tc>
          <w:tcPr>
            <w:tcW w:w="883" w:type="dxa"/>
          </w:tcPr>
          <w:p w14:paraId="5C8490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тыс. руб.</w:t>
            </w:r>
          </w:p>
        </w:tc>
        <w:tc>
          <w:tcPr>
            <w:tcW w:w="686" w:type="dxa"/>
          </w:tcPr>
          <w:p w14:paraId="64A3EB3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доля, %</w:t>
            </w:r>
          </w:p>
        </w:tc>
        <w:tc>
          <w:tcPr>
            <w:tcW w:w="883" w:type="dxa"/>
          </w:tcPr>
          <w:p w14:paraId="7F82D71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тыс. руб.</w:t>
            </w:r>
          </w:p>
        </w:tc>
        <w:tc>
          <w:tcPr>
            <w:tcW w:w="686" w:type="dxa"/>
          </w:tcPr>
          <w:p w14:paraId="5981BBA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доля, %</w:t>
            </w:r>
          </w:p>
        </w:tc>
      </w:tr>
      <w:tr w:rsidR="00A259BD" w:rsidRPr="00A259BD" w14:paraId="62DB5F19" w14:textId="77777777">
        <w:tc>
          <w:tcPr>
            <w:tcW w:w="460" w:type="dxa"/>
          </w:tcPr>
          <w:p w14:paraId="58226D2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w:t>
            </w:r>
          </w:p>
        </w:tc>
        <w:tc>
          <w:tcPr>
            <w:tcW w:w="2619" w:type="dxa"/>
          </w:tcPr>
          <w:p w14:paraId="3BC2033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923 255</w:t>
            </w:r>
          </w:p>
        </w:tc>
        <w:tc>
          <w:tcPr>
            <w:tcW w:w="883" w:type="dxa"/>
          </w:tcPr>
          <w:p w14:paraId="1D0299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65 845</w:t>
            </w:r>
          </w:p>
        </w:tc>
        <w:tc>
          <w:tcPr>
            <w:tcW w:w="686" w:type="dxa"/>
          </w:tcPr>
          <w:p w14:paraId="07BFA83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7,13</w:t>
            </w:r>
          </w:p>
        </w:tc>
        <w:tc>
          <w:tcPr>
            <w:tcW w:w="883" w:type="dxa"/>
          </w:tcPr>
          <w:p w14:paraId="5EA420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366 186</w:t>
            </w:r>
          </w:p>
        </w:tc>
        <w:tc>
          <w:tcPr>
            <w:tcW w:w="686" w:type="dxa"/>
          </w:tcPr>
          <w:p w14:paraId="597B65D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39,66</w:t>
            </w:r>
          </w:p>
        </w:tc>
        <w:tc>
          <w:tcPr>
            <w:tcW w:w="883" w:type="dxa"/>
          </w:tcPr>
          <w:p w14:paraId="6DFE7D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262 581</w:t>
            </w:r>
          </w:p>
        </w:tc>
        <w:tc>
          <w:tcPr>
            <w:tcW w:w="686" w:type="dxa"/>
          </w:tcPr>
          <w:p w14:paraId="5720E77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28,44</w:t>
            </w:r>
          </w:p>
        </w:tc>
        <w:tc>
          <w:tcPr>
            <w:tcW w:w="883" w:type="dxa"/>
          </w:tcPr>
          <w:p w14:paraId="245CD6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33 983</w:t>
            </w:r>
          </w:p>
        </w:tc>
        <w:tc>
          <w:tcPr>
            <w:tcW w:w="686" w:type="dxa"/>
          </w:tcPr>
          <w:p w14:paraId="18968E3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3,68</w:t>
            </w:r>
          </w:p>
        </w:tc>
      </w:tr>
      <w:tr w:rsidR="00A259BD" w:rsidRPr="00A259BD" w14:paraId="28E8755C" w14:textId="77777777">
        <w:tc>
          <w:tcPr>
            <w:tcW w:w="460" w:type="dxa"/>
          </w:tcPr>
          <w:p w14:paraId="14DC30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w:t>
            </w:r>
          </w:p>
        </w:tc>
        <w:tc>
          <w:tcPr>
            <w:tcW w:w="2619" w:type="dxa"/>
          </w:tcPr>
          <w:p w14:paraId="5E4FBA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1 726 561</w:t>
            </w:r>
          </w:p>
        </w:tc>
        <w:tc>
          <w:tcPr>
            <w:tcW w:w="883" w:type="dxa"/>
          </w:tcPr>
          <w:p w14:paraId="33A1F0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100 215</w:t>
            </w:r>
          </w:p>
        </w:tc>
        <w:tc>
          <w:tcPr>
            <w:tcW w:w="686" w:type="dxa"/>
          </w:tcPr>
          <w:p w14:paraId="669230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5,80</w:t>
            </w:r>
          </w:p>
        </w:tc>
        <w:tc>
          <w:tcPr>
            <w:tcW w:w="883" w:type="dxa"/>
          </w:tcPr>
          <w:p w14:paraId="114F75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571 822</w:t>
            </w:r>
          </w:p>
        </w:tc>
        <w:tc>
          <w:tcPr>
            <w:tcW w:w="686" w:type="dxa"/>
          </w:tcPr>
          <w:p w14:paraId="304A8F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33,12</w:t>
            </w:r>
          </w:p>
        </w:tc>
        <w:tc>
          <w:tcPr>
            <w:tcW w:w="883" w:type="dxa"/>
          </w:tcPr>
          <w:p w14:paraId="37646D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718 093</w:t>
            </w:r>
          </w:p>
        </w:tc>
        <w:tc>
          <w:tcPr>
            <w:tcW w:w="686" w:type="dxa"/>
          </w:tcPr>
          <w:p w14:paraId="22D11B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41,59</w:t>
            </w:r>
          </w:p>
        </w:tc>
        <w:tc>
          <w:tcPr>
            <w:tcW w:w="883" w:type="dxa"/>
          </w:tcPr>
          <w:p w14:paraId="4B0BB10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39 241</w:t>
            </w:r>
          </w:p>
        </w:tc>
        <w:tc>
          <w:tcPr>
            <w:tcW w:w="686" w:type="dxa"/>
          </w:tcPr>
          <w:p w14:paraId="1A9388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2,27</w:t>
            </w:r>
          </w:p>
        </w:tc>
      </w:tr>
      <w:tr w:rsidR="00A259BD" w:rsidRPr="00A259BD" w14:paraId="01EECA1C" w14:textId="77777777">
        <w:tc>
          <w:tcPr>
            <w:tcW w:w="460" w:type="dxa"/>
          </w:tcPr>
          <w:p w14:paraId="78EB229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w:t>
            </w:r>
          </w:p>
        </w:tc>
        <w:tc>
          <w:tcPr>
            <w:tcW w:w="2619" w:type="dxa"/>
          </w:tcPr>
          <w:p w14:paraId="6F9BB2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2 076 197</w:t>
            </w:r>
          </w:p>
        </w:tc>
        <w:tc>
          <w:tcPr>
            <w:tcW w:w="883" w:type="dxa"/>
          </w:tcPr>
          <w:p w14:paraId="432962E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132 328</w:t>
            </w:r>
          </w:p>
        </w:tc>
        <w:tc>
          <w:tcPr>
            <w:tcW w:w="686" w:type="dxa"/>
          </w:tcPr>
          <w:p w14:paraId="25C3648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6,37</w:t>
            </w:r>
          </w:p>
        </w:tc>
        <w:tc>
          <w:tcPr>
            <w:tcW w:w="883" w:type="dxa"/>
          </w:tcPr>
          <w:p w14:paraId="53F43C2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825 424</w:t>
            </w:r>
          </w:p>
        </w:tc>
        <w:tc>
          <w:tcPr>
            <w:tcW w:w="686" w:type="dxa"/>
          </w:tcPr>
          <w:p w14:paraId="5BB464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39,76</w:t>
            </w:r>
          </w:p>
        </w:tc>
        <w:tc>
          <w:tcPr>
            <w:tcW w:w="883" w:type="dxa"/>
          </w:tcPr>
          <w:p w14:paraId="3292CF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755 648</w:t>
            </w:r>
          </w:p>
        </w:tc>
        <w:tc>
          <w:tcPr>
            <w:tcW w:w="686" w:type="dxa"/>
          </w:tcPr>
          <w:p w14:paraId="4532CEF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36,40</w:t>
            </w:r>
          </w:p>
        </w:tc>
        <w:tc>
          <w:tcPr>
            <w:tcW w:w="883" w:type="dxa"/>
          </w:tcPr>
          <w:p w14:paraId="493A9D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21373</w:t>
            </w:r>
          </w:p>
        </w:tc>
        <w:tc>
          <w:tcPr>
            <w:tcW w:w="686" w:type="dxa"/>
          </w:tcPr>
          <w:p w14:paraId="68C8FF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1,03</w:t>
            </w:r>
          </w:p>
        </w:tc>
      </w:tr>
      <w:tr w:rsidR="00A259BD" w:rsidRPr="00A259BD" w14:paraId="77909376" w14:textId="77777777">
        <w:tc>
          <w:tcPr>
            <w:tcW w:w="460" w:type="dxa"/>
          </w:tcPr>
          <w:p w14:paraId="40CC42D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w:t>
            </w:r>
          </w:p>
        </w:tc>
        <w:tc>
          <w:tcPr>
            <w:tcW w:w="2619" w:type="dxa"/>
          </w:tcPr>
          <w:p w14:paraId="772D85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1 366 946</w:t>
            </w:r>
          </w:p>
        </w:tc>
        <w:tc>
          <w:tcPr>
            <w:tcW w:w="883" w:type="dxa"/>
          </w:tcPr>
          <w:p w14:paraId="285DFA3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209 824</w:t>
            </w:r>
          </w:p>
        </w:tc>
        <w:tc>
          <w:tcPr>
            <w:tcW w:w="686" w:type="dxa"/>
          </w:tcPr>
          <w:p w14:paraId="3854BD2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15,35</w:t>
            </w:r>
          </w:p>
        </w:tc>
        <w:tc>
          <w:tcPr>
            <w:tcW w:w="883" w:type="dxa"/>
          </w:tcPr>
          <w:p w14:paraId="25E9BC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772 761</w:t>
            </w:r>
          </w:p>
        </w:tc>
        <w:tc>
          <w:tcPr>
            <w:tcW w:w="686" w:type="dxa"/>
          </w:tcPr>
          <w:p w14:paraId="12DFA5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56,53</w:t>
            </w:r>
          </w:p>
        </w:tc>
        <w:tc>
          <w:tcPr>
            <w:tcW w:w="883" w:type="dxa"/>
          </w:tcPr>
          <w:p w14:paraId="28ED23D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96 024</w:t>
            </w:r>
          </w:p>
        </w:tc>
        <w:tc>
          <w:tcPr>
            <w:tcW w:w="686" w:type="dxa"/>
          </w:tcPr>
          <w:p w14:paraId="2C85493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7,02</w:t>
            </w:r>
          </w:p>
        </w:tc>
        <w:tc>
          <w:tcPr>
            <w:tcW w:w="883" w:type="dxa"/>
          </w:tcPr>
          <w:p w14:paraId="1056E02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9 536</w:t>
            </w:r>
          </w:p>
        </w:tc>
        <w:tc>
          <w:tcPr>
            <w:tcW w:w="686" w:type="dxa"/>
          </w:tcPr>
          <w:p w14:paraId="6FE321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0,70</w:t>
            </w:r>
          </w:p>
        </w:tc>
      </w:tr>
      <w:tr w:rsidR="00A259BD" w:rsidRPr="00A259BD" w14:paraId="132E6649" w14:textId="77777777">
        <w:tc>
          <w:tcPr>
            <w:tcW w:w="460" w:type="dxa"/>
          </w:tcPr>
          <w:p w14:paraId="007601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1933</w:t>
            </w:r>
          </w:p>
        </w:tc>
        <w:tc>
          <w:tcPr>
            <w:tcW w:w="2619" w:type="dxa"/>
          </w:tcPr>
          <w:p w14:paraId="4A3724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521 891</w:t>
            </w:r>
          </w:p>
        </w:tc>
        <w:tc>
          <w:tcPr>
            <w:tcW w:w="883" w:type="dxa"/>
          </w:tcPr>
          <w:p w14:paraId="4091302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49 729</w:t>
            </w:r>
          </w:p>
        </w:tc>
        <w:tc>
          <w:tcPr>
            <w:tcW w:w="686" w:type="dxa"/>
          </w:tcPr>
          <w:p w14:paraId="1CF238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9,53</w:t>
            </w:r>
          </w:p>
        </w:tc>
        <w:tc>
          <w:tcPr>
            <w:tcW w:w="883" w:type="dxa"/>
          </w:tcPr>
          <w:p w14:paraId="138036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325 467</w:t>
            </w:r>
          </w:p>
        </w:tc>
        <w:tc>
          <w:tcPr>
            <w:tcW w:w="686" w:type="dxa"/>
          </w:tcPr>
          <w:p w14:paraId="38C7B1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62,36</w:t>
            </w:r>
          </w:p>
        </w:tc>
        <w:tc>
          <w:tcPr>
            <w:tcW w:w="883" w:type="dxa"/>
          </w:tcPr>
          <w:p w14:paraId="5FECD8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24 359</w:t>
            </w:r>
          </w:p>
        </w:tc>
        <w:tc>
          <w:tcPr>
            <w:tcW w:w="686" w:type="dxa"/>
          </w:tcPr>
          <w:p w14:paraId="1C3BFB1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4,67</w:t>
            </w:r>
          </w:p>
        </w:tc>
        <w:tc>
          <w:tcPr>
            <w:tcW w:w="883" w:type="dxa"/>
          </w:tcPr>
          <w:p w14:paraId="441CED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7117</w:t>
            </w:r>
          </w:p>
        </w:tc>
        <w:tc>
          <w:tcPr>
            <w:tcW w:w="686" w:type="dxa"/>
          </w:tcPr>
          <w:p w14:paraId="24D1797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1,36</w:t>
            </w:r>
          </w:p>
        </w:tc>
      </w:tr>
      <w:tr w:rsidR="00A259BD" w:rsidRPr="00A259BD" w14:paraId="27854950" w14:textId="77777777">
        <w:tc>
          <w:tcPr>
            <w:tcW w:w="460" w:type="dxa"/>
            <w:tcBorders>
              <w:bottom w:val="single" w:sz="12" w:space="0" w:color="000000"/>
            </w:tcBorders>
          </w:tcPr>
          <w:p w14:paraId="7616C8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1934</w:t>
            </w:r>
          </w:p>
        </w:tc>
        <w:tc>
          <w:tcPr>
            <w:tcW w:w="2619" w:type="dxa"/>
            <w:tcBorders>
              <w:bottom w:val="single" w:sz="12" w:space="0" w:color="000000"/>
            </w:tcBorders>
          </w:tcPr>
          <w:p w14:paraId="6329CD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202 900</w:t>
            </w:r>
          </w:p>
        </w:tc>
        <w:tc>
          <w:tcPr>
            <w:tcW w:w="883" w:type="dxa"/>
            <w:tcBorders>
              <w:bottom w:val="single" w:sz="12" w:space="0" w:color="000000"/>
            </w:tcBorders>
          </w:tcPr>
          <w:p w14:paraId="55C18D9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29 024</w:t>
            </w:r>
          </w:p>
        </w:tc>
        <w:tc>
          <w:tcPr>
            <w:tcW w:w="686" w:type="dxa"/>
            <w:tcBorders>
              <w:bottom w:val="single" w:sz="12" w:space="0" w:color="000000"/>
            </w:tcBorders>
          </w:tcPr>
          <w:p w14:paraId="7D61FBB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14,30</w:t>
            </w:r>
          </w:p>
        </w:tc>
        <w:tc>
          <w:tcPr>
            <w:tcW w:w="883" w:type="dxa"/>
            <w:tcBorders>
              <w:bottom w:val="single" w:sz="12" w:space="0" w:color="000000"/>
            </w:tcBorders>
          </w:tcPr>
          <w:p w14:paraId="3301E90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62 983</w:t>
            </w:r>
          </w:p>
        </w:tc>
        <w:tc>
          <w:tcPr>
            <w:tcW w:w="686" w:type="dxa"/>
            <w:tcBorders>
              <w:bottom w:val="single" w:sz="12" w:space="0" w:color="000000"/>
            </w:tcBorders>
          </w:tcPr>
          <w:p w14:paraId="6B568EA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31,04</w:t>
            </w:r>
          </w:p>
        </w:tc>
        <w:tc>
          <w:tcPr>
            <w:tcW w:w="883" w:type="dxa"/>
            <w:tcBorders>
              <w:bottom w:val="single" w:sz="12" w:space="0" w:color="000000"/>
            </w:tcBorders>
          </w:tcPr>
          <w:p w14:paraId="72AAC0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39 217</w:t>
            </w:r>
          </w:p>
        </w:tc>
        <w:tc>
          <w:tcPr>
            <w:tcW w:w="686" w:type="dxa"/>
            <w:tcBorders>
              <w:bottom w:val="single" w:sz="12" w:space="0" w:color="000000"/>
            </w:tcBorders>
          </w:tcPr>
          <w:p w14:paraId="1BB384A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19,33</w:t>
            </w:r>
          </w:p>
        </w:tc>
        <w:tc>
          <w:tcPr>
            <w:tcW w:w="883" w:type="dxa"/>
            <w:tcBorders>
              <w:bottom w:val="single" w:sz="12" w:space="0" w:color="000000"/>
            </w:tcBorders>
          </w:tcPr>
          <w:p w14:paraId="50F541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6 362</w:t>
            </w:r>
          </w:p>
        </w:tc>
        <w:tc>
          <w:tcPr>
            <w:tcW w:w="686" w:type="dxa"/>
            <w:tcBorders>
              <w:bottom w:val="single" w:sz="12" w:space="0" w:color="000000"/>
            </w:tcBorders>
          </w:tcPr>
          <w:p w14:paraId="6BEE141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3,14</w:t>
            </w:r>
          </w:p>
        </w:tc>
      </w:tr>
    </w:tbl>
    <w:p w14:paraId="3F5A5A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Как видим, в начале 1930-х годов ввоз промышленного оборудования в нашу страну достигает рекордного уровня. При этом основными поставщиками являлись Германия, предоставившая в 1931 году Советскому Союзу кредит на сумму 300 млн марок, а также Соединённые Штаты. </w:t>
      </w:r>
    </w:p>
    <w:p w14:paraId="0845417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ДОЛЯ МАШИН И ОБОРУДОВАНИЯ В СОВЕТСКОМ ИМПОРТЕ,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737"/>
        <w:gridCol w:w="2016"/>
        <w:gridCol w:w="1651"/>
        <w:gridCol w:w="2016"/>
        <w:gridCol w:w="1103"/>
        <w:gridCol w:w="1834"/>
      </w:tblGrid>
      <w:tr w:rsidR="00A259BD" w:rsidRPr="00A259BD" w14:paraId="5B09095A" w14:textId="77777777">
        <w:tc>
          <w:tcPr>
            <w:tcW w:w="737" w:type="dxa"/>
            <w:tcBorders>
              <w:top w:val="single" w:sz="12" w:space="0" w:color="000000"/>
            </w:tcBorders>
          </w:tcPr>
          <w:p w14:paraId="63EC26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tc>
        <w:tc>
          <w:tcPr>
            <w:tcW w:w="2016" w:type="dxa"/>
            <w:tcBorders>
              <w:top w:val="single" w:sz="12" w:space="0" w:color="000000"/>
            </w:tcBorders>
          </w:tcPr>
          <w:p w14:paraId="75939AA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Весь импорт</w:t>
            </w:r>
          </w:p>
        </w:tc>
        <w:tc>
          <w:tcPr>
            <w:tcW w:w="1651" w:type="dxa"/>
            <w:tcBorders>
              <w:top w:val="single" w:sz="12" w:space="0" w:color="000000"/>
            </w:tcBorders>
          </w:tcPr>
          <w:p w14:paraId="3AA0C5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Англии</w:t>
            </w:r>
          </w:p>
        </w:tc>
        <w:tc>
          <w:tcPr>
            <w:tcW w:w="2016" w:type="dxa"/>
            <w:tcBorders>
              <w:top w:val="single" w:sz="12" w:space="0" w:color="000000"/>
            </w:tcBorders>
          </w:tcPr>
          <w:p w14:paraId="44B8EDF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Германии</w:t>
            </w:r>
          </w:p>
        </w:tc>
        <w:tc>
          <w:tcPr>
            <w:tcW w:w="1103" w:type="dxa"/>
            <w:tcBorders>
              <w:top w:val="single" w:sz="12" w:space="0" w:color="000000"/>
            </w:tcBorders>
          </w:tcPr>
          <w:p w14:paraId="058F0E4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США</w:t>
            </w:r>
          </w:p>
        </w:tc>
        <w:tc>
          <w:tcPr>
            <w:tcW w:w="1834" w:type="dxa"/>
            <w:tcBorders>
              <w:top w:val="single" w:sz="12" w:space="0" w:color="000000"/>
            </w:tcBorders>
          </w:tcPr>
          <w:p w14:paraId="5C238DF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Франции</w:t>
            </w:r>
          </w:p>
        </w:tc>
      </w:tr>
      <w:tr w:rsidR="00A259BD" w:rsidRPr="00A259BD" w14:paraId="1AB914AD" w14:textId="77777777">
        <w:tc>
          <w:tcPr>
            <w:tcW w:w="737" w:type="dxa"/>
          </w:tcPr>
          <w:p w14:paraId="04B8A1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w:t>
            </w:r>
          </w:p>
        </w:tc>
        <w:tc>
          <w:tcPr>
            <w:tcW w:w="2016" w:type="dxa"/>
          </w:tcPr>
          <w:p w14:paraId="3A13DE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30,08</w:t>
            </w:r>
          </w:p>
        </w:tc>
        <w:tc>
          <w:tcPr>
            <w:tcW w:w="1651" w:type="dxa"/>
          </w:tcPr>
          <w:p w14:paraId="274613E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34,51</w:t>
            </w:r>
          </w:p>
        </w:tc>
        <w:tc>
          <w:tcPr>
            <w:tcW w:w="2016" w:type="dxa"/>
          </w:tcPr>
          <w:p w14:paraId="4676BD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53,98</w:t>
            </w:r>
          </w:p>
        </w:tc>
        <w:tc>
          <w:tcPr>
            <w:tcW w:w="1103" w:type="dxa"/>
          </w:tcPr>
          <w:p w14:paraId="5441075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42,52</w:t>
            </w:r>
          </w:p>
        </w:tc>
        <w:tc>
          <w:tcPr>
            <w:tcW w:w="1834" w:type="dxa"/>
          </w:tcPr>
          <w:p w14:paraId="5DC2F1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30,78</w:t>
            </w:r>
          </w:p>
        </w:tc>
      </w:tr>
      <w:tr w:rsidR="00A259BD" w:rsidRPr="00A259BD" w14:paraId="59D90923" w14:textId="77777777">
        <w:tc>
          <w:tcPr>
            <w:tcW w:w="737" w:type="dxa"/>
          </w:tcPr>
          <w:p w14:paraId="495AE6A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1930</w:t>
            </w:r>
          </w:p>
        </w:tc>
        <w:tc>
          <w:tcPr>
            <w:tcW w:w="2016" w:type="dxa"/>
          </w:tcPr>
          <w:p w14:paraId="3F4F31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46,79</w:t>
            </w:r>
          </w:p>
        </w:tc>
        <w:tc>
          <w:tcPr>
            <w:tcW w:w="1651" w:type="dxa"/>
          </w:tcPr>
          <w:p w14:paraId="5C36EBA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35,89</w:t>
            </w:r>
          </w:p>
        </w:tc>
        <w:tc>
          <w:tcPr>
            <w:tcW w:w="2016" w:type="dxa"/>
          </w:tcPr>
          <w:p w14:paraId="41FB3F8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65,41</w:t>
            </w:r>
          </w:p>
        </w:tc>
        <w:tc>
          <w:tcPr>
            <w:tcW w:w="1103" w:type="dxa"/>
          </w:tcPr>
          <w:p w14:paraId="5EC02F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77,93</w:t>
            </w:r>
          </w:p>
        </w:tc>
        <w:tc>
          <w:tcPr>
            <w:tcW w:w="1834" w:type="dxa"/>
          </w:tcPr>
          <w:p w14:paraId="0DFA63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37,90</w:t>
            </w:r>
          </w:p>
        </w:tc>
      </w:tr>
      <w:tr w:rsidR="00A259BD" w:rsidRPr="00A259BD" w14:paraId="1A6A6BE6" w14:textId="77777777">
        <w:tc>
          <w:tcPr>
            <w:tcW w:w="737" w:type="dxa"/>
          </w:tcPr>
          <w:p w14:paraId="764075D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w:t>
            </w:r>
          </w:p>
        </w:tc>
        <w:tc>
          <w:tcPr>
            <w:tcW w:w="2016" w:type="dxa"/>
          </w:tcPr>
          <w:p w14:paraId="21F5385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53,91</w:t>
            </w:r>
          </w:p>
        </w:tc>
        <w:tc>
          <w:tcPr>
            <w:tcW w:w="1651" w:type="dxa"/>
          </w:tcPr>
          <w:p w14:paraId="577FDC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51,74</w:t>
            </w:r>
          </w:p>
        </w:tc>
        <w:tc>
          <w:tcPr>
            <w:tcW w:w="2016" w:type="dxa"/>
          </w:tcPr>
          <w:p w14:paraId="5F2B40C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57,68</w:t>
            </w:r>
          </w:p>
        </w:tc>
        <w:tc>
          <w:tcPr>
            <w:tcW w:w="1103" w:type="dxa"/>
          </w:tcPr>
          <w:p w14:paraId="196238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94,31</w:t>
            </w:r>
          </w:p>
        </w:tc>
        <w:tc>
          <w:tcPr>
            <w:tcW w:w="1834" w:type="dxa"/>
          </w:tcPr>
          <w:p w14:paraId="6830278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40,89</w:t>
            </w:r>
          </w:p>
        </w:tc>
      </w:tr>
      <w:tr w:rsidR="00A259BD" w:rsidRPr="00A259BD" w14:paraId="2A16A06C" w14:textId="77777777">
        <w:tc>
          <w:tcPr>
            <w:tcW w:w="737" w:type="dxa"/>
          </w:tcPr>
          <w:p w14:paraId="7FBA0CF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w:t>
            </w:r>
          </w:p>
        </w:tc>
        <w:tc>
          <w:tcPr>
            <w:tcW w:w="2016" w:type="dxa"/>
          </w:tcPr>
          <w:p w14:paraId="1F8FC1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55,70</w:t>
            </w:r>
          </w:p>
        </w:tc>
        <w:tc>
          <w:tcPr>
            <w:tcW w:w="1651" w:type="dxa"/>
          </w:tcPr>
          <w:p w14:paraId="690076F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65,49</w:t>
            </w:r>
          </w:p>
        </w:tc>
        <w:tc>
          <w:tcPr>
            <w:tcW w:w="2016" w:type="dxa"/>
          </w:tcPr>
          <w:p w14:paraId="51E0C58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67,66</w:t>
            </w:r>
          </w:p>
        </w:tc>
        <w:tc>
          <w:tcPr>
            <w:tcW w:w="1103" w:type="dxa"/>
          </w:tcPr>
          <w:p w14:paraId="3706F0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87,01</w:t>
            </w:r>
          </w:p>
        </w:tc>
        <w:tc>
          <w:tcPr>
            <w:tcW w:w="1834" w:type="dxa"/>
          </w:tcPr>
          <w:p w14:paraId="20459F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63,12</w:t>
            </w:r>
          </w:p>
        </w:tc>
      </w:tr>
      <w:tr w:rsidR="00A259BD" w:rsidRPr="00A259BD" w14:paraId="4C7F776D" w14:textId="77777777">
        <w:tc>
          <w:tcPr>
            <w:tcW w:w="737" w:type="dxa"/>
          </w:tcPr>
          <w:p w14:paraId="411512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1933</w:t>
            </w:r>
          </w:p>
        </w:tc>
        <w:tc>
          <w:tcPr>
            <w:tcW w:w="2016" w:type="dxa"/>
          </w:tcPr>
          <w:p w14:paraId="608595B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42,99</w:t>
            </w:r>
          </w:p>
        </w:tc>
        <w:tc>
          <w:tcPr>
            <w:tcW w:w="1651" w:type="dxa"/>
          </w:tcPr>
          <w:p w14:paraId="7FCDCE0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46,65</w:t>
            </w:r>
          </w:p>
        </w:tc>
        <w:tc>
          <w:tcPr>
            <w:tcW w:w="2016" w:type="dxa"/>
          </w:tcPr>
          <w:p w14:paraId="1566752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63,09</w:t>
            </w:r>
          </w:p>
        </w:tc>
        <w:tc>
          <w:tcPr>
            <w:tcW w:w="1103" w:type="dxa"/>
          </w:tcPr>
          <w:p w14:paraId="16A94E6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42,16</w:t>
            </w:r>
          </w:p>
        </w:tc>
        <w:tc>
          <w:tcPr>
            <w:tcW w:w="1834" w:type="dxa"/>
          </w:tcPr>
          <w:p w14:paraId="7832B61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39,00</w:t>
            </w:r>
          </w:p>
        </w:tc>
      </w:tr>
      <w:tr w:rsidR="00A259BD" w:rsidRPr="00A259BD" w14:paraId="58F162AD" w14:textId="77777777">
        <w:tc>
          <w:tcPr>
            <w:tcW w:w="737" w:type="dxa"/>
            <w:tcBorders>
              <w:bottom w:val="single" w:sz="12" w:space="0" w:color="000000"/>
            </w:tcBorders>
          </w:tcPr>
          <w:p w14:paraId="511574E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1934</w:t>
            </w:r>
          </w:p>
        </w:tc>
        <w:tc>
          <w:tcPr>
            <w:tcW w:w="2016" w:type="dxa"/>
            <w:tcBorders>
              <w:bottom w:val="single" w:sz="12" w:space="0" w:color="000000"/>
            </w:tcBorders>
          </w:tcPr>
          <w:p w14:paraId="3F338A4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25,05</w:t>
            </w:r>
          </w:p>
        </w:tc>
        <w:tc>
          <w:tcPr>
            <w:tcW w:w="1651" w:type="dxa"/>
            <w:tcBorders>
              <w:bottom w:val="single" w:sz="12" w:space="0" w:color="000000"/>
            </w:tcBorders>
          </w:tcPr>
          <w:p w14:paraId="374BB78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26,58</w:t>
            </w:r>
          </w:p>
        </w:tc>
        <w:tc>
          <w:tcPr>
            <w:tcW w:w="2016" w:type="dxa"/>
            <w:tcBorders>
              <w:bottom w:val="single" w:sz="12" w:space="0" w:color="000000"/>
            </w:tcBorders>
          </w:tcPr>
          <w:p w14:paraId="6ECBAC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62,84</w:t>
            </w:r>
          </w:p>
        </w:tc>
        <w:tc>
          <w:tcPr>
            <w:tcW w:w="1103" w:type="dxa"/>
            <w:tcBorders>
              <w:bottom w:val="single" w:sz="12" w:space="0" w:color="000000"/>
            </w:tcBorders>
          </w:tcPr>
          <w:p w14:paraId="16990BC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62,95</w:t>
            </w:r>
          </w:p>
        </w:tc>
        <w:tc>
          <w:tcPr>
            <w:tcW w:w="1834" w:type="dxa"/>
            <w:tcBorders>
              <w:bottom w:val="single" w:sz="12" w:space="0" w:color="000000"/>
            </w:tcBorders>
          </w:tcPr>
          <w:p w14:paraId="086655A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15,71</w:t>
            </w:r>
          </w:p>
        </w:tc>
      </w:tr>
    </w:tbl>
    <w:p w14:paraId="3F6373B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После прихода Гитлера к власти советско-германская торговля начинает сокращаться. </w:t>
      </w:r>
    </w:p>
    <w:p w14:paraId="655B30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ОБЪЁМ СОВЕТСКОЙ ВНЕШНЕЙ ТОРГОВЛИ, МЛН РУБ. (по курсу 1 марта 1950 года)</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725"/>
        <w:gridCol w:w="1263"/>
        <w:gridCol w:w="3054"/>
        <w:gridCol w:w="1083"/>
        <w:gridCol w:w="3233"/>
      </w:tblGrid>
      <w:tr w:rsidR="00A259BD" w:rsidRPr="00A259BD" w14:paraId="2E5A089C" w14:textId="77777777">
        <w:tc>
          <w:tcPr>
            <w:tcW w:w="725" w:type="dxa"/>
            <w:tcBorders>
              <w:top w:val="single" w:sz="12" w:space="0" w:color="000000"/>
            </w:tcBorders>
          </w:tcPr>
          <w:p w14:paraId="766A774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Год</w:t>
            </w:r>
          </w:p>
        </w:tc>
        <w:tc>
          <w:tcPr>
            <w:tcW w:w="1263" w:type="dxa"/>
            <w:tcBorders>
              <w:top w:val="single" w:sz="12" w:space="0" w:color="000000"/>
            </w:tcBorders>
          </w:tcPr>
          <w:p w14:paraId="6D6F328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Экспорт</w:t>
            </w:r>
          </w:p>
        </w:tc>
        <w:tc>
          <w:tcPr>
            <w:tcW w:w="3054" w:type="dxa"/>
            <w:tcBorders>
              <w:top w:val="single" w:sz="12" w:space="0" w:color="000000"/>
            </w:tcBorders>
          </w:tcPr>
          <w:p w14:paraId="5DF2BE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т.ч. в Германию</w:t>
            </w:r>
          </w:p>
        </w:tc>
        <w:tc>
          <w:tcPr>
            <w:tcW w:w="1083" w:type="dxa"/>
            <w:tcBorders>
              <w:top w:val="single" w:sz="12" w:space="0" w:color="000000"/>
            </w:tcBorders>
          </w:tcPr>
          <w:p w14:paraId="4479D9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Импорт</w:t>
            </w:r>
          </w:p>
        </w:tc>
        <w:tc>
          <w:tcPr>
            <w:tcW w:w="3233" w:type="dxa"/>
            <w:tcBorders>
              <w:top w:val="single" w:sz="12" w:space="0" w:color="000000"/>
            </w:tcBorders>
          </w:tcPr>
          <w:p w14:paraId="11ACD45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т.ч. из Германии</w:t>
            </w:r>
          </w:p>
        </w:tc>
      </w:tr>
      <w:tr w:rsidR="00A259BD" w:rsidRPr="00A259BD" w14:paraId="49E9F706" w14:textId="77777777">
        <w:tc>
          <w:tcPr>
            <w:tcW w:w="725" w:type="dxa"/>
          </w:tcPr>
          <w:p w14:paraId="4F0912B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w:t>
            </w:r>
          </w:p>
        </w:tc>
        <w:tc>
          <w:tcPr>
            <w:tcW w:w="1263" w:type="dxa"/>
          </w:tcPr>
          <w:p w14:paraId="2A1F48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2004</w:t>
            </w:r>
          </w:p>
        </w:tc>
        <w:tc>
          <w:tcPr>
            <w:tcW w:w="3054" w:type="dxa"/>
          </w:tcPr>
          <w:p w14:paraId="0D2F15C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350,2</w:t>
            </w:r>
          </w:p>
        </w:tc>
        <w:tc>
          <w:tcPr>
            <w:tcW w:w="1083" w:type="dxa"/>
          </w:tcPr>
          <w:p w14:paraId="626425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2454</w:t>
            </w:r>
          </w:p>
        </w:tc>
        <w:tc>
          <w:tcPr>
            <w:tcW w:w="3233" w:type="dxa"/>
          </w:tcPr>
          <w:p w14:paraId="36FAAD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1142,1</w:t>
            </w:r>
          </w:p>
        </w:tc>
      </w:tr>
      <w:tr w:rsidR="00A259BD" w:rsidRPr="00A259BD" w14:paraId="2DAB9358" w14:textId="77777777">
        <w:tc>
          <w:tcPr>
            <w:tcW w:w="725" w:type="dxa"/>
          </w:tcPr>
          <w:p w14:paraId="2FB6767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1933</w:t>
            </w:r>
          </w:p>
        </w:tc>
        <w:tc>
          <w:tcPr>
            <w:tcW w:w="1263" w:type="dxa"/>
          </w:tcPr>
          <w:p w14:paraId="05EAE8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1727</w:t>
            </w:r>
          </w:p>
        </w:tc>
        <w:tc>
          <w:tcPr>
            <w:tcW w:w="3054" w:type="dxa"/>
          </w:tcPr>
          <w:p w14:paraId="1FE199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298,8</w:t>
            </w:r>
          </w:p>
        </w:tc>
        <w:tc>
          <w:tcPr>
            <w:tcW w:w="1083" w:type="dxa"/>
          </w:tcPr>
          <w:p w14:paraId="2CC96E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1214</w:t>
            </w:r>
          </w:p>
        </w:tc>
        <w:tc>
          <w:tcPr>
            <w:tcW w:w="3233" w:type="dxa"/>
          </w:tcPr>
          <w:p w14:paraId="469A6F4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515,9</w:t>
            </w:r>
          </w:p>
        </w:tc>
      </w:tr>
      <w:tr w:rsidR="00A259BD" w:rsidRPr="00A259BD" w14:paraId="70B795BF" w14:textId="77777777">
        <w:tc>
          <w:tcPr>
            <w:tcW w:w="725" w:type="dxa"/>
          </w:tcPr>
          <w:p w14:paraId="2A40525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1934</w:t>
            </w:r>
          </w:p>
        </w:tc>
        <w:tc>
          <w:tcPr>
            <w:tcW w:w="1263" w:type="dxa"/>
          </w:tcPr>
          <w:p w14:paraId="00A29B8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1458</w:t>
            </w:r>
          </w:p>
        </w:tc>
        <w:tc>
          <w:tcPr>
            <w:tcW w:w="3054" w:type="dxa"/>
          </w:tcPr>
          <w:p w14:paraId="793498E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343,0</w:t>
            </w:r>
          </w:p>
        </w:tc>
        <w:tc>
          <w:tcPr>
            <w:tcW w:w="1083" w:type="dxa"/>
          </w:tcPr>
          <w:p w14:paraId="71DAA51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810</w:t>
            </w:r>
          </w:p>
        </w:tc>
        <w:tc>
          <w:tcPr>
            <w:tcW w:w="3233" w:type="dxa"/>
          </w:tcPr>
          <w:p w14:paraId="6BFD552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100,2</w:t>
            </w:r>
          </w:p>
        </w:tc>
      </w:tr>
      <w:tr w:rsidR="00A259BD" w:rsidRPr="00A259BD" w14:paraId="5E6313A6" w14:textId="77777777">
        <w:tc>
          <w:tcPr>
            <w:tcW w:w="725" w:type="dxa"/>
          </w:tcPr>
          <w:p w14:paraId="4DF8BA9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1935</w:t>
            </w:r>
          </w:p>
        </w:tc>
        <w:tc>
          <w:tcPr>
            <w:tcW w:w="1263" w:type="dxa"/>
          </w:tcPr>
          <w:p w14:paraId="5A1B3CF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1281</w:t>
            </w:r>
          </w:p>
        </w:tc>
        <w:tc>
          <w:tcPr>
            <w:tcW w:w="3054" w:type="dxa"/>
          </w:tcPr>
          <w:p w14:paraId="61FE07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230,2</w:t>
            </w:r>
          </w:p>
        </w:tc>
        <w:tc>
          <w:tcPr>
            <w:tcW w:w="1083" w:type="dxa"/>
          </w:tcPr>
          <w:p w14:paraId="6961503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841</w:t>
            </w:r>
          </w:p>
        </w:tc>
        <w:tc>
          <w:tcPr>
            <w:tcW w:w="3233" w:type="dxa"/>
          </w:tcPr>
          <w:p w14:paraId="554F4DA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75,6</w:t>
            </w:r>
          </w:p>
        </w:tc>
      </w:tr>
      <w:tr w:rsidR="00A259BD" w:rsidRPr="00A259BD" w14:paraId="63A45DCC" w14:textId="77777777">
        <w:tc>
          <w:tcPr>
            <w:tcW w:w="725" w:type="dxa"/>
          </w:tcPr>
          <w:p w14:paraId="19F5BD8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1936</w:t>
            </w:r>
          </w:p>
        </w:tc>
        <w:tc>
          <w:tcPr>
            <w:tcW w:w="1263" w:type="dxa"/>
          </w:tcPr>
          <w:p w14:paraId="0375491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1082</w:t>
            </w:r>
          </w:p>
        </w:tc>
        <w:tc>
          <w:tcPr>
            <w:tcW w:w="3054" w:type="dxa"/>
          </w:tcPr>
          <w:p w14:paraId="4582287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92,8</w:t>
            </w:r>
          </w:p>
        </w:tc>
        <w:tc>
          <w:tcPr>
            <w:tcW w:w="1083" w:type="dxa"/>
          </w:tcPr>
          <w:p w14:paraId="2D58062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1076</w:t>
            </w:r>
          </w:p>
        </w:tc>
        <w:tc>
          <w:tcPr>
            <w:tcW w:w="3233" w:type="dxa"/>
          </w:tcPr>
          <w:p w14:paraId="24F199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245,4</w:t>
            </w:r>
          </w:p>
        </w:tc>
      </w:tr>
      <w:tr w:rsidR="00A259BD" w:rsidRPr="00A259BD" w14:paraId="669EAFF1" w14:textId="77777777">
        <w:tc>
          <w:tcPr>
            <w:tcW w:w="725" w:type="dxa"/>
          </w:tcPr>
          <w:p w14:paraId="33AF4F6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1937</w:t>
            </w:r>
          </w:p>
        </w:tc>
        <w:tc>
          <w:tcPr>
            <w:tcW w:w="1263" w:type="dxa"/>
          </w:tcPr>
          <w:p w14:paraId="6785D2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1312</w:t>
            </w:r>
          </w:p>
        </w:tc>
        <w:tc>
          <w:tcPr>
            <w:tcW w:w="3054" w:type="dxa"/>
          </w:tcPr>
          <w:p w14:paraId="13E18A1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80,7</w:t>
            </w:r>
          </w:p>
        </w:tc>
        <w:tc>
          <w:tcPr>
            <w:tcW w:w="1083" w:type="dxa"/>
          </w:tcPr>
          <w:p w14:paraId="4E7AB3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1016</w:t>
            </w:r>
          </w:p>
        </w:tc>
        <w:tc>
          <w:tcPr>
            <w:tcW w:w="3233" w:type="dxa"/>
          </w:tcPr>
          <w:p w14:paraId="545547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151,3</w:t>
            </w:r>
          </w:p>
        </w:tc>
      </w:tr>
      <w:tr w:rsidR="00A259BD" w:rsidRPr="00A259BD" w14:paraId="393404BF" w14:textId="77777777">
        <w:tc>
          <w:tcPr>
            <w:tcW w:w="725" w:type="dxa"/>
            <w:tcBorders>
              <w:bottom w:val="single" w:sz="12" w:space="0" w:color="000000"/>
            </w:tcBorders>
          </w:tcPr>
          <w:p w14:paraId="70D09A7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1938</w:t>
            </w:r>
          </w:p>
        </w:tc>
        <w:tc>
          <w:tcPr>
            <w:tcW w:w="1263" w:type="dxa"/>
            <w:tcBorders>
              <w:bottom w:val="single" w:sz="12" w:space="0" w:color="000000"/>
            </w:tcBorders>
          </w:tcPr>
          <w:p w14:paraId="0DC3F43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1021</w:t>
            </w:r>
          </w:p>
        </w:tc>
        <w:tc>
          <w:tcPr>
            <w:tcW w:w="3054" w:type="dxa"/>
            <w:tcBorders>
              <w:bottom w:val="single" w:sz="12" w:space="0" w:color="000000"/>
            </w:tcBorders>
          </w:tcPr>
          <w:p w14:paraId="317BF7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64,8</w:t>
            </w:r>
          </w:p>
        </w:tc>
        <w:tc>
          <w:tcPr>
            <w:tcW w:w="1083" w:type="dxa"/>
            <w:tcBorders>
              <w:bottom w:val="single" w:sz="12" w:space="0" w:color="000000"/>
            </w:tcBorders>
          </w:tcPr>
          <w:p w14:paraId="7BE44B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1090</w:t>
            </w:r>
          </w:p>
        </w:tc>
        <w:tc>
          <w:tcPr>
            <w:tcW w:w="3233" w:type="dxa"/>
            <w:tcBorders>
              <w:bottom w:val="single" w:sz="12" w:space="0" w:color="000000"/>
            </w:tcBorders>
          </w:tcPr>
          <w:p w14:paraId="001ED09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50,7 [201] </w:t>
            </w:r>
          </w:p>
        </w:tc>
      </w:tr>
    </w:tbl>
    <w:p w14:paraId="1BA6E47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ОБЪЁМ СОВЕТСКО-ГЕРМАНСКОЙ ТОРГОВЛИ, МЛН МАРОК</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726"/>
        <w:gridCol w:w="3236"/>
        <w:gridCol w:w="3236"/>
        <w:gridCol w:w="2160"/>
      </w:tblGrid>
      <w:tr w:rsidR="00A259BD" w:rsidRPr="00A259BD" w14:paraId="666D1E7E" w14:textId="77777777">
        <w:tc>
          <w:tcPr>
            <w:tcW w:w="726" w:type="dxa"/>
            <w:tcBorders>
              <w:top w:val="single" w:sz="12" w:space="0" w:color="000000"/>
            </w:tcBorders>
          </w:tcPr>
          <w:p w14:paraId="6C97594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Год </w:t>
            </w:r>
          </w:p>
        </w:tc>
        <w:tc>
          <w:tcPr>
            <w:tcW w:w="3236" w:type="dxa"/>
            <w:tcBorders>
              <w:top w:val="single" w:sz="12" w:space="0" w:color="000000"/>
            </w:tcBorders>
          </w:tcPr>
          <w:p w14:paraId="0548236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Экспорт в Германию</w:t>
            </w:r>
          </w:p>
        </w:tc>
        <w:tc>
          <w:tcPr>
            <w:tcW w:w="3236" w:type="dxa"/>
            <w:tcBorders>
              <w:top w:val="single" w:sz="12" w:space="0" w:color="000000"/>
            </w:tcBorders>
          </w:tcPr>
          <w:p w14:paraId="3B81F10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Импорт из Германии</w:t>
            </w:r>
          </w:p>
        </w:tc>
        <w:tc>
          <w:tcPr>
            <w:tcW w:w="2160" w:type="dxa"/>
            <w:tcBorders>
              <w:top w:val="single" w:sz="12" w:space="0" w:color="000000"/>
            </w:tcBorders>
          </w:tcPr>
          <w:p w14:paraId="030809D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Товарооборот</w:t>
            </w:r>
          </w:p>
        </w:tc>
      </w:tr>
      <w:tr w:rsidR="00A259BD" w:rsidRPr="00A259BD" w14:paraId="6A109DB8" w14:textId="77777777">
        <w:tc>
          <w:tcPr>
            <w:tcW w:w="726" w:type="dxa"/>
          </w:tcPr>
          <w:p w14:paraId="0337AEE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1931</w:t>
            </w:r>
          </w:p>
        </w:tc>
        <w:tc>
          <w:tcPr>
            <w:tcW w:w="3236" w:type="dxa"/>
          </w:tcPr>
          <w:p w14:paraId="0A3CB5D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303,1</w:t>
            </w:r>
          </w:p>
        </w:tc>
        <w:tc>
          <w:tcPr>
            <w:tcW w:w="3236" w:type="dxa"/>
          </w:tcPr>
          <w:p w14:paraId="5618091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762,7</w:t>
            </w:r>
          </w:p>
        </w:tc>
        <w:tc>
          <w:tcPr>
            <w:tcW w:w="2160" w:type="dxa"/>
          </w:tcPr>
          <w:p w14:paraId="732192F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1065,8</w:t>
            </w:r>
          </w:p>
        </w:tc>
      </w:tr>
      <w:tr w:rsidR="00A259BD" w:rsidRPr="00A259BD" w14:paraId="43B79777" w14:textId="77777777">
        <w:tc>
          <w:tcPr>
            <w:tcW w:w="726" w:type="dxa"/>
          </w:tcPr>
          <w:p w14:paraId="1A7F83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1932</w:t>
            </w:r>
          </w:p>
        </w:tc>
        <w:tc>
          <w:tcPr>
            <w:tcW w:w="3236" w:type="dxa"/>
          </w:tcPr>
          <w:p w14:paraId="28E3747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270,9</w:t>
            </w:r>
          </w:p>
        </w:tc>
        <w:tc>
          <w:tcPr>
            <w:tcW w:w="3236" w:type="dxa"/>
          </w:tcPr>
          <w:p w14:paraId="38F7422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625,8</w:t>
            </w:r>
          </w:p>
        </w:tc>
        <w:tc>
          <w:tcPr>
            <w:tcW w:w="2160" w:type="dxa"/>
          </w:tcPr>
          <w:p w14:paraId="00B1E55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896,7</w:t>
            </w:r>
          </w:p>
        </w:tc>
      </w:tr>
      <w:tr w:rsidR="00A259BD" w:rsidRPr="00A259BD" w14:paraId="30236D68" w14:textId="77777777">
        <w:tc>
          <w:tcPr>
            <w:tcW w:w="726" w:type="dxa"/>
          </w:tcPr>
          <w:p w14:paraId="753A82C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1933</w:t>
            </w:r>
          </w:p>
        </w:tc>
        <w:tc>
          <w:tcPr>
            <w:tcW w:w="3236" w:type="dxa"/>
          </w:tcPr>
          <w:p w14:paraId="60B8DE3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194,1</w:t>
            </w:r>
          </w:p>
        </w:tc>
        <w:tc>
          <w:tcPr>
            <w:tcW w:w="3236" w:type="dxa"/>
          </w:tcPr>
          <w:p w14:paraId="2F31EBF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282,2</w:t>
            </w:r>
          </w:p>
        </w:tc>
        <w:tc>
          <w:tcPr>
            <w:tcW w:w="2160" w:type="dxa"/>
          </w:tcPr>
          <w:p w14:paraId="2936A34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476,3</w:t>
            </w:r>
          </w:p>
        </w:tc>
      </w:tr>
      <w:tr w:rsidR="00A259BD" w:rsidRPr="00A259BD" w14:paraId="3B566602" w14:textId="77777777">
        <w:tc>
          <w:tcPr>
            <w:tcW w:w="726" w:type="dxa"/>
          </w:tcPr>
          <w:p w14:paraId="5A28FD9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1934</w:t>
            </w:r>
          </w:p>
        </w:tc>
        <w:tc>
          <w:tcPr>
            <w:tcW w:w="3236" w:type="dxa"/>
          </w:tcPr>
          <w:p w14:paraId="7196007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223,0</w:t>
            </w:r>
          </w:p>
        </w:tc>
        <w:tc>
          <w:tcPr>
            <w:tcW w:w="3236" w:type="dxa"/>
          </w:tcPr>
          <w:p w14:paraId="229BE6C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63,3</w:t>
            </w:r>
          </w:p>
        </w:tc>
        <w:tc>
          <w:tcPr>
            <w:tcW w:w="2160" w:type="dxa"/>
          </w:tcPr>
          <w:p w14:paraId="51F1910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286,3</w:t>
            </w:r>
          </w:p>
        </w:tc>
      </w:tr>
      <w:tr w:rsidR="00A259BD" w:rsidRPr="00A259BD" w14:paraId="2D4E08BD" w14:textId="77777777">
        <w:tc>
          <w:tcPr>
            <w:tcW w:w="726" w:type="dxa"/>
          </w:tcPr>
          <w:p w14:paraId="7C941CB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1935</w:t>
            </w:r>
          </w:p>
        </w:tc>
        <w:tc>
          <w:tcPr>
            <w:tcW w:w="3236" w:type="dxa"/>
          </w:tcPr>
          <w:p w14:paraId="591F59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191,7</w:t>
            </w:r>
          </w:p>
        </w:tc>
        <w:tc>
          <w:tcPr>
            <w:tcW w:w="3236" w:type="dxa"/>
          </w:tcPr>
          <w:p w14:paraId="22B856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49,3</w:t>
            </w:r>
          </w:p>
        </w:tc>
        <w:tc>
          <w:tcPr>
            <w:tcW w:w="2160" w:type="dxa"/>
          </w:tcPr>
          <w:p w14:paraId="14DAE9F5"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241,0</w:t>
            </w:r>
          </w:p>
        </w:tc>
      </w:tr>
      <w:tr w:rsidR="00A259BD" w:rsidRPr="00A259BD" w14:paraId="6EA5184B" w14:textId="77777777">
        <w:tc>
          <w:tcPr>
            <w:tcW w:w="726" w:type="dxa"/>
          </w:tcPr>
          <w:p w14:paraId="25B1FEF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1936</w:t>
            </w:r>
          </w:p>
        </w:tc>
        <w:tc>
          <w:tcPr>
            <w:tcW w:w="3236" w:type="dxa"/>
          </w:tcPr>
          <w:p w14:paraId="3890494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93,2</w:t>
            </w:r>
          </w:p>
        </w:tc>
        <w:tc>
          <w:tcPr>
            <w:tcW w:w="3236" w:type="dxa"/>
          </w:tcPr>
          <w:p w14:paraId="12586EC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126,1</w:t>
            </w:r>
          </w:p>
        </w:tc>
        <w:tc>
          <w:tcPr>
            <w:tcW w:w="2160" w:type="dxa"/>
          </w:tcPr>
          <w:p w14:paraId="659DB7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219,3</w:t>
            </w:r>
          </w:p>
        </w:tc>
      </w:tr>
      <w:tr w:rsidR="00A259BD" w:rsidRPr="00A259BD" w14:paraId="63A06B02" w14:textId="77777777">
        <w:tc>
          <w:tcPr>
            <w:tcW w:w="726" w:type="dxa"/>
            <w:tcBorders>
              <w:bottom w:val="single" w:sz="12" w:space="0" w:color="000000"/>
            </w:tcBorders>
          </w:tcPr>
          <w:p w14:paraId="4EA1ED5B"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1937</w:t>
            </w:r>
          </w:p>
        </w:tc>
        <w:tc>
          <w:tcPr>
            <w:tcW w:w="3236" w:type="dxa"/>
            <w:tcBorders>
              <w:bottom w:val="single" w:sz="12" w:space="0" w:color="000000"/>
            </w:tcBorders>
          </w:tcPr>
          <w:p w14:paraId="351B9C7E"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65,1</w:t>
            </w:r>
          </w:p>
        </w:tc>
        <w:tc>
          <w:tcPr>
            <w:tcW w:w="3236" w:type="dxa"/>
            <w:tcBorders>
              <w:bottom w:val="single" w:sz="12" w:space="0" w:color="000000"/>
            </w:tcBorders>
          </w:tcPr>
          <w:p w14:paraId="7F4F5ED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117,4</w:t>
            </w:r>
          </w:p>
        </w:tc>
        <w:tc>
          <w:tcPr>
            <w:tcW w:w="2160" w:type="dxa"/>
            <w:tcBorders>
              <w:bottom w:val="single" w:sz="12" w:space="0" w:color="000000"/>
            </w:tcBorders>
          </w:tcPr>
          <w:p w14:paraId="22F672D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182,5 (11208)</w:t>
            </w:r>
          </w:p>
        </w:tc>
      </w:tr>
    </w:tbl>
    <w:p w14:paraId="1C3621D1"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Однако не следует думать, будто это сокращение было вызвано исключительно идеологическими причинами. СССР к тому времени вообще стал импортировать меньше. По мере развития собственной промышленной базы потребность во внешних закупках оборудования снизилась. Кроме того, у нашей страны не было валютных ресурсов для столь значительного импорта. </w:t>
      </w:r>
    </w:p>
    <w:p w14:paraId="63BC0C9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Тем не менее окончательно советско-германская торговля не угасла. Продолжалось и знакомство советских специалистов с немецкими достижениями. Так, в 1933-1934 годах в Германии побывали конструкторы-моторостроители Харьковского паровозостроительного завода, занимавшиеся разработкой нового танкового двигателя. С немецкими техническими достижениями в этой области ознакомились Я. Е. </w:t>
      </w:r>
      <w:proofErr w:type="spellStart"/>
      <w:r w:rsidRPr="00A259BD">
        <w:rPr>
          <w:rFonts w:ascii="Times New Roman" w:hAnsi="Times New Roman"/>
          <w:color w:val="000000" w:themeColor="text1"/>
          <w:sz w:val="16"/>
          <w:szCs w:val="16"/>
        </w:rPr>
        <w:t>Вихман</w:t>
      </w:r>
      <w:proofErr w:type="spellEnd"/>
      <w:r w:rsidRPr="00A259BD">
        <w:rPr>
          <w:rFonts w:ascii="Times New Roman" w:hAnsi="Times New Roman"/>
          <w:color w:val="000000" w:themeColor="text1"/>
          <w:sz w:val="16"/>
          <w:szCs w:val="16"/>
        </w:rPr>
        <w:t xml:space="preserve"> и К. Ф. </w:t>
      </w:r>
      <w:proofErr w:type="spellStart"/>
      <w:r w:rsidRPr="00A259BD">
        <w:rPr>
          <w:rFonts w:ascii="Times New Roman" w:hAnsi="Times New Roman"/>
          <w:color w:val="000000" w:themeColor="text1"/>
          <w:sz w:val="16"/>
          <w:szCs w:val="16"/>
        </w:rPr>
        <w:t>Челпан</w:t>
      </w:r>
      <w:proofErr w:type="spellEnd"/>
      <w:r w:rsidRPr="00A259BD">
        <w:rPr>
          <w:rFonts w:ascii="Times New Roman" w:hAnsi="Times New Roman"/>
          <w:color w:val="000000" w:themeColor="text1"/>
          <w:sz w:val="16"/>
          <w:szCs w:val="16"/>
        </w:rPr>
        <w:t>. А. А. Микулин изучал производство фирмы БМВ в сравнении с разработками “Роллс-Ройса”, “Испано-</w:t>
      </w:r>
      <w:proofErr w:type="spellStart"/>
      <w:r w:rsidRPr="00A259BD">
        <w:rPr>
          <w:rFonts w:ascii="Times New Roman" w:hAnsi="Times New Roman"/>
          <w:color w:val="000000" w:themeColor="text1"/>
          <w:sz w:val="16"/>
          <w:szCs w:val="16"/>
        </w:rPr>
        <w:t>Сюизы</w:t>
      </w:r>
      <w:proofErr w:type="spellEnd"/>
      <w:r w:rsidRPr="00A259BD">
        <w:rPr>
          <w:rFonts w:ascii="Times New Roman" w:hAnsi="Times New Roman"/>
          <w:color w:val="000000" w:themeColor="text1"/>
          <w:sz w:val="16"/>
          <w:szCs w:val="16"/>
        </w:rPr>
        <w:t xml:space="preserve">” и “Фиата”. В результате была закуплена лицензия на двигатель БМВ мощностью в 500 л.с. Уже в 1934 году было развернуто производство среднего танка Т-28 с мотором этого типа. [202] </w:t>
      </w:r>
    </w:p>
    <w:p w14:paraId="403BE98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5579BBE0" w14:textId="77777777" w:rsidR="00F547C5" w:rsidRPr="00A259BD" w:rsidRDefault="00EA4835"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Жизнь и внутренняя политика:</w:t>
      </w:r>
    </w:p>
    <w:p w14:paraId="3A295B30"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5F9C1FF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 1929 г. по 1932 г. советское государство использовало западных архитекторов. Основная масса иностранцев покидает СССР в 1932 — 34 гг. Единицы доработали до 1938 г. Эффект от их деятельности трудно оценить однозначно. С художественно-архитектурной точки зрения потерпели фиаско все. Социалистические города, которые должны были продемонстрировать Европе преимущества государственной собственности на землю и социалистического строя в целом, обернулись, в конечном счёте, морем бараков с </w:t>
      </w:r>
      <w:proofErr w:type="spellStart"/>
      <w:r w:rsidRPr="00A259BD">
        <w:rPr>
          <w:rFonts w:ascii="Times New Roman" w:hAnsi="Times New Roman"/>
          <w:color w:val="000000" w:themeColor="text1"/>
          <w:sz w:val="16"/>
          <w:szCs w:val="16"/>
        </w:rPr>
        <w:t>покомнатно</w:t>
      </w:r>
      <w:proofErr w:type="spellEnd"/>
      <w:r w:rsidRPr="00A259BD">
        <w:rPr>
          <w:rFonts w:ascii="Times New Roman" w:hAnsi="Times New Roman"/>
          <w:color w:val="000000" w:themeColor="text1"/>
          <w:sz w:val="16"/>
          <w:szCs w:val="16"/>
        </w:rPr>
        <w:t>-посемейным заселением и помпезными площадями в центрах городов. Новый советский государственный стиль оказался, как будто в насмешку, поразительно похож на гитлеровский классицизм, расцветший одновременно со сталинским. Сугубо специфического архитектурно-планировочного решения социалистического города — уникального, не похожего на города капитализма, выработать так и не удалось. При этом, невозможно не замечать ту кардинальную роль, которую некоторые из иностранных архитекторов сыграли в строительстве советской тяжёлой и военной промышленности. Ведь соцгорода были хоть и важной с точки зрения пропаганды, но малосущественной с точки зрения капитальных вложений темой в реализации планов первой пятилетки. Главной была промышленность. А массированный импорт западных производственных технологий и возведение сотен новых, часто крупнейших в мире заводов оказались возможными, прежде всего, благодаря заимствованию американского и немецкого методов конвейерно-поточного производства проектной документации. Не говоря уже о том, что на их основе, в конечном счёте, оказалась выстроена вся государственная система массового проектирования в СССР, долгие годы существовавшая как бы автономно от проектирования уникальных объектов и ансамблей центров городов (11596).</w:t>
      </w:r>
    </w:p>
    <w:p w14:paraId="03835DA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1AC094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Авиапромышленность:</w:t>
      </w:r>
    </w:p>
    <w:p w14:paraId="1FEE0666"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097843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1920-х гг. УВВС начало рассылать по заводам образцы покрашенной ткани как эталоны цвета. Это должно было хоть частично устранить разнобой в покраске машин. Если судить по сохранившимся до наших дней образцам, то действительно зеленый тон был с сильной желтизной, приближаясь к хаки, а голубой имел сероватый оттенок (11987).</w:t>
      </w:r>
    </w:p>
    <w:p w14:paraId="65CA499F"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1C7754EC"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1920-х гг. в нашей стране стали осваивать металлическое самолетостроение. Сначала на вооружение поступили разведчики Ю-20 и Ю-21, строившиеся филиалом фирмы "Юнкере" в Филях. Затем к ним добавились отечественные конструкции: истребитель И-4, разведчик Р-3 и бомбардировщик ТБ-1. Все они должны были получить стандартный облик: зеленый верх, голубой низ.</w:t>
      </w:r>
    </w:p>
    <w:p w14:paraId="29019463"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Исключением являлись только транспортные самолеты Юнкере F13 (у нас именовавшиеся Ю-13), закупавшиеся в Германии как гражданские. Они сохраняли традиционную фирменную </w:t>
      </w:r>
      <w:proofErr w:type="spellStart"/>
      <w:r w:rsidRPr="00A259BD">
        <w:rPr>
          <w:rFonts w:ascii="Times New Roman" w:hAnsi="Times New Roman"/>
          <w:color w:val="000000" w:themeColor="text1"/>
          <w:sz w:val="16"/>
          <w:szCs w:val="16"/>
        </w:rPr>
        <w:t>светлосерую</w:t>
      </w:r>
      <w:proofErr w:type="spellEnd"/>
      <w:r w:rsidRPr="00A259BD">
        <w:rPr>
          <w:rFonts w:ascii="Times New Roman" w:hAnsi="Times New Roman"/>
          <w:color w:val="000000" w:themeColor="text1"/>
          <w:sz w:val="16"/>
          <w:szCs w:val="16"/>
        </w:rPr>
        <w:t xml:space="preserve"> окраску с черной носовой частью фюзеляжа.</w:t>
      </w:r>
    </w:p>
    <w:p w14:paraId="3CA66BB6"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Когда советские заводы стали строить самолеты с металлической обшивкой, с их покраской сразу возникли большие проблемы. Имевшиеся лаки и эмали плохо держались на алюминии. После серии экспериментов остановились на масляных красках. Лакокрасочные фабрики поставляли базовые компоненты, а смешивали их уже на самолетостроительных предприятиях.</w:t>
      </w:r>
    </w:p>
    <w:p w14:paraId="577F0579"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 xml:space="preserve">Красились уже собранные самолеты. Перед этим их мыли и обезжиривали бензином. Металл не грунтовали, клали на него два слоя масляной краски с промежуточной сушкой. Краска состояла </w:t>
      </w:r>
    </w:p>
    <w:p w14:paraId="3F01E36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из смеси пигментов (примерно 70% объема) и натуральной олифы (30%). Поверх нее наносился защитный слой прозрачного масляного лака. Получалось глянцевое гладкое покрытие, хотя в солнечную погоду блики на обшивке явно создавали демаскирующий эффект (11987).</w:t>
      </w:r>
    </w:p>
    <w:p w14:paraId="467E98BA"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01B5E00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1920-х годов на вооружение ВВС РККА поступили немецкие бомбардировщики ЮГ-1, окрашенные по стандартной советской схеме, но немецкими эмалями, более стойкими, чем отечественные. Но через некоторое время и эти машины потребовали перекраски. Вместе с самолетами был приобретен запас немецких эмалей, но уже к 1931 г. он иссяк, и пришлось перейти на советские краски (11987).</w:t>
      </w:r>
    </w:p>
    <w:p w14:paraId="396038D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3B70A6AF" w14:textId="77777777" w:rsidR="00F547C5" w:rsidRPr="00A259BD" w:rsidRDefault="002E2A19" w:rsidP="009236E3">
      <w:pPr>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Другие оборонные отрасли:</w:t>
      </w:r>
    </w:p>
    <w:p w14:paraId="6BB7629C" w14:textId="77777777" w:rsidR="00F547C5" w:rsidRPr="00A259BD" w:rsidRDefault="00F547C5" w:rsidP="009236E3">
      <w:pPr>
        <w:autoSpaceDE w:val="0"/>
        <w:autoSpaceDN w:val="0"/>
        <w:adjustRightInd w:val="0"/>
        <w:spacing w:after="0" w:line="240" w:lineRule="auto"/>
        <w:jc w:val="both"/>
        <w:rPr>
          <w:rFonts w:ascii="Times New Roman" w:hAnsi="Times New Roman"/>
          <w:iCs/>
          <w:color w:val="000000" w:themeColor="text1"/>
          <w:sz w:val="16"/>
          <w:szCs w:val="16"/>
        </w:rPr>
      </w:pPr>
    </w:p>
    <w:p w14:paraId="754EEF1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1920-х предлагалось сво</w:t>
      </w:r>
      <w:r w:rsidRPr="00A259BD">
        <w:rPr>
          <w:rFonts w:ascii="Times New Roman" w:hAnsi="Times New Roman"/>
          <w:color w:val="000000" w:themeColor="text1"/>
          <w:sz w:val="16"/>
          <w:szCs w:val="16"/>
        </w:rPr>
        <w:softHyphen/>
        <w:t>дить танки в отдельные батальоны и полки, которые в зави</w:t>
      </w:r>
      <w:r w:rsidRPr="00A259BD">
        <w:rPr>
          <w:rFonts w:ascii="Times New Roman" w:hAnsi="Times New Roman"/>
          <w:color w:val="000000" w:themeColor="text1"/>
          <w:sz w:val="16"/>
          <w:szCs w:val="16"/>
        </w:rPr>
        <w:softHyphen/>
        <w:t>симости от типов танков включались в состав стрелковых частей и соединений либо оставались в резерве Главного ко</w:t>
      </w:r>
      <w:r w:rsidRPr="00A259BD">
        <w:rPr>
          <w:rFonts w:ascii="Times New Roman" w:hAnsi="Times New Roman"/>
          <w:color w:val="000000" w:themeColor="text1"/>
          <w:sz w:val="16"/>
          <w:szCs w:val="16"/>
        </w:rPr>
        <w:softHyphen/>
        <w:t>мандования, с тем чтобы танки помогали пехоте “прогры</w:t>
      </w:r>
      <w:r w:rsidRPr="00A259BD">
        <w:rPr>
          <w:rFonts w:ascii="Times New Roman" w:hAnsi="Times New Roman"/>
          <w:color w:val="000000" w:themeColor="text1"/>
          <w:sz w:val="16"/>
          <w:szCs w:val="16"/>
        </w:rPr>
        <w:softHyphen/>
        <w:t>зать” линии обороны противника. Но заместитель началь</w:t>
      </w:r>
      <w:r w:rsidRPr="00A259BD">
        <w:rPr>
          <w:rFonts w:ascii="Times New Roman" w:hAnsi="Times New Roman"/>
          <w:color w:val="000000" w:themeColor="text1"/>
          <w:sz w:val="16"/>
          <w:szCs w:val="16"/>
        </w:rPr>
        <w:softHyphen/>
        <w:t xml:space="preserve">ника штаба РККА В. </w:t>
      </w:r>
      <w:proofErr w:type="spellStart"/>
      <w:r w:rsidRPr="00A259BD">
        <w:rPr>
          <w:rFonts w:ascii="Times New Roman" w:hAnsi="Times New Roman"/>
          <w:color w:val="000000" w:themeColor="text1"/>
          <w:sz w:val="16"/>
          <w:szCs w:val="16"/>
        </w:rPr>
        <w:t>Триандафилов</w:t>
      </w:r>
      <w:proofErr w:type="spellEnd"/>
      <w:r w:rsidRPr="00A259BD">
        <w:rPr>
          <w:rFonts w:ascii="Times New Roman" w:hAnsi="Times New Roman"/>
          <w:color w:val="000000" w:themeColor="text1"/>
          <w:sz w:val="16"/>
          <w:szCs w:val="16"/>
        </w:rPr>
        <w:t xml:space="preserve"> считал, что прорыв вра</w:t>
      </w:r>
      <w:r w:rsidRPr="00A259BD">
        <w:rPr>
          <w:rFonts w:ascii="Times New Roman" w:hAnsi="Times New Roman"/>
          <w:color w:val="000000" w:themeColor="text1"/>
          <w:sz w:val="16"/>
          <w:szCs w:val="16"/>
        </w:rPr>
        <w:softHyphen/>
        <w:t>жеской обороны должен осуществляться иначе (10733,280).</w:t>
      </w:r>
    </w:p>
    <w:p w14:paraId="7037E98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05B5B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1920-х В. </w:t>
      </w:r>
      <w:proofErr w:type="spellStart"/>
      <w:r w:rsidRPr="00A259BD">
        <w:rPr>
          <w:rFonts w:ascii="Times New Roman" w:hAnsi="Times New Roman"/>
          <w:color w:val="000000" w:themeColor="text1"/>
          <w:sz w:val="16"/>
          <w:szCs w:val="16"/>
        </w:rPr>
        <w:t>Триандафилов</w:t>
      </w:r>
      <w:proofErr w:type="spellEnd"/>
      <w:r w:rsidRPr="00A259BD">
        <w:rPr>
          <w:rFonts w:ascii="Times New Roman" w:hAnsi="Times New Roman"/>
          <w:color w:val="000000" w:themeColor="text1"/>
          <w:sz w:val="16"/>
          <w:szCs w:val="16"/>
        </w:rPr>
        <w:t xml:space="preserve"> в своих выступлениях на Совете обороны неоднократно поднимал вопрос об отказе от стратегии равномерного наступления на всем фронте, но за концент</w:t>
      </w:r>
      <w:r w:rsidRPr="00A259BD">
        <w:rPr>
          <w:rFonts w:ascii="Times New Roman" w:hAnsi="Times New Roman"/>
          <w:color w:val="000000" w:themeColor="text1"/>
          <w:sz w:val="16"/>
          <w:szCs w:val="16"/>
        </w:rPr>
        <w:softHyphen/>
        <w:t>рацию войск на направлениях главного удара. Чтобы за счет мощного прорыва фронта на узком участке и стремительно</w:t>
      </w:r>
      <w:r w:rsidRPr="00A259BD">
        <w:rPr>
          <w:rFonts w:ascii="Times New Roman" w:hAnsi="Times New Roman"/>
          <w:color w:val="000000" w:themeColor="text1"/>
          <w:sz w:val="16"/>
          <w:szCs w:val="16"/>
        </w:rPr>
        <w:softHyphen/>
        <w:t>го продвижения своих войск на территории противника пе</w:t>
      </w:r>
      <w:r w:rsidRPr="00A259BD">
        <w:rPr>
          <w:rFonts w:ascii="Times New Roman" w:hAnsi="Times New Roman"/>
          <w:color w:val="000000" w:themeColor="text1"/>
          <w:sz w:val="16"/>
          <w:szCs w:val="16"/>
        </w:rPr>
        <w:softHyphen/>
        <w:t>рейти к расчленению вражеских группировок, их окруже</w:t>
      </w:r>
      <w:r w:rsidRPr="00A259BD">
        <w:rPr>
          <w:rFonts w:ascii="Times New Roman" w:hAnsi="Times New Roman"/>
          <w:color w:val="000000" w:themeColor="text1"/>
          <w:sz w:val="16"/>
          <w:szCs w:val="16"/>
        </w:rPr>
        <w:softHyphen/>
        <w:t xml:space="preserve">нию и уничтожению по частям. Это было возможно лишь при постоянном упреждении неприятеля за счет высокой мобильности собственных ударных соединений. В. </w:t>
      </w:r>
      <w:proofErr w:type="spellStart"/>
      <w:r w:rsidRPr="00A259BD">
        <w:rPr>
          <w:rFonts w:ascii="Times New Roman" w:hAnsi="Times New Roman"/>
          <w:color w:val="000000" w:themeColor="text1"/>
          <w:sz w:val="16"/>
          <w:szCs w:val="16"/>
        </w:rPr>
        <w:t>Трианда</w:t>
      </w:r>
      <w:r w:rsidRPr="00A259BD">
        <w:rPr>
          <w:rFonts w:ascii="Times New Roman" w:hAnsi="Times New Roman"/>
          <w:color w:val="000000" w:themeColor="text1"/>
          <w:sz w:val="16"/>
          <w:szCs w:val="16"/>
        </w:rPr>
        <w:softHyphen/>
        <w:t>филов</w:t>
      </w:r>
      <w:proofErr w:type="spellEnd"/>
      <w:r w:rsidRPr="00A259BD">
        <w:rPr>
          <w:rFonts w:ascii="Times New Roman" w:hAnsi="Times New Roman"/>
          <w:color w:val="000000" w:themeColor="text1"/>
          <w:sz w:val="16"/>
          <w:szCs w:val="16"/>
        </w:rPr>
        <w:t xml:space="preserve"> считал, что в войнах будущего необходимо эшелони</w:t>
      </w:r>
      <w:r w:rsidRPr="00A259BD">
        <w:rPr>
          <w:rFonts w:ascii="Times New Roman" w:hAnsi="Times New Roman"/>
          <w:color w:val="000000" w:themeColor="text1"/>
          <w:sz w:val="16"/>
          <w:szCs w:val="16"/>
        </w:rPr>
        <w:softHyphen/>
        <w:t>ровать собственные наступающие войска в глубину, чтобы после прорыва линии фронта пехотой при поддержке танков сопровождения мощный эшелон развития успеха, ядром ко</w:t>
      </w:r>
      <w:r w:rsidRPr="00A259BD">
        <w:rPr>
          <w:rFonts w:ascii="Times New Roman" w:hAnsi="Times New Roman"/>
          <w:color w:val="000000" w:themeColor="text1"/>
          <w:sz w:val="16"/>
          <w:szCs w:val="16"/>
        </w:rPr>
        <w:softHyphen/>
        <w:t>торого стали бы “оперативные танки”, потряс бы тылы про</w:t>
      </w:r>
      <w:r w:rsidRPr="00A259BD">
        <w:rPr>
          <w:rFonts w:ascii="Times New Roman" w:hAnsi="Times New Roman"/>
          <w:color w:val="000000" w:themeColor="text1"/>
          <w:sz w:val="16"/>
          <w:szCs w:val="16"/>
        </w:rPr>
        <w:softHyphen/>
        <w:t>тивника на глубину до 70—100 км и вышел на оперативный простор. Его идеи всемерно поддерживал инспектор броне</w:t>
      </w:r>
      <w:r w:rsidRPr="00A259BD">
        <w:rPr>
          <w:rFonts w:ascii="Times New Roman" w:hAnsi="Times New Roman"/>
          <w:color w:val="000000" w:themeColor="text1"/>
          <w:sz w:val="16"/>
          <w:szCs w:val="16"/>
        </w:rPr>
        <w:softHyphen/>
        <w:t>сил РККА К. Калиновский, который говорил, что “боевые свойства танков должны быть использованы в полной мере, и осуществить это возможно только в составе самостоятель</w:t>
      </w:r>
      <w:r w:rsidRPr="00A259BD">
        <w:rPr>
          <w:rFonts w:ascii="Times New Roman" w:hAnsi="Times New Roman"/>
          <w:color w:val="000000" w:themeColor="text1"/>
          <w:sz w:val="16"/>
          <w:szCs w:val="16"/>
        </w:rPr>
        <w:softHyphen/>
        <w:t>ного механизированного соединения, все части которого обла</w:t>
      </w:r>
      <w:r w:rsidRPr="00A259BD">
        <w:rPr>
          <w:rFonts w:ascii="Times New Roman" w:hAnsi="Times New Roman"/>
          <w:color w:val="000000" w:themeColor="text1"/>
          <w:sz w:val="16"/>
          <w:szCs w:val="16"/>
        </w:rPr>
        <w:softHyphen/>
        <w:t>дали бы приблизительно одинаковой подвижностью. Поэтому, не отказываясь от применения танковых систем в составе других родов войск, необходимо создавать специальные механи</w:t>
      </w:r>
      <w:r w:rsidRPr="00A259BD">
        <w:rPr>
          <w:rFonts w:ascii="Times New Roman" w:hAnsi="Times New Roman"/>
          <w:color w:val="000000" w:themeColor="text1"/>
          <w:sz w:val="16"/>
          <w:szCs w:val="16"/>
        </w:rPr>
        <w:softHyphen/>
        <w:t>зированные соединения...”. Специальная комиссия РВС СССР во главе с главко</w:t>
      </w:r>
      <w:r w:rsidRPr="00A259BD">
        <w:rPr>
          <w:rFonts w:ascii="Times New Roman" w:hAnsi="Times New Roman"/>
          <w:color w:val="000000" w:themeColor="text1"/>
          <w:sz w:val="16"/>
          <w:szCs w:val="16"/>
        </w:rPr>
        <w:softHyphen/>
        <w:t>мом С. Каменевым пришла к выводу о том, что мотомеха</w:t>
      </w:r>
      <w:r w:rsidRPr="00A259BD">
        <w:rPr>
          <w:rFonts w:ascii="Times New Roman" w:hAnsi="Times New Roman"/>
          <w:color w:val="000000" w:themeColor="text1"/>
          <w:sz w:val="16"/>
          <w:szCs w:val="16"/>
        </w:rPr>
        <w:softHyphen/>
        <w:t>низированные войска в составе РККА нужны и в организа</w:t>
      </w:r>
      <w:r w:rsidRPr="00A259BD">
        <w:rPr>
          <w:rFonts w:ascii="Times New Roman" w:hAnsi="Times New Roman"/>
          <w:color w:val="000000" w:themeColor="text1"/>
          <w:sz w:val="16"/>
          <w:szCs w:val="16"/>
        </w:rPr>
        <w:softHyphen/>
        <w:t>ционном отношении они должны состоять из:</w:t>
      </w:r>
    </w:p>
    <w:p w14:paraId="7219A5DD"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а) механизированных соединений, предназначенных для решения как самостоятельных задач в отрыве от главных сил войск армии (фронта), так и во взаимодействии с ними;</w:t>
      </w:r>
    </w:p>
    <w:p w14:paraId="5CFD14CE"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б) танковые части (соединения) РГК как средство уси</w:t>
      </w:r>
      <w:r w:rsidRPr="00A259BD">
        <w:rPr>
          <w:rFonts w:ascii="Times New Roman" w:hAnsi="Times New Roman"/>
          <w:color w:val="000000" w:themeColor="text1"/>
          <w:sz w:val="16"/>
          <w:szCs w:val="16"/>
        </w:rPr>
        <w:softHyphen/>
        <w:t>ления войск, действующих на направлении главного удара;</w:t>
      </w:r>
    </w:p>
    <w:p w14:paraId="7414170C"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танковые части, организационно входящие в состав общевойсковых соединений и предназначаемые для со</w:t>
      </w:r>
      <w:r w:rsidRPr="00A259BD">
        <w:rPr>
          <w:rFonts w:ascii="Times New Roman" w:hAnsi="Times New Roman"/>
          <w:color w:val="000000" w:themeColor="text1"/>
          <w:sz w:val="16"/>
          <w:szCs w:val="16"/>
        </w:rPr>
        <w:softHyphen/>
        <w:t>вместных действий с ними во всех видах боя (10733,280).</w:t>
      </w:r>
    </w:p>
    <w:p w14:paraId="41C51CF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F6435F"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1920-х годов в состав Военно-морского флота СССР входили следующие крупные боевые корабли: два линко</w:t>
      </w:r>
      <w:r w:rsidRPr="00A259BD">
        <w:rPr>
          <w:rFonts w:ascii="Times New Roman" w:hAnsi="Times New Roman"/>
          <w:color w:val="000000" w:themeColor="text1"/>
          <w:sz w:val="16"/>
          <w:szCs w:val="16"/>
        </w:rPr>
        <w:softHyphen/>
        <w:t>ра - “Марат” и “Октябрьская революция” - на Балтийском море, лин</w:t>
      </w:r>
      <w:r w:rsidRPr="00A259BD">
        <w:rPr>
          <w:rFonts w:ascii="Times New Roman" w:hAnsi="Times New Roman"/>
          <w:color w:val="000000" w:themeColor="text1"/>
          <w:sz w:val="16"/>
          <w:szCs w:val="16"/>
        </w:rPr>
        <w:softHyphen/>
        <w:t>кор “Парижская Коммуна”, крейсеры “Коминтерн”, “Профинтерн”, “Червона Украина” - на Черном море. Установка самолетов, предназначенных для воздушной разведки и корректировки артиллерийского огня, на упомянутых кораблях на</w:t>
      </w:r>
      <w:r w:rsidRPr="00A259BD">
        <w:rPr>
          <w:rFonts w:ascii="Times New Roman" w:hAnsi="Times New Roman"/>
          <w:color w:val="000000" w:themeColor="text1"/>
          <w:sz w:val="16"/>
          <w:szCs w:val="16"/>
        </w:rPr>
        <w:softHyphen/>
        <w:t>чалась в 1925-1926 гг. В соответствии со штатным расписанием, при</w:t>
      </w:r>
      <w:r w:rsidRPr="00A259BD">
        <w:rPr>
          <w:rFonts w:ascii="Times New Roman" w:hAnsi="Times New Roman"/>
          <w:color w:val="000000" w:themeColor="text1"/>
          <w:sz w:val="16"/>
          <w:szCs w:val="16"/>
        </w:rPr>
        <w:softHyphen/>
        <w:t>нятым на советском Военно-морском флоте, корабельное звено само</w:t>
      </w:r>
      <w:r w:rsidRPr="00A259BD">
        <w:rPr>
          <w:rFonts w:ascii="Times New Roman" w:hAnsi="Times New Roman"/>
          <w:color w:val="000000" w:themeColor="text1"/>
          <w:sz w:val="16"/>
          <w:szCs w:val="16"/>
        </w:rPr>
        <w:softHyphen/>
        <w:t>летов стало именоваться “боевая часть-6” (БЧ-6). Одним из первых самолетом оборудовали линкор “Па</w:t>
      </w:r>
      <w:r w:rsidRPr="00A259BD">
        <w:rPr>
          <w:rFonts w:ascii="Times New Roman" w:hAnsi="Times New Roman"/>
          <w:color w:val="000000" w:themeColor="text1"/>
          <w:sz w:val="16"/>
          <w:szCs w:val="16"/>
        </w:rPr>
        <w:softHyphen/>
        <w:t xml:space="preserve">рижская коммуна”, еще в период его пребывания на Бал-тике. Цельнометаллический </w:t>
      </w:r>
      <w:proofErr w:type="spellStart"/>
      <w:r w:rsidRPr="00A259BD">
        <w:rPr>
          <w:rFonts w:ascii="Times New Roman" w:hAnsi="Times New Roman"/>
          <w:color w:val="000000" w:themeColor="text1"/>
          <w:sz w:val="16"/>
          <w:szCs w:val="16"/>
        </w:rPr>
        <w:t>двухпоплапковый</w:t>
      </w:r>
      <w:proofErr w:type="spellEnd"/>
      <w:r w:rsidRPr="00A259BD">
        <w:rPr>
          <w:rFonts w:ascii="Times New Roman" w:hAnsi="Times New Roman"/>
          <w:color w:val="000000" w:themeColor="text1"/>
          <w:sz w:val="16"/>
          <w:szCs w:val="16"/>
        </w:rPr>
        <w:t xml:space="preserve"> Юнкере Ю20 установили на одной из башен главного калибра. Для осуществления полетов Юнкере спускали корабель</w:t>
      </w:r>
      <w:r w:rsidRPr="00A259BD">
        <w:rPr>
          <w:rFonts w:ascii="Times New Roman" w:hAnsi="Times New Roman"/>
          <w:color w:val="000000" w:themeColor="text1"/>
          <w:sz w:val="16"/>
          <w:szCs w:val="16"/>
        </w:rPr>
        <w:softHyphen/>
        <w:t>ным краном на воду, затем снова поднимали на борт. По</w:t>
      </w:r>
      <w:r w:rsidRPr="00A259BD">
        <w:rPr>
          <w:rFonts w:ascii="Times New Roman" w:hAnsi="Times New Roman"/>
          <w:color w:val="000000" w:themeColor="text1"/>
          <w:sz w:val="16"/>
          <w:szCs w:val="16"/>
        </w:rPr>
        <w:softHyphen/>
        <w:t>сле перевода “Парижской Коммуны” на Черное море ту</w:t>
      </w:r>
      <w:r w:rsidRPr="00A259BD">
        <w:rPr>
          <w:rFonts w:ascii="Times New Roman" w:hAnsi="Times New Roman"/>
          <w:color w:val="000000" w:themeColor="text1"/>
          <w:sz w:val="16"/>
          <w:szCs w:val="16"/>
        </w:rPr>
        <w:softHyphen/>
        <w:t>да доставили и самолет, который использовался на лин</w:t>
      </w:r>
      <w:r w:rsidRPr="00A259BD">
        <w:rPr>
          <w:rFonts w:ascii="Times New Roman" w:hAnsi="Times New Roman"/>
          <w:color w:val="000000" w:themeColor="text1"/>
          <w:sz w:val="16"/>
          <w:szCs w:val="16"/>
        </w:rPr>
        <w:softHyphen/>
        <w:t xml:space="preserve">коре вплоть до оборудования его катапультой. Устанавливали самолеты и па трех черноморских крейсерах. Это были поплавковые </w:t>
      </w:r>
      <w:proofErr w:type="spellStart"/>
      <w:r w:rsidRPr="00A259BD">
        <w:rPr>
          <w:rFonts w:ascii="Times New Roman" w:hAnsi="Times New Roman"/>
          <w:color w:val="000000" w:themeColor="text1"/>
          <w:sz w:val="16"/>
          <w:szCs w:val="16"/>
        </w:rPr>
        <w:t>Авро</w:t>
      </w:r>
      <w:proofErr w:type="spellEnd"/>
      <w:r w:rsidRPr="00A259BD">
        <w:rPr>
          <w:rFonts w:ascii="Times New Roman" w:hAnsi="Times New Roman"/>
          <w:color w:val="000000" w:themeColor="text1"/>
          <w:sz w:val="16"/>
          <w:szCs w:val="16"/>
        </w:rPr>
        <w:t xml:space="preserve"> 504К, известные в советской авиации как МУ-1 (Морской учебный - пер</w:t>
      </w:r>
      <w:r w:rsidRPr="00A259BD">
        <w:rPr>
          <w:rFonts w:ascii="Times New Roman" w:hAnsi="Times New Roman"/>
          <w:color w:val="000000" w:themeColor="text1"/>
          <w:sz w:val="16"/>
          <w:szCs w:val="16"/>
        </w:rPr>
        <w:softHyphen/>
        <w:t>вый). На крейсерах “Профинтерн” и “Червона Украина” один такой самолет обычно размещался между второй и третьей дымовыми трубами, его опускали на воду и под</w:t>
      </w:r>
      <w:r w:rsidRPr="00A259BD">
        <w:rPr>
          <w:rFonts w:ascii="Times New Roman" w:hAnsi="Times New Roman"/>
          <w:color w:val="000000" w:themeColor="text1"/>
          <w:sz w:val="16"/>
          <w:szCs w:val="16"/>
        </w:rPr>
        <w:softHyphen/>
        <w:t>нимали при помощи кран-балки. Иногда количество са</w:t>
      </w:r>
      <w:r w:rsidRPr="00A259BD">
        <w:rPr>
          <w:rFonts w:ascii="Times New Roman" w:hAnsi="Times New Roman"/>
          <w:color w:val="000000" w:themeColor="text1"/>
          <w:sz w:val="16"/>
          <w:szCs w:val="16"/>
        </w:rPr>
        <w:softHyphen/>
        <w:t>молетов на борту доходило до трех единиц. В частности, легкий крейсер “Червона Украина”, посетивший в мае 1928 г. с дружественным визитом Стамбул, нес на борту три корабельных МУ-1. Использование самолетов Юнкере Ю20 и МУ-1 на ко</w:t>
      </w:r>
      <w:r w:rsidRPr="00A259BD">
        <w:rPr>
          <w:rFonts w:ascii="Times New Roman" w:hAnsi="Times New Roman"/>
          <w:color w:val="000000" w:themeColor="text1"/>
          <w:sz w:val="16"/>
          <w:szCs w:val="16"/>
        </w:rPr>
        <w:softHyphen/>
        <w:t>раблях считалось временным, так как уже с 1925 г. в Со</w:t>
      </w:r>
      <w:r w:rsidRPr="00A259BD">
        <w:rPr>
          <w:rFonts w:ascii="Times New Roman" w:hAnsi="Times New Roman"/>
          <w:color w:val="000000" w:themeColor="text1"/>
          <w:sz w:val="16"/>
          <w:szCs w:val="16"/>
        </w:rPr>
        <w:softHyphen/>
        <w:t>ветском Союзе начались работы по созданию катапульт и специальных корабельных самолетов (11107).</w:t>
      </w:r>
    </w:p>
    <w:p w14:paraId="1F835A19"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24289B" w14:textId="77777777" w:rsidR="00F547C5" w:rsidRPr="00A259BD" w:rsidRDefault="00EA483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Внешняя политика:</w:t>
      </w:r>
    </w:p>
    <w:p w14:paraId="3F368CA3"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2ABE2A4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конце 20-х годов во Франции начала работать сеть «рабкоров». Их работой руководил К. </w:t>
      </w:r>
      <w:proofErr w:type="spellStart"/>
      <w:r w:rsidRPr="00A259BD">
        <w:rPr>
          <w:rFonts w:ascii="Times New Roman" w:hAnsi="Times New Roman"/>
          <w:color w:val="000000" w:themeColor="text1"/>
          <w:sz w:val="16"/>
          <w:szCs w:val="16"/>
        </w:rPr>
        <w:t>Лиожье</w:t>
      </w:r>
      <w:proofErr w:type="spellEnd"/>
      <w:r w:rsidRPr="00A259BD">
        <w:rPr>
          <w:rFonts w:ascii="Times New Roman" w:hAnsi="Times New Roman"/>
          <w:color w:val="000000" w:themeColor="text1"/>
          <w:sz w:val="16"/>
          <w:szCs w:val="16"/>
        </w:rPr>
        <w:t xml:space="preserve"> (Филипп), бывший рабочий из департамента Луара, автор романа «Сталь». За его спиной стоял Й. Вир, польский коммунист, координирующий взаимодействие «рабкоров» и советской военной разведки.</w:t>
      </w:r>
    </w:p>
    <w:p w14:paraId="5C67955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Схема организации их работы была проста и эффективна. Газета «Юманите» (центральный орган французской компартии) обратилась ко всем своим читателям с просьбой присылать заметки и очерки о том, что происходит на их заводах и фабриках. Особо рекомендовалось обращать внимание на факты тайной подготовки к войне с СССР. Наиболее интересные материалы редакция обещала опубликовать. Все присланные материалы внимательно изучались и на их основе готовились обзоры для Москвы. Сотрудник советской поенной разведки С. Маркович отвечал за этот участок работы (Пятницкий В. И. Заговор против Сталина. — М., 1998, с. 224-225.).</w:t>
      </w:r>
    </w:p>
    <w:p w14:paraId="0CD91E60"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 Вир занимался не только аналитической работой, он регулярно переправлял в Москву образцы новейшего вооружения. Однажды он прибыл в Париж как агент по торговле бельем. В его чемодане среди кружевных панталон лежала французская мина, недавно принятая на вооружение (</w:t>
      </w:r>
      <w:proofErr w:type="spellStart"/>
      <w:r w:rsidRPr="00A259BD">
        <w:rPr>
          <w:rFonts w:ascii="Times New Roman" w:hAnsi="Times New Roman"/>
          <w:color w:val="000000" w:themeColor="text1"/>
          <w:sz w:val="16"/>
          <w:szCs w:val="16"/>
        </w:rPr>
        <w:t>Фалиго</w:t>
      </w:r>
      <w:proofErr w:type="spellEnd"/>
      <w:r w:rsidRPr="00A259BD">
        <w:rPr>
          <w:rFonts w:ascii="Times New Roman" w:hAnsi="Times New Roman"/>
          <w:color w:val="000000" w:themeColor="text1"/>
          <w:sz w:val="16"/>
          <w:szCs w:val="16"/>
        </w:rPr>
        <w:t xml:space="preserve"> Р., </w:t>
      </w:r>
      <w:proofErr w:type="spellStart"/>
      <w:r w:rsidRPr="00A259BD">
        <w:rPr>
          <w:rFonts w:ascii="Times New Roman" w:hAnsi="Times New Roman"/>
          <w:color w:val="000000" w:themeColor="text1"/>
          <w:sz w:val="16"/>
          <w:szCs w:val="16"/>
        </w:rPr>
        <w:t>Коффер</w:t>
      </w:r>
      <w:proofErr w:type="spellEnd"/>
      <w:r w:rsidRPr="00A259BD">
        <w:rPr>
          <w:rFonts w:ascii="Times New Roman" w:hAnsi="Times New Roman"/>
          <w:color w:val="000000" w:themeColor="text1"/>
          <w:sz w:val="16"/>
          <w:szCs w:val="16"/>
        </w:rPr>
        <w:t xml:space="preserve"> Р. Всемирная история разведывательных служб. Т. 1. 1870-1939. — М., 1997, с. 206.).</w:t>
      </w:r>
    </w:p>
    <w:p w14:paraId="006EEE5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По утверждению французской полиции, между 1928 и 1933 годами в стране действовала сеть, которая состояла более чем из 250 агентов. Это только те люди, кого удалось идентифицировать. На самом деле их было значительно больше.</w:t>
      </w:r>
    </w:p>
    <w:p w14:paraId="3ABA528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Среди них был отставной полковник О. </w:t>
      </w:r>
      <w:proofErr w:type="spellStart"/>
      <w:r w:rsidRPr="00A259BD">
        <w:rPr>
          <w:rFonts w:ascii="Times New Roman" w:hAnsi="Times New Roman"/>
          <w:color w:val="000000" w:themeColor="text1"/>
          <w:sz w:val="16"/>
          <w:szCs w:val="16"/>
        </w:rPr>
        <w:t>Дюмулен</w:t>
      </w:r>
      <w:proofErr w:type="spellEnd"/>
      <w:r w:rsidRPr="00A259BD">
        <w:rPr>
          <w:rFonts w:ascii="Times New Roman" w:hAnsi="Times New Roman"/>
          <w:color w:val="000000" w:themeColor="text1"/>
          <w:sz w:val="16"/>
          <w:szCs w:val="16"/>
        </w:rPr>
        <w:t>, сотрудничающий с советской разведкой с 1923 года. Он издавал журнал «Армия и демократия» и везде представлялся, как независимый военный эксперт. Одна из задач, стоявших перед ним, — сбор информации об определенных военных заводах и выпускаемой ими продукции.</w:t>
      </w:r>
    </w:p>
    <w:p w14:paraId="18FDC7FD"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Инженер Обри из военного министерства и его жена специализировались на поставке секретных данных о взрывчатых веществах. Сотрудник химико-биологической лаборатории В. Райх регулярно информировал Москву об отравляющих газах и бактериологическом оружии (</w:t>
      </w:r>
      <w:proofErr w:type="spellStart"/>
      <w:r w:rsidRPr="00A259BD">
        <w:rPr>
          <w:rFonts w:ascii="Times New Roman" w:hAnsi="Times New Roman"/>
          <w:color w:val="000000" w:themeColor="text1"/>
          <w:sz w:val="16"/>
          <w:szCs w:val="16"/>
        </w:rPr>
        <w:t>Даллин</w:t>
      </w:r>
      <w:proofErr w:type="spellEnd"/>
      <w:r w:rsidRPr="00A259BD">
        <w:rPr>
          <w:rFonts w:ascii="Times New Roman" w:hAnsi="Times New Roman"/>
          <w:color w:val="000000" w:themeColor="text1"/>
          <w:sz w:val="16"/>
          <w:szCs w:val="16"/>
        </w:rPr>
        <w:t xml:space="preserve"> Д. Шпионаж по-советски. — М., 2001, с. 59—61.) (11765).</w:t>
      </w:r>
    </w:p>
    <w:p w14:paraId="5AEDEEE7"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74F30462"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 xml:space="preserve">В 1929 году во время посещения Советского Союза был завербован депутат рейхстага и член комиссии по иностранным делам Союза германских промышленников, профессор Кенигсбергского университета Д. </w:t>
      </w:r>
      <w:proofErr w:type="spellStart"/>
      <w:r w:rsidRPr="00A259BD">
        <w:rPr>
          <w:rFonts w:ascii="Times New Roman" w:hAnsi="Times New Roman"/>
          <w:color w:val="000000" w:themeColor="text1"/>
          <w:sz w:val="16"/>
          <w:szCs w:val="16"/>
        </w:rPr>
        <w:t>Прейер</w:t>
      </w:r>
      <w:proofErr w:type="spellEnd"/>
      <w:r w:rsidRPr="00A259BD">
        <w:rPr>
          <w:rFonts w:ascii="Times New Roman" w:hAnsi="Times New Roman"/>
          <w:color w:val="000000" w:themeColor="text1"/>
          <w:sz w:val="16"/>
          <w:szCs w:val="16"/>
        </w:rPr>
        <w:t xml:space="preserve">. Вместе с ним с внешней разведкой согласилась сотрудничать его секретарь — Г. Лоренц. Располагая обширными связями в промышленных кругах страны, </w:t>
      </w:r>
      <w:proofErr w:type="spellStart"/>
      <w:r w:rsidRPr="00A259BD">
        <w:rPr>
          <w:rFonts w:ascii="Times New Roman" w:hAnsi="Times New Roman"/>
          <w:color w:val="000000" w:themeColor="text1"/>
          <w:sz w:val="16"/>
          <w:szCs w:val="16"/>
        </w:rPr>
        <w:t>Прейер</w:t>
      </w:r>
      <w:proofErr w:type="spellEnd"/>
      <w:r w:rsidRPr="00A259BD">
        <w:rPr>
          <w:rFonts w:ascii="Times New Roman" w:hAnsi="Times New Roman"/>
          <w:color w:val="000000" w:themeColor="text1"/>
          <w:sz w:val="16"/>
          <w:szCs w:val="16"/>
        </w:rPr>
        <w:t xml:space="preserve"> до 1932 года давал обширную информацию о позиции германских промышленников по отношению к СССР, описание патентов и технологических процессов (Очерки истории российской внешней разведки: В 6 т. Т. 2. 1917-1933 годы. — М., 1996, с. 224.) (11765).</w:t>
      </w:r>
    </w:p>
    <w:p w14:paraId="29FC1618"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46E85F2D" w14:textId="77777777" w:rsidR="00F547C5" w:rsidRPr="00A259BD" w:rsidRDefault="00EA483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A259BD">
        <w:rPr>
          <w:rFonts w:ascii="Times New Roman" w:hAnsi="Times New Roman"/>
          <w:i/>
          <w:iCs/>
          <w:color w:val="000000" w:themeColor="text1"/>
          <w:sz w:val="16"/>
          <w:szCs w:val="16"/>
        </w:rPr>
        <w:t>За рубежом:</w:t>
      </w:r>
    </w:p>
    <w:p w14:paraId="5B980DA0"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34F898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В конце двадцатых годов в Германии были построены небольшого объема полужесткие дирижабли конструкции “Парсеваль-</w:t>
      </w:r>
      <w:proofErr w:type="spellStart"/>
      <w:r w:rsidRPr="00A259BD">
        <w:rPr>
          <w:rFonts w:ascii="Times New Roman" w:hAnsi="Times New Roman"/>
          <w:color w:val="000000" w:themeColor="text1"/>
          <w:sz w:val="16"/>
          <w:szCs w:val="16"/>
        </w:rPr>
        <w:t>Наатц</w:t>
      </w:r>
      <w:proofErr w:type="spellEnd"/>
      <w:r w:rsidRPr="00A259BD">
        <w:rPr>
          <w:rFonts w:ascii="Times New Roman" w:hAnsi="Times New Roman"/>
          <w:color w:val="000000" w:themeColor="text1"/>
          <w:sz w:val="16"/>
          <w:szCs w:val="16"/>
        </w:rPr>
        <w:t>”: RK-27 и PN-28. Оба эти типа воздушных кораблей сооружались на заводе “</w:t>
      </w:r>
      <w:proofErr w:type="spellStart"/>
      <w:r w:rsidRPr="00A259BD">
        <w:rPr>
          <w:rFonts w:ascii="Times New Roman" w:hAnsi="Times New Roman"/>
          <w:color w:val="000000" w:themeColor="text1"/>
          <w:sz w:val="16"/>
          <w:szCs w:val="16"/>
        </w:rPr>
        <w:t>Вассер</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унд</w:t>
      </w:r>
      <w:proofErr w:type="spellEnd"/>
      <w:r w:rsidRPr="00A259BD">
        <w:rPr>
          <w:rFonts w:ascii="Times New Roman" w:hAnsi="Times New Roman"/>
          <w:color w:val="000000" w:themeColor="text1"/>
          <w:sz w:val="16"/>
          <w:szCs w:val="16"/>
        </w:rPr>
        <w:t xml:space="preserve"> </w:t>
      </w:r>
      <w:proofErr w:type="spellStart"/>
      <w:r w:rsidRPr="00A259BD">
        <w:rPr>
          <w:rFonts w:ascii="Times New Roman" w:hAnsi="Times New Roman"/>
          <w:color w:val="000000" w:themeColor="text1"/>
          <w:sz w:val="16"/>
          <w:szCs w:val="16"/>
        </w:rPr>
        <w:t>Люфтфарцойг</w:t>
      </w:r>
      <w:proofErr w:type="spellEnd"/>
      <w:r w:rsidRPr="00A259BD">
        <w:rPr>
          <w:rFonts w:ascii="Times New Roman" w:hAnsi="Times New Roman"/>
          <w:color w:val="000000" w:themeColor="text1"/>
          <w:sz w:val="16"/>
          <w:szCs w:val="16"/>
        </w:rPr>
        <w:t xml:space="preserve">”. Дирижабли строились из расчета, что будут эксплуатироваться без наличия эллинга, находясь на стоянке на очень легких и простых переносных специально построенных причальных мачтах. [250] </w:t>
      </w:r>
    </w:p>
    <w:p w14:paraId="4D5B775A"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Объем дирижабля RK-27 составлял 1435 куб. м; длина 40 м, наибольший диаметр 8,6 м, высота дирижабля 11,5 м.</w:t>
      </w:r>
    </w:p>
    <w:p w14:paraId="48FE8ED6"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На кормовой части оболочки находилось оперение, состоявшее из крестообразно расположенных горизонтальных и вертикальных стабилизаторов одного и того же размера, к которым на концах прикреплялись при помощи шарниров рули высоты и направления — также все одинаковых размеров и площади. Каркас оперения изготавливался из дерева, а обтягивался материей. Каждая стабилизирующая поверхность оперения прикреплялась к оболочке при помощи четырех растяжек из стальной проволоки. В передней части оболочки имелось разрывное приспособление. Нижняя арматура — треугольной формы и в поперечном сечении представляла собой ферму из трех поясов, состоявших из стальных труб. Пояса связывались между собой распорками, также из стальных труб. Все панели были расчалены по диагоналям стальными проволоками. Гондола, элементы которой делались из стальных труб, жестко соединялась с килем. Она обтягивалась материей и имела большие окна. Гондола была рассчитана на 4 человека. В передней части посредине находился штурвал управления рулями направления; штурвал от рулей глубины располагался сбоку гондолы, причем так, что пилот мог одновременно управлять обоими штурвалами. Тяги от штурвалов к оперению проходили внутри нижней подвесной арматуры.</w:t>
      </w:r>
    </w:p>
    <w:p w14:paraId="68BA8B18"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lastRenderedPageBreak/>
        <w:t>На дирижабле устанавливали 2 мотора типа “</w:t>
      </w:r>
      <w:proofErr w:type="spellStart"/>
      <w:r w:rsidRPr="00A259BD">
        <w:rPr>
          <w:rFonts w:ascii="Times New Roman" w:hAnsi="Times New Roman"/>
          <w:color w:val="000000" w:themeColor="text1"/>
          <w:sz w:val="16"/>
          <w:szCs w:val="16"/>
        </w:rPr>
        <w:t>Анзани</w:t>
      </w:r>
      <w:proofErr w:type="spellEnd"/>
      <w:r w:rsidRPr="00A259BD">
        <w:rPr>
          <w:rFonts w:ascii="Times New Roman" w:hAnsi="Times New Roman"/>
          <w:color w:val="000000" w:themeColor="text1"/>
          <w:sz w:val="16"/>
          <w:szCs w:val="16"/>
        </w:rPr>
        <w:t>” с воздушным охлаждением, по 35 л. с. каждый. Их подвешивали к килевой ферме по обеим ее сторонам. Подвеска моторов осуществлялась при помощи тросов и стальных труб. Под каждым прикреплялось по одному костылю-амортизатору для предохранения моторов от ударов при посадке на [251] землю. Как баки с горючим, так и мешки с водяным балластом помещались в килевой ферме. Баки для горючего были рассчитаны на 160 л, что давало возможность дирижаблю находиться в полете в течение 10 часов, и устанавливались почти в центре тяжести корабля. Подводка горючего к моторам могла регулироваться из гондолы управления. Мешки с водяным балластом располагались по обоим концам киля. Управление балластом из гондолы — при помощи особых тяг.</w:t>
      </w:r>
    </w:p>
    <w:p w14:paraId="57771260"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Дирижабль PN-28 имел объем 1700 куб. м.</w:t>
      </w:r>
    </w:p>
    <w:p w14:paraId="0E08D3FB" w14:textId="77777777" w:rsidR="00F547C5" w:rsidRPr="00A259BD" w:rsidRDefault="00F547C5" w:rsidP="009236E3">
      <w:pPr>
        <w:widowControl w:val="0"/>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Гондола жестко присоединялась к килевой ферме; в ней могли поместиться пилот, механик и три или четыре пассажира. Дирижабль был рассчитан на полезную нагрузку 600 кг. [252] (11324).</w:t>
      </w:r>
    </w:p>
    <w:p w14:paraId="03B8F54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p>
    <w:p w14:paraId="69A5E434" w14:textId="77777777" w:rsidR="00F547C5" w:rsidRPr="00A259BD" w:rsidRDefault="00F547C5" w:rsidP="009236E3">
      <w:pPr>
        <w:autoSpaceDE w:val="0"/>
        <w:autoSpaceDN w:val="0"/>
        <w:adjustRightInd w:val="0"/>
        <w:spacing w:after="0" w:line="240" w:lineRule="auto"/>
        <w:jc w:val="both"/>
        <w:rPr>
          <w:rFonts w:ascii="Times New Roman" w:hAnsi="Times New Roman"/>
          <w:color w:val="000000" w:themeColor="text1"/>
          <w:sz w:val="16"/>
          <w:szCs w:val="16"/>
        </w:rPr>
      </w:pPr>
      <w:r w:rsidRPr="00A259BD">
        <w:rPr>
          <w:rFonts w:ascii="Times New Roman" w:hAnsi="Times New Roman"/>
          <w:color w:val="000000" w:themeColor="text1"/>
          <w:sz w:val="16"/>
          <w:szCs w:val="16"/>
        </w:rPr>
        <w:t>1929 был годом пика кризиса советской авиапромышленности. Нереальный пятилетний план, потребовавший приглашения варягов (Ришара) в 1928 и вынудил прибегнуть к помощи ОГПУ-НКВД (ЦКБ-39 на заводе им. Менжинского). ОГПУ еще играло в благородство и честно пыталось перевоспитывать спецов, помочь им указав новые пути к социалистическому труду, а не уничтожать или употреблять как в 1939-1941.</w:t>
      </w:r>
    </w:p>
    <w:p w14:paraId="1C308911" w14:textId="77777777" w:rsidR="00F547C5" w:rsidRPr="00A259BD" w:rsidRDefault="00F547C5" w:rsidP="009236E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sectPr w:rsidR="00F547C5" w:rsidRPr="00A259BD" w:rsidSect="00EB226B">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Franklin Gothic Book">
    <w:panose1 w:val="020B0503020102020204"/>
    <w:charset w:val="CC"/>
    <w:family w:val="swiss"/>
    <w:pitch w:val="variable"/>
    <w:sig w:usb0="00000287" w:usb1="000000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Arial"/>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PT Sans">
    <w:charset w:val="CC"/>
    <w:family w:val="swiss"/>
    <w:pitch w:val="variable"/>
    <w:sig w:usb0="A00002EF" w:usb1="5000204B" w:usb2="00000000" w:usb3="00000000" w:csb0="00000097"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MS Mincho"/>
    <w:panose1 w:val="00000000000000000000"/>
    <w:charset w:val="80"/>
    <w:family w:val="auto"/>
    <w:notTrueType/>
    <w:pitch w:val="default"/>
    <w:sig w:usb0="00000000" w:usb1="08070000" w:usb2="00000010" w:usb3="00000000" w:csb0="00020001"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1"/>
    <w:multiLevelType w:val="multilevel"/>
    <w:tmpl w:val="00000010"/>
    <w:lvl w:ilvl="0">
      <w:start w:val="1"/>
      <w:numFmt w:val="bullet"/>
      <w:lvlText w:val="—"/>
      <w:lvlJc w:val="left"/>
      <w:rPr>
        <w:rFonts w:ascii="Arial" w:hAnsi="Arial" w:cs="Arial"/>
        <w:b w:val="0"/>
        <w:bCs w:val="0"/>
        <w:i w:val="0"/>
        <w:iCs w:val="0"/>
        <w:smallCaps w:val="0"/>
        <w:strike w:val="0"/>
        <w:color w:val="000000"/>
        <w:spacing w:val="0"/>
        <w:w w:val="100"/>
        <w:position w:val="0"/>
        <w:sz w:val="18"/>
        <w:szCs w:val="18"/>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2">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3">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4">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5">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6">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7">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8">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abstractNum>
  <w:abstractNum w:abstractNumId="1" w15:restartNumberingAfterBreak="0">
    <w:nsid w:val="6A1B6117"/>
    <w:multiLevelType w:val="multilevel"/>
    <w:tmpl w:val="F984CAE0"/>
    <w:lvl w:ilvl="0">
      <w:start w:val="1"/>
      <w:numFmt w:val="decimal"/>
      <w:lvlText w:val="%1."/>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1">
      <w:start w:val="51"/>
      <w:numFmt w:val="decimal"/>
      <w:lvlText w:val="%1.%2"/>
      <w:lvlJc w:val="left"/>
      <w:rPr>
        <w:rFonts w:ascii="Franklin Gothic Book" w:eastAsia="Franklin Gothic Book" w:hAnsi="Franklin Gothic Book" w:cs="Franklin Gothic Book"/>
        <w:b/>
        <w:bCs/>
        <w:i w:val="0"/>
        <w:iCs w:val="0"/>
        <w:smallCaps w:val="0"/>
        <w:strike w:val="0"/>
        <w:color w:val="000000"/>
        <w:spacing w:val="0"/>
        <w:w w:val="100"/>
        <w:position w:val="0"/>
        <w:sz w:val="13"/>
        <w:szCs w:val="13"/>
        <w:u w:val="none"/>
        <w:lang w:val="ru"/>
      </w:rPr>
    </w:lvl>
    <w:lvl w:ilvl="2">
      <w:start w:val="1"/>
      <w:numFmt w:val="decimal"/>
      <w:lvlText w:val="%3)"/>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3">
      <w:start w:val="1"/>
      <w:numFmt w:val="decimal"/>
      <w:lvlText w:val="%4)"/>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4">
      <w:start w:val="1"/>
      <w:numFmt w:val="decimal"/>
      <w:lvlText w:val="%5."/>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5">
      <w:start w:val="1"/>
      <w:numFmt w:val="decimal"/>
      <w:lvlText w:val="%6."/>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6">
      <w:start w:val="1"/>
      <w:numFmt w:val="decimal"/>
      <w:lvlText w:val="%7."/>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7">
      <w:numFmt w:val="decimal"/>
      <w:lvlText w:val=""/>
      <w:lvlJc w:val="left"/>
    </w:lvl>
    <w:lvl w:ilvl="8">
      <w:numFmt w:val="decimal"/>
      <w:lvlText w:val=""/>
      <w:lvlJc w:val="left"/>
    </w:lvl>
  </w:abstractNum>
  <w:num w:numId="1" w16cid:durableId="681009945">
    <w:abstractNumId w:val="0"/>
  </w:num>
  <w:num w:numId="2" w16cid:durableId="51801010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hideSpellingErrors/>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4279"/>
    <w:rsid w:val="00010739"/>
    <w:rsid w:val="00014ACA"/>
    <w:rsid w:val="00015826"/>
    <w:rsid w:val="00021FA1"/>
    <w:rsid w:val="000223D9"/>
    <w:rsid w:val="00023B0E"/>
    <w:rsid w:val="00030F16"/>
    <w:rsid w:val="000324E5"/>
    <w:rsid w:val="00041169"/>
    <w:rsid w:val="0004177A"/>
    <w:rsid w:val="00041BB5"/>
    <w:rsid w:val="00042CCB"/>
    <w:rsid w:val="00046B82"/>
    <w:rsid w:val="00051DBD"/>
    <w:rsid w:val="00053C2F"/>
    <w:rsid w:val="0005434E"/>
    <w:rsid w:val="00056F8F"/>
    <w:rsid w:val="000601DE"/>
    <w:rsid w:val="00065021"/>
    <w:rsid w:val="00065B0A"/>
    <w:rsid w:val="000701C9"/>
    <w:rsid w:val="00070DCF"/>
    <w:rsid w:val="00071A79"/>
    <w:rsid w:val="000721C0"/>
    <w:rsid w:val="00077238"/>
    <w:rsid w:val="00083B1A"/>
    <w:rsid w:val="000860A8"/>
    <w:rsid w:val="000922FC"/>
    <w:rsid w:val="00094AE4"/>
    <w:rsid w:val="00095345"/>
    <w:rsid w:val="00095DA4"/>
    <w:rsid w:val="000979B3"/>
    <w:rsid w:val="000A20C9"/>
    <w:rsid w:val="000A2310"/>
    <w:rsid w:val="000A7E7E"/>
    <w:rsid w:val="000B111B"/>
    <w:rsid w:val="000B66D7"/>
    <w:rsid w:val="000B7F61"/>
    <w:rsid w:val="000B7FD2"/>
    <w:rsid w:val="000C6350"/>
    <w:rsid w:val="000C7713"/>
    <w:rsid w:val="000D2278"/>
    <w:rsid w:val="000D5E8E"/>
    <w:rsid w:val="000E4B82"/>
    <w:rsid w:val="000E5B76"/>
    <w:rsid w:val="000F01AB"/>
    <w:rsid w:val="000F0AC0"/>
    <w:rsid w:val="000F1133"/>
    <w:rsid w:val="000F21AA"/>
    <w:rsid w:val="000F30A8"/>
    <w:rsid w:val="00100D29"/>
    <w:rsid w:val="00101B24"/>
    <w:rsid w:val="00103B89"/>
    <w:rsid w:val="00104558"/>
    <w:rsid w:val="001057E9"/>
    <w:rsid w:val="00105CF0"/>
    <w:rsid w:val="00107F31"/>
    <w:rsid w:val="0011196A"/>
    <w:rsid w:val="00113D98"/>
    <w:rsid w:val="00114349"/>
    <w:rsid w:val="00114B37"/>
    <w:rsid w:val="0011656A"/>
    <w:rsid w:val="00116D19"/>
    <w:rsid w:val="00121858"/>
    <w:rsid w:val="00123C53"/>
    <w:rsid w:val="00127373"/>
    <w:rsid w:val="00127CA7"/>
    <w:rsid w:val="001318E2"/>
    <w:rsid w:val="00132D83"/>
    <w:rsid w:val="001333D7"/>
    <w:rsid w:val="00134314"/>
    <w:rsid w:val="0014084C"/>
    <w:rsid w:val="001413AB"/>
    <w:rsid w:val="00143F13"/>
    <w:rsid w:val="00145AFC"/>
    <w:rsid w:val="0014787B"/>
    <w:rsid w:val="00147C6E"/>
    <w:rsid w:val="00150B7E"/>
    <w:rsid w:val="00153EE9"/>
    <w:rsid w:val="00154248"/>
    <w:rsid w:val="00154C41"/>
    <w:rsid w:val="00156342"/>
    <w:rsid w:val="001631B3"/>
    <w:rsid w:val="00166A21"/>
    <w:rsid w:val="001670D6"/>
    <w:rsid w:val="00170433"/>
    <w:rsid w:val="00170B72"/>
    <w:rsid w:val="00172C92"/>
    <w:rsid w:val="00175890"/>
    <w:rsid w:val="00175EC7"/>
    <w:rsid w:val="001806EE"/>
    <w:rsid w:val="00181B4A"/>
    <w:rsid w:val="001826F6"/>
    <w:rsid w:val="001931DD"/>
    <w:rsid w:val="0019544B"/>
    <w:rsid w:val="00195D7F"/>
    <w:rsid w:val="0019689C"/>
    <w:rsid w:val="001B2291"/>
    <w:rsid w:val="001B3075"/>
    <w:rsid w:val="001B4607"/>
    <w:rsid w:val="001B4E55"/>
    <w:rsid w:val="001C166D"/>
    <w:rsid w:val="001C4502"/>
    <w:rsid w:val="001D017F"/>
    <w:rsid w:val="001D0376"/>
    <w:rsid w:val="001D28D9"/>
    <w:rsid w:val="001D6576"/>
    <w:rsid w:val="001D6E99"/>
    <w:rsid w:val="001E0292"/>
    <w:rsid w:val="001E7B21"/>
    <w:rsid w:val="001F0627"/>
    <w:rsid w:val="001F0E42"/>
    <w:rsid w:val="001F7908"/>
    <w:rsid w:val="0020132F"/>
    <w:rsid w:val="00202F81"/>
    <w:rsid w:val="0020500E"/>
    <w:rsid w:val="00205BB0"/>
    <w:rsid w:val="00207FB1"/>
    <w:rsid w:val="00213252"/>
    <w:rsid w:val="00217D0F"/>
    <w:rsid w:val="002315CB"/>
    <w:rsid w:val="00236BD1"/>
    <w:rsid w:val="00237152"/>
    <w:rsid w:val="002414BC"/>
    <w:rsid w:val="00246DDD"/>
    <w:rsid w:val="00252267"/>
    <w:rsid w:val="002527AE"/>
    <w:rsid w:val="002560EF"/>
    <w:rsid w:val="00261E4C"/>
    <w:rsid w:val="00270173"/>
    <w:rsid w:val="00273483"/>
    <w:rsid w:val="00287A35"/>
    <w:rsid w:val="00290D79"/>
    <w:rsid w:val="00292DF5"/>
    <w:rsid w:val="002933D8"/>
    <w:rsid w:val="00293C2D"/>
    <w:rsid w:val="002A5CC7"/>
    <w:rsid w:val="002A68A9"/>
    <w:rsid w:val="002B4513"/>
    <w:rsid w:val="002B4539"/>
    <w:rsid w:val="002D01AA"/>
    <w:rsid w:val="002D2C25"/>
    <w:rsid w:val="002D42B6"/>
    <w:rsid w:val="002D48EF"/>
    <w:rsid w:val="002D64FC"/>
    <w:rsid w:val="002E24E6"/>
    <w:rsid w:val="002E2A19"/>
    <w:rsid w:val="002E6114"/>
    <w:rsid w:val="002F1B1C"/>
    <w:rsid w:val="002F2046"/>
    <w:rsid w:val="002F3A10"/>
    <w:rsid w:val="002F440B"/>
    <w:rsid w:val="002F4D1B"/>
    <w:rsid w:val="002F6F05"/>
    <w:rsid w:val="00302EF5"/>
    <w:rsid w:val="00306424"/>
    <w:rsid w:val="00311DFC"/>
    <w:rsid w:val="003122B8"/>
    <w:rsid w:val="00312320"/>
    <w:rsid w:val="00321477"/>
    <w:rsid w:val="003253A3"/>
    <w:rsid w:val="00325881"/>
    <w:rsid w:val="00327B14"/>
    <w:rsid w:val="003315EC"/>
    <w:rsid w:val="00341284"/>
    <w:rsid w:val="00342305"/>
    <w:rsid w:val="003510E5"/>
    <w:rsid w:val="003737F3"/>
    <w:rsid w:val="00380FD1"/>
    <w:rsid w:val="00382475"/>
    <w:rsid w:val="00382A41"/>
    <w:rsid w:val="00383DFC"/>
    <w:rsid w:val="00384477"/>
    <w:rsid w:val="00392001"/>
    <w:rsid w:val="00393640"/>
    <w:rsid w:val="0039592A"/>
    <w:rsid w:val="003A50FB"/>
    <w:rsid w:val="003B366D"/>
    <w:rsid w:val="003B66D0"/>
    <w:rsid w:val="003D3BC7"/>
    <w:rsid w:val="003D7E85"/>
    <w:rsid w:val="003E0642"/>
    <w:rsid w:val="003E0887"/>
    <w:rsid w:val="003E442B"/>
    <w:rsid w:val="003E5FF9"/>
    <w:rsid w:val="003E6F67"/>
    <w:rsid w:val="003F4613"/>
    <w:rsid w:val="003F505C"/>
    <w:rsid w:val="003F707C"/>
    <w:rsid w:val="004046F2"/>
    <w:rsid w:val="00404AC0"/>
    <w:rsid w:val="00410640"/>
    <w:rsid w:val="00413B44"/>
    <w:rsid w:val="00413CD7"/>
    <w:rsid w:val="00414665"/>
    <w:rsid w:val="00422342"/>
    <w:rsid w:val="00434A48"/>
    <w:rsid w:val="00435068"/>
    <w:rsid w:val="004364B8"/>
    <w:rsid w:val="00444051"/>
    <w:rsid w:val="004468C5"/>
    <w:rsid w:val="00446A93"/>
    <w:rsid w:val="00452DC0"/>
    <w:rsid w:val="00454A21"/>
    <w:rsid w:val="00455096"/>
    <w:rsid w:val="004577AF"/>
    <w:rsid w:val="00457F4F"/>
    <w:rsid w:val="00462FCC"/>
    <w:rsid w:val="00462FCF"/>
    <w:rsid w:val="00463E8C"/>
    <w:rsid w:val="00464E03"/>
    <w:rsid w:val="00466152"/>
    <w:rsid w:val="004744A5"/>
    <w:rsid w:val="004752AB"/>
    <w:rsid w:val="0047630E"/>
    <w:rsid w:val="00483C4A"/>
    <w:rsid w:val="00484989"/>
    <w:rsid w:val="004868FE"/>
    <w:rsid w:val="00494975"/>
    <w:rsid w:val="00497FC6"/>
    <w:rsid w:val="004A191D"/>
    <w:rsid w:val="004A20D4"/>
    <w:rsid w:val="004B0814"/>
    <w:rsid w:val="004B1BEB"/>
    <w:rsid w:val="004B3E82"/>
    <w:rsid w:val="004B4828"/>
    <w:rsid w:val="004C2BB7"/>
    <w:rsid w:val="004C593A"/>
    <w:rsid w:val="004D0129"/>
    <w:rsid w:val="004D16E2"/>
    <w:rsid w:val="004D74AB"/>
    <w:rsid w:val="004E04DB"/>
    <w:rsid w:val="004E2561"/>
    <w:rsid w:val="004E7169"/>
    <w:rsid w:val="004E7A6F"/>
    <w:rsid w:val="004F43CA"/>
    <w:rsid w:val="004F6CFB"/>
    <w:rsid w:val="004F7E01"/>
    <w:rsid w:val="00502E84"/>
    <w:rsid w:val="00506E16"/>
    <w:rsid w:val="00510796"/>
    <w:rsid w:val="005110F1"/>
    <w:rsid w:val="005119C8"/>
    <w:rsid w:val="005124F4"/>
    <w:rsid w:val="00516617"/>
    <w:rsid w:val="00516F49"/>
    <w:rsid w:val="00525942"/>
    <w:rsid w:val="0052661D"/>
    <w:rsid w:val="00527C17"/>
    <w:rsid w:val="00533384"/>
    <w:rsid w:val="00533D58"/>
    <w:rsid w:val="00545B95"/>
    <w:rsid w:val="0055524C"/>
    <w:rsid w:val="0056506C"/>
    <w:rsid w:val="00566015"/>
    <w:rsid w:val="005704B1"/>
    <w:rsid w:val="00571DDC"/>
    <w:rsid w:val="00573612"/>
    <w:rsid w:val="00581228"/>
    <w:rsid w:val="00582146"/>
    <w:rsid w:val="00591D67"/>
    <w:rsid w:val="00594F9E"/>
    <w:rsid w:val="00596CC9"/>
    <w:rsid w:val="005A255E"/>
    <w:rsid w:val="005A381D"/>
    <w:rsid w:val="005A5C20"/>
    <w:rsid w:val="005B2001"/>
    <w:rsid w:val="005B30EF"/>
    <w:rsid w:val="005B753C"/>
    <w:rsid w:val="005C3848"/>
    <w:rsid w:val="005C501A"/>
    <w:rsid w:val="005C7604"/>
    <w:rsid w:val="005D047D"/>
    <w:rsid w:val="005D09F4"/>
    <w:rsid w:val="005D3D2E"/>
    <w:rsid w:val="005D539F"/>
    <w:rsid w:val="005E45A4"/>
    <w:rsid w:val="005F45F4"/>
    <w:rsid w:val="005F7728"/>
    <w:rsid w:val="006050DC"/>
    <w:rsid w:val="00606F47"/>
    <w:rsid w:val="00607D97"/>
    <w:rsid w:val="00613729"/>
    <w:rsid w:val="0061497A"/>
    <w:rsid w:val="0062000C"/>
    <w:rsid w:val="00620372"/>
    <w:rsid w:val="00626F0D"/>
    <w:rsid w:val="00632715"/>
    <w:rsid w:val="0064324B"/>
    <w:rsid w:val="00644E86"/>
    <w:rsid w:val="00646789"/>
    <w:rsid w:val="006533A7"/>
    <w:rsid w:val="006537D9"/>
    <w:rsid w:val="00653C5D"/>
    <w:rsid w:val="00654130"/>
    <w:rsid w:val="00654DCD"/>
    <w:rsid w:val="0065509C"/>
    <w:rsid w:val="00660E6A"/>
    <w:rsid w:val="0066127E"/>
    <w:rsid w:val="00672AAA"/>
    <w:rsid w:val="006747D2"/>
    <w:rsid w:val="006752AA"/>
    <w:rsid w:val="006758F8"/>
    <w:rsid w:val="00680785"/>
    <w:rsid w:val="0068213E"/>
    <w:rsid w:val="006821CB"/>
    <w:rsid w:val="00685DD5"/>
    <w:rsid w:val="00686CBB"/>
    <w:rsid w:val="006908FF"/>
    <w:rsid w:val="00692ACC"/>
    <w:rsid w:val="00694487"/>
    <w:rsid w:val="00694DA6"/>
    <w:rsid w:val="006A2CEC"/>
    <w:rsid w:val="006B0B5F"/>
    <w:rsid w:val="006B155B"/>
    <w:rsid w:val="006B4100"/>
    <w:rsid w:val="006B415E"/>
    <w:rsid w:val="006B42B3"/>
    <w:rsid w:val="006B671E"/>
    <w:rsid w:val="006B6922"/>
    <w:rsid w:val="006C5984"/>
    <w:rsid w:val="006E6C0F"/>
    <w:rsid w:val="006E6C3D"/>
    <w:rsid w:val="006F3970"/>
    <w:rsid w:val="006F5D9E"/>
    <w:rsid w:val="00703315"/>
    <w:rsid w:val="007140B2"/>
    <w:rsid w:val="0071589C"/>
    <w:rsid w:val="0071616A"/>
    <w:rsid w:val="00717079"/>
    <w:rsid w:val="00721C26"/>
    <w:rsid w:val="00722AA3"/>
    <w:rsid w:val="0072351A"/>
    <w:rsid w:val="00725630"/>
    <w:rsid w:val="00726708"/>
    <w:rsid w:val="00727A5A"/>
    <w:rsid w:val="007373AB"/>
    <w:rsid w:val="00746A80"/>
    <w:rsid w:val="00751381"/>
    <w:rsid w:val="007548ED"/>
    <w:rsid w:val="0075498C"/>
    <w:rsid w:val="007568DB"/>
    <w:rsid w:val="00762631"/>
    <w:rsid w:val="00764926"/>
    <w:rsid w:val="00765F63"/>
    <w:rsid w:val="00770DA7"/>
    <w:rsid w:val="00771930"/>
    <w:rsid w:val="00774BA0"/>
    <w:rsid w:val="007771FC"/>
    <w:rsid w:val="00783840"/>
    <w:rsid w:val="0078669E"/>
    <w:rsid w:val="007875BD"/>
    <w:rsid w:val="00791A32"/>
    <w:rsid w:val="007937A8"/>
    <w:rsid w:val="007A3FA3"/>
    <w:rsid w:val="007A431E"/>
    <w:rsid w:val="007A4BE0"/>
    <w:rsid w:val="007C45C6"/>
    <w:rsid w:val="007C74D9"/>
    <w:rsid w:val="007D078A"/>
    <w:rsid w:val="007D1D6F"/>
    <w:rsid w:val="007E0E96"/>
    <w:rsid w:val="007E448A"/>
    <w:rsid w:val="007F29CC"/>
    <w:rsid w:val="007F4340"/>
    <w:rsid w:val="007F4634"/>
    <w:rsid w:val="007F6856"/>
    <w:rsid w:val="008019CE"/>
    <w:rsid w:val="00802570"/>
    <w:rsid w:val="0080789B"/>
    <w:rsid w:val="0081757F"/>
    <w:rsid w:val="00822803"/>
    <w:rsid w:val="00824206"/>
    <w:rsid w:val="00824FAB"/>
    <w:rsid w:val="00825262"/>
    <w:rsid w:val="00827B08"/>
    <w:rsid w:val="00827F0C"/>
    <w:rsid w:val="008312AE"/>
    <w:rsid w:val="008368A6"/>
    <w:rsid w:val="00842EA9"/>
    <w:rsid w:val="00843D2E"/>
    <w:rsid w:val="008456F2"/>
    <w:rsid w:val="00847535"/>
    <w:rsid w:val="00847C8B"/>
    <w:rsid w:val="00850ACF"/>
    <w:rsid w:val="00860234"/>
    <w:rsid w:val="00863B79"/>
    <w:rsid w:val="0086685E"/>
    <w:rsid w:val="00866C07"/>
    <w:rsid w:val="00867A2E"/>
    <w:rsid w:val="00873B02"/>
    <w:rsid w:val="008827BD"/>
    <w:rsid w:val="008830F9"/>
    <w:rsid w:val="00883278"/>
    <w:rsid w:val="008856F3"/>
    <w:rsid w:val="00886357"/>
    <w:rsid w:val="00887AD6"/>
    <w:rsid w:val="00890A9C"/>
    <w:rsid w:val="00890B04"/>
    <w:rsid w:val="0089707B"/>
    <w:rsid w:val="008A272E"/>
    <w:rsid w:val="008A30E3"/>
    <w:rsid w:val="008A3C0F"/>
    <w:rsid w:val="008A55E8"/>
    <w:rsid w:val="008B648E"/>
    <w:rsid w:val="008C5053"/>
    <w:rsid w:val="008D01F0"/>
    <w:rsid w:val="008D0F79"/>
    <w:rsid w:val="008D249A"/>
    <w:rsid w:val="008D2F15"/>
    <w:rsid w:val="008D7B97"/>
    <w:rsid w:val="008E0FBF"/>
    <w:rsid w:val="008E7B07"/>
    <w:rsid w:val="008F5A88"/>
    <w:rsid w:val="00900815"/>
    <w:rsid w:val="009024DB"/>
    <w:rsid w:val="00903761"/>
    <w:rsid w:val="00903D56"/>
    <w:rsid w:val="0090535A"/>
    <w:rsid w:val="00911626"/>
    <w:rsid w:val="00913B9A"/>
    <w:rsid w:val="00915426"/>
    <w:rsid w:val="0091552E"/>
    <w:rsid w:val="00917A8C"/>
    <w:rsid w:val="009214C4"/>
    <w:rsid w:val="00923424"/>
    <w:rsid w:val="009236E3"/>
    <w:rsid w:val="009349FF"/>
    <w:rsid w:val="00943B1F"/>
    <w:rsid w:val="00954AC6"/>
    <w:rsid w:val="00954CDF"/>
    <w:rsid w:val="009556D0"/>
    <w:rsid w:val="00962321"/>
    <w:rsid w:val="009640CD"/>
    <w:rsid w:val="00965F83"/>
    <w:rsid w:val="0096703E"/>
    <w:rsid w:val="009679CC"/>
    <w:rsid w:val="009715DF"/>
    <w:rsid w:val="00976E04"/>
    <w:rsid w:val="009825F3"/>
    <w:rsid w:val="00982DCD"/>
    <w:rsid w:val="0098385D"/>
    <w:rsid w:val="009864FE"/>
    <w:rsid w:val="00990692"/>
    <w:rsid w:val="00990F31"/>
    <w:rsid w:val="0099138C"/>
    <w:rsid w:val="00991A24"/>
    <w:rsid w:val="009A7677"/>
    <w:rsid w:val="009B46D7"/>
    <w:rsid w:val="009B6A7B"/>
    <w:rsid w:val="009B70A5"/>
    <w:rsid w:val="009C37DA"/>
    <w:rsid w:val="009C4A19"/>
    <w:rsid w:val="009C4CDA"/>
    <w:rsid w:val="009D0510"/>
    <w:rsid w:val="009D16EA"/>
    <w:rsid w:val="009D1FB2"/>
    <w:rsid w:val="009D44EF"/>
    <w:rsid w:val="009D5DFC"/>
    <w:rsid w:val="009D688E"/>
    <w:rsid w:val="009E1756"/>
    <w:rsid w:val="009E23D6"/>
    <w:rsid w:val="009E7C7E"/>
    <w:rsid w:val="009F3EBB"/>
    <w:rsid w:val="009F5CB0"/>
    <w:rsid w:val="009F6EA0"/>
    <w:rsid w:val="00A1095E"/>
    <w:rsid w:val="00A248A0"/>
    <w:rsid w:val="00A259BD"/>
    <w:rsid w:val="00A31A8B"/>
    <w:rsid w:val="00A40604"/>
    <w:rsid w:val="00A40F44"/>
    <w:rsid w:val="00A41ACD"/>
    <w:rsid w:val="00A43C15"/>
    <w:rsid w:val="00A44F86"/>
    <w:rsid w:val="00A4555C"/>
    <w:rsid w:val="00A47331"/>
    <w:rsid w:val="00A50734"/>
    <w:rsid w:val="00A53486"/>
    <w:rsid w:val="00A54A92"/>
    <w:rsid w:val="00A56873"/>
    <w:rsid w:val="00A61A9D"/>
    <w:rsid w:val="00A648B6"/>
    <w:rsid w:val="00A64B86"/>
    <w:rsid w:val="00A66A25"/>
    <w:rsid w:val="00A83ADF"/>
    <w:rsid w:val="00A863E1"/>
    <w:rsid w:val="00A86A94"/>
    <w:rsid w:val="00A952AA"/>
    <w:rsid w:val="00A954CF"/>
    <w:rsid w:val="00A95507"/>
    <w:rsid w:val="00A96240"/>
    <w:rsid w:val="00A96F46"/>
    <w:rsid w:val="00AA1040"/>
    <w:rsid w:val="00AA3E76"/>
    <w:rsid w:val="00AA3EB5"/>
    <w:rsid w:val="00AA4EF5"/>
    <w:rsid w:val="00AA6296"/>
    <w:rsid w:val="00AB6AA0"/>
    <w:rsid w:val="00AB6C52"/>
    <w:rsid w:val="00AC12ED"/>
    <w:rsid w:val="00AC6457"/>
    <w:rsid w:val="00AD329D"/>
    <w:rsid w:val="00AD381B"/>
    <w:rsid w:val="00AF08BC"/>
    <w:rsid w:val="00AF21DF"/>
    <w:rsid w:val="00AF3F3F"/>
    <w:rsid w:val="00AF5F46"/>
    <w:rsid w:val="00B01D07"/>
    <w:rsid w:val="00B03138"/>
    <w:rsid w:val="00B0759B"/>
    <w:rsid w:val="00B10A4F"/>
    <w:rsid w:val="00B13405"/>
    <w:rsid w:val="00B14E97"/>
    <w:rsid w:val="00B16BFE"/>
    <w:rsid w:val="00B20FD8"/>
    <w:rsid w:val="00B25ADA"/>
    <w:rsid w:val="00B301A6"/>
    <w:rsid w:val="00B31C35"/>
    <w:rsid w:val="00B32F5E"/>
    <w:rsid w:val="00B3477E"/>
    <w:rsid w:val="00B34788"/>
    <w:rsid w:val="00B420BA"/>
    <w:rsid w:val="00B43FD6"/>
    <w:rsid w:val="00B45325"/>
    <w:rsid w:val="00B45B3E"/>
    <w:rsid w:val="00B50A82"/>
    <w:rsid w:val="00B52D72"/>
    <w:rsid w:val="00B53E45"/>
    <w:rsid w:val="00B55320"/>
    <w:rsid w:val="00B55635"/>
    <w:rsid w:val="00B56190"/>
    <w:rsid w:val="00B570C6"/>
    <w:rsid w:val="00B61327"/>
    <w:rsid w:val="00B61DAE"/>
    <w:rsid w:val="00B65863"/>
    <w:rsid w:val="00B71C4A"/>
    <w:rsid w:val="00B76DD3"/>
    <w:rsid w:val="00B80FFF"/>
    <w:rsid w:val="00B814DD"/>
    <w:rsid w:val="00B82EA2"/>
    <w:rsid w:val="00B837BE"/>
    <w:rsid w:val="00B84C42"/>
    <w:rsid w:val="00B90673"/>
    <w:rsid w:val="00B90D42"/>
    <w:rsid w:val="00B91649"/>
    <w:rsid w:val="00B9589C"/>
    <w:rsid w:val="00B96D62"/>
    <w:rsid w:val="00BA5B15"/>
    <w:rsid w:val="00BA6967"/>
    <w:rsid w:val="00BA7241"/>
    <w:rsid w:val="00BA7E31"/>
    <w:rsid w:val="00BB2D6C"/>
    <w:rsid w:val="00BB647E"/>
    <w:rsid w:val="00BC3EB8"/>
    <w:rsid w:val="00BD009E"/>
    <w:rsid w:val="00BD6F1B"/>
    <w:rsid w:val="00BD730A"/>
    <w:rsid w:val="00BE530F"/>
    <w:rsid w:val="00BE71A6"/>
    <w:rsid w:val="00BF30AB"/>
    <w:rsid w:val="00BF7F75"/>
    <w:rsid w:val="00C075A9"/>
    <w:rsid w:val="00C07C69"/>
    <w:rsid w:val="00C104F7"/>
    <w:rsid w:val="00C11642"/>
    <w:rsid w:val="00C11F81"/>
    <w:rsid w:val="00C16319"/>
    <w:rsid w:val="00C16DE5"/>
    <w:rsid w:val="00C16E64"/>
    <w:rsid w:val="00C2017F"/>
    <w:rsid w:val="00C27B37"/>
    <w:rsid w:val="00C3579C"/>
    <w:rsid w:val="00C47EB1"/>
    <w:rsid w:val="00C51943"/>
    <w:rsid w:val="00C51B65"/>
    <w:rsid w:val="00C53BCE"/>
    <w:rsid w:val="00C5553D"/>
    <w:rsid w:val="00C57780"/>
    <w:rsid w:val="00C631BD"/>
    <w:rsid w:val="00C63D85"/>
    <w:rsid w:val="00C843D9"/>
    <w:rsid w:val="00C854C2"/>
    <w:rsid w:val="00C87725"/>
    <w:rsid w:val="00C91EB6"/>
    <w:rsid w:val="00C96EE3"/>
    <w:rsid w:val="00CA07BA"/>
    <w:rsid w:val="00CA48A0"/>
    <w:rsid w:val="00CA6C05"/>
    <w:rsid w:val="00CA6D87"/>
    <w:rsid w:val="00CB23E1"/>
    <w:rsid w:val="00CB2815"/>
    <w:rsid w:val="00CD567A"/>
    <w:rsid w:val="00CD77B7"/>
    <w:rsid w:val="00CD7BD7"/>
    <w:rsid w:val="00CE0BB3"/>
    <w:rsid w:val="00CE3F91"/>
    <w:rsid w:val="00CE6C7E"/>
    <w:rsid w:val="00CE760C"/>
    <w:rsid w:val="00CF47BE"/>
    <w:rsid w:val="00CF4FB4"/>
    <w:rsid w:val="00CF6091"/>
    <w:rsid w:val="00D003A3"/>
    <w:rsid w:val="00D10878"/>
    <w:rsid w:val="00D15A7C"/>
    <w:rsid w:val="00D15DDA"/>
    <w:rsid w:val="00D16B0B"/>
    <w:rsid w:val="00D16BA6"/>
    <w:rsid w:val="00D16EE0"/>
    <w:rsid w:val="00D23D16"/>
    <w:rsid w:val="00D24E47"/>
    <w:rsid w:val="00D25808"/>
    <w:rsid w:val="00D3368F"/>
    <w:rsid w:val="00D41EFC"/>
    <w:rsid w:val="00D42210"/>
    <w:rsid w:val="00D43DE8"/>
    <w:rsid w:val="00D4411F"/>
    <w:rsid w:val="00D46781"/>
    <w:rsid w:val="00D47779"/>
    <w:rsid w:val="00D56121"/>
    <w:rsid w:val="00D64B3E"/>
    <w:rsid w:val="00D70FD4"/>
    <w:rsid w:val="00D72087"/>
    <w:rsid w:val="00D74AD9"/>
    <w:rsid w:val="00D7603C"/>
    <w:rsid w:val="00D828EE"/>
    <w:rsid w:val="00D8460C"/>
    <w:rsid w:val="00D8619D"/>
    <w:rsid w:val="00D9002B"/>
    <w:rsid w:val="00D9403F"/>
    <w:rsid w:val="00D94477"/>
    <w:rsid w:val="00D95088"/>
    <w:rsid w:val="00D951E9"/>
    <w:rsid w:val="00D9696E"/>
    <w:rsid w:val="00DA01AF"/>
    <w:rsid w:val="00DA14E0"/>
    <w:rsid w:val="00DA22D3"/>
    <w:rsid w:val="00DA64AB"/>
    <w:rsid w:val="00DA7BDB"/>
    <w:rsid w:val="00DC0163"/>
    <w:rsid w:val="00DC18E0"/>
    <w:rsid w:val="00DC361D"/>
    <w:rsid w:val="00DC5403"/>
    <w:rsid w:val="00DD42F1"/>
    <w:rsid w:val="00DE062D"/>
    <w:rsid w:val="00DE60FF"/>
    <w:rsid w:val="00DF3B23"/>
    <w:rsid w:val="00DF59FD"/>
    <w:rsid w:val="00DF6949"/>
    <w:rsid w:val="00E014DB"/>
    <w:rsid w:val="00E041A2"/>
    <w:rsid w:val="00E100D5"/>
    <w:rsid w:val="00E118F4"/>
    <w:rsid w:val="00E139CA"/>
    <w:rsid w:val="00E14E2F"/>
    <w:rsid w:val="00E15435"/>
    <w:rsid w:val="00E15F5F"/>
    <w:rsid w:val="00E15FE6"/>
    <w:rsid w:val="00E16E55"/>
    <w:rsid w:val="00E21656"/>
    <w:rsid w:val="00E21C05"/>
    <w:rsid w:val="00E24E3D"/>
    <w:rsid w:val="00E3073C"/>
    <w:rsid w:val="00E31436"/>
    <w:rsid w:val="00E320BE"/>
    <w:rsid w:val="00E35A28"/>
    <w:rsid w:val="00E36401"/>
    <w:rsid w:val="00E36928"/>
    <w:rsid w:val="00E46367"/>
    <w:rsid w:val="00E5267B"/>
    <w:rsid w:val="00E5389F"/>
    <w:rsid w:val="00E55403"/>
    <w:rsid w:val="00E6155B"/>
    <w:rsid w:val="00E65054"/>
    <w:rsid w:val="00E660B6"/>
    <w:rsid w:val="00E707DF"/>
    <w:rsid w:val="00E735F0"/>
    <w:rsid w:val="00E74517"/>
    <w:rsid w:val="00E75E4F"/>
    <w:rsid w:val="00E77DD0"/>
    <w:rsid w:val="00E80D07"/>
    <w:rsid w:val="00E8344F"/>
    <w:rsid w:val="00E8628D"/>
    <w:rsid w:val="00E937AB"/>
    <w:rsid w:val="00EA13E1"/>
    <w:rsid w:val="00EA2540"/>
    <w:rsid w:val="00EA4835"/>
    <w:rsid w:val="00EB0B58"/>
    <w:rsid w:val="00EB226B"/>
    <w:rsid w:val="00EB482B"/>
    <w:rsid w:val="00EC4830"/>
    <w:rsid w:val="00ED3E87"/>
    <w:rsid w:val="00ED6062"/>
    <w:rsid w:val="00EE73C1"/>
    <w:rsid w:val="00EF1005"/>
    <w:rsid w:val="00EF283E"/>
    <w:rsid w:val="00EF6111"/>
    <w:rsid w:val="00F00059"/>
    <w:rsid w:val="00F012C4"/>
    <w:rsid w:val="00F02E42"/>
    <w:rsid w:val="00F04F77"/>
    <w:rsid w:val="00F0612C"/>
    <w:rsid w:val="00F068A9"/>
    <w:rsid w:val="00F11B48"/>
    <w:rsid w:val="00F1356E"/>
    <w:rsid w:val="00F14B42"/>
    <w:rsid w:val="00F14BD9"/>
    <w:rsid w:val="00F2603F"/>
    <w:rsid w:val="00F26760"/>
    <w:rsid w:val="00F365F3"/>
    <w:rsid w:val="00F402B5"/>
    <w:rsid w:val="00F4473A"/>
    <w:rsid w:val="00F460A5"/>
    <w:rsid w:val="00F50D9A"/>
    <w:rsid w:val="00F51852"/>
    <w:rsid w:val="00F547C5"/>
    <w:rsid w:val="00F658D1"/>
    <w:rsid w:val="00F70746"/>
    <w:rsid w:val="00F709ED"/>
    <w:rsid w:val="00F732AA"/>
    <w:rsid w:val="00F74692"/>
    <w:rsid w:val="00F7798D"/>
    <w:rsid w:val="00F77C44"/>
    <w:rsid w:val="00F80FAE"/>
    <w:rsid w:val="00F86546"/>
    <w:rsid w:val="00F86BBA"/>
    <w:rsid w:val="00F87646"/>
    <w:rsid w:val="00F8794A"/>
    <w:rsid w:val="00F90FD9"/>
    <w:rsid w:val="00FA28D3"/>
    <w:rsid w:val="00FA3C51"/>
    <w:rsid w:val="00FA3D9E"/>
    <w:rsid w:val="00FA6533"/>
    <w:rsid w:val="00FB22D8"/>
    <w:rsid w:val="00FC1DE3"/>
    <w:rsid w:val="00FC2DC2"/>
    <w:rsid w:val="00FC4BF2"/>
    <w:rsid w:val="00FC5414"/>
    <w:rsid w:val="00FC57CE"/>
    <w:rsid w:val="00FD262B"/>
    <w:rsid w:val="00FD5D1A"/>
    <w:rsid w:val="00FD7C6C"/>
    <w:rsid w:val="00FE3D26"/>
    <w:rsid w:val="00FE3DEC"/>
    <w:rsid w:val="00FE7F6B"/>
    <w:rsid w:val="00FF3387"/>
    <w:rsid w:val="00FF412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38092DC"/>
  <w15:docId w15:val="{B2BF1F3A-473F-434D-B4C2-7106AA9EA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1">
    <w:name w:val="heading 1"/>
    <w:basedOn w:val="a"/>
    <w:next w:val="a"/>
    <w:link w:val="10"/>
    <w:uiPriority w:val="9"/>
    <w:qFormat/>
    <w:rsid w:val="007548ED"/>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2">
    <w:name w:val="heading 2"/>
    <w:basedOn w:val="a"/>
    <w:next w:val="a"/>
    <w:link w:val="20"/>
    <w:uiPriority w:val="9"/>
    <w:unhideWhenUsed/>
    <w:qFormat/>
    <w:rsid w:val="007548ED"/>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
    <w:unhideWhenUsed/>
    <w:qFormat/>
    <w:rsid w:val="007548ED"/>
    <w:pPr>
      <w:keepNext/>
      <w:keepLines/>
      <w:overflowPunct w:val="0"/>
      <w:autoSpaceDE w:val="0"/>
      <w:autoSpaceDN w:val="0"/>
      <w:adjustRightInd w:val="0"/>
      <w:spacing w:before="40" w:after="0" w:line="240" w:lineRule="auto"/>
      <w:textAlignment w:val="baseline"/>
      <w:outlineLvl w:val="2"/>
    </w:pPr>
    <w:rPr>
      <w:rFonts w:ascii="Cambria" w:eastAsia="Times New Roman" w:hAnsi="Cambria"/>
      <w:color w:val="243F60"/>
      <w:sz w:val="24"/>
      <w:szCs w:val="24"/>
      <w:lang w:eastAsia="ru-RU"/>
    </w:rPr>
  </w:style>
  <w:style w:type="paragraph" w:styleId="4">
    <w:name w:val="heading 4"/>
    <w:basedOn w:val="a"/>
    <w:next w:val="a"/>
    <w:link w:val="40"/>
    <w:uiPriority w:val="9"/>
    <w:unhideWhenUsed/>
    <w:qFormat/>
    <w:rsid w:val="007548ED"/>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5">
    <w:name w:val="heading 5"/>
    <w:basedOn w:val="a"/>
    <w:next w:val="a"/>
    <w:link w:val="50"/>
    <w:uiPriority w:val="9"/>
    <w:semiHidden/>
    <w:unhideWhenUsed/>
    <w:qFormat/>
    <w:rsid w:val="00B32F5E"/>
    <w:pPr>
      <w:keepNext/>
      <w:keepLines/>
      <w:spacing w:before="40" w:after="0" w:line="360" w:lineRule="auto"/>
      <w:jc w:val="both"/>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link w:val="34"/>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
    <w:link w:val="101"/>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link w:val="430"/>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2">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link w:val="142"/>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8">
    <w:name w:val="Основной текст1"/>
    <w:rsid w:val="008E0FBF"/>
    <w:rPr>
      <w:rFonts w:ascii="Gungsuh" w:eastAsia="Gungsuh" w:cs="Gungsuh"/>
      <w:spacing w:val="-10"/>
      <w:sz w:val="16"/>
      <w:szCs w:val="16"/>
      <w:u w:val="single"/>
    </w:rPr>
  </w:style>
  <w:style w:type="paragraph" w:customStyle="1" w:styleId="35">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9">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3">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aliases w:val="Основной текст + 8 pt4,Полужирный7,Интервал 0 pt5,16 pt,82"/>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aliases w:val="Колонтитул + 92,5 pt7,Подпись к картинке (28) + Sylfaen,61,Полужирный10,Основной текст + 84,Малые прописные4,Основной текст (2) + Microsoft Sans Serif,Колонтитул + Century Gothic1,Основной текст (25) + 9"/>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6">
    <w:name w:val="Колонтитул"/>
    <w:basedOn w:val="a"/>
    <w:link w:val="aff7"/>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uiPriority w:val="99"/>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aliases w:val="Интервал 0 pt26"/>
    <w:uiPriority w:val="99"/>
    <w:rsid w:val="008E0FBF"/>
    <w:rPr>
      <w:rFonts w:ascii="Gungsuh" w:eastAsia="Gungsuh" w:cs="Gungsuh"/>
      <w:spacing w:val="-20"/>
      <w:sz w:val="20"/>
      <w:szCs w:val="20"/>
    </w:rPr>
  </w:style>
  <w:style w:type="character" w:customStyle="1" w:styleId="aff8">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rsid w:val="008E0FBF"/>
    <w:rPr>
      <w:rFonts w:ascii="Arial Narrow" w:hAnsi="Arial Narrow" w:cs="Arial Narrow"/>
      <w:i/>
      <w:iCs/>
      <w:spacing w:val="0"/>
      <w:sz w:val="16"/>
      <w:szCs w:val="16"/>
      <w:u w:val="single"/>
    </w:rPr>
  </w:style>
  <w:style w:type="character" w:customStyle="1" w:styleId="211">
    <w:name w:val="Подпись к картинке (21)"/>
    <w:rsid w:val="008E0FBF"/>
    <w:rPr>
      <w:rFonts w:ascii="Arial Narrow" w:hAnsi="Arial Narrow" w:cs="Arial Narrow"/>
      <w:strike/>
      <w:spacing w:val="0"/>
      <w:sz w:val="22"/>
      <w:szCs w:val="22"/>
    </w:rPr>
  </w:style>
  <w:style w:type="character" w:customStyle="1" w:styleId="51">
    <w:name w:val="Подпись к картинке (5)"/>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link w:val="122"/>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link w:val="38"/>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0">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link w:val="221"/>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link w:val="570"/>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link w:val="581"/>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link w:val="2d"/>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link w:val="4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link w:val="151"/>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link w:val="171"/>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a">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e">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link w:val="62"/>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link w:val="73"/>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4">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link w:val="351"/>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b">
    <w:name w:val="Заголовок №3"/>
    <w:basedOn w:val="a"/>
    <w:uiPriority w:val="99"/>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link w:val="183"/>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f">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575">
    <w:name w:val="Основной текст (5)75"/>
    <w:uiPriority w:val="99"/>
    <w:rsid w:val="00F547C5"/>
    <w:rPr>
      <w:i/>
      <w:iCs/>
      <w:spacing w:val="0"/>
      <w:sz w:val="16"/>
      <w:szCs w:val="16"/>
    </w:rPr>
  </w:style>
  <w:style w:type="character" w:customStyle="1" w:styleId="574">
    <w:name w:val="Основной текст (5)74"/>
    <w:uiPriority w:val="99"/>
    <w:rsid w:val="00F547C5"/>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uiPriority w:val="99"/>
    <w:rsid w:val="00F547C5"/>
    <w:rPr>
      <w:i/>
      <w:iCs/>
      <w:spacing w:val="-10"/>
      <w:sz w:val="17"/>
      <w:szCs w:val="17"/>
    </w:rPr>
  </w:style>
  <w:style w:type="character" w:customStyle="1" w:styleId="58445pt60510pt90">
    <w:name w:val="Основной текст (5) + 844.5 pt60.Не курсив51.Интервал 0 pt90"/>
    <w:uiPriority w:val="99"/>
    <w:rsid w:val="00F547C5"/>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uiPriority w:val="99"/>
    <w:rsid w:val="00F547C5"/>
    <w:rPr>
      <w:i/>
      <w:iCs/>
      <w:spacing w:val="-10"/>
      <w:sz w:val="17"/>
      <w:szCs w:val="17"/>
    </w:rPr>
  </w:style>
  <w:style w:type="character" w:customStyle="1" w:styleId="573">
    <w:name w:val="Основной текст (5)73"/>
    <w:uiPriority w:val="99"/>
    <w:rsid w:val="00F547C5"/>
    <w:rPr>
      <w:i/>
      <w:iCs/>
      <w:spacing w:val="0"/>
      <w:sz w:val="16"/>
      <w:szCs w:val="16"/>
    </w:rPr>
  </w:style>
  <w:style w:type="character" w:customStyle="1" w:styleId="572">
    <w:name w:val="Основной текст (5)72"/>
    <w:uiPriority w:val="99"/>
    <w:rsid w:val="00F547C5"/>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uiPriority w:val="99"/>
    <w:rsid w:val="00F547C5"/>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uiPriority w:val="99"/>
    <w:rsid w:val="00F547C5"/>
    <w:rPr>
      <w:b/>
      <w:bCs/>
      <w:i/>
      <w:iCs/>
      <w:spacing w:val="0"/>
      <w:sz w:val="17"/>
      <w:szCs w:val="17"/>
    </w:rPr>
  </w:style>
  <w:style w:type="character" w:customStyle="1" w:styleId="571">
    <w:name w:val="Основной текст (5)71"/>
    <w:uiPriority w:val="99"/>
    <w:rsid w:val="00F547C5"/>
    <w:rPr>
      <w:i/>
      <w:iCs/>
      <w:spacing w:val="0"/>
      <w:sz w:val="16"/>
      <w:szCs w:val="16"/>
    </w:rPr>
  </w:style>
  <w:style w:type="character" w:customStyle="1" w:styleId="203">
    <w:name w:val="Основной текст (20)"/>
    <w:uiPriority w:val="99"/>
    <w:rsid w:val="00F547C5"/>
    <w:rPr>
      <w:b/>
      <w:bCs/>
      <w:i/>
      <w:iCs/>
      <w:sz w:val="15"/>
      <w:szCs w:val="15"/>
    </w:rPr>
  </w:style>
  <w:style w:type="character" w:customStyle="1" w:styleId="2030">
    <w:name w:val="Основной текст (20)3"/>
    <w:uiPriority w:val="99"/>
    <w:rsid w:val="00F547C5"/>
    <w:rPr>
      <w:rFonts w:ascii="Arial Unicode MS" w:eastAsia="Arial Unicode MS" w:cs="Arial Unicode MS"/>
      <w:b/>
      <w:bCs/>
      <w:i/>
      <w:iCs/>
      <w:noProof/>
      <w:sz w:val="15"/>
      <w:szCs w:val="15"/>
    </w:rPr>
  </w:style>
  <w:style w:type="character" w:customStyle="1" w:styleId="208pt4">
    <w:name w:val="Основной текст (20) + 8 pt.Не полужирный4"/>
    <w:uiPriority w:val="99"/>
    <w:rsid w:val="00F547C5"/>
    <w:rPr>
      <w:rFonts w:ascii="Arial Unicode MS" w:eastAsia="Arial Unicode MS" w:cs="Arial Unicode MS"/>
      <w:b/>
      <w:bCs/>
      <w:i/>
      <w:iCs/>
      <w:noProof/>
      <w:sz w:val="16"/>
      <w:szCs w:val="16"/>
    </w:rPr>
  </w:style>
  <w:style w:type="character" w:customStyle="1" w:styleId="2020">
    <w:name w:val="Основной текст (20)2"/>
    <w:uiPriority w:val="99"/>
    <w:rsid w:val="00F547C5"/>
    <w:rPr>
      <w:b/>
      <w:bCs/>
      <w:i/>
      <w:iCs/>
      <w:sz w:val="15"/>
      <w:szCs w:val="15"/>
    </w:rPr>
  </w:style>
  <w:style w:type="character" w:customStyle="1" w:styleId="363">
    <w:name w:val="Основной текст (36) + Не курсив3"/>
    <w:uiPriority w:val="99"/>
    <w:rsid w:val="00F547C5"/>
    <w:rPr>
      <w:rFonts w:ascii="Arial" w:hAnsi="Arial" w:cs="Arial"/>
      <w:spacing w:val="0"/>
      <w:sz w:val="8"/>
      <w:szCs w:val="8"/>
    </w:rPr>
  </w:style>
  <w:style w:type="character" w:customStyle="1" w:styleId="4a">
    <w:name w:val="Основной текст + Курсив4"/>
    <w:uiPriority w:val="99"/>
    <w:rsid w:val="00F547C5"/>
    <w:rPr>
      <w:rFonts w:ascii="Century Gothic" w:hAnsi="Century Gothic" w:cs="Century Gothic"/>
      <w:i/>
      <w:iCs/>
      <w:spacing w:val="-10"/>
      <w:sz w:val="17"/>
      <w:szCs w:val="17"/>
    </w:rPr>
  </w:style>
  <w:style w:type="character" w:customStyle="1" w:styleId="362">
    <w:name w:val="Основной текст (36) + Не курсив2"/>
    <w:uiPriority w:val="99"/>
    <w:rsid w:val="00F547C5"/>
    <w:rPr>
      <w:rFonts w:ascii="Arial" w:hAnsi="Arial" w:cs="Arial"/>
      <w:spacing w:val="0"/>
      <w:sz w:val="8"/>
      <w:szCs w:val="8"/>
    </w:rPr>
  </w:style>
  <w:style w:type="character" w:customStyle="1" w:styleId="400">
    <w:name w:val="Основной текст (40) + Не курсив"/>
    <w:uiPriority w:val="99"/>
    <w:rsid w:val="00F547C5"/>
    <w:rPr>
      <w:rFonts w:ascii="Arial" w:hAnsi="Arial" w:cs="Arial"/>
      <w:noProof/>
      <w:spacing w:val="0"/>
      <w:sz w:val="8"/>
      <w:szCs w:val="8"/>
    </w:rPr>
  </w:style>
  <w:style w:type="paragraph" w:customStyle="1" w:styleId="380">
    <w:name w:val="Основной текст (38)"/>
    <w:basedOn w:val="a"/>
    <w:uiPriority w:val="99"/>
    <w:rsid w:val="00F547C5"/>
    <w:pPr>
      <w:shd w:val="clear" w:color="auto" w:fill="FFFFFF"/>
      <w:autoSpaceDE w:val="0"/>
      <w:autoSpaceDN w:val="0"/>
      <w:adjustRightInd w:val="0"/>
      <w:spacing w:after="0" w:line="86" w:lineRule="exact"/>
      <w:jc w:val="center"/>
    </w:pPr>
    <w:rPr>
      <w:rFonts w:ascii="Arial" w:hAnsi="Arial" w:cs="Arial"/>
      <w:sz w:val="8"/>
      <w:szCs w:val="8"/>
    </w:rPr>
  </w:style>
  <w:style w:type="paragraph" w:customStyle="1" w:styleId="401">
    <w:name w:val="Основной текст (40)"/>
    <w:basedOn w:val="a"/>
    <w:uiPriority w:val="99"/>
    <w:rsid w:val="00F547C5"/>
    <w:pPr>
      <w:shd w:val="clear" w:color="auto" w:fill="FFFFFF"/>
      <w:autoSpaceDE w:val="0"/>
      <w:autoSpaceDN w:val="0"/>
      <w:adjustRightInd w:val="0"/>
      <w:spacing w:after="0" w:line="86" w:lineRule="exact"/>
      <w:jc w:val="both"/>
    </w:pPr>
    <w:rPr>
      <w:rFonts w:ascii="Arial" w:hAnsi="Arial" w:cs="Arial"/>
      <w:i/>
      <w:iCs/>
      <w:sz w:val="8"/>
      <w:szCs w:val="8"/>
    </w:rPr>
  </w:style>
  <w:style w:type="paragraph" w:customStyle="1" w:styleId="rtejustify">
    <w:name w:val="rtejustify"/>
    <w:basedOn w:val="a"/>
    <w:rsid w:val="007548ED"/>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character" w:customStyle="1" w:styleId="10">
    <w:name w:val="Заголовок 1 Знак"/>
    <w:link w:val="1"/>
    <w:uiPriority w:val="9"/>
    <w:rsid w:val="007548ED"/>
    <w:rPr>
      <w:rFonts w:ascii="Cambria" w:eastAsia="Times New Roman" w:hAnsi="Cambria" w:cs="Times New Roman"/>
      <w:b/>
      <w:bCs/>
      <w:color w:val="365F91"/>
      <w:sz w:val="28"/>
      <w:szCs w:val="28"/>
    </w:rPr>
  </w:style>
  <w:style w:type="character" w:customStyle="1" w:styleId="20">
    <w:name w:val="Заголовок 2 Знак"/>
    <w:link w:val="2"/>
    <w:uiPriority w:val="9"/>
    <w:rsid w:val="007548ED"/>
    <w:rPr>
      <w:rFonts w:ascii="Cambria" w:eastAsia="Times New Roman" w:hAnsi="Cambria" w:cs="Times New Roman"/>
      <w:color w:val="365F91"/>
      <w:sz w:val="26"/>
      <w:szCs w:val="26"/>
      <w:lang w:eastAsia="ru-RU"/>
    </w:rPr>
  </w:style>
  <w:style w:type="character" w:customStyle="1" w:styleId="30">
    <w:name w:val="Заголовок 3 Знак"/>
    <w:link w:val="3"/>
    <w:uiPriority w:val="9"/>
    <w:rsid w:val="007548ED"/>
    <w:rPr>
      <w:rFonts w:ascii="Cambria" w:eastAsia="Times New Roman" w:hAnsi="Cambria" w:cs="Times New Roman"/>
      <w:color w:val="243F60"/>
      <w:sz w:val="24"/>
      <w:szCs w:val="24"/>
      <w:lang w:eastAsia="ru-RU"/>
    </w:rPr>
  </w:style>
  <w:style w:type="character" w:customStyle="1" w:styleId="40">
    <w:name w:val="Заголовок 4 Знак"/>
    <w:link w:val="4"/>
    <w:uiPriority w:val="9"/>
    <w:rsid w:val="007548ED"/>
    <w:rPr>
      <w:rFonts w:ascii="Cambria" w:eastAsia="Times New Roman" w:hAnsi="Cambria" w:cs="Times New Roman"/>
      <w:i/>
      <w:iCs/>
      <w:color w:val="365F91"/>
      <w:sz w:val="20"/>
      <w:szCs w:val="20"/>
      <w:lang w:eastAsia="ru-RU"/>
    </w:rPr>
  </w:style>
  <w:style w:type="paragraph" w:customStyle="1" w:styleId="rteright">
    <w:name w:val="rteright"/>
    <w:basedOn w:val="a"/>
    <w:uiPriority w:val="99"/>
    <w:rsid w:val="00B31C35"/>
    <w:pPr>
      <w:overflowPunct w:val="0"/>
      <w:autoSpaceDE w:val="0"/>
      <w:autoSpaceDN w:val="0"/>
      <w:adjustRightInd w:val="0"/>
      <w:spacing w:before="120" w:after="216" w:line="240" w:lineRule="auto"/>
      <w:jc w:val="right"/>
      <w:textAlignment w:val="baseline"/>
    </w:pPr>
    <w:rPr>
      <w:rFonts w:ascii="Times New Roman" w:eastAsia="Times New Roman" w:hAnsi="Times New Roman"/>
      <w:sz w:val="24"/>
      <w:szCs w:val="20"/>
      <w:lang w:eastAsia="ru-RU"/>
    </w:rPr>
  </w:style>
  <w:style w:type="paragraph" w:customStyle="1" w:styleId="59">
    <w:name w:val="Основной текст (5)"/>
    <w:basedOn w:val="a"/>
    <w:link w:val="5a"/>
    <w:rsid w:val="00154C41"/>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spacing w:val="-10"/>
      <w:sz w:val="26"/>
      <w:szCs w:val="20"/>
      <w:lang w:eastAsia="ru-RU"/>
    </w:rPr>
  </w:style>
  <w:style w:type="character" w:customStyle="1" w:styleId="50pt">
    <w:name w:val="Основной текст (5) + Не курсив;Интервал 0 pt"/>
    <w:rsid w:val="00154C41"/>
    <w:rPr>
      <w:rFonts w:ascii="Arial" w:eastAsia="Arial" w:hAnsi="Arial" w:cs="Arial"/>
      <w:b w:val="0"/>
      <w:bCs w:val="0"/>
      <w:i/>
      <w:iCs/>
      <w:smallCaps w:val="0"/>
      <w:strike w:val="0"/>
      <w:spacing w:val="0"/>
      <w:sz w:val="26"/>
      <w:szCs w:val="26"/>
      <w:shd w:val="clear" w:color="auto" w:fill="FFFFFF"/>
    </w:rPr>
  </w:style>
  <w:style w:type="character" w:customStyle="1" w:styleId="46">
    <w:name w:val="Основной текст (4)_"/>
    <w:link w:val="45"/>
    <w:rsid w:val="00154C41"/>
    <w:rPr>
      <w:rFonts w:ascii="Gungsuh" w:eastAsia="Gungsuh" w:hAnsi="Times New Roman" w:cs="Gungsuh"/>
      <w:sz w:val="13"/>
      <w:szCs w:val="13"/>
      <w:shd w:val="clear" w:color="auto" w:fill="FFFFFF"/>
    </w:rPr>
  </w:style>
  <w:style w:type="paragraph" w:customStyle="1" w:styleId="130">
    <w:name w:val="Основной текст (13)"/>
    <w:basedOn w:val="a"/>
    <w:link w:val="131"/>
    <w:rsid w:val="00B52D72"/>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paragraph" w:customStyle="1" w:styleId="65">
    <w:name w:val="Подпись к таблице (6)"/>
    <w:basedOn w:val="a"/>
    <w:rsid w:val="00B52D72"/>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sz w:val="15"/>
      <w:szCs w:val="20"/>
      <w:lang w:eastAsia="ru-RU"/>
    </w:rPr>
  </w:style>
  <w:style w:type="character" w:customStyle="1" w:styleId="affb">
    <w:name w:val="Оглавление_"/>
    <w:rsid w:val="006A2CEC"/>
    <w:rPr>
      <w:rFonts w:ascii="Arial" w:hAnsi="Arial"/>
      <w:sz w:val="24"/>
      <w:shd w:val="clear" w:color="auto" w:fill="FFFFFF"/>
    </w:rPr>
  </w:style>
  <w:style w:type="character" w:customStyle="1" w:styleId="91">
    <w:name w:val="Основной текст (9)_"/>
    <w:link w:val="90"/>
    <w:rsid w:val="006A2CEC"/>
    <w:rPr>
      <w:rFonts w:ascii="Lucida Sans Unicode" w:hAnsi="Lucida Sans Unicode" w:cs="Lucida Sans Unicode"/>
      <w:sz w:val="14"/>
      <w:szCs w:val="14"/>
      <w:shd w:val="clear" w:color="auto" w:fill="FFFFFF"/>
    </w:rPr>
  </w:style>
  <w:style w:type="character" w:customStyle="1" w:styleId="95pt">
    <w:name w:val="Основной текст (9) + 5 pt"/>
    <w:rsid w:val="006A2CEC"/>
    <w:rPr>
      <w:rFonts w:ascii="Microsoft Sans Serif" w:eastAsia="Microsoft Sans Serif" w:hAnsi="Microsoft Sans Serif" w:cs="Microsoft Sans Serif"/>
      <w:b w:val="0"/>
      <w:bCs w:val="0"/>
      <w:i w:val="0"/>
      <w:iCs w:val="0"/>
      <w:smallCaps w:val="0"/>
      <w:strike w:val="0"/>
      <w:spacing w:val="0"/>
      <w:sz w:val="10"/>
      <w:szCs w:val="10"/>
      <w:shd w:val="clear" w:color="auto" w:fill="FFFFFF"/>
    </w:rPr>
  </w:style>
  <w:style w:type="paragraph" w:customStyle="1" w:styleId="66">
    <w:name w:val="Основной текст (6)"/>
    <w:basedOn w:val="a"/>
    <w:link w:val="67"/>
    <w:rsid w:val="00462FCC"/>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41pt">
    <w:name w:val="Основной текст (4) + Курсив;Интервал 1 pt"/>
    <w:rsid w:val="00462FCC"/>
    <w:rPr>
      <w:rFonts w:ascii="Microsoft Sans Serif" w:eastAsia="Microsoft Sans Serif" w:hAnsi="Microsoft Sans Serif" w:cs="Microsoft Sans Serif"/>
      <w:b w:val="0"/>
      <w:bCs w:val="0"/>
      <w:i/>
      <w:iCs/>
      <w:smallCaps w:val="0"/>
      <w:strike w:val="0"/>
      <w:spacing w:val="20"/>
      <w:sz w:val="16"/>
      <w:szCs w:val="16"/>
      <w:shd w:val="clear" w:color="auto" w:fill="FFFFFF"/>
    </w:rPr>
  </w:style>
  <w:style w:type="character" w:customStyle="1" w:styleId="67">
    <w:name w:val="Основной текст (6)_"/>
    <w:link w:val="66"/>
    <w:rsid w:val="00462FCC"/>
    <w:rPr>
      <w:rFonts w:ascii="Calibri" w:eastAsia="Times New Roman" w:hAnsi="Calibri" w:cs="Times New Roman"/>
      <w:sz w:val="24"/>
      <w:szCs w:val="20"/>
      <w:shd w:val="clear" w:color="auto" w:fill="FFFFFF"/>
      <w:lang w:eastAsia="ru-RU"/>
    </w:rPr>
  </w:style>
  <w:style w:type="character" w:customStyle="1" w:styleId="4ArialNarrow85pt">
    <w:name w:val="Основной текст (4) + Arial Narrow;8;5 pt;Курсив"/>
    <w:rsid w:val="00F8794A"/>
    <w:rPr>
      <w:rFonts w:ascii="Arial Narrow" w:eastAsia="Arial Narrow" w:hAnsi="Arial Narrow" w:cs="Arial Narrow"/>
      <w:b w:val="0"/>
      <w:bCs w:val="0"/>
      <w:i/>
      <w:iCs/>
      <w:smallCaps w:val="0"/>
      <w:strike w:val="0"/>
      <w:spacing w:val="0"/>
      <w:sz w:val="17"/>
      <w:szCs w:val="17"/>
      <w:shd w:val="clear" w:color="auto" w:fill="FFFFFF"/>
    </w:rPr>
  </w:style>
  <w:style w:type="paragraph" w:customStyle="1" w:styleId="75">
    <w:name w:val="Основной текст7"/>
    <w:basedOn w:val="a"/>
    <w:rsid w:val="00B25ADA"/>
    <w:pPr>
      <w:shd w:val="clear" w:color="auto" w:fill="FFFFFF"/>
      <w:overflowPunct w:val="0"/>
      <w:autoSpaceDE w:val="0"/>
      <w:autoSpaceDN w:val="0"/>
      <w:adjustRightInd w:val="0"/>
      <w:spacing w:after="0" w:line="240" w:lineRule="atLeast"/>
      <w:ind w:hanging="2640"/>
      <w:textAlignment w:val="baseline"/>
    </w:pPr>
    <w:rPr>
      <w:rFonts w:ascii="Arial Narrow" w:eastAsia="Times New Roman" w:hAnsi="Arial Narrow"/>
      <w:color w:val="000000"/>
      <w:sz w:val="15"/>
      <w:szCs w:val="20"/>
      <w:lang w:eastAsia="ru-RU"/>
    </w:rPr>
  </w:style>
  <w:style w:type="paragraph" w:customStyle="1" w:styleId="83">
    <w:name w:val="Основной текст8"/>
    <w:basedOn w:val="a"/>
    <w:rsid w:val="00A40604"/>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character" w:customStyle="1" w:styleId="311pt">
    <w:name w:val="Основной текст (31) + Интервал 1 pt"/>
    <w:rsid w:val="00A40604"/>
    <w:rPr>
      <w:rFonts w:ascii="Arial" w:hAnsi="Arial"/>
      <w:spacing w:val="30"/>
      <w:sz w:val="24"/>
    </w:rPr>
  </w:style>
  <w:style w:type="paragraph" w:customStyle="1" w:styleId="320">
    <w:name w:val="Основной текст (32)"/>
    <w:basedOn w:val="a"/>
    <w:link w:val="321"/>
    <w:rsid w:val="00A40604"/>
    <w:pPr>
      <w:shd w:val="clear" w:color="auto" w:fill="FFFFFF"/>
      <w:overflowPunct w:val="0"/>
      <w:autoSpaceDE w:val="0"/>
      <w:autoSpaceDN w:val="0"/>
      <w:adjustRightInd w:val="0"/>
      <w:spacing w:after="0" w:line="240" w:lineRule="atLeast"/>
      <w:textAlignment w:val="baseline"/>
    </w:pPr>
    <w:rPr>
      <w:rFonts w:ascii="Arial" w:eastAsia="Times New Roman" w:hAnsi="Arial"/>
      <w:sz w:val="27"/>
      <w:szCs w:val="20"/>
      <w:lang w:eastAsia="ru-RU"/>
    </w:rPr>
  </w:style>
  <w:style w:type="character" w:customStyle="1" w:styleId="321">
    <w:name w:val="Основной текст (32)_"/>
    <w:link w:val="320"/>
    <w:rsid w:val="00A40604"/>
    <w:rPr>
      <w:rFonts w:ascii="Arial" w:eastAsia="Times New Roman" w:hAnsi="Arial" w:cs="Times New Roman"/>
      <w:sz w:val="27"/>
      <w:szCs w:val="20"/>
      <w:shd w:val="clear" w:color="auto" w:fill="FFFFFF"/>
      <w:lang w:eastAsia="ru-RU"/>
    </w:rPr>
  </w:style>
  <w:style w:type="paragraph" w:customStyle="1" w:styleId="312">
    <w:name w:val="Основной текст (31)"/>
    <w:basedOn w:val="a"/>
    <w:link w:val="313"/>
    <w:rsid w:val="00A40604"/>
    <w:pPr>
      <w:shd w:val="clear" w:color="auto" w:fill="FFFFFF"/>
      <w:overflowPunct w:val="0"/>
      <w:autoSpaceDE w:val="0"/>
      <w:autoSpaceDN w:val="0"/>
      <w:adjustRightInd w:val="0"/>
      <w:spacing w:after="0" w:line="240" w:lineRule="atLeast"/>
      <w:textAlignment w:val="baseline"/>
    </w:pPr>
    <w:rPr>
      <w:rFonts w:ascii="Arial" w:eastAsia="Times New Roman" w:hAnsi="Arial"/>
      <w:sz w:val="24"/>
      <w:szCs w:val="20"/>
      <w:lang w:eastAsia="ru-RU"/>
    </w:rPr>
  </w:style>
  <w:style w:type="character" w:customStyle="1" w:styleId="313">
    <w:name w:val="Основной текст (31)_"/>
    <w:link w:val="312"/>
    <w:rsid w:val="00A40604"/>
    <w:rPr>
      <w:rFonts w:ascii="Arial" w:eastAsia="Times New Roman" w:hAnsi="Arial" w:cs="Times New Roman"/>
      <w:sz w:val="24"/>
      <w:szCs w:val="20"/>
      <w:shd w:val="clear" w:color="auto" w:fill="FFFFFF"/>
      <w:lang w:eastAsia="ru-RU"/>
    </w:rPr>
  </w:style>
  <w:style w:type="character" w:customStyle="1" w:styleId="highlight">
    <w:name w:val="highlight"/>
    <w:basedOn w:val="a0"/>
    <w:rsid w:val="007A431E"/>
  </w:style>
  <w:style w:type="character" w:customStyle="1" w:styleId="p1">
    <w:name w:val="p1"/>
    <w:basedOn w:val="a0"/>
    <w:rsid w:val="008830F9"/>
    <w:rPr>
      <w:rFonts w:ascii="Calibri" w:hAnsi="Calibri" w:hint="default"/>
      <w:color w:val="666666"/>
      <w:sz w:val="20"/>
      <w:szCs w:val="20"/>
    </w:rPr>
  </w:style>
  <w:style w:type="character" w:customStyle="1" w:styleId="a11">
    <w:name w:val="a1"/>
    <w:basedOn w:val="a0"/>
    <w:rsid w:val="0089707B"/>
    <w:rPr>
      <w:rFonts w:ascii="Arial" w:hAnsi="Arial" w:cs="Arial" w:hint="default"/>
      <w:color w:val="990000"/>
      <w:sz w:val="16"/>
      <w:szCs w:val="16"/>
    </w:rPr>
  </w:style>
  <w:style w:type="character" w:customStyle="1" w:styleId="92">
    <w:name w:val="9"/>
    <w:basedOn w:val="a0"/>
    <w:rsid w:val="00410640"/>
  </w:style>
  <w:style w:type="character" w:customStyle="1" w:styleId="a60">
    <w:name w:val="a6"/>
    <w:basedOn w:val="a0"/>
    <w:rsid w:val="00410640"/>
  </w:style>
  <w:style w:type="character" w:customStyle="1" w:styleId="ucoz-forum-post">
    <w:name w:val="ucoz-forum-post"/>
    <w:basedOn w:val="a0"/>
    <w:rsid w:val="009024DB"/>
  </w:style>
  <w:style w:type="character" w:customStyle="1" w:styleId="143">
    <w:name w:val="Основной текст (14)_"/>
    <w:basedOn w:val="a0"/>
    <w:link w:val="144"/>
    <w:rsid w:val="00822803"/>
    <w:rPr>
      <w:rFonts w:ascii="Arial Narrow" w:hAnsi="Arial Narrow" w:cs="Arial Narrow"/>
      <w:b/>
      <w:bCs/>
      <w:sz w:val="16"/>
      <w:szCs w:val="16"/>
      <w:shd w:val="clear" w:color="auto" w:fill="FFFFFF"/>
    </w:rPr>
  </w:style>
  <w:style w:type="character" w:customStyle="1" w:styleId="aff1">
    <w:name w:val="Подпись к таблице_"/>
    <w:basedOn w:val="a0"/>
    <w:link w:val="aff0"/>
    <w:rsid w:val="00822803"/>
    <w:rPr>
      <w:rFonts w:ascii="Arial Narrow" w:hAnsi="Arial Narrow" w:cs="Arial Narrow"/>
      <w:i/>
      <w:iCs/>
      <w:noProof/>
      <w:shd w:val="clear" w:color="auto" w:fill="FFFFFF"/>
      <w:lang w:val="en-US" w:eastAsia="en-US"/>
    </w:rPr>
  </w:style>
  <w:style w:type="character" w:customStyle="1" w:styleId="152">
    <w:name w:val="Основной текст (15)_"/>
    <w:basedOn w:val="a0"/>
    <w:link w:val="153"/>
    <w:rsid w:val="00822803"/>
    <w:rPr>
      <w:rFonts w:ascii="Arial Narrow" w:hAnsi="Arial Narrow" w:cs="Arial Narrow"/>
      <w:i/>
      <w:iCs/>
      <w:sz w:val="14"/>
      <w:szCs w:val="14"/>
      <w:shd w:val="clear" w:color="auto" w:fill="FFFFFF"/>
    </w:rPr>
  </w:style>
  <w:style w:type="paragraph" w:customStyle="1" w:styleId="144">
    <w:name w:val="Основной текст (14)"/>
    <w:basedOn w:val="a"/>
    <w:link w:val="143"/>
    <w:uiPriority w:val="99"/>
    <w:rsid w:val="00822803"/>
    <w:pPr>
      <w:shd w:val="clear" w:color="auto" w:fill="FFFFFF"/>
      <w:spacing w:after="0" w:line="240" w:lineRule="atLeast"/>
    </w:pPr>
    <w:rPr>
      <w:rFonts w:ascii="Arial Narrow" w:hAnsi="Arial Narrow" w:cs="Arial Narrow"/>
      <w:b/>
      <w:bCs/>
      <w:sz w:val="16"/>
      <w:szCs w:val="16"/>
      <w:lang w:eastAsia="ru-RU"/>
    </w:rPr>
  </w:style>
  <w:style w:type="paragraph" w:customStyle="1" w:styleId="153">
    <w:name w:val="Основной текст (15)"/>
    <w:basedOn w:val="a"/>
    <w:link w:val="152"/>
    <w:rsid w:val="00822803"/>
    <w:pPr>
      <w:shd w:val="clear" w:color="auto" w:fill="FFFFFF"/>
      <w:spacing w:after="0" w:line="163" w:lineRule="exact"/>
      <w:jc w:val="both"/>
    </w:pPr>
    <w:rPr>
      <w:rFonts w:ascii="Arial Narrow" w:hAnsi="Arial Narrow" w:cs="Arial Narrow"/>
      <w:i/>
      <w:iCs/>
      <w:sz w:val="14"/>
      <w:szCs w:val="14"/>
      <w:lang w:eastAsia="ru-RU"/>
    </w:rPr>
  </w:style>
  <w:style w:type="character" w:customStyle="1" w:styleId="104">
    <w:name w:val="Подпись к картинке (10)_"/>
    <w:basedOn w:val="a0"/>
    <w:link w:val="105"/>
    <w:rsid w:val="00822803"/>
    <w:rPr>
      <w:rFonts w:ascii="MS Reference Sans Serif" w:hAnsi="MS Reference Sans Serif" w:cs="MS Reference Sans Serif"/>
      <w:i/>
      <w:iCs/>
      <w:sz w:val="18"/>
      <w:szCs w:val="18"/>
      <w:shd w:val="clear" w:color="auto" w:fill="FFFFFF"/>
    </w:rPr>
  </w:style>
  <w:style w:type="paragraph" w:customStyle="1" w:styleId="105">
    <w:name w:val="Подпись к картинке (10)"/>
    <w:basedOn w:val="a"/>
    <w:link w:val="104"/>
    <w:rsid w:val="00822803"/>
    <w:pPr>
      <w:shd w:val="clear" w:color="auto" w:fill="FFFFFF"/>
      <w:spacing w:after="0" w:line="240" w:lineRule="atLeast"/>
    </w:pPr>
    <w:rPr>
      <w:rFonts w:ascii="MS Reference Sans Serif" w:hAnsi="MS Reference Sans Serif" w:cs="MS Reference Sans Serif"/>
      <w:i/>
      <w:iCs/>
      <w:sz w:val="18"/>
      <w:szCs w:val="18"/>
      <w:lang w:eastAsia="ru-RU"/>
    </w:rPr>
  </w:style>
  <w:style w:type="character" w:customStyle="1" w:styleId="581">
    <w:name w:val="Основной текст (58)_"/>
    <w:basedOn w:val="a0"/>
    <w:link w:val="580"/>
    <w:rsid w:val="00822803"/>
    <w:rPr>
      <w:rFonts w:ascii="MS Reference Sans Serif" w:hAnsi="MS Reference Sans Serif" w:cs="MS Reference Sans Serif"/>
      <w:i/>
      <w:iCs/>
      <w:shd w:val="clear" w:color="auto" w:fill="FFFFFF"/>
      <w:lang w:eastAsia="en-US"/>
    </w:rPr>
  </w:style>
  <w:style w:type="character" w:customStyle="1" w:styleId="640">
    <w:name w:val="Основной текст (64)_"/>
    <w:basedOn w:val="a0"/>
    <w:link w:val="641"/>
    <w:rsid w:val="00822803"/>
    <w:rPr>
      <w:rFonts w:ascii="Franklin Gothic Book" w:hAnsi="Franklin Gothic Book" w:cs="Franklin Gothic Book"/>
      <w:noProof/>
      <w:sz w:val="8"/>
      <w:szCs w:val="8"/>
      <w:shd w:val="clear" w:color="auto" w:fill="FFFFFF"/>
    </w:rPr>
  </w:style>
  <w:style w:type="character" w:customStyle="1" w:styleId="650">
    <w:name w:val="Основной текст (65)_"/>
    <w:basedOn w:val="a0"/>
    <w:link w:val="651"/>
    <w:rsid w:val="00822803"/>
    <w:rPr>
      <w:rFonts w:ascii="Franklin Gothic Book" w:hAnsi="Franklin Gothic Book" w:cs="Franklin Gothic Book"/>
      <w:noProof/>
      <w:sz w:val="8"/>
      <w:szCs w:val="8"/>
      <w:shd w:val="clear" w:color="auto" w:fill="FFFFFF"/>
    </w:rPr>
  </w:style>
  <w:style w:type="character" w:customStyle="1" w:styleId="89pt">
    <w:name w:val="Основной текст (8) + 9 pt"/>
    <w:basedOn w:val="81"/>
    <w:rsid w:val="00822803"/>
    <w:rPr>
      <w:rFonts w:ascii="Arial Narrow" w:eastAsia="Times New Roman" w:hAnsi="Arial Narrow" w:cs="Arial Narrow"/>
      <w:sz w:val="18"/>
      <w:szCs w:val="18"/>
      <w:shd w:val="clear" w:color="auto" w:fill="FFFFFF"/>
    </w:rPr>
  </w:style>
  <w:style w:type="character" w:customStyle="1" w:styleId="87pt1">
    <w:name w:val="Основной текст (8) + 7 pt1"/>
    <w:aliases w:val="Курсив4"/>
    <w:basedOn w:val="81"/>
    <w:uiPriority w:val="99"/>
    <w:rsid w:val="00822803"/>
    <w:rPr>
      <w:rFonts w:ascii="Arial Narrow" w:eastAsia="Times New Roman" w:hAnsi="Arial Narrow" w:cs="Arial Narrow"/>
      <w:i/>
      <w:iCs/>
      <w:sz w:val="14"/>
      <w:szCs w:val="14"/>
      <w:shd w:val="clear" w:color="auto" w:fill="FFFFFF"/>
    </w:rPr>
  </w:style>
  <w:style w:type="paragraph" w:customStyle="1" w:styleId="641">
    <w:name w:val="Основной текст (64)"/>
    <w:basedOn w:val="a"/>
    <w:link w:val="640"/>
    <w:rsid w:val="00822803"/>
    <w:pPr>
      <w:shd w:val="clear" w:color="auto" w:fill="FFFFFF"/>
      <w:spacing w:after="0" w:line="240" w:lineRule="atLeast"/>
    </w:pPr>
    <w:rPr>
      <w:rFonts w:ascii="Franklin Gothic Book" w:hAnsi="Franklin Gothic Book" w:cs="Franklin Gothic Book"/>
      <w:noProof/>
      <w:sz w:val="8"/>
      <w:szCs w:val="8"/>
      <w:lang w:eastAsia="ru-RU"/>
    </w:rPr>
  </w:style>
  <w:style w:type="paragraph" w:customStyle="1" w:styleId="651">
    <w:name w:val="Основной текст (65)"/>
    <w:basedOn w:val="a"/>
    <w:link w:val="650"/>
    <w:rsid w:val="00822803"/>
    <w:pPr>
      <w:shd w:val="clear" w:color="auto" w:fill="FFFFFF"/>
      <w:spacing w:after="0" w:line="240" w:lineRule="atLeast"/>
    </w:pPr>
    <w:rPr>
      <w:rFonts w:ascii="Franklin Gothic Book" w:hAnsi="Franklin Gothic Book" w:cs="Franklin Gothic Book"/>
      <w:noProof/>
      <w:sz w:val="8"/>
      <w:szCs w:val="8"/>
      <w:lang w:eastAsia="ru-RU"/>
    </w:rPr>
  </w:style>
  <w:style w:type="character" w:customStyle="1" w:styleId="49">
    <w:name w:val="Подпись к картинке (4)_"/>
    <w:basedOn w:val="a0"/>
    <w:link w:val="48"/>
    <w:rsid w:val="00FF4128"/>
    <w:rPr>
      <w:rFonts w:ascii="Arial Narrow" w:hAnsi="Arial Narrow" w:cs="Arial Narrow"/>
      <w:i/>
      <w:iCs/>
      <w:sz w:val="17"/>
      <w:szCs w:val="17"/>
      <w:shd w:val="clear" w:color="auto" w:fill="FFFFFF"/>
      <w:lang w:eastAsia="en-US"/>
    </w:rPr>
  </w:style>
  <w:style w:type="character" w:customStyle="1" w:styleId="4b">
    <w:name w:val="Подпись к картинке (4) + Полужирный"/>
    <w:basedOn w:val="49"/>
    <w:rsid w:val="00FF4128"/>
    <w:rPr>
      <w:rFonts w:ascii="Arial" w:eastAsia="Arial" w:hAnsi="Arial" w:cs="Arial"/>
      <w:b/>
      <w:bCs/>
      <w:i/>
      <w:iCs/>
      <w:smallCaps w:val="0"/>
      <w:strike w:val="0"/>
      <w:spacing w:val="0"/>
      <w:sz w:val="17"/>
      <w:szCs w:val="17"/>
      <w:shd w:val="clear" w:color="auto" w:fill="FFFFFF"/>
      <w:lang w:eastAsia="en-US"/>
    </w:rPr>
  </w:style>
  <w:style w:type="paragraph" w:customStyle="1" w:styleId="1010">
    <w:name w:val="Основной текст (10)1"/>
    <w:basedOn w:val="a"/>
    <w:uiPriority w:val="99"/>
    <w:rsid w:val="00FF4128"/>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291">
    <w:name w:val="Основной текст + Курсив29"/>
    <w:aliases w:val="Интервал 0 pt55"/>
    <w:basedOn w:val="a0"/>
    <w:uiPriority w:val="99"/>
    <w:rsid w:val="00FF4128"/>
    <w:rPr>
      <w:rFonts w:ascii="Arial Narrow" w:hAnsi="Arial Narrow" w:cs="Arial Narrow"/>
      <w:i/>
      <w:iCs/>
      <w:spacing w:val="0"/>
      <w:sz w:val="18"/>
      <w:szCs w:val="18"/>
      <w:shd w:val="clear" w:color="auto" w:fill="FFFFFF"/>
    </w:rPr>
  </w:style>
  <w:style w:type="character" w:customStyle="1" w:styleId="1030">
    <w:name w:val="Основной текст (10) + Не курсив30"/>
    <w:basedOn w:val="a0"/>
    <w:uiPriority w:val="99"/>
    <w:rsid w:val="00FF4128"/>
    <w:rPr>
      <w:rFonts w:ascii="Arial Narrow" w:eastAsia="Times New Roman" w:hAnsi="Arial Narrow" w:cs="Arial Narrow"/>
      <w:b w:val="0"/>
      <w:bCs w:val="0"/>
      <w:i w:val="0"/>
      <w:iCs w:val="0"/>
      <w:smallCaps w:val="0"/>
      <w:strike w:val="0"/>
      <w:spacing w:val="0"/>
      <w:sz w:val="18"/>
      <w:szCs w:val="18"/>
    </w:rPr>
  </w:style>
  <w:style w:type="character" w:customStyle="1" w:styleId="1015">
    <w:name w:val="Основной текст (10) + Полужирный15"/>
    <w:aliases w:val="Не курсив16"/>
    <w:basedOn w:val="a0"/>
    <w:uiPriority w:val="99"/>
    <w:rsid w:val="00FF4128"/>
    <w:rPr>
      <w:rFonts w:ascii="Arial Narrow" w:eastAsia="Times New Roman" w:hAnsi="Arial Narrow" w:cs="Arial Narrow"/>
      <w:b/>
      <w:bCs/>
      <w:i w:val="0"/>
      <w:iCs w:val="0"/>
      <w:smallCaps w:val="0"/>
      <w:strike w:val="0"/>
      <w:spacing w:val="0"/>
      <w:sz w:val="18"/>
      <w:szCs w:val="18"/>
    </w:rPr>
  </w:style>
  <w:style w:type="character" w:customStyle="1" w:styleId="75pt">
    <w:name w:val="Основной текст + 7;5 pt"/>
    <w:basedOn w:val="aff"/>
    <w:rsid w:val="00E118F4"/>
    <w:rPr>
      <w:rFonts w:ascii="Arial" w:eastAsia="Arial" w:hAnsi="Arial" w:cs="Arial"/>
      <w:b w:val="0"/>
      <w:bCs w:val="0"/>
      <w:i w:val="0"/>
      <w:iCs w:val="0"/>
      <w:smallCaps w:val="0"/>
      <w:strike w:val="0"/>
      <w:spacing w:val="0"/>
      <w:sz w:val="15"/>
      <w:szCs w:val="15"/>
      <w:shd w:val="clear" w:color="auto" w:fill="FFFFFF"/>
    </w:rPr>
  </w:style>
  <w:style w:type="character" w:customStyle="1" w:styleId="1031">
    <w:name w:val="Основной текст (10) + Не курсив31"/>
    <w:basedOn w:val="a0"/>
    <w:uiPriority w:val="99"/>
    <w:rsid w:val="00107F31"/>
    <w:rPr>
      <w:rFonts w:ascii="Arial Narrow" w:eastAsia="Times New Roman" w:hAnsi="Arial Narrow" w:cs="Arial Narrow"/>
      <w:b w:val="0"/>
      <w:bCs w:val="0"/>
      <w:i w:val="0"/>
      <w:iCs w:val="0"/>
      <w:smallCaps w:val="0"/>
      <w:strike w:val="0"/>
      <w:spacing w:val="0"/>
      <w:sz w:val="18"/>
      <w:szCs w:val="18"/>
    </w:rPr>
  </w:style>
  <w:style w:type="character" w:customStyle="1" w:styleId="109">
    <w:name w:val="Основной текст (10) + 9"/>
    <w:aliases w:val="5 pt58,Полужирный55,Не курсив17,Интервал 0 pt37,Основной текст + 102,Малые прописные13,Основной текст (2) + 5 pt"/>
    <w:basedOn w:val="a0"/>
    <w:uiPriority w:val="99"/>
    <w:rsid w:val="00107F31"/>
    <w:rPr>
      <w:rFonts w:ascii="Arial Narrow" w:eastAsia="Times New Roman" w:hAnsi="Arial Narrow" w:cs="Arial Narrow"/>
      <w:b/>
      <w:bCs/>
      <w:i w:val="0"/>
      <w:iCs w:val="0"/>
      <w:smallCaps w:val="0"/>
      <w:strike w:val="0"/>
      <w:spacing w:val="-10"/>
      <w:sz w:val="19"/>
      <w:szCs w:val="19"/>
    </w:rPr>
  </w:style>
  <w:style w:type="character" w:customStyle="1" w:styleId="107">
    <w:name w:val="Основной текст (10) + 7"/>
    <w:aliases w:val="5 pt57,Полужирный54,Основной текст + 829"/>
    <w:basedOn w:val="a0"/>
    <w:uiPriority w:val="99"/>
    <w:rsid w:val="00107F31"/>
    <w:rPr>
      <w:rFonts w:ascii="Arial Narrow" w:eastAsia="Times New Roman" w:hAnsi="Arial Narrow" w:cs="Arial Narrow"/>
      <w:b/>
      <w:bCs/>
      <w:i/>
      <w:iCs/>
      <w:smallCaps w:val="0"/>
      <w:strike w:val="0"/>
      <w:spacing w:val="0"/>
      <w:sz w:val="15"/>
      <w:szCs w:val="15"/>
    </w:rPr>
  </w:style>
  <w:style w:type="character" w:customStyle="1" w:styleId="1016">
    <w:name w:val="Основной текст (10) + Полужирный16"/>
    <w:basedOn w:val="a0"/>
    <w:uiPriority w:val="99"/>
    <w:rsid w:val="00107F31"/>
    <w:rPr>
      <w:rFonts w:ascii="Arial Narrow" w:eastAsia="Times New Roman" w:hAnsi="Arial Narrow" w:cs="Arial Narrow"/>
      <w:b/>
      <w:bCs/>
      <w:i/>
      <w:iCs/>
      <w:smallCaps w:val="0"/>
      <w:strike w:val="0"/>
      <w:spacing w:val="0"/>
      <w:sz w:val="18"/>
      <w:szCs w:val="18"/>
    </w:rPr>
  </w:style>
  <w:style w:type="character" w:customStyle="1" w:styleId="106">
    <w:name w:val="Основной текст (10) + Не курсив6"/>
    <w:basedOn w:val="a0"/>
    <w:uiPriority w:val="99"/>
    <w:rsid w:val="00107F31"/>
    <w:rPr>
      <w:rFonts w:ascii="Arial Narrow" w:eastAsia="Times New Roman" w:hAnsi="Arial Narrow" w:cs="Arial Narrow"/>
      <w:b w:val="0"/>
      <w:bCs w:val="0"/>
      <w:i w:val="0"/>
      <w:iCs w:val="0"/>
      <w:smallCaps w:val="0"/>
      <w:strike w:val="0"/>
      <w:spacing w:val="0"/>
      <w:sz w:val="18"/>
      <w:szCs w:val="18"/>
    </w:rPr>
  </w:style>
  <w:style w:type="character" w:customStyle="1" w:styleId="2a">
    <w:name w:val="Основной текст (2)_"/>
    <w:basedOn w:val="a0"/>
    <w:link w:val="28"/>
    <w:uiPriority w:val="99"/>
    <w:locked/>
    <w:rsid w:val="00107F31"/>
    <w:rPr>
      <w:rFonts w:ascii="Segoe UI" w:hAnsi="Segoe UI" w:cs="Segoe UI"/>
      <w:sz w:val="13"/>
      <w:szCs w:val="13"/>
      <w:shd w:val="clear" w:color="auto" w:fill="FFFFFF"/>
      <w:lang w:eastAsia="en-US"/>
    </w:rPr>
  </w:style>
  <w:style w:type="character" w:customStyle="1" w:styleId="15MSReferenceSansSerif1">
    <w:name w:val="Основной текст (15) + MS Reference Sans Serif1"/>
    <w:aliases w:val="62,5 pt9,Не курсив1,Основной текст + 85,Основной текст (2) + Полужирный1,Колонтитул + Century Gothic,Основной текст (5) + Полужирный2,Основной текст (22) + Times New Roman,41"/>
    <w:basedOn w:val="152"/>
    <w:uiPriority w:val="99"/>
    <w:rsid w:val="00107F31"/>
    <w:rPr>
      <w:rFonts w:ascii="MS Reference Sans Serif" w:hAnsi="MS Reference Sans Serif" w:cs="MS Reference Sans Serif"/>
      <w:i w:val="0"/>
      <w:iCs w:val="0"/>
      <w:spacing w:val="0"/>
      <w:sz w:val="13"/>
      <w:szCs w:val="13"/>
      <w:shd w:val="clear" w:color="auto" w:fill="FFFFFF"/>
    </w:rPr>
  </w:style>
  <w:style w:type="character" w:customStyle="1" w:styleId="154">
    <w:name w:val="Основной текст + Полужирный15"/>
    <w:basedOn w:val="a0"/>
    <w:uiPriority w:val="99"/>
    <w:rsid w:val="00261E4C"/>
    <w:rPr>
      <w:rFonts w:ascii="Arial Narrow" w:hAnsi="Arial Narrow" w:cs="Arial Narrow"/>
      <w:b/>
      <w:bCs/>
      <w:spacing w:val="0"/>
      <w:sz w:val="18"/>
      <w:szCs w:val="18"/>
      <w:shd w:val="clear" w:color="auto" w:fill="FFFFFF"/>
    </w:rPr>
  </w:style>
  <w:style w:type="character" w:customStyle="1" w:styleId="28Arial">
    <w:name w:val="Подпись к картинке (28) + Arial"/>
    <w:aliases w:val="Полужирный9,Не малые прописные,Основной текст + MS Reference Sans Serif3,Основной текст + 11 pt2"/>
    <w:basedOn w:val="a0"/>
    <w:uiPriority w:val="99"/>
    <w:rsid w:val="00261E4C"/>
    <w:rPr>
      <w:rFonts w:ascii="Arial" w:hAnsi="Arial" w:cs="Arial"/>
      <w:b/>
      <w:bCs/>
      <w:smallCaps w:val="0"/>
      <w:sz w:val="14"/>
      <w:szCs w:val="14"/>
      <w:shd w:val="clear" w:color="auto" w:fill="FFFFFF"/>
    </w:rPr>
  </w:style>
  <w:style w:type="character" w:customStyle="1" w:styleId="highlight1">
    <w:name w:val="highlight1"/>
    <w:basedOn w:val="a0"/>
    <w:rsid w:val="00653C5D"/>
    <w:rPr>
      <w:b/>
      <w:bCs/>
    </w:rPr>
  </w:style>
  <w:style w:type="character" w:customStyle="1" w:styleId="161">
    <w:name w:val="Основной текст + Полужирный16"/>
    <w:basedOn w:val="a0"/>
    <w:uiPriority w:val="99"/>
    <w:rsid w:val="00463E8C"/>
    <w:rPr>
      <w:rFonts w:ascii="Arial Narrow" w:hAnsi="Arial Narrow" w:cs="Arial Narrow"/>
      <w:b/>
      <w:bCs/>
      <w:spacing w:val="0"/>
      <w:sz w:val="18"/>
      <w:szCs w:val="18"/>
      <w:shd w:val="clear" w:color="auto" w:fill="FFFFFF"/>
    </w:rPr>
  </w:style>
  <w:style w:type="character" w:customStyle="1" w:styleId="910">
    <w:name w:val="Основной текст + 91"/>
    <w:aliases w:val="5 pt3,Полужирный8,Интервал 0 pt6,Основной текст + 10 pt3,Интервал -1 pt15,Основной текст (5) + Не курсив1,Основной текст + 20,Основной текст (2) + 71"/>
    <w:basedOn w:val="a0"/>
    <w:uiPriority w:val="99"/>
    <w:rsid w:val="00463E8C"/>
    <w:rPr>
      <w:rFonts w:ascii="Arial Narrow" w:hAnsi="Arial Narrow" w:cs="Arial Narrow"/>
      <w:b/>
      <w:bCs/>
      <w:spacing w:val="-10"/>
      <w:sz w:val="19"/>
      <w:szCs w:val="19"/>
      <w:shd w:val="clear" w:color="auto" w:fill="FFFFFF"/>
    </w:rPr>
  </w:style>
  <w:style w:type="character" w:customStyle="1" w:styleId="84">
    <w:name w:val="Основной текст + Полужирный8"/>
    <w:basedOn w:val="a0"/>
    <w:uiPriority w:val="99"/>
    <w:rsid w:val="00A53486"/>
    <w:rPr>
      <w:rFonts w:ascii="Arial Narrow" w:hAnsi="Arial Narrow" w:cs="Arial Narrow"/>
      <w:b/>
      <w:bCs/>
      <w:spacing w:val="0"/>
      <w:sz w:val="18"/>
      <w:szCs w:val="18"/>
      <w:shd w:val="clear" w:color="auto" w:fill="FFFFFF"/>
    </w:rPr>
  </w:style>
  <w:style w:type="character" w:customStyle="1" w:styleId="1pt4">
    <w:name w:val="Основной текст + Интервал 1 pt4"/>
    <w:basedOn w:val="a0"/>
    <w:uiPriority w:val="99"/>
    <w:rsid w:val="00A53486"/>
    <w:rPr>
      <w:rFonts w:ascii="Arial" w:hAnsi="Arial" w:cs="Arial"/>
      <w:spacing w:val="20"/>
      <w:sz w:val="18"/>
      <w:szCs w:val="18"/>
      <w:shd w:val="clear" w:color="auto" w:fill="FFFFFF"/>
    </w:rPr>
  </w:style>
  <w:style w:type="character" w:customStyle="1" w:styleId="94">
    <w:name w:val="Основной текст + 94"/>
    <w:aliases w:val="5 pt28,Полужирный23,Интервал 0 pt16,5 pt14,Основной текст (5) + 91,Интервал -1 pt29,Интервал -1 pt8,Основной текст (5) + Не курсив3"/>
    <w:basedOn w:val="a0"/>
    <w:uiPriority w:val="99"/>
    <w:rsid w:val="00F14B42"/>
    <w:rPr>
      <w:rFonts w:ascii="Arial Narrow" w:hAnsi="Arial Narrow" w:cs="Arial Narrow"/>
      <w:b/>
      <w:bCs/>
      <w:spacing w:val="-10"/>
      <w:sz w:val="19"/>
      <w:szCs w:val="19"/>
      <w:shd w:val="clear" w:color="auto" w:fill="FFFFFF"/>
    </w:rPr>
  </w:style>
  <w:style w:type="character" w:customStyle="1" w:styleId="114">
    <w:name w:val="Основной текст + Полужирный11"/>
    <w:basedOn w:val="a0"/>
    <w:uiPriority w:val="99"/>
    <w:rsid w:val="00F14B42"/>
    <w:rPr>
      <w:rFonts w:ascii="Arial Narrow" w:hAnsi="Arial Narrow" w:cs="Arial Narrow"/>
      <w:b/>
      <w:bCs/>
      <w:spacing w:val="0"/>
      <w:sz w:val="18"/>
      <w:szCs w:val="18"/>
      <w:shd w:val="clear" w:color="auto" w:fill="FFFFFF"/>
    </w:rPr>
  </w:style>
  <w:style w:type="character" w:customStyle="1" w:styleId="5b">
    <w:name w:val="Заголовок №5 + Не полужирный"/>
    <w:basedOn w:val="a0"/>
    <w:uiPriority w:val="99"/>
    <w:rsid w:val="00F14B42"/>
    <w:rPr>
      <w:rFonts w:ascii="Arial" w:hAnsi="Arial" w:cs="Arial"/>
      <w:b w:val="0"/>
      <w:bCs w:val="0"/>
      <w:spacing w:val="0"/>
      <w:sz w:val="18"/>
      <w:szCs w:val="18"/>
      <w:shd w:val="clear" w:color="auto" w:fill="FFFFFF"/>
    </w:rPr>
  </w:style>
  <w:style w:type="paragraph" w:customStyle="1" w:styleId="Style23">
    <w:name w:val="Style23"/>
    <w:basedOn w:val="a"/>
    <w:uiPriority w:val="99"/>
    <w:rsid w:val="00850ACF"/>
    <w:pPr>
      <w:widowControl w:val="0"/>
      <w:autoSpaceDE w:val="0"/>
      <w:autoSpaceDN w:val="0"/>
      <w:adjustRightInd w:val="0"/>
      <w:spacing w:after="0" w:line="240" w:lineRule="auto"/>
    </w:pPr>
    <w:rPr>
      <w:rFonts w:ascii="Century Schoolbook" w:eastAsia="Times New Roman" w:hAnsi="Century Schoolbook"/>
      <w:sz w:val="24"/>
      <w:szCs w:val="24"/>
      <w:lang w:eastAsia="ru-RU"/>
    </w:rPr>
  </w:style>
  <w:style w:type="character" w:customStyle="1" w:styleId="FontStyle197">
    <w:name w:val="Font Style197"/>
    <w:basedOn w:val="a0"/>
    <w:uiPriority w:val="99"/>
    <w:rsid w:val="00850ACF"/>
    <w:rPr>
      <w:rFonts w:ascii="Century Schoolbook" w:hAnsi="Century Schoolbook" w:cs="Century Schoolbook"/>
      <w:sz w:val="16"/>
      <w:szCs w:val="16"/>
    </w:rPr>
  </w:style>
  <w:style w:type="character" w:customStyle="1" w:styleId="1b">
    <w:name w:val="Основной текст Знак1"/>
    <w:basedOn w:val="a0"/>
    <w:uiPriority w:val="99"/>
    <w:rsid w:val="0065509C"/>
    <w:rPr>
      <w:rFonts w:ascii="Arial Narrow" w:hAnsi="Arial Narrow" w:cs="Arial Narrow"/>
      <w:sz w:val="18"/>
      <w:szCs w:val="18"/>
      <w:shd w:val="clear" w:color="auto" w:fill="FFFFFF"/>
    </w:rPr>
  </w:style>
  <w:style w:type="character" w:customStyle="1" w:styleId="68">
    <w:name w:val="Основной текст + Полужирный6"/>
    <w:basedOn w:val="1b"/>
    <w:uiPriority w:val="99"/>
    <w:rsid w:val="0065509C"/>
    <w:rPr>
      <w:rFonts w:ascii="Arial Narrow" w:hAnsi="Arial Narrow" w:cs="Arial Narrow"/>
      <w:b/>
      <w:bCs/>
      <w:spacing w:val="0"/>
      <w:sz w:val="18"/>
      <w:szCs w:val="18"/>
      <w:shd w:val="clear" w:color="auto" w:fill="FFFFFF"/>
    </w:rPr>
  </w:style>
  <w:style w:type="character" w:customStyle="1" w:styleId="5c">
    <w:name w:val="Основной текст + Полужирный5"/>
    <w:basedOn w:val="1b"/>
    <w:uiPriority w:val="99"/>
    <w:rsid w:val="0065509C"/>
    <w:rPr>
      <w:rFonts w:ascii="Arial Narrow" w:hAnsi="Arial Narrow" w:cs="Arial Narrow"/>
      <w:b/>
      <w:bCs/>
      <w:spacing w:val="0"/>
      <w:sz w:val="18"/>
      <w:szCs w:val="18"/>
      <w:shd w:val="clear" w:color="auto" w:fill="FFFFFF"/>
    </w:rPr>
  </w:style>
  <w:style w:type="character" w:customStyle="1" w:styleId="1pt3">
    <w:name w:val="Основной текст + Интервал 1 pt3"/>
    <w:basedOn w:val="1b"/>
    <w:uiPriority w:val="99"/>
    <w:rsid w:val="0065509C"/>
    <w:rPr>
      <w:rFonts w:ascii="Arial" w:hAnsi="Arial" w:cs="Arial"/>
      <w:spacing w:val="20"/>
      <w:sz w:val="18"/>
      <w:szCs w:val="18"/>
      <w:shd w:val="clear" w:color="auto" w:fill="FFFFFF"/>
    </w:rPr>
  </w:style>
  <w:style w:type="character" w:customStyle="1" w:styleId="2f0">
    <w:name w:val="Основной текст + Полужирный2"/>
    <w:basedOn w:val="1b"/>
    <w:uiPriority w:val="99"/>
    <w:rsid w:val="00170B72"/>
    <w:rPr>
      <w:rFonts w:ascii="Arial Narrow" w:hAnsi="Arial Narrow" w:cs="Arial Narrow"/>
      <w:b/>
      <w:bCs/>
      <w:spacing w:val="0"/>
      <w:sz w:val="18"/>
      <w:szCs w:val="18"/>
      <w:shd w:val="clear" w:color="auto" w:fill="FFFFFF"/>
    </w:rPr>
  </w:style>
  <w:style w:type="character" w:customStyle="1" w:styleId="147">
    <w:name w:val="Основной текст (14) + 7"/>
    <w:aliases w:val="5 pt6,Не полужирный2,Основной текст + 101,Малые прописные3,Основной текст (4) + 7 pt,Основной текст + 72"/>
    <w:basedOn w:val="143"/>
    <w:uiPriority w:val="99"/>
    <w:rsid w:val="00CD7BD7"/>
    <w:rPr>
      <w:rFonts w:ascii="Arial Narrow" w:hAnsi="Arial Narrow" w:cs="Arial Narrow"/>
      <w:b w:val="0"/>
      <w:bCs w:val="0"/>
      <w:spacing w:val="0"/>
      <w:sz w:val="15"/>
      <w:szCs w:val="15"/>
      <w:shd w:val="clear" w:color="auto" w:fill="FFFFFF"/>
    </w:rPr>
  </w:style>
  <w:style w:type="character" w:customStyle="1" w:styleId="2pt1">
    <w:name w:val="Основной текст + Интервал 2 pt1"/>
    <w:basedOn w:val="1b"/>
    <w:uiPriority w:val="99"/>
    <w:rsid w:val="009E1756"/>
    <w:rPr>
      <w:rFonts w:ascii="Arial" w:hAnsi="Arial" w:cs="Arial"/>
      <w:spacing w:val="40"/>
      <w:sz w:val="18"/>
      <w:szCs w:val="18"/>
      <w:shd w:val="clear" w:color="auto" w:fill="FFFFFF"/>
    </w:rPr>
  </w:style>
  <w:style w:type="character" w:customStyle="1" w:styleId="1pt2">
    <w:name w:val="Основной текст + Интервал 1 pt2"/>
    <w:basedOn w:val="1b"/>
    <w:uiPriority w:val="99"/>
    <w:rsid w:val="009E1756"/>
    <w:rPr>
      <w:rFonts w:ascii="Arial" w:hAnsi="Arial" w:cs="Arial"/>
      <w:spacing w:val="20"/>
      <w:sz w:val="18"/>
      <w:szCs w:val="18"/>
      <w:shd w:val="clear" w:color="auto" w:fill="FFFFFF"/>
    </w:rPr>
  </w:style>
  <w:style w:type="character" w:customStyle="1" w:styleId="4c">
    <w:name w:val="Основной текст + Полужирный4"/>
    <w:basedOn w:val="1b"/>
    <w:uiPriority w:val="99"/>
    <w:rsid w:val="00D56121"/>
    <w:rPr>
      <w:rFonts w:ascii="Arial Narrow" w:hAnsi="Arial Narrow" w:cs="Arial Narrow"/>
      <w:b/>
      <w:bCs/>
      <w:spacing w:val="0"/>
      <w:sz w:val="18"/>
      <w:szCs w:val="18"/>
      <w:shd w:val="clear" w:color="auto" w:fill="FFFFFF"/>
    </w:rPr>
  </w:style>
  <w:style w:type="character" w:customStyle="1" w:styleId="4d">
    <w:name w:val="Основной текст (4) + Не курсив"/>
    <w:basedOn w:val="46"/>
    <w:rsid w:val="00302EF5"/>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40pt">
    <w:name w:val="Основной текст (4) + Полужирный;Не курсив;Интервал 0 pt"/>
    <w:basedOn w:val="46"/>
    <w:rsid w:val="00302EF5"/>
    <w:rPr>
      <w:rFonts w:ascii="Arial Narrow" w:eastAsia="Arial Narrow" w:hAnsi="Arial Narrow" w:cs="Arial Narrow"/>
      <w:b/>
      <w:bCs/>
      <w:i/>
      <w:iCs/>
      <w:smallCaps w:val="0"/>
      <w:strike w:val="0"/>
      <w:spacing w:val="-10"/>
      <w:sz w:val="18"/>
      <w:szCs w:val="18"/>
      <w:shd w:val="clear" w:color="auto" w:fill="FFFFFF"/>
    </w:rPr>
  </w:style>
  <w:style w:type="character" w:customStyle="1" w:styleId="283">
    <w:name w:val="Основной текст + Полужирный28"/>
    <w:aliases w:val="Интервал 0 pt62"/>
    <w:basedOn w:val="a0"/>
    <w:uiPriority w:val="99"/>
    <w:rsid w:val="00154248"/>
    <w:rPr>
      <w:rFonts w:ascii="Arial Narrow" w:hAnsi="Arial Narrow" w:cs="Arial Narrow"/>
      <w:b/>
      <w:bCs/>
      <w:spacing w:val="0"/>
      <w:sz w:val="18"/>
      <w:szCs w:val="18"/>
      <w:shd w:val="clear" w:color="auto" w:fill="FFFFFF"/>
    </w:rPr>
  </w:style>
  <w:style w:type="character" w:customStyle="1" w:styleId="135pt70">
    <w:name w:val="Основной текст + 13;5 pt;Полужирный;Масштаб 70%"/>
    <w:basedOn w:val="aff"/>
    <w:rsid w:val="00CA48A0"/>
    <w:rPr>
      <w:rFonts w:ascii="Arial Narrow" w:eastAsia="Arial Narrow" w:hAnsi="Arial Narrow" w:cs="Arial Narrow"/>
      <w:b/>
      <w:bCs/>
      <w:i w:val="0"/>
      <w:iCs w:val="0"/>
      <w:smallCaps w:val="0"/>
      <w:strike w:val="0"/>
      <w:spacing w:val="0"/>
      <w:w w:val="70"/>
      <w:sz w:val="27"/>
      <w:szCs w:val="27"/>
    </w:rPr>
  </w:style>
  <w:style w:type="paragraph" w:customStyle="1" w:styleId="wp-caption-text">
    <w:name w:val="wp-caption-text"/>
    <w:basedOn w:val="a"/>
    <w:rsid w:val="004B3E82"/>
    <w:pPr>
      <w:spacing w:before="100" w:beforeAutospacing="1" w:after="100" w:afterAutospacing="1" w:line="240" w:lineRule="auto"/>
    </w:pPr>
    <w:rPr>
      <w:rFonts w:ascii="Times New Roman" w:eastAsia="Times New Roman" w:hAnsi="Times New Roman"/>
      <w:sz w:val="24"/>
      <w:szCs w:val="24"/>
      <w:lang w:eastAsia="ru-RU"/>
    </w:rPr>
  </w:style>
  <w:style w:type="paragraph" w:styleId="affc">
    <w:name w:val="No Spacing"/>
    <w:basedOn w:val="a"/>
    <w:uiPriority w:val="1"/>
    <w:qFormat/>
    <w:rsid w:val="00195D7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rticle-renderblock">
    <w:name w:val="article-render__block"/>
    <w:basedOn w:val="a"/>
    <w:rsid w:val="00046B82"/>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style3">
    <w:name w:val="style3"/>
    <w:basedOn w:val="a"/>
    <w:rsid w:val="00FC1DE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91">
    <w:name w:val="Основной текст19"/>
    <w:basedOn w:val="a"/>
    <w:rsid w:val="00D24E47"/>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50">
    <w:name w:val="Заголовок 5 Знак"/>
    <w:basedOn w:val="a0"/>
    <w:link w:val="5"/>
    <w:uiPriority w:val="9"/>
    <w:semiHidden/>
    <w:rsid w:val="00B32F5E"/>
    <w:rPr>
      <w:rFonts w:asciiTheme="majorHAnsi" w:eastAsiaTheme="majorEastAsia" w:hAnsiTheme="majorHAnsi" w:cstheme="majorBidi"/>
      <w:color w:val="365F91" w:themeColor="accent1" w:themeShade="BF"/>
      <w:sz w:val="22"/>
      <w:szCs w:val="22"/>
      <w:lang w:eastAsia="en-US"/>
    </w:rPr>
  </w:style>
  <w:style w:type="character" w:customStyle="1" w:styleId="article-statdate">
    <w:name w:val="article-stat__date"/>
    <w:basedOn w:val="a0"/>
    <w:rsid w:val="00B32F5E"/>
  </w:style>
  <w:style w:type="character" w:customStyle="1" w:styleId="article-statcount">
    <w:name w:val="article-stat__count"/>
    <w:basedOn w:val="a0"/>
    <w:rsid w:val="00B32F5E"/>
  </w:style>
  <w:style w:type="character" w:customStyle="1" w:styleId="article-stat-tipvalue">
    <w:name w:val="article-stat-tip__value"/>
    <w:basedOn w:val="a0"/>
    <w:rsid w:val="00B32F5E"/>
  </w:style>
  <w:style w:type="character" w:customStyle="1" w:styleId="ljcut-brace">
    <w:name w:val="ljcut-brace"/>
    <w:basedOn w:val="a0"/>
    <w:rsid w:val="00B32F5E"/>
  </w:style>
  <w:style w:type="character" w:customStyle="1" w:styleId="ljcut-decor">
    <w:name w:val="ljcut-decor"/>
    <w:basedOn w:val="a0"/>
    <w:rsid w:val="00B32F5E"/>
  </w:style>
  <w:style w:type="character" w:customStyle="1" w:styleId="62">
    <w:name w:val="Подпись к картинке (6)_"/>
    <w:basedOn w:val="a0"/>
    <w:link w:val="60"/>
    <w:rsid w:val="00B32F5E"/>
    <w:rPr>
      <w:rFonts w:ascii="Bookman Old Style" w:hAnsi="Bookman Old Style" w:cs="Bookman Old Style"/>
      <w:i/>
      <w:iCs/>
      <w:sz w:val="9"/>
      <w:szCs w:val="9"/>
      <w:shd w:val="clear" w:color="auto" w:fill="FFFFFF"/>
      <w:lang w:eastAsia="en-US"/>
    </w:rPr>
  </w:style>
  <w:style w:type="paragraph" w:customStyle="1" w:styleId="17">
    <w:name w:val="Основной текст17"/>
    <w:basedOn w:val="a"/>
    <w:link w:val="aff"/>
    <w:rsid w:val="00B32F5E"/>
    <w:pPr>
      <w:shd w:val="clear" w:color="auto" w:fill="FFFFFF"/>
      <w:spacing w:before="300" w:after="0" w:line="197" w:lineRule="exact"/>
      <w:ind w:hanging="640"/>
    </w:pPr>
    <w:rPr>
      <w:rFonts w:ascii="Microsoft Sans Serif" w:hAnsi="Microsoft Sans Serif" w:cs="Microsoft Sans Serif"/>
      <w:spacing w:val="-10"/>
      <w:sz w:val="29"/>
      <w:szCs w:val="29"/>
      <w:lang w:eastAsia="ru-RU"/>
    </w:rPr>
  </w:style>
  <w:style w:type="character" w:customStyle="1" w:styleId="2-1pt">
    <w:name w:val="Основной текст (2) + Интервал -1 pt"/>
    <w:basedOn w:val="2a"/>
    <w:rsid w:val="00B32F5E"/>
    <w:rPr>
      <w:rFonts w:ascii="Trebuchet MS" w:eastAsia="Trebuchet MS" w:hAnsi="Trebuchet MS" w:cs="Trebuchet MS"/>
      <w:spacing w:val="-20"/>
      <w:w w:val="80"/>
      <w:sz w:val="17"/>
      <w:szCs w:val="17"/>
      <w:shd w:val="clear" w:color="auto" w:fill="FFFFFF"/>
      <w:lang w:eastAsia="en-US"/>
    </w:rPr>
  </w:style>
  <w:style w:type="character" w:customStyle="1" w:styleId="192">
    <w:name w:val="Основной текст (19)_"/>
    <w:basedOn w:val="a0"/>
    <w:link w:val="193"/>
    <w:rsid w:val="00B32F5E"/>
    <w:rPr>
      <w:rFonts w:ascii="Trebuchet MS" w:eastAsia="Trebuchet MS" w:hAnsi="Trebuchet MS" w:cs="Trebuchet MS"/>
      <w:spacing w:val="-20"/>
      <w:sz w:val="21"/>
      <w:szCs w:val="21"/>
      <w:shd w:val="clear" w:color="auto" w:fill="FFFFFF"/>
    </w:rPr>
  </w:style>
  <w:style w:type="paragraph" w:customStyle="1" w:styleId="193">
    <w:name w:val="Основной текст (19)"/>
    <w:basedOn w:val="a"/>
    <w:link w:val="192"/>
    <w:rsid w:val="00B32F5E"/>
    <w:pPr>
      <w:shd w:val="clear" w:color="auto" w:fill="FFFFFF"/>
      <w:spacing w:before="360" w:after="0" w:line="0" w:lineRule="atLeast"/>
    </w:pPr>
    <w:rPr>
      <w:rFonts w:ascii="Trebuchet MS" w:eastAsia="Trebuchet MS" w:hAnsi="Trebuchet MS" w:cs="Trebuchet MS"/>
      <w:spacing w:val="-20"/>
      <w:sz w:val="21"/>
      <w:szCs w:val="21"/>
      <w:lang w:eastAsia="ru-RU"/>
    </w:rPr>
  </w:style>
  <w:style w:type="character" w:customStyle="1" w:styleId="190pt">
    <w:name w:val="Основной текст (19) + Интервал 0 pt"/>
    <w:basedOn w:val="192"/>
    <w:rsid w:val="00B32F5E"/>
    <w:rPr>
      <w:rFonts w:ascii="Trebuchet MS" w:eastAsia="Trebuchet MS" w:hAnsi="Trebuchet MS" w:cs="Trebuchet MS"/>
      <w:spacing w:val="-10"/>
      <w:sz w:val="21"/>
      <w:szCs w:val="21"/>
      <w:shd w:val="clear" w:color="auto" w:fill="FFFFFF"/>
    </w:rPr>
  </w:style>
  <w:style w:type="character" w:customStyle="1" w:styleId="28pt100">
    <w:name w:val="Основной текст (2) + 8 pt;Не курсив;Масштаб 100%"/>
    <w:basedOn w:val="2a"/>
    <w:rsid w:val="00B32F5E"/>
    <w:rPr>
      <w:rFonts w:ascii="Trebuchet MS" w:eastAsia="Trebuchet MS" w:hAnsi="Trebuchet MS" w:cs="Trebuchet MS"/>
      <w:b w:val="0"/>
      <w:bCs w:val="0"/>
      <w:i/>
      <w:iCs/>
      <w:smallCaps w:val="0"/>
      <w:strike w:val="0"/>
      <w:spacing w:val="0"/>
      <w:w w:val="100"/>
      <w:sz w:val="16"/>
      <w:szCs w:val="16"/>
      <w:shd w:val="clear" w:color="auto" w:fill="FFFFFF"/>
      <w:lang w:eastAsia="en-US"/>
    </w:rPr>
  </w:style>
  <w:style w:type="character" w:customStyle="1" w:styleId="affa">
    <w:name w:val="Подпись к картинке_"/>
    <w:basedOn w:val="a0"/>
    <w:link w:val="aff9"/>
    <w:rsid w:val="00B32F5E"/>
    <w:rPr>
      <w:rFonts w:ascii="MS Reference Sans Serif" w:hAnsi="MS Reference Sans Serif" w:cs="MS Reference Sans Serif"/>
      <w:b/>
      <w:bCs/>
      <w:sz w:val="13"/>
      <w:szCs w:val="13"/>
      <w:shd w:val="clear" w:color="auto" w:fill="FFFFFF"/>
      <w:lang w:eastAsia="en-US"/>
    </w:rPr>
  </w:style>
  <w:style w:type="character" w:customStyle="1" w:styleId="920">
    <w:name w:val="Заголовок №9 (2)"/>
    <w:basedOn w:val="a0"/>
    <w:rsid w:val="00B32F5E"/>
    <w:rPr>
      <w:rFonts w:ascii="Calibri" w:eastAsia="Calibri" w:hAnsi="Calibri" w:cs="Calibri"/>
      <w:b w:val="0"/>
      <w:bCs w:val="0"/>
      <w:i w:val="0"/>
      <w:iCs w:val="0"/>
      <w:smallCaps w:val="0"/>
      <w:strike w:val="0"/>
      <w:spacing w:val="0"/>
      <w:sz w:val="27"/>
      <w:szCs w:val="27"/>
    </w:rPr>
  </w:style>
  <w:style w:type="character" w:customStyle="1" w:styleId="5a">
    <w:name w:val="Основной текст (5)_"/>
    <w:basedOn w:val="a0"/>
    <w:link w:val="59"/>
    <w:rsid w:val="00B32F5E"/>
    <w:rPr>
      <w:rFonts w:ascii="Arial" w:eastAsia="Times New Roman" w:hAnsi="Arial"/>
      <w:spacing w:val="-10"/>
      <w:sz w:val="26"/>
      <w:shd w:val="clear" w:color="auto" w:fill="FFFFFF"/>
    </w:rPr>
  </w:style>
  <w:style w:type="character" w:customStyle="1" w:styleId="172">
    <w:name w:val="Основной текст (17)_"/>
    <w:basedOn w:val="a0"/>
    <w:link w:val="173"/>
    <w:rsid w:val="00B32F5E"/>
    <w:rPr>
      <w:rFonts w:ascii="Arial Narrow" w:eastAsia="Arial Narrow" w:hAnsi="Arial Narrow" w:cs="Arial Narrow"/>
      <w:sz w:val="18"/>
      <w:szCs w:val="18"/>
      <w:shd w:val="clear" w:color="auto" w:fill="FFFFFF"/>
    </w:rPr>
  </w:style>
  <w:style w:type="paragraph" w:customStyle="1" w:styleId="173">
    <w:name w:val="Основной текст (17)"/>
    <w:basedOn w:val="a"/>
    <w:link w:val="172"/>
    <w:rsid w:val="00B32F5E"/>
    <w:pPr>
      <w:shd w:val="clear" w:color="auto" w:fill="FFFFFF"/>
      <w:spacing w:after="0" w:line="216" w:lineRule="exact"/>
      <w:ind w:firstLine="280"/>
    </w:pPr>
    <w:rPr>
      <w:rFonts w:ascii="Arial Narrow" w:eastAsia="Arial Narrow" w:hAnsi="Arial Narrow" w:cs="Arial Narrow"/>
      <w:sz w:val="18"/>
      <w:szCs w:val="18"/>
      <w:lang w:eastAsia="ru-RU"/>
    </w:rPr>
  </w:style>
  <w:style w:type="character" w:customStyle="1" w:styleId="183">
    <w:name w:val="Основной текст (18)_"/>
    <w:basedOn w:val="a0"/>
    <w:link w:val="182"/>
    <w:rsid w:val="00B32F5E"/>
    <w:rPr>
      <w:rFonts w:ascii="Arial" w:hAnsi="Arial" w:cs="Arial"/>
      <w:sz w:val="24"/>
      <w:szCs w:val="24"/>
      <w:shd w:val="clear" w:color="auto" w:fill="FFFFFF"/>
      <w:lang w:eastAsia="en-US"/>
    </w:rPr>
  </w:style>
  <w:style w:type="character" w:customStyle="1" w:styleId="8pt0">
    <w:name w:val="Основной текст + 8 pt;Курсив"/>
    <w:basedOn w:val="aff"/>
    <w:rsid w:val="00B32F5E"/>
    <w:rPr>
      <w:rFonts w:ascii="Arial Narrow" w:eastAsia="Arial Narrow" w:hAnsi="Arial Narrow" w:cs="Arial Narrow"/>
      <w:i/>
      <w:iCs/>
      <w:spacing w:val="-10"/>
      <w:sz w:val="16"/>
      <w:szCs w:val="16"/>
      <w:shd w:val="clear" w:color="auto" w:fill="FFFFFF"/>
    </w:rPr>
  </w:style>
  <w:style w:type="character" w:customStyle="1" w:styleId="322">
    <w:name w:val="Заголовок №3 (2)"/>
    <w:basedOn w:val="a0"/>
    <w:rsid w:val="00B32F5E"/>
    <w:rPr>
      <w:rFonts w:ascii="Calibri" w:eastAsia="Calibri" w:hAnsi="Calibri" w:cs="Calibri"/>
      <w:b w:val="0"/>
      <w:bCs w:val="0"/>
      <w:i w:val="0"/>
      <w:iCs w:val="0"/>
      <w:smallCaps w:val="0"/>
      <w:strike w:val="0"/>
      <w:spacing w:val="0"/>
      <w:sz w:val="22"/>
      <w:szCs w:val="22"/>
    </w:rPr>
  </w:style>
  <w:style w:type="character" w:customStyle="1" w:styleId="145">
    <w:name w:val="Основной текст (14) + Не курсив"/>
    <w:basedOn w:val="a0"/>
    <w:rsid w:val="00B32F5E"/>
    <w:rPr>
      <w:rFonts w:ascii="Arial Narrow" w:eastAsia="Arial Narrow" w:hAnsi="Arial Narrow" w:cs="Arial Narrow"/>
      <w:b w:val="0"/>
      <w:bCs w:val="0"/>
      <w:i/>
      <w:iCs/>
      <w:smallCaps w:val="0"/>
      <w:strike/>
      <w:spacing w:val="0"/>
      <w:w w:val="100"/>
      <w:sz w:val="17"/>
      <w:szCs w:val="17"/>
      <w:u w:val="single"/>
    </w:rPr>
  </w:style>
  <w:style w:type="character" w:customStyle="1" w:styleId="5Calibri8pt">
    <w:name w:val="Основной текст (5) + Calibri;8 pt;Курсив"/>
    <w:basedOn w:val="5a"/>
    <w:rsid w:val="00B32F5E"/>
    <w:rPr>
      <w:rFonts w:ascii="Calibri" w:eastAsia="Calibri" w:hAnsi="Calibri" w:cs="Calibri"/>
      <w:i/>
      <w:iCs/>
      <w:spacing w:val="-10"/>
      <w:sz w:val="16"/>
      <w:szCs w:val="16"/>
      <w:shd w:val="clear" w:color="auto" w:fill="FFFFFF"/>
    </w:rPr>
  </w:style>
  <w:style w:type="character" w:customStyle="1" w:styleId="5MicrosoftSansSerif7pt">
    <w:name w:val="Основной текст (5) + Microsoft Sans Serif;7 pt;Курсив"/>
    <w:basedOn w:val="5a"/>
    <w:rsid w:val="00B32F5E"/>
    <w:rPr>
      <w:rFonts w:ascii="Microsoft Sans Serif" w:eastAsia="Microsoft Sans Serif" w:hAnsi="Microsoft Sans Serif" w:cs="Microsoft Sans Serif"/>
      <w:i/>
      <w:iCs/>
      <w:spacing w:val="-10"/>
      <w:sz w:val="14"/>
      <w:szCs w:val="14"/>
      <w:shd w:val="clear" w:color="auto" w:fill="FFFFFF"/>
    </w:rPr>
  </w:style>
  <w:style w:type="paragraph" w:customStyle="1" w:styleId="230">
    <w:name w:val="Основной текст23"/>
    <w:basedOn w:val="a"/>
    <w:rsid w:val="00B32F5E"/>
    <w:pPr>
      <w:shd w:val="clear" w:color="auto" w:fill="FFFFFF"/>
      <w:spacing w:after="0" w:line="0" w:lineRule="atLeast"/>
    </w:pPr>
    <w:rPr>
      <w:rFonts w:ascii="Arial Narrow" w:eastAsia="Arial Narrow" w:hAnsi="Arial Narrow" w:cs="Arial Narrow"/>
      <w:sz w:val="17"/>
      <w:szCs w:val="17"/>
    </w:rPr>
  </w:style>
  <w:style w:type="character" w:customStyle="1" w:styleId="204">
    <w:name w:val="Основной текст20"/>
    <w:basedOn w:val="aff"/>
    <w:rsid w:val="00B32F5E"/>
    <w:rPr>
      <w:rFonts w:ascii="Arial Narrow" w:eastAsia="Arial Narrow" w:hAnsi="Arial Narrow" w:cs="Arial Narrow"/>
      <w:b w:val="0"/>
      <w:bCs w:val="0"/>
      <w:i w:val="0"/>
      <w:iCs w:val="0"/>
      <w:smallCaps w:val="0"/>
      <w:strike w:val="0"/>
      <w:spacing w:val="0"/>
      <w:w w:val="100"/>
      <w:sz w:val="17"/>
      <w:szCs w:val="17"/>
      <w:shd w:val="clear" w:color="auto" w:fill="FFFFFF"/>
      <w:lang w:val="en-US"/>
    </w:rPr>
  </w:style>
  <w:style w:type="character" w:customStyle="1" w:styleId="319pt">
    <w:name w:val="Основной текст (3) + 19 pt;Полужирный;Не курсив"/>
    <w:basedOn w:val="a0"/>
    <w:rsid w:val="00B32F5E"/>
    <w:rPr>
      <w:rFonts w:ascii="Arial Narrow" w:eastAsia="Arial Narrow" w:hAnsi="Arial Narrow" w:cs="Arial Narrow"/>
      <w:b/>
      <w:bCs/>
      <w:i/>
      <w:iCs/>
      <w:smallCaps w:val="0"/>
      <w:strike w:val="0"/>
      <w:spacing w:val="0"/>
      <w:w w:val="100"/>
      <w:sz w:val="38"/>
      <w:szCs w:val="38"/>
      <w:lang w:val="en-US"/>
    </w:rPr>
  </w:style>
  <w:style w:type="character" w:customStyle="1" w:styleId="213">
    <w:name w:val="Основной текст21"/>
    <w:basedOn w:val="aff"/>
    <w:rsid w:val="00B32F5E"/>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1c">
    <w:name w:val="Заголовок №1_"/>
    <w:basedOn w:val="a0"/>
    <w:rsid w:val="00B32F5E"/>
    <w:rPr>
      <w:rFonts w:ascii="Segoe UI" w:eastAsia="Segoe UI" w:hAnsi="Segoe UI" w:cs="Segoe UI"/>
      <w:b w:val="0"/>
      <w:bCs w:val="0"/>
      <w:i w:val="0"/>
      <w:iCs w:val="0"/>
      <w:smallCaps w:val="0"/>
      <w:strike w:val="0"/>
      <w:spacing w:val="-10"/>
      <w:sz w:val="70"/>
      <w:szCs w:val="70"/>
    </w:rPr>
  </w:style>
  <w:style w:type="character" w:customStyle="1" w:styleId="1-1pt">
    <w:name w:val="Заголовок №1 + Интервал -1 pt"/>
    <w:basedOn w:val="1c"/>
    <w:rsid w:val="00B32F5E"/>
    <w:rPr>
      <w:rFonts w:ascii="Segoe UI" w:eastAsia="Segoe UI" w:hAnsi="Segoe UI" w:cs="Segoe UI"/>
      <w:b w:val="0"/>
      <w:bCs w:val="0"/>
      <w:i w:val="0"/>
      <w:iCs w:val="0"/>
      <w:smallCaps w:val="0"/>
      <w:strike w:val="0"/>
      <w:spacing w:val="-30"/>
      <w:sz w:val="70"/>
      <w:szCs w:val="70"/>
    </w:rPr>
  </w:style>
  <w:style w:type="character" w:customStyle="1" w:styleId="241">
    <w:name w:val="Основной текст (24)_"/>
    <w:basedOn w:val="a0"/>
    <w:rsid w:val="00B32F5E"/>
    <w:rPr>
      <w:rFonts w:ascii="Segoe UI" w:eastAsia="Segoe UI" w:hAnsi="Segoe UI" w:cs="Segoe UI"/>
      <w:b w:val="0"/>
      <w:bCs w:val="0"/>
      <w:i w:val="0"/>
      <w:iCs w:val="0"/>
      <w:smallCaps w:val="0"/>
      <w:strike w:val="0"/>
      <w:spacing w:val="0"/>
      <w:sz w:val="36"/>
      <w:szCs w:val="36"/>
    </w:rPr>
  </w:style>
  <w:style w:type="character" w:customStyle="1" w:styleId="242">
    <w:name w:val="Основной текст (24)"/>
    <w:basedOn w:val="241"/>
    <w:rsid w:val="00B32F5E"/>
    <w:rPr>
      <w:rFonts w:ascii="Segoe UI" w:eastAsia="Segoe UI" w:hAnsi="Segoe UI" w:cs="Segoe UI"/>
      <w:b w:val="0"/>
      <w:bCs w:val="0"/>
      <w:i w:val="0"/>
      <w:iCs w:val="0"/>
      <w:smallCaps w:val="0"/>
      <w:strike w:val="0"/>
      <w:spacing w:val="0"/>
      <w:sz w:val="36"/>
      <w:szCs w:val="36"/>
    </w:rPr>
  </w:style>
  <w:style w:type="character" w:customStyle="1" w:styleId="2f1">
    <w:name w:val="Сноска (2)_"/>
    <w:basedOn w:val="a0"/>
    <w:link w:val="2f2"/>
    <w:rsid w:val="00B32F5E"/>
    <w:rPr>
      <w:rFonts w:ascii="Segoe UI" w:eastAsia="Segoe UI" w:hAnsi="Segoe UI" w:cs="Segoe UI"/>
      <w:sz w:val="13"/>
      <w:szCs w:val="13"/>
      <w:shd w:val="clear" w:color="auto" w:fill="FFFFFF"/>
    </w:rPr>
  </w:style>
  <w:style w:type="paragraph" w:customStyle="1" w:styleId="2f2">
    <w:name w:val="Сноска (2)"/>
    <w:basedOn w:val="a"/>
    <w:link w:val="2f1"/>
    <w:rsid w:val="00B32F5E"/>
    <w:pPr>
      <w:shd w:val="clear" w:color="auto" w:fill="FFFFFF"/>
      <w:spacing w:after="0" w:line="173" w:lineRule="exact"/>
      <w:jc w:val="both"/>
    </w:pPr>
    <w:rPr>
      <w:rFonts w:ascii="Segoe UI" w:eastAsia="Segoe UI" w:hAnsi="Segoe UI" w:cs="Segoe UI"/>
      <w:sz w:val="13"/>
      <w:szCs w:val="13"/>
      <w:lang w:eastAsia="ru-RU"/>
    </w:rPr>
  </w:style>
  <w:style w:type="character" w:customStyle="1" w:styleId="4e">
    <w:name w:val="Подпись к таблице (4)_"/>
    <w:basedOn w:val="a0"/>
    <w:rsid w:val="00B32F5E"/>
    <w:rPr>
      <w:rFonts w:ascii="Franklin Gothic Book" w:eastAsia="Franklin Gothic Book" w:hAnsi="Franklin Gothic Book" w:cs="Franklin Gothic Book"/>
      <w:b w:val="0"/>
      <w:bCs w:val="0"/>
      <w:i w:val="0"/>
      <w:iCs w:val="0"/>
      <w:smallCaps w:val="0"/>
      <w:strike w:val="0"/>
      <w:sz w:val="18"/>
      <w:szCs w:val="18"/>
    </w:rPr>
  </w:style>
  <w:style w:type="character" w:customStyle="1" w:styleId="4f">
    <w:name w:val="Подпись к таблице (4)"/>
    <w:basedOn w:val="4e"/>
    <w:rsid w:val="00B32F5E"/>
    <w:rPr>
      <w:rFonts w:ascii="Franklin Gothic Book" w:eastAsia="Franklin Gothic Book" w:hAnsi="Franklin Gothic Book" w:cs="Franklin Gothic Book"/>
      <w:b w:val="0"/>
      <w:bCs w:val="0"/>
      <w:i w:val="0"/>
      <w:iCs w:val="0"/>
      <w:smallCaps w:val="0"/>
      <w:strike w:val="0"/>
      <w:sz w:val="18"/>
      <w:szCs w:val="18"/>
    </w:rPr>
  </w:style>
  <w:style w:type="character" w:customStyle="1" w:styleId="282">
    <w:name w:val="Основной текст (28)_"/>
    <w:basedOn w:val="a0"/>
    <w:link w:val="281"/>
    <w:rsid w:val="00B32F5E"/>
    <w:rPr>
      <w:rFonts w:ascii="Lucida Sans Unicode" w:hAnsi="Lucida Sans Unicode" w:cs="Lucida Sans Unicode"/>
      <w:spacing w:val="10"/>
      <w:sz w:val="24"/>
      <w:szCs w:val="24"/>
      <w:shd w:val="clear" w:color="auto" w:fill="FFFFFF"/>
      <w:lang w:eastAsia="en-US"/>
    </w:rPr>
  </w:style>
  <w:style w:type="character" w:customStyle="1" w:styleId="272">
    <w:name w:val="Основной текст (27)_"/>
    <w:basedOn w:val="a0"/>
    <w:rsid w:val="00B32F5E"/>
    <w:rPr>
      <w:rFonts w:ascii="Arial Narrow" w:eastAsia="Arial Narrow" w:hAnsi="Arial Narrow" w:cs="Arial Narrow"/>
      <w:sz w:val="8"/>
      <w:szCs w:val="8"/>
      <w:shd w:val="clear" w:color="auto" w:fill="FFFFFF"/>
    </w:rPr>
  </w:style>
  <w:style w:type="character" w:customStyle="1" w:styleId="251">
    <w:name w:val="Основной текст (25)_"/>
    <w:basedOn w:val="a0"/>
    <w:link w:val="252"/>
    <w:rsid w:val="00B32F5E"/>
    <w:rPr>
      <w:rFonts w:ascii="Arial Narrow" w:eastAsia="Arial Narrow" w:hAnsi="Arial Narrow" w:cs="Arial Narrow"/>
      <w:sz w:val="12"/>
      <w:szCs w:val="12"/>
      <w:shd w:val="clear" w:color="auto" w:fill="FFFFFF"/>
    </w:rPr>
  </w:style>
  <w:style w:type="paragraph" w:customStyle="1" w:styleId="252">
    <w:name w:val="Основной текст (25)"/>
    <w:basedOn w:val="a"/>
    <w:link w:val="251"/>
    <w:rsid w:val="00B32F5E"/>
    <w:pPr>
      <w:shd w:val="clear" w:color="auto" w:fill="FFFFFF"/>
      <w:spacing w:after="0" w:line="0" w:lineRule="atLeast"/>
    </w:pPr>
    <w:rPr>
      <w:rFonts w:ascii="Arial Narrow" w:eastAsia="Arial Narrow" w:hAnsi="Arial Narrow" w:cs="Arial Narrow"/>
      <w:sz w:val="12"/>
      <w:szCs w:val="12"/>
      <w:lang w:eastAsia="ru-RU"/>
    </w:rPr>
  </w:style>
  <w:style w:type="character" w:customStyle="1" w:styleId="260">
    <w:name w:val="Основной текст (26)_"/>
    <w:basedOn w:val="a0"/>
    <w:link w:val="261"/>
    <w:rsid w:val="00B32F5E"/>
    <w:rPr>
      <w:rFonts w:ascii="Franklin Gothic Book" w:eastAsia="Franklin Gothic Book" w:hAnsi="Franklin Gothic Book" w:cs="Franklin Gothic Book"/>
      <w:sz w:val="8"/>
      <w:szCs w:val="8"/>
      <w:shd w:val="clear" w:color="auto" w:fill="FFFFFF"/>
    </w:rPr>
  </w:style>
  <w:style w:type="paragraph" w:customStyle="1" w:styleId="261">
    <w:name w:val="Основной текст (26)"/>
    <w:basedOn w:val="a"/>
    <w:link w:val="260"/>
    <w:rsid w:val="00B32F5E"/>
    <w:pPr>
      <w:shd w:val="clear" w:color="auto" w:fill="FFFFFF"/>
      <w:spacing w:after="0" w:line="0" w:lineRule="atLeast"/>
      <w:jc w:val="center"/>
    </w:pPr>
    <w:rPr>
      <w:rFonts w:ascii="Franklin Gothic Book" w:eastAsia="Franklin Gothic Book" w:hAnsi="Franklin Gothic Book" w:cs="Franklin Gothic Book"/>
      <w:sz w:val="8"/>
      <w:szCs w:val="8"/>
      <w:lang w:eastAsia="ru-RU"/>
    </w:rPr>
  </w:style>
  <w:style w:type="character" w:customStyle="1" w:styleId="aff3">
    <w:name w:val="Сноска_"/>
    <w:basedOn w:val="a0"/>
    <w:link w:val="aff2"/>
    <w:rsid w:val="00B32F5E"/>
    <w:rPr>
      <w:rFonts w:ascii="Lucida Sans Unicode" w:hAnsi="Lucida Sans Unicode" w:cs="Lucida Sans Unicode"/>
      <w:i/>
      <w:iCs/>
      <w:noProof/>
      <w:sz w:val="13"/>
      <w:szCs w:val="13"/>
      <w:shd w:val="clear" w:color="auto" w:fill="FFFFFF"/>
      <w:lang w:val="en-US" w:eastAsia="en-US"/>
    </w:rPr>
  </w:style>
  <w:style w:type="character" w:customStyle="1" w:styleId="131">
    <w:name w:val="Основной текст (13)_"/>
    <w:basedOn w:val="a0"/>
    <w:link w:val="130"/>
    <w:rsid w:val="00B32F5E"/>
    <w:rPr>
      <w:rFonts w:ascii="Arial" w:eastAsia="Times New Roman" w:hAnsi="Arial"/>
      <w:sz w:val="36"/>
      <w:shd w:val="clear" w:color="auto" w:fill="FFFFFF"/>
    </w:rPr>
  </w:style>
  <w:style w:type="character" w:customStyle="1" w:styleId="FranklinGothicBook9pt0pt">
    <w:name w:val="Основной текст + Franklin Gothic Book;9 pt;Интервал 0 pt"/>
    <w:basedOn w:val="aff"/>
    <w:rsid w:val="00B32F5E"/>
    <w:rPr>
      <w:rFonts w:ascii="Franklin Gothic Book" w:eastAsia="Franklin Gothic Book" w:hAnsi="Franklin Gothic Book" w:cs="Franklin Gothic Book"/>
      <w:b w:val="0"/>
      <w:bCs w:val="0"/>
      <w:i w:val="0"/>
      <w:iCs w:val="0"/>
      <w:smallCaps w:val="0"/>
      <w:strike w:val="0"/>
      <w:spacing w:val="10"/>
      <w:w w:val="100"/>
      <w:sz w:val="18"/>
      <w:szCs w:val="18"/>
      <w:shd w:val="clear" w:color="auto" w:fill="FFFFFF"/>
      <w:lang w:val="en-US"/>
    </w:rPr>
  </w:style>
  <w:style w:type="character" w:customStyle="1" w:styleId="9pt80">
    <w:name w:val="Основной текст + 9 pt;Курсив;Масштаб 80%"/>
    <w:basedOn w:val="aff"/>
    <w:rsid w:val="00B32F5E"/>
    <w:rPr>
      <w:rFonts w:ascii="Segoe UI" w:eastAsia="Segoe UI" w:hAnsi="Segoe UI" w:cs="Segoe UI"/>
      <w:b w:val="0"/>
      <w:bCs w:val="0"/>
      <w:i/>
      <w:iCs/>
      <w:smallCaps w:val="0"/>
      <w:strike w:val="0"/>
      <w:spacing w:val="0"/>
      <w:w w:val="80"/>
      <w:sz w:val="18"/>
      <w:szCs w:val="18"/>
      <w:shd w:val="clear" w:color="auto" w:fill="FFFFFF"/>
    </w:rPr>
  </w:style>
  <w:style w:type="character" w:customStyle="1" w:styleId="2d">
    <w:name w:val="Подпись к картинке (2)_"/>
    <w:basedOn w:val="a0"/>
    <w:link w:val="2c"/>
    <w:rsid w:val="00B32F5E"/>
    <w:rPr>
      <w:rFonts w:ascii="MS Reference Sans Serif" w:hAnsi="MS Reference Sans Serif" w:cs="MS Reference Sans Serif"/>
      <w:i/>
      <w:iCs/>
      <w:sz w:val="13"/>
      <w:szCs w:val="13"/>
      <w:shd w:val="clear" w:color="auto" w:fill="FFFFFF"/>
      <w:lang w:eastAsia="en-US"/>
    </w:rPr>
  </w:style>
  <w:style w:type="character" w:customStyle="1" w:styleId="123">
    <w:name w:val="Подпись к картинке (12)_"/>
    <w:basedOn w:val="a0"/>
    <w:link w:val="124"/>
    <w:rsid w:val="00B32F5E"/>
    <w:rPr>
      <w:rFonts w:ascii="Segoe UI" w:eastAsia="Segoe UI" w:hAnsi="Segoe UI" w:cs="Segoe UI"/>
      <w:sz w:val="11"/>
      <w:szCs w:val="11"/>
      <w:shd w:val="clear" w:color="auto" w:fill="FFFFFF"/>
    </w:rPr>
  </w:style>
  <w:style w:type="paragraph" w:customStyle="1" w:styleId="124">
    <w:name w:val="Подпись к картинке (12)"/>
    <w:basedOn w:val="a"/>
    <w:link w:val="123"/>
    <w:rsid w:val="00B32F5E"/>
    <w:pPr>
      <w:shd w:val="clear" w:color="auto" w:fill="FFFFFF"/>
      <w:spacing w:after="0" w:line="0" w:lineRule="atLeast"/>
      <w:jc w:val="right"/>
    </w:pPr>
    <w:rPr>
      <w:rFonts w:ascii="Segoe UI" w:eastAsia="Segoe UI" w:hAnsi="Segoe UI" w:cs="Segoe UI"/>
      <w:sz w:val="11"/>
      <w:szCs w:val="11"/>
      <w:lang w:eastAsia="ru-RU"/>
    </w:rPr>
  </w:style>
  <w:style w:type="character" w:customStyle="1" w:styleId="132">
    <w:name w:val="Подпись к картинке (13)_"/>
    <w:basedOn w:val="a0"/>
    <w:link w:val="133"/>
    <w:rsid w:val="00B32F5E"/>
    <w:rPr>
      <w:rFonts w:ascii="Segoe UI" w:eastAsia="Segoe UI" w:hAnsi="Segoe UI" w:cs="Segoe UI"/>
      <w:sz w:val="17"/>
      <w:szCs w:val="17"/>
      <w:shd w:val="clear" w:color="auto" w:fill="FFFFFF"/>
    </w:rPr>
  </w:style>
  <w:style w:type="paragraph" w:customStyle="1" w:styleId="133">
    <w:name w:val="Подпись к картинке (13)"/>
    <w:basedOn w:val="a"/>
    <w:link w:val="132"/>
    <w:rsid w:val="00B32F5E"/>
    <w:pPr>
      <w:shd w:val="clear" w:color="auto" w:fill="FFFFFF"/>
      <w:spacing w:after="0" w:line="0" w:lineRule="atLeast"/>
    </w:pPr>
    <w:rPr>
      <w:rFonts w:ascii="Segoe UI" w:eastAsia="Segoe UI" w:hAnsi="Segoe UI" w:cs="Segoe UI"/>
      <w:sz w:val="17"/>
      <w:szCs w:val="17"/>
      <w:lang w:eastAsia="ru-RU"/>
    </w:rPr>
  </w:style>
  <w:style w:type="character" w:customStyle="1" w:styleId="13FranklinGothicBook9pt0pt">
    <w:name w:val="Подпись к картинке (13) + Franklin Gothic Book;9 pt;Не полужирный;Интервал 0 pt"/>
    <w:basedOn w:val="132"/>
    <w:rsid w:val="00B32F5E"/>
    <w:rPr>
      <w:rFonts w:ascii="Franklin Gothic Book" w:eastAsia="Franklin Gothic Book" w:hAnsi="Franklin Gothic Book" w:cs="Franklin Gothic Book"/>
      <w:b/>
      <w:bCs/>
      <w:spacing w:val="-10"/>
      <w:w w:val="100"/>
      <w:sz w:val="18"/>
      <w:szCs w:val="18"/>
      <w:shd w:val="clear" w:color="auto" w:fill="FFFFFF"/>
    </w:rPr>
  </w:style>
  <w:style w:type="character" w:customStyle="1" w:styleId="361">
    <w:name w:val="Основной текст (36)_"/>
    <w:basedOn w:val="a0"/>
    <w:rsid w:val="00B32F5E"/>
    <w:rPr>
      <w:rFonts w:ascii="Segoe UI" w:eastAsia="Segoe UI" w:hAnsi="Segoe UI" w:cs="Segoe UI"/>
      <w:b w:val="0"/>
      <w:bCs w:val="0"/>
      <w:i w:val="0"/>
      <w:iCs w:val="0"/>
      <w:smallCaps w:val="0"/>
      <w:strike w:val="0"/>
      <w:spacing w:val="0"/>
      <w:sz w:val="21"/>
      <w:szCs w:val="21"/>
    </w:rPr>
  </w:style>
  <w:style w:type="character" w:customStyle="1" w:styleId="128pt100">
    <w:name w:val="Основной текст (12) + 8 pt;Не курсив;Масштаб 100%"/>
    <w:basedOn w:val="a0"/>
    <w:rsid w:val="00B32F5E"/>
    <w:rPr>
      <w:rFonts w:ascii="Segoe UI" w:eastAsia="Segoe UI" w:hAnsi="Segoe UI" w:cs="Segoe UI"/>
      <w:b w:val="0"/>
      <w:bCs w:val="0"/>
      <w:i/>
      <w:iCs/>
      <w:smallCaps w:val="0"/>
      <w:strike w:val="0"/>
      <w:spacing w:val="0"/>
      <w:w w:val="100"/>
      <w:sz w:val="16"/>
      <w:szCs w:val="16"/>
    </w:rPr>
  </w:style>
  <w:style w:type="character" w:customStyle="1" w:styleId="122">
    <w:name w:val="Основной текст (12)_"/>
    <w:basedOn w:val="a0"/>
    <w:link w:val="121"/>
    <w:rsid w:val="00B32F5E"/>
    <w:rPr>
      <w:rFonts w:ascii="MS Reference Sans Serif" w:hAnsi="MS Reference Sans Serif" w:cs="MS Reference Sans Serif"/>
      <w:b/>
      <w:bCs/>
      <w:sz w:val="13"/>
      <w:szCs w:val="13"/>
      <w:shd w:val="clear" w:color="auto" w:fill="FFFFFF"/>
      <w:lang w:eastAsia="en-US"/>
    </w:rPr>
  </w:style>
  <w:style w:type="character" w:customStyle="1" w:styleId="85">
    <w:name w:val="Подпись к картинке (8)_"/>
    <w:basedOn w:val="a0"/>
    <w:link w:val="86"/>
    <w:rsid w:val="00B32F5E"/>
    <w:rPr>
      <w:rFonts w:ascii="Segoe UI" w:eastAsia="Segoe UI" w:hAnsi="Segoe UI" w:cs="Segoe UI"/>
      <w:sz w:val="16"/>
      <w:szCs w:val="16"/>
      <w:shd w:val="clear" w:color="auto" w:fill="FFFFFF"/>
      <w:lang w:val="en-US"/>
    </w:rPr>
  </w:style>
  <w:style w:type="paragraph" w:customStyle="1" w:styleId="86">
    <w:name w:val="Подпись к картинке (8)"/>
    <w:basedOn w:val="a"/>
    <w:link w:val="85"/>
    <w:rsid w:val="00B32F5E"/>
    <w:pPr>
      <w:shd w:val="clear" w:color="auto" w:fill="FFFFFF"/>
      <w:spacing w:after="0" w:line="0" w:lineRule="atLeast"/>
    </w:pPr>
    <w:rPr>
      <w:rFonts w:ascii="Segoe UI" w:eastAsia="Segoe UI" w:hAnsi="Segoe UI" w:cs="Segoe UI"/>
      <w:sz w:val="16"/>
      <w:szCs w:val="16"/>
      <w:lang w:val="en-US" w:eastAsia="ru-RU"/>
    </w:rPr>
  </w:style>
  <w:style w:type="character" w:customStyle="1" w:styleId="146">
    <w:name w:val="Подпись к картинке (14)_"/>
    <w:basedOn w:val="a0"/>
    <w:link w:val="148"/>
    <w:rsid w:val="00B32F5E"/>
    <w:rPr>
      <w:rFonts w:ascii="Segoe UI" w:eastAsia="Segoe UI" w:hAnsi="Segoe UI" w:cs="Segoe UI"/>
      <w:sz w:val="18"/>
      <w:szCs w:val="18"/>
      <w:shd w:val="clear" w:color="auto" w:fill="FFFFFF"/>
    </w:rPr>
  </w:style>
  <w:style w:type="paragraph" w:customStyle="1" w:styleId="148">
    <w:name w:val="Подпись к картинке (14)"/>
    <w:basedOn w:val="a"/>
    <w:link w:val="146"/>
    <w:rsid w:val="00B32F5E"/>
    <w:pPr>
      <w:shd w:val="clear" w:color="auto" w:fill="FFFFFF"/>
      <w:spacing w:after="0" w:line="0" w:lineRule="atLeast"/>
    </w:pPr>
    <w:rPr>
      <w:rFonts w:ascii="Segoe UI" w:eastAsia="Segoe UI" w:hAnsi="Segoe UI" w:cs="Segoe UI"/>
      <w:sz w:val="18"/>
      <w:szCs w:val="18"/>
      <w:lang w:eastAsia="ru-RU"/>
    </w:rPr>
  </w:style>
  <w:style w:type="character" w:customStyle="1" w:styleId="142pt">
    <w:name w:val="Подпись к картинке (14) + Интервал 2 pt"/>
    <w:basedOn w:val="146"/>
    <w:rsid w:val="00B32F5E"/>
    <w:rPr>
      <w:rFonts w:ascii="Segoe UI" w:eastAsia="Segoe UI" w:hAnsi="Segoe UI" w:cs="Segoe UI"/>
      <w:spacing w:val="40"/>
      <w:sz w:val="18"/>
      <w:szCs w:val="18"/>
      <w:shd w:val="clear" w:color="auto" w:fill="FFFFFF"/>
      <w:lang w:val="en-US"/>
    </w:rPr>
  </w:style>
  <w:style w:type="character" w:customStyle="1" w:styleId="89pt-1pt80">
    <w:name w:val="Подпись к картинке (8) + 9 pt;Курсив;Интервал -1 pt;Масштаб 80%"/>
    <w:basedOn w:val="85"/>
    <w:rsid w:val="00B32F5E"/>
    <w:rPr>
      <w:rFonts w:ascii="Segoe UI" w:eastAsia="Segoe UI" w:hAnsi="Segoe UI" w:cs="Segoe UI"/>
      <w:i/>
      <w:iCs/>
      <w:spacing w:val="-20"/>
      <w:w w:val="80"/>
      <w:sz w:val="18"/>
      <w:szCs w:val="18"/>
      <w:shd w:val="clear" w:color="auto" w:fill="FFFFFF"/>
      <w:lang w:val="ru"/>
    </w:rPr>
  </w:style>
  <w:style w:type="character" w:customStyle="1" w:styleId="151">
    <w:name w:val="Подпись к картинке (15)_"/>
    <w:basedOn w:val="a0"/>
    <w:link w:val="150"/>
    <w:rsid w:val="00B32F5E"/>
    <w:rPr>
      <w:rFonts w:ascii="MS Reference Sans Serif" w:hAnsi="MS Reference Sans Serif" w:cs="MS Reference Sans Serif"/>
      <w:sz w:val="8"/>
      <w:szCs w:val="8"/>
      <w:shd w:val="clear" w:color="auto" w:fill="FFFFFF"/>
      <w:lang w:eastAsia="en-US"/>
    </w:rPr>
  </w:style>
  <w:style w:type="character" w:customStyle="1" w:styleId="15MSReferenceSansSerif16pt0pt">
    <w:name w:val="Подпись к картинке (15) + MS Reference Sans Serif;16 pt;Курсив;Интервал 0 pt"/>
    <w:basedOn w:val="151"/>
    <w:rsid w:val="00B32F5E"/>
    <w:rPr>
      <w:rFonts w:ascii="MS Reference Sans Serif" w:eastAsia="MS Reference Sans Serif" w:hAnsi="MS Reference Sans Serif" w:cs="MS Reference Sans Serif"/>
      <w:i/>
      <w:iCs/>
      <w:spacing w:val="10"/>
      <w:sz w:val="32"/>
      <w:szCs w:val="32"/>
      <w:shd w:val="clear" w:color="auto" w:fill="FFFFFF"/>
      <w:lang w:eastAsia="en-US"/>
    </w:rPr>
  </w:style>
  <w:style w:type="character" w:customStyle="1" w:styleId="93">
    <w:name w:val="Подпись к картинке (9)_"/>
    <w:basedOn w:val="a0"/>
    <w:link w:val="95"/>
    <w:rsid w:val="00B32F5E"/>
    <w:rPr>
      <w:rFonts w:ascii="Segoe UI" w:eastAsia="Segoe UI" w:hAnsi="Segoe UI" w:cs="Segoe UI"/>
      <w:sz w:val="13"/>
      <w:szCs w:val="13"/>
      <w:shd w:val="clear" w:color="auto" w:fill="FFFFFF"/>
    </w:rPr>
  </w:style>
  <w:style w:type="paragraph" w:customStyle="1" w:styleId="95">
    <w:name w:val="Подпись к картинке (9)"/>
    <w:basedOn w:val="a"/>
    <w:link w:val="93"/>
    <w:rsid w:val="00B32F5E"/>
    <w:pPr>
      <w:shd w:val="clear" w:color="auto" w:fill="FFFFFF"/>
      <w:spacing w:after="0" w:line="197" w:lineRule="exact"/>
      <w:jc w:val="center"/>
    </w:pPr>
    <w:rPr>
      <w:rFonts w:ascii="Segoe UI" w:eastAsia="Segoe UI" w:hAnsi="Segoe UI" w:cs="Segoe UI"/>
      <w:sz w:val="13"/>
      <w:szCs w:val="13"/>
      <w:lang w:eastAsia="ru-RU"/>
    </w:rPr>
  </w:style>
  <w:style w:type="character" w:customStyle="1" w:styleId="9Constantia4pt">
    <w:name w:val="Подпись к картинке (9) + Constantia;4 pt;Не курсив"/>
    <w:basedOn w:val="93"/>
    <w:rsid w:val="00B32F5E"/>
    <w:rPr>
      <w:rFonts w:ascii="Constantia" w:eastAsia="Constantia" w:hAnsi="Constantia" w:cs="Constantia"/>
      <w:i/>
      <w:iCs/>
      <w:sz w:val="8"/>
      <w:szCs w:val="8"/>
      <w:shd w:val="clear" w:color="auto" w:fill="FFFFFF"/>
    </w:rPr>
  </w:style>
  <w:style w:type="character" w:customStyle="1" w:styleId="162">
    <w:name w:val="Подпись к картинке (16)_"/>
    <w:basedOn w:val="a0"/>
    <w:rsid w:val="00B32F5E"/>
    <w:rPr>
      <w:rFonts w:ascii="Segoe UI" w:eastAsia="Segoe UI" w:hAnsi="Segoe UI" w:cs="Segoe UI"/>
      <w:b w:val="0"/>
      <w:bCs w:val="0"/>
      <w:i w:val="0"/>
      <w:iCs w:val="0"/>
      <w:smallCaps w:val="0"/>
      <w:strike w:val="0"/>
      <w:spacing w:val="-10"/>
      <w:sz w:val="10"/>
      <w:szCs w:val="10"/>
    </w:rPr>
  </w:style>
  <w:style w:type="character" w:customStyle="1" w:styleId="95pt0pt">
    <w:name w:val="Подпись к картинке (9) + 5 pt;Интервал 0 pt"/>
    <w:basedOn w:val="93"/>
    <w:rsid w:val="00B32F5E"/>
    <w:rPr>
      <w:rFonts w:ascii="Segoe UI" w:eastAsia="Segoe UI" w:hAnsi="Segoe UI" w:cs="Segoe UI"/>
      <w:spacing w:val="-10"/>
      <w:sz w:val="10"/>
      <w:szCs w:val="10"/>
      <w:shd w:val="clear" w:color="auto" w:fill="FFFFFF"/>
    </w:rPr>
  </w:style>
  <w:style w:type="character" w:customStyle="1" w:styleId="40pt0">
    <w:name w:val="Подпись к картинке (4) + Интервал 0 pt"/>
    <w:basedOn w:val="49"/>
    <w:rsid w:val="00B32F5E"/>
    <w:rPr>
      <w:rFonts w:ascii="Segoe UI" w:eastAsia="Segoe UI" w:hAnsi="Segoe UI" w:cs="Segoe UI"/>
      <w:i w:val="0"/>
      <w:iCs w:val="0"/>
      <w:spacing w:val="-10"/>
      <w:sz w:val="14"/>
      <w:szCs w:val="14"/>
      <w:u w:val="single"/>
      <w:shd w:val="clear" w:color="auto" w:fill="FFFFFF"/>
      <w:lang w:eastAsia="en-US"/>
    </w:rPr>
  </w:style>
  <w:style w:type="character" w:customStyle="1" w:styleId="13ArialNarrow10pt">
    <w:name w:val="Основной текст (13) + Arial Narrow;10 pt;Не курсив"/>
    <w:basedOn w:val="131"/>
    <w:rsid w:val="00B32F5E"/>
    <w:rPr>
      <w:rFonts w:ascii="Arial Narrow" w:eastAsia="Arial Narrow" w:hAnsi="Arial Narrow" w:cs="Arial Narrow"/>
      <w:b w:val="0"/>
      <w:bCs w:val="0"/>
      <w:i/>
      <w:iCs/>
      <w:smallCaps w:val="0"/>
      <w:strike w:val="0"/>
      <w:spacing w:val="0"/>
      <w:w w:val="100"/>
      <w:sz w:val="20"/>
      <w:szCs w:val="20"/>
      <w:shd w:val="clear" w:color="auto" w:fill="FFFFFF"/>
    </w:rPr>
  </w:style>
  <w:style w:type="character" w:customStyle="1" w:styleId="2pt">
    <w:name w:val="Основной текст + Интервал 2 pt"/>
    <w:basedOn w:val="aff"/>
    <w:uiPriority w:val="99"/>
    <w:rsid w:val="00B32F5E"/>
    <w:rPr>
      <w:rFonts w:ascii="Segoe UI" w:eastAsia="Segoe UI" w:hAnsi="Segoe UI" w:cs="Segoe UI"/>
      <w:b w:val="0"/>
      <w:bCs w:val="0"/>
      <w:i w:val="0"/>
      <w:iCs w:val="0"/>
      <w:smallCaps w:val="0"/>
      <w:strike w:val="0"/>
      <w:spacing w:val="40"/>
      <w:w w:val="100"/>
      <w:sz w:val="16"/>
      <w:szCs w:val="16"/>
      <w:shd w:val="clear" w:color="auto" w:fill="FFFFFF"/>
    </w:rPr>
  </w:style>
  <w:style w:type="character" w:customStyle="1" w:styleId="570">
    <w:name w:val="Основной текст (57)_"/>
    <w:basedOn w:val="a0"/>
    <w:link w:val="57"/>
    <w:rsid w:val="00B32F5E"/>
    <w:rPr>
      <w:rFonts w:ascii="Sylfaen" w:hAnsi="Sylfaen" w:cs="Sylfaen"/>
      <w:noProof/>
      <w:sz w:val="8"/>
      <w:szCs w:val="8"/>
      <w:shd w:val="clear" w:color="auto" w:fill="FFFFFF"/>
      <w:lang w:val="en-US" w:eastAsia="en-US"/>
    </w:rPr>
  </w:style>
  <w:style w:type="character" w:customStyle="1" w:styleId="610">
    <w:name w:val="Основной текст (61)_"/>
    <w:basedOn w:val="a0"/>
    <w:link w:val="611"/>
    <w:rsid w:val="00B32F5E"/>
    <w:rPr>
      <w:rFonts w:ascii="Franklin Gothic Book" w:eastAsia="Franklin Gothic Book" w:hAnsi="Franklin Gothic Book" w:cs="Franklin Gothic Book"/>
      <w:sz w:val="8"/>
      <w:szCs w:val="8"/>
      <w:shd w:val="clear" w:color="auto" w:fill="FFFFFF"/>
    </w:rPr>
  </w:style>
  <w:style w:type="paragraph" w:customStyle="1" w:styleId="611">
    <w:name w:val="Основной текст (61)"/>
    <w:basedOn w:val="a"/>
    <w:link w:val="610"/>
    <w:rsid w:val="00B32F5E"/>
    <w:pPr>
      <w:shd w:val="clear" w:color="auto" w:fill="FFFFFF"/>
      <w:spacing w:after="0" w:line="0" w:lineRule="atLeast"/>
      <w:jc w:val="both"/>
    </w:pPr>
    <w:rPr>
      <w:rFonts w:ascii="Franklin Gothic Book" w:eastAsia="Franklin Gothic Book" w:hAnsi="Franklin Gothic Book" w:cs="Franklin Gothic Book"/>
      <w:sz w:val="8"/>
      <w:szCs w:val="8"/>
      <w:lang w:eastAsia="ru-RU"/>
    </w:rPr>
  </w:style>
  <w:style w:type="character" w:customStyle="1" w:styleId="600">
    <w:name w:val="Основной текст (60)_"/>
    <w:basedOn w:val="a0"/>
    <w:link w:val="601"/>
    <w:rsid w:val="00B32F5E"/>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
    <w:link w:val="600"/>
    <w:rsid w:val="00B32F5E"/>
    <w:pPr>
      <w:shd w:val="clear" w:color="auto" w:fill="FFFFFF"/>
      <w:spacing w:after="0" w:line="0" w:lineRule="atLeast"/>
      <w:jc w:val="both"/>
    </w:pPr>
    <w:rPr>
      <w:rFonts w:ascii="Franklin Gothic Book" w:eastAsia="Franklin Gothic Book" w:hAnsi="Franklin Gothic Book" w:cs="Franklin Gothic Book"/>
      <w:sz w:val="8"/>
      <w:szCs w:val="8"/>
      <w:lang w:eastAsia="ru-RU"/>
    </w:rPr>
  </w:style>
  <w:style w:type="character" w:customStyle="1" w:styleId="590">
    <w:name w:val="Основной текст (59)_"/>
    <w:basedOn w:val="a0"/>
    <w:link w:val="591"/>
    <w:rsid w:val="00B32F5E"/>
    <w:rPr>
      <w:rFonts w:ascii="Segoe UI" w:eastAsia="Segoe UI" w:hAnsi="Segoe UI" w:cs="Segoe UI"/>
      <w:sz w:val="8"/>
      <w:szCs w:val="8"/>
      <w:shd w:val="clear" w:color="auto" w:fill="FFFFFF"/>
    </w:rPr>
  </w:style>
  <w:style w:type="paragraph" w:customStyle="1" w:styleId="591">
    <w:name w:val="Основной текст (59)"/>
    <w:basedOn w:val="a"/>
    <w:link w:val="590"/>
    <w:rsid w:val="00B32F5E"/>
    <w:pPr>
      <w:shd w:val="clear" w:color="auto" w:fill="FFFFFF"/>
      <w:spacing w:after="0" w:line="0" w:lineRule="atLeast"/>
      <w:jc w:val="both"/>
    </w:pPr>
    <w:rPr>
      <w:rFonts w:ascii="Segoe UI" w:eastAsia="Segoe UI" w:hAnsi="Segoe UI" w:cs="Segoe UI"/>
      <w:sz w:val="8"/>
      <w:szCs w:val="8"/>
      <w:lang w:eastAsia="ru-RU"/>
    </w:rPr>
  </w:style>
  <w:style w:type="character" w:customStyle="1" w:styleId="621">
    <w:name w:val="Основной текст (62)_"/>
    <w:basedOn w:val="a0"/>
    <w:link w:val="622"/>
    <w:rsid w:val="00B32F5E"/>
    <w:rPr>
      <w:rFonts w:ascii="Segoe UI" w:eastAsia="Segoe UI" w:hAnsi="Segoe UI" w:cs="Segoe UI"/>
      <w:sz w:val="8"/>
      <w:szCs w:val="8"/>
      <w:shd w:val="clear" w:color="auto" w:fill="FFFFFF"/>
    </w:rPr>
  </w:style>
  <w:style w:type="paragraph" w:customStyle="1" w:styleId="622">
    <w:name w:val="Основной текст (62)"/>
    <w:basedOn w:val="a"/>
    <w:link w:val="621"/>
    <w:rsid w:val="00B32F5E"/>
    <w:pPr>
      <w:shd w:val="clear" w:color="auto" w:fill="FFFFFF"/>
      <w:spacing w:after="0" w:line="0" w:lineRule="atLeast"/>
      <w:jc w:val="center"/>
    </w:pPr>
    <w:rPr>
      <w:rFonts w:ascii="Segoe UI" w:eastAsia="Segoe UI" w:hAnsi="Segoe UI" w:cs="Segoe UI"/>
      <w:sz w:val="8"/>
      <w:szCs w:val="8"/>
      <w:lang w:eastAsia="ru-RU"/>
    </w:rPr>
  </w:style>
  <w:style w:type="character" w:customStyle="1" w:styleId="5d">
    <w:name w:val="Подпись к таблице (5)"/>
    <w:basedOn w:val="a0"/>
    <w:rsid w:val="00B32F5E"/>
    <w:rPr>
      <w:rFonts w:ascii="Franklin Gothic Book" w:eastAsia="Franklin Gothic Book" w:hAnsi="Franklin Gothic Book" w:cs="Franklin Gothic Book"/>
      <w:b w:val="0"/>
      <w:bCs w:val="0"/>
      <w:i w:val="0"/>
      <w:iCs w:val="0"/>
      <w:smallCaps w:val="0"/>
      <w:strike w:val="0"/>
      <w:spacing w:val="0"/>
      <w:w w:val="100"/>
      <w:sz w:val="16"/>
      <w:szCs w:val="16"/>
    </w:rPr>
  </w:style>
  <w:style w:type="character" w:customStyle="1" w:styleId="38">
    <w:name w:val="Подпись к картинке (3)_"/>
    <w:basedOn w:val="a0"/>
    <w:link w:val="37"/>
    <w:rsid w:val="00B32F5E"/>
    <w:rPr>
      <w:rFonts w:ascii="Arial Narrow" w:hAnsi="Arial Narrow" w:cs="Arial Narrow"/>
      <w:sz w:val="16"/>
      <w:szCs w:val="16"/>
      <w:shd w:val="clear" w:color="auto" w:fill="FFFFFF"/>
      <w:lang w:eastAsia="en-US"/>
    </w:rPr>
  </w:style>
  <w:style w:type="character" w:customStyle="1" w:styleId="4f0">
    <w:name w:val="Оглавление 4 Знак"/>
    <w:basedOn w:val="a0"/>
    <w:link w:val="4f1"/>
    <w:rsid w:val="00B32F5E"/>
    <w:rPr>
      <w:rFonts w:ascii="Microsoft Sans Serif" w:eastAsia="Microsoft Sans Serif" w:hAnsi="Microsoft Sans Serif" w:cs="Microsoft Sans Serif"/>
      <w:sz w:val="15"/>
      <w:szCs w:val="15"/>
      <w:shd w:val="clear" w:color="auto" w:fill="FFFFFF"/>
    </w:rPr>
  </w:style>
  <w:style w:type="paragraph" w:styleId="4f1">
    <w:name w:val="toc 4"/>
    <w:basedOn w:val="a"/>
    <w:link w:val="4f0"/>
    <w:autoRedefine/>
    <w:rsid w:val="00B32F5E"/>
    <w:pPr>
      <w:shd w:val="clear" w:color="auto" w:fill="FFFFFF"/>
      <w:spacing w:before="60" w:after="120" w:line="0" w:lineRule="atLeast"/>
    </w:pPr>
    <w:rPr>
      <w:rFonts w:ascii="Microsoft Sans Serif" w:eastAsia="Microsoft Sans Serif" w:hAnsi="Microsoft Sans Serif" w:cs="Microsoft Sans Serif"/>
      <w:sz w:val="15"/>
      <w:szCs w:val="15"/>
      <w:lang w:eastAsia="ru-RU"/>
    </w:rPr>
  </w:style>
  <w:style w:type="character" w:customStyle="1" w:styleId="101">
    <w:name w:val="Заголовок №10_"/>
    <w:basedOn w:val="a0"/>
    <w:link w:val="100"/>
    <w:rsid w:val="00B32F5E"/>
    <w:rPr>
      <w:rFonts w:ascii="Lucida Sans Unicode" w:hAnsi="Lucida Sans Unicode" w:cs="Lucida Sans Unicode"/>
      <w:b/>
      <w:bCs/>
      <w:i/>
      <w:iCs/>
      <w:noProof/>
      <w:sz w:val="16"/>
      <w:szCs w:val="16"/>
      <w:shd w:val="clear" w:color="auto" w:fill="FFFFFF"/>
      <w:lang w:val="en-US" w:eastAsia="en-US"/>
    </w:rPr>
  </w:style>
  <w:style w:type="character" w:customStyle="1" w:styleId="1pt0">
    <w:name w:val="Основной текст + Курсив;Интервал 1 pt"/>
    <w:basedOn w:val="aff"/>
    <w:rsid w:val="00B32F5E"/>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4f2">
    <w:name w:val="Подпись к картинке (4) + Не полужирный"/>
    <w:basedOn w:val="49"/>
    <w:rsid w:val="00B32F5E"/>
    <w:rPr>
      <w:rFonts w:ascii="Microsoft Sans Serif" w:eastAsia="Microsoft Sans Serif" w:hAnsi="Microsoft Sans Serif" w:cs="Microsoft Sans Serif"/>
      <w:b/>
      <w:bCs/>
      <w:i w:val="0"/>
      <w:iCs w:val="0"/>
      <w:smallCaps w:val="0"/>
      <w:strike w:val="0"/>
      <w:spacing w:val="0"/>
      <w:sz w:val="15"/>
      <w:szCs w:val="15"/>
      <w:shd w:val="clear" w:color="auto" w:fill="FFFFFF"/>
      <w:lang w:eastAsia="en-US"/>
    </w:rPr>
  </w:style>
  <w:style w:type="character" w:customStyle="1" w:styleId="120pt">
    <w:name w:val="Основной текст (12) + Не курсив;Интервал 0 pt"/>
    <w:basedOn w:val="122"/>
    <w:rsid w:val="00B32F5E"/>
    <w:rPr>
      <w:rFonts w:ascii="Microsoft Sans Serif" w:eastAsia="Microsoft Sans Serif" w:hAnsi="Microsoft Sans Serif" w:cs="Microsoft Sans Serif"/>
      <w:b/>
      <w:bCs/>
      <w:i/>
      <w:iCs/>
      <w:smallCaps w:val="0"/>
      <w:strike w:val="0"/>
      <w:spacing w:val="0"/>
      <w:sz w:val="15"/>
      <w:szCs w:val="15"/>
      <w:shd w:val="clear" w:color="auto" w:fill="FFFFFF"/>
      <w:lang w:eastAsia="en-US"/>
    </w:rPr>
  </w:style>
  <w:style w:type="character" w:customStyle="1" w:styleId="8pt1">
    <w:name w:val="Основной текст + 8 pt;Полужирный"/>
    <w:basedOn w:val="aff"/>
    <w:rsid w:val="00B32F5E"/>
    <w:rPr>
      <w:rFonts w:ascii="Microsoft Sans Serif" w:eastAsia="Microsoft Sans Serif" w:hAnsi="Microsoft Sans Serif" w:cs="Microsoft Sans Serif"/>
      <w:b/>
      <w:bCs/>
      <w:spacing w:val="-10"/>
      <w:sz w:val="16"/>
      <w:szCs w:val="16"/>
      <w:shd w:val="clear" w:color="auto" w:fill="FFFFFF"/>
    </w:rPr>
  </w:style>
  <w:style w:type="character" w:customStyle="1" w:styleId="65pt0pt">
    <w:name w:val="Подпись к картинке + 6;5 pt;Не курсив;Интервал 0 pt"/>
    <w:basedOn w:val="affa"/>
    <w:rsid w:val="00B32F5E"/>
    <w:rPr>
      <w:rFonts w:ascii="Microsoft Sans Serif" w:eastAsia="Microsoft Sans Serif" w:hAnsi="Microsoft Sans Serif" w:cs="Microsoft Sans Serif"/>
      <w:b/>
      <w:bCs/>
      <w:i/>
      <w:iCs/>
      <w:smallCaps w:val="0"/>
      <w:strike w:val="0"/>
      <w:spacing w:val="0"/>
      <w:sz w:val="13"/>
      <w:szCs w:val="13"/>
      <w:shd w:val="clear" w:color="auto" w:fill="FFFFFF"/>
      <w:lang w:val="en-US" w:eastAsia="en-US"/>
    </w:rPr>
  </w:style>
  <w:style w:type="character" w:customStyle="1" w:styleId="1020">
    <w:name w:val="Заголовок №10 (2)_"/>
    <w:basedOn w:val="a0"/>
    <w:link w:val="1021"/>
    <w:rsid w:val="00B32F5E"/>
    <w:rPr>
      <w:rFonts w:ascii="Microsoft Sans Serif" w:eastAsia="Microsoft Sans Serif" w:hAnsi="Microsoft Sans Serif" w:cs="Microsoft Sans Serif"/>
      <w:sz w:val="15"/>
      <w:szCs w:val="15"/>
      <w:shd w:val="clear" w:color="auto" w:fill="FFFFFF"/>
    </w:rPr>
  </w:style>
  <w:style w:type="paragraph" w:customStyle="1" w:styleId="1021">
    <w:name w:val="Заголовок №10 (2)"/>
    <w:basedOn w:val="a"/>
    <w:link w:val="1020"/>
    <w:rsid w:val="00B32F5E"/>
    <w:pPr>
      <w:shd w:val="clear" w:color="auto" w:fill="FFFFFF"/>
      <w:spacing w:before="180" w:after="180" w:line="0" w:lineRule="atLeast"/>
    </w:pPr>
    <w:rPr>
      <w:rFonts w:ascii="Microsoft Sans Serif" w:eastAsia="Microsoft Sans Serif" w:hAnsi="Microsoft Sans Serif" w:cs="Microsoft Sans Serif"/>
      <w:sz w:val="15"/>
      <w:szCs w:val="15"/>
      <w:lang w:eastAsia="ru-RU"/>
    </w:rPr>
  </w:style>
  <w:style w:type="character" w:customStyle="1" w:styleId="4f3">
    <w:name w:val="Подпись к картинке (4) + Не полужирный;Малые прописные"/>
    <w:basedOn w:val="49"/>
    <w:rsid w:val="00B32F5E"/>
    <w:rPr>
      <w:rFonts w:ascii="Microsoft Sans Serif" w:eastAsia="Microsoft Sans Serif" w:hAnsi="Microsoft Sans Serif" w:cs="Microsoft Sans Serif"/>
      <w:b/>
      <w:bCs/>
      <w:i w:val="0"/>
      <w:iCs w:val="0"/>
      <w:smallCaps/>
      <w:sz w:val="15"/>
      <w:szCs w:val="15"/>
      <w:shd w:val="clear" w:color="auto" w:fill="FFFFFF"/>
      <w:lang w:val="en-US" w:eastAsia="en-US"/>
    </w:rPr>
  </w:style>
  <w:style w:type="character" w:customStyle="1" w:styleId="66pt0pt">
    <w:name w:val="Подпись к картинке (6) + 6 pt;Курсив;Интервал 0 pt"/>
    <w:basedOn w:val="62"/>
    <w:rsid w:val="00B32F5E"/>
    <w:rPr>
      <w:rFonts w:ascii="Microsoft Sans Serif" w:eastAsia="Microsoft Sans Serif" w:hAnsi="Microsoft Sans Serif" w:cs="Microsoft Sans Serif"/>
      <w:b w:val="0"/>
      <w:bCs w:val="0"/>
      <w:i w:val="0"/>
      <w:iCs w:val="0"/>
      <w:smallCaps w:val="0"/>
      <w:strike/>
      <w:spacing w:val="10"/>
      <w:sz w:val="12"/>
      <w:szCs w:val="12"/>
      <w:shd w:val="clear" w:color="auto" w:fill="FFFFFF"/>
      <w:lang w:eastAsia="en-US"/>
    </w:rPr>
  </w:style>
  <w:style w:type="character" w:customStyle="1" w:styleId="214">
    <w:name w:val="Основной текст (21)_"/>
    <w:basedOn w:val="a0"/>
    <w:link w:val="215"/>
    <w:rsid w:val="00B32F5E"/>
    <w:rPr>
      <w:rFonts w:ascii="Microsoft Sans Serif" w:eastAsia="Microsoft Sans Serif" w:hAnsi="Microsoft Sans Serif" w:cs="Microsoft Sans Serif"/>
      <w:sz w:val="48"/>
      <w:szCs w:val="48"/>
      <w:shd w:val="clear" w:color="auto" w:fill="FFFFFF"/>
    </w:rPr>
  </w:style>
  <w:style w:type="paragraph" w:customStyle="1" w:styleId="215">
    <w:name w:val="Основной текст (21)"/>
    <w:basedOn w:val="a"/>
    <w:link w:val="214"/>
    <w:rsid w:val="00B32F5E"/>
    <w:pPr>
      <w:shd w:val="clear" w:color="auto" w:fill="FFFFFF"/>
      <w:spacing w:after="0" w:line="600" w:lineRule="exact"/>
      <w:jc w:val="center"/>
    </w:pPr>
    <w:rPr>
      <w:rFonts w:ascii="Microsoft Sans Serif" w:eastAsia="Microsoft Sans Serif" w:hAnsi="Microsoft Sans Serif" w:cs="Microsoft Sans Serif"/>
      <w:sz w:val="48"/>
      <w:szCs w:val="48"/>
      <w:lang w:eastAsia="ru-RU"/>
    </w:rPr>
  </w:style>
  <w:style w:type="character" w:customStyle="1" w:styleId="FranklinGothicDemi85pt">
    <w:name w:val="Основной текст + Franklin Gothic Demi;8;5 pt"/>
    <w:basedOn w:val="aff"/>
    <w:rsid w:val="00B32F5E"/>
    <w:rPr>
      <w:rFonts w:ascii="Franklin Gothic Demi" w:eastAsia="Franklin Gothic Demi" w:hAnsi="Franklin Gothic Demi" w:cs="Franklin Gothic Demi"/>
      <w:b w:val="0"/>
      <w:bCs w:val="0"/>
      <w:i w:val="0"/>
      <w:iCs w:val="0"/>
      <w:smallCaps w:val="0"/>
      <w:strike w:val="0"/>
      <w:spacing w:val="0"/>
      <w:sz w:val="17"/>
      <w:szCs w:val="17"/>
      <w:shd w:val="clear" w:color="auto" w:fill="FFFFFF"/>
    </w:rPr>
  </w:style>
  <w:style w:type="character" w:customStyle="1" w:styleId="73">
    <w:name w:val="Подпись к картинке (7)_"/>
    <w:basedOn w:val="a0"/>
    <w:link w:val="72"/>
    <w:rsid w:val="00B32F5E"/>
    <w:rPr>
      <w:rFonts w:ascii="Arial Narrow" w:hAnsi="Arial Narrow" w:cs="Arial Narrow"/>
      <w:i/>
      <w:iCs/>
      <w:sz w:val="14"/>
      <w:szCs w:val="14"/>
      <w:shd w:val="clear" w:color="auto" w:fill="FFFFFF"/>
      <w:lang w:eastAsia="en-US"/>
    </w:rPr>
  </w:style>
  <w:style w:type="character" w:customStyle="1" w:styleId="375pt1pt">
    <w:name w:val="Подпись к картинке (3) + 7;5 pt;Интервал 1 pt"/>
    <w:basedOn w:val="38"/>
    <w:rsid w:val="00B32F5E"/>
    <w:rPr>
      <w:rFonts w:ascii="Arial Narrow" w:hAnsi="Arial Narrow" w:cs="Arial Narrow"/>
      <w:b w:val="0"/>
      <w:bCs w:val="0"/>
      <w:i w:val="0"/>
      <w:iCs w:val="0"/>
      <w:smallCaps w:val="0"/>
      <w:strike w:val="0"/>
      <w:spacing w:val="20"/>
      <w:sz w:val="15"/>
      <w:szCs w:val="15"/>
      <w:shd w:val="clear" w:color="auto" w:fill="FFFFFF"/>
      <w:lang w:val="en-US" w:eastAsia="en-US"/>
    </w:rPr>
  </w:style>
  <w:style w:type="character" w:customStyle="1" w:styleId="222">
    <w:name w:val="Основной текст (22)_"/>
    <w:basedOn w:val="a0"/>
    <w:link w:val="223"/>
    <w:rsid w:val="00B32F5E"/>
    <w:rPr>
      <w:rFonts w:ascii="Franklin Gothic Demi" w:eastAsia="Franklin Gothic Demi" w:hAnsi="Franklin Gothic Demi" w:cs="Franklin Gothic Demi"/>
      <w:sz w:val="17"/>
      <w:szCs w:val="17"/>
      <w:shd w:val="clear" w:color="auto" w:fill="FFFFFF"/>
    </w:rPr>
  </w:style>
  <w:style w:type="paragraph" w:customStyle="1" w:styleId="223">
    <w:name w:val="Основной текст (22)"/>
    <w:basedOn w:val="a"/>
    <w:link w:val="222"/>
    <w:rsid w:val="00B32F5E"/>
    <w:pPr>
      <w:shd w:val="clear" w:color="auto" w:fill="FFFFFF"/>
      <w:spacing w:after="0" w:line="0" w:lineRule="atLeast"/>
    </w:pPr>
    <w:rPr>
      <w:rFonts w:ascii="Franklin Gothic Demi" w:eastAsia="Franklin Gothic Demi" w:hAnsi="Franklin Gothic Demi" w:cs="Franklin Gothic Demi"/>
      <w:sz w:val="17"/>
      <w:szCs w:val="17"/>
      <w:lang w:eastAsia="ru-RU"/>
    </w:rPr>
  </w:style>
  <w:style w:type="character" w:customStyle="1" w:styleId="1120">
    <w:name w:val="Заголовок №11 (2)_"/>
    <w:basedOn w:val="a0"/>
    <w:link w:val="1121"/>
    <w:rsid w:val="00B32F5E"/>
    <w:rPr>
      <w:rFonts w:ascii="Franklin Gothic Demi" w:eastAsia="Franklin Gothic Demi" w:hAnsi="Franklin Gothic Demi" w:cs="Franklin Gothic Demi"/>
      <w:sz w:val="17"/>
      <w:szCs w:val="17"/>
      <w:shd w:val="clear" w:color="auto" w:fill="FFFFFF"/>
    </w:rPr>
  </w:style>
  <w:style w:type="paragraph" w:customStyle="1" w:styleId="1121">
    <w:name w:val="Заголовок №11 (2)"/>
    <w:basedOn w:val="a"/>
    <w:link w:val="1120"/>
    <w:rsid w:val="00B32F5E"/>
    <w:pPr>
      <w:shd w:val="clear" w:color="auto" w:fill="FFFFFF"/>
      <w:spacing w:after="0" w:line="0" w:lineRule="atLeast"/>
    </w:pPr>
    <w:rPr>
      <w:rFonts w:ascii="Franklin Gothic Demi" w:eastAsia="Franklin Gothic Demi" w:hAnsi="Franklin Gothic Demi" w:cs="Franklin Gothic Demi"/>
      <w:sz w:val="17"/>
      <w:szCs w:val="17"/>
      <w:lang w:eastAsia="ru-RU"/>
    </w:rPr>
  </w:style>
  <w:style w:type="character" w:customStyle="1" w:styleId="375pt0pt">
    <w:name w:val="Подпись к картинке (3) + 7;5 pt;Не курсив;Интервал 0 pt"/>
    <w:basedOn w:val="38"/>
    <w:rsid w:val="00B32F5E"/>
    <w:rPr>
      <w:rFonts w:ascii="Arial Narrow" w:hAnsi="Arial Narrow" w:cs="Arial Narrow"/>
      <w:b w:val="0"/>
      <w:bCs w:val="0"/>
      <w:i/>
      <w:iCs/>
      <w:smallCaps w:val="0"/>
      <w:strike w:val="0"/>
      <w:spacing w:val="0"/>
      <w:sz w:val="15"/>
      <w:szCs w:val="15"/>
      <w:shd w:val="clear" w:color="auto" w:fill="FFFFFF"/>
      <w:lang w:val="en-US" w:eastAsia="en-US"/>
    </w:rPr>
  </w:style>
  <w:style w:type="paragraph" w:styleId="affd">
    <w:name w:val="List Paragraph"/>
    <w:basedOn w:val="a"/>
    <w:qFormat/>
    <w:rsid w:val="00B32F5E"/>
    <w:pPr>
      <w:spacing w:after="0" w:line="360" w:lineRule="auto"/>
      <w:ind w:left="720"/>
      <w:contextualSpacing/>
      <w:jc w:val="both"/>
    </w:pPr>
    <w:rPr>
      <w:rFonts w:asciiTheme="minorHAnsi" w:eastAsiaTheme="minorHAnsi" w:hAnsiTheme="minorHAnsi" w:cstheme="minorBidi"/>
    </w:rPr>
  </w:style>
  <w:style w:type="character" w:customStyle="1" w:styleId="420">
    <w:name w:val="Заголовок №4 (2)"/>
    <w:basedOn w:val="a0"/>
    <w:rsid w:val="00B32F5E"/>
    <w:rPr>
      <w:rFonts w:ascii="Arial Narrow" w:eastAsia="Arial Narrow" w:hAnsi="Arial Narrow" w:cs="Arial Narrow"/>
      <w:b w:val="0"/>
      <w:bCs w:val="0"/>
      <w:i w:val="0"/>
      <w:iCs w:val="0"/>
      <w:smallCaps w:val="0"/>
      <w:strike w:val="0"/>
      <w:spacing w:val="20"/>
      <w:sz w:val="89"/>
      <w:szCs w:val="89"/>
    </w:rPr>
  </w:style>
  <w:style w:type="character" w:customStyle="1" w:styleId="602">
    <w:name w:val="Основной текст (60) + Не курсив"/>
    <w:basedOn w:val="600"/>
    <w:rsid w:val="00B32F5E"/>
    <w:rPr>
      <w:rFonts w:ascii="Segoe UI" w:eastAsia="Segoe UI" w:hAnsi="Segoe UI" w:cs="Segoe UI"/>
      <w:b w:val="0"/>
      <w:bCs w:val="0"/>
      <w:i/>
      <w:iCs/>
      <w:smallCaps w:val="0"/>
      <w:strike w:val="0"/>
      <w:spacing w:val="0"/>
      <w:sz w:val="14"/>
      <w:szCs w:val="14"/>
      <w:shd w:val="clear" w:color="auto" w:fill="FFFFFF"/>
    </w:rPr>
  </w:style>
  <w:style w:type="character" w:customStyle="1" w:styleId="ArialUnicodeMS6pt">
    <w:name w:val="Подпись к картинке + Arial Unicode MS;6 pt;Не полужирный"/>
    <w:basedOn w:val="affa"/>
    <w:rsid w:val="00B32F5E"/>
    <w:rPr>
      <w:rFonts w:ascii="Arial Unicode MS" w:eastAsia="Arial Unicode MS" w:hAnsi="Arial Unicode MS" w:cs="Arial Unicode MS"/>
      <w:b w:val="0"/>
      <w:bCs w:val="0"/>
      <w:i w:val="0"/>
      <w:iCs w:val="0"/>
      <w:smallCaps w:val="0"/>
      <w:strike w:val="0"/>
      <w:spacing w:val="0"/>
      <w:sz w:val="12"/>
      <w:szCs w:val="12"/>
      <w:shd w:val="clear" w:color="auto" w:fill="FFFFFF"/>
      <w:lang w:eastAsia="en-US"/>
    </w:rPr>
  </w:style>
  <w:style w:type="character" w:customStyle="1" w:styleId="ArialUnicodeMS">
    <w:name w:val="Подпись к картинке + Arial Unicode MS;Не полужирный"/>
    <w:basedOn w:val="affa"/>
    <w:rsid w:val="00B32F5E"/>
    <w:rPr>
      <w:rFonts w:ascii="Arial Unicode MS" w:eastAsia="Arial Unicode MS" w:hAnsi="Arial Unicode MS" w:cs="Arial Unicode MS"/>
      <w:b w:val="0"/>
      <w:bCs w:val="0"/>
      <w:i w:val="0"/>
      <w:iCs w:val="0"/>
      <w:smallCaps w:val="0"/>
      <w:strike w:val="0"/>
      <w:spacing w:val="0"/>
      <w:sz w:val="13"/>
      <w:szCs w:val="13"/>
      <w:shd w:val="clear" w:color="auto" w:fill="FFFFFF"/>
      <w:lang w:eastAsia="en-US"/>
    </w:rPr>
  </w:style>
  <w:style w:type="character" w:customStyle="1" w:styleId="171">
    <w:name w:val="Подпись к картинке (17)_"/>
    <w:basedOn w:val="a0"/>
    <w:link w:val="170"/>
    <w:rsid w:val="00B32F5E"/>
    <w:rPr>
      <w:rFonts w:ascii="Franklin Gothic Book" w:hAnsi="Franklin Gothic Book" w:cs="Franklin Gothic Book"/>
      <w:sz w:val="13"/>
      <w:szCs w:val="13"/>
      <w:shd w:val="clear" w:color="auto" w:fill="FFFFFF"/>
      <w:lang w:eastAsia="en-US"/>
    </w:rPr>
  </w:style>
  <w:style w:type="character" w:customStyle="1" w:styleId="171pt">
    <w:name w:val="Подпись к картинке (17) + Интервал 1 pt"/>
    <w:basedOn w:val="171"/>
    <w:rsid w:val="00B32F5E"/>
    <w:rPr>
      <w:rFonts w:ascii="Franklin Gothic Book" w:hAnsi="Franklin Gothic Book" w:cs="Franklin Gothic Book"/>
      <w:spacing w:val="30"/>
      <w:sz w:val="13"/>
      <w:szCs w:val="13"/>
      <w:shd w:val="clear" w:color="auto" w:fill="FFFFFF"/>
      <w:lang w:eastAsia="en-US"/>
    </w:rPr>
  </w:style>
  <w:style w:type="character" w:customStyle="1" w:styleId="ArialNarrow345pt">
    <w:name w:val="Основной текст + Arial Narrow;34;5 pt;Полужирный"/>
    <w:basedOn w:val="aff"/>
    <w:rsid w:val="00B32F5E"/>
    <w:rPr>
      <w:rFonts w:ascii="Arial Narrow" w:eastAsia="Arial Narrow" w:hAnsi="Arial Narrow" w:cs="Arial Narrow"/>
      <w:b/>
      <w:bCs/>
      <w:i w:val="0"/>
      <w:iCs w:val="0"/>
      <w:smallCaps w:val="0"/>
      <w:strike w:val="0"/>
      <w:spacing w:val="0"/>
      <w:w w:val="100"/>
      <w:sz w:val="69"/>
      <w:szCs w:val="69"/>
      <w:shd w:val="clear" w:color="auto" w:fill="FFFFFF"/>
    </w:rPr>
  </w:style>
  <w:style w:type="character" w:customStyle="1" w:styleId="19ArialUnicodeMS">
    <w:name w:val="Основной текст (19) + Arial Unicode MS;Не полужирный"/>
    <w:basedOn w:val="192"/>
    <w:rsid w:val="00B32F5E"/>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3c">
    <w:name w:val="Заголовок №3_"/>
    <w:basedOn w:val="a0"/>
    <w:rsid w:val="00B32F5E"/>
    <w:rPr>
      <w:rFonts w:ascii="Arial Narrow" w:eastAsia="Arial Narrow" w:hAnsi="Arial Narrow" w:cs="Arial Narrow"/>
      <w:b w:val="0"/>
      <w:bCs w:val="0"/>
      <w:i w:val="0"/>
      <w:iCs w:val="0"/>
      <w:smallCaps w:val="0"/>
      <w:strike w:val="0"/>
      <w:spacing w:val="20"/>
      <w:sz w:val="89"/>
      <w:szCs w:val="89"/>
    </w:rPr>
  </w:style>
  <w:style w:type="character" w:customStyle="1" w:styleId="430">
    <w:name w:val="Основной текст (43)_"/>
    <w:basedOn w:val="a0"/>
    <w:link w:val="43"/>
    <w:rsid w:val="00B32F5E"/>
    <w:rPr>
      <w:rFonts w:ascii="Lucida Sans Unicode" w:hAnsi="Lucida Sans Unicode" w:cs="Lucida Sans Unicode"/>
      <w:noProof/>
      <w:sz w:val="8"/>
      <w:szCs w:val="8"/>
      <w:shd w:val="clear" w:color="auto" w:fill="FFFFFF"/>
      <w:lang w:val="en-US" w:eastAsia="en-US"/>
    </w:rPr>
  </w:style>
  <w:style w:type="character" w:customStyle="1" w:styleId="480">
    <w:name w:val="Основной текст (48)_"/>
    <w:basedOn w:val="a0"/>
    <w:rsid w:val="00B32F5E"/>
    <w:rPr>
      <w:rFonts w:ascii="Tahoma" w:eastAsia="Tahoma" w:hAnsi="Tahoma" w:cs="Tahoma"/>
      <w:b w:val="0"/>
      <w:bCs w:val="0"/>
      <w:i w:val="0"/>
      <w:iCs w:val="0"/>
      <w:smallCaps w:val="0"/>
      <w:strike w:val="0"/>
      <w:spacing w:val="10"/>
      <w:sz w:val="75"/>
      <w:szCs w:val="75"/>
    </w:rPr>
  </w:style>
  <w:style w:type="character" w:customStyle="1" w:styleId="4365pt">
    <w:name w:val="Основной текст (43) + 6;5 pt;Не полужирный"/>
    <w:basedOn w:val="430"/>
    <w:rsid w:val="00B32F5E"/>
    <w:rPr>
      <w:rFonts w:ascii="Lucida Sans Unicode" w:hAnsi="Lucida Sans Unicode" w:cs="Lucida Sans Unicode"/>
      <w:b/>
      <w:bCs/>
      <w:noProof/>
      <w:sz w:val="13"/>
      <w:szCs w:val="13"/>
      <w:shd w:val="clear" w:color="auto" w:fill="FFFFFF"/>
      <w:lang w:val="en-US" w:eastAsia="en-US"/>
    </w:rPr>
  </w:style>
  <w:style w:type="character" w:customStyle="1" w:styleId="481">
    <w:name w:val="Основной текст (48)"/>
    <w:basedOn w:val="480"/>
    <w:rsid w:val="00B32F5E"/>
    <w:rPr>
      <w:rFonts w:ascii="Tahoma" w:eastAsia="Tahoma" w:hAnsi="Tahoma" w:cs="Tahoma"/>
      <w:b w:val="0"/>
      <w:bCs w:val="0"/>
      <w:i w:val="0"/>
      <w:iCs w:val="0"/>
      <w:smallCaps w:val="0"/>
      <w:strike w:val="0"/>
      <w:spacing w:val="10"/>
      <w:sz w:val="75"/>
      <w:szCs w:val="75"/>
    </w:rPr>
  </w:style>
  <w:style w:type="character" w:customStyle="1" w:styleId="301">
    <w:name w:val="Основной текст (30)_"/>
    <w:basedOn w:val="a0"/>
    <w:link w:val="302"/>
    <w:rsid w:val="00B32F5E"/>
    <w:rPr>
      <w:rFonts w:ascii="Segoe UI" w:eastAsia="Segoe UI" w:hAnsi="Segoe UI" w:cs="Segoe UI"/>
      <w:sz w:val="14"/>
      <w:szCs w:val="14"/>
      <w:shd w:val="clear" w:color="auto" w:fill="FFFFFF"/>
    </w:rPr>
  </w:style>
  <w:style w:type="paragraph" w:customStyle="1" w:styleId="302">
    <w:name w:val="Основной текст (30)"/>
    <w:basedOn w:val="a"/>
    <w:link w:val="301"/>
    <w:rsid w:val="00B32F5E"/>
    <w:pPr>
      <w:shd w:val="clear" w:color="auto" w:fill="FFFFFF"/>
      <w:spacing w:before="180" w:after="60" w:line="0" w:lineRule="atLeast"/>
    </w:pPr>
    <w:rPr>
      <w:rFonts w:ascii="Segoe UI" w:eastAsia="Segoe UI" w:hAnsi="Segoe UI" w:cs="Segoe UI"/>
      <w:sz w:val="14"/>
      <w:szCs w:val="14"/>
      <w:lang w:eastAsia="ru-RU"/>
    </w:rPr>
  </w:style>
  <w:style w:type="character" w:customStyle="1" w:styleId="351">
    <w:name w:val="Основной текст (35)_"/>
    <w:basedOn w:val="a0"/>
    <w:link w:val="350"/>
    <w:rsid w:val="00B32F5E"/>
    <w:rPr>
      <w:rFonts w:ascii="MS Reference Sans Serif" w:hAnsi="MS Reference Sans Serif" w:cs="MS Reference Sans Serif"/>
      <w:spacing w:val="-10"/>
      <w:sz w:val="14"/>
      <w:szCs w:val="14"/>
      <w:shd w:val="clear" w:color="auto" w:fill="FFFFFF"/>
      <w:lang w:eastAsia="en-US"/>
    </w:rPr>
  </w:style>
  <w:style w:type="character" w:customStyle="1" w:styleId="231">
    <w:name w:val="Подпись к картинке (23)_"/>
    <w:basedOn w:val="a0"/>
    <w:link w:val="232"/>
    <w:rsid w:val="00B32F5E"/>
    <w:rPr>
      <w:rFonts w:ascii="Impact" w:eastAsia="Impact" w:hAnsi="Impact" w:cs="Impact"/>
      <w:sz w:val="12"/>
      <w:szCs w:val="12"/>
      <w:shd w:val="clear" w:color="auto" w:fill="FFFFFF"/>
    </w:rPr>
  </w:style>
  <w:style w:type="paragraph" w:customStyle="1" w:styleId="232">
    <w:name w:val="Подпись к картинке (23)"/>
    <w:basedOn w:val="a"/>
    <w:link w:val="231"/>
    <w:rsid w:val="00B32F5E"/>
    <w:pPr>
      <w:shd w:val="clear" w:color="auto" w:fill="FFFFFF"/>
      <w:spacing w:after="0" w:line="178" w:lineRule="exact"/>
    </w:pPr>
    <w:rPr>
      <w:rFonts w:ascii="Impact" w:eastAsia="Impact" w:hAnsi="Impact" w:cs="Impact"/>
      <w:sz w:val="12"/>
      <w:szCs w:val="12"/>
      <w:lang w:eastAsia="ru-RU"/>
    </w:rPr>
  </w:style>
  <w:style w:type="character" w:customStyle="1" w:styleId="65pt">
    <w:name w:val="Подпись к таблице + 6;5 pt;Не полужирный"/>
    <w:basedOn w:val="aff1"/>
    <w:rsid w:val="00B32F5E"/>
    <w:rPr>
      <w:rFonts w:ascii="Segoe UI" w:eastAsia="Segoe UI" w:hAnsi="Segoe UI" w:cs="Segoe UI"/>
      <w:b/>
      <w:bCs/>
      <w:i w:val="0"/>
      <w:iCs w:val="0"/>
      <w:smallCaps w:val="0"/>
      <w:strike w:val="0"/>
      <w:noProof/>
      <w:spacing w:val="0"/>
      <w:sz w:val="13"/>
      <w:szCs w:val="13"/>
      <w:shd w:val="clear" w:color="auto" w:fill="FFFFFF"/>
      <w:lang w:val="en-US" w:eastAsia="en-US"/>
    </w:rPr>
  </w:style>
  <w:style w:type="character" w:customStyle="1" w:styleId="0pt0">
    <w:name w:val="Основной текст + Курсив;Интервал 0 pt"/>
    <w:basedOn w:val="aff"/>
    <w:rsid w:val="00B32F5E"/>
    <w:rPr>
      <w:rFonts w:ascii="Segoe UI" w:eastAsia="Segoe UI" w:hAnsi="Segoe UI" w:cs="Segoe UI"/>
      <w:b w:val="0"/>
      <w:bCs w:val="0"/>
      <w:i/>
      <w:iCs/>
      <w:smallCaps w:val="0"/>
      <w:strike w:val="0"/>
      <w:spacing w:val="-10"/>
      <w:sz w:val="14"/>
      <w:szCs w:val="14"/>
      <w:shd w:val="clear" w:color="auto" w:fill="FFFFFF"/>
    </w:rPr>
  </w:style>
  <w:style w:type="character" w:customStyle="1" w:styleId="149">
    <w:name w:val="Основной текст14"/>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paragraph" w:customStyle="1" w:styleId="184">
    <w:name w:val="Основной текст18"/>
    <w:basedOn w:val="a"/>
    <w:rsid w:val="00B32F5E"/>
    <w:pPr>
      <w:shd w:val="clear" w:color="auto" w:fill="FFFFFF"/>
      <w:spacing w:after="0" w:line="0" w:lineRule="atLeast"/>
    </w:pPr>
    <w:rPr>
      <w:rFonts w:ascii="Segoe UI" w:eastAsia="Segoe UI" w:hAnsi="Segoe UI" w:cs="Segoe UI"/>
      <w:color w:val="000000"/>
      <w:sz w:val="14"/>
      <w:szCs w:val="14"/>
      <w:lang w:val="ru" w:eastAsia="ru-RU"/>
    </w:rPr>
  </w:style>
  <w:style w:type="character" w:customStyle="1" w:styleId="4f4">
    <w:name w:val="Заголовок №4"/>
    <w:basedOn w:val="a0"/>
    <w:rsid w:val="00B32F5E"/>
    <w:rPr>
      <w:rFonts w:ascii="Franklin Gothic Book" w:eastAsia="Franklin Gothic Book" w:hAnsi="Franklin Gothic Book" w:cs="Franklin Gothic Book"/>
      <w:b w:val="0"/>
      <w:bCs w:val="0"/>
      <w:i w:val="0"/>
      <w:iCs w:val="0"/>
      <w:smallCaps w:val="0"/>
      <w:strike w:val="0"/>
      <w:spacing w:val="0"/>
      <w:sz w:val="89"/>
      <w:szCs w:val="89"/>
    </w:rPr>
  </w:style>
  <w:style w:type="character" w:customStyle="1" w:styleId="FranklinGothicBook75pt">
    <w:name w:val="Основной текст + Franklin Gothic Book;7;5 pt;Курсив"/>
    <w:basedOn w:val="aff"/>
    <w:rsid w:val="00B32F5E"/>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paragraph" w:customStyle="1" w:styleId="163">
    <w:name w:val="Основной текст16"/>
    <w:basedOn w:val="a"/>
    <w:rsid w:val="00B32F5E"/>
    <w:pPr>
      <w:shd w:val="clear" w:color="auto" w:fill="FFFFFF"/>
      <w:spacing w:before="2580" w:after="0" w:line="0" w:lineRule="atLeast"/>
    </w:pPr>
    <w:rPr>
      <w:rFonts w:ascii="Arial Unicode MS" w:eastAsia="Arial Unicode MS" w:hAnsi="Arial Unicode MS" w:cs="Arial Unicode MS"/>
      <w:color w:val="000000"/>
      <w:sz w:val="14"/>
      <w:szCs w:val="14"/>
      <w:lang w:val="ru" w:eastAsia="ru-RU"/>
    </w:rPr>
  </w:style>
  <w:style w:type="character" w:customStyle="1" w:styleId="69">
    <w:name w:val="Заголовок №6_"/>
    <w:basedOn w:val="a0"/>
    <w:rsid w:val="00B32F5E"/>
    <w:rPr>
      <w:rFonts w:ascii="Franklin Gothic Book" w:eastAsia="Franklin Gothic Book" w:hAnsi="Franklin Gothic Book" w:cs="Franklin Gothic Book"/>
      <w:b w:val="0"/>
      <w:bCs w:val="0"/>
      <w:i w:val="0"/>
      <w:iCs w:val="0"/>
      <w:smallCaps w:val="0"/>
      <w:strike w:val="0"/>
      <w:spacing w:val="0"/>
      <w:sz w:val="72"/>
      <w:szCs w:val="72"/>
    </w:rPr>
  </w:style>
  <w:style w:type="character" w:customStyle="1" w:styleId="216">
    <w:name w:val="Основной текст (21) + Не полужирный"/>
    <w:basedOn w:val="214"/>
    <w:rsid w:val="00B32F5E"/>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paragraph" w:customStyle="1" w:styleId="224">
    <w:name w:val="Основной текст22"/>
    <w:basedOn w:val="a"/>
    <w:rsid w:val="00B32F5E"/>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affe">
    <w:name w:val="Подпись к картинке + Не полужирный"/>
    <w:basedOn w:val="affa"/>
    <w:rsid w:val="00B32F5E"/>
    <w:rPr>
      <w:rFonts w:ascii="Franklin Gothic Book" w:eastAsia="Franklin Gothic Book" w:hAnsi="Franklin Gothic Book" w:cs="Franklin Gothic Book"/>
      <w:b w:val="0"/>
      <w:bCs w:val="0"/>
      <w:i w:val="0"/>
      <w:iCs w:val="0"/>
      <w:smallCaps w:val="0"/>
      <w:strike w:val="0"/>
      <w:spacing w:val="0"/>
      <w:sz w:val="13"/>
      <w:szCs w:val="13"/>
      <w:shd w:val="clear" w:color="auto" w:fill="FFFFFF"/>
      <w:lang w:eastAsia="en-US"/>
    </w:rPr>
  </w:style>
  <w:style w:type="character" w:customStyle="1" w:styleId="513">
    <w:name w:val="Основной текст (51)_"/>
    <w:basedOn w:val="a0"/>
    <w:rsid w:val="00B32F5E"/>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331">
    <w:name w:val="Основной текст (33)_"/>
    <w:basedOn w:val="a0"/>
    <w:link w:val="330"/>
    <w:rsid w:val="00B32F5E"/>
    <w:rPr>
      <w:rFonts w:ascii="MS Reference Sans Serif" w:hAnsi="MS Reference Sans Serif" w:cs="MS Reference Sans Serif"/>
      <w:i/>
      <w:iCs/>
      <w:spacing w:val="-20"/>
      <w:sz w:val="17"/>
      <w:szCs w:val="17"/>
      <w:shd w:val="clear" w:color="auto" w:fill="FFFFFF"/>
      <w:lang w:eastAsia="en-US"/>
    </w:rPr>
  </w:style>
  <w:style w:type="character" w:customStyle="1" w:styleId="0pt1">
    <w:name w:val="Основной текст + Полужирный;Интервал 0 pt"/>
    <w:basedOn w:val="aff"/>
    <w:rsid w:val="00B32F5E"/>
    <w:rPr>
      <w:rFonts w:ascii="Segoe UI" w:eastAsia="Segoe UI" w:hAnsi="Segoe UI" w:cs="Segoe UI"/>
      <w:b/>
      <w:bCs/>
      <w:i w:val="0"/>
      <w:iCs w:val="0"/>
      <w:smallCaps w:val="0"/>
      <w:strike w:val="0"/>
      <w:spacing w:val="-10"/>
      <w:sz w:val="14"/>
      <w:szCs w:val="14"/>
      <w:shd w:val="clear" w:color="auto" w:fill="FFFFFF"/>
    </w:rPr>
  </w:style>
  <w:style w:type="character" w:customStyle="1" w:styleId="108">
    <w:name w:val="Основной текст (10)_"/>
    <w:basedOn w:val="a0"/>
    <w:link w:val="10a"/>
    <w:rsid w:val="00B32F5E"/>
    <w:rPr>
      <w:rFonts w:ascii="Segoe UI" w:eastAsia="Segoe UI" w:hAnsi="Segoe UI" w:cs="Segoe UI"/>
      <w:sz w:val="12"/>
      <w:szCs w:val="12"/>
      <w:shd w:val="clear" w:color="auto" w:fill="FFFFFF"/>
    </w:rPr>
  </w:style>
  <w:style w:type="paragraph" w:customStyle="1" w:styleId="10a">
    <w:name w:val="Основной текст (10)"/>
    <w:basedOn w:val="a"/>
    <w:link w:val="108"/>
    <w:rsid w:val="00B32F5E"/>
    <w:pPr>
      <w:shd w:val="clear" w:color="auto" w:fill="FFFFFF"/>
      <w:spacing w:after="0" w:line="144" w:lineRule="exact"/>
      <w:ind w:hanging="180"/>
    </w:pPr>
    <w:rPr>
      <w:rFonts w:ascii="Segoe UI" w:eastAsia="Segoe UI" w:hAnsi="Segoe UI" w:cs="Segoe UI"/>
      <w:sz w:val="12"/>
      <w:szCs w:val="12"/>
      <w:lang w:eastAsia="ru-RU"/>
    </w:rPr>
  </w:style>
  <w:style w:type="character" w:customStyle="1" w:styleId="10ArialUnicodeMS">
    <w:name w:val="Основной текст (10) + Arial Unicode MS;Не полужирный"/>
    <w:basedOn w:val="108"/>
    <w:rsid w:val="00B32F5E"/>
    <w:rPr>
      <w:rFonts w:ascii="Arial Unicode MS" w:eastAsia="Arial Unicode MS" w:hAnsi="Arial Unicode MS" w:cs="Arial Unicode MS"/>
      <w:b/>
      <w:bCs/>
      <w:sz w:val="12"/>
      <w:szCs w:val="12"/>
      <w:shd w:val="clear" w:color="auto" w:fill="FFFFFF"/>
    </w:rPr>
  </w:style>
  <w:style w:type="character" w:customStyle="1" w:styleId="623">
    <w:name w:val="Заголовок №6 (2)_"/>
    <w:basedOn w:val="a0"/>
    <w:rsid w:val="00B32F5E"/>
    <w:rPr>
      <w:rFonts w:ascii="Franklin Gothic Book" w:eastAsia="Franklin Gothic Book" w:hAnsi="Franklin Gothic Book" w:cs="Franklin Gothic Book"/>
      <w:b w:val="0"/>
      <w:bCs w:val="0"/>
      <w:i w:val="0"/>
      <w:iCs w:val="0"/>
      <w:smallCaps w:val="0"/>
      <w:strike w:val="0"/>
      <w:spacing w:val="0"/>
      <w:sz w:val="61"/>
      <w:szCs w:val="61"/>
    </w:rPr>
  </w:style>
  <w:style w:type="character" w:customStyle="1" w:styleId="14-1pt">
    <w:name w:val="Подпись к картинке (14) + Интервал -1 pt"/>
    <w:basedOn w:val="146"/>
    <w:rsid w:val="00B32F5E"/>
    <w:rPr>
      <w:rFonts w:ascii="Segoe UI" w:eastAsia="Segoe UI" w:hAnsi="Segoe UI" w:cs="Segoe UI"/>
      <w:b w:val="0"/>
      <w:bCs w:val="0"/>
      <w:i w:val="0"/>
      <w:iCs w:val="0"/>
      <w:smallCaps w:val="0"/>
      <w:strike w:val="0"/>
      <w:spacing w:val="-20"/>
      <w:sz w:val="17"/>
      <w:szCs w:val="17"/>
      <w:shd w:val="clear" w:color="auto" w:fill="FFFFFF"/>
      <w:lang w:val="en-US"/>
    </w:rPr>
  </w:style>
  <w:style w:type="paragraph" w:customStyle="1" w:styleId="521">
    <w:name w:val="Основной текст52"/>
    <w:basedOn w:val="a"/>
    <w:rsid w:val="00B32F5E"/>
    <w:pPr>
      <w:shd w:val="clear" w:color="auto" w:fill="FFFFFF"/>
      <w:spacing w:after="0" w:line="425" w:lineRule="exact"/>
      <w:jc w:val="both"/>
    </w:pPr>
    <w:rPr>
      <w:rFonts w:ascii="Segoe UI" w:eastAsia="Segoe UI" w:hAnsi="Segoe UI" w:cs="Segoe UI"/>
      <w:color w:val="000000"/>
      <w:sz w:val="15"/>
      <w:szCs w:val="15"/>
      <w:lang w:val="ru" w:eastAsia="ru-RU"/>
    </w:rPr>
  </w:style>
  <w:style w:type="character" w:customStyle="1" w:styleId="630">
    <w:name w:val="Основной текст (63)_"/>
    <w:basedOn w:val="a0"/>
    <w:link w:val="631"/>
    <w:rsid w:val="00B32F5E"/>
    <w:rPr>
      <w:rFonts w:ascii="Segoe UI" w:eastAsia="Segoe UI" w:hAnsi="Segoe UI" w:cs="Segoe UI"/>
      <w:sz w:val="15"/>
      <w:szCs w:val="15"/>
      <w:shd w:val="clear" w:color="auto" w:fill="FFFFFF"/>
    </w:rPr>
  </w:style>
  <w:style w:type="paragraph" w:customStyle="1" w:styleId="631">
    <w:name w:val="Основной текст (63)"/>
    <w:basedOn w:val="a"/>
    <w:link w:val="630"/>
    <w:rsid w:val="00B32F5E"/>
    <w:pPr>
      <w:shd w:val="clear" w:color="auto" w:fill="FFFFFF"/>
      <w:spacing w:after="0" w:line="198" w:lineRule="exact"/>
      <w:jc w:val="right"/>
    </w:pPr>
    <w:rPr>
      <w:rFonts w:ascii="Segoe UI" w:eastAsia="Segoe UI" w:hAnsi="Segoe UI" w:cs="Segoe UI"/>
      <w:sz w:val="15"/>
      <w:szCs w:val="15"/>
      <w:lang w:eastAsia="ru-RU"/>
    </w:rPr>
  </w:style>
  <w:style w:type="character" w:customStyle="1" w:styleId="ArialUnicodeMS5pt0pt">
    <w:name w:val="Подпись к картинке + Arial Unicode MS;5 pt;Не полужирный;Интервал 0 pt"/>
    <w:basedOn w:val="affa"/>
    <w:rsid w:val="00B32F5E"/>
    <w:rPr>
      <w:rFonts w:ascii="Arial Unicode MS" w:eastAsia="Arial Unicode MS" w:hAnsi="Arial Unicode MS" w:cs="Arial Unicode MS"/>
      <w:b w:val="0"/>
      <w:bCs w:val="0"/>
      <w:i w:val="0"/>
      <w:iCs w:val="0"/>
      <w:smallCaps w:val="0"/>
      <w:strike w:val="0"/>
      <w:spacing w:val="10"/>
      <w:sz w:val="10"/>
      <w:szCs w:val="10"/>
      <w:shd w:val="clear" w:color="auto" w:fill="FFFFFF"/>
      <w:lang w:eastAsia="en-US"/>
    </w:rPr>
  </w:style>
  <w:style w:type="character" w:customStyle="1" w:styleId="221">
    <w:name w:val="Подпись к картинке (22)_"/>
    <w:basedOn w:val="a0"/>
    <w:link w:val="220"/>
    <w:rsid w:val="00B32F5E"/>
    <w:rPr>
      <w:rFonts w:ascii="MS Reference Sans Serif" w:hAnsi="MS Reference Sans Serif" w:cs="MS Reference Sans Serif"/>
      <w:sz w:val="13"/>
      <w:szCs w:val="13"/>
      <w:shd w:val="clear" w:color="auto" w:fill="FFFFFF"/>
      <w:lang w:eastAsia="en-US"/>
    </w:rPr>
  </w:style>
  <w:style w:type="character" w:customStyle="1" w:styleId="22SegoeUI75pt">
    <w:name w:val="Подпись к картинке (22) + Segoe UI;7;5 pt;Курсив"/>
    <w:basedOn w:val="221"/>
    <w:rsid w:val="00B32F5E"/>
    <w:rPr>
      <w:rFonts w:ascii="Segoe UI" w:eastAsia="Segoe UI" w:hAnsi="Segoe UI" w:cs="Segoe UI"/>
      <w:i/>
      <w:iCs/>
      <w:sz w:val="15"/>
      <w:szCs w:val="15"/>
      <w:shd w:val="clear" w:color="auto" w:fill="FFFFFF"/>
      <w:lang w:val="en-US" w:eastAsia="en-US"/>
    </w:rPr>
  </w:style>
  <w:style w:type="character" w:customStyle="1" w:styleId="20pt">
    <w:name w:val="Основной текст (2) + Интервал 0 pt"/>
    <w:basedOn w:val="2a"/>
    <w:rsid w:val="00B32F5E"/>
    <w:rPr>
      <w:rFonts w:ascii="Segoe UI" w:eastAsia="Segoe UI" w:hAnsi="Segoe UI" w:cs="Segoe UI"/>
      <w:b w:val="0"/>
      <w:bCs w:val="0"/>
      <w:i w:val="0"/>
      <w:iCs w:val="0"/>
      <w:smallCaps w:val="0"/>
      <w:strike w:val="0"/>
      <w:spacing w:val="0"/>
      <w:w w:val="80"/>
      <w:sz w:val="34"/>
      <w:szCs w:val="34"/>
      <w:shd w:val="clear" w:color="auto" w:fill="FFFFFF"/>
      <w:lang w:eastAsia="en-US"/>
    </w:rPr>
  </w:style>
  <w:style w:type="character" w:customStyle="1" w:styleId="292">
    <w:name w:val="Основной текст (29) + Не курсив"/>
    <w:basedOn w:val="a0"/>
    <w:rsid w:val="00B32F5E"/>
    <w:rPr>
      <w:rFonts w:ascii="Segoe UI" w:eastAsia="Segoe UI" w:hAnsi="Segoe UI" w:cs="Segoe UI"/>
      <w:b w:val="0"/>
      <w:bCs w:val="0"/>
      <w:i/>
      <w:iCs/>
      <w:smallCaps w:val="0"/>
      <w:strike w:val="0"/>
      <w:spacing w:val="0"/>
      <w:sz w:val="15"/>
      <w:szCs w:val="15"/>
    </w:rPr>
  </w:style>
  <w:style w:type="paragraph" w:styleId="3d">
    <w:name w:val="toc 3"/>
    <w:basedOn w:val="a"/>
    <w:next w:val="a"/>
    <w:autoRedefine/>
    <w:uiPriority w:val="39"/>
    <w:unhideWhenUsed/>
    <w:rsid w:val="00B32F5E"/>
    <w:pPr>
      <w:spacing w:after="100" w:line="360" w:lineRule="auto"/>
      <w:ind w:left="440"/>
      <w:jc w:val="both"/>
    </w:pPr>
    <w:rPr>
      <w:rFonts w:asciiTheme="minorHAnsi" w:eastAsiaTheme="minorHAnsi" w:hAnsiTheme="minorHAnsi" w:cstheme="minorBidi"/>
    </w:rPr>
  </w:style>
  <w:style w:type="character" w:customStyle="1" w:styleId="2f3">
    <w:name w:val="Оглавление (2)"/>
    <w:basedOn w:val="a0"/>
    <w:rsid w:val="00B32F5E"/>
    <w:rPr>
      <w:rFonts w:ascii="Bookman Old Style" w:eastAsia="Bookman Old Style" w:hAnsi="Bookman Old Style" w:cs="Bookman Old Style"/>
      <w:b w:val="0"/>
      <w:bCs w:val="0"/>
      <w:i w:val="0"/>
      <w:iCs w:val="0"/>
      <w:smallCaps w:val="0"/>
      <w:strike w:val="0"/>
      <w:spacing w:val="0"/>
      <w:sz w:val="12"/>
      <w:szCs w:val="12"/>
    </w:rPr>
  </w:style>
  <w:style w:type="character" w:customStyle="1" w:styleId="afff">
    <w:name w:val="Подпись к картинке + Не полужирный;Курсив"/>
    <w:basedOn w:val="affa"/>
    <w:rsid w:val="00B32F5E"/>
    <w:rPr>
      <w:rFonts w:ascii="Franklin Gothic Book" w:eastAsia="Franklin Gothic Book" w:hAnsi="Franklin Gothic Book" w:cs="Franklin Gothic Book"/>
      <w:b w:val="0"/>
      <w:bCs w:val="0"/>
      <w:i/>
      <w:iCs/>
      <w:smallCaps w:val="0"/>
      <w:strike w:val="0"/>
      <w:spacing w:val="0"/>
      <w:sz w:val="13"/>
      <w:szCs w:val="13"/>
      <w:shd w:val="clear" w:color="auto" w:fill="FFFFFF"/>
      <w:lang w:eastAsia="en-US"/>
    </w:rPr>
  </w:style>
  <w:style w:type="character" w:customStyle="1" w:styleId="345pt">
    <w:name w:val="Основной текст + 34;5 pt;Полужирный"/>
    <w:basedOn w:val="aff"/>
    <w:rsid w:val="00B32F5E"/>
    <w:rPr>
      <w:rFonts w:ascii="Franklin Gothic Book" w:eastAsia="Franklin Gothic Book" w:hAnsi="Franklin Gothic Book" w:cs="Franklin Gothic Book"/>
      <w:b/>
      <w:bCs/>
      <w:i w:val="0"/>
      <w:iCs w:val="0"/>
      <w:smallCaps w:val="0"/>
      <w:strike w:val="0"/>
      <w:spacing w:val="0"/>
      <w:sz w:val="69"/>
      <w:szCs w:val="69"/>
      <w:shd w:val="clear" w:color="auto" w:fill="FFFFFF"/>
    </w:rPr>
  </w:style>
  <w:style w:type="character" w:customStyle="1" w:styleId="670">
    <w:name w:val="Основной текст67"/>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0">
    <w:name w:val="Основной текст68"/>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0">
    <w:name w:val="Основной текст85"/>
    <w:basedOn w:val="a"/>
    <w:rsid w:val="00B32F5E"/>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90">
    <w:name w:val="Основной текст69"/>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0">
    <w:name w:val="Основной текст70"/>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0">
    <w:name w:val="Основной текст71"/>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
    <w:name w:val="Основной текст (3)_"/>
    <w:basedOn w:val="a0"/>
    <w:link w:val="310"/>
    <w:rsid w:val="00B32F5E"/>
    <w:rPr>
      <w:rFonts w:ascii="Times New Roman" w:hAnsi="Times New Roman"/>
      <w:b/>
      <w:bCs/>
      <w:i/>
      <w:iCs/>
      <w:noProof/>
      <w:sz w:val="17"/>
      <w:szCs w:val="17"/>
      <w:shd w:val="clear" w:color="auto" w:fill="FFFFFF"/>
      <w:lang w:val="en-US" w:eastAsia="en-US"/>
    </w:rPr>
  </w:style>
  <w:style w:type="character" w:customStyle="1" w:styleId="381">
    <w:name w:val="Основной текст (38)_"/>
    <w:basedOn w:val="a0"/>
    <w:rsid w:val="00B32F5E"/>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60">
    <w:name w:val="Основной текст66"/>
    <w:basedOn w:val="aff"/>
    <w:rsid w:val="00B32F5E"/>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313pt0pt">
    <w:name w:val="Основной текст (3) + 13 pt;Полужирный;Не курсив;Интервал 0 pt"/>
    <w:basedOn w:val="34"/>
    <w:rsid w:val="00B32F5E"/>
    <w:rPr>
      <w:rFonts w:ascii="Times New Roman" w:hAnsi="Times New Roman"/>
      <w:b w:val="0"/>
      <w:bCs w:val="0"/>
      <w:i w:val="0"/>
      <w:iCs w:val="0"/>
      <w:noProof/>
      <w:color w:val="FFFFFF"/>
      <w:spacing w:val="0"/>
      <w:sz w:val="26"/>
      <w:szCs w:val="26"/>
      <w:shd w:val="clear" w:color="auto" w:fill="FFFFFF"/>
      <w:lang w:val="en-US" w:eastAsia="en-US"/>
    </w:rPr>
  </w:style>
  <w:style w:type="character" w:customStyle="1" w:styleId="382">
    <w:name w:val="Основной текст (38) + Не полужирный"/>
    <w:basedOn w:val="381"/>
    <w:rsid w:val="00B32F5E"/>
    <w:rPr>
      <w:rFonts w:ascii="Franklin Gothic Book" w:eastAsia="Franklin Gothic Book" w:hAnsi="Franklin Gothic Book" w:cs="Franklin Gothic Book"/>
      <w:b/>
      <w:bCs/>
      <w:i w:val="0"/>
      <w:iCs w:val="0"/>
      <w:smallCaps w:val="0"/>
      <w:strike w:val="0"/>
      <w:spacing w:val="0"/>
      <w:sz w:val="13"/>
      <w:szCs w:val="13"/>
    </w:rPr>
  </w:style>
  <w:style w:type="character" w:customStyle="1" w:styleId="720">
    <w:name w:val="Основной текст72"/>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30">
    <w:name w:val="Основной текст73"/>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0">
    <w:name w:val="Основной текст75"/>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
    <w:name w:val="Основной текст76"/>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BookmanOldStyle65pt">
    <w:name w:val="Основной текст + Bookman Old Style;6;5 pt;Курсив"/>
    <w:basedOn w:val="aff"/>
    <w:rsid w:val="00B32F5E"/>
    <w:rPr>
      <w:rFonts w:ascii="Bookman Old Style" w:eastAsia="Bookman Old Style" w:hAnsi="Bookman Old Style" w:cs="Bookman Old Style"/>
      <w:b w:val="0"/>
      <w:bCs w:val="0"/>
      <w:i/>
      <w:iCs/>
      <w:smallCaps w:val="0"/>
      <w:strike w:val="0"/>
      <w:color w:val="FFFFFF"/>
      <w:spacing w:val="0"/>
      <w:sz w:val="13"/>
      <w:szCs w:val="13"/>
      <w:shd w:val="clear" w:color="auto" w:fill="FFFFFF"/>
    </w:rPr>
  </w:style>
  <w:style w:type="character" w:customStyle="1" w:styleId="740">
    <w:name w:val="Основной текст74"/>
    <w:basedOn w:val="aff"/>
    <w:rsid w:val="00B32F5E"/>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19pt-2pt">
    <w:name w:val="Основной текст (6) + 19 pt;Не полужирный;Курсив;Интервал -2 pt"/>
    <w:basedOn w:val="67"/>
    <w:rsid w:val="00B32F5E"/>
    <w:rPr>
      <w:rFonts w:ascii="Franklin Gothic Book" w:eastAsia="Franklin Gothic Book" w:hAnsi="Franklin Gothic Book" w:cs="Franklin Gothic Book"/>
      <w:b/>
      <w:bCs/>
      <w:i/>
      <w:iCs/>
      <w:smallCaps w:val="0"/>
      <w:strike w:val="0"/>
      <w:color w:val="FFFFFF"/>
      <w:spacing w:val="-40"/>
      <w:sz w:val="38"/>
      <w:szCs w:val="38"/>
      <w:shd w:val="clear" w:color="auto" w:fill="FFFFFF"/>
      <w:lang w:val="en-US" w:eastAsia="ru-RU"/>
    </w:rPr>
  </w:style>
  <w:style w:type="character" w:customStyle="1" w:styleId="77">
    <w:name w:val="Основной текст77"/>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7">
    <w:name w:val="Заголовок №8_"/>
    <w:basedOn w:val="a0"/>
    <w:rsid w:val="00B32F5E"/>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78">
    <w:name w:val="Основной текст78"/>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8">
    <w:name w:val="Заголовок №8"/>
    <w:basedOn w:val="87"/>
    <w:rsid w:val="00B32F5E"/>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821pt">
    <w:name w:val="Заголовок №8 + 21 pt"/>
    <w:basedOn w:val="87"/>
    <w:rsid w:val="00B32F5E"/>
    <w:rPr>
      <w:rFonts w:ascii="Franklin Gothic Book" w:eastAsia="Franklin Gothic Book" w:hAnsi="Franklin Gothic Book" w:cs="Franklin Gothic Book"/>
      <w:b w:val="0"/>
      <w:bCs w:val="0"/>
      <w:i w:val="0"/>
      <w:iCs w:val="0"/>
      <w:smallCaps w:val="0"/>
      <w:strike w:val="0"/>
      <w:spacing w:val="0"/>
      <w:sz w:val="42"/>
      <w:szCs w:val="42"/>
    </w:rPr>
  </w:style>
  <w:style w:type="character" w:customStyle="1" w:styleId="522">
    <w:name w:val="Основной текст (52)_"/>
    <w:basedOn w:val="a0"/>
    <w:rsid w:val="00B32F5E"/>
    <w:rPr>
      <w:rFonts w:ascii="Arial Narrow" w:eastAsia="Arial Narrow" w:hAnsi="Arial Narrow" w:cs="Arial Narrow"/>
      <w:b w:val="0"/>
      <w:bCs w:val="0"/>
      <w:i w:val="0"/>
      <w:iCs w:val="0"/>
      <w:smallCaps w:val="0"/>
      <w:strike w:val="0"/>
      <w:spacing w:val="0"/>
      <w:sz w:val="67"/>
      <w:szCs w:val="67"/>
    </w:rPr>
  </w:style>
  <w:style w:type="character" w:customStyle="1" w:styleId="517pt">
    <w:name w:val="Основной текст (51) + 7 pt;Не полужирный"/>
    <w:basedOn w:val="513"/>
    <w:rsid w:val="00B32F5E"/>
    <w:rPr>
      <w:rFonts w:ascii="Segoe UI" w:eastAsia="Segoe UI" w:hAnsi="Segoe UI" w:cs="Segoe UI"/>
      <w:b/>
      <w:bCs/>
      <w:i w:val="0"/>
      <w:iCs w:val="0"/>
      <w:smallCaps w:val="0"/>
      <w:strike w:val="0"/>
      <w:spacing w:val="0"/>
      <w:sz w:val="14"/>
      <w:szCs w:val="14"/>
    </w:rPr>
  </w:style>
  <w:style w:type="character" w:customStyle="1" w:styleId="79">
    <w:name w:val="Основной текст79"/>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800">
    <w:name w:val="Основной текст80"/>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811">
    <w:name w:val="Основной текст81"/>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0">
    <w:name w:val="Основной текст108"/>
    <w:basedOn w:val="a"/>
    <w:rsid w:val="00B32F5E"/>
    <w:pPr>
      <w:shd w:val="clear" w:color="auto" w:fill="FFFFFF"/>
      <w:spacing w:after="300" w:line="0" w:lineRule="atLeast"/>
      <w:ind w:hanging="880"/>
    </w:pPr>
    <w:rPr>
      <w:rFonts w:ascii="Segoe UI" w:eastAsia="Segoe UI" w:hAnsi="Segoe UI" w:cs="Segoe UI"/>
      <w:color w:val="000000"/>
      <w:sz w:val="14"/>
      <w:szCs w:val="14"/>
      <w:lang w:val="ru" w:eastAsia="ru-RU"/>
    </w:rPr>
  </w:style>
  <w:style w:type="character" w:customStyle="1" w:styleId="440">
    <w:name w:val="Основной текст (44)_"/>
    <w:basedOn w:val="a0"/>
    <w:rsid w:val="00B32F5E"/>
    <w:rPr>
      <w:rFonts w:ascii="Segoe UI" w:eastAsia="Segoe UI" w:hAnsi="Segoe UI" w:cs="Segoe UI"/>
      <w:b w:val="0"/>
      <w:bCs w:val="0"/>
      <w:i w:val="0"/>
      <w:iCs w:val="0"/>
      <w:smallCaps w:val="0"/>
      <w:strike w:val="0"/>
      <w:spacing w:val="0"/>
      <w:sz w:val="14"/>
      <w:szCs w:val="14"/>
    </w:rPr>
  </w:style>
  <w:style w:type="character" w:customStyle="1" w:styleId="820">
    <w:name w:val="Основной текст82"/>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1">
    <w:name w:val="Основной текст (44) + Не курсив"/>
    <w:basedOn w:val="440"/>
    <w:rsid w:val="00B32F5E"/>
    <w:rPr>
      <w:rFonts w:ascii="Segoe UI" w:eastAsia="Segoe UI" w:hAnsi="Segoe UI" w:cs="Segoe UI"/>
      <w:b w:val="0"/>
      <w:bCs w:val="0"/>
      <w:i/>
      <w:iCs/>
      <w:smallCaps w:val="0"/>
      <w:strike w:val="0"/>
      <w:spacing w:val="0"/>
      <w:sz w:val="14"/>
      <w:szCs w:val="14"/>
    </w:rPr>
  </w:style>
  <w:style w:type="character" w:customStyle="1" w:styleId="TimesNewRoman">
    <w:name w:val="Основной текст + Times New Roman;Курсив"/>
    <w:basedOn w:val="aff"/>
    <w:rsid w:val="00B32F5E"/>
    <w:rPr>
      <w:rFonts w:ascii="Times New Roman" w:eastAsia="Times New Roman" w:hAnsi="Times New Roman" w:cs="Times New Roman"/>
      <w:b w:val="0"/>
      <w:bCs w:val="0"/>
      <w:i/>
      <w:iCs/>
      <w:smallCaps w:val="0"/>
      <w:strike w:val="0"/>
      <w:spacing w:val="0"/>
      <w:sz w:val="14"/>
      <w:szCs w:val="14"/>
      <w:shd w:val="clear" w:color="auto" w:fill="FFFFFF"/>
    </w:rPr>
  </w:style>
  <w:style w:type="character" w:customStyle="1" w:styleId="830">
    <w:name w:val="Основной текст83"/>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0">
    <w:name w:val="Основной текст84"/>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4pt0">
    <w:name w:val="Основной текст + 4 pt"/>
    <w:basedOn w:val="aff"/>
    <w:rsid w:val="00B32F5E"/>
    <w:rPr>
      <w:rFonts w:ascii="Segoe UI" w:eastAsia="Segoe UI" w:hAnsi="Segoe UI" w:cs="Segoe UI"/>
      <w:b w:val="0"/>
      <w:bCs w:val="0"/>
      <w:i w:val="0"/>
      <w:iCs w:val="0"/>
      <w:smallCaps w:val="0"/>
      <w:strike w:val="0"/>
      <w:spacing w:val="0"/>
      <w:sz w:val="8"/>
      <w:szCs w:val="8"/>
      <w:shd w:val="clear" w:color="auto" w:fill="FFFFFF"/>
    </w:rPr>
  </w:style>
  <w:style w:type="character" w:customStyle="1" w:styleId="14a">
    <w:name w:val="Подпись к картинке (14) + Полужирный;Не курсив"/>
    <w:basedOn w:val="146"/>
    <w:rsid w:val="00B32F5E"/>
    <w:rPr>
      <w:rFonts w:ascii="Segoe UI" w:eastAsia="Segoe UI" w:hAnsi="Segoe UI" w:cs="Segoe UI"/>
      <w:b/>
      <w:bCs/>
      <w:i/>
      <w:iCs/>
      <w:smallCaps w:val="0"/>
      <w:strike w:val="0"/>
      <w:spacing w:val="0"/>
      <w:sz w:val="12"/>
      <w:szCs w:val="12"/>
      <w:shd w:val="clear" w:color="auto" w:fill="FFFFFF"/>
    </w:rPr>
  </w:style>
  <w:style w:type="character" w:customStyle="1" w:styleId="860">
    <w:name w:val="Основной текст86"/>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0">
    <w:name w:val="Основной текст87"/>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0">
    <w:name w:val="Основной текст88"/>
    <w:basedOn w:val="aff"/>
    <w:rsid w:val="00B32F5E"/>
    <w:rPr>
      <w:rFonts w:ascii="Segoe UI" w:eastAsia="Segoe UI" w:hAnsi="Segoe UI" w:cs="Segoe UI"/>
      <w:b w:val="0"/>
      <w:bCs w:val="0"/>
      <w:i w:val="0"/>
      <w:iCs w:val="0"/>
      <w:smallCaps w:val="0"/>
      <w:strike w:val="0"/>
      <w:spacing w:val="0"/>
      <w:sz w:val="14"/>
      <w:szCs w:val="14"/>
      <w:u w:val="single"/>
      <w:shd w:val="clear" w:color="auto" w:fill="FFFFFF"/>
    </w:rPr>
  </w:style>
  <w:style w:type="character" w:customStyle="1" w:styleId="681">
    <w:name w:val="Основной текст (68)_"/>
    <w:basedOn w:val="a0"/>
    <w:rsid w:val="00B32F5E"/>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6865pt">
    <w:name w:val="Основной текст (68) + 6;5 pt;Полужирный"/>
    <w:basedOn w:val="681"/>
    <w:rsid w:val="00B32F5E"/>
    <w:rPr>
      <w:rFonts w:ascii="Franklin Gothic Book" w:eastAsia="Franklin Gothic Book" w:hAnsi="Franklin Gothic Book" w:cs="Franklin Gothic Book"/>
      <w:b/>
      <w:bCs/>
      <w:i w:val="0"/>
      <w:iCs w:val="0"/>
      <w:smallCaps w:val="0"/>
      <w:strike w:val="0"/>
      <w:spacing w:val="0"/>
      <w:sz w:val="13"/>
      <w:szCs w:val="13"/>
    </w:rPr>
  </w:style>
  <w:style w:type="character" w:customStyle="1" w:styleId="682">
    <w:name w:val="Основной текст (68)"/>
    <w:basedOn w:val="681"/>
    <w:rsid w:val="00B32F5E"/>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7a">
    <w:name w:val="Заголовок №7_"/>
    <w:basedOn w:val="a0"/>
    <w:link w:val="7b"/>
    <w:rsid w:val="00B32F5E"/>
    <w:rPr>
      <w:rFonts w:ascii="Franklin Gothic Book" w:eastAsia="Franklin Gothic Book" w:hAnsi="Franklin Gothic Book" w:cs="Franklin Gothic Book"/>
      <w:spacing w:val="-50"/>
      <w:sz w:val="78"/>
      <w:szCs w:val="78"/>
      <w:shd w:val="clear" w:color="auto" w:fill="FFFFFF"/>
    </w:rPr>
  </w:style>
  <w:style w:type="paragraph" w:customStyle="1" w:styleId="7b">
    <w:name w:val="Заголовок №7"/>
    <w:basedOn w:val="a"/>
    <w:link w:val="7a"/>
    <w:rsid w:val="00B32F5E"/>
    <w:pPr>
      <w:shd w:val="clear" w:color="auto" w:fill="FFFFFF"/>
      <w:spacing w:before="240" w:after="240" w:line="0" w:lineRule="atLeast"/>
      <w:jc w:val="both"/>
      <w:outlineLvl w:val="6"/>
    </w:pPr>
    <w:rPr>
      <w:rFonts w:ascii="Franklin Gothic Book" w:eastAsia="Franklin Gothic Book" w:hAnsi="Franklin Gothic Book" w:cs="Franklin Gothic Book"/>
      <w:spacing w:val="-50"/>
      <w:sz w:val="78"/>
      <w:szCs w:val="78"/>
      <w:lang w:eastAsia="ru-RU"/>
    </w:rPr>
  </w:style>
  <w:style w:type="character" w:customStyle="1" w:styleId="70pt0">
    <w:name w:val="Заголовок №7 + Интервал 0 pt"/>
    <w:basedOn w:val="7a"/>
    <w:rsid w:val="00B32F5E"/>
    <w:rPr>
      <w:rFonts w:ascii="Franklin Gothic Book" w:eastAsia="Franklin Gothic Book" w:hAnsi="Franklin Gothic Book" w:cs="Franklin Gothic Book"/>
      <w:spacing w:val="-10"/>
      <w:sz w:val="78"/>
      <w:szCs w:val="78"/>
      <w:shd w:val="clear" w:color="auto" w:fill="FFFFFF"/>
    </w:rPr>
  </w:style>
  <w:style w:type="character" w:customStyle="1" w:styleId="550">
    <w:name w:val="Основной текст (55)_"/>
    <w:basedOn w:val="a0"/>
    <w:rsid w:val="00B32F5E"/>
    <w:rPr>
      <w:rFonts w:ascii="Franklin Gothic Book" w:eastAsia="Franklin Gothic Book" w:hAnsi="Franklin Gothic Book" w:cs="Franklin Gothic Book"/>
      <w:b w:val="0"/>
      <w:bCs w:val="0"/>
      <w:i w:val="0"/>
      <w:iCs w:val="0"/>
      <w:smallCaps w:val="0"/>
      <w:strike w:val="0"/>
      <w:spacing w:val="0"/>
      <w:sz w:val="18"/>
      <w:szCs w:val="18"/>
    </w:rPr>
  </w:style>
  <w:style w:type="character" w:customStyle="1" w:styleId="921">
    <w:name w:val="Основной текст92"/>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
    <w:name w:val="Основной текст116"/>
    <w:basedOn w:val="a"/>
    <w:rsid w:val="00B32F5E"/>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30">
    <w:name w:val="Основной текст93"/>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40">
    <w:name w:val="Основной текст94"/>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50">
    <w:name w:val="Основной текст95"/>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1">
    <w:name w:val="Основной текст (69)_"/>
    <w:basedOn w:val="a0"/>
    <w:rsid w:val="00B32F5E"/>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692">
    <w:name w:val="Основной текст (69)"/>
    <w:basedOn w:val="691"/>
    <w:rsid w:val="00B32F5E"/>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96">
    <w:name w:val="Основной текст96"/>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1">
    <w:name w:val="Основной текст (71)_"/>
    <w:basedOn w:val="a0"/>
    <w:rsid w:val="00B32F5E"/>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12">
    <w:name w:val="Основной текст (71)"/>
    <w:basedOn w:val="711"/>
    <w:rsid w:val="00B32F5E"/>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01">
    <w:name w:val="Основной текст (70)_"/>
    <w:basedOn w:val="a0"/>
    <w:rsid w:val="00B32F5E"/>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702">
    <w:name w:val="Основной текст (70)"/>
    <w:basedOn w:val="701"/>
    <w:rsid w:val="00B32F5E"/>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97">
    <w:name w:val="Основной текст97"/>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8">
    <w:name w:val="Основной текст98"/>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9">
    <w:name w:val="Основной текст99"/>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27pt">
    <w:name w:val="Основной текст (52) + 7 pt;Не полужирный"/>
    <w:basedOn w:val="522"/>
    <w:rsid w:val="00B32F5E"/>
    <w:rPr>
      <w:rFonts w:ascii="Franklin Gothic Book" w:eastAsia="Franklin Gothic Book" w:hAnsi="Franklin Gothic Book" w:cs="Franklin Gothic Book"/>
      <w:b/>
      <w:bCs/>
      <w:i w:val="0"/>
      <w:iCs w:val="0"/>
      <w:smallCaps w:val="0"/>
      <w:strike w:val="0"/>
      <w:spacing w:val="0"/>
      <w:sz w:val="14"/>
      <w:szCs w:val="14"/>
    </w:rPr>
  </w:style>
  <w:style w:type="character" w:customStyle="1" w:styleId="731">
    <w:name w:val="Основной текст (73)_"/>
    <w:basedOn w:val="a0"/>
    <w:rsid w:val="00B32F5E"/>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73-3pt">
    <w:name w:val="Основной текст (73) + Интервал -3 pt"/>
    <w:basedOn w:val="731"/>
    <w:rsid w:val="00B32F5E"/>
    <w:rPr>
      <w:rFonts w:ascii="Franklin Gothic Book" w:eastAsia="Franklin Gothic Book" w:hAnsi="Franklin Gothic Book" w:cs="Franklin Gothic Book"/>
      <w:b w:val="0"/>
      <w:bCs w:val="0"/>
      <w:i w:val="0"/>
      <w:iCs w:val="0"/>
      <w:smallCaps w:val="0"/>
      <w:strike w:val="0"/>
      <w:spacing w:val="-70"/>
      <w:sz w:val="95"/>
      <w:szCs w:val="95"/>
    </w:rPr>
  </w:style>
  <w:style w:type="character" w:customStyle="1" w:styleId="732">
    <w:name w:val="Основной текст (73)"/>
    <w:basedOn w:val="731"/>
    <w:rsid w:val="00B32F5E"/>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1000">
    <w:name w:val="Основной текст100"/>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1">
    <w:name w:val="Основной текст101"/>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2">
    <w:name w:val="Основной текст (48) + Не курсив"/>
    <w:basedOn w:val="480"/>
    <w:rsid w:val="00B32F5E"/>
    <w:rPr>
      <w:rFonts w:ascii="Franklin Gothic Book" w:eastAsia="Franklin Gothic Book" w:hAnsi="Franklin Gothic Book" w:cs="Franklin Gothic Book"/>
      <w:b w:val="0"/>
      <w:bCs w:val="0"/>
      <w:i/>
      <w:iCs/>
      <w:smallCaps w:val="0"/>
      <w:strike w:val="0"/>
      <w:spacing w:val="0"/>
      <w:sz w:val="15"/>
      <w:szCs w:val="15"/>
    </w:rPr>
  </w:style>
  <w:style w:type="character" w:customStyle="1" w:styleId="481pt">
    <w:name w:val="Основной текст (48) + Интервал 1 pt"/>
    <w:basedOn w:val="480"/>
    <w:rsid w:val="00B32F5E"/>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22">
    <w:name w:val="Основной текст102"/>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2">
    <w:name w:val="Основной текст103"/>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90">
    <w:name w:val="Основной текст109"/>
    <w:basedOn w:val="aff"/>
    <w:rsid w:val="00B32F5E"/>
    <w:rPr>
      <w:rFonts w:ascii="Franklin Gothic Book" w:eastAsia="Franklin Gothic Book" w:hAnsi="Franklin Gothic Book" w:cs="Franklin Gothic Book"/>
      <w:b w:val="0"/>
      <w:bCs w:val="0"/>
      <w:i w:val="0"/>
      <w:iCs w:val="0"/>
      <w:smallCaps w:val="0"/>
      <w:strike w:val="0"/>
      <w:spacing w:val="0"/>
      <w:sz w:val="15"/>
      <w:szCs w:val="15"/>
      <w:u w:val="single"/>
      <w:shd w:val="clear" w:color="auto" w:fill="FFFFFF"/>
    </w:rPr>
  </w:style>
  <w:style w:type="character" w:customStyle="1" w:styleId="391">
    <w:name w:val="Основной текст (39)_"/>
    <w:basedOn w:val="a0"/>
    <w:rsid w:val="00B32F5E"/>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32">
    <w:name w:val="Основной текст63"/>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2">
    <w:name w:val="Основной текст64"/>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2">
    <w:name w:val="Основной текст65"/>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60">
    <w:name w:val="Основной текст (46)_"/>
    <w:basedOn w:val="a0"/>
    <w:rsid w:val="00B32F5E"/>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392">
    <w:name w:val="Основной текст (39) + Не полужирный"/>
    <w:basedOn w:val="391"/>
    <w:rsid w:val="00B32F5E"/>
    <w:rPr>
      <w:rFonts w:ascii="Franklin Gothic Book" w:eastAsia="Franklin Gothic Book" w:hAnsi="Franklin Gothic Book" w:cs="Franklin Gothic Book"/>
      <w:b/>
      <w:bCs/>
      <w:i w:val="0"/>
      <w:iCs w:val="0"/>
      <w:smallCaps w:val="0"/>
      <w:strike w:val="0"/>
      <w:spacing w:val="0"/>
      <w:sz w:val="13"/>
      <w:szCs w:val="13"/>
    </w:rPr>
  </w:style>
  <w:style w:type="character" w:customStyle="1" w:styleId="461">
    <w:name w:val="Основной текст (46)"/>
    <w:basedOn w:val="460"/>
    <w:rsid w:val="00B32F5E"/>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10b">
    <w:name w:val="Основной текст (10) + Не курсив"/>
    <w:basedOn w:val="108"/>
    <w:rsid w:val="00B32F5E"/>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1ArialNarrow4pt">
    <w:name w:val="Основной текст (61) + Arial Narrow;4 pt"/>
    <w:basedOn w:val="610"/>
    <w:rsid w:val="00B32F5E"/>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61FranklinGothicBook9pt">
    <w:name w:val="Основной текст (61) + Franklin Gothic Book;9 pt;Полужирный;Не малые прописные"/>
    <w:basedOn w:val="610"/>
    <w:rsid w:val="00B32F5E"/>
    <w:rPr>
      <w:rFonts w:ascii="Franklin Gothic Book" w:eastAsia="Franklin Gothic Book" w:hAnsi="Franklin Gothic Book" w:cs="Franklin Gothic Book"/>
      <w:b/>
      <w:bCs/>
      <w:i w:val="0"/>
      <w:iCs w:val="0"/>
      <w:smallCaps/>
      <w:strike w:val="0"/>
      <w:spacing w:val="0"/>
      <w:w w:val="100"/>
      <w:sz w:val="18"/>
      <w:szCs w:val="18"/>
      <w:shd w:val="clear" w:color="auto" w:fill="FFFFFF"/>
    </w:rPr>
  </w:style>
  <w:style w:type="character" w:customStyle="1" w:styleId="58ArialNarrow55pt">
    <w:name w:val="Основной текст (58) + Arial Narrow;5;5 pt;Не полужирный;Малые прописные"/>
    <w:basedOn w:val="581"/>
    <w:rsid w:val="00B32F5E"/>
    <w:rPr>
      <w:rFonts w:ascii="Arial Narrow" w:eastAsia="Arial Narrow" w:hAnsi="Arial Narrow" w:cs="Arial Narrow"/>
      <w:b/>
      <w:bCs/>
      <w:i w:val="0"/>
      <w:iCs w:val="0"/>
      <w:smallCaps/>
      <w:strike w:val="0"/>
      <w:spacing w:val="0"/>
      <w:w w:val="100"/>
      <w:sz w:val="11"/>
      <w:szCs w:val="11"/>
      <w:shd w:val="clear" w:color="auto" w:fill="FFFFFF"/>
      <w:lang w:eastAsia="en-US"/>
    </w:rPr>
  </w:style>
  <w:style w:type="character" w:customStyle="1" w:styleId="58Impact5pt">
    <w:name w:val="Основной текст (58) + Impact;5 pt;Не полужирный;Малые прописные"/>
    <w:basedOn w:val="581"/>
    <w:rsid w:val="00B32F5E"/>
    <w:rPr>
      <w:rFonts w:ascii="Impact" w:eastAsia="Impact" w:hAnsi="Impact" w:cs="Impact"/>
      <w:b/>
      <w:bCs/>
      <w:i w:val="0"/>
      <w:iCs w:val="0"/>
      <w:smallCaps/>
      <w:strike w:val="0"/>
      <w:spacing w:val="0"/>
      <w:w w:val="100"/>
      <w:sz w:val="10"/>
      <w:szCs w:val="10"/>
      <w:shd w:val="clear" w:color="auto" w:fill="FFFFFF"/>
      <w:lang w:eastAsia="en-US"/>
    </w:rPr>
  </w:style>
  <w:style w:type="character" w:customStyle="1" w:styleId="2f4">
    <w:name w:val="Заголовок №2_"/>
    <w:basedOn w:val="a0"/>
    <w:rsid w:val="00B32F5E"/>
    <w:rPr>
      <w:rFonts w:ascii="Tahoma" w:eastAsia="Tahoma" w:hAnsi="Tahoma" w:cs="Tahoma"/>
      <w:b w:val="0"/>
      <w:bCs w:val="0"/>
      <w:i w:val="0"/>
      <w:iCs w:val="0"/>
      <w:smallCaps w:val="0"/>
      <w:strike w:val="0"/>
      <w:spacing w:val="0"/>
      <w:sz w:val="18"/>
      <w:szCs w:val="18"/>
    </w:rPr>
  </w:style>
  <w:style w:type="paragraph" w:customStyle="1" w:styleId="9a">
    <w:name w:val="Основной текст9"/>
    <w:basedOn w:val="a"/>
    <w:rsid w:val="00B32F5E"/>
    <w:pPr>
      <w:shd w:val="clear" w:color="auto" w:fill="FFFFFF"/>
      <w:spacing w:before="180" w:after="0" w:line="221" w:lineRule="exact"/>
      <w:jc w:val="both"/>
    </w:pPr>
    <w:rPr>
      <w:rFonts w:ascii="Franklin Gothic Book" w:eastAsia="Franklin Gothic Book" w:hAnsi="Franklin Gothic Book" w:cs="Franklin Gothic Book"/>
      <w:color w:val="000000"/>
      <w:w w:val="80"/>
      <w:sz w:val="19"/>
      <w:szCs w:val="19"/>
      <w:lang w:val="ru" w:eastAsia="ru-RU"/>
    </w:rPr>
  </w:style>
  <w:style w:type="character" w:customStyle="1" w:styleId="3e">
    <w:name w:val="Основной текст (3) + Не курсив"/>
    <w:basedOn w:val="34"/>
    <w:rsid w:val="00B32F5E"/>
    <w:rPr>
      <w:rFonts w:ascii="Times New Roman" w:hAnsi="Times New Roman"/>
      <w:b/>
      <w:bCs/>
      <w:i w:val="0"/>
      <w:iCs w:val="0"/>
      <w:noProof/>
      <w:spacing w:val="0"/>
      <w:w w:val="80"/>
      <w:sz w:val="19"/>
      <w:szCs w:val="19"/>
      <w:shd w:val="clear" w:color="auto" w:fill="FFFFFF"/>
      <w:lang w:val="en-US" w:eastAsia="en-US"/>
    </w:rPr>
  </w:style>
  <w:style w:type="character" w:customStyle="1" w:styleId="375">
    <w:name w:val="Основной текст (3) + Не курсив;Масштаб 75%"/>
    <w:basedOn w:val="34"/>
    <w:rsid w:val="00B32F5E"/>
    <w:rPr>
      <w:rFonts w:ascii="Times New Roman" w:hAnsi="Times New Roman"/>
      <w:b/>
      <w:bCs/>
      <w:i w:val="0"/>
      <w:iCs w:val="0"/>
      <w:noProof/>
      <w:spacing w:val="0"/>
      <w:w w:val="75"/>
      <w:sz w:val="19"/>
      <w:szCs w:val="19"/>
      <w:shd w:val="clear" w:color="auto" w:fill="FFFFFF"/>
      <w:lang w:val="en-US" w:eastAsia="en-US"/>
    </w:rPr>
  </w:style>
  <w:style w:type="character" w:customStyle="1" w:styleId="5800">
    <w:name w:val="Основной текст (5) + Курсив;Масштаб 80%"/>
    <w:basedOn w:val="5a"/>
    <w:rsid w:val="00B32F5E"/>
    <w:rPr>
      <w:rFonts w:ascii="Franklin Gothic Book" w:eastAsia="Franklin Gothic Book" w:hAnsi="Franklin Gothic Book" w:cs="Franklin Gothic Book"/>
      <w:b w:val="0"/>
      <w:bCs w:val="0"/>
      <w:i/>
      <w:iCs/>
      <w:smallCaps w:val="0"/>
      <w:strike w:val="0"/>
      <w:spacing w:val="0"/>
      <w:w w:val="80"/>
      <w:sz w:val="19"/>
      <w:szCs w:val="19"/>
      <w:shd w:val="clear" w:color="auto" w:fill="FFFFFF"/>
    </w:rPr>
  </w:style>
  <w:style w:type="character" w:customStyle="1" w:styleId="5e">
    <w:name w:val="Основной текст5"/>
    <w:basedOn w:val="aff"/>
    <w:rsid w:val="00B32F5E"/>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6a">
    <w:name w:val="Основной текст6"/>
    <w:basedOn w:val="aff"/>
    <w:rsid w:val="00B32F5E"/>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801">
    <w:name w:val="Основной текст + Курсив;Масштаб 80%"/>
    <w:basedOn w:val="aff"/>
    <w:rsid w:val="00B32F5E"/>
    <w:rPr>
      <w:rFonts w:ascii="Segoe UI" w:eastAsia="Segoe UI" w:hAnsi="Segoe UI" w:cs="Segoe UI"/>
      <w:b w:val="0"/>
      <w:bCs w:val="0"/>
      <w:i/>
      <w:iCs/>
      <w:smallCaps w:val="0"/>
      <w:strike w:val="0"/>
      <w:spacing w:val="0"/>
      <w:w w:val="80"/>
      <w:sz w:val="18"/>
      <w:szCs w:val="18"/>
      <w:shd w:val="clear" w:color="auto" w:fill="FFFFFF"/>
    </w:rPr>
  </w:style>
  <w:style w:type="paragraph" w:customStyle="1" w:styleId="115">
    <w:name w:val="Основной текст11"/>
    <w:basedOn w:val="a"/>
    <w:rsid w:val="00B32F5E"/>
    <w:pPr>
      <w:shd w:val="clear" w:color="auto" w:fill="FFFFFF"/>
      <w:spacing w:before="120" w:after="0" w:line="219" w:lineRule="exact"/>
      <w:jc w:val="both"/>
    </w:pPr>
    <w:rPr>
      <w:rFonts w:ascii="Segoe UI" w:eastAsia="Segoe UI" w:hAnsi="Segoe UI" w:cs="Segoe UI"/>
      <w:color w:val="000000"/>
      <w:w w:val="75"/>
      <w:sz w:val="18"/>
      <w:szCs w:val="18"/>
      <w:lang w:val="ru" w:eastAsia="ru-RU"/>
    </w:rPr>
  </w:style>
  <w:style w:type="character" w:customStyle="1" w:styleId="2750">
    <w:name w:val="Основной текст (2) + Не курсив;Масштаб 75%"/>
    <w:basedOn w:val="2a"/>
    <w:rsid w:val="00B32F5E"/>
    <w:rPr>
      <w:rFonts w:ascii="Segoe UI" w:eastAsia="Segoe UI" w:hAnsi="Segoe UI" w:cs="Segoe UI"/>
      <w:b w:val="0"/>
      <w:bCs w:val="0"/>
      <w:i/>
      <w:iCs/>
      <w:smallCaps w:val="0"/>
      <w:strike w:val="0"/>
      <w:spacing w:val="0"/>
      <w:w w:val="75"/>
      <w:sz w:val="18"/>
      <w:szCs w:val="18"/>
      <w:shd w:val="clear" w:color="auto" w:fill="FFFFFF"/>
      <w:lang w:eastAsia="en-US"/>
    </w:rPr>
  </w:style>
  <w:style w:type="character" w:customStyle="1" w:styleId="FranklinGothicBook75pt100">
    <w:name w:val="Основной текст + Franklin Gothic Book;7;5 pt;Полужирный;Масштаб 100%"/>
    <w:basedOn w:val="aff"/>
    <w:rsid w:val="00B32F5E"/>
    <w:rPr>
      <w:rFonts w:ascii="Franklin Gothic Book" w:eastAsia="Franklin Gothic Book" w:hAnsi="Franklin Gothic Book" w:cs="Franklin Gothic Book"/>
      <w:b/>
      <w:bCs/>
      <w:i w:val="0"/>
      <w:iCs w:val="0"/>
      <w:smallCaps w:val="0"/>
      <w:strike w:val="0"/>
      <w:spacing w:val="0"/>
      <w:w w:val="100"/>
      <w:sz w:val="15"/>
      <w:szCs w:val="15"/>
      <w:shd w:val="clear" w:color="auto" w:fill="FFFFFF"/>
    </w:rPr>
  </w:style>
  <w:style w:type="character" w:customStyle="1" w:styleId="3f">
    <w:name w:val="Подпись к картинке (3) + Полужирный"/>
    <w:basedOn w:val="38"/>
    <w:rsid w:val="00B32F5E"/>
    <w:rPr>
      <w:rFonts w:ascii="Franklin Gothic Book" w:eastAsia="Franklin Gothic Book" w:hAnsi="Franklin Gothic Book" w:cs="Franklin Gothic Book"/>
      <w:b/>
      <w:bCs/>
      <w:i w:val="0"/>
      <w:iCs w:val="0"/>
      <w:smallCaps w:val="0"/>
      <w:strike w:val="0"/>
      <w:spacing w:val="0"/>
      <w:sz w:val="15"/>
      <w:szCs w:val="15"/>
      <w:shd w:val="clear" w:color="auto" w:fill="FFFFFF"/>
      <w:lang w:eastAsia="en-US"/>
    </w:rPr>
  </w:style>
  <w:style w:type="character" w:customStyle="1" w:styleId="3f0">
    <w:name w:val="Подпись к картинке (3) + Курсив"/>
    <w:basedOn w:val="38"/>
    <w:rsid w:val="00B32F5E"/>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aff7">
    <w:name w:val="Колонтитул_"/>
    <w:basedOn w:val="a0"/>
    <w:link w:val="aff6"/>
    <w:rsid w:val="00B32F5E"/>
    <w:rPr>
      <w:rFonts w:ascii="Times New Roman" w:hAnsi="Times New Roman"/>
      <w:shd w:val="clear" w:color="auto" w:fill="FFFFFF"/>
      <w:lang w:eastAsia="en-US"/>
    </w:rPr>
  </w:style>
  <w:style w:type="character" w:customStyle="1" w:styleId="SegoeUI7pt">
    <w:name w:val="Колонтитул + Segoe UI;7 pt"/>
    <w:basedOn w:val="aff7"/>
    <w:rsid w:val="00B32F5E"/>
    <w:rPr>
      <w:rFonts w:ascii="Segoe UI" w:eastAsia="Segoe UI" w:hAnsi="Segoe UI" w:cs="Segoe UI"/>
      <w:spacing w:val="0"/>
      <w:sz w:val="14"/>
      <w:szCs w:val="14"/>
      <w:shd w:val="clear" w:color="auto" w:fill="FFFFFF"/>
      <w:lang w:eastAsia="en-US"/>
    </w:rPr>
  </w:style>
  <w:style w:type="character" w:customStyle="1" w:styleId="10c">
    <w:name w:val="Основной текст10"/>
    <w:basedOn w:val="aff"/>
    <w:rsid w:val="00B32F5E"/>
    <w:rPr>
      <w:rFonts w:ascii="Segoe UI" w:eastAsia="Segoe UI" w:hAnsi="Segoe UI" w:cs="Segoe UI"/>
      <w:b w:val="0"/>
      <w:bCs w:val="0"/>
      <w:i w:val="0"/>
      <w:iCs w:val="0"/>
      <w:smallCaps w:val="0"/>
      <w:strike w:val="0"/>
      <w:spacing w:val="0"/>
      <w:w w:val="75"/>
      <w:sz w:val="18"/>
      <w:szCs w:val="18"/>
      <w:shd w:val="clear" w:color="auto" w:fill="FFFFFF"/>
    </w:rPr>
  </w:style>
  <w:style w:type="character" w:customStyle="1" w:styleId="2BookAntiqua">
    <w:name w:val="Подпись к картинке (2) + Book Antiqua;Курсив"/>
    <w:basedOn w:val="2d"/>
    <w:rsid w:val="00B32F5E"/>
    <w:rPr>
      <w:rFonts w:ascii="Book Antiqua" w:eastAsia="Book Antiqua" w:hAnsi="Book Antiqua" w:cs="Book Antiqua"/>
      <w:b w:val="0"/>
      <w:bCs w:val="0"/>
      <w:i w:val="0"/>
      <w:iCs w:val="0"/>
      <w:smallCaps w:val="0"/>
      <w:strike w:val="0"/>
      <w:spacing w:val="0"/>
      <w:sz w:val="15"/>
      <w:szCs w:val="15"/>
      <w:shd w:val="clear" w:color="auto" w:fill="FFFFFF"/>
      <w:lang w:eastAsia="en-US"/>
    </w:rPr>
  </w:style>
  <w:style w:type="character" w:customStyle="1" w:styleId="603">
    <w:name w:val="Основной текст60"/>
    <w:basedOn w:val="aff"/>
    <w:rsid w:val="00B32F5E"/>
    <w:rPr>
      <w:rFonts w:ascii="Arial" w:eastAsia="Arial" w:hAnsi="Arial" w:cs="Arial"/>
      <w:b w:val="0"/>
      <w:bCs w:val="0"/>
      <w:i w:val="0"/>
      <w:iCs w:val="0"/>
      <w:smallCaps w:val="0"/>
      <w:strike w:val="0"/>
      <w:spacing w:val="0"/>
      <w:sz w:val="14"/>
      <w:szCs w:val="14"/>
      <w:shd w:val="clear" w:color="auto" w:fill="FFFFFF"/>
    </w:rPr>
  </w:style>
  <w:style w:type="character" w:customStyle="1" w:styleId="612">
    <w:name w:val="Основной текст61"/>
    <w:basedOn w:val="aff"/>
    <w:rsid w:val="00B32F5E"/>
    <w:rPr>
      <w:rFonts w:ascii="Arial" w:eastAsia="Arial" w:hAnsi="Arial" w:cs="Arial"/>
      <w:b w:val="0"/>
      <w:bCs w:val="0"/>
      <w:i w:val="0"/>
      <w:iCs w:val="0"/>
      <w:smallCaps w:val="0"/>
      <w:strike w:val="0"/>
      <w:spacing w:val="0"/>
      <w:sz w:val="14"/>
      <w:szCs w:val="14"/>
      <w:shd w:val="clear" w:color="auto" w:fill="FFFFFF"/>
    </w:rPr>
  </w:style>
  <w:style w:type="paragraph" w:customStyle="1" w:styleId="1130">
    <w:name w:val="Основной текст113"/>
    <w:basedOn w:val="a"/>
    <w:rsid w:val="00B32F5E"/>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624">
    <w:name w:val="Основной текст62"/>
    <w:basedOn w:val="aff"/>
    <w:rsid w:val="00B32F5E"/>
    <w:rPr>
      <w:rFonts w:ascii="Arial" w:eastAsia="Arial" w:hAnsi="Arial" w:cs="Arial"/>
      <w:b w:val="0"/>
      <w:bCs w:val="0"/>
      <w:i w:val="0"/>
      <w:iCs w:val="0"/>
      <w:smallCaps w:val="0"/>
      <w:strike w:val="0"/>
      <w:spacing w:val="0"/>
      <w:sz w:val="14"/>
      <w:szCs w:val="14"/>
      <w:shd w:val="clear" w:color="auto" w:fill="FFFFFF"/>
    </w:rPr>
  </w:style>
  <w:style w:type="character" w:customStyle="1" w:styleId="560">
    <w:name w:val="Основной текст (56)_"/>
    <w:basedOn w:val="a0"/>
    <w:rsid w:val="00B32F5E"/>
    <w:rPr>
      <w:rFonts w:ascii="Arial" w:eastAsia="Arial" w:hAnsi="Arial" w:cs="Arial"/>
      <w:b w:val="0"/>
      <w:bCs w:val="0"/>
      <w:i w:val="0"/>
      <w:iCs w:val="0"/>
      <w:smallCaps w:val="0"/>
      <w:strike w:val="0"/>
      <w:spacing w:val="0"/>
      <w:sz w:val="62"/>
      <w:szCs w:val="62"/>
    </w:rPr>
  </w:style>
  <w:style w:type="character" w:customStyle="1" w:styleId="185">
    <w:name w:val="Основной текст (18) + Не курсив"/>
    <w:basedOn w:val="183"/>
    <w:rsid w:val="00B32F5E"/>
    <w:rPr>
      <w:rFonts w:ascii="Arial" w:eastAsia="Arial" w:hAnsi="Arial" w:cs="Arial"/>
      <w:b w:val="0"/>
      <w:bCs w:val="0"/>
      <w:i/>
      <w:iCs/>
      <w:smallCaps w:val="0"/>
      <w:strike w:val="0"/>
      <w:spacing w:val="0"/>
      <w:sz w:val="14"/>
      <w:szCs w:val="14"/>
      <w:shd w:val="clear" w:color="auto" w:fill="FFFFFF"/>
      <w:lang w:eastAsia="en-US"/>
    </w:rPr>
  </w:style>
  <w:style w:type="character" w:customStyle="1" w:styleId="A00">
    <w:name w:val="A0"/>
    <w:uiPriority w:val="99"/>
    <w:rsid w:val="00B32F5E"/>
    <w:rPr>
      <w:rFonts w:cs="PT Sans"/>
      <w:color w:val="000000"/>
      <w:sz w:val="20"/>
      <w:szCs w:val="20"/>
    </w:rPr>
  </w:style>
  <w:style w:type="character" w:customStyle="1" w:styleId="450">
    <w:name w:val="Основной текст (45)_"/>
    <w:basedOn w:val="a0"/>
    <w:rsid w:val="00B32F5E"/>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465pt">
    <w:name w:val="Основной текст (44) + 6;5 pt;Не полужирный"/>
    <w:basedOn w:val="440"/>
    <w:rsid w:val="00B32F5E"/>
    <w:rPr>
      <w:rFonts w:ascii="Arial" w:eastAsia="Arial" w:hAnsi="Arial" w:cs="Arial"/>
      <w:b/>
      <w:bCs/>
      <w:i w:val="0"/>
      <w:iCs w:val="0"/>
      <w:smallCaps w:val="0"/>
      <w:strike w:val="0"/>
      <w:spacing w:val="0"/>
      <w:sz w:val="13"/>
      <w:szCs w:val="13"/>
    </w:rPr>
  </w:style>
  <w:style w:type="character" w:customStyle="1" w:styleId="450pt">
    <w:name w:val="Основной текст (45) + Интервал 0 pt"/>
    <w:basedOn w:val="450"/>
    <w:rsid w:val="00B32F5E"/>
    <w:rPr>
      <w:rFonts w:ascii="Franklin Gothic Book" w:eastAsia="Franklin Gothic Book" w:hAnsi="Franklin Gothic Book" w:cs="Franklin Gothic Book"/>
      <w:b w:val="0"/>
      <w:bCs w:val="0"/>
      <w:i w:val="0"/>
      <w:iCs w:val="0"/>
      <w:smallCaps w:val="0"/>
      <w:strike w:val="0"/>
      <w:spacing w:val="0"/>
      <w:sz w:val="106"/>
      <w:szCs w:val="106"/>
    </w:rPr>
  </w:style>
  <w:style w:type="character" w:customStyle="1" w:styleId="451">
    <w:name w:val="Основной текст (45)"/>
    <w:basedOn w:val="450"/>
    <w:rsid w:val="00B32F5E"/>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21">
    <w:name w:val="Основной текст (42)_"/>
    <w:basedOn w:val="a0"/>
    <w:rsid w:val="00B32F5E"/>
    <w:rPr>
      <w:rFonts w:ascii="Trebuchet MS" w:eastAsia="Trebuchet MS" w:hAnsi="Trebuchet MS" w:cs="Trebuchet MS"/>
      <w:b w:val="0"/>
      <w:bCs w:val="0"/>
      <w:i w:val="0"/>
      <w:iCs w:val="0"/>
      <w:smallCaps w:val="0"/>
      <w:strike w:val="0"/>
      <w:spacing w:val="0"/>
      <w:sz w:val="17"/>
      <w:szCs w:val="17"/>
    </w:rPr>
  </w:style>
  <w:style w:type="character" w:customStyle="1" w:styleId="134">
    <w:name w:val="Заголовок №13_"/>
    <w:basedOn w:val="a0"/>
    <w:rsid w:val="00B32F5E"/>
    <w:rPr>
      <w:rFonts w:ascii="Trebuchet MS" w:eastAsia="Trebuchet MS" w:hAnsi="Trebuchet MS" w:cs="Trebuchet MS"/>
      <w:b w:val="0"/>
      <w:bCs w:val="0"/>
      <w:i w:val="0"/>
      <w:iCs w:val="0"/>
      <w:smallCaps w:val="0"/>
      <w:strike w:val="0"/>
      <w:spacing w:val="0"/>
      <w:sz w:val="44"/>
      <w:szCs w:val="44"/>
    </w:rPr>
  </w:style>
  <w:style w:type="character" w:customStyle="1" w:styleId="135">
    <w:name w:val="Заголовок №13"/>
    <w:basedOn w:val="134"/>
    <w:rsid w:val="00B32F5E"/>
    <w:rPr>
      <w:rFonts w:ascii="Trebuchet MS" w:eastAsia="Trebuchet MS" w:hAnsi="Trebuchet MS" w:cs="Trebuchet MS"/>
      <w:b w:val="0"/>
      <w:bCs w:val="0"/>
      <w:i w:val="0"/>
      <w:iCs w:val="0"/>
      <w:smallCaps w:val="0"/>
      <w:strike w:val="0"/>
      <w:spacing w:val="0"/>
      <w:sz w:val="44"/>
      <w:szCs w:val="44"/>
    </w:rPr>
  </w:style>
  <w:style w:type="paragraph" w:customStyle="1" w:styleId="rteindent1">
    <w:name w:val="rteindent1"/>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592">
    <w:name w:val="Основной текст59"/>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911">
    <w:name w:val="Основной текст91"/>
    <w:basedOn w:val="a"/>
    <w:rsid w:val="00B32F5E"/>
    <w:pPr>
      <w:shd w:val="clear" w:color="auto" w:fill="FFFFFF"/>
      <w:spacing w:after="0" w:line="0" w:lineRule="atLeast"/>
      <w:ind w:hanging="600"/>
    </w:pPr>
    <w:rPr>
      <w:rFonts w:ascii="Franklin Gothic Book" w:eastAsia="Franklin Gothic Book" w:hAnsi="Franklin Gothic Book" w:cs="Franklin Gothic Book"/>
      <w:color w:val="000000"/>
      <w:sz w:val="15"/>
      <w:szCs w:val="15"/>
      <w:lang w:val="ru" w:eastAsia="ru-RU"/>
    </w:rPr>
  </w:style>
  <w:style w:type="character" w:customStyle="1" w:styleId="186">
    <w:name w:val="Подпись к картинке (18)_"/>
    <w:basedOn w:val="a0"/>
    <w:rsid w:val="00B32F5E"/>
    <w:rPr>
      <w:b w:val="0"/>
      <w:bCs w:val="0"/>
      <w:i w:val="0"/>
      <w:iCs w:val="0"/>
      <w:smallCaps w:val="0"/>
      <w:strike w:val="0"/>
      <w:spacing w:val="0"/>
      <w:sz w:val="12"/>
      <w:szCs w:val="12"/>
    </w:rPr>
  </w:style>
  <w:style w:type="character" w:customStyle="1" w:styleId="371">
    <w:name w:val="Основной текст (37)_"/>
    <w:basedOn w:val="a0"/>
    <w:rsid w:val="00B32F5E"/>
    <w:rPr>
      <w:rFonts w:ascii="Times New Roman" w:eastAsia="Times New Roman" w:hAnsi="Times New Roman" w:cs="Times New Roman"/>
      <w:b w:val="0"/>
      <w:bCs w:val="0"/>
      <w:i w:val="0"/>
      <w:iCs w:val="0"/>
      <w:smallCaps w:val="0"/>
      <w:strike w:val="0"/>
      <w:spacing w:val="-20"/>
      <w:sz w:val="21"/>
      <w:szCs w:val="21"/>
    </w:rPr>
  </w:style>
  <w:style w:type="character" w:customStyle="1" w:styleId="470">
    <w:name w:val="Основной текст (47)_"/>
    <w:basedOn w:val="a0"/>
    <w:rsid w:val="00B32F5E"/>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471">
    <w:name w:val="Основной текст (47)"/>
    <w:basedOn w:val="470"/>
    <w:rsid w:val="00B32F5E"/>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2040">
    <w:name w:val="Заголовок №20 (4)_"/>
    <w:basedOn w:val="a0"/>
    <w:rsid w:val="00B32F5E"/>
    <w:rPr>
      <w:rFonts w:ascii="Tahoma" w:eastAsia="Tahoma" w:hAnsi="Tahoma" w:cs="Tahoma"/>
      <w:b w:val="0"/>
      <w:bCs w:val="0"/>
      <w:i w:val="0"/>
      <w:iCs w:val="0"/>
      <w:smallCaps w:val="0"/>
      <w:strike w:val="0"/>
      <w:spacing w:val="0"/>
      <w:sz w:val="14"/>
      <w:szCs w:val="14"/>
    </w:rPr>
  </w:style>
  <w:style w:type="character" w:customStyle="1" w:styleId="2041">
    <w:name w:val="Заголовок №20 (4)"/>
    <w:basedOn w:val="2040"/>
    <w:rsid w:val="00B32F5E"/>
    <w:rPr>
      <w:rFonts w:ascii="Tahoma" w:eastAsia="Tahoma" w:hAnsi="Tahoma" w:cs="Tahoma"/>
      <w:b w:val="0"/>
      <w:bCs w:val="0"/>
      <w:i w:val="0"/>
      <w:iCs w:val="0"/>
      <w:smallCaps w:val="0"/>
      <w:strike w:val="0"/>
      <w:spacing w:val="0"/>
      <w:sz w:val="14"/>
      <w:szCs w:val="14"/>
    </w:rPr>
  </w:style>
  <w:style w:type="character" w:customStyle="1" w:styleId="3f1">
    <w:name w:val="Оглавление (3)_"/>
    <w:basedOn w:val="a0"/>
    <w:rsid w:val="00B32F5E"/>
    <w:rPr>
      <w:rFonts w:ascii="Tahoma" w:eastAsia="Tahoma" w:hAnsi="Tahoma" w:cs="Tahoma"/>
      <w:b w:val="0"/>
      <w:bCs w:val="0"/>
      <w:i w:val="0"/>
      <w:iCs w:val="0"/>
      <w:smallCaps w:val="0"/>
      <w:strike w:val="0"/>
      <w:spacing w:val="0"/>
      <w:sz w:val="17"/>
      <w:szCs w:val="17"/>
    </w:rPr>
  </w:style>
  <w:style w:type="character" w:customStyle="1" w:styleId="3f2">
    <w:name w:val="Оглавление (3)"/>
    <w:basedOn w:val="3f1"/>
    <w:rsid w:val="00B32F5E"/>
    <w:rPr>
      <w:rFonts w:ascii="Tahoma" w:eastAsia="Tahoma" w:hAnsi="Tahoma" w:cs="Tahoma"/>
      <w:b w:val="0"/>
      <w:bCs w:val="0"/>
      <w:i w:val="0"/>
      <w:iCs w:val="0"/>
      <w:smallCaps w:val="0"/>
      <w:strike w:val="0"/>
      <w:spacing w:val="0"/>
      <w:sz w:val="17"/>
      <w:szCs w:val="17"/>
    </w:rPr>
  </w:style>
  <w:style w:type="character" w:customStyle="1" w:styleId="6pt">
    <w:name w:val="Оглавление + 6 pt"/>
    <w:basedOn w:val="affb"/>
    <w:rsid w:val="00B32F5E"/>
    <w:rPr>
      <w:rFonts w:ascii="Times New Roman" w:eastAsia="Times New Roman" w:hAnsi="Times New Roman" w:cs="Times New Roman"/>
      <w:b w:val="0"/>
      <w:bCs w:val="0"/>
      <w:i w:val="0"/>
      <w:iCs w:val="0"/>
      <w:smallCaps w:val="0"/>
      <w:strike w:val="0"/>
      <w:spacing w:val="0"/>
      <w:sz w:val="12"/>
      <w:szCs w:val="12"/>
      <w:shd w:val="clear" w:color="auto" w:fill="FFFFFF"/>
    </w:rPr>
  </w:style>
  <w:style w:type="character" w:customStyle="1" w:styleId="117">
    <w:name w:val="Основной текст (11)_"/>
    <w:basedOn w:val="a0"/>
    <w:rsid w:val="00B32F5E"/>
    <w:rPr>
      <w:rFonts w:ascii="Times New Roman" w:eastAsia="Times New Roman" w:hAnsi="Times New Roman" w:cs="Times New Roman"/>
      <w:b w:val="0"/>
      <w:bCs w:val="0"/>
      <w:i w:val="0"/>
      <w:iCs w:val="0"/>
      <w:smallCaps w:val="0"/>
      <w:strike w:val="0"/>
      <w:spacing w:val="0"/>
      <w:sz w:val="13"/>
      <w:szCs w:val="13"/>
    </w:rPr>
  </w:style>
  <w:style w:type="character" w:customStyle="1" w:styleId="6pt0">
    <w:name w:val="Подпись к картинке + 6 pt;Не полужирный"/>
    <w:basedOn w:val="affa"/>
    <w:rsid w:val="00B32F5E"/>
    <w:rPr>
      <w:rFonts w:ascii="Arial" w:eastAsia="Arial" w:hAnsi="Arial" w:cs="Arial"/>
      <w:b w:val="0"/>
      <w:bCs w:val="0"/>
      <w:i w:val="0"/>
      <w:iCs w:val="0"/>
      <w:smallCaps w:val="0"/>
      <w:strike w:val="0"/>
      <w:spacing w:val="0"/>
      <w:sz w:val="12"/>
      <w:szCs w:val="12"/>
      <w:shd w:val="clear" w:color="auto" w:fill="FFFFFF"/>
      <w:lang w:eastAsia="en-US"/>
    </w:rPr>
  </w:style>
  <w:style w:type="character" w:customStyle="1" w:styleId="9pt0">
    <w:name w:val="Колонтитул + 9 pt"/>
    <w:basedOn w:val="aff7"/>
    <w:rsid w:val="00B32F5E"/>
    <w:rPr>
      <w:rFonts w:ascii="Times New Roman" w:hAnsi="Times New Roman"/>
      <w:b w:val="0"/>
      <w:bCs w:val="0"/>
      <w:i w:val="0"/>
      <w:iCs w:val="0"/>
      <w:smallCaps w:val="0"/>
      <w:strike w:val="0"/>
      <w:spacing w:val="0"/>
      <w:sz w:val="18"/>
      <w:szCs w:val="18"/>
      <w:shd w:val="clear" w:color="auto" w:fill="FFFFFF"/>
      <w:lang w:eastAsia="en-US"/>
    </w:rPr>
  </w:style>
  <w:style w:type="character" w:customStyle="1" w:styleId="TrebuchetMS4pt">
    <w:name w:val="Колонтитул + Trebuchet MS;4 pt"/>
    <w:basedOn w:val="aff7"/>
    <w:rsid w:val="00B32F5E"/>
    <w:rPr>
      <w:rFonts w:ascii="Trebuchet MS" w:eastAsia="Trebuchet MS" w:hAnsi="Trebuchet MS" w:cs="Trebuchet MS"/>
      <w:b w:val="0"/>
      <w:bCs w:val="0"/>
      <w:i w:val="0"/>
      <w:iCs w:val="0"/>
      <w:smallCaps w:val="0"/>
      <w:strike w:val="0"/>
      <w:spacing w:val="0"/>
      <w:sz w:val="8"/>
      <w:szCs w:val="8"/>
      <w:shd w:val="clear" w:color="auto" w:fill="FFFFFF"/>
      <w:lang w:eastAsia="en-US"/>
    </w:rPr>
  </w:style>
  <w:style w:type="character" w:customStyle="1" w:styleId="Arial105pt">
    <w:name w:val="Колонтитул + Arial;10;5 pt"/>
    <w:basedOn w:val="aff7"/>
    <w:rsid w:val="00B32F5E"/>
    <w:rPr>
      <w:rFonts w:ascii="Arial" w:eastAsia="Arial" w:hAnsi="Arial" w:cs="Arial"/>
      <w:b w:val="0"/>
      <w:bCs w:val="0"/>
      <w:i w:val="0"/>
      <w:iCs w:val="0"/>
      <w:smallCaps w:val="0"/>
      <w:strike w:val="0"/>
      <w:spacing w:val="0"/>
      <w:sz w:val="21"/>
      <w:szCs w:val="21"/>
      <w:shd w:val="clear" w:color="auto" w:fill="FFFFFF"/>
      <w:lang w:eastAsia="en-US"/>
    </w:rPr>
  </w:style>
  <w:style w:type="character" w:customStyle="1" w:styleId="284">
    <w:name w:val="Основной текст (28) + Не полужирный"/>
    <w:basedOn w:val="282"/>
    <w:rsid w:val="00B32F5E"/>
    <w:rPr>
      <w:rFonts w:ascii="Arial" w:eastAsia="Arial" w:hAnsi="Arial" w:cs="Arial"/>
      <w:b/>
      <w:bCs/>
      <w:i w:val="0"/>
      <w:iCs w:val="0"/>
      <w:smallCaps w:val="0"/>
      <w:strike w:val="0"/>
      <w:spacing w:val="0"/>
      <w:sz w:val="13"/>
      <w:szCs w:val="13"/>
      <w:shd w:val="clear" w:color="auto" w:fill="FFFFFF"/>
      <w:lang w:eastAsia="en-US"/>
    </w:rPr>
  </w:style>
  <w:style w:type="character" w:customStyle="1" w:styleId="89">
    <w:name w:val="Основной текст89"/>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64">
    <w:name w:val="Основной текст (16)_"/>
    <w:basedOn w:val="a0"/>
    <w:rsid w:val="00B32F5E"/>
    <w:rPr>
      <w:rFonts w:ascii="Times New Roman" w:eastAsia="Times New Roman" w:hAnsi="Times New Roman" w:cs="Times New Roman"/>
      <w:b w:val="0"/>
      <w:bCs w:val="0"/>
      <w:i w:val="0"/>
      <w:iCs w:val="0"/>
      <w:smallCaps w:val="0"/>
      <w:strike w:val="0"/>
      <w:spacing w:val="0"/>
      <w:sz w:val="14"/>
      <w:szCs w:val="14"/>
    </w:rPr>
  </w:style>
  <w:style w:type="character" w:customStyle="1" w:styleId="165">
    <w:name w:val="Основной текст (16)"/>
    <w:basedOn w:val="164"/>
    <w:rsid w:val="00B32F5E"/>
    <w:rPr>
      <w:rFonts w:ascii="Times New Roman" w:eastAsia="Times New Roman" w:hAnsi="Times New Roman" w:cs="Times New Roman"/>
      <w:b w:val="0"/>
      <w:bCs w:val="0"/>
      <w:i w:val="0"/>
      <w:iCs w:val="0"/>
      <w:smallCaps w:val="0"/>
      <w:strike w:val="0"/>
      <w:spacing w:val="0"/>
      <w:sz w:val="14"/>
      <w:szCs w:val="14"/>
    </w:rPr>
  </w:style>
  <w:style w:type="character" w:customStyle="1" w:styleId="341">
    <w:name w:val="Основной текст (34)_"/>
    <w:basedOn w:val="a0"/>
    <w:rsid w:val="00B32F5E"/>
    <w:rPr>
      <w:rFonts w:ascii="Franklin Gothic Demi" w:eastAsia="Franklin Gothic Demi" w:hAnsi="Franklin Gothic Demi" w:cs="Franklin Gothic Demi"/>
      <w:b w:val="0"/>
      <w:bCs w:val="0"/>
      <w:i w:val="0"/>
      <w:iCs w:val="0"/>
      <w:smallCaps w:val="0"/>
      <w:strike w:val="0"/>
      <w:spacing w:val="0"/>
      <w:sz w:val="13"/>
      <w:szCs w:val="13"/>
    </w:rPr>
  </w:style>
  <w:style w:type="character" w:customStyle="1" w:styleId="34TrebuchetMS">
    <w:name w:val="Основной текст (34) + Trebuchet MS"/>
    <w:basedOn w:val="341"/>
    <w:rsid w:val="00B32F5E"/>
    <w:rPr>
      <w:rFonts w:ascii="Trebuchet MS" w:eastAsia="Trebuchet MS" w:hAnsi="Trebuchet MS" w:cs="Trebuchet MS"/>
      <w:b w:val="0"/>
      <w:bCs w:val="0"/>
      <w:i w:val="0"/>
      <w:iCs w:val="0"/>
      <w:smallCaps w:val="0"/>
      <w:strike w:val="0"/>
      <w:spacing w:val="0"/>
      <w:sz w:val="13"/>
      <w:szCs w:val="13"/>
    </w:rPr>
  </w:style>
  <w:style w:type="character" w:customStyle="1" w:styleId="1630">
    <w:name w:val="Заголовок №16 (3)_"/>
    <w:basedOn w:val="a0"/>
    <w:rsid w:val="00B32F5E"/>
    <w:rPr>
      <w:rFonts w:ascii="Trebuchet MS" w:eastAsia="Trebuchet MS" w:hAnsi="Trebuchet MS" w:cs="Trebuchet MS"/>
      <w:b w:val="0"/>
      <w:bCs w:val="0"/>
      <w:i w:val="0"/>
      <w:iCs w:val="0"/>
      <w:smallCaps w:val="0"/>
      <w:strike w:val="0"/>
      <w:spacing w:val="0"/>
      <w:sz w:val="13"/>
      <w:szCs w:val="13"/>
    </w:rPr>
  </w:style>
  <w:style w:type="character" w:customStyle="1" w:styleId="1631">
    <w:name w:val="Заголовок №16 (3)"/>
    <w:basedOn w:val="1630"/>
    <w:rsid w:val="00B32F5E"/>
    <w:rPr>
      <w:rFonts w:ascii="Trebuchet MS" w:eastAsia="Trebuchet MS" w:hAnsi="Trebuchet MS" w:cs="Trebuchet MS"/>
      <w:b w:val="0"/>
      <w:bCs w:val="0"/>
      <w:i w:val="0"/>
      <w:iCs w:val="0"/>
      <w:smallCaps w:val="0"/>
      <w:strike w:val="0"/>
      <w:spacing w:val="0"/>
      <w:sz w:val="13"/>
      <w:szCs w:val="13"/>
    </w:rPr>
  </w:style>
  <w:style w:type="paragraph" w:customStyle="1" w:styleId="1150">
    <w:name w:val="Основной текст115"/>
    <w:basedOn w:val="a"/>
    <w:rsid w:val="00B32F5E"/>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30pt">
    <w:name w:val="Основной текст + 30 pt;Полужирный"/>
    <w:basedOn w:val="aff"/>
    <w:rsid w:val="00B32F5E"/>
    <w:rPr>
      <w:rFonts w:ascii="Trebuchet MS" w:eastAsia="Trebuchet MS" w:hAnsi="Trebuchet MS" w:cs="Trebuchet MS"/>
      <w:b/>
      <w:bCs/>
      <w:i w:val="0"/>
      <w:iCs w:val="0"/>
      <w:smallCaps w:val="0"/>
      <w:strike w:val="0"/>
      <w:spacing w:val="0"/>
      <w:sz w:val="60"/>
      <w:szCs w:val="60"/>
      <w:shd w:val="clear" w:color="auto" w:fill="FFFFFF"/>
    </w:rPr>
  </w:style>
  <w:style w:type="character" w:customStyle="1" w:styleId="oi732d6d">
    <w:name w:val="oi732d6d"/>
    <w:basedOn w:val="a0"/>
    <w:rsid w:val="00B32F5E"/>
  </w:style>
  <w:style w:type="character" w:customStyle="1" w:styleId="gpro0wi8">
    <w:name w:val="gpro0wi8"/>
    <w:basedOn w:val="a0"/>
    <w:rsid w:val="00B32F5E"/>
  </w:style>
  <w:style w:type="character" w:customStyle="1" w:styleId="pcp91wgn">
    <w:name w:val="pcp91wgn"/>
    <w:basedOn w:val="a0"/>
    <w:rsid w:val="00B32F5E"/>
  </w:style>
  <w:style w:type="character" w:customStyle="1" w:styleId="a8c37x1j">
    <w:name w:val="a8c37x1j"/>
    <w:basedOn w:val="a0"/>
    <w:rsid w:val="00B32F5E"/>
  </w:style>
  <w:style w:type="paragraph" w:styleId="2f5">
    <w:name w:val="toc 2"/>
    <w:basedOn w:val="a"/>
    <w:next w:val="a"/>
    <w:autoRedefine/>
    <w:uiPriority w:val="39"/>
    <w:semiHidden/>
    <w:unhideWhenUsed/>
    <w:rsid w:val="00B32F5E"/>
    <w:pPr>
      <w:spacing w:after="100" w:line="360" w:lineRule="auto"/>
      <w:ind w:left="220"/>
      <w:jc w:val="both"/>
    </w:pPr>
    <w:rPr>
      <w:rFonts w:asciiTheme="minorHAnsi" w:eastAsiaTheme="minorHAnsi" w:hAnsiTheme="minorHAnsi" w:cstheme="minorBidi"/>
    </w:rPr>
  </w:style>
  <w:style w:type="character" w:customStyle="1" w:styleId="262">
    <w:name w:val="Основной текст (26) + Не курсив"/>
    <w:basedOn w:val="260"/>
    <w:rsid w:val="00B32F5E"/>
    <w:rPr>
      <w:rFonts w:ascii="Arial" w:eastAsia="Arial" w:hAnsi="Arial" w:cs="Arial"/>
      <w:b w:val="0"/>
      <w:bCs w:val="0"/>
      <w:i/>
      <w:iCs/>
      <w:smallCaps w:val="0"/>
      <w:strike w:val="0"/>
      <w:spacing w:val="0"/>
      <w:sz w:val="13"/>
      <w:szCs w:val="13"/>
      <w:shd w:val="clear" w:color="auto" w:fill="FFFFFF"/>
    </w:rPr>
  </w:style>
  <w:style w:type="paragraph" w:styleId="1d">
    <w:name w:val="toc 1"/>
    <w:basedOn w:val="a"/>
    <w:next w:val="a"/>
    <w:autoRedefine/>
    <w:uiPriority w:val="39"/>
    <w:semiHidden/>
    <w:unhideWhenUsed/>
    <w:rsid w:val="00B32F5E"/>
    <w:pPr>
      <w:spacing w:after="100" w:line="360" w:lineRule="auto"/>
      <w:jc w:val="both"/>
    </w:pPr>
    <w:rPr>
      <w:rFonts w:asciiTheme="minorHAnsi" w:eastAsiaTheme="minorHAnsi" w:hAnsiTheme="minorHAnsi" w:cstheme="minorBidi"/>
    </w:rPr>
  </w:style>
  <w:style w:type="character" w:customStyle="1" w:styleId="138">
    <w:name w:val="Основной текст138"/>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
    <w:name w:val="Основной текст139"/>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paragraph" w:customStyle="1" w:styleId="254">
    <w:name w:val="Основной текст254"/>
    <w:basedOn w:val="a"/>
    <w:rsid w:val="00B32F5E"/>
    <w:pPr>
      <w:shd w:val="clear" w:color="auto" w:fill="FFFFFF"/>
      <w:spacing w:after="0" w:line="0" w:lineRule="atLeast"/>
      <w:ind w:hanging="300"/>
    </w:pPr>
    <w:rPr>
      <w:rFonts w:ascii="Arial Unicode MS" w:eastAsia="Arial Unicode MS" w:hAnsi="Arial Unicode MS" w:cs="Arial Unicode MS"/>
      <w:color w:val="000000"/>
      <w:sz w:val="13"/>
      <w:szCs w:val="13"/>
      <w:lang w:val="ru" w:eastAsia="ru-RU"/>
    </w:rPr>
  </w:style>
  <w:style w:type="character" w:customStyle="1" w:styleId="1400">
    <w:name w:val="Основной текст140"/>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10">
    <w:name w:val="Основной текст141"/>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20">
    <w:name w:val="Основной текст142"/>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00">
    <w:name w:val="Основной текст170"/>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0">
    <w:name w:val="Основной текст171"/>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20">
    <w:name w:val="Основной текст172"/>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0">
    <w:name w:val="Основной текст173"/>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ArialUnicodeMS65pt">
    <w:name w:val="Основной текст (38) + Arial Unicode MS;6;5 pt;Не курсив"/>
    <w:basedOn w:val="381"/>
    <w:rsid w:val="00B32F5E"/>
    <w:rPr>
      <w:rFonts w:ascii="Arial Unicode MS" w:eastAsia="Arial Unicode MS" w:hAnsi="Arial Unicode MS" w:cs="Arial Unicode MS"/>
      <w:b w:val="0"/>
      <w:bCs w:val="0"/>
      <w:i/>
      <w:iCs/>
      <w:smallCaps w:val="0"/>
      <w:strike w:val="0"/>
      <w:spacing w:val="0"/>
      <w:sz w:val="13"/>
      <w:szCs w:val="13"/>
    </w:rPr>
  </w:style>
  <w:style w:type="character" w:customStyle="1" w:styleId="SegoeUI7pt0">
    <w:name w:val="Основной текст + Segoe UI;7 pt;Курсив"/>
    <w:basedOn w:val="aff"/>
    <w:rsid w:val="00B32F5E"/>
    <w:rPr>
      <w:rFonts w:ascii="Segoe UI" w:eastAsia="Segoe UI" w:hAnsi="Segoe UI" w:cs="Segoe UI"/>
      <w:b w:val="0"/>
      <w:bCs w:val="0"/>
      <w:i/>
      <w:iCs/>
      <w:smallCaps w:val="0"/>
      <w:strike w:val="0"/>
      <w:spacing w:val="0"/>
      <w:sz w:val="14"/>
      <w:szCs w:val="14"/>
      <w:shd w:val="clear" w:color="auto" w:fill="FFFFFF"/>
    </w:rPr>
  </w:style>
  <w:style w:type="character" w:customStyle="1" w:styleId="174">
    <w:name w:val="Основной текст174"/>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6">
    <w:name w:val="Основной текст176"/>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8">
    <w:name w:val="Основной текст178"/>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1">
    <w:name w:val="Основной текст + Segoe UI;7 pt;Полужирный;Курсив"/>
    <w:basedOn w:val="aff"/>
    <w:rsid w:val="00B32F5E"/>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20">
    <w:name w:val="Основной текст182"/>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FranklinGothicBook55pt">
    <w:name w:val="Подпись к картинке + Franklin Gothic Book;5;5 pt"/>
    <w:basedOn w:val="affa"/>
    <w:rsid w:val="00B32F5E"/>
    <w:rPr>
      <w:rFonts w:ascii="Franklin Gothic Book" w:eastAsia="Franklin Gothic Book" w:hAnsi="Franklin Gothic Book" w:cs="Franklin Gothic Book"/>
      <w:b/>
      <w:bCs/>
      <w:i w:val="0"/>
      <w:iCs w:val="0"/>
      <w:smallCaps w:val="0"/>
      <w:strike w:val="0"/>
      <w:spacing w:val="0"/>
      <w:sz w:val="11"/>
      <w:szCs w:val="11"/>
      <w:shd w:val="clear" w:color="auto" w:fill="FFFFFF"/>
      <w:lang w:eastAsia="en-US"/>
    </w:rPr>
  </w:style>
  <w:style w:type="character" w:customStyle="1" w:styleId="75pt80">
    <w:name w:val="Основной текст + 7;5 pt;Масштаб 80%"/>
    <w:basedOn w:val="aff"/>
    <w:rsid w:val="00B32F5E"/>
    <w:rPr>
      <w:rFonts w:ascii="Franklin Gothic Book" w:eastAsia="Franklin Gothic Book" w:hAnsi="Franklin Gothic Book" w:cs="Franklin Gothic Book"/>
      <w:b w:val="0"/>
      <w:bCs w:val="0"/>
      <w:i w:val="0"/>
      <w:iCs w:val="0"/>
      <w:smallCaps w:val="0"/>
      <w:strike w:val="0"/>
      <w:spacing w:val="0"/>
      <w:w w:val="80"/>
      <w:sz w:val="15"/>
      <w:szCs w:val="15"/>
      <w:shd w:val="clear" w:color="auto" w:fill="FFFFFF"/>
    </w:rPr>
  </w:style>
  <w:style w:type="character" w:customStyle="1" w:styleId="233">
    <w:name w:val="Основной текст (23)_"/>
    <w:basedOn w:val="a0"/>
    <w:link w:val="234"/>
    <w:rsid w:val="00B32F5E"/>
    <w:rPr>
      <w:rFonts w:ascii="Franklin Gothic Book" w:eastAsia="Franklin Gothic Book" w:hAnsi="Franklin Gothic Book" w:cs="Franklin Gothic Book"/>
      <w:sz w:val="13"/>
      <w:szCs w:val="13"/>
      <w:shd w:val="clear" w:color="auto" w:fill="FFFFFF"/>
    </w:rPr>
  </w:style>
  <w:style w:type="paragraph" w:customStyle="1" w:styleId="234">
    <w:name w:val="Основной текст (23)"/>
    <w:basedOn w:val="a"/>
    <w:link w:val="233"/>
    <w:rsid w:val="00B32F5E"/>
    <w:pPr>
      <w:shd w:val="clear" w:color="auto" w:fill="FFFFFF"/>
      <w:spacing w:after="1200" w:line="0" w:lineRule="atLeast"/>
    </w:pPr>
    <w:rPr>
      <w:rFonts w:ascii="Franklin Gothic Book" w:eastAsia="Franklin Gothic Book" w:hAnsi="Franklin Gothic Book" w:cs="Franklin Gothic Book"/>
      <w:sz w:val="13"/>
      <w:szCs w:val="13"/>
      <w:lang w:eastAsia="ru-RU"/>
    </w:rPr>
  </w:style>
  <w:style w:type="character" w:customStyle="1" w:styleId="Verdana">
    <w:name w:val="Подпись к картинке + Verdana;Курсив"/>
    <w:basedOn w:val="affa"/>
    <w:rsid w:val="00B32F5E"/>
    <w:rPr>
      <w:rFonts w:ascii="Verdana" w:eastAsia="Verdana" w:hAnsi="Verdana" w:cs="Verdana"/>
      <w:b/>
      <w:bCs/>
      <w:i/>
      <w:iCs/>
      <w:smallCaps w:val="0"/>
      <w:strike w:val="0"/>
      <w:spacing w:val="0"/>
      <w:sz w:val="10"/>
      <w:szCs w:val="10"/>
      <w:shd w:val="clear" w:color="auto" w:fill="FFFFFF"/>
      <w:lang w:eastAsia="en-US"/>
    </w:rPr>
  </w:style>
  <w:style w:type="character" w:customStyle="1" w:styleId="235">
    <w:name w:val="Основной текст (23) + Не курсив"/>
    <w:basedOn w:val="233"/>
    <w:rsid w:val="00B32F5E"/>
    <w:rPr>
      <w:rFonts w:ascii="Franklin Gothic Book" w:eastAsia="Franklin Gothic Book" w:hAnsi="Franklin Gothic Book" w:cs="Franklin Gothic Book"/>
      <w:i/>
      <w:iCs/>
      <w:sz w:val="13"/>
      <w:szCs w:val="13"/>
      <w:shd w:val="clear" w:color="auto" w:fill="FFFFFF"/>
    </w:rPr>
  </w:style>
  <w:style w:type="character" w:customStyle="1" w:styleId="FranklinGothicBook55pt0">
    <w:name w:val="Подпись к таблице + Franklin Gothic Book;5;5 pt"/>
    <w:basedOn w:val="aff1"/>
    <w:rsid w:val="00B32F5E"/>
    <w:rPr>
      <w:rFonts w:ascii="Franklin Gothic Book" w:eastAsia="Franklin Gothic Book" w:hAnsi="Franklin Gothic Book" w:cs="Franklin Gothic Book"/>
      <w:b w:val="0"/>
      <w:bCs w:val="0"/>
      <w:i w:val="0"/>
      <w:iCs w:val="0"/>
      <w:smallCaps w:val="0"/>
      <w:strike w:val="0"/>
      <w:noProof/>
      <w:spacing w:val="0"/>
      <w:sz w:val="11"/>
      <w:szCs w:val="11"/>
      <w:shd w:val="clear" w:color="auto" w:fill="FFFFFF"/>
      <w:lang w:val="en-US" w:eastAsia="en-US"/>
    </w:rPr>
  </w:style>
  <w:style w:type="paragraph" w:customStyle="1" w:styleId="263">
    <w:name w:val="Основной текст26"/>
    <w:basedOn w:val="a"/>
    <w:rsid w:val="00B32F5E"/>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eastAsia="ru-RU"/>
    </w:rPr>
  </w:style>
  <w:style w:type="character" w:customStyle="1" w:styleId="243">
    <w:name w:val="Подпись к картинке (24)_"/>
    <w:basedOn w:val="a0"/>
    <w:rsid w:val="00B32F5E"/>
    <w:rPr>
      <w:rFonts w:ascii="Arial Narrow" w:eastAsia="Arial Narrow" w:hAnsi="Arial Narrow" w:cs="Arial Narrow"/>
      <w:b w:val="0"/>
      <w:bCs w:val="0"/>
      <w:i w:val="0"/>
      <w:iCs w:val="0"/>
      <w:smallCaps w:val="0"/>
      <w:strike w:val="0"/>
      <w:spacing w:val="0"/>
      <w:sz w:val="21"/>
      <w:szCs w:val="21"/>
    </w:rPr>
  </w:style>
  <w:style w:type="character" w:customStyle="1" w:styleId="244">
    <w:name w:val="Подпись к картинке (24)"/>
    <w:basedOn w:val="243"/>
    <w:rsid w:val="00B32F5E"/>
    <w:rPr>
      <w:rFonts w:ascii="Arial Narrow" w:eastAsia="Arial Narrow" w:hAnsi="Arial Narrow" w:cs="Arial Narrow"/>
      <w:b w:val="0"/>
      <w:bCs w:val="0"/>
      <w:i w:val="0"/>
      <w:iCs w:val="0"/>
      <w:smallCaps w:val="0"/>
      <w:strike w:val="0"/>
      <w:spacing w:val="0"/>
      <w:sz w:val="21"/>
      <w:szCs w:val="21"/>
      <w:u w:val="single"/>
    </w:rPr>
  </w:style>
  <w:style w:type="character" w:customStyle="1" w:styleId="253">
    <w:name w:val="Подпись к картинке (25)_"/>
    <w:basedOn w:val="a0"/>
    <w:link w:val="255"/>
    <w:rsid w:val="00B32F5E"/>
    <w:rPr>
      <w:rFonts w:ascii="Arial" w:eastAsia="Arial" w:hAnsi="Arial" w:cs="Arial"/>
      <w:spacing w:val="-20"/>
      <w:sz w:val="76"/>
      <w:szCs w:val="76"/>
      <w:shd w:val="clear" w:color="auto" w:fill="FFFFFF"/>
    </w:rPr>
  </w:style>
  <w:style w:type="paragraph" w:customStyle="1" w:styleId="255">
    <w:name w:val="Подпись к картинке (25)"/>
    <w:basedOn w:val="a"/>
    <w:link w:val="253"/>
    <w:rsid w:val="00B32F5E"/>
    <w:pPr>
      <w:shd w:val="clear" w:color="auto" w:fill="FFFFFF"/>
      <w:spacing w:after="0" w:line="0" w:lineRule="atLeast"/>
    </w:pPr>
    <w:rPr>
      <w:rFonts w:ascii="Arial" w:eastAsia="Arial" w:hAnsi="Arial" w:cs="Arial"/>
      <w:spacing w:val="-20"/>
      <w:sz w:val="76"/>
      <w:szCs w:val="76"/>
      <w:lang w:eastAsia="ru-RU"/>
    </w:rPr>
  </w:style>
  <w:style w:type="character" w:customStyle="1" w:styleId="25-3pt">
    <w:name w:val="Подпись к картинке (25) + Интервал -3 pt"/>
    <w:basedOn w:val="253"/>
    <w:rsid w:val="00B32F5E"/>
    <w:rPr>
      <w:rFonts w:ascii="Arial" w:eastAsia="Arial" w:hAnsi="Arial" w:cs="Arial"/>
      <w:spacing w:val="-70"/>
      <w:sz w:val="76"/>
      <w:szCs w:val="76"/>
      <w:shd w:val="clear" w:color="auto" w:fill="FFFFFF"/>
    </w:rPr>
  </w:style>
  <w:style w:type="character" w:customStyle="1" w:styleId="Tahoma16pt0pt">
    <w:name w:val="Основной текст + Tahoma;16 pt;Интервал 0 pt"/>
    <w:basedOn w:val="aff"/>
    <w:rsid w:val="00B32F5E"/>
    <w:rPr>
      <w:rFonts w:ascii="Tahoma" w:eastAsia="Tahoma" w:hAnsi="Tahoma" w:cs="Tahoma"/>
      <w:b w:val="0"/>
      <w:bCs w:val="0"/>
      <w:i w:val="0"/>
      <w:iCs w:val="0"/>
      <w:smallCaps w:val="0"/>
      <w:strike w:val="0"/>
      <w:spacing w:val="0"/>
      <w:sz w:val="32"/>
      <w:szCs w:val="32"/>
      <w:shd w:val="clear" w:color="auto" w:fill="FFFFFF"/>
    </w:rPr>
  </w:style>
  <w:style w:type="character" w:customStyle="1" w:styleId="FranklinGothicBook">
    <w:name w:val="Подпись к картинке + Franklin Gothic Book;Не полужирный"/>
    <w:basedOn w:val="affa"/>
    <w:rsid w:val="00B32F5E"/>
    <w:rPr>
      <w:rFonts w:ascii="Franklin Gothic Book" w:eastAsia="Franklin Gothic Book" w:hAnsi="Franklin Gothic Book" w:cs="Franklin Gothic Book"/>
      <w:b w:val="0"/>
      <w:bCs w:val="0"/>
      <w:i w:val="0"/>
      <w:iCs w:val="0"/>
      <w:smallCaps w:val="0"/>
      <w:strike w:val="0"/>
      <w:spacing w:val="0"/>
      <w:sz w:val="29"/>
      <w:szCs w:val="29"/>
      <w:shd w:val="clear" w:color="auto" w:fill="FFFFFF"/>
      <w:lang w:eastAsia="en-US"/>
    </w:rPr>
  </w:style>
  <w:style w:type="character" w:customStyle="1" w:styleId="BookmanOldStyle115pt0pt">
    <w:name w:val="Основной текст + Bookman Old Style;11;5 pt;Интервал 0 pt"/>
    <w:basedOn w:val="aff"/>
    <w:rsid w:val="00B32F5E"/>
    <w:rPr>
      <w:rFonts w:ascii="Bookman Old Style" w:eastAsia="Bookman Old Style" w:hAnsi="Bookman Old Style" w:cs="Bookman Old Style"/>
      <w:b w:val="0"/>
      <w:bCs w:val="0"/>
      <w:i w:val="0"/>
      <w:iCs w:val="0"/>
      <w:smallCaps w:val="0"/>
      <w:strike w:val="0"/>
      <w:spacing w:val="0"/>
      <w:sz w:val="23"/>
      <w:szCs w:val="23"/>
      <w:shd w:val="clear" w:color="auto" w:fill="FFFFFF"/>
    </w:rPr>
  </w:style>
  <w:style w:type="character" w:customStyle="1" w:styleId="187">
    <w:name w:val="Подпись к картинке (18) + Полужирный"/>
    <w:basedOn w:val="186"/>
    <w:rsid w:val="00B32F5E"/>
    <w:rPr>
      <w:b/>
      <w:bCs/>
      <w:i w:val="0"/>
      <w:iCs w:val="0"/>
      <w:smallCaps w:val="0"/>
      <w:strike w:val="0"/>
      <w:spacing w:val="0"/>
      <w:sz w:val="13"/>
      <w:szCs w:val="13"/>
    </w:rPr>
  </w:style>
  <w:style w:type="character" w:customStyle="1" w:styleId="551">
    <w:name w:val="Основной текст55"/>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Narrow">
    <w:name w:val="Основной текст + Arial Narrow;Курсив"/>
    <w:basedOn w:val="aff"/>
    <w:rsid w:val="00B32F5E"/>
    <w:rPr>
      <w:rFonts w:ascii="Arial Narrow" w:eastAsia="Arial Narrow" w:hAnsi="Arial Narrow" w:cs="Arial Narrow"/>
      <w:b w:val="0"/>
      <w:bCs w:val="0"/>
      <w:i/>
      <w:iCs/>
      <w:smallCaps w:val="0"/>
      <w:strike w:val="0"/>
      <w:spacing w:val="0"/>
      <w:sz w:val="14"/>
      <w:szCs w:val="14"/>
      <w:shd w:val="clear" w:color="auto" w:fill="FFFFFF"/>
    </w:rPr>
  </w:style>
  <w:style w:type="character" w:customStyle="1" w:styleId="6pt0pt">
    <w:name w:val="Подпись к картинке + 6 pt;Не полужирный;Курсив;Интервал 0 pt"/>
    <w:basedOn w:val="affa"/>
    <w:rsid w:val="00B32F5E"/>
    <w:rPr>
      <w:rFonts w:ascii="MS Reference Sans Serif" w:hAnsi="MS Reference Sans Serif" w:cs="MS Reference Sans Serif"/>
      <w:b w:val="0"/>
      <w:bCs w:val="0"/>
      <w:i/>
      <w:iCs/>
      <w:smallCaps w:val="0"/>
      <w:strike w:val="0"/>
      <w:spacing w:val="10"/>
      <w:sz w:val="12"/>
      <w:szCs w:val="12"/>
      <w:shd w:val="clear" w:color="auto" w:fill="FFFFFF"/>
      <w:lang w:eastAsia="en-US"/>
    </w:rPr>
  </w:style>
  <w:style w:type="character" w:customStyle="1" w:styleId="561">
    <w:name w:val="Основной текст56"/>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7a">
    <w:name w:val="Основной текст57"/>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82">
    <w:name w:val="Основной текст58"/>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165pt0pt">
    <w:name w:val="Основной текст (51) + 6;5 pt;Полужирный;Не курсив;Интервал 0 pt"/>
    <w:basedOn w:val="513"/>
    <w:rsid w:val="00B32F5E"/>
    <w:rPr>
      <w:rFonts w:ascii="Franklin Gothic Book" w:eastAsia="Franklin Gothic Book" w:hAnsi="Franklin Gothic Book" w:cs="Franklin Gothic Book"/>
      <w:b/>
      <w:bCs/>
      <w:i/>
      <w:iCs/>
      <w:smallCaps w:val="0"/>
      <w:strike w:val="0"/>
      <w:spacing w:val="0"/>
      <w:sz w:val="13"/>
      <w:szCs w:val="13"/>
    </w:rPr>
  </w:style>
  <w:style w:type="character" w:customStyle="1" w:styleId="17a">
    <w:name w:val="Заголовок №17_"/>
    <w:basedOn w:val="a0"/>
    <w:rsid w:val="00B32F5E"/>
    <w:rPr>
      <w:rFonts w:ascii="Verdana" w:eastAsia="Verdana" w:hAnsi="Verdana" w:cs="Verdana"/>
      <w:b w:val="0"/>
      <w:bCs w:val="0"/>
      <w:i w:val="0"/>
      <w:iCs w:val="0"/>
      <w:smallCaps w:val="0"/>
      <w:strike w:val="0"/>
      <w:spacing w:val="0"/>
      <w:sz w:val="17"/>
      <w:szCs w:val="17"/>
    </w:rPr>
  </w:style>
  <w:style w:type="character" w:customStyle="1" w:styleId="17b">
    <w:name w:val="Заголовок №17"/>
    <w:basedOn w:val="17a"/>
    <w:rsid w:val="00B32F5E"/>
    <w:rPr>
      <w:rFonts w:ascii="Verdana" w:eastAsia="Verdana" w:hAnsi="Verdana" w:cs="Verdana"/>
      <w:b w:val="0"/>
      <w:bCs w:val="0"/>
      <w:i w:val="0"/>
      <w:iCs w:val="0"/>
      <w:smallCaps w:val="0"/>
      <w:strike w:val="0"/>
      <w:spacing w:val="0"/>
      <w:sz w:val="17"/>
      <w:szCs w:val="17"/>
    </w:rPr>
  </w:style>
  <w:style w:type="character" w:customStyle="1" w:styleId="125">
    <w:name w:val="Основной текст (12) + Не курсив"/>
    <w:basedOn w:val="122"/>
    <w:rsid w:val="00B32F5E"/>
    <w:rPr>
      <w:rFonts w:ascii="Times New Roman" w:eastAsia="Times New Roman" w:hAnsi="Times New Roman" w:cs="Times New Roman"/>
      <w:b/>
      <w:bCs/>
      <w:i/>
      <w:iCs/>
      <w:smallCaps w:val="0"/>
      <w:strike w:val="0"/>
      <w:spacing w:val="0"/>
      <w:sz w:val="14"/>
      <w:szCs w:val="14"/>
      <w:shd w:val="clear" w:color="auto" w:fill="FFFFFF"/>
      <w:lang w:eastAsia="en-US"/>
    </w:rPr>
  </w:style>
  <w:style w:type="character" w:customStyle="1" w:styleId="ArialNarrow0">
    <w:name w:val="Основной текст + Arial Narrow;Полужирный;Курсив"/>
    <w:basedOn w:val="aff"/>
    <w:rsid w:val="00B32F5E"/>
    <w:rPr>
      <w:rFonts w:ascii="Arial Narrow" w:eastAsia="Arial Narrow" w:hAnsi="Arial Narrow" w:cs="Arial Narrow"/>
      <w:b/>
      <w:bCs/>
      <w:i/>
      <w:iCs/>
      <w:smallCaps w:val="0"/>
      <w:strike w:val="0"/>
      <w:spacing w:val="0"/>
      <w:sz w:val="14"/>
      <w:szCs w:val="14"/>
      <w:shd w:val="clear" w:color="auto" w:fill="FFFFFF"/>
    </w:rPr>
  </w:style>
  <w:style w:type="character" w:customStyle="1" w:styleId="118">
    <w:name w:val="Подпись к картинке (11)_"/>
    <w:basedOn w:val="a0"/>
    <w:rsid w:val="00B32F5E"/>
    <w:rPr>
      <w:b w:val="0"/>
      <w:bCs w:val="0"/>
      <w:i w:val="0"/>
      <w:iCs w:val="0"/>
      <w:smallCaps w:val="0"/>
      <w:strike w:val="0"/>
      <w:spacing w:val="0"/>
      <w:sz w:val="12"/>
      <w:szCs w:val="12"/>
    </w:rPr>
  </w:style>
  <w:style w:type="character" w:customStyle="1" w:styleId="119">
    <w:name w:val="Подпись к картинке (11) + Полужирный"/>
    <w:basedOn w:val="118"/>
    <w:rsid w:val="00B32F5E"/>
    <w:rPr>
      <w:b/>
      <w:bCs/>
      <w:i w:val="0"/>
      <w:iCs w:val="0"/>
      <w:smallCaps w:val="0"/>
      <w:strike w:val="0"/>
      <w:spacing w:val="0"/>
      <w:sz w:val="12"/>
      <w:szCs w:val="12"/>
    </w:rPr>
  </w:style>
  <w:style w:type="character" w:customStyle="1" w:styleId="11a">
    <w:name w:val="Подпись к картинке (11)"/>
    <w:basedOn w:val="118"/>
    <w:rsid w:val="00B32F5E"/>
    <w:rPr>
      <w:b w:val="0"/>
      <w:bCs w:val="0"/>
      <w:i w:val="0"/>
      <w:iCs w:val="0"/>
      <w:smallCaps w:val="0"/>
      <w:strike w:val="0"/>
      <w:spacing w:val="0"/>
      <w:sz w:val="12"/>
      <w:szCs w:val="12"/>
    </w:rPr>
  </w:style>
  <w:style w:type="character" w:customStyle="1" w:styleId="20ArialUnicodeMS">
    <w:name w:val="Основной текст (20) + Arial Unicode MS;Не курсив"/>
    <w:basedOn w:val="200"/>
    <w:rsid w:val="00B32F5E"/>
    <w:rPr>
      <w:rFonts w:ascii="Arial Unicode MS" w:eastAsia="Arial Unicode MS" w:hAnsi="Arial Unicode MS" w:cs="Arial Unicode MS"/>
      <w:b w:val="0"/>
      <w:bCs w:val="0"/>
      <w:i/>
      <w:iCs/>
      <w:smallCaps w:val="0"/>
      <w:strike w:val="0"/>
      <w:spacing w:val="0"/>
      <w:sz w:val="14"/>
      <w:szCs w:val="14"/>
      <w:shd w:val="clear" w:color="auto" w:fill="FFFFFF"/>
    </w:rPr>
  </w:style>
  <w:style w:type="character" w:customStyle="1" w:styleId="1930">
    <w:name w:val="Заголовок №19 (3)_"/>
    <w:basedOn w:val="a0"/>
    <w:rsid w:val="00B32F5E"/>
    <w:rPr>
      <w:rFonts w:ascii="Times New Roman" w:eastAsia="Times New Roman" w:hAnsi="Times New Roman" w:cs="Times New Roman"/>
      <w:b w:val="0"/>
      <w:bCs w:val="0"/>
      <w:i w:val="0"/>
      <w:iCs w:val="0"/>
      <w:smallCaps w:val="0"/>
      <w:strike w:val="0"/>
      <w:spacing w:val="0"/>
      <w:sz w:val="20"/>
      <w:szCs w:val="20"/>
    </w:rPr>
  </w:style>
  <w:style w:type="character" w:customStyle="1" w:styleId="1931">
    <w:name w:val="Заголовок №19 (3)"/>
    <w:basedOn w:val="1930"/>
    <w:rsid w:val="00B32F5E"/>
    <w:rPr>
      <w:rFonts w:ascii="Times New Roman" w:eastAsia="Times New Roman" w:hAnsi="Times New Roman" w:cs="Times New Roman"/>
      <w:b w:val="0"/>
      <w:bCs w:val="0"/>
      <w:i w:val="0"/>
      <w:iCs w:val="0"/>
      <w:smallCaps w:val="0"/>
      <w:strike w:val="0"/>
      <w:spacing w:val="0"/>
      <w:sz w:val="20"/>
      <w:szCs w:val="20"/>
    </w:rPr>
  </w:style>
  <w:style w:type="character" w:customStyle="1" w:styleId="11b">
    <w:name w:val="Основной текст (11) + Не полужирный"/>
    <w:basedOn w:val="117"/>
    <w:rsid w:val="00B32F5E"/>
    <w:rPr>
      <w:rFonts w:ascii="Franklin Gothic Book" w:eastAsia="Franklin Gothic Book" w:hAnsi="Franklin Gothic Book" w:cs="Franklin Gothic Book"/>
      <w:b/>
      <w:bCs/>
      <w:i w:val="0"/>
      <w:iCs w:val="0"/>
      <w:smallCaps w:val="0"/>
      <w:strike w:val="0"/>
      <w:spacing w:val="0"/>
      <w:sz w:val="13"/>
      <w:szCs w:val="13"/>
    </w:rPr>
  </w:style>
  <w:style w:type="paragraph" w:customStyle="1" w:styleId="1620">
    <w:name w:val="Основной текст162"/>
    <w:basedOn w:val="a"/>
    <w:rsid w:val="00B32F5E"/>
    <w:pPr>
      <w:shd w:val="clear" w:color="auto" w:fill="FFFFFF"/>
      <w:spacing w:before="120"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1100">
    <w:name w:val="Основной текст110"/>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10">
    <w:name w:val="Основной текст111"/>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22">
    <w:name w:val="Основной текст112"/>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5pt0">
    <w:name w:val="Основной текст + 34;5 pt"/>
    <w:basedOn w:val="aff"/>
    <w:rsid w:val="00B32F5E"/>
    <w:rPr>
      <w:rFonts w:ascii="Franklin Gothic Book" w:eastAsia="Franklin Gothic Book" w:hAnsi="Franklin Gothic Book" w:cs="Franklin Gothic Book"/>
      <w:b w:val="0"/>
      <w:bCs w:val="0"/>
      <w:i w:val="0"/>
      <w:iCs w:val="0"/>
      <w:smallCaps w:val="0"/>
      <w:strike w:val="0"/>
      <w:spacing w:val="0"/>
      <w:w w:val="100"/>
      <w:sz w:val="69"/>
      <w:szCs w:val="69"/>
      <w:shd w:val="clear" w:color="auto" w:fill="FFFFFF"/>
    </w:rPr>
  </w:style>
  <w:style w:type="character" w:customStyle="1" w:styleId="1140">
    <w:name w:val="Основной текст114"/>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f">
    <w:name w:val="Подпись к картинке (5)_"/>
    <w:basedOn w:val="a0"/>
    <w:rsid w:val="00B32F5E"/>
    <w:rPr>
      <w:rFonts w:ascii="Franklin Gothic Book" w:eastAsia="Franklin Gothic Book" w:hAnsi="Franklin Gothic Book" w:cs="Franklin Gothic Book"/>
      <w:b w:val="0"/>
      <w:bCs w:val="0"/>
      <w:i w:val="0"/>
      <w:iCs w:val="0"/>
      <w:smallCaps w:val="0"/>
      <w:strike w:val="0"/>
      <w:spacing w:val="0"/>
      <w:sz w:val="15"/>
      <w:szCs w:val="15"/>
      <w:lang w:val="en-US"/>
    </w:rPr>
  </w:style>
  <w:style w:type="character" w:customStyle="1" w:styleId="1170">
    <w:name w:val="Основной текст117"/>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80">
    <w:name w:val="Основной текст118"/>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90">
    <w:name w:val="Основной текст119"/>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00">
    <w:name w:val="Основной текст120"/>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10">
    <w:name w:val="Основной текст121"/>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pt1">
    <w:name w:val="Подпись к картинке + Интервал 1 pt"/>
    <w:basedOn w:val="affa"/>
    <w:rsid w:val="00B32F5E"/>
    <w:rPr>
      <w:rFonts w:ascii="Franklin Gothic Book" w:eastAsia="Franklin Gothic Book" w:hAnsi="Franklin Gothic Book" w:cs="Franklin Gothic Book"/>
      <w:b/>
      <w:bCs/>
      <w:i w:val="0"/>
      <w:iCs w:val="0"/>
      <w:smallCaps w:val="0"/>
      <w:strike w:val="0"/>
      <w:spacing w:val="30"/>
      <w:sz w:val="13"/>
      <w:szCs w:val="13"/>
      <w:shd w:val="clear" w:color="auto" w:fill="FFFFFF"/>
      <w:lang w:eastAsia="en-US"/>
    </w:rPr>
  </w:style>
  <w:style w:type="character" w:customStyle="1" w:styleId="1220">
    <w:name w:val="Основной текст122"/>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30">
    <w:name w:val="Основной текст123"/>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40">
    <w:name w:val="Основной текст124"/>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50">
    <w:name w:val="Основной текст125"/>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6">
    <w:name w:val="Основной текст126"/>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7">
    <w:name w:val="Основной текст127"/>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d">
    <w:name w:val="Основной текст (10) + Полужирный;Не курсив"/>
    <w:basedOn w:val="108"/>
    <w:rsid w:val="00B32F5E"/>
    <w:rPr>
      <w:rFonts w:ascii="Franklin Gothic Book" w:eastAsia="Franklin Gothic Book" w:hAnsi="Franklin Gothic Book" w:cs="Franklin Gothic Book"/>
      <w:b/>
      <w:bCs/>
      <w:i/>
      <w:iCs/>
      <w:smallCaps w:val="0"/>
      <w:strike w:val="0"/>
      <w:spacing w:val="0"/>
      <w:sz w:val="16"/>
      <w:szCs w:val="16"/>
      <w:shd w:val="clear" w:color="auto" w:fill="FFFFFF"/>
    </w:rPr>
  </w:style>
  <w:style w:type="character" w:customStyle="1" w:styleId="Verdana55pt0pt">
    <w:name w:val="Подпись к картинке + Verdana;5;5 pt;Не полужирный;Курсив;Интервал 0 pt"/>
    <w:basedOn w:val="affa"/>
    <w:rsid w:val="00B32F5E"/>
    <w:rPr>
      <w:rFonts w:ascii="Verdana" w:eastAsia="Verdana" w:hAnsi="Verdana" w:cs="Verdana"/>
      <w:b w:val="0"/>
      <w:bCs w:val="0"/>
      <w:i/>
      <w:iCs/>
      <w:smallCaps w:val="0"/>
      <w:strike w:val="0"/>
      <w:spacing w:val="10"/>
      <w:sz w:val="11"/>
      <w:szCs w:val="11"/>
      <w:shd w:val="clear" w:color="auto" w:fill="FFFFFF"/>
      <w:lang w:eastAsia="en-US"/>
    </w:rPr>
  </w:style>
  <w:style w:type="character" w:customStyle="1" w:styleId="293">
    <w:name w:val="Основной текст29"/>
    <w:basedOn w:val="aff"/>
    <w:rsid w:val="00B32F5E"/>
    <w:rPr>
      <w:rFonts w:ascii="Franklin Gothic Book" w:eastAsia="Franklin Gothic Book" w:hAnsi="Franklin Gothic Book" w:cs="Franklin Gothic Book"/>
      <w:b w:val="0"/>
      <w:bCs w:val="0"/>
      <w:i w:val="0"/>
      <w:iCs w:val="0"/>
      <w:smallCaps w:val="0"/>
      <w:strike w:val="0"/>
      <w:spacing w:val="0"/>
      <w:sz w:val="16"/>
      <w:szCs w:val="16"/>
      <w:shd w:val="clear" w:color="auto" w:fill="FFFFFF"/>
    </w:rPr>
  </w:style>
  <w:style w:type="character" w:customStyle="1" w:styleId="327pt">
    <w:name w:val="Основной текст (32) + 7 pt;Не полужирный"/>
    <w:basedOn w:val="321"/>
    <w:rsid w:val="00B32F5E"/>
    <w:rPr>
      <w:rFonts w:ascii="Franklin Gothic Book" w:eastAsia="Franklin Gothic Book" w:hAnsi="Franklin Gothic Book" w:cs="Franklin Gothic Book"/>
      <w:b/>
      <w:bCs/>
      <w:i w:val="0"/>
      <w:iCs w:val="0"/>
      <w:smallCaps w:val="0"/>
      <w:strike w:val="0"/>
      <w:spacing w:val="0"/>
      <w:sz w:val="14"/>
      <w:szCs w:val="14"/>
      <w:shd w:val="clear" w:color="auto" w:fill="FFFFFF"/>
      <w:lang w:eastAsia="ru-RU"/>
    </w:rPr>
  </w:style>
  <w:style w:type="character" w:customStyle="1" w:styleId="35pt">
    <w:name w:val="Основной текст + 35 pt"/>
    <w:basedOn w:val="aff"/>
    <w:rsid w:val="00B32F5E"/>
    <w:rPr>
      <w:rFonts w:ascii="Franklin Gothic Book" w:eastAsia="Franklin Gothic Book" w:hAnsi="Franklin Gothic Book" w:cs="Franklin Gothic Book"/>
      <w:b w:val="0"/>
      <w:bCs w:val="0"/>
      <w:i w:val="0"/>
      <w:iCs w:val="0"/>
      <w:smallCaps w:val="0"/>
      <w:strike w:val="0"/>
      <w:spacing w:val="0"/>
      <w:w w:val="100"/>
      <w:sz w:val="70"/>
      <w:szCs w:val="70"/>
      <w:shd w:val="clear" w:color="auto" w:fill="FFFFFF"/>
    </w:rPr>
  </w:style>
  <w:style w:type="character" w:customStyle="1" w:styleId="205">
    <w:name w:val="Подпись к картинке (20)_"/>
    <w:basedOn w:val="a0"/>
    <w:rsid w:val="00B32F5E"/>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206">
    <w:name w:val="Подпись к картинке (20) + Полужирный"/>
    <w:basedOn w:val="205"/>
    <w:rsid w:val="00B32F5E"/>
    <w:rPr>
      <w:rFonts w:ascii="Franklin Gothic Book" w:eastAsia="Franklin Gothic Book" w:hAnsi="Franklin Gothic Book" w:cs="Franklin Gothic Book"/>
      <w:b/>
      <w:bCs/>
      <w:i w:val="0"/>
      <w:iCs w:val="0"/>
      <w:smallCaps w:val="0"/>
      <w:strike w:val="0"/>
      <w:spacing w:val="0"/>
      <w:sz w:val="13"/>
      <w:szCs w:val="13"/>
    </w:rPr>
  </w:style>
  <w:style w:type="character" w:customStyle="1" w:styleId="217">
    <w:name w:val="Подпись к картинке (21)_"/>
    <w:basedOn w:val="a0"/>
    <w:rsid w:val="00B32F5E"/>
    <w:rPr>
      <w:rFonts w:ascii="Times New Roman" w:eastAsia="Times New Roman" w:hAnsi="Times New Roman" w:cs="Times New Roman"/>
      <w:b w:val="0"/>
      <w:bCs w:val="0"/>
      <w:i w:val="0"/>
      <w:iCs w:val="0"/>
      <w:smallCaps w:val="0"/>
      <w:strike w:val="0"/>
      <w:spacing w:val="0"/>
      <w:sz w:val="18"/>
      <w:szCs w:val="18"/>
    </w:rPr>
  </w:style>
  <w:style w:type="character" w:customStyle="1" w:styleId="245">
    <w:name w:val="Основной текст (24) + Не курсив"/>
    <w:basedOn w:val="241"/>
    <w:rsid w:val="00B32F5E"/>
    <w:rPr>
      <w:rFonts w:ascii="Franklin Gothic Book" w:eastAsia="Franklin Gothic Book" w:hAnsi="Franklin Gothic Book" w:cs="Franklin Gothic Book"/>
      <w:b w:val="0"/>
      <w:bCs w:val="0"/>
      <w:i/>
      <w:iCs/>
      <w:smallCaps w:val="0"/>
      <w:strike w:val="0"/>
      <w:spacing w:val="0"/>
      <w:sz w:val="15"/>
      <w:szCs w:val="15"/>
    </w:rPr>
  </w:style>
  <w:style w:type="character" w:customStyle="1" w:styleId="236">
    <w:name w:val="Подпись к картинке (23) + Полужирный;Не курсив"/>
    <w:basedOn w:val="231"/>
    <w:rsid w:val="00B32F5E"/>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411">
    <w:name w:val="Основной текст (41)_"/>
    <w:basedOn w:val="a0"/>
    <w:rsid w:val="00B32F5E"/>
    <w:rPr>
      <w:rFonts w:ascii="Times New Roman" w:eastAsia="Times New Roman" w:hAnsi="Times New Roman" w:cs="Times New Roman"/>
      <w:b w:val="0"/>
      <w:bCs w:val="0"/>
      <w:i w:val="0"/>
      <w:iCs w:val="0"/>
      <w:smallCaps w:val="0"/>
      <w:strike w:val="0"/>
      <w:spacing w:val="0"/>
      <w:sz w:val="18"/>
      <w:szCs w:val="18"/>
    </w:rPr>
  </w:style>
  <w:style w:type="character" w:customStyle="1" w:styleId="3185pt0pt">
    <w:name w:val="Основной текст (3) + 18;5 pt;Полужирный;Не курсив;Интервал 0 pt"/>
    <w:basedOn w:val="34"/>
    <w:rsid w:val="00B32F5E"/>
    <w:rPr>
      <w:rFonts w:ascii="Times New Roman" w:hAnsi="Times New Roman"/>
      <w:b w:val="0"/>
      <w:bCs w:val="0"/>
      <w:i w:val="0"/>
      <w:iCs w:val="0"/>
      <w:noProof/>
      <w:color w:val="FFFFFF"/>
      <w:spacing w:val="0"/>
      <w:sz w:val="37"/>
      <w:szCs w:val="37"/>
      <w:shd w:val="clear" w:color="auto" w:fill="FFFFFF"/>
      <w:lang w:val="en-US" w:eastAsia="en-US"/>
    </w:rPr>
  </w:style>
  <w:style w:type="character" w:customStyle="1" w:styleId="75pt0">
    <w:name w:val="Подпись к картинке + 7;5 pt;Не полужирный"/>
    <w:basedOn w:val="affa"/>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lang w:eastAsia="en-US"/>
    </w:rPr>
  </w:style>
  <w:style w:type="character" w:customStyle="1" w:styleId="155">
    <w:name w:val="Основной текст (15) + Не курсив"/>
    <w:basedOn w:val="152"/>
    <w:rsid w:val="00B32F5E"/>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188">
    <w:name w:val="Заголовок №18"/>
    <w:basedOn w:val="a0"/>
    <w:rsid w:val="00B32F5E"/>
    <w:rPr>
      <w:rFonts w:ascii="Franklin Gothic Book" w:eastAsia="Franklin Gothic Book" w:hAnsi="Franklin Gothic Book" w:cs="Franklin Gothic Book"/>
      <w:b w:val="0"/>
      <w:bCs w:val="0"/>
      <w:i w:val="0"/>
      <w:iCs w:val="0"/>
      <w:smallCaps w:val="0"/>
      <w:strike w:val="0"/>
      <w:spacing w:val="0"/>
      <w:sz w:val="49"/>
      <w:szCs w:val="49"/>
    </w:rPr>
  </w:style>
  <w:style w:type="character" w:customStyle="1" w:styleId="17c">
    <w:name w:val="Подпись к картинке (17) + Полужирный;Не курсив"/>
    <w:basedOn w:val="171"/>
    <w:rsid w:val="00B32F5E"/>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paragraph" w:styleId="afff0">
    <w:name w:val="footer"/>
    <w:basedOn w:val="a"/>
    <w:link w:val="afff1"/>
    <w:uiPriority w:val="99"/>
    <w:unhideWhenUsed/>
    <w:rsid w:val="00B32F5E"/>
    <w:pPr>
      <w:tabs>
        <w:tab w:val="center" w:pos="4677"/>
        <w:tab w:val="right" w:pos="9355"/>
      </w:tabs>
      <w:spacing w:after="0" w:line="240" w:lineRule="auto"/>
      <w:jc w:val="both"/>
    </w:pPr>
    <w:rPr>
      <w:rFonts w:asciiTheme="minorHAnsi" w:eastAsiaTheme="minorHAnsi" w:hAnsiTheme="minorHAnsi" w:cstheme="minorBidi"/>
    </w:rPr>
  </w:style>
  <w:style w:type="character" w:customStyle="1" w:styleId="afff1">
    <w:name w:val="Нижний колонтитул Знак"/>
    <w:basedOn w:val="a0"/>
    <w:link w:val="afff0"/>
    <w:uiPriority w:val="99"/>
    <w:rsid w:val="00B32F5E"/>
    <w:rPr>
      <w:rFonts w:asciiTheme="minorHAnsi" w:eastAsiaTheme="minorHAnsi" w:hAnsiTheme="minorHAnsi" w:cstheme="minorBidi"/>
      <w:sz w:val="22"/>
      <w:szCs w:val="22"/>
      <w:lang w:eastAsia="en-US"/>
    </w:rPr>
  </w:style>
  <w:style w:type="character" w:customStyle="1" w:styleId="531">
    <w:name w:val="Основной текст (53)_"/>
    <w:basedOn w:val="a0"/>
    <w:rsid w:val="00B32F5E"/>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FranklinGothicBook65pt">
    <w:name w:val="Подпись к картинке + Franklin Gothic Book;6;5 pt"/>
    <w:basedOn w:val="affa"/>
    <w:rsid w:val="00B32F5E"/>
    <w:rPr>
      <w:rFonts w:ascii="Franklin Gothic Book" w:eastAsia="Franklin Gothic Book" w:hAnsi="Franklin Gothic Book" w:cs="Franklin Gothic Book"/>
      <w:b/>
      <w:bCs/>
      <w:i w:val="0"/>
      <w:iCs w:val="0"/>
      <w:smallCaps w:val="0"/>
      <w:strike w:val="0"/>
      <w:spacing w:val="0"/>
      <w:sz w:val="13"/>
      <w:szCs w:val="13"/>
      <w:shd w:val="clear" w:color="auto" w:fill="FFFFFF"/>
      <w:lang w:eastAsia="en-US"/>
    </w:rPr>
  </w:style>
  <w:style w:type="character" w:customStyle="1" w:styleId="1141">
    <w:name w:val="Заголовок №11 (4)_"/>
    <w:basedOn w:val="a0"/>
    <w:link w:val="1142"/>
    <w:rsid w:val="00B32F5E"/>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
    <w:link w:val="1141"/>
    <w:rsid w:val="00B32F5E"/>
    <w:pPr>
      <w:shd w:val="clear" w:color="auto" w:fill="FFFFFF"/>
      <w:spacing w:after="0" w:line="197" w:lineRule="exact"/>
      <w:ind w:firstLine="220"/>
      <w:jc w:val="both"/>
    </w:pPr>
    <w:rPr>
      <w:rFonts w:ascii="Franklin Gothic Book" w:eastAsia="Franklin Gothic Book" w:hAnsi="Franklin Gothic Book" w:cs="Franklin Gothic Book"/>
      <w:sz w:val="15"/>
      <w:szCs w:val="15"/>
      <w:lang w:eastAsia="ru-RU"/>
    </w:rPr>
  </w:style>
  <w:style w:type="character" w:customStyle="1" w:styleId="39FranklinGothicBook65pt">
    <w:name w:val="Основной текст (39) + Franklin Gothic Book;6;5 pt"/>
    <w:basedOn w:val="391"/>
    <w:rsid w:val="00B32F5E"/>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52">
    <w:name w:val="Основной текст (35) + Не курсив"/>
    <w:basedOn w:val="351"/>
    <w:rsid w:val="00B32F5E"/>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385pt80">
    <w:name w:val="Основной текст + 38;5 pt;Полужирный;Масштаб 80%"/>
    <w:basedOn w:val="aff"/>
    <w:rsid w:val="00B32F5E"/>
    <w:rPr>
      <w:rFonts w:ascii="Franklin Gothic Book" w:eastAsia="Franklin Gothic Book" w:hAnsi="Franklin Gothic Book" w:cs="Franklin Gothic Book"/>
      <w:b/>
      <w:bCs/>
      <w:i w:val="0"/>
      <w:iCs w:val="0"/>
      <w:smallCaps w:val="0"/>
      <w:strike w:val="0"/>
      <w:spacing w:val="0"/>
      <w:w w:val="80"/>
      <w:sz w:val="77"/>
      <w:szCs w:val="77"/>
      <w:shd w:val="clear" w:color="auto" w:fill="FFFFFF"/>
    </w:rPr>
  </w:style>
  <w:style w:type="character" w:customStyle="1" w:styleId="afff2">
    <w:name w:val="a"/>
    <w:basedOn w:val="a0"/>
    <w:rsid w:val="00B32F5E"/>
  </w:style>
  <w:style w:type="character" w:customStyle="1" w:styleId="p">
    <w:name w:val="p"/>
    <w:basedOn w:val="a0"/>
    <w:rsid w:val="00B32F5E"/>
  </w:style>
  <w:style w:type="table" w:styleId="afff3">
    <w:name w:val="Table Grid"/>
    <w:basedOn w:val="a1"/>
    <w:uiPriority w:val="59"/>
    <w:rsid w:val="00B32F5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5">
    <w:name w:val="Подпись к картинке (28)_"/>
    <w:basedOn w:val="a0"/>
    <w:link w:val="286"/>
    <w:rsid w:val="00B32F5E"/>
    <w:rPr>
      <w:sz w:val="10"/>
      <w:szCs w:val="10"/>
      <w:shd w:val="clear" w:color="auto" w:fill="FFFFFF"/>
    </w:rPr>
  </w:style>
  <w:style w:type="paragraph" w:customStyle="1" w:styleId="286">
    <w:name w:val="Подпись к картинке (28)"/>
    <w:basedOn w:val="a"/>
    <w:link w:val="285"/>
    <w:rsid w:val="00B32F5E"/>
    <w:pPr>
      <w:shd w:val="clear" w:color="auto" w:fill="FFFFFF"/>
      <w:spacing w:after="0" w:line="0" w:lineRule="atLeast"/>
    </w:pPr>
    <w:rPr>
      <w:sz w:val="10"/>
      <w:szCs w:val="10"/>
      <w:lang w:eastAsia="ru-RU"/>
    </w:rPr>
  </w:style>
  <w:style w:type="character" w:customStyle="1" w:styleId="28FranklinGothicBook75pt">
    <w:name w:val="Подпись к картинке (28) + Franklin Gothic Book;7;5 pt;Курсив"/>
    <w:basedOn w:val="285"/>
    <w:rsid w:val="00B32F5E"/>
    <w:rPr>
      <w:rFonts w:ascii="Franklin Gothic Book" w:eastAsia="Franklin Gothic Book" w:hAnsi="Franklin Gothic Book" w:cs="Franklin Gothic Book"/>
      <w:i/>
      <w:iCs/>
      <w:sz w:val="15"/>
      <w:szCs w:val="15"/>
      <w:shd w:val="clear" w:color="auto" w:fill="FFFFFF"/>
    </w:rPr>
  </w:style>
  <w:style w:type="character" w:customStyle="1" w:styleId="383">
    <w:name w:val="Основной текст (38) + Не курсив"/>
    <w:basedOn w:val="381"/>
    <w:rsid w:val="00B32F5E"/>
    <w:rPr>
      <w:rFonts w:ascii="Franklin Gothic Book" w:eastAsia="Franklin Gothic Book" w:hAnsi="Franklin Gothic Book" w:cs="Franklin Gothic Book"/>
      <w:b w:val="0"/>
      <w:bCs w:val="0"/>
      <w:i/>
      <w:iCs/>
      <w:smallCaps w:val="0"/>
      <w:strike w:val="0"/>
      <w:spacing w:val="0"/>
      <w:sz w:val="15"/>
      <w:szCs w:val="15"/>
    </w:rPr>
  </w:style>
  <w:style w:type="character" w:customStyle="1" w:styleId="540">
    <w:name w:val="Основной текст (54)_"/>
    <w:basedOn w:val="a0"/>
    <w:rsid w:val="00B32F5E"/>
    <w:rPr>
      <w:rFonts w:ascii="Franklin Gothic Book" w:eastAsia="Franklin Gothic Book" w:hAnsi="Franklin Gothic Book" w:cs="Franklin Gothic Book"/>
      <w:b w:val="0"/>
      <w:bCs w:val="0"/>
      <w:i w:val="0"/>
      <w:iCs w:val="0"/>
      <w:smallCaps w:val="0"/>
      <w:strike w:val="0"/>
      <w:spacing w:val="20"/>
      <w:sz w:val="113"/>
      <w:szCs w:val="113"/>
    </w:rPr>
  </w:style>
  <w:style w:type="character" w:customStyle="1" w:styleId="294">
    <w:name w:val="Подпись к картинке (29)_"/>
    <w:basedOn w:val="a0"/>
    <w:link w:val="295"/>
    <w:rsid w:val="00B32F5E"/>
    <w:rPr>
      <w:rFonts w:ascii="Franklin Gothic Book" w:eastAsia="Franklin Gothic Book" w:hAnsi="Franklin Gothic Book" w:cs="Franklin Gothic Book"/>
      <w:sz w:val="14"/>
      <w:szCs w:val="14"/>
      <w:shd w:val="clear" w:color="auto" w:fill="FFFFFF"/>
    </w:rPr>
  </w:style>
  <w:style w:type="paragraph" w:customStyle="1" w:styleId="295">
    <w:name w:val="Подпись к картинке (29)"/>
    <w:basedOn w:val="a"/>
    <w:link w:val="294"/>
    <w:rsid w:val="00B32F5E"/>
    <w:pPr>
      <w:shd w:val="clear" w:color="auto" w:fill="FFFFFF"/>
      <w:spacing w:before="60" w:after="180" w:line="197" w:lineRule="exact"/>
    </w:pPr>
    <w:rPr>
      <w:rFonts w:ascii="Franklin Gothic Book" w:eastAsia="Franklin Gothic Book" w:hAnsi="Franklin Gothic Book" w:cs="Franklin Gothic Book"/>
      <w:sz w:val="14"/>
      <w:szCs w:val="14"/>
      <w:lang w:eastAsia="ru-RU"/>
    </w:rPr>
  </w:style>
  <w:style w:type="character" w:customStyle="1" w:styleId="1831">
    <w:name w:val="Заголовок №18 (3)_"/>
    <w:basedOn w:val="a0"/>
    <w:link w:val="1832"/>
    <w:rsid w:val="00B32F5E"/>
    <w:rPr>
      <w:spacing w:val="-10"/>
      <w:sz w:val="21"/>
      <w:szCs w:val="21"/>
      <w:shd w:val="clear" w:color="auto" w:fill="FFFFFF"/>
    </w:rPr>
  </w:style>
  <w:style w:type="paragraph" w:customStyle="1" w:styleId="1832">
    <w:name w:val="Заголовок №18 (3)"/>
    <w:basedOn w:val="a"/>
    <w:link w:val="1831"/>
    <w:rsid w:val="00B32F5E"/>
    <w:pPr>
      <w:shd w:val="clear" w:color="auto" w:fill="FFFFFF"/>
      <w:spacing w:before="300" w:after="0" w:line="0" w:lineRule="atLeast"/>
    </w:pPr>
    <w:rPr>
      <w:spacing w:val="-10"/>
      <w:sz w:val="21"/>
      <w:szCs w:val="21"/>
      <w:lang w:eastAsia="ru-RU"/>
    </w:rPr>
  </w:style>
  <w:style w:type="character" w:customStyle="1" w:styleId="1830pt">
    <w:name w:val="Заголовок №18 (3) + Интервал 0 pt"/>
    <w:basedOn w:val="1831"/>
    <w:rsid w:val="00B32F5E"/>
    <w:rPr>
      <w:spacing w:val="0"/>
      <w:sz w:val="21"/>
      <w:szCs w:val="21"/>
      <w:shd w:val="clear" w:color="auto" w:fill="FFFFFF"/>
    </w:rPr>
  </w:style>
  <w:style w:type="character" w:customStyle="1" w:styleId="7pt0">
    <w:name w:val="Подпись к картинке + 7 pt;Не полужирный"/>
    <w:basedOn w:val="affa"/>
    <w:rsid w:val="00B32F5E"/>
    <w:rPr>
      <w:rFonts w:ascii="Franklin Gothic Book" w:eastAsia="Franklin Gothic Book" w:hAnsi="Franklin Gothic Book" w:cs="Franklin Gothic Book"/>
      <w:b w:val="0"/>
      <w:bCs w:val="0"/>
      <w:i w:val="0"/>
      <w:iCs w:val="0"/>
      <w:smallCaps w:val="0"/>
      <w:strike w:val="0"/>
      <w:spacing w:val="0"/>
      <w:sz w:val="13"/>
      <w:szCs w:val="13"/>
      <w:shd w:val="clear" w:color="auto" w:fill="FFFFFF"/>
      <w:lang w:eastAsia="en-US"/>
    </w:rPr>
  </w:style>
  <w:style w:type="character" w:customStyle="1" w:styleId="4475pt0">
    <w:name w:val="Основной текст (44) + 7;5 pt;Не полужирный"/>
    <w:basedOn w:val="440"/>
    <w:rsid w:val="00B32F5E"/>
    <w:rPr>
      <w:rFonts w:ascii="Franklin Gothic Book" w:eastAsia="Franklin Gothic Book" w:hAnsi="Franklin Gothic Book" w:cs="Franklin Gothic Book"/>
      <w:b/>
      <w:bCs/>
      <w:i w:val="0"/>
      <w:iCs w:val="0"/>
      <w:smallCaps w:val="0"/>
      <w:strike w:val="0"/>
      <w:spacing w:val="0"/>
      <w:sz w:val="15"/>
      <w:szCs w:val="15"/>
    </w:rPr>
  </w:style>
  <w:style w:type="character" w:customStyle="1" w:styleId="490">
    <w:name w:val="Основной текст (49)_"/>
    <w:basedOn w:val="a0"/>
    <w:rsid w:val="00B32F5E"/>
    <w:rPr>
      <w:rFonts w:ascii="Arial Narrow" w:eastAsia="Arial Narrow" w:hAnsi="Arial Narrow" w:cs="Arial Narrow"/>
      <w:b w:val="0"/>
      <w:bCs w:val="0"/>
      <w:i w:val="0"/>
      <w:iCs w:val="0"/>
      <w:smallCaps w:val="0"/>
      <w:strike w:val="0"/>
      <w:spacing w:val="0"/>
      <w:sz w:val="14"/>
      <w:szCs w:val="14"/>
    </w:rPr>
  </w:style>
  <w:style w:type="character" w:customStyle="1" w:styleId="491">
    <w:name w:val="Основной текст (49)"/>
    <w:basedOn w:val="490"/>
    <w:rsid w:val="00B32F5E"/>
    <w:rPr>
      <w:rFonts w:ascii="Arial Narrow" w:eastAsia="Arial Narrow" w:hAnsi="Arial Narrow" w:cs="Arial Narrow"/>
      <w:b w:val="0"/>
      <w:bCs w:val="0"/>
      <w:i w:val="0"/>
      <w:iCs w:val="0"/>
      <w:smallCaps w:val="0"/>
      <w:strike w:val="0"/>
      <w:spacing w:val="0"/>
      <w:sz w:val="14"/>
      <w:szCs w:val="14"/>
    </w:rPr>
  </w:style>
  <w:style w:type="paragraph" w:customStyle="1" w:styleId="1510">
    <w:name w:val="Основной текст151"/>
    <w:basedOn w:val="a"/>
    <w:rsid w:val="00B32F5E"/>
    <w:pPr>
      <w:shd w:val="clear" w:color="auto" w:fill="FFFFFF"/>
      <w:spacing w:after="0" w:line="0" w:lineRule="atLeast"/>
    </w:pPr>
    <w:rPr>
      <w:rFonts w:ascii="Arial Unicode MS" w:eastAsia="Arial Unicode MS" w:hAnsi="Arial Unicode MS" w:cs="Arial Unicode MS"/>
      <w:color w:val="000000"/>
      <w:sz w:val="14"/>
      <w:szCs w:val="14"/>
      <w:lang w:val="ru" w:eastAsia="ru-RU"/>
    </w:rPr>
  </w:style>
  <w:style w:type="character" w:customStyle="1" w:styleId="38Arial">
    <w:name w:val="Основной текст (38) + Arial;Не полужирный"/>
    <w:basedOn w:val="381"/>
    <w:rsid w:val="00B32F5E"/>
    <w:rPr>
      <w:rFonts w:ascii="Arial" w:eastAsia="Arial" w:hAnsi="Arial" w:cs="Arial"/>
      <w:b/>
      <w:bCs/>
      <w:i w:val="0"/>
      <w:iCs w:val="0"/>
      <w:smallCaps w:val="0"/>
      <w:strike w:val="0"/>
      <w:spacing w:val="0"/>
      <w:sz w:val="12"/>
      <w:szCs w:val="12"/>
    </w:rPr>
  </w:style>
  <w:style w:type="character" w:customStyle="1" w:styleId="4f5">
    <w:name w:val="Заголовок №4_"/>
    <w:basedOn w:val="a0"/>
    <w:rsid w:val="00B32F5E"/>
    <w:rPr>
      <w:rFonts w:ascii="Trebuchet MS" w:eastAsia="Trebuchet MS" w:hAnsi="Trebuchet MS" w:cs="Trebuchet MS"/>
      <w:b w:val="0"/>
      <w:bCs w:val="0"/>
      <w:i w:val="0"/>
      <w:iCs w:val="0"/>
      <w:smallCaps w:val="0"/>
      <w:strike w:val="0"/>
      <w:spacing w:val="0"/>
      <w:sz w:val="78"/>
      <w:szCs w:val="78"/>
    </w:rPr>
  </w:style>
  <w:style w:type="character" w:customStyle="1" w:styleId="273">
    <w:name w:val="Подпись к картинке (27)_"/>
    <w:basedOn w:val="a0"/>
    <w:rsid w:val="00B32F5E"/>
    <w:rPr>
      <w:rFonts w:ascii="Arial" w:eastAsia="Arial" w:hAnsi="Arial" w:cs="Arial"/>
      <w:b w:val="0"/>
      <w:bCs w:val="0"/>
      <w:i w:val="0"/>
      <w:iCs w:val="0"/>
      <w:smallCaps w:val="0"/>
      <w:strike w:val="0"/>
      <w:spacing w:val="0"/>
      <w:sz w:val="16"/>
      <w:szCs w:val="16"/>
      <w:lang w:val="en-US"/>
    </w:rPr>
  </w:style>
  <w:style w:type="character" w:customStyle="1" w:styleId="277">
    <w:name w:val="Подпись к картинке (27)"/>
    <w:basedOn w:val="273"/>
    <w:rsid w:val="00B32F5E"/>
    <w:rPr>
      <w:rFonts w:ascii="Arial" w:eastAsia="Arial" w:hAnsi="Arial" w:cs="Arial"/>
      <w:b w:val="0"/>
      <w:bCs w:val="0"/>
      <w:i w:val="0"/>
      <w:iCs w:val="0"/>
      <w:smallCaps w:val="0"/>
      <w:strike w:val="0"/>
      <w:spacing w:val="0"/>
      <w:sz w:val="16"/>
      <w:szCs w:val="16"/>
      <w:u w:val="single"/>
      <w:lang w:val="en-US"/>
    </w:rPr>
  </w:style>
  <w:style w:type="character" w:customStyle="1" w:styleId="278">
    <w:name w:val="Основной текст27"/>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87">
    <w:name w:val="Основной текст28"/>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35pt">
    <w:name w:val="Подпись к картинке (13) + Интервал 5 pt"/>
    <w:basedOn w:val="132"/>
    <w:rsid w:val="00B32F5E"/>
    <w:rPr>
      <w:rFonts w:ascii="Arial" w:eastAsia="Arial" w:hAnsi="Arial" w:cs="Arial"/>
      <w:b w:val="0"/>
      <w:bCs w:val="0"/>
      <w:i w:val="0"/>
      <w:iCs w:val="0"/>
      <w:smallCaps w:val="0"/>
      <w:strike w:val="0"/>
      <w:spacing w:val="100"/>
      <w:sz w:val="17"/>
      <w:szCs w:val="17"/>
      <w:shd w:val="clear" w:color="auto" w:fill="FFFFFF"/>
    </w:rPr>
  </w:style>
  <w:style w:type="character" w:customStyle="1" w:styleId="13-1pt">
    <w:name w:val="Подпись к картинке (13) + Интервал -1 pt"/>
    <w:basedOn w:val="132"/>
    <w:rsid w:val="00B32F5E"/>
    <w:rPr>
      <w:rFonts w:ascii="Arial" w:eastAsia="Arial" w:hAnsi="Arial" w:cs="Arial"/>
      <w:b w:val="0"/>
      <w:bCs w:val="0"/>
      <w:i w:val="0"/>
      <w:iCs w:val="0"/>
      <w:smallCaps w:val="0"/>
      <w:strike w:val="0"/>
      <w:spacing w:val="-20"/>
      <w:sz w:val="17"/>
      <w:szCs w:val="17"/>
      <w:shd w:val="clear" w:color="auto" w:fill="FFFFFF"/>
    </w:rPr>
  </w:style>
  <w:style w:type="character" w:customStyle="1" w:styleId="303">
    <w:name w:val="Основной текст30"/>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14">
    <w:name w:val="Основной текст31"/>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23">
    <w:name w:val="Основной текст32"/>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2">
    <w:name w:val="Основной текст33"/>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4">
    <w:name w:val="Подпись к картинке (30)_"/>
    <w:basedOn w:val="a0"/>
    <w:link w:val="305"/>
    <w:rsid w:val="00B32F5E"/>
    <w:rPr>
      <w:rFonts w:ascii="Arial" w:eastAsia="Arial" w:hAnsi="Arial" w:cs="Arial"/>
      <w:sz w:val="16"/>
      <w:szCs w:val="16"/>
      <w:shd w:val="clear" w:color="auto" w:fill="FFFFFF"/>
    </w:rPr>
  </w:style>
  <w:style w:type="paragraph" w:customStyle="1" w:styleId="305">
    <w:name w:val="Подпись к картинке (30)"/>
    <w:basedOn w:val="a"/>
    <w:link w:val="304"/>
    <w:rsid w:val="00B32F5E"/>
    <w:pPr>
      <w:shd w:val="clear" w:color="auto" w:fill="FFFFFF"/>
      <w:spacing w:after="0" w:line="0" w:lineRule="atLeast"/>
    </w:pPr>
    <w:rPr>
      <w:rFonts w:ascii="Arial" w:eastAsia="Arial" w:hAnsi="Arial" w:cs="Arial"/>
      <w:sz w:val="16"/>
      <w:szCs w:val="16"/>
      <w:lang w:eastAsia="ru-RU"/>
    </w:rPr>
  </w:style>
  <w:style w:type="character" w:customStyle="1" w:styleId="342">
    <w:name w:val="Основной текст34"/>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53">
    <w:name w:val="Основной текст35"/>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64">
    <w:name w:val="Подпись к картинке (26)_"/>
    <w:basedOn w:val="a0"/>
    <w:rsid w:val="00B32F5E"/>
    <w:rPr>
      <w:rFonts w:ascii="Times New Roman" w:eastAsia="Times New Roman" w:hAnsi="Times New Roman" w:cs="Times New Roman"/>
      <w:b w:val="0"/>
      <w:bCs w:val="0"/>
      <w:i w:val="0"/>
      <w:iCs w:val="0"/>
      <w:smallCaps w:val="0"/>
      <w:strike w:val="0"/>
      <w:spacing w:val="-20"/>
      <w:sz w:val="18"/>
      <w:szCs w:val="18"/>
      <w:lang w:val="en-US"/>
    </w:rPr>
  </w:style>
  <w:style w:type="character" w:customStyle="1" w:styleId="265">
    <w:name w:val="Подпись к картинке (26)"/>
    <w:basedOn w:val="264"/>
    <w:rsid w:val="00B32F5E"/>
    <w:rPr>
      <w:rFonts w:ascii="Times New Roman" w:eastAsia="Times New Roman" w:hAnsi="Times New Roman" w:cs="Times New Roman"/>
      <w:b w:val="0"/>
      <w:bCs w:val="0"/>
      <w:i w:val="0"/>
      <w:iCs w:val="0"/>
      <w:smallCaps w:val="0"/>
      <w:strike w:val="0"/>
      <w:color w:val="EBEBEB"/>
      <w:spacing w:val="-20"/>
      <w:sz w:val="18"/>
      <w:szCs w:val="18"/>
      <w:lang w:val="en-US"/>
    </w:rPr>
  </w:style>
  <w:style w:type="character" w:customStyle="1" w:styleId="4TrebuchetMS">
    <w:name w:val="Подпись к картинке (4) + Trebuchet MS;Курсив"/>
    <w:basedOn w:val="49"/>
    <w:rsid w:val="00B32F5E"/>
    <w:rPr>
      <w:rFonts w:ascii="Trebuchet MS" w:eastAsia="Trebuchet MS" w:hAnsi="Trebuchet MS" w:cs="Trebuchet MS"/>
      <w:b w:val="0"/>
      <w:bCs w:val="0"/>
      <w:i/>
      <w:iCs/>
      <w:smallCaps w:val="0"/>
      <w:strike w:val="0"/>
      <w:spacing w:val="0"/>
      <w:sz w:val="12"/>
      <w:szCs w:val="12"/>
      <w:shd w:val="clear" w:color="auto" w:fill="FFFFFF"/>
      <w:lang w:eastAsia="en-US"/>
    </w:rPr>
  </w:style>
  <w:style w:type="character" w:customStyle="1" w:styleId="364">
    <w:name w:val="Основной текст36"/>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2">
    <w:name w:val="Основной текст37"/>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4">
    <w:name w:val="Основной текст38"/>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Consolas375pt">
    <w:name w:val="Основной текст + Consolas;37;5 pt;Полужирный"/>
    <w:basedOn w:val="aff"/>
    <w:rsid w:val="00B32F5E"/>
    <w:rPr>
      <w:rFonts w:ascii="Consolas" w:eastAsia="Consolas" w:hAnsi="Consolas" w:cs="Consolas"/>
      <w:b/>
      <w:bCs/>
      <w:i w:val="0"/>
      <w:iCs w:val="0"/>
      <w:smallCaps w:val="0"/>
      <w:strike w:val="0"/>
      <w:spacing w:val="0"/>
      <w:w w:val="100"/>
      <w:sz w:val="75"/>
      <w:szCs w:val="75"/>
      <w:shd w:val="clear" w:color="auto" w:fill="FFFFFF"/>
    </w:rPr>
  </w:style>
  <w:style w:type="character" w:customStyle="1" w:styleId="393">
    <w:name w:val="Основной текст39"/>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1">
    <w:name w:val="Подпись к картинке + Arial;Не полужирный"/>
    <w:basedOn w:val="affa"/>
    <w:rsid w:val="00B32F5E"/>
    <w:rPr>
      <w:rFonts w:ascii="Arial" w:eastAsia="Arial" w:hAnsi="Arial" w:cs="Arial"/>
      <w:b w:val="0"/>
      <w:bCs w:val="0"/>
      <w:i w:val="0"/>
      <w:iCs w:val="0"/>
      <w:smallCaps w:val="0"/>
      <w:strike w:val="0"/>
      <w:spacing w:val="0"/>
      <w:sz w:val="12"/>
      <w:szCs w:val="12"/>
      <w:shd w:val="clear" w:color="auto" w:fill="FFFFFF"/>
      <w:lang w:eastAsia="en-US"/>
    </w:rPr>
  </w:style>
  <w:style w:type="character" w:customStyle="1" w:styleId="36Arial8pt">
    <w:name w:val="Основной текст (36) + Arial;8 pt"/>
    <w:basedOn w:val="361"/>
    <w:rsid w:val="00B32F5E"/>
    <w:rPr>
      <w:rFonts w:ascii="Arial" w:eastAsia="Arial" w:hAnsi="Arial" w:cs="Arial"/>
      <w:b w:val="0"/>
      <w:bCs w:val="0"/>
      <w:i w:val="0"/>
      <w:iCs w:val="0"/>
      <w:smallCaps w:val="0"/>
      <w:strike w:val="0"/>
      <w:spacing w:val="0"/>
      <w:sz w:val="16"/>
      <w:szCs w:val="16"/>
    </w:rPr>
  </w:style>
  <w:style w:type="character" w:customStyle="1" w:styleId="324">
    <w:name w:val="Подпись к картинке (32)_"/>
    <w:basedOn w:val="a0"/>
    <w:link w:val="325"/>
    <w:rsid w:val="00B32F5E"/>
    <w:rPr>
      <w:rFonts w:ascii="Verdana" w:eastAsia="Verdana" w:hAnsi="Verdana" w:cs="Verdana"/>
      <w:sz w:val="8"/>
      <w:szCs w:val="8"/>
      <w:shd w:val="clear" w:color="auto" w:fill="FFFFFF"/>
      <w:lang w:val="en-US"/>
    </w:rPr>
  </w:style>
  <w:style w:type="paragraph" w:customStyle="1" w:styleId="325">
    <w:name w:val="Подпись к картинке (32)"/>
    <w:basedOn w:val="a"/>
    <w:link w:val="324"/>
    <w:rsid w:val="00B32F5E"/>
    <w:pPr>
      <w:shd w:val="clear" w:color="auto" w:fill="FFFFFF"/>
      <w:spacing w:after="0" w:line="0" w:lineRule="atLeast"/>
    </w:pPr>
    <w:rPr>
      <w:rFonts w:ascii="Verdana" w:eastAsia="Verdana" w:hAnsi="Verdana" w:cs="Verdana"/>
      <w:sz w:val="8"/>
      <w:szCs w:val="8"/>
      <w:lang w:val="en-US" w:eastAsia="ru-RU"/>
    </w:rPr>
  </w:style>
  <w:style w:type="character" w:customStyle="1" w:styleId="325pt">
    <w:name w:val="Подпись к картинке (32) + 5 pt"/>
    <w:basedOn w:val="324"/>
    <w:rsid w:val="00B32F5E"/>
    <w:rPr>
      <w:rFonts w:ascii="Verdana" w:eastAsia="Verdana" w:hAnsi="Verdana" w:cs="Verdana"/>
      <w:spacing w:val="0"/>
      <w:sz w:val="10"/>
      <w:szCs w:val="10"/>
      <w:shd w:val="clear" w:color="auto" w:fill="FFFFFF"/>
      <w:lang w:val="en-US"/>
    </w:rPr>
  </w:style>
  <w:style w:type="character" w:customStyle="1" w:styleId="402">
    <w:name w:val="Основной текст40"/>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12">
    <w:name w:val="Основной текст41"/>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22">
    <w:name w:val="Основной текст42"/>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1">
    <w:name w:val="Основной текст43"/>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42">
    <w:name w:val="Основной текст44"/>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2">
    <w:name w:val="Основной текст45"/>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83">
    <w:name w:val="Основной текст48"/>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92">
    <w:name w:val="Основной текст49"/>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7pt">
    <w:name w:val="Основной текст (38) + 7 pt;Не полужирный"/>
    <w:basedOn w:val="381"/>
    <w:rsid w:val="00B32F5E"/>
    <w:rPr>
      <w:rFonts w:ascii="Franklin Gothic Book" w:eastAsia="Franklin Gothic Book" w:hAnsi="Franklin Gothic Book" w:cs="Franklin Gothic Book"/>
      <w:b/>
      <w:bCs/>
      <w:i w:val="0"/>
      <w:iCs w:val="0"/>
      <w:smallCaps w:val="0"/>
      <w:strike w:val="0"/>
      <w:spacing w:val="0"/>
      <w:sz w:val="14"/>
      <w:szCs w:val="14"/>
    </w:rPr>
  </w:style>
  <w:style w:type="character" w:customStyle="1" w:styleId="365">
    <w:name w:val="Основной текст (36) + Не курсив"/>
    <w:basedOn w:val="361"/>
    <w:rsid w:val="00B32F5E"/>
    <w:rPr>
      <w:rFonts w:ascii="Franklin Gothic Book" w:eastAsia="Franklin Gothic Book" w:hAnsi="Franklin Gothic Book" w:cs="Franklin Gothic Book"/>
      <w:b w:val="0"/>
      <w:bCs w:val="0"/>
      <w:i/>
      <w:iCs/>
      <w:smallCaps w:val="0"/>
      <w:strike w:val="0"/>
      <w:spacing w:val="0"/>
      <w:sz w:val="15"/>
      <w:szCs w:val="15"/>
    </w:rPr>
  </w:style>
  <w:style w:type="character" w:customStyle="1" w:styleId="38TimesNewRoman7pt">
    <w:name w:val="Основной текст (38) + Times New Roman;7 pt;Не полужирный"/>
    <w:basedOn w:val="381"/>
    <w:rsid w:val="00B32F5E"/>
    <w:rPr>
      <w:rFonts w:ascii="Times New Roman" w:eastAsia="Times New Roman" w:hAnsi="Times New Roman" w:cs="Times New Roman"/>
      <w:b/>
      <w:bCs/>
      <w:i w:val="0"/>
      <w:iCs w:val="0"/>
      <w:smallCaps w:val="0"/>
      <w:strike w:val="0"/>
      <w:spacing w:val="0"/>
      <w:sz w:val="14"/>
      <w:szCs w:val="14"/>
    </w:rPr>
  </w:style>
  <w:style w:type="character" w:customStyle="1" w:styleId="380pt">
    <w:name w:val="Основной текст (38) + Не полужирный;Интервал 0 pt"/>
    <w:basedOn w:val="381"/>
    <w:rsid w:val="00B32F5E"/>
    <w:rPr>
      <w:rFonts w:ascii="Franklin Gothic Book" w:eastAsia="Franklin Gothic Book" w:hAnsi="Franklin Gothic Book" w:cs="Franklin Gothic Book"/>
      <w:b/>
      <w:bCs/>
      <w:i w:val="0"/>
      <w:iCs w:val="0"/>
      <w:smallCaps w:val="0"/>
      <w:strike w:val="0"/>
      <w:spacing w:val="-10"/>
      <w:sz w:val="13"/>
      <w:szCs w:val="13"/>
    </w:rPr>
  </w:style>
  <w:style w:type="character" w:customStyle="1" w:styleId="38ArialUnicodeMS">
    <w:name w:val="Основной текст (38) + Arial Unicode MS;Не полужирный"/>
    <w:basedOn w:val="381"/>
    <w:rsid w:val="00B32F5E"/>
    <w:rPr>
      <w:rFonts w:ascii="Arial Unicode MS" w:eastAsia="Arial Unicode MS" w:hAnsi="Arial Unicode MS" w:cs="Arial Unicode MS"/>
      <w:b/>
      <w:bCs/>
      <w:i w:val="0"/>
      <w:iCs w:val="0"/>
      <w:smallCaps w:val="0"/>
      <w:strike w:val="0"/>
      <w:spacing w:val="0"/>
      <w:sz w:val="13"/>
      <w:szCs w:val="13"/>
    </w:rPr>
  </w:style>
  <w:style w:type="paragraph" w:customStyle="1" w:styleId="129">
    <w:name w:val="Основной текст129"/>
    <w:basedOn w:val="a"/>
    <w:rsid w:val="00B32F5E"/>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eastAsia="ru-RU"/>
    </w:rPr>
  </w:style>
  <w:style w:type="character" w:customStyle="1" w:styleId="653">
    <w:name w:val="Основной текст (65) + Не курсив"/>
    <w:basedOn w:val="650"/>
    <w:rsid w:val="00B32F5E"/>
    <w:rPr>
      <w:rFonts w:ascii="Franklin Gothic Book" w:eastAsia="Franklin Gothic Book" w:hAnsi="Franklin Gothic Book" w:cs="Franklin Gothic Book"/>
      <w:b w:val="0"/>
      <w:bCs w:val="0"/>
      <w:i/>
      <w:iCs/>
      <w:smallCaps w:val="0"/>
      <w:strike w:val="0"/>
      <w:noProof/>
      <w:spacing w:val="0"/>
      <w:sz w:val="15"/>
      <w:szCs w:val="15"/>
      <w:shd w:val="clear" w:color="auto" w:fill="FFFFFF"/>
    </w:rPr>
  </w:style>
  <w:style w:type="character" w:customStyle="1" w:styleId="62-2pt">
    <w:name w:val="Основной текст (62) + Интервал -2 pt"/>
    <w:basedOn w:val="621"/>
    <w:rsid w:val="00B32F5E"/>
    <w:rPr>
      <w:rFonts w:ascii="Segoe UI" w:eastAsia="Segoe UI" w:hAnsi="Segoe UI" w:cs="Segoe UI"/>
      <w:b w:val="0"/>
      <w:bCs w:val="0"/>
      <w:i w:val="0"/>
      <w:iCs w:val="0"/>
      <w:smallCaps w:val="0"/>
      <w:strike w:val="0"/>
      <w:color w:val="FFFFFF"/>
      <w:spacing w:val="-40"/>
      <w:sz w:val="35"/>
      <w:szCs w:val="35"/>
      <w:shd w:val="clear" w:color="auto" w:fill="FFFFFF"/>
    </w:rPr>
  </w:style>
  <w:style w:type="character" w:customStyle="1" w:styleId="ArialUnicodeMS6pt0pt">
    <w:name w:val="Подпись к картинке + Arial Unicode MS;6 pt;Не полужирный;Курсив;Интервал 0 pt"/>
    <w:basedOn w:val="affa"/>
    <w:rsid w:val="00B32F5E"/>
    <w:rPr>
      <w:rFonts w:ascii="Arial Unicode MS" w:eastAsia="Arial Unicode MS" w:hAnsi="Arial Unicode MS" w:cs="Arial Unicode MS"/>
      <w:b w:val="0"/>
      <w:bCs w:val="0"/>
      <w:i/>
      <w:iCs/>
      <w:smallCaps w:val="0"/>
      <w:strike w:val="0"/>
      <w:spacing w:val="10"/>
      <w:sz w:val="12"/>
      <w:szCs w:val="12"/>
      <w:shd w:val="clear" w:color="auto" w:fill="FFFFFF"/>
      <w:lang w:eastAsia="en-US"/>
    </w:rPr>
  </w:style>
  <w:style w:type="character" w:customStyle="1" w:styleId="SegoeUI75pt">
    <w:name w:val="Основной текст + Segoe UI;7;5 pt;Курсив"/>
    <w:basedOn w:val="aff"/>
    <w:rsid w:val="00B32F5E"/>
    <w:rPr>
      <w:rFonts w:ascii="Segoe UI" w:eastAsia="Segoe UI" w:hAnsi="Segoe UI" w:cs="Segoe UI"/>
      <w:b w:val="0"/>
      <w:bCs w:val="0"/>
      <w:i/>
      <w:iCs/>
      <w:smallCaps w:val="0"/>
      <w:strike w:val="0"/>
      <w:spacing w:val="0"/>
      <w:sz w:val="15"/>
      <w:szCs w:val="15"/>
      <w:shd w:val="clear" w:color="auto" w:fill="FFFFFF"/>
    </w:rPr>
  </w:style>
  <w:style w:type="character" w:customStyle="1" w:styleId="42Tahoma65pt">
    <w:name w:val="Основной текст (42) + Tahoma;6;5 pt;Не курсив"/>
    <w:basedOn w:val="421"/>
    <w:rsid w:val="00B32F5E"/>
    <w:rPr>
      <w:rFonts w:ascii="Tahoma" w:eastAsia="Tahoma" w:hAnsi="Tahoma" w:cs="Tahoma"/>
      <w:b w:val="0"/>
      <w:bCs w:val="0"/>
      <w:i/>
      <w:iCs/>
      <w:smallCaps w:val="0"/>
      <w:strike w:val="0"/>
      <w:spacing w:val="0"/>
      <w:sz w:val="13"/>
      <w:szCs w:val="13"/>
    </w:rPr>
  </w:style>
  <w:style w:type="character" w:customStyle="1" w:styleId="2f6">
    <w:name w:val="Основной текст (2) + Не курсив"/>
    <w:basedOn w:val="2a"/>
    <w:rsid w:val="00B32F5E"/>
    <w:rPr>
      <w:rFonts w:ascii="Arial" w:eastAsia="Arial" w:hAnsi="Arial" w:cs="Arial"/>
      <w:b w:val="0"/>
      <w:bCs w:val="0"/>
      <w:i/>
      <w:iCs/>
      <w:smallCaps w:val="0"/>
      <w:strike w:val="0"/>
      <w:spacing w:val="0"/>
      <w:w w:val="80"/>
      <w:sz w:val="15"/>
      <w:szCs w:val="15"/>
      <w:shd w:val="clear" w:color="auto" w:fill="FFFFFF"/>
      <w:lang w:eastAsia="en-US"/>
    </w:rPr>
  </w:style>
  <w:style w:type="character" w:customStyle="1" w:styleId="afff4">
    <w:name w:val="Сноска + Не курсив"/>
    <w:basedOn w:val="aff3"/>
    <w:rsid w:val="00B32F5E"/>
    <w:rPr>
      <w:rFonts w:ascii="Arial" w:eastAsia="Arial" w:hAnsi="Arial" w:cs="Arial"/>
      <w:b w:val="0"/>
      <w:bCs w:val="0"/>
      <w:i w:val="0"/>
      <w:iCs w:val="0"/>
      <w:smallCaps w:val="0"/>
      <w:strike w:val="0"/>
      <w:noProof/>
      <w:spacing w:val="0"/>
      <w:sz w:val="13"/>
      <w:szCs w:val="13"/>
      <w:shd w:val="clear" w:color="auto" w:fill="FFFFFF"/>
      <w:lang w:val="en-US" w:eastAsia="en-US"/>
    </w:rPr>
  </w:style>
  <w:style w:type="character" w:customStyle="1" w:styleId="5pt">
    <w:name w:val="Сноска + 5 pt;Не курсив"/>
    <w:basedOn w:val="aff3"/>
    <w:rsid w:val="00B32F5E"/>
    <w:rPr>
      <w:rFonts w:ascii="Arial" w:eastAsia="Arial" w:hAnsi="Arial" w:cs="Arial"/>
      <w:b w:val="0"/>
      <w:bCs w:val="0"/>
      <w:i w:val="0"/>
      <w:iCs w:val="0"/>
      <w:smallCaps w:val="0"/>
      <w:strike w:val="0"/>
      <w:noProof/>
      <w:spacing w:val="0"/>
      <w:sz w:val="10"/>
      <w:szCs w:val="10"/>
      <w:shd w:val="clear" w:color="auto" w:fill="FFFFFF"/>
      <w:lang w:val="en-US" w:eastAsia="en-US"/>
    </w:rPr>
  </w:style>
  <w:style w:type="character" w:customStyle="1" w:styleId="7c">
    <w:name w:val="Основной текст (7)_"/>
    <w:basedOn w:val="a0"/>
    <w:rsid w:val="00B32F5E"/>
    <w:rPr>
      <w:rFonts w:ascii="Arial" w:eastAsia="Arial" w:hAnsi="Arial" w:cs="Arial"/>
      <w:b w:val="0"/>
      <w:bCs w:val="0"/>
      <w:i w:val="0"/>
      <w:iCs w:val="0"/>
      <w:smallCaps w:val="0"/>
      <w:strike w:val="0"/>
      <w:spacing w:val="0"/>
      <w:sz w:val="11"/>
      <w:szCs w:val="11"/>
    </w:rPr>
  </w:style>
  <w:style w:type="character" w:customStyle="1" w:styleId="Candara85pt">
    <w:name w:val="Основной текст + Candara;8;5 pt"/>
    <w:basedOn w:val="aff"/>
    <w:rsid w:val="00B32F5E"/>
    <w:rPr>
      <w:rFonts w:ascii="Candara" w:eastAsia="Candara" w:hAnsi="Candara" w:cs="Candara"/>
      <w:b w:val="0"/>
      <w:bCs w:val="0"/>
      <w:i w:val="0"/>
      <w:iCs w:val="0"/>
      <w:smallCaps w:val="0"/>
      <w:strike w:val="0"/>
      <w:spacing w:val="0"/>
      <w:w w:val="100"/>
      <w:sz w:val="17"/>
      <w:szCs w:val="17"/>
      <w:shd w:val="clear" w:color="auto" w:fill="FFFFFF"/>
    </w:rPr>
  </w:style>
  <w:style w:type="character" w:customStyle="1" w:styleId="733">
    <w:name w:val="Заголовок №7 (3)_"/>
    <w:basedOn w:val="a0"/>
    <w:link w:val="734"/>
    <w:rsid w:val="00B32F5E"/>
    <w:rPr>
      <w:rFonts w:ascii="Arial" w:eastAsia="Arial" w:hAnsi="Arial" w:cs="Arial"/>
      <w:sz w:val="16"/>
      <w:szCs w:val="16"/>
      <w:shd w:val="clear" w:color="auto" w:fill="FFFFFF"/>
    </w:rPr>
  </w:style>
  <w:style w:type="paragraph" w:customStyle="1" w:styleId="734">
    <w:name w:val="Заголовок №7 (3)"/>
    <w:basedOn w:val="a"/>
    <w:link w:val="733"/>
    <w:rsid w:val="00B32F5E"/>
    <w:pPr>
      <w:shd w:val="clear" w:color="auto" w:fill="FFFFFF"/>
      <w:spacing w:before="180" w:after="180" w:line="0" w:lineRule="atLeast"/>
      <w:outlineLvl w:val="6"/>
    </w:pPr>
    <w:rPr>
      <w:rFonts w:ascii="Arial" w:eastAsia="Arial" w:hAnsi="Arial" w:cs="Arial"/>
      <w:sz w:val="16"/>
      <w:szCs w:val="16"/>
      <w:lang w:eastAsia="ru-RU"/>
    </w:rPr>
  </w:style>
  <w:style w:type="paragraph" w:styleId="afff5">
    <w:name w:val="footnote text"/>
    <w:basedOn w:val="a"/>
    <w:link w:val="afff6"/>
    <w:uiPriority w:val="99"/>
    <w:unhideWhenUsed/>
    <w:rsid w:val="00B32F5E"/>
    <w:pPr>
      <w:spacing w:after="0" w:line="240" w:lineRule="auto"/>
      <w:jc w:val="both"/>
    </w:pPr>
    <w:rPr>
      <w:rFonts w:asciiTheme="minorHAnsi" w:eastAsiaTheme="minorHAnsi" w:hAnsiTheme="minorHAnsi" w:cstheme="minorBidi"/>
      <w:sz w:val="20"/>
      <w:szCs w:val="20"/>
    </w:rPr>
  </w:style>
  <w:style w:type="character" w:customStyle="1" w:styleId="afff6">
    <w:name w:val="Текст сноски Знак"/>
    <w:basedOn w:val="a0"/>
    <w:link w:val="afff5"/>
    <w:uiPriority w:val="99"/>
    <w:rsid w:val="00B32F5E"/>
    <w:rPr>
      <w:rFonts w:asciiTheme="minorHAnsi" w:eastAsiaTheme="minorHAnsi" w:hAnsiTheme="minorHAnsi" w:cstheme="minorBidi"/>
      <w:lang w:eastAsia="en-US"/>
    </w:rPr>
  </w:style>
  <w:style w:type="character" w:customStyle="1" w:styleId="1e">
    <w:name w:val="Неразрешенное упоминание1"/>
    <w:basedOn w:val="a0"/>
    <w:uiPriority w:val="99"/>
    <w:semiHidden/>
    <w:unhideWhenUsed/>
    <w:rsid w:val="00B32F5E"/>
    <w:rPr>
      <w:color w:val="605E5C"/>
      <w:shd w:val="clear" w:color="auto" w:fill="E1DFDD"/>
    </w:rPr>
  </w:style>
  <w:style w:type="paragraph" w:customStyle="1" w:styleId="ql-align-right">
    <w:name w:val="ql-align-right"/>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53">
    <w:name w:val="Заголовок №5_"/>
    <w:basedOn w:val="a0"/>
    <w:link w:val="52"/>
    <w:rsid w:val="00B32F5E"/>
    <w:rPr>
      <w:rFonts w:ascii="Arial Narrow" w:hAnsi="Arial Narrow" w:cs="Arial Narrow"/>
      <w:b/>
      <w:bCs/>
      <w:sz w:val="46"/>
      <w:szCs w:val="46"/>
      <w:shd w:val="clear" w:color="auto" w:fill="FFFFFF"/>
      <w:lang w:eastAsia="en-US"/>
    </w:rPr>
  </w:style>
  <w:style w:type="character" w:customStyle="1" w:styleId="6b">
    <w:name w:val="Основной текст (6) + Курсив"/>
    <w:basedOn w:val="67"/>
    <w:rsid w:val="00B32F5E"/>
    <w:rPr>
      <w:rFonts w:ascii="Times New Roman" w:eastAsia="Times New Roman" w:hAnsi="Times New Roman" w:cs="Times New Roman"/>
      <w:b w:val="0"/>
      <w:bCs w:val="0"/>
      <w:i/>
      <w:iCs/>
      <w:smallCaps w:val="0"/>
      <w:strike w:val="0"/>
      <w:spacing w:val="0"/>
      <w:sz w:val="17"/>
      <w:szCs w:val="17"/>
      <w:shd w:val="clear" w:color="auto" w:fill="FFFFFF"/>
      <w:lang w:eastAsia="ru-RU"/>
    </w:rPr>
  </w:style>
  <w:style w:type="character" w:customStyle="1" w:styleId="afff7">
    <w:name w:val="Подпись к картинке + Не курсив"/>
    <w:basedOn w:val="affa"/>
    <w:rsid w:val="00B32F5E"/>
    <w:rPr>
      <w:rFonts w:ascii="Times New Roman" w:eastAsia="Times New Roman" w:hAnsi="Times New Roman" w:cs="Times New Roman"/>
      <w:b/>
      <w:bCs/>
      <w:i/>
      <w:iCs/>
      <w:smallCaps w:val="0"/>
      <w:strike w:val="0"/>
      <w:spacing w:val="0"/>
      <w:sz w:val="17"/>
      <w:szCs w:val="17"/>
      <w:shd w:val="clear" w:color="auto" w:fill="FFFFFF"/>
      <w:lang w:eastAsia="en-US"/>
    </w:rPr>
  </w:style>
  <w:style w:type="character" w:customStyle="1" w:styleId="13pt0">
    <w:name w:val="Основной текст + 13 pt;Малые прописные"/>
    <w:basedOn w:val="aff"/>
    <w:rsid w:val="00B32F5E"/>
    <w:rPr>
      <w:rFonts w:ascii="Times New Roman" w:eastAsia="Times New Roman" w:hAnsi="Times New Roman" w:cs="Times New Roman"/>
      <w:b w:val="0"/>
      <w:bCs w:val="0"/>
      <w:i w:val="0"/>
      <w:iCs w:val="0"/>
      <w:smallCaps/>
      <w:strike w:val="0"/>
      <w:spacing w:val="0"/>
      <w:sz w:val="26"/>
      <w:szCs w:val="26"/>
      <w:shd w:val="clear" w:color="auto" w:fill="FFFFFF"/>
    </w:rPr>
  </w:style>
  <w:style w:type="character" w:customStyle="1" w:styleId="45pt0pt">
    <w:name w:val="Основной текст + 4;5 pt;Интервал 0 pt"/>
    <w:basedOn w:val="aff"/>
    <w:rsid w:val="00B32F5E"/>
    <w:rPr>
      <w:rFonts w:ascii="Times New Roman" w:eastAsia="Times New Roman" w:hAnsi="Times New Roman" w:cs="Times New Roman"/>
      <w:b w:val="0"/>
      <w:bCs w:val="0"/>
      <w:i w:val="0"/>
      <w:iCs w:val="0"/>
      <w:smallCaps w:val="0"/>
      <w:strike w:val="0"/>
      <w:spacing w:val="10"/>
      <w:sz w:val="9"/>
      <w:szCs w:val="9"/>
      <w:shd w:val="clear" w:color="auto" w:fill="FFFFFF"/>
    </w:rPr>
  </w:style>
  <w:style w:type="character" w:customStyle="1" w:styleId="MicrosoftSansSerif9pt">
    <w:name w:val="Основной текст + Microsoft Sans Serif;9 pt"/>
    <w:basedOn w:val="aff"/>
    <w:rsid w:val="00B32F5E"/>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6-1pt">
    <w:name w:val="Основной текст (16) + Интервал -1 pt"/>
    <w:basedOn w:val="164"/>
    <w:rsid w:val="00B32F5E"/>
    <w:rPr>
      <w:rFonts w:ascii="Times New Roman" w:eastAsia="Times New Roman" w:hAnsi="Times New Roman" w:cs="Times New Roman"/>
      <w:b w:val="0"/>
      <w:bCs w:val="0"/>
      <w:i w:val="0"/>
      <w:iCs w:val="0"/>
      <w:smallCaps w:val="0"/>
      <w:strike w:val="0"/>
      <w:spacing w:val="-20"/>
      <w:w w:val="50"/>
      <w:sz w:val="68"/>
      <w:szCs w:val="68"/>
      <w:lang w:val="en-US"/>
    </w:rPr>
  </w:style>
  <w:style w:type="paragraph" w:customStyle="1" w:styleId="book">
    <w:name w:val="book"/>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25">
    <w:name w:val="Заголовок №2 (2)_"/>
    <w:basedOn w:val="a0"/>
    <w:rsid w:val="00B32F5E"/>
    <w:rPr>
      <w:rFonts w:ascii="Times New Roman" w:eastAsia="Times New Roman" w:hAnsi="Times New Roman" w:cs="Times New Roman"/>
      <w:b w:val="0"/>
      <w:bCs w:val="0"/>
      <w:i w:val="0"/>
      <w:iCs w:val="0"/>
      <w:smallCaps w:val="0"/>
      <w:strike w:val="0"/>
      <w:spacing w:val="0"/>
      <w:w w:val="50"/>
      <w:sz w:val="45"/>
      <w:szCs w:val="45"/>
    </w:rPr>
  </w:style>
  <w:style w:type="character" w:customStyle="1" w:styleId="226">
    <w:name w:val="Заголовок №2 (2)"/>
    <w:basedOn w:val="225"/>
    <w:rsid w:val="00B32F5E"/>
    <w:rPr>
      <w:rFonts w:ascii="Times New Roman" w:eastAsia="Times New Roman" w:hAnsi="Times New Roman" w:cs="Times New Roman"/>
      <w:b w:val="0"/>
      <w:bCs w:val="0"/>
      <w:i w:val="0"/>
      <w:iCs w:val="0"/>
      <w:smallCaps w:val="0"/>
      <w:strike w:val="0"/>
      <w:spacing w:val="0"/>
      <w:w w:val="50"/>
      <w:sz w:val="45"/>
      <w:szCs w:val="45"/>
    </w:rPr>
  </w:style>
  <w:style w:type="character" w:customStyle="1" w:styleId="110pt">
    <w:name w:val="Основной текст (11) + Интервал 0 pt"/>
    <w:basedOn w:val="117"/>
    <w:rsid w:val="00B32F5E"/>
    <w:rPr>
      <w:rFonts w:ascii="Times New Roman" w:eastAsia="Times New Roman" w:hAnsi="Times New Roman" w:cs="Times New Roman"/>
      <w:b w:val="0"/>
      <w:bCs w:val="0"/>
      <w:i w:val="0"/>
      <w:iCs w:val="0"/>
      <w:smallCaps w:val="0"/>
      <w:strike w:val="0"/>
      <w:spacing w:val="0"/>
      <w:sz w:val="9"/>
      <w:szCs w:val="9"/>
    </w:rPr>
  </w:style>
  <w:style w:type="character" w:customStyle="1" w:styleId="Impact95pt1pt">
    <w:name w:val="Колонтитул + Impact;9;5 pt;Интервал 1 pt"/>
    <w:basedOn w:val="aff7"/>
    <w:rsid w:val="00B32F5E"/>
    <w:rPr>
      <w:rFonts w:ascii="Impact" w:eastAsia="Impact" w:hAnsi="Impact" w:cs="Impact"/>
      <w:b w:val="0"/>
      <w:bCs w:val="0"/>
      <w:i w:val="0"/>
      <w:iCs w:val="0"/>
      <w:smallCaps w:val="0"/>
      <w:strike w:val="0"/>
      <w:spacing w:val="20"/>
      <w:w w:val="100"/>
      <w:sz w:val="19"/>
      <w:szCs w:val="19"/>
      <w:shd w:val="clear" w:color="auto" w:fill="FFFFFF"/>
      <w:lang w:eastAsia="en-US"/>
    </w:rPr>
  </w:style>
  <w:style w:type="character" w:customStyle="1" w:styleId="155pt50">
    <w:name w:val="Колонтитул + 15;5 pt;Масштаб 50%"/>
    <w:basedOn w:val="aff7"/>
    <w:rsid w:val="00B32F5E"/>
    <w:rPr>
      <w:rFonts w:ascii="Times New Roman" w:hAnsi="Times New Roman"/>
      <w:b w:val="0"/>
      <w:bCs w:val="0"/>
      <w:i w:val="0"/>
      <w:iCs w:val="0"/>
      <w:smallCaps w:val="0"/>
      <w:strike w:val="0"/>
      <w:spacing w:val="0"/>
      <w:w w:val="50"/>
      <w:sz w:val="31"/>
      <w:szCs w:val="31"/>
      <w:shd w:val="clear" w:color="auto" w:fill="FFFFFF"/>
      <w:lang w:eastAsia="en-US"/>
    </w:rPr>
  </w:style>
  <w:style w:type="character" w:customStyle="1" w:styleId="523">
    <w:name w:val="Заголовок №5 (2)_"/>
    <w:basedOn w:val="a0"/>
    <w:rsid w:val="00B32F5E"/>
    <w:rPr>
      <w:rFonts w:ascii="Times New Roman" w:eastAsia="Times New Roman" w:hAnsi="Times New Roman" w:cs="Times New Roman"/>
      <w:b w:val="0"/>
      <w:bCs w:val="0"/>
      <w:i w:val="0"/>
      <w:iCs w:val="0"/>
      <w:smallCaps w:val="0"/>
      <w:strike w:val="0"/>
      <w:spacing w:val="0"/>
      <w:sz w:val="21"/>
      <w:szCs w:val="21"/>
    </w:rPr>
  </w:style>
  <w:style w:type="character" w:customStyle="1" w:styleId="245pt">
    <w:name w:val="Основной текст (24) + Интервал 5 pt"/>
    <w:basedOn w:val="241"/>
    <w:rsid w:val="00B32F5E"/>
    <w:rPr>
      <w:rFonts w:ascii="Microsoft Sans Serif" w:eastAsia="Microsoft Sans Serif" w:hAnsi="Microsoft Sans Serif" w:cs="Microsoft Sans Serif"/>
      <w:b w:val="0"/>
      <w:bCs w:val="0"/>
      <w:i w:val="0"/>
      <w:iCs w:val="0"/>
      <w:smallCaps w:val="0"/>
      <w:strike w:val="0"/>
      <w:spacing w:val="100"/>
      <w:sz w:val="152"/>
      <w:szCs w:val="152"/>
    </w:rPr>
  </w:style>
  <w:style w:type="character" w:customStyle="1" w:styleId="524">
    <w:name w:val="Заголовок №5 (2)"/>
    <w:basedOn w:val="523"/>
    <w:rsid w:val="00B32F5E"/>
    <w:rPr>
      <w:rFonts w:ascii="Times New Roman" w:eastAsia="Times New Roman" w:hAnsi="Times New Roman" w:cs="Times New Roman"/>
      <w:b w:val="0"/>
      <w:bCs w:val="0"/>
      <w:i w:val="0"/>
      <w:iCs w:val="0"/>
      <w:smallCaps w:val="0"/>
      <w:strike w:val="0"/>
      <w:spacing w:val="0"/>
      <w:sz w:val="21"/>
      <w:szCs w:val="21"/>
    </w:rPr>
  </w:style>
  <w:style w:type="character" w:customStyle="1" w:styleId="423">
    <w:name w:val="Заголовок №4 (2)_"/>
    <w:basedOn w:val="a0"/>
    <w:rsid w:val="00B32F5E"/>
    <w:rPr>
      <w:rFonts w:ascii="Microsoft Sans Serif" w:eastAsia="Microsoft Sans Serif" w:hAnsi="Microsoft Sans Serif" w:cs="Microsoft Sans Serif"/>
      <w:b w:val="0"/>
      <w:bCs w:val="0"/>
      <w:i w:val="0"/>
      <w:iCs w:val="0"/>
      <w:smallCaps w:val="0"/>
      <w:strike w:val="0"/>
      <w:spacing w:val="10"/>
      <w:sz w:val="18"/>
      <w:szCs w:val="18"/>
    </w:rPr>
  </w:style>
  <w:style w:type="character" w:customStyle="1" w:styleId="420pt">
    <w:name w:val="Заголовок №4 (2) + Интервал 0 pt"/>
    <w:basedOn w:val="423"/>
    <w:rsid w:val="00B32F5E"/>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1"/>
    <w:rsid w:val="00B32F5E"/>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3f3">
    <w:name w:val="Подпись к таблице (3)_"/>
    <w:basedOn w:val="a0"/>
    <w:rsid w:val="00B32F5E"/>
    <w:rPr>
      <w:rFonts w:ascii="Times New Roman" w:eastAsia="Times New Roman" w:hAnsi="Times New Roman" w:cs="Times New Roman"/>
      <w:b w:val="0"/>
      <w:bCs w:val="0"/>
      <w:i w:val="0"/>
      <w:iCs w:val="0"/>
      <w:smallCaps w:val="0"/>
      <w:strike w:val="0"/>
      <w:spacing w:val="0"/>
      <w:sz w:val="17"/>
      <w:szCs w:val="17"/>
    </w:rPr>
  </w:style>
  <w:style w:type="character" w:customStyle="1" w:styleId="432">
    <w:name w:val="Заголовок №4 (3)_"/>
    <w:basedOn w:val="a0"/>
    <w:link w:val="433"/>
    <w:rsid w:val="00B32F5E"/>
    <w:rPr>
      <w:rFonts w:ascii="Microsoft Sans Serif" w:eastAsia="Microsoft Sans Serif" w:hAnsi="Microsoft Sans Serif" w:cs="Microsoft Sans Serif"/>
      <w:shd w:val="clear" w:color="auto" w:fill="FFFFFF"/>
    </w:rPr>
  </w:style>
  <w:style w:type="paragraph" w:customStyle="1" w:styleId="433">
    <w:name w:val="Заголовок №4 (3)"/>
    <w:basedOn w:val="a"/>
    <w:link w:val="432"/>
    <w:rsid w:val="00B32F5E"/>
    <w:pPr>
      <w:shd w:val="clear" w:color="auto" w:fill="FFFFFF"/>
      <w:spacing w:after="240" w:line="216" w:lineRule="exact"/>
      <w:jc w:val="center"/>
      <w:outlineLvl w:val="3"/>
    </w:pPr>
    <w:rPr>
      <w:rFonts w:ascii="Microsoft Sans Serif" w:eastAsia="Microsoft Sans Serif" w:hAnsi="Microsoft Sans Serif" w:cs="Microsoft Sans Serif"/>
      <w:sz w:val="20"/>
      <w:szCs w:val="20"/>
      <w:lang w:eastAsia="ru-RU"/>
    </w:rPr>
  </w:style>
  <w:style w:type="character" w:customStyle="1" w:styleId="3f4">
    <w:name w:val="Подпись к таблице (3)"/>
    <w:basedOn w:val="3f3"/>
    <w:rsid w:val="00B32F5E"/>
    <w:rPr>
      <w:rFonts w:ascii="Times New Roman" w:eastAsia="Times New Roman" w:hAnsi="Times New Roman" w:cs="Times New Roman"/>
      <w:b w:val="0"/>
      <w:bCs w:val="0"/>
      <w:i w:val="0"/>
      <w:iCs w:val="0"/>
      <w:smallCaps w:val="0"/>
      <w:strike w:val="0"/>
      <w:spacing w:val="0"/>
      <w:sz w:val="17"/>
      <w:szCs w:val="17"/>
    </w:rPr>
  </w:style>
  <w:style w:type="character" w:customStyle="1" w:styleId="326">
    <w:name w:val="Заголовок №3 (2)_"/>
    <w:basedOn w:val="a0"/>
    <w:rsid w:val="00B32F5E"/>
    <w:rPr>
      <w:rFonts w:ascii="Impact" w:eastAsia="Impact" w:hAnsi="Impact" w:cs="Impact"/>
      <w:b w:val="0"/>
      <w:bCs w:val="0"/>
      <w:i w:val="0"/>
      <w:iCs w:val="0"/>
      <w:smallCaps w:val="0"/>
      <w:strike w:val="0"/>
      <w:spacing w:val="0"/>
      <w:sz w:val="19"/>
      <w:szCs w:val="19"/>
    </w:rPr>
  </w:style>
  <w:style w:type="character" w:customStyle="1" w:styleId="263pt">
    <w:name w:val="Основной текст (26) + Интервал 3 pt"/>
    <w:basedOn w:val="260"/>
    <w:rsid w:val="00B32F5E"/>
    <w:rPr>
      <w:rFonts w:ascii="Times New Roman" w:eastAsia="Times New Roman" w:hAnsi="Times New Roman" w:cs="Times New Roman"/>
      <w:b w:val="0"/>
      <w:bCs w:val="0"/>
      <w:i w:val="0"/>
      <w:iCs w:val="0"/>
      <w:smallCaps w:val="0"/>
      <w:strike w:val="0"/>
      <w:spacing w:val="70"/>
      <w:w w:val="50"/>
      <w:sz w:val="45"/>
      <w:szCs w:val="45"/>
      <w:shd w:val="clear" w:color="auto" w:fill="FFFFFF"/>
      <w:lang w:val="en-US"/>
    </w:rPr>
  </w:style>
  <w:style w:type="character" w:customStyle="1" w:styleId="26MicrosoftSansSerif76pt5pt100">
    <w:name w:val="Основной текст (26) + Microsoft Sans Serif;76 pt;Курсив;Интервал 5 pt;Масштаб 100%"/>
    <w:basedOn w:val="260"/>
    <w:rsid w:val="00B32F5E"/>
    <w:rPr>
      <w:rFonts w:ascii="Microsoft Sans Serif" w:eastAsia="Microsoft Sans Serif" w:hAnsi="Microsoft Sans Serif" w:cs="Microsoft Sans Serif"/>
      <w:b w:val="0"/>
      <w:bCs w:val="0"/>
      <w:i/>
      <w:iCs/>
      <w:smallCaps w:val="0"/>
      <w:strike w:val="0"/>
      <w:spacing w:val="100"/>
      <w:w w:val="100"/>
      <w:sz w:val="152"/>
      <w:szCs w:val="152"/>
      <w:shd w:val="clear" w:color="auto" w:fill="FFFFFF"/>
    </w:rPr>
  </w:style>
  <w:style w:type="character" w:customStyle="1" w:styleId="26105pt100">
    <w:name w:val="Основной текст (26) + 10;5 pt;Курсив;Масштаб 100%"/>
    <w:basedOn w:val="260"/>
    <w:rsid w:val="00B32F5E"/>
    <w:rPr>
      <w:rFonts w:ascii="Times New Roman" w:eastAsia="Times New Roman" w:hAnsi="Times New Roman" w:cs="Times New Roman"/>
      <w:b w:val="0"/>
      <w:bCs w:val="0"/>
      <w:i/>
      <w:iCs/>
      <w:smallCaps w:val="0"/>
      <w:strike w:val="0"/>
      <w:spacing w:val="0"/>
      <w:w w:val="100"/>
      <w:sz w:val="21"/>
      <w:szCs w:val="21"/>
      <w:shd w:val="clear" w:color="auto" w:fill="FFFFFF"/>
    </w:rPr>
  </w:style>
  <w:style w:type="character" w:customStyle="1" w:styleId="85pt">
    <w:name w:val="Основной текст + 8;5 pt;Курсив"/>
    <w:basedOn w:val="aff"/>
    <w:rsid w:val="00B32F5E"/>
    <w:rPr>
      <w:rFonts w:ascii="Times New Roman" w:eastAsia="Times New Roman" w:hAnsi="Times New Roman" w:cs="Times New Roman"/>
      <w:b w:val="0"/>
      <w:bCs w:val="0"/>
      <w:i/>
      <w:iCs/>
      <w:smallCaps w:val="0"/>
      <w:strike w:val="0"/>
      <w:spacing w:val="0"/>
      <w:sz w:val="17"/>
      <w:szCs w:val="17"/>
      <w:shd w:val="clear" w:color="auto" w:fill="FFFFFF"/>
      <w:lang w:val="en-US"/>
    </w:rPr>
  </w:style>
  <w:style w:type="character" w:customStyle="1" w:styleId="Impact50">
    <w:name w:val="Колонтитул + Impact;Курсив;Масштаб 50%"/>
    <w:basedOn w:val="aff7"/>
    <w:rsid w:val="00B32F5E"/>
    <w:rPr>
      <w:rFonts w:ascii="Impact" w:eastAsia="Impact" w:hAnsi="Impact" w:cs="Impact"/>
      <w:b w:val="0"/>
      <w:bCs w:val="0"/>
      <w:i/>
      <w:iCs/>
      <w:smallCaps w:val="0"/>
      <w:strike w:val="0"/>
      <w:w w:val="50"/>
      <w:shd w:val="clear" w:color="auto" w:fill="FFFFFF"/>
      <w:lang w:eastAsia="en-US"/>
    </w:rPr>
  </w:style>
  <w:style w:type="character" w:customStyle="1" w:styleId="333">
    <w:name w:val="Заголовок №3 (3)_"/>
    <w:basedOn w:val="a0"/>
    <w:rsid w:val="00B32F5E"/>
    <w:rPr>
      <w:rFonts w:ascii="Times New Roman" w:eastAsia="Times New Roman" w:hAnsi="Times New Roman" w:cs="Times New Roman"/>
      <w:b w:val="0"/>
      <w:bCs w:val="0"/>
      <w:i w:val="0"/>
      <w:iCs w:val="0"/>
      <w:smallCaps w:val="0"/>
      <w:strike w:val="0"/>
      <w:spacing w:val="0"/>
      <w:w w:val="50"/>
      <w:sz w:val="45"/>
      <w:szCs w:val="45"/>
    </w:rPr>
  </w:style>
  <w:style w:type="character" w:customStyle="1" w:styleId="334">
    <w:name w:val="Заголовок №3 (3)"/>
    <w:basedOn w:val="333"/>
    <w:rsid w:val="00B32F5E"/>
    <w:rPr>
      <w:rFonts w:ascii="Times New Roman" w:eastAsia="Times New Roman" w:hAnsi="Times New Roman" w:cs="Times New Roman"/>
      <w:b w:val="0"/>
      <w:bCs w:val="0"/>
      <w:i w:val="0"/>
      <w:iCs w:val="0"/>
      <w:smallCaps w:val="0"/>
      <w:strike w:val="0"/>
      <w:spacing w:val="0"/>
      <w:w w:val="50"/>
      <w:sz w:val="45"/>
      <w:szCs w:val="45"/>
    </w:rPr>
  </w:style>
  <w:style w:type="character" w:customStyle="1" w:styleId="532">
    <w:name w:val="Заголовок №5 (3)_"/>
    <w:basedOn w:val="a0"/>
    <w:link w:val="533"/>
    <w:rsid w:val="00B32F5E"/>
    <w:rPr>
      <w:rFonts w:ascii="Times New Roman" w:eastAsia="Times New Roman" w:hAnsi="Times New Roman"/>
      <w:sz w:val="23"/>
      <w:szCs w:val="23"/>
      <w:shd w:val="clear" w:color="auto" w:fill="FFFFFF"/>
    </w:rPr>
  </w:style>
  <w:style w:type="paragraph" w:customStyle="1" w:styleId="533">
    <w:name w:val="Заголовок №5 (3)"/>
    <w:basedOn w:val="a"/>
    <w:link w:val="532"/>
    <w:rsid w:val="00B32F5E"/>
    <w:pPr>
      <w:shd w:val="clear" w:color="auto" w:fill="FFFFFF"/>
      <w:spacing w:before="600" w:after="60" w:line="0" w:lineRule="atLeast"/>
      <w:outlineLvl w:val="4"/>
    </w:pPr>
    <w:rPr>
      <w:rFonts w:ascii="Times New Roman" w:eastAsia="Times New Roman" w:hAnsi="Times New Roman"/>
      <w:sz w:val="23"/>
      <w:szCs w:val="23"/>
      <w:lang w:eastAsia="ru-RU"/>
    </w:rPr>
  </w:style>
  <w:style w:type="character" w:customStyle="1" w:styleId="4f6">
    <w:name w:val="Сноска (4)_"/>
    <w:basedOn w:val="a0"/>
    <w:rsid w:val="00B32F5E"/>
    <w:rPr>
      <w:rFonts w:ascii="Times New Roman" w:eastAsia="Times New Roman" w:hAnsi="Times New Roman" w:cs="Times New Roman"/>
      <w:b w:val="0"/>
      <w:bCs w:val="0"/>
      <w:i w:val="0"/>
      <w:iCs w:val="0"/>
      <w:smallCaps w:val="0"/>
      <w:strike w:val="0"/>
      <w:spacing w:val="0"/>
      <w:sz w:val="19"/>
      <w:szCs w:val="19"/>
    </w:rPr>
  </w:style>
  <w:style w:type="character" w:customStyle="1" w:styleId="4f7">
    <w:name w:val="Сноска (4)"/>
    <w:basedOn w:val="4f6"/>
    <w:rsid w:val="00B32F5E"/>
    <w:rPr>
      <w:rFonts w:ascii="Times New Roman" w:eastAsia="Times New Roman" w:hAnsi="Times New Roman" w:cs="Times New Roman"/>
      <w:b w:val="0"/>
      <w:bCs w:val="0"/>
      <w:i w:val="0"/>
      <w:iCs w:val="0"/>
      <w:smallCaps w:val="0"/>
      <w:strike w:val="0"/>
      <w:spacing w:val="0"/>
      <w:sz w:val="19"/>
      <w:szCs w:val="19"/>
    </w:rPr>
  </w:style>
  <w:style w:type="character" w:customStyle="1" w:styleId="4f8">
    <w:name w:val="Основной текст (4) + Курсив"/>
    <w:basedOn w:val="46"/>
    <w:rsid w:val="00B32F5E"/>
    <w:rPr>
      <w:rFonts w:ascii="Times New Roman" w:eastAsia="Times New Roman" w:hAnsi="Times New Roman" w:cs="Times New Roman"/>
      <w:b w:val="0"/>
      <w:bCs w:val="0"/>
      <w:i/>
      <w:iCs/>
      <w:smallCaps w:val="0"/>
      <w:strike w:val="0"/>
      <w:spacing w:val="0"/>
      <w:sz w:val="23"/>
      <w:szCs w:val="23"/>
      <w:shd w:val="clear" w:color="auto" w:fill="FFFFFF"/>
    </w:rPr>
  </w:style>
  <w:style w:type="character" w:styleId="afff8">
    <w:name w:val="footnote reference"/>
    <w:basedOn w:val="a0"/>
    <w:uiPriority w:val="99"/>
    <w:semiHidden/>
    <w:unhideWhenUsed/>
    <w:rsid w:val="00B32F5E"/>
    <w:rPr>
      <w:sz w:val="20"/>
      <w:vertAlign w:val="superscript"/>
    </w:rPr>
  </w:style>
  <w:style w:type="character" w:customStyle="1" w:styleId="idea">
    <w:name w:val="idea"/>
    <w:basedOn w:val="a0"/>
    <w:rsid w:val="00B32F5E"/>
  </w:style>
  <w:style w:type="paragraph" w:styleId="HTML">
    <w:name w:val="HTML Preformatted"/>
    <w:basedOn w:val="a"/>
    <w:link w:val="HTML0"/>
    <w:uiPriority w:val="99"/>
    <w:unhideWhenUsed/>
    <w:rsid w:val="00B32F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B32F5E"/>
    <w:rPr>
      <w:rFonts w:ascii="Courier New" w:eastAsia="Times New Roman" w:hAnsi="Courier New" w:cs="Courier New"/>
    </w:rPr>
  </w:style>
  <w:style w:type="character" w:customStyle="1" w:styleId="fieldset-legend">
    <w:name w:val="fieldset-legend"/>
    <w:basedOn w:val="a0"/>
    <w:rsid w:val="00B32F5E"/>
  </w:style>
  <w:style w:type="character" w:customStyle="1" w:styleId="fieldset-legend-prefix">
    <w:name w:val="fieldset-legend-prefix"/>
    <w:basedOn w:val="a0"/>
    <w:rsid w:val="00B32F5E"/>
  </w:style>
  <w:style w:type="character" w:styleId="afff9">
    <w:name w:val="Unresolved Mention"/>
    <w:basedOn w:val="a0"/>
    <w:uiPriority w:val="99"/>
    <w:semiHidden/>
    <w:unhideWhenUsed/>
    <w:rsid w:val="00B32F5E"/>
    <w:rPr>
      <w:color w:val="605E5C"/>
      <w:shd w:val="clear" w:color="auto" w:fill="E1DFDD"/>
    </w:rPr>
  </w:style>
  <w:style w:type="character" w:customStyle="1" w:styleId="cd-date">
    <w:name w:val="cd-date"/>
    <w:basedOn w:val="a0"/>
    <w:rsid w:val="00B32F5E"/>
  </w:style>
  <w:style w:type="paragraph" w:customStyle="1" w:styleId="article-stats">
    <w:name w:val="article-stats"/>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date">
    <w:name w:val="article-stats-date"/>
    <w:basedOn w:val="a0"/>
    <w:rsid w:val="00B32F5E"/>
  </w:style>
  <w:style w:type="paragraph" w:styleId="z-0">
    <w:name w:val="HTML Top of Form"/>
    <w:basedOn w:val="a"/>
    <w:next w:val="a"/>
    <w:link w:val="z-2"/>
    <w:hidden/>
    <w:uiPriority w:val="99"/>
    <w:semiHidden/>
    <w:unhideWhenUsed/>
    <w:rsid w:val="00B32F5E"/>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0"/>
    <w:link w:val="z-0"/>
    <w:uiPriority w:val="99"/>
    <w:semiHidden/>
    <w:rsid w:val="00B32F5E"/>
    <w:rPr>
      <w:rFonts w:ascii="Arial" w:eastAsia="Times New Roman" w:hAnsi="Arial" w:cs="Arial"/>
      <w:vanish/>
      <w:sz w:val="16"/>
      <w:szCs w:val="16"/>
    </w:rPr>
  </w:style>
  <w:style w:type="paragraph" w:styleId="z-3">
    <w:name w:val="HTML Bottom of Form"/>
    <w:basedOn w:val="a"/>
    <w:next w:val="a"/>
    <w:link w:val="z-4"/>
    <w:hidden/>
    <w:uiPriority w:val="99"/>
    <w:semiHidden/>
    <w:unhideWhenUsed/>
    <w:rsid w:val="00B32F5E"/>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4">
    <w:name w:val="z-Конец формы Знак"/>
    <w:basedOn w:val="a0"/>
    <w:link w:val="z-3"/>
    <w:uiPriority w:val="99"/>
    <w:semiHidden/>
    <w:rsid w:val="00B32F5E"/>
    <w:rPr>
      <w:rFonts w:ascii="Arial" w:eastAsia="Times New Roman" w:hAnsi="Arial" w:cs="Arial"/>
      <w:vanish/>
      <w:sz w:val="16"/>
      <w:szCs w:val="16"/>
    </w:rPr>
  </w:style>
  <w:style w:type="paragraph" w:customStyle="1" w:styleId="u-current-rating">
    <w:name w:val="u-current-rating"/>
    <w:basedOn w:val="a"/>
    <w:rsid w:val="00B32F5E"/>
    <w:pPr>
      <w:spacing w:before="100" w:beforeAutospacing="1" w:after="100" w:afterAutospacing="1" w:line="240" w:lineRule="auto"/>
      <w:jc w:val="both"/>
    </w:pPr>
    <w:rPr>
      <w:rFonts w:ascii="Times New Roman" w:eastAsia="Times New Roman" w:hAnsi="Times New Roman"/>
      <w:sz w:val="24"/>
      <w:szCs w:val="24"/>
      <w:lang w:eastAsia="ru-RU"/>
    </w:rPr>
  </w:style>
  <w:style w:type="character" w:customStyle="1" w:styleId="uscl-each-counter">
    <w:name w:val="uscl-each-counter"/>
    <w:basedOn w:val="a0"/>
    <w:rsid w:val="00B32F5E"/>
  </w:style>
  <w:style w:type="character" w:customStyle="1" w:styleId="pbvybibe">
    <w:name w:val="pbvybibe"/>
    <w:basedOn w:val="a0"/>
    <w:rsid w:val="00B32F5E"/>
  </w:style>
  <w:style w:type="character" w:customStyle="1" w:styleId="bottom-info-block-content">
    <w:name w:val="bottom-info-block-content"/>
    <w:basedOn w:val="a0"/>
    <w:rsid w:val="00B32F5E"/>
  </w:style>
  <w:style w:type="character" w:customStyle="1" w:styleId="style31">
    <w:name w:val="style31"/>
    <w:basedOn w:val="a0"/>
    <w:rsid w:val="00B32F5E"/>
  </w:style>
  <w:style w:type="paragraph" w:customStyle="1" w:styleId="podprislevo1">
    <w:name w:val="podpris_levo1"/>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styleId="afffa">
    <w:name w:val="Balloon Text"/>
    <w:basedOn w:val="a"/>
    <w:link w:val="afffb"/>
    <w:uiPriority w:val="99"/>
    <w:semiHidden/>
    <w:unhideWhenUsed/>
    <w:rsid w:val="00B32F5E"/>
    <w:pPr>
      <w:spacing w:after="0" w:line="240" w:lineRule="auto"/>
      <w:jc w:val="both"/>
    </w:pPr>
    <w:rPr>
      <w:rFonts w:ascii="Segoe UI" w:eastAsiaTheme="minorHAnsi" w:hAnsi="Segoe UI" w:cs="Segoe UI"/>
      <w:sz w:val="18"/>
      <w:szCs w:val="18"/>
    </w:rPr>
  </w:style>
  <w:style w:type="character" w:customStyle="1" w:styleId="afffb">
    <w:name w:val="Текст выноски Знак"/>
    <w:basedOn w:val="a0"/>
    <w:link w:val="afffa"/>
    <w:uiPriority w:val="99"/>
    <w:semiHidden/>
    <w:rsid w:val="00B32F5E"/>
    <w:rPr>
      <w:rFonts w:ascii="Segoe UI" w:eastAsiaTheme="minorHAnsi" w:hAnsi="Segoe UI" w:cs="Segoe UI"/>
      <w:sz w:val="18"/>
      <w:szCs w:val="18"/>
      <w:lang w:eastAsia="en-US"/>
    </w:rPr>
  </w:style>
  <w:style w:type="character" w:customStyle="1" w:styleId="hl-obj">
    <w:name w:val="hl-obj"/>
    <w:basedOn w:val="a0"/>
    <w:rsid w:val="00B32F5E"/>
  </w:style>
  <w:style w:type="character" w:customStyle="1" w:styleId="style2">
    <w:name w:val="style2"/>
    <w:basedOn w:val="a0"/>
    <w:rsid w:val="00B32F5E"/>
  </w:style>
  <w:style w:type="character" w:customStyle="1" w:styleId="podprislevo">
    <w:name w:val="podpris_levo"/>
    <w:basedOn w:val="a0"/>
    <w:rsid w:val="00B32F5E"/>
  </w:style>
  <w:style w:type="paragraph" w:customStyle="1" w:styleId="rtecenter">
    <w:name w:val="rtecenter"/>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0e">
    <w:name w:val="10"/>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85pt0pt">
    <w:name w:val="Основной текст + 8;5 pt;Полужирный;Интервал 0 pt"/>
    <w:basedOn w:val="aff"/>
    <w:rsid w:val="00B32F5E"/>
    <w:rPr>
      <w:rFonts w:ascii="Arial" w:eastAsia="Arial" w:hAnsi="Arial" w:cs="Arial"/>
      <w:b/>
      <w:bCs/>
      <w:i w:val="0"/>
      <w:iCs w:val="0"/>
      <w:smallCaps w:val="0"/>
      <w:strike w:val="0"/>
      <w:spacing w:val="-10"/>
      <w:sz w:val="17"/>
      <w:szCs w:val="17"/>
      <w:shd w:val="clear" w:color="auto" w:fill="FFFFFF"/>
    </w:rPr>
  </w:style>
  <w:style w:type="paragraph" w:customStyle="1" w:styleId="msonormal0">
    <w:name w:val="msonormal"/>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f">
    <w:name w:val="Текст1"/>
    <w:basedOn w:val="a"/>
    <w:rsid w:val="00B32F5E"/>
    <w:pPr>
      <w:widowControl w:val="0"/>
      <w:overflowPunct w:val="0"/>
      <w:autoSpaceDE w:val="0"/>
      <w:autoSpaceDN w:val="0"/>
      <w:adjustRightInd w:val="0"/>
      <w:spacing w:after="0" w:line="240" w:lineRule="auto"/>
    </w:pPr>
    <w:rPr>
      <w:rFonts w:ascii="Courier New" w:eastAsia="Times New Roman" w:hAnsi="Courier New"/>
      <w:sz w:val="20"/>
      <w:szCs w:val="20"/>
      <w:lang w:val="en-AU" w:eastAsia="ru-RU"/>
    </w:rPr>
  </w:style>
  <w:style w:type="character" w:customStyle="1" w:styleId="1f0">
    <w:name w:val="Основной шрифт абзаца1"/>
    <w:rsid w:val="00B32F5E"/>
    <w:rPr>
      <w:sz w:val="20"/>
    </w:rPr>
  </w:style>
  <w:style w:type="character" w:customStyle="1" w:styleId="1f1">
    <w:name w:val="Выделение1"/>
    <w:rsid w:val="00B32F5E"/>
    <w:rPr>
      <w:i/>
      <w:iCs w:val="0"/>
      <w:sz w:val="20"/>
    </w:rPr>
  </w:style>
  <w:style w:type="character" w:customStyle="1" w:styleId="1f2">
    <w:name w:val="Строгий1"/>
    <w:rsid w:val="00B32F5E"/>
    <w:rPr>
      <w:b/>
      <w:bCs w:val="0"/>
      <w:sz w:val="20"/>
    </w:rPr>
  </w:style>
  <w:style w:type="character" w:customStyle="1" w:styleId="1f3">
    <w:name w:val="Гиперссылка1"/>
    <w:rsid w:val="00B32F5E"/>
    <w:rPr>
      <w:color w:val="0000FF"/>
      <w:sz w:val="20"/>
      <w:u w:val="single"/>
    </w:rPr>
  </w:style>
  <w:style w:type="paragraph" w:customStyle="1" w:styleId="rteindent11">
    <w:name w:val="rteindent11"/>
    <w:basedOn w:val="a"/>
    <w:uiPriority w:val="99"/>
    <w:rsid w:val="00B32F5E"/>
    <w:pPr>
      <w:spacing w:before="100" w:beforeAutospacing="1" w:after="150" w:line="240" w:lineRule="auto"/>
      <w:ind w:left="600" w:firstLine="300"/>
      <w:jc w:val="both"/>
    </w:pPr>
    <w:rPr>
      <w:rFonts w:ascii="Times New Roman" w:eastAsia="Times New Roman" w:hAnsi="Times New Roman"/>
      <w:sz w:val="24"/>
      <w:szCs w:val="24"/>
      <w:lang w:eastAsia="ru-RU"/>
    </w:rPr>
  </w:style>
  <w:style w:type="paragraph" w:customStyle="1" w:styleId="esnhdj">
    <w:name w:val="esnhdj"/>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xdhlk">
    <w:name w:val="cxdhlk"/>
    <w:basedOn w:val="a0"/>
    <w:rsid w:val="00B32F5E"/>
  </w:style>
  <w:style w:type="paragraph" w:customStyle="1" w:styleId="ftvvlh">
    <w:name w:val="ftvvlh"/>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xpkzn">
    <w:name w:val="cxpkzn"/>
    <w:basedOn w:val="a0"/>
    <w:rsid w:val="00B32F5E"/>
  </w:style>
  <w:style w:type="character" w:customStyle="1" w:styleId="apple-tab-span">
    <w:name w:val="apple-tab-span"/>
    <w:basedOn w:val="a0"/>
    <w:rsid w:val="00B32F5E"/>
  </w:style>
  <w:style w:type="paragraph" w:customStyle="1" w:styleId="jornal-9">
    <w:name w:val="jornal-9"/>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no-style-override-7">
    <w:name w:val="no-style-override-7"/>
    <w:basedOn w:val="a0"/>
    <w:rsid w:val="00B32F5E"/>
  </w:style>
  <w:style w:type="paragraph" w:customStyle="1" w:styleId="ya-share2item">
    <w:name w:val="ya-share2__item"/>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ollapsible">
    <w:name w:val="collapsible"/>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tooltip">
    <w:name w:val="tooltip"/>
    <w:basedOn w:val="a0"/>
    <w:rsid w:val="00B32F5E"/>
  </w:style>
  <w:style w:type="character" w:styleId="HTML1">
    <w:name w:val="HTML Cite"/>
    <w:basedOn w:val="a0"/>
    <w:uiPriority w:val="99"/>
    <w:semiHidden/>
    <w:unhideWhenUsed/>
    <w:rsid w:val="00B32F5E"/>
    <w:rPr>
      <w:i/>
      <w:iCs/>
    </w:rPr>
  </w:style>
  <w:style w:type="character" w:customStyle="1" w:styleId="1221">
    <w:name w:val="122"/>
    <w:basedOn w:val="a0"/>
    <w:rsid w:val="00B32F5E"/>
  </w:style>
  <w:style w:type="character" w:customStyle="1" w:styleId="1290">
    <w:name w:val="1290"/>
    <w:basedOn w:val="a0"/>
    <w:rsid w:val="00B32F5E"/>
  </w:style>
  <w:style w:type="paragraph" w:customStyle="1" w:styleId="political">
    <w:name w:val="political"/>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pt0">
    <w:name w:val="Основной текст + 10 pt;Полужирный"/>
    <w:basedOn w:val="aff"/>
    <w:rsid w:val="00B32F5E"/>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Bodytext4">
    <w:name w:val="Body text (4)_"/>
    <w:basedOn w:val="a0"/>
    <w:link w:val="Bodytext40"/>
    <w:rsid w:val="00B32F5E"/>
    <w:rPr>
      <w:rFonts w:ascii="Times New Roman" w:eastAsia="Times New Roman" w:hAnsi="Times New Roman"/>
      <w:sz w:val="8"/>
      <w:szCs w:val="8"/>
      <w:shd w:val="clear" w:color="auto" w:fill="FFFFFF"/>
    </w:rPr>
  </w:style>
  <w:style w:type="paragraph" w:customStyle="1" w:styleId="Bodytext40">
    <w:name w:val="Body text (4)"/>
    <w:basedOn w:val="a"/>
    <w:link w:val="Bodytext4"/>
    <w:rsid w:val="00B32F5E"/>
    <w:pPr>
      <w:shd w:val="clear" w:color="auto" w:fill="FFFFFF"/>
      <w:spacing w:after="0" w:line="0" w:lineRule="atLeast"/>
      <w:jc w:val="both"/>
    </w:pPr>
    <w:rPr>
      <w:rFonts w:ascii="Times New Roman" w:eastAsia="Times New Roman" w:hAnsi="Times New Roman"/>
      <w:sz w:val="8"/>
      <w:szCs w:val="8"/>
      <w:lang w:eastAsia="ru-RU"/>
    </w:rPr>
  </w:style>
  <w:style w:type="character" w:customStyle="1" w:styleId="afffc">
    <w:name w:val="Другое_"/>
    <w:basedOn w:val="a0"/>
    <w:link w:val="afffd"/>
    <w:rsid w:val="00B32F5E"/>
    <w:rPr>
      <w:rFonts w:ascii="Arial" w:eastAsia="Arial" w:hAnsi="Arial" w:cs="Arial"/>
      <w:sz w:val="17"/>
      <w:szCs w:val="17"/>
    </w:rPr>
  </w:style>
  <w:style w:type="paragraph" w:customStyle="1" w:styleId="afffd">
    <w:name w:val="Другое"/>
    <w:basedOn w:val="a"/>
    <w:link w:val="afffc"/>
    <w:rsid w:val="00B32F5E"/>
    <w:pPr>
      <w:widowControl w:val="0"/>
      <w:spacing w:after="0" w:line="240" w:lineRule="auto"/>
      <w:ind w:firstLine="180"/>
    </w:pPr>
    <w:rPr>
      <w:rFonts w:ascii="Arial" w:eastAsia="Arial" w:hAnsi="Arial" w:cs="Arial"/>
      <w:sz w:val="17"/>
      <w:szCs w:val="17"/>
      <w:lang w:eastAsia="ru-RU"/>
    </w:rPr>
  </w:style>
  <w:style w:type="paragraph" w:customStyle="1" w:styleId="b-articletext">
    <w:name w:val="b-article__text"/>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incutphotogallerypicsrc">
    <w:name w:val="b-incut__photogallery__pic_src"/>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quotedcommas">
    <w:name w:val="quoted__commas"/>
    <w:basedOn w:val="a0"/>
    <w:rsid w:val="00B32F5E"/>
  </w:style>
  <w:style w:type="character" w:customStyle="1" w:styleId="likes-count-minimalcount">
    <w:name w:val="likes-count-minimal__count"/>
    <w:basedOn w:val="a0"/>
    <w:rsid w:val="00B32F5E"/>
  </w:style>
  <w:style w:type="character" w:customStyle="1" w:styleId="ui-lib-buttoncontent-wrapper">
    <w:name w:val="ui-lib-button__content-wrapper"/>
    <w:basedOn w:val="a0"/>
    <w:rsid w:val="00B32F5E"/>
  </w:style>
  <w:style w:type="character" w:customStyle="1" w:styleId="d2edcug0">
    <w:name w:val="d2edcug0"/>
    <w:basedOn w:val="a0"/>
    <w:rsid w:val="00B32F5E"/>
  </w:style>
  <w:style w:type="character" w:customStyle="1" w:styleId="2f7">
    <w:name w:val="Колонтитул (2)_"/>
    <w:basedOn w:val="a0"/>
    <w:link w:val="2f8"/>
    <w:rsid w:val="00B32F5E"/>
    <w:rPr>
      <w:rFonts w:ascii="Times New Roman" w:eastAsia="Times New Roman" w:hAnsi="Times New Roman"/>
    </w:rPr>
  </w:style>
  <w:style w:type="paragraph" w:customStyle="1" w:styleId="2f8">
    <w:name w:val="Колонтитул (2)"/>
    <w:basedOn w:val="a"/>
    <w:link w:val="2f7"/>
    <w:rsid w:val="00B32F5E"/>
    <w:pPr>
      <w:widowControl w:val="0"/>
      <w:spacing w:after="0" w:line="240" w:lineRule="auto"/>
    </w:pPr>
    <w:rPr>
      <w:rFonts w:ascii="Times New Roman" w:eastAsia="Times New Roman" w:hAnsi="Times New Roman"/>
      <w:sz w:val="20"/>
      <w:szCs w:val="20"/>
      <w:lang w:eastAsia="ru-RU"/>
    </w:rPr>
  </w:style>
  <w:style w:type="paragraph" w:styleId="afffe">
    <w:name w:val="header"/>
    <w:basedOn w:val="a"/>
    <w:link w:val="affff"/>
    <w:uiPriority w:val="99"/>
    <w:unhideWhenUsed/>
    <w:rsid w:val="00B32F5E"/>
    <w:pPr>
      <w:widowControl w:val="0"/>
      <w:tabs>
        <w:tab w:val="center" w:pos="4677"/>
        <w:tab w:val="right" w:pos="9355"/>
      </w:tabs>
      <w:spacing w:after="0" w:line="240" w:lineRule="auto"/>
    </w:pPr>
    <w:rPr>
      <w:rFonts w:ascii="Courier New" w:eastAsia="Courier New" w:hAnsi="Courier New" w:cs="Courier New"/>
      <w:color w:val="000000"/>
      <w:sz w:val="24"/>
      <w:szCs w:val="24"/>
      <w:lang w:eastAsia="ru-RU" w:bidi="ru-RU"/>
    </w:rPr>
  </w:style>
  <w:style w:type="character" w:customStyle="1" w:styleId="affff">
    <w:name w:val="Верхний колонтитул Знак"/>
    <w:basedOn w:val="a0"/>
    <w:link w:val="afffe"/>
    <w:uiPriority w:val="99"/>
    <w:rsid w:val="00B32F5E"/>
    <w:rPr>
      <w:rFonts w:ascii="Courier New" w:eastAsia="Courier New" w:hAnsi="Courier New" w:cs="Courier New"/>
      <w:color w:val="000000"/>
      <w:sz w:val="24"/>
      <w:szCs w:val="24"/>
      <w:lang w:bidi="ru-RU"/>
    </w:rPr>
  </w:style>
  <w:style w:type="character" w:customStyle="1" w:styleId="symbol">
    <w:name w:val="symbol"/>
    <w:basedOn w:val="a0"/>
    <w:rsid w:val="00B32F5E"/>
  </w:style>
  <w:style w:type="character" w:customStyle="1" w:styleId="zen-tag-publisherstitle">
    <w:name w:val="zen-tag-publishers__title"/>
    <w:basedOn w:val="a0"/>
    <w:rsid w:val="00B32F5E"/>
  </w:style>
  <w:style w:type="character" w:customStyle="1" w:styleId="ui-lib-call-to-action-barcontainer">
    <w:name w:val="ui-lib-call-to-action-bar__container"/>
    <w:basedOn w:val="a0"/>
    <w:rsid w:val="00B32F5E"/>
  </w:style>
  <w:style w:type="character" w:customStyle="1" w:styleId="ui-lib-call-to-action-bartitle">
    <w:name w:val="ui-lib-call-to-action-bar__title"/>
    <w:basedOn w:val="a0"/>
    <w:rsid w:val="00B32F5E"/>
  </w:style>
  <w:style w:type="character" w:customStyle="1" w:styleId="ui-lib-call-to-action-barchannel-name">
    <w:name w:val="ui-lib-call-to-action-bar__channel-name"/>
    <w:basedOn w:val="a0"/>
    <w:rsid w:val="00B32F5E"/>
  </w:style>
  <w:style w:type="character" w:customStyle="1" w:styleId="bqstart">
    <w:name w:val="bqstart"/>
    <w:basedOn w:val="a0"/>
    <w:rsid w:val="00B32F5E"/>
  </w:style>
  <w:style w:type="character" w:customStyle="1" w:styleId="bqend">
    <w:name w:val="bqend"/>
    <w:basedOn w:val="a0"/>
    <w:rsid w:val="00B32F5E"/>
  </w:style>
  <w:style w:type="paragraph" w:customStyle="1" w:styleId="tar">
    <w:name w:val="tar"/>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view-redesignstats-item-count">
    <w:name w:val="article-stats-view-redesign__stats-item-count"/>
    <w:basedOn w:val="a0"/>
    <w:rsid w:val="00B32F5E"/>
  </w:style>
  <w:style w:type="character" w:customStyle="1" w:styleId="ui-lib-likes-countcount">
    <w:name w:val="ui-lib-likes-count__count"/>
    <w:basedOn w:val="a0"/>
    <w:rsid w:val="00B32F5E"/>
  </w:style>
  <w:style w:type="character" w:customStyle="1" w:styleId="button-icon-texttext">
    <w:name w:val="button-icon-text__text"/>
    <w:basedOn w:val="a0"/>
    <w:rsid w:val="00B32F5E"/>
  </w:style>
  <w:style w:type="character" w:customStyle="1" w:styleId="z-10">
    <w:name w:val="z-Начало формы Знак1"/>
    <w:basedOn w:val="a0"/>
    <w:uiPriority w:val="99"/>
    <w:semiHidden/>
    <w:rsid w:val="00B32F5E"/>
    <w:rPr>
      <w:rFonts w:ascii="Arial" w:hAnsi="Arial" w:cs="Arial"/>
      <w:vanish/>
      <w:sz w:val="16"/>
      <w:szCs w:val="16"/>
    </w:rPr>
  </w:style>
  <w:style w:type="character" w:customStyle="1" w:styleId="z-11">
    <w:name w:val="z-Конец формы Знак1"/>
    <w:basedOn w:val="a0"/>
    <w:uiPriority w:val="99"/>
    <w:semiHidden/>
    <w:rsid w:val="00B32F5E"/>
    <w:rPr>
      <w:rFonts w:ascii="Arial" w:hAnsi="Arial" w:cs="Arial"/>
      <w:vanish/>
      <w:sz w:val="16"/>
      <w:szCs w:val="16"/>
    </w:rPr>
  </w:style>
  <w:style w:type="character" w:customStyle="1" w:styleId="1f4">
    <w:name w:val="Текст выноски Знак1"/>
    <w:basedOn w:val="a0"/>
    <w:uiPriority w:val="99"/>
    <w:semiHidden/>
    <w:rsid w:val="00B32F5E"/>
    <w:rPr>
      <w:rFonts w:ascii="Segoe UI" w:hAnsi="Segoe UI" w:cs="Segoe UI"/>
      <w:sz w:val="18"/>
      <w:szCs w:val="18"/>
    </w:rPr>
  </w:style>
  <w:style w:type="character" w:customStyle="1" w:styleId="7d">
    <w:name w:val="Основной текст (7) + Не курсив"/>
    <w:basedOn w:val="a0"/>
    <w:rsid w:val="00B32F5E"/>
    <w:rPr>
      <w:rFonts w:ascii="Arial Narrow" w:eastAsia="Arial Narrow" w:hAnsi="Arial Narrow" w:cs="Arial Narrow"/>
      <w:b w:val="0"/>
      <w:bCs w:val="0"/>
      <w:i/>
      <w:iCs/>
      <w:smallCaps w:val="0"/>
      <w:strike w:val="0"/>
      <w:spacing w:val="0"/>
      <w:sz w:val="19"/>
      <w:szCs w:val="19"/>
    </w:rPr>
  </w:style>
  <w:style w:type="character" w:customStyle="1" w:styleId="MicrosoftSansSerif">
    <w:name w:val="Основной текст + Microsoft Sans Serif"/>
    <w:rsid w:val="00B32F5E"/>
    <w:rPr>
      <w:rFonts w:ascii="Microsoft Sans Serif" w:hAnsi="Microsoft Sans Serif"/>
      <w:i/>
      <w:spacing w:val="10"/>
      <w:sz w:val="15"/>
    </w:rPr>
  </w:style>
  <w:style w:type="paragraph" w:customStyle="1" w:styleId="txt1">
    <w:name w:val="txt1"/>
    <w:basedOn w:val="a"/>
    <w:rsid w:val="00B32F5E"/>
    <w:pPr>
      <w:spacing w:before="100" w:beforeAutospacing="1" w:after="100" w:afterAutospacing="1" w:line="432" w:lineRule="auto"/>
      <w:ind w:firstLine="720"/>
      <w:jc w:val="both"/>
    </w:pPr>
    <w:rPr>
      <w:rFonts w:ascii="Times New Roman" w:eastAsia="Times New Roman" w:hAnsi="Times New Roman"/>
      <w:sz w:val="24"/>
      <w:szCs w:val="24"/>
      <w:lang w:eastAsia="ru-RU"/>
    </w:rPr>
  </w:style>
  <w:style w:type="character" w:customStyle="1" w:styleId="142">
    <w:name w:val="Заголовок №14_"/>
    <w:basedOn w:val="a0"/>
    <w:link w:val="140"/>
    <w:rsid w:val="00B32F5E"/>
    <w:rPr>
      <w:rFonts w:ascii="Tahoma" w:hAnsi="Tahoma" w:cs="Tahoma"/>
      <w:sz w:val="30"/>
      <w:szCs w:val="30"/>
      <w:shd w:val="clear" w:color="auto" w:fill="FFFFFF"/>
      <w:lang w:eastAsia="en-US"/>
    </w:rPr>
  </w:style>
  <w:style w:type="character" w:customStyle="1" w:styleId="selected1">
    <w:name w:val="selected1"/>
    <w:basedOn w:val="a0"/>
    <w:rsid w:val="00B32F5E"/>
    <w:rPr>
      <w:color w:val="05A505"/>
    </w:rPr>
  </w:style>
  <w:style w:type="character" w:customStyle="1" w:styleId="7pt1">
    <w:name w:val="Основной текст + 7 pt;Полужирный"/>
    <w:basedOn w:val="aff"/>
    <w:rsid w:val="00B32F5E"/>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434">
    <w:name w:val="Основной текст + Полужирный43"/>
    <w:basedOn w:val="a0"/>
    <w:uiPriority w:val="99"/>
    <w:rsid w:val="00B32F5E"/>
    <w:rPr>
      <w:rFonts w:ascii="Arial Narrow" w:hAnsi="Arial Narrow" w:cs="Arial Narrow"/>
      <w:b/>
      <w:bCs/>
      <w:spacing w:val="0"/>
      <w:sz w:val="18"/>
      <w:szCs w:val="18"/>
      <w:shd w:val="clear" w:color="auto" w:fill="FFFFFF"/>
    </w:rPr>
  </w:style>
  <w:style w:type="character" w:customStyle="1" w:styleId="315">
    <w:name w:val="Основной текст + Курсив31"/>
    <w:basedOn w:val="a0"/>
    <w:uiPriority w:val="99"/>
    <w:rsid w:val="00B32F5E"/>
    <w:rPr>
      <w:rFonts w:ascii="Arial Narrow" w:hAnsi="Arial Narrow" w:cs="Arial Narrow"/>
      <w:i/>
      <w:iCs/>
      <w:spacing w:val="0"/>
      <w:sz w:val="18"/>
      <w:szCs w:val="18"/>
      <w:shd w:val="clear" w:color="auto" w:fill="FFFFFF"/>
    </w:rPr>
  </w:style>
  <w:style w:type="character" w:customStyle="1" w:styleId="data1">
    <w:name w:val="data1"/>
    <w:basedOn w:val="a0"/>
    <w:rsid w:val="00B32F5E"/>
    <w:rPr>
      <w:i/>
      <w:iCs/>
      <w:vanish w:val="0"/>
      <w:webHidden w:val="0"/>
      <w:specVanish w:val="0"/>
    </w:rPr>
  </w:style>
  <w:style w:type="paragraph" w:customStyle="1" w:styleId="el-text">
    <w:name w:val="el-text"/>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73">
    <w:name w:val="Основной текст + Курсив37"/>
    <w:basedOn w:val="a0"/>
    <w:uiPriority w:val="99"/>
    <w:rsid w:val="00B32F5E"/>
    <w:rPr>
      <w:rFonts w:ascii="Arial Narrow" w:hAnsi="Arial Narrow" w:cs="Arial Narrow"/>
      <w:i/>
      <w:iCs/>
      <w:sz w:val="18"/>
      <w:szCs w:val="18"/>
      <w:shd w:val="clear" w:color="auto" w:fill="FFFFFF"/>
    </w:rPr>
  </w:style>
  <w:style w:type="character" w:customStyle="1" w:styleId="295pt0pt">
    <w:name w:val="Основной текст (2) + 9;5 pt;Полужирный;Не курсив;Интервал 0 pt"/>
    <w:basedOn w:val="2a"/>
    <w:rsid w:val="00B32F5E"/>
    <w:rPr>
      <w:rFonts w:ascii="Arial" w:eastAsia="Arial" w:hAnsi="Arial" w:cs="Arial"/>
      <w:b/>
      <w:bCs/>
      <w:i/>
      <w:iCs/>
      <w:smallCaps w:val="0"/>
      <w:strike w:val="0"/>
      <w:spacing w:val="-10"/>
      <w:w w:val="80"/>
      <w:sz w:val="19"/>
      <w:szCs w:val="19"/>
      <w:shd w:val="clear" w:color="auto" w:fill="FFFFFF"/>
      <w:lang w:eastAsia="en-US"/>
    </w:rPr>
  </w:style>
  <w:style w:type="character" w:customStyle="1" w:styleId="613">
    <w:name w:val="Основной текст (6) + Не курсив1"/>
    <w:basedOn w:val="67"/>
    <w:uiPriority w:val="99"/>
    <w:rsid w:val="00B32F5E"/>
    <w:rPr>
      <w:rFonts w:ascii="Arial Narrow" w:eastAsia="Microsoft Sans Serif" w:hAnsi="Arial Narrow" w:cs="Arial Narrow"/>
      <w:i/>
      <w:iCs/>
      <w:spacing w:val="0"/>
      <w:sz w:val="17"/>
      <w:szCs w:val="17"/>
      <w:shd w:val="clear" w:color="auto" w:fill="FFFFFF"/>
      <w:lang w:eastAsia="ru-RU"/>
    </w:rPr>
  </w:style>
  <w:style w:type="character" w:customStyle="1" w:styleId="122pt">
    <w:name w:val="Основной текст (12) + Интервал 2 pt"/>
    <w:rsid w:val="00B32F5E"/>
    <w:rPr>
      <w:spacing w:val="50"/>
      <w:sz w:val="16"/>
    </w:rPr>
  </w:style>
  <w:style w:type="character" w:customStyle="1" w:styleId="5f0">
    <w:name w:val="Основной текст (5) + Не курсив"/>
    <w:rsid w:val="00B32F5E"/>
    <w:rPr>
      <w:rFonts w:ascii="Arial" w:hAnsi="Arial"/>
      <w:i/>
      <w:spacing w:val="0"/>
      <w:sz w:val="26"/>
    </w:rPr>
  </w:style>
  <w:style w:type="paragraph" w:customStyle="1" w:styleId="Pa3">
    <w:name w:val="Pa3"/>
    <w:basedOn w:val="Default"/>
    <w:next w:val="Default"/>
    <w:uiPriority w:val="99"/>
    <w:rsid w:val="00B32F5E"/>
    <w:pPr>
      <w:spacing w:line="181" w:lineRule="atLeast"/>
    </w:pPr>
    <w:rPr>
      <w:rFonts w:ascii="Palatino Linotype" w:eastAsiaTheme="minorHAnsi" w:hAnsi="Palatino Linotype" w:cstheme="minorBidi"/>
      <w:color w:val="auto"/>
    </w:rPr>
  </w:style>
  <w:style w:type="character" w:customStyle="1" w:styleId="A40">
    <w:name w:val="A4"/>
    <w:uiPriority w:val="99"/>
    <w:rsid w:val="00B32F5E"/>
    <w:rPr>
      <w:rFonts w:cs="Palatino Linotype"/>
      <w:color w:val="000000"/>
      <w:sz w:val="19"/>
      <w:szCs w:val="19"/>
    </w:rPr>
  </w:style>
  <w:style w:type="character" w:customStyle="1" w:styleId="A30">
    <w:name w:val="A3"/>
    <w:uiPriority w:val="99"/>
    <w:rsid w:val="00B32F5E"/>
    <w:rPr>
      <w:rFonts w:cs="Palatino Linotype"/>
      <w:i/>
      <w:iCs/>
      <w:color w:val="000000"/>
      <w:sz w:val="19"/>
      <w:szCs w:val="19"/>
    </w:rPr>
  </w:style>
  <w:style w:type="paragraph" w:customStyle="1" w:styleId="Pa1">
    <w:name w:val="Pa1"/>
    <w:basedOn w:val="Default"/>
    <w:next w:val="Default"/>
    <w:uiPriority w:val="99"/>
    <w:rsid w:val="00B32F5E"/>
    <w:pPr>
      <w:spacing w:line="181" w:lineRule="atLeast"/>
    </w:pPr>
    <w:rPr>
      <w:rFonts w:ascii="Palatino Linotype" w:eastAsiaTheme="minorHAnsi" w:hAnsi="Palatino Linotype" w:cstheme="minorBidi"/>
      <w:color w:val="auto"/>
    </w:rPr>
  </w:style>
  <w:style w:type="character" w:customStyle="1" w:styleId="10pt-1pt">
    <w:name w:val="Основной текст + 10 pt;Полужирный;Интервал -1 pt"/>
    <w:basedOn w:val="aff"/>
    <w:rsid w:val="00B32F5E"/>
    <w:rPr>
      <w:rFonts w:ascii="Arial" w:eastAsia="Arial" w:hAnsi="Arial" w:cs="Arial"/>
      <w:b/>
      <w:bCs/>
      <w:i w:val="0"/>
      <w:iCs w:val="0"/>
      <w:smallCaps w:val="0"/>
      <w:strike w:val="0"/>
      <w:spacing w:val="-20"/>
      <w:sz w:val="20"/>
      <w:szCs w:val="20"/>
      <w:shd w:val="clear" w:color="auto" w:fill="FFFFFF"/>
    </w:rPr>
  </w:style>
  <w:style w:type="character" w:customStyle="1" w:styleId="6pt1">
    <w:name w:val="Основной текст + 6 pt"/>
    <w:basedOn w:val="aff"/>
    <w:uiPriority w:val="99"/>
    <w:rsid w:val="00B32F5E"/>
    <w:rPr>
      <w:rFonts w:ascii="Century Gothic" w:eastAsia="Century Gothic" w:hAnsi="Century Gothic" w:cs="Century Gothic"/>
      <w:b w:val="0"/>
      <w:bCs w:val="0"/>
      <w:i w:val="0"/>
      <w:iCs w:val="0"/>
      <w:smallCaps w:val="0"/>
      <w:strike w:val="0"/>
      <w:spacing w:val="0"/>
      <w:sz w:val="12"/>
      <w:szCs w:val="12"/>
      <w:shd w:val="clear" w:color="auto" w:fill="FFFFFF"/>
    </w:rPr>
  </w:style>
  <w:style w:type="paragraph" w:customStyle="1" w:styleId="1f5">
    <w:name w:val="Подпись к картинке1"/>
    <w:basedOn w:val="a"/>
    <w:uiPriority w:val="99"/>
    <w:rsid w:val="00B32F5E"/>
    <w:pPr>
      <w:shd w:val="clear" w:color="auto" w:fill="FFFFFF"/>
      <w:spacing w:after="0" w:line="240" w:lineRule="atLeast"/>
      <w:ind w:hanging="280"/>
    </w:pPr>
    <w:rPr>
      <w:rFonts w:ascii="Arial" w:eastAsia="Arial Unicode MS" w:hAnsi="Arial" w:cs="Arial"/>
      <w:b/>
      <w:bCs/>
      <w:sz w:val="14"/>
      <w:szCs w:val="14"/>
      <w:lang w:eastAsia="ru-RU"/>
    </w:rPr>
  </w:style>
  <w:style w:type="character" w:customStyle="1" w:styleId="w">
    <w:name w:val="w"/>
    <w:basedOn w:val="a0"/>
    <w:rsid w:val="00B32F5E"/>
  </w:style>
  <w:style w:type="paragraph" w:customStyle="1" w:styleId="uk-margin1">
    <w:name w:val="uk-margin1"/>
    <w:basedOn w:val="a"/>
    <w:rsid w:val="00B32F5E"/>
    <w:pPr>
      <w:spacing w:before="100" w:beforeAutospacing="1" w:after="225" w:line="240" w:lineRule="auto"/>
      <w:jc w:val="both"/>
    </w:pPr>
    <w:rPr>
      <w:rFonts w:ascii="Times New Roman" w:eastAsia="Times New Roman" w:hAnsi="Times New Roman"/>
      <w:sz w:val="24"/>
      <w:szCs w:val="24"/>
      <w:lang w:eastAsia="ru-RU"/>
    </w:rPr>
  </w:style>
  <w:style w:type="character" w:customStyle="1" w:styleId="hcc">
    <w:name w:val="hcc"/>
    <w:basedOn w:val="a0"/>
    <w:rsid w:val="00B32F5E"/>
  </w:style>
  <w:style w:type="character" w:customStyle="1" w:styleId="2f9">
    <w:name w:val="Оглавление (2)_"/>
    <w:basedOn w:val="a0"/>
    <w:rsid w:val="00B32F5E"/>
    <w:rPr>
      <w:rFonts w:ascii="Arial" w:eastAsia="Times New Roman" w:hAnsi="Arial" w:cs="Times New Roman"/>
      <w:spacing w:val="-10"/>
      <w:sz w:val="26"/>
      <w:szCs w:val="20"/>
      <w:shd w:val="clear" w:color="auto" w:fill="FFFFFF"/>
      <w:lang w:eastAsia="ru-RU"/>
    </w:rPr>
  </w:style>
  <w:style w:type="character" w:customStyle="1" w:styleId="50pt0">
    <w:name w:val="Подпись к таблице (5) + Интервал 0 pt"/>
    <w:rsid w:val="00B32F5E"/>
    <w:rPr>
      <w:rFonts w:ascii="Times New Roman" w:hAnsi="Times New Roman"/>
      <w:spacing w:val="10"/>
      <w:sz w:val="16"/>
    </w:rPr>
  </w:style>
  <w:style w:type="character" w:customStyle="1" w:styleId="136">
    <w:name w:val="Оглавление + 13"/>
    <w:rsid w:val="00B32F5E"/>
    <w:rPr>
      <w:rFonts w:ascii="Arial" w:hAnsi="Arial"/>
      <w:sz w:val="27"/>
    </w:rPr>
  </w:style>
  <w:style w:type="character" w:customStyle="1" w:styleId="343">
    <w:name w:val="Заголовок №3 (4)_"/>
    <w:basedOn w:val="a0"/>
    <w:link w:val="344"/>
    <w:locked/>
    <w:rsid w:val="00B32F5E"/>
    <w:rPr>
      <w:rFonts w:ascii="Times New Roman" w:hAnsi="Times New Roman"/>
      <w:shd w:val="clear" w:color="auto" w:fill="FFFFFF"/>
    </w:rPr>
  </w:style>
  <w:style w:type="paragraph" w:customStyle="1" w:styleId="344">
    <w:name w:val="Заголовок №3 (4)"/>
    <w:basedOn w:val="a"/>
    <w:link w:val="343"/>
    <w:rsid w:val="00B32F5E"/>
    <w:pPr>
      <w:shd w:val="clear" w:color="auto" w:fill="FFFFFF"/>
      <w:spacing w:after="0" w:line="235" w:lineRule="exact"/>
      <w:jc w:val="center"/>
      <w:outlineLvl w:val="2"/>
    </w:pPr>
    <w:rPr>
      <w:rFonts w:ascii="Times New Roman" w:hAnsi="Times New Roman"/>
      <w:sz w:val="20"/>
      <w:szCs w:val="20"/>
      <w:lang w:eastAsia="ru-RU"/>
    </w:rPr>
  </w:style>
  <w:style w:type="character" w:customStyle="1" w:styleId="341pt">
    <w:name w:val="Заголовок №3 (4) + Интервал 1 pt"/>
    <w:basedOn w:val="343"/>
    <w:rsid w:val="00B32F5E"/>
    <w:rPr>
      <w:rFonts w:ascii="Times New Roman" w:hAnsi="Times New Roman"/>
      <w:spacing w:val="30"/>
      <w:shd w:val="clear" w:color="auto" w:fill="FFFFFF"/>
    </w:rPr>
  </w:style>
  <w:style w:type="character" w:customStyle="1" w:styleId="textemphasis">
    <w:name w:val="text_emphasis"/>
    <w:basedOn w:val="a0"/>
    <w:rsid w:val="00B32F5E"/>
  </w:style>
  <w:style w:type="character" w:customStyle="1" w:styleId="mw-headline">
    <w:name w:val="mw-headline"/>
    <w:basedOn w:val="a0"/>
    <w:rsid w:val="00B32F5E"/>
  </w:style>
  <w:style w:type="character" w:customStyle="1" w:styleId="6pt3">
    <w:name w:val="Основной текст + Интервал 6 pt"/>
    <w:basedOn w:val="aff"/>
    <w:rsid w:val="00B32F5E"/>
    <w:rPr>
      <w:rFonts w:ascii="Arial" w:eastAsia="Arial" w:hAnsi="Arial" w:cs="Arial"/>
      <w:b w:val="0"/>
      <w:bCs w:val="0"/>
      <w:i w:val="0"/>
      <w:iCs w:val="0"/>
      <w:smallCaps w:val="0"/>
      <w:strike w:val="0"/>
      <w:spacing w:val="130"/>
      <w:sz w:val="26"/>
      <w:szCs w:val="26"/>
      <w:shd w:val="clear" w:color="auto" w:fill="FFFFFF"/>
    </w:rPr>
  </w:style>
  <w:style w:type="character" w:styleId="affff0">
    <w:name w:val="annotation reference"/>
    <w:basedOn w:val="a0"/>
    <w:uiPriority w:val="99"/>
    <w:semiHidden/>
    <w:unhideWhenUsed/>
    <w:rsid w:val="00B32F5E"/>
    <w:rPr>
      <w:sz w:val="16"/>
      <w:szCs w:val="16"/>
    </w:rPr>
  </w:style>
  <w:style w:type="paragraph" w:styleId="affff1">
    <w:name w:val="annotation text"/>
    <w:basedOn w:val="a"/>
    <w:link w:val="affff2"/>
    <w:uiPriority w:val="99"/>
    <w:semiHidden/>
    <w:unhideWhenUsed/>
    <w:rsid w:val="00B32F5E"/>
    <w:pPr>
      <w:spacing w:line="240" w:lineRule="auto"/>
    </w:pPr>
    <w:rPr>
      <w:rFonts w:asciiTheme="minorHAnsi" w:eastAsiaTheme="minorHAnsi" w:hAnsiTheme="minorHAnsi" w:cstheme="minorBidi"/>
      <w:sz w:val="20"/>
      <w:szCs w:val="20"/>
    </w:rPr>
  </w:style>
  <w:style w:type="character" w:customStyle="1" w:styleId="affff2">
    <w:name w:val="Текст примечания Знак"/>
    <w:basedOn w:val="a0"/>
    <w:link w:val="affff1"/>
    <w:uiPriority w:val="99"/>
    <w:semiHidden/>
    <w:rsid w:val="00B32F5E"/>
    <w:rPr>
      <w:rFonts w:asciiTheme="minorHAnsi" w:eastAsiaTheme="minorHAnsi" w:hAnsiTheme="minorHAnsi" w:cstheme="minorBidi"/>
      <w:lang w:eastAsia="en-US"/>
    </w:rPr>
  </w:style>
  <w:style w:type="paragraph" w:styleId="affff3">
    <w:name w:val="annotation subject"/>
    <w:basedOn w:val="affff1"/>
    <w:next w:val="affff1"/>
    <w:link w:val="affff4"/>
    <w:uiPriority w:val="99"/>
    <w:semiHidden/>
    <w:unhideWhenUsed/>
    <w:rsid w:val="00B32F5E"/>
    <w:rPr>
      <w:b/>
      <w:bCs/>
    </w:rPr>
  </w:style>
  <w:style w:type="character" w:customStyle="1" w:styleId="affff4">
    <w:name w:val="Тема примечания Знак"/>
    <w:basedOn w:val="affff2"/>
    <w:link w:val="affff3"/>
    <w:uiPriority w:val="99"/>
    <w:semiHidden/>
    <w:rsid w:val="00B32F5E"/>
    <w:rPr>
      <w:rFonts w:asciiTheme="minorHAnsi" w:eastAsiaTheme="minorHAnsi" w:hAnsiTheme="minorHAnsi" w:cstheme="minorBidi"/>
      <w:b/>
      <w:bCs/>
      <w:lang w:eastAsia="en-US"/>
    </w:rPr>
  </w:style>
  <w:style w:type="character" w:customStyle="1" w:styleId="11SimSun">
    <w:name w:val="Основной текст (11) + SimSun"/>
    <w:rsid w:val="00B32F5E"/>
    <w:rPr>
      <w:rFonts w:ascii="SimSun" w:eastAsia="SimSun" w:hAnsi="Arial"/>
      <w:spacing w:val="-10"/>
      <w:sz w:val="16"/>
    </w:rPr>
  </w:style>
  <w:style w:type="character" w:customStyle="1" w:styleId="478pt">
    <w:name w:val="Основной текст (47) + 8 pt"/>
    <w:rsid w:val="00B32F5E"/>
    <w:rPr>
      <w:rFonts w:ascii="Times New Roman" w:hAnsi="Times New Roman"/>
      <w:spacing w:val="0"/>
      <w:sz w:val="16"/>
    </w:rPr>
  </w:style>
  <w:style w:type="character" w:customStyle="1" w:styleId="47BookmanOldStyle">
    <w:name w:val="Основной текст (47) + Bookman Old Style"/>
    <w:rsid w:val="00B32F5E"/>
    <w:rPr>
      <w:rFonts w:ascii="Bookman Old Style" w:hAnsi="Bookman Old Style"/>
      <w:spacing w:val="0"/>
      <w:sz w:val="13"/>
    </w:rPr>
  </w:style>
  <w:style w:type="character" w:customStyle="1" w:styleId="306">
    <w:name w:val="Основной текст + Курсив30"/>
    <w:aliases w:val="Интервал 0 pt56"/>
    <w:basedOn w:val="a0"/>
    <w:uiPriority w:val="99"/>
    <w:rsid w:val="00B32F5E"/>
    <w:rPr>
      <w:rFonts w:ascii="Arial Narrow" w:hAnsi="Arial Narrow" w:cs="Arial Narrow"/>
      <w:i/>
      <w:iCs/>
      <w:spacing w:val="0"/>
      <w:sz w:val="18"/>
      <w:szCs w:val="18"/>
      <w:shd w:val="clear" w:color="auto" w:fill="FFFFFF"/>
    </w:rPr>
  </w:style>
  <w:style w:type="character" w:customStyle="1" w:styleId="288">
    <w:name w:val="Основной текст + Курсив28"/>
    <w:aliases w:val="Интервал 0 pt54"/>
    <w:basedOn w:val="a0"/>
    <w:uiPriority w:val="99"/>
    <w:rsid w:val="00B32F5E"/>
    <w:rPr>
      <w:rFonts w:ascii="Arial Narrow" w:hAnsi="Arial Narrow" w:cs="Arial Narrow"/>
      <w:i/>
      <w:iCs/>
      <w:spacing w:val="0"/>
      <w:sz w:val="18"/>
      <w:szCs w:val="18"/>
      <w:shd w:val="clear" w:color="auto" w:fill="FFFFFF"/>
    </w:rPr>
  </w:style>
  <w:style w:type="paragraph" w:styleId="affff5">
    <w:name w:val="Body Text Indent"/>
    <w:basedOn w:val="a"/>
    <w:link w:val="affff6"/>
    <w:uiPriority w:val="99"/>
    <w:semiHidden/>
    <w:unhideWhenUsed/>
    <w:rsid w:val="00B32F5E"/>
    <w:pPr>
      <w:spacing w:after="120"/>
      <w:ind w:left="283"/>
    </w:pPr>
    <w:rPr>
      <w:rFonts w:asciiTheme="minorHAnsi" w:eastAsiaTheme="minorHAnsi" w:hAnsiTheme="minorHAnsi" w:cstheme="minorBidi"/>
    </w:rPr>
  </w:style>
  <w:style w:type="character" w:customStyle="1" w:styleId="affff6">
    <w:name w:val="Основной текст с отступом Знак"/>
    <w:basedOn w:val="a0"/>
    <w:link w:val="affff5"/>
    <w:uiPriority w:val="99"/>
    <w:semiHidden/>
    <w:rsid w:val="00B32F5E"/>
    <w:rPr>
      <w:rFonts w:asciiTheme="minorHAnsi" w:eastAsiaTheme="minorHAnsi" w:hAnsiTheme="minorHAnsi" w:cstheme="minorBidi"/>
      <w:sz w:val="22"/>
      <w:szCs w:val="22"/>
      <w:lang w:eastAsia="en-US"/>
    </w:rPr>
  </w:style>
  <w:style w:type="paragraph" w:styleId="affff7">
    <w:name w:val="endnote text"/>
    <w:basedOn w:val="a"/>
    <w:link w:val="affff8"/>
    <w:uiPriority w:val="99"/>
    <w:semiHidden/>
    <w:unhideWhenUsed/>
    <w:rsid w:val="00B32F5E"/>
    <w:pPr>
      <w:spacing w:after="0" w:line="240" w:lineRule="auto"/>
    </w:pPr>
    <w:rPr>
      <w:rFonts w:asciiTheme="minorHAnsi" w:eastAsiaTheme="minorHAnsi" w:hAnsiTheme="minorHAnsi" w:cstheme="minorBidi"/>
      <w:sz w:val="20"/>
      <w:szCs w:val="20"/>
    </w:rPr>
  </w:style>
  <w:style w:type="character" w:customStyle="1" w:styleId="affff8">
    <w:name w:val="Текст концевой сноски Знак"/>
    <w:basedOn w:val="a0"/>
    <w:link w:val="affff7"/>
    <w:uiPriority w:val="99"/>
    <w:semiHidden/>
    <w:rsid w:val="00B32F5E"/>
    <w:rPr>
      <w:rFonts w:asciiTheme="minorHAnsi" w:eastAsiaTheme="minorHAnsi" w:hAnsiTheme="minorHAnsi" w:cstheme="minorBidi"/>
      <w:lang w:eastAsia="en-US"/>
    </w:rPr>
  </w:style>
  <w:style w:type="character" w:customStyle="1" w:styleId="mw-editsection">
    <w:name w:val="mw-editsection"/>
    <w:basedOn w:val="a0"/>
    <w:rsid w:val="00B32F5E"/>
  </w:style>
  <w:style w:type="character" w:customStyle="1" w:styleId="mw-editsection-bracket">
    <w:name w:val="mw-editsection-bracket"/>
    <w:basedOn w:val="a0"/>
    <w:rsid w:val="00B32F5E"/>
  </w:style>
  <w:style w:type="character" w:customStyle="1" w:styleId="mw-editsection-divider">
    <w:name w:val="mw-editsection-divider"/>
    <w:basedOn w:val="a0"/>
    <w:rsid w:val="00B32F5E"/>
  </w:style>
  <w:style w:type="character" w:customStyle="1" w:styleId="valueoftype1">
    <w:name w:val="value_of_type_1"/>
    <w:basedOn w:val="a0"/>
    <w:rsid w:val="00B32F5E"/>
  </w:style>
  <w:style w:type="character" w:customStyle="1" w:styleId="textitalicbold">
    <w:name w:val="textitalicbold"/>
    <w:basedOn w:val="a0"/>
    <w:rsid w:val="00B32F5E"/>
  </w:style>
  <w:style w:type="paragraph" w:customStyle="1" w:styleId="blockquote0">
    <w:name w:val="blockquote"/>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linevert1">
    <w:name w:val="line_vert1"/>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89">
    <w:name w:val="Заголовок №18_"/>
    <w:basedOn w:val="a0"/>
    <w:rsid w:val="00B32F5E"/>
    <w:rPr>
      <w:rFonts w:ascii="Arial" w:eastAsia="Arial" w:hAnsi="Arial" w:cs="Arial"/>
      <w:b/>
      <w:bCs/>
      <w:i/>
      <w:iCs/>
      <w:smallCaps w:val="0"/>
      <w:strike w:val="0"/>
      <w:sz w:val="16"/>
      <w:szCs w:val="16"/>
      <w:u w:val="none"/>
    </w:rPr>
  </w:style>
  <w:style w:type="character" w:customStyle="1" w:styleId="affff9">
    <w:name w:val="Заголовок Знак"/>
    <w:basedOn w:val="a0"/>
    <w:link w:val="affffa"/>
    <w:uiPriority w:val="10"/>
    <w:rsid w:val="00B32F5E"/>
    <w:rPr>
      <w:rFonts w:asciiTheme="majorHAnsi" w:eastAsiaTheme="majorEastAsia" w:hAnsiTheme="majorHAnsi" w:cstheme="majorBidi"/>
      <w:spacing w:val="-10"/>
      <w:kern w:val="28"/>
      <w:sz w:val="56"/>
      <w:szCs w:val="56"/>
    </w:rPr>
  </w:style>
  <w:style w:type="paragraph" w:styleId="affffa">
    <w:name w:val="Title"/>
    <w:basedOn w:val="a"/>
    <w:next w:val="a"/>
    <w:link w:val="affff9"/>
    <w:uiPriority w:val="10"/>
    <w:qFormat/>
    <w:rsid w:val="00B32F5E"/>
    <w:pPr>
      <w:spacing w:after="0" w:line="240" w:lineRule="auto"/>
      <w:contextualSpacing/>
      <w:jc w:val="both"/>
    </w:pPr>
    <w:rPr>
      <w:rFonts w:asciiTheme="majorHAnsi" w:eastAsiaTheme="majorEastAsia" w:hAnsiTheme="majorHAnsi" w:cstheme="majorBidi"/>
      <w:spacing w:val="-10"/>
      <w:kern w:val="28"/>
      <w:sz w:val="56"/>
      <w:szCs w:val="56"/>
      <w:lang w:eastAsia="ru-RU"/>
    </w:rPr>
  </w:style>
  <w:style w:type="character" w:customStyle="1" w:styleId="1f6">
    <w:name w:val="Заголовок Знак1"/>
    <w:basedOn w:val="a0"/>
    <w:uiPriority w:val="10"/>
    <w:rsid w:val="00B32F5E"/>
    <w:rPr>
      <w:rFonts w:asciiTheme="majorHAnsi" w:eastAsiaTheme="majorEastAsia" w:hAnsiTheme="majorHAnsi" w:cstheme="majorBidi"/>
      <w:spacing w:val="-10"/>
      <w:kern w:val="28"/>
      <w:sz w:val="56"/>
      <w:szCs w:val="56"/>
      <w:lang w:eastAsia="en-US"/>
    </w:rPr>
  </w:style>
  <w:style w:type="paragraph" w:styleId="HTML2">
    <w:name w:val="HTML Address"/>
    <w:basedOn w:val="a"/>
    <w:link w:val="HTML3"/>
    <w:uiPriority w:val="99"/>
    <w:semiHidden/>
    <w:unhideWhenUsed/>
    <w:rsid w:val="00B32F5E"/>
    <w:pPr>
      <w:spacing w:after="0" w:line="240" w:lineRule="auto"/>
    </w:pPr>
    <w:rPr>
      <w:rFonts w:ascii="Times New Roman" w:eastAsia="Times New Roman" w:hAnsi="Times New Roman"/>
      <w:i/>
      <w:iCs/>
      <w:sz w:val="24"/>
      <w:szCs w:val="24"/>
      <w:lang w:eastAsia="ru-RU"/>
    </w:rPr>
  </w:style>
  <w:style w:type="character" w:customStyle="1" w:styleId="HTML3">
    <w:name w:val="Адрес HTML Знак"/>
    <w:basedOn w:val="a0"/>
    <w:link w:val="HTML2"/>
    <w:uiPriority w:val="99"/>
    <w:semiHidden/>
    <w:rsid w:val="00B32F5E"/>
    <w:rPr>
      <w:rFonts w:ascii="Times New Roman" w:eastAsia="Times New Roman" w:hAnsi="Times New Roman"/>
      <w:i/>
      <w:iCs/>
      <w:sz w:val="24"/>
      <w:szCs w:val="24"/>
    </w:rPr>
  </w:style>
  <w:style w:type="paragraph" w:customStyle="1" w:styleId="picture-center">
    <w:name w:val="picture-center"/>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sign">
    <w:name w:val="picture-sign"/>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fa">
    <w:name w:val="Выделение2"/>
    <w:basedOn w:val="a0"/>
    <w:rsid w:val="00B32F5E"/>
  </w:style>
  <w:style w:type="character" w:customStyle="1" w:styleId="2fb">
    <w:name w:val="Строгий2"/>
    <w:basedOn w:val="a0"/>
    <w:rsid w:val="00B32F5E"/>
  </w:style>
  <w:style w:type="paragraph" w:customStyle="1" w:styleId="doctext">
    <w:name w:val="doc__text"/>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vh">
    <w:name w:val="vh"/>
    <w:basedOn w:val="a0"/>
    <w:rsid w:val="00B32F5E"/>
  </w:style>
  <w:style w:type="paragraph" w:customStyle="1" w:styleId="docmediatext">
    <w:name w:val="doc_media__text"/>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octhought">
    <w:name w:val="doc__thought"/>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viewstats-item-count">
    <w:name w:val="article-stats-view__stats-item-count"/>
    <w:basedOn w:val="a0"/>
    <w:rsid w:val="00B32F5E"/>
  </w:style>
  <w:style w:type="character" w:customStyle="1" w:styleId="9b">
    <w:name w:val="Заголовок №9_"/>
    <w:basedOn w:val="a0"/>
    <w:link w:val="9c"/>
    <w:rsid w:val="00B32F5E"/>
    <w:rPr>
      <w:rFonts w:ascii="Arial" w:eastAsia="Arial" w:hAnsi="Arial" w:cs="Arial"/>
      <w:b/>
      <w:bCs/>
      <w:color w:val="231F20"/>
    </w:rPr>
  </w:style>
  <w:style w:type="paragraph" w:customStyle="1" w:styleId="9c">
    <w:name w:val="Заголовок №9"/>
    <w:basedOn w:val="a"/>
    <w:link w:val="9b"/>
    <w:rsid w:val="00B32F5E"/>
    <w:pPr>
      <w:widowControl w:val="0"/>
      <w:spacing w:after="0" w:line="240" w:lineRule="auto"/>
      <w:ind w:firstLine="160"/>
      <w:outlineLvl w:val="8"/>
    </w:pPr>
    <w:rPr>
      <w:rFonts w:ascii="Arial" w:eastAsia="Arial" w:hAnsi="Arial" w:cs="Arial"/>
      <w:b/>
      <w:bCs/>
      <w:color w:val="231F20"/>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510865">
      <w:bodyDiv w:val="1"/>
      <w:marLeft w:val="0"/>
      <w:marRight w:val="0"/>
      <w:marTop w:val="0"/>
      <w:marBottom w:val="0"/>
      <w:divBdr>
        <w:top w:val="none" w:sz="0" w:space="0" w:color="auto"/>
        <w:left w:val="none" w:sz="0" w:space="0" w:color="auto"/>
        <w:bottom w:val="none" w:sz="0" w:space="0" w:color="auto"/>
        <w:right w:val="none" w:sz="0" w:space="0" w:color="auto"/>
      </w:divBdr>
      <w:divsChild>
        <w:div w:id="259728323">
          <w:marLeft w:val="0"/>
          <w:marRight w:val="0"/>
          <w:marTop w:val="0"/>
          <w:marBottom w:val="0"/>
          <w:divBdr>
            <w:top w:val="none" w:sz="0" w:space="0" w:color="auto"/>
            <w:left w:val="none" w:sz="0" w:space="0" w:color="auto"/>
            <w:bottom w:val="none" w:sz="0" w:space="0" w:color="auto"/>
            <w:right w:val="none" w:sz="0" w:space="0" w:color="auto"/>
          </w:divBdr>
          <w:divsChild>
            <w:div w:id="940533521">
              <w:marLeft w:val="0"/>
              <w:marRight w:val="0"/>
              <w:marTop w:val="0"/>
              <w:marBottom w:val="0"/>
              <w:divBdr>
                <w:top w:val="none" w:sz="0" w:space="0" w:color="auto"/>
                <w:left w:val="none" w:sz="0" w:space="0" w:color="auto"/>
                <w:bottom w:val="none" w:sz="0" w:space="0" w:color="auto"/>
                <w:right w:val="none" w:sz="0" w:space="0" w:color="auto"/>
              </w:divBdr>
              <w:divsChild>
                <w:div w:id="1235122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611247">
      <w:bodyDiv w:val="1"/>
      <w:marLeft w:val="0"/>
      <w:marRight w:val="0"/>
      <w:marTop w:val="0"/>
      <w:marBottom w:val="0"/>
      <w:divBdr>
        <w:top w:val="none" w:sz="0" w:space="0" w:color="auto"/>
        <w:left w:val="none" w:sz="0" w:space="0" w:color="auto"/>
        <w:bottom w:val="none" w:sz="0" w:space="0" w:color="auto"/>
        <w:right w:val="none" w:sz="0" w:space="0" w:color="auto"/>
      </w:divBdr>
      <w:divsChild>
        <w:div w:id="1984312984">
          <w:marLeft w:val="0"/>
          <w:marRight w:val="0"/>
          <w:marTop w:val="0"/>
          <w:marBottom w:val="0"/>
          <w:divBdr>
            <w:top w:val="none" w:sz="0" w:space="0" w:color="auto"/>
            <w:left w:val="none" w:sz="0" w:space="0" w:color="auto"/>
            <w:bottom w:val="none" w:sz="0" w:space="0" w:color="auto"/>
            <w:right w:val="none" w:sz="0" w:space="0" w:color="auto"/>
          </w:divBdr>
          <w:divsChild>
            <w:div w:id="39014839">
              <w:marLeft w:val="0"/>
              <w:marRight w:val="0"/>
              <w:marTop w:val="0"/>
              <w:marBottom w:val="0"/>
              <w:divBdr>
                <w:top w:val="none" w:sz="0" w:space="0" w:color="auto"/>
                <w:left w:val="none" w:sz="0" w:space="0" w:color="auto"/>
                <w:bottom w:val="none" w:sz="0" w:space="0" w:color="auto"/>
                <w:right w:val="none" w:sz="0" w:space="0" w:color="auto"/>
              </w:divBdr>
              <w:divsChild>
                <w:div w:id="1584561377">
                  <w:marLeft w:val="0"/>
                  <w:marRight w:val="0"/>
                  <w:marTop w:val="0"/>
                  <w:marBottom w:val="0"/>
                  <w:divBdr>
                    <w:top w:val="none" w:sz="0" w:space="0" w:color="auto"/>
                    <w:left w:val="none" w:sz="0" w:space="0" w:color="auto"/>
                    <w:bottom w:val="none" w:sz="0" w:space="0" w:color="auto"/>
                    <w:right w:val="none" w:sz="0" w:space="0" w:color="auto"/>
                  </w:divBdr>
                  <w:divsChild>
                    <w:div w:id="1598320420">
                      <w:marLeft w:val="0"/>
                      <w:marRight w:val="0"/>
                      <w:marTop w:val="0"/>
                      <w:marBottom w:val="0"/>
                      <w:divBdr>
                        <w:top w:val="none" w:sz="0" w:space="0" w:color="auto"/>
                        <w:left w:val="none" w:sz="0" w:space="0" w:color="auto"/>
                        <w:bottom w:val="none" w:sz="0" w:space="0" w:color="auto"/>
                        <w:right w:val="none" w:sz="0" w:space="0" w:color="auto"/>
                      </w:divBdr>
                      <w:divsChild>
                        <w:div w:id="996228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8295113">
      <w:bodyDiv w:val="1"/>
      <w:marLeft w:val="0"/>
      <w:marRight w:val="0"/>
      <w:marTop w:val="0"/>
      <w:marBottom w:val="0"/>
      <w:divBdr>
        <w:top w:val="none" w:sz="0" w:space="0" w:color="auto"/>
        <w:left w:val="none" w:sz="0" w:space="0" w:color="auto"/>
        <w:bottom w:val="none" w:sz="0" w:space="0" w:color="auto"/>
        <w:right w:val="none" w:sz="0" w:space="0" w:color="auto"/>
      </w:divBdr>
      <w:divsChild>
        <w:div w:id="836110878">
          <w:marLeft w:val="0"/>
          <w:marRight w:val="0"/>
          <w:marTop w:val="0"/>
          <w:marBottom w:val="0"/>
          <w:divBdr>
            <w:top w:val="none" w:sz="0" w:space="0" w:color="auto"/>
            <w:left w:val="none" w:sz="0" w:space="0" w:color="auto"/>
            <w:bottom w:val="none" w:sz="0" w:space="0" w:color="auto"/>
            <w:right w:val="none" w:sz="0" w:space="0" w:color="auto"/>
          </w:divBdr>
          <w:divsChild>
            <w:div w:id="2033338061">
              <w:marLeft w:val="0"/>
              <w:marRight w:val="0"/>
              <w:marTop w:val="0"/>
              <w:marBottom w:val="0"/>
              <w:divBdr>
                <w:top w:val="none" w:sz="0" w:space="0" w:color="auto"/>
                <w:left w:val="none" w:sz="0" w:space="0" w:color="auto"/>
                <w:bottom w:val="none" w:sz="0" w:space="0" w:color="auto"/>
                <w:right w:val="none" w:sz="0" w:space="0" w:color="auto"/>
              </w:divBdr>
              <w:divsChild>
                <w:div w:id="799685926">
                  <w:marLeft w:val="0"/>
                  <w:marRight w:val="0"/>
                  <w:marTop w:val="0"/>
                  <w:marBottom w:val="0"/>
                  <w:divBdr>
                    <w:top w:val="none" w:sz="0" w:space="0" w:color="auto"/>
                    <w:left w:val="none" w:sz="0" w:space="0" w:color="auto"/>
                    <w:bottom w:val="none" w:sz="0" w:space="0" w:color="auto"/>
                    <w:right w:val="none" w:sz="0" w:space="0" w:color="auto"/>
                  </w:divBdr>
                  <w:divsChild>
                    <w:div w:id="2134126757">
                      <w:marLeft w:val="0"/>
                      <w:marRight w:val="0"/>
                      <w:marTop w:val="0"/>
                      <w:marBottom w:val="0"/>
                      <w:divBdr>
                        <w:top w:val="none" w:sz="0" w:space="0" w:color="auto"/>
                        <w:left w:val="none" w:sz="0" w:space="0" w:color="auto"/>
                        <w:bottom w:val="none" w:sz="0" w:space="0" w:color="auto"/>
                        <w:right w:val="none" w:sz="0" w:space="0" w:color="auto"/>
                      </w:divBdr>
                      <w:divsChild>
                        <w:div w:id="480854010">
                          <w:marLeft w:val="0"/>
                          <w:marRight w:val="0"/>
                          <w:marTop w:val="0"/>
                          <w:marBottom w:val="0"/>
                          <w:divBdr>
                            <w:top w:val="none" w:sz="0" w:space="0" w:color="auto"/>
                            <w:left w:val="none" w:sz="0" w:space="0" w:color="auto"/>
                            <w:bottom w:val="none" w:sz="0" w:space="0" w:color="auto"/>
                            <w:right w:val="none" w:sz="0" w:space="0" w:color="auto"/>
                          </w:divBdr>
                          <w:divsChild>
                            <w:div w:id="446893218">
                              <w:marLeft w:val="0"/>
                              <w:marRight w:val="0"/>
                              <w:marTop w:val="0"/>
                              <w:marBottom w:val="0"/>
                              <w:divBdr>
                                <w:top w:val="none" w:sz="0" w:space="0" w:color="auto"/>
                                <w:left w:val="none" w:sz="0" w:space="0" w:color="auto"/>
                                <w:bottom w:val="none" w:sz="0" w:space="0" w:color="auto"/>
                                <w:right w:val="none" w:sz="0" w:space="0" w:color="auto"/>
                              </w:divBdr>
                              <w:divsChild>
                                <w:div w:id="760368384">
                                  <w:marLeft w:val="0"/>
                                  <w:marRight w:val="0"/>
                                  <w:marTop w:val="0"/>
                                  <w:marBottom w:val="0"/>
                                  <w:divBdr>
                                    <w:top w:val="none" w:sz="0" w:space="0" w:color="auto"/>
                                    <w:left w:val="none" w:sz="0" w:space="0" w:color="auto"/>
                                    <w:bottom w:val="none" w:sz="0" w:space="0" w:color="auto"/>
                                    <w:right w:val="none" w:sz="0" w:space="0" w:color="auto"/>
                                  </w:divBdr>
                                  <w:divsChild>
                                    <w:div w:id="1297106276">
                                      <w:marLeft w:val="0"/>
                                      <w:marRight w:val="0"/>
                                      <w:marTop w:val="0"/>
                                      <w:marBottom w:val="0"/>
                                      <w:divBdr>
                                        <w:top w:val="none" w:sz="0" w:space="0" w:color="auto"/>
                                        <w:left w:val="none" w:sz="0" w:space="0" w:color="auto"/>
                                        <w:bottom w:val="none" w:sz="0" w:space="0" w:color="auto"/>
                                        <w:right w:val="none" w:sz="0" w:space="0" w:color="auto"/>
                                      </w:divBdr>
                                      <w:divsChild>
                                        <w:div w:id="192772784">
                                          <w:marLeft w:val="0"/>
                                          <w:marRight w:val="0"/>
                                          <w:marTop w:val="0"/>
                                          <w:marBottom w:val="0"/>
                                          <w:divBdr>
                                            <w:top w:val="none" w:sz="0" w:space="0" w:color="auto"/>
                                            <w:left w:val="none" w:sz="0" w:space="0" w:color="auto"/>
                                            <w:bottom w:val="none" w:sz="0" w:space="0" w:color="auto"/>
                                            <w:right w:val="none" w:sz="0" w:space="0" w:color="auto"/>
                                          </w:divBdr>
                                          <w:divsChild>
                                            <w:div w:id="1350522106">
                                              <w:marLeft w:val="0"/>
                                              <w:marRight w:val="0"/>
                                              <w:marTop w:val="0"/>
                                              <w:marBottom w:val="0"/>
                                              <w:divBdr>
                                                <w:top w:val="none" w:sz="0" w:space="0" w:color="auto"/>
                                                <w:left w:val="none" w:sz="0" w:space="0" w:color="auto"/>
                                                <w:bottom w:val="none" w:sz="0" w:space="0" w:color="auto"/>
                                                <w:right w:val="none" w:sz="0" w:space="0" w:color="auto"/>
                                              </w:divBdr>
                                              <w:divsChild>
                                                <w:div w:id="837040941">
                                                  <w:marLeft w:val="0"/>
                                                  <w:marRight w:val="0"/>
                                                  <w:marTop w:val="0"/>
                                                  <w:marBottom w:val="0"/>
                                                  <w:divBdr>
                                                    <w:top w:val="none" w:sz="0" w:space="0" w:color="auto"/>
                                                    <w:left w:val="none" w:sz="0" w:space="0" w:color="auto"/>
                                                    <w:bottom w:val="none" w:sz="0" w:space="0" w:color="auto"/>
                                                    <w:right w:val="none" w:sz="0" w:space="0" w:color="auto"/>
                                                  </w:divBdr>
                                                  <w:divsChild>
                                                    <w:div w:id="1027439496">
                                                      <w:marLeft w:val="0"/>
                                                      <w:marRight w:val="0"/>
                                                      <w:marTop w:val="0"/>
                                                      <w:marBottom w:val="0"/>
                                                      <w:divBdr>
                                                        <w:top w:val="none" w:sz="0" w:space="0" w:color="auto"/>
                                                        <w:left w:val="none" w:sz="0" w:space="0" w:color="auto"/>
                                                        <w:bottom w:val="none" w:sz="0" w:space="0" w:color="auto"/>
                                                        <w:right w:val="none" w:sz="0" w:space="0" w:color="auto"/>
                                                      </w:divBdr>
                                                      <w:divsChild>
                                                        <w:div w:id="972251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79155738">
      <w:bodyDiv w:val="1"/>
      <w:marLeft w:val="0"/>
      <w:marRight w:val="0"/>
      <w:marTop w:val="0"/>
      <w:marBottom w:val="0"/>
      <w:divBdr>
        <w:top w:val="none" w:sz="0" w:space="0" w:color="auto"/>
        <w:left w:val="none" w:sz="0" w:space="0" w:color="auto"/>
        <w:bottom w:val="none" w:sz="0" w:space="0" w:color="auto"/>
        <w:right w:val="none" w:sz="0" w:space="0" w:color="auto"/>
      </w:divBdr>
      <w:divsChild>
        <w:div w:id="1965036597">
          <w:marLeft w:val="0"/>
          <w:marRight w:val="0"/>
          <w:marTop w:val="0"/>
          <w:marBottom w:val="0"/>
          <w:divBdr>
            <w:top w:val="none" w:sz="0" w:space="0" w:color="auto"/>
            <w:left w:val="none" w:sz="0" w:space="0" w:color="auto"/>
            <w:bottom w:val="none" w:sz="0" w:space="0" w:color="auto"/>
            <w:right w:val="none" w:sz="0" w:space="0" w:color="auto"/>
          </w:divBdr>
          <w:divsChild>
            <w:div w:id="1035159160">
              <w:marLeft w:val="0"/>
              <w:marRight w:val="0"/>
              <w:marTop w:val="0"/>
              <w:marBottom w:val="0"/>
              <w:divBdr>
                <w:top w:val="none" w:sz="0" w:space="0" w:color="auto"/>
                <w:left w:val="none" w:sz="0" w:space="0" w:color="auto"/>
                <w:bottom w:val="none" w:sz="0" w:space="0" w:color="auto"/>
                <w:right w:val="none" w:sz="0" w:space="0" w:color="auto"/>
              </w:divBdr>
              <w:divsChild>
                <w:div w:id="1409233936">
                  <w:marLeft w:val="0"/>
                  <w:marRight w:val="0"/>
                  <w:marTop w:val="0"/>
                  <w:marBottom w:val="0"/>
                  <w:divBdr>
                    <w:top w:val="none" w:sz="0" w:space="0" w:color="auto"/>
                    <w:left w:val="none" w:sz="0" w:space="0" w:color="auto"/>
                    <w:bottom w:val="none" w:sz="0" w:space="0" w:color="auto"/>
                    <w:right w:val="none" w:sz="0" w:space="0" w:color="auto"/>
                  </w:divBdr>
                  <w:divsChild>
                    <w:div w:id="644353330">
                      <w:marLeft w:val="0"/>
                      <w:marRight w:val="0"/>
                      <w:marTop w:val="0"/>
                      <w:marBottom w:val="0"/>
                      <w:divBdr>
                        <w:top w:val="none" w:sz="0" w:space="0" w:color="auto"/>
                        <w:left w:val="none" w:sz="0" w:space="0" w:color="auto"/>
                        <w:bottom w:val="none" w:sz="0" w:space="0" w:color="auto"/>
                        <w:right w:val="none" w:sz="0" w:space="0" w:color="auto"/>
                      </w:divBdr>
                      <w:divsChild>
                        <w:div w:id="1480540235">
                          <w:marLeft w:val="0"/>
                          <w:marRight w:val="0"/>
                          <w:marTop w:val="0"/>
                          <w:marBottom w:val="0"/>
                          <w:divBdr>
                            <w:top w:val="none" w:sz="0" w:space="0" w:color="auto"/>
                            <w:left w:val="none" w:sz="0" w:space="0" w:color="auto"/>
                            <w:bottom w:val="none" w:sz="0" w:space="0" w:color="auto"/>
                            <w:right w:val="none" w:sz="0" w:space="0" w:color="auto"/>
                          </w:divBdr>
                          <w:divsChild>
                            <w:div w:id="1353796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1921094">
      <w:bodyDiv w:val="1"/>
      <w:marLeft w:val="0"/>
      <w:marRight w:val="0"/>
      <w:marTop w:val="0"/>
      <w:marBottom w:val="0"/>
      <w:divBdr>
        <w:top w:val="none" w:sz="0" w:space="0" w:color="auto"/>
        <w:left w:val="none" w:sz="0" w:space="0" w:color="auto"/>
        <w:bottom w:val="none" w:sz="0" w:space="0" w:color="auto"/>
        <w:right w:val="none" w:sz="0" w:space="0" w:color="auto"/>
      </w:divBdr>
      <w:divsChild>
        <w:div w:id="1987927976">
          <w:marLeft w:val="240"/>
          <w:marRight w:val="7"/>
          <w:marTop w:val="0"/>
          <w:marBottom w:val="0"/>
          <w:divBdr>
            <w:top w:val="none" w:sz="0" w:space="0" w:color="auto"/>
            <w:left w:val="single" w:sz="12" w:space="24" w:color="B4B4B4"/>
            <w:bottom w:val="none" w:sz="0" w:space="0" w:color="auto"/>
            <w:right w:val="none" w:sz="0" w:space="0" w:color="auto"/>
          </w:divBdr>
        </w:div>
      </w:divsChild>
    </w:div>
    <w:div w:id="1688360760">
      <w:bodyDiv w:val="1"/>
      <w:marLeft w:val="0"/>
      <w:marRight w:val="0"/>
      <w:marTop w:val="0"/>
      <w:marBottom w:val="0"/>
      <w:divBdr>
        <w:top w:val="none" w:sz="0" w:space="0" w:color="auto"/>
        <w:left w:val="none" w:sz="0" w:space="0" w:color="auto"/>
        <w:bottom w:val="none" w:sz="0" w:space="0" w:color="auto"/>
        <w:right w:val="none" w:sz="0" w:space="0" w:color="auto"/>
      </w:divBdr>
      <w:divsChild>
        <w:div w:id="421224861">
          <w:marLeft w:val="0"/>
          <w:marRight w:val="0"/>
          <w:marTop w:val="0"/>
          <w:marBottom w:val="0"/>
          <w:divBdr>
            <w:top w:val="none" w:sz="0" w:space="0" w:color="auto"/>
            <w:left w:val="none" w:sz="0" w:space="0" w:color="auto"/>
            <w:bottom w:val="none" w:sz="0" w:space="0" w:color="auto"/>
            <w:right w:val="none" w:sz="0" w:space="0" w:color="auto"/>
          </w:divBdr>
          <w:divsChild>
            <w:div w:id="858201007">
              <w:marLeft w:val="0"/>
              <w:marRight w:val="0"/>
              <w:marTop w:val="0"/>
              <w:marBottom w:val="0"/>
              <w:divBdr>
                <w:top w:val="none" w:sz="0" w:space="0" w:color="auto"/>
                <w:left w:val="none" w:sz="0" w:space="0" w:color="auto"/>
                <w:bottom w:val="none" w:sz="0" w:space="0" w:color="auto"/>
                <w:right w:val="none" w:sz="0" w:space="0" w:color="auto"/>
              </w:divBdr>
              <w:divsChild>
                <w:div w:id="2061400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694080">
      <w:bodyDiv w:val="1"/>
      <w:marLeft w:val="0"/>
      <w:marRight w:val="0"/>
      <w:marTop w:val="0"/>
      <w:marBottom w:val="0"/>
      <w:divBdr>
        <w:top w:val="none" w:sz="0" w:space="0" w:color="auto"/>
        <w:left w:val="none" w:sz="0" w:space="0" w:color="auto"/>
        <w:bottom w:val="none" w:sz="0" w:space="0" w:color="auto"/>
        <w:right w:val="none" w:sz="0" w:space="0" w:color="auto"/>
      </w:divBdr>
      <w:divsChild>
        <w:div w:id="1783913044">
          <w:marLeft w:val="0"/>
          <w:marRight w:val="0"/>
          <w:marTop w:val="0"/>
          <w:marBottom w:val="0"/>
          <w:divBdr>
            <w:top w:val="none" w:sz="0" w:space="0" w:color="auto"/>
            <w:left w:val="none" w:sz="0" w:space="0" w:color="auto"/>
            <w:bottom w:val="none" w:sz="0" w:space="0" w:color="auto"/>
            <w:right w:val="none" w:sz="0" w:space="0" w:color="auto"/>
          </w:divBdr>
        </w:div>
      </w:divsChild>
    </w:div>
    <w:div w:id="2119400435">
      <w:bodyDiv w:val="1"/>
      <w:marLeft w:val="0"/>
      <w:marRight w:val="0"/>
      <w:marTop w:val="0"/>
      <w:marBottom w:val="0"/>
      <w:divBdr>
        <w:top w:val="none" w:sz="0" w:space="0" w:color="auto"/>
        <w:left w:val="none" w:sz="0" w:space="0" w:color="auto"/>
        <w:bottom w:val="none" w:sz="0" w:space="0" w:color="auto"/>
        <w:right w:val="none" w:sz="0" w:space="0" w:color="auto"/>
      </w:divBdr>
      <w:divsChild>
        <w:div w:id="953753035">
          <w:marLeft w:val="0"/>
          <w:marRight w:val="0"/>
          <w:marTop w:val="0"/>
          <w:marBottom w:val="0"/>
          <w:divBdr>
            <w:top w:val="none" w:sz="0" w:space="0" w:color="auto"/>
            <w:left w:val="none" w:sz="0" w:space="0" w:color="auto"/>
            <w:bottom w:val="none" w:sz="0" w:space="0" w:color="auto"/>
            <w:right w:val="none" w:sz="0" w:space="0" w:color="auto"/>
          </w:divBdr>
          <w:divsChild>
            <w:div w:id="1749576366">
              <w:marLeft w:val="0"/>
              <w:marRight w:val="0"/>
              <w:marTop w:val="0"/>
              <w:marBottom w:val="0"/>
              <w:divBdr>
                <w:top w:val="none" w:sz="0" w:space="0" w:color="auto"/>
                <w:left w:val="none" w:sz="0" w:space="0" w:color="auto"/>
                <w:bottom w:val="none" w:sz="0" w:space="0" w:color="auto"/>
                <w:right w:val="none" w:sz="0" w:space="0" w:color="auto"/>
              </w:divBdr>
              <w:divsChild>
                <w:div w:id="1212620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ru.wikipedia.org/wiki/%D0%A1%D0%BE%D0%B2%D0%B5%D1%82_%D0%BC%D0%B8%D0%BD%D0%B8%D1%81%D1%82%D1%80%D0%BE%D0%B2_%D0%A1%D0%A1%D0%A1%D0%A0" TargetMode="External"/><Relationship Id="rId299" Type="http://schemas.openxmlformats.org/officeDocument/2006/relationships/hyperlink" Target="http://www.rpg-club.com/x1000" TargetMode="External"/><Relationship Id="rId21" Type="http://schemas.openxmlformats.org/officeDocument/2006/relationships/hyperlink" Target="http://airspot.ru/catalogue/item/breguet-br-27" TargetMode="External"/><Relationship Id="rId63" Type="http://schemas.openxmlformats.org/officeDocument/2006/relationships/hyperlink" Target="http://www.airwar.ru/enc/flyboat/ca87.html" TargetMode="External"/><Relationship Id="rId159" Type="http://schemas.openxmlformats.org/officeDocument/2006/relationships/hyperlink" Target="http://www.hrono.ru/biograf/bio_k/kuybyshev_vv.php" TargetMode="External"/><Relationship Id="rId324" Type="http://schemas.openxmlformats.org/officeDocument/2006/relationships/hyperlink" Target="http://www.rpg-club.com/x1000" TargetMode="External"/><Relationship Id="rId170" Type="http://schemas.openxmlformats.org/officeDocument/2006/relationships/hyperlink" Target="https://ru.wikipedia.org/wiki/%D0%9C%D0%B8%D1%85%D0%B5%D0%BB%D1%8C%D1%81%D0%BE%D0%BD,_%D0%9D%D0%B8%D0%BA%D0%BE%D0%BB%D0%B0%D0%B9_%D0%93%D1%83%D1%81%D1%82%D0%B0%D0%B2%D0%BE%D0%B2%D0%B8%D1%87" TargetMode="External"/><Relationship Id="rId226" Type="http://schemas.openxmlformats.org/officeDocument/2006/relationships/hyperlink" Target="http://www.rpg-club.com/x1000" TargetMode="External"/><Relationship Id="rId268" Type="http://schemas.openxmlformats.org/officeDocument/2006/relationships/hyperlink" Target="https://ru.wikipedia.org/wiki/%D0%90%D0%BB%D0%BA%D1%81%D0%BD%D0%B8%D1%81,_%D0%AF%D0%BA%D0%BE%D0%B2_%D0%98%D0%B2%D0%B0%D0%BD%D0%BE%D0%B2%D0%B8%D1%87" TargetMode="External"/><Relationship Id="rId32" Type="http://schemas.openxmlformats.org/officeDocument/2006/relationships/hyperlink" Target="http://az-libr.ru/index.shtml?Persons&amp;000/Src/0004/9d9fd6c2" TargetMode="External"/><Relationship Id="rId74" Type="http://schemas.openxmlformats.org/officeDocument/2006/relationships/hyperlink" Target="http://www.airwar.ru/enc/other1/boeing203.html" TargetMode="External"/><Relationship Id="rId128" Type="http://schemas.openxmlformats.org/officeDocument/2006/relationships/hyperlink" Target="http://ru.wikipedia.org/wiki/%D0%9E%D1%81%D1%82%D0%B5%D1%85%D0%B1%D1%8E%D1%80%D0%BE" TargetMode="External"/><Relationship Id="rId335" Type="http://schemas.openxmlformats.org/officeDocument/2006/relationships/hyperlink" Target="http://ru.wikipedia.org/wiki/%D0%91%D0%B5%D1%80%D0%BA%D0%B0%D0%BB%D0%BE%D0%B2,_%D0%95%D0%B2%D0%B3%D0%B5%D0%BD%D0%B8%D0%B9_%D0%90%D0%BB%D0%B5%D0%BA%D1%81%D0%B0%D0%BD%D0%B4%D1%80%D0%BE%D0%B2%D0%B8%D1%87" TargetMode="External"/><Relationship Id="rId5" Type="http://schemas.openxmlformats.org/officeDocument/2006/relationships/webSettings" Target="webSettings.xml"/><Relationship Id="rId181" Type="http://schemas.openxmlformats.org/officeDocument/2006/relationships/hyperlink" Target="http://www.hrono.ru/biograf/bio_we/voroshilov.php" TargetMode="External"/><Relationship Id="rId237" Type="http://schemas.openxmlformats.org/officeDocument/2006/relationships/hyperlink" Target="http://www.rpg-club.com/x1000" TargetMode="External"/><Relationship Id="rId279" Type="http://schemas.openxmlformats.org/officeDocument/2006/relationships/hyperlink" Target="http://www.rpg-club.com/x1000" TargetMode="External"/><Relationship Id="rId43" Type="http://schemas.openxmlformats.org/officeDocument/2006/relationships/hyperlink" Target="http://www.az-libr.ru/Persons/000/Src/0004/08143220.shtml" TargetMode="External"/><Relationship Id="rId139" Type="http://schemas.openxmlformats.org/officeDocument/2006/relationships/hyperlink" Target="http://www.rpg-club.com/x1000" TargetMode="External"/><Relationship Id="rId290" Type="http://schemas.openxmlformats.org/officeDocument/2006/relationships/hyperlink" Target="http://www.rpg-club.com/x1000" TargetMode="External"/><Relationship Id="rId304" Type="http://schemas.openxmlformats.org/officeDocument/2006/relationships/hyperlink" Target="http://detectivebooks.ru/book/47013018/?page=8" TargetMode="External"/><Relationship Id="rId85" Type="http://schemas.openxmlformats.org/officeDocument/2006/relationships/hyperlink" Target="http://www.pskovgrad.ru/war/pervaya-mirovaya-vojna/27923-mihaylov-vadim-sergeevich.html" TargetMode="External"/><Relationship Id="rId150" Type="http://schemas.openxmlformats.org/officeDocument/2006/relationships/hyperlink" Target="http://www.rpg-club.com/x1000" TargetMode="External"/><Relationship Id="rId192" Type="http://schemas.openxmlformats.org/officeDocument/2006/relationships/hyperlink" Target="http://www.rpg-club.com/x1000" TargetMode="External"/><Relationship Id="rId206" Type="http://schemas.openxmlformats.org/officeDocument/2006/relationships/hyperlink" Target="https://ru.wikipedia.org/wiki/%D0%9C%D0%B8%D1%85%D0%B5%D0%BB%D1%8C%D1%81%D0%BE%D0%BD,_%D0%9D%D0%B8%D0%BA%D0%BE%D0%BB%D0%B0%D0%B9_%D0%93%D1%83%D1%81%D1%82%D0%B0%D0%B2%D0%BE%D0%B2%D0%B8%D1%87" TargetMode="External"/><Relationship Id="rId248" Type="http://schemas.openxmlformats.org/officeDocument/2006/relationships/hyperlink" Target="http://www.rpg-club.com/x1000" TargetMode="External"/><Relationship Id="rId12" Type="http://schemas.openxmlformats.org/officeDocument/2006/relationships/hyperlink" Target="http://www.airwar.ru/enc/fww1/a10.html" TargetMode="External"/><Relationship Id="rId108" Type="http://schemas.openxmlformats.org/officeDocument/2006/relationships/hyperlink" Target="https://ru.wikipedia.org/wiki/%D0%A1%D0%BE%D0%B2%D0%B5%D1%82_%D0%BD%D0%B0%D1%80%D0%BE%D0%B4%D0%BD%D1%8B%D1%85_%D0%BA%D0%BE%D0%BC%D0%B8%D1%81%D1%81%D0%B0%D1%80%D0%BE%D0%B2_%D0%A1%D0%A1%D0%A1%D0%A0" TargetMode="External"/><Relationship Id="rId315" Type="http://schemas.openxmlformats.org/officeDocument/2006/relationships/hyperlink" Target="http://www.rpg-club.com/x1000" TargetMode="External"/><Relationship Id="rId54" Type="http://schemas.openxmlformats.org/officeDocument/2006/relationships/hyperlink" Target="http://www.airwar.ru/enc/fww1/fleetwing.html" TargetMode="External"/><Relationship Id="rId96" Type="http://schemas.openxmlformats.org/officeDocument/2006/relationships/hyperlink" Target="http://www.airwar.ru/enc/other1/c6.html" TargetMode="External"/><Relationship Id="rId161" Type="http://schemas.openxmlformats.org/officeDocument/2006/relationships/hyperlink" Target="http://www.airwar.ru/enc/law1/air3.html" TargetMode="External"/><Relationship Id="rId217" Type="http://schemas.openxmlformats.org/officeDocument/2006/relationships/hyperlink" Target="http://www.rpg-club.com/x1000" TargetMode="External"/><Relationship Id="rId259" Type="http://schemas.openxmlformats.org/officeDocument/2006/relationships/hyperlink" Target="http://www.rpg-club.com/x1000" TargetMode="External"/><Relationship Id="rId23" Type="http://schemas.openxmlformats.org/officeDocument/2006/relationships/hyperlink" Target="http://www.airwar.ru/enc/cw1/bleriot195.html" TargetMode="External"/><Relationship Id="rId119" Type="http://schemas.openxmlformats.org/officeDocument/2006/relationships/hyperlink" Target="https://ru.wikipedia.org/wiki/1952_%D0%B3%D0%BE%D0%B4" TargetMode="External"/><Relationship Id="rId270" Type="http://schemas.openxmlformats.org/officeDocument/2006/relationships/hyperlink" Target="https://ru.wikipedia.org/wiki/%D0%9C%D0%BE%D1%81%D0%BA%D0%BE%D0%B2%D1%81%D0%BA%D0%B8%D0%B9_%D0%B0%D0%B2%D0%B8%D0%B0%D1%86%D0%B8%D0%BE%D0%BD%D0%BD%D1%8B%D0%B9_%D0%B7%D0%B0%D0%B2%D0%BE%D0%B4_%E2%84%96_39" TargetMode="External"/><Relationship Id="rId326" Type="http://schemas.openxmlformats.org/officeDocument/2006/relationships/hyperlink" Target="http://www.rpg-club.com/x1000" TargetMode="External"/><Relationship Id="rId65" Type="http://schemas.openxmlformats.org/officeDocument/2006/relationships/hyperlink" Target="http://airspot.ru/catalogue/item/letov-s-16" TargetMode="External"/><Relationship Id="rId130" Type="http://schemas.openxmlformats.org/officeDocument/2006/relationships/hyperlink" Target="http://www.oldmos.ru/photo/view/1114" TargetMode="External"/><Relationship Id="rId172" Type="http://schemas.openxmlformats.org/officeDocument/2006/relationships/hyperlink" Target="https://ru.wikipedia.org/wiki/%D0%9E%D0%93%D0%9F%D0%A3_%D0%BF%D1%80%D0%B8_%D0%A1%D0%9D%D0%9A_%D0%A1%D0%A1%D0%A1%D0%A0" TargetMode="External"/><Relationship Id="rId228" Type="http://schemas.openxmlformats.org/officeDocument/2006/relationships/hyperlink" Target="http://www.rpg-club.com/x1000" TargetMode="External"/><Relationship Id="rId281" Type="http://schemas.openxmlformats.org/officeDocument/2006/relationships/hyperlink" Target="http://www.rpg-club.com/x1000" TargetMode="External"/><Relationship Id="rId337" Type="http://schemas.openxmlformats.org/officeDocument/2006/relationships/hyperlink" Target="http://www.hrono.ru/biograf/bio_k/kulikgi.php" TargetMode="External"/><Relationship Id="rId34" Type="http://schemas.openxmlformats.org/officeDocument/2006/relationships/hyperlink" Target="http://www.hrono.ru/biograf/bio_m/mehonosh.php" TargetMode="External"/><Relationship Id="rId76" Type="http://schemas.openxmlformats.org/officeDocument/2006/relationships/hyperlink" Target="http://www.airwar.ru/enc/flyboat/she1.html" TargetMode="External"/><Relationship Id="rId141" Type="http://schemas.openxmlformats.org/officeDocument/2006/relationships/hyperlink" Target="http://www.rpg-club.com/x1000" TargetMode="External"/><Relationship Id="rId7" Type="http://schemas.openxmlformats.org/officeDocument/2006/relationships/hyperlink" Target="http://www.rpg-club.com/x1000" TargetMode="External"/><Relationship Id="rId183" Type="http://schemas.openxmlformats.org/officeDocument/2006/relationships/hyperlink" Target="http://ru.wikipedia.org/wiki/%CF%EE%EB%E8%EA%E0%F0%EF%EE%E2,_%CD%E8%EA%EE%EB%E0%E9_%CD%E8%EA%EE%EB%E0%E5%E2%E8%F7" TargetMode="External"/><Relationship Id="rId239" Type="http://schemas.openxmlformats.org/officeDocument/2006/relationships/hyperlink" Target="http://www.rpg-club.com/x1000" TargetMode="External"/><Relationship Id="rId250" Type="http://schemas.openxmlformats.org/officeDocument/2006/relationships/hyperlink" Target="http://www.rpg-club.com/x1000" TargetMode="External"/><Relationship Id="rId292" Type="http://schemas.openxmlformats.org/officeDocument/2006/relationships/hyperlink" Target="http://www.rpg-club.com/x1000" TargetMode="External"/><Relationship Id="rId306" Type="http://schemas.openxmlformats.org/officeDocument/2006/relationships/hyperlink" Target="http://www.hrono.ru/biograf/bio_u/uborevich_ip.php" TargetMode="External"/><Relationship Id="rId45" Type="http://schemas.openxmlformats.org/officeDocument/2006/relationships/hyperlink" Target="http://www.airwar.ru/enc/cw1/m20.html" TargetMode="External"/><Relationship Id="rId87" Type="http://schemas.openxmlformats.org/officeDocument/2006/relationships/hyperlink" Target="http://www.hrono.ru/biograf/bio_m/molochnikov.html" TargetMode="External"/><Relationship Id="rId110" Type="http://schemas.openxmlformats.org/officeDocument/2006/relationships/hyperlink" Target="https://ru.wikipedia.org/wiki/%D0%93%D0%90%D0%97-51" TargetMode="External"/><Relationship Id="rId152" Type="http://schemas.openxmlformats.org/officeDocument/2006/relationships/hyperlink" Target="http://www.rpg-club.com/x1000" TargetMode="External"/><Relationship Id="rId194" Type="http://schemas.openxmlformats.org/officeDocument/2006/relationships/hyperlink" Target="http://www.rpg-club.com/x1000" TargetMode="External"/><Relationship Id="rId208" Type="http://schemas.openxmlformats.org/officeDocument/2006/relationships/hyperlink" Target="https://ru.wikipedia.org/wiki/%D0%9E%D0%93%D0%9F%D0%A3_%D0%BF%D1%80%D0%B8_%D0%A1%D0%9D%D0%9A_%D0%A1%D0%A1%D0%A1%D0%A0" TargetMode="External"/><Relationship Id="rId240" Type="http://schemas.openxmlformats.org/officeDocument/2006/relationships/hyperlink" Target="http://www.rpg-club.com/x1000" TargetMode="External"/><Relationship Id="rId261" Type="http://schemas.openxmlformats.org/officeDocument/2006/relationships/hyperlink" Target="http://www.hrono.ru/biograf/bio_we/voroshilov.php" TargetMode="External"/><Relationship Id="rId14" Type="http://schemas.openxmlformats.org/officeDocument/2006/relationships/hyperlink" Target="http://www.airwiki.org/enc/other1/lublinr10.html" TargetMode="External"/><Relationship Id="rId35" Type="http://schemas.openxmlformats.org/officeDocument/2006/relationships/hyperlink" Target="http://www.uznal.org/book_of_memory.php?bukva=1&amp;name=101&amp;surname=124&amp;repression=2" TargetMode="External"/><Relationship Id="rId56" Type="http://schemas.openxmlformats.org/officeDocument/2006/relationships/hyperlink" Target="http://airspot.ru/catalogue/item/mil-mi-10r" TargetMode="External"/><Relationship Id="rId77" Type="http://schemas.openxmlformats.org/officeDocument/2006/relationships/hyperlink" Target="http://www.primeportal.net/hangar/luc_colin3/5-at-b_trimotor/" TargetMode="External"/><Relationship Id="rId100" Type="http://schemas.openxmlformats.org/officeDocument/2006/relationships/hyperlink" Target="https://ru.wikipedia.org/wiki/1_%D1%84%D0%B5%D0%B2%D1%80%D0%B0%D0%BB%D1%8F" TargetMode="External"/><Relationship Id="rId282" Type="http://schemas.openxmlformats.org/officeDocument/2006/relationships/hyperlink" Target="http://www.rpg-club.com/x1000" TargetMode="External"/><Relationship Id="rId317" Type="http://schemas.openxmlformats.org/officeDocument/2006/relationships/hyperlink" Target="http://www.rpg-club.com/x1000" TargetMode="External"/><Relationship Id="rId338" Type="http://schemas.openxmlformats.org/officeDocument/2006/relationships/hyperlink" Target="http://www.uznal.org/book_of_memory.php?bukva=24&amp;name=50&amp;surname=18&amp;repression=0" TargetMode="External"/><Relationship Id="rId8" Type="http://schemas.openxmlformats.org/officeDocument/2006/relationships/hyperlink" Target="http://omop.su/article/48/102069.html" TargetMode="External"/><Relationship Id="rId98" Type="http://schemas.openxmlformats.org/officeDocument/2006/relationships/hyperlink" Target="https://ru.wikipedia.org/wiki/%D0%9D%D0%B8%D0%B6%D0%B5%D0%B3%D0%BE%D1%80%D0%BE%D0%B4%D1%81%D0%BA%D0%B0%D1%8F_%D0%B3%D1%83%D0%B1%D0%B5%D1%80%D0%BD%D0%B8%D1%8F" TargetMode="External"/><Relationship Id="rId121" Type="http://schemas.openxmlformats.org/officeDocument/2006/relationships/hyperlink" Target="https://ru.wikipedia.org/wiki/1975_%D0%B3%D0%BE%D0%B4" TargetMode="External"/><Relationship Id="rId142" Type="http://schemas.openxmlformats.org/officeDocument/2006/relationships/hyperlink" Target="http://www.rpg-club.com/x1000" TargetMode="External"/><Relationship Id="rId163" Type="http://schemas.openxmlformats.org/officeDocument/2006/relationships/hyperlink" Target="http://www.airwar.ru/enc/cw1/k4.html" TargetMode="External"/><Relationship Id="rId184" Type="http://schemas.openxmlformats.org/officeDocument/2006/relationships/hyperlink" Target="http://www.e-reading.club/chapter.php/1005087/39/Gorlov_Sergey_-_Sovershenno_sekretno__Alyans_Moskva_-_Berlin_1920-1933_gg..html" TargetMode="External"/><Relationship Id="rId219" Type="http://schemas.openxmlformats.org/officeDocument/2006/relationships/hyperlink" Target="http://www.rpg-club.com/x1000" TargetMode="External"/><Relationship Id="rId230" Type="http://schemas.openxmlformats.org/officeDocument/2006/relationships/hyperlink" Target="http://www.rpg-club.com/x1000" TargetMode="External"/><Relationship Id="rId251" Type="http://schemas.openxmlformats.org/officeDocument/2006/relationships/hyperlink" Target="http://www.rpg-club.com/x1000" TargetMode="External"/><Relationship Id="rId25" Type="http://schemas.openxmlformats.org/officeDocument/2006/relationships/hyperlink" Target="http://www.airwar.ru/enc/fww1/di2.html" TargetMode="External"/><Relationship Id="rId46" Type="http://schemas.openxmlformats.org/officeDocument/2006/relationships/hyperlink" Target="http://www.airwar.ru/enc/cw1/ps9.html" TargetMode="External"/><Relationship Id="rId67" Type="http://schemas.openxmlformats.org/officeDocument/2006/relationships/hyperlink" Target="http://www.airwar.ru/enc/flyboat/she1.html" TargetMode="External"/><Relationship Id="rId272" Type="http://schemas.openxmlformats.org/officeDocument/2006/relationships/hyperlink" Target="https://ru.wikipedia.org/wiki/%D0%9E%D0%93%D0%9F%D0%A3_%D0%BF%D1%80%D0%B8_%D0%A1%D0%9D%D0%9A_%D0%A1%D0%A1%D0%A1%D0%A0" TargetMode="External"/><Relationship Id="rId293" Type="http://schemas.openxmlformats.org/officeDocument/2006/relationships/hyperlink" Target="http://www.rpg-club.com/x1000" TargetMode="External"/><Relationship Id="rId307" Type="http://schemas.openxmlformats.org/officeDocument/2006/relationships/hyperlink" Target="http://www.hrono.ru/biograf/bio_h/halepski_ia.php" TargetMode="External"/><Relationship Id="rId328" Type="http://schemas.openxmlformats.org/officeDocument/2006/relationships/hyperlink" Target="http://www.rpg-club.com/x1000" TargetMode="External"/><Relationship Id="rId88" Type="http://schemas.openxmlformats.org/officeDocument/2006/relationships/hyperlink" Target="http://1937god.info/node/531" TargetMode="External"/><Relationship Id="rId111" Type="http://schemas.openxmlformats.org/officeDocument/2006/relationships/hyperlink" Target="https://ru.wikipedia.org/wiki/%D0%93%D0%90%D0%97-63" TargetMode="External"/><Relationship Id="rId132" Type="http://schemas.openxmlformats.org/officeDocument/2006/relationships/hyperlink" Target="http://www.airwar.ru/enc/fww1/di4.html" TargetMode="External"/><Relationship Id="rId153" Type="http://schemas.openxmlformats.org/officeDocument/2006/relationships/hyperlink" Target="http://www.rpg-club.com/x1000" TargetMode="External"/><Relationship Id="rId174" Type="http://schemas.openxmlformats.org/officeDocument/2006/relationships/hyperlink" Target="http://www.e-reading.club/chapter.php/1005087/34/Gorlov_Sergey_-_Sovershenno_sekretno__Alyans_Moskva_-_Berlin_1920-1933_gg..html" TargetMode="External"/><Relationship Id="rId195" Type="http://schemas.openxmlformats.org/officeDocument/2006/relationships/hyperlink" Target="http://www.hrono.ru/biograf/bio_p/pavlunovski_ip.php" TargetMode="External"/><Relationship Id="rId209" Type="http://schemas.openxmlformats.org/officeDocument/2006/relationships/hyperlink" Target="https://ru.wikipedia.org/wiki/%D0%A8%D0%B0%D1%80%D0%B0%D1%88%D0%BA%D0%B0" TargetMode="External"/><Relationship Id="rId220" Type="http://schemas.openxmlformats.org/officeDocument/2006/relationships/hyperlink" Target="http://www.rpg-club.com/x1000" TargetMode="External"/><Relationship Id="rId241" Type="http://schemas.openxmlformats.org/officeDocument/2006/relationships/hyperlink" Target="http://www.rpg-club.com/x1000" TargetMode="External"/><Relationship Id="rId15" Type="http://schemas.openxmlformats.org/officeDocument/2006/relationships/hyperlink" Target="http://www.hrono.info/biograf/bio_ya/janson_nm.php" TargetMode="External"/><Relationship Id="rId36" Type="http://schemas.openxmlformats.org/officeDocument/2006/relationships/hyperlink" Target="http://www.e-reading.club/chapter.php/1005087/38/Gorlov_Sergey_-_Sovershenno_sekretno__Alyans_Moskva_-_Berlin_1920-1933_gg..html" TargetMode="External"/><Relationship Id="rId57" Type="http://schemas.openxmlformats.org/officeDocument/2006/relationships/hyperlink" Target="http://www.airwar.ru/enc/cw1/ps9.html" TargetMode="External"/><Relationship Id="rId262" Type="http://schemas.openxmlformats.org/officeDocument/2006/relationships/hyperlink" Target="http://www.hrono.ru/biograf/bio_h/halepski_ia.php" TargetMode="External"/><Relationship Id="rId283" Type="http://schemas.openxmlformats.org/officeDocument/2006/relationships/hyperlink" Target="http://www.rpg-club.com/x1000" TargetMode="External"/><Relationship Id="rId318" Type="http://schemas.openxmlformats.org/officeDocument/2006/relationships/hyperlink" Target="http://www.rpg-club.com/x1000" TargetMode="External"/><Relationship Id="rId339" Type="http://schemas.openxmlformats.org/officeDocument/2006/relationships/hyperlink" Target="http://detectivebooks.ru/book/47013018/?page=10" TargetMode="External"/><Relationship Id="rId78" Type="http://schemas.openxmlformats.org/officeDocument/2006/relationships/hyperlink" Target="http://www.airwar.ru/enc/cw1/m24.html" TargetMode="External"/><Relationship Id="rId99" Type="http://schemas.openxmlformats.org/officeDocument/2006/relationships/hyperlink" Target="https://ru.wikipedia.org/wiki/%D0%9D%D0%B0%D1%80%D0%BE%D0%B4%D0%BD%D1%8B%D0%B9_%D0%BA%D0%BE%D0%BC%D0%B8%D1%81%D1%81%D0%B0%D1%80%D0%B8%D0%B0%D1%82_%D1%82%D1%8F%D0%B6%D1%91%D0%BB%D0%BE%D0%B9_%D0%BF%D1%80%D0%BE%D0%BC%D1%8B%D1%88%D0%BB%D0%B5%D0%BD%D0%BD%D0%BE%D1%81%D1%82%D0%B8_%D0%A1%D0%A1%D0%A1%D0%A0" TargetMode="External"/><Relationship Id="rId101" Type="http://schemas.openxmlformats.org/officeDocument/2006/relationships/hyperlink" Target="https://ru.wikipedia.org/wiki/1930_%D0%B3%D0%BE%D0%B4" TargetMode="External"/><Relationship Id="rId122" Type="http://schemas.openxmlformats.org/officeDocument/2006/relationships/hyperlink" Target="https://ru.wikipedia.org/wiki/%D0%9F%D0%BE%D0%BF%D0%BE%D0%B2,_%D0%90%D0%BB%D0%B5%D0%BA%D1%81%D0%B0%D0%BD%D0%B4%D1%80_%D0%A1%D1%82%D0%B5%D0%BF%D0%B0%D0%BD%D0%BE%D0%B2%D0%B8%D1%87" TargetMode="External"/><Relationship Id="rId143" Type="http://schemas.openxmlformats.org/officeDocument/2006/relationships/hyperlink" Target="http://www.rpg-club.com/x1000" TargetMode="External"/><Relationship Id="rId164" Type="http://schemas.openxmlformats.org/officeDocument/2006/relationships/hyperlink" Target="http://www.airwar.ru/enc/bww1/br19.html" TargetMode="External"/><Relationship Id="rId185" Type="http://schemas.openxmlformats.org/officeDocument/2006/relationships/hyperlink" Target="http://www.e-reading.club/chapter.php/1005087/39/Gorlov_Sergey_-_Sovershenno_sekretno__Alyans_Moskva_-_Berlin_1920-1933_gg..html" TargetMode="External"/><Relationship Id="rId9" Type="http://schemas.openxmlformats.org/officeDocument/2006/relationships/hyperlink" Target="http://www.hrono.info/biograf/bio_k/kuybyshev_vv.php" TargetMode="External"/><Relationship Id="rId210" Type="http://schemas.openxmlformats.org/officeDocument/2006/relationships/hyperlink" Target="http://www.rpg-club.com/x1000" TargetMode="External"/><Relationship Id="rId26" Type="http://schemas.openxmlformats.org/officeDocument/2006/relationships/hyperlink" Target="http://www.airwar.ru/enc/other1/bm5.html" TargetMode="External"/><Relationship Id="rId231" Type="http://schemas.openxmlformats.org/officeDocument/2006/relationships/hyperlink" Target="http://www.rpg-club.com/x1000" TargetMode="External"/><Relationship Id="rId252" Type="http://schemas.openxmlformats.org/officeDocument/2006/relationships/hyperlink" Target="http://www.rpg-club.com/x1000" TargetMode="External"/><Relationship Id="rId273" Type="http://schemas.openxmlformats.org/officeDocument/2006/relationships/hyperlink" Target="https://ru.wikipedia.org/wiki/%D0%93%D0%B0%D0%B9,_%D0%9C%D0%B0%D1%80%D0%BA_%D0%98%D1%81%D0%B0%D0%B5%D0%B2%D0%B8%D1%87" TargetMode="External"/><Relationship Id="rId294" Type="http://schemas.openxmlformats.org/officeDocument/2006/relationships/hyperlink" Target="http://www.rpg-club.com/x1000" TargetMode="External"/><Relationship Id="rId308" Type="http://schemas.openxmlformats.org/officeDocument/2006/relationships/hyperlink" Target="http://www.hrono.ru/biograf/bio_b/berzin_jan_k.php" TargetMode="External"/><Relationship Id="rId329" Type="http://schemas.openxmlformats.org/officeDocument/2006/relationships/hyperlink" Target="http://www.hrono.ru/biograf/bio_m/mereckov_ka.php" TargetMode="External"/><Relationship Id="rId47" Type="http://schemas.openxmlformats.org/officeDocument/2006/relationships/hyperlink" Target="http://www.airwar.ru/enc/law1/g5.html" TargetMode="External"/><Relationship Id="rId68" Type="http://schemas.openxmlformats.org/officeDocument/2006/relationships/hyperlink" Target="http://www.airwar.ru/enc/fww1/f2u.html" TargetMode="External"/><Relationship Id="rId89" Type="http://schemas.openxmlformats.org/officeDocument/2006/relationships/hyperlink" Target="http://www.hrono.ru/biograf/bio_t/triandafilov_vk.php" TargetMode="External"/><Relationship Id="rId112" Type="http://schemas.openxmlformats.org/officeDocument/2006/relationships/hyperlink" Target="https://ru.wikipedia.org/wiki/%D0%93%D0%97%D0%90-651" TargetMode="External"/><Relationship Id="rId133" Type="http://schemas.openxmlformats.org/officeDocument/2006/relationships/hyperlink" Target="http://www.knowbysight.info/UUU/05515.asp" TargetMode="External"/><Relationship Id="rId154" Type="http://schemas.openxmlformats.org/officeDocument/2006/relationships/hyperlink" Target="http://www.rpg-club.com/x1000" TargetMode="External"/><Relationship Id="rId175" Type="http://schemas.openxmlformats.org/officeDocument/2006/relationships/hyperlink" Target="http://www.e-reading.club/chapter.php/1005087/34/Gorlov_Sergey_-_Sovershenno_sekretno__Alyans_Moskva_-_Berlin_1920-1933_gg..html" TargetMode="External"/><Relationship Id="rId340" Type="http://schemas.openxmlformats.org/officeDocument/2006/relationships/hyperlink" Target="http://detectivebooks.ru/book/47013018/?page=10" TargetMode="External"/><Relationship Id="rId196" Type="http://schemas.openxmlformats.org/officeDocument/2006/relationships/hyperlink" Target="http://www.rpg-club.com/x1000" TargetMode="External"/><Relationship Id="rId200" Type="http://schemas.openxmlformats.org/officeDocument/2006/relationships/hyperlink" Target="http://www.rpg-club.com/x1000" TargetMode="External"/><Relationship Id="rId16" Type="http://schemas.openxmlformats.org/officeDocument/2006/relationships/hyperlink" Target="http://www.hrono.info/biograf/bio_we/voroshilov.php" TargetMode="External"/><Relationship Id="rId221" Type="http://schemas.openxmlformats.org/officeDocument/2006/relationships/hyperlink" Target="http://www.rpg-club.com/x1000" TargetMode="External"/><Relationship Id="rId242" Type="http://schemas.openxmlformats.org/officeDocument/2006/relationships/hyperlink" Target="http://www.rpg-club.com/x1000" TargetMode="External"/><Relationship Id="rId263" Type="http://schemas.openxmlformats.org/officeDocument/2006/relationships/hyperlink" Target="http://www.wing.com.ua/content/view/4495/52/" TargetMode="External"/><Relationship Id="rId284" Type="http://schemas.openxmlformats.org/officeDocument/2006/relationships/hyperlink" Target="http://www.rpg-club.com/x1000" TargetMode="External"/><Relationship Id="rId319" Type="http://schemas.openxmlformats.org/officeDocument/2006/relationships/hyperlink" Target="http://www.rpg-club.com/x1000" TargetMode="External"/><Relationship Id="rId37" Type="http://schemas.openxmlformats.org/officeDocument/2006/relationships/hyperlink" Target="http://www.hrono.ru/biograf/bio_sh/shaposhnikovbm.php" TargetMode="External"/><Relationship Id="rId58" Type="http://schemas.openxmlformats.org/officeDocument/2006/relationships/hyperlink" Target="http://www.hrono.ru/biograf/bio_b/bubnov_ig.html" TargetMode="External"/><Relationship Id="rId79" Type="http://schemas.openxmlformats.org/officeDocument/2006/relationships/hyperlink" Target="http://crimso.msk.ru/Site/Crafts/Craft21157.htm" TargetMode="External"/><Relationship Id="rId102" Type="http://schemas.openxmlformats.org/officeDocument/2006/relationships/hyperlink" Target="https://ru.wikipedia.org/wiki/%D0%93%D1%80%D1%83%D0%B7%D0%BE%D0%B2%D0%B8%D0%BA" TargetMode="External"/><Relationship Id="rId123" Type="http://schemas.openxmlformats.org/officeDocument/2006/relationships/hyperlink" Target="http://eroplan.boom.ru/shavrov/chr7/tb1/tb1.htm" TargetMode="External"/><Relationship Id="rId144" Type="http://schemas.openxmlformats.org/officeDocument/2006/relationships/hyperlink" Target="http://www.rpg-club.com/x1000" TargetMode="External"/><Relationship Id="rId330" Type="http://schemas.openxmlformats.org/officeDocument/2006/relationships/hyperlink" Target="http://www.hrono.ru/biograf/bio_u/uborevich_ip.php" TargetMode="External"/><Relationship Id="rId90" Type="http://schemas.openxmlformats.org/officeDocument/2006/relationships/hyperlink" Target="https://t34inform.ru/doc/1929-07-18_29_&#1056;&#1042;&#1057;.html" TargetMode="External"/><Relationship Id="rId165" Type="http://schemas.openxmlformats.org/officeDocument/2006/relationships/hyperlink" Target="http://www.airwar.ru/enc/law1/geebeez.html" TargetMode="External"/><Relationship Id="rId186" Type="http://schemas.openxmlformats.org/officeDocument/2006/relationships/hyperlink" Target="http://www.e-reading.club/chapter.php/1005087/39/Gorlov_Sergey_-_Sovershenno_sekretno__Alyans_Moskva_-_Berlin_1920-1933_gg..html" TargetMode="External"/><Relationship Id="rId211" Type="http://schemas.openxmlformats.org/officeDocument/2006/relationships/hyperlink" Target="http://www.rpg-club.com/x1000" TargetMode="External"/><Relationship Id="rId232" Type="http://schemas.openxmlformats.org/officeDocument/2006/relationships/hyperlink" Target="http://www.rpg-club.com/x1000" TargetMode="External"/><Relationship Id="rId253" Type="http://schemas.openxmlformats.org/officeDocument/2006/relationships/hyperlink" Target="http://www.rpg-club.com/x1000" TargetMode="External"/><Relationship Id="rId274" Type="http://schemas.openxmlformats.org/officeDocument/2006/relationships/hyperlink" Target="https://ru.wikipedia.org/wiki/%D0%98-5" TargetMode="External"/><Relationship Id="rId295" Type="http://schemas.openxmlformats.org/officeDocument/2006/relationships/hyperlink" Target="http://www.rpg-club.com/x1000" TargetMode="External"/><Relationship Id="rId309" Type="http://schemas.openxmlformats.org/officeDocument/2006/relationships/hyperlink" Target="http://www.knowbysight.info/BBB/03809.asp" TargetMode="External"/><Relationship Id="rId27" Type="http://schemas.openxmlformats.org/officeDocument/2006/relationships/hyperlink" Target="http://www.hrono.info/biograf/bio_ya/jagoda_gg.php" TargetMode="External"/><Relationship Id="rId48" Type="http://schemas.openxmlformats.org/officeDocument/2006/relationships/hyperlink" Target="http://www.airwar.ru/enc/fww1/hd38.html" TargetMode="External"/><Relationship Id="rId69" Type="http://schemas.openxmlformats.org/officeDocument/2006/relationships/hyperlink" Target="http://airspot.ru/catalogue/item/bellanca-pacemaker" TargetMode="External"/><Relationship Id="rId113" Type="http://schemas.openxmlformats.org/officeDocument/2006/relationships/hyperlink" Target="https://ru.wikipedia.org/w/index.php?title=%D0%93%D0%97%D0%90-653&amp;action=edit&amp;redlink=1" TargetMode="External"/><Relationship Id="rId134" Type="http://schemas.openxmlformats.org/officeDocument/2006/relationships/hyperlink" Target="http://www.rpg-club.com/x1000" TargetMode="External"/><Relationship Id="rId320" Type="http://schemas.openxmlformats.org/officeDocument/2006/relationships/hyperlink" Target="http://www.rpg-club.com/x1000" TargetMode="External"/><Relationship Id="rId80" Type="http://schemas.openxmlformats.org/officeDocument/2006/relationships/hyperlink" Target="http://www.airwar.ru/enc/other1/dox.html" TargetMode="External"/><Relationship Id="rId155" Type="http://schemas.openxmlformats.org/officeDocument/2006/relationships/hyperlink" Target="http://www.rpg-club.com/x1000" TargetMode="External"/><Relationship Id="rId176" Type="http://schemas.openxmlformats.org/officeDocument/2006/relationships/hyperlink" Target="http://www.airwar.ru/enc/fww1/di4.html" TargetMode="External"/><Relationship Id="rId197" Type="http://schemas.openxmlformats.org/officeDocument/2006/relationships/hyperlink" Target="http://www.rpg-club.com/x1000" TargetMode="External"/><Relationship Id="rId341" Type="http://schemas.openxmlformats.org/officeDocument/2006/relationships/hyperlink" Target="http://www.rpg-club.com/x1000" TargetMode="External"/><Relationship Id="rId201" Type="http://schemas.openxmlformats.org/officeDocument/2006/relationships/hyperlink" Target="http://www.rpg-club.com/x1000" TargetMode="External"/><Relationship Id="rId222" Type="http://schemas.openxmlformats.org/officeDocument/2006/relationships/hyperlink" Target="http://www.rpg-club.com/x1000" TargetMode="External"/><Relationship Id="rId243" Type="http://schemas.openxmlformats.org/officeDocument/2006/relationships/hyperlink" Target="http://www.rpg-club.com/x1000" TargetMode="External"/><Relationship Id="rId264" Type="http://schemas.openxmlformats.org/officeDocument/2006/relationships/hyperlink" Target="http://www.hrono.ru/biograf/bio_u/unshliht_is.php" TargetMode="External"/><Relationship Id="rId285" Type="http://schemas.openxmlformats.org/officeDocument/2006/relationships/hyperlink" Target="http://www.rpg-club.com/x1000" TargetMode="External"/><Relationship Id="rId17" Type="http://schemas.openxmlformats.org/officeDocument/2006/relationships/hyperlink" Target="http://www.airwar.ru/enc/bww1/hp33.html" TargetMode="External"/><Relationship Id="rId38" Type="http://schemas.openxmlformats.org/officeDocument/2006/relationships/hyperlink" Target="http://1937god.info/node/184" TargetMode="External"/><Relationship Id="rId59" Type="http://schemas.openxmlformats.org/officeDocument/2006/relationships/hyperlink" Target="http://www.pershpektiva.ru/%D0%BB%D1%8E%D0%B4%D0%B8%20%D0%A1%D0%B0%D0%BD%D0%BA%D1%82-%D0%9F%D0%B5%D1%82%D0%B5%D1%80%D0%B1%D1%83%D1%80%D0%B3%D0%B0/%D0%92%D0%BB%D0%B0%D1%81%D1%8C%D0%B5%D0%B2%20%D0%9D%D0%B8%D0%BA%D0%BE%D0%BB%D0%B0%D0%B9%20%D0%98%D0%BE%D1%81%D0%B8%D1%84%D0%BE%D0%B2%D0%B8%D1%87%201878.htm" TargetMode="External"/><Relationship Id="rId103" Type="http://schemas.openxmlformats.org/officeDocument/2006/relationships/hyperlink" Target="https://ru.wikipedia.org/wiki/1931_%D0%B3%D0%BE%D0%B4" TargetMode="External"/><Relationship Id="rId124" Type="http://schemas.openxmlformats.org/officeDocument/2006/relationships/hyperlink" Target="https://www.gazeta.ru/tags/person/gerbert_guver.shtml" TargetMode="External"/><Relationship Id="rId310" Type="http://schemas.openxmlformats.org/officeDocument/2006/relationships/hyperlink" Target="http://www.hrono.ru/biograf/bio_sh/shaposhnikovbm.php" TargetMode="External"/><Relationship Id="rId70" Type="http://schemas.openxmlformats.org/officeDocument/2006/relationships/hyperlink" Target="http://airspot.ru/catalogue/item/vickers-150-195-vanox" TargetMode="External"/><Relationship Id="rId91" Type="http://schemas.openxmlformats.org/officeDocument/2006/relationships/hyperlink" Target="http://www.hrono.ru/biograf/bio_we/voroshilov.php" TargetMode="External"/><Relationship Id="rId145" Type="http://schemas.openxmlformats.org/officeDocument/2006/relationships/hyperlink" Target="http://www.rpg-club.com/x1000" TargetMode="External"/><Relationship Id="rId166" Type="http://schemas.openxmlformats.org/officeDocument/2006/relationships/hyperlink" Target="http://www.airwar.ru/enc/cw1/fokf9.html" TargetMode="External"/><Relationship Id="rId187" Type="http://schemas.openxmlformats.org/officeDocument/2006/relationships/hyperlink" Target="http://www.e-reading.club/chapter.php/1005087/39/Gorlov_Sergey_-_Sovershenno_sekretno__Alyans_Moskva_-_Berlin_1920-1933_gg..html" TargetMode="External"/><Relationship Id="rId331" Type="http://schemas.openxmlformats.org/officeDocument/2006/relationships/hyperlink" Target="http://www.hrono.ru/biograf/bio_o/orzonikidze.php" TargetMode="External"/><Relationship Id="rId1" Type="http://schemas.openxmlformats.org/officeDocument/2006/relationships/customXml" Target="../customXml/item1.xml"/><Relationship Id="rId212" Type="http://schemas.openxmlformats.org/officeDocument/2006/relationships/hyperlink" Target="http://www.rpg-club.com/x1000" TargetMode="External"/><Relationship Id="rId233" Type="http://schemas.openxmlformats.org/officeDocument/2006/relationships/hyperlink" Target="http://www.rpg-club.com/x1000" TargetMode="External"/><Relationship Id="rId254" Type="http://schemas.openxmlformats.org/officeDocument/2006/relationships/hyperlink" Target="http://www.rpg-club.com/x1000" TargetMode="External"/><Relationship Id="rId28" Type="http://schemas.openxmlformats.org/officeDocument/2006/relationships/hyperlink" Target="http://www.hrono.info/biograf/bio_p/prokofev_ge.php" TargetMode="External"/><Relationship Id="rId49" Type="http://schemas.openxmlformats.org/officeDocument/2006/relationships/hyperlink" Target="http://www.airwar.ru/enc/cw1/dok.html" TargetMode="External"/><Relationship Id="rId114" Type="http://schemas.openxmlformats.org/officeDocument/2006/relationships/hyperlink" Target="https://ru.wikipedia.org/wiki/1950_%D0%B3%D0%BE%D0%B4" TargetMode="External"/><Relationship Id="rId275" Type="http://schemas.openxmlformats.org/officeDocument/2006/relationships/hyperlink" Target="https://ru.wikipedia.org/wiki/%D0%91%D1%83%D1%85%D0%BE%D0%BB%D1%8C%D1%86,_%D0%91%D0%B5%D0%BD%D0%B5%D0%B4%D0%B8%D0%BA%D1%82_%D0%9B%D0%B5%D0%BE%D0%BD%D0%BE%D0%B2%D0%B8%D1%87" TargetMode="External"/><Relationship Id="rId296" Type="http://schemas.openxmlformats.org/officeDocument/2006/relationships/hyperlink" Target="http://www.rpg-club.com/x1000" TargetMode="External"/><Relationship Id="rId300" Type="http://schemas.openxmlformats.org/officeDocument/2006/relationships/hyperlink" Target="http://www.rpg-club.com/x1000" TargetMode="External"/><Relationship Id="rId60" Type="http://schemas.openxmlformats.org/officeDocument/2006/relationships/hyperlink" Target="http://www.airwar.ru/enc/cw1/ps9.html" TargetMode="External"/><Relationship Id="rId81" Type="http://schemas.openxmlformats.org/officeDocument/2006/relationships/hyperlink" Target="http://airspot.ru/catalogue/item/amiot-123" TargetMode="External"/><Relationship Id="rId135" Type="http://schemas.openxmlformats.org/officeDocument/2006/relationships/hyperlink" Target="http://www.rpg-club.com/x1000" TargetMode="External"/><Relationship Id="rId156" Type="http://schemas.openxmlformats.org/officeDocument/2006/relationships/hyperlink" Target="http://www.rpg-club.com/x1000" TargetMode="External"/><Relationship Id="rId177" Type="http://schemas.openxmlformats.org/officeDocument/2006/relationships/hyperlink" Target="http://www.hrono.ru/biograf/bio_k/kuybyshev_vv.php" TargetMode="External"/><Relationship Id="rId198" Type="http://schemas.openxmlformats.org/officeDocument/2006/relationships/hyperlink" Target="http://1937god.info/node/312" TargetMode="External"/><Relationship Id="rId321" Type="http://schemas.openxmlformats.org/officeDocument/2006/relationships/hyperlink" Target="http://www.rpg-club.com/x1000" TargetMode="External"/><Relationship Id="rId342" Type="http://schemas.openxmlformats.org/officeDocument/2006/relationships/hyperlink" Target="http://www.rpg-club.com/x1000" TargetMode="External"/><Relationship Id="rId202" Type="http://schemas.openxmlformats.org/officeDocument/2006/relationships/hyperlink" Target="http://www.rpg-club.com/x1000" TargetMode="External"/><Relationship Id="rId223" Type="http://schemas.openxmlformats.org/officeDocument/2006/relationships/hyperlink" Target="http://www.rpg-club.com/x1000" TargetMode="External"/><Relationship Id="rId244" Type="http://schemas.openxmlformats.org/officeDocument/2006/relationships/hyperlink" Target="http://www.rpg-club.com/x1000" TargetMode="External"/><Relationship Id="rId18" Type="http://schemas.openxmlformats.org/officeDocument/2006/relationships/hyperlink" Target="http://crimso.msk.ru/Site/Crafts/Craft30805.htm" TargetMode="External"/><Relationship Id="rId39" Type="http://schemas.openxmlformats.org/officeDocument/2006/relationships/hyperlink" Target="http://1937god.info/node/210" TargetMode="External"/><Relationship Id="rId265" Type="http://schemas.openxmlformats.org/officeDocument/2006/relationships/hyperlink" Target="https://ru.wikipedia.org/wiki/%D0%A8%D0%B0%D1%80%D0%B0%D1%88%D0%BA%D0%B0" TargetMode="External"/><Relationship Id="rId286" Type="http://schemas.openxmlformats.org/officeDocument/2006/relationships/hyperlink" Target="http://www.rpg-club.com/x1000" TargetMode="External"/><Relationship Id="rId50" Type="http://schemas.openxmlformats.org/officeDocument/2006/relationships/hyperlink" Target="http://www.airwar.ru/enc/xplane/n1m.html" TargetMode="External"/><Relationship Id="rId104" Type="http://schemas.openxmlformats.org/officeDocument/2006/relationships/hyperlink" Target="https://ru.wikipedia.org/wiki/1932_%D0%B3%D0%BE%D0%B4" TargetMode="External"/><Relationship Id="rId125" Type="http://schemas.openxmlformats.org/officeDocument/2006/relationships/hyperlink" Target="http://www.airwar.ru/enc/sww2/she2.html" TargetMode="External"/><Relationship Id="rId146" Type="http://schemas.openxmlformats.org/officeDocument/2006/relationships/hyperlink" Target="http://www.rpg-club.com/x1000" TargetMode="External"/><Relationship Id="rId167" Type="http://schemas.openxmlformats.org/officeDocument/2006/relationships/hyperlink" Target="https://www.gazeta.ru/tags/person/gerbert_guver.shtml" TargetMode="External"/><Relationship Id="rId188" Type="http://schemas.openxmlformats.org/officeDocument/2006/relationships/hyperlink" Target="http://www.rpg-club.com/x1000" TargetMode="External"/><Relationship Id="rId311" Type="http://schemas.openxmlformats.org/officeDocument/2006/relationships/hyperlink" Target="http://www.rpg-club.com/x1000" TargetMode="External"/><Relationship Id="rId332" Type="http://schemas.openxmlformats.org/officeDocument/2006/relationships/hyperlink" Target="http://www.hrono.ru/biograf/bio_u/uborevich_ip.php" TargetMode="External"/><Relationship Id="rId71" Type="http://schemas.openxmlformats.org/officeDocument/2006/relationships/hyperlink" Target="http://www.e-reading.club/chapter.php/1005087/33/Gorlov_Sergey_-_Sovershenno_sekretno__Alyans_Moskva_-_Berlin_1920-1933_gg..html" TargetMode="External"/><Relationship Id="rId92" Type="http://schemas.openxmlformats.org/officeDocument/2006/relationships/hyperlink" Target="http://www.hrono.ru/biograf/bio_o/osinski_obolen.php" TargetMode="External"/><Relationship Id="rId213" Type="http://schemas.openxmlformats.org/officeDocument/2006/relationships/hyperlink" Target="http://www.rpg-club.com/x1000" TargetMode="External"/><Relationship Id="rId234" Type="http://schemas.openxmlformats.org/officeDocument/2006/relationships/hyperlink" Target="http://www.rpg-club.com/x1000" TargetMode="External"/><Relationship Id="rId2" Type="http://schemas.openxmlformats.org/officeDocument/2006/relationships/numbering" Target="numbering.xml"/><Relationship Id="rId29" Type="http://schemas.openxmlformats.org/officeDocument/2006/relationships/hyperlink" Target="http://www.airwar.ru/enc/fww1/i12.html" TargetMode="External"/><Relationship Id="rId255" Type="http://schemas.openxmlformats.org/officeDocument/2006/relationships/hyperlink" Target="http://www.hrono.ru/biograf/bio_k/kamenev_ss.php" TargetMode="External"/><Relationship Id="rId276" Type="http://schemas.openxmlformats.org/officeDocument/2006/relationships/hyperlink" Target="http://www.e-reading.club/chapter.php/1005087/39/Gorlov_Sergey_-_Sovershenno_sekretno__Alyans_Moskva_-_Berlin_1920-1933_gg..html" TargetMode="External"/><Relationship Id="rId297" Type="http://schemas.openxmlformats.org/officeDocument/2006/relationships/hyperlink" Target="http://www.rpg-club.com/x1000" TargetMode="External"/><Relationship Id="rId40" Type="http://schemas.openxmlformats.org/officeDocument/2006/relationships/hyperlink" Target="http://www.hrono.ru/biograf/bio_k/kulikgi.php" TargetMode="External"/><Relationship Id="rId115" Type="http://schemas.openxmlformats.org/officeDocument/2006/relationships/hyperlink" Target="https://ru.wikipedia.org/wiki/15_%D0%B4%D0%B5%D0%BA%D0%B0%D0%B1%D1%80%D1%8F" TargetMode="External"/><Relationship Id="rId136" Type="http://schemas.openxmlformats.org/officeDocument/2006/relationships/hyperlink" Target="http://www.rpg-club.com/x1000" TargetMode="External"/><Relationship Id="rId157" Type="http://schemas.openxmlformats.org/officeDocument/2006/relationships/hyperlink" Target="http://www.rpg-club.com/x1000" TargetMode="External"/><Relationship Id="rId178" Type="http://schemas.openxmlformats.org/officeDocument/2006/relationships/hyperlink" Target="http://www.knowbysight.info/UUU/05515.asp" TargetMode="External"/><Relationship Id="rId301" Type="http://schemas.openxmlformats.org/officeDocument/2006/relationships/hyperlink" Target="http://www.rpg-club.com/x1000" TargetMode="External"/><Relationship Id="rId322" Type="http://schemas.openxmlformats.org/officeDocument/2006/relationships/hyperlink" Target="http://www.rpg-club.com/x1000" TargetMode="External"/><Relationship Id="rId343" Type="http://schemas.openxmlformats.org/officeDocument/2006/relationships/fontTable" Target="fontTable.xml"/><Relationship Id="rId61" Type="http://schemas.openxmlformats.org/officeDocument/2006/relationships/hyperlink" Target="http://www.airwar.ru/enc/cw1/bernard191.html" TargetMode="External"/><Relationship Id="rId82" Type="http://schemas.openxmlformats.org/officeDocument/2006/relationships/hyperlink" Target="http://militera.lib.ru/research/samuelson_l/03.html" TargetMode="External"/><Relationship Id="rId199" Type="http://schemas.openxmlformats.org/officeDocument/2006/relationships/hyperlink" Target="http://www.pershpektiva.ru/%D0%BB%D1%8E%D0%B4%D0%B8%20%D0%A1%D0%B0%D0%BD%D0%BA%D1%82-%D0%9F%D0%B5%D1%82%D0%B5%D1%80%D0%B1%D1%83%D1%80%D0%B3%D0%B0/%D0%92%D0%BB%D0%B0%D1%81%D1%8C%D0%B5%D0%B2%20%D0%9D%D0%B8%D0%BA%D0%BE%D0%BB%D0%B0%D0%B9%20%D0%98%D0%BE%D1%81%D0%B8%D1%84%D0%BE%D0%B2%D0%B8%D1%87%201878.htm" TargetMode="External"/><Relationship Id="rId203" Type="http://schemas.openxmlformats.org/officeDocument/2006/relationships/hyperlink" Target="http://www.rpg-club.com/x1000" TargetMode="External"/><Relationship Id="rId19" Type="http://schemas.openxmlformats.org/officeDocument/2006/relationships/hyperlink" Target="https://www.universalinternetlibrary.ru/book/71121/chitat_knigu.shtml" TargetMode="External"/><Relationship Id="rId224" Type="http://schemas.openxmlformats.org/officeDocument/2006/relationships/hyperlink" Target="http://www.rpg-club.com/x1000" TargetMode="External"/><Relationship Id="rId245" Type="http://schemas.openxmlformats.org/officeDocument/2006/relationships/hyperlink" Target="http://www.rpg-club.com/x1000" TargetMode="External"/><Relationship Id="rId266" Type="http://schemas.openxmlformats.org/officeDocument/2006/relationships/hyperlink" Target="https://ru.wikipedia.org/wiki/%D0%91%D1%83%D1%82%D1%8B%D1%80%D1%81%D0%BA%D0%B0%D1%8F_%D1%82%D1%8E%D1%80%D1%8C%D0%BC%D0%B0" TargetMode="External"/><Relationship Id="rId287" Type="http://schemas.openxmlformats.org/officeDocument/2006/relationships/hyperlink" Target="http://www.rpg-club.com/x1000" TargetMode="External"/><Relationship Id="rId30" Type="http://schemas.openxmlformats.org/officeDocument/2006/relationships/hyperlink" Target="http://www.hrono.ru/biograf/bio_r/ruhimovich_ml.php" TargetMode="External"/><Relationship Id="rId105" Type="http://schemas.openxmlformats.org/officeDocument/2006/relationships/hyperlink" Target="https://ru.wikipedia.org/wiki/%D0%93%D0%BE%D1%80%D1%8C%D0%BA%D0%BE%D0%B2%D1%81%D0%BA%D0%B8%D0%B9_%D0%B0%D0%B2%D1%82%D0%BE%D0%BC%D0%BE%D0%B1%D0%B8%D0%BB%D1%8C%D0%BD%D1%8B%D0%B9_%D0%B7%D0%B0%D0%B2%D0%BE%D0%B4" TargetMode="External"/><Relationship Id="rId126" Type="http://schemas.openxmlformats.org/officeDocument/2006/relationships/hyperlink" Target="http://www.hrono.ru/biograf/bio_b/baranov_pi.php" TargetMode="External"/><Relationship Id="rId147" Type="http://schemas.openxmlformats.org/officeDocument/2006/relationships/hyperlink" Target="http://www.rpg-club.com/x1000" TargetMode="External"/><Relationship Id="rId168" Type="http://schemas.openxmlformats.org/officeDocument/2006/relationships/hyperlink" Target="http://www.e-reading.club/chapter.php/1005087/35/Gorlov_Sergey_-_Sovershenno_sekretno__Alyans_Moskva_-_Berlin_1920-1933_gg..html" TargetMode="External"/><Relationship Id="rId312" Type="http://schemas.openxmlformats.org/officeDocument/2006/relationships/hyperlink" Target="http://www.rpg-club.com/x1000" TargetMode="External"/><Relationship Id="rId333" Type="http://schemas.openxmlformats.org/officeDocument/2006/relationships/hyperlink" Target="http://www.pskovgrad.ru/war/pervaya-mirovaya-vojna/25798-dzerzhkovich-andrey-andreevich.html" TargetMode="External"/><Relationship Id="rId51" Type="http://schemas.openxmlformats.org/officeDocument/2006/relationships/hyperlink" Target="http://www.airwar.ru/enc/other1/c8.html" TargetMode="External"/><Relationship Id="rId72" Type="http://schemas.openxmlformats.org/officeDocument/2006/relationships/hyperlink" Target="http://www.e-reading.club/chapter.php/1005087/33/Gorlov_Sergey_-_Sovershenno_sekretno__Alyans_Moskva_-_Berlin_1920-1933_gg..html" TargetMode="External"/><Relationship Id="rId93" Type="http://schemas.openxmlformats.org/officeDocument/2006/relationships/hyperlink" Target="http://www.hrono.ru/biograf/bio_h/halepski_ia.php" TargetMode="External"/><Relationship Id="rId189" Type="http://schemas.openxmlformats.org/officeDocument/2006/relationships/hyperlink" Target="http://www.rpg-club.com/x1000" TargetMode="External"/><Relationship Id="rId3" Type="http://schemas.openxmlformats.org/officeDocument/2006/relationships/styles" Target="styles.xml"/><Relationship Id="rId214" Type="http://schemas.openxmlformats.org/officeDocument/2006/relationships/hyperlink" Target="http://www.rpg-club.com/x1000" TargetMode="External"/><Relationship Id="rId235" Type="http://schemas.openxmlformats.org/officeDocument/2006/relationships/hyperlink" Target="http://www.rpg-club.com/x1000" TargetMode="External"/><Relationship Id="rId256" Type="http://schemas.openxmlformats.org/officeDocument/2006/relationships/hyperlink" Target="http://www.rpg-club.com/x1000" TargetMode="External"/><Relationship Id="rId277" Type="http://schemas.openxmlformats.org/officeDocument/2006/relationships/hyperlink" Target="http://detectivebooks.ru/book/47013018/?page=12" TargetMode="External"/><Relationship Id="rId298" Type="http://schemas.openxmlformats.org/officeDocument/2006/relationships/hyperlink" Target="http://www.rpg-club.com/x1000" TargetMode="External"/><Relationship Id="rId116" Type="http://schemas.openxmlformats.org/officeDocument/2006/relationships/hyperlink" Target="https://ru.wikipedia.org/wiki/1951_%D0%B3%D0%BE%D0%B4" TargetMode="External"/><Relationship Id="rId137" Type="http://schemas.openxmlformats.org/officeDocument/2006/relationships/hyperlink" Target="http://www.rpg-club.com/x1000" TargetMode="External"/><Relationship Id="rId158" Type="http://schemas.openxmlformats.org/officeDocument/2006/relationships/hyperlink" Target="http://www.rpg-club.com/x1000" TargetMode="External"/><Relationship Id="rId302" Type="http://schemas.openxmlformats.org/officeDocument/2006/relationships/hyperlink" Target="http://www.rpg-club.com/x1000" TargetMode="External"/><Relationship Id="rId323" Type="http://schemas.openxmlformats.org/officeDocument/2006/relationships/hyperlink" Target="http://www.rpg-club.com/x1000" TargetMode="External"/><Relationship Id="rId344" Type="http://schemas.openxmlformats.org/officeDocument/2006/relationships/theme" Target="theme/theme1.xml"/><Relationship Id="rId20" Type="http://schemas.openxmlformats.org/officeDocument/2006/relationships/hyperlink" Target="http://www.airwar.ru/enc/cw1/wessex.html" TargetMode="External"/><Relationship Id="rId41" Type="http://schemas.openxmlformats.org/officeDocument/2006/relationships/hyperlink" Target="http://1937god.info/node/909" TargetMode="External"/><Relationship Id="rId62" Type="http://schemas.openxmlformats.org/officeDocument/2006/relationships/hyperlink" Target="http://igor113.livejournal.com/184226.html" TargetMode="External"/><Relationship Id="rId83" Type="http://schemas.openxmlformats.org/officeDocument/2006/relationships/hyperlink" Target="http://militera.lib.ru/research/samuelson_l/03.html" TargetMode="External"/><Relationship Id="rId179" Type="http://schemas.openxmlformats.org/officeDocument/2006/relationships/hyperlink" Target="http://ru.wikipedia.org/wiki/%D0%9E%D0%BB%D1%8C%D1%81%D0%BA%D0%B8%D0%B9,_%D0%AF%D0%BD_%D0%9A%D0%B0%D0%BB%D0%B8%D0%BA%D1%81%D1%82%D0%BE%D0%B2%D0%B8%D1%87" TargetMode="External"/><Relationship Id="rId190" Type="http://schemas.openxmlformats.org/officeDocument/2006/relationships/hyperlink" Target="http://www.rpg-club.com/x1000" TargetMode="External"/><Relationship Id="rId204" Type="http://schemas.openxmlformats.org/officeDocument/2006/relationships/hyperlink" Target="http://1937god.info/node/312" TargetMode="External"/><Relationship Id="rId225" Type="http://schemas.openxmlformats.org/officeDocument/2006/relationships/hyperlink" Target="http://www.rpg-club.com/x1000" TargetMode="External"/><Relationship Id="rId246" Type="http://schemas.openxmlformats.org/officeDocument/2006/relationships/hyperlink" Target="http://www.rpg-club.com/x1000" TargetMode="External"/><Relationship Id="rId267" Type="http://schemas.openxmlformats.org/officeDocument/2006/relationships/hyperlink" Target="https://ru.wikipedia.org/wiki/%D0%9A%D0%BE%D1%80%D0%B2%D0%B8%D0%BD-%D0%9A%D0%B5%D1%80%D0%B1%D0%B5%D1%80,_%D0%92%D0%B8%D0%BA%D1%82%D0%BE%D1%80_%D0%9B%D1%8C%D0%B2%D0%BE%D0%B2%D0%B8%D1%87" TargetMode="External"/><Relationship Id="rId288" Type="http://schemas.openxmlformats.org/officeDocument/2006/relationships/hyperlink" Target="http://www.rpg-club.com/x1000" TargetMode="External"/><Relationship Id="rId106" Type="http://schemas.openxmlformats.org/officeDocument/2006/relationships/hyperlink" Target="https://ru.wikipedia.org/wiki/1_%D1%8F%D0%BD%D0%B2%D0%B0%D1%80%D1%8F" TargetMode="External"/><Relationship Id="rId127" Type="http://schemas.openxmlformats.org/officeDocument/2006/relationships/hyperlink" Target="http://www.uznal.org/book_of_memory.php?bukva=15&amp;name=76&amp;surname=72&amp;repression=5" TargetMode="External"/><Relationship Id="rId313" Type="http://schemas.openxmlformats.org/officeDocument/2006/relationships/hyperlink" Target="http://www.rpg-club.com/x1000" TargetMode="External"/><Relationship Id="rId10" Type="http://schemas.openxmlformats.org/officeDocument/2006/relationships/hyperlink" Target="http://www.rulife.ru/mode/article/899/" TargetMode="External"/><Relationship Id="rId31" Type="http://schemas.openxmlformats.org/officeDocument/2006/relationships/hyperlink" Target="http://www.az-libr.ru/Persons/000/Src/0004/9d9fd6c2.shtml" TargetMode="External"/><Relationship Id="rId52" Type="http://schemas.openxmlformats.org/officeDocument/2006/relationships/hyperlink" Target="http://airspot.ru/catalogue/item/cams-53" TargetMode="External"/><Relationship Id="rId73" Type="http://schemas.openxmlformats.org/officeDocument/2006/relationships/hyperlink" Target="http://www.rpg-club.com/x1000" TargetMode="External"/><Relationship Id="rId94" Type="http://schemas.openxmlformats.org/officeDocument/2006/relationships/hyperlink" Target="http://www.airwar.ru/enc/cw1/hv428.html" TargetMode="External"/><Relationship Id="rId148" Type="http://schemas.openxmlformats.org/officeDocument/2006/relationships/hyperlink" Target="http://www.rpg-club.com/x1000" TargetMode="External"/><Relationship Id="rId169" Type="http://schemas.openxmlformats.org/officeDocument/2006/relationships/hyperlink" Target="https://ru.wikipedia.org/wiki/%D0%A8%D0%B0%D1%80%D0%B0%D1%88%D0%BA%D0%B0" TargetMode="External"/><Relationship Id="rId334" Type="http://schemas.openxmlformats.org/officeDocument/2006/relationships/hyperlink" Target="http://spb-tombs-walkeru.narod.ru/kzn/rdultovskiy.html" TargetMode="External"/><Relationship Id="rId4" Type="http://schemas.openxmlformats.org/officeDocument/2006/relationships/settings" Target="settings.xml"/><Relationship Id="rId180" Type="http://schemas.openxmlformats.org/officeDocument/2006/relationships/hyperlink" Target="http://www.hrono.ru/biograf/bio_b/baumank.php" TargetMode="External"/><Relationship Id="rId215" Type="http://schemas.openxmlformats.org/officeDocument/2006/relationships/hyperlink" Target="http://www.rpg-club.com/x1000" TargetMode="External"/><Relationship Id="rId236" Type="http://schemas.openxmlformats.org/officeDocument/2006/relationships/hyperlink" Target="http://www.rpg-club.com/x1000" TargetMode="External"/><Relationship Id="rId257" Type="http://schemas.openxmlformats.org/officeDocument/2006/relationships/hyperlink" Target="http://www.rpg-club.com/x1000" TargetMode="External"/><Relationship Id="rId278" Type="http://schemas.openxmlformats.org/officeDocument/2006/relationships/hyperlink" Target="http://www.rpg-club.com/x1000" TargetMode="External"/><Relationship Id="rId303" Type="http://schemas.openxmlformats.org/officeDocument/2006/relationships/hyperlink" Target="http://detectivebooks.ru/book/47013018/?page=8" TargetMode="External"/><Relationship Id="rId42" Type="http://schemas.openxmlformats.org/officeDocument/2006/relationships/hyperlink" Target="http://www.hrono.ru/biograf/bio_k/kosior_i.php" TargetMode="External"/><Relationship Id="rId84" Type="http://schemas.openxmlformats.org/officeDocument/2006/relationships/hyperlink" Target="http://www.e-reading.club/chapter.php/1005087/38/Gorlov_Sergey_-_Sovershenno_sekretno__Alyans_Moskva_-_Berlin_1920-1933_gg..html" TargetMode="External"/><Relationship Id="rId138" Type="http://schemas.openxmlformats.org/officeDocument/2006/relationships/hyperlink" Target="http://www.rpg-club.com/x1000" TargetMode="External"/><Relationship Id="rId191" Type="http://schemas.openxmlformats.org/officeDocument/2006/relationships/hyperlink" Target="http://www.rpg-club.com/x1000" TargetMode="External"/><Relationship Id="rId205" Type="http://schemas.openxmlformats.org/officeDocument/2006/relationships/hyperlink" Target="http://sklaviny.ru/biograf/bio_s/severov_odoev.php" TargetMode="External"/><Relationship Id="rId247" Type="http://schemas.openxmlformats.org/officeDocument/2006/relationships/hyperlink" Target="http://www.rpg-club.com/x1000" TargetMode="External"/><Relationship Id="rId107" Type="http://schemas.openxmlformats.org/officeDocument/2006/relationships/hyperlink" Target="https://ru.wikipedia.org/wiki/1940_%D0%B3%D0%BE%D0%B4" TargetMode="External"/><Relationship Id="rId289" Type="http://schemas.openxmlformats.org/officeDocument/2006/relationships/hyperlink" Target="http://www.rpg-club.com/x1000" TargetMode="External"/><Relationship Id="rId11" Type="http://schemas.openxmlformats.org/officeDocument/2006/relationships/hyperlink" Target="http://www.hrono.info/biograf/bio_u/unshliht_is.php" TargetMode="External"/><Relationship Id="rId53" Type="http://schemas.openxmlformats.org/officeDocument/2006/relationships/hyperlink" Target="http://www.airwar.ru/enc/cw1/ps9.html" TargetMode="External"/><Relationship Id="rId149" Type="http://schemas.openxmlformats.org/officeDocument/2006/relationships/hyperlink" Target="http://www.rpg-club.com/x1000" TargetMode="External"/><Relationship Id="rId314" Type="http://schemas.openxmlformats.org/officeDocument/2006/relationships/hyperlink" Target="http://www.rpg-club.com/x1000" TargetMode="External"/><Relationship Id="rId95" Type="http://schemas.openxmlformats.org/officeDocument/2006/relationships/hyperlink" Target="http://www.airwar.ru/enc/law1/c109.html" TargetMode="External"/><Relationship Id="rId160" Type="http://schemas.openxmlformats.org/officeDocument/2006/relationships/hyperlink" Target="https://www.gazeta.ru/tags/person/gerbert_guver.shtml" TargetMode="External"/><Relationship Id="rId216" Type="http://schemas.openxmlformats.org/officeDocument/2006/relationships/hyperlink" Target="http://www.rpg-club.com/x1000" TargetMode="External"/><Relationship Id="rId258" Type="http://schemas.openxmlformats.org/officeDocument/2006/relationships/hyperlink" Target="http://www.rpg-club.com/x1000" TargetMode="External"/><Relationship Id="rId22" Type="http://schemas.openxmlformats.org/officeDocument/2006/relationships/hyperlink" Target="http://www.hrono.info/biograf/bio_m/muklevich.php" TargetMode="External"/><Relationship Id="rId64" Type="http://schemas.openxmlformats.org/officeDocument/2006/relationships/hyperlink" Target="http://russianarms.mybb.ru/click.php?http://russianarms.mybb.ru/viewtopic.php?id=1712" TargetMode="External"/><Relationship Id="rId118" Type="http://schemas.openxmlformats.org/officeDocument/2006/relationships/hyperlink" Target="https://ru.wikipedia.org/wiki/%D0%9F%D0%B0%D0%B2%D0%BB%D0%BE%D0%B2%D1%81%D0%BA%D0%B8%D0%B9_%D0%B0%D0%B2%D1%82%D0%BE%D0%B1%D1%83%D1%81%D0%BD%D1%8B%D0%B9_%D0%B7%D0%B0%D0%B2%D0%BE%D0%B4" TargetMode="External"/><Relationship Id="rId325" Type="http://schemas.openxmlformats.org/officeDocument/2006/relationships/hyperlink" Target="http://www.rpg-club.com/x1000" TargetMode="External"/><Relationship Id="rId171" Type="http://schemas.openxmlformats.org/officeDocument/2006/relationships/hyperlink" Target="https://ru.wikipedia.org/wiki/%D0%9F%D0%BE%D0%BB%D0%B8%D0%BA%D0%B0%D1%80%D0%BF%D0%BE%D0%B2,_%D0%9D%D0%B8%D0%BA%D0%BE%D0%BB%D0%B0%D0%B9_%D0%9D%D0%B8%D0%BA%D0%BE%D0%BB%D0%B0%D0%B5%D0%B2%D0%B8%D1%87" TargetMode="External"/><Relationship Id="rId227" Type="http://schemas.openxmlformats.org/officeDocument/2006/relationships/hyperlink" Target="http://www.rpg-club.com/x1000" TargetMode="External"/><Relationship Id="rId269" Type="http://schemas.openxmlformats.org/officeDocument/2006/relationships/hyperlink" Target="https://ru.wikipedia.org/wiki/%D0%93%D0%BE%D1%80%D1%8F%D0%BD%D0%BE%D0%B2-%D0%93%D0%BE%D1%80%D0%BD%D1%8B%D0%B9,_%D0%90%D0%BD%D0%B0%D1%82%D0%BE%D0%BB%D0%B8%D0%B9_%D0%93%D0%B5%D0%BE%D1%80%D0%B3%D0%B8%D0%B5%D0%B2%D0%B8%D1%87" TargetMode="External"/><Relationship Id="rId33" Type="http://schemas.openxmlformats.org/officeDocument/2006/relationships/hyperlink" Target="http://www.hrono.ru/biograf/bio_we/voroshilov.php" TargetMode="External"/><Relationship Id="rId129" Type="http://schemas.openxmlformats.org/officeDocument/2006/relationships/hyperlink" Target="http://hrono.info/biograf/bio_p/pavlunovski_ip.php" TargetMode="External"/><Relationship Id="rId280" Type="http://schemas.openxmlformats.org/officeDocument/2006/relationships/hyperlink" Target="http://www.rpg-club.com/x1000" TargetMode="External"/><Relationship Id="rId336" Type="http://schemas.openxmlformats.org/officeDocument/2006/relationships/hyperlink" Target="http://www.hrono.ru/biograf/bio_d/dybenko_pe.php" TargetMode="External"/><Relationship Id="rId75" Type="http://schemas.openxmlformats.org/officeDocument/2006/relationships/hyperlink" Target="http://www.airwar.ru/enc/other1/cuttysark.html" TargetMode="External"/><Relationship Id="rId140" Type="http://schemas.openxmlformats.org/officeDocument/2006/relationships/hyperlink" Target="http://www.rpg-club.com/x1000" TargetMode="External"/><Relationship Id="rId182" Type="http://schemas.openxmlformats.org/officeDocument/2006/relationships/hyperlink" Target="http://www.hrono.ru/biograf/bio_b/baranov_pi.php" TargetMode="External"/><Relationship Id="rId6" Type="http://schemas.openxmlformats.org/officeDocument/2006/relationships/hyperlink" Target="http://www.rpg-club.com/x1000" TargetMode="External"/><Relationship Id="rId238" Type="http://schemas.openxmlformats.org/officeDocument/2006/relationships/hyperlink" Target="http://www.rpg-club.com/x1000" TargetMode="External"/><Relationship Id="rId291" Type="http://schemas.openxmlformats.org/officeDocument/2006/relationships/hyperlink" Target="http://www.rpg-club.com/x1000" TargetMode="External"/><Relationship Id="rId305" Type="http://schemas.openxmlformats.org/officeDocument/2006/relationships/hyperlink" Target="http://www.hrono.ru/biograf/bio_r/ruhimovich_ml.php" TargetMode="External"/><Relationship Id="rId44" Type="http://schemas.openxmlformats.org/officeDocument/2006/relationships/hyperlink" Target="http://www.airwar.ru/enc/cw1/k4.html" TargetMode="External"/><Relationship Id="rId86" Type="http://schemas.openxmlformats.org/officeDocument/2006/relationships/hyperlink" Target="http://www.uznal.org/book_of_memory.php?bukva=2&amp;name=63&amp;surname=82&amp;repression=7" TargetMode="External"/><Relationship Id="rId151" Type="http://schemas.openxmlformats.org/officeDocument/2006/relationships/hyperlink" Target="http://www.rpg-club.com/x1000" TargetMode="External"/><Relationship Id="rId193" Type="http://schemas.openxmlformats.org/officeDocument/2006/relationships/hyperlink" Target="http://www.rpg-club.com/x1000" TargetMode="External"/><Relationship Id="rId207" Type="http://schemas.openxmlformats.org/officeDocument/2006/relationships/hyperlink" Target="https://ru.wikipedia.org/wiki/%D0%9F%D0%BE%D0%BB%D0%B8%D0%BA%D0%B0%D1%80%D0%BF%D0%BE%D0%B2,_%D0%9D%D0%B8%D0%BA%D0%BE%D0%BB%D0%B0%D0%B9_%D0%9D%D0%B8%D0%BA%D0%BE%D0%BB%D0%B0%D0%B5%D0%B2%D0%B8%D1%87" TargetMode="External"/><Relationship Id="rId249" Type="http://schemas.openxmlformats.org/officeDocument/2006/relationships/hyperlink" Target="http://www.rpg-club.com/x1000" TargetMode="External"/><Relationship Id="rId13" Type="http://schemas.openxmlformats.org/officeDocument/2006/relationships/hyperlink" Target="http://www.hrono.info/biograf/bio_we/voroshilov.php" TargetMode="External"/><Relationship Id="rId109" Type="http://schemas.openxmlformats.org/officeDocument/2006/relationships/hyperlink" Target="https://ru.wikipedia.org/wiki/1949_%D0%B3%D0%BE%D0%B4" TargetMode="External"/><Relationship Id="rId260" Type="http://schemas.openxmlformats.org/officeDocument/2006/relationships/hyperlink" Target="http://istmat.info/node/29352" TargetMode="External"/><Relationship Id="rId316" Type="http://schemas.openxmlformats.org/officeDocument/2006/relationships/hyperlink" Target="http://www.rpg-club.com/x1000" TargetMode="External"/><Relationship Id="rId55" Type="http://schemas.openxmlformats.org/officeDocument/2006/relationships/hyperlink" Target="http://www.airwar.ru/enc/law1/hm8.html" TargetMode="External"/><Relationship Id="rId97" Type="http://schemas.openxmlformats.org/officeDocument/2006/relationships/hyperlink" Target="https://ru.wikipedia.org/wiki/%D0%9A%D0%B0%D0%BD%D0%B0%D0%B2%D0%B8%D0%BD%D0%BE" TargetMode="External"/><Relationship Id="rId120" Type="http://schemas.openxmlformats.org/officeDocument/2006/relationships/hyperlink" Target="https://ru.wikipedia.org/wiki/%D0%93%D0%BE%D1%80%D1%8C%D0%BA%D0%BE%D0%B2%D1%81%D0%BA%D0%B8%D0%B9_%D0%B7%D0%B0%D0%B2%D0%BE%D0%B4_%D1%80%D0%B0%D0%B4%D0%B8%D0%BE%D0%B0%D0%BF%D0%BF%D0%B0%D1%80%D0%B0%D1%82%D1%83%D1%80%D1%8B" TargetMode="External"/><Relationship Id="rId162" Type="http://schemas.openxmlformats.org/officeDocument/2006/relationships/hyperlink" Target="http://crimso.msk.ru/Site/Crafts/Craft31810.htm" TargetMode="External"/><Relationship Id="rId218" Type="http://schemas.openxmlformats.org/officeDocument/2006/relationships/hyperlink" Target="http://www.rpg-club.com/x1000" TargetMode="External"/><Relationship Id="rId271" Type="http://schemas.openxmlformats.org/officeDocument/2006/relationships/hyperlink" Target="https://ru.wikipedia.org/wiki/%D0%A6%D0%B5%D0%BD%D1%82%D1%80%D0%B0%D0%BB%D1%8C%D0%BD%D1%8B%D0%B9_%D0%B0%D1%8D%D1%80%D0%BE%D0%B4%D1%80%D0%BE%D0%BC_%D0%B8%D0%BC%D0%B5%D0%BD%D0%B8_%D0%9C._%D0%92._%D0%A4%D1%80%D1%83%D0%BD%D0%B7%D0%B5" TargetMode="External"/><Relationship Id="rId24" Type="http://schemas.openxmlformats.org/officeDocument/2006/relationships/hyperlink" Target="http://airspot.ru/catalogue/item/pws-20t" TargetMode="External"/><Relationship Id="rId66" Type="http://schemas.openxmlformats.org/officeDocument/2006/relationships/hyperlink" Target="http://www.airwar.ru/enc/other1/bm4.html" TargetMode="External"/><Relationship Id="rId131" Type="http://schemas.openxmlformats.org/officeDocument/2006/relationships/hyperlink" Target="https://www.gazeta.ru/tags/person/gerbert_guver.shtml" TargetMode="External"/><Relationship Id="rId327" Type="http://schemas.openxmlformats.org/officeDocument/2006/relationships/hyperlink" Target="http://www.rpg-club.com/x1000" TargetMode="External"/><Relationship Id="rId173" Type="http://schemas.openxmlformats.org/officeDocument/2006/relationships/hyperlink" Target="https://ru.wikipedia.org/wiki/%D0%A8%D0%B0%D1%80%D0%B0%D1%88%D0%BA%D0%B0" TargetMode="External"/><Relationship Id="rId229" Type="http://schemas.openxmlformats.org/officeDocument/2006/relationships/hyperlink" Target="http://www.rpg-club.com/x10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4299B4-8652-4677-BBDC-59F38B8787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1865</TotalTime>
  <Pages>587</Pages>
  <Words>711087</Words>
  <Characters>4053202</Characters>
  <Application>Microsoft Office Word</Application>
  <DocSecurity>0</DocSecurity>
  <Lines>33776</Lines>
  <Paragraphs>9509</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4754780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270</cp:revision>
  <dcterms:created xsi:type="dcterms:W3CDTF">2022-04-02T07:26:00Z</dcterms:created>
  <dcterms:modified xsi:type="dcterms:W3CDTF">2024-02-03T13:11:00Z</dcterms:modified>
</cp:coreProperties>
</file>